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4E6E4E1" w14:textId="77777777" w:rsidR="005C4849" w:rsidRPr="005E779E" w:rsidRDefault="005C4849" w:rsidP="000B7A6C">
      <w:pPr>
        <w:autoSpaceDE w:val="0"/>
        <w:autoSpaceDN w:val="0"/>
        <w:adjustRightInd w:val="0"/>
        <w:spacing w:after="0" w:line="240" w:lineRule="auto"/>
        <w:jc w:val="both"/>
        <w:rPr>
          <w:rFonts w:ascii="Times New Roman" w:hAnsi="Times New Roman"/>
          <w:b/>
          <w:bCs/>
          <w:color w:val="000000" w:themeColor="text1"/>
          <w:sz w:val="16"/>
          <w:szCs w:val="16"/>
        </w:rPr>
      </w:pPr>
      <w:r w:rsidRPr="005E779E">
        <w:rPr>
          <w:rFonts w:ascii="Times New Roman" w:hAnsi="Times New Roman"/>
          <w:b/>
          <w:bCs/>
          <w:color w:val="000000" w:themeColor="text1"/>
          <w:sz w:val="16"/>
          <w:szCs w:val="16"/>
        </w:rPr>
        <w:t>1931</w:t>
      </w:r>
    </w:p>
    <w:p w14:paraId="58E78AAA" w14:textId="77777777" w:rsidR="005D3B62" w:rsidRPr="005E779E" w:rsidRDefault="005D3B62" w:rsidP="000B7A6C">
      <w:pPr>
        <w:autoSpaceDE w:val="0"/>
        <w:autoSpaceDN w:val="0"/>
        <w:adjustRightInd w:val="0"/>
        <w:spacing w:after="0" w:line="240" w:lineRule="auto"/>
        <w:jc w:val="both"/>
        <w:rPr>
          <w:rFonts w:ascii="Times New Roman" w:hAnsi="Times New Roman"/>
          <w:i/>
          <w:iCs/>
          <w:color w:val="000000" w:themeColor="text1"/>
          <w:sz w:val="16"/>
          <w:szCs w:val="16"/>
        </w:rPr>
      </w:pPr>
    </w:p>
    <w:p w14:paraId="45BF9092"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611A11B2"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DDD9BE2" w14:textId="77777777" w:rsidR="005610C8" w:rsidRPr="005E779E" w:rsidRDefault="005610C8" w:rsidP="005610C8">
      <w:pPr>
        <w:spacing w:after="0" w:line="240" w:lineRule="auto"/>
        <w:jc w:val="both"/>
        <w:rPr>
          <w:rFonts w:ascii="Times New Roman" w:hAnsi="Times New Roman"/>
          <w:color w:val="0070C0"/>
          <w:sz w:val="16"/>
          <w:szCs w:val="16"/>
        </w:rPr>
      </w:pPr>
      <w:r w:rsidRPr="005E779E">
        <w:rPr>
          <w:rFonts w:ascii="Times New Roman" w:hAnsi="Times New Roman"/>
          <w:color w:val="0070C0"/>
          <w:sz w:val="16"/>
          <w:szCs w:val="16"/>
        </w:rPr>
        <w:t>К наступлению нового 1931-го года авиазавод №23 произвел полторы сотни учебных У-2. Значи</w:t>
      </w:r>
      <w:r w:rsidRPr="005E779E">
        <w:rPr>
          <w:rFonts w:ascii="Times New Roman" w:hAnsi="Times New Roman"/>
          <w:color w:val="0070C0"/>
          <w:sz w:val="16"/>
          <w:szCs w:val="16"/>
        </w:rPr>
        <w:softHyphen/>
        <w:t>тельная их часть, 81 экземпляр, по состоянию на 1 января 1931 года поступила в ВВС Крас</w:t>
      </w:r>
      <w:r w:rsidRPr="005E779E">
        <w:rPr>
          <w:rFonts w:ascii="Times New Roman" w:hAnsi="Times New Roman"/>
          <w:color w:val="0070C0"/>
          <w:sz w:val="16"/>
          <w:szCs w:val="16"/>
        </w:rPr>
        <w:softHyphen/>
        <w:t>ной Армии.</w:t>
      </w:r>
    </w:p>
    <w:tbl>
      <w:tblPr>
        <w:tblOverlap w:val="never"/>
        <w:tblW w:w="0" w:type="auto"/>
        <w:tblLayout w:type="fixed"/>
        <w:tblCellMar>
          <w:left w:w="10" w:type="dxa"/>
          <w:right w:w="10" w:type="dxa"/>
        </w:tblCellMar>
        <w:tblLook w:val="0000" w:firstRow="0" w:lastRow="0" w:firstColumn="0" w:lastColumn="0" w:noHBand="0" w:noVBand="0"/>
      </w:tblPr>
      <w:tblGrid>
        <w:gridCol w:w="320"/>
        <w:gridCol w:w="479"/>
        <w:gridCol w:w="569"/>
        <w:gridCol w:w="565"/>
        <w:gridCol w:w="558"/>
        <w:gridCol w:w="562"/>
        <w:gridCol w:w="598"/>
        <w:gridCol w:w="544"/>
        <w:gridCol w:w="544"/>
        <w:gridCol w:w="598"/>
        <w:gridCol w:w="619"/>
        <w:gridCol w:w="558"/>
        <w:gridCol w:w="511"/>
        <w:gridCol w:w="950"/>
      </w:tblGrid>
      <w:tr w:rsidR="005610C8" w:rsidRPr="005E779E" w14:paraId="0A4A36C6" w14:textId="77777777" w:rsidTr="005E779E">
        <w:trPr>
          <w:trHeight w:hRule="exact" w:val="180"/>
        </w:trPr>
        <w:tc>
          <w:tcPr>
            <w:tcW w:w="320" w:type="dxa"/>
            <w:shd w:val="clear" w:color="auto" w:fill="FFFFFF"/>
          </w:tcPr>
          <w:p w14:paraId="39B22630" w14:textId="77777777" w:rsidR="005610C8" w:rsidRPr="005E779E" w:rsidRDefault="005610C8" w:rsidP="00DC550A">
            <w:pPr>
              <w:spacing w:after="0" w:line="240" w:lineRule="auto"/>
              <w:jc w:val="both"/>
              <w:rPr>
                <w:rFonts w:ascii="Times New Roman" w:hAnsi="Times New Roman"/>
                <w:color w:val="0070C0"/>
                <w:sz w:val="16"/>
                <w:szCs w:val="16"/>
              </w:rPr>
            </w:pPr>
          </w:p>
        </w:tc>
        <w:tc>
          <w:tcPr>
            <w:tcW w:w="479" w:type="dxa"/>
            <w:shd w:val="clear" w:color="auto" w:fill="FFFFFF"/>
          </w:tcPr>
          <w:p w14:paraId="026FC74C"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1929</w:t>
            </w:r>
          </w:p>
        </w:tc>
        <w:tc>
          <w:tcPr>
            <w:tcW w:w="569" w:type="dxa"/>
            <w:shd w:val="clear" w:color="auto" w:fill="FFFFFF"/>
          </w:tcPr>
          <w:p w14:paraId="153D6982"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1930</w:t>
            </w:r>
          </w:p>
        </w:tc>
        <w:tc>
          <w:tcPr>
            <w:tcW w:w="565" w:type="dxa"/>
            <w:shd w:val="clear" w:color="auto" w:fill="FFFFFF"/>
          </w:tcPr>
          <w:p w14:paraId="70054ADC"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1931</w:t>
            </w:r>
          </w:p>
        </w:tc>
        <w:tc>
          <w:tcPr>
            <w:tcW w:w="558" w:type="dxa"/>
            <w:shd w:val="clear" w:color="auto" w:fill="FFFFFF"/>
          </w:tcPr>
          <w:p w14:paraId="1615D854"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1932</w:t>
            </w:r>
          </w:p>
        </w:tc>
        <w:tc>
          <w:tcPr>
            <w:tcW w:w="562" w:type="dxa"/>
            <w:shd w:val="clear" w:color="auto" w:fill="FFFFFF"/>
          </w:tcPr>
          <w:p w14:paraId="5F18D279"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1933</w:t>
            </w:r>
          </w:p>
        </w:tc>
        <w:tc>
          <w:tcPr>
            <w:tcW w:w="598" w:type="dxa"/>
            <w:shd w:val="clear" w:color="auto" w:fill="FFFFFF"/>
          </w:tcPr>
          <w:p w14:paraId="564F627E"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1934</w:t>
            </w:r>
          </w:p>
        </w:tc>
        <w:tc>
          <w:tcPr>
            <w:tcW w:w="544" w:type="dxa"/>
            <w:shd w:val="clear" w:color="auto" w:fill="FFFFFF"/>
          </w:tcPr>
          <w:p w14:paraId="3E826340"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1935</w:t>
            </w:r>
          </w:p>
        </w:tc>
        <w:tc>
          <w:tcPr>
            <w:tcW w:w="544" w:type="dxa"/>
            <w:shd w:val="clear" w:color="auto" w:fill="FFFFFF"/>
          </w:tcPr>
          <w:p w14:paraId="2B26622C"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1936</w:t>
            </w:r>
          </w:p>
        </w:tc>
        <w:tc>
          <w:tcPr>
            <w:tcW w:w="598" w:type="dxa"/>
            <w:shd w:val="clear" w:color="auto" w:fill="FFFFFF"/>
          </w:tcPr>
          <w:p w14:paraId="7A90F63E"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1937</w:t>
            </w:r>
          </w:p>
        </w:tc>
        <w:tc>
          <w:tcPr>
            <w:tcW w:w="619" w:type="dxa"/>
            <w:shd w:val="clear" w:color="auto" w:fill="FFFFFF"/>
          </w:tcPr>
          <w:p w14:paraId="26439492"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1938</w:t>
            </w:r>
          </w:p>
        </w:tc>
        <w:tc>
          <w:tcPr>
            <w:tcW w:w="558" w:type="dxa"/>
            <w:shd w:val="clear" w:color="auto" w:fill="FFFFFF"/>
          </w:tcPr>
          <w:p w14:paraId="09A77C2F"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1939</w:t>
            </w:r>
          </w:p>
        </w:tc>
        <w:tc>
          <w:tcPr>
            <w:tcW w:w="511" w:type="dxa"/>
            <w:shd w:val="clear" w:color="auto" w:fill="FFFFFF"/>
          </w:tcPr>
          <w:p w14:paraId="7953D410"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1940</w:t>
            </w:r>
          </w:p>
        </w:tc>
        <w:tc>
          <w:tcPr>
            <w:tcW w:w="950" w:type="dxa"/>
            <w:shd w:val="clear" w:color="auto" w:fill="FFFFFF"/>
          </w:tcPr>
          <w:p w14:paraId="1FFB6479"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Всего</w:t>
            </w:r>
          </w:p>
        </w:tc>
      </w:tr>
      <w:tr w:rsidR="005610C8" w:rsidRPr="005E779E" w14:paraId="2915DBC3" w14:textId="77777777" w:rsidTr="005E779E">
        <w:trPr>
          <w:trHeight w:hRule="exact" w:val="202"/>
        </w:trPr>
        <w:tc>
          <w:tcPr>
            <w:tcW w:w="320" w:type="dxa"/>
            <w:shd w:val="clear" w:color="auto" w:fill="FFFFFF"/>
            <w:vAlign w:val="bottom"/>
          </w:tcPr>
          <w:p w14:paraId="5C2401FA"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У-2</w:t>
            </w:r>
          </w:p>
        </w:tc>
        <w:tc>
          <w:tcPr>
            <w:tcW w:w="479" w:type="dxa"/>
            <w:shd w:val="clear" w:color="auto" w:fill="FFFFFF"/>
            <w:vAlign w:val="bottom"/>
          </w:tcPr>
          <w:p w14:paraId="6C6CA890"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62</w:t>
            </w:r>
          </w:p>
        </w:tc>
        <w:tc>
          <w:tcPr>
            <w:tcW w:w="569" w:type="dxa"/>
            <w:shd w:val="clear" w:color="auto" w:fill="FFFFFF"/>
            <w:vAlign w:val="bottom"/>
          </w:tcPr>
          <w:p w14:paraId="1F8B86DD"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89*</w:t>
            </w:r>
          </w:p>
        </w:tc>
        <w:tc>
          <w:tcPr>
            <w:tcW w:w="565" w:type="dxa"/>
            <w:shd w:val="clear" w:color="auto" w:fill="FFFFFF"/>
            <w:vAlign w:val="bottom"/>
          </w:tcPr>
          <w:p w14:paraId="46C18B26"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283</w:t>
            </w:r>
          </w:p>
        </w:tc>
        <w:tc>
          <w:tcPr>
            <w:tcW w:w="558" w:type="dxa"/>
            <w:shd w:val="clear" w:color="auto" w:fill="FFFFFF"/>
            <w:vAlign w:val="bottom"/>
          </w:tcPr>
          <w:p w14:paraId="0A0419DC"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942</w:t>
            </w:r>
          </w:p>
        </w:tc>
        <w:tc>
          <w:tcPr>
            <w:tcW w:w="562" w:type="dxa"/>
            <w:shd w:val="clear" w:color="auto" w:fill="FFFFFF"/>
            <w:vAlign w:val="bottom"/>
          </w:tcPr>
          <w:p w14:paraId="5A60B35C"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1381</w:t>
            </w:r>
          </w:p>
        </w:tc>
        <w:tc>
          <w:tcPr>
            <w:tcW w:w="598" w:type="dxa"/>
            <w:shd w:val="clear" w:color="auto" w:fill="FFFFFF"/>
            <w:vAlign w:val="bottom"/>
          </w:tcPr>
          <w:p w14:paraId="4ACDB13B"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978“</w:t>
            </w:r>
          </w:p>
        </w:tc>
        <w:tc>
          <w:tcPr>
            <w:tcW w:w="544" w:type="dxa"/>
            <w:shd w:val="clear" w:color="auto" w:fill="FFFFFF"/>
            <w:vAlign w:val="bottom"/>
          </w:tcPr>
          <w:p w14:paraId="5014F1FC"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326</w:t>
            </w:r>
          </w:p>
        </w:tc>
        <w:tc>
          <w:tcPr>
            <w:tcW w:w="544" w:type="dxa"/>
            <w:shd w:val="clear" w:color="auto" w:fill="FFFFFF"/>
            <w:vAlign w:val="bottom"/>
          </w:tcPr>
          <w:p w14:paraId="4E942A4F"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968</w:t>
            </w:r>
          </w:p>
        </w:tc>
        <w:tc>
          <w:tcPr>
            <w:tcW w:w="598" w:type="dxa"/>
            <w:shd w:val="clear" w:color="auto" w:fill="FFFFFF"/>
            <w:vAlign w:val="bottom"/>
          </w:tcPr>
          <w:p w14:paraId="252809C5"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1782</w:t>
            </w:r>
          </w:p>
        </w:tc>
        <w:tc>
          <w:tcPr>
            <w:tcW w:w="619" w:type="dxa"/>
            <w:shd w:val="clear" w:color="auto" w:fill="FFFFFF"/>
            <w:vAlign w:val="bottom"/>
          </w:tcPr>
          <w:p w14:paraId="0C0B81B8"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2016</w:t>
            </w:r>
          </w:p>
        </w:tc>
        <w:tc>
          <w:tcPr>
            <w:tcW w:w="558" w:type="dxa"/>
            <w:shd w:val="clear" w:color="auto" w:fill="FFFFFF"/>
            <w:vAlign w:val="bottom"/>
          </w:tcPr>
          <w:p w14:paraId="307C1755"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1583</w:t>
            </w:r>
          </w:p>
        </w:tc>
        <w:tc>
          <w:tcPr>
            <w:tcW w:w="511" w:type="dxa"/>
            <w:shd w:val="clear" w:color="auto" w:fill="FFFFFF"/>
            <w:vAlign w:val="bottom"/>
          </w:tcPr>
          <w:p w14:paraId="2397E728"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467</w:t>
            </w:r>
          </w:p>
        </w:tc>
        <w:tc>
          <w:tcPr>
            <w:tcW w:w="950" w:type="dxa"/>
            <w:shd w:val="clear" w:color="auto" w:fill="FFFFFF"/>
            <w:vAlign w:val="bottom"/>
          </w:tcPr>
          <w:p w14:paraId="158BA3C1"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10877(10873)</w:t>
            </w:r>
          </w:p>
        </w:tc>
      </w:tr>
      <w:tr w:rsidR="005610C8" w:rsidRPr="005E779E" w14:paraId="40938991" w14:textId="77777777" w:rsidTr="005E779E">
        <w:trPr>
          <w:trHeight w:hRule="exact" w:val="198"/>
        </w:trPr>
        <w:tc>
          <w:tcPr>
            <w:tcW w:w="320" w:type="dxa"/>
            <w:shd w:val="clear" w:color="auto" w:fill="FFFFFF"/>
            <w:vAlign w:val="bottom"/>
          </w:tcPr>
          <w:p w14:paraId="469C879B"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лп</w:t>
            </w:r>
          </w:p>
        </w:tc>
        <w:tc>
          <w:tcPr>
            <w:tcW w:w="479" w:type="dxa"/>
            <w:shd w:val="clear" w:color="auto" w:fill="FFFFFF"/>
            <w:vAlign w:val="bottom"/>
          </w:tcPr>
          <w:p w14:paraId="7E0B0EE2"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16</w:t>
            </w:r>
          </w:p>
        </w:tc>
        <w:tc>
          <w:tcPr>
            <w:tcW w:w="569" w:type="dxa"/>
            <w:shd w:val="clear" w:color="auto" w:fill="FFFFFF"/>
            <w:vAlign w:val="bottom"/>
          </w:tcPr>
          <w:p w14:paraId="0947028B"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17</w:t>
            </w:r>
          </w:p>
        </w:tc>
        <w:tc>
          <w:tcPr>
            <w:tcW w:w="565" w:type="dxa"/>
            <w:shd w:val="clear" w:color="auto" w:fill="FFFFFF"/>
            <w:vAlign w:val="bottom"/>
          </w:tcPr>
          <w:p w14:paraId="04394D84"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55</w:t>
            </w:r>
          </w:p>
        </w:tc>
        <w:tc>
          <w:tcPr>
            <w:tcW w:w="558" w:type="dxa"/>
            <w:shd w:val="clear" w:color="auto" w:fill="FFFFFF"/>
            <w:vAlign w:val="bottom"/>
          </w:tcPr>
          <w:p w14:paraId="255F6B37"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173</w:t>
            </w:r>
          </w:p>
        </w:tc>
        <w:tc>
          <w:tcPr>
            <w:tcW w:w="562" w:type="dxa"/>
            <w:shd w:val="clear" w:color="auto" w:fill="FFFFFF"/>
            <w:vAlign w:val="bottom"/>
          </w:tcPr>
          <w:p w14:paraId="58A0E18A"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129</w:t>
            </w:r>
          </w:p>
        </w:tc>
        <w:tc>
          <w:tcPr>
            <w:tcW w:w="598" w:type="dxa"/>
            <w:shd w:val="clear" w:color="auto" w:fill="FFFFFF"/>
            <w:vAlign w:val="bottom"/>
          </w:tcPr>
          <w:p w14:paraId="2EF94CB1"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169</w:t>
            </w:r>
          </w:p>
        </w:tc>
        <w:tc>
          <w:tcPr>
            <w:tcW w:w="544" w:type="dxa"/>
            <w:shd w:val="clear" w:color="auto" w:fill="FFFFFF"/>
            <w:vAlign w:val="bottom"/>
          </w:tcPr>
          <w:p w14:paraId="2CFFE8CF"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26</w:t>
            </w:r>
          </w:p>
        </w:tc>
        <w:tc>
          <w:tcPr>
            <w:tcW w:w="544" w:type="dxa"/>
            <w:shd w:val="clear" w:color="auto" w:fill="FFFFFF"/>
            <w:vAlign w:val="bottom"/>
          </w:tcPr>
          <w:p w14:paraId="7093241D"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270</w:t>
            </w:r>
          </w:p>
        </w:tc>
        <w:tc>
          <w:tcPr>
            <w:tcW w:w="598" w:type="dxa"/>
            <w:shd w:val="clear" w:color="auto" w:fill="FFFFFF"/>
            <w:vAlign w:val="bottom"/>
          </w:tcPr>
          <w:p w14:paraId="57DD6159"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50</w:t>
            </w:r>
          </w:p>
        </w:tc>
        <w:tc>
          <w:tcPr>
            <w:tcW w:w="619" w:type="dxa"/>
            <w:shd w:val="clear" w:color="auto" w:fill="FFFFFF"/>
            <w:vAlign w:val="bottom"/>
          </w:tcPr>
          <w:p w14:paraId="62EC7410"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100</w:t>
            </w:r>
          </w:p>
        </w:tc>
        <w:tc>
          <w:tcPr>
            <w:tcW w:w="558" w:type="dxa"/>
            <w:shd w:val="clear" w:color="auto" w:fill="FFFFFF"/>
            <w:vAlign w:val="bottom"/>
          </w:tcPr>
          <w:p w14:paraId="242D76C3"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125</w:t>
            </w:r>
          </w:p>
        </w:tc>
        <w:tc>
          <w:tcPr>
            <w:tcW w:w="511" w:type="dxa"/>
            <w:shd w:val="clear" w:color="auto" w:fill="FFFFFF"/>
            <w:vAlign w:val="bottom"/>
          </w:tcPr>
          <w:p w14:paraId="7F31CE5C"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125</w:t>
            </w:r>
          </w:p>
        </w:tc>
        <w:tc>
          <w:tcPr>
            <w:tcW w:w="950" w:type="dxa"/>
            <w:shd w:val="clear" w:color="auto" w:fill="FFFFFF"/>
            <w:vAlign w:val="bottom"/>
          </w:tcPr>
          <w:p w14:paraId="34C6901D"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1255</w:t>
            </w:r>
          </w:p>
        </w:tc>
      </w:tr>
      <w:tr w:rsidR="005610C8" w:rsidRPr="005E779E" w14:paraId="7269EBFA" w14:textId="77777777" w:rsidTr="005E779E">
        <w:trPr>
          <w:trHeight w:hRule="exact" w:val="202"/>
        </w:trPr>
        <w:tc>
          <w:tcPr>
            <w:tcW w:w="320" w:type="dxa"/>
            <w:shd w:val="clear" w:color="auto" w:fill="FFFFFF"/>
            <w:vAlign w:val="center"/>
          </w:tcPr>
          <w:p w14:paraId="77116221"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СП</w:t>
            </w:r>
          </w:p>
        </w:tc>
        <w:tc>
          <w:tcPr>
            <w:tcW w:w="479" w:type="dxa"/>
            <w:shd w:val="clear" w:color="auto" w:fill="FFFFFF"/>
            <w:vAlign w:val="center"/>
          </w:tcPr>
          <w:p w14:paraId="70EE7FC0"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w:t>
            </w:r>
          </w:p>
        </w:tc>
        <w:tc>
          <w:tcPr>
            <w:tcW w:w="569" w:type="dxa"/>
            <w:shd w:val="clear" w:color="auto" w:fill="FFFFFF"/>
            <w:vAlign w:val="center"/>
          </w:tcPr>
          <w:p w14:paraId="08A7DB05"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w:t>
            </w:r>
          </w:p>
        </w:tc>
        <w:tc>
          <w:tcPr>
            <w:tcW w:w="565" w:type="dxa"/>
            <w:shd w:val="clear" w:color="auto" w:fill="FFFFFF"/>
            <w:vAlign w:val="center"/>
          </w:tcPr>
          <w:p w14:paraId="2A8A0272"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w:t>
            </w:r>
          </w:p>
        </w:tc>
        <w:tc>
          <w:tcPr>
            <w:tcW w:w="558" w:type="dxa"/>
            <w:shd w:val="clear" w:color="auto" w:fill="FFFFFF"/>
            <w:vAlign w:val="center"/>
          </w:tcPr>
          <w:p w14:paraId="0B8C88AA"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w:t>
            </w:r>
          </w:p>
        </w:tc>
        <w:tc>
          <w:tcPr>
            <w:tcW w:w="562" w:type="dxa"/>
            <w:shd w:val="clear" w:color="auto" w:fill="FFFFFF"/>
            <w:vAlign w:val="center"/>
          </w:tcPr>
          <w:p w14:paraId="29638C8B"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w:t>
            </w:r>
          </w:p>
        </w:tc>
        <w:tc>
          <w:tcPr>
            <w:tcW w:w="598" w:type="dxa"/>
            <w:shd w:val="clear" w:color="auto" w:fill="FFFFFF"/>
            <w:vAlign w:val="center"/>
          </w:tcPr>
          <w:p w14:paraId="6B137F78"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101</w:t>
            </w:r>
          </w:p>
        </w:tc>
        <w:tc>
          <w:tcPr>
            <w:tcW w:w="544" w:type="dxa"/>
            <w:shd w:val="clear" w:color="auto" w:fill="FFFFFF"/>
            <w:vAlign w:val="center"/>
          </w:tcPr>
          <w:p w14:paraId="660E09AA"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116</w:t>
            </w:r>
          </w:p>
        </w:tc>
        <w:tc>
          <w:tcPr>
            <w:tcW w:w="544" w:type="dxa"/>
            <w:shd w:val="clear" w:color="auto" w:fill="FFFFFF"/>
            <w:vAlign w:val="center"/>
          </w:tcPr>
          <w:p w14:paraId="4395AE53"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118</w:t>
            </w:r>
          </w:p>
        </w:tc>
        <w:tc>
          <w:tcPr>
            <w:tcW w:w="598" w:type="dxa"/>
            <w:shd w:val="clear" w:color="auto" w:fill="FFFFFF"/>
            <w:vAlign w:val="center"/>
          </w:tcPr>
          <w:p w14:paraId="604D91BF"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160</w:t>
            </w:r>
          </w:p>
        </w:tc>
        <w:tc>
          <w:tcPr>
            <w:tcW w:w="619" w:type="dxa"/>
            <w:shd w:val="clear" w:color="auto" w:fill="FFFFFF"/>
            <w:vAlign w:val="center"/>
          </w:tcPr>
          <w:p w14:paraId="1ADD464C"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210</w:t>
            </w:r>
          </w:p>
        </w:tc>
        <w:tc>
          <w:tcPr>
            <w:tcW w:w="558" w:type="dxa"/>
            <w:shd w:val="clear" w:color="auto" w:fill="FFFFFF"/>
            <w:vAlign w:val="center"/>
          </w:tcPr>
          <w:p w14:paraId="35DE9964"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126</w:t>
            </w:r>
          </w:p>
        </w:tc>
        <w:tc>
          <w:tcPr>
            <w:tcW w:w="511" w:type="dxa"/>
            <w:shd w:val="clear" w:color="auto" w:fill="FFFFFF"/>
            <w:vAlign w:val="center"/>
          </w:tcPr>
          <w:p w14:paraId="37AF6B9E"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w:t>
            </w:r>
          </w:p>
        </w:tc>
        <w:tc>
          <w:tcPr>
            <w:tcW w:w="950" w:type="dxa"/>
            <w:shd w:val="clear" w:color="auto" w:fill="FFFFFF"/>
            <w:vAlign w:val="center"/>
          </w:tcPr>
          <w:p w14:paraId="5FC06184"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831</w:t>
            </w:r>
          </w:p>
        </w:tc>
      </w:tr>
      <w:tr w:rsidR="005610C8" w:rsidRPr="005E779E" w14:paraId="0ECA525F" w14:textId="77777777" w:rsidTr="005E779E">
        <w:trPr>
          <w:trHeight w:hRule="exact" w:val="198"/>
        </w:trPr>
        <w:tc>
          <w:tcPr>
            <w:tcW w:w="320" w:type="dxa"/>
            <w:shd w:val="clear" w:color="auto" w:fill="FFFFFF"/>
            <w:vAlign w:val="center"/>
          </w:tcPr>
          <w:p w14:paraId="648ECCA8"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С-1</w:t>
            </w:r>
          </w:p>
        </w:tc>
        <w:tc>
          <w:tcPr>
            <w:tcW w:w="479" w:type="dxa"/>
            <w:shd w:val="clear" w:color="auto" w:fill="FFFFFF"/>
            <w:vAlign w:val="center"/>
          </w:tcPr>
          <w:p w14:paraId="554E262B"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w:t>
            </w:r>
          </w:p>
        </w:tc>
        <w:tc>
          <w:tcPr>
            <w:tcW w:w="569" w:type="dxa"/>
            <w:shd w:val="clear" w:color="auto" w:fill="FFFFFF"/>
            <w:vAlign w:val="center"/>
          </w:tcPr>
          <w:p w14:paraId="321B10FF"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w:t>
            </w:r>
          </w:p>
        </w:tc>
        <w:tc>
          <w:tcPr>
            <w:tcW w:w="565" w:type="dxa"/>
            <w:shd w:val="clear" w:color="auto" w:fill="FFFFFF"/>
            <w:vAlign w:val="center"/>
          </w:tcPr>
          <w:p w14:paraId="5367C427"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w:t>
            </w:r>
          </w:p>
        </w:tc>
        <w:tc>
          <w:tcPr>
            <w:tcW w:w="558" w:type="dxa"/>
            <w:shd w:val="clear" w:color="auto" w:fill="FFFFFF"/>
            <w:vAlign w:val="center"/>
          </w:tcPr>
          <w:p w14:paraId="4EDCEAE0"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w:t>
            </w:r>
          </w:p>
        </w:tc>
        <w:tc>
          <w:tcPr>
            <w:tcW w:w="562" w:type="dxa"/>
            <w:shd w:val="clear" w:color="auto" w:fill="FFFFFF"/>
            <w:vAlign w:val="center"/>
          </w:tcPr>
          <w:p w14:paraId="0C2B83FF"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w:t>
            </w:r>
          </w:p>
        </w:tc>
        <w:tc>
          <w:tcPr>
            <w:tcW w:w="598" w:type="dxa"/>
            <w:shd w:val="clear" w:color="auto" w:fill="FFFFFF"/>
            <w:vAlign w:val="center"/>
          </w:tcPr>
          <w:p w14:paraId="7C738155"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55</w:t>
            </w:r>
          </w:p>
        </w:tc>
        <w:tc>
          <w:tcPr>
            <w:tcW w:w="544" w:type="dxa"/>
            <w:shd w:val="clear" w:color="auto" w:fill="FFFFFF"/>
            <w:vAlign w:val="center"/>
          </w:tcPr>
          <w:p w14:paraId="7635A6D1"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44</w:t>
            </w:r>
          </w:p>
        </w:tc>
        <w:tc>
          <w:tcPr>
            <w:tcW w:w="544" w:type="dxa"/>
            <w:shd w:val="clear" w:color="auto" w:fill="FFFFFF"/>
            <w:vAlign w:val="center"/>
          </w:tcPr>
          <w:p w14:paraId="034D9365"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5</w:t>
            </w:r>
          </w:p>
        </w:tc>
        <w:tc>
          <w:tcPr>
            <w:tcW w:w="598" w:type="dxa"/>
            <w:shd w:val="clear" w:color="auto" w:fill="FFFFFF"/>
            <w:vAlign w:val="center"/>
          </w:tcPr>
          <w:p w14:paraId="521C39B8"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w:t>
            </w:r>
          </w:p>
        </w:tc>
        <w:tc>
          <w:tcPr>
            <w:tcW w:w="619" w:type="dxa"/>
            <w:shd w:val="clear" w:color="auto" w:fill="FFFFFF"/>
            <w:vAlign w:val="center"/>
          </w:tcPr>
          <w:p w14:paraId="1FDF323F"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w:t>
            </w:r>
          </w:p>
        </w:tc>
        <w:tc>
          <w:tcPr>
            <w:tcW w:w="558" w:type="dxa"/>
            <w:shd w:val="clear" w:color="auto" w:fill="FFFFFF"/>
            <w:vAlign w:val="center"/>
          </w:tcPr>
          <w:p w14:paraId="509762AB"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w:t>
            </w:r>
          </w:p>
        </w:tc>
        <w:tc>
          <w:tcPr>
            <w:tcW w:w="511" w:type="dxa"/>
            <w:shd w:val="clear" w:color="auto" w:fill="FFFFFF"/>
            <w:vAlign w:val="center"/>
          </w:tcPr>
          <w:p w14:paraId="5AB11469"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w:t>
            </w:r>
          </w:p>
        </w:tc>
        <w:tc>
          <w:tcPr>
            <w:tcW w:w="950" w:type="dxa"/>
            <w:shd w:val="clear" w:color="auto" w:fill="FFFFFF"/>
            <w:vAlign w:val="center"/>
          </w:tcPr>
          <w:p w14:paraId="5668D543" w14:textId="77777777" w:rsidR="005610C8" w:rsidRPr="005E779E" w:rsidRDefault="005610C8" w:rsidP="00DC550A">
            <w:pPr>
              <w:pStyle w:val="affe"/>
              <w:ind w:right="320"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99</w:t>
            </w:r>
          </w:p>
        </w:tc>
      </w:tr>
      <w:tr w:rsidR="005610C8" w:rsidRPr="005E779E" w14:paraId="00E2A0B1" w14:textId="77777777" w:rsidTr="005E779E">
        <w:trPr>
          <w:trHeight w:hRule="exact" w:val="202"/>
        </w:trPr>
        <w:tc>
          <w:tcPr>
            <w:tcW w:w="320" w:type="dxa"/>
            <w:shd w:val="clear" w:color="auto" w:fill="FFFFFF"/>
            <w:vAlign w:val="center"/>
          </w:tcPr>
          <w:p w14:paraId="02C6B0A0"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С-2</w:t>
            </w:r>
          </w:p>
        </w:tc>
        <w:tc>
          <w:tcPr>
            <w:tcW w:w="479" w:type="dxa"/>
            <w:shd w:val="clear" w:color="auto" w:fill="FFFFFF"/>
            <w:vAlign w:val="center"/>
          </w:tcPr>
          <w:p w14:paraId="1B72A0C0"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w:t>
            </w:r>
          </w:p>
        </w:tc>
        <w:tc>
          <w:tcPr>
            <w:tcW w:w="569" w:type="dxa"/>
            <w:shd w:val="clear" w:color="auto" w:fill="FFFFFF"/>
            <w:vAlign w:val="center"/>
          </w:tcPr>
          <w:p w14:paraId="178DA931"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w:t>
            </w:r>
          </w:p>
        </w:tc>
        <w:tc>
          <w:tcPr>
            <w:tcW w:w="565" w:type="dxa"/>
            <w:shd w:val="clear" w:color="auto" w:fill="FFFFFF"/>
            <w:vAlign w:val="center"/>
          </w:tcPr>
          <w:p w14:paraId="30A07333"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w:t>
            </w:r>
          </w:p>
        </w:tc>
        <w:tc>
          <w:tcPr>
            <w:tcW w:w="558" w:type="dxa"/>
            <w:shd w:val="clear" w:color="auto" w:fill="FFFFFF"/>
            <w:vAlign w:val="center"/>
          </w:tcPr>
          <w:p w14:paraId="1670406D"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w:t>
            </w:r>
          </w:p>
        </w:tc>
        <w:tc>
          <w:tcPr>
            <w:tcW w:w="562" w:type="dxa"/>
            <w:shd w:val="clear" w:color="auto" w:fill="FFFFFF"/>
            <w:vAlign w:val="center"/>
          </w:tcPr>
          <w:p w14:paraId="6B64415A"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w:t>
            </w:r>
          </w:p>
        </w:tc>
        <w:tc>
          <w:tcPr>
            <w:tcW w:w="598" w:type="dxa"/>
            <w:shd w:val="clear" w:color="auto" w:fill="FFFFFF"/>
            <w:vAlign w:val="center"/>
          </w:tcPr>
          <w:p w14:paraId="002C1CE6"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w:t>
            </w:r>
          </w:p>
        </w:tc>
        <w:tc>
          <w:tcPr>
            <w:tcW w:w="544" w:type="dxa"/>
            <w:shd w:val="clear" w:color="auto" w:fill="FFFFFF"/>
            <w:vAlign w:val="center"/>
          </w:tcPr>
          <w:p w14:paraId="375D5921"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w:t>
            </w:r>
          </w:p>
        </w:tc>
        <w:tc>
          <w:tcPr>
            <w:tcW w:w="544" w:type="dxa"/>
            <w:shd w:val="clear" w:color="auto" w:fill="FFFFFF"/>
            <w:vAlign w:val="center"/>
          </w:tcPr>
          <w:p w14:paraId="13311BF6"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w:t>
            </w:r>
          </w:p>
        </w:tc>
        <w:tc>
          <w:tcPr>
            <w:tcW w:w="598" w:type="dxa"/>
            <w:shd w:val="clear" w:color="auto" w:fill="FFFFFF"/>
            <w:vAlign w:val="center"/>
          </w:tcPr>
          <w:p w14:paraId="5E0A6D7A"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w:t>
            </w:r>
          </w:p>
        </w:tc>
        <w:tc>
          <w:tcPr>
            <w:tcW w:w="619" w:type="dxa"/>
            <w:shd w:val="clear" w:color="auto" w:fill="FFFFFF"/>
            <w:vAlign w:val="center"/>
          </w:tcPr>
          <w:p w14:paraId="5116DB9A"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w:t>
            </w:r>
          </w:p>
        </w:tc>
        <w:tc>
          <w:tcPr>
            <w:tcW w:w="558" w:type="dxa"/>
            <w:shd w:val="clear" w:color="auto" w:fill="FFFFFF"/>
            <w:vAlign w:val="center"/>
          </w:tcPr>
          <w:p w14:paraId="74F38D91"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2</w:t>
            </w:r>
          </w:p>
        </w:tc>
        <w:tc>
          <w:tcPr>
            <w:tcW w:w="511" w:type="dxa"/>
            <w:shd w:val="clear" w:color="auto" w:fill="FFFFFF"/>
            <w:vAlign w:val="center"/>
          </w:tcPr>
          <w:p w14:paraId="3E8ADFB9"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365</w:t>
            </w:r>
          </w:p>
        </w:tc>
        <w:tc>
          <w:tcPr>
            <w:tcW w:w="950" w:type="dxa"/>
            <w:shd w:val="clear" w:color="auto" w:fill="FFFFFF"/>
            <w:vAlign w:val="center"/>
          </w:tcPr>
          <w:p w14:paraId="70B59359"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367</w:t>
            </w:r>
          </w:p>
        </w:tc>
      </w:tr>
      <w:tr w:rsidR="005610C8" w:rsidRPr="005E779E" w14:paraId="6F2CF854" w14:textId="77777777" w:rsidTr="005E779E">
        <w:trPr>
          <w:trHeight w:hRule="exact" w:val="202"/>
        </w:trPr>
        <w:tc>
          <w:tcPr>
            <w:tcW w:w="320" w:type="dxa"/>
            <w:shd w:val="clear" w:color="auto" w:fill="FFFFFF"/>
            <w:vAlign w:val="center"/>
          </w:tcPr>
          <w:p w14:paraId="113B5463"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ВС</w:t>
            </w:r>
          </w:p>
        </w:tc>
        <w:tc>
          <w:tcPr>
            <w:tcW w:w="479" w:type="dxa"/>
            <w:shd w:val="clear" w:color="auto" w:fill="FFFFFF"/>
            <w:vAlign w:val="center"/>
          </w:tcPr>
          <w:p w14:paraId="2C210247"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w:t>
            </w:r>
          </w:p>
        </w:tc>
        <w:tc>
          <w:tcPr>
            <w:tcW w:w="569" w:type="dxa"/>
            <w:shd w:val="clear" w:color="auto" w:fill="FFFFFF"/>
            <w:vAlign w:val="center"/>
          </w:tcPr>
          <w:p w14:paraId="0961387F"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w:t>
            </w:r>
          </w:p>
        </w:tc>
        <w:tc>
          <w:tcPr>
            <w:tcW w:w="565" w:type="dxa"/>
            <w:shd w:val="clear" w:color="auto" w:fill="FFFFFF"/>
            <w:vAlign w:val="center"/>
          </w:tcPr>
          <w:p w14:paraId="71C12209"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w:t>
            </w:r>
          </w:p>
        </w:tc>
        <w:tc>
          <w:tcPr>
            <w:tcW w:w="558" w:type="dxa"/>
            <w:shd w:val="clear" w:color="auto" w:fill="FFFFFF"/>
            <w:vAlign w:val="center"/>
          </w:tcPr>
          <w:p w14:paraId="194396D1"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w:t>
            </w:r>
          </w:p>
        </w:tc>
        <w:tc>
          <w:tcPr>
            <w:tcW w:w="562" w:type="dxa"/>
            <w:shd w:val="clear" w:color="auto" w:fill="FFFFFF"/>
            <w:vAlign w:val="center"/>
          </w:tcPr>
          <w:p w14:paraId="50FD7C35"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4</w:t>
            </w:r>
          </w:p>
        </w:tc>
        <w:tc>
          <w:tcPr>
            <w:tcW w:w="598" w:type="dxa"/>
            <w:shd w:val="clear" w:color="auto" w:fill="FFFFFF"/>
            <w:vAlign w:val="center"/>
          </w:tcPr>
          <w:p w14:paraId="2792E482"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122</w:t>
            </w:r>
          </w:p>
        </w:tc>
        <w:tc>
          <w:tcPr>
            <w:tcW w:w="544" w:type="dxa"/>
            <w:shd w:val="clear" w:color="auto" w:fill="FFFFFF"/>
            <w:vAlign w:val="center"/>
          </w:tcPr>
          <w:p w14:paraId="49550E3E"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169</w:t>
            </w:r>
          </w:p>
        </w:tc>
        <w:tc>
          <w:tcPr>
            <w:tcW w:w="544" w:type="dxa"/>
            <w:shd w:val="clear" w:color="auto" w:fill="FFFFFF"/>
            <w:vAlign w:val="center"/>
          </w:tcPr>
          <w:p w14:paraId="5F103125"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298</w:t>
            </w:r>
          </w:p>
        </w:tc>
        <w:tc>
          <w:tcPr>
            <w:tcW w:w="598" w:type="dxa"/>
            <w:shd w:val="clear" w:color="auto" w:fill="FFFFFF"/>
            <w:vAlign w:val="center"/>
          </w:tcPr>
          <w:p w14:paraId="0B3A435E"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w:t>
            </w:r>
          </w:p>
        </w:tc>
        <w:tc>
          <w:tcPr>
            <w:tcW w:w="619" w:type="dxa"/>
            <w:shd w:val="clear" w:color="auto" w:fill="FFFFFF"/>
            <w:vAlign w:val="center"/>
          </w:tcPr>
          <w:p w14:paraId="55372857"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w:t>
            </w:r>
          </w:p>
        </w:tc>
        <w:tc>
          <w:tcPr>
            <w:tcW w:w="558" w:type="dxa"/>
            <w:shd w:val="clear" w:color="auto" w:fill="FFFFFF"/>
            <w:vAlign w:val="center"/>
          </w:tcPr>
          <w:p w14:paraId="40137E7A"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w:t>
            </w:r>
          </w:p>
        </w:tc>
        <w:tc>
          <w:tcPr>
            <w:tcW w:w="511" w:type="dxa"/>
            <w:shd w:val="clear" w:color="auto" w:fill="FFFFFF"/>
            <w:vAlign w:val="center"/>
          </w:tcPr>
          <w:p w14:paraId="46E7E53D"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w:t>
            </w:r>
          </w:p>
        </w:tc>
        <w:tc>
          <w:tcPr>
            <w:tcW w:w="950" w:type="dxa"/>
            <w:shd w:val="clear" w:color="auto" w:fill="FFFFFF"/>
            <w:vAlign w:val="center"/>
          </w:tcPr>
          <w:p w14:paraId="4952239C"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593</w:t>
            </w:r>
          </w:p>
        </w:tc>
      </w:tr>
      <w:tr w:rsidR="005610C8" w:rsidRPr="005E779E" w14:paraId="1DF2BA59" w14:textId="77777777" w:rsidTr="005E779E">
        <w:trPr>
          <w:trHeight w:hRule="exact" w:val="184"/>
        </w:trPr>
        <w:tc>
          <w:tcPr>
            <w:tcW w:w="799" w:type="dxa"/>
            <w:gridSpan w:val="2"/>
            <w:shd w:val="clear" w:color="auto" w:fill="FFFFFF"/>
            <w:vAlign w:val="bottom"/>
          </w:tcPr>
          <w:p w14:paraId="2B3F947F"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Всего 78</w:t>
            </w:r>
          </w:p>
        </w:tc>
        <w:tc>
          <w:tcPr>
            <w:tcW w:w="569" w:type="dxa"/>
            <w:shd w:val="clear" w:color="auto" w:fill="FFFFFF"/>
            <w:vAlign w:val="bottom"/>
          </w:tcPr>
          <w:p w14:paraId="413087DB"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106</w:t>
            </w:r>
          </w:p>
        </w:tc>
        <w:tc>
          <w:tcPr>
            <w:tcW w:w="565" w:type="dxa"/>
            <w:shd w:val="clear" w:color="auto" w:fill="FFFFFF"/>
            <w:vAlign w:val="bottom"/>
          </w:tcPr>
          <w:p w14:paraId="7DD8AD7A"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338</w:t>
            </w:r>
          </w:p>
        </w:tc>
        <w:tc>
          <w:tcPr>
            <w:tcW w:w="558" w:type="dxa"/>
            <w:shd w:val="clear" w:color="auto" w:fill="FFFFFF"/>
            <w:vAlign w:val="bottom"/>
          </w:tcPr>
          <w:p w14:paraId="7C84281D"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1115</w:t>
            </w:r>
          </w:p>
        </w:tc>
        <w:tc>
          <w:tcPr>
            <w:tcW w:w="562" w:type="dxa"/>
            <w:shd w:val="clear" w:color="auto" w:fill="FFFFFF"/>
            <w:vAlign w:val="bottom"/>
          </w:tcPr>
          <w:p w14:paraId="7503D80B"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1514</w:t>
            </w:r>
          </w:p>
        </w:tc>
        <w:tc>
          <w:tcPr>
            <w:tcW w:w="598" w:type="dxa"/>
            <w:shd w:val="clear" w:color="auto" w:fill="FFFFFF"/>
            <w:vAlign w:val="bottom"/>
          </w:tcPr>
          <w:p w14:paraId="2F841369"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1425</w:t>
            </w:r>
          </w:p>
        </w:tc>
        <w:tc>
          <w:tcPr>
            <w:tcW w:w="544" w:type="dxa"/>
            <w:shd w:val="clear" w:color="auto" w:fill="FFFFFF"/>
            <w:vAlign w:val="bottom"/>
          </w:tcPr>
          <w:p w14:paraId="78E96EE5"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681</w:t>
            </w:r>
          </w:p>
        </w:tc>
        <w:tc>
          <w:tcPr>
            <w:tcW w:w="544" w:type="dxa"/>
            <w:shd w:val="clear" w:color="auto" w:fill="FFFFFF"/>
            <w:vAlign w:val="bottom"/>
          </w:tcPr>
          <w:p w14:paraId="2E503989"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1659</w:t>
            </w:r>
          </w:p>
        </w:tc>
        <w:tc>
          <w:tcPr>
            <w:tcW w:w="598" w:type="dxa"/>
            <w:shd w:val="clear" w:color="auto" w:fill="FFFFFF"/>
            <w:vAlign w:val="bottom"/>
          </w:tcPr>
          <w:p w14:paraId="56BBF770"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1992</w:t>
            </w:r>
          </w:p>
        </w:tc>
        <w:tc>
          <w:tcPr>
            <w:tcW w:w="619" w:type="dxa"/>
            <w:shd w:val="clear" w:color="auto" w:fill="FFFFFF"/>
            <w:vAlign w:val="bottom"/>
          </w:tcPr>
          <w:p w14:paraId="04106626"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2326</w:t>
            </w:r>
          </w:p>
        </w:tc>
        <w:tc>
          <w:tcPr>
            <w:tcW w:w="558" w:type="dxa"/>
            <w:shd w:val="clear" w:color="auto" w:fill="FFFFFF"/>
            <w:vAlign w:val="bottom"/>
          </w:tcPr>
          <w:p w14:paraId="042B66D9"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1836</w:t>
            </w:r>
          </w:p>
        </w:tc>
        <w:tc>
          <w:tcPr>
            <w:tcW w:w="511" w:type="dxa"/>
            <w:shd w:val="clear" w:color="auto" w:fill="FFFFFF"/>
            <w:vAlign w:val="bottom"/>
          </w:tcPr>
          <w:p w14:paraId="1015384D"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957</w:t>
            </w:r>
          </w:p>
        </w:tc>
        <w:tc>
          <w:tcPr>
            <w:tcW w:w="950" w:type="dxa"/>
            <w:shd w:val="clear" w:color="auto" w:fill="FFFFFF"/>
            <w:vAlign w:val="bottom"/>
          </w:tcPr>
          <w:p w14:paraId="191D8E8F"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14027</w:t>
            </w:r>
          </w:p>
        </w:tc>
      </w:tr>
    </w:tbl>
    <w:p w14:paraId="03E3BD3B" w14:textId="77777777" w:rsidR="005610C8" w:rsidRPr="005E779E" w:rsidRDefault="005610C8" w:rsidP="005610C8">
      <w:pPr>
        <w:pStyle w:val="aff1"/>
        <w:spacing w:line="240" w:lineRule="auto"/>
        <w:rPr>
          <w:rFonts w:ascii="Times New Roman" w:hAnsi="Times New Roman" w:cs="Times New Roman"/>
          <w:i w:val="0"/>
          <w:iCs w:val="0"/>
          <w:color w:val="0070C0"/>
          <w:sz w:val="16"/>
          <w:szCs w:val="16"/>
        </w:rPr>
      </w:pPr>
      <w:r w:rsidRPr="005E779E">
        <w:rPr>
          <w:rFonts w:ascii="Times New Roman" w:hAnsi="Times New Roman" w:cs="Times New Roman"/>
          <w:i w:val="0"/>
          <w:iCs w:val="0"/>
          <w:color w:val="0070C0"/>
          <w:sz w:val="16"/>
          <w:szCs w:val="16"/>
        </w:rPr>
        <w:t>"По другим данным 85</w:t>
      </w:r>
    </w:p>
    <w:p w14:paraId="52DF2C31" w14:textId="77777777" w:rsidR="005610C8" w:rsidRPr="005E779E" w:rsidRDefault="005610C8" w:rsidP="005610C8">
      <w:pPr>
        <w:spacing w:after="0" w:line="240" w:lineRule="auto"/>
        <w:jc w:val="both"/>
        <w:rPr>
          <w:rFonts w:ascii="Times New Roman" w:hAnsi="Times New Roman"/>
          <w:color w:val="0070C0"/>
          <w:sz w:val="16"/>
          <w:szCs w:val="16"/>
        </w:rPr>
      </w:pPr>
      <w:r w:rsidRPr="005E779E">
        <w:rPr>
          <w:rFonts w:ascii="Times New Roman" w:hAnsi="Times New Roman"/>
          <w:color w:val="0070C0"/>
          <w:sz w:val="16"/>
          <w:szCs w:val="16"/>
        </w:rPr>
        <w:t>" По другим данным в это количество вошли 15ОВТС (24969).</w:t>
      </w:r>
    </w:p>
    <w:p w14:paraId="56AF30A3" w14:textId="77777777" w:rsidR="005610C8" w:rsidRPr="005E779E" w:rsidRDefault="005610C8" w:rsidP="005610C8">
      <w:pPr>
        <w:spacing w:after="0" w:line="240" w:lineRule="auto"/>
        <w:jc w:val="both"/>
        <w:rPr>
          <w:rFonts w:ascii="Times New Roman" w:hAnsi="Times New Roman"/>
          <w:color w:val="0070C0"/>
          <w:sz w:val="16"/>
          <w:szCs w:val="16"/>
        </w:rPr>
      </w:pPr>
    </w:p>
    <w:p w14:paraId="4025BF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1931 г. ВВС РККА получили первые бомбы ФАБ-100, ФАБ-250, ФАБ- 500 и ФАБ-1000. Через год их производство было налажено, а выпуск АФ-82 прекратили. Четырехмоторные ТБ-3 уже получили возможность нести весь этот ассортимент. Самая большая бомба, ФАБ- 1000 (она же АФ-1000), подвешивалась снаружи под фюзеляжем. На полигонных испытаниях под Балаклавой такую бомбу сбросили на бетонный каземат с потолком толщиной больше полутора метров. Взрыв попросту сдвинул всю верхнюю часть строения. ФАБ-1000 давала воронку диаметром 17 м и глубиной 4 м. Но основным оружием для ТБ-3 считались "сотки", два десятка которых он нес на кассетных держателях в фюзеляже (12036).</w:t>
      </w:r>
    </w:p>
    <w:p w14:paraId="0335D8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9965F60" w14:textId="77777777" w:rsidR="005610C8" w:rsidRPr="005E779E" w:rsidRDefault="005610C8" w:rsidP="005610C8">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38D5A920" w14:textId="77777777" w:rsidR="005610C8" w:rsidRPr="005E779E" w:rsidRDefault="005610C8" w:rsidP="005610C8">
      <w:pPr>
        <w:autoSpaceDE w:val="0"/>
        <w:autoSpaceDN w:val="0"/>
        <w:adjustRightInd w:val="0"/>
        <w:spacing w:after="0" w:line="240" w:lineRule="auto"/>
        <w:jc w:val="both"/>
        <w:rPr>
          <w:rFonts w:ascii="Times New Roman" w:hAnsi="Times New Roman"/>
          <w:iCs/>
          <w:color w:val="000000" w:themeColor="text1"/>
          <w:sz w:val="16"/>
          <w:szCs w:val="16"/>
        </w:rPr>
      </w:pPr>
    </w:p>
    <w:p w14:paraId="77C5F824" w14:textId="77777777" w:rsidR="005610C8" w:rsidRPr="005E779E" w:rsidRDefault="005610C8" w:rsidP="005610C8">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новому 1931 году в ВВС РККА имелось уже 52 новых бомбардировщика ТБ-1, 45 из них исправных. Продолжалось доукомплектование 11-й бригады. Ее экипажи стали принимать самолеты в Москве, на заводском аэродроме. Так, в мае 1931 г. ТБ-1 оттуда перегоняли летчики 51-й и 59-й эскадрилий. Ставилась задача в кратчайшие сроки довести бригаду до полной боеготовности. Учебные полеты велись очень интенсивно. Не обходилось и без аварий. Командир одного из отрядов 51-й эскадрильи Павлов ночью потерял ориентацию в пространстве; самолет врезался в землю. По счастью, экипаж отделался лишь ранениями. В подмосковном Монино формировали сразу две бригады - 17-ю и 23-ю. К этому времени тяжелобомбардировочные бригады стали иметь по четыре эскадрильи по 12 самолетов в каждой (12001).</w:t>
      </w:r>
    </w:p>
    <w:p w14:paraId="00CD7890" w14:textId="77777777" w:rsidR="005610C8" w:rsidRPr="005E779E" w:rsidRDefault="005610C8" w:rsidP="005610C8">
      <w:pPr>
        <w:autoSpaceDE w:val="0"/>
        <w:autoSpaceDN w:val="0"/>
        <w:adjustRightInd w:val="0"/>
        <w:spacing w:after="0" w:line="240" w:lineRule="auto"/>
        <w:jc w:val="both"/>
        <w:rPr>
          <w:rFonts w:ascii="Times New Roman" w:hAnsi="Times New Roman"/>
          <w:color w:val="000000" w:themeColor="text1"/>
          <w:sz w:val="16"/>
          <w:szCs w:val="16"/>
        </w:rPr>
      </w:pPr>
    </w:p>
    <w:p w14:paraId="6596ECF9" w14:textId="77777777" w:rsidR="005610C8" w:rsidRPr="005E779E" w:rsidRDefault="005610C8" w:rsidP="005610C8">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Новому 1931 году в ВВС РККА имелось уже 52 новых бомбардировщика ТБ-1, 45 из которых были исправны. 57-я эскадрилья получила первые ТБ-1 в августе 1930 г., 55-я - в октябре. Продолжалось доукомплектование 11-й бригады. После того, как обучили первые экипажи, самолеты стали принимать в Москве, прямо на заводском аэродроме. Так, в мае 1931 г. оттуда перегоняли машины летчики 51-й и 59-й эскадрилий. В Подмосковье, в Монино, формировали сразу две бригады - 17-ю и 23-ю. К этому времени тяжелобомбардировочные бригады стали иметь по четыре эскадрильи; общий штат составлял 50 бомбардировщиков (12024).</w:t>
      </w:r>
    </w:p>
    <w:p w14:paraId="6A0E034B" w14:textId="77777777" w:rsidR="005610C8" w:rsidRPr="005E779E" w:rsidRDefault="005610C8" w:rsidP="005610C8">
      <w:pPr>
        <w:autoSpaceDE w:val="0"/>
        <w:autoSpaceDN w:val="0"/>
        <w:adjustRightInd w:val="0"/>
        <w:spacing w:after="0" w:line="240" w:lineRule="auto"/>
        <w:jc w:val="both"/>
        <w:rPr>
          <w:rFonts w:ascii="Times New Roman" w:hAnsi="Times New Roman"/>
          <w:color w:val="000000" w:themeColor="text1"/>
          <w:sz w:val="16"/>
          <w:szCs w:val="16"/>
        </w:rPr>
      </w:pPr>
    </w:p>
    <w:p w14:paraId="43C2BC72" w14:textId="77777777" w:rsidR="008F5899" w:rsidRPr="005E779E" w:rsidRDefault="008F5899"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20C445F9" w14:textId="77777777" w:rsidR="008F5899" w:rsidRPr="005E779E" w:rsidRDefault="008F589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4BD22CC" w14:textId="77777777" w:rsidR="008F5899" w:rsidRPr="005E779E" w:rsidRDefault="008F5899" w:rsidP="000B7A6C">
      <w:pPr>
        <w:pStyle w:val="ae"/>
        <w:shd w:val="clear" w:color="auto" w:fill="FFFFFF"/>
        <w:spacing w:before="0" w:after="0"/>
        <w:jc w:val="both"/>
        <w:rPr>
          <w:color w:val="000000" w:themeColor="text1"/>
          <w:sz w:val="16"/>
          <w:szCs w:val="16"/>
        </w:rPr>
      </w:pPr>
      <w:r w:rsidRPr="005E779E">
        <w:rPr>
          <w:color w:val="000000" w:themeColor="text1"/>
          <w:sz w:val="16"/>
          <w:szCs w:val="16"/>
        </w:rPr>
        <w:t>К началу 1931 года Авиационный завод № 1 имени Осоавиахима был огромным предприятием, включавшим в себя не только самолетостроение, но и велосипедное, колесное, радиаторное, приборостроительное и другие производства. Все это находилось на одной территории и сильно мешало выпуску основной продукции – аэропланов. С мая 1931 года началось перевооружение боевой авиации страны.</w:t>
      </w:r>
    </w:p>
    <w:p w14:paraId="06ECAE93" w14:textId="77777777" w:rsidR="008F5899" w:rsidRPr="005E779E" w:rsidRDefault="008F5899" w:rsidP="000B7A6C">
      <w:pPr>
        <w:pStyle w:val="ae"/>
        <w:shd w:val="clear" w:color="auto" w:fill="FFFFFF"/>
        <w:spacing w:before="0" w:after="0"/>
        <w:jc w:val="both"/>
        <w:rPr>
          <w:color w:val="000000" w:themeColor="text1"/>
          <w:sz w:val="16"/>
          <w:szCs w:val="16"/>
        </w:rPr>
      </w:pPr>
      <w:r w:rsidRPr="005E779E">
        <w:rPr>
          <w:color w:val="000000" w:themeColor="text1"/>
          <w:sz w:val="16"/>
          <w:szCs w:val="16"/>
        </w:rPr>
        <w:t>Предполагалось создать 12 легкобомбардировочных эскадрилий (по 30 самолетов) а также 9 разведывательных эскадрилий и 4 корпусных отряда, вооруженных самолетами Р-5. Для этого нужно было модернизировать завод № 1. Из него исключили велосипедное, колесное, радиаторное, приборостроительное производства. Все эти цеха стали самостоятельными предприятиями.</w:t>
      </w:r>
    </w:p>
    <w:p w14:paraId="40F1F54D" w14:textId="77777777" w:rsidR="008F5899" w:rsidRPr="005E779E" w:rsidRDefault="008F5899" w:rsidP="000B7A6C">
      <w:pPr>
        <w:pStyle w:val="ae"/>
        <w:shd w:val="clear" w:color="auto" w:fill="FFFFFF"/>
        <w:spacing w:before="0" w:after="0"/>
        <w:jc w:val="both"/>
        <w:rPr>
          <w:color w:val="000000" w:themeColor="text1"/>
          <w:sz w:val="16"/>
          <w:szCs w:val="16"/>
        </w:rPr>
      </w:pPr>
      <w:r w:rsidRPr="005E779E">
        <w:rPr>
          <w:color w:val="000000" w:themeColor="text1"/>
          <w:sz w:val="16"/>
          <w:szCs w:val="16"/>
        </w:rPr>
        <w:t>Самолетостроительный завод получил новую территорию около центрального аэродрома, где было возведено несколько новых корпусов. В них разместились столярный, малярный, обойный и сборочный цеха и вновь созданный фюзеляжно-сварочный цех, а также экспедиция, тир и летно-испытательная станция. На старой территории остались отпочковавшиеся завод № 32 (вооружение, колеса, радиаторы) и металлургический завод № 34 (литье, прокатка специальных авиаматериалов).</w:t>
      </w:r>
    </w:p>
    <w:p w14:paraId="1D5C51C8" w14:textId="77777777" w:rsidR="008F5899" w:rsidRPr="005E779E" w:rsidRDefault="008F5899" w:rsidP="000B7A6C">
      <w:pPr>
        <w:pStyle w:val="ae"/>
        <w:shd w:val="clear" w:color="auto" w:fill="FFFFFF"/>
        <w:spacing w:before="0" w:after="0"/>
        <w:jc w:val="both"/>
        <w:rPr>
          <w:color w:val="000000" w:themeColor="text1"/>
          <w:sz w:val="16"/>
          <w:szCs w:val="16"/>
        </w:rPr>
      </w:pPr>
      <w:r w:rsidRPr="005E779E">
        <w:rPr>
          <w:color w:val="000000" w:themeColor="text1"/>
          <w:sz w:val="16"/>
          <w:szCs w:val="16"/>
        </w:rPr>
        <w:t>На заводе № 1 началась большая реконструкция, рассчитанная на выпуск 5 000 самолетов в год, а также малая (промежуточная) реконструкция, позволявшая строить до 1200 самолетов, а при трехсменной работе - в полтора раза больше. Малая реконструкция предусматривала введение поточной системы производства, изготовление новых стапелей и различных приспособлений. Но строительство самолетов в мире так стремительно развивалось, а снабжение нашего завода, в том числе и моторами так отставало, что производственная программа в 1931 году менялась 4 раза. И выполнена была только по выпуску истребителей И-3 и И-7. Выпуск самолетов Р-5 и И-5 составил лишь 74 процента от планового. На завод была направлена партийная комиссия. Она составила акт, который сохранился и хорошо отражает положение дел не только в передовом авиационном производстве, но, пожалуй, и во всей экономике страны в целом.</w:t>
      </w:r>
    </w:p>
    <w:p w14:paraId="79BA3214" w14:textId="77777777" w:rsidR="008F5899" w:rsidRPr="005E779E" w:rsidRDefault="008F5899" w:rsidP="000B7A6C">
      <w:pPr>
        <w:pStyle w:val="ae"/>
        <w:shd w:val="clear" w:color="auto" w:fill="FFFFFF"/>
        <w:spacing w:before="0" w:after="0"/>
        <w:jc w:val="both"/>
        <w:rPr>
          <w:color w:val="000000" w:themeColor="text1"/>
          <w:sz w:val="16"/>
          <w:szCs w:val="16"/>
        </w:rPr>
      </w:pPr>
      <w:r w:rsidRPr="005E779E">
        <w:rPr>
          <w:color w:val="000000" w:themeColor="text1"/>
          <w:sz w:val="16"/>
          <w:szCs w:val="16"/>
        </w:rPr>
        <w:t>Среди причин невыполнения плана были указаны неразбериха и лихорадка в изменениях программы. Неудовлетворительное по срокам и неполное поступление моторов. Пуск в серийное производство сырых конструкций самолетов, что вело к частому изменению чертежей и деталей. Например, по самолету И-5 за год было внесено 914 изменений, а по чертежам 270 000. Поставка недоброкачественных узлов, деталей и материалов. Однажды из всех цехов пришлось изъять 50 тысяч готовых деталей и все направить в лабораторию для испытания на прочность. Отмечен огромный перерасход материалов из-за непродуманного заказа размеров заготовок. А кроме того нерациональное использование мощностей цехов, высокий процент простоев (11 процентов от полной мощности). И в то же время большое количество сверхурочных работ (тоже 11 процентов от общего рабочего времени).</w:t>
      </w:r>
    </w:p>
    <w:p w14:paraId="772033F4" w14:textId="77777777" w:rsidR="008F5899" w:rsidRPr="005E779E" w:rsidRDefault="008F5899" w:rsidP="000B7A6C">
      <w:pPr>
        <w:pStyle w:val="ae"/>
        <w:shd w:val="clear" w:color="auto" w:fill="FFFFFF"/>
        <w:spacing w:before="0" w:after="0"/>
        <w:jc w:val="both"/>
        <w:rPr>
          <w:color w:val="000000" w:themeColor="text1"/>
          <w:sz w:val="16"/>
          <w:szCs w:val="16"/>
        </w:rPr>
      </w:pPr>
      <w:r w:rsidRPr="005E779E">
        <w:rPr>
          <w:color w:val="000000" w:themeColor="text1"/>
          <w:sz w:val="16"/>
          <w:szCs w:val="16"/>
        </w:rPr>
        <w:t>Велика была текучесть руководящего технического персонала. За год сменилось 4 начальника сборочного цеха, 3 - механического, 3 - слесарного и примерно столько же в отделах завода. Был отмечен высокий процент брака в инструментальном цехе.</w:t>
      </w:r>
    </w:p>
    <w:p w14:paraId="2976203D" w14:textId="77777777" w:rsidR="008F5899" w:rsidRPr="005E779E" w:rsidRDefault="008F5899" w:rsidP="000B7A6C">
      <w:pPr>
        <w:pStyle w:val="ae"/>
        <w:shd w:val="clear" w:color="auto" w:fill="FFFFFF"/>
        <w:spacing w:before="0" w:after="0"/>
        <w:jc w:val="both"/>
        <w:rPr>
          <w:color w:val="000000" w:themeColor="text1"/>
          <w:sz w:val="16"/>
          <w:szCs w:val="16"/>
        </w:rPr>
      </w:pPr>
      <w:r w:rsidRPr="005E779E">
        <w:rPr>
          <w:color w:val="000000" w:themeColor="text1"/>
          <w:sz w:val="16"/>
          <w:szCs w:val="16"/>
        </w:rPr>
        <w:t>С кадрами оказалось тоже не все в порядке. Комиссия отметила, что завод полностью укомплектован рабочими и инженерами, но страдает от огромного недостатка квалифицированной рабочей силы. Основная масса работающих имеет стаж от одного до трех лет. Руководству завода было предложено срочно принять меры к устранению недостатков (19827).</w:t>
      </w:r>
    </w:p>
    <w:p w14:paraId="33BF7CBB" w14:textId="77777777" w:rsidR="008F5899" w:rsidRPr="005E779E" w:rsidRDefault="008F5899" w:rsidP="000B7A6C">
      <w:pPr>
        <w:pStyle w:val="ae"/>
        <w:shd w:val="clear" w:color="auto" w:fill="FFFFFF"/>
        <w:spacing w:before="0" w:after="0"/>
        <w:jc w:val="both"/>
        <w:rPr>
          <w:color w:val="000000" w:themeColor="text1"/>
          <w:sz w:val="16"/>
          <w:szCs w:val="16"/>
        </w:rPr>
      </w:pPr>
    </w:p>
    <w:p w14:paraId="683AF801" w14:textId="77777777" w:rsidR="00365C94" w:rsidRPr="005E779E" w:rsidRDefault="00365C94"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39491AD3" w14:textId="77777777" w:rsidR="00365C94" w:rsidRPr="005E779E" w:rsidRDefault="00365C94"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71182D1" w14:textId="77777777" w:rsidR="00365C94" w:rsidRPr="005E779E" w:rsidRDefault="00365C94"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К началу 1931 года состояние программы Т-20 иначе, как кошмарным, не назвать. Ходовые испытания танка с мотором Т-18 показали, что проблемы с ходовой частью никуда не делись. Испытания мотора в Т-20 тут же выявили перегрев силовой установки, она ушла на доделку. Фактически это означало, что танка нет. На фоне проблем с Т-12 ситуация с более важным для УММ КА танком стала последней каплей (20852).</w:t>
      </w:r>
    </w:p>
    <w:p w14:paraId="05D45FB3" w14:textId="77777777" w:rsidR="00365C94" w:rsidRPr="005E779E" w:rsidRDefault="00365C94"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98C9D6B" w14:textId="77777777" w:rsidR="005610C8" w:rsidRPr="005E779E" w:rsidRDefault="005610C8" w:rsidP="005610C8">
      <w:pPr>
        <w:spacing w:after="0" w:line="240" w:lineRule="auto"/>
        <w:jc w:val="both"/>
        <w:rPr>
          <w:rFonts w:ascii="Times New Roman" w:hAnsi="Times New Roman"/>
          <w:color w:val="0070C0"/>
          <w:sz w:val="16"/>
          <w:szCs w:val="16"/>
        </w:rPr>
      </w:pPr>
      <w:r w:rsidRPr="005E779E">
        <w:rPr>
          <w:rFonts w:ascii="Times New Roman" w:hAnsi="Times New Roman"/>
          <w:color w:val="0070C0"/>
          <w:sz w:val="16"/>
          <w:szCs w:val="16"/>
        </w:rPr>
        <w:t>К началу 1931 года у руковод</w:t>
      </w:r>
      <w:r w:rsidRPr="005E779E">
        <w:rPr>
          <w:rFonts w:ascii="Times New Roman" w:hAnsi="Times New Roman"/>
          <w:color w:val="0070C0"/>
          <w:sz w:val="16"/>
          <w:szCs w:val="16"/>
        </w:rPr>
        <w:softHyphen/>
        <w:t>ства УММ РККА восторженный интерес к машине, спроектированной немецки</w:t>
      </w:r>
      <w:r w:rsidRPr="005E779E">
        <w:rPr>
          <w:rFonts w:ascii="Times New Roman" w:hAnsi="Times New Roman"/>
          <w:color w:val="0070C0"/>
          <w:sz w:val="16"/>
          <w:szCs w:val="16"/>
        </w:rPr>
        <w:softHyphen/>
        <w:t>ми конструкторами, угасал. Станови</w:t>
      </w:r>
      <w:r w:rsidRPr="005E779E">
        <w:rPr>
          <w:rFonts w:ascii="Times New Roman" w:hAnsi="Times New Roman"/>
          <w:color w:val="0070C0"/>
          <w:sz w:val="16"/>
          <w:szCs w:val="16"/>
        </w:rPr>
        <w:softHyphen/>
        <w:t>лось очевидным, что боевые характери</w:t>
      </w:r>
      <w:r w:rsidRPr="005E779E">
        <w:rPr>
          <w:rFonts w:ascii="Times New Roman" w:hAnsi="Times New Roman"/>
          <w:color w:val="0070C0"/>
          <w:sz w:val="16"/>
          <w:szCs w:val="16"/>
        </w:rPr>
        <w:softHyphen/>
        <w:t>стики танка окажутся не такими уж вы</w:t>
      </w:r>
      <w:r w:rsidRPr="005E779E">
        <w:rPr>
          <w:rFonts w:ascii="Times New Roman" w:hAnsi="Times New Roman"/>
          <w:color w:val="0070C0"/>
          <w:sz w:val="16"/>
          <w:szCs w:val="16"/>
        </w:rPr>
        <w:softHyphen/>
        <w:t>дающимися, а ее серийное производство далеко не таким простым, как сначала виделось И. Халепскому и инженерам, работавшим с Гроте.</w:t>
      </w:r>
    </w:p>
    <w:p w14:paraId="027FE51F" w14:textId="77777777" w:rsidR="005610C8" w:rsidRPr="005E779E" w:rsidRDefault="005610C8" w:rsidP="005610C8">
      <w:pPr>
        <w:spacing w:after="0" w:line="240" w:lineRule="auto"/>
        <w:jc w:val="both"/>
        <w:rPr>
          <w:rFonts w:ascii="Times New Roman" w:hAnsi="Times New Roman"/>
          <w:color w:val="0070C0"/>
          <w:sz w:val="16"/>
          <w:szCs w:val="16"/>
        </w:rPr>
      </w:pPr>
      <w:r w:rsidRPr="005E779E">
        <w:rPr>
          <w:rFonts w:ascii="Times New Roman" w:hAnsi="Times New Roman"/>
          <w:color w:val="0070C0"/>
          <w:sz w:val="16"/>
          <w:szCs w:val="16"/>
        </w:rPr>
        <w:t>Кроме того, завершить окончательную сборку танка и приступить к его ис</w:t>
      </w:r>
      <w:r w:rsidRPr="005E779E">
        <w:rPr>
          <w:rFonts w:ascii="Times New Roman" w:hAnsi="Times New Roman"/>
          <w:color w:val="0070C0"/>
          <w:sz w:val="16"/>
          <w:szCs w:val="16"/>
        </w:rPr>
        <w:softHyphen/>
        <w:t>пытаниям так и не удавалось. Основ</w:t>
      </w:r>
      <w:r w:rsidRPr="005E779E">
        <w:rPr>
          <w:rFonts w:ascii="Times New Roman" w:hAnsi="Times New Roman"/>
          <w:color w:val="0070C0"/>
          <w:sz w:val="16"/>
          <w:szCs w:val="16"/>
        </w:rPr>
        <w:softHyphen/>
        <w:t>ной причиной этого был двигатель кон</w:t>
      </w:r>
      <w:r w:rsidRPr="005E779E">
        <w:rPr>
          <w:rFonts w:ascii="Times New Roman" w:hAnsi="Times New Roman"/>
          <w:color w:val="0070C0"/>
          <w:sz w:val="16"/>
          <w:szCs w:val="16"/>
        </w:rPr>
        <w:softHyphen/>
        <w:t>струкции Гроте — несмотря на то, что его конструкция поначалу вызывала восторг у советских специалистов, работать он категорически не желал. Его конструк</w:t>
      </w:r>
      <w:r w:rsidRPr="005E779E">
        <w:rPr>
          <w:rFonts w:ascii="Times New Roman" w:hAnsi="Times New Roman"/>
          <w:color w:val="0070C0"/>
          <w:sz w:val="16"/>
          <w:szCs w:val="16"/>
        </w:rPr>
        <w:softHyphen/>
        <w:t>ция оказалась очень сложной, а ряд ре</w:t>
      </w:r>
      <w:r w:rsidRPr="005E779E">
        <w:rPr>
          <w:rFonts w:ascii="Times New Roman" w:hAnsi="Times New Roman"/>
          <w:color w:val="0070C0"/>
          <w:sz w:val="16"/>
          <w:szCs w:val="16"/>
        </w:rPr>
        <w:softHyphen/>
        <w:t>шений, заложенных при проектирова</w:t>
      </w:r>
      <w:r w:rsidRPr="005E779E">
        <w:rPr>
          <w:rFonts w:ascii="Times New Roman" w:hAnsi="Times New Roman"/>
          <w:color w:val="0070C0"/>
          <w:sz w:val="16"/>
          <w:szCs w:val="16"/>
        </w:rPr>
        <w:softHyphen/>
        <w:t>нии (например, система охлаждения каждого цилиндра) — технически труд</w:t>
      </w:r>
      <w:r w:rsidRPr="005E779E">
        <w:rPr>
          <w:rFonts w:ascii="Times New Roman" w:hAnsi="Times New Roman"/>
          <w:color w:val="0070C0"/>
          <w:sz w:val="16"/>
          <w:szCs w:val="16"/>
        </w:rPr>
        <w:softHyphen/>
        <w:t>новыполнимой.</w:t>
      </w:r>
    </w:p>
    <w:p w14:paraId="7F85822B" w14:textId="77777777" w:rsidR="005610C8" w:rsidRPr="005E779E" w:rsidRDefault="005610C8" w:rsidP="005610C8">
      <w:pPr>
        <w:spacing w:after="0" w:line="240" w:lineRule="auto"/>
        <w:jc w:val="both"/>
        <w:rPr>
          <w:rFonts w:ascii="Times New Roman" w:hAnsi="Times New Roman"/>
          <w:color w:val="0070C0"/>
          <w:sz w:val="16"/>
          <w:szCs w:val="16"/>
        </w:rPr>
      </w:pPr>
      <w:r w:rsidRPr="005E779E">
        <w:rPr>
          <w:rFonts w:ascii="Times New Roman" w:hAnsi="Times New Roman"/>
          <w:color w:val="0070C0"/>
          <w:sz w:val="16"/>
          <w:szCs w:val="16"/>
        </w:rPr>
        <w:t>В результате, было принято решение испытать танк с другой силовой уста</w:t>
      </w:r>
      <w:r w:rsidRPr="005E779E">
        <w:rPr>
          <w:rFonts w:ascii="Times New Roman" w:hAnsi="Times New Roman"/>
          <w:color w:val="0070C0"/>
          <w:sz w:val="16"/>
          <w:szCs w:val="16"/>
        </w:rPr>
        <w:softHyphen/>
        <w:t>новкой. После поиска подходящих ва</w:t>
      </w:r>
      <w:r w:rsidRPr="005E779E">
        <w:rPr>
          <w:rFonts w:ascii="Times New Roman" w:hAnsi="Times New Roman"/>
          <w:color w:val="0070C0"/>
          <w:sz w:val="16"/>
          <w:szCs w:val="16"/>
        </w:rPr>
        <w:softHyphen/>
        <w:t>риантов остановились на авиационном моторе М-6 мощностью 300 л.с. — он оказался наиболее подходящим по габа</w:t>
      </w:r>
      <w:r w:rsidRPr="005E779E">
        <w:rPr>
          <w:rFonts w:ascii="Times New Roman" w:hAnsi="Times New Roman"/>
          <w:color w:val="0070C0"/>
          <w:sz w:val="16"/>
          <w:szCs w:val="16"/>
        </w:rPr>
        <w:softHyphen/>
        <w:t>ритам (25010).</w:t>
      </w:r>
    </w:p>
    <w:p w14:paraId="3FDF9666" w14:textId="77777777" w:rsidR="005610C8" w:rsidRPr="005E779E" w:rsidRDefault="005610C8" w:rsidP="005610C8">
      <w:pPr>
        <w:spacing w:after="0" w:line="240" w:lineRule="auto"/>
        <w:jc w:val="both"/>
        <w:rPr>
          <w:rFonts w:ascii="Times New Roman" w:hAnsi="Times New Roman"/>
          <w:color w:val="0070C0"/>
          <w:sz w:val="16"/>
          <w:szCs w:val="16"/>
        </w:rPr>
      </w:pPr>
    </w:p>
    <w:p w14:paraId="4EA6B26B" w14:textId="63892A76" w:rsidR="005610C8" w:rsidRPr="005E779E" w:rsidRDefault="005610C8" w:rsidP="005610C8">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6C179314" w14:textId="77777777" w:rsidR="005610C8" w:rsidRPr="005E779E" w:rsidRDefault="005610C8" w:rsidP="005610C8">
      <w:pPr>
        <w:autoSpaceDE w:val="0"/>
        <w:autoSpaceDN w:val="0"/>
        <w:adjustRightInd w:val="0"/>
        <w:spacing w:after="0" w:line="240" w:lineRule="auto"/>
        <w:jc w:val="both"/>
        <w:rPr>
          <w:rFonts w:ascii="Times New Roman" w:hAnsi="Times New Roman"/>
          <w:iCs/>
          <w:color w:val="000000" w:themeColor="text1"/>
          <w:sz w:val="16"/>
          <w:szCs w:val="16"/>
        </w:rPr>
      </w:pPr>
    </w:p>
    <w:p w14:paraId="065B548C" w14:textId="77777777" w:rsidR="005610C8" w:rsidRPr="005E779E" w:rsidRDefault="005610C8" w:rsidP="005610C8">
      <w:pPr>
        <w:spacing w:after="0" w:line="240" w:lineRule="auto"/>
        <w:jc w:val="both"/>
        <w:rPr>
          <w:rFonts w:ascii="Times New Roman" w:hAnsi="Times New Roman"/>
          <w:color w:val="0070C0"/>
          <w:sz w:val="16"/>
          <w:szCs w:val="16"/>
        </w:rPr>
      </w:pPr>
      <w:r w:rsidRPr="005E779E">
        <w:rPr>
          <w:rFonts w:ascii="Times New Roman" w:hAnsi="Times New Roman"/>
          <w:color w:val="0070C0"/>
          <w:sz w:val="16"/>
          <w:szCs w:val="16"/>
        </w:rPr>
        <w:t>К началу 1931 г. в ВВС РККА имелось 17 авиационных бригад:</w:t>
      </w:r>
    </w:p>
    <w:p w14:paraId="78C731A8" w14:textId="77777777" w:rsidR="005610C8" w:rsidRPr="005E779E" w:rsidRDefault="005610C8" w:rsidP="005610C8">
      <w:pPr>
        <w:spacing w:after="0" w:line="240" w:lineRule="auto"/>
        <w:jc w:val="both"/>
        <w:rPr>
          <w:rFonts w:ascii="Times New Roman" w:hAnsi="Times New Roman"/>
          <w:color w:val="0070C0"/>
          <w:sz w:val="16"/>
          <w:szCs w:val="16"/>
        </w:rPr>
      </w:pPr>
      <w:r w:rsidRPr="005E779E">
        <w:rPr>
          <w:rFonts w:ascii="Times New Roman" w:hAnsi="Times New Roman"/>
          <w:color w:val="0070C0"/>
          <w:sz w:val="16"/>
          <w:szCs w:val="16"/>
        </w:rPr>
        <w:lastRenderedPageBreak/>
        <w:t>6 смешанных (Ташкент - САВО, Зиновьевск - УВО, Витебск - БВО, Москва - МВО, Спасск - ОДВА, Ленинград - Балтморе),</w:t>
      </w:r>
    </w:p>
    <w:p w14:paraId="0CC90015" w14:textId="77777777" w:rsidR="005610C8" w:rsidRPr="005E779E" w:rsidRDefault="005610C8" w:rsidP="005610C8">
      <w:pPr>
        <w:spacing w:after="0" w:line="240" w:lineRule="auto"/>
        <w:jc w:val="both"/>
        <w:rPr>
          <w:rFonts w:ascii="Times New Roman" w:hAnsi="Times New Roman"/>
          <w:color w:val="0070C0"/>
          <w:sz w:val="16"/>
          <w:szCs w:val="16"/>
        </w:rPr>
      </w:pPr>
      <w:r w:rsidRPr="005E779E">
        <w:rPr>
          <w:rFonts w:ascii="Times New Roman" w:hAnsi="Times New Roman"/>
          <w:color w:val="0070C0"/>
          <w:sz w:val="16"/>
          <w:szCs w:val="16"/>
        </w:rPr>
        <w:t>4 тяжело-бомбардировочные (Воронеж - МВО, Кречевицы - ЛВО, Харь</w:t>
      </w:r>
      <w:r w:rsidRPr="005E779E">
        <w:rPr>
          <w:rFonts w:ascii="Times New Roman" w:hAnsi="Times New Roman"/>
          <w:color w:val="0070C0"/>
          <w:sz w:val="16"/>
          <w:szCs w:val="16"/>
        </w:rPr>
        <w:softHyphen/>
        <w:t>ков - УВО, Севастополь - Черное море),</w:t>
      </w:r>
    </w:p>
    <w:p w14:paraId="1614D776" w14:textId="77777777" w:rsidR="005610C8" w:rsidRPr="005E779E" w:rsidRDefault="005610C8" w:rsidP="005610C8">
      <w:pPr>
        <w:spacing w:after="0" w:line="240" w:lineRule="auto"/>
        <w:jc w:val="both"/>
        <w:rPr>
          <w:rFonts w:ascii="Times New Roman" w:hAnsi="Times New Roman"/>
          <w:color w:val="0070C0"/>
          <w:sz w:val="16"/>
          <w:szCs w:val="16"/>
        </w:rPr>
      </w:pPr>
      <w:r w:rsidRPr="005E779E">
        <w:rPr>
          <w:rFonts w:ascii="Times New Roman" w:hAnsi="Times New Roman"/>
          <w:color w:val="0070C0"/>
          <w:sz w:val="16"/>
          <w:szCs w:val="16"/>
        </w:rPr>
        <w:t>3 легко-бомбардировочные (Красногвардейск - ЛВО, Смоленск - БВО, Новочеркасск - СКВО),</w:t>
      </w:r>
    </w:p>
    <w:p w14:paraId="389A7554" w14:textId="77777777" w:rsidR="005610C8" w:rsidRPr="005E779E" w:rsidRDefault="005610C8" w:rsidP="005610C8">
      <w:pPr>
        <w:spacing w:after="0" w:line="240" w:lineRule="auto"/>
        <w:jc w:val="both"/>
        <w:rPr>
          <w:rFonts w:ascii="Times New Roman" w:hAnsi="Times New Roman"/>
          <w:color w:val="0070C0"/>
          <w:sz w:val="16"/>
          <w:szCs w:val="16"/>
        </w:rPr>
      </w:pPr>
      <w:r w:rsidRPr="005E779E">
        <w:rPr>
          <w:rFonts w:ascii="Times New Roman" w:hAnsi="Times New Roman"/>
          <w:color w:val="0070C0"/>
          <w:sz w:val="16"/>
          <w:szCs w:val="16"/>
        </w:rPr>
        <w:t>2 штурмовые (Гомель - БВО, Киев -УВО),</w:t>
      </w:r>
    </w:p>
    <w:p w14:paraId="1893D87B" w14:textId="77777777" w:rsidR="005610C8" w:rsidRPr="005E779E" w:rsidRDefault="005610C8" w:rsidP="005610C8">
      <w:pPr>
        <w:spacing w:after="0" w:line="240" w:lineRule="auto"/>
        <w:jc w:val="both"/>
        <w:rPr>
          <w:rFonts w:ascii="Times New Roman" w:hAnsi="Times New Roman"/>
          <w:color w:val="0070C0"/>
          <w:sz w:val="16"/>
          <w:szCs w:val="16"/>
        </w:rPr>
      </w:pPr>
      <w:r w:rsidRPr="005E779E">
        <w:rPr>
          <w:rFonts w:ascii="Times New Roman" w:hAnsi="Times New Roman"/>
          <w:color w:val="0070C0"/>
          <w:sz w:val="16"/>
          <w:szCs w:val="16"/>
        </w:rPr>
        <w:t>1 истребительная (Брянск - БВО),</w:t>
      </w:r>
    </w:p>
    <w:p w14:paraId="7AE4ACAA" w14:textId="77777777" w:rsidR="005610C8" w:rsidRPr="005E779E" w:rsidRDefault="005610C8" w:rsidP="005610C8">
      <w:pPr>
        <w:spacing w:after="0" w:line="240" w:lineRule="auto"/>
        <w:jc w:val="both"/>
        <w:rPr>
          <w:rFonts w:ascii="Times New Roman" w:hAnsi="Times New Roman"/>
          <w:color w:val="0070C0"/>
          <w:sz w:val="16"/>
          <w:szCs w:val="16"/>
        </w:rPr>
      </w:pPr>
      <w:r w:rsidRPr="005E779E">
        <w:rPr>
          <w:rFonts w:ascii="Times New Roman" w:hAnsi="Times New Roman"/>
          <w:color w:val="0070C0"/>
          <w:sz w:val="16"/>
          <w:szCs w:val="16"/>
        </w:rPr>
        <w:t>1 (Серпухов - МВО) расформирована и направлена на формирование в Иваново-Вознесенск и Свердловск (РГВА. Ф. 29. Оп. 23. Д. 100. Л. 296).</w:t>
      </w:r>
    </w:p>
    <w:p w14:paraId="31C0E8A0" w14:textId="77777777" w:rsidR="005610C8" w:rsidRPr="005E779E" w:rsidRDefault="005610C8" w:rsidP="005610C8">
      <w:pPr>
        <w:spacing w:after="0" w:line="240" w:lineRule="auto"/>
        <w:jc w:val="both"/>
        <w:rPr>
          <w:rFonts w:ascii="Times New Roman" w:hAnsi="Times New Roman"/>
          <w:color w:val="0070C0"/>
          <w:sz w:val="16"/>
          <w:szCs w:val="16"/>
        </w:rPr>
      </w:pPr>
      <w:r w:rsidRPr="005E779E">
        <w:rPr>
          <w:rFonts w:ascii="Times New Roman" w:hAnsi="Times New Roman"/>
          <w:color w:val="0070C0"/>
          <w:sz w:val="16"/>
          <w:szCs w:val="16"/>
        </w:rPr>
        <w:t>В состав авиабригад к началу 1931 г. входили 15 гарнизонов:</w:t>
      </w:r>
    </w:p>
    <w:p w14:paraId="50A90722" w14:textId="77777777" w:rsidR="005610C8" w:rsidRPr="005E779E" w:rsidRDefault="005610C8" w:rsidP="005610C8">
      <w:pPr>
        <w:widowControl w:val="0"/>
        <w:tabs>
          <w:tab w:val="left" w:pos="745"/>
        </w:tabs>
        <w:spacing w:after="0" w:line="240" w:lineRule="auto"/>
        <w:jc w:val="both"/>
        <w:rPr>
          <w:rFonts w:ascii="Times New Roman" w:hAnsi="Times New Roman"/>
          <w:color w:val="0070C0"/>
          <w:sz w:val="16"/>
          <w:szCs w:val="16"/>
        </w:rPr>
      </w:pPr>
      <w:bookmarkStart w:id="0" w:name="bookmark323"/>
      <w:bookmarkEnd w:id="0"/>
      <w:r w:rsidRPr="005E779E">
        <w:rPr>
          <w:rFonts w:ascii="Times New Roman" w:hAnsi="Times New Roman"/>
          <w:color w:val="0070C0"/>
          <w:sz w:val="16"/>
          <w:szCs w:val="16"/>
        </w:rPr>
        <w:t>1. Бобруйск - БВО. 2. Кунцево - МВО, 3. Егорьевск - МВО (...), 4. Ива</w:t>
      </w:r>
      <w:r w:rsidRPr="005E779E">
        <w:rPr>
          <w:rFonts w:ascii="Times New Roman" w:hAnsi="Times New Roman"/>
          <w:color w:val="0070C0"/>
          <w:sz w:val="16"/>
          <w:szCs w:val="16"/>
        </w:rPr>
        <w:softHyphen/>
        <w:t>ново-Вознесенск - МВО (1932 г. - бриг.), 5. Липецк - МВО, 6. Ростов-на-Дону - СКВО (постепенно - в Новочеркасск), 7. Тифлис - ККА (1932 г. - бриг.), 8. Новосибирск - СибВО, 9. Чита - ОДВА (1932 г. - бриг.), 10. Хабаровск - ОД</w:t>
      </w:r>
      <w:r w:rsidRPr="005E779E">
        <w:rPr>
          <w:rFonts w:ascii="Times New Roman" w:hAnsi="Times New Roman"/>
          <w:color w:val="0070C0"/>
          <w:sz w:val="16"/>
          <w:szCs w:val="16"/>
        </w:rPr>
        <w:softHyphen/>
        <w:t>ВА. И. Петергоф - Балтморе. 12. Ораниенбаум - Балтморе. 13. Евпатория - Чернморе. 14. Николаев - Чернморе. 15. Волково поле – ЛВО (РГВА. Ф. 29. Оп. 23. Д. 100. Л. 297).</w:t>
      </w:r>
    </w:p>
    <w:p w14:paraId="7F83885A" w14:textId="77777777" w:rsidR="005610C8" w:rsidRPr="005E779E" w:rsidRDefault="005610C8" w:rsidP="005610C8">
      <w:pPr>
        <w:spacing w:after="0" w:line="240" w:lineRule="auto"/>
        <w:jc w:val="both"/>
        <w:rPr>
          <w:rFonts w:ascii="Times New Roman" w:hAnsi="Times New Roman"/>
          <w:color w:val="0070C0"/>
          <w:sz w:val="16"/>
          <w:szCs w:val="16"/>
        </w:rPr>
      </w:pPr>
      <w:r w:rsidRPr="005E779E">
        <w:rPr>
          <w:rFonts w:ascii="Times New Roman" w:hAnsi="Times New Roman"/>
          <w:color w:val="0070C0"/>
          <w:sz w:val="16"/>
          <w:szCs w:val="16"/>
        </w:rPr>
        <w:t>По состоянию на 1 января 1931 г. весь самолетный парк ВВС РККА, включая авиационный тыл, состоял из обозначенных ниже типов самолетов и в количестве, представленном в Таблице 73.</w:t>
      </w:r>
    </w:p>
    <w:p w14:paraId="7412DF33" w14:textId="77777777" w:rsidR="005610C8" w:rsidRPr="005E779E" w:rsidRDefault="005610C8" w:rsidP="005610C8">
      <w:pPr>
        <w:pStyle w:val="aff1"/>
        <w:spacing w:line="240" w:lineRule="auto"/>
        <w:ind w:left="443"/>
        <w:rPr>
          <w:rFonts w:ascii="Times New Roman" w:hAnsi="Times New Roman" w:cs="Times New Roman"/>
          <w:i w:val="0"/>
          <w:iCs w:val="0"/>
          <w:color w:val="0070C0"/>
          <w:sz w:val="16"/>
          <w:szCs w:val="16"/>
        </w:rPr>
      </w:pPr>
      <w:r w:rsidRPr="005E779E">
        <w:rPr>
          <w:rFonts w:ascii="Times New Roman" w:hAnsi="Times New Roman" w:cs="Times New Roman"/>
          <w:i w:val="0"/>
          <w:iCs w:val="0"/>
          <w:color w:val="0070C0"/>
          <w:sz w:val="16"/>
          <w:szCs w:val="16"/>
        </w:rPr>
        <w:t>Таблица 73</w:t>
      </w:r>
    </w:p>
    <w:tbl>
      <w:tblPr>
        <w:tblOverlap w:val="never"/>
        <w:tblW w:w="0" w:type="auto"/>
        <w:tblLayout w:type="fixed"/>
        <w:tblCellMar>
          <w:left w:w="10" w:type="dxa"/>
          <w:right w:w="10" w:type="dxa"/>
        </w:tblCellMar>
        <w:tblLook w:val="04A0" w:firstRow="1" w:lastRow="0" w:firstColumn="1" w:lastColumn="0" w:noHBand="0" w:noVBand="1"/>
      </w:tblPr>
      <w:tblGrid>
        <w:gridCol w:w="1120"/>
        <w:gridCol w:w="724"/>
        <w:gridCol w:w="720"/>
        <w:gridCol w:w="724"/>
        <w:gridCol w:w="1080"/>
        <w:gridCol w:w="720"/>
        <w:gridCol w:w="720"/>
        <w:gridCol w:w="583"/>
        <w:gridCol w:w="15"/>
      </w:tblGrid>
      <w:tr w:rsidR="005610C8" w:rsidRPr="005E779E" w14:paraId="1A9B0D76" w14:textId="77777777" w:rsidTr="005610C8">
        <w:trPr>
          <w:gridAfter w:val="1"/>
          <w:wAfter w:w="15" w:type="dxa"/>
          <w:trHeight w:hRule="exact" w:val="166"/>
        </w:trPr>
        <w:tc>
          <w:tcPr>
            <w:tcW w:w="1120" w:type="dxa"/>
            <w:tcBorders>
              <w:top w:val="single" w:sz="4" w:space="0" w:color="auto"/>
              <w:left w:val="single" w:sz="4" w:space="0" w:color="auto"/>
            </w:tcBorders>
            <w:shd w:val="clear" w:color="auto" w:fill="FFFFFF"/>
            <w:vAlign w:val="bottom"/>
          </w:tcPr>
          <w:p w14:paraId="1309A722"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Самолеты</w:t>
            </w:r>
          </w:p>
        </w:tc>
        <w:tc>
          <w:tcPr>
            <w:tcW w:w="724" w:type="dxa"/>
            <w:tcBorders>
              <w:top w:val="single" w:sz="4" w:space="0" w:color="auto"/>
              <w:left w:val="single" w:sz="4" w:space="0" w:color="auto"/>
            </w:tcBorders>
            <w:shd w:val="clear" w:color="auto" w:fill="FFFFFF"/>
            <w:vAlign w:val="bottom"/>
          </w:tcPr>
          <w:p w14:paraId="745D83B6"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Исправ-е</w:t>
            </w:r>
          </w:p>
        </w:tc>
        <w:tc>
          <w:tcPr>
            <w:tcW w:w="720" w:type="dxa"/>
            <w:tcBorders>
              <w:top w:val="single" w:sz="4" w:space="0" w:color="auto"/>
              <w:left w:val="single" w:sz="4" w:space="0" w:color="auto"/>
            </w:tcBorders>
            <w:shd w:val="clear" w:color="auto" w:fill="FFFFFF"/>
            <w:vAlign w:val="bottom"/>
          </w:tcPr>
          <w:p w14:paraId="4292DE72"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Неиснр-е</w:t>
            </w:r>
          </w:p>
        </w:tc>
        <w:tc>
          <w:tcPr>
            <w:tcW w:w="724" w:type="dxa"/>
            <w:tcBorders>
              <w:top w:val="single" w:sz="4" w:space="0" w:color="auto"/>
              <w:left w:val="single" w:sz="4" w:space="0" w:color="auto"/>
            </w:tcBorders>
            <w:shd w:val="clear" w:color="auto" w:fill="FFFFFF"/>
            <w:vAlign w:val="bottom"/>
          </w:tcPr>
          <w:p w14:paraId="176C82AC"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Всего</w:t>
            </w:r>
          </w:p>
        </w:tc>
        <w:tc>
          <w:tcPr>
            <w:tcW w:w="1080" w:type="dxa"/>
            <w:tcBorders>
              <w:top w:val="single" w:sz="4" w:space="0" w:color="auto"/>
              <w:left w:val="single" w:sz="4" w:space="0" w:color="auto"/>
            </w:tcBorders>
            <w:shd w:val="clear" w:color="auto" w:fill="FFFFFF"/>
            <w:vAlign w:val="bottom"/>
          </w:tcPr>
          <w:p w14:paraId="38DDD05C"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Самолеты</w:t>
            </w:r>
          </w:p>
        </w:tc>
        <w:tc>
          <w:tcPr>
            <w:tcW w:w="720" w:type="dxa"/>
            <w:tcBorders>
              <w:top w:val="single" w:sz="4" w:space="0" w:color="auto"/>
              <w:left w:val="single" w:sz="4" w:space="0" w:color="auto"/>
            </w:tcBorders>
            <w:shd w:val="clear" w:color="auto" w:fill="FFFFFF"/>
            <w:vAlign w:val="bottom"/>
          </w:tcPr>
          <w:p w14:paraId="308F2507"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Исправ-е</w:t>
            </w:r>
          </w:p>
        </w:tc>
        <w:tc>
          <w:tcPr>
            <w:tcW w:w="720" w:type="dxa"/>
            <w:tcBorders>
              <w:top w:val="single" w:sz="4" w:space="0" w:color="auto"/>
              <w:left w:val="single" w:sz="4" w:space="0" w:color="auto"/>
            </w:tcBorders>
            <w:shd w:val="clear" w:color="auto" w:fill="FFFFFF"/>
            <w:vAlign w:val="bottom"/>
          </w:tcPr>
          <w:p w14:paraId="7E8C3B95"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Нсиспр-е</w:t>
            </w:r>
          </w:p>
        </w:tc>
        <w:tc>
          <w:tcPr>
            <w:tcW w:w="583" w:type="dxa"/>
            <w:tcBorders>
              <w:top w:val="single" w:sz="4" w:space="0" w:color="auto"/>
              <w:left w:val="single" w:sz="4" w:space="0" w:color="auto"/>
              <w:right w:val="single" w:sz="4" w:space="0" w:color="auto"/>
            </w:tcBorders>
            <w:shd w:val="clear" w:color="auto" w:fill="FFFFFF"/>
            <w:vAlign w:val="bottom"/>
          </w:tcPr>
          <w:p w14:paraId="64D6AC40"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Всего</w:t>
            </w:r>
          </w:p>
        </w:tc>
      </w:tr>
      <w:tr w:rsidR="005610C8" w:rsidRPr="005E779E" w14:paraId="2EDD796F" w14:textId="77777777" w:rsidTr="005610C8">
        <w:trPr>
          <w:gridAfter w:val="1"/>
          <w:wAfter w:w="15" w:type="dxa"/>
          <w:trHeight w:hRule="exact" w:val="162"/>
        </w:trPr>
        <w:tc>
          <w:tcPr>
            <w:tcW w:w="1120" w:type="dxa"/>
            <w:tcBorders>
              <w:top w:val="single" w:sz="4" w:space="0" w:color="auto"/>
              <w:left w:val="single" w:sz="4" w:space="0" w:color="auto"/>
            </w:tcBorders>
            <w:shd w:val="clear" w:color="auto" w:fill="FFFFFF"/>
            <w:vAlign w:val="bottom"/>
          </w:tcPr>
          <w:p w14:paraId="49602529"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ТБ-1</w:t>
            </w:r>
          </w:p>
        </w:tc>
        <w:tc>
          <w:tcPr>
            <w:tcW w:w="724" w:type="dxa"/>
            <w:tcBorders>
              <w:top w:val="single" w:sz="4" w:space="0" w:color="auto"/>
              <w:left w:val="single" w:sz="4" w:space="0" w:color="auto"/>
            </w:tcBorders>
            <w:shd w:val="clear" w:color="auto" w:fill="FFFFFF"/>
            <w:vAlign w:val="bottom"/>
          </w:tcPr>
          <w:p w14:paraId="087E5FB4"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45</w:t>
            </w:r>
          </w:p>
        </w:tc>
        <w:tc>
          <w:tcPr>
            <w:tcW w:w="720" w:type="dxa"/>
            <w:tcBorders>
              <w:top w:val="single" w:sz="4" w:space="0" w:color="auto"/>
              <w:left w:val="single" w:sz="4" w:space="0" w:color="auto"/>
            </w:tcBorders>
            <w:shd w:val="clear" w:color="auto" w:fill="FFFFFF"/>
            <w:vAlign w:val="bottom"/>
          </w:tcPr>
          <w:p w14:paraId="732A2CA4"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7</w:t>
            </w:r>
          </w:p>
        </w:tc>
        <w:tc>
          <w:tcPr>
            <w:tcW w:w="724" w:type="dxa"/>
            <w:tcBorders>
              <w:top w:val="single" w:sz="4" w:space="0" w:color="auto"/>
              <w:left w:val="single" w:sz="4" w:space="0" w:color="auto"/>
            </w:tcBorders>
            <w:shd w:val="clear" w:color="auto" w:fill="FFFFFF"/>
            <w:vAlign w:val="bottom"/>
          </w:tcPr>
          <w:p w14:paraId="33FF8EE2"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52</w:t>
            </w:r>
          </w:p>
        </w:tc>
        <w:tc>
          <w:tcPr>
            <w:tcW w:w="1080" w:type="dxa"/>
            <w:tcBorders>
              <w:top w:val="single" w:sz="4" w:space="0" w:color="auto"/>
              <w:left w:val="single" w:sz="4" w:space="0" w:color="auto"/>
            </w:tcBorders>
            <w:shd w:val="clear" w:color="auto" w:fill="FFFFFF"/>
            <w:vAlign w:val="bottom"/>
          </w:tcPr>
          <w:p w14:paraId="6E193EF4"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МР-1</w:t>
            </w:r>
          </w:p>
        </w:tc>
        <w:tc>
          <w:tcPr>
            <w:tcW w:w="720" w:type="dxa"/>
            <w:tcBorders>
              <w:top w:val="single" w:sz="4" w:space="0" w:color="auto"/>
              <w:left w:val="single" w:sz="4" w:space="0" w:color="auto"/>
            </w:tcBorders>
            <w:shd w:val="clear" w:color="auto" w:fill="FFFFFF"/>
            <w:vAlign w:val="bottom"/>
          </w:tcPr>
          <w:p w14:paraId="59910216"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42</w:t>
            </w:r>
          </w:p>
        </w:tc>
        <w:tc>
          <w:tcPr>
            <w:tcW w:w="720" w:type="dxa"/>
            <w:tcBorders>
              <w:top w:val="single" w:sz="4" w:space="0" w:color="auto"/>
              <w:left w:val="single" w:sz="4" w:space="0" w:color="auto"/>
            </w:tcBorders>
            <w:shd w:val="clear" w:color="auto" w:fill="FFFFFF"/>
            <w:vAlign w:val="bottom"/>
          </w:tcPr>
          <w:p w14:paraId="2B09F21E"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29</w:t>
            </w:r>
          </w:p>
        </w:tc>
        <w:tc>
          <w:tcPr>
            <w:tcW w:w="583" w:type="dxa"/>
            <w:tcBorders>
              <w:top w:val="single" w:sz="4" w:space="0" w:color="auto"/>
              <w:left w:val="single" w:sz="4" w:space="0" w:color="auto"/>
              <w:right w:val="single" w:sz="4" w:space="0" w:color="auto"/>
            </w:tcBorders>
            <w:shd w:val="clear" w:color="auto" w:fill="FFFFFF"/>
            <w:vAlign w:val="bottom"/>
          </w:tcPr>
          <w:p w14:paraId="379A207F"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71</w:t>
            </w:r>
          </w:p>
        </w:tc>
      </w:tr>
      <w:tr w:rsidR="005610C8" w:rsidRPr="005E779E" w14:paraId="69C9C54E" w14:textId="77777777" w:rsidTr="005610C8">
        <w:trPr>
          <w:gridAfter w:val="1"/>
          <w:wAfter w:w="15" w:type="dxa"/>
          <w:trHeight w:hRule="exact" w:val="158"/>
        </w:trPr>
        <w:tc>
          <w:tcPr>
            <w:tcW w:w="1120" w:type="dxa"/>
            <w:tcBorders>
              <w:top w:val="single" w:sz="4" w:space="0" w:color="auto"/>
              <w:left w:val="single" w:sz="4" w:space="0" w:color="auto"/>
            </w:tcBorders>
            <w:shd w:val="clear" w:color="auto" w:fill="FFFFFF"/>
            <w:vAlign w:val="bottom"/>
          </w:tcPr>
          <w:p w14:paraId="0188743D"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Р-1</w:t>
            </w:r>
          </w:p>
        </w:tc>
        <w:tc>
          <w:tcPr>
            <w:tcW w:w="724" w:type="dxa"/>
            <w:tcBorders>
              <w:top w:val="single" w:sz="4" w:space="0" w:color="auto"/>
              <w:left w:val="single" w:sz="4" w:space="0" w:color="auto"/>
            </w:tcBorders>
            <w:shd w:val="clear" w:color="auto" w:fill="FFFFFF"/>
            <w:vAlign w:val="bottom"/>
          </w:tcPr>
          <w:p w14:paraId="6AE004A0"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1 214</w:t>
            </w:r>
          </w:p>
        </w:tc>
        <w:tc>
          <w:tcPr>
            <w:tcW w:w="720" w:type="dxa"/>
            <w:tcBorders>
              <w:top w:val="single" w:sz="4" w:space="0" w:color="auto"/>
              <w:left w:val="single" w:sz="4" w:space="0" w:color="auto"/>
            </w:tcBorders>
            <w:shd w:val="clear" w:color="auto" w:fill="FFFFFF"/>
            <w:vAlign w:val="bottom"/>
          </w:tcPr>
          <w:p w14:paraId="2F1E5E5F"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303</w:t>
            </w:r>
          </w:p>
        </w:tc>
        <w:tc>
          <w:tcPr>
            <w:tcW w:w="724" w:type="dxa"/>
            <w:tcBorders>
              <w:top w:val="single" w:sz="4" w:space="0" w:color="auto"/>
              <w:left w:val="single" w:sz="4" w:space="0" w:color="auto"/>
            </w:tcBorders>
            <w:shd w:val="clear" w:color="auto" w:fill="FFFFFF"/>
            <w:vAlign w:val="bottom"/>
          </w:tcPr>
          <w:p w14:paraId="3B172546"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1 517</w:t>
            </w:r>
          </w:p>
        </w:tc>
        <w:tc>
          <w:tcPr>
            <w:tcW w:w="1080" w:type="dxa"/>
            <w:tcBorders>
              <w:top w:val="single" w:sz="4" w:space="0" w:color="auto"/>
              <w:left w:val="single" w:sz="4" w:space="0" w:color="auto"/>
            </w:tcBorders>
            <w:shd w:val="clear" w:color="auto" w:fill="FFFFFF"/>
            <w:vAlign w:val="bottom"/>
          </w:tcPr>
          <w:p w14:paraId="01FDC234"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РОМ</w:t>
            </w:r>
          </w:p>
        </w:tc>
        <w:tc>
          <w:tcPr>
            <w:tcW w:w="720" w:type="dxa"/>
            <w:tcBorders>
              <w:top w:val="single" w:sz="4" w:space="0" w:color="auto"/>
              <w:left w:val="single" w:sz="4" w:space="0" w:color="auto"/>
            </w:tcBorders>
            <w:shd w:val="clear" w:color="auto" w:fill="FFFFFF"/>
            <w:vAlign w:val="bottom"/>
          </w:tcPr>
          <w:p w14:paraId="7F0FFB36"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w:t>
            </w:r>
          </w:p>
        </w:tc>
        <w:tc>
          <w:tcPr>
            <w:tcW w:w="720" w:type="dxa"/>
            <w:tcBorders>
              <w:top w:val="single" w:sz="4" w:space="0" w:color="auto"/>
              <w:left w:val="single" w:sz="4" w:space="0" w:color="auto"/>
            </w:tcBorders>
            <w:shd w:val="clear" w:color="auto" w:fill="FFFFFF"/>
            <w:vAlign w:val="bottom"/>
          </w:tcPr>
          <w:p w14:paraId="23253AE9"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w:t>
            </w:r>
          </w:p>
        </w:tc>
        <w:tc>
          <w:tcPr>
            <w:tcW w:w="583" w:type="dxa"/>
            <w:tcBorders>
              <w:top w:val="single" w:sz="4" w:space="0" w:color="auto"/>
              <w:left w:val="single" w:sz="4" w:space="0" w:color="auto"/>
              <w:right w:val="single" w:sz="4" w:space="0" w:color="auto"/>
            </w:tcBorders>
            <w:shd w:val="clear" w:color="auto" w:fill="FFFFFF"/>
            <w:vAlign w:val="bottom"/>
          </w:tcPr>
          <w:p w14:paraId="6651C39A"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w:t>
            </w:r>
          </w:p>
        </w:tc>
      </w:tr>
      <w:tr w:rsidR="005610C8" w:rsidRPr="005E779E" w14:paraId="69E05A4C" w14:textId="77777777" w:rsidTr="005610C8">
        <w:trPr>
          <w:gridAfter w:val="1"/>
          <w:wAfter w:w="15" w:type="dxa"/>
          <w:trHeight w:hRule="exact" w:val="162"/>
        </w:trPr>
        <w:tc>
          <w:tcPr>
            <w:tcW w:w="1120" w:type="dxa"/>
            <w:tcBorders>
              <w:top w:val="single" w:sz="4" w:space="0" w:color="auto"/>
              <w:left w:val="single" w:sz="4" w:space="0" w:color="auto"/>
            </w:tcBorders>
            <w:shd w:val="clear" w:color="auto" w:fill="FFFFFF"/>
            <w:vAlign w:val="bottom"/>
          </w:tcPr>
          <w:p w14:paraId="7CA343C8"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Р-5</w:t>
            </w:r>
          </w:p>
        </w:tc>
        <w:tc>
          <w:tcPr>
            <w:tcW w:w="724" w:type="dxa"/>
            <w:tcBorders>
              <w:top w:val="single" w:sz="4" w:space="0" w:color="auto"/>
              <w:left w:val="single" w:sz="4" w:space="0" w:color="auto"/>
            </w:tcBorders>
            <w:shd w:val="clear" w:color="auto" w:fill="FFFFFF"/>
            <w:vAlign w:val="bottom"/>
          </w:tcPr>
          <w:p w14:paraId="1E6C58ED"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26</w:t>
            </w:r>
          </w:p>
        </w:tc>
        <w:tc>
          <w:tcPr>
            <w:tcW w:w="720" w:type="dxa"/>
            <w:tcBorders>
              <w:top w:val="single" w:sz="4" w:space="0" w:color="auto"/>
              <w:left w:val="single" w:sz="4" w:space="0" w:color="auto"/>
            </w:tcBorders>
            <w:shd w:val="clear" w:color="auto" w:fill="FFFFFF"/>
            <w:vAlign w:val="bottom"/>
          </w:tcPr>
          <w:p w14:paraId="3D9C4CF2"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4</w:t>
            </w:r>
          </w:p>
        </w:tc>
        <w:tc>
          <w:tcPr>
            <w:tcW w:w="724" w:type="dxa"/>
            <w:tcBorders>
              <w:top w:val="single" w:sz="4" w:space="0" w:color="auto"/>
              <w:left w:val="single" w:sz="4" w:space="0" w:color="auto"/>
            </w:tcBorders>
            <w:shd w:val="clear" w:color="auto" w:fill="FFFFFF"/>
            <w:vAlign w:val="bottom"/>
          </w:tcPr>
          <w:p w14:paraId="3040B961"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30</w:t>
            </w:r>
          </w:p>
        </w:tc>
        <w:tc>
          <w:tcPr>
            <w:tcW w:w="1080" w:type="dxa"/>
            <w:tcBorders>
              <w:top w:val="single" w:sz="4" w:space="0" w:color="auto"/>
              <w:left w:val="single" w:sz="4" w:space="0" w:color="auto"/>
            </w:tcBorders>
            <w:shd w:val="clear" w:color="auto" w:fill="FFFFFF"/>
            <w:vAlign w:val="bottom"/>
          </w:tcPr>
          <w:p w14:paraId="3E14936F"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Р-1СП</w:t>
            </w:r>
          </w:p>
        </w:tc>
        <w:tc>
          <w:tcPr>
            <w:tcW w:w="720" w:type="dxa"/>
            <w:tcBorders>
              <w:top w:val="single" w:sz="4" w:space="0" w:color="auto"/>
              <w:left w:val="single" w:sz="4" w:space="0" w:color="auto"/>
            </w:tcBorders>
            <w:shd w:val="clear" w:color="auto" w:fill="FFFFFF"/>
            <w:vAlign w:val="bottom"/>
          </w:tcPr>
          <w:p w14:paraId="3668D0F5"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4</w:t>
            </w:r>
          </w:p>
        </w:tc>
        <w:tc>
          <w:tcPr>
            <w:tcW w:w="720" w:type="dxa"/>
            <w:tcBorders>
              <w:top w:val="single" w:sz="4" w:space="0" w:color="auto"/>
              <w:left w:val="single" w:sz="4" w:space="0" w:color="auto"/>
            </w:tcBorders>
            <w:shd w:val="clear" w:color="auto" w:fill="FFFFFF"/>
            <w:vAlign w:val="bottom"/>
          </w:tcPr>
          <w:p w14:paraId="6E25135A"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16</w:t>
            </w:r>
          </w:p>
        </w:tc>
        <w:tc>
          <w:tcPr>
            <w:tcW w:w="583" w:type="dxa"/>
            <w:tcBorders>
              <w:top w:val="single" w:sz="4" w:space="0" w:color="auto"/>
              <w:left w:val="single" w:sz="4" w:space="0" w:color="auto"/>
              <w:right w:val="single" w:sz="4" w:space="0" w:color="auto"/>
            </w:tcBorders>
            <w:shd w:val="clear" w:color="auto" w:fill="FFFFFF"/>
            <w:vAlign w:val="bottom"/>
          </w:tcPr>
          <w:p w14:paraId="1F64676C"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20</w:t>
            </w:r>
          </w:p>
        </w:tc>
      </w:tr>
      <w:tr w:rsidR="005610C8" w:rsidRPr="005E779E" w14:paraId="3C58866A" w14:textId="77777777" w:rsidTr="005610C8">
        <w:trPr>
          <w:gridAfter w:val="1"/>
          <w:wAfter w:w="15" w:type="dxa"/>
          <w:trHeight w:hRule="exact" w:val="158"/>
        </w:trPr>
        <w:tc>
          <w:tcPr>
            <w:tcW w:w="1120" w:type="dxa"/>
            <w:tcBorders>
              <w:top w:val="single" w:sz="4" w:space="0" w:color="auto"/>
              <w:left w:val="single" w:sz="4" w:space="0" w:color="auto"/>
            </w:tcBorders>
            <w:shd w:val="clear" w:color="auto" w:fill="FFFFFF"/>
            <w:vAlign w:val="bottom"/>
          </w:tcPr>
          <w:p w14:paraId="5EF4FB10"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И-2</w:t>
            </w:r>
          </w:p>
        </w:tc>
        <w:tc>
          <w:tcPr>
            <w:tcW w:w="724" w:type="dxa"/>
            <w:tcBorders>
              <w:top w:val="single" w:sz="4" w:space="0" w:color="auto"/>
              <w:left w:val="single" w:sz="4" w:space="0" w:color="auto"/>
            </w:tcBorders>
            <w:shd w:val="clear" w:color="auto" w:fill="FFFFFF"/>
            <w:vAlign w:val="bottom"/>
          </w:tcPr>
          <w:p w14:paraId="77506C67"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26</w:t>
            </w:r>
          </w:p>
        </w:tc>
        <w:tc>
          <w:tcPr>
            <w:tcW w:w="720" w:type="dxa"/>
            <w:tcBorders>
              <w:top w:val="single" w:sz="4" w:space="0" w:color="auto"/>
              <w:left w:val="single" w:sz="4" w:space="0" w:color="auto"/>
            </w:tcBorders>
            <w:shd w:val="clear" w:color="auto" w:fill="FFFFFF"/>
            <w:vAlign w:val="bottom"/>
          </w:tcPr>
          <w:p w14:paraId="635B9238"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8</w:t>
            </w:r>
          </w:p>
        </w:tc>
        <w:tc>
          <w:tcPr>
            <w:tcW w:w="724" w:type="dxa"/>
            <w:tcBorders>
              <w:top w:val="single" w:sz="4" w:space="0" w:color="auto"/>
              <w:left w:val="single" w:sz="4" w:space="0" w:color="auto"/>
            </w:tcBorders>
            <w:shd w:val="clear" w:color="auto" w:fill="FFFFFF"/>
            <w:vAlign w:val="bottom"/>
          </w:tcPr>
          <w:p w14:paraId="4B055046"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34</w:t>
            </w:r>
          </w:p>
        </w:tc>
        <w:tc>
          <w:tcPr>
            <w:tcW w:w="1080" w:type="dxa"/>
            <w:tcBorders>
              <w:top w:val="single" w:sz="4" w:space="0" w:color="auto"/>
              <w:left w:val="single" w:sz="4" w:space="0" w:color="auto"/>
            </w:tcBorders>
            <w:shd w:val="clear" w:color="auto" w:fill="FFFFFF"/>
            <w:vAlign w:val="bottom"/>
          </w:tcPr>
          <w:p w14:paraId="25E576C8"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У-1</w:t>
            </w:r>
          </w:p>
        </w:tc>
        <w:tc>
          <w:tcPr>
            <w:tcW w:w="720" w:type="dxa"/>
            <w:tcBorders>
              <w:top w:val="single" w:sz="4" w:space="0" w:color="auto"/>
              <w:left w:val="single" w:sz="4" w:space="0" w:color="auto"/>
            </w:tcBorders>
            <w:shd w:val="clear" w:color="auto" w:fill="FFFFFF"/>
            <w:vAlign w:val="bottom"/>
          </w:tcPr>
          <w:p w14:paraId="6F0A98F7"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172</w:t>
            </w:r>
          </w:p>
        </w:tc>
        <w:tc>
          <w:tcPr>
            <w:tcW w:w="720" w:type="dxa"/>
            <w:tcBorders>
              <w:top w:val="single" w:sz="4" w:space="0" w:color="auto"/>
              <w:left w:val="single" w:sz="4" w:space="0" w:color="auto"/>
            </w:tcBorders>
            <w:shd w:val="clear" w:color="auto" w:fill="FFFFFF"/>
            <w:vAlign w:val="bottom"/>
          </w:tcPr>
          <w:p w14:paraId="049B326C"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97</w:t>
            </w:r>
          </w:p>
        </w:tc>
        <w:tc>
          <w:tcPr>
            <w:tcW w:w="583" w:type="dxa"/>
            <w:tcBorders>
              <w:top w:val="single" w:sz="4" w:space="0" w:color="auto"/>
              <w:left w:val="single" w:sz="4" w:space="0" w:color="auto"/>
              <w:right w:val="single" w:sz="4" w:space="0" w:color="auto"/>
            </w:tcBorders>
            <w:shd w:val="clear" w:color="auto" w:fill="FFFFFF"/>
            <w:vAlign w:val="bottom"/>
          </w:tcPr>
          <w:p w14:paraId="50EA01EB"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269</w:t>
            </w:r>
          </w:p>
        </w:tc>
      </w:tr>
      <w:tr w:rsidR="005610C8" w:rsidRPr="005E779E" w14:paraId="18477582" w14:textId="77777777" w:rsidTr="005610C8">
        <w:trPr>
          <w:gridAfter w:val="1"/>
          <w:wAfter w:w="15" w:type="dxa"/>
          <w:trHeight w:hRule="exact" w:val="162"/>
        </w:trPr>
        <w:tc>
          <w:tcPr>
            <w:tcW w:w="1120" w:type="dxa"/>
            <w:tcBorders>
              <w:top w:val="single" w:sz="4" w:space="0" w:color="auto"/>
              <w:left w:val="single" w:sz="4" w:space="0" w:color="auto"/>
            </w:tcBorders>
            <w:shd w:val="clear" w:color="auto" w:fill="FFFFFF"/>
            <w:vAlign w:val="bottom"/>
          </w:tcPr>
          <w:p w14:paraId="2B295585"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И-2бис</w:t>
            </w:r>
          </w:p>
        </w:tc>
        <w:tc>
          <w:tcPr>
            <w:tcW w:w="724" w:type="dxa"/>
            <w:tcBorders>
              <w:top w:val="single" w:sz="4" w:space="0" w:color="auto"/>
              <w:left w:val="single" w:sz="4" w:space="0" w:color="auto"/>
            </w:tcBorders>
            <w:shd w:val="clear" w:color="auto" w:fill="FFFFFF"/>
            <w:vAlign w:val="bottom"/>
          </w:tcPr>
          <w:p w14:paraId="6BC28DF4"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65</w:t>
            </w:r>
          </w:p>
        </w:tc>
        <w:tc>
          <w:tcPr>
            <w:tcW w:w="720" w:type="dxa"/>
            <w:tcBorders>
              <w:top w:val="single" w:sz="4" w:space="0" w:color="auto"/>
              <w:left w:val="single" w:sz="4" w:space="0" w:color="auto"/>
            </w:tcBorders>
            <w:shd w:val="clear" w:color="auto" w:fill="FFFFFF"/>
            <w:vAlign w:val="bottom"/>
          </w:tcPr>
          <w:p w14:paraId="21CCC427"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7</w:t>
            </w:r>
          </w:p>
        </w:tc>
        <w:tc>
          <w:tcPr>
            <w:tcW w:w="724" w:type="dxa"/>
            <w:tcBorders>
              <w:top w:val="single" w:sz="4" w:space="0" w:color="auto"/>
              <w:left w:val="single" w:sz="4" w:space="0" w:color="auto"/>
            </w:tcBorders>
            <w:shd w:val="clear" w:color="auto" w:fill="FFFFFF"/>
            <w:vAlign w:val="bottom"/>
          </w:tcPr>
          <w:p w14:paraId="478DBF0B"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72</w:t>
            </w:r>
          </w:p>
        </w:tc>
        <w:tc>
          <w:tcPr>
            <w:tcW w:w="1080" w:type="dxa"/>
            <w:tcBorders>
              <w:top w:val="single" w:sz="4" w:space="0" w:color="auto"/>
              <w:left w:val="single" w:sz="4" w:space="0" w:color="auto"/>
            </w:tcBorders>
            <w:shd w:val="clear" w:color="auto" w:fill="FFFFFF"/>
            <w:vAlign w:val="bottom"/>
          </w:tcPr>
          <w:p w14:paraId="23E6EFA6"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У-2</w:t>
            </w:r>
          </w:p>
        </w:tc>
        <w:tc>
          <w:tcPr>
            <w:tcW w:w="720" w:type="dxa"/>
            <w:tcBorders>
              <w:top w:val="single" w:sz="4" w:space="0" w:color="auto"/>
              <w:left w:val="single" w:sz="4" w:space="0" w:color="auto"/>
            </w:tcBorders>
            <w:shd w:val="clear" w:color="auto" w:fill="FFFFFF"/>
            <w:vAlign w:val="bottom"/>
          </w:tcPr>
          <w:p w14:paraId="6D84874C"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75</w:t>
            </w:r>
          </w:p>
        </w:tc>
        <w:tc>
          <w:tcPr>
            <w:tcW w:w="720" w:type="dxa"/>
            <w:tcBorders>
              <w:top w:val="single" w:sz="4" w:space="0" w:color="auto"/>
              <w:left w:val="single" w:sz="4" w:space="0" w:color="auto"/>
            </w:tcBorders>
            <w:shd w:val="clear" w:color="auto" w:fill="FFFFFF"/>
            <w:vAlign w:val="bottom"/>
          </w:tcPr>
          <w:p w14:paraId="10476034"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6</w:t>
            </w:r>
          </w:p>
        </w:tc>
        <w:tc>
          <w:tcPr>
            <w:tcW w:w="583" w:type="dxa"/>
            <w:tcBorders>
              <w:top w:val="single" w:sz="4" w:space="0" w:color="auto"/>
              <w:left w:val="single" w:sz="4" w:space="0" w:color="auto"/>
              <w:right w:val="single" w:sz="4" w:space="0" w:color="auto"/>
            </w:tcBorders>
            <w:shd w:val="clear" w:color="auto" w:fill="FFFFFF"/>
            <w:vAlign w:val="bottom"/>
          </w:tcPr>
          <w:p w14:paraId="1D426C75"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81</w:t>
            </w:r>
          </w:p>
        </w:tc>
      </w:tr>
      <w:tr w:rsidR="005610C8" w:rsidRPr="005E779E" w14:paraId="5FF4968B" w14:textId="77777777" w:rsidTr="005610C8">
        <w:trPr>
          <w:gridAfter w:val="1"/>
          <w:wAfter w:w="15" w:type="dxa"/>
          <w:trHeight w:hRule="exact" w:val="162"/>
        </w:trPr>
        <w:tc>
          <w:tcPr>
            <w:tcW w:w="1120" w:type="dxa"/>
            <w:tcBorders>
              <w:top w:val="single" w:sz="4" w:space="0" w:color="auto"/>
              <w:left w:val="single" w:sz="4" w:space="0" w:color="auto"/>
            </w:tcBorders>
            <w:shd w:val="clear" w:color="auto" w:fill="FFFFFF"/>
            <w:vAlign w:val="bottom"/>
          </w:tcPr>
          <w:p w14:paraId="0873CE20"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И-3</w:t>
            </w:r>
          </w:p>
        </w:tc>
        <w:tc>
          <w:tcPr>
            <w:tcW w:w="724" w:type="dxa"/>
            <w:tcBorders>
              <w:top w:val="single" w:sz="4" w:space="0" w:color="auto"/>
              <w:left w:val="single" w:sz="4" w:space="0" w:color="auto"/>
            </w:tcBorders>
            <w:shd w:val="clear" w:color="auto" w:fill="FFFFFF"/>
            <w:vAlign w:val="bottom"/>
          </w:tcPr>
          <w:p w14:paraId="5DB7698E"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258</w:t>
            </w:r>
          </w:p>
        </w:tc>
        <w:tc>
          <w:tcPr>
            <w:tcW w:w="720" w:type="dxa"/>
            <w:tcBorders>
              <w:top w:val="single" w:sz="4" w:space="0" w:color="auto"/>
              <w:left w:val="single" w:sz="4" w:space="0" w:color="auto"/>
            </w:tcBorders>
            <w:shd w:val="clear" w:color="auto" w:fill="FFFFFF"/>
            <w:vAlign w:val="bottom"/>
          </w:tcPr>
          <w:p w14:paraId="605954CF"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21</w:t>
            </w:r>
          </w:p>
        </w:tc>
        <w:tc>
          <w:tcPr>
            <w:tcW w:w="724" w:type="dxa"/>
            <w:tcBorders>
              <w:top w:val="single" w:sz="4" w:space="0" w:color="auto"/>
              <w:left w:val="single" w:sz="4" w:space="0" w:color="auto"/>
            </w:tcBorders>
            <w:shd w:val="clear" w:color="auto" w:fill="FFFFFF"/>
            <w:vAlign w:val="bottom"/>
          </w:tcPr>
          <w:p w14:paraId="5E177C70"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279</w:t>
            </w:r>
          </w:p>
        </w:tc>
        <w:tc>
          <w:tcPr>
            <w:tcW w:w="1080" w:type="dxa"/>
            <w:tcBorders>
              <w:top w:val="single" w:sz="4" w:space="0" w:color="auto"/>
              <w:left w:val="single" w:sz="4" w:space="0" w:color="auto"/>
            </w:tcBorders>
            <w:shd w:val="clear" w:color="auto" w:fill="FFFFFF"/>
            <w:vAlign w:val="bottom"/>
          </w:tcPr>
          <w:p w14:paraId="460DBC77"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М4-1</w:t>
            </w:r>
          </w:p>
        </w:tc>
        <w:tc>
          <w:tcPr>
            <w:tcW w:w="720" w:type="dxa"/>
            <w:tcBorders>
              <w:top w:val="single" w:sz="4" w:space="0" w:color="auto"/>
              <w:left w:val="single" w:sz="4" w:space="0" w:color="auto"/>
            </w:tcBorders>
            <w:shd w:val="clear" w:color="auto" w:fill="FFFFFF"/>
            <w:vAlign w:val="bottom"/>
          </w:tcPr>
          <w:p w14:paraId="1803EAAA"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36</w:t>
            </w:r>
          </w:p>
        </w:tc>
        <w:tc>
          <w:tcPr>
            <w:tcW w:w="720" w:type="dxa"/>
            <w:tcBorders>
              <w:top w:val="single" w:sz="4" w:space="0" w:color="auto"/>
              <w:left w:val="single" w:sz="4" w:space="0" w:color="auto"/>
            </w:tcBorders>
            <w:shd w:val="clear" w:color="auto" w:fill="FFFFFF"/>
            <w:vAlign w:val="bottom"/>
          </w:tcPr>
          <w:p w14:paraId="694E2F88"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8</w:t>
            </w:r>
          </w:p>
        </w:tc>
        <w:tc>
          <w:tcPr>
            <w:tcW w:w="583" w:type="dxa"/>
            <w:tcBorders>
              <w:top w:val="single" w:sz="4" w:space="0" w:color="auto"/>
              <w:left w:val="single" w:sz="4" w:space="0" w:color="auto"/>
              <w:right w:val="single" w:sz="4" w:space="0" w:color="auto"/>
            </w:tcBorders>
            <w:shd w:val="clear" w:color="auto" w:fill="FFFFFF"/>
            <w:vAlign w:val="bottom"/>
          </w:tcPr>
          <w:p w14:paraId="778261F3"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44</w:t>
            </w:r>
          </w:p>
        </w:tc>
      </w:tr>
      <w:tr w:rsidR="005610C8" w:rsidRPr="005E779E" w14:paraId="6DE365F5" w14:textId="77777777" w:rsidTr="005610C8">
        <w:trPr>
          <w:gridAfter w:val="1"/>
          <w:wAfter w:w="15" w:type="dxa"/>
          <w:trHeight w:hRule="exact" w:val="158"/>
        </w:trPr>
        <w:tc>
          <w:tcPr>
            <w:tcW w:w="1120" w:type="dxa"/>
            <w:tcBorders>
              <w:top w:val="single" w:sz="4" w:space="0" w:color="auto"/>
              <w:left w:val="single" w:sz="4" w:space="0" w:color="auto"/>
            </w:tcBorders>
            <w:shd w:val="clear" w:color="auto" w:fill="FFFFFF"/>
            <w:vAlign w:val="bottom"/>
          </w:tcPr>
          <w:p w14:paraId="454048A8"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И-4</w:t>
            </w:r>
          </w:p>
        </w:tc>
        <w:tc>
          <w:tcPr>
            <w:tcW w:w="724" w:type="dxa"/>
            <w:tcBorders>
              <w:top w:val="single" w:sz="4" w:space="0" w:color="auto"/>
              <w:left w:val="single" w:sz="4" w:space="0" w:color="auto"/>
            </w:tcBorders>
            <w:shd w:val="clear" w:color="auto" w:fill="FFFFFF"/>
            <w:vAlign w:val="bottom"/>
          </w:tcPr>
          <w:p w14:paraId="4E304007"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138</w:t>
            </w:r>
          </w:p>
        </w:tc>
        <w:tc>
          <w:tcPr>
            <w:tcW w:w="720" w:type="dxa"/>
            <w:tcBorders>
              <w:top w:val="single" w:sz="4" w:space="0" w:color="auto"/>
              <w:left w:val="single" w:sz="4" w:space="0" w:color="auto"/>
            </w:tcBorders>
            <w:shd w:val="clear" w:color="auto" w:fill="FFFFFF"/>
            <w:vAlign w:val="bottom"/>
          </w:tcPr>
          <w:p w14:paraId="2C153512"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12</w:t>
            </w:r>
          </w:p>
        </w:tc>
        <w:tc>
          <w:tcPr>
            <w:tcW w:w="724" w:type="dxa"/>
            <w:tcBorders>
              <w:top w:val="single" w:sz="4" w:space="0" w:color="auto"/>
              <w:left w:val="single" w:sz="4" w:space="0" w:color="auto"/>
            </w:tcBorders>
            <w:shd w:val="clear" w:color="auto" w:fill="FFFFFF"/>
            <w:vAlign w:val="bottom"/>
          </w:tcPr>
          <w:p w14:paraId="44A1B5ED"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150</w:t>
            </w:r>
          </w:p>
        </w:tc>
        <w:tc>
          <w:tcPr>
            <w:tcW w:w="1080" w:type="dxa"/>
            <w:tcBorders>
              <w:top w:val="single" w:sz="4" w:space="0" w:color="auto"/>
              <w:left w:val="single" w:sz="4" w:space="0" w:color="auto"/>
            </w:tcBorders>
            <w:shd w:val="clear" w:color="auto" w:fill="FFFFFF"/>
            <w:vAlign w:val="bottom"/>
          </w:tcPr>
          <w:p w14:paraId="0ACD1C65"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Р-1 с БМВ</w:t>
            </w:r>
          </w:p>
        </w:tc>
        <w:tc>
          <w:tcPr>
            <w:tcW w:w="720" w:type="dxa"/>
            <w:tcBorders>
              <w:top w:val="single" w:sz="4" w:space="0" w:color="auto"/>
              <w:left w:val="single" w:sz="4" w:space="0" w:color="auto"/>
            </w:tcBorders>
            <w:shd w:val="clear" w:color="auto" w:fill="FFFFFF"/>
            <w:vAlign w:val="bottom"/>
          </w:tcPr>
          <w:p w14:paraId="79C6F341"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43</w:t>
            </w:r>
          </w:p>
        </w:tc>
        <w:tc>
          <w:tcPr>
            <w:tcW w:w="720" w:type="dxa"/>
            <w:tcBorders>
              <w:top w:val="single" w:sz="4" w:space="0" w:color="auto"/>
              <w:left w:val="single" w:sz="4" w:space="0" w:color="auto"/>
            </w:tcBorders>
            <w:shd w:val="clear" w:color="auto" w:fill="FFFFFF"/>
            <w:vAlign w:val="bottom"/>
          </w:tcPr>
          <w:p w14:paraId="606EF707"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36</w:t>
            </w:r>
          </w:p>
        </w:tc>
        <w:tc>
          <w:tcPr>
            <w:tcW w:w="583" w:type="dxa"/>
            <w:tcBorders>
              <w:top w:val="single" w:sz="4" w:space="0" w:color="auto"/>
              <w:left w:val="single" w:sz="4" w:space="0" w:color="auto"/>
              <w:right w:val="single" w:sz="4" w:space="0" w:color="auto"/>
            </w:tcBorders>
            <w:shd w:val="clear" w:color="auto" w:fill="FFFFFF"/>
            <w:vAlign w:val="bottom"/>
          </w:tcPr>
          <w:p w14:paraId="1C07AF79"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79</w:t>
            </w:r>
          </w:p>
        </w:tc>
      </w:tr>
      <w:tr w:rsidR="005610C8" w:rsidRPr="005E779E" w14:paraId="72173742" w14:textId="77777777" w:rsidTr="005610C8">
        <w:trPr>
          <w:gridAfter w:val="1"/>
          <w:wAfter w:w="15" w:type="dxa"/>
          <w:trHeight w:hRule="exact" w:val="162"/>
        </w:trPr>
        <w:tc>
          <w:tcPr>
            <w:tcW w:w="1120" w:type="dxa"/>
            <w:tcBorders>
              <w:top w:val="single" w:sz="4" w:space="0" w:color="auto"/>
              <w:left w:val="single" w:sz="4" w:space="0" w:color="auto"/>
            </w:tcBorders>
            <w:shd w:val="clear" w:color="auto" w:fill="FFFFFF"/>
            <w:vAlign w:val="center"/>
          </w:tcPr>
          <w:p w14:paraId="47CB6043"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И-5</w:t>
            </w:r>
          </w:p>
        </w:tc>
        <w:tc>
          <w:tcPr>
            <w:tcW w:w="724" w:type="dxa"/>
            <w:tcBorders>
              <w:top w:val="single" w:sz="4" w:space="0" w:color="auto"/>
              <w:left w:val="single" w:sz="4" w:space="0" w:color="auto"/>
            </w:tcBorders>
            <w:shd w:val="clear" w:color="auto" w:fill="FFFFFF"/>
            <w:vAlign w:val="center"/>
          </w:tcPr>
          <w:p w14:paraId="6038D8B5"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11</w:t>
            </w:r>
          </w:p>
        </w:tc>
        <w:tc>
          <w:tcPr>
            <w:tcW w:w="720" w:type="dxa"/>
            <w:tcBorders>
              <w:top w:val="single" w:sz="4" w:space="0" w:color="auto"/>
              <w:left w:val="single" w:sz="4" w:space="0" w:color="auto"/>
            </w:tcBorders>
            <w:shd w:val="clear" w:color="auto" w:fill="FFFFFF"/>
            <w:vAlign w:val="center"/>
          </w:tcPr>
          <w:p w14:paraId="7FDE86F2"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w:t>
            </w:r>
          </w:p>
        </w:tc>
        <w:tc>
          <w:tcPr>
            <w:tcW w:w="724" w:type="dxa"/>
            <w:tcBorders>
              <w:top w:val="single" w:sz="4" w:space="0" w:color="auto"/>
              <w:left w:val="single" w:sz="4" w:space="0" w:color="auto"/>
            </w:tcBorders>
            <w:shd w:val="clear" w:color="auto" w:fill="FFFFFF"/>
            <w:vAlign w:val="center"/>
          </w:tcPr>
          <w:p w14:paraId="16EBE109"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12</w:t>
            </w:r>
          </w:p>
        </w:tc>
        <w:tc>
          <w:tcPr>
            <w:tcW w:w="1080" w:type="dxa"/>
            <w:tcBorders>
              <w:top w:val="single" w:sz="4" w:space="0" w:color="auto"/>
              <w:left w:val="single" w:sz="4" w:space="0" w:color="auto"/>
            </w:tcBorders>
            <w:shd w:val="clear" w:color="auto" w:fill="FFFFFF"/>
            <w:vAlign w:val="center"/>
          </w:tcPr>
          <w:p w14:paraId="7224D821"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Р-6</w:t>
            </w:r>
          </w:p>
        </w:tc>
        <w:tc>
          <w:tcPr>
            <w:tcW w:w="720" w:type="dxa"/>
            <w:tcBorders>
              <w:top w:val="single" w:sz="4" w:space="0" w:color="auto"/>
              <w:left w:val="single" w:sz="4" w:space="0" w:color="auto"/>
            </w:tcBorders>
            <w:shd w:val="clear" w:color="auto" w:fill="FFFFFF"/>
            <w:vAlign w:val="center"/>
          </w:tcPr>
          <w:p w14:paraId="0A845D3B"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w:t>
            </w:r>
          </w:p>
        </w:tc>
        <w:tc>
          <w:tcPr>
            <w:tcW w:w="720" w:type="dxa"/>
            <w:tcBorders>
              <w:top w:val="single" w:sz="4" w:space="0" w:color="auto"/>
              <w:left w:val="single" w:sz="4" w:space="0" w:color="auto"/>
            </w:tcBorders>
            <w:shd w:val="clear" w:color="auto" w:fill="FFFFFF"/>
            <w:vAlign w:val="center"/>
          </w:tcPr>
          <w:p w14:paraId="12F96200"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w:t>
            </w:r>
          </w:p>
        </w:tc>
        <w:tc>
          <w:tcPr>
            <w:tcW w:w="583" w:type="dxa"/>
            <w:tcBorders>
              <w:top w:val="single" w:sz="4" w:space="0" w:color="auto"/>
              <w:left w:val="single" w:sz="4" w:space="0" w:color="auto"/>
              <w:right w:val="single" w:sz="4" w:space="0" w:color="auto"/>
            </w:tcBorders>
            <w:shd w:val="clear" w:color="auto" w:fill="FFFFFF"/>
            <w:vAlign w:val="center"/>
          </w:tcPr>
          <w:p w14:paraId="04314B02"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w:t>
            </w:r>
          </w:p>
        </w:tc>
      </w:tr>
      <w:tr w:rsidR="005610C8" w:rsidRPr="005E779E" w14:paraId="054D26D5" w14:textId="77777777" w:rsidTr="005610C8">
        <w:trPr>
          <w:gridAfter w:val="1"/>
          <w:wAfter w:w="15" w:type="dxa"/>
          <w:trHeight w:hRule="exact" w:val="162"/>
        </w:trPr>
        <w:tc>
          <w:tcPr>
            <w:tcW w:w="1120" w:type="dxa"/>
            <w:tcBorders>
              <w:top w:val="single" w:sz="4" w:space="0" w:color="auto"/>
              <w:left w:val="single" w:sz="4" w:space="0" w:color="auto"/>
            </w:tcBorders>
            <w:shd w:val="clear" w:color="auto" w:fill="FFFFFF"/>
          </w:tcPr>
          <w:p w14:paraId="7FAFCD44"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ФС-IV</w:t>
            </w:r>
          </w:p>
        </w:tc>
        <w:tc>
          <w:tcPr>
            <w:tcW w:w="724" w:type="dxa"/>
            <w:tcBorders>
              <w:top w:val="single" w:sz="4" w:space="0" w:color="auto"/>
              <w:left w:val="single" w:sz="4" w:space="0" w:color="auto"/>
            </w:tcBorders>
            <w:shd w:val="clear" w:color="auto" w:fill="FFFFFF"/>
          </w:tcPr>
          <w:p w14:paraId="1662B84B"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25</w:t>
            </w:r>
          </w:p>
        </w:tc>
        <w:tc>
          <w:tcPr>
            <w:tcW w:w="720" w:type="dxa"/>
            <w:tcBorders>
              <w:top w:val="single" w:sz="4" w:space="0" w:color="auto"/>
              <w:left w:val="single" w:sz="4" w:space="0" w:color="auto"/>
            </w:tcBorders>
            <w:shd w:val="clear" w:color="auto" w:fill="FFFFFF"/>
          </w:tcPr>
          <w:p w14:paraId="6444E232"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7</w:t>
            </w:r>
          </w:p>
        </w:tc>
        <w:tc>
          <w:tcPr>
            <w:tcW w:w="724" w:type="dxa"/>
            <w:tcBorders>
              <w:top w:val="single" w:sz="4" w:space="0" w:color="auto"/>
              <w:left w:val="single" w:sz="4" w:space="0" w:color="auto"/>
            </w:tcBorders>
            <w:shd w:val="clear" w:color="auto" w:fill="FFFFFF"/>
          </w:tcPr>
          <w:p w14:paraId="41A686E9"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32</w:t>
            </w:r>
          </w:p>
        </w:tc>
        <w:tc>
          <w:tcPr>
            <w:tcW w:w="1080" w:type="dxa"/>
            <w:tcBorders>
              <w:top w:val="single" w:sz="4" w:space="0" w:color="auto"/>
              <w:left w:val="single" w:sz="4" w:space="0" w:color="auto"/>
            </w:tcBorders>
            <w:shd w:val="clear" w:color="auto" w:fill="FFFFFF"/>
          </w:tcPr>
          <w:p w14:paraId="2C925DF4" w14:textId="77777777" w:rsidR="005610C8" w:rsidRPr="005E779E" w:rsidRDefault="005610C8" w:rsidP="00DC550A">
            <w:pPr>
              <w:pStyle w:val="affe"/>
              <w:ind w:right="380"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лш</w:t>
            </w:r>
          </w:p>
        </w:tc>
        <w:tc>
          <w:tcPr>
            <w:tcW w:w="720" w:type="dxa"/>
            <w:tcBorders>
              <w:top w:val="single" w:sz="4" w:space="0" w:color="auto"/>
              <w:left w:val="single" w:sz="4" w:space="0" w:color="auto"/>
            </w:tcBorders>
            <w:shd w:val="clear" w:color="auto" w:fill="FFFFFF"/>
          </w:tcPr>
          <w:p w14:paraId="062B3428"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w:t>
            </w:r>
          </w:p>
        </w:tc>
        <w:tc>
          <w:tcPr>
            <w:tcW w:w="720" w:type="dxa"/>
            <w:tcBorders>
              <w:top w:val="single" w:sz="4" w:space="0" w:color="auto"/>
              <w:left w:val="single" w:sz="4" w:space="0" w:color="auto"/>
            </w:tcBorders>
            <w:shd w:val="clear" w:color="auto" w:fill="FFFFFF"/>
            <w:vAlign w:val="bottom"/>
          </w:tcPr>
          <w:p w14:paraId="427CA631"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w:t>
            </w:r>
          </w:p>
        </w:tc>
        <w:tc>
          <w:tcPr>
            <w:tcW w:w="583" w:type="dxa"/>
            <w:tcBorders>
              <w:top w:val="single" w:sz="4" w:space="0" w:color="auto"/>
              <w:left w:val="single" w:sz="4" w:space="0" w:color="auto"/>
              <w:right w:val="single" w:sz="4" w:space="0" w:color="auto"/>
            </w:tcBorders>
            <w:shd w:val="clear" w:color="auto" w:fill="FFFFFF"/>
          </w:tcPr>
          <w:p w14:paraId="43008077"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w:t>
            </w:r>
          </w:p>
        </w:tc>
      </w:tr>
      <w:tr w:rsidR="005610C8" w:rsidRPr="005E779E" w14:paraId="0DEB9311" w14:textId="77777777" w:rsidTr="005610C8">
        <w:trPr>
          <w:gridAfter w:val="1"/>
          <w:wAfter w:w="15" w:type="dxa"/>
          <w:trHeight w:hRule="exact" w:val="158"/>
        </w:trPr>
        <w:tc>
          <w:tcPr>
            <w:tcW w:w="1120" w:type="dxa"/>
            <w:tcBorders>
              <w:top w:val="single" w:sz="4" w:space="0" w:color="auto"/>
              <w:left w:val="single" w:sz="4" w:space="0" w:color="auto"/>
            </w:tcBorders>
            <w:shd w:val="clear" w:color="auto" w:fill="FFFFFF"/>
            <w:vAlign w:val="bottom"/>
          </w:tcPr>
          <w:p w14:paraId="7BD7656F"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ФД-УП</w:t>
            </w:r>
          </w:p>
        </w:tc>
        <w:tc>
          <w:tcPr>
            <w:tcW w:w="724" w:type="dxa"/>
            <w:tcBorders>
              <w:top w:val="single" w:sz="4" w:space="0" w:color="auto"/>
              <w:left w:val="single" w:sz="4" w:space="0" w:color="auto"/>
            </w:tcBorders>
            <w:shd w:val="clear" w:color="auto" w:fill="FFFFFF"/>
            <w:vAlign w:val="bottom"/>
          </w:tcPr>
          <w:p w14:paraId="115B4C09"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10</w:t>
            </w:r>
          </w:p>
        </w:tc>
        <w:tc>
          <w:tcPr>
            <w:tcW w:w="720" w:type="dxa"/>
            <w:tcBorders>
              <w:top w:val="single" w:sz="4" w:space="0" w:color="auto"/>
              <w:left w:val="single" w:sz="4" w:space="0" w:color="auto"/>
            </w:tcBorders>
            <w:shd w:val="clear" w:color="auto" w:fill="FFFFFF"/>
            <w:vAlign w:val="bottom"/>
          </w:tcPr>
          <w:p w14:paraId="7680C0B8"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w:t>
            </w:r>
          </w:p>
        </w:tc>
        <w:tc>
          <w:tcPr>
            <w:tcW w:w="724" w:type="dxa"/>
            <w:tcBorders>
              <w:top w:val="single" w:sz="4" w:space="0" w:color="auto"/>
              <w:left w:val="single" w:sz="4" w:space="0" w:color="auto"/>
            </w:tcBorders>
            <w:shd w:val="clear" w:color="auto" w:fill="FFFFFF"/>
            <w:vAlign w:val="bottom"/>
          </w:tcPr>
          <w:p w14:paraId="446E4FAD"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11</w:t>
            </w:r>
          </w:p>
        </w:tc>
        <w:tc>
          <w:tcPr>
            <w:tcW w:w="1080" w:type="dxa"/>
            <w:tcBorders>
              <w:top w:val="single" w:sz="4" w:space="0" w:color="auto"/>
              <w:left w:val="single" w:sz="4" w:space="0" w:color="auto"/>
            </w:tcBorders>
            <w:shd w:val="clear" w:color="auto" w:fill="FFFFFF"/>
            <w:vAlign w:val="bottom"/>
          </w:tcPr>
          <w:p w14:paraId="56F36B00"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Дорнье-Валь</w:t>
            </w:r>
          </w:p>
        </w:tc>
        <w:tc>
          <w:tcPr>
            <w:tcW w:w="720" w:type="dxa"/>
            <w:tcBorders>
              <w:top w:val="single" w:sz="4" w:space="0" w:color="auto"/>
              <w:left w:val="single" w:sz="4" w:space="0" w:color="auto"/>
            </w:tcBorders>
            <w:shd w:val="clear" w:color="auto" w:fill="FFFFFF"/>
            <w:vAlign w:val="bottom"/>
          </w:tcPr>
          <w:p w14:paraId="535CBFF5"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14</w:t>
            </w:r>
          </w:p>
        </w:tc>
        <w:tc>
          <w:tcPr>
            <w:tcW w:w="720" w:type="dxa"/>
            <w:tcBorders>
              <w:top w:val="single" w:sz="4" w:space="0" w:color="auto"/>
              <w:left w:val="single" w:sz="4" w:space="0" w:color="auto"/>
            </w:tcBorders>
            <w:shd w:val="clear" w:color="auto" w:fill="FFFFFF"/>
            <w:vAlign w:val="bottom"/>
          </w:tcPr>
          <w:p w14:paraId="283CF57E"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6</w:t>
            </w:r>
          </w:p>
        </w:tc>
        <w:tc>
          <w:tcPr>
            <w:tcW w:w="583" w:type="dxa"/>
            <w:tcBorders>
              <w:top w:val="single" w:sz="4" w:space="0" w:color="auto"/>
              <w:left w:val="single" w:sz="4" w:space="0" w:color="auto"/>
              <w:right w:val="single" w:sz="4" w:space="0" w:color="auto"/>
            </w:tcBorders>
            <w:shd w:val="clear" w:color="auto" w:fill="FFFFFF"/>
            <w:vAlign w:val="bottom"/>
          </w:tcPr>
          <w:p w14:paraId="45A2B44C"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20</w:t>
            </w:r>
          </w:p>
        </w:tc>
      </w:tr>
      <w:tr w:rsidR="005610C8" w:rsidRPr="005E779E" w14:paraId="5CD112FB" w14:textId="77777777" w:rsidTr="005610C8">
        <w:trPr>
          <w:gridAfter w:val="1"/>
          <w:wAfter w:w="15" w:type="dxa"/>
          <w:trHeight w:hRule="exact" w:val="162"/>
        </w:trPr>
        <w:tc>
          <w:tcPr>
            <w:tcW w:w="1120" w:type="dxa"/>
            <w:tcBorders>
              <w:top w:val="single" w:sz="4" w:space="0" w:color="auto"/>
              <w:left w:val="single" w:sz="4" w:space="0" w:color="auto"/>
            </w:tcBorders>
            <w:shd w:val="clear" w:color="auto" w:fill="FFFFFF"/>
            <w:vAlign w:val="bottom"/>
          </w:tcPr>
          <w:p w14:paraId="2175A348"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ФД-Х1</w:t>
            </w:r>
          </w:p>
        </w:tc>
        <w:tc>
          <w:tcPr>
            <w:tcW w:w="724" w:type="dxa"/>
            <w:tcBorders>
              <w:top w:val="single" w:sz="4" w:space="0" w:color="auto"/>
              <w:left w:val="single" w:sz="4" w:space="0" w:color="auto"/>
            </w:tcBorders>
            <w:shd w:val="clear" w:color="auto" w:fill="FFFFFF"/>
            <w:vAlign w:val="bottom"/>
          </w:tcPr>
          <w:p w14:paraId="3905CC29"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52</w:t>
            </w:r>
          </w:p>
        </w:tc>
        <w:tc>
          <w:tcPr>
            <w:tcW w:w="720" w:type="dxa"/>
            <w:tcBorders>
              <w:top w:val="single" w:sz="4" w:space="0" w:color="auto"/>
              <w:left w:val="single" w:sz="4" w:space="0" w:color="auto"/>
            </w:tcBorders>
            <w:shd w:val="clear" w:color="auto" w:fill="FFFFFF"/>
            <w:vAlign w:val="bottom"/>
          </w:tcPr>
          <w:p w14:paraId="2E7613EB"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36</w:t>
            </w:r>
          </w:p>
        </w:tc>
        <w:tc>
          <w:tcPr>
            <w:tcW w:w="724" w:type="dxa"/>
            <w:tcBorders>
              <w:top w:val="single" w:sz="4" w:space="0" w:color="auto"/>
              <w:left w:val="single" w:sz="4" w:space="0" w:color="auto"/>
            </w:tcBorders>
            <w:shd w:val="clear" w:color="auto" w:fill="FFFFFF"/>
            <w:vAlign w:val="bottom"/>
          </w:tcPr>
          <w:p w14:paraId="02E6DBBE"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88</w:t>
            </w:r>
          </w:p>
        </w:tc>
        <w:tc>
          <w:tcPr>
            <w:tcW w:w="1080" w:type="dxa"/>
            <w:tcBorders>
              <w:top w:val="single" w:sz="4" w:space="0" w:color="auto"/>
              <w:left w:val="single" w:sz="4" w:space="0" w:color="auto"/>
            </w:tcBorders>
            <w:shd w:val="clear" w:color="auto" w:fill="FFFFFF"/>
            <w:vAlign w:val="bottom"/>
          </w:tcPr>
          <w:p w14:paraId="6D88B26E"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НД-55</w:t>
            </w:r>
          </w:p>
        </w:tc>
        <w:tc>
          <w:tcPr>
            <w:tcW w:w="720" w:type="dxa"/>
            <w:tcBorders>
              <w:top w:val="single" w:sz="4" w:space="0" w:color="auto"/>
              <w:left w:val="single" w:sz="4" w:space="0" w:color="auto"/>
            </w:tcBorders>
            <w:shd w:val="clear" w:color="auto" w:fill="FFFFFF"/>
            <w:vAlign w:val="bottom"/>
          </w:tcPr>
          <w:p w14:paraId="30321ED3"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19</w:t>
            </w:r>
          </w:p>
        </w:tc>
        <w:tc>
          <w:tcPr>
            <w:tcW w:w="720" w:type="dxa"/>
            <w:tcBorders>
              <w:top w:val="single" w:sz="4" w:space="0" w:color="auto"/>
              <w:left w:val="single" w:sz="4" w:space="0" w:color="auto"/>
            </w:tcBorders>
            <w:shd w:val="clear" w:color="auto" w:fill="FFFFFF"/>
            <w:vAlign w:val="bottom"/>
          </w:tcPr>
          <w:p w14:paraId="0DD54E9C"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w:t>
            </w:r>
          </w:p>
        </w:tc>
        <w:tc>
          <w:tcPr>
            <w:tcW w:w="583" w:type="dxa"/>
            <w:tcBorders>
              <w:top w:val="single" w:sz="4" w:space="0" w:color="auto"/>
              <w:left w:val="single" w:sz="4" w:space="0" w:color="auto"/>
              <w:right w:val="single" w:sz="4" w:space="0" w:color="auto"/>
            </w:tcBorders>
            <w:shd w:val="clear" w:color="auto" w:fill="FFFFFF"/>
            <w:vAlign w:val="bottom"/>
          </w:tcPr>
          <w:p w14:paraId="4B3574DD"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19</w:t>
            </w:r>
          </w:p>
        </w:tc>
      </w:tr>
      <w:tr w:rsidR="005610C8" w:rsidRPr="005E779E" w14:paraId="7F8C9E4C" w14:textId="77777777" w:rsidTr="005610C8">
        <w:trPr>
          <w:gridAfter w:val="1"/>
          <w:wAfter w:w="15" w:type="dxa"/>
          <w:trHeight w:hRule="exact" w:val="162"/>
        </w:trPr>
        <w:tc>
          <w:tcPr>
            <w:tcW w:w="1120" w:type="dxa"/>
            <w:tcBorders>
              <w:top w:val="single" w:sz="4" w:space="0" w:color="auto"/>
              <w:left w:val="single" w:sz="4" w:space="0" w:color="auto"/>
            </w:tcBorders>
            <w:shd w:val="clear" w:color="auto" w:fill="FFFFFF"/>
            <w:vAlign w:val="bottom"/>
          </w:tcPr>
          <w:p w14:paraId="5BD21913"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Мартинсайд</w:t>
            </w:r>
          </w:p>
        </w:tc>
        <w:tc>
          <w:tcPr>
            <w:tcW w:w="724" w:type="dxa"/>
            <w:tcBorders>
              <w:top w:val="single" w:sz="4" w:space="0" w:color="auto"/>
              <w:left w:val="single" w:sz="4" w:space="0" w:color="auto"/>
            </w:tcBorders>
            <w:shd w:val="clear" w:color="auto" w:fill="FFFFFF"/>
            <w:vAlign w:val="bottom"/>
          </w:tcPr>
          <w:p w14:paraId="2618CB57"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2</w:t>
            </w:r>
          </w:p>
        </w:tc>
        <w:tc>
          <w:tcPr>
            <w:tcW w:w="720" w:type="dxa"/>
            <w:tcBorders>
              <w:top w:val="single" w:sz="4" w:space="0" w:color="auto"/>
              <w:left w:val="single" w:sz="4" w:space="0" w:color="auto"/>
            </w:tcBorders>
            <w:shd w:val="clear" w:color="auto" w:fill="FFFFFF"/>
            <w:vAlign w:val="bottom"/>
          </w:tcPr>
          <w:p w14:paraId="203D8F7D"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w:t>
            </w:r>
          </w:p>
        </w:tc>
        <w:tc>
          <w:tcPr>
            <w:tcW w:w="724" w:type="dxa"/>
            <w:tcBorders>
              <w:top w:val="single" w:sz="4" w:space="0" w:color="auto"/>
              <w:left w:val="single" w:sz="4" w:space="0" w:color="auto"/>
            </w:tcBorders>
            <w:shd w:val="clear" w:color="auto" w:fill="FFFFFF"/>
            <w:vAlign w:val="bottom"/>
          </w:tcPr>
          <w:p w14:paraId="74B681CD"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3</w:t>
            </w:r>
          </w:p>
        </w:tc>
        <w:tc>
          <w:tcPr>
            <w:tcW w:w="1080" w:type="dxa"/>
            <w:tcBorders>
              <w:top w:val="single" w:sz="4" w:space="0" w:color="auto"/>
              <w:left w:val="single" w:sz="4" w:space="0" w:color="auto"/>
            </w:tcBorders>
            <w:shd w:val="clear" w:color="auto" w:fill="FFFFFF"/>
            <w:vAlign w:val="bottom"/>
          </w:tcPr>
          <w:p w14:paraId="189E9C0C"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Савойя</w:t>
            </w:r>
          </w:p>
        </w:tc>
        <w:tc>
          <w:tcPr>
            <w:tcW w:w="720" w:type="dxa"/>
            <w:tcBorders>
              <w:top w:val="single" w:sz="4" w:space="0" w:color="auto"/>
              <w:left w:val="single" w:sz="4" w:space="0" w:color="auto"/>
            </w:tcBorders>
            <w:shd w:val="clear" w:color="auto" w:fill="FFFFFF"/>
            <w:vAlign w:val="bottom"/>
          </w:tcPr>
          <w:p w14:paraId="17D53488"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8</w:t>
            </w:r>
          </w:p>
        </w:tc>
        <w:tc>
          <w:tcPr>
            <w:tcW w:w="720" w:type="dxa"/>
            <w:tcBorders>
              <w:top w:val="single" w:sz="4" w:space="0" w:color="auto"/>
              <w:left w:val="single" w:sz="4" w:space="0" w:color="auto"/>
            </w:tcBorders>
            <w:shd w:val="clear" w:color="auto" w:fill="FFFFFF"/>
            <w:vAlign w:val="bottom"/>
          </w:tcPr>
          <w:p w14:paraId="694CF369"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5</w:t>
            </w:r>
          </w:p>
        </w:tc>
        <w:tc>
          <w:tcPr>
            <w:tcW w:w="583" w:type="dxa"/>
            <w:tcBorders>
              <w:top w:val="single" w:sz="4" w:space="0" w:color="auto"/>
              <w:left w:val="single" w:sz="4" w:space="0" w:color="auto"/>
              <w:right w:val="single" w:sz="4" w:space="0" w:color="auto"/>
            </w:tcBorders>
            <w:shd w:val="clear" w:color="auto" w:fill="FFFFFF"/>
            <w:vAlign w:val="bottom"/>
          </w:tcPr>
          <w:p w14:paraId="4822F137"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13</w:t>
            </w:r>
          </w:p>
        </w:tc>
      </w:tr>
      <w:tr w:rsidR="005610C8" w:rsidRPr="005E779E" w14:paraId="75D118AA" w14:textId="77777777" w:rsidTr="005610C8">
        <w:trPr>
          <w:gridAfter w:val="1"/>
          <w:wAfter w:w="15" w:type="dxa"/>
          <w:trHeight w:hRule="exact" w:val="162"/>
        </w:trPr>
        <w:tc>
          <w:tcPr>
            <w:tcW w:w="1120" w:type="dxa"/>
            <w:tcBorders>
              <w:top w:val="single" w:sz="4" w:space="0" w:color="auto"/>
              <w:left w:val="single" w:sz="4" w:space="0" w:color="auto"/>
            </w:tcBorders>
            <w:shd w:val="clear" w:color="auto" w:fill="FFFFFF"/>
            <w:vAlign w:val="bottom"/>
          </w:tcPr>
          <w:p w14:paraId="50A1C936"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Хейнкель</w:t>
            </w:r>
          </w:p>
        </w:tc>
        <w:tc>
          <w:tcPr>
            <w:tcW w:w="724" w:type="dxa"/>
            <w:tcBorders>
              <w:top w:val="single" w:sz="4" w:space="0" w:color="auto"/>
              <w:left w:val="single" w:sz="4" w:space="0" w:color="auto"/>
            </w:tcBorders>
            <w:shd w:val="clear" w:color="auto" w:fill="FFFFFF"/>
            <w:vAlign w:val="bottom"/>
          </w:tcPr>
          <w:p w14:paraId="69B10357"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2</w:t>
            </w:r>
          </w:p>
        </w:tc>
        <w:tc>
          <w:tcPr>
            <w:tcW w:w="720" w:type="dxa"/>
            <w:tcBorders>
              <w:top w:val="single" w:sz="4" w:space="0" w:color="auto"/>
              <w:left w:val="single" w:sz="4" w:space="0" w:color="auto"/>
            </w:tcBorders>
            <w:shd w:val="clear" w:color="auto" w:fill="FFFFFF"/>
            <w:vAlign w:val="bottom"/>
          </w:tcPr>
          <w:p w14:paraId="46DA21EE"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w:t>
            </w:r>
          </w:p>
        </w:tc>
        <w:tc>
          <w:tcPr>
            <w:tcW w:w="724" w:type="dxa"/>
            <w:tcBorders>
              <w:top w:val="single" w:sz="4" w:space="0" w:color="auto"/>
              <w:left w:val="single" w:sz="4" w:space="0" w:color="auto"/>
            </w:tcBorders>
            <w:shd w:val="clear" w:color="auto" w:fill="FFFFFF"/>
            <w:vAlign w:val="bottom"/>
          </w:tcPr>
          <w:p w14:paraId="395494EF"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3</w:t>
            </w:r>
          </w:p>
        </w:tc>
        <w:tc>
          <w:tcPr>
            <w:tcW w:w="1080" w:type="dxa"/>
            <w:tcBorders>
              <w:top w:val="single" w:sz="4" w:space="0" w:color="auto"/>
              <w:left w:val="single" w:sz="4" w:space="0" w:color="auto"/>
            </w:tcBorders>
            <w:shd w:val="clear" w:color="auto" w:fill="FFFFFF"/>
            <w:vAlign w:val="bottom"/>
          </w:tcPr>
          <w:p w14:paraId="7CE256C2"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Ю-20</w:t>
            </w:r>
          </w:p>
        </w:tc>
        <w:tc>
          <w:tcPr>
            <w:tcW w:w="720" w:type="dxa"/>
            <w:tcBorders>
              <w:top w:val="single" w:sz="4" w:space="0" w:color="auto"/>
              <w:left w:val="single" w:sz="4" w:space="0" w:color="auto"/>
            </w:tcBorders>
            <w:shd w:val="clear" w:color="auto" w:fill="FFFFFF"/>
            <w:vAlign w:val="bottom"/>
          </w:tcPr>
          <w:p w14:paraId="12274AB0"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w:t>
            </w:r>
          </w:p>
        </w:tc>
        <w:tc>
          <w:tcPr>
            <w:tcW w:w="720" w:type="dxa"/>
            <w:tcBorders>
              <w:top w:val="single" w:sz="4" w:space="0" w:color="auto"/>
              <w:left w:val="single" w:sz="4" w:space="0" w:color="auto"/>
            </w:tcBorders>
            <w:shd w:val="clear" w:color="auto" w:fill="FFFFFF"/>
            <w:vAlign w:val="bottom"/>
          </w:tcPr>
          <w:p w14:paraId="0868FF4F"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5</w:t>
            </w:r>
          </w:p>
        </w:tc>
        <w:tc>
          <w:tcPr>
            <w:tcW w:w="583" w:type="dxa"/>
            <w:tcBorders>
              <w:top w:val="single" w:sz="4" w:space="0" w:color="auto"/>
              <w:left w:val="single" w:sz="4" w:space="0" w:color="auto"/>
              <w:right w:val="single" w:sz="4" w:space="0" w:color="auto"/>
            </w:tcBorders>
            <w:shd w:val="clear" w:color="auto" w:fill="FFFFFF"/>
            <w:vAlign w:val="bottom"/>
          </w:tcPr>
          <w:p w14:paraId="3F17241C"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5</w:t>
            </w:r>
          </w:p>
        </w:tc>
      </w:tr>
      <w:tr w:rsidR="005610C8" w:rsidRPr="005E779E" w14:paraId="76F47A9C" w14:textId="77777777" w:rsidTr="005610C8">
        <w:trPr>
          <w:gridAfter w:val="1"/>
          <w:wAfter w:w="15" w:type="dxa"/>
          <w:trHeight w:hRule="exact" w:val="476"/>
        </w:trPr>
        <w:tc>
          <w:tcPr>
            <w:tcW w:w="1120" w:type="dxa"/>
            <w:tcBorders>
              <w:top w:val="single" w:sz="4" w:space="0" w:color="auto"/>
              <w:left w:val="single" w:sz="4" w:space="0" w:color="auto"/>
            </w:tcBorders>
            <w:shd w:val="clear" w:color="auto" w:fill="FFFFFF"/>
            <w:vAlign w:val="bottom"/>
          </w:tcPr>
          <w:p w14:paraId="71AC316F"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Альбатрос</w:t>
            </w:r>
          </w:p>
        </w:tc>
        <w:tc>
          <w:tcPr>
            <w:tcW w:w="724" w:type="dxa"/>
            <w:tcBorders>
              <w:top w:val="single" w:sz="4" w:space="0" w:color="auto"/>
              <w:left w:val="single" w:sz="4" w:space="0" w:color="auto"/>
            </w:tcBorders>
            <w:shd w:val="clear" w:color="auto" w:fill="FFFFFF"/>
            <w:vAlign w:val="bottom"/>
          </w:tcPr>
          <w:p w14:paraId="75F15CF1"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2</w:t>
            </w:r>
          </w:p>
        </w:tc>
        <w:tc>
          <w:tcPr>
            <w:tcW w:w="720" w:type="dxa"/>
            <w:tcBorders>
              <w:top w:val="single" w:sz="4" w:space="0" w:color="auto"/>
              <w:left w:val="single" w:sz="4" w:space="0" w:color="auto"/>
            </w:tcBorders>
            <w:shd w:val="clear" w:color="auto" w:fill="FFFFFF"/>
            <w:vAlign w:val="bottom"/>
          </w:tcPr>
          <w:p w14:paraId="47877FDD"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2</w:t>
            </w:r>
          </w:p>
        </w:tc>
        <w:tc>
          <w:tcPr>
            <w:tcW w:w="724" w:type="dxa"/>
            <w:tcBorders>
              <w:top w:val="single" w:sz="4" w:space="0" w:color="auto"/>
              <w:left w:val="single" w:sz="4" w:space="0" w:color="auto"/>
            </w:tcBorders>
            <w:shd w:val="clear" w:color="auto" w:fill="FFFFFF"/>
            <w:vAlign w:val="bottom"/>
          </w:tcPr>
          <w:p w14:paraId="344113EF"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4</w:t>
            </w:r>
          </w:p>
        </w:tc>
        <w:tc>
          <w:tcPr>
            <w:tcW w:w="1080" w:type="dxa"/>
            <w:tcBorders>
              <w:top w:val="single" w:sz="4" w:space="0" w:color="auto"/>
              <w:left w:val="single" w:sz="4" w:space="0" w:color="auto"/>
            </w:tcBorders>
            <w:shd w:val="clear" w:color="auto" w:fill="FFFFFF"/>
            <w:vAlign w:val="bottom"/>
          </w:tcPr>
          <w:p w14:paraId="3FA678B6"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ЮГ-1 (поплавк.)</w:t>
            </w:r>
          </w:p>
        </w:tc>
        <w:tc>
          <w:tcPr>
            <w:tcW w:w="720" w:type="dxa"/>
            <w:tcBorders>
              <w:top w:val="single" w:sz="4" w:space="0" w:color="auto"/>
              <w:left w:val="single" w:sz="4" w:space="0" w:color="auto"/>
            </w:tcBorders>
            <w:shd w:val="clear" w:color="auto" w:fill="FFFFFF"/>
            <w:vAlign w:val="bottom"/>
          </w:tcPr>
          <w:p w14:paraId="7071C37E"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8</w:t>
            </w:r>
          </w:p>
        </w:tc>
        <w:tc>
          <w:tcPr>
            <w:tcW w:w="720" w:type="dxa"/>
            <w:tcBorders>
              <w:top w:val="single" w:sz="4" w:space="0" w:color="auto"/>
              <w:left w:val="single" w:sz="4" w:space="0" w:color="auto"/>
            </w:tcBorders>
            <w:shd w:val="clear" w:color="auto" w:fill="FFFFFF"/>
            <w:vAlign w:val="bottom"/>
          </w:tcPr>
          <w:p w14:paraId="5765AFC2"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2</w:t>
            </w:r>
          </w:p>
        </w:tc>
        <w:tc>
          <w:tcPr>
            <w:tcW w:w="583" w:type="dxa"/>
            <w:tcBorders>
              <w:top w:val="single" w:sz="4" w:space="0" w:color="auto"/>
              <w:left w:val="single" w:sz="4" w:space="0" w:color="auto"/>
              <w:right w:val="single" w:sz="4" w:space="0" w:color="auto"/>
            </w:tcBorders>
            <w:shd w:val="clear" w:color="auto" w:fill="FFFFFF"/>
            <w:vAlign w:val="bottom"/>
          </w:tcPr>
          <w:p w14:paraId="73149065"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10</w:t>
            </w:r>
          </w:p>
        </w:tc>
      </w:tr>
      <w:tr w:rsidR="005610C8" w:rsidRPr="005E779E" w14:paraId="57C88DDE" w14:textId="77777777" w:rsidTr="005610C8">
        <w:trPr>
          <w:gridAfter w:val="1"/>
          <w:wAfter w:w="15" w:type="dxa"/>
          <w:trHeight w:hRule="exact" w:val="464"/>
        </w:trPr>
        <w:tc>
          <w:tcPr>
            <w:tcW w:w="1120" w:type="dxa"/>
            <w:tcBorders>
              <w:top w:val="single" w:sz="4" w:space="0" w:color="auto"/>
              <w:left w:val="single" w:sz="4" w:space="0" w:color="auto"/>
            </w:tcBorders>
            <w:shd w:val="clear" w:color="auto" w:fill="FFFFFF"/>
            <w:vAlign w:val="bottom"/>
          </w:tcPr>
          <w:p w14:paraId="1C109FB2"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ЮГ-1</w:t>
            </w:r>
          </w:p>
        </w:tc>
        <w:tc>
          <w:tcPr>
            <w:tcW w:w="724" w:type="dxa"/>
            <w:tcBorders>
              <w:top w:val="single" w:sz="4" w:space="0" w:color="auto"/>
              <w:left w:val="single" w:sz="4" w:space="0" w:color="auto"/>
            </w:tcBorders>
            <w:shd w:val="clear" w:color="auto" w:fill="FFFFFF"/>
            <w:vAlign w:val="bottom"/>
          </w:tcPr>
          <w:p w14:paraId="44CB2E3B"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w:t>
            </w:r>
          </w:p>
        </w:tc>
        <w:tc>
          <w:tcPr>
            <w:tcW w:w="720" w:type="dxa"/>
            <w:tcBorders>
              <w:top w:val="single" w:sz="4" w:space="0" w:color="auto"/>
              <w:left w:val="single" w:sz="4" w:space="0" w:color="auto"/>
            </w:tcBorders>
            <w:shd w:val="clear" w:color="auto" w:fill="FFFFFF"/>
            <w:vAlign w:val="bottom"/>
          </w:tcPr>
          <w:p w14:paraId="41B95A9C"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w:t>
            </w:r>
          </w:p>
        </w:tc>
        <w:tc>
          <w:tcPr>
            <w:tcW w:w="724" w:type="dxa"/>
            <w:tcBorders>
              <w:top w:val="single" w:sz="4" w:space="0" w:color="auto"/>
              <w:left w:val="single" w:sz="4" w:space="0" w:color="auto"/>
            </w:tcBorders>
            <w:shd w:val="clear" w:color="auto" w:fill="FFFFFF"/>
            <w:vAlign w:val="bottom"/>
          </w:tcPr>
          <w:p w14:paraId="7ED5EFF4"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2</w:t>
            </w:r>
          </w:p>
        </w:tc>
        <w:tc>
          <w:tcPr>
            <w:tcW w:w="1080" w:type="dxa"/>
            <w:tcBorders>
              <w:top w:val="single" w:sz="4" w:space="0" w:color="auto"/>
              <w:left w:val="single" w:sz="4" w:space="0" w:color="auto"/>
            </w:tcBorders>
            <w:shd w:val="clear" w:color="auto" w:fill="FFFFFF"/>
            <w:vAlign w:val="bottom"/>
          </w:tcPr>
          <w:p w14:paraId="7063694F"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Хейнкель(попл.)</w:t>
            </w:r>
          </w:p>
        </w:tc>
        <w:tc>
          <w:tcPr>
            <w:tcW w:w="720" w:type="dxa"/>
            <w:tcBorders>
              <w:top w:val="single" w:sz="4" w:space="0" w:color="auto"/>
              <w:left w:val="single" w:sz="4" w:space="0" w:color="auto"/>
            </w:tcBorders>
            <w:shd w:val="clear" w:color="auto" w:fill="FFFFFF"/>
            <w:vAlign w:val="bottom"/>
          </w:tcPr>
          <w:p w14:paraId="30CBFDB3"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w:t>
            </w:r>
          </w:p>
        </w:tc>
        <w:tc>
          <w:tcPr>
            <w:tcW w:w="720" w:type="dxa"/>
            <w:tcBorders>
              <w:top w:val="single" w:sz="4" w:space="0" w:color="auto"/>
              <w:left w:val="single" w:sz="4" w:space="0" w:color="auto"/>
            </w:tcBorders>
            <w:shd w:val="clear" w:color="auto" w:fill="FFFFFF"/>
            <w:vAlign w:val="bottom"/>
          </w:tcPr>
          <w:p w14:paraId="1CD09B90"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Я.</w:t>
            </w:r>
          </w:p>
        </w:tc>
        <w:tc>
          <w:tcPr>
            <w:tcW w:w="583" w:type="dxa"/>
            <w:tcBorders>
              <w:top w:val="single" w:sz="4" w:space="0" w:color="auto"/>
              <w:left w:val="single" w:sz="4" w:space="0" w:color="auto"/>
              <w:right w:val="single" w:sz="4" w:space="0" w:color="auto"/>
            </w:tcBorders>
            <w:shd w:val="clear" w:color="auto" w:fill="FFFFFF"/>
            <w:vAlign w:val="bottom"/>
          </w:tcPr>
          <w:p w14:paraId="09ECAD7F"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w:t>
            </w:r>
          </w:p>
        </w:tc>
      </w:tr>
      <w:tr w:rsidR="005610C8" w:rsidRPr="005E779E" w14:paraId="5C261211" w14:textId="77777777" w:rsidTr="005610C8">
        <w:trPr>
          <w:gridAfter w:val="1"/>
          <w:wAfter w:w="15" w:type="dxa"/>
          <w:trHeight w:hRule="exact" w:val="162"/>
        </w:trPr>
        <w:tc>
          <w:tcPr>
            <w:tcW w:w="1120" w:type="dxa"/>
            <w:tcBorders>
              <w:top w:val="single" w:sz="4" w:space="0" w:color="auto"/>
              <w:left w:val="single" w:sz="4" w:space="0" w:color="auto"/>
            </w:tcBorders>
            <w:shd w:val="clear" w:color="auto" w:fill="FFFFFF"/>
            <w:vAlign w:val="bottom"/>
          </w:tcPr>
          <w:p w14:paraId="43F76859"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Ю-13</w:t>
            </w:r>
          </w:p>
        </w:tc>
        <w:tc>
          <w:tcPr>
            <w:tcW w:w="724" w:type="dxa"/>
            <w:tcBorders>
              <w:top w:val="single" w:sz="4" w:space="0" w:color="auto"/>
              <w:left w:val="single" w:sz="4" w:space="0" w:color="auto"/>
            </w:tcBorders>
            <w:shd w:val="clear" w:color="auto" w:fill="FFFFFF"/>
            <w:vAlign w:val="bottom"/>
          </w:tcPr>
          <w:p w14:paraId="056AEAFD"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2</w:t>
            </w:r>
          </w:p>
        </w:tc>
        <w:tc>
          <w:tcPr>
            <w:tcW w:w="720" w:type="dxa"/>
            <w:tcBorders>
              <w:top w:val="single" w:sz="4" w:space="0" w:color="auto"/>
              <w:left w:val="single" w:sz="4" w:space="0" w:color="auto"/>
            </w:tcBorders>
            <w:shd w:val="clear" w:color="auto" w:fill="FFFFFF"/>
            <w:vAlign w:val="bottom"/>
          </w:tcPr>
          <w:p w14:paraId="71C5986A"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w:t>
            </w:r>
          </w:p>
        </w:tc>
        <w:tc>
          <w:tcPr>
            <w:tcW w:w="724" w:type="dxa"/>
            <w:tcBorders>
              <w:top w:val="single" w:sz="4" w:space="0" w:color="auto"/>
              <w:left w:val="single" w:sz="4" w:space="0" w:color="auto"/>
            </w:tcBorders>
            <w:shd w:val="clear" w:color="auto" w:fill="FFFFFF"/>
            <w:vAlign w:val="bottom"/>
          </w:tcPr>
          <w:p w14:paraId="447516AA"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3</w:t>
            </w:r>
          </w:p>
        </w:tc>
        <w:tc>
          <w:tcPr>
            <w:tcW w:w="1080" w:type="dxa"/>
            <w:tcBorders>
              <w:top w:val="single" w:sz="4" w:space="0" w:color="auto"/>
              <w:left w:val="single" w:sz="4" w:space="0" w:color="auto"/>
            </w:tcBorders>
            <w:shd w:val="clear" w:color="auto" w:fill="FFFFFF"/>
            <w:vAlign w:val="bottom"/>
          </w:tcPr>
          <w:p w14:paraId="5AF350D9" w14:textId="77777777" w:rsidR="005610C8" w:rsidRPr="005E779E" w:rsidRDefault="005610C8" w:rsidP="00DC550A">
            <w:pPr>
              <w:pStyle w:val="affe"/>
              <w:ind w:firstLine="0"/>
              <w:jc w:val="both"/>
              <w:rPr>
                <w:rFonts w:ascii="Times New Roman" w:hAnsi="Times New Roman" w:cs="Times New Roman"/>
                <w:color w:val="0070C0"/>
                <w:sz w:val="16"/>
                <w:szCs w:val="16"/>
              </w:rPr>
            </w:pPr>
          </w:p>
        </w:tc>
        <w:tc>
          <w:tcPr>
            <w:tcW w:w="720" w:type="dxa"/>
            <w:tcBorders>
              <w:top w:val="single" w:sz="4" w:space="0" w:color="auto"/>
              <w:left w:val="single" w:sz="4" w:space="0" w:color="auto"/>
            </w:tcBorders>
            <w:shd w:val="clear" w:color="auto" w:fill="FFFFFF"/>
            <w:vAlign w:val="bottom"/>
          </w:tcPr>
          <w:p w14:paraId="43716D8C" w14:textId="77777777" w:rsidR="005610C8" w:rsidRPr="005E779E" w:rsidRDefault="005610C8" w:rsidP="00DC550A">
            <w:pPr>
              <w:pStyle w:val="affe"/>
              <w:ind w:firstLine="0"/>
              <w:jc w:val="both"/>
              <w:rPr>
                <w:rFonts w:ascii="Times New Roman" w:hAnsi="Times New Roman" w:cs="Times New Roman"/>
                <w:color w:val="0070C0"/>
                <w:sz w:val="16"/>
                <w:szCs w:val="16"/>
              </w:rPr>
            </w:pPr>
          </w:p>
        </w:tc>
        <w:tc>
          <w:tcPr>
            <w:tcW w:w="720" w:type="dxa"/>
            <w:tcBorders>
              <w:top w:val="single" w:sz="4" w:space="0" w:color="auto"/>
              <w:left w:val="single" w:sz="4" w:space="0" w:color="auto"/>
            </w:tcBorders>
            <w:shd w:val="clear" w:color="auto" w:fill="FFFFFF"/>
            <w:vAlign w:val="bottom"/>
          </w:tcPr>
          <w:p w14:paraId="71847018" w14:textId="77777777" w:rsidR="005610C8" w:rsidRPr="005E779E" w:rsidRDefault="005610C8" w:rsidP="00DC550A">
            <w:pPr>
              <w:pStyle w:val="affe"/>
              <w:ind w:firstLine="0"/>
              <w:jc w:val="both"/>
              <w:rPr>
                <w:rFonts w:ascii="Times New Roman" w:hAnsi="Times New Roman" w:cs="Times New Roman"/>
                <w:color w:val="0070C0"/>
                <w:sz w:val="16"/>
                <w:szCs w:val="16"/>
              </w:rPr>
            </w:pPr>
          </w:p>
        </w:tc>
        <w:tc>
          <w:tcPr>
            <w:tcW w:w="583" w:type="dxa"/>
            <w:tcBorders>
              <w:top w:val="single" w:sz="4" w:space="0" w:color="auto"/>
              <w:left w:val="single" w:sz="4" w:space="0" w:color="auto"/>
              <w:right w:val="single" w:sz="4" w:space="0" w:color="auto"/>
            </w:tcBorders>
            <w:shd w:val="clear" w:color="auto" w:fill="FFFFFF"/>
            <w:vAlign w:val="bottom"/>
          </w:tcPr>
          <w:p w14:paraId="00CD3991" w14:textId="77777777" w:rsidR="005610C8" w:rsidRPr="005E779E" w:rsidRDefault="005610C8" w:rsidP="00DC550A">
            <w:pPr>
              <w:pStyle w:val="affe"/>
              <w:ind w:firstLine="0"/>
              <w:jc w:val="both"/>
              <w:rPr>
                <w:rFonts w:ascii="Times New Roman" w:hAnsi="Times New Roman" w:cs="Times New Roman"/>
                <w:color w:val="0070C0"/>
                <w:sz w:val="16"/>
                <w:szCs w:val="16"/>
              </w:rPr>
            </w:pPr>
          </w:p>
        </w:tc>
      </w:tr>
      <w:tr w:rsidR="005610C8" w:rsidRPr="005E779E" w14:paraId="29B2B77E" w14:textId="77777777" w:rsidTr="005610C8">
        <w:trPr>
          <w:gridAfter w:val="1"/>
          <w:wAfter w:w="15" w:type="dxa"/>
          <w:trHeight w:hRule="exact" w:val="162"/>
        </w:trPr>
        <w:tc>
          <w:tcPr>
            <w:tcW w:w="1120" w:type="dxa"/>
            <w:tcBorders>
              <w:top w:val="single" w:sz="4" w:space="0" w:color="auto"/>
              <w:left w:val="single" w:sz="4" w:space="0" w:color="auto"/>
            </w:tcBorders>
            <w:shd w:val="clear" w:color="auto" w:fill="FFFFFF"/>
            <w:vAlign w:val="bottom"/>
          </w:tcPr>
          <w:p w14:paraId="3B8FFE54"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Фарман-Голиаф</w:t>
            </w:r>
          </w:p>
        </w:tc>
        <w:tc>
          <w:tcPr>
            <w:tcW w:w="724" w:type="dxa"/>
            <w:tcBorders>
              <w:top w:val="single" w:sz="4" w:space="0" w:color="auto"/>
              <w:left w:val="single" w:sz="4" w:space="0" w:color="auto"/>
            </w:tcBorders>
            <w:shd w:val="clear" w:color="auto" w:fill="FFFFFF"/>
            <w:vAlign w:val="bottom"/>
          </w:tcPr>
          <w:p w14:paraId="1E1CADE4"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w:t>
            </w:r>
          </w:p>
        </w:tc>
        <w:tc>
          <w:tcPr>
            <w:tcW w:w="720" w:type="dxa"/>
            <w:tcBorders>
              <w:top w:val="single" w:sz="4" w:space="0" w:color="auto"/>
              <w:left w:val="single" w:sz="4" w:space="0" w:color="auto"/>
            </w:tcBorders>
            <w:shd w:val="clear" w:color="auto" w:fill="FFFFFF"/>
            <w:vAlign w:val="bottom"/>
          </w:tcPr>
          <w:p w14:paraId="4D47C158"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3</w:t>
            </w:r>
          </w:p>
        </w:tc>
        <w:tc>
          <w:tcPr>
            <w:tcW w:w="724" w:type="dxa"/>
            <w:tcBorders>
              <w:top w:val="single" w:sz="4" w:space="0" w:color="auto"/>
              <w:left w:val="single" w:sz="4" w:space="0" w:color="auto"/>
            </w:tcBorders>
            <w:shd w:val="clear" w:color="auto" w:fill="FFFFFF"/>
            <w:vAlign w:val="bottom"/>
          </w:tcPr>
          <w:p w14:paraId="54D12BAD"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3</w:t>
            </w:r>
          </w:p>
        </w:tc>
        <w:tc>
          <w:tcPr>
            <w:tcW w:w="1080" w:type="dxa"/>
            <w:tcBorders>
              <w:top w:val="single" w:sz="4" w:space="0" w:color="auto"/>
              <w:left w:val="single" w:sz="4" w:space="0" w:color="auto"/>
            </w:tcBorders>
            <w:shd w:val="clear" w:color="auto" w:fill="FFFFFF"/>
            <w:vAlign w:val="bottom"/>
          </w:tcPr>
          <w:p w14:paraId="77857C76"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Ансальдо</w:t>
            </w:r>
          </w:p>
        </w:tc>
        <w:tc>
          <w:tcPr>
            <w:tcW w:w="720" w:type="dxa"/>
            <w:tcBorders>
              <w:top w:val="single" w:sz="4" w:space="0" w:color="auto"/>
              <w:left w:val="single" w:sz="4" w:space="0" w:color="auto"/>
            </w:tcBorders>
            <w:shd w:val="clear" w:color="auto" w:fill="FFFFFF"/>
            <w:vAlign w:val="bottom"/>
          </w:tcPr>
          <w:p w14:paraId="5704BB4B"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w:t>
            </w:r>
          </w:p>
        </w:tc>
        <w:tc>
          <w:tcPr>
            <w:tcW w:w="720" w:type="dxa"/>
            <w:tcBorders>
              <w:top w:val="single" w:sz="4" w:space="0" w:color="auto"/>
              <w:left w:val="single" w:sz="4" w:space="0" w:color="auto"/>
            </w:tcBorders>
            <w:shd w:val="clear" w:color="auto" w:fill="FFFFFF"/>
            <w:vAlign w:val="bottom"/>
          </w:tcPr>
          <w:p w14:paraId="6B9212F8"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2</w:t>
            </w:r>
          </w:p>
        </w:tc>
        <w:tc>
          <w:tcPr>
            <w:tcW w:w="583" w:type="dxa"/>
            <w:tcBorders>
              <w:top w:val="single" w:sz="4" w:space="0" w:color="auto"/>
              <w:left w:val="single" w:sz="4" w:space="0" w:color="auto"/>
              <w:right w:val="single" w:sz="4" w:space="0" w:color="auto"/>
            </w:tcBorders>
            <w:shd w:val="clear" w:color="auto" w:fill="FFFFFF"/>
            <w:vAlign w:val="bottom"/>
          </w:tcPr>
          <w:p w14:paraId="5DEEB56B"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2</w:t>
            </w:r>
          </w:p>
        </w:tc>
      </w:tr>
      <w:tr w:rsidR="005610C8" w:rsidRPr="005E779E" w14:paraId="6D89320D" w14:textId="77777777" w:rsidTr="005610C8">
        <w:trPr>
          <w:gridAfter w:val="1"/>
          <w:wAfter w:w="15" w:type="dxa"/>
          <w:trHeight w:hRule="exact" w:val="162"/>
        </w:trPr>
        <w:tc>
          <w:tcPr>
            <w:tcW w:w="1120" w:type="dxa"/>
            <w:tcBorders>
              <w:top w:val="single" w:sz="4" w:space="0" w:color="auto"/>
              <w:left w:val="single" w:sz="4" w:space="0" w:color="auto"/>
            </w:tcBorders>
            <w:shd w:val="clear" w:color="auto" w:fill="FFFFFF"/>
            <w:vAlign w:val="bottom"/>
          </w:tcPr>
          <w:p w14:paraId="48362CA6"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Итого</w:t>
            </w:r>
          </w:p>
        </w:tc>
        <w:tc>
          <w:tcPr>
            <w:tcW w:w="724" w:type="dxa"/>
            <w:tcBorders>
              <w:top w:val="single" w:sz="4" w:space="0" w:color="auto"/>
              <w:left w:val="single" w:sz="4" w:space="0" w:color="auto"/>
            </w:tcBorders>
            <w:shd w:val="clear" w:color="auto" w:fill="FFFFFF"/>
            <w:vAlign w:val="bottom"/>
          </w:tcPr>
          <w:p w14:paraId="615BA7E8"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1 879</w:t>
            </w:r>
          </w:p>
        </w:tc>
        <w:tc>
          <w:tcPr>
            <w:tcW w:w="720" w:type="dxa"/>
            <w:tcBorders>
              <w:top w:val="single" w:sz="4" w:space="0" w:color="auto"/>
              <w:left w:val="single" w:sz="4" w:space="0" w:color="auto"/>
            </w:tcBorders>
            <w:shd w:val="clear" w:color="auto" w:fill="FFFFFF"/>
            <w:vAlign w:val="bottom"/>
          </w:tcPr>
          <w:p w14:paraId="144553B0"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416</w:t>
            </w:r>
          </w:p>
        </w:tc>
        <w:tc>
          <w:tcPr>
            <w:tcW w:w="724" w:type="dxa"/>
            <w:tcBorders>
              <w:top w:val="single" w:sz="4" w:space="0" w:color="auto"/>
              <w:left w:val="single" w:sz="4" w:space="0" w:color="auto"/>
            </w:tcBorders>
            <w:shd w:val="clear" w:color="auto" w:fill="FFFFFF"/>
            <w:vAlign w:val="bottom"/>
          </w:tcPr>
          <w:p w14:paraId="42A849B3"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2 295</w:t>
            </w:r>
          </w:p>
        </w:tc>
        <w:tc>
          <w:tcPr>
            <w:tcW w:w="1080" w:type="dxa"/>
            <w:tcBorders>
              <w:top w:val="single" w:sz="4" w:space="0" w:color="auto"/>
              <w:left w:val="single" w:sz="4" w:space="0" w:color="auto"/>
            </w:tcBorders>
            <w:shd w:val="clear" w:color="auto" w:fill="FFFFFF"/>
            <w:vAlign w:val="bottom"/>
          </w:tcPr>
          <w:p w14:paraId="4D202BCC"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Итого</w:t>
            </w:r>
          </w:p>
        </w:tc>
        <w:tc>
          <w:tcPr>
            <w:tcW w:w="720" w:type="dxa"/>
            <w:tcBorders>
              <w:top w:val="single" w:sz="4" w:space="0" w:color="auto"/>
              <w:left w:val="single" w:sz="4" w:space="0" w:color="auto"/>
            </w:tcBorders>
            <w:shd w:val="clear" w:color="auto" w:fill="FFFFFF"/>
            <w:vAlign w:val="bottom"/>
          </w:tcPr>
          <w:p w14:paraId="663D0DCB"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2 303</w:t>
            </w:r>
          </w:p>
        </w:tc>
        <w:tc>
          <w:tcPr>
            <w:tcW w:w="720" w:type="dxa"/>
            <w:tcBorders>
              <w:top w:val="single" w:sz="4" w:space="0" w:color="auto"/>
              <w:left w:val="single" w:sz="4" w:space="0" w:color="auto"/>
            </w:tcBorders>
            <w:shd w:val="clear" w:color="auto" w:fill="FFFFFF"/>
            <w:vAlign w:val="bottom"/>
          </w:tcPr>
          <w:p w14:paraId="4F471909"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626</w:t>
            </w:r>
          </w:p>
        </w:tc>
        <w:tc>
          <w:tcPr>
            <w:tcW w:w="583" w:type="dxa"/>
            <w:tcBorders>
              <w:top w:val="single" w:sz="4" w:space="0" w:color="auto"/>
              <w:left w:val="single" w:sz="4" w:space="0" w:color="auto"/>
              <w:right w:val="single" w:sz="4" w:space="0" w:color="auto"/>
            </w:tcBorders>
            <w:shd w:val="clear" w:color="auto" w:fill="FFFFFF"/>
            <w:vAlign w:val="bottom"/>
          </w:tcPr>
          <w:p w14:paraId="75984482"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2 929</w:t>
            </w:r>
          </w:p>
        </w:tc>
      </w:tr>
      <w:tr w:rsidR="005610C8" w:rsidRPr="005E779E" w14:paraId="3B473A3B" w14:textId="77777777" w:rsidTr="005610C8">
        <w:trPr>
          <w:trHeight w:hRule="exact" w:val="166"/>
        </w:trPr>
        <w:tc>
          <w:tcPr>
            <w:tcW w:w="6406" w:type="dxa"/>
            <w:gridSpan w:val="9"/>
            <w:tcBorders>
              <w:top w:val="single" w:sz="4" w:space="0" w:color="auto"/>
              <w:left w:val="single" w:sz="4" w:space="0" w:color="auto"/>
              <w:bottom w:val="single" w:sz="4" w:space="0" w:color="auto"/>
              <w:right w:val="single" w:sz="4" w:space="0" w:color="auto"/>
            </w:tcBorders>
            <w:shd w:val="clear" w:color="auto" w:fill="FFFFFF"/>
            <w:vAlign w:val="bottom"/>
          </w:tcPr>
          <w:p w14:paraId="4351FC42"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Всего: 2 295+2 929 = 5 224, из них, исправ-х:1 879 + 2 303 = 4 182; неисправ-х: 416+626 = 1 042</w:t>
            </w:r>
          </w:p>
        </w:tc>
      </w:tr>
    </w:tbl>
    <w:p w14:paraId="3691C380" w14:textId="77777777" w:rsidR="005610C8" w:rsidRPr="005E779E" w:rsidRDefault="005610C8" w:rsidP="005610C8">
      <w:pPr>
        <w:spacing w:after="0" w:line="240" w:lineRule="auto"/>
        <w:jc w:val="both"/>
        <w:rPr>
          <w:rFonts w:ascii="Times New Roman" w:hAnsi="Times New Roman"/>
          <w:color w:val="0070C0"/>
          <w:sz w:val="16"/>
          <w:szCs w:val="16"/>
        </w:rPr>
      </w:pPr>
      <w:r w:rsidRPr="005E779E">
        <w:rPr>
          <w:rFonts w:ascii="Times New Roman" w:hAnsi="Times New Roman"/>
          <w:color w:val="0070C0"/>
          <w:sz w:val="16"/>
          <w:szCs w:val="16"/>
        </w:rPr>
        <w:t>(24967).</w:t>
      </w:r>
    </w:p>
    <w:p w14:paraId="1105C5B7" w14:textId="77777777" w:rsidR="005610C8" w:rsidRPr="005E779E" w:rsidRDefault="005610C8" w:rsidP="005610C8">
      <w:pPr>
        <w:spacing w:after="0" w:line="240" w:lineRule="auto"/>
        <w:jc w:val="both"/>
        <w:rPr>
          <w:rFonts w:ascii="Times New Roman" w:hAnsi="Times New Roman"/>
          <w:color w:val="0070C0"/>
          <w:sz w:val="16"/>
          <w:szCs w:val="16"/>
        </w:rPr>
      </w:pPr>
    </w:p>
    <w:p w14:paraId="257ECA82" w14:textId="77777777" w:rsidR="005610C8" w:rsidRPr="005E779E" w:rsidRDefault="005610C8" w:rsidP="005610C8">
      <w:pPr>
        <w:spacing w:after="0" w:line="240" w:lineRule="auto"/>
        <w:jc w:val="both"/>
        <w:rPr>
          <w:rFonts w:ascii="Times New Roman" w:hAnsi="Times New Roman"/>
          <w:color w:val="0070C0"/>
          <w:sz w:val="16"/>
          <w:szCs w:val="16"/>
        </w:rPr>
      </w:pPr>
      <w:r w:rsidRPr="005E779E">
        <w:rPr>
          <w:rFonts w:ascii="Times New Roman" w:hAnsi="Times New Roman"/>
          <w:color w:val="0070C0"/>
          <w:sz w:val="16"/>
          <w:szCs w:val="16"/>
        </w:rPr>
        <w:t>К началу 1931 г. в ВВС РККА имелось 17 авиационных бригад:</w:t>
      </w:r>
    </w:p>
    <w:p w14:paraId="0C2BAC94" w14:textId="77777777" w:rsidR="005610C8" w:rsidRPr="005E779E" w:rsidRDefault="005610C8" w:rsidP="005610C8">
      <w:pPr>
        <w:spacing w:after="0" w:line="240" w:lineRule="auto"/>
        <w:jc w:val="both"/>
        <w:rPr>
          <w:rFonts w:ascii="Times New Roman" w:hAnsi="Times New Roman"/>
          <w:color w:val="0070C0"/>
          <w:sz w:val="16"/>
          <w:szCs w:val="16"/>
        </w:rPr>
      </w:pPr>
      <w:r w:rsidRPr="005E779E">
        <w:rPr>
          <w:rFonts w:ascii="Times New Roman" w:hAnsi="Times New Roman"/>
          <w:color w:val="0070C0"/>
          <w:sz w:val="16"/>
          <w:szCs w:val="16"/>
        </w:rPr>
        <w:t>6 смешанных в Ташкенте (САВО), Зиновьевске (УВО), Витебске (БВО), Москве (МВО), Спасске (ОДВА), Ленинграде («Балтморе»);</w:t>
      </w:r>
    </w:p>
    <w:p w14:paraId="02886AF5" w14:textId="77777777" w:rsidR="005610C8" w:rsidRPr="005E779E" w:rsidRDefault="005610C8" w:rsidP="005610C8">
      <w:pPr>
        <w:spacing w:after="0" w:line="240" w:lineRule="auto"/>
        <w:jc w:val="both"/>
        <w:rPr>
          <w:rFonts w:ascii="Times New Roman" w:hAnsi="Times New Roman"/>
          <w:color w:val="0070C0"/>
          <w:sz w:val="16"/>
          <w:szCs w:val="16"/>
        </w:rPr>
      </w:pPr>
      <w:r w:rsidRPr="005E779E">
        <w:rPr>
          <w:rFonts w:ascii="Times New Roman" w:hAnsi="Times New Roman"/>
          <w:color w:val="0070C0"/>
          <w:sz w:val="16"/>
          <w:szCs w:val="16"/>
        </w:rPr>
        <w:t>4 тяжелобомбардировочных в Воронеже (МВО), Кречевицах (ЛВО), Харь</w:t>
      </w:r>
      <w:r w:rsidRPr="005E779E">
        <w:rPr>
          <w:rFonts w:ascii="Times New Roman" w:hAnsi="Times New Roman"/>
          <w:color w:val="0070C0"/>
          <w:sz w:val="16"/>
          <w:szCs w:val="16"/>
        </w:rPr>
        <w:softHyphen/>
        <w:t>кове (УВО), Севастополе («Черное море»);</w:t>
      </w:r>
    </w:p>
    <w:p w14:paraId="467BED87" w14:textId="77777777" w:rsidR="005610C8" w:rsidRPr="005E779E" w:rsidRDefault="005610C8" w:rsidP="005610C8">
      <w:pPr>
        <w:spacing w:after="0" w:line="240" w:lineRule="auto"/>
        <w:jc w:val="both"/>
        <w:rPr>
          <w:rFonts w:ascii="Times New Roman" w:hAnsi="Times New Roman"/>
          <w:color w:val="0070C0"/>
          <w:sz w:val="16"/>
          <w:szCs w:val="16"/>
        </w:rPr>
      </w:pPr>
      <w:r w:rsidRPr="005E779E">
        <w:rPr>
          <w:rFonts w:ascii="Times New Roman" w:hAnsi="Times New Roman"/>
          <w:color w:val="0070C0"/>
          <w:sz w:val="16"/>
          <w:szCs w:val="16"/>
        </w:rPr>
        <w:t>3 легкобомбардировочных в Красногвардейске (ЛВО), Смоленске (БВО), Новочеркасске (СКВО);</w:t>
      </w:r>
    </w:p>
    <w:p w14:paraId="1B543A8D" w14:textId="77777777" w:rsidR="005610C8" w:rsidRPr="005E779E" w:rsidRDefault="005610C8" w:rsidP="005610C8">
      <w:pPr>
        <w:spacing w:after="0" w:line="240" w:lineRule="auto"/>
        <w:jc w:val="both"/>
        <w:rPr>
          <w:rFonts w:ascii="Times New Roman" w:hAnsi="Times New Roman"/>
          <w:color w:val="0070C0"/>
          <w:sz w:val="16"/>
          <w:szCs w:val="16"/>
        </w:rPr>
      </w:pPr>
      <w:r w:rsidRPr="005E779E">
        <w:rPr>
          <w:rFonts w:ascii="Times New Roman" w:hAnsi="Times New Roman"/>
          <w:color w:val="0070C0"/>
          <w:sz w:val="16"/>
          <w:szCs w:val="16"/>
        </w:rPr>
        <w:t>2 штурмовых в Гомеле (БВО), Киеве (УВО);</w:t>
      </w:r>
    </w:p>
    <w:p w14:paraId="0956E9ED" w14:textId="77777777" w:rsidR="005610C8" w:rsidRPr="005E779E" w:rsidRDefault="005610C8" w:rsidP="005610C8">
      <w:pPr>
        <w:spacing w:after="0" w:line="240" w:lineRule="auto"/>
        <w:jc w:val="both"/>
        <w:rPr>
          <w:rFonts w:ascii="Times New Roman" w:hAnsi="Times New Roman"/>
          <w:color w:val="0070C0"/>
          <w:sz w:val="16"/>
          <w:szCs w:val="16"/>
        </w:rPr>
      </w:pPr>
      <w:r w:rsidRPr="005E779E">
        <w:rPr>
          <w:rFonts w:ascii="Times New Roman" w:hAnsi="Times New Roman"/>
          <w:color w:val="0070C0"/>
          <w:sz w:val="16"/>
          <w:szCs w:val="16"/>
        </w:rPr>
        <w:t>1 истребительная в Брянске (БВО);</w:t>
      </w:r>
    </w:p>
    <w:p w14:paraId="6658CD23" w14:textId="77777777" w:rsidR="005610C8" w:rsidRPr="005E779E" w:rsidRDefault="005610C8" w:rsidP="005610C8">
      <w:pPr>
        <w:spacing w:after="0" w:line="240" w:lineRule="auto"/>
        <w:jc w:val="both"/>
        <w:rPr>
          <w:rFonts w:ascii="Times New Roman" w:hAnsi="Times New Roman"/>
          <w:color w:val="0070C0"/>
          <w:sz w:val="16"/>
          <w:szCs w:val="16"/>
        </w:rPr>
      </w:pPr>
      <w:r w:rsidRPr="005E779E">
        <w:rPr>
          <w:rFonts w:ascii="Times New Roman" w:hAnsi="Times New Roman"/>
          <w:color w:val="0070C0"/>
          <w:sz w:val="16"/>
          <w:szCs w:val="16"/>
        </w:rPr>
        <w:t>1 в Серпухове (МВО) - расформирована и направлена на формирование в Иваново-Вознесенск и Свердловск.</w:t>
      </w:r>
    </w:p>
    <w:p w14:paraId="77C29FB6" w14:textId="77777777" w:rsidR="005610C8" w:rsidRPr="005E779E" w:rsidRDefault="005610C8" w:rsidP="005610C8">
      <w:pPr>
        <w:spacing w:after="0" w:line="240" w:lineRule="auto"/>
        <w:jc w:val="both"/>
        <w:rPr>
          <w:rFonts w:ascii="Times New Roman" w:hAnsi="Times New Roman"/>
          <w:color w:val="0070C0"/>
          <w:sz w:val="16"/>
          <w:szCs w:val="16"/>
        </w:rPr>
      </w:pPr>
      <w:r w:rsidRPr="005E779E">
        <w:rPr>
          <w:rFonts w:ascii="Times New Roman" w:hAnsi="Times New Roman"/>
          <w:color w:val="0070C0"/>
          <w:sz w:val="16"/>
          <w:szCs w:val="16"/>
        </w:rPr>
        <w:t>ВВС РККА к началу 1931 г. размещались в 15 гарнизонах:</w:t>
      </w:r>
    </w:p>
    <w:p w14:paraId="00760DD2" w14:textId="77777777" w:rsidR="005610C8" w:rsidRPr="005E779E" w:rsidRDefault="005610C8" w:rsidP="005610C8">
      <w:pPr>
        <w:spacing w:after="0" w:line="240" w:lineRule="auto"/>
        <w:jc w:val="both"/>
        <w:rPr>
          <w:rFonts w:ascii="Times New Roman" w:hAnsi="Times New Roman"/>
          <w:color w:val="0070C0"/>
          <w:sz w:val="16"/>
          <w:szCs w:val="16"/>
        </w:rPr>
      </w:pPr>
      <w:r w:rsidRPr="005E779E">
        <w:rPr>
          <w:rFonts w:ascii="Times New Roman" w:hAnsi="Times New Roman"/>
          <w:color w:val="0070C0"/>
          <w:sz w:val="16"/>
          <w:szCs w:val="16"/>
        </w:rPr>
        <w:t>1. Бобруйск - БВО. 2. Кунцево - МВО, 3. Егорьевск - МВО, 4. Иваново-Воз</w:t>
      </w:r>
      <w:r w:rsidRPr="005E779E">
        <w:rPr>
          <w:rFonts w:ascii="Times New Roman" w:hAnsi="Times New Roman"/>
          <w:color w:val="0070C0"/>
          <w:sz w:val="16"/>
          <w:szCs w:val="16"/>
        </w:rPr>
        <w:softHyphen/>
        <w:t>несенск - МВО (с 1932 г. - бригада), 5. Липецк - МВО, 6. Ростов-на-Дону - СКВО (планировалось перевести в Новочеркасск), 7. Тифлис - Краснознаменная Кавказ</w:t>
      </w:r>
      <w:r w:rsidRPr="005E779E">
        <w:rPr>
          <w:rFonts w:ascii="Times New Roman" w:hAnsi="Times New Roman"/>
          <w:color w:val="0070C0"/>
          <w:sz w:val="16"/>
          <w:szCs w:val="16"/>
        </w:rPr>
        <w:softHyphen/>
        <w:t>ская армия (ККА, с 1932 г. - бригада), 8. Новосибирск - Сибирский ВО, 9. Чита - (с 1932 г. - бригада в ОДВА), 10. Хабаровск - ОДВА. 11. Петергоф - «Балтморе». 12. Ораниенбаум - «Балтморе». 13. Евпатория - «Черное море». 14. Николаев - «Черное море». 15. Волкове поле - ЛВО.</w:t>
      </w:r>
    </w:p>
    <w:p w14:paraId="4BFCD8C7" w14:textId="77777777" w:rsidR="005610C8" w:rsidRPr="005E779E" w:rsidRDefault="005610C8" w:rsidP="005610C8">
      <w:pPr>
        <w:spacing w:after="0" w:line="240" w:lineRule="auto"/>
        <w:jc w:val="both"/>
        <w:rPr>
          <w:rFonts w:ascii="Times New Roman" w:hAnsi="Times New Roman"/>
          <w:color w:val="0070C0"/>
          <w:sz w:val="16"/>
          <w:szCs w:val="16"/>
        </w:rPr>
      </w:pPr>
      <w:r w:rsidRPr="005E779E">
        <w:rPr>
          <w:rFonts w:ascii="Times New Roman" w:hAnsi="Times New Roman"/>
          <w:color w:val="0070C0"/>
          <w:sz w:val="16"/>
          <w:szCs w:val="16"/>
        </w:rPr>
        <w:t>По состоянию на 1 января 1931 г. весь самолетный парк ВВС РККА со</w:t>
      </w:r>
      <w:r w:rsidRPr="005E779E">
        <w:rPr>
          <w:rFonts w:ascii="Times New Roman" w:hAnsi="Times New Roman"/>
          <w:color w:val="0070C0"/>
          <w:sz w:val="16"/>
          <w:szCs w:val="16"/>
        </w:rPr>
        <w:softHyphen/>
        <w:t>стоял из обозначенных ниже типов и количества самолетов (Таблица 2.1). Голу</w:t>
      </w:r>
      <w:r w:rsidRPr="005E779E">
        <w:rPr>
          <w:rFonts w:ascii="Times New Roman" w:hAnsi="Times New Roman"/>
          <w:color w:val="0070C0"/>
          <w:sz w:val="16"/>
          <w:szCs w:val="16"/>
        </w:rPr>
        <w:softHyphen/>
        <w:t>бой заливкой обозначены самолеты отечественных конструкций.</w:t>
      </w:r>
    </w:p>
    <w:p w14:paraId="3E151992" w14:textId="77777777" w:rsidR="005610C8" w:rsidRPr="005E779E" w:rsidRDefault="005610C8" w:rsidP="005610C8">
      <w:pPr>
        <w:spacing w:after="0" w:line="240" w:lineRule="auto"/>
        <w:jc w:val="both"/>
        <w:rPr>
          <w:rFonts w:ascii="Times New Roman" w:hAnsi="Times New Roman"/>
          <w:color w:val="0070C0"/>
          <w:sz w:val="16"/>
          <w:szCs w:val="16"/>
        </w:rPr>
      </w:pPr>
      <w:r w:rsidRPr="005E779E">
        <w:rPr>
          <w:rFonts w:ascii="Times New Roman" w:hAnsi="Times New Roman"/>
          <w:color w:val="0070C0"/>
          <w:sz w:val="16"/>
          <w:szCs w:val="16"/>
        </w:rPr>
        <w:t>Из Таблицы 2.1 видно, что уже 1 января 1931 г. в ВВС имелось 5 224 само</w:t>
      </w:r>
      <w:r w:rsidRPr="005E779E">
        <w:rPr>
          <w:rFonts w:ascii="Times New Roman" w:hAnsi="Times New Roman"/>
          <w:color w:val="0070C0"/>
          <w:sz w:val="16"/>
          <w:szCs w:val="16"/>
        </w:rPr>
        <w:softHyphen/>
        <w:t>лета, но они почти все устаревшие. Задача реконструкции ВВС в первой пяти</w:t>
      </w:r>
      <w:r w:rsidRPr="005E779E">
        <w:rPr>
          <w:rFonts w:ascii="Times New Roman" w:hAnsi="Times New Roman"/>
          <w:color w:val="0070C0"/>
          <w:sz w:val="16"/>
          <w:szCs w:val="16"/>
        </w:rPr>
        <w:softHyphen/>
        <w:t>летке состояла в том, чтобы заменить старые самолеты и к окончанию пятилетки иметь 4 150 новых самолетов. При этом надо было не забывать и о боевой под</w:t>
      </w:r>
      <w:r w:rsidRPr="005E779E">
        <w:rPr>
          <w:rFonts w:ascii="Times New Roman" w:hAnsi="Times New Roman"/>
          <w:color w:val="0070C0"/>
          <w:sz w:val="16"/>
          <w:szCs w:val="16"/>
        </w:rPr>
        <w:softHyphen/>
        <w:t>готовке.</w:t>
      </w:r>
    </w:p>
    <w:p w14:paraId="4A82BBB9" w14:textId="77777777" w:rsidR="005610C8" w:rsidRPr="005E779E" w:rsidRDefault="005610C8" w:rsidP="005610C8">
      <w:pPr>
        <w:pStyle w:val="aff1"/>
        <w:spacing w:line="240" w:lineRule="auto"/>
        <w:rPr>
          <w:rFonts w:ascii="Times New Roman" w:hAnsi="Times New Roman" w:cs="Times New Roman"/>
          <w:i w:val="0"/>
          <w:iCs w:val="0"/>
          <w:color w:val="0070C0"/>
          <w:sz w:val="16"/>
          <w:szCs w:val="16"/>
        </w:rPr>
      </w:pPr>
      <w:r w:rsidRPr="005E779E">
        <w:rPr>
          <w:rFonts w:ascii="Times New Roman" w:hAnsi="Times New Roman" w:cs="Times New Roman"/>
          <w:i w:val="0"/>
          <w:iCs w:val="0"/>
          <w:color w:val="0070C0"/>
          <w:sz w:val="16"/>
          <w:szCs w:val="16"/>
          <w:lang w:val="ru-RU"/>
        </w:rPr>
        <w:t xml:space="preserve">Таблица 2,1 (РГВА. Ф. 29. Оп. 50. Д. 138. </w:t>
      </w:r>
      <w:r w:rsidRPr="005E779E">
        <w:rPr>
          <w:rFonts w:ascii="Times New Roman" w:hAnsi="Times New Roman" w:cs="Times New Roman"/>
          <w:i w:val="0"/>
          <w:iCs w:val="0"/>
          <w:color w:val="0070C0"/>
          <w:sz w:val="16"/>
          <w:szCs w:val="16"/>
        </w:rPr>
        <w:t>Л. 18)</w:t>
      </w:r>
    </w:p>
    <w:tbl>
      <w:tblPr>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1210"/>
        <w:gridCol w:w="634"/>
        <w:gridCol w:w="724"/>
        <w:gridCol w:w="637"/>
        <w:gridCol w:w="1228"/>
        <w:gridCol w:w="655"/>
        <w:gridCol w:w="724"/>
        <w:gridCol w:w="576"/>
      </w:tblGrid>
      <w:tr w:rsidR="005610C8" w:rsidRPr="005E779E" w14:paraId="7DE091CD" w14:textId="77777777" w:rsidTr="005610C8">
        <w:trPr>
          <w:trHeight w:hRule="exact" w:val="385"/>
        </w:trPr>
        <w:tc>
          <w:tcPr>
            <w:tcW w:w="1210" w:type="dxa"/>
            <w:shd w:val="clear" w:color="auto" w:fill="FFFFFF"/>
            <w:vAlign w:val="center"/>
          </w:tcPr>
          <w:p w14:paraId="14687F34"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Самолеты</w:t>
            </w:r>
          </w:p>
        </w:tc>
        <w:tc>
          <w:tcPr>
            <w:tcW w:w="634" w:type="dxa"/>
            <w:shd w:val="clear" w:color="auto" w:fill="FFFFFF"/>
            <w:vAlign w:val="bottom"/>
          </w:tcPr>
          <w:p w14:paraId="07E49CF3"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Исправ</w:t>
            </w:r>
            <w:r w:rsidRPr="005E779E">
              <w:rPr>
                <w:rFonts w:ascii="Times New Roman" w:hAnsi="Times New Roman" w:cs="Times New Roman"/>
                <w:color w:val="0070C0"/>
                <w:sz w:val="16"/>
                <w:szCs w:val="16"/>
              </w:rPr>
              <w:softHyphen/>
              <w:t>ные</w:t>
            </w:r>
          </w:p>
        </w:tc>
        <w:tc>
          <w:tcPr>
            <w:tcW w:w="724" w:type="dxa"/>
            <w:shd w:val="clear" w:color="auto" w:fill="FFFFFF"/>
            <w:vAlign w:val="bottom"/>
          </w:tcPr>
          <w:p w14:paraId="6865CC73"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Неис- правн.</w:t>
            </w:r>
          </w:p>
        </w:tc>
        <w:tc>
          <w:tcPr>
            <w:tcW w:w="637" w:type="dxa"/>
            <w:shd w:val="clear" w:color="auto" w:fill="FFFFFF"/>
            <w:vAlign w:val="center"/>
          </w:tcPr>
          <w:p w14:paraId="24613E22"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Всего</w:t>
            </w:r>
          </w:p>
        </w:tc>
        <w:tc>
          <w:tcPr>
            <w:tcW w:w="1228" w:type="dxa"/>
            <w:shd w:val="clear" w:color="auto" w:fill="FFFFFF"/>
            <w:vAlign w:val="center"/>
          </w:tcPr>
          <w:p w14:paraId="41995679"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Самолеты</w:t>
            </w:r>
          </w:p>
        </w:tc>
        <w:tc>
          <w:tcPr>
            <w:tcW w:w="655" w:type="dxa"/>
            <w:shd w:val="clear" w:color="auto" w:fill="FFFFFF"/>
            <w:vAlign w:val="bottom"/>
          </w:tcPr>
          <w:p w14:paraId="32973BAC"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Исправ</w:t>
            </w:r>
            <w:r w:rsidRPr="005E779E">
              <w:rPr>
                <w:rFonts w:ascii="Times New Roman" w:hAnsi="Times New Roman" w:cs="Times New Roman"/>
                <w:color w:val="0070C0"/>
                <w:sz w:val="16"/>
                <w:szCs w:val="16"/>
              </w:rPr>
              <w:softHyphen/>
              <w:t>ные</w:t>
            </w:r>
          </w:p>
        </w:tc>
        <w:tc>
          <w:tcPr>
            <w:tcW w:w="724" w:type="dxa"/>
            <w:shd w:val="clear" w:color="auto" w:fill="FFFFFF"/>
            <w:vAlign w:val="bottom"/>
          </w:tcPr>
          <w:p w14:paraId="6ED8F58C"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Неис- правн.</w:t>
            </w:r>
          </w:p>
        </w:tc>
        <w:tc>
          <w:tcPr>
            <w:tcW w:w="576" w:type="dxa"/>
            <w:shd w:val="clear" w:color="auto" w:fill="FFFFFF"/>
            <w:vAlign w:val="center"/>
          </w:tcPr>
          <w:p w14:paraId="1450E151"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Всего</w:t>
            </w:r>
          </w:p>
        </w:tc>
      </w:tr>
      <w:tr w:rsidR="005610C8" w:rsidRPr="005E779E" w14:paraId="5DDF70BE" w14:textId="77777777" w:rsidTr="005610C8">
        <w:trPr>
          <w:trHeight w:hRule="exact" w:val="194"/>
        </w:trPr>
        <w:tc>
          <w:tcPr>
            <w:tcW w:w="1210" w:type="dxa"/>
            <w:vAlign w:val="bottom"/>
          </w:tcPr>
          <w:p w14:paraId="2B465A36"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ТБ-1</w:t>
            </w:r>
          </w:p>
        </w:tc>
        <w:tc>
          <w:tcPr>
            <w:tcW w:w="634" w:type="dxa"/>
            <w:vAlign w:val="bottom"/>
          </w:tcPr>
          <w:p w14:paraId="44FFA375"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45</w:t>
            </w:r>
          </w:p>
        </w:tc>
        <w:tc>
          <w:tcPr>
            <w:tcW w:w="724" w:type="dxa"/>
            <w:vAlign w:val="bottom"/>
          </w:tcPr>
          <w:p w14:paraId="1E2E912E"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7</w:t>
            </w:r>
          </w:p>
        </w:tc>
        <w:tc>
          <w:tcPr>
            <w:tcW w:w="637" w:type="dxa"/>
            <w:vAlign w:val="bottom"/>
          </w:tcPr>
          <w:p w14:paraId="7B8444BC"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52</w:t>
            </w:r>
          </w:p>
        </w:tc>
        <w:tc>
          <w:tcPr>
            <w:tcW w:w="1228" w:type="dxa"/>
            <w:vAlign w:val="bottom"/>
          </w:tcPr>
          <w:p w14:paraId="1C4DD4E3"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МР-1</w:t>
            </w:r>
          </w:p>
        </w:tc>
        <w:tc>
          <w:tcPr>
            <w:tcW w:w="655" w:type="dxa"/>
            <w:vAlign w:val="bottom"/>
          </w:tcPr>
          <w:p w14:paraId="70ECD437"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42</w:t>
            </w:r>
          </w:p>
        </w:tc>
        <w:tc>
          <w:tcPr>
            <w:tcW w:w="724" w:type="dxa"/>
            <w:vAlign w:val="bottom"/>
          </w:tcPr>
          <w:p w14:paraId="48963452"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29</w:t>
            </w:r>
          </w:p>
        </w:tc>
        <w:tc>
          <w:tcPr>
            <w:tcW w:w="576" w:type="dxa"/>
            <w:vAlign w:val="bottom"/>
          </w:tcPr>
          <w:p w14:paraId="45620ED2"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71</w:t>
            </w:r>
          </w:p>
        </w:tc>
      </w:tr>
      <w:tr w:rsidR="005610C8" w:rsidRPr="005E779E" w14:paraId="3461BBC9" w14:textId="77777777" w:rsidTr="005610C8">
        <w:trPr>
          <w:trHeight w:hRule="exact" w:val="191"/>
        </w:trPr>
        <w:tc>
          <w:tcPr>
            <w:tcW w:w="1210" w:type="dxa"/>
            <w:vAlign w:val="bottom"/>
          </w:tcPr>
          <w:p w14:paraId="5FF51CC9"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Р-1</w:t>
            </w:r>
          </w:p>
        </w:tc>
        <w:tc>
          <w:tcPr>
            <w:tcW w:w="634" w:type="dxa"/>
            <w:vAlign w:val="bottom"/>
          </w:tcPr>
          <w:p w14:paraId="595E3D36"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1 214</w:t>
            </w:r>
          </w:p>
        </w:tc>
        <w:tc>
          <w:tcPr>
            <w:tcW w:w="724" w:type="dxa"/>
            <w:vAlign w:val="bottom"/>
          </w:tcPr>
          <w:p w14:paraId="0F5F1391"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303</w:t>
            </w:r>
          </w:p>
        </w:tc>
        <w:tc>
          <w:tcPr>
            <w:tcW w:w="637" w:type="dxa"/>
            <w:vAlign w:val="bottom"/>
          </w:tcPr>
          <w:p w14:paraId="4D7E5813"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1 517</w:t>
            </w:r>
          </w:p>
        </w:tc>
        <w:tc>
          <w:tcPr>
            <w:tcW w:w="1228" w:type="dxa"/>
            <w:vAlign w:val="bottom"/>
          </w:tcPr>
          <w:p w14:paraId="0305A5CD"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РОМ</w:t>
            </w:r>
          </w:p>
        </w:tc>
        <w:tc>
          <w:tcPr>
            <w:tcW w:w="655" w:type="dxa"/>
            <w:vAlign w:val="bottom"/>
          </w:tcPr>
          <w:p w14:paraId="0AB6553C"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w:t>
            </w:r>
          </w:p>
        </w:tc>
        <w:tc>
          <w:tcPr>
            <w:tcW w:w="724" w:type="dxa"/>
            <w:vAlign w:val="bottom"/>
          </w:tcPr>
          <w:p w14:paraId="0FF09546"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w:t>
            </w:r>
          </w:p>
        </w:tc>
        <w:tc>
          <w:tcPr>
            <w:tcW w:w="576" w:type="dxa"/>
            <w:vAlign w:val="bottom"/>
          </w:tcPr>
          <w:p w14:paraId="1B9B6AED"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w:t>
            </w:r>
          </w:p>
        </w:tc>
      </w:tr>
      <w:tr w:rsidR="005610C8" w:rsidRPr="005E779E" w14:paraId="2753D508" w14:textId="77777777" w:rsidTr="005610C8">
        <w:trPr>
          <w:trHeight w:hRule="exact" w:val="191"/>
        </w:trPr>
        <w:tc>
          <w:tcPr>
            <w:tcW w:w="1210" w:type="dxa"/>
            <w:vAlign w:val="bottom"/>
          </w:tcPr>
          <w:p w14:paraId="246DDA43"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И-2</w:t>
            </w:r>
          </w:p>
        </w:tc>
        <w:tc>
          <w:tcPr>
            <w:tcW w:w="634" w:type="dxa"/>
            <w:vAlign w:val="bottom"/>
          </w:tcPr>
          <w:p w14:paraId="255AFC11"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26</w:t>
            </w:r>
          </w:p>
        </w:tc>
        <w:tc>
          <w:tcPr>
            <w:tcW w:w="724" w:type="dxa"/>
            <w:vAlign w:val="bottom"/>
          </w:tcPr>
          <w:p w14:paraId="2E84F174"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8</w:t>
            </w:r>
          </w:p>
        </w:tc>
        <w:tc>
          <w:tcPr>
            <w:tcW w:w="637" w:type="dxa"/>
            <w:vAlign w:val="bottom"/>
          </w:tcPr>
          <w:p w14:paraId="3D2FC618"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34</w:t>
            </w:r>
          </w:p>
        </w:tc>
        <w:tc>
          <w:tcPr>
            <w:tcW w:w="1228" w:type="dxa"/>
            <w:vAlign w:val="bottom"/>
          </w:tcPr>
          <w:p w14:paraId="6CCF6BD5"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У-1</w:t>
            </w:r>
          </w:p>
        </w:tc>
        <w:tc>
          <w:tcPr>
            <w:tcW w:w="655" w:type="dxa"/>
            <w:vAlign w:val="bottom"/>
          </w:tcPr>
          <w:p w14:paraId="6C68BC1E"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172</w:t>
            </w:r>
          </w:p>
        </w:tc>
        <w:tc>
          <w:tcPr>
            <w:tcW w:w="724" w:type="dxa"/>
            <w:vAlign w:val="bottom"/>
          </w:tcPr>
          <w:p w14:paraId="0905C0EA"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97</w:t>
            </w:r>
          </w:p>
        </w:tc>
        <w:tc>
          <w:tcPr>
            <w:tcW w:w="576" w:type="dxa"/>
            <w:vAlign w:val="bottom"/>
          </w:tcPr>
          <w:p w14:paraId="3CC687C8"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269</w:t>
            </w:r>
          </w:p>
        </w:tc>
      </w:tr>
      <w:tr w:rsidR="005610C8" w:rsidRPr="005E779E" w14:paraId="4444A1F7" w14:textId="77777777" w:rsidTr="005610C8">
        <w:trPr>
          <w:trHeight w:hRule="exact" w:val="191"/>
        </w:trPr>
        <w:tc>
          <w:tcPr>
            <w:tcW w:w="1210" w:type="dxa"/>
            <w:vAlign w:val="bottom"/>
          </w:tcPr>
          <w:p w14:paraId="5620516C"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И-2бис</w:t>
            </w:r>
          </w:p>
        </w:tc>
        <w:tc>
          <w:tcPr>
            <w:tcW w:w="634" w:type="dxa"/>
            <w:vAlign w:val="bottom"/>
          </w:tcPr>
          <w:p w14:paraId="30E07AF2"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65</w:t>
            </w:r>
          </w:p>
        </w:tc>
        <w:tc>
          <w:tcPr>
            <w:tcW w:w="724" w:type="dxa"/>
            <w:vAlign w:val="bottom"/>
          </w:tcPr>
          <w:p w14:paraId="2ED9602B"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7</w:t>
            </w:r>
          </w:p>
        </w:tc>
        <w:tc>
          <w:tcPr>
            <w:tcW w:w="637" w:type="dxa"/>
            <w:vAlign w:val="bottom"/>
          </w:tcPr>
          <w:p w14:paraId="644B2BAF"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72</w:t>
            </w:r>
          </w:p>
        </w:tc>
        <w:tc>
          <w:tcPr>
            <w:tcW w:w="1228" w:type="dxa"/>
            <w:vAlign w:val="bottom"/>
          </w:tcPr>
          <w:p w14:paraId="32D7BF27"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У-2</w:t>
            </w:r>
          </w:p>
        </w:tc>
        <w:tc>
          <w:tcPr>
            <w:tcW w:w="655" w:type="dxa"/>
            <w:vAlign w:val="bottom"/>
          </w:tcPr>
          <w:p w14:paraId="19CD0832"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75</w:t>
            </w:r>
          </w:p>
        </w:tc>
        <w:tc>
          <w:tcPr>
            <w:tcW w:w="724" w:type="dxa"/>
            <w:vAlign w:val="bottom"/>
          </w:tcPr>
          <w:p w14:paraId="69C03583"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6</w:t>
            </w:r>
          </w:p>
        </w:tc>
        <w:tc>
          <w:tcPr>
            <w:tcW w:w="576" w:type="dxa"/>
            <w:vAlign w:val="bottom"/>
          </w:tcPr>
          <w:p w14:paraId="0DD1CA25"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81</w:t>
            </w:r>
          </w:p>
        </w:tc>
      </w:tr>
      <w:tr w:rsidR="005610C8" w:rsidRPr="005E779E" w14:paraId="14D107F9" w14:textId="77777777" w:rsidTr="005610C8">
        <w:trPr>
          <w:trHeight w:hRule="exact" w:val="191"/>
        </w:trPr>
        <w:tc>
          <w:tcPr>
            <w:tcW w:w="1210" w:type="dxa"/>
            <w:vAlign w:val="bottom"/>
          </w:tcPr>
          <w:p w14:paraId="1806673C"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И-3</w:t>
            </w:r>
          </w:p>
        </w:tc>
        <w:tc>
          <w:tcPr>
            <w:tcW w:w="634" w:type="dxa"/>
            <w:vAlign w:val="bottom"/>
          </w:tcPr>
          <w:p w14:paraId="48B32EDB"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258</w:t>
            </w:r>
          </w:p>
        </w:tc>
        <w:tc>
          <w:tcPr>
            <w:tcW w:w="724" w:type="dxa"/>
            <w:vAlign w:val="bottom"/>
          </w:tcPr>
          <w:p w14:paraId="1D195B08"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21</w:t>
            </w:r>
          </w:p>
        </w:tc>
        <w:tc>
          <w:tcPr>
            <w:tcW w:w="637" w:type="dxa"/>
            <w:vAlign w:val="bottom"/>
          </w:tcPr>
          <w:p w14:paraId="70C602B7"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279</w:t>
            </w:r>
          </w:p>
        </w:tc>
        <w:tc>
          <w:tcPr>
            <w:tcW w:w="1228" w:type="dxa"/>
            <w:vAlign w:val="bottom"/>
          </w:tcPr>
          <w:p w14:paraId="77632B40"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М4-1</w:t>
            </w:r>
          </w:p>
        </w:tc>
        <w:tc>
          <w:tcPr>
            <w:tcW w:w="655" w:type="dxa"/>
            <w:vAlign w:val="bottom"/>
          </w:tcPr>
          <w:p w14:paraId="327F315C"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36</w:t>
            </w:r>
          </w:p>
        </w:tc>
        <w:tc>
          <w:tcPr>
            <w:tcW w:w="724" w:type="dxa"/>
            <w:vAlign w:val="bottom"/>
          </w:tcPr>
          <w:p w14:paraId="54955AAE"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8</w:t>
            </w:r>
          </w:p>
        </w:tc>
        <w:tc>
          <w:tcPr>
            <w:tcW w:w="576" w:type="dxa"/>
            <w:vAlign w:val="bottom"/>
          </w:tcPr>
          <w:p w14:paraId="00C4B143"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44</w:t>
            </w:r>
          </w:p>
        </w:tc>
      </w:tr>
      <w:tr w:rsidR="005610C8" w:rsidRPr="005E779E" w14:paraId="5E6A690D" w14:textId="77777777" w:rsidTr="005610C8">
        <w:trPr>
          <w:trHeight w:hRule="exact" w:val="191"/>
        </w:trPr>
        <w:tc>
          <w:tcPr>
            <w:tcW w:w="1210" w:type="dxa"/>
            <w:vAlign w:val="bottom"/>
          </w:tcPr>
          <w:p w14:paraId="322B8A84"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И-4</w:t>
            </w:r>
          </w:p>
        </w:tc>
        <w:tc>
          <w:tcPr>
            <w:tcW w:w="634" w:type="dxa"/>
            <w:vAlign w:val="bottom"/>
          </w:tcPr>
          <w:p w14:paraId="4B6DABA1"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138</w:t>
            </w:r>
          </w:p>
        </w:tc>
        <w:tc>
          <w:tcPr>
            <w:tcW w:w="724" w:type="dxa"/>
            <w:vAlign w:val="bottom"/>
          </w:tcPr>
          <w:p w14:paraId="495E0E20"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12</w:t>
            </w:r>
          </w:p>
        </w:tc>
        <w:tc>
          <w:tcPr>
            <w:tcW w:w="637" w:type="dxa"/>
            <w:vAlign w:val="bottom"/>
          </w:tcPr>
          <w:p w14:paraId="3850C07C"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150</w:t>
            </w:r>
          </w:p>
        </w:tc>
        <w:tc>
          <w:tcPr>
            <w:tcW w:w="1228" w:type="dxa"/>
            <w:vAlign w:val="bottom"/>
          </w:tcPr>
          <w:p w14:paraId="0CF52D3E"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Р-1 с БМВ</w:t>
            </w:r>
          </w:p>
        </w:tc>
        <w:tc>
          <w:tcPr>
            <w:tcW w:w="655" w:type="dxa"/>
            <w:vAlign w:val="bottom"/>
          </w:tcPr>
          <w:p w14:paraId="34D54EFC"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43</w:t>
            </w:r>
          </w:p>
        </w:tc>
        <w:tc>
          <w:tcPr>
            <w:tcW w:w="724" w:type="dxa"/>
            <w:vAlign w:val="bottom"/>
          </w:tcPr>
          <w:p w14:paraId="7643DA82"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36</w:t>
            </w:r>
          </w:p>
        </w:tc>
        <w:tc>
          <w:tcPr>
            <w:tcW w:w="576" w:type="dxa"/>
            <w:vAlign w:val="bottom"/>
          </w:tcPr>
          <w:p w14:paraId="24229993"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79</w:t>
            </w:r>
          </w:p>
        </w:tc>
      </w:tr>
      <w:tr w:rsidR="005610C8" w:rsidRPr="005E779E" w14:paraId="6EFD24A5" w14:textId="77777777" w:rsidTr="005610C8">
        <w:trPr>
          <w:trHeight w:hRule="exact" w:val="191"/>
        </w:trPr>
        <w:tc>
          <w:tcPr>
            <w:tcW w:w="1210" w:type="dxa"/>
            <w:vAlign w:val="bottom"/>
          </w:tcPr>
          <w:p w14:paraId="334D10F5"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И-5</w:t>
            </w:r>
          </w:p>
        </w:tc>
        <w:tc>
          <w:tcPr>
            <w:tcW w:w="634" w:type="dxa"/>
            <w:vAlign w:val="bottom"/>
          </w:tcPr>
          <w:p w14:paraId="2E905CCC"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11</w:t>
            </w:r>
          </w:p>
        </w:tc>
        <w:tc>
          <w:tcPr>
            <w:tcW w:w="724" w:type="dxa"/>
            <w:vAlign w:val="bottom"/>
          </w:tcPr>
          <w:p w14:paraId="7344D71F"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w:t>
            </w:r>
          </w:p>
        </w:tc>
        <w:tc>
          <w:tcPr>
            <w:tcW w:w="637" w:type="dxa"/>
            <w:vAlign w:val="bottom"/>
          </w:tcPr>
          <w:p w14:paraId="32FDB85F"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12</w:t>
            </w:r>
          </w:p>
        </w:tc>
        <w:tc>
          <w:tcPr>
            <w:tcW w:w="1228" w:type="dxa"/>
            <w:vAlign w:val="bottom"/>
          </w:tcPr>
          <w:p w14:paraId="4A96F4F2"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Р-6</w:t>
            </w:r>
          </w:p>
        </w:tc>
        <w:tc>
          <w:tcPr>
            <w:tcW w:w="655" w:type="dxa"/>
            <w:vAlign w:val="bottom"/>
          </w:tcPr>
          <w:p w14:paraId="1C3FB8FD"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w:t>
            </w:r>
          </w:p>
        </w:tc>
        <w:tc>
          <w:tcPr>
            <w:tcW w:w="724" w:type="dxa"/>
            <w:vAlign w:val="bottom"/>
          </w:tcPr>
          <w:p w14:paraId="53A889EA"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w:t>
            </w:r>
          </w:p>
        </w:tc>
        <w:tc>
          <w:tcPr>
            <w:tcW w:w="576" w:type="dxa"/>
            <w:vAlign w:val="bottom"/>
          </w:tcPr>
          <w:p w14:paraId="03BFC535"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w:t>
            </w:r>
          </w:p>
        </w:tc>
      </w:tr>
      <w:tr w:rsidR="005610C8" w:rsidRPr="005E779E" w14:paraId="3076CD45" w14:textId="77777777" w:rsidTr="005610C8">
        <w:trPr>
          <w:trHeight w:hRule="exact" w:val="191"/>
        </w:trPr>
        <w:tc>
          <w:tcPr>
            <w:tcW w:w="1210" w:type="dxa"/>
            <w:vAlign w:val="bottom"/>
          </w:tcPr>
          <w:p w14:paraId="0073B619"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ФС-IV</w:t>
            </w:r>
          </w:p>
        </w:tc>
        <w:tc>
          <w:tcPr>
            <w:tcW w:w="634" w:type="dxa"/>
            <w:vAlign w:val="bottom"/>
          </w:tcPr>
          <w:p w14:paraId="721D7CC6"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25</w:t>
            </w:r>
          </w:p>
        </w:tc>
        <w:tc>
          <w:tcPr>
            <w:tcW w:w="724" w:type="dxa"/>
            <w:vAlign w:val="bottom"/>
          </w:tcPr>
          <w:p w14:paraId="7048B1C3"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7</w:t>
            </w:r>
          </w:p>
        </w:tc>
        <w:tc>
          <w:tcPr>
            <w:tcW w:w="637" w:type="dxa"/>
            <w:vAlign w:val="bottom"/>
          </w:tcPr>
          <w:p w14:paraId="2FD8788E"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32</w:t>
            </w:r>
          </w:p>
        </w:tc>
        <w:tc>
          <w:tcPr>
            <w:tcW w:w="1228" w:type="dxa"/>
            <w:vAlign w:val="bottom"/>
          </w:tcPr>
          <w:p w14:paraId="1E95BD06"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ЛШ (легк. шт-к)</w:t>
            </w:r>
          </w:p>
        </w:tc>
        <w:tc>
          <w:tcPr>
            <w:tcW w:w="655" w:type="dxa"/>
            <w:vAlign w:val="bottom"/>
          </w:tcPr>
          <w:p w14:paraId="7181560F"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w:t>
            </w:r>
          </w:p>
        </w:tc>
        <w:tc>
          <w:tcPr>
            <w:tcW w:w="724" w:type="dxa"/>
            <w:vAlign w:val="bottom"/>
          </w:tcPr>
          <w:p w14:paraId="09CF7736"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w:t>
            </w:r>
          </w:p>
        </w:tc>
        <w:tc>
          <w:tcPr>
            <w:tcW w:w="576" w:type="dxa"/>
            <w:vAlign w:val="bottom"/>
          </w:tcPr>
          <w:p w14:paraId="771D0C89"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w:t>
            </w:r>
          </w:p>
        </w:tc>
      </w:tr>
      <w:tr w:rsidR="005610C8" w:rsidRPr="005E779E" w14:paraId="667C0463" w14:textId="77777777" w:rsidTr="005610C8">
        <w:trPr>
          <w:trHeight w:hRule="exact" w:val="191"/>
        </w:trPr>
        <w:tc>
          <w:tcPr>
            <w:tcW w:w="1210" w:type="dxa"/>
            <w:vAlign w:val="bottom"/>
          </w:tcPr>
          <w:p w14:paraId="58ADA050"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ФД-VII</w:t>
            </w:r>
          </w:p>
        </w:tc>
        <w:tc>
          <w:tcPr>
            <w:tcW w:w="634" w:type="dxa"/>
            <w:vAlign w:val="bottom"/>
          </w:tcPr>
          <w:p w14:paraId="17EC0B82"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10</w:t>
            </w:r>
          </w:p>
        </w:tc>
        <w:tc>
          <w:tcPr>
            <w:tcW w:w="724" w:type="dxa"/>
            <w:vAlign w:val="bottom"/>
          </w:tcPr>
          <w:p w14:paraId="55824A06"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w:t>
            </w:r>
          </w:p>
        </w:tc>
        <w:tc>
          <w:tcPr>
            <w:tcW w:w="637" w:type="dxa"/>
            <w:vAlign w:val="bottom"/>
          </w:tcPr>
          <w:p w14:paraId="025EB32E"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И</w:t>
            </w:r>
          </w:p>
        </w:tc>
        <w:tc>
          <w:tcPr>
            <w:tcW w:w="1228" w:type="dxa"/>
            <w:vAlign w:val="bottom"/>
          </w:tcPr>
          <w:p w14:paraId="060CADE0"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Дорнье-Валь</w:t>
            </w:r>
          </w:p>
        </w:tc>
        <w:tc>
          <w:tcPr>
            <w:tcW w:w="655" w:type="dxa"/>
            <w:vAlign w:val="bottom"/>
          </w:tcPr>
          <w:p w14:paraId="2F772CC4"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14</w:t>
            </w:r>
          </w:p>
        </w:tc>
        <w:tc>
          <w:tcPr>
            <w:tcW w:w="724" w:type="dxa"/>
            <w:vAlign w:val="bottom"/>
          </w:tcPr>
          <w:p w14:paraId="09FD2321"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6</w:t>
            </w:r>
          </w:p>
        </w:tc>
        <w:tc>
          <w:tcPr>
            <w:tcW w:w="576" w:type="dxa"/>
            <w:vAlign w:val="bottom"/>
          </w:tcPr>
          <w:p w14:paraId="4F395B9A"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20</w:t>
            </w:r>
          </w:p>
        </w:tc>
      </w:tr>
      <w:tr w:rsidR="005610C8" w:rsidRPr="005E779E" w14:paraId="0EF71FFA" w14:textId="77777777" w:rsidTr="005610C8">
        <w:trPr>
          <w:trHeight w:hRule="exact" w:val="191"/>
        </w:trPr>
        <w:tc>
          <w:tcPr>
            <w:tcW w:w="1210" w:type="dxa"/>
            <w:vAlign w:val="bottom"/>
          </w:tcPr>
          <w:p w14:paraId="3EC13F9A"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ФД-Х1</w:t>
            </w:r>
          </w:p>
        </w:tc>
        <w:tc>
          <w:tcPr>
            <w:tcW w:w="634" w:type="dxa"/>
            <w:vAlign w:val="bottom"/>
          </w:tcPr>
          <w:p w14:paraId="16B1D788"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52</w:t>
            </w:r>
          </w:p>
        </w:tc>
        <w:tc>
          <w:tcPr>
            <w:tcW w:w="724" w:type="dxa"/>
            <w:vAlign w:val="bottom"/>
          </w:tcPr>
          <w:p w14:paraId="3FA6350D"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36</w:t>
            </w:r>
          </w:p>
        </w:tc>
        <w:tc>
          <w:tcPr>
            <w:tcW w:w="637" w:type="dxa"/>
            <w:vAlign w:val="bottom"/>
          </w:tcPr>
          <w:p w14:paraId="664E19D9"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88</w:t>
            </w:r>
          </w:p>
        </w:tc>
        <w:tc>
          <w:tcPr>
            <w:tcW w:w="1228" w:type="dxa"/>
            <w:vAlign w:val="bottom"/>
          </w:tcPr>
          <w:p w14:paraId="5D4289C6"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НД-55</w:t>
            </w:r>
          </w:p>
        </w:tc>
        <w:tc>
          <w:tcPr>
            <w:tcW w:w="655" w:type="dxa"/>
            <w:vAlign w:val="bottom"/>
          </w:tcPr>
          <w:p w14:paraId="5CAC5901"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19</w:t>
            </w:r>
          </w:p>
        </w:tc>
        <w:tc>
          <w:tcPr>
            <w:tcW w:w="724" w:type="dxa"/>
            <w:vAlign w:val="bottom"/>
          </w:tcPr>
          <w:p w14:paraId="5ADF60AA"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w:t>
            </w:r>
          </w:p>
        </w:tc>
        <w:tc>
          <w:tcPr>
            <w:tcW w:w="576" w:type="dxa"/>
            <w:vAlign w:val="bottom"/>
          </w:tcPr>
          <w:p w14:paraId="468C49C7"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19</w:t>
            </w:r>
          </w:p>
        </w:tc>
      </w:tr>
      <w:tr w:rsidR="005610C8" w:rsidRPr="005E779E" w14:paraId="36587948" w14:textId="77777777" w:rsidTr="005610C8">
        <w:trPr>
          <w:trHeight w:hRule="exact" w:val="191"/>
        </w:trPr>
        <w:tc>
          <w:tcPr>
            <w:tcW w:w="1210" w:type="dxa"/>
            <w:vAlign w:val="bottom"/>
          </w:tcPr>
          <w:p w14:paraId="399274A4"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Мартинсайд</w:t>
            </w:r>
          </w:p>
        </w:tc>
        <w:tc>
          <w:tcPr>
            <w:tcW w:w="634" w:type="dxa"/>
            <w:vAlign w:val="bottom"/>
          </w:tcPr>
          <w:p w14:paraId="4291819C"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2</w:t>
            </w:r>
          </w:p>
        </w:tc>
        <w:tc>
          <w:tcPr>
            <w:tcW w:w="724" w:type="dxa"/>
            <w:vAlign w:val="bottom"/>
          </w:tcPr>
          <w:p w14:paraId="632602D4"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w:t>
            </w:r>
          </w:p>
        </w:tc>
        <w:tc>
          <w:tcPr>
            <w:tcW w:w="637" w:type="dxa"/>
            <w:vAlign w:val="bottom"/>
          </w:tcPr>
          <w:p w14:paraId="444771F5"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3</w:t>
            </w:r>
          </w:p>
        </w:tc>
        <w:tc>
          <w:tcPr>
            <w:tcW w:w="1228" w:type="dxa"/>
            <w:vAlign w:val="bottom"/>
          </w:tcPr>
          <w:p w14:paraId="03EB8FE9"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Савойя</w:t>
            </w:r>
          </w:p>
        </w:tc>
        <w:tc>
          <w:tcPr>
            <w:tcW w:w="655" w:type="dxa"/>
            <w:vAlign w:val="bottom"/>
          </w:tcPr>
          <w:p w14:paraId="7EFC9131"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8</w:t>
            </w:r>
          </w:p>
        </w:tc>
        <w:tc>
          <w:tcPr>
            <w:tcW w:w="724" w:type="dxa"/>
            <w:vAlign w:val="bottom"/>
          </w:tcPr>
          <w:p w14:paraId="3A5B03CE"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5</w:t>
            </w:r>
          </w:p>
        </w:tc>
        <w:tc>
          <w:tcPr>
            <w:tcW w:w="576" w:type="dxa"/>
            <w:vAlign w:val="bottom"/>
          </w:tcPr>
          <w:p w14:paraId="50ADCB2E"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13</w:t>
            </w:r>
          </w:p>
        </w:tc>
      </w:tr>
      <w:tr w:rsidR="005610C8" w:rsidRPr="005E779E" w14:paraId="39BDD36D" w14:textId="77777777" w:rsidTr="005610C8">
        <w:trPr>
          <w:trHeight w:hRule="exact" w:val="191"/>
        </w:trPr>
        <w:tc>
          <w:tcPr>
            <w:tcW w:w="1210" w:type="dxa"/>
            <w:vAlign w:val="bottom"/>
          </w:tcPr>
          <w:p w14:paraId="7B318343"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Хейнкель</w:t>
            </w:r>
          </w:p>
        </w:tc>
        <w:tc>
          <w:tcPr>
            <w:tcW w:w="634" w:type="dxa"/>
            <w:vAlign w:val="bottom"/>
          </w:tcPr>
          <w:p w14:paraId="3585A5D0"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2</w:t>
            </w:r>
          </w:p>
        </w:tc>
        <w:tc>
          <w:tcPr>
            <w:tcW w:w="724" w:type="dxa"/>
            <w:vAlign w:val="bottom"/>
          </w:tcPr>
          <w:p w14:paraId="6336FBCB"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w:t>
            </w:r>
          </w:p>
        </w:tc>
        <w:tc>
          <w:tcPr>
            <w:tcW w:w="637" w:type="dxa"/>
            <w:vAlign w:val="bottom"/>
          </w:tcPr>
          <w:p w14:paraId="4F6695C7"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3</w:t>
            </w:r>
          </w:p>
        </w:tc>
        <w:tc>
          <w:tcPr>
            <w:tcW w:w="1228" w:type="dxa"/>
            <w:vAlign w:val="bottom"/>
          </w:tcPr>
          <w:p w14:paraId="2D8CD6E0"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Ю-20</w:t>
            </w:r>
          </w:p>
        </w:tc>
        <w:tc>
          <w:tcPr>
            <w:tcW w:w="655" w:type="dxa"/>
            <w:vAlign w:val="bottom"/>
          </w:tcPr>
          <w:p w14:paraId="0F1C1237"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w:t>
            </w:r>
          </w:p>
        </w:tc>
        <w:tc>
          <w:tcPr>
            <w:tcW w:w="724" w:type="dxa"/>
            <w:vAlign w:val="bottom"/>
          </w:tcPr>
          <w:p w14:paraId="42F37C5B"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5</w:t>
            </w:r>
          </w:p>
        </w:tc>
        <w:tc>
          <w:tcPr>
            <w:tcW w:w="576" w:type="dxa"/>
            <w:vAlign w:val="bottom"/>
          </w:tcPr>
          <w:p w14:paraId="11F687A1"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5</w:t>
            </w:r>
          </w:p>
        </w:tc>
      </w:tr>
      <w:tr w:rsidR="005610C8" w:rsidRPr="005E779E" w14:paraId="452143F5" w14:textId="77777777" w:rsidTr="005610C8">
        <w:trPr>
          <w:trHeight w:hRule="exact" w:val="191"/>
        </w:trPr>
        <w:tc>
          <w:tcPr>
            <w:tcW w:w="1210" w:type="dxa"/>
            <w:vAlign w:val="bottom"/>
          </w:tcPr>
          <w:p w14:paraId="4264CF52"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Альбатрос</w:t>
            </w:r>
          </w:p>
        </w:tc>
        <w:tc>
          <w:tcPr>
            <w:tcW w:w="634" w:type="dxa"/>
            <w:vAlign w:val="bottom"/>
          </w:tcPr>
          <w:p w14:paraId="307244A6"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2</w:t>
            </w:r>
          </w:p>
        </w:tc>
        <w:tc>
          <w:tcPr>
            <w:tcW w:w="724" w:type="dxa"/>
            <w:vAlign w:val="bottom"/>
          </w:tcPr>
          <w:p w14:paraId="2AC04F33"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2</w:t>
            </w:r>
          </w:p>
        </w:tc>
        <w:tc>
          <w:tcPr>
            <w:tcW w:w="637" w:type="dxa"/>
            <w:vAlign w:val="bottom"/>
          </w:tcPr>
          <w:p w14:paraId="2EAB2887"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4</w:t>
            </w:r>
          </w:p>
        </w:tc>
        <w:tc>
          <w:tcPr>
            <w:tcW w:w="1228" w:type="dxa"/>
            <w:vAlign w:val="bottom"/>
          </w:tcPr>
          <w:p w14:paraId="773E8414"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ЮГ-1(попл.)</w:t>
            </w:r>
          </w:p>
        </w:tc>
        <w:tc>
          <w:tcPr>
            <w:tcW w:w="655" w:type="dxa"/>
            <w:vAlign w:val="bottom"/>
          </w:tcPr>
          <w:p w14:paraId="345DE695"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8</w:t>
            </w:r>
          </w:p>
        </w:tc>
        <w:tc>
          <w:tcPr>
            <w:tcW w:w="724" w:type="dxa"/>
            <w:vAlign w:val="bottom"/>
          </w:tcPr>
          <w:p w14:paraId="1163AA96"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2</w:t>
            </w:r>
          </w:p>
        </w:tc>
        <w:tc>
          <w:tcPr>
            <w:tcW w:w="576" w:type="dxa"/>
            <w:vAlign w:val="bottom"/>
          </w:tcPr>
          <w:p w14:paraId="379408C5"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10</w:t>
            </w:r>
          </w:p>
        </w:tc>
      </w:tr>
      <w:tr w:rsidR="005610C8" w:rsidRPr="005E779E" w14:paraId="07BD3498" w14:textId="77777777" w:rsidTr="005610C8">
        <w:trPr>
          <w:trHeight w:hRule="exact" w:val="191"/>
        </w:trPr>
        <w:tc>
          <w:tcPr>
            <w:tcW w:w="1210" w:type="dxa"/>
            <w:vAlign w:val="bottom"/>
          </w:tcPr>
          <w:p w14:paraId="2838F867"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ЮГ-1</w:t>
            </w:r>
          </w:p>
        </w:tc>
        <w:tc>
          <w:tcPr>
            <w:tcW w:w="634" w:type="dxa"/>
            <w:vAlign w:val="bottom"/>
          </w:tcPr>
          <w:p w14:paraId="2C9E5E90"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w:t>
            </w:r>
          </w:p>
        </w:tc>
        <w:tc>
          <w:tcPr>
            <w:tcW w:w="724" w:type="dxa"/>
            <w:vAlign w:val="bottom"/>
          </w:tcPr>
          <w:p w14:paraId="529E774E"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w:t>
            </w:r>
          </w:p>
        </w:tc>
        <w:tc>
          <w:tcPr>
            <w:tcW w:w="637" w:type="dxa"/>
            <w:vAlign w:val="bottom"/>
          </w:tcPr>
          <w:p w14:paraId="2453BFA2"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2</w:t>
            </w:r>
          </w:p>
        </w:tc>
        <w:tc>
          <w:tcPr>
            <w:tcW w:w="1228" w:type="dxa"/>
            <w:vAlign w:val="bottom"/>
          </w:tcPr>
          <w:p w14:paraId="3BEB6A97"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Хейнкель(попл.)</w:t>
            </w:r>
          </w:p>
        </w:tc>
        <w:tc>
          <w:tcPr>
            <w:tcW w:w="655" w:type="dxa"/>
            <w:vAlign w:val="bottom"/>
          </w:tcPr>
          <w:p w14:paraId="5164FA4C"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w:t>
            </w:r>
          </w:p>
        </w:tc>
        <w:tc>
          <w:tcPr>
            <w:tcW w:w="724" w:type="dxa"/>
            <w:vAlign w:val="bottom"/>
          </w:tcPr>
          <w:p w14:paraId="29E30E7A"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w:t>
            </w:r>
          </w:p>
        </w:tc>
        <w:tc>
          <w:tcPr>
            <w:tcW w:w="576" w:type="dxa"/>
            <w:vAlign w:val="bottom"/>
          </w:tcPr>
          <w:p w14:paraId="06AF2222"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w:t>
            </w:r>
          </w:p>
        </w:tc>
      </w:tr>
      <w:tr w:rsidR="005610C8" w:rsidRPr="005E779E" w14:paraId="544E039B" w14:textId="77777777" w:rsidTr="005610C8">
        <w:trPr>
          <w:trHeight w:hRule="exact" w:val="191"/>
        </w:trPr>
        <w:tc>
          <w:tcPr>
            <w:tcW w:w="1210" w:type="dxa"/>
            <w:vAlign w:val="bottom"/>
          </w:tcPr>
          <w:p w14:paraId="00974E37"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Ю-13</w:t>
            </w:r>
          </w:p>
        </w:tc>
        <w:tc>
          <w:tcPr>
            <w:tcW w:w="634" w:type="dxa"/>
            <w:vAlign w:val="bottom"/>
          </w:tcPr>
          <w:p w14:paraId="47A040CA"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2</w:t>
            </w:r>
          </w:p>
        </w:tc>
        <w:tc>
          <w:tcPr>
            <w:tcW w:w="724" w:type="dxa"/>
            <w:vAlign w:val="bottom"/>
          </w:tcPr>
          <w:p w14:paraId="69E250AF"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w:t>
            </w:r>
          </w:p>
        </w:tc>
        <w:tc>
          <w:tcPr>
            <w:tcW w:w="637" w:type="dxa"/>
            <w:vAlign w:val="bottom"/>
          </w:tcPr>
          <w:p w14:paraId="2A3E43EF"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3</w:t>
            </w:r>
          </w:p>
        </w:tc>
        <w:tc>
          <w:tcPr>
            <w:tcW w:w="1228" w:type="dxa"/>
            <w:vAlign w:val="bottom"/>
          </w:tcPr>
          <w:p w14:paraId="31C0F30E" w14:textId="77777777" w:rsidR="005610C8" w:rsidRPr="005E779E" w:rsidRDefault="005610C8" w:rsidP="00DC550A">
            <w:pPr>
              <w:pStyle w:val="affe"/>
              <w:ind w:firstLine="0"/>
              <w:jc w:val="both"/>
              <w:rPr>
                <w:rFonts w:ascii="Times New Roman" w:hAnsi="Times New Roman" w:cs="Times New Roman"/>
                <w:color w:val="0070C0"/>
                <w:sz w:val="16"/>
                <w:szCs w:val="16"/>
              </w:rPr>
            </w:pPr>
          </w:p>
        </w:tc>
        <w:tc>
          <w:tcPr>
            <w:tcW w:w="655" w:type="dxa"/>
            <w:vAlign w:val="bottom"/>
          </w:tcPr>
          <w:p w14:paraId="523921A6" w14:textId="77777777" w:rsidR="005610C8" w:rsidRPr="005E779E" w:rsidRDefault="005610C8" w:rsidP="00DC550A">
            <w:pPr>
              <w:pStyle w:val="affe"/>
              <w:ind w:firstLine="0"/>
              <w:jc w:val="both"/>
              <w:rPr>
                <w:rFonts w:ascii="Times New Roman" w:hAnsi="Times New Roman" w:cs="Times New Roman"/>
                <w:color w:val="0070C0"/>
                <w:sz w:val="16"/>
                <w:szCs w:val="16"/>
              </w:rPr>
            </w:pPr>
          </w:p>
        </w:tc>
        <w:tc>
          <w:tcPr>
            <w:tcW w:w="724" w:type="dxa"/>
            <w:vAlign w:val="bottom"/>
          </w:tcPr>
          <w:p w14:paraId="74CCB4AB" w14:textId="77777777" w:rsidR="005610C8" w:rsidRPr="005E779E" w:rsidRDefault="005610C8" w:rsidP="00DC550A">
            <w:pPr>
              <w:pStyle w:val="affe"/>
              <w:ind w:firstLine="0"/>
              <w:jc w:val="both"/>
              <w:rPr>
                <w:rFonts w:ascii="Times New Roman" w:hAnsi="Times New Roman" w:cs="Times New Roman"/>
                <w:color w:val="0070C0"/>
                <w:sz w:val="16"/>
                <w:szCs w:val="16"/>
              </w:rPr>
            </w:pPr>
          </w:p>
        </w:tc>
        <w:tc>
          <w:tcPr>
            <w:tcW w:w="576" w:type="dxa"/>
            <w:vAlign w:val="bottom"/>
          </w:tcPr>
          <w:p w14:paraId="6C3BFC61" w14:textId="77777777" w:rsidR="005610C8" w:rsidRPr="005E779E" w:rsidRDefault="005610C8" w:rsidP="00DC550A">
            <w:pPr>
              <w:pStyle w:val="affe"/>
              <w:ind w:firstLine="0"/>
              <w:jc w:val="both"/>
              <w:rPr>
                <w:rFonts w:ascii="Times New Roman" w:hAnsi="Times New Roman" w:cs="Times New Roman"/>
                <w:color w:val="0070C0"/>
                <w:sz w:val="16"/>
                <w:szCs w:val="16"/>
              </w:rPr>
            </w:pPr>
          </w:p>
        </w:tc>
      </w:tr>
      <w:tr w:rsidR="005610C8" w:rsidRPr="005E779E" w14:paraId="2099B181" w14:textId="77777777" w:rsidTr="005610C8">
        <w:trPr>
          <w:trHeight w:hRule="exact" w:val="191"/>
        </w:trPr>
        <w:tc>
          <w:tcPr>
            <w:tcW w:w="1210" w:type="dxa"/>
            <w:vAlign w:val="bottom"/>
          </w:tcPr>
          <w:p w14:paraId="4FED4094"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Фарман-Голиаф</w:t>
            </w:r>
          </w:p>
        </w:tc>
        <w:tc>
          <w:tcPr>
            <w:tcW w:w="634" w:type="dxa"/>
            <w:vAlign w:val="bottom"/>
          </w:tcPr>
          <w:p w14:paraId="5BD33D7D"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w:t>
            </w:r>
          </w:p>
        </w:tc>
        <w:tc>
          <w:tcPr>
            <w:tcW w:w="724" w:type="dxa"/>
            <w:vAlign w:val="bottom"/>
          </w:tcPr>
          <w:p w14:paraId="51EAC870"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3</w:t>
            </w:r>
          </w:p>
        </w:tc>
        <w:tc>
          <w:tcPr>
            <w:tcW w:w="637" w:type="dxa"/>
            <w:vAlign w:val="bottom"/>
          </w:tcPr>
          <w:p w14:paraId="37185D56"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3</w:t>
            </w:r>
          </w:p>
        </w:tc>
        <w:tc>
          <w:tcPr>
            <w:tcW w:w="1228" w:type="dxa"/>
            <w:vAlign w:val="bottom"/>
          </w:tcPr>
          <w:p w14:paraId="3CC16E41"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Ансальдо</w:t>
            </w:r>
          </w:p>
        </w:tc>
        <w:tc>
          <w:tcPr>
            <w:tcW w:w="655" w:type="dxa"/>
            <w:vAlign w:val="bottom"/>
          </w:tcPr>
          <w:p w14:paraId="63AF8E6D"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w:t>
            </w:r>
          </w:p>
        </w:tc>
        <w:tc>
          <w:tcPr>
            <w:tcW w:w="724" w:type="dxa"/>
            <w:vAlign w:val="bottom"/>
          </w:tcPr>
          <w:p w14:paraId="60F7CB21"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2</w:t>
            </w:r>
          </w:p>
        </w:tc>
        <w:tc>
          <w:tcPr>
            <w:tcW w:w="576" w:type="dxa"/>
            <w:vAlign w:val="bottom"/>
          </w:tcPr>
          <w:p w14:paraId="1D38A188"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2</w:t>
            </w:r>
          </w:p>
        </w:tc>
      </w:tr>
      <w:tr w:rsidR="005610C8" w:rsidRPr="005E779E" w14:paraId="6441D0A6" w14:textId="77777777" w:rsidTr="005610C8">
        <w:trPr>
          <w:trHeight w:hRule="exact" w:val="191"/>
        </w:trPr>
        <w:tc>
          <w:tcPr>
            <w:tcW w:w="1210" w:type="dxa"/>
            <w:vAlign w:val="bottom"/>
          </w:tcPr>
          <w:p w14:paraId="433B6633"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Итого</w:t>
            </w:r>
          </w:p>
        </w:tc>
        <w:tc>
          <w:tcPr>
            <w:tcW w:w="634" w:type="dxa"/>
            <w:vAlign w:val="bottom"/>
          </w:tcPr>
          <w:p w14:paraId="58CC7F2E"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1 879</w:t>
            </w:r>
          </w:p>
        </w:tc>
        <w:tc>
          <w:tcPr>
            <w:tcW w:w="724" w:type="dxa"/>
            <w:vAlign w:val="bottom"/>
          </w:tcPr>
          <w:p w14:paraId="3837DA95"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416</w:t>
            </w:r>
          </w:p>
        </w:tc>
        <w:tc>
          <w:tcPr>
            <w:tcW w:w="637" w:type="dxa"/>
            <w:vAlign w:val="bottom"/>
          </w:tcPr>
          <w:p w14:paraId="51C95BEC"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2 295</w:t>
            </w:r>
          </w:p>
        </w:tc>
        <w:tc>
          <w:tcPr>
            <w:tcW w:w="1228" w:type="dxa"/>
            <w:vAlign w:val="bottom"/>
          </w:tcPr>
          <w:p w14:paraId="34D845C0"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Итого</w:t>
            </w:r>
          </w:p>
        </w:tc>
        <w:tc>
          <w:tcPr>
            <w:tcW w:w="655" w:type="dxa"/>
            <w:vAlign w:val="bottom"/>
          </w:tcPr>
          <w:p w14:paraId="67F8A87F"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2 303</w:t>
            </w:r>
          </w:p>
        </w:tc>
        <w:tc>
          <w:tcPr>
            <w:tcW w:w="724" w:type="dxa"/>
            <w:vAlign w:val="bottom"/>
          </w:tcPr>
          <w:p w14:paraId="4964F07F"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626</w:t>
            </w:r>
          </w:p>
        </w:tc>
        <w:tc>
          <w:tcPr>
            <w:tcW w:w="576" w:type="dxa"/>
            <w:vAlign w:val="bottom"/>
          </w:tcPr>
          <w:p w14:paraId="406B023E" w14:textId="77777777" w:rsidR="005610C8" w:rsidRPr="005E779E" w:rsidRDefault="005610C8" w:rsidP="00DC550A">
            <w:pPr>
              <w:pStyle w:val="affe"/>
              <w:ind w:firstLine="0"/>
              <w:jc w:val="both"/>
              <w:rPr>
                <w:rFonts w:ascii="Times New Roman" w:hAnsi="Times New Roman" w:cs="Times New Roman"/>
                <w:color w:val="0070C0"/>
                <w:sz w:val="16"/>
                <w:szCs w:val="16"/>
              </w:rPr>
            </w:pPr>
            <w:r w:rsidRPr="005E779E">
              <w:rPr>
                <w:rFonts w:ascii="Times New Roman" w:hAnsi="Times New Roman" w:cs="Times New Roman"/>
                <w:color w:val="0070C0"/>
                <w:sz w:val="16"/>
                <w:szCs w:val="16"/>
              </w:rPr>
              <w:t>2 929</w:t>
            </w:r>
          </w:p>
        </w:tc>
      </w:tr>
    </w:tbl>
    <w:p w14:paraId="4BEE5F20" w14:textId="77777777" w:rsidR="005610C8" w:rsidRPr="005E779E" w:rsidRDefault="005610C8" w:rsidP="005610C8">
      <w:pPr>
        <w:pStyle w:val="aff1"/>
        <w:spacing w:line="240" w:lineRule="auto"/>
        <w:rPr>
          <w:rFonts w:ascii="Times New Roman" w:hAnsi="Times New Roman" w:cs="Times New Roman"/>
          <w:i w:val="0"/>
          <w:iCs w:val="0"/>
          <w:color w:val="0070C0"/>
          <w:sz w:val="16"/>
          <w:szCs w:val="16"/>
          <w:lang w:val="ru-RU"/>
        </w:rPr>
      </w:pPr>
      <w:r w:rsidRPr="005E779E">
        <w:rPr>
          <w:rFonts w:ascii="Times New Roman" w:hAnsi="Times New Roman" w:cs="Times New Roman"/>
          <w:i w:val="0"/>
          <w:iCs w:val="0"/>
          <w:color w:val="0070C0"/>
          <w:sz w:val="16"/>
          <w:szCs w:val="16"/>
          <w:lang w:val="ru-RU"/>
        </w:rPr>
        <w:t>Всего: 2 295+2 929 = 5 224, из них, исправных: 1 879 + 2 303 = 4 182; неисправных: 416+626= 1 042</w:t>
      </w:r>
    </w:p>
    <w:p w14:paraId="12C41AE8" w14:textId="77777777" w:rsidR="005610C8" w:rsidRPr="005E779E" w:rsidRDefault="005610C8" w:rsidP="005610C8">
      <w:pPr>
        <w:spacing w:after="0" w:line="240" w:lineRule="auto"/>
        <w:jc w:val="both"/>
        <w:rPr>
          <w:rFonts w:ascii="Times New Roman" w:hAnsi="Times New Roman"/>
          <w:color w:val="0070C0"/>
          <w:sz w:val="16"/>
          <w:szCs w:val="16"/>
        </w:rPr>
      </w:pPr>
      <w:r w:rsidRPr="005E779E">
        <w:rPr>
          <w:rFonts w:ascii="Times New Roman" w:hAnsi="Times New Roman"/>
          <w:color w:val="0070C0"/>
          <w:sz w:val="16"/>
          <w:szCs w:val="16"/>
        </w:rPr>
        <w:t>В Таблице 2.1 находим и самолеты Морской авиации (МА), которая до 1935 г. организационно входила в состав ВВС РККА. Роль МА в начале 1930- х гг. сводилась к ведению воздушной разведки и прикрытию сил флота в базах и портах от ударов авиации противника. На 4 июля 1930 г. из 97 самолетов МА 72 были разведчиками, 21 - истребителями и только 4 – бомбардировщиками (РГВА. Ф. 4. On. 1. Д. 1302. Л. 13) (24968).</w:t>
      </w:r>
    </w:p>
    <w:p w14:paraId="0848E650" w14:textId="77777777" w:rsidR="005610C8" w:rsidRPr="005E779E" w:rsidRDefault="005610C8" w:rsidP="005610C8">
      <w:pPr>
        <w:spacing w:after="0" w:line="240" w:lineRule="auto"/>
        <w:jc w:val="both"/>
        <w:rPr>
          <w:rFonts w:ascii="Times New Roman" w:hAnsi="Times New Roman"/>
          <w:color w:val="0070C0"/>
          <w:sz w:val="16"/>
          <w:szCs w:val="16"/>
        </w:rPr>
      </w:pPr>
    </w:p>
    <w:p w14:paraId="0B3A398D"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53BE9430"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147D7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января 1931 ТОМ-1 привезли в Севастополь и до августа собирали, а потом испытали. Все получилось неплохо, но был готов ТБ-1 и его можно было ставить на поплавки (92,380).</w:t>
      </w:r>
    </w:p>
    <w:p w14:paraId="4C26BA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Ни хера себе - с января по август собирали.</w:t>
      </w:r>
    </w:p>
    <w:p w14:paraId="04BEA0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01F86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1 января 1931 начались заводские испытания МТБ-1 2М-17 и параллельно вели доводки. Летали и во время полета на гор. скорость лопнул шатун и повредил мотораму. Усиливали поплавки и шасси (3029,213).</w:t>
      </w:r>
    </w:p>
    <w:p w14:paraId="74777A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6A800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января 1931 г. с Р-1 проложили линию длиной 2,5 км. Самолет сбрасывал с парашютом полевой телефонный аппарат и с высоты 100 м начинал разматывать с катушки провод; в конце с машины сбрасывали второй аппарат (11923).</w:t>
      </w:r>
    </w:p>
    <w:p w14:paraId="162247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Р-1 разрабатывали первые десантные подвески, специальные мешки и короба. Так, именно на нем испытывали «картонажный авиасбрасыватель» - сигару из плотного картона с контейнером для парашюта Г-2 на одном конце. В него упаковывались шесть винтовок или цинки с 5000 патронов. Альтернативой являлся грузовой мешок Г-3, тоже с парашютом. В него можно было уложить три 76-мм снаряда или три ручных пулемета ДП или три ящика с пулеметными лентами. Еще большей емкостью обладал комплект на базе грузового парашюта типа 3А. Он включал несколько видов цилиндрических контейнеров для грузов разных типов весом до 60 кг. В один контейнер могли войти четыре пулемета «Льюис» или шесть ДП, 64 гранаты, семь 76-мм снарядов. Предусматривались баки для воды, бензина и масла. В двух цилиндрах размещалась разобранная динамо-реактивная (безоткатная) пушка: в одном ствол, в другом замок, тренога и прицел. Р-1 мог нести по одному мешку или коробу с каждой стороны под нижним крылом. Известный изобретатель П.И. Гроховский в НИИ ВВС спроектировал и построил специальный вариант Р-1 для тренировки в воздушной стрельбе, названный «Воздушный полигон». Переоборудованный самолет нес в общей сложности шесть полотняных рукавов и шесть фанерных мишеней, которые могли выпускаться в разной последовательности. Общий вес дополнительного оборудования составлял 84 кг. На испытаниях сделали четыре полета. Скорость самолета упала на 40-50 км/ч. Кроме того сочли, что конструкция недостаточно прочна, а тросы, на которых тянули мишени, слишком коротки (11923).</w:t>
      </w:r>
    </w:p>
    <w:p w14:paraId="3C19F1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A55158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января 1931 г. при ЦАГИ организовано Бюро особых конструкций (БОК) (6395).</w:t>
      </w:r>
    </w:p>
    <w:p w14:paraId="3D27AB5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E423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января 1931 по инициативе начальника ГУАП П.И.Б. при ЦАГИ было организовано БОК под руководством В.А.Чижевского (438,618).</w:t>
      </w:r>
    </w:p>
    <w:p w14:paraId="0C1FE2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D38822B" w14:textId="77777777" w:rsidR="001002C3" w:rsidRPr="005E779E" w:rsidRDefault="001002C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января 1931 г. в соответствии о постановлением РВС СССР от 20 ноября 1930 года в ЦАГИ организовано Бюро особых конструкций /БОК/ для изучения всех новых вопросов в области летания и для создания новых, необычных схем летательных аппаратов. Начальником БОК был назначен инженер Владимир Антонович Чижевский. БОК вело работы по высотным самолетам, самолетам-бесхвосткам, реактивным самолетам, вертолетам и т.п. Существовало до 1941 года.</w:t>
      </w:r>
    </w:p>
    <w:p w14:paraId="4BE675F3" w14:textId="77777777" w:rsidR="001002C3" w:rsidRPr="005E779E" w:rsidRDefault="001002C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материалам В. Б. Шаврова/ (23370).</w:t>
      </w:r>
    </w:p>
    <w:p w14:paraId="6347CC4F" w14:textId="77777777" w:rsidR="001002C3" w:rsidRPr="005E779E" w:rsidRDefault="001002C3" w:rsidP="000B7A6C">
      <w:pPr>
        <w:spacing w:after="0" w:line="240" w:lineRule="auto"/>
        <w:jc w:val="both"/>
        <w:rPr>
          <w:rFonts w:ascii="Times New Roman" w:hAnsi="Times New Roman"/>
          <w:color w:val="000000" w:themeColor="text1"/>
          <w:sz w:val="16"/>
          <w:szCs w:val="16"/>
        </w:rPr>
      </w:pPr>
    </w:p>
    <w:p w14:paraId="3E4A2C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1 января 1931 самолетный парк включал (66,179):</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548"/>
        <w:gridCol w:w="987"/>
        <w:gridCol w:w="987"/>
        <w:gridCol w:w="987"/>
      </w:tblGrid>
      <w:tr w:rsidR="001002C3" w:rsidRPr="005E779E" w14:paraId="13E24611" w14:textId="77777777">
        <w:tc>
          <w:tcPr>
            <w:tcW w:w="1548" w:type="dxa"/>
          </w:tcPr>
          <w:p w14:paraId="3E971B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Тип</w:t>
            </w:r>
          </w:p>
        </w:tc>
        <w:tc>
          <w:tcPr>
            <w:tcW w:w="987" w:type="dxa"/>
          </w:tcPr>
          <w:p w14:paraId="45FA75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Исправные</w:t>
            </w:r>
          </w:p>
        </w:tc>
        <w:tc>
          <w:tcPr>
            <w:tcW w:w="987" w:type="dxa"/>
          </w:tcPr>
          <w:p w14:paraId="347795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Неисправные</w:t>
            </w:r>
          </w:p>
        </w:tc>
        <w:tc>
          <w:tcPr>
            <w:tcW w:w="987" w:type="dxa"/>
          </w:tcPr>
          <w:p w14:paraId="6AB098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w:t>
            </w:r>
          </w:p>
        </w:tc>
      </w:tr>
      <w:tr w:rsidR="001002C3" w:rsidRPr="005E779E" w14:paraId="7C38B732" w14:textId="77777777">
        <w:tc>
          <w:tcPr>
            <w:tcW w:w="1548" w:type="dxa"/>
          </w:tcPr>
          <w:p w14:paraId="6AA6B4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Сухопутные:</w:t>
            </w:r>
          </w:p>
        </w:tc>
        <w:tc>
          <w:tcPr>
            <w:tcW w:w="987" w:type="dxa"/>
          </w:tcPr>
          <w:p w14:paraId="187A64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87" w:type="dxa"/>
          </w:tcPr>
          <w:p w14:paraId="2A74B9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87" w:type="dxa"/>
          </w:tcPr>
          <w:p w14:paraId="5AF4CB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5334D8D" w14:textId="77777777">
        <w:tc>
          <w:tcPr>
            <w:tcW w:w="1548" w:type="dxa"/>
          </w:tcPr>
          <w:p w14:paraId="26D8F9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ТБ-1</w:t>
            </w:r>
          </w:p>
        </w:tc>
        <w:tc>
          <w:tcPr>
            <w:tcW w:w="987" w:type="dxa"/>
          </w:tcPr>
          <w:p w14:paraId="6CE63C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45</w:t>
            </w:r>
          </w:p>
        </w:tc>
        <w:tc>
          <w:tcPr>
            <w:tcW w:w="987" w:type="dxa"/>
          </w:tcPr>
          <w:p w14:paraId="57B327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w:t>
            </w:r>
          </w:p>
        </w:tc>
        <w:tc>
          <w:tcPr>
            <w:tcW w:w="987" w:type="dxa"/>
          </w:tcPr>
          <w:p w14:paraId="0F01DA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52</w:t>
            </w:r>
          </w:p>
        </w:tc>
      </w:tr>
      <w:tr w:rsidR="001002C3" w:rsidRPr="005E779E" w14:paraId="3FAF345C" w14:textId="77777777">
        <w:tc>
          <w:tcPr>
            <w:tcW w:w="1548" w:type="dxa"/>
          </w:tcPr>
          <w:p w14:paraId="2C32EF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Р-1</w:t>
            </w:r>
          </w:p>
        </w:tc>
        <w:tc>
          <w:tcPr>
            <w:tcW w:w="987" w:type="dxa"/>
          </w:tcPr>
          <w:p w14:paraId="392322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1214</w:t>
            </w:r>
          </w:p>
        </w:tc>
        <w:tc>
          <w:tcPr>
            <w:tcW w:w="987" w:type="dxa"/>
          </w:tcPr>
          <w:p w14:paraId="1401FF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303</w:t>
            </w:r>
          </w:p>
        </w:tc>
        <w:tc>
          <w:tcPr>
            <w:tcW w:w="987" w:type="dxa"/>
          </w:tcPr>
          <w:p w14:paraId="2BBE54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1517</w:t>
            </w:r>
          </w:p>
        </w:tc>
      </w:tr>
      <w:tr w:rsidR="001002C3" w:rsidRPr="005E779E" w14:paraId="7CCCACE9" w14:textId="77777777">
        <w:tc>
          <w:tcPr>
            <w:tcW w:w="1548" w:type="dxa"/>
          </w:tcPr>
          <w:p w14:paraId="3F787F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Р-5</w:t>
            </w:r>
          </w:p>
        </w:tc>
        <w:tc>
          <w:tcPr>
            <w:tcW w:w="987" w:type="dxa"/>
          </w:tcPr>
          <w:p w14:paraId="0CB654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w:t>
            </w:r>
          </w:p>
        </w:tc>
        <w:tc>
          <w:tcPr>
            <w:tcW w:w="987" w:type="dxa"/>
          </w:tcPr>
          <w:p w14:paraId="49E1F5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w:t>
            </w:r>
          </w:p>
        </w:tc>
        <w:tc>
          <w:tcPr>
            <w:tcW w:w="987" w:type="dxa"/>
          </w:tcPr>
          <w:p w14:paraId="7C87B2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w:t>
            </w:r>
          </w:p>
        </w:tc>
      </w:tr>
      <w:tr w:rsidR="001002C3" w:rsidRPr="005E779E" w14:paraId="6FD701B9" w14:textId="77777777">
        <w:tc>
          <w:tcPr>
            <w:tcW w:w="1548" w:type="dxa"/>
          </w:tcPr>
          <w:p w14:paraId="53126B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И-2</w:t>
            </w:r>
          </w:p>
        </w:tc>
        <w:tc>
          <w:tcPr>
            <w:tcW w:w="987" w:type="dxa"/>
          </w:tcPr>
          <w:p w14:paraId="04A15D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w:t>
            </w:r>
          </w:p>
        </w:tc>
        <w:tc>
          <w:tcPr>
            <w:tcW w:w="987" w:type="dxa"/>
          </w:tcPr>
          <w:p w14:paraId="3D868C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w:t>
            </w:r>
          </w:p>
        </w:tc>
        <w:tc>
          <w:tcPr>
            <w:tcW w:w="987" w:type="dxa"/>
          </w:tcPr>
          <w:p w14:paraId="6DB5BB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34</w:t>
            </w:r>
          </w:p>
        </w:tc>
      </w:tr>
      <w:tr w:rsidR="001002C3" w:rsidRPr="005E779E" w14:paraId="7DFC5554" w14:textId="77777777">
        <w:tc>
          <w:tcPr>
            <w:tcW w:w="1548" w:type="dxa"/>
          </w:tcPr>
          <w:p w14:paraId="266A02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И-2бис</w:t>
            </w:r>
          </w:p>
        </w:tc>
        <w:tc>
          <w:tcPr>
            <w:tcW w:w="987" w:type="dxa"/>
          </w:tcPr>
          <w:p w14:paraId="4BDCAF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65</w:t>
            </w:r>
          </w:p>
        </w:tc>
        <w:tc>
          <w:tcPr>
            <w:tcW w:w="987" w:type="dxa"/>
          </w:tcPr>
          <w:p w14:paraId="6C3507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w:t>
            </w:r>
          </w:p>
        </w:tc>
        <w:tc>
          <w:tcPr>
            <w:tcW w:w="987" w:type="dxa"/>
          </w:tcPr>
          <w:p w14:paraId="497DE6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72</w:t>
            </w:r>
          </w:p>
        </w:tc>
      </w:tr>
      <w:tr w:rsidR="00EA061A" w:rsidRPr="005E779E" w14:paraId="5AB68556" w14:textId="77777777">
        <w:tc>
          <w:tcPr>
            <w:tcW w:w="1548" w:type="dxa"/>
          </w:tcPr>
          <w:p w14:paraId="546270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И-3</w:t>
            </w:r>
          </w:p>
        </w:tc>
        <w:tc>
          <w:tcPr>
            <w:tcW w:w="987" w:type="dxa"/>
          </w:tcPr>
          <w:p w14:paraId="5F920B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258</w:t>
            </w:r>
          </w:p>
        </w:tc>
        <w:tc>
          <w:tcPr>
            <w:tcW w:w="987" w:type="dxa"/>
          </w:tcPr>
          <w:p w14:paraId="00C7C0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w:t>
            </w:r>
          </w:p>
        </w:tc>
        <w:tc>
          <w:tcPr>
            <w:tcW w:w="987" w:type="dxa"/>
          </w:tcPr>
          <w:p w14:paraId="0A28CF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279</w:t>
            </w:r>
          </w:p>
        </w:tc>
      </w:tr>
      <w:tr w:rsidR="00EA061A" w:rsidRPr="005E779E" w14:paraId="3C288572" w14:textId="77777777">
        <w:tc>
          <w:tcPr>
            <w:tcW w:w="1548" w:type="dxa"/>
          </w:tcPr>
          <w:p w14:paraId="27262D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И-4</w:t>
            </w:r>
          </w:p>
        </w:tc>
        <w:tc>
          <w:tcPr>
            <w:tcW w:w="987" w:type="dxa"/>
          </w:tcPr>
          <w:p w14:paraId="7EA727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138</w:t>
            </w:r>
          </w:p>
        </w:tc>
        <w:tc>
          <w:tcPr>
            <w:tcW w:w="987" w:type="dxa"/>
          </w:tcPr>
          <w:p w14:paraId="6D9D3D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w:t>
            </w:r>
          </w:p>
        </w:tc>
        <w:tc>
          <w:tcPr>
            <w:tcW w:w="987" w:type="dxa"/>
          </w:tcPr>
          <w:p w14:paraId="4452EB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w:t>
            </w:r>
          </w:p>
        </w:tc>
      </w:tr>
      <w:tr w:rsidR="00EA061A" w:rsidRPr="005E779E" w14:paraId="349C8544" w14:textId="77777777">
        <w:tc>
          <w:tcPr>
            <w:tcW w:w="1548" w:type="dxa"/>
          </w:tcPr>
          <w:p w14:paraId="79943D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w:t>
            </w:r>
          </w:p>
        </w:tc>
        <w:tc>
          <w:tcPr>
            <w:tcW w:w="987" w:type="dxa"/>
          </w:tcPr>
          <w:p w14:paraId="4701B4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w:t>
            </w:r>
          </w:p>
        </w:tc>
        <w:tc>
          <w:tcPr>
            <w:tcW w:w="987" w:type="dxa"/>
          </w:tcPr>
          <w:p w14:paraId="276FDB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987" w:type="dxa"/>
          </w:tcPr>
          <w:p w14:paraId="093AEC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w:t>
            </w:r>
          </w:p>
        </w:tc>
      </w:tr>
      <w:tr w:rsidR="00EA061A" w:rsidRPr="005E779E" w14:paraId="41101CA2" w14:textId="77777777">
        <w:tc>
          <w:tcPr>
            <w:tcW w:w="1548" w:type="dxa"/>
          </w:tcPr>
          <w:p w14:paraId="73B14C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ФС-4</w:t>
            </w:r>
          </w:p>
        </w:tc>
        <w:tc>
          <w:tcPr>
            <w:tcW w:w="987" w:type="dxa"/>
          </w:tcPr>
          <w:p w14:paraId="73BEAF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w:t>
            </w:r>
          </w:p>
        </w:tc>
        <w:tc>
          <w:tcPr>
            <w:tcW w:w="987" w:type="dxa"/>
          </w:tcPr>
          <w:p w14:paraId="75706C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w:t>
            </w:r>
          </w:p>
        </w:tc>
        <w:tc>
          <w:tcPr>
            <w:tcW w:w="987" w:type="dxa"/>
          </w:tcPr>
          <w:p w14:paraId="7507A3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32</w:t>
            </w:r>
          </w:p>
        </w:tc>
      </w:tr>
      <w:tr w:rsidR="00EA061A" w:rsidRPr="005E779E" w14:paraId="1ABCC07E" w14:textId="77777777">
        <w:tc>
          <w:tcPr>
            <w:tcW w:w="1548" w:type="dxa"/>
          </w:tcPr>
          <w:p w14:paraId="222749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ФД-6</w:t>
            </w:r>
          </w:p>
        </w:tc>
        <w:tc>
          <w:tcPr>
            <w:tcW w:w="987" w:type="dxa"/>
          </w:tcPr>
          <w:p w14:paraId="582BFA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w:t>
            </w:r>
          </w:p>
        </w:tc>
        <w:tc>
          <w:tcPr>
            <w:tcW w:w="987" w:type="dxa"/>
          </w:tcPr>
          <w:p w14:paraId="2A2996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987" w:type="dxa"/>
          </w:tcPr>
          <w:p w14:paraId="186FF9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w:t>
            </w:r>
          </w:p>
        </w:tc>
      </w:tr>
      <w:tr w:rsidR="00EA061A" w:rsidRPr="005E779E" w14:paraId="30FC8848" w14:textId="77777777">
        <w:tc>
          <w:tcPr>
            <w:tcW w:w="1548" w:type="dxa"/>
          </w:tcPr>
          <w:p w14:paraId="563165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ФД-11</w:t>
            </w:r>
          </w:p>
        </w:tc>
        <w:tc>
          <w:tcPr>
            <w:tcW w:w="987" w:type="dxa"/>
          </w:tcPr>
          <w:p w14:paraId="400A4E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52</w:t>
            </w:r>
          </w:p>
        </w:tc>
        <w:tc>
          <w:tcPr>
            <w:tcW w:w="987" w:type="dxa"/>
          </w:tcPr>
          <w:p w14:paraId="6663AA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36</w:t>
            </w:r>
          </w:p>
        </w:tc>
        <w:tc>
          <w:tcPr>
            <w:tcW w:w="987" w:type="dxa"/>
          </w:tcPr>
          <w:p w14:paraId="189541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88</w:t>
            </w:r>
          </w:p>
        </w:tc>
      </w:tr>
      <w:tr w:rsidR="00EA061A" w:rsidRPr="005E779E" w14:paraId="062BAF25" w14:textId="77777777">
        <w:tc>
          <w:tcPr>
            <w:tcW w:w="1548" w:type="dxa"/>
          </w:tcPr>
          <w:p w14:paraId="630512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Мартинсайд</w:t>
            </w:r>
          </w:p>
        </w:tc>
        <w:tc>
          <w:tcPr>
            <w:tcW w:w="987" w:type="dxa"/>
          </w:tcPr>
          <w:p w14:paraId="5495BC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987" w:type="dxa"/>
          </w:tcPr>
          <w:p w14:paraId="0F7526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987" w:type="dxa"/>
          </w:tcPr>
          <w:p w14:paraId="1C4460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tc>
      </w:tr>
      <w:tr w:rsidR="00EA061A" w:rsidRPr="005E779E" w14:paraId="4D51172C" w14:textId="77777777">
        <w:tc>
          <w:tcPr>
            <w:tcW w:w="1548" w:type="dxa"/>
          </w:tcPr>
          <w:p w14:paraId="54EAC2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Хейнкель</w:t>
            </w:r>
          </w:p>
        </w:tc>
        <w:tc>
          <w:tcPr>
            <w:tcW w:w="987" w:type="dxa"/>
          </w:tcPr>
          <w:p w14:paraId="4D30F0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987" w:type="dxa"/>
          </w:tcPr>
          <w:p w14:paraId="69933E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987" w:type="dxa"/>
          </w:tcPr>
          <w:p w14:paraId="50BF13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tc>
      </w:tr>
      <w:tr w:rsidR="00EA061A" w:rsidRPr="005E779E" w14:paraId="5B090603" w14:textId="77777777">
        <w:tc>
          <w:tcPr>
            <w:tcW w:w="1548" w:type="dxa"/>
          </w:tcPr>
          <w:p w14:paraId="3AF2C5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Альбатрос</w:t>
            </w:r>
          </w:p>
        </w:tc>
        <w:tc>
          <w:tcPr>
            <w:tcW w:w="987" w:type="dxa"/>
          </w:tcPr>
          <w:p w14:paraId="0EA018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987" w:type="dxa"/>
          </w:tcPr>
          <w:p w14:paraId="2ECE17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987" w:type="dxa"/>
          </w:tcPr>
          <w:p w14:paraId="336C41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w:t>
            </w:r>
          </w:p>
        </w:tc>
      </w:tr>
      <w:tr w:rsidR="00EA061A" w:rsidRPr="005E779E" w14:paraId="239D23F8" w14:textId="77777777">
        <w:tc>
          <w:tcPr>
            <w:tcW w:w="1548" w:type="dxa"/>
          </w:tcPr>
          <w:p w14:paraId="04387C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ЮГ-1</w:t>
            </w:r>
          </w:p>
        </w:tc>
        <w:tc>
          <w:tcPr>
            <w:tcW w:w="987" w:type="dxa"/>
          </w:tcPr>
          <w:p w14:paraId="061E6A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987" w:type="dxa"/>
          </w:tcPr>
          <w:p w14:paraId="57EDF2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987" w:type="dxa"/>
          </w:tcPr>
          <w:p w14:paraId="5E8807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r>
      <w:tr w:rsidR="00EA061A" w:rsidRPr="005E779E" w14:paraId="079B1B99" w14:textId="77777777">
        <w:tc>
          <w:tcPr>
            <w:tcW w:w="1548" w:type="dxa"/>
          </w:tcPr>
          <w:p w14:paraId="5E7999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Ю-13</w:t>
            </w:r>
          </w:p>
        </w:tc>
        <w:tc>
          <w:tcPr>
            <w:tcW w:w="987" w:type="dxa"/>
          </w:tcPr>
          <w:p w14:paraId="7A0EAD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987" w:type="dxa"/>
          </w:tcPr>
          <w:p w14:paraId="2028F1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987" w:type="dxa"/>
          </w:tcPr>
          <w:p w14:paraId="5DD320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tc>
      </w:tr>
      <w:tr w:rsidR="00EA061A" w:rsidRPr="005E779E" w14:paraId="1AA73967" w14:textId="77777777">
        <w:tc>
          <w:tcPr>
            <w:tcW w:w="1548" w:type="dxa"/>
          </w:tcPr>
          <w:p w14:paraId="647E6D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Фарман-Голиаф</w:t>
            </w:r>
          </w:p>
        </w:tc>
        <w:tc>
          <w:tcPr>
            <w:tcW w:w="987" w:type="dxa"/>
          </w:tcPr>
          <w:p w14:paraId="613C05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987" w:type="dxa"/>
          </w:tcPr>
          <w:p w14:paraId="56AC8B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tc>
        <w:tc>
          <w:tcPr>
            <w:tcW w:w="987" w:type="dxa"/>
          </w:tcPr>
          <w:p w14:paraId="346B7D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tc>
      </w:tr>
      <w:tr w:rsidR="00EA061A" w:rsidRPr="005E779E" w14:paraId="4217CBD6" w14:textId="77777777">
        <w:tc>
          <w:tcPr>
            <w:tcW w:w="1548" w:type="dxa"/>
          </w:tcPr>
          <w:p w14:paraId="1C51D4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87" w:type="dxa"/>
          </w:tcPr>
          <w:p w14:paraId="0A41A4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1879</w:t>
            </w:r>
          </w:p>
        </w:tc>
        <w:tc>
          <w:tcPr>
            <w:tcW w:w="987" w:type="dxa"/>
          </w:tcPr>
          <w:p w14:paraId="134F08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416</w:t>
            </w:r>
          </w:p>
        </w:tc>
        <w:tc>
          <w:tcPr>
            <w:tcW w:w="987" w:type="dxa"/>
          </w:tcPr>
          <w:p w14:paraId="59FC60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2295</w:t>
            </w:r>
          </w:p>
        </w:tc>
      </w:tr>
      <w:tr w:rsidR="00EA061A" w:rsidRPr="005E779E" w14:paraId="2511FB40" w14:textId="77777777">
        <w:tc>
          <w:tcPr>
            <w:tcW w:w="1548" w:type="dxa"/>
          </w:tcPr>
          <w:p w14:paraId="25F3AB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Вспомогательные</w:t>
            </w:r>
          </w:p>
        </w:tc>
        <w:tc>
          <w:tcPr>
            <w:tcW w:w="987" w:type="dxa"/>
          </w:tcPr>
          <w:p w14:paraId="1011E5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87" w:type="dxa"/>
          </w:tcPr>
          <w:p w14:paraId="19A71B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87" w:type="dxa"/>
          </w:tcPr>
          <w:p w14:paraId="3AC7FB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EA061A" w:rsidRPr="005E779E" w14:paraId="1244DF0A" w14:textId="77777777">
        <w:tc>
          <w:tcPr>
            <w:tcW w:w="1548" w:type="dxa"/>
          </w:tcPr>
          <w:p w14:paraId="3DE07B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МР-1</w:t>
            </w:r>
          </w:p>
        </w:tc>
        <w:tc>
          <w:tcPr>
            <w:tcW w:w="987" w:type="dxa"/>
          </w:tcPr>
          <w:p w14:paraId="67ECC3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42</w:t>
            </w:r>
          </w:p>
        </w:tc>
        <w:tc>
          <w:tcPr>
            <w:tcW w:w="987" w:type="dxa"/>
          </w:tcPr>
          <w:p w14:paraId="010BF5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w:t>
            </w:r>
          </w:p>
        </w:tc>
        <w:tc>
          <w:tcPr>
            <w:tcW w:w="987" w:type="dxa"/>
          </w:tcPr>
          <w:p w14:paraId="42D220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71</w:t>
            </w:r>
          </w:p>
        </w:tc>
      </w:tr>
      <w:tr w:rsidR="00EA061A" w:rsidRPr="005E779E" w14:paraId="3AA4B4C8" w14:textId="77777777">
        <w:tc>
          <w:tcPr>
            <w:tcW w:w="1548" w:type="dxa"/>
          </w:tcPr>
          <w:p w14:paraId="772D4C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РОМ</w:t>
            </w:r>
          </w:p>
        </w:tc>
        <w:tc>
          <w:tcPr>
            <w:tcW w:w="987" w:type="dxa"/>
          </w:tcPr>
          <w:p w14:paraId="1FDD1B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987" w:type="dxa"/>
          </w:tcPr>
          <w:p w14:paraId="006862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987" w:type="dxa"/>
          </w:tcPr>
          <w:p w14:paraId="3F8DB6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r>
      <w:tr w:rsidR="00EA061A" w:rsidRPr="005E779E" w14:paraId="00EF6645" w14:textId="77777777">
        <w:tc>
          <w:tcPr>
            <w:tcW w:w="1548" w:type="dxa"/>
          </w:tcPr>
          <w:p w14:paraId="5BB820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Р-1сп</w:t>
            </w:r>
          </w:p>
        </w:tc>
        <w:tc>
          <w:tcPr>
            <w:tcW w:w="987" w:type="dxa"/>
          </w:tcPr>
          <w:p w14:paraId="41C53D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w:t>
            </w:r>
          </w:p>
        </w:tc>
        <w:tc>
          <w:tcPr>
            <w:tcW w:w="987" w:type="dxa"/>
          </w:tcPr>
          <w:p w14:paraId="46DCE7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w:t>
            </w:r>
          </w:p>
        </w:tc>
        <w:tc>
          <w:tcPr>
            <w:tcW w:w="987" w:type="dxa"/>
          </w:tcPr>
          <w:p w14:paraId="23AEB8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w:t>
            </w:r>
          </w:p>
        </w:tc>
      </w:tr>
      <w:tr w:rsidR="00EA061A" w:rsidRPr="005E779E" w14:paraId="20EEE46D" w14:textId="77777777">
        <w:tc>
          <w:tcPr>
            <w:tcW w:w="1548" w:type="dxa"/>
          </w:tcPr>
          <w:p w14:paraId="7B3318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У-1</w:t>
            </w:r>
          </w:p>
        </w:tc>
        <w:tc>
          <w:tcPr>
            <w:tcW w:w="987" w:type="dxa"/>
          </w:tcPr>
          <w:p w14:paraId="72529D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172</w:t>
            </w:r>
          </w:p>
        </w:tc>
        <w:tc>
          <w:tcPr>
            <w:tcW w:w="987" w:type="dxa"/>
          </w:tcPr>
          <w:p w14:paraId="666CF7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97</w:t>
            </w:r>
          </w:p>
        </w:tc>
        <w:tc>
          <w:tcPr>
            <w:tcW w:w="987" w:type="dxa"/>
          </w:tcPr>
          <w:p w14:paraId="7D6EDB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269</w:t>
            </w:r>
          </w:p>
        </w:tc>
      </w:tr>
      <w:tr w:rsidR="00EA061A" w:rsidRPr="005E779E" w14:paraId="0F8669B7" w14:textId="77777777">
        <w:tc>
          <w:tcPr>
            <w:tcW w:w="1548" w:type="dxa"/>
          </w:tcPr>
          <w:p w14:paraId="07BDFC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У-2</w:t>
            </w:r>
          </w:p>
        </w:tc>
        <w:tc>
          <w:tcPr>
            <w:tcW w:w="987" w:type="dxa"/>
          </w:tcPr>
          <w:p w14:paraId="1E82BD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75</w:t>
            </w:r>
          </w:p>
        </w:tc>
        <w:tc>
          <w:tcPr>
            <w:tcW w:w="987" w:type="dxa"/>
          </w:tcPr>
          <w:p w14:paraId="18B73A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w:t>
            </w:r>
          </w:p>
        </w:tc>
        <w:tc>
          <w:tcPr>
            <w:tcW w:w="987" w:type="dxa"/>
          </w:tcPr>
          <w:p w14:paraId="4844B9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81</w:t>
            </w:r>
          </w:p>
        </w:tc>
      </w:tr>
      <w:tr w:rsidR="00EA061A" w:rsidRPr="005E779E" w14:paraId="7F53D4B8" w14:textId="77777777">
        <w:tc>
          <w:tcPr>
            <w:tcW w:w="1548" w:type="dxa"/>
          </w:tcPr>
          <w:p w14:paraId="32924C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М4-1</w:t>
            </w:r>
          </w:p>
        </w:tc>
        <w:tc>
          <w:tcPr>
            <w:tcW w:w="987" w:type="dxa"/>
          </w:tcPr>
          <w:p w14:paraId="31944F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36</w:t>
            </w:r>
          </w:p>
        </w:tc>
        <w:tc>
          <w:tcPr>
            <w:tcW w:w="987" w:type="dxa"/>
          </w:tcPr>
          <w:p w14:paraId="21B52C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w:t>
            </w:r>
          </w:p>
        </w:tc>
        <w:tc>
          <w:tcPr>
            <w:tcW w:w="987" w:type="dxa"/>
          </w:tcPr>
          <w:p w14:paraId="3E8B41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44</w:t>
            </w:r>
          </w:p>
        </w:tc>
      </w:tr>
      <w:tr w:rsidR="00EA061A" w:rsidRPr="005E779E" w14:paraId="647E0D79" w14:textId="77777777">
        <w:tc>
          <w:tcPr>
            <w:tcW w:w="1548" w:type="dxa"/>
          </w:tcPr>
          <w:p w14:paraId="4E14A3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Р-1бмв</w:t>
            </w:r>
          </w:p>
        </w:tc>
        <w:tc>
          <w:tcPr>
            <w:tcW w:w="987" w:type="dxa"/>
          </w:tcPr>
          <w:p w14:paraId="08C524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43</w:t>
            </w:r>
          </w:p>
        </w:tc>
        <w:tc>
          <w:tcPr>
            <w:tcW w:w="987" w:type="dxa"/>
          </w:tcPr>
          <w:p w14:paraId="0E08E3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36</w:t>
            </w:r>
          </w:p>
        </w:tc>
        <w:tc>
          <w:tcPr>
            <w:tcW w:w="987" w:type="dxa"/>
          </w:tcPr>
          <w:p w14:paraId="060AB9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79</w:t>
            </w:r>
          </w:p>
        </w:tc>
      </w:tr>
      <w:tr w:rsidR="00EA061A" w:rsidRPr="005E779E" w14:paraId="43D38059" w14:textId="77777777">
        <w:tc>
          <w:tcPr>
            <w:tcW w:w="1548" w:type="dxa"/>
          </w:tcPr>
          <w:p w14:paraId="52D7C9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Р-6</w:t>
            </w:r>
          </w:p>
        </w:tc>
        <w:tc>
          <w:tcPr>
            <w:tcW w:w="987" w:type="dxa"/>
          </w:tcPr>
          <w:p w14:paraId="3B5364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987" w:type="dxa"/>
          </w:tcPr>
          <w:p w14:paraId="093D73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987" w:type="dxa"/>
          </w:tcPr>
          <w:p w14:paraId="1574FB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r>
      <w:tr w:rsidR="00EA061A" w:rsidRPr="005E779E" w14:paraId="5FCF968C" w14:textId="77777777">
        <w:tc>
          <w:tcPr>
            <w:tcW w:w="1548" w:type="dxa"/>
          </w:tcPr>
          <w:p w14:paraId="23EFC2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ЛШ</w:t>
            </w:r>
          </w:p>
        </w:tc>
        <w:tc>
          <w:tcPr>
            <w:tcW w:w="987" w:type="dxa"/>
          </w:tcPr>
          <w:p w14:paraId="3FFB1A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987" w:type="dxa"/>
          </w:tcPr>
          <w:p w14:paraId="1F340B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987" w:type="dxa"/>
          </w:tcPr>
          <w:p w14:paraId="2A998D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r>
      <w:tr w:rsidR="00EA061A" w:rsidRPr="005E779E" w14:paraId="4B90F8BC" w14:textId="77777777">
        <w:tc>
          <w:tcPr>
            <w:tcW w:w="1548" w:type="dxa"/>
          </w:tcPr>
          <w:p w14:paraId="39CF5A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Дорнье-Валь</w:t>
            </w:r>
          </w:p>
        </w:tc>
        <w:tc>
          <w:tcPr>
            <w:tcW w:w="987" w:type="dxa"/>
          </w:tcPr>
          <w:p w14:paraId="62C3E1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w:t>
            </w:r>
          </w:p>
        </w:tc>
        <w:tc>
          <w:tcPr>
            <w:tcW w:w="987" w:type="dxa"/>
          </w:tcPr>
          <w:p w14:paraId="0FB8FF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w:t>
            </w:r>
          </w:p>
        </w:tc>
        <w:tc>
          <w:tcPr>
            <w:tcW w:w="987" w:type="dxa"/>
          </w:tcPr>
          <w:p w14:paraId="472E05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w:t>
            </w:r>
          </w:p>
        </w:tc>
      </w:tr>
      <w:tr w:rsidR="00EA061A" w:rsidRPr="005E779E" w14:paraId="7240DD9E" w14:textId="77777777">
        <w:tc>
          <w:tcPr>
            <w:tcW w:w="1548" w:type="dxa"/>
          </w:tcPr>
          <w:p w14:paraId="13A31B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НД-55</w:t>
            </w:r>
          </w:p>
        </w:tc>
        <w:tc>
          <w:tcPr>
            <w:tcW w:w="987" w:type="dxa"/>
          </w:tcPr>
          <w:p w14:paraId="735D9B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w:t>
            </w:r>
          </w:p>
        </w:tc>
        <w:tc>
          <w:tcPr>
            <w:tcW w:w="987" w:type="dxa"/>
          </w:tcPr>
          <w:p w14:paraId="6916BF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987" w:type="dxa"/>
          </w:tcPr>
          <w:p w14:paraId="28B992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w:t>
            </w:r>
          </w:p>
        </w:tc>
      </w:tr>
      <w:tr w:rsidR="00EA061A" w:rsidRPr="005E779E" w14:paraId="23F19661" w14:textId="77777777">
        <w:tc>
          <w:tcPr>
            <w:tcW w:w="1548" w:type="dxa"/>
          </w:tcPr>
          <w:p w14:paraId="3D82E3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Савойя</w:t>
            </w:r>
          </w:p>
        </w:tc>
        <w:tc>
          <w:tcPr>
            <w:tcW w:w="987" w:type="dxa"/>
          </w:tcPr>
          <w:p w14:paraId="616CA4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w:t>
            </w:r>
          </w:p>
        </w:tc>
        <w:tc>
          <w:tcPr>
            <w:tcW w:w="987" w:type="dxa"/>
          </w:tcPr>
          <w:p w14:paraId="1FDD54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w:t>
            </w:r>
          </w:p>
        </w:tc>
        <w:tc>
          <w:tcPr>
            <w:tcW w:w="987" w:type="dxa"/>
          </w:tcPr>
          <w:p w14:paraId="091273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w:t>
            </w:r>
          </w:p>
        </w:tc>
      </w:tr>
      <w:tr w:rsidR="00EA061A" w:rsidRPr="005E779E" w14:paraId="63517BE4" w14:textId="77777777">
        <w:tc>
          <w:tcPr>
            <w:tcW w:w="1548" w:type="dxa"/>
          </w:tcPr>
          <w:p w14:paraId="0622DA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Ю-20</w:t>
            </w:r>
          </w:p>
        </w:tc>
        <w:tc>
          <w:tcPr>
            <w:tcW w:w="987" w:type="dxa"/>
          </w:tcPr>
          <w:p w14:paraId="021ED9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987" w:type="dxa"/>
          </w:tcPr>
          <w:p w14:paraId="748DCF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w:t>
            </w:r>
          </w:p>
        </w:tc>
        <w:tc>
          <w:tcPr>
            <w:tcW w:w="987" w:type="dxa"/>
          </w:tcPr>
          <w:p w14:paraId="7F5B0E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w:t>
            </w:r>
          </w:p>
        </w:tc>
      </w:tr>
      <w:tr w:rsidR="00EA061A" w:rsidRPr="005E779E" w14:paraId="58098F35" w14:textId="77777777">
        <w:tc>
          <w:tcPr>
            <w:tcW w:w="1548" w:type="dxa"/>
          </w:tcPr>
          <w:p w14:paraId="480AD7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ЮГ-1 попл.</w:t>
            </w:r>
          </w:p>
        </w:tc>
        <w:tc>
          <w:tcPr>
            <w:tcW w:w="987" w:type="dxa"/>
          </w:tcPr>
          <w:p w14:paraId="62EDFB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w:t>
            </w:r>
          </w:p>
        </w:tc>
        <w:tc>
          <w:tcPr>
            <w:tcW w:w="987" w:type="dxa"/>
          </w:tcPr>
          <w:p w14:paraId="5ED5ED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987" w:type="dxa"/>
          </w:tcPr>
          <w:p w14:paraId="4FFDD6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w:t>
            </w:r>
          </w:p>
        </w:tc>
      </w:tr>
      <w:tr w:rsidR="00EA061A" w:rsidRPr="005E779E" w14:paraId="2A09A8D1" w14:textId="77777777">
        <w:tc>
          <w:tcPr>
            <w:tcW w:w="1548" w:type="dxa"/>
          </w:tcPr>
          <w:p w14:paraId="01C7BF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Хейнкель попл.</w:t>
            </w:r>
          </w:p>
        </w:tc>
        <w:tc>
          <w:tcPr>
            <w:tcW w:w="987" w:type="dxa"/>
          </w:tcPr>
          <w:p w14:paraId="671C4D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987" w:type="dxa"/>
          </w:tcPr>
          <w:p w14:paraId="43C8DC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987" w:type="dxa"/>
          </w:tcPr>
          <w:p w14:paraId="0BD29E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r>
      <w:tr w:rsidR="00EA061A" w:rsidRPr="005E779E" w14:paraId="54E5CDB2" w14:textId="77777777">
        <w:tc>
          <w:tcPr>
            <w:tcW w:w="1548" w:type="dxa"/>
          </w:tcPr>
          <w:p w14:paraId="4F9E16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Ансальдо</w:t>
            </w:r>
          </w:p>
        </w:tc>
        <w:tc>
          <w:tcPr>
            <w:tcW w:w="987" w:type="dxa"/>
          </w:tcPr>
          <w:p w14:paraId="7ECB0A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987" w:type="dxa"/>
          </w:tcPr>
          <w:p w14:paraId="4E6656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987" w:type="dxa"/>
          </w:tcPr>
          <w:p w14:paraId="471A3E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r>
      <w:tr w:rsidR="00365C94" w:rsidRPr="005E779E" w14:paraId="2119148B" w14:textId="77777777">
        <w:tc>
          <w:tcPr>
            <w:tcW w:w="1548" w:type="dxa"/>
          </w:tcPr>
          <w:p w14:paraId="0F111B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87" w:type="dxa"/>
          </w:tcPr>
          <w:p w14:paraId="1E4E59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2303</w:t>
            </w:r>
          </w:p>
        </w:tc>
        <w:tc>
          <w:tcPr>
            <w:tcW w:w="987" w:type="dxa"/>
          </w:tcPr>
          <w:p w14:paraId="3ED371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626</w:t>
            </w:r>
          </w:p>
        </w:tc>
        <w:tc>
          <w:tcPr>
            <w:tcW w:w="987" w:type="dxa"/>
          </w:tcPr>
          <w:p w14:paraId="50BDEC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2929 (66,179)</w:t>
            </w:r>
          </w:p>
        </w:tc>
      </w:tr>
    </w:tbl>
    <w:p w14:paraId="5A35EE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21784F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1 января 1931 г. в составе ВВС РККА числилось 269 У-1, из них 172 исправных. Последние У-1 про</w:t>
      </w:r>
      <w:r w:rsidRPr="005E779E">
        <w:rPr>
          <w:rFonts w:ascii="Times New Roman" w:hAnsi="Times New Roman"/>
          <w:color w:val="000000" w:themeColor="text1"/>
          <w:sz w:val="16"/>
          <w:szCs w:val="16"/>
        </w:rPr>
        <w:softHyphen/>
        <w:t>служили в аэроклубах почти до 1935 г. (10667).</w:t>
      </w:r>
    </w:p>
    <w:p w14:paraId="3B55DF8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6D6D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состоянию на 1 января 1931 г. в составе ВВС РККА насчитывалось 258 исправных И-3, 21 неисправный, всего 279 машин. В начале 1932 г. на вооружении ВВС находилось 297 самолетов данного типа. В эксплуатации И-3 зарекомендовал себя как проч</w:t>
      </w:r>
      <w:r w:rsidRPr="005E779E">
        <w:rPr>
          <w:rFonts w:ascii="Times New Roman" w:hAnsi="Times New Roman"/>
          <w:color w:val="000000" w:themeColor="text1"/>
          <w:sz w:val="16"/>
          <w:szCs w:val="16"/>
        </w:rPr>
        <w:softHyphen/>
        <w:t>ный, надежный истребитель. Но срок военной службы самолета оказался недолгим, и в конце 1934 г. последовал приказ о снятии его со снабжения ВВС РККА. Некоторое количество И-3 использовалось затем в летных школах. В авиации ВМФ И-3 практически не применяли, так как там основным истребителем являлся И-4 (10667).</w:t>
      </w:r>
    </w:p>
    <w:p w14:paraId="491836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0F22E0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состоянию на 1 января 1931 г. в составе морской авиации числилось 19 КР-1. 12 самолетов находились на Балтике, 7 на Черном море, причем одну машину приписали к Опытному морскому отделу (ОМО) НИИ ВВС в Севасто</w:t>
      </w:r>
      <w:r w:rsidRPr="005E779E">
        <w:rPr>
          <w:rFonts w:ascii="Times New Roman" w:hAnsi="Times New Roman"/>
          <w:color w:val="000000" w:themeColor="text1"/>
          <w:sz w:val="16"/>
          <w:szCs w:val="16"/>
        </w:rPr>
        <w:softHyphen/>
        <w:t>поле (11107).</w:t>
      </w:r>
    </w:p>
    <w:p w14:paraId="25DC4B6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Дополнительные полетные испытания КР-1 выявили до</w:t>
      </w:r>
      <w:r w:rsidRPr="005E779E">
        <w:rPr>
          <w:rFonts w:ascii="Times New Roman" w:hAnsi="Times New Roman"/>
          <w:color w:val="000000" w:themeColor="text1"/>
          <w:sz w:val="16"/>
          <w:szCs w:val="16"/>
        </w:rPr>
        <w:softHyphen/>
        <w:t>статочно большое количество дефектов, которые пришлось устранять уже в процессе эксплуатации. Отмечалась недоста</w:t>
      </w:r>
      <w:r w:rsidRPr="005E779E">
        <w:rPr>
          <w:rFonts w:ascii="Times New Roman" w:hAnsi="Times New Roman"/>
          <w:color w:val="000000" w:themeColor="text1"/>
          <w:sz w:val="16"/>
          <w:szCs w:val="16"/>
        </w:rPr>
        <w:softHyphen/>
        <w:t>точная герметичность корпуса летающей лодки, течь топлив</w:t>
      </w:r>
      <w:r w:rsidRPr="005E779E">
        <w:rPr>
          <w:rFonts w:ascii="Times New Roman" w:hAnsi="Times New Roman"/>
          <w:color w:val="000000" w:themeColor="text1"/>
          <w:sz w:val="16"/>
          <w:szCs w:val="16"/>
        </w:rPr>
        <w:softHyphen/>
        <w:t>ных баков, неисправность приборов, затрудненное складыва</w:t>
      </w:r>
      <w:r w:rsidRPr="005E779E">
        <w:rPr>
          <w:rFonts w:ascii="Times New Roman" w:hAnsi="Times New Roman"/>
          <w:color w:val="000000" w:themeColor="text1"/>
          <w:sz w:val="16"/>
          <w:szCs w:val="16"/>
        </w:rPr>
        <w:softHyphen/>
        <w:t>ние крыльев.</w:t>
      </w:r>
    </w:p>
    <w:p w14:paraId="0F44D91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Установка вооружения велась одновременно с доработка</w:t>
      </w:r>
      <w:r w:rsidRPr="005E779E">
        <w:rPr>
          <w:rFonts w:ascii="Times New Roman" w:hAnsi="Times New Roman"/>
          <w:color w:val="000000" w:themeColor="text1"/>
          <w:sz w:val="16"/>
          <w:szCs w:val="16"/>
        </w:rPr>
        <w:softHyphen/>
        <w:t>ми самолета в начале 1931 г. Пулемет ПВ-1 калибра 7,62 мм разместили перед летчиком слева в специальной выемке фю</w:t>
      </w:r>
      <w:r w:rsidRPr="005E779E">
        <w:rPr>
          <w:rFonts w:ascii="Times New Roman" w:hAnsi="Times New Roman"/>
          <w:color w:val="000000" w:themeColor="text1"/>
          <w:sz w:val="16"/>
          <w:szCs w:val="16"/>
        </w:rPr>
        <w:softHyphen/>
        <w:t>зеляжа. Стандартную оборонительную турель ТУР-б поначалу предполагалось оснастить одним пулеметом ДА (Дегтярева, авиационный) калибра 7,62 мм, однако позднее все самолеты оснастили штатной спаренной установкой пулеметов ДА.</w:t>
      </w:r>
    </w:p>
    <w:p w14:paraId="5F488C0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 зимний период КР-1 устанавливался на лыжи. Боковые поплавки при этом снимались и заменялись предохранитель</w:t>
      </w:r>
      <w:r w:rsidRPr="005E779E">
        <w:rPr>
          <w:rFonts w:ascii="Times New Roman" w:hAnsi="Times New Roman"/>
          <w:color w:val="000000" w:themeColor="text1"/>
          <w:sz w:val="16"/>
          <w:szCs w:val="16"/>
        </w:rPr>
        <w:softHyphen/>
        <w:t>ными дугами. Две основные лыжи крепились к сквозной тру</w:t>
      </w:r>
      <w:r w:rsidRPr="005E779E">
        <w:rPr>
          <w:rFonts w:ascii="Times New Roman" w:hAnsi="Times New Roman"/>
          <w:color w:val="000000" w:themeColor="text1"/>
          <w:sz w:val="16"/>
          <w:szCs w:val="16"/>
        </w:rPr>
        <w:softHyphen/>
        <w:t>бе, проходящей через корпус лодки, маленькая хвостовая лы</w:t>
      </w:r>
      <w:r w:rsidRPr="005E779E">
        <w:rPr>
          <w:rFonts w:ascii="Times New Roman" w:hAnsi="Times New Roman"/>
          <w:color w:val="000000" w:themeColor="text1"/>
          <w:sz w:val="16"/>
          <w:szCs w:val="16"/>
        </w:rPr>
        <w:softHyphen/>
        <w:t>жа крепилась на специально предусмотренном кронштейне. Лыжи конструкции Жохова, изготовленные на московском авиазаводе №28 испытывали весной 1931 г. Позднее все КР-1 Балтийского флота на зиму были снабжены комплектом та</w:t>
      </w:r>
      <w:r w:rsidRPr="005E779E">
        <w:rPr>
          <w:rFonts w:ascii="Times New Roman" w:hAnsi="Times New Roman"/>
          <w:color w:val="000000" w:themeColor="text1"/>
          <w:sz w:val="16"/>
          <w:szCs w:val="16"/>
        </w:rPr>
        <w:softHyphen/>
        <w:t>ких лыж.</w:t>
      </w:r>
    </w:p>
    <w:p w14:paraId="7D302E5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Известно, что один КР-1, заводской № 348, в 1935 г. переда</w:t>
      </w:r>
      <w:r w:rsidRPr="005E779E">
        <w:rPr>
          <w:rFonts w:ascii="Times New Roman" w:hAnsi="Times New Roman"/>
          <w:color w:val="000000" w:themeColor="text1"/>
          <w:sz w:val="16"/>
          <w:szCs w:val="16"/>
        </w:rPr>
        <w:softHyphen/>
        <w:t>ли Управлению полярной авиации. С опознавательным зна</w:t>
      </w:r>
      <w:r w:rsidRPr="005E779E">
        <w:rPr>
          <w:rFonts w:ascii="Times New Roman" w:hAnsi="Times New Roman"/>
          <w:color w:val="000000" w:themeColor="text1"/>
          <w:sz w:val="16"/>
          <w:szCs w:val="16"/>
        </w:rPr>
        <w:softHyphen/>
        <w:t>ком СССР-Н133 самолет эпизодически использовали для ве</w:t>
      </w:r>
      <w:r w:rsidRPr="005E779E">
        <w:rPr>
          <w:rFonts w:ascii="Times New Roman" w:hAnsi="Times New Roman"/>
          <w:color w:val="000000" w:themeColor="text1"/>
          <w:sz w:val="16"/>
          <w:szCs w:val="16"/>
        </w:rPr>
        <w:softHyphen/>
        <w:t>дения ледовой разведки (11107).</w:t>
      </w:r>
    </w:p>
    <w:p w14:paraId="3C6DFAD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3C2E04"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39BE4697"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3A6E1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 января 1931 г. для перехода к планированию по календарным годам в 1930 г. был вве</w:t>
      </w:r>
      <w:r w:rsidRPr="005E779E">
        <w:rPr>
          <w:rFonts w:ascii="Times New Roman" w:hAnsi="Times New Roman"/>
          <w:color w:val="000000" w:themeColor="text1"/>
          <w:sz w:val="16"/>
          <w:szCs w:val="16"/>
        </w:rPr>
        <w:softHyphen/>
        <w:t>ден особый квартал (3898).</w:t>
      </w:r>
    </w:p>
    <w:p w14:paraId="442013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D8621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 января 1931 г. завод Ростсельмаш вступил в строй действующих и получил на этот год впервые с начала строительства государственный план выпуска продукции. 1 апреля 1931 г. приемочная комиссия приняла, а начальник Сельмашстроя Н.П. Глебов-Авилов сдал Ростовский-на-Дону завод сельхозмашиностроения в эксплуатацию. В этом документе (приемочный акт) впервые завод назван «Ростсельмаш». </w:t>
      </w:r>
    </w:p>
    <w:p w14:paraId="3DBA23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После 16 съезда партии в стране начался мощный подъем колхозного движения. По темпам коллективизации Северный Кавказ, Средняя и Нижняя Волга были наиболее подготовленными для перехода к крупному коллективному земледелию. Сюда и направлял Сельмаш свою первую продукцию. По ряду причин реализация этого решения приостановилась. В сентябре 1930 года было принято решение о постройке завода всего на 10 тысяч комбайнов в год, в связи с этим объединили Комбайнстрой с Сельмашем. Для руководства строительством при Управлении Ростсельмаша был организован отдел капитального строительства во главе с Матвеевым М.С. В январе 1931 г., когда Сельмаш уже был в числе действующих предприятий, началось строительство цеха комбайнов площадью 4 га. Это явилось новым поворотом в судьбе Ростсельмаша – ему суждено стать лидером комбайностроения. </w:t>
      </w:r>
    </w:p>
    <w:p w14:paraId="28E573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Новый цех готовился к пуску, а тем временем шла напряженная работа над созданием первого советского комбайна. Еще осенью 1929 г. началось его проектирование группой советских инженеров И.И. Зиминым (руководитель), П.И. Гурьяновым и А.А. Яковенко. Первый комбайн по чертежам этих конструкторов был собран на заводе «Красный Аксай». Его назвали «Колхоз». Летом 1930 г. он вышел на испытания. Рядом c ним работало несколько комбайнов американских фирм, и «Колхоз» не без успеха соперничал с «иностранцами». </w:t>
      </w:r>
    </w:p>
    <w:p w14:paraId="059A7C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Летом 1931 г. в опытной мастерской строящегося цеха комбайнов завершилась сборка двух комбайнов более совершенной конструкции, которые получили название Сталинец». На полях совхоза «Хуторок» Краснодарского края наши комбайны проходили испытания вместе с американскими комбайнами «Оливер», «Холт» и «Катерпиллер». Советские машины работали лучше и, в отличие от комбайнов всех зарубежных марок, имели возможность убирать не только хлеб, но и подсолнечник, кукурузу и просо. В январе 1932 г. в строй вступил сборочный цех комбайнов завода «Ростсельмаш», а в мае на поля страны был отправлен первый эшелон комбайнов «Сталинец–1». Построив «Ростсельмаш», страна не только перестала ввозить комбайны из–за границы, но и сама начала их экспортировать. </w:t>
      </w:r>
    </w:p>
    <w:p w14:paraId="12B8D2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1937 г. весь мир показывал свои достижения на Всемирной промышленной выставке в Париже, куда «Ростсельмаш» отправил свой комбайн «Сталинец-1». Сложнее всего оказалось организовать его доставку до места проведения выставки – комбайн везли на открытой платформе, возле которой около каждой станции собиралось много желающих посмотреть на невиданную машину. В то время в каждом советском совхозе таких машин было больше, чем во всей Франции. По результатам выставке в Париже комбайну «Сталинец-1» была присуждена высшая награда – диплом «Grand Prix». </w:t>
      </w:r>
    </w:p>
    <w:p w14:paraId="576FFF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Ростсельмашевские комбайны завоевали большую популярность по всей стране. Передовые комбайнеры устанавливали на них мировые рекорды уборки. Например, в Чкаловской области за сезон убрали 6012 га (вместо 378 га), при этом было сэкономлено 16 тонн горючего. На сцепе двух комбайнов «Сталинец–1» было заменено 1637 человек, 373 лошади, 25 жаток, 25 молотилок, 25 веялок, 40 сортировок, а при уборке вручную на эту работу потребовалось бы 3323 человека. </w:t>
      </w:r>
    </w:p>
    <w:p w14:paraId="7EAB54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1938 г. в Москве открылась сельскохозяйственная выставка, где «Ростсельмаш» получил диплом первой степени. 14 июня 1940 г. на главном конвейере был собран уже 50–тысячный комбайн «Cталинец–1». </w:t>
      </w:r>
    </w:p>
    <w:p w14:paraId="0DC95D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Во время войны тысячи ростсельмашевцев уходили добровольцами на фронт, их места у станков занимали жены, сестры, дети. Цеха предприятия быстро перестраивались на выпуск военной продукции. Станки устанавливались без фундамента, на «лагах», позволявших производить демонтаж и перестановку оборудования в течение нескольких часов. </w:t>
      </w:r>
    </w:p>
    <w:p w14:paraId="01019F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Когда немецкие войска были уже на подступах к Ростову, ростсельмашевцы выпускали продукцию для фронта и одновременно возводили оборонительные сооружения и бомбоубежища. 13 октября 1941 года коллективу Ростсельмаша был дан приказ начать демонтаж оборудования и отправку его в Ташкент. Эвакуация завода стала титанической работой. Вся заводская территория превратилась в сплошной поток движущихся грузов, которых доставляли с помощью лебедок, катков, авиации. Более 3500 вагонов потребовалось для эвакуации завода. 19 октября 1941 г. с завода выехала последняя группа работников во главе с директором Титаренко М.М. </w:t>
      </w:r>
    </w:p>
    <w:p w14:paraId="3646E9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Ташкенте тоже вершился подвиг. Для размещения завода в Ташкенте были предоставлены площадки в разных частях города. Этого было не достаточно и часть оборудования пришлось отправлять в Узбекистан г. Чирчик в 60 км от Ташкента. Таким образом, в Узбекистане образовалось 4 филиала Ростсельмаша – 3 в Ташкенте и один в Чирчике. </w:t>
      </w:r>
    </w:p>
    <w:p w14:paraId="598B47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На 33–й день после прибытия оборудования в Ташкент завод снова начал выпускать продукцию для фронта. Монтаж станков и конвейеров шел под открытым небом или в наскоро приспособленных сараях и других помещениях. На 35–й день непрерывной работы был выплавлен первый чугун. За 3 месяца на пустом пространстве площадью 12 тыс. кв. м выросли цеха перебазированного в тыл завода. Ростсельмаш давал фронту мины калибра 82 мм и 120 мм, боеголовки к снарядам РС (катюша), фугасные авиабомбы (ФАБы) 50 кг, 100 кг и 250 кг. </w:t>
      </w:r>
    </w:p>
    <w:p w14:paraId="4F5363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14 февраля 1943 года войска Южного фронта освободили Ростов. Город лежал в развалинах. Разрушены были почти все предприятия, в том числе Ростсельмаш и его поселок. Восемь суток перед сдачей немцы планомерно взрывали и жгли завод. В груды развалин превратились все цеха, жилые дома, дворец культуры на ул. Клубная, здание института Сельхозмашиностроения и т.д. Материальный ущерб, нанесенный заводу, составил свыше 180 млн. рублей. </w:t>
      </w:r>
    </w:p>
    <w:p w14:paraId="4D1E2B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23 февраля, на 10–й день освобождения стали работать первые 33 станка Ростсельмаша. Одновременно развернулась подготовка и по выпуску военной продукции, организован ремонт танков, тракторов, автомашин. Для восстановления завода пришлось расчистить 150 тысяч кубометров завалов, уложить 21 млн. кирпичей, 37 тысяч кубометров бетона, смонтировать 8 тысяч тонн металлоконструкций, уложить 185 тысяч кубометров кровли. За короткое время было введено в действие 145 тысяч кв. м. производственных площадей. </w:t>
      </w:r>
    </w:p>
    <w:p w14:paraId="198057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Пока шло интенсивное восстановление завода, сельмашевские специалисты Красниченко А.А., В.В. Прошунин и И.И. Попов создали конструкцию комбайна «Сталинец–6». А 30 апреля 1947 года в цехе уборочных машин были собраны новые комбайны «Сталинец–6». Разработчики новой конструкции получили звание Лауреатов Сталинской премии. </w:t>
      </w:r>
    </w:p>
    <w:p w14:paraId="6BB586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середине 50-х годов в народном хозяйстве страны наметилась специализация промышленных предприятий. С августа 1955 г. согласно решению июльского Пленума ЦК КПСС «Ростсельмаш» стал специализироваться на выпуске зерноуборочных комбайнов. Были сняты с производства плуги и кукурузоуборочные комбайны, завод постепенно переходит на выпуск только зерноуборочных комбайнов. </w:t>
      </w:r>
    </w:p>
    <w:p w14:paraId="2E032D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конце 1955 г. заводу было предложено начать подготовку выпуска новой уборочной машины – комбайна «РСМ-8». Также как и «Сталенец-1» и «Сталенец-6», этот комбайн был разработан конструкторами завода Ростсельмаш. Он имел большой захват жатки, большую пропускную способность молотилки. Штифтовой барабан был заменен бильным. Эти усовершенствования делали его более производительным. Комбайн «РСМ-8» производился чуть более года (конец 1956 г. – начало 1958 г.) и был выпушен в количестве 50 тысяч. </w:t>
      </w:r>
    </w:p>
    <w:p w14:paraId="4AE97C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марте 1958 г. завод получил новое ответственное задание – в пятимесячный срок перестроиться на выпуск самоходных комбайнов «СК-3». 15 марта в 17.30 с главного конвейера сошел последний комбайн «РСМ-8», а 12 июля, ровно через 100 рабочих дней, приемщик Министерства сельского хозяйства принял первые 27 самоходных комбайнов, изготовленные «Ростсельмашем» по разработкам конструкторов Таганрогского ГСКБ под руководством Изаксона. 24 января 1961 г. выпущен уже 100-тысячный самоходный комбайн СК-3. </w:t>
      </w:r>
    </w:p>
    <w:p w14:paraId="7A4AE0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феврале 1962 г. «Ростсельмаш» начал выпуск следующей серийной модели – СК-4, которая превосходила предыдущую по производительности на 25%. На международной выставке в Лейпциге в 1963 г. машине был присужден диплом I-ой степени, в Чехословакии (1964 г.) модель завоевала медаль и в том же году в Венгрии получила высшую награду - «Серебряный Кубок». Комбайн СК-4 был признан самой награждаемой моделью среди зерноуборочных машин всего мира. В августе 1969 г. завод «Ростсельмаш» выпустил свой миллионный комбайн. </w:t>
      </w:r>
    </w:p>
    <w:p w14:paraId="258D3C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1973 г. завод осуществил переход на выпуск еще более новой модели комбайнов серии СК «Нива», представленной в нескольких модификациях: крутосклонная, рисоуборочная и др., предназначенные для работы в различных природных зонах, а также для уборки незерновых сельскохозяйственных культур. Кроме того, в этот период изготавливались томатоуборочные комбайны, молотилки для обработки льна, приспособления для уборки крупяных культур. В 70-е годы завод «Ростсельмаш» был полностью обновлен. Вследствие реконструкции завод превратился в специализированное предприятие, готовое обеспечить сельское хозяйство страны современной для того времени техникой. </w:t>
      </w:r>
    </w:p>
    <w:p w14:paraId="366449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К своему 50-летнему юбилею в 1979 г. завод занимал стабильное лидирующее положение в своей отрасли. В начале 80-х «Ростсельмаш» преступил к разработке и внедрению в производство высокоэффективных зерноуборочных комбайнов семейства «Дон». Это был уже седьмой по счету переход завода на производство новых </w:t>
      </w:r>
      <w:r w:rsidRPr="005E779E">
        <w:rPr>
          <w:rFonts w:ascii="Times New Roman" w:hAnsi="Times New Roman"/>
          <w:color w:val="000000" w:themeColor="text1"/>
          <w:sz w:val="16"/>
          <w:szCs w:val="16"/>
        </w:rPr>
        <w:lastRenderedPageBreak/>
        <w:t>машин. В феврале 1984 г. с главного конвейера «Ростсельмаша» сошел 2-миллионный комбайн, а уже в октябре 1986 г. в серийное производство была запущены первые «Доны» (11220).</w:t>
      </w:r>
    </w:p>
    <w:p w14:paraId="406624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C63F1D7" w14:textId="77777777" w:rsidR="0062593B" w:rsidRPr="005E779E" w:rsidRDefault="006259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января 1931 г. завод Ростсельмаш вступил в строй действующих и получил на этот год впервые с начала строительства государственный план выпуска продукции. 1 апреля 1931 г. приемочная комиссия приняла, а начальник Сельмашстроя Н.П. Глебов-Авилов сдал Ростовский-на-Дону завод сельхозмашиностроения в эксплуатацию. В этом документе (приемочный акт) впервые завод назван «Ростсельмаш».</w:t>
      </w:r>
    </w:p>
    <w:p w14:paraId="01419E33" w14:textId="77777777" w:rsidR="0062593B" w:rsidRPr="005E779E" w:rsidRDefault="006259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 июля 1929 завод производит первую продукцию. Страна прекращает закупать технику из-за рубежа, и начинает сама экспортировать свою продукцию. Дело в том, что в июле 1929 г. вошли в эксплуатацию первые 5 из 18 запроектированных цехов, что позволило заводу выдать первую партию крестьянских ходов по государственному акту приемки. Именно этот день считается днем рождения завода. В 1937 году проходит крупнейшая промышленная парижская выставка, куда РСМ отправляет свой комбайн «Сталинец-1». Ему присуждается Высшая награда — диплом GRAND PRIX. «Сталинцы» завоевали славу самой высокопроизводительной машины в мире (21167).</w:t>
      </w:r>
    </w:p>
    <w:p w14:paraId="4D5EBCE1" w14:textId="77777777" w:rsidR="0062593B" w:rsidRPr="005E779E" w:rsidRDefault="0062593B" w:rsidP="000B7A6C">
      <w:pPr>
        <w:spacing w:after="0" w:line="240" w:lineRule="auto"/>
        <w:jc w:val="both"/>
        <w:rPr>
          <w:rFonts w:ascii="Times New Roman" w:hAnsi="Times New Roman"/>
          <w:color w:val="000000" w:themeColor="text1"/>
          <w:sz w:val="16"/>
          <w:szCs w:val="16"/>
        </w:rPr>
      </w:pPr>
    </w:p>
    <w:p w14:paraId="29A174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января 1931 г. по приказу «Союзверфи» № 429 от 29.12.1930 г. на базе отдела по проектированию судостроительных заводов и верфей «Судопроверфи» был создан ВО «Проектверфь» для проектирования реконструкции верфей. Затем - проектирование судостроительных заводов и верфей. Приказом НКТП № 746 от 31.05.1934г. утвержден Устав предприятия. По пр. НКОП № 011с от 28.01.1937г. «Проектверфь» переименована во 2-й ГПИ (2-й Государственный проектный институт (ГПИ-2) НКОП, НКСП, МСП, Всесоюзное объединение «Проектверфь» НКТП, ГСПИ «Союзпроектверфь», Проектная фирма (ПФ) «Союзпроектверфь» /г. Ленинград; г. Омск; г. Ленинград/), пр. № 271 от 3.08.1937г. утвержден новый Устав института. В 02.1939г. ГСПИ-2 2ГУ НКОП передан в ведение 1ГУ НКСП.</w:t>
      </w:r>
    </w:p>
    <w:p w14:paraId="320D84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«Речсоюзверфи» № 87 от 3.05.1933г. Гипроверфь преобразована в Московское отделение Проектверфи в ведении «Союзверфи».</w:t>
      </w:r>
    </w:p>
    <w:p w14:paraId="4BA0F5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1931 г. велось проектирование Амурского судостроительного завода, его генплан</w:t>
      </w:r>
      <w:r w:rsidRPr="005E779E">
        <w:rPr>
          <w:rFonts w:ascii="Times New Roman" w:hAnsi="Times New Roman"/>
          <w:color w:val="000000" w:themeColor="text1"/>
          <w:sz w:val="16"/>
          <w:szCs w:val="16"/>
          <w:vertAlign w:val="superscript"/>
        </w:rPr>
        <w:t>4</w:t>
      </w:r>
      <w:r w:rsidRPr="005E779E">
        <w:rPr>
          <w:rFonts w:ascii="Times New Roman" w:hAnsi="Times New Roman"/>
          <w:color w:val="000000" w:themeColor="text1"/>
          <w:sz w:val="16"/>
          <w:szCs w:val="16"/>
        </w:rPr>
        <w:t xml:space="preserve"> необходимо было разработать к 13.04.1931 г. Генплан завода был разработан В.П. Костенко, он же разработал проект стапеля «0» для завода № 198, построенный к 1938г. С 1935г. институт приступил к проектированию новых опытовых бассейнов. В 04.1937г. разработан «Организационный план морской судостроительной промышленности на 1937- 43г.». По пр. НКОП № 0209 от 20.09.1937г. институту поручено рабочее проектирование завода № 402 НКОП, на площадке строительства завода организован филиал института. В 1940 г. разработаны комплексные проектные задания: на строительство трех судоремонтных баз ВМФ; судостроительно-судоремонтного завода ГУСМП в районе пролива Югорский Шар с наливной док-камерой, спроектированной впервые в мире. В, связи с начавшейся войной проекты не были осуществлены.</w:t>
      </w:r>
    </w:p>
    <w:p w14:paraId="78E973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 № 376с от 27.09.1938г. институту требовалось к 3.10.1938г. перепроектировать подводную часть нового стапеля завода № 189.</w:t>
      </w:r>
    </w:p>
    <w:p w14:paraId="2F0832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пост. ГКО № 99сс от 11.07.1941 г. ГПИ-2 НКСП был эвакуирован в Омск в помещения Автодорожного института. В 1941 г. разработан проект крупносерийного производства деревянных боевых катеров для завода № 640. В 1944г. институт реэвакуирован в Ленинград. В 06.1944г. в Николаеве создана группа проектировщиков для восстановления местных заводов, в 1945г. на ее базе создан Николаевский филиал ГСПИ-2.</w:t>
      </w:r>
    </w:p>
    <w:p w14:paraId="688D0D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1955г. назывался ГСПИ-2, в 1959г. - ГСПИ «Союзпроектверфь». В 2001 г. - ПФ «Союзпроектверфь», в 2006г. входил в состав ЦНИИТС.</w:t>
      </w:r>
    </w:p>
    <w:p w14:paraId="065B6F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войны разработаны проекты восстановления николаевских ССЗ: № 444 и № 445, проект нового завода № 872. В 1955-61 г. спроектирован ССЗ в Хулудао, в 1959г. - Бохайский ССЗ (Китай); в 1962-64г. - завод промыслового судостроения в Бургасе (Болгария). С 1965г. проектировался (совместно с ЦНИИ-138) ССЗ в Висакхапатнаме (Индия). Проекты: реконструкции: стендового комплекса НИИ «Мортеплотехника», гальванического производства ФГУП «Электроприбор», производства ФГУП ОКБМ для выпуска парогенераторов КТП-6; строительства: цеха окраски СРЗ «Нерпа», блока цехов Царскосельского завода «София»; пункт долговременного хранения реакторных отсеков (РО) в губе Сайда, площадки временного хранения РО; ПО «Севмаш»: специализированные производства комплектующих для АПЛ, устройство средней стапельной линии Южного дока цеха № 50, магнитоизмерительный стенд. В 1988г. утвержден проект строительства завода «Прибой» (г. Советская Гавань). В 06.2006г. разработан проект реконструкции Северной верфи, включающий перевод на ее площадку мощностей Балтийского завода.</w:t>
      </w:r>
    </w:p>
    <w:p w14:paraId="7CC4C8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Управляющий (-1931 г.)- Н.Г. Оксман, (1936г.)- Т.В. Сафронов. Начальник (-7.09.1937г.)- Т.В. Сафронов, (7.09.1937-09.1938г.-)- А.С. Южаков, (1940-е)- В.П. Костенко. Директор (10.2001 г.)- С.П. Наседкин.</w:t>
      </w:r>
    </w:p>
    <w:p w14:paraId="24499E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начальника (18.06.1941 г.-)- В.П. Костенко.</w:t>
      </w:r>
    </w:p>
    <w:p w14:paraId="3743B8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инженер (29.12.1930-31 г.)- А.И. Балкашин, (1.09.1931-25.02.1941; 1950-56г.)- В.П. Костенко (арестован),</w:t>
      </w:r>
      <w:r w:rsidRPr="005E779E">
        <w:rPr>
          <w:rFonts w:ascii="Times New Roman" w:hAnsi="Times New Roman"/>
          <w:color w:val="000000" w:themeColor="text1"/>
          <w:sz w:val="16"/>
          <w:szCs w:val="16"/>
          <w:vertAlign w:val="superscript"/>
        </w:rPr>
        <w:t xml:space="preserve">61 </w:t>
      </w:r>
      <w:r w:rsidRPr="005E779E">
        <w:rPr>
          <w:rFonts w:ascii="Times New Roman" w:hAnsi="Times New Roman"/>
          <w:color w:val="000000" w:themeColor="text1"/>
          <w:sz w:val="16"/>
          <w:szCs w:val="16"/>
        </w:rPr>
        <w:t>А. А. Борисов, (-2006-07г.-)-Р. Нихенбаум.</w:t>
      </w:r>
    </w:p>
    <w:p w14:paraId="3C07B5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технолог по судостроению (1.10.1953-56г.)- В.П. Костенко.</w:t>
      </w:r>
    </w:p>
    <w:p w14:paraId="0EBF19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инженеры проекта: (1936г.)- А.А. Борисов (завод № 402).</w:t>
      </w:r>
    </w:p>
    <w:p w14:paraId="54404C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Начальники секторов: механического (1938г.)- Критский.</w:t>
      </w:r>
      <w:r w:rsidRPr="005E779E">
        <w:rPr>
          <w:rFonts w:ascii="Times New Roman" w:hAnsi="Times New Roman"/>
          <w:color w:val="000000" w:themeColor="text1"/>
          <w:sz w:val="16"/>
          <w:szCs w:val="16"/>
          <w:vertAlign w:val="superscript"/>
        </w:rPr>
        <w:t>139</w:t>
      </w:r>
      <w:r w:rsidRPr="005E779E">
        <w:rPr>
          <w:rFonts w:ascii="Times New Roman" w:hAnsi="Times New Roman"/>
          <w:color w:val="000000" w:themeColor="text1"/>
          <w:sz w:val="16"/>
          <w:szCs w:val="16"/>
        </w:rPr>
        <w:t xml:space="preserve"> (11982).</w:t>
      </w:r>
    </w:p>
    <w:p w14:paraId="41BA67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70E61D7" w14:textId="63095E99" w:rsidR="00326A52" w:rsidRPr="005E779E" w:rsidRDefault="00326A5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января 1931 г. в истории</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ЭПРОНа</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играет большую роль. Это рубеж от этапа создания организации к этапу разво</w:t>
      </w:r>
      <w:r w:rsidRPr="005E779E">
        <w:rPr>
          <w:rFonts w:ascii="Times New Roman" w:hAnsi="Times New Roman"/>
          <w:color w:val="000000" w:themeColor="text1"/>
          <w:sz w:val="16"/>
          <w:szCs w:val="16"/>
        </w:rPr>
        <w:softHyphen/>
        <w:t>рота деятельности в объемах и масштабах, до сих пор не видан</w:t>
      </w:r>
      <w:r w:rsidRPr="005E779E">
        <w:rPr>
          <w:rFonts w:ascii="Times New Roman" w:hAnsi="Times New Roman"/>
          <w:color w:val="000000" w:themeColor="text1"/>
          <w:sz w:val="16"/>
          <w:szCs w:val="16"/>
        </w:rPr>
        <w:softHyphen/>
        <w:t>ных в СССР. Именно 1 января 1931 г. Совет Труда и Обороны постановил передать Экспедицию подводных работ ( ЭПРОН ) со всем пассивом и активом из ведения ОГПУ в ведение НКПС, со</w:t>
      </w:r>
      <w:r w:rsidRPr="005E779E">
        <w:rPr>
          <w:rFonts w:ascii="Times New Roman" w:hAnsi="Times New Roman"/>
          <w:color w:val="000000" w:themeColor="text1"/>
          <w:sz w:val="16"/>
          <w:szCs w:val="16"/>
        </w:rPr>
        <w:softHyphen/>
        <w:t>хранив его отдельной хозяйственной организацией с правом юридического лица.</w:t>
      </w:r>
    </w:p>
    <w:p w14:paraId="6DCC2BBA" w14:textId="419C260C" w:rsidR="00326A52" w:rsidRPr="005E779E" w:rsidRDefault="00326A5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ЭПРОН</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по этому постановлению сохранил свою военную структуру, организационные формы которой было поручено уста</w:t>
      </w:r>
      <w:r w:rsidRPr="005E779E">
        <w:rPr>
          <w:rFonts w:ascii="Times New Roman" w:hAnsi="Times New Roman"/>
          <w:color w:val="000000" w:themeColor="text1"/>
          <w:sz w:val="16"/>
          <w:szCs w:val="16"/>
        </w:rPr>
        <w:softHyphen/>
        <w:t>новить по соглашению между ОГПУ, НКПС и НКВМ. Старый устав</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ЭПРОНа , утвержденный СТО 17 декабря 1926 г., был отменен, и НКПС предложено было утвердить новый. В итоге в результате всех реорганизаций и поглощений по со</w:t>
      </w:r>
      <w:r w:rsidRPr="005E779E">
        <w:rPr>
          <w:rFonts w:ascii="Times New Roman" w:hAnsi="Times New Roman"/>
          <w:color w:val="000000" w:themeColor="text1"/>
          <w:sz w:val="16"/>
          <w:szCs w:val="16"/>
        </w:rPr>
        <w:softHyphen/>
        <w:t>стоянию на 1 апреля 1932 г.</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ЭПРОН</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представлял собой организа</w:t>
      </w:r>
      <w:r w:rsidRPr="005E779E">
        <w:rPr>
          <w:rFonts w:ascii="Times New Roman" w:hAnsi="Times New Roman"/>
          <w:color w:val="000000" w:themeColor="text1"/>
          <w:sz w:val="16"/>
          <w:szCs w:val="16"/>
        </w:rPr>
        <w:softHyphen/>
        <w:t>цию в следующем виде:</w:t>
      </w:r>
    </w:p>
    <w:p w14:paraId="4CB6685E" w14:textId="77777777" w:rsidR="00326A52" w:rsidRPr="005E779E" w:rsidRDefault="00326A5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главное управление;</w:t>
      </w:r>
    </w:p>
    <w:p w14:paraId="0CCECA46" w14:textId="77777777" w:rsidR="00326A52" w:rsidRPr="005E779E" w:rsidRDefault="00326A5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московское отделение;</w:t>
      </w:r>
    </w:p>
    <w:p w14:paraId="74329706" w14:textId="77777777" w:rsidR="00326A52" w:rsidRPr="005E779E" w:rsidRDefault="00326A5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северный округ, в состав которого входили: управление окру</w:t>
      </w:r>
      <w:r w:rsidRPr="005E779E">
        <w:rPr>
          <w:rFonts w:ascii="Times New Roman" w:hAnsi="Times New Roman"/>
          <w:color w:val="000000" w:themeColor="text1"/>
          <w:sz w:val="16"/>
          <w:szCs w:val="16"/>
        </w:rPr>
        <w:softHyphen/>
        <w:t>га, ремонтно - производственные мастерские, строительный отдел округа, плавсредства, балтийская партия, архангельская партия, мурманская партия;</w:t>
      </w:r>
    </w:p>
    <w:p w14:paraId="53D8B8D7" w14:textId="77777777" w:rsidR="00326A52" w:rsidRPr="005E779E" w:rsidRDefault="00326A5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южный округ, в состав которого входили: управление округа, строительный отдел округа, водолазный состав, мастерские, се</w:t>
      </w:r>
      <w:r w:rsidRPr="005E779E">
        <w:rPr>
          <w:rFonts w:ascii="Times New Roman" w:hAnsi="Times New Roman"/>
          <w:color w:val="000000" w:themeColor="text1"/>
          <w:sz w:val="16"/>
          <w:szCs w:val="16"/>
        </w:rPr>
        <w:softHyphen/>
        <w:t>вастопольская партия, новороссийская партия и ее отделение, каспийская партия;</w:t>
      </w:r>
    </w:p>
    <w:p w14:paraId="3C37ED18" w14:textId="77777777" w:rsidR="00326A52" w:rsidRPr="005E779E" w:rsidRDefault="00326A5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-дальневосточная партия;</w:t>
      </w:r>
    </w:p>
    <w:p w14:paraId="488F7527" w14:textId="77777777" w:rsidR="00326A52" w:rsidRPr="005E779E" w:rsidRDefault="00326A5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военно-морской водолазный техникум (в Балаклаве).</w:t>
      </w:r>
    </w:p>
    <w:p w14:paraId="428E454A" w14:textId="0E0D00C0" w:rsidR="00326A52" w:rsidRPr="005E779E" w:rsidRDefault="00326A5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этом завершаются процесс формирования</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ЭПРОНа</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и мо</w:t>
      </w:r>
      <w:r w:rsidRPr="005E779E">
        <w:rPr>
          <w:rFonts w:ascii="Times New Roman" w:hAnsi="Times New Roman"/>
          <w:color w:val="000000" w:themeColor="text1"/>
          <w:sz w:val="16"/>
          <w:szCs w:val="16"/>
        </w:rPr>
        <w:softHyphen/>
        <w:t>нополизация водолазного и судоподъемного дела в стране в пользу</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ЭПРОНа</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(15509).</w:t>
      </w:r>
    </w:p>
    <w:p w14:paraId="670505D7" w14:textId="77777777" w:rsidR="00326A52" w:rsidRPr="005E779E" w:rsidRDefault="00326A52" w:rsidP="000B7A6C">
      <w:pPr>
        <w:spacing w:after="0" w:line="240" w:lineRule="auto"/>
        <w:jc w:val="both"/>
        <w:rPr>
          <w:rFonts w:ascii="Times New Roman" w:hAnsi="Times New Roman"/>
          <w:color w:val="000000" w:themeColor="text1"/>
          <w:sz w:val="16"/>
          <w:szCs w:val="16"/>
        </w:rPr>
      </w:pPr>
    </w:p>
    <w:p w14:paraId="46BE00C4"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02303C1E"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F7F075E" w14:textId="77777777" w:rsidR="00EC545D" w:rsidRPr="005E779E" w:rsidRDefault="00EC545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состоянию на 1 января 1931 г. весь самолетный парк ВВС РККА состоял из обозначенных ниже типов и количества самолетов</w:t>
      </w:r>
    </w:p>
    <w:p w14:paraId="174A6B08" w14:textId="77777777" w:rsidR="00EC545D" w:rsidRPr="005E779E" w:rsidRDefault="00EC545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Самолеты Исправн. Неисправ. Всего</w:t>
      </w:r>
    </w:p>
    <w:p w14:paraId="1CF8E022" w14:textId="77777777" w:rsidR="00EC545D" w:rsidRPr="005E779E" w:rsidRDefault="00EC545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ТБ-1 45 7 52 </w:t>
      </w:r>
    </w:p>
    <w:p w14:paraId="12BB441B" w14:textId="77777777" w:rsidR="00EC545D" w:rsidRPr="005E779E" w:rsidRDefault="00EC545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МР-1 42 29 71 </w:t>
      </w:r>
    </w:p>
    <w:p w14:paraId="35308BC9" w14:textId="77777777" w:rsidR="00EC545D" w:rsidRPr="005E779E" w:rsidRDefault="00EC545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Р-1 1214 303 1517 </w:t>
      </w:r>
    </w:p>
    <w:p w14:paraId="226F7EE7" w14:textId="77777777" w:rsidR="00EC545D" w:rsidRPr="005E779E" w:rsidRDefault="00EC545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РОМ - 1 1</w:t>
      </w:r>
    </w:p>
    <w:p w14:paraId="2A643870" w14:textId="77777777" w:rsidR="00EC545D" w:rsidRPr="005E779E" w:rsidRDefault="00EC545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Р-5 26 4 30</w:t>
      </w:r>
    </w:p>
    <w:p w14:paraId="61D5F654" w14:textId="77777777" w:rsidR="00EC545D" w:rsidRPr="005E779E" w:rsidRDefault="00EC545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Р-1сп 4 16 20</w:t>
      </w:r>
    </w:p>
    <w:p w14:paraId="6857E5F4" w14:textId="77777777" w:rsidR="00EC545D" w:rsidRPr="005E779E" w:rsidRDefault="00EC545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И-2 26 8 34</w:t>
      </w:r>
    </w:p>
    <w:p w14:paraId="0F1DC1FF" w14:textId="77777777" w:rsidR="00EC545D" w:rsidRPr="005E779E" w:rsidRDefault="00EC545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У-1 172 97 269</w:t>
      </w:r>
    </w:p>
    <w:p w14:paraId="03A80CE3" w14:textId="77777777" w:rsidR="00EC545D" w:rsidRPr="005E779E" w:rsidRDefault="00EC545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И-2бис 65 7 72</w:t>
      </w:r>
    </w:p>
    <w:p w14:paraId="61030B3F" w14:textId="77777777" w:rsidR="00EC545D" w:rsidRPr="005E779E" w:rsidRDefault="00EC545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У-2 75 6 81</w:t>
      </w:r>
    </w:p>
    <w:p w14:paraId="4CD36539" w14:textId="77777777" w:rsidR="00EC545D" w:rsidRPr="005E779E" w:rsidRDefault="00EC545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И-3 258 21 279</w:t>
      </w:r>
    </w:p>
    <w:p w14:paraId="64DF26C7" w14:textId="77777777" w:rsidR="00EC545D" w:rsidRPr="005E779E" w:rsidRDefault="00EC545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М4-1 36 8 44 </w:t>
      </w:r>
    </w:p>
    <w:p w14:paraId="5FDF8FC9" w14:textId="77777777" w:rsidR="00EC545D" w:rsidRPr="005E779E" w:rsidRDefault="00EC545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И-4 138 12 150</w:t>
      </w:r>
    </w:p>
    <w:p w14:paraId="1E9BF6A7" w14:textId="77777777" w:rsidR="00EC545D" w:rsidRPr="005E779E" w:rsidRDefault="00EC545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Р-1 с БМВ 43 36 79 </w:t>
      </w:r>
    </w:p>
    <w:p w14:paraId="605215F8" w14:textId="77777777" w:rsidR="00EC545D" w:rsidRPr="005E779E" w:rsidRDefault="00EC545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 11 1 12</w:t>
      </w:r>
    </w:p>
    <w:p w14:paraId="4821B8DD" w14:textId="77777777" w:rsidR="00EC545D" w:rsidRPr="005E779E" w:rsidRDefault="00EC545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Р-6 1 - 1</w:t>
      </w:r>
    </w:p>
    <w:p w14:paraId="50BDD418" w14:textId="77777777" w:rsidR="00EC545D" w:rsidRPr="005E779E" w:rsidRDefault="00EC545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ФС-IV 25 7 32</w:t>
      </w:r>
    </w:p>
    <w:p w14:paraId="1D7E8672" w14:textId="77777777" w:rsidR="00EC545D" w:rsidRPr="005E779E" w:rsidRDefault="00EC545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ЛШ 1 - 1</w:t>
      </w:r>
    </w:p>
    <w:p w14:paraId="19F88235" w14:textId="77777777" w:rsidR="00EC545D" w:rsidRPr="005E779E" w:rsidRDefault="00EC545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ФД-VII 10 1 11</w:t>
      </w:r>
    </w:p>
    <w:p w14:paraId="6DA7E6F8" w14:textId="77777777" w:rsidR="00EC545D" w:rsidRPr="005E779E" w:rsidRDefault="00EC545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Дорнье-Валь 14 6 20</w:t>
      </w:r>
    </w:p>
    <w:p w14:paraId="5D54AF61" w14:textId="77777777" w:rsidR="00EC545D" w:rsidRPr="005E779E" w:rsidRDefault="00EC545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 xml:space="preserve">ФД-XI 52 36 88 </w:t>
      </w:r>
    </w:p>
    <w:p w14:paraId="14D8FCAD" w14:textId="77777777" w:rsidR="00EC545D" w:rsidRPr="005E779E" w:rsidRDefault="00EC545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НД-55 19 - 19 </w:t>
      </w:r>
    </w:p>
    <w:p w14:paraId="6362238E" w14:textId="77777777" w:rsidR="00EC545D" w:rsidRPr="005E779E" w:rsidRDefault="00EC545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Мартинсайд 2 1 3 </w:t>
      </w:r>
    </w:p>
    <w:p w14:paraId="46FAECF5" w14:textId="77777777" w:rsidR="00EC545D" w:rsidRPr="005E779E" w:rsidRDefault="00EC545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Савойя 8 5 13 </w:t>
      </w:r>
    </w:p>
    <w:p w14:paraId="23613BD6" w14:textId="77777777" w:rsidR="00EC545D" w:rsidRPr="005E779E" w:rsidRDefault="00EC545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Хейнкель 2 1 3 </w:t>
      </w:r>
    </w:p>
    <w:p w14:paraId="6441497F" w14:textId="77777777" w:rsidR="00EC545D" w:rsidRPr="005E779E" w:rsidRDefault="00EC545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Ю-20 - 5 5 </w:t>
      </w:r>
    </w:p>
    <w:p w14:paraId="37AD754A" w14:textId="77777777" w:rsidR="00EC545D" w:rsidRPr="005E779E" w:rsidRDefault="00EC545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Альбатрос 2 2 4 </w:t>
      </w:r>
    </w:p>
    <w:p w14:paraId="14795DCB" w14:textId="77777777" w:rsidR="00EC545D" w:rsidRPr="005E779E" w:rsidRDefault="00EC545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ЮГ-1(поплав.) 8 2 10 </w:t>
      </w:r>
    </w:p>
    <w:p w14:paraId="0F0FFA48" w14:textId="77777777" w:rsidR="00EC545D" w:rsidRPr="005E779E" w:rsidRDefault="00EC545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ЮГ-1 1 1 2 </w:t>
      </w:r>
    </w:p>
    <w:p w14:paraId="73016535" w14:textId="77777777" w:rsidR="00EC545D" w:rsidRPr="005E779E" w:rsidRDefault="00EC545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Хейнкель(попл.) 1 - 1 </w:t>
      </w:r>
    </w:p>
    <w:p w14:paraId="1794A648" w14:textId="77777777" w:rsidR="00EC545D" w:rsidRPr="005E779E" w:rsidRDefault="00EC545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Ю-13 2 1 3 </w:t>
      </w:r>
    </w:p>
    <w:p w14:paraId="3CBBCDBB" w14:textId="77777777" w:rsidR="00EC545D" w:rsidRPr="005E779E" w:rsidRDefault="00EC545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Фарман-Голиаф - 3 3 </w:t>
      </w:r>
    </w:p>
    <w:p w14:paraId="0BD053E8" w14:textId="77777777" w:rsidR="00EC545D" w:rsidRPr="005E779E" w:rsidRDefault="00EC545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Ансальдо - 2 2 </w:t>
      </w:r>
    </w:p>
    <w:p w14:paraId="522F9E02" w14:textId="77777777" w:rsidR="00EC545D" w:rsidRPr="005E779E" w:rsidRDefault="00EC545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 1879 416 2295</w:t>
      </w:r>
    </w:p>
    <w:p w14:paraId="07CD8B72" w14:textId="77777777" w:rsidR="00EC545D" w:rsidRPr="005E779E" w:rsidRDefault="00EC545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 2303 626 2929</w:t>
      </w:r>
    </w:p>
    <w:p w14:paraId="736B4A49" w14:textId="77777777" w:rsidR="00EC545D" w:rsidRPr="005E779E" w:rsidRDefault="00EC545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 2295+2929 = 5224, из них, исправных:1879 + 2303 = 4182; неисправных: 416+626 = 1042 (19566).</w:t>
      </w:r>
    </w:p>
    <w:p w14:paraId="760DC35C" w14:textId="77777777" w:rsidR="00EC545D" w:rsidRPr="005E779E" w:rsidRDefault="00EC545D" w:rsidP="000B7A6C">
      <w:pPr>
        <w:spacing w:after="0" w:line="240" w:lineRule="auto"/>
        <w:jc w:val="both"/>
        <w:rPr>
          <w:rFonts w:ascii="Times New Roman" w:hAnsi="Times New Roman"/>
          <w:color w:val="000000" w:themeColor="text1"/>
          <w:sz w:val="16"/>
          <w:szCs w:val="16"/>
        </w:rPr>
      </w:pPr>
    </w:p>
    <w:p w14:paraId="090C8F8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состоянию на 1 января 1931 г. в составе ВВС числилось уже 52 ТБ-1, из которых 45 находились в летном состоянии. Летом самолеты приняли уча</w:t>
      </w:r>
      <w:r w:rsidRPr="005E779E">
        <w:rPr>
          <w:rFonts w:ascii="Times New Roman" w:hAnsi="Times New Roman"/>
          <w:color w:val="000000" w:themeColor="text1"/>
          <w:sz w:val="16"/>
          <w:szCs w:val="16"/>
        </w:rPr>
        <w:softHyphen/>
        <w:t>стие в маневрах на Украине, а в октябре ТБ-1 с успехом продемонстрировали не</w:t>
      </w:r>
      <w:r w:rsidRPr="005E779E">
        <w:rPr>
          <w:rFonts w:ascii="Times New Roman" w:hAnsi="Times New Roman"/>
          <w:color w:val="000000" w:themeColor="text1"/>
          <w:sz w:val="16"/>
          <w:szCs w:val="16"/>
        </w:rPr>
        <w:softHyphen/>
        <w:t>мецкой военной делегации. К концу года количество этих бомбардировщиков в стро</w:t>
      </w:r>
      <w:r w:rsidRPr="005E779E">
        <w:rPr>
          <w:rFonts w:ascii="Times New Roman" w:hAnsi="Times New Roman"/>
          <w:color w:val="000000" w:themeColor="text1"/>
          <w:sz w:val="16"/>
          <w:szCs w:val="16"/>
        </w:rPr>
        <w:softHyphen/>
        <w:t>евых частях достигло 155 экземпляров (11286).</w:t>
      </w:r>
    </w:p>
    <w:p w14:paraId="41EB895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015B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Новому году в ВВС РККА имелось уже 52 новых бомбардировщика, 45 из которых были исправны. Продолжалось доукомплектование 11-й бригады. После того, как обучили первые экипажи, самолеты стали принимать в Москве, прямо на заводском аэродроме. Так, в мае 1931 г. оттуда перегоняли машины летчики 51-й и 59-й эскадрилий. В Подмосковье, в Монино, формировали сразу две бригады - 17-ю и 23-ю. К этому времени тяжелобомбардировочные бригады стали иметь по четыре эскадрильи; общий штат составлял 50 бомбардировщиков (12036).</w:t>
      </w:r>
    </w:p>
    <w:p w14:paraId="43185A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850516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 января 1931 г. один самолет ТБ-1 на колесном шасси числился у моряков. Затем поступило еще несколько машин, ко</w:t>
      </w:r>
      <w:r w:rsidRPr="005E779E">
        <w:rPr>
          <w:rFonts w:ascii="Times New Roman" w:hAnsi="Times New Roman"/>
          <w:color w:val="000000" w:themeColor="text1"/>
          <w:sz w:val="16"/>
          <w:szCs w:val="16"/>
        </w:rPr>
        <w:softHyphen/>
        <w:t>торые составили первый торпедный отряд в составе 9-й авиабригады Морских сил Чер</w:t>
      </w:r>
      <w:r w:rsidRPr="005E779E">
        <w:rPr>
          <w:rFonts w:ascii="Times New Roman" w:hAnsi="Times New Roman"/>
          <w:color w:val="000000" w:themeColor="text1"/>
          <w:sz w:val="16"/>
          <w:szCs w:val="16"/>
        </w:rPr>
        <w:softHyphen/>
        <w:t>ного моря. Именно в этом подразделении, базировавшемся на аэродроме Кача, про</w:t>
      </w:r>
      <w:r w:rsidRPr="005E779E">
        <w:rPr>
          <w:rFonts w:ascii="Times New Roman" w:hAnsi="Times New Roman"/>
          <w:color w:val="000000" w:themeColor="text1"/>
          <w:sz w:val="16"/>
          <w:szCs w:val="16"/>
        </w:rPr>
        <w:softHyphen/>
        <w:t>вели первые испытания по сбросу при помощи парашютов торпед ВВС-15, мин ВОМИЗА-100 и сброса с бреющего полета торпед ВВС-12. Осенью 1931 г. на Балтике в 62-й эскад</w:t>
      </w:r>
      <w:r w:rsidRPr="005E779E">
        <w:rPr>
          <w:rFonts w:ascii="Times New Roman" w:hAnsi="Times New Roman"/>
          <w:color w:val="000000" w:themeColor="text1"/>
          <w:sz w:val="16"/>
          <w:szCs w:val="16"/>
        </w:rPr>
        <w:softHyphen/>
        <w:t>рилье 4-й авиабригады насчитывалось три ТБ-1П, которые использовали для испыта</w:t>
      </w:r>
      <w:r w:rsidRPr="005E779E">
        <w:rPr>
          <w:rFonts w:ascii="Times New Roman" w:hAnsi="Times New Roman"/>
          <w:color w:val="000000" w:themeColor="text1"/>
          <w:sz w:val="16"/>
          <w:szCs w:val="16"/>
        </w:rPr>
        <w:softHyphen/>
        <w:t>ний сброса с бреющего полета низковысотных торпед ТАН-12. В 1932 г. началось формирование подразделений минно-торпедной авиации: на Балтике — 121-я эскадрилья, на Черном море — один отряд 124-й эскадрильи, на Тихом океане — уже упомянутый выше отряд П.И. Сучко. Кроме проведения торпедных атак, самолеты предполагалось использовать для постановки минных заграждений на предполагаемых путях передвижения неприятельских кораблей (11286).</w:t>
      </w:r>
    </w:p>
    <w:p w14:paraId="5C4F69D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9BD7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1 января 1931 имелось 1517 Р-1, 20 Р-1СП, 79 Р-1БМВ и 71 МР-1. На начало 1931 г. пришелся пик численности Р-1 и его вариантов в ВВС (11923).</w:t>
      </w:r>
    </w:p>
    <w:p w14:paraId="0EA978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777B77F" w14:textId="77777777" w:rsidR="00A635E8" w:rsidRPr="005E779E" w:rsidRDefault="00A635E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состоя</w:t>
      </w:r>
      <w:r w:rsidRPr="005E779E">
        <w:rPr>
          <w:rFonts w:ascii="Times New Roman" w:hAnsi="Times New Roman"/>
          <w:color w:val="000000" w:themeColor="text1"/>
          <w:sz w:val="16"/>
          <w:szCs w:val="16"/>
        </w:rPr>
        <w:softHyphen/>
        <w:t>нию на 1 января 1931 г. в строю находилось 150 И-4 (23378).</w:t>
      </w:r>
    </w:p>
    <w:p w14:paraId="76C77A92" w14:textId="77777777" w:rsidR="00A635E8" w:rsidRPr="005E779E" w:rsidRDefault="00A635E8" w:rsidP="000B7A6C">
      <w:pPr>
        <w:spacing w:after="0" w:line="240" w:lineRule="auto"/>
        <w:jc w:val="both"/>
        <w:rPr>
          <w:rFonts w:ascii="Times New Roman" w:hAnsi="Times New Roman"/>
          <w:color w:val="000000" w:themeColor="text1"/>
          <w:sz w:val="16"/>
          <w:szCs w:val="16"/>
        </w:rPr>
      </w:pPr>
    </w:p>
    <w:p w14:paraId="5DB62168" w14:textId="77777777" w:rsidR="00A635E8" w:rsidRPr="005E779E" w:rsidRDefault="00A635E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1 января 1931 г. самолеты И-3 составили основу истребительной авиации ВВС РККА – их было 279, в т.ч. 258 исправных и 21 в ремонте. Для сравнения новых истребителей И-5 было 12 (11 исправных), И-4 – 150 (138 исправных), устаревших И-2, И-2бис – 106 (91 исправный), Фоккер ФД-7 – 11 (10 исправных из купленных в 1922 г. 50 новой постройки), ФД-11 – 88 (52 исправных), Мартинсайд М-4 – 3 (1 исправный). По истребительной авиации ВВС РККА по-прежнему значительно уступали объединенным силам вероятного противника (24887).</w:t>
      </w:r>
    </w:p>
    <w:p w14:paraId="2F2C820D" w14:textId="77777777" w:rsidR="00A635E8" w:rsidRPr="005E779E" w:rsidRDefault="00A635E8" w:rsidP="000B7A6C">
      <w:pPr>
        <w:spacing w:after="0" w:line="240" w:lineRule="auto"/>
        <w:jc w:val="both"/>
        <w:rPr>
          <w:rFonts w:ascii="Times New Roman" w:hAnsi="Times New Roman"/>
          <w:color w:val="000000" w:themeColor="text1"/>
          <w:sz w:val="16"/>
          <w:szCs w:val="16"/>
        </w:rPr>
      </w:pPr>
    </w:p>
    <w:p w14:paraId="1C7B557F" w14:textId="77777777" w:rsidR="00E8264C" w:rsidRPr="00142305" w:rsidRDefault="00E8264C" w:rsidP="00E8264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1 января 1931 г. ТБ-1 было 52 ма</w:t>
      </w:r>
      <w:r w:rsidRPr="00142305">
        <w:rPr>
          <w:rFonts w:ascii="Times New Roman" w:hAnsi="Times New Roman"/>
          <w:color w:val="0070C0"/>
          <w:sz w:val="16"/>
          <w:szCs w:val="16"/>
        </w:rPr>
        <w:softHyphen/>
        <w:t>шины, Р-5 - 30, а И-5 - всего лишь 12. В проектах записывались несуществую</w:t>
      </w:r>
      <w:r w:rsidRPr="00142305">
        <w:rPr>
          <w:rFonts w:ascii="Times New Roman" w:hAnsi="Times New Roman"/>
          <w:color w:val="0070C0"/>
          <w:sz w:val="16"/>
          <w:szCs w:val="16"/>
        </w:rPr>
        <w:softHyphen/>
        <w:t>щие «многоместные» и «двухместные» истребители, а число «4 150 новых (!) бо</w:t>
      </w:r>
      <w:r w:rsidRPr="00142305">
        <w:rPr>
          <w:rFonts w:ascii="Times New Roman" w:hAnsi="Times New Roman"/>
          <w:color w:val="0070C0"/>
          <w:sz w:val="16"/>
          <w:szCs w:val="16"/>
        </w:rPr>
        <w:softHyphen/>
        <w:t>евых самолетов» в конце 1932 г. (без учета самолетов в тылу и школах) казалось совершенно нереальным. Ведь они должны были быть в авиачастях уже в 1932 г., то есть за два года нужно было удвоить и обновить боевую авиацию всех родов и разместить ее в укрупненных или вновь созданных гарнизонах. Кроме того, надо подготовить большое число авиаспециалистов (24968).</w:t>
      </w:r>
    </w:p>
    <w:p w14:paraId="428BA59B" w14:textId="77777777" w:rsidR="00E8264C" w:rsidRPr="00142305" w:rsidRDefault="00E8264C" w:rsidP="00E8264C">
      <w:pPr>
        <w:spacing w:after="0" w:line="240" w:lineRule="auto"/>
        <w:jc w:val="both"/>
        <w:rPr>
          <w:rFonts w:ascii="Times New Roman" w:hAnsi="Times New Roman"/>
          <w:color w:val="0070C0"/>
          <w:sz w:val="16"/>
          <w:szCs w:val="16"/>
        </w:rPr>
      </w:pPr>
    </w:p>
    <w:p w14:paraId="025CF531" w14:textId="77777777" w:rsidR="00E8264C" w:rsidRPr="00142305" w:rsidRDefault="00E8264C" w:rsidP="00E8264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1 января 1931 г. в СССР самолетный парк ВВС РККА и Морской Авиации РКК ВМФ включал 2295 самолетов, из которых 1789 были исправны. В строю оставалось 34 самолета И-2 и 72 И-2бис конструкции Д.П. Григоровича, из которых исправны были 26 и 65 соответственно (25206).</w:t>
      </w:r>
    </w:p>
    <w:p w14:paraId="43371006" w14:textId="77777777" w:rsidR="00E8264C" w:rsidRPr="00142305" w:rsidRDefault="00E8264C" w:rsidP="00E8264C">
      <w:pPr>
        <w:spacing w:after="0" w:line="240" w:lineRule="auto"/>
        <w:jc w:val="both"/>
        <w:rPr>
          <w:rFonts w:ascii="Times New Roman" w:hAnsi="Times New Roman"/>
          <w:color w:val="0070C0"/>
          <w:sz w:val="16"/>
          <w:szCs w:val="16"/>
        </w:rPr>
      </w:pPr>
    </w:p>
    <w:p w14:paraId="326E8B01" w14:textId="77777777" w:rsidR="00E8264C" w:rsidRPr="00142305" w:rsidRDefault="00E8264C" w:rsidP="00E8264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состоянию на 1 января 1931 г. в составе ВВС РККА насчитывалось 258 исправных истребителей И-3, 21 неисправный, всего 279 машин (25035).</w:t>
      </w:r>
    </w:p>
    <w:p w14:paraId="55D76128" w14:textId="77777777" w:rsidR="00E8264C" w:rsidRPr="00142305" w:rsidRDefault="00E8264C" w:rsidP="00E8264C">
      <w:pPr>
        <w:spacing w:after="0" w:line="240" w:lineRule="auto"/>
        <w:jc w:val="both"/>
        <w:rPr>
          <w:rFonts w:ascii="Times New Roman" w:hAnsi="Times New Roman"/>
          <w:color w:val="0070C0"/>
          <w:sz w:val="16"/>
          <w:szCs w:val="16"/>
        </w:rPr>
      </w:pPr>
    </w:p>
    <w:p w14:paraId="42B7136C" w14:textId="77777777" w:rsidR="00E8264C" w:rsidRPr="00142305" w:rsidRDefault="00E8264C" w:rsidP="00E8264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1 января 1931 г. в составе ВВС РККА числилось 269 У-1, из них 172 исправных (25035).</w:t>
      </w:r>
    </w:p>
    <w:p w14:paraId="0470F28D" w14:textId="77777777" w:rsidR="00E8264C" w:rsidRPr="00142305" w:rsidRDefault="00E8264C" w:rsidP="00E8264C">
      <w:pPr>
        <w:spacing w:after="0" w:line="240" w:lineRule="auto"/>
        <w:jc w:val="both"/>
        <w:rPr>
          <w:rFonts w:ascii="Times New Roman" w:hAnsi="Times New Roman"/>
          <w:color w:val="0070C0"/>
          <w:sz w:val="16"/>
          <w:szCs w:val="16"/>
        </w:rPr>
      </w:pPr>
    </w:p>
    <w:p w14:paraId="7C15B64E" w14:textId="77777777" w:rsidR="00E8264C" w:rsidRPr="00142305" w:rsidRDefault="00E8264C" w:rsidP="00E8264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1 января 1931 года в ВВС насчитывалось еще пять машин Юнкерс Ю-20, но находившихся в небоеспособном состоянии Те «юнкерсы», что еще могли летать, передавали в гражданскую авиацию.</w:t>
      </w:r>
    </w:p>
    <w:p w14:paraId="67FFB92E" w14:textId="77777777" w:rsidR="00E8264C" w:rsidRPr="00142305" w:rsidRDefault="00E8264C" w:rsidP="00E8264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Постепенно Ю-20 стали снимать с вооружения. На смену ему пришли летающие лодки S.62bis (у нас назывались С-62Б) из Италии и КР-1 (Хейнкель HD.55) из Германии. </w:t>
      </w:r>
    </w:p>
    <w:p w14:paraId="58701AD0" w14:textId="77777777" w:rsidR="00E8264C" w:rsidRPr="00142305" w:rsidRDefault="00E8264C" w:rsidP="00E8264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началу 1932 г. у военных Ю-20 не осталось совсем.</w:t>
      </w:r>
    </w:p>
    <w:p w14:paraId="5FC17620" w14:textId="77777777" w:rsidR="00E8264C" w:rsidRPr="00142305" w:rsidRDefault="00E8264C" w:rsidP="00E8264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ГВФ искали, к чему можно было бы приспособить разоруженные разведчики. Для перевозки пассажиров и грузов они не годились — слишком мала грузоподъемность. В 1930 году самолет с обозначением СССР-225 занимался разведкой косяков рыбы в Каспийском море. На 1 августа тремя машинами располагала Государственная аэрофотосъемочная служба (ГАФС). Постоянно базировались они в Москве, а на летний сезон отправлялись к месту работ.</w:t>
      </w:r>
    </w:p>
    <w:p w14:paraId="1BDD9E4A" w14:textId="77777777" w:rsidR="00E8264C" w:rsidRPr="00142305" w:rsidRDefault="00E8264C" w:rsidP="00E8264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Один Ю-20 попал в авиацию ОГПУ. Он вошел в состав отряда, обслуживавшего «Ухтпечлаг». На борту у него имелось обозначение «УПТ-1». Это сокращение показывало, что «Ухтпечлаг» часто маскировался под «Ухтпечтрест». Отряд этот был весьма своеобразен. В нем не только наземный, но и летный состав укомплектовали заключенными. Вольным являлся один начальник, да и того позже посадили. Последние Ю-20 эксплуатировались в СССР до 1933 года (25179).</w:t>
      </w:r>
    </w:p>
    <w:p w14:paraId="200E4F9B" w14:textId="77777777" w:rsidR="00E8264C" w:rsidRPr="00142305" w:rsidRDefault="00E8264C" w:rsidP="00E8264C">
      <w:pPr>
        <w:spacing w:after="0" w:line="240" w:lineRule="auto"/>
        <w:jc w:val="both"/>
        <w:rPr>
          <w:rFonts w:ascii="Times New Roman" w:hAnsi="Times New Roman"/>
          <w:color w:val="0070C0"/>
          <w:sz w:val="16"/>
          <w:szCs w:val="16"/>
        </w:rPr>
      </w:pPr>
    </w:p>
    <w:p w14:paraId="6010B52A" w14:textId="77777777" w:rsidR="00E8264C" w:rsidRPr="00142305" w:rsidRDefault="00E8264C" w:rsidP="00E8264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1 января 1931 г. Из 23 тысяч 52 авиационных специалистов, находившихся в строевых авиачастях, 72,7% составляли русские, 16,6% - украинцы, 3,8% - белорусы. Среди летчиков были также грузины, армяне, латыши и представители других национальностей (РГВА. Ф. 28. Оп. 50. Д. 120. Л. 9) (24968).</w:t>
      </w:r>
    </w:p>
    <w:p w14:paraId="7C02ED83" w14:textId="77777777" w:rsidR="00E8264C" w:rsidRPr="00142305" w:rsidRDefault="00E8264C" w:rsidP="00E8264C">
      <w:pPr>
        <w:spacing w:after="0" w:line="240" w:lineRule="auto"/>
        <w:jc w:val="both"/>
        <w:rPr>
          <w:rFonts w:ascii="Times New Roman" w:hAnsi="Times New Roman"/>
          <w:color w:val="0070C0"/>
          <w:sz w:val="16"/>
          <w:szCs w:val="16"/>
        </w:rPr>
      </w:pPr>
    </w:p>
    <w:p w14:paraId="5985FC72" w14:textId="77777777" w:rsidR="00A635E8" w:rsidRPr="005E779E" w:rsidRDefault="00A635E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1 января 1931 г. в СССР самолетный парк ВВС РККА и Морской Авиации РКК ВМФ включал 2295 самолетов, из которых 1789 были исправны. В строю оставалось 34 самолета И-2 и 72 И-2бис конструкции Д.П. Григоровича, из которых исправны были 26 и 65 соответственно (23560).</w:t>
      </w:r>
    </w:p>
    <w:p w14:paraId="04328573" w14:textId="77777777" w:rsidR="00A635E8" w:rsidRPr="005E779E" w:rsidRDefault="00A635E8" w:rsidP="000B7A6C">
      <w:pPr>
        <w:spacing w:after="0" w:line="240" w:lineRule="auto"/>
        <w:jc w:val="both"/>
        <w:rPr>
          <w:rFonts w:ascii="Times New Roman" w:hAnsi="Times New Roman"/>
          <w:color w:val="000000" w:themeColor="text1"/>
          <w:sz w:val="16"/>
          <w:szCs w:val="16"/>
        </w:rPr>
      </w:pPr>
    </w:p>
    <w:p w14:paraId="21362CB3" w14:textId="77777777" w:rsidR="00A635E8" w:rsidRPr="005E779E" w:rsidRDefault="00A635E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1 октября 1931 г. в частях ВВС РККА и Морской Авиации РКК ВМФ числилось 282 истребителя И-3 (а также 63 Фоккер ФД-7 и ФД-11, 77 И-2 и И-2бис, 159 И-4, 54 И-5) (24887).</w:t>
      </w:r>
    </w:p>
    <w:p w14:paraId="365D910A" w14:textId="77777777" w:rsidR="00A635E8" w:rsidRPr="005E779E" w:rsidRDefault="00A635E8" w:rsidP="000B7A6C">
      <w:pPr>
        <w:spacing w:after="0" w:line="240" w:lineRule="auto"/>
        <w:jc w:val="both"/>
        <w:rPr>
          <w:rFonts w:ascii="Times New Roman" w:hAnsi="Times New Roman"/>
          <w:color w:val="000000" w:themeColor="text1"/>
          <w:sz w:val="16"/>
          <w:szCs w:val="16"/>
        </w:rPr>
      </w:pPr>
    </w:p>
    <w:p w14:paraId="1675CC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состоянию на 1 января 1931 г. в составе морской авиации числились 8 ДВ дальней морской разведки и 8 ДВ бомбардировщиков. По другим данным, на 1 января 1931 г. числилось 20 ДВ (14/6), на 1 января 1932 г. - 19 ДВ (14/5), на 1 января 1933 г. - 18 ДВ (11/7) (11961).</w:t>
      </w:r>
    </w:p>
    <w:p w14:paraId="40256C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489D2CA" w14:textId="77777777" w:rsidR="0062593B" w:rsidRPr="005E779E" w:rsidRDefault="0062593B"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На 1 января 1931 г. советские Военно-Морские Силы насчитывали 3 линкора, 4 крейсера, 17 эсминцев, 16 субмарин и небольшое число других боевых, вспомогательных и учебных судов. Общий тоннаж боевых кораблей составлял всего 130 тыс. тонн (Сводная ведомость общей численности судового состава Военно-Морского Флота СССР по состоянию на 1.01.1931 (приложение к письму Народного Комиссара Иностранных Дел СССР Литвинова Генеральному секретарю Лиги Наций Друммонду, 25.04.1931) //ДВП СССР. Т. 14. С. 279) (22725).</w:t>
      </w:r>
    </w:p>
    <w:p w14:paraId="46687F40" w14:textId="77777777" w:rsidR="0062593B" w:rsidRPr="005E779E" w:rsidRDefault="0062593B" w:rsidP="000B7A6C">
      <w:pPr>
        <w:spacing w:after="0" w:line="240" w:lineRule="auto"/>
        <w:jc w:val="both"/>
        <w:rPr>
          <w:rFonts w:ascii="Times New Roman" w:hAnsi="Times New Roman"/>
          <w:color w:val="000000" w:themeColor="text1"/>
          <w:sz w:val="16"/>
          <w:szCs w:val="16"/>
        </w:rPr>
      </w:pPr>
    </w:p>
    <w:p w14:paraId="76AFFD6D"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589A2759"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CE458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января 1931 был пущен Ростсельмаш (1348,199).</w:t>
      </w:r>
    </w:p>
    <w:p w14:paraId="4F2E7C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57661E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января 1931 пущен в строй Ростовский завод сельскохозяйственных машин (4962).</w:t>
      </w:r>
    </w:p>
    <w:p w14:paraId="69975CF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D685CF" w14:textId="77777777" w:rsidR="00170265" w:rsidRPr="005E779E" w:rsidRDefault="001702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 ранее 1 января 1931 г.</w:t>
      </w:r>
    </w:p>
    <w:p w14:paraId="36D84FBC" w14:textId="77777777" w:rsidR="00170265" w:rsidRPr="005E779E" w:rsidRDefault="00170265"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Заявление следователю СО ОГПУ И. Черток от арестованного за «руководство террористической группой» инженера С. А. Предтеченского. Не ранее 1 января 1931 г.</w:t>
      </w:r>
    </w:p>
    <w:p w14:paraId="2377AAC0" w14:textId="77777777" w:rsidR="00170265" w:rsidRPr="005E779E" w:rsidRDefault="00170265"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Источник: </w:t>
      </w:r>
    </w:p>
    <w:p w14:paraId="40DE5E38" w14:textId="77777777" w:rsidR="00170265" w:rsidRPr="005E779E" w:rsidRDefault="001702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DD15559" w14:textId="77777777" w:rsidR="00170265" w:rsidRPr="005E779E" w:rsidRDefault="00170265" w:rsidP="000B7A6C">
      <w:pPr>
        <w:pStyle w:val="rteright"/>
        <w:spacing w:before="0" w:after="0"/>
        <w:jc w:val="both"/>
        <w:rPr>
          <w:color w:val="000000" w:themeColor="text1"/>
          <w:sz w:val="16"/>
          <w:szCs w:val="16"/>
        </w:rPr>
      </w:pPr>
      <w:r w:rsidRPr="005E779E">
        <w:rPr>
          <w:color w:val="000000" w:themeColor="text1"/>
          <w:sz w:val="16"/>
          <w:szCs w:val="16"/>
        </w:rPr>
        <w:t>Не ранее 1 января 1931 г.</w:t>
      </w:r>
    </w:p>
    <w:p w14:paraId="52C40A5A" w14:textId="77777777" w:rsidR="00170265" w:rsidRPr="005E779E" w:rsidRDefault="00170265" w:rsidP="000B7A6C">
      <w:pPr>
        <w:pStyle w:val="rtejustify"/>
        <w:spacing w:before="0" w:after="0"/>
        <w:rPr>
          <w:color w:val="000000" w:themeColor="text1"/>
          <w:sz w:val="16"/>
          <w:szCs w:val="16"/>
        </w:rPr>
      </w:pPr>
      <w:r w:rsidRPr="005E779E">
        <w:rPr>
          <w:color w:val="000000" w:themeColor="text1"/>
          <w:sz w:val="16"/>
          <w:szCs w:val="16"/>
        </w:rPr>
        <w:t>Пом. нач. IV отдела СО ОГПУ тов. Черток</w:t>
      </w:r>
    </w:p>
    <w:p w14:paraId="45CE026D" w14:textId="77777777" w:rsidR="00170265" w:rsidRPr="005E779E" w:rsidRDefault="00170265" w:rsidP="000B7A6C">
      <w:pPr>
        <w:pStyle w:val="rtejustify"/>
        <w:spacing w:before="0" w:after="0"/>
        <w:rPr>
          <w:color w:val="000000" w:themeColor="text1"/>
          <w:sz w:val="16"/>
          <w:szCs w:val="16"/>
        </w:rPr>
      </w:pPr>
      <w:r w:rsidRPr="005E779E">
        <w:rPr>
          <w:color w:val="000000" w:themeColor="text1"/>
          <w:sz w:val="16"/>
          <w:szCs w:val="16"/>
        </w:rPr>
        <w:t>Я и Н. А. Доллежаль 28-го декабря 1930 г. из камеры № 126 были переведены в камеру № 47. В этот же день вечером к нам был подсажен Н. Д. Кондратьев, представившийся нам как председатель Т.К.П.</w:t>
      </w:r>
    </w:p>
    <w:p w14:paraId="0B3FE060" w14:textId="77777777" w:rsidR="00170265" w:rsidRPr="005E779E" w:rsidRDefault="00170265" w:rsidP="000B7A6C">
      <w:pPr>
        <w:pStyle w:val="rtejustify"/>
        <w:spacing w:before="0" w:after="0"/>
        <w:rPr>
          <w:color w:val="000000" w:themeColor="text1"/>
          <w:sz w:val="16"/>
          <w:szCs w:val="16"/>
        </w:rPr>
      </w:pPr>
      <w:r w:rsidRPr="005E779E">
        <w:rPr>
          <w:color w:val="000000" w:themeColor="text1"/>
          <w:sz w:val="16"/>
          <w:szCs w:val="16"/>
        </w:rPr>
        <w:t>Я лично, просидев до этого 2 месяца в одиночке впервые встречаюсь с представителем Т.К.П., а Н. А. Доллежаль, сидевший до этого в общих камерах встречался с некоторыми представителями этой партии. На этой почве возник разговор, из которого со слов Кондратьева выяснилось, что при первых его показаниях в СО ОГПУ ему удалось удачно обойти вопрос об отношении Т.К.П. к 1) интервенции, 2) организации восстаний и военных групп, 3) заграничным деньгам. Фронт, по его словам, прорвал Юровский, давший по этим вопросам свои показания за последние дни. Такая позиция Юровского заставила и его, Кондратьева, частично отступить «для выравнивания фронта». Такое положение вопроса видимо очень сильно беспокоило Кондратьева, и он возвращался к этому вопросу не один раз. В процессе разговоров на эти темы Кондратьев уверенно взял под сомненье правильность позиции полного разоружения и признания своей вины, доказывая, что такое положение ничем пока не оправдано и правильность его не доказана.</w:t>
      </w:r>
    </w:p>
    <w:p w14:paraId="2C8F6F02" w14:textId="77777777" w:rsidR="00170265" w:rsidRPr="005E779E" w:rsidRDefault="00170265" w:rsidP="000B7A6C">
      <w:pPr>
        <w:pStyle w:val="rtejustify"/>
        <w:spacing w:before="0" w:after="0"/>
        <w:rPr>
          <w:color w:val="000000" w:themeColor="text1"/>
          <w:sz w:val="16"/>
          <w:szCs w:val="16"/>
        </w:rPr>
      </w:pPr>
      <w:r w:rsidRPr="005E779E">
        <w:rPr>
          <w:color w:val="000000" w:themeColor="text1"/>
          <w:sz w:val="16"/>
          <w:szCs w:val="16"/>
        </w:rPr>
        <w:t>Развивая эту тему[,] Кондратьев бранил какого-то летчика по фамилии Гудимов, сидевшего с ним в августе и сентябре п[рошлого] г. и усиленно ему рекомендовавшего путь полного признания. По сведениям Кондратьева этот же летчик сидел последовательно с рядом крупных деятелей Т.К.П., добиваясь разными доводами признания ими выдвигаемых им положений и признания и разоружения.</w:t>
      </w:r>
    </w:p>
    <w:p w14:paraId="15A2790B" w14:textId="77777777" w:rsidR="00170265" w:rsidRPr="005E779E" w:rsidRDefault="00170265" w:rsidP="000B7A6C">
      <w:pPr>
        <w:pStyle w:val="rtejustify"/>
        <w:spacing w:before="0" w:after="0"/>
        <w:rPr>
          <w:color w:val="000000" w:themeColor="text1"/>
          <w:sz w:val="16"/>
          <w:szCs w:val="16"/>
        </w:rPr>
      </w:pPr>
      <w:r w:rsidRPr="005E779E">
        <w:rPr>
          <w:color w:val="000000" w:themeColor="text1"/>
          <w:sz w:val="16"/>
          <w:szCs w:val="16"/>
        </w:rPr>
        <w:t>В настоящее время он с досадой вспоминает о нем и жалеет, что его послушался и был с ним излишне откровенен, в частности, передав ему адреса некоторых его заграничных знакомых[,] и дискуссию с ним в вопрос[е] о возможности при помощи Гудимова на аэроплане скрыться за границу. Досада эта еще сильнее сказалась в нем, когда я подтвердил ему, что с похожим на этого летчика человеком сидел и я, и нисколько не раскаиваюсь в том, что выбрал путь полного разоружения и сказал все до конца. Эту свою позицию я обосновал соответствующим образом, и если эти обоснования Вас интересуют, могу их изложить дополнительно.</w:t>
      </w:r>
    </w:p>
    <w:p w14:paraId="150A6241" w14:textId="77777777" w:rsidR="00170265" w:rsidRPr="005E779E" w:rsidRDefault="00170265" w:rsidP="000B7A6C">
      <w:pPr>
        <w:pStyle w:val="rtejustify"/>
        <w:spacing w:before="0" w:after="0"/>
        <w:rPr>
          <w:color w:val="000000" w:themeColor="text1"/>
          <w:sz w:val="16"/>
          <w:szCs w:val="16"/>
        </w:rPr>
      </w:pPr>
      <w:r w:rsidRPr="005E779E">
        <w:rPr>
          <w:color w:val="000000" w:themeColor="text1"/>
          <w:sz w:val="16"/>
          <w:szCs w:val="16"/>
        </w:rPr>
        <w:t>Далее Кондратьев в процессе колебания и сомнения выдвигал вариант отказа от своих показаний, сделанных им под впечатлением показания Юровского.</w:t>
      </w:r>
    </w:p>
    <w:p w14:paraId="4A68277D" w14:textId="77777777" w:rsidR="00170265" w:rsidRPr="005E779E" w:rsidRDefault="00170265" w:rsidP="000B7A6C">
      <w:pPr>
        <w:pStyle w:val="rtejustify"/>
        <w:spacing w:before="0" w:after="0"/>
        <w:rPr>
          <w:color w:val="000000" w:themeColor="text1"/>
          <w:sz w:val="16"/>
          <w:szCs w:val="16"/>
        </w:rPr>
      </w:pPr>
      <w:r w:rsidRPr="005E779E">
        <w:rPr>
          <w:color w:val="000000" w:themeColor="text1"/>
          <w:sz w:val="16"/>
          <w:szCs w:val="16"/>
        </w:rPr>
        <w:t>На основании своего личного опыта я не советовал ему это делать, так как это может только осложнить его положение. Все эти разговоры сильно повлияли на позицию Н. А. Доллежаль, который под влиянием разговоров со мною, стал на путь признания и довел бы его до конца. Поддерживая позицию Кондратьева, он неоднократно подтверждал, что раскаивается, что стал на этот путь и начал говорить. Больше того, на другой день, 1-го с.г., после того, как от нас взяли Кондратьева, он задал мне вопрос, как я думаю, какими соображениями руководствовались Вы, переводя и его ко мне в камеру. На фоне разговоров Кондратьева о летчике, я был поставлен не в очень удобное положение. Во всяком случае разговоры Кондратьева в известной степени укрепили колебания Н. А. Доллежаль и усложнили мое положение в этом вопросе.</w:t>
      </w:r>
    </w:p>
    <w:p w14:paraId="18BFB204" w14:textId="77777777" w:rsidR="00170265" w:rsidRPr="005E779E" w:rsidRDefault="00170265" w:rsidP="000B7A6C">
      <w:pPr>
        <w:pStyle w:val="rtejustify"/>
        <w:spacing w:before="0" w:after="0"/>
        <w:rPr>
          <w:color w:val="000000" w:themeColor="text1"/>
          <w:sz w:val="16"/>
          <w:szCs w:val="16"/>
        </w:rPr>
      </w:pPr>
      <w:r w:rsidRPr="005E779E">
        <w:rPr>
          <w:color w:val="000000" w:themeColor="text1"/>
          <w:sz w:val="16"/>
          <w:szCs w:val="16"/>
        </w:rPr>
        <w:t>Далее, говоря об Л. К. Рамзине, Кондратьев неоднократно бранил его «слабовольным болтуном», перешедшим в своих показаниях все границы здравого смысла и здорового чувства самосохранения, достаточно прозрачно намекал, что в этих вопросах вряд ли поможет откровенность в признаниях. Он сообщил также после одного из вызовов на допрос, что все дело Промпартии передали в ЭКУ с Л. К. Рамзиным во главе, а в СО ОГПУ осталась только боевая организация Промпартии. Из этого он сделал вывод, что ЭКУ использует на работе всех специалистов Промпартии, а мы и Т.К.П., переданные в СО, видимо обречены на более суровые наказания, о чем он для себя никаких иллюзий не строит. Такого рода прогноз, не повлияв в основном на мое решение говорить всю правду до конца, да я ее уже и сказал, тем не менее весьма резко сказался не только на настроении Н. А. Доллежаль, но и на моем.</w:t>
      </w:r>
    </w:p>
    <w:p w14:paraId="0D1D017F" w14:textId="77777777" w:rsidR="00170265" w:rsidRPr="005E779E" w:rsidRDefault="00170265" w:rsidP="000B7A6C">
      <w:pPr>
        <w:pStyle w:val="rtejustify"/>
        <w:spacing w:before="0" w:after="0"/>
        <w:rPr>
          <w:color w:val="000000" w:themeColor="text1"/>
          <w:sz w:val="16"/>
          <w:szCs w:val="16"/>
        </w:rPr>
      </w:pPr>
      <w:r w:rsidRPr="005E779E">
        <w:rPr>
          <w:color w:val="000000" w:themeColor="text1"/>
          <w:sz w:val="16"/>
          <w:szCs w:val="16"/>
        </w:rPr>
        <w:t>С. А. Предтеченский</w:t>
      </w:r>
    </w:p>
    <w:p w14:paraId="2CCF27E6" w14:textId="77777777" w:rsidR="00170265" w:rsidRPr="005E779E" w:rsidRDefault="00170265" w:rsidP="000B7A6C">
      <w:pPr>
        <w:pStyle w:val="ae"/>
        <w:spacing w:before="0" w:after="0"/>
        <w:jc w:val="both"/>
        <w:rPr>
          <w:color w:val="000000" w:themeColor="text1"/>
          <w:sz w:val="16"/>
          <w:szCs w:val="16"/>
        </w:rPr>
      </w:pPr>
      <w:r w:rsidRPr="005E779E">
        <w:rPr>
          <w:color w:val="000000" w:themeColor="text1"/>
          <w:sz w:val="16"/>
          <w:szCs w:val="16"/>
        </w:rPr>
        <w:t>Верно: И. Черток</w:t>
      </w:r>
    </w:p>
    <w:p w14:paraId="223A7654" w14:textId="77777777" w:rsidR="00170265" w:rsidRPr="005E779E" w:rsidRDefault="00170265" w:rsidP="000B7A6C">
      <w:pPr>
        <w:pStyle w:val="ae"/>
        <w:spacing w:before="0" w:after="0"/>
        <w:jc w:val="both"/>
        <w:rPr>
          <w:color w:val="000000" w:themeColor="text1"/>
          <w:sz w:val="16"/>
          <w:szCs w:val="16"/>
        </w:rPr>
      </w:pPr>
      <w:r w:rsidRPr="005E779E">
        <w:rPr>
          <w:rStyle w:val="af0"/>
          <w:i w:val="0"/>
          <w:color w:val="000000" w:themeColor="text1"/>
          <w:sz w:val="16"/>
          <w:szCs w:val="16"/>
        </w:rPr>
        <w:t>ЦА ФСБ РФ. Ф. Р-42280. Т. 5. Л. 36-38. Машинописная копия записки С. А. Предшеченского, заверенная И. Черток. Датируется по содержанию (18744).</w:t>
      </w:r>
    </w:p>
    <w:p w14:paraId="37DA2AD7" w14:textId="77777777" w:rsidR="00170265" w:rsidRPr="005E779E" w:rsidRDefault="00170265" w:rsidP="000B7A6C">
      <w:pPr>
        <w:spacing w:after="0" w:line="240" w:lineRule="auto"/>
        <w:jc w:val="both"/>
        <w:rPr>
          <w:rFonts w:ascii="Times New Roman" w:hAnsi="Times New Roman"/>
          <w:color w:val="000000" w:themeColor="text1"/>
          <w:sz w:val="16"/>
          <w:szCs w:val="16"/>
        </w:rPr>
      </w:pPr>
    </w:p>
    <w:p w14:paraId="47AA4808"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6A9A3125"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85C5B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января 1931 над Гобденом (Онтарио, Канада) пролетел объект, из передней части которого исходил сильный свет, освещавший верхушки деревьев. Стремительно развернулся и исчез (3712).</w:t>
      </w:r>
    </w:p>
    <w:p w14:paraId="4A261F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3837199"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54A9D5E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28082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января 1931 П.И.Б. письмом N СН 10/с пред. РВС направил доклад "О создании междуведомственного органа по делам ВФ". Дело в том, что с образованием ВОГФ, подчиненного непосредственно СТО, было создано искусственное разъединение военного и гражданского ВФ (1027,53).</w:t>
      </w:r>
    </w:p>
    <w:p w14:paraId="671457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26D05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января 1931 Начальник ВВС РККА писал за № СН 10/с Председателю РВС Союза ССР</w:t>
      </w:r>
    </w:p>
    <w:p w14:paraId="7B83023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 создании междуведомственного органа по делам Воздушного Флота</w:t>
      </w:r>
    </w:p>
    <w:p w14:paraId="6BFA271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ДОКЛАД</w:t>
      </w:r>
    </w:p>
    <w:p w14:paraId="76BB8A0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образованием Всесоюзного Объединения Гражданского Воздушного Флота, подчиенного непосредственно СТО, создано искусственное раз"единение гражданского и военного воздуш</w:t>
      </w:r>
      <w:r w:rsidRPr="005E779E">
        <w:rPr>
          <w:rFonts w:ascii="Times New Roman" w:hAnsi="Times New Roman"/>
          <w:color w:val="000000" w:themeColor="text1"/>
          <w:sz w:val="16"/>
          <w:szCs w:val="16"/>
        </w:rPr>
        <w:softHyphen/>
        <w:t>ных флотов.</w:t>
      </w:r>
    </w:p>
    <w:p w14:paraId="13AB308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Прежде координация мероприятий по военному и граждан</w:t>
      </w:r>
      <w:r w:rsidRPr="005E779E">
        <w:rPr>
          <w:rFonts w:ascii="Times New Roman" w:hAnsi="Times New Roman"/>
          <w:color w:val="000000" w:themeColor="text1"/>
          <w:sz w:val="16"/>
          <w:szCs w:val="16"/>
        </w:rPr>
        <w:softHyphen/>
        <w:t>скому воздушным флотам достигалась вхождением Инспекции в состав Военных Воздушных бил. Совершенно естественно, с ростом Гражданского Воздушного Флота</w:t>
      </w:r>
      <w:r w:rsidRPr="005E779E">
        <w:rPr>
          <w:rFonts w:ascii="Times New Roman" w:hAnsi="Times New Roman"/>
          <w:color w:val="000000" w:themeColor="text1"/>
          <w:sz w:val="16"/>
          <w:szCs w:val="16"/>
          <w:vertAlign w:val="subscript"/>
        </w:rPr>
        <w:t>г</w:t>
      </w:r>
      <w:r w:rsidRPr="005E779E">
        <w:rPr>
          <w:rFonts w:ascii="Times New Roman" w:hAnsi="Times New Roman"/>
          <w:color w:val="000000" w:themeColor="text1"/>
          <w:sz w:val="16"/>
          <w:szCs w:val="16"/>
        </w:rPr>
        <w:t xml:space="preserve"> намеченного планом развития» преднее положение оказалось неудовлетворительным. Но вместе с тем искусственное разъединение двух управлений, работающих в одной и той же области, создает целый ряд труднностей.</w:t>
      </w:r>
    </w:p>
    <w:p w14:paraId="297224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 собой разумеется, что вопросы размещения заказов у авиационной промышленности на самолеты и моторы, у дру</w:t>
      </w:r>
      <w:r w:rsidRPr="005E779E">
        <w:rPr>
          <w:rFonts w:ascii="Times New Roman" w:hAnsi="Times New Roman"/>
          <w:color w:val="000000" w:themeColor="text1"/>
          <w:sz w:val="16"/>
          <w:szCs w:val="16"/>
        </w:rPr>
        <w:softHyphen/>
        <w:t>гих органов промышленности на горючее, аэронавигационные приборы, электрооборудование, приборы зажигания и т.д. требуют какого-то об"единения, разрешения спорных вопросов, возникающих иногда в виду недостаточных производственных возможностей. Еще большая необходимость объединения дея</w:t>
      </w:r>
      <w:r w:rsidRPr="005E779E">
        <w:rPr>
          <w:rFonts w:ascii="Times New Roman" w:hAnsi="Times New Roman"/>
          <w:color w:val="000000" w:themeColor="text1"/>
          <w:sz w:val="16"/>
          <w:szCs w:val="16"/>
        </w:rPr>
        <w:softHyphen/>
        <w:t>тельности возникает по вопросам устройства аэродромов, их оборудования, сети школ, дислокации таковых, их устройства, пропускной способности и т.д.</w:t>
      </w:r>
    </w:p>
    <w:p w14:paraId="1ADD111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Мною делаются попытки в порядке согласования достиг</w:t>
      </w:r>
      <w:r w:rsidRPr="005E779E">
        <w:rPr>
          <w:rFonts w:ascii="Times New Roman" w:hAnsi="Times New Roman"/>
          <w:color w:val="000000" w:themeColor="text1"/>
          <w:sz w:val="16"/>
          <w:szCs w:val="16"/>
        </w:rPr>
        <w:softHyphen/>
        <w:t>нуть некоторого контакта с Всесоюзным Объединением Граж</w:t>
      </w:r>
      <w:r w:rsidRPr="005E779E">
        <w:rPr>
          <w:rFonts w:ascii="Times New Roman" w:hAnsi="Times New Roman"/>
          <w:color w:val="000000" w:themeColor="text1"/>
          <w:sz w:val="16"/>
          <w:szCs w:val="16"/>
        </w:rPr>
        <w:softHyphen/>
        <w:t>данского Воздушного Флота. Однако во многих случаях вопро</w:t>
      </w:r>
      <w:r w:rsidRPr="005E779E">
        <w:rPr>
          <w:rFonts w:ascii="Times New Roman" w:hAnsi="Times New Roman"/>
          <w:color w:val="000000" w:themeColor="text1"/>
          <w:sz w:val="16"/>
          <w:szCs w:val="16"/>
        </w:rPr>
        <w:softHyphen/>
        <w:t>сы не могут быть мною разрешены или согласованы по целому ряду причин.</w:t>
      </w:r>
    </w:p>
    <w:p w14:paraId="2DE54C1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Поэтому представлялось бы чрезвычайно целесообразным и необходимым создание междуведомственного органа, ибо в противном случае все вопросы разрешаются случай ним порядком или в различных органах Госплана или в случайно образуемых комиссиях или, решаются законодательными органами по пред</w:t>
      </w:r>
      <w:r w:rsidRPr="005E779E">
        <w:rPr>
          <w:rFonts w:ascii="Times New Roman" w:hAnsi="Times New Roman"/>
          <w:color w:val="000000" w:themeColor="text1"/>
          <w:sz w:val="16"/>
          <w:szCs w:val="16"/>
        </w:rPr>
        <w:softHyphen/>
        <w:t>ставлению или Всесоюзного Объединения Гражданского Воздуш</w:t>
      </w:r>
      <w:r w:rsidRPr="005E779E">
        <w:rPr>
          <w:rFonts w:ascii="Times New Roman" w:hAnsi="Times New Roman"/>
          <w:color w:val="000000" w:themeColor="text1"/>
          <w:sz w:val="16"/>
          <w:szCs w:val="16"/>
        </w:rPr>
        <w:softHyphen/>
        <w:t>ного Флота или НКВ Мора.</w:t>
      </w:r>
    </w:p>
    <w:p w14:paraId="50A4D2B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Считал бы целесообразным образрвение Совета по Делам Воздушного Флота, подчиненного непосредственно СНК или СТО, работающего под Вашим председательством, для равсмотрения и решения вопросов, касающихся Воздушного Флота, т.е. Упра</w:t>
      </w:r>
      <w:r w:rsidRPr="005E779E">
        <w:rPr>
          <w:rFonts w:ascii="Times New Roman" w:hAnsi="Times New Roman"/>
          <w:color w:val="000000" w:themeColor="text1"/>
          <w:sz w:val="16"/>
          <w:szCs w:val="16"/>
        </w:rPr>
        <w:softHyphen/>
        <w:t>вления ВВС РККА, Всесоюзного Об"единения Гражданского Воз</w:t>
      </w:r>
      <w:r w:rsidRPr="005E779E">
        <w:rPr>
          <w:rFonts w:ascii="Times New Roman" w:hAnsi="Times New Roman"/>
          <w:color w:val="000000" w:themeColor="text1"/>
          <w:sz w:val="16"/>
          <w:szCs w:val="16"/>
        </w:rPr>
        <w:softHyphen/>
        <w:t>душного Флота, Всесоюзного Авиационного Об"единения и Осо-авиадоша в части авиации.</w:t>
      </w:r>
    </w:p>
    <w:p w14:paraId="5E339C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Состав такого Совета мог бы образоваться из руководи</w:t>
      </w:r>
      <w:r w:rsidRPr="005E779E">
        <w:rPr>
          <w:rFonts w:ascii="Times New Roman" w:hAnsi="Times New Roman"/>
          <w:color w:val="000000" w:themeColor="text1"/>
          <w:sz w:val="16"/>
          <w:szCs w:val="16"/>
        </w:rPr>
        <w:softHyphen/>
        <w:t>телей этих органов с включением представителя Госплана, Нар-компочтеля НКПС и ВСНХ. Означенное представляв на Ваше рассмотрение.</w:t>
      </w:r>
    </w:p>
    <w:p w14:paraId="7D190F8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 Военных Воздушных Сил РККА /Баранов/</w:t>
      </w:r>
    </w:p>
    <w:p w14:paraId="4574EA6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Резолюция К.Е.В.:</w:t>
      </w:r>
    </w:p>
    <w:p w14:paraId="31508AB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Нужно подумать, 4/1-31 г. (10756).</w:t>
      </w:r>
    </w:p>
    <w:p w14:paraId="79E581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ЦДСА. - ф. 4, 1931 г., оп. 1. Дд. 1256, л.12 и 13 /обр/</w:t>
      </w:r>
    </w:p>
    <w:p w14:paraId="749352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2D81ADB" w14:textId="77777777" w:rsidR="006E4804"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478B1335" w14:textId="77777777" w:rsidR="006E4804" w:rsidRPr="005E779E" w:rsidRDefault="006E4804"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D6CB551" w14:textId="77777777" w:rsidR="006E4804" w:rsidRPr="005E779E" w:rsidRDefault="006E480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3 января 1931 г. Постановление Президиума ВСНХ СССР о состоянии Сталинградского тракторного завода (РГАЭ. Ф. 3429. Оп. 1. Д. 5249. Л. 2) (12417).</w:t>
      </w:r>
    </w:p>
    <w:p w14:paraId="0E74AED5" w14:textId="77777777" w:rsidR="006E4804" w:rsidRPr="005E779E" w:rsidRDefault="006E4804" w:rsidP="000B7A6C">
      <w:pPr>
        <w:spacing w:after="0" w:line="240" w:lineRule="auto"/>
        <w:jc w:val="both"/>
        <w:rPr>
          <w:rFonts w:ascii="Times New Roman" w:hAnsi="Times New Roman"/>
          <w:color w:val="000000" w:themeColor="text1"/>
          <w:sz w:val="16"/>
          <w:szCs w:val="16"/>
        </w:rPr>
      </w:pPr>
    </w:p>
    <w:p w14:paraId="2D63E304" w14:textId="77777777" w:rsidR="006E4804" w:rsidRPr="005E779E" w:rsidRDefault="006E4804" w:rsidP="000B7A6C">
      <w:pPr>
        <w:pStyle w:val="rtejustify"/>
        <w:spacing w:before="0" w:after="0"/>
        <w:rPr>
          <w:color w:val="000000" w:themeColor="text1"/>
          <w:sz w:val="16"/>
          <w:szCs w:val="16"/>
        </w:rPr>
      </w:pPr>
      <w:r w:rsidRPr="005E779E">
        <w:rPr>
          <w:rStyle w:val="af0"/>
          <w:i w:val="0"/>
          <w:color w:val="000000" w:themeColor="text1"/>
          <w:sz w:val="16"/>
          <w:szCs w:val="16"/>
        </w:rPr>
        <w:t>3 января 1931 г. Протокол Реввоенсовета № </w:t>
      </w:r>
      <w:r w:rsidRPr="005E779E">
        <w:rPr>
          <w:color w:val="000000" w:themeColor="text1"/>
          <w:sz w:val="16"/>
          <w:szCs w:val="16"/>
        </w:rPr>
        <w:t>1. 1. О ходе подготовки к строительству 1931 г. (Каменев, Зиновьев). 8. б) О переделке линкора «Фрунзе» под плавучую батарею, в) О достройке крейсера «Бутаков». (Муклевич). (РГВА. Ф. 4. Оп. 18. Д. 20. Л. 1, 3) (12342).</w:t>
      </w:r>
    </w:p>
    <w:p w14:paraId="6C08EEC9" w14:textId="77777777" w:rsidR="006E4804" w:rsidRPr="005E779E" w:rsidRDefault="006E4804" w:rsidP="000B7A6C">
      <w:pPr>
        <w:pStyle w:val="rtejustify"/>
        <w:spacing w:before="0" w:after="0"/>
        <w:rPr>
          <w:color w:val="000000" w:themeColor="text1"/>
          <w:sz w:val="16"/>
          <w:szCs w:val="16"/>
        </w:rPr>
      </w:pPr>
    </w:p>
    <w:p w14:paraId="2DBD8929" w14:textId="77777777" w:rsidR="00256002" w:rsidRPr="005E779E" w:rsidRDefault="00256002" w:rsidP="000B7A6C">
      <w:pPr>
        <w:autoSpaceDE w:val="0"/>
        <w:autoSpaceDN w:val="0"/>
        <w:adjustRightInd w:val="0"/>
        <w:spacing w:after="0" w:line="240" w:lineRule="auto"/>
        <w:jc w:val="both"/>
        <w:rPr>
          <w:rFonts w:ascii="Times New Roman" w:hAnsi="Times New Roman"/>
          <w:i/>
          <w:iCs/>
          <w:color w:val="000000" w:themeColor="text1"/>
          <w:sz w:val="16"/>
          <w:szCs w:val="16"/>
        </w:rPr>
      </w:pPr>
      <w:r w:rsidRPr="005E779E">
        <w:rPr>
          <w:rFonts w:ascii="Times New Roman" w:hAnsi="Times New Roman"/>
          <w:i/>
          <w:iCs/>
          <w:color w:val="000000" w:themeColor="text1"/>
          <w:sz w:val="16"/>
          <w:szCs w:val="16"/>
        </w:rPr>
        <w:t>Внешняя политика:</w:t>
      </w:r>
    </w:p>
    <w:p w14:paraId="5B43B259" w14:textId="77777777" w:rsidR="00256002" w:rsidRPr="005E779E" w:rsidRDefault="00256002" w:rsidP="000B7A6C">
      <w:pPr>
        <w:autoSpaceDE w:val="0"/>
        <w:autoSpaceDN w:val="0"/>
        <w:adjustRightInd w:val="0"/>
        <w:spacing w:after="0" w:line="240" w:lineRule="auto"/>
        <w:jc w:val="both"/>
        <w:rPr>
          <w:rFonts w:ascii="Times New Roman" w:hAnsi="Times New Roman"/>
          <w:i/>
          <w:iCs/>
          <w:color w:val="000000" w:themeColor="text1"/>
          <w:sz w:val="16"/>
          <w:szCs w:val="16"/>
        </w:rPr>
      </w:pPr>
    </w:p>
    <w:p w14:paraId="4F1DF2F9" w14:textId="77777777" w:rsidR="00256002" w:rsidRPr="005E779E" w:rsidRDefault="00256002"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3 января 1931 г.</w:t>
      </w:r>
    </w:p>
    <w:p w14:paraId="4AFF10D9" w14:textId="77777777" w:rsidR="00256002" w:rsidRPr="005E779E" w:rsidRDefault="00256002"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Об изменении «позиции» Ж. Бале в пользу «политического и экономического сближения» Франции и СССР. (Выписка из дневника советского Полпредства). 3 января 1931 г.</w:t>
      </w:r>
    </w:p>
    <w:p w14:paraId="36363F3B" w14:textId="77777777" w:rsidR="00256002" w:rsidRPr="005E779E" w:rsidRDefault="00256002"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Источник: </w:t>
      </w:r>
    </w:p>
    <w:p w14:paraId="5A249193" w14:textId="77777777" w:rsidR="00256002" w:rsidRPr="005E779E" w:rsidRDefault="0025600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7F197C2" w14:textId="77777777" w:rsidR="00256002" w:rsidRPr="005E779E" w:rsidRDefault="00256002"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Архив: </w:t>
      </w:r>
    </w:p>
    <w:p w14:paraId="1A57C1C6" w14:textId="77777777" w:rsidR="00256002" w:rsidRPr="005E779E" w:rsidRDefault="0025600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АВП РФ. Ф. 056. On. 16. П. 34. Д. 14. Л. 7</w:t>
      </w:r>
    </w:p>
    <w:p w14:paraId="33B189AB" w14:textId="77777777" w:rsidR="00256002" w:rsidRPr="005E779E" w:rsidRDefault="00256002" w:rsidP="000B7A6C">
      <w:pPr>
        <w:pStyle w:val="rteright"/>
        <w:spacing w:before="0" w:after="0"/>
        <w:jc w:val="both"/>
        <w:rPr>
          <w:color w:val="000000" w:themeColor="text1"/>
          <w:sz w:val="16"/>
          <w:szCs w:val="16"/>
        </w:rPr>
      </w:pPr>
      <w:r w:rsidRPr="005E779E">
        <w:rPr>
          <w:color w:val="000000" w:themeColor="text1"/>
          <w:sz w:val="16"/>
          <w:szCs w:val="16"/>
        </w:rPr>
        <w:t>3 января 1931 г.</w:t>
      </w:r>
    </w:p>
    <w:p w14:paraId="3CFB3C90" w14:textId="77777777" w:rsidR="00256002" w:rsidRPr="005E779E" w:rsidRDefault="00256002" w:rsidP="000B7A6C">
      <w:pPr>
        <w:pStyle w:val="rteright"/>
        <w:spacing w:before="0" w:after="0"/>
        <w:jc w:val="both"/>
        <w:rPr>
          <w:color w:val="000000" w:themeColor="text1"/>
          <w:sz w:val="16"/>
          <w:szCs w:val="16"/>
        </w:rPr>
      </w:pPr>
      <w:r w:rsidRPr="005E779E">
        <w:rPr>
          <w:color w:val="000000" w:themeColor="text1"/>
          <w:sz w:val="16"/>
          <w:szCs w:val="16"/>
        </w:rPr>
        <w:t>Секретно</w:t>
      </w:r>
    </w:p>
    <w:p w14:paraId="0D4F392E" w14:textId="77777777" w:rsidR="00256002" w:rsidRPr="005E779E" w:rsidRDefault="00256002" w:rsidP="000B7A6C">
      <w:pPr>
        <w:pStyle w:val="rtecenter"/>
        <w:spacing w:before="0" w:after="0"/>
        <w:jc w:val="both"/>
        <w:rPr>
          <w:color w:val="000000" w:themeColor="text1"/>
          <w:sz w:val="16"/>
          <w:szCs w:val="16"/>
        </w:rPr>
      </w:pPr>
      <w:r w:rsidRPr="005E779E">
        <w:rPr>
          <w:color w:val="000000" w:themeColor="text1"/>
          <w:sz w:val="16"/>
          <w:szCs w:val="16"/>
        </w:rPr>
        <w:t>Выписка</w:t>
      </w:r>
    </w:p>
    <w:p w14:paraId="33515D86" w14:textId="77777777" w:rsidR="00256002" w:rsidRPr="005E779E" w:rsidRDefault="00256002" w:rsidP="000B7A6C">
      <w:pPr>
        <w:pStyle w:val="rtecenter"/>
        <w:spacing w:before="0" w:after="0"/>
        <w:jc w:val="both"/>
        <w:rPr>
          <w:color w:val="000000" w:themeColor="text1"/>
          <w:sz w:val="16"/>
          <w:szCs w:val="16"/>
        </w:rPr>
      </w:pPr>
      <w:r w:rsidRPr="005E779E">
        <w:rPr>
          <w:color w:val="000000" w:themeColor="text1"/>
          <w:sz w:val="16"/>
          <w:szCs w:val="16"/>
        </w:rPr>
        <w:t>из дневника Полпредства С.С.С.Р. во Франции</w:t>
      </w:r>
    </w:p>
    <w:p w14:paraId="537D9FEA" w14:textId="77777777" w:rsidR="00256002" w:rsidRPr="005E779E" w:rsidRDefault="00256002" w:rsidP="000B7A6C">
      <w:pPr>
        <w:pStyle w:val="rtecenter"/>
        <w:spacing w:before="0" w:after="0"/>
        <w:jc w:val="both"/>
        <w:rPr>
          <w:color w:val="000000" w:themeColor="text1"/>
          <w:sz w:val="16"/>
          <w:szCs w:val="16"/>
        </w:rPr>
      </w:pPr>
      <w:r w:rsidRPr="005E779E">
        <w:rPr>
          <w:color w:val="000000" w:themeColor="text1"/>
          <w:sz w:val="16"/>
          <w:szCs w:val="16"/>
        </w:rPr>
        <w:t>№ 9/С от 3.1.31 г.</w:t>
      </w:r>
    </w:p>
    <w:p w14:paraId="156CC3BB" w14:textId="77777777" w:rsidR="00256002" w:rsidRPr="005E779E" w:rsidRDefault="00256002" w:rsidP="000B7A6C">
      <w:pPr>
        <w:pStyle w:val="rtejustify"/>
        <w:spacing w:before="0" w:after="0"/>
        <w:rPr>
          <w:color w:val="000000" w:themeColor="text1"/>
          <w:sz w:val="16"/>
          <w:szCs w:val="16"/>
        </w:rPr>
      </w:pPr>
      <w:r w:rsidRPr="005E779E">
        <w:rPr>
          <w:color w:val="000000" w:themeColor="text1"/>
          <w:sz w:val="16"/>
          <w:szCs w:val="16"/>
        </w:rPr>
        <w:t>...Ж. БАЛЕ. Бале — сотрудник «Ля Репюблик», «Бюллетень Котидьен» и автор большой статьи о Пятилетке в «Эропеэн» — Вам известен.</w:t>
      </w:r>
    </w:p>
    <w:p w14:paraId="089D89BF" w14:textId="77777777" w:rsidR="00256002" w:rsidRPr="005E779E" w:rsidRDefault="00256002" w:rsidP="000B7A6C">
      <w:pPr>
        <w:pStyle w:val="rtejustify"/>
        <w:spacing w:before="0" w:after="0"/>
        <w:rPr>
          <w:color w:val="000000" w:themeColor="text1"/>
          <w:sz w:val="16"/>
          <w:szCs w:val="16"/>
        </w:rPr>
      </w:pPr>
      <w:r w:rsidRPr="005E779E">
        <w:rPr>
          <w:color w:val="000000" w:themeColor="text1"/>
          <w:sz w:val="16"/>
          <w:szCs w:val="16"/>
        </w:rPr>
        <w:t>Он нам заявил следующее. В течение нескольких последних лет его отношение к С.С.С.Р. было довольно сдержанное, но в настоящее время он в корне изменил свою позицию. Он полагает, что необходимо стремиться к политическому и экономическому сближению Франции и СССР. Знаток России и Востока вообще, он желал бы способствовать этому сближению. Так как в новом министерстве у него есть личные друзья, между прочим, министр Лейг, то он решил добиться отправки его, в качестве официального члена французской миссии, в Москву. Ему очень бы хотелось поехать в СССР в качестве коммерческого агента. С этой целью он обратился уже к Лейгу, который якобы поддерживает его проект, но посоветовал ему поговорить с Брианом и Бертелло. Когда мы обратили его внимание на то, что в Москве существует уже французский коммерческий агент Кифер, замешанный в дело промышленной партии, то Бале заметил, что советское правительство должно было бы потребовать отзыва Кифера. Мы, конечно, не дали ему на это никакого ответа, посоветовав ему по этому вопросу переговорить непосредственно с Кэ д’Орсэ. Бале обещал держать нас в курсе своих переговоров.</w:t>
      </w:r>
    </w:p>
    <w:p w14:paraId="1EBA0954" w14:textId="77777777" w:rsidR="00256002" w:rsidRPr="005E779E" w:rsidRDefault="00256002" w:rsidP="000B7A6C">
      <w:pPr>
        <w:pStyle w:val="ae"/>
        <w:spacing w:before="0" w:after="0"/>
        <w:jc w:val="both"/>
        <w:rPr>
          <w:color w:val="000000" w:themeColor="text1"/>
          <w:sz w:val="16"/>
          <w:szCs w:val="16"/>
        </w:rPr>
      </w:pPr>
      <w:r w:rsidRPr="005E779E">
        <w:rPr>
          <w:rStyle w:val="af0"/>
          <w:i w:val="0"/>
          <w:color w:val="000000" w:themeColor="text1"/>
          <w:sz w:val="16"/>
          <w:szCs w:val="16"/>
        </w:rPr>
        <w:t>АВП РФ. Ф. 056. On. 16. П. 34. Д. 14. Л. 7. Машинописная копия того времени. Вверху слева карандашом написаны исходящий № 27020 и дата «11/1-31 г.». Гриф секретности машинописью. Внизу делопроизводственная помета машинописью (столбцом) «3 экз. 1 — т. Литвинову 1 — т. Крестинскому 1—3[-й] Запади. Отд.» (18825).</w:t>
      </w:r>
    </w:p>
    <w:p w14:paraId="6204A40B" w14:textId="77777777" w:rsidR="00256002" w:rsidRPr="005E779E" w:rsidRDefault="00256002" w:rsidP="000B7A6C">
      <w:pPr>
        <w:spacing w:after="0" w:line="240" w:lineRule="auto"/>
        <w:jc w:val="both"/>
        <w:rPr>
          <w:rFonts w:ascii="Times New Roman" w:hAnsi="Times New Roman"/>
          <w:color w:val="000000" w:themeColor="text1"/>
          <w:sz w:val="16"/>
          <w:szCs w:val="16"/>
        </w:rPr>
      </w:pPr>
    </w:p>
    <w:p w14:paraId="6716339A"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59C69394"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2187F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января 1931 сотни фермеров штурмовали маленький город в Арканзасе требуя пищи (2100).</w:t>
      </w:r>
    </w:p>
    <w:p w14:paraId="70E1A4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B7A4EDE" w14:textId="77777777" w:rsidR="005C4849" w:rsidRPr="005E779E" w:rsidRDefault="005C4849" w:rsidP="000B7A6C">
      <w:pPr>
        <w:autoSpaceDE w:val="0"/>
        <w:autoSpaceDN w:val="0"/>
        <w:adjustRightInd w:val="0"/>
        <w:spacing w:after="0" w:line="240" w:lineRule="auto"/>
        <w:jc w:val="both"/>
        <w:rPr>
          <w:rFonts w:ascii="Times New Roman" w:hAnsi="Times New Roman"/>
          <w:i/>
          <w:iCs/>
          <w:color w:val="000000" w:themeColor="text1"/>
          <w:sz w:val="16"/>
          <w:szCs w:val="16"/>
        </w:rPr>
      </w:pPr>
      <w:r w:rsidRPr="005E779E">
        <w:rPr>
          <w:rFonts w:ascii="Times New Roman" w:hAnsi="Times New Roman"/>
          <w:i/>
          <w:iCs/>
          <w:color w:val="000000" w:themeColor="text1"/>
          <w:sz w:val="16"/>
          <w:szCs w:val="16"/>
        </w:rPr>
        <w:t>Жизнь внутренняя политика:</w:t>
      </w:r>
    </w:p>
    <w:p w14:paraId="3E304A87" w14:textId="77777777" w:rsidR="005C4849" w:rsidRPr="005E779E" w:rsidRDefault="005C4849" w:rsidP="000B7A6C">
      <w:pPr>
        <w:autoSpaceDE w:val="0"/>
        <w:autoSpaceDN w:val="0"/>
        <w:adjustRightInd w:val="0"/>
        <w:spacing w:after="0" w:line="240" w:lineRule="auto"/>
        <w:jc w:val="both"/>
        <w:rPr>
          <w:rFonts w:ascii="Times New Roman" w:hAnsi="Times New Roman"/>
          <w:i/>
          <w:iCs/>
          <w:color w:val="000000" w:themeColor="text1"/>
          <w:sz w:val="16"/>
          <w:szCs w:val="16"/>
        </w:rPr>
      </w:pPr>
    </w:p>
    <w:p w14:paraId="5DA7F9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января 1931 года Торгсин получил всесоюзный статус, а 14 июня открыл двери советским гражданам, которые вначале могли покупать в Торгсине только на царский золотой чекан. Поистине революционный поворот в истории объединения произошел в конце 1931 года, когда правительство разрешило советским гражданам покупать товары в Торгсине в обмен на бытовое золото.</w:t>
      </w:r>
    </w:p>
    <w:p w14:paraId="101BA9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Автором идеи продаж на бытовое золото был директор столичного универмага N1 Ефрем Владимирович Курлянд, который в марте 1931 года обратился с этим предложением к руководству Наркомата внешней торговли. 3 ноября 1931 года Политбюро поручило Наркомвнешторгу СССР организовать в магазинах Торгсина скупку бытового золота в обмен на товары. Специальная комиссия, куда вошли Розенгольц (Наркомвнешторг), Гринько (Наркомфин), Серебровский (Союззолото), Калманович, Дерибас (ОПТУ), должна была определить районы деятельности Торгсина по скупке золотых предметов и методы расчета. В декабре 1931 года универмаг N 1 в Москве с устного разрешения председателя правления Торгсина М. И. Шкляра начал продавать товары советским гражданам в обмен на бытовое золото. 10 декабря 1931 года вышло Постановление СНК СССР "О предоставлении Всесоюзному объединению "Торгсин" права производства операций по покупке драгоценных металлов (золота). Хотя со временем последовали разрешения принимать от населения также и серебро, платину, бриллианты и другие драгоценные камни, именно золото сыграло главную роль в истории Торгсина. Всего за четыре года (1932-1935) люди снесли в него почти 100 тонн чистого золота! (11458).</w:t>
      </w:r>
    </w:p>
    <w:p w14:paraId="1038B8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B0A951C"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10073D20"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0C0A2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января 1931 близ Атлантик-Сити, Нью Джерси, США, состоялся полет самолета, оснащенного 10 небольшими ракетными ускорителями. Пилотировал William Swan (2990).</w:t>
      </w:r>
    </w:p>
    <w:p w14:paraId="7917C9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098A40A"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1AD9CF81"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0FA40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января 1931 г. головная черноморская подводная лодка Революционер вступила в строй, а летом того же года Черноморский флот пополнился Спартаковцем и Якобинцем. Их испытывали государственные комиссии, которые возглавлял Н. И. Кюн (10700).</w:t>
      </w:r>
    </w:p>
    <w:p w14:paraId="0B83E1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D7315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января 1931. у деревни Павшино и на склонах Поклонной горы закончились проводимые по приказу Ворошилова испытания В-26 (так называли английские «шеститонники» в СССР), которые шли с 24 декабря 1930 по. В испытаниях приняли участие три машины — 215/1, 214/2, 216/3. Всесторонним их обследованием занималась «спецкомиссия по новым танкам для РККА» подчиненная лично Ворошилову. Выводы специалистов, под руководством С. Гинзбурга, были довольно сдержанными. Но после демонстрации двух танков В-26 высшее командование Красной Армии впало в такой восторг, что неизменно возникал вопрос об оснащении РККА только этими танками. В англичан верили гораздо сильнее, чем в «своих», а поскольку создателем Mk A, была ведущая танкостроительная фирма мира, этот довод перевешивал все остальные (11809).</w:t>
      </w:r>
    </w:p>
    <w:p w14:paraId="231A59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4F71F73" w14:textId="77777777" w:rsidR="00256002" w:rsidRPr="005E779E" w:rsidRDefault="00256002" w:rsidP="000B7A6C">
      <w:pPr>
        <w:autoSpaceDE w:val="0"/>
        <w:autoSpaceDN w:val="0"/>
        <w:adjustRightInd w:val="0"/>
        <w:spacing w:after="0" w:line="240" w:lineRule="auto"/>
        <w:jc w:val="both"/>
        <w:rPr>
          <w:rFonts w:ascii="Times New Roman" w:hAnsi="Times New Roman"/>
          <w:i/>
          <w:iCs/>
          <w:color w:val="000000" w:themeColor="text1"/>
          <w:sz w:val="16"/>
          <w:szCs w:val="16"/>
        </w:rPr>
      </w:pPr>
      <w:r w:rsidRPr="005E779E">
        <w:rPr>
          <w:rFonts w:ascii="Times New Roman" w:hAnsi="Times New Roman"/>
          <w:i/>
          <w:iCs/>
          <w:color w:val="000000" w:themeColor="text1"/>
          <w:sz w:val="16"/>
          <w:szCs w:val="16"/>
        </w:rPr>
        <w:t>Внешняя политика:</w:t>
      </w:r>
    </w:p>
    <w:p w14:paraId="577E4B47" w14:textId="77777777" w:rsidR="00256002" w:rsidRPr="005E779E" w:rsidRDefault="00256002" w:rsidP="000B7A6C">
      <w:pPr>
        <w:autoSpaceDE w:val="0"/>
        <w:autoSpaceDN w:val="0"/>
        <w:adjustRightInd w:val="0"/>
        <w:spacing w:after="0" w:line="240" w:lineRule="auto"/>
        <w:jc w:val="both"/>
        <w:rPr>
          <w:rFonts w:ascii="Times New Roman" w:hAnsi="Times New Roman"/>
          <w:i/>
          <w:iCs/>
          <w:color w:val="000000" w:themeColor="text1"/>
          <w:sz w:val="16"/>
          <w:szCs w:val="16"/>
        </w:rPr>
      </w:pPr>
    </w:p>
    <w:p w14:paraId="231ACE18" w14:textId="77777777" w:rsidR="00256002" w:rsidRPr="005E779E" w:rsidRDefault="00256002"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5 января 1931 г.</w:t>
      </w:r>
    </w:p>
    <w:p w14:paraId="56612664" w14:textId="77777777" w:rsidR="00256002" w:rsidRPr="005E779E" w:rsidRDefault="00256002"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Письмо Д. Г. Штерна в отдел печати НКИД СССР о публикации «через третье лицо» журнальной статьи о процессе «Промпартии». 5 января 1931 г.</w:t>
      </w:r>
    </w:p>
    <w:p w14:paraId="680AA297" w14:textId="77777777" w:rsidR="00256002" w:rsidRPr="005E779E" w:rsidRDefault="00256002"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Источник: </w:t>
      </w:r>
    </w:p>
    <w:p w14:paraId="7B0C7A01" w14:textId="77777777" w:rsidR="00256002" w:rsidRPr="005E779E" w:rsidRDefault="0025600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8B181EF" w14:textId="77777777" w:rsidR="00256002" w:rsidRPr="005E779E" w:rsidRDefault="00256002" w:rsidP="000B7A6C">
      <w:pPr>
        <w:pStyle w:val="rteright"/>
        <w:spacing w:before="0" w:after="0"/>
        <w:jc w:val="both"/>
        <w:rPr>
          <w:color w:val="000000" w:themeColor="text1"/>
          <w:sz w:val="16"/>
          <w:szCs w:val="16"/>
        </w:rPr>
      </w:pPr>
      <w:r w:rsidRPr="005E779E">
        <w:rPr>
          <w:color w:val="000000" w:themeColor="text1"/>
          <w:sz w:val="16"/>
          <w:szCs w:val="16"/>
        </w:rPr>
        <w:t>5 января 1931 г.</w:t>
      </w:r>
    </w:p>
    <w:p w14:paraId="3CD2742F" w14:textId="77777777" w:rsidR="00256002" w:rsidRPr="005E779E" w:rsidRDefault="00256002" w:rsidP="000B7A6C">
      <w:pPr>
        <w:pStyle w:val="rteright"/>
        <w:spacing w:before="0" w:after="0"/>
        <w:jc w:val="both"/>
        <w:rPr>
          <w:color w:val="000000" w:themeColor="text1"/>
          <w:sz w:val="16"/>
          <w:szCs w:val="16"/>
        </w:rPr>
      </w:pPr>
      <w:r w:rsidRPr="005E779E">
        <w:rPr>
          <w:color w:val="000000" w:themeColor="text1"/>
          <w:sz w:val="16"/>
          <w:szCs w:val="16"/>
        </w:rPr>
        <w:t>Секретно</w:t>
      </w:r>
    </w:p>
    <w:p w14:paraId="70BFF80D" w14:textId="77777777" w:rsidR="00256002" w:rsidRPr="005E779E" w:rsidRDefault="00256002" w:rsidP="000B7A6C">
      <w:pPr>
        <w:pStyle w:val="ae"/>
        <w:spacing w:before="0" w:after="0"/>
        <w:jc w:val="both"/>
        <w:rPr>
          <w:color w:val="000000" w:themeColor="text1"/>
          <w:sz w:val="16"/>
          <w:szCs w:val="16"/>
        </w:rPr>
      </w:pPr>
      <w:r w:rsidRPr="005E779E">
        <w:rPr>
          <w:color w:val="000000" w:themeColor="text1"/>
          <w:sz w:val="16"/>
          <w:szCs w:val="16"/>
        </w:rPr>
        <w:t>ОТДЕЛ ПЕЧАТИ НКИД</w:t>
      </w:r>
    </w:p>
    <w:p w14:paraId="0F9C07C8" w14:textId="77777777" w:rsidR="00256002" w:rsidRPr="005E779E" w:rsidRDefault="00256002" w:rsidP="000B7A6C">
      <w:pPr>
        <w:pStyle w:val="ae"/>
        <w:spacing w:before="0" w:after="0"/>
        <w:jc w:val="both"/>
        <w:rPr>
          <w:color w:val="000000" w:themeColor="text1"/>
          <w:sz w:val="16"/>
          <w:szCs w:val="16"/>
        </w:rPr>
      </w:pPr>
      <w:r w:rsidRPr="005E779E">
        <w:rPr>
          <w:color w:val="000000" w:themeColor="text1"/>
          <w:sz w:val="16"/>
          <w:szCs w:val="16"/>
        </w:rPr>
        <w:t>тов. Аренсу</w:t>
      </w:r>
    </w:p>
    <w:p w14:paraId="6FE33D46" w14:textId="77777777" w:rsidR="00256002" w:rsidRPr="005E779E" w:rsidRDefault="00256002" w:rsidP="000B7A6C">
      <w:pPr>
        <w:pStyle w:val="ae"/>
        <w:spacing w:before="0" w:after="0"/>
        <w:jc w:val="both"/>
        <w:rPr>
          <w:color w:val="000000" w:themeColor="text1"/>
          <w:sz w:val="16"/>
          <w:szCs w:val="16"/>
        </w:rPr>
      </w:pPr>
      <w:r w:rsidRPr="005E779E">
        <w:rPr>
          <w:color w:val="000000" w:themeColor="text1"/>
          <w:sz w:val="16"/>
          <w:szCs w:val="16"/>
        </w:rPr>
        <w:t>Копии: т.т. Литвинову, Крестинскому, Штейну</w:t>
      </w:r>
    </w:p>
    <w:p w14:paraId="7BB29A6A" w14:textId="77777777" w:rsidR="00256002" w:rsidRPr="005E779E" w:rsidRDefault="00256002" w:rsidP="000B7A6C">
      <w:pPr>
        <w:pStyle w:val="ae"/>
        <w:spacing w:before="0" w:after="0"/>
        <w:jc w:val="both"/>
        <w:rPr>
          <w:color w:val="000000" w:themeColor="text1"/>
          <w:sz w:val="16"/>
          <w:szCs w:val="16"/>
        </w:rPr>
      </w:pPr>
      <w:r w:rsidRPr="005E779E">
        <w:rPr>
          <w:color w:val="000000" w:themeColor="text1"/>
          <w:sz w:val="16"/>
          <w:szCs w:val="16"/>
        </w:rPr>
        <w:t>Уважаемый Товарищ,</w:t>
      </w:r>
    </w:p>
    <w:p w14:paraId="0DDADB9B" w14:textId="77777777" w:rsidR="00256002" w:rsidRPr="005E779E" w:rsidRDefault="00256002" w:rsidP="000B7A6C">
      <w:pPr>
        <w:pStyle w:val="rtejustify"/>
        <w:spacing w:before="0" w:after="0"/>
        <w:rPr>
          <w:color w:val="000000" w:themeColor="text1"/>
          <w:sz w:val="16"/>
          <w:szCs w:val="16"/>
        </w:rPr>
      </w:pPr>
      <w:r w:rsidRPr="005E779E">
        <w:rPr>
          <w:color w:val="000000" w:themeColor="text1"/>
          <w:sz w:val="16"/>
          <w:szCs w:val="16"/>
        </w:rPr>
        <w:t xml:space="preserve">Как я в свое время писал, я предпринял ряд шагов о продвижении в некоторые журналы статей, посвященных процессу «промпартии». В настоящий момент один из этих материалов, проведенный при помощи третьего лица, помещен в журнале «Ди дейтче Републик». Статья совершенно категорически устанавливает подготовку интервенции. Указывается, что имел место международный заговор против советского государства, в котором участвовали финансовые и военные круги. Процесс является большой заслугой перед человечеством, т. к. нанес удар военной угрозе. Очень гнусную роль во всем этом сыграли продажные журналистические перья, </w:t>
      </w:r>
      <w:r w:rsidRPr="005E779E">
        <w:rPr>
          <w:color w:val="000000" w:themeColor="text1"/>
          <w:sz w:val="16"/>
          <w:szCs w:val="16"/>
        </w:rPr>
        <w:lastRenderedPageBreak/>
        <w:t>оплачиваемые мировым финансовым капиталом. Помимо этой статьи в том же номере имеется и вторая, озаглавленная [«]ревизия генеральной линии[»]. К ней мы никакого отношения не имеем. В ближайшие дни выяснится судьба статей в органе «Гиршдункеровских профсоюзов» и «Политик унд Гезелынафт».</w:t>
      </w:r>
    </w:p>
    <w:p w14:paraId="20278FF8" w14:textId="77777777" w:rsidR="00256002" w:rsidRPr="005E779E" w:rsidRDefault="00256002" w:rsidP="000B7A6C">
      <w:pPr>
        <w:pStyle w:val="ae"/>
        <w:spacing w:before="0" w:after="0"/>
        <w:jc w:val="both"/>
        <w:rPr>
          <w:color w:val="000000" w:themeColor="text1"/>
          <w:sz w:val="16"/>
          <w:szCs w:val="16"/>
        </w:rPr>
      </w:pPr>
      <w:r w:rsidRPr="005E779E">
        <w:rPr>
          <w:color w:val="000000" w:themeColor="text1"/>
          <w:sz w:val="16"/>
          <w:szCs w:val="16"/>
        </w:rPr>
        <w:t>С товарищеским приветом</w:t>
      </w:r>
    </w:p>
    <w:p w14:paraId="28CADB96" w14:textId="77777777" w:rsidR="00256002" w:rsidRPr="005E779E" w:rsidRDefault="00256002" w:rsidP="000B7A6C">
      <w:pPr>
        <w:pStyle w:val="ae"/>
        <w:spacing w:before="0" w:after="0"/>
        <w:jc w:val="both"/>
        <w:rPr>
          <w:color w:val="000000" w:themeColor="text1"/>
          <w:sz w:val="16"/>
          <w:szCs w:val="16"/>
        </w:rPr>
      </w:pPr>
      <w:r w:rsidRPr="005E779E">
        <w:rPr>
          <w:color w:val="000000" w:themeColor="text1"/>
          <w:sz w:val="16"/>
          <w:szCs w:val="16"/>
        </w:rPr>
        <w:t>Д. Штерн</w:t>
      </w:r>
    </w:p>
    <w:p w14:paraId="0956CFB4" w14:textId="77777777" w:rsidR="00256002" w:rsidRPr="005E779E" w:rsidRDefault="00256002" w:rsidP="000B7A6C">
      <w:pPr>
        <w:pStyle w:val="ae"/>
        <w:spacing w:before="0" w:after="0"/>
        <w:jc w:val="both"/>
        <w:rPr>
          <w:color w:val="000000" w:themeColor="text1"/>
          <w:sz w:val="16"/>
          <w:szCs w:val="16"/>
        </w:rPr>
      </w:pPr>
      <w:r w:rsidRPr="005E779E">
        <w:rPr>
          <w:rStyle w:val="af0"/>
          <w:i w:val="0"/>
          <w:color w:val="000000" w:themeColor="text1"/>
          <w:sz w:val="16"/>
          <w:szCs w:val="16"/>
        </w:rPr>
        <w:t>АВП РФ. Ф. 056. On. 16. П. 33. Д. 8. Л. 22. Машинописный подлинник на бланке Полпредства СССР в Германии, подпись — автограф. Гриф секретности и дата машинописью, исходящий номер «№ 55» от руки в графе бланка. Вверху листа написаны от руки входящий номер и дата получения документа «8/I-31 т.», рукописная помета «архив», подпись-росчерк Миронова (18891).</w:t>
      </w:r>
    </w:p>
    <w:p w14:paraId="626AE76F" w14:textId="77777777" w:rsidR="00256002" w:rsidRPr="005E779E" w:rsidRDefault="00256002" w:rsidP="000B7A6C">
      <w:pPr>
        <w:spacing w:after="0" w:line="240" w:lineRule="auto"/>
        <w:jc w:val="both"/>
        <w:rPr>
          <w:rFonts w:ascii="Times New Roman" w:hAnsi="Times New Roman"/>
          <w:color w:val="000000" w:themeColor="text1"/>
          <w:sz w:val="16"/>
          <w:szCs w:val="16"/>
        </w:rPr>
      </w:pPr>
    </w:p>
    <w:p w14:paraId="7653CC23" w14:textId="77777777" w:rsidR="00221F71" w:rsidRPr="005E779E" w:rsidRDefault="00221F71"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07CB58BF" w14:textId="4CC65817" w:rsidR="00221F71" w:rsidRPr="005E779E" w:rsidRDefault="00221F71"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C92F118" w14:textId="145674B9" w:rsidR="00221F71" w:rsidRPr="005E779E" w:rsidRDefault="00221F7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6 января 1931 года на итоговом заседании комиссии обсуждался и был утвержден Проект постановления для внесения в Политбюро который в целом явился плодом компромисса представленных в ней сил. В вопросе размещения главной базы принимался вариант группы Мехоношина - Поволжье. Разделение дирижаблей на военные и гражданские не предусматривалось, против чего присутствовавший на заседании Ворошилов, по-видимому, не возражал. Переговоры о технической помощи поручалось начать в Германии, Италии и США. Трудно объяснить появление в производственном графике двух цельнометаллических кораблей, постройку которых надлежало закончить к концу пятилетки: это шло вразрез с мнением большинства членов комиссии. Отдельным пунктом устанавливалось распределение бюджетных ассигнований на 1931-1933 годы: соответственно 15, 30 и 55 млн рублей.</w:t>
      </w:r>
    </w:p>
    <w:p w14:paraId="702E5041" w14:textId="6B06B3D4" w:rsidR="00221F71" w:rsidRPr="005E779E" w:rsidRDefault="00221F71"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color w:val="000000" w:themeColor="text1"/>
          <w:sz w:val="16"/>
          <w:szCs w:val="16"/>
          <w:lang w:eastAsia="ru-RU" w:bidi="ru-RU"/>
        </w:rPr>
        <w:t>Политбюро, рассмотрев проект на заседании 15 января, воздержалось от его принятия, хотя бы и с поправками: видимо, что-то в нём принципиально не устраивало партийное руководство, но что именно - неизвестно. Тем не менее выделение 15 млн рублей на 1931 год было подтверждено, а поручение провести «дальнейшую разработку вопроса о дирижаблестроении» дали комиссии в составе Гольцмана, Тухачевского, Баранова, Мартиновича и нескольких новых участников, представлявших различные ведомства. На это отводилось два месяца (23193).</w:t>
      </w:r>
    </w:p>
    <w:p w14:paraId="48179A9A" w14:textId="77777777" w:rsidR="00221F71" w:rsidRPr="005E779E" w:rsidRDefault="00221F71"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A3D6C42" w14:textId="77777777" w:rsidR="006E4804"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616EFF22" w14:textId="77777777" w:rsidR="006E4804" w:rsidRPr="005E779E" w:rsidRDefault="006E4804"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A3EAF6A" w14:textId="77777777" w:rsidR="006E4804" w:rsidRPr="005E779E" w:rsidRDefault="006E480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января 1931 г. на ХПЗ прошло заседание правления завода по утверждению производственной программы танко-тракторостроения в 1931 г., на котором, в частности, было принято решение об изготовлении в минимальный срок (кустарным путем) 4—5 машин, после чего установить законченный тип конструкции Т-24. Первый корпус танка с Ижорского завода на ХПЗ поступил в конце января 1931 г. (акт приемки №1 от 28 января 1931 г.). В заключении по приемке говорилось: «Принимая во внимание, что присланный корпус первый, на котором должны выявиться все неполадки как на ГИЗ-е (Государственный Ижорский завод. — Прим. авт.), так и на ХПЗ, Комиссия считает возможным принять корпус №1 условно, но обратить самое серьезное внимание ГИЗ-а на строжайшее выполнение временных технических условий..." (12303).</w:t>
      </w:r>
    </w:p>
    <w:p w14:paraId="51DC5D35" w14:textId="77777777" w:rsidR="006E4804" w:rsidRPr="005E779E" w:rsidRDefault="006E4804" w:rsidP="000B7A6C">
      <w:pPr>
        <w:spacing w:after="0" w:line="240" w:lineRule="auto"/>
        <w:jc w:val="both"/>
        <w:rPr>
          <w:rFonts w:ascii="Times New Roman" w:hAnsi="Times New Roman"/>
          <w:color w:val="000000" w:themeColor="text1"/>
          <w:sz w:val="16"/>
          <w:szCs w:val="16"/>
        </w:rPr>
      </w:pPr>
    </w:p>
    <w:p w14:paraId="78116E3E" w14:textId="77777777" w:rsidR="009D47CA" w:rsidRPr="00142305" w:rsidRDefault="009D47CA" w:rsidP="009D47C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6 января 1931 г. на ХПЗ прошло заседание правления завода по утверждению производственной программы танко-тракторостроения в 1931 г., на котором, в частности, было принято решение об изготовлении в минимальный срок (кустарным путем) 4—5 машин, после чего установить законченный тип конструкции Т-24 (25479).</w:t>
      </w:r>
    </w:p>
    <w:p w14:paraId="4FBF3E07" w14:textId="77777777" w:rsidR="009D47CA" w:rsidRPr="00142305" w:rsidRDefault="009D47CA" w:rsidP="009D47CA">
      <w:pPr>
        <w:spacing w:after="0" w:line="240" w:lineRule="auto"/>
        <w:jc w:val="both"/>
        <w:rPr>
          <w:rFonts w:ascii="Times New Roman" w:hAnsi="Times New Roman"/>
          <w:color w:val="0070C0"/>
          <w:sz w:val="16"/>
          <w:szCs w:val="16"/>
        </w:rPr>
      </w:pPr>
    </w:p>
    <w:p w14:paraId="0DF0A315" w14:textId="77777777" w:rsidR="00623619" w:rsidRPr="005E779E" w:rsidRDefault="0062361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января 1931 г. на заседании аэросанной подсекции секции зимнего и водномоторного транспорта «Автодора» был заслушан доклад по обследованию производства аэросаней на заводе № 28. Присутствующие постановили организовать испытательный пробег деревянных аэросаней НАТИ постройки завода «Пропеллер» и металлических ЦАГИ выпуска завода им. Марти. Однако, в связи с изменением профиля завода, мероприятие потеряло актуальность – и пробег не состоялся. Правда, в 1933 г. на устроенном «Автодором» в Москве слёте аэросаней и вездеходов присутствовали аэросани НАТИ-IХ(б), которые, согласно сообщениям в прессе, пришли в Москву своим ходом из Чебоксар (18640).</w:t>
      </w:r>
    </w:p>
    <w:p w14:paraId="63AD1486" w14:textId="77777777" w:rsidR="00623619" w:rsidRPr="005E779E" w:rsidRDefault="00623619" w:rsidP="000B7A6C">
      <w:pPr>
        <w:spacing w:after="0" w:line="240" w:lineRule="auto"/>
        <w:jc w:val="both"/>
        <w:rPr>
          <w:rFonts w:ascii="Times New Roman" w:hAnsi="Times New Roman"/>
          <w:color w:val="000000" w:themeColor="text1"/>
          <w:sz w:val="16"/>
          <w:szCs w:val="16"/>
        </w:rPr>
      </w:pPr>
    </w:p>
    <w:p w14:paraId="01F945DB" w14:textId="77777777" w:rsidR="00623619" w:rsidRPr="005E779E" w:rsidRDefault="00623619" w:rsidP="000B7A6C">
      <w:pPr>
        <w:autoSpaceDE w:val="0"/>
        <w:autoSpaceDN w:val="0"/>
        <w:adjustRightInd w:val="0"/>
        <w:spacing w:after="0" w:line="240" w:lineRule="auto"/>
        <w:jc w:val="both"/>
        <w:rPr>
          <w:rFonts w:ascii="Times New Roman" w:hAnsi="Times New Roman"/>
          <w:i/>
          <w:iCs/>
          <w:color w:val="000000" w:themeColor="text1"/>
          <w:sz w:val="16"/>
          <w:szCs w:val="16"/>
        </w:rPr>
      </w:pPr>
      <w:r w:rsidRPr="005E779E">
        <w:rPr>
          <w:rFonts w:ascii="Times New Roman" w:hAnsi="Times New Roman"/>
          <w:i/>
          <w:iCs/>
          <w:color w:val="000000" w:themeColor="text1"/>
          <w:sz w:val="16"/>
          <w:szCs w:val="16"/>
        </w:rPr>
        <w:t>Внешняя политика:</w:t>
      </w:r>
    </w:p>
    <w:p w14:paraId="52F9889F" w14:textId="77777777" w:rsidR="00623619" w:rsidRPr="005E779E" w:rsidRDefault="00623619" w:rsidP="000B7A6C">
      <w:pPr>
        <w:autoSpaceDE w:val="0"/>
        <w:autoSpaceDN w:val="0"/>
        <w:adjustRightInd w:val="0"/>
        <w:spacing w:after="0" w:line="240" w:lineRule="auto"/>
        <w:jc w:val="both"/>
        <w:rPr>
          <w:rFonts w:ascii="Times New Roman" w:hAnsi="Times New Roman"/>
          <w:i/>
          <w:iCs/>
          <w:color w:val="000000" w:themeColor="text1"/>
          <w:sz w:val="16"/>
          <w:szCs w:val="16"/>
        </w:rPr>
      </w:pPr>
    </w:p>
    <w:p w14:paraId="49FB2018" w14:textId="77777777" w:rsidR="00623619" w:rsidRPr="005E779E" w:rsidRDefault="00623619"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6 января 1931 г.</w:t>
      </w:r>
    </w:p>
    <w:p w14:paraId="420B0B84" w14:textId="77777777" w:rsidR="00623619" w:rsidRPr="005E779E" w:rsidRDefault="00623619"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Директивы отдела печати НКИД СССР Д. Г. Штерну по поводу публикации статей и материалов о процессе «Промпартии» в Германии. 6 января 1931 г.</w:t>
      </w:r>
    </w:p>
    <w:p w14:paraId="3CC595C7" w14:textId="77777777" w:rsidR="00623619" w:rsidRPr="005E779E" w:rsidRDefault="00623619"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Источник: </w:t>
      </w:r>
    </w:p>
    <w:p w14:paraId="030FD06F" w14:textId="77777777" w:rsidR="00623619" w:rsidRPr="005E779E" w:rsidRDefault="0062361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0BBDD56" w14:textId="77777777" w:rsidR="00623619" w:rsidRPr="005E779E" w:rsidRDefault="00623619"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Архив: </w:t>
      </w:r>
    </w:p>
    <w:p w14:paraId="1226E9C4" w14:textId="77777777" w:rsidR="00623619" w:rsidRPr="005E779E" w:rsidRDefault="0062361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АВП РФ. Ф. 056. On. 15. П. 33. Д. 8. Л. 30-31</w:t>
      </w:r>
    </w:p>
    <w:p w14:paraId="79E2AD30" w14:textId="77777777" w:rsidR="00623619" w:rsidRPr="005E779E" w:rsidRDefault="00623619" w:rsidP="000B7A6C">
      <w:pPr>
        <w:pStyle w:val="rteright"/>
        <w:spacing w:before="0" w:after="0"/>
        <w:jc w:val="both"/>
        <w:rPr>
          <w:color w:val="000000" w:themeColor="text1"/>
          <w:sz w:val="16"/>
          <w:szCs w:val="16"/>
        </w:rPr>
      </w:pPr>
      <w:r w:rsidRPr="005E779E">
        <w:rPr>
          <w:color w:val="000000" w:themeColor="text1"/>
          <w:sz w:val="16"/>
          <w:szCs w:val="16"/>
        </w:rPr>
        <w:t>6 января 1931 г.</w:t>
      </w:r>
    </w:p>
    <w:p w14:paraId="081AF1FE" w14:textId="77777777" w:rsidR="00623619" w:rsidRPr="005E779E" w:rsidRDefault="00623619" w:rsidP="000B7A6C">
      <w:pPr>
        <w:pStyle w:val="rteright"/>
        <w:spacing w:before="0" w:after="0"/>
        <w:jc w:val="both"/>
        <w:rPr>
          <w:color w:val="000000" w:themeColor="text1"/>
          <w:sz w:val="16"/>
          <w:szCs w:val="16"/>
        </w:rPr>
      </w:pPr>
      <w:r w:rsidRPr="005E779E">
        <w:rPr>
          <w:color w:val="000000" w:themeColor="text1"/>
          <w:sz w:val="16"/>
          <w:szCs w:val="16"/>
        </w:rPr>
        <w:t>Секретно</w:t>
      </w:r>
    </w:p>
    <w:p w14:paraId="0CC251F4" w14:textId="77777777" w:rsidR="00623619" w:rsidRPr="005E779E" w:rsidRDefault="00623619" w:rsidP="000B7A6C">
      <w:pPr>
        <w:pStyle w:val="ae"/>
        <w:spacing w:before="0" w:after="0"/>
        <w:jc w:val="both"/>
        <w:rPr>
          <w:color w:val="000000" w:themeColor="text1"/>
          <w:sz w:val="16"/>
          <w:szCs w:val="16"/>
        </w:rPr>
      </w:pPr>
      <w:r w:rsidRPr="005E779E">
        <w:rPr>
          <w:color w:val="000000" w:themeColor="text1"/>
          <w:sz w:val="16"/>
          <w:szCs w:val="16"/>
        </w:rPr>
        <w:t>Отдел печати Н.К.И.Д.</w:t>
      </w:r>
    </w:p>
    <w:p w14:paraId="15CEA55B" w14:textId="77777777" w:rsidR="00623619" w:rsidRPr="005E779E" w:rsidRDefault="00623619" w:rsidP="000B7A6C">
      <w:pPr>
        <w:pStyle w:val="ae"/>
        <w:spacing w:before="0" w:after="0"/>
        <w:jc w:val="both"/>
        <w:rPr>
          <w:color w:val="000000" w:themeColor="text1"/>
          <w:sz w:val="16"/>
          <w:szCs w:val="16"/>
        </w:rPr>
      </w:pPr>
      <w:r w:rsidRPr="005E779E">
        <w:rPr>
          <w:color w:val="000000" w:themeColor="text1"/>
          <w:sz w:val="16"/>
          <w:szCs w:val="16"/>
        </w:rPr>
        <w:t>6 января 31 г.</w:t>
      </w:r>
    </w:p>
    <w:p w14:paraId="33AA51E0" w14:textId="77777777" w:rsidR="00623619" w:rsidRPr="005E779E" w:rsidRDefault="00623619" w:rsidP="000B7A6C">
      <w:pPr>
        <w:pStyle w:val="ae"/>
        <w:spacing w:before="0" w:after="0"/>
        <w:jc w:val="both"/>
        <w:rPr>
          <w:color w:val="000000" w:themeColor="text1"/>
          <w:sz w:val="16"/>
          <w:szCs w:val="16"/>
        </w:rPr>
      </w:pPr>
      <w:r w:rsidRPr="005E779E">
        <w:rPr>
          <w:color w:val="000000" w:themeColor="text1"/>
          <w:sz w:val="16"/>
          <w:szCs w:val="16"/>
        </w:rPr>
        <w:t>№ 27013</w:t>
      </w:r>
    </w:p>
    <w:p w14:paraId="2813D299" w14:textId="77777777" w:rsidR="00623619" w:rsidRPr="005E779E" w:rsidRDefault="00623619" w:rsidP="000B7A6C">
      <w:pPr>
        <w:pStyle w:val="rtecenter"/>
        <w:spacing w:before="0" w:after="0"/>
        <w:jc w:val="both"/>
        <w:rPr>
          <w:color w:val="000000" w:themeColor="text1"/>
          <w:sz w:val="16"/>
          <w:szCs w:val="16"/>
        </w:rPr>
      </w:pPr>
      <w:r w:rsidRPr="005E779E">
        <w:rPr>
          <w:color w:val="000000" w:themeColor="text1"/>
          <w:sz w:val="16"/>
          <w:szCs w:val="16"/>
        </w:rPr>
        <w:t>Тов. Штерну</w:t>
      </w:r>
    </w:p>
    <w:p w14:paraId="1B82F15B" w14:textId="77777777" w:rsidR="00623619" w:rsidRPr="005E779E" w:rsidRDefault="00623619" w:rsidP="000B7A6C">
      <w:pPr>
        <w:pStyle w:val="rtecenter"/>
        <w:spacing w:before="0" w:after="0"/>
        <w:jc w:val="both"/>
        <w:rPr>
          <w:color w:val="000000" w:themeColor="text1"/>
          <w:sz w:val="16"/>
          <w:szCs w:val="16"/>
        </w:rPr>
      </w:pPr>
      <w:r w:rsidRPr="005E779E">
        <w:rPr>
          <w:color w:val="000000" w:themeColor="text1"/>
          <w:sz w:val="16"/>
          <w:szCs w:val="16"/>
        </w:rPr>
        <w:t>Берлин</w:t>
      </w:r>
    </w:p>
    <w:p w14:paraId="0971E543" w14:textId="4099AB88" w:rsidR="00623619" w:rsidRPr="005E779E" w:rsidRDefault="00623619" w:rsidP="000B7A6C">
      <w:pPr>
        <w:pStyle w:val="rtejustify"/>
        <w:spacing w:before="0" w:after="0"/>
        <w:rPr>
          <w:color w:val="000000" w:themeColor="text1"/>
          <w:sz w:val="16"/>
          <w:szCs w:val="16"/>
        </w:rPr>
      </w:pPr>
      <w:r w:rsidRPr="005E779E">
        <w:rPr>
          <w:color w:val="000000" w:themeColor="text1"/>
          <w:sz w:val="16"/>
          <w:szCs w:val="16"/>
        </w:rPr>
        <w:t>1.</w:t>
      </w:r>
      <w:r w:rsidR="00FE094E">
        <w:rPr>
          <w:color w:val="000000" w:themeColor="text1"/>
          <w:sz w:val="16"/>
          <w:szCs w:val="16"/>
        </w:rPr>
        <w:t xml:space="preserve"> </w:t>
      </w:r>
      <w:r w:rsidRPr="005E779E">
        <w:rPr>
          <w:color w:val="000000" w:themeColor="text1"/>
          <w:sz w:val="16"/>
          <w:szCs w:val="16"/>
        </w:rPr>
        <w:t>При сем прилагается статья тов. Луначарского для Ионаса. Она прилагается одновременно в русском тексте и в немецком переводе, причем, как Вы увидите, при переводе сделаны небольшие сокращения. Если бы Вы считали необходимым из статьи что[-]либо удалить, в особенности, по соображениям места в журнале, то тов. Луначарский и мы с этим заранее согласны. Мы надеемся, что статья Ионасу понравится.</w:t>
      </w:r>
    </w:p>
    <w:p w14:paraId="7174ED77" w14:textId="2280FAB6" w:rsidR="00623619" w:rsidRPr="005E779E" w:rsidRDefault="00623619" w:rsidP="000B7A6C">
      <w:pPr>
        <w:pStyle w:val="rtejustify"/>
        <w:spacing w:before="0" w:after="0"/>
        <w:rPr>
          <w:color w:val="000000" w:themeColor="text1"/>
          <w:sz w:val="16"/>
          <w:szCs w:val="16"/>
        </w:rPr>
      </w:pPr>
      <w:r w:rsidRPr="005E779E">
        <w:rPr>
          <w:color w:val="000000" w:themeColor="text1"/>
          <w:sz w:val="16"/>
          <w:szCs w:val="16"/>
        </w:rPr>
        <w:t>2.</w:t>
      </w:r>
      <w:r w:rsidR="00FE094E">
        <w:rPr>
          <w:color w:val="000000" w:themeColor="text1"/>
          <w:sz w:val="16"/>
          <w:szCs w:val="16"/>
        </w:rPr>
        <w:t xml:space="preserve"> </w:t>
      </w:r>
      <w:r w:rsidRPr="005E779E">
        <w:rPr>
          <w:color w:val="000000" w:themeColor="text1"/>
          <w:sz w:val="16"/>
          <w:szCs w:val="16"/>
        </w:rPr>
        <w:t>С Вайнбергом в свое время здесь велся подробный разговор. Кроме того, мы Вам о нем писали. Здесь несомненно какое[-]то недоразумение. Вайнберг ставит, очевидно, вопрос так: сколько мы хотим истратить. На такой вопрос можно только ответить: ничего, ибо совершенно ясно, что мы хотели бы иметь наименьшие затраты в валюте. Вайнбергу здесь было объяснено, что в зависимости от содержания его брошюры (поэтому от него требовался подробный план) и от издательства мы готовы будем пойти на финансовые жертвы. Поэтому большая просьба прислать нам вполне конкретное предложение, которое должно заключать: 1) Название издательства, 2) Размер брошюры и тираж и 3) Содержание оной. Немедленно после получения от Вас этих указаний с названием суммы, мы Вам дадим свой исчерпывающий ответ. Пока же мы ничего не можем сказать, ибо и по содержанию брошюры[,] и по финансовой стороне Вайнберг Вам не дает никаких конкретных указаний.</w:t>
      </w:r>
    </w:p>
    <w:p w14:paraId="2DC6DBED" w14:textId="415ACB04" w:rsidR="00623619" w:rsidRPr="005E779E" w:rsidRDefault="00623619" w:rsidP="000B7A6C">
      <w:pPr>
        <w:pStyle w:val="rtejustify"/>
        <w:spacing w:before="0" w:after="0"/>
        <w:rPr>
          <w:color w:val="000000" w:themeColor="text1"/>
          <w:sz w:val="16"/>
          <w:szCs w:val="16"/>
        </w:rPr>
      </w:pPr>
      <w:r w:rsidRPr="005E779E">
        <w:rPr>
          <w:color w:val="000000" w:themeColor="text1"/>
          <w:sz w:val="16"/>
          <w:szCs w:val="16"/>
        </w:rPr>
        <w:t>3.</w:t>
      </w:r>
      <w:r w:rsidR="00FE094E">
        <w:rPr>
          <w:color w:val="000000" w:themeColor="text1"/>
          <w:sz w:val="16"/>
          <w:szCs w:val="16"/>
        </w:rPr>
        <w:t xml:space="preserve"> </w:t>
      </w:r>
      <w:r w:rsidRPr="005E779E">
        <w:rPr>
          <w:color w:val="000000" w:themeColor="text1"/>
          <w:sz w:val="16"/>
          <w:szCs w:val="16"/>
        </w:rPr>
        <w:t>Вопрос о помещении &lt;статей&gt; за подписью наших выдающихся хозяйственников в буржуазной печати — вопрос принципиальный и требующий разрешения соответствующих инстанций. Поэтому мы Вам по поводу статей для «Берзен Цейтунг» пока ничего сказать не можем.</w:t>
      </w:r>
    </w:p>
    <w:p w14:paraId="40EFE9F1" w14:textId="398EABEE" w:rsidR="00623619" w:rsidRPr="005E779E" w:rsidRDefault="00623619" w:rsidP="000B7A6C">
      <w:pPr>
        <w:pStyle w:val="rtejustify"/>
        <w:spacing w:before="0" w:after="0"/>
        <w:rPr>
          <w:color w:val="000000" w:themeColor="text1"/>
          <w:sz w:val="16"/>
          <w:szCs w:val="16"/>
        </w:rPr>
      </w:pPr>
      <w:r w:rsidRPr="005E779E">
        <w:rPr>
          <w:color w:val="000000" w:themeColor="text1"/>
          <w:sz w:val="16"/>
          <w:szCs w:val="16"/>
        </w:rPr>
        <w:t>4.</w:t>
      </w:r>
      <w:r w:rsidR="00FE094E">
        <w:rPr>
          <w:color w:val="000000" w:themeColor="text1"/>
          <w:sz w:val="16"/>
          <w:szCs w:val="16"/>
        </w:rPr>
        <w:t xml:space="preserve"> </w:t>
      </w:r>
      <w:r w:rsidRPr="005E779E">
        <w:rPr>
          <w:color w:val="000000" w:themeColor="text1"/>
          <w:sz w:val="16"/>
          <w:szCs w:val="16"/>
        </w:rPr>
        <w:t>Агентство Конти за последнее время стало распространять всякие небылицы про СССР. Так мы судим на основании, например, сообщения Конти из Бухареста. Так как агентство Конти все-таки является детищем Вольфа, то надо этим попыткам найти новое убежище для анти-советской информации в корне положить предел. Однако, ввиду того, что отсюда нам трудно судить о характере анти-советских заметок Конти, ибо мы бюллетеней Конти не получаем, а судим лишь по отрывочным сведениям, то способы воздействия на Вольфа предоставляются всецело Вашему усмотрению.</w:t>
      </w:r>
    </w:p>
    <w:p w14:paraId="4EEE8A08" w14:textId="484EC142" w:rsidR="00623619" w:rsidRPr="005E779E" w:rsidRDefault="00623619" w:rsidP="000B7A6C">
      <w:pPr>
        <w:pStyle w:val="rtejustify"/>
        <w:spacing w:before="0" w:after="0"/>
        <w:rPr>
          <w:color w:val="000000" w:themeColor="text1"/>
          <w:sz w:val="16"/>
          <w:szCs w:val="16"/>
        </w:rPr>
      </w:pPr>
      <w:r w:rsidRPr="005E779E">
        <w:rPr>
          <w:color w:val="000000" w:themeColor="text1"/>
          <w:sz w:val="16"/>
          <w:szCs w:val="16"/>
        </w:rPr>
        <w:t>5.</w:t>
      </w:r>
      <w:r w:rsidR="00FE094E">
        <w:rPr>
          <w:color w:val="000000" w:themeColor="text1"/>
          <w:sz w:val="16"/>
          <w:szCs w:val="16"/>
        </w:rPr>
        <w:t xml:space="preserve"> </w:t>
      </w:r>
      <w:r w:rsidRPr="005E779E">
        <w:rPr>
          <w:color w:val="000000" w:themeColor="text1"/>
          <w:sz w:val="16"/>
          <w:szCs w:val="16"/>
        </w:rPr>
        <w:t>Очень благодарны Вам за Ваше сообщение о Максе Фишере. Кстати, мы здесь «ДАЦ», «Фоссише» и «Франкфуртер» получаем в так называемой «Райхсаусгабэ». Поэтому просьба в случаях, если Вы заметите, что в этих изданиях пропущено что-либо об СССР, имевшееся в ординарных номерах газет, нам об этом сообщать.</w:t>
      </w:r>
    </w:p>
    <w:p w14:paraId="303239B0" w14:textId="77777777" w:rsidR="00623619" w:rsidRPr="005E779E" w:rsidRDefault="00623619" w:rsidP="000B7A6C">
      <w:pPr>
        <w:pStyle w:val="ae"/>
        <w:spacing w:before="0" w:after="0"/>
        <w:jc w:val="both"/>
        <w:rPr>
          <w:color w:val="000000" w:themeColor="text1"/>
          <w:sz w:val="16"/>
          <w:szCs w:val="16"/>
        </w:rPr>
      </w:pPr>
      <w:r w:rsidRPr="005E779E">
        <w:rPr>
          <w:color w:val="000000" w:themeColor="text1"/>
          <w:sz w:val="16"/>
          <w:szCs w:val="16"/>
        </w:rPr>
        <w:t>(Аренс)</w:t>
      </w:r>
    </w:p>
    <w:p w14:paraId="11DBD42E" w14:textId="77777777" w:rsidR="00623619" w:rsidRPr="005E779E" w:rsidRDefault="00623619" w:rsidP="000B7A6C">
      <w:pPr>
        <w:pStyle w:val="ae"/>
        <w:spacing w:before="0" w:after="0"/>
        <w:jc w:val="both"/>
        <w:rPr>
          <w:color w:val="000000" w:themeColor="text1"/>
          <w:sz w:val="16"/>
          <w:szCs w:val="16"/>
        </w:rPr>
      </w:pPr>
      <w:r w:rsidRPr="005E779E">
        <w:rPr>
          <w:color w:val="000000" w:themeColor="text1"/>
          <w:sz w:val="16"/>
          <w:szCs w:val="16"/>
        </w:rPr>
        <w:t>(Миронов)</w:t>
      </w:r>
    </w:p>
    <w:p w14:paraId="3967A7E0" w14:textId="77777777" w:rsidR="00623619" w:rsidRPr="005E779E" w:rsidRDefault="00623619" w:rsidP="000B7A6C">
      <w:pPr>
        <w:pStyle w:val="ae"/>
        <w:spacing w:before="0" w:after="0"/>
        <w:jc w:val="both"/>
        <w:rPr>
          <w:color w:val="000000" w:themeColor="text1"/>
          <w:sz w:val="16"/>
          <w:szCs w:val="16"/>
        </w:rPr>
      </w:pPr>
      <w:r w:rsidRPr="005E779E">
        <w:rPr>
          <w:rStyle w:val="af0"/>
          <w:i w:val="0"/>
          <w:color w:val="000000" w:themeColor="text1"/>
          <w:sz w:val="16"/>
          <w:szCs w:val="16"/>
        </w:rPr>
        <w:t>АВП РФ. Ф. 056. On. 15. П. 33. Д. 8. Л. 30-31. Машинописная копия того времени. Гриф секретности и дата машинописью, исходящий номер от руки. На Л. 31 внизу слева делопроизводственная помета машинописью (столбцом) «4 экз. 1 — т. Штерну 1 — т. Литвинову 1 — т. Крестинскому 1 — в дело» (18892).</w:t>
      </w:r>
    </w:p>
    <w:p w14:paraId="58A01AEF" w14:textId="77777777" w:rsidR="00623619" w:rsidRPr="005E779E" w:rsidRDefault="00623619" w:rsidP="000B7A6C">
      <w:pPr>
        <w:spacing w:after="0" w:line="240" w:lineRule="auto"/>
        <w:jc w:val="both"/>
        <w:rPr>
          <w:rFonts w:ascii="Times New Roman" w:hAnsi="Times New Roman"/>
          <w:color w:val="000000" w:themeColor="text1"/>
          <w:sz w:val="16"/>
          <w:szCs w:val="16"/>
        </w:rPr>
      </w:pPr>
    </w:p>
    <w:p w14:paraId="11362582" w14:textId="77777777" w:rsidR="00623619" w:rsidRPr="005E779E" w:rsidRDefault="00623619"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6 января 1931 г.</w:t>
      </w:r>
    </w:p>
    <w:p w14:paraId="6549A82B" w14:textId="77777777" w:rsidR="00623619" w:rsidRPr="005E779E" w:rsidRDefault="00623619"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Письмо Ж. Л. Аренса В. Н. Баркову о корреспонденциях из Москвы и необходимости конспирации при связи Полпредства СССР в Париже с издателями. 6 января 1931 г.</w:t>
      </w:r>
    </w:p>
    <w:p w14:paraId="55C55F73" w14:textId="77777777" w:rsidR="00623619" w:rsidRPr="005E779E" w:rsidRDefault="00623619"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Источник: </w:t>
      </w:r>
    </w:p>
    <w:p w14:paraId="0FEB92DA" w14:textId="77777777" w:rsidR="00623619" w:rsidRPr="005E779E" w:rsidRDefault="0062361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B6D6107" w14:textId="77777777" w:rsidR="00623619" w:rsidRPr="005E779E" w:rsidRDefault="00623619"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Архив: </w:t>
      </w:r>
    </w:p>
    <w:p w14:paraId="0E302D5A" w14:textId="77777777" w:rsidR="00623619" w:rsidRPr="005E779E" w:rsidRDefault="0062361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АВП РФ. Ф.056. On. 16.П.34.Д. 14. Л. 4-5</w:t>
      </w:r>
    </w:p>
    <w:p w14:paraId="69488712" w14:textId="77777777" w:rsidR="00623619" w:rsidRPr="005E779E" w:rsidRDefault="00623619" w:rsidP="000B7A6C">
      <w:pPr>
        <w:pStyle w:val="rteright"/>
        <w:spacing w:before="0" w:after="0"/>
        <w:jc w:val="both"/>
        <w:rPr>
          <w:color w:val="000000" w:themeColor="text1"/>
          <w:sz w:val="16"/>
          <w:szCs w:val="16"/>
        </w:rPr>
      </w:pPr>
      <w:r w:rsidRPr="005E779E">
        <w:rPr>
          <w:color w:val="000000" w:themeColor="text1"/>
          <w:sz w:val="16"/>
          <w:szCs w:val="16"/>
        </w:rPr>
        <w:t>6 января 1931 г.</w:t>
      </w:r>
    </w:p>
    <w:p w14:paraId="1E72B248" w14:textId="77777777" w:rsidR="00623619" w:rsidRPr="005E779E" w:rsidRDefault="00623619" w:rsidP="000B7A6C">
      <w:pPr>
        <w:pStyle w:val="rteright"/>
        <w:spacing w:before="0" w:after="0"/>
        <w:jc w:val="both"/>
        <w:rPr>
          <w:color w:val="000000" w:themeColor="text1"/>
          <w:sz w:val="16"/>
          <w:szCs w:val="16"/>
        </w:rPr>
      </w:pPr>
      <w:r w:rsidRPr="005E779E">
        <w:rPr>
          <w:color w:val="000000" w:themeColor="text1"/>
          <w:sz w:val="16"/>
          <w:szCs w:val="16"/>
        </w:rPr>
        <w:t>Секретно</w:t>
      </w:r>
    </w:p>
    <w:p w14:paraId="312E277C" w14:textId="77777777" w:rsidR="00623619" w:rsidRPr="005E779E" w:rsidRDefault="00623619" w:rsidP="000B7A6C">
      <w:pPr>
        <w:pStyle w:val="ae"/>
        <w:spacing w:before="0" w:after="0"/>
        <w:jc w:val="both"/>
        <w:rPr>
          <w:color w:val="000000" w:themeColor="text1"/>
          <w:sz w:val="16"/>
          <w:szCs w:val="16"/>
        </w:rPr>
      </w:pPr>
      <w:r w:rsidRPr="005E779E">
        <w:rPr>
          <w:color w:val="000000" w:themeColor="text1"/>
          <w:sz w:val="16"/>
          <w:szCs w:val="16"/>
        </w:rPr>
        <w:t>Отдел Печати Н.К.И.Д.</w:t>
      </w:r>
    </w:p>
    <w:p w14:paraId="52AD83C8" w14:textId="77777777" w:rsidR="00623619" w:rsidRPr="005E779E" w:rsidRDefault="00623619" w:rsidP="000B7A6C">
      <w:pPr>
        <w:pStyle w:val="ae"/>
        <w:spacing w:before="0" w:after="0"/>
        <w:jc w:val="both"/>
        <w:rPr>
          <w:color w:val="000000" w:themeColor="text1"/>
          <w:sz w:val="16"/>
          <w:szCs w:val="16"/>
        </w:rPr>
      </w:pPr>
      <w:r w:rsidRPr="005E779E">
        <w:rPr>
          <w:color w:val="000000" w:themeColor="text1"/>
          <w:sz w:val="16"/>
          <w:szCs w:val="16"/>
        </w:rPr>
        <w:t>6 января 1931 г.</w:t>
      </w:r>
    </w:p>
    <w:p w14:paraId="65A57149" w14:textId="77777777" w:rsidR="00623619" w:rsidRPr="005E779E" w:rsidRDefault="00623619" w:rsidP="000B7A6C">
      <w:pPr>
        <w:pStyle w:val="ae"/>
        <w:spacing w:before="0" w:after="0"/>
        <w:jc w:val="both"/>
        <w:rPr>
          <w:color w:val="000000" w:themeColor="text1"/>
          <w:sz w:val="16"/>
          <w:szCs w:val="16"/>
        </w:rPr>
      </w:pPr>
      <w:r w:rsidRPr="005E779E">
        <w:rPr>
          <w:color w:val="000000" w:themeColor="text1"/>
          <w:sz w:val="16"/>
          <w:szCs w:val="16"/>
        </w:rPr>
        <w:t>№27012</w:t>
      </w:r>
    </w:p>
    <w:p w14:paraId="16F7F15D" w14:textId="77777777" w:rsidR="00623619" w:rsidRPr="005E779E" w:rsidRDefault="00623619" w:rsidP="000B7A6C">
      <w:pPr>
        <w:pStyle w:val="ae"/>
        <w:spacing w:before="0" w:after="0"/>
        <w:jc w:val="both"/>
        <w:rPr>
          <w:color w:val="000000" w:themeColor="text1"/>
          <w:sz w:val="16"/>
          <w:szCs w:val="16"/>
        </w:rPr>
      </w:pPr>
      <w:r w:rsidRPr="005E779E">
        <w:rPr>
          <w:color w:val="000000" w:themeColor="text1"/>
          <w:sz w:val="16"/>
          <w:szCs w:val="16"/>
        </w:rPr>
        <w:t>Тов. Баркову</w:t>
      </w:r>
    </w:p>
    <w:p w14:paraId="40F32938" w14:textId="77777777" w:rsidR="00623619" w:rsidRPr="005E779E" w:rsidRDefault="00623619" w:rsidP="000B7A6C">
      <w:pPr>
        <w:pStyle w:val="ae"/>
        <w:spacing w:before="0" w:after="0"/>
        <w:jc w:val="both"/>
        <w:rPr>
          <w:color w:val="000000" w:themeColor="text1"/>
          <w:sz w:val="16"/>
          <w:szCs w:val="16"/>
        </w:rPr>
      </w:pPr>
      <w:r w:rsidRPr="005E779E">
        <w:rPr>
          <w:color w:val="000000" w:themeColor="text1"/>
          <w:sz w:val="16"/>
          <w:szCs w:val="16"/>
        </w:rPr>
        <w:t>Париж</w:t>
      </w:r>
    </w:p>
    <w:p w14:paraId="4B81182B" w14:textId="3C8A2D31" w:rsidR="00623619" w:rsidRPr="005E779E" w:rsidRDefault="00623619" w:rsidP="000B7A6C">
      <w:pPr>
        <w:pStyle w:val="rtejustify"/>
        <w:spacing w:before="0" w:after="0"/>
        <w:rPr>
          <w:color w:val="000000" w:themeColor="text1"/>
          <w:sz w:val="16"/>
          <w:szCs w:val="16"/>
        </w:rPr>
      </w:pPr>
      <w:r w:rsidRPr="005E779E">
        <w:rPr>
          <w:color w:val="000000" w:themeColor="text1"/>
          <w:sz w:val="16"/>
          <w:szCs w:val="16"/>
        </w:rPr>
        <w:t>1.</w:t>
      </w:r>
      <w:r w:rsidR="00FE094E">
        <w:rPr>
          <w:color w:val="000000" w:themeColor="text1"/>
          <w:sz w:val="16"/>
          <w:szCs w:val="16"/>
        </w:rPr>
        <w:t xml:space="preserve"> </w:t>
      </w:r>
      <w:r w:rsidRPr="005E779E">
        <w:rPr>
          <w:color w:val="000000" w:themeColor="text1"/>
          <w:sz w:val="16"/>
          <w:szCs w:val="16"/>
        </w:rPr>
        <w:t>Мы Вам в свое время писали о том, чтобы Вы поговорили с[о] связанными с нами предприятиями, дабы добиться их согласия на помещение регулярных корреспонденций из Москвы, которые будет составлять Люциани. Несмотря на то, что прошло уже больше месяца, мы до сих пор не имеем от Вас ответа по этому вопросу. Между тем, подобные корреспонденции, писанные в Москве, являются лучшим проводником информации об СССР. Не откажите срочно снестись с соответствующими предприятиями и предложить им хотя [бы] два раза в месяц помещать корреспонденции Люциани, за которые они должны платить ему обычную во Франции ставку за газетные статьи. Так как этот расход не превысит нескольких сот франков в месяц, то я не сомневаюсь, что, при известном нажиме с нашей стороны, соответствующие предприятия согласятся на наше предложение. Корреспондирование в этих предприятиях не исключает, понятно, возможности связать Люциани с другими газетами, указанными в Вашем последнем письме.</w:t>
      </w:r>
    </w:p>
    <w:p w14:paraId="328906C2" w14:textId="0F8026DE" w:rsidR="00623619" w:rsidRPr="005E779E" w:rsidRDefault="00623619" w:rsidP="000B7A6C">
      <w:pPr>
        <w:pStyle w:val="rtejustify"/>
        <w:spacing w:before="0" w:after="0"/>
        <w:rPr>
          <w:color w:val="000000" w:themeColor="text1"/>
          <w:sz w:val="16"/>
          <w:szCs w:val="16"/>
        </w:rPr>
      </w:pPr>
      <w:r w:rsidRPr="005E779E">
        <w:rPr>
          <w:color w:val="000000" w:themeColor="text1"/>
          <w:sz w:val="16"/>
          <w:szCs w:val="16"/>
        </w:rPr>
        <w:t>2.</w:t>
      </w:r>
      <w:r w:rsidR="00FE094E">
        <w:rPr>
          <w:color w:val="000000" w:themeColor="text1"/>
          <w:sz w:val="16"/>
          <w:szCs w:val="16"/>
        </w:rPr>
        <w:t xml:space="preserve"> </w:t>
      </w:r>
      <w:r w:rsidRPr="005E779E">
        <w:rPr>
          <w:color w:val="000000" w:themeColor="text1"/>
          <w:sz w:val="16"/>
          <w:szCs w:val="16"/>
        </w:rPr>
        <w:t xml:space="preserve"> Из ВОКСа нам сообщили, что статьи для «Монд»а давно уже посланы. Неужели редакция их не получила? Кстати, присылайте нам, как это было раньше, несколько экземпляров «Монд»а. Пришлите нам также все статьи, которые появились или появятся во французской прессе о процессе Промпартии.</w:t>
      </w:r>
    </w:p>
    <w:p w14:paraId="4DD511D9" w14:textId="77777777" w:rsidR="00623619" w:rsidRPr="005E779E" w:rsidRDefault="00623619" w:rsidP="000B7A6C">
      <w:pPr>
        <w:pStyle w:val="rtejustify"/>
        <w:spacing w:before="0" w:after="0"/>
        <w:rPr>
          <w:color w:val="000000" w:themeColor="text1"/>
          <w:sz w:val="16"/>
          <w:szCs w:val="16"/>
        </w:rPr>
      </w:pPr>
      <w:r w:rsidRPr="005E779E">
        <w:rPr>
          <w:color w:val="000000" w:themeColor="text1"/>
          <w:sz w:val="16"/>
          <w:szCs w:val="16"/>
        </w:rPr>
        <w:t>3. Ввиду болезни одного из товарищей, с которым необходимо согласовать вопрос об издании стенографических отчетов о процессе, я смогу дать Вам ответ только через несколько дней, который передам по телеграфу. Жду Вашего ответа на мой вопрос о переводе стенограмм на французский язык. Возьмется ли Париж это выполнить и сколько это будет стоить? Не удалось ли Вам выяснить в разговорах с Домиником и Валуа[,] какого характера будут их предисловия и будут ли они в основном приемлемы для нас. От этого зависит до известной степени решение этого вопроса. Если сможете — сообщите ответ по телеграфу.</w:t>
      </w:r>
    </w:p>
    <w:p w14:paraId="021A95B7" w14:textId="77777777" w:rsidR="00623619" w:rsidRPr="005E779E" w:rsidRDefault="00623619" w:rsidP="000B7A6C">
      <w:pPr>
        <w:pStyle w:val="rtejustify"/>
        <w:spacing w:before="0" w:after="0"/>
        <w:rPr>
          <w:color w:val="000000" w:themeColor="text1"/>
          <w:sz w:val="16"/>
          <w:szCs w:val="16"/>
        </w:rPr>
      </w:pPr>
      <w:r w:rsidRPr="005E779E">
        <w:rPr>
          <w:color w:val="000000" w:themeColor="text1"/>
          <w:sz w:val="16"/>
          <w:szCs w:val="16"/>
        </w:rPr>
        <w:t>Во всех переговорах по поводу издания стенограмм процесса необходимо избегать непосредственного контакта Полпредства с издателями. Вы должны поставить дело так, чтобы Полпредству не смогли приписать инициативы в издании этой книги. Поэтому ведите все переговоры через посредников, которые должны выступать в переговорах с издателями. как инициаторы издания стенограмм процесса.</w:t>
      </w:r>
    </w:p>
    <w:p w14:paraId="50EE45D3" w14:textId="77777777" w:rsidR="00623619" w:rsidRPr="005E779E" w:rsidRDefault="00623619" w:rsidP="000B7A6C">
      <w:pPr>
        <w:pStyle w:val="rtejustify"/>
        <w:spacing w:before="0" w:after="0"/>
        <w:rPr>
          <w:color w:val="000000" w:themeColor="text1"/>
          <w:sz w:val="16"/>
          <w:szCs w:val="16"/>
        </w:rPr>
      </w:pPr>
      <w:r w:rsidRPr="005E779E">
        <w:rPr>
          <w:color w:val="000000" w:themeColor="text1"/>
          <w:sz w:val="16"/>
          <w:szCs w:val="16"/>
        </w:rPr>
        <w:t>4. Мы уже указывали Вам, что получаем очень нерегулярно бюллетени Вашего бюро печати. Просьба адресовать их непосредственно нам, так как в противном случае они гуляют по разным отделам и застревают на долгое время.</w:t>
      </w:r>
    </w:p>
    <w:p w14:paraId="5FF9A045" w14:textId="77777777" w:rsidR="00623619" w:rsidRPr="005E779E" w:rsidRDefault="00623619" w:rsidP="000B7A6C">
      <w:pPr>
        <w:pStyle w:val="ae"/>
        <w:spacing w:before="0" w:after="0"/>
        <w:jc w:val="both"/>
        <w:rPr>
          <w:color w:val="000000" w:themeColor="text1"/>
          <w:sz w:val="16"/>
          <w:szCs w:val="16"/>
        </w:rPr>
      </w:pPr>
      <w:r w:rsidRPr="005E779E">
        <w:rPr>
          <w:color w:val="000000" w:themeColor="text1"/>
          <w:sz w:val="16"/>
          <w:szCs w:val="16"/>
        </w:rPr>
        <w:t>(Аренс)</w:t>
      </w:r>
    </w:p>
    <w:p w14:paraId="06866823" w14:textId="77777777" w:rsidR="00623619" w:rsidRPr="005E779E" w:rsidRDefault="00623619" w:rsidP="000B7A6C">
      <w:pPr>
        <w:pStyle w:val="ae"/>
        <w:spacing w:before="0" w:after="0"/>
        <w:jc w:val="both"/>
        <w:rPr>
          <w:color w:val="000000" w:themeColor="text1"/>
          <w:sz w:val="16"/>
          <w:szCs w:val="16"/>
        </w:rPr>
      </w:pPr>
      <w:r w:rsidRPr="005E779E">
        <w:rPr>
          <w:rStyle w:val="af0"/>
          <w:i w:val="0"/>
          <w:color w:val="000000" w:themeColor="text1"/>
          <w:sz w:val="16"/>
          <w:szCs w:val="16"/>
        </w:rPr>
        <w:t>АВП РФ. Ф.056. On. 16.П.34.Д. 14. Л. 4-5. Машинописная копня того времени. Гриф секретности машинописью. Исходящий номер вписан от руки. На Л. 5 внизу слева делопроизводственная помета машинописью (столбцом) «А экз. 1 — тов. Баркову, 1 — тов. Литвинову, 1 — тов. Крестинскому, 1 — в дело» (18826).</w:t>
      </w:r>
    </w:p>
    <w:p w14:paraId="6D55BDDC" w14:textId="77777777" w:rsidR="00623619" w:rsidRPr="005E779E" w:rsidRDefault="00623619" w:rsidP="000B7A6C">
      <w:pPr>
        <w:spacing w:after="0" w:line="240" w:lineRule="auto"/>
        <w:jc w:val="both"/>
        <w:rPr>
          <w:rFonts w:ascii="Times New Roman" w:hAnsi="Times New Roman"/>
          <w:color w:val="000000" w:themeColor="text1"/>
          <w:sz w:val="16"/>
          <w:szCs w:val="16"/>
        </w:rPr>
      </w:pPr>
    </w:p>
    <w:p w14:paraId="3F5907C5" w14:textId="77777777" w:rsidR="0062593B" w:rsidRPr="005E779E" w:rsidRDefault="0062593B"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558BF0C6" w14:textId="77777777" w:rsidR="0062593B" w:rsidRPr="005E779E" w:rsidRDefault="0062593B"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80AED53" w14:textId="77777777" w:rsidR="0062593B" w:rsidRPr="005E779E" w:rsidRDefault="006259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января 1931 итальянский генерал Итало Бальбо возглавляет первый групповой полет через Южную Атлантику . Двенадцать S.55 Savoia-Marchetti летают из Португальской Гвинеи в Бразилию (20804).</w:t>
      </w:r>
    </w:p>
    <w:p w14:paraId="563F7BDE" w14:textId="77777777" w:rsidR="0062593B" w:rsidRPr="005E779E" w:rsidRDefault="0062593B" w:rsidP="000B7A6C">
      <w:pPr>
        <w:spacing w:after="0" w:line="240" w:lineRule="auto"/>
        <w:jc w:val="both"/>
        <w:rPr>
          <w:rFonts w:ascii="Times New Roman" w:hAnsi="Times New Roman"/>
          <w:color w:val="000000" w:themeColor="text1"/>
          <w:sz w:val="16"/>
          <w:szCs w:val="16"/>
        </w:rPr>
      </w:pPr>
    </w:p>
    <w:p w14:paraId="0D619524"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73A32F10"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651605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января 1931 года самолет МИ3-М17 сделал первые заводские полеты (6918).</w:t>
      </w:r>
    </w:p>
    <w:p w14:paraId="0AEAAAD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A82EBA"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3A1579C0"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4EC8E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января 1931 был создан Экспериментальный институт НКТП Гроховского или его прообраз (2166,56).</w:t>
      </w:r>
    </w:p>
    <w:p w14:paraId="6235A0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E50ACA2" w14:textId="77777777" w:rsidR="006E4804"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37FB9B58" w14:textId="77777777" w:rsidR="006E4804" w:rsidRPr="005E779E" w:rsidRDefault="006E4804"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A83464D" w14:textId="77777777" w:rsidR="006E4804" w:rsidRPr="005E779E" w:rsidRDefault="006E4804"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7 января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Протокол заседания Политбюро ЦК ВКП(б) № 22. 6. О ходе работ на Сталинградском тракторном заводе (ПБ от 25 декабря 1930 г., пр. № 21, п. 20). (Политбюро... Т. 2. С. 113) (12416).</w:t>
      </w:r>
    </w:p>
    <w:p w14:paraId="292CCED1" w14:textId="77777777" w:rsidR="006E4804" w:rsidRPr="005E779E" w:rsidRDefault="006E4804" w:rsidP="000B7A6C">
      <w:pPr>
        <w:spacing w:after="0" w:line="240" w:lineRule="auto"/>
        <w:jc w:val="both"/>
        <w:rPr>
          <w:rFonts w:ascii="Times New Roman" w:hAnsi="Times New Roman"/>
          <w:color w:val="000000" w:themeColor="text1"/>
          <w:sz w:val="16"/>
          <w:szCs w:val="16"/>
          <w:u w:color="002060"/>
        </w:rPr>
      </w:pPr>
    </w:p>
    <w:p w14:paraId="3706EF69" w14:textId="77777777" w:rsidR="006E4804" w:rsidRPr="005E779E" w:rsidRDefault="006E4804"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7 января 1931 </w:t>
      </w:r>
      <w:r w:rsidRPr="005E779E">
        <w:rPr>
          <w:rFonts w:ascii="Times New Roman" w:hAnsi="Times New Roman"/>
          <w:color w:val="000000" w:themeColor="text1"/>
          <w:sz w:val="16"/>
          <w:szCs w:val="16"/>
        </w:rPr>
        <w:t>Политбюро ЦК ВКП (б) приняло решение о приступе в 1931 г. к строительству шести заводов синтетического каучука и расширении производства каучука из каучуконосов (12265).</w:t>
      </w:r>
    </w:p>
    <w:p w14:paraId="201B4D90" w14:textId="77777777" w:rsidR="006E4804" w:rsidRPr="005E779E" w:rsidRDefault="006E480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527B4C8D" w14:textId="77777777" w:rsidR="000B4A7D" w:rsidRPr="005E779E" w:rsidRDefault="000B4A7D" w:rsidP="000B7A6C">
      <w:pPr>
        <w:spacing w:after="0" w:line="240" w:lineRule="auto"/>
        <w:jc w:val="both"/>
        <w:rPr>
          <w:rFonts w:ascii="Times New Roman" w:hAnsi="Times New Roman"/>
          <w:iCs/>
          <w:color w:val="000000" w:themeColor="text1"/>
          <w:sz w:val="16"/>
          <w:szCs w:val="16"/>
        </w:rPr>
      </w:pPr>
      <w:r w:rsidRPr="005E779E">
        <w:rPr>
          <w:rFonts w:ascii="Times New Roman" w:hAnsi="Times New Roman"/>
          <w:color w:val="000000" w:themeColor="text1"/>
          <w:sz w:val="16"/>
          <w:szCs w:val="16"/>
        </w:rPr>
        <w:t>7 января 1931 г. Протокол ПБ № 22 п.27А: О производстве синтетического каучука (Павлуновский, Максимов, Микоян; ПБ от 25-12-1930, протокол № 21, п.12-а). Решено: а) 1. Приступить в 1931 г. к строительству шести заводов синтетического каучука по спиртовому методу с годовой производительностью 10.000 тонн каждый. 2. Признать целесообразным организацию треста синтетического каучука для непосредственного руководства проектированием строительства, оборудованием и пуском заводов. 3. Поручить СТО немедленно принять меры к созданию сырьевой базы для заводов синтетического каучука. 4. Все остальные вопросы, связанные с производством синтетического каучука, передать на рассмотрение в советском порядке (15869).</w:t>
      </w:r>
    </w:p>
    <w:p w14:paraId="5F34A2C0" w14:textId="77777777" w:rsidR="000B4A7D" w:rsidRPr="005E779E" w:rsidRDefault="000B4A7D" w:rsidP="000B7A6C">
      <w:pPr>
        <w:spacing w:after="0" w:line="240" w:lineRule="auto"/>
        <w:jc w:val="both"/>
        <w:rPr>
          <w:rFonts w:ascii="Times New Roman" w:hAnsi="Times New Roman"/>
          <w:iCs/>
          <w:color w:val="000000" w:themeColor="text1"/>
          <w:sz w:val="16"/>
          <w:szCs w:val="16"/>
        </w:rPr>
      </w:pPr>
    </w:p>
    <w:p w14:paraId="01547E50" w14:textId="77777777" w:rsidR="007E5934" w:rsidRPr="005E779E" w:rsidRDefault="007E593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shd w:val="clear" w:color="auto" w:fill="FFFFFF"/>
        </w:rPr>
        <w:t>Протокол заседания Политбюро #22, 1931 г.</w:t>
      </w:r>
    </w:p>
    <w:p w14:paraId="217E7F62" w14:textId="77777777" w:rsidR="007E5934" w:rsidRPr="005E779E" w:rsidRDefault="007E593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shd w:val="clear" w:color="auto" w:fill="FFFFFF"/>
        </w:rPr>
        <w:t>Постановление ЦК по натуральному каучуку</w:t>
      </w:r>
    </w:p>
    <w:p w14:paraId="0CE98E8C" w14:textId="77777777" w:rsidR="007E5934" w:rsidRPr="005E779E" w:rsidRDefault="007E593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shd w:val="clear" w:color="auto" w:fill="FFFFFF"/>
        </w:rPr>
        <w:t>1. Год работы с каучуконосами в целях организации промышленности по производству натурального каучука в СССР привел к большим положительным результатам. Установлено, что Советский Союз обладает высокоэффективными каучуконосными растениями, конкурентоспособными с так называемыми мировыми каучуками, что к настоящему времени разработаны и действуют заводские установки по производству натурального каучука и полученный из растений каучук является промышленным каучуком высокого качества. Исходя из этого, ЦК ВКП(б) предлагает ВСНХ СССР на ближайшие годы сосредоточить главное внимание на основных высокоэффективных каучуконосных растениях (тау-сагыз, кендырь, гваюла).</w:t>
      </w:r>
    </w:p>
    <w:p w14:paraId="770E5BD2" w14:textId="77777777" w:rsidR="007E5934" w:rsidRPr="005E779E" w:rsidRDefault="007E593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shd w:val="clear" w:color="auto" w:fill="FFFFFF"/>
        </w:rPr>
        <w:t>2. Расширить производимую в данный момент организацию плантаций по тау-сагызу с тем, чтобы в течение 3-4 лет довести их площади минимум до 60-70 тыс. гектар с выходом сырья в 1935 году для 40-45 тыс. тонн каучука. Обязать трест "Каучуконос" всесторонне и полностью в течение весенних и летних месяцев исследовать заросли тау-сагыза с тем, чтобы к осени 1931 года располагать исчерпывающими данными.</w:t>
      </w:r>
    </w:p>
    <w:p w14:paraId="7CE5905E" w14:textId="77777777" w:rsidR="007E5934" w:rsidRPr="005E779E" w:rsidRDefault="007E593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shd w:val="clear" w:color="auto" w:fill="FFFFFF"/>
        </w:rPr>
        <w:t>3. Организовать производство по добыче каучука из кендыря с полной утилизацией его листьев, что должно привести к производству до 10 000 тонн каучука.</w:t>
      </w:r>
    </w:p>
    <w:p w14:paraId="0DE05F29" w14:textId="77777777" w:rsidR="007E5934" w:rsidRPr="005E779E" w:rsidRDefault="007E593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shd w:val="clear" w:color="auto" w:fill="FFFFFF"/>
        </w:rPr>
        <w:t>4. Создать плантации по гваюле в тот же срок (3-4 года) в пределах 20 000-25 000 гектаров, для чего провести в течение 1931 года все необходимые изыскательные работы, обеспечивающие по климатическим и прочим условиям успешное культивирование гваюлы.</w:t>
      </w:r>
    </w:p>
    <w:p w14:paraId="73AF68DB" w14:textId="77777777" w:rsidR="007E5934" w:rsidRPr="005E779E" w:rsidRDefault="007E593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shd w:val="clear" w:color="auto" w:fill="FFFFFF"/>
        </w:rPr>
        <w:t>5. Форсировать создание плантаций гуттаперчевого дерева с тем, чтобы в течение 5-летнего срока довести количество растений до 200 000 штук...</w:t>
      </w:r>
    </w:p>
    <w:p w14:paraId="2B5685E8" w14:textId="77777777" w:rsidR="007E5934" w:rsidRPr="005E779E" w:rsidRDefault="007E593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shd w:val="clear" w:color="auto" w:fill="FFFFFF"/>
        </w:rPr>
        <w:t>7. Вследствие того, что флора СССР на каучуконосность не изучена, что при ее исследовании возможны новые обнаружения эффективных каучуконосов, признать необходимым проведение в 1931-1932 гг. изучения растительности Союза...</w:t>
      </w:r>
    </w:p>
    <w:p w14:paraId="315BE1EF" w14:textId="77777777" w:rsidR="007E5934" w:rsidRPr="005E779E" w:rsidRDefault="007E593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shd w:val="clear" w:color="auto" w:fill="FFFFFF"/>
        </w:rPr>
        <w:t xml:space="preserve">10. Профсоюзу химиков оказывать всемерное содействие тресту "Каучуконос" по созданию и развитию плантационного и заводского хозяйства и научно-исследовательских работ </w:t>
      </w:r>
      <w:r w:rsidRPr="005E779E">
        <w:rPr>
          <w:rFonts w:ascii="Times New Roman" w:hAnsi="Times New Roman"/>
          <w:color w:val="000000" w:themeColor="text1"/>
          <w:sz w:val="16"/>
          <w:szCs w:val="16"/>
        </w:rPr>
        <w:t>(19549).</w:t>
      </w:r>
    </w:p>
    <w:p w14:paraId="2CF760B2" w14:textId="77777777" w:rsidR="007E5934" w:rsidRPr="005E779E" w:rsidRDefault="007E5934" w:rsidP="000B7A6C">
      <w:pPr>
        <w:spacing w:after="0" w:line="240" w:lineRule="auto"/>
        <w:jc w:val="both"/>
        <w:rPr>
          <w:rFonts w:ascii="Times New Roman" w:hAnsi="Times New Roman"/>
          <w:iCs/>
          <w:color w:val="000000" w:themeColor="text1"/>
          <w:sz w:val="16"/>
          <w:szCs w:val="16"/>
        </w:rPr>
      </w:pPr>
    </w:p>
    <w:p w14:paraId="29456275" w14:textId="77777777" w:rsidR="007317D2" w:rsidRPr="005E779E" w:rsidRDefault="007317D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января 1931</w:t>
      </w:r>
    </w:p>
    <w:p w14:paraId="65DEFB84" w14:textId="77777777" w:rsidR="007317D2" w:rsidRPr="005E779E" w:rsidRDefault="007317D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 27: О производстве каучука</w:t>
      </w:r>
    </w:p>
    <w:p w14:paraId="3663EF10" w14:textId="77777777" w:rsidR="007317D2" w:rsidRPr="005E779E" w:rsidRDefault="007317D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синтетического</w:t>
      </w:r>
    </w:p>
    <w:p w14:paraId="32D7192C" w14:textId="77777777" w:rsidR="007317D2" w:rsidRPr="005E779E" w:rsidRDefault="007317D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(ПБ от 25.ХII.30 г., пр. № 21, п. 12-а).</w:t>
      </w:r>
    </w:p>
    <w:p w14:paraId="00ED7718" w14:textId="77777777" w:rsidR="007317D2" w:rsidRPr="005E779E" w:rsidRDefault="007317D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(Павлуновский, Максимов, Микоян).</w:t>
      </w:r>
    </w:p>
    <w:p w14:paraId="30FE797C" w14:textId="77777777" w:rsidR="007317D2" w:rsidRPr="005E779E" w:rsidRDefault="007317D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растительного</w:t>
      </w:r>
    </w:p>
    <w:p w14:paraId="2D875281" w14:textId="77777777" w:rsidR="007317D2" w:rsidRPr="005E779E" w:rsidRDefault="007317D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(ПБ от 25.ХII.30 г., пр. № 21, п. 12-б).</w:t>
      </w:r>
    </w:p>
    <w:p w14:paraId="3B74F6A4" w14:textId="77777777" w:rsidR="007317D2" w:rsidRPr="005E779E" w:rsidRDefault="007317D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(Ворошилов, Макагон, Яковлев).</w:t>
      </w:r>
    </w:p>
    <w:p w14:paraId="1126D69F" w14:textId="77777777" w:rsidR="007317D2" w:rsidRPr="005E779E" w:rsidRDefault="007317D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1. Приступить в 1931 году к строительству 6</w:t>
      </w:r>
      <w:r w:rsidRPr="005E779E">
        <w:rPr>
          <w:rFonts w:ascii="Times New Roman" w:hAnsi="Times New Roman"/>
          <w:color w:val="000000" w:themeColor="text1"/>
          <w:sz w:val="16"/>
          <w:szCs w:val="16"/>
        </w:rPr>
        <w:noBreakHyphen/>
        <w:t>ти заводов синтетического каучука по спиртовому методу с годовой производительностью 10.000 тонн каждый.</w:t>
      </w:r>
    </w:p>
    <w:p w14:paraId="1A045640" w14:textId="77777777" w:rsidR="007317D2" w:rsidRPr="005E779E" w:rsidRDefault="007317D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2. Признать целесообразным организацию треста синтетического каучука для непосредственного руководства проектированием строительства, оборудованием и пуском заводов.</w:t>
      </w:r>
    </w:p>
    <w:p w14:paraId="336D897A" w14:textId="77777777" w:rsidR="007317D2" w:rsidRPr="005E779E" w:rsidRDefault="007317D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Поручить СТО немедленно принять меры к созданию сырьевой базы для заводов синтетического каучука.</w:t>
      </w:r>
    </w:p>
    <w:p w14:paraId="0C3FD7F4" w14:textId="77777777" w:rsidR="007317D2" w:rsidRPr="005E779E" w:rsidRDefault="007317D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Все остальные вопросы, связанные с производством синтетического каучука, передать на рассмотрение в советском порядке.</w:t>
      </w:r>
    </w:p>
    <w:p w14:paraId="084C5BD3" w14:textId="77777777" w:rsidR="007317D2" w:rsidRPr="005E779E" w:rsidRDefault="007317D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Утвердить представленный комиссией проект постановления по натуральному каучуку (</w:t>
      </w:r>
      <w:hyperlink r:id="rId6" w:history="1">
        <w:r w:rsidRPr="005E779E">
          <w:rPr>
            <w:rStyle w:val="a5"/>
            <w:rFonts w:ascii="Times New Roman" w:hAnsi="Times New Roman"/>
            <w:color w:val="000000" w:themeColor="text1"/>
            <w:sz w:val="16"/>
            <w:szCs w:val="16"/>
          </w:rPr>
          <w:t>см. приложение № 1</w:t>
        </w:r>
      </w:hyperlink>
      <w:r w:rsidRPr="005E779E">
        <w:rPr>
          <w:rFonts w:ascii="Times New Roman" w:hAnsi="Times New Roman"/>
          <w:color w:val="000000" w:themeColor="text1"/>
          <w:sz w:val="16"/>
          <w:szCs w:val="16"/>
        </w:rPr>
        <w:t>).</w:t>
      </w:r>
    </w:p>
    <w:p w14:paraId="746B5942" w14:textId="77777777" w:rsidR="007317D2" w:rsidRPr="005E779E" w:rsidRDefault="007317D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Приложение № 1</w:t>
      </w:r>
    </w:p>
    <w:p w14:paraId="554C2E3D" w14:textId="77777777" w:rsidR="007317D2" w:rsidRPr="005E779E" w:rsidRDefault="007317D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п. 27, пр. ПБ № 22.</w:t>
      </w:r>
    </w:p>
    <w:p w14:paraId="6696BE56" w14:textId="77777777" w:rsidR="007317D2" w:rsidRPr="005E779E" w:rsidRDefault="007317D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Постановление ЦК по натуральному каучуку.</w:t>
      </w:r>
    </w:p>
    <w:p w14:paraId="4010E3D3" w14:textId="77777777" w:rsidR="007317D2" w:rsidRPr="005E779E" w:rsidRDefault="007317D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(Утверждено Политбюро ЦК ВКП(б) 7 января 1931 г.)</w:t>
      </w:r>
    </w:p>
    <w:p w14:paraId="6300F5C9" w14:textId="77777777" w:rsidR="007317D2" w:rsidRPr="005E779E" w:rsidRDefault="007317D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Год работы с каучуконосами в целях организации промышленности по производству натурального каучука в СССР привел к большим положительным результатам. Установлено, что Советский Союз обладает высокоэффективными каучуконосными растениями, конкурентно способными с так называемыми мировыми каучуками, что к настоящему времени разработаны и действуют заводские установки по производству натурального каучука и полученный из растений каучук является промышленным каучуком высокого качества.</w:t>
      </w:r>
    </w:p>
    <w:p w14:paraId="36E1FB95" w14:textId="77777777" w:rsidR="007317D2" w:rsidRPr="005E779E" w:rsidRDefault="007317D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Исходя из этого ЦК ВКП(б) предлагает ВСНХ СССР на ближайшие годы сосредоточить главное внимание на основных высокоэффективных каучуконосных растениях (тау-сагыз, кендырь, гвайюлла).</w:t>
      </w:r>
    </w:p>
    <w:p w14:paraId="167D5B9F" w14:textId="77777777" w:rsidR="007317D2" w:rsidRPr="005E779E" w:rsidRDefault="007317D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Расширить проводимую в данный момент организацию плантаций по тау-сагызу с тем, чтобы в течение 3</w:t>
      </w:r>
      <w:r w:rsidRPr="005E779E">
        <w:rPr>
          <w:rFonts w:ascii="Times New Roman" w:hAnsi="Times New Roman"/>
          <w:color w:val="000000" w:themeColor="text1"/>
          <w:sz w:val="16"/>
          <w:szCs w:val="16"/>
        </w:rPr>
        <w:noBreakHyphen/>
        <w:t>4 лет довести их площади минимум до 60</w:t>
      </w:r>
      <w:r w:rsidRPr="005E779E">
        <w:rPr>
          <w:rFonts w:ascii="Times New Roman" w:hAnsi="Times New Roman"/>
          <w:color w:val="000000" w:themeColor="text1"/>
          <w:sz w:val="16"/>
          <w:szCs w:val="16"/>
        </w:rPr>
        <w:noBreakHyphen/>
        <w:t>70 тыс. гектар с выходом сырья в 1935 году для 40</w:t>
      </w:r>
      <w:r w:rsidRPr="005E779E">
        <w:rPr>
          <w:rFonts w:ascii="Times New Roman" w:hAnsi="Times New Roman"/>
          <w:color w:val="000000" w:themeColor="text1"/>
          <w:sz w:val="16"/>
          <w:szCs w:val="16"/>
        </w:rPr>
        <w:noBreakHyphen/>
        <w:t>45 тыс. тонн каучука.</w:t>
      </w:r>
    </w:p>
    <w:p w14:paraId="6230AA17" w14:textId="77777777" w:rsidR="007317D2" w:rsidRPr="005E779E" w:rsidRDefault="007317D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Обязать трест “Каучуконос” всесторонне и полностью в течение весенних и летних месяцев, исследовать заросли тау-сагыза с тем, чтобы к осени 1931 года располагать исчерпывающими данными.</w:t>
      </w:r>
    </w:p>
    <w:p w14:paraId="7FFA318F" w14:textId="77777777" w:rsidR="007317D2" w:rsidRPr="005E779E" w:rsidRDefault="007317D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Организовать производство по добыче каучука из кендыря с полной утилизацией его листьев, как отходов от производства Новлубтреста, что должно привести к получению, при полном освоении площадей, до 10.000 тонн каучука. НКЗ СССР обеспечить выполнение постановления П.Б. о доведении площадей кендыря в 1933 году до 300.000 гектар с тем, чтобы запроектированные на 1931 г. 40.000 га были бы полностью осуществлены. Поручить СНК обеспечить это мероприятие необходимыми денежными средствами.</w:t>
      </w:r>
    </w:p>
    <w:p w14:paraId="3C4C28CB" w14:textId="77777777" w:rsidR="007317D2" w:rsidRPr="005E779E" w:rsidRDefault="007317D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Создать плантации по гвайюлле в тот же срок (3</w:t>
      </w:r>
      <w:r w:rsidRPr="005E779E">
        <w:rPr>
          <w:rFonts w:ascii="Times New Roman" w:hAnsi="Times New Roman"/>
          <w:color w:val="000000" w:themeColor="text1"/>
          <w:sz w:val="16"/>
          <w:szCs w:val="16"/>
        </w:rPr>
        <w:noBreakHyphen/>
        <w:t>4 года) в пределах 20</w:t>
      </w:r>
      <w:r w:rsidRPr="005E779E">
        <w:rPr>
          <w:rFonts w:ascii="Times New Roman" w:hAnsi="Times New Roman"/>
          <w:color w:val="000000" w:themeColor="text1"/>
          <w:sz w:val="16"/>
          <w:szCs w:val="16"/>
        </w:rPr>
        <w:noBreakHyphen/>
        <w:t>25.000 гектар, для чего провести в течение 1931 года все необходимые изыскательные работы, обеспечивающие по климатическим и прочим условиям успешное культивирование гвайюллы с тем, чтобы в 1931 г. было освоено не менее 1.500 га.</w:t>
      </w:r>
    </w:p>
    <w:p w14:paraId="50C5D8AC" w14:textId="77777777" w:rsidR="007317D2" w:rsidRPr="005E779E" w:rsidRDefault="007317D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Форсировать создание плантаций гуттаперчевого дерева — “эйкомии” с тем, чтобы в течение 5</w:t>
      </w:r>
      <w:r w:rsidRPr="005E779E">
        <w:rPr>
          <w:rFonts w:ascii="Times New Roman" w:hAnsi="Times New Roman"/>
          <w:color w:val="000000" w:themeColor="text1"/>
          <w:sz w:val="16"/>
          <w:szCs w:val="16"/>
        </w:rPr>
        <w:noBreakHyphen/>
        <w:t>летнего срока довести количество растений до 200.000 штук.</w:t>
      </w:r>
    </w:p>
    <w:p w14:paraId="51163206" w14:textId="77777777" w:rsidR="007317D2" w:rsidRPr="005E779E" w:rsidRDefault="007317D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Продолжать научно-исследовательскую и опытную работу по хондрилле и ваточникам, обеспечив полузаводские эксперименты достаточными плантационными площадями. Расширение плантационного хозяйства производить в дальнейшем в зависимости от результатов опытных работ,</w:t>
      </w:r>
    </w:p>
    <w:p w14:paraId="5B89ED77" w14:textId="77777777" w:rsidR="007317D2" w:rsidRPr="005E779E" w:rsidRDefault="007317D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Вследствие того, что флора СССР на каучуконосность не изучена, что при ее исследовании возможны новые обнаружения эффективных каучуконосов, признать необходимым проведение в 1931</w:t>
      </w:r>
      <w:r w:rsidRPr="005E779E">
        <w:rPr>
          <w:rFonts w:ascii="Times New Roman" w:hAnsi="Times New Roman"/>
          <w:color w:val="000000" w:themeColor="text1"/>
          <w:sz w:val="16"/>
          <w:szCs w:val="16"/>
        </w:rPr>
        <w:noBreakHyphen/>
        <w:t>1932 г.г. пересмотра растительности Союза. Для руководства этой работой создать комиссию в составе т.т. Манцева, Макагон и Вавилова (академик).</w:t>
      </w:r>
    </w:p>
    <w:p w14:paraId="5567CD8A" w14:textId="77777777" w:rsidR="007317D2" w:rsidRPr="005E779E" w:rsidRDefault="007317D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Не позже 1</w:t>
      </w:r>
      <w:r w:rsidRPr="005E779E">
        <w:rPr>
          <w:rFonts w:ascii="Times New Roman" w:hAnsi="Times New Roman"/>
          <w:color w:val="000000" w:themeColor="text1"/>
          <w:sz w:val="16"/>
          <w:szCs w:val="16"/>
        </w:rPr>
        <w:noBreakHyphen/>
        <w:t>го августа 1931 года заслушать на ПБ доклад о ходе выполнения принятых решений.</w:t>
      </w:r>
    </w:p>
    <w:p w14:paraId="0A4502C6" w14:textId="77777777" w:rsidR="007317D2" w:rsidRPr="005E779E" w:rsidRDefault="007317D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Одновременно с развитием плантаций обязать Трест “Каучуконос” максимального без ущерба для каучукпромхозов, развить деятельность по производству каучука с тем, чтобы в 1931 г. располагать сырьем для получения 2,5 тыс. тонн каучука и в 1932 г. — 5 тыс. тонн.</w:t>
      </w:r>
    </w:p>
    <w:p w14:paraId="14881F07" w14:textId="77777777" w:rsidR="007317D2" w:rsidRPr="005E779E" w:rsidRDefault="007317D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Профсоюзу химиков оказывать всемерное содействие тресту “Каучуконос” по созданию и развитию плантационного и заводского хозяйства и научно-исследовательских работ (18322).</w:t>
      </w:r>
    </w:p>
    <w:p w14:paraId="451B12C1" w14:textId="77777777" w:rsidR="007317D2" w:rsidRPr="005E779E" w:rsidRDefault="007317D2" w:rsidP="000B7A6C">
      <w:pPr>
        <w:spacing w:after="0" w:line="240" w:lineRule="auto"/>
        <w:jc w:val="both"/>
        <w:rPr>
          <w:rFonts w:ascii="Times New Roman" w:hAnsi="Times New Roman"/>
          <w:color w:val="000000" w:themeColor="text1"/>
          <w:sz w:val="16"/>
          <w:szCs w:val="16"/>
        </w:rPr>
      </w:pPr>
    </w:p>
    <w:p w14:paraId="3DC36D12" w14:textId="77777777" w:rsidR="0062593B" w:rsidRPr="005E779E" w:rsidRDefault="0062593B"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0D3C229C" w14:textId="77777777" w:rsidR="0062593B" w:rsidRPr="005E779E" w:rsidRDefault="0062593B"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D18B103" w14:textId="77777777" w:rsidR="0062593B" w:rsidRPr="005E779E" w:rsidRDefault="006259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января 1931 Гай Мензис совершает первый самостоятельный беспосадочный перелет через Тасман (из Австралии в Новую Зеландию ) за 11 часов 45 минут, совершив аварийную посадку на своем Avro Sports Avian на западном побережье Новой Зеландии (20804).</w:t>
      </w:r>
    </w:p>
    <w:p w14:paraId="374BC7B6" w14:textId="77777777" w:rsidR="0062593B" w:rsidRPr="005E779E" w:rsidRDefault="0062593B" w:rsidP="000B7A6C">
      <w:pPr>
        <w:spacing w:after="0" w:line="240" w:lineRule="auto"/>
        <w:jc w:val="both"/>
        <w:rPr>
          <w:rFonts w:ascii="Times New Roman" w:hAnsi="Times New Roman"/>
          <w:color w:val="000000" w:themeColor="text1"/>
          <w:sz w:val="16"/>
          <w:szCs w:val="16"/>
        </w:rPr>
      </w:pPr>
    </w:p>
    <w:p w14:paraId="3AAB4D55"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58C279D6"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7C8FD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8/11 января 1931 года помощник начальника 1 управления Хрипин писал письмо N У1/20с начальнику ВВС Черного моря.</w:t>
      </w:r>
    </w:p>
    <w:p w14:paraId="34A974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 1931 года в Севастополь поступят на государственные испытания нижеследующие опытные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925"/>
        <w:gridCol w:w="925"/>
        <w:gridCol w:w="925"/>
        <w:gridCol w:w="1336"/>
        <w:gridCol w:w="848"/>
        <w:gridCol w:w="3689"/>
      </w:tblGrid>
      <w:tr w:rsidR="00EA061A" w:rsidRPr="005E779E" w14:paraId="198A5F84" w14:textId="77777777">
        <w:tc>
          <w:tcPr>
            <w:tcW w:w="1951" w:type="dxa"/>
          </w:tcPr>
          <w:p w14:paraId="63DE4E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w:t>
            </w:r>
          </w:p>
        </w:tc>
        <w:tc>
          <w:tcPr>
            <w:tcW w:w="925" w:type="dxa"/>
          </w:tcPr>
          <w:p w14:paraId="628904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габариты в метрах</w:t>
            </w:r>
          </w:p>
        </w:tc>
        <w:tc>
          <w:tcPr>
            <w:tcW w:w="925" w:type="dxa"/>
          </w:tcPr>
          <w:p w14:paraId="3D71D1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528564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336" w:type="dxa"/>
          </w:tcPr>
          <w:p w14:paraId="625E81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Прибытие в</w:t>
            </w:r>
          </w:p>
        </w:tc>
        <w:tc>
          <w:tcPr>
            <w:tcW w:w="848" w:type="dxa"/>
          </w:tcPr>
          <w:p w14:paraId="5EAC4A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Приблизительн.</w:t>
            </w:r>
          </w:p>
        </w:tc>
        <w:tc>
          <w:tcPr>
            <w:tcW w:w="3689" w:type="dxa"/>
          </w:tcPr>
          <w:p w14:paraId="12A686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Кол-во</w:t>
            </w:r>
          </w:p>
        </w:tc>
      </w:tr>
      <w:tr w:rsidR="00EA061A" w:rsidRPr="005E779E" w14:paraId="62CD2469" w14:textId="77777777">
        <w:tc>
          <w:tcPr>
            <w:tcW w:w="1951" w:type="dxa"/>
          </w:tcPr>
          <w:p w14:paraId="6C7F00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самолетов</w:t>
            </w:r>
          </w:p>
        </w:tc>
        <w:tc>
          <w:tcPr>
            <w:tcW w:w="925" w:type="dxa"/>
          </w:tcPr>
          <w:p w14:paraId="5F3B70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размах</w:t>
            </w:r>
          </w:p>
        </w:tc>
        <w:tc>
          <w:tcPr>
            <w:tcW w:w="925" w:type="dxa"/>
          </w:tcPr>
          <w:p w14:paraId="0653DE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длина</w:t>
            </w:r>
          </w:p>
        </w:tc>
        <w:tc>
          <w:tcPr>
            <w:tcW w:w="925" w:type="dxa"/>
          </w:tcPr>
          <w:p w14:paraId="5A8ED8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высота</w:t>
            </w:r>
          </w:p>
        </w:tc>
        <w:tc>
          <w:tcPr>
            <w:tcW w:w="1336" w:type="dxa"/>
          </w:tcPr>
          <w:p w14:paraId="351BBA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Севастополь</w:t>
            </w:r>
          </w:p>
        </w:tc>
        <w:tc>
          <w:tcPr>
            <w:tcW w:w="848" w:type="dxa"/>
          </w:tcPr>
          <w:p w14:paraId="03D321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срок окончан.</w:t>
            </w:r>
          </w:p>
        </w:tc>
        <w:tc>
          <w:tcPr>
            <w:tcW w:w="3689" w:type="dxa"/>
          </w:tcPr>
          <w:p w14:paraId="55C0DC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полетн.</w:t>
            </w:r>
          </w:p>
        </w:tc>
      </w:tr>
      <w:tr w:rsidR="00EA061A" w:rsidRPr="005E779E" w14:paraId="340FD58D" w14:textId="77777777">
        <w:tc>
          <w:tcPr>
            <w:tcW w:w="1951" w:type="dxa"/>
          </w:tcPr>
          <w:p w14:paraId="72FAC8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19F285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07ECA6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1CCBE0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336" w:type="dxa"/>
          </w:tcPr>
          <w:p w14:paraId="547666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Pr>
          <w:p w14:paraId="5D4F8A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689" w:type="dxa"/>
          </w:tcPr>
          <w:p w14:paraId="4F9221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часов на</w:t>
            </w:r>
          </w:p>
        </w:tc>
      </w:tr>
      <w:tr w:rsidR="00EA061A" w:rsidRPr="005E779E" w14:paraId="45C00351" w14:textId="77777777">
        <w:tc>
          <w:tcPr>
            <w:tcW w:w="1951" w:type="dxa"/>
          </w:tcPr>
          <w:p w14:paraId="5E8055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7C4A6F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4EA9C3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61C614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336" w:type="dxa"/>
          </w:tcPr>
          <w:p w14:paraId="071DB2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Pr>
          <w:p w14:paraId="1966C8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689" w:type="dxa"/>
          </w:tcPr>
          <w:p w14:paraId="1726C7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w:t>
            </w:r>
          </w:p>
        </w:tc>
      </w:tr>
      <w:tr w:rsidR="00EA061A" w:rsidRPr="005E779E" w14:paraId="396728F7" w14:textId="77777777">
        <w:tc>
          <w:tcPr>
            <w:tcW w:w="1951" w:type="dxa"/>
          </w:tcPr>
          <w:p w14:paraId="724C0C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МДР-2 с 2 БМВ-6</w:t>
            </w:r>
          </w:p>
        </w:tc>
        <w:tc>
          <w:tcPr>
            <w:tcW w:w="925" w:type="dxa"/>
          </w:tcPr>
          <w:p w14:paraId="6A8473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27,7</w:t>
            </w:r>
          </w:p>
        </w:tc>
        <w:tc>
          <w:tcPr>
            <w:tcW w:w="925" w:type="dxa"/>
          </w:tcPr>
          <w:p w14:paraId="76613B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w:t>
            </w:r>
          </w:p>
        </w:tc>
        <w:tc>
          <w:tcPr>
            <w:tcW w:w="925" w:type="dxa"/>
          </w:tcPr>
          <w:p w14:paraId="0B40BB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5.5</w:t>
            </w:r>
          </w:p>
        </w:tc>
        <w:tc>
          <w:tcPr>
            <w:tcW w:w="1336" w:type="dxa"/>
          </w:tcPr>
          <w:p w14:paraId="4D664A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января 31 г.</w:t>
            </w:r>
          </w:p>
        </w:tc>
        <w:tc>
          <w:tcPr>
            <w:tcW w:w="848" w:type="dxa"/>
          </w:tcPr>
          <w:p w14:paraId="683F86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марта</w:t>
            </w:r>
          </w:p>
        </w:tc>
        <w:tc>
          <w:tcPr>
            <w:tcW w:w="3689" w:type="dxa"/>
          </w:tcPr>
          <w:p w14:paraId="682A4A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50-60</w:t>
            </w:r>
          </w:p>
        </w:tc>
      </w:tr>
      <w:tr w:rsidR="00EA061A" w:rsidRPr="005E779E" w14:paraId="7B3562D3" w14:textId="77777777">
        <w:tc>
          <w:tcPr>
            <w:tcW w:w="1951" w:type="dxa"/>
          </w:tcPr>
          <w:p w14:paraId="459B62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МТБ-1 с 2 БМВ-6</w:t>
            </w:r>
          </w:p>
        </w:tc>
        <w:tc>
          <w:tcPr>
            <w:tcW w:w="925" w:type="dxa"/>
          </w:tcPr>
          <w:p w14:paraId="752168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32,4</w:t>
            </w:r>
          </w:p>
        </w:tc>
        <w:tc>
          <w:tcPr>
            <w:tcW w:w="925" w:type="dxa"/>
          </w:tcPr>
          <w:p w14:paraId="1DC18A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w:t>
            </w:r>
          </w:p>
        </w:tc>
        <w:tc>
          <w:tcPr>
            <w:tcW w:w="925" w:type="dxa"/>
          </w:tcPr>
          <w:p w14:paraId="24F9BF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6,4</w:t>
            </w:r>
          </w:p>
        </w:tc>
        <w:tc>
          <w:tcPr>
            <w:tcW w:w="1336" w:type="dxa"/>
          </w:tcPr>
          <w:p w14:paraId="1C3132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января 31 г.</w:t>
            </w:r>
          </w:p>
        </w:tc>
        <w:tc>
          <w:tcPr>
            <w:tcW w:w="848" w:type="dxa"/>
          </w:tcPr>
          <w:p w14:paraId="26582A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марта</w:t>
            </w:r>
          </w:p>
        </w:tc>
        <w:tc>
          <w:tcPr>
            <w:tcW w:w="3689" w:type="dxa"/>
          </w:tcPr>
          <w:p w14:paraId="1F6EDD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45-50</w:t>
            </w:r>
          </w:p>
        </w:tc>
      </w:tr>
      <w:tr w:rsidR="00EA061A" w:rsidRPr="005E779E" w14:paraId="3B599E16" w14:textId="77777777">
        <w:tc>
          <w:tcPr>
            <w:tcW w:w="1951" w:type="dxa"/>
          </w:tcPr>
          <w:p w14:paraId="4A1D30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МТБ-1 на поплавках</w:t>
            </w:r>
          </w:p>
        </w:tc>
        <w:tc>
          <w:tcPr>
            <w:tcW w:w="925" w:type="dxa"/>
          </w:tcPr>
          <w:p w14:paraId="5CD06A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42834E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426368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336" w:type="dxa"/>
          </w:tcPr>
          <w:p w14:paraId="7AAF17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Pr>
          <w:p w14:paraId="2A145D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689" w:type="dxa"/>
          </w:tcPr>
          <w:p w14:paraId="6A5433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EA061A" w:rsidRPr="005E779E" w14:paraId="18DF0D0A" w14:textId="77777777">
        <w:tc>
          <w:tcPr>
            <w:tcW w:w="1951" w:type="dxa"/>
          </w:tcPr>
          <w:p w14:paraId="78127D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2 БМВ-6</w:t>
            </w:r>
          </w:p>
        </w:tc>
        <w:tc>
          <w:tcPr>
            <w:tcW w:w="925" w:type="dxa"/>
          </w:tcPr>
          <w:p w14:paraId="785D95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28,7</w:t>
            </w:r>
          </w:p>
        </w:tc>
        <w:tc>
          <w:tcPr>
            <w:tcW w:w="925" w:type="dxa"/>
          </w:tcPr>
          <w:p w14:paraId="392F59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w:t>
            </w:r>
          </w:p>
        </w:tc>
        <w:tc>
          <w:tcPr>
            <w:tcW w:w="925" w:type="dxa"/>
          </w:tcPr>
          <w:p w14:paraId="688297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6,8</w:t>
            </w:r>
          </w:p>
        </w:tc>
        <w:tc>
          <w:tcPr>
            <w:tcW w:w="1336" w:type="dxa"/>
          </w:tcPr>
          <w:p w14:paraId="74FAD4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февраля 31 г.</w:t>
            </w:r>
          </w:p>
        </w:tc>
        <w:tc>
          <w:tcPr>
            <w:tcW w:w="848" w:type="dxa"/>
          </w:tcPr>
          <w:p w14:paraId="55C58B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апреля</w:t>
            </w:r>
          </w:p>
        </w:tc>
        <w:tc>
          <w:tcPr>
            <w:tcW w:w="3689" w:type="dxa"/>
          </w:tcPr>
          <w:p w14:paraId="167B72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35-40</w:t>
            </w:r>
          </w:p>
        </w:tc>
      </w:tr>
      <w:tr w:rsidR="00EA061A" w:rsidRPr="005E779E" w14:paraId="3C57C989" w14:textId="77777777">
        <w:tc>
          <w:tcPr>
            <w:tcW w:w="1951" w:type="dxa"/>
          </w:tcPr>
          <w:p w14:paraId="4003F5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w:t>
            </w:r>
          </w:p>
        </w:tc>
        <w:tc>
          <w:tcPr>
            <w:tcW w:w="925" w:type="dxa"/>
          </w:tcPr>
          <w:p w14:paraId="72EA2F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1D38E5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2AC191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336" w:type="dxa"/>
          </w:tcPr>
          <w:p w14:paraId="5EF287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Pr>
          <w:p w14:paraId="1938ED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689" w:type="dxa"/>
          </w:tcPr>
          <w:p w14:paraId="37F13A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130-150</w:t>
            </w:r>
          </w:p>
        </w:tc>
      </w:tr>
    </w:tbl>
    <w:p w14:paraId="0EDB73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Испытания будет проводить 2-й отдел НИИ. (2979,2).</w:t>
      </w:r>
    </w:p>
    <w:p w14:paraId="13F909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3EC8001"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32F7908A"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E70C0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января 1931 на Поклонной горе руководство РККА знакомилось с зарубежными образцами боевой и транспортной техники, среди которых быор по крайней мере два мотоцикла повышенной проходимости Триумф-бездорожье и Мотоциклет-вездеход (7690,17).</w:t>
      </w:r>
    </w:p>
    <w:p w14:paraId="2690C5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B03A8D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января 1931 г. на небольшом подмосковном полигоне возле Поклонной горы было от</w:t>
      </w:r>
      <w:r w:rsidRPr="005E779E">
        <w:rPr>
          <w:rFonts w:ascii="Times New Roman" w:hAnsi="Times New Roman"/>
          <w:color w:val="000000" w:themeColor="text1"/>
          <w:sz w:val="16"/>
          <w:szCs w:val="16"/>
        </w:rPr>
        <w:softHyphen/>
        <w:t>мечено небывалое скопление представителей высшего ко</w:t>
      </w:r>
      <w:r w:rsidRPr="005E779E">
        <w:rPr>
          <w:rFonts w:ascii="Times New Roman" w:hAnsi="Times New Roman"/>
          <w:color w:val="000000" w:themeColor="text1"/>
          <w:sz w:val="16"/>
          <w:szCs w:val="16"/>
        </w:rPr>
        <w:softHyphen/>
        <w:t>мандования РККА и МВО. По личному при</w:t>
      </w:r>
      <w:r w:rsidRPr="005E779E">
        <w:rPr>
          <w:rFonts w:ascii="Times New Roman" w:hAnsi="Times New Roman"/>
          <w:color w:val="000000" w:themeColor="text1"/>
          <w:sz w:val="16"/>
          <w:szCs w:val="16"/>
        </w:rPr>
        <w:softHyphen/>
        <w:t>глашению наркома К. Ворошилова они прибыли сюда для ознакомления с привезенными из-за рубежа в 1930 г. образ</w:t>
      </w:r>
      <w:r w:rsidRPr="005E779E">
        <w:rPr>
          <w:rFonts w:ascii="Times New Roman" w:hAnsi="Times New Roman"/>
          <w:color w:val="000000" w:themeColor="text1"/>
          <w:sz w:val="16"/>
          <w:szCs w:val="16"/>
        </w:rPr>
        <w:softHyphen/>
        <w:t>цами перспективной боевой техники, доставленной усили</w:t>
      </w:r>
      <w:r w:rsidRPr="005E779E">
        <w:rPr>
          <w:rFonts w:ascii="Times New Roman" w:hAnsi="Times New Roman"/>
          <w:color w:val="000000" w:themeColor="text1"/>
          <w:sz w:val="16"/>
          <w:szCs w:val="16"/>
        </w:rPr>
        <w:softHyphen/>
        <w:t>ями «закупочной комиссии».</w:t>
      </w:r>
    </w:p>
    <w:p w14:paraId="76704B9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Вниманию прибывших предлагались:</w:t>
      </w:r>
    </w:p>
    <w:p w14:paraId="4D10CEC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«Шестиколесные автомобили разных производителей — 8 шт.;</w:t>
      </w:r>
    </w:p>
    <w:p w14:paraId="18D86F0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Нормальные автомобили — 2 шт.;</w:t>
      </w:r>
    </w:p>
    <w:p w14:paraId="4226FEE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Специальный автомобиль «Ситроен» — 1 шт.;</w:t>
      </w:r>
    </w:p>
    <w:p w14:paraId="6D0DF50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Мотоциклы — 3 шт.;</w:t>
      </w:r>
    </w:p>
    <w:p w14:paraId="4B7EEDB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6-тонный танки — 2 шт.;</w:t>
      </w:r>
    </w:p>
    <w:p w14:paraId="5F72078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12-тонный танк — 1 шт.;</w:t>
      </w:r>
    </w:p>
    <w:p w14:paraId="3496B60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Тракторы — 3 шт.;</w:t>
      </w:r>
    </w:p>
    <w:p w14:paraId="14D2266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Забронированная легковая машина «Форд» — 1 шт.</w:t>
      </w:r>
    </w:p>
    <w:p w14:paraId="5D17FA8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 — 21 машина».</w:t>
      </w:r>
    </w:p>
    <w:p w14:paraId="7BF4222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Несмотря на то что планировалось начать мероприятие в 10 часов утра, из-за сильного мороза показ заморских ди</w:t>
      </w:r>
      <w:r w:rsidRPr="005E779E">
        <w:rPr>
          <w:rFonts w:ascii="Times New Roman" w:hAnsi="Times New Roman"/>
          <w:color w:val="000000" w:themeColor="text1"/>
          <w:sz w:val="16"/>
          <w:szCs w:val="16"/>
        </w:rPr>
        <w:softHyphen/>
        <w:t>ковин был задержан. Только после полудня, переговарива</w:t>
      </w:r>
      <w:r w:rsidRPr="005E779E">
        <w:rPr>
          <w:rFonts w:ascii="Times New Roman" w:hAnsi="Times New Roman"/>
          <w:color w:val="000000" w:themeColor="text1"/>
          <w:sz w:val="16"/>
          <w:szCs w:val="16"/>
        </w:rPr>
        <w:softHyphen/>
        <w:t>ясь о чем-то своем, военные выбрались из теплого помеще</w:t>
      </w:r>
      <w:r w:rsidRPr="005E779E">
        <w:rPr>
          <w:rFonts w:ascii="Times New Roman" w:hAnsi="Times New Roman"/>
          <w:color w:val="000000" w:themeColor="text1"/>
          <w:sz w:val="16"/>
          <w:szCs w:val="16"/>
        </w:rPr>
        <w:softHyphen/>
        <w:t>ния и проследовали вдоль строя боевых машин, вполуха слушая С. Гинзбурга, кратко рассказывавшего об особен</w:t>
      </w:r>
      <w:r w:rsidRPr="005E779E">
        <w:rPr>
          <w:rFonts w:ascii="Times New Roman" w:hAnsi="Times New Roman"/>
          <w:color w:val="000000" w:themeColor="text1"/>
          <w:sz w:val="16"/>
          <w:szCs w:val="16"/>
        </w:rPr>
        <w:softHyphen/>
        <w:t>ностях того или иного образца. Из вежливости они осмот</w:t>
      </w:r>
      <w:r w:rsidRPr="005E779E">
        <w:rPr>
          <w:rFonts w:ascii="Times New Roman" w:hAnsi="Times New Roman"/>
          <w:color w:val="000000" w:themeColor="text1"/>
          <w:sz w:val="16"/>
          <w:szCs w:val="16"/>
        </w:rPr>
        <w:softHyphen/>
        <w:t xml:space="preserve">рели все экспонаты, но ни один из представленных образцов не вызвал их особого интереса. Ничем не привлекли их сначала и небольшие двухбашенные танки, купленные у фирмы «Виккерс». После экскурсии военные заняли свои места на смотровой площадке, водители сели за рычаги и по команде Ворошилова запустили двигатели. Первыми выступали многоосные грузовики и забронированный «Форд». Они неуклюже покрутились на заснеженной целине и один за другим скрылись за ограждением. Но вот на трассу, вздымая столбы ной пыли, выскочил </w:t>
      </w:r>
      <w:r w:rsidRPr="005E779E">
        <w:rPr>
          <w:rFonts w:ascii="Times New Roman" w:hAnsi="Times New Roman"/>
          <w:color w:val="000000" w:themeColor="text1"/>
          <w:sz w:val="16"/>
          <w:szCs w:val="16"/>
        </w:rPr>
        <w:lastRenderedPageBreak/>
        <w:t>небольшой танк. Он прытко про</w:t>
      </w:r>
      <w:r w:rsidRPr="005E779E">
        <w:rPr>
          <w:rFonts w:ascii="Times New Roman" w:hAnsi="Times New Roman"/>
          <w:color w:val="000000" w:themeColor="text1"/>
          <w:sz w:val="16"/>
          <w:szCs w:val="16"/>
        </w:rPr>
        <w:softHyphen/>
        <w:t>ся мимо смотровой площадки, затем развернулся, перепрыгнул через окоп; немного замешкавшись, свалил довольно толстую сосну, порвал забор из колючей проволоки и, развернувшись почти на месте, рванул к финишу напрямик через кустарник, густо обсыпанный снегом. Что тут началось! Восторгам военных, казалось, не будет конца. Этот маленький, но чрезвычайно прыткий танк покорил их сердца. Тут же отстановили дальнейший показ, потребовав повторить заезд и выпустить на трассу второй танк...Это и стало как бы последним ак</w:t>
      </w:r>
      <w:r w:rsidRPr="005E779E">
        <w:rPr>
          <w:rFonts w:ascii="Times New Roman" w:hAnsi="Times New Roman"/>
          <w:color w:val="000000" w:themeColor="text1"/>
          <w:sz w:val="16"/>
          <w:szCs w:val="16"/>
        </w:rPr>
        <w:softHyphen/>
        <w:t>кордом, итогом полигонных испытаний танков В-26 (та</w:t>
      </w:r>
      <w:r w:rsidRPr="005E779E">
        <w:rPr>
          <w:rFonts w:ascii="Times New Roman" w:hAnsi="Times New Roman"/>
          <w:color w:val="000000" w:themeColor="text1"/>
          <w:sz w:val="16"/>
          <w:szCs w:val="16"/>
        </w:rPr>
        <w:softHyphen/>
        <w:t>кой индекс получили британские «шеститонники» в СССР). Испытания проводились по приказу К. Ворошило</w:t>
      </w:r>
      <w:r w:rsidRPr="005E779E">
        <w:rPr>
          <w:rFonts w:ascii="Times New Roman" w:hAnsi="Times New Roman"/>
          <w:color w:val="000000" w:themeColor="text1"/>
          <w:sz w:val="16"/>
          <w:szCs w:val="16"/>
        </w:rPr>
        <w:softHyphen/>
        <w:t>ва с 24/XII—30 г. по 5/1—1931 г. в балке у деревни Павшино и на склонах Поклонной горы. В испытаниях приняли участие три танка - М°№ 215/1, 214/2 и 216/3. Всесторон</w:t>
      </w:r>
      <w:r w:rsidRPr="005E779E">
        <w:rPr>
          <w:rFonts w:ascii="Times New Roman" w:hAnsi="Times New Roman"/>
          <w:color w:val="000000" w:themeColor="text1"/>
          <w:sz w:val="16"/>
          <w:szCs w:val="16"/>
        </w:rPr>
        <w:softHyphen/>
        <w:t>ним их обследованием занималась «спецкомиссия по но</w:t>
      </w:r>
      <w:r w:rsidRPr="005E779E">
        <w:rPr>
          <w:rFonts w:ascii="Times New Roman" w:hAnsi="Times New Roman"/>
          <w:color w:val="000000" w:themeColor="text1"/>
          <w:sz w:val="16"/>
          <w:szCs w:val="16"/>
        </w:rPr>
        <w:softHyphen/>
        <w:t>вым танкам для РККА», подчиненная лично наркомвоен-мору. Руководил работой комиссии С. Гинзбург. Выводы специалистов, входивших в состав комиссии по испытани</w:t>
      </w:r>
      <w:r w:rsidRPr="005E779E">
        <w:rPr>
          <w:rFonts w:ascii="Times New Roman" w:hAnsi="Times New Roman"/>
          <w:color w:val="000000" w:themeColor="text1"/>
          <w:sz w:val="16"/>
          <w:szCs w:val="16"/>
        </w:rPr>
        <w:softHyphen/>
        <w:t>ям, были довольно сдержанными (10733,163).</w:t>
      </w:r>
    </w:p>
    <w:p w14:paraId="5FD01D9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0B42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января 1931 года, на полигоне возле Поклонной горы было отмечено небывалое скопление представителей высшего командования РККА и МВО. По личному приказанию наркома К. Ворошилова все они прибыли с целью ознакомления с привезенными из-за границы образцами перспективной боевой техники, закупленной усилиями комиссии.</w:t>
      </w:r>
    </w:p>
    <w:p w14:paraId="20FE63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Осмотрев образцы и получив краткие пояснения С. Гинзбурга, военные заняли места на смотровой площадке. После показа бронеавтомобилей на трассу, вздымая столбы снежной пыли, выскочил небольшой танк. Он весьма прытко пронесся мимо смотровой, затем развернулся, перемахнул через окоп, немного замешкавшись, свалил довольно толстую сосну, порвал колючую проволоку на кольях и, вновь развернувшись помчался к финишу прямо через кусты.</w:t>
      </w:r>
    </w:p>
    <w:p w14:paraId="5A28AF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Восторгам военных не было конца. Этот мелкий прыткий танк покорил их сердца. Тут же прекратили дальнейший показ, потребовали повторить заезд и выпустить на трассу второй танк.</w:t>
      </w:r>
    </w:p>
    <w:p w14:paraId="65EA12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Этот заезд перед высшим комсоставом РККА был последним шагом в полигонных испытаниях В-26 (так называли английские «шеститонники» в СССР) (11809).</w:t>
      </w:r>
    </w:p>
    <w:p w14:paraId="5FE56D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F93CE2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8—11 января (причем 9-11 уже велся показ только танков) 1931 машины В-26 при</w:t>
      </w:r>
      <w:r w:rsidRPr="005E779E">
        <w:rPr>
          <w:rFonts w:ascii="Times New Roman" w:hAnsi="Times New Roman"/>
          <w:color w:val="000000" w:themeColor="text1"/>
          <w:sz w:val="16"/>
          <w:szCs w:val="16"/>
        </w:rPr>
        <w:softHyphen/>
        <w:t>вели многих высших чинов РККА в такой восторг, что не</w:t>
      </w:r>
      <w:r w:rsidRPr="005E779E">
        <w:rPr>
          <w:rFonts w:ascii="Times New Roman" w:hAnsi="Times New Roman"/>
          <w:color w:val="000000" w:themeColor="text1"/>
          <w:sz w:val="16"/>
          <w:szCs w:val="16"/>
        </w:rPr>
        <w:softHyphen/>
        <w:t>изменно возник вопрос об оснащении Красной армии только этими танками. В заграницу верили сильнее, чем в собственные силы, а поскольку создателем Мк. Е. была ве</w:t>
      </w:r>
      <w:r w:rsidRPr="005E779E">
        <w:rPr>
          <w:rFonts w:ascii="Times New Roman" w:hAnsi="Times New Roman"/>
          <w:color w:val="000000" w:themeColor="text1"/>
          <w:sz w:val="16"/>
          <w:szCs w:val="16"/>
        </w:rPr>
        <w:softHyphen/>
        <w:t>дущая танкостроительная фирма мира, этот довод переве</w:t>
      </w:r>
      <w:r w:rsidRPr="005E779E">
        <w:rPr>
          <w:rFonts w:ascii="Times New Roman" w:hAnsi="Times New Roman"/>
          <w:color w:val="000000" w:themeColor="text1"/>
          <w:sz w:val="16"/>
          <w:szCs w:val="16"/>
        </w:rPr>
        <w:softHyphen/>
        <w:t>шивал все остальные в спорах о перспективах развития (10733,164).</w:t>
      </w:r>
    </w:p>
    <w:p w14:paraId="6459762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15AB7A" w14:textId="77777777" w:rsidR="006E4804" w:rsidRPr="005E779E" w:rsidRDefault="006E4804"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8 января 1931</w:t>
      </w:r>
      <w:r w:rsidRPr="005E779E">
        <w:rPr>
          <w:rFonts w:ascii="Times New Roman" w:hAnsi="Times New Roman"/>
          <w:color w:val="000000" w:themeColor="text1"/>
          <w:sz w:val="16"/>
          <w:szCs w:val="16"/>
        </w:rPr>
        <w:t>3-я сессия ЦИК 5-го созыва приняла постановление «Народнохозяйственный план СССР на 1931 г. (контрольные цифры)» (12265).</w:t>
      </w:r>
    </w:p>
    <w:p w14:paraId="756038D7" w14:textId="77777777" w:rsidR="006E4804" w:rsidRPr="005E779E" w:rsidRDefault="006E4804" w:rsidP="000B7A6C">
      <w:pPr>
        <w:spacing w:after="0" w:line="240" w:lineRule="auto"/>
        <w:jc w:val="both"/>
        <w:rPr>
          <w:rFonts w:ascii="Times New Roman" w:hAnsi="Times New Roman"/>
          <w:color w:val="000000" w:themeColor="text1"/>
          <w:sz w:val="16"/>
          <w:szCs w:val="16"/>
        </w:rPr>
      </w:pPr>
    </w:p>
    <w:p w14:paraId="077181ED" w14:textId="77777777" w:rsidR="007317D2" w:rsidRPr="005E779E" w:rsidRDefault="007317D2"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28921147" w14:textId="77777777" w:rsidR="007317D2" w:rsidRPr="005E779E" w:rsidRDefault="007317D2"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6ADA2C5" w14:textId="77777777" w:rsidR="007317D2" w:rsidRPr="005E779E" w:rsidRDefault="007317D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января 1931. Газета "Вечерняя Москва" сообщала: "С 15 января гужевой транспорт Моск. вы переводится на ночную работу (с 8 часов вечера до 6 часов утра). Возчики, имеющие право езды в дневное время, будут снабжены специальными удостоверениями" (18724).</w:t>
      </w:r>
    </w:p>
    <w:p w14:paraId="4E4A081A" w14:textId="77777777" w:rsidR="007317D2" w:rsidRPr="005E779E" w:rsidRDefault="007317D2" w:rsidP="000B7A6C">
      <w:pPr>
        <w:spacing w:after="0" w:line="240" w:lineRule="auto"/>
        <w:jc w:val="both"/>
        <w:rPr>
          <w:rFonts w:ascii="Times New Roman" w:hAnsi="Times New Roman"/>
          <w:color w:val="000000" w:themeColor="text1"/>
          <w:sz w:val="16"/>
          <w:szCs w:val="16"/>
        </w:rPr>
      </w:pPr>
    </w:p>
    <w:p w14:paraId="0925B18E"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06193B7A"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10B7537" w14:textId="77777777" w:rsidR="000B4A7D" w:rsidRPr="005E779E" w:rsidRDefault="000B4A7D"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8 января</w:t>
      </w:r>
      <w:r w:rsidRPr="005E779E">
        <w:rPr>
          <w:rFonts w:ascii="Times New Roman" w:hAnsi="Times New Roman"/>
          <w:color w:val="000000" w:themeColor="text1"/>
          <w:sz w:val="16"/>
          <w:szCs w:val="16"/>
        </w:rPr>
        <w:t xml:space="preserve"> в 1931 году первый полёт прототипа лёгкого транспортного самолета «S-32» (компания «Letov», Чехословакия), регистрационный номер OK-ADA. Самолёт представлял собой высокоплан с тремя радиальными двигателями «Walter» "Mars" мощностью 107 кВт (145 л.с.), способный перевозить пять пассажиров. У него был квадратный пузатый фюзеляж с каркасом из стальных трубок и покрытый холстом, закрытая кабина пилотов, фиксированное шасси, два двигателя в гондолах под крылом, третий на носу, и уродливым прямоугольным хвостом. Винты были двухлопастными, вначале деревянные, потом металлические. У прототипа «S-32» были проблемы с балансом. Центр тяжести был слишком смещен назад. Поэтому на последующих серийных самолетах центральный двигатель переехал почти метр вперед (15003).</w:t>
      </w:r>
    </w:p>
    <w:p w14:paraId="7F9C73CD" w14:textId="77777777" w:rsidR="000B4A7D" w:rsidRPr="005E779E" w:rsidRDefault="000B4A7D" w:rsidP="000B7A6C">
      <w:pPr>
        <w:spacing w:after="0" w:line="240" w:lineRule="auto"/>
        <w:jc w:val="both"/>
        <w:rPr>
          <w:rFonts w:ascii="Times New Roman" w:hAnsi="Times New Roman"/>
          <w:color w:val="000000" w:themeColor="text1"/>
          <w:sz w:val="16"/>
          <w:szCs w:val="16"/>
        </w:rPr>
      </w:pPr>
    </w:p>
    <w:p w14:paraId="767926FD" w14:textId="77777777" w:rsidR="0062593B" w:rsidRPr="005E779E" w:rsidRDefault="006259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января 1931 в Порт-оф-Спейн, Тринидад, открывается аэропорт Пиарко, будущий международный аэропорт Пиарко.</w:t>
      </w:r>
    </w:p>
    <w:p w14:paraId="20D9B950" w14:textId="77777777" w:rsidR="0062593B" w:rsidRPr="005E779E" w:rsidRDefault="0062593B" w:rsidP="000B7A6C">
      <w:pPr>
        <w:spacing w:after="0" w:line="240" w:lineRule="auto"/>
        <w:jc w:val="both"/>
        <w:rPr>
          <w:rFonts w:ascii="Times New Roman" w:hAnsi="Times New Roman"/>
          <w:color w:val="000000" w:themeColor="text1"/>
          <w:sz w:val="16"/>
          <w:szCs w:val="16"/>
        </w:rPr>
      </w:pPr>
    </w:p>
    <w:p w14:paraId="301381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января 1931 Ватикан осудил контроль над рождаемостью (3481).</w:t>
      </w:r>
    </w:p>
    <w:p w14:paraId="77693D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B73838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января 1931 папа римский Пий XI издал энциклику против разводов и любых форм контроля за рождаемостью (4962).</w:t>
      </w:r>
    </w:p>
    <w:p w14:paraId="3989F80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FC4B60"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75E49C3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E4A751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января 1931 г. последовало распоряжение К. Во</w:t>
      </w:r>
      <w:r w:rsidRPr="005E779E">
        <w:rPr>
          <w:rFonts w:ascii="Times New Roman" w:hAnsi="Times New Roman"/>
          <w:color w:val="000000" w:themeColor="text1"/>
          <w:sz w:val="16"/>
          <w:szCs w:val="16"/>
        </w:rPr>
        <w:softHyphen/>
        <w:t>рошилова «...решить наконец вопрос об целесообразности ор</w:t>
      </w:r>
      <w:r w:rsidRPr="005E779E">
        <w:rPr>
          <w:rFonts w:ascii="Times New Roman" w:hAnsi="Times New Roman"/>
          <w:color w:val="000000" w:themeColor="text1"/>
          <w:sz w:val="16"/>
          <w:szCs w:val="16"/>
        </w:rPr>
        <w:softHyphen/>
        <w:t>ганизации производства В-26 в СССР...”. Но о принятии тан</w:t>
      </w:r>
      <w:r w:rsidRPr="005E779E">
        <w:rPr>
          <w:rFonts w:ascii="Times New Roman" w:hAnsi="Times New Roman"/>
          <w:color w:val="000000" w:themeColor="text1"/>
          <w:sz w:val="16"/>
          <w:szCs w:val="16"/>
        </w:rPr>
        <w:softHyphen/>
        <w:t>ка на вооружение еще не говорилось. Тогда же С. Гинзбург получил приказ в срок не позднее трех дней предоставить Наркомвоенмору перечень отмеченных в ходе испытаний достоинств и недостатков В-26 по сравнению с находя</w:t>
      </w:r>
      <w:r w:rsidRPr="005E779E">
        <w:rPr>
          <w:rFonts w:ascii="Times New Roman" w:hAnsi="Times New Roman"/>
          <w:color w:val="000000" w:themeColor="text1"/>
          <w:sz w:val="16"/>
          <w:szCs w:val="16"/>
        </w:rPr>
        <w:softHyphen/>
        <w:t>щимся в изготовлении перспективным Т-19 (10733,165).</w:t>
      </w:r>
    </w:p>
    <w:p w14:paraId="697B2F0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C8DFF0" w14:textId="77777777" w:rsidR="000B4A7D" w:rsidRPr="005E779E" w:rsidRDefault="000B4A7D" w:rsidP="000B7A6C">
      <w:pPr>
        <w:pStyle w:val="a3"/>
        <w:rPr>
          <w:color w:val="000000" w:themeColor="text1"/>
          <w:lang w:val="ru-RU"/>
        </w:rPr>
      </w:pPr>
      <w:r w:rsidRPr="005E779E">
        <w:rPr>
          <w:color w:val="000000" w:themeColor="text1"/>
          <w:lang w:val="ru-RU"/>
        </w:rPr>
        <w:t xml:space="preserve">9 января 1931 г. первый образец </w:t>
      </w:r>
      <w:r w:rsidRPr="005E779E">
        <w:rPr>
          <w:color w:val="000000" w:themeColor="text1"/>
        </w:rPr>
        <w:t>N</w:t>
      </w:r>
      <w:r w:rsidR="007317D2" w:rsidRPr="005E779E">
        <w:rPr>
          <w:color w:val="000000" w:themeColor="text1"/>
          <w:lang w:val="ru-RU"/>
        </w:rPr>
        <w:t xml:space="preserve"> </w:t>
      </w:r>
      <w:r w:rsidRPr="005E779E">
        <w:rPr>
          <w:color w:val="000000" w:themeColor="text1"/>
          <w:lang w:val="ru-RU"/>
        </w:rPr>
        <w:t>229 (№1) доставили на буксире в распоряжение Испытательной группы УММ РККА со склада №37. По</w:t>
      </w:r>
      <w:r w:rsidRPr="005E779E">
        <w:rPr>
          <w:color w:val="000000" w:themeColor="text1"/>
          <w:lang w:val="ru-RU"/>
        </w:rPr>
        <w:softHyphen/>
        <w:t>началу он был достаточно холодно принят членами комиссии под руко</w:t>
      </w:r>
      <w:r w:rsidRPr="005E779E">
        <w:rPr>
          <w:color w:val="000000" w:themeColor="text1"/>
          <w:lang w:val="ru-RU"/>
        </w:rPr>
        <w:softHyphen/>
        <w:t>водством С. Гинзбурга, находившимися под впечатлением от весьма успешных испытаний 6-тонных танков «Виккерс». Позже отношение к 12-тонному танку изменилось в лучшую сторону. От английской стороны на испытаниях присутствовал майор Одди.</w:t>
      </w:r>
    </w:p>
    <w:p w14:paraId="7643C856" w14:textId="77777777" w:rsidR="000B4A7D" w:rsidRPr="005E779E" w:rsidRDefault="000B4A7D" w:rsidP="000B7A6C">
      <w:pPr>
        <w:pStyle w:val="a3"/>
        <w:rPr>
          <w:color w:val="000000" w:themeColor="text1"/>
          <w:lang w:val="ru-RU"/>
        </w:rPr>
      </w:pPr>
      <w:r w:rsidRPr="005E779E">
        <w:rPr>
          <w:color w:val="000000" w:themeColor="text1"/>
          <w:lang w:val="ru-RU"/>
        </w:rPr>
        <w:t>Уже отмечалось, что еще при проведении сдаточных испытаний танка в Англии был выявлен нагрев планетарного демультипликатора, установленного за коробкой передач, но из-за острой нехватки времени отгрузку в СССР первой машины произвели в таком виде. При разбор</w:t>
      </w:r>
      <w:r w:rsidRPr="005E779E">
        <w:rPr>
          <w:color w:val="000000" w:themeColor="text1"/>
          <w:lang w:val="ru-RU"/>
        </w:rPr>
        <w:softHyphen/>
        <w:t>ке демультипликатора обнаружили разрушение крепежных деталей и явный износ шлицевого соединения вала и втулки фланца соединитель</w:t>
      </w:r>
      <w:r w:rsidRPr="005E779E">
        <w:rPr>
          <w:color w:val="000000" w:themeColor="text1"/>
          <w:lang w:val="ru-RU"/>
        </w:rPr>
        <w:softHyphen/>
        <w:t>ной муфты. Наиболее вероятной причиной сочли некачественный мон</w:t>
      </w:r>
      <w:r w:rsidRPr="005E779E">
        <w:rPr>
          <w:color w:val="000000" w:themeColor="text1"/>
          <w:lang w:val="ru-RU"/>
        </w:rPr>
        <w:softHyphen/>
        <w:t>таж и подгонку этих элементов при сборке машины в Англии. Полностью устранить дефект на месте не удалось. Представитель фирмы майор Одди отмечал в своем отчете:</w:t>
      </w:r>
    </w:p>
    <w:p w14:paraId="21697664" w14:textId="77777777" w:rsidR="000B4A7D" w:rsidRPr="005E779E" w:rsidRDefault="000B4A7D" w:rsidP="000B7A6C">
      <w:pPr>
        <w:pStyle w:val="1010"/>
        <w:shd w:val="clear" w:color="auto" w:fill="auto"/>
        <w:spacing w:line="240" w:lineRule="auto"/>
        <w:ind w:firstLine="0"/>
        <w:rPr>
          <w:rFonts w:ascii="Times New Roman" w:hAnsi="Times New Roman" w:cs="Times New Roman"/>
          <w:i w:val="0"/>
          <w:color w:val="000000" w:themeColor="text1"/>
          <w:sz w:val="16"/>
          <w:szCs w:val="16"/>
        </w:rPr>
      </w:pPr>
      <w:r w:rsidRPr="005E779E">
        <w:rPr>
          <w:rStyle w:val="1026"/>
          <w:rFonts w:ascii="Times New Roman" w:eastAsia="Arial Unicode MS" w:hAnsi="Times New Roman" w:cs="Times New Roman"/>
          <w:i w:val="0"/>
          <w:iCs w:val="0"/>
          <w:color w:val="000000" w:themeColor="text1"/>
          <w:sz w:val="16"/>
          <w:szCs w:val="16"/>
        </w:rPr>
        <w:t>«Эта</w:t>
      </w:r>
      <w:r w:rsidRPr="005E779E">
        <w:rPr>
          <w:rFonts w:ascii="Times New Roman" w:hAnsi="Times New Roman" w:cs="Times New Roman"/>
          <w:i w:val="0"/>
          <w:color w:val="000000" w:themeColor="text1"/>
          <w:sz w:val="16"/>
          <w:szCs w:val="16"/>
        </w:rPr>
        <w:t xml:space="preserve"> машина</w:t>
      </w:r>
      <w:r w:rsidRPr="005E779E">
        <w:rPr>
          <w:rStyle w:val="1026"/>
          <w:rFonts w:ascii="Times New Roman" w:eastAsia="Arial Unicode MS" w:hAnsi="Times New Roman" w:cs="Times New Roman"/>
          <w:i w:val="0"/>
          <w:iCs w:val="0"/>
          <w:color w:val="000000" w:themeColor="text1"/>
          <w:sz w:val="16"/>
          <w:szCs w:val="16"/>
        </w:rPr>
        <w:t xml:space="preserve"> (танк №229</w:t>
      </w:r>
      <w:r w:rsidRPr="005E779E">
        <w:rPr>
          <w:rFonts w:ascii="Times New Roman" w:hAnsi="Times New Roman" w:cs="Times New Roman"/>
          <w:i w:val="0"/>
          <w:color w:val="000000" w:themeColor="text1"/>
          <w:sz w:val="16"/>
          <w:szCs w:val="16"/>
        </w:rPr>
        <w:t>) имела эпициклический вал с дефектной профилировкой, т.к. я первоначально согласовал с русской комиссией оставить этот</w:t>
      </w:r>
      <w:r w:rsidRPr="005E779E">
        <w:rPr>
          <w:rStyle w:val="1013"/>
          <w:rFonts w:ascii="Times New Roman" w:eastAsia="Arial Unicode MS" w:hAnsi="Times New Roman" w:cs="Times New Roman"/>
          <w:b w:val="0"/>
          <w:iCs/>
          <w:color w:val="000000" w:themeColor="text1"/>
          <w:sz w:val="16"/>
          <w:szCs w:val="16"/>
        </w:rPr>
        <w:t xml:space="preserve"> вал на машине, пока </w:t>
      </w:r>
      <w:r w:rsidRPr="005E779E">
        <w:rPr>
          <w:rFonts w:ascii="Times New Roman" w:hAnsi="Times New Roman" w:cs="Times New Roman"/>
          <w:i w:val="0"/>
          <w:color w:val="000000" w:themeColor="text1"/>
          <w:sz w:val="16"/>
          <w:szCs w:val="16"/>
        </w:rPr>
        <w:t>профилировка окончательно</w:t>
      </w:r>
      <w:r w:rsidRPr="005E779E">
        <w:rPr>
          <w:rStyle w:val="1013"/>
          <w:rFonts w:ascii="Times New Roman" w:eastAsia="Arial Unicode MS" w:hAnsi="Times New Roman" w:cs="Times New Roman"/>
          <w:b w:val="0"/>
          <w:iCs/>
          <w:color w:val="000000" w:themeColor="text1"/>
          <w:sz w:val="16"/>
          <w:szCs w:val="16"/>
        </w:rPr>
        <w:t xml:space="preserve"> не срежется, тогда </w:t>
      </w:r>
      <w:r w:rsidRPr="005E779E">
        <w:rPr>
          <w:rFonts w:ascii="Times New Roman" w:hAnsi="Times New Roman" w:cs="Times New Roman"/>
          <w:i w:val="0"/>
          <w:color w:val="000000" w:themeColor="text1"/>
          <w:sz w:val="16"/>
          <w:szCs w:val="16"/>
        </w:rPr>
        <w:t>мы и заменим его присланными</w:t>
      </w:r>
      <w:r w:rsidRPr="005E779E">
        <w:rPr>
          <w:rStyle w:val="1013"/>
          <w:rFonts w:ascii="Times New Roman" w:eastAsia="Arial Unicode MS" w:hAnsi="Times New Roman" w:cs="Times New Roman"/>
          <w:b w:val="0"/>
          <w:iCs/>
          <w:color w:val="000000" w:themeColor="text1"/>
          <w:sz w:val="16"/>
          <w:szCs w:val="16"/>
        </w:rPr>
        <w:t xml:space="preserve"> новым валом</w:t>
      </w:r>
      <w:r w:rsidRPr="005E779E">
        <w:rPr>
          <w:rFonts w:ascii="Times New Roman" w:hAnsi="Times New Roman" w:cs="Times New Roman"/>
          <w:i w:val="0"/>
          <w:color w:val="000000" w:themeColor="text1"/>
          <w:sz w:val="16"/>
          <w:szCs w:val="16"/>
        </w:rPr>
        <w:t xml:space="preserve"> и соединениями.</w:t>
      </w:r>
    </w:p>
    <w:p w14:paraId="65EFAA93" w14:textId="77777777" w:rsidR="000B4A7D" w:rsidRPr="005E779E" w:rsidRDefault="000B4A7D" w:rsidP="000B7A6C">
      <w:pPr>
        <w:pStyle w:val="1010"/>
        <w:shd w:val="clear" w:color="auto" w:fill="auto"/>
        <w:spacing w:line="240" w:lineRule="auto"/>
        <w:ind w:firstLine="0"/>
        <w:rPr>
          <w:rFonts w:ascii="Times New Roman" w:hAnsi="Times New Roman" w:cs="Times New Roman"/>
          <w:i w:val="0"/>
          <w:color w:val="000000" w:themeColor="text1"/>
          <w:sz w:val="16"/>
          <w:szCs w:val="16"/>
        </w:rPr>
      </w:pPr>
      <w:r w:rsidRPr="005E779E">
        <w:rPr>
          <w:rFonts w:ascii="Times New Roman" w:hAnsi="Times New Roman" w:cs="Times New Roman"/>
          <w:i w:val="0"/>
          <w:color w:val="000000" w:themeColor="text1"/>
          <w:sz w:val="16"/>
          <w:szCs w:val="16"/>
        </w:rPr>
        <w:t>Профилировка вышеуказанного дефектного вала срезалась до того, как машина проделала вышеуказанный пробег, и мы теперь установили новый вал и соединения.</w:t>
      </w:r>
    </w:p>
    <w:p w14:paraId="366FB7D9" w14:textId="77777777" w:rsidR="000B4A7D" w:rsidRPr="005E779E" w:rsidRDefault="000B4A7D" w:rsidP="000B7A6C">
      <w:pPr>
        <w:pStyle w:val="1010"/>
        <w:shd w:val="clear" w:color="auto" w:fill="auto"/>
        <w:spacing w:line="240" w:lineRule="auto"/>
        <w:ind w:firstLine="0"/>
        <w:rPr>
          <w:rFonts w:ascii="Times New Roman" w:hAnsi="Times New Roman" w:cs="Times New Roman"/>
          <w:i w:val="0"/>
          <w:color w:val="000000" w:themeColor="text1"/>
          <w:sz w:val="16"/>
          <w:szCs w:val="16"/>
        </w:rPr>
      </w:pPr>
      <w:r w:rsidRPr="005E779E">
        <w:rPr>
          <w:rFonts w:ascii="Times New Roman" w:hAnsi="Times New Roman" w:cs="Times New Roman"/>
          <w:i w:val="0"/>
          <w:color w:val="000000" w:themeColor="text1"/>
          <w:sz w:val="16"/>
          <w:szCs w:val="16"/>
        </w:rPr>
        <w:t>Опять-таки, эпицикл на этой машине функци</w:t>
      </w:r>
      <w:r w:rsidRPr="005E779E">
        <w:rPr>
          <w:rFonts w:ascii="Times New Roman" w:hAnsi="Times New Roman" w:cs="Times New Roman"/>
          <w:i w:val="0"/>
          <w:color w:val="000000" w:themeColor="text1"/>
          <w:sz w:val="16"/>
          <w:szCs w:val="16"/>
        </w:rPr>
        <w:softHyphen/>
        <w:t>онировал прекрасно в обоих направлениях (пря</w:t>
      </w:r>
      <w:r w:rsidRPr="005E779E">
        <w:rPr>
          <w:rFonts w:ascii="Times New Roman" w:hAnsi="Times New Roman" w:cs="Times New Roman"/>
          <w:i w:val="0"/>
          <w:color w:val="000000" w:themeColor="text1"/>
          <w:sz w:val="16"/>
          <w:szCs w:val="16"/>
        </w:rPr>
        <w:softHyphen/>
        <w:t>мой и низком) во все время пробега.</w:t>
      </w:r>
    </w:p>
    <w:p w14:paraId="76ECCFA1" w14:textId="77777777" w:rsidR="000B4A7D" w:rsidRPr="005E779E" w:rsidRDefault="000B4A7D" w:rsidP="000B7A6C">
      <w:pPr>
        <w:pStyle w:val="1010"/>
        <w:shd w:val="clear" w:color="auto" w:fill="auto"/>
        <w:spacing w:line="240" w:lineRule="auto"/>
        <w:ind w:firstLine="0"/>
        <w:rPr>
          <w:rFonts w:ascii="Times New Roman" w:hAnsi="Times New Roman" w:cs="Times New Roman"/>
          <w:i w:val="0"/>
          <w:color w:val="000000" w:themeColor="text1"/>
          <w:sz w:val="16"/>
          <w:szCs w:val="16"/>
        </w:rPr>
      </w:pPr>
      <w:r w:rsidRPr="005E779E">
        <w:rPr>
          <w:rFonts w:ascii="Times New Roman" w:hAnsi="Times New Roman" w:cs="Times New Roman"/>
          <w:i w:val="0"/>
          <w:color w:val="000000" w:themeColor="text1"/>
          <w:sz w:val="16"/>
          <w:szCs w:val="16"/>
        </w:rPr>
        <w:t>Ни разу он не давал признаков перегрева и в дополнение никаких установок не было сделано к торсионной ленте эпицикла, управлению и вилке расцепления во все время пробега» (15745).</w:t>
      </w:r>
    </w:p>
    <w:p w14:paraId="75E63E7C" w14:textId="77777777" w:rsidR="000B4A7D" w:rsidRPr="005E779E" w:rsidRDefault="000B4A7D" w:rsidP="000B7A6C">
      <w:pPr>
        <w:pStyle w:val="1010"/>
        <w:shd w:val="clear" w:color="auto" w:fill="auto"/>
        <w:spacing w:line="240" w:lineRule="auto"/>
        <w:ind w:firstLine="0"/>
        <w:rPr>
          <w:rFonts w:ascii="Times New Roman" w:hAnsi="Times New Roman" w:cs="Times New Roman"/>
          <w:i w:val="0"/>
          <w:color w:val="000000" w:themeColor="text1"/>
          <w:sz w:val="16"/>
          <w:szCs w:val="16"/>
        </w:rPr>
      </w:pPr>
    </w:p>
    <w:p w14:paraId="7A322097" w14:textId="77777777" w:rsidR="00AF7C6F" w:rsidRPr="00142305" w:rsidRDefault="00AF7C6F" w:rsidP="00AF7C6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9 января 1931 г. первый образец танка Виккерс № 229 (№ 1) доставили на трейлере в распоряжение Испытательной группы УММ РККА со склада № 37. Поначалу он был достаточно холодно принят членами комиссии под руководством С. Гинзбурга, находившимися под впечатлением от весьма успешных испытаний 6-тонных танков «виккерс». Позже отношение к 12-тонному танку изменилось в лучшую сторону. От английской стороны на испытаниях присутствовал майор Одди»</w:t>
      </w:r>
      <w:bookmarkStart w:id="1" w:name="n_14"/>
      <w:r w:rsidRPr="00142305">
        <w:rPr>
          <w:rFonts w:ascii="Times New Roman" w:hAnsi="Times New Roman"/>
          <w:color w:val="0070C0"/>
          <w:sz w:val="16"/>
          <w:szCs w:val="16"/>
        </w:rPr>
        <w:t xml:space="preserve"> (25184)</w:t>
      </w:r>
      <w:bookmarkEnd w:id="1"/>
      <w:r w:rsidRPr="00142305">
        <w:rPr>
          <w:rFonts w:ascii="Times New Roman" w:hAnsi="Times New Roman"/>
          <w:color w:val="0070C0"/>
          <w:sz w:val="16"/>
          <w:szCs w:val="16"/>
        </w:rPr>
        <w:t>.</w:t>
      </w:r>
    </w:p>
    <w:p w14:paraId="701930D5" w14:textId="77777777" w:rsidR="00AF7C6F" w:rsidRPr="00142305" w:rsidRDefault="00AF7C6F" w:rsidP="00AF7C6F">
      <w:pPr>
        <w:spacing w:after="0" w:line="240" w:lineRule="auto"/>
        <w:jc w:val="both"/>
        <w:rPr>
          <w:rFonts w:ascii="Times New Roman" w:hAnsi="Times New Roman"/>
          <w:color w:val="0070C0"/>
          <w:sz w:val="16"/>
          <w:szCs w:val="16"/>
        </w:rPr>
      </w:pPr>
    </w:p>
    <w:p w14:paraId="1CF80393" w14:textId="77777777" w:rsidR="007317D2" w:rsidRPr="005E779E" w:rsidRDefault="007317D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января 1931 г. штаб ВМС представил начальнику штаба райхсвера Адаму «ответный» доклад, сделанный капитаном 3-го ранга И. Лицманом. Он изложил причину осторожного подхода «райхсмарине» к проблеме взаимоотношений с СССР. Признав обоснованность повышенного интереса райхсвера к РККА на случай ведения войны на суше, он подчеркнул зависимость германского флота от доминировавших на море Великобритании и США, а это требовало «определенной сдержанности по отношению к России», к тому же вставала проблема Финляндии, которая испытывала неприязненные отношения к СССР и опасалась его. Поэтому при более тесных отношениях с Советским Союзом могли бы пострадать и отлаженные связи с Финляндией, которым Германия придавала очень большое значение (18265).</w:t>
      </w:r>
    </w:p>
    <w:p w14:paraId="71ADE0DC" w14:textId="77777777" w:rsidR="007317D2" w:rsidRPr="005E779E" w:rsidRDefault="007317D2" w:rsidP="000B7A6C">
      <w:pPr>
        <w:spacing w:after="0" w:line="240" w:lineRule="auto"/>
        <w:jc w:val="both"/>
        <w:rPr>
          <w:rFonts w:ascii="Times New Roman" w:hAnsi="Times New Roman"/>
          <w:color w:val="000000" w:themeColor="text1"/>
          <w:sz w:val="16"/>
          <w:szCs w:val="16"/>
        </w:rPr>
      </w:pPr>
    </w:p>
    <w:p w14:paraId="36985C8C"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Внешняя политика:</w:t>
      </w:r>
    </w:p>
    <w:p w14:paraId="0E232DD2"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6A185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января 1931 г. штаб ВМС представил начальнику штаба райхсвера Адаму «ответный» доклад, сделанный капитаном 3-го ранга И. Лицманом. Он изложил причину осторожного подхода «райхсмарине» к проблеме взаимоотношений с СССР. Признав обоснованность повышенного интереса райхсвера к РККА на случай ведения войны на суше, он подчеркнул зависимость германского флота от доминировавших на море Великобритании и США, а это требовало «определенной сдержанности по отношению к России», К тому же вставала проблема Финляндии, которая испытывала неприязненные отношения к СССР и опасалась его. Поэтому при более тесных отношениях с Советским Союзом могли бы пострадать и отлаженные связи с Финляндией, которым Германия придавала очень большое значение (11784).</w:t>
      </w:r>
    </w:p>
    <w:p w14:paraId="2D8343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B2CC9B6" w14:textId="77777777" w:rsidR="0062593B" w:rsidRPr="005E779E" w:rsidRDefault="0062593B"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2043105A" w14:textId="77777777" w:rsidR="0062593B" w:rsidRPr="005E779E" w:rsidRDefault="0062593B"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136E94D" w14:textId="77777777" w:rsidR="0062593B" w:rsidRPr="005E779E" w:rsidRDefault="006259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января 1931 Соглашение Пратт-Макартур определяет военно - морские военно-воздушные силы ВМС США как элемент флота, который движется вместе с флотом и помогает ему выполнять свои задачи. Соглашение разрешает длительные споры между армией США и военно-морским флотом по поводу роли морской авиации в общей национальной обороне, а также внутренние дебаты военно-морского флота о роли военно-морской авиации (20804).</w:t>
      </w:r>
    </w:p>
    <w:p w14:paraId="42A10F7B" w14:textId="77777777" w:rsidR="0062593B" w:rsidRPr="005E779E" w:rsidRDefault="0062593B" w:rsidP="000B7A6C">
      <w:pPr>
        <w:spacing w:after="0" w:line="240" w:lineRule="auto"/>
        <w:jc w:val="both"/>
        <w:rPr>
          <w:rFonts w:ascii="Times New Roman" w:hAnsi="Times New Roman"/>
          <w:color w:val="000000" w:themeColor="text1"/>
          <w:sz w:val="16"/>
          <w:szCs w:val="16"/>
        </w:rPr>
      </w:pPr>
    </w:p>
    <w:p w14:paraId="1FD36414"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0BB304B9"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DC8DC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января 1931 РВС СССР утвердил уточненный календарный план строительства РККА на 1931-1933 (3960,15).</w:t>
      </w:r>
    </w:p>
    <w:p w14:paraId="4DB3F3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9742B40" w14:textId="77777777" w:rsidR="0062593B" w:rsidRPr="005E779E" w:rsidRDefault="006259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10 января</w:t>
      </w:r>
      <w:r w:rsidRPr="005E779E">
        <w:rPr>
          <w:rFonts w:ascii="Times New Roman" w:hAnsi="Times New Roman"/>
          <w:color w:val="000000" w:themeColor="text1"/>
          <w:sz w:val="16"/>
          <w:szCs w:val="16"/>
        </w:rPr>
        <w:t xml:space="preserve"> в 1931 году Революционный Военный Совет СССР утверждает уточненный календарный план строительства Рабоче-Крестьянской Красной Армии на 1931—1933 (15005).</w:t>
      </w:r>
    </w:p>
    <w:p w14:paraId="78AC328E" w14:textId="77777777" w:rsidR="0062593B" w:rsidRPr="005E779E" w:rsidRDefault="0062593B" w:rsidP="000B7A6C">
      <w:pPr>
        <w:spacing w:after="0" w:line="240" w:lineRule="auto"/>
        <w:jc w:val="both"/>
        <w:rPr>
          <w:rFonts w:ascii="Times New Roman" w:hAnsi="Times New Roman"/>
          <w:color w:val="000000" w:themeColor="text1"/>
          <w:sz w:val="16"/>
          <w:szCs w:val="16"/>
        </w:rPr>
      </w:pPr>
    </w:p>
    <w:p w14:paraId="0B7E57FD" w14:textId="77777777" w:rsidR="006E4804" w:rsidRPr="005E779E" w:rsidRDefault="006E4804" w:rsidP="000B7A6C">
      <w:pPr>
        <w:pStyle w:val="rtejustify"/>
        <w:spacing w:before="0" w:after="0"/>
        <w:rPr>
          <w:color w:val="000000" w:themeColor="text1"/>
          <w:sz w:val="16"/>
          <w:szCs w:val="16"/>
        </w:rPr>
      </w:pPr>
      <w:r w:rsidRPr="005E779E">
        <w:rPr>
          <w:rStyle w:val="af0"/>
          <w:i w:val="0"/>
          <w:color w:val="000000" w:themeColor="text1"/>
          <w:sz w:val="16"/>
          <w:szCs w:val="16"/>
        </w:rPr>
        <w:t>10 января. Протокол Реввоенсовета № 3.</w:t>
      </w:r>
      <w:r w:rsidRPr="005E779E">
        <w:rPr>
          <w:color w:val="000000" w:themeColor="text1"/>
          <w:sz w:val="16"/>
          <w:szCs w:val="16"/>
        </w:rPr>
        <w:t xml:space="preserve"> 1. Уточненный календарный план строительства РККА на 1931</w:t>
      </w:r>
      <w:r w:rsidRPr="005E779E">
        <w:rPr>
          <w:color w:val="000000" w:themeColor="text1"/>
          <w:sz w:val="16"/>
          <w:szCs w:val="16"/>
        </w:rPr>
        <w:noBreakHyphen/>
        <w:t>32</w:t>
      </w:r>
      <w:r w:rsidRPr="005E779E">
        <w:rPr>
          <w:color w:val="000000" w:themeColor="text1"/>
          <w:sz w:val="16"/>
          <w:szCs w:val="16"/>
        </w:rPr>
        <w:noBreakHyphen/>
        <w:t>33 гг. (Шапошников). (РГВА. Ф. 4. Оп. 18. Д. 20. Л. 17</w:t>
      </w:r>
      <w:r w:rsidRPr="005E779E">
        <w:rPr>
          <w:color w:val="000000" w:themeColor="text1"/>
          <w:sz w:val="16"/>
          <w:szCs w:val="16"/>
        </w:rPr>
        <w:noBreakHyphen/>
        <w:t>18) (12342).</w:t>
      </w:r>
    </w:p>
    <w:p w14:paraId="09024A99" w14:textId="77777777" w:rsidR="006E4804" w:rsidRPr="005E779E" w:rsidRDefault="006E4804" w:rsidP="000B7A6C">
      <w:pPr>
        <w:pStyle w:val="rtejustify"/>
        <w:spacing w:before="0" w:after="0"/>
        <w:rPr>
          <w:color w:val="000000" w:themeColor="text1"/>
          <w:sz w:val="16"/>
          <w:szCs w:val="16"/>
        </w:rPr>
      </w:pPr>
    </w:p>
    <w:p w14:paraId="6D5CB33E" w14:textId="77777777" w:rsidR="0062593B" w:rsidRPr="005E779E" w:rsidRDefault="0062593B"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10 января 1931 на заседании РВСС поручил "Штабу РККА на основе обмена мнений и принятых поправок окончательно уточнить план реконструкции РККА на 1931-1932-1933 гг. и 1 марта доложить РВСС для внесения на рассмотрение Правительства". На этой стадии планирование вооруженных сил военного времени оказывалось тесно увязанным с параметрами армии мирного времени. РВСС принял осторожное решение: "Численность армии мирного времени на конец пятилетки (1933 г.) определить в 750 тыс. человек. При докладе Правительству особо доложить, в какой мере эта численность не обеспечивает развертывание армии по варианту конца пятилетки" (Протокол № 3 заседания РВС СССР от 10.01.1930 // Там же. Л. 18.).</w:t>
      </w:r>
    </w:p>
    <w:p w14:paraId="1855388D" w14:textId="77777777" w:rsidR="0062593B" w:rsidRPr="005E779E" w:rsidRDefault="0062593B"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Подготовка доклада в Комиссию обороны затянулась. 27 марта Реввоенсовет заслушал доклад Триандафиллова, в котором были объединены два вопроса повестки дня - численность РККА мирного времени, оргмероприятия 1931-1933 гг. и новые формирования 1931 г. К согласию прийти не удалось. "Считая необходимым еще раз самым тщательным образом обсудить представленные Штабом РККА соображения и расчеты о численности и организации армии на конец пятилетки", РВСС поручил специальной комиссии (Ворошилов, Гамарник, Каменев, Баранов, Триандафиллов, Левичев) вновь рассмотреть "весь вопрос" и вынести по нему окончательное решение от имени совета (Протокол № 13 заседания РВС СССР от 27.03.1931 // Там же. Л. 156. Протокол № 13 заседания РВС СССР от 27.03.1931 // Там же. Л. 156.). По итогам этих работ 6 апреля Ворошилов издал постановление "О численности РККА мирного времени на конец пятилетки и о порядке новых формирований" (Согласно протоколу № 14 (п. 13), на заседании 3 апреля РВС принял к сведению это постановление (Там же. Л. 188). Либо Ворошилов подписал постановление с трехдневным запозданием, либо секретарь РВСС Литуновкий при составлении протокола внес в него несуществующий факт оглашения постановления. Оно не было приобщено к оригиналам протоколов, п текст его неизвестен. По всей вероятности, планы по армии мирного времени далеко вышли за пределы 750 тыс. человек на 1933 г. Известно, что численность на 1932 г. была определена в 800 гас. человек (Протокол № 22 заседания РВС СССР от 14.06.1931 // Там же. Л. 311)). Предложения военного ведомства, по всей вероятности, были переданы в Комиссию обороны. Если КО и приняла решение по этому вопросу, то оно было предварительным: состав армии мирного времени не мог быть утвержден прежде параметров мобилизационного развертывания или безотносительно к ним (22725).</w:t>
      </w:r>
    </w:p>
    <w:p w14:paraId="186749C6" w14:textId="77777777" w:rsidR="0062593B" w:rsidRPr="005E779E" w:rsidRDefault="0062593B" w:rsidP="000B7A6C">
      <w:pPr>
        <w:spacing w:after="0" w:line="240" w:lineRule="auto"/>
        <w:jc w:val="both"/>
        <w:rPr>
          <w:rFonts w:ascii="Times New Roman" w:hAnsi="Times New Roman"/>
          <w:color w:val="000000" w:themeColor="text1"/>
          <w:sz w:val="16"/>
          <w:szCs w:val="16"/>
        </w:rPr>
      </w:pPr>
    </w:p>
    <w:p w14:paraId="298EBC5B" w14:textId="77777777" w:rsidR="009B4119" w:rsidRPr="00142305" w:rsidRDefault="009B4119" w:rsidP="009B411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10 января 1931 г. РВС снова рас</w:t>
      </w:r>
      <w:r w:rsidRPr="00142305">
        <w:rPr>
          <w:rFonts w:ascii="Times New Roman" w:hAnsi="Times New Roman"/>
          <w:color w:val="0070C0"/>
          <w:sz w:val="16"/>
          <w:szCs w:val="16"/>
        </w:rPr>
        <w:softHyphen/>
        <w:t>смотрел и утвердил уточненный Календарный план военного строительства на 1931-1933 гг. Этот план должен был быть выполнен до конца пятилетки (24968).</w:t>
      </w:r>
    </w:p>
    <w:p w14:paraId="63DCB830" w14:textId="77777777" w:rsidR="009B4119" w:rsidRPr="00142305" w:rsidRDefault="009B4119" w:rsidP="009B4119">
      <w:pPr>
        <w:spacing w:after="0" w:line="240" w:lineRule="auto"/>
        <w:jc w:val="both"/>
        <w:rPr>
          <w:rFonts w:ascii="Times New Roman" w:hAnsi="Times New Roman"/>
          <w:color w:val="0070C0"/>
          <w:sz w:val="16"/>
          <w:szCs w:val="16"/>
        </w:rPr>
      </w:pPr>
    </w:p>
    <w:p w14:paraId="37F480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января 1931 К.Е.В. и Пред. ВСНХ Г.К.О. по исполнение ноябрьского решения ПБ по танкам предложили создать комиссию вы составе Уборевича, Павлуновского, Мартиновича, Тухачевского и Халепского для детального рассмотрения программы строительства танков в военнное время (9089,136).</w:t>
      </w:r>
    </w:p>
    <w:p w14:paraId="39E76D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64F81C6" w14:textId="77777777" w:rsidR="0062593B" w:rsidRPr="005E779E" w:rsidRDefault="0062593B"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10 января 1931 Политбюро образовало комиссию ВСНХ и НКВМ по танкам (Уборевич, Павлуновский, Мартинович, Тухачевский, Халепский) для "предварительного рассмотрения вопроса о развертывании танкостроения на военное время". Предложения комиссии Уборевича были приняты Ворошиловым и Орджоникидзе и 20 февраля утверждены Политбюро (за исключением пункта "о технической помощи"). Обширное постановление "О танковой программе" устанавливало технические характеристики танкетки, малого и среднего танка, размещение заказов по заводам, объемы потребностей в броне и т. д. Объемы выпуска танков на 1931 г. определялись в точном соответствии с решением Политбюро от 30 ноября 1930 г. (Протокол № 23 заседания Политбюро ЦК ВКП(б) от 15.01.1931 // РГА СПИ. Ф. 17. Оп. 162. Д 9 Л. 119; Протокол № 27 заседания Политбюро ЦК ВКП(б) от 27.02.1931 // Там же. Л. 140; Постановление Политбюро ЦК ВКП(б) "О танковой программе", 20.02.1931 // Там же. Л. 151-156.). Вероятно, несколько позже, весной 1932 г., правительство утвердило мобзаявку НКВМ, предусматривавшую производство в первый год войны 13 800 малых и 2000 средних танков, 15 000 танкеток (тяжелые танки прорыва разрабатывались, но к лету опытные образцы еще не были изготовлены) (См.: Постановление РВС СССР "О формированиях в военное время", 27.06.1931 // РГВА Ф. 40442. Оп. 2. Д 9. Л. 14. Следуя в русле этих решений, в конце апреля 1931 г. РВСС принял постановление "О танковой программе", которое было предложено заседанию КО 4 мая, а затем вновь рассмотрено Реввоенсоветом (Протокол № 15 заседания РВС СССР от 28.04.1931 // Там же. Ф. 4. Оп. 18. Д 20. Л. 232; 11ротокол № 16 заседания РВС СССР от 08.05.1931 // Там же. Л. 254. Текст постановления, посвященного в основном номенклатуре образцов танкового вооружения, см. Там же. Л. 259-262)). 22725.</w:t>
      </w:r>
    </w:p>
    <w:p w14:paraId="53323D01" w14:textId="77777777" w:rsidR="0062593B" w:rsidRPr="005E779E" w:rsidRDefault="0062593B" w:rsidP="000B7A6C">
      <w:pPr>
        <w:spacing w:after="0" w:line="240" w:lineRule="auto"/>
        <w:jc w:val="both"/>
        <w:rPr>
          <w:rFonts w:ascii="Times New Roman" w:hAnsi="Times New Roman"/>
          <w:color w:val="000000" w:themeColor="text1"/>
          <w:sz w:val="16"/>
          <w:szCs w:val="16"/>
        </w:rPr>
      </w:pPr>
    </w:p>
    <w:p w14:paraId="052E5F13"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5F021F30"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F73529F" w14:textId="77777777" w:rsidR="007317D2" w:rsidRPr="005E779E" w:rsidRDefault="007317D2"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10 января 1931 </w:t>
      </w:r>
      <w:r w:rsidRPr="005E779E">
        <w:rPr>
          <w:rFonts w:ascii="Times New Roman" w:hAnsi="Times New Roman"/>
          <w:color w:val="000000" w:themeColor="text1"/>
          <w:sz w:val="16"/>
          <w:szCs w:val="16"/>
        </w:rPr>
        <w:t>ЦИК принял постановления: «По отчету об исполнении единого государственного бюджета СССР за 1928/29 г.», «О едином финансовом плане и едином государственном бюджете СССР на 1931 г.», «По докладу о мероприятиях по подготовке квалифицированной рабочей силы для народного хозяйства СССР» (12265).</w:t>
      </w:r>
    </w:p>
    <w:p w14:paraId="363583F7" w14:textId="1DA23B47" w:rsidR="007317D2" w:rsidRPr="005E779E" w:rsidRDefault="007317D2" w:rsidP="000B7A6C">
      <w:pPr>
        <w:spacing w:after="0" w:line="240" w:lineRule="auto"/>
        <w:jc w:val="both"/>
        <w:rPr>
          <w:rFonts w:ascii="Times New Roman" w:hAnsi="Times New Roman"/>
          <w:color w:val="000000" w:themeColor="text1"/>
          <w:sz w:val="16"/>
          <w:szCs w:val="16"/>
        </w:rPr>
      </w:pPr>
    </w:p>
    <w:p w14:paraId="1DF44078" w14:textId="77777777" w:rsidR="00B23E00" w:rsidRPr="005E779E" w:rsidRDefault="00B23E0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января 1931 г. Постановлением СНК допускалась выплата премий не более чем раз в месяц. Развитию социалистического соревнования уделялось большое место в коллективных договорах. Устанавливались категории работников и нормы премирования. Число факторов премирования должно было быть максимально ограниченным. Премия не должна была превращаться в постоянную добавку к заработной плате, выплачиваться не чаще одного раза в полугодие (21332).</w:t>
      </w:r>
    </w:p>
    <w:p w14:paraId="3E59FF41" w14:textId="77777777" w:rsidR="00B23E00" w:rsidRPr="005E779E" w:rsidRDefault="00B23E00" w:rsidP="000B7A6C">
      <w:pPr>
        <w:spacing w:after="0" w:line="240" w:lineRule="auto"/>
        <w:jc w:val="both"/>
        <w:rPr>
          <w:rFonts w:ascii="Times New Roman" w:hAnsi="Times New Roman"/>
          <w:color w:val="000000" w:themeColor="text1"/>
          <w:sz w:val="16"/>
          <w:szCs w:val="16"/>
        </w:rPr>
      </w:pPr>
    </w:p>
    <w:p w14:paraId="3E146B47" w14:textId="77777777" w:rsidR="007317D2" w:rsidRPr="005E779E" w:rsidRDefault="007317D2"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10 января 1931 г.</w:t>
      </w:r>
    </w:p>
    <w:p w14:paraId="306466C0" w14:textId="77777777" w:rsidR="007317D2" w:rsidRPr="005E779E" w:rsidRDefault="007317D2"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Из протокола допроса профессора В. И. Худякова о его знакомстве с Л. К. Рамзиным и деятельности последнего во время пребывания в Париже летом 1927 г. 10 января 1931 г.</w:t>
      </w:r>
    </w:p>
    <w:p w14:paraId="16C69311" w14:textId="77777777" w:rsidR="007317D2" w:rsidRPr="005E779E" w:rsidRDefault="007317D2"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Источник: </w:t>
      </w:r>
    </w:p>
    <w:p w14:paraId="5B04B94F" w14:textId="77777777" w:rsidR="007317D2" w:rsidRPr="005E779E" w:rsidRDefault="007317D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F45E623" w14:textId="77777777" w:rsidR="007317D2" w:rsidRPr="005E779E" w:rsidRDefault="007317D2"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Архив: </w:t>
      </w:r>
    </w:p>
    <w:p w14:paraId="179AAFC6" w14:textId="77777777" w:rsidR="007317D2" w:rsidRPr="005E779E" w:rsidRDefault="007317D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 ФСБ РФ. Ф. Р-42280. Т. 3. Л. 322-323</w:t>
      </w:r>
    </w:p>
    <w:p w14:paraId="2455F75A" w14:textId="77777777" w:rsidR="007317D2" w:rsidRPr="005E779E" w:rsidRDefault="007317D2" w:rsidP="000B7A6C">
      <w:pPr>
        <w:pStyle w:val="rteright"/>
        <w:spacing w:before="0" w:after="0"/>
        <w:jc w:val="both"/>
        <w:rPr>
          <w:color w:val="000000" w:themeColor="text1"/>
          <w:sz w:val="16"/>
          <w:szCs w:val="16"/>
        </w:rPr>
      </w:pPr>
      <w:r w:rsidRPr="005E779E">
        <w:rPr>
          <w:color w:val="000000" w:themeColor="text1"/>
          <w:sz w:val="16"/>
          <w:szCs w:val="16"/>
        </w:rPr>
        <w:t>10 января 1931 г.</w:t>
      </w:r>
    </w:p>
    <w:p w14:paraId="10FF08EC" w14:textId="77777777" w:rsidR="007317D2" w:rsidRPr="005E779E" w:rsidRDefault="007317D2" w:rsidP="000B7A6C">
      <w:pPr>
        <w:pStyle w:val="rtejustify"/>
        <w:spacing w:before="0" w:after="0"/>
        <w:rPr>
          <w:color w:val="000000" w:themeColor="text1"/>
          <w:sz w:val="16"/>
          <w:szCs w:val="16"/>
        </w:rPr>
      </w:pPr>
      <w:r w:rsidRPr="005E779E">
        <w:rPr>
          <w:color w:val="000000" w:themeColor="text1"/>
          <w:sz w:val="16"/>
          <w:szCs w:val="16"/>
        </w:rPr>
        <w:t>С проф. Л. К. Рамзиным я встретился в Париже в августе 1927 г., когда он направлялся через Париж в Америку. За это время разговоров о Промпартии у меня с ним не было, но он в достаточно туманных выражениях говорил об имеющей место быть в ближайшем будущем организации политического характера, возглавляемой преимущественно инженерно-техническим персоналом.</w:t>
      </w:r>
    </w:p>
    <w:p w14:paraId="2305F551" w14:textId="77777777" w:rsidR="007317D2" w:rsidRPr="005E779E" w:rsidRDefault="007317D2" w:rsidP="000B7A6C">
      <w:pPr>
        <w:pStyle w:val="rtejustify"/>
        <w:spacing w:before="0" w:after="0"/>
        <w:rPr>
          <w:color w:val="000000" w:themeColor="text1"/>
          <w:sz w:val="16"/>
          <w:szCs w:val="16"/>
        </w:rPr>
      </w:pPr>
      <w:r w:rsidRPr="005E779E">
        <w:rPr>
          <w:color w:val="000000" w:themeColor="text1"/>
          <w:sz w:val="16"/>
          <w:szCs w:val="16"/>
        </w:rPr>
        <w:t>О своей задаче он мне не говорил, но сказал, что не худо бы повидаться в Париже с кем-либо из лиц, имеющих касание к б[ывшим] русским промышленникам. Я ответил, что лично я ни с кем из них не знаком, но что инженер Парижского Торгпредства Шенталь Ульрих Адольфович, давно живущий во Франции, может быть полезен в этом деле.</w:t>
      </w:r>
    </w:p>
    <w:p w14:paraId="36A0E504" w14:textId="77777777" w:rsidR="007317D2" w:rsidRPr="005E779E" w:rsidRDefault="007317D2" w:rsidP="000B7A6C">
      <w:pPr>
        <w:pStyle w:val="rtejustify"/>
        <w:spacing w:before="0" w:after="0"/>
        <w:rPr>
          <w:color w:val="000000" w:themeColor="text1"/>
          <w:sz w:val="16"/>
          <w:szCs w:val="16"/>
        </w:rPr>
      </w:pPr>
      <w:r w:rsidRPr="005E779E">
        <w:rPr>
          <w:color w:val="000000" w:themeColor="text1"/>
          <w:sz w:val="16"/>
          <w:szCs w:val="16"/>
        </w:rPr>
        <w:t>После моего разговора с Шенталь, последний имел, по его словам, беседу с Рамзиным, и свидание состоялось. С кем именно, точно не знаю, так как при свидании не был. А Шенталь назвал две фамилии — Рябушинский и Второв.</w:t>
      </w:r>
    </w:p>
    <w:p w14:paraId="557E93F5" w14:textId="77777777" w:rsidR="007317D2" w:rsidRPr="005E779E" w:rsidRDefault="007317D2" w:rsidP="000B7A6C">
      <w:pPr>
        <w:pStyle w:val="rtejustify"/>
        <w:spacing w:before="0" w:after="0"/>
        <w:rPr>
          <w:color w:val="000000" w:themeColor="text1"/>
          <w:sz w:val="16"/>
          <w:szCs w:val="16"/>
        </w:rPr>
      </w:pPr>
      <w:r w:rsidRPr="005E779E">
        <w:rPr>
          <w:color w:val="000000" w:themeColor="text1"/>
          <w:sz w:val="16"/>
          <w:szCs w:val="16"/>
        </w:rPr>
        <w:t>Далее Рамзин имел ряд свиданий с владельцами фирм, имеющих дело с Торгпредством — «Стейн», «Бабкок-Вилькокс», «Speco». В Торгпредстве в то время говорили, что французские промышленники предполагают организовать общество для постройки в СССР крупных электростанций. Шенталь сообщил мне, что по его сведениям во главе этого объединения станет владелец фирмы «Speco» Жорж Прат. Жорж Прат часто бывал по делам в Торгпредстве и по техническим вопросам иногда имел дело со мной.</w:t>
      </w:r>
    </w:p>
    <w:p w14:paraId="73FEFF1C" w14:textId="77777777" w:rsidR="007317D2" w:rsidRPr="005E779E" w:rsidRDefault="007317D2" w:rsidP="000B7A6C">
      <w:pPr>
        <w:pStyle w:val="rtejustify"/>
        <w:spacing w:before="0" w:after="0"/>
        <w:rPr>
          <w:color w:val="000000" w:themeColor="text1"/>
          <w:sz w:val="16"/>
          <w:szCs w:val="16"/>
        </w:rPr>
      </w:pPr>
      <w:r w:rsidRPr="005E779E">
        <w:rPr>
          <w:color w:val="000000" w:themeColor="text1"/>
          <w:sz w:val="16"/>
          <w:szCs w:val="16"/>
        </w:rPr>
        <w:lastRenderedPageBreak/>
        <w:t>Во время пребывания в Париже Рамзин почти ежедневно бывал в Торгпредстве, чрезвычайно интенсивно интересовался делами его — в отношении смет и предложений на предмет оборудования электростанций. В один из его визитов в Торгпредство он встретился в комнате, где я занимался, с Прат и Шенталь. Все мы перешли в кабинет Шенталь, как совершенно изолированное помещение, и там Рамзин и Прат говорили по вопросу энергетики в СССР и постройке станций.</w:t>
      </w:r>
    </w:p>
    <w:p w14:paraId="188DBE99" w14:textId="77777777" w:rsidR="007317D2" w:rsidRPr="005E779E" w:rsidRDefault="007317D2" w:rsidP="000B7A6C">
      <w:pPr>
        <w:pStyle w:val="rtejustify"/>
        <w:spacing w:before="0" w:after="0"/>
        <w:rPr>
          <w:color w:val="000000" w:themeColor="text1"/>
          <w:sz w:val="16"/>
          <w:szCs w:val="16"/>
        </w:rPr>
      </w:pPr>
      <w:r w:rsidRPr="005E779E">
        <w:rPr>
          <w:color w:val="000000" w:themeColor="text1"/>
          <w:sz w:val="16"/>
          <w:szCs w:val="16"/>
        </w:rPr>
        <w:t>Впоследствии Шенталь передавал мне, что было какое-то совещание французов, на котором присутствовал Рамзин, и что ему предполагали поручить одну из руководящих ролей в этом деле.</w:t>
      </w:r>
    </w:p>
    <w:p w14:paraId="10D5BCF1" w14:textId="77777777" w:rsidR="007317D2" w:rsidRPr="005E779E" w:rsidRDefault="007317D2" w:rsidP="000B7A6C">
      <w:pPr>
        <w:pStyle w:val="rtejustify"/>
        <w:spacing w:before="0" w:after="0"/>
        <w:rPr>
          <w:color w:val="000000" w:themeColor="text1"/>
          <w:sz w:val="16"/>
          <w:szCs w:val="16"/>
        </w:rPr>
      </w:pPr>
      <w:r w:rsidRPr="005E779E">
        <w:rPr>
          <w:color w:val="000000" w:themeColor="text1"/>
          <w:sz w:val="16"/>
          <w:szCs w:val="16"/>
        </w:rPr>
        <w:t>В Москве Рамзин говорил (в январе [19]28 г.), что он давал свой отзыв о целесообразности привлечения Французского Общества к постройке станций в СССР. Что такое привлечение Французского Общества в 1928 г. имело место, подтверждается моим разговором весной 1928 г. с Председателем Энергостроя И. П. Цишевски[м], сообщившим мне, что французы действительно хотели организовать такое Общество.</w:t>
      </w:r>
    </w:p>
    <w:p w14:paraId="72BE165B" w14:textId="77777777" w:rsidR="007317D2" w:rsidRPr="005E779E" w:rsidRDefault="007317D2" w:rsidP="000B7A6C">
      <w:pPr>
        <w:pStyle w:val="rtejustify"/>
        <w:spacing w:before="0" w:after="0"/>
        <w:rPr>
          <w:color w:val="000000" w:themeColor="text1"/>
          <w:sz w:val="16"/>
          <w:szCs w:val="16"/>
        </w:rPr>
      </w:pPr>
      <w:r w:rsidRPr="005E779E">
        <w:rPr>
          <w:color w:val="000000" w:themeColor="text1"/>
          <w:sz w:val="16"/>
          <w:szCs w:val="16"/>
        </w:rPr>
        <w:t>По приезде в конце декабря 1927 г. в Москву я вскоре получил от Наркомторга извещение, что мое обратное возвращение для работы в Парижском Торгпредстве является крайне желательным. Такое предложение со стороны Торгпредства повторялось неоднократно до августа 1928 г. Со своей стороны проф. Рамзин также дал отзыв о крайней желательности моей работы как специалиста по пылевидному топливу. Мне известно, что об этом он говорил с Энергостроем, Энергоцентром и писал в Наркомторг, в Электроимпорт. Рамзин же дал поручительство в моей лояльности Соввласти. Мне он по этому поводу сообщил, что ему желательно иметь своего человека в Париже для исполнения разного рода поручений технического характера.</w:t>
      </w:r>
    </w:p>
    <w:p w14:paraId="016C92BB" w14:textId="77777777" w:rsidR="007317D2" w:rsidRPr="005E779E" w:rsidRDefault="007317D2" w:rsidP="000B7A6C">
      <w:pPr>
        <w:pStyle w:val="rtejustify"/>
        <w:spacing w:before="0" w:after="0"/>
        <w:rPr>
          <w:color w:val="000000" w:themeColor="text1"/>
          <w:sz w:val="16"/>
          <w:szCs w:val="16"/>
        </w:rPr>
      </w:pPr>
      <w:r w:rsidRPr="005E779E">
        <w:rPr>
          <w:color w:val="000000" w:themeColor="text1"/>
          <w:sz w:val="16"/>
          <w:szCs w:val="16"/>
        </w:rPr>
        <w:t>В сентябре 1928 г. выяснилось, что моя командировка в Париж не состоится. С этого времени попыток к поездке за границу не возобновлялось, и связь с заграничными кругами осуществлялась самим Рамзиным и командируемыми инженерами.</w:t>
      </w:r>
    </w:p>
    <w:p w14:paraId="3D45B22D" w14:textId="77777777" w:rsidR="007317D2" w:rsidRPr="005E779E" w:rsidRDefault="007317D2" w:rsidP="000B7A6C">
      <w:pPr>
        <w:pStyle w:val="rtejustify"/>
        <w:spacing w:before="0" w:after="0"/>
        <w:rPr>
          <w:color w:val="000000" w:themeColor="text1"/>
          <w:sz w:val="16"/>
          <w:szCs w:val="16"/>
        </w:rPr>
      </w:pPr>
      <w:r w:rsidRPr="005E779E">
        <w:rPr>
          <w:color w:val="000000" w:themeColor="text1"/>
          <w:sz w:val="16"/>
          <w:szCs w:val="16"/>
        </w:rPr>
        <w:t>В. Худяков 10/1-31 г.</w:t>
      </w:r>
    </w:p>
    <w:p w14:paraId="35D14290" w14:textId="77777777" w:rsidR="007317D2" w:rsidRPr="005E779E" w:rsidRDefault="007317D2" w:rsidP="000B7A6C">
      <w:pPr>
        <w:pStyle w:val="ae"/>
        <w:spacing w:before="0" w:after="0"/>
        <w:jc w:val="both"/>
        <w:rPr>
          <w:color w:val="000000" w:themeColor="text1"/>
          <w:sz w:val="16"/>
          <w:szCs w:val="16"/>
        </w:rPr>
      </w:pPr>
      <w:r w:rsidRPr="005E779E">
        <w:rPr>
          <w:rStyle w:val="af0"/>
          <w:i w:val="0"/>
          <w:color w:val="000000" w:themeColor="text1"/>
          <w:sz w:val="16"/>
          <w:szCs w:val="16"/>
        </w:rPr>
        <w:t>ЦА ФСБ РФ. Ф. Р-42280. Т. 3. Л. 322-323. Машинописная копия того времени протокола допроса В. И. Худякова, который проводил следователь СО ОГПУ И. Черток (18745).</w:t>
      </w:r>
    </w:p>
    <w:p w14:paraId="37F367ED" w14:textId="77777777" w:rsidR="007317D2" w:rsidRPr="005E779E" w:rsidRDefault="007317D2" w:rsidP="000B7A6C">
      <w:pPr>
        <w:spacing w:after="0" w:line="240" w:lineRule="auto"/>
        <w:jc w:val="both"/>
        <w:rPr>
          <w:rFonts w:ascii="Times New Roman" w:hAnsi="Times New Roman"/>
          <w:color w:val="000000" w:themeColor="text1"/>
          <w:sz w:val="16"/>
          <w:szCs w:val="16"/>
        </w:rPr>
      </w:pPr>
    </w:p>
    <w:p w14:paraId="0FE6D2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января 1931 Киргизская АССР. Из Ат-Башинского района бежало в Китай более 200 киргизов, организовавших впоследствии басмаческую банду в 40 чел. (10687).</w:t>
      </w:r>
    </w:p>
    <w:p w14:paraId="251BE0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98CCBC1" w14:textId="77777777" w:rsidR="002662B0" w:rsidRPr="005E779E" w:rsidRDefault="002662B0"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Внешняя политика:</w:t>
      </w:r>
    </w:p>
    <w:p w14:paraId="6971816E" w14:textId="77777777" w:rsidR="002662B0" w:rsidRPr="005E779E" w:rsidRDefault="002662B0"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27F3C64" w14:textId="77777777" w:rsidR="002662B0" w:rsidRPr="005E779E" w:rsidRDefault="002662B0"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10 января 1931 г.</w:t>
      </w:r>
    </w:p>
    <w:p w14:paraId="263CA398" w14:textId="77777777" w:rsidR="002662B0" w:rsidRPr="005E779E" w:rsidRDefault="002662B0"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Письмо Д. Г. Штерна Ж. Л. Аренсу с оценками вышедших в нацистской и бульварной германской прессе статей о процессе «Промпартии». 10 января 1931 г.</w:t>
      </w:r>
    </w:p>
    <w:p w14:paraId="7F5CBAD5" w14:textId="77777777" w:rsidR="002662B0" w:rsidRPr="005E779E" w:rsidRDefault="002662B0"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Источник: </w:t>
      </w:r>
    </w:p>
    <w:p w14:paraId="23787B8F" w14:textId="77777777" w:rsidR="002662B0" w:rsidRPr="005E779E" w:rsidRDefault="002662B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028F24A" w14:textId="77777777" w:rsidR="002662B0" w:rsidRPr="005E779E" w:rsidRDefault="002662B0"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Архив: </w:t>
      </w:r>
    </w:p>
    <w:p w14:paraId="1DE3FCD1" w14:textId="77777777" w:rsidR="002662B0" w:rsidRPr="005E779E" w:rsidRDefault="002662B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АВП РФ. Ф. 056. On. 16. П. 33. Д. 8. Л. 50-50 об.</w:t>
      </w:r>
    </w:p>
    <w:p w14:paraId="4E66A209" w14:textId="77777777" w:rsidR="002662B0" w:rsidRPr="005E779E" w:rsidRDefault="002662B0" w:rsidP="000B7A6C">
      <w:pPr>
        <w:pStyle w:val="rteright"/>
        <w:spacing w:before="0" w:after="0"/>
        <w:jc w:val="both"/>
        <w:rPr>
          <w:color w:val="000000" w:themeColor="text1"/>
          <w:sz w:val="16"/>
          <w:szCs w:val="16"/>
        </w:rPr>
      </w:pPr>
      <w:r w:rsidRPr="005E779E">
        <w:rPr>
          <w:color w:val="000000" w:themeColor="text1"/>
          <w:sz w:val="16"/>
          <w:szCs w:val="16"/>
        </w:rPr>
        <w:t>10 января 1931 г.</w:t>
      </w:r>
    </w:p>
    <w:p w14:paraId="52631161" w14:textId="77777777" w:rsidR="002662B0" w:rsidRPr="005E779E" w:rsidRDefault="002662B0" w:rsidP="000B7A6C">
      <w:pPr>
        <w:pStyle w:val="rteright"/>
        <w:spacing w:before="0" w:after="0"/>
        <w:jc w:val="both"/>
        <w:rPr>
          <w:color w:val="000000" w:themeColor="text1"/>
          <w:sz w:val="16"/>
          <w:szCs w:val="16"/>
        </w:rPr>
      </w:pPr>
      <w:r w:rsidRPr="005E779E">
        <w:rPr>
          <w:color w:val="000000" w:themeColor="text1"/>
          <w:sz w:val="16"/>
          <w:szCs w:val="16"/>
        </w:rPr>
        <w:t>Секретно</w:t>
      </w:r>
    </w:p>
    <w:p w14:paraId="3D9E9579" w14:textId="77777777" w:rsidR="002662B0" w:rsidRPr="005E779E" w:rsidRDefault="002662B0" w:rsidP="000B7A6C">
      <w:pPr>
        <w:pStyle w:val="ae"/>
        <w:spacing w:before="0" w:after="0"/>
        <w:jc w:val="both"/>
        <w:rPr>
          <w:color w:val="000000" w:themeColor="text1"/>
          <w:sz w:val="16"/>
          <w:szCs w:val="16"/>
        </w:rPr>
      </w:pPr>
      <w:r w:rsidRPr="005E779E">
        <w:rPr>
          <w:color w:val="000000" w:themeColor="text1"/>
          <w:sz w:val="16"/>
          <w:szCs w:val="16"/>
        </w:rPr>
        <w:t>ОТДЕЛ ПЕЧАТИ НКИД</w:t>
      </w:r>
    </w:p>
    <w:p w14:paraId="07D917A1" w14:textId="77777777" w:rsidR="002662B0" w:rsidRPr="005E779E" w:rsidRDefault="002662B0" w:rsidP="000B7A6C">
      <w:pPr>
        <w:pStyle w:val="ae"/>
        <w:spacing w:before="0" w:after="0"/>
        <w:jc w:val="both"/>
        <w:rPr>
          <w:color w:val="000000" w:themeColor="text1"/>
          <w:sz w:val="16"/>
          <w:szCs w:val="16"/>
        </w:rPr>
      </w:pPr>
      <w:r w:rsidRPr="005E779E">
        <w:rPr>
          <w:color w:val="000000" w:themeColor="text1"/>
          <w:sz w:val="16"/>
          <w:szCs w:val="16"/>
        </w:rPr>
        <w:t>Тов. Аренсу</w:t>
      </w:r>
    </w:p>
    <w:p w14:paraId="2E6C38B5" w14:textId="77777777" w:rsidR="002662B0" w:rsidRPr="005E779E" w:rsidRDefault="002662B0" w:rsidP="000B7A6C">
      <w:pPr>
        <w:pStyle w:val="ae"/>
        <w:spacing w:before="0" w:after="0"/>
        <w:jc w:val="both"/>
        <w:rPr>
          <w:color w:val="000000" w:themeColor="text1"/>
          <w:sz w:val="16"/>
          <w:szCs w:val="16"/>
        </w:rPr>
      </w:pPr>
      <w:r w:rsidRPr="005E779E">
        <w:rPr>
          <w:color w:val="000000" w:themeColor="text1"/>
          <w:sz w:val="16"/>
          <w:szCs w:val="16"/>
        </w:rPr>
        <w:t>Копии: т.т. Литвинову, Крестинскому, Штейну</w:t>
      </w:r>
    </w:p>
    <w:p w14:paraId="08C83A98" w14:textId="77777777" w:rsidR="002662B0" w:rsidRPr="005E779E" w:rsidRDefault="002662B0" w:rsidP="000B7A6C">
      <w:pPr>
        <w:pStyle w:val="ae"/>
        <w:spacing w:before="0" w:after="0"/>
        <w:jc w:val="both"/>
        <w:rPr>
          <w:color w:val="000000" w:themeColor="text1"/>
          <w:sz w:val="16"/>
          <w:szCs w:val="16"/>
        </w:rPr>
      </w:pPr>
      <w:r w:rsidRPr="005E779E">
        <w:rPr>
          <w:color w:val="000000" w:themeColor="text1"/>
          <w:sz w:val="16"/>
          <w:szCs w:val="16"/>
        </w:rPr>
        <w:t>Уважаемый Товарищ,</w:t>
      </w:r>
    </w:p>
    <w:p w14:paraId="047C8D99" w14:textId="77777777" w:rsidR="002662B0" w:rsidRPr="005E779E" w:rsidRDefault="002662B0" w:rsidP="000B7A6C">
      <w:pPr>
        <w:pStyle w:val="rtejustify"/>
        <w:spacing w:before="0" w:after="0"/>
        <w:rPr>
          <w:color w:val="000000" w:themeColor="text1"/>
          <w:sz w:val="16"/>
          <w:szCs w:val="16"/>
        </w:rPr>
      </w:pPr>
      <w:r w:rsidRPr="005E779E">
        <w:rPr>
          <w:color w:val="000000" w:themeColor="text1"/>
          <w:sz w:val="16"/>
          <w:szCs w:val="16"/>
        </w:rPr>
        <w:t>Бюро Шустермана прислало мне за последние дни ряд вырезок, заслуживающих внимания.</w:t>
      </w:r>
    </w:p>
    <w:p w14:paraId="3950D8C9" w14:textId="77777777" w:rsidR="002662B0" w:rsidRPr="005E779E" w:rsidRDefault="002662B0" w:rsidP="000B7A6C">
      <w:pPr>
        <w:numPr>
          <w:ilvl w:val="0"/>
          <w:numId w:val="5"/>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«Дер дейтче Форвертс», орган дейтч-национальных профсоюзов, помещает статью, посвященную процессу «Промпартии». В статье указывается, что Советский Союз проводит грандиозный эксперимент, стоящий огромных лишений населения, но имеющий огромное влияние на весь мир. Большевики в своем стремлении ускорить темп индустриализации отнеслись с огромным доверием к старым опытным инженерам. Этим, однако, воспользовались иностранные промышленные круги, а также Франция, заинтересованная в получении аннулированных большевиками займов. Уже давно было установлено, что французский генеральный штаб участвовал в заговоре. Францпра не могло дементировать ряда фактов, в частности того, что русским инженерам была обещана поддержка Франции, в случае их провала. Этим и объясняется то обстоятельство, что арестованные во всем сознались, т. к. они увидели, что французы их бросили на произвол судьбы. Задачей Франции является ослабление России с целью полной изоляции Германии. Отсюда вытекает тождественность германских и советских интересов.</w:t>
      </w:r>
    </w:p>
    <w:p w14:paraId="6D996551" w14:textId="77777777" w:rsidR="002662B0" w:rsidRPr="005E779E" w:rsidRDefault="002662B0" w:rsidP="000B7A6C">
      <w:pPr>
        <w:numPr>
          <w:ilvl w:val="0"/>
          <w:numId w:val="5"/>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Бульварный «Клейне Журналь» помещает большое сообщение, озаглавленное «Что происходит во французском посольстве &lt;в Берлине&gt;». Указывается, что спешно отозван, в связи с скандалом, морской атташе де Прево. Далее отозван корректный и порядочный офицер ген[ерал] Турне и вместо него военным атташе назначен матерый разведчик и крупный работник Отдела по Шпионажу французского Генштаба Шаполи. Он проводил большую работу, направленную против Германии в Сааре и Силезии. Далее отозван финансовый атташе Шевалье, который вместе с торговым атташе Лефевром, отозвание которого предстоит, наносили большой ущерб германскому народному хозяйству, давая в Париж ложные сообщения о предстоящем падении курса германских ценностей, что было ими использовано для спекуляции германскими акциями. Оба они были замешаны вместе со своим покровителем Тардье в устриковском скандале.</w:t>
      </w:r>
    </w:p>
    <w:p w14:paraId="30D0CD83" w14:textId="77777777" w:rsidR="002662B0" w:rsidRPr="005E779E" w:rsidRDefault="002662B0" w:rsidP="000B7A6C">
      <w:pPr>
        <w:numPr>
          <w:ilvl w:val="0"/>
          <w:numId w:val="5"/>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«Фелькише Беобахтер» под большим заголовком «Все французские министры продажны» приводит сообщение, направленное против Тардье и содержащее очень резкие эпитеты, как шибер и проч.</w:t>
      </w:r>
    </w:p>
    <w:p w14:paraId="5568E272" w14:textId="77777777" w:rsidR="002662B0" w:rsidRPr="005E779E" w:rsidRDefault="002662B0" w:rsidP="000B7A6C">
      <w:pPr>
        <w:numPr>
          <w:ilvl w:val="0"/>
          <w:numId w:val="5"/>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«Дейтче Тагесцейтунг» помещает сенсационное разоблачение о том, что в Данциге якобы существует польская тайная военная школа, функционирующая под прикрытием лиги польской культуры. Основанием для этого разоблачения является заявление какого-то студента, направленное якобы в польские военные органы, с просьбой предоставить ему возможность проходить курс военного обучения в польской военной школе в Данциге.</w:t>
      </w:r>
    </w:p>
    <w:p w14:paraId="33C410AC" w14:textId="77777777" w:rsidR="002662B0" w:rsidRPr="005E779E" w:rsidRDefault="002662B0" w:rsidP="000B7A6C">
      <w:pPr>
        <w:pStyle w:val="rtejustify"/>
        <w:spacing w:before="0" w:after="0"/>
        <w:rPr>
          <w:color w:val="000000" w:themeColor="text1"/>
          <w:sz w:val="16"/>
          <w:szCs w:val="16"/>
        </w:rPr>
      </w:pPr>
      <w:r w:rsidRPr="005E779E">
        <w:rPr>
          <w:color w:val="000000" w:themeColor="text1"/>
          <w:sz w:val="16"/>
          <w:szCs w:val="16"/>
        </w:rPr>
        <w:t>По наведенным мною справкам, все эти сообщения в основном не соответствуют действительности, исключая лишь личности Шаполи и отозвания военного морского, военного и финансового атташе.</w:t>
      </w:r>
    </w:p>
    <w:p w14:paraId="03C0677C" w14:textId="77777777" w:rsidR="002662B0" w:rsidRPr="005E779E" w:rsidRDefault="002662B0" w:rsidP="000B7A6C">
      <w:pPr>
        <w:pStyle w:val="rtejustify"/>
        <w:spacing w:before="0" w:after="0"/>
        <w:rPr>
          <w:color w:val="000000" w:themeColor="text1"/>
          <w:sz w:val="16"/>
          <w:szCs w:val="16"/>
        </w:rPr>
      </w:pPr>
      <w:r w:rsidRPr="005E779E">
        <w:rPr>
          <w:color w:val="000000" w:themeColor="text1"/>
          <w:sz w:val="16"/>
          <w:szCs w:val="16"/>
        </w:rPr>
        <w:t>С товарищеским приветом</w:t>
      </w:r>
    </w:p>
    <w:p w14:paraId="074EC117" w14:textId="77777777" w:rsidR="002662B0" w:rsidRPr="005E779E" w:rsidRDefault="002662B0" w:rsidP="000B7A6C">
      <w:pPr>
        <w:pStyle w:val="rtejustify"/>
        <w:spacing w:before="0" w:after="0"/>
        <w:rPr>
          <w:color w:val="000000" w:themeColor="text1"/>
          <w:sz w:val="16"/>
          <w:szCs w:val="16"/>
        </w:rPr>
      </w:pPr>
      <w:r w:rsidRPr="005E779E">
        <w:rPr>
          <w:color w:val="000000" w:themeColor="text1"/>
          <w:sz w:val="16"/>
          <w:szCs w:val="16"/>
        </w:rPr>
        <w:t>Д. Штерн</w:t>
      </w:r>
    </w:p>
    <w:p w14:paraId="735235F1" w14:textId="77777777" w:rsidR="002662B0" w:rsidRPr="005E779E" w:rsidRDefault="002662B0" w:rsidP="000B7A6C">
      <w:pPr>
        <w:pStyle w:val="ae"/>
        <w:spacing w:before="0" w:after="0"/>
        <w:jc w:val="both"/>
        <w:rPr>
          <w:color w:val="000000" w:themeColor="text1"/>
          <w:sz w:val="16"/>
          <w:szCs w:val="16"/>
        </w:rPr>
      </w:pPr>
      <w:r w:rsidRPr="005E779E">
        <w:rPr>
          <w:rStyle w:val="af0"/>
          <w:i w:val="0"/>
          <w:color w:val="000000" w:themeColor="text1"/>
          <w:sz w:val="16"/>
          <w:szCs w:val="16"/>
        </w:rPr>
        <w:t>АВП РФ. Ф. 056. On. 16. П. 33. Д. 8. Л. 50-50 об. Машинописный подлинник на бланке Полпредства СССР в Германии, подпись — автограф. Гриф секретности и дата машинописью, исходящий номер «№ 80» от руки в графе бланка. Вверху Л. 30 написаны от руки входящий номер и дата получения документа «15/I-31 г.», подпись-росчерк Миронова (18893).</w:t>
      </w:r>
    </w:p>
    <w:p w14:paraId="33EC4D4C" w14:textId="77777777" w:rsidR="002662B0" w:rsidRPr="005E779E" w:rsidRDefault="002662B0" w:rsidP="000B7A6C">
      <w:pPr>
        <w:spacing w:after="0" w:line="240" w:lineRule="auto"/>
        <w:jc w:val="both"/>
        <w:rPr>
          <w:rFonts w:ascii="Times New Roman" w:hAnsi="Times New Roman"/>
          <w:color w:val="000000" w:themeColor="text1"/>
          <w:sz w:val="16"/>
          <w:szCs w:val="16"/>
        </w:rPr>
      </w:pPr>
    </w:p>
    <w:p w14:paraId="0B5E2212"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354DCEA0"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4FCB1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января 1931 г. Р-ЗЛД с АПК-1 с новым трубчатым магазином на три снаряда, установленным параллельно стволу вместе с другими перспективными видами вооружения с нею ознакомились члены Реввоенсовета СССР и представители командования Красной Армии. Летчик Иванов сделал четыре выстрела шрапнелью по рукаву, буксировавшемуся другим самолетом. Перезарядку осуществлял летнаб, дергая за трос. Он же должен был в полете, высовываясь за борт, укладывать новые боеприпасы в магазин. Сведений о попаданиях обнаружить не удалось.</w:t>
      </w:r>
    </w:p>
    <w:p w14:paraId="6D41EC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Упоминания об испытаниях ДРП на Р-ЗЛД встречаются в документах до конца 1931 г. Но надежность динамореактивной пушки в то время была невысока, так же как точность стрельбы из нее. В то же время применение ДРП требовало значительного увеличения прочности планера самолета. Широкого распространения они не получили и на Р-3 в строевых частях не устанавливались (11985).</w:t>
      </w:r>
    </w:p>
    <w:p w14:paraId="152233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C13BAF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января 1931 года были начаты наземные испытания КАСКР-2. В этот день замерили тягу винта при различных оборотах мотора. При полном газе новый двигатель обеспечил 400 кгс тяги, на 80 кгс больше, чем при старом (10224,33).</w:t>
      </w:r>
    </w:p>
    <w:p w14:paraId="7BF97F5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96D0A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января 1931 г. модифицированный автожир КАСКР-1 «Красный инженер» начал проходить испытания, и вскоре, 2 мая 1931 г., Н. И. Камову удалось добиться, чтобы автожир был про</w:t>
      </w:r>
      <w:r w:rsidRPr="005E779E">
        <w:rPr>
          <w:rFonts w:ascii="Times New Roman" w:hAnsi="Times New Roman"/>
          <w:color w:val="000000" w:themeColor="text1"/>
          <w:sz w:val="16"/>
          <w:szCs w:val="16"/>
        </w:rPr>
        <w:softHyphen/>
        <w:t>демонстрирован членам правительства во главе в И. В. Сталиным, поддержавшим работы Н. И. Камова по автожирам. Об этом под</w:t>
      </w:r>
      <w:r w:rsidRPr="005E779E">
        <w:rPr>
          <w:rFonts w:ascii="Times New Roman" w:hAnsi="Times New Roman"/>
          <w:color w:val="000000" w:themeColor="text1"/>
          <w:sz w:val="16"/>
          <w:szCs w:val="16"/>
        </w:rPr>
        <w:softHyphen/>
        <w:t>робно рассказано в книге «Камов», подготовленной Ю. А. Савин-ским к 100-летию со дня рождения Н. И. Камова. Всего на авто</w:t>
      </w:r>
      <w:r w:rsidRPr="005E779E">
        <w:rPr>
          <w:rFonts w:ascii="Times New Roman" w:hAnsi="Times New Roman"/>
          <w:color w:val="000000" w:themeColor="text1"/>
          <w:sz w:val="16"/>
          <w:szCs w:val="16"/>
        </w:rPr>
        <w:softHyphen/>
        <w:t>жире КАСКР-2 летчиком Д. А. Кошицем было совершено 90 по</w:t>
      </w:r>
      <w:r w:rsidRPr="005E779E">
        <w:rPr>
          <w:rFonts w:ascii="Times New Roman" w:hAnsi="Times New Roman"/>
          <w:color w:val="000000" w:themeColor="text1"/>
          <w:sz w:val="16"/>
          <w:szCs w:val="16"/>
        </w:rPr>
        <w:softHyphen/>
        <w:t>летов, достигнута скорость 110 км/ч и высота 450 м (10736).</w:t>
      </w:r>
    </w:p>
    <w:p w14:paraId="0DCF320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BEA8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11 января 1931 г. с новым мотором автожир, который стал называться КАСКР-2, впервые поднялся в воздух. 21 мая 1931 г. на Центральном аэродроме в Тушино автожир Камова и Скрижинского участвовал в показе новейшей авиационной техники руководству страны. Сталин, Ворошилов и Молотов обходили длинную шеренгу истребителей и бомбардировщиков, а замыкал «парад» необычный винтокрылый аппарат. Камов сам доложил Сталину о машине, и «лучший друг советских авиаторов» очень заинтересовался КАСКРом. Поддержал конструктора эффектным полетом и Кошиц. Сделав три круга над аэродромом, летчик красиво спланировал </w:t>
      </w:r>
      <w:r w:rsidRPr="005E779E">
        <w:rPr>
          <w:rFonts w:ascii="Times New Roman" w:hAnsi="Times New Roman"/>
          <w:color w:val="000000" w:themeColor="text1"/>
          <w:sz w:val="16"/>
          <w:szCs w:val="16"/>
        </w:rPr>
        <w:lastRenderedPageBreak/>
        <w:t>и посадил КАСКР-2 вблизи трибуны с членами правительства, совершив пробег на посадке всего в несколько метров. Позже Баранов рассказывал, что автожир очень понравился высокому руководству и, в первую очередь, Сталину (11860).</w:t>
      </w:r>
    </w:p>
    <w:p w14:paraId="0D5CE4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FA8B508" w14:textId="77777777" w:rsidR="000B4A7D" w:rsidRPr="005E779E" w:rsidRDefault="000B4A7D"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11 января</w:t>
      </w:r>
      <w:r w:rsidRPr="005E779E">
        <w:rPr>
          <w:rFonts w:ascii="Times New Roman" w:hAnsi="Times New Roman"/>
          <w:color w:val="000000" w:themeColor="text1"/>
          <w:sz w:val="16"/>
          <w:szCs w:val="16"/>
        </w:rPr>
        <w:t xml:space="preserve"> в 1931 году первый полёт автожира «КАСКР-2» с двигателем "Титан" (235 л.с.). Построен Камовым вместе с Н. К.Скрижинским, отсюда и название – «КАСКР» (Камов - Скрижинский)</w:t>
      </w:r>
    </w:p>
    <w:p w14:paraId="4635D517" w14:textId="77777777" w:rsidR="000B4A7D" w:rsidRPr="005E779E" w:rsidRDefault="000B4A7D" w:rsidP="000B7A6C">
      <w:pPr>
        <w:spacing w:after="0" w:line="240" w:lineRule="auto"/>
        <w:jc w:val="both"/>
        <w:rPr>
          <w:rFonts w:ascii="Times New Roman" w:hAnsi="Times New Roman"/>
          <w:bCs/>
          <w:color w:val="000000" w:themeColor="text1"/>
          <w:sz w:val="16"/>
          <w:szCs w:val="16"/>
        </w:rPr>
      </w:pPr>
    </w:p>
    <w:p w14:paraId="53D98D9A" w14:textId="77777777" w:rsidR="00B23E00" w:rsidRPr="005E779E" w:rsidRDefault="00B23E0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января 1931 г. начались испытания КАСКР-2 (предыдущий, соответст</w:t>
      </w:r>
      <w:r w:rsidRPr="005E779E">
        <w:rPr>
          <w:rFonts w:ascii="Times New Roman" w:hAnsi="Times New Roman"/>
          <w:color w:val="000000" w:themeColor="text1"/>
          <w:sz w:val="16"/>
          <w:szCs w:val="16"/>
        </w:rPr>
        <w:softHyphen/>
        <w:t>венно, КАСКР-1). Практически сразу на нем начал летать новый летчик С.А. Корзинщиков, впоследствии испытавший многие со</w:t>
      </w:r>
      <w:r w:rsidRPr="005E779E">
        <w:rPr>
          <w:rFonts w:ascii="Times New Roman" w:hAnsi="Times New Roman"/>
          <w:color w:val="000000" w:themeColor="text1"/>
          <w:sz w:val="16"/>
          <w:szCs w:val="16"/>
        </w:rPr>
        <w:softHyphen/>
        <w:t>ветские опытные автожиры. Более мощный двигатель заметно повысил способнос</w:t>
      </w:r>
      <w:r w:rsidRPr="005E779E">
        <w:rPr>
          <w:rFonts w:ascii="Times New Roman" w:hAnsi="Times New Roman"/>
          <w:color w:val="000000" w:themeColor="text1"/>
          <w:sz w:val="16"/>
          <w:szCs w:val="16"/>
        </w:rPr>
        <w:softHyphen/>
        <w:t>ти КАСКРа — разбег составлял 20 метров в течение 5-6 се</w:t>
      </w:r>
      <w:r w:rsidRPr="005E779E">
        <w:rPr>
          <w:rFonts w:ascii="Times New Roman" w:hAnsi="Times New Roman"/>
          <w:color w:val="000000" w:themeColor="text1"/>
          <w:sz w:val="16"/>
          <w:szCs w:val="16"/>
        </w:rPr>
        <w:softHyphen/>
        <w:t>кунд, а максимальная высота, достигнутая 13 января, со</w:t>
      </w:r>
      <w:r w:rsidRPr="005E779E">
        <w:rPr>
          <w:rFonts w:ascii="Times New Roman" w:hAnsi="Times New Roman"/>
          <w:color w:val="000000" w:themeColor="text1"/>
          <w:sz w:val="16"/>
          <w:szCs w:val="16"/>
        </w:rPr>
        <w:softHyphen/>
        <w:t>ставила 230 метров (20361).</w:t>
      </w:r>
    </w:p>
    <w:p w14:paraId="5C1A4188" w14:textId="77777777" w:rsidR="00B23E00" w:rsidRPr="005E779E" w:rsidRDefault="00B23E00" w:rsidP="000B7A6C">
      <w:pPr>
        <w:shd w:val="clear" w:color="auto" w:fill="FFFFFF"/>
        <w:spacing w:after="0" w:line="240" w:lineRule="auto"/>
        <w:jc w:val="both"/>
        <w:rPr>
          <w:rFonts w:ascii="Times New Roman" w:hAnsi="Times New Roman"/>
          <w:color w:val="000000" w:themeColor="text1"/>
          <w:sz w:val="16"/>
          <w:szCs w:val="16"/>
        </w:rPr>
      </w:pPr>
    </w:p>
    <w:p w14:paraId="1A3C9D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января 1931 СНК постановил относить новостройки ГВФ к первоочередным и подлежащими внеочередному снабжению (356,417).</w:t>
      </w:r>
    </w:p>
    <w:p w14:paraId="226EA4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82B115B" w14:textId="77777777" w:rsidR="00EA061A" w:rsidRPr="005E779E" w:rsidRDefault="00EA061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января 1931 г. СНК СССР вынес постановление, объявлявшее все строительство и эксплуатацию гражданского воздушного флота особо привилегированными, отнесенными к внеочередным важнейшим объектам. Ряд дальнейших постановлений партии и правительства придавали гражданскому воздушному флоту первостепенное значение.</w:t>
      </w:r>
    </w:p>
    <w:p w14:paraId="174594D8" w14:textId="77777777" w:rsidR="00EA061A" w:rsidRPr="005E779E" w:rsidRDefault="00EA061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/ВВФ, 1931 № 4, стр. 44/ (23370).</w:t>
      </w:r>
    </w:p>
    <w:p w14:paraId="636BF291" w14:textId="77777777" w:rsidR="00EA061A" w:rsidRPr="005E779E" w:rsidRDefault="00EA061A" w:rsidP="000B7A6C">
      <w:pPr>
        <w:spacing w:after="0" w:line="240" w:lineRule="auto"/>
        <w:jc w:val="both"/>
        <w:rPr>
          <w:rFonts w:ascii="Times New Roman" w:hAnsi="Times New Roman"/>
          <w:color w:val="000000" w:themeColor="text1"/>
          <w:sz w:val="16"/>
          <w:szCs w:val="16"/>
        </w:rPr>
      </w:pPr>
    </w:p>
    <w:p w14:paraId="099B2C35" w14:textId="2C84804B"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11 января </w:t>
      </w:r>
      <w:r w:rsidR="00EA061A" w:rsidRPr="005E779E">
        <w:rPr>
          <w:rFonts w:ascii="Times New Roman" w:hAnsi="Times New Roman"/>
          <w:color w:val="000000" w:themeColor="text1"/>
          <w:sz w:val="16"/>
          <w:szCs w:val="16"/>
        </w:rPr>
        <w:t xml:space="preserve">1931 г. (с 3 декабря 1930 года) </w:t>
      </w:r>
      <w:r w:rsidRPr="005E779E">
        <w:rPr>
          <w:rFonts w:ascii="Times New Roman" w:hAnsi="Times New Roman"/>
          <w:color w:val="000000" w:themeColor="text1"/>
          <w:sz w:val="16"/>
          <w:szCs w:val="16"/>
        </w:rPr>
        <w:t>и с 2 марта 1931 года по 22 марта 1931 года в НИАПе были проведены испытания опытной партии 2-кг осколочных бомб (3326).</w:t>
      </w:r>
    </w:p>
    <w:p w14:paraId="20FB92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E3B4F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января 1931 года в НИАПе закончились испытания бомб осколочно-химических, корпус стальной; корпус железный, насыпные осколки - бомба осколочная и осколочно-химическая; корпус сталистого чугуна, наружная поверхность корпуса рифленая, которые проходили с 13 декабря 1930 года (3326).</w:t>
      </w:r>
    </w:p>
    <w:p w14:paraId="746BDF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958319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января 1931 года была проведена демонстрация наркому Ворошилову отечественных десантных парашютов Гроховского…………….После демонстрации Баранов поднял вопрос о переводе Гроховского в его распоряжение на что и получил согласие бывшего зампреда Уборевича (6769, 29-31).</w:t>
      </w:r>
    </w:p>
    <w:p w14:paraId="777429A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D6E778" w14:textId="77777777" w:rsidR="009B4119" w:rsidRPr="00142305" w:rsidRDefault="009B4119" w:rsidP="009B411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11 января 1931 года вышло решение Совета народных комиссаров (СНК) СССР «О приравнении гражданского воздушного флота к важнейшим внеочередным объектам капитального строительства» (25172).</w:t>
      </w:r>
    </w:p>
    <w:p w14:paraId="217AE35A" w14:textId="77777777" w:rsidR="009B4119" w:rsidRPr="00142305" w:rsidRDefault="009B4119" w:rsidP="009B4119">
      <w:pPr>
        <w:spacing w:after="0" w:line="240" w:lineRule="auto"/>
        <w:jc w:val="both"/>
        <w:rPr>
          <w:rFonts w:ascii="Times New Roman" w:hAnsi="Times New Roman"/>
          <w:color w:val="0070C0"/>
          <w:sz w:val="16"/>
          <w:szCs w:val="16"/>
        </w:rPr>
      </w:pPr>
    </w:p>
    <w:p w14:paraId="3E6FC34A"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60A3C805"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63D555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января 1931 г. С. Гинзбург докладывал в НКВМД:</w:t>
      </w:r>
    </w:p>
    <w:p w14:paraId="7A0099B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«...испытанный англ[ийский] В-26 имеет следующие по</w:t>
      </w:r>
      <w:r w:rsidRPr="005E779E">
        <w:rPr>
          <w:rFonts w:ascii="Times New Roman" w:hAnsi="Times New Roman"/>
          <w:color w:val="000000" w:themeColor="text1"/>
          <w:sz w:val="16"/>
          <w:szCs w:val="16"/>
        </w:rPr>
        <w:softHyphen/>
        <w:t>ложительные черты:</w:t>
      </w:r>
    </w:p>
    <w:p w14:paraId="0414EB0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мотору: Хорошая приемистость, хорошая смазка, хо</w:t>
      </w:r>
      <w:r w:rsidRPr="005E779E">
        <w:rPr>
          <w:rFonts w:ascii="Times New Roman" w:hAnsi="Times New Roman"/>
          <w:color w:val="000000" w:themeColor="text1"/>
          <w:sz w:val="16"/>
          <w:szCs w:val="16"/>
        </w:rPr>
        <w:softHyphen/>
        <w:t>рошая система питания, наличие воздушного охлаждения, малая высота мотора...</w:t>
      </w:r>
    </w:p>
    <w:p w14:paraId="3189293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коробке скоростей: простая схема передач, достаточ</w:t>
      </w:r>
      <w:r w:rsidRPr="005E779E">
        <w:rPr>
          <w:rFonts w:ascii="Times New Roman" w:hAnsi="Times New Roman"/>
          <w:color w:val="000000" w:themeColor="text1"/>
          <w:sz w:val="16"/>
          <w:szCs w:val="16"/>
        </w:rPr>
        <w:softHyphen/>
        <w:t>ное количество скоростей, удобная схема переключения;</w:t>
      </w:r>
    </w:p>
    <w:p w14:paraId="75FEC2E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Компактные и надежные бортовые фрикционы..., хорошо У работает движитель вследствие цевочного ведения треков... | Простота и надежность конструкции ведущего колеси, ле</w:t>
      </w:r>
      <w:r w:rsidRPr="005E779E">
        <w:rPr>
          <w:rFonts w:ascii="Times New Roman" w:hAnsi="Times New Roman"/>
          <w:color w:val="000000" w:themeColor="text1"/>
          <w:sz w:val="16"/>
          <w:szCs w:val="16"/>
        </w:rPr>
        <w:softHyphen/>
        <w:t>нивца, тележек подвески и механизма натяжения гусеницы...</w:t>
      </w:r>
    </w:p>
    <w:p w14:paraId="4987D9E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корпусу: простая и довольно выгодная в производстве форма корпуса...</w:t>
      </w:r>
    </w:p>
    <w:p w14:paraId="7BC05A5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вооружению: хороший оптический прицел, превосходя-Ц' щий имеющийся для вооружения танков Т-18 и Т-19...</w:t>
      </w:r>
    </w:p>
    <w:p w14:paraId="1D56EED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Отрицательные особенности:</w:t>
      </w:r>
    </w:p>
    <w:p w14:paraId="2B154DC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Возможность чрезмерного развития оборотов двигателя вследствие отсутствия регулятора оборотов и его контроля...</w:t>
      </w:r>
    </w:p>
    <w:p w14:paraId="6B5684F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Невозможность проведения форсирования мотора принятыми методами, без внесения значительных изменений в его конструкцию...</w:t>
      </w:r>
    </w:p>
    <w:p w14:paraId="7136F8B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Доступность к обслуживанию механизмов мотора только снаружи, что не позволяет проводить текущий ремонт в бою без риска жизнью членов экипажа.</w:t>
      </w:r>
    </w:p>
    <w:p w14:paraId="64F0D60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Большое время разбронировки для доступа к механизмам двигателя и трансмиссии...</w:t>
      </w:r>
    </w:p>
    <w:p w14:paraId="0650B2E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Имевшиеся случаи обрыва клапанов, как следствие чрез</w:t>
      </w:r>
      <w:r w:rsidRPr="005E779E">
        <w:rPr>
          <w:rFonts w:ascii="Times New Roman" w:hAnsi="Times New Roman"/>
          <w:color w:val="000000" w:themeColor="text1"/>
          <w:sz w:val="16"/>
          <w:szCs w:val="16"/>
        </w:rPr>
        <w:softHyphen/>
        <w:t>мерного развития оборотов двигателя...</w:t>
      </w:r>
    </w:p>
    <w:p w14:paraId="60EB026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Отказ в работе однодискового сцепления после пробега 350-400 км.</w:t>
      </w:r>
    </w:p>
    <w:p w14:paraId="32C8311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Отказ в пуске мотора при температуре ниже -7 гр. Пус</w:t>
      </w:r>
      <w:r w:rsidRPr="005E779E">
        <w:rPr>
          <w:rFonts w:ascii="Times New Roman" w:hAnsi="Times New Roman"/>
          <w:color w:val="000000" w:themeColor="text1"/>
          <w:sz w:val="16"/>
          <w:szCs w:val="16"/>
        </w:rPr>
        <w:softHyphen/>
        <w:t>кался только буксировкой... Необходимо усовершенствовать карбюратор и магнето... Периодическое чихание двигателя прирезком изменении оборотов двигателя...</w:t>
      </w:r>
    </w:p>
    <w:p w14:paraId="4510FD8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глушении мотора имеет место продолжение его ра</w:t>
      </w:r>
      <w:r w:rsidRPr="005E779E">
        <w:rPr>
          <w:rFonts w:ascii="Times New Roman" w:hAnsi="Times New Roman"/>
          <w:color w:val="000000" w:themeColor="text1"/>
          <w:sz w:val="16"/>
          <w:szCs w:val="16"/>
        </w:rPr>
        <w:softHyphen/>
        <w:t>боты от самовоспламенения смеси от накалившегося корпуса мотора, или окалины...</w:t>
      </w:r>
    </w:p>
    <w:p w14:paraId="37D9FAC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Сбрасывает третью скорость: недостаточна ширина шестерен этой передачи и недоработка стопора...</w:t>
      </w:r>
    </w:p>
    <w:p w14:paraId="407697F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Забрызгивает маслом тормозные ленты. Масло пробива</w:t>
      </w:r>
      <w:r w:rsidRPr="005E779E">
        <w:rPr>
          <w:rFonts w:ascii="Times New Roman" w:hAnsi="Times New Roman"/>
          <w:color w:val="000000" w:themeColor="text1"/>
          <w:sz w:val="16"/>
          <w:szCs w:val="16"/>
        </w:rPr>
        <w:softHyphen/>
        <w:t>ется через уплотнения коробки ведущего колеса... Сминаются и крошатся концы реборд катков... Слабое сцепление гусени</w:t>
      </w:r>
      <w:r w:rsidRPr="005E779E">
        <w:rPr>
          <w:rFonts w:ascii="Times New Roman" w:hAnsi="Times New Roman"/>
          <w:color w:val="000000" w:themeColor="text1"/>
          <w:sz w:val="16"/>
          <w:szCs w:val="16"/>
        </w:rPr>
        <w:softHyphen/>
        <w:t>цы по снежному покрову — нужны шпоры...</w:t>
      </w:r>
    </w:p>
    <w:p w14:paraId="20B1636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Недоработана система обзора из башни — нет кругового обзора. Невозможно установить наблюдательную башенку командира танка...</w:t>
      </w:r>
    </w:p>
    <w:p w14:paraId="503F63D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Отсутствует нормальная видимость у водителя при езде с закрытыми передними щитами...</w:t>
      </w:r>
    </w:p>
    <w:p w14:paraId="2AE6583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Малая толщина вертикального бронирования танка — 8-12,7 мм...</w:t>
      </w:r>
    </w:p>
    <w:p w14:paraId="61D334C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ОБЩИЙ ВЫВОД</w:t>
      </w:r>
    </w:p>
    <w:p w14:paraId="7E9BDD3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Движитель и трансмиссия танка при условии их дора</w:t>
      </w:r>
      <w:r w:rsidRPr="005E779E">
        <w:rPr>
          <w:rFonts w:ascii="Times New Roman" w:hAnsi="Times New Roman"/>
          <w:color w:val="000000" w:themeColor="text1"/>
          <w:sz w:val="16"/>
          <w:szCs w:val="16"/>
        </w:rPr>
        <w:softHyphen/>
        <w:t>ботки представляют собой надежные и простые аггрегаты вполне соответствующие требованиям к легким скоростным танкам РККА...</w:t>
      </w:r>
    </w:p>
    <w:p w14:paraId="3C81EED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Очень компактный мотор вследствие затрудненного его обслуживания и доступности при осмотрах и ремонте явля</w:t>
      </w:r>
      <w:r w:rsidRPr="005E779E">
        <w:rPr>
          <w:rFonts w:ascii="Times New Roman" w:hAnsi="Times New Roman"/>
          <w:color w:val="000000" w:themeColor="text1"/>
          <w:sz w:val="16"/>
          <w:szCs w:val="16"/>
        </w:rPr>
        <w:softHyphen/>
        <w:t>ется недостаточно подходящим для установки на танк... Конструкция мотора не позволяет осуществить увеличение его мощности путем форсирования без изменения его конст</w:t>
      </w:r>
      <w:r w:rsidRPr="005E779E">
        <w:rPr>
          <w:rFonts w:ascii="Times New Roman" w:hAnsi="Times New Roman"/>
          <w:color w:val="000000" w:themeColor="text1"/>
          <w:sz w:val="16"/>
          <w:szCs w:val="16"/>
        </w:rPr>
        <w:softHyphen/>
        <w:t>рукции...</w:t>
      </w:r>
    </w:p>
    <w:p w14:paraId="5FB50ED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Однако танк В-26, несмотря на рассмотренные недо</w:t>
      </w:r>
      <w:r w:rsidRPr="005E779E">
        <w:rPr>
          <w:rFonts w:ascii="Times New Roman" w:hAnsi="Times New Roman"/>
          <w:color w:val="000000" w:themeColor="text1"/>
          <w:sz w:val="16"/>
          <w:szCs w:val="16"/>
        </w:rPr>
        <w:softHyphen/>
        <w:t>статки, способен развить высокую скорость и маневрен</w:t>
      </w:r>
      <w:r w:rsidRPr="005E779E">
        <w:rPr>
          <w:rFonts w:ascii="Times New Roman" w:hAnsi="Times New Roman"/>
          <w:color w:val="000000" w:themeColor="text1"/>
          <w:sz w:val="16"/>
          <w:szCs w:val="16"/>
        </w:rPr>
        <w:softHyphen/>
        <w:t>ность и является без сомнения лучшим образцом из всех из</w:t>
      </w:r>
      <w:r w:rsidRPr="005E779E">
        <w:rPr>
          <w:rFonts w:ascii="Times New Roman" w:hAnsi="Times New Roman"/>
          <w:color w:val="000000" w:themeColor="text1"/>
          <w:sz w:val="16"/>
          <w:szCs w:val="16"/>
        </w:rPr>
        <w:softHyphen/>
        <w:t>вестных в настоящее время образцов заграничных танков...»</w:t>
      </w:r>
    </w:p>
    <w:p w14:paraId="400637C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Вывод о целесообразности производства танка В-26 по результатам испытаний был сделан следующий:</w:t>
      </w:r>
    </w:p>
    <w:p w14:paraId="49977F1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настоящее время в СССР имеются два типа конструк</w:t>
      </w:r>
      <w:r w:rsidRPr="005E779E">
        <w:rPr>
          <w:rFonts w:ascii="Times New Roman" w:hAnsi="Times New Roman"/>
          <w:color w:val="000000" w:themeColor="text1"/>
          <w:sz w:val="16"/>
          <w:szCs w:val="16"/>
        </w:rPr>
        <w:softHyphen/>
        <w:t>ций перспективных малых танков:</w:t>
      </w:r>
    </w:p>
    <w:p w14:paraId="53F2E04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на заводе «Большевик» достраивается танк Т-19;</w:t>
      </w:r>
    </w:p>
    <w:p w14:paraId="2793F97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танк В-26, прошедший первый цикл зимних испытаний. При примерно равном весе, скоростных и тяговых воз</w:t>
      </w:r>
      <w:r w:rsidRPr="005E779E">
        <w:rPr>
          <w:rFonts w:ascii="Times New Roman" w:hAnsi="Times New Roman"/>
          <w:color w:val="000000" w:themeColor="text1"/>
          <w:sz w:val="16"/>
          <w:szCs w:val="16"/>
        </w:rPr>
        <w:softHyphen/>
        <w:t>можностях, Т-19 имеет:</w:t>
      </w:r>
    </w:p>
    <w:p w14:paraId="72D5F7A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Преимущества:</w:t>
      </w:r>
    </w:p>
    <w:p w14:paraId="158A04E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мотор вертикального типа с регулятором в 100 л.с. и весьма удобным расположением, имеющим доступ для обслу</w:t>
      </w:r>
      <w:r w:rsidRPr="005E779E">
        <w:rPr>
          <w:rFonts w:ascii="Times New Roman" w:hAnsi="Times New Roman"/>
          <w:color w:val="000000" w:themeColor="text1"/>
          <w:sz w:val="16"/>
          <w:szCs w:val="16"/>
        </w:rPr>
        <w:softHyphen/>
        <w:t>живания как снаружи, так и изнутри;</w:t>
      </w:r>
    </w:p>
    <w:p w14:paraId="6AEADFE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более надежные для танка система двойного зажига</w:t>
      </w:r>
      <w:r w:rsidRPr="005E779E">
        <w:rPr>
          <w:rFonts w:ascii="Times New Roman" w:hAnsi="Times New Roman"/>
          <w:color w:val="000000" w:themeColor="text1"/>
          <w:sz w:val="16"/>
          <w:szCs w:val="16"/>
        </w:rPr>
        <w:softHyphen/>
        <w:t>ния и двойная серия свечей;</w:t>
      </w:r>
    </w:p>
    <w:p w14:paraId="4F9D179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более мощное вооружение и бронирование при той же массе;</w:t>
      </w:r>
    </w:p>
    <w:p w14:paraId="589E877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более быстрая возможность освоения производства, особенно с точки зрения мотора;</w:t>
      </w:r>
    </w:p>
    <w:p w14:paraId="54BFE65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Недостатки:</w:t>
      </w:r>
    </w:p>
    <w:p w14:paraId="60F4E9C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Худшая компактность, недостаточная простота конст</w:t>
      </w:r>
      <w:r w:rsidRPr="005E779E">
        <w:rPr>
          <w:rFonts w:ascii="Times New Roman" w:hAnsi="Times New Roman"/>
          <w:color w:val="000000" w:themeColor="text1"/>
          <w:sz w:val="16"/>
          <w:szCs w:val="16"/>
        </w:rPr>
        <w:softHyphen/>
        <w:t>рукции трансмиссии и подвески, худшие катки, тележки и гусеничные цепи... Больший вес элементов подвески и транс</w:t>
      </w:r>
      <w:r w:rsidRPr="005E779E">
        <w:rPr>
          <w:rFonts w:ascii="Times New Roman" w:hAnsi="Times New Roman"/>
          <w:color w:val="000000" w:themeColor="text1"/>
          <w:sz w:val="16"/>
          <w:szCs w:val="16"/>
        </w:rPr>
        <w:softHyphen/>
        <w:t>миссии.</w:t>
      </w:r>
    </w:p>
    <w:p w14:paraId="2EB9646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Представляется наиболее совершенной конструкция малого танка с корпусом и мотором Т-19, а трансмиссией и 'движителем от В-26.</w:t>
      </w:r>
    </w:p>
    <w:p w14:paraId="194D15C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Освоение производства В-26 в СССР потребует:</w:t>
      </w:r>
    </w:p>
    <w:p w14:paraId="3D49A87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изготовление нового комплекта чертежей вмиллиметровом масштабе...</w:t>
      </w:r>
    </w:p>
    <w:p w14:paraId="4DD0E56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проектирование и изготовление новой технологической оснастки под отечественные возможности...</w:t>
      </w:r>
    </w:p>
    <w:p w14:paraId="61FC6F4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привлечение иностранного опыта для освоения произ</w:t>
      </w:r>
      <w:r w:rsidRPr="005E779E">
        <w:rPr>
          <w:rFonts w:ascii="Times New Roman" w:hAnsi="Times New Roman"/>
          <w:color w:val="000000" w:themeColor="text1"/>
          <w:sz w:val="16"/>
          <w:szCs w:val="16"/>
        </w:rPr>
        <w:softHyphen/>
        <w:t>водства танка и особенно — мотора...</w:t>
      </w:r>
    </w:p>
    <w:p w14:paraId="2C46347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 Освоение производства Г-79 в его неизменном виде по</w:t>
      </w:r>
      <w:r w:rsidRPr="005E779E">
        <w:rPr>
          <w:rFonts w:ascii="Times New Roman" w:hAnsi="Times New Roman"/>
          <w:color w:val="000000" w:themeColor="text1"/>
          <w:sz w:val="16"/>
          <w:szCs w:val="16"/>
        </w:rPr>
        <w:softHyphen/>
        <w:t>требует:</w:t>
      </w:r>
    </w:p>
    <w:p w14:paraId="1C567C4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проектирования технологического процесса и частично — приспособлений</w:t>
      </w:r>
    </w:p>
    <w:p w14:paraId="3CE9EC6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рабочие чертежи и дополнительный опыт производст</w:t>
      </w:r>
      <w:r w:rsidRPr="005E779E">
        <w:rPr>
          <w:rFonts w:ascii="Times New Roman" w:hAnsi="Times New Roman"/>
          <w:color w:val="000000" w:themeColor="text1"/>
          <w:sz w:val="16"/>
          <w:szCs w:val="16"/>
        </w:rPr>
        <w:softHyphen/>
        <w:t>ва будут получены в результате доводки опытной машины...</w:t>
      </w:r>
    </w:p>
    <w:p w14:paraId="75202CD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 Организация производства нового типа танка по типу двух рассмотренных потребует:</w:t>
      </w:r>
    </w:p>
    <w:p w14:paraId="6E65687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составление проекта танка;</w:t>
      </w:r>
    </w:p>
    <w:p w14:paraId="4365326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изготовление рабочих чертежей на подвеску танка В-26 и его трансмиссию;</w:t>
      </w:r>
    </w:p>
    <w:p w14:paraId="1C4CB5C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 проектирование и изготовление оснастки на производ</w:t>
      </w:r>
      <w:r w:rsidRPr="005E779E">
        <w:rPr>
          <w:rFonts w:ascii="Times New Roman" w:hAnsi="Times New Roman"/>
          <w:color w:val="000000" w:themeColor="text1"/>
          <w:sz w:val="16"/>
          <w:szCs w:val="16"/>
        </w:rPr>
        <w:softHyphen/>
        <w:t>ство.</w:t>
      </w:r>
    </w:p>
    <w:p w14:paraId="45E5500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Сравнивая объемы работ следует признать, что по сро</w:t>
      </w:r>
      <w:r w:rsidRPr="005E779E">
        <w:rPr>
          <w:rFonts w:ascii="Times New Roman" w:hAnsi="Times New Roman"/>
          <w:color w:val="000000" w:themeColor="text1"/>
          <w:sz w:val="16"/>
          <w:szCs w:val="16"/>
        </w:rPr>
        <w:softHyphen/>
        <w:t>кам выполнения и стоимости наиболее приемлемо для произ</w:t>
      </w:r>
      <w:r w:rsidRPr="005E779E">
        <w:rPr>
          <w:rFonts w:ascii="Times New Roman" w:hAnsi="Times New Roman"/>
          <w:color w:val="000000" w:themeColor="text1"/>
          <w:sz w:val="16"/>
          <w:szCs w:val="16"/>
        </w:rPr>
        <w:softHyphen/>
        <w:t>водства освоение Т-19, затем — комбинированный танк и са</w:t>
      </w:r>
      <w:r w:rsidRPr="005E779E">
        <w:rPr>
          <w:rFonts w:ascii="Times New Roman" w:hAnsi="Times New Roman"/>
          <w:color w:val="000000" w:themeColor="text1"/>
          <w:sz w:val="16"/>
          <w:szCs w:val="16"/>
        </w:rPr>
        <w:softHyphen/>
        <w:t>мый сложный — танк В-26.</w:t>
      </w:r>
    </w:p>
    <w:p w14:paraId="093C0F1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ОБЩИЙ ВЫВОД:</w:t>
      </w:r>
    </w:p>
    <w:p w14:paraId="601C749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Немедленно начать проектирование нового малого танка на основании конструкций танков Т-19 и В-26... В ос</w:t>
      </w:r>
      <w:r w:rsidRPr="005E779E">
        <w:rPr>
          <w:rFonts w:ascii="Times New Roman" w:hAnsi="Times New Roman"/>
          <w:color w:val="000000" w:themeColor="text1"/>
          <w:sz w:val="16"/>
          <w:szCs w:val="16"/>
        </w:rPr>
        <w:softHyphen/>
        <w:t>нове мотор, корпус и вооружение от Т-19, движитель и трансмиссия от В-26;</w:t>
      </w:r>
    </w:p>
    <w:p w14:paraId="3EB1D9B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Провести совместные испытания Т-19 и В-26 для более полного выявления их положительных и отрицательных ка</w:t>
      </w:r>
      <w:r w:rsidRPr="005E779E">
        <w:rPr>
          <w:rFonts w:ascii="Times New Roman" w:hAnsi="Times New Roman"/>
          <w:color w:val="000000" w:themeColor="text1"/>
          <w:sz w:val="16"/>
          <w:szCs w:val="16"/>
        </w:rPr>
        <w:softHyphen/>
        <w:t>честв...» (10733,168).</w:t>
      </w:r>
    </w:p>
    <w:p w14:paraId="47FAFE6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похожему выводу пришла и группа слушателей ака</w:t>
      </w:r>
      <w:r w:rsidRPr="005E779E">
        <w:rPr>
          <w:rFonts w:ascii="Times New Roman" w:hAnsi="Times New Roman"/>
          <w:color w:val="000000" w:themeColor="text1"/>
          <w:sz w:val="16"/>
          <w:szCs w:val="16"/>
        </w:rPr>
        <w:softHyphen/>
        <w:t>демии ВАММ, которая была ознакомлена с документацией на танк. Однако они обратили внимание в первую очередь на некоторые особенности танка В-26 (правое расположе</w:t>
      </w:r>
      <w:r w:rsidRPr="005E779E">
        <w:rPr>
          <w:rFonts w:ascii="Times New Roman" w:hAnsi="Times New Roman"/>
          <w:color w:val="000000" w:themeColor="text1"/>
          <w:sz w:val="16"/>
          <w:szCs w:val="16"/>
        </w:rPr>
        <w:softHyphen/>
        <w:t>ние водителя, специальный двигатель воздушного охлаж</w:t>
      </w:r>
      <w:r w:rsidRPr="005E779E">
        <w:rPr>
          <w:rFonts w:ascii="Times New Roman" w:hAnsi="Times New Roman"/>
          <w:color w:val="000000" w:themeColor="text1"/>
          <w:sz w:val="16"/>
          <w:szCs w:val="16"/>
        </w:rPr>
        <w:softHyphen/>
        <w:t>дения, который будет плохо работать жарким летом, и дюймовые размеры), «обычные для буржуазной Англии, но нетерпимые для Советской страны...». Академия ВАММ предлагала приступить к «...немедлен</w:t>
      </w:r>
      <w:r w:rsidRPr="005E779E">
        <w:rPr>
          <w:rFonts w:ascii="Times New Roman" w:hAnsi="Times New Roman"/>
          <w:color w:val="000000" w:themeColor="text1"/>
          <w:sz w:val="16"/>
          <w:szCs w:val="16"/>
        </w:rPr>
        <w:softHyphen/>
        <w:t>ному проектированию нового типа танка, с использованием конструкции корпуса В-26, ... с усиленной броней, и с более приемлемым для условий производства в СССР двигателем «Геркулес», или «Франклин» в 100 л.с...».</w:t>
      </w:r>
    </w:p>
    <w:p w14:paraId="02FF827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Среди отзывов об английском танке очень интересным выглядит мнение М. Тухачевского, который, в частности, писал:</w:t>
      </w:r>
    </w:p>
    <w:p w14:paraId="1F3D44D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касаемо осмотренного мною недавно англиского тан</w:t>
      </w:r>
      <w:r w:rsidRPr="005E779E">
        <w:rPr>
          <w:rFonts w:ascii="Times New Roman" w:hAnsi="Times New Roman"/>
          <w:color w:val="000000" w:themeColor="text1"/>
          <w:sz w:val="16"/>
          <w:szCs w:val="16"/>
        </w:rPr>
        <w:softHyphen/>
        <w:t>ка Викерса, нашел его как нельзя лучше подходящим задаче со</w:t>
      </w:r>
      <w:r w:rsidRPr="005E779E">
        <w:rPr>
          <w:rFonts w:ascii="Times New Roman" w:hAnsi="Times New Roman"/>
          <w:color w:val="000000" w:themeColor="text1"/>
          <w:sz w:val="16"/>
          <w:szCs w:val="16"/>
        </w:rPr>
        <w:softHyphen/>
        <w:t>провождения при атаке вражеских окоп... Расположение ба</w:t>
      </w:r>
      <w:r w:rsidRPr="005E779E">
        <w:rPr>
          <w:rFonts w:ascii="Times New Roman" w:hAnsi="Times New Roman"/>
          <w:color w:val="000000" w:themeColor="text1"/>
          <w:sz w:val="16"/>
          <w:szCs w:val="16"/>
        </w:rPr>
        <w:softHyphen/>
        <w:t>шен танка бок-о-бок очень выгодно позволяет танку развить сильный побортный огонь при пересечении окоп и траншей..., от которого никак не укрывает бруствер...</w:t>
      </w:r>
    </w:p>
    <w:p w14:paraId="0C876AC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этот ответственный момент танку недостает, как видится, еще одной огневой точки в виде пулемета или легкой пушки, направленной вперед походу для подавления целей (как то: пулемет, пушка) из второй линии обороны...</w:t>
      </w:r>
    </w:p>
    <w:p w14:paraId="4218A11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Нетрудно понять, что двухбашенная и трехбашенная схемы потому и приняты англичанами, что очень перспек</w:t>
      </w:r>
      <w:r w:rsidRPr="005E779E">
        <w:rPr>
          <w:rFonts w:ascii="Times New Roman" w:hAnsi="Times New Roman"/>
          <w:color w:val="000000" w:themeColor="text1"/>
          <w:sz w:val="16"/>
          <w:szCs w:val="16"/>
        </w:rPr>
        <w:softHyphen/>
        <w:t>тивны и наиболее выгодны для преодоления вражеской оборо</w:t>
      </w:r>
      <w:r w:rsidRPr="005E779E">
        <w:rPr>
          <w:rFonts w:ascii="Times New Roman" w:hAnsi="Times New Roman"/>
          <w:color w:val="000000" w:themeColor="text1"/>
          <w:sz w:val="16"/>
          <w:szCs w:val="16"/>
        </w:rPr>
        <w:softHyphen/>
        <w:t>ны среди своей пехоты...» (10733,169).</w:t>
      </w:r>
    </w:p>
    <w:p w14:paraId="45E819A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2C63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января 1931 Гинзбург предоставил перечень достоинств и недостатков В-26 по сравнению с находящимся в изготовлении перспективным. Не печатая его полностью, мы отметим, что в выводе было отмечено: «Немедленно начать проектирование нового малого танка на основании конструкций Т-19 и В-26..В основе мотор, корпус и вооружение от Т-19, движитель и трансмиссия от В-26». Как видим, специалисты не отдавали явного предпочтения заграничной «диковинке», стараясь скомбинировать лучшие черты отечественной и импортной машин в одной (11809).</w:t>
      </w:r>
    </w:p>
    <w:p w14:paraId="65FF49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DAC2EA6" w14:textId="77777777" w:rsidR="000B4A7D" w:rsidRPr="005E779E" w:rsidRDefault="000B4A7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января 1931г. председатель комиссии С. Гинзбург доложил К. Ворошилову о достоинствах и недостатках В-26. При этом были отмечены положительные качества двигателя, коробки скоростей, фрикционов, выгодная для производства форма корпуса, хороший оптический прицел, превосходящий имеющийся для вооружения Т-18 и Т-19. Отрицательным являлось: невозможность форсирования двигателя без существенных его доработок, плохая ремонтоспособность, особенно в боевых условиях, отказ в запуске двигателя при температуре ниже -7°С, отсутствие нормальной видимости у водителя при езде с закрытыми передними щитами, малая толщина вертикального бронирования. Сравнив испытанный танк Т-19 с В-26, Гинзбург предложил спроектировать и изготовить танк-гибрид с корпусом и мотором Т-19, а трансмиссией и ходовой частью от «виккерса». Однако в решение о принятии на вооружение В-26 вмешался случай. Советская разведка узнала о переговорах польского правительства с англичанами о закупке 6-тонного «виккерса» и 10-тонного танка «кристи», и об обязательствах англичан об оказании помощи полякам в производстве 300 танков. В таких обстоятельствах, когда Польша считалась наиболее вероятным противником СССР, РВС принял решение о немедленном начале производства 6-тонного танка «виккерс» без доработок. Танк получил индекс Т-26. Первый экземпляр танка Т-26 был вооружён 37-мм пушкой Б-3; для выпуска 1931 г. характерны клёпаные корпус и башня. Сразу же после принятия Т-26 на вооружение встал вопрос о выделении для его изготовления необходимых производственных мощностей. Единственным предприятием, пригодным для производства Т-26, оказался танковый цех «Большевика», уже имевший опыт изготовления танков МС-1. Впоследствии к производству Т-26 предполагалось подключить строящийся Сталинградский тракторный завод. Первоначальный план по выпуску Т-26 на 1931 г. «Большевику» составлял 500 танков, но затем его сократили до 300. Однако и он оказался нереальным: изготовление Т-26 было значительно сложнее, чем сборка МС-1 (15132).</w:t>
      </w:r>
    </w:p>
    <w:p w14:paraId="21864CB4" w14:textId="77777777" w:rsidR="000B4A7D" w:rsidRPr="005E779E" w:rsidRDefault="000B4A7D" w:rsidP="000B7A6C">
      <w:pPr>
        <w:spacing w:after="0" w:line="240" w:lineRule="auto"/>
        <w:jc w:val="both"/>
        <w:rPr>
          <w:rFonts w:ascii="Times New Roman" w:hAnsi="Times New Roman"/>
          <w:color w:val="000000" w:themeColor="text1"/>
          <w:sz w:val="16"/>
          <w:szCs w:val="16"/>
        </w:rPr>
      </w:pPr>
    </w:p>
    <w:p w14:paraId="51D7BC39" w14:textId="77777777" w:rsidR="009B4119" w:rsidRPr="00142305" w:rsidRDefault="009B4119" w:rsidP="009B411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11 января 1931 года, после предварительных испытаний трех «виккерсов», председа</w:t>
      </w:r>
      <w:r w:rsidRPr="00142305">
        <w:rPr>
          <w:rFonts w:ascii="Times New Roman" w:hAnsi="Times New Roman"/>
          <w:color w:val="0070C0"/>
          <w:sz w:val="16"/>
          <w:szCs w:val="16"/>
        </w:rPr>
        <w:softHyphen/>
        <w:t>тель «специальной комиссии по новым танкам для РККА» С. Гинзбург доложил К. Во</w:t>
      </w:r>
      <w:r w:rsidRPr="00142305">
        <w:rPr>
          <w:rFonts w:ascii="Times New Roman" w:hAnsi="Times New Roman"/>
          <w:color w:val="0070C0"/>
          <w:sz w:val="16"/>
          <w:szCs w:val="16"/>
        </w:rPr>
        <w:softHyphen/>
        <w:t>рошилову о достоинствах и недостатках В-26 и Т-19. Не отдавая предпочтение ни одному из рассмотренных, Гинзбург предложил в ко</w:t>
      </w:r>
      <w:r w:rsidRPr="00142305">
        <w:rPr>
          <w:rFonts w:ascii="Times New Roman" w:hAnsi="Times New Roman"/>
          <w:color w:val="0070C0"/>
          <w:sz w:val="16"/>
          <w:szCs w:val="16"/>
        </w:rPr>
        <w:softHyphen/>
        <w:t>роткие сроки спроектировать и изготовить танк-гибрид (в некоторых документах он на</w:t>
      </w:r>
      <w:r w:rsidRPr="00142305">
        <w:rPr>
          <w:rFonts w:ascii="Times New Roman" w:hAnsi="Times New Roman"/>
          <w:color w:val="0070C0"/>
          <w:sz w:val="16"/>
          <w:szCs w:val="16"/>
        </w:rPr>
        <w:softHyphen/>
        <w:t>зывается Т-19 «улучшенный») с корпусом и мотором Т-19, а трансмиссией и ходовой частью от «Виккерса» (24999).</w:t>
      </w:r>
    </w:p>
    <w:p w14:paraId="5C5CBF01" w14:textId="77777777" w:rsidR="009B4119" w:rsidRPr="00142305" w:rsidRDefault="009B4119" w:rsidP="009B4119">
      <w:pPr>
        <w:spacing w:after="0" w:line="240" w:lineRule="auto"/>
        <w:jc w:val="both"/>
        <w:rPr>
          <w:rFonts w:ascii="Times New Roman" w:hAnsi="Times New Roman"/>
          <w:color w:val="0070C0"/>
          <w:sz w:val="16"/>
          <w:szCs w:val="16"/>
        </w:rPr>
      </w:pPr>
    </w:p>
    <w:p w14:paraId="6D188392" w14:textId="77777777" w:rsidR="009B4119" w:rsidRPr="00142305" w:rsidRDefault="009B4119" w:rsidP="009B411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11 января 1931 г. решение главы УММ, узаконенное письмом от, было непоколебимо: «Поскольку американский танк Кристи не отвечает требованиям системы танко-тракторно-авто-броневооружения и на вооружение не принимался, сквозного индекса Т ему не присваивать… Более разумным представляется предложение о присвоении ему индекса «СТ» – скороходный танк, или «БТ» – быстроходный танк…»</w:t>
      </w:r>
    </w:p>
    <w:p w14:paraId="607C5BB1" w14:textId="77777777" w:rsidR="009B4119" w:rsidRPr="00142305" w:rsidRDefault="009B4119" w:rsidP="009B411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Именно это решение и породило столь приметное название «советского Кристи». А 23 мая 1931 г. вышел приказ Высшего Совета народного хозяйства СССР, в котором танк Кристи разрешалось ввести в «Систему танко-тракторно-авто-броневооружения РККА» в качестве танка-истребителя (25184).</w:t>
      </w:r>
    </w:p>
    <w:p w14:paraId="1DD6859F" w14:textId="77777777" w:rsidR="009B4119" w:rsidRPr="00142305" w:rsidRDefault="009B4119" w:rsidP="009B4119">
      <w:pPr>
        <w:spacing w:after="0" w:line="240" w:lineRule="auto"/>
        <w:jc w:val="both"/>
        <w:rPr>
          <w:rFonts w:ascii="Times New Roman" w:hAnsi="Times New Roman"/>
          <w:color w:val="0070C0"/>
          <w:sz w:val="16"/>
          <w:szCs w:val="16"/>
        </w:rPr>
      </w:pPr>
    </w:p>
    <w:p w14:paraId="38396A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января 1931 испытательный отдел НИАБТ полигона получил распоряжение о “проведении цикла зимних испытаний для изделия Бриллинга-Кузнецова выпуска Харьковского завода на мотоциклете-одиночке - снегоход на базе Харлея-Дэвилдсона выпуска 1930, двигатель № 11260 с мотором 9.5 нр, приобретенноно через Амторг (7690,17).</w:t>
      </w:r>
    </w:p>
    <w:p w14:paraId="0DAF44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CBA0879" w14:textId="5EB27136" w:rsidR="00F82D59" w:rsidRPr="005E779E" w:rsidRDefault="00F82D59" w:rsidP="000B7A6C">
      <w:pPr>
        <w:autoSpaceDE w:val="0"/>
        <w:autoSpaceDN w:val="0"/>
        <w:adjustRightInd w:val="0"/>
        <w:spacing w:after="0" w:line="240" w:lineRule="auto"/>
        <w:jc w:val="both"/>
        <w:rPr>
          <w:rFonts w:ascii="Times New Roman" w:hAnsi="Times New Roman"/>
          <w:i/>
          <w:iCs/>
          <w:color w:val="000000" w:themeColor="text1"/>
          <w:sz w:val="16"/>
          <w:szCs w:val="16"/>
        </w:rPr>
      </w:pPr>
      <w:r w:rsidRPr="005E779E">
        <w:rPr>
          <w:rFonts w:ascii="Times New Roman" w:hAnsi="Times New Roman"/>
          <w:i/>
          <w:iCs/>
          <w:color w:val="000000" w:themeColor="text1"/>
          <w:sz w:val="16"/>
          <w:szCs w:val="16"/>
        </w:rPr>
        <w:t>За рубежом:</w:t>
      </w:r>
    </w:p>
    <w:p w14:paraId="0B22CC3E" w14:textId="77777777" w:rsidR="00F82D59" w:rsidRPr="005E779E" w:rsidRDefault="00F82D59" w:rsidP="000B7A6C">
      <w:pPr>
        <w:autoSpaceDE w:val="0"/>
        <w:autoSpaceDN w:val="0"/>
        <w:adjustRightInd w:val="0"/>
        <w:spacing w:after="0" w:line="240" w:lineRule="auto"/>
        <w:jc w:val="both"/>
        <w:rPr>
          <w:rFonts w:ascii="Times New Roman" w:hAnsi="Times New Roman"/>
          <w:i/>
          <w:iCs/>
          <w:color w:val="000000" w:themeColor="text1"/>
          <w:sz w:val="16"/>
          <w:szCs w:val="16"/>
        </w:rPr>
      </w:pPr>
    </w:p>
    <w:p w14:paraId="51022CCE" w14:textId="77777777" w:rsidR="00F82D59" w:rsidRPr="005E779E" w:rsidRDefault="00F82D5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января 1931 года в США буксируемый грузовиком надувной резиновый пла</w:t>
      </w:r>
      <w:r w:rsidRPr="005E779E">
        <w:rPr>
          <w:rFonts w:ascii="Times New Roman" w:hAnsi="Times New Roman"/>
          <w:color w:val="000000" w:themeColor="text1"/>
          <w:sz w:val="16"/>
          <w:szCs w:val="16"/>
        </w:rPr>
        <w:softHyphen/>
        <w:t>нер Goodyear поднялся на высоту 25 м, когда пилот потерял управление. Правое крыло ударилось о землю в почти вертикальном положении и согнулось. Когда произошел удар носом, крыло вернулось к своей первоначальной форме. В результате ава</w:t>
      </w:r>
      <w:r w:rsidRPr="005E779E">
        <w:rPr>
          <w:rFonts w:ascii="Times New Roman" w:hAnsi="Times New Roman"/>
          <w:color w:val="000000" w:themeColor="text1"/>
          <w:sz w:val="16"/>
          <w:szCs w:val="16"/>
        </w:rPr>
        <w:softHyphen/>
        <w:t>рии была порвана только одна растяжка стоимостью около 50 центов, а летчик отделался небольшими ушибами. Всего с 1931 по 1939 годы надувной планер со</w:t>
      </w:r>
      <w:r w:rsidRPr="005E779E">
        <w:rPr>
          <w:rFonts w:ascii="Times New Roman" w:hAnsi="Times New Roman"/>
          <w:color w:val="000000" w:themeColor="text1"/>
          <w:sz w:val="16"/>
          <w:szCs w:val="16"/>
        </w:rPr>
        <w:softHyphen/>
        <w:t>вершил около 30 полетов. Эксперименты Макдэниэла были прерваны из-за безде</w:t>
      </w:r>
      <w:r w:rsidRPr="005E779E">
        <w:rPr>
          <w:rFonts w:ascii="Times New Roman" w:hAnsi="Times New Roman"/>
          <w:color w:val="000000" w:themeColor="text1"/>
          <w:sz w:val="16"/>
          <w:szCs w:val="16"/>
        </w:rPr>
        <w:softHyphen/>
        <w:t>нежья, вызванного Великой депрессией (24143).</w:t>
      </w:r>
    </w:p>
    <w:p w14:paraId="5B7DC336" w14:textId="77777777" w:rsidR="00F82D59" w:rsidRPr="005E779E" w:rsidRDefault="00F82D59" w:rsidP="000B7A6C">
      <w:pPr>
        <w:spacing w:after="0" w:line="240" w:lineRule="auto"/>
        <w:jc w:val="both"/>
        <w:rPr>
          <w:rFonts w:ascii="Times New Roman" w:hAnsi="Times New Roman"/>
          <w:color w:val="000000" w:themeColor="text1"/>
          <w:sz w:val="16"/>
          <w:szCs w:val="16"/>
        </w:rPr>
      </w:pPr>
    </w:p>
    <w:p w14:paraId="17E9246B" w14:textId="47E3D9AE"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6626D25E"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A6154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и 16 января 1931 были подписаны протоколы по осмотру кабин ТБ-4 (1077,172).</w:t>
      </w:r>
    </w:p>
    <w:p w14:paraId="02F402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61C4AD0" w14:textId="77777777" w:rsidR="006E4804"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666EED52" w14:textId="77777777" w:rsidR="006E4804" w:rsidRPr="005E779E" w:rsidRDefault="006E4804"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89358E0" w14:textId="77777777" w:rsidR="006E4804" w:rsidRPr="005E779E" w:rsidRDefault="006E480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января 1931 г. — Письмо наркома по военным и морским делам СССР и председателя Реввоенсовета СССР К. Е. Ворошилова председателю ВСНХ СССР С. Орджоникидзе о неудовлетворительном выполнении программы по военному судостроению</w:t>
      </w:r>
    </w:p>
    <w:p w14:paraId="57C56D67" w14:textId="77777777" w:rsidR="006E4804" w:rsidRPr="005E779E" w:rsidRDefault="006E4804" w:rsidP="000B7A6C">
      <w:pPr>
        <w:spacing w:after="0" w:line="240" w:lineRule="auto"/>
        <w:jc w:val="both"/>
        <w:rPr>
          <w:rFonts w:ascii="Times New Roman" w:hAnsi="Times New Roman"/>
          <w:color w:val="000000" w:themeColor="text1"/>
          <w:sz w:val="16"/>
          <w:szCs w:val="16"/>
        </w:rPr>
      </w:pPr>
      <w:r w:rsidRPr="005E779E">
        <w:rPr>
          <w:rStyle w:val="af0"/>
          <w:rFonts w:ascii="Times New Roman" w:hAnsi="Times New Roman"/>
          <w:i w:val="0"/>
          <w:color w:val="000000" w:themeColor="text1"/>
          <w:sz w:val="16"/>
          <w:szCs w:val="16"/>
        </w:rPr>
        <w:t>Совершенно секретно.</w:t>
      </w:r>
    </w:p>
    <w:p w14:paraId="4C02F510" w14:textId="77777777" w:rsidR="006E4804" w:rsidRPr="005E779E" w:rsidRDefault="006E4804" w:rsidP="000B7A6C">
      <w:pPr>
        <w:pStyle w:val="rtejustify"/>
        <w:spacing w:before="0" w:after="0"/>
        <w:rPr>
          <w:color w:val="000000" w:themeColor="text1"/>
          <w:sz w:val="16"/>
          <w:szCs w:val="16"/>
        </w:rPr>
      </w:pPr>
      <w:r w:rsidRPr="005E779E">
        <w:rPr>
          <w:color w:val="000000" w:themeColor="text1"/>
          <w:sz w:val="16"/>
          <w:szCs w:val="16"/>
        </w:rPr>
        <w:t>1. РВСС считает выполнение судостроительной программы Морских сил РККА промышленностью неудовлетворительным. Сроки окончания постройки кораблей, назначенные постановлением РЗ СТО от 4 февраля 1929 г.¹*, все сорваны, причем опоздание по многим судам имеется уже больше года.</w:t>
      </w:r>
    </w:p>
    <w:p w14:paraId="28804F30" w14:textId="77777777" w:rsidR="006E4804" w:rsidRPr="005E779E" w:rsidRDefault="006E4804" w:rsidP="000B7A6C">
      <w:pPr>
        <w:pStyle w:val="rtejustify"/>
        <w:spacing w:before="0" w:after="0"/>
        <w:rPr>
          <w:color w:val="000000" w:themeColor="text1"/>
          <w:sz w:val="16"/>
          <w:szCs w:val="16"/>
        </w:rPr>
      </w:pPr>
      <w:r w:rsidRPr="005E779E">
        <w:rPr>
          <w:color w:val="000000" w:themeColor="text1"/>
          <w:sz w:val="16"/>
          <w:szCs w:val="16"/>
        </w:rPr>
        <w:t>Тактические элементы трех построенных судов, полученные на сдаточных испытаниях, ниже заданных. Стоимость кораблей выходит за пределы утвержденных надлежащими органами лимитов.</w:t>
      </w:r>
    </w:p>
    <w:p w14:paraId="5D6ABF40" w14:textId="77777777" w:rsidR="006E4804" w:rsidRPr="005E779E" w:rsidRDefault="006E4804" w:rsidP="000B7A6C">
      <w:pPr>
        <w:pStyle w:val="rtejustify"/>
        <w:spacing w:before="0" w:after="0"/>
        <w:rPr>
          <w:color w:val="000000" w:themeColor="text1"/>
          <w:sz w:val="16"/>
          <w:szCs w:val="16"/>
        </w:rPr>
      </w:pPr>
      <w:r w:rsidRPr="005E779E">
        <w:rPr>
          <w:color w:val="000000" w:themeColor="text1"/>
          <w:sz w:val="16"/>
          <w:szCs w:val="16"/>
        </w:rPr>
        <w:t>2. Подлодка «Декабрист» (Балтвод): а) вступила в строй 19 ноября 1930 г. вместо 1 декабря 1929 г. по плану — опоздание на 12 месяцев; б) надводная скорость 15,3 вместо заданных 16 узлов, подводная скорость 8,7 вместо 9 [узлов].</w:t>
      </w:r>
    </w:p>
    <w:p w14:paraId="6337D9C8" w14:textId="77777777" w:rsidR="006E4804" w:rsidRPr="005E779E" w:rsidRDefault="006E4804" w:rsidP="000B7A6C">
      <w:pPr>
        <w:pStyle w:val="rtejustify"/>
        <w:spacing w:before="0" w:after="0"/>
        <w:rPr>
          <w:color w:val="000000" w:themeColor="text1"/>
          <w:sz w:val="16"/>
          <w:szCs w:val="16"/>
        </w:rPr>
      </w:pPr>
      <w:r w:rsidRPr="005E779E">
        <w:rPr>
          <w:color w:val="000000" w:themeColor="text1"/>
          <w:sz w:val="16"/>
          <w:szCs w:val="16"/>
        </w:rPr>
        <w:t>Подлодка «Революционер» (Никгосзаводы): а) вступила в строй 31 декабря 1930 г. вместо 1 сентября 1929 г., т. е. опоздание на 14 месяцев; б) надводная скорость 14,05 узлов вместо 16, подводная скорость 8,3 узла вместо 9; в) скорость погружения 1 мин 15 с вместо 45 с, даваемых «Декабристом».</w:t>
      </w:r>
    </w:p>
    <w:p w14:paraId="70AABE32" w14:textId="77777777" w:rsidR="006E4804" w:rsidRPr="005E779E" w:rsidRDefault="006E4804" w:rsidP="000B7A6C">
      <w:pPr>
        <w:pStyle w:val="rtejustify"/>
        <w:spacing w:before="0" w:after="0"/>
        <w:rPr>
          <w:color w:val="000000" w:themeColor="text1"/>
          <w:sz w:val="16"/>
          <w:szCs w:val="16"/>
        </w:rPr>
      </w:pPr>
      <w:r w:rsidRPr="005E779E">
        <w:rPr>
          <w:color w:val="000000" w:themeColor="text1"/>
          <w:sz w:val="16"/>
          <w:szCs w:val="16"/>
        </w:rPr>
        <w:t>Сторсудно «Ураган»: а) вступил в строй 14 декабря 1930 г. вместо 1 мая 1930 г. по плану, опоздание на 7,5 месяцев. Все остальные сторожевые суда опаздывают больше 12 месяцев; б) скорость судна 26 узлов вместо заданных 29.</w:t>
      </w:r>
    </w:p>
    <w:p w14:paraId="614F7D9F" w14:textId="77777777" w:rsidR="006E4804" w:rsidRPr="005E779E" w:rsidRDefault="006E4804" w:rsidP="000B7A6C">
      <w:pPr>
        <w:pStyle w:val="rtejustify"/>
        <w:spacing w:before="0" w:after="0"/>
        <w:rPr>
          <w:color w:val="000000" w:themeColor="text1"/>
          <w:sz w:val="16"/>
          <w:szCs w:val="16"/>
        </w:rPr>
      </w:pPr>
      <w:r w:rsidRPr="005E779E">
        <w:rPr>
          <w:color w:val="000000" w:themeColor="text1"/>
          <w:sz w:val="16"/>
          <w:szCs w:val="16"/>
        </w:rPr>
        <w:t>Огромное количество брака, недоброкачественная сборка, отсутствие весовой дисциплины, слабость проектировочных организаций, невыдерживание сроков поставок заводов, изготовляющих отдельные устройства и материалы; и т. п. — вот основные причины, определившие эти регуляторы. Эти причины продолжают действовать и сейчас.</w:t>
      </w:r>
    </w:p>
    <w:p w14:paraId="41932789" w14:textId="77777777" w:rsidR="006E4804" w:rsidRPr="005E779E" w:rsidRDefault="006E4804" w:rsidP="000B7A6C">
      <w:pPr>
        <w:pStyle w:val="rtejustify"/>
        <w:spacing w:before="0" w:after="0"/>
        <w:rPr>
          <w:color w:val="000000" w:themeColor="text1"/>
          <w:sz w:val="16"/>
          <w:szCs w:val="16"/>
        </w:rPr>
      </w:pPr>
      <w:r w:rsidRPr="005E779E">
        <w:rPr>
          <w:color w:val="000000" w:themeColor="text1"/>
          <w:sz w:val="16"/>
          <w:szCs w:val="16"/>
        </w:rPr>
        <w:lastRenderedPageBreak/>
        <w:t>3. РВСС также констатирует, что стоимость кораблей значительно выше твердо расчетных цен, установленных надлежащими органами.</w:t>
      </w:r>
    </w:p>
    <w:p w14:paraId="45608664" w14:textId="77777777" w:rsidR="006E4804" w:rsidRPr="005E779E" w:rsidRDefault="006E4804" w:rsidP="000B7A6C">
      <w:pPr>
        <w:pStyle w:val="rtejustify"/>
        <w:spacing w:before="0" w:after="0"/>
        <w:rPr>
          <w:color w:val="000000" w:themeColor="text1"/>
          <w:sz w:val="16"/>
          <w:szCs w:val="16"/>
        </w:rPr>
      </w:pPr>
      <w:r w:rsidRPr="005E779E">
        <w:rPr>
          <w:color w:val="000000" w:themeColor="text1"/>
          <w:sz w:val="16"/>
          <w:szCs w:val="16"/>
        </w:rPr>
        <w:t>Стоимость сторсудна определена Комиссией государственных заказов 13 февраля 1928 г. в 1754 тыс. Отчетная калькуляция Союзверфи требует за готовый сторожевик 2220 тыс., т. е. на 25% дороже. Такое же соотношение цен и по подлодкам.</w:t>
      </w:r>
    </w:p>
    <w:p w14:paraId="23107914" w14:textId="77777777" w:rsidR="006E4804" w:rsidRPr="005E779E" w:rsidRDefault="006E4804" w:rsidP="000B7A6C">
      <w:pPr>
        <w:pStyle w:val="rtejustify"/>
        <w:spacing w:before="0" w:after="0"/>
        <w:rPr>
          <w:color w:val="000000" w:themeColor="text1"/>
          <w:sz w:val="16"/>
          <w:szCs w:val="16"/>
        </w:rPr>
      </w:pPr>
      <w:r w:rsidRPr="005E779E">
        <w:rPr>
          <w:color w:val="000000" w:themeColor="text1"/>
          <w:sz w:val="16"/>
          <w:szCs w:val="16"/>
        </w:rPr>
        <w:t>4. Все это заставляет РВСС просить Президиум ВСНХ о производстве обследования промышленности, работающей над выполнением программы в[оенно-]м[орского] судостроения, и принятия решительных мероприятий по ускорению постройки, улучшению качества работы и снижению стоимости.</w:t>
      </w:r>
    </w:p>
    <w:p w14:paraId="4A01CA6F" w14:textId="77777777" w:rsidR="006E4804" w:rsidRPr="005E779E" w:rsidRDefault="006E4804" w:rsidP="000B7A6C">
      <w:pPr>
        <w:pStyle w:val="rtejustify"/>
        <w:spacing w:before="0" w:after="0"/>
        <w:rPr>
          <w:color w:val="000000" w:themeColor="text1"/>
          <w:sz w:val="16"/>
          <w:szCs w:val="16"/>
        </w:rPr>
      </w:pPr>
      <w:r w:rsidRPr="005E779E">
        <w:rPr>
          <w:color w:val="000000" w:themeColor="text1"/>
          <w:sz w:val="16"/>
          <w:szCs w:val="16"/>
        </w:rPr>
        <w:t>5. РВСС требует вступления в строй.</w:t>
      </w:r>
    </w:p>
    <w:p w14:paraId="41BFD9D1" w14:textId="77777777" w:rsidR="006E4804" w:rsidRPr="005E779E" w:rsidRDefault="006E4804" w:rsidP="000B7A6C">
      <w:pPr>
        <w:pStyle w:val="rtejustify"/>
        <w:spacing w:before="0" w:after="0"/>
        <w:rPr>
          <w:color w:val="000000" w:themeColor="text1"/>
          <w:sz w:val="16"/>
          <w:szCs w:val="16"/>
        </w:rPr>
      </w:pPr>
      <w:r w:rsidRPr="005E779E">
        <w:rPr>
          <w:color w:val="000000" w:themeColor="text1"/>
          <w:sz w:val="16"/>
          <w:szCs w:val="16"/>
        </w:rPr>
        <w:t>На Балтийском море: линкора «Марат» — не позже 1 июня 1931 г.; подлодок «Народоволец» и «Красногвардеец» — к 1 июня 1931 г.; подлодки «Л</w:t>
      </w:r>
      <w:r w:rsidRPr="005E779E">
        <w:rPr>
          <w:color w:val="000000" w:themeColor="text1"/>
          <w:sz w:val="16"/>
          <w:szCs w:val="16"/>
        </w:rPr>
        <w:noBreakHyphen/>
        <w:t>55» — к 1 июня 1931 г.; сторожевых судов: «Тайфун», «Смерч», «Циклон» — к 1 июня 1931 г., «Вихрь», «Буря» — к 1 июля 1931 г.</w:t>
      </w:r>
    </w:p>
    <w:p w14:paraId="78140A6D" w14:textId="77777777" w:rsidR="006E4804" w:rsidRPr="005E779E" w:rsidRDefault="006E4804" w:rsidP="000B7A6C">
      <w:pPr>
        <w:pStyle w:val="rtejustify"/>
        <w:spacing w:before="0" w:after="0"/>
        <w:rPr>
          <w:color w:val="000000" w:themeColor="text1"/>
          <w:sz w:val="16"/>
          <w:szCs w:val="16"/>
        </w:rPr>
      </w:pPr>
      <w:r w:rsidRPr="005E779E">
        <w:rPr>
          <w:color w:val="000000" w:themeColor="text1"/>
          <w:sz w:val="16"/>
          <w:szCs w:val="16"/>
        </w:rPr>
        <w:t>На Черном море: подлодок «Спартаковец», «Якобинец» — к 1 апреля 1931 г.; сторожевых судов «Шторм» и «Шквал» — не позже 1 июня 1931 г.; крейсера «Красный Кавказ» — к 1 сентября 1931 г.</w:t>
      </w:r>
    </w:p>
    <w:p w14:paraId="33E10031" w14:textId="77777777" w:rsidR="006E4804" w:rsidRPr="005E779E" w:rsidRDefault="006E4804" w:rsidP="000B7A6C">
      <w:pPr>
        <w:pStyle w:val="rtejustify"/>
        <w:spacing w:before="0" w:after="0"/>
        <w:rPr>
          <w:color w:val="000000" w:themeColor="text1"/>
          <w:sz w:val="16"/>
          <w:szCs w:val="16"/>
        </w:rPr>
      </w:pPr>
      <w:r w:rsidRPr="005E779E">
        <w:rPr>
          <w:color w:val="000000" w:themeColor="text1"/>
          <w:sz w:val="16"/>
          <w:szCs w:val="16"/>
        </w:rPr>
        <w:t>6. О принятых мероприятиях прошу поставить меня в известность.</w:t>
      </w:r>
    </w:p>
    <w:p w14:paraId="59D136BC" w14:textId="77777777" w:rsidR="006E4804" w:rsidRPr="005E779E" w:rsidRDefault="006E4804" w:rsidP="000B7A6C">
      <w:pPr>
        <w:pStyle w:val="ae"/>
        <w:spacing w:before="0" w:after="0"/>
        <w:jc w:val="both"/>
        <w:rPr>
          <w:color w:val="000000" w:themeColor="text1"/>
          <w:sz w:val="16"/>
          <w:szCs w:val="16"/>
        </w:rPr>
      </w:pPr>
      <w:r w:rsidRPr="005E779E">
        <w:rPr>
          <w:rStyle w:val="af0"/>
          <w:i w:val="0"/>
          <w:color w:val="000000" w:themeColor="text1"/>
          <w:sz w:val="16"/>
          <w:szCs w:val="16"/>
        </w:rPr>
        <w:t xml:space="preserve">Наркомвоенмор и председатель РВС СССР </w:t>
      </w:r>
      <w:hyperlink r:id="rId7" w:history="1">
        <w:r w:rsidRPr="005E779E">
          <w:rPr>
            <w:rStyle w:val="af0"/>
            <w:i w:val="0"/>
            <w:color w:val="000000" w:themeColor="text1"/>
            <w:sz w:val="16"/>
            <w:szCs w:val="16"/>
          </w:rPr>
          <w:t>Ворошилов</w:t>
        </w:r>
      </w:hyperlink>
    </w:p>
    <w:p w14:paraId="4A2DA975" w14:textId="77777777" w:rsidR="006E4804" w:rsidRPr="005E779E" w:rsidRDefault="006E4804" w:rsidP="000B7A6C">
      <w:pPr>
        <w:pStyle w:val="ae"/>
        <w:spacing w:before="0" w:after="0"/>
        <w:jc w:val="both"/>
        <w:rPr>
          <w:color w:val="000000" w:themeColor="text1"/>
          <w:sz w:val="16"/>
          <w:szCs w:val="16"/>
        </w:rPr>
      </w:pPr>
      <w:r w:rsidRPr="005E779E">
        <w:rPr>
          <w:rStyle w:val="af0"/>
          <w:i w:val="0"/>
          <w:color w:val="000000" w:themeColor="text1"/>
          <w:sz w:val="16"/>
          <w:szCs w:val="16"/>
        </w:rPr>
        <w:t>Примечание</w:t>
      </w:r>
      <w:r w:rsidRPr="005E779E">
        <w:rPr>
          <w:color w:val="000000" w:themeColor="text1"/>
          <w:sz w:val="16"/>
          <w:szCs w:val="16"/>
        </w:rPr>
        <w:t>:</w:t>
      </w:r>
    </w:p>
    <w:p w14:paraId="54CABB34" w14:textId="77777777" w:rsidR="006E4804" w:rsidRPr="005E779E" w:rsidRDefault="006E4804" w:rsidP="000B7A6C">
      <w:pPr>
        <w:pStyle w:val="rtejustify"/>
        <w:spacing w:before="0" w:after="0"/>
        <w:rPr>
          <w:color w:val="000000" w:themeColor="text1"/>
          <w:sz w:val="16"/>
          <w:szCs w:val="16"/>
        </w:rPr>
      </w:pPr>
      <w:r w:rsidRPr="005E779E">
        <w:rPr>
          <w:color w:val="000000" w:themeColor="text1"/>
          <w:sz w:val="16"/>
          <w:szCs w:val="16"/>
          <w:vertAlign w:val="superscript"/>
        </w:rPr>
        <w:t>1</w:t>
      </w:r>
      <w:r w:rsidRPr="005E779E">
        <w:rPr>
          <w:color w:val="000000" w:themeColor="text1"/>
          <w:sz w:val="16"/>
          <w:szCs w:val="16"/>
        </w:rPr>
        <w:t>* </w:t>
      </w:r>
      <w:r w:rsidRPr="005E779E">
        <w:rPr>
          <w:rStyle w:val="af0"/>
          <w:i w:val="0"/>
          <w:color w:val="000000" w:themeColor="text1"/>
          <w:sz w:val="16"/>
          <w:szCs w:val="16"/>
        </w:rPr>
        <w:t>4 февраля 1929 г.</w:t>
      </w:r>
      <w:r w:rsidRPr="005E779E">
        <w:rPr>
          <w:color w:val="000000" w:themeColor="text1"/>
          <w:sz w:val="16"/>
          <w:szCs w:val="16"/>
        </w:rPr>
        <w:t xml:space="preserve"> было принято </w:t>
      </w:r>
      <w:r w:rsidRPr="005E779E">
        <w:rPr>
          <w:rStyle w:val="af0"/>
          <w:i w:val="0"/>
          <w:color w:val="000000" w:themeColor="text1"/>
          <w:sz w:val="16"/>
          <w:szCs w:val="16"/>
        </w:rPr>
        <w:t>постановление РЗ СТО СССР «О судостроительной программе НКВМ»</w:t>
      </w:r>
      <w:r w:rsidRPr="005E779E">
        <w:rPr>
          <w:color w:val="000000" w:themeColor="text1"/>
          <w:sz w:val="16"/>
          <w:szCs w:val="16"/>
        </w:rPr>
        <w:t xml:space="preserve"> в развитие постановления РЗ СТО СССР от 17 декабря 1928 г. Эта программа военного судостроения на 1928</w:t>
      </w:r>
      <w:r w:rsidRPr="005E779E">
        <w:rPr>
          <w:color w:val="000000" w:themeColor="text1"/>
          <w:sz w:val="16"/>
          <w:szCs w:val="16"/>
        </w:rPr>
        <w:noBreakHyphen/>
        <w:t>1933 гг. предусматривала постройку 84 подводных лодок, 3 эскадренных эсминцев, 18 сторожевых судов, 5 искателей подлодок, 60 торпедных катеров, 3 торпедных катеров волнового управления, 2 речных канонерных лодок; достройку, восстановление и капитальный ремонт 3 эсминцев, достройку легкого крейсера «Красный Кавказ»; капитальный ремонт легких крейсеров «Парижская Коммуна», «Марат», «Октябрьская революция» и др.</w:t>
      </w:r>
    </w:p>
    <w:p w14:paraId="007CA198" w14:textId="77777777" w:rsidR="006E4804" w:rsidRPr="005E779E" w:rsidRDefault="006E4804" w:rsidP="000B7A6C">
      <w:pPr>
        <w:pStyle w:val="ae"/>
        <w:spacing w:before="0" w:after="0"/>
        <w:jc w:val="both"/>
        <w:rPr>
          <w:color w:val="000000" w:themeColor="text1"/>
          <w:sz w:val="16"/>
          <w:szCs w:val="16"/>
        </w:rPr>
      </w:pPr>
      <w:r w:rsidRPr="005E779E">
        <w:rPr>
          <w:color w:val="000000" w:themeColor="text1"/>
          <w:sz w:val="16"/>
          <w:szCs w:val="16"/>
        </w:rPr>
        <w:t>РГАЭ. Ф. 3429. Оп. 16. Д. 189. Л. 95—94. Подлинник.</w:t>
      </w:r>
    </w:p>
    <w:p w14:paraId="485006AE" w14:textId="77777777" w:rsidR="006E4804" w:rsidRPr="005E779E" w:rsidRDefault="006E480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Архив: РГАЭ. Ф. 3429. Оп. 16. Д. 189. Л. 95—94. Подлинник. </w:t>
      </w:r>
    </w:p>
    <w:p w14:paraId="411D1F79" w14:textId="77777777" w:rsidR="006E4804" w:rsidRPr="005E779E" w:rsidRDefault="006E480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Источник: Становление оборонно-промышленного комплекса СССР (1927-1932). М. 2008, стр. 516-517 (12521).</w:t>
      </w:r>
    </w:p>
    <w:p w14:paraId="154D373B" w14:textId="77777777" w:rsidR="006E4804" w:rsidRPr="005E779E" w:rsidRDefault="006E4804" w:rsidP="000B7A6C">
      <w:pPr>
        <w:spacing w:after="0" w:line="240" w:lineRule="auto"/>
        <w:jc w:val="both"/>
        <w:rPr>
          <w:rFonts w:ascii="Times New Roman" w:hAnsi="Times New Roman"/>
          <w:color w:val="000000" w:themeColor="text1"/>
          <w:sz w:val="16"/>
          <w:szCs w:val="16"/>
        </w:rPr>
      </w:pPr>
    </w:p>
    <w:p w14:paraId="4E4C96D8" w14:textId="77777777" w:rsidR="001209D1" w:rsidRPr="005E779E" w:rsidRDefault="001209D1" w:rsidP="000B7A6C">
      <w:pPr>
        <w:spacing w:after="0" w:line="240" w:lineRule="auto"/>
        <w:jc w:val="both"/>
        <w:rPr>
          <w:rFonts w:ascii="Times New Roman" w:eastAsia="TimesNewRoman" w:hAnsi="Times New Roman"/>
          <w:color w:val="000000" w:themeColor="text1"/>
          <w:sz w:val="16"/>
          <w:szCs w:val="16"/>
        </w:rPr>
      </w:pPr>
      <w:r w:rsidRPr="005E779E">
        <w:rPr>
          <w:rFonts w:ascii="Times New Roman" w:eastAsia="TimesNewRoman" w:hAnsi="Times New Roman"/>
          <w:color w:val="000000" w:themeColor="text1"/>
          <w:sz w:val="16"/>
          <w:szCs w:val="16"/>
        </w:rPr>
        <w:t>12 января 1931 г. начальник морских сил Р. А. Муклевич докладывал наркому обороны К. Е. Ворошилову о необходимости скорейшего заказа в Италии предметов вооружения на основании предложений, привезѐ</w:t>
      </w:r>
      <w:r w:rsidRPr="005E779E">
        <w:rPr>
          <w:rFonts w:ascii="Times New Roman" w:eastAsia="MS Mincho" w:hAnsi="Times New Roman"/>
          <w:color w:val="000000" w:themeColor="text1"/>
          <w:sz w:val="16"/>
          <w:szCs w:val="16"/>
        </w:rPr>
        <w:t>н</w:t>
      </w:r>
      <w:r w:rsidRPr="005E779E">
        <w:rPr>
          <w:rFonts w:ascii="Times New Roman" w:eastAsia="TimesNewRoman" w:hAnsi="Times New Roman"/>
          <w:color w:val="000000" w:themeColor="text1"/>
          <w:sz w:val="16"/>
          <w:szCs w:val="16"/>
        </w:rPr>
        <w:t>ных группой А. К. Сивкова, и вынесении этого вопроса для рассмотрения правительством [Там же, л. 269] (12701).</w:t>
      </w:r>
    </w:p>
    <w:p w14:paraId="6B43B016" w14:textId="77777777" w:rsidR="001209D1" w:rsidRPr="005E779E" w:rsidRDefault="001209D1" w:rsidP="000B7A6C">
      <w:pPr>
        <w:spacing w:after="0" w:line="240" w:lineRule="auto"/>
        <w:jc w:val="both"/>
        <w:rPr>
          <w:rFonts w:ascii="Times New Roman" w:eastAsia="TimesNewRoman" w:hAnsi="Times New Roman"/>
          <w:color w:val="000000" w:themeColor="text1"/>
          <w:sz w:val="16"/>
          <w:szCs w:val="16"/>
        </w:rPr>
      </w:pPr>
    </w:p>
    <w:p w14:paraId="1EC7311C" w14:textId="77777777" w:rsidR="002662B0" w:rsidRPr="005E779E" w:rsidRDefault="002662B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января 1931 г. начальник морских сил Р. А. Муклевич докладывал наркому обороны К. Е. Ворошилову о необходимости скорейшего заказа в Италии предметов вооружения на основании предложений, привезѐнных группой А. К. Сивкова, и вынесении этого вопроса для рассмотрения правительством [Там же, л. 269]. После обсуждения в Наркомате обороны (НКО) данного доклада, в Комитет Обороны (КО) Совета Народных Комисаров (СНК) СССР 18 марта 1931 г. был представлен план заказов Управления Военно-Морских Сил (УВМС) в Италии [Там же, л. 272]: по торпедам – 45 комплектов с запчастями, полуфабрикатами, ящиками ключей – на сумму 1 374 400 руб.; по минам – антенные (50 шт.), буксируемые (5 шт.) и 2 трѐхтрубных торпедных аппарата системы завода Силурифичио – на сумму 426 тыс. руб.; по артиллерии – артиллерийские установки системы Минизини (16 орудийных установок), приборы центральной наводки системы Галилео (3 комплекта); механическая трубка для зенитного снаряда системы Галилео; регулятор «Факини» (10 комплектов); дальномеры стерео трехметровый и пятиметровый (10 шт.) – на сумму 2 270 000 руб. (зол.).</w:t>
      </w:r>
    </w:p>
    <w:p w14:paraId="5AB3AF0D" w14:textId="77777777" w:rsidR="002662B0" w:rsidRPr="005E779E" w:rsidRDefault="002662B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Вместе с планом был представлен и проект Постановления КО СНК СССР, утверждающий данный план и определяющий основные мероприятия его реализации [Там же, л. 273]. Однако решение этого вопроса затягивалось, что вынудило Начальника МС Р. А. Муклевича обратиться с письмом к Генеральному секретарю ЦК ВКП(б) И. В. Сталину, в котором, он, вспоминая прошлогодний разговор о командировке группы моряков в Италию, докладывал, что группа под руководством А. К. Сивкова проработала два месяца, вернулась с богатым материалом и наблюдениями. «И действительно у итальянцев морская техника весьма высока. Как в кораблестроении, так и морском вооружении они ушли далеко вперѐд. На фоне итальянских достижений особенно ―бросается в глаза‖ наша отсталость по торпедам, зенитной артиллерии, специальным снарядам и приборам управления огнѐм. После возвращения т. Сивков составил и представил точную заявку на необходимые заказы для морского флота. Вышло Постановление Политбюро о том, чтобы дать необходимые контингенты для этих заказов; тем не менее, вопрос окончательного решения не получил и ―опвис в воздухе‖. Время идѐт, хороших торпед и зенитной артиллерии у нас нет, промышленность наша безуспешно бьется над решением тех задач, которые за границей давно уже решены. Давая указания о поездке наших специалистов в Италию в августе прошлого года, Вы придавали огромное значение нашим связям с итальянцами именно по морской линии, говорили даже о возможности заказа крейсера, теперь это дело застопорилось, боюсь, что Вы об этом не знаете. Докладываю и прошу Вашего личного вмешательства» [Там же, л. 274-275].</w:t>
      </w:r>
    </w:p>
    <w:p w14:paraId="3A4F622F" w14:textId="77777777" w:rsidR="002662B0" w:rsidRPr="005E779E" w:rsidRDefault="002662B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Данное письмо тут же возымело действие, 5 апреля 1931 г. вышло Постановление КО СНК «Разрешить вести переговоры о заказе в Италии вооружения (торпед, зенитной артиллерии и приборов управления огнѐм).</w:t>
      </w:r>
    </w:p>
    <w:p w14:paraId="12768476" w14:textId="77777777" w:rsidR="002662B0" w:rsidRPr="005E779E" w:rsidRDefault="002662B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Сумму определить 4.000.000 руб. сверх существующих контингентов» [Там же, л. 276] (18258).</w:t>
      </w:r>
    </w:p>
    <w:p w14:paraId="67C45F1C" w14:textId="77777777" w:rsidR="002662B0" w:rsidRPr="005E779E" w:rsidRDefault="002662B0" w:rsidP="000B7A6C">
      <w:pPr>
        <w:spacing w:after="0" w:line="240" w:lineRule="auto"/>
        <w:jc w:val="both"/>
        <w:rPr>
          <w:rFonts w:ascii="Times New Roman" w:hAnsi="Times New Roman"/>
          <w:color w:val="000000" w:themeColor="text1"/>
          <w:sz w:val="16"/>
          <w:szCs w:val="16"/>
        </w:rPr>
      </w:pPr>
    </w:p>
    <w:p w14:paraId="72BF0CF7" w14:textId="77777777" w:rsidR="009B4119" w:rsidRPr="00142305" w:rsidRDefault="009B4119" w:rsidP="009B411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12 января 1931 г. начальник морских сил Р. А. Муклевич докладывал наркому обороны К. Е. Ворошилову о необходимости скорейшего заказа в Италии предметов вооружения на основании предложений, привезѐнных группой А. К. Сивкова, и вынесении этого вопроса для рассмотрения правительством [Там же, л. 269]. После обсуждения в Наркомате обороны (НКО) данного доклада, в Комитет Обороны (КО) Совета Народных Комисаров (СНК) СССР 18 марта 1931 г. был представлен план заказов Управления Военно-Морских Сил (УВМС) в Италии [Там же, л. 272]: по торпедам – 45 комплектов с запчастями, полуфабрикатами, ящиками ключей – на сумму 1 374 400 руб.; по минам – антенные (50 шт.), буксируемые (5 шт.) и 2 трѐхтрубных торпедных аппарата системы завода Силурифичио – на сумму 426 тыс. руб.; по артиллерии – артиллерийские установки системы Минизини (16 орудийных установок), приборы центральной наводки системы Галилео (3 комплекта); механическая трубка для зенитного снаряда системы Галилео; регулятор «Факини» (10 комплектов); дальномеры стерео трехметровый и пятиметровый (10 шт.) – на сумму 2 270 000 руб. (зол.).</w:t>
      </w:r>
    </w:p>
    <w:p w14:paraId="266160E9" w14:textId="77777777" w:rsidR="009B4119" w:rsidRPr="00142305" w:rsidRDefault="009B4119" w:rsidP="009B411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Вместе с планом был представлен и проект Постановления КО СНК СССР, утверждающий данный план и определяющий основные мероприятия его реализации [Там же, л. 273]. Однако решение этого вопроса затягивалось, что вынудило Начальника МС Р. А. Муклевича обратиться с письмом к Генеральному секретарю ЦК ВКП(б) И. В. Сталину, в котором, он, вспоминая прошлогодний разговор о командировке группы моряков в Италию, докладывал, что группа под руководством А. К. Сивкова проработала два месяца, вернулась с богатым материалом и наблюдениями. «И действительно у итальянцев морская техника весьма высока. Как в кораблестроении, так и морском вооружении они ушли далеко вперѐд. На фоне итальянских достижений особенно ―бросается в глаза‖ наша отсталость по торпедам, зенитной артиллерии, специальным снарядам и приборам управления огнѐм. После возвращения т. Сивков составил и представил точную заявку на необходимые заказы для морского флота. Вышло Постановление Политбюро о том, чтобы дать необходимые контингенты для этих заказов; тем не менее, вопрос окончательного решения не получил и ―опвис в воздухе‖. Время идѐт, хороших торпед и зенитной артиллерии у нас нет, промышленность наша безуспешно бьется над решением тех задач, которые за границей давно уже решены. Давая указания о поездке наших специалистов в Италию в августе прошлого года, Вы придавали огромное значение нашим связям с итальянцами именно по морской линии, говорили даже о возможности заказа крейсера, теперь это дело застопорилось, боюсь, что Вы об этом не знаете. Докладываю и прошу Вашего личного вмешательства» [Там же, л. 274-275] (25366).</w:t>
      </w:r>
    </w:p>
    <w:p w14:paraId="00CF83D2" w14:textId="77777777" w:rsidR="009B4119" w:rsidRPr="00142305" w:rsidRDefault="009B4119" w:rsidP="009B4119">
      <w:pPr>
        <w:spacing w:after="0" w:line="240" w:lineRule="auto"/>
        <w:jc w:val="both"/>
        <w:rPr>
          <w:rFonts w:ascii="Times New Roman" w:hAnsi="Times New Roman"/>
          <w:color w:val="0070C0"/>
          <w:sz w:val="16"/>
          <w:szCs w:val="16"/>
        </w:rPr>
      </w:pPr>
    </w:p>
    <w:p w14:paraId="73819082"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4C91B52D"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D407750" w14:textId="77777777" w:rsidR="00B23E00" w:rsidRPr="005E779E" w:rsidRDefault="00B23E0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12 января 1931 года — первый полёт опытного тяжёлого бомбардировщика Vickers Type 163 </w:t>
      </w:r>
    </w:p>
    <w:p w14:paraId="5D2E3B43" w14:textId="77777777" w:rsidR="00B23E00" w:rsidRPr="005E779E" w:rsidRDefault="00B23E0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Спроектирован на базе Vickers Vanox, который был увеличен в размерах для возможности установки 4 двигателей в тандеме. Участвовал в конкурсе по спецификациям Министерства авиации Великобритании B.19/27 и C.16/28 на создание двухмоторного ночного бомбардировщика и транспортного самолёта с возможностью использования в качестве бомбардировщика.</w:t>
      </w:r>
    </w:p>
    <w:p w14:paraId="51A45547" w14:textId="77777777" w:rsidR="00B23E00" w:rsidRPr="005E779E" w:rsidRDefault="00B23E0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Type 163 успешно прошёл испытания, но военные отказались от него. Конструкторы предложили переделать его в чистый военно-транспортный самолёт, но и этот вариант не заинтересовал Министерство авиации.</w:t>
      </w:r>
    </w:p>
    <w:p w14:paraId="286859C3" w14:textId="77777777" w:rsidR="00B23E00" w:rsidRPr="005E779E" w:rsidRDefault="00B23E0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Провалились и попытки создать на базе несостоявшегося бомбардировщика тяжёлый эскортный истребитель с тремя 37-мм пушками. Vickers Type 163 так и остался построенным в 1 экземпляре (22300).</w:t>
      </w:r>
    </w:p>
    <w:p w14:paraId="464866EE" w14:textId="77777777" w:rsidR="00B23E00" w:rsidRPr="005E779E" w:rsidRDefault="00B23E00" w:rsidP="000B7A6C">
      <w:pPr>
        <w:spacing w:after="0" w:line="240" w:lineRule="auto"/>
        <w:jc w:val="both"/>
        <w:rPr>
          <w:rFonts w:ascii="Times New Roman" w:hAnsi="Times New Roman"/>
          <w:color w:val="000000" w:themeColor="text1"/>
          <w:sz w:val="16"/>
          <w:szCs w:val="16"/>
        </w:rPr>
      </w:pPr>
    </w:p>
    <w:p w14:paraId="62A1912D" w14:textId="77777777" w:rsidR="00B23E00" w:rsidRPr="005E779E" w:rsidRDefault="00B23E0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января 1931 - Первый полет бомбардировщика Vickers Type 163.</w:t>
      </w:r>
    </w:p>
    <w:p w14:paraId="6B4B4795" w14:textId="6D550169" w:rsidR="00B23E00" w:rsidRPr="005E779E" w:rsidRDefault="00B23E0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Тяжелый бомбардировщик Vickers Type 163 был разработан по спецификации B.19/27 Авиационного Министерства Великобритании. Он был оборудован четырьмя двигателями Rolls-Royce FXIVS (мощностью 480 л.с.), объединенных попарно по схеме "тяни-толкай". Бомбовая нагрузка, общим весом до 1361 килограмма, размещалась во внутреннем отсеке (максимально 8 бомб массой 114 кг) и на внешних узлах подвески (до 4 бомб массой</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 xml:space="preserve"> 114 кг или две 226 кг). Защитное вооружение состояло из двух 7.7-мм пулеметов Lewis, установленных на подвижной турели Scraff в носовой и кормовой части фюзеляжа.</w:t>
      </w:r>
    </w:p>
    <w:p w14:paraId="42060FF9" w14:textId="6F86E347" w:rsidR="00B23E00" w:rsidRPr="005E779E" w:rsidRDefault="00B23E0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Несмотря на успешное завершение испытаний самолет был отвергнут военными. Чтобы полностью использовать потенциал самолета было решено конвертировать Type 163 в военно-транспортный самолета, отвечающий спецификации C.16/28. В этой конфигурации самолет мог перевозить до 21 солдата с полной боевой выкладкой.</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Однако и это вариант</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не вызвал заинтересованности у заказчиков (22670).</w:t>
      </w:r>
    </w:p>
    <w:p w14:paraId="7D9F8C35" w14:textId="77777777" w:rsidR="00B23E00" w:rsidRPr="005E779E" w:rsidRDefault="00B23E00" w:rsidP="000B7A6C">
      <w:pPr>
        <w:spacing w:after="0" w:line="240" w:lineRule="auto"/>
        <w:jc w:val="both"/>
        <w:rPr>
          <w:rFonts w:ascii="Times New Roman" w:hAnsi="Times New Roman"/>
          <w:color w:val="000000" w:themeColor="text1"/>
          <w:sz w:val="16"/>
          <w:szCs w:val="16"/>
        </w:rPr>
      </w:pPr>
    </w:p>
    <w:p w14:paraId="0CE053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января 1931 был распущен союзнический Комитет военного контроля (3907,167).</w:t>
      </w:r>
    </w:p>
    <w:p w14:paraId="14E462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8A1EC50"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16F36952"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31C21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13 января по 10 апреля 1931 года на Центральном аэродроме проходили дополнительные испытаниях лыж к самолету ТБ-1 2М-17.</w:t>
      </w:r>
    </w:p>
    <w:p w14:paraId="3938DD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Дополнительным испытаниям были подвергнуты лыжи постройки завода N 28 двух образцов:</w:t>
      </w:r>
    </w:p>
    <w:p w14:paraId="55A6B1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Лыжи облегченные, конструкции завода N 28.</w:t>
      </w:r>
    </w:p>
    <w:p w14:paraId="76F744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Лыжи не облегченные конструкции завода N 25.</w:t>
      </w:r>
    </w:p>
    <w:p w14:paraId="070B8B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Испытания произведены с целью:</w:t>
      </w:r>
    </w:p>
    <w:p w14:paraId="60FE7B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уточнения результатов полученных при испытании в зимний период 1929-30 г.г.</w:t>
      </w:r>
    </w:p>
    <w:p w14:paraId="1DC77E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Изыскания мероприятий, облегчающих сдвиг самолета с места и рулежку.</w:t>
      </w:r>
    </w:p>
    <w:p w14:paraId="095C47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Примечание:</w:t>
      </w:r>
    </w:p>
    <w:p w14:paraId="343B3B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 период испытания Центральный аэродром имел твердый укатанный снежный покров, поэтому поведение лыж на глубоком рыхлом снегу не выявлено.</w:t>
      </w:r>
    </w:p>
    <w:p w14:paraId="5F72B1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w:t>
      </w:r>
    </w:p>
    <w:p w14:paraId="4E11FB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основании произведенных испытаний НИИ считает, что:</w:t>
      </w:r>
    </w:p>
    <w:p w14:paraId="22EC83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Лыжи конструкции зав. 25 и зав. 28 не могут быть признаны вполне удовлетворительными для самолетов ТБ1, так как по своим формам и удельной нагрузке не достаточно обеспечивают возможность эксплуатации их на глубоком рыхлом снежном покрове (3260,45-50).</w:t>
      </w:r>
    </w:p>
    <w:p w14:paraId="667E9F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2A944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января 1931 г. на 2-ом опытном N 5 завода N 39 закончились испытания стрелкового вооружения на серийном самолете И-5, которые проводились со 2 декабря 1930 г. (3208).</w:t>
      </w:r>
    </w:p>
    <w:p w14:paraId="52C4A0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C3B945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января 1931 Камов присутствует при трех полетах по</w:t>
      </w:r>
      <w:r w:rsidRPr="005E779E">
        <w:rPr>
          <w:rFonts w:ascii="Times New Roman" w:hAnsi="Times New Roman"/>
          <w:color w:val="000000" w:themeColor="text1"/>
          <w:sz w:val="16"/>
          <w:szCs w:val="16"/>
        </w:rPr>
        <w:softHyphen/>
        <w:t>ставленного на лыжи КАСКР-2. Пилотировал автожир Кошиц. Продол</w:t>
      </w:r>
      <w:r w:rsidRPr="005E779E">
        <w:rPr>
          <w:rFonts w:ascii="Times New Roman" w:hAnsi="Times New Roman"/>
          <w:color w:val="000000" w:themeColor="text1"/>
          <w:sz w:val="16"/>
          <w:szCs w:val="16"/>
        </w:rPr>
        <w:softHyphen/>
        <w:t>жительность двух пробных полетов составила 20 и 25 секунд, максималь</w:t>
      </w:r>
      <w:r w:rsidRPr="005E779E">
        <w:rPr>
          <w:rFonts w:ascii="Times New Roman" w:hAnsi="Times New Roman"/>
          <w:color w:val="000000" w:themeColor="text1"/>
          <w:sz w:val="16"/>
          <w:szCs w:val="16"/>
        </w:rPr>
        <w:softHyphen/>
        <w:t>ная высота — 5 метров, пробег при посадке — 5-6 метров. После уста</w:t>
      </w:r>
      <w:r w:rsidRPr="005E779E">
        <w:rPr>
          <w:rFonts w:ascii="Times New Roman" w:hAnsi="Times New Roman"/>
          <w:color w:val="000000" w:themeColor="text1"/>
          <w:sz w:val="16"/>
          <w:szCs w:val="16"/>
        </w:rPr>
        <w:softHyphen/>
        <w:t>новки нулевого угла лопастей и стабилизатора Кошиц сделал над аэро</w:t>
      </w:r>
      <w:r w:rsidRPr="005E779E">
        <w:rPr>
          <w:rFonts w:ascii="Times New Roman" w:hAnsi="Times New Roman"/>
          <w:color w:val="000000" w:themeColor="text1"/>
          <w:sz w:val="16"/>
          <w:szCs w:val="16"/>
        </w:rPr>
        <w:softHyphen/>
        <w:t>дромом два полных круга на высоте 100 метров (10224,33).</w:t>
      </w:r>
    </w:p>
    <w:p w14:paraId="74B6B41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285C3B" w14:textId="77777777" w:rsidR="00CB1153" w:rsidRPr="005E779E" w:rsidRDefault="00CB1153"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13 января</w:t>
      </w:r>
      <w:r w:rsidRPr="005E779E">
        <w:rPr>
          <w:rFonts w:ascii="Times New Roman" w:hAnsi="Times New Roman"/>
          <w:color w:val="000000" w:themeColor="text1"/>
          <w:sz w:val="16"/>
          <w:szCs w:val="16"/>
        </w:rPr>
        <w:t xml:space="preserve"> в 1931 году первый полет КАСКР-II с двигателем «Гном-Рон Титан» мощностью 235 л.с., Д.А.Кошиц (15008).</w:t>
      </w:r>
    </w:p>
    <w:p w14:paraId="476716FA" w14:textId="77777777" w:rsidR="00CB1153" w:rsidRPr="005E779E" w:rsidRDefault="00CB1153" w:rsidP="000B7A6C">
      <w:pPr>
        <w:spacing w:after="0" w:line="240" w:lineRule="auto"/>
        <w:jc w:val="both"/>
        <w:rPr>
          <w:rFonts w:ascii="Times New Roman" w:hAnsi="Times New Roman"/>
          <w:color w:val="000000" w:themeColor="text1"/>
          <w:sz w:val="16"/>
          <w:szCs w:val="16"/>
        </w:rPr>
      </w:pPr>
    </w:p>
    <w:p w14:paraId="58E962F7"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0C867806"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DB72CF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января 1932 г. бюро парткома ХПЗ рассмотрело задачи в области дизелестроения. Было отмечено: «... важную роль должен сыг</w:t>
      </w:r>
      <w:r w:rsidRPr="005E779E">
        <w:rPr>
          <w:rFonts w:ascii="Times New Roman" w:hAnsi="Times New Roman"/>
          <w:color w:val="000000" w:themeColor="text1"/>
          <w:sz w:val="16"/>
          <w:szCs w:val="16"/>
        </w:rPr>
        <w:softHyphen/>
        <w:t>рать дизельный отдел в вопросе осуществления директив партии о созда</w:t>
      </w:r>
      <w:r w:rsidRPr="005E779E">
        <w:rPr>
          <w:rFonts w:ascii="Times New Roman" w:hAnsi="Times New Roman"/>
          <w:color w:val="000000" w:themeColor="text1"/>
          <w:sz w:val="16"/>
          <w:szCs w:val="16"/>
        </w:rPr>
        <w:softHyphen/>
        <w:t>нии в кратчайший срок дизельмотора для трактора и спецмашины». В принятом решении указано: «... в дизельном отделе на базе существую</w:t>
      </w:r>
      <w:r w:rsidRPr="005E779E">
        <w:rPr>
          <w:rFonts w:ascii="Times New Roman" w:hAnsi="Times New Roman"/>
          <w:color w:val="000000" w:themeColor="text1"/>
          <w:sz w:val="16"/>
          <w:szCs w:val="16"/>
        </w:rPr>
        <w:softHyphen/>
        <w:t>щего КБ создать сильный проектный отдел и сосредоточить в нем все работы по проектированию и исследованию дизель-моторов;... вести ра</w:t>
      </w:r>
      <w:r w:rsidRPr="005E779E">
        <w:rPr>
          <w:rFonts w:ascii="Times New Roman" w:hAnsi="Times New Roman"/>
          <w:color w:val="000000" w:themeColor="text1"/>
          <w:sz w:val="16"/>
          <w:szCs w:val="16"/>
        </w:rPr>
        <w:softHyphen/>
        <w:t>боты по проектированию и исследованию специального дизель-мотора». В докладе директора завода имени Коминтерна на бюро горкома партии в сентябре 1933 года о состоянии дизелестроения на заводе сказано: «...за</w:t>
      </w:r>
      <w:r w:rsidRPr="005E779E">
        <w:rPr>
          <w:rFonts w:ascii="Times New Roman" w:hAnsi="Times New Roman"/>
          <w:color w:val="000000" w:themeColor="text1"/>
          <w:sz w:val="16"/>
          <w:szCs w:val="16"/>
        </w:rPr>
        <w:softHyphen/>
        <w:t>вод поставил перед собой задачу (и в настоящее время может считать ее Почти разрешенной) — сконструировать и построить мощный быстро</w:t>
      </w:r>
      <w:r w:rsidRPr="005E779E">
        <w:rPr>
          <w:rFonts w:ascii="Times New Roman" w:hAnsi="Times New Roman"/>
          <w:color w:val="000000" w:themeColor="text1"/>
          <w:sz w:val="16"/>
          <w:szCs w:val="16"/>
        </w:rPr>
        <w:softHyphen/>
        <w:t>ходный дизель-мотор, имеющий колоссальное значение». С 1932 года Конструкторы-дизелисты завода полностью сосредоточили свои усилия На создании танкового дизеля. Дизели другого назначения, находящиеся в разработке и в производстве завода, были переданы на другие предпри</w:t>
      </w:r>
      <w:r w:rsidRPr="005E779E">
        <w:rPr>
          <w:rFonts w:ascii="Times New Roman" w:hAnsi="Times New Roman"/>
          <w:color w:val="000000" w:themeColor="text1"/>
          <w:sz w:val="16"/>
          <w:szCs w:val="16"/>
        </w:rPr>
        <w:softHyphen/>
        <w:t>ятия отрасли дизелестроения (11504).</w:t>
      </w:r>
    </w:p>
    <w:p w14:paraId="1743B3D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5782AC" w14:textId="77777777" w:rsidR="006E4804" w:rsidRPr="005E779E" w:rsidRDefault="006E4804" w:rsidP="000B7A6C">
      <w:pPr>
        <w:pStyle w:val="rtejustify"/>
        <w:spacing w:before="0" w:after="0"/>
        <w:rPr>
          <w:color w:val="000000" w:themeColor="text1"/>
          <w:sz w:val="16"/>
          <w:szCs w:val="16"/>
        </w:rPr>
      </w:pPr>
      <w:r w:rsidRPr="005E779E">
        <w:rPr>
          <w:rStyle w:val="af0"/>
          <w:i w:val="0"/>
          <w:color w:val="000000" w:themeColor="text1"/>
          <w:sz w:val="16"/>
          <w:szCs w:val="16"/>
        </w:rPr>
        <w:t>13 января 1931 Протокол Реввоенсовета № 4.</w:t>
      </w:r>
      <w:r w:rsidRPr="005E779E">
        <w:rPr>
          <w:color w:val="000000" w:themeColor="text1"/>
          <w:sz w:val="16"/>
          <w:szCs w:val="16"/>
        </w:rPr>
        <w:t xml:space="preserve"> 7. Система железнодорожного вооружения. (Уборевич, Шапошников). (РГВА. Ф. 4. Оп. 18. Д. 20. Л. 27) (12342).</w:t>
      </w:r>
    </w:p>
    <w:p w14:paraId="073CB71C" w14:textId="77777777" w:rsidR="006E4804" w:rsidRPr="005E779E" w:rsidRDefault="006E4804" w:rsidP="000B7A6C">
      <w:pPr>
        <w:pStyle w:val="rtejustify"/>
        <w:spacing w:before="0" w:after="0"/>
        <w:rPr>
          <w:color w:val="000000" w:themeColor="text1"/>
          <w:sz w:val="16"/>
          <w:szCs w:val="16"/>
        </w:rPr>
      </w:pPr>
    </w:p>
    <w:p w14:paraId="3F49709C"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7F71D66D"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D3C17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января 1931 Зам. НКО Уборевич получил в копиях записку Тухачевского от 10 (11) января 1930, заключение Шапошникова и другие доклады Тухачевского об артиллерии и саперных войсках, а также июньского и декабрьского писем И.В.С. (9089,136).</w:t>
      </w:r>
    </w:p>
    <w:p w14:paraId="156E8A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CB7F18F"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47BAD58A"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59ED9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13 по 19 января 1931 в Москве состоялось I Всесоюзное совещание по организации труда в колхозах (13-19.01.1931 г) (10687).</w:t>
      </w:r>
    </w:p>
    <w:p w14:paraId="1A14E4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E8A5593" w14:textId="77777777" w:rsidR="006E4804"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0C01B74E" w14:textId="77777777" w:rsidR="006E4804" w:rsidRPr="005E779E" w:rsidRDefault="006E4804"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8E1E914" w14:textId="77777777" w:rsidR="006E4804" w:rsidRPr="005E779E" w:rsidRDefault="006E4804"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14 января 1931</w:t>
      </w:r>
      <w:r w:rsidRPr="005E779E">
        <w:rPr>
          <w:rFonts w:ascii="Times New Roman" w:hAnsi="Times New Roman"/>
          <w:color w:val="000000" w:themeColor="text1"/>
          <w:sz w:val="16"/>
          <w:szCs w:val="16"/>
        </w:rPr>
        <w:t>СНК принял постановление «О мерах улучшения практики кредитной реформы» (12265).</w:t>
      </w:r>
    </w:p>
    <w:p w14:paraId="4DB77184" w14:textId="77777777" w:rsidR="006E4804" w:rsidRPr="005E779E" w:rsidRDefault="006E480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118AB936" w14:textId="77777777" w:rsidR="00AE3AD4" w:rsidRPr="005E779E" w:rsidRDefault="00AE3AD4"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Внешняя политика:</w:t>
      </w:r>
    </w:p>
    <w:p w14:paraId="11F00172" w14:textId="77777777" w:rsidR="00AE3AD4" w:rsidRPr="005E779E" w:rsidRDefault="00AE3AD4"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F742810" w14:textId="77777777" w:rsidR="00AE3AD4" w:rsidRPr="005E779E" w:rsidRDefault="00AE3AD4"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14 января 1931 г.</w:t>
      </w:r>
    </w:p>
    <w:p w14:paraId="6631C9BF" w14:textId="77777777" w:rsidR="00AE3AD4" w:rsidRPr="005E779E" w:rsidRDefault="00AE3AD4"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Письмо В. Н. Баркова Ж. Л. Аренсу с информацией об освещении процесса «Промпартии» во Франции. 14 января 1931 г.</w:t>
      </w:r>
    </w:p>
    <w:p w14:paraId="1F159FB9" w14:textId="77777777" w:rsidR="00AE3AD4" w:rsidRPr="005E779E" w:rsidRDefault="00AE3AD4"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Источник: </w:t>
      </w:r>
    </w:p>
    <w:p w14:paraId="1B9D2EF0" w14:textId="77777777" w:rsidR="00AE3AD4" w:rsidRPr="005E779E" w:rsidRDefault="00AE3AD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81E5F89" w14:textId="77777777" w:rsidR="00AE3AD4" w:rsidRPr="005E779E" w:rsidRDefault="00AE3AD4"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Архив: </w:t>
      </w:r>
    </w:p>
    <w:p w14:paraId="40440D5F" w14:textId="77777777" w:rsidR="00AE3AD4" w:rsidRPr="005E779E" w:rsidRDefault="00AE3AD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АВП РФ. Ф. 056. On. 16. П. 34. Д. 14. Л. 6</w:t>
      </w:r>
    </w:p>
    <w:p w14:paraId="0DC1C012" w14:textId="77777777" w:rsidR="00AE3AD4" w:rsidRPr="005E779E" w:rsidRDefault="00AE3AD4" w:rsidP="000B7A6C">
      <w:pPr>
        <w:pStyle w:val="rteright"/>
        <w:spacing w:before="0" w:after="0"/>
        <w:jc w:val="both"/>
        <w:rPr>
          <w:color w:val="000000" w:themeColor="text1"/>
          <w:sz w:val="16"/>
          <w:szCs w:val="16"/>
        </w:rPr>
      </w:pPr>
      <w:r w:rsidRPr="005E779E">
        <w:rPr>
          <w:color w:val="000000" w:themeColor="text1"/>
          <w:sz w:val="16"/>
          <w:szCs w:val="16"/>
        </w:rPr>
        <w:t>14 января 1931 г.</w:t>
      </w:r>
    </w:p>
    <w:p w14:paraId="5CF21BC0" w14:textId="77777777" w:rsidR="00AE3AD4" w:rsidRPr="005E779E" w:rsidRDefault="00AE3AD4" w:rsidP="000B7A6C">
      <w:pPr>
        <w:pStyle w:val="rteright"/>
        <w:spacing w:before="0" w:after="0"/>
        <w:jc w:val="both"/>
        <w:rPr>
          <w:color w:val="000000" w:themeColor="text1"/>
          <w:sz w:val="16"/>
          <w:szCs w:val="16"/>
        </w:rPr>
      </w:pPr>
      <w:r w:rsidRPr="005E779E">
        <w:rPr>
          <w:color w:val="000000" w:themeColor="text1"/>
          <w:sz w:val="16"/>
          <w:szCs w:val="16"/>
        </w:rPr>
        <w:t>Секретно</w:t>
      </w:r>
    </w:p>
    <w:p w14:paraId="4F1F6AD8" w14:textId="77777777" w:rsidR="00AE3AD4" w:rsidRPr="005E779E" w:rsidRDefault="00AE3AD4" w:rsidP="000B7A6C">
      <w:pPr>
        <w:pStyle w:val="ae"/>
        <w:spacing w:before="0" w:after="0"/>
        <w:jc w:val="both"/>
        <w:rPr>
          <w:color w:val="000000" w:themeColor="text1"/>
          <w:sz w:val="16"/>
          <w:szCs w:val="16"/>
        </w:rPr>
      </w:pPr>
      <w:r w:rsidRPr="005E779E">
        <w:rPr>
          <w:color w:val="000000" w:themeColor="text1"/>
          <w:sz w:val="16"/>
          <w:szCs w:val="16"/>
        </w:rPr>
        <w:t>Зав. Отделом Печати Н.К.И.Д.</w:t>
      </w:r>
    </w:p>
    <w:p w14:paraId="0352AEFF" w14:textId="77777777" w:rsidR="00AE3AD4" w:rsidRPr="005E779E" w:rsidRDefault="00AE3AD4" w:rsidP="000B7A6C">
      <w:pPr>
        <w:pStyle w:val="ae"/>
        <w:spacing w:before="0" w:after="0"/>
        <w:jc w:val="both"/>
        <w:rPr>
          <w:color w:val="000000" w:themeColor="text1"/>
          <w:sz w:val="16"/>
          <w:szCs w:val="16"/>
        </w:rPr>
      </w:pPr>
      <w:r w:rsidRPr="005E779E">
        <w:rPr>
          <w:color w:val="000000" w:themeColor="text1"/>
          <w:sz w:val="16"/>
          <w:szCs w:val="16"/>
        </w:rPr>
        <w:t>тов. Ж. Л. АРЕНСУ</w:t>
      </w:r>
    </w:p>
    <w:p w14:paraId="16102DE7" w14:textId="77777777" w:rsidR="00AE3AD4" w:rsidRPr="005E779E" w:rsidRDefault="00AE3AD4" w:rsidP="000B7A6C">
      <w:pPr>
        <w:pStyle w:val="ae"/>
        <w:spacing w:before="0" w:after="0"/>
        <w:jc w:val="both"/>
        <w:rPr>
          <w:color w:val="000000" w:themeColor="text1"/>
          <w:sz w:val="16"/>
          <w:szCs w:val="16"/>
        </w:rPr>
      </w:pPr>
      <w:r w:rsidRPr="005E779E">
        <w:rPr>
          <w:color w:val="000000" w:themeColor="text1"/>
          <w:sz w:val="16"/>
          <w:szCs w:val="16"/>
        </w:rPr>
        <w:t>Москва</w:t>
      </w:r>
    </w:p>
    <w:p w14:paraId="05BDB26B" w14:textId="77777777" w:rsidR="00AE3AD4" w:rsidRPr="005E779E" w:rsidRDefault="00AE3AD4" w:rsidP="000B7A6C">
      <w:pPr>
        <w:pStyle w:val="ae"/>
        <w:spacing w:before="0" w:after="0"/>
        <w:jc w:val="both"/>
        <w:rPr>
          <w:color w:val="000000" w:themeColor="text1"/>
          <w:sz w:val="16"/>
          <w:szCs w:val="16"/>
        </w:rPr>
      </w:pPr>
      <w:r w:rsidRPr="005E779E">
        <w:rPr>
          <w:color w:val="000000" w:themeColor="text1"/>
          <w:sz w:val="16"/>
          <w:szCs w:val="16"/>
        </w:rPr>
        <w:t>Уважаемый Товарищ,</w:t>
      </w:r>
    </w:p>
    <w:p w14:paraId="59725F87" w14:textId="77777777" w:rsidR="00AE3AD4" w:rsidRPr="005E779E" w:rsidRDefault="00AE3AD4" w:rsidP="000B7A6C">
      <w:pPr>
        <w:numPr>
          <w:ilvl w:val="0"/>
          <w:numId w:val="6"/>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Выясняли через Доминика характер предисловия Валуа. Доминик уверяет, что предисловие будет приемлемое для нас. Кроме того, Доминик предлагает свое посредничество для нашего редакционного вмешательства. С Ривьером и Дельпешем вели переговоры через третьих лиц, с Валуа разговаривали непосредственно. Последнее обстоятельство является добавочным аргументом за издание стенограммы в издательстве Валуа. Принимая во внимание условия, предложенные Валуа, а также вышеперечисленные обстоятельства, тов. Довгалевский является сторонником издания стенограммы у Валуа. Согласны с Вашим предложением организовать перевод здесь. Есть квалифицированные переводчики. Перевод можно сделать в три-четыре недели. Стоимость перевода печатного листа — 300 франков.</w:t>
      </w:r>
    </w:p>
    <w:p w14:paraId="13C7A1C7" w14:textId="77777777" w:rsidR="00AE3AD4" w:rsidRPr="005E779E" w:rsidRDefault="00AE3AD4" w:rsidP="000B7A6C">
      <w:pPr>
        <w:numPr>
          <w:ilvl w:val="0"/>
          <w:numId w:val="6"/>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Ведем переговоры с дружественными газетами о Луциани. Они тянут с ответом. Как только получим ответ, телеграфируем. Передайте Луциани, чтобы он обратился с предложением сотрудничества в «Эвр». Транен нажимает на дирекцию «Эвр» относительно использования Луциани.</w:t>
      </w:r>
    </w:p>
    <w:p w14:paraId="6C95F9B3" w14:textId="77777777" w:rsidR="00AE3AD4" w:rsidRPr="005E779E" w:rsidRDefault="00AE3AD4" w:rsidP="000B7A6C">
      <w:pPr>
        <w:numPr>
          <w:ilvl w:val="0"/>
          <w:numId w:val="6"/>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10-го января состоялся доклад Рожера Франка о «Мировом Кризисе и Советской экономике» в Сорбонне, организованный «группой по изучению новейших течений в области научной философии». Предполагалось, что Рожер Франк коснется процесса. К сожалению, сотрудник Торгпредства, тов. Вуевич, рассылая приглашения группы, направил одно из них враждебной нам фирме, присовокупив приглашение от имени Торгпредства, написанное на бланке. Фирма передала все это в «Эко де Пари». «Эко де Пари» поместило в день доклада бойкую статейку на тему — «Большевистская пропаганда в Сорбонне», текстуально воспроизведя </w:t>
      </w:r>
      <w:r w:rsidRPr="005E779E">
        <w:rPr>
          <w:rFonts w:ascii="Times New Roman" w:hAnsi="Times New Roman"/>
          <w:color w:val="000000" w:themeColor="text1"/>
          <w:sz w:val="16"/>
          <w:szCs w:val="16"/>
        </w:rPr>
        <w:lastRenderedPageBreak/>
        <w:t>приглашение Торгпредства. Разумеется, многие из приглашенных, опасаясь скандала, не пришли, а докладчику пришлось опустить почти всю часть о процессе. Все же на докладе присутствовало около 300-т человек. Докладчик имел успех.</w:t>
      </w:r>
    </w:p>
    <w:p w14:paraId="509940E3" w14:textId="77777777" w:rsidR="00AE3AD4" w:rsidRPr="005E779E" w:rsidRDefault="00AE3AD4" w:rsidP="000B7A6C">
      <w:pPr>
        <w:numPr>
          <w:ilvl w:val="0"/>
          <w:numId w:val="6"/>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Очень ждем статью о Днепрострое. Непонятно, почему так долго задерживается статья. Ведь статью должен писать не Розенталь, он должен был лишь поручить заказать статью кому-либо. Выругайте его. Статью ждем со следующей почтой.</w:t>
      </w:r>
    </w:p>
    <w:p w14:paraId="225B1DDB" w14:textId="77777777" w:rsidR="00AE3AD4" w:rsidRPr="005E779E" w:rsidRDefault="00AE3AD4" w:rsidP="000B7A6C">
      <w:pPr>
        <w:pStyle w:val="rtejustify"/>
        <w:spacing w:before="0" w:after="0"/>
        <w:rPr>
          <w:color w:val="000000" w:themeColor="text1"/>
          <w:sz w:val="16"/>
          <w:szCs w:val="16"/>
        </w:rPr>
      </w:pPr>
      <w:r w:rsidRPr="005E779E">
        <w:rPr>
          <w:color w:val="000000" w:themeColor="text1"/>
          <w:sz w:val="16"/>
          <w:szCs w:val="16"/>
        </w:rPr>
        <w:t>С товарищеским приветом.</w:t>
      </w:r>
    </w:p>
    <w:p w14:paraId="1C9528C9" w14:textId="77777777" w:rsidR="00AE3AD4" w:rsidRPr="005E779E" w:rsidRDefault="00AE3AD4" w:rsidP="000B7A6C">
      <w:pPr>
        <w:pStyle w:val="rtejustify"/>
        <w:spacing w:before="0" w:after="0"/>
        <w:rPr>
          <w:color w:val="000000" w:themeColor="text1"/>
          <w:sz w:val="16"/>
          <w:szCs w:val="16"/>
        </w:rPr>
      </w:pPr>
      <w:r w:rsidRPr="005E779E">
        <w:rPr>
          <w:color w:val="000000" w:themeColor="text1"/>
          <w:sz w:val="16"/>
          <w:szCs w:val="16"/>
        </w:rPr>
        <w:t>В. Барков</w:t>
      </w:r>
    </w:p>
    <w:p w14:paraId="214A72C6" w14:textId="77777777" w:rsidR="00AE3AD4" w:rsidRPr="005E779E" w:rsidRDefault="00AE3AD4" w:rsidP="000B7A6C">
      <w:pPr>
        <w:pStyle w:val="ae"/>
        <w:spacing w:before="0" w:after="0"/>
        <w:jc w:val="both"/>
        <w:rPr>
          <w:color w:val="000000" w:themeColor="text1"/>
          <w:sz w:val="16"/>
          <w:szCs w:val="16"/>
        </w:rPr>
      </w:pPr>
      <w:r w:rsidRPr="005E779E">
        <w:rPr>
          <w:rStyle w:val="af0"/>
          <w:i w:val="0"/>
          <w:color w:val="000000" w:themeColor="text1"/>
          <w:sz w:val="16"/>
          <w:szCs w:val="16"/>
        </w:rPr>
        <w:t>АВП</w:t>
      </w:r>
      <w:r w:rsidRPr="005E779E">
        <w:rPr>
          <w:rStyle w:val="af0"/>
          <w:i w:val="0"/>
          <w:color w:val="000000" w:themeColor="text1"/>
          <w:sz w:val="16"/>
          <w:szCs w:val="16"/>
          <w:lang w:val="en-US"/>
        </w:rPr>
        <w:t xml:space="preserve"> </w:t>
      </w:r>
      <w:r w:rsidRPr="005E779E">
        <w:rPr>
          <w:rStyle w:val="af0"/>
          <w:i w:val="0"/>
          <w:color w:val="000000" w:themeColor="text1"/>
          <w:sz w:val="16"/>
          <w:szCs w:val="16"/>
        </w:rPr>
        <w:t>РФ</w:t>
      </w:r>
      <w:r w:rsidRPr="005E779E">
        <w:rPr>
          <w:rStyle w:val="af0"/>
          <w:i w:val="0"/>
          <w:color w:val="000000" w:themeColor="text1"/>
          <w:sz w:val="16"/>
          <w:szCs w:val="16"/>
          <w:lang w:val="en-US"/>
        </w:rPr>
        <w:t xml:space="preserve">. </w:t>
      </w:r>
      <w:r w:rsidRPr="005E779E">
        <w:rPr>
          <w:rStyle w:val="af0"/>
          <w:i w:val="0"/>
          <w:color w:val="000000" w:themeColor="text1"/>
          <w:sz w:val="16"/>
          <w:szCs w:val="16"/>
        </w:rPr>
        <w:t>Ф</w:t>
      </w:r>
      <w:r w:rsidRPr="005E779E">
        <w:rPr>
          <w:rStyle w:val="af0"/>
          <w:i w:val="0"/>
          <w:color w:val="000000" w:themeColor="text1"/>
          <w:sz w:val="16"/>
          <w:szCs w:val="16"/>
          <w:lang w:val="en-US"/>
        </w:rPr>
        <w:t xml:space="preserve">. 056. On. 16. </w:t>
      </w:r>
      <w:r w:rsidRPr="005E779E">
        <w:rPr>
          <w:rStyle w:val="af0"/>
          <w:i w:val="0"/>
          <w:color w:val="000000" w:themeColor="text1"/>
          <w:sz w:val="16"/>
          <w:szCs w:val="16"/>
        </w:rPr>
        <w:t>П</w:t>
      </w:r>
      <w:r w:rsidRPr="005E779E">
        <w:rPr>
          <w:rStyle w:val="af0"/>
          <w:i w:val="0"/>
          <w:color w:val="000000" w:themeColor="text1"/>
          <w:sz w:val="16"/>
          <w:szCs w:val="16"/>
          <w:lang w:val="en-US"/>
        </w:rPr>
        <w:t xml:space="preserve">. 34. </w:t>
      </w:r>
      <w:r w:rsidRPr="005E779E">
        <w:rPr>
          <w:rStyle w:val="af0"/>
          <w:i w:val="0"/>
          <w:color w:val="000000" w:themeColor="text1"/>
          <w:sz w:val="16"/>
          <w:szCs w:val="16"/>
        </w:rPr>
        <w:t>Д</w:t>
      </w:r>
      <w:r w:rsidRPr="005E779E">
        <w:rPr>
          <w:rStyle w:val="af0"/>
          <w:i w:val="0"/>
          <w:color w:val="000000" w:themeColor="text1"/>
          <w:sz w:val="16"/>
          <w:szCs w:val="16"/>
          <w:lang w:val="en-US"/>
        </w:rPr>
        <w:t xml:space="preserve">. 14. </w:t>
      </w:r>
      <w:r w:rsidRPr="005E779E">
        <w:rPr>
          <w:rStyle w:val="af0"/>
          <w:i w:val="0"/>
          <w:color w:val="000000" w:themeColor="text1"/>
          <w:sz w:val="16"/>
          <w:szCs w:val="16"/>
        </w:rPr>
        <w:t>Л. 6. Машинописный подлинник на бланке Полпредства СССР во Франции, подпись Баркова — автограф. Вверху справа в графе бланка дата «14 января 1931 г.» (число и месяц машинописью), исходящий номер «№ 28/с» (от руки). Гриф секретности машинописью. Вверху карандашом написаны входящий номер и дата получения документа «19/1-31 г.», ниже помета «Исполнено» (подпись- росчерк, неразборчиво). Внизу слева делопроизводственная помета машинописью (столбцом) «2 экз. 1 — т. Аренсу, 1 — в дело» (18827).</w:t>
      </w:r>
    </w:p>
    <w:p w14:paraId="4021E1E8" w14:textId="77777777" w:rsidR="00AE3AD4" w:rsidRPr="005E779E" w:rsidRDefault="00AE3AD4" w:rsidP="000B7A6C">
      <w:pPr>
        <w:spacing w:after="0" w:line="240" w:lineRule="auto"/>
        <w:jc w:val="both"/>
        <w:rPr>
          <w:rFonts w:ascii="Times New Roman" w:hAnsi="Times New Roman"/>
          <w:color w:val="000000" w:themeColor="text1"/>
          <w:sz w:val="16"/>
          <w:szCs w:val="16"/>
        </w:rPr>
      </w:pPr>
    </w:p>
    <w:p w14:paraId="6EE46229"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4A96B9C7"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361DC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января 1931 г. закончились госиспытания М-27, которые проходили с 10 декабря 1930 г. Прошел их удовлетворительно. Летные испытания проводились на самолете ТШ-2 в 1932 г. Внедрялся в серийное производство на заводе № 24. Изготовлен 21 экз. Снят с производства по постановлению РВС в начале 1932 г.</w:t>
      </w:r>
    </w:p>
    <w:p w14:paraId="2C65AE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Характеристики:</w:t>
      </w:r>
    </w:p>
    <w:p w14:paraId="53DB40B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 18-цилиндровый, рядный </w:t>
      </w:r>
      <w:r w:rsidRPr="005E779E">
        <w:rPr>
          <w:rFonts w:ascii="Times New Roman" w:hAnsi="Times New Roman"/>
          <w:color w:val="000000" w:themeColor="text1"/>
          <w:sz w:val="16"/>
          <w:szCs w:val="16"/>
          <w:lang w:val="en-US"/>
        </w:rPr>
        <w:t>W</w:t>
      </w:r>
      <w:r w:rsidRPr="005E779E">
        <w:rPr>
          <w:rFonts w:ascii="Times New Roman" w:hAnsi="Times New Roman"/>
          <w:color w:val="000000" w:themeColor="text1"/>
          <w:sz w:val="16"/>
          <w:szCs w:val="16"/>
        </w:rPr>
        <w:t>-образный блочный (блоки под углом 40°), четырехтактный, водяного охлаждения;</w:t>
      </w:r>
    </w:p>
    <w:p w14:paraId="1D4DA5E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мощность по заданию 700/900 л.с.;</w:t>
      </w:r>
    </w:p>
    <w:p w14:paraId="46E2ACC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по представлению завода 700/850 л.с. (фактически 707/828 л.с.);</w:t>
      </w:r>
    </w:p>
    <w:p w14:paraId="010BB6B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диаметр цилиндра/ход поршня 135/160 мм;</w:t>
      </w:r>
    </w:p>
    <w:p w14:paraId="396D9BE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объем 41,1 л;</w:t>
      </w:r>
    </w:p>
    <w:p w14:paraId="3D034F8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степень сжатия 6,4;</w:t>
      </w:r>
    </w:p>
    <w:p w14:paraId="430DD19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безредукторный;</w:t>
      </w:r>
    </w:p>
    <w:p w14:paraId="042E83D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вес 633 кг (без выхлопных патрубков). Известны модификации:</w:t>
      </w:r>
    </w:p>
    <w:p w14:paraId="0785B8B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М-27, исходный вариант без редуктора и нагнетателя;</w:t>
      </w:r>
    </w:p>
    <w:p w14:paraId="300BE88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М-27Р, вариант с понижающим редуктором; максимальная мощность 830 л.с. Проектировался в ИАМ в 1931 г.</w:t>
      </w:r>
    </w:p>
    <w:p w14:paraId="53E41E5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М-27РН, предполагавшийся вариант с редуктором и нагнетателем. Не разрабатывался.</w:t>
      </w:r>
    </w:p>
    <w:p w14:paraId="716BE7C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М-27 сдвоенный для самолета Г-1. Экспериментальная установка ис</w:t>
      </w:r>
      <w:r w:rsidRPr="005E779E">
        <w:rPr>
          <w:rFonts w:ascii="Times New Roman" w:hAnsi="Times New Roman"/>
          <w:color w:val="000000" w:themeColor="text1"/>
          <w:sz w:val="16"/>
          <w:szCs w:val="16"/>
        </w:rPr>
        <w:softHyphen/>
        <w:t>пытывалась в марте — апреле 1933 г.</w:t>
      </w:r>
    </w:p>
    <w:p w14:paraId="53A6F19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ГМ-27, катерный вариант с реверс-редуктором, усиленными картером, шатунами, медными рубашками охлаждения вместо алюминиевых, мощность 670 л.с. Проектировался по заданию от июня 1929 г. в ИАМ в 1931 г.</w:t>
      </w:r>
    </w:p>
    <w:p w14:paraId="469002D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Устанавливался на опытном штурмовике ТШ-2. Предлагался для замены итальянского мотора А88О на проектировавшемся гражданском варианте летающей лодки МБР-4 (МП-4), а также для самолетов Р-8 и Р-12 (11852).</w:t>
      </w:r>
    </w:p>
    <w:p w14:paraId="1DCA57D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56338E" w14:textId="77777777" w:rsidR="00B23E00" w:rsidRPr="005E779E" w:rsidRDefault="00B23E0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К 15 января 1931 г. второй опытный экземпляр мотора М-27 выдержал го</w:t>
      </w:r>
      <w:r w:rsidRPr="005E779E">
        <w:rPr>
          <w:rFonts w:ascii="Times New Roman" w:hAnsi="Times New Roman"/>
          <w:color w:val="000000" w:themeColor="text1"/>
          <w:sz w:val="16"/>
          <w:szCs w:val="16"/>
          <w:lang w:eastAsia="ru-RU" w:bidi="ru-RU"/>
        </w:rPr>
        <w:softHyphen/>
        <w:t>сударственные испытания. И хотя фак</w:t>
      </w:r>
      <w:r w:rsidRPr="005E779E">
        <w:rPr>
          <w:rFonts w:ascii="Times New Roman" w:hAnsi="Times New Roman"/>
          <w:color w:val="000000" w:themeColor="text1"/>
          <w:sz w:val="16"/>
          <w:szCs w:val="16"/>
          <w:lang w:eastAsia="ru-RU" w:bidi="ru-RU"/>
        </w:rPr>
        <w:softHyphen/>
        <w:t>тически полученная мощность М-27 (707/828 л.с.) оказалась ниже заявленной, моторостроители вполне обоснованно рассчитывали в ходе доводки мотора и организации его серийного производства проектные данные все же получить.</w:t>
      </w:r>
    </w:p>
    <w:p w14:paraId="1204C1E7" w14:textId="77777777" w:rsidR="00B23E00" w:rsidRPr="005E779E" w:rsidRDefault="00B23E0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Как следствие, было решено приоста</w:t>
      </w:r>
      <w:r w:rsidRPr="005E779E">
        <w:rPr>
          <w:rFonts w:ascii="Times New Roman" w:hAnsi="Times New Roman"/>
          <w:color w:val="000000" w:themeColor="text1"/>
          <w:sz w:val="16"/>
          <w:szCs w:val="16"/>
          <w:lang w:eastAsia="ru-RU" w:bidi="ru-RU"/>
        </w:rPr>
        <w:softHyphen/>
        <w:t>новить постройку войсковой серии ТШ-2 с М-17, «поскольку серийные самолеты должны выходить с мотором М-27».</w:t>
      </w:r>
    </w:p>
    <w:p w14:paraId="5B8F835F" w14:textId="77777777" w:rsidR="00B23E00" w:rsidRPr="005E779E" w:rsidRDefault="00B23E0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Одновременно ВАО выдало офици</w:t>
      </w:r>
      <w:r w:rsidRPr="005E779E">
        <w:rPr>
          <w:rFonts w:ascii="Times New Roman" w:hAnsi="Times New Roman"/>
          <w:color w:val="000000" w:themeColor="text1"/>
          <w:sz w:val="16"/>
          <w:szCs w:val="16"/>
          <w:lang w:eastAsia="ru-RU" w:bidi="ru-RU"/>
        </w:rPr>
        <w:softHyphen/>
        <w:t>альное задание ЦКБ построить три эк</w:t>
      </w:r>
      <w:r w:rsidRPr="005E779E">
        <w:rPr>
          <w:rFonts w:ascii="Times New Roman" w:hAnsi="Times New Roman"/>
          <w:color w:val="000000" w:themeColor="text1"/>
          <w:sz w:val="16"/>
          <w:szCs w:val="16"/>
          <w:lang w:eastAsia="ru-RU" w:bidi="ru-RU"/>
        </w:rPr>
        <w:softHyphen/>
        <w:t>земпляра самолета ТШ-2 с мотором М-27, на которых требовалось отладить работу винтомоторной группы и систему вооружения, после чего один из них до</w:t>
      </w:r>
      <w:r w:rsidRPr="005E779E">
        <w:rPr>
          <w:rFonts w:ascii="Times New Roman" w:hAnsi="Times New Roman"/>
          <w:color w:val="000000" w:themeColor="text1"/>
          <w:sz w:val="16"/>
          <w:szCs w:val="16"/>
          <w:lang w:eastAsia="ru-RU" w:bidi="ru-RU"/>
        </w:rPr>
        <w:softHyphen/>
        <w:t>работать до уровня эталона для серии. Поступление ТШ-2 М-27 для прохожде</w:t>
      </w:r>
      <w:r w:rsidRPr="005E779E">
        <w:rPr>
          <w:rFonts w:ascii="Times New Roman" w:hAnsi="Times New Roman"/>
          <w:color w:val="000000" w:themeColor="text1"/>
          <w:sz w:val="16"/>
          <w:szCs w:val="16"/>
          <w:lang w:eastAsia="ru-RU" w:bidi="ru-RU"/>
        </w:rPr>
        <w:softHyphen/>
        <w:t>ния государственных испытаний предпо</w:t>
      </w:r>
      <w:r w:rsidRPr="005E779E">
        <w:rPr>
          <w:rFonts w:ascii="Times New Roman" w:hAnsi="Times New Roman"/>
          <w:color w:val="000000" w:themeColor="text1"/>
          <w:sz w:val="16"/>
          <w:szCs w:val="16"/>
          <w:lang w:eastAsia="ru-RU" w:bidi="ru-RU"/>
        </w:rPr>
        <w:softHyphen/>
        <w:t>лагалось: первый экземпляр - к 20 фев</w:t>
      </w:r>
      <w:r w:rsidRPr="005E779E">
        <w:rPr>
          <w:rFonts w:ascii="Times New Roman" w:hAnsi="Times New Roman"/>
          <w:color w:val="000000" w:themeColor="text1"/>
          <w:sz w:val="16"/>
          <w:szCs w:val="16"/>
          <w:lang w:eastAsia="ru-RU" w:bidi="ru-RU"/>
        </w:rPr>
        <w:softHyphen/>
        <w:t>раля, второй - к 15 мая, и третий - к 1 июля 1931 г. При этом «один самолет строится за счет средств опытного стро</w:t>
      </w:r>
      <w:r w:rsidRPr="005E779E">
        <w:rPr>
          <w:rFonts w:ascii="Times New Roman" w:hAnsi="Times New Roman"/>
          <w:color w:val="000000" w:themeColor="text1"/>
          <w:sz w:val="16"/>
          <w:szCs w:val="16"/>
          <w:lang w:eastAsia="ru-RU" w:bidi="ru-RU"/>
        </w:rPr>
        <w:softHyphen/>
        <w:t>ительства, а остальные два за счет се</w:t>
      </w:r>
      <w:r w:rsidRPr="005E779E">
        <w:rPr>
          <w:rFonts w:ascii="Times New Roman" w:hAnsi="Times New Roman"/>
          <w:color w:val="000000" w:themeColor="text1"/>
          <w:sz w:val="16"/>
          <w:szCs w:val="16"/>
          <w:lang w:eastAsia="ru-RU" w:bidi="ru-RU"/>
        </w:rPr>
        <w:softHyphen/>
        <w:t>рийного заказа».</w:t>
      </w:r>
    </w:p>
    <w:p w14:paraId="2BAFC627" w14:textId="77777777" w:rsidR="00B23E00" w:rsidRPr="005E779E" w:rsidRDefault="00B23E0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Параллельно строился более со</w:t>
      </w:r>
      <w:r w:rsidRPr="005E779E">
        <w:rPr>
          <w:rFonts w:ascii="Times New Roman" w:hAnsi="Times New Roman"/>
          <w:color w:val="000000" w:themeColor="text1"/>
          <w:sz w:val="16"/>
          <w:szCs w:val="16"/>
          <w:lang w:eastAsia="ru-RU" w:bidi="ru-RU"/>
        </w:rPr>
        <w:softHyphen/>
        <w:t>вершенный второй опытный экзем</w:t>
      </w:r>
      <w:r w:rsidRPr="005E779E">
        <w:rPr>
          <w:rFonts w:ascii="Times New Roman" w:hAnsi="Times New Roman"/>
          <w:color w:val="000000" w:themeColor="text1"/>
          <w:sz w:val="16"/>
          <w:szCs w:val="16"/>
          <w:lang w:eastAsia="ru-RU" w:bidi="ru-RU"/>
        </w:rPr>
        <w:softHyphen/>
        <w:t>пляр ТШ-2 с мотором М-17 (№ 21 по плану ЦКБ). Главные отличия заключа</w:t>
      </w:r>
      <w:r w:rsidRPr="005E779E">
        <w:rPr>
          <w:rFonts w:ascii="Times New Roman" w:hAnsi="Times New Roman"/>
          <w:color w:val="000000" w:themeColor="text1"/>
          <w:sz w:val="16"/>
          <w:szCs w:val="16"/>
          <w:lang w:eastAsia="ru-RU" w:bidi="ru-RU"/>
        </w:rPr>
        <w:softHyphen/>
        <w:t>лись в следующем. Нижнее крыло имело утолщенный профиль и металлическую конструкцию. Это позволяло разме</w:t>
      </w:r>
      <w:r w:rsidRPr="005E779E">
        <w:rPr>
          <w:rFonts w:ascii="Times New Roman" w:hAnsi="Times New Roman"/>
          <w:color w:val="000000" w:themeColor="text1"/>
          <w:sz w:val="16"/>
          <w:szCs w:val="16"/>
          <w:lang w:eastAsia="ru-RU" w:bidi="ru-RU"/>
        </w:rPr>
        <w:softHyphen/>
        <w:t>стить в крыле пулеметы (по одной бата</w:t>
      </w:r>
      <w:r w:rsidRPr="005E779E">
        <w:rPr>
          <w:rFonts w:ascii="Times New Roman" w:hAnsi="Times New Roman"/>
          <w:color w:val="000000" w:themeColor="text1"/>
          <w:sz w:val="16"/>
          <w:szCs w:val="16"/>
          <w:lang w:eastAsia="ru-RU" w:bidi="ru-RU"/>
        </w:rPr>
        <w:softHyphen/>
        <w:t>реи из четырех ПВ-1 с каждой стороны), бензобаки и фары. Изменили оперение и незначительно схему бронирования, а также выполнили некоторые мелкие доработки. На самолет предполагалось установить тормозные колеса.</w:t>
      </w:r>
    </w:p>
    <w:p w14:paraId="11519C90" w14:textId="77777777" w:rsidR="00B23E00" w:rsidRPr="005E779E" w:rsidRDefault="00B23E00" w:rsidP="000B7A6C">
      <w:pPr>
        <w:spacing w:after="0" w:line="240" w:lineRule="auto"/>
        <w:jc w:val="both"/>
        <w:rPr>
          <w:rFonts w:ascii="Times New Roman" w:hAnsi="Times New Roman"/>
          <w:color w:val="000000" w:themeColor="text1"/>
          <w:sz w:val="16"/>
          <w:szCs w:val="16"/>
          <w:lang w:eastAsia="ru-RU" w:bidi="ru-RU"/>
        </w:rPr>
      </w:pPr>
      <w:r w:rsidRPr="005E779E">
        <w:rPr>
          <w:rFonts w:ascii="Times New Roman" w:hAnsi="Times New Roman"/>
          <w:color w:val="000000" w:themeColor="text1"/>
          <w:sz w:val="16"/>
          <w:szCs w:val="16"/>
          <w:lang w:eastAsia="ru-RU" w:bidi="ru-RU"/>
        </w:rPr>
        <w:t>Завершить постройку ТШ-2 №2 пла</w:t>
      </w:r>
      <w:r w:rsidRPr="005E779E">
        <w:rPr>
          <w:rFonts w:ascii="Times New Roman" w:hAnsi="Times New Roman"/>
          <w:color w:val="000000" w:themeColor="text1"/>
          <w:sz w:val="16"/>
          <w:szCs w:val="16"/>
          <w:lang w:eastAsia="ru-RU" w:bidi="ru-RU"/>
        </w:rPr>
        <w:softHyphen/>
        <w:t>нировали к 1 декабря 1930 г., но не успели. По состоянию на 1 ноября готов</w:t>
      </w:r>
      <w:r w:rsidRPr="005E779E">
        <w:rPr>
          <w:rFonts w:ascii="Times New Roman" w:hAnsi="Times New Roman"/>
          <w:color w:val="000000" w:themeColor="text1"/>
          <w:sz w:val="16"/>
          <w:szCs w:val="16"/>
          <w:lang w:eastAsia="ru-RU" w:bidi="ru-RU"/>
        </w:rPr>
        <w:softHyphen/>
        <w:t>ность самолета оценивалась только в 40%. Это оказалось к лучшему, так как 30 но</w:t>
      </w:r>
      <w:r w:rsidRPr="005E779E">
        <w:rPr>
          <w:rFonts w:ascii="Times New Roman" w:hAnsi="Times New Roman"/>
          <w:color w:val="000000" w:themeColor="text1"/>
          <w:sz w:val="16"/>
          <w:szCs w:val="16"/>
          <w:lang w:eastAsia="ru-RU" w:bidi="ru-RU"/>
        </w:rPr>
        <w:softHyphen/>
        <w:t>ября НТК ВВС утвердило новые тактико</w:t>
      </w:r>
      <w:r w:rsidRPr="005E779E">
        <w:rPr>
          <w:rFonts w:ascii="Times New Roman" w:hAnsi="Times New Roman"/>
          <w:color w:val="000000" w:themeColor="text1"/>
          <w:sz w:val="16"/>
          <w:szCs w:val="16"/>
          <w:lang w:eastAsia="ru-RU" w:bidi="ru-RU"/>
        </w:rPr>
        <w:softHyphen/>
        <w:t>технические требования к самолету-штур</w:t>
      </w:r>
      <w:r w:rsidRPr="005E779E">
        <w:rPr>
          <w:rFonts w:ascii="Times New Roman" w:hAnsi="Times New Roman"/>
          <w:color w:val="000000" w:themeColor="text1"/>
          <w:sz w:val="16"/>
          <w:szCs w:val="16"/>
          <w:lang w:eastAsia="ru-RU" w:bidi="ru-RU"/>
        </w:rPr>
        <w:softHyphen/>
        <w:t>мовику этого класса (21062).</w:t>
      </w:r>
    </w:p>
    <w:p w14:paraId="02F0045A" w14:textId="77777777" w:rsidR="00B23E00" w:rsidRPr="005E779E" w:rsidRDefault="00B23E00" w:rsidP="000B7A6C">
      <w:pPr>
        <w:spacing w:after="0" w:line="240" w:lineRule="auto"/>
        <w:jc w:val="both"/>
        <w:rPr>
          <w:rFonts w:ascii="Times New Roman" w:hAnsi="Times New Roman"/>
          <w:color w:val="000000" w:themeColor="text1"/>
          <w:sz w:val="16"/>
          <w:szCs w:val="16"/>
        </w:rPr>
      </w:pPr>
    </w:p>
    <w:p w14:paraId="769883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января (сентября) 1931 начался Всесоюзный день дирижабля (шел до 1 февраля). Собирали деньги (438,619).</w:t>
      </w:r>
    </w:p>
    <w:p w14:paraId="53EB99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12EC31B" w14:textId="77777777" w:rsidR="00EA061A" w:rsidRPr="005E779E" w:rsidRDefault="00EA061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января 1931 г. начался "Всесоюзный день дирижабля", проводимых с целью привлечения общественного внимания к вопросам советского дирижаблестроения. Кампания по сбору средств на постройку дирижаблей, начатая центральными газетами, и обращение ЦС Осоавкахима, нашли поддержку у трудящихся. К этому времени в фонд дирижаблестроения поступило 3.600 тысяч рублей, из коих 940 тысяч на постройку дирижабля «Клим Ворошилов" в связи с приближавшимся 50-летнем наркома по военным и морским делам К.Е.Ворошилова.</w:t>
      </w:r>
    </w:p>
    <w:p w14:paraId="59FFDC31" w14:textId="77777777" w:rsidR="00EA061A" w:rsidRPr="005E779E" w:rsidRDefault="00EA061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/«Красная звезда» за 15 и 17 января 1931 г./ (23370).</w:t>
      </w:r>
    </w:p>
    <w:p w14:paraId="47AF2788" w14:textId="77777777" w:rsidR="00EA061A" w:rsidRPr="005E779E" w:rsidRDefault="00EA061A" w:rsidP="000B7A6C">
      <w:pPr>
        <w:spacing w:after="0" w:line="240" w:lineRule="auto"/>
        <w:jc w:val="both"/>
        <w:rPr>
          <w:rFonts w:ascii="Times New Roman" w:hAnsi="Times New Roman"/>
          <w:color w:val="000000" w:themeColor="text1"/>
          <w:sz w:val="16"/>
          <w:szCs w:val="16"/>
        </w:rPr>
      </w:pPr>
    </w:p>
    <w:p w14:paraId="107631E5" w14:textId="77777777" w:rsidR="00AE3AD4" w:rsidRPr="005E779E" w:rsidRDefault="00AE3AD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января 1931</w:t>
      </w:r>
    </w:p>
    <w:p w14:paraId="2164DB2F" w14:textId="77777777" w:rsidR="00AE3AD4" w:rsidRPr="005E779E" w:rsidRDefault="00AE3AD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Протокол № 23 заседания Политбюро ЦК ВКП(б) от 15 января 1931 г.</w:t>
      </w:r>
    </w:p>
    <w:p w14:paraId="35396E5F" w14:textId="77777777" w:rsidR="00AE3AD4" w:rsidRPr="005E779E" w:rsidRDefault="00AE3AD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Заседание Политбюро ЦК ВКП(б) от 15-го января 1931 года.</w:t>
      </w:r>
    </w:p>
    <w:p w14:paraId="774BF33F" w14:textId="77777777" w:rsidR="00AE3AD4" w:rsidRPr="005E779E" w:rsidRDefault="00AE3AD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 25: О дирижаблестроении</w:t>
      </w:r>
    </w:p>
    <w:p w14:paraId="37BFB5B1" w14:textId="77777777" w:rsidR="00AE3AD4" w:rsidRPr="005E779E" w:rsidRDefault="00AE3AD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(ПБ от 5.XII.30 г., пр. № 17, п. 21).</w:t>
      </w:r>
    </w:p>
    <w:p w14:paraId="50AA203D" w14:textId="77777777" w:rsidR="00AE3AD4" w:rsidRPr="005E779E" w:rsidRDefault="00AE3AD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(Куйбышев, Каганович, Гольцман, Ворошилов).</w:t>
      </w:r>
    </w:p>
    <w:p w14:paraId="29A3B54E" w14:textId="77777777" w:rsidR="00AE3AD4" w:rsidRPr="005E779E" w:rsidRDefault="00AE3AD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Подтвердить ассигнование 15 млн. руб. на дирижаблестроение в 1931 г. с тем, чтобы расходование части этих денег шло на постановку добычи гелия.</w:t>
      </w:r>
    </w:p>
    <w:p w14:paraId="086F2F75" w14:textId="77777777" w:rsidR="00AE3AD4" w:rsidRPr="005E779E" w:rsidRDefault="00AE3AD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Эллингов не строить впредь до рассмотрения вопроса о дирижаблестроении в Политбюро (через два месяца).</w:t>
      </w:r>
    </w:p>
    <w:p w14:paraId="2C7C3EDF" w14:textId="77777777" w:rsidR="00AE3AD4" w:rsidRPr="005E779E" w:rsidRDefault="00AE3AD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Поручить дальнейшую разработку вопроса о дирижаблестроении комиссии в составе т.т. Гольцмана, Тухачевского, Баранова, Кагановича М., Мартиновича, Прокофьева, Гамарника и Манцева.</w:t>
      </w:r>
    </w:p>
    <w:p w14:paraId="3584C0A9" w14:textId="77777777" w:rsidR="00AE3AD4" w:rsidRPr="005E779E" w:rsidRDefault="00AE3AD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Созыв комиссии за т. Гольцманом (18105).</w:t>
      </w:r>
    </w:p>
    <w:p w14:paraId="40DFF075" w14:textId="77777777" w:rsidR="00AE3AD4" w:rsidRPr="005E779E" w:rsidRDefault="00AE3AD4" w:rsidP="000B7A6C">
      <w:pPr>
        <w:spacing w:after="0" w:line="240" w:lineRule="auto"/>
        <w:jc w:val="both"/>
        <w:rPr>
          <w:rFonts w:ascii="Times New Roman" w:hAnsi="Times New Roman"/>
          <w:color w:val="000000" w:themeColor="text1"/>
          <w:sz w:val="16"/>
          <w:szCs w:val="16"/>
        </w:rPr>
      </w:pPr>
    </w:p>
    <w:p w14:paraId="2BA47304" w14:textId="35B11192" w:rsidR="000E68B0" w:rsidRPr="005E779E" w:rsidRDefault="000E68B0"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color w:val="000000" w:themeColor="text1"/>
          <w:sz w:val="16"/>
          <w:szCs w:val="16"/>
          <w:lang w:eastAsia="ru-RU" w:bidi="ru-RU"/>
        </w:rPr>
        <w:t>15 января 1931 Политбюро, рассмотрев проект на своем заседании, воздержалось от его принятия, хотя бы и с поправками: видимо, что-то в нём принципиально не устраивало партийное руководство, но что именно - неизвестно. Тем не менее выделение 15 млн рублей на 1931 год было подтверждено, а поручение провести «дальнейшую разработку вопроса о дирижаблестроении» дали комиссии в составе Гольцмана, Тухачевского, Баранова, Мартиновича и нескольких новых участников, представлявших различные ведомства. На это отводилось два месяца (23193).</w:t>
      </w:r>
    </w:p>
    <w:p w14:paraId="5EDD314D" w14:textId="77777777" w:rsidR="000E68B0" w:rsidRPr="005E779E" w:rsidRDefault="000E68B0"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48727B7" w14:textId="77777777" w:rsidR="00FE1090" w:rsidRPr="005E779E" w:rsidRDefault="00FE109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января 1931 года при Московском авиационном ин</w:t>
      </w:r>
      <w:r w:rsidRPr="005E779E">
        <w:rPr>
          <w:rFonts w:ascii="Times New Roman" w:hAnsi="Times New Roman"/>
          <w:color w:val="000000" w:themeColor="text1"/>
          <w:sz w:val="16"/>
          <w:szCs w:val="16"/>
        </w:rPr>
        <w:softHyphen/>
        <w:t>ституте была создана секция реактивных двигателей, руково</w:t>
      </w:r>
      <w:r w:rsidRPr="005E779E">
        <w:rPr>
          <w:rFonts w:ascii="Times New Roman" w:hAnsi="Times New Roman"/>
          <w:color w:val="000000" w:themeColor="text1"/>
          <w:sz w:val="16"/>
          <w:szCs w:val="16"/>
        </w:rPr>
        <w:softHyphen/>
        <w:t>дителем которой стал Цандер. В июне этого же года он обра</w:t>
      </w:r>
      <w:r w:rsidRPr="005E779E">
        <w:rPr>
          <w:rFonts w:ascii="Times New Roman" w:hAnsi="Times New Roman"/>
          <w:color w:val="000000" w:themeColor="text1"/>
          <w:sz w:val="16"/>
          <w:szCs w:val="16"/>
        </w:rPr>
        <w:softHyphen/>
        <w:t>тился в Центральный совет Осоавиахима с предложением об образовании БИРДа - Бюро изучения реактивного движения при Осоавиахиме. Предложение нашло поддержку. 18 июля на организационном заседании БИРДа был избран президиум, а его председателем - Цандер. Организационно БИРД вошел в подчинение Бюро военной техники при Научно-исследователь</w:t>
      </w:r>
      <w:r w:rsidRPr="005E779E">
        <w:rPr>
          <w:rFonts w:ascii="Times New Roman" w:hAnsi="Times New Roman"/>
          <w:color w:val="000000" w:themeColor="text1"/>
          <w:sz w:val="16"/>
          <w:szCs w:val="16"/>
        </w:rPr>
        <w:softHyphen/>
        <w:t>ском секторе Центрального Совета Осоавиахима.</w:t>
      </w:r>
    </w:p>
    <w:p w14:paraId="200B670E" w14:textId="77777777" w:rsidR="00FE1090" w:rsidRPr="005E779E" w:rsidRDefault="00FE109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Просуществовал БИРД всего два месяца, к активной ра</w:t>
      </w:r>
      <w:r w:rsidRPr="005E779E">
        <w:rPr>
          <w:rFonts w:ascii="Times New Roman" w:hAnsi="Times New Roman"/>
          <w:color w:val="000000" w:themeColor="text1"/>
          <w:sz w:val="16"/>
          <w:szCs w:val="16"/>
        </w:rPr>
        <w:softHyphen/>
        <w:t>боте члены президиума так и не приступили. 20 сентября 1931 года ответственный секретарь БИРДа И.П.Фортиков на</w:t>
      </w:r>
      <w:r w:rsidRPr="005E779E">
        <w:rPr>
          <w:rFonts w:ascii="Times New Roman" w:hAnsi="Times New Roman"/>
          <w:color w:val="000000" w:themeColor="text1"/>
          <w:sz w:val="16"/>
          <w:szCs w:val="16"/>
        </w:rPr>
        <w:softHyphen/>
        <w:t>правил письмо К.Э.Циолковскому, где сообщил об организа</w:t>
      </w:r>
      <w:r w:rsidRPr="005E779E">
        <w:rPr>
          <w:rFonts w:ascii="Times New Roman" w:hAnsi="Times New Roman"/>
          <w:color w:val="000000" w:themeColor="text1"/>
          <w:sz w:val="16"/>
          <w:szCs w:val="16"/>
        </w:rPr>
        <w:softHyphen/>
        <w:t>ции в Москве при Бюро воздушной техники научно-исследо</w:t>
      </w:r>
      <w:r w:rsidRPr="005E779E">
        <w:rPr>
          <w:rFonts w:ascii="Times New Roman" w:hAnsi="Times New Roman"/>
          <w:color w:val="000000" w:themeColor="text1"/>
          <w:sz w:val="16"/>
          <w:szCs w:val="16"/>
        </w:rPr>
        <w:softHyphen/>
        <w:t>вательского сектора Центрального совета Осоавиахима Группы по изучению реактивных двигателей и ракетного летания. Эту дату можно считать датой основания новой ракетной органи</w:t>
      </w:r>
      <w:r w:rsidRPr="005E779E">
        <w:rPr>
          <w:rFonts w:ascii="Times New Roman" w:hAnsi="Times New Roman"/>
          <w:color w:val="000000" w:themeColor="text1"/>
          <w:sz w:val="16"/>
          <w:szCs w:val="16"/>
        </w:rPr>
        <w:softHyphen/>
        <w:t>зации. Вероятно, создана она была несколькими днями ранее, но письменные подтверждения тому отсутствуют. Организа</w:t>
      </w:r>
      <w:r w:rsidRPr="005E779E">
        <w:rPr>
          <w:rFonts w:ascii="Times New Roman" w:hAnsi="Times New Roman"/>
          <w:color w:val="000000" w:themeColor="text1"/>
          <w:sz w:val="16"/>
          <w:szCs w:val="16"/>
        </w:rPr>
        <w:softHyphen/>
        <w:t>торами стали Ф.А.Цандер, С.П.Королев, Ю.А.Победоносцев, М.К.Тихонравов и Б.И.Черановский.</w:t>
      </w:r>
    </w:p>
    <w:p w14:paraId="707D5A2D" w14:textId="77777777" w:rsidR="00FE1090" w:rsidRPr="005E779E" w:rsidRDefault="00FE109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Вскоре эта общественная организация получила уточнен</w:t>
      </w:r>
      <w:r w:rsidRPr="005E779E">
        <w:rPr>
          <w:rFonts w:ascii="Times New Roman" w:hAnsi="Times New Roman"/>
          <w:color w:val="000000" w:themeColor="text1"/>
          <w:sz w:val="16"/>
          <w:szCs w:val="16"/>
        </w:rPr>
        <w:softHyphen/>
        <w:t>ное название ГИРД - Группа изучения реактивного движения. Идеи гирдовцев нашли широкий отклик. Началось создание групп по всей стране. Московская группа получила официаль</w:t>
      </w:r>
      <w:r w:rsidRPr="005E779E">
        <w:rPr>
          <w:rFonts w:ascii="Times New Roman" w:hAnsi="Times New Roman"/>
          <w:color w:val="000000" w:themeColor="text1"/>
          <w:sz w:val="16"/>
          <w:szCs w:val="16"/>
        </w:rPr>
        <w:softHyphen/>
        <w:t>ное название МосГИРД, но ее участники, подчеркивая первенство и значимость, в обиходе именовали себя иначе - Цен</w:t>
      </w:r>
      <w:r w:rsidRPr="005E779E">
        <w:rPr>
          <w:rFonts w:ascii="Times New Roman" w:hAnsi="Times New Roman"/>
          <w:color w:val="000000" w:themeColor="text1"/>
          <w:sz w:val="16"/>
          <w:szCs w:val="16"/>
        </w:rPr>
        <w:softHyphen/>
        <w:t>тральный ГИРД или просто ГИРД (23510).</w:t>
      </w:r>
    </w:p>
    <w:p w14:paraId="13F9653D" w14:textId="77777777" w:rsidR="00FE1090" w:rsidRPr="005E779E" w:rsidRDefault="00FE1090" w:rsidP="000B7A6C">
      <w:pPr>
        <w:spacing w:after="0" w:line="240" w:lineRule="auto"/>
        <w:jc w:val="both"/>
        <w:rPr>
          <w:rFonts w:ascii="Times New Roman" w:hAnsi="Times New Roman"/>
          <w:color w:val="000000" w:themeColor="text1"/>
          <w:sz w:val="16"/>
          <w:szCs w:val="16"/>
        </w:rPr>
      </w:pPr>
    </w:p>
    <w:p w14:paraId="6A1882E8" w14:textId="77777777" w:rsidR="006E4804"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4962E648" w14:textId="77777777" w:rsidR="006E4804" w:rsidRPr="005E779E" w:rsidRDefault="006E4804"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229367D" w14:textId="77777777" w:rsidR="006E4804" w:rsidRPr="005E779E" w:rsidRDefault="006E4804"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15 января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Протокол заседания Политбюро ЦК ВКП(б) № 23. 17. О ходе работ на Сталинградском тракторном заводе (ПБ от 10 декабря 1930 г., пр. № 20, п. 4/10) (Орджоникидзе, Розенгольц). 14/19. О танкостроении (ПБ от 30 ноября 1930 г., пр. № 17, п. 19/27) (Орджоникидзе, Ворошилов). — ОП. Постановили: принять предложение т. Ворошилов и Орджоникидзе об образовании комиссии ВСНХ и НКВМ по танкам в составе т. Уборевича, Павлуновского, Мартиновича, Тухачевского и Халепского для предварительного рассмотрения вопроса о развертывании танкостроения на военное время. Созыв комиссии за т. Уборевичем. Срок работы — месячный. (Политбюро... Т. 2. С. 117, 118; РГАСПИ. Ф. 17. Оп. 162. Д. 9. Л. 119) (12416).</w:t>
      </w:r>
    </w:p>
    <w:p w14:paraId="321C4D8D" w14:textId="77777777" w:rsidR="006E4804" w:rsidRPr="005E779E" w:rsidRDefault="006E4804" w:rsidP="000B7A6C">
      <w:pPr>
        <w:spacing w:after="0" w:line="240" w:lineRule="auto"/>
        <w:jc w:val="both"/>
        <w:rPr>
          <w:rFonts w:ascii="Times New Roman" w:hAnsi="Times New Roman"/>
          <w:color w:val="000000" w:themeColor="text1"/>
          <w:sz w:val="16"/>
          <w:szCs w:val="16"/>
          <w:u w:color="002060"/>
        </w:rPr>
      </w:pPr>
    </w:p>
    <w:p w14:paraId="02D7E2AF" w14:textId="77777777" w:rsidR="00AE3AD4" w:rsidRPr="005E779E" w:rsidRDefault="00AE3AD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января 1931</w:t>
      </w:r>
    </w:p>
    <w:p w14:paraId="2F1FF97D" w14:textId="77777777" w:rsidR="00AE3AD4" w:rsidRPr="005E779E" w:rsidRDefault="00AE3AD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 14/19: О танкостроении</w:t>
      </w:r>
    </w:p>
    <w:p w14:paraId="78B306CD" w14:textId="77777777" w:rsidR="00AE3AD4" w:rsidRPr="005E779E" w:rsidRDefault="00AE3AD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(ПБ от 30.XI.30 г., пр. № 17, п. 19/27).</w:t>
      </w:r>
    </w:p>
    <w:p w14:paraId="0718E7E1" w14:textId="77777777" w:rsidR="00AE3AD4" w:rsidRPr="005E779E" w:rsidRDefault="00AE3AD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(Орджоникидзе, Ворошилов).</w:t>
      </w:r>
    </w:p>
    <w:p w14:paraId="61844A86" w14:textId="77777777" w:rsidR="00AE3AD4" w:rsidRPr="005E779E" w:rsidRDefault="00AE3AD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Решение — особая папка.</w:t>
      </w:r>
    </w:p>
    <w:p w14:paraId="2B2BE1D4" w14:textId="77777777" w:rsidR="00AE3AD4" w:rsidRPr="005E779E" w:rsidRDefault="00AE3AD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Принять предложение т.т. Ворошилова и Орджоникидзе об образовании комиссии ВСНХ и НКВМ по танкам в составе т.т. Уборевича, Павлуновского, Мартиновича, Тухачевского и Халепского для предварительного рассмотрения вопроса о развертывании танкостроения на военное время.</w:t>
      </w:r>
    </w:p>
    <w:p w14:paraId="4D83521D" w14:textId="77777777" w:rsidR="00AE3AD4" w:rsidRPr="005E779E" w:rsidRDefault="00AE3AD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Созыв комиссии за т. Уборевичем. Срок работы — месячный.</w:t>
      </w:r>
    </w:p>
    <w:p w14:paraId="41F2030B" w14:textId="77777777" w:rsidR="00AE3AD4" w:rsidRPr="005E779E" w:rsidRDefault="00AE3AD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Выписки посланы:</w:t>
      </w:r>
    </w:p>
    <w:p w14:paraId="7C6B9509" w14:textId="77777777" w:rsidR="00AE3AD4" w:rsidRPr="005E779E" w:rsidRDefault="00AE3AD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Орджоникидзе, Ворошилову, Уборевичу, Павлуновскому, Мартиновичу, Тухачевскому и Халепскому (18105).</w:t>
      </w:r>
    </w:p>
    <w:p w14:paraId="46416485" w14:textId="77777777" w:rsidR="00AE3AD4" w:rsidRPr="005E779E" w:rsidRDefault="00AE3AD4" w:rsidP="000B7A6C">
      <w:pPr>
        <w:spacing w:after="0" w:line="240" w:lineRule="auto"/>
        <w:jc w:val="both"/>
        <w:rPr>
          <w:rFonts w:ascii="Times New Roman" w:hAnsi="Times New Roman"/>
          <w:color w:val="000000" w:themeColor="text1"/>
          <w:sz w:val="16"/>
          <w:szCs w:val="16"/>
        </w:rPr>
      </w:pPr>
    </w:p>
    <w:p w14:paraId="1BB2225D" w14:textId="77777777" w:rsidR="00B23E00" w:rsidRPr="005E779E" w:rsidRDefault="00B23E00"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На 15 января 1931 первый Т-19 был собран только на 70 процентов (20740).</w:t>
      </w:r>
    </w:p>
    <w:p w14:paraId="1BDD0176" w14:textId="77777777" w:rsidR="00B23E00" w:rsidRPr="005E779E" w:rsidRDefault="00B23E00"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BC066A8" w14:textId="16B8F82D" w:rsidR="00EA061A" w:rsidRPr="005E779E" w:rsidRDefault="00EA061A" w:rsidP="000B7A6C">
      <w:pPr>
        <w:autoSpaceDE w:val="0"/>
        <w:autoSpaceDN w:val="0"/>
        <w:adjustRightInd w:val="0"/>
        <w:spacing w:after="0" w:line="240" w:lineRule="auto"/>
        <w:jc w:val="both"/>
        <w:rPr>
          <w:rFonts w:ascii="Times New Roman" w:hAnsi="Times New Roman"/>
          <w:i/>
          <w:iCs/>
          <w:color w:val="000000" w:themeColor="text1"/>
          <w:sz w:val="16"/>
          <w:szCs w:val="16"/>
        </w:rPr>
      </w:pPr>
      <w:r w:rsidRPr="005E779E">
        <w:rPr>
          <w:rFonts w:ascii="Times New Roman" w:hAnsi="Times New Roman"/>
          <w:i/>
          <w:iCs/>
          <w:color w:val="000000" w:themeColor="text1"/>
          <w:sz w:val="16"/>
          <w:szCs w:val="16"/>
        </w:rPr>
        <w:t>Армия:</w:t>
      </w:r>
    </w:p>
    <w:p w14:paraId="3C829DB6" w14:textId="77777777" w:rsidR="00EA061A" w:rsidRPr="005E779E" w:rsidRDefault="00EA061A" w:rsidP="000B7A6C">
      <w:pPr>
        <w:autoSpaceDE w:val="0"/>
        <w:autoSpaceDN w:val="0"/>
        <w:adjustRightInd w:val="0"/>
        <w:spacing w:after="0" w:line="240" w:lineRule="auto"/>
        <w:jc w:val="both"/>
        <w:rPr>
          <w:rFonts w:ascii="Times New Roman" w:hAnsi="Times New Roman"/>
          <w:i/>
          <w:iCs/>
          <w:color w:val="000000" w:themeColor="text1"/>
          <w:sz w:val="16"/>
          <w:szCs w:val="16"/>
        </w:rPr>
      </w:pPr>
    </w:p>
    <w:p w14:paraId="51159955" w14:textId="77777777" w:rsidR="00EA061A" w:rsidRPr="005E779E" w:rsidRDefault="00EA061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января 1931 г. произведен первый набор девушек в школу спецслужб ВВС. Было Ьито 16 девушек (23370).</w:t>
      </w:r>
    </w:p>
    <w:p w14:paraId="44A83A8E" w14:textId="77777777" w:rsidR="00EA061A" w:rsidRPr="005E779E" w:rsidRDefault="00EA061A" w:rsidP="000B7A6C">
      <w:pPr>
        <w:spacing w:after="0" w:line="240" w:lineRule="auto"/>
        <w:jc w:val="both"/>
        <w:rPr>
          <w:rFonts w:ascii="Times New Roman" w:hAnsi="Times New Roman"/>
          <w:color w:val="000000" w:themeColor="text1"/>
          <w:sz w:val="16"/>
          <w:szCs w:val="16"/>
        </w:rPr>
      </w:pPr>
    </w:p>
    <w:p w14:paraId="55BA0BAC" w14:textId="2F2F1698" w:rsidR="00AE3AD4" w:rsidRPr="005E779E" w:rsidRDefault="00AE3AD4"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Внешняя политика:</w:t>
      </w:r>
    </w:p>
    <w:p w14:paraId="5D5E98A7" w14:textId="77777777" w:rsidR="00AE3AD4" w:rsidRPr="005E779E" w:rsidRDefault="00AE3AD4"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1133056" w14:textId="77777777" w:rsidR="000F00CB" w:rsidRPr="005E779E" w:rsidRDefault="000F00C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января 1931 г.</w:t>
      </w:r>
    </w:p>
    <w:p w14:paraId="28321BC6" w14:textId="77777777" w:rsidR="000F00CB" w:rsidRPr="005E779E" w:rsidRDefault="000F00C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Постановление Политбюро ЦК ВКП(б) по вопросу опровержений ряда публикаций в иностранной печати о событиях в СССР. Из протокола № 23 заседания Политбюро, п. 8 от 15 января 1931 г.</w:t>
      </w:r>
    </w:p>
    <w:p w14:paraId="25604E2D" w14:textId="77777777" w:rsidR="000F00CB" w:rsidRPr="005E779E" w:rsidRDefault="000F00C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Источник: </w:t>
      </w:r>
    </w:p>
    <w:p w14:paraId="7AA3E69E" w14:textId="77777777" w:rsidR="000F00CB" w:rsidRPr="005E779E" w:rsidRDefault="000F00C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CD3262B" w14:textId="77777777" w:rsidR="000F00CB" w:rsidRPr="005E779E" w:rsidRDefault="000F00C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Архив: </w:t>
      </w:r>
    </w:p>
    <w:p w14:paraId="4B6C39AE" w14:textId="77777777" w:rsidR="000F00CB" w:rsidRPr="005E779E" w:rsidRDefault="000F00C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РГАСПИ. Ф. 17. Оп.З.Д.810.Л.2</w:t>
      </w:r>
    </w:p>
    <w:p w14:paraId="11ED9E02" w14:textId="77777777" w:rsidR="000F00CB" w:rsidRPr="005E779E" w:rsidRDefault="000F00C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 15 января 1931 г.</w:t>
      </w:r>
    </w:p>
    <w:p w14:paraId="63D36560" w14:textId="77777777" w:rsidR="000F00CB" w:rsidRPr="005E779E" w:rsidRDefault="000F00C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СТРОГО СЕКРЕТНО</w:t>
      </w:r>
    </w:p>
    <w:p w14:paraId="3FE50BFC" w14:textId="77777777" w:rsidR="000F00CB" w:rsidRPr="005E779E" w:rsidRDefault="000F00C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 О заметках в иностранной печати.</w:t>
      </w:r>
    </w:p>
    <w:p w14:paraId="5109A2E7" w14:textId="77777777" w:rsidR="000F00CB" w:rsidRPr="005E779E" w:rsidRDefault="000F00C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 Сталин).</w:t>
      </w:r>
    </w:p>
    <w:p w14:paraId="79BB6862" w14:textId="77777777" w:rsidR="000F00CB" w:rsidRPr="005E779E" w:rsidRDefault="000F00C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Поручить ТАССу дать в иностранной печати опровержения (в два приема): сперва — о восстании на «Профинтерне», затем — о смерти Федотова и Шейна.</w:t>
      </w:r>
    </w:p>
    <w:p w14:paraId="25A06A18" w14:textId="77777777" w:rsidR="000F00CB" w:rsidRPr="005E779E" w:rsidRDefault="000F00C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СЕКРЕТАРЬ ЦК</w:t>
      </w:r>
    </w:p>
    <w:p w14:paraId="1612E32D" w14:textId="77777777" w:rsidR="000F00CB" w:rsidRPr="005E779E" w:rsidRDefault="000F00C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 356. Л. 53. Машинописная выписка на бланке ЦК ВКП(б) с напечатанной датой составления выписки «16.1.1931 г.». Номер протокола (№ П23/8-с) и дата (15.1.1931 г.) машинописью в графах бланка.</w:t>
      </w:r>
    </w:p>
    <w:p w14:paraId="6DA2019F" w14:textId="77777777" w:rsidR="000F00CB" w:rsidRPr="005E779E" w:rsidRDefault="000F00C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РГАСПИ. Ф. 17. Оп.З.Д.810.Л.2. «Подписной» протокол заседаний Политбюро ЦК ВКП(б) от 15 января 1931 г. Машинописная копия того времени, заверенная печатью ЦК ВКП(б), подпись-факсимиле И. В. Сталина (18657).</w:t>
      </w:r>
    </w:p>
    <w:p w14:paraId="7B252D84" w14:textId="77777777" w:rsidR="000F00CB" w:rsidRPr="005E779E" w:rsidRDefault="000F00CB" w:rsidP="000B7A6C">
      <w:pPr>
        <w:spacing w:after="0" w:line="240" w:lineRule="auto"/>
        <w:jc w:val="both"/>
        <w:rPr>
          <w:rFonts w:ascii="Times New Roman" w:hAnsi="Times New Roman"/>
          <w:color w:val="000000" w:themeColor="text1"/>
          <w:sz w:val="16"/>
          <w:szCs w:val="16"/>
        </w:rPr>
      </w:pPr>
    </w:p>
    <w:p w14:paraId="5C500B6D" w14:textId="77777777" w:rsidR="00AE3AD4" w:rsidRPr="005E779E" w:rsidRDefault="00AE3AD4"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15 января 1931 г.</w:t>
      </w:r>
    </w:p>
    <w:p w14:paraId="05D332C9" w14:textId="77777777" w:rsidR="00AE3AD4" w:rsidRPr="005E779E" w:rsidRDefault="00AE3AD4"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Письмо наркома иностранных дел СССР М. М. Литвинова полпреду СССР во Франции В. С. Довгалевскому. 15 января 1931 г.</w:t>
      </w:r>
    </w:p>
    <w:p w14:paraId="125008DD" w14:textId="77777777" w:rsidR="00AE3AD4" w:rsidRPr="005E779E" w:rsidRDefault="00AE3AD4"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Источник: </w:t>
      </w:r>
    </w:p>
    <w:p w14:paraId="2370B079" w14:textId="77777777" w:rsidR="00AE3AD4" w:rsidRPr="005E779E" w:rsidRDefault="00AE3AD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52ECF8D" w14:textId="77777777" w:rsidR="00AE3AD4" w:rsidRPr="005E779E" w:rsidRDefault="00AE3AD4" w:rsidP="000B7A6C">
      <w:pPr>
        <w:pStyle w:val="rteright"/>
        <w:spacing w:before="0" w:after="0"/>
        <w:jc w:val="both"/>
        <w:rPr>
          <w:color w:val="000000" w:themeColor="text1"/>
          <w:sz w:val="16"/>
          <w:szCs w:val="16"/>
        </w:rPr>
      </w:pPr>
      <w:r w:rsidRPr="005E779E">
        <w:rPr>
          <w:color w:val="000000" w:themeColor="text1"/>
          <w:sz w:val="16"/>
          <w:szCs w:val="16"/>
        </w:rPr>
        <w:t>15 января 1931 г.</w:t>
      </w:r>
    </w:p>
    <w:p w14:paraId="5FDD1389" w14:textId="77777777" w:rsidR="00AE3AD4" w:rsidRPr="005E779E" w:rsidRDefault="00AE3AD4" w:rsidP="000B7A6C">
      <w:pPr>
        <w:pStyle w:val="rteright"/>
        <w:spacing w:before="0" w:after="0"/>
        <w:jc w:val="both"/>
        <w:rPr>
          <w:color w:val="000000" w:themeColor="text1"/>
          <w:sz w:val="16"/>
          <w:szCs w:val="16"/>
        </w:rPr>
      </w:pPr>
      <w:r w:rsidRPr="005E779E">
        <w:rPr>
          <w:color w:val="000000" w:themeColor="text1"/>
          <w:sz w:val="16"/>
          <w:szCs w:val="16"/>
        </w:rPr>
        <w:t>Секретно</w:t>
      </w:r>
    </w:p>
    <w:p w14:paraId="3F435B44" w14:textId="77777777" w:rsidR="00AE3AD4" w:rsidRPr="005E779E" w:rsidRDefault="00AE3AD4" w:rsidP="000B7A6C">
      <w:pPr>
        <w:pStyle w:val="ae"/>
        <w:spacing w:before="0" w:after="0"/>
        <w:jc w:val="both"/>
        <w:rPr>
          <w:color w:val="000000" w:themeColor="text1"/>
          <w:sz w:val="16"/>
          <w:szCs w:val="16"/>
        </w:rPr>
      </w:pPr>
      <w:r w:rsidRPr="005E779E">
        <w:rPr>
          <w:color w:val="000000" w:themeColor="text1"/>
          <w:sz w:val="16"/>
          <w:szCs w:val="16"/>
        </w:rPr>
        <w:t>Полномочному Представителю СССР во Франции</w:t>
      </w:r>
    </w:p>
    <w:p w14:paraId="16111A25" w14:textId="77777777" w:rsidR="00AE3AD4" w:rsidRPr="005E779E" w:rsidRDefault="00AE3AD4" w:rsidP="000B7A6C">
      <w:pPr>
        <w:pStyle w:val="ae"/>
        <w:spacing w:before="0" w:after="0"/>
        <w:jc w:val="both"/>
        <w:rPr>
          <w:color w:val="000000" w:themeColor="text1"/>
          <w:sz w:val="16"/>
          <w:szCs w:val="16"/>
        </w:rPr>
      </w:pPr>
      <w:r w:rsidRPr="005E779E">
        <w:rPr>
          <w:color w:val="000000" w:themeColor="text1"/>
          <w:sz w:val="16"/>
          <w:szCs w:val="16"/>
        </w:rPr>
        <w:t>тов. В. С. Довгалевскому</w:t>
      </w:r>
    </w:p>
    <w:p w14:paraId="2924BA23" w14:textId="7704CB31" w:rsidR="00AE3AD4" w:rsidRPr="005E779E" w:rsidRDefault="00AE3AD4" w:rsidP="000B7A6C">
      <w:pPr>
        <w:pStyle w:val="rtejustify"/>
        <w:spacing w:before="0" w:after="0"/>
        <w:rPr>
          <w:color w:val="000000" w:themeColor="text1"/>
          <w:sz w:val="16"/>
          <w:szCs w:val="16"/>
        </w:rPr>
      </w:pPr>
      <w:r w:rsidRPr="005E779E">
        <w:rPr>
          <w:color w:val="000000" w:themeColor="text1"/>
          <w:sz w:val="16"/>
          <w:szCs w:val="16"/>
        </w:rPr>
        <w:t>1.</w:t>
      </w:r>
      <w:r w:rsidR="00FE094E">
        <w:rPr>
          <w:color w:val="000000" w:themeColor="text1"/>
          <w:sz w:val="16"/>
          <w:szCs w:val="16"/>
        </w:rPr>
        <w:t xml:space="preserve"> </w:t>
      </w:r>
      <w:r w:rsidRPr="005E779E">
        <w:rPr>
          <w:color w:val="000000" w:themeColor="text1"/>
          <w:sz w:val="16"/>
          <w:szCs w:val="16"/>
        </w:rPr>
        <w:t xml:space="preserve"> Мы находимся в полном недоумении по поводу отсутствия какого-либо движения в области нашего протеста по процессу Промпартии. Не может быть, чтобы после Вашего письма дело не было доложено Совету Министров и чтобы не было принято никакого решения. Я одно время предполагал, что францпра выжидает исхода финансовых переговоров с Англией, чтобы выступить с ответом, укрепившись ее поддержкой, но это предположение приходится теперь отбросить. Остается думать, что Бриан решил не реагировать на Ваше письмо, считая его частным документом, исходя формально из непринятия и, следовательно, несуществования нашего протеста. Можно было бы примириться на том, что мы считаем протест заявленным, а французское правительство — не заявленным, если бы был отозван Кифер или если бы Вам было дано обещание об отозвании его через некоторое время. Отсутствие же какого-либо ответа относительно Кифера и оставление его в Москве заставит нас, вероятно, принять какие-либо меры вплоть до насильственной высылки Кифера из Москвы. Каковы Ваши соображения по этому поводу?</w:t>
      </w:r>
    </w:p>
    <w:p w14:paraId="01058924" w14:textId="68E9AA1C" w:rsidR="00AE3AD4" w:rsidRPr="005E779E" w:rsidRDefault="00AE3AD4" w:rsidP="000B7A6C">
      <w:pPr>
        <w:pStyle w:val="rtejustify"/>
        <w:spacing w:before="0" w:after="0"/>
        <w:rPr>
          <w:color w:val="000000" w:themeColor="text1"/>
          <w:sz w:val="16"/>
          <w:szCs w:val="16"/>
        </w:rPr>
      </w:pPr>
      <w:r w:rsidRPr="005E779E">
        <w:rPr>
          <w:color w:val="000000" w:themeColor="text1"/>
          <w:sz w:val="16"/>
          <w:szCs w:val="16"/>
        </w:rPr>
        <w:t>2.</w:t>
      </w:r>
      <w:r w:rsidR="00FE094E">
        <w:rPr>
          <w:color w:val="000000" w:themeColor="text1"/>
          <w:sz w:val="16"/>
          <w:szCs w:val="16"/>
        </w:rPr>
        <w:t xml:space="preserve"> </w:t>
      </w:r>
      <w:r w:rsidRPr="005E779E">
        <w:rPr>
          <w:color w:val="000000" w:themeColor="text1"/>
          <w:sz w:val="16"/>
          <w:szCs w:val="16"/>
        </w:rPr>
        <w:t xml:space="preserve"> Я уже телеграфировал Вам сегодня, что, ознакомившись с присланной Вами копией письма от 26 декабря, я убедился, что это отнюдь не письмо, в котором, якобы, отсутствует подпись Вертело, а формальная вербальная нота, написанная в третьем лице, как и полагается в таких случаях. Если бы мы это знали вовремя, то мы своему ответу придали бы другой, более официальный характер.</w:t>
      </w:r>
    </w:p>
    <w:p w14:paraId="4C6AD4F0" w14:textId="334F149D" w:rsidR="00AE3AD4" w:rsidRPr="005E779E" w:rsidRDefault="00AE3AD4" w:rsidP="000B7A6C">
      <w:pPr>
        <w:pStyle w:val="rtejustify"/>
        <w:spacing w:before="0" w:after="0"/>
        <w:rPr>
          <w:color w:val="000000" w:themeColor="text1"/>
          <w:sz w:val="16"/>
          <w:szCs w:val="16"/>
        </w:rPr>
      </w:pPr>
      <w:r w:rsidRPr="005E779E">
        <w:rPr>
          <w:color w:val="000000" w:themeColor="text1"/>
          <w:sz w:val="16"/>
          <w:szCs w:val="16"/>
        </w:rPr>
        <w:t>3.</w:t>
      </w:r>
      <w:r w:rsidR="00FE094E">
        <w:rPr>
          <w:color w:val="000000" w:themeColor="text1"/>
          <w:sz w:val="16"/>
          <w:szCs w:val="16"/>
        </w:rPr>
        <w:t xml:space="preserve"> </w:t>
      </w:r>
      <w:r w:rsidRPr="005E779E">
        <w:rPr>
          <w:color w:val="000000" w:themeColor="text1"/>
          <w:sz w:val="16"/>
          <w:szCs w:val="16"/>
        </w:rPr>
        <w:t xml:space="preserve"> Если бы не дело Кифера, то можно было бы вернуться теперь к экономическим вопросам и вручить ответ на последний меморандум Вертело. Во всяком случае, весь комплекс этих вопросов будет поставлен мною в ближайшее время на обсуждение директивной инстанции.</w:t>
      </w:r>
    </w:p>
    <w:p w14:paraId="3977D122" w14:textId="70780579" w:rsidR="00AE3AD4" w:rsidRPr="005E779E" w:rsidRDefault="00AE3AD4" w:rsidP="000B7A6C">
      <w:pPr>
        <w:pStyle w:val="rtejustify"/>
        <w:spacing w:before="0" w:after="0"/>
        <w:rPr>
          <w:color w:val="000000" w:themeColor="text1"/>
          <w:sz w:val="16"/>
          <w:szCs w:val="16"/>
        </w:rPr>
      </w:pPr>
      <w:r w:rsidRPr="005E779E">
        <w:rPr>
          <w:color w:val="000000" w:themeColor="text1"/>
          <w:sz w:val="16"/>
          <w:szCs w:val="16"/>
        </w:rPr>
        <w:t>4.</w:t>
      </w:r>
      <w:r w:rsidR="00FE094E">
        <w:rPr>
          <w:color w:val="000000" w:themeColor="text1"/>
          <w:sz w:val="16"/>
          <w:szCs w:val="16"/>
        </w:rPr>
        <w:t xml:space="preserve"> </w:t>
      </w:r>
      <w:r w:rsidRPr="005E779E">
        <w:rPr>
          <w:color w:val="000000" w:themeColor="text1"/>
          <w:sz w:val="16"/>
          <w:szCs w:val="16"/>
        </w:rPr>
        <w:t xml:space="preserve"> О дальнейшей установке францпра в отношении СССР можно будет в некоторой мере судить по линии поведения Бриана при обсуждении вопроса о приглашении СССР в Комиссию по изучению Пан-Европы и о выборе председателя Конференции по разоружению.</w:t>
      </w:r>
    </w:p>
    <w:p w14:paraId="449ED167" w14:textId="77777777" w:rsidR="00AE3AD4" w:rsidRPr="005E779E" w:rsidRDefault="00AE3AD4" w:rsidP="000B7A6C">
      <w:pPr>
        <w:pStyle w:val="ae"/>
        <w:spacing w:before="0" w:after="0"/>
        <w:jc w:val="both"/>
        <w:rPr>
          <w:color w:val="000000" w:themeColor="text1"/>
          <w:sz w:val="16"/>
          <w:szCs w:val="16"/>
        </w:rPr>
      </w:pPr>
      <w:r w:rsidRPr="005E779E">
        <w:rPr>
          <w:color w:val="000000" w:themeColor="text1"/>
          <w:sz w:val="16"/>
          <w:szCs w:val="16"/>
        </w:rPr>
        <w:t>ЛИТВИНОВ</w:t>
      </w:r>
    </w:p>
    <w:p w14:paraId="1BD44445" w14:textId="77777777" w:rsidR="00AE3AD4" w:rsidRPr="005E779E" w:rsidRDefault="00AE3AD4" w:rsidP="000B7A6C">
      <w:pPr>
        <w:pStyle w:val="ae"/>
        <w:spacing w:before="0" w:after="0"/>
        <w:jc w:val="both"/>
        <w:rPr>
          <w:color w:val="000000" w:themeColor="text1"/>
          <w:sz w:val="16"/>
          <w:szCs w:val="16"/>
        </w:rPr>
      </w:pPr>
      <w:r w:rsidRPr="005E779E">
        <w:rPr>
          <w:rStyle w:val="af0"/>
          <w:i w:val="0"/>
          <w:color w:val="000000" w:themeColor="text1"/>
          <w:sz w:val="16"/>
          <w:szCs w:val="16"/>
        </w:rPr>
        <w:t>АВП РФ. Ф. 010. On. 2. П. 13а. Д. 232. Л. 4. Машинописная копия того времени. Вверху слева напечатано «Экз. 2» (цифра от руки), справа под грифом секретности (машинописью) напечатаны номер «№ л/21517» и дата. Здесь же штамп Секретариата замнаркома НКИД СССР с вписанными от руки номером и датой получения документа «16 янв. 1931 г.», подпись-росчерк Н. Н. Крестинского «НКр». Внизу слева машинописью делопроизводственная помета о количестве распечатанных экземпляров (6 экз.) и адрес рассылки «1 — Адресат, 2 — Кр[естинский], 3 — К[арахан], 4 — С[томоняков], 5 — З[ападный отдел] III, 6 — дело» (18810).</w:t>
      </w:r>
    </w:p>
    <w:p w14:paraId="394BDB77" w14:textId="77777777" w:rsidR="00AE3AD4" w:rsidRPr="005E779E" w:rsidRDefault="00AE3AD4" w:rsidP="000B7A6C">
      <w:pPr>
        <w:spacing w:after="0" w:line="240" w:lineRule="auto"/>
        <w:jc w:val="both"/>
        <w:rPr>
          <w:rFonts w:ascii="Times New Roman" w:hAnsi="Times New Roman"/>
          <w:color w:val="000000" w:themeColor="text1"/>
          <w:sz w:val="16"/>
          <w:szCs w:val="16"/>
        </w:rPr>
      </w:pPr>
    </w:p>
    <w:p w14:paraId="2E2F3A40"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64DA70CE"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B267A96" w14:textId="77777777" w:rsidR="00CB1153" w:rsidRPr="005E779E" w:rsidRDefault="00CB115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середине января 1931 г. АГОС ЦАГИ получил окончательный вариант технических требований к одноместному истребителю И12-2</w:t>
      </w:r>
      <w:r w:rsidRPr="005E779E">
        <w:rPr>
          <w:rFonts w:ascii="Times New Roman" w:hAnsi="Times New Roman"/>
          <w:color w:val="000000" w:themeColor="text1"/>
          <w:sz w:val="16"/>
          <w:szCs w:val="16"/>
          <w:lang w:val="en-US"/>
        </w:rPr>
        <w:t>IOVI</w:t>
      </w:r>
      <w:r w:rsidRPr="005E779E">
        <w:rPr>
          <w:rFonts w:ascii="Times New Roman" w:hAnsi="Times New Roman"/>
          <w:color w:val="000000" w:themeColor="text1"/>
          <w:sz w:val="16"/>
          <w:szCs w:val="16"/>
        </w:rPr>
        <w:t xml:space="preserve"> металлической конструкции, во</w:t>
      </w:r>
      <w:r w:rsidRPr="005E779E">
        <w:rPr>
          <w:rFonts w:ascii="Times New Roman" w:hAnsi="Times New Roman"/>
          <w:color w:val="000000" w:themeColor="text1"/>
          <w:sz w:val="16"/>
          <w:szCs w:val="16"/>
        </w:rPr>
        <w:softHyphen/>
        <w:t xml:space="preserve">оружённому пушками ДРП (АПК-4 или АПК-76). Этот вариант </w:t>
      </w:r>
      <w:r w:rsidRPr="005E779E">
        <w:rPr>
          <w:rStyle w:val="1pt"/>
          <w:rFonts w:ascii="Times New Roman" w:hAnsi="Times New Roman" w:cs="Times New Roman"/>
          <w:color w:val="000000" w:themeColor="text1"/>
          <w:spacing w:val="0"/>
          <w:sz w:val="16"/>
          <w:szCs w:val="16"/>
        </w:rPr>
        <w:t>III,</w:t>
      </w:r>
      <w:r w:rsidRPr="005E779E">
        <w:rPr>
          <w:rFonts w:ascii="Times New Roman" w:hAnsi="Times New Roman"/>
          <w:color w:val="000000" w:themeColor="text1"/>
          <w:sz w:val="16"/>
          <w:szCs w:val="16"/>
        </w:rPr>
        <w:t xml:space="preserve"> практически не от</w:t>
      </w:r>
      <w:r w:rsidRPr="005E779E">
        <w:rPr>
          <w:rFonts w:ascii="Times New Roman" w:hAnsi="Times New Roman"/>
          <w:color w:val="000000" w:themeColor="text1"/>
          <w:sz w:val="16"/>
          <w:szCs w:val="16"/>
        </w:rPr>
        <w:softHyphen/>
        <w:t>личался от требований к одноместному истребителю И-12 (АНТ-18) (15823).</w:t>
      </w:r>
    </w:p>
    <w:p w14:paraId="7E39879B" w14:textId="77777777" w:rsidR="00CB1153" w:rsidRPr="005E779E" w:rsidRDefault="00CB1153" w:rsidP="000B7A6C">
      <w:pPr>
        <w:spacing w:after="0" w:line="240" w:lineRule="auto"/>
        <w:jc w:val="both"/>
        <w:rPr>
          <w:rFonts w:ascii="Times New Roman" w:hAnsi="Times New Roman"/>
          <w:color w:val="000000" w:themeColor="text1"/>
          <w:sz w:val="16"/>
          <w:szCs w:val="16"/>
        </w:rPr>
      </w:pPr>
    </w:p>
    <w:p w14:paraId="00145194" w14:textId="77777777" w:rsidR="00BC3DA3" w:rsidRPr="005E779E" w:rsidRDefault="00BC3DA3" w:rsidP="000B7A6C">
      <w:pPr>
        <w:pStyle w:val="rtejustify"/>
        <w:shd w:val="clear" w:color="auto" w:fill="FFFFFF"/>
        <w:spacing w:before="0" w:after="0"/>
        <w:rPr>
          <w:color w:val="000000" w:themeColor="text1"/>
          <w:sz w:val="16"/>
          <w:szCs w:val="16"/>
        </w:rPr>
      </w:pPr>
      <w:r w:rsidRPr="005E779E">
        <w:rPr>
          <w:color w:val="000000" w:themeColor="text1"/>
          <w:sz w:val="16"/>
          <w:szCs w:val="16"/>
        </w:rPr>
        <w:t>В середине января 1931 года АГОС ЦАГИ получил окончательный вариант технических требований к одноместному истребителю И12 2Ю-VI металлической конструкции, вооруженному пушками ДРП (АПК-4 или АПК-76). Этот вариант ТТТ практически не отличался от требований к одноместному истребителю И-12 (АНТ-18) (19172).</w:t>
      </w:r>
    </w:p>
    <w:p w14:paraId="268A4F71" w14:textId="77777777" w:rsidR="00BC3DA3" w:rsidRPr="005E779E" w:rsidRDefault="00BC3DA3" w:rsidP="000B7A6C">
      <w:pPr>
        <w:pStyle w:val="rtejustify"/>
        <w:shd w:val="clear" w:color="auto" w:fill="FFFFFF"/>
        <w:spacing w:before="0" w:after="0"/>
        <w:rPr>
          <w:color w:val="000000" w:themeColor="text1"/>
          <w:sz w:val="16"/>
          <w:szCs w:val="16"/>
        </w:rPr>
      </w:pPr>
    </w:p>
    <w:p w14:paraId="23167021" w14:textId="77777777" w:rsidR="00BC3DA3" w:rsidRPr="005E779E" w:rsidRDefault="00BC3DA3"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середине января 1931 г. приступили к изготовлению рабочих чертежей, а 21 мая уже заложили головной корабль, получивший наименование "Правда" (тип "П" IV серии), и 19 декабря еще два корпуса (10672).</w:t>
      </w:r>
    </w:p>
    <w:p w14:paraId="2ED86D71" w14:textId="77777777" w:rsidR="00BC3DA3" w:rsidRPr="005E779E" w:rsidRDefault="00BC3DA3" w:rsidP="000B7A6C">
      <w:pPr>
        <w:autoSpaceDE w:val="0"/>
        <w:autoSpaceDN w:val="0"/>
        <w:adjustRightInd w:val="0"/>
        <w:spacing w:after="0" w:line="240" w:lineRule="auto"/>
        <w:jc w:val="both"/>
        <w:rPr>
          <w:rFonts w:ascii="Times New Roman" w:hAnsi="Times New Roman"/>
          <w:color w:val="000000" w:themeColor="text1"/>
          <w:sz w:val="16"/>
          <w:szCs w:val="16"/>
        </w:rPr>
      </w:pPr>
    </w:p>
    <w:p w14:paraId="3FEB5E85"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4395DF52"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7A51F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 января 1931 состоялось заседание комиссии под председательством начальника техуправления УММ Бокиса, на котором были рассмотрены все мнения и предложения. 23 января состоялось следующее заседание комиссии, где против отечественных разработок резко выступили представители промышленности.</w:t>
      </w:r>
    </w:p>
    <w:p w14:paraId="44C22B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Оригинал протокола РВС СССР, на котором окончательно решался вопрос о принятии на вооружение В-26, пока не найден, но существует письмо-распоряжение И. Халепского С. Гинзбургу от 26 января 1931 г., которое проливает на многое свет. В нем говорится:</w:t>
      </w:r>
    </w:p>
    <w:p w14:paraId="681C1A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имеющимся в штабе агентурным данным, польское правительство ведет закупки 6-тонного танка типа Виккерс и 10-тонного быстроходного танка Кристи и усиленно готовится к их производству.</w:t>
      </w:r>
    </w:p>
    <w:p w14:paraId="192742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Тов. Ворошилов, тов. Эйдеманн и тов. Тухачевский согласны, что используя англо-французскую помощь поляки в состоянии сделать уже к концу текущего года более 300 шт. легких 6-тонных англ. танков и до 100 шт. средних танков Кристи. В след. году они могут удвоить это число.</w:t>
      </w:r>
    </w:p>
    <w:p w14:paraId="122710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Таким образом Совет счел целесообразным рассмотреть вопрос о принятии на вооружение КА вышеозначенных танков и начать их выпуск немедленно как они есть — не дожидаясь окончания опытных работ, чтобы при необходимости нанести отпор возможной агрессии» (11809).</w:t>
      </w:r>
    </w:p>
    <w:p w14:paraId="7FB32B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79B4FEA" w14:textId="77777777" w:rsidR="0090798C" w:rsidRPr="005E779E" w:rsidRDefault="0090798C"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 января 1931 состоялось рабочее заседание комиссии под председательством начальника технического управления УММ Г. Бокиса, на котором были рассмотрены все мнения и предложения по В-26 (10733,169).</w:t>
      </w:r>
    </w:p>
    <w:p w14:paraId="3C558FC3" w14:textId="77777777" w:rsidR="0090798C" w:rsidRPr="005E779E" w:rsidRDefault="0090798C"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74AAAE" w14:textId="77777777" w:rsidR="00B23E00" w:rsidRPr="005E779E" w:rsidRDefault="00B23E00"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16 января 1931 года состоялось совещание с участием руководства СТЗ. На нем рассматривался вопрос освоения В-26 и Т-19. Представители СТЗ прямо заявили, что английский танк имеет ряд преимуществ с точки зрения простоты освоения. На этом фоне потуги "Большевика" и ГКБ ОАТ выглядели совсем запредельными. Т-20 продолжал ездить на моторе Т-18, при этом у него сыпалась ходовая часть. 60-сильный мотор на испытаниях перегревался (20740).</w:t>
      </w:r>
    </w:p>
    <w:p w14:paraId="63C4B172" w14:textId="77777777" w:rsidR="00B23E00" w:rsidRPr="005E779E" w:rsidRDefault="00B23E00"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BD85342" w14:textId="77777777" w:rsidR="00B23E00" w:rsidRPr="005E779E" w:rsidRDefault="00B23E00" w:rsidP="000B7A6C">
      <w:pPr>
        <w:pStyle w:val="article-renderblock"/>
        <w:shd w:val="clear" w:color="auto" w:fill="FFFFFF"/>
        <w:spacing w:before="0" w:beforeAutospacing="0" w:after="0" w:afterAutospacing="0"/>
        <w:jc w:val="both"/>
        <w:rPr>
          <w:color w:val="000000" w:themeColor="text1"/>
          <w:sz w:val="16"/>
          <w:szCs w:val="16"/>
        </w:rPr>
      </w:pPr>
      <w:r w:rsidRPr="005E779E">
        <w:rPr>
          <w:color w:val="000000" w:themeColor="text1"/>
          <w:sz w:val="16"/>
          <w:szCs w:val="16"/>
        </w:rPr>
        <w:t>16 января 1931 года состоялось совещание, на котором представители завода СТЗ однозначно заявили о том, что В-26 проще и лучше для освоения. А еще в огонь подлили масла испытания Т-20. Мотор этого танка, разработанный на "Большевике", нормально работать никак не хотел, посему возникал закономерный вопрос, а что будет с мотором Т-19. Итогом стало то, что 28 января 1931 года было образовано КБ-3 ВОАО (Всесоюзное Орудийно-Арсенальное Объединение), куда начальником поставили Гинзбурга. В данное КБ забрали костяк ГКБ ОАТ. Фактически УММ КА создало пожарную команду, первой задачей для которой стало освоение в производстве В-26. Данный танк приняли 13 февраля 1931 года как Т-26, начались работы по организации его выпуска на "Большевике".</w:t>
      </w:r>
    </w:p>
    <w:p w14:paraId="04FED396" w14:textId="77777777" w:rsidR="00B23E00" w:rsidRPr="005E779E" w:rsidRDefault="00B23E00" w:rsidP="000B7A6C">
      <w:pPr>
        <w:pStyle w:val="article-renderblock"/>
        <w:shd w:val="clear" w:color="auto" w:fill="FFFFFF"/>
        <w:spacing w:before="0" w:beforeAutospacing="0" w:after="0" w:afterAutospacing="0"/>
        <w:jc w:val="both"/>
        <w:rPr>
          <w:color w:val="000000" w:themeColor="text1"/>
          <w:sz w:val="16"/>
          <w:szCs w:val="16"/>
        </w:rPr>
      </w:pPr>
      <w:r w:rsidRPr="005E779E">
        <w:rPr>
          <w:color w:val="000000" w:themeColor="text1"/>
          <w:sz w:val="16"/>
          <w:szCs w:val="16"/>
        </w:rPr>
        <w:t>Работы по Т-19 продолжились, но уже в качестве опытного образца. Как показали дальнейшие события, в УММ КА приняли правильное решение, выбрав Т-26. Дело в том, что даже первый опытный образец танка сдавался крайне неспешно (20842).</w:t>
      </w:r>
    </w:p>
    <w:p w14:paraId="3F07D558" w14:textId="77777777" w:rsidR="00B23E00" w:rsidRPr="005E779E" w:rsidRDefault="00B23E00" w:rsidP="000B7A6C">
      <w:pPr>
        <w:shd w:val="clear" w:color="auto" w:fill="FFFFFF"/>
        <w:spacing w:after="0" w:line="240" w:lineRule="auto"/>
        <w:jc w:val="both"/>
        <w:rPr>
          <w:rFonts w:ascii="Times New Roman" w:hAnsi="Times New Roman"/>
          <w:color w:val="000000" w:themeColor="text1"/>
          <w:sz w:val="16"/>
          <w:szCs w:val="16"/>
        </w:rPr>
      </w:pPr>
    </w:p>
    <w:p w14:paraId="3978F7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16 и 22 января 1931. Из протокола заседания Политбюро № 22, 1931 г.</w:t>
      </w:r>
    </w:p>
    <w:p w14:paraId="70C7ED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Постановление ЦК по натуральному каучуку</w:t>
      </w:r>
    </w:p>
    <w:p w14:paraId="40FAF2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 Год работы с каучуконосами в целях организации промышленности по производству натурального каучука в СССР привел к большим положительным результатам. Установлено, что Советский Союз обладает высокоэффективными каучуконосными растениями, конкурентоспособными с так называемыми мировыми каучуками, что к настоящему времени разработаны и действуют заводские установки по производству натурального каучука и полученный из растений каучук является промышленным каучуком высокого качества. Исходя из этого, ЦК ВКП(б) предлагает ВСНХ СССР на ближайшие годы сосредоточить главное внимание на основных высокоэффективных каучуконосных растениях (тау-сагыз, кендырь, гваюла). </w:t>
      </w:r>
    </w:p>
    <w:p w14:paraId="763E52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 Расширить производимую в данный момент организацию плантаций по тау-сагызу с тем, чтобы в течение 3-4 лет довести их площади минимум до 60-70 тыс. гектар с выходом сырья в 1935 году для 40-45 тыс. тонн каучука. Обязать трест "Каучуконос" всесторонне и полностью в течение весенних и летних месяцев исследовать заросли тау-сагыза с тем, чтобы к осени 1931 года располагать исчерпывающими данными. </w:t>
      </w:r>
    </w:p>
    <w:p w14:paraId="4FEF50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 Организовать производство по добыче каучука из кендыря с полной утилизацией его листьев, что должно привести к производству до 10 000 тонн каучука. </w:t>
      </w:r>
    </w:p>
    <w:p w14:paraId="2AEFA5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4. Создать плантации по гваюле в тот же срок (3-4 года) в пределах 20 000-25 000 гектаров, для чего провести в течение 1931 года все необходимые изыскательные работы, обеспечивающие по климатическим и прочим условиям успешное культивирование гваюлы. </w:t>
      </w:r>
    </w:p>
    <w:p w14:paraId="46AED9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5. Форсировать создание плантаций гуттаперчевого дерева с тем, чтобы в течение 5-летнего срока довести количество растений до 200 000 штук... </w:t>
      </w:r>
    </w:p>
    <w:p w14:paraId="3CD733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7. Вследствие того, что флора СССР на каучуконосность не изучена, что при ее исследовании возможны новые обнаружения эффективных каучуконосов, признать необходимым проведение в 1931-1932 гг. изучения растительности Союза... </w:t>
      </w:r>
    </w:p>
    <w:p w14:paraId="26E6B6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Профсоюзу химиков оказывать всемерное содействие тресту "Каучуконос" по созданию и развитию плантационного и заводского хозяйства и научно-исследовательских работ (11652).</w:t>
      </w:r>
    </w:p>
    <w:p w14:paraId="7BFA556C" w14:textId="6FD842CA"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6873C70" w14:textId="07B84B2E" w:rsidR="00B23E00" w:rsidRPr="005E779E" w:rsidRDefault="00B23E00" w:rsidP="000B7A6C">
      <w:pPr>
        <w:autoSpaceDE w:val="0"/>
        <w:autoSpaceDN w:val="0"/>
        <w:adjustRightInd w:val="0"/>
        <w:spacing w:after="0" w:line="240" w:lineRule="auto"/>
        <w:jc w:val="both"/>
        <w:rPr>
          <w:rFonts w:ascii="Times New Roman" w:hAnsi="Times New Roman"/>
          <w:i/>
          <w:iCs/>
          <w:color w:val="000000" w:themeColor="text1"/>
          <w:sz w:val="16"/>
          <w:szCs w:val="16"/>
        </w:rPr>
      </w:pPr>
      <w:r w:rsidRPr="005E779E">
        <w:rPr>
          <w:rFonts w:ascii="Times New Roman" w:hAnsi="Times New Roman"/>
          <w:i/>
          <w:iCs/>
          <w:color w:val="000000" w:themeColor="text1"/>
          <w:sz w:val="16"/>
          <w:szCs w:val="16"/>
        </w:rPr>
        <w:t>Армия:</w:t>
      </w:r>
    </w:p>
    <w:p w14:paraId="6756B81C" w14:textId="77777777" w:rsidR="00B23E00" w:rsidRPr="005E779E" w:rsidRDefault="00B23E00" w:rsidP="000B7A6C">
      <w:pPr>
        <w:autoSpaceDE w:val="0"/>
        <w:autoSpaceDN w:val="0"/>
        <w:adjustRightInd w:val="0"/>
        <w:spacing w:after="0" w:line="240" w:lineRule="auto"/>
        <w:jc w:val="both"/>
        <w:rPr>
          <w:rFonts w:ascii="Times New Roman" w:hAnsi="Times New Roman"/>
          <w:i/>
          <w:iCs/>
          <w:color w:val="000000" w:themeColor="text1"/>
          <w:sz w:val="16"/>
          <w:szCs w:val="16"/>
        </w:rPr>
      </w:pPr>
    </w:p>
    <w:p w14:paraId="22451144" w14:textId="77777777" w:rsidR="00B23E00" w:rsidRPr="005E779E" w:rsidRDefault="00B23E0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16 по 26 января 1931 года IX Всесоюзный съезд ВЛКСМ в своем обращении к бойцам, командирам и политработникам ВВС РККА, ко всем комсомольцам Советского Союза подчеркнул: «Грозовые тучи войны нависли над СССР. Как никогда оживилась деятельность мастеров кровавых дел – империалистов. Из-за изысканно-вежливых речей представителей буржуазной дипломатии раздается лязг стали, чувствуется запах пороха». Съезд обратил внимание на то, что грядущая война будет использовать невиданную технику истребления, что в свою очередь потребует высокий уровень подготовки бойцов. Лидеры комсомола продолжали придерживаться идеи мировой революции: «Мы вместе с партией и всем рабочим классом страны ответственны перед пролетариатом мира за оборону СССР и обязаны сделать ее центральной задачей своей работы». На комсомольском съезде было подчеркнуто значение Военновоздушных сил, в связи с чем ВЛКСМ взял шефство над силами авиации: «Комсомолец – на самолет! – вот наш боевой лозунг». Такое шефство предполагало организацию учебно-производственной работы по подготовке кадров будущих летчиков, политико-просветительную работу среди молодежи по укреплению дисциплины, идеологической устойчивости, более высокого уровня боеспособности личного состава Военно-воздушных сил (РГАСПИ. Ф.М – 6. Оп. 9. Д. 11. Л. 79) (21402).</w:t>
      </w:r>
    </w:p>
    <w:p w14:paraId="4EB4240F" w14:textId="77777777" w:rsidR="00B23E00" w:rsidRPr="005E779E" w:rsidRDefault="00B23E00" w:rsidP="000B7A6C">
      <w:pPr>
        <w:spacing w:after="0" w:line="240" w:lineRule="auto"/>
        <w:jc w:val="both"/>
        <w:rPr>
          <w:rFonts w:ascii="Times New Roman" w:hAnsi="Times New Roman"/>
          <w:color w:val="000000" w:themeColor="text1"/>
          <w:sz w:val="16"/>
          <w:szCs w:val="16"/>
        </w:rPr>
      </w:pPr>
    </w:p>
    <w:p w14:paraId="4DABFCE1"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5A112C43"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FDBEF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16 и 22 января 1931. Из протокола заседания Политбюро № 23, 1931 г.</w:t>
      </w:r>
    </w:p>
    <w:p w14:paraId="13701C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 Доме советов </w:t>
      </w:r>
    </w:p>
    <w:p w14:paraId="4F07D7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 Приступить к строительству Дома советов в этом (1931) году. </w:t>
      </w:r>
    </w:p>
    <w:p w14:paraId="7AD8E4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Утвердить следующие размеры залов для заседаний: один зал на 20 тыс. чел., один зал на 5 тыс. чел., один зал на 3 тыс. чел., два зала на 500 чел. каждый (11652).</w:t>
      </w:r>
    </w:p>
    <w:p w14:paraId="6DD040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94E4A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16 и 22 января 1931. Из протокола заседания Политбюро № 23, 1931 г.</w:t>
      </w:r>
    </w:p>
    <w:p w14:paraId="7B7E6B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Заявление т. Куйбышева о газетах "Правда" и "За индустриализацию"</w:t>
      </w:r>
    </w:p>
    <w:p w14:paraId="3BE6E2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Подтвердить прежнее постановление Политбюро о недопустимости сокращений или каких-либо изменений редакциями газет речей членов и кандидатов Политбюро и наркомов без согласования с ними (11652).</w:t>
      </w:r>
    </w:p>
    <w:p w14:paraId="238D3D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C7FCC6C" w14:textId="77777777" w:rsidR="00BC3DA3" w:rsidRPr="005E779E" w:rsidRDefault="00BC3DA3"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Внешняя политика:</w:t>
      </w:r>
    </w:p>
    <w:p w14:paraId="4DD248E3" w14:textId="77777777" w:rsidR="00BC3DA3" w:rsidRPr="005E779E" w:rsidRDefault="00BC3DA3"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7431DD6" w14:textId="77777777" w:rsidR="00BC3DA3" w:rsidRPr="005E779E" w:rsidRDefault="00BC3DA3"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16 января 1931 г.</w:t>
      </w:r>
    </w:p>
    <w:p w14:paraId="04DC4767" w14:textId="77777777" w:rsidR="00BC3DA3" w:rsidRPr="005E779E" w:rsidRDefault="00BC3DA3"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Письмо Ж. Л. Аренса В. Н. Баркову о подготовке выпуска стенограммы процесса «Промпартии» во Франции и контроле содержания предисловия к ней. 16 января 1931 г.</w:t>
      </w:r>
    </w:p>
    <w:p w14:paraId="11ABF7CA" w14:textId="77777777" w:rsidR="00BC3DA3" w:rsidRPr="005E779E" w:rsidRDefault="00BC3DA3"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Источник: </w:t>
      </w:r>
    </w:p>
    <w:p w14:paraId="0D4DAACC" w14:textId="77777777" w:rsidR="00BC3DA3" w:rsidRPr="005E779E" w:rsidRDefault="00BC3DA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79E003D" w14:textId="77777777" w:rsidR="00BC3DA3" w:rsidRPr="005E779E" w:rsidRDefault="00BC3DA3"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Архив: </w:t>
      </w:r>
    </w:p>
    <w:p w14:paraId="037C23D8" w14:textId="77777777" w:rsidR="00BC3DA3" w:rsidRPr="005E779E" w:rsidRDefault="00BC3DA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АВП РФ. Ф. 056. On. 16. П. 34. Д. 14. Л. 7</w:t>
      </w:r>
    </w:p>
    <w:p w14:paraId="4C77B65D" w14:textId="77777777" w:rsidR="00BC3DA3" w:rsidRPr="005E779E" w:rsidRDefault="00BC3DA3" w:rsidP="000B7A6C">
      <w:pPr>
        <w:pStyle w:val="rteright"/>
        <w:spacing w:before="0" w:after="0"/>
        <w:jc w:val="both"/>
        <w:rPr>
          <w:color w:val="000000" w:themeColor="text1"/>
          <w:sz w:val="16"/>
          <w:szCs w:val="16"/>
        </w:rPr>
      </w:pPr>
      <w:r w:rsidRPr="005E779E">
        <w:rPr>
          <w:color w:val="000000" w:themeColor="text1"/>
          <w:sz w:val="16"/>
          <w:szCs w:val="16"/>
        </w:rPr>
        <w:lastRenderedPageBreak/>
        <w:t>16 января 1931 г.</w:t>
      </w:r>
    </w:p>
    <w:p w14:paraId="279BDDA9" w14:textId="77777777" w:rsidR="00BC3DA3" w:rsidRPr="005E779E" w:rsidRDefault="00BC3DA3" w:rsidP="000B7A6C">
      <w:pPr>
        <w:pStyle w:val="rteright"/>
        <w:spacing w:before="0" w:after="0"/>
        <w:jc w:val="both"/>
        <w:rPr>
          <w:color w:val="000000" w:themeColor="text1"/>
          <w:sz w:val="16"/>
          <w:szCs w:val="16"/>
        </w:rPr>
      </w:pPr>
      <w:r w:rsidRPr="005E779E">
        <w:rPr>
          <w:color w:val="000000" w:themeColor="text1"/>
          <w:sz w:val="16"/>
          <w:szCs w:val="16"/>
        </w:rPr>
        <w:t>Секретно</w:t>
      </w:r>
    </w:p>
    <w:p w14:paraId="21936800" w14:textId="77777777" w:rsidR="00BC3DA3" w:rsidRPr="005E779E" w:rsidRDefault="00BC3DA3" w:rsidP="000B7A6C">
      <w:pPr>
        <w:pStyle w:val="ae"/>
        <w:spacing w:before="0" w:after="0"/>
        <w:jc w:val="both"/>
        <w:rPr>
          <w:color w:val="000000" w:themeColor="text1"/>
          <w:sz w:val="16"/>
          <w:szCs w:val="16"/>
        </w:rPr>
      </w:pPr>
      <w:r w:rsidRPr="005E779E">
        <w:rPr>
          <w:color w:val="000000" w:themeColor="text1"/>
          <w:sz w:val="16"/>
          <w:szCs w:val="16"/>
        </w:rPr>
        <w:t>Отдел Печати НКИД</w:t>
      </w:r>
    </w:p>
    <w:p w14:paraId="2F09860B" w14:textId="77777777" w:rsidR="00BC3DA3" w:rsidRPr="005E779E" w:rsidRDefault="00BC3DA3" w:rsidP="000B7A6C">
      <w:pPr>
        <w:pStyle w:val="ae"/>
        <w:spacing w:before="0" w:after="0"/>
        <w:jc w:val="both"/>
        <w:rPr>
          <w:color w:val="000000" w:themeColor="text1"/>
          <w:sz w:val="16"/>
          <w:szCs w:val="16"/>
        </w:rPr>
      </w:pPr>
      <w:r w:rsidRPr="005E779E">
        <w:rPr>
          <w:color w:val="000000" w:themeColor="text1"/>
          <w:sz w:val="16"/>
          <w:szCs w:val="16"/>
        </w:rPr>
        <w:t>16.1.1931 г.</w:t>
      </w:r>
    </w:p>
    <w:p w14:paraId="1B6816C2" w14:textId="77777777" w:rsidR="00BC3DA3" w:rsidRPr="005E779E" w:rsidRDefault="00BC3DA3" w:rsidP="000B7A6C">
      <w:pPr>
        <w:pStyle w:val="ae"/>
        <w:spacing w:before="0" w:after="0"/>
        <w:jc w:val="both"/>
        <w:rPr>
          <w:color w:val="000000" w:themeColor="text1"/>
          <w:sz w:val="16"/>
          <w:szCs w:val="16"/>
        </w:rPr>
      </w:pPr>
      <w:r w:rsidRPr="005E779E">
        <w:rPr>
          <w:color w:val="000000" w:themeColor="text1"/>
          <w:sz w:val="16"/>
          <w:szCs w:val="16"/>
        </w:rPr>
        <w:t>№ 27026</w:t>
      </w:r>
    </w:p>
    <w:p w14:paraId="033DE440" w14:textId="77777777" w:rsidR="00BC3DA3" w:rsidRPr="005E779E" w:rsidRDefault="00BC3DA3" w:rsidP="000B7A6C">
      <w:pPr>
        <w:pStyle w:val="ae"/>
        <w:spacing w:before="0" w:after="0"/>
        <w:jc w:val="both"/>
        <w:rPr>
          <w:color w:val="000000" w:themeColor="text1"/>
          <w:sz w:val="16"/>
          <w:szCs w:val="16"/>
        </w:rPr>
      </w:pPr>
      <w:r w:rsidRPr="005E779E">
        <w:rPr>
          <w:color w:val="000000" w:themeColor="text1"/>
          <w:sz w:val="16"/>
          <w:szCs w:val="16"/>
        </w:rPr>
        <w:t>Тов. Баркову</w:t>
      </w:r>
    </w:p>
    <w:p w14:paraId="786A2192" w14:textId="77777777" w:rsidR="00BC3DA3" w:rsidRPr="005E779E" w:rsidRDefault="00BC3DA3" w:rsidP="000B7A6C">
      <w:pPr>
        <w:pStyle w:val="ae"/>
        <w:spacing w:before="0" w:after="0"/>
        <w:jc w:val="both"/>
        <w:rPr>
          <w:color w:val="000000" w:themeColor="text1"/>
          <w:sz w:val="16"/>
          <w:szCs w:val="16"/>
        </w:rPr>
      </w:pPr>
      <w:r w:rsidRPr="005E779E">
        <w:rPr>
          <w:color w:val="000000" w:themeColor="text1"/>
          <w:sz w:val="16"/>
          <w:szCs w:val="16"/>
        </w:rPr>
        <w:t>Париж</w:t>
      </w:r>
    </w:p>
    <w:p w14:paraId="1A96D255" w14:textId="77777777" w:rsidR="00BC3DA3" w:rsidRPr="005E779E" w:rsidRDefault="00BC3DA3" w:rsidP="000B7A6C">
      <w:pPr>
        <w:pStyle w:val="rtejustify"/>
        <w:spacing w:before="0" w:after="0"/>
        <w:rPr>
          <w:color w:val="000000" w:themeColor="text1"/>
          <w:sz w:val="16"/>
          <w:szCs w:val="16"/>
        </w:rPr>
      </w:pPr>
      <w:r w:rsidRPr="005E779E">
        <w:rPr>
          <w:color w:val="000000" w:themeColor="text1"/>
          <w:sz w:val="16"/>
          <w:szCs w:val="16"/>
        </w:rPr>
        <w:t>В моем письме от 6-го января с. г. я просил Вас выяснить в разговорах с Домиником и Валуа характер предисловия, которым они собираются снабдить издание стенографических отчетов процесса Промпартии. Вполне понятно, что если эти предисловия будут обесценивать стенограмму и содержать резкие выпады против нас вообще и процесса в частности, тогда мы не можем поручить им издания. В этом случае необходимо будет сговориться с Ривиер: причем желательно было бы, чтобы предисловие, согласованное с нами, было написано Мартелем. Ждем Вашего ответа, чтобы окончательно решить вопрос об издателе.</w:t>
      </w:r>
    </w:p>
    <w:p w14:paraId="270FCDD6" w14:textId="77777777" w:rsidR="00BC3DA3" w:rsidRPr="005E779E" w:rsidRDefault="00BC3DA3" w:rsidP="000B7A6C">
      <w:pPr>
        <w:pStyle w:val="rtejustify"/>
        <w:spacing w:before="0" w:after="0"/>
        <w:rPr>
          <w:color w:val="000000" w:themeColor="text1"/>
          <w:sz w:val="16"/>
          <w:szCs w:val="16"/>
        </w:rPr>
      </w:pPr>
      <w:r w:rsidRPr="005E779E">
        <w:rPr>
          <w:color w:val="000000" w:themeColor="text1"/>
          <w:sz w:val="16"/>
          <w:szCs w:val="16"/>
        </w:rPr>
        <w:t>Приступили ли Вы к переводу стенограмм на французский язык? Сколько это будет стоить? Разрешите напомнить Вам, что во всех разговорах по поводу издания стенограмм процесса необходимо избегать непосредственного контакта полпредства с издателем.</w:t>
      </w:r>
    </w:p>
    <w:p w14:paraId="2458651C" w14:textId="77777777" w:rsidR="00BC3DA3" w:rsidRPr="005E779E" w:rsidRDefault="00BC3DA3" w:rsidP="000B7A6C">
      <w:pPr>
        <w:pStyle w:val="ae"/>
        <w:spacing w:before="0" w:after="0"/>
        <w:jc w:val="both"/>
        <w:rPr>
          <w:color w:val="000000" w:themeColor="text1"/>
          <w:sz w:val="16"/>
          <w:szCs w:val="16"/>
        </w:rPr>
      </w:pPr>
      <w:r w:rsidRPr="005E779E">
        <w:rPr>
          <w:color w:val="000000" w:themeColor="text1"/>
          <w:sz w:val="16"/>
          <w:szCs w:val="16"/>
        </w:rPr>
        <w:t>(Аренс)</w:t>
      </w:r>
    </w:p>
    <w:p w14:paraId="6E2B98E5" w14:textId="77777777" w:rsidR="00BC3DA3" w:rsidRPr="005E779E" w:rsidRDefault="00BC3DA3" w:rsidP="000B7A6C">
      <w:pPr>
        <w:pStyle w:val="ae"/>
        <w:spacing w:before="0" w:after="0"/>
        <w:jc w:val="both"/>
        <w:rPr>
          <w:color w:val="000000" w:themeColor="text1"/>
          <w:sz w:val="16"/>
          <w:szCs w:val="16"/>
        </w:rPr>
      </w:pPr>
      <w:r w:rsidRPr="005E779E">
        <w:rPr>
          <w:rStyle w:val="af0"/>
          <w:i w:val="0"/>
          <w:color w:val="000000" w:themeColor="text1"/>
          <w:sz w:val="16"/>
          <w:szCs w:val="16"/>
        </w:rPr>
        <w:t>АВП РФ. Ф. 056. On. 16. П. 34. Д. 14. Л. 7. Машинописная копия того времени. Исходящий номер документа написан от руки. Гриф секретности машинописью. Внизу слева делопроизводственная помета машинописью (столбцом) «4 экз. 1 -т. Баркову, 1 — т. Литвинову, 1 — т. Крестинскому, 1 — архив» (18828).</w:t>
      </w:r>
    </w:p>
    <w:p w14:paraId="19956C19" w14:textId="77777777" w:rsidR="00BC3DA3" w:rsidRPr="005E779E" w:rsidRDefault="00BC3DA3" w:rsidP="000B7A6C">
      <w:pPr>
        <w:spacing w:after="0" w:line="240" w:lineRule="auto"/>
        <w:jc w:val="both"/>
        <w:rPr>
          <w:rFonts w:ascii="Times New Roman" w:hAnsi="Times New Roman"/>
          <w:color w:val="000000" w:themeColor="text1"/>
          <w:sz w:val="16"/>
          <w:szCs w:val="16"/>
        </w:rPr>
      </w:pPr>
    </w:p>
    <w:p w14:paraId="1460CBEF" w14:textId="77777777" w:rsidR="00BC3DA3" w:rsidRPr="005E779E" w:rsidRDefault="00BC3DA3"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16 января 1931 г.</w:t>
      </w:r>
    </w:p>
    <w:p w14:paraId="607C42EC" w14:textId="77777777" w:rsidR="00BC3DA3" w:rsidRPr="005E779E" w:rsidRDefault="00BC3DA3"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Письмо Б. Д. Виноградова Н. Н. Крестинскому об организации публичного обсуждения «дела “Промпартии”» в городах Германии. 16 января 1931 г.</w:t>
      </w:r>
    </w:p>
    <w:p w14:paraId="1A20534B" w14:textId="77777777" w:rsidR="00BC3DA3" w:rsidRPr="005E779E" w:rsidRDefault="00BC3DA3"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Источник: </w:t>
      </w:r>
    </w:p>
    <w:p w14:paraId="65282BE0" w14:textId="77777777" w:rsidR="00BC3DA3" w:rsidRPr="005E779E" w:rsidRDefault="00BC3DA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1282317" w14:textId="77777777" w:rsidR="00BC3DA3" w:rsidRPr="005E779E" w:rsidRDefault="00BC3DA3"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Архив: </w:t>
      </w:r>
    </w:p>
    <w:p w14:paraId="0BD706B8" w14:textId="77777777" w:rsidR="00BC3DA3" w:rsidRPr="005E779E" w:rsidRDefault="00BC3DA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АВП РФ. Ф. 056. On. 16. П. 33. Д. 8. Л. 61-62</w:t>
      </w:r>
    </w:p>
    <w:p w14:paraId="532980C2" w14:textId="77777777" w:rsidR="00BC3DA3" w:rsidRPr="005E779E" w:rsidRDefault="00BC3DA3" w:rsidP="000B7A6C">
      <w:pPr>
        <w:pStyle w:val="rteright"/>
        <w:spacing w:before="0" w:after="0"/>
        <w:jc w:val="both"/>
        <w:rPr>
          <w:color w:val="000000" w:themeColor="text1"/>
          <w:sz w:val="16"/>
          <w:szCs w:val="16"/>
        </w:rPr>
      </w:pPr>
      <w:r w:rsidRPr="005E779E">
        <w:rPr>
          <w:color w:val="000000" w:themeColor="text1"/>
          <w:sz w:val="16"/>
          <w:szCs w:val="16"/>
        </w:rPr>
        <w:t>16 января 1931 г.</w:t>
      </w:r>
    </w:p>
    <w:p w14:paraId="7A3D69FD" w14:textId="77777777" w:rsidR="00BC3DA3" w:rsidRPr="005E779E" w:rsidRDefault="00BC3DA3" w:rsidP="000B7A6C">
      <w:pPr>
        <w:pStyle w:val="rteright"/>
        <w:spacing w:before="0" w:after="0"/>
        <w:jc w:val="both"/>
        <w:rPr>
          <w:color w:val="000000" w:themeColor="text1"/>
          <w:sz w:val="16"/>
          <w:szCs w:val="16"/>
        </w:rPr>
      </w:pPr>
      <w:r w:rsidRPr="005E779E">
        <w:rPr>
          <w:color w:val="000000" w:themeColor="text1"/>
          <w:sz w:val="16"/>
          <w:szCs w:val="16"/>
        </w:rPr>
        <w:t>Секретно</w:t>
      </w:r>
    </w:p>
    <w:p w14:paraId="2118151C" w14:textId="77777777" w:rsidR="00BC3DA3" w:rsidRPr="005E779E" w:rsidRDefault="00BC3DA3" w:rsidP="000B7A6C">
      <w:pPr>
        <w:pStyle w:val="ae"/>
        <w:spacing w:before="0" w:after="0"/>
        <w:jc w:val="both"/>
        <w:rPr>
          <w:color w:val="000000" w:themeColor="text1"/>
          <w:sz w:val="16"/>
          <w:szCs w:val="16"/>
        </w:rPr>
      </w:pPr>
      <w:r w:rsidRPr="005E779E">
        <w:rPr>
          <w:color w:val="000000" w:themeColor="text1"/>
          <w:sz w:val="16"/>
          <w:szCs w:val="16"/>
        </w:rPr>
        <w:t>Н.К.И.Д.</w:t>
      </w:r>
    </w:p>
    <w:p w14:paraId="33EE92F0" w14:textId="77777777" w:rsidR="00BC3DA3" w:rsidRPr="005E779E" w:rsidRDefault="00BC3DA3" w:rsidP="000B7A6C">
      <w:pPr>
        <w:pStyle w:val="ae"/>
        <w:spacing w:before="0" w:after="0"/>
        <w:jc w:val="both"/>
        <w:rPr>
          <w:color w:val="000000" w:themeColor="text1"/>
          <w:sz w:val="16"/>
          <w:szCs w:val="16"/>
        </w:rPr>
      </w:pPr>
      <w:r w:rsidRPr="005E779E">
        <w:rPr>
          <w:color w:val="000000" w:themeColor="text1"/>
          <w:sz w:val="16"/>
          <w:szCs w:val="16"/>
        </w:rPr>
        <w:t>тов. Крестинскому</w:t>
      </w:r>
    </w:p>
    <w:p w14:paraId="6287CAC4" w14:textId="77777777" w:rsidR="00BC3DA3" w:rsidRPr="005E779E" w:rsidRDefault="00BC3DA3" w:rsidP="000B7A6C">
      <w:pPr>
        <w:pStyle w:val="ae"/>
        <w:spacing w:before="0" w:after="0"/>
        <w:jc w:val="both"/>
        <w:rPr>
          <w:color w:val="000000" w:themeColor="text1"/>
          <w:sz w:val="16"/>
          <w:szCs w:val="16"/>
        </w:rPr>
      </w:pPr>
      <w:r w:rsidRPr="005E779E">
        <w:rPr>
          <w:color w:val="000000" w:themeColor="text1"/>
          <w:sz w:val="16"/>
          <w:szCs w:val="16"/>
        </w:rPr>
        <w:t>копии: т. Литвинову</w:t>
      </w:r>
    </w:p>
    <w:p w14:paraId="0E7AA948" w14:textId="77777777" w:rsidR="00BC3DA3" w:rsidRPr="005E779E" w:rsidRDefault="00BC3DA3" w:rsidP="000B7A6C">
      <w:pPr>
        <w:pStyle w:val="ae"/>
        <w:spacing w:before="0" w:after="0"/>
        <w:jc w:val="both"/>
        <w:rPr>
          <w:color w:val="000000" w:themeColor="text1"/>
          <w:sz w:val="16"/>
          <w:szCs w:val="16"/>
        </w:rPr>
      </w:pPr>
      <w:r w:rsidRPr="005E779E">
        <w:rPr>
          <w:color w:val="000000" w:themeColor="text1"/>
          <w:sz w:val="16"/>
          <w:szCs w:val="16"/>
        </w:rPr>
        <w:t>2-й Зап[адный] Отдел</w:t>
      </w:r>
    </w:p>
    <w:p w14:paraId="12BCEE19" w14:textId="77777777" w:rsidR="00BC3DA3" w:rsidRPr="005E779E" w:rsidRDefault="00BC3DA3" w:rsidP="000B7A6C">
      <w:pPr>
        <w:pStyle w:val="ae"/>
        <w:spacing w:before="0" w:after="0"/>
        <w:jc w:val="both"/>
        <w:rPr>
          <w:color w:val="000000" w:themeColor="text1"/>
          <w:sz w:val="16"/>
          <w:szCs w:val="16"/>
        </w:rPr>
      </w:pPr>
      <w:r w:rsidRPr="005E779E">
        <w:rPr>
          <w:color w:val="000000" w:themeColor="text1"/>
          <w:sz w:val="16"/>
          <w:szCs w:val="16"/>
        </w:rPr>
        <w:t>Отдел Печати БОКС.</w:t>
      </w:r>
    </w:p>
    <w:p w14:paraId="7506FEBC" w14:textId="77777777" w:rsidR="00BC3DA3" w:rsidRPr="005E779E" w:rsidRDefault="00BC3DA3" w:rsidP="000B7A6C">
      <w:pPr>
        <w:pStyle w:val="ae"/>
        <w:spacing w:before="0" w:after="0"/>
        <w:jc w:val="both"/>
        <w:rPr>
          <w:color w:val="000000" w:themeColor="text1"/>
          <w:sz w:val="16"/>
          <w:szCs w:val="16"/>
        </w:rPr>
      </w:pPr>
      <w:r w:rsidRPr="005E779E">
        <w:rPr>
          <w:color w:val="000000" w:themeColor="text1"/>
          <w:sz w:val="16"/>
          <w:szCs w:val="16"/>
        </w:rPr>
        <w:t>Многоуважаемый Николай Николаевич,</w:t>
      </w:r>
    </w:p>
    <w:p w14:paraId="28676158" w14:textId="77777777" w:rsidR="00BC3DA3" w:rsidRPr="005E779E" w:rsidRDefault="00BC3DA3" w:rsidP="000B7A6C">
      <w:pPr>
        <w:pStyle w:val="rtejustify"/>
        <w:spacing w:before="0" w:after="0"/>
        <w:rPr>
          <w:color w:val="000000" w:themeColor="text1"/>
          <w:sz w:val="16"/>
          <w:szCs w:val="16"/>
        </w:rPr>
      </w:pPr>
      <w:r w:rsidRPr="005E779E">
        <w:rPr>
          <w:color w:val="000000" w:themeColor="text1"/>
          <w:sz w:val="16"/>
          <w:szCs w:val="16"/>
        </w:rPr>
        <w:t>Собрания ОДНР, посвященные процессу «Промпартии», организуются именно в том порядке, о котором я Вам уже писал и который Вы одобрили. Первое собрание после Берлина было созвано в Гамбурге; о нем Вы уже наверное читали на страницах «Известий». Докладчиками были проф. Альфонс Гольдшмидт и коммунистический депутат Рейхстага адвокат Левенталь. На собрании было свыше 1000 человек и оно прошло с большим подъемом. В ближайшее время будет созвано собрание в Кенигсберге.</w:t>
      </w:r>
    </w:p>
    <w:p w14:paraId="210E27F1" w14:textId="77777777" w:rsidR="00BC3DA3" w:rsidRPr="005E779E" w:rsidRDefault="00BC3DA3" w:rsidP="000B7A6C">
      <w:pPr>
        <w:pStyle w:val="rtejustify"/>
        <w:spacing w:before="0" w:after="0"/>
        <w:rPr>
          <w:color w:val="000000" w:themeColor="text1"/>
          <w:sz w:val="16"/>
          <w:szCs w:val="16"/>
        </w:rPr>
      </w:pPr>
      <w:r w:rsidRPr="005E779E">
        <w:rPr>
          <w:color w:val="000000" w:themeColor="text1"/>
          <w:sz w:val="16"/>
          <w:szCs w:val="16"/>
        </w:rPr>
        <w:t>С Мюнхеном дело обстоит так. С самого начала, устройство собрания в Мюнхене наталкивалось на всяческие препятствия. Меня предупреждали, что подобное собрание в Мюнхене едва ли будет разрешено. Тем не менее, я продолжал попытки продвинуть это дело, с тем чтобы выявить официальное отношение баварских властей к ОДНР и к устройству им таких злободневных собраний. Наконец сегодня я получил сведения о том, что доклад о рамзинском процессе в Мюнхене официально запрещен. В других областях Германии, например Тюрингии, положение ОДНР еще более затруднительно, чем в Мюнхене. Фашистская полиция и Мин[истерст]во Народного просвещения так преследуют ОДНР, что принадлежность к нему грозит для служащего или профессора всяческими репрессиями и даже увольнениями. Несмотря на запрещение доклада о процессе в Мюнхене, я все-таки буду продолжать пытаться организовать там выступление друзей. По[-]видимому, придется просить разрешение для доклада не о процессе &lt;«Промпартии»&gt;, а, например, о пятилетием плане, хотя ручаться за получение полицейского разрешения и в данном случае нельзя.</w:t>
      </w:r>
    </w:p>
    <w:p w14:paraId="371EFA27" w14:textId="77777777" w:rsidR="00BC3DA3" w:rsidRPr="005E779E" w:rsidRDefault="00BC3DA3" w:rsidP="000B7A6C">
      <w:pPr>
        <w:pStyle w:val="rtejustify"/>
        <w:spacing w:before="0" w:after="0"/>
        <w:rPr>
          <w:color w:val="000000" w:themeColor="text1"/>
          <w:sz w:val="16"/>
          <w:szCs w:val="16"/>
        </w:rPr>
      </w:pPr>
      <w:r w:rsidRPr="005E779E">
        <w:rPr>
          <w:color w:val="000000" w:themeColor="text1"/>
          <w:sz w:val="16"/>
          <w:szCs w:val="16"/>
        </w:rPr>
        <w:t>С товарищеским приветом</w:t>
      </w:r>
    </w:p>
    <w:p w14:paraId="3A6F8D73" w14:textId="77777777" w:rsidR="00BC3DA3" w:rsidRPr="005E779E" w:rsidRDefault="00BC3DA3" w:rsidP="000B7A6C">
      <w:pPr>
        <w:pStyle w:val="rtejustify"/>
        <w:spacing w:before="0" w:after="0"/>
        <w:rPr>
          <w:color w:val="000000" w:themeColor="text1"/>
          <w:sz w:val="16"/>
          <w:szCs w:val="16"/>
        </w:rPr>
      </w:pPr>
      <w:r w:rsidRPr="005E779E">
        <w:rPr>
          <w:color w:val="000000" w:themeColor="text1"/>
          <w:sz w:val="16"/>
          <w:szCs w:val="16"/>
        </w:rPr>
        <w:t>(Виноградов)</w:t>
      </w:r>
    </w:p>
    <w:p w14:paraId="6492421A" w14:textId="77777777" w:rsidR="00BC3DA3" w:rsidRPr="005E779E" w:rsidRDefault="00BC3DA3" w:rsidP="000B7A6C">
      <w:pPr>
        <w:pStyle w:val="rtejustify"/>
        <w:spacing w:before="0" w:after="0"/>
        <w:rPr>
          <w:color w:val="000000" w:themeColor="text1"/>
          <w:sz w:val="16"/>
          <w:szCs w:val="16"/>
        </w:rPr>
      </w:pPr>
      <w:r w:rsidRPr="005E779E">
        <w:rPr>
          <w:color w:val="000000" w:themeColor="text1"/>
          <w:sz w:val="16"/>
          <w:szCs w:val="16"/>
        </w:rPr>
        <w:t>П. С. 12-го января в Берлине состоялось собрание, посвященное процессу, созванное Интернациональным Юридическим Объединением. Докладчиком был проф. Галле. Присутствовало около 300 человек. Для устройства этого собрания мы отпустили Юридическому Объединению небольшую сумму из специальных ассигнований.</w:t>
      </w:r>
    </w:p>
    <w:p w14:paraId="59FECAAB" w14:textId="77777777" w:rsidR="00BC3DA3" w:rsidRPr="005E779E" w:rsidRDefault="00BC3DA3" w:rsidP="000B7A6C">
      <w:pPr>
        <w:pStyle w:val="ae"/>
        <w:spacing w:before="0" w:after="0"/>
        <w:jc w:val="both"/>
        <w:rPr>
          <w:color w:val="000000" w:themeColor="text1"/>
          <w:sz w:val="16"/>
          <w:szCs w:val="16"/>
          <w:lang w:val="en-US"/>
        </w:rPr>
      </w:pPr>
      <w:r w:rsidRPr="005E779E">
        <w:rPr>
          <w:color w:val="000000" w:themeColor="text1"/>
          <w:sz w:val="16"/>
          <w:szCs w:val="16"/>
        </w:rPr>
        <w:t>В</w:t>
      </w:r>
      <w:r w:rsidRPr="005E779E">
        <w:rPr>
          <w:color w:val="000000" w:themeColor="text1"/>
          <w:sz w:val="16"/>
          <w:szCs w:val="16"/>
          <w:lang w:val="en-US"/>
        </w:rPr>
        <w:t>.</w:t>
      </w:r>
    </w:p>
    <w:p w14:paraId="1EB1D931" w14:textId="77777777" w:rsidR="00BC3DA3" w:rsidRPr="005E779E" w:rsidRDefault="00BC3DA3" w:rsidP="000B7A6C">
      <w:pPr>
        <w:pStyle w:val="ae"/>
        <w:spacing w:before="0" w:after="0"/>
        <w:jc w:val="both"/>
        <w:rPr>
          <w:color w:val="000000" w:themeColor="text1"/>
          <w:sz w:val="16"/>
          <w:szCs w:val="16"/>
        </w:rPr>
      </w:pPr>
      <w:r w:rsidRPr="005E779E">
        <w:rPr>
          <w:rStyle w:val="af0"/>
          <w:i w:val="0"/>
          <w:color w:val="000000" w:themeColor="text1"/>
          <w:sz w:val="16"/>
          <w:szCs w:val="16"/>
        </w:rPr>
        <w:t>АВП</w:t>
      </w:r>
      <w:r w:rsidRPr="005E779E">
        <w:rPr>
          <w:rStyle w:val="af0"/>
          <w:i w:val="0"/>
          <w:color w:val="000000" w:themeColor="text1"/>
          <w:sz w:val="16"/>
          <w:szCs w:val="16"/>
          <w:lang w:val="en-US"/>
        </w:rPr>
        <w:t xml:space="preserve"> </w:t>
      </w:r>
      <w:r w:rsidRPr="005E779E">
        <w:rPr>
          <w:rStyle w:val="af0"/>
          <w:i w:val="0"/>
          <w:color w:val="000000" w:themeColor="text1"/>
          <w:sz w:val="16"/>
          <w:szCs w:val="16"/>
        </w:rPr>
        <w:t>РФ</w:t>
      </w:r>
      <w:r w:rsidRPr="005E779E">
        <w:rPr>
          <w:rStyle w:val="af0"/>
          <w:i w:val="0"/>
          <w:color w:val="000000" w:themeColor="text1"/>
          <w:sz w:val="16"/>
          <w:szCs w:val="16"/>
          <w:lang w:val="en-US"/>
        </w:rPr>
        <w:t xml:space="preserve">. </w:t>
      </w:r>
      <w:r w:rsidRPr="005E779E">
        <w:rPr>
          <w:rStyle w:val="af0"/>
          <w:i w:val="0"/>
          <w:color w:val="000000" w:themeColor="text1"/>
          <w:sz w:val="16"/>
          <w:szCs w:val="16"/>
        </w:rPr>
        <w:t>Ф</w:t>
      </w:r>
      <w:r w:rsidRPr="005E779E">
        <w:rPr>
          <w:rStyle w:val="af0"/>
          <w:i w:val="0"/>
          <w:color w:val="000000" w:themeColor="text1"/>
          <w:sz w:val="16"/>
          <w:szCs w:val="16"/>
          <w:lang w:val="en-US"/>
        </w:rPr>
        <w:t xml:space="preserve">. 056. On. 16. </w:t>
      </w:r>
      <w:r w:rsidRPr="005E779E">
        <w:rPr>
          <w:rStyle w:val="af0"/>
          <w:i w:val="0"/>
          <w:color w:val="000000" w:themeColor="text1"/>
          <w:sz w:val="16"/>
          <w:szCs w:val="16"/>
        </w:rPr>
        <w:t>П</w:t>
      </w:r>
      <w:r w:rsidRPr="005E779E">
        <w:rPr>
          <w:rStyle w:val="af0"/>
          <w:i w:val="0"/>
          <w:color w:val="000000" w:themeColor="text1"/>
          <w:sz w:val="16"/>
          <w:szCs w:val="16"/>
          <w:lang w:val="en-US"/>
        </w:rPr>
        <w:t xml:space="preserve">. 33. </w:t>
      </w:r>
      <w:r w:rsidRPr="005E779E">
        <w:rPr>
          <w:rStyle w:val="af0"/>
          <w:i w:val="0"/>
          <w:color w:val="000000" w:themeColor="text1"/>
          <w:sz w:val="16"/>
          <w:szCs w:val="16"/>
        </w:rPr>
        <w:t>Д. 8. Л. 61-62. Машинописная копия того времени. Гриф секретности и дата машинописью, исходящий «№ 115» от руки (Л. 61). Вверху Л. 61 написаны от руки входящий номер и дата получения документа «19/1-31 год», подпись-росчерк Миронова. В адресе (копии) подчеркнуто карандашом «Отдел печати» (18895).</w:t>
      </w:r>
    </w:p>
    <w:p w14:paraId="27E5E2D3" w14:textId="77777777" w:rsidR="00BC3DA3" w:rsidRPr="005E779E" w:rsidRDefault="00BC3DA3" w:rsidP="000B7A6C">
      <w:pPr>
        <w:spacing w:after="0" w:line="240" w:lineRule="auto"/>
        <w:jc w:val="both"/>
        <w:rPr>
          <w:rFonts w:ascii="Times New Roman" w:hAnsi="Times New Roman"/>
          <w:color w:val="000000" w:themeColor="text1"/>
          <w:sz w:val="16"/>
          <w:szCs w:val="16"/>
        </w:rPr>
      </w:pPr>
    </w:p>
    <w:p w14:paraId="393B9112" w14:textId="77777777" w:rsidR="0090798C"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3D391FE7" w14:textId="77777777" w:rsidR="0090798C" w:rsidRPr="005E779E" w:rsidRDefault="0090798C"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389BBE1" w14:textId="77777777" w:rsidR="0090798C" w:rsidRPr="005E779E" w:rsidRDefault="0090798C"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 января 1931 года был предъявлен на гос. испытания мотор М-15. Прошел неудовлетворительно (6918).</w:t>
      </w:r>
    </w:p>
    <w:p w14:paraId="65F99435" w14:textId="77777777" w:rsidR="0090798C" w:rsidRPr="005E779E" w:rsidRDefault="0090798C"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2B79D8E"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4924246E"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A96739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 января 1931 г., ко</w:t>
      </w:r>
      <w:r w:rsidRPr="005E779E">
        <w:rPr>
          <w:rFonts w:ascii="Times New Roman" w:hAnsi="Times New Roman"/>
          <w:color w:val="000000" w:themeColor="text1"/>
          <w:sz w:val="16"/>
          <w:szCs w:val="16"/>
        </w:rPr>
        <w:softHyphen/>
        <w:t>миссия (заседание которой проходило уже под председа</w:t>
      </w:r>
      <w:r w:rsidRPr="005E779E">
        <w:rPr>
          <w:rFonts w:ascii="Times New Roman" w:hAnsi="Times New Roman"/>
          <w:color w:val="000000" w:themeColor="text1"/>
          <w:sz w:val="16"/>
          <w:szCs w:val="16"/>
        </w:rPr>
        <w:softHyphen/>
        <w:t>тельством Лебедева) выдала два технических задания на проведение работ по новому танку сопровождения РККА с использованием удачных технических решений танка В-26.</w:t>
      </w:r>
    </w:p>
    <w:p w14:paraId="48DE3E3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Так, конструкторская группа С. Гинзбурга (в составе трех человек) принялась реализовывать в проекте танк-гибрид, получивший название «Т'-19 улучшенный», к кото</w:t>
      </w:r>
      <w:r w:rsidRPr="005E779E">
        <w:rPr>
          <w:rFonts w:ascii="Times New Roman" w:hAnsi="Times New Roman"/>
          <w:color w:val="000000" w:themeColor="text1"/>
          <w:sz w:val="16"/>
          <w:szCs w:val="16"/>
        </w:rPr>
        <w:softHyphen/>
        <w:t>рому было более предпочтительное отношение. Академия ВАММ принялась за разработку «Танка М.М.» с двигателем «Геркулес», левым расположением водителя и третьей огневой точкой в корпусе (поскольку этот проект курировал лично М. Тухачевский, возможно, что именно с его подачи в танк была добавлена еще одна огневая точка) (10733,169).</w:t>
      </w:r>
    </w:p>
    <w:p w14:paraId="1105278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C97F2B"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06205F67"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2F8B08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 января 1931 обвиненный ранее в заговоре бывший член ЦК ВКП(б) М. Рютин освобожден и восстановлен в партии (4962).</w:t>
      </w:r>
    </w:p>
    <w:p w14:paraId="3999418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729B26" w14:textId="77777777" w:rsidR="00CB1153" w:rsidRPr="005E779E" w:rsidRDefault="00CB1153"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17 января</w:t>
      </w:r>
      <w:r w:rsidRPr="005E779E">
        <w:rPr>
          <w:rFonts w:ascii="Times New Roman" w:hAnsi="Times New Roman"/>
          <w:color w:val="000000" w:themeColor="text1"/>
          <w:sz w:val="16"/>
          <w:szCs w:val="16"/>
        </w:rPr>
        <w:t xml:space="preserve"> в 1931 году обвиненный ранее в заговоре бывший член ЦК ВКП(б) Мартемьян Рютин освобожден и восстановлен в партии. Но надо полагать ненадолго. В рукописном обращении «Ко всем членам Всесоюзной Коммунистической партии (большевиков) (ВКБ(б))» он обвинил И.В. Сталина в извращении ленинизма, узурпации власти. Через некоторое время вновь был арестован, а затем расстрелян. Реабилитирован посмертно (15012).</w:t>
      </w:r>
    </w:p>
    <w:p w14:paraId="12B6DDDE" w14:textId="77777777" w:rsidR="00CB1153" w:rsidRPr="005E779E" w:rsidRDefault="00CB1153" w:rsidP="000B7A6C">
      <w:pPr>
        <w:spacing w:after="0" w:line="240" w:lineRule="auto"/>
        <w:jc w:val="both"/>
        <w:rPr>
          <w:rFonts w:ascii="Times New Roman" w:hAnsi="Times New Roman"/>
          <w:color w:val="000000" w:themeColor="text1"/>
          <w:sz w:val="16"/>
          <w:szCs w:val="16"/>
        </w:rPr>
      </w:pPr>
    </w:p>
    <w:p w14:paraId="0C6A580E"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17-24 января 1931 г.</w:t>
      </w:r>
    </w:p>
    <w:p w14:paraId="66C0D2B9"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Показания В. А. Гассельблата о «вредительстве» в области проектирования и строительства «металлургических и металлообрабатывающих заводов». 17-24 января 1931 г.</w:t>
      </w:r>
    </w:p>
    <w:p w14:paraId="0E60E18C"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Источник: </w:t>
      </w:r>
    </w:p>
    <w:p w14:paraId="35B95F46"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388C8BD"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17-24 января 1931 г.</w:t>
      </w:r>
    </w:p>
    <w:p w14:paraId="5189B900"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[Секретно]</w:t>
      </w:r>
    </w:p>
    <w:p w14:paraId="2B8B13A3"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ПРОТОКОЛ ДОПРОСА</w:t>
      </w:r>
    </w:p>
    <w:p w14:paraId="117D1781"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главного инженера Магнитостроя</w:t>
      </w:r>
    </w:p>
    <w:p w14:paraId="06FB67B0"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ГАССЕЛЬБЛАТА Виталия Алексеевича</w:t>
      </w:r>
    </w:p>
    <w:p w14:paraId="75C58AC6"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 17,18,23-24 января 1931 г.</w:t>
      </w:r>
    </w:p>
    <w:p w14:paraId="3669C4D8"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Прежде чем перейти к вопросу о вредительстве при проектировании и подготовке к строительству новых металлургических и металлообрабатывающих заводов необходимо вкратце остановиться на той обстановке и атмосфере, которая создалась и окружала специалистов, работающих в области металлической промышленности к 1925 году, т. е. к моменту, когда провозглашен был лозунг индустриализации СССР.</w:t>
      </w:r>
    </w:p>
    <w:p w14:paraId="12B15023"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гражданской войны, к началу нэпа, из крупных старых работников металлической промышленности (металлургической и металлообрабатывающей) остались следующие лица:</w:t>
      </w:r>
    </w:p>
    <w:p w14:paraId="375C1500"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Ленинграду: А. И. БЕЛОНОЖКИН и А. А. БАЧМАНОВ, по Югу:</w:t>
      </w:r>
    </w:p>
    <w:p w14:paraId="629E6303"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А. СВИЦЫН, И. П. БАРДИН, В. И. ГУЛЫГА, по Уралу: В. А. ГАССЕЛЬБЛАТ, П. М. ВАВИЛОВ, В. П. КРАПИВИН, Б. С. ДУНАЕВ, П. В. ГОНЧАРОВ (до [19]22 года последний был в Сибири на Абаканском заводе).</w:t>
      </w:r>
    </w:p>
    <w:p w14:paraId="714944E6"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центру: С. А. ХРЕННИКОВ, В. И. ЖДАНОВ, Б. Н. ДОБРОВОЛЬСКИЙ, Н. М. КУТСКИЙ, А. А. МИЛЮКОВ, ВЕЛИКОРЕЦКИЙ (работники Главметалла) и И. А. КАЛИННИКОВ, Е. А. ТАУБЕ, Р. Я. ГАРТВАН, И. И. ФЕДОРОВИЧ (работники Госплана).</w:t>
      </w:r>
    </w:p>
    <w:p w14:paraId="22E53174"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 профессуры, которая работала в качестве консультантов и обслуживала металлическую промышленность: по Уралу проф. И. А. СОКОЛОВ, МАКОВЕЦКИЙ; по Югу проф. РУБИН; по Ленинграду проф. М. А. ПАВЛОВ, В. Н. ЛИПИН, Н. П. АСЕЕВ, проф. Т. А. ОБОЛД[З]ЕВ, проф. БАБОШИН, проф. БАЙКОВ; по центру проф. ЧАРНОВСКИЙ, проф. В. Е. ГРУМ-ГРЖИМАЙЛО (с 1923 г. переехал с Урала). Все эти лица при встречах с отдельными лицами и в группах высказывали не только неверие в советскую систему промышленности, но и строили свою работу во вред этой системы. Некоторые проводили линию «академизма», т. е. принципиально не хотели увязывать технику с жизнью заводов и предприятий (проф. ГРУМ-ГРЖИМАЙЛО, ПАВЛОВ, ЛИПИН, ЧАРНОВСКИЙ), другие работали в направлении дезорганизации планирования (работники Госплана ХРЕННИКОВ (до 1924 г.), КАЛИННИКОВ, ТАУБЕ, ГАРТВАН, ФЕДОРОВИЧ), не увязывая отдельных отраслей металлургического хозяйства (топливо, сырье, металл, его производство и потребление). Все перспективные наметки (даже годовые программы), поступавшие с мест, в Госплане деловой критике и серьезному анализу не подвергались. В объединяющем центре металлической промышленности в ВСНХ, куда съезжались работники [с] мест и привозили в большей части материалы дефективного порядка, не только не увязанные с другими отраслями промышленности, но часто составленные под углом зрения защиты интересов старых хозяев, работа протекала хаотически и имела для промышленности вредительский характер. Работники центра, мною вышеперечисленные, давали установки, что не надо вводить новых производств на предприятиях, не надо расширять производства на заводах, так как это послужит усилению советской власти, которую никто не признает.</w:t>
      </w:r>
    </w:p>
    <w:p w14:paraId="4DA6F965"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Эта идеология охватывала всех и связывала. В 1921 году состоялся в Москве первый съезд научных работников по металлургии. На этом съезде в кулуарах все участвующие вели разговоры и пропаганду, что Советская власть не долговечна, что система управления гнилая, что инженер не должен принимать участия в практической жизни страны.</w:t>
      </w:r>
    </w:p>
    <w:p w14:paraId="19BA71C2"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Характерно, что на съезде ни один из практических вопросов по металлу (производственные программы, новые производства, районирование металлургической промышленности, в частности Урало-Сибирская проблема) не был поставлен.</w:t>
      </w:r>
    </w:p>
    <w:p w14:paraId="20AADFB1"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1922 и 1923 году специалисты-металлурги встречались главным образом в Госплане и в Главметалле (отделе металла), где исповедовалась и проводилась та же идеология. В Техническом Совете отдела Металла, который возглавлял Р. Я. ГАРТВАН и держал связь между Госпланом и ВСНХ по линии металла, ставились, обычно, вопросы теоретического порядка[,] и все считали, что этот Технический Совет создан в лучшем случае для получения пожетонных или, как тогда говорили, для подкармливания специалистов.</w:t>
      </w:r>
    </w:p>
    <w:p w14:paraId="56545653"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 В. И. ЖДАНОВА и затем у С. А. ХРЕННИКОВА (после перехода его из Госплана) перед началом бесчисленных заседаний, а также после них велись беседы с приезжающими с мест на тему, что с металлом Советской власти не справиться, да и не надо этого делать, так как власть не прочна.</w:t>
      </w:r>
    </w:p>
    <w:p w14:paraId="7C80A3DC"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1923 г. при различных встречах и разговорах учитывался и обсуждался «троцкизм», связывая партийные разногласия с возможностью скорого падения Советской власти. Болезнь, затем смерть В. И. Ленина в начале 1924 г. также были предметом постоянного обмена мнений на тему того, что скоро можно ожидать «провала большевиков».</w:t>
      </w:r>
    </w:p>
    <w:p w14:paraId="6E1B3CD5"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1924 г. в мае состоялся второй съезд научных работников по металлургии. Съезд происходил в Ленинграде. На съезде также не было поставлено ни одного практического вопроса, связанного с металлическими перспективами.</w:t>
      </w:r>
    </w:p>
    <w:p w14:paraId="25F9B8C8"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Президиум съезда (ГРУМ-ГРЖИМАЙЛО) определенно высказывался, что это дело не металлургов, не ученых, пусть большевики этим занимаются. На банкете (на Красном Выборжце) после официальной части отдельные группы обсуждали вопросы на политические темы, о предстоящем металлическом голоде, указывая, что Советская власть не поднимет этого дела. Те же разговоры велись и в клубе ВАИ, где вечер был устроен А. И. БЕЛОНОЖКИНЫМ. Летом 1924 г., будучи в Москве (июль), я был приглашен А. А. БАЧМАНОВЫМ на обед по случаю ухода из Госплана С. А. ХРЕННИКОВА. Обед состоялся за городом (Останкино), где присутствовали ХРЕННИКОВ, ГАРТВАН, ТАУБЕ, ФЕДОРОВИЧ, проф. И. Г. АЛЕКСАНДРОВ, КАЛИННИКОВ, РАБИНОВИЧ, БАЧМАНОВ, ШЕЙН. Всего участвовало человек 15. Других работников Госплана я не помню. Кроме приветственных речей по адресу С. А. ХРЕННИКОВА на тему о том, как много он сделал для Госплана, перешли на политические разговоры: все хозяйство страны строится бессистемно, от случая к случаю, отдельные отрасли промышленности развиваются не увязанно между собой, высказывались против наметившегося тогда Днепростроя, говорили, что без влива иностранного капитала нечего и думать о строительстве новых заводов. После обеда беседа продолжалась у С. Д. ШЕЙНА, в квартиру которого отправились, на те же темы.</w:t>
      </w:r>
    </w:p>
    <w:p w14:paraId="78329ECE"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1925 году был провозглашен лозунг индустриализации СССР, каждое отдельное управление ВСНХ, в том числе и Главметалл, составили краткие записки о новых заводах. Общего серьезного анализа отдельных объектов, увязки с сырьевыми базами, с транспортом, не было сделано. Этими основными вопросами не хотел заниматься ни Госплан, ни ВСНХ. Места же представляли непродуманные записки.</w:t>
      </w:r>
    </w:p>
    <w:p w14:paraId="49032FFC"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 новых металлургических заводах первую записку составил В. И. ЖДАНОВ, где намечалась постройка Магнитогорского завода, Кузнецкого (тогда его называли Тельбес[с]ким), Криворожского и реставрации и расширении Керченского завода. У всех заводов темным местом была рудная база, которую или не знали, или знали, но было неизвестно, как использовать рудные месторождения.</w:t>
      </w:r>
    </w:p>
    <w:p w14:paraId="1A54A6CC"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центре, как я указывал выше, специалисты-металлурги, постоянно встречаясь, имели достаточно прочную идеологическую связь, из которой вытекала и практика в работе и по планированию[,] и по управлению металлургическими предприятиями Союза. Главными фигурами, вокруг которых вращались работники в Москве[,] были: С. А. ХРЕННИКОВ (Главметалл) и И. А. КАЛИННИКОВ (Госплан).</w:t>
      </w:r>
    </w:p>
    <w:p w14:paraId="3C8FA831"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Провинциальные работники, постоянно бывая в Москве (и по линии Госплана[,] и по линии Главметалла), знали московские настроения и направления в работе и, конечно, отражали их.</w:t>
      </w:r>
    </w:p>
    <w:p w14:paraId="6E342F99"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Осенью 1925 г. встал вопрос о проектировании новых заводов. На Урале было образовано Уралпроектбюро, которому поручено было приступить к проектированию Магнитогорского металлургического, Уральского машиностроительного, Н[ижне]-Тагильского вагоностроительного заводов. Ни работников, ни архива, ни технической библиотеки не было. Заданий определенных также не имелось, в технических заданиях (мощность отдельных заводских агрегатов) была Главметаллом дана установка, явно преуменьшенная против тех достижений, которые имела не только Америка, но и европейские страны.</w:t>
      </w:r>
    </w:p>
    <w:p w14:paraId="6312EB94"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Суточную выплавку доменной печи В. И. ЖДАНОВ давал 450 тонн, тогда как некоторые заводы Германии уже тогда достигали до 840 тонн, для Мартеновских печей тоннаж давали 75 т., тогда как имелись за границей печи 125-150 т. Нагрузку прокатных станов (блюминг) давали также преуменьшенную; мощность бессемеровских конверторов рекомендовали 15 т., в то время как за границей работали 25[-]тонные реторты.</w:t>
      </w:r>
    </w:p>
    <w:p w14:paraId="67E4754A"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 эти установки С. А. ХРЕННИКОВ и В. И. ЖДАНОВ мотивировали тем обстоятельством, что русский рабочий никогда не может достичь таких результатов и работать на крупных устройствах, что вся система нашей работы требует не последнего слова техники. Эти же работники Главметалла и работники Госплана указывали (КАЛИННИКОВ, ТАУБЕ, ГАРТВАН и ФЕДОРОВИЧ), что какая бы установка н[и] была, все равно ничего не выйдет из намеченного строительства новых заводов, что это совершенно не под силу современным финансам Союза.</w:t>
      </w:r>
    </w:p>
    <w:p w14:paraId="427480A2"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вопросах технических коэффициентов группа центра (Госплан и Главметалл) давала такую установку, не соответствующую возможным достижениям в этой области. Расход горючего в доменных печах Магнитогорского завода сначала давали 1,2 т. на 1 т. чугуна, приводя опять-таки только что достигнутый расход на Южных заводах. Затем давали 1,1 т. и, в конце концов, 1 т. кокса на 1 т. чугуна. Вся эта неразбериха естественно требовала напрасных и больших пересчетов и тормозил[а] проектирование. Подсчеты плавки чугуна в условиях Магнитогорского завода (на Кузнецком коксе) давали расход горючего 0,9 т. кокса на 1 т. чугуна. Заграницей, особенно в Америке, на малосернистом коксе имеются и более низкий расход горючего 0,85 — 0,87.</w:t>
      </w:r>
    </w:p>
    <w:p w14:paraId="0A779E26"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(ноябрь-декабрь) 1925 года Главметалл вел сначала дискуссию, а затем подготовительную работу для образования центрального проектировочного аппарата. С. А. ХРЕННИКОВ, Б. Н. ДОБРОВОЛЬСКИЙ и А. А. БАЧМАНОВ усиленно настаивали и добивались, чтобы такой аппарат был образован в Ленинграде. Официальными соображениями у них были: в Ленинграде имеются свободные помещения, имеется много высш[их] технических учебных заведений, много незанятой профессуры, богатые технические библиотеки.</w:t>
      </w:r>
    </w:p>
    <w:p w14:paraId="29FABC5F"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Соображения неофициальные: подальше от начальства, в Ленинграде возможно будет в новом учреждении заниматься академизмом, т. е. затягивать практическое проектирование, следовательно, и строительство, в которое никто не верит.</w:t>
      </w:r>
    </w:p>
    <w:p w14:paraId="13195491"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течени[е] нескольких месяцев идет «волынка» и только в марте- апреле выявляются некоторые формы нового учреждения, которое сначала называли характерно «Гипноз», а затем «Гипромез».</w:t>
      </w:r>
    </w:p>
    <w:p w14:paraId="4DCE002A"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первое время в Гипромезе играл первую скрипку А. А. БАЧМАНОВ, подбирая и головку и ответственных работников.</w:t>
      </w:r>
    </w:p>
    <w:p w14:paraId="72E91BA7"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 Металлургический отдел Гипромеза был приглашен старый проф. гор[ный] инж. В. Н. ЛИПИН; этот отдел должен был руководить проектированием всех новых металлургических заводов СССР.</w:t>
      </w:r>
    </w:p>
    <w:p w14:paraId="73D6D20C"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 ЛИПИН при вступлении своем в Гипромез заявил, что в строительство новое при большевистском режиме он не верит и верить не хочет, т. к. поставлены такие грандиозные задачи, которые не под силу решать без влияния иностранного капитала. Достижения иностранной металлургической техники совершенно не достижимы у нас в наших условиях, и в этом вопросе он вполне солидарен с В. И. ЖДАНОВЫМ и С.А. ХРЕННИКОВЫМ, категорически протестуя против первоначальных установок: доменные печи Магнитогорского завода с суточной выплавкой в 600 тонн и против расхода горючего 0,9 т. на 1 т. чугуна.</w:t>
      </w:r>
    </w:p>
    <w:p w14:paraId="13450448"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 ЛИПИН подбирает себе штат. Помощником берет М. М. БЕРА, который занимается текущей перепиской. М. М. БЕР техники почти не касается, вся его работа уходит, как я наблюдал во время посещений Гипромеза, на хождение по отделам и согласование разных вопросов. Из бесед с М. М. БЕРОМ я понял, что он целиком разделяет мнение В. Н. ЛИПИНА на строительство новых заводов. Доменной группой заведовать ЛИПИН пригласил своего ассистента по Горному Институту Е. А. ЛЕБЕДЕВА, который заявил нам, что он всю работу сведет к критике мест, которые он предполагает часто посещать.</w:t>
      </w:r>
    </w:p>
    <w:p w14:paraId="59C2039D"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 А. ЛЕБЕДЕВ был всегда при В. Н. ЛИПИНЕ и главная его специальность была ругаться и к делу[,] и ни к делу отборными словами. По мартену ЛИПИНЫМ приглашается проф. Политехнического института М. М. КАРНАУХОВ, который в разговорах со мной высказывал мнение, что он только будет заниматься теоретическими вопросами, так как при Советской власти он не мыслит возможности проведения в жизнь намеченной программы индустриализации. В дальнейшей работе по проектированию Магнитогорского завода М. М. КАРНАУХОВ имел дело с инж. В. В. ВОРОБЬЕВЫМ (мартеновец Уралгипромеза), который прорабатывал различные варианты мартеновского цеха и всюду с целью затяжки проекта вносил спор, какой лучше тип мартена: немецкий и[ли] американский. Вопрос установки бессемеровского производства на Магнитной также надо рассматривать как затяжку проектирования. В каждый приезд в Гипромез этот вопрос поднимался, затевались споры, но установки, даже в отношении тоннажа конверторов, их количества, определенной не делалось. Уралгипромез тянул этот вопрос, делал студенческие варианты и не имел ни одного специалиста по бессемеровскому производству.</w:t>
      </w:r>
    </w:p>
    <w:p w14:paraId="0311867D"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прокатному производству В. Н. ЛИПИН пригласил инж. ТАТАРЧЕНКО, который ничего не хотел делать, он открыто афишировал это: во время работы готовился к лекциям или вел общие рассуждения на тему, что намеченная индустриализация и взятые темпы — детская затея. По отношению к Магнитогорскому проекту инж. ТАТАРЧЕНКО занял позицию, что надо составлять всевозможные варианты, чтобы затянуть проектирование и строительство. По прокатке В. Н. ЛИПИНЫМ приглашался для консультации ассистент Горного Института Д. Н. БЕНЕШЕВИЧ, который во всех поручаемых ему вопросах старался затянуть дело. В. В. ВОРОБЬЕВ, который имел с ним деловые отношения, докладывал мне, что БЕНЕШЕВИЧ все магнитогорские вопросы (по прокатке) срывает.</w:t>
      </w:r>
    </w:p>
    <w:p w14:paraId="526124D4"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качестве верховных консультантов В. Н. ЛИПИНЫМ были приглашены проф. М. А. ПАВЛОВ и позднее И. П. БАРДИН (последний приезжал с Днепровского завода, где был главным инженером).</w:t>
      </w:r>
    </w:p>
    <w:p w14:paraId="73CEB46D"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Идеология М. А. ПАВЛОВА, который считался большим авторитетом в области металлургии среди инженерства (был редактором журнала «Русского Металлургического Общества», инициатором и душой металлургических съездов), была всем известна. Кроме Гипромеза, я встречался с М. А. ПАВЛОВЫМ у проф. ГРУМ-ГРЖИМАЙЛО в Москве, в Главметалле у ХРЕННИКОВА и ЖДАНОВА, на всевозможных заседаниях и совещаниях. В личных и групповых беседах М. А. ПАВЛОВ всегда высказывался с ненавистью к Советской власти, к ее начинаниям, как в области реконструкции высших технических уч[ебных] заведений, так и в области промышленности. М. А. ПАВЛОВ, конечно, не верил в новое строительство, на Гипромез смотрел, как на учреждение, объединяющее распыленных специалистов и как на дополнительный заработок, который дает возможность многим пережить тяжелое время. М. А. ПАВЛОВ считал, что без иностранного капитала не только не построишь новых заводов, но и не восстановишь полностью старых. М. А. ПАВЛОВ через инж. КАША-КАШВИЛИ и КРАПИВИНА имел связь с Уралом, организуя в Свердловске съезд по доменному производству, и получал от Уралоблсовнархоза материальную поддержку на издание журнала Русского Металлургического общества.</w:t>
      </w:r>
    </w:p>
    <w:p w14:paraId="5BECC184"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Журнал этот не отражал, и М. А. ПАВЛОВ это положение отстаивал, современной работы металлургических предприятий СССР и не касался общих проблем металлургии.</w:t>
      </w:r>
    </w:p>
    <w:p w14:paraId="24C8D1FA"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 П. БАРДИН в Гипромезе занимал позицию или молчаливо соглашающегося с линией, проводимой металлургическим отделом, или вносившего (по отношению к Магнитогорскому заводу) ряд вопросов, чтобы затянуть проектирование. Из личных моих встреч и бесед (И. П. БАРДИН одно время намечался в главные инженеры Магнитостроя) я определил, что И. П. БАРДИН не верит в прочность Советской власти и считает нереальной и несерьезной программу индустриализации. В темпы строительства не верил.</w:t>
      </w:r>
    </w:p>
    <w:p w14:paraId="472C224F"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Когда И. П. БАРДИН был назначен глав[ным] инженером Кузнецкстроя[,] мне С. А. ХРЕННИКОВ говорил, что БАРДИН в Кузнецк везет с собой определенную группу с Юга, которая будет срывать строительство, указывая на одну крупную фигуру в этой группе — инж. ПОПОВА-АЛЕКСЕЕВА, который является особым ненавистником Советской власти и черносотенцем. С инж. ПОПОВЫМ-АЛЕКСЕЕВЫМ я встречался в Техн. Совете Главчермета и в поезде, в котором я ехал в Москву с Урала, а он из Сибири. ПОПОВ-АЛЕКСЕЕВ рассказывал мне о положении на Кузнецкстрое: о не подготовке к строительству, неимении рабочих чертежей, запоздании с заказами, дезорганизации в управлении, причем подчеркива[л], что из всего этого дела ничего не выйдет.</w:t>
      </w:r>
    </w:p>
    <w:p w14:paraId="032D1D46"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Я дал достаточно подробную характеристику работников Металлургического Отдела Гипромеза, чтобы было ясно, какая обстановка создалась в этом учреждении для руководства проектированием и строительством новых металлургических заводов. Системы и методов проектирования металлургический отдел никому не давал. Каждый делал, что хотел и как хотел.</w:t>
      </w:r>
    </w:p>
    <w:p w14:paraId="74C8C178"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Магнитогорский проект без специалистов, без конструкторского аппарата, без точных заданий и установок делался в Уралпроектбюро, где и проводились исследовательские работы Магнитогорского железорудного месторождения. В Сибири (в Томске) открылось Тельбессбюро, которое приступило к проектированию и разведкам руд для Кузнецкого завода. В Керчи открылось бюро по реконструкции завода. Проектировку металлургического завода на Юге металлургический отдел Гипромеза решил взять сам. Никакой стандартизации главных объектов завода не было установлено.</w:t>
      </w:r>
    </w:p>
    <w:p w14:paraId="54B31DE5"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 было направлено к тому, чтобы силы, которых было очень мало (особенно конструкторов)[,] были распылены и для того, чтобы затянуть проектирование.</w:t>
      </w:r>
    </w:p>
    <w:p w14:paraId="768EA9FD"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Организация Гипромеза с самого начала и, как мне известно, до 1930 года С. А. ХРЕННИКОВЫМ, А. А. БАЧМАНОВЫМ и Б. Н. ДОБРОВОЛЬСКИМ строилась таким порядком, чтобы каждый отдел Гипромеза работал самостоятельно, без всякой технической увязки. Технического директора или главного инженера в Гипромезе не было. В Правлении Гипромеза вопросы решались без достаточной согласованности в отдельных частях сложного металлургического хозяйства. Другие отделы Гипромеза возглавлялись специалистами, членами Правления: БАЧМАНОВ — экономическим, БЕЛОНОЖКИН — машиностроительным, ВЕРЕЩАГИН — электрическим, ШИШКО, затем проф.</w:t>
      </w:r>
    </w:p>
    <w:p w14:paraId="5A1C39E8"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ГОФМАН — строительным. Горного отдела, являющегося основным при проектировании металлургических] заводов, вначале не было и этому особенно сочувствовал С. А. ХРЕННИКОВ, говоря, что с рудным делом в новых заводах неблагополучно и пусть этим занимается Геолком. Только в конце 1927 года образуется во главе с МУХИНЫМ (вскоре арестованным) слабенький отдел. МУХИНА заменил инж. КУРБАТОВ.</w:t>
      </w:r>
    </w:p>
    <w:p w14:paraId="07E661CF"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Геолкомом Гипромез вначале не имел никакой связи. С 1928 года приглашались иногда представители Геолкома (КАТУЛЬСКИЙ, ЗАВАРИЦКИЙ), которые обычно давали самые общие данные. При проектировании металлургических заводов все отделы играли большую роль и приносили тот или иной вред.</w:t>
      </w:r>
    </w:p>
    <w:p w14:paraId="2C430496"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Весной 1926 года собрался первый технический совет Гипромеза. Состав техн. совета был намечен С. А. ХРЕННИКОВЫМ, В. И. ЖДАНОВЫМ и А. А. БАЧМАНОВЫМ, в него вошли крупные специалисты- производственники и профессора. Председателем Совета выбирается</w:t>
      </w:r>
    </w:p>
    <w:p w14:paraId="2213C5C9"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А. ХРЕННИКОВ, заместителем к нему Н. Ф. ЧАРНОВСКИЙ. Совет, кроме пленума, имел секции, возглавляемые: экономическую ГИНЗБУРГОМ (из ВСНХ), металлургическую Е. А. ТАУБЕ, машиностроительную Н. Ф. ЧАРНОВСКИМ, энергетическую проф. ВОРОНОВЫМ и строительную КЛЕВЕЗАЛЕМ (ВСНХ). Сессии технического совета с деловой стороны не приносили никакой пользы, крупные вопросы комкались, некоторые эксперты отдельных частей проекта не только не прорабатывали вопроса, а часто и не знакомились с ним. Напр., проф. М. А. ШАТЕЛЕН при рассмотрении Магнитогорского проекта давал общие заключения по неизученному вопросу. Часто ставились вопросы с целью сорвать проект или оттянуть его (выступление проф. ШАПОШНИКОВА о перенесении Магнитогорского завода в Челябинск). Главная задача, которую преследовали технические советы, по словам С. А. ХРЕННИКОВА, заключалась в объединении крупных специалистов, обмене мнениями работников с мест.</w:t>
      </w:r>
    </w:p>
    <w:p w14:paraId="6B977AF2"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 время сессий технических советов устраивались совещания частного порядка у С. А. ХРЕННИКОВА и А. И. БЕЛОНОЖКИНА с участием Н. Ф. ЧАРНОВСКОГО, КАЛИННИКОВА, ТАУБЕ, ГИНЗБУРГА и КЛЕВЕЗАЛЯ, на которых устанавливалась линия поведения, которую нужно держать при том или ином проекте. Приезжавшие работники с мест также в кулуарах и за обедом устраивали беседы, где обсуждали общее положение с новым строительством в связи с политическим положением страны. Металлурги обычно группировались около С. А. ХРЕННИКОВА, В. И. ЖДАНОВА и С. А. ТАУБЕ, где кроме общих вопросов обсуждалось положение с отдельными проектами и намечались установки, затягивающие проектирование. Гипромез и отдельные строительства устраивали банкеты, где[,] кроме официальных торжественных выступлений по случаю прохождения проекта, отдельными группами обсуждались вопросы на политические темы. Гипромез[,] расширяя свою деятельность, открывает новые отделения: в Харькове,</w:t>
      </w:r>
    </w:p>
    <w:p w14:paraId="2D548855"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Москве, Ленинградское отделение. В Днепропетровске было открыто вначале специальное отделение по проектированию коксовых установок. Отделение возглавлял проф. РУБИН. Представляемые им проекты являлись чисто ученическими. Магнитогорская коксовая установка, спроектированная проф. РУБИНЫМ, дефективная.</w:t>
      </w:r>
    </w:p>
    <w:p w14:paraId="1EFEE672"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 Гипромеза точных функций в смысле обслуживания нового строительства не было. Где кончалось проектирование и начинались исследовательские работы и подготовка к самому строительству, решал[о]сь каждый раз особо. Главметалл, затем Главчермет финансировали строительства и, следовательно, управляли ими. Во главе этого дела из специалистов стояли: С. А. ХРЕННИКОВ, В. И. ЖДАНОВ, Б. Н. ДОБРОВОЛЬСКИЙ, А. А. МИЛЮКОВ и Н. М. КУТСКИЙ.</w:t>
      </w:r>
    </w:p>
    <w:p w14:paraId="33DB546B"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Утверждение (окончательное) проектов, утверждение программ строительства, отпуск средств зависело от них.</w:t>
      </w:r>
    </w:p>
    <w:p w14:paraId="00425EC6"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Третья инстанция, с которой соприкасалось новое строительство — Госплан, где ставились вопросы общего финансирования для внесения на утверждение СНКа.</w:t>
      </w:r>
    </w:p>
    <w:p w14:paraId="0D3A7380"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Госплане по металлургическим заводам пришлось сталкиваться с И. А. КАЛИННИКОВЫМ, Е. А. ТАУБЕ, Р. Я. ГАРТВАН и И. И. ФЕДОРОВИЧЕМ. В показаниях, сделанных мною в ПП ОГПУ в Свердловске, я сообщил, что в конце 1926 года С. А. ХРЕННИКОВ при разговоре со мной на политические темы (внутренние натяжения*1 в партии, финансовые затруднения, возможность интервенции) указал, что всюду в крупных объединениях (Госплан, ВСНХ, отдельных районах — Юг, Ленинград) идет организация специалистов в отдельные группы на случай прихода на смену Советской власти интервентов и подготовки к этому. Предлагал образовать такую группу на Урале.</w:t>
      </w:r>
    </w:p>
    <w:p w14:paraId="166DB75E"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Я предложение это принял и, возвратившись на Урал, переговорил с отдельными крупными работниками Урала, это было в начале 1927 г. Работники эти следующие: заведующий промышленной секцией Уралплана М. А. СОЛОВОВ, технический директор и член Правления Уралмета В. П. КРАПИВИН, главный металлург Уралмета И. В. КАША-КАШВИЛИ, технический директор Уралгорконторы И. А. ГИРБАСОВ; член президиума Уральского Областного Совета Народного хозяйства инженер Б. С. ДУНАЕВ и профессор Уральского Политехнического института по кафедре металлургии И. А. СОКОЛОВ. Все указанные инженеры мне заявили, что они уже слышали, каждый по своей отрасли, об организации таких групп в центре и что директивы и указания, получаемые ими по работе от отдельных работников[,] ясно говорят о том, что вредительство принимает организованную форму. На вопрос ко мне, кем возглавляется контр-революционная организация в центре, я ответил, что</w:t>
      </w:r>
    </w:p>
    <w:p w14:paraId="0A20460B"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А. ХРЕННИКОВ мне сказал, что он этого сказать не может, что самая сильная группа в Госплане, где концентрируются все вопросы промышленности и, смеясь[,] мне сказал, что в организации состоит даже заместитель Председателя Госплана профессор ОСАДЧИЙ. С. А. ХРЕННИКОВ на одном из технических советов Гипромеза в Ленинграде (весной 1927 г.), показывая мне на участников пленума совета (где он был председателем, а проф. ЧАРНОВСКИЙ его заместителем) сказал, что этот пленум можно назвать и пленумом контр-революционной организации всего Союза.</w:t>
      </w:r>
    </w:p>
    <w:p w14:paraId="132BC15E"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А. ХРЕННИКОВ сказал мне, что он всех участников Уральской группы знает, что каждый по своей линии связан с центром: КРАПИВИН и КАША-КАШВИЛИ связаны с инж. ЖДАНОВЫМ и им, ХРЕННИКОВЫМ, СОЛОВОВ с инж. КАЛИННИКОВЫМ, ТАУБЕ и ГАРТВАНОМ, ДУНАЕВ с БАЧМАНОВЫМ, ТАУБЕ и ГАРТВАНОМ, ГИРБАСОВ с инж. ВЕЛИКОРЕЦКИМ и проф. И. А. СОКОЛОВ на технических съездах и советах связывается с группой профессуры[;] называ[л] отдельные фигуры: ГРУМ-ГРЖИМАЙЛО, ЧАРНОВСКОГО, ПАВЛОВА М. А. и ЛИПИНА В. Н.</w:t>
      </w:r>
    </w:p>
    <w:p w14:paraId="10A5F92C"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ХРЕННИКОВ сказал мне, что все работники должны иметь отраслевую связь с центральными работниками. Я по линии строительства (тогда проектирования) был связан с С. А. ХРЕННИКОВЫМ и, впоследствии, кроме него, с группой Гипромеза (БЕЛОНОЖКИН, БАЧМАНОВ, ЛИПИН, ВЕРЕЩАГИН) и группой металлургического отдела (Е. А. ЛЕБЕДЕВЫМ, М. М. БЕРОМ и ТАТАРЧЕНКО). Уральская группа была спаяна прежней общей работой. Директивы, которые получали отдельные работники из центра, были в общем одинаковы и клонились: к задержке проектирования и строительства новых заводов с целью воспрепятствовать программе Правительства по индустриализации страны, задержке реконструкции существующих заводов, уменьшению программы работы заводов, давая не полную нагрузку заводским агрегатам и не вводя в работу некоторые заводы; по планированию Уральской промышленности были даны директивы также искусственно задерживать развитие промышленности, составляя пятилетний план ее в ущемленном виде и в разрезе диспропорции отдельных отраслей промышленности; по горному хозяйству давались указания и директивы, чтобы тормозить и задерживать разведки и исследовательские работы, не вводить в эксплуатацию месторождения руд, в которых заинтересованы прежние владельцы; по строительным материалам давались указания, чтобы не развивать производство таковых с целью срыва как реконструкции, так и строительства новых заводов; по учебной части рекомендовалась борьба против начинаний Советской власти: непрерывной практике и сокращенному прохождению курса во ВТУЗ.</w:t>
      </w:r>
    </w:p>
    <w:p w14:paraId="4A54C9CA"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Каждый член контр-революционной группы проводил свою линию. Группа пользовалась каждым случаем, чтобы встретиться и поделиться своей работой. Для этого были использованы деловые встречи отдельных работников в разных учреждениях: у меня в Уралгипромезе, в Уралплане (у СОЛОВОВА), в Уралмете (у КРАПИВИНА), в Уралсовнархозе (у ДУНАЕВА). Собирались перед или после технических совещаний у меня в Уралгипромезе или у СОЛОВОВА в Уралплане.</w:t>
      </w:r>
    </w:p>
    <w:p w14:paraId="31CE2070"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всех таких совещаниях в течение 1927, 1928 и половины 1929 года обычно обсуждались сначала вопросы политического порядка и тех новостей, которые каждый имел в результате поездки в центр.</w:t>
      </w:r>
    </w:p>
    <w:p w14:paraId="4BBF46F2"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Особое внимание в беседах обращалось на положение в партии; каждая дискуссия, выступление отдельных членов партии рассматривал[и]сь как начало разложения партии и делались соответствующие выводы о возможности перемены существующего строя.</w:t>
      </w:r>
    </w:p>
    <w:p w14:paraId="04119F17"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Обсуждались вопросы экономики СССР, причем по всем линиям (т. к. все члены организации получали в Москве определенную информацию), выяснялось[,] что экономическое положение, особенно за последнее время в связи с принудительной коллективизацией крестьянского хозяйства, делается катастрофическим и можно в любой момент ждать полного экономического развала. Обсуждались, и довольно горячо, вопросы продовольственного порядка. Большинство считало, что перебои с продовольствием будут усиливаться, и что через 1-2 года наступит естественный конец, как следствие голода, который вызовет голодные восстания и сметет Советскую власть, на смену которой, на первое время, придет интервенция.</w:t>
      </w:r>
    </w:p>
    <w:p w14:paraId="3310DB6C"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беседах и встречах обсуждались также вопросы, связанные с заграничной командировкой отдельных членов организации (СОЛОВОВ, КРАПИВИН, КАША-КАШВИЛИ и проф. СОКОЛОВ за время 1926-1928 года были заграницей). СОЛОВОВ был в командировке в Харбин[е] с целью привести оттуда инженеров и техников, которые после колчаковщины осели в Маньчжурии. СОЛОВОВ после возвращения в 1927 г. сообщил, что он беседовал с работниками, служившими раньше на Урале (ГАВРИЛОВЫМ, управляющим В[ерх]-Исетским заводом, ВЕРТЯЧИХ, инженером Лыс[ь]венского округа, инж. БОСТРЕМОМ, горным начальником Златоустовского округа, при Колчаке - министр торговли и промышленности). СОЛОВОВ рассказывал, что никто из инженеров не верит в долгое существование Советской власти и считает, что программа нового строительства является сплошной глупостью. СОЛОВОВ никого не привез из крупных работников. С БОСТРЕМОМ он сговорился, что БОСТРЕМ сначала приедет на Урал ознакомиться и после этого решит, возвратится он или нет на Урал. БОСТРЕМ вскоре приехал на Урал, пробыл целый месяц, командировки его оплатили из советских средств, объехал он многие округа Урала и затем уехал, сказав, что подумает. Из Харбина прислал письмо в Уралсовнархоз и СОЛОВОВУ, что он не приедет на Урал. М. А. СОЛОВОВ рассказывал, что он вращался в Харбине в промышленных кругах (лесопромышленник крупный КОВАЛЬСКИЙ, с которым он связан родственными связями) и что настроение в этих кругах такое, что все считают Соввласть непрочной, экономическое положение СССР безнадежным.</w:t>
      </w:r>
    </w:p>
    <w:p w14:paraId="28BE7C34"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Инженер КАША-КАШВИЛИ был в 1926 году в командировке в Германии, цель командировки размещение заказов Урала в Германии за счет немецкого кредита (300 мил. марок). КАША-КАШВИЛИ работал вместе с представителями центра и Юга (ХРЕННИКОВ, СВИЦЫН, ГОГОЦКИЙ) и по возвращении рассказал, что обстановка размещения заказов происходила не только неорганизованно, но и хаотически. Берлинское Торгпредство не было подготовлено к этой операции, фирм не знал[о] и относилось к делу не только несерьезно, но и вредительски. Нелепые спецификации, которые давались отдельными заводами[,] никем не анализировались и не увязывались и получались такие трюки, что заказывался и получался заводом станок для металлообработки, который по свои габаритам не мог поместиться в мастерской (этот пример касается Златоуста, куда инж. ФИДЛЕРОМ он был выписан). Инж. КАША- КАШВИЛИ рассказывал, что тон всей этой работы задавал в Германии С. А. ХРЕННИКОВ, который говорил ему и остальным членам комиссии, что все равно ничего не выйдет из затеянной кредитной операции, когда придет время оплачивать заказы, денег все равно у Советской власти не будет. Инж. КАША-КАШВИЛИ рассказывал в отдельных беседах в то же время, что комиссия[,] посещая заводы, а также в Берлине проводила очень весело время, ежедневно собираясь в ресторанах и вела беседы о положении советской власти в смысле ее непрочности. С. А. ХРЕННИКОВ в 1927 году в Москве мне рассказывал, что группа по размещению заказов в Берлине занималась делом совершенно несерьезно и фирмы большей частью выбирались непервоклассные с целью получить оборудование, которое не будет соответствовать своему назначению.</w:t>
      </w:r>
    </w:p>
    <w:p w14:paraId="2EAF92AF"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 КРАПИВИН, бывший заграницей с января по июль 1928 г., рассказывал, что он был в Германии с целью ознакомиться с металлургической и металлообрабатывающей промышленностью. КРАПИВИН в конце 1928 года в Свердловске, а также в Ленинграде в декабре 1928 г., где он был на техническом совете Гипромеза, рассказывал мне, что он виделся в Берлине с прежним владельцем (назвав Председателя правления Н[ижне]-Тагильских заводов РАТЬКОВА-РОЖНОВА), который интересовался положением Н[ижне]-Тагильского округа, новым строительством, которое намечено на заводах прежнего округа. КРАПИВИН, как он мне передал, рассказывал РАТЬКОВУ-РОЖНОВУ, что он, КРАПИВИН, проводит большое строительство на Н[ижне]-Салдинском заводе с целью, чтобы этот завод после падения Советской власти перешел к старым владельцам хорошо оборудованным. РАТЬКОВ-РОЖНОВ, как передавал КРАПИВИН, рассказывал ему, что бывшие владельцы надеются на скорое падение Советской власти, что будет интервенция. Для согласования действий существует, как говорил В. П. КРАПИВИН, в Париже организация, именуемая Парижским центром, куда входят бывшие крупные промышленники (НОБЕЛЬ, РЯБУШИНСКИЙ и др.).</w:t>
      </w:r>
    </w:p>
    <w:p w14:paraId="209B1B78"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Проф. И. А. СОКОЛОВ, который был в Германии, рассказывал по возвращении из командировки, что в Германии научные работы поставлены хорошо, жизнь высшей школы течет нормально, не так, как у нас в СССР. Проф. СОКОЛОВ рассказал, что профессура Германии не верит в наш строй и ожидает скорого падения Советской власти. В беседах и встречах контр-революционной группы обсуждались вопросы возможной интервенции, причем считали все, что без интервенции не может быть перехода к новому строю, который все мыслили[,] будет демократической республикой, каковая появится в результате решения Учредительного собрания.</w:t>
      </w:r>
    </w:p>
    <w:p w14:paraId="7979808A"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Участники группы обсуждали вопросы о предприятиях прежних владельцев, причем высказывалось мнение, чтобы предприятия были приведены в наиболее работоспособное состояние, обращая внимание на быстрое расширение их с затратой средств большей, чем на предприятия, принадлежавшие ранее казне.</w:t>
      </w:r>
    </w:p>
    <w:p w14:paraId="454525F1"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Контр-революционная группа, получившая оформление в 1927 году, не имела, как я сказал, регулярных или общих собраний, пользовались члены каждым случаем, чтобы поделиться сообщениями и обсудить различные вопросы. Во главе организации стояли: я, инж. СОЛОВОВ и инж. КРАПИВИН. У каждого члена организации была особая отрасль работы и своя связь с центральными организациями.</w:t>
      </w:r>
    </w:p>
    <w:p w14:paraId="08CD797A"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 меня было сначала проектирование Уральских новых заводов, затем строительство Магнитогорского завода.</w:t>
      </w:r>
    </w:p>
    <w:p w14:paraId="4DB9F883"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 своей связи по этой линии я выше делал показания. При образовании контр-рев[олюционной] группы Уральской, в Уралгипромезе в 1927 году, образовалась самостоятельная контр-рев. группа, в которую вошли, кроме меня, инж. Н. В. СОКОЛОВ (помощник главного инженера), Б.[П]. БОГОЛЮБОВ (зав. горным отделом), </w:t>
      </w:r>
      <w:r w:rsidRPr="005E779E">
        <w:rPr>
          <w:rFonts w:ascii="Times New Roman" w:hAnsi="Times New Roman"/>
          <w:color w:val="000000" w:themeColor="text1"/>
          <w:sz w:val="16"/>
          <w:szCs w:val="16"/>
        </w:rPr>
        <w:lastRenderedPageBreak/>
        <w:t>В. В. ВОРОБЬЕВ (зав. металлургическим отделом), Н. Н. ШАДРИН (зав. прокатным п/отделом), Ф. Ф. ЭЙХЕ (зав. машиностроительным отделом), В. Ф. ФИДЛЕР (глав[ный] инж. Уральского Машиностроительного завода, в 1927 г. он занимался проектированием завода), Л. Н. ФОЛЬВАРКОВ, зав. энергетическим отделом, В. Н. ВОЛКОВ, зав. проектированием заводов цветной металлургии и впоследствии в начале 1928 г. Г. Г. ГЕРШЕЛЬМАН, зав. огнеупорным отделом.</w:t>
      </w:r>
    </w:p>
    <w:p w14:paraId="727FA675"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Вся эта группа обсуждала все вопросы со мной, а в мое отсутствие - с инж. Н. В. СОКОЛОВЫМ. В задачи группы входило, согласно директив, получаемых из центра, проводить вредительскую линию в области проектирования: задерживать и тормозить таковое, исполнять все ненужные и вредные распоряжения, касающиеся проектировки заводов, оттягивая и нанося этим вред будущему строительству. Исполнялись не только устные распоряжения, которые получали члены группы при посещении Главчермета (ХРЕННИКОВА, ЖДАНОВА, ДОБРОВОЛЬСКОГО, МИЛЮКОВА и КУТСКОГО) и Гипромеза (БЕЛОНОЖКИНА, БАЧ- МАНОВА, ЛИПИНА, ЛЕБЕДЕВА), но также и указания, которые давались приезжавшими на Урал БАЧМАНОВЫМ, ЛИПИНЫМ, ЛЕБЕДЕВЫМ, БЕЛОНОЖКИНЫМ, ДОБРОВОЛЬСКИМ.</w:t>
      </w:r>
    </w:p>
    <w:p w14:paraId="2621D3C9"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Аппарат Уралгипромеза сколачивался кое-как, работники приглашались без учета квалификации. В 1927 году в Уралгипромезе находились в работе проекты Магнитогорского завода, Уральского машиностроительного, вариант Н[ижне]-Тагильского вагоностроительного, Богомоловский медеплавильный (пиритный вариант) и различные проекты. Проектирование заводов производилось, как я уже указал, несоответствующими своему назначению работниками.</w:t>
      </w:r>
    </w:p>
    <w:p w14:paraId="7AC69477"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Работы по всем проектам частью исполнялись студентами, которые делали различные учебные варианты, затягивая окончание проектов. Все участники Уралгипромезовской группы строили свою работу с таким расчетом, что директивы центра (С. А. ХРЕННИКОВА) выполнялись. В итоге такой работы проекты Машиностроительного завода на Урале и Магнитогорске могли быть внесены в Технический Совет Гипромеза только в 1928 году (первый в мае и второй в декабре). Вопрос о задержках и вредительских актах по отношению к каждому заводу будет освещен в дальнейшем. В декабре 1928 года проект Магнитогорского завода был одобрен техническим советом Гипромеза, 15 января 192[9] г. СНК СССР заслушал доклад о Магнитострое[,] и 1 марта 1929 г. назначается управление Магнитостроя, главным инженером утверждаюсь я. Встает вопрос о сколачивании аппарата. Первая группа аппарата образуется из работников Уралгипромеза, которые работали над Магнитогорским проектом: Н. В. СОКОЛОВ, В. В. ВОРОБЬЕВ, Н. Н. ШАДРИН, Б. П. БОГОЛЮБОВ, Л. И. ФОЛЬВАРКОВ, Г. Г. ГЕРШЕЛЬМАН, вся эта шестерка участвовала во вредительской группе Уралгипромеза, зная все директивы центра о задержке проектирования и строительства новых заводов. Еще до официального утверждения Магнитостроя 5-10 февраля 1929 года было у меня в кабинете в Уралгипромезе первое совещание по Магнитострою, где ставились организационные вопросы. Все присутствующие (Н. В. СОКОЛОВ, ВОРОБЬЕВ, ШАДРИН, БОГОЛЮБОВ, ФОЛЬВАРКОВ и ГЕРШЕЛЬМАН), заслушав мое сообщение о решении правительства пустить первые доменные печи к 1 октября 1931 года[,] заявили, что в этот срок они абсолютно не верят. Говорили о том, что никто заграничных крупных заводов (за последнее время) не видел и что необходимо устроить каждому крупному работнику заграничную командировку. Мной сообщено было на совещании, что в середине января 1929 г. я имел разговор в Москве с С. А. ХРЕННИКОВЫМ (после одобрения Магнитогорского проекта СНК СССР), где он снова давал директивы задерживать строительство с целью отодвинуть пуск крупного металлургического завода, внося диспропорцию в советском хозяйстве в смысле металла.</w:t>
      </w:r>
    </w:p>
    <w:p w14:paraId="2F3AA041"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совещании 5-10 февраля обсуждался вопрос организационный и было решено ввиду громадности дела децентрализовать управление, чтобы каждый отдел работал самостоятельно и только принципиально важные вопросы обсуждались с главным инженером. На этом же совещании решено было послать на место строительства Б.[П]. БОГОЛЮБОВА и Г. Г. ГЕРШЕЛЬМАНА с целью рекогносцировки в смысле заготовки строительных материалов. БОГОЛЮБОВ и ГЕРШЕЛЬМАН объехали район и сделали установку в смысле строительных материалов явно вредительскую. ГЕРШЕЛЬМАН базировался на местных организациях и наметил перестройку кирпичного завода в &lt;селе&gt; Чернигове (за 50 км от Магнитной), которую начал осуществлять П[од]/Отдел Троицкого Окрисполкома. ГЕРШЕЛЬМАН знал, что из этой операции ничего не выйдет и делал это с целью затянуть постройку. БОГОЛЮБОВ то же самое проводил с заготовкой песка и леса (последний из Башкирии), зная заранее, что лес получить невозможно, ввиду наступления весенней распутицы, в будущем же с проведением железной дороги гужевая доставка будет нерентабельна.</w:t>
      </w:r>
    </w:p>
    <w:p w14:paraId="77229D60"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совещании было решено подбирать штат, причем дана была директива, чтобы каждый по своему отделу самостоятельно комплектовал свой отдел. Это совещание, еще раз повторяю, проходило при полном неверии в осуществление Магнитогорского строительства в поставленные Правительством сроки, особенно учитывая неимение рабочего проекта и те директивы, которые дает центр (С. А. ХРЕННИКОВ) и ту позицию, которую занимает Госплан (КАЛИННИКОВ) в смысле затягивания в решении вопросов о снабжении углем Магнитогорского завода (развитие Кузнецкого бассейна и переустройство Сибирской жел. дороги для провоза Магнитогорских грузов).</w:t>
      </w:r>
    </w:p>
    <w:p w14:paraId="05FC5BD2" w14:textId="36CBDB21"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Относительно госплановской политики мне в январе 1929 года в Москве говорил С. А. ХРЕННИКОВ, что с целью задержать строительство Госплан (промышленная и транспортная секции) тормозит постановку указанных выше вопросов. В начале марта 1929 г. я был в Москве в Главчермете, где решались вопросы об отпуске средств на текущий год и вопрос организации управления строительством. С. А. ХРЕННИКОВ в Главчермете (2-3 марта 1929 г.) говорил мне, что НКПС ветку Карталы -</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Магнитная в этом году не построит, что только одни разговоры, что ветка будет готова к августу, следовательно, строительный сезон будет сорван. С. А. ХРЕННИКОВ в смысле отпуска средств проводил линию задержки кредитов, сокращая наши наметки. Организационную схему управления строительством С. А. ХРЕННИКОВ не хотел не только утверждать, но и рассматривать. В этот же мой мартовский (в 1929 г.) приезд С. А. ХРЕННИКОВ рассказал мне о крупной перемене пятилетней программы металлопромышленности (с 10 мил. тонн чугуна в 1932/33 г. до 16,7 мил. тонн). С. А. ХРЕННИКОВ сказал, что он не верит в новую установку, но официально стоит за нее, говоря, что «лучше стоять за 16,7 мил., чем сидеть за 10 милл.» В этот же приезд (последняя моя встреча с С. А. ХРЕННИКОВЫМ, который в мае 1929 г. был арестован) ХРЕННИКОВ говорил мне, что Магнитострою в смысле срыва строительства «везет», так как поставлен вопрос о крупном увеличении здания для рудника и завода в связи с увеличенной программой пятилетки.</w:t>
      </w:r>
    </w:p>
    <w:p w14:paraId="3D5B4927"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Изменение задания в период уже начатых работ спутает все карты, а это на руку вредительским организациям, которые поставили целью задержку в строительстве новых металлургических заводов.</w:t>
      </w:r>
    </w:p>
    <w:p w14:paraId="72122A0B"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Шестерка, о которой я говорил выше и которая составляла сработавшуюся вредительскую группу в Уралгипромезе, при переходе в Магнитострой явилась вредительской группой. По должностям лица распределялись: Н. В. СОКОЛОВ помощник главн[ого] инженера по общетехническим вопросам (у него же отдел заказов - импортных и внутренних), В. В. ВОРОБЬЕВ зав. мартеновским и бессемеровским отделом, Н. Н. ШАДРИН зав. прокатным отделом, Г. Г. ГЕРШЕЛЬМАН [—] отд. силикатных производств (краснокирпичного, шамотного и динасового) и Л. И. ФОЛЬВАРКОВ - энергетическим отделом. Заведующего строительным отделом (помощника главного инженера по строительной части) в управлении не было. По рекомендации Н. В. СОКОЛОВА и В. В. ВОРОБЬЕВА я обратился в Госпроект ВСНХ РСФСР к инженеру Д. П. ЗНАМЕНСКОМУ, который раньше работал в качестве строителя (до революции 1917 г.) в Надеждинском заводе вместе с СОКОЛОВЫМ и ВОРОБЬЕВЫМ. Инженер ЗНАМЕНСКИЙ дал принципиальное согласие, но тянул свой переход с марта 1929 года до моего отъезда заграницу в феврале 1930 г.</w:t>
      </w:r>
    </w:p>
    <w:p w14:paraId="3DE3CFC6"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 меня с инж. ЗНАМЕНСКИМ, который для ознакомления приезжал на площадку, было несколько бесед и в связи с переходом на Магнитострой и по вопросам проектирования городских зданий для Магнитогорска. Инж. ЗНАМЕНСКИЙ при встречах со мной в сентябре, ноябре 1929 г. и в январе 1930 г. высказывал мнение, что он не верит в темпы Магнитостроя, в постановку вопроса постройки чисто социалистического города на Магнитострое; ЗНАМЕНСКИЙ мне говорил, что этот вопрос поставлен с целью срыва строительства.</w:t>
      </w:r>
    </w:p>
    <w:p w14:paraId="67A6A86F"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Инж. ЗНАМЕНСКИЙ с начала переговоров с ним (март 1929 г.) говорил мне в Москве, что на пост главного строителя Магнитостроя подойдет главн[ый] инженер Госпроекта Э. Г. РОЗЕНБЕРГ, с которым ЗНАМЕНСКИЙ меня и познакомил. Э. Г. РОЗЕНБЕРГ был главн[ым] строителем Нижегородской электростанции и затем в комиссии тов. ЛОБОВА был в 1928 г. в Америке.</w:t>
      </w:r>
    </w:p>
    <w:p w14:paraId="7F988B6D"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РОЗЕНБЕРГ согласился поступить на Магнитострой, но долго оттягивал свой приезд и приехал на площадку только в июне 1929 г.</w:t>
      </w:r>
    </w:p>
    <w:p w14:paraId="1A29E463"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РОЗЕНБЕРГ по ознакомлении с программой и сроками работ имел со мной беседу в июне 1929 г. на строительстве, где он высказал свое политическое кредо, которое заключалось в том, что он не признает Советской власти, является ее противником, считает, что Советская власть недолговечна, особенно после той коллективизации, которая проводится в настоящее время. Будет голод, говорит РОЗЕНБЕРГ, который решит все. РОЗЕНБЕРГ говорил мне, что такие гиганты, как Магнитогорский комбинат, Советской власти совершенно не под силу, ничего не выйдет из этого дела. Я ознакомил Э. Г. РОЗЕНБЕРГА с вредительской группой, которая работает на строительстве; РОЗЕНБЕРГ сказал мне, что такие группы, составленные из сработавшихся старых работников, проникнутые полным неверием в начинания Советской власти, работают везде - в учреждениях и на строительствах. Вся работа таких групп сводится в лучшем случае к казенному отношению к делу, а при нем, конечно, немыслимо никакое новое строительство, которое требует, как говорил РОЗЕНБЕРГ, энтузиазма. РОЗЕНБЕРГ в дальнейшем проявил на строительстве себя в полной мере: составлял строительные графики, явно преуменьшенные, без всякого учета в смысле подготовки к строительству, подбирал штат также неработоспособный и исповедующий его идеологию (инж. ОБОЛЕНСКИЙ, инж. КРЮКОВ, инж. СУПРУНЕНКО). У инж. РОЗЕНБЕРГА иногда и открыто вырывались фразы, указывающие на неприязнь к Советской власти (в вагоне, когда он ехал вместе с инж. СУПРУНЕНКО из Свердловска в Троицк, РОЗЕНБЕРГ сделал сравнение агентов ГПУ с стражниками царского времени). Ехавший представитель ПП О ГПУ на Урале хотел его в Троицке арестовать в мае 1929 г.</w:t>
      </w:r>
    </w:p>
    <w:p w14:paraId="542B7352"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Вернусь немного назад. В апреле месяце 1929 г. инженеры Н. В. СОКОЛОВ и В. В. ВОРОБЬЕВ были распоряжением ПП ОГПУ на Урале арестованы и затем приговорены на 5 лет с обязательством работать на Магнитострое. Инженера Н. В. СОКОЛОВА, естественно, нельзя было оставлять помощником главн[ого] инженера. Я стал подыскивать себе заместителя (он же - главный металлург) и повел переговоры с инж. С. И. АНИТОВЫМ.</w:t>
      </w:r>
    </w:p>
    <w:p w14:paraId="21F3E3F6"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 И. АНИТОВ, работая в 1927 и 1928 г. в Уралцветмете техническим директором, имел связь с Уралгипромезом, где горным отделом (Б. П. БОГОЛЮБОВЫМ) изготовлялись проекты рудников для Урал" цветмета. С. И. АНИТОВ часто заходил ко мне и беседовал со мной на политические и современные темы. С. И. АНИТОВ знал, как он мне говорил, о московских настроениях, знал, что существуют отраслевые группы вредительского характера. С. И. АНИТОВ был в хороших отношениях </w:t>
      </w:r>
      <w:r w:rsidRPr="005E779E">
        <w:rPr>
          <w:rFonts w:ascii="Times New Roman" w:hAnsi="Times New Roman"/>
          <w:color w:val="000000" w:themeColor="text1"/>
          <w:sz w:val="16"/>
          <w:szCs w:val="16"/>
        </w:rPr>
        <w:lastRenderedPageBreak/>
        <w:t>с В. П. КРАПИВИНЫМ, часто у него бывал; АНИТОВ (приблизительно в конце 1927 или начале 1928 г.) рассказал мне, что он также получает директивы снижать выработку меди на Урале, давая преуменьшенные программы. С. И. АНИТОВА я познакомил с контр-револ. группой в Уралгипромезе, он был хорошо знаком со всеми участниками. С. И. АНИТОВ в беседах со мной в 1928 году говорил, что в новое строительство (в установленные темпы) он не верит, считая индустриализацию делом несерьезным. С. И. АНИТОВ считал, что установка партии на коллективизацию сельского хозяйства ведет к голоду, затем к анархии, что эта политика приблизит смену режима Советской власти на демократическую республику в России.</w:t>
      </w:r>
    </w:p>
    <w:p w14:paraId="247D1FAC"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И. АНИТОВ поступил моим заместителем (он же главный металлург) в мае 1929 года. Как я выше показывал, С. И. АНИТОВ хорошо знал состав контр-револ. группы в управлении Магнитостроя, быстро войдя в контакт с ней. С. И. АНИТОВ во время моего отсутствия (частых отъездов) заменял меня. В июне 1929 г. ознакомившись с работой и посетив место строительства на Магнитной С. И. АНИТОВ, докладывая мне о положении дела, дал следующую характеристику работ: по горной части у Б. П. БОГОЛЮБОВА штат в управлении заполнен работниками (начиная с инж. ДЕМИДОВА - помощник БОГОЛЮБОВА) чисто искусственно, многие ничего не понимают в горном деле, проектировка идет слабо, составляют различные варианты, никому не нужные. На месте работ на Магнитной разведки ведутся безобразно медленно, затягивает их Уралгортрест и персонально технический директор треста инж. П. А. ГИРБАСОВ, участник контр-революционной Уральской группы. БОГОЛЮБОВ, как докладывал мне С. И. АНИТОВ, до июня месяца не знает, какая будет система горных работ на Магнитной, в смысле обогащения, т. е. какие участки и в какой последовательности будут разрабатываться. АНИТОВ сказал мне (в июне 1929 г.), что разведки на известняки, белые глины, марганцевую руду не производятся. В смысле положения с проектированием металлургических цехов идет неразбериха, почти вся работа делается впустую, как говорил С. И. АНИТОВ [;] по доменному делу вопрос с тоннажем печи все еще не разрешен Гипромезом, по Мартену В. В. ВОРОБЬЕВ продолжает вести волынку, не желая принять американскую систему расположения мартеновского цеха, чем задерживает проектирование. По прокатному цеху Н. Н. ШАДРИН, по словам С. И. АНИТОВА, делает различные варианты, никому ненужные, студенческого типа подсчеты. Характеризуя работу Н. В. СОКОЛОВА (особенно по импортным заявкам), С. И. АНИТОВ говорил мне, что здесь проводится линия вредительства, в некоторых спецификациях дважды были указаны одни и те же предметы (автомобильный транспорт).</w:t>
      </w:r>
    </w:p>
    <w:p w14:paraId="6F34D203"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 ГЕРШЕЛЬМАНА работа по составлению проектов и по подготовке к строительству исполняется, по словам С. И. АНИТОВА, чрезвычайно слабыми силами, с крупными ошибками. Потребность в кирпиче строительным отделом дается неверная.</w:t>
      </w:r>
    </w:p>
    <w:p w14:paraId="5869B6B3"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энергетическом отделе у Л. И. ФОЛЬВАРКОВА весь штат занимается составлением в разных вариантах теплового баланса. Л. И. ФОЛЬВАРКОВ, по словам С. И. АНИТОВА, только брюзжит, но до сих пор (до июня) не желает вести подготовительную работу к строительству временной электростанции и к заказам для нее.</w:t>
      </w:r>
    </w:p>
    <w:p w14:paraId="6A92C35F"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месте работ в смысле строительства до июля месяца 1929 г., времени открытия жел. дороги Карталы - Магнитная[,] почти ничего не было сделано, так как не было подвоза строительных материалов. Заготовка строительного камня была отдана Уралгортресту, который искусственно задерживал как добычу, так и доставку камня к месту работ[;] этими работами в тресте руководил и бывал на месте работ технический директор Уралгортреста П. А. ГИРБАСОВ, участник контр-рев. организации на Урале. С конца мая, начала июня начинается вплоть до моего отъезда заграницу поход со стороны центра против строительства Магнитогорского завода, котороес заключалось, во-первых, в постоянном изменении ассигнований на строительство, что срывало намеченные программы, во-вторых, систематическое затягивание вопроса о постройке тукового комбината при Магнитогорском заводе, в-третьих, в течение 1/2 года (с августа 1929 г. по февраль 1930 г.) изменялось производственное задание для завода и, в-четвертых, задержка в проектировании и строительстве города (какого типа должен быть город).</w:t>
      </w:r>
    </w:p>
    <w:p w14:paraId="1B5E0541"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Размеры отпуска средств на строительство на 1929 г. все время менялись. Бывало так (в июле), что в течение месяца давали три разных цифры ассигнований. С. Д. АСВАДУРОВ, который работал в московской конторе Магнитостроя, говорил мне, что такую политику, ведущую к неразберихе, постоянной переделке промфинпланов и срыву строительства, проводят все, причем в июле 1929 г. в Москве говорил мне, что после ареста ХРЕННИКОВА в мае в Главчермете обращаться по этому вопросу бесполезно, что П. И. ЕГОРОВ (заведующий металлургическим отделом) говорил ему, АСВАДУРОВУ, что он не принимает никакого участия в этом деле. АСВАДУРОВ тогда же мне сообщил, что к этому вопросу имеет отношение инж. ЮШКОВ в Главчермете, который ведает экономикой новых металлургических заводов и имеет большое влияние на распределение ассигнований на строительства. В ПЗУ ВСНХ, которое делает разбивку средств, АСВАДУРОВ в июле 1929 г. в Москве говорил мне, что этим делом ведает БЕЛОЦЕРКОВСКИЙ, от которого зависит распределение ассигнований.</w:t>
      </w:r>
    </w:p>
    <w:p w14:paraId="00FC5E1E"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 1929 г. мне пришлось встретиться в ВСНХ с ЮШКОВЫМ и БЕЛОЦЕРКОВСКИМ, причем этой встрече предшествовали следующие обстоятельства.</w:t>
      </w:r>
    </w:p>
    <w:p w14:paraId="6CB34DA8"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утверждения Магнитогорского проекта в техническом совете Гипромеза (декабрь 1928 г.) и одобрения его Правлением Главчермета (28-29 декабря 1928 г.) был поставлен вопрос о деталировке некоторых экономических коэффициентов строительства, а также о распределении средств по годам постройки. Подбором всех этих материалов занимался инж. В. В. ВОРОБЬЕВ, зав. металлургическим отделом Уралгипромеза в то время, затем зав. мартеновским и бессемеровским производством Магнитостроя. В Уральском представительстве экономистом работал в то время ЭВЕНЧИК, который был связан и с экономическими отделами и отдельными экономистами ВСНХ (ГИНЗБУРГОМ, БЕЛОЦЕРКОВСКИМ, ЮШКОВЫМ). ЭВЕНЧИК, который тогда же принимал участие в составлении краткой экономической записки для СНК СССР, рекомендовал ВОРОБЬЕВУ обратиться к БЕЛОЦЕРКОВСКОМУ и ЮШКОВУ для подработки экономических вопросов Магнитогорского завода. ЭВЕНЧИК сначала работал в Уралплане, откуда перешел экономистом в представительство Уралобласти в Москве. ЭВЕНЧИК в разговорах со мной в Москве (в декабре 1928 г., в январе и марте 1930 г.) говорил мне, что экономисты, и в том числе и он, не верят в темпы индустриализации СССР, средств не хватит для осуществления строительной программы, что все экономические выводы покоятся на предпосылках несерьезных, что статистические данные, которыми оперируют экономисты, дутые.</w:t>
      </w:r>
    </w:p>
    <w:p w14:paraId="35B71F0B"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В. ВОРОБЬЕВ, ЭВЕНЧИК и я встретились в ВСНХ (2-5 января 1929 г.) с БЕЛОЦЕРКОВСКИМ и ЮШКОВЫМ, где договорились о составлении записки о распределении средств по годам постройки Магнитогорского завода. БЕЛОЦЕРКОВСКИЙ говорил тогда, что вопрос этот будет подработан в таком порядке, чтобы обеспечить строительство необходимыми средствами, но добавлял, что все это не имеет никакого серьезного значения, так как финансовая и материальная обстановка таковы, что все равно все строительство будет сорвано. Работу БЕЛОЦЕРКОВСКИЙ и ЮШКОВ сдали В. В. ВОРОБЬЕВУ, который уплатил им из средств Магнитостроя денежную сумму (размер я не помню, около 500 руб.).</w:t>
      </w:r>
    </w:p>
    <w:p w14:paraId="4D2EB57F"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АСВАДУРОВ в июле 1929 г. говорил мне в Москве, что в решении при ассигновании средств на новые заводы имеет большое значение инж. ЧЕРНОМОРДИК из Наркомфина. Инж. ЧЕРНОМОРДИКА я знал с 1923 года, встречал его при рассмотрении производственных программ в Главметалле, причем инж. ЧЕРНОМОРДИК всегда проводил линию, чтобы срезать средства по Уральским заводам. Инж. ЧЕРНОМОРДИК состоял членом технического совета Гипромеза (по экономической секции) и в разговорах со мной высказывал мнение, что программа нового строительства несерьезна, так как средства Наркомфина в высшей степени напряжены. В мае месяце или начале июня 1929 г. энергетик Магнитостроя Л. И. ФОЛЬВАРКОВ был в Москве с целью приглашения сотрудников в свой отдел. Возвратившись на Урал Л. И. ФОЛЬВАРКОВ в июне сообщил мне, что он в Энергострое узнал (от кого не сказал мне), что при новых металлургических заводах, в том числе и Магнитогорском, решено Главхимом ВСНХ построить крупные химические заводы, используя водород коксовальных установок, получать синтетический аммиак, чтобы в мирное время получать, как конечный продукт, туковые продукты для употребления, а во время военных действий — взрывчатые вещества. Л. И. ФОЛЬВАРКОВ тогда же сообщил мне, что этот вопрос совершенно меняет энергетический баланс завода, который надо пересчитывать заново, что эта установка потребует изменения проекта, в смысле электроэнергии, парового и водяного хозяйства и также потребует завоза в завод лишнего твердого минерального топлива. Л. И. ФОЛЬВАРКОВ рассказал мне, что этот вопрос скрывался в Главхиме и Главчермете, но кто участвовал в этом вредительстве персонально, он не знает. В июле 1929 г. при моем посещении Москвы вопрос этот ставился в техническом совете Главчермета под председательством Л. О. ТРАУТМАНА, где представители Главхима (фамилии представителей не помню) не сообщили окончательных технических данных, необходимых для проектирования в связи с постройкой тукового комбината при Магнитострое. Таким образом[,] проектирование электростанции в Энергострое и коксовых установок в Коксострое не могло продолжаться. В августе 1929 года Главхимом была прислана на Магнитную комиссия с целью выяснения различных вопросов, связанных с предполагаемым строительством тукового комбината. Комиссия и на месте строительства не могла дать никаких конкретных данных для проектирования водяного, парового и силового хозяйств Магнитогорского завода. Вопрос с постройкой тукового комбината до моего отъезда заграницу определенно разрешен не был.</w:t>
      </w:r>
    </w:p>
    <w:p w14:paraId="13F5B470"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Вопрос с изменением (увеличением) производственного задания для Магнитогорского комбината был поднят вскоре после утверждения проекта техническим советом Гипромеза. Установка, сделанная Гипромезом (В. Н. ЛИПИНЫМ), что доменные печи будут иметь производительность в 600 тонн, не выдержала критики; работники металлургии, побывавшие за последнее время заграницей, привезли конкретные данные, что в Германии, особенно в Америке, имеются доменные печи, дающие суточную выплавку в 1000 тонн. В. Н. ЛИПИН, упрямо отстаивая сначала задание в 450 т., затем в 600 т. соглашается повысить задание до 800 тонн, а вскоре (летом 1929 г.) в «Бюллетене Гипромеза» появляется его статья, трактующая о выплавке в 1000 тонн. В конце августа 1929 г. Магнитострой представил на утверждение Главчермета новую программу Магнитогорского комбината с выпуском 850 тысяч тонн чугуна (вместо прежней программы в 600 тысяч тонн). Как мне сообщил в сентябре 1929 г. в Москве С. Д. АСВАДУРОВ, привезенная Магнитостроем новая программа не принята, так как в Госплане (в промышленной секции) у КАЛИННИКОВА полная чехарда в смысле изменения заданий для новых металлургических заводов, что вся работа в Госплане построена в этом отношении на затягивании и срыве темпов строительства. В Главчермете никакой определенной установки не было, член Правления (по технической части) Л. О. ТРАУТМАН сказал мне, что вопрос увеличения задания для новых заводов передан в Гипромез в Ленинград. Разговор этот с Л. О. ТРАУТМАНОМ был в конце сентября или начале октября 1929 г. в Москве в Главчермете. Программу в 850 тыс. тонн Главчермет нашел недостаточной и дал директиву сделать вариант в 1 мил. 100 тыс. тонн выплавки чугуна. Весь аппарат Магнитостроя снова бросает всю нормальную работу и занимается новым вариантом; в разгар этой работы, совершенно ненужной, дается новое задание по выплавке чугуна — 1 мил. 800 тыс. тонн в год. Снова весь аппарат занимается составлением нового варианта[,] и работники управления (АНИТОВ, ВОРОБЬЕВ и ШАДРИН) везут новый проектный материал для рассмотрения и утверждения Гипромезом в Ленинграде. В конце рассмотрения, в ноябре 1929 г., я был в Гипромезе, где мне С. И. АНИТОВ, В. В. ВОРОБЬЕВ и Н. Н. ШАДРИН рассказали, что в Гипромезе как в металлургическом отделе, так и в других к </w:t>
      </w:r>
      <w:r w:rsidRPr="005E779E">
        <w:rPr>
          <w:rFonts w:ascii="Times New Roman" w:hAnsi="Times New Roman"/>
          <w:color w:val="000000" w:themeColor="text1"/>
          <w:sz w:val="16"/>
          <w:szCs w:val="16"/>
        </w:rPr>
        <w:lastRenderedPageBreak/>
        <w:t>новому варианту отнеслись совершенно несерьезно, заявляя, что этот гигантский вариант возможен только на бумаге. Некоторые отделы как строительный, машиностроительный и энергетический дали заключение, как мне сообщил С. И. АНИТОВ в Ленинграде, в ноябре 1929 г., совершенно не рассматривая проектных материалов по новому варианту. Из переговоров моих в Ленинграде в ноябре 1929 г. с отдельными работниками Гипромеза я выяснил следующее. В. Н. ЛИПИН говорил мне, что в Гипромезе полный развал, что все новые проекты, все новые варианты прорабатываются несерьезно, что общее положение (продовольственное и крупные аресты) таково, что в ближайшее время не только новые строительства, но и действующие заводы прекратят свою деятельность. На ту же тему и в таком же освещении говорил со мной Е. А. ЛЕБЕДЕВ, инж. ГРЕЙНЕР (зам. зав. машиностроит[ельным] отделом), проф. ВЕРЕЩАГИН (зав. энергетическим отделом), указывая, что дача новых заданий является лучшим вредительским средством для срыва строительств, особенно таких сложных предприятий, как новые металлургические заводы. В декабре 1929 г. Главчермет прекратил свою деятельность и образовалась Новосталь. Окончательного задания Магнитострою не давалось. Управлением в Свердловске был проработан вариант на 2,5 мил. тонн чугуна. В декабре в Новостали, говоря о варианте в 2,5 мил. тонн, указывали на необходимость в будущем предвидеть расширение завода до 4 милл. тонн. В Гипромезе, куда была направлена для рассмотрения наметка в 2,5 мил. тонн чугуна, с дальнейшим расширением до 4 мил. тонн[,] была передана на экспертизу американских инженеров (фирмы Фрейн), работающих в Гипромезе. 15-16 декабря я был в Ленинграде, где рассматривалась новая наметка варианта в 2,5 мил. тонн чугуна. В. Н. ЛИПИН тогда же указывал мне на несерьезность новой наметки и говорил, что американские инженеры относятся насмешливо к ней, указывая, что таких заводов нет даже в Америке, если не считать завода ГЕРИ, который строился постепенно в течение чуть ли не двух десятилетий.</w:t>
      </w:r>
    </w:p>
    <w:p w14:paraId="5417E45C"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Несмотря не такой отзыв В. Н. ЛИПИН все же дал заключение о возможности расположения на Магнитогорской площадке нового варианта; причем основные оси завода поворачиваются на 90° и от бывшего проекта ничего не остается. В январе 1930 г. окончательной установки в смысле производственного задания центр не сделал, что совершенно парализовало нормальную работу в смысле подготовительных работ для наступившего года (составление программы работ, заготовки материалов, рабочей силы и проч.). Работали вслепую: и аппарат в Свердловске и аппарат на месте строительства.</w:t>
      </w:r>
    </w:p>
    <w:p w14:paraId="33A075B0"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Перед отъездом за границу я имел (24 января 1930 г.) беседу с С. И. АНИТОВЫМ, где выяснена была сложившаяся обстановка на строительстве: твердого задания нет, нет также проекта, подготовительные работы проведены плохо и недостаточно для развертывания строительства, крупного и достаточно квалифицированного персонала на строительстве нет, уезжает начальник строительства, главный инженер, заграницей находится главный энергетик Л. И. ФОЛЬВАРКОВ и заведующий Горным отделом Б. П. БОГОЛЮБОВ.</w:t>
      </w:r>
    </w:p>
    <w:p w14:paraId="2DCFB9BB"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Вся эта обстановка в связи с ухудшающимся положением с продовольствием, материальным снабжением, денежными затруднениями повлечет срыв строительства Магнитогорского завода, такова была тема нашей последней беседы.</w:t>
      </w:r>
    </w:p>
    <w:p w14:paraId="1514F7C7"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 1930 г. приехал в Свердловск с места строительства инж. РОЗЕНБЕРГ, который рассказал, что на площадке идет хаотическая работа без плана, без проектов.</w:t>
      </w:r>
    </w:p>
    <w:p w14:paraId="607253A6"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 инж. РОЗЕНБЕРГ уехал в Москву, чтобы проталкивать проектирование отдельных городских зданий у Госпроекта.</w:t>
      </w:r>
    </w:p>
    <w:p w14:paraId="1CFFF6A7"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это время вопрос с постройкой города совершенно застопорился. Все понимали, что объявленный конкурс сплошная фикция, которая только затягивает строительство.</w:t>
      </w:r>
    </w:p>
    <w:p w14:paraId="22A61500"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Инж. ИВАНОВ (Госпроект ВСНХ РСФСР) был особенным сторонником объявления конкурса. С 1927 года связь со мной в смысле вредительства по линии проектирования и строительства Магнитогорского завода, как я уже выше показывал, имел С. А. ХРЕННИКОВ.</w:t>
      </w:r>
    </w:p>
    <w:p w14:paraId="58805A8B"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А. ХРЕННИКОВ в 1927 году в Москве сообщил мне, что в Главметалле существует вредительская группа в составе его, В. И. ЖДАНОВА, Н. М. КУТСКОГО, ВЕЛИКОРЕЦКОГО, ДОБРОВОЛЬСКОГО и МИЛЮКОВА. Вся эта группа не верит в Советскую власть и новое строительство, собирается, обсуждает вопросы на политические темы и поставила целью своей работы срывать новое строительство.</w:t>
      </w:r>
    </w:p>
    <w:p w14:paraId="4F1E7384"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Гипромезе, как рассказывал мне С. А. ХРЕННИКОВ, вредительская группа, связанная также полным неверием в советские начинания, имеет следующий состав: А. И. БЕЛОНОЖКИН, А. А. БАЧМАНОВ, В. Н. ЛИПИН, Д. И. ВЕРЕЩАГИН. В эту же группу входит Б. Н. ДОБРОВОЛЬСКИЙ и он, С. А. ХРЕННИКОВ для связи Гипромеза с Главметаллом. Гипромез, кроме приезда работников с Урала в Ленинград и Главметалл, кроме встреч в Москве, осуществлял вредительскую связь постоянными приездами на Урал[;] с 1926 по 1930 г. на Урал приезжали: БЕЛОНОЖКИН 2 раза, ЛИПИН 2 раза, ВЕРЕЩАГИН 1 раз, ВЕЛИКОРЕЦКИЙ 2 раза, ДОБРОВОЛЬСКИЙ и ЖДАНОВ по 1 разу.</w:t>
      </w:r>
    </w:p>
    <w:p w14:paraId="5E4273CE"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Немного истории Магнитогорского дела. Общество Белорецких заводов еще в начале настоящего столетия (в 1908-1909 г.) поставило вопрос постройки Магнитогорского завода, имея в виду связь Магнитной с общей сетью жел. дор. (через Уфу или Бердяуш Сам[аро]-Злат[оустовской] ж. д.). Предполагалось построить сравнительно небольшой завод с выплавкой около 10 милл. пуд[ов] чугуна на минеральном топливе. Были произведены изыскания проф. А. Н. ЗАВАРИЦКИМ, впоследствии напечатанные в трудах Геологического Комитета. Во время Европейской войны вопрос постройки завода на Магнитной снова всплыл, но остался неразрешенным. В 1918 г. на Магнитной вел магнитометрическую съемку проф. В. И. БАУМАН. В первый период Советской власти в 1919— 1920 году вопрос этот был поднят, конечно, не как задача сегодняшнего дня. Он ставился в связи с Урало-Кузнецким проектом. В 1924-25 году вопрос о постройке Магнитогорского завода ставится уже на практическую почву.</w:t>
      </w:r>
    </w:p>
    <w:p w14:paraId="36619268"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Резюмируя и суммируя вредительские действия, которые были проведены по Магнитогорскому заводу, укажу на следующее:</w:t>
      </w:r>
    </w:p>
    <w:p w14:paraId="583A8130"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1925 г. по 1927 г. вопрос с топливом для Магнитогорского завода находился в стадии дискуссии, которую поднял и все это время будировал И. И. ФЕДОРОВИЧ. В Сибири до революции существовало акционерное общество под названием «КОПИКУЗ», эксплоатирующее Кузнецкие каменноугольные копи и начавшее проектирование металлургического завода в Кузнецком районе. Управляющим «КО ПИКУ ЗА» был инж. И. И. ФЕДОРОВИЧ. Как мне сообщил в Москве в 1926 году С. А. ХРЕННИКОВ, И. И. ФЕДОРОВИЧ, соблюдая и защищая интересы старых владельцев, всеми силами противился тому, чтобы кузнецкий уголь в сыром виде отправлялся как для Урала, в целом, так и для Магнитной в частности.</w:t>
      </w:r>
    </w:p>
    <w:p w14:paraId="577AED5F"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Инж. ФЕДОРОВИЧЕМ приводились соображения и технического и экономического порядка, он считал, что в виде угля возить горючее нельзя, так как при долгом хранении уголь потеряет часть летучих &lt;веществ&gt;, необходимо уголь коксовать в Сибири и возить на Урал кокс.</w:t>
      </w:r>
    </w:p>
    <w:p w14:paraId="21F134AC"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Это меняло всю теплотехническую структуру завода. Составлялись разные записки, делались варианты, срывая ход проектирования.</w:t>
      </w:r>
    </w:p>
    <w:p w14:paraId="3D7E782F"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Ни Уралгипромез, ни Главметалл, ни экономический отдел Гипро- меза не ставили при начале проектирования Магнитогорского завода большого вопроса Урало-Сибирской проблемы. В Госплане (КАЛИННИКОВ и ФЕДОРОВИЧ) считали, что постановка этого вопроса при настоящей ситуации совершенно не нужна, она может быть поставлена только при капиталистическом строе. Главметалл (ХРЕННИКОВ и</w:t>
      </w:r>
    </w:p>
    <w:p w14:paraId="37D58AC7"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ЖДАНОВ) считали постройку Магнитогорского завода невозможной и ненужной, следовательно, бесцельно поднимать общий вопрос.</w:t>
      </w:r>
    </w:p>
    <w:p w14:paraId="1639B6C2"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БАЧМАНОВ (экономический отдел Гипромеза) считал, что проектирование завода затянется на несколько лет и к строительству при Советской власти приступить не придется. С. А. ХРЕННИКОВ, с целью создать разрыв в транспорте, не ставил и не настаивал перед НКПСом о составлении проекта усиления жел. дор[оги] (пропускной способности), учитывая Магнитогорские перевозки.</w:t>
      </w:r>
    </w:p>
    <w:p w14:paraId="3F24E860"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Также Гипромез и Главметалл в лице тех же работников до самого последнего времени не выработал типа большегрузного вагона для массовых перевозок заводских грузов (угля и руды). Этот вопрос до ноября 1930 г. решен не был и комиссия НКПС, ездившая летом прошлого года в Америку, как мне известно, не остановилась на типе вагона.</w:t>
      </w:r>
    </w:p>
    <w:p w14:paraId="05F371B0"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Вредительство в транспортном вопросе в Магнитогорском строительстве выразилось в следующем: по настоянию Уральских Областных организаций в 1927 году НКПС приступил к строительству Карталы- Магнитной жел. дор. ветки в 145 км. Работа продолжалась весь строительный сезон и, как мне говорили, около 60 % земляных работ было исполнено.</w:t>
      </w:r>
    </w:p>
    <w:p w14:paraId="675D1300"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Госплан (КАЛИННИКОВ) и Главметалл (ХРЕННИКОВ) с целью отсрочки начала строительства завода не просили НКПС включить ассигнование на 1928 г. на окончание ветки. Работу НКПС остановил и заготовленный материал (шпалы и рельсы) увез с места постройки. Часть земляного полотна была размыта в 1928 г. Эта операция жестко ударила строительство в 1929 год[у], когда СНК СССР в январе решил срочно приступить к строительству завода, а связи с общей сетью Магнитная не имела. Дорогу сомкнули только 1 июля 1929 года, т. е. потеряли половину строительного сезона. В 1928 году НКПС в лице инженера ТАУБЕ (путейца) поднял вопрос о варианте подхода жел. дор[оги] к заводской площадке. Как мне сообщил С. А. ХРЕННИКОВ, вопрос этот поднят с целью отсрочки постройки жел. дор[оги] к заводу.</w:t>
      </w:r>
    </w:p>
    <w:p w14:paraId="78AECB53"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Главметалл в лице С. А. ХРЕННИКОВА и инж. ВЕЛИКОРЕЦКОГО проводили вредительскую линию в смысле питания углем из Кузбасса Магнитогорского завода. Когда закончились споры, поднятые инж. ФЕДОРОВИЧЕМ, что возить [-] уголь или кокс, необходимо было ставить вопрос, какие угли должны пойти в Магнитогорский завод, особенно считаясь с качеством углей (содержание фосфора). Главгортоп и Сибуголь не давали определенных ответов. Этот вопрос не был увязан с первоначальной программой завода (650.000 т.), этот же вопрос оставался невыясненным и до октября прошлого года для новой программы в 2,5 мил. тонн, о чем мне сообщил инж. АНИТОВ (пом. главного] инж. Магнитостроя) в октябре 1930 г. в Москве.</w:t>
      </w:r>
    </w:p>
    <w:p w14:paraId="64BB37AB"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Беседы на эту тему в Госплане (с КАЛИННИКОВЫМ) и в Гипромезе (с БАЧМАНОВЫМ и инж. РУДНИКОВЫМ) кончались тем, что вопросами увязки угольного, как и рудного хозяйства никто заниматься не имеет желания с целью создать диспропорцию между отдельными отраслями промышленности.</w:t>
      </w:r>
    </w:p>
    <w:p w14:paraId="7D539986"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Рудный вопрос в Магнитогорском строительстве играет первостепенную роль[.] Вначале, как знаток месторождения[,] был приглашен для общего руководства разведками проф. А. Н. ЗАВАРИЦКИЙ, который заявил, что Геолкому отдавать эту работу не надо. А. Н. ЗАВАРИЦКИЙ отрицал новую организацию Геолкома, считая, что Геолком должен быть научным учреждением, а не разрешать практические вопросы промышленности. А. Н. ЗАВАРИЦКИЙ определенно высказывался, что Магнитогорское строительство при Советской власти не может быть осуществлено и торопиться с разведками не надо. Уралпроектбюро расчленило всю работу: по рекомендации ЗАВАРИЦКОГО, геодезические работы были отданы проф. Горн[ого] Института] КЕЛЛЮ, общая разведка и исследовательские работы </w:t>
      </w:r>
      <w:r w:rsidRPr="005E779E">
        <w:rPr>
          <w:rFonts w:ascii="Times New Roman" w:hAnsi="Times New Roman"/>
          <w:color w:val="000000" w:themeColor="text1"/>
          <w:sz w:val="16"/>
          <w:szCs w:val="16"/>
        </w:rPr>
        <w:lastRenderedPageBreak/>
        <w:t>Московскому Институту Прикладной Минералогии и Металлургии, алмазное бурение Уралгорконторе и впоследствии магнитометрическую съемку инж. КУЗНЕЦОВУ из Геолкома. Инст[итут] Прикладной Мин[ералогии] и Металл[ургии] работу развивал слабо, глубокое бурение велось также слабо. В итоге за 2 с лишним года, к 1928 г. работы не охватили месторождения и если дали некоторые данные о благонадежности месторождения (в смысле количества), то совершенно не осветили качество железных руд. Анализы были произведены наспех, небрежно и в итоге по фосфору получился целый ряд вранья.</w:t>
      </w:r>
    </w:p>
    <w:p w14:paraId="0B3593EE"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Возглавлял работу от Инст[итута] Прикл[адной] Мин[ералогии] и Металл[ургии] геолог ОРЛОВСКИЙ, от Уралгорконторы инж. ТОРБАСОВ. С 1927 г. в Уралгипромезе горным отделом начал заведовать инж. Б. П. БОГОЛЮБОВ, который далеко не являлся большим специалистом и, руководя проектом, больше плавал в вариантах. Б. П. БОГОЛЮБОВ близкий родственник проф. ЗАВАРИЦКОГО (сестра БОГОЛЮБОВА замужем за ЗАВАРИЦКИМ) и самостоятельно проводил все горные вопросы с ЗАВАРИЦКИМ.</w:t>
      </w:r>
    </w:p>
    <w:p w14:paraId="2178DAD1"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Устраивались совещания, в состав которых входили: БОГОЛЮБОВ, ЗАВАРИЦКИЙ, проф. ОРТИН (УПИ), проф. АНДРЕЕВ (Ленинградский Механобр). Приглашался для консультации проф. И. И. ТРУШКОВ (Горн[ый] Инст[итут] в Ленинграде), который высказывал мнение, что при Соввласти никакого Магнитогорского завода не построить. Вся эта группа профессоров, как сообщал мне Б. П. БОГОЛЮБОВ, настроена против начинаний Соввласти и никто не верит в намеченные темпы индустриализации. БОГОЛЮБОВ для определения схемы обогащения руд раздал работы Механобру и Уралмеханобру, работы институты затянули.</w:t>
      </w:r>
    </w:p>
    <w:p w14:paraId="346F5719"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Лабораторию на месте построили только временную деревянную, в которой до конца 1930 года почти никакой работы проделано не было. Заведовал горным делом инж. ДЕМИДОВ, так как БОГОЛЮБОВ уехал в октябре 1929 г. заграницу для консультации проекта с иностранными фирмами. БОГОЛЮБОВ не повез достаточного материала по обогащению заграницу и его консультации и работы с фирмой Мак-Ки в этом направлении не достигли никаких результатов.</w:t>
      </w:r>
    </w:p>
    <w:p w14:paraId="2E6D2563"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Я уже показал, что задание для Магнит[огорского] завода было дано совершенно произвольно, без учета потребности в металле других отраслей промышленности (В. И. ЖДАНОВЫМ). При развитии проектирования вопрос номенклатуры готовых изделий поднимался не один раз с целью затормозить работу. Вносились изменения в программу в смысле прокатки рельс инж. РУДНИКОВЫМ, дважды ставил вопрос Р. Я. ГАРТВАН о постановке листового стана в новом заводе.</w:t>
      </w:r>
    </w:p>
    <w:p w14:paraId="2C400F7F"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Госплановцы — КАЛИННИКОВ, ТАУБЕ, ГАРТВАН заявляли, что программа дана искусственная, не увязанная ни с заданиями проектируемых новых металлургических заводов, ни с потребностью новых металлообрабатывающих и машиностроительных заводов (ни по количеству, ни по качеству металла). На Урале этот вопрос также не получил никакой координации между новыми заводами и уже работающими.</w:t>
      </w:r>
    </w:p>
    <w:p w14:paraId="309F4E62"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Большая программа Магнитогорского завода (2,5 мил. т.) в смысле номенклатуры прокатных изделий до осени 1930 года не получила санкции. Ни Госплан, ни Востоко-Сталь не знают, какие сорта проката потребуются для металлического рынка. На запрос из Америки получена за подписью Л. О. ТРАУТМАНА телеграмма, чтобы в Америке определить номенклатуру проката. Когда разбирался проект в Техническом совете Гипромеза (в декабре 1928 г.) вопрос этот (программа проката) обсуждался с инж. Д. В. АЛЕКСАНДРОВЫМ (ВМС), с ГИНЗБУРГОМ (ВСНХ), которые заявили, что программа произвольная, так как все потребители металла, начиная с НКПСа дают дутые требования и ведут к тому, чтобы получился металлический голод.</w:t>
      </w:r>
    </w:p>
    <w:p w14:paraId="6A8ED7DF"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Изменение технических коэффициентов и нагрузки отдельных заводских агрегатов за время проектирования, с целью затормозить его, давалось неоднократно В. Н. ЛИПИНЫМ, Е. А. ЛЕБЕДЕВЫМ, М. А. ПАВЛОВЫМ, М. М. БЕРОМ.</w:t>
      </w:r>
    </w:p>
    <w:p w14:paraId="04FC70CA"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Проектируя заводы никто в первое время не знал объема и состава предварительного проекта. Каждый работал наобум. Затем Гипромез выпустил брошюру, указывающую объем и содержание предварительного] проекта. Брошюра была выпущена с целью задержать и внести неразбериху в проектировании. Требования были совершенно ненужные и даже невозможные при составлении предварительного проекта, когда неизвестны точно ни габариты, ни система отдельных установок. Многие требуемые детали могли быть выявлены только при окончательном проекте.</w:t>
      </w:r>
    </w:p>
    <w:p w14:paraId="637FA2A3"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Экономический отдел Гипромеза изыскивал всякие поводы, чтобы задержать проектирование. На места приезжали представители для собирания никчемных справок, давались указания, противоречащие прежним.</w:t>
      </w:r>
    </w:p>
    <w:p w14:paraId="328F3C54"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Строительный отдел давал, главным образом, красивые картинки (работали художники), но общих указаний, общих принципов не давал, в результате чего материал, привозимый с мест, являлся, своего рода, винегретом.</w:t>
      </w:r>
    </w:p>
    <w:p w14:paraId="3C0A38AF"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Машиностроительный отдел, как подсобный к металлургическому при проектировании подсобных мастерских на новых заводах, давал указания разноречивые с целью затормозить проектирование (механические цеха, кузнечные).</w:t>
      </w:r>
    </w:p>
    <w:p w14:paraId="6F2D6711"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Энергетический отдел предъявлял требования совершенно ненужные, затягивающие проектирование. Составлялись громадные тетради (целые тома) расчета проводов, характеристик устанавливаемых моторов и пр. Работа эта для предварительного проекта совершенно не нужна и превращала инженеров в простых технических счетоводов.</w:t>
      </w:r>
    </w:p>
    <w:p w14:paraId="3BD7DAAE"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Горного отдела, по существу, не было, и он ограничивал свою работу запросами.</w:t>
      </w:r>
    </w:p>
    <w:p w14:paraId="62ED2771"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 время проектирования Магнитогорского завода, в 1927 и 1928 г.г. с целью затянуть проектирование и отсрочить начало постройки поднята была дискуссия, где надо строить в первую очередь завод (на Урале или на Украине). Во главе этой кампании стоял проф. ДИМАНШТЕЙН, который написал и напечатал полтора десятка брошюр на эту тему и привлек к этому делу некоторых уральцев (технический директор Уралгортреста П. А. ГИРБАСОВ принял участие в этой работе). Как мне сообщал об этом в 1927 году в Москве С. А. ХРЕННИКОВ, вся эта затея была начата с благословения его, ХРЕННИКОВА. В октябре-декабре 1928 года против постройки завода на Магнитной была поднята кампания проф. ШАПОШНИКОВЫМ. Как мне тогда же говорил С. А. ХРЕННИКОВ, эта кампания также имела целью оттянуть утверждение Магнитогорского проекта.</w:t>
      </w:r>
    </w:p>
    <w:p w14:paraId="3F0EF8E9"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Постоянные изменения в производственных заданиях по Магнитогорскому комбинату (по заводу, руднику) в то время, когда строительство уже началось, вносили естественно полную неразбериху и вредительство в работу.</w:t>
      </w:r>
    </w:p>
    <w:p w14:paraId="3C6FDAD6"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 изменения, проходя через Гипромез, без всякого анализа, санкционировались его работниками, которые мне заявили в октябре-декабре 1929 года в Ленинграде, что это лучший способ спутать все начатые работы и сорвать строительство. Эту мысль высказывали мне В. Н. ЛИПИН, Е. А. ЛЕБЕДЕВ и инж. ТАТАРЧЕНКО. Консультация с инженерами фирмы ФРЕЙН, работавшими в Гипромезе, созванная</w:t>
      </w:r>
    </w:p>
    <w:p w14:paraId="2A2B1591"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 ЛИПИНЫМ, по вопросу увеличения производительности Магнитогорского завода до 2,5 и даже 4 милл. тонн выплавки чугуна имела несерьезный и поспешный характер, она являлась только формальностью, как мне ЛИПИН сказал 15 декабря 1929 г. в Гипромезе, в Ленинграде.</w:t>
      </w:r>
    </w:p>
    <w:p w14:paraId="51E71CA3"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Вопрос с постройкой города Магнитогорска был с августа-сентября 1929 года специально запутан и заторможен, чтобы сорвать строительство, внеся неразбериху в острый жилищный вопрос на месте постройки. В этом вредительстве приняли участие работники Госпроекта ВСНХ РСФСР: инженер ЗНАМЕНСКИЙ и инж. ИВАНОВ мне говорили в октябре, ноябре 1929 г. в Москве, что поднятый вопрос постройки чисто социалистического и даже коммунистического типа города есть лучшее средство сорвать темпы строительства. Проф. ЧЕРНЫШЕВ, который затягивал работу по составлению проекта Магнитогорска, передавал мне в Москве в декабре 1929 г., что объявленный конкурс на новый тип города не даст никаких результатов и это есть только проволочка времени и напрасная трата средств.</w:t>
      </w:r>
    </w:p>
    <w:p w14:paraId="2A428590"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составлении и проведении в жизнь конкурса принимали особенно живое участие инж. ИВАНОВ из Госпроекта и С. Д. АСВАДУРОВ, который в это время работал в Московском представительстве Магнитостроя и имел живую связь с работниками Госплана по вопросу о новом типе города (фамилии работников я не знаю).</w:t>
      </w:r>
    </w:p>
    <w:p w14:paraId="550AB1D0"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Проектирование рабочих чертежей тормозилось и Гипромезом (здание заводоуправления) и Госпроектом ВСНХ РСФСР (здание больницы, школ, хлебозавода), последний (инж. ИВАНОВ) целыми месяцами занимался только сборкой материалов для проектирования. Проектирование рабочих чертежей (строительных), связанных с подготовительным периодом строительства (кирпичных заводов, вспомогательных цехов) торм[о]зилось проектным отделом Магнитостроя.</w:t>
      </w:r>
    </w:p>
    <w:p w14:paraId="165463DD"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Вся организационная и подготовительная работа к строительству: состав и комплектование штата как управленческого аппарата, так и строительного, заготовка строительных материалов, отсутствие плана механизации работ, постройка жилых помещений для рабочих и служащих, постройка вспомогательных учреждений (кирпичные заводы, известковые печи) велась даже для малой программы в 650 тысяч тонн с целью затормозить темпы постройки комбината и принести вред Магнитогорскому строительству.</w:t>
      </w:r>
    </w:p>
    <w:p w14:paraId="3E87CCF5"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Сдача проектирования рабочих чертежей и руководства строительством американской фирме Мак-Ки не дала до момента моего ареста 4 ноября 1930 г. положительных результатов ни в проектировании, ни в руководстве.</w:t>
      </w:r>
    </w:p>
    <w:p w14:paraId="7ACEAB44"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Как видно из вышесказанного, строительство Магнитогорского завода с самого начала постановки этой проблемы было окружено и все время питалось полным неверием в осуществление этой грандиозной задачи и вредительскими директивами и действиями и проектировочных организаций (Гипромез, Уралгипромез, Госпроект ВСНХ РСФСР)[,] и управленческими органами (Главметалл, Главчермет, Новосталь)[,] и плановыми (Госплан) и, наконец, работой на месте строительства.</w:t>
      </w:r>
    </w:p>
    <w:p w14:paraId="658D4EDB"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Записано собственноручно инженер Вит[алий] Гассельблат</w:t>
      </w:r>
    </w:p>
    <w:p w14:paraId="79170AD6"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ДОПРОСИЛ: УПОЛНОМОЧЕННЫЙ 1 ОТДЕЛЕНИЯ] ЭКУ ОГПУ Майоров</w:t>
      </w:r>
    </w:p>
    <w:p w14:paraId="0407A76F" w14:textId="77777777" w:rsidR="00E10439" w:rsidRPr="005E779E" w:rsidRDefault="00E104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 356. Л. 65-109. Машинописный подлинник, подписи на Л. 109 — автографы. Эти и другие показания В. А. Гасселъблата (док. № 356-24) были направлены председателем ОШУ В. Р. Менжинским в ЦК ВКП(б) на имя И. В. Сталина 12 февраля 1931 г. вместе со «Справкой о ликвидированных контрреволюционных организациях на Урале» (док. № 356-26). Сопроводительная записка за подписью В. Р. Менжинского — см. док. №356-25 (18658).</w:t>
      </w:r>
    </w:p>
    <w:p w14:paraId="34AF122F" w14:textId="77777777" w:rsidR="00E10439" w:rsidRPr="005E779E" w:rsidRDefault="00E10439" w:rsidP="000B7A6C">
      <w:pPr>
        <w:spacing w:after="0" w:line="240" w:lineRule="auto"/>
        <w:jc w:val="both"/>
        <w:rPr>
          <w:rFonts w:ascii="Times New Roman" w:hAnsi="Times New Roman"/>
          <w:color w:val="000000" w:themeColor="text1"/>
          <w:sz w:val="16"/>
          <w:szCs w:val="16"/>
        </w:rPr>
      </w:pPr>
    </w:p>
    <w:p w14:paraId="3B596C24"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70967D76"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85816A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 января 1931 в Шанхае китайская полиция арестовала руководителей компартии Китая, собравшихся на секретную встречу (4962).</w:t>
      </w:r>
    </w:p>
    <w:p w14:paraId="46699EA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F8E115"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lastRenderedPageBreak/>
        <w:t>Авиапромышленность:</w:t>
      </w:r>
    </w:p>
    <w:p w14:paraId="52DFD019"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F3F37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января 1931 Ф.А.Цандер заключил первый договор с Пред. бюро воздушной техники Осоавиахима Я.Е.Афанасьевым на разработку ракетоплана (1528).</w:t>
      </w:r>
    </w:p>
    <w:p w14:paraId="673C7E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26E237D" w14:textId="77777777" w:rsidR="00EA061A" w:rsidRPr="005E779E" w:rsidRDefault="00EA061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января 1931 г. на 1Х с-езде ВЛКСМ нарком К.Е.Ворошилов заявил, что: «...воздушные силы мы начале заново строить и строям на основе достижений мировой техники, причем отроим со значительными успехами». Нарком призывал молодежь к овладению авиационными специальностями, на что съезд ответил принятием щефства над военно-воздушными силами.</w:t>
      </w:r>
    </w:p>
    <w:p w14:paraId="465438B1" w14:textId="77777777" w:rsidR="00EA061A" w:rsidRPr="005E779E" w:rsidRDefault="00EA061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/Ворошилов К.Е. Статьи и речи, 1936, стр. 461/ (23370).</w:t>
      </w:r>
    </w:p>
    <w:p w14:paraId="280FC6AD" w14:textId="77777777" w:rsidR="00EA061A" w:rsidRPr="005E779E" w:rsidRDefault="00EA061A" w:rsidP="000B7A6C">
      <w:pPr>
        <w:spacing w:after="0" w:line="240" w:lineRule="auto"/>
        <w:jc w:val="both"/>
        <w:rPr>
          <w:rFonts w:ascii="Times New Roman" w:hAnsi="Times New Roman"/>
          <w:color w:val="000000" w:themeColor="text1"/>
          <w:sz w:val="16"/>
          <w:szCs w:val="16"/>
        </w:rPr>
      </w:pPr>
    </w:p>
    <w:p w14:paraId="16CBBF25"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2170BF37"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D647379" w14:textId="77777777" w:rsidR="00CB1153" w:rsidRPr="005E779E" w:rsidRDefault="00CB1153" w:rsidP="000B7A6C">
      <w:pPr>
        <w:pStyle w:val="a3"/>
        <w:rPr>
          <w:color w:val="000000" w:themeColor="text1"/>
          <w:lang w:val="ru-RU"/>
        </w:rPr>
      </w:pPr>
      <w:r w:rsidRPr="005E779E">
        <w:rPr>
          <w:color w:val="000000" w:themeColor="text1"/>
          <w:lang w:val="ru-RU"/>
        </w:rPr>
        <w:t>18 января 1931, после выполнения англичана</w:t>
      </w:r>
      <w:r w:rsidRPr="005E779E">
        <w:rPr>
          <w:color w:val="000000" w:themeColor="text1"/>
          <w:lang w:val="ru-RU"/>
        </w:rPr>
        <w:softHyphen/>
        <w:t>ми всех необходимых ремонтных работ, в ходе пробных испытаний танка наблюдалась неста</w:t>
      </w:r>
      <w:r w:rsidRPr="005E779E">
        <w:rPr>
          <w:color w:val="000000" w:themeColor="text1"/>
          <w:lang w:val="ru-RU"/>
        </w:rPr>
        <w:softHyphen/>
        <w:t>бильная работа и заглохание двигателя на малых оборотах. Пришлось снять и осмотреть магнето. Кроме того, вследствие небрежного монта</w:t>
      </w:r>
      <w:r w:rsidRPr="005E779E">
        <w:rPr>
          <w:color w:val="000000" w:themeColor="text1"/>
          <w:lang w:val="ru-RU"/>
        </w:rPr>
        <w:softHyphen/>
        <w:t>жа потребовалось заменить прокладки соединения выпускной трубы. С 21 по 30 января производились пробные поездки танка с одновремен</w:t>
      </w:r>
      <w:r w:rsidRPr="005E779E">
        <w:rPr>
          <w:color w:val="000000" w:themeColor="text1"/>
          <w:lang w:val="ru-RU"/>
        </w:rPr>
        <w:softHyphen/>
        <w:t>ным устранением выявленных дефектов. При очередном осмотре ма</w:t>
      </w:r>
      <w:r w:rsidRPr="005E779E">
        <w:rPr>
          <w:color w:val="000000" w:themeColor="text1"/>
          <w:lang w:val="ru-RU"/>
        </w:rPr>
        <w:softHyphen/>
        <w:t>шины обнаружили поломку восьми ведомых дисков</w:t>
      </w:r>
      <w:r w:rsidRPr="005E779E">
        <w:rPr>
          <w:rStyle w:val="260"/>
          <w:rFonts w:ascii="Times New Roman" w:hAnsi="Times New Roman" w:cs="Times New Roman"/>
          <w:i w:val="0"/>
          <w:color w:val="000000" w:themeColor="text1"/>
          <w:sz w:val="16"/>
          <w:szCs w:val="16"/>
          <w:lang w:val="ru-RU"/>
        </w:rPr>
        <w:t xml:space="preserve"> «сцепления управ</w:t>
      </w:r>
      <w:r w:rsidRPr="005E779E">
        <w:rPr>
          <w:rStyle w:val="260"/>
          <w:rFonts w:ascii="Times New Roman" w:hAnsi="Times New Roman" w:cs="Times New Roman"/>
          <w:i w:val="0"/>
          <w:color w:val="000000" w:themeColor="text1"/>
          <w:sz w:val="16"/>
          <w:szCs w:val="16"/>
          <w:lang w:val="ru-RU"/>
        </w:rPr>
        <w:softHyphen/>
        <w:t>ления»,</w:t>
      </w:r>
      <w:r w:rsidRPr="005E779E">
        <w:rPr>
          <w:color w:val="000000" w:themeColor="text1"/>
          <w:lang w:val="ru-RU"/>
        </w:rPr>
        <w:t xml:space="preserve"> которые заменили отдельными сегментами, полученными путем шлифовки поломанных стальных дисков.</w:t>
      </w:r>
    </w:p>
    <w:p w14:paraId="11AEE8A3" w14:textId="77777777" w:rsidR="00CB1153" w:rsidRPr="005E779E" w:rsidRDefault="00CB1153" w:rsidP="000B7A6C">
      <w:pPr>
        <w:pStyle w:val="a3"/>
        <w:rPr>
          <w:color w:val="000000" w:themeColor="text1"/>
          <w:lang w:val="ru-RU"/>
        </w:rPr>
      </w:pPr>
      <w:r w:rsidRPr="005E779E">
        <w:rPr>
          <w:color w:val="000000" w:themeColor="text1"/>
          <w:lang w:val="ru-RU"/>
        </w:rPr>
        <w:t>За первую неделю марта танк №229 (№1) преодолел 220,7 км. Од</w:t>
      </w:r>
      <w:r w:rsidRPr="005E779E">
        <w:rPr>
          <w:color w:val="000000" w:themeColor="text1"/>
          <w:lang w:val="ru-RU"/>
        </w:rPr>
        <w:softHyphen/>
        <w:t>нако 7 марта при движении произошло полное разрушение шлицевого соединения вала «эпициклического</w:t>
      </w:r>
      <w:r w:rsidRPr="005E779E">
        <w:rPr>
          <w:rStyle w:val="260"/>
          <w:rFonts w:ascii="Times New Roman" w:hAnsi="Times New Roman" w:cs="Times New Roman"/>
          <w:i w:val="0"/>
          <w:color w:val="000000" w:themeColor="text1"/>
          <w:sz w:val="16"/>
          <w:szCs w:val="16"/>
          <w:lang w:val="ru-RU"/>
        </w:rPr>
        <w:t xml:space="preserve"> сцепления»,</w:t>
      </w:r>
      <w:r w:rsidRPr="005E779E">
        <w:rPr>
          <w:color w:val="000000" w:themeColor="text1"/>
          <w:lang w:val="ru-RU"/>
        </w:rPr>
        <w:t xml:space="preserve"> поэтому «Виккерс Ме</w:t>
      </w:r>
      <w:r w:rsidRPr="005E779E">
        <w:rPr>
          <w:color w:val="000000" w:themeColor="text1"/>
          <w:lang w:val="ru-RU"/>
        </w:rPr>
        <w:softHyphen/>
        <w:t>диум» пришлось тащить на буксире в гараж, чтобы заменить вал и муфту новыми деталями, присланными из Англии (15745).</w:t>
      </w:r>
    </w:p>
    <w:p w14:paraId="7E1F7C78" w14:textId="77777777" w:rsidR="00CB1153" w:rsidRPr="005E779E" w:rsidRDefault="00CB1153" w:rsidP="000B7A6C">
      <w:pPr>
        <w:pStyle w:val="a3"/>
        <w:rPr>
          <w:color w:val="000000" w:themeColor="text1"/>
          <w:lang w:val="ru-RU"/>
        </w:rPr>
      </w:pPr>
    </w:p>
    <w:p w14:paraId="18F6FDD5" w14:textId="77777777" w:rsidR="00CB1153" w:rsidRPr="005E779E" w:rsidRDefault="00CB1153"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18 января</w:t>
      </w:r>
      <w:r w:rsidRPr="005E779E">
        <w:rPr>
          <w:rFonts w:ascii="Times New Roman" w:hAnsi="Times New Roman"/>
          <w:color w:val="000000" w:themeColor="text1"/>
          <w:sz w:val="16"/>
          <w:szCs w:val="16"/>
        </w:rPr>
        <w:t xml:space="preserve"> в 1931 году для обеспечения создания боевых надводных кораблей было создано Центральное КБ специального (военного) судостроения (ЦКБС; ныне — ОАО "Невское ПКБ", Санкт-Петербург) — единственный в России головной разработчик авианесущих кораблей океанической зоны, корабельных авиационно-технических средств, взлетно-посадочных блоков, наземных испытательных и учебно-тренировочных комплексов корабельной авиации</w:t>
      </w:r>
    </w:p>
    <w:p w14:paraId="5674A021" w14:textId="77777777" w:rsidR="00CB1153" w:rsidRPr="005E779E" w:rsidRDefault="00CB1153" w:rsidP="000B7A6C">
      <w:pPr>
        <w:spacing w:after="0" w:line="240" w:lineRule="auto"/>
        <w:jc w:val="both"/>
        <w:rPr>
          <w:rFonts w:ascii="Times New Roman" w:hAnsi="Times New Roman"/>
          <w:color w:val="000000" w:themeColor="text1"/>
          <w:sz w:val="16"/>
          <w:szCs w:val="16"/>
        </w:rPr>
      </w:pPr>
    </w:p>
    <w:p w14:paraId="53300454" w14:textId="1B786EAA"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января 1931 г. из состава Технического бюро Северной верфи выделено самостоятельное БСПС, далее - ЦКБС- 1 (ГС ЦКБ-17 НКОП, НКСП, ГКС, МСП, БСПС, ЦКБС-1 НКТП, Невское Проектно-конструкторское бюро (НПКБ) МСП, ОАО «НПКБ» / г. Леншпрад;</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Казань/ /199106</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Санкт-Петербург Галерный пр-д, 3 тел. 352-05-66/); приказом НКТП№ 808 от 23.11.1933 г. утвержден Устав предприятия. В 12.1936 г. ЦКБС-1 передано в НКОП и по пр. № Обсс от 30.12.1936 г. переименовано в ЦКБ-17, приказом № 216 от 21.06.1937 г. утвержден Устав ГС ЦКБ-17. В 02.1939 г. ЦКБ-17 2ГУ НКОП передано в ведение 1ГУ НКСП, затем - в ведение 5ГУ.</w:t>
      </w:r>
      <w:r w:rsidRPr="005E779E">
        <w:rPr>
          <w:rFonts w:ascii="Times New Roman" w:hAnsi="Times New Roman"/>
          <w:color w:val="000000" w:themeColor="text1"/>
          <w:sz w:val="16"/>
          <w:szCs w:val="16"/>
          <w:vertAlign w:val="superscript"/>
        </w:rPr>
        <w:t>61</w:t>
      </w:r>
    </w:p>
    <w:p w14:paraId="7422EB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1935-36 г. по заданиям УВМС в ЦКБС-1 прорабатывались проекты линкоров водоизмещением от 43 до 75 тыс. т, «броненосных кораблей» от 23 до 30 тыс. т и авианосных крейсеров от 21,5 до 28,5 тыс. т. В 1936 г. разработан предэскизный проект линкора «Б» (пр. 25), работы по которому продолжены в ЦКБ-17. Летом 1937 г. был разработан технический проект, но затем он был отвергнут, и в 08-09.1937 г. выдано новое задание на линкор «Б». По нему к концу 1937 г. создан эскизный проект линкора пр. 64, но и от него в 1938 г. отказались.</w:t>
      </w:r>
    </w:p>
    <w:p w14:paraId="7AAD7C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 КО от 29.06.1938 г. и приказом № 249сс от 17.07.1938 г. утвержден эскизный проект легкого крейсера пр. 68, и начата разработка техпроекта. В 04.1945 г. утверждено ТТЗ на крейсер пр. 68К. В 1947 г. разработан техпроект модернизированного пр. 68бис.</w:t>
      </w:r>
    </w:p>
    <w:p w14:paraId="6C90E9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 исполнение решения правительства № 4сс от 29.06.1938 г. по пр. № 249сс начата разработка эскизного проекта тяжелого крейсера пр. 69, его технический проект утвержден КО 12.04.1940 г. В 10.1940 г. разработан проект крейсера пр. 69И, вооруженного немецкими 380-мм орудиями и ПУС.</w:t>
      </w:r>
    </w:p>
    <w:p w14:paraId="0E493C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 № 444сс от 25.11.1938 г. за ЦКБ закреплено занимаемое им здание бывшей Академии Легкой промышленности.</w:t>
      </w:r>
    </w:p>
    <w:p w14:paraId="2AA34E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05.1941 г. начато проектирование тяжелого крейсера пр. 82. В 1944 г. разработано 6 вариантов эскизного проекта с главньм калибром в 220 мм; в соответствии с пост, правительства от 28.01.1947 г. в конце 1947 г. проект переработан под главный калибр 305 мм. 31.08.1948 г. вышло постановление правительства о проектировании и строительстве головного крейсера пр. 82. Для разработки рабочего проекта документацию по пр. 82 в 10.1950 г. передали в ЦКБ-16, туда же переведена группа проектантов по этому кораблю.</w:t>
      </w:r>
    </w:p>
    <w:p w14:paraId="560C0C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пост. ГКО № 99сс от 11.07.1941 г. ЦКБ-17 НКСП эвакуировано в Казань в помещение средней школы.</w:t>
      </w:r>
    </w:p>
    <w:p w14:paraId="273D8D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1943 г. организован филиал ЦКБ на заводе № 201. Действовал также филиал на Северной верфи. В 1946 г. он преобразован в самостоятельное ЦКБ-53.</w:t>
      </w:r>
    </w:p>
    <w:p w14:paraId="7F73A4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09.1943 г. в ЦКБ-17 из ЦКБ-4 переданы работы по авианосцу пр. 72, предэскизный проект был готов в 11.1944 г.</w:t>
      </w:r>
    </w:p>
    <w:p w14:paraId="126FA4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1943 г. велось проектирование линкора пр. 24 с главным калибром 406 мм, в 1948 г. работы переданы в специально созданное для этого ЦКБ-Л.</w:t>
      </w:r>
    </w:p>
    <w:p w14:paraId="6016F4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годы войны разрабатывался проект тральщика пр. 254, затем работы переданы в ЦКБ-50.</w:t>
      </w:r>
    </w:p>
    <w:p w14:paraId="6BBF50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1946 г. совместно с ЦНИИВК велось предэскизное проектирование легкого крейсера пр. 65, в 1947 г. работы прекращены в пользу пр. 68бис и 82.</w:t>
      </w:r>
    </w:p>
    <w:p w14:paraId="25873D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1947 г. разработан предэскизный проект крейсера ЛКР-22, реализован не был. В 09.1952 г. разработан эскизный проект среднего крейсера пр. 66, в 1953 г. работы по нему прекращены. В 1954 г. начато проектирование легкого крейсера пр. 84, пост, правительства от 25.08.1956 г. работы прекращены.</w:t>
      </w:r>
    </w:p>
    <w:p w14:paraId="505FFD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05.1953 г. выдано задание на разработку легкого авианосца пр. 85, в 1955 г. проектирование передано в ЦКБ- 16. В 1959-60 г. прорабатывался проект «плавучей базы истребительной авиации» (ПБИА).</w:t>
      </w:r>
    </w:p>
    <w:p w14:paraId="0D8BEA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пост, правительства № 2544-1225 от 30.12.1954 г. начаты работы по ракетным крейсерам пр. 67, предусматривавшие перевооружение крейсера пр. 68бис-ЗИФ противокорабельными ракетами. Эскизный проект утвержден в 04.1956 г., техпроект утвержден не был. Работы продолжены по пр. 64. В соответствии с ПСМ № 1601-892 от 25.08.1956 г. начата разработка легкого ракетного крейсера (КРЛ-Р) пр. 63. Постановлениями правительства от 12.1958 г. и от 03.1959 г. работы по пр. 64 и 63 прекращены. В 1959 г. начаты работы по кораблю ПВО пр. 1126. Было проработано 20 вариантов, эскизный проект утвержден в 07.1960 г. Пост, правительства от 06.1961 г. работы прекращены.</w:t>
      </w:r>
    </w:p>
    <w:p w14:paraId="4BA70E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1958 г. начато проектирование противолодочных крейсеров (ПКР), с 1963 г. - больших десантных кораблей (БДК), а с 1968 г. - тяжелых авианесущих крейсеров (ТАВКР).</w:t>
      </w:r>
    </w:p>
    <w:p w14:paraId="62DDFF10" w14:textId="4EB410F8"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1950-е</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из ЦКБ-50 преданы работы по проектированию понтона пр. 755. В конце 1950-х-начале 1960-х</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в ЦКБ-17 переданы из ЦКБ-32 работы по проектированию океанографического судна пр. 514, морских танкеров пр. 577, пр. 1541, плавмастерской пр. 725. Затем проектировалась плавмастерская пр. 725А для АПЛ, работы переданы в ЦКБ-21.</w:t>
      </w:r>
    </w:p>
    <w:p w14:paraId="798EF2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ПСМ от 12.1958 г. начато проектирование корабля ПЛО дальней зоны (с 1965 г. - противолодочного крейсера) с базированием вертолетов пр. 1123 «Кондор», техпроект был утвержден в 01.1962 г. Пост, правительства от 11.1963 г. было задано строительство двух кораблей; пост. № 128-52 от 20.02.1970 г. пр. 1123 пнв. Решением ВМФ и МСП в 06.1967 г. было задано к 09.1967 г. разработать улучшенный проект пр. 11233 строительства 3-го корабля. Пост, правительства от 12.1967 г. была задана корректировка проекта с учетом базирования на корабле штурмовика Як-ЗбМ. Это привело к разработке нового пр. 1143 «Кречет». Техпроект был утвержден в 04.1970 г. В 10.1978 г. вышло постановление правительства о продолжении строительства ТАКР пр. 1143 с базированием сверхзвукового Як-4]. Эскизный проект 1143.5 был готов в конце 1979 г. В 05.1982 г. вышло постановление правительства об утверждении откорректированного проекта крейсера, несущего Су-27К и МиГ-29К, и его строительстве. В 12.1984 г. ПКБ выдано задание на разработку 7-го ТАКР, в 1986 г. был утвержден эскизный, а в 1987 г. - технический проекты. В 10.1987 г. вышло постановление правительства об утверждении проекта крейсера, несущего до 70 ЛА (Су-27К, МиГ-29К, Як-44, Ка-27), и его строительстве.</w:t>
      </w:r>
    </w:p>
    <w:p w14:paraId="7BF597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пост, правительства от 09.1969 г. велись работы по созданию аванпроекта атомного авианосца пр. 1160 «Орел», завершенного в 1973 г. В 1975 г. начаты работы по авианесущему крейсеру пр. 1153 и проектирование испытательного комплекса НИТКА в Крыму (совместно с Пролетарским заводом). Весной 1976 г. вышло постановление правительства о проектировании атомного авианесущего корабля пр. 1153, в 11.1977 г. это решение было пересмотрено, пост, от 13.10.1978 г. работы прекращены.</w:t>
      </w:r>
    </w:p>
    <w:p w14:paraId="17B5AA09" w14:textId="1631B02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Проектировался плавдок пр. 1753, в начале 1960-х</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работы переданы в ЦКБ-50.</w:t>
      </w:r>
    </w:p>
    <w:p w14:paraId="2F48EB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пост, правительства от 08.1964 г. разработаны эскизные проекты пр. 909 и 1111 размещения на ледокольных транспортах пр. 550 и гидрографических судах ракетных комплексов Д-9.</w:t>
      </w:r>
    </w:p>
    <w:p w14:paraId="1B801566" w14:textId="1D1B3EC1"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1970-е</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из Северного ПКБ переданы работы по проекту эскадренного корабля РЛ дозора-вертолетоносца пр. 1077, затем работы прекращены.</w:t>
      </w:r>
    </w:p>
    <w:p w14:paraId="1BC1B9DB" w14:textId="62788755"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1970-е</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проектировался ракетный корабль пр. 1080 с БР «Эльбрус-М».</w:t>
      </w:r>
    </w:p>
    <w:p w14:paraId="7203CB31" w14:textId="484C3BC1"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Летом 1979 г. в Николаеве организован 12-й отдел ПКБ - авторского надзора и техпомощи. В 1980-е</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установленные в ПКБ ЭВМ были соединены в единую сеть с машинами ЧСЗ.</w:t>
      </w:r>
    </w:p>
    <w:p w14:paraId="1696FF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Головное предприятие (2005 г.) по проектированию и модернизации крупных боевых кораблей, кораблей космического флота, крупных судов транспортного флота, корабельных авиационно-технических средств и высадочных устройств десантных кораблей.</w:t>
      </w:r>
    </w:p>
    <w:p w14:paraId="39CDFB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Работы (2005 г.): проект авианосца для Китая; обеспечение ремонта и переоборудования ТАВКР «Адмирал Горшков» в авианосец для Индии по пр. 11430; генеральный исполнитель по оказанию помощи Индии в проектировании корабля авиационного прикрытия пр. 071.</w:t>
      </w:r>
    </w:p>
    <w:p w14:paraId="2E4884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1966 г. ЦКБ-17 МСП переименовано в Невское ПКБ. По Указу Президента РФ № 1009 от 4.08.2004 г. вошло в число стратегических оборонных предприятий. По Указу Президента РФ от 22.03.2007 г. на базе Невского ПКБ создана Объединенная судостроительная корпорация.</w:t>
      </w:r>
    </w:p>
    <w:p w14:paraId="2EFFE0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(-17.10.1937 г.)- В.Л. Бжезинский (снят). Начальник (-08.1938-39 г.-)- Н.П. Дубинин, (08.1945 г.)- В.А. Никитин, (1945-1967 г.)- Б. Г. Чиликин, (1970-е)- Н.В. Максимов, (08.1974-79 г.-&gt; В.Ф. Аникиев. Гендиректор (1996-2007 г.-)- А.О. Виглин.</w:t>
      </w:r>
    </w:p>
    <w:p w14:paraId="2951F5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гендиректора (1996 г.-)- И.В. Павлющик.</w:t>
      </w:r>
    </w:p>
    <w:p w14:paraId="48353D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конструктор (1939 г.)- Н.П. Дубинин, (08.1945 г.)- В.А. Никитин, (1945-1967 г.)- Б. Г. Чиликин, (08.1974 г.-)- В.Ф. Аникиев. Ген. конструктор (-2004-05 г.-)- А.О. Виглин.</w:t>
      </w:r>
    </w:p>
    <w:p w14:paraId="3D9329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инженер (-09.1938-40 г.-)- В.А. Никитин, (-1945-53 г.-)- В.В. Ашик.</w:t>
      </w:r>
    </w:p>
    <w:p w14:paraId="51A9ABF1" w14:textId="792836C9"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конструкторы: (1938 г.)- А.И. Маслов (пр. 64, пр. 68), (-1938-45 г.-)- В.А. Никитин (пр. 69, пр. 40Н), (1939- 46 г.-)- Ф.Е. Бесполов (пр. 23, 69), (1940 г.)- Н.В. Брезгун (пр. 47), (1943-60 г.-)- В.В. Ашик (пр. 24, 67, 1126, 1128, 1129), (1945 г.)-</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Г.М. Вераксо (пр. 254), (-1947-49 г.-&gt; Л.В. Дикович (пр. 82), (-1945-67 г.)- А .С. Савичев (пр. 68К, 68бис, 68бис-ЗИФ, 63, 577, 1123), (1947-52 г.-&gt; Н.А. Киселев (пр. 68К, 66), (1960 г.)- Д.Н. Загайкевич (пр. 514), (1960-64 г.-)- П.П. Милованов (пр. 725, 1126, 1174), (1960-е)- А.Е. Михайлов (пр. 1130, 1917), (1960-е)- П.Ф. Ванюшкин (пр. 1541), (1960-е)- В.Н. Семидетнов (пр. 725А), (1963 г.)-</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Г.И. Власов (пр. ЗЗМ), (-1964-70-е)- Ю.А. Македон (пр. 323Б, 333, 909, 1111), (1967-78 г.-)- А.В. Маринич (пр. 1123, 1143), (1971 г.)- К.И. Иванов (пр. 68У1, 68У2), (1972 г.)- А.Б. Морин (пр. 1160), (1974-88 г.)-В.Ф. Аникиев (пр. 1143.3, 1143.4, 1143.5, 1153), (1978 г.)- Б.М. Пикалкин (пр. 1174), (1970-е)-</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Г.Д. Кужельный (пр. 933, 1077), (-1984-90 г.-)- Л.В. Белов (пр. 1143.5, 1143.7), (1986-91 г.)- П.А. Соколов (пр. 1143.5, «Варяг»), (1987 г.)- Ю.М. Варфоломеев (пр. 1143.7), (1996-2007 г.-)- К.П. Загородный (авианесущие корабли).</w:t>
      </w:r>
    </w:p>
    <w:p w14:paraId="753618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1-й зам. гл. конструктора: (1970-е)- С.Ф. Петухов (пр. 11433). Зам. гл. конструкторов: (1988 г.)- Ю.М. Варфоломеев (пр. 1143.7), (1974-79 г.)- О.П. Ефимов (пр. 1153), (1986-96 г.)- К.П. Загородный (пр. 11437), (-1957- 86 г.)- Н.Ф. Жуков (пр. 1123, 11437, «Киев»), (1976 г.)- А.Б. Морин (пр. 1143, 1153), (1977 г.)- С.Ф. Петухов («Киев»), (1974 г.-)- П.А. Соколов (пр. 1153), (-1972-88 г.-)- Б.В. Шмелев (пр. 1143, «Баку»).</w:t>
      </w:r>
    </w:p>
    <w:p w14:paraId="3764A7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Начальники отделов: 6-го (1938 г.)- Б.С. Фрумкин; 12-го (1979-91 г.)- Ю.Л. Бобков; проектного (1959 г.)- А.Б. Морин; авиационно-технических средств (1972 г.)- Ю.Д. Сергеев, (1970-е)- И.В. Павлющик; вооружений- Л.К. Орлович; внедрения ЭВМ (1980-е)- А.О. Виглин; О.П. Ефимов, (1938 г.)- А.И. Маслов.</w:t>
      </w:r>
    </w:p>
    <w:p w14:paraId="2B839B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Начальники секторов: проектного 12-го отдела (-1987 г.)- С.М. Хальнов.</w:t>
      </w:r>
      <w:r w:rsidRPr="005E779E">
        <w:rPr>
          <w:rFonts w:ascii="Times New Roman" w:hAnsi="Times New Roman"/>
          <w:color w:val="000000" w:themeColor="text1"/>
          <w:sz w:val="16"/>
          <w:szCs w:val="16"/>
          <w:vertAlign w:val="superscript"/>
        </w:rPr>
        <w:t>142</w:t>
      </w:r>
    </w:p>
    <w:p w14:paraId="72FF02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начальника сектора: турбинного (08.1938 г.)- Д.И. Гусев.</w:t>
      </w:r>
    </w:p>
    <w:p w14:paraId="3C00FF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5E779E">
        <w:rPr>
          <w:rFonts w:ascii="Times New Roman" w:hAnsi="Times New Roman"/>
          <w:color w:val="000000" w:themeColor="text1"/>
          <w:sz w:val="16"/>
          <w:szCs w:val="16"/>
        </w:rPr>
        <w:t>Создано: крейсеры: тяжелые пр. 69 (1940), пр. 69и (1941), пр. 82 (1949-53, не реализован); средний пр. 66 (-1953, не реализован); легкие пр. 68 (1938), пр. 68и (1944), пр. 68К (1945), пр. 68бис (1950), пр. 68А (1969), управления пр. 68У1, пр. 68У2 «Бухта» (1971), пр. 84 (1954-56, не реализован); пр. 65 (1946), типа «Москва»; ракетные: экспериментальный с КСС пр. 67ЭП (1955), с ПКР «Стрела» пр. 67СИ (1955-56, не реализован), пр. 67 (1956), пр. 64 (1958, не реализован), легкий пр. 63 (1956-58, не реализован), пр. 1126 (1959-61, не реализован); пр. ЗЗМ переоборудования крейсера пр. 26 «Ворошилов» в опытный ракетный корабль (1963); противолодочные: пр. 1123 «Кондор» (1959-62, пнв 20.02.1970 г.), пр. 11233 (1967, не реализован); ТАВКР: пр. 1143 «Кречет» (1969), пр. 1143.3 «Новороссийск» (1975), пр. 1143.5 «Адмирал Кузнецов», пр. 1143.7 «Ульяновск»; эсминцы: пр. ЗОА (1942), пр. 30 (1943), пр. 30К (1945), пр. ЗОбис (1946), пр. 36 (1944), малый (сторожевой) пр. 37 (1942-44), пр. 40 (1944), пр. 40Н (1944), пр. 41 (1946); бронированный лидер пр. 47 (1940, не реализован); тральщики: III серии пр. 53у (1937), пр. 59 (1943), средний базовый пр. 254 (1945-46), пр. 263 (1942), пр. 264 (1946); БДК: океанской зоны пр. 1174 «Носорог» (1964-68), типа «Саратов», пр. 11711 (2000-е); линкоры: пр. 24 (1945, не реализован), пр. 23 (1946, не реализован); авианосцы: пр. 72 (1945, не реализован),</w:t>
      </w:r>
      <w:r w:rsidRPr="005E779E">
        <w:rPr>
          <w:rFonts w:ascii="Times New Roman" w:hAnsi="Times New Roman"/>
          <w:color w:val="000000" w:themeColor="text1"/>
          <w:sz w:val="16"/>
          <w:szCs w:val="16"/>
          <w:vertAlign w:val="superscript"/>
        </w:rPr>
        <w:t>61</w:t>
      </w:r>
      <w:r w:rsidRPr="005E779E">
        <w:rPr>
          <w:rFonts w:ascii="Times New Roman" w:hAnsi="Times New Roman"/>
          <w:color w:val="000000" w:themeColor="text1"/>
          <w:sz w:val="16"/>
          <w:szCs w:val="16"/>
        </w:rPr>
        <w:t xml:space="preserve"> пр. 1160 «Орел» (1973, не реализован), пр. 1153 «Орел» (1974-78, не реализован); пр. 11430 переоборудования ТАВКР «Адмирал Горшков» в авианосец для Индии "</w:t>
      </w:r>
      <w:r w:rsidRPr="005E779E">
        <w:rPr>
          <w:rFonts w:ascii="Times New Roman" w:hAnsi="Times New Roman"/>
          <w:color w:val="000000" w:themeColor="text1"/>
          <w:sz w:val="16"/>
          <w:szCs w:val="16"/>
          <w:lang w:val="en-US"/>
        </w:rPr>
        <w:t>Vikramaditya</w:t>
      </w:r>
      <w:r w:rsidRPr="005E779E">
        <w:rPr>
          <w:rFonts w:ascii="Times New Roman" w:hAnsi="Times New Roman"/>
          <w:color w:val="000000" w:themeColor="text1"/>
          <w:sz w:val="16"/>
          <w:szCs w:val="16"/>
        </w:rPr>
        <w:t xml:space="preserve">" (2000-е); плавучие КИК: переоборудованные из польских углерудовозов измеритель пр. 1128 (1958), ретрансляторы пр. 1129 (1958), пр. 1129Б (1960-е), КИК пр. ИЗО (1960-е); пр. 1917 «Космонавт Владимир Комаров», переоборудованный из сухогруза пр. 595 (1966); эскадренный корабль </w:t>
      </w:r>
      <w:r w:rsidRPr="005E779E">
        <w:rPr>
          <w:rFonts w:ascii="Times New Roman" w:hAnsi="Times New Roman"/>
          <w:color w:val="000000" w:themeColor="text1"/>
          <w:sz w:val="16"/>
          <w:szCs w:val="16"/>
          <w:lang w:val="en-US"/>
        </w:rPr>
        <w:t>PJI</w:t>
      </w:r>
      <w:r w:rsidRPr="005E779E">
        <w:rPr>
          <w:rFonts w:ascii="Times New Roman" w:hAnsi="Times New Roman"/>
          <w:color w:val="000000" w:themeColor="text1"/>
          <w:sz w:val="16"/>
          <w:szCs w:val="16"/>
        </w:rPr>
        <w:t xml:space="preserve"> дозора- вертолетоносец пр. 1077 (1970-е, не реализован); океанографическое судно пр. 514 (1960); танкеры для ВМФ: пр. 577, для ракетного топлива пр. 1541 (1960-е); плавмастерские пр. 725 (1960), пр. 725А (1964); плавучие базы: ракетно-технические для БР Р-21 пр. 323Б (1969), пр. 323В (1977), ремонтная пр. 333 (1970-е, не реализован); ремонтно-техническая оружия пр. 933 (1970-е, не реализован); понтон пр. 755 (1950-е); </w:t>
      </w:r>
      <w:r w:rsidRPr="005E779E">
        <w:rPr>
          <w:rFonts w:ascii="Times New Roman" w:hAnsi="Times New Roman"/>
          <w:color w:val="000000" w:themeColor="text1"/>
          <w:sz w:val="16"/>
          <w:szCs w:val="16"/>
          <w:vertAlign w:val="superscript"/>
        </w:rPr>
        <w:t>1,6</w:t>
      </w:r>
      <w:r w:rsidRPr="005E779E">
        <w:rPr>
          <w:rFonts w:ascii="Times New Roman" w:hAnsi="Times New Roman"/>
          <w:color w:val="000000" w:themeColor="text1"/>
          <w:sz w:val="16"/>
          <w:szCs w:val="16"/>
        </w:rPr>
        <w:t xml:space="preserve"> испытательный комплекс НИТКА (1977) (11982).</w:t>
      </w:r>
    </w:p>
    <w:p w14:paraId="0D530F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690F459"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41FAD6DE"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F11E9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января 1931 К.Е.В. на 9 съезде ВЛКСМ сказал "Мы должны строить дело так, чтобы в предстоящей войне добиться победы "малой кровью" и войну эту провести на территории страны, которая первой поднимет против нас меч" (505,132).</w:t>
      </w:r>
    </w:p>
    <w:p w14:paraId="7D2483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Считается, что это первый признак недооценки врага</w:t>
      </w:r>
    </w:p>
    <w:p w14:paraId="7CD507C1"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39783E8"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36AC1A72"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37F65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 января 1931 пилоты В.Л. Галышев и И.В. Доронин с бортмехаником И.М. Эренпрейсом привели из Москвы в Иркутск первый самолет АНТ-9 (11884).</w:t>
      </w:r>
    </w:p>
    <w:p w14:paraId="4977E4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777F506" w14:textId="77777777" w:rsidR="00EE11B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6FFFA6A4" w14:textId="77777777" w:rsidR="00EE11B9" w:rsidRPr="005E779E" w:rsidRDefault="00EE11B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DA8DC03" w14:textId="77777777" w:rsidR="00EE11B9" w:rsidRPr="005E779E" w:rsidRDefault="00EE11B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19 января 1931 года Департамент вооружение получил М1931 и сразу поставил его на испытания. Был поднят вопрос о закупке этой машины, но никаких гарантий о серийном производстве чиновники не дали, что совершенно не устроило Кристи. В свою очередь военные указывали на слишком высокую стоимость танка. Итог этой коммерческой “схватки” оказался компромиссным – в 1932 году Кристи получил заказ на 7 модифицированных танков Medium T1 на общую сумму 241.500$, что по сегодняшнему курсу превышает 31.000.000 долларов. Три из них передали пехоте, где они обозначались как Medium Tank T3 и были переданы 67-му пехотному батальону, в то время как четыре Combat Car T1 передали кавалерии. Есть также версия, что пехота перекупила два танка, ранее предназначавшиеся для продажи в Польшу, и обозначала их как Т3Е1. Специально для производства танков Кристи организовал компанию </w:t>
      </w:r>
    </w:p>
    <w:p w14:paraId="120D3170" w14:textId="77777777" w:rsidR="00EE11B9" w:rsidRPr="005E779E" w:rsidRDefault="00EE11B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Танки, согласно принятой в кавалерии системой обозначений, получили название Combat Car T1. Дело в том, что в 1920 году армейское руководство решило, что танковые подразделения могут использоваться только для поддержки пехоты, а кавалерия может вполне обойтись одними бронемашинами. Поэтому кавалеристам приходилось хитрить, называя собственные полноценные танки “боевыми машинами” (17214). </w:t>
      </w:r>
    </w:p>
    <w:p w14:paraId="1F2E6111" w14:textId="77777777" w:rsidR="00EE11B9" w:rsidRPr="005E779E" w:rsidRDefault="00EE11B9" w:rsidP="000B7A6C">
      <w:pPr>
        <w:spacing w:after="0" w:line="240" w:lineRule="auto"/>
        <w:jc w:val="both"/>
        <w:rPr>
          <w:rFonts w:ascii="Times New Roman" w:hAnsi="Times New Roman"/>
          <w:strike/>
          <w:color w:val="000000" w:themeColor="text1"/>
          <w:sz w:val="16"/>
          <w:szCs w:val="16"/>
        </w:rPr>
      </w:pPr>
    </w:p>
    <w:p w14:paraId="514E98AD" w14:textId="77777777" w:rsidR="00B63732" w:rsidRPr="005E779E" w:rsidRDefault="00B63732"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19 января 1931 г. Ливия: итальянские войска побеждают бедуинов в решающем сражении у оазиса </w:t>
      </w:r>
      <w:r w:rsidRPr="005E779E">
        <w:rPr>
          <w:rFonts w:ascii="Times New Roman" w:eastAsia="Times New Roman" w:hAnsi="Times New Roman"/>
          <w:iCs/>
          <w:color w:val="000000" w:themeColor="text1"/>
          <w:sz w:val="16"/>
          <w:szCs w:val="16"/>
          <w:lang w:eastAsia="ru-RU"/>
        </w:rPr>
        <w:t>Хаври (</w:t>
      </w:r>
      <w:r w:rsidRPr="005E779E">
        <w:rPr>
          <w:rFonts w:ascii="Times New Roman" w:eastAsia="Times New Roman" w:hAnsi="Times New Roman"/>
          <w:bCs/>
          <w:iCs/>
          <w:color w:val="000000" w:themeColor="text1"/>
          <w:sz w:val="16"/>
          <w:szCs w:val="16"/>
          <w:lang w:eastAsia="ru-RU"/>
        </w:rPr>
        <w:t>А.Егорин «История Ливии. XX век», М., ИВ РАН, 1999):</w:t>
      </w:r>
    </w:p>
    <w:p w14:paraId="4F43F3F9" w14:textId="77777777" w:rsidR="00B63732" w:rsidRPr="005E779E" w:rsidRDefault="00B63732"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bCs/>
          <w:color w:val="000000" w:themeColor="text1"/>
          <w:sz w:val="16"/>
          <w:szCs w:val="16"/>
          <w:lang w:eastAsia="ru-RU"/>
        </w:rPr>
        <w:t>«</w:t>
      </w:r>
      <w:r w:rsidRPr="005E779E">
        <w:rPr>
          <w:rFonts w:ascii="Times New Roman" w:eastAsia="Times New Roman" w:hAnsi="Times New Roman"/>
          <w:color w:val="000000" w:themeColor="text1"/>
          <w:sz w:val="16"/>
          <w:szCs w:val="16"/>
          <w:lang w:eastAsia="ru-RU"/>
        </w:rPr>
        <w:t>19 января 1931 г.</w:t>
      </w:r>
      <w:r w:rsidRPr="005E779E">
        <w:rPr>
          <w:rFonts w:ascii="Times New Roman" w:eastAsia="Times New Roman" w:hAnsi="Times New Roman"/>
          <w:bCs/>
          <w:color w:val="000000" w:themeColor="text1"/>
          <w:sz w:val="16"/>
          <w:szCs w:val="16"/>
          <w:lang w:eastAsia="ru-RU"/>
        </w:rPr>
        <w:t xml:space="preserve"> состоялось решающее сражение у оазиса </w:t>
      </w:r>
      <w:r w:rsidRPr="005E779E">
        <w:rPr>
          <w:rFonts w:ascii="Times New Roman" w:eastAsia="Times New Roman" w:hAnsi="Times New Roman"/>
          <w:color w:val="000000" w:themeColor="text1"/>
          <w:sz w:val="16"/>
          <w:szCs w:val="16"/>
          <w:lang w:eastAsia="ru-RU"/>
        </w:rPr>
        <w:t>Х</w:t>
      </w:r>
      <w:r w:rsidRPr="005E779E">
        <w:rPr>
          <w:rFonts w:ascii="Times New Roman" w:eastAsia="Times New Roman" w:hAnsi="Times New Roman"/>
          <w:bCs/>
          <w:color w:val="000000" w:themeColor="text1"/>
          <w:sz w:val="16"/>
          <w:szCs w:val="16"/>
          <w:lang w:eastAsia="ru-RU"/>
        </w:rPr>
        <w:t>аври, которое возглавлял Сейф ан-Наср (у него было 600 воинов) и в котором патриоты, хотя и потерпели поражение, но показали, что остались несломленными. В отместку за это итальянцы, водрузившие свой флаг 20 января над Эт-Таджем, устроили жестокую расправу над населением оазиса Куфра.» (17325).</w:t>
      </w:r>
    </w:p>
    <w:p w14:paraId="7CF36A19" w14:textId="77777777" w:rsidR="00B63732" w:rsidRPr="005E779E" w:rsidRDefault="00B63732" w:rsidP="000B7A6C">
      <w:pPr>
        <w:spacing w:after="0" w:line="240" w:lineRule="auto"/>
        <w:jc w:val="both"/>
        <w:rPr>
          <w:rFonts w:ascii="Times New Roman" w:hAnsi="Times New Roman"/>
          <w:strike/>
          <w:color w:val="000000" w:themeColor="text1"/>
          <w:sz w:val="16"/>
          <w:szCs w:val="16"/>
        </w:rPr>
      </w:pPr>
    </w:p>
    <w:p w14:paraId="213A4EB3"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54E9E831"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C7D7E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января 1931 в Севастополе состоялся первый полет МДР-2 по программе заводских испытаний (1085,107).</w:t>
      </w:r>
    </w:p>
    <w:p w14:paraId="656572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FD731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января 1931 состоялось подписание договора о поставке 50 Савойя-62бис и 125 двигателей АССО 750 нр (8078).</w:t>
      </w:r>
    </w:p>
    <w:p w14:paraId="7D9C78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6CA99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января 1931 С.А.Чаплыгин как директор ЦАГИ в письме опять жаловался Наркомвоенмору К.Е.Ворошилову на ВСНХ, затягивающий строительство ЦАГИ (1026,147).</w:t>
      </w:r>
    </w:p>
    <w:p w14:paraId="557F58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181BCD5" w14:textId="77777777" w:rsidR="007E406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3935EBFB" w14:textId="77777777" w:rsidR="007E4069" w:rsidRPr="005E779E" w:rsidRDefault="007E406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4AAC34A" w14:textId="77777777" w:rsidR="007E4069" w:rsidRPr="005E779E" w:rsidRDefault="007E4069"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20 января 1931</w:t>
      </w:r>
      <w:r w:rsidRPr="005E779E">
        <w:rPr>
          <w:rFonts w:ascii="Times New Roman" w:hAnsi="Times New Roman"/>
          <w:color w:val="000000" w:themeColor="text1"/>
          <w:sz w:val="16"/>
          <w:szCs w:val="16"/>
        </w:rPr>
        <w:t>Политбюро ЦК ВКП (б) признало необходимым опубликовать обращение от имени ЦК ВКП (б) и СНК об экономии топлива; поручило Г.К. Орджоникидзе выступить на Первом совещании хозяйственников с докладом (12265).</w:t>
      </w:r>
    </w:p>
    <w:p w14:paraId="0612D630" w14:textId="77777777" w:rsidR="007E4069" w:rsidRPr="005E779E" w:rsidRDefault="007E406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СНК принял постановление «Об увеличении суммы выпуска государственного внутреннего выигрышного займа "Пятилетка в четыре года" для размещения в реализационный период 1930-1931 г.» (12265).</w:t>
      </w:r>
    </w:p>
    <w:p w14:paraId="1BAF9CEC" w14:textId="77777777" w:rsidR="007E4069" w:rsidRPr="005E779E" w:rsidRDefault="007E406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1C600DA0" w14:textId="77777777" w:rsidR="00B23E00" w:rsidRPr="005E779E" w:rsidRDefault="00B23E0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20 – 27 января 1931 постановлением V пленума ВЦСПС профсоюз рабочих-металлистов был разукрупнен на шесть профсоюзов, в числе которых были образованы профсоюз рабочих автотракторной и авиационной промышленности и профсоюз рабочих машиностроительной промышленности (общего машиностроения) (20216).</w:t>
      </w:r>
    </w:p>
    <w:p w14:paraId="2BF77F07" w14:textId="77777777" w:rsidR="00B23E00" w:rsidRPr="005E779E" w:rsidRDefault="00B23E00" w:rsidP="000B7A6C">
      <w:pPr>
        <w:spacing w:after="0" w:line="240" w:lineRule="auto"/>
        <w:jc w:val="both"/>
        <w:rPr>
          <w:rFonts w:ascii="Times New Roman" w:hAnsi="Times New Roman"/>
          <w:color w:val="000000" w:themeColor="text1"/>
          <w:sz w:val="16"/>
          <w:szCs w:val="16"/>
        </w:rPr>
      </w:pPr>
    </w:p>
    <w:p w14:paraId="3B23C707" w14:textId="77777777" w:rsidR="00BC2229" w:rsidRPr="005E779E" w:rsidRDefault="00BC2229"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Внешняя политика:</w:t>
      </w:r>
    </w:p>
    <w:p w14:paraId="66972158" w14:textId="77777777" w:rsidR="00BC2229" w:rsidRPr="005E779E" w:rsidRDefault="00BC222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EE729F3" w14:textId="77777777" w:rsidR="00BC2229" w:rsidRPr="005E779E" w:rsidRDefault="00BC2229"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20 января 1931 г.</w:t>
      </w:r>
    </w:p>
    <w:p w14:paraId="15412838" w14:textId="77777777" w:rsidR="00BC2229" w:rsidRPr="005E779E" w:rsidRDefault="00BC2229"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Отчет ВОКС о проведенной кампании «против интервенции» в связи с процессом «Промпартии». 20 января 1931 г.</w:t>
      </w:r>
    </w:p>
    <w:p w14:paraId="7FB0B71E" w14:textId="77777777" w:rsidR="00BC2229" w:rsidRPr="005E779E" w:rsidRDefault="00BC2229"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Источник: </w:t>
      </w:r>
    </w:p>
    <w:p w14:paraId="396E04BE" w14:textId="77777777" w:rsidR="00BC2229" w:rsidRPr="005E779E" w:rsidRDefault="00BC222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CB8B6D4" w14:textId="77777777" w:rsidR="00BC2229" w:rsidRPr="005E779E" w:rsidRDefault="00BC2229" w:rsidP="000B7A6C">
      <w:pPr>
        <w:pStyle w:val="rteright"/>
        <w:spacing w:before="0" w:after="0"/>
        <w:jc w:val="both"/>
        <w:rPr>
          <w:color w:val="000000" w:themeColor="text1"/>
          <w:sz w:val="16"/>
          <w:szCs w:val="16"/>
        </w:rPr>
      </w:pPr>
      <w:r w:rsidRPr="005E779E">
        <w:rPr>
          <w:color w:val="000000" w:themeColor="text1"/>
          <w:sz w:val="16"/>
          <w:szCs w:val="16"/>
        </w:rPr>
        <w:t>Не ранее 20 января 1931 г.</w:t>
      </w:r>
    </w:p>
    <w:p w14:paraId="654AB9A1" w14:textId="77777777" w:rsidR="00BC2229" w:rsidRPr="005E779E" w:rsidRDefault="00BC2229" w:rsidP="000B7A6C">
      <w:pPr>
        <w:pStyle w:val="ae"/>
        <w:spacing w:before="0" w:after="0"/>
        <w:jc w:val="both"/>
        <w:rPr>
          <w:color w:val="000000" w:themeColor="text1"/>
          <w:sz w:val="16"/>
          <w:szCs w:val="16"/>
        </w:rPr>
      </w:pPr>
      <w:r w:rsidRPr="005E779E">
        <w:rPr>
          <w:color w:val="000000" w:themeColor="text1"/>
          <w:sz w:val="16"/>
          <w:szCs w:val="16"/>
        </w:rPr>
        <w:t>ОТЧЕТ</w:t>
      </w:r>
    </w:p>
    <w:p w14:paraId="7EC054CA" w14:textId="77777777" w:rsidR="00BC2229" w:rsidRPr="005E779E" w:rsidRDefault="00BC2229" w:rsidP="000B7A6C">
      <w:pPr>
        <w:pStyle w:val="ae"/>
        <w:spacing w:before="0" w:after="0"/>
        <w:jc w:val="both"/>
        <w:rPr>
          <w:color w:val="000000" w:themeColor="text1"/>
          <w:sz w:val="16"/>
          <w:szCs w:val="16"/>
        </w:rPr>
      </w:pPr>
      <w:r w:rsidRPr="005E779E">
        <w:rPr>
          <w:color w:val="000000" w:themeColor="text1"/>
          <w:sz w:val="16"/>
          <w:szCs w:val="16"/>
        </w:rPr>
        <w:t>по кампании ВОКС против интервенции</w:t>
      </w:r>
    </w:p>
    <w:p w14:paraId="3381BA87" w14:textId="77777777" w:rsidR="00BC2229" w:rsidRPr="005E779E" w:rsidRDefault="00BC2229" w:rsidP="000B7A6C">
      <w:pPr>
        <w:pStyle w:val="ae"/>
        <w:spacing w:before="0" w:after="0"/>
        <w:jc w:val="both"/>
        <w:rPr>
          <w:color w:val="000000" w:themeColor="text1"/>
          <w:sz w:val="16"/>
          <w:szCs w:val="16"/>
        </w:rPr>
      </w:pPr>
      <w:r w:rsidRPr="005E779E">
        <w:rPr>
          <w:color w:val="000000" w:themeColor="text1"/>
          <w:sz w:val="16"/>
          <w:szCs w:val="16"/>
        </w:rPr>
        <w:t>за период с 20 ноября[1930 г.] по 20 января с. г.</w:t>
      </w:r>
    </w:p>
    <w:p w14:paraId="12DD8B50"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Ввиду того, что процесс «Промпартии» вскрыл всю непосредственность угрозы интервенции, кампания, проводимая ВОКСом, в первую очередь была направлена на мобилизацию заграничной интеллигенции вокруг процесса. При этом вскрывались социальные корни вредительства и подчеркивалось, что вредители были принуждены сделать ставку на интервенцию, так как они не имели поддержки ни в рабочих массах, ни среди интеллигенции СССР. В связи с этим ВОКС усиленно продвигались за границу отклики советской научной и художественной общественности на процесс (см. Бюллетени). По окончании процесса кампания не была ослаблена, а проводится и по настоящее время под лозунгом борьбы против интервенции. За границу в настоящее время усиленно продвигается материал об успешной реализации пятилетки в противопоставлении с растущим мировым кризисом и отражаются те аргументы, которые в последнее время выдвигаются буржуазной прессой против СССР (демпинг, тяжелое положение интеллигенции в СССР и т. д.). На эти темы за последние два месяца заготовлено 34 статьи.</w:t>
      </w:r>
    </w:p>
    <w:p w14:paraId="58362D5D"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За последние 2 месяца была проведена следующая работа:</w:t>
      </w:r>
    </w:p>
    <w:p w14:paraId="3177368E"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По линии печати:</w:t>
      </w:r>
    </w:p>
    <w:p w14:paraId="4574C365"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С начала кампании ВОКСом издается стеклографированный бюллетень на четырех языках (тираж — 1.500 экз.). До настоящего времени вышло 5 номеров на каждом языке (прилагаются к отчету). В начале кампании они давали материал, непосредственно связанный с процессом (номера 1-3), но затем переходят к более широкой информации о Достижениях СССР и превращаются в постоянный (декадный) орган ВОКСа в дополнение к журналу. Из-за границы поступило ряд благоприятных отзывов по содержанию бюллетеня (Германия — студент Кюн- келе, Швейцария — известный проф. Бауер и др.), но отмечается его техническое несовершенство (Италия, Курская — ?), что побуждает ВОКС в этом же квартале перейти к его печатанию типографическим способом. Материалы бюллетеня используются иностранной прессой, обществами сближения и отдельными лицами (например, журналист Пе[д]ро де-Репиде — Испания, Ксавер Буено, испанский журналист, живущий в Женеве и др. использовали их в своих изданиях).</w:t>
      </w:r>
    </w:p>
    <w:p w14:paraId="2B78E36B"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Кроме Бюллетеней, за границу посылаются статьи в общества, инопрессу и отдельным лицам для выступлений и докладов об СССР. Тематика — итоги 2-х лет пятилетки, ГОЭЛРО, 10-летие[,] положение Красной армии, строительство нац. республик (Белорусская неделя, 10-летие Армении и др.). За последние два месяца за границу было разослано по отдельным вопросам культурного строительства СССР, как новых статей (заготовленных в связи с кампанией), так и прежде имевшихся в ВОКСе — около 500 отдельных статей.</w:t>
      </w:r>
    </w:p>
    <w:p w14:paraId="57B93EA9"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ВОКСом издается н[оме]р журнала (№ 1 ВОКС за 1931 год) и специальная брошюра, размером в 7 печ. листов, на 3-х иностранных языках, посвященная кампании. Журнал и брошюра содержат следующие статьи: 1) «2 года пятилетки», 2) «Как работает СССР», 3) «В СССР нет безработицы», 4) «Рамзины и интеллигенция СССР», 5) «Процесс «Промпартии», 6) «Отклики общественности на процесс». В настоящее время весь материал находится в верстке.</w:t>
      </w:r>
    </w:p>
    <w:p w14:paraId="78A5BB79"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Для кампании были использованы радио-передачи ВОКСа. Систематически передавались информации о процессе, было передано содержание митинга-протеста, организованного ВОКСом в связи с вредительством, а также подготовлен специальный литературно-музыкальный вечер, куда вошли мемуары свидетелей интервенции, отрывки из произведений писателей, ряд вокальных и музыкальных номеров, отражающих прошлую интервенцию. Кроме того, был передан специальный литературно-музыкальный вечер, посвященный произведением современных пролетарских писателей, отображающих текущие политические события.</w:t>
      </w:r>
    </w:p>
    <w:p w14:paraId="0916083F"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По линии Обществ Сближения:</w:t>
      </w:r>
    </w:p>
    <w:p w14:paraId="2D4712F5"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Ввиду того, что ВОКС смог развернуть кампанию, главным образом, по окончанию процесса, в настоящее время еще невозможно дать окончательный итог по проведению ее за границей. До сих пор продолжают еще поступать все новые и новые сведения об отдельных мероприятиях, которые намечены к проведению по линии Обществ. Так, ВОКСом получено сообщение о выходе в Швейцарии (Женева) отдельной брошюры-обращения Горького — «К гуманистам», который ожидается в ближайшем будущем и т. д. Сообщаемые ниже сведения являются только предварительным итогом по кампании и др.</w:t>
      </w:r>
    </w:p>
    <w:p w14:paraId="1AAF1214"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С начала кампании ВОКСом были даны директивы уполномоченным о включении Обществ Сближения в кампании против подготовки интервенции (рекомендовалось проводить митинги, ставить доклады, собирать декларации, использовать специальную и общую печать и т. д.) и о тщательном пересмотре состава Обществ под углом зрения исключения пассивных и скрыто-враждебных элементов и привлечения в них новых слоев трудовой интеллигенции.</w:t>
      </w:r>
    </w:p>
    <w:p w14:paraId="49555145"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Общества регулярно снабжались всеми выпущенными ВОКСом материалами (статьи, бюллетени и т. д.). Кроме того, ВОКС послал 23 статьи в журналы «Дас Нойе Руссланд», орган Общества Друзей новой России, которые были им использованы, 20 статей в журнал «МОНД». За период кампании Общества усиленно снабжались изданиями, отражающими успешный рост социалистического строительства СССР (были направлены материалы по пятилетке, СССР на стройке, плакаты, фото и т. д.). В библиотеки Обществ выписан ряд периодических изданий на год и т. д.</w:t>
      </w:r>
    </w:p>
    <w:p w14:paraId="691BB342"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Были приняты меры к использованию командируемых за границу ученых для чтения докладов. Проф. Самойлович прочел два доклада в Вене, которым было уделено много внимания. Венская и провинциальная печать поместила интервью проф. Самойловича и ряд благоприятных статей, что несколько разрядило атмосферу, созданную раньше австрийской прессой, в связи с процессом «Промпартии». Одновременно с Самойловичем проф. Визе выступал в Германии (Гамбург, Кенигсберг). Писатель Третьяков прочел ряд докладов в студенческих объединениях Германии (Гейдельберг, Геттинген ит.д.).</w:t>
      </w:r>
    </w:p>
    <w:p w14:paraId="66B8DA18"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В связи с ударной кампанией ряд выставок, находящихся за границей и подлежащих возврату в СССР, были переброшены из одной страны в другую. Так, выставка детской книги в сопровождении т. Мексина из Берлина направлена в Гамбург, откуда она перебрасывается в Прагу. Выставка изобразительных искусств из Венеции направлена в Прагу, выставка живописи из Венеции переброшена в Швейцарию и т. д. В настоящее время ВОКСом проводится усиленная подготовка 20 комплектов выставок-передвижек, которые будут использованы в качестве иллюстративного материала для докладов за границей об СССР. Выставки включают разделы: 1) индустриализация промышленности, 2) коллективизация сельского хозяйства, 3) народное образование, 4) здравоохранение.</w:t>
      </w:r>
    </w:p>
    <w:p w14:paraId="5C93B2DE" w14:textId="77E466D1"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В результате мы имеем следующие мероприятия со стороны Обществ Сближения. Германия — Обществом Друзей новой России проведен 16 декабря в Берлине многолюдный митинг с докладами о процессе «Промпартии». На митинге выступали ряд видных юристов и писателей (юрист — Левенталь, экономист — проф. Гольдшмидт, писатели —</w:t>
      </w:r>
      <w:r w:rsidR="00FE094E">
        <w:rPr>
          <w:color w:val="000000" w:themeColor="text1"/>
          <w:sz w:val="16"/>
          <w:szCs w:val="16"/>
        </w:rPr>
        <w:t xml:space="preserve"> </w:t>
      </w:r>
      <w:r w:rsidRPr="005E779E">
        <w:rPr>
          <w:color w:val="000000" w:themeColor="text1"/>
          <w:sz w:val="16"/>
          <w:szCs w:val="16"/>
        </w:rPr>
        <w:t>Голичер, Киш, Ренн, Зейгерс и др.). Характерно, что буржуазная пресса или умолчала об этом митинге или поместила (белогвардейская газета «Руль») резко-враждебные отзывы. Аналогичный митинг был подготовлен Обществом Сближения в Мюнхене, но он не состоялся в виду запрещения полиции. В Гамбурге имел место доклад Альфонса Гольтшмидт и Левенталь по поводу процесса, в Кенигсберге состоялось выступление на эту тему Людвига Ренна. В декабрьском номере журнала «Дас Нейе Русланд» помещен ряд статей, посвященных кампании, а январский номер целиком посвящен процессу «Промпартии» (половина материалов была послана ВОКСом).</w:t>
      </w:r>
    </w:p>
    <w:p w14:paraId="2941DAEC"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В Германии за последнее время наблюдается стремление в известной части националистических кругов установить контакт с обществом Сближения.</w:t>
      </w:r>
    </w:p>
    <w:p w14:paraId="5E785544"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Дания — 27-го декабря тов. Кобецкий выступил в Датско-Русском обществе с докладом об экономической и культурной связи СССР с Данией, что стоит в связи с кампанией. Доклад внимательно обсуждался в прессе, при чем ряд социал-демократических газет напечатал довольно дружественные отзывы. В конце января Датско-Русское Общество устраивает большой вечер, посвященный вопросам интервенции и подготовляет специальный номер журнала на эту тему.</w:t>
      </w:r>
    </w:p>
    <w:p w14:paraId="496C011F"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Швейцария — состоялся доклад тов. Ремизова (швейцарский журналист, член Общества Сближения) на общем собрании свободомыслящих в Женеве на тему: «Верховный суд рабочих над агентами империализма».</w:t>
      </w:r>
    </w:p>
    <w:p w14:paraId="4F73DFEC"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Швейцария и Франция — в Женеве, Париже, Лионе состоялся доклад по вопросам защиты СССР против интервенции, журналистки Камиль Древе (член президиума «Интернациональной Лиги Женщин», недавно посетившей СССР).</w:t>
      </w:r>
    </w:p>
    <w:p w14:paraId="2B623C86"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Бельгия — номер журнала Бельгийского Общества Сближения «Ла НЭП», будет целиком посвящен вопросам интервенции и процессу «Промпартии», где будут использованы материалы, посланные ВОКСом (в ВОКСе имеются оттиски этого номера).</w:t>
      </w:r>
    </w:p>
    <w:p w14:paraId="72B8A7B5"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Из ряда стран (Англия, Америка, Германия, Швейцария) получено много писем от отдельных представителей заграничной интеллигенции (педагогов, профессоров, экономистов и т. д.), где они пишут о получении воксовских материалов и выражают свое негодование по поводу подготовки интервенции. С другой стороны, получены отдельные сообщения и намеки, что посылка бюллетеней и других материалов ВОКСа в связи с кампанией отдельным адресатам неудобн[а].</w:t>
      </w:r>
    </w:p>
    <w:p w14:paraId="3106D273"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По работе внутри СССР.</w:t>
      </w:r>
    </w:p>
    <w:p w14:paraId="6DC45DD1"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 xml:space="preserve">ВОКСом был проведен 23-го ноября (в Доме Ученых) митинг представителей науки и искусства СССР против подготовки интервенции с последующим использованием его материалов за границей (печать, радио и т. д.). Под резолюцией этого митинга, содержащей призыв к заграничной общественности выступить </w:t>
      </w:r>
      <w:r w:rsidRPr="005E779E">
        <w:rPr>
          <w:color w:val="000000" w:themeColor="text1"/>
          <w:sz w:val="16"/>
          <w:szCs w:val="16"/>
        </w:rPr>
        <w:lastRenderedPageBreak/>
        <w:t>против интервенции, был организован сбор подписей как в Москве, так и на периферии. В итоге по одной Москве было собрано около 700 подписей представителей советской общественности, которые передаются за границу (через Бюллетени). Кроме того, было проведено 48 интервью с видными представителями науки и искусства СССР и иностранными специалистами по вопросу их отношения к интервенции, которые также использованы для передачи за границу.</w:t>
      </w:r>
    </w:p>
    <w:p w14:paraId="2150052D"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В помещении ВОКС организован специальный уголок «Против интервенции», включающ[ий] разделы: 1) Интервенция в [19]18 и [19]19 гг. 2) Процесс Промпартии (сопоставление с моментами строительства СССР), 3) Учет работы ВОКС в общей кампании против интервенции 4) Издание и библиография по интервенции 5) Основные экспонаты: фото-списки, плакаты, бюллетени и т. д.</w:t>
      </w:r>
    </w:p>
    <w:p w14:paraId="15E358B5"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Все иностранцы, проходящие через ВОКС, систематически знакомятся с материалами Уголка и снабжаются материалами ВОКС в связи с кампанией.</w:t>
      </w:r>
    </w:p>
    <w:p w14:paraId="4DCEC48F"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В целях планомерного обслуживания иностр. специалистов, работающих сейчас в СССР (что является особенно актуальным в связи с кампанией), ВОКС вошел в контакт со всеми организациями, ведущими работу с иностр. специалистами (НК РКИ, Клуб Дзержинского, Западная Торговая] Палата и т. д.) и предложил разработанную им программу обслуживания иностранных специалистов. Программа, включающая цикл лекций, кинопросмотров и экскурсий утверждена и в настоящее время проводится через Клуб Дзержинского.</w:t>
      </w:r>
    </w:p>
    <w:p w14:paraId="1057939E"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Итоги Кампании.</w:t>
      </w:r>
    </w:p>
    <w:p w14:paraId="0AC6DCEF"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Как указывалось выше, материалы данного отчета являются лишь предварительным подведением итогов по кампании. Но они уже дают возможность сказать, что по линии информационно-пропагандистской работы она приняла со стороны ВОКСа широкий размах (рассылка 500 статей, издание 5-ти бюллетеней и т. д.).</w:t>
      </w:r>
    </w:p>
    <w:p w14:paraId="0A1669B6"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Что касается массовой работы самих обществ, то она развернулась до сих пор, главным образом, по Германии. Основным препятствием для ее широкого размаха является социальный состав Обществ Сближения, который не дает возможности развернуть ряд массовых мероприятий.</w:t>
      </w:r>
    </w:p>
    <w:p w14:paraId="18E21707" w14:textId="77777777" w:rsidR="00BC2229" w:rsidRPr="005E779E" w:rsidRDefault="00BC2229" w:rsidP="000B7A6C">
      <w:pPr>
        <w:pStyle w:val="ae"/>
        <w:spacing w:before="0" w:after="0"/>
        <w:jc w:val="both"/>
        <w:rPr>
          <w:color w:val="000000" w:themeColor="text1"/>
          <w:sz w:val="16"/>
          <w:szCs w:val="16"/>
        </w:rPr>
      </w:pPr>
      <w:r w:rsidRPr="005E779E">
        <w:rPr>
          <w:rStyle w:val="af0"/>
          <w:i w:val="0"/>
          <w:color w:val="000000" w:themeColor="text1"/>
          <w:sz w:val="16"/>
          <w:szCs w:val="16"/>
        </w:rPr>
        <w:t>ГА РФ. Ф. P-5283. On. 1.Д. 139. Л. 108-110 об. Машинописная копия того времени (19953).</w:t>
      </w:r>
    </w:p>
    <w:p w14:paraId="349A2BF4" w14:textId="77777777" w:rsidR="00BC2229" w:rsidRPr="005E779E" w:rsidRDefault="00BC2229" w:rsidP="000B7A6C">
      <w:pPr>
        <w:spacing w:after="0" w:line="240" w:lineRule="auto"/>
        <w:jc w:val="both"/>
        <w:rPr>
          <w:rFonts w:ascii="Times New Roman" w:hAnsi="Times New Roman"/>
          <w:color w:val="000000" w:themeColor="text1"/>
          <w:sz w:val="16"/>
          <w:szCs w:val="16"/>
        </w:rPr>
      </w:pPr>
    </w:p>
    <w:p w14:paraId="19950343" w14:textId="77777777" w:rsidR="00BC2229" w:rsidRPr="005E779E" w:rsidRDefault="00BC2229"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20 января 1931 г.</w:t>
      </w:r>
    </w:p>
    <w:p w14:paraId="04AAF018" w14:textId="77777777" w:rsidR="00BC2229" w:rsidRPr="005E779E" w:rsidRDefault="00BC2229"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Из стенограммы заседания Агитпропотдела Исполкома Коминтерна по обсуждению хода зарубежной кампании вокруг процесса «Промпартии» и возможной военной угрозы для СССР. 20 января 1931 г.</w:t>
      </w:r>
    </w:p>
    <w:p w14:paraId="2CC97886" w14:textId="77777777" w:rsidR="00BC2229" w:rsidRPr="005E779E" w:rsidRDefault="00BC2229"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Источник: </w:t>
      </w:r>
    </w:p>
    <w:p w14:paraId="4821822C" w14:textId="77777777" w:rsidR="00BC2229" w:rsidRPr="005E779E" w:rsidRDefault="00BC222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88BB57D" w14:textId="77777777" w:rsidR="00BC2229" w:rsidRPr="005E779E" w:rsidRDefault="00BC2229" w:rsidP="000B7A6C">
      <w:pPr>
        <w:pStyle w:val="ae"/>
        <w:spacing w:before="0" w:after="0"/>
        <w:jc w:val="both"/>
        <w:rPr>
          <w:color w:val="000000" w:themeColor="text1"/>
          <w:sz w:val="16"/>
          <w:szCs w:val="16"/>
        </w:rPr>
      </w:pPr>
      <w:r w:rsidRPr="005E779E">
        <w:rPr>
          <w:color w:val="000000" w:themeColor="text1"/>
          <w:sz w:val="16"/>
          <w:szCs w:val="16"/>
        </w:rPr>
        <w:t>20 января 1931 г.</w:t>
      </w:r>
    </w:p>
    <w:p w14:paraId="32BE5EA4" w14:textId="77777777" w:rsidR="00BC2229" w:rsidRPr="005E779E" w:rsidRDefault="00BC2229" w:rsidP="000B7A6C">
      <w:pPr>
        <w:pStyle w:val="ae"/>
        <w:spacing w:before="0" w:after="0"/>
        <w:jc w:val="both"/>
        <w:rPr>
          <w:color w:val="000000" w:themeColor="text1"/>
          <w:sz w:val="16"/>
          <w:szCs w:val="16"/>
        </w:rPr>
      </w:pPr>
      <w:r w:rsidRPr="005E779E">
        <w:rPr>
          <w:color w:val="000000" w:themeColor="text1"/>
          <w:sz w:val="16"/>
          <w:szCs w:val="16"/>
        </w:rPr>
        <w:t>Секретно</w:t>
      </w:r>
    </w:p>
    <w:p w14:paraId="4C419870" w14:textId="77777777" w:rsidR="00BC2229" w:rsidRPr="005E779E" w:rsidRDefault="00BC2229" w:rsidP="000B7A6C">
      <w:pPr>
        <w:pStyle w:val="ae"/>
        <w:spacing w:before="0" w:after="0"/>
        <w:jc w:val="both"/>
        <w:rPr>
          <w:color w:val="000000" w:themeColor="text1"/>
          <w:sz w:val="16"/>
          <w:szCs w:val="16"/>
        </w:rPr>
      </w:pPr>
      <w:r w:rsidRPr="005E779E">
        <w:rPr>
          <w:color w:val="000000" w:themeColor="text1"/>
          <w:sz w:val="16"/>
          <w:szCs w:val="16"/>
        </w:rPr>
        <w:t>ЗАСЕДАНИЕ АПО ИККИ</w:t>
      </w:r>
    </w:p>
    <w:p w14:paraId="0B81D8E2" w14:textId="77777777" w:rsidR="00BC2229" w:rsidRPr="005E779E" w:rsidRDefault="00BC2229" w:rsidP="000B7A6C">
      <w:pPr>
        <w:pStyle w:val="ae"/>
        <w:spacing w:before="0" w:after="0"/>
        <w:jc w:val="both"/>
        <w:rPr>
          <w:color w:val="000000" w:themeColor="text1"/>
          <w:sz w:val="16"/>
          <w:szCs w:val="16"/>
        </w:rPr>
      </w:pPr>
      <w:r w:rsidRPr="005E779E">
        <w:rPr>
          <w:color w:val="000000" w:themeColor="text1"/>
          <w:sz w:val="16"/>
          <w:szCs w:val="16"/>
        </w:rPr>
        <w:t>20 января 1931 г.</w:t>
      </w:r>
    </w:p>
    <w:p w14:paraId="0F6A0190" w14:textId="77777777" w:rsidR="00BC2229" w:rsidRPr="005E779E" w:rsidRDefault="00BC2229" w:rsidP="000B7A6C">
      <w:pPr>
        <w:pStyle w:val="ae"/>
        <w:spacing w:before="0" w:after="0"/>
        <w:jc w:val="both"/>
        <w:rPr>
          <w:color w:val="000000" w:themeColor="text1"/>
          <w:sz w:val="16"/>
          <w:szCs w:val="16"/>
        </w:rPr>
      </w:pPr>
      <w:r w:rsidRPr="005E779E">
        <w:rPr>
          <w:color w:val="000000" w:themeColor="text1"/>
          <w:sz w:val="16"/>
          <w:szCs w:val="16"/>
        </w:rPr>
        <w:t>Протокол № 2</w:t>
      </w:r>
    </w:p>
    <w:p w14:paraId="70CAB246" w14:textId="77777777" w:rsidR="00BC2229" w:rsidRPr="005E779E" w:rsidRDefault="00BC2229" w:rsidP="000B7A6C">
      <w:pPr>
        <w:pStyle w:val="ae"/>
        <w:spacing w:before="0" w:after="0"/>
        <w:jc w:val="both"/>
        <w:rPr>
          <w:color w:val="000000" w:themeColor="text1"/>
          <w:sz w:val="16"/>
          <w:szCs w:val="16"/>
        </w:rPr>
      </w:pPr>
      <w:r w:rsidRPr="005E779E">
        <w:rPr>
          <w:color w:val="000000" w:themeColor="text1"/>
          <w:sz w:val="16"/>
          <w:szCs w:val="16"/>
        </w:rPr>
        <w:t>ГОПНЕР</w:t>
      </w:r>
    </w:p>
    <w:p w14:paraId="2B2613C7"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Товарищи, разрешите собрание открыть. Задачей сегодняшнего собрания является подготовка итогов, формулированных в связи с процессом для доклада на Политсекретариате. По поводу процесса у нас уже было несколько собраний, где были представлены массовые организации, а партии были очень слабо представлены. Задачей сегодняшнего собрания является заслушивать планы массовых организаций, их директивы. Что касается партии, то и относительно этих партий, центр внимания должен быть обращен не на изложение мероприятий партий, их планов и директив, хотя и об этом несколько слов следует сказать, а главное внимание должно быть сконцентрировано вокруг политических итогов этой кампании. По поводу постановки вопроса, как мы должны осветить эту кампанию, с этой стороны я и скажу несколько слов.</w:t>
      </w:r>
    </w:p>
    <w:p w14:paraId="6ED185F1"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В чем была особенность этой кампании? Она не подготовлялась долгими планами и подробными директивами Коминтерна. Директива была очень краткая по телеграфу. Это не есть традиционная кампания, как 1 мая, 7 ноября, к которым готовятся из года в год, а это была кампания по поводу актуальнейшего события, по поводу вопроса нашей борьбы, имеющего первостепенное значение. На этой кампании наши партии должны были быть проверены с какой точки зрения? В какой мере они подвижны, в какой мере они способны откликаться быстро на всякое событие, в какой мере они могут реализовать свое все более растущее политическое влияние в форме массовых выступлений. Поэтому мы должны сегодня как следует заняться вопросом, каковы были политические акции партий. Конечно, здесь совершенно исключительное значение имеет печать. Если мы планы и все другие внутренние мероприятия партии сегодня можем оставить в тени, не будем о них говорить очень много, то о печати надо говорить много. Почему? Потому что печать отображает не только субъективный фактор, не только то, что делает партия, но также потому, что само выступление печати уже есть большая политическая акция. Но, конечно, если мы считали что выступление печати это все в акции наших партий, то это было бы совершенно неправильно. Мы должны сегодня также большое внимание уделить вопросу о собраниях, митингах и демонстрациях, несмотря на то, что этих демонстраций почти не было[,] и мы должны дать оценку тому факту, что демонстраций было так мало. В такой постановке стоит сегодня этот вопрос. Те доклады, которые нам представлены в письменном виде, далеко не все подытожили в этом вопросе. Анализ имеется более или менее глубокий в отчете тов. Арнота об Америке, немножко в отчете об Англии, не знаю, кто его писал, он не подписан, и в отчете тов. Меринга о Норвегии. Остальные отчеты стараются дать фактическую сторону и избегают или очень мало дают политическую оценку. Этим недостатком страдают почти все письменные доклады, представленные нам. Так что надо дать не только анализ печати, как это делают почти все товарищи, которые воздерживаются от квалификации того, как партии проводили эту кампанию организационно. Кроме того, надо сказать, что целый ряд политических докладов еще не получен. Правда, во многих странах кампания не закончена и мы сами хотим, чтобы она продолжалась. Но тем не менее теперь тем этапам, которые уже прошли, мы можем подвести итоги.</w:t>
      </w:r>
    </w:p>
    <w:p w14:paraId="770C67C8"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В связи с этим я в своем кратком выступлении остановлюсь только на итогах по следующему плану. Прежде всего о том, когда партии начали кампанию. Этот важный вопрос для проверки их способности быстро откликаться на важные случаи, события. Второй вопрос количественный: какое внимание, сколько внимания печать уделяла этой кампании? Третий вопрос — несколько слов об идеологической стороне. Очень кратко мне придется сказать, ибо здесь больше придется говорить представителям партий. Идеологическая сторона тоже дает представление о том, как партии оценивают или недооценивают военную опасность. Об этом очень мало придется говорить. Есть еще много других вопросов о поведении массовых организаций и еще важный вопрос подвести опыт тому, что мы делаем сейчас, т. е. тому, что мы не всегда делали. Мы знаем, что в Коминтерне были мобилизованы значительные силы, целый большой аппарат был поставлен на процесс и эта работа оставила кое-какой след, и нам нужно сделать кое-какие практические выводы о том, что желательно здесь постоянное присутствие корреспондентов иностранных газет. Сегодня надо сосредоточить все внимание на политической оценке того, что сделано и что успели наши партии.</w:t>
      </w:r>
    </w:p>
    <w:p w14:paraId="31F65FF7"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Первый вопрос — начало кампании. Вы знаете, что первая телеграмма о том, что будет этот процесс, появилась в виде краткой [информации] после годовщины октября, примерно числа 10 или 9 ноября. 11 ноября уже были напечатаны краткие выдержки из обвинительного акта. Это появилось в инпрекоре 14 ноября. В Германии 11, а в других позже. Когда наши партии начали эту кампанию? Я начну с той партии, которая должна быть в центре нашего внимания, с французской коммунистической партии, ибо для вас не секрет, что весь процесс разоблачи[л] роль Франции. Как наша партия вела себя в этой стране, это имеет для нас несомненно большое значение. Так вот, во Франции первое телеграфное сообщение ТАСС появилось 13 ноября. Затем три дня было молчание. 16 была передовая &lt;статья&gt;, 17-го началась систематическая кампания. Но только с начала процесса 25-го числа эта кампания приняла уже характер настоящей систематической сконцентрированной кампании. Провинциальная печать начала, конечно, гораздо позже эту кампанию. В Англии приблизительно в таком же разрезе: по-настоящему кампания начинается только с начала процесса. Первое сообщение 13 ноября, 22 ноября появилось воззвание английской компартии и общества друзей.</w:t>
      </w:r>
    </w:p>
    <w:p w14:paraId="53CC4765"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Теперь Германия. Германии, как мы уже знаем, надо констатировать недооценку этой кампании. Тут было одно обстоятельство, которое мешало германской компартии вовремя начать эту кампанию — это то, что «Роте Фане» был закрыт, как раз перед началом кампании. Но все же, даже с этой оговоркой, кампания в Германии началась довольно поздно, она началась лишь 23 ноября с передовой. Что касается количественного обслуживания, то мы будем об этом еще говорить. Провинциальная пресса начала еще позже эту кампанию. В Соединенных] Штатах можно считать, что эта кампания началась довольно рано, приблизительно к моменту годовщины 7-го ноября и не прекращалась. 7-го ноября она велась в связи с кампанией против, так называемого, демпинга, а с начала процесса, приблизительно в двадцатых числах ноября, эта кампания начинает вестись довольно интенсивно и приобретает огромную напряженность и ударность — и в таком виде ведется до 6-го декабря.</w:t>
      </w:r>
    </w:p>
    <w:p w14:paraId="5EDBBE2A"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В Чехо-Словакии кампания началась прежде всего в немецкой прессе, а не в чешской. Она началась в «Форверсте» и потом уже перешла в другую печать. В Австрии с 20 ноября. В Бельгии с 21-го, передовая, посвященная процессу, появилась 29-го. В Голландии с 18-го ноября. Что касается Швеции и Норвегии, то кампания начинается довольно поздно — в Норвегии 21 ноября, в Швеции 18-го ноября.</w:t>
      </w:r>
    </w:p>
    <w:p w14:paraId="2F1B2E3F"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Что касается нелегальных стран, то о своевременном начале кампании речи быть не могло потому, что в этих странах вообще кампания в легальной прессе очень слабо освещалась. Тут работа шла по линии агитационных брошюр и листовок.</w:t>
      </w:r>
    </w:p>
    <w:p w14:paraId="40C9EA53"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 xml:space="preserve">Когда кончилась кампания? Почти все партии поняли таким образом, что как только был опубликован первый приговор и потом отмена смертной казни ЦИКом и комментарии к этому приговору, после этого с кампанией покончили. Она резко оборвалась, пока Коминтерн не дал в те же дни телеграмму, что ее нельзя прекращать ни на один день. Если подсчитать относительно того, когда партии начали кампанию и когда кончили, то какие выводы мы должны сделать относительно эластичности наших партий, относительно недооценки или правильной оценки ими этой кампании? Я думаю, что вывод должен быть не особенно оптимистический. Это показывает следующее, что наши партии ни после первой крошечной заметки о том, что будет такой процесс, ни после первых кратких выписок из обвинительного акта не поняли </w:t>
      </w:r>
      <w:r w:rsidRPr="005E779E">
        <w:rPr>
          <w:color w:val="000000" w:themeColor="text1"/>
          <w:sz w:val="16"/>
          <w:szCs w:val="16"/>
        </w:rPr>
        <w:lastRenderedPageBreak/>
        <w:t>без директивы Коминтерна, что немедленно надо начать кампанию и только после того, как их отсюда молотом по голове ударили, они раскачались и то с достаточным опозданием. После того, как процесс кончился, каждая партия думала, что ее задача выполнена. Так как вопрос об интервенции стоит остро в центре внимания Коммунистического Интернационала, эти факты показывают, что недооценка этой кампании является общим недостатком всех наших партий.</w:t>
      </w:r>
    </w:p>
    <w:p w14:paraId="1D2F37EA"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Перехожу ко второму вопросу — о количестве. Возьмем первую страну — Францию. Тогда, когда кампания уже раскачалась, т. е. с достаточно большим опозданием, конечно, «Юманите» гораздо больше других газет уделяла &lt;внимание&gt; этому вопросу в течение 10 дней, кажется, подряд все передовые или почти все передовые были посвящены процессу, печатались почти все наши телеграммы, кажется, без больших сокращений. Были статьи Кашена и очень мало своих статей. Как вам известно, тов. Кашен был вызван сюда, так что его статьи шли отсюда. Таким образом, в количественном отношении мы не можем особенно пожаловаться на «Юманите».</w:t>
      </w:r>
    </w:p>
    <w:p w14:paraId="3780C39B"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Что касается «Роте Фане», германского центрального органа, то надо прямо сказать, что здесь была сильная недооценка. Во-первых, в течение первой половины процесса статьи не выносились на первую страницу, передовых было очень мало. Мы знаем какая обстановка была в Германии во время этой кампании. В Германии в это время происходили острейшие бои германского масштаба, и об этом будут много говорить.</w:t>
      </w:r>
    </w:p>
    <w:p w14:paraId="61DCE29B"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Германия не стоит во главе антисоветского похода, не стоит в его центре, это очень важное обстоятельство, и от Франции мы гораздо больше требуем, чем от Германии, но тем не менее германская компартия должна была к этому процессу отнестись не как к кампании, между прочим. А между тем вы увидите, что и митинги, и собрания в Германии очень малочисленные, откликнувшиеся на этот процесс, тоже были митингами и собраниями не созванными специально в связи с этой кампанией, а это были митинги, собрания, конференции, съезды, происходившие по другим очень важным поводам. Весь характер освещения в «Роте Фане» и его идеологический загиб показывает, что в Германии эта кампания недооценивалась. Еще хуже, конечно, освещала провинциальная печать. Она перепечатывала в общем и целом то, что давал «Роте Фане». Все десятки провинциальных газет давали то же самое.</w:t>
      </w:r>
    </w:p>
    <w:p w14:paraId="71EE3138"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Что касается Англии, то нужно сказать, что «Дэйли Уоркер» вел кампанию весьма неплохо, можно сказать даже удовлетворительно. Что касается «Дейли Уоркер» в Соед[иненных] Штатах, то о недооценке говорить не приходится. Кампания велась ярко, напряженно, с громадным темпераментом, систематически и сконцентрировано. В этом отношении эти две газеты, оба «Дэйли Уоркер» в данном случае имели некоторые, может быть, идеологические отступления, но оценка кампании была прекрасная.</w:t>
      </w:r>
    </w:p>
    <w:p w14:paraId="59E3142C"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Что касается чехо-словацкой печати, то провинциальная печать там была слабее столичной. Что касается центральной печати, то это была ударная кампания, стоящая в центре внимания, в смысле количества мы пожаловаться не можем.</w:t>
      </w:r>
    </w:p>
    <w:p w14:paraId="7789CC4C"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Скандинавская печать очень недооценила кампанию, в особенности если обратить внимание на то, что шведская буржуазная печать вела исключительно яростную кампанию против нас. Я об этом не сказала в отношении к французской, английской и чехо-словацкой буржуазной печати потому, что всем известно, что там был исключительный натиск на нас. И в скандинавской печати в связи с лесом и спичками против нас в то время была совершенно исключительная яростная кампания и наша печать очень слабо откликалась, почти совсем не откликалась, раскачалась очень поздно, и когда раскачалась наша большая печать и то недостаточно.</w:t>
      </w:r>
    </w:p>
    <w:p w14:paraId="7C6F8A86"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Относительно количества надо было бы еще дать статистику, но, к сожалению, точной статистики нет, относительно воззваний, листовок, манифестов, плакатов и относительно перепечатания такого важного документа, как воззвание Горького, о чем была дана специальная директива отсюда по линии Агитпропа. Точной статистики нет, но нужно сказать, что общее впечатление такое, что воззваний было не мало. Вот, товарищи, относительно количества. Если мы сделаем вывод относительно оценки и недооценки, мы скажем, что за некоторыми исключениями в общем и целом в начале кампании количество тоже было недооценено, материала давали недостаточно. Нечего говорить уже о том, что в такой печати, как австрийская, бельгийская, голландская было совсем плохо вначале, потом несколько поправилось. Только в середине процесса они количественно раскачались и стали давать гораздо больше. Конечно, Франция давала больше других партий.</w:t>
      </w:r>
    </w:p>
    <w:p w14:paraId="5E222DE4"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Относительно нелегальных партий, то о своевременности мы не можем ничего сказать, потому что у нас не было там такой печати. Однако, все-таки только в начале декабря в легальных органах нашей партии, т. е., считающихся нашими органами, появился ряд статей в Польше, а потом идет брошюрочная литература, которая отчасти печатается. Так что тут никогда не приходится говорить относительно своевременности.</w:t>
      </w:r>
    </w:p>
    <w:p w14:paraId="60475D5E"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Перехожу к идеологии. Я буду говорить очень мало, скажу только главное, — может быть, товарищи меня тут дополнят. Во французской печати нельзя сказать, чтобы была четкая и ясная установка. Вначале была недооценка о важности голоса международного пролетариата, и в особенности французского пролетариата. Очень много говорилось относительно силы Красной армии, очень много говорилось о ГПУ и почему получилось впечатление, что, собственно говоря, против интервенции сделано уже так много, что вывод получался слишком оптимистический. Но французская «Юманите» гораздо раньше, чем «Роте Фане», выправил[а] этот недостаток и очень скоро там появились статьи, где говорилось о том, что французский пролетариат, в первую очередь, и международный пролетариат вообще должен давать отпор интервенистским попыткам. Но все-таки ни в статьях тов. Кашена, ни в других статьях, которые появились в «Юманите», большой четкости, тонкости понимания всех сторон процесса, в особенности, фактической стороны мы отметить не могли. Но гораздо больше загибов было в германской печати. Конечно, общая линия, в конце концов, была выправлена, но в первые дни были особенно сильные загибы и достаточно того, что эти загибы были в первые дни, чтобы это отразилось на всей провинциальной печати и на всех массовых митингах и т. д. Все внимание было сконцентрировано вокруг смертной казни: расстрелять, расстрелять, расстрелять. И даже данцигские красные фронтовики вынесли такую резолюцию, что они будут считать почетным поручением или высокой честью, если им дадут выполнить этот смертный приговор над этими самыми контрреволюционерами. И только после директив отсюда это уродство было выправлено. Но это уже имело свое отражение и можно отметить множество резолюций, десятки митингов и собраний, десятки провинциальных газет, которые проводили кампанию под этим знаком, под знаком сконцентрирования внимания вокруг сурового наказания, вокруг расстрела. Вторая ошибка заключалась в том, что русские контрреволюционеры с самого начала были зачислены в фашисты, что это процесс русских фашистов, что эти контрреволюционеры являются фашистами на советской почве.</w:t>
      </w:r>
    </w:p>
    <w:p w14:paraId="2CD5BB50"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Конечно, это было весьма и весьма неосторожно — рассматривать наших контрреволюционеров как фашистов. Потом линия была выправлена и начали появляться статьи относительно роли международного пролетариата в этом деле. Вся печать страдала тем, что она не давала достаточного отпора по всем пунктам, по которым на нас нападала социал-демократическая и буржуазная печать. Прежде всего, эти контрреволюционеры изображались как цвет науки, потом появились всякие клеветнические сообщения о том, что Ворошилов арестовал Сталина и т. д. Всем этим сплетням, которые появлялись в буржуазной и социал-демократической печати, не давался достаточный отпор. Очень яркие факты, которые выявились в процессе, относительно роли II-го Интернационала, относительно того, что группа Громана и Суханова участвовала в этом деле, что Громан сам писал докладные записки для заграничных контрреволюционеров, а эти записки попадали во французский генеральный штаб, все эти факты только после статей отсюда были освещены. А в начале на них обращалось очень мало внимания. Так что борьба с нашими противниками является слабой стороной нашей печати. В польской печати была тоже маленькая ошибка. Они разоблачали буржуазную и социал- демократическую печать, ее нападки больше в отношении других стран, а не печать П.П.С. и пилсудчиков. Наша польская печать больше разоблачала «Популер» и «Форверст», чем свою польскую П. П.С.-вскую и пилсудческую печать. Общие выводы в общем и целом были правильны, но были отдельные погрешности, которые особенно значительны были в Германии. Наиболее слабым местом являлся отпор нашим противникам, а также неумение увязать борьбу против интервенции в связи с процессом, в связи с экономической и политической ежедневной борьбой на месте, которая сейчас ведется во всех странах, неумение увязать эту борьбу с кризисом. Более умело это делала, как раз, американская печать.</w:t>
      </w:r>
    </w:p>
    <w:p w14:paraId="1E7FAF93"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О действиях массовых организаций я не буду здесь говорить, во- первых, потому, что их планы и директивы мы заслушивали здесь и дали им оценку, а отчетов, как планы претворены в жизнь, у нас не имеется. Мы хотели бы сегодня от представителей массовых организаций получить, по крайней мере, краткие сведения, причем мы их просим, чтобы они дали нам сведения относительно выступлений, митингов, что мы считаем самым главным, относительно акций масс. Во Франции был сначала объявлен грандиозный план, что во Франции будет организовано 40 больших митингов. Правда, это было рассчитано на длительный срок, кажется, на целый месяц. Эти митинги до сих пор не закончены, они еще продолжаются, но о численности некоторых из этих митингов мы знаем. В Париже был проведен митинг, в котором участвовало 500 человек, в &lt;...&gt; 2.000 человек. Но нужно здесь иметь в виду, как подсчитываются цифры. Так они подсчитывают представительства. Например, считают что было представлено 12.000 рабочих, или что землекопы представляют 3.000 человек, не собралось столько, а представляют 3.000. Например, съезд рабочих электрической промышленности имел 130 делегатов, которые представляли собой 24.000 рабочих. Но, конечно, эти цифры о представительствах не должны вводить нас в заблуждение. Во-первых, надо отметить, что многие из этих собраний были организованы не в связи с опасностью интервенции, а по другим поводам и очень хорошо, конечно, что они вынесли резолюцию и заслушали доклад об интервенции. Центральный митинг в Париже с отчетом тов. Кашена, вероятно, был многочисленным. Все большое помещение, где он состоялся, было переполнено. Там присутствовало, вероятно, 1.000 человек и это чуть ли не самый большой митинг. Что касается провинций, то говорят, что в гор. Велянсьене рабочие вышли на улицу с демонстрацией после митинга. Это обычная вещь, после митингов они всегда прогуливаются. Коминтерн не давал прямой директивы относительно демонстрации, но это не должно, конечно, заставить нас сделать такой вывод, что поскольку директив не было, то и требовать нечего. Франция играла в этой кампании совершенно исключительную роль. Громадная кампания со стороны печати должна была вызвать какое- то массовое движение, обязана была вызвать, и эту задачу партия должна была поставить перед собой. Я не знаю, поставила ли французская партия политически перед собой эту задачу, но я должна сказать от себя, что отсутствие демонстраций во Франции является пробелом этой кампании на данной стадии, потому что в любой другой стране могло не быть демонстраций, а во Франции мы могли требовать, чтобы была хотя бы одна внушительная демонстрация. Я на Политсекретариате буду защищать такое мнение, что отсутствие демонстраций во Франции является позором. Мы не имеем пока никаких данных о том, были ли какие-нибудь выступления во Франции со стороны транспортников, матросов, со стороны солдат, со стороны молодежи. Об этом пока никаких данных нет. Это нам надо со всей силой подчеркнуть. Таким образом, оценка кампании во Франции приводит нас к самому пессимистическому выводу.</w:t>
      </w:r>
    </w:p>
    <w:p w14:paraId="237F6722"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 xml:space="preserve">Относительно Англии. Там план был такой, когда мы увидели его в газетах, мы были обрадованы. Там был план провести 15 митингов по стране. Однако, в отчете, который у меня лежит, не знаю, кто его писал, он представлен на русском языке, видно, что этот план провалился. Нужно сказать, что там было, кажется, воззвание </w:t>
      </w:r>
      <w:r w:rsidRPr="005E779E">
        <w:rPr>
          <w:color w:val="000000" w:themeColor="text1"/>
          <w:sz w:val="16"/>
          <w:szCs w:val="16"/>
        </w:rPr>
        <w:lastRenderedPageBreak/>
        <w:t>Центрального Комитета и общества друзей с призывом к демонстрации, но на это воззвание ни один рабочий не откликнулся. А те собрания, которые были, их было, во-первых, числом не 15, а, во-вторых, это были жалкие собрания.</w:t>
      </w:r>
    </w:p>
    <w:p w14:paraId="69A436D3"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Теперь относительно Германии. О Германии у нас нет очень точных данных, но все-таки, очевидно, что десятки, если не больше, собраний и митингов откликнулись на эту кампанию. Были ли демонстрации, я не знаю.</w:t>
      </w:r>
    </w:p>
    <w:p w14:paraId="5BD834B0"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Товарищи, какие выводы можно сделать сегодня? В области собраний и митингов надо сказать, что больше половины, больше 50% этих собраний и митингов были собраниями и митингами созванными по другому поводу, но в порядке дня которых стоял и вопрос об интервенции. Это тоже неплохо, но специальной кампании не было. То, что я видела в отчете германского Агитпропа, говорит о том, что эту кампанию считали кампанией между прочим, эту кампанию считали пристегнутой к другим кампаниям. В докладе АПО КПГ говорится, что кампанию процесса мы связали с кампанией 7-го ноября и там освещали вопрос о войне. Очевидно, конечно, что Германия не стоит в центре антисоветского похода. Это ясно. Она, может быть, будет помогать империалистам, я думаю, что она будет помогать, но она не стоит в центре антисоветского похода. Но нельзя недооценивать роли Германии в этой кампании. Это было бы большой ошибкой. Прежде всего, массы не предупреждены о военной опасности, мы видим, что в Германии, очевидно, не только широкие массы не видят военной опасности, но и коммунисты не видят ее, они свой план построили так, что у нас создалось впечатление, что они этой военной опасности не видят. Относительно откликов надо сказать, что их было много и в Берлине, и в других местах. И в Гамбурге, и в Эссене, и в других районах мы всюду видим, что принимаются резолюции.</w:t>
      </w:r>
    </w:p>
    <w:p w14:paraId="106A1D55"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Относительно Соединенных Штатов Северной Америки имеется глухая заметка о том, что в Вашингтоне была демонстрация. В печати кампания велась очень ярко, а относительно массовых акций мы знаем очень мало. Еще менее утешительного мы знаем о других странах. В Австрии было собрание социал-демократов. Есть непроверенные сведения и тов. &lt;...&gt; нам сегодня скажет правильно ли это, что в Роттердаме 3.500 человек безработных были на одном собрании, и к ним пришли работающие рабочие. Но был ли действительно такой факт или нет я не знаю. В Норвегии в трех городах были собрания: в Бергене, в Христиании и &lt;...&gt;. Но ясно, что так как печать не вела кампании, то трудно было ожидать больших массовых акций. Во всех этих странах ничего не говорится о главных слоях рабочего класса, которые должны были в первую голову откликнуться на эту кампанию, — о транспортниках, матросах, солдатах и т. д. Об этом у нас ничего нет. Если мы будем говорить об этих акциях, как демонстрации, то у нас есть следующие факты. Была одна демонстрация в Польше, это единственное, что мы знаем, т. е. в самых трудных условиях одна демонстрация была. Это объясняется традицией. Может быть[,] была или не была, и какой величины, мы тоже не знаем, демонстрация в Вашингтоне. В Чехо-Словакии были три демонстрации и очевидно была маленькая демонстрация в гор. Велянсьене во Франции.</w:t>
      </w:r>
    </w:p>
    <w:p w14:paraId="51F3EDBD"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Таким образом, если подвести итог, то надо сказать, что в отношении массовых акций мы имеем колоссальную диспропорцию между нашими усилиями и результатами. Это нужно указать, потому что хотя и с недостатками, но была развернута большая кампания в печати, которая должна была вызвать какую-то более или менее широкую массовую волну, но этого мы не видим. Массовое волнение и возмущение не вышло дальше рамок митингов и собраний. Между тем эта кампания требовала исключительной интенсивности. Это тоже говорит, конечно, о недооценке кампании. Если взять Францию, то это сказывается и в следующем, что там считают эту сторону вообще неважной. Мы послали туда наш издательский план книг, которые у нас издаются, находятся в печати. И мы получили оттуда из издательства письмо, где в семи или восьми пунктах по поводу каждой брошюры доказывается, что она не нужна, причем ссылаются на то, что они выпустили краткий обвинительный акт и полный обвинительный акт с иллюстрациями и опубликовали маленькую книжку, кажется, очень ударную, я ее не читала. И на этом основании они считают не нужным издавать всю эту литературу. Я понимаю, если бы они, учитывая непривычку французских читателей к толстым книжкам, отказались бы от некоторых больших трудов, но они отказываются от всех брошюр. ЦК французской компартии придется обратить на это самое серьезное внимание. Я делаю такой вывод, что экзамен на подвижность, на эластичность, на умение откликаться на величайшие события, а эта кампания есть репетиция, как мы встретим войну, что партии этот экзамен не выдержали, они недооценили эту кампанию и они не постарались использовать этот процесс, все вскрытые им факты, чтобы довести их до сведения более широких масс, чем те, которые мы обслуживали всегда. Конечно, тираж некоторых изданий повысился. Мы знаем про наши нелегальные страны, что там было издано огромное количество массовых изданий. Это надо отметить, как некоторый плюс. Но главная задача этого процесса была показать массам, что эта интервенция будет. Вот эта цель пока недостигнута, и это нам подсказывает, что надо делать дальше.</w:t>
      </w:r>
    </w:p>
    <w:p w14:paraId="15F45DC7"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Я кратко скажу, что мы ждем от ваших выступлений. Представители партий кое-что должны сказать о директивах, массовые организации не должны тратить время на директивы, ибо мы уже их изучали. Главное дать нам следующие данные — как вообще в прессе отразились главные задачи процесса, фактическая сторона, борьба с противниками, в особенности со II-м Интернационалом, как отразилась эта кампания в печати массовых организаций и все, что вы знаете относительно выступлений масс, относительно митингов, собраний и демонстраций. Затем мы хотели бы, чтобы вы здесь более подробно, чем это сделано в докладах, выявили конкретные ошибки. В особенности мы ждем в первую голову выступления представителей парти[й], а представителям массовых организаций мы дадим слово во вторую очередь. Мы, может быть, нащупаем здесь истинную причину того, почему эта кампания дала такие жалкие результаты. Одна из причин это то, что в некоторых странах проводились другие важнейшие кампании, но это причина не единственная. Затем мы ждем от вас внесения некоторых конкретных предложений, что мы должны предложить Политсекретариату, кроме того, что вытекает из моего вступительного слова относительно дальнейшего проведения кампании, ибо мы ведем ее и дальше, относительно отдельных мероприятий, которые должны проводить партии в настоящее время.</w:t>
      </w:r>
    </w:p>
    <w:p w14:paraId="5ABE6745"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МИЛЛЕР</w:t>
      </w:r>
    </w:p>
    <w:p w14:paraId="558CA2F3"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Тов. Гопнер уже осветила, как прошла кампания после интервенции во Франции. Имеются еще некоторые сведения, которые мы получили недавно. Я несколько дополню то, что сказала тов. Гопнер некоторыми чертами, и отмечу те факты, которые имеются. С точки зрения массовых выступлений, демонстраций во Франции мы не имеем полных сведений, но кое-какие сведения у нас есть. Следует отметить, что наша пресса уделяла совершенно недостаточное внимание массовым выступлениям. Я могу указать на тот факт, что конгресс, который работал в Париже, представлявший 20.000 рабочих, он принял резолюцию по поводу интервенции и процесса, но эта резолюция не была напечатана в «Юманите». Этот факт следует отметить, он показывает, что редакция «Юманите» не уделяла этому моменту того внимания, которое он заслуживает. В последнее время мы имели в Лионе, в Парижском округе, на фабриках было организовано около 20 митингов, где этот вопрос об интервенции был поставлен. Но в общем, начиная с 15 декабря, мы видим ослабление этой кампании. «Юманите» поместило статью тов. Кашена, воззвание и еще несколько статей, но в общем новейшие события, в частности, относительно займа, который был дан Румынии и который должен был быть связан с процессом, не освещались в печати. Как большую ошибку надо отметить, [что] милитаристический парад, посвященный памяти Жоффра, не был связан с московским процессом и интервенцией. «Юманите» не обратило на это должного внимания. Как общую характеристику, можно сказать, что французская партия недооценила этой кампании, недооценила опасности войны, и резолюция Политбюро ЦК КП Франции, опубликованная 20 декабря п[рошлого] г[ода], вопрос об этой опасности не только не выпячивает, но ему уделяется недостаточное внимание. Массовые выступления после окончания процесса все более ослабевают после блестящей прессовой кампании, которую вело «Юманите». С точки зрения идеологической тов. Гопнер уже подчеркнула важнейшие ошибки, что, главным образом, подчеркивалась необходимость расстрела контрреволюционеров, что говорилось много о силе Красной армии и не уделялось достаточное внимание роли международного пролетариата, в частности, французского пролетариата. Потом это было исправлено, но все-таки такие ошибки еще отмечались. Так, например, в связи с приговором, который вызвал большую реакцию у французских рабочих. Они не поняли, почему была отменена смертная казнь, и это не было достаточно объяснено. Тов. Кашен в одной статье объяснял так, что нечего применять такую суровую меру, что в Советском Союзе есть новая религия, которая выражается в энтузиазме социалистического строительства и которая не требует смерти. Потом он пишет, что Коммунистический Интернационал знает, что он делает, что надо иметь к нему полное доверие. Главнейшее в отношении прессовой кампании это то, что не было достаточной полемики с буржуазной прессой, социалфашистской прессой и прессой ренегатов. Фактом является, что буржуазная пресса и социалфашистская пресса, которая вначале хотела совершенно замолчать этот процесс, потом посвятила ему достаточно много внимания. «Популар» — центральный орган социалфашистов — опубликовал целый ряд статей, доказывая, что весь процесс является выдумкой, что Рамзин является агентом ОГПУ, что все его выступления заранее согласованы, говорилось о том, что во всем этом деле видна рука Муссолини, что Рамзин является его союзником, что этот процесс выдуман для того, чтобы снять ответственность за &lt;возможный&gt; разрыв дипломатических сношений с Францией. На все это не было достаточного ответа в нашей прессе, не было разоблачений сущности всей этой клеветы. Я отмечу, что орган рабоче-крестьянской партии «...», издаваемый ренегатом, исключенным в прошлом году из компартии, занял в отношении процесса совершенно контрреволюционную позицию. Они говорили, что Рамзин является агентом Кремля, Коминтерна и наши партийные товарищи, в частности, депутаты муниципальных советов, не дали соответствующего ответа, соответствующего разоблачения всей этой клеветнической кампании. Я уже отметил, что была политическая недооценка, которая теперь все более и более находит свое выражение. Вопрос об интервенции во Франции не становится в центре дня и здесь особенно в этой кампании выявилась организационная слабость партии. Хотя в общем отмечается, что «Юманите» вело правильную политическую линию, но недостаточно развивало эту кампанию. Это особенно относится к провинциальной прессе, которая совершенно недостаточно откликнулась на кампанию. Организационная слабость партии выявилась в том, что партия не сумела раскачаться более продолжительное время. Организационная слабость партии и наших профсоюзов выявилась в том, что демонстрации не приняли массового характера. Нам не удалось развить массовое движение. А главное, не удалось оформить организационно того движения, которое было связано с процессом и которое было несомненно реакцией на процесс, вызванной в рабочем классе Франции. В этом отношении друзья СССР и Франции, по имеющимся у нас сведениям, делают всевозможные оговорки, но несомненным является, что они недостаточно использовали эту кампанию для организационного усиления общества «Друзей СССР». Дальше — вопрос об увязке с этой кампанией, с теми кампаниями, которые одновременно происходили. Во Франции было две крайности. Или обращали все внимание на происходящую массовую кампанию, на борьбу с безработицей и т. д., или, с другой стороны, вся кампания была связана с процессом и совершенно не связывалась с актуальной ежедневной борьбой рабочего класса. Это неумение увязать кампанию с актуальнейшими вопросами борьбы, является слабостью французской компартии. В последнее время в «Юманите» ничего не печатается о процессе. Несмотря на то, что были посланы специальные статьи по этому вопросу, мы видим, что кампания там была кончена.</w:t>
      </w:r>
    </w:p>
    <w:p w14:paraId="0F5418CD"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lastRenderedPageBreak/>
        <w:t>В Бельгии кампания была значительно слабее развита. Я дам маленькую иллюстрацию. 21 ноября появилась маленькая телеграмма ТАССа, на следующий день передовой статьи не было, а статья из Москвы была опубликована на совершенно несоответствующем месте и, главное, там не было увязки с повседневной борьбой. Там вопрос о процессе стоял на втором плане. На первом плане освещался вопрос о том, что происходит в Бельгии. Там в это время было отравление большого количества рабочих на заводе, производящем ядовитые газы. Эта кампания была поставлена в центре, а о процессе давалось две-три строчки. Теперь относительно дальнейшей кампании партии, как она развивается в смысле актуализации этого процесса и вопроса об интервенции. Мы видим, что этой кампании уделяется недостаточное внимание, к ней относятся как к второстепенной кампании. В выступлении тов. &lt;Кашена&gt; в парламенте вопрос об интервенции совершенно не был выдвинут. Тов. Кашен говорил в парламенте о военном бюджете. Он отметил вопрос о займах и там была тоже допущена, до некоторой степени, идеологическая ошибка. Он сказал о том, что эти займы ложатся большой тяжестью на мелких французских рантье, которые теряют все, что они имели, но он не связал вопрос с процессом. Надо сделать такое заключение, что вообще после окончания вопроса французская партия заняла такую позицию, что все это дело уже кончено. Необходимо обратить сугубое внимание партии на то, что вопрос не только не окончен, а что необходимо использовать материалы процесса, чтобы развить дальнейшую кампанию борьбы против подготовки интервенции во Франции, так как буржуазная пресса все более остро ставит вопрос о разрыве сношений с СССР. Как известно, на международной арене все более активно заканчиваются подготовления для нападения на Советский Союз. Троцкисты ведут острую борьбу против интервенции, но они говорят, что этот процесс доказывает правильность их линии, ошибки Сталина и т. д. Следовательно, чтобы ликвидировать эту опасность интервенции, нужно изменить внутренний режим в СССР. Что касается СЖТЮ, то она замалчивает процесс.</w:t>
      </w:r>
    </w:p>
    <w:p w14:paraId="28481FC1"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БУЛЛЕ</w:t>
      </w:r>
    </w:p>
    <w:p w14:paraId="71F6FA30"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Я хочу несколько дополнить сообщение тов. М[и]ллера что было сделано по линии женской печати. Дело в том, что во Франции в органе работниц «Ля увриер» появились только две статьи об интервенции, но они носили информационный характер. Заключение этих двух статей было то, что мы присоединяемся к русским работницам, которые требуют казни для вредителей. Кроме того, во Франции этот вопрос был поставлен на собрании «братского союза против войны», на котором была принята резолюция, напечатанная в нашей «Правде». Больше никаких сведений у нас нет, как проводилась эта кампания среди работниц.</w:t>
      </w:r>
    </w:p>
    <w:p w14:paraId="2AE903CB"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(Голос с места: «Что думают рабочие теперь об интервенции?»)</w:t>
      </w:r>
    </w:p>
    <w:p w14:paraId="48433C11"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МИЛЛЕР: Вот как стоит вопрос. Вообще надо отметить некоторый психоз войны. Вся буржуазная и социалистическая пресса все время говорит о войне, войне и войне. Но, конечно, вопрос ставится в разной плоскости. Там пишут, что опасность войны угрожает со стороны и большевизма. Это лейтмотив в настоящее время, причем социалисты развивают колоссальную идеологическую кампанию за разоружение. Конечно, кампания против войны ведется одновременно с кампанией против Советского Союза. Французская печать большое внимание уделяет опасности столкновения между фашизмом и большевизмом. Во Франции была опубликована большая статья в органе «...» под заглавием «Война близка». Конечно, надо признать, что вопросу интервенции уделяется совершенно недостаточное внимание со стороны нашей печати. Я скажу больше, что любой вопрос во Франции сейчас более актуален в глазах рабочих, чем вопрос об интервенции и процессе. «Юманите» расходится в количестве 150-160 тыс. экземпляров, но вы не видите непосредственного сознания, что война с Советским Союзом уже близка, а ослабление кампании действует в том же направлении. Надо сказать, что французские рабочие, в частности, коммунистические, не чувствуют, что опасность войны близка и что на них лежит такая большая ответственность. Что касается Германии, то тут и говорить нечего, там вопрос о войне не стоит на первом месте. Профсоюзная печать совершенно не обращала внимания на вопросы интервенции в связи с процессом. Центральный орган ЦЖТЮ опубликовал несколько статей, а что касается провинциальной печати, то там совершенный скандал. Там были только маленькие статьи. Была опубликована статья относительно коллективизации в СССР, где писалось, что в СССР для среднего крестьянина нет уже исхода, что социалистическое наступление приводит его к крайности и что у него единственный исход это социализация. Само собой разумеется, поставить так вопрос о социализации крестьян, как он поставлен в «Юманите» неправильно. Необходимо отметить еще ослабление антимилитаристической деятельности партии. Конечно, во Франции необходимо сконцентрировать внимание на этом вопросе. Относительно митингов я уже сказала, где они были. Что касается выступления солдат и матросов, то у нас сведений нет. Было собрание в &lt;...&gt;, но это было собрание служащих военных учреждений и были ли там солдаты неизвестно.</w:t>
      </w:r>
    </w:p>
    <w:p w14:paraId="5664304A"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ДИТЕРИХ. (Немецкая стенограмма).</w:t>
      </w:r>
    </w:p>
    <w:p w14:paraId="5C9D7819"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БУЛЛЕ</w:t>
      </w:r>
    </w:p>
    <w:p w14:paraId="20154288"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В Германии получилась такая история, что в германской женской коммунистической прессе процесс совершенно не нашел никакого отражения. Что касается вообще работы среди женщин, то мы имеем сведения только о том, что на II-й Всегерманской конференции женщин была принята резолюция, призывающая к общему возмущению против кампании, направленной против Советского Союза и там было упомянуто о процессе. Как была использована эта конференция, нам еще неизвестно.</w:t>
      </w:r>
    </w:p>
    <w:p w14:paraId="6AA62103"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АПЛЕТИН</w:t>
      </w:r>
    </w:p>
    <w:p w14:paraId="024D667B"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В «Геверкшафт» была только одна статья.</w:t>
      </w:r>
    </w:p>
    <w:p w14:paraId="6E612FDB"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АРНОТ. (Французская стенограмма).</w:t>
      </w:r>
    </w:p>
    <w:p w14:paraId="2175E717"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АЛЕКСИС</w:t>
      </w:r>
    </w:p>
    <w:p w14:paraId="432F1195"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Во-первых, о прессе. У нас в Греции имеется ежедневная газета, в которой были помещены все те телеграммы, которые присылались отсюда. Кроме того, там помещались и телеграммы из других источников, телеграммы буржуазных телеграфных обществ и агентств. Меня поражает то, что в этих телеграммах давалась более или менее объективная картина процесса. Конечно, были моменты и некоторых легких извращений, но в общем давалось содержание речей, выдержки из речей Крыленко и т. д. Относительно увязки всей кампании в прессе тов. Гопнер уже говорила, что одновременно с процессом происходили и другие кампании. В частности у нас происходила кампания против войны, против фашизма и кризиса. Что показывает процесс. Он дал очень серьезный фактический материал для усиления кампании против кризиса, против фашизма и против войны. У нас в это время велась кампания против смертного приговора двум солдатам за коммунистическую агитацию. Почему сейчас в Греции двух солдат приговорили к смертной казни? Именно потому, что подготовляется война, потому что очень близка интервенция.</w:t>
      </w:r>
    </w:p>
    <w:p w14:paraId="7FC24BC1"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Они могли использовать процесс для усиления этой кампании. Но они, по-моему, очень мало делали с этой точки зрения. Они очень мало увязывали две кампании в прессе и вообще в нашей агитации и пропаганде. Специальных статей по поводу процесса, особенно передовиц, недостаточно. В передовице, в которой говорилось против фашизма и против приговора двух солдат, очень мало говорилось о процессе и опасности прямой интервенции.</w:t>
      </w:r>
    </w:p>
    <w:p w14:paraId="5BE12804"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Теперь насчет массовых кампаний. У нас в Пирее в одном из больших городов Греции было закрытое собрание. Там присутствовало более тысячи человек, исключительно рабочих. В поверке дня стоял вопрос о смертном приговоре двум солдатам и вопрос о процессе. Надо сказать, что там на самом деле одно с другим было хорошо увязано. Рабочая публика очень живо интересовалась процессом. Там была принята резолюция против вредителей и против войны. Резолюция эта не имеет ту отрицательную сторону, которая была отмечена в других партиях, там говорится не только о расстреле, но более широко говорится о попытках интервенции. Затем были другие массовые митинги и собрания, которые были созваны не специально в связи с процессом, но на которых тоже говорилось насчет процесса и интервенции. Такие митинги были в Солониках, в Волосе и других городах Греции. Это были разные профсоюзные собрания.</w:t>
      </w:r>
    </w:p>
    <w:p w14:paraId="67C919DC"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(ГОПНЕР: «У вас там много матросов. Что было сделано в этой области?»)</w:t>
      </w:r>
    </w:p>
    <w:p w14:paraId="28F20928"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Пирея — это первый порт в Греции. Там был митинг матросов, на котором присутствовало много рабочих.</w:t>
      </w:r>
    </w:p>
    <w:p w14:paraId="6855FD26"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(ГОПНЕР: «А там были моряки, вы это знаете?»)</w:t>
      </w:r>
    </w:p>
    <w:p w14:paraId="45DD8ECB"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Да, были моряки.</w:t>
      </w:r>
    </w:p>
    <w:p w14:paraId="5FBBE27A"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(ГОПНЕР: «О количестве вы не знаете?»)</w:t>
      </w:r>
    </w:p>
    <w:p w14:paraId="45EC4F44"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Моряки были, но о количестве я не знаю.</w:t>
      </w:r>
    </w:p>
    <w:p w14:paraId="15A9C197"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Мое впечатление такое, что, конечно, наша партия не сделала того, что должна была сделать. Мы всегда говорим об опасности войны и интервенции в общих словах, но даем очень мало конкретного фактического материала. Сейчас у нас в руках были конкретные факты, как подготовляется война и интервенция, но мы очень мало сделали для использования этих конкретных фактов. Это было несомненно недочетом. Второй недостаток то, что партия ограничила эту кампанию только днями процесса. Кампания была начата очень поздно, только за несколько дней. Это тоже и наша вина, потому что отсюда директивы были даны немножко поздно. Необходимо, чтобы Коминтерн посылал свои директивы и указания раньше.</w:t>
      </w:r>
    </w:p>
    <w:p w14:paraId="2C748830"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(ГОПНЕР: «Раньше, чем он знал о процессе?»)</w:t>
      </w:r>
    </w:p>
    <w:p w14:paraId="0D99541C"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Конечно, нет. Но мы только раскачались в последние дни перед процессом.</w:t>
      </w:r>
    </w:p>
    <w:p w14:paraId="4E3C7244"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(ГОПНЕР: «По-вашему, о войне мы вообще мало говорили?»)</w:t>
      </w:r>
    </w:p>
    <w:p w14:paraId="7FF8681A"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Нет, не о войне, а я говорю только о процессе.</w:t>
      </w:r>
    </w:p>
    <w:p w14:paraId="77BE9FA2"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Теперь о дальнейшей работе. Я считаю, что необходимо использовать этот колоссальнейший фактический материал в нашей работе. У нас каждый день появляется заметка или передовица, в которой упоминается о процессе, упоминается о том, что дал этот процесс. Таким образом и надо продолжать. Кроме того, можно кампанию 1-го мая специально связать с этим вопросом. Конечно, этот материал можно использовать и до 1-го мая, но потом, в связи с 1-м маем, опять возобновить эту кампанию.</w:t>
      </w:r>
    </w:p>
    <w:p w14:paraId="66FF0329"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(МИЛЛЕР: «Как правые относились к этому?»)</w:t>
      </w:r>
    </w:p>
    <w:p w14:paraId="602918BB"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Сейчас в руководстве партии сидят большинство правых. Я говорю, что не надо ждать до 1-го мая, надо не спать, а работать надо, например, использовать нашу кампанию в борьбе с безработицей, а 1-го мая опять возобновить эту кампанию.</w:t>
      </w:r>
    </w:p>
    <w:p w14:paraId="23A699CC"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ИСКРОВ</w:t>
      </w:r>
    </w:p>
    <w:p w14:paraId="4966F51C"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lastRenderedPageBreak/>
        <w:t>Относительно Болгарии. По вопросу о том, продолжается ли эта кампания или нет, я могу привести такой факт. Там издается серия брошюр, которая несколько опоздала изданием. Наше впечатление, что в смысле печати брошюр кампания продолжается. Эта серия брошюр будет продолжать выходить. Очевидно, имеется в виду издание брошюр с приведением важнейших материалов процесса. Я должен оговориться, что у нас нет полных фактических материалов, но я говорю о материалах, которые дает легальная пресса и которые мы успели получить. Относительно специальной кампании, массовой кампании в связи с процессом у нас сведений не имеется. Были ли специальные собрания в связи с процессом? Надо сказать, что вокруг защиты Советского Союза была развернута большая кампания в связи с окружными выборами и с тринадцатой годовщиной пролетарской диктатуры. Во время самих выборов мы имеем все основания сказать, что может быть в этом направлении партией кое-что было сделано. Но последних сведений мы не имеем. 9-го декабря, например, в Софии было общее собрание по текущим вопросам, о современном положении и задачах рабочего класса в данный момент. Это собрание было рабочее, оно было основано нелегальной партией. Там присутствовало человек 1.000. Там была принята резолюция о процессе. Это собрание было использовано для организации демонстрации солидарности рабочих под руководством нашей партии. Затем в Софии 27 ноября была общая стачка угольных рабочих. Собрание, которое было созвано в связи с этой стачкой, было использовано и для этой цели. В речах ораторов имеется упоминание о Советском Союзе, был выдвинут лозунг защиты Советского Союза, но о процессе там не говорилось. Это объясняется может быть тем, что не были еще получены материалы о процессе, а может быть это ошибка, что это собрание не было использовано для заострения этого вопроса.</w:t>
      </w:r>
    </w:p>
    <w:p w14:paraId="0DD61063"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Об освещении в нашей собственной прессе я останавливаться не буду, а перейду к легальной прессе. В легальной прессе был дан ряд статей и заметок о процессе. Что касается количества, то по моей оценке на основании тех материалов, которые мы получили, этого было недостаточно. У нас имеется, кроме профсоюзной газеты, газета «Единство», в которой на основании тех номеров, которые мы получили, дается очень мало материала.</w:t>
      </w:r>
    </w:p>
    <w:p w14:paraId="683F57F1"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(МИЛЛЕР: «Как часто она выходит?»)</w:t>
      </w:r>
    </w:p>
    <w:p w14:paraId="611D984F"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Еженедельная. Затем имеется ежедневная рабочая газета, политическая газета «Эхо». Затем есть еженедельный журнал «Наковальня». Есть орган профсоюзной оппозиции союза железнодорожников, затем профсоюзной оппозиции союза учителей и выходит орган молодежи. В смысле количества материалов, по-моему, было недостаточно.</w:t>
      </w:r>
    </w:p>
    <w:p w14:paraId="4768EDC8"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Что можно сказать относительно идеологической выдержанности, как поставила вопрос тов. Гопнер. Я отмечу некоторые ошибки. Во-первых, кампания не была достаточно заострена на французском империализме, который стоит во главе интервенции против Советского Союза. Конечно, говорилось о французском империализме, но общее впечатление, что не был достаточно заострен вопрос на французском империализме как зачинщике интервенции. Тот загиб, который отмечается в германской партии, нашел выражение и у нас. В предисловии к серии брошюр говорится, что непременно приговор будет такой, что виновные будут расстреляны, что иначе быть не может. Затем недостаточная увязка этих материалов с остальными вопросами. Это является общим недостатком всей партийной прессы. Я хочу указать конкретно на недостаточную увязку кампании, кампании против фашизма. Первый «Народ», орган социал-демократической партии, начал кампанию, но ему не было дано достаточного отпора. Был дан отпор измышлениям буржуазных агентов относительно восстания в Москве, ареста Сталина и т. д. В «Эхо» была помещена очень выгодная идеологически статья, которая ответила на это клеветническое выступление. Но это был единичный случай. Во всяком случае увязка с другими кампаниями была недостаточная. О приговоре статья была чисто информационного характера в то время, как она должна была бы носить агитационный характер. В журнале «Наковальня» была дана просто информация о приговоре и относительно решения ЦИКа и ничего больше. Надо здесь отметить ту помощь, которая должна была быть оказана партии со стороны Загранбюро ЦК. В этом отношении давались недостаточные материалы, но насколько были использованы и эти материалы, я сказать не могу потому, что у нас не имеется сведений. Относительно своевременности я тоже сказать не могу. Насколько мне известно, первое письмо было послано перед самым началом процесса. Тов. Гопнер говорила об опоздании кампании в других партиях. Я должен сказать, что мы вообще опоздали, поскольку мы начали кампанию только с начала процесса, приблизительно в начале декабря началась кампания по тем сведениям, которые мы могли получить. У нас издается журнал «Поглед», специальный журнал, имеющий целью давать информацию о Советском Союзе, он имеет большое распространение, его тираж, кажется, 16.000. Необходимо тут отметить его роль. Это легальный орган, беспартийный, он специально дает информацию о Советском Союзе и насколько там отразился процесс, я не знаю. Я не получил еще этого журнала.</w:t>
      </w:r>
    </w:p>
    <w:p w14:paraId="1F76FEC1"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ШИФ. (Немецкая стенограмма).</w:t>
      </w:r>
    </w:p>
    <w:p w14:paraId="3317F793"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ДЕФРИС. (Немецкая стенограмма).</w:t>
      </w:r>
    </w:p>
    <w:p w14:paraId="3981847D"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ЯКОБО. (Говорил по-французски, не застенографирован).</w:t>
      </w:r>
    </w:p>
    <w:p w14:paraId="38C49131"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ГОПНЕР</w:t>
      </w:r>
    </w:p>
    <w:p w14:paraId="6802E036"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Представители партии закончили свои сообщения. Теперь массовые организации. Кто здесь присутствует? Профинтерн, БОКС, Общество друзей и КИМ. Самый главный Профинтерн, мы его представителю дадим слово, затем представителю друзей СССР, а потом остальным, но только с одной оговоркой, что представители массовых организаций берут слово только в том случае, если у них есть, что сказать о печати и массовых выступлениях, но не о директивах.</w:t>
      </w:r>
    </w:p>
    <w:p w14:paraId="51606889"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АПЛЕТИН</w:t>
      </w:r>
    </w:p>
    <w:p w14:paraId="7A971F57"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Я должен сказать, что мы не могли еще сделать сводки выступлений различного рода рабочих организаций и различных групп рабочих по отдельным отраслям производства. Но перечисление этих выступлений у нас имеется, мы не успели их свести, т. е. я не могу еще сказать о том, что металлисты выступали так-то и так-то, транспортники там-то и там-то. Вот этого мы еще не сделали. Но перечисление, какие выступления были по странам, у нас имеется. Я обещаю сделать сводку.</w:t>
      </w:r>
    </w:p>
    <w:p w14:paraId="129A4911"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Относительно печати. Мы имеем центральную печать. Что касается заводской печати, то мы попытались дать обзор того, что сделано заводской печатью во Франции. Нужно сказать, что мы получили еще очень мало французских заводских газет, но из того количества французских заводских газет, которые мы получили, мы можем установить, что только в одной газете мы имели заметку о процессе. Что касается печати по производствам, то эту печать мы имеем чаще всего месячную, реже — двухнедельную, а в некоторых случаях отдельные номера вышли за два месяца сразу. Что касается печати по производствам, то у нас имелись материалы по таким производствам, как федерация общественных предприятий, федерация связи, союза пищевиков парижского района, федерация парикмахеров, организации медицинских служащих за декабрь и некоторые за ноябрь месяц. Только по этим номерам мы можем пока говорить, потому что январских номеров мы пока не имеем. В журнале «Акцион», органе федерации связи за декабрь, органе пищевиков за три номера декабрьских и один январский номер, органе парикмахеров за декабрь, органе медицинских служащих ни одной статьи, ни одного слова нет. В других органах по производствам, в органе федерации печатников и бумажников за ноябрь и декабрь месяц имеется статья «Защитим русскую революцию», в которой даются сведения о процессе, выдержки из показаний Рамзина. Орган союза металлистов парижского района за декабрь и ноябрь больше откликается, чем другие организации. Он дает статью в связи с октябрьской годовщиной «Защита СССР и мобилизация пролетариата». Он дает резолюцию, принятую на митинге металлистов, о защите Советского Союза, от 29 ноября. В органе федерации служащих в декабрьском номере была статья «Экономический кризис развивается», в которой подчеркивается опасность войны против СССР и затем дано 20 строк о процессе. Орган федерации кожевников дает статью «Наш договор соревнования с кожевниками Ленинграда и московский процесс», в которой ставится конкретно задача выполнения пункта договора о защите СССР. Орган федерации деревообделочников январско-февральский номер, они выпустили номер вперед, помещает статью «Защищая СССР, мы боремся против войны». Статья направлена против пацифизма, на защиту СССР. Но никаких конкретных мероприятий, как организовать эту защиту, не указывается. Орган федерации транспортников в декабрьском номере посвящает процессу 5 строчек в передовой статье, посвященной федеральному съезду. Несколько больше процесс освещается в органе союза железнодорожников. Как раз тов. Гопнер интересовалась этим вопросом. Посмотрите, как этот орган организует массы. Там имеется статья тов. Крапье, в которой он пишет: «Мы будем говорить для того, чтобы объявить о своей ненависти к войне...» (читает цитату). А в конце говорится: «Превратим империалистическую войну в гражданскую».</w:t>
      </w:r>
    </w:p>
    <w:p w14:paraId="43F1B96A"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Как это увязывается в их головах, трудно представить. Надо отметить, что этот журнал делает хорошую попытку помещать различные сообщения о письмах железнодорожников с протестом против интервенции против СССР. Эти корреспонденции, если дать им оценку, имеют слишком сентиментальный характер, они очень слабые и, благодаря своей слабости, они не способствуют мобилизации масс на защиту СССР. В январском же номере ничего не говорится о процессе. В органе Всегерманской профоппозиции железнодорожников напечатана очень путаная статья. Эта статья посвящена наводнению. Она дезорганизует массы и не концентрирует внимания на актуальной задаче борьбы с интервенцией, причем в ней не подчеркиваются цели и не указывается, что вопрос об интервенции не снят, что опасность интервенции только отсрочена. Вот этого нет в статье. В этой статье следует отметить такую политическую ошибку. В ней говорится о том, что подсудимые являются организаторами интервенции и не говорится о роли империалистов, в частности и главным образом, французских империалистов, французского генерального штаба в деле подготовки интервенции. Я приведу цитату «...капиталистические наемники из промпартии, чтобы Советский Союз оказался обезоруженным и ослабленным ввиду ими же подготовляемой интервенции». Все сваливается на группу промпартии. Орган железнодорожников помещает статью, в которой не дает никаких конкретных выводов, а призывает только давать правдивую информацию об СССР. Орган оппельских железнодорожников 17 декабря дает выдержки из речи Крыленко. В этой статье говорится, что процесс уничтожил планы военной интервенции.</w:t>
      </w:r>
    </w:p>
    <w:p w14:paraId="2B62DFBE"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Теперь по поводу центральных органов. Начнем с «Ля ви увриер». Газета поместила в общей сложности 8 статей (она выходит еженедельно). Одна из них передовая. И, кроме того, в специальном приложении помещено 8 статей. Газета разъясняет сущность процесса, использует материалы самого процесса, говорит об успехах нашей пятилетки. Как будто бы количественно можно было бы сказать, что она сравнительно удовлетворительно дает материалы. Но если подойти к качеству, насколько достигается задача организации масс, то нужно сказать, что массам разъясняется процесс, но пути, какими должны массы идти массы в борьбе за защиту СССР, в тех статьях, которые имеются у нас, не указывается. Поэтому получается впечатление, что материал имеет информационно-разъяснительный характер, а не агитационный. Германская профпечать. «Бетриб унд геверкшафт», центральный орган профоппозиции, поместил только одну статью и то с опозданием. «...» поместил 6 статей, посланных АППО Профинтерна и статью Горького. Эльзасская газета в январском номере поместила одну статью чисто информационного характера.</w:t>
      </w:r>
    </w:p>
    <w:p w14:paraId="0B2E3366"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lastRenderedPageBreak/>
        <w:t>Теперь по поводу Англии. «Уоркер», еженедельный орган движения меньшинства Англии, начал кампанию в защиту СССР с большой статьи «Защищайте Советский Союз», в которой на основе материалов наших советских газет дает информацию о вредительской деятельности промпартии, статья помогает массам сделать соответствующие выводы, изучить изменническую деятельность агентов империализма. В пятом номере от декабря специальная страница посвящена процессу, примерно следующего содержания: состав суда, подсудимых, публичный характер процесса, московская демонстрация, роль французского генерального штаба, вредительство в металлургической промышленности. В том же номере статья Горького «Если враг не сдается, его уничтожают». В общем из номера в номер дается характеристика подготовляемой интервенции. В одном номере газета специально выступает против буржуазной печати, которая была полна сведениями, как и во всех странах, об аресте Сталина, о восстаниях, которые у нас имеются, она дает опровержения в своей статье. Затем она выступает в связи со статьей Рябушинского, помещенной в «Возрождении». Выступает против «Тан», которая опубликовала статью о русской опасности и т. д.</w:t>
      </w:r>
    </w:p>
    <w:p w14:paraId="06768C73"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ВЫВОДЫ: Несомненно, кампания, которая велась в «Уоркер», имеет &lt;ту&gt; положительную сторону, что она проводится систематически. Когда посмотришь из номера в номер, видно, что имеется система, дается картина вредительства довольно ясная и момент военной опасности. Но тут тот же самый недочет, который имеется в других органах печати — отсутствие связи с конкретной действительностью революционного профдвижения. Правда, нужно иметь ввиду, что революционное движение в Англии чрезвычайно слабо. Движение меньшинства до сих пор не опубликовало даже решений V конгресса Профинтерна и только 3-го января напечатано </w:t>
      </w:r>
      <w:r w:rsidRPr="005E779E">
        <w:rPr>
          <w:color w:val="000000" w:themeColor="text1"/>
          <w:sz w:val="16"/>
          <w:szCs w:val="16"/>
          <w:vertAlign w:val="superscript"/>
        </w:rPr>
        <w:t>2</w:t>
      </w:r>
      <w:r w:rsidRPr="005E779E">
        <w:rPr>
          <w:color w:val="000000" w:themeColor="text1"/>
          <w:sz w:val="16"/>
          <w:szCs w:val="16"/>
        </w:rPr>
        <w:t>/</w:t>
      </w:r>
      <w:r w:rsidRPr="005E779E">
        <w:rPr>
          <w:color w:val="000000" w:themeColor="text1"/>
          <w:sz w:val="16"/>
          <w:szCs w:val="16"/>
          <w:vertAlign w:val="subscript"/>
        </w:rPr>
        <w:t>3</w:t>
      </w:r>
      <w:r w:rsidRPr="005E779E">
        <w:rPr>
          <w:color w:val="000000" w:themeColor="text1"/>
          <w:sz w:val="16"/>
          <w:szCs w:val="16"/>
        </w:rPr>
        <w:t> резолюции, посвященной движению меньшинства. Если учесть эту слабость, то надо сказать, что газета на вопросах интервенции сосредоточила все силы, которые у нее имелись. Но нужно отметить, что она не выступала против лейбористского правительства и вообще против позиции рабочего правительства, маневров левых и т. д.</w:t>
      </w:r>
    </w:p>
    <w:p w14:paraId="0CF6DAB1"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Из Америки мы имеем чрезвычайно мало сведений. «...» выходит очень нерегулярно. В последнем номере, который мы имеем, дается только фотография Крыленко и соответствующая к ней заметка.</w:t>
      </w:r>
    </w:p>
    <w:p w14:paraId="753073A4"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Общий вывод относительно всей профсоюзной печати, который можно сделать, следующий, что работа была, конечно, чрезвычайно недостаточная и в количественном и в качественном отношении. В лучшем случае работа, если говорить об английской и французской печати, в значительной мере сводилась к систематической информации, а некоторые газеты, как видно из примеров, совершенно не поняли значение процесса и допустили целый ряд политических ошибок. Из этого нужно будет сделать соответствующие выводы. У меня имеются еще сведения в отношении отдельных международных комитетов пропаганды и действия, и там картина приблизительно такая же. Причем здесь нужно отметить, что международные комитеты пропаганды, как металлистов, горняков, химиков, интернационал-моряков, транспортников находятся заграницей и они ссылаются на это. Мы их запросили, но еще не могли получить материалов.</w:t>
      </w:r>
    </w:p>
    <w:p w14:paraId="5ED15562"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ГОПНЕР. Есть ли у вас данные о собраниях и митингах, собранных в связи с процессом?</w:t>
      </w:r>
    </w:p>
    <w:p w14:paraId="1FC585B7"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АПЛЕТИН</w:t>
      </w:r>
    </w:p>
    <w:p w14:paraId="77A793A5"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Такие сведения есть, причем речь идет больше о делегатских собраниях и о митингах, на которых тот или другой ответственный товарищ делал доклад. Этот вопрос ставился специально. Я могу вам эти сведения дать в письменном виде.</w:t>
      </w:r>
    </w:p>
    <w:p w14:paraId="72D81CCC" w14:textId="77777777" w:rsidR="00BC2229" w:rsidRPr="005E779E" w:rsidRDefault="00BC2229" w:rsidP="000B7A6C">
      <w:pPr>
        <w:pStyle w:val="rtejustify"/>
        <w:spacing w:before="0" w:after="0"/>
        <w:rPr>
          <w:color w:val="000000" w:themeColor="text1"/>
          <w:sz w:val="16"/>
          <w:szCs w:val="16"/>
        </w:rPr>
      </w:pPr>
      <w:r w:rsidRPr="005E779E">
        <w:rPr>
          <w:color w:val="000000" w:themeColor="text1"/>
          <w:sz w:val="16"/>
          <w:szCs w:val="16"/>
        </w:rPr>
        <w:t>По поводу химиков известно, что генеральный секретарь международного комитета в Германии сделал доклад о вредительстве на расширенном собрании функционеров профоппозиции. Германскими химиками была вынесена резолюция протеста против вредительства. Такая же резолюция была вынесена бумажниками Австрии, они тоже относятся к химикам. О Чехо-Словакии сведений нет. Там кампания ведется коммунистической партией и я ничего не могу сказать.</w:t>
      </w:r>
    </w:p>
    <w:p w14:paraId="67D5A1B0" w14:textId="77777777" w:rsidR="00BC2229" w:rsidRPr="005E779E" w:rsidRDefault="00BC2229" w:rsidP="000B7A6C">
      <w:pPr>
        <w:pStyle w:val="ae"/>
        <w:spacing w:before="0" w:after="0"/>
        <w:jc w:val="both"/>
        <w:rPr>
          <w:color w:val="000000" w:themeColor="text1"/>
          <w:sz w:val="16"/>
          <w:szCs w:val="16"/>
        </w:rPr>
      </w:pPr>
      <w:r w:rsidRPr="005E779E">
        <w:rPr>
          <w:rStyle w:val="af0"/>
          <w:i w:val="0"/>
          <w:color w:val="000000" w:themeColor="text1"/>
          <w:sz w:val="16"/>
          <w:szCs w:val="16"/>
        </w:rPr>
        <w:t>РГАСПИ</w:t>
      </w:r>
      <w:r w:rsidRPr="005E779E">
        <w:rPr>
          <w:rStyle w:val="af0"/>
          <w:i w:val="0"/>
          <w:color w:val="000000" w:themeColor="text1"/>
          <w:sz w:val="16"/>
          <w:szCs w:val="16"/>
          <w:lang w:val="en-US"/>
        </w:rPr>
        <w:t xml:space="preserve">. </w:t>
      </w:r>
      <w:r w:rsidRPr="005E779E">
        <w:rPr>
          <w:rStyle w:val="af0"/>
          <w:i w:val="0"/>
          <w:color w:val="000000" w:themeColor="text1"/>
          <w:sz w:val="16"/>
          <w:szCs w:val="16"/>
        </w:rPr>
        <w:t>Ф</w:t>
      </w:r>
      <w:r w:rsidRPr="005E779E">
        <w:rPr>
          <w:rStyle w:val="af0"/>
          <w:i w:val="0"/>
          <w:color w:val="000000" w:themeColor="text1"/>
          <w:sz w:val="16"/>
          <w:szCs w:val="16"/>
          <w:lang w:val="en-US"/>
        </w:rPr>
        <w:t xml:space="preserve">. 495. On. 30. </w:t>
      </w:r>
      <w:r w:rsidRPr="005E779E">
        <w:rPr>
          <w:rStyle w:val="af0"/>
          <w:i w:val="0"/>
          <w:color w:val="000000" w:themeColor="text1"/>
          <w:sz w:val="16"/>
          <w:szCs w:val="16"/>
        </w:rPr>
        <w:t>Д</w:t>
      </w:r>
      <w:r w:rsidRPr="005E779E">
        <w:rPr>
          <w:rStyle w:val="af0"/>
          <w:i w:val="0"/>
          <w:color w:val="000000" w:themeColor="text1"/>
          <w:sz w:val="16"/>
          <w:szCs w:val="16"/>
          <w:lang w:val="en-US"/>
        </w:rPr>
        <w:t xml:space="preserve">. 706. </w:t>
      </w:r>
      <w:r w:rsidRPr="005E779E">
        <w:rPr>
          <w:rStyle w:val="af0"/>
          <w:i w:val="0"/>
          <w:color w:val="000000" w:themeColor="text1"/>
          <w:sz w:val="16"/>
          <w:szCs w:val="16"/>
        </w:rPr>
        <w:t>Л</w:t>
      </w:r>
      <w:r w:rsidRPr="005E779E">
        <w:rPr>
          <w:rStyle w:val="af0"/>
          <w:i w:val="0"/>
          <w:color w:val="000000" w:themeColor="text1"/>
          <w:sz w:val="16"/>
          <w:szCs w:val="16"/>
          <w:lang w:val="en-US"/>
        </w:rPr>
        <w:t xml:space="preserve">. 4-40. </w:t>
      </w:r>
      <w:r w:rsidRPr="005E779E">
        <w:rPr>
          <w:rStyle w:val="af0"/>
          <w:i w:val="0"/>
          <w:color w:val="000000" w:themeColor="text1"/>
          <w:sz w:val="16"/>
          <w:szCs w:val="16"/>
        </w:rPr>
        <w:t>Машинописный экземпляр того времени (18904).</w:t>
      </w:r>
    </w:p>
    <w:p w14:paraId="09A8C637" w14:textId="77777777" w:rsidR="00BC2229" w:rsidRPr="005E779E" w:rsidRDefault="00BC2229" w:rsidP="000B7A6C">
      <w:pPr>
        <w:spacing w:after="0" w:line="240" w:lineRule="auto"/>
        <w:jc w:val="both"/>
        <w:rPr>
          <w:rFonts w:ascii="Times New Roman" w:hAnsi="Times New Roman"/>
          <w:color w:val="000000" w:themeColor="text1"/>
          <w:sz w:val="16"/>
          <w:szCs w:val="16"/>
        </w:rPr>
      </w:pPr>
    </w:p>
    <w:p w14:paraId="2AC8E753"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785F2F98"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6B1CF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 января 1931 9-й съезд ВЛКСМ вынес постановление о шефстве над ВВС КА. Обратился с призывом: "Комсомолец - на самолет." (438,619).</w:t>
      </w:r>
    </w:p>
    <w:p w14:paraId="1E68E6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22AE797" w14:textId="77777777" w:rsidR="00EA061A" w:rsidRPr="005E779E" w:rsidRDefault="00EA061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 января 1931 г. IX съезд ВЛКСМ вынес постановление о принятии шефства над Военно-воздушными силами красной армии. Съезд обратился к комсомольцам с боевым призывом "Комсомолец на самолет!". Приказом РВС СССР от 25 января № 12 шефство было принято и объявлено частям ВВС. Свое шефство ВЛКСМ подтвердил делом, направив по комсомольским путевкам в школы ВВС тысячи комсомольцев. Летчики-комсомольцы показывали пример в овладении авиационной техникой, а в годы войвы - и образцы беспредельного героизма при защите иго отечества.</w:t>
      </w:r>
    </w:p>
    <w:p w14:paraId="53037D4C" w14:textId="77777777" w:rsidR="00EA061A" w:rsidRPr="005E779E" w:rsidRDefault="00EA061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/ВВФ, 1931, № 12; "Красная звезда" за 25 января 1931 г./ (23370).</w:t>
      </w:r>
    </w:p>
    <w:p w14:paraId="47EAA699" w14:textId="77777777" w:rsidR="00EA061A" w:rsidRPr="005E779E" w:rsidRDefault="00EA061A" w:rsidP="000B7A6C">
      <w:pPr>
        <w:spacing w:after="0" w:line="240" w:lineRule="auto"/>
        <w:jc w:val="both"/>
        <w:rPr>
          <w:rFonts w:ascii="Times New Roman" w:hAnsi="Times New Roman"/>
          <w:color w:val="000000" w:themeColor="text1"/>
          <w:sz w:val="16"/>
          <w:szCs w:val="16"/>
        </w:rPr>
      </w:pPr>
    </w:p>
    <w:p w14:paraId="3958E5C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 января 1931 г. при авиазаводе №22 в Филях образована летная школа (6395).</w:t>
      </w:r>
    </w:p>
    <w:p w14:paraId="2273E52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2AC52F"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2ADB88DF"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31EA2F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 января 1931 была одобрена конструкция конической улучшенной башни танка Т-19 под установку спаренного вооружения «немецкого типа» из 37-мм пушки большой мощности ПС-2 и пулемета ДТ. Проектированием башни занимались П. Сячинтов (пушка, прицел и стробоскопи</w:t>
      </w:r>
      <w:r w:rsidRPr="005E779E">
        <w:rPr>
          <w:rFonts w:ascii="Times New Roman" w:hAnsi="Times New Roman"/>
          <w:color w:val="000000" w:themeColor="text1"/>
          <w:sz w:val="16"/>
          <w:szCs w:val="16"/>
        </w:rPr>
        <w:softHyphen/>
        <w:t>ческая командирская башенка), А. Александров (установка вооружения и механизмы наводки), В. Симский (общая компоновка) и Д. Ройзман (приспособления и инструмен</w:t>
      </w:r>
      <w:r w:rsidRPr="005E779E">
        <w:rPr>
          <w:rFonts w:ascii="Times New Roman" w:hAnsi="Times New Roman"/>
          <w:color w:val="000000" w:themeColor="text1"/>
          <w:sz w:val="16"/>
          <w:szCs w:val="16"/>
        </w:rPr>
        <w:softHyphen/>
        <w:t>ты). Но на изготовление башни и вооружения средства для нее отпущены не были (10733,170).</w:t>
      </w:r>
    </w:p>
    <w:p w14:paraId="095E89F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489E09" w14:textId="77777777" w:rsidR="00B93B98" w:rsidRPr="005E779E" w:rsidRDefault="00B93B9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 января 1931 по постановлению Президиума ВСНХ СССР институтом для Челябинского трактор</w:t>
      </w:r>
      <w:r w:rsidRPr="005E779E">
        <w:rPr>
          <w:rFonts w:ascii="Times New Roman" w:hAnsi="Times New Roman"/>
          <w:color w:val="000000" w:themeColor="text1"/>
          <w:sz w:val="16"/>
          <w:szCs w:val="16"/>
        </w:rPr>
        <w:softHyphen/>
        <w:t>ного завода начинается выполнение комплекса ра</w:t>
      </w:r>
      <w:r w:rsidRPr="005E779E">
        <w:rPr>
          <w:rFonts w:ascii="Times New Roman" w:hAnsi="Times New Roman"/>
          <w:color w:val="000000" w:themeColor="text1"/>
          <w:sz w:val="16"/>
          <w:szCs w:val="16"/>
        </w:rPr>
        <w:softHyphen/>
        <w:t>бот по переводу бензиновых двигателей Катерпил</w:t>
      </w:r>
      <w:r w:rsidRPr="005E779E">
        <w:rPr>
          <w:rFonts w:ascii="Times New Roman" w:hAnsi="Times New Roman"/>
          <w:color w:val="000000" w:themeColor="text1"/>
          <w:sz w:val="16"/>
          <w:szCs w:val="16"/>
        </w:rPr>
        <w:softHyphen/>
        <w:t>лер и Даймлер-Бенц для работы на нефти (22518).</w:t>
      </w:r>
    </w:p>
    <w:p w14:paraId="66E3A937" w14:textId="77777777" w:rsidR="00B93B98" w:rsidRPr="005E779E" w:rsidRDefault="00B93B98" w:rsidP="000B7A6C">
      <w:pPr>
        <w:spacing w:after="0" w:line="240" w:lineRule="auto"/>
        <w:jc w:val="both"/>
        <w:rPr>
          <w:rFonts w:ascii="Times New Roman" w:hAnsi="Times New Roman"/>
          <w:color w:val="000000" w:themeColor="text1"/>
          <w:sz w:val="16"/>
          <w:szCs w:val="16"/>
        </w:rPr>
      </w:pPr>
    </w:p>
    <w:p w14:paraId="0ADE9C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25 января 1931 г. Приказом № 17 по заводу (Механический завод № 7 ВСНХ, «Санкт-Петербургский арсенал», Санкт-Петербургский Орудийный завод им. Петра I, Механический артиллерийский завод «Арсенал Петра Великого», Ленинградский государственный механический артиллерийский завод «Красный Арсенал» ВСНХ, ГС машиностроительный завод № 7 им. 1-го Мая НКТП, НКОП, ГС завод № 7 им. М.В. Фрунзе НКВ, </w:t>
      </w:r>
      <w:r w:rsidRPr="005E779E">
        <w:rPr>
          <w:rFonts w:ascii="Times New Roman" w:hAnsi="Times New Roman"/>
          <w:color w:val="000000" w:themeColor="text1"/>
          <w:sz w:val="16"/>
          <w:szCs w:val="16"/>
          <w:lang w:val="en-US"/>
        </w:rPr>
        <w:t>MB</w:t>
      </w:r>
      <w:r w:rsidRPr="005E779E">
        <w:rPr>
          <w:rFonts w:ascii="Times New Roman" w:hAnsi="Times New Roman"/>
          <w:color w:val="000000" w:themeColor="text1"/>
          <w:sz w:val="16"/>
          <w:szCs w:val="16"/>
        </w:rPr>
        <w:t xml:space="preserve">, МОП, ГКОТ, Ленинградский завод им. М.В. Фрунзе (ЗИФ), ПО «Арсенал» им. М.В. Фрунзе </w:t>
      </w:r>
      <w:r w:rsidRPr="005E779E">
        <w:rPr>
          <w:rFonts w:ascii="Times New Roman" w:hAnsi="Times New Roman"/>
          <w:color w:val="000000" w:themeColor="text1"/>
          <w:sz w:val="16"/>
          <w:szCs w:val="16"/>
          <w:lang w:val="en-US"/>
        </w:rPr>
        <w:t>MOM</w:t>
      </w:r>
      <w:r w:rsidRPr="005E779E">
        <w:rPr>
          <w:rFonts w:ascii="Times New Roman" w:hAnsi="Times New Roman"/>
          <w:color w:val="000000" w:themeColor="text1"/>
          <w:sz w:val="16"/>
          <w:szCs w:val="16"/>
        </w:rPr>
        <w:t>, АООТ «ЗПТ «Арсенал», АООТ «Холдинговая компания (ХК) «Арсенал», ОАО «Машиностроительный завод (МЗ) «Арсенал» /г. Санкт-Петербург, г. Петроград; г. Ленинград, 9 п/я 671 (1937г.)/ /195009 г. Санкт-Петербург ул. Комсомола, 1/3 тел. 542-28-46, 542-79-00/) от было решено приступить к изготовлению компрессорных станций. Для их разработки было создано ПКБ по компрессоростроению (11982).</w:t>
      </w:r>
    </w:p>
    <w:p w14:paraId="192591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13C15F7" w14:textId="77777777" w:rsidR="00F61E12"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0923932E" w14:textId="77777777" w:rsidR="00F61E12" w:rsidRPr="005E779E" w:rsidRDefault="00F61E12"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4D1F526" w14:textId="77777777" w:rsidR="00F61E12" w:rsidRPr="005E779E" w:rsidRDefault="00F61E12"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21 января</w:t>
      </w:r>
      <w:r w:rsidRPr="005E779E">
        <w:rPr>
          <w:rFonts w:ascii="Times New Roman" w:hAnsi="Times New Roman"/>
          <w:color w:val="000000" w:themeColor="text1"/>
          <w:sz w:val="16"/>
          <w:szCs w:val="16"/>
        </w:rPr>
        <w:t xml:space="preserve"> в 1931 году первый полёт прототипа истребителя «Vickers» «Type 161» «COW Gun Fighter» («J.9566») (компания «Vickers», Великобритания). Разработан в рамках создания истребителя бомбардировщиков с тяжелой 37-мм пушкой COW (Coventry Ordnance Works) (15016).</w:t>
      </w:r>
    </w:p>
    <w:p w14:paraId="75B67770" w14:textId="77777777" w:rsidR="00F61E12" w:rsidRPr="005E779E" w:rsidRDefault="00F61E12" w:rsidP="000B7A6C">
      <w:pPr>
        <w:spacing w:after="0" w:line="240" w:lineRule="auto"/>
        <w:jc w:val="both"/>
        <w:rPr>
          <w:rFonts w:ascii="Times New Roman" w:hAnsi="Times New Roman"/>
          <w:color w:val="000000" w:themeColor="text1"/>
          <w:sz w:val="16"/>
          <w:szCs w:val="16"/>
        </w:rPr>
      </w:pPr>
    </w:p>
    <w:p w14:paraId="651C32F9" w14:textId="77777777" w:rsidR="00B93B98" w:rsidRPr="005E779E" w:rsidRDefault="00B93B9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 января 1931 года — первый полёт истребителя Vickers Type 161. /Великобритания/</w:t>
      </w:r>
    </w:p>
    <w:p w14:paraId="05DC6C6D" w14:textId="77777777" w:rsidR="00B93B98" w:rsidRPr="005E779E" w:rsidRDefault="00B93B9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Хотя пушечное вооружение на самолётах появилось ещё во время Первой мировой войны, широкого распространения оно не получило. В 1924 году британское авиационное министерство опубликовало спецификацию F.29/27 на истребитель бомбардировщиков с 37-мм пушкой COW. Одним из проектов по данной спецификации стал Type 161, разработанный компанией Vickers Limited.</w:t>
      </w:r>
    </w:p>
    <w:p w14:paraId="74384FA3" w14:textId="77777777" w:rsidR="00B93B98" w:rsidRPr="005E779E" w:rsidRDefault="00B93B9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создании Type 161 конструкторы Vickers вдохновлялись своим успешным истребителем Первой мировой войны — F.B.5 (он же Gunbus). В итоге у них получился необычный биплан с толкающим винтом. Установленная в носовой части пушка стреляла вверх под углом в 45°. Т.е. Type 161 должен был лететь ниже своей цели. Двигатель Bristol Jupiter VIIF позволял развить скорость до 298 км/ч.</w:t>
      </w:r>
    </w:p>
    <w:p w14:paraId="2F540957" w14:textId="77777777" w:rsidR="00B93B98" w:rsidRPr="005E779E" w:rsidRDefault="00B93B9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Испытания показали проблемы с управляемостью. И, хотя после доработок серьёзных замечаний от лётчиков не было, проект в итоге свернули. Построили лишь 1 прототип Type 161 (22300).</w:t>
      </w:r>
    </w:p>
    <w:p w14:paraId="45F72273" w14:textId="77777777" w:rsidR="00B93B98" w:rsidRPr="005E779E" w:rsidRDefault="00B93B98" w:rsidP="000B7A6C">
      <w:pPr>
        <w:spacing w:after="0" w:line="240" w:lineRule="auto"/>
        <w:jc w:val="both"/>
        <w:rPr>
          <w:rFonts w:ascii="Times New Roman" w:hAnsi="Times New Roman"/>
          <w:color w:val="000000" w:themeColor="text1"/>
          <w:sz w:val="16"/>
          <w:szCs w:val="16"/>
        </w:rPr>
      </w:pPr>
    </w:p>
    <w:p w14:paraId="7410EC36"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4842BC71"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3441963" w14:textId="77777777" w:rsidR="00F61E12" w:rsidRPr="005E779E" w:rsidRDefault="00F61E12"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22 января</w:t>
      </w:r>
      <w:r w:rsidRPr="005E779E">
        <w:rPr>
          <w:rFonts w:ascii="Times New Roman" w:hAnsi="Times New Roman"/>
          <w:color w:val="000000" w:themeColor="text1"/>
          <w:sz w:val="16"/>
          <w:szCs w:val="16"/>
        </w:rPr>
        <w:t xml:space="preserve"> в 1931 году первый полёт многоцелевого вспомогательного самолета «Bristol» «Type 120» (компания «Bristol», Великобритания). Самолёт был оснащён девятицилиндровым двигателем воздушного охлаждения «Bristol Pegasus» «IM.3» мощностью 650 л.с. Вооружение самолета состояло из синхронизированного переднего 7.7-мм пулемета Vickers, установленного сбоку фюзеляжа и подвижного 7.7-мм пулемета «Lewis» в кабине у наблюдателя. Кроме того самолет мог нести две 113-ти килограммовые бомбы. После серии испытаний проект закрыли (15017).</w:t>
      </w:r>
    </w:p>
    <w:p w14:paraId="268EB8BE" w14:textId="77777777" w:rsidR="00F61E12" w:rsidRPr="005E779E" w:rsidRDefault="00F61E12" w:rsidP="000B7A6C">
      <w:pPr>
        <w:spacing w:after="0" w:line="240" w:lineRule="auto"/>
        <w:jc w:val="both"/>
        <w:rPr>
          <w:rFonts w:ascii="Times New Roman" w:hAnsi="Times New Roman"/>
          <w:color w:val="000000" w:themeColor="text1"/>
          <w:sz w:val="16"/>
          <w:szCs w:val="16"/>
        </w:rPr>
      </w:pPr>
    </w:p>
    <w:p w14:paraId="7467361A" w14:textId="77777777" w:rsidR="00B93B98" w:rsidRPr="005E779E" w:rsidRDefault="00B93B9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 января 1931 - Первый полет британского многоцелевого вспомогательного самолета Bristol Type 118.</w:t>
      </w:r>
    </w:p>
    <w:p w14:paraId="36936EE5" w14:textId="77777777" w:rsidR="00B93B98" w:rsidRPr="005E779E" w:rsidRDefault="00B93B9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Проект Bristol Type 118 первоначально разрабатывался как двухместный истребитель. Это был биплан с двигателем Jupiter XFA мощностью 590 л.с. Вскоре стало ясно, что самолету не удастся превзойти характеристики серийного Bristol Bulldog, да к тому же параллельно уже велись разработки более совершенных машин. Однако работы не были свернуты - было решено переработать проект в многоцелевой вспомогательный армейский самолет. Министерство Авиации Великобритании заказало строительство еще одного прототипа.</w:t>
      </w:r>
    </w:p>
    <w:p w14:paraId="51120CF3" w14:textId="5BBEC413" w:rsidR="00B93B98" w:rsidRPr="005E779E" w:rsidRDefault="00B93B9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shd w:val="clear" w:color="auto" w:fill="FFFFFF"/>
        </w:rPr>
        <w:t>Второй, более совершенный экземпляр, оборудованный девятицилиндровым двигателем</w:t>
      </w:r>
      <w:r w:rsidR="00FE094E">
        <w:rPr>
          <w:rFonts w:ascii="Times New Roman" w:hAnsi="Times New Roman"/>
          <w:color w:val="000000" w:themeColor="text1"/>
          <w:sz w:val="16"/>
          <w:szCs w:val="16"/>
          <w:shd w:val="clear" w:color="auto" w:fill="FFFFFF"/>
        </w:rPr>
        <w:t xml:space="preserve"> </w:t>
      </w:r>
      <w:r w:rsidRPr="005E779E">
        <w:rPr>
          <w:rFonts w:ascii="Times New Roman" w:hAnsi="Times New Roman"/>
          <w:color w:val="000000" w:themeColor="text1"/>
          <w:sz w:val="16"/>
          <w:szCs w:val="16"/>
          <w:shd w:val="clear" w:color="auto" w:fill="FFFFFF"/>
        </w:rPr>
        <w:t>воздушного охлаждения Bristol Pegasus IM.3 мощностью 650 л.с., получил обозначение Bristol Type 120.</w:t>
      </w:r>
      <w:r w:rsidR="00FE094E">
        <w:rPr>
          <w:rFonts w:ascii="Times New Roman" w:hAnsi="Times New Roman"/>
          <w:color w:val="000000" w:themeColor="text1"/>
          <w:sz w:val="16"/>
          <w:szCs w:val="16"/>
          <w:shd w:val="clear" w:color="auto" w:fill="FFFFFF"/>
        </w:rPr>
        <w:t xml:space="preserve"> </w:t>
      </w:r>
      <w:r w:rsidRPr="005E779E">
        <w:rPr>
          <w:rFonts w:ascii="Times New Roman" w:hAnsi="Times New Roman"/>
          <w:color w:val="000000" w:themeColor="text1"/>
          <w:sz w:val="16"/>
          <w:szCs w:val="16"/>
          <w:shd w:val="clear" w:color="auto" w:fill="FFFFFF"/>
        </w:rPr>
        <w:t>Вооружение самолета состояло из синхронизированного переднего 7.7-мм пулемета Vickers, установленного сбоку фюзеляжа и подвижного 7.7-мм пулемета Lewis в кабине у наблюдателя. Кроме того самолет мог нести две 113-ти килограммовые бомбы. Первый полет самолета состоялся 22 января 1931 года.</w:t>
      </w:r>
      <w:r w:rsidR="00FE094E">
        <w:rPr>
          <w:rFonts w:ascii="Times New Roman" w:hAnsi="Times New Roman"/>
          <w:color w:val="000000" w:themeColor="text1"/>
          <w:sz w:val="16"/>
          <w:szCs w:val="16"/>
          <w:shd w:val="clear" w:color="auto" w:fill="FFFFFF"/>
        </w:rPr>
        <w:t xml:space="preserve"> </w:t>
      </w:r>
      <w:r w:rsidRPr="005E779E">
        <w:rPr>
          <w:rFonts w:ascii="Times New Roman" w:hAnsi="Times New Roman"/>
          <w:color w:val="000000" w:themeColor="text1"/>
          <w:sz w:val="16"/>
          <w:szCs w:val="16"/>
          <w:shd w:val="clear" w:color="auto" w:fill="FFFFFF"/>
        </w:rPr>
        <w:t>После серии испытаний проект закрыли</w:t>
      </w:r>
      <w:r w:rsidRPr="005E779E">
        <w:rPr>
          <w:rFonts w:ascii="Times New Roman" w:hAnsi="Times New Roman"/>
          <w:color w:val="000000" w:themeColor="text1"/>
          <w:sz w:val="16"/>
          <w:szCs w:val="16"/>
        </w:rPr>
        <w:t xml:space="preserve"> (22650).</w:t>
      </w:r>
    </w:p>
    <w:p w14:paraId="3C87A43D" w14:textId="77777777" w:rsidR="00B93B98" w:rsidRPr="005E779E" w:rsidRDefault="00B93B98" w:rsidP="000B7A6C">
      <w:pPr>
        <w:spacing w:after="0" w:line="240" w:lineRule="auto"/>
        <w:jc w:val="both"/>
        <w:rPr>
          <w:rFonts w:ascii="Times New Roman" w:hAnsi="Times New Roman"/>
          <w:color w:val="000000" w:themeColor="text1"/>
          <w:sz w:val="16"/>
          <w:szCs w:val="16"/>
        </w:rPr>
      </w:pPr>
    </w:p>
    <w:p w14:paraId="4C52195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 января 1931 английские врачи объявили об открытии метода иммунизации против полиомиелита (4962).</w:t>
      </w:r>
    </w:p>
    <w:p w14:paraId="04A2903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8392FA"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31AA6A78"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1C35BED" w14:textId="77777777" w:rsidR="007E4069" w:rsidRPr="005E779E" w:rsidRDefault="007E4069" w:rsidP="000B7A6C">
      <w:pPr>
        <w:pStyle w:val="rtejustify"/>
        <w:spacing w:before="0" w:after="0"/>
        <w:rPr>
          <w:color w:val="000000" w:themeColor="text1"/>
          <w:sz w:val="16"/>
          <w:szCs w:val="16"/>
        </w:rPr>
      </w:pPr>
      <w:r w:rsidRPr="005E779E">
        <w:rPr>
          <w:rStyle w:val="af0"/>
          <w:i w:val="0"/>
          <w:color w:val="000000" w:themeColor="text1"/>
          <w:sz w:val="16"/>
          <w:szCs w:val="16"/>
        </w:rPr>
        <w:t>23 января 1931 г. Протокол Реввоенсовета № 6.</w:t>
      </w:r>
      <w:r w:rsidRPr="005E779E">
        <w:rPr>
          <w:color w:val="000000" w:themeColor="text1"/>
          <w:sz w:val="16"/>
          <w:szCs w:val="16"/>
        </w:rPr>
        <w:t xml:space="preserve"> 13. О ходе опытного самолето- и моторостроения (Баранов). 14. Об опытном строительстве гражданской авиации. (Баранов П. И.). 15. Об утверждении технических требований к самолету ТБ</w:t>
      </w:r>
      <w:r w:rsidRPr="005E779E">
        <w:rPr>
          <w:color w:val="000000" w:themeColor="text1"/>
          <w:sz w:val="16"/>
          <w:szCs w:val="16"/>
        </w:rPr>
        <w:noBreakHyphen/>
        <w:t>4 (Баранов П. И.). 16. Включение в план опытного самолетостроения работы конструкторского бюро инженера Калинина (Баранов П. И). 18. Об оставлении в плане С</w:t>
      </w:r>
      <w:r w:rsidRPr="005E779E">
        <w:rPr>
          <w:color w:val="000000" w:themeColor="text1"/>
          <w:sz w:val="16"/>
          <w:szCs w:val="16"/>
        </w:rPr>
        <w:noBreakHyphen/>
        <w:t>30 моторов М</w:t>
      </w:r>
      <w:r w:rsidRPr="005E779E">
        <w:rPr>
          <w:color w:val="000000" w:themeColor="text1"/>
          <w:sz w:val="16"/>
          <w:szCs w:val="16"/>
        </w:rPr>
        <w:noBreakHyphen/>
        <w:t>19 (Триандафилов). (РГВА. Ф. 4. Оп. 18. Д. 20. Л. 38</w:t>
      </w:r>
      <w:r w:rsidRPr="005E779E">
        <w:rPr>
          <w:color w:val="000000" w:themeColor="text1"/>
          <w:sz w:val="16"/>
          <w:szCs w:val="16"/>
        </w:rPr>
        <w:noBreakHyphen/>
        <w:t>39) (12342).</w:t>
      </w:r>
    </w:p>
    <w:p w14:paraId="6EAA873C" w14:textId="77777777" w:rsidR="007E4069" w:rsidRPr="005E779E" w:rsidRDefault="007E4069" w:rsidP="000B7A6C">
      <w:pPr>
        <w:pStyle w:val="rtejustify"/>
        <w:spacing w:before="0" w:after="0"/>
        <w:rPr>
          <w:color w:val="000000" w:themeColor="text1"/>
          <w:sz w:val="16"/>
          <w:szCs w:val="16"/>
        </w:rPr>
      </w:pPr>
    </w:p>
    <w:p w14:paraId="1F12F7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января 1931 года [начальник ВВС].</w:t>
      </w:r>
    </w:p>
    <w:p w14:paraId="35B234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Тезисы доклада</w:t>
      </w:r>
    </w:p>
    <w:p w14:paraId="109E87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РВС по вопросу об авиабомбах</w:t>
      </w:r>
    </w:p>
    <w:p w14:paraId="2CB223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I.</w:t>
      </w:r>
    </w:p>
    <w:p w14:paraId="4906CA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Обеспеченность ВВС на 1 января 1931 года выражается в создании запаса в 1800 тонн из бомб старых типов, с большими сроками хранения, частично уже негодных.</w:t>
      </w:r>
    </w:p>
    <w:p w14:paraId="248B7F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На 1 мая 1931 года этот запас составляет 12% необходимой 4-х месячной нормы и обеспечивает лишь 3-4 полета ВВС.</w:t>
      </w:r>
    </w:p>
    <w:p w14:paraId="169708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При минимальной потребности ВВС на год ведения войны в 44200 тонн мобплан промышленности С-30 предусматривает подачу лишь 10000 тонн.</w:t>
      </w:r>
    </w:p>
    <w:p w14:paraId="3B26F4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Обеспеченность наличных запасов авиабомб взрывателями не превышает 70%.</w:t>
      </w:r>
    </w:p>
    <w:p w14:paraId="607AD9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II.</w:t>
      </w:r>
    </w:p>
    <w:p w14:paraId="63ED51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Единственным выходом из затяжного кризиса с производством авиабомб является немедленное строительство специальных заводов:</w:t>
      </w:r>
    </w:p>
    <w:p w14:paraId="22501E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по производству корпусов</w:t>
      </w:r>
    </w:p>
    <w:p w14:paraId="76BDC7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по снаряжению авиабомб</w:t>
      </w:r>
    </w:p>
    <w:p w14:paraId="69A4F0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по взрывателям.</w:t>
      </w:r>
    </w:p>
    <w:p w14:paraId="779A4B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III.</w:t>
      </w:r>
    </w:p>
    <w:p w14:paraId="753F6A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Авиабомбы, принятые системой вооружения, недопустимо медленно внедряются в массовое производство. Заказ 1931 года как по штукам, так и по тоннажу, в основном включает бомбы АО-8, АФ-32 и АФ-82. Зажигательные и светящиеся бомбы из заказа сняты.</w:t>
      </w:r>
    </w:p>
    <w:p w14:paraId="1CE3A7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Производство хим. бомб до настоящего времени не вышло из стадии изысканий и опытов.</w:t>
      </w:r>
    </w:p>
    <w:p w14:paraId="649DBE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Учитывая крайне слабую обеспеченность ВВС в настоящее время и неудовлетворительные перспективы на 1932 год (не более 20% потребности на развертывание), необходимо предложить начальнику вооружения изыскать все средства для максимального увеличения заказов на авиабомбы в 1931 году, возможно переведя промышленность на военное положение.</w:t>
      </w:r>
    </w:p>
    <w:p w14:paraId="12AACE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Необходимо также добиться расширения заказов промышленности на новые образцы бомб.</w:t>
      </w:r>
    </w:p>
    <w:p w14:paraId="3DC576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Объем заказов и ассортимент взрывателей по плану 1931 года - неудовлетворителен: не предусмотрена заготовка взрывателей АДЗ и АДП взамен наличных запасов взрывателей, в целях его освежения. Акты осмотра взрывателей свидетельствуют о значительном проценте неисправных взрывателей, не говоря уже о том, что взрыватели АДО (состоящие в непзапасе на 1 января 1931 года) - не дают возможности достаточного использования разрушительного эффекта авиабомб. (3026,13-14).</w:t>
      </w:r>
    </w:p>
    <w:p w14:paraId="5B6253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61B99CF"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4BE89A54"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575533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января 1931 г. состоялось очередное заседание комиссии под председательством Г. Бокиса. Комиссия дол</w:t>
      </w:r>
      <w:r w:rsidRPr="005E779E">
        <w:rPr>
          <w:rFonts w:ascii="Times New Roman" w:hAnsi="Times New Roman"/>
          <w:color w:val="000000" w:themeColor="text1"/>
          <w:sz w:val="16"/>
          <w:szCs w:val="16"/>
        </w:rPr>
        <w:softHyphen/>
        <w:t>жна была осуществить выбор типа нового танка и опреде</w:t>
      </w:r>
      <w:r w:rsidRPr="005E779E">
        <w:rPr>
          <w:rFonts w:ascii="Times New Roman" w:hAnsi="Times New Roman"/>
          <w:color w:val="000000" w:themeColor="text1"/>
          <w:sz w:val="16"/>
          <w:szCs w:val="16"/>
        </w:rPr>
        <w:softHyphen/>
        <w:t>лить график работ по его изготовлению и освоению вало</w:t>
      </w:r>
      <w:r w:rsidRPr="005E779E">
        <w:rPr>
          <w:rFonts w:ascii="Times New Roman" w:hAnsi="Times New Roman"/>
          <w:color w:val="000000" w:themeColor="text1"/>
          <w:sz w:val="16"/>
          <w:szCs w:val="16"/>
        </w:rPr>
        <w:softHyphen/>
        <w:t>вого производства. На этом совещании против отечественных разработок неожиданно резко выступили представители промышлен</w:t>
      </w:r>
      <w:r w:rsidRPr="005E779E">
        <w:rPr>
          <w:rFonts w:ascii="Times New Roman" w:hAnsi="Times New Roman"/>
          <w:color w:val="000000" w:themeColor="text1"/>
          <w:sz w:val="16"/>
          <w:szCs w:val="16"/>
        </w:rPr>
        <w:softHyphen/>
        <w:t>ности (К. Сиркен и Владимиров). Они мотивировали свои выступления тем, что 6-цилиндровый двигатель, преду</w:t>
      </w:r>
      <w:r w:rsidRPr="005E779E">
        <w:rPr>
          <w:rFonts w:ascii="Times New Roman" w:hAnsi="Times New Roman"/>
          <w:color w:val="000000" w:themeColor="text1"/>
          <w:sz w:val="16"/>
          <w:szCs w:val="16"/>
        </w:rPr>
        <w:softHyphen/>
        <w:t>смотренный для установки на Т-19, Т-19 улучшенный, атак-же «танки М.М.», резко усложнит выпуск танков; потребу</w:t>
      </w:r>
      <w:r w:rsidRPr="005E779E">
        <w:rPr>
          <w:rFonts w:ascii="Times New Roman" w:hAnsi="Times New Roman"/>
          <w:color w:val="000000" w:themeColor="text1"/>
          <w:sz w:val="16"/>
          <w:szCs w:val="16"/>
        </w:rPr>
        <w:softHyphen/>
        <w:t>ет дополнительных подгонок в поршневой группе; удоро</w:t>
      </w:r>
      <w:r w:rsidRPr="005E779E">
        <w:rPr>
          <w:rFonts w:ascii="Times New Roman" w:hAnsi="Times New Roman"/>
          <w:color w:val="000000" w:themeColor="text1"/>
          <w:sz w:val="16"/>
          <w:szCs w:val="16"/>
        </w:rPr>
        <w:softHyphen/>
        <w:t>жит производство длинного коленвала, распределительного вала; двойное зажигание потребует двойного комплекта запальных свечей и т.д. С их мнением согласился и пред</w:t>
      </w:r>
      <w:r w:rsidRPr="005E779E">
        <w:rPr>
          <w:rFonts w:ascii="Times New Roman" w:hAnsi="Times New Roman"/>
          <w:color w:val="000000" w:themeColor="text1"/>
          <w:sz w:val="16"/>
          <w:szCs w:val="16"/>
        </w:rPr>
        <w:softHyphen/>
        <w:t>ставитель МобУ РККА (10733,171).</w:t>
      </w:r>
    </w:p>
    <w:p w14:paraId="710668D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F167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января 1931 состоялось следующее заседание комиссии под председательством начальника техуправления УММ Бокиса, где против отечественных разработок резко выступили представители промышленности.</w:t>
      </w:r>
    </w:p>
    <w:p w14:paraId="5118F6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Оригинал протокола РВС СССР, на котором окончательно решался вопрос о принятии на вооружение В-26, пока не найден, но существует письмо-распоряжение И. Халепского С. Гинзбургу от 26 января 1931 г., которое проливает на многое свет. В нем говорится:</w:t>
      </w:r>
    </w:p>
    <w:p w14:paraId="45B527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имеющимся в штабе агентурным данным, польское правительство ведет закупки 6-тонного танка типа Виккерс и 10-тонного быстроходного танка Кристи и усиленно готовится к их производству.</w:t>
      </w:r>
    </w:p>
    <w:p w14:paraId="51B276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Тов. Ворошилов, тов. Эйдеманн и тов. Тухачевский согласны, что используя англо-французскую помощь поляки в состоянии сделать уже к концу текущего года более 300 шт. легких 6-тонных англ. танков и до 100 шт. средних танков Кристи. В след. году они могут удвоить это число.</w:t>
      </w:r>
    </w:p>
    <w:p w14:paraId="466744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Таким образом Совет счел целесообразным рассмотреть вопрос о принятии на вооружение КА вышеозначенных танков и начать их выпуск немедленно как они есть — не дожидаясь окончания опытных работ, чтобы при необходимости нанести отпор возможной агрессии» (11809).</w:t>
      </w:r>
    </w:p>
    <w:p w14:paraId="02ADB8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E343E2E" w14:textId="77777777" w:rsidR="009B4119" w:rsidRPr="00142305" w:rsidRDefault="009B4119" w:rsidP="009B411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23 января 1931 года состоя</w:t>
      </w:r>
      <w:r w:rsidRPr="00142305">
        <w:rPr>
          <w:rFonts w:ascii="Times New Roman" w:hAnsi="Times New Roman"/>
          <w:color w:val="0070C0"/>
          <w:sz w:val="16"/>
          <w:szCs w:val="16"/>
        </w:rPr>
        <w:softHyphen/>
        <w:t>лось заседание Революционно-военного со</w:t>
      </w:r>
      <w:r w:rsidRPr="00142305">
        <w:rPr>
          <w:rFonts w:ascii="Times New Roman" w:hAnsi="Times New Roman"/>
          <w:color w:val="0070C0"/>
          <w:sz w:val="16"/>
          <w:szCs w:val="16"/>
        </w:rPr>
        <w:softHyphen/>
        <w:t>вета (РВС) СССР, на котором решался во</w:t>
      </w:r>
      <w:r w:rsidRPr="00142305">
        <w:rPr>
          <w:rFonts w:ascii="Times New Roman" w:hAnsi="Times New Roman"/>
          <w:color w:val="0070C0"/>
          <w:sz w:val="16"/>
          <w:szCs w:val="16"/>
        </w:rPr>
        <w:softHyphen/>
        <w:t>прос о выборе танка для принятия его на во</w:t>
      </w:r>
      <w:r w:rsidRPr="00142305">
        <w:rPr>
          <w:rFonts w:ascii="Times New Roman" w:hAnsi="Times New Roman"/>
          <w:color w:val="0070C0"/>
          <w:sz w:val="16"/>
          <w:szCs w:val="16"/>
        </w:rPr>
        <w:softHyphen/>
        <w:t>оружение.</w:t>
      </w:r>
    </w:p>
    <w:p w14:paraId="0542362B" w14:textId="77777777" w:rsidR="009B4119" w:rsidRPr="00142305" w:rsidRDefault="009B4119" w:rsidP="009B411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А тремя днями позже начальник Управле</w:t>
      </w:r>
      <w:r w:rsidRPr="00142305">
        <w:rPr>
          <w:rFonts w:ascii="Times New Roman" w:hAnsi="Times New Roman"/>
          <w:color w:val="0070C0"/>
          <w:sz w:val="16"/>
          <w:szCs w:val="16"/>
        </w:rPr>
        <w:softHyphen/>
        <w:t>ния механизации и моторизации (УММ) Красной Армии И. Халепский направил С. Гинзбургу письмо следующего содержа</w:t>
      </w:r>
      <w:r w:rsidRPr="00142305">
        <w:rPr>
          <w:rFonts w:ascii="Times New Roman" w:hAnsi="Times New Roman"/>
          <w:color w:val="0070C0"/>
          <w:sz w:val="16"/>
          <w:szCs w:val="16"/>
        </w:rPr>
        <w:softHyphen/>
        <w:t>ния: «По имеющимся в штабе агентурным сведениям, польское правительство ведет за</w:t>
      </w:r>
      <w:r w:rsidRPr="00142305">
        <w:rPr>
          <w:rFonts w:ascii="Times New Roman" w:hAnsi="Times New Roman"/>
          <w:color w:val="0070C0"/>
          <w:sz w:val="16"/>
          <w:szCs w:val="16"/>
        </w:rPr>
        <w:softHyphen/>
        <w:t>купки образцов 6-тонного танка типа «Вик</w:t>
      </w:r>
      <w:r w:rsidRPr="00142305">
        <w:rPr>
          <w:rFonts w:ascii="Times New Roman" w:hAnsi="Times New Roman"/>
          <w:color w:val="0070C0"/>
          <w:sz w:val="16"/>
          <w:szCs w:val="16"/>
        </w:rPr>
        <w:softHyphen/>
        <w:t>керс» и 10-тонного быстроходного танка ти</w:t>
      </w:r>
      <w:r w:rsidRPr="00142305">
        <w:rPr>
          <w:rFonts w:ascii="Times New Roman" w:hAnsi="Times New Roman"/>
          <w:color w:val="0070C0"/>
          <w:sz w:val="16"/>
          <w:szCs w:val="16"/>
        </w:rPr>
        <w:softHyphen/>
        <w:t>па «Кристи» и усиленно готовится к их мас</w:t>
      </w:r>
      <w:r w:rsidRPr="00142305">
        <w:rPr>
          <w:rFonts w:ascii="Times New Roman" w:hAnsi="Times New Roman"/>
          <w:color w:val="0070C0"/>
          <w:sz w:val="16"/>
          <w:szCs w:val="16"/>
        </w:rPr>
        <w:softHyphen/>
        <w:t>совому производству...</w:t>
      </w:r>
    </w:p>
    <w:p w14:paraId="5824BFB9" w14:textId="77777777" w:rsidR="009B4119" w:rsidRPr="00142305" w:rsidRDefault="009B4119" w:rsidP="009B411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Тов. Ворошилов, тов. Эйдеман и тов. Туха</w:t>
      </w:r>
      <w:r w:rsidRPr="00142305">
        <w:rPr>
          <w:rFonts w:ascii="Times New Roman" w:hAnsi="Times New Roman"/>
          <w:color w:val="0070C0"/>
          <w:sz w:val="16"/>
          <w:szCs w:val="16"/>
        </w:rPr>
        <w:softHyphen/>
        <w:t>чевский согласны, что используя англо</w:t>
      </w:r>
      <w:r w:rsidRPr="00142305">
        <w:rPr>
          <w:rFonts w:ascii="Times New Roman" w:hAnsi="Times New Roman"/>
          <w:color w:val="0070C0"/>
          <w:sz w:val="16"/>
          <w:szCs w:val="16"/>
        </w:rPr>
        <w:softHyphen/>
        <w:t>французскую помощь поляки в состоянии сделать уже к концу текущего года более 300 штук легких 6-тонных английских танков и до 100 штук средних танков типа «Кристи». В следующем году они могут удвоить это чис</w:t>
      </w:r>
      <w:r w:rsidRPr="00142305">
        <w:rPr>
          <w:rFonts w:ascii="Times New Roman" w:hAnsi="Times New Roman"/>
          <w:color w:val="0070C0"/>
          <w:sz w:val="16"/>
          <w:szCs w:val="16"/>
        </w:rPr>
        <w:softHyphen/>
        <w:t>ло. Это обстоятельство может дать им в руки большие козыри с точки зрения использова</w:t>
      </w:r>
      <w:r w:rsidRPr="00142305">
        <w:rPr>
          <w:rFonts w:ascii="Times New Roman" w:hAnsi="Times New Roman"/>
          <w:color w:val="0070C0"/>
          <w:sz w:val="16"/>
          <w:szCs w:val="16"/>
        </w:rPr>
        <w:softHyphen/>
        <w:t>ния бронесил...</w:t>
      </w:r>
    </w:p>
    <w:p w14:paraId="14DC0D94" w14:textId="77777777" w:rsidR="009B4119" w:rsidRPr="00142305" w:rsidRDefault="009B4119" w:rsidP="009B411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Таким образом, Совет счел целесообраз</w:t>
      </w:r>
      <w:r w:rsidRPr="00142305">
        <w:rPr>
          <w:rFonts w:ascii="Times New Roman" w:hAnsi="Times New Roman"/>
          <w:color w:val="0070C0"/>
          <w:sz w:val="16"/>
          <w:szCs w:val="16"/>
        </w:rPr>
        <w:softHyphen/>
        <w:t>ным рассмотреть вопрос о принятие на во</w:t>
      </w:r>
      <w:r w:rsidRPr="00142305">
        <w:rPr>
          <w:rFonts w:ascii="Times New Roman" w:hAnsi="Times New Roman"/>
          <w:color w:val="0070C0"/>
          <w:sz w:val="16"/>
          <w:szCs w:val="16"/>
        </w:rPr>
        <w:softHyphen/>
        <w:t>оружение Красной Армии вышеозначенных иностранных танков и начать их выпуск не</w:t>
      </w:r>
      <w:r w:rsidRPr="00142305">
        <w:rPr>
          <w:rFonts w:ascii="Times New Roman" w:hAnsi="Times New Roman"/>
          <w:color w:val="0070C0"/>
          <w:sz w:val="16"/>
          <w:szCs w:val="16"/>
        </w:rPr>
        <w:softHyphen/>
        <w:t>медленно как они есть - не дожидаясь окон</w:t>
      </w:r>
      <w:r w:rsidRPr="00142305">
        <w:rPr>
          <w:rFonts w:ascii="Times New Roman" w:hAnsi="Times New Roman"/>
          <w:color w:val="0070C0"/>
          <w:sz w:val="16"/>
          <w:szCs w:val="16"/>
        </w:rPr>
        <w:softHyphen/>
        <w:t>чания опытных работ, чтобы при необходи</w:t>
      </w:r>
      <w:r w:rsidRPr="00142305">
        <w:rPr>
          <w:rFonts w:ascii="Times New Roman" w:hAnsi="Times New Roman"/>
          <w:color w:val="0070C0"/>
          <w:sz w:val="16"/>
          <w:szCs w:val="16"/>
        </w:rPr>
        <w:softHyphen/>
        <w:t>мости нанести отпор возможной агрессии» (24999).</w:t>
      </w:r>
    </w:p>
    <w:p w14:paraId="5901936C" w14:textId="77777777" w:rsidR="009B4119" w:rsidRPr="00142305" w:rsidRDefault="009B4119" w:rsidP="009B4119">
      <w:pPr>
        <w:spacing w:after="0" w:line="240" w:lineRule="auto"/>
        <w:jc w:val="both"/>
        <w:rPr>
          <w:rFonts w:ascii="Times New Roman" w:hAnsi="Times New Roman"/>
          <w:color w:val="0070C0"/>
          <w:sz w:val="16"/>
          <w:szCs w:val="16"/>
        </w:rPr>
      </w:pPr>
    </w:p>
    <w:p w14:paraId="5D965766"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6BA3CB3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5B88B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23 и 29 января 1931. Из протокола заседания Политбюро № 24, 1931 г.</w:t>
      </w:r>
    </w:p>
    <w:p w14:paraId="13D9CF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Об экономии газетной бумаги </w:t>
      </w:r>
    </w:p>
    <w:p w14:paraId="25FD79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 Признать необходимым прекратить выпуск вкладных листов во всех как в центральных, так и местных газетах, допуская выпуск вкладок лишь в виде исключения, с особого в каждом отдельном случае разрешения ЦК. Иметь в виду необходимость накопления запаса бумаги на расширение газет во время очередного съезда советов. </w:t>
      </w:r>
    </w:p>
    <w:p w14:paraId="0829D1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б) Отменить решение ПБ о вкладном листе газеты "За индустриализацию", предложив ей использовать одну страницу газеты для трактовки вопросов рационализации, технической реконструкции и снижения себестоимости. </w:t>
      </w:r>
    </w:p>
    <w:p w14:paraId="475609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Поручить Оргбюро ЦК направить на бумажные фабрики специальные бригады с заданием поднять производительность труда и увеличить выпуск продукции (11652).</w:t>
      </w:r>
    </w:p>
    <w:p w14:paraId="4AC452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8A75AD3" w14:textId="77777777" w:rsidR="00CD2BC2" w:rsidRPr="005E779E" w:rsidRDefault="00CD2BC2"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23 января 1931 г.</w:t>
      </w:r>
    </w:p>
    <w:p w14:paraId="77545100" w14:textId="77777777" w:rsidR="00CD2BC2" w:rsidRPr="005E779E" w:rsidRDefault="00CD2BC2"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Заявление в Коллегию ОГПУ Н. А. Доллежаля после окончания следствия по «делу боевой группы». 23 января 1931 г.</w:t>
      </w:r>
    </w:p>
    <w:p w14:paraId="78B472F8" w14:textId="77777777" w:rsidR="00CD2BC2" w:rsidRPr="005E779E" w:rsidRDefault="00CD2BC2"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Источник: </w:t>
      </w:r>
    </w:p>
    <w:p w14:paraId="3DAB8B9B" w14:textId="77777777" w:rsidR="00CD2BC2" w:rsidRPr="005E779E" w:rsidRDefault="00CD2BC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917885B" w14:textId="77777777" w:rsidR="00CD2BC2" w:rsidRPr="005E779E" w:rsidRDefault="00CD2BC2"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Архив: </w:t>
      </w:r>
    </w:p>
    <w:p w14:paraId="16D6FD1A" w14:textId="77777777" w:rsidR="00CD2BC2" w:rsidRPr="005E779E" w:rsidRDefault="00CD2BC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 ФСБ РФ. Ф. Р-42280. Т. 3. Л. 346-348 об.</w:t>
      </w:r>
    </w:p>
    <w:p w14:paraId="50B8939A" w14:textId="77777777" w:rsidR="00CD2BC2" w:rsidRPr="005E779E" w:rsidRDefault="00CD2BC2" w:rsidP="000B7A6C">
      <w:pPr>
        <w:pStyle w:val="rteright"/>
        <w:spacing w:before="0" w:after="0"/>
        <w:jc w:val="both"/>
        <w:rPr>
          <w:color w:val="000000" w:themeColor="text1"/>
          <w:sz w:val="16"/>
          <w:szCs w:val="16"/>
        </w:rPr>
      </w:pPr>
      <w:r w:rsidRPr="005E779E">
        <w:rPr>
          <w:color w:val="000000" w:themeColor="text1"/>
          <w:sz w:val="16"/>
          <w:szCs w:val="16"/>
        </w:rPr>
        <w:t>23 января 1931 г.</w:t>
      </w:r>
    </w:p>
    <w:p w14:paraId="54036DE2" w14:textId="77777777" w:rsidR="00CD2BC2" w:rsidRPr="005E779E" w:rsidRDefault="00CD2BC2" w:rsidP="000B7A6C">
      <w:pPr>
        <w:pStyle w:val="ae"/>
        <w:spacing w:before="0" w:after="0"/>
        <w:jc w:val="both"/>
        <w:rPr>
          <w:color w:val="000000" w:themeColor="text1"/>
          <w:sz w:val="16"/>
          <w:szCs w:val="16"/>
        </w:rPr>
      </w:pPr>
      <w:r w:rsidRPr="005E779E">
        <w:rPr>
          <w:color w:val="000000" w:themeColor="text1"/>
          <w:sz w:val="16"/>
          <w:szCs w:val="16"/>
        </w:rPr>
        <w:t>В Коллегию ОГПУ</w:t>
      </w:r>
    </w:p>
    <w:p w14:paraId="229B695F" w14:textId="77777777" w:rsidR="00CD2BC2" w:rsidRPr="005E779E" w:rsidRDefault="00CD2BC2" w:rsidP="000B7A6C">
      <w:pPr>
        <w:pStyle w:val="ae"/>
        <w:spacing w:before="0" w:after="0"/>
        <w:jc w:val="both"/>
        <w:rPr>
          <w:color w:val="000000" w:themeColor="text1"/>
          <w:sz w:val="16"/>
          <w:szCs w:val="16"/>
        </w:rPr>
      </w:pPr>
      <w:r w:rsidRPr="005E779E">
        <w:rPr>
          <w:color w:val="000000" w:themeColor="text1"/>
          <w:sz w:val="16"/>
          <w:szCs w:val="16"/>
        </w:rPr>
        <w:t>от Доллежаль Николая Антоновича</w:t>
      </w:r>
    </w:p>
    <w:p w14:paraId="3F261510" w14:textId="77777777" w:rsidR="00CD2BC2" w:rsidRPr="005E779E" w:rsidRDefault="00CD2BC2" w:rsidP="000B7A6C">
      <w:pPr>
        <w:pStyle w:val="rtejustify"/>
        <w:spacing w:before="0" w:after="0"/>
        <w:rPr>
          <w:color w:val="000000" w:themeColor="text1"/>
          <w:sz w:val="16"/>
          <w:szCs w:val="16"/>
        </w:rPr>
      </w:pPr>
      <w:r w:rsidRPr="005E779E">
        <w:rPr>
          <w:color w:val="000000" w:themeColor="text1"/>
          <w:sz w:val="16"/>
          <w:szCs w:val="16"/>
        </w:rPr>
        <w:t>В моих показаниях я подробно изложил содержание моей вины перед Советской властью и причины, ее вызвавшие. Настоящим прошу Коллегию ОГПУ при определении мне меры наказания учесть следующее.</w:t>
      </w:r>
    </w:p>
    <w:p w14:paraId="3302DF74" w14:textId="77777777" w:rsidR="00CD2BC2" w:rsidRPr="005E779E" w:rsidRDefault="00CD2BC2" w:rsidP="000B7A6C">
      <w:pPr>
        <w:pStyle w:val="rtejustify"/>
        <w:spacing w:before="0" w:after="0"/>
        <w:rPr>
          <w:color w:val="000000" w:themeColor="text1"/>
          <w:sz w:val="16"/>
          <w:szCs w:val="16"/>
        </w:rPr>
      </w:pPr>
      <w:r w:rsidRPr="005E779E">
        <w:rPr>
          <w:color w:val="000000" w:themeColor="text1"/>
          <w:sz w:val="16"/>
          <w:szCs w:val="16"/>
        </w:rPr>
        <w:t>Я родился в октябре 1899 года в семье инженера-служащего. Окончив в 1917 году реальное училище в гор. Подольске, я осенью того же года поступил в Московское Высшее Техническое Училище, механический факультет какового и окончил в марте 1923 года. Еще будучи студентом, я работал в различных предприятиях и учреждениях, а именно, в 1918 году на Московско-Курской ж. д. пом. машиниста, а в 1919-1921 [гг.] на сооружении в то время ударного паровозо-ремонтного завода в Подольске в качестве конструктора. Моя деятельность по окончании Московского Высшего Технического Училища протекала в трех направлениях.</w:t>
      </w:r>
    </w:p>
    <w:p w14:paraId="10433A6A" w14:textId="77777777" w:rsidR="00CD2BC2" w:rsidRPr="005E779E" w:rsidRDefault="00CD2BC2" w:rsidP="000B7A6C">
      <w:pPr>
        <w:pStyle w:val="rtejustify"/>
        <w:spacing w:before="0" w:after="0"/>
        <w:rPr>
          <w:color w:val="000000" w:themeColor="text1"/>
          <w:sz w:val="16"/>
          <w:szCs w:val="16"/>
        </w:rPr>
      </w:pPr>
      <w:r w:rsidRPr="005E779E">
        <w:rPr>
          <w:color w:val="000000" w:themeColor="text1"/>
          <w:sz w:val="16"/>
          <w:szCs w:val="16"/>
        </w:rPr>
        <w:t>1. Практическая деятельность. Годы 1923 и 1924 я работал в Теплотехническом отделе «Москвугля» (правление Подмосковного каменноугольного бассейна). Эти годы не знаменовались еще топливным кризисом, наоборот, рынок именно завоевывался дорогим высококачественным топливом, а потому проводить задачу внедрения в промышленность низкосортного подмосковного угля являлось особенно трудным. И лишь сознание бесспорной необходимости базировать местную промышленность на местном топливе заставляла изыскивать способы рационального сжигания подмосковных углей, популяризируя их в журнальных статьях и докладах.</w:t>
      </w:r>
    </w:p>
    <w:p w14:paraId="7E249CBE" w14:textId="77777777" w:rsidR="00CD2BC2" w:rsidRPr="005E779E" w:rsidRDefault="00CD2BC2" w:rsidP="000B7A6C">
      <w:pPr>
        <w:pStyle w:val="rtejustify"/>
        <w:spacing w:before="0" w:after="0"/>
        <w:rPr>
          <w:color w:val="000000" w:themeColor="text1"/>
          <w:sz w:val="16"/>
          <w:szCs w:val="16"/>
        </w:rPr>
      </w:pPr>
      <w:r w:rsidRPr="005E779E">
        <w:rPr>
          <w:color w:val="000000" w:themeColor="text1"/>
          <w:sz w:val="16"/>
          <w:szCs w:val="16"/>
        </w:rPr>
        <w:t>Свертывание Бассейна и ликвидация Отдела заставила меня в мае 1924 года перенести свою практическую деятельность в тогда организовавшееся Акционерное] Об-во «Тепло и Сила», имевшее целью обслуживать нужды тепло-силового хозяйства восстанавливающейся и реконструирующейся промышленности. С первых же дней работы в этом Обществе сопрягались с большими трудностями: не было достаточного опыта, не было достаточно квалифицированного технического персонала. А вместе с тем ответственность чувствовалась огромная, т. к. местный персонал фабрик и заводов подходил к работе Об-ва как к частной фирме и не хотел разделять известной доли ответственности. К тому же неурегулированность финансового положения (денежные затруднения, протесты векселей и т. д.) часто делали невозможным выполнение работ с необходимым эффектом. Это создавало условия, когда работа в Об-ве, а затем и тресте «Тепло и Сила» считалась для инженера, не хотевшего компрометировать своего технического имени, предосудительным. Поэтому был такой довольно длительный период времени, когда лучшие инженеры покидали «Тепло и Силу», а о самом Тресте даже хозяйственники-коммунисты говорили лишь с иронией. Однако я не находил возможным следовать примеру «крыс, покидающих тонущий корабль» и оставался на работе, исключительно считая, что в то время интересам своим должны были быть предпочтены интересы промышленности. А что последняя остро нуждалась в предприятии такого рода, как «Тепло и Сила», чувствовалось на каждом шагу. Действительность подтвердила это тем, чем сделался Трест «Тепло и Сила» к последнему году.</w:t>
      </w:r>
    </w:p>
    <w:p w14:paraId="5D9E139E" w14:textId="77777777" w:rsidR="00CD2BC2" w:rsidRPr="005E779E" w:rsidRDefault="00CD2BC2" w:rsidP="000B7A6C">
      <w:pPr>
        <w:pStyle w:val="rtejustify"/>
        <w:spacing w:before="0" w:after="0"/>
        <w:rPr>
          <w:color w:val="000000" w:themeColor="text1"/>
          <w:sz w:val="16"/>
          <w:szCs w:val="16"/>
        </w:rPr>
      </w:pPr>
      <w:r w:rsidRPr="005E779E">
        <w:rPr>
          <w:color w:val="000000" w:themeColor="text1"/>
          <w:sz w:val="16"/>
          <w:szCs w:val="16"/>
        </w:rPr>
        <w:t>Занимая с 1927 года непрерывно должность Зав. Проектным Отделом я, в пределах поставленных передо мной задач, стремился проводить в жизнь те последние достижения техники, осуществление которых способствует лучшему топливоиспользованию. Настойчивость в проведении таких идей, как теплофикация и использование отработавшего тепла привела к тому, что если в настоящее время и имеется какая-то организация, занимающаяся практическим осуществлением этих вопросов, то таким окажется Московское отделение «Котлотурбина», бывш. «Тепло и Сила».</w:t>
      </w:r>
    </w:p>
    <w:p w14:paraId="14637223" w14:textId="77777777" w:rsidR="00CD2BC2" w:rsidRPr="005E779E" w:rsidRDefault="00CD2BC2" w:rsidP="000B7A6C">
      <w:pPr>
        <w:pStyle w:val="rtejustify"/>
        <w:spacing w:before="0" w:after="0"/>
        <w:rPr>
          <w:color w:val="000000" w:themeColor="text1"/>
          <w:sz w:val="16"/>
          <w:szCs w:val="16"/>
        </w:rPr>
      </w:pPr>
      <w:r w:rsidRPr="005E779E">
        <w:rPr>
          <w:color w:val="000000" w:themeColor="text1"/>
          <w:sz w:val="16"/>
          <w:szCs w:val="16"/>
        </w:rPr>
        <w:t>Другой задачей, которую я ставил себе в руководстве Проектным Отделом, было по возможности сведение до необходимого минимума предметов импортного оборудования, о чем свидетельствуют выполненные проекты. Более того, по собственной инициативе я старался доказать возможность, с весьма несложными средствами, организовать производство некоторых предметов оборудования у нас. Таков пример с воздушными эконометрами типа «Ротостар», успешно выполненных в количестве ок. 2000 шт. трестом «Тепло и Сила» на своем заводе. Базируясь на этом опыте вероятно в ближайшее время будет организовано производство внутри СССР. Будучи сам еще молодым инженером я старался в своей деятельности базироваться также на молодых инженерах, рассматривая совершенствование их как подготовку необходимых кадров.</w:t>
      </w:r>
    </w:p>
    <w:p w14:paraId="461E651B" w14:textId="618264A6" w:rsidR="00CD2BC2" w:rsidRPr="005E779E" w:rsidRDefault="00CD2BC2" w:rsidP="000B7A6C">
      <w:pPr>
        <w:pStyle w:val="rtejustify"/>
        <w:spacing w:before="0" w:after="0"/>
        <w:rPr>
          <w:color w:val="000000" w:themeColor="text1"/>
          <w:sz w:val="16"/>
          <w:szCs w:val="16"/>
        </w:rPr>
      </w:pPr>
      <w:r w:rsidRPr="005E779E">
        <w:rPr>
          <w:color w:val="000000" w:themeColor="text1"/>
          <w:sz w:val="16"/>
          <w:szCs w:val="16"/>
        </w:rPr>
        <w:t>2.</w:t>
      </w:r>
      <w:r w:rsidR="00FE094E">
        <w:rPr>
          <w:color w:val="000000" w:themeColor="text1"/>
          <w:sz w:val="16"/>
          <w:szCs w:val="16"/>
        </w:rPr>
        <w:t xml:space="preserve"> </w:t>
      </w:r>
      <w:r w:rsidRPr="005E779E">
        <w:rPr>
          <w:color w:val="000000" w:themeColor="text1"/>
          <w:sz w:val="16"/>
          <w:szCs w:val="16"/>
        </w:rPr>
        <w:t>Педагогическая деятельность моя в основном протекала на электропромышленном факультете Института народного хозяйства, а именно с 1923 года в качестве преподавателя и с осени 1929 года в качестве профессора по кафедре «Теплотехника» с поручением курса «Тепловые силовые станции». В 1927 и 1928 году я дважды общими собраниями студентов, преподавателей и профессоров был избран на должность ученого секретаря факультета.</w:t>
      </w:r>
    </w:p>
    <w:p w14:paraId="1719A616" w14:textId="77777777" w:rsidR="00CD2BC2" w:rsidRPr="005E779E" w:rsidRDefault="00CD2BC2" w:rsidP="000B7A6C">
      <w:pPr>
        <w:pStyle w:val="rtejustify"/>
        <w:spacing w:before="0" w:after="0"/>
        <w:rPr>
          <w:color w:val="000000" w:themeColor="text1"/>
          <w:sz w:val="16"/>
          <w:szCs w:val="16"/>
        </w:rPr>
      </w:pPr>
      <w:r w:rsidRPr="005E779E">
        <w:rPr>
          <w:color w:val="000000" w:themeColor="text1"/>
          <w:sz w:val="16"/>
          <w:szCs w:val="16"/>
        </w:rPr>
        <w:t>Всю свою педагогическую деятельность в Ин-те я посвятил стремлению развить факультет, повысив качество учебной жизни в нем и тем самым поднять квалификацию выпускаемых инженеров, особенно в направлении теплотехники. Исключительно с этими целями была предпринята организация и в 1927 году под моим непосредственным руководством сооружена Теплотехническая лаборатория. Все это совместно с деятельностью ряда других лиц привело к тому, что при организации весной 1930 года Московского Энергетического Института за основу был взят именно электротехнический факультет Института народного хозяйства, а никакого другого ВТУЗа Москвы. В этой сфере программных вопросов теплотехники, в которой влияние для меня было доступным, я проводил тенденции, соответствующие той политике в технике, каковая определялась нашей технической политикой. В частности, вопросы теплофикации трактовались в Институте еще до их практической постановки, в результате чего ряд нынешних наиболее активных поборников идеи плановой теплофикации являются инженерами, окончившими Институт народного хозяйства. Другим примером является промышленная, или т. н. фабрично-заводская энергетика. Как известно, учение о ней имеет в виду совместное рассмотрение энергетики технологического процесса с силовым. Значение практики удовлетворительного решения этих вопросов как уже для существующих предприятий, так и в особенности для вновь сооружаемых, в хозяйственной жизни страны огромно. Поэтому в прежние годы я старался эти вопросы также проводить в учебных занятиях, а с 1930 года, кроме того, принял должность заведующего вновь организуемой специальностью, посвященной этому вопросу.</w:t>
      </w:r>
    </w:p>
    <w:p w14:paraId="4E055556" w14:textId="0288BCBE" w:rsidR="00CD2BC2" w:rsidRPr="005E779E" w:rsidRDefault="00CD2BC2" w:rsidP="000B7A6C">
      <w:pPr>
        <w:pStyle w:val="rtejustify"/>
        <w:spacing w:before="0" w:after="0"/>
        <w:rPr>
          <w:color w:val="000000" w:themeColor="text1"/>
          <w:sz w:val="16"/>
          <w:szCs w:val="16"/>
        </w:rPr>
      </w:pPr>
      <w:r w:rsidRPr="005E779E">
        <w:rPr>
          <w:color w:val="000000" w:themeColor="text1"/>
          <w:sz w:val="16"/>
          <w:szCs w:val="16"/>
        </w:rPr>
        <w:t>3.</w:t>
      </w:r>
      <w:r w:rsidR="00FE094E">
        <w:rPr>
          <w:color w:val="000000" w:themeColor="text1"/>
          <w:sz w:val="16"/>
          <w:szCs w:val="16"/>
        </w:rPr>
        <w:t xml:space="preserve"> </w:t>
      </w:r>
      <w:r w:rsidRPr="005E779E">
        <w:rPr>
          <w:color w:val="000000" w:themeColor="text1"/>
          <w:sz w:val="16"/>
          <w:szCs w:val="16"/>
        </w:rPr>
        <w:t>Общественно-техническая деятельность. Как практический и научный работник я сознавал, что проведение в жизнь тех или иных достижений или новостей техники может быть с должным успехом осуществлено лишь при условии, что с ними будет детально знакома та основная масса технических работников, каковой придется непосредственно с ними столкнуться на практике. Достигнуть это можно лишь популяризируя эти достижения и новости через литературу, доклады и проч. С этой целью мною было проделано следующее: а) в 1924 году мною была переведена и затем издана книга о пылевидном топливе, являющаяся первым более или менее полно объемлющим этот вопрос на русском языке трудом; по времени это совпадало с моей работой в «Москвугле» и должно было, по моему мнению, способствовать развитию применения подмосковного угля; б) в 1925-26 годах под моей редакцией были выпущены две книги на тему о высоком давлении пара, долженствующие, по возможности, полно ответить и ознакомить русских техников с благоприятным положением этого вопроса на Западе (за-границей), не дав, таким образом развиться уже намечавшемуся в то время духу консерватизма: в) в 1927 году под моей редакцией и так же как предыдущие, по моей инициативе была выпущена книга «Использование отработавшего тепла», дающая конкретные указания к осуществлению этого весьма важного в нашем топливном балансе фактора; г) осенью 1930 года ГИЗу мною сдана рукопись «Тепловые силовые станции», являющаяся в основном изложением моих лекций и трактующая этот вопрос в соответствии с постановлением СНК в июне 1930 года о путях практического осуществления теплофикации; д) перечисленные темы освещались мною в ряде статей в технических журналах, дабы по возможности держать мысль техников возбужденной в этом направлении: е) с 1927 года я в общественном порядке становлюсь одним из фактических руководителей журнала «Тепло и Сила», направляя его содержание на те же основные темы; ж) наконец, на происходившем в январе 1930 года в Москве Первом съезде по теплофикации, я был избран членом Президиума сектора по теплофикации Всесоюзного Энергетического Комитета. Одна из задач Сектора — популяризация и способствование практического осуществления теплофикации.</w:t>
      </w:r>
    </w:p>
    <w:p w14:paraId="3DA798B0" w14:textId="77777777" w:rsidR="00CD2BC2" w:rsidRPr="005E779E" w:rsidRDefault="00CD2BC2" w:rsidP="000B7A6C">
      <w:pPr>
        <w:pStyle w:val="rtejustify"/>
        <w:spacing w:before="0" w:after="0"/>
        <w:rPr>
          <w:color w:val="000000" w:themeColor="text1"/>
          <w:sz w:val="16"/>
          <w:szCs w:val="16"/>
        </w:rPr>
      </w:pPr>
      <w:r w:rsidRPr="005E779E">
        <w:rPr>
          <w:color w:val="000000" w:themeColor="text1"/>
          <w:sz w:val="16"/>
          <w:szCs w:val="16"/>
        </w:rPr>
        <w:t>Тюремное заключение дало мне возможность подвести итоги практического жизненного пути за восемь лет инженерной деятельности. Есть на нем и немало, вероятно, ошибок, совершенных мною, но они невольны. явившиеся следствием или же моей неопытности, или недостаточности знаний в той или иной области. Но это, что отмечено мною выше, позволяет мне гордиться, ибо составляя основу моей практической деятельности, оно совпадает с осуществлением тех частичных задач, через которые Советская власть ведет человечество к социализму.</w:t>
      </w:r>
    </w:p>
    <w:p w14:paraId="6199669C" w14:textId="77777777" w:rsidR="00CD2BC2" w:rsidRPr="005E779E" w:rsidRDefault="00CD2BC2" w:rsidP="000B7A6C">
      <w:pPr>
        <w:pStyle w:val="rtejustify"/>
        <w:spacing w:before="0" w:after="0"/>
        <w:rPr>
          <w:color w:val="000000" w:themeColor="text1"/>
          <w:sz w:val="16"/>
          <w:szCs w:val="16"/>
        </w:rPr>
      </w:pPr>
      <w:r w:rsidRPr="005E779E">
        <w:rPr>
          <w:color w:val="000000" w:themeColor="text1"/>
          <w:sz w:val="16"/>
          <w:szCs w:val="16"/>
        </w:rPr>
        <w:t>И с тем большим для себя позором я расцениваю ту легкость, с каковой нелепость установок «Промпартии» принял за истину, с каковой дефекты окружающих мелочей ошибочно и неосновательно счел признаками неосновательности основной цели — достижение социализма.</w:t>
      </w:r>
    </w:p>
    <w:p w14:paraId="5502643C" w14:textId="77777777" w:rsidR="00CD2BC2" w:rsidRPr="005E779E" w:rsidRDefault="00CD2BC2" w:rsidP="000B7A6C">
      <w:pPr>
        <w:pStyle w:val="rtejustify"/>
        <w:spacing w:before="0" w:after="0"/>
        <w:rPr>
          <w:color w:val="000000" w:themeColor="text1"/>
          <w:sz w:val="16"/>
          <w:szCs w:val="16"/>
        </w:rPr>
      </w:pPr>
      <w:r w:rsidRPr="005E779E">
        <w:rPr>
          <w:color w:val="000000" w:themeColor="text1"/>
          <w:sz w:val="16"/>
          <w:szCs w:val="16"/>
        </w:rPr>
        <w:t>Прошу Советскую власть в лице Коллегии ОГПУ учесть мое искреннее раскаяние и дать мне возможность честным трудом загладить и искупить ошибку, едва не приведшую меня к преступлению. Впредь обещаю все свои силы и знания направлять исключительно на пользу Советскому Строительству.</w:t>
      </w:r>
    </w:p>
    <w:p w14:paraId="57CC2B69" w14:textId="77777777" w:rsidR="00CD2BC2" w:rsidRPr="005E779E" w:rsidRDefault="00CD2BC2" w:rsidP="000B7A6C">
      <w:pPr>
        <w:pStyle w:val="ae"/>
        <w:spacing w:before="0" w:after="0"/>
        <w:jc w:val="both"/>
        <w:rPr>
          <w:color w:val="000000" w:themeColor="text1"/>
          <w:sz w:val="16"/>
          <w:szCs w:val="16"/>
        </w:rPr>
      </w:pPr>
      <w:r w:rsidRPr="005E779E">
        <w:rPr>
          <w:color w:val="000000" w:themeColor="text1"/>
          <w:sz w:val="16"/>
          <w:szCs w:val="16"/>
        </w:rPr>
        <w:t>23.1.1931 г.</w:t>
      </w:r>
    </w:p>
    <w:p w14:paraId="4EAA3E46" w14:textId="77777777" w:rsidR="00CD2BC2" w:rsidRPr="005E779E" w:rsidRDefault="00CD2BC2" w:rsidP="000B7A6C">
      <w:pPr>
        <w:pStyle w:val="ae"/>
        <w:spacing w:before="0" w:after="0"/>
        <w:jc w:val="both"/>
        <w:rPr>
          <w:color w:val="000000" w:themeColor="text1"/>
          <w:sz w:val="16"/>
          <w:szCs w:val="16"/>
        </w:rPr>
      </w:pPr>
      <w:r w:rsidRPr="005E779E">
        <w:rPr>
          <w:color w:val="000000" w:themeColor="text1"/>
          <w:sz w:val="16"/>
          <w:szCs w:val="16"/>
        </w:rPr>
        <w:t>Доллежаль</w:t>
      </w:r>
    </w:p>
    <w:p w14:paraId="7423E92E" w14:textId="77777777" w:rsidR="00CD2BC2" w:rsidRPr="005E779E" w:rsidRDefault="00CD2BC2" w:rsidP="000B7A6C">
      <w:pPr>
        <w:pStyle w:val="ae"/>
        <w:spacing w:before="0" w:after="0"/>
        <w:jc w:val="both"/>
        <w:rPr>
          <w:color w:val="000000" w:themeColor="text1"/>
          <w:sz w:val="16"/>
          <w:szCs w:val="16"/>
        </w:rPr>
      </w:pPr>
      <w:r w:rsidRPr="005E779E">
        <w:rPr>
          <w:rStyle w:val="af0"/>
          <w:i w:val="0"/>
          <w:color w:val="000000" w:themeColor="text1"/>
          <w:sz w:val="16"/>
          <w:szCs w:val="16"/>
        </w:rPr>
        <w:t>ЦА ФСБ РФ. Ф. Р-42280. Т. 3. Л. 346-348 об. Рукописный подлинник, автограф Н. А. Доллежаля. Подчеркивания в тексте сделаны синим карандашом, видимо, лицом, читавшим заявление (18746).</w:t>
      </w:r>
    </w:p>
    <w:p w14:paraId="20B57D2D" w14:textId="77777777" w:rsidR="00CD2BC2" w:rsidRPr="005E779E" w:rsidRDefault="00CD2BC2" w:rsidP="000B7A6C">
      <w:pPr>
        <w:spacing w:after="0" w:line="240" w:lineRule="auto"/>
        <w:jc w:val="both"/>
        <w:rPr>
          <w:rFonts w:ascii="Times New Roman" w:hAnsi="Times New Roman"/>
          <w:color w:val="000000" w:themeColor="text1"/>
          <w:sz w:val="16"/>
          <w:szCs w:val="16"/>
        </w:rPr>
      </w:pPr>
    </w:p>
    <w:p w14:paraId="6D8FFDBD" w14:textId="77777777" w:rsidR="00581B54" w:rsidRPr="005E779E" w:rsidRDefault="00581B54"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lastRenderedPageBreak/>
        <w:t>Внешняя политика:</w:t>
      </w:r>
    </w:p>
    <w:p w14:paraId="4806260F" w14:textId="77777777" w:rsidR="00581B54" w:rsidRPr="005E779E" w:rsidRDefault="00581B54"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EEEE498" w14:textId="77777777" w:rsidR="00581B54" w:rsidRPr="005E779E" w:rsidRDefault="00581B54"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23 января 1931 г.</w:t>
      </w:r>
    </w:p>
    <w:p w14:paraId="1DC45836" w14:textId="77777777" w:rsidR="00581B54" w:rsidRPr="005E779E" w:rsidRDefault="00581B54"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Письмо В. Н. Баркова Ж. Л. Аренсу с информацией о подготовке издания стенограммы процесса «Промпартии». 23 января 1931 г.</w:t>
      </w:r>
    </w:p>
    <w:p w14:paraId="1078E3EA" w14:textId="77777777" w:rsidR="00581B54" w:rsidRPr="005E779E" w:rsidRDefault="00581B54"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Источник: </w:t>
      </w:r>
    </w:p>
    <w:p w14:paraId="08CC48C0" w14:textId="77777777" w:rsidR="00581B54" w:rsidRPr="005E779E" w:rsidRDefault="00581B5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00F9ED5" w14:textId="77777777" w:rsidR="00581B54" w:rsidRPr="005E779E" w:rsidRDefault="00581B54"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Архив: </w:t>
      </w:r>
    </w:p>
    <w:p w14:paraId="124D03E2" w14:textId="77777777" w:rsidR="00581B54" w:rsidRPr="005E779E" w:rsidRDefault="00581B5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АВП РФ. Ф. 056. On. 16. П. 34. Д. 14. Л. 12</w:t>
      </w:r>
    </w:p>
    <w:p w14:paraId="2F9AB8EA" w14:textId="77777777" w:rsidR="00581B54" w:rsidRPr="005E779E" w:rsidRDefault="00581B54" w:rsidP="000B7A6C">
      <w:pPr>
        <w:pStyle w:val="rteright"/>
        <w:spacing w:before="0" w:after="0"/>
        <w:jc w:val="both"/>
        <w:rPr>
          <w:color w:val="000000" w:themeColor="text1"/>
          <w:sz w:val="16"/>
          <w:szCs w:val="16"/>
        </w:rPr>
      </w:pPr>
      <w:r w:rsidRPr="005E779E">
        <w:rPr>
          <w:color w:val="000000" w:themeColor="text1"/>
          <w:sz w:val="16"/>
          <w:szCs w:val="16"/>
        </w:rPr>
        <w:t>23 января 1931 г.</w:t>
      </w:r>
    </w:p>
    <w:p w14:paraId="5DB4AB3E" w14:textId="77777777" w:rsidR="00581B54" w:rsidRPr="005E779E" w:rsidRDefault="00581B54" w:rsidP="000B7A6C">
      <w:pPr>
        <w:pStyle w:val="rteright"/>
        <w:spacing w:before="0" w:after="0"/>
        <w:jc w:val="both"/>
        <w:rPr>
          <w:color w:val="000000" w:themeColor="text1"/>
          <w:sz w:val="16"/>
          <w:szCs w:val="16"/>
        </w:rPr>
      </w:pPr>
      <w:r w:rsidRPr="005E779E">
        <w:rPr>
          <w:color w:val="000000" w:themeColor="text1"/>
          <w:sz w:val="16"/>
          <w:szCs w:val="16"/>
        </w:rPr>
        <w:t>Секретно</w:t>
      </w:r>
    </w:p>
    <w:p w14:paraId="771A593D" w14:textId="77777777" w:rsidR="00581B54" w:rsidRPr="005E779E" w:rsidRDefault="00581B54" w:rsidP="000B7A6C">
      <w:pPr>
        <w:pStyle w:val="ae"/>
        <w:spacing w:before="0" w:after="0"/>
        <w:jc w:val="both"/>
        <w:rPr>
          <w:color w:val="000000" w:themeColor="text1"/>
          <w:sz w:val="16"/>
          <w:szCs w:val="16"/>
        </w:rPr>
      </w:pPr>
      <w:r w:rsidRPr="005E779E">
        <w:rPr>
          <w:color w:val="000000" w:themeColor="text1"/>
          <w:sz w:val="16"/>
          <w:szCs w:val="16"/>
        </w:rPr>
        <w:t>Н.К.И.Д.</w:t>
      </w:r>
    </w:p>
    <w:p w14:paraId="48DE72B2" w14:textId="77777777" w:rsidR="00581B54" w:rsidRPr="005E779E" w:rsidRDefault="00581B54" w:rsidP="000B7A6C">
      <w:pPr>
        <w:pStyle w:val="ae"/>
        <w:spacing w:before="0" w:after="0"/>
        <w:jc w:val="both"/>
        <w:rPr>
          <w:color w:val="000000" w:themeColor="text1"/>
          <w:sz w:val="16"/>
          <w:szCs w:val="16"/>
        </w:rPr>
      </w:pPr>
      <w:r w:rsidRPr="005E779E">
        <w:rPr>
          <w:color w:val="000000" w:themeColor="text1"/>
          <w:sz w:val="16"/>
          <w:szCs w:val="16"/>
        </w:rPr>
        <w:t>ТОВ. АРЕНСУ</w:t>
      </w:r>
    </w:p>
    <w:p w14:paraId="18E2E21F" w14:textId="77777777" w:rsidR="00581B54" w:rsidRPr="005E779E" w:rsidRDefault="00581B54" w:rsidP="000B7A6C">
      <w:pPr>
        <w:pStyle w:val="ae"/>
        <w:spacing w:before="0" w:after="0"/>
        <w:jc w:val="both"/>
        <w:rPr>
          <w:color w:val="000000" w:themeColor="text1"/>
          <w:sz w:val="16"/>
          <w:szCs w:val="16"/>
        </w:rPr>
      </w:pPr>
      <w:r w:rsidRPr="005E779E">
        <w:rPr>
          <w:color w:val="000000" w:themeColor="text1"/>
          <w:sz w:val="16"/>
          <w:szCs w:val="16"/>
        </w:rPr>
        <w:t>Уважаемый товарищ,</w:t>
      </w:r>
    </w:p>
    <w:p w14:paraId="53096F5D" w14:textId="77777777" w:rsidR="00581B54" w:rsidRPr="005E779E" w:rsidRDefault="00581B54" w:rsidP="000B7A6C">
      <w:pPr>
        <w:pStyle w:val="rtejustify"/>
        <w:spacing w:before="0" w:after="0"/>
        <w:rPr>
          <w:color w:val="000000" w:themeColor="text1"/>
          <w:sz w:val="16"/>
          <w:szCs w:val="16"/>
        </w:rPr>
      </w:pPr>
      <w:r w:rsidRPr="005E779E">
        <w:rPr>
          <w:color w:val="000000" w:themeColor="text1"/>
          <w:sz w:val="16"/>
          <w:szCs w:val="16"/>
        </w:rPr>
        <w:t>Относительно предисловия еще раз обстоятельно рас[с]прашивали Доминика. Доминик уверяет, что наши опасения излишни. Предполагается дать два предисловия: одно — более обстоятельное — в сущности, явится переложением [статьи в] «Кайе Бле», посвященной процессу и выходящей на днях; другое — небольшое — принадлежащее Валуа. [Статью в] «Кайе Бле» Доминик находит «превосходно» составленной, в основу положен обвинительный акт. Переделывать для предисловия [статью из] «Кайе Бле» будет Доминик. В случае нужды, Доминик обещает соответственно выправить предисловие Валуа. Предисловие по типу будет близко к статье Пьера Леграна в [«]Волонте[»]. Учитывая все это[,] решили издавать у Валуа.</w:t>
      </w:r>
    </w:p>
    <w:p w14:paraId="2C023427" w14:textId="77777777" w:rsidR="00581B54" w:rsidRPr="005E779E" w:rsidRDefault="00581B54" w:rsidP="000B7A6C">
      <w:pPr>
        <w:pStyle w:val="rtejustify"/>
        <w:spacing w:before="0" w:after="0"/>
        <w:rPr>
          <w:color w:val="000000" w:themeColor="text1"/>
          <w:sz w:val="16"/>
          <w:szCs w:val="16"/>
        </w:rPr>
      </w:pPr>
      <w:r w:rsidRPr="005E779E">
        <w:rPr>
          <w:color w:val="000000" w:themeColor="text1"/>
          <w:sz w:val="16"/>
          <w:szCs w:val="16"/>
        </w:rPr>
        <w:t>Довольно неожиданно для нас, после своего отъезда, Валуа через своего помощника передал проэкт договора, в котором контрагентом с нашей стороны выступает ОГИЗ. Мы находим привлечение ОГИЗ целесообразным. В качестве представителя ОГИЗ может быть Мерле. Проэкт контракта посылаем. Снеситесь с ОГИЗ и телеграфируйте.</w:t>
      </w:r>
    </w:p>
    <w:p w14:paraId="6B978F30" w14:textId="77777777" w:rsidR="00581B54" w:rsidRPr="005E779E" w:rsidRDefault="00581B54" w:rsidP="000B7A6C">
      <w:pPr>
        <w:pStyle w:val="rtejustify"/>
        <w:spacing w:before="0" w:after="0"/>
        <w:rPr>
          <w:color w:val="000000" w:themeColor="text1"/>
          <w:sz w:val="16"/>
          <w:szCs w:val="16"/>
        </w:rPr>
      </w:pPr>
      <w:r w:rsidRPr="005E779E">
        <w:rPr>
          <w:color w:val="000000" w:themeColor="text1"/>
          <w:sz w:val="16"/>
          <w:szCs w:val="16"/>
        </w:rPr>
        <w:t>Не отказываясь пока от предложения Валуа о привлечении ОГИЗ, мы выдвинули варьянт издания без формального договора на тех же условиях. Ждем ответа.</w:t>
      </w:r>
    </w:p>
    <w:p w14:paraId="305D082B" w14:textId="77777777" w:rsidR="00581B54" w:rsidRPr="005E779E" w:rsidRDefault="00581B54" w:rsidP="000B7A6C">
      <w:pPr>
        <w:pStyle w:val="rtejustify"/>
        <w:spacing w:before="0" w:after="0"/>
        <w:rPr>
          <w:color w:val="000000" w:themeColor="text1"/>
          <w:sz w:val="16"/>
          <w:szCs w:val="16"/>
        </w:rPr>
      </w:pPr>
      <w:r w:rsidRPr="005E779E">
        <w:rPr>
          <w:color w:val="000000" w:themeColor="text1"/>
          <w:sz w:val="16"/>
          <w:szCs w:val="16"/>
        </w:rPr>
        <w:t>С тов. прив[етом]</w:t>
      </w:r>
    </w:p>
    <w:p w14:paraId="7C0F2A77" w14:textId="77777777" w:rsidR="00581B54" w:rsidRPr="005E779E" w:rsidRDefault="00581B54" w:rsidP="000B7A6C">
      <w:pPr>
        <w:pStyle w:val="rtejustify"/>
        <w:spacing w:before="0" w:after="0"/>
        <w:rPr>
          <w:color w:val="000000" w:themeColor="text1"/>
          <w:sz w:val="16"/>
          <w:szCs w:val="16"/>
        </w:rPr>
      </w:pPr>
      <w:r w:rsidRPr="005E779E">
        <w:rPr>
          <w:color w:val="000000" w:themeColor="text1"/>
          <w:sz w:val="16"/>
          <w:szCs w:val="16"/>
        </w:rPr>
        <w:t>В. Барков</w:t>
      </w:r>
    </w:p>
    <w:p w14:paraId="6CDD170E" w14:textId="77777777" w:rsidR="00581B54" w:rsidRPr="005E779E" w:rsidRDefault="00581B54" w:rsidP="000B7A6C">
      <w:pPr>
        <w:pStyle w:val="ae"/>
        <w:spacing w:before="0" w:after="0"/>
        <w:jc w:val="both"/>
        <w:rPr>
          <w:color w:val="000000" w:themeColor="text1"/>
          <w:sz w:val="16"/>
          <w:szCs w:val="16"/>
        </w:rPr>
      </w:pPr>
      <w:r w:rsidRPr="005E779E">
        <w:rPr>
          <w:rStyle w:val="af0"/>
          <w:i w:val="0"/>
          <w:color w:val="000000" w:themeColor="text1"/>
          <w:sz w:val="16"/>
          <w:szCs w:val="16"/>
        </w:rPr>
        <w:t>АВП РФ. Ф. 056. On. 16. П. 34. Д. 14. Л. 12. Машинописный подлинник на бланке Полпредства СССР во Франции, подпись Баркова — автограф. В графе бланка вверху справа дата «23 января 1931 г.» (число и месяц машинописью), исходящий номер «№ 39/с» (от руки). Гриф секретности от руки. Вверху слева написаны от руки входящий номер и дата получения документа «28/1-31 г.». Некоторые слова подчеркнуты карандашом лицом, читавшим письмо. Внизу слева делопроизводственная помета машинописью «2 экз.: 1 — в дело. 1 — т. Аренсу» (фамилия Аренса написана от руки) (18829).</w:t>
      </w:r>
    </w:p>
    <w:p w14:paraId="78CA6FCA" w14:textId="77777777" w:rsidR="00581B54" w:rsidRPr="005E779E" w:rsidRDefault="00581B54" w:rsidP="000B7A6C">
      <w:pPr>
        <w:spacing w:after="0" w:line="240" w:lineRule="auto"/>
        <w:jc w:val="both"/>
        <w:rPr>
          <w:rFonts w:ascii="Times New Roman" w:hAnsi="Times New Roman"/>
          <w:color w:val="000000" w:themeColor="text1"/>
          <w:sz w:val="16"/>
          <w:szCs w:val="16"/>
        </w:rPr>
      </w:pPr>
    </w:p>
    <w:p w14:paraId="092F9465"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015C8B7C"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65FCE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 января 1931 было окончено войсковое испытание И-5 73 А.О. 5-й Авиационной бригаде в Киеве, которое проходило с 28 ноября 1930.</w:t>
      </w:r>
    </w:p>
    <w:p w14:paraId="348745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 пяти самолетов И5, полученных отрядом программу войсковых испытаний выполняли на 3-х самолетах, а два оставались в резерве.</w:t>
      </w:r>
    </w:p>
    <w:p w14:paraId="44717A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w:t>
      </w:r>
    </w:p>
    <w:p w14:paraId="506860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И5 может быть принят на вооружение ВВС. (2979,32-58).</w:t>
      </w:r>
    </w:p>
    <w:p w14:paraId="4F5252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НИИ считает, что самолет И5-ЮVI, выполнив полностью программу войсковых испытаний (за исключением стрельб), выдержал последние вполне удовлетворительно и получил благоприятную оценку, как с точки зрения эксплуатационной, так и с тактической, за исключением вопросов, связанных со стрельбами, так как последние не производились (14-40,3290).</w:t>
      </w:r>
    </w:p>
    <w:p w14:paraId="2430D7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0BC6A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 января 1931 г. закончились войсковые испытаний пятерки И-5, которые проходили в 73-М отряде 5-й авиабригады в Киеве с 28 ноября 1930 г. В отчете об их проведении отмеча</w:t>
      </w:r>
      <w:r w:rsidRPr="005E779E">
        <w:rPr>
          <w:rFonts w:ascii="Times New Roman" w:hAnsi="Times New Roman"/>
          <w:color w:val="000000" w:themeColor="text1"/>
          <w:sz w:val="16"/>
          <w:szCs w:val="16"/>
        </w:rPr>
        <w:softHyphen/>
        <w:t>лось, что взлет и посадка просты, что самолет обладает хорошей маневренностью, управляемостью, устойчиво</w:t>
      </w:r>
      <w:r w:rsidRPr="005E779E">
        <w:rPr>
          <w:rFonts w:ascii="Times New Roman" w:hAnsi="Times New Roman"/>
          <w:color w:val="000000" w:themeColor="text1"/>
          <w:sz w:val="16"/>
          <w:szCs w:val="16"/>
        </w:rPr>
        <w:softHyphen/>
        <w:t>стью, может действовать с небольших площадок. Выяви</w:t>
      </w:r>
      <w:r w:rsidRPr="005E779E">
        <w:rPr>
          <w:rFonts w:ascii="Times New Roman" w:hAnsi="Times New Roman"/>
          <w:color w:val="000000" w:themeColor="text1"/>
          <w:sz w:val="16"/>
          <w:szCs w:val="16"/>
        </w:rPr>
        <w:softHyphen/>
        <w:t>лись и недостатки - не очень прочный пол кабины, ее загазованность выхлопными газами и др. Но наиболее неприятной являлась путевая неустойчивость при про</w:t>
      </w:r>
      <w:r w:rsidRPr="005E779E">
        <w:rPr>
          <w:rFonts w:ascii="Times New Roman" w:hAnsi="Times New Roman"/>
          <w:color w:val="000000" w:themeColor="text1"/>
          <w:sz w:val="16"/>
          <w:szCs w:val="16"/>
        </w:rPr>
        <w:softHyphen/>
        <w:t>беге, приводившая к неуправляемому развороту и, зача</w:t>
      </w:r>
      <w:r w:rsidRPr="005E779E">
        <w:rPr>
          <w:rFonts w:ascii="Times New Roman" w:hAnsi="Times New Roman"/>
          <w:color w:val="000000" w:themeColor="text1"/>
          <w:sz w:val="16"/>
          <w:szCs w:val="16"/>
        </w:rPr>
        <w:softHyphen/>
        <w:t>стую, к поломке шасси. По предложению летчика и инженера из НИИ ВВС И.Ф.Петрова изменили размеры подкоса и основной стойки, костыль сделали управляе</w:t>
      </w:r>
      <w:r w:rsidRPr="005E779E">
        <w:rPr>
          <w:rFonts w:ascii="Times New Roman" w:hAnsi="Times New Roman"/>
          <w:color w:val="000000" w:themeColor="text1"/>
          <w:sz w:val="16"/>
          <w:szCs w:val="16"/>
        </w:rPr>
        <w:softHyphen/>
        <w:t>мым. Это позволило полностью устранить недоста</w:t>
      </w:r>
      <w:r w:rsidRPr="005E779E">
        <w:rPr>
          <w:rFonts w:ascii="Times New Roman" w:hAnsi="Times New Roman"/>
          <w:color w:val="000000" w:themeColor="text1"/>
          <w:sz w:val="16"/>
          <w:szCs w:val="16"/>
        </w:rPr>
        <w:softHyphen/>
        <w:t>ток. Указанные доработки немедленно внедрили в серийное производство (эталоны 1931, 1932 и 1933 гг.) (10667).</w:t>
      </w:r>
    </w:p>
    <w:p w14:paraId="574D0D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2166E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 января 1931 г. в 73-м авиаотряде 5-й авиабригады в Киеве закончились войсковые испытания первых 7 верийных И-5, которые шли с 28 ноября 1930 г. Это были И-5 производства завода № 39 с двигателями Ю-</w:t>
      </w:r>
      <w:r w:rsidRPr="005E779E">
        <w:rPr>
          <w:rFonts w:ascii="Times New Roman" w:hAnsi="Times New Roman"/>
          <w:color w:val="000000" w:themeColor="text1"/>
          <w:sz w:val="16"/>
          <w:szCs w:val="16"/>
          <w:lang w:val="en-US"/>
        </w:rPr>
        <w:t>VI</w:t>
      </w:r>
      <w:r w:rsidRPr="005E779E">
        <w:rPr>
          <w:rFonts w:ascii="Times New Roman" w:hAnsi="Times New Roman"/>
          <w:color w:val="000000" w:themeColor="text1"/>
          <w:sz w:val="16"/>
          <w:szCs w:val="16"/>
        </w:rPr>
        <w:t xml:space="preserve"> (указывалось, что это французские Гном Рон «Юпитер» VI, изготовленные в Париже в 1930 г.). Погода в начале зимы стояла плохая - туман, снег, дождь. Затем начались порозы, температуры опускались почти до иинустридцати градусов. Тем не менее, летчи</w:t>
      </w:r>
      <w:r w:rsidRPr="005E779E">
        <w:rPr>
          <w:rFonts w:ascii="Times New Roman" w:hAnsi="Times New Roman"/>
          <w:color w:val="000000" w:themeColor="text1"/>
          <w:sz w:val="16"/>
          <w:szCs w:val="16"/>
        </w:rPr>
        <w:softHyphen/>
        <w:t>ки полностью завершили цикл войсковых ис</w:t>
      </w:r>
      <w:r w:rsidRPr="005E779E">
        <w:rPr>
          <w:rFonts w:ascii="Times New Roman" w:hAnsi="Times New Roman"/>
          <w:color w:val="000000" w:themeColor="text1"/>
          <w:sz w:val="16"/>
          <w:szCs w:val="16"/>
        </w:rPr>
        <w:softHyphen/>
        <w:t>пытаний. Летали на трех самолетах, еще два держали в резерве. Было совершено несколь</w:t>
      </w:r>
      <w:r w:rsidRPr="005E779E">
        <w:rPr>
          <w:rFonts w:ascii="Times New Roman" w:hAnsi="Times New Roman"/>
          <w:color w:val="000000" w:themeColor="text1"/>
          <w:sz w:val="16"/>
          <w:szCs w:val="16"/>
        </w:rPr>
        <w:softHyphen/>
        <w:t>ко сотен взлетов и посадок, на каждом И-5 вы</w:t>
      </w:r>
      <w:r w:rsidRPr="005E779E">
        <w:rPr>
          <w:rFonts w:ascii="Times New Roman" w:hAnsi="Times New Roman"/>
          <w:color w:val="000000" w:themeColor="text1"/>
          <w:sz w:val="16"/>
          <w:szCs w:val="16"/>
        </w:rPr>
        <w:softHyphen/>
        <w:t>полнили по две с лишним тысячи фигур выс</w:t>
      </w:r>
      <w:r w:rsidRPr="005E779E">
        <w:rPr>
          <w:rFonts w:ascii="Times New Roman" w:hAnsi="Times New Roman"/>
          <w:color w:val="000000" w:themeColor="text1"/>
          <w:sz w:val="16"/>
          <w:szCs w:val="16"/>
        </w:rPr>
        <w:softHyphen/>
        <w:t>шего пилотажа.</w:t>
      </w:r>
    </w:p>
    <w:p w14:paraId="718B96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Летчики отмечали, что «взлет и посадка на самолете просты и позволяют работать на малых полевых площадках... Самолет облада</w:t>
      </w:r>
      <w:r w:rsidRPr="005E779E">
        <w:rPr>
          <w:rFonts w:ascii="Times New Roman" w:hAnsi="Times New Roman"/>
          <w:color w:val="000000" w:themeColor="text1"/>
          <w:sz w:val="16"/>
          <w:szCs w:val="16"/>
        </w:rPr>
        <w:softHyphen/>
        <w:t>ет высокими скороподъемностью и маневрен</w:t>
      </w:r>
      <w:r w:rsidRPr="005E779E">
        <w:rPr>
          <w:rFonts w:ascii="Times New Roman" w:hAnsi="Times New Roman"/>
          <w:color w:val="000000" w:themeColor="text1"/>
          <w:sz w:val="16"/>
          <w:szCs w:val="16"/>
        </w:rPr>
        <w:softHyphen/>
        <w:t>ностью. До 5000 м маневренность в строю звена хорошая». К недостаткам отнесли узкий козырек, который вместе с широким перепле</w:t>
      </w:r>
      <w:r w:rsidRPr="005E779E">
        <w:rPr>
          <w:rFonts w:ascii="Times New Roman" w:hAnsi="Times New Roman"/>
          <w:color w:val="000000" w:themeColor="text1"/>
          <w:sz w:val="16"/>
          <w:szCs w:val="16"/>
        </w:rPr>
        <w:softHyphen/>
        <w:t>том и прицелом «Альдис» заметно затруднял обзор из пилотской кабины.</w:t>
      </w:r>
    </w:p>
    <w:p w14:paraId="132B7D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итоговом отчете по испытаниям коман</w:t>
      </w:r>
      <w:r w:rsidRPr="005E779E">
        <w:rPr>
          <w:rFonts w:ascii="Times New Roman" w:hAnsi="Times New Roman"/>
          <w:color w:val="000000" w:themeColor="text1"/>
          <w:sz w:val="16"/>
          <w:szCs w:val="16"/>
        </w:rPr>
        <w:softHyphen/>
        <w:t>дир 73-го авиаотряда Павлушев и командир 5-й авиабригады Астахов подписали следую</w:t>
      </w:r>
      <w:r w:rsidRPr="005E779E">
        <w:rPr>
          <w:rFonts w:ascii="Times New Roman" w:hAnsi="Times New Roman"/>
          <w:color w:val="000000" w:themeColor="text1"/>
          <w:sz w:val="16"/>
          <w:szCs w:val="16"/>
        </w:rPr>
        <w:softHyphen/>
        <w:t>щее заключение: «Самолет И-Б может быть принят на вооружение ВВС РККА».</w:t>
      </w:r>
    </w:p>
    <w:p w14:paraId="0680A7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принятии решения о серийном про</w:t>
      </w:r>
      <w:r w:rsidRPr="005E779E">
        <w:rPr>
          <w:rFonts w:ascii="Times New Roman" w:hAnsi="Times New Roman"/>
          <w:color w:val="000000" w:themeColor="text1"/>
          <w:sz w:val="16"/>
          <w:szCs w:val="16"/>
        </w:rPr>
        <w:softHyphen/>
        <w:t>изводстве И-5 к процессу предполагалось подключить заводы №1, №39 и №22 (послед</w:t>
      </w:r>
      <w:r w:rsidRPr="005E779E">
        <w:rPr>
          <w:rFonts w:ascii="Times New Roman" w:hAnsi="Times New Roman"/>
          <w:color w:val="000000" w:themeColor="text1"/>
          <w:sz w:val="16"/>
          <w:szCs w:val="16"/>
        </w:rPr>
        <w:softHyphen/>
        <w:t>ний - для изготовления металлических агре</w:t>
      </w:r>
      <w:r w:rsidRPr="005E779E">
        <w:rPr>
          <w:rFonts w:ascii="Times New Roman" w:hAnsi="Times New Roman"/>
          <w:color w:val="000000" w:themeColor="text1"/>
          <w:sz w:val="16"/>
          <w:szCs w:val="16"/>
        </w:rPr>
        <w:softHyphen/>
        <w:t>гатов). Однако до конца года единственными построенными И-5 стали указанные уже истребители 39-го завода. Авиазавод №1 серию осваивал медленно и первый свой истребитель зав. №4273 сдал уже в начале следующего года. Таким образом, в декабре 1930 г. руководству ВВС пришлось признать, что «...Производство самолетов находится в зачаточном состоянии» (11974).</w:t>
      </w:r>
    </w:p>
    <w:p w14:paraId="109430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01575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 января 1931 г. закончились войсковые испытания И-5 в Киеве в 73-м отряде 5-й авиабригады, которые проходили с 28 ноября 1930 г. На аэродроме уже лежал снег, поэтому колёса заменили на лыжи.</w:t>
      </w:r>
    </w:p>
    <w:p w14:paraId="724938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Новый истребитель получил у строевых лётчиков положительную оценку. Отмечалось, что взлёт и посадка просты, самолёт может использоваться с небольших площадок, обладает хорошей манёвренностью, устойчив в полёте и с работающим мотором, и при планировании, лёгок в управлении (нагрузки на рули невелики), неплохо пикирует. Не вызвал И-5 резких нареканий и у наземного состава. Доступ к основным узлам оказался достаточно прост. Даже сложный капот мотора и тот полностью снимался всего за восемь минут.</w:t>
      </w:r>
    </w:p>
    <w:p w14:paraId="7DFD8C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Разумеется, обнаружились и недостатки. Значительная часть их была связана с винтомоторной установкой. В отчёте о войсковых испытаниях сказано, что свечи не выдерживают длительной работы, проводку к ним забрасывает маслом, выхлопные газы проникают в кабину лётчика, неудачно размещён бензонасос. Ручка управления заслоняла от пилота компас. При отрицательных температурах значительно усложнялся запуск французских моторов. Как уже говорилось ранее, выявились вибрации коробки крыльев и носовой части фюзеляжа в некоторых диапазонах оборотов мотора. Слабым ("жидким", как написано в отчёте) сочли пол кабины. Не понравился лётчикам мутный целлулоид козырька, а вырез в центральной части верхнего крыла, по их мнению, был недостаточен для улучшения обзора вперёд. Отсутствие бензи- номера не позволяло пилоту правильно оценивать остаток топлива. Краска с металлических деталей облетала. Были и другие замечания, включая столь экзотично воспринимаемое сейчас: "Баллон сжатого воздуха мешает управлять педалями в валенках". Тогда действительно зимнее обмундирование лётного состава включало шубу и валенки.</w:t>
      </w:r>
    </w:p>
    <w:p w14:paraId="02FDA5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Резерв оказался не лишним, поскольку машину № 8 в ходе испытаний 20 декабря разбили. Однако сочли, что новый истребитель это не порочит - виновным признали лётчика (посмертно). Командир звена Страдзин в районе Поста- Волынского попытался выполнить петлю на недопустимо низкой высоте (около 150 м) и врезался в землю.</w:t>
      </w:r>
    </w:p>
    <w:p w14:paraId="57C976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Всё это не испортило общего хорошего впечатления о машине, и итогом войсковых испытаний стало заключение: "Самолёт И-5 может быть принят на снабжение ВВС" (11997).</w:t>
      </w:r>
    </w:p>
    <w:p w14:paraId="66D99C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563C3F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 января 1931 года Крейдлин пишет Камову:</w:t>
      </w:r>
    </w:p>
    <w:p w14:paraId="1F61DA5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«Здравствуйте, уважаемый Николай Ильич!</w:t>
      </w:r>
    </w:p>
    <w:p w14:paraId="0801D58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второй день после Вашего отъезда я машину перевез на завод № 1, где сейчас произвожу самым срочным порядком Вам известный ремонт...</w:t>
      </w:r>
    </w:p>
    <w:p w14:paraId="4969966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Как водится по-старому, меня и отсюда выгоняют, но, Николай Иль</w:t>
      </w:r>
      <w:r w:rsidRPr="005E779E">
        <w:rPr>
          <w:rFonts w:ascii="Times New Roman" w:hAnsi="Times New Roman"/>
          <w:color w:val="000000" w:themeColor="text1"/>
          <w:sz w:val="16"/>
          <w:szCs w:val="16"/>
        </w:rPr>
        <w:softHyphen/>
        <w:t>ич, привыкли мы, нам не страшно...» (10224,33).</w:t>
      </w:r>
    </w:p>
    <w:p w14:paraId="72BBB8A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A779DE"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01FB1118"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7CB78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 января 1931 года 76-мм батальонная мортира завода "Красный Путиловец" вернулась с НИАПа на завод "Красный Путиловец" для ремонта (3861).</w:t>
      </w:r>
    </w:p>
    <w:p w14:paraId="73CFE6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9CB558F"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589E0F50"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2BE4B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 января 1931 Лига наций обвинила Польшу в нарушении прав национальных меньшинств в Верхней Силезии (2100).</w:t>
      </w:r>
    </w:p>
    <w:p w14:paraId="195112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C0A4E90"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3274ECD7"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AAEB7C4" w14:textId="77777777" w:rsidR="007E4069" w:rsidRPr="005E779E" w:rsidRDefault="007E4069"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25 января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Протокол заседания Политбюро ЦК ВКП(б) № 24. 4. Доклад ВСНХ о состоянии производств, обслуживающих автотракторную промышленность (ПБ от 30 октября 1930 г., пр. № 14, п. 13/15, из прил. п. 18) (Харитоненко, Каганович, Орджоникидзе). 6а. О ходе работ на Сталинградском тракторном заводе (ПБ от 15 января 1931 г., пр. № 23, п. 17а). (Политбюро... Т. 2. С. 120) (12416).</w:t>
      </w:r>
    </w:p>
    <w:p w14:paraId="2BCCB4DE" w14:textId="77777777" w:rsidR="007E4069" w:rsidRPr="005E779E" w:rsidRDefault="007E4069" w:rsidP="000B7A6C">
      <w:pPr>
        <w:spacing w:after="0" w:line="240" w:lineRule="auto"/>
        <w:jc w:val="both"/>
        <w:rPr>
          <w:rFonts w:ascii="Times New Roman" w:hAnsi="Times New Roman"/>
          <w:color w:val="000000" w:themeColor="text1"/>
          <w:sz w:val="16"/>
          <w:szCs w:val="16"/>
          <w:u w:color="002060"/>
        </w:rPr>
      </w:pPr>
    </w:p>
    <w:p w14:paraId="67437A3E" w14:textId="77777777" w:rsidR="007E4069" w:rsidRPr="005E779E" w:rsidRDefault="007E4069"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25 января 1931</w:t>
      </w:r>
      <w:r w:rsidRPr="005E779E">
        <w:rPr>
          <w:rFonts w:ascii="Times New Roman" w:hAnsi="Times New Roman"/>
          <w:color w:val="000000" w:themeColor="text1"/>
          <w:sz w:val="16"/>
          <w:szCs w:val="16"/>
        </w:rPr>
        <w:t>Политбюро ЦК ВКП (б) утвердило проект постановления ЦК ВКП (б) «О Магнитострое»; предложило ВСНХ в течение февраля выполнить все заказы на недостающее оборудование для Сталинградского тракторного завода (12265).</w:t>
      </w:r>
    </w:p>
    <w:p w14:paraId="22B5954F" w14:textId="77777777" w:rsidR="00C92E4A" w:rsidRPr="005E779E" w:rsidRDefault="00C92E4A" w:rsidP="000B7A6C">
      <w:pPr>
        <w:spacing w:after="0" w:line="240" w:lineRule="auto"/>
        <w:jc w:val="both"/>
        <w:rPr>
          <w:rFonts w:ascii="Times New Roman" w:hAnsi="Times New Roman"/>
          <w:color w:val="000000" w:themeColor="text1"/>
          <w:sz w:val="16"/>
          <w:szCs w:val="16"/>
        </w:rPr>
      </w:pPr>
    </w:p>
    <w:p w14:paraId="2B2DCA0C" w14:textId="77777777" w:rsidR="00C92E4A" w:rsidRPr="005E779E" w:rsidRDefault="00C92E4A" w:rsidP="000B7A6C">
      <w:pPr>
        <w:spacing w:after="0" w:line="240" w:lineRule="auto"/>
        <w:jc w:val="both"/>
        <w:rPr>
          <w:rStyle w:val="fieldset-legend"/>
          <w:rFonts w:ascii="Times New Roman" w:hAnsi="Times New Roman"/>
          <w:color w:val="000000" w:themeColor="text1"/>
          <w:sz w:val="16"/>
          <w:szCs w:val="16"/>
        </w:rPr>
      </w:pPr>
      <w:r w:rsidRPr="005E779E">
        <w:rPr>
          <w:rFonts w:ascii="Times New Roman" w:hAnsi="Times New Roman"/>
          <w:color w:val="000000" w:themeColor="text1"/>
          <w:sz w:val="16"/>
          <w:szCs w:val="16"/>
        </w:rPr>
        <w:t>25 января 1931 года Постановление ЦК ВКП(б) по докладу ВСНХ СССР о строительстве Магнитогорского металлургического завода. Приложение № 1 к п. З, пр. ПБ № 24.</w:t>
      </w:r>
    </w:p>
    <w:p w14:paraId="16ACF9BD" w14:textId="4C179D67" w:rsidR="00C92E4A" w:rsidRPr="005E779E" w:rsidRDefault="00C92E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Архив:</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РГАСПИ. Ф. 17. Оп. 3. Д. 811. Л. 16-20.</w:t>
      </w:r>
    </w:p>
    <w:p w14:paraId="04F5972A" w14:textId="77777777" w:rsidR="00C92E4A" w:rsidRPr="005E779E" w:rsidRDefault="00C92E4A" w:rsidP="000B7A6C">
      <w:pPr>
        <w:spacing w:after="0" w:line="240" w:lineRule="auto"/>
        <w:jc w:val="both"/>
        <w:rPr>
          <w:rFonts w:ascii="Times New Roman" w:hAnsi="Times New Roman"/>
          <w:color w:val="000000" w:themeColor="text1"/>
          <w:sz w:val="16"/>
          <w:szCs w:val="16"/>
        </w:rPr>
      </w:pPr>
      <w:r w:rsidRPr="005E779E">
        <w:rPr>
          <w:rStyle w:val="af0"/>
          <w:rFonts w:ascii="Times New Roman" w:hAnsi="Times New Roman"/>
          <w:i w:val="0"/>
          <w:color w:val="000000" w:themeColor="text1"/>
          <w:sz w:val="16"/>
          <w:szCs w:val="16"/>
        </w:rPr>
        <w:t>Приложение № 1 к п. З, пр. ПБ № 24.</w:t>
      </w:r>
    </w:p>
    <w:p w14:paraId="5CB4CF04" w14:textId="77777777" w:rsidR="00C92E4A" w:rsidRPr="005E779E" w:rsidRDefault="00C92E4A" w:rsidP="000B7A6C">
      <w:pPr>
        <w:pStyle w:val="rtejustify"/>
        <w:spacing w:before="0" w:after="0"/>
        <w:rPr>
          <w:color w:val="000000" w:themeColor="text1"/>
          <w:sz w:val="16"/>
          <w:szCs w:val="16"/>
        </w:rPr>
      </w:pPr>
      <w:r w:rsidRPr="005E779E">
        <w:rPr>
          <w:color w:val="000000" w:themeColor="text1"/>
          <w:sz w:val="16"/>
          <w:szCs w:val="16"/>
        </w:rPr>
        <w:t>Выдвинутая ХVI партийным съездом задача создания новой мощной угольно-металлургической базы в виде Урало-Кузнецкого Комбината получает свое практическое разрешение в форсированном строительстве Магнитогорского и Кузнецкого заводов.</w:t>
      </w:r>
    </w:p>
    <w:p w14:paraId="1F76C577" w14:textId="77777777" w:rsidR="00C92E4A" w:rsidRPr="005E779E" w:rsidRDefault="00C92E4A" w:rsidP="000B7A6C">
      <w:pPr>
        <w:pStyle w:val="rtejustify"/>
        <w:spacing w:before="0" w:after="0"/>
        <w:rPr>
          <w:color w:val="000000" w:themeColor="text1"/>
          <w:sz w:val="16"/>
          <w:szCs w:val="16"/>
        </w:rPr>
      </w:pPr>
      <w:r w:rsidRPr="005E779E">
        <w:rPr>
          <w:color w:val="000000" w:themeColor="text1"/>
          <w:sz w:val="16"/>
          <w:szCs w:val="16"/>
        </w:rPr>
        <w:t>Народно-хозяйственное значение магнитогорского завода, определяемое его производственной мощностью (2,5 млн. тонн чугуна с развитием до 4</w:t>
      </w:r>
      <w:r w:rsidRPr="005E779E">
        <w:rPr>
          <w:color w:val="000000" w:themeColor="text1"/>
          <w:sz w:val="16"/>
          <w:szCs w:val="16"/>
        </w:rPr>
        <w:noBreakHyphen/>
        <w:t>х млн. тонн), усиливается его географическим расположением на стыке промышленного Урала, цветной металлургии Востока и Казакстака и огромных земельных площадей сельскохозяйственного назначения в Сибири, Казахстане и Средней Азии.</w:t>
      </w:r>
    </w:p>
    <w:p w14:paraId="2A82271F" w14:textId="77777777" w:rsidR="00C92E4A" w:rsidRPr="005E779E" w:rsidRDefault="00C92E4A" w:rsidP="000B7A6C">
      <w:pPr>
        <w:pStyle w:val="rtejustify"/>
        <w:spacing w:before="0" w:after="0"/>
        <w:rPr>
          <w:color w:val="000000" w:themeColor="text1"/>
          <w:sz w:val="16"/>
          <w:szCs w:val="16"/>
        </w:rPr>
      </w:pPr>
      <w:r w:rsidRPr="005E779E">
        <w:rPr>
          <w:color w:val="000000" w:themeColor="text1"/>
          <w:sz w:val="16"/>
          <w:szCs w:val="16"/>
        </w:rPr>
        <w:t>Строительство Магнитогорского завода должно стать практической школой создания новых методов и форм социалистического труда, техники и подготовки кадров для дальнейшей индустриализации Союза.</w:t>
      </w:r>
    </w:p>
    <w:p w14:paraId="5E238F46" w14:textId="77777777" w:rsidR="00C92E4A" w:rsidRPr="005E779E" w:rsidRDefault="00C92E4A" w:rsidP="000B7A6C">
      <w:pPr>
        <w:pStyle w:val="rtejustify"/>
        <w:spacing w:before="0" w:after="0"/>
        <w:rPr>
          <w:color w:val="000000" w:themeColor="text1"/>
          <w:sz w:val="16"/>
          <w:szCs w:val="16"/>
        </w:rPr>
      </w:pPr>
      <w:r w:rsidRPr="005E779E">
        <w:rPr>
          <w:color w:val="000000" w:themeColor="text1"/>
          <w:sz w:val="16"/>
          <w:szCs w:val="16"/>
        </w:rPr>
        <w:t>ЦК ВКП(б) отмечает, что строительством Магнитогорского завода до настоящего времена не освоены надлежащие темпы и в организации работ не проведена действительная плановость и единоначалие на всех участках строительства.</w:t>
      </w:r>
    </w:p>
    <w:p w14:paraId="153C676B" w14:textId="77777777" w:rsidR="00C92E4A" w:rsidRPr="005E779E" w:rsidRDefault="00C92E4A" w:rsidP="000B7A6C">
      <w:pPr>
        <w:pStyle w:val="rtejustify"/>
        <w:spacing w:before="0" w:after="0"/>
        <w:rPr>
          <w:color w:val="000000" w:themeColor="text1"/>
          <w:sz w:val="16"/>
          <w:szCs w:val="16"/>
        </w:rPr>
      </w:pPr>
      <w:r w:rsidRPr="005E779E">
        <w:rPr>
          <w:color w:val="000000" w:themeColor="text1"/>
          <w:sz w:val="16"/>
          <w:szCs w:val="16"/>
        </w:rPr>
        <w:t>Для изжития этих недостатков и обеспечения пуска завода в срок ЦК ВКП(б) постановляет:</w:t>
      </w:r>
    </w:p>
    <w:p w14:paraId="4958386E" w14:textId="77777777" w:rsidR="00C92E4A" w:rsidRPr="005E779E" w:rsidRDefault="00C92E4A" w:rsidP="000B7A6C">
      <w:pPr>
        <w:pStyle w:val="rtejustify"/>
        <w:spacing w:before="0" w:after="0"/>
        <w:rPr>
          <w:color w:val="000000" w:themeColor="text1"/>
          <w:sz w:val="16"/>
          <w:szCs w:val="16"/>
        </w:rPr>
      </w:pPr>
      <w:r w:rsidRPr="005E779E">
        <w:rPr>
          <w:color w:val="000000" w:themeColor="text1"/>
          <w:sz w:val="16"/>
          <w:szCs w:val="16"/>
        </w:rPr>
        <w:t>1. Установить следующие сроки пуска первой очереди Магнитогорского завода:</w:t>
      </w:r>
    </w:p>
    <w:p w14:paraId="5879B584" w14:textId="77777777" w:rsidR="00C92E4A" w:rsidRPr="005E779E" w:rsidRDefault="00C92E4A" w:rsidP="000B7A6C">
      <w:pPr>
        <w:pStyle w:val="HTML"/>
        <w:jc w:val="both"/>
        <w:rPr>
          <w:rFonts w:ascii="Times New Roman" w:hAnsi="Times New Roman" w:cs="Times New Roman"/>
          <w:color w:val="000000" w:themeColor="text1"/>
          <w:sz w:val="16"/>
          <w:szCs w:val="16"/>
        </w:rPr>
      </w:pPr>
      <w:r w:rsidRPr="005E779E">
        <w:rPr>
          <w:rFonts w:ascii="Times New Roman" w:hAnsi="Times New Roman" w:cs="Times New Roman"/>
          <w:color w:val="000000" w:themeColor="text1"/>
          <w:sz w:val="16"/>
          <w:szCs w:val="16"/>
        </w:rPr>
        <w:t>две доменные печи ............................. 1.X.31 г.</w:t>
      </w:r>
    </w:p>
    <w:p w14:paraId="503575D3" w14:textId="77777777" w:rsidR="00C92E4A" w:rsidRPr="005E779E" w:rsidRDefault="00C92E4A" w:rsidP="000B7A6C">
      <w:pPr>
        <w:pStyle w:val="HTML"/>
        <w:jc w:val="both"/>
        <w:rPr>
          <w:rFonts w:ascii="Times New Roman" w:hAnsi="Times New Roman" w:cs="Times New Roman"/>
          <w:color w:val="000000" w:themeColor="text1"/>
          <w:sz w:val="16"/>
          <w:szCs w:val="16"/>
        </w:rPr>
      </w:pPr>
      <w:r w:rsidRPr="005E779E">
        <w:rPr>
          <w:rFonts w:ascii="Times New Roman" w:hAnsi="Times New Roman" w:cs="Times New Roman"/>
          <w:color w:val="000000" w:themeColor="text1"/>
          <w:sz w:val="16"/>
          <w:szCs w:val="16"/>
        </w:rPr>
        <w:t>7 мартеновских печей и блюминг .............. 1.ХII.31 г.</w:t>
      </w:r>
    </w:p>
    <w:p w14:paraId="2DF5F692" w14:textId="77777777" w:rsidR="00C92E4A" w:rsidRPr="005E779E" w:rsidRDefault="00C92E4A" w:rsidP="000B7A6C">
      <w:pPr>
        <w:pStyle w:val="HTML"/>
        <w:jc w:val="both"/>
        <w:rPr>
          <w:rFonts w:ascii="Times New Roman" w:hAnsi="Times New Roman" w:cs="Times New Roman"/>
          <w:color w:val="000000" w:themeColor="text1"/>
          <w:sz w:val="16"/>
          <w:szCs w:val="16"/>
        </w:rPr>
      </w:pPr>
      <w:r w:rsidRPr="005E779E">
        <w:rPr>
          <w:rFonts w:ascii="Times New Roman" w:hAnsi="Times New Roman" w:cs="Times New Roman"/>
          <w:color w:val="000000" w:themeColor="text1"/>
          <w:sz w:val="16"/>
          <w:szCs w:val="16"/>
        </w:rPr>
        <w:t>Непрерывные заготовительные станы 450 и 500 мм</w:t>
      </w:r>
    </w:p>
    <w:p w14:paraId="50010D7D" w14:textId="77777777" w:rsidR="00C92E4A" w:rsidRPr="005E779E" w:rsidRDefault="00C92E4A" w:rsidP="000B7A6C">
      <w:pPr>
        <w:pStyle w:val="HTML"/>
        <w:jc w:val="both"/>
        <w:rPr>
          <w:rFonts w:ascii="Times New Roman" w:hAnsi="Times New Roman" w:cs="Times New Roman"/>
          <w:color w:val="000000" w:themeColor="text1"/>
          <w:sz w:val="16"/>
          <w:szCs w:val="16"/>
        </w:rPr>
      </w:pPr>
      <w:r w:rsidRPr="005E779E">
        <w:rPr>
          <w:rFonts w:ascii="Times New Roman" w:hAnsi="Times New Roman" w:cs="Times New Roman"/>
          <w:color w:val="000000" w:themeColor="text1"/>
          <w:sz w:val="16"/>
          <w:szCs w:val="16"/>
        </w:rPr>
        <w:t>и крупносортный стан 500 мм ................... 1.I.32 г.</w:t>
      </w:r>
    </w:p>
    <w:p w14:paraId="536F5511" w14:textId="77777777" w:rsidR="00C92E4A" w:rsidRPr="005E779E" w:rsidRDefault="00C92E4A" w:rsidP="000B7A6C">
      <w:pPr>
        <w:pStyle w:val="HTML"/>
        <w:jc w:val="both"/>
        <w:rPr>
          <w:rFonts w:ascii="Times New Roman" w:hAnsi="Times New Roman" w:cs="Times New Roman"/>
          <w:color w:val="000000" w:themeColor="text1"/>
          <w:sz w:val="16"/>
          <w:szCs w:val="16"/>
        </w:rPr>
      </w:pPr>
      <w:r w:rsidRPr="005E779E">
        <w:rPr>
          <w:rFonts w:ascii="Times New Roman" w:hAnsi="Times New Roman" w:cs="Times New Roman"/>
          <w:color w:val="000000" w:themeColor="text1"/>
          <w:sz w:val="16"/>
          <w:szCs w:val="16"/>
        </w:rPr>
        <w:t>2 стана 300 мм и 1 стан 250 мм ............... 1.II.32 г.</w:t>
      </w:r>
    </w:p>
    <w:p w14:paraId="711F5327" w14:textId="77777777" w:rsidR="00C92E4A" w:rsidRPr="005E779E" w:rsidRDefault="00C92E4A" w:rsidP="000B7A6C">
      <w:pPr>
        <w:pStyle w:val="rtejustify"/>
        <w:spacing w:before="0" w:after="0"/>
        <w:rPr>
          <w:color w:val="000000" w:themeColor="text1"/>
          <w:sz w:val="16"/>
          <w:szCs w:val="16"/>
        </w:rPr>
      </w:pPr>
      <w:r w:rsidRPr="005E779E">
        <w:rPr>
          <w:color w:val="000000" w:themeColor="text1"/>
          <w:sz w:val="16"/>
          <w:szCs w:val="16"/>
        </w:rPr>
        <w:t>Поручить ВСНХ в месячный срок разработать окончательные сроки пуска последующих очередей Магнитогорского завода и 1.III.31 г. представить на утверждение ЦК с тем, чтобы к 1.X.32 г. Магнитогорский завод был готов к пуску.</w:t>
      </w:r>
    </w:p>
    <w:p w14:paraId="59C5E12C" w14:textId="77777777" w:rsidR="00C92E4A" w:rsidRPr="005E779E" w:rsidRDefault="00C92E4A" w:rsidP="000B7A6C">
      <w:pPr>
        <w:pStyle w:val="rtejustify"/>
        <w:spacing w:before="0" w:after="0"/>
        <w:rPr>
          <w:color w:val="000000" w:themeColor="text1"/>
          <w:sz w:val="16"/>
          <w:szCs w:val="16"/>
        </w:rPr>
      </w:pPr>
      <w:r w:rsidRPr="005E779E">
        <w:rPr>
          <w:color w:val="000000" w:themeColor="text1"/>
          <w:sz w:val="16"/>
          <w:szCs w:val="16"/>
        </w:rPr>
        <w:t>2. Обязать ВСНХ обеспечить Магнитогорское строительство как с финансовой стороны, так и со стороны оборудования и материалов в полном объеме, исходя из необходимости окончания строительства в установленные сроки.</w:t>
      </w:r>
    </w:p>
    <w:p w14:paraId="175C454E" w14:textId="77777777" w:rsidR="00C92E4A" w:rsidRPr="005E779E" w:rsidRDefault="00C92E4A" w:rsidP="000B7A6C">
      <w:pPr>
        <w:pStyle w:val="rtejustify"/>
        <w:spacing w:before="0" w:after="0"/>
        <w:rPr>
          <w:color w:val="000000" w:themeColor="text1"/>
          <w:sz w:val="16"/>
          <w:szCs w:val="16"/>
        </w:rPr>
      </w:pPr>
      <w:r w:rsidRPr="005E779E">
        <w:rPr>
          <w:color w:val="000000" w:themeColor="text1"/>
          <w:sz w:val="16"/>
          <w:szCs w:val="16"/>
        </w:rPr>
        <w:t>3. Обязать Востокосталь и начальника Магнитостроя решительно усилить плановую дисциплину на строительстве, установив не позже 15.II. календарный план работ на 1931 г., обеспечивающий пуск 1</w:t>
      </w:r>
      <w:r w:rsidRPr="005E779E">
        <w:rPr>
          <w:color w:val="000000" w:themeColor="text1"/>
          <w:sz w:val="16"/>
          <w:szCs w:val="16"/>
        </w:rPr>
        <w:noBreakHyphen/>
        <w:t>й очереди завода, начиная с 1.Х.31 г.</w:t>
      </w:r>
    </w:p>
    <w:p w14:paraId="49DB7F87" w14:textId="77777777" w:rsidR="00C92E4A" w:rsidRPr="005E779E" w:rsidRDefault="00C92E4A" w:rsidP="000B7A6C">
      <w:pPr>
        <w:pStyle w:val="rtejustify"/>
        <w:spacing w:before="0" w:after="0"/>
        <w:rPr>
          <w:color w:val="000000" w:themeColor="text1"/>
          <w:sz w:val="16"/>
          <w:szCs w:val="16"/>
        </w:rPr>
      </w:pPr>
      <w:r w:rsidRPr="005E779E">
        <w:rPr>
          <w:color w:val="000000" w:themeColor="text1"/>
          <w:sz w:val="16"/>
          <w:szCs w:val="16"/>
        </w:rPr>
        <w:t>В целях обеспечения необходимых темпов строительства предложить Востокостали и начальнику Магнитостроя обратить особое внимание на развитие в течение 1</w:t>
      </w:r>
      <w:r w:rsidRPr="005E779E">
        <w:rPr>
          <w:color w:val="000000" w:themeColor="text1"/>
          <w:sz w:val="16"/>
          <w:szCs w:val="16"/>
        </w:rPr>
        <w:noBreakHyphen/>
        <w:t>го квартала всех необходимых подготовительных и вспомогательных работ (земляные работы, подсобные предприятия, карьеры, водоснабжение и т. д.), а равно двинуть строительство вспомогательных цехов (механического, котельного, кузнечного, литейного и силикатных), добившись в осуществлении этой задачи решительного перелома.</w:t>
      </w:r>
    </w:p>
    <w:p w14:paraId="04B82EBF" w14:textId="77777777" w:rsidR="00C92E4A" w:rsidRPr="005E779E" w:rsidRDefault="00C92E4A" w:rsidP="000B7A6C">
      <w:pPr>
        <w:pStyle w:val="rtejustify"/>
        <w:spacing w:before="0" w:after="0"/>
        <w:rPr>
          <w:color w:val="000000" w:themeColor="text1"/>
          <w:sz w:val="16"/>
          <w:szCs w:val="16"/>
        </w:rPr>
      </w:pPr>
      <w:r w:rsidRPr="005E779E">
        <w:rPr>
          <w:color w:val="000000" w:themeColor="text1"/>
          <w:sz w:val="16"/>
          <w:szCs w:val="16"/>
        </w:rPr>
        <w:t>Предложить Востокостали разработать не позже 1.III.31 г. план организации работ на Магнитострое на основе максимальной механизации и рационализации работ. Перестройку всей работы Магнитостроя на основе этого плана сделать ударной задачей ближайших 2</w:t>
      </w:r>
      <w:r w:rsidRPr="005E779E">
        <w:rPr>
          <w:color w:val="000000" w:themeColor="text1"/>
          <w:sz w:val="16"/>
          <w:szCs w:val="16"/>
        </w:rPr>
        <w:noBreakHyphen/>
        <w:t>х месяцев.</w:t>
      </w:r>
    </w:p>
    <w:p w14:paraId="28E5FA8E" w14:textId="77777777" w:rsidR="00C92E4A" w:rsidRPr="005E779E" w:rsidRDefault="00C92E4A" w:rsidP="000B7A6C">
      <w:pPr>
        <w:pStyle w:val="rtejustify"/>
        <w:spacing w:before="0" w:after="0"/>
        <w:rPr>
          <w:color w:val="000000" w:themeColor="text1"/>
          <w:sz w:val="16"/>
          <w:szCs w:val="16"/>
        </w:rPr>
      </w:pPr>
      <w:r w:rsidRPr="005E779E">
        <w:rPr>
          <w:color w:val="000000" w:themeColor="text1"/>
          <w:sz w:val="16"/>
          <w:szCs w:val="16"/>
        </w:rPr>
        <w:t>Обязать начальника Магнитостроя в кратчайший срок решительно улучшить использование наличных механизмов и принять меры к проведению единоначалия и хозрасчета во всех частях строительства.</w:t>
      </w:r>
    </w:p>
    <w:p w14:paraId="19C9D0A9" w14:textId="77777777" w:rsidR="00C92E4A" w:rsidRPr="005E779E" w:rsidRDefault="00C92E4A" w:rsidP="000B7A6C">
      <w:pPr>
        <w:pStyle w:val="rtejustify"/>
        <w:spacing w:before="0" w:after="0"/>
        <w:rPr>
          <w:color w:val="000000" w:themeColor="text1"/>
          <w:sz w:val="16"/>
          <w:szCs w:val="16"/>
        </w:rPr>
      </w:pPr>
      <w:r w:rsidRPr="005E779E">
        <w:rPr>
          <w:color w:val="000000" w:themeColor="text1"/>
          <w:sz w:val="16"/>
          <w:szCs w:val="16"/>
        </w:rPr>
        <w:t>4. В связи с неудовлетворительным выполнением обязательств фирмой Мак-ки в составлении проекта завода и горного хозяйства подтвердить решение ВСНХ о немедленной организации проектных работ в Союзе по следующим объектам: мартеновские цеха, воздуходувная станция, ЦЭС, подсобные цеха, газофикация, паропровод, водопровод, канализация, канализация электротока, электрооборудование завода, внешний и внутризаводской транспорт, для чего привлечь к делу: Стальпроект, Гипромез, Энергострой, Водоканалстрой, Трансстрой, Госпроект, ВЭО, Котлотурбина, Стальсантехстрой и др.</w:t>
      </w:r>
    </w:p>
    <w:p w14:paraId="6E56AA46" w14:textId="77777777" w:rsidR="00C92E4A" w:rsidRPr="005E779E" w:rsidRDefault="00C92E4A" w:rsidP="000B7A6C">
      <w:pPr>
        <w:pStyle w:val="rtejustify"/>
        <w:spacing w:before="0" w:after="0"/>
        <w:rPr>
          <w:color w:val="000000" w:themeColor="text1"/>
          <w:sz w:val="16"/>
          <w:szCs w:val="16"/>
        </w:rPr>
      </w:pPr>
      <w:r w:rsidRPr="005E779E">
        <w:rPr>
          <w:color w:val="000000" w:themeColor="text1"/>
          <w:sz w:val="16"/>
          <w:szCs w:val="16"/>
        </w:rPr>
        <w:t>За фирмой Мак-Ки оставить проектирование полностью доменного цеха, насосной станции, горнорудного хозяйства, а также поручить фирме Мак-Ки организовать в Америке проектирование нагревательных печей прокатного цеха.</w:t>
      </w:r>
    </w:p>
    <w:p w14:paraId="0DCF3931" w14:textId="77777777" w:rsidR="00C92E4A" w:rsidRPr="005E779E" w:rsidRDefault="00C92E4A" w:rsidP="000B7A6C">
      <w:pPr>
        <w:pStyle w:val="rtejustify"/>
        <w:spacing w:before="0" w:after="0"/>
        <w:rPr>
          <w:color w:val="000000" w:themeColor="text1"/>
          <w:sz w:val="16"/>
          <w:szCs w:val="16"/>
        </w:rPr>
      </w:pPr>
      <w:r w:rsidRPr="005E779E">
        <w:rPr>
          <w:color w:val="000000" w:themeColor="text1"/>
          <w:sz w:val="16"/>
          <w:szCs w:val="16"/>
        </w:rPr>
        <w:t>Проектировку прокатного цеха и отделочной мастерской оставить за фирмой Демаг.</w:t>
      </w:r>
    </w:p>
    <w:p w14:paraId="61D1C6B8" w14:textId="77777777" w:rsidR="00C92E4A" w:rsidRPr="005E779E" w:rsidRDefault="00C92E4A" w:rsidP="000B7A6C">
      <w:pPr>
        <w:pStyle w:val="rtejustify"/>
        <w:spacing w:before="0" w:after="0"/>
        <w:rPr>
          <w:color w:val="000000" w:themeColor="text1"/>
          <w:sz w:val="16"/>
          <w:szCs w:val="16"/>
        </w:rPr>
      </w:pPr>
      <w:r w:rsidRPr="005E779E">
        <w:rPr>
          <w:color w:val="000000" w:themeColor="text1"/>
          <w:sz w:val="16"/>
          <w:szCs w:val="16"/>
        </w:rPr>
        <w:t>Обязать т. Иванченко установить такой порядок проектирования, при котором будет достигнуто единое техническое руководство всеми проектными работами, ведущимися в Союзе (на площадке строительства и вне ее) и увязка проектирования в Союзе с проектными работами, выполняемыми заграницей. Обязать ВСНХ СССР представить в ЦК в двухдекадный срок справку об исполнении.</w:t>
      </w:r>
    </w:p>
    <w:p w14:paraId="47C16A58" w14:textId="77777777" w:rsidR="00C92E4A" w:rsidRPr="005E779E" w:rsidRDefault="00C92E4A" w:rsidP="000B7A6C">
      <w:pPr>
        <w:pStyle w:val="rtejustify"/>
        <w:spacing w:before="0" w:after="0"/>
        <w:rPr>
          <w:color w:val="000000" w:themeColor="text1"/>
          <w:sz w:val="16"/>
          <w:szCs w:val="16"/>
        </w:rPr>
      </w:pPr>
      <w:r w:rsidRPr="005E779E">
        <w:rPr>
          <w:color w:val="000000" w:themeColor="text1"/>
          <w:sz w:val="16"/>
          <w:szCs w:val="16"/>
        </w:rPr>
        <w:t>Обязать т.т. Иванченко, Колесникова и Постникова, рассмотреть схему внутризаводского транспорта и представить через две недели на утверждение ВСНХ.</w:t>
      </w:r>
    </w:p>
    <w:p w14:paraId="62198237" w14:textId="77777777" w:rsidR="00C92E4A" w:rsidRPr="005E779E" w:rsidRDefault="00C92E4A" w:rsidP="000B7A6C">
      <w:pPr>
        <w:pStyle w:val="rtejustify"/>
        <w:spacing w:before="0" w:after="0"/>
        <w:rPr>
          <w:color w:val="000000" w:themeColor="text1"/>
          <w:sz w:val="16"/>
          <w:szCs w:val="16"/>
        </w:rPr>
      </w:pPr>
      <w:r w:rsidRPr="005E779E">
        <w:rPr>
          <w:color w:val="000000" w:themeColor="text1"/>
          <w:sz w:val="16"/>
          <w:szCs w:val="16"/>
        </w:rPr>
        <w:t>5. Привлекаемые к делу проектирования организации обязываются в недельный срок составить согласованный со строительством календарный план выполнения проектирования, обеспечивающий своевременное поступление проектов в сроки, установленные строительством, при этом работа по составлению проектов должна производиться во внеочередном порядке.</w:t>
      </w:r>
    </w:p>
    <w:p w14:paraId="07A5666E" w14:textId="77777777" w:rsidR="00C92E4A" w:rsidRPr="005E779E" w:rsidRDefault="00C92E4A" w:rsidP="000B7A6C">
      <w:pPr>
        <w:pStyle w:val="rtejustify"/>
        <w:spacing w:before="0" w:after="0"/>
        <w:rPr>
          <w:color w:val="000000" w:themeColor="text1"/>
          <w:sz w:val="16"/>
          <w:szCs w:val="16"/>
        </w:rPr>
      </w:pPr>
      <w:r w:rsidRPr="005E779E">
        <w:rPr>
          <w:color w:val="000000" w:themeColor="text1"/>
          <w:sz w:val="16"/>
          <w:szCs w:val="16"/>
        </w:rPr>
        <w:t>Личную ответственность за проведение в жизнь пятого пункта постановления возложить на тов. Колесникова.</w:t>
      </w:r>
    </w:p>
    <w:p w14:paraId="6F573365" w14:textId="77777777" w:rsidR="00C92E4A" w:rsidRPr="005E779E" w:rsidRDefault="00C92E4A" w:rsidP="000B7A6C">
      <w:pPr>
        <w:pStyle w:val="rtejustify"/>
        <w:spacing w:before="0" w:after="0"/>
        <w:rPr>
          <w:color w:val="000000" w:themeColor="text1"/>
          <w:sz w:val="16"/>
          <w:szCs w:val="16"/>
        </w:rPr>
      </w:pPr>
      <w:r w:rsidRPr="005E779E">
        <w:rPr>
          <w:color w:val="000000" w:themeColor="text1"/>
          <w:sz w:val="16"/>
          <w:szCs w:val="16"/>
        </w:rPr>
        <w:t>6. Отмечая отставание работ по горному хозяйству, поручить Востокостали и ГГРУ:</w:t>
      </w:r>
    </w:p>
    <w:p w14:paraId="7F5B94AF" w14:textId="77777777" w:rsidR="00C92E4A" w:rsidRPr="005E779E" w:rsidRDefault="00C92E4A" w:rsidP="000B7A6C">
      <w:pPr>
        <w:pStyle w:val="rtejustify"/>
        <w:spacing w:before="0" w:after="0"/>
        <w:rPr>
          <w:color w:val="000000" w:themeColor="text1"/>
          <w:sz w:val="16"/>
          <w:szCs w:val="16"/>
        </w:rPr>
      </w:pPr>
      <w:r w:rsidRPr="005E779E">
        <w:rPr>
          <w:color w:val="000000" w:themeColor="text1"/>
          <w:sz w:val="16"/>
          <w:szCs w:val="16"/>
        </w:rPr>
        <w:t>а) к 15 февраля с. г. уточнить массив малосернистых руд, подлежащий эксплуатации без обогащения и обеспечивающий работу Магнитогорского и Кузнецкого заводов на ближайшие годы;</w:t>
      </w:r>
    </w:p>
    <w:p w14:paraId="77640C76" w14:textId="77777777" w:rsidR="00C92E4A" w:rsidRPr="005E779E" w:rsidRDefault="00C92E4A" w:rsidP="000B7A6C">
      <w:pPr>
        <w:pStyle w:val="rtejustify"/>
        <w:spacing w:before="0" w:after="0"/>
        <w:rPr>
          <w:color w:val="000000" w:themeColor="text1"/>
          <w:sz w:val="16"/>
          <w:szCs w:val="16"/>
        </w:rPr>
      </w:pPr>
      <w:r w:rsidRPr="005E779E">
        <w:rPr>
          <w:color w:val="000000" w:themeColor="text1"/>
          <w:sz w:val="16"/>
          <w:szCs w:val="16"/>
        </w:rPr>
        <w:t>б) обеспечить пуск дробильной и промывной фабрик не позже 1 июня с. г.;</w:t>
      </w:r>
    </w:p>
    <w:p w14:paraId="543EF3B1" w14:textId="77777777" w:rsidR="00C92E4A" w:rsidRPr="005E779E" w:rsidRDefault="00C92E4A" w:rsidP="000B7A6C">
      <w:pPr>
        <w:pStyle w:val="rtejustify"/>
        <w:spacing w:before="0" w:after="0"/>
        <w:rPr>
          <w:color w:val="000000" w:themeColor="text1"/>
          <w:sz w:val="16"/>
          <w:szCs w:val="16"/>
        </w:rPr>
      </w:pPr>
      <w:r w:rsidRPr="005E779E">
        <w:rPr>
          <w:color w:val="000000" w:themeColor="text1"/>
          <w:sz w:val="16"/>
          <w:szCs w:val="16"/>
        </w:rPr>
        <w:t>в) обеспечить начало промышленной эксплуатации рудника к 15.V. с. г. в размерах, достаточных для работы доменных печей обоих заводов, начиная с 1 октября 1931 г.</w:t>
      </w:r>
    </w:p>
    <w:p w14:paraId="0E17ABA4" w14:textId="77777777" w:rsidR="00C92E4A" w:rsidRPr="005E779E" w:rsidRDefault="00C92E4A" w:rsidP="000B7A6C">
      <w:pPr>
        <w:pStyle w:val="rtejustify"/>
        <w:spacing w:before="0" w:after="0"/>
        <w:rPr>
          <w:color w:val="000000" w:themeColor="text1"/>
          <w:sz w:val="16"/>
          <w:szCs w:val="16"/>
        </w:rPr>
      </w:pPr>
      <w:r w:rsidRPr="005E779E">
        <w:rPr>
          <w:color w:val="000000" w:themeColor="text1"/>
          <w:sz w:val="16"/>
          <w:szCs w:val="16"/>
        </w:rPr>
        <w:t>Обратить особое внимание на обеспечение своевременного пуска рудника со стороны проектирования, транспорта и водоснабжения.</w:t>
      </w:r>
    </w:p>
    <w:p w14:paraId="3D2059FE" w14:textId="77777777" w:rsidR="00C92E4A" w:rsidRPr="005E779E" w:rsidRDefault="00C92E4A" w:rsidP="000B7A6C">
      <w:pPr>
        <w:pStyle w:val="rtejustify"/>
        <w:spacing w:before="0" w:after="0"/>
        <w:rPr>
          <w:color w:val="000000" w:themeColor="text1"/>
          <w:sz w:val="16"/>
          <w:szCs w:val="16"/>
        </w:rPr>
      </w:pPr>
      <w:r w:rsidRPr="005E779E">
        <w:rPr>
          <w:color w:val="000000" w:themeColor="text1"/>
          <w:sz w:val="16"/>
          <w:szCs w:val="16"/>
        </w:rPr>
        <w:t>7. ГГРУ к 1.III.31 г. представить Магнитострою данные относительно баз нерудоископаемых (известняк, доломит, хромит, огнеупорные глины, формовочный и др. пески и т. п.), а также марганца на 1931 г. и в 4</w:t>
      </w:r>
      <w:r w:rsidRPr="005E779E">
        <w:rPr>
          <w:color w:val="000000" w:themeColor="text1"/>
          <w:sz w:val="16"/>
          <w:szCs w:val="16"/>
        </w:rPr>
        <w:noBreakHyphen/>
        <w:t>месячный срок произвести поисковые разведки в районе Магнитогорска для обеспечения этими материалами полного производства завода.</w:t>
      </w:r>
    </w:p>
    <w:p w14:paraId="1D292D95" w14:textId="77777777" w:rsidR="00C92E4A" w:rsidRPr="005E779E" w:rsidRDefault="00C92E4A" w:rsidP="000B7A6C">
      <w:pPr>
        <w:pStyle w:val="rtejustify"/>
        <w:spacing w:before="0" w:after="0"/>
        <w:rPr>
          <w:color w:val="000000" w:themeColor="text1"/>
          <w:sz w:val="16"/>
          <w:szCs w:val="16"/>
        </w:rPr>
      </w:pPr>
      <w:r w:rsidRPr="005E779E">
        <w:rPr>
          <w:color w:val="000000" w:themeColor="text1"/>
          <w:sz w:val="16"/>
          <w:szCs w:val="16"/>
        </w:rPr>
        <w:t>8. Принимая во внимание близость Полтаво-Брединских угольных копей к Магнитогорскому заводу, предложить ВСНХ приступить к немедленной организации промышленной эксплуатации указанных копей и форсировать разведки указанного месторождения с таким расчетом, чтобы в мае месяце определить место для закладки капитальных шахт.</w:t>
      </w:r>
    </w:p>
    <w:p w14:paraId="4FC66B78" w14:textId="77777777" w:rsidR="00C92E4A" w:rsidRPr="005E779E" w:rsidRDefault="00C92E4A" w:rsidP="000B7A6C">
      <w:pPr>
        <w:pStyle w:val="rtejustify"/>
        <w:spacing w:before="0" w:after="0"/>
        <w:rPr>
          <w:color w:val="000000" w:themeColor="text1"/>
          <w:sz w:val="16"/>
          <w:szCs w:val="16"/>
        </w:rPr>
      </w:pPr>
      <w:r w:rsidRPr="005E779E">
        <w:rPr>
          <w:color w:val="000000" w:themeColor="text1"/>
          <w:sz w:val="16"/>
          <w:szCs w:val="16"/>
        </w:rPr>
        <w:t>9. В связи с дополнительно выявившейся большой потребностью в воде, в частности, для организуемых при магнитогорском заводе предприятий (синтез аммиака, совхозы и колхозы) предложить ВСНХ обеспечить своевременное начало работ по второй плотине на реке Урале с тем, чтобы последняя была закончена для сбора вод весеннего паводка 1932 года.</w:t>
      </w:r>
    </w:p>
    <w:p w14:paraId="0A15B93B" w14:textId="77777777" w:rsidR="00C92E4A" w:rsidRPr="005E779E" w:rsidRDefault="00C92E4A" w:rsidP="000B7A6C">
      <w:pPr>
        <w:pStyle w:val="rtejustify"/>
        <w:spacing w:before="0" w:after="0"/>
        <w:rPr>
          <w:color w:val="000000" w:themeColor="text1"/>
          <w:sz w:val="16"/>
          <w:szCs w:val="16"/>
        </w:rPr>
      </w:pPr>
      <w:r w:rsidRPr="005E779E">
        <w:rPr>
          <w:color w:val="000000" w:themeColor="text1"/>
          <w:sz w:val="16"/>
          <w:szCs w:val="16"/>
        </w:rPr>
        <w:t>10. В срочном порядке командировать заграницу комиссию Востокостали по размещению заказов на оборудование и контролю за их выполнением.</w:t>
      </w:r>
    </w:p>
    <w:p w14:paraId="7E6FCFB7" w14:textId="77777777" w:rsidR="00C92E4A" w:rsidRPr="005E779E" w:rsidRDefault="00C92E4A" w:rsidP="000B7A6C">
      <w:pPr>
        <w:pStyle w:val="rtejustify"/>
        <w:spacing w:before="0" w:after="0"/>
        <w:rPr>
          <w:color w:val="000000" w:themeColor="text1"/>
          <w:sz w:val="16"/>
          <w:szCs w:val="16"/>
        </w:rPr>
      </w:pPr>
      <w:r w:rsidRPr="005E779E">
        <w:rPr>
          <w:color w:val="000000" w:themeColor="text1"/>
          <w:sz w:val="16"/>
          <w:szCs w:val="16"/>
        </w:rPr>
        <w:lastRenderedPageBreak/>
        <w:t>11. Для своевременного обеспечения Магнитостроя и Кузнецкстроя оборудованием, изготовляемым в Союзе, предложить ВСНХ СССР:</w:t>
      </w:r>
    </w:p>
    <w:p w14:paraId="2280A408" w14:textId="77777777" w:rsidR="00C92E4A" w:rsidRPr="005E779E" w:rsidRDefault="00C92E4A" w:rsidP="000B7A6C">
      <w:pPr>
        <w:pStyle w:val="rtejustify"/>
        <w:spacing w:before="0" w:after="0"/>
        <w:rPr>
          <w:color w:val="000000" w:themeColor="text1"/>
          <w:sz w:val="16"/>
          <w:szCs w:val="16"/>
        </w:rPr>
      </w:pPr>
      <w:r w:rsidRPr="005E779E">
        <w:rPr>
          <w:color w:val="000000" w:themeColor="text1"/>
          <w:sz w:val="16"/>
          <w:szCs w:val="16"/>
        </w:rPr>
        <w:t>а) разработать график изготовления и поступления оборудования для первой очереди заводов с точным указанием заводов-поставщиков и сроков завоза оборудования;</w:t>
      </w:r>
    </w:p>
    <w:p w14:paraId="3C2186D2" w14:textId="77777777" w:rsidR="00C92E4A" w:rsidRPr="005E779E" w:rsidRDefault="00C92E4A" w:rsidP="000B7A6C">
      <w:pPr>
        <w:pStyle w:val="rtejustify"/>
        <w:spacing w:before="0" w:after="0"/>
        <w:rPr>
          <w:color w:val="000000" w:themeColor="text1"/>
          <w:sz w:val="16"/>
          <w:szCs w:val="16"/>
        </w:rPr>
      </w:pPr>
      <w:r w:rsidRPr="005E779E">
        <w:rPr>
          <w:color w:val="000000" w:themeColor="text1"/>
          <w:sz w:val="16"/>
          <w:szCs w:val="16"/>
        </w:rPr>
        <w:t>б) обратить особое внимание на ускоренное доведение заказов непосредственно до заводов, изготовляющих оборудование, для чего добиться четкой работы Востокостали и соответствующих объединений с тем, чтобы в кратчайший срок были оформлены договора с соответствующими поставщиками;</w:t>
      </w:r>
    </w:p>
    <w:p w14:paraId="6D3DFDCE" w14:textId="77777777" w:rsidR="00C92E4A" w:rsidRPr="005E779E" w:rsidRDefault="00C92E4A" w:rsidP="000B7A6C">
      <w:pPr>
        <w:pStyle w:val="rtejustify"/>
        <w:spacing w:before="0" w:after="0"/>
        <w:rPr>
          <w:color w:val="000000" w:themeColor="text1"/>
          <w:sz w:val="16"/>
          <w:szCs w:val="16"/>
        </w:rPr>
      </w:pPr>
      <w:r w:rsidRPr="005E779E">
        <w:rPr>
          <w:color w:val="000000" w:themeColor="text1"/>
          <w:sz w:val="16"/>
          <w:szCs w:val="16"/>
        </w:rPr>
        <w:t>в) немедленно приступить к плановой подготовке размещения заказов на оборудование следующих очередей, выделив особо все оборудование тяжелое или требующее длительных сроков изготовления и монтажа;</w:t>
      </w:r>
    </w:p>
    <w:p w14:paraId="7E3EA7AA" w14:textId="77777777" w:rsidR="00C92E4A" w:rsidRPr="005E779E" w:rsidRDefault="00C92E4A" w:rsidP="000B7A6C">
      <w:pPr>
        <w:pStyle w:val="rtejustify"/>
        <w:spacing w:before="0" w:after="0"/>
        <w:rPr>
          <w:color w:val="000000" w:themeColor="text1"/>
          <w:sz w:val="16"/>
          <w:szCs w:val="16"/>
        </w:rPr>
      </w:pPr>
      <w:r w:rsidRPr="005E779E">
        <w:rPr>
          <w:color w:val="000000" w:themeColor="text1"/>
          <w:sz w:val="16"/>
          <w:szCs w:val="16"/>
        </w:rPr>
        <w:t>г) не позже 1.IV составить график с точными сроками размещения, изготовления, завоза и монтажа оборудования на полную производительность Магнитогорского и Кузнецкого заводов;</w:t>
      </w:r>
    </w:p>
    <w:p w14:paraId="44B33140" w14:textId="77777777" w:rsidR="00C92E4A" w:rsidRPr="005E779E" w:rsidRDefault="00C92E4A" w:rsidP="000B7A6C">
      <w:pPr>
        <w:pStyle w:val="rtejustify"/>
        <w:spacing w:before="0" w:after="0"/>
        <w:rPr>
          <w:color w:val="000000" w:themeColor="text1"/>
          <w:sz w:val="16"/>
          <w:szCs w:val="16"/>
        </w:rPr>
      </w:pPr>
      <w:r w:rsidRPr="005E779E">
        <w:rPr>
          <w:color w:val="000000" w:themeColor="text1"/>
          <w:sz w:val="16"/>
          <w:szCs w:val="16"/>
        </w:rPr>
        <w:t>д) для проведения этой работы немедленно укрепить Востокосталь квалифицированными специалистами.</w:t>
      </w:r>
    </w:p>
    <w:p w14:paraId="29752DE8" w14:textId="77777777" w:rsidR="00C92E4A" w:rsidRPr="005E779E" w:rsidRDefault="00C92E4A" w:rsidP="000B7A6C">
      <w:pPr>
        <w:pStyle w:val="rtejustify"/>
        <w:spacing w:before="0" w:after="0"/>
        <w:rPr>
          <w:color w:val="000000" w:themeColor="text1"/>
          <w:sz w:val="16"/>
          <w:szCs w:val="16"/>
        </w:rPr>
      </w:pPr>
      <w:r w:rsidRPr="005E779E">
        <w:rPr>
          <w:color w:val="000000" w:themeColor="text1"/>
          <w:sz w:val="16"/>
          <w:szCs w:val="16"/>
        </w:rPr>
        <w:t>Придавая особое значение своевременному изготовлению оборудования и конструкций для Магнитостроя и Кузнецкстроя на заводах Союза, ЦК обязывает ВСНХ привлечь к размещению заказов непосредственно директоров заводов и заводские организации.</w:t>
      </w:r>
    </w:p>
    <w:p w14:paraId="0F6EE5F7" w14:textId="77777777" w:rsidR="00C92E4A" w:rsidRPr="005E779E" w:rsidRDefault="00C92E4A" w:rsidP="000B7A6C">
      <w:pPr>
        <w:pStyle w:val="rtejustify"/>
        <w:spacing w:before="0" w:after="0"/>
        <w:rPr>
          <w:color w:val="000000" w:themeColor="text1"/>
          <w:sz w:val="16"/>
          <w:szCs w:val="16"/>
        </w:rPr>
      </w:pPr>
      <w:r w:rsidRPr="005E779E">
        <w:rPr>
          <w:color w:val="000000" w:themeColor="text1"/>
          <w:sz w:val="16"/>
          <w:szCs w:val="16"/>
        </w:rPr>
        <w:t>Одновременно ЦК предлагает заводским, партийным и профсоюзным организациям взять под особое наблюдение изготовление оборудования и конструкций для Магнитостроя и Кузнецкстроя, мобилизовав на это дело ударные бригады, производственные совещания и заводскую печать.</w:t>
      </w:r>
    </w:p>
    <w:p w14:paraId="2C78EF8D" w14:textId="77777777" w:rsidR="00C92E4A" w:rsidRPr="005E779E" w:rsidRDefault="00C92E4A" w:rsidP="000B7A6C">
      <w:pPr>
        <w:pStyle w:val="rtejustify"/>
        <w:spacing w:before="0" w:after="0"/>
        <w:rPr>
          <w:color w:val="000000" w:themeColor="text1"/>
          <w:sz w:val="16"/>
          <w:szCs w:val="16"/>
        </w:rPr>
      </w:pPr>
      <w:r w:rsidRPr="005E779E">
        <w:rPr>
          <w:color w:val="000000" w:themeColor="text1"/>
          <w:sz w:val="16"/>
          <w:szCs w:val="16"/>
        </w:rPr>
        <w:t>12. Наркомтруду и ВСНХ принять немедленно меры к подбору и укомплектованию рабочей силой и техперсоналом Магнитостроя к началу 2</w:t>
      </w:r>
      <w:r w:rsidRPr="005E779E">
        <w:rPr>
          <w:color w:val="000000" w:themeColor="text1"/>
          <w:sz w:val="16"/>
          <w:szCs w:val="16"/>
        </w:rPr>
        <w:noBreakHyphen/>
        <w:t>го квартала (полное развертывание строительных и монтажных работ), в соответствии с заявкой строительства, которая должна быть представлена Наркомтруду в месячный срок.</w:t>
      </w:r>
    </w:p>
    <w:p w14:paraId="368ABE41" w14:textId="77777777" w:rsidR="00C92E4A" w:rsidRPr="005E779E" w:rsidRDefault="00C92E4A" w:rsidP="000B7A6C">
      <w:pPr>
        <w:pStyle w:val="rtejustify"/>
        <w:spacing w:before="0" w:after="0"/>
        <w:rPr>
          <w:color w:val="000000" w:themeColor="text1"/>
          <w:sz w:val="16"/>
          <w:szCs w:val="16"/>
        </w:rPr>
      </w:pPr>
      <w:r w:rsidRPr="005E779E">
        <w:rPr>
          <w:color w:val="000000" w:themeColor="text1"/>
          <w:sz w:val="16"/>
          <w:szCs w:val="16"/>
        </w:rPr>
        <w:t>13. Обязать ВСНХ проверить работу Востокостали и Магнитогорского строительства по обеспечению квалифицированной рабочей силой и руководящим персоналом Магнитогорского и Кузнецкого заводов, необходимой для пуска заводов в срок и принять необходимые меры к фактическому обеспечению этих заводов кадрами, не останавливаясь перед переброской необходимого количества старых кадровиков.</w:t>
      </w:r>
    </w:p>
    <w:p w14:paraId="03B188C7" w14:textId="77777777" w:rsidR="00C92E4A" w:rsidRPr="005E779E" w:rsidRDefault="00C92E4A" w:rsidP="000B7A6C">
      <w:pPr>
        <w:pStyle w:val="rtejustify"/>
        <w:spacing w:before="0" w:after="0"/>
        <w:rPr>
          <w:color w:val="000000" w:themeColor="text1"/>
          <w:sz w:val="16"/>
          <w:szCs w:val="16"/>
        </w:rPr>
      </w:pPr>
      <w:r w:rsidRPr="005E779E">
        <w:rPr>
          <w:color w:val="000000" w:themeColor="text1"/>
          <w:sz w:val="16"/>
          <w:szCs w:val="16"/>
        </w:rPr>
        <w:t>14. Командировать заграницу сроком до полугода не менее 100 чел. рабочих и технического персонала для практики на лучших заграничных металлургических предприятиях.</w:t>
      </w:r>
    </w:p>
    <w:p w14:paraId="4CD8E082" w14:textId="77777777" w:rsidR="00C92E4A" w:rsidRPr="005E779E" w:rsidRDefault="00C92E4A" w:rsidP="000B7A6C">
      <w:pPr>
        <w:pStyle w:val="rtejustify"/>
        <w:spacing w:before="0" w:after="0"/>
        <w:rPr>
          <w:color w:val="000000" w:themeColor="text1"/>
          <w:sz w:val="16"/>
          <w:szCs w:val="16"/>
        </w:rPr>
      </w:pPr>
      <w:r w:rsidRPr="005E779E">
        <w:rPr>
          <w:color w:val="000000" w:themeColor="text1"/>
          <w:sz w:val="16"/>
          <w:szCs w:val="16"/>
        </w:rPr>
        <w:t>15. Предложить ВСНХ поручить тов. Межлауку, находящемуся в Америке, пригласить 30 человек высококвалифицированных специалистов-американцев, могущих занять руководящие технические должности в цехах магнитогорского завода для руководства пуском и эксплуатацией его с тем, чтобы эти специалисты прибыли на площадку не позже 1.V.31 г.</w:t>
      </w:r>
    </w:p>
    <w:p w14:paraId="3729A721" w14:textId="77777777" w:rsidR="00C92E4A" w:rsidRPr="005E779E" w:rsidRDefault="00C92E4A" w:rsidP="000B7A6C">
      <w:pPr>
        <w:pStyle w:val="rtejustify"/>
        <w:spacing w:before="0" w:after="0"/>
        <w:rPr>
          <w:color w:val="000000" w:themeColor="text1"/>
          <w:sz w:val="16"/>
          <w:szCs w:val="16"/>
        </w:rPr>
      </w:pPr>
      <w:r w:rsidRPr="005E779E">
        <w:rPr>
          <w:color w:val="000000" w:themeColor="text1"/>
          <w:sz w:val="16"/>
          <w:szCs w:val="16"/>
        </w:rPr>
        <w:t>16. Предложить ВСНХ поручить отобрать заграницей (Европа, Америка) до 500 квалифицированных рабочих для работы в различных цехах Магнитогорского завода с тем, чтобы они прибыли на площадку за месяц до пуска каждого цеха.</w:t>
      </w:r>
    </w:p>
    <w:p w14:paraId="53FD76E7" w14:textId="77777777" w:rsidR="00C92E4A" w:rsidRPr="005E779E" w:rsidRDefault="00C92E4A" w:rsidP="000B7A6C">
      <w:pPr>
        <w:pStyle w:val="rtejustify"/>
        <w:spacing w:before="0" w:after="0"/>
        <w:rPr>
          <w:color w:val="000000" w:themeColor="text1"/>
          <w:sz w:val="16"/>
          <w:szCs w:val="16"/>
        </w:rPr>
      </w:pPr>
      <w:r w:rsidRPr="005E779E">
        <w:rPr>
          <w:color w:val="000000" w:themeColor="text1"/>
          <w:sz w:val="16"/>
          <w:szCs w:val="16"/>
        </w:rPr>
        <w:t>17. Предложить НКПС в месячный срок разрешить вопрос о магистральных путях и путях примыкания к заводу, обеспечивающих перевозку руды и угля для обоих заводов как к Магнитогорску, так и от Магнитогорска до Кузнецка, учитывая необходимость выхода на Белорецк и Уфу.</w:t>
      </w:r>
    </w:p>
    <w:p w14:paraId="3DC7548F" w14:textId="77777777" w:rsidR="00C92E4A" w:rsidRPr="005E779E" w:rsidRDefault="00C92E4A" w:rsidP="000B7A6C">
      <w:pPr>
        <w:pStyle w:val="rtejustify"/>
        <w:spacing w:before="0" w:after="0"/>
        <w:rPr>
          <w:color w:val="000000" w:themeColor="text1"/>
          <w:sz w:val="16"/>
          <w:szCs w:val="16"/>
        </w:rPr>
      </w:pPr>
      <w:r w:rsidRPr="005E779E">
        <w:rPr>
          <w:color w:val="000000" w:themeColor="text1"/>
          <w:sz w:val="16"/>
          <w:szCs w:val="16"/>
        </w:rPr>
        <w:t>18. Отмечая совершенно неудовлетворительное состояние провозоспособности ветки Карталы — Магнитная, обязать персонально т. Рухимовича принять все необходимые меры для приведения ветки в рабочее состояние, обеспечивающее бесперебойные перевозки грузов, необходимых для строительства Магнитогорского завода.</w:t>
      </w:r>
    </w:p>
    <w:p w14:paraId="2303C738" w14:textId="77777777" w:rsidR="00C92E4A" w:rsidRPr="005E779E" w:rsidRDefault="00C92E4A" w:rsidP="000B7A6C">
      <w:pPr>
        <w:pStyle w:val="rtejustify"/>
        <w:spacing w:before="0" w:after="0"/>
        <w:rPr>
          <w:color w:val="000000" w:themeColor="text1"/>
          <w:sz w:val="16"/>
          <w:szCs w:val="16"/>
        </w:rPr>
      </w:pPr>
      <w:r w:rsidRPr="005E779E">
        <w:rPr>
          <w:color w:val="000000" w:themeColor="text1"/>
          <w:sz w:val="16"/>
          <w:szCs w:val="16"/>
        </w:rPr>
        <w:t>Через месяц доложить ЦК ВКП(б) о принятых мерах в этом отношении и о достигнутых результатах.</w:t>
      </w:r>
    </w:p>
    <w:p w14:paraId="62FE7DF1" w14:textId="77777777" w:rsidR="00C92E4A" w:rsidRPr="005E779E" w:rsidRDefault="00C92E4A" w:rsidP="000B7A6C">
      <w:pPr>
        <w:pStyle w:val="rtejustify"/>
        <w:spacing w:before="0" w:after="0"/>
        <w:rPr>
          <w:color w:val="000000" w:themeColor="text1"/>
          <w:sz w:val="16"/>
          <w:szCs w:val="16"/>
        </w:rPr>
      </w:pPr>
      <w:r w:rsidRPr="005E779E">
        <w:rPr>
          <w:color w:val="000000" w:themeColor="text1"/>
          <w:sz w:val="16"/>
          <w:szCs w:val="16"/>
        </w:rPr>
        <w:t>19. Предложить НКПС и ВСНХ преступить к подготовке организации приема и перевозки имеющего в ближайшее время поступить импортного тяжелого оборудования для Магнитостроя, для чего Востокостали представить в НКПС в двухдекадный срок разработанный план направления тяжелых перевозок с указанием объема, веса и единиц тяжелых грузов.</w:t>
      </w:r>
    </w:p>
    <w:p w14:paraId="58327525" w14:textId="77777777" w:rsidR="00C92E4A" w:rsidRPr="005E779E" w:rsidRDefault="00C92E4A" w:rsidP="000B7A6C">
      <w:pPr>
        <w:pStyle w:val="rtejustify"/>
        <w:spacing w:before="0" w:after="0"/>
        <w:rPr>
          <w:color w:val="000000" w:themeColor="text1"/>
          <w:sz w:val="16"/>
          <w:szCs w:val="16"/>
        </w:rPr>
      </w:pPr>
      <w:r w:rsidRPr="005E779E">
        <w:rPr>
          <w:color w:val="000000" w:themeColor="text1"/>
          <w:sz w:val="16"/>
          <w:szCs w:val="16"/>
        </w:rPr>
        <w:t>20. Предложить ВСНХ и НКПС в течение двухдекадного срока определить тип и количество вагонного и паровозного парка на линии Кузнецк — Магнитная для обслуживания перевозок руды и угля.</w:t>
      </w:r>
    </w:p>
    <w:p w14:paraId="22C4EA2E" w14:textId="77777777" w:rsidR="00C92E4A" w:rsidRPr="005E779E" w:rsidRDefault="00C92E4A" w:rsidP="000B7A6C">
      <w:pPr>
        <w:pStyle w:val="rtejustify"/>
        <w:spacing w:before="0" w:after="0"/>
        <w:rPr>
          <w:color w:val="000000" w:themeColor="text1"/>
          <w:sz w:val="16"/>
          <w:szCs w:val="16"/>
        </w:rPr>
      </w:pPr>
      <w:r w:rsidRPr="005E779E">
        <w:rPr>
          <w:color w:val="000000" w:themeColor="text1"/>
          <w:sz w:val="16"/>
          <w:szCs w:val="16"/>
        </w:rPr>
        <w:t>21. Считая, что транспортная проблема Кузнецк — Магнитная до сих пор не разработана во всех своих частях с достаточной тщательностью, заслушать в ЦК ВКП(б) в мае месяце 1931 г. специальный доклад НКПС и ВСНХ по этому вопросу.</w:t>
      </w:r>
    </w:p>
    <w:p w14:paraId="7758A31A" w14:textId="77777777" w:rsidR="00C92E4A" w:rsidRPr="005E779E" w:rsidRDefault="00C92E4A" w:rsidP="000B7A6C">
      <w:pPr>
        <w:pStyle w:val="rtejustify"/>
        <w:spacing w:before="0" w:after="0"/>
        <w:rPr>
          <w:color w:val="000000" w:themeColor="text1"/>
          <w:sz w:val="16"/>
          <w:szCs w:val="16"/>
        </w:rPr>
      </w:pPr>
      <w:r w:rsidRPr="005E779E">
        <w:rPr>
          <w:color w:val="000000" w:themeColor="text1"/>
          <w:sz w:val="16"/>
          <w:szCs w:val="16"/>
        </w:rPr>
        <w:t>22. Предложить Центросоюзу в 2</w:t>
      </w:r>
      <w:r w:rsidRPr="005E779E">
        <w:rPr>
          <w:color w:val="000000" w:themeColor="text1"/>
          <w:sz w:val="16"/>
          <w:szCs w:val="16"/>
        </w:rPr>
        <w:noBreakHyphen/>
        <w:t>месячный срок перестроить всю работу кооперации Магнитогорска, включив строительство Магнитостроя в первоочередное снабжение.</w:t>
      </w:r>
    </w:p>
    <w:p w14:paraId="1E7605B9" w14:textId="77777777" w:rsidR="00C92E4A" w:rsidRPr="005E779E" w:rsidRDefault="00C92E4A" w:rsidP="000B7A6C">
      <w:pPr>
        <w:pStyle w:val="rtejustify"/>
        <w:spacing w:before="0" w:after="0"/>
        <w:rPr>
          <w:color w:val="000000" w:themeColor="text1"/>
          <w:sz w:val="16"/>
          <w:szCs w:val="16"/>
        </w:rPr>
      </w:pPr>
      <w:r w:rsidRPr="005E779E">
        <w:rPr>
          <w:color w:val="000000" w:themeColor="text1"/>
          <w:sz w:val="16"/>
          <w:szCs w:val="16"/>
        </w:rPr>
        <w:t>23. Обязать Наркомздрав обеспечить строительство Магнитогорского завода в срочном порядке надлежащим врачебным персоналом, а равно необходимым оборудованием для усиления медико-санитарной сети на площадке.</w:t>
      </w:r>
    </w:p>
    <w:p w14:paraId="30C645A0" w14:textId="77777777" w:rsidR="00C92E4A" w:rsidRPr="005E779E" w:rsidRDefault="00C92E4A" w:rsidP="000B7A6C">
      <w:pPr>
        <w:pStyle w:val="rtejustify"/>
        <w:spacing w:before="0" w:after="0"/>
        <w:rPr>
          <w:color w:val="000000" w:themeColor="text1"/>
          <w:sz w:val="16"/>
          <w:szCs w:val="16"/>
        </w:rPr>
      </w:pPr>
      <w:r w:rsidRPr="005E779E">
        <w:rPr>
          <w:color w:val="000000" w:themeColor="text1"/>
          <w:sz w:val="16"/>
          <w:szCs w:val="16"/>
        </w:rPr>
        <w:t>24. Отмечая недостаточную активность, проявленную парторганизациями Урала в деле помощи Магнитогорскому строительству, ЦК ВКП(б) предлагает Уральскому областному комитету ВКП(б) и местным партийным организациям Магнитогорска принять все необходимые практические меры к осуществлению строительства и широкому разъяснению политического и хозяйственного значения Магнитогорского завода.</w:t>
      </w:r>
    </w:p>
    <w:p w14:paraId="4169E68A" w14:textId="77777777" w:rsidR="00C92E4A" w:rsidRPr="005E779E" w:rsidRDefault="00C92E4A" w:rsidP="000B7A6C">
      <w:pPr>
        <w:pStyle w:val="rtejustify"/>
        <w:spacing w:before="0" w:after="0"/>
        <w:rPr>
          <w:color w:val="000000" w:themeColor="text1"/>
          <w:sz w:val="16"/>
          <w:szCs w:val="16"/>
        </w:rPr>
      </w:pPr>
      <w:r w:rsidRPr="005E779E">
        <w:rPr>
          <w:color w:val="000000" w:themeColor="text1"/>
          <w:sz w:val="16"/>
          <w:szCs w:val="16"/>
        </w:rPr>
        <w:t>25. Признать необходимым, чтобы профессиональные организации Урала приняли действительно серьезные меры к вовлечению широких рабочих масс в содействие строительству, внедрению на строительстве новых форм социалистического труда, широкому развертыванию ударничества, соцсоревнования, общественных буксиров, обеспечению активного участия рабочих масс в разработке и выполнении строительных планов, постановке на надлежащую высоту культурно-бытового обслуживания рабочих, решительному прекращению текучести, рвачества и т. д. и т. п.</w:t>
      </w:r>
    </w:p>
    <w:p w14:paraId="16BE06B0" w14:textId="77777777" w:rsidR="00C92E4A" w:rsidRPr="005E779E" w:rsidRDefault="00C92E4A" w:rsidP="000B7A6C">
      <w:pPr>
        <w:pStyle w:val="rtejustify"/>
        <w:spacing w:before="0" w:after="0"/>
        <w:rPr>
          <w:color w:val="000000" w:themeColor="text1"/>
          <w:sz w:val="16"/>
          <w:szCs w:val="16"/>
        </w:rPr>
      </w:pPr>
      <w:r w:rsidRPr="005E779E">
        <w:rPr>
          <w:color w:val="000000" w:themeColor="text1"/>
          <w:sz w:val="16"/>
          <w:szCs w:val="16"/>
        </w:rPr>
        <w:t>26. ЦК ВКП(б) считает, что со стороны хозяйственных организаций, связанных в своей оперативной работе со строительством, должно быть достигнуто точное выполнение оперативных заданий по срокам и качеству выполняемой и поставляемой продукции, должно быть изжито казенно-бюрократическое отношение к заказам и поручениям строительства к оказано максимальное техническое содействие строительству в монтаже и эксплуатации поставляемого оборудования в соответствии со сроками пуска завода.</w:t>
      </w:r>
    </w:p>
    <w:p w14:paraId="13135D84" w14:textId="77777777" w:rsidR="00C92E4A" w:rsidRPr="005E779E" w:rsidRDefault="00C92E4A" w:rsidP="000B7A6C">
      <w:pPr>
        <w:pStyle w:val="rtejustify"/>
        <w:spacing w:before="0" w:after="0"/>
        <w:rPr>
          <w:color w:val="000000" w:themeColor="text1"/>
          <w:sz w:val="16"/>
          <w:szCs w:val="16"/>
        </w:rPr>
      </w:pPr>
      <w:r w:rsidRPr="005E779E">
        <w:rPr>
          <w:color w:val="000000" w:themeColor="text1"/>
          <w:sz w:val="16"/>
          <w:szCs w:val="16"/>
        </w:rPr>
        <w:t>27. Освободить т. Румянцева от обязанностей секретаря райкома (17244).</w:t>
      </w:r>
    </w:p>
    <w:p w14:paraId="68F740AE" w14:textId="77777777" w:rsidR="007E4069" w:rsidRPr="005E779E" w:rsidRDefault="007E4069" w:rsidP="000B7A6C">
      <w:pPr>
        <w:spacing w:after="0" w:line="240" w:lineRule="auto"/>
        <w:jc w:val="both"/>
        <w:rPr>
          <w:rFonts w:ascii="Times New Roman" w:hAnsi="Times New Roman"/>
          <w:color w:val="000000" w:themeColor="text1"/>
          <w:sz w:val="16"/>
          <w:szCs w:val="16"/>
        </w:rPr>
      </w:pPr>
    </w:p>
    <w:p w14:paraId="707948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января 1931 г. приказом по заводу №7 за № 17 было решено приступить к изготовлению компрессорных станций. Для их разработки было создано ПКБ по компрессоростроению. С 1947 г. производство компрессорных станций для шахт, ГЭС было возобновлено. В 1966 г. начала действовать первая в стране установка по производству жидкого азота высокой чистоты (10776).</w:t>
      </w:r>
    </w:p>
    <w:p w14:paraId="77CFCEB4" w14:textId="00DD98A3"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03553BF" w14:textId="6E697CB7" w:rsidR="00B93B98" w:rsidRPr="005E779E" w:rsidRDefault="00B93B98" w:rsidP="000B7A6C">
      <w:pPr>
        <w:autoSpaceDE w:val="0"/>
        <w:autoSpaceDN w:val="0"/>
        <w:adjustRightInd w:val="0"/>
        <w:spacing w:after="0" w:line="240" w:lineRule="auto"/>
        <w:jc w:val="both"/>
        <w:rPr>
          <w:rFonts w:ascii="Times New Roman" w:hAnsi="Times New Roman"/>
          <w:i/>
          <w:iCs/>
          <w:color w:val="000000" w:themeColor="text1"/>
          <w:sz w:val="16"/>
          <w:szCs w:val="16"/>
        </w:rPr>
      </w:pPr>
      <w:r w:rsidRPr="005E779E">
        <w:rPr>
          <w:rFonts w:ascii="Times New Roman" w:hAnsi="Times New Roman"/>
          <w:i/>
          <w:iCs/>
          <w:color w:val="000000" w:themeColor="text1"/>
          <w:sz w:val="16"/>
          <w:szCs w:val="16"/>
        </w:rPr>
        <w:t>Армия:</w:t>
      </w:r>
    </w:p>
    <w:p w14:paraId="65199B86" w14:textId="77777777" w:rsidR="00B93B98" w:rsidRPr="005E779E" w:rsidRDefault="00B93B98" w:rsidP="000B7A6C">
      <w:pPr>
        <w:autoSpaceDE w:val="0"/>
        <w:autoSpaceDN w:val="0"/>
        <w:adjustRightInd w:val="0"/>
        <w:spacing w:after="0" w:line="240" w:lineRule="auto"/>
        <w:jc w:val="both"/>
        <w:rPr>
          <w:rFonts w:ascii="Times New Roman" w:hAnsi="Times New Roman"/>
          <w:i/>
          <w:iCs/>
          <w:color w:val="000000" w:themeColor="text1"/>
          <w:sz w:val="16"/>
          <w:szCs w:val="16"/>
        </w:rPr>
      </w:pPr>
    </w:p>
    <w:p w14:paraId="100A0757" w14:textId="77777777" w:rsidR="00B93B98" w:rsidRPr="005E779E" w:rsidRDefault="00B93B9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января 1931 года начальник ВВС РККА П.И. Баранов огласил приказ Реввоенсовета СССР № 12: «Считать с 25 января 1931 года Краснознаменный Всесоюзный ленинский коммунистический союз молодежи шефом над Военно-воздушными силами РККА», который подписал Нарком по военным и морским делам и председатель РВС СССР К.Е. Ворошилов. Докладывая IX съезду комсомола о состоянии ВВС РККА, П.И. Баранов подчеркнул, что трудность воссоздания военно-воздушной мощи Советской страны преодолевается. При этом он обратил внимание на то, что партийно-комсомольская прослойка среди летного и технического состава возросла с 37% в 1925 году до 70% в 1930 году. При этом в составе летных школ их доля доходила до 90%» (РГАСПИ. Ф.М – 6. Оп. 9. Д. 11. Л. 79 об.) (21402).</w:t>
      </w:r>
    </w:p>
    <w:p w14:paraId="6BC85E7B" w14:textId="77777777" w:rsidR="00B93B98" w:rsidRPr="005E779E" w:rsidRDefault="00B93B98" w:rsidP="000B7A6C">
      <w:pPr>
        <w:spacing w:after="0" w:line="240" w:lineRule="auto"/>
        <w:jc w:val="both"/>
        <w:rPr>
          <w:rFonts w:ascii="Times New Roman" w:hAnsi="Times New Roman"/>
          <w:color w:val="000000" w:themeColor="text1"/>
          <w:sz w:val="16"/>
          <w:szCs w:val="16"/>
        </w:rPr>
      </w:pPr>
    </w:p>
    <w:p w14:paraId="0FC54DB7" w14:textId="77777777" w:rsidR="009B4119" w:rsidRPr="00142305" w:rsidRDefault="009B4119" w:rsidP="009B411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25 января 1931 г. в приказе РВС СССР № 12 говорилось: «В связи с единодушно выраженной IX съездом Всесо</w:t>
      </w:r>
      <w:r w:rsidRPr="00142305">
        <w:rPr>
          <w:rFonts w:ascii="Times New Roman" w:hAnsi="Times New Roman"/>
          <w:color w:val="0070C0"/>
          <w:sz w:val="16"/>
          <w:szCs w:val="16"/>
        </w:rPr>
        <w:softHyphen/>
        <w:t>юзного Ленинского Коммунистического Союза Молодежи [ВЛКСМ] волей о принятии со стороны трехмиллионной массы молодых строителей социализма шефства над Военными воздушными силами РККА, Революционный Военный Совет Союза ССР постановляет: «Считать с 25 января 1931 года Краснознамен</w:t>
      </w:r>
      <w:r w:rsidRPr="00142305">
        <w:rPr>
          <w:rFonts w:ascii="Times New Roman" w:hAnsi="Times New Roman"/>
          <w:color w:val="0070C0"/>
          <w:sz w:val="16"/>
          <w:szCs w:val="16"/>
        </w:rPr>
        <w:softHyphen/>
        <w:t>ный Всесоюзный Ленинский Коммунистический Союз Молодежи шефом над Военными воздушными силами Рабоче-Крестьянской Красной Армии» (Приказ РВС СССР 25 января 1931 г. № 12// Вест. возд. фл. - 1931. - № 2. - С. 41).</w:t>
      </w:r>
    </w:p>
    <w:p w14:paraId="1F432CDA" w14:textId="77777777" w:rsidR="009B4119" w:rsidRPr="00142305" w:rsidRDefault="009B4119" w:rsidP="009B411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эти дни в печати появилось и соответствующее выступление Начальника ВВС РККА П. И. Баранова на IX съезде ВЛКСМ (Рапорт Начальника Военных Воздушных сил РККА т. Баранова IX съезду Комсомола // Вестник воздушного флота. - 1931. - № 2. - С. 42) (24968).</w:t>
      </w:r>
    </w:p>
    <w:p w14:paraId="6F1C6E56" w14:textId="77777777" w:rsidR="009B4119" w:rsidRPr="00142305" w:rsidRDefault="009B4119" w:rsidP="009B4119">
      <w:pPr>
        <w:spacing w:after="0" w:line="240" w:lineRule="auto"/>
        <w:jc w:val="both"/>
        <w:rPr>
          <w:rFonts w:ascii="Times New Roman" w:hAnsi="Times New Roman"/>
          <w:color w:val="0070C0"/>
          <w:sz w:val="16"/>
          <w:szCs w:val="16"/>
        </w:rPr>
      </w:pPr>
    </w:p>
    <w:p w14:paraId="30C1D836" w14:textId="77777777" w:rsidR="009B4119" w:rsidRPr="00142305" w:rsidRDefault="009B4119" w:rsidP="009B411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25 января 1931 г. в приказе РВС СССП № 12 говорилось: «В связи с единодушно выраженной IX съездом Все</w:t>
      </w:r>
      <w:r w:rsidRPr="00142305">
        <w:rPr>
          <w:rFonts w:ascii="Times New Roman" w:hAnsi="Times New Roman"/>
          <w:color w:val="0070C0"/>
          <w:sz w:val="16"/>
          <w:szCs w:val="16"/>
        </w:rPr>
        <w:softHyphen/>
        <w:t>союзного Ленинского Коммунистического Союза Молодежи волей о принятии со стороны трехмиллионной массы молодых строителей социализма шефства над Военными воздушными силами Рабоче-Крестьянской Красной Армии, Ре</w:t>
      </w:r>
      <w:r w:rsidRPr="00142305">
        <w:rPr>
          <w:rFonts w:ascii="Times New Roman" w:hAnsi="Times New Roman"/>
          <w:color w:val="0070C0"/>
          <w:sz w:val="16"/>
          <w:szCs w:val="16"/>
        </w:rPr>
        <w:softHyphen/>
        <w:t>волюционный Военный Совет Союза ССР постановляет: «Считать 25 января 1931 г. Краснознаменный Всесоюзный Ленинский Коммунистический Союз Молодежи шефом над Военными воздушными силами Рабоче-Крестьянской Красной Армии» (Приказ РВС СССР 25 января 1931 г. № 12 // Вестник воздушного флота. - 1931.— №2.-С. 41) (24967).</w:t>
      </w:r>
    </w:p>
    <w:p w14:paraId="17904E56" w14:textId="77777777" w:rsidR="009B4119" w:rsidRPr="00142305" w:rsidRDefault="009B4119" w:rsidP="009B4119">
      <w:pPr>
        <w:spacing w:after="0" w:line="240" w:lineRule="auto"/>
        <w:jc w:val="both"/>
        <w:rPr>
          <w:rFonts w:ascii="Times New Roman" w:hAnsi="Times New Roman"/>
          <w:color w:val="0070C0"/>
          <w:sz w:val="16"/>
          <w:szCs w:val="16"/>
        </w:rPr>
      </w:pPr>
    </w:p>
    <w:p w14:paraId="1619EDFF" w14:textId="77777777" w:rsidR="009B4119" w:rsidRPr="00142305" w:rsidRDefault="009B4119" w:rsidP="009B411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25 января 1931 года в Колонном зале Дома союзов в Москве IX съезд ВЛКСМ принял шефство над Военно-воздушными силами РККА. На торже</w:t>
      </w:r>
      <w:r w:rsidRPr="00142305">
        <w:rPr>
          <w:rFonts w:ascii="Times New Roman" w:hAnsi="Times New Roman"/>
          <w:color w:val="0070C0"/>
          <w:sz w:val="16"/>
          <w:szCs w:val="16"/>
        </w:rPr>
        <w:softHyphen/>
        <w:t>ственном заседании съезда присутствовали председатель Совета народных ко</w:t>
      </w:r>
      <w:r w:rsidRPr="00142305">
        <w:rPr>
          <w:rFonts w:ascii="Times New Roman" w:hAnsi="Times New Roman"/>
          <w:color w:val="0070C0"/>
          <w:sz w:val="16"/>
          <w:szCs w:val="16"/>
        </w:rPr>
        <w:softHyphen/>
        <w:t>миссаров СССР тов. Молотов, Начальник Военно-воздушных сил РККА тов. Баранов, заместитель его тов. Алкснис, Начальник Военно-воздушной акаде</w:t>
      </w:r>
      <w:r w:rsidRPr="00142305">
        <w:rPr>
          <w:rFonts w:ascii="Times New Roman" w:hAnsi="Times New Roman"/>
          <w:color w:val="0070C0"/>
          <w:sz w:val="16"/>
          <w:szCs w:val="16"/>
        </w:rPr>
        <w:softHyphen/>
        <w:t>мии имени проф. Жуковского тов. Хорьков, Начальник Всесоюзного авиацион</w:t>
      </w:r>
      <w:r w:rsidRPr="00142305">
        <w:rPr>
          <w:rFonts w:ascii="Times New Roman" w:hAnsi="Times New Roman"/>
          <w:color w:val="0070C0"/>
          <w:sz w:val="16"/>
          <w:szCs w:val="16"/>
        </w:rPr>
        <w:softHyphen/>
        <w:t xml:space="preserve">ного объединения тов. Гольцман, </w:t>
      </w:r>
      <w:r w:rsidRPr="00142305">
        <w:rPr>
          <w:rFonts w:ascii="Times New Roman" w:hAnsi="Times New Roman"/>
          <w:color w:val="0070C0"/>
          <w:sz w:val="16"/>
          <w:szCs w:val="16"/>
        </w:rPr>
        <w:lastRenderedPageBreak/>
        <w:t>представители авиачастей и заводов авиаци</w:t>
      </w:r>
      <w:r w:rsidRPr="00142305">
        <w:rPr>
          <w:rFonts w:ascii="Times New Roman" w:hAnsi="Times New Roman"/>
          <w:color w:val="0070C0"/>
          <w:sz w:val="16"/>
          <w:szCs w:val="16"/>
        </w:rPr>
        <w:softHyphen/>
        <w:t>онной промышленности. Торжественное заседание съезда открыл Генеральный секретарь ВЛКСМ тов. Косарев» (ВЛКСМ принял шефство над Военно-воздушными силами И Вестник воздушного флота. - 1931. - № 2. С. 42-43) (24967).</w:t>
      </w:r>
    </w:p>
    <w:p w14:paraId="7BCBFE50" w14:textId="77777777" w:rsidR="009B4119" w:rsidRPr="00142305" w:rsidRDefault="009B4119" w:rsidP="009B4119">
      <w:pPr>
        <w:spacing w:after="0" w:line="240" w:lineRule="auto"/>
        <w:jc w:val="both"/>
        <w:rPr>
          <w:rFonts w:ascii="Times New Roman" w:hAnsi="Times New Roman"/>
          <w:color w:val="0070C0"/>
          <w:sz w:val="16"/>
          <w:szCs w:val="16"/>
        </w:rPr>
      </w:pPr>
    </w:p>
    <w:p w14:paraId="12E8F161" w14:textId="77777777" w:rsidR="009B4119" w:rsidRPr="005E779E" w:rsidRDefault="009B4119" w:rsidP="009B4119">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(21 - 438,619) января 1931 на XI съезде ВЛКСМ появился лозунг "Комсомолец - на самолет" (69,111). В результате возникло шефство над ВВС.</w:t>
      </w:r>
    </w:p>
    <w:p w14:paraId="0D80BF01" w14:textId="77777777" w:rsidR="009B4119" w:rsidRPr="005E779E" w:rsidRDefault="009B4119" w:rsidP="009B4119">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Был опубликован приказ РВС на основе постановления съезда (1053,39).</w:t>
      </w:r>
    </w:p>
    <w:p w14:paraId="1F2C35A6" w14:textId="77777777" w:rsidR="009B4119" w:rsidRPr="005E779E" w:rsidRDefault="009B4119" w:rsidP="009B4119">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другим данным, в этот день вышел приказ N 12 РВС о принятии шефства, решение о котором было принято 21 января, и объявлено всем частям ВВС (438,619).</w:t>
      </w:r>
    </w:p>
    <w:p w14:paraId="7E12E230" w14:textId="77777777" w:rsidR="009B4119" w:rsidRPr="005E779E" w:rsidRDefault="009B4119" w:rsidP="009B4119">
      <w:pPr>
        <w:autoSpaceDE w:val="0"/>
        <w:autoSpaceDN w:val="0"/>
        <w:adjustRightInd w:val="0"/>
        <w:spacing w:after="0" w:line="240" w:lineRule="auto"/>
        <w:jc w:val="both"/>
        <w:rPr>
          <w:rFonts w:ascii="Times New Roman" w:hAnsi="Times New Roman"/>
          <w:color w:val="000000" w:themeColor="text1"/>
          <w:sz w:val="16"/>
          <w:szCs w:val="16"/>
        </w:rPr>
      </w:pPr>
    </w:p>
    <w:p w14:paraId="357C572E" w14:textId="77777777" w:rsidR="009B4119" w:rsidRPr="005E779E" w:rsidRDefault="009B4119" w:rsidP="009B4119">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января 1931 года был издан приказ народного комиссара по военным и морским делам и председателя Реввоенсовета СССР К. Е. Ворошилова, закрепивший шефство Краснознаменного Ленинского комсомола над ВВС. В январе 1931 года IX съезд ВЛКСМ принял решение о шефстве трехмиллионного комсомола над военно-воздушными силами рабоче-крестьянской Красной Армии. Всей стране, каждому комсомольцу в те годы были знакомы и близки слова героя гражданской войны Клима Ворошилова: «Каждой школе, каждому пионерскому отряду — авиамодельный кружок, каждому заводу, каждой фабрике — кружок планеристов. Каждому промышленному центру — аэроклуб!» (11642).</w:t>
      </w:r>
    </w:p>
    <w:p w14:paraId="7E295068" w14:textId="77777777" w:rsidR="009B4119" w:rsidRPr="005E779E" w:rsidRDefault="009B4119" w:rsidP="009B4119">
      <w:pPr>
        <w:autoSpaceDE w:val="0"/>
        <w:autoSpaceDN w:val="0"/>
        <w:adjustRightInd w:val="0"/>
        <w:spacing w:after="0" w:line="240" w:lineRule="auto"/>
        <w:jc w:val="both"/>
        <w:rPr>
          <w:rFonts w:ascii="Times New Roman" w:hAnsi="Times New Roman"/>
          <w:color w:val="000000" w:themeColor="text1"/>
          <w:sz w:val="16"/>
          <w:szCs w:val="16"/>
        </w:rPr>
      </w:pPr>
    </w:p>
    <w:p w14:paraId="11FE97AD" w14:textId="77777777" w:rsidR="009B4119" w:rsidRPr="005E779E" w:rsidRDefault="009B4119" w:rsidP="009B4119">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25 января</w:t>
      </w:r>
      <w:r w:rsidRPr="005E779E">
        <w:rPr>
          <w:rFonts w:ascii="Times New Roman" w:hAnsi="Times New Roman"/>
          <w:color w:val="000000" w:themeColor="text1"/>
          <w:sz w:val="16"/>
          <w:szCs w:val="16"/>
        </w:rPr>
        <w:t xml:space="preserve"> в 1931 году IX съезд ВЛКСМ принял решение о шефстве комсомола над Военно-Воздушным Флотом (15020).</w:t>
      </w:r>
    </w:p>
    <w:p w14:paraId="6F0D7EEB" w14:textId="77777777" w:rsidR="009B4119" w:rsidRPr="005E779E" w:rsidRDefault="009B4119" w:rsidP="009B4119">
      <w:pPr>
        <w:spacing w:after="0" w:line="240" w:lineRule="auto"/>
        <w:jc w:val="both"/>
        <w:rPr>
          <w:rFonts w:ascii="Times New Roman" w:hAnsi="Times New Roman"/>
          <w:color w:val="000000" w:themeColor="text1"/>
          <w:sz w:val="16"/>
          <w:szCs w:val="16"/>
        </w:rPr>
      </w:pPr>
    </w:p>
    <w:p w14:paraId="7A39D7AF" w14:textId="77777777" w:rsidR="00D92D75" w:rsidRPr="005E779E" w:rsidRDefault="00D92D75"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18143E00" w14:textId="77777777" w:rsidR="00D92D75" w:rsidRPr="005E779E" w:rsidRDefault="00D92D75"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B9B4F5A" w14:textId="77777777" w:rsidR="00435940" w:rsidRPr="005E779E" w:rsidRDefault="004359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января 1931 г. в приказе РВС СССР за № 12 говорилось: «В связи с единодушно выраженной IX съездом Всесоюзного Ленинского Коммунистического Союза Молодежи волей о принятии со стороны трехмиллионной массы молодых строителей социализма шефства над Военными воздушными силами РККА, Революционный Военный Совет Союза ССР постановляет: «Считать с 25 января 1931 г. Краснознаменный Всесоюзный Ленинский Коммунистический Союз Молодежи шефом над Военными воздушными силами Рабоче Крестьянской Красной Армии» (19566).</w:t>
      </w:r>
    </w:p>
    <w:p w14:paraId="7040293A" w14:textId="77777777" w:rsidR="00435940" w:rsidRPr="005E779E" w:rsidRDefault="00435940" w:rsidP="000B7A6C">
      <w:pPr>
        <w:spacing w:after="0" w:line="240" w:lineRule="auto"/>
        <w:jc w:val="both"/>
        <w:rPr>
          <w:rFonts w:ascii="Times New Roman" w:hAnsi="Times New Roman"/>
          <w:color w:val="000000" w:themeColor="text1"/>
          <w:sz w:val="16"/>
          <w:szCs w:val="16"/>
        </w:rPr>
      </w:pPr>
    </w:p>
    <w:p w14:paraId="687A87BC" w14:textId="77777777" w:rsidR="00435940" w:rsidRPr="005E779E" w:rsidRDefault="00435940"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25 января 1931 г.</w:t>
      </w:r>
    </w:p>
    <w:p w14:paraId="3FB62644" w14:textId="77777777" w:rsidR="00435940" w:rsidRPr="005E779E" w:rsidRDefault="00435940"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Из заявления в Коллегию ОГПУ С. А. Предтеченского после окончания следствия по «делу боевой группы». 25 января 1931 г.</w:t>
      </w:r>
    </w:p>
    <w:p w14:paraId="49E6D8EB" w14:textId="77777777" w:rsidR="00435940" w:rsidRPr="005E779E" w:rsidRDefault="00435940"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Источник: </w:t>
      </w:r>
    </w:p>
    <w:p w14:paraId="381C7D86" w14:textId="77777777" w:rsidR="00435940" w:rsidRPr="005E779E" w:rsidRDefault="004359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8084277" w14:textId="77777777" w:rsidR="00435940" w:rsidRPr="005E779E" w:rsidRDefault="00435940"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Архив: </w:t>
      </w:r>
    </w:p>
    <w:p w14:paraId="2FEA9F55" w14:textId="77777777" w:rsidR="00435940" w:rsidRPr="005E779E" w:rsidRDefault="004359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 ФСБ РФ. Ф. Р-42280. Т. 3. Л. 349-355 об.</w:t>
      </w:r>
    </w:p>
    <w:p w14:paraId="56EF3A06" w14:textId="77777777" w:rsidR="00435940" w:rsidRPr="005E779E" w:rsidRDefault="00435940" w:rsidP="000B7A6C">
      <w:pPr>
        <w:pStyle w:val="rteright"/>
        <w:spacing w:before="0" w:after="0"/>
        <w:jc w:val="both"/>
        <w:rPr>
          <w:color w:val="000000" w:themeColor="text1"/>
          <w:sz w:val="16"/>
          <w:szCs w:val="16"/>
        </w:rPr>
      </w:pPr>
      <w:r w:rsidRPr="005E779E">
        <w:rPr>
          <w:color w:val="000000" w:themeColor="text1"/>
          <w:sz w:val="16"/>
          <w:szCs w:val="16"/>
        </w:rPr>
        <w:t>25 января 1931 г.</w:t>
      </w:r>
    </w:p>
    <w:p w14:paraId="3291D039" w14:textId="77777777" w:rsidR="00435940" w:rsidRPr="005E779E" w:rsidRDefault="00435940" w:rsidP="000B7A6C">
      <w:pPr>
        <w:pStyle w:val="rtejustify"/>
        <w:spacing w:before="0" w:after="0"/>
        <w:rPr>
          <w:color w:val="000000" w:themeColor="text1"/>
          <w:sz w:val="16"/>
          <w:szCs w:val="16"/>
        </w:rPr>
      </w:pPr>
      <w:r w:rsidRPr="005E779E">
        <w:rPr>
          <w:color w:val="000000" w:themeColor="text1"/>
          <w:sz w:val="16"/>
          <w:szCs w:val="16"/>
        </w:rPr>
        <w:t>[...] Как могло получиться, что я, человек, никогда не имевший собственности, не зараженный ядом капитализма, встретивший революцию в молодом еще возрасте (33 г.), проработавший верой и правдой первые 10 лет Советской Власти пал до активной борьбы с Властью во имя чуждых мне интересов?!</w:t>
      </w:r>
    </w:p>
    <w:p w14:paraId="1EEDDE98" w14:textId="77777777" w:rsidR="00435940" w:rsidRPr="005E779E" w:rsidRDefault="00435940" w:rsidP="000B7A6C">
      <w:pPr>
        <w:pStyle w:val="rtejustify"/>
        <w:spacing w:before="0" w:after="0"/>
        <w:rPr>
          <w:color w:val="000000" w:themeColor="text1"/>
          <w:sz w:val="16"/>
          <w:szCs w:val="16"/>
        </w:rPr>
      </w:pPr>
      <w:r w:rsidRPr="005E779E">
        <w:rPr>
          <w:color w:val="000000" w:themeColor="text1"/>
          <w:sz w:val="16"/>
          <w:szCs w:val="16"/>
        </w:rPr>
        <w:t>Анализируя теперь уже после ареста в течение четырех месяцев в тюрьме все мое прошлое, я с чувством удовлетворения и гордости отличаю работу в течение первого периода, первого десятилетия Советской Власти, но с тем еще большим стыдом я останавливаюсь на позорной работе моей за последние 2-3 года. Основной причиной моего падения является пагубная история, основанная на делячестве, аполитичности, якобы способной подменить собой подлинную работу с массами, шагать нога в ногу с ними. Отрыв от масс, постоянное противопоставление своей личности воле рабочих масс под флагом нейтральности, вот что и погубило меня.</w:t>
      </w:r>
    </w:p>
    <w:p w14:paraId="2681366D" w14:textId="77777777" w:rsidR="00435940" w:rsidRPr="005E779E" w:rsidRDefault="00435940" w:rsidP="000B7A6C">
      <w:pPr>
        <w:pStyle w:val="rtejustify"/>
        <w:spacing w:before="0" w:after="0"/>
        <w:rPr>
          <w:color w:val="000000" w:themeColor="text1"/>
          <w:sz w:val="16"/>
          <w:szCs w:val="16"/>
        </w:rPr>
      </w:pPr>
      <w:r w:rsidRPr="005E779E">
        <w:rPr>
          <w:color w:val="000000" w:themeColor="text1"/>
          <w:sz w:val="16"/>
          <w:szCs w:val="16"/>
        </w:rPr>
        <w:t>Коммунизация аппарата, институт выдвиженчества, чистка соваппарата, словом все проявления классовой борьбы рассматривались мною с точки зрения оторванного от действительности интеллигента, как поход власти против интеллигенции вообще, как ее «раскулачивание» и «уничтожение как класса».</w:t>
      </w:r>
    </w:p>
    <w:p w14:paraId="4611B8D5" w14:textId="77777777" w:rsidR="00435940" w:rsidRPr="005E779E" w:rsidRDefault="00435940" w:rsidP="000B7A6C">
      <w:pPr>
        <w:pStyle w:val="rtejustify"/>
        <w:spacing w:before="0" w:after="0"/>
        <w:rPr>
          <w:color w:val="000000" w:themeColor="text1"/>
          <w:sz w:val="16"/>
          <w:szCs w:val="16"/>
        </w:rPr>
      </w:pPr>
      <w:r w:rsidRPr="005E779E">
        <w:rPr>
          <w:color w:val="000000" w:themeColor="text1"/>
          <w:sz w:val="16"/>
          <w:szCs w:val="16"/>
        </w:rPr>
        <w:t>Я забывал о том, что острие этой политики было волей истории направлено не против интеллигенции как таковой, а против тех, кто не сумел свою волю объединить с коллективной волей миллионов.</w:t>
      </w:r>
    </w:p>
    <w:p w14:paraId="30EC96ED" w14:textId="77777777" w:rsidR="00435940" w:rsidRPr="005E779E" w:rsidRDefault="00435940" w:rsidP="000B7A6C">
      <w:pPr>
        <w:pStyle w:val="rtejustify"/>
        <w:spacing w:before="0" w:after="0"/>
        <w:rPr>
          <w:color w:val="000000" w:themeColor="text1"/>
          <w:sz w:val="16"/>
          <w:szCs w:val="16"/>
        </w:rPr>
      </w:pPr>
      <w:r w:rsidRPr="005E779E">
        <w:rPr>
          <w:color w:val="000000" w:themeColor="text1"/>
          <w:sz w:val="16"/>
          <w:szCs w:val="16"/>
        </w:rPr>
        <w:t>Забыв обо всем этом и припомнив свою самоотверженную деятельность в первом периоде, я почувствовал себя искренне обиженным за то недоверие, с которым приходилось встречаться все чаще и чаще в повседневной работе.</w:t>
      </w:r>
    </w:p>
    <w:p w14:paraId="7F66C9E0" w14:textId="77777777" w:rsidR="00435940" w:rsidRPr="005E779E" w:rsidRDefault="00435940" w:rsidP="000B7A6C">
      <w:pPr>
        <w:pStyle w:val="rtejustify"/>
        <w:spacing w:before="0" w:after="0"/>
        <w:rPr>
          <w:color w:val="000000" w:themeColor="text1"/>
          <w:sz w:val="16"/>
          <w:szCs w:val="16"/>
        </w:rPr>
      </w:pPr>
      <w:r w:rsidRPr="005E779E">
        <w:rPr>
          <w:color w:val="000000" w:themeColor="text1"/>
          <w:sz w:val="16"/>
          <w:szCs w:val="16"/>
        </w:rPr>
        <w:t>На основе этого во всех отношениях ложного чувства обиды, я попал под гипноз все еще интеллигентских представителей, таких же, как и я, оторвавшихся от масс интеллигентов, исповедующих примерно такую формулу: «Сколько ни работай, спасибо не заслужишь», «чем меньше дела берешь на себя, тем больше данных за то, что останешься цел». И т. д. и т. п. К этому прибавилось насильственно против моей воли и вообще вопреки здравому смыслу, под влиянием личных связей, осуществленное осенью 1929 г. стихийное соединение Строительно-Монтажного Бюро с трестом «Тепло и Сила». Я был основателем этого Бюро, директором с первого дня его основания.</w:t>
      </w:r>
    </w:p>
    <w:p w14:paraId="255B9707" w14:textId="77777777" w:rsidR="00435940" w:rsidRPr="005E779E" w:rsidRDefault="00435940" w:rsidP="000B7A6C">
      <w:pPr>
        <w:pStyle w:val="rtejustify"/>
        <w:spacing w:before="0" w:after="0"/>
        <w:rPr>
          <w:color w:val="000000" w:themeColor="text1"/>
          <w:sz w:val="16"/>
          <w:szCs w:val="16"/>
        </w:rPr>
      </w:pPr>
      <w:r w:rsidRPr="005E779E">
        <w:rPr>
          <w:color w:val="000000" w:themeColor="text1"/>
          <w:sz w:val="16"/>
          <w:szCs w:val="16"/>
        </w:rPr>
        <w:t>Я вложил в него огромное количество сил и любви и дело это рассматривал как развал. [...] Трест вообще представлял собой болотную организацию, за 6 лет в нем сменилось 26 членов правления. Началась борьба, о деле никто не думал, и оно шло самотеком. Началась переброска треста из одного объединения в другое [...]</w:t>
      </w:r>
    </w:p>
    <w:p w14:paraId="45BDBCBD" w14:textId="77777777" w:rsidR="00435940" w:rsidRPr="005E779E" w:rsidRDefault="00435940" w:rsidP="000B7A6C">
      <w:pPr>
        <w:pStyle w:val="rtejustify"/>
        <w:spacing w:before="0" w:after="0"/>
        <w:rPr>
          <w:color w:val="000000" w:themeColor="text1"/>
          <w:sz w:val="16"/>
          <w:szCs w:val="16"/>
        </w:rPr>
      </w:pPr>
      <w:r w:rsidRPr="005E779E">
        <w:rPr>
          <w:color w:val="000000" w:themeColor="text1"/>
          <w:sz w:val="16"/>
          <w:szCs w:val="16"/>
        </w:rPr>
        <w:t>Все это идет помимо меня, решается где-то в порядке личных связей, из руководителя, организатора, из человека, хорошо знающего свое дело, меня превращают в свидетеля гибели организации и неспособного ничего сделать. Исходя из окрепшей во мне уже к тому времени психологии, изложенной мной выше, этот чисто местный, склочный инцидент я распространил на все, и возвел его в систему обезличения и уничтожения инженера от руководства дела с оставлением за ним только ответственности за результат без права оперативно влиять на общий его ход.</w:t>
      </w:r>
    </w:p>
    <w:p w14:paraId="1AFE664B" w14:textId="77777777" w:rsidR="00435940" w:rsidRPr="005E779E" w:rsidRDefault="00435940" w:rsidP="000B7A6C">
      <w:pPr>
        <w:pStyle w:val="rtejustify"/>
        <w:spacing w:before="0" w:after="0"/>
        <w:rPr>
          <w:color w:val="000000" w:themeColor="text1"/>
          <w:sz w:val="16"/>
          <w:szCs w:val="16"/>
        </w:rPr>
      </w:pPr>
      <w:r w:rsidRPr="005E779E">
        <w:rPr>
          <w:color w:val="000000" w:themeColor="text1"/>
          <w:sz w:val="16"/>
          <w:szCs w:val="16"/>
        </w:rPr>
        <w:t>Далее мой единственный сын по окончании девятилетки в 1929 г. несмотря на то, что выдержал конкурсные экзамены в МВТУ, несмотря на то, что он сын специалиста, все же не был принят ни в осенний, ни в весенний набор. На почве этих, чисто служебных, чисто личных переживаний выросла и окрепла уверенность в том, что и вся страна переживает то же, и вся страна идет к гибели.</w:t>
      </w:r>
    </w:p>
    <w:p w14:paraId="2CA71799" w14:textId="77777777" w:rsidR="00435940" w:rsidRPr="005E779E" w:rsidRDefault="00435940" w:rsidP="000B7A6C">
      <w:pPr>
        <w:pStyle w:val="rtejustify"/>
        <w:spacing w:before="0" w:after="0"/>
        <w:rPr>
          <w:color w:val="000000" w:themeColor="text1"/>
          <w:sz w:val="16"/>
          <w:szCs w:val="16"/>
        </w:rPr>
      </w:pPr>
      <w:r w:rsidRPr="005E779E">
        <w:rPr>
          <w:color w:val="000000" w:themeColor="text1"/>
          <w:sz w:val="16"/>
          <w:szCs w:val="16"/>
        </w:rPr>
        <w:t>Я упорно оставался в таком убеждении, упорно отмахивался от окружающей меня действительности, бурного и грандиозного строительства, а будучи от природы человеком энергичным и деятельным, я не смог уйти в «болото», а постепенно стал изменять сам себе под воздействием авторитета Л. К. Рамзина, стал по ту сторону баррикады и стал в положение активного борца с Советской Властью.</w:t>
      </w:r>
    </w:p>
    <w:p w14:paraId="214125F2" w14:textId="77777777" w:rsidR="00435940" w:rsidRPr="005E779E" w:rsidRDefault="00435940" w:rsidP="000B7A6C">
      <w:pPr>
        <w:pStyle w:val="rtejustify"/>
        <w:spacing w:before="0" w:after="0"/>
        <w:rPr>
          <w:color w:val="000000" w:themeColor="text1"/>
          <w:sz w:val="16"/>
          <w:szCs w:val="16"/>
        </w:rPr>
      </w:pPr>
      <w:r w:rsidRPr="005E779E">
        <w:rPr>
          <w:color w:val="000000" w:themeColor="text1"/>
          <w:sz w:val="16"/>
          <w:szCs w:val="16"/>
        </w:rPr>
        <w:t>И теперь, продумав свою жизнь от начала и до конца, я отдаю себе ясный отчет в том, как могуча, непобедима истинно народная власть, Власть Советов, как безумны, ничтожно жалки и преступны все происки «Промпартии» против этой власти.</w:t>
      </w:r>
    </w:p>
    <w:p w14:paraId="5B5974D4" w14:textId="77777777" w:rsidR="00435940" w:rsidRPr="005E779E" w:rsidRDefault="00435940" w:rsidP="000B7A6C">
      <w:pPr>
        <w:pStyle w:val="rtejustify"/>
        <w:spacing w:before="0" w:after="0"/>
        <w:rPr>
          <w:color w:val="000000" w:themeColor="text1"/>
          <w:sz w:val="16"/>
          <w:szCs w:val="16"/>
        </w:rPr>
      </w:pPr>
      <w:r w:rsidRPr="005E779E">
        <w:rPr>
          <w:color w:val="000000" w:themeColor="text1"/>
          <w:sz w:val="16"/>
          <w:szCs w:val="16"/>
        </w:rPr>
        <w:t>Разоружившись до конца, признав безоговорочно, целиком и полностью всю тяжесть совершенных мной преступлений, нужно иметь гражданское мужество посмотреть правде в глаза.</w:t>
      </w:r>
    </w:p>
    <w:p w14:paraId="11E3C089" w14:textId="77777777" w:rsidR="00435940" w:rsidRPr="005E779E" w:rsidRDefault="00435940" w:rsidP="000B7A6C">
      <w:pPr>
        <w:pStyle w:val="rtejustify"/>
        <w:spacing w:before="0" w:after="0"/>
        <w:rPr>
          <w:color w:val="000000" w:themeColor="text1"/>
          <w:sz w:val="16"/>
          <w:szCs w:val="16"/>
        </w:rPr>
      </w:pPr>
      <w:r w:rsidRPr="005E779E">
        <w:rPr>
          <w:color w:val="000000" w:themeColor="text1"/>
          <w:sz w:val="16"/>
          <w:szCs w:val="16"/>
        </w:rPr>
        <w:t>Прямыми результатами этой ложной и во многом ошибочной психологии и совершенных на ее основе преступлений, являясь причиной опозоренности ни в чем неповинной семьи, разбита личная и втоптанная в грязь вся предыдущая трудовая жизнь. Два последних года погубили все, что создавалось трудом в течение 44 предыдущих лет.</w:t>
      </w:r>
    </w:p>
    <w:p w14:paraId="695E013D" w14:textId="77777777" w:rsidR="00435940" w:rsidRPr="005E779E" w:rsidRDefault="00435940" w:rsidP="000B7A6C">
      <w:pPr>
        <w:pStyle w:val="rtejustify"/>
        <w:spacing w:before="0" w:after="0"/>
        <w:rPr>
          <w:color w:val="000000" w:themeColor="text1"/>
          <w:sz w:val="16"/>
          <w:szCs w:val="16"/>
        </w:rPr>
      </w:pPr>
      <w:r w:rsidRPr="005E779E">
        <w:rPr>
          <w:color w:val="000000" w:themeColor="text1"/>
          <w:sz w:val="16"/>
          <w:szCs w:val="16"/>
        </w:rPr>
        <w:t>Мне ясно, что возврата к прошлому нет, среда из которой пришел я сюда не примет меня из страха скомпрометировать себя связью со мною, в нее я бы не вернулся ни при каких условиях. Советская общественность отбросила меня как тяжкого преступника, для которого нет места среди людей, с верой и энтузиазмом строящих социализм.</w:t>
      </w:r>
    </w:p>
    <w:p w14:paraId="56626736" w14:textId="77777777" w:rsidR="00435940" w:rsidRPr="005E779E" w:rsidRDefault="00435940" w:rsidP="000B7A6C">
      <w:pPr>
        <w:pStyle w:val="rtejustify"/>
        <w:spacing w:before="0" w:after="0"/>
        <w:rPr>
          <w:color w:val="000000" w:themeColor="text1"/>
          <w:sz w:val="16"/>
          <w:szCs w:val="16"/>
        </w:rPr>
      </w:pPr>
      <w:r w:rsidRPr="005E779E">
        <w:rPr>
          <w:color w:val="000000" w:themeColor="text1"/>
          <w:sz w:val="16"/>
          <w:szCs w:val="16"/>
        </w:rPr>
        <w:t>При таком положении, быть может, самым легким выходом был бы расстрел. Но не только из совершенно понятного чувства самосохранения, я прошу великодушно оставить мне жизнь, я хочу честным трудом при каких угодно условиях отдать себя целиком служению интересов рабочего класса, заслужить его прощение и смыть с себя грязь и позор последних лет своей преступной работы.</w:t>
      </w:r>
    </w:p>
    <w:p w14:paraId="181E6B98" w14:textId="77777777" w:rsidR="00435940" w:rsidRPr="005E779E" w:rsidRDefault="00435940" w:rsidP="000B7A6C">
      <w:pPr>
        <w:pStyle w:val="ae"/>
        <w:spacing w:before="0" w:after="0"/>
        <w:jc w:val="both"/>
        <w:rPr>
          <w:color w:val="000000" w:themeColor="text1"/>
          <w:sz w:val="16"/>
          <w:szCs w:val="16"/>
        </w:rPr>
      </w:pPr>
      <w:r w:rsidRPr="005E779E">
        <w:rPr>
          <w:color w:val="000000" w:themeColor="text1"/>
          <w:sz w:val="16"/>
          <w:szCs w:val="16"/>
        </w:rPr>
        <w:t>Сергей Алексеевич Предтеченский</w:t>
      </w:r>
    </w:p>
    <w:p w14:paraId="62126C0D" w14:textId="77777777" w:rsidR="00435940" w:rsidRPr="005E779E" w:rsidRDefault="00435940" w:rsidP="000B7A6C">
      <w:pPr>
        <w:pStyle w:val="ae"/>
        <w:spacing w:before="0" w:after="0"/>
        <w:jc w:val="both"/>
        <w:rPr>
          <w:color w:val="000000" w:themeColor="text1"/>
          <w:sz w:val="16"/>
          <w:szCs w:val="16"/>
        </w:rPr>
      </w:pPr>
      <w:r w:rsidRPr="005E779E">
        <w:rPr>
          <w:color w:val="000000" w:themeColor="text1"/>
          <w:sz w:val="16"/>
          <w:szCs w:val="16"/>
        </w:rPr>
        <w:t>25/1-31 г.</w:t>
      </w:r>
    </w:p>
    <w:p w14:paraId="77C813A6" w14:textId="77777777" w:rsidR="00435940" w:rsidRPr="005E779E" w:rsidRDefault="00435940" w:rsidP="000B7A6C">
      <w:pPr>
        <w:pStyle w:val="ae"/>
        <w:spacing w:before="0" w:after="0"/>
        <w:jc w:val="both"/>
        <w:rPr>
          <w:color w:val="000000" w:themeColor="text1"/>
          <w:sz w:val="16"/>
          <w:szCs w:val="16"/>
        </w:rPr>
      </w:pPr>
      <w:r w:rsidRPr="005E779E">
        <w:rPr>
          <w:rStyle w:val="af0"/>
          <w:i w:val="0"/>
          <w:color w:val="000000" w:themeColor="text1"/>
          <w:sz w:val="16"/>
          <w:szCs w:val="16"/>
        </w:rPr>
        <w:t>ЦА ФСБ РФ. Ф. Р-42280. Т. 3. Л. 349-355 об. Рукописный подлинник, автограф С. А. Предтеченского (18747).</w:t>
      </w:r>
    </w:p>
    <w:p w14:paraId="51A6BAD8" w14:textId="77777777" w:rsidR="00435940" w:rsidRPr="005E779E" w:rsidRDefault="00435940" w:rsidP="000B7A6C">
      <w:pPr>
        <w:spacing w:after="0" w:line="240" w:lineRule="auto"/>
        <w:jc w:val="both"/>
        <w:rPr>
          <w:rFonts w:ascii="Times New Roman" w:hAnsi="Times New Roman"/>
          <w:color w:val="000000" w:themeColor="text1"/>
          <w:sz w:val="16"/>
          <w:szCs w:val="16"/>
        </w:rPr>
      </w:pPr>
    </w:p>
    <w:p w14:paraId="045ACDE9"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2A9A042A"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19E92A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 января 1931 был принят эскизный проект танка-гибрида, выполненный на основании чертежей Т-19 и В-26. В заключении комиссии го</w:t>
      </w:r>
      <w:r w:rsidRPr="005E779E">
        <w:rPr>
          <w:rFonts w:ascii="Times New Roman" w:hAnsi="Times New Roman"/>
          <w:color w:val="000000" w:themeColor="text1"/>
          <w:sz w:val="16"/>
          <w:szCs w:val="16"/>
        </w:rPr>
        <w:softHyphen/>
        <w:t>ворилось, что изготовление такого танка сделает его не только более мощным, чем В-26, но и «...более дешевым, а также простым в производстве, чем простое копирование уже не новой английской машины...» (10733,169)</w:t>
      </w:r>
    </w:p>
    <w:p w14:paraId="6B6CF0E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61A3E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 января 1931 г. было написано распоряжение И. Халепского С. Гинзбургу. В нем, в час</w:t>
      </w:r>
      <w:r w:rsidRPr="005E779E">
        <w:rPr>
          <w:rFonts w:ascii="Times New Roman" w:hAnsi="Times New Roman"/>
          <w:color w:val="000000" w:themeColor="text1"/>
          <w:sz w:val="16"/>
          <w:szCs w:val="16"/>
        </w:rPr>
        <w:softHyphen/>
        <w:t xml:space="preserve">тности, говорится: «...по имеющимся в штабе агент[урным] данным,... польское правительство ведет закупки образцов 6-тонного танка типа Виккерс и 10-тонного быстроходного танка типа Кристи и усиленно готовится их массовому </w:t>
      </w:r>
      <w:r w:rsidRPr="005E779E">
        <w:rPr>
          <w:rFonts w:ascii="Times New Roman" w:hAnsi="Times New Roman"/>
          <w:color w:val="000000" w:themeColor="text1"/>
          <w:sz w:val="16"/>
          <w:szCs w:val="16"/>
        </w:rPr>
        <w:lastRenderedPageBreak/>
        <w:t>про</w:t>
      </w:r>
      <w:r w:rsidRPr="005E779E">
        <w:rPr>
          <w:rFonts w:ascii="Times New Roman" w:hAnsi="Times New Roman"/>
          <w:color w:val="000000" w:themeColor="text1"/>
          <w:sz w:val="16"/>
          <w:szCs w:val="16"/>
        </w:rPr>
        <w:softHyphen/>
        <w:t>изводству... Тов. Ворошилов, тов. Эйдеманн и тов. Тухачев</w:t>
      </w:r>
      <w:r w:rsidRPr="005E779E">
        <w:rPr>
          <w:rFonts w:ascii="Times New Roman" w:hAnsi="Times New Roman"/>
          <w:color w:val="000000" w:themeColor="text1"/>
          <w:sz w:val="16"/>
          <w:szCs w:val="16"/>
        </w:rPr>
        <w:softHyphen/>
        <w:t>ский согласны, что используя англ[ийско] -французскую] помощь поляки в состоянии сделать уже к концу текущего года более 300 шт. легких 6-тонных англ. танков и до 100 шт. средних танков типа Кристи... В следующем году они могут и удвоить это число...</w:t>
      </w:r>
    </w:p>
    <w:p w14:paraId="35D9CFB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Это может дать им в руки большие козыри с точки зре-использования бронесил, которыми они не преминут воспользоваться, [так как] танки типа Кристи... как нельзя лучше подходят для ведения маневренной войны на просторах СССр... Таким образом Совет счел целесообразным... рас</w:t>
      </w:r>
      <w:r w:rsidRPr="005E779E">
        <w:rPr>
          <w:rFonts w:ascii="Times New Roman" w:hAnsi="Times New Roman"/>
          <w:color w:val="000000" w:themeColor="text1"/>
          <w:sz w:val="16"/>
          <w:szCs w:val="16"/>
        </w:rPr>
        <w:softHyphen/>
        <w:t>смотреть вопрос о принятии на вооружение КА вышеозначен</w:t>
      </w:r>
      <w:r w:rsidRPr="005E779E">
        <w:rPr>
          <w:rFonts w:ascii="Times New Roman" w:hAnsi="Times New Roman"/>
          <w:color w:val="000000" w:themeColor="text1"/>
          <w:sz w:val="16"/>
          <w:szCs w:val="16"/>
        </w:rPr>
        <w:softHyphen/>
        <w:t>ных иностранных танков и начать их выпуск немедленно как они есть - не дожидаясь окончания опытных работ, чтобы при необходимости нанести отпор возможной агрессии...» (10733,172).</w:t>
      </w:r>
    </w:p>
    <w:p w14:paraId="0002E14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87FD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 января 1931 г. вышло письмо-распоряжение И. Халепского С. Гинзбургу. В нем говорится:</w:t>
      </w:r>
    </w:p>
    <w:p w14:paraId="41050E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имеющимся в штабе агентурным данным, польское правительство ведет закупки 6-тонного танка типа Виккерс и 10-тонного быстроходного танка Кристи и усиленно готовится к их производству.</w:t>
      </w:r>
    </w:p>
    <w:p w14:paraId="7A0E41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Тов. Ворошилов, тов. Эйдеманн и тов. Тухачевский согласны, что используя англо-французскую помощь поляки в состоянии сделать уже к концу текущего года более 300 шт. легких 6-тонных англ. танков и до 100 шт. средних танков Кристи. В след. году они могут удвоить это число.</w:t>
      </w:r>
    </w:p>
    <w:p w14:paraId="0FEAE9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Таким образом Совет счел целесообразным рассмотреть вопрос о принятии на вооружение КА вышеозначенных танков и начать их выпуск немедленно как они есть — не дожидаясь окончания опытных работ, чтобы при необходимости нанести отпор возможной агрессии» (11809).</w:t>
      </w:r>
    </w:p>
    <w:p w14:paraId="420EBF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ACB21AF" w14:textId="77777777" w:rsidR="006C4450" w:rsidRPr="005E779E" w:rsidRDefault="006C4450"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Внешняя политика:</w:t>
      </w:r>
    </w:p>
    <w:p w14:paraId="6DD81BF3" w14:textId="77777777" w:rsidR="006C4450" w:rsidRPr="005E779E" w:rsidRDefault="006C4450"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6B53044" w14:textId="77777777" w:rsidR="006C4450" w:rsidRPr="005E779E" w:rsidRDefault="006C4450"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26 января 1931 г.</w:t>
      </w:r>
    </w:p>
    <w:p w14:paraId="40096543" w14:textId="77777777" w:rsidR="006C4450" w:rsidRPr="005E779E" w:rsidRDefault="006C4450"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Письмо заместителя наркома иностранных дел СССР Н. Н. Крестинского полпреду СССР во Франции В. С. Довгалевскому. 26 января 1931 г.</w:t>
      </w:r>
    </w:p>
    <w:p w14:paraId="437E9CE6" w14:textId="77777777" w:rsidR="006C4450" w:rsidRPr="005E779E" w:rsidRDefault="006C4450"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Источник: </w:t>
      </w:r>
    </w:p>
    <w:p w14:paraId="6B55EA0F"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A013EBA" w14:textId="77777777" w:rsidR="006C4450" w:rsidRPr="005E779E" w:rsidRDefault="006C4450"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Архив: </w:t>
      </w:r>
    </w:p>
    <w:p w14:paraId="7CD05A61"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АВП РФ. Ф. 010. On. 2. П. 13а. Д. 232. Л. 6-7</w:t>
      </w:r>
    </w:p>
    <w:p w14:paraId="60284242" w14:textId="77777777" w:rsidR="006C4450" w:rsidRPr="005E779E" w:rsidRDefault="006C4450" w:rsidP="000B7A6C">
      <w:pPr>
        <w:pStyle w:val="rteright"/>
        <w:spacing w:before="0" w:after="0"/>
        <w:jc w:val="both"/>
        <w:rPr>
          <w:color w:val="000000" w:themeColor="text1"/>
          <w:sz w:val="16"/>
          <w:szCs w:val="16"/>
        </w:rPr>
      </w:pPr>
      <w:r w:rsidRPr="005E779E">
        <w:rPr>
          <w:color w:val="000000" w:themeColor="text1"/>
          <w:sz w:val="16"/>
          <w:szCs w:val="16"/>
        </w:rPr>
        <w:t>26 января 1931 г.</w:t>
      </w:r>
    </w:p>
    <w:p w14:paraId="0382C41C" w14:textId="77777777" w:rsidR="006C4450" w:rsidRPr="005E779E" w:rsidRDefault="006C4450" w:rsidP="000B7A6C">
      <w:pPr>
        <w:pStyle w:val="rteright"/>
        <w:spacing w:before="0" w:after="0"/>
        <w:jc w:val="both"/>
        <w:rPr>
          <w:color w:val="000000" w:themeColor="text1"/>
          <w:sz w:val="16"/>
          <w:szCs w:val="16"/>
        </w:rPr>
      </w:pPr>
      <w:r w:rsidRPr="005E779E">
        <w:rPr>
          <w:color w:val="000000" w:themeColor="text1"/>
          <w:sz w:val="16"/>
          <w:szCs w:val="16"/>
        </w:rPr>
        <w:t>Секретно</w:t>
      </w:r>
    </w:p>
    <w:p w14:paraId="4AAA0963" w14:textId="77777777" w:rsidR="006C4450" w:rsidRPr="005E779E" w:rsidRDefault="006C4450" w:rsidP="000B7A6C">
      <w:pPr>
        <w:pStyle w:val="rteright"/>
        <w:spacing w:before="0" w:after="0"/>
        <w:jc w:val="both"/>
        <w:rPr>
          <w:color w:val="000000" w:themeColor="text1"/>
          <w:sz w:val="16"/>
          <w:szCs w:val="16"/>
        </w:rPr>
      </w:pPr>
      <w:r w:rsidRPr="005E779E">
        <w:rPr>
          <w:color w:val="000000" w:themeColor="text1"/>
          <w:sz w:val="16"/>
          <w:szCs w:val="16"/>
        </w:rPr>
        <w:t>Лично</w:t>
      </w:r>
    </w:p>
    <w:p w14:paraId="7837030A" w14:textId="77777777" w:rsidR="006C4450" w:rsidRPr="005E779E" w:rsidRDefault="006C4450" w:rsidP="000B7A6C">
      <w:pPr>
        <w:pStyle w:val="ae"/>
        <w:spacing w:before="0" w:after="0"/>
        <w:jc w:val="both"/>
        <w:rPr>
          <w:color w:val="000000" w:themeColor="text1"/>
          <w:sz w:val="16"/>
          <w:szCs w:val="16"/>
        </w:rPr>
      </w:pPr>
      <w:r w:rsidRPr="005E779E">
        <w:rPr>
          <w:color w:val="000000" w:themeColor="text1"/>
          <w:sz w:val="16"/>
          <w:szCs w:val="16"/>
        </w:rPr>
        <w:t>Полномочному Представителю СССР во Франции</w:t>
      </w:r>
    </w:p>
    <w:p w14:paraId="717C7BEF" w14:textId="77777777" w:rsidR="006C4450" w:rsidRPr="005E779E" w:rsidRDefault="006C4450" w:rsidP="000B7A6C">
      <w:pPr>
        <w:pStyle w:val="ae"/>
        <w:spacing w:before="0" w:after="0"/>
        <w:jc w:val="both"/>
        <w:rPr>
          <w:color w:val="000000" w:themeColor="text1"/>
          <w:sz w:val="16"/>
          <w:szCs w:val="16"/>
        </w:rPr>
      </w:pPr>
      <w:r w:rsidRPr="005E779E">
        <w:rPr>
          <w:color w:val="000000" w:themeColor="text1"/>
          <w:sz w:val="16"/>
          <w:szCs w:val="16"/>
        </w:rPr>
        <w:t>тов. ДОВГАЛЕВСКОМУ</w:t>
      </w:r>
    </w:p>
    <w:p w14:paraId="4FAB6FD7" w14:textId="77777777" w:rsidR="006C4450" w:rsidRPr="005E779E" w:rsidRDefault="006C4450" w:rsidP="000B7A6C">
      <w:pPr>
        <w:pStyle w:val="rtejustify"/>
        <w:spacing w:before="0" w:after="0"/>
        <w:rPr>
          <w:color w:val="000000" w:themeColor="text1"/>
          <w:sz w:val="16"/>
          <w:szCs w:val="16"/>
        </w:rPr>
      </w:pPr>
      <w:r w:rsidRPr="005E779E">
        <w:rPr>
          <w:color w:val="000000" w:themeColor="text1"/>
          <w:sz w:val="16"/>
          <w:szCs w:val="16"/>
        </w:rPr>
        <w:t>Многоуважаемый Валериан Савельевич,</w:t>
      </w:r>
    </w:p>
    <w:p w14:paraId="7EEE7A38" w14:textId="77777777" w:rsidR="006C4450" w:rsidRPr="005E779E" w:rsidRDefault="006C4450" w:rsidP="000B7A6C">
      <w:pPr>
        <w:pStyle w:val="rtejustify"/>
        <w:spacing w:before="0" w:after="0"/>
        <w:rPr>
          <w:color w:val="000000" w:themeColor="text1"/>
          <w:sz w:val="16"/>
          <w:szCs w:val="16"/>
        </w:rPr>
      </w:pPr>
      <w:r w:rsidRPr="005E779E">
        <w:rPr>
          <w:color w:val="000000" w:themeColor="text1"/>
          <w:sz w:val="16"/>
          <w:szCs w:val="16"/>
        </w:rPr>
        <w:t>Вы знаете из телеграммы Максима Максимовича и из посылаемой им Вам записи разговора с Эрбеттом, что на днях у него был Эрбетт, передавал по поручению Бриана мотивы, по которым Бриан возражал против немедленного приглашения нас в качестве полноправного члена в европейскую комиссию. Мотивы эти того же формального характера, какие мы знали из прессы.</w:t>
      </w:r>
    </w:p>
    <w:p w14:paraId="1DD3C4DC" w14:textId="77777777" w:rsidR="006C4450" w:rsidRPr="005E779E" w:rsidRDefault="006C4450" w:rsidP="000B7A6C">
      <w:pPr>
        <w:pStyle w:val="rtejustify"/>
        <w:spacing w:before="0" w:after="0"/>
        <w:rPr>
          <w:color w:val="000000" w:themeColor="text1"/>
          <w:sz w:val="16"/>
          <w:szCs w:val="16"/>
        </w:rPr>
      </w:pPr>
      <w:r w:rsidRPr="005E779E">
        <w:rPr>
          <w:color w:val="000000" w:themeColor="text1"/>
          <w:sz w:val="16"/>
          <w:szCs w:val="16"/>
        </w:rPr>
        <w:t>Существующего между нами конфликта в связи с процессом промпартии и нашим требованием об отзыве Киэфера Эрбетт не коснулся.</w:t>
      </w:r>
    </w:p>
    <w:p w14:paraId="6033F1FA" w14:textId="77777777" w:rsidR="006C4450" w:rsidRPr="005E779E" w:rsidRDefault="006C4450" w:rsidP="000B7A6C">
      <w:pPr>
        <w:pStyle w:val="rtejustify"/>
        <w:spacing w:before="0" w:after="0"/>
        <w:rPr>
          <w:color w:val="000000" w:themeColor="text1"/>
          <w:sz w:val="16"/>
          <w:szCs w:val="16"/>
        </w:rPr>
      </w:pPr>
      <w:r w:rsidRPr="005E779E">
        <w:rPr>
          <w:color w:val="000000" w:themeColor="text1"/>
          <w:sz w:val="16"/>
          <w:szCs w:val="16"/>
        </w:rPr>
        <w:t>Сегодня он просился ко мне, я его приму завтра, думаю, что разговор будет касаться различных малоинтересных текущих дел.</w:t>
      </w:r>
    </w:p>
    <w:p w14:paraId="43D6FDA7" w14:textId="77777777" w:rsidR="006C4450" w:rsidRPr="005E779E" w:rsidRDefault="006C4450" w:rsidP="000B7A6C">
      <w:pPr>
        <w:pStyle w:val="rtejustify"/>
        <w:spacing w:before="0" w:after="0"/>
        <w:rPr>
          <w:color w:val="000000" w:themeColor="text1"/>
          <w:sz w:val="16"/>
          <w:szCs w:val="16"/>
        </w:rPr>
      </w:pPr>
      <w:r w:rsidRPr="005E779E">
        <w:rPr>
          <w:color w:val="000000" w:themeColor="text1"/>
          <w:sz w:val="16"/>
          <w:szCs w:val="16"/>
        </w:rPr>
        <w:t>На днях мы дали французам понять, что мы не склонны рассматривать Киэфера, как полноправного члена дипкорпуса. У Айви Вальтеровны был чайный прием для дипкорпуса. Обычно в каждое посольство мы посылаем два приглашения — одно для шефа миссии с его женой, другое для всех остальных членов данного посольства. На этот раз мы сделали для французского посольства исключение и послали именные приглашения каждому из членов посольства, за исключением Киэфера. Мы допускали, что Эрбетт примет вызов и в виде демонстрации не явится на прием. Он, однако, примирился с изъятием Киэфера. Все французское посольство, за исключением Киэфера, в полном составе пришло на прием и держало себя очень скромно.</w:t>
      </w:r>
    </w:p>
    <w:p w14:paraId="29CDD6D9" w14:textId="77777777" w:rsidR="006C4450" w:rsidRPr="005E779E" w:rsidRDefault="006C4450" w:rsidP="000B7A6C">
      <w:pPr>
        <w:pStyle w:val="rtejustify"/>
        <w:spacing w:before="0" w:after="0"/>
        <w:rPr>
          <w:color w:val="000000" w:themeColor="text1"/>
          <w:sz w:val="16"/>
          <w:szCs w:val="16"/>
        </w:rPr>
      </w:pPr>
      <w:r w:rsidRPr="005E779E">
        <w:rPr>
          <w:color w:val="000000" w:themeColor="text1"/>
          <w:sz w:val="16"/>
          <w:szCs w:val="16"/>
        </w:rPr>
        <w:t>В связи с данным Вам поручением пойти к Вертело и ребром поставить вопрос о Киэфере, можно надеяться, что существующая между нами и Францией неопределенность в отношениях кончится, наконец, в ту или другую сторону.</w:t>
      </w:r>
    </w:p>
    <w:p w14:paraId="58B7FAE1" w14:textId="77777777" w:rsidR="006C4450" w:rsidRPr="005E779E" w:rsidRDefault="006C4450" w:rsidP="000B7A6C">
      <w:pPr>
        <w:pStyle w:val="rtejustify"/>
        <w:spacing w:before="0" w:after="0"/>
        <w:rPr>
          <w:color w:val="000000" w:themeColor="text1"/>
          <w:sz w:val="16"/>
          <w:szCs w:val="16"/>
        </w:rPr>
      </w:pPr>
      <w:r w:rsidRPr="005E779E">
        <w:rPr>
          <w:color w:val="000000" w:themeColor="text1"/>
          <w:sz w:val="16"/>
          <w:szCs w:val="16"/>
        </w:rPr>
        <w:t>Если францпра заявит о своей готовности отозвать Киэфера, можно будет поставить на очередь другие наши дела, в частности дать ответ на французский экономический меморандум от 22 ноября. Ответ у нас уже подготовлен, но мы решили ждать до урегулирования основного вопроса.</w:t>
      </w:r>
    </w:p>
    <w:p w14:paraId="25205E7C" w14:textId="77777777" w:rsidR="006C4450" w:rsidRPr="005E779E" w:rsidRDefault="006C4450" w:rsidP="000B7A6C">
      <w:pPr>
        <w:pStyle w:val="ae"/>
        <w:spacing w:before="0" w:after="0"/>
        <w:jc w:val="both"/>
        <w:rPr>
          <w:color w:val="000000" w:themeColor="text1"/>
          <w:sz w:val="16"/>
          <w:szCs w:val="16"/>
        </w:rPr>
      </w:pPr>
      <w:r w:rsidRPr="005E779E">
        <w:rPr>
          <w:color w:val="000000" w:themeColor="text1"/>
          <w:sz w:val="16"/>
          <w:szCs w:val="16"/>
        </w:rPr>
        <w:t>В товарищеским приветом</w:t>
      </w:r>
    </w:p>
    <w:p w14:paraId="65D57F3B" w14:textId="77777777" w:rsidR="006C4450" w:rsidRPr="005E779E" w:rsidRDefault="006C4450" w:rsidP="000B7A6C">
      <w:pPr>
        <w:pStyle w:val="ae"/>
        <w:spacing w:before="0" w:after="0"/>
        <w:jc w:val="both"/>
        <w:rPr>
          <w:color w:val="000000" w:themeColor="text1"/>
          <w:sz w:val="16"/>
          <w:szCs w:val="16"/>
        </w:rPr>
      </w:pPr>
      <w:r w:rsidRPr="005E779E">
        <w:rPr>
          <w:color w:val="000000" w:themeColor="text1"/>
          <w:sz w:val="16"/>
          <w:szCs w:val="16"/>
        </w:rPr>
        <w:t>(Н. Крестинский)</w:t>
      </w:r>
    </w:p>
    <w:p w14:paraId="4A7EDF83" w14:textId="77777777" w:rsidR="006C4450" w:rsidRPr="005E779E" w:rsidRDefault="006C4450" w:rsidP="000B7A6C">
      <w:pPr>
        <w:pStyle w:val="ae"/>
        <w:spacing w:before="0" w:after="0"/>
        <w:jc w:val="both"/>
        <w:rPr>
          <w:color w:val="000000" w:themeColor="text1"/>
          <w:sz w:val="16"/>
          <w:szCs w:val="16"/>
        </w:rPr>
      </w:pPr>
      <w:r w:rsidRPr="005E779E">
        <w:rPr>
          <w:rStyle w:val="af0"/>
          <w:i w:val="0"/>
          <w:color w:val="000000" w:themeColor="text1"/>
          <w:sz w:val="16"/>
          <w:szCs w:val="16"/>
        </w:rPr>
        <w:t>АВП</w:t>
      </w:r>
      <w:r w:rsidRPr="005E779E">
        <w:rPr>
          <w:rStyle w:val="af0"/>
          <w:i w:val="0"/>
          <w:color w:val="000000" w:themeColor="text1"/>
          <w:sz w:val="16"/>
          <w:szCs w:val="16"/>
          <w:lang w:val="en-US"/>
        </w:rPr>
        <w:t xml:space="preserve"> </w:t>
      </w:r>
      <w:r w:rsidRPr="005E779E">
        <w:rPr>
          <w:rStyle w:val="af0"/>
          <w:i w:val="0"/>
          <w:color w:val="000000" w:themeColor="text1"/>
          <w:sz w:val="16"/>
          <w:szCs w:val="16"/>
        </w:rPr>
        <w:t>РФ</w:t>
      </w:r>
      <w:r w:rsidRPr="005E779E">
        <w:rPr>
          <w:rStyle w:val="af0"/>
          <w:i w:val="0"/>
          <w:color w:val="000000" w:themeColor="text1"/>
          <w:sz w:val="16"/>
          <w:szCs w:val="16"/>
          <w:lang w:val="en-US"/>
        </w:rPr>
        <w:t xml:space="preserve">. </w:t>
      </w:r>
      <w:r w:rsidRPr="005E779E">
        <w:rPr>
          <w:rStyle w:val="af0"/>
          <w:i w:val="0"/>
          <w:color w:val="000000" w:themeColor="text1"/>
          <w:sz w:val="16"/>
          <w:szCs w:val="16"/>
        </w:rPr>
        <w:t>Ф</w:t>
      </w:r>
      <w:r w:rsidRPr="005E779E">
        <w:rPr>
          <w:rStyle w:val="af0"/>
          <w:i w:val="0"/>
          <w:color w:val="000000" w:themeColor="text1"/>
          <w:sz w:val="16"/>
          <w:szCs w:val="16"/>
          <w:lang w:val="en-US"/>
        </w:rPr>
        <w:t xml:space="preserve">. 010. On. 2. </w:t>
      </w:r>
      <w:r w:rsidRPr="005E779E">
        <w:rPr>
          <w:rStyle w:val="af0"/>
          <w:i w:val="0"/>
          <w:color w:val="000000" w:themeColor="text1"/>
          <w:sz w:val="16"/>
          <w:szCs w:val="16"/>
        </w:rPr>
        <w:t>П</w:t>
      </w:r>
      <w:r w:rsidRPr="005E779E">
        <w:rPr>
          <w:rStyle w:val="af0"/>
          <w:i w:val="0"/>
          <w:color w:val="000000" w:themeColor="text1"/>
          <w:sz w:val="16"/>
          <w:szCs w:val="16"/>
          <w:lang w:val="en-US"/>
        </w:rPr>
        <w:t>. 13</w:t>
      </w:r>
      <w:r w:rsidRPr="005E779E">
        <w:rPr>
          <w:rStyle w:val="af0"/>
          <w:i w:val="0"/>
          <w:color w:val="000000" w:themeColor="text1"/>
          <w:sz w:val="16"/>
          <w:szCs w:val="16"/>
        </w:rPr>
        <w:t>а</w:t>
      </w:r>
      <w:r w:rsidRPr="005E779E">
        <w:rPr>
          <w:rStyle w:val="af0"/>
          <w:i w:val="0"/>
          <w:color w:val="000000" w:themeColor="text1"/>
          <w:sz w:val="16"/>
          <w:szCs w:val="16"/>
          <w:lang w:val="en-US"/>
        </w:rPr>
        <w:t xml:space="preserve">. </w:t>
      </w:r>
      <w:r w:rsidRPr="005E779E">
        <w:rPr>
          <w:rStyle w:val="af0"/>
          <w:i w:val="0"/>
          <w:color w:val="000000" w:themeColor="text1"/>
          <w:sz w:val="16"/>
          <w:szCs w:val="16"/>
        </w:rPr>
        <w:t>Д. 232. Л. 6-7. Машинописная копия того времени. На Л. 6 вверху справа напечатаны дата и номер «К/44549», ниже «Секретно» «Лично». Вверху по центру напечатано «Экз. 6» (цифра вписана от руки). На Л. 7 внизу слева машинописью делопроизводственная помета о количестве распечатанных экземпляров (6) и адрес рассылки «1 — адресату, 2 — т. Литвинову], 3 — т. Кар[ахану], 4 — т. Стом[онякову], 5 — т. Рубинину, 6 — в дело» (перед фамилией Рубинина забито ранее напечатанное «Штейну ») (18811).</w:t>
      </w:r>
    </w:p>
    <w:p w14:paraId="00517FB5" w14:textId="77777777" w:rsidR="006C4450" w:rsidRPr="005E779E" w:rsidRDefault="006C4450" w:rsidP="000B7A6C">
      <w:pPr>
        <w:spacing w:after="0" w:line="240" w:lineRule="auto"/>
        <w:jc w:val="both"/>
        <w:rPr>
          <w:rFonts w:ascii="Times New Roman" w:hAnsi="Times New Roman"/>
          <w:color w:val="000000" w:themeColor="text1"/>
          <w:sz w:val="16"/>
          <w:szCs w:val="16"/>
        </w:rPr>
      </w:pPr>
    </w:p>
    <w:p w14:paraId="519CF16F"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0CE70F63"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7460596" w14:textId="77777777" w:rsidR="00F61E12" w:rsidRPr="005E779E" w:rsidRDefault="00F61E12"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26 января</w:t>
      </w:r>
      <w:r w:rsidRPr="005E779E">
        <w:rPr>
          <w:rFonts w:ascii="Times New Roman" w:hAnsi="Times New Roman"/>
          <w:color w:val="000000" w:themeColor="text1"/>
          <w:sz w:val="16"/>
          <w:szCs w:val="16"/>
        </w:rPr>
        <w:t xml:space="preserve"> в 1931 году прототип чешского разведывательного самолета </w:t>
      </w:r>
      <w:hyperlink r:id="rId8" w:tgtFrame="_blank" w:history="1">
        <w:r w:rsidRPr="005E779E">
          <w:rPr>
            <w:rFonts w:ascii="Times New Roman" w:hAnsi="Times New Roman"/>
            <w:color w:val="000000" w:themeColor="text1"/>
            <w:sz w:val="16"/>
            <w:szCs w:val="16"/>
          </w:rPr>
          <w:t xml:space="preserve">«Letov» «S-128» </w:t>
        </w:r>
      </w:hyperlink>
      <w:r w:rsidRPr="005E779E">
        <w:rPr>
          <w:rFonts w:ascii="Times New Roman" w:hAnsi="Times New Roman"/>
          <w:color w:val="000000" w:themeColor="text1"/>
          <w:sz w:val="16"/>
          <w:szCs w:val="16"/>
        </w:rPr>
        <w:t>совершил свой первый полет. Всего было выпущено 19 самолетов, из которых 16 в период с 1932 по 1933 гг. приняли на вооружение военно-воздушные силы Чехословакии. «Letov» «S-128» - лучшенный вариант самолета «Letov» «S-28», оснащенный двигателем «Walter» "Jupiter VI» мощностью 330 кВт (450 л.с.), получил обозначение «S-128». Он был вооружен одним стационарным пулеметом vz. 28 и подвижным сдвоенным пулеметом того же калибра. Конструкция «S-128» не отличалась замечательными нововведениями. Причиной серийного производства были не летно-технические характеристики, не необходимость военно-воздушных сил в машине со сравнительно слабыми боевыми характеристиками. Просто компания «Letov» была в очень неблагоприятной ситуации, не было заказов, и заказ был для нее, как и во многих случаях до этого, экстренной помощью (15021).</w:t>
      </w:r>
    </w:p>
    <w:p w14:paraId="7450FCF1" w14:textId="77777777" w:rsidR="00F61E12" w:rsidRPr="005E779E" w:rsidRDefault="00F61E12" w:rsidP="000B7A6C">
      <w:pPr>
        <w:spacing w:after="0" w:line="240" w:lineRule="auto"/>
        <w:jc w:val="both"/>
        <w:rPr>
          <w:rFonts w:ascii="Times New Roman" w:hAnsi="Times New Roman"/>
          <w:color w:val="000000" w:themeColor="text1"/>
          <w:sz w:val="16"/>
          <w:szCs w:val="16"/>
        </w:rPr>
      </w:pPr>
    </w:p>
    <w:p w14:paraId="5075810C" w14:textId="79ABE85E" w:rsidR="00B93B98" w:rsidRPr="005E779E" w:rsidRDefault="00B93B9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 января 1931 - Прототип чешского разведывательного самолета Letov S-128</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совершил свой первый полет. Всего было выпущено 19 самолетов, из которых 16 в период с 1932 по 1933 гг. приняли на вооружение военно-воздушные силы Чехословакии. Letov S-128 - лучшенный вариант самолета Letov S-28, оснащенный двигателем Walter "Jupiter" VI мощностью 330 кВт (450 л.с.), получил обозначение S-128. Он был вооружен одним стационарным пулеметом vz. 28 и подвижным сдвоенным пулеметом того же калибра.</w:t>
      </w:r>
    </w:p>
    <w:p w14:paraId="46E48778" w14:textId="77777777" w:rsidR="00B93B98" w:rsidRPr="005E779E" w:rsidRDefault="00B93B9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Конструкция S-128 не отличалась замечательными нововведениями. Причиной серийного производства были не летно-технические характеристики, не необходимость военно-воздушных сил в машине со сравнительно слабыми боевыми характеристиками. Просто компания Letov была в очень неблагоприятной ситуации, не было заказов, и заказ был для нее, как и во многих случаях до этого, экстренной помощью (22643).</w:t>
      </w:r>
    </w:p>
    <w:p w14:paraId="482DE5D4" w14:textId="77777777" w:rsidR="00B93B98" w:rsidRPr="005E779E" w:rsidRDefault="00B93B98" w:rsidP="000B7A6C">
      <w:pPr>
        <w:spacing w:after="0" w:line="240" w:lineRule="auto"/>
        <w:jc w:val="both"/>
        <w:rPr>
          <w:rFonts w:ascii="Times New Roman" w:hAnsi="Times New Roman"/>
          <w:color w:val="000000" w:themeColor="text1"/>
          <w:sz w:val="16"/>
          <w:szCs w:val="16"/>
        </w:rPr>
      </w:pPr>
    </w:p>
    <w:p w14:paraId="6204A5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 января 1931 в Индии М.Ганди был освобожден из Тюрьмы для переговоров с правительством (3907,167).</w:t>
      </w:r>
    </w:p>
    <w:p w14:paraId="6744AA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05260D7"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0359F219"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CA962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января 1931 в составе ЦАГИ появилось БОК и его начальником был назначен В.А.Чижевский - в недавнем выпускник ВВА. Сначала предполагалось передать ему группы И.К.Скржинского, Н.И.Камова, Б.И.Черановского и Кричевского, а в плане на 1931 были темы: самолет по схеме утка (Мосолов), авиетка Горелова и самолет Б.И.Черановского (95,22).</w:t>
      </w:r>
    </w:p>
    <w:p w14:paraId="792E01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Считается, что в подготовке и принятии Реввоенсоветом решения о создании при ЦАГИ Бюро особых конструкций (БОК) принял П.И.Баранов (24,53).</w:t>
      </w:r>
    </w:p>
    <w:p w14:paraId="7502A5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В.А.Чижевский был однокурсником С.В.Ильюшина.</w:t>
      </w:r>
    </w:p>
    <w:p w14:paraId="019CE2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Почему и зачем создали БОК и каково отношение БОК к ЦКБ - не вполне ясно, но похоже, это как бы плацдарм ЦКБ УВВС и ОГПУ в ЦАГИ.</w:t>
      </w:r>
    </w:p>
    <w:p w14:paraId="7A9CEF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27 января по 11 марта 1931 состоялся первый дальний перелет Красноярск - Дудинка и обратно на У-2 (272,376). Летали Ф.Б.Фарих, В.Б.Цыганов и прошли 2492 за 35:00 (2989).</w:t>
      </w:r>
    </w:p>
    <w:p w14:paraId="71A37C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7F923F1" w14:textId="77777777" w:rsidR="00164C8C" w:rsidRPr="005E779E" w:rsidRDefault="00164C8C"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27 января 1931 г. появилось Положение о БОК ЦАГИ, в котором говрилась</w:t>
      </w:r>
      <w:hyperlink r:id="rId9" w:history="1">
        <w:r w:rsidRPr="005E779E">
          <w:rPr>
            <w:rFonts w:ascii="Times New Roman" w:eastAsia="Times New Roman" w:hAnsi="Times New Roman"/>
            <w:color w:val="000000" w:themeColor="text1"/>
            <w:sz w:val="16"/>
            <w:szCs w:val="16"/>
            <w:lang w:eastAsia="ru-RU"/>
          </w:rPr>
          <w:t>[164]</w:t>
        </w:r>
      </w:hyperlink>
      <w:r w:rsidRPr="005E779E">
        <w:rPr>
          <w:rFonts w:ascii="Times New Roman" w:hAnsi="Times New Roman"/>
          <w:color w:val="000000" w:themeColor="text1"/>
          <w:sz w:val="16"/>
          <w:szCs w:val="16"/>
        </w:rPr>
        <w:t>:</w:t>
      </w:r>
    </w:p>
    <w:p w14:paraId="1BE49451" w14:textId="77777777" w:rsidR="00164C8C" w:rsidRPr="005E779E" w:rsidRDefault="00164C8C"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«Бюро Особых Конструкций является объединяющим и руководящим органом ЦАГИ по всем вопросам, возникающим в связи с осуществлением поступающих новых идей технической мысли и изобретений, относящихся к области исследовательской или опытно-производственной работы ЦАГИ, но не укладывающихся в рамки плановой работы отдельных Отделов ЦАГИ»</w:t>
      </w:r>
    </w:p>
    <w:p w14:paraId="2B1AB102" w14:textId="77777777" w:rsidR="00164C8C" w:rsidRPr="005E779E" w:rsidRDefault="00164C8C"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lastRenderedPageBreak/>
        <w:t>В коллектив бюро Чижевского входили инженеры Н.Н. Каштанов, В.И. Лапчинский, В.Г. Флоров и др.</w:t>
      </w:r>
    </w:p>
    <w:p w14:paraId="3A055B70" w14:textId="77777777" w:rsidR="00164C8C" w:rsidRPr="005E779E" w:rsidRDefault="00164C8C"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Но немногочисленному коллективу БОК был не под силу столь широкий круг задач, и там сосредоточились на стратосферных полётах. В 1932 г. под руководством Чижевского была изготовлена герметическая гондола экипажа стратостата «СССР-1», 30 сентября 1933 г. осуществившего полёт на рекордную высоту 19 тыс. м. Теперь дело было за стратопланом (17489).</w:t>
      </w:r>
    </w:p>
    <w:p w14:paraId="7A91BCFD" w14:textId="77777777" w:rsidR="00164C8C" w:rsidRPr="005E779E" w:rsidRDefault="00164C8C" w:rsidP="000B7A6C">
      <w:pPr>
        <w:spacing w:after="0" w:line="240" w:lineRule="auto"/>
        <w:jc w:val="both"/>
        <w:rPr>
          <w:rFonts w:ascii="Times New Roman" w:eastAsia="Times New Roman" w:hAnsi="Times New Roman"/>
          <w:color w:val="000000" w:themeColor="text1"/>
          <w:sz w:val="16"/>
          <w:szCs w:val="16"/>
          <w:lang w:eastAsia="ru-RU"/>
        </w:rPr>
      </w:pPr>
    </w:p>
    <w:p w14:paraId="2D9BA681" w14:textId="77777777" w:rsidR="00B93B98" w:rsidRPr="005E779E" w:rsidRDefault="00B93B98"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января 1931 г. при ЦАГИ создаётся новый отдел – Бюро особых конструкций (БОК), начальником которого стал В.А.Чижевский (он же – руководитель бригады №6 ЦАГИ). Тематика БОК вскоре стала концентрироваться на создании специальных аппаратов для полётов в стратосфере. Первыми такими работами стали разработка стратосферного самолёта (СС) и герметической гондолы для стратостата «СССР». Образование БОК, как отмечает историк М.Маслов, почти совпало с переустройством опытного строительства в структуре советской авиапромышленности. 27 августа 1931 г. Центральное конструкторское бюро (ЦКБ) и ЦАГИ объединили в единую организацию – ЦКБ-ЦАГИ, работавшую под общим патронажем ОГПУ. В связи с этим работы по постройке гондолы аэростата велись на заводе № 39 (ЦКБ), а стратосферный самолёт строился на заводе опытных конструкций (ЗОК) ЦАГИ, вступившем в строй 1 января 1932 г. (19876).</w:t>
      </w:r>
    </w:p>
    <w:p w14:paraId="474F7669" w14:textId="77777777" w:rsidR="00B93B98" w:rsidRPr="005E779E" w:rsidRDefault="00B93B98" w:rsidP="000B7A6C">
      <w:pPr>
        <w:shd w:val="clear" w:color="auto" w:fill="FFFFFF"/>
        <w:spacing w:after="0" w:line="240" w:lineRule="auto"/>
        <w:jc w:val="both"/>
        <w:rPr>
          <w:rFonts w:ascii="Times New Roman" w:hAnsi="Times New Roman"/>
          <w:color w:val="000000" w:themeColor="text1"/>
          <w:sz w:val="16"/>
          <w:szCs w:val="16"/>
        </w:rPr>
      </w:pPr>
    </w:p>
    <w:p w14:paraId="4E7E61ED" w14:textId="77777777" w:rsidR="00B93B98" w:rsidRPr="005E779E" w:rsidRDefault="00B93B9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января 1931 г. постановлением Реввоенсовета Со</w:t>
      </w:r>
      <w:r w:rsidRPr="005E779E">
        <w:rPr>
          <w:rFonts w:ascii="Times New Roman" w:hAnsi="Times New Roman"/>
          <w:color w:val="000000" w:themeColor="text1"/>
          <w:sz w:val="16"/>
          <w:szCs w:val="16"/>
        </w:rPr>
        <w:softHyphen/>
        <w:t>юза ССР, при Центральном аэрогидродинамическом инсти</w:t>
      </w:r>
      <w:r w:rsidRPr="005E779E">
        <w:rPr>
          <w:rFonts w:ascii="Times New Roman" w:hAnsi="Times New Roman"/>
          <w:color w:val="000000" w:themeColor="text1"/>
          <w:sz w:val="16"/>
          <w:szCs w:val="16"/>
        </w:rPr>
        <w:softHyphen/>
        <w:t>туте (ЦАГИ) создается новый отдел - Бюро особых конст</w:t>
      </w:r>
      <w:r w:rsidRPr="005E779E">
        <w:rPr>
          <w:rFonts w:ascii="Times New Roman" w:hAnsi="Times New Roman"/>
          <w:color w:val="000000" w:themeColor="text1"/>
          <w:sz w:val="16"/>
          <w:szCs w:val="16"/>
        </w:rPr>
        <w:softHyphen/>
        <w:t>рукций (БОК). Начальником БОК назначили 32-летнего Вла</w:t>
      </w:r>
      <w:r w:rsidRPr="005E779E">
        <w:rPr>
          <w:rFonts w:ascii="Times New Roman" w:hAnsi="Times New Roman"/>
          <w:color w:val="000000" w:themeColor="text1"/>
          <w:sz w:val="16"/>
          <w:szCs w:val="16"/>
        </w:rPr>
        <w:softHyphen/>
        <w:t>димира Антоновича Чижевского, в 1926 г. закончившего Военно-воздушную академию им. Н.Е. Жуковского и с 1928 г. работающего в ЦАГИ. Помощниками Чижевского ста</w:t>
      </w:r>
      <w:r w:rsidRPr="005E779E">
        <w:rPr>
          <w:rFonts w:ascii="Times New Roman" w:hAnsi="Times New Roman"/>
          <w:color w:val="000000" w:themeColor="text1"/>
          <w:sz w:val="16"/>
          <w:szCs w:val="16"/>
        </w:rPr>
        <w:softHyphen/>
        <w:t>ли инженеры Н.Н. Каштанов, Б.И. Карманов, А.Я. Левин, И.И. Цебриков, В.И. Лапинский, В.Г. Фролов. Несмотря на пер</w:t>
      </w:r>
      <w:r w:rsidRPr="005E779E">
        <w:rPr>
          <w:rFonts w:ascii="Times New Roman" w:hAnsi="Times New Roman"/>
          <w:color w:val="000000" w:themeColor="text1"/>
          <w:sz w:val="16"/>
          <w:szCs w:val="16"/>
        </w:rPr>
        <w:softHyphen/>
        <w:t>воначальные планы сосредоточить в БОК несколько на</w:t>
      </w:r>
      <w:r w:rsidRPr="005E779E">
        <w:rPr>
          <w:rFonts w:ascii="Times New Roman" w:hAnsi="Times New Roman"/>
          <w:color w:val="000000" w:themeColor="text1"/>
          <w:sz w:val="16"/>
          <w:szCs w:val="16"/>
        </w:rPr>
        <w:softHyphen/>
        <w:t>правлений - проектирование автожиров, исследование схем «утка» и «летающее крыло» - основной деятельностью БОК в последующие годы стало создание специальных ап</w:t>
      </w:r>
      <w:r w:rsidRPr="005E779E">
        <w:rPr>
          <w:rFonts w:ascii="Times New Roman" w:hAnsi="Times New Roman"/>
          <w:color w:val="000000" w:themeColor="text1"/>
          <w:sz w:val="16"/>
          <w:szCs w:val="16"/>
        </w:rPr>
        <w:softHyphen/>
        <w:t>паратов для полетов в стратосфере. Первыми такими рабо</w:t>
      </w:r>
      <w:r w:rsidRPr="005E779E">
        <w:rPr>
          <w:rFonts w:ascii="Times New Roman" w:hAnsi="Times New Roman"/>
          <w:color w:val="000000" w:themeColor="text1"/>
          <w:sz w:val="16"/>
          <w:szCs w:val="16"/>
        </w:rPr>
        <w:softHyphen/>
        <w:t>тами стала разработка стратосферного самолета (СС) и гер</w:t>
      </w:r>
      <w:r w:rsidRPr="005E779E">
        <w:rPr>
          <w:rFonts w:ascii="Times New Roman" w:hAnsi="Times New Roman"/>
          <w:color w:val="000000" w:themeColor="text1"/>
          <w:sz w:val="16"/>
          <w:szCs w:val="16"/>
        </w:rPr>
        <w:softHyphen/>
        <w:t>метичной гондолы экипажа для стратостата «СССР».</w:t>
      </w:r>
    </w:p>
    <w:p w14:paraId="617F9B62" w14:textId="77777777" w:rsidR="00B93B98" w:rsidRPr="005E779E" w:rsidRDefault="00B93B9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Образование БОК почти совпало с переустройством опытного строительства в структуре советской авиапро</w:t>
      </w:r>
      <w:r w:rsidRPr="005E779E">
        <w:rPr>
          <w:rFonts w:ascii="Times New Roman" w:hAnsi="Times New Roman"/>
          <w:color w:val="000000" w:themeColor="text1"/>
          <w:sz w:val="16"/>
          <w:szCs w:val="16"/>
        </w:rPr>
        <w:softHyphen/>
        <w:t>мышленности (20363).</w:t>
      </w:r>
    </w:p>
    <w:p w14:paraId="7778FA15" w14:textId="77777777" w:rsidR="00B93B98" w:rsidRPr="005E779E" w:rsidRDefault="00B93B98" w:rsidP="000B7A6C">
      <w:pPr>
        <w:spacing w:after="0" w:line="240" w:lineRule="auto"/>
        <w:jc w:val="both"/>
        <w:rPr>
          <w:rFonts w:ascii="Times New Roman" w:hAnsi="Times New Roman"/>
          <w:color w:val="000000" w:themeColor="text1"/>
          <w:sz w:val="16"/>
          <w:szCs w:val="16"/>
        </w:rPr>
      </w:pPr>
    </w:p>
    <w:p w14:paraId="440C25E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января 1931 г. было начало перелета Ф.Б.Фариха и В.Б.Цыганова на У-2 Красноярск - Дудинка и обратно. До 11 марта У-2 пролетел 4392 км за 35 часов летного времени (6395).</w:t>
      </w:r>
    </w:p>
    <w:p w14:paraId="2117E43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A048CC" w14:textId="77777777" w:rsidR="00B93B98" w:rsidRPr="005E779E" w:rsidRDefault="00B93B9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января 1931 - Начало перелета Ф.Б.Фариха и В.Б.Цыганова на У-2 Красноярск-Дудинка и обратно. До 11 марта У-2 пролетел 4392 км за 35 ч летного времени — первый дальний перелет легкого самолета в Сибири (22642).</w:t>
      </w:r>
    </w:p>
    <w:p w14:paraId="36158078" w14:textId="77777777" w:rsidR="00B93B98" w:rsidRPr="005E779E" w:rsidRDefault="00B93B98" w:rsidP="000B7A6C">
      <w:pPr>
        <w:spacing w:after="0" w:line="240" w:lineRule="auto"/>
        <w:jc w:val="both"/>
        <w:rPr>
          <w:rFonts w:ascii="Times New Roman" w:hAnsi="Times New Roman"/>
          <w:color w:val="000000" w:themeColor="text1"/>
          <w:sz w:val="16"/>
          <w:szCs w:val="16"/>
        </w:rPr>
      </w:pPr>
    </w:p>
    <w:p w14:paraId="2C9AFA22" w14:textId="77777777" w:rsidR="007E406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507AB042" w14:textId="77777777" w:rsidR="007E4069" w:rsidRPr="005E779E" w:rsidRDefault="007E406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DC8BFE0" w14:textId="77777777" w:rsidR="007E4069" w:rsidRPr="005E779E" w:rsidRDefault="007E4069"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27 января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Постановление СТО СССР № 13сс о позаимствовании из мобилизационного фонда 22 тыс. т натриевой селитры (ГА РФ. Ф. Р?8418. Оп. 28. Д. 1а. Л. 6) (12415).</w:t>
      </w:r>
    </w:p>
    <w:p w14:paraId="6975BD6E" w14:textId="77777777" w:rsidR="007E4069" w:rsidRPr="005E779E" w:rsidRDefault="007E4069" w:rsidP="000B7A6C">
      <w:pPr>
        <w:spacing w:after="0" w:line="240" w:lineRule="auto"/>
        <w:jc w:val="both"/>
        <w:rPr>
          <w:rFonts w:ascii="Times New Roman" w:hAnsi="Times New Roman"/>
          <w:color w:val="000000" w:themeColor="text1"/>
          <w:sz w:val="16"/>
          <w:szCs w:val="16"/>
          <w:u w:color="002060"/>
        </w:rPr>
      </w:pPr>
    </w:p>
    <w:p w14:paraId="64F1029F" w14:textId="77777777" w:rsidR="00C41B25" w:rsidRPr="005E779E" w:rsidRDefault="00C41B25"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27 января</w:t>
      </w:r>
      <w:r w:rsidRPr="005E779E">
        <w:rPr>
          <w:rFonts w:ascii="Times New Roman" w:hAnsi="Times New Roman"/>
          <w:color w:val="000000" w:themeColor="text1"/>
          <w:sz w:val="16"/>
          <w:szCs w:val="16"/>
        </w:rPr>
        <w:t xml:space="preserve"> в 1931 году в Ленинграде на Ижорском заводе был изготовлен первый советский блюминг (15021).</w:t>
      </w:r>
    </w:p>
    <w:p w14:paraId="0CFE698D" w14:textId="77777777" w:rsidR="00C41B25" w:rsidRPr="005E779E" w:rsidRDefault="00C41B25" w:rsidP="000B7A6C">
      <w:pPr>
        <w:spacing w:after="0" w:line="240" w:lineRule="auto"/>
        <w:jc w:val="both"/>
        <w:rPr>
          <w:rFonts w:ascii="Times New Roman" w:hAnsi="Times New Roman"/>
          <w:color w:val="000000" w:themeColor="text1"/>
          <w:sz w:val="16"/>
          <w:szCs w:val="16"/>
        </w:rPr>
      </w:pPr>
    </w:p>
    <w:p w14:paraId="17240D42"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5D1D57F2"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9C3B6E1" w14:textId="77777777" w:rsidR="00C41B25" w:rsidRPr="005E779E" w:rsidRDefault="00C41B25"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27 января</w:t>
      </w:r>
      <w:r w:rsidRPr="005E779E">
        <w:rPr>
          <w:rFonts w:ascii="Times New Roman" w:hAnsi="Times New Roman"/>
          <w:color w:val="000000" w:themeColor="text1"/>
          <w:sz w:val="16"/>
          <w:szCs w:val="16"/>
        </w:rPr>
        <w:t xml:space="preserve"> в 1931 году поднялся в воздух первый «Do JII» или "восьмитонный" "Валь"-модернизированный </w:t>
      </w:r>
      <w:hyperlink r:id="rId10" w:tgtFrame="_blank" w:history="1">
        <w:r w:rsidRPr="005E779E">
          <w:rPr>
            <w:rFonts w:ascii="Times New Roman" w:hAnsi="Times New Roman"/>
            <w:color w:val="000000" w:themeColor="text1"/>
            <w:sz w:val="16"/>
            <w:szCs w:val="16"/>
          </w:rPr>
          <w:t xml:space="preserve">«Do J». </w:t>
        </w:r>
      </w:hyperlink>
      <w:r w:rsidRPr="005E779E">
        <w:rPr>
          <w:rFonts w:ascii="Times New Roman" w:hAnsi="Times New Roman"/>
          <w:color w:val="000000" w:themeColor="text1"/>
          <w:sz w:val="16"/>
          <w:szCs w:val="16"/>
        </w:rPr>
        <w:t>Внешне гидросамолет изменился мало - носовую часть немного удлинили и слегка изменили ее обводы. Теперь в фюзеляже имелись два пассажирских салона: передний на восемь человек и задний - на шесть. Экипаж состоял из трех человек - двух пилотов и радиста. Крыло и горизонтальное оперение приобрели округлые законцовки, за счет чего при той же площади размах увеличился до 23,2 м. Вертикальное оперение стало иметь вид скругленного треугольника. На руле поворота ввели триммер. При установке тех же моторов BMW VI изменился внешний вид мотогондолы: исчезли громоздкие радиаторы, замененные более современными установками туннельного типа. За счет усиления планера и увеличения запаса бензина (дополнительные баки установили в "жабрах") максимальная полетная масса выросла до 8 тонн (15022).</w:t>
      </w:r>
    </w:p>
    <w:p w14:paraId="744BB904" w14:textId="77777777" w:rsidR="00C41B25" w:rsidRPr="005E779E" w:rsidRDefault="00C41B25" w:rsidP="000B7A6C">
      <w:pPr>
        <w:spacing w:after="0" w:line="240" w:lineRule="auto"/>
        <w:jc w:val="both"/>
        <w:rPr>
          <w:rFonts w:ascii="Times New Roman" w:hAnsi="Times New Roman"/>
          <w:color w:val="000000" w:themeColor="text1"/>
          <w:sz w:val="16"/>
          <w:szCs w:val="16"/>
        </w:rPr>
      </w:pPr>
    </w:p>
    <w:p w14:paraId="1805C2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января 1931 П.Лавиль стал премьер-министром Франции (3907,167).</w:t>
      </w:r>
    </w:p>
    <w:p w14:paraId="2FF5CA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35EC30B"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656D3304"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94B1F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 января 1931 завод № 22 отказался от собственной инициативы переделки серийного АНТ-29 в военный вариант (10542,30).</w:t>
      </w:r>
    </w:p>
    <w:p w14:paraId="41FA01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F0B5CD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 января 1931 г. ус</w:t>
      </w:r>
      <w:r w:rsidRPr="005E779E">
        <w:rPr>
          <w:rFonts w:ascii="Times New Roman" w:hAnsi="Times New Roman"/>
          <w:color w:val="000000" w:themeColor="text1"/>
          <w:sz w:val="16"/>
          <w:szCs w:val="16"/>
        </w:rPr>
        <w:softHyphen/>
        <w:t>тановили на станок и запустили экс</w:t>
      </w:r>
      <w:r w:rsidRPr="005E779E">
        <w:rPr>
          <w:rFonts w:ascii="Times New Roman" w:hAnsi="Times New Roman"/>
          <w:color w:val="000000" w:themeColor="text1"/>
          <w:sz w:val="16"/>
          <w:szCs w:val="16"/>
        </w:rPr>
        <w:softHyphen/>
        <w:t>периментальную установку, на которой собира</w:t>
      </w:r>
      <w:r w:rsidRPr="005E779E">
        <w:rPr>
          <w:rFonts w:ascii="Times New Roman" w:hAnsi="Times New Roman"/>
          <w:color w:val="000000" w:themeColor="text1"/>
          <w:sz w:val="16"/>
          <w:szCs w:val="16"/>
        </w:rPr>
        <w:softHyphen/>
        <w:t>лись опробовать цилиндро-поршневую группу М-34. При степени сжатия 5,3 (в проекте пре</w:t>
      </w:r>
      <w:r w:rsidRPr="005E779E">
        <w:rPr>
          <w:rFonts w:ascii="Times New Roman" w:hAnsi="Times New Roman"/>
          <w:color w:val="000000" w:themeColor="text1"/>
          <w:sz w:val="16"/>
          <w:szCs w:val="16"/>
        </w:rPr>
        <w:softHyphen/>
        <w:t>дусматривались варианты 5,3 и 6,0) с «половинки» М-34 сняли 300 л.с. В качестве промежуточного ва</w:t>
      </w:r>
      <w:r w:rsidRPr="005E779E">
        <w:rPr>
          <w:rFonts w:ascii="Times New Roman" w:hAnsi="Times New Roman"/>
          <w:color w:val="000000" w:themeColor="text1"/>
          <w:sz w:val="16"/>
          <w:szCs w:val="16"/>
        </w:rPr>
        <w:softHyphen/>
        <w:t>рианта первый изготовленный блок приспособили к картеру немецкого двигателя Юнкере 15 (11848).</w:t>
      </w:r>
    </w:p>
    <w:p w14:paraId="61F62B0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DD93D8" w14:textId="77777777" w:rsidR="003562F3" w:rsidRPr="005E779E" w:rsidRDefault="003562F3" w:rsidP="000B7A6C">
      <w:pPr>
        <w:pStyle w:val="a3"/>
        <w:autoSpaceDE/>
        <w:autoSpaceDN/>
        <w:adjustRightInd/>
        <w:rPr>
          <w:color w:val="000000" w:themeColor="text1"/>
          <w:lang w:val="ru-RU"/>
        </w:rPr>
      </w:pPr>
      <w:r w:rsidRPr="005E779E">
        <w:rPr>
          <w:color w:val="000000" w:themeColor="text1"/>
          <w:lang w:val="ru-RU"/>
        </w:rPr>
        <w:t>28 января 1931 г. появилась ура-патриотическая статья в «Правде» о строитель</w:t>
      </w:r>
      <w:r w:rsidRPr="005E779E">
        <w:rPr>
          <w:color w:val="000000" w:themeColor="text1"/>
          <w:lang w:val="ru-RU"/>
        </w:rPr>
        <w:softHyphen/>
        <w:t>стве эскадры дирижаблей им. В.И. Ленина и после нее в эскадрилью помимо четырех кораблей, были включены еще два - «Ленин» и «Старый большевик». Постановлени</w:t>
      </w:r>
      <w:r w:rsidRPr="005E779E">
        <w:rPr>
          <w:color w:val="000000" w:themeColor="text1"/>
          <w:lang w:val="ru-RU"/>
        </w:rPr>
        <w:softHyphen/>
        <w:t>ем Совета Труда и Обороны (СТО) от 25 апреля 1931 г. реализация сложнейшей технической задачи была возложена на ВО ГВФ СССР с передачей ему созданной, пока еще на бумаге, Базой опытного строительства и эксплуатации дирижаблей. Начальником БОСЭД с 1 мая был назначен выпускник Рижского реального училища, герой Гражданской войны и недавний дипломатический курьер НКИД СССР П.М. Пурмаль (12732).</w:t>
      </w:r>
    </w:p>
    <w:p w14:paraId="3E7D9950" w14:textId="77777777" w:rsidR="003562F3" w:rsidRPr="005E779E" w:rsidRDefault="003562F3" w:rsidP="000B7A6C">
      <w:pPr>
        <w:pStyle w:val="a3"/>
        <w:autoSpaceDE/>
        <w:autoSpaceDN/>
        <w:adjustRightInd/>
        <w:rPr>
          <w:color w:val="000000" w:themeColor="text1"/>
          <w:lang w:val="ru-RU"/>
        </w:rPr>
      </w:pPr>
    </w:p>
    <w:p w14:paraId="736F75B7" w14:textId="77777777" w:rsidR="007E406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1603DDA7" w14:textId="77777777" w:rsidR="007E4069" w:rsidRPr="005E779E" w:rsidRDefault="007E406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D5B0000" w14:textId="77777777" w:rsidR="007E4069" w:rsidRPr="005E779E" w:rsidRDefault="007E406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 января 1931 г. поступивший на ХПЗ в конце января 1931 г. первый корпус танка с Ижорского завода бфл принят (акт приемки №1 от). В заключении по приемке говорилось: «Принимая во внимание, что присланный корпус первый, на котором должны выявиться все неполадки как на ГИЗ-е (Государственный Ижорский завод), так и на ХПЗ, Комиссия считает возможным принять корпус №1 условно, но обратить самое серьезное внимание ГИЗ-а на строжайшее выполнение временных технических условий..." (12303).</w:t>
      </w:r>
    </w:p>
    <w:p w14:paraId="171BB98C" w14:textId="77777777" w:rsidR="007E4069" w:rsidRPr="005E779E" w:rsidRDefault="007E4069" w:rsidP="000B7A6C">
      <w:pPr>
        <w:spacing w:after="0" w:line="240" w:lineRule="auto"/>
        <w:jc w:val="both"/>
        <w:rPr>
          <w:rFonts w:ascii="Times New Roman" w:hAnsi="Times New Roman"/>
          <w:color w:val="000000" w:themeColor="text1"/>
          <w:sz w:val="16"/>
          <w:szCs w:val="16"/>
        </w:rPr>
      </w:pPr>
    </w:p>
    <w:p w14:paraId="1DA9F685" w14:textId="77777777" w:rsidR="006C4450" w:rsidRPr="005E779E" w:rsidRDefault="006C4450"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 января 1931 года, было создано КБ-3 ВОАО, которое возглавил Гинзбург. К огромному неудовольствию Шукалова, который направил в адрес Халепского большое письмо, где ракритиковал данную идею в целом и Гинзбурга в частности. Не помогло - под начало Гинзбурга перевели ГКБ ОАТ, включая Заславского и остальных. Решение абсолютно верное, особенно с учетом того, что Гинзбург был человеком УММ. Просуществовало КБ-3 ВОАО не очень долго. В 1932 году стало очевидно, что размещение КБ в Москве, а производства в Ленинграде, не является рациональной идеей. Это же касалось и совмещение на заводе "Большевик" одновременно танкового и артиллерийского производства (19634).</w:t>
      </w:r>
    </w:p>
    <w:p w14:paraId="1C630ACF" w14:textId="77777777" w:rsidR="006C4450" w:rsidRPr="005E779E" w:rsidRDefault="006C4450" w:rsidP="000B7A6C">
      <w:pPr>
        <w:shd w:val="clear" w:color="auto" w:fill="FFFFFF"/>
        <w:spacing w:after="0" w:line="240" w:lineRule="auto"/>
        <w:jc w:val="both"/>
        <w:rPr>
          <w:rFonts w:ascii="Times New Roman" w:hAnsi="Times New Roman"/>
          <w:color w:val="000000" w:themeColor="text1"/>
          <w:sz w:val="16"/>
          <w:szCs w:val="16"/>
        </w:rPr>
      </w:pPr>
    </w:p>
    <w:p w14:paraId="7090D72F" w14:textId="77777777" w:rsidR="00B93B98" w:rsidRPr="005E779E" w:rsidRDefault="00B93B98"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shd w:val="clear" w:color="auto" w:fill="FFFFFF"/>
        </w:rPr>
        <w:t>28 января 1931 года было создано КБ-3 ВОАО (Всесоюзное орудийно-арсенальное объединение), которое возглавил Гинзбург. В его состав предавались сотрудники ГКБ ОАТ. Шукалов по этому поводу разродился гневными письмами, считая назначение Гинзбурга политическим решением. Им предлагалось сделать Гинзбурга либо заместителем Шукалова, либо заместителем Заславского. Ни то, ни другое, естественно, никто делать не стал. Задачей новой структуры, которая подчинялась напрямую УММ КА, стала работа над ошибками, которую пришлось проводить в советском танкопроме. Она была настолько запущенной, что спровоцировала, в 1929-1930 годах, волну арестов. Первым делом, которое предстояло сделать новому КБ - это организация производства В-26. Данный танк, уже под обозначением Т-26, приняли на вооружение Красной Армии 13 февраля 1931 года. В тот же день приняли на вооружение и переработанный вариант танкетки К-6, он получил обозначение Т-27. И если Т-27 освоили довольно легко (за 1931 год сдали 348 таких танкеток), то с Т-26 дело шло тяжело. Первые танки данного типа, по плану, сдавались 31 июля 1931 года. А за октябрь-декабрь 1931 года сдавалось еще 300 штук. Вот только "Большевик" был загружен по программе Т-18, это не считая работ по темам Т-19, Т-20 и другим. По итогам официально было сдано всего 17 танков (20375).</w:t>
      </w:r>
    </w:p>
    <w:p w14:paraId="7F9C1317" w14:textId="77777777" w:rsidR="00B93B98" w:rsidRPr="005E779E" w:rsidRDefault="00B93B98" w:rsidP="000B7A6C">
      <w:pPr>
        <w:shd w:val="clear" w:color="auto" w:fill="FFFFFF"/>
        <w:spacing w:after="0" w:line="240" w:lineRule="auto"/>
        <w:jc w:val="both"/>
        <w:rPr>
          <w:rFonts w:ascii="Times New Roman" w:hAnsi="Times New Roman"/>
          <w:color w:val="000000" w:themeColor="text1"/>
          <w:sz w:val="16"/>
          <w:szCs w:val="16"/>
        </w:rPr>
      </w:pPr>
    </w:p>
    <w:p w14:paraId="219564A6" w14:textId="77777777" w:rsidR="00B93B98" w:rsidRPr="005E779E" w:rsidRDefault="00B93B98"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28 января 1931 года было образовано КБ-3 ВОАО (Всесоюзное Орудийно-Арсенальное Объединение), его начальником назначили С.А. Гинзбурга. Пламенные речи Шукалова даже не стали слушать, да и потом они ему сильно аукнулись. Спустя чуть более 2 недель, 13 февраля 1931 года, было принято решение о производстве В-26 на заводе "Большевик". Танк приняли на вооружение Красной Армии как Т-26. Это было единственно верным решением, дальше заниматься заниматься развитием шукаловских машин не имело никакого смысла (20740).</w:t>
      </w:r>
    </w:p>
    <w:p w14:paraId="7B43018D" w14:textId="77777777" w:rsidR="00B93B98" w:rsidRPr="005E779E" w:rsidRDefault="00B93B98"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671EC09" w14:textId="77777777" w:rsidR="009B4119" w:rsidRPr="00142305" w:rsidRDefault="009B4119" w:rsidP="009B411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28 января 1931 года на базе ГКБ ОАТ было создано КБ-3 ВОАО, которое возглавил С.А. Гинзбург (25660).</w:t>
      </w:r>
    </w:p>
    <w:p w14:paraId="2B78DFE6" w14:textId="77777777" w:rsidR="009B4119" w:rsidRPr="00142305" w:rsidRDefault="009B4119" w:rsidP="009B4119">
      <w:pPr>
        <w:spacing w:after="0" w:line="240" w:lineRule="auto"/>
        <w:jc w:val="both"/>
        <w:rPr>
          <w:rFonts w:ascii="Times New Roman" w:hAnsi="Times New Roman"/>
          <w:color w:val="0070C0"/>
          <w:sz w:val="16"/>
          <w:szCs w:val="16"/>
        </w:rPr>
      </w:pPr>
    </w:p>
    <w:p w14:paraId="62694099" w14:textId="77777777" w:rsidR="009B4119" w:rsidRPr="00142305" w:rsidRDefault="009B4119" w:rsidP="009B411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28 января 1931 года создано танко-тракторное кон</w:t>
      </w:r>
      <w:r w:rsidRPr="00142305">
        <w:rPr>
          <w:rFonts w:ascii="Times New Roman" w:hAnsi="Times New Roman"/>
          <w:color w:val="0070C0"/>
          <w:sz w:val="16"/>
          <w:szCs w:val="16"/>
        </w:rPr>
        <w:softHyphen/>
        <w:t>структорское бюро Всесоюзного орудийно</w:t>
      </w:r>
      <w:r w:rsidRPr="00142305">
        <w:rPr>
          <w:rFonts w:ascii="Times New Roman" w:hAnsi="Times New Roman"/>
          <w:color w:val="0070C0"/>
          <w:sz w:val="16"/>
          <w:szCs w:val="16"/>
        </w:rPr>
        <w:softHyphen/>
        <w:t>арсенального объединения (ВОАО) под руко</w:t>
      </w:r>
      <w:r w:rsidRPr="00142305">
        <w:rPr>
          <w:rFonts w:ascii="Times New Roman" w:hAnsi="Times New Roman"/>
          <w:color w:val="0070C0"/>
          <w:sz w:val="16"/>
          <w:szCs w:val="16"/>
        </w:rPr>
        <w:softHyphen/>
        <w:t>водством С. Гинзбурга. В состав этого КБ в полном составе включили работников отде</w:t>
      </w:r>
      <w:r w:rsidRPr="00142305">
        <w:rPr>
          <w:rFonts w:ascii="Times New Roman" w:hAnsi="Times New Roman"/>
          <w:color w:val="0070C0"/>
          <w:sz w:val="16"/>
          <w:szCs w:val="16"/>
        </w:rPr>
        <w:softHyphen/>
        <w:t>ла мехтяги ГКБ во главе с В. Заславским (25016)ю</w:t>
      </w:r>
    </w:p>
    <w:p w14:paraId="7AE0113C" w14:textId="77777777" w:rsidR="009B4119" w:rsidRPr="00142305" w:rsidRDefault="009B4119" w:rsidP="009B4119">
      <w:pPr>
        <w:spacing w:after="0" w:line="240" w:lineRule="auto"/>
        <w:jc w:val="both"/>
        <w:rPr>
          <w:rFonts w:ascii="Times New Roman" w:hAnsi="Times New Roman"/>
          <w:color w:val="0070C0"/>
          <w:sz w:val="16"/>
          <w:szCs w:val="16"/>
        </w:rPr>
      </w:pPr>
    </w:p>
    <w:p w14:paraId="01021AF8" w14:textId="77777777" w:rsidR="009B4119" w:rsidRPr="00142305" w:rsidRDefault="009B4119" w:rsidP="009B411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28 января 1931 г. на ХПЗ поступил первый корпус танка Т-24 с Ижорского завода (акт приемки №1 от 28 января 1931 г.). В заключении по приемке говорилось:</w:t>
      </w:r>
    </w:p>
    <w:p w14:paraId="48D14C6C" w14:textId="77777777" w:rsidR="009B4119" w:rsidRPr="00142305" w:rsidRDefault="009B4119" w:rsidP="009B411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«Принимая во внимание, что присланный корпус первый, на котором должны выявиться все неполадки как на ГИЗ-е (Государственный Ижорский завод. — Прим. авт.), так и на ХПЗ, Комиссия считает возможным принять корпус № 1 условно, но обратить самое серьезное внимание ГИЗ-а на строжайшее выполнение временных технических условий…» (25479).</w:t>
      </w:r>
    </w:p>
    <w:p w14:paraId="206DAB25" w14:textId="77777777" w:rsidR="009B4119" w:rsidRPr="00142305" w:rsidRDefault="009B4119" w:rsidP="009B4119">
      <w:pPr>
        <w:spacing w:after="0" w:line="240" w:lineRule="auto"/>
        <w:jc w:val="both"/>
        <w:rPr>
          <w:rFonts w:ascii="Times New Roman" w:hAnsi="Times New Roman"/>
          <w:color w:val="0070C0"/>
          <w:sz w:val="16"/>
          <w:szCs w:val="16"/>
        </w:rPr>
      </w:pPr>
    </w:p>
    <w:p w14:paraId="1EA26D69" w14:textId="77777777" w:rsidR="006C4450" w:rsidRPr="005E779E" w:rsidRDefault="006C4450"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584C1030" w14:textId="77777777" w:rsidR="006C4450" w:rsidRPr="005E779E" w:rsidRDefault="006C4450"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915E05E"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28-30 января 1931 г.</w:t>
      </w:r>
    </w:p>
    <w:p w14:paraId="574D7BAB"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Показания В. А. Гассельблата о «вредительстве» на предприятиях Магнитогорского комбината. 28-30 января 1931 г.</w:t>
      </w:r>
    </w:p>
    <w:p w14:paraId="528E4356"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Источник: </w:t>
      </w:r>
    </w:p>
    <w:p w14:paraId="36BA0984"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A0BED8A"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28-30 января 1931 г.</w:t>
      </w:r>
    </w:p>
    <w:p w14:paraId="56A47FC7"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[Секретно]</w:t>
      </w:r>
    </w:p>
    <w:p w14:paraId="7FC6DB6B"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ПРОТОКОЛ ДОПРОСА</w:t>
      </w:r>
    </w:p>
    <w:p w14:paraId="0ADC87D1"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Главного инженера Магнитостроя</w:t>
      </w:r>
    </w:p>
    <w:p w14:paraId="49531ECA"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ГАССЕЛЬБЛАТА Виталия Алексеевича.</w:t>
      </w:r>
    </w:p>
    <w:p w14:paraId="14D0F843"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 28-30 января 1931 г.</w:t>
      </w:r>
    </w:p>
    <w:p w14:paraId="2FD0E3C1"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ОСНОВНЫЕ АКТЫ ВРЕДИТЕЛЬСТВА ПО МАГНИТОСТРОЮ</w:t>
      </w:r>
    </w:p>
    <w:p w14:paraId="7BBE2C8A"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 МЕРОПРИЯТИЯ ПО ИХ ЛИКВИДАЦИИ.</w:t>
      </w:r>
    </w:p>
    <w:p w14:paraId="49BFAAA2"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I. Снабжение топливом Магнитогорского комбината. Вредительство в этом вопросе заключалось в том, что и для первоначальной программы завода в 650.000 и для большой программы в 2,5 милл. тонн ни Уралгипромез, ни Главметалл твердо не поставил этого вопроса в 1927 и 1928 году, и Управление строительством и Новосталь в 1930 г. В результате невыясненности этого вопроса и его затягивания (до ноября 1930 г. не были установлены Востокуглем ни район, откуда будет поступать каменный уголь для Магнитогорского завода, ни программа отправки угля, ни анализы этого угля) получилось, что Магнитострой не имел данных для шихтовки, которая будет принята для коксования углей, ни содержания в золе углей фосфора, что затягивало решение вопроса о введении бессемеровского процесса на Магнитогорском заводе. Переписка и безответственные командировки не помогут. Необходимо срочно ликвидировать этот основной вопрос.</w:t>
      </w:r>
    </w:p>
    <w:p w14:paraId="5901F678"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Мероприятия следующие:</w:t>
      </w:r>
    </w:p>
    <w:p w14:paraId="3B594FD5"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Управление строительством и «Востоксталь» должны через Президиум ВСНХ добиться от Востокугля, чтобы дана была ясная и реальная программа снабжения Кузнецким углем Магнитогорского завода, учитывая, что первые партии угля из Сибири потребуются заводу с сентября 1931 г., чтобы до пуска первых двух доменных печей создать запас кокса и пережить в коксовании период [«]детских болезней[»].</w:t>
      </w:r>
    </w:p>
    <w:p w14:paraId="6C5869FB"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Магнитострой должен получить:</w:t>
      </w:r>
    </w:p>
    <w:p w14:paraId="16E6A697"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пятилетнюю программу питания углем завода из Сибири;</w:t>
      </w:r>
    </w:p>
    <w:p w14:paraId="2991B19E"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характеристику углей в смысле их пропорции (по месторождениям и пластам), которая будет поступать на Магнитогорский завод с полным химическим анализом этих углей;</w:t>
      </w:r>
    </w:p>
    <w:p w14:paraId="5557CE2B"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особое внимание должно быть обращено на содержание фосфора в углях;</w:t>
      </w:r>
    </w:p>
    <w:p w14:paraId="248D244F"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должны быть даны сведения о результате коксования, предполагаемые к отправке смесей углей, произведенного в Сибири;</w:t>
      </w:r>
    </w:p>
    <w:p w14:paraId="55B6B8A0"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 Коксострой должен организовать опыты, чтобы определить потерю летучих в намеченных для Магнитостроя углях, которая будет получаться за время пробега угля из Сибири в Магнитогорск и время хранения угля до начала коксования;</w:t>
      </w:r>
    </w:p>
    <w:p w14:paraId="5DD5A85E"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 Коксострой должен выяснить вопрос о хранении угля на складах (толщина пласта угля на складе), что имеет большое значение в смысле размеров складов.</w:t>
      </w:r>
    </w:p>
    <w:p w14:paraId="68A8FA9C"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Коксострой в этом вопросе должен проявить энергию, чтобы побороть старый взгляд на ограниченную высоту хранения углей на складах. Заграничная, особенно американская, практика в этом деле нас учит, что возможно такие угли, как Кузнецкого бассейна[,] хранить на складах большим пластом.</w:t>
      </w:r>
    </w:p>
    <w:p w14:paraId="35A3120E"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Управление Строительством и «Востокосталь», не ограничиваясь вопросом снабжения каменным углем Магнитогорского завода из Кузбасса, должно поставить срочно вопрос о питании углем из более близкого Сибирского месторождения — Карагандинского. Должно быть поручено теперь же особой авторитетной экспедиции выяснить и полностью осветить вопрос Карагандинского каменноугольного месторождения с точки зрения:</w:t>
      </w:r>
    </w:p>
    <w:p w14:paraId="4BF885B1"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благонадежности месторождения;</w:t>
      </w:r>
    </w:p>
    <w:p w14:paraId="182DB2A4"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физического и химического состава углей;</w:t>
      </w:r>
    </w:p>
    <w:p w14:paraId="2C2B012A"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способности коксования с производством опытного коксования (параллельно на Урале в Кизеле и в Кемерове для взаимной проверки);</w:t>
      </w:r>
    </w:p>
    <w:p w14:paraId="08D87BF5"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содержания в углях фосфора в разных пластах и возможности сортировки таких углей;</w:t>
      </w:r>
    </w:p>
    <w:p w14:paraId="7418155B"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 потери летучих &lt;веществ&gt; при хранении;</w:t>
      </w:r>
    </w:p>
    <w:p w14:paraId="5AF83C78"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 реальную программу развития Карагандинского каменноугольного месторождения с учетом постройки железной дороги и стоимости провоза углей до Магнитогорска.</w:t>
      </w:r>
    </w:p>
    <w:p w14:paraId="00349D8A"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Магнитострой должен обратить внимание на Полтаво-Брединское месторождение антрацита: не только на работавшие раньше шахты, но захватить район шире, так как в направлении к югу (Орску) еще до революции были найдены выходы каменного угля.</w:t>
      </w:r>
    </w:p>
    <w:p w14:paraId="7D8C77B8"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Весь этот район Магнитогорскому заводу необходимо взять в свою орбиту и организовать крупные геологические работы в текущем году, так как положительные результаты могут значительно удешевить топливоснабжение Магнитогорского завода, как для целей металлургических, так и получения энергии.</w:t>
      </w:r>
    </w:p>
    <w:p w14:paraId="10D9BDB7"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 вопросы топливоснабжения Магнитогорского предприятия, начиная с периода проектирования и до ноября 1930 г. не были концентрированы в одном месте (ими занимались Горный Отдел, Металлургический и Энергетический). Особая важность топливной проблемы для Магнитогорского завода, громадные размеры потребления топлива требуют, чтобы в Горном Отделе был приглашен специалист-угольщик, и образована небольшая ячейка, где бы концентрировались все вопросы каменноугольного топлива. В работе этой ячейки принимает деятельное участие геолог Горного отдела.</w:t>
      </w:r>
    </w:p>
    <w:p w14:paraId="0C4FDEB0"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II. Железорудный вопрос Магнитогорского комбината. Вредительство в этом вопросе заключалось в том, что разведки и исследовательские работы были поставлены совершенно недостаточно и несерьезно. В результате такой постановки работы в 1930 г. выявилась картина обеспечения рудой (главным образом, с качественной стороны) запутанная, ставящая под удар питание рудой Магнитогорского завода. Разведки, поставленные дополнительно летом и осенью 1930 г., показали, что данные разведок 1927, [19]28 и [19]29 годов не соответствуют действительности в смысле качественных показателей (химического анализа на фосфор и серу) и разбивки месторождения на окисленную и сернистую зоны. В смысле количества руды контрольные разведки 1930 г. подтвердили прежние подсчеты. Исследовательские работы были поставлены таким образом, что не давали никакого конкретного материала для составления и проектирования практической схемы обогащения Магнитогорских руд и, следовательно, учитывая геологическую сложность месторождения (большинство руд должно подвергаться обогащению), не давали никакой системы рудничного хозяйства. В настоящее время уже ликвидируется созданный прорыв в рудном вопросе (разведки). Необходимо Управлению строительством и «Востокостали» принять следующие мероприятия:</w:t>
      </w:r>
    </w:p>
    <w:p w14:paraId="6F1ECB2B"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Проверить как весь материал, так, главным образом, анализы на фосфор и серу разведок 1927, [19]28 и [19]29 годов. На фосфор данные анализы, приведенные в предварительном проекте Магнитогорского завода (в печатном издании) не верны.</w:t>
      </w:r>
    </w:p>
    <w:p w14:paraId="0B652A88"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Пригласить крупного геолога на постоянную работу в Магнитострое; до 1930 г. этот вопрос Горным отделом саботировался.</w:t>
      </w:r>
    </w:p>
    <w:p w14:paraId="431D6B43"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Продолжать геологические разведки Магнитогорского месторождения, также месторождения горы Куйбас и всего района (выход железных руд встречается около &lt;Магни&gt;тного совхоза). Образец руды в 1929 г. в сентябре мной передан в Горный отдел (Б. П. БОГОЛЮБОВУ).</w:t>
      </w:r>
    </w:p>
    <w:p w14:paraId="5AA8CA98"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Срочно оборудовать новую рудообогатительную лабораторию (на Айдырлинском перевале) и поставить там систематические работы по обогащению магнитогорских руд.</w:t>
      </w:r>
    </w:p>
    <w:p w14:paraId="18712095"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Необходимо поставить на эту работу, кроме ответственного партийного работника, хорошего специалиста, молодого, работавшего в институтах механического обогащения руд. Старые горные инженеры в большинстве этих вопросов не знают или вносят в него вредную долю скептицизма.</w:t>
      </w:r>
    </w:p>
    <w:p w14:paraId="46FBB52B"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Особо обратить внимание на то, чтобы поступаемый в лабораторию материал был в первую очередь из районов, которые будут введены в эксплоатацию с начала развертывания рудника.</w:t>
      </w:r>
    </w:p>
    <w:p w14:paraId="4161FF93"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Выбранный на г. Атач участок для первого периода работы рудника (с небольшим содержанием серы) должен быть проверен и на нем должны продолжаться дополнительные разведки. Этот участок необходимо начать разработкой в самое ближайшее время, подвергая добытую руду анализу, чтобы при нормальном масштабе работы можно было установить классификацию (по сере и фосфору) руд.</w:t>
      </w:r>
    </w:p>
    <w:p w14:paraId="679672C8"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Необходимо подвергнуть разведке месторождение «Ежовку», которая на первое время может дать некоторый резерв руды, не требующей сложного обогатительного процесса.</w:t>
      </w:r>
    </w:p>
    <w:p w14:paraId="11BE4E55"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Форсировать постройку рудодробильной (крупной) фабрики и ее оборудование. Также форсировать проведение к ней железно-дорожного пути.</w:t>
      </w:r>
    </w:p>
    <w:p w14:paraId="4CCFC707"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Организовать на Магнитной и в Горном отделе проектировочное небольшое бюро для проектирования горной (эксплоатационной) части рудников, так как у Мак-Ки организо&lt;вы&gt;вать его непродуктивно.</w:t>
      </w:r>
    </w:p>
    <w:p w14:paraId="5A134191"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зависимости от полученных результатов обогащения руд во временной (деревянной) лаборатории установить предварительную схему обогащения руд и считаю, что для ее консультации желательно пригласить крупного обогатителя (может быть, профессора СВОРТА из Америки, район Верхнего Озера).</w:t>
      </w:r>
    </w:p>
    <w:p w14:paraId="2FC73257"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Когда будет одобрена схема обогащения и выбрано и заказано соответствующее обогатительное оборудование, проектировку зданий фабрик поставить у нас в СССР, так как фирма Мак-Ки в этом отношении, как это было до моего отъезда из Америки, не располагала крупными специалистами.</w:t>
      </w:r>
    </w:p>
    <w:p w14:paraId="07E30535"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Должна быть развернута работа химической лаборатории, чтобы анализы не отставали от количества получаемых проб, которых будет десятки тысяч. Лаборатория должна возглавляться крупным химиком, чтобы постановка работы была такова, чтобы не было ошибок в анализах, которые имеют слишком ответственное значение.</w:t>
      </w:r>
    </w:p>
    <w:p w14:paraId="2B4B6E50"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Горный отдел должен обратить внимание на разведку в районе Магнитогорска (в радиусе до 100 километров) белых глин, марганцевых и хромовых руд, хороших кварцитов и прочих полезных ископаемых.</w:t>
      </w:r>
    </w:p>
    <w:p w14:paraId="07D3C56A"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составлении детальной производственной программы3 должен быть выявлен срочно список оборудования для рудников (экскаваторы, электровозы, специальные вагоны). Заграничное оборудование должно быть особо проверено.</w:t>
      </w:r>
    </w:p>
    <w:p w14:paraId="62491885"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смысле организации аппарата Горного Отдела должно быть обращено особое внимание на использование американских инженеров, заставляя их работать, а не быть безответственными консультантами, как их ставил Горный Отдел до ноября 1930 года.</w:t>
      </w:r>
    </w:p>
    <w:p w14:paraId="293E9C2E"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Горным Отделом должно быть обращено особое внимание на содержание фосфора в Магнитогорских рудах. Большая часть фосфора должна при обогащении руд уходить в хвосты, следовательно, должны получиться обогащенные руды с небольшим содержанием фосфора, годные для выплавки бессемеровского чугуна.</w:t>
      </w:r>
    </w:p>
    <w:p w14:paraId="61FA5FD5"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Согласно полученных анализов руд (скважины, шурфы, открытые разработки) необходимо теперь же приступить к составлению карты рудника, на которой должна быть дана картина распределения в Магнитогорском месторождении фосфора.</w:t>
      </w:r>
    </w:p>
    <w:p w14:paraId="5D3B6763"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Получаемые из Америки проекты по рудному хозяйству (дробильной фабрики, складов динамита и пр.) должны быть проверены, так как они не соответствуют нашим нормам по расходу строительных материалов.</w:t>
      </w:r>
    </w:p>
    <w:p w14:paraId="4AFA2837"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III. Транспортный вопрос Магнитогорского комбината.</w:t>
      </w:r>
    </w:p>
    <w:p w14:paraId="79E5AB5B"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Вредительство в этом вопросе заключалось в том, что все (Госплан, Главметалл, Востокосталь и Управление строительством) не ставили этого дела на твердую почву. В результате до последнего времени (ноябрь 1930 г.) вопрос доставки грузов (главным образом каменного угля) Магнитогорскому заводу не получил определенного решения. Большая программа Магнитогорского завода в 2,5 милл. тонн выплавки чугуна требовала серьезного подхода в вопросе железнодорожного транспорта, так как одного угля только для коксования потребуется свыше 3,5 милл. тонн. Вопрос усиления пропускной способности Сибирской ж. д. и части Уральских (Троицко-Орской и Карталы-Магнитной) не был поставлен, чем создавалась угроза правильного питания топливом Магнитогорского завода и вывоза готовых грузов с завода.</w:t>
      </w:r>
    </w:p>
    <w:p w14:paraId="7AEBB90B"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Вопрос подхода жел. дороги к заводу в связи с новым заданием для завода и новым ситуационным планом последнего также до последнего времени НКПСом окончательно не решался.</w:t>
      </w:r>
    </w:p>
    <w:p w14:paraId="4026C5EB"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Необходимо Управлению Строительством и «Востокостали» принять следующие мероприятия:</w:t>
      </w:r>
    </w:p>
    <w:p w14:paraId="2A83AA01"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Настаивать перед НКПСом, чтобы он гарантировал правильную доставку грузов и вывоз таковых согласно требований Магнитогорского завода в связи с его развитием.</w:t>
      </w:r>
    </w:p>
    <w:p w14:paraId="181DB5D8"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Настаивать перед НКПСом, чтобы вопрос постройки новой железно-дорожной станции «Магнитогорск» был разрешен срочно с полной увязкой интересов завода, города и будущего выхода жел. дороги на запад от Магнитогорского завода. К развертыванию Магнитогорского узла необходимо приступить срочно.</w:t>
      </w:r>
    </w:p>
    <w:p w14:paraId="46D5CBE7"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«Востокосталь» должна срочно решить вопрос о типе вагона для перевозки угля из Сибири и железной руды с Урала, согласовав это с НКПСом.</w:t>
      </w:r>
    </w:p>
    <w:p w14:paraId="12FC2BBF"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«Востокосталь» должна особо подчеркнуть перед НКПС, что перевозки грузов для Магнитогорского завода будут производиться равномерно круглый год, что тяжело будет для Сибирской жел. дороги во время напряженных хлебных перевозок.</w:t>
      </w:r>
    </w:p>
    <w:p w14:paraId="6F26F528"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«Востокосталь» должна настаивать перед НКПСом, чтобы ветка Карталы — Магнитная была приведена в полную готовность. Должен быть сделан подсчет, выдержит ли одна колея на этой ветке при максимальном грузообороте, когда завод разовьет свою полную мощность.</w:t>
      </w:r>
    </w:p>
    <w:p w14:paraId="4497F744"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Магнитогорский завод с существующим подходом железной дороги с севера находится в тупике. Магнитострой и «Востокосталь» должны вопрос этот подвергнуть изучению и затем, возможно, поставить на разрешение такой вопрос: дать дополнительный выход жел. дороги на Юг с заводской площадки (через Сосновые горы). Продолжение южного выхода соединится с веткой на известняки и образует, выходя дальше на линию Карталы — Магнитная[,] замкнутый круг, позволяя часть грузов отправлять или принимать с южной стороны.</w:t>
      </w:r>
    </w:p>
    <w:p w14:paraId="14F5CFBC"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IV. Вопрос задания Магнитогорскому заводу (номенклатура прокатных изделий).</w:t>
      </w:r>
    </w:p>
    <w:p w14:paraId="352F2595"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Вредительство в этом вопросе заключалось в том, что к программе прокатки завода Организации центра (Новосталь и Востокосталь) относились совершенно несерьезно, без всякого учета и увязки с заводами, которые будут потреблять металл Магнитогорского завода. Не только номенклатура проката (без чего нельзя проектировать прокатные станы с точки зрения их специализации и установления максимальной производительности), в смысле профиля, но и качество прокатных изделий до ноября 1930 г. заводу не было продиктовано. Этот вопрос общий для новых заводов, особенно в связи с потреблением специальных профилей и ответственных сортов металла для таких заводов, как новые тракторные (Челябтракторострой).</w:t>
      </w:r>
    </w:p>
    <w:p w14:paraId="6CC18723"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Востокосталь в этот вопрос должна внести определенную ясность, особенно в связи с проектированием прокатного цеха в настоящее время в Германии.</w:t>
      </w:r>
    </w:p>
    <w:p w14:paraId="576A4AE4"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Вопрос этот имеет существенную важность в смысле приготовления парка прокатных валков, к которому надо приступать в ближайшее время.</w:t>
      </w:r>
    </w:p>
    <w:p w14:paraId="23C7EC5D"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Вопрос о снабжении завода прокатными валками до ноября 1930 г. не был решен, между тем это является крупной задачей, которую надо разрешить и осуществить.</w:t>
      </w:r>
    </w:p>
    <w:p w14:paraId="47C375F7"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V. Вопрос энергетического хозяйства Магнитогорского завода.</w:t>
      </w:r>
    </w:p>
    <w:p w14:paraId="309157D4"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Вредительство в этом вопросе заключалось в том, что электрификация такого крупного завода, как Магнитогорский, рассматривалась обособленно, вне плана электрификации Урала (так подходили к этому вопросу и Госплан, и Гипромез и Уралгипромез). С мая 1929 г. вопрос электроснабжения Магнитогорского завода запутывается наметкой постройки рядом с заводом крупного тукового комбината (причем производственная программа и технические коэффициенты потребления энергии туковым комбинатом не были выяснены). Изменения задания для Магнитогорского завода сводят всю работу к составлению различных вариантов. Увязки проектирования электростанции между Энергостроем и американской фирмой Мак-Ки не было.</w:t>
      </w:r>
    </w:p>
    <w:p w14:paraId="52E32459"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Американская комиссия, работавшая в Кливленде, до сентября не знала даже размера мощности электростанции в Магнитогорском заводе.</w:t>
      </w:r>
    </w:p>
    <w:p w14:paraId="6EF65D58"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связи с изменением в первое время способа сталеделательного производства Магнитогорского завода (вместо установки бессемеровского процесса Мартенования) должен измениться и энергетический цикл металлургического хозяйства завода в сторону нехватки, против намеченного (при бессемеровании) ранее, количества тепловой энергии. Вопрос электрофикации завода и рудника до ноября 1930 г. был совершенно темным, так как проектов не было. Электростанция Магнитогорского завода (установочная мощность, как я узнал в октябре 1930 г. в Москве[,] 250.000 киловатт) является самой большой установкой (паровой) в СССР и, естественно, требует особого внимания к этому строительству, чтобы не наделать крупных ошибок.</w:t>
      </w:r>
    </w:p>
    <w:p w14:paraId="7C67F233"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Необходимо Управлению строительством и «Востокостали» в срочном порядке принять следующие мероприятия:</w:t>
      </w:r>
    </w:p>
    <w:p w14:paraId="3AC38AD6"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Должен быть проанализирован и пересчитан энергетический баланс завода и рудника, при чем должна быть внесена ясность со стороны ВСНХ (Главхимпрома) в смысле постройки при Магнитогорском заводе тукового комбината. Тепловой баланс завода считается при условии одного мартеновского производства стали.</w:t>
      </w:r>
    </w:p>
    <w:p w14:paraId="7AB1F467"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Мощность электростанции Магнитогорского завода должна быть увязана с программой «Большого Урала» в смысле кустования этой крупнейшей установки с другими Уральскими централями (Челябинской), а также с возможными будущими потребителями электротока в новом индустриальном Магнитогорском районе. Этот вопрос должен быть кроме Уральских организаций (Уралплана), как особо важный и крупный, рассмотрен и Госпланом СССР.</w:t>
      </w:r>
    </w:p>
    <w:p w14:paraId="17FA0A42"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связи с передачей части проектирования прокатного цеха и заказов на основное прокатное оборудование в Германии (фирме Демаг) необходимо срочно разрешить «Востокостали» вопрос о месте заказа крупного электрооборудования для Магнитогорского завода (в Америке или Европе), иначе, не зная габаритов и технической характеристики машин, проектирование будет носить предварительный характер — по таким проектам к постройке приступать нельзя.</w:t>
      </w:r>
    </w:p>
    <w:p w14:paraId="6E683CBF"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Прокатный цех является главным потребителем энергии и проектируется в Германии, Мартеновский цех проектируется в СССР.</w:t>
      </w:r>
    </w:p>
    <w:p w14:paraId="2FEF6320"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Учитывая эту ситуацию, необходимо решить «Востокостали» вопрос, где и как организовать проектирование электроснабжения заводов (канализацию тока, установку моторов).</w:t>
      </w:r>
    </w:p>
    <w:p w14:paraId="0DBA804B"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Считаю, что к этому делу необходимо привлечь нашу союзную проектировочную организацию (Энергострой, Уралгипромез), так как в процессе строительства возникнет немало вопросов, которые придется разрешать совместно с Управлением строительства и разрешать срочно.</w:t>
      </w:r>
    </w:p>
    <w:p w14:paraId="46D88387"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Управление строительством при содействии «Востокостали» должно пригласить крупного специалиста-электрика, который должен ведать проектированием и затем установкой всего электрооборудования рудника и завода. Это специальное дело должно быть отделено от строительства и будущей эксплоатации электростанции. В зависимости от того, где будет заказано главное электрооборудование; если в Германии, можно пригласить хорошего немца-электрика.</w:t>
      </w:r>
    </w:p>
    <w:p w14:paraId="7B3ABA6A"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Вопросы импортного и союзного электрооборудования в смысле размещения заказов на таковое должны быть «Востокосталью» выделены особо, учитывая, что сроки исполнения заказов на электрооборудование даются фирмами большие.</w:t>
      </w:r>
    </w:p>
    <w:p w14:paraId="170E75B0"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 ноября 1930 г. вопрос с заказом котлов для воздуходувной станции доменного цеха оставался нерешенным. Как мне передавали в «Востокостали», Судотрест (бывший Николаевский завод) не может выполнить заказа на котлы. Если котлы не заказаны и теперь, этот вопрос надо срочно разрешить, так как воздуходувные машины (первые две) заказаны в Германии.</w:t>
      </w:r>
    </w:p>
    <w:p w14:paraId="20C59A1C"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Необходимо выяснить вопрос о приобретении трубопроводов для передачи пара высокого давления; с этим делом обычно сталкиваются и спотыкаются все строители, так как такие паропроводы (трубы и арматуру) в СССР достать крайне трудно.</w:t>
      </w:r>
    </w:p>
    <w:p w14:paraId="57B5EE5A"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Проектирование воздуходувной станции доменного цеха должно быть проведено у нас в СССР — это будет скорее и надежнее.</w:t>
      </w:r>
    </w:p>
    <w:p w14:paraId="7985C5CA"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Временная электростанция. Должны быть проверены и тщательно заявки на электроэнергию до пуска в ход первого турбогенератора на постоянной электроцентрали.</w:t>
      </w:r>
    </w:p>
    <w:p w14:paraId="1C01C115"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Как мне сообщали в «Востокостали» в октябре 1930 г., турбогенераторы, намеченные к переброске в Магнитострой из Баку, не имеют котлов (котлы очень изношенные).</w:t>
      </w:r>
    </w:p>
    <w:p w14:paraId="0A590F49"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Необходимо учесть, какое время будет затрачено на демонтаж турбогенераторов и их переброску и установку на Магнитной и где они будут установлены. Считаю, что надо форсировать всеми мерами строительство постоянной электростанции и установку котлов и первого турбогенератора, чтобы получить своевременно необходимую энергию. Считаю, что предложенный вариант установки временных турбогенераторов в здании постоянной станции едва ли является рациональным, так как, если будет готово здание, можно особо форсировать установку и монтаж постоянного турбогенератора, и тогда не получится разрыва между пуском временных машин и постоянного турбогенератора.</w:t>
      </w:r>
    </w:p>
    <w:p w14:paraId="15AC1008"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VI. Вопрос с постройкой города Магнитогорска.</w:t>
      </w:r>
    </w:p>
    <w:p w14:paraId="04EFB257"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Вредительство в этом вопросе заключалось в том, что в течение целого года продолжалась дискуссия о типе города, имевшая целью задержать строительство. Строительство завода за это время шло и Управление строительством принуждено было затрачивать не мало энергии и средств, чтобы развернуть временное строительство бараков. В итоге, к ноябрю 1930 г. ни одной готовой постройки на месте постоянного города Магнитогорска сделано не было. До моего отъезда за границу, в феврале 1930 г. проектирование городских зданий, также больницы, школ, хлебозавода, магазинов и пр. было передано Госпроекту ВСНХ СССР и продвигалось чрезвычайно медленно.</w:t>
      </w:r>
    </w:p>
    <w:p w14:paraId="7A996641"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возвращении из-за границы, в сентябре-октябре 1930 г. мне говорили в «Востокостали», что строительство Магнитогорска выделено в особую единицу.</w:t>
      </w:r>
    </w:p>
    <w:p w14:paraId="69F4C3B9"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Считаю, что «Востокосталь» должна иметь наблюдение и надзор за постройкой города, который неразрывно связан с заводом, так как режим завода будет отзываться на жизни города, технические учебные заведения будут также связующим звеном между заводом и городом.</w:t>
      </w:r>
    </w:p>
    <w:p w14:paraId="6E0570A3"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строительстве начальник такового должен не только быть в курсе работ на постройке города, но также санкционировать все основные, принципиально важные установки.</w:t>
      </w:r>
    </w:p>
    <w:p w14:paraId="61BF14A6"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VII. Металлургические цеха Магнитогорского завода.</w:t>
      </w:r>
    </w:p>
    <w:p w14:paraId="7A8812D2"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Вредительство в этом вопросе заключалось в том, что в доменном цехе проектировались вначале доменные печи с малой производительностью, но в Америке этот вопрос был перерешен и по проекту Мак-Ки, который в доменном деле является достаточным специалистом, дана установка на выплавку в 1000 тонн для каждой доменной печи.</w:t>
      </w:r>
    </w:p>
    <w:p w14:paraId="5146FF6B"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мартеновскому и бессемеровскому процессам Магнитогорского завода велись бесконечные споры. Горный отдел Магнитостроя дал неверные данные о фосфоре в рудах. В Америки фирма Мак-Ки, базируясь на привезенных нами материалах, начала проектировать в первую очередь бессемеровский передел чугуна в сталь; затем, в итоге переписки с Москвой, бессемеровское проектирование было остановлено и начато мартеновское. Кроме этого спора продолжался спор, какого типа устанавливать мартеновскую фабрику (немецкого или американского), в результате чего проект Мартеновского цеха отличался от проекта Кузнецкого завода и от стандарта, который разработан был в Гипромезе (разница главным образом заключалась в пролете разливочного отделения), но в итоге использовать указанные проекты нельзя было, так как надо было перепроектировать все здание. При опоздании проектирования мартеновского цеха у фирмы Мак-Ки вопрос этот был разрешен таким образом, чтобы использовать проект Гипромеза.</w:t>
      </w:r>
    </w:p>
    <w:p w14:paraId="2BC192E6"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прокатном цехе, после провала проектирования у фирмы Мак-Ки, после долгих споров решено было остановиться на едином прокатном цехе (у Мак-Ки вся прокатка была расположена в двух отдельных цехах).</w:t>
      </w:r>
    </w:p>
    <w:p w14:paraId="3C2D5207"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проектированию и строительству металлургических цехов Магнитогорского завода необходимо «Востокостали» и управлению Магнитостроя принять следующие мероприятия:</w:t>
      </w:r>
    </w:p>
    <w:p w14:paraId="31B0B388"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По доменному цеху: а) форсировать все заказы на металлические конструкции,</w:t>
      </w:r>
    </w:p>
    <w:p w14:paraId="62E42BD7"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на оборудование по имеющимся спецификациям, в) форсировать заказ на огнеупорный кирпич, который до ноября 1930 г. не был «Востокосталью» заказан; г) заказать котлы и паропроводы, как я уже выше говорил, для воздуходувной станции доменного цеха; д) решить вопрос о системе очистки доменного газа (считаю, что для первых доменных печей надо поставить очистку тейзенами, так как электростатическая не получила еще широкого применения, американская доменная техника совсем ее не знает; е) строительством Магнитостроя должен быть срочно приглашен крупный специалист по доменному делу с строительной практикой постройки доменных печей. До сих пор Магнитострой пользовался временным консультанством профессора И. А. СОКОЛОВА, доменным же отделом заведовал молодой, совершенно неопытный инженер, никогда не работавший на крупных доменных печах; ж) Магнитостроем и Востокосталью должны быть поставлены опыты (длительные) выплавки чугуна на Магнитогорской руде на Н[ижне]-Салдинском заводе. Опыты эти должны быть поставлены в особые условия и возглавляться лицом, не заинтересованным в результатах, т. е. не магнитогорцем. Представитель Магнитостроя должен участвовать в этой работе в качестве контролера.</w:t>
      </w:r>
    </w:p>
    <w:p w14:paraId="6672C33A"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По мартеновскому и бессемеровскому производствам:</w:t>
      </w:r>
    </w:p>
    <w:p w14:paraId="5BB86607"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Принимая для первой очереди мартеновский передел, необходимо Магнитострою и Востокостали вопрос о возможности бессемеровского процесса форсировать, выясняя безфосфористость Кузнецких и Карагандинских углей (как мной указано в разделе топлива) и проводя работы по выяснению безфосфористых районов магнитогорского месторождения и результатов обогащения руд. Чтобы этот вопрос не заглох среди других крупных вопросов, необходимо выделить для этой проблемы отдельного товарища, так как среди технического персонала строительства это дело не пользуется вниманием и должным сочувствием. Бессемеровский процесс дает меньшие капитальные затраты сравнительно с мартенованием, и постройка бессемеровской фабрики занимает меньше времени.</w:t>
      </w:r>
    </w:p>
    <w:p w14:paraId="4C2F1234"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В смысле проектирования мартеновской фабрики необходимо использовать часть проектных материалов, имеющихся уже у Кузнецкстроя, так как мощность печей у него одинакова с Магнитостроем.</w:t>
      </w:r>
    </w:p>
    <w:p w14:paraId="44DA31CD"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В октябре 1930 г. был решен вопрос использовать для Магнитостроя проект (стандартный) Гипромеза. Необходимо в этом деле проявить больше согласованности и уступчивости со стороны технического персонала Магнитостроя, который до ноября 1930 г. проявлял ненужное и вредное упрямство. Время споров и дискуссий, которые можно вести бесконечно, надо мартеновцам прекратить.</w:t>
      </w:r>
    </w:p>
    <w:p w14:paraId="01B5684F"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Форсировать заказы на металлические конструкции здания и печей, краны, ковши и другое оборудование, форсируя составление необходимых спецификаций. Часть спецификаций можно использовать у Кузнецкстроя.</w:t>
      </w:r>
    </w:p>
    <w:p w14:paraId="276F4238"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Считаю, что в мартеновском строительстве обоих заводов с целью экономии в работе необходимо провести самое тесное кооперирование Магнитостроя и Кузнецкстроя.</w:t>
      </w:r>
    </w:p>
    <w:p w14:paraId="724C1591"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 Форсировать заказ на огнеупорный кирпич для мартеновской фабрики.</w:t>
      </w:r>
    </w:p>
    <w:p w14:paraId="6BE4477F"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 Магнитострой должен решить вопрос о месте постройки мартеновской фабрики первой очереди в связи с исследованием грунтовых вод на площадке.</w:t>
      </w:r>
    </w:p>
    <w:p w14:paraId="2F97BBAA"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По прокатному производству:</w:t>
      </w:r>
    </w:p>
    <w:p w14:paraId="6B072B38"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форсировать проектирование первой очереди прокатного производства Магнитостроя в Германии.</w:t>
      </w:r>
    </w:p>
    <w:p w14:paraId="0D11E19B"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Форсировать размещение заказов на прокатное оборудование, расчленив его на импортное и союзное.</w:t>
      </w:r>
    </w:p>
    <w:p w14:paraId="0208BE45"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Необходимо для такого крупнейшего прокатного цеха, какой будет в Магнитогорске, срочно иметь ответственное и технически грамотное лицо. До последнего времени прокатчик Магнитостроя (Н. Н. ШАДРИН) был переведен в Востокосталь, а прокатчик Востокостали (тов. ЗАРОЩИНСКИЙ) в конце октября 1930 г. при переговорах со мной о переходе на Магнитострой заявил, что он на эту работу не пойдет. Считаю, что вопрос этот имеет большую важность и срочность, так как задачи по заказам оборудования, строительства цеха, монтажа и пуска цеха в эксплоатацию чрезвычайно сложны и ответственны.</w:t>
      </w:r>
    </w:p>
    <w:p w14:paraId="24781112"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Вопрос с питанием валками Магнитогорского завода, затронутый мной в разделе четвертом (задания для завода), необходимо срочно поставить и решить, так как парк валков придется создавать также срочно.</w:t>
      </w:r>
    </w:p>
    <w:p w14:paraId="2D339544"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 Вопросы прокатного производства (оборудование нагревательных колодцев, нагревательных печей, кранов, оборудование отделения стрипперов) необходимо кооперировать с Кузнецкстроем, поскольку у последнего вопросы эти разработаны.</w:t>
      </w:r>
    </w:p>
    <w:p w14:paraId="2EF22540"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VIII. Водоснабжение завода.</w:t>
      </w:r>
    </w:p>
    <w:p w14:paraId="1A8BD009"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Вредительство в этом вопросе заключалось в том, что в Магнитострое к этому делу не было проявлено серьезного отношения. Водоканал строй, которому была поручена разработка вопроса, затягивал решение, часто по вине Магнитостроя, который не давал необходимых для проектировки данных.</w:t>
      </w:r>
    </w:p>
    <w:p w14:paraId="00B89D33"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Магнитострою и Востокостали необходимо провести следующие мероприятия:</w:t>
      </w:r>
    </w:p>
    <w:p w14:paraId="45735C48"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Проанализировать все имеющиеся подсчеты потребления воды заводом, городом и другими потребителями, которые будут находиться в районе завода (в том числе совхозы, которые будут обслуживать Магнитогорск).</w:t>
      </w:r>
    </w:p>
    <w:p w14:paraId="75A81D2E"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Выяснить, хватит ли резервуара магнитогорского пруда для указанных выше целей. Если нет, то необходимо поставить вопрос о постройке в будущем второго (верхнего) пруда, произведя для этого исследовательские работы.</w:t>
      </w:r>
    </w:p>
    <w:p w14:paraId="4D747003"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Выяснить вопрос о питьевой воде и способе ее очистки. В октябре 1930 г. на Магнитострое мне говорили, что этот вопрос окончательного решения не получил.</w:t>
      </w:r>
    </w:p>
    <w:p w14:paraId="06F9F823"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 октября 1930 г. не было проекта главной насосной станции на берегу пруда. Необходимо с строительством станции и заказом оборудования для нее спешить, иначе электростанция и завод останутся без воды.</w:t>
      </w:r>
    </w:p>
    <w:p w14:paraId="3EB11069"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IX. Огнеупорные цеха Магнитогорского завода.</w:t>
      </w:r>
    </w:p>
    <w:p w14:paraId="29CF60BE"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Вредительство в этом вопросе заключалось в том, что как проектирование, так и заказы велись Магнитостроем бессистемно и лицом, совершенно не соответствующим своему назначению. Необходимо форсировать проектирование и строительство шамотного и динасового цехов. В этом вопросе в течение года велась ненужная переписка между Востокосталью и комиссией в Америк[е] на тему, кто должен проектировать огнеупорные цеха, несмотря на то, что председатель комиссии в Америке известил строительство, что фирма Мак-Ки проекта делать не будет.</w:t>
      </w:r>
    </w:p>
    <w:p w14:paraId="13BF0F46"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Мне известно было, что Магнитострой обращался к немецкой фирме, чтобы она взяла проектирование огнеупорных цехов, но какая фирма и что из этого обращения получилось, не знаю.</w:t>
      </w:r>
    </w:p>
    <w:p w14:paraId="23B9B764"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X. Вспомогательные цеха Магнитогорского завода.</w:t>
      </w:r>
    </w:p>
    <w:p w14:paraId="26BD2B55"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Вредительство в этом вопросе заключалось в том, что проектирование в Уралгипромезе и Магнитострое велось по этим цехам (Механический цех, Литейная № 1, Литейная для отливки изложниц, Модельная, Деревообделочная, Кузница, Электроремонтная, заводский магазин) бессистемно и неквалифицированными работниками. Эти цеха должны были быть построены в первую очередь с расчетом, чтобы они явились подсобными во время строительства.</w:t>
      </w:r>
    </w:p>
    <w:p w14:paraId="4234119A"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Фирма Мак-Ки запоздала с проектами вспомогательных цехов и дала первый цех (Механический) совершенно без всяких технических расчетов, как обычно дают американские фирмы (согласно американской практике).</w:t>
      </w:r>
    </w:p>
    <w:p w14:paraId="629423D9"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Магнитострою и Востокостали необходимо:</w:t>
      </w:r>
    </w:p>
    <w:p w14:paraId="6830330A"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Подвергнуть рассмотрению американские проекты с точки зрения их технологической приемлемости и строительной целесообразности.</w:t>
      </w:r>
    </w:p>
    <w:p w14:paraId="1C230677"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Если нет проектов из Америки, для ускорения работы использовать готовые уже проекты Кузнецкстроя или других заводов (южных) таких мастерских, как Механическая, кузница, литейные.</w:t>
      </w:r>
    </w:p>
    <w:p w14:paraId="06BBB211"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Механический цех, Кузнечный и Литейные необходимо строить немедленно. Начать подготовительные работы (копку котлованов) сейчас, чтобы с начала строительного сезона развернуть форсированно работы.</w:t>
      </w:r>
    </w:p>
    <w:p w14:paraId="69AAD771"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«Востокосталь» должна форсировать размещение заказов на оборудование вспомогательных цехов (главным образом на различные станки), проверив особенно тщательно американские спецификации и сравнив их с кузнецкими.</w:t>
      </w:r>
    </w:p>
    <w:p w14:paraId="5A17FCC4"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XI. В связи с создавшимся положением с проектированием (его расчленением: Доменный цех в Америке, Мартен в СССР и прокатка в Германии) в конце октября 1930 г. возник еще вопрос об общей увязке проектирования, об изменении генерального плана завода, так как ситуация прокатного цеха изменилась (вместо двух цехов, как намечено было у Мак-Ки, «Востокосталь» приняла проект расположения всего прокатного производства в одном цехе). В зависимости от изменения прокатного цеха несколько меняется и расположение сталеделательных цехов. При изменении генерального плана должно измениться и все кровообращение завода: железнодорожная внутренняя связь, водоснабжение, канализация, распределение пара, электросвязь. В первую очередь, должен быть поставлен вопрос в генеральном плане завода в смысле окончательной увязки цехов и внутреннего транспорта. В октябре 1930 г., как я уже сказал, этот вопрос был поставлен. Если он не проведен в жизнь, то Магнитострой и Востокосталь должны срочно сделать это дело. Я считаю, этот вопрос должен разрабатываться в небольшом бюро, возглавляемом помощником главного инженера, в него должны войти (1 или 2) работника, достаточно знающие внутризаводской транспорт. Бюро это предполагалось образовать в Москве, где быстрее можно найти работников и где скорее могут быть разрешены вопросы размещения на ситуационном плане цехов и мастерских заводов. В Москве же предполагалась увязка всех технических вопросов в связи с разбивкой проектирования в разных пунктах, а также техническая консультация при размещении заказов «Востокосталью», так как последняя в своем отделе заказов не располагает грамотным техническим персоналом и так как приходится часто изменять данные, указанные в спецификациях.</w:t>
      </w:r>
    </w:p>
    <w:p w14:paraId="6548C890"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Считаю, что такая общетехническая ячейка должна существовать при главном инженере, учитывая вышеуказанное обстоятельство, так как вопросов общей увязки, общего координирования будет чрезвычайно много и они будут иметь особую срочность. Ввиду расчленения проектирования (как это было в октябре 1930 г.) при общетехническом бюро у главного инженера должен быть и небольшой проектировочный отдел, где должны рассматриваться и приниматься все поступающие на строительство проекты и составляться проекты обще-заводских устройств (железно-дорожное хозяйство, канализация пара, воды, электротока), если они не переданы для исполнения какой[-]нибудь проектировочной организации. В случае исполнения их на стороне, проектировочный отдел при главном инженере рассматривает и утверждает их в процессе работы (а это потребуется), вносит в них соответствующие изменения.</w:t>
      </w:r>
    </w:p>
    <w:p w14:paraId="34432297"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Указанная организация общетехнического и проектировочного характера при главном инженере только на время составления генерального плана завода и увязки главных вопросов проектирования основных цехов работает первое время в Москве при «Востокостали», затем она должна работать на месте строительства.</w:t>
      </w:r>
    </w:p>
    <w:p w14:paraId="0E92D260"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XII. Организационный вопрос Магнитостроя.</w:t>
      </w:r>
    </w:p>
    <w:p w14:paraId="319D6659"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Магнитогорское строительство (завод, рудник, город) по своему масштабу, сложности и особенно темпам не имеет прецедента в мировой промышленной практике. Американские фирмы и отдельные американские инженеры не верят в принятый нами срок строительства даже в условиях Америки[,] и только отдельные объекты строительств (плотина на Магнитогорском заводе построена в 100 дней) заставляют иностранцев (мистера Мак-Ки, который приезжал в октябре в СССР и был в Магнитострое) менять мнение о наших темпах.</w:t>
      </w:r>
    </w:p>
    <w:p w14:paraId="7E6C2405"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 же факт грандиозности строительства остается и при организационных формах, которые должны быть на постройке, никогда этого упускать нельзя.</w:t>
      </w:r>
    </w:p>
    <w:p w14:paraId="15AEBCCB"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организации управления строительством должна быть проведена децентрализация работы, так как отдельные части строительства являются слишком крупными и специальными единицами. Таких участков я намечаю двенадцать на Магнитострое: 1) город, 2) горное хозяйство и разведки, 3) коксовальный завод, 4) доменный цех, 5) сталеделательные цеха, 6) прокатный цех, 7) постоянные вспомогательные цеха, 8) электроцентраль комбината, 9) электрофикация комбината, 10) водоснабжение и канализация завода, рудника и города, 11) транспорт комбината и 12) огнеупорные цеха завода.</w:t>
      </w:r>
    </w:p>
    <w:p w14:paraId="6B8D7DA7"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Также в отдельную единицу выделяются на время строительства подсобные, общие для всего строительства, предприятия (карьеры строительных материалов, кирпичные заводы, лесопилка и временные мастерские).</w:t>
      </w:r>
    </w:p>
    <w:p w14:paraId="2E1A5B91"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Эти отдельные участки строительства должны управляться самостоятельно и начальник строительства только координирует и направляет работу отдельных частей, увязывая их с общей линией строительства.</w:t>
      </w:r>
    </w:p>
    <w:p w14:paraId="443792BB"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каждого самостоятельного директора и его технического помощника отдельного участка вырабатывается положение, где четко очерчены права, обязанности и ответственность каждого. В схеме организации управления строительством должно быть отведено должное место главному инженеру, чтобы последний действительно отвечал своему назначению, т. е. отвечал бы за всю техническую работу на строительстве.</w:t>
      </w:r>
    </w:p>
    <w:p w14:paraId="2304ED99"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Главный инженер должен являться помощником начальника Магнитостроя, увязывая все технические вопросы, не исключая и строительных. Главный строитель является помощником главного инженера, иначе распыляется всякая ответственность. У главного строителя имеются крупные производители строительных работ на указанных выше отдельных участках строительства; производители работ имеют полный контакт и увязку в работе с директорами и техническими руководителями, работающими на отдельных участках.</w:t>
      </w:r>
    </w:p>
    <w:p w14:paraId="0F1BBC02"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вопросам организации относится вопрос правильного использования технического персонала, присланного фирмой Мак-Ки согласно договора, который заключен с фирмой в марте 1930 г. Фирма Мак-Ки, кроме проектирования, обязана руководить строительством на месте постройки через командируемых инженеров и техников. В мае 1930 г. фирма Мак-Ки прислала на Магнитострой первую партию технического персонала во главе с мистером Мак-Муррей, которого фирма наметила во главу американской технической группы. Первая группа американцев состояла из 10 человек.</w:t>
      </w:r>
    </w:p>
    <w:p w14:paraId="36085FC2"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Мак-Муррей, согласно договора, должен быть начальником строительного отдела Магнитостроя и за полной ответственностью фирмы должен был руководить строительством. Конечно, ответственность фирмы, как и во всех иностранных договорах, была проблематичная, так как материальной ответственности фирма не несла. Остальные инженеры должны были, согласно договора, возглавлять работу на отдельных участках; у американского инженера должен быть в качестве помощника наш инженер, также намечался и партийный работник.</w:t>
      </w:r>
    </w:p>
    <w:p w14:paraId="7A4E76CE"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 ноября 1930 г. ни Мак-Муррей, ни другие американские инженеры совершенно не были использованы в строительстве, ни согласно договора, заключенного с фирмой, ни по существу всей работы.</w:t>
      </w:r>
    </w:p>
    <w:p w14:paraId="2F30BB2B"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Вся американская группа (в августе приехала вторая партия американских инженеров), как мне говорили на строительстве в начале (1-4) октября 1930 г., принимала участие в лучшем случае в качестве консультантов. Часть инженеров, присланных фирмой, оказалась несостоятельной (двух за пьянство отправили обратно в Америку).</w:t>
      </w:r>
    </w:p>
    <w:p w14:paraId="7B891DAF"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Американские специалисты получают крупные оклады (Мак- Муррей — 20.000 долларов в год).</w:t>
      </w:r>
    </w:p>
    <w:p w14:paraId="5644C433"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Необходимо Магнитострою и «Востокостали» этот вопрос срочно обсудить и решить его в смысле правильного и продуктивного использования иностранных специалистов, получив от них полную отдачу.</w:t>
      </w:r>
    </w:p>
    <w:p w14:paraId="2727BBA9"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Строительство до ноября 1930 г. не получило никакой сметы на строительство завода и рудника, не считая небольшой колонки цифр, которые ни коим образом нельзя считать хотя бы сметными соображениями.</w:t>
      </w:r>
    </w:p>
    <w:p w14:paraId="3A5701C9"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Магнитострою и «Востокостали» необходимо организовать сметный отдел на строительстве, так как дальше продолжать работу, не имея сметы, невозможно.</w:t>
      </w:r>
    </w:p>
    <w:p w14:paraId="36EC491F"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Записано собственноручно.</w:t>
      </w:r>
    </w:p>
    <w:p w14:paraId="21BE0095"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Инженер Вит [алий] Гассельблат</w:t>
      </w:r>
    </w:p>
    <w:p w14:paraId="11291133"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Допросил:</w:t>
      </w:r>
    </w:p>
    <w:p w14:paraId="6F85866D"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Уполномоченный 1 Отделения ЭКУ ОГПУ Майоров</w:t>
      </w:r>
    </w:p>
    <w:p w14:paraId="7082E693" w14:textId="77777777" w:rsidR="006C4450" w:rsidRPr="005E779E" w:rsidRDefault="006C44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 356. Л. 110-134. Машинописный подлинник, подписи на Л. 134 — автографы. Эти и другие показания В. А. Гассельблата (док. № 356-23) были направлены председателем ОГПУ В. Р. Менжинским в ЦК ВКП(б) на имя И. В. Сталина 12 февраля 1931 г. вместе со «Справкой о ликвидированных контрреволюционных организациях на Урале» (док. № 356-26). Сопроводительную записку за подписью В. Р. Менжинского — см. док. М 356-25 (18659).</w:t>
      </w:r>
    </w:p>
    <w:p w14:paraId="68D493A8" w14:textId="77777777" w:rsidR="006C4450" w:rsidRPr="005E779E" w:rsidRDefault="006C4450" w:rsidP="000B7A6C">
      <w:pPr>
        <w:spacing w:after="0" w:line="240" w:lineRule="auto"/>
        <w:jc w:val="both"/>
        <w:rPr>
          <w:rFonts w:ascii="Times New Roman" w:hAnsi="Times New Roman"/>
          <w:color w:val="000000" w:themeColor="text1"/>
          <w:sz w:val="16"/>
          <w:szCs w:val="16"/>
        </w:rPr>
      </w:pPr>
    </w:p>
    <w:p w14:paraId="5FF9A67B" w14:textId="3B97FDFA" w:rsidR="000C0715" w:rsidRPr="005E779E" w:rsidRDefault="00B7152C" w:rsidP="000C0715">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Авиапромышленность</w:t>
      </w:r>
      <w:r w:rsidR="000C0715" w:rsidRPr="005E779E">
        <w:rPr>
          <w:rFonts w:ascii="Times New Roman" w:hAnsi="Times New Roman"/>
          <w:i/>
          <w:iCs/>
          <w:color w:val="000000" w:themeColor="text1"/>
          <w:sz w:val="16"/>
          <w:szCs w:val="16"/>
        </w:rPr>
        <w:t>:</w:t>
      </w:r>
    </w:p>
    <w:p w14:paraId="07749674" w14:textId="77777777" w:rsidR="000C0715" w:rsidRPr="005E779E" w:rsidRDefault="000C0715" w:rsidP="000C0715">
      <w:pPr>
        <w:autoSpaceDE w:val="0"/>
        <w:autoSpaceDN w:val="0"/>
        <w:adjustRightInd w:val="0"/>
        <w:spacing w:after="0" w:line="240" w:lineRule="auto"/>
        <w:jc w:val="both"/>
        <w:rPr>
          <w:rFonts w:ascii="Times New Roman" w:hAnsi="Times New Roman"/>
          <w:iCs/>
          <w:color w:val="000000" w:themeColor="text1"/>
          <w:sz w:val="16"/>
          <w:szCs w:val="16"/>
        </w:rPr>
      </w:pPr>
    </w:p>
    <w:p w14:paraId="02F664F0" w14:textId="77777777" w:rsidR="000C0715" w:rsidRPr="00142305" w:rsidRDefault="000C0715" w:rsidP="000C071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29 января 1931 года начальник НИИ ВВС В.С. Горшков докладывал помощнику начальника ВВС РККА Меженинову:</w:t>
      </w:r>
    </w:p>
    <w:p w14:paraId="418B0FD2" w14:textId="77777777" w:rsidR="000C0715" w:rsidRPr="00142305" w:rsidRDefault="000C0715" w:rsidP="000C071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«Доношу, что первая стадия испытания ДРП закончена. Испытания имели целью выявить возможности:</w:t>
      </w:r>
    </w:p>
    <w:p w14:paraId="0EEAD3D2" w14:textId="77777777" w:rsidR="000C0715" w:rsidRPr="00142305" w:rsidRDefault="000C0715" w:rsidP="000C0715">
      <w:pPr>
        <w:widowControl w:val="0"/>
        <w:tabs>
          <w:tab w:val="left" w:pos="854"/>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Употребления прибора в воздухе.</w:t>
      </w:r>
    </w:p>
    <w:p w14:paraId="61CCD250" w14:textId="77777777" w:rsidR="000C0715" w:rsidRPr="00142305" w:rsidRDefault="000C0715" w:rsidP="000C0715">
      <w:pPr>
        <w:widowControl w:val="0"/>
        <w:tabs>
          <w:tab w:val="left" w:pos="864"/>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 Установки на самолете Р-ЗЛД без каких-либо существенных переделок самолета.</w:t>
      </w:r>
    </w:p>
    <w:p w14:paraId="09AD3BA8" w14:textId="77777777" w:rsidR="000C0715" w:rsidRPr="00142305" w:rsidRDefault="000C0715" w:rsidP="000C0715">
      <w:pPr>
        <w:widowControl w:val="0"/>
        <w:tabs>
          <w:tab w:val="left" w:pos="864"/>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 Проследить вредное действие на конструкцию самолета во время работы прибора.</w:t>
      </w:r>
    </w:p>
    <w:p w14:paraId="55D6416B" w14:textId="77777777" w:rsidR="000C0715" w:rsidRPr="00142305" w:rsidRDefault="000C0715" w:rsidP="000C0715">
      <w:pPr>
        <w:widowControl w:val="0"/>
        <w:tabs>
          <w:tab w:val="left" w:pos="855"/>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4. В случае положительных результатов провести практическую стрельбу по воздуш</w:t>
      </w:r>
      <w:r w:rsidRPr="00142305">
        <w:rPr>
          <w:rFonts w:ascii="Times New Roman" w:hAnsi="Times New Roman"/>
          <w:color w:val="0070C0"/>
          <w:sz w:val="16"/>
          <w:szCs w:val="16"/>
        </w:rPr>
        <w:softHyphen/>
        <w:t>ным мишеням.</w:t>
      </w:r>
    </w:p>
    <w:p w14:paraId="17989837" w14:textId="77777777" w:rsidR="000C0715" w:rsidRPr="00142305" w:rsidRDefault="000C0715" w:rsidP="000C071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Испытания велись в следующей постепенности:</w:t>
      </w:r>
    </w:p>
    <w:p w14:paraId="54143080" w14:textId="77777777" w:rsidR="000C0715" w:rsidRPr="00142305" w:rsidRDefault="000C0715" w:rsidP="000C0715">
      <w:pPr>
        <w:widowControl w:val="0"/>
        <w:tabs>
          <w:tab w:val="left" w:pos="850"/>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Ознакомительные стрельбы с земной установки по щитам на дистанциях 100 и 200 м.</w:t>
      </w:r>
    </w:p>
    <w:p w14:paraId="25957305" w14:textId="77777777" w:rsidR="000C0715" w:rsidRPr="00142305" w:rsidRDefault="000C0715" w:rsidP="000C0715">
      <w:pPr>
        <w:widowControl w:val="0"/>
        <w:tabs>
          <w:tab w:val="left" w:pos="844"/>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 Установка по одному варианту на самолет Р-ЗЛД с левого борта под углом вверх.</w:t>
      </w:r>
    </w:p>
    <w:p w14:paraId="716A5C75" w14:textId="77777777" w:rsidR="000C0715" w:rsidRPr="00142305" w:rsidRDefault="000C0715" w:rsidP="000C0715">
      <w:pPr>
        <w:widowControl w:val="0"/>
        <w:tabs>
          <w:tab w:val="left" w:pos="844"/>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 Стрельба с установкой на самолет с опущенным хвостом на земле.</w:t>
      </w:r>
    </w:p>
    <w:p w14:paraId="1869E5F3" w14:textId="77777777" w:rsidR="000C0715" w:rsidRPr="00142305" w:rsidRDefault="000C0715" w:rsidP="000C0715">
      <w:pPr>
        <w:widowControl w:val="0"/>
        <w:tabs>
          <w:tab w:val="left" w:pos="844"/>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4. Стрельба с самолета в воздухе холостыми снарядами.</w:t>
      </w:r>
    </w:p>
    <w:p w14:paraId="31A74F0E" w14:textId="77777777" w:rsidR="000C0715" w:rsidRPr="00142305" w:rsidRDefault="000C0715" w:rsidP="000C0715">
      <w:pPr>
        <w:widowControl w:val="0"/>
        <w:tabs>
          <w:tab w:val="left" w:pos="844"/>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5. Стрельба с самолета в воздухе боевыми снарядами.</w:t>
      </w:r>
    </w:p>
    <w:p w14:paraId="7A909344" w14:textId="77777777" w:rsidR="000C0715" w:rsidRPr="00142305" w:rsidRDefault="000C0715" w:rsidP="000C071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 первой стрельбе с самолета на земле были обнаружены после второго выстрела боевым снарядом повреждения в хвостовой части самолета: прогиб стабилизатора и выпучивание наружу гофра (обшивки. - Прим, авт.) с отрывом заклепок. Причина - &lt;... &gt; действие газов, отраженных от земли. При последующих опытах решено самолет ста</w:t>
      </w:r>
      <w:r w:rsidRPr="00142305">
        <w:rPr>
          <w:rFonts w:ascii="Times New Roman" w:hAnsi="Times New Roman"/>
          <w:color w:val="0070C0"/>
          <w:sz w:val="16"/>
          <w:szCs w:val="16"/>
        </w:rPr>
        <w:softHyphen/>
        <w:t>вить в линию полета, и у прибора увеличить трубу «сопло» на 1 метр (повреждения повто</w:t>
      </w:r>
      <w:r w:rsidRPr="00142305">
        <w:rPr>
          <w:rFonts w:ascii="Times New Roman" w:hAnsi="Times New Roman"/>
          <w:color w:val="0070C0"/>
          <w:sz w:val="16"/>
          <w:szCs w:val="16"/>
        </w:rPr>
        <w:softHyphen/>
        <w:t>рились)...</w:t>
      </w:r>
    </w:p>
    <w:p w14:paraId="176E86F9" w14:textId="77777777" w:rsidR="000C0715" w:rsidRPr="00142305" w:rsidRDefault="000C0715" w:rsidP="000C071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первый полет было сделано два холостых выстрела уменьшенным зарядом. При этом было отменено сильное оглушение пилота, срыв крышечки со шпильки на верхней плоскости.</w:t>
      </w:r>
    </w:p>
    <w:p w14:paraId="063CCE42" w14:textId="77777777" w:rsidR="000C0715" w:rsidRPr="00142305" w:rsidRDefault="000C0715" w:rsidP="000C071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Во второй полет было сделано четыре выстрела, из них два уменьшенным холостым зарядом и два увеличенным холостым зарядом. Отмечена желобообразная примятостъ в верхней части верхней плоскости, под этой примятостъю снизу вмятина. Наполовину оторван обтекатель пулемета ПВ-1. После каждого выстрела сильно разрушался козырек (стекло «триплекс») &lt;...&gt; немного вмят стабилизатор и оторван гофр.</w:t>
      </w:r>
    </w:p>
    <w:p w14:paraId="65C17E9C" w14:textId="77777777" w:rsidR="000C0715" w:rsidRPr="00142305" w:rsidRDefault="000C0715" w:rsidP="000C071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третий полет предполагалась боевая стрельба по шарам-пилотам, но выполнить этого не удалось, т.к. шары оборвались и улетели. Было произведено три выстрела: один шрапнелью с постоянной установкой, второй картечью и третий - опять шрапнелью.</w:t>
      </w:r>
    </w:p>
    <w:p w14:paraId="4B230F32" w14:textId="77777777" w:rsidR="000C0715" w:rsidRPr="00142305" w:rsidRDefault="000C0715" w:rsidP="000C071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Отмечено в воздухе: вздрагивание самолета гораздо сильнее, чем при стрельбе холо</w:t>
      </w:r>
      <w:r w:rsidRPr="00142305">
        <w:rPr>
          <w:rFonts w:ascii="Times New Roman" w:hAnsi="Times New Roman"/>
          <w:color w:val="0070C0"/>
          <w:sz w:val="16"/>
          <w:szCs w:val="16"/>
        </w:rPr>
        <w:softHyphen/>
        <w:t>стыми. После второго выстрела у стрелка т. Вахмистрова, который в момент выстрела близко наклонился к прицелу, расположенному недалеко от дульной части, появилась кровь и боль в грудной клетке, т.е. явления, наблюдаемые при контузии.</w:t>
      </w:r>
    </w:p>
    <w:p w14:paraId="1B0AD9EB" w14:textId="77777777" w:rsidR="000C0715" w:rsidRPr="00142305" w:rsidRDefault="000C0715" w:rsidP="000C071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Четвертый выстрел сделать не удалось, так как снаряд, поврежденный при вклады</w:t>
      </w:r>
      <w:r w:rsidRPr="00142305">
        <w:rPr>
          <w:rFonts w:ascii="Times New Roman" w:hAnsi="Times New Roman"/>
          <w:color w:val="0070C0"/>
          <w:sz w:val="16"/>
          <w:szCs w:val="16"/>
        </w:rPr>
        <w:softHyphen/>
        <w:t>вании, что было определено на земле, застрял в канале примерно на половине, и сделанных три вспышки воспламенить заряд не смогли...</w:t>
      </w:r>
    </w:p>
    <w:p w14:paraId="0A56BD4E" w14:textId="77777777" w:rsidR="000C0715" w:rsidRPr="00142305" w:rsidRDefault="000C0715" w:rsidP="000C071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основании произведенных опытов можно сделать следующие выводы:</w:t>
      </w:r>
    </w:p>
    <w:p w14:paraId="3CA8FDE7" w14:textId="77777777" w:rsidR="000C0715" w:rsidRPr="00142305" w:rsidRDefault="000C0715" w:rsidP="000C0715">
      <w:pPr>
        <w:widowControl w:val="0"/>
        <w:tabs>
          <w:tab w:val="left" w:pos="854"/>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Стрелять из ДРП с самолета можно.</w:t>
      </w:r>
    </w:p>
    <w:p w14:paraId="3A2152F9" w14:textId="77777777" w:rsidR="000C0715" w:rsidRPr="00142305" w:rsidRDefault="000C0715" w:rsidP="000C0715">
      <w:pPr>
        <w:widowControl w:val="0"/>
        <w:tabs>
          <w:tab w:val="left" w:pos="850"/>
        </w:tabs>
        <w:spacing w:after="0" w:line="240" w:lineRule="auto"/>
        <w:jc w:val="both"/>
        <w:rPr>
          <w:rFonts w:ascii="Times New Roman" w:hAnsi="Times New Roman"/>
          <w:color w:val="0070C0"/>
          <w:sz w:val="16"/>
          <w:szCs w:val="16"/>
        </w:rPr>
      </w:pPr>
      <w:bookmarkStart w:id="2" w:name="bookmark37"/>
      <w:bookmarkEnd w:id="2"/>
      <w:r w:rsidRPr="00142305">
        <w:rPr>
          <w:rFonts w:ascii="Times New Roman" w:hAnsi="Times New Roman"/>
          <w:color w:val="0070C0"/>
          <w:sz w:val="16"/>
          <w:szCs w:val="16"/>
        </w:rPr>
        <w:t>2. Самолет РЗЛД без соответствующих переделок, в смысле укрепления конструкции, для установок ДРП по первому варианту не пригоден...</w:t>
      </w:r>
    </w:p>
    <w:p w14:paraId="2B78DBF2" w14:textId="77777777" w:rsidR="000C0715" w:rsidRPr="00142305" w:rsidRDefault="000C0715" w:rsidP="000C071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Считаю идею установки ДРП на самолете заслуживающей большого интереса. НИИ считает необходимым продолжить опыты, для чего:</w:t>
      </w:r>
    </w:p>
    <w:p w14:paraId="569AA350" w14:textId="77777777" w:rsidR="000C0715" w:rsidRPr="00142305" w:rsidRDefault="000C0715" w:rsidP="000C0715">
      <w:pPr>
        <w:widowControl w:val="0"/>
        <w:tabs>
          <w:tab w:val="left" w:pos="850"/>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Необходимо нарядить НИИ два самолета Р ЗЛД и дать задание заводу № 22 произ</w:t>
      </w:r>
      <w:r w:rsidRPr="00142305">
        <w:rPr>
          <w:rFonts w:ascii="Times New Roman" w:hAnsi="Times New Roman"/>
          <w:color w:val="0070C0"/>
          <w:sz w:val="16"/>
          <w:szCs w:val="16"/>
        </w:rPr>
        <w:softHyphen/>
        <w:t>вести укрепление самолета по указаниям НИИ.</w:t>
      </w:r>
    </w:p>
    <w:p w14:paraId="05780A16" w14:textId="77777777" w:rsidR="000C0715" w:rsidRPr="00142305" w:rsidRDefault="000C0715" w:rsidP="000C0715">
      <w:pPr>
        <w:widowControl w:val="0"/>
        <w:tabs>
          <w:tab w:val="left" w:pos="884"/>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 На первом самолете продолжать опыты по стрельбе по воздушным мишеням.</w:t>
      </w:r>
    </w:p>
    <w:p w14:paraId="69278F2F" w14:textId="77777777" w:rsidR="000C0715" w:rsidRPr="00142305" w:rsidRDefault="000C0715" w:rsidP="000C0715">
      <w:pPr>
        <w:widowControl w:val="0"/>
        <w:tabs>
          <w:tab w:val="left" w:pos="860"/>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 Произвести опытную установку прибора под крылом на первом самолете и испы</w:t>
      </w:r>
      <w:r w:rsidRPr="00142305">
        <w:rPr>
          <w:rFonts w:ascii="Times New Roman" w:hAnsi="Times New Roman"/>
          <w:color w:val="0070C0"/>
          <w:sz w:val="16"/>
          <w:szCs w:val="16"/>
        </w:rPr>
        <w:softHyphen/>
        <w:t>тать стрельбой на земле и в воздухе.</w:t>
      </w:r>
    </w:p>
    <w:p w14:paraId="2DACE9D3" w14:textId="77777777" w:rsidR="000C0715" w:rsidRPr="00142305" w:rsidRDefault="000C0715" w:rsidP="000C0715">
      <w:pPr>
        <w:widowControl w:val="0"/>
        <w:tabs>
          <w:tab w:val="left" w:pos="855"/>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4. Забронировать специальный кадр работников для выполнения задания из числа сотрудников НИИ и автора проекта инж. Курчевского с его помощником и ничем другим их не загружать» (24991).</w:t>
      </w:r>
    </w:p>
    <w:p w14:paraId="5D92FEC5" w14:textId="77777777" w:rsidR="000C0715" w:rsidRPr="00142305" w:rsidRDefault="000C0715" w:rsidP="000C0715">
      <w:pPr>
        <w:spacing w:after="0" w:line="240" w:lineRule="auto"/>
        <w:jc w:val="both"/>
        <w:rPr>
          <w:rFonts w:ascii="Times New Roman" w:hAnsi="Times New Roman"/>
          <w:color w:val="0070C0"/>
          <w:sz w:val="16"/>
          <w:szCs w:val="16"/>
        </w:rPr>
      </w:pPr>
    </w:p>
    <w:p w14:paraId="3E31706B"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09B2914A"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27C84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 января 1931 управляющие Банка США были преданы суду (2100).</w:t>
      </w:r>
    </w:p>
    <w:p w14:paraId="1DEA3F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EA0554D"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27F55346"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988784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 января 1931 г. был первый полет летающей лодки МДР-2 (АНТ-8) (6395). Летал С.Т.Рыбальчук, л, который до этого облетывал лодки Д.П.Г. - МДР-1, МР-3, МР-5 (7610, 33).</w:t>
      </w:r>
    </w:p>
    <w:p w14:paraId="537AF91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B28ACC" w14:textId="77777777" w:rsidR="00C41B25" w:rsidRPr="005E779E" w:rsidRDefault="00C41B25"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30 января</w:t>
      </w:r>
      <w:r w:rsidRPr="005E779E">
        <w:rPr>
          <w:rFonts w:ascii="Times New Roman" w:hAnsi="Times New Roman"/>
          <w:color w:val="000000" w:themeColor="text1"/>
          <w:sz w:val="16"/>
          <w:szCs w:val="16"/>
        </w:rPr>
        <w:t xml:space="preserve"> в 1931 году первый полет летающей лодки </w:t>
      </w:r>
      <w:hyperlink r:id="rId11" w:tgtFrame="_blank" w:history="1">
        <w:r w:rsidRPr="005E779E">
          <w:rPr>
            <w:rFonts w:ascii="Times New Roman" w:hAnsi="Times New Roman"/>
            <w:color w:val="000000" w:themeColor="text1"/>
            <w:sz w:val="16"/>
            <w:szCs w:val="16"/>
          </w:rPr>
          <w:t xml:space="preserve">«МДР-2» («АНТ-8»), </w:t>
        </w:r>
      </w:hyperlink>
      <w:r w:rsidRPr="005E779E">
        <w:rPr>
          <w:rFonts w:ascii="Times New Roman" w:hAnsi="Times New Roman"/>
          <w:color w:val="000000" w:themeColor="text1"/>
          <w:sz w:val="16"/>
          <w:szCs w:val="16"/>
        </w:rPr>
        <w:t>экипаж С.Т.Рыбальчука. «МДР-2» - однолодочный морской дальний разведчик, первый цельнометаллический гидросамолет. Два двигателя у него были расположены на стойках на крыле, имели толкающие винты. В серии самолет не строился (15025).</w:t>
      </w:r>
    </w:p>
    <w:p w14:paraId="6F838AB9" w14:textId="77777777" w:rsidR="00C41B25" w:rsidRPr="005E779E" w:rsidRDefault="00C41B25" w:rsidP="000B7A6C">
      <w:pPr>
        <w:spacing w:after="0" w:line="240" w:lineRule="auto"/>
        <w:jc w:val="both"/>
        <w:rPr>
          <w:rFonts w:ascii="Times New Roman" w:hAnsi="Times New Roman"/>
          <w:color w:val="000000" w:themeColor="text1"/>
          <w:sz w:val="16"/>
          <w:szCs w:val="16"/>
        </w:rPr>
      </w:pPr>
    </w:p>
    <w:p w14:paraId="246DDA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 января 1931 в Севастополе состоялись сдаточные (заводские) испытания МДР-2 (АНТ-8) в течение 3 час. 47 мин. (1017,212).</w:t>
      </w:r>
    </w:p>
    <w:p w14:paraId="25649E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другим данным 30 января 1931 состоялся первый вылет МДР-2 (АНТ-8) А.Н.Т. (92,355) и летал С.Т.Рыбальчук (1852,48).</w:t>
      </w:r>
    </w:p>
    <w:p w14:paraId="201F40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9FA34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 января 1931 г. самолет АНТ-8 после испытаний на рулежку пошел первый раз в воздух. Заводские испытания продолжались всего 3 час. 47 мин., после чего самолет был предъявлен на гос. испытания.</w:t>
      </w:r>
    </w:p>
    <w:p w14:paraId="3EADE6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Гос. испытания были произведены для двух нагрузок:</w:t>
      </w:r>
    </w:p>
    <w:p w14:paraId="3064E5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Нагрузка согласно ТУ в 2105 кг и</w:t>
      </w:r>
    </w:p>
    <w:p w14:paraId="29CD06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нагрузка увеличенная в 2360 кг.</w:t>
      </w:r>
    </w:p>
    <w:p w14:paraId="398139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 гос. испытания удалось провести в 11 полетных дней.</w:t>
      </w:r>
    </w:p>
    <w:p w14:paraId="2D7840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 о самолете МДР-2</w:t>
      </w:r>
    </w:p>
    <w:p w14:paraId="795B1F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основании приказа НВВС N 6/1 произведены испытания самолета МДР-2.</w:t>
      </w:r>
    </w:p>
    <w:p w14:paraId="37C294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Вывод</w:t>
      </w:r>
    </w:p>
    <w:p w14:paraId="3EC04D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полученным летным данным самолет МДР-2 примерно равен самолету ДВ с данной нагрузкой.</w:t>
      </w:r>
    </w:p>
    <w:p w14:paraId="727866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Размещение вооружения, снаряжения и действие ими лучше, нежели на самолете ДВ (3279).</w:t>
      </w:r>
    </w:p>
    <w:p w14:paraId="10027F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EE4C911" w14:textId="0176CB77" w:rsidR="00FE1090" w:rsidRPr="005E779E" w:rsidRDefault="00FE109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 января 1931 года опытный самолет АНТ-8 вышел на испытания и</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состоялся первый полет. Государственные испыта</w:t>
      </w:r>
      <w:r w:rsidRPr="005E779E">
        <w:rPr>
          <w:rFonts w:ascii="Times New Roman" w:hAnsi="Times New Roman"/>
          <w:color w:val="000000" w:themeColor="text1"/>
          <w:sz w:val="16"/>
          <w:szCs w:val="16"/>
        </w:rPr>
        <w:softHyphen/>
        <w:t>ния проходили там же, в Севастополе, с 15 февраля по 20 марта. Проводил их летчик С.Т Рыбальчук с двумя вариан</w:t>
      </w:r>
      <w:r w:rsidRPr="005E779E">
        <w:rPr>
          <w:rFonts w:ascii="Times New Roman" w:hAnsi="Times New Roman"/>
          <w:color w:val="000000" w:themeColor="text1"/>
          <w:sz w:val="16"/>
          <w:szCs w:val="16"/>
        </w:rPr>
        <w:softHyphen/>
        <w:t>тами полетной массы — 6665 и 6920 кг. Определяли крейсерскую скорость и ра</w:t>
      </w:r>
      <w:r w:rsidRPr="005E779E">
        <w:rPr>
          <w:rFonts w:ascii="Times New Roman" w:hAnsi="Times New Roman"/>
          <w:color w:val="000000" w:themeColor="text1"/>
          <w:sz w:val="16"/>
          <w:szCs w:val="16"/>
        </w:rPr>
        <w:softHyphen/>
        <w:t>диус действия.</w:t>
      </w:r>
    </w:p>
    <w:p w14:paraId="5A0281B8" w14:textId="77777777" w:rsidR="00FE1090" w:rsidRPr="005E779E" w:rsidRDefault="00FE109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АНТ—8 соответствовал «требованиям сегодняшнего дня», но серийно не строился.</w:t>
      </w:r>
    </w:p>
    <w:p w14:paraId="2D374317" w14:textId="77777777" w:rsidR="00FE1090" w:rsidRPr="005E779E" w:rsidRDefault="00FE109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Эта машина осталась в истории как первая отечественная летающая лодка.</w:t>
      </w:r>
    </w:p>
    <w:p w14:paraId="3C159BA1" w14:textId="77777777" w:rsidR="00FE1090" w:rsidRPr="005E779E" w:rsidRDefault="00FE109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Основные характеристики самолета АНТ-8</w:t>
      </w:r>
    </w:p>
    <w:tbl>
      <w:tblPr>
        <w:tblOverlap w:val="never"/>
        <w:tblW w:w="0" w:type="auto"/>
        <w:tblLayout w:type="fixed"/>
        <w:tblCellMar>
          <w:left w:w="10" w:type="dxa"/>
          <w:right w:w="10" w:type="dxa"/>
        </w:tblCellMar>
        <w:tblLook w:val="04A0" w:firstRow="1" w:lastRow="0" w:firstColumn="1" w:lastColumn="0" w:noHBand="0" w:noVBand="1"/>
      </w:tblPr>
      <w:tblGrid>
        <w:gridCol w:w="3682"/>
        <w:gridCol w:w="1992"/>
      </w:tblGrid>
      <w:tr w:rsidR="00FE1090" w:rsidRPr="005E779E" w14:paraId="7732D718" w14:textId="77777777" w:rsidTr="004B2EA4">
        <w:trPr>
          <w:trHeight w:val="269"/>
        </w:trPr>
        <w:tc>
          <w:tcPr>
            <w:tcW w:w="3682" w:type="dxa"/>
            <w:tcBorders>
              <w:top w:val="single" w:sz="4" w:space="0" w:color="auto"/>
              <w:left w:val="single" w:sz="4" w:space="0" w:color="auto"/>
            </w:tcBorders>
            <w:vAlign w:val="bottom"/>
          </w:tcPr>
          <w:p w14:paraId="240033E6" w14:textId="77777777" w:rsidR="00FE1090" w:rsidRPr="005E779E" w:rsidRDefault="00FE109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Число и тип двигателя</w:t>
            </w:r>
          </w:p>
        </w:tc>
        <w:tc>
          <w:tcPr>
            <w:tcW w:w="1992" w:type="dxa"/>
            <w:tcBorders>
              <w:top w:val="single" w:sz="4" w:space="0" w:color="auto"/>
              <w:right w:val="single" w:sz="4" w:space="0" w:color="auto"/>
            </w:tcBorders>
            <w:vAlign w:val="bottom"/>
          </w:tcPr>
          <w:p w14:paraId="36D3D22D" w14:textId="77777777" w:rsidR="00FE1090" w:rsidRPr="005E779E" w:rsidRDefault="00FE109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2xBMW VI</w:t>
            </w:r>
          </w:p>
        </w:tc>
      </w:tr>
      <w:tr w:rsidR="00FE1090" w:rsidRPr="005E779E" w14:paraId="30588859" w14:textId="77777777" w:rsidTr="004B2EA4">
        <w:trPr>
          <w:trHeight w:val="221"/>
        </w:trPr>
        <w:tc>
          <w:tcPr>
            <w:tcW w:w="3682" w:type="dxa"/>
            <w:tcBorders>
              <w:left w:val="single" w:sz="4" w:space="0" w:color="auto"/>
            </w:tcBorders>
            <w:vAlign w:val="bottom"/>
          </w:tcPr>
          <w:p w14:paraId="7472B03F" w14:textId="77777777" w:rsidR="00FE1090" w:rsidRPr="005E779E" w:rsidRDefault="00FE109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Мощность, л. с.</w:t>
            </w:r>
          </w:p>
        </w:tc>
        <w:tc>
          <w:tcPr>
            <w:tcW w:w="1992" w:type="dxa"/>
            <w:tcBorders>
              <w:right w:val="single" w:sz="4" w:space="0" w:color="auto"/>
            </w:tcBorders>
          </w:tcPr>
          <w:p w14:paraId="6EE05CE4" w14:textId="77777777" w:rsidR="00FE1090" w:rsidRPr="005E779E" w:rsidRDefault="00FE1090" w:rsidP="000B7A6C">
            <w:pPr>
              <w:spacing w:after="0" w:line="240" w:lineRule="auto"/>
              <w:jc w:val="both"/>
              <w:rPr>
                <w:rFonts w:ascii="Times New Roman" w:hAnsi="Times New Roman"/>
                <w:color w:val="000000" w:themeColor="text1"/>
                <w:sz w:val="16"/>
                <w:szCs w:val="16"/>
              </w:rPr>
            </w:pPr>
          </w:p>
        </w:tc>
      </w:tr>
      <w:tr w:rsidR="00FE1090" w:rsidRPr="005E779E" w14:paraId="415770E8" w14:textId="77777777" w:rsidTr="004B2EA4">
        <w:trPr>
          <w:trHeight w:val="211"/>
        </w:trPr>
        <w:tc>
          <w:tcPr>
            <w:tcW w:w="3682" w:type="dxa"/>
            <w:tcBorders>
              <w:left w:val="single" w:sz="4" w:space="0" w:color="auto"/>
            </w:tcBorders>
            <w:vAlign w:val="bottom"/>
          </w:tcPr>
          <w:p w14:paraId="4F737900" w14:textId="77777777" w:rsidR="00FE1090" w:rsidRPr="005E779E" w:rsidRDefault="00FE109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w:t>
            </w:r>
          </w:p>
        </w:tc>
        <w:tc>
          <w:tcPr>
            <w:tcW w:w="1992" w:type="dxa"/>
            <w:tcBorders>
              <w:right w:val="single" w:sz="4" w:space="0" w:color="auto"/>
            </w:tcBorders>
            <w:vAlign w:val="bottom"/>
          </w:tcPr>
          <w:p w14:paraId="1BF5D775" w14:textId="77777777" w:rsidR="00FE1090" w:rsidRPr="005E779E" w:rsidRDefault="00FE109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2x730</w:t>
            </w:r>
          </w:p>
        </w:tc>
      </w:tr>
      <w:tr w:rsidR="00FE1090" w:rsidRPr="005E779E" w14:paraId="42DB6CA9" w14:textId="77777777" w:rsidTr="004B2EA4">
        <w:trPr>
          <w:trHeight w:val="221"/>
        </w:trPr>
        <w:tc>
          <w:tcPr>
            <w:tcW w:w="3682" w:type="dxa"/>
            <w:tcBorders>
              <w:left w:val="single" w:sz="4" w:space="0" w:color="auto"/>
            </w:tcBorders>
            <w:vAlign w:val="bottom"/>
          </w:tcPr>
          <w:p w14:paraId="5293401C" w14:textId="77777777" w:rsidR="00FE1090" w:rsidRPr="005E779E" w:rsidRDefault="00FE109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номинальная</w:t>
            </w:r>
          </w:p>
        </w:tc>
        <w:tc>
          <w:tcPr>
            <w:tcW w:w="1992" w:type="dxa"/>
            <w:tcBorders>
              <w:right w:val="single" w:sz="4" w:space="0" w:color="auto"/>
            </w:tcBorders>
            <w:vAlign w:val="bottom"/>
          </w:tcPr>
          <w:p w14:paraId="760F451D" w14:textId="77777777" w:rsidR="00FE1090" w:rsidRPr="005E779E" w:rsidRDefault="00FE109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2x500</w:t>
            </w:r>
          </w:p>
        </w:tc>
      </w:tr>
      <w:tr w:rsidR="00FE1090" w:rsidRPr="005E779E" w14:paraId="6F060021" w14:textId="77777777" w:rsidTr="004B2EA4">
        <w:trPr>
          <w:trHeight w:val="226"/>
        </w:trPr>
        <w:tc>
          <w:tcPr>
            <w:tcW w:w="3682" w:type="dxa"/>
            <w:tcBorders>
              <w:left w:val="single" w:sz="4" w:space="0" w:color="auto"/>
            </w:tcBorders>
            <w:vAlign w:val="bottom"/>
          </w:tcPr>
          <w:p w14:paraId="76E4646F" w14:textId="77777777" w:rsidR="00FE1090" w:rsidRPr="005E779E" w:rsidRDefault="00FE109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Длина самолета, м</w:t>
            </w:r>
          </w:p>
        </w:tc>
        <w:tc>
          <w:tcPr>
            <w:tcW w:w="1992" w:type="dxa"/>
            <w:tcBorders>
              <w:right w:val="single" w:sz="4" w:space="0" w:color="auto"/>
            </w:tcBorders>
            <w:vAlign w:val="bottom"/>
          </w:tcPr>
          <w:p w14:paraId="32EDFCBF" w14:textId="77777777" w:rsidR="00FE1090" w:rsidRPr="005E779E" w:rsidRDefault="00FE109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17,03</w:t>
            </w:r>
          </w:p>
        </w:tc>
      </w:tr>
      <w:tr w:rsidR="00FE1090" w:rsidRPr="005E779E" w14:paraId="5BEF17AF" w14:textId="77777777" w:rsidTr="004B2EA4">
        <w:trPr>
          <w:trHeight w:val="230"/>
        </w:trPr>
        <w:tc>
          <w:tcPr>
            <w:tcW w:w="3682" w:type="dxa"/>
            <w:tcBorders>
              <w:left w:val="single" w:sz="4" w:space="0" w:color="auto"/>
            </w:tcBorders>
          </w:tcPr>
          <w:p w14:paraId="543FDC89" w14:textId="77777777" w:rsidR="00FE1090" w:rsidRPr="005E779E" w:rsidRDefault="00FE109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Размах крыла, м</w:t>
            </w:r>
          </w:p>
        </w:tc>
        <w:tc>
          <w:tcPr>
            <w:tcW w:w="1992" w:type="dxa"/>
            <w:tcBorders>
              <w:right w:val="single" w:sz="4" w:space="0" w:color="auto"/>
            </w:tcBorders>
          </w:tcPr>
          <w:p w14:paraId="30FC5900" w14:textId="77777777" w:rsidR="00FE1090" w:rsidRPr="005E779E" w:rsidRDefault="00FE109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23,70</w:t>
            </w:r>
          </w:p>
        </w:tc>
      </w:tr>
      <w:tr w:rsidR="00FE1090" w:rsidRPr="005E779E" w14:paraId="32894F25" w14:textId="77777777" w:rsidTr="004B2EA4">
        <w:trPr>
          <w:trHeight w:val="202"/>
        </w:trPr>
        <w:tc>
          <w:tcPr>
            <w:tcW w:w="3682" w:type="dxa"/>
            <w:tcBorders>
              <w:left w:val="single" w:sz="4" w:space="0" w:color="auto"/>
            </w:tcBorders>
          </w:tcPr>
          <w:p w14:paraId="7E6C87BC" w14:textId="77777777" w:rsidR="00FE1090" w:rsidRPr="005E779E" w:rsidRDefault="00FE109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Высота самолета на стоянке, м</w:t>
            </w:r>
          </w:p>
        </w:tc>
        <w:tc>
          <w:tcPr>
            <w:tcW w:w="1992" w:type="dxa"/>
            <w:tcBorders>
              <w:right w:val="single" w:sz="4" w:space="0" w:color="auto"/>
            </w:tcBorders>
          </w:tcPr>
          <w:p w14:paraId="24A03E78" w14:textId="77777777" w:rsidR="00FE1090" w:rsidRPr="005E779E" w:rsidRDefault="00FE109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5,67</w:t>
            </w:r>
          </w:p>
        </w:tc>
      </w:tr>
      <w:tr w:rsidR="00FE1090" w:rsidRPr="005E779E" w14:paraId="15E45B84" w14:textId="77777777" w:rsidTr="004B2EA4">
        <w:trPr>
          <w:trHeight w:val="226"/>
        </w:trPr>
        <w:tc>
          <w:tcPr>
            <w:tcW w:w="3682" w:type="dxa"/>
            <w:tcBorders>
              <w:left w:val="single" w:sz="4" w:space="0" w:color="auto"/>
            </w:tcBorders>
            <w:vAlign w:val="bottom"/>
          </w:tcPr>
          <w:p w14:paraId="58AE1834" w14:textId="77777777" w:rsidR="00FE1090" w:rsidRPr="005E779E" w:rsidRDefault="00FE109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Площадь, м2</w:t>
            </w:r>
          </w:p>
        </w:tc>
        <w:tc>
          <w:tcPr>
            <w:tcW w:w="1992" w:type="dxa"/>
            <w:tcBorders>
              <w:right w:val="single" w:sz="4" w:space="0" w:color="auto"/>
            </w:tcBorders>
          </w:tcPr>
          <w:p w14:paraId="29E373F6" w14:textId="77777777" w:rsidR="00FE1090" w:rsidRPr="005E779E" w:rsidRDefault="00FE1090" w:rsidP="000B7A6C">
            <w:pPr>
              <w:spacing w:after="0" w:line="240" w:lineRule="auto"/>
              <w:jc w:val="both"/>
              <w:rPr>
                <w:rFonts w:ascii="Times New Roman" w:hAnsi="Times New Roman"/>
                <w:color w:val="000000" w:themeColor="text1"/>
                <w:sz w:val="16"/>
                <w:szCs w:val="16"/>
              </w:rPr>
            </w:pPr>
          </w:p>
        </w:tc>
      </w:tr>
      <w:tr w:rsidR="00FE1090" w:rsidRPr="005E779E" w14:paraId="50E70CE7" w14:textId="77777777" w:rsidTr="004B2EA4">
        <w:trPr>
          <w:trHeight w:val="240"/>
        </w:trPr>
        <w:tc>
          <w:tcPr>
            <w:tcW w:w="3682" w:type="dxa"/>
            <w:tcBorders>
              <w:left w:val="single" w:sz="4" w:space="0" w:color="auto"/>
            </w:tcBorders>
            <w:vAlign w:val="bottom"/>
          </w:tcPr>
          <w:p w14:paraId="7497A4CD" w14:textId="77777777" w:rsidR="00FE1090" w:rsidRPr="005E779E" w:rsidRDefault="00FE109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крыла</w:t>
            </w:r>
          </w:p>
        </w:tc>
        <w:tc>
          <w:tcPr>
            <w:tcW w:w="1992" w:type="dxa"/>
            <w:tcBorders>
              <w:right w:val="single" w:sz="4" w:space="0" w:color="auto"/>
            </w:tcBorders>
            <w:vAlign w:val="bottom"/>
          </w:tcPr>
          <w:p w14:paraId="789A421B" w14:textId="77777777" w:rsidR="00FE1090" w:rsidRPr="005E779E" w:rsidRDefault="00FE109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83,96</w:t>
            </w:r>
          </w:p>
        </w:tc>
      </w:tr>
      <w:tr w:rsidR="00FE1090" w:rsidRPr="005E779E" w14:paraId="1D8EEE35" w14:textId="77777777" w:rsidTr="004B2EA4">
        <w:trPr>
          <w:trHeight w:val="221"/>
        </w:trPr>
        <w:tc>
          <w:tcPr>
            <w:tcW w:w="3682" w:type="dxa"/>
            <w:tcBorders>
              <w:left w:val="single" w:sz="4" w:space="0" w:color="auto"/>
            </w:tcBorders>
          </w:tcPr>
          <w:p w14:paraId="4AE6E6F0" w14:textId="77777777" w:rsidR="00FE1090" w:rsidRPr="005E779E" w:rsidRDefault="00FE109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горизонтального оперения</w:t>
            </w:r>
          </w:p>
        </w:tc>
        <w:tc>
          <w:tcPr>
            <w:tcW w:w="1992" w:type="dxa"/>
            <w:tcBorders>
              <w:right w:val="single" w:sz="4" w:space="0" w:color="auto"/>
            </w:tcBorders>
          </w:tcPr>
          <w:p w14:paraId="17366A0B" w14:textId="77777777" w:rsidR="00FE1090" w:rsidRPr="005E779E" w:rsidRDefault="00FE109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12,89</w:t>
            </w:r>
          </w:p>
        </w:tc>
      </w:tr>
      <w:tr w:rsidR="00FE1090" w:rsidRPr="005E779E" w14:paraId="4EAF5FA8" w14:textId="77777777" w:rsidTr="004B2EA4">
        <w:trPr>
          <w:trHeight w:val="211"/>
        </w:trPr>
        <w:tc>
          <w:tcPr>
            <w:tcW w:w="3682" w:type="dxa"/>
            <w:tcBorders>
              <w:left w:val="single" w:sz="4" w:space="0" w:color="auto"/>
            </w:tcBorders>
          </w:tcPr>
          <w:p w14:paraId="0F55224D" w14:textId="77777777" w:rsidR="00FE1090" w:rsidRPr="005E779E" w:rsidRDefault="00FE109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вертикального оперения</w:t>
            </w:r>
          </w:p>
        </w:tc>
        <w:tc>
          <w:tcPr>
            <w:tcW w:w="1992" w:type="dxa"/>
            <w:tcBorders>
              <w:right w:val="single" w:sz="4" w:space="0" w:color="auto"/>
            </w:tcBorders>
          </w:tcPr>
          <w:p w14:paraId="50119C8B" w14:textId="77777777" w:rsidR="00FE1090" w:rsidRPr="005E779E" w:rsidRDefault="00FE109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5,59</w:t>
            </w:r>
          </w:p>
        </w:tc>
      </w:tr>
      <w:tr w:rsidR="00FE1090" w:rsidRPr="005E779E" w14:paraId="45396DAD" w14:textId="77777777" w:rsidTr="004B2EA4">
        <w:trPr>
          <w:trHeight w:val="206"/>
        </w:trPr>
        <w:tc>
          <w:tcPr>
            <w:tcW w:w="3682" w:type="dxa"/>
            <w:tcBorders>
              <w:left w:val="single" w:sz="4" w:space="0" w:color="auto"/>
            </w:tcBorders>
          </w:tcPr>
          <w:p w14:paraId="38F57DBC" w14:textId="77777777" w:rsidR="00FE1090" w:rsidRPr="005E779E" w:rsidRDefault="00FE109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Взлетная масса, кг</w:t>
            </w:r>
          </w:p>
        </w:tc>
        <w:tc>
          <w:tcPr>
            <w:tcW w:w="1992" w:type="dxa"/>
            <w:tcBorders>
              <w:right w:val="single" w:sz="4" w:space="0" w:color="auto"/>
            </w:tcBorders>
          </w:tcPr>
          <w:p w14:paraId="3CE556A3" w14:textId="77777777" w:rsidR="00FE1090" w:rsidRPr="005E779E" w:rsidRDefault="00FE1090" w:rsidP="000B7A6C">
            <w:pPr>
              <w:spacing w:after="0" w:line="240" w:lineRule="auto"/>
              <w:jc w:val="both"/>
              <w:rPr>
                <w:rFonts w:ascii="Times New Roman" w:hAnsi="Times New Roman"/>
                <w:color w:val="000000" w:themeColor="text1"/>
                <w:sz w:val="16"/>
                <w:szCs w:val="16"/>
              </w:rPr>
            </w:pPr>
          </w:p>
        </w:tc>
      </w:tr>
      <w:tr w:rsidR="00FE1090" w:rsidRPr="005E779E" w14:paraId="6DC8059C" w14:textId="77777777" w:rsidTr="004B2EA4">
        <w:trPr>
          <w:trHeight w:val="235"/>
        </w:trPr>
        <w:tc>
          <w:tcPr>
            <w:tcW w:w="3682" w:type="dxa"/>
            <w:tcBorders>
              <w:left w:val="single" w:sz="4" w:space="0" w:color="auto"/>
            </w:tcBorders>
            <w:vAlign w:val="bottom"/>
          </w:tcPr>
          <w:p w14:paraId="4731641B" w14:textId="77777777" w:rsidR="00FE1090" w:rsidRPr="005E779E" w:rsidRDefault="00FE109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нормальная</w:t>
            </w:r>
          </w:p>
        </w:tc>
        <w:tc>
          <w:tcPr>
            <w:tcW w:w="1992" w:type="dxa"/>
            <w:tcBorders>
              <w:right w:val="single" w:sz="4" w:space="0" w:color="auto"/>
            </w:tcBorders>
            <w:vAlign w:val="bottom"/>
          </w:tcPr>
          <w:p w14:paraId="4CDA4CFB" w14:textId="77777777" w:rsidR="00FE1090" w:rsidRPr="005E779E" w:rsidRDefault="00FE109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6665</w:t>
            </w:r>
          </w:p>
        </w:tc>
      </w:tr>
      <w:tr w:rsidR="00FE1090" w:rsidRPr="005E779E" w14:paraId="718B164A" w14:textId="77777777" w:rsidTr="004B2EA4">
        <w:trPr>
          <w:trHeight w:val="211"/>
        </w:trPr>
        <w:tc>
          <w:tcPr>
            <w:tcW w:w="3682" w:type="dxa"/>
            <w:tcBorders>
              <w:left w:val="single" w:sz="4" w:space="0" w:color="auto"/>
            </w:tcBorders>
          </w:tcPr>
          <w:p w14:paraId="2D8C1601" w14:textId="77777777" w:rsidR="00FE1090" w:rsidRPr="005E779E" w:rsidRDefault="00FE109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Масса пустого самолета, кг</w:t>
            </w:r>
          </w:p>
        </w:tc>
        <w:tc>
          <w:tcPr>
            <w:tcW w:w="1992" w:type="dxa"/>
            <w:tcBorders>
              <w:right w:val="single" w:sz="4" w:space="0" w:color="auto"/>
            </w:tcBorders>
          </w:tcPr>
          <w:p w14:paraId="7234E03A" w14:textId="77777777" w:rsidR="00FE1090" w:rsidRPr="005E779E" w:rsidRDefault="00FE109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4560</w:t>
            </w:r>
          </w:p>
        </w:tc>
      </w:tr>
      <w:tr w:rsidR="00FE1090" w:rsidRPr="005E779E" w14:paraId="719DF347" w14:textId="77777777" w:rsidTr="004B2EA4">
        <w:trPr>
          <w:trHeight w:val="216"/>
        </w:trPr>
        <w:tc>
          <w:tcPr>
            <w:tcW w:w="3682" w:type="dxa"/>
            <w:tcBorders>
              <w:left w:val="single" w:sz="4" w:space="0" w:color="auto"/>
            </w:tcBorders>
          </w:tcPr>
          <w:p w14:paraId="7FE31395" w14:textId="77777777" w:rsidR="00FE1090" w:rsidRPr="005E779E" w:rsidRDefault="00FE109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Масса топлива, кг</w:t>
            </w:r>
          </w:p>
        </w:tc>
        <w:tc>
          <w:tcPr>
            <w:tcW w:w="1992" w:type="dxa"/>
            <w:tcBorders>
              <w:right w:val="single" w:sz="4" w:space="0" w:color="auto"/>
            </w:tcBorders>
          </w:tcPr>
          <w:p w14:paraId="45734153" w14:textId="77777777" w:rsidR="00FE1090" w:rsidRPr="005E779E" w:rsidRDefault="00FE109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1100</w:t>
            </w:r>
          </w:p>
        </w:tc>
      </w:tr>
      <w:tr w:rsidR="00FE1090" w:rsidRPr="005E779E" w14:paraId="52FC4F8E" w14:textId="77777777" w:rsidTr="004B2EA4">
        <w:trPr>
          <w:trHeight w:val="221"/>
        </w:trPr>
        <w:tc>
          <w:tcPr>
            <w:tcW w:w="3682" w:type="dxa"/>
            <w:tcBorders>
              <w:left w:val="single" w:sz="4" w:space="0" w:color="auto"/>
            </w:tcBorders>
          </w:tcPr>
          <w:p w14:paraId="538ADABC" w14:textId="77777777" w:rsidR="00FE1090" w:rsidRPr="005E779E" w:rsidRDefault="00FE109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Масса полезной нагрузки, кг</w:t>
            </w:r>
          </w:p>
        </w:tc>
        <w:tc>
          <w:tcPr>
            <w:tcW w:w="1992" w:type="dxa"/>
            <w:tcBorders>
              <w:right w:val="single" w:sz="4" w:space="0" w:color="auto"/>
            </w:tcBorders>
          </w:tcPr>
          <w:p w14:paraId="10F64686" w14:textId="77777777" w:rsidR="00FE1090" w:rsidRPr="005E779E" w:rsidRDefault="00FE109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915</w:t>
            </w:r>
          </w:p>
        </w:tc>
      </w:tr>
      <w:tr w:rsidR="00FE1090" w:rsidRPr="005E779E" w14:paraId="606FBF1E" w14:textId="77777777" w:rsidTr="004B2EA4">
        <w:trPr>
          <w:trHeight w:val="226"/>
        </w:trPr>
        <w:tc>
          <w:tcPr>
            <w:tcW w:w="3682" w:type="dxa"/>
            <w:tcBorders>
              <w:left w:val="single" w:sz="4" w:space="0" w:color="auto"/>
            </w:tcBorders>
            <w:vAlign w:val="bottom"/>
          </w:tcPr>
          <w:p w14:paraId="3484E25D" w14:textId="77777777" w:rsidR="00FE1090" w:rsidRPr="005E779E" w:rsidRDefault="00FE109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скорость, км/ч</w:t>
            </w:r>
          </w:p>
        </w:tc>
        <w:tc>
          <w:tcPr>
            <w:tcW w:w="1992" w:type="dxa"/>
            <w:tcBorders>
              <w:right w:val="single" w:sz="4" w:space="0" w:color="auto"/>
            </w:tcBorders>
          </w:tcPr>
          <w:p w14:paraId="68ECD336" w14:textId="77777777" w:rsidR="00FE1090" w:rsidRPr="005E779E" w:rsidRDefault="00FE1090" w:rsidP="000B7A6C">
            <w:pPr>
              <w:spacing w:after="0" w:line="240" w:lineRule="auto"/>
              <w:jc w:val="both"/>
              <w:rPr>
                <w:rFonts w:ascii="Times New Roman" w:hAnsi="Times New Roman"/>
                <w:color w:val="000000" w:themeColor="text1"/>
                <w:sz w:val="16"/>
                <w:szCs w:val="16"/>
              </w:rPr>
            </w:pPr>
          </w:p>
        </w:tc>
      </w:tr>
      <w:tr w:rsidR="00FE1090" w:rsidRPr="005E779E" w14:paraId="31B74684" w14:textId="77777777" w:rsidTr="004B2EA4">
        <w:trPr>
          <w:trHeight w:val="206"/>
        </w:trPr>
        <w:tc>
          <w:tcPr>
            <w:tcW w:w="3682" w:type="dxa"/>
            <w:tcBorders>
              <w:left w:val="single" w:sz="4" w:space="0" w:color="auto"/>
            </w:tcBorders>
            <w:vAlign w:val="bottom"/>
          </w:tcPr>
          <w:p w14:paraId="3A03CF72" w14:textId="77777777" w:rsidR="00FE1090" w:rsidRPr="005E779E" w:rsidRDefault="00FE109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 земли</w:t>
            </w:r>
          </w:p>
        </w:tc>
        <w:tc>
          <w:tcPr>
            <w:tcW w:w="1992" w:type="dxa"/>
            <w:tcBorders>
              <w:right w:val="single" w:sz="4" w:space="0" w:color="auto"/>
            </w:tcBorders>
            <w:vAlign w:val="bottom"/>
          </w:tcPr>
          <w:p w14:paraId="3F3A1152" w14:textId="77777777" w:rsidR="00FE1090" w:rsidRPr="005E779E" w:rsidRDefault="00FE109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202</w:t>
            </w:r>
          </w:p>
        </w:tc>
      </w:tr>
      <w:tr w:rsidR="00FE1090" w:rsidRPr="005E779E" w14:paraId="49344B5F" w14:textId="77777777" w:rsidTr="004B2EA4">
        <w:trPr>
          <w:trHeight w:val="235"/>
        </w:trPr>
        <w:tc>
          <w:tcPr>
            <w:tcW w:w="3682" w:type="dxa"/>
            <w:tcBorders>
              <w:left w:val="single" w:sz="4" w:space="0" w:color="auto"/>
            </w:tcBorders>
            <w:vAlign w:val="bottom"/>
          </w:tcPr>
          <w:p w14:paraId="5F18F39E" w14:textId="77777777" w:rsidR="00FE1090" w:rsidRPr="005E779E" w:rsidRDefault="00FE109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высоте, м</w:t>
            </w:r>
          </w:p>
        </w:tc>
        <w:tc>
          <w:tcPr>
            <w:tcW w:w="1992" w:type="dxa"/>
            <w:tcBorders>
              <w:right w:val="single" w:sz="4" w:space="0" w:color="auto"/>
            </w:tcBorders>
            <w:vAlign w:val="bottom"/>
          </w:tcPr>
          <w:p w14:paraId="5B46E10B" w14:textId="77777777" w:rsidR="00FE1090" w:rsidRPr="005E779E" w:rsidRDefault="00FE109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186/3000</w:t>
            </w:r>
          </w:p>
        </w:tc>
      </w:tr>
      <w:tr w:rsidR="00FE1090" w:rsidRPr="005E779E" w14:paraId="3FF06331" w14:textId="77777777" w:rsidTr="004B2EA4">
        <w:trPr>
          <w:trHeight w:val="221"/>
        </w:trPr>
        <w:tc>
          <w:tcPr>
            <w:tcW w:w="3682" w:type="dxa"/>
            <w:tcBorders>
              <w:left w:val="single" w:sz="4" w:space="0" w:color="auto"/>
            </w:tcBorders>
          </w:tcPr>
          <w:p w14:paraId="763C5652" w14:textId="77777777" w:rsidR="00FE1090" w:rsidRPr="005E779E" w:rsidRDefault="00FE109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Крейсерская скорость, км/ч</w:t>
            </w:r>
          </w:p>
        </w:tc>
        <w:tc>
          <w:tcPr>
            <w:tcW w:w="1992" w:type="dxa"/>
            <w:tcBorders>
              <w:right w:val="single" w:sz="4" w:space="0" w:color="auto"/>
            </w:tcBorders>
          </w:tcPr>
          <w:p w14:paraId="03C88DB1" w14:textId="77777777" w:rsidR="00FE1090" w:rsidRPr="005E779E" w:rsidRDefault="00FE109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166</w:t>
            </w:r>
          </w:p>
        </w:tc>
      </w:tr>
      <w:tr w:rsidR="00FE1090" w:rsidRPr="005E779E" w14:paraId="2F8EC750" w14:textId="77777777" w:rsidTr="004B2EA4">
        <w:trPr>
          <w:trHeight w:val="211"/>
        </w:trPr>
        <w:tc>
          <w:tcPr>
            <w:tcW w:w="3682" w:type="dxa"/>
            <w:tcBorders>
              <w:left w:val="single" w:sz="4" w:space="0" w:color="auto"/>
            </w:tcBorders>
            <w:vAlign w:val="bottom"/>
          </w:tcPr>
          <w:p w14:paraId="041A28DE" w14:textId="77777777" w:rsidR="00FE1090" w:rsidRPr="005E779E" w:rsidRDefault="00FE109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набора высоты, мин</w:t>
            </w:r>
          </w:p>
        </w:tc>
        <w:tc>
          <w:tcPr>
            <w:tcW w:w="1992" w:type="dxa"/>
            <w:tcBorders>
              <w:right w:val="single" w:sz="4" w:space="0" w:color="auto"/>
            </w:tcBorders>
            <w:vAlign w:val="bottom"/>
          </w:tcPr>
          <w:p w14:paraId="7A9E8CDC" w14:textId="77777777" w:rsidR="00FE1090" w:rsidRPr="005E779E" w:rsidRDefault="00FE109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10,67/1000</w:t>
            </w:r>
          </w:p>
        </w:tc>
      </w:tr>
      <w:tr w:rsidR="00FE1090" w:rsidRPr="005E779E" w14:paraId="7C16CD8C" w14:textId="77777777" w:rsidTr="004B2EA4">
        <w:trPr>
          <w:trHeight w:val="226"/>
        </w:trPr>
        <w:tc>
          <w:tcPr>
            <w:tcW w:w="3682" w:type="dxa"/>
            <w:tcBorders>
              <w:left w:val="single" w:sz="4" w:space="0" w:color="auto"/>
            </w:tcBorders>
          </w:tcPr>
          <w:p w14:paraId="1381176A" w14:textId="77777777" w:rsidR="00FE1090" w:rsidRPr="005E779E" w:rsidRDefault="00FE1090" w:rsidP="000B7A6C">
            <w:pPr>
              <w:spacing w:after="0" w:line="240" w:lineRule="auto"/>
              <w:jc w:val="both"/>
              <w:rPr>
                <w:rFonts w:ascii="Times New Roman" w:hAnsi="Times New Roman"/>
                <w:color w:val="000000" w:themeColor="text1"/>
                <w:sz w:val="16"/>
                <w:szCs w:val="16"/>
              </w:rPr>
            </w:pPr>
          </w:p>
        </w:tc>
        <w:tc>
          <w:tcPr>
            <w:tcW w:w="1992" w:type="dxa"/>
            <w:tcBorders>
              <w:right w:val="single" w:sz="4" w:space="0" w:color="auto"/>
            </w:tcBorders>
            <w:vAlign w:val="bottom"/>
          </w:tcPr>
          <w:p w14:paraId="5A6BFEB2" w14:textId="77777777" w:rsidR="00FE1090" w:rsidRPr="005E779E" w:rsidRDefault="00FE109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39,20/3000</w:t>
            </w:r>
          </w:p>
        </w:tc>
      </w:tr>
      <w:tr w:rsidR="00FE1090" w:rsidRPr="005E779E" w14:paraId="5AE364F5" w14:textId="77777777" w:rsidTr="004B2EA4">
        <w:trPr>
          <w:trHeight w:val="221"/>
        </w:trPr>
        <w:tc>
          <w:tcPr>
            <w:tcW w:w="3682" w:type="dxa"/>
            <w:tcBorders>
              <w:left w:val="single" w:sz="4" w:space="0" w:color="auto"/>
            </w:tcBorders>
          </w:tcPr>
          <w:p w14:paraId="11D880BA" w14:textId="77777777" w:rsidR="00FE1090" w:rsidRPr="005E779E" w:rsidRDefault="00FE109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Посадочная скорость, км/ч</w:t>
            </w:r>
          </w:p>
        </w:tc>
        <w:tc>
          <w:tcPr>
            <w:tcW w:w="1992" w:type="dxa"/>
            <w:tcBorders>
              <w:right w:val="single" w:sz="4" w:space="0" w:color="auto"/>
            </w:tcBorders>
          </w:tcPr>
          <w:p w14:paraId="39CF25A1" w14:textId="77777777" w:rsidR="00FE1090" w:rsidRPr="005E779E" w:rsidRDefault="00FE109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112</w:t>
            </w:r>
          </w:p>
        </w:tc>
      </w:tr>
      <w:tr w:rsidR="00FE1090" w:rsidRPr="005E779E" w14:paraId="165D5302" w14:textId="77777777" w:rsidTr="004B2EA4">
        <w:trPr>
          <w:trHeight w:val="216"/>
        </w:trPr>
        <w:tc>
          <w:tcPr>
            <w:tcW w:w="3682" w:type="dxa"/>
            <w:tcBorders>
              <w:left w:val="single" w:sz="4" w:space="0" w:color="auto"/>
            </w:tcBorders>
          </w:tcPr>
          <w:p w14:paraId="60A4F22E" w14:textId="77777777" w:rsidR="00FE1090" w:rsidRPr="005E779E" w:rsidRDefault="00FE109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Практический потолок, м</w:t>
            </w:r>
          </w:p>
        </w:tc>
        <w:tc>
          <w:tcPr>
            <w:tcW w:w="1992" w:type="dxa"/>
            <w:tcBorders>
              <w:right w:val="single" w:sz="4" w:space="0" w:color="auto"/>
            </w:tcBorders>
          </w:tcPr>
          <w:p w14:paraId="32EBAD1F" w14:textId="77777777" w:rsidR="00FE1090" w:rsidRPr="005E779E" w:rsidRDefault="00FE109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3580</w:t>
            </w:r>
          </w:p>
        </w:tc>
      </w:tr>
      <w:tr w:rsidR="00FE1090" w:rsidRPr="005E779E" w14:paraId="27FCF652" w14:textId="77777777" w:rsidTr="004B2EA4">
        <w:trPr>
          <w:trHeight w:val="216"/>
        </w:trPr>
        <w:tc>
          <w:tcPr>
            <w:tcW w:w="3682" w:type="dxa"/>
            <w:tcBorders>
              <w:left w:val="single" w:sz="4" w:space="0" w:color="auto"/>
            </w:tcBorders>
          </w:tcPr>
          <w:p w14:paraId="154637EA" w14:textId="77777777" w:rsidR="00FE1090" w:rsidRPr="005E779E" w:rsidRDefault="00FE109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Дальность полета, км</w:t>
            </w:r>
          </w:p>
        </w:tc>
        <w:tc>
          <w:tcPr>
            <w:tcW w:w="1992" w:type="dxa"/>
            <w:tcBorders>
              <w:right w:val="single" w:sz="4" w:space="0" w:color="auto"/>
            </w:tcBorders>
          </w:tcPr>
          <w:p w14:paraId="41DBCAB9" w14:textId="77777777" w:rsidR="00FE1090" w:rsidRPr="005E779E" w:rsidRDefault="00FE109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695</w:t>
            </w:r>
          </w:p>
        </w:tc>
      </w:tr>
      <w:tr w:rsidR="00FE1090" w:rsidRPr="005E779E" w14:paraId="7E84B847" w14:textId="77777777" w:rsidTr="004B2EA4">
        <w:trPr>
          <w:trHeight w:val="226"/>
        </w:trPr>
        <w:tc>
          <w:tcPr>
            <w:tcW w:w="3682" w:type="dxa"/>
            <w:tcBorders>
              <w:left w:val="single" w:sz="4" w:space="0" w:color="auto"/>
            </w:tcBorders>
            <w:vAlign w:val="bottom"/>
          </w:tcPr>
          <w:p w14:paraId="2E827CD6" w14:textId="77777777" w:rsidR="00FE1090" w:rsidRPr="005E779E" w:rsidRDefault="00FE109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1992" w:type="dxa"/>
            <w:tcBorders>
              <w:right w:val="single" w:sz="4" w:space="0" w:color="auto"/>
            </w:tcBorders>
          </w:tcPr>
          <w:p w14:paraId="5EFBD76F" w14:textId="77777777" w:rsidR="00FE1090" w:rsidRPr="005E779E" w:rsidRDefault="00FE1090" w:rsidP="000B7A6C">
            <w:pPr>
              <w:spacing w:after="0" w:line="240" w:lineRule="auto"/>
              <w:jc w:val="both"/>
              <w:rPr>
                <w:rFonts w:ascii="Times New Roman" w:hAnsi="Times New Roman"/>
                <w:color w:val="000000" w:themeColor="text1"/>
                <w:sz w:val="16"/>
                <w:szCs w:val="16"/>
              </w:rPr>
            </w:pPr>
          </w:p>
        </w:tc>
      </w:tr>
      <w:tr w:rsidR="00FE1090" w:rsidRPr="005E779E" w14:paraId="263D790C" w14:textId="77777777" w:rsidTr="004B2EA4">
        <w:trPr>
          <w:trHeight w:val="216"/>
        </w:trPr>
        <w:tc>
          <w:tcPr>
            <w:tcW w:w="3682" w:type="dxa"/>
            <w:tcBorders>
              <w:left w:val="single" w:sz="4" w:space="0" w:color="auto"/>
            </w:tcBorders>
          </w:tcPr>
          <w:p w14:paraId="449E7EC5" w14:textId="77777777" w:rsidR="00FE1090" w:rsidRPr="005E779E" w:rsidRDefault="00FE109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стрелковое (число х калибр, мм)</w:t>
            </w:r>
          </w:p>
        </w:tc>
        <w:tc>
          <w:tcPr>
            <w:tcW w:w="1992" w:type="dxa"/>
            <w:tcBorders>
              <w:right w:val="single" w:sz="4" w:space="0" w:color="auto"/>
            </w:tcBorders>
          </w:tcPr>
          <w:p w14:paraId="0F721287" w14:textId="77777777" w:rsidR="00FE1090" w:rsidRPr="005E779E" w:rsidRDefault="00FE109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5x7,62</w:t>
            </w:r>
          </w:p>
        </w:tc>
      </w:tr>
      <w:tr w:rsidR="00FE1090" w:rsidRPr="005E779E" w14:paraId="443DAF9E" w14:textId="77777777" w:rsidTr="004B2EA4">
        <w:trPr>
          <w:trHeight w:val="221"/>
        </w:trPr>
        <w:tc>
          <w:tcPr>
            <w:tcW w:w="3682" w:type="dxa"/>
            <w:tcBorders>
              <w:left w:val="single" w:sz="4" w:space="0" w:color="auto"/>
            </w:tcBorders>
          </w:tcPr>
          <w:p w14:paraId="1F597716" w14:textId="77777777" w:rsidR="00FE1090" w:rsidRPr="005E779E" w:rsidRDefault="00FE109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Масса бомбовой нагрузки, кг</w:t>
            </w:r>
          </w:p>
        </w:tc>
        <w:tc>
          <w:tcPr>
            <w:tcW w:w="1992" w:type="dxa"/>
            <w:tcBorders>
              <w:right w:val="single" w:sz="4" w:space="0" w:color="auto"/>
            </w:tcBorders>
          </w:tcPr>
          <w:p w14:paraId="463A4389" w14:textId="77777777" w:rsidR="00FE1090" w:rsidRPr="005E779E" w:rsidRDefault="00FE109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900</w:t>
            </w:r>
          </w:p>
        </w:tc>
      </w:tr>
      <w:tr w:rsidR="00FE1090" w:rsidRPr="005E779E" w14:paraId="506A1E50" w14:textId="77777777" w:rsidTr="004B2EA4">
        <w:trPr>
          <w:trHeight w:val="326"/>
        </w:trPr>
        <w:tc>
          <w:tcPr>
            <w:tcW w:w="3682" w:type="dxa"/>
            <w:tcBorders>
              <w:left w:val="single" w:sz="4" w:space="0" w:color="auto"/>
              <w:bottom w:val="single" w:sz="4" w:space="0" w:color="auto"/>
            </w:tcBorders>
          </w:tcPr>
          <w:p w14:paraId="0D8719DE" w14:textId="77777777" w:rsidR="00FE1090" w:rsidRPr="005E779E" w:rsidRDefault="00FE109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Экипаж, чел.</w:t>
            </w:r>
          </w:p>
        </w:tc>
        <w:tc>
          <w:tcPr>
            <w:tcW w:w="1992" w:type="dxa"/>
            <w:tcBorders>
              <w:bottom w:val="single" w:sz="4" w:space="0" w:color="auto"/>
              <w:right w:val="single" w:sz="4" w:space="0" w:color="auto"/>
            </w:tcBorders>
          </w:tcPr>
          <w:p w14:paraId="12F8087B" w14:textId="77777777" w:rsidR="00FE1090" w:rsidRPr="005E779E" w:rsidRDefault="00FE109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w:t>
            </w:r>
          </w:p>
        </w:tc>
      </w:tr>
    </w:tbl>
    <w:p w14:paraId="1219D5C8" w14:textId="77777777" w:rsidR="00FE1090" w:rsidRPr="005E779E" w:rsidRDefault="00FE109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(23474).</w:t>
      </w:r>
    </w:p>
    <w:p w14:paraId="042B10A8" w14:textId="77777777" w:rsidR="00FE1090" w:rsidRPr="005E779E" w:rsidRDefault="00FE1090" w:rsidP="000B7A6C">
      <w:pPr>
        <w:spacing w:after="0" w:line="240" w:lineRule="auto"/>
        <w:jc w:val="both"/>
        <w:rPr>
          <w:rFonts w:ascii="Times New Roman" w:hAnsi="Times New Roman"/>
          <w:color w:val="000000" w:themeColor="text1"/>
          <w:sz w:val="16"/>
          <w:szCs w:val="16"/>
        </w:rPr>
      </w:pPr>
    </w:p>
    <w:p w14:paraId="4AE7A9BE"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3467BED5"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B10BE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 января 1931 г. на базе Всесоюзному объедине</w:t>
      </w:r>
      <w:r w:rsidRPr="005E779E">
        <w:rPr>
          <w:rFonts w:ascii="Times New Roman" w:hAnsi="Times New Roman"/>
          <w:color w:val="000000" w:themeColor="text1"/>
          <w:sz w:val="16"/>
          <w:szCs w:val="16"/>
        </w:rPr>
        <w:softHyphen/>
        <w:t>нию морского транспорта в составе НКПС постановлением ЦИК и СНК СССР был создан общесоюзный Наркомат водного транспорта (Наркомвод) (3898).</w:t>
      </w:r>
    </w:p>
    <w:p w14:paraId="1C798A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DB89DC5"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2E899271"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EC3C6E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30 января 1931 г. на военскладах и в учебных заведениях РККА имелось танков типа «Б» - 44 шт. (из которых 9 шт. снятые с вооружения), типа «С» - 12 шт. (все сняты с вооружения), «Русский «Рено» - 15 шт. (все сняты с вооружения), французский «Рено» - 13 шт. (все сняты с вооружения) (10733,58).</w:t>
      </w:r>
    </w:p>
    <w:p w14:paraId="67B25B3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614789" w14:textId="77777777" w:rsidR="00164C8C" w:rsidRPr="005E779E" w:rsidRDefault="00164C8C"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На 30 января 1931 г., согласно «Справке о наличии танков старых систем», в РККА имелось следующее количество машин периода Гражданской войны:</w:t>
      </w:r>
    </w:p>
    <w:p w14:paraId="6F021959" w14:textId="77777777" w:rsidR="00164C8C" w:rsidRPr="005E779E" w:rsidRDefault="00164C8C"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«Рикардо»:</w:t>
      </w:r>
    </w:p>
    <w:p w14:paraId="3E936F95" w14:textId="77777777" w:rsidR="00164C8C" w:rsidRPr="005E779E" w:rsidRDefault="00164C8C"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1. Отдельный учебный танковый полк 12 шт.,</w:t>
      </w:r>
    </w:p>
    <w:p w14:paraId="392C7189" w14:textId="77777777" w:rsidR="00164C8C" w:rsidRPr="005E779E" w:rsidRDefault="00164C8C"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2. Склад №37 - 28 (из них 6 на ходу),</w:t>
      </w:r>
    </w:p>
    <w:p w14:paraId="790C5667" w14:textId="77777777" w:rsidR="00164C8C" w:rsidRPr="005E779E" w:rsidRDefault="00164C8C"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3. Бронекомандные курсы -1шт.,</w:t>
      </w:r>
    </w:p>
    <w:p w14:paraId="695BB21D" w14:textId="77777777" w:rsidR="00164C8C" w:rsidRPr="005E779E" w:rsidRDefault="00164C8C"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4. Военно-техническая академия -1шт.,</w:t>
      </w:r>
    </w:p>
    <w:p w14:paraId="7DCCF6BF" w14:textId="77777777" w:rsidR="00164C8C" w:rsidRPr="005E779E" w:rsidRDefault="00164C8C"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5. Орловская танковая школа - 1шт.,</w:t>
      </w:r>
    </w:p>
    <w:p w14:paraId="3B22F306" w14:textId="77777777" w:rsidR="00164C8C" w:rsidRPr="005E779E" w:rsidRDefault="00164C8C"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6. Научно-испытательный полигон - 1 шт.</w:t>
      </w:r>
    </w:p>
    <w:p w14:paraId="46D20DE9" w14:textId="77777777" w:rsidR="00164C8C" w:rsidRPr="005E779E" w:rsidRDefault="00164C8C"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Всего 44 шт. (из них 9 шт. по Постановлению РВС с вооружения сняты).</w:t>
      </w:r>
    </w:p>
    <w:p w14:paraId="036C9098" w14:textId="77777777" w:rsidR="00164C8C" w:rsidRPr="005E779E" w:rsidRDefault="00164C8C"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Примечание. Из числа «Рикардо», находящихся на складе, необходимо выдать 5 шт. полигонам и частям.</w:t>
      </w:r>
    </w:p>
    <w:p w14:paraId="76F3CEBD" w14:textId="77777777" w:rsidR="00164C8C" w:rsidRPr="005E779E" w:rsidRDefault="00164C8C"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«Тейлор»:</w:t>
      </w:r>
    </w:p>
    <w:p w14:paraId="024F195B" w14:textId="77777777" w:rsidR="00164C8C" w:rsidRPr="005E779E" w:rsidRDefault="00164C8C"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1. Склад №37 -8 шт.,</w:t>
      </w:r>
    </w:p>
    <w:p w14:paraId="2F8C72BB" w14:textId="77777777" w:rsidR="00164C8C" w:rsidRPr="005E779E" w:rsidRDefault="00164C8C"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2. Военно-техническая академия - 1 шт.,</w:t>
      </w:r>
    </w:p>
    <w:p w14:paraId="3A1A2C07" w14:textId="77777777" w:rsidR="00164C8C" w:rsidRPr="005E779E" w:rsidRDefault="00164C8C"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3. Орловская танковая школа - 1 шт.,</w:t>
      </w:r>
    </w:p>
    <w:p w14:paraId="1917ECF3" w14:textId="77777777" w:rsidR="00164C8C" w:rsidRPr="005E779E" w:rsidRDefault="00164C8C"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4. Бронекомандные курсы - 1 шт.,</w:t>
      </w:r>
    </w:p>
    <w:p w14:paraId="45E9E90A" w14:textId="77777777" w:rsidR="00164C8C" w:rsidRPr="005E779E" w:rsidRDefault="00164C8C"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5. 11-я авиабригада - 1 шт.</w:t>
      </w:r>
    </w:p>
    <w:p w14:paraId="399DF867" w14:textId="77777777" w:rsidR="00164C8C" w:rsidRPr="005E779E" w:rsidRDefault="00164C8C"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Всего 12 шт.(с вооружения сняты).</w:t>
      </w:r>
    </w:p>
    <w:p w14:paraId="7C4F641A" w14:textId="77777777" w:rsidR="00164C8C" w:rsidRPr="005E779E" w:rsidRDefault="00164C8C"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Примечание. Из числа «Тейлор», находящихся на складе №37 необходимо выдать 8 шт. полигонам и частям.</w:t>
      </w:r>
    </w:p>
    <w:p w14:paraId="0CC02DBD" w14:textId="77777777" w:rsidR="00164C8C" w:rsidRPr="005E779E" w:rsidRDefault="00164C8C"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«Рено»-русский:</w:t>
      </w:r>
    </w:p>
    <w:p w14:paraId="43A75B8A" w14:textId="77777777" w:rsidR="00164C8C" w:rsidRPr="005E779E" w:rsidRDefault="00164C8C"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1. Бронекомандные курсы - 1 шт.,</w:t>
      </w:r>
    </w:p>
    <w:p w14:paraId="066F9999" w14:textId="77777777" w:rsidR="00164C8C" w:rsidRPr="005E779E" w:rsidRDefault="00164C8C"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2. Гражданские ВУЗы -9 шт.,</w:t>
      </w:r>
    </w:p>
    <w:p w14:paraId="02643B9B" w14:textId="77777777" w:rsidR="00164C8C" w:rsidRPr="005E779E" w:rsidRDefault="00164C8C"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3. 2-й танковый полк - 1шт.,</w:t>
      </w:r>
    </w:p>
    <w:p w14:paraId="5A4F658D" w14:textId="77777777" w:rsidR="00164C8C" w:rsidRPr="005E779E" w:rsidRDefault="00164C8C"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4. Военно-техническая академия - 2 шт.,</w:t>
      </w:r>
    </w:p>
    <w:p w14:paraId="32F7AD90" w14:textId="77777777" w:rsidR="00164C8C" w:rsidRPr="005E779E" w:rsidRDefault="00164C8C"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5. Орловская танковая школа - 1 шт.,</w:t>
      </w:r>
    </w:p>
    <w:p w14:paraId="62CA47E6" w14:textId="77777777" w:rsidR="00164C8C" w:rsidRPr="005E779E" w:rsidRDefault="00164C8C"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6. ВЭО ЦЛПС. - 1 шт.</w:t>
      </w:r>
    </w:p>
    <w:p w14:paraId="0535338D" w14:textId="77777777" w:rsidR="00164C8C" w:rsidRPr="005E779E" w:rsidRDefault="00164C8C"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Всего 15 шт. (с вооружения сняты).</w:t>
      </w:r>
    </w:p>
    <w:p w14:paraId="65075866" w14:textId="77777777" w:rsidR="00164C8C" w:rsidRPr="005E779E" w:rsidRDefault="00164C8C"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«Рено» - французский:</w:t>
      </w:r>
    </w:p>
    <w:p w14:paraId="65D73963" w14:textId="77777777" w:rsidR="00164C8C" w:rsidRPr="005E779E" w:rsidRDefault="00164C8C"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1. Гражданские ВУЗы - 1шт.,</w:t>
      </w:r>
    </w:p>
    <w:p w14:paraId="0CC1803B" w14:textId="77777777" w:rsidR="00164C8C" w:rsidRPr="005E779E" w:rsidRDefault="00164C8C"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2. Орловская танковая школа -1шт.,</w:t>
      </w:r>
    </w:p>
    <w:p w14:paraId="7661152C" w14:textId="77777777" w:rsidR="00164C8C" w:rsidRPr="005E779E" w:rsidRDefault="00164C8C"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3. Осоавиахим -5 шт.,</w:t>
      </w:r>
    </w:p>
    <w:p w14:paraId="05762C9A" w14:textId="77777777" w:rsidR="00164C8C" w:rsidRPr="005E779E" w:rsidRDefault="00164C8C"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4.11-я авиабригада - 1 шт.,</w:t>
      </w:r>
    </w:p>
    <w:p w14:paraId="2199CDEA" w14:textId="77777777" w:rsidR="00164C8C" w:rsidRPr="005E779E" w:rsidRDefault="00164C8C"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5. Научно-испытательный полигон - 1шт.,</w:t>
      </w:r>
    </w:p>
    <w:p w14:paraId="247D45CD" w14:textId="77777777" w:rsidR="00164C8C" w:rsidRPr="005E779E" w:rsidRDefault="00164C8C"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6. Склад №37 - 3 шт. (из них один для обучения начсостава).</w:t>
      </w:r>
    </w:p>
    <w:p w14:paraId="74EBA15C" w14:textId="77777777" w:rsidR="00164C8C" w:rsidRPr="005E779E" w:rsidRDefault="00164C8C"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Всего 13 шт. (с вооружения сняты).</w:t>
      </w:r>
    </w:p>
    <w:p w14:paraId="0E9A491A" w14:textId="77777777" w:rsidR="00164C8C" w:rsidRPr="005E779E" w:rsidRDefault="00164C8C"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Примечание. Из 3 шт. «Рено» французский, находящихся на складе, необходимо выдать полигонам и частям - 2 шт.» (17731).</w:t>
      </w:r>
    </w:p>
    <w:p w14:paraId="4FF31587" w14:textId="77777777" w:rsidR="00164C8C" w:rsidRPr="005E779E" w:rsidRDefault="00164C8C" w:rsidP="000B7A6C">
      <w:pPr>
        <w:spacing w:after="0" w:line="240" w:lineRule="auto"/>
        <w:jc w:val="both"/>
        <w:rPr>
          <w:rFonts w:ascii="Times New Roman" w:hAnsi="Times New Roman"/>
          <w:color w:val="000000" w:themeColor="text1"/>
          <w:sz w:val="16"/>
          <w:szCs w:val="16"/>
        </w:rPr>
      </w:pPr>
    </w:p>
    <w:p w14:paraId="3B8DC6E4" w14:textId="77777777" w:rsidR="00164C8C" w:rsidRPr="005E779E" w:rsidRDefault="00164C8C" w:rsidP="000B7A6C">
      <w:pPr>
        <w:pStyle w:val="ae"/>
        <w:spacing w:before="0" w:after="0"/>
        <w:jc w:val="both"/>
        <w:textAlignment w:val="baseline"/>
        <w:rPr>
          <w:color w:val="000000" w:themeColor="text1"/>
          <w:sz w:val="16"/>
          <w:szCs w:val="16"/>
        </w:rPr>
      </w:pPr>
      <w:r w:rsidRPr="005E779E">
        <w:rPr>
          <w:color w:val="000000" w:themeColor="text1"/>
          <w:sz w:val="16"/>
          <w:szCs w:val="16"/>
        </w:rPr>
        <w:t>К 30 января 1931 года все «Рено-русские» были сняты с вооружения и распределены по училищам в качестве наглядных пособий (17714)</w:t>
      </w:r>
    </w:p>
    <w:p w14:paraId="4913F36B" w14:textId="77777777" w:rsidR="00164C8C" w:rsidRPr="005E779E" w:rsidRDefault="00164C8C" w:rsidP="000B7A6C">
      <w:pPr>
        <w:spacing w:after="0" w:line="240" w:lineRule="auto"/>
        <w:jc w:val="both"/>
        <w:rPr>
          <w:rFonts w:ascii="Times New Roman" w:hAnsi="Times New Roman"/>
          <w:color w:val="000000" w:themeColor="text1"/>
          <w:sz w:val="16"/>
          <w:szCs w:val="16"/>
        </w:rPr>
      </w:pPr>
    </w:p>
    <w:p w14:paraId="1D6E1A81" w14:textId="77777777" w:rsidR="00C41B25"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23FB770B" w14:textId="77777777" w:rsidR="00C41B25" w:rsidRPr="005E779E" w:rsidRDefault="00C41B25"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112B2F9" w14:textId="77777777" w:rsidR="00C41B25" w:rsidRPr="005E779E" w:rsidRDefault="00C41B25"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30 января</w:t>
      </w:r>
      <w:r w:rsidRPr="005E779E">
        <w:rPr>
          <w:rFonts w:ascii="Times New Roman" w:hAnsi="Times New Roman"/>
          <w:color w:val="000000" w:themeColor="text1"/>
          <w:sz w:val="16"/>
          <w:szCs w:val="16"/>
        </w:rPr>
        <w:t xml:space="preserve"> в 1931 году прототип </w:t>
      </w:r>
      <w:hyperlink r:id="rId12" w:tgtFrame="_blank" w:history="1">
        <w:r w:rsidRPr="005E779E">
          <w:rPr>
            <w:rFonts w:ascii="Times New Roman" w:hAnsi="Times New Roman"/>
            <w:color w:val="000000" w:themeColor="text1"/>
            <w:sz w:val="16"/>
            <w:szCs w:val="16"/>
          </w:rPr>
          <w:t xml:space="preserve">«Bre.391T» </w:t>
        </w:r>
      </w:hyperlink>
      <w:r w:rsidRPr="005E779E">
        <w:rPr>
          <w:rFonts w:ascii="Times New Roman" w:hAnsi="Times New Roman"/>
          <w:color w:val="000000" w:themeColor="text1"/>
          <w:sz w:val="16"/>
          <w:szCs w:val="16"/>
        </w:rPr>
        <w:t>впервые поднялся в воздух. Летал недолго и 3 июля разбился.</w:t>
      </w:r>
    </w:p>
    <w:p w14:paraId="4568A2FE" w14:textId="77777777" w:rsidR="00C41B25" w:rsidRPr="005E779E" w:rsidRDefault="00C41B2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Прототип «Bre.391T» имел цельнометаллический фюзеляж. Трёхмоторный полутораплан классической схемы смешанной конструкции. Фюзеляж - прямоугольного сечения. Каркас металлический. Обшивка передней части дюралевая, остальная полотняная. Впереди моторный отсек, двигатель закрыт капотом «NACA». Далее закрытая 2-х местная пилотская кабина. За ней 10-местный пассажирский салон. По два кресла в ряду, между ними проход. Крыло - прямоугольное. Каркас металлический. Обшивка гладкая дюралевая. Двигатель - три поршневых двигателя, один установлен в носу, два на нижнем крыле: «Gnôme Rhône» «5Kd» «Titan» - 238 л.с./ 176 кВт - звёздообразный («Bre.391T»); «Hispano-Suiza» «9Qc» - 300 л.с./ 224 кВт - (Bre.392T) винт двухлопастный цельнометаллический. Оперение - однокилевое с двумя стабилизаторами. Шасси - двухстоечное с хвостовым колесом. По одному колесу на каждой стойке. Колёса покрыты обтекателями. Лишь третий прототип – «Bre.393T» («F-ANEH») с двигателем «Gnôme Rhône» «7Kd» «Titan Major» - 350 л.с./ 257 кВт – звёздообразный, получился конструктивно удачным. Металлическую обшивку фюзеляжа заменили на полотняную, переделали межкрыльевые подкосы, установили хвостовое колесо и обтекатели на колёса главных стоек шасси (15025).</w:t>
      </w:r>
    </w:p>
    <w:p w14:paraId="5A41CE61" w14:textId="77777777" w:rsidR="00C41B25" w:rsidRPr="005E779E" w:rsidRDefault="00C41B25" w:rsidP="000B7A6C">
      <w:pPr>
        <w:spacing w:after="0" w:line="240" w:lineRule="auto"/>
        <w:jc w:val="both"/>
        <w:rPr>
          <w:rFonts w:ascii="Times New Roman" w:hAnsi="Times New Roman"/>
          <w:color w:val="000000" w:themeColor="text1"/>
          <w:sz w:val="16"/>
          <w:szCs w:val="16"/>
        </w:rPr>
      </w:pPr>
    </w:p>
    <w:p w14:paraId="299737F4"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294A67E1"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67FED38" w14:textId="77777777" w:rsidR="007E4069" w:rsidRPr="005E779E" w:rsidRDefault="007E406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 января 1931 г. ЦАГИ запросил из НИИ ВВС истребитель И-4, на котором предпола</w:t>
      </w:r>
      <w:r w:rsidRPr="005E779E">
        <w:rPr>
          <w:rFonts w:ascii="Times New Roman" w:hAnsi="Times New Roman"/>
          <w:color w:val="000000" w:themeColor="text1"/>
          <w:sz w:val="16"/>
          <w:szCs w:val="16"/>
        </w:rPr>
        <w:softHyphen/>
        <w:t>галось произвести все необходимые усовер</w:t>
      </w:r>
      <w:r w:rsidRPr="005E779E">
        <w:rPr>
          <w:rFonts w:ascii="Times New Roman" w:hAnsi="Times New Roman"/>
          <w:color w:val="000000" w:themeColor="text1"/>
          <w:sz w:val="16"/>
          <w:szCs w:val="16"/>
        </w:rPr>
        <w:softHyphen/>
        <w:t>шенствования и изменения. Был выделен И-4 (зав. №1502), который по причине за</w:t>
      </w:r>
      <w:r w:rsidRPr="005E779E">
        <w:rPr>
          <w:rFonts w:ascii="Times New Roman" w:hAnsi="Times New Roman"/>
          <w:color w:val="000000" w:themeColor="text1"/>
          <w:sz w:val="16"/>
          <w:szCs w:val="16"/>
        </w:rPr>
        <w:softHyphen/>
        <w:t>метного износа участвовал лишь в наземных опытах и отработках системы. Для практиче</w:t>
      </w:r>
      <w:r w:rsidRPr="005E779E">
        <w:rPr>
          <w:rFonts w:ascii="Times New Roman" w:hAnsi="Times New Roman"/>
          <w:color w:val="000000" w:themeColor="text1"/>
          <w:sz w:val="16"/>
          <w:szCs w:val="16"/>
        </w:rPr>
        <w:softHyphen/>
        <w:t>ских полетов использовались другие маши</w:t>
      </w:r>
      <w:r w:rsidRPr="005E779E">
        <w:rPr>
          <w:rFonts w:ascii="Times New Roman" w:hAnsi="Times New Roman"/>
          <w:color w:val="000000" w:themeColor="text1"/>
          <w:sz w:val="16"/>
          <w:szCs w:val="16"/>
        </w:rPr>
        <w:softHyphen/>
        <w:t>ны: два достаточно новых серийных И-4 — №1651 и №1655, и ТБ-1 №651.</w:t>
      </w:r>
    </w:p>
    <w:p w14:paraId="14BC45F4" w14:textId="77777777" w:rsidR="007E4069" w:rsidRPr="005E779E" w:rsidRDefault="007E406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Изменения, вносимые в конструкцию са</w:t>
      </w:r>
      <w:r w:rsidRPr="005E779E">
        <w:rPr>
          <w:rFonts w:ascii="Times New Roman" w:hAnsi="Times New Roman"/>
          <w:color w:val="000000" w:themeColor="text1"/>
          <w:sz w:val="16"/>
          <w:szCs w:val="16"/>
        </w:rPr>
        <w:softHyphen/>
        <w:t>молетов, произвели в основном на ТБ-1. На крыле бомбардировщика для установки ис</w:t>
      </w:r>
      <w:r w:rsidRPr="005E779E">
        <w:rPr>
          <w:rFonts w:ascii="Times New Roman" w:hAnsi="Times New Roman"/>
          <w:color w:val="000000" w:themeColor="text1"/>
          <w:sz w:val="16"/>
          <w:szCs w:val="16"/>
        </w:rPr>
        <w:softHyphen/>
        <w:t>требителей с каждой стороны оборудова</w:t>
      </w:r>
      <w:r w:rsidRPr="005E779E">
        <w:rPr>
          <w:rFonts w:ascii="Times New Roman" w:hAnsi="Times New Roman"/>
          <w:color w:val="000000" w:themeColor="text1"/>
          <w:sz w:val="16"/>
          <w:szCs w:val="16"/>
        </w:rPr>
        <w:softHyphen/>
        <w:t>ли по три пирамиды. Две передние пирами</w:t>
      </w:r>
      <w:r w:rsidRPr="005E779E">
        <w:rPr>
          <w:rFonts w:ascii="Times New Roman" w:hAnsi="Times New Roman"/>
          <w:color w:val="000000" w:themeColor="text1"/>
          <w:sz w:val="16"/>
          <w:szCs w:val="16"/>
        </w:rPr>
        <w:softHyphen/>
        <w:t>ды, на которых закреплялись шасси И-4, бы</w:t>
      </w:r>
      <w:r w:rsidRPr="005E779E">
        <w:rPr>
          <w:rFonts w:ascii="Times New Roman" w:hAnsi="Times New Roman"/>
          <w:color w:val="000000" w:themeColor="text1"/>
          <w:sz w:val="16"/>
          <w:szCs w:val="16"/>
        </w:rPr>
        <w:softHyphen/>
        <w:t>ли установлены по оси переднего лонжеро</w:t>
      </w:r>
      <w:r w:rsidRPr="005E779E">
        <w:rPr>
          <w:rFonts w:ascii="Times New Roman" w:hAnsi="Times New Roman"/>
          <w:color w:val="000000" w:themeColor="text1"/>
          <w:sz w:val="16"/>
          <w:szCs w:val="16"/>
        </w:rPr>
        <w:softHyphen/>
        <w:t>на ТБ-1. Каждая пирамида имела специаль</w:t>
      </w:r>
      <w:r w:rsidRPr="005E779E">
        <w:rPr>
          <w:rFonts w:ascii="Times New Roman" w:hAnsi="Times New Roman"/>
          <w:color w:val="000000" w:themeColor="text1"/>
          <w:sz w:val="16"/>
          <w:szCs w:val="16"/>
        </w:rPr>
        <w:softHyphen/>
        <w:t>ный фасонный ложемент (замок), в который входил соответствующий элемент, оборудо</w:t>
      </w:r>
      <w:r w:rsidRPr="005E779E">
        <w:rPr>
          <w:rFonts w:ascii="Times New Roman" w:hAnsi="Times New Roman"/>
          <w:color w:val="000000" w:themeColor="text1"/>
          <w:sz w:val="16"/>
          <w:szCs w:val="16"/>
        </w:rPr>
        <w:softHyphen/>
        <w:t>ванный на шасси истребителя. Третья пира</w:t>
      </w:r>
      <w:r w:rsidRPr="005E779E">
        <w:rPr>
          <w:rFonts w:ascii="Times New Roman" w:hAnsi="Times New Roman"/>
          <w:color w:val="000000" w:themeColor="text1"/>
          <w:sz w:val="16"/>
          <w:szCs w:val="16"/>
        </w:rPr>
        <w:softHyphen/>
        <w:t>мида с расцепляющим замком поддерживала фюзеляж И-4 в районе его 3-й силовой рамы. Так как истребители устанавливались вбли</w:t>
      </w:r>
      <w:r w:rsidRPr="005E779E">
        <w:rPr>
          <w:rFonts w:ascii="Times New Roman" w:hAnsi="Times New Roman"/>
          <w:color w:val="000000" w:themeColor="text1"/>
          <w:sz w:val="16"/>
          <w:szCs w:val="16"/>
        </w:rPr>
        <w:softHyphen/>
        <w:t>зи диска вращающегося воздушного винта бомбардировщика (продольная ось И-4 про</w:t>
      </w:r>
      <w:r w:rsidRPr="005E779E">
        <w:rPr>
          <w:rFonts w:ascii="Times New Roman" w:hAnsi="Times New Roman"/>
          <w:color w:val="000000" w:themeColor="text1"/>
          <w:sz w:val="16"/>
          <w:szCs w:val="16"/>
        </w:rPr>
        <w:softHyphen/>
        <w:t>ходила на расстоянии 307 мм от оси разъема крыла ТБ-1 по направлению к продольной оси последнего) небольшое нижнее крыло на них было снято. Закатывались истребители на крыло самолета-носителя по специально</w:t>
      </w:r>
      <w:r w:rsidRPr="005E779E">
        <w:rPr>
          <w:rFonts w:ascii="Times New Roman" w:hAnsi="Times New Roman"/>
          <w:color w:val="000000" w:themeColor="text1"/>
          <w:sz w:val="16"/>
          <w:szCs w:val="16"/>
        </w:rPr>
        <w:softHyphen/>
        <w:t>му помосту (рампе), снабженному деревян</w:t>
      </w:r>
      <w:r w:rsidRPr="005E779E">
        <w:rPr>
          <w:rFonts w:ascii="Times New Roman" w:hAnsi="Times New Roman"/>
          <w:color w:val="000000" w:themeColor="text1"/>
          <w:sz w:val="16"/>
          <w:szCs w:val="16"/>
        </w:rPr>
        <w:softHyphen/>
        <w:t>ными желобами.</w:t>
      </w:r>
    </w:p>
    <w:p w14:paraId="15D4557E" w14:textId="77777777" w:rsidR="007E4069" w:rsidRPr="005E779E" w:rsidRDefault="007E406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Первое испытание системы «Самолет-звено-1» (СЗ-1) состоялось 3 декабря 1931 года на аэродроме 17-й авиабригады в подмосков</w:t>
      </w:r>
      <w:r w:rsidRPr="005E779E">
        <w:rPr>
          <w:rFonts w:ascii="Times New Roman" w:hAnsi="Times New Roman"/>
          <w:color w:val="000000" w:themeColor="text1"/>
          <w:sz w:val="16"/>
          <w:szCs w:val="16"/>
        </w:rPr>
        <w:softHyphen/>
        <w:t>ном Монино. Первым делом при стоянке на земле были запущены и прогреты двигате</w:t>
      </w:r>
      <w:r w:rsidRPr="005E779E">
        <w:rPr>
          <w:rFonts w:ascii="Times New Roman" w:hAnsi="Times New Roman"/>
          <w:color w:val="000000" w:themeColor="text1"/>
          <w:sz w:val="16"/>
          <w:szCs w:val="16"/>
        </w:rPr>
        <w:softHyphen/>
        <w:t>ли обоих истребителей И-4, после чего аэ</w:t>
      </w:r>
      <w:r w:rsidRPr="005E779E">
        <w:rPr>
          <w:rFonts w:ascii="Times New Roman" w:hAnsi="Times New Roman"/>
          <w:color w:val="000000" w:themeColor="text1"/>
          <w:sz w:val="16"/>
          <w:szCs w:val="16"/>
        </w:rPr>
        <w:softHyphen/>
        <w:t>родромная команда по наклонной рампе за</w:t>
      </w:r>
      <w:r w:rsidRPr="005E779E">
        <w:rPr>
          <w:rFonts w:ascii="Times New Roman" w:hAnsi="Times New Roman"/>
          <w:color w:val="000000" w:themeColor="text1"/>
          <w:sz w:val="16"/>
          <w:szCs w:val="16"/>
        </w:rPr>
        <w:softHyphen/>
        <w:t>катила их на крыло ТБ-1. После соединения всех систем и последующей их тщательной проверки начались пробежки по аэродрому на различных режимах работы двигателей. В 14 часов 30 минут был произведен первый взлет СЗ-1, стартовый вес которого составил 8180 кг (ТБ-1 5640 кг + 2 И-4 2x1270 кг). В ТБ-1 на левом командирском кресле нахо</w:t>
      </w:r>
      <w:r w:rsidRPr="005E779E">
        <w:rPr>
          <w:rFonts w:ascii="Times New Roman" w:hAnsi="Times New Roman"/>
          <w:color w:val="000000" w:themeColor="text1"/>
          <w:sz w:val="16"/>
          <w:szCs w:val="16"/>
        </w:rPr>
        <w:softHyphen/>
        <w:t>дился летчик Адам Залевский, Андрей Шара</w:t>
      </w:r>
      <w:r w:rsidRPr="005E779E">
        <w:rPr>
          <w:rFonts w:ascii="Times New Roman" w:hAnsi="Times New Roman"/>
          <w:color w:val="000000" w:themeColor="text1"/>
          <w:sz w:val="16"/>
          <w:szCs w:val="16"/>
        </w:rPr>
        <w:softHyphen/>
        <w:t>пов занимал правое сидение носителя, кон</w:t>
      </w:r>
      <w:r w:rsidRPr="005E779E">
        <w:rPr>
          <w:rFonts w:ascii="Times New Roman" w:hAnsi="Times New Roman"/>
          <w:color w:val="000000" w:themeColor="text1"/>
          <w:sz w:val="16"/>
          <w:szCs w:val="16"/>
        </w:rPr>
        <w:softHyphen/>
        <w:t>структор Вахмистров — в 1-м люке кормовых стрелков, инженер Морозов - во 2-м люке. Левым И-4 управлял летчик Валерий Чкалов, правым— Александр Анисимов. Взлет СЗ-1 с аэродрома произошел на скорости 140 км/ч без осложнений. Адам Залевский вибраций и излишних давлений на органы управле</w:t>
      </w:r>
      <w:r w:rsidRPr="005E779E">
        <w:rPr>
          <w:rFonts w:ascii="Times New Roman" w:hAnsi="Times New Roman"/>
          <w:color w:val="000000" w:themeColor="text1"/>
          <w:sz w:val="16"/>
          <w:szCs w:val="16"/>
        </w:rPr>
        <w:softHyphen/>
        <w:t>ния при выполнении старта и наборе высо</w:t>
      </w:r>
      <w:r w:rsidRPr="005E779E">
        <w:rPr>
          <w:rFonts w:ascii="Times New Roman" w:hAnsi="Times New Roman"/>
          <w:color w:val="000000" w:themeColor="text1"/>
          <w:sz w:val="16"/>
          <w:szCs w:val="16"/>
        </w:rPr>
        <w:softHyphen/>
        <w:t>ты не отметил. На высоте 1000 м при скоро</w:t>
      </w:r>
      <w:r w:rsidRPr="005E779E">
        <w:rPr>
          <w:rFonts w:ascii="Times New Roman" w:hAnsi="Times New Roman"/>
          <w:color w:val="000000" w:themeColor="text1"/>
          <w:sz w:val="16"/>
          <w:szCs w:val="16"/>
        </w:rPr>
        <w:softHyphen/>
        <w:t>сти 160 км/ч был произведен первый отрыв самолетов от носителя. При этом И-4 Анисимова отцепился с поднятым хвостом, не имея достаточной подъемной силы, поэто</w:t>
      </w:r>
      <w:r w:rsidRPr="005E779E">
        <w:rPr>
          <w:rFonts w:ascii="Times New Roman" w:hAnsi="Times New Roman"/>
          <w:color w:val="000000" w:themeColor="text1"/>
          <w:sz w:val="16"/>
          <w:szCs w:val="16"/>
        </w:rPr>
        <w:softHyphen/>
        <w:t>му соскочил с пирамид, ударился колесом о 3-й лонжерон крыла ТБ-1 и пробил гофри</w:t>
      </w:r>
      <w:r w:rsidRPr="005E779E">
        <w:rPr>
          <w:rFonts w:ascii="Times New Roman" w:hAnsi="Times New Roman"/>
          <w:color w:val="000000" w:themeColor="text1"/>
          <w:sz w:val="16"/>
          <w:szCs w:val="16"/>
        </w:rPr>
        <w:softHyphen/>
        <w:t>рованную обшивку. Воздушный винт истре</w:t>
      </w:r>
      <w:r w:rsidRPr="005E779E">
        <w:rPr>
          <w:rFonts w:ascii="Times New Roman" w:hAnsi="Times New Roman"/>
          <w:color w:val="000000" w:themeColor="text1"/>
          <w:sz w:val="16"/>
          <w:szCs w:val="16"/>
        </w:rPr>
        <w:softHyphen/>
        <w:t>бителя в ходе этого нештатного отцепления задел пирамиду крепления, в результате че</w:t>
      </w:r>
      <w:r w:rsidRPr="005E779E">
        <w:rPr>
          <w:rFonts w:ascii="Times New Roman" w:hAnsi="Times New Roman"/>
          <w:color w:val="000000" w:themeColor="text1"/>
          <w:sz w:val="16"/>
          <w:szCs w:val="16"/>
        </w:rPr>
        <w:softHyphen/>
        <w:t>го лопасть винта и сама пирамида оказались повреждены. Тем не менее эта небольшая не</w:t>
      </w:r>
      <w:r w:rsidRPr="005E779E">
        <w:rPr>
          <w:rFonts w:ascii="Times New Roman" w:hAnsi="Times New Roman"/>
          <w:color w:val="000000" w:themeColor="text1"/>
          <w:sz w:val="16"/>
          <w:szCs w:val="16"/>
        </w:rPr>
        <w:softHyphen/>
        <w:t>приятность не помешала благополучному за</w:t>
      </w:r>
      <w:r w:rsidRPr="005E779E">
        <w:rPr>
          <w:rFonts w:ascii="Times New Roman" w:hAnsi="Times New Roman"/>
          <w:color w:val="000000" w:themeColor="text1"/>
          <w:sz w:val="16"/>
          <w:szCs w:val="16"/>
        </w:rPr>
        <w:softHyphen/>
        <w:t>вершению эксперимента — все три самолета успешно приземлились на Монинском аэро</w:t>
      </w:r>
      <w:r w:rsidRPr="005E779E">
        <w:rPr>
          <w:rFonts w:ascii="Times New Roman" w:hAnsi="Times New Roman"/>
          <w:color w:val="000000" w:themeColor="text1"/>
          <w:sz w:val="16"/>
          <w:szCs w:val="16"/>
        </w:rPr>
        <w:softHyphen/>
        <w:t>дроме (12295).</w:t>
      </w:r>
    </w:p>
    <w:p w14:paraId="0DE090ED" w14:textId="77777777" w:rsidR="007E4069" w:rsidRPr="005E779E" w:rsidRDefault="007E4069" w:rsidP="000B7A6C">
      <w:pPr>
        <w:spacing w:after="0" w:line="240" w:lineRule="auto"/>
        <w:jc w:val="both"/>
        <w:rPr>
          <w:rFonts w:ascii="Times New Roman" w:hAnsi="Times New Roman"/>
          <w:color w:val="000000" w:themeColor="text1"/>
          <w:sz w:val="16"/>
          <w:szCs w:val="16"/>
        </w:rPr>
      </w:pPr>
    </w:p>
    <w:p w14:paraId="38FA5420" w14:textId="77777777" w:rsidR="008D3AB5" w:rsidRPr="005E779E" w:rsidRDefault="008D3A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 января 1931 г. ЦАГИ запросил из НИИ ВВС истреби</w:t>
      </w:r>
      <w:r w:rsidRPr="005E779E">
        <w:rPr>
          <w:rFonts w:ascii="Times New Roman" w:hAnsi="Times New Roman"/>
          <w:color w:val="000000" w:themeColor="text1"/>
          <w:sz w:val="16"/>
          <w:szCs w:val="16"/>
        </w:rPr>
        <w:softHyphen/>
        <w:t>тель И-4, на котором предполагалось произвести все не</w:t>
      </w:r>
      <w:r w:rsidRPr="005E779E">
        <w:rPr>
          <w:rFonts w:ascii="Times New Roman" w:hAnsi="Times New Roman"/>
          <w:color w:val="000000" w:themeColor="text1"/>
          <w:sz w:val="16"/>
          <w:szCs w:val="16"/>
        </w:rPr>
        <w:softHyphen/>
        <w:t>обходимые усовершенствования и изменения. Был выде</w:t>
      </w:r>
      <w:r w:rsidRPr="005E779E">
        <w:rPr>
          <w:rFonts w:ascii="Times New Roman" w:hAnsi="Times New Roman"/>
          <w:color w:val="000000" w:themeColor="text1"/>
          <w:sz w:val="16"/>
          <w:szCs w:val="16"/>
        </w:rPr>
        <w:softHyphen/>
        <w:t>лен И-4 (зав. №1502), который по причине заметного из</w:t>
      </w:r>
      <w:r w:rsidRPr="005E779E">
        <w:rPr>
          <w:rFonts w:ascii="Times New Roman" w:hAnsi="Times New Roman"/>
          <w:color w:val="000000" w:themeColor="text1"/>
          <w:sz w:val="16"/>
          <w:szCs w:val="16"/>
        </w:rPr>
        <w:softHyphen/>
        <w:t>носа планера участвовал лишь в наземных опытах и отработках системы. Для практических полетов использо</w:t>
      </w:r>
      <w:r w:rsidRPr="005E779E">
        <w:rPr>
          <w:rFonts w:ascii="Times New Roman" w:hAnsi="Times New Roman"/>
          <w:color w:val="000000" w:themeColor="text1"/>
          <w:sz w:val="16"/>
          <w:szCs w:val="16"/>
        </w:rPr>
        <w:softHyphen/>
        <w:t>вались другие летающие машины: два достаточно новых серийных И-4 (№1651 и №1655) и ТБ-1 №651.</w:t>
      </w:r>
    </w:p>
    <w:p w14:paraId="767A1B26" w14:textId="77777777" w:rsidR="008D3AB5" w:rsidRPr="005E779E" w:rsidRDefault="008D3A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Изменения, вносимые в конструкцию самолетов, произ</w:t>
      </w:r>
      <w:r w:rsidRPr="005E779E">
        <w:rPr>
          <w:rFonts w:ascii="Times New Roman" w:hAnsi="Times New Roman"/>
          <w:color w:val="000000" w:themeColor="text1"/>
          <w:sz w:val="16"/>
          <w:szCs w:val="16"/>
        </w:rPr>
        <w:softHyphen/>
        <w:t>вели в основном на ТБ-1. На крыле бомбардировщика для установки истребителей с каждой стороны оборудо</w:t>
      </w:r>
      <w:r w:rsidRPr="005E779E">
        <w:rPr>
          <w:rFonts w:ascii="Times New Roman" w:hAnsi="Times New Roman"/>
          <w:color w:val="000000" w:themeColor="text1"/>
          <w:sz w:val="16"/>
          <w:szCs w:val="16"/>
        </w:rPr>
        <w:softHyphen/>
        <w:t>вали по три пирамиды. Две передние пирамиды, на кото</w:t>
      </w:r>
      <w:r w:rsidRPr="005E779E">
        <w:rPr>
          <w:rFonts w:ascii="Times New Roman" w:hAnsi="Times New Roman"/>
          <w:color w:val="000000" w:themeColor="text1"/>
          <w:sz w:val="16"/>
          <w:szCs w:val="16"/>
        </w:rPr>
        <w:softHyphen/>
        <w:t>рых закреплялись шасси И-4, были установлены по оси пе</w:t>
      </w:r>
      <w:r w:rsidRPr="005E779E">
        <w:rPr>
          <w:rFonts w:ascii="Times New Roman" w:hAnsi="Times New Roman"/>
          <w:color w:val="000000" w:themeColor="text1"/>
          <w:sz w:val="16"/>
          <w:szCs w:val="16"/>
        </w:rPr>
        <w:softHyphen/>
        <w:t>реднего лонжерона ТБ-1. Каждая пирамида имела специ</w:t>
      </w:r>
      <w:r w:rsidRPr="005E779E">
        <w:rPr>
          <w:rFonts w:ascii="Times New Roman" w:hAnsi="Times New Roman"/>
          <w:color w:val="000000" w:themeColor="text1"/>
          <w:sz w:val="16"/>
          <w:szCs w:val="16"/>
        </w:rPr>
        <w:softHyphen/>
        <w:t>альный фасонный ложемент (замок), в который входил со</w:t>
      </w:r>
      <w:r w:rsidRPr="005E779E">
        <w:rPr>
          <w:rFonts w:ascii="Times New Roman" w:hAnsi="Times New Roman"/>
          <w:color w:val="000000" w:themeColor="text1"/>
          <w:sz w:val="16"/>
          <w:szCs w:val="16"/>
        </w:rPr>
        <w:softHyphen/>
        <w:t>ответствующий элемент, установленный на шасси истре</w:t>
      </w:r>
      <w:r w:rsidRPr="005E779E">
        <w:rPr>
          <w:rFonts w:ascii="Times New Roman" w:hAnsi="Times New Roman"/>
          <w:color w:val="000000" w:themeColor="text1"/>
          <w:sz w:val="16"/>
          <w:szCs w:val="16"/>
        </w:rPr>
        <w:softHyphen/>
        <w:t>бителя. Третья пирамида с расцепляющим замком поддер</w:t>
      </w:r>
      <w:r w:rsidRPr="005E779E">
        <w:rPr>
          <w:rFonts w:ascii="Times New Roman" w:hAnsi="Times New Roman"/>
          <w:color w:val="000000" w:themeColor="text1"/>
          <w:sz w:val="16"/>
          <w:szCs w:val="16"/>
        </w:rPr>
        <w:softHyphen/>
        <w:t>живала фюзеляж И-4 в районе его 3-й силовой рамы. Так как истребители устанавливались вблизи диска вращаю</w:t>
      </w:r>
      <w:r w:rsidRPr="005E779E">
        <w:rPr>
          <w:rFonts w:ascii="Times New Roman" w:hAnsi="Times New Roman"/>
          <w:color w:val="000000" w:themeColor="text1"/>
          <w:sz w:val="16"/>
          <w:szCs w:val="16"/>
        </w:rPr>
        <w:softHyphen/>
        <w:t>щегося воздушного винта бомбардировщика (продоль</w:t>
      </w:r>
      <w:r w:rsidRPr="005E779E">
        <w:rPr>
          <w:rFonts w:ascii="Times New Roman" w:hAnsi="Times New Roman"/>
          <w:color w:val="000000" w:themeColor="text1"/>
          <w:sz w:val="16"/>
          <w:szCs w:val="16"/>
        </w:rPr>
        <w:softHyphen/>
        <w:t>ная ось И-4 проходила на расстоянии 307 мм от оси разъ</w:t>
      </w:r>
      <w:r w:rsidRPr="005E779E">
        <w:rPr>
          <w:rFonts w:ascii="Times New Roman" w:hAnsi="Times New Roman"/>
          <w:color w:val="000000" w:themeColor="text1"/>
          <w:sz w:val="16"/>
          <w:szCs w:val="16"/>
        </w:rPr>
        <w:softHyphen/>
        <w:t>ема крыла ТБ-1 по направлению к продольной оси послед</w:t>
      </w:r>
      <w:r w:rsidRPr="005E779E">
        <w:rPr>
          <w:rFonts w:ascii="Times New Roman" w:hAnsi="Times New Roman"/>
          <w:color w:val="000000" w:themeColor="text1"/>
          <w:sz w:val="16"/>
          <w:szCs w:val="16"/>
        </w:rPr>
        <w:softHyphen/>
        <w:t>него), небольшое нижнее крыло на них было снято (20345).</w:t>
      </w:r>
    </w:p>
    <w:p w14:paraId="4570849B" w14:textId="77777777" w:rsidR="008D3AB5" w:rsidRPr="005E779E" w:rsidRDefault="008D3AB5" w:rsidP="000B7A6C">
      <w:pPr>
        <w:spacing w:after="0" w:line="240" w:lineRule="auto"/>
        <w:jc w:val="both"/>
        <w:rPr>
          <w:rFonts w:ascii="Times New Roman" w:hAnsi="Times New Roman"/>
          <w:color w:val="000000" w:themeColor="text1"/>
          <w:sz w:val="16"/>
          <w:szCs w:val="16"/>
        </w:rPr>
      </w:pPr>
    </w:p>
    <w:p w14:paraId="0D910ED0" w14:textId="77777777" w:rsidR="00B43403" w:rsidRPr="005E779E" w:rsidRDefault="00B4340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 января 1931 г. ЦАГИ запросил из НИИ ВВС истребитель И-4, на котором предполагалось произ</w:t>
      </w:r>
      <w:r w:rsidRPr="005E779E">
        <w:rPr>
          <w:rFonts w:ascii="Times New Roman" w:hAnsi="Times New Roman"/>
          <w:color w:val="000000" w:themeColor="text1"/>
          <w:sz w:val="16"/>
          <w:szCs w:val="16"/>
        </w:rPr>
        <w:softHyphen/>
        <w:t>вести все необходимые усовершенствования и изме</w:t>
      </w:r>
      <w:r w:rsidRPr="005E779E">
        <w:rPr>
          <w:rFonts w:ascii="Times New Roman" w:hAnsi="Times New Roman"/>
          <w:color w:val="000000" w:themeColor="text1"/>
          <w:sz w:val="16"/>
          <w:szCs w:val="16"/>
        </w:rPr>
        <w:softHyphen/>
        <w:t>нения для проекта Вахмистрова. Был выделен И-4 (зав. №1502), который по причине заметного износа планера участвовал лишь в наземных опытах и отработках системы. Для прак</w:t>
      </w:r>
      <w:r w:rsidRPr="005E779E">
        <w:rPr>
          <w:rFonts w:ascii="Times New Roman" w:hAnsi="Times New Roman"/>
          <w:color w:val="000000" w:themeColor="text1"/>
          <w:sz w:val="16"/>
          <w:szCs w:val="16"/>
        </w:rPr>
        <w:softHyphen/>
        <w:t>тических полетов использовались другие летающие машины: два достаточно новых серийных И-4 — №1651 и №1655 и ТБ-1 №651.</w:t>
      </w:r>
    </w:p>
    <w:p w14:paraId="10F20CCB" w14:textId="77777777" w:rsidR="00B43403" w:rsidRPr="005E779E" w:rsidRDefault="00B4340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Изменения, вносимые в конструкцию самолетов, произвели в основном на ТБ-1. На крыле бомбарди</w:t>
      </w:r>
      <w:r w:rsidRPr="005E779E">
        <w:rPr>
          <w:rFonts w:ascii="Times New Roman" w:hAnsi="Times New Roman"/>
          <w:color w:val="000000" w:themeColor="text1"/>
          <w:sz w:val="16"/>
          <w:szCs w:val="16"/>
        </w:rPr>
        <w:softHyphen/>
        <w:t>ровщика для установки истребителей с каждой сто</w:t>
      </w:r>
      <w:r w:rsidRPr="005E779E">
        <w:rPr>
          <w:rFonts w:ascii="Times New Roman" w:hAnsi="Times New Roman"/>
          <w:color w:val="000000" w:themeColor="text1"/>
          <w:sz w:val="16"/>
          <w:szCs w:val="16"/>
        </w:rPr>
        <w:softHyphen/>
        <w:t>роны оборудовали по три пирамиды. Две передние пирамиды, на которых закреплялось шасси И-4, бы</w:t>
      </w:r>
      <w:r w:rsidRPr="005E779E">
        <w:rPr>
          <w:rFonts w:ascii="Times New Roman" w:hAnsi="Times New Roman"/>
          <w:color w:val="000000" w:themeColor="text1"/>
          <w:sz w:val="16"/>
          <w:szCs w:val="16"/>
        </w:rPr>
        <w:softHyphen/>
        <w:t>ли установлены по оси переднего лонжерона ТБ-1. Каждая пирамида имела специальный фасонный ло</w:t>
      </w:r>
      <w:r w:rsidRPr="005E779E">
        <w:rPr>
          <w:rFonts w:ascii="Times New Roman" w:hAnsi="Times New Roman"/>
          <w:color w:val="000000" w:themeColor="text1"/>
          <w:sz w:val="16"/>
          <w:szCs w:val="16"/>
        </w:rPr>
        <w:softHyphen/>
        <w:t>жемент (замок), в который входил соответствующий элемент, оборудованный на шасси истребителя. Тре</w:t>
      </w:r>
      <w:r w:rsidRPr="005E779E">
        <w:rPr>
          <w:rFonts w:ascii="Times New Roman" w:hAnsi="Times New Roman"/>
          <w:color w:val="000000" w:themeColor="text1"/>
          <w:sz w:val="16"/>
          <w:szCs w:val="16"/>
        </w:rPr>
        <w:softHyphen/>
        <w:t>тья пирамида с расцепляющим замком поддерживала фюзеляж И-4 в районе его 3-й силовой рамы. Так как истребители устанавливались вблизи диска вра</w:t>
      </w:r>
      <w:r w:rsidRPr="005E779E">
        <w:rPr>
          <w:rFonts w:ascii="Times New Roman" w:hAnsi="Times New Roman"/>
          <w:color w:val="000000" w:themeColor="text1"/>
          <w:sz w:val="16"/>
          <w:szCs w:val="16"/>
        </w:rPr>
        <w:softHyphen/>
        <w:t>щающегося воздушного винта бомбардировщика (продольная ось И-4 проходила на расстоянии 307 мм от оси разъема крыла ТБ-1 по направлению к продольной оси последнего), небольшое нижнее крыло на них было снято (23378).</w:t>
      </w:r>
    </w:p>
    <w:p w14:paraId="30E1894F" w14:textId="77777777" w:rsidR="00B43403" w:rsidRPr="005E779E" w:rsidRDefault="00B43403" w:rsidP="000B7A6C">
      <w:pPr>
        <w:spacing w:after="0" w:line="240" w:lineRule="auto"/>
        <w:jc w:val="both"/>
        <w:rPr>
          <w:rFonts w:ascii="Times New Roman" w:hAnsi="Times New Roman"/>
          <w:color w:val="000000" w:themeColor="text1"/>
          <w:sz w:val="16"/>
          <w:szCs w:val="16"/>
        </w:rPr>
      </w:pPr>
    </w:p>
    <w:p w14:paraId="7B2498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31 января по 6 марта 1931 И.В.Михеев с механиком В.И.Монаховым на АНТ-9 выполнил перелет из Москвы в Обдорск и обратно для вывозки пушнины (272,376).</w:t>
      </w:r>
    </w:p>
    <w:p w14:paraId="4609E6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4D113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 января 1931 г. С.П. Королев вместе с С.Н. Люшиным и Н. Малиновским (фамилия названа предположительно) завершил проект нового планера с размахом крыла 30 м. На выбор конструктивных характеристик этого планера оказали влияние сведения о выдающихся достижениях австрийского планериста Кронфельда, установившего мировой рекорд дальности полета (161 км) на планере "Австрия", созданном австрийским конструктором Киннером. Планер "Австрия" называли чудом конструкторской мысли. Отличительной его особенностью был размах крыла — 30 м.</w:t>
      </w:r>
    </w:p>
    <w:p w14:paraId="63D6F8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конструкции нового планера-парителя отчетливо просматривалось стремление превзойти показатели знаменитого австрийского планера. Равенство размахов облегчало сравнение этих двух планеров. Значение качества австрийского планера было 28,4, планера-парителя — 33,3. При конструировании любого планера важно было добиваться как можно меньшей скорости снижения аппарата. Достижению этой цели подчиняется выбор его конструктивных параметров: размаха, профиля крыла, удлинения. Лучший советский планер того периода "Город Ленина" (конструктор О.К. Антонов) имел скорость снижения 0,68 м/с, планер "Австрия" (расчетные данные О.К. Антонова) — 0,68 м/с, а планер-паритель — 0,423 м/с (по расчетным данным).</w:t>
      </w:r>
    </w:p>
    <w:p w14:paraId="48FBE2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Удлинение и площадь крыла у "Австрии" (26,1; 34,97 м</w:t>
      </w:r>
      <w:r w:rsidRPr="005E779E">
        <w:rPr>
          <w:rFonts w:ascii="Times New Roman" w:hAnsi="Times New Roman"/>
          <w:color w:val="000000" w:themeColor="text1"/>
          <w:sz w:val="16"/>
          <w:szCs w:val="16"/>
          <w:vertAlign w:val="superscript"/>
        </w:rPr>
        <w:t>2</w:t>
      </w:r>
      <w:r w:rsidRPr="005E779E">
        <w:rPr>
          <w:rFonts w:ascii="Times New Roman" w:hAnsi="Times New Roman"/>
          <w:color w:val="000000" w:themeColor="text1"/>
          <w:sz w:val="16"/>
          <w:szCs w:val="16"/>
        </w:rPr>
        <w:t>) и планера-парителя (26; 34,4 м</w:t>
      </w:r>
      <w:r w:rsidRPr="005E779E">
        <w:rPr>
          <w:rFonts w:ascii="Times New Roman" w:hAnsi="Times New Roman"/>
          <w:color w:val="000000" w:themeColor="text1"/>
          <w:sz w:val="16"/>
          <w:szCs w:val="16"/>
          <w:vertAlign w:val="superscript"/>
        </w:rPr>
        <w:t>2</w:t>
      </w:r>
      <w:r w:rsidRPr="005E779E">
        <w:rPr>
          <w:rFonts w:ascii="Times New Roman" w:hAnsi="Times New Roman"/>
          <w:color w:val="000000" w:themeColor="text1"/>
          <w:sz w:val="16"/>
          <w:szCs w:val="16"/>
        </w:rPr>
        <w:t>) были примерно одинаковыми. Однако вес парителя был заметно больше (385 кг против 263 кг у "Австрии"). Отчасти это объяснялось тем, что австрийские планеры, как и немецкие, рассчитывались на 6-кратный запас прочности, а наши — на 7-кратный. 23 марта 1931 г. видные авиационные специалисты С.В. Ильюшин и Б.Н. Юрьев рекомендовали новый планер-паритель (основной вариант) к реализации. Его постройка была отложена до пуска планерного завода, но так и не состоялась. Одновременно авторы представили дополнительный вариант планера такого же класса с несколько измененными данными.</w:t>
      </w:r>
    </w:p>
    <w:p w14:paraId="023A1B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Конструктивные данные планера-парителя: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970"/>
        <w:gridCol w:w="900"/>
        <w:gridCol w:w="900"/>
      </w:tblGrid>
      <w:tr w:rsidR="00EA061A" w:rsidRPr="005E779E" w14:paraId="0C17D6AB" w14:textId="77777777">
        <w:tc>
          <w:tcPr>
            <w:tcW w:w="2970" w:type="dxa"/>
            <w:tcBorders>
              <w:top w:val="single" w:sz="12" w:space="0" w:color="auto"/>
              <w:bottom w:val="single" w:sz="12" w:space="0" w:color="auto"/>
            </w:tcBorders>
          </w:tcPr>
          <w:p w14:paraId="0A44F0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1D0F5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86B42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Размах, м</w:t>
            </w:r>
          </w:p>
          <w:p w14:paraId="65DC1A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5E779E">
              <w:rPr>
                <w:rFonts w:ascii="Times New Roman" w:hAnsi="Times New Roman"/>
                <w:color w:val="000000" w:themeColor="text1"/>
                <w:sz w:val="16"/>
                <w:szCs w:val="16"/>
              </w:rPr>
              <w:t>Несущая поверхность, м</w:t>
            </w:r>
            <w:r w:rsidRPr="005E779E">
              <w:rPr>
                <w:rFonts w:ascii="Times New Roman" w:hAnsi="Times New Roman"/>
                <w:color w:val="000000" w:themeColor="text1"/>
                <w:sz w:val="16"/>
                <w:szCs w:val="16"/>
                <w:vertAlign w:val="superscript"/>
              </w:rPr>
              <w:t>2</w:t>
            </w:r>
          </w:p>
          <w:p w14:paraId="47F230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Удлинение</w:t>
            </w:r>
          </w:p>
          <w:p w14:paraId="313C82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Вес, кг </w:t>
            </w:r>
          </w:p>
          <w:p w14:paraId="797507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полете </w:t>
            </w:r>
          </w:p>
          <w:p w14:paraId="19A491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конструкции</w:t>
            </w:r>
          </w:p>
          <w:p w14:paraId="5965EE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5E779E">
              <w:rPr>
                <w:rFonts w:ascii="Times New Roman" w:hAnsi="Times New Roman"/>
                <w:color w:val="000000" w:themeColor="text1"/>
                <w:sz w:val="16"/>
                <w:szCs w:val="16"/>
              </w:rPr>
              <w:t>Нагрузка на крыло, кг/м</w:t>
            </w:r>
            <w:r w:rsidRPr="005E779E">
              <w:rPr>
                <w:rFonts w:ascii="Times New Roman" w:hAnsi="Times New Roman"/>
                <w:color w:val="000000" w:themeColor="text1"/>
                <w:sz w:val="16"/>
                <w:szCs w:val="16"/>
                <w:vertAlign w:val="superscript"/>
              </w:rPr>
              <w:t>2</w:t>
            </w:r>
          </w:p>
          <w:p w14:paraId="3682C1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Показатель летучести</w:t>
            </w:r>
          </w:p>
          <w:p w14:paraId="5158B7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Максимальное качество</w:t>
            </w:r>
          </w:p>
          <w:p w14:paraId="5385FE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Минимальная скорость снижения, м/с</w:t>
            </w:r>
          </w:p>
          <w:p w14:paraId="568343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Скорость, м/с </w:t>
            </w:r>
          </w:p>
          <w:p w14:paraId="04CB4F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горизонтального полета </w:t>
            </w:r>
          </w:p>
          <w:p w14:paraId="06C256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посадочная</w:t>
            </w:r>
          </w:p>
        </w:tc>
        <w:tc>
          <w:tcPr>
            <w:tcW w:w="900" w:type="dxa"/>
            <w:tcBorders>
              <w:top w:val="single" w:sz="12" w:space="0" w:color="auto"/>
              <w:bottom w:val="single" w:sz="12" w:space="0" w:color="auto"/>
            </w:tcBorders>
          </w:tcPr>
          <w:p w14:paraId="687D48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 xml:space="preserve">Основной </w:t>
            </w:r>
          </w:p>
          <w:p w14:paraId="294826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вариант</w:t>
            </w:r>
          </w:p>
          <w:p w14:paraId="4FE859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FBC68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30 </w:t>
            </w:r>
          </w:p>
          <w:p w14:paraId="19FCC4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34,4</w:t>
            </w:r>
          </w:p>
          <w:p w14:paraId="111C80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w:t>
            </w:r>
          </w:p>
          <w:p w14:paraId="0D6F5A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3F3AE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475</w:t>
            </w:r>
          </w:p>
          <w:p w14:paraId="367EDA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385</w:t>
            </w:r>
          </w:p>
          <w:p w14:paraId="3B814D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w:t>
            </w:r>
          </w:p>
          <w:p w14:paraId="6A756A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0,54</w:t>
            </w:r>
          </w:p>
          <w:p w14:paraId="358A33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33,3</w:t>
            </w:r>
          </w:p>
          <w:p w14:paraId="11F43D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0,423</w:t>
            </w:r>
          </w:p>
          <w:p w14:paraId="61EA91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EDB0E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w:t>
            </w:r>
          </w:p>
          <w:p w14:paraId="34CE95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w:t>
            </w:r>
          </w:p>
        </w:tc>
        <w:tc>
          <w:tcPr>
            <w:tcW w:w="900" w:type="dxa"/>
            <w:tcBorders>
              <w:top w:val="single" w:sz="12" w:space="0" w:color="auto"/>
              <w:bottom w:val="single" w:sz="12" w:space="0" w:color="auto"/>
            </w:tcBorders>
          </w:tcPr>
          <w:p w14:paraId="7455D8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 xml:space="preserve">Дополнительный вариант </w:t>
            </w:r>
          </w:p>
          <w:p w14:paraId="1C4D56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DF715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26,6 </w:t>
            </w:r>
          </w:p>
          <w:p w14:paraId="6AF1BF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34,4</w:t>
            </w:r>
          </w:p>
          <w:p w14:paraId="574D1D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20,6</w:t>
            </w:r>
          </w:p>
          <w:p w14:paraId="447DC6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82D36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430 </w:t>
            </w:r>
          </w:p>
          <w:p w14:paraId="6994F9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340 </w:t>
            </w:r>
          </w:p>
          <w:p w14:paraId="132832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12,5</w:t>
            </w:r>
          </w:p>
          <w:p w14:paraId="08349B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 xml:space="preserve">0,6 </w:t>
            </w:r>
          </w:p>
          <w:p w14:paraId="652D66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29,7 </w:t>
            </w:r>
          </w:p>
          <w:p w14:paraId="19C493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0,456</w:t>
            </w:r>
          </w:p>
          <w:p w14:paraId="255C8D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AACE0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16 </w:t>
            </w:r>
          </w:p>
          <w:p w14:paraId="0528DF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w:t>
            </w:r>
          </w:p>
        </w:tc>
      </w:tr>
    </w:tbl>
    <w:p w14:paraId="099313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(10676).</w:t>
      </w:r>
    </w:p>
    <w:p w14:paraId="6A7008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C98E41D" w14:textId="77777777" w:rsidR="00B43403" w:rsidRPr="005E779E" w:rsidRDefault="00B4340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31 января по 6 марта 1931 г. на АНТ-9 были выполнены первые в истории стра</w:t>
      </w:r>
      <w:r w:rsidRPr="005E779E">
        <w:rPr>
          <w:rFonts w:ascii="Times New Roman" w:hAnsi="Times New Roman"/>
          <w:color w:val="000000" w:themeColor="text1"/>
          <w:sz w:val="16"/>
          <w:szCs w:val="16"/>
        </w:rPr>
        <w:softHyphen/>
        <w:t>ны полеты в Заполярье, подтвердившие отличные качества машины.</w:t>
      </w:r>
    </w:p>
    <w:p w14:paraId="10742E8A" w14:textId="77777777" w:rsidR="00B43403" w:rsidRPr="005E779E" w:rsidRDefault="00B4340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Зимой 1931 г. возникла необходи</w:t>
      </w:r>
      <w:r w:rsidRPr="005E779E">
        <w:rPr>
          <w:rFonts w:ascii="Times New Roman" w:hAnsi="Times New Roman"/>
          <w:color w:val="000000" w:themeColor="text1"/>
          <w:sz w:val="16"/>
          <w:szCs w:val="16"/>
        </w:rPr>
        <w:softHyphen/>
        <w:t>мость срочной доставки пушнины из Обдорска на международный пушной аукцион. Для этого выделили самолет АНТ—9. В экипаж входили пилот И. Ми</w:t>
      </w:r>
      <w:r w:rsidRPr="005E779E">
        <w:rPr>
          <w:rFonts w:ascii="Times New Roman" w:hAnsi="Times New Roman"/>
          <w:color w:val="000000" w:themeColor="text1"/>
          <w:sz w:val="16"/>
          <w:szCs w:val="16"/>
        </w:rPr>
        <w:softHyphen/>
        <w:t>хеев и бортмеханик Г. Шамшев. Полет про</w:t>
      </w:r>
      <w:r w:rsidRPr="005E779E">
        <w:rPr>
          <w:rFonts w:ascii="Times New Roman" w:hAnsi="Times New Roman"/>
          <w:color w:val="000000" w:themeColor="text1"/>
          <w:sz w:val="16"/>
          <w:szCs w:val="16"/>
        </w:rPr>
        <w:softHyphen/>
        <w:t>ходил по маршруту Москва — Казань — Свердловск — Тобольск — Самарово — Обдорск, над глухими таежными местами (23474).</w:t>
      </w:r>
    </w:p>
    <w:p w14:paraId="542A1D4D" w14:textId="77777777" w:rsidR="00B43403" w:rsidRPr="005E779E" w:rsidRDefault="00B43403" w:rsidP="000B7A6C">
      <w:pPr>
        <w:spacing w:after="0" w:line="240" w:lineRule="auto"/>
        <w:jc w:val="both"/>
        <w:rPr>
          <w:rFonts w:ascii="Times New Roman" w:hAnsi="Times New Roman"/>
          <w:color w:val="000000" w:themeColor="text1"/>
          <w:sz w:val="16"/>
          <w:szCs w:val="16"/>
        </w:rPr>
      </w:pPr>
    </w:p>
    <w:p w14:paraId="66F925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 января 1931 был завершен предварительный проект экспериментального парителя (см. Приложение 1). Авторы: СПК, С.Н. Люшин, Н.М.... [подпись неразборчива]. Заключение С.В. Ильюшина и Б.Н. Юрьева: "Планер одобрить. Постройку отложить до начала работы планерного завода 22.111 1931 г." (АМЖ, ф. 5300, № 7) (10676).</w:t>
      </w:r>
    </w:p>
    <w:p w14:paraId="7F24D1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294500C" w14:textId="77777777" w:rsidR="00767B04" w:rsidRPr="005E779E" w:rsidRDefault="00767B04"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4ECFB5E6" w14:textId="77777777" w:rsidR="00767B04" w:rsidRPr="005E779E" w:rsidRDefault="00767B04"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18214B8"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31 января/1 февраля 1931 </w:t>
      </w:r>
    </w:p>
    <w:p w14:paraId="46619A5B"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bCs/>
          <w:iCs/>
          <w:color w:val="000000" w:themeColor="text1"/>
          <w:sz w:val="16"/>
          <w:szCs w:val="16"/>
          <w:lang w:eastAsia="ru-RU"/>
        </w:rPr>
        <w:t>РГВА Фонд 31811 Опись 2 Дело 82 лист 30</w:t>
      </w:r>
    </w:p>
    <w:p w14:paraId="296B61C9"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ГН/ГХ 31.1.31 </w:t>
      </w:r>
    </w:p>
    <w:p w14:paraId="179335DD"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Секретно. </w:t>
      </w:r>
    </w:p>
    <w:p w14:paraId="05860A99"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Экз. № 1 </w:t>
      </w:r>
    </w:p>
    <w:p w14:paraId="0251429D"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31/1 февраля 1931 г. </w:t>
      </w:r>
    </w:p>
    <w:p w14:paraId="027528E7"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 208/135с </w:t>
      </w:r>
    </w:p>
    <w:p w14:paraId="63AECB4F"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НАЧАЛЬНИКУ УПРАВЛЕНИЯ МЕХАНИЗАЦИИ И МОТОРИЗАЦИИ РККА</w:t>
      </w:r>
    </w:p>
    <w:p w14:paraId="43BA78AD"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Сообщаю, что 24.XII.30 г. 2 машины Кристи ушли на Новороссийск английским пароходом и в ближайшие дни будут в Москве. </w:t>
      </w:r>
    </w:p>
    <w:p w14:paraId="63B45505"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Опоздание поставки, против срока, предусмотренного договором, объясняется тем, что фирма находилась в затруднительном финансовом положении и не могла своевременно платить за материалы, рабочую силу и т.д., кроме того, фирма изготовляет кроме нашего заказа еще две машины: одну для Американского Военного Министерства и одну для Польши; принимая также во внимание наше общее политическое положение в Америке – нельзя было формально подходить к взаимным обязательствам по договору. </w:t>
      </w:r>
    </w:p>
    <w:p w14:paraId="182E884C"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Подробный технический отчет привезет т. Тоскин, наблюдавший за выполнением заказа. Краткие же данные прилагаются. </w:t>
      </w:r>
    </w:p>
    <w:p w14:paraId="4C2F792A"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По договору мы можем требовать или приезда самого Кристи или техника водителя Андерсона; прошу сообщить считаете ли Вы необходимым приезд одного из них и в положительном случае желательное время их приезда. </w:t>
      </w:r>
    </w:p>
    <w:p w14:paraId="54482AE1"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УПОЛНОМОЧЕННЫЙ НКВМ ПРИ НКТОРГЕ СССР подпись (ГИТТИС)</w:t>
      </w:r>
    </w:p>
    <w:p w14:paraId="6FA1E5C8"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КОНСУЛЬТАНТ подпись (НЕЛИДОВ)</w:t>
      </w:r>
    </w:p>
    <w:p w14:paraId="30F92703"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Приложение на "3" лист. </w:t>
      </w:r>
    </w:p>
    <w:p w14:paraId="615A7395"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Отп. 2 экз. </w:t>
      </w:r>
    </w:p>
    <w:p w14:paraId="6610FEA2"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 1 – УММ </w:t>
      </w:r>
    </w:p>
    <w:p w14:paraId="35056F15"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 2 – в д. </w:t>
      </w:r>
    </w:p>
    <w:p w14:paraId="2C83577D"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bCs/>
          <w:iCs/>
          <w:color w:val="000000" w:themeColor="text1"/>
          <w:sz w:val="16"/>
          <w:szCs w:val="16"/>
          <w:lang w:eastAsia="ru-RU"/>
        </w:rPr>
        <w:t>РГВА Фонд 31811 Опись 2 Дело 82 лист 31 – 33</w:t>
      </w:r>
    </w:p>
    <w:p w14:paraId="45C02E9A"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ГН/ГХ 31.1.31 </w:t>
      </w:r>
    </w:p>
    <w:p w14:paraId="78C89BC4"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Копия</w:t>
      </w:r>
    </w:p>
    <w:p w14:paraId="430C9588"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u w:val="single"/>
          <w:lang w:eastAsia="ru-RU"/>
        </w:rPr>
        <w:t>МАШИНЫ:</w:t>
      </w:r>
      <w:r w:rsidRPr="005E779E">
        <w:rPr>
          <w:rFonts w:ascii="Times New Roman" w:eastAsia="Times New Roman" w:hAnsi="Times New Roman"/>
          <w:color w:val="000000" w:themeColor="text1"/>
          <w:sz w:val="16"/>
          <w:szCs w:val="16"/>
          <w:lang w:eastAsia="ru-RU"/>
        </w:rPr>
        <w:t xml:space="preserve"> </w:t>
      </w:r>
    </w:p>
    <w:p w14:paraId="54D14877"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В основном построены по спецификации и если проследить спецификацию Кристи по пунктам, то выполнение ее рисуется в следующем виде: </w:t>
      </w:r>
    </w:p>
    <w:p w14:paraId="7BD5D0B2"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Пункт 1 – выполнен. </w:t>
      </w:r>
    </w:p>
    <w:p w14:paraId="54B44A34"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Пункт 2 – выполнен. </w:t>
      </w:r>
    </w:p>
    <w:p w14:paraId="238F8B61"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Пункт 3 – ширина танка больше указанной в спецификации на 37 см. (по спецификации 1,87 мт. выполнено 2,20 мт.). </w:t>
      </w:r>
    </w:p>
    <w:p w14:paraId="54E2BD96"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Пункт 4 – не известно, т.к. нет башни, высота без башни 1,68 мт. и приблизительно с башней 2,38 мт. </w:t>
      </w:r>
    </w:p>
    <w:p w14:paraId="199009EC"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Пункт 5 – вес на гусеницах с горючим, смазкой и водой, но без амуниции, боеприпасов, башни и команды приблизительно 8000 клгр, без гусениц приблизительно 7000 клгр. </w:t>
      </w:r>
    </w:p>
    <w:p w14:paraId="45D961D3"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Пункт 6 – удельное давление 0,52 клгр/см. при погружении 100 мм если полагать что нагрузка распределена равномерно на всю гусеницу, если же принимать, что нагрузка передается через 8 колес на 8 звеньев, то удельно давление достигает 2 клгр/см (последнее наиболее соответствует действительности); удельное давление при движении на колесах 7,4 клгр/см максим. д/ведущих колес. </w:t>
      </w:r>
    </w:p>
    <w:p w14:paraId="3F8AB33E"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Пункт 7 – Число скоростей соответствует спецификации; расчетные скорости – I – 7,2; II – 13,9; III – 27,2; IV – 52,3 на гусеницах и на колесах: I – 10,15; II – 19,6; III – 38,4; IV – 73,7. </w:t>
      </w:r>
    </w:p>
    <w:p w14:paraId="470B3853"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Пункт 8 – Частично не выполнен; вместо задней и верхней брони поставлено 8 – 10 мм сталь; окно водителя не забронировано; передняя броня 14 мм, боковая 12 мм, передняя броня в углах сварена, боковая прикреплена болтами. </w:t>
      </w:r>
    </w:p>
    <w:p w14:paraId="147CAA16"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Пункт 9 – Соответствует спецификации. </w:t>
      </w:r>
    </w:p>
    <w:p w14:paraId="0D95D0FB"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Пункт 10 – Соответствует спецификации. </w:t>
      </w:r>
    </w:p>
    <w:p w14:paraId="477EEF7F"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Пункт 11 – Гусеницы соответствуют спецификации, но 27 звеньев гусеницы (из них добавочных 16) имеют втулки и проушины на 0,007" больше нормы, количество втулок на указанные звенья Кристи дает дополнительно; крепление гусениц, когда они не в употреблении не удовлетворительно, соответствующая сумма с Кристи вычтена. </w:t>
      </w:r>
    </w:p>
    <w:p w14:paraId="6BB6AB75"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Пункт 12 – Не проверено. </w:t>
      </w:r>
    </w:p>
    <w:p w14:paraId="59DC9CEA"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Пункт 13 – размещение водителя соответствует спецификации, поле зрения водителя неизвестно в виду того, что не закончена амбразура водителя. </w:t>
      </w:r>
    </w:p>
    <w:p w14:paraId="7F7CAF1F"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Пункт 14 – Стреляющий размещен за водителем, устойчивость при стрельбе не выяснена, но думаю, что она будет удовлетворительна. </w:t>
      </w:r>
    </w:p>
    <w:p w14:paraId="6D572A9A"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Пункт 15 – Машинное отделение расположено согласно спецификации, но к карбюраторам подобраться из машинного отделенья нельзя, необходимо снимать верхнюю плиту. </w:t>
      </w:r>
    </w:p>
    <w:p w14:paraId="440A36FA"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Пункт 16 – а) тонкая разборная алюминиевая перегородка от удушливых газов не защищает, за машинным отделением наблюдать (через отверстие 7×10 см с заслонкой) трудно; </w:t>
      </w:r>
    </w:p>
    <w:p w14:paraId="56EBF75A"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б) резиновых буферов нет; </w:t>
      </w:r>
    </w:p>
    <w:p w14:paraId="357D0C11"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в) место для одного водителя и одного стреляющего соответствует спецификации, башни нет, но место для башни соответствующего диаметра, причем горизонтальная проекция его захватывает машинную переборку на 4 см. </w:t>
      </w:r>
    </w:p>
    <w:p w14:paraId="1944AFE3"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г) проверить нельзя т.к. помещение для команды не оборудовано. </w:t>
      </w:r>
    </w:p>
    <w:p w14:paraId="7B1C446B"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д) отверстий нет; </w:t>
      </w:r>
    </w:p>
    <w:p w14:paraId="0679BC7A"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е) соответствует чертежу </w:t>
      </w:r>
    </w:p>
    <w:p w14:paraId="074054B0"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ж) дверей нет, в передней броне имеется окно для водителя, пролезть в которое трудно; </w:t>
      </w:r>
    </w:p>
    <w:p w14:paraId="49FD9889"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Пункт 17 – Не выполнен, щелей нет. </w:t>
      </w:r>
    </w:p>
    <w:p w14:paraId="20D1AD3E"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Пункт 18 – Мотор согласно спецификации, но сколько мотор проработал до постановки его на машину установить точно не удалось. Кристи заявляет, что мотор в эксплоатации не был, подача горючего принудительная, обеспечивает при всех уклонах; </w:t>
      </w:r>
    </w:p>
    <w:p w14:paraId="26EFE576"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а) выполнен; </w:t>
      </w:r>
    </w:p>
    <w:p w14:paraId="5C42B3B6"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б) резервуар для масла обеспечивает работу на 4 часа при полной нагрузке </w:t>
      </w:r>
    </w:p>
    <w:p w14:paraId="05F530C7"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в) соответствует </w:t>
      </w:r>
    </w:p>
    <w:p w14:paraId="2A5CE5BC"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г) не проверена, теоретически при жаркой погоде система охлаждения будет неудовлетворительной, во время испытаний температура воды в радиаторе не поднималась выше 70° при наружной температуре в 10°. </w:t>
      </w:r>
    </w:p>
    <w:p w14:paraId="48E633EA"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lastRenderedPageBreak/>
        <w:t xml:space="preserve">д) регулятора нет. </w:t>
      </w:r>
    </w:p>
    <w:p w14:paraId="426270F3"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е) соответствует спецификации </w:t>
      </w:r>
    </w:p>
    <w:p w14:paraId="5593E50E"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ж) 1. соответствует спецификации </w:t>
      </w:r>
    </w:p>
    <w:p w14:paraId="25C72E91"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2. соответствует спецификации </w:t>
      </w:r>
    </w:p>
    <w:p w14:paraId="65523A67"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3. соответствует спецификации </w:t>
      </w:r>
    </w:p>
    <w:p w14:paraId="1E97776F"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4. не поставлен, но указатель температуры с полным приводом прилагается к машине, за установку вычтены деньги. </w:t>
      </w:r>
    </w:p>
    <w:p w14:paraId="33CD9406"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5. не установлен, но приложены 2 спидометра с полным приводом. </w:t>
      </w:r>
    </w:p>
    <w:p w14:paraId="70B47495"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з) фильтр для горючего поставлен в баке. </w:t>
      </w:r>
    </w:p>
    <w:p w14:paraId="55E96021"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и) указатель количества горючего в баке не имеется. </w:t>
      </w:r>
    </w:p>
    <w:p w14:paraId="7519B052"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Пункт 19 – Соответствует спецификации. </w:t>
      </w:r>
    </w:p>
    <w:p w14:paraId="758E2DED"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Пункт 20 – башни нет. </w:t>
      </w:r>
    </w:p>
    <w:p w14:paraId="6A84CBEA"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Пункт 21 – Гнезд нет. </w:t>
      </w:r>
    </w:p>
    <w:p w14:paraId="038FC2BA"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Пункт 22 – соответствует. </w:t>
      </w:r>
    </w:p>
    <w:p w14:paraId="3D2E1091"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Пункт 23 – вместо крюков 2 петли спереди и сзади, причем передняя петля выступает за гусеницы, что мешает преодолению вертикальных препятствий; </w:t>
      </w:r>
    </w:p>
    <w:p w14:paraId="2B3E70F4"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Пункт 24 – Не проверено, ввиду того, что не было места для укладки гусениц; </w:t>
      </w:r>
    </w:p>
    <w:p w14:paraId="15801829"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Пункт 25 – Конструкция корпуса позволяет преодолеть брод в 3 фута. </w:t>
      </w:r>
    </w:p>
    <w:p w14:paraId="6E2B965D"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Пункт 26 – Для проверки этого пункта был насыпан холм земли с подъемом 23° и 35° приблизительно, преодоление склона в 23° без затруднений и на подъеме в 35°, в виду того, что земля была рыхлая, гусеницы на середине подъема забуксовали и танк скатился вниз, другого подобного склона с твердым грунтом не было, поэтому проверить не удалось. </w:t>
      </w:r>
    </w:p>
    <w:p w14:paraId="193453D7"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Пункт 27 – Управление производится одним человеком при всех условиях: </w:t>
      </w:r>
    </w:p>
    <w:p w14:paraId="078121DF"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а) разворачивание на гусеницах удовлетворяет спецификации </w:t>
      </w:r>
    </w:p>
    <w:p w14:paraId="7FFD156A"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б) разворачивание на колесах на дороге значительно уступает нашим требованиям, наименьший радиус поворота 8,5 метр. </w:t>
      </w:r>
    </w:p>
    <w:p w14:paraId="2B2B868F"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Пункт 28 – Не проверено, но считаю, что этот пункт будет удовлетворен. </w:t>
      </w:r>
    </w:p>
    <w:p w14:paraId="3FD5E9F3"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Пункт 29 – Специальных тормозов нет, выполненные тормоза обеспечивают остановку при 20 мил/час на ровной дороге на расстоянии 50 футов и застопоривание на подъем в 35°, причем в последнем случае требуется заменить поперечину рычага тормозной лентой, за это вычтена определенная сумма денег; при скорости в 60 мил/час застопоривание на расстоянии в 35 метр. </w:t>
      </w:r>
    </w:p>
    <w:p w14:paraId="0C7CEC7E"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Пункт 30 – Электрооборудование монтировано на одной машине, к другой приложен комплект электрооборудования согласно спецификации. </w:t>
      </w:r>
    </w:p>
    <w:p w14:paraId="2F894FC0"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Пункт 31 – К машинам приданы огнетушители, но крепление не сделано. </w:t>
      </w:r>
    </w:p>
    <w:p w14:paraId="41C55882"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Пункт 32 – Не выполнено, т.к. крепить нечего. </w:t>
      </w:r>
    </w:p>
    <w:p w14:paraId="4AE1524F"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Пункт 33 – Вместо защитной, окраска выполнена снаружи серой краской, а внутри белой. </w:t>
      </w:r>
    </w:p>
    <w:p w14:paraId="411F8DCC"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Пункт 34 – Инструмент к обеим машинам придан только специальный, пневматического инструмента для смазки не имеется (за это вычтены деньги). </w:t>
      </w:r>
    </w:p>
    <w:p w14:paraId="728F9091"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Пункт 35 – Не выполнен; из танка можно вынуть или двигатель с главным сцеплением, или коробку скоростей с обеими фрикционами и передачей на колеса. </w:t>
      </w:r>
    </w:p>
    <w:p w14:paraId="08A9F321"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Пункт 36 – Не выяснено. </w:t>
      </w:r>
    </w:p>
    <w:p w14:paraId="7AE0F48E"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Пункт 37 – Пока не заказно. </w:t>
      </w:r>
    </w:p>
    <w:p w14:paraId="2312D4F0"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Пункт 38 – Испытания не производилось вследствие возражения Амторга, все же машины были опробованы на колесах в общей сложности 20 миль, причем максимальная скорость приблизительно 50 – 55 мил/час на ровной хорошей дороге; на гусеницах всего пройдено 10 миль, максимальная скорость на ровной местности 25 – 30 мил/час. Скорость на 10° подъеме не была проверена из-за отсутствия вблизи соответствующего рельефа. </w:t>
      </w:r>
    </w:p>
    <w:p w14:paraId="247FBDA7"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В общем по машине нужно сказать, что мы безусловно получили последнюю и наиболее совершенную модель из сделанных Кристи и если она конструктивно окончательно не доработана – что безусловно так – то это значит, что на сегодня Кристи ничего большего дать не может. Американское Военное Министерство получает точно такую же модель. </w:t>
      </w:r>
    </w:p>
    <w:p w14:paraId="539B6790"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u w:val="single"/>
          <w:lang w:eastAsia="ru-RU"/>
        </w:rPr>
        <w:t>ТЕХ-ПОМОЩЬ.</w:t>
      </w:r>
      <w:r w:rsidRPr="005E779E">
        <w:rPr>
          <w:rFonts w:ascii="Times New Roman" w:eastAsia="Times New Roman" w:hAnsi="Times New Roman"/>
          <w:color w:val="000000" w:themeColor="text1"/>
          <w:sz w:val="16"/>
          <w:szCs w:val="16"/>
          <w:lang w:eastAsia="ru-RU"/>
        </w:rPr>
        <w:t xml:space="preserve"> </w:t>
      </w:r>
    </w:p>
    <w:p w14:paraId="0BE0EC7D"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По техпомощи мы получаем все, что Кристи фактически мог дать, т.е. все те чертежи, которые у него были ко дню отгрузки машин. Это далеко от того, что предусмотрено договором, но, однако, надо полагать, что с материалами, которые сумел получить тов. Тоскин будет достаточно для восстановления конструкции. Все основные главные детали есть. В дальнейшем Кристи обещал, по мере того, как чертежи будут изготовляться, их нам давать. </w:t>
      </w:r>
    </w:p>
    <w:p w14:paraId="4EDD1D79"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Выполнение пар. 10 договора рисуется в следующем виде: </w:t>
      </w:r>
    </w:p>
    <w:p w14:paraId="13C08F4A"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Пункт 10 – а, б, в, г) кальки и синьки сборочных и рабочих чертежей доставлены не полностью, а именно: </w:t>
      </w:r>
    </w:p>
    <w:p w14:paraId="5D45C5AD"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1) сборочных и установочных чертежей предъявлено 18, требуется 31 – однако недостает чертежей второстепенного характера; </w:t>
      </w:r>
    </w:p>
    <w:p w14:paraId="58BD55BD"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2) рабочих чертежей предъявлено 169, требуется 265 (исключая детали механизмов, которые совсем еще не спроектированы) – недодано по сборочным – 40 %, по рабочим – 36,3 %, причем требуют замены или исправления по про предъявленным сборочным чертежам 77,7 %, по рабочим чертежам – 21, 3 %; на большинстве чертежей указан номер материала по стандарту А.Е. [на] специальные детали, как-то: рессоры, звенья, гусеницы, втулки, где и соединительные болты, спецификации нет. </w:t>
      </w:r>
    </w:p>
    <w:p w14:paraId="728F0FF8"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д) фирмой инструкции по управлению и ходу не предъявлены; </w:t>
      </w:r>
    </w:p>
    <w:p w14:paraId="756494E7"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е) производственных данных фирмой не предъявлено; </w:t>
      </w:r>
    </w:p>
    <w:p w14:paraId="2EB14CD8"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ж) чертежи имеют визу автора. </w:t>
      </w:r>
    </w:p>
    <w:p w14:paraId="62DDB5BC"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Не хватает следующих сборочных чертежей: </w:t>
      </w:r>
    </w:p>
    <w:p w14:paraId="6E91E122"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1) Сборочный чертеж вентилятора </w:t>
      </w:r>
    </w:p>
    <w:p w14:paraId="6D76CE82"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2) Подвеска среднего поддерживающего колеса </w:t>
      </w:r>
    </w:p>
    <w:p w14:paraId="01DD467E"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3) Подвеска переднего колеса </w:t>
      </w:r>
    </w:p>
    <w:p w14:paraId="20E60D97"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4) Сборочный чертеж гусеницы (в 2 звена) </w:t>
      </w:r>
    </w:p>
    <w:p w14:paraId="34A42E14"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5) Сборочный и установочный чертеж башни </w:t>
      </w:r>
    </w:p>
    <w:p w14:paraId="1988860A"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6) Сборочный и установочный чертеж укладки и боеприпасов </w:t>
      </w:r>
    </w:p>
    <w:p w14:paraId="258B0021"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7) Сборочный и установочный чертеж окна водителя с механизмом для открывания и закрывания </w:t>
      </w:r>
    </w:p>
    <w:p w14:paraId="6090CB4D"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8) Сборочный и установочный чертеж сидения водителя </w:t>
      </w:r>
    </w:p>
    <w:p w14:paraId="2DD43698"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9) Установочные чертежи радиаторов, масляного бака, топливного бака и батареи </w:t>
      </w:r>
    </w:p>
    <w:p w14:paraId="413F3518"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10) Сборочные и установочные чертежи верхней и задней брони </w:t>
      </w:r>
    </w:p>
    <w:p w14:paraId="30E4A553"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11) Схема бензинопроводки </w:t>
      </w:r>
    </w:p>
    <w:p w14:paraId="4EA71F31"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12) Схема электропроводки и установочные чертежи электроосвещения и стартера </w:t>
      </w:r>
    </w:p>
    <w:p w14:paraId="7C6483EC"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13) Схема маслопроводки и водяных трубопроводов. </w:t>
      </w:r>
    </w:p>
    <w:p w14:paraId="3725EEDE"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Производственных данных на вещи, которые Кристи заказывает на стороне он дать не может – т.к. ему их самому не дают. Амторг сейчас пытается получить информации по гусеницам и поддерживающим пружинам и др. нестандартным деталям. </w:t>
      </w:r>
    </w:p>
    <w:p w14:paraId="4549977C"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От испытаний машин Амторг принужден был отказаться по соображениям общего порядка – ограничившись лишь небольшими пробегами у завода Кристи – в общей сложности сделано 20 миль на гусеницах и 20 миль на колесах. Вопрос об оформлении вывоза машин разрешился вполне благополучно и получено письмо Министерства Иностранных Дел, которое вместе с письмами фирмы вполне легализуют наш заказ Кристи. </w:t>
      </w:r>
    </w:p>
    <w:p w14:paraId="33454BE9"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Отп. 2 экз. </w:t>
      </w:r>
    </w:p>
    <w:p w14:paraId="047DF7A6"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Верно: подпись консультанта Нелидова (19765).</w:t>
      </w:r>
    </w:p>
    <w:p w14:paraId="6F925226" w14:textId="77777777" w:rsidR="00040508" w:rsidRPr="005E779E" w:rsidRDefault="00040508" w:rsidP="000B7A6C">
      <w:pPr>
        <w:spacing w:after="0" w:line="240" w:lineRule="auto"/>
        <w:jc w:val="both"/>
        <w:rPr>
          <w:rFonts w:ascii="Times New Roman" w:eastAsia="Times New Roman" w:hAnsi="Times New Roman"/>
          <w:color w:val="000000" w:themeColor="text1"/>
          <w:sz w:val="16"/>
          <w:szCs w:val="16"/>
          <w:lang w:eastAsia="ru-RU"/>
        </w:rPr>
      </w:pPr>
    </w:p>
    <w:p w14:paraId="5B667A82"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0576AD10"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4D9FE8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 января 1931 вышел первый номер журнала "Знамя" (4962).</w:t>
      </w:r>
    </w:p>
    <w:p w14:paraId="2A055D7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DFD7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 января 1931 "Ленинградская правда" сообщила о новой услуге абонентам телефонной сети города: с 9 часов утра до 9 вечера начала работу телефонная служба точного времени. Плата за пользование услугой составляла 50 копеек в месяц (10739).</w:t>
      </w:r>
    </w:p>
    <w:p w14:paraId="684DD8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D680443" w14:textId="77777777" w:rsidR="00C41B25"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6A783543" w14:textId="77777777" w:rsidR="00C41B25" w:rsidRPr="005E779E" w:rsidRDefault="00C41B25"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0A02AA7" w14:textId="77777777" w:rsidR="00C41B25" w:rsidRPr="005E779E" w:rsidRDefault="00C41B25"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lastRenderedPageBreak/>
        <w:t>31 января</w:t>
      </w:r>
      <w:r w:rsidRPr="005E779E">
        <w:rPr>
          <w:rFonts w:ascii="Times New Roman" w:hAnsi="Times New Roman"/>
          <w:color w:val="000000" w:themeColor="text1"/>
          <w:sz w:val="16"/>
          <w:szCs w:val="16"/>
        </w:rPr>
        <w:t xml:space="preserve"> в 1931 году на «Twin City Auto Show» был продемонстрирован Психограф – особое устройство, состоявшее из каски и подвижных стержней, размещенных так, чтобы производить измерение в 32 различных точках черепа. Устройство представляло собой попытку автоматизировать френологию (15026).</w:t>
      </w:r>
    </w:p>
    <w:p w14:paraId="3B90FDF1" w14:textId="77777777" w:rsidR="00C41B25" w:rsidRPr="005E779E" w:rsidRDefault="00C41B25" w:rsidP="000B7A6C">
      <w:pPr>
        <w:spacing w:after="0" w:line="240" w:lineRule="auto"/>
        <w:jc w:val="both"/>
        <w:rPr>
          <w:rFonts w:ascii="Times New Roman" w:hAnsi="Times New Roman"/>
          <w:color w:val="000000" w:themeColor="text1"/>
          <w:sz w:val="16"/>
          <w:szCs w:val="16"/>
        </w:rPr>
      </w:pPr>
    </w:p>
    <w:p w14:paraId="446AE602"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5406C44D"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2A595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января 1931 Цандер разработал в ИАМ, куда пришел 20 декабря 1930, "План, порядок и сроки работ по РД и смету по производству опытных работ по РД" (388,57).</w:t>
      </w:r>
    </w:p>
    <w:p w14:paraId="45593C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B7CD504" w14:textId="77777777" w:rsidR="001522BB"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4F04BB91" w14:textId="77777777" w:rsidR="001522BB" w:rsidRPr="005E779E" w:rsidRDefault="001522BB"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39C7D99" w14:textId="77777777" w:rsidR="001522BB" w:rsidRPr="005E779E" w:rsidRDefault="001522B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января 1931 г. первый корпус танка с Ижорского завода на ХПЗ (акт приемки №1 от 28 января 1931 г.). В заключении по приемке говорилось: «Принимая во внимание, что присланный корпус первый, на котором должны выявиться все неполадки как на ГИЗ-е (Государственный Ижорский завод. — Прим. авт.), так и на ХПЗ, Комиссия считает возможным принять корпус №1 условно, но обратить самое серьезное внимание ГИЗ-а на строжайшее выполнение временных технических условий..." (12303).</w:t>
      </w:r>
    </w:p>
    <w:p w14:paraId="258B1AD8" w14:textId="77777777" w:rsidR="001522BB" w:rsidRPr="005E779E" w:rsidRDefault="001522BB" w:rsidP="000B7A6C">
      <w:pPr>
        <w:spacing w:after="0" w:line="240" w:lineRule="auto"/>
        <w:jc w:val="both"/>
        <w:rPr>
          <w:rFonts w:ascii="Times New Roman" w:hAnsi="Times New Roman"/>
          <w:color w:val="000000" w:themeColor="text1"/>
          <w:sz w:val="16"/>
          <w:szCs w:val="16"/>
        </w:rPr>
      </w:pPr>
    </w:p>
    <w:p w14:paraId="64919626"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403A2D29"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2E353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Первые два ТШ-1 вывели на аэродром в январе 1931 (92,419) и испытали Ю.И.Пионтковский и Б.Л.Бухгольц и др. (437,129).</w:t>
      </w:r>
    </w:p>
    <w:p w14:paraId="360000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923D3EF" w14:textId="77777777" w:rsidR="00B642B8" w:rsidRPr="005E779E" w:rsidRDefault="00B642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 1931 года начались летные испытания ТШ-1, которые выполняли заводские летчики Б.Л. Бухгольц, Ю.И. Пионтковский, затем М.А. Волковойнов и другие летчики из НИИ ВВС. Испытания показали, что в принципе ТШ-1 отвечает своему назначению. Однако, из-за большого взлетного веса (около 4 т), разбег и пробег были очень велики. Угловатая бронекоробка ухудшала аэродинамику, самолет медленно набирал высоту. Сильно грелся под броней двигатель, а место для размещения радиатора было ограничено. По причине близости двигателя, находившегося под броней, в пилотской кабине было очень жарко. После 3-4-х посадок приходилось менять амортизаторы шасси. Вскоре была переделана система маслопитания, и решено было испробовать этиленгликолевое охлаждение. Для этого впервые в СССР были проведены соответствующие исследовательские работы и испытания. Охлаждение стало работать хорошо, но разъедались дюритовые рукава между цилиндрами, в других стыках и возникала течь. После недолгих поисков был найден другой сорт резины и утечки этиленгликоля прекратились (18393).</w:t>
      </w:r>
    </w:p>
    <w:p w14:paraId="2E86564F" w14:textId="77777777" w:rsidR="00B642B8" w:rsidRPr="005E779E" w:rsidRDefault="00B642B8" w:rsidP="000B7A6C">
      <w:pPr>
        <w:spacing w:after="0" w:line="240" w:lineRule="auto"/>
        <w:jc w:val="both"/>
        <w:rPr>
          <w:rFonts w:ascii="Times New Roman" w:hAnsi="Times New Roman"/>
          <w:color w:val="000000" w:themeColor="text1"/>
          <w:sz w:val="16"/>
          <w:szCs w:val="16"/>
        </w:rPr>
      </w:pPr>
    </w:p>
    <w:p w14:paraId="72A9F06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 1931 г. первые два штурмовика ТШ-1 вывели на аэродром. Самолеты вели себя в воздухе нормально, хотя имелись трудности с системой охлаждения двига</w:t>
      </w:r>
      <w:r w:rsidRPr="005E779E">
        <w:rPr>
          <w:rFonts w:ascii="Times New Roman" w:hAnsi="Times New Roman"/>
          <w:color w:val="000000" w:themeColor="text1"/>
          <w:sz w:val="16"/>
          <w:szCs w:val="16"/>
        </w:rPr>
        <w:softHyphen/>
        <w:t>теля. Многие замечания к конструкции ТШ-1 учли в моди</w:t>
      </w:r>
      <w:r w:rsidRPr="005E779E">
        <w:rPr>
          <w:rFonts w:ascii="Times New Roman" w:hAnsi="Times New Roman"/>
          <w:color w:val="000000" w:themeColor="text1"/>
          <w:sz w:val="16"/>
          <w:szCs w:val="16"/>
        </w:rPr>
        <w:softHyphen/>
        <w:t>фикации ТШ-2 с БМВ-У1, после доводок рекомендован</w:t>
      </w:r>
      <w:r w:rsidRPr="005E779E">
        <w:rPr>
          <w:rFonts w:ascii="Times New Roman" w:hAnsi="Times New Roman"/>
          <w:color w:val="000000" w:themeColor="text1"/>
          <w:sz w:val="16"/>
          <w:szCs w:val="16"/>
        </w:rPr>
        <w:softHyphen/>
        <w:t>ной к серийной постройке. При полетном весе 3225 кг самолет развивал у земли максимальную скорость 213,5 км/ч, на высоте 3000 м - 192 км/ч. В дальнейшем на нем предполагалось установить новые отечественные моторы М-18 и М-27. Всего выпущено около десяти ТШ-2 (10667).</w:t>
      </w:r>
    </w:p>
    <w:p w14:paraId="7C78D29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331091" w14:textId="77777777" w:rsidR="00CF1B85" w:rsidRPr="005E779E" w:rsidRDefault="00CF1B85"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 1931 года начались летные испытания ТШ-1, которые выполняли заводские летчики Б.Л. Бухгольц, Ю.И. Пионтковский, затем М.А. Волковойнов и другие летчики из НИИ ВВС. Испытания показали, что в принципе ТШ-1 отвечает своему назначению. Однако, из-за большого взлетного веса (около 4 т), разбег и пробег были очень велики. Угловатая бронекоробка ухудшала аэродинамику, самолет медленно набирал высоту. Сильно грелся под броней двигатель, а место для размещения радиатора было ограничено. По причине близости двигателя, находившегося под броней, в пилотской кабине было очень жарко. После 3-4-х посадок приходилось менять амортизаторы шасси. Вскоре была переделана система маслопитания, и решено было испробовать этиленгликолевое охлаждение. Для этого впервые в СССР были проведены соответствующие исследовательские работы и испытания. Охлаждение стало работать хорошо, но разъедались дюритовые рукава между цилиндрами, в других стыках и возникала течь. После недолгих поисков был найден другой сорт резины и утечки этиленгликоля прекратились (15223).</w:t>
      </w:r>
    </w:p>
    <w:p w14:paraId="3C0F6950" w14:textId="77777777" w:rsidR="00CF1B85" w:rsidRPr="005E779E" w:rsidRDefault="00CF1B85" w:rsidP="000B7A6C">
      <w:pPr>
        <w:shd w:val="clear" w:color="auto" w:fill="FFFFFF"/>
        <w:spacing w:after="0" w:line="240" w:lineRule="auto"/>
        <w:jc w:val="both"/>
        <w:rPr>
          <w:rFonts w:ascii="Times New Roman" w:hAnsi="Times New Roman"/>
          <w:color w:val="000000" w:themeColor="text1"/>
          <w:sz w:val="16"/>
          <w:szCs w:val="16"/>
        </w:rPr>
      </w:pPr>
    </w:p>
    <w:p w14:paraId="1B9DFD04" w14:textId="77777777" w:rsidR="00BE087B" w:rsidRPr="005E779E" w:rsidRDefault="00BE087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Начиная с ян</w:t>
      </w:r>
      <w:r w:rsidRPr="005E779E">
        <w:rPr>
          <w:rFonts w:ascii="Times New Roman" w:hAnsi="Times New Roman"/>
          <w:color w:val="000000" w:themeColor="text1"/>
          <w:sz w:val="16"/>
          <w:szCs w:val="16"/>
          <w:lang w:eastAsia="ru-RU" w:bidi="ru-RU"/>
        </w:rPr>
        <w:softHyphen/>
        <w:t>варя 1931 г., судя по документам, работы по ТШ-1 резко замед</w:t>
      </w:r>
      <w:r w:rsidRPr="005E779E">
        <w:rPr>
          <w:rFonts w:ascii="Times New Roman" w:hAnsi="Times New Roman"/>
          <w:color w:val="000000" w:themeColor="text1"/>
          <w:sz w:val="16"/>
          <w:szCs w:val="16"/>
          <w:lang w:eastAsia="ru-RU" w:bidi="ru-RU"/>
        </w:rPr>
        <w:softHyphen/>
        <w:t>лились, а вскоре и вовсе прекратились. Несмотря на большой объем изы</w:t>
      </w:r>
      <w:r w:rsidRPr="005E779E">
        <w:rPr>
          <w:rFonts w:ascii="Times New Roman" w:hAnsi="Times New Roman"/>
          <w:color w:val="000000" w:themeColor="text1"/>
          <w:sz w:val="16"/>
          <w:szCs w:val="16"/>
          <w:lang w:eastAsia="ru-RU" w:bidi="ru-RU"/>
        </w:rPr>
        <w:softHyphen/>
        <w:t>скательской работы и значительные уси</w:t>
      </w:r>
      <w:r w:rsidRPr="005E779E">
        <w:rPr>
          <w:rFonts w:ascii="Times New Roman" w:hAnsi="Times New Roman"/>
          <w:color w:val="000000" w:themeColor="text1"/>
          <w:sz w:val="16"/>
          <w:szCs w:val="16"/>
          <w:lang w:eastAsia="ru-RU" w:bidi="ru-RU"/>
        </w:rPr>
        <w:softHyphen/>
        <w:t>лия конструкторов, облик ТШ-1 (и про</w:t>
      </w:r>
      <w:r w:rsidRPr="005E779E">
        <w:rPr>
          <w:rFonts w:ascii="Times New Roman" w:hAnsi="Times New Roman"/>
          <w:color w:val="000000" w:themeColor="text1"/>
          <w:sz w:val="16"/>
          <w:szCs w:val="16"/>
          <w:lang w:eastAsia="ru-RU" w:bidi="ru-RU"/>
        </w:rPr>
        <w:softHyphen/>
        <w:t>ект) не складывался. Мощности моторов, удельные весовые и прочностные харак</w:t>
      </w:r>
      <w:r w:rsidRPr="005E779E">
        <w:rPr>
          <w:rFonts w:ascii="Times New Roman" w:hAnsi="Times New Roman"/>
          <w:color w:val="000000" w:themeColor="text1"/>
          <w:sz w:val="16"/>
          <w:szCs w:val="16"/>
          <w:lang w:eastAsia="ru-RU" w:bidi="ru-RU"/>
        </w:rPr>
        <w:softHyphen/>
        <w:t>теристики брони и других конструкцион</w:t>
      </w:r>
      <w:r w:rsidRPr="005E779E">
        <w:rPr>
          <w:rFonts w:ascii="Times New Roman" w:hAnsi="Times New Roman"/>
          <w:color w:val="000000" w:themeColor="text1"/>
          <w:sz w:val="16"/>
          <w:szCs w:val="16"/>
          <w:lang w:eastAsia="ru-RU" w:bidi="ru-RU"/>
        </w:rPr>
        <w:softHyphen/>
        <w:t>ных материалов того времени явно не со</w:t>
      </w:r>
      <w:r w:rsidRPr="005E779E">
        <w:rPr>
          <w:rFonts w:ascii="Times New Roman" w:hAnsi="Times New Roman"/>
          <w:color w:val="000000" w:themeColor="text1"/>
          <w:sz w:val="16"/>
          <w:szCs w:val="16"/>
          <w:lang w:eastAsia="ru-RU" w:bidi="ru-RU"/>
        </w:rPr>
        <w:softHyphen/>
        <w:t>ответствовали поставленной задаче. По</w:t>
      </w:r>
      <w:r w:rsidRPr="005E779E">
        <w:rPr>
          <w:rFonts w:ascii="Times New Roman" w:hAnsi="Times New Roman"/>
          <w:color w:val="000000" w:themeColor="text1"/>
          <w:sz w:val="16"/>
          <w:szCs w:val="16"/>
          <w:lang w:eastAsia="ru-RU" w:bidi="ru-RU"/>
        </w:rPr>
        <w:softHyphen/>
        <w:t>этому трудности, встреченные конструк</w:t>
      </w:r>
      <w:r w:rsidRPr="005E779E">
        <w:rPr>
          <w:rFonts w:ascii="Times New Roman" w:hAnsi="Times New Roman"/>
          <w:color w:val="000000" w:themeColor="text1"/>
          <w:sz w:val="16"/>
          <w:szCs w:val="16"/>
          <w:lang w:eastAsia="ru-RU" w:bidi="ru-RU"/>
        </w:rPr>
        <w:softHyphen/>
        <w:t>торами, казались непреодолимыми. Требовалось кардинально «уточнить» летно-боевые данные тяжелого штурмо</w:t>
      </w:r>
      <w:r w:rsidRPr="005E779E">
        <w:rPr>
          <w:rFonts w:ascii="Times New Roman" w:hAnsi="Times New Roman"/>
          <w:color w:val="000000" w:themeColor="text1"/>
          <w:sz w:val="16"/>
          <w:szCs w:val="16"/>
          <w:lang w:eastAsia="ru-RU" w:bidi="ru-RU"/>
        </w:rPr>
        <w:softHyphen/>
        <w:t>вика, что упиралось в необходимость кор</w:t>
      </w:r>
      <w:r w:rsidRPr="005E779E">
        <w:rPr>
          <w:rFonts w:ascii="Times New Roman" w:hAnsi="Times New Roman"/>
          <w:color w:val="000000" w:themeColor="text1"/>
          <w:sz w:val="16"/>
          <w:szCs w:val="16"/>
          <w:lang w:eastAsia="ru-RU" w:bidi="ru-RU"/>
        </w:rPr>
        <w:softHyphen/>
        <w:t>ректировать утвержденную систему воо</w:t>
      </w:r>
      <w:r w:rsidRPr="005E779E">
        <w:rPr>
          <w:rFonts w:ascii="Times New Roman" w:hAnsi="Times New Roman"/>
          <w:color w:val="000000" w:themeColor="text1"/>
          <w:sz w:val="16"/>
          <w:szCs w:val="16"/>
          <w:lang w:eastAsia="ru-RU" w:bidi="ru-RU"/>
        </w:rPr>
        <w:softHyphen/>
        <w:t>ружений ВВС КА (21062).</w:t>
      </w:r>
    </w:p>
    <w:p w14:paraId="17004FB5" w14:textId="77777777" w:rsidR="00BE087B" w:rsidRPr="005E779E" w:rsidRDefault="00BE087B" w:rsidP="000B7A6C">
      <w:pPr>
        <w:spacing w:after="0" w:line="240" w:lineRule="auto"/>
        <w:jc w:val="both"/>
        <w:rPr>
          <w:rFonts w:ascii="Times New Roman" w:hAnsi="Times New Roman"/>
          <w:color w:val="000000" w:themeColor="text1"/>
          <w:sz w:val="16"/>
          <w:szCs w:val="16"/>
          <w:lang w:eastAsia="ru-RU" w:bidi="ru-RU"/>
        </w:rPr>
      </w:pPr>
    </w:p>
    <w:p w14:paraId="791635BD"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январе 1931 г. первые два штурмовика ТШ-1 были выведены на аэродром Самолеты вели себя в воздухе нормально, хотя имелись трудности с системой охлаждения двигателя.</w:t>
      </w:r>
    </w:p>
    <w:p w14:paraId="64188CD1"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Многие замечания к конструкции ТШ-1 были учтены в его модификации ТШ-2, после доводок рекомендованной к серийной постройке. При полетном весе 3225 кг самолет развивал у земли максимальную скорость 213,5 км/ч, на высоте 3000 м — 192 км/ч. В дальнейшем на нем предполагалось установить новые отечественные моторы W-18 и М-27. Всего выпущено около 10 экземпляров ТШ-2 (25035).</w:t>
      </w:r>
    </w:p>
    <w:p w14:paraId="1CDF2331" w14:textId="77777777" w:rsidR="00AE1636" w:rsidRPr="00142305" w:rsidRDefault="00AE1636" w:rsidP="00AE1636">
      <w:pPr>
        <w:spacing w:after="0" w:line="240" w:lineRule="auto"/>
        <w:jc w:val="both"/>
        <w:rPr>
          <w:rFonts w:ascii="Times New Roman" w:hAnsi="Times New Roman"/>
          <w:color w:val="0070C0"/>
          <w:sz w:val="16"/>
          <w:szCs w:val="16"/>
        </w:rPr>
      </w:pPr>
    </w:p>
    <w:p w14:paraId="3647E5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 1931 года был подготовлен отчет по испытаниям самолета ТШ-2.</w:t>
      </w:r>
    </w:p>
    <w:p w14:paraId="7F3665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ТШ-2, постройки ЦКБ мотор БМВ VI - 7,3 N 17010 - 500/730 НР. Винт Д=3,35 м Н-2,45 м.</w:t>
      </w:r>
    </w:p>
    <w:p w14:paraId="64E15F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Цель работы</w:t>
      </w:r>
    </w:p>
    <w:p w14:paraId="350C52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Получение основных характеристик самолета, данного типа и накопление опыты для постройки следующих.</w:t>
      </w:r>
    </w:p>
    <w:p w14:paraId="34B5AD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Основные данные и результаты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EA061A" w:rsidRPr="005E779E" w14:paraId="35A5CE80" w14:textId="77777777">
        <w:tc>
          <w:tcPr>
            <w:tcW w:w="3757" w:type="dxa"/>
          </w:tcPr>
          <w:p w14:paraId="38C323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Полетный вес</w:t>
            </w:r>
          </w:p>
        </w:tc>
        <w:tc>
          <w:tcPr>
            <w:tcW w:w="3757" w:type="dxa"/>
          </w:tcPr>
          <w:p w14:paraId="312363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3225 кг</w:t>
            </w:r>
          </w:p>
        </w:tc>
      </w:tr>
      <w:tr w:rsidR="00EA061A" w:rsidRPr="005E779E" w14:paraId="0F0E3ABD" w14:textId="77777777">
        <w:tc>
          <w:tcPr>
            <w:tcW w:w="3757" w:type="dxa"/>
          </w:tcPr>
          <w:p w14:paraId="34EFE7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Нагрузка (включая броню)</w:t>
            </w:r>
          </w:p>
        </w:tc>
        <w:tc>
          <w:tcPr>
            <w:tcW w:w="3757" w:type="dxa"/>
          </w:tcPr>
          <w:p w14:paraId="729311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1545 кг</w:t>
            </w:r>
          </w:p>
        </w:tc>
      </w:tr>
      <w:tr w:rsidR="00B65F32" w:rsidRPr="005E779E" w14:paraId="05F8D50B" w14:textId="77777777">
        <w:tc>
          <w:tcPr>
            <w:tcW w:w="3757" w:type="dxa"/>
          </w:tcPr>
          <w:p w14:paraId="2FF014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Несущая поверхность</w:t>
            </w:r>
          </w:p>
        </w:tc>
        <w:tc>
          <w:tcPr>
            <w:tcW w:w="3757" w:type="dxa"/>
          </w:tcPr>
          <w:p w14:paraId="28454F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48,53 м кв.</w:t>
            </w:r>
          </w:p>
        </w:tc>
      </w:tr>
      <w:tr w:rsidR="00B65F32" w:rsidRPr="005E779E" w14:paraId="26606A46" w14:textId="77777777">
        <w:tc>
          <w:tcPr>
            <w:tcW w:w="3757" w:type="dxa"/>
          </w:tcPr>
          <w:p w14:paraId="3611C1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Нагрузка на м кв.</w:t>
            </w:r>
          </w:p>
        </w:tc>
        <w:tc>
          <w:tcPr>
            <w:tcW w:w="3757" w:type="dxa"/>
          </w:tcPr>
          <w:p w14:paraId="624259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66,5 кг/м кв.</w:t>
            </w:r>
          </w:p>
        </w:tc>
      </w:tr>
      <w:tr w:rsidR="00B65F32" w:rsidRPr="005E779E" w14:paraId="56B3CCF3" w14:textId="77777777">
        <w:tc>
          <w:tcPr>
            <w:tcW w:w="3757" w:type="dxa"/>
          </w:tcPr>
          <w:p w14:paraId="5BD9CB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Нагрузка на НР</w:t>
            </w:r>
          </w:p>
        </w:tc>
        <w:tc>
          <w:tcPr>
            <w:tcW w:w="3757" w:type="dxa"/>
          </w:tcPr>
          <w:p w14:paraId="4D65D5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6,46/4,43 кг/НР</w:t>
            </w:r>
          </w:p>
        </w:tc>
      </w:tr>
      <w:tr w:rsidR="00B65F32" w:rsidRPr="005E779E" w14:paraId="1ACB34EA" w14:textId="77777777">
        <w:tc>
          <w:tcPr>
            <w:tcW w:w="3757" w:type="dxa"/>
          </w:tcPr>
          <w:p w14:paraId="4ACA5D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скорость (с высотным газом) у земли</w:t>
            </w:r>
          </w:p>
        </w:tc>
        <w:tc>
          <w:tcPr>
            <w:tcW w:w="3757" w:type="dxa"/>
          </w:tcPr>
          <w:p w14:paraId="506055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213,5-1600 об/мин.</w:t>
            </w:r>
          </w:p>
        </w:tc>
      </w:tr>
      <w:tr w:rsidR="00B65F32" w:rsidRPr="005E779E" w14:paraId="1350419E" w14:textId="77777777">
        <w:tc>
          <w:tcPr>
            <w:tcW w:w="3757" w:type="dxa"/>
          </w:tcPr>
          <w:p w14:paraId="00B9B3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1000 м</w:t>
            </w:r>
          </w:p>
        </w:tc>
        <w:tc>
          <w:tcPr>
            <w:tcW w:w="3757" w:type="dxa"/>
          </w:tcPr>
          <w:p w14:paraId="6F365B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209,0-1560 -"-</w:t>
            </w:r>
          </w:p>
        </w:tc>
      </w:tr>
      <w:tr w:rsidR="00B65F32" w:rsidRPr="005E779E" w14:paraId="2299D6A3" w14:textId="77777777">
        <w:tc>
          <w:tcPr>
            <w:tcW w:w="3757" w:type="dxa"/>
          </w:tcPr>
          <w:p w14:paraId="08F210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3000 м</w:t>
            </w:r>
          </w:p>
        </w:tc>
        <w:tc>
          <w:tcPr>
            <w:tcW w:w="3757" w:type="dxa"/>
          </w:tcPr>
          <w:p w14:paraId="496E2B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192,0-1540 -"-</w:t>
            </w:r>
          </w:p>
        </w:tc>
      </w:tr>
      <w:tr w:rsidR="00B65F32" w:rsidRPr="005E779E" w14:paraId="6D254E2D" w14:textId="77777777">
        <w:tc>
          <w:tcPr>
            <w:tcW w:w="3757" w:type="dxa"/>
          </w:tcPr>
          <w:p w14:paraId="02CBE3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подъема на 3000 м (норм.обороты)</w:t>
            </w:r>
          </w:p>
        </w:tc>
        <w:tc>
          <w:tcPr>
            <w:tcW w:w="3757" w:type="dxa"/>
          </w:tcPr>
          <w:p w14:paraId="62DA56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24,0 мин.</w:t>
            </w:r>
          </w:p>
        </w:tc>
      </w:tr>
      <w:tr w:rsidR="00B65F32" w:rsidRPr="005E779E" w14:paraId="77C00897" w14:textId="77777777">
        <w:tc>
          <w:tcPr>
            <w:tcW w:w="3757" w:type="dxa"/>
          </w:tcPr>
          <w:p w14:paraId="4B3510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виража</w:t>
            </w:r>
          </w:p>
        </w:tc>
        <w:tc>
          <w:tcPr>
            <w:tcW w:w="3757" w:type="dxa"/>
          </w:tcPr>
          <w:p w14:paraId="4DC41E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17,0-17,5 сек.</w:t>
            </w:r>
          </w:p>
        </w:tc>
      </w:tr>
      <w:tr w:rsidR="00B65F32" w:rsidRPr="005E779E" w14:paraId="2F78078F" w14:textId="77777777">
        <w:tc>
          <w:tcPr>
            <w:tcW w:w="3757" w:type="dxa"/>
          </w:tcPr>
          <w:p w14:paraId="1D168F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восьмерки</w:t>
            </w:r>
          </w:p>
        </w:tc>
        <w:tc>
          <w:tcPr>
            <w:tcW w:w="3757" w:type="dxa"/>
          </w:tcPr>
          <w:p w14:paraId="05808B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 сек.</w:t>
            </w:r>
          </w:p>
        </w:tc>
      </w:tr>
      <w:tr w:rsidR="00B65F32" w:rsidRPr="005E779E" w14:paraId="06742198" w14:textId="77777777">
        <w:tc>
          <w:tcPr>
            <w:tcW w:w="3757" w:type="dxa"/>
          </w:tcPr>
          <w:p w14:paraId="2AC6BB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Разбег</w:t>
            </w:r>
          </w:p>
        </w:tc>
        <w:tc>
          <w:tcPr>
            <w:tcW w:w="3757" w:type="dxa"/>
          </w:tcPr>
          <w:p w14:paraId="251089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12-13 сек. - 160-180 м</w:t>
            </w:r>
          </w:p>
        </w:tc>
      </w:tr>
      <w:tr w:rsidR="00B65F32" w:rsidRPr="005E779E" w14:paraId="4CE3E734" w14:textId="77777777">
        <w:tc>
          <w:tcPr>
            <w:tcW w:w="3757" w:type="dxa"/>
          </w:tcPr>
          <w:p w14:paraId="30396A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Пробег</w:t>
            </w:r>
          </w:p>
        </w:tc>
        <w:tc>
          <w:tcPr>
            <w:tcW w:w="3757" w:type="dxa"/>
          </w:tcPr>
          <w:p w14:paraId="25AF30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сек. - 120-130 м</w:t>
            </w:r>
          </w:p>
        </w:tc>
      </w:tr>
    </w:tbl>
    <w:p w14:paraId="5E298D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Краткий вывод</w:t>
      </w:r>
    </w:p>
    <w:p w14:paraId="7B310D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Самолет в настоящем виде не может быть принят на вооружение частей ВВС.</w:t>
      </w:r>
    </w:p>
    <w:p w14:paraId="23F1B4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Возвратить самолет в ЦКБ для доделки вооружения и прочих спецслужб.</w:t>
      </w:r>
    </w:p>
    <w:p w14:paraId="0AA7FD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Краткий журнал прохождения работ</w:t>
      </w:r>
    </w:p>
    <w:p w14:paraId="69A3E3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Распоряжением зам. нач. УВВС испытание самолета производилось совместно с ЦКБ.</w:t>
      </w:r>
    </w:p>
    <w:p w14:paraId="4F60F7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Испытание начато 2 ноября 1930 г.</w:t>
      </w:r>
    </w:p>
    <w:p w14:paraId="5601CD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Испытание окончено 26 декабря 1930 г.</w:t>
      </w:r>
    </w:p>
    <w:p w14:paraId="1E3CF4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Пребывание самолета в НИИ - 28 дней</w:t>
      </w:r>
    </w:p>
    <w:p w14:paraId="236DDD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Пребывание самолета в ЦКБ - 27 дней</w:t>
      </w:r>
    </w:p>
    <w:p w14:paraId="48CB86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Летных дней 10</w:t>
      </w:r>
    </w:p>
    <w:p w14:paraId="42FE62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Описание</w:t>
      </w:r>
    </w:p>
    <w:p w14:paraId="340DED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Назначение самолета: двухместный бронированный штурмовик.</w:t>
      </w:r>
    </w:p>
    <w:p w14:paraId="156D81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Краткое описание конструкции самолета</w:t>
      </w:r>
    </w:p>
    <w:p w14:paraId="2513B4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схеме самолет - биплан с выносом верхнего крыла.</w:t>
      </w:r>
    </w:p>
    <w:p w14:paraId="7FFB45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Глубина верхних и нижних плоскостей одинакова. Размах верхних плоскостей на 1200 мм больше нижних. Коробка планов с N образными стойками расчалена стальными лентами. Элероны имеются на верхних и нижних плоскостях.</w:t>
      </w:r>
    </w:p>
    <w:p w14:paraId="65ACDB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 и передняя часть фюзеляжа, включая сидение наблюдателя бронированы. Броня служит остовом фюзеляжа. Задняя часть фюзеляжа из стальных сваренных труб с расчалками. Плоскости имеют деревянные лонжероны. Покрытие всего самолета полотняное. Шасси из стальных труб. Амортизация из резиновых колец на передних ногах шасси. Костыль управляемый.</w:t>
      </w:r>
    </w:p>
    <w:p w14:paraId="336546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Винтомоторная группа.</w:t>
      </w:r>
    </w:p>
    <w:p w14:paraId="4F4D90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Броня самолета служит основой моторной рамы.</w:t>
      </w:r>
    </w:p>
    <w:p w14:paraId="6DB465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самолете имеется три бензиновых бака. 1-й центральный расположен в ногах летчика, закрыт броней.</w:t>
      </w:r>
    </w:p>
    <w:p w14:paraId="3CACE7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2-а сбрасывающиеся - расположены у корней нижних крыльев.</w:t>
      </w:r>
    </w:p>
    <w:p w14:paraId="503245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Масляный бак перед сидением летчика тоже закрыт бронею. Охлаждение мотора этиленгликолем. Радиатор расположен впереди под мотором - сотовый из двух секций. Радиатор регулируется бронированными жалюзи.</w:t>
      </w:r>
    </w:p>
    <w:p w14:paraId="33AD62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Система охлаждения герметична.</w:t>
      </w:r>
    </w:p>
    <w:p w14:paraId="1DB25B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расширительном бачке имеется два клапана - редукционный поддерживающий давление в схеме и обратный, уничтожающий вакуум при остывании смеси.</w:t>
      </w:r>
    </w:p>
    <w:p w14:paraId="5E65AD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Вооружение самолета.</w:t>
      </w:r>
    </w:p>
    <w:p w14:paraId="7DB762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2 пулемета для стрельбы через винт.</w:t>
      </w:r>
    </w:p>
    <w:p w14:paraId="7F404E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Задняя турель с пулеметом ПВ-Ф.</w:t>
      </w:r>
    </w:p>
    <w:p w14:paraId="611BA8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Пул. батареи на нижних плоскостях по 4 пулемета на крыле: всего 8 штук.</w:t>
      </w:r>
    </w:p>
    <w:p w14:paraId="7D0F85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Предусмотрена установка кассетного бомбодержателя под сидением летчика.</w:t>
      </w:r>
    </w:p>
    <w:p w14:paraId="5781D1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Программа краткого летного испытания.</w:t>
      </w:r>
    </w:p>
    <w:p w14:paraId="2A4181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Определение скороподъемности.</w:t>
      </w:r>
    </w:p>
    <w:p w14:paraId="2E1714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Определение горизонтальных скоростей.</w:t>
      </w:r>
    </w:p>
    <w:p w14:paraId="466ABA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Определение управляемости на 1000 м и 200 м.</w:t>
      </w:r>
    </w:p>
    <w:p w14:paraId="077A17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Определение устойчивости.</w:t>
      </w:r>
    </w:p>
    <w:p w14:paraId="71D724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Определение преемственности к различным режимам на высоте 25-50 м.</w:t>
      </w:r>
    </w:p>
    <w:p w14:paraId="65A72E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Облет летчиками НИИ.</w:t>
      </w:r>
    </w:p>
    <w:p w14:paraId="59B0F3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IV. Результаты произведенных работ:</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tblGrid>
      <w:tr w:rsidR="00B65F32" w:rsidRPr="005E779E" w14:paraId="6D2FAEC5" w14:textId="77777777">
        <w:tc>
          <w:tcPr>
            <w:tcW w:w="2254" w:type="dxa"/>
          </w:tcPr>
          <w:p w14:paraId="7468CC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Длина самолета</w:t>
            </w:r>
          </w:p>
        </w:tc>
        <w:tc>
          <w:tcPr>
            <w:tcW w:w="2254" w:type="dxa"/>
          </w:tcPr>
          <w:p w14:paraId="737867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9,53 м</w:t>
            </w:r>
          </w:p>
        </w:tc>
      </w:tr>
      <w:tr w:rsidR="00B65F32" w:rsidRPr="005E779E" w14:paraId="37606512" w14:textId="77777777">
        <w:tc>
          <w:tcPr>
            <w:tcW w:w="2254" w:type="dxa"/>
          </w:tcPr>
          <w:p w14:paraId="5950AC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Высота самолета</w:t>
            </w:r>
          </w:p>
        </w:tc>
        <w:tc>
          <w:tcPr>
            <w:tcW w:w="2254" w:type="dxa"/>
          </w:tcPr>
          <w:p w14:paraId="07071F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4,1 м</w:t>
            </w:r>
          </w:p>
        </w:tc>
      </w:tr>
      <w:tr w:rsidR="00B65F32" w:rsidRPr="005E779E" w14:paraId="036D8E48" w14:textId="77777777">
        <w:tc>
          <w:tcPr>
            <w:tcW w:w="2254" w:type="dxa"/>
          </w:tcPr>
          <w:p w14:paraId="081230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Размах верхней плоскости</w:t>
            </w:r>
          </w:p>
        </w:tc>
        <w:tc>
          <w:tcPr>
            <w:tcW w:w="2254" w:type="dxa"/>
          </w:tcPr>
          <w:p w14:paraId="3CCF9A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14,2 м</w:t>
            </w:r>
          </w:p>
        </w:tc>
      </w:tr>
      <w:tr w:rsidR="00B65F32" w:rsidRPr="005E779E" w14:paraId="4DF20445" w14:textId="77777777">
        <w:tc>
          <w:tcPr>
            <w:tcW w:w="2254" w:type="dxa"/>
          </w:tcPr>
          <w:p w14:paraId="1CF812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Размах нижней плоскости</w:t>
            </w:r>
          </w:p>
        </w:tc>
        <w:tc>
          <w:tcPr>
            <w:tcW w:w="2254" w:type="dxa"/>
          </w:tcPr>
          <w:p w14:paraId="73F660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13,0 м</w:t>
            </w:r>
          </w:p>
        </w:tc>
      </w:tr>
      <w:tr w:rsidR="00B65F32" w:rsidRPr="005E779E" w14:paraId="17B50DCB" w14:textId="77777777">
        <w:tc>
          <w:tcPr>
            <w:tcW w:w="2254" w:type="dxa"/>
          </w:tcPr>
          <w:p w14:paraId="589ABB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Хорда верхнего крыла</w:t>
            </w:r>
          </w:p>
        </w:tc>
        <w:tc>
          <w:tcPr>
            <w:tcW w:w="2254" w:type="dxa"/>
          </w:tcPr>
          <w:p w14:paraId="431F02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1,95 м</w:t>
            </w:r>
          </w:p>
        </w:tc>
      </w:tr>
      <w:tr w:rsidR="00B65F32" w:rsidRPr="005E779E" w14:paraId="6CC07357" w14:textId="77777777">
        <w:tc>
          <w:tcPr>
            <w:tcW w:w="2254" w:type="dxa"/>
          </w:tcPr>
          <w:p w14:paraId="17DEF1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Расстояние между планами</w:t>
            </w:r>
          </w:p>
        </w:tc>
        <w:tc>
          <w:tcPr>
            <w:tcW w:w="2254" w:type="dxa"/>
          </w:tcPr>
          <w:p w14:paraId="5EEE08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 м</w:t>
            </w:r>
          </w:p>
        </w:tc>
      </w:tr>
      <w:tr w:rsidR="00B65F32" w:rsidRPr="005E779E" w14:paraId="7D6BFCBD" w14:textId="77777777">
        <w:tc>
          <w:tcPr>
            <w:tcW w:w="2254" w:type="dxa"/>
          </w:tcPr>
          <w:p w14:paraId="2E15D1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Несущая поверхность</w:t>
            </w:r>
          </w:p>
        </w:tc>
        <w:tc>
          <w:tcPr>
            <w:tcW w:w="2254" w:type="dxa"/>
          </w:tcPr>
          <w:p w14:paraId="1620A5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48,53 м кв.</w:t>
            </w:r>
          </w:p>
        </w:tc>
      </w:tr>
      <w:tr w:rsidR="00B65F32" w:rsidRPr="005E779E" w14:paraId="04D3A893" w14:textId="77777777">
        <w:tc>
          <w:tcPr>
            <w:tcW w:w="2254" w:type="dxa"/>
          </w:tcPr>
          <w:p w14:paraId="32CBD4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Площадь верхнего крыла</w:t>
            </w:r>
          </w:p>
        </w:tc>
        <w:tc>
          <w:tcPr>
            <w:tcW w:w="2254" w:type="dxa"/>
          </w:tcPr>
          <w:p w14:paraId="509F28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B65F32" w:rsidRPr="005E779E" w14:paraId="21ADD412" w14:textId="77777777">
        <w:tc>
          <w:tcPr>
            <w:tcW w:w="2254" w:type="dxa"/>
          </w:tcPr>
          <w:p w14:paraId="46F6CB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элеронами)</w:t>
            </w:r>
          </w:p>
        </w:tc>
        <w:tc>
          <w:tcPr>
            <w:tcW w:w="2254" w:type="dxa"/>
          </w:tcPr>
          <w:p w14:paraId="04E6B4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25,8 м</w:t>
            </w:r>
          </w:p>
        </w:tc>
      </w:tr>
      <w:tr w:rsidR="00B65F32" w:rsidRPr="005E779E" w14:paraId="1A6366A4" w14:textId="77777777">
        <w:tc>
          <w:tcPr>
            <w:tcW w:w="2254" w:type="dxa"/>
          </w:tcPr>
          <w:p w14:paraId="24AD89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Площадь элеронов</w:t>
            </w:r>
          </w:p>
        </w:tc>
        <w:tc>
          <w:tcPr>
            <w:tcW w:w="2254" w:type="dxa"/>
          </w:tcPr>
          <w:p w14:paraId="3071D7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2,48 м</w:t>
            </w:r>
          </w:p>
        </w:tc>
      </w:tr>
      <w:tr w:rsidR="00B65F32" w:rsidRPr="005E779E" w14:paraId="1C408108" w14:textId="77777777">
        <w:tc>
          <w:tcPr>
            <w:tcW w:w="2254" w:type="dxa"/>
          </w:tcPr>
          <w:p w14:paraId="726571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Площадь нижнего крыла </w:t>
            </w:r>
          </w:p>
        </w:tc>
        <w:tc>
          <w:tcPr>
            <w:tcW w:w="2254" w:type="dxa"/>
          </w:tcPr>
          <w:p w14:paraId="38CC9A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B65F32" w:rsidRPr="005E779E" w14:paraId="2D22F785" w14:textId="77777777">
        <w:tc>
          <w:tcPr>
            <w:tcW w:w="2254" w:type="dxa"/>
          </w:tcPr>
          <w:p w14:paraId="71A2E2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элеронами)</w:t>
            </w:r>
          </w:p>
        </w:tc>
        <w:tc>
          <w:tcPr>
            <w:tcW w:w="2254" w:type="dxa"/>
          </w:tcPr>
          <w:p w14:paraId="10D742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22,74 м</w:t>
            </w:r>
          </w:p>
        </w:tc>
      </w:tr>
      <w:tr w:rsidR="00B65F32" w:rsidRPr="005E779E" w14:paraId="2835951C" w14:textId="77777777">
        <w:tc>
          <w:tcPr>
            <w:tcW w:w="2254" w:type="dxa"/>
          </w:tcPr>
          <w:p w14:paraId="317E80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Площадь элеронов</w:t>
            </w:r>
          </w:p>
        </w:tc>
        <w:tc>
          <w:tcPr>
            <w:tcW w:w="2254" w:type="dxa"/>
          </w:tcPr>
          <w:p w14:paraId="5D15CB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2,27 м</w:t>
            </w:r>
          </w:p>
        </w:tc>
      </w:tr>
      <w:tr w:rsidR="00B65F32" w:rsidRPr="005E779E" w14:paraId="7F019B4F" w14:textId="77777777">
        <w:tc>
          <w:tcPr>
            <w:tcW w:w="2254" w:type="dxa"/>
          </w:tcPr>
          <w:p w14:paraId="2AA614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Площадь горизонтального</w:t>
            </w:r>
          </w:p>
        </w:tc>
        <w:tc>
          <w:tcPr>
            <w:tcW w:w="2254" w:type="dxa"/>
          </w:tcPr>
          <w:p w14:paraId="406508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6,60 м</w:t>
            </w:r>
          </w:p>
        </w:tc>
      </w:tr>
      <w:tr w:rsidR="00B65F32" w:rsidRPr="005E779E" w14:paraId="697F5578" w14:textId="77777777">
        <w:tc>
          <w:tcPr>
            <w:tcW w:w="2254" w:type="dxa"/>
          </w:tcPr>
          <w:p w14:paraId="7BB011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оперения</w:t>
            </w:r>
          </w:p>
        </w:tc>
        <w:tc>
          <w:tcPr>
            <w:tcW w:w="2254" w:type="dxa"/>
          </w:tcPr>
          <w:p w14:paraId="2CA5A3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B65F32" w:rsidRPr="005E779E" w14:paraId="226060F8" w14:textId="77777777">
        <w:tc>
          <w:tcPr>
            <w:tcW w:w="2254" w:type="dxa"/>
          </w:tcPr>
          <w:p w14:paraId="54FEDE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Площадь стабилизатора</w:t>
            </w:r>
          </w:p>
        </w:tc>
        <w:tc>
          <w:tcPr>
            <w:tcW w:w="2254" w:type="dxa"/>
          </w:tcPr>
          <w:p w14:paraId="509FED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3,25 м</w:t>
            </w:r>
          </w:p>
        </w:tc>
      </w:tr>
      <w:tr w:rsidR="00B65F32" w:rsidRPr="005E779E" w14:paraId="75B32515" w14:textId="77777777">
        <w:tc>
          <w:tcPr>
            <w:tcW w:w="2254" w:type="dxa"/>
          </w:tcPr>
          <w:p w14:paraId="6674DF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Площадь руля глубины</w:t>
            </w:r>
          </w:p>
        </w:tc>
        <w:tc>
          <w:tcPr>
            <w:tcW w:w="2254" w:type="dxa"/>
          </w:tcPr>
          <w:p w14:paraId="2CACA1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3,35 м</w:t>
            </w:r>
          </w:p>
        </w:tc>
      </w:tr>
      <w:tr w:rsidR="00B65F32" w:rsidRPr="005E779E" w14:paraId="3270CEF5" w14:textId="77777777">
        <w:tc>
          <w:tcPr>
            <w:tcW w:w="2254" w:type="dxa"/>
          </w:tcPr>
          <w:p w14:paraId="74A29B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Площадь вертикального</w:t>
            </w:r>
          </w:p>
        </w:tc>
        <w:tc>
          <w:tcPr>
            <w:tcW w:w="2254" w:type="dxa"/>
          </w:tcPr>
          <w:p w14:paraId="1D2513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B65F32" w:rsidRPr="005E779E" w14:paraId="7A7D3A10" w14:textId="77777777">
        <w:tc>
          <w:tcPr>
            <w:tcW w:w="2254" w:type="dxa"/>
          </w:tcPr>
          <w:p w14:paraId="2CC051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оперения</w:t>
            </w:r>
          </w:p>
        </w:tc>
        <w:tc>
          <w:tcPr>
            <w:tcW w:w="2254" w:type="dxa"/>
          </w:tcPr>
          <w:p w14:paraId="68F783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 м</w:t>
            </w:r>
          </w:p>
        </w:tc>
      </w:tr>
      <w:tr w:rsidR="00B65F32" w:rsidRPr="005E779E" w14:paraId="1A6322E3" w14:textId="77777777">
        <w:tc>
          <w:tcPr>
            <w:tcW w:w="2254" w:type="dxa"/>
          </w:tcPr>
          <w:p w14:paraId="312973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Площадь киля</w:t>
            </w:r>
          </w:p>
        </w:tc>
        <w:tc>
          <w:tcPr>
            <w:tcW w:w="2254" w:type="dxa"/>
          </w:tcPr>
          <w:p w14:paraId="1E360B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1,05 м</w:t>
            </w:r>
          </w:p>
        </w:tc>
      </w:tr>
      <w:tr w:rsidR="00B65F32" w:rsidRPr="005E779E" w14:paraId="58AB1E10" w14:textId="77777777">
        <w:tc>
          <w:tcPr>
            <w:tcW w:w="2254" w:type="dxa"/>
          </w:tcPr>
          <w:p w14:paraId="683E10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Площадь руля поворота</w:t>
            </w:r>
          </w:p>
        </w:tc>
        <w:tc>
          <w:tcPr>
            <w:tcW w:w="2254" w:type="dxa"/>
          </w:tcPr>
          <w:p w14:paraId="300F5E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1,55 м</w:t>
            </w:r>
          </w:p>
        </w:tc>
      </w:tr>
      <w:tr w:rsidR="00B65F32" w:rsidRPr="005E779E" w14:paraId="3F9CD8CD" w14:textId="77777777">
        <w:tc>
          <w:tcPr>
            <w:tcW w:w="2254" w:type="dxa"/>
          </w:tcPr>
          <w:p w14:paraId="37AD39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Ширина колеи</w:t>
            </w:r>
          </w:p>
        </w:tc>
        <w:tc>
          <w:tcPr>
            <w:tcW w:w="2254" w:type="dxa"/>
          </w:tcPr>
          <w:p w14:paraId="0B89C6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м</w:t>
            </w:r>
          </w:p>
        </w:tc>
      </w:tr>
      <w:tr w:rsidR="00B65F32" w:rsidRPr="005E779E" w14:paraId="11783CC8" w14:textId="77777777">
        <w:tc>
          <w:tcPr>
            <w:tcW w:w="2254" w:type="dxa"/>
          </w:tcPr>
          <w:p w14:paraId="7F3615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Размер колес</w:t>
            </w:r>
          </w:p>
        </w:tc>
        <w:tc>
          <w:tcPr>
            <w:tcW w:w="2254" w:type="dxa"/>
          </w:tcPr>
          <w:p w14:paraId="58F6DC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900х200</w:t>
            </w:r>
          </w:p>
        </w:tc>
      </w:tr>
      <w:tr w:rsidR="00B65F32" w:rsidRPr="005E779E" w14:paraId="493FA6E1" w14:textId="77777777">
        <w:tc>
          <w:tcPr>
            <w:tcW w:w="2254" w:type="dxa"/>
          </w:tcPr>
          <w:p w14:paraId="4CC08E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Размер втулки колеса</w:t>
            </w:r>
          </w:p>
        </w:tc>
        <w:tc>
          <w:tcPr>
            <w:tcW w:w="2254" w:type="dxa"/>
          </w:tcPr>
          <w:p w14:paraId="1228FB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d=80 мм; Z=220 мм</w:t>
            </w:r>
          </w:p>
        </w:tc>
      </w:tr>
      <w:tr w:rsidR="00B65F32" w:rsidRPr="005E779E" w14:paraId="1C504982" w14:textId="77777777">
        <w:tc>
          <w:tcPr>
            <w:tcW w:w="2254" w:type="dxa"/>
          </w:tcPr>
          <w:p w14:paraId="29F1D0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Нагрузка самолета</w:t>
            </w:r>
          </w:p>
        </w:tc>
        <w:tc>
          <w:tcPr>
            <w:tcW w:w="2254" w:type="dxa"/>
          </w:tcPr>
          <w:p w14:paraId="3CE79B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B65F32" w:rsidRPr="005E779E" w14:paraId="6EC5675B" w14:textId="77777777">
        <w:tc>
          <w:tcPr>
            <w:tcW w:w="2254" w:type="dxa"/>
          </w:tcPr>
          <w:p w14:paraId="4F20D1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Горючее</w:t>
            </w:r>
          </w:p>
        </w:tc>
        <w:tc>
          <w:tcPr>
            <w:tcW w:w="2254" w:type="dxa"/>
          </w:tcPr>
          <w:p w14:paraId="391B7E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320 кг</w:t>
            </w:r>
          </w:p>
        </w:tc>
      </w:tr>
      <w:tr w:rsidR="00B65F32" w:rsidRPr="005E779E" w14:paraId="63242FFF" w14:textId="77777777">
        <w:tc>
          <w:tcPr>
            <w:tcW w:w="2254" w:type="dxa"/>
          </w:tcPr>
          <w:p w14:paraId="261AFF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Масла</w:t>
            </w:r>
          </w:p>
        </w:tc>
        <w:tc>
          <w:tcPr>
            <w:tcW w:w="2254" w:type="dxa"/>
          </w:tcPr>
          <w:p w14:paraId="74C5CB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 кг</w:t>
            </w:r>
          </w:p>
        </w:tc>
      </w:tr>
      <w:tr w:rsidR="00B65F32" w:rsidRPr="005E779E" w14:paraId="3EF47513" w14:textId="77777777">
        <w:tc>
          <w:tcPr>
            <w:tcW w:w="2254" w:type="dxa"/>
          </w:tcPr>
          <w:p w14:paraId="7E523C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Экипаж с парашютом</w:t>
            </w:r>
          </w:p>
        </w:tc>
        <w:tc>
          <w:tcPr>
            <w:tcW w:w="2254" w:type="dxa"/>
          </w:tcPr>
          <w:p w14:paraId="33EDA5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176,0 кг</w:t>
            </w:r>
          </w:p>
        </w:tc>
      </w:tr>
      <w:tr w:rsidR="00B65F32" w:rsidRPr="005E779E" w14:paraId="4530D5EB" w14:textId="77777777">
        <w:tc>
          <w:tcPr>
            <w:tcW w:w="2254" w:type="dxa"/>
          </w:tcPr>
          <w:p w14:paraId="433C40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Броня</w:t>
            </w:r>
          </w:p>
        </w:tc>
        <w:tc>
          <w:tcPr>
            <w:tcW w:w="2254" w:type="dxa"/>
          </w:tcPr>
          <w:p w14:paraId="7990DB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532,0 кг</w:t>
            </w:r>
          </w:p>
        </w:tc>
      </w:tr>
      <w:tr w:rsidR="00B65F32" w:rsidRPr="005E779E" w14:paraId="392320AE" w14:textId="77777777">
        <w:tc>
          <w:tcPr>
            <w:tcW w:w="2254" w:type="dxa"/>
          </w:tcPr>
          <w:p w14:paraId="7D8B81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 т.д.</w:t>
            </w:r>
          </w:p>
        </w:tc>
        <w:tc>
          <w:tcPr>
            <w:tcW w:w="2254" w:type="dxa"/>
          </w:tcPr>
          <w:p w14:paraId="6BFF38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5E779E" w14:paraId="1DFDBFD6" w14:textId="77777777">
        <w:tc>
          <w:tcPr>
            <w:tcW w:w="2254" w:type="dxa"/>
          </w:tcPr>
          <w:p w14:paraId="13A990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Полетный вес</w:t>
            </w:r>
          </w:p>
        </w:tc>
        <w:tc>
          <w:tcPr>
            <w:tcW w:w="2254" w:type="dxa"/>
          </w:tcPr>
          <w:p w14:paraId="6B1EF7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3225 кг (3234)</w:t>
            </w:r>
          </w:p>
        </w:tc>
      </w:tr>
    </w:tbl>
    <w:p w14:paraId="2AB52E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B962DFA" w14:textId="77777777" w:rsidR="00E252B8" w:rsidRPr="005E779E" w:rsidRDefault="00E252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 1931 г. выпущен на испытания легкий штурмовик ЛШ (ЦКБ-5) положивший начало семейству самолетов-штурмовиков разработки ЦКБ (23559).</w:t>
      </w:r>
    </w:p>
    <w:p w14:paraId="2B6EB413" w14:textId="77777777" w:rsidR="00E252B8" w:rsidRPr="005E779E" w:rsidRDefault="00E252B8" w:rsidP="000B7A6C">
      <w:pPr>
        <w:spacing w:after="0" w:line="240" w:lineRule="auto"/>
        <w:jc w:val="both"/>
        <w:rPr>
          <w:rFonts w:ascii="Times New Roman" w:hAnsi="Times New Roman"/>
          <w:color w:val="000000" w:themeColor="text1"/>
          <w:sz w:val="16"/>
          <w:szCs w:val="16"/>
        </w:rPr>
      </w:pPr>
    </w:p>
    <w:p w14:paraId="03CBF2E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 1931 были закончены войсковые испытания самолета И-5, давшие вполне удовлетворительные результаты. В процессе испытаний выявлены дефекты тяг управления и масляного бака, устраняемые в серийной постройке. Были усилены капоты (6918).</w:t>
      </w:r>
    </w:p>
    <w:p w14:paraId="42320B7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EDB622" w14:textId="1142F2FD"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 1931 И-5 закончились войсковые испытания в 73-м авиаотряде 5-й авиабригады в Киеве, которые прлоходили с ноября 1930. Летали на лыжах. Вывод - с-т м.б. принят на снабжение ВВС (7498, 28).</w:t>
      </w:r>
    </w:p>
    <w:p w14:paraId="7E7106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105CACD" w14:textId="77777777" w:rsidR="001522BB" w:rsidRPr="005E779E" w:rsidRDefault="001522B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1931 г. завод заложил эту первую серию из пяти самолётов. Сперва стали делать только две машины - с номерами 2201 и 2202. На них собира-лись отработать окончательную схему размещения оборудования и вооружения, так и не определённую до сих пор заказчиком. Тогда это считалось нормой: ждать некогда, надо давать план! (12264).</w:t>
      </w:r>
    </w:p>
    <w:p w14:paraId="664202FF" w14:textId="77777777" w:rsidR="001522BB" w:rsidRPr="005E779E" w:rsidRDefault="001522BB" w:rsidP="000B7A6C">
      <w:pPr>
        <w:spacing w:after="0" w:line="240" w:lineRule="auto"/>
        <w:jc w:val="both"/>
        <w:rPr>
          <w:rFonts w:ascii="Times New Roman" w:hAnsi="Times New Roman"/>
          <w:color w:val="000000" w:themeColor="text1"/>
          <w:sz w:val="16"/>
          <w:szCs w:val="16"/>
        </w:rPr>
      </w:pPr>
    </w:p>
    <w:p w14:paraId="0D79D964" w14:textId="77777777" w:rsidR="001522BB" w:rsidRPr="005E779E" w:rsidRDefault="001522B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1931 года авиазавод сдавал первые И-5. При принятии решения о серийном произ</w:t>
      </w:r>
      <w:r w:rsidRPr="005E779E">
        <w:rPr>
          <w:rFonts w:ascii="Times New Roman" w:hAnsi="Times New Roman"/>
          <w:color w:val="000000" w:themeColor="text1"/>
          <w:sz w:val="16"/>
          <w:szCs w:val="16"/>
        </w:rPr>
        <w:softHyphen/>
        <w:t>водстве И-5 к процессу предполагалось под</w:t>
      </w:r>
      <w:r w:rsidRPr="005E779E">
        <w:rPr>
          <w:rFonts w:ascii="Times New Roman" w:hAnsi="Times New Roman"/>
          <w:color w:val="000000" w:themeColor="text1"/>
          <w:sz w:val="16"/>
          <w:szCs w:val="16"/>
        </w:rPr>
        <w:softHyphen/>
        <w:t>ключить заводы №1, №39 и №22 (послед</w:t>
      </w:r>
      <w:r w:rsidRPr="005E779E">
        <w:rPr>
          <w:rFonts w:ascii="Times New Roman" w:hAnsi="Times New Roman"/>
          <w:color w:val="000000" w:themeColor="text1"/>
          <w:sz w:val="16"/>
          <w:szCs w:val="16"/>
        </w:rPr>
        <w:softHyphen/>
        <w:t>ний для изготовления металлических агрега</w:t>
      </w:r>
      <w:r w:rsidRPr="005E779E">
        <w:rPr>
          <w:rFonts w:ascii="Times New Roman" w:hAnsi="Times New Roman"/>
          <w:color w:val="000000" w:themeColor="text1"/>
          <w:sz w:val="16"/>
          <w:szCs w:val="16"/>
        </w:rPr>
        <w:softHyphen/>
        <w:t>тов). Однако до конца года единственными построенными И-5 стали указанные уже ис</w:t>
      </w:r>
      <w:r w:rsidRPr="005E779E">
        <w:rPr>
          <w:rFonts w:ascii="Times New Roman" w:hAnsi="Times New Roman"/>
          <w:color w:val="000000" w:themeColor="text1"/>
          <w:sz w:val="16"/>
          <w:szCs w:val="16"/>
        </w:rPr>
        <w:softHyphen/>
        <w:t xml:space="preserve">требители 39-го завода. </w:t>
      </w:r>
    </w:p>
    <w:p w14:paraId="16958242" w14:textId="77777777" w:rsidR="001522BB" w:rsidRPr="005E779E" w:rsidRDefault="001522B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Таким образом, в декабре 1930 г. руководству ВВС пришлось признать, что «...Производство самолетов находится в за</w:t>
      </w:r>
      <w:r w:rsidRPr="005E779E">
        <w:rPr>
          <w:rFonts w:ascii="Times New Roman" w:hAnsi="Times New Roman"/>
          <w:color w:val="000000" w:themeColor="text1"/>
          <w:sz w:val="16"/>
          <w:szCs w:val="16"/>
        </w:rPr>
        <w:softHyphen/>
        <w:t>чаточном состоянии».</w:t>
      </w:r>
    </w:p>
    <w:p w14:paraId="00B2E8E9" w14:textId="77777777" w:rsidR="001522BB" w:rsidRPr="005E779E" w:rsidRDefault="001522B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1931 года завод №39 сдал еше че</w:t>
      </w:r>
      <w:r w:rsidRPr="005E779E">
        <w:rPr>
          <w:rFonts w:ascii="Times New Roman" w:hAnsi="Times New Roman"/>
          <w:color w:val="000000" w:themeColor="text1"/>
          <w:sz w:val="16"/>
          <w:szCs w:val="16"/>
        </w:rPr>
        <w:softHyphen/>
        <w:t>тыре серийные машины из первого заказа — таким образом, общее количество изготов</w:t>
      </w:r>
      <w:r w:rsidRPr="005E779E">
        <w:rPr>
          <w:rFonts w:ascii="Times New Roman" w:hAnsi="Times New Roman"/>
          <w:color w:val="000000" w:themeColor="text1"/>
          <w:sz w:val="16"/>
          <w:szCs w:val="16"/>
        </w:rPr>
        <w:softHyphen/>
        <w:t>ленных здесь И-5 составило 12 экземпляров.</w:t>
      </w:r>
    </w:p>
    <w:p w14:paraId="6A9DD855" w14:textId="77777777" w:rsidR="001522BB" w:rsidRPr="005E779E" w:rsidRDefault="001522B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Хотя выпуск И-5 в 1931 году почти полно</w:t>
      </w:r>
      <w:r w:rsidRPr="005E779E">
        <w:rPr>
          <w:rFonts w:ascii="Times New Roman" w:hAnsi="Times New Roman"/>
          <w:color w:val="000000" w:themeColor="text1"/>
          <w:sz w:val="16"/>
          <w:szCs w:val="16"/>
        </w:rPr>
        <w:softHyphen/>
        <w:t>стью перешел на завод №1, вся техническая поддержка по-прежнему осуществлялась отде</w:t>
      </w:r>
      <w:r w:rsidRPr="005E779E">
        <w:rPr>
          <w:rFonts w:ascii="Times New Roman" w:hAnsi="Times New Roman"/>
          <w:color w:val="000000" w:themeColor="text1"/>
          <w:sz w:val="16"/>
          <w:szCs w:val="16"/>
        </w:rPr>
        <w:softHyphen/>
        <w:t>лом доводок (отделом №9) ЦКБ, то есть спе</w:t>
      </w:r>
      <w:r w:rsidRPr="005E779E">
        <w:rPr>
          <w:rFonts w:ascii="Times New Roman" w:hAnsi="Times New Roman"/>
          <w:color w:val="000000" w:themeColor="text1"/>
          <w:sz w:val="16"/>
          <w:szCs w:val="16"/>
        </w:rPr>
        <w:softHyphen/>
        <w:t>циалистами завода №39. Начальником ЦКБ являлся С.В. Ильюшин, его замом (помощни</w:t>
      </w:r>
      <w:r w:rsidRPr="005E779E">
        <w:rPr>
          <w:rFonts w:ascii="Times New Roman" w:hAnsi="Times New Roman"/>
          <w:color w:val="000000" w:themeColor="text1"/>
          <w:sz w:val="16"/>
          <w:szCs w:val="16"/>
        </w:rPr>
        <w:softHyphen/>
        <w:t>ком) — А.В. Надашкевич, В.С. Вахмистров — начальником бригады вооружения, И.П. Тол</w:t>
      </w:r>
      <w:r w:rsidRPr="005E779E">
        <w:rPr>
          <w:rFonts w:ascii="Times New Roman" w:hAnsi="Times New Roman"/>
          <w:color w:val="000000" w:themeColor="text1"/>
          <w:sz w:val="16"/>
          <w:szCs w:val="16"/>
        </w:rPr>
        <w:softHyphen/>
        <w:t>стых — начальником секции оборудования.</w:t>
      </w:r>
    </w:p>
    <w:p w14:paraId="44811CBB" w14:textId="77777777" w:rsidR="001522BB" w:rsidRPr="005E779E" w:rsidRDefault="001522B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События 1931 года в деле строительства И-5 закончились скромными достижениями (за год построили 66 экземпляров). Все эти самолеты в основном соответствовали аппа</w:t>
      </w:r>
      <w:r w:rsidRPr="005E779E">
        <w:rPr>
          <w:rFonts w:ascii="Times New Roman" w:hAnsi="Times New Roman"/>
          <w:color w:val="000000" w:themeColor="text1"/>
          <w:sz w:val="16"/>
          <w:szCs w:val="16"/>
        </w:rPr>
        <w:softHyphen/>
        <w:t>рату «Клим Ворошилов», внешне отличались увеличенными отверстиями охлаждения и боковыми прорезями (жабрами) в обтекате</w:t>
      </w:r>
      <w:r w:rsidRPr="005E779E">
        <w:rPr>
          <w:rFonts w:ascii="Times New Roman" w:hAnsi="Times New Roman"/>
          <w:color w:val="000000" w:themeColor="text1"/>
          <w:sz w:val="16"/>
          <w:szCs w:val="16"/>
        </w:rPr>
        <w:softHyphen/>
        <w:t>лях головок цилиндров двигателя (12295).</w:t>
      </w:r>
    </w:p>
    <w:p w14:paraId="28380DCC" w14:textId="77777777" w:rsidR="001522BB" w:rsidRPr="005E779E" w:rsidRDefault="001522BB" w:rsidP="000B7A6C">
      <w:pPr>
        <w:spacing w:after="0" w:line="240" w:lineRule="auto"/>
        <w:jc w:val="both"/>
        <w:rPr>
          <w:rFonts w:ascii="Times New Roman" w:hAnsi="Times New Roman"/>
          <w:color w:val="000000" w:themeColor="text1"/>
          <w:sz w:val="16"/>
          <w:szCs w:val="16"/>
        </w:rPr>
      </w:pPr>
    </w:p>
    <w:p w14:paraId="3DB69B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 январе 1931 был готов эталон для серии Р-6 и завод 22 готовился (346,35).</w:t>
      </w:r>
    </w:p>
    <w:p w14:paraId="21894C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034FC4B" w14:textId="77777777" w:rsidR="00E252B8" w:rsidRPr="005E779E" w:rsidRDefault="00E252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 1931 г. все необходимое для начала серийной постройки АНТ-7 было готово. Опытный самолет отработали до состоя</w:t>
      </w:r>
      <w:r w:rsidRPr="005E779E">
        <w:rPr>
          <w:rFonts w:ascii="Times New Roman" w:hAnsi="Times New Roman"/>
          <w:color w:val="000000" w:themeColor="text1"/>
          <w:sz w:val="16"/>
          <w:szCs w:val="16"/>
        </w:rPr>
        <w:softHyphen/>
        <w:t>ния эталона. Завод №22 заканчивал вы</w:t>
      </w:r>
      <w:r w:rsidRPr="005E779E">
        <w:rPr>
          <w:rFonts w:ascii="Times New Roman" w:hAnsi="Times New Roman"/>
          <w:color w:val="000000" w:themeColor="text1"/>
          <w:sz w:val="16"/>
          <w:szCs w:val="16"/>
        </w:rPr>
        <w:softHyphen/>
        <w:t>пуск необходимых чертежей и готовился к серийному производству (23474).</w:t>
      </w:r>
    </w:p>
    <w:p w14:paraId="4BBF9200" w14:textId="77777777" w:rsidR="00E252B8" w:rsidRPr="005E779E" w:rsidRDefault="00E252B8" w:rsidP="000B7A6C">
      <w:pPr>
        <w:spacing w:after="0" w:line="240" w:lineRule="auto"/>
        <w:jc w:val="both"/>
        <w:rPr>
          <w:rFonts w:ascii="Times New Roman" w:hAnsi="Times New Roman"/>
          <w:color w:val="000000" w:themeColor="text1"/>
          <w:sz w:val="16"/>
          <w:szCs w:val="16"/>
        </w:rPr>
      </w:pPr>
    </w:p>
    <w:p w14:paraId="0F50F227" w14:textId="77777777" w:rsidR="00E252B8" w:rsidRPr="005E779E" w:rsidRDefault="00E252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 1931 г. для АНТ-7 остановились на пушке калибра 20 мм. Документы о реализации этого проекта пока не найдены (23474).</w:t>
      </w:r>
    </w:p>
    <w:p w14:paraId="2F668814" w14:textId="77777777" w:rsidR="00E252B8" w:rsidRPr="005E779E" w:rsidRDefault="00E252B8" w:rsidP="000B7A6C">
      <w:pPr>
        <w:spacing w:after="0" w:line="240" w:lineRule="auto"/>
        <w:jc w:val="both"/>
        <w:rPr>
          <w:rFonts w:ascii="Times New Roman" w:hAnsi="Times New Roman"/>
          <w:color w:val="000000" w:themeColor="text1"/>
          <w:sz w:val="16"/>
          <w:szCs w:val="16"/>
        </w:rPr>
      </w:pPr>
    </w:p>
    <w:p w14:paraId="2B4151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 1931 УВВС и ЦАГИ согласовали состав оборонительного вооружения для АНТ-16 (ТБ-4) с учетом экипажа из 12 чел.: две установки по 2 20 мм пушки, пять установок под спаренные ПВ-1. Бободержатели для 4-х250 или 20х500 бомб внутри, одно 1000 или 2000 снаружи (7388, 7).</w:t>
      </w:r>
    </w:p>
    <w:p w14:paraId="03EB52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C571844"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январе 1931 года согласовали с заказчиком оборонительное вооружение АНТ-16: две 20-мм пушки (видимо, «Эрликон», поскольку иных не было) и пять установок под спарки пулеме</w:t>
      </w:r>
      <w:r w:rsidRPr="00142305">
        <w:rPr>
          <w:rFonts w:ascii="Times New Roman" w:hAnsi="Times New Roman"/>
          <w:color w:val="0070C0"/>
          <w:sz w:val="16"/>
          <w:szCs w:val="16"/>
        </w:rPr>
        <w:softHyphen/>
        <w:t>тов ПВ-1. В грузовом отсеке фюзеляжа требовалось расположить бомбодержатели для бомб калибром от 250 до 1000 кг, под крылом - для 2000 кг бомб. Тогда же уточнили и состав экипажа - двенадцать человек.</w:t>
      </w:r>
    </w:p>
    <w:p w14:paraId="744AC5C3"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Для общения членов экипажа предусмотрели телефонную связь.</w:t>
      </w:r>
    </w:p>
    <w:p w14:paraId="7391BA9B"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Для балансировки столь огромного самолета требовалось и оперение большой пло</w:t>
      </w:r>
      <w:r w:rsidRPr="00142305">
        <w:rPr>
          <w:rFonts w:ascii="Times New Roman" w:hAnsi="Times New Roman"/>
          <w:color w:val="0070C0"/>
          <w:sz w:val="16"/>
          <w:szCs w:val="16"/>
        </w:rPr>
        <w:softHyphen/>
        <w:t>щади, при этом усилия на руле высоты становились чрезмерными, не помогали даже пол</w:t>
      </w:r>
      <w:r w:rsidRPr="00142305">
        <w:rPr>
          <w:rFonts w:ascii="Times New Roman" w:hAnsi="Times New Roman"/>
          <w:color w:val="0070C0"/>
          <w:sz w:val="16"/>
          <w:szCs w:val="16"/>
        </w:rPr>
        <w:softHyphen/>
        <w:t>испасты, впервые примененные в отечественном самолетостроении на ТБ-3. Выход нашли, сделав стабилизатор переставным, для чего использовали электропривод. Это позволило не только снизить усилия на штурвале до приемлемых для человека, но и облегчить машину за счет горизонтального оперения меньшей площади и отказа от механической проводки к нему.</w:t>
      </w:r>
    </w:p>
    <w:p w14:paraId="38B0B463"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Согласно эскизному проекту, нормальный полетный вес шестимоторного варианта самолета достигал 31 тонны, а перегрузочный - 37. При этом его скорость не превышала 208 км/ч (крейсерская - 160 км/ч). Практический потолок-3400 метров, а дальность - 1600 км/ч (24991).</w:t>
      </w:r>
    </w:p>
    <w:p w14:paraId="6E04F8FA" w14:textId="77777777" w:rsidR="00AE1636" w:rsidRPr="00142305" w:rsidRDefault="00AE1636" w:rsidP="00AE1636">
      <w:pPr>
        <w:spacing w:after="0" w:line="240" w:lineRule="auto"/>
        <w:jc w:val="both"/>
        <w:rPr>
          <w:rFonts w:ascii="Times New Roman" w:hAnsi="Times New Roman"/>
          <w:color w:val="0070C0"/>
          <w:sz w:val="16"/>
          <w:szCs w:val="16"/>
        </w:rPr>
      </w:pPr>
    </w:p>
    <w:p w14:paraId="50709433"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один из январских дней 1931 года летчику-испытателю Иванову и наблюдателю Б.С. Вахмистрову предстояло провести стрельбы боевыми снарядами из пушки АПК-1 с Р-ЗЛД в полете. Позади оста</w:t>
      </w:r>
      <w:r w:rsidRPr="00142305">
        <w:rPr>
          <w:rFonts w:ascii="Times New Roman" w:hAnsi="Times New Roman"/>
          <w:color w:val="0070C0"/>
          <w:sz w:val="16"/>
          <w:szCs w:val="16"/>
        </w:rPr>
        <w:softHyphen/>
        <w:t>лись испытания на земле, стрельбы холостыми снарядами в полете, и казалось, ничего не предвещало неприятностей. Действительно, первый выстрел прошел успешно. Вахмистров немного расслабился, прицелился и, не откинувшись к левому борту самолета, как этого требовала инструкция, нажал боевую кнопку. В тот же миг воздушная волна больно ударила экспериментатора, появилась кровь и боль в груди, явления, наблюдаемые при контузии. Тем не менее Борис Сергеевич перезарядил орудие и произвел третий выстрел, лишь слегка подтолкнувший самолет. Вахмистров, не замечая боли, стал нажимать боевую кнопку в чет</w:t>
      </w:r>
      <w:r w:rsidRPr="00142305">
        <w:rPr>
          <w:rFonts w:ascii="Times New Roman" w:hAnsi="Times New Roman"/>
          <w:color w:val="0070C0"/>
          <w:sz w:val="16"/>
          <w:szCs w:val="16"/>
        </w:rPr>
        <w:softHyphen/>
        <w:t>вертый, пятый раз... Но пушка молчала, а перекосившийся в стволе снаряд как бы гово</w:t>
      </w:r>
      <w:r w:rsidRPr="00142305">
        <w:rPr>
          <w:rFonts w:ascii="Times New Roman" w:hAnsi="Times New Roman"/>
          <w:color w:val="0070C0"/>
          <w:sz w:val="16"/>
          <w:szCs w:val="16"/>
        </w:rPr>
        <w:softHyphen/>
        <w:t>рил: «Хватит, пора домой». После непродолжительного пребывания в госпитале Вахмист</w:t>
      </w:r>
      <w:r w:rsidRPr="00142305">
        <w:rPr>
          <w:rFonts w:ascii="Times New Roman" w:hAnsi="Times New Roman"/>
          <w:color w:val="0070C0"/>
          <w:sz w:val="16"/>
          <w:szCs w:val="16"/>
        </w:rPr>
        <w:softHyphen/>
        <w:t>ров вновь продолжил испытания, из полета в полет доводя новое оружие (24991).</w:t>
      </w:r>
    </w:p>
    <w:p w14:paraId="09F23C87" w14:textId="77777777" w:rsidR="00AE1636" w:rsidRPr="00142305" w:rsidRDefault="00AE1636" w:rsidP="00AE1636">
      <w:pPr>
        <w:spacing w:after="0" w:line="240" w:lineRule="auto"/>
        <w:jc w:val="both"/>
        <w:rPr>
          <w:rFonts w:ascii="Times New Roman" w:hAnsi="Times New Roman"/>
          <w:color w:val="0070C0"/>
          <w:sz w:val="16"/>
          <w:szCs w:val="16"/>
        </w:rPr>
      </w:pPr>
    </w:p>
    <w:p w14:paraId="223DFFE3" w14:textId="77777777" w:rsidR="00AE1636" w:rsidRPr="005E779E" w:rsidRDefault="00AE1636" w:rsidP="00AE1636">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 1931 состоялся первый полет АНТ-8 (МБР-2) А.Н.Т. Обводы оказались удачными (4269,18).</w:t>
      </w:r>
    </w:p>
    <w:p w14:paraId="3F8E7BFC" w14:textId="77777777" w:rsidR="00AE1636" w:rsidRPr="005E779E" w:rsidRDefault="00AE1636" w:rsidP="00AE1636">
      <w:pPr>
        <w:autoSpaceDE w:val="0"/>
        <w:autoSpaceDN w:val="0"/>
        <w:adjustRightInd w:val="0"/>
        <w:spacing w:after="0" w:line="240" w:lineRule="auto"/>
        <w:jc w:val="both"/>
        <w:rPr>
          <w:rFonts w:ascii="Times New Roman" w:hAnsi="Times New Roman"/>
          <w:color w:val="000000" w:themeColor="text1"/>
          <w:sz w:val="16"/>
          <w:szCs w:val="16"/>
        </w:rPr>
      </w:pPr>
    </w:p>
    <w:p w14:paraId="58374830"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январе 1931 года состоялся первый полет МДР-2 – АНТ-8, а в феврале специальная комиссия ВВС приступила к всесторонним испытаниям в Севастополе. До 20 марта летчик НИИ ВВС С.Т. Рыбальчук выполнил 25 полетов, поднимались в воздух и пилоты строевых частей, в том числе начальник ВВС Черноморского флота Лавров (24991).</w:t>
      </w:r>
    </w:p>
    <w:p w14:paraId="5BD94AE1" w14:textId="77777777" w:rsidR="00AE1636" w:rsidRPr="00142305" w:rsidRDefault="00AE1636" w:rsidP="00AE1636">
      <w:pPr>
        <w:spacing w:after="0" w:line="240" w:lineRule="auto"/>
        <w:jc w:val="both"/>
        <w:rPr>
          <w:rFonts w:ascii="Times New Roman" w:hAnsi="Times New Roman"/>
          <w:color w:val="0070C0"/>
          <w:sz w:val="16"/>
          <w:szCs w:val="16"/>
        </w:rPr>
      </w:pPr>
    </w:p>
    <w:p w14:paraId="75D27B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 1931 после проверки обводов модели в ЦАГИ начали строить МДР-3 4 БМВ-6, разработанный И.В.Четвериковым в морском отделе ЦКБ (1085,111).</w:t>
      </w:r>
    </w:p>
    <w:p w14:paraId="26DB78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CAA35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 1931 модель МДР-3 испытали в недавно построеннном гидроканале ЦАГИ (6472, 31).</w:t>
      </w:r>
    </w:p>
    <w:p w14:paraId="38CD33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34F00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 1931 после проверки в гидроканале ЦАГИ МДР-3 И.В.Четверикова приступили к постройке с 4хБМВ-6 (1085,111).</w:t>
      </w:r>
    </w:p>
    <w:p w14:paraId="78CBF3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352DBC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 1931 г. Скржинский писал Камову:</w:t>
      </w:r>
    </w:p>
    <w:p w14:paraId="5CC7133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«Дорогой Николай Ильич! Что Вы сидите в Севастополе? Как скоро вернетесь?.. Нас слили с ЦАГИ. Я назначен зам нач. сухопутного отде</w:t>
      </w:r>
      <w:r w:rsidRPr="005E779E">
        <w:rPr>
          <w:rFonts w:ascii="Times New Roman" w:hAnsi="Times New Roman"/>
          <w:color w:val="000000" w:themeColor="text1"/>
          <w:sz w:val="16"/>
          <w:szCs w:val="16"/>
        </w:rPr>
        <w:softHyphen/>
        <w:t>ла. Нач. Чупилко» (10224,33).</w:t>
      </w:r>
    </w:p>
    <w:p w14:paraId="5C39640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C001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 1931 года ЦАГИ во исполнение декабрьского решения РВС организовал Бюро особых конструкций (БОК). БОК охватывая общую тенденцию развития авиации, изучая и применяя новые принципы летания, должен был разрабатывать, конструировать, строить и испытываьб экспериментальные машины. ЦАГИ, выделив формально начальником Бюро Чижевского В.А., реальной помощи в течении всего 1931 года не оказывало (7508, 54-58).</w:t>
      </w:r>
    </w:p>
    <w:p w14:paraId="00FC7C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12F87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 1931 года для закупки летающих лодок «Савойя С-62 бис» в Италию была направлена группа представителей ВВС РККА во главе с инженером технического бюро торгпредства СССР в Берлине И.С. Вейцером, находившимся в то время в Италии. Архивные источники не содержат информации о точном количестве закупленных летающих лодок, но, по мнению В.Б. Шаврова, как минимум одна трехместная машина была приобретена как образец для серийной постройки в Советском Союзе (</w:t>
      </w:r>
      <w:r w:rsidRPr="005E779E">
        <w:rPr>
          <w:rFonts w:ascii="Times New Roman" w:hAnsi="Times New Roman"/>
          <w:iCs/>
          <w:color w:val="000000" w:themeColor="text1"/>
          <w:sz w:val="16"/>
          <w:szCs w:val="16"/>
        </w:rPr>
        <w:t xml:space="preserve">Шавров В.Б. </w:t>
      </w:r>
      <w:r w:rsidRPr="005E779E">
        <w:rPr>
          <w:rFonts w:ascii="Times New Roman" w:hAnsi="Times New Roman"/>
          <w:color w:val="000000" w:themeColor="text1"/>
          <w:sz w:val="16"/>
          <w:szCs w:val="16"/>
        </w:rPr>
        <w:t>Указ. соч. С. 441.). В 1932—1933 гг. в СССР были построены 22 самолета этого типа и 29 самолетов с незначительными конструктивными изменениями с советским наименованием МБР-4 (морской ближний разведчик). Эти самолеты состояли на вооружении в морской авиации ВМФ до 1936 года (11174).</w:t>
      </w:r>
    </w:p>
    <w:p w14:paraId="477369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1A9378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января 1931 г. начали сдавать серийные моторы М-15. Сначала их проверяла военная приемка, так же как и продукцию для ВВС, затем с ноября 1931 г. работники ГВФ стали принимать двигатели самостоятельно. 15 моторов М-26 1-й серии собрали к 27 марта 1931 г. Но выпускались М-15 и М-26 недолго. 5 августа 1931 г. вышло постановление Реввоен</w:t>
      </w:r>
      <w:r w:rsidRPr="005E779E">
        <w:rPr>
          <w:rFonts w:ascii="Times New Roman" w:hAnsi="Times New Roman"/>
          <w:color w:val="000000" w:themeColor="text1"/>
          <w:sz w:val="16"/>
          <w:szCs w:val="16"/>
        </w:rPr>
        <w:softHyphen/>
        <w:t>совета СССР о сокращении количества типов авиамоторов, находящихся в серийном производстве. Оставляли только М-11, М-17, М-22 и М-28. Высокая аварийность самолетов АНТ-9 и К-5 с двигателями М-26 и М-15 соответственно нанесла дополнительный удар по их репутации. Моторы сняли с производства, а вскоре и с эксплуатации. Выпущено 406 экз. В военной авиации М-15 был вытеснен (в основном, из-за низкой надежности) мотором М-22. В январе 1932 г. он проиграл сравнительные испытания в НИИ ВВС двигателю М-22. Все построенные М-15 передали для эксплуатации в гражданскую авиацию.</w:t>
      </w:r>
    </w:p>
    <w:p w14:paraId="43C5478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Характеристики:</w:t>
      </w:r>
    </w:p>
    <w:p w14:paraId="025528E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9-цилиндровый, звездообразный, четырехтактный, воздушного охлаж</w:t>
      </w:r>
      <w:r w:rsidRPr="005E779E">
        <w:rPr>
          <w:rFonts w:ascii="Times New Roman" w:hAnsi="Times New Roman"/>
          <w:color w:val="000000" w:themeColor="text1"/>
          <w:sz w:val="16"/>
          <w:szCs w:val="16"/>
        </w:rPr>
        <w:softHyphen/>
        <w:t>дения;</w:t>
      </w:r>
    </w:p>
    <w:p w14:paraId="180F2E9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мощность 450/660 л.с.;</w:t>
      </w:r>
    </w:p>
    <w:p w14:paraId="197B165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диаметр цилиндра/ход поршня 150/170 мм;</w:t>
      </w:r>
    </w:p>
    <w:p w14:paraId="221432D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объем 27,02 л;</w:t>
      </w:r>
    </w:p>
    <w:p w14:paraId="7BF0116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степень сжатия 5,4 (фактически 5,5-5,7);</w:t>
      </w:r>
    </w:p>
    <w:p w14:paraId="43D8F42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безредукторный;</w:t>
      </w:r>
    </w:p>
    <w:p w14:paraId="751ABA7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мощность и вес в зависимости от модификации и серии;</w:t>
      </w:r>
    </w:p>
    <w:p w14:paraId="1D6FE8E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имел ПЦН и синхронизатор. Известны варианты:</w:t>
      </w:r>
    </w:p>
    <w:p w14:paraId="6945D99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М-15, первоначальный вариант. Изготовлен в двух опытных экзем</w:t>
      </w:r>
      <w:r w:rsidRPr="005E779E">
        <w:rPr>
          <w:rFonts w:ascii="Times New Roman" w:hAnsi="Times New Roman"/>
          <w:color w:val="000000" w:themeColor="text1"/>
          <w:sz w:val="16"/>
          <w:szCs w:val="16"/>
        </w:rPr>
        <w:softHyphen/>
        <w:t>плярах. Мощность по проекту 500/600 л.с., вес 420 кг.</w:t>
      </w:r>
    </w:p>
    <w:p w14:paraId="37B8D47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2М-15, второй вариант конструкции с усиленными головками цилин</w:t>
      </w:r>
      <w:r w:rsidRPr="005E779E">
        <w:rPr>
          <w:rFonts w:ascii="Times New Roman" w:hAnsi="Times New Roman"/>
          <w:color w:val="000000" w:themeColor="text1"/>
          <w:sz w:val="16"/>
          <w:szCs w:val="16"/>
        </w:rPr>
        <w:softHyphen/>
        <w:t>дров, новыми клапанами. Выпускался серийно как М-15. Мощность 450/550 л.с. (по проекту 500/650 л.с.). Вес у серии «А» — 419,5 кг, У серии «Г» — 450 кг. На серии «Б» укорочен коленвал. усилены | крепления головок цилиндров, усилена шестерня привода ПЦН. На серии «В» введены новые клапанные пружины, усиленные гайки кре</w:t>
      </w:r>
      <w:r w:rsidRPr="005E779E">
        <w:rPr>
          <w:rFonts w:ascii="Times New Roman" w:hAnsi="Times New Roman"/>
          <w:color w:val="000000" w:themeColor="text1"/>
          <w:sz w:val="16"/>
          <w:szCs w:val="16"/>
        </w:rPr>
        <w:softHyphen/>
        <w:t>пления цилиндров, цельные тяги клапанных рычагов. - М-15а, проект усовершенствованной модификации с мощностью 500 л.с., весом 400 кг.</w:t>
      </w:r>
    </w:p>
    <w:p w14:paraId="48BAA61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 устанавливался на самолетах К-5, И-5 (опытные образцы), пред</w:t>
      </w:r>
      <w:r w:rsidRPr="005E779E">
        <w:rPr>
          <w:rFonts w:ascii="Times New Roman" w:hAnsi="Times New Roman"/>
          <w:color w:val="000000" w:themeColor="text1"/>
          <w:sz w:val="16"/>
          <w:szCs w:val="16"/>
        </w:rPr>
        <w:softHyphen/>
        <w:t>лагался для установки на И-4 (11852).</w:t>
      </w:r>
    </w:p>
    <w:p w14:paraId="3B821B7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DCAD20" w14:textId="77777777" w:rsidR="00E252B8" w:rsidRPr="005E779E" w:rsidRDefault="00E252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 1931 г. при ЦАГИ было создано Бюро особых конструкций (БОК), которое возглавил выпускник Военно-воздушной академии имени Н.Е.Жуковского, инженер-конструктор ЦАГИ Владимир Антонович Чижевский. Тематика этого КБ была разнообразной, но главное место в ней отводилось созданию летательных аппаратов с герметическими кабинами. Новое КБ первоначально базировалось на заводе опытных конструкций (ЗОК) ЦАГИ, в феврале 1933 г. оно было переведено в ЦКБ на территорию завода № 39, а летом 1934 г. было перебазировано на авиазавод №35 в Смоленске (24287).</w:t>
      </w:r>
    </w:p>
    <w:p w14:paraId="29EA7B9E" w14:textId="77777777" w:rsidR="00E252B8" w:rsidRPr="005E779E" w:rsidRDefault="00E252B8" w:rsidP="000B7A6C">
      <w:pPr>
        <w:spacing w:after="0" w:line="240" w:lineRule="auto"/>
        <w:jc w:val="both"/>
        <w:rPr>
          <w:rFonts w:ascii="Times New Roman" w:hAnsi="Times New Roman"/>
          <w:color w:val="000000" w:themeColor="text1"/>
          <w:sz w:val="16"/>
          <w:szCs w:val="16"/>
        </w:rPr>
      </w:pPr>
    </w:p>
    <w:p w14:paraId="09657C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 январе 1931 г. 18-цилиндровый W- образный (трехрядный) М-27 водяного охлаждения - конкурент М-34 - успешно прошел государственные испытания, показав номинальную мощность 700 л.с. и максимальную - 850 л.с, то есть примерно то же, что и двигатель Микулина, но при немного большем весе - 633 кг. Предпочтение отдали М-34, уже подготовленное серийное производство М-27 остановили (12036).</w:t>
      </w:r>
    </w:p>
    <w:p w14:paraId="156713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91B1FCA"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январе 1931 г. 18-цилиндровый W- образный (трехрядный) М-27, тоже водяного охлаждения успешно прошел государствен</w:t>
      </w:r>
      <w:r w:rsidRPr="00142305">
        <w:rPr>
          <w:rFonts w:ascii="Times New Roman" w:hAnsi="Times New Roman"/>
          <w:color w:val="0070C0"/>
          <w:sz w:val="16"/>
          <w:szCs w:val="16"/>
        </w:rPr>
        <w:softHyphen/>
        <w:t>ные испытания, показав номинальную мощность 700 л.с. и максимальную — 850 л.с, то есть примерно то же, что и дви</w:t>
      </w:r>
      <w:r w:rsidRPr="00142305">
        <w:rPr>
          <w:rFonts w:ascii="Times New Roman" w:hAnsi="Times New Roman"/>
          <w:color w:val="0070C0"/>
          <w:sz w:val="16"/>
          <w:szCs w:val="16"/>
        </w:rPr>
        <w:softHyphen/>
        <w:t>гатель Микулина, но при немного большем весе - 633 кг. Предпочтение отдали М-34, уже подготовленное серийное производство М-27 остановили (24977).</w:t>
      </w:r>
    </w:p>
    <w:p w14:paraId="509F6ECF" w14:textId="77777777" w:rsidR="00AE1636" w:rsidRPr="00142305" w:rsidRDefault="00AE1636" w:rsidP="00AE1636">
      <w:pPr>
        <w:spacing w:after="0" w:line="240" w:lineRule="auto"/>
        <w:jc w:val="both"/>
        <w:rPr>
          <w:rFonts w:ascii="Times New Roman" w:hAnsi="Times New Roman"/>
          <w:color w:val="0070C0"/>
          <w:sz w:val="16"/>
          <w:szCs w:val="16"/>
        </w:rPr>
      </w:pPr>
    </w:p>
    <w:p w14:paraId="2E5187B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 1931 г. в ИАМ велась проработка коловратного дви</w:t>
      </w:r>
      <w:r w:rsidRPr="005E779E">
        <w:rPr>
          <w:rFonts w:ascii="Times New Roman" w:hAnsi="Times New Roman"/>
          <w:color w:val="000000" w:themeColor="text1"/>
          <w:sz w:val="16"/>
          <w:szCs w:val="16"/>
        </w:rPr>
        <w:softHyphen/>
        <w:t>гателя, автором которой являлся М.С. Курневич. Но дальше рас</w:t>
      </w:r>
      <w:r w:rsidRPr="005E779E">
        <w:rPr>
          <w:rFonts w:ascii="Times New Roman" w:hAnsi="Times New Roman"/>
          <w:color w:val="000000" w:themeColor="text1"/>
          <w:sz w:val="16"/>
          <w:szCs w:val="16"/>
        </w:rPr>
        <w:softHyphen/>
        <w:t>четов и чертежей в обоих случаях не ушли. Неоднократно возникали идеи о создании мотора коловратной схемы. В середине 20-х годов УВВС был предложен проект коловратного дви</w:t>
      </w:r>
      <w:r w:rsidRPr="005E779E">
        <w:rPr>
          <w:rFonts w:ascii="Times New Roman" w:hAnsi="Times New Roman"/>
          <w:color w:val="000000" w:themeColor="text1"/>
          <w:sz w:val="16"/>
          <w:szCs w:val="16"/>
        </w:rPr>
        <w:softHyphen/>
        <w:t>гателя Прохорова (11852).</w:t>
      </w:r>
    </w:p>
    <w:p w14:paraId="08CFB28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155D5A" w14:textId="77777777" w:rsidR="006427C9" w:rsidRPr="005E779E" w:rsidRDefault="006427C9" w:rsidP="000B7A6C">
      <w:pPr>
        <w:spacing w:after="0" w:line="240" w:lineRule="auto"/>
        <w:jc w:val="both"/>
        <w:rPr>
          <w:rFonts w:ascii="Times New Roman" w:hAnsi="Times New Roman"/>
          <w:color w:val="000000" w:themeColor="text1"/>
          <w:sz w:val="16"/>
          <w:szCs w:val="16"/>
          <w:lang w:eastAsia="ru-RU" w:bidi="ru-RU"/>
        </w:rPr>
      </w:pPr>
      <w:r w:rsidRPr="005E779E">
        <w:rPr>
          <w:rFonts w:ascii="Times New Roman" w:hAnsi="Times New Roman"/>
          <w:color w:val="000000" w:themeColor="text1"/>
          <w:sz w:val="16"/>
          <w:szCs w:val="16"/>
          <w:lang w:eastAsia="ru-RU" w:bidi="ru-RU"/>
        </w:rPr>
        <w:t>В январе 1931 г. начал строиться завод № 16 в Воронеже. По первоначальным планам этот завод предполагалось использовать для ремонта самолетов и моторов. К осени этого года завод находился в той стадии строи</w:t>
      </w:r>
      <w:r w:rsidRPr="005E779E">
        <w:rPr>
          <w:rFonts w:ascii="Times New Roman" w:hAnsi="Times New Roman"/>
          <w:color w:val="000000" w:themeColor="text1"/>
          <w:sz w:val="16"/>
          <w:szCs w:val="16"/>
          <w:lang w:eastAsia="ru-RU" w:bidi="ru-RU"/>
        </w:rPr>
        <w:softHyphen/>
        <w:t>тельства, когда еще имелась возможность «довернуть» его под самолетостроитель</w:t>
      </w:r>
      <w:r w:rsidRPr="005E779E">
        <w:rPr>
          <w:rFonts w:ascii="Times New Roman" w:hAnsi="Times New Roman"/>
          <w:color w:val="000000" w:themeColor="text1"/>
          <w:sz w:val="16"/>
          <w:szCs w:val="16"/>
          <w:lang w:eastAsia="ru-RU" w:bidi="ru-RU"/>
        </w:rPr>
        <w:softHyphen/>
        <w:t>ный профиль. В этой связи по распоряже</w:t>
      </w:r>
      <w:r w:rsidRPr="005E779E">
        <w:rPr>
          <w:rFonts w:ascii="Times New Roman" w:hAnsi="Times New Roman"/>
          <w:color w:val="000000" w:themeColor="text1"/>
          <w:sz w:val="16"/>
          <w:szCs w:val="16"/>
          <w:lang w:eastAsia="ru-RU" w:bidi="ru-RU"/>
        </w:rPr>
        <w:softHyphen/>
        <w:t>нию ВАО уже с конца ноября 1931 г. раз</w:t>
      </w:r>
      <w:r w:rsidRPr="005E779E">
        <w:rPr>
          <w:rFonts w:ascii="Times New Roman" w:hAnsi="Times New Roman"/>
          <w:color w:val="000000" w:themeColor="text1"/>
          <w:sz w:val="16"/>
          <w:szCs w:val="16"/>
          <w:lang w:eastAsia="ru-RU" w:bidi="ru-RU"/>
        </w:rPr>
        <w:softHyphen/>
        <w:t>вернулись работы по перепроектированию завода №16 под выпуск самолетов с годо</w:t>
      </w:r>
      <w:r w:rsidRPr="005E779E">
        <w:rPr>
          <w:rFonts w:ascii="Times New Roman" w:hAnsi="Times New Roman"/>
          <w:color w:val="000000" w:themeColor="text1"/>
          <w:sz w:val="16"/>
          <w:szCs w:val="16"/>
          <w:lang w:eastAsia="ru-RU" w:bidi="ru-RU"/>
        </w:rPr>
        <w:softHyphen/>
        <w:t>вой производственной мощностью в 1600 легких штурмовиков типа ЛШ-4 и 200 тя</w:t>
      </w:r>
      <w:r w:rsidRPr="005E779E">
        <w:rPr>
          <w:rFonts w:ascii="Times New Roman" w:hAnsi="Times New Roman"/>
          <w:color w:val="000000" w:themeColor="text1"/>
          <w:sz w:val="16"/>
          <w:szCs w:val="16"/>
          <w:lang w:eastAsia="ru-RU" w:bidi="ru-RU"/>
        </w:rPr>
        <w:softHyphen/>
        <w:t>желых штурмовиков типа ТШ-2 и ТШ-3 (21062).</w:t>
      </w:r>
    </w:p>
    <w:p w14:paraId="37AB4A2B" w14:textId="77777777" w:rsidR="006427C9" w:rsidRPr="005E779E" w:rsidRDefault="006427C9" w:rsidP="000B7A6C">
      <w:pPr>
        <w:spacing w:after="0" w:line="240" w:lineRule="auto"/>
        <w:jc w:val="both"/>
        <w:rPr>
          <w:rFonts w:ascii="Times New Roman" w:hAnsi="Times New Roman"/>
          <w:color w:val="000000" w:themeColor="text1"/>
          <w:sz w:val="16"/>
          <w:szCs w:val="16"/>
        </w:rPr>
      </w:pPr>
    </w:p>
    <w:p w14:paraId="23017A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 1931 г. в Москве подписывается Соглашение между Военно-строительным Управлением РККА и Всесоюзным объединением авиационной промышленности о передаче для постройки завода земельного участка площадью 71 га, расположенного на территории бывшего завода «Взрыватель». Новый завод планировалось использовать для ремонта самолетов и двигателей. Первым директором назначается Степан Поликарпович Галкин. Подготовка кадров проходила на московских заводах. В октябре 1931 г. завод реконструируется под строительство самолетов, а в 1932 г. начинается выпуск серии штурмовиков ТШ-2 конструкции Кочеригина С.А.</w:t>
      </w:r>
    </w:p>
    <w:p w14:paraId="0AC571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ТШ-2 представлял собой биплан смешанной конструкции с усиленным бронированием. Его носовая часть выполнялась в виде бронекоробки, в которой размешались двигатель водяного охлаждения М-17, водо- и маслорадиаторы, бензобаки, кабины летчика и стрелка. В 1932 г. завод собрал пять самолетов ТШ-2, и еще пять находились в производстве. Однако испытания показали, что самолет обладает низкими летно-техническими данными, максимальная скорость самолета у земли не превышала 215 км/час. Поэтому дальнейшее строительство самолетов было прекращено, а завод переводился на серийное производство авиационного оборудования.</w:t>
      </w:r>
    </w:p>
    <w:p w14:paraId="53B104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Таким образом, с 1931 по 1932 гг. завод три раза менял производственные программы и основной профиль. Наконец, в феврале 1934 г. завод реконструируется под производство моторов воздушного охлаждения М-11, становится моторостроительным и остается таковым до настоящего времени (12049).</w:t>
      </w:r>
    </w:p>
    <w:p w14:paraId="490801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337A7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 1931 в Москве начались переговоры с б. сотрудником Цеппелина О.Вильке, а затем в Германию на встречу с Г.Эккенером - руководителем фирмы Люфтшифтбау Цеппелин два раза выезжали представители авиапрома (1795,29).</w:t>
      </w:r>
    </w:p>
    <w:p w14:paraId="191511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9FEB22D" w14:textId="77777777" w:rsidR="00E252B8" w:rsidRPr="005E779E" w:rsidRDefault="00E252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 1931 года между военно-строительным управлением РККА и ВАО был подписан договор о передаче для постройки завода земельного участка площадью 71 га, расположенного на территории «Взрывателя». 19 апреля 1931 года по договору от 1 марта 1931 года, заключенному с военно-строительным управлением РККА, и с согласия НКО от 6 марта 1931 года завод № 16 был передан ВАО с оставлением части зданий в эксплуатации 11-й авиабригады. Первым директором назначен С. П. Галкин. По утверждению ряда исследователей, официальным днем рождения завода следует считать 10 августа 1931 года.</w:t>
      </w:r>
    </w:p>
    <w:p w14:paraId="6B0655BE" w14:textId="77777777" w:rsidR="00E252B8" w:rsidRPr="005E779E" w:rsidRDefault="00E252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управлении военно-воздушных сил страны на новый завод возлагали особые надежды, причем, с изменением его статуса (24153).</w:t>
      </w:r>
    </w:p>
    <w:p w14:paraId="6D143B5A" w14:textId="77777777" w:rsidR="00E252B8" w:rsidRPr="005E779E" w:rsidRDefault="00E252B8" w:rsidP="000B7A6C">
      <w:pPr>
        <w:spacing w:after="0" w:line="240" w:lineRule="auto"/>
        <w:jc w:val="both"/>
        <w:rPr>
          <w:rFonts w:ascii="Times New Roman" w:hAnsi="Times New Roman"/>
          <w:color w:val="000000" w:themeColor="text1"/>
          <w:sz w:val="16"/>
          <w:szCs w:val="16"/>
        </w:rPr>
      </w:pPr>
    </w:p>
    <w:p w14:paraId="4B4D6570" w14:textId="77777777" w:rsidR="0064217F" w:rsidRPr="005E779E" w:rsidRDefault="006421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 1931 г., когда Москву посетил бывший сотрудник Цеп</w:t>
      </w:r>
      <w:r w:rsidRPr="005E779E">
        <w:rPr>
          <w:rFonts w:ascii="Times New Roman" w:hAnsi="Times New Roman"/>
          <w:color w:val="000000" w:themeColor="text1"/>
          <w:sz w:val="16"/>
          <w:szCs w:val="16"/>
        </w:rPr>
        <w:softHyphen/>
        <w:t>пелина О. Вильке, переговоры продолжились. Для встречи с Г. Эккенером в Германию дважды выезжали начальник ВО ГВФ А.З. Гольцман и заместитель начальника «Дири</w:t>
      </w:r>
      <w:r w:rsidRPr="005E779E">
        <w:rPr>
          <w:rFonts w:ascii="Times New Roman" w:hAnsi="Times New Roman"/>
          <w:color w:val="000000" w:themeColor="text1"/>
          <w:sz w:val="16"/>
          <w:szCs w:val="16"/>
        </w:rPr>
        <w:softHyphen/>
        <w:t>жаблестроя» А.Н. Флаксерман (20120).</w:t>
      </w:r>
    </w:p>
    <w:p w14:paraId="73396428" w14:textId="77777777" w:rsidR="0064217F" w:rsidRPr="005E779E" w:rsidRDefault="0064217F" w:rsidP="000B7A6C">
      <w:pPr>
        <w:spacing w:after="0" w:line="240" w:lineRule="auto"/>
        <w:jc w:val="both"/>
        <w:rPr>
          <w:rFonts w:ascii="Times New Roman" w:hAnsi="Times New Roman"/>
          <w:color w:val="000000" w:themeColor="text1"/>
          <w:sz w:val="16"/>
          <w:szCs w:val="16"/>
        </w:rPr>
      </w:pPr>
    </w:p>
    <w:p w14:paraId="585ECF1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 1931 г. в Москву прибыл бывший сотрудник Цеп</w:t>
      </w:r>
      <w:r w:rsidRPr="005E779E">
        <w:rPr>
          <w:rFonts w:ascii="Times New Roman" w:hAnsi="Times New Roman"/>
          <w:color w:val="000000" w:themeColor="text1"/>
          <w:sz w:val="16"/>
          <w:szCs w:val="16"/>
        </w:rPr>
        <w:softHyphen/>
        <w:t>пелина О.Вильке, с которым начались переговоры о научно-технической помощи в области дирижаблестроения (10670,143).</w:t>
      </w:r>
    </w:p>
    <w:p w14:paraId="483AFB6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CB36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 1931 вышло постановление СНК, которым строительство и оборудование новых объектов ГВФ отнесли к группе внеочередных и важнейших (333,39).</w:t>
      </w:r>
    </w:p>
    <w:p w14:paraId="23EFBF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F90B2E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 1931 О.К.А. направляют в Москву для организации Центрального бюро планерных конструкций Осоавиахима (7483, 7).</w:t>
      </w:r>
    </w:p>
    <w:p w14:paraId="2D2C727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5C1002"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января 1931 года Антонов по приглашению Ильюшина переехал в Москву и возглавил Центральное бюро планерных конструкций. Здесь он на базе «Стандарта» создал «Учебный стандарт» (УС-1). Его модификация УС-2 строилась серийно. В Москве Олег Константинович пробыл недолго и в сентябре того же года перебрался в Коктебель, где возглавил техническую часть Высшей летно-планерной школы (ВЛПШ) (25092).</w:t>
      </w:r>
    </w:p>
    <w:p w14:paraId="21DF0747" w14:textId="77777777" w:rsidR="00AE1636" w:rsidRPr="00142305" w:rsidRDefault="00AE1636" w:rsidP="00AE1636">
      <w:pPr>
        <w:spacing w:after="0" w:line="240" w:lineRule="auto"/>
        <w:jc w:val="both"/>
        <w:rPr>
          <w:rFonts w:ascii="Times New Roman" w:hAnsi="Times New Roman"/>
          <w:color w:val="0070C0"/>
          <w:sz w:val="16"/>
          <w:szCs w:val="16"/>
        </w:rPr>
      </w:pPr>
    </w:p>
    <w:p w14:paraId="1D2FB5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января 1931 И.С.Уншлихт стал председателем Совета Осоавиахима (117,6).</w:t>
      </w:r>
    </w:p>
    <w:p w14:paraId="4A60C4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D5CDE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января 1931-го С.Н.Анохин работал в Высшей лётно-планерной школе (ВЛПШ) в Коктебеле (5996).</w:t>
      </w:r>
    </w:p>
    <w:p w14:paraId="6EDAFC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21527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 1931 командарм Уборевич внес предложение изготавливать ПБМ и ЗАМ и Майзеля на заводе № 39. При этом завод занимался бы только сборкой из деталей, изготовленных на других предприятиях (8908,36).</w:t>
      </w:r>
    </w:p>
    <w:p w14:paraId="60A65A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ECC16BD" w14:textId="77777777" w:rsidR="0064217F" w:rsidRPr="005E779E" w:rsidRDefault="006421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 1931 в Советском Союзе начинается строительство ленинградского аэропорта Шоссейная (будущего аэропорта Пулково) (20804).</w:t>
      </w:r>
    </w:p>
    <w:p w14:paraId="569149E5" w14:textId="77777777" w:rsidR="0064217F" w:rsidRPr="005E779E" w:rsidRDefault="0064217F" w:rsidP="000B7A6C">
      <w:pPr>
        <w:spacing w:after="0" w:line="240" w:lineRule="auto"/>
        <w:jc w:val="both"/>
        <w:rPr>
          <w:rFonts w:ascii="Times New Roman" w:hAnsi="Times New Roman"/>
          <w:color w:val="000000" w:themeColor="text1"/>
          <w:sz w:val="16"/>
          <w:szCs w:val="16"/>
        </w:rPr>
      </w:pPr>
    </w:p>
    <w:p w14:paraId="4C6F876A" w14:textId="77777777" w:rsidR="0064217F" w:rsidRPr="005E779E" w:rsidRDefault="006421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 1931 г. на основе КБ БОСЭД'а (Ле</w:t>
      </w:r>
      <w:r w:rsidRPr="005E779E">
        <w:rPr>
          <w:rFonts w:ascii="Times New Roman" w:hAnsi="Times New Roman"/>
          <w:color w:val="000000" w:themeColor="text1"/>
          <w:sz w:val="16"/>
          <w:szCs w:val="16"/>
        </w:rPr>
        <w:softHyphen/>
        <w:t>нинград) и Управления БОСЭД'а (Москва) в Ле</w:t>
      </w:r>
      <w:r w:rsidRPr="005E779E">
        <w:rPr>
          <w:rFonts w:ascii="Times New Roman" w:hAnsi="Times New Roman"/>
          <w:color w:val="000000" w:themeColor="text1"/>
          <w:sz w:val="16"/>
          <w:szCs w:val="16"/>
        </w:rPr>
        <w:softHyphen/>
        <w:t>нинграде организовали Научно-исследователь</w:t>
      </w:r>
      <w:r w:rsidRPr="005E779E">
        <w:rPr>
          <w:rFonts w:ascii="Times New Roman" w:hAnsi="Times New Roman"/>
          <w:color w:val="000000" w:themeColor="text1"/>
          <w:sz w:val="16"/>
          <w:szCs w:val="16"/>
        </w:rPr>
        <w:softHyphen/>
        <w:t>ский институт по строительству и эксплуатации дирижаблей (НИИ СЭД). Директором института назначили Г.В. Тарапкина, главным конструк</w:t>
      </w:r>
      <w:r w:rsidRPr="005E779E">
        <w:rPr>
          <w:rFonts w:ascii="Times New Roman" w:hAnsi="Times New Roman"/>
          <w:color w:val="000000" w:themeColor="text1"/>
          <w:sz w:val="16"/>
          <w:szCs w:val="16"/>
        </w:rPr>
        <w:softHyphen/>
        <w:t>тором — А.Г. Воробьёва. Там вели работы по проектированию дирижаблей, включавшие раз</w:t>
      </w:r>
      <w:r w:rsidRPr="005E779E">
        <w:rPr>
          <w:rFonts w:ascii="Times New Roman" w:hAnsi="Times New Roman"/>
          <w:color w:val="000000" w:themeColor="text1"/>
          <w:sz w:val="16"/>
          <w:szCs w:val="16"/>
        </w:rPr>
        <w:softHyphen/>
        <w:t>работку методов раскроя оболочек, расчёты по определению форм поперечных сечений, дефор</w:t>
      </w:r>
      <w:r w:rsidRPr="005E779E">
        <w:rPr>
          <w:rFonts w:ascii="Times New Roman" w:hAnsi="Times New Roman"/>
          <w:color w:val="000000" w:themeColor="text1"/>
          <w:sz w:val="16"/>
          <w:szCs w:val="16"/>
        </w:rPr>
        <w:softHyphen/>
        <w:t>мации корпуса, конструирование и расчёт киля, гондол, оперения и клапанов (20120).</w:t>
      </w:r>
    </w:p>
    <w:p w14:paraId="6DAADCEC" w14:textId="77777777" w:rsidR="0064217F" w:rsidRPr="005E779E" w:rsidRDefault="0064217F" w:rsidP="000B7A6C">
      <w:pPr>
        <w:spacing w:after="0" w:line="240" w:lineRule="auto"/>
        <w:jc w:val="both"/>
        <w:rPr>
          <w:rFonts w:ascii="Times New Roman" w:hAnsi="Times New Roman"/>
          <w:color w:val="000000" w:themeColor="text1"/>
          <w:sz w:val="16"/>
          <w:szCs w:val="16"/>
        </w:rPr>
      </w:pPr>
    </w:p>
    <w:p w14:paraId="68EF2E5F"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3AD2DD96"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C660E5F" w14:textId="77777777" w:rsidR="0064217F" w:rsidRPr="005E779E" w:rsidRDefault="006421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 1931 г. инженерами группы «Д» были проведены 6 стрельб из 81-мм трофейного миномета Стокса, по результатам которых Н. А. Доровлевым в рапорте, направленном в НТК АУ, указывалось на нецелесообразность принятия его на вооружение РККА в том виде, каким он был. Выявленные недостатки (отсутствие подъемного и поворотного механизмов, прицельного приспособления, недостаточное качество мин и наличие капсюля недостаточной чувствительности) он планировал устранить в конструкции разрабатываемого группой гладкоствольного батальонного 76-мм миномета.184 (20074)</w:t>
      </w:r>
    </w:p>
    <w:p w14:paraId="7242417A" w14:textId="77777777" w:rsidR="0064217F" w:rsidRPr="005E779E" w:rsidRDefault="0064217F" w:rsidP="000B7A6C">
      <w:pPr>
        <w:spacing w:after="0" w:line="240" w:lineRule="auto"/>
        <w:jc w:val="both"/>
        <w:rPr>
          <w:rFonts w:ascii="Times New Roman" w:hAnsi="Times New Roman"/>
          <w:color w:val="000000" w:themeColor="text1"/>
          <w:sz w:val="16"/>
          <w:szCs w:val="16"/>
        </w:rPr>
      </w:pPr>
    </w:p>
    <w:p w14:paraId="468B8C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 1931 года 76,2-мм батальонная мортира КБ НТК Ау. Вариант I была отправлена на завод "Красный Путиловец" (3861).</w:t>
      </w:r>
    </w:p>
    <w:p w14:paraId="729E94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8AF97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 1931 г. чертежи 57 мм танковой пушки П.Сячинтова были переданы на артиллерийский завод в Подлипках для изготовления опытного образца. Но до лета работы по изготовлению орудия начаты не были, а в сентябре 1931 г. заказ по непонятной причине был отменен (6208, 42).</w:t>
      </w:r>
    </w:p>
    <w:p w14:paraId="1366D9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BA718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 1931 была сформулирована пересмотренная танковая программа военного времени, в основу которой легло ноябрьское решение ПБ, предусматривающее достижение уровня мощностей военного времени к весне 1932 (9089,152).</w:t>
      </w:r>
    </w:p>
    <w:p w14:paraId="046594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7F8B3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 1931 прошли сравнительные испытания Т-20 и Т-В-26 и приняли Т-26, а вместо Т-20 стали выпускать модернизированные Т-18 (9527,87).</w:t>
      </w:r>
    </w:p>
    <w:p w14:paraId="2B0E3D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C4C31AB" w14:textId="77777777" w:rsidR="001522BB" w:rsidRPr="005E779E" w:rsidRDefault="001522B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 1931 г. задание на производство Т-24 с ЧТЗ, на котором помимо ХПЗ планировалось развернуть производство танка Т-24, было снято (12303).</w:t>
      </w:r>
    </w:p>
    <w:p w14:paraId="721A51AC" w14:textId="77777777" w:rsidR="001522BB" w:rsidRPr="005E779E" w:rsidRDefault="001522BB" w:rsidP="000B7A6C">
      <w:pPr>
        <w:spacing w:after="0" w:line="240" w:lineRule="auto"/>
        <w:jc w:val="both"/>
        <w:rPr>
          <w:rFonts w:ascii="Times New Roman" w:hAnsi="Times New Roman"/>
          <w:color w:val="000000" w:themeColor="text1"/>
          <w:sz w:val="16"/>
          <w:szCs w:val="16"/>
        </w:rPr>
      </w:pPr>
    </w:p>
    <w:p w14:paraId="667BDC1B" w14:textId="77777777" w:rsidR="0064217F" w:rsidRPr="005E779E" w:rsidRDefault="0064217F"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В январе 1931 года С.А, Гинзбург предлагал "скрестить" Т-26 и Т-19. От 26-го предлагалось взять ходовую часть и трансмиссию. Впрочем, долго эта идея не прожила, хотя идея смены английского мотора витала чуть ли не всё время производства танка (20740).</w:t>
      </w:r>
    </w:p>
    <w:p w14:paraId="38B7D2EC" w14:textId="77777777" w:rsidR="0064217F" w:rsidRPr="005E779E" w:rsidRDefault="0064217F"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F237CC6" w14:textId="77777777" w:rsidR="0064217F" w:rsidRPr="005E779E" w:rsidRDefault="0064217F" w:rsidP="000B7A6C">
      <w:pPr>
        <w:pStyle w:val="article-renderblock"/>
        <w:shd w:val="clear" w:color="auto" w:fill="FFFFFF"/>
        <w:spacing w:before="0" w:beforeAutospacing="0" w:after="0" w:afterAutospacing="0"/>
        <w:jc w:val="both"/>
        <w:rPr>
          <w:color w:val="000000" w:themeColor="text1"/>
          <w:sz w:val="16"/>
          <w:szCs w:val="16"/>
        </w:rPr>
      </w:pPr>
      <w:r w:rsidRPr="005E779E">
        <w:rPr>
          <w:color w:val="000000" w:themeColor="text1"/>
          <w:sz w:val="16"/>
          <w:szCs w:val="16"/>
        </w:rPr>
        <w:t>В январе 1931 года всё сложилось против Т-19. Дело в том, что выпуск данного танка предполагался еще и на СТЗ (20842).</w:t>
      </w:r>
    </w:p>
    <w:p w14:paraId="0F76BE5B" w14:textId="77777777" w:rsidR="0064217F" w:rsidRPr="005E779E" w:rsidRDefault="0064217F" w:rsidP="000B7A6C">
      <w:pPr>
        <w:pStyle w:val="article-renderblock"/>
        <w:shd w:val="clear" w:color="auto" w:fill="FFFFFF"/>
        <w:spacing w:before="0" w:beforeAutospacing="0" w:after="0" w:afterAutospacing="0"/>
        <w:jc w:val="both"/>
        <w:rPr>
          <w:color w:val="000000" w:themeColor="text1"/>
          <w:sz w:val="16"/>
          <w:szCs w:val="16"/>
        </w:rPr>
      </w:pPr>
    </w:p>
    <w:p w14:paraId="77E663DB"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январе 1931 года, благодаря высвобождению ресурсов от танковой программы, на ХПЗ был собран второй прототип армейского трактора Коминтерн-90 уже с полноценной кабиной от грузовика АМО (до этого они не имели вообще кабины). В 1931 году наряду с испытаниями новых тракторов также проводилась модернизация завода, которая в перспективе должна была позволить производить 600 тракторов в год (это все равно меньше РеИ выпуска танков в 2 раза). После войсковых испытаний 1931 года с января 1932 года на ХПЗ началось разворачивание выпуска нового Тягача «Коминтерн» к концу года удалось собрать порядка 200 машин, но уже в 1933 году завод вышел на плановые показатели (25520).</w:t>
      </w:r>
    </w:p>
    <w:p w14:paraId="5C91BDE5" w14:textId="77777777" w:rsidR="00AE1636" w:rsidRPr="00142305" w:rsidRDefault="00AE1636" w:rsidP="00AE1636">
      <w:pPr>
        <w:spacing w:after="0" w:line="240" w:lineRule="auto"/>
        <w:jc w:val="both"/>
        <w:rPr>
          <w:rFonts w:ascii="Times New Roman" w:hAnsi="Times New Roman"/>
          <w:color w:val="0070C0"/>
          <w:sz w:val="16"/>
          <w:szCs w:val="16"/>
        </w:rPr>
      </w:pPr>
    </w:p>
    <w:p w14:paraId="76BC2A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 1931 на факультете ММ ВТА им. Дзержинского под руководством Вершинана был разработан танк ТММ-2 - версия Виккерс (9527,90).</w:t>
      </w:r>
    </w:p>
    <w:p w14:paraId="2BB908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4867B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 1931 на Ижорском заводе был изготовлен опытный образец танка ОКиИБ УММ РККА Н.И.Дыренкова. Не прошел заводские испытания и был разобран и использовался для изготовления Д-5 (9527,119).</w:t>
      </w:r>
    </w:p>
    <w:p w14:paraId="6636CF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FB2687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 1931 г. опытный образец Т-27 ОКМО был уже практически готов. Он отличался от прото</w:t>
      </w:r>
      <w:r w:rsidRPr="005E779E">
        <w:rPr>
          <w:rFonts w:ascii="Times New Roman" w:hAnsi="Times New Roman"/>
          <w:color w:val="000000" w:themeColor="text1"/>
          <w:sz w:val="16"/>
          <w:szCs w:val="16"/>
        </w:rPr>
        <w:softHyphen/>
        <w:t>типов новым моторно-силовым агрегатом, выполненным на основе двигателя ГАЗ-АА, увеличенной емкостью топ</w:t>
      </w:r>
      <w:r w:rsidRPr="005E779E">
        <w:rPr>
          <w:rFonts w:ascii="Times New Roman" w:hAnsi="Times New Roman"/>
          <w:color w:val="000000" w:themeColor="text1"/>
          <w:sz w:val="16"/>
          <w:szCs w:val="16"/>
        </w:rPr>
        <w:softHyphen/>
        <w:t>ливного бака, немного увеличенными габаритами и более толстой броней (10733,144).</w:t>
      </w:r>
    </w:p>
    <w:p w14:paraId="5A5E53E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C69BDD" w14:textId="77777777" w:rsidR="00045E46" w:rsidRPr="005E779E" w:rsidRDefault="00045E4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 1931 г. изготовили Опытный образец Т-27, а 13 февраля 1931 г. танкетку ещё до завершения государственных испытании приняли на вооружение. Корпус машины собирался из катаных броневых листов толщиной 6-10 мм. Двигатель четырёхтактный четырёхцилиндровый «Форд-АА» («ГАЗ-АА») (15132).</w:t>
      </w:r>
    </w:p>
    <w:p w14:paraId="31565549" w14:textId="77777777" w:rsidR="00045E46" w:rsidRPr="005E779E" w:rsidRDefault="00045E46" w:rsidP="000B7A6C">
      <w:pPr>
        <w:spacing w:after="0" w:line="240" w:lineRule="auto"/>
        <w:jc w:val="both"/>
        <w:rPr>
          <w:rFonts w:ascii="Times New Roman" w:hAnsi="Times New Roman"/>
          <w:color w:val="000000" w:themeColor="text1"/>
          <w:sz w:val="16"/>
          <w:szCs w:val="16"/>
        </w:rPr>
      </w:pPr>
    </w:p>
    <w:p w14:paraId="5812AFDA" w14:textId="77777777" w:rsidR="0037523F" w:rsidRPr="005E779E" w:rsidRDefault="0037523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январе 1931 г. был изготовлен апытный образец Т-27, а 13 февраля 1931 г. она, еще до завершения государственных испытаний, была принята на вооружение. Корпус машины собирался из катаных броневых листов толщиной 6–10 мм. Двигатель четырехтактный, четырехцилиндровый «Форд-АА» («ГАЗ-АА»). Первые 45 машин «Большевик» изготовил в 1931 г., после чего производство было передано автомобильным заводам. Всего было выпущено 3295 танкеток. В основном они использовались как учебные машины. Был даже выпущен учебный фильм «Танкетка» для пропаганды нового оружия среди молодежи. В 1929–31 гг. работы по созданию тяжелого танка ограничились теоретической проработкой вопроса. В 1929 г. УММ РККА выдало ТТТ на разработку тяжелого танка массой 60 т с броней 30–50 мм, максимальной скоростью 20–25 км/час и вооружением из двух 76,2-мм пушек, одной 37-мм пушки и шести пулеметов. В соответствии с этими требованиями ОКМО «Большевика» в 1930–31 гг. разработало проект тяжелого танка Т-30. В 1932 г. изготовили деревянную модель танка. На танк предполагалось установить авиационный карбюраторный двигатель АМ6 мощностью 750 л.с., при этом его расчетная скорость должна была составить 30 км/час. Конструкцию танка посчитали чрезвычайно сложной и дальнейшие работы над ним были прекращены (18975). </w:t>
      </w:r>
    </w:p>
    <w:p w14:paraId="5FF13255" w14:textId="77777777" w:rsidR="0037523F" w:rsidRPr="005E779E" w:rsidRDefault="0037523F" w:rsidP="000B7A6C">
      <w:pPr>
        <w:spacing w:after="0" w:line="240" w:lineRule="auto"/>
        <w:jc w:val="both"/>
        <w:rPr>
          <w:rFonts w:ascii="Times New Roman" w:hAnsi="Times New Roman"/>
          <w:color w:val="000000" w:themeColor="text1"/>
          <w:sz w:val="16"/>
          <w:szCs w:val="16"/>
        </w:rPr>
      </w:pPr>
    </w:p>
    <w:p w14:paraId="4324D5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 1931 на Ижорском заводе закончилось изготовление трех опытных образцов бронированных автомобилей на базе Форда-А - Форда-А с броней или колесных танкеток, которое велось с сентября 1930 и было задержано из-за загруженности завода текущими заказами УММ и нехватки кадров (3947,14).</w:t>
      </w:r>
    </w:p>
    <w:p w14:paraId="772140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1B6B2F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 1931 го</w:t>
      </w:r>
      <w:r w:rsidRPr="005E779E">
        <w:rPr>
          <w:rFonts w:ascii="Times New Roman" w:hAnsi="Times New Roman"/>
          <w:color w:val="000000" w:themeColor="text1"/>
          <w:sz w:val="16"/>
          <w:szCs w:val="16"/>
        </w:rPr>
        <w:softHyphen/>
        <w:t>да прошли кратковременные испытания колесных танкеток, изготовленных на Ижорском заводе и на Экспери</w:t>
      </w:r>
      <w:r w:rsidRPr="005E779E">
        <w:rPr>
          <w:rFonts w:ascii="Times New Roman" w:hAnsi="Times New Roman"/>
          <w:color w:val="000000" w:themeColor="text1"/>
          <w:sz w:val="16"/>
          <w:szCs w:val="16"/>
        </w:rPr>
        <w:softHyphen/>
        <w:t>ментальном заводе НКПС и обе машины предъявили заказчику — представителям управления механизации и моторизации. Учитывая отсут</w:t>
      </w:r>
      <w:r w:rsidRPr="005E779E">
        <w:rPr>
          <w:rFonts w:ascii="Times New Roman" w:hAnsi="Times New Roman"/>
          <w:color w:val="000000" w:themeColor="text1"/>
          <w:sz w:val="16"/>
          <w:szCs w:val="16"/>
        </w:rPr>
        <w:softHyphen/>
        <w:t>ствие машин подобного класса в Красной Армии, руко</w:t>
      </w:r>
      <w:r w:rsidRPr="005E779E">
        <w:rPr>
          <w:rFonts w:ascii="Times New Roman" w:hAnsi="Times New Roman"/>
          <w:color w:val="000000" w:themeColor="text1"/>
          <w:sz w:val="16"/>
          <w:szCs w:val="16"/>
        </w:rPr>
        <w:softHyphen/>
        <w:t>водство УММ РККА возбудило вопрос о принятии «ко</w:t>
      </w:r>
      <w:r w:rsidRPr="005E779E">
        <w:rPr>
          <w:rFonts w:ascii="Times New Roman" w:hAnsi="Times New Roman"/>
          <w:color w:val="000000" w:themeColor="text1"/>
          <w:sz w:val="16"/>
          <w:szCs w:val="16"/>
        </w:rPr>
        <w:softHyphen/>
        <w:t>лесных танкеток» на вооружение в качестве машин для разведки и связи. Однако к этому времени на Экспери</w:t>
      </w:r>
      <w:r w:rsidRPr="005E779E">
        <w:rPr>
          <w:rFonts w:ascii="Times New Roman" w:hAnsi="Times New Roman"/>
          <w:color w:val="000000" w:themeColor="text1"/>
          <w:sz w:val="16"/>
          <w:szCs w:val="16"/>
        </w:rPr>
        <w:softHyphen/>
        <w:t>ментальном заводе НКПС по проекту Н. Дыренкова изго</w:t>
      </w:r>
      <w:r w:rsidRPr="005E779E">
        <w:rPr>
          <w:rFonts w:ascii="Times New Roman" w:hAnsi="Times New Roman"/>
          <w:color w:val="000000" w:themeColor="text1"/>
          <w:sz w:val="16"/>
          <w:szCs w:val="16"/>
        </w:rPr>
        <w:softHyphen/>
        <w:t>товили два полностью бронированных автомобиля на шасси «Форд-А» - Д-8 и Д-12. История появления бронеавтомобиля Д-8, изготов</w:t>
      </w:r>
      <w:r w:rsidRPr="005E779E">
        <w:rPr>
          <w:rFonts w:ascii="Times New Roman" w:hAnsi="Times New Roman"/>
          <w:color w:val="000000" w:themeColor="text1"/>
          <w:sz w:val="16"/>
          <w:szCs w:val="16"/>
        </w:rPr>
        <w:softHyphen/>
        <w:t>ленного по проекту изобретателя Николая Дыренкова, во многих отечественных публикациях носит некий элемент авантюризма — якобы машина появилась всего за одну ночь. Вот как описывает эт'о событие известный историк российского и советского автомобилестроения Лев Ми</w:t>
      </w:r>
      <w:r w:rsidRPr="005E779E">
        <w:rPr>
          <w:rFonts w:ascii="Times New Roman" w:hAnsi="Times New Roman"/>
          <w:color w:val="000000" w:themeColor="text1"/>
          <w:sz w:val="16"/>
          <w:szCs w:val="16"/>
        </w:rPr>
        <w:softHyphen/>
        <w:t>хайлович Шугуров в своей книге «Автомобили России и СССР»:</w:t>
      </w:r>
    </w:p>
    <w:p w14:paraId="68FBD7A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«Активную роль в создании новых бронеавтомобилей играл на Ижорском заводе Н.И. Дыренков. Человек с не</w:t>
      </w:r>
      <w:r w:rsidRPr="005E779E">
        <w:rPr>
          <w:rFonts w:ascii="Times New Roman" w:hAnsi="Times New Roman"/>
          <w:color w:val="000000" w:themeColor="text1"/>
          <w:sz w:val="16"/>
          <w:szCs w:val="16"/>
        </w:rPr>
        <w:softHyphen/>
        <w:t>дюжинной смекалкой он очень оперативно находил нуж</w:t>
      </w:r>
      <w:r w:rsidRPr="005E779E">
        <w:rPr>
          <w:rFonts w:ascii="Times New Roman" w:hAnsi="Times New Roman"/>
          <w:color w:val="000000" w:themeColor="text1"/>
          <w:sz w:val="16"/>
          <w:szCs w:val="16"/>
        </w:rPr>
        <w:softHyphen/>
        <w:t>ные технические решения. Так, во время визита на завод одного из заместителей наркома обороны в 1931 г., тот, про</w:t>
      </w:r>
      <w:r w:rsidRPr="005E779E">
        <w:rPr>
          <w:rFonts w:ascii="Times New Roman" w:hAnsi="Times New Roman"/>
          <w:color w:val="000000" w:themeColor="text1"/>
          <w:sz w:val="16"/>
          <w:szCs w:val="16"/>
        </w:rPr>
        <w:softHyphen/>
        <w:t>сматривая в кабинете Дыренкова американский армейский журнал «Армии Орднанс», обратил внимание хозяина ка</w:t>
      </w:r>
      <w:r w:rsidRPr="005E779E">
        <w:rPr>
          <w:rFonts w:ascii="Times New Roman" w:hAnsi="Times New Roman"/>
          <w:color w:val="000000" w:themeColor="text1"/>
          <w:sz w:val="16"/>
          <w:szCs w:val="16"/>
        </w:rPr>
        <w:softHyphen/>
        <w:t>бинета на последние модели бронеавтомобилей США. Они имели низкий силуэт и сильно наклонные броневые листы, способствующие рикошетированию пуль. Дыренков отве</w:t>
      </w:r>
      <w:r w:rsidRPr="005E779E">
        <w:rPr>
          <w:rFonts w:ascii="Times New Roman" w:hAnsi="Times New Roman"/>
          <w:color w:val="000000" w:themeColor="text1"/>
          <w:sz w:val="16"/>
          <w:szCs w:val="16"/>
        </w:rPr>
        <w:softHyphen/>
        <w:t>тил, что работа над подобной моделью у него уже идет и за</w:t>
      </w:r>
      <w:r w:rsidRPr="005E779E">
        <w:rPr>
          <w:rFonts w:ascii="Times New Roman" w:hAnsi="Times New Roman"/>
          <w:color w:val="000000" w:themeColor="text1"/>
          <w:sz w:val="16"/>
          <w:szCs w:val="16"/>
        </w:rPr>
        <w:softHyphen/>
        <w:t>втра он готов ее продемонстрировать.</w:t>
      </w:r>
    </w:p>
    <w:p w14:paraId="208C6D5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ухода гостя Дыренков распорядился снять лег</w:t>
      </w:r>
      <w:r w:rsidRPr="005E779E">
        <w:rPr>
          <w:rFonts w:ascii="Times New Roman" w:hAnsi="Times New Roman"/>
          <w:color w:val="000000" w:themeColor="text1"/>
          <w:sz w:val="16"/>
          <w:szCs w:val="16"/>
        </w:rPr>
        <w:softHyphen/>
        <w:t>ковой кузов со своего служебного автомобиля, вызвач плотника, и к вечеру на шасси уже стоял фанерный макет со следами карандаша, которым изобретательный инже</w:t>
      </w:r>
      <w:r w:rsidRPr="005E779E">
        <w:rPr>
          <w:rFonts w:ascii="Times New Roman" w:hAnsi="Times New Roman"/>
          <w:color w:val="000000" w:themeColor="text1"/>
          <w:sz w:val="16"/>
          <w:szCs w:val="16"/>
        </w:rPr>
        <w:softHyphen/>
        <w:t>нер размечал выкройки прямо по листам фанеры. Затем подогнанный по шасси макет разобрали и по импровизи</w:t>
      </w:r>
      <w:r w:rsidRPr="005E779E">
        <w:rPr>
          <w:rFonts w:ascii="Times New Roman" w:hAnsi="Times New Roman"/>
          <w:color w:val="000000" w:themeColor="text1"/>
          <w:sz w:val="16"/>
          <w:szCs w:val="16"/>
        </w:rPr>
        <w:softHyphen/>
        <w:t>рованным фанерным лекалам вырезали из бронелистов панели, собрали из них на каркасе кузов, установили на шасси.</w:t>
      </w:r>
    </w:p>
    <w:p w14:paraId="464C91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Самым трудоемким процессом оказалась сушка окра</w:t>
      </w:r>
      <w:r w:rsidRPr="005E779E">
        <w:rPr>
          <w:rFonts w:ascii="Times New Roman" w:hAnsi="Times New Roman"/>
          <w:color w:val="000000" w:themeColor="text1"/>
          <w:sz w:val="16"/>
          <w:szCs w:val="16"/>
        </w:rPr>
        <w:softHyphen/>
        <w:t>шенного масляной краской броневика посредством паяльных ламп. Но к полудню Дыренков смог представить высо</w:t>
      </w:r>
      <w:r w:rsidRPr="005E779E">
        <w:rPr>
          <w:rFonts w:ascii="Times New Roman" w:hAnsi="Times New Roman"/>
          <w:color w:val="000000" w:themeColor="text1"/>
          <w:sz w:val="16"/>
          <w:szCs w:val="16"/>
        </w:rPr>
        <w:softHyphen/>
        <w:t>кому гостю готовый для пробных стрельб корпус Д-8, смон</w:t>
      </w:r>
      <w:r w:rsidRPr="005E779E">
        <w:rPr>
          <w:rFonts w:ascii="Times New Roman" w:hAnsi="Times New Roman"/>
          <w:color w:val="000000" w:themeColor="text1"/>
          <w:sz w:val="16"/>
          <w:szCs w:val="16"/>
        </w:rPr>
        <w:softHyphen/>
        <w:t>тированный на шасси». (11284).</w:t>
      </w:r>
    </w:p>
    <w:p w14:paraId="026C55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11364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 1931 г. на заводе "Красный Октябрь" начали серийное производство мотоциклов Л-300 (Ленинградские, с двигателем рабочим объёмом 300 смз), разработанного Можаровым в Тремас на основе "Тремасс-300". На этом миссия Можарова в Ленинграде завершилась (11397).</w:t>
      </w:r>
    </w:p>
    <w:p w14:paraId="300306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F2A91D6" w14:textId="77777777" w:rsidR="0037523F" w:rsidRPr="005E779E" w:rsidRDefault="0037523F"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hAnsi="Times New Roman"/>
          <w:color w:val="000000" w:themeColor="text1"/>
          <w:sz w:val="16"/>
          <w:szCs w:val="16"/>
          <w:shd w:val="clear" w:color="auto" w:fill="FFFFFF"/>
        </w:rPr>
        <w:t>В январе 1931 начинается производство достаточно массового в свое время мотоцикла Л-300 (Ленинградский, обьем 300 см3) на заводе «Красный Октябрь», по 1939 г. (также была статья о Л-300 в Байкпосте). В июле 1931 г. на 3-м Всесоюзном пробеге советских мотоциклов сравнивали три машины Тремасс-300 с тремя Л-300. Последние оказались лучшими. Спустя год была опубликована книга П.В. Можарова «Советский мотоцикл Л-300», в которой есть такие слова:«Машина Л-300, мотоцикл легкого типа, наиболее необходимый и для государственной службы, и для индивидуального пользования в СССР. Эта модель наиболее экономична, т.к. при наименьших затратах обеспечивает наилучшие результаты…» (19148).</w:t>
      </w:r>
    </w:p>
    <w:p w14:paraId="1F29CB3C" w14:textId="77777777" w:rsidR="0037523F" w:rsidRPr="005E779E" w:rsidRDefault="0037523F" w:rsidP="000B7A6C">
      <w:pPr>
        <w:spacing w:after="0" w:line="240" w:lineRule="auto"/>
        <w:jc w:val="both"/>
        <w:rPr>
          <w:rFonts w:ascii="Times New Roman" w:eastAsia="Times New Roman" w:hAnsi="Times New Roman"/>
          <w:color w:val="000000" w:themeColor="text1"/>
          <w:sz w:val="16"/>
          <w:szCs w:val="16"/>
          <w:lang w:eastAsia="ru-RU"/>
        </w:rPr>
      </w:pPr>
    </w:p>
    <w:p w14:paraId="216686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 1931 г. фабрика «Радиодеталь», созданная в мае 1929 г. на базе мастерской по изготовлению радиодеталей в ведении губернского Совета общества друзей радио, основанной 14 июня 1927, была передана в НКПиТ и преобразована в ГС завод № 7. Производство электроакустических устройств. В 1931 г. разработан первый радиоприемник прямого усиления. В 1934 г. разработан и внедрен в производство 30-ваттный динамик, в 1935г.- рупорный уличный громкоговоритель, в 1936г. разработан и внедрен первый микрофон ДМК. Выпускались также приборы, шкалы. Далее- в ведении НКЭП.</w:t>
      </w:r>
    </w:p>
    <w:p w14:paraId="7540D8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10.1941 г. завод в течение суток был эвакуирован в Пермь на завод № 629. На новом месте начат выпуск бумажных конденсаторов для полевых телефонов.</w:t>
      </w:r>
    </w:p>
    <w:p w14:paraId="53CAD1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02.1941 г. на месте эвакуированного завода группой вернувшихся специалистов началось восстановление производства, (далее- это Тульский радиозавод).</w:t>
      </w:r>
    </w:p>
    <w:p w14:paraId="26D2D9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Численность персонала (1927г.)- 37 чел., (1929г.)- 74 чел.</w:t>
      </w:r>
      <w:r w:rsidRPr="005E779E">
        <w:rPr>
          <w:rFonts w:ascii="Times New Roman" w:hAnsi="Times New Roman"/>
          <w:color w:val="000000" w:themeColor="text1"/>
          <w:sz w:val="16"/>
          <w:szCs w:val="16"/>
          <w:vertAlign w:val="superscript"/>
        </w:rPr>
        <w:t>101</w:t>
      </w:r>
    </w:p>
    <w:p w14:paraId="01DE06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Создано:</w:t>
      </w:r>
      <w:r w:rsidRPr="005E779E">
        <w:rPr>
          <w:rFonts w:ascii="Times New Roman" w:hAnsi="Times New Roman"/>
          <w:color w:val="000000" w:themeColor="text1"/>
          <w:sz w:val="16"/>
          <w:szCs w:val="16"/>
        </w:rPr>
        <w:t xml:space="preserve"> радиоприемники: прямого усиления (1932), Т-35 (1936); динамик (1934); рупорный уличный громкоговоритель (1935); микрофоны: динамический ДМК (1936).</w:t>
      </w:r>
    </w:p>
    <w:p w14:paraId="3DBD14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Производство:</w:t>
      </w:r>
      <w:r w:rsidRPr="005E779E">
        <w:rPr>
          <w:rFonts w:ascii="Times New Roman" w:hAnsi="Times New Roman"/>
          <w:color w:val="000000" w:themeColor="text1"/>
          <w:sz w:val="16"/>
          <w:szCs w:val="16"/>
        </w:rPr>
        <w:t xml:space="preserve"> рупорный уличный громкоговоритель (1935-45); микрофоны: динамический ДМК (1936-); радиоприемники: Т-37 (1938-) (11982).</w:t>
      </w:r>
    </w:p>
    <w:p w14:paraId="19B55D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Тульский радиозавод, Тульский завод «Октава» МПСС, ОАО «Октава»</w:t>
      </w:r>
    </w:p>
    <w:p w14:paraId="5DBDDC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/300000 г. Тула ул. Каминского, 24 тел. 20-00-04, 36-01-77/</w:t>
      </w:r>
    </w:p>
    <w:p w14:paraId="57CADF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02.1941 г. на месте эвакуированного ГС завода № 7 НКЭП группой вернувшихся специалистов началось восстановление производства, и создан Тульский радиозавод. С 05.1941 г. начат выпуск миноискателей, рупорных динамиков, с 06.1941 г. - динамических микрофонов, затем - трансляционных громкоговорителей на пьезоэлементах.</w:t>
      </w:r>
    </w:p>
    <w:p w14:paraId="1CF8E0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1943г. завод- в ведении НКЭП. В 1946г. получил название Тульский завод «Октава».</w:t>
      </w:r>
    </w:p>
    <w:p w14:paraId="12BC8E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1954-56г. проведена реконструкция завода, он стал специализированным предприятием по производству электроакустики (микрофонов, динамиков, телефонов). В 1961 г. начат 2-й этап реконструкции завода, освоение выпуска измерительных приборов для акустических измерений. В 1980-е г. освоено производство электретных микрофонов.</w:t>
      </w:r>
    </w:p>
    <w:p w14:paraId="66B511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1990-е г. завод преобразован в ОАО «Октава». Освоено производство миниатюрных электроакустических преобразователей для слуховых аппаратов (одна из 4 фирм в мире).</w:t>
      </w:r>
    </w:p>
    <w:p w14:paraId="4B6BA0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решению правительства № 22-р от 9.01,2004г. и Указу Президента РФ № 1009 от 4.08.2004г. вошло в число стратегических оборонных предприятий.</w:t>
      </w:r>
    </w:p>
    <w:p w14:paraId="7B01D6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Производство (2005г.): электроакустические преобразователи (микрофоны, телефоны, гарнитуры, сейсмодатчики); освоение выпуска внутриушного слухового аппарата В-01.</w:t>
      </w:r>
    </w:p>
    <w:p w14:paraId="109407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Численность персонала (2007г.)- 1200 чел.</w:t>
      </w:r>
    </w:p>
    <w:p w14:paraId="19F477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(1941 г.-)- К.А. Глазков, (1967г.)- С.М. Шалашников, (1980-е)- М.А. Макжанов. Гендиректор (1990- е)- Г.И. Ульянов, (2007г.)- С.Н. Беляев.</w:t>
      </w:r>
    </w:p>
    <w:p w14:paraId="5296CB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Технический директор (2007г.)- В.В. Кузьменко. Коммерческий директор (2007г.)- А.В. Мосин.</w:t>
      </w:r>
    </w:p>
    <w:p w14:paraId="7DF755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инженер (1942-45г.-)- А.И. Верба.</w:t>
      </w:r>
    </w:p>
    <w:p w14:paraId="149DFB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 отдела сбыта (2007г.)- Н.Ю. Ермакова.</w:t>
      </w:r>
    </w:p>
    <w:p w14:paraId="0BD4A5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Создано:</w:t>
      </w:r>
      <w:r w:rsidRPr="005E779E">
        <w:rPr>
          <w:rFonts w:ascii="Times New Roman" w:hAnsi="Times New Roman"/>
          <w:color w:val="000000" w:themeColor="text1"/>
          <w:sz w:val="16"/>
          <w:szCs w:val="16"/>
        </w:rPr>
        <w:t xml:space="preserve"> пьезоэлектрический громкоговоритель (1943); телефон миниатюрный ТМ-2 для Кремлевского Дворца съездов (1961); микрофоны: динамические МДО-1, МД-45 (1961).</w:t>
      </w:r>
    </w:p>
    <w:p w14:paraId="77D66E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Производство:</w:t>
      </w:r>
      <w:r w:rsidRPr="005E779E">
        <w:rPr>
          <w:rFonts w:ascii="Times New Roman" w:hAnsi="Times New Roman"/>
          <w:color w:val="000000" w:themeColor="text1"/>
          <w:sz w:val="16"/>
          <w:szCs w:val="16"/>
        </w:rPr>
        <w:t xml:space="preserve"> громкоговорители: пьезоэлектрический РТР-3 (1943-), Р-10 (1944-), мощный 100-ваттный (1948-);</w:t>
      </w:r>
      <w:r w:rsidRPr="005E779E">
        <w:rPr>
          <w:rFonts w:ascii="Times New Roman" w:hAnsi="Times New Roman"/>
          <w:iCs/>
          <w:color w:val="000000" w:themeColor="text1"/>
          <w:sz w:val="16"/>
          <w:szCs w:val="16"/>
        </w:rPr>
        <w:t xml:space="preserve"> микрофоны:</w:t>
      </w:r>
      <w:r w:rsidRPr="005E779E">
        <w:rPr>
          <w:rFonts w:ascii="Times New Roman" w:hAnsi="Times New Roman"/>
          <w:color w:val="000000" w:themeColor="text1"/>
          <w:sz w:val="16"/>
          <w:szCs w:val="16"/>
        </w:rPr>
        <w:t xml:space="preserve"> угольный (1949-), СДМ (1949-), ДЭМШ, ленточные МЛ-16 (1966), -51 (1960-е), -52 (2007), - 53 (2007), -16, -19, динамические МДО-1, МД-45 (1961-), -66 (1968), -186 (2007), -200, -205 (2007), -282, -47, -64А, -78А (2007), -80М (2007), -85А (2007), -87А (2007), -380 (2007), шумостойкий МДМ, ламповые МКЛ-100 (2007), МКЛ-319А (2007), МКЛ-4000 (2007), МКЛ-5000 (2004-07-), конденсаторные МК-13 (1968), -319 (2007), -219 (1994-2007-), -220 (2007), -100, -101 (2004-), -102 (2005-), -103 (2007), -104 (2007), -105 (2007), -011 (2007), -012 (2007), конденсаторные элекгретные МКЭ-2 (2007), -3, -9, -15А (2007), -204У (2007); стереофоническая микрофонная система МДС-200; микрофонно-телефонные гарнитуры ТМГ-4, ТМГ-5, ТМГ-8 (1970-е), ГБШ (1990-е) ;</w:t>
      </w:r>
      <w:r w:rsidRPr="005E779E">
        <w:rPr>
          <w:rFonts w:ascii="Times New Roman" w:hAnsi="Times New Roman"/>
          <w:iCs/>
          <w:color w:val="000000" w:themeColor="text1"/>
          <w:sz w:val="16"/>
          <w:szCs w:val="16"/>
        </w:rPr>
        <w:t xml:space="preserve"> телефоны:</w:t>
      </w:r>
      <w:r w:rsidRPr="005E779E">
        <w:rPr>
          <w:rFonts w:ascii="Times New Roman" w:hAnsi="Times New Roman"/>
          <w:color w:val="000000" w:themeColor="text1"/>
          <w:sz w:val="16"/>
          <w:szCs w:val="16"/>
        </w:rPr>
        <w:t xml:space="preserve"> электромагнитный капсюльный (1949-), малогабаритный для аппаратуры синхронного перевода (1957-), миниатюрные ТМ-2 (1961-), ТМ-4 (1966), головные ТГ-9 (1968), ТА-56М; слуховые аппараты У-03 (1993-), У-ОЗА (2005);</w:t>
      </w:r>
      <w:r w:rsidRPr="005E779E">
        <w:rPr>
          <w:rFonts w:ascii="Times New Roman" w:hAnsi="Times New Roman"/>
          <w:color w:val="000000" w:themeColor="text1"/>
          <w:sz w:val="16"/>
          <w:szCs w:val="16"/>
          <w:vertAlign w:val="superscript"/>
        </w:rPr>
        <w:t>101</w:t>
      </w:r>
      <w:r w:rsidRPr="005E779E">
        <w:rPr>
          <w:rFonts w:ascii="Times New Roman" w:hAnsi="Times New Roman"/>
          <w:color w:val="000000" w:themeColor="text1"/>
          <w:sz w:val="16"/>
          <w:szCs w:val="16"/>
        </w:rPr>
        <w:t xml:space="preserve"> репродукторы: ТГМ-0,25 (1948-), ДГС-0,25, ПГР-3 (1951-), «Тула» (1949-); радиоприемник «Тула» (1950-); электрофон «Октава» (11982).</w:t>
      </w:r>
    </w:p>
    <w:p w14:paraId="785A74DF" w14:textId="77777777" w:rsidR="00F80904" w:rsidRPr="005E779E" w:rsidRDefault="00F80904" w:rsidP="000B7A6C">
      <w:pPr>
        <w:autoSpaceDE w:val="0"/>
        <w:autoSpaceDN w:val="0"/>
        <w:adjustRightInd w:val="0"/>
        <w:spacing w:after="0" w:line="240" w:lineRule="auto"/>
        <w:jc w:val="both"/>
        <w:rPr>
          <w:rFonts w:ascii="Times New Roman" w:hAnsi="Times New Roman"/>
          <w:color w:val="000000" w:themeColor="text1"/>
          <w:sz w:val="16"/>
          <w:szCs w:val="16"/>
        </w:rPr>
      </w:pPr>
    </w:p>
    <w:p w14:paraId="167BA27B" w14:textId="77777777" w:rsidR="0064217F" w:rsidRPr="005E779E" w:rsidRDefault="006421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w:t>
      </w:r>
      <w:r w:rsidRPr="005E779E">
        <w:rPr>
          <w:rFonts w:ascii="Times New Roman" w:hAnsi="Times New Roman"/>
          <w:color w:val="000000" w:themeColor="text1"/>
          <w:sz w:val="16"/>
          <w:szCs w:val="16"/>
        </w:rPr>
        <w:softHyphen/>
        <w:t>варе 1931 г. ЛИИ ГВФ организовал экспедицию Молчанова в Мурманск для испытания радио</w:t>
      </w:r>
      <w:r w:rsidRPr="005E779E">
        <w:rPr>
          <w:rFonts w:ascii="Times New Roman" w:hAnsi="Times New Roman"/>
          <w:color w:val="000000" w:themeColor="text1"/>
          <w:sz w:val="16"/>
          <w:szCs w:val="16"/>
        </w:rPr>
        <w:softHyphen/>
        <w:t>зондов в условиях Арктики. В июле 1931 г. радио</w:t>
      </w:r>
      <w:r w:rsidRPr="005E779E">
        <w:rPr>
          <w:rFonts w:ascii="Times New Roman" w:hAnsi="Times New Roman"/>
          <w:color w:val="000000" w:themeColor="text1"/>
          <w:sz w:val="16"/>
          <w:szCs w:val="16"/>
        </w:rPr>
        <w:softHyphen/>
        <w:t>зонды Молчанова применили во время междуна</w:t>
      </w:r>
      <w:r w:rsidRPr="005E779E">
        <w:rPr>
          <w:rFonts w:ascii="Times New Roman" w:hAnsi="Times New Roman"/>
          <w:color w:val="000000" w:themeColor="text1"/>
          <w:sz w:val="16"/>
          <w:szCs w:val="16"/>
        </w:rPr>
        <w:softHyphen/>
        <w:t>родного арктического рейса немецкого дирижа</w:t>
      </w:r>
      <w:r w:rsidRPr="005E779E">
        <w:rPr>
          <w:rFonts w:ascii="Times New Roman" w:hAnsi="Times New Roman"/>
          <w:color w:val="000000" w:themeColor="text1"/>
          <w:sz w:val="16"/>
          <w:szCs w:val="16"/>
        </w:rPr>
        <w:softHyphen/>
        <w:t>бля «Граф Цеппелин». При проведении II Меж</w:t>
      </w:r>
      <w:r w:rsidRPr="005E779E">
        <w:rPr>
          <w:rFonts w:ascii="Times New Roman" w:hAnsi="Times New Roman"/>
          <w:color w:val="000000" w:themeColor="text1"/>
          <w:sz w:val="16"/>
          <w:szCs w:val="16"/>
        </w:rPr>
        <w:softHyphen/>
        <w:t>дународного полярного года (1932-1933 гг.) оте</w:t>
      </w:r>
      <w:r w:rsidRPr="005E779E">
        <w:rPr>
          <w:rFonts w:ascii="Times New Roman" w:hAnsi="Times New Roman"/>
          <w:color w:val="000000" w:themeColor="text1"/>
          <w:sz w:val="16"/>
          <w:szCs w:val="16"/>
        </w:rPr>
        <w:softHyphen/>
        <w:t>чественные радиозонды выпускались на четырёх советских и ряде зарубежных станциях (20120).</w:t>
      </w:r>
    </w:p>
    <w:p w14:paraId="2014FB6A" w14:textId="77777777" w:rsidR="0064217F" w:rsidRPr="005E779E" w:rsidRDefault="0064217F" w:rsidP="000B7A6C">
      <w:pPr>
        <w:spacing w:after="0" w:line="240" w:lineRule="auto"/>
        <w:jc w:val="both"/>
        <w:rPr>
          <w:rFonts w:ascii="Times New Roman" w:hAnsi="Times New Roman"/>
          <w:color w:val="000000" w:themeColor="text1"/>
          <w:sz w:val="16"/>
          <w:szCs w:val="16"/>
        </w:rPr>
      </w:pPr>
    </w:p>
    <w:p w14:paraId="414294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 1931 появился первый советский промышленный синтетический каучук, но нефтяной метод Б.В.Бызова оказался хуже спиртового С.В.Лебедева (423,153).</w:t>
      </w:r>
    </w:p>
    <w:p w14:paraId="3251B9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43915D7" w14:textId="77777777" w:rsidR="00713D89" w:rsidRPr="005E779E" w:rsidRDefault="00713D8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 1931 г. разрозненные и немногочисленные цехи и заводы по производству пластических масс были наконец объединены в общесоюзный трест "Союзхимпластмасс". Создание треста укрепило организационные основы новой важной отрасли индустрии и дало толчок к ее планомерному развитию (18301).</w:t>
      </w:r>
    </w:p>
    <w:p w14:paraId="1D079892" w14:textId="77777777" w:rsidR="00713D89" w:rsidRPr="005E779E" w:rsidRDefault="00713D89" w:rsidP="000B7A6C">
      <w:pPr>
        <w:spacing w:after="0" w:line="240" w:lineRule="auto"/>
        <w:jc w:val="both"/>
        <w:rPr>
          <w:rFonts w:ascii="Times New Roman" w:hAnsi="Times New Roman"/>
          <w:color w:val="000000" w:themeColor="text1"/>
          <w:sz w:val="16"/>
          <w:szCs w:val="16"/>
        </w:rPr>
      </w:pPr>
    </w:p>
    <w:p w14:paraId="4774ED1C" w14:textId="77777777" w:rsidR="00713D89" w:rsidRPr="005E779E" w:rsidRDefault="00713D8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 1931 г.с целью получения объективно проверенных материалов для проектирования заводов синтетического каучука, ВСНХ организовал экспертную комиссию для оценки состояния работ на опытных заводах в составе П.П. Горбунова (председатель), А.Е. Фаворского, О.А. Зейде, А.П. Карцева, С.Л. Либинсона (последние двое – в качество экспертов по заводу «Литер А») и др.</w:t>
      </w:r>
    </w:p>
    <w:p w14:paraId="6BB91D5E" w14:textId="77777777" w:rsidR="00713D89" w:rsidRPr="005E779E" w:rsidRDefault="00713D8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 по заводу «Литер А» не было принято из-за недостатка материалов.</w:t>
      </w:r>
    </w:p>
    <w:p w14:paraId="37A882F4" w14:textId="77777777" w:rsidR="00713D89" w:rsidRPr="005E779E" w:rsidRDefault="00713D8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заключении по заводу «Литер Б» комиссия отметила реальную возможность получения синтетического каучука по способу С.В. Лебедева в заводском масштабе, а так же возможность замены НК синтетическим каучуком в производстве резиновых изделий.</w:t>
      </w:r>
    </w:p>
    <w:p w14:paraId="56B4A261" w14:textId="77777777" w:rsidR="00713D89" w:rsidRPr="005E779E" w:rsidRDefault="00713D8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Экспертная комиссия отметила необходимость и неотложность продолжения на опытном заводе экспериментальных работ для получения дополнительных данных для проектирования промышленных заводов (18298).</w:t>
      </w:r>
    </w:p>
    <w:p w14:paraId="6AC657F9" w14:textId="77777777" w:rsidR="00713D89" w:rsidRPr="005E779E" w:rsidRDefault="00713D89" w:rsidP="000B7A6C">
      <w:pPr>
        <w:spacing w:after="0" w:line="240" w:lineRule="auto"/>
        <w:jc w:val="both"/>
        <w:rPr>
          <w:rFonts w:ascii="Times New Roman" w:hAnsi="Times New Roman"/>
          <w:color w:val="000000" w:themeColor="text1"/>
          <w:sz w:val="16"/>
          <w:szCs w:val="16"/>
        </w:rPr>
      </w:pPr>
    </w:p>
    <w:p w14:paraId="5629EB82" w14:textId="77777777" w:rsidR="00713D89" w:rsidRPr="005E779E" w:rsidRDefault="00713D8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 1931 г. СТО принял решение о строительстве трех заводов по производству синтетического каучука по методу С.В. Лебедева. Учитывая большое значение создания в стране промышленности синтетического каучука, ВСНХ отнес строительство заводов к числу сверхударных строек.</w:t>
      </w:r>
    </w:p>
    <w:p w14:paraId="213CC467" w14:textId="77777777" w:rsidR="00713D89" w:rsidRPr="005E779E" w:rsidRDefault="00713D8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марте 1931 г. ВСНХ назначил особо уполномоченным по строительству заводов СК О.П. Осипова-Шмидта.</w:t>
      </w:r>
    </w:p>
    <w:p w14:paraId="334765A8" w14:textId="77777777" w:rsidR="00713D89" w:rsidRPr="005E779E" w:rsidRDefault="00713D8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Бюро СК при Резинообъединении было реорганизовано в Управление СК во главе с Осиповым-Шмидтом, подчиненное непосредственно Президиуму BCHX (18298).</w:t>
      </w:r>
    </w:p>
    <w:p w14:paraId="5513A763" w14:textId="77777777" w:rsidR="00713D89" w:rsidRPr="005E779E" w:rsidRDefault="00713D89" w:rsidP="000B7A6C">
      <w:pPr>
        <w:spacing w:after="0" w:line="240" w:lineRule="auto"/>
        <w:jc w:val="both"/>
        <w:rPr>
          <w:rFonts w:ascii="Times New Roman" w:hAnsi="Times New Roman"/>
          <w:color w:val="000000" w:themeColor="text1"/>
          <w:sz w:val="16"/>
          <w:szCs w:val="16"/>
        </w:rPr>
      </w:pPr>
    </w:p>
    <w:p w14:paraId="6E0954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 1931 г. началась разработка рабочих чертежей для закладки трех подводных лодок IV серии на Балтийском заводе в Ленинграде (3898).</w:t>
      </w:r>
    </w:p>
    <w:p w14:paraId="76ED8E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26E1E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 1931-го ЭПРОН была передана из органов в ведение Наркомата путей сообщения. В феврале 1930-го Захаров обратился с просьбой уволить его or чекистской работы и оставить только на ЭПРОНе. Подача рапорта имела неожиданные для Льва Николаевича последствия. 28 июня 1930 года приказом по управлению его освободили от должности руководителя Особой экспедиции.</w:t>
      </w:r>
    </w:p>
    <w:p w14:paraId="2591EF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Один из старейших сотрудников Я.М. Хорошилкин так описывал (хорошим литературным языком) ситуацию в марте 1931 года: "...Положительно все упали духом. Работа валится из рук. Все ожидают какого-то "миссию". Дела идут плохо. С ремонтом опоздание; много аварийных случаев: Э-4 сломал мачту и повредил рубку; только исправили это, как он врезался в борт Э-32; после разбил водолазный баркас. Баржа "Евстафьевская" разбилась в Стрелецкой о понтоны и едва не затонула. На судах отсутствует уголь; не на чем плавать и работать. ЭЗО не отапливается. Дисциплины совершенно нет, ходят, в чем попало. На территории хаос и бесхозяйственность. Все основные кадровики в панике. В благоприятный исход летнего оперативного сезона никто не верит... Массовая демобилизация по болезни водолазов - 10 человек сразу. Ко мне целое паломничество, приходят в институт, в столовую, на квартиру - облегчают боль, и страдание наболевшей души. Все жалеют Вас и верят в возвращение, иначе через год от ЭПРОНа ничего не останется. Разделят, раздергают по частям".</w:t>
      </w:r>
    </w:p>
    <w:p w14:paraId="6A9EBC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Еще более мрачную картину рисовало следующее письмо того же автора от 11 апреля 31-го: "Здесь творится нечто невиданное, все старые эпроновцы бегут, а новое руководство как будто бы этому и радо: мол, не страшно, сами справимся. Набирают новых "своих" людей и "справляются". Все положительно гробят. Что ни распоряжение, то головотяпство... Ежедневные жалобы, заметки в газетах, тяжба с прокуратурой и прочее. Описать всего невозможно, даже трудно это все передать, это надо видеть, чтобы сразу убедиться, что дело ведется, может быть, даже умышленно к развалу..." (11628).</w:t>
      </w:r>
    </w:p>
    <w:p w14:paraId="66BDC522" w14:textId="7536616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2439325" w14:textId="567F3FD8" w:rsidR="0064217F" w:rsidRPr="005E779E" w:rsidRDefault="0064217F" w:rsidP="000B7A6C">
      <w:pPr>
        <w:autoSpaceDE w:val="0"/>
        <w:autoSpaceDN w:val="0"/>
        <w:adjustRightInd w:val="0"/>
        <w:spacing w:after="0" w:line="240" w:lineRule="auto"/>
        <w:jc w:val="both"/>
        <w:rPr>
          <w:rFonts w:ascii="Times New Roman" w:hAnsi="Times New Roman"/>
          <w:i/>
          <w:iCs/>
          <w:color w:val="000000" w:themeColor="text1"/>
          <w:sz w:val="16"/>
          <w:szCs w:val="16"/>
        </w:rPr>
      </w:pPr>
      <w:r w:rsidRPr="005E779E">
        <w:rPr>
          <w:rFonts w:ascii="Times New Roman" w:hAnsi="Times New Roman"/>
          <w:i/>
          <w:iCs/>
          <w:color w:val="000000" w:themeColor="text1"/>
          <w:sz w:val="16"/>
          <w:szCs w:val="16"/>
        </w:rPr>
        <w:t>Армия:</w:t>
      </w:r>
    </w:p>
    <w:p w14:paraId="4387B5C2" w14:textId="77777777" w:rsidR="0064217F" w:rsidRPr="005E779E" w:rsidRDefault="0064217F" w:rsidP="000B7A6C">
      <w:pPr>
        <w:autoSpaceDE w:val="0"/>
        <w:autoSpaceDN w:val="0"/>
        <w:adjustRightInd w:val="0"/>
        <w:spacing w:after="0" w:line="240" w:lineRule="auto"/>
        <w:jc w:val="both"/>
        <w:rPr>
          <w:rFonts w:ascii="Times New Roman" w:hAnsi="Times New Roman"/>
          <w:i/>
          <w:iCs/>
          <w:color w:val="000000" w:themeColor="text1"/>
          <w:sz w:val="16"/>
          <w:szCs w:val="16"/>
        </w:rPr>
      </w:pPr>
    </w:p>
    <w:p w14:paraId="1AA60C60" w14:textId="77777777" w:rsidR="0064217F" w:rsidRPr="005E779E" w:rsidRDefault="006421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shd w:val="clear" w:color="auto" w:fill="FFFFFF"/>
        </w:rPr>
        <w:t>В январе 1931 г. РВС СССР утвердил календарный план строительства РККА на 1931 - 1933 гг. Это завершило разработку научно обоснованного плана военного строительства, положенного в основу всей работы по технической реконструкции армии (9089).</w:t>
      </w:r>
    </w:p>
    <w:p w14:paraId="6F359231" w14:textId="77777777" w:rsidR="0064217F" w:rsidRPr="005E779E" w:rsidRDefault="0064217F" w:rsidP="000B7A6C">
      <w:pPr>
        <w:spacing w:after="0" w:line="240" w:lineRule="auto"/>
        <w:jc w:val="both"/>
        <w:rPr>
          <w:rFonts w:ascii="Times New Roman" w:hAnsi="Times New Roman"/>
          <w:color w:val="000000" w:themeColor="text1"/>
          <w:sz w:val="16"/>
          <w:szCs w:val="16"/>
        </w:rPr>
      </w:pPr>
    </w:p>
    <w:p w14:paraId="45B8ECFD" w14:textId="77777777" w:rsidR="00AE1636" w:rsidRPr="00142305" w:rsidRDefault="00AE1636" w:rsidP="00AE1636">
      <w:pPr>
        <w:spacing w:after="0" w:line="240" w:lineRule="auto"/>
        <w:jc w:val="both"/>
        <w:rPr>
          <w:rFonts w:ascii="Times New Roman" w:hAnsi="Times New Roman"/>
          <w:color w:val="0070C0"/>
          <w:sz w:val="16"/>
          <w:szCs w:val="16"/>
        </w:rPr>
      </w:pPr>
      <w:bookmarkStart w:id="3" w:name="bookmark792"/>
      <w:bookmarkStart w:id="4" w:name="bookmark793"/>
      <w:bookmarkStart w:id="5" w:name="bookmark794"/>
      <w:r w:rsidRPr="00142305">
        <w:rPr>
          <w:rFonts w:ascii="Times New Roman" w:hAnsi="Times New Roman"/>
          <w:color w:val="0070C0"/>
          <w:sz w:val="16"/>
          <w:szCs w:val="16"/>
        </w:rPr>
        <w:t xml:space="preserve">В январе 1931 г. </w:t>
      </w:r>
    </w:p>
    <w:p w14:paraId="62687316"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«Рапорт Начальника Военных Воздушных сил РККА т. Баранова IX съезду Комсомола</w:t>
      </w:r>
      <w:bookmarkEnd w:id="3"/>
      <w:bookmarkEnd w:id="4"/>
      <w:bookmarkEnd w:id="5"/>
    </w:p>
    <w:p w14:paraId="5C13F047"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Партийно-комсомольская прослойка среди летного и технического соста</w:t>
      </w:r>
      <w:r w:rsidRPr="00142305">
        <w:rPr>
          <w:rFonts w:ascii="Times New Roman" w:hAnsi="Times New Roman"/>
          <w:color w:val="0070C0"/>
          <w:sz w:val="16"/>
          <w:szCs w:val="16"/>
        </w:rPr>
        <w:softHyphen/>
        <w:t>ва возросла с 37 % в 1925 году до 70 % в 1930 году; рабочая прослойка с 18 % поднялась до 40 %, в некоторых звеньях летно-технического состава эта про</w:t>
      </w:r>
      <w:r w:rsidRPr="00142305">
        <w:rPr>
          <w:rFonts w:ascii="Times New Roman" w:hAnsi="Times New Roman"/>
          <w:color w:val="0070C0"/>
          <w:sz w:val="16"/>
          <w:szCs w:val="16"/>
        </w:rPr>
        <w:softHyphen/>
        <w:t>слойка достигает 65 %. Работа школ дает все основания рассчитывать на быст</w:t>
      </w:r>
      <w:r w:rsidRPr="00142305">
        <w:rPr>
          <w:rFonts w:ascii="Times New Roman" w:hAnsi="Times New Roman"/>
          <w:color w:val="0070C0"/>
          <w:sz w:val="16"/>
          <w:szCs w:val="16"/>
        </w:rPr>
        <w:softHyphen/>
        <w:t>рый прогрессивный подъем партийно-комсомольской и рабочей прослойки, так как ныне в составе школ имеется до 90 % рабочих и до 90 % партийно</w:t>
      </w:r>
      <w:r w:rsidRPr="00142305">
        <w:rPr>
          <w:rFonts w:ascii="Times New Roman" w:hAnsi="Times New Roman"/>
          <w:color w:val="0070C0"/>
          <w:sz w:val="16"/>
          <w:szCs w:val="16"/>
        </w:rPr>
        <w:softHyphen/>
        <w:t>комсомольской прослойки. (...)</w:t>
      </w:r>
    </w:p>
    <w:p w14:paraId="03F5B31B"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Наряду с ростом и укреплением кадров Воздушного флота растет и крепнет боевая мощь Военных воздушных сил. Авиационная промышленность дает все новые и новые образцы самолетов и моторов, превосходящих по своим качествам лучшие достижения заграничной техники. Участие наших летчиков в конкурсе, организованном персидским правительством, лишний раз подчерк</w:t>
      </w:r>
      <w:r w:rsidRPr="00142305">
        <w:rPr>
          <w:rFonts w:ascii="Times New Roman" w:hAnsi="Times New Roman"/>
          <w:color w:val="0070C0"/>
          <w:sz w:val="16"/>
          <w:szCs w:val="16"/>
        </w:rPr>
        <w:softHyphen/>
        <w:t>нуло успехи нашего самолето- и моторостроения. Перелеты в Америку, Тур</w:t>
      </w:r>
      <w:r w:rsidRPr="00142305">
        <w:rPr>
          <w:rFonts w:ascii="Times New Roman" w:hAnsi="Times New Roman"/>
          <w:color w:val="0070C0"/>
          <w:sz w:val="16"/>
          <w:szCs w:val="16"/>
        </w:rPr>
        <w:softHyphen/>
        <w:t>цию, Персию, Афганистан, героическая работа Воздушного флота в составе Особой Дальневосточной армии, являются подтверждением успехов отече</w:t>
      </w:r>
      <w:r w:rsidRPr="00142305">
        <w:rPr>
          <w:rFonts w:ascii="Times New Roman" w:hAnsi="Times New Roman"/>
          <w:color w:val="0070C0"/>
          <w:sz w:val="16"/>
          <w:szCs w:val="16"/>
        </w:rPr>
        <w:softHyphen/>
        <w:t>ственного самолето- и моторостроения. Рост авиапромышленности, ее техниче</w:t>
      </w:r>
      <w:r w:rsidRPr="00142305">
        <w:rPr>
          <w:rFonts w:ascii="Times New Roman" w:hAnsi="Times New Roman"/>
          <w:color w:val="0070C0"/>
          <w:sz w:val="16"/>
          <w:szCs w:val="16"/>
        </w:rPr>
        <w:softHyphen/>
        <w:t>ский прогресс и перспективы дальнейшего развития создали возможность на этой базе развертывать мощный Гражданский воздушный флот. Растет также боевая выучка и подготовленность личного состава. Участие в перелетах, в бо</w:t>
      </w:r>
      <w:r w:rsidRPr="00142305">
        <w:rPr>
          <w:rFonts w:ascii="Times New Roman" w:hAnsi="Times New Roman"/>
          <w:color w:val="0070C0"/>
          <w:sz w:val="16"/>
          <w:szCs w:val="16"/>
        </w:rPr>
        <w:softHyphen/>
        <w:t>евых действиях в Особой Дальневосточной армии свидетельствуют не только о росте и укреплении материальной базы Военного воздушного флота, а также о значительно повысившейся подготовке личного состава. В процессе учебы уда</w:t>
      </w:r>
      <w:r w:rsidRPr="00142305">
        <w:rPr>
          <w:rFonts w:ascii="Times New Roman" w:hAnsi="Times New Roman"/>
          <w:color w:val="0070C0"/>
          <w:sz w:val="16"/>
          <w:szCs w:val="16"/>
        </w:rPr>
        <w:softHyphen/>
        <w:t>лось достигнуть теснейшей связи с сухопутными силами и морским флотом. Боевая подготовленность Военных воздушных сил, тесная связь с земными войсками обеспечивают победы нашей Рабоче-Крестьянской Красной Армии на будущих фронтах. (...) Необходимо организовать широкую тягу лучших идейно и политически выдержанных рабочих-комсомольцев и комсомольцев- колхозников в школы Военных воздушных сил. Необходимо использовать ком</w:t>
      </w:r>
      <w:r w:rsidRPr="00142305">
        <w:rPr>
          <w:rFonts w:ascii="Times New Roman" w:hAnsi="Times New Roman"/>
          <w:color w:val="0070C0"/>
          <w:sz w:val="16"/>
          <w:szCs w:val="16"/>
        </w:rPr>
        <w:softHyphen/>
        <w:t>сомольские организации в составе Военных воздушных сил в качестве рычага для поднятия боевой подготовки, дисциплины, отваги и мужества в частях Во</w:t>
      </w:r>
      <w:r w:rsidRPr="00142305">
        <w:rPr>
          <w:rFonts w:ascii="Times New Roman" w:hAnsi="Times New Roman"/>
          <w:color w:val="0070C0"/>
          <w:sz w:val="16"/>
          <w:szCs w:val="16"/>
        </w:rPr>
        <w:softHyphen/>
        <w:t>енных воздушных сил (...)» (Рапорт Начальника Военных воздушных сил РККА т. Баранова IX съезду Комсомола // Вестник воздушного флота. — 1931. - № 2. - С. 42) (24967).</w:t>
      </w:r>
    </w:p>
    <w:p w14:paraId="03E4C816" w14:textId="77777777" w:rsidR="00AE1636" w:rsidRPr="00142305" w:rsidRDefault="00AE1636" w:rsidP="00AE1636">
      <w:pPr>
        <w:spacing w:after="0" w:line="240" w:lineRule="auto"/>
        <w:jc w:val="both"/>
        <w:rPr>
          <w:rFonts w:ascii="Times New Roman" w:hAnsi="Times New Roman"/>
          <w:color w:val="0070C0"/>
          <w:sz w:val="16"/>
          <w:szCs w:val="16"/>
        </w:rPr>
      </w:pPr>
    </w:p>
    <w:p w14:paraId="7ADCAD16" w14:textId="77777777" w:rsidR="00AE1636" w:rsidRPr="00142305" w:rsidRDefault="00AE1636" w:rsidP="00AE1636">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 январе 1931 г. В. В. Хрипин «Очередные задачи в боевой подготовке ВВС»</w:t>
      </w:r>
    </w:p>
    <w:p w14:paraId="7EE90E90" w14:textId="77777777" w:rsidR="00AE1636" w:rsidRPr="00AE1636" w:rsidRDefault="00AE1636" w:rsidP="00AE1636">
      <w:pPr>
        <w:pStyle w:val="aff3"/>
        <w:spacing w:line="240" w:lineRule="auto"/>
        <w:rPr>
          <w:rFonts w:ascii="Times New Roman" w:hAnsi="Times New Roman" w:cs="Times New Roman"/>
          <w:i w:val="0"/>
          <w:iCs w:val="0"/>
          <w:color w:val="0070C0"/>
          <w:sz w:val="16"/>
          <w:szCs w:val="16"/>
          <w:lang w:val="ru-RU"/>
        </w:rPr>
      </w:pPr>
      <w:r w:rsidRPr="00AE1636">
        <w:rPr>
          <w:rFonts w:ascii="Times New Roman" w:hAnsi="Times New Roman" w:cs="Times New Roman"/>
          <w:i w:val="0"/>
          <w:iCs w:val="0"/>
          <w:color w:val="0070C0"/>
          <w:sz w:val="16"/>
          <w:szCs w:val="16"/>
          <w:lang w:val="ru-RU"/>
        </w:rPr>
        <w:t>«Вместе с ростом Военных Воздушных сил в общей системе развития и усиления РККА новыми средствами борьбы усложняются по содержанию и увеличиваются количе</w:t>
      </w:r>
      <w:r w:rsidRPr="00AE1636">
        <w:rPr>
          <w:rFonts w:ascii="Times New Roman" w:hAnsi="Times New Roman" w:cs="Times New Roman"/>
          <w:i w:val="0"/>
          <w:iCs w:val="0"/>
          <w:color w:val="0070C0"/>
          <w:sz w:val="16"/>
          <w:szCs w:val="16"/>
          <w:lang w:val="ru-RU"/>
        </w:rPr>
        <w:softHyphen/>
        <w:t xml:space="preserve">ственно задачи боевой подготовки ВВС. Это совершенно неизбежный законченный процесс. Новое оружие, применяемое в массе, изменяет содержание, </w:t>
      </w:r>
      <w:r w:rsidRPr="00AE1636">
        <w:rPr>
          <w:rFonts w:ascii="Times New Roman" w:hAnsi="Times New Roman" w:cs="Times New Roman"/>
          <w:i w:val="0"/>
          <w:iCs w:val="0"/>
          <w:color w:val="0070C0"/>
          <w:sz w:val="16"/>
          <w:szCs w:val="16"/>
          <w:lang w:val="ru-RU"/>
        </w:rPr>
        <w:lastRenderedPageBreak/>
        <w:t>значение и формы боевых дей</w:t>
      </w:r>
      <w:r w:rsidRPr="00AE1636">
        <w:rPr>
          <w:rFonts w:ascii="Times New Roman" w:hAnsi="Times New Roman" w:cs="Times New Roman"/>
          <w:i w:val="0"/>
          <w:iCs w:val="0"/>
          <w:color w:val="0070C0"/>
          <w:sz w:val="16"/>
          <w:szCs w:val="16"/>
          <w:lang w:val="ru-RU"/>
        </w:rPr>
        <w:softHyphen/>
        <w:t>ствий. Современный воздушный флот главнейших капиталистических государств стал опас</w:t>
      </w:r>
      <w:r w:rsidRPr="00AE1636">
        <w:rPr>
          <w:rFonts w:ascii="Times New Roman" w:hAnsi="Times New Roman" w:cs="Times New Roman"/>
          <w:i w:val="0"/>
          <w:iCs w:val="0"/>
          <w:color w:val="0070C0"/>
          <w:sz w:val="16"/>
          <w:szCs w:val="16"/>
          <w:lang w:val="ru-RU"/>
        </w:rPr>
        <w:softHyphen/>
        <w:t>ным не только для войск в пределах театра военных действий, но и для жизни глубокого ты</w:t>
      </w:r>
      <w:r w:rsidRPr="00AE1636">
        <w:rPr>
          <w:rFonts w:ascii="Times New Roman" w:hAnsi="Times New Roman" w:cs="Times New Roman"/>
          <w:i w:val="0"/>
          <w:iCs w:val="0"/>
          <w:color w:val="0070C0"/>
          <w:sz w:val="16"/>
          <w:szCs w:val="16"/>
          <w:lang w:val="ru-RU"/>
        </w:rPr>
        <w:softHyphen/>
        <w:t>ла, для крупных населенных и промышленных пунктов внутренней зоны государства. Воз</w:t>
      </w:r>
      <w:r w:rsidRPr="00AE1636">
        <w:rPr>
          <w:rFonts w:ascii="Times New Roman" w:hAnsi="Times New Roman" w:cs="Times New Roman"/>
          <w:i w:val="0"/>
          <w:iCs w:val="0"/>
          <w:color w:val="0070C0"/>
          <w:sz w:val="16"/>
          <w:szCs w:val="16"/>
          <w:lang w:val="ru-RU"/>
        </w:rPr>
        <w:softHyphen/>
        <w:t>душный противник стал важнейшею данною боевой обстановки и должен учитываться со всею полнотой сухопутными, морскими и воздушными силами. Борьба с ним выдвинулась в ряд важнейших задач и является таким кругом боевой деятельности ВВС, успешное прове</w:t>
      </w:r>
      <w:r w:rsidRPr="00AE1636">
        <w:rPr>
          <w:rFonts w:ascii="Times New Roman" w:hAnsi="Times New Roman" w:cs="Times New Roman"/>
          <w:i w:val="0"/>
          <w:iCs w:val="0"/>
          <w:color w:val="0070C0"/>
          <w:sz w:val="16"/>
          <w:szCs w:val="16"/>
          <w:lang w:val="ru-RU"/>
        </w:rPr>
        <w:softHyphen/>
        <w:t>дение которой в значительной степени обусловливает не только полноту прочей боевой ра</w:t>
      </w:r>
      <w:r w:rsidRPr="00AE1636">
        <w:rPr>
          <w:rFonts w:ascii="Times New Roman" w:hAnsi="Times New Roman" w:cs="Times New Roman"/>
          <w:i w:val="0"/>
          <w:iCs w:val="0"/>
          <w:color w:val="0070C0"/>
          <w:sz w:val="16"/>
          <w:szCs w:val="16"/>
          <w:lang w:val="ru-RU"/>
        </w:rPr>
        <w:softHyphen/>
        <w:t>боты ВВС, но и успех боевых действий на земле и на море. Характер борьбы с воздушным противником должен стать более активным, так как система «прикрытия» войск и тыла ис</w:t>
      </w:r>
      <w:r w:rsidRPr="00AE1636">
        <w:rPr>
          <w:rFonts w:ascii="Times New Roman" w:hAnsi="Times New Roman" w:cs="Times New Roman"/>
          <w:i w:val="0"/>
          <w:iCs w:val="0"/>
          <w:color w:val="0070C0"/>
          <w:sz w:val="16"/>
          <w:szCs w:val="16"/>
          <w:lang w:val="ru-RU"/>
        </w:rPr>
        <w:softHyphen/>
        <w:t>требителями не может дать надлежащего обеспечения, она является только одной из форм борьбы и дает эффект в узко ограниченном районе. Все рода наступательной авиации (бом</w:t>
      </w:r>
      <w:r w:rsidRPr="00AE1636">
        <w:rPr>
          <w:rFonts w:ascii="Times New Roman" w:hAnsi="Times New Roman" w:cs="Times New Roman"/>
          <w:i w:val="0"/>
          <w:iCs w:val="0"/>
          <w:color w:val="0070C0"/>
          <w:sz w:val="16"/>
          <w:szCs w:val="16"/>
          <w:lang w:val="ru-RU"/>
        </w:rPr>
        <w:softHyphen/>
        <w:t>бардировщики, штурмовики, истребители) должны уметь поражать неприятельские воздуш</w:t>
      </w:r>
      <w:r w:rsidRPr="00AE1636">
        <w:rPr>
          <w:rFonts w:ascii="Times New Roman" w:hAnsi="Times New Roman" w:cs="Times New Roman"/>
          <w:i w:val="0"/>
          <w:iCs w:val="0"/>
          <w:color w:val="0070C0"/>
          <w:sz w:val="16"/>
          <w:szCs w:val="16"/>
          <w:lang w:val="ru-RU"/>
        </w:rPr>
        <w:softHyphen/>
        <w:t>ные цели разнообразными способами, имея в основе своей работы нападения на аэродромы и воздушные базы противника. Бой в воздухе явится весьма частым явлением в подобного ро</w:t>
      </w:r>
      <w:r w:rsidRPr="00AE1636">
        <w:rPr>
          <w:rFonts w:ascii="Times New Roman" w:hAnsi="Times New Roman" w:cs="Times New Roman"/>
          <w:i w:val="0"/>
          <w:iCs w:val="0"/>
          <w:color w:val="0070C0"/>
          <w:sz w:val="16"/>
          <w:szCs w:val="16"/>
          <w:lang w:val="ru-RU"/>
        </w:rPr>
        <w:softHyphen/>
        <w:t>да операциях; вероятность воздушных столкновений при выполнении других задач возраста</w:t>
      </w:r>
      <w:r w:rsidRPr="00AE1636">
        <w:rPr>
          <w:rFonts w:ascii="Times New Roman" w:hAnsi="Times New Roman" w:cs="Times New Roman"/>
          <w:i w:val="0"/>
          <w:iCs w:val="0"/>
          <w:color w:val="0070C0"/>
          <w:sz w:val="16"/>
          <w:szCs w:val="16"/>
          <w:lang w:val="ru-RU"/>
        </w:rPr>
        <w:softHyphen/>
        <w:t>ет. Таким образом, весь комплекс вопросов борьбы с воздушным противником в настоящее время приобретает исключительно важное значение. Успешное ведение воздушной борьбы немыслимо без отличного владения тем оружием, которое имеется на самолетах. Поэтому одною из центральных задач боевой подготовки в новом учебном году является дальнейшее совершенствование в стрельбе и бомбометании, но в новой обстановке: технические упраж</w:t>
      </w:r>
      <w:r w:rsidRPr="00AE1636">
        <w:rPr>
          <w:rFonts w:ascii="Times New Roman" w:hAnsi="Times New Roman" w:cs="Times New Roman"/>
          <w:i w:val="0"/>
          <w:iCs w:val="0"/>
          <w:color w:val="0070C0"/>
          <w:sz w:val="16"/>
          <w:szCs w:val="16"/>
          <w:lang w:val="ru-RU"/>
        </w:rPr>
        <w:softHyphen/>
        <w:t>нения должны быть пропитаны тактическим содержанием после того, как летный состав приобретет начальные навыки в обращении с оружием в полете. Увеличенные дистанции стрельбы в воздухе с маневром перед открытием огня, стрельбы по тактическим земным мишеням с максимальным повышением интенсивности огня (возможно больше пуль за один заход), с увеличением начальной дистанции стрельбы, поднятие высот бомбометания, при постоянном учете противодействия с земли и в воздухе — вот что характеризует необходимое нам упражнение. Экономия времени и огневая сила воздушных атак должны стать обяза</w:t>
      </w:r>
      <w:r w:rsidRPr="00AE1636">
        <w:rPr>
          <w:rFonts w:ascii="Times New Roman" w:hAnsi="Times New Roman" w:cs="Times New Roman"/>
          <w:i w:val="0"/>
          <w:iCs w:val="0"/>
          <w:color w:val="0070C0"/>
          <w:sz w:val="16"/>
          <w:szCs w:val="16"/>
          <w:lang w:val="ru-RU"/>
        </w:rPr>
        <w:softHyphen/>
        <w:t>тельным условием стрелково-артиллерийских занятий во всех частях ВВС. Совершенно оче</w:t>
      </w:r>
      <w:r w:rsidRPr="00AE1636">
        <w:rPr>
          <w:rFonts w:ascii="Times New Roman" w:hAnsi="Times New Roman" w:cs="Times New Roman"/>
          <w:i w:val="0"/>
          <w:iCs w:val="0"/>
          <w:color w:val="0070C0"/>
          <w:sz w:val="16"/>
          <w:szCs w:val="16"/>
          <w:lang w:val="ru-RU"/>
        </w:rPr>
        <w:softHyphen/>
        <w:t>видным представляется значение летной подготовки для достижения необходимых результа</w:t>
      </w:r>
      <w:r w:rsidRPr="00AE1636">
        <w:rPr>
          <w:rFonts w:ascii="Times New Roman" w:hAnsi="Times New Roman" w:cs="Times New Roman"/>
          <w:i w:val="0"/>
          <w:iCs w:val="0"/>
          <w:color w:val="0070C0"/>
          <w:sz w:val="16"/>
          <w:szCs w:val="16"/>
          <w:lang w:val="ru-RU"/>
        </w:rPr>
        <w:softHyphen/>
        <w:t>тов в огневых ударах. Техника пилотажа и самолетовождение в любых условиях погоды продолжает стоять главнейшею задачей практической подготовки летного состава. Плано</w:t>
      </w:r>
      <w:r w:rsidRPr="00AE1636">
        <w:rPr>
          <w:rFonts w:ascii="Times New Roman" w:hAnsi="Times New Roman" w:cs="Times New Roman"/>
          <w:i w:val="0"/>
          <w:iCs w:val="0"/>
          <w:color w:val="0070C0"/>
          <w:sz w:val="16"/>
          <w:szCs w:val="16"/>
          <w:lang w:val="ru-RU"/>
        </w:rPr>
        <w:softHyphen/>
        <w:t>мерный, последовательный переход от одиночного полета к полету звеном, отрядом, эскад</w:t>
      </w:r>
      <w:r w:rsidRPr="00AE1636">
        <w:rPr>
          <w:rFonts w:ascii="Times New Roman" w:hAnsi="Times New Roman" w:cs="Times New Roman"/>
          <w:i w:val="0"/>
          <w:iCs w:val="0"/>
          <w:color w:val="0070C0"/>
          <w:sz w:val="16"/>
          <w:szCs w:val="16"/>
          <w:lang w:val="ru-RU"/>
        </w:rPr>
        <w:softHyphen/>
        <w:t>рильей, бригадой; переход от дня к ночи, от ясной погоды к облачной - все это составляет обширный комплекс обучения, требующий исключительного внимания от командиров всех степеней, личного их руководства и контроля (,..)» (Хрипин В. Очередные задачи боевой подготовки ВВС // Вестник воздушного флота. - 1931.-№ 1.-С. 2-3) (23967).</w:t>
      </w:r>
    </w:p>
    <w:p w14:paraId="4DE0A7F7" w14:textId="77777777" w:rsidR="00AE1636" w:rsidRPr="00142305" w:rsidRDefault="00AE1636" w:rsidP="00AE1636">
      <w:pPr>
        <w:spacing w:after="0" w:line="240" w:lineRule="auto"/>
        <w:jc w:val="both"/>
        <w:rPr>
          <w:rFonts w:ascii="Times New Roman" w:hAnsi="Times New Roman"/>
          <w:color w:val="0070C0"/>
          <w:sz w:val="16"/>
          <w:szCs w:val="16"/>
        </w:rPr>
      </w:pPr>
    </w:p>
    <w:p w14:paraId="3E98A019"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января 1931 г. - в соответствии с воспоминаниями Маршала Советского Союза М. В. Захарова - техническая реконструкция Красной Армии производилась в соответствии с твердо установленным, всесторонне и научно обоснованным пла</w:t>
      </w:r>
      <w:r w:rsidRPr="00142305">
        <w:rPr>
          <w:rFonts w:ascii="Times New Roman" w:hAnsi="Times New Roman"/>
          <w:color w:val="0070C0"/>
          <w:sz w:val="16"/>
          <w:szCs w:val="16"/>
        </w:rPr>
        <w:softHyphen/>
        <w:t>ном военного строительства» (Захаров М. В. Коммунистическая партия и техническое перевооружение армии и флота в годы предвоенных пятилеток // Военно-истор. журнал. — 1971. — № 2. — С. 3—12) (24968).</w:t>
      </w:r>
    </w:p>
    <w:p w14:paraId="0042B21B" w14:textId="77777777" w:rsidR="00AE1636" w:rsidRPr="00142305" w:rsidRDefault="00AE1636" w:rsidP="00AE1636">
      <w:pPr>
        <w:spacing w:after="0" w:line="240" w:lineRule="auto"/>
        <w:jc w:val="both"/>
        <w:rPr>
          <w:rFonts w:ascii="Times New Roman" w:hAnsi="Times New Roman"/>
          <w:color w:val="0070C0"/>
          <w:sz w:val="16"/>
          <w:szCs w:val="16"/>
        </w:rPr>
      </w:pPr>
    </w:p>
    <w:p w14:paraId="1940A031" w14:textId="77777777" w:rsidR="00F80904"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5F4E2E6C" w14:textId="77777777" w:rsidR="00F80904" w:rsidRPr="005E779E" w:rsidRDefault="00F80904"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557CF08" w14:textId="2C8D8490" w:rsidR="00F80904" w:rsidRPr="005E779E" w:rsidRDefault="00F80904"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 1931 г. в провинции рубль обладал покупательной способностью 8 довоенных копеек. Выступая с докладом в Свердловске на Втором всеуральском слете ударников финансового фронта Г.Ф. Гринько говорил о финансовых затруднениях</w:t>
      </w:r>
      <w:r w:rsidR="00FE094E">
        <w:rPr>
          <w:rFonts w:ascii="Times New Roman" w:hAnsi="Times New Roman"/>
          <w:color w:val="000000" w:themeColor="text1"/>
          <w:sz w:val="16"/>
          <w:szCs w:val="16"/>
        </w:rPr>
        <w:t xml:space="preserve"> </w:t>
      </w:r>
      <w:r w:rsidRPr="005E779E">
        <w:rPr>
          <w:rStyle w:val="highlight"/>
          <w:rFonts w:ascii="Times New Roman" w:hAnsi="Times New Roman"/>
          <w:color w:val="000000" w:themeColor="text1"/>
          <w:sz w:val="16"/>
          <w:szCs w:val="16"/>
        </w:rPr>
        <w:t>1930</w:t>
      </w:r>
      <w:r w:rsidR="00FE094E">
        <w:rPr>
          <w:rStyle w:val="highlight"/>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«Удар нашему финансовому хозяйству был нанесен тогда одновременно с двух сторон – во первых, со стороны автоматизма банковского кредитования и связанной с этим чрезмерной эмиссией, и во вторых, со стороны замораживания товарооборота» (17240).</w:t>
      </w:r>
    </w:p>
    <w:p w14:paraId="24AE5208" w14:textId="77777777" w:rsidR="00F80904" w:rsidRPr="005E779E" w:rsidRDefault="00F80904" w:rsidP="000B7A6C">
      <w:pPr>
        <w:autoSpaceDE w:val="0"/>
        <w:autoSpaceDN w:val="0"/>
        <w:adjustRightInd w:val="0"/>
        <w:spacing w:after="0" w:line="240" w:lineRule="auto"/>
        <w:jc w:val="both"/>
        <w:rPr>
          <w:rFonts w:ascii="Times New Roman" w:hAnsi="Times New Roman"/>
          <w:color w:val="000000" w:themeColor="text1"/>
          <w:sz w:val="16"/>
          <w:szCs w:val="16"/>
        </w:rPr>
      </w:pPr>
    </w:p>
    <w:p w14:paraId="10EC978E" w14:textId="77777777" w:rsidR="007E6FB4" w:rsidRPr="005E779E" w:rsidRDefault="007E6FB4"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С января 1931 года все научно-исследовательские, геологоразведочные и производственные работы по добыче и переработке газов должны были решаться трестом «Стройгаз». Эта организация была создана в составе объединения «Всехимпром» и полное её название звучало как Контора по химическому использованию природных газов на территории Союза ССР. Вскоре её преобразовали в первый газодобывающий и перерабатывающий трест «Союзгаз».</w:t>
      </w:r>
    </w:p>
    <w:p w14:paraId="5F7EDF5A" w14:textId="77777777" w:rsidR="007E6FB4" w:rsidRPr="005E779E" w:rsidRDefault="007E6FB4"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Первой и основной задачей организации стала подготовка обустройства газодобывающего промысла и строительства опытного гелиевого завода в Мельниково.</w:t>
      </w:r>
    </w:p>
    <w:p w14:paraId="214B6573" w14:textId="77777777" w:rsidR="007E6FB4" w:rsidRPr="005E779E" w:rsidRDefault="007E6FB4"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И тут нам стоит вспомнить о методе Фокина–Клюквина, который предполагал, что основным продуктом Мельниковского завода будет аммиак, а гелий – побочным. Этот метод был взят за основу при обустройстве промысла. Но вскоре обнаружился неприятный сюрприз – запасы месторождения оказались слишком малы. Всего 100–125 млн куб. м природного газа. Строить крупный газохимический комбинат при таких условиях было бессмысленно (21251).</w:t>
      </w:r>
    </w:p>
    <w:p w14:paraId="647FB9E0" w14:textId="77777777" w:rsidR="007E6FB4" w:rsidRPr="005E779E" w:rsidRDefault="007E6FB4" w:rsidP="000B7A6C">
      <w:pPr>
        <w:spacing w:after="0" w:line="240" w:lineRule="auto"/>
        <w:jc w:val="both"/>
        <w:rPr>
          <w:rFonts w:ascii="Times New Roman" w:hAnsi="Times New Roman"/>
          <w:color w:val="000000" w:themeColor="text1"/>
          <w:sz w:val="16"/>
          <w:szCs w:val="16"/>
        </w:rPr>
      </w:pPr>
    </w:p>
    <w:p w14:paraId="4E8DB481"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2D528A29"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7945639" w14:textId="77777777" w:rsidR="00BE087B" w:rsidRPr="005E779E" w:rsidRDefault="00BE087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 1931 г. Департамент вооружений получил опытный экземпляр Christie M1931, и он сразу был отправлен на Абердинский полигон, где прошел двухмесячные испытания. По их итогам, в июле 1931 г. между фирмой U.S. Wheel Track Layer Corporation и Управлением вооружений был подписан контракт на изготовление серии из семи танков Christie M1931, цена одного танка составляла 34,5 тыс. долл. Первый M1931 был «отгружен» в сентябре 1931 г. Последняя, седьмая машина была получена военными в марте 1932 г. Четыре танка достались кавалерии, еще три — пехоте. Танки, доставшиеся пехоте, получили обозначение Convertible Medium Tank T3. В кавалерии в соответствии с принятой здесь системой обозначений, машины получили название Combat Car T1. Дело в том, что с момента расформирования Танкового корпуса в 1920 г. армейское руководство решило, что танковые подразделения могут использоваться только для поддержки пехоты, а кавалерия может обойтись одними бронемашинами. Поэтому кавалеристам приходилось хитрить, называя собственные полноценные танки Combat Car («Боевая машина»). Местом базирования кавалерийских машин был выбран Форт-Нокс, а пехотные поступили в Форт-Беннинг. Здесь M1931 подверглись активным испытаниям и заслужили как у пехотинцев, так и у кавалеристов позитивную оценку. Помимо высокой маневренности, отмечались достаточная мощь вооружения, а также удобство управления.</w:t>
      </w:r>
    </w:p>
    <w:p w14:paraId="20BC9762" w14:textId="77777777" w:rsidR="00BE087B" w:rsidRPr="005E779E" w:rsidRDefault="00BE087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1933 г. Пехотный совет рекомендовал немедленно стандартизировать (принять на вооружение) Convertible Medium Tank T3. Тем не менее большого контракта на производство Convertible Medium Tank T3/Combat Car T1 Кристи так и не получил. США вступили в период Великой депрессии, и финансы, которыми располагали военные, не позволяли закупать танки в необходимых количествах. Свою роль сыграла и вражда, возникшая между отдельными генералами и вспыльчивым и резким Джоном Кристи (22884).</w:t>
      </w:r>
    </w:p>
    <w:p w14:paraId="7E0859CC" w14:textId="77777777" w:rsidR="00BE087B" w:rsidRPr="005E779E" w:rsidRDefault="00BE087B" w:rsidP="000B7A6C">
      <w:pPr>
        <w:spacing w:after="0" w:line="240" w:lineRule="auto"/>
        <w:jc w:val="both"/>
        <w:rPr>
          <w:rFonts w:ascii="Times New Roman" w:hAnsi="Times New Roman"/>
          <w:color w:val="000000" w:themeColor="text1"/>
          <w:sz w:val="16"/>
          <w:szCs w:val="16"/>
        </w:rPr>
      </w:pPr>
    </w:p>
    <w:p w14:paraId="528B23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 1931 г. к власти во Франции пришел П. Лаваль. Министром иностранных дел в его кабинете остался «несменяемый» А. Бриан. Однако главную скрипку во внешней политике Франции стал играть сам Лаваль, считавший своей главной задачей достижение согласия и взаимопонимания с Германией. Именно этому были посвящены его переговоры с германским канцлером Х. Брюнингрм в Париже и Берлине в июле и сентябре 1931 г. В обмен на крупную финансовую помощь Франция потребовала от Германии «политического перемирия» и неувеличения Берлином своих военных расходов. В течение всего 1931 г французская дипломатия, пытаясь склонить Берлин на свою сторону, работала на то, чтобы расстроить отношения Германии и Советского Союза. В ходе сентябрьских переговоров в Берлине Лаваль запугивал германских политиков опасностью «большевизации». После анализа бесед с французскими политиками Лавалем и Брианом министр иностранных дел Германии Ю. Курциус сделал вывод: «У меня сложилось впечатление, что для французов прежде всего важно оттеснить нас от России» (Ахтамзян А. А. Указ, соч., с. 278.). Встречное движение было и со стороны Германии. Так, Ф. фон Папен, сменивший Брюнинга на посту канцлера Германии 4 июля 1932 г., предложил французам «германо-франко-польский союз для захвата Украины» (Heinrich Bruning. Memoiren. Stuttgart, 1970. S. 616.). В дни завершения работы Лозаннской конференции в июле 1932 г. Папен предложил Франции сотрудничество генштабов двух стран с целью образования затем антисоветского фронта. Параллельно французы усилили дипломатический натиск и на Москву, предложив ей 20 апреля 1931 г. заключить пакт о ненападении. Но когда 10 августа 1931 г. Бриан и советский полпред В. С. Довгалевский парафировали текст пакта, французы выдвинули условием подписания пакта заключение СССР аналогичного пакта с Польшей. Спустя два месяца, 14 октября 1931 г. Литвинов предложил польскому поверенному в Москве подписать советско-польский пакт о ненападении. 25 июля 1932 г. он был подписан, а 29 ноября 1932 г. состоялось подписание и советско-французского пакта о ненападении. При этом Париж пытался представить дело таким образом, что переговоры о пакте были начаты по инициативе Москвы, и Париж пошел на них лишь после того, как поверил, что аналогичные переговоры ведутся также между Москвой и Варшавой. За всеми этими французскими шагами стоял замысел рассорить Германию с СССР и в конечном счете перетянуть Берлин на свою сторону, продемонстрировав ему сначала ненадежность Москвы как стратегического союзника. Ведь, действительно, получалось, что СССР заключил пакты с двумя злейшими противниками Германии, против которых в Берлине были обращены взоры практически всех политических партий страны, жившей идеей пересмотра границ. Однако Москва, сыграв «парижскую партию», сумела доказать Берлину тщетность всех усилий французов. И не случайно тогдашний канцлер Германии Брюнинг в своих мемуарах по этому поводу писал: «С весны 1931 года французы то и дело безрезультатно пытались отколоть от нас Россию» (Heinrich Bruning. Memoiren. Stuttgart, 1970. S. 616.). Симптоматичны в этой связи следующие слова Брюнинга: «Мы отпустим мизинец России, за который держимся сейчас, только тогда, когда будем твердо держать в своих руках руку Франции». Но этой-то «руки Франции» как раз и не было. Не случайно Брюнинг, сожалея впоследствии о начавшихся портиться тогда советско-германских отношениях, отметил: «Основа для полного отхода от России была заложена без какой-либо выгоды для нас взамен» (Ахтамзян А. А. Указ, соч, с. 277—278.). Таким образом, Парижу таки удалось добиться одной из своих целей — между Москвой и Берлином пролегла тень недоверия, а германская пресса истолковала переговоры СССР с Францией и Польшей и последующее заключение соответствующих пактов о ненападении как «взрыв» Рапалло. Москва свою «податливость» Франции объясняла реализацией политики безопасности, выражавшейся в заключении ряда двусторонних пактов о ненападении со своими соседями Турцией, Ираном, Афганистаном, той же Германией (11784).</w:t>
      </w:r>
    </w:p>
    <w:p w14:paraId="3EE978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DC702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 январе 1931 года (Даллин Д. Шпионаж по-советски. — М., 2001, с. 105—106.) был арестован Инженер В. Рихтер, работник цементного завода «Полизиус» вблизи Дессау, передал секретные планы и чертежи для завода, который планировали построить в пригороде Москвы. Кроме передачи необходимых документов, он сам регулярно посещал Советский Союз (11765).</w:t>
      </w:r>
    </w:p>
    <w:p w14:paraId="76A497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3582A50" w14:textId="77777777" w:rsidR="0023773B" w:rsidRPr="005E779E" w:rsidRDefault="002377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 1931 года закончили второй прототип Ju 52/1mde (заводской номер 4002). Основными его отличиями были: усиленное крыло, улучшенные закрылки и двигатель “Леопард” фирмы Armstrong Siddeley мощностью 800 л.с. Поставки двигателя задерживались. Конструкторы ждали аж до 10 марта, а после установили испытанный BMW VIIaU. Вскоре после начала испытаний, в качестве эксперимента, машину поставили на цельнометаллические поплавки, превратив ее в гидросамолет. 17 июля 1931 года Циммерман взлетел на ней с поверхности реки Эльба и Самолеты Ju 52/3m авиакомпании Lufthansa в Берлинском аэропорту остался доволен ее характеристиками. Самолету присвоили регистрационный номер D-2133 и перегнали в Травемюнде для дальнейших испытаний (19012).</w:t>
      </w:r>
    </w:p>
    <w:p w14:paraId="085C0A38" w14:textId="77777777" w:rsidR="0023773B" w:rsidRPr="005E779E" w:rsidRDefault="0023773B" w:rsidP="000B7A6C">
      <w:pPr>
        <w:spacing w:after="0" w:line="240" w:lineRule="auto"/>
        <w:jc w:val="both"/>
        <w:rPr>
          <w:rFonts w:ascii="Times New Roman" w:hAnsi="Times New Roman"/>
          <w:color w:val="000000" w:themeColor="text1"/>
          <w:sz w:val="16"/>
          <w:szCs w:val="16"/>
        </w:rPr>
      </w:pPr>
    </w:p>
    <w:p w14:paraId="4E00C0F0" w14:textId="77777777" w:rsidR="0023773B" w:rsidRPr="005E779E" w:rsidRDefault="002377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 1931 г. к власти во Франции пришел П. Лаваль. Министром иностранных дел в его кабинете остался «несменяемый» А. Бриан. Однако главную скрипку во внешней политике Франции стал играть сам Лаваль, считавший своей главной задачей достижение согласия и взаимопонимания с Германией. Именно этому были посвящены его переговоры с германским канцлером Х. Брюнингом в Париже и Берлине в июле и сентябре 1931 г. В обмен на крупную финансовую помощь Франция потребовала от Германии «политического перемирия» и неувеличения Берлином своих военных расходов.</w:t>
      </w:r>
    </w:p>
    <w:p w14:paraId="0DF692AE" w14:textId="77777777" w:rsidR="0023773B" w:rsidRPr="005E779E" w:rsidRDefault="002377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течение всего 1931 г французская дипломатия, пытаясь склонить Берлин на свою сторону, работала на то, чтобы расстроить отношения Германии и Советского Союза. В ходе сентябрьских переговоров в Берлине Лаваль запугивал германских политиков опасностью «большевизации». После анализа бесед с французскими политиками Лавалем и Брианом министр иностранных дел Германии Ю. Курциус сделал вывод: «У меня сложилось впечатление, что для французов прежде всего важно оттеснить нас от России» (18265).</w:t>
      </w:r>
    </w:p>
    <w:p w14:paraId="4765C85F" w14:textId="77777777" w:rsidR="0023773B" w:rsidRPr="005E779E" w:rsidRDefault="0023773B" w:rsidP="000B7A6C">
      <w:pPr>
        <w:spacing w:after="0" w:line="240" w:lineRule="auto"/>
        <w:jc w:val="both"/>
        <w:rPr>
          <w:rFonts w:ascii="Times New Roman" w:hAnsi="Times New Roman"/>
          <w:color w:val="000000" w:themeColor="text1"/>
          <w:sz w:val="16"/>
          <w:szCs w:val="16"/>
        </w:rPr>
      </w:pPr>
    </w:p>
    <w:p w14:paraId="26C4AFF7"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629F6D32"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92D08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январе-марте 1931 года рабочие расчистили от леса площадки будущих цехов НТМК (мартеновский, доменный, шамотный цеха и коксовая батарея), а весной соорудили несколько первых бараков, куда из землянок переселилась часть строителей. Работа шла при том, что сам проект строительства НТМК был утвержден Гипромезом лишь в июле 1931 года. До конца того же года были построены щебеночный карьер, бетонный заводик и лесопилка. На стройку, общая стоимость которой была определена почти в 440 млн. рублей, планировалось закупить несколько мощных американских экскаваторов, однако сделка сорвалась, и вместо них было приобретено только 6 устаревших и слабых английских машин. Изначально строительство НТМК велось в авральном режиме, было слабо проработано, что вообще было характерно для всех объектов советской индустриализации тех лет, где участие иностранцев было или минимальным или же оно вообще отсутствовало. Первой проблемой – после отсутствия единого плана, стала нехватка рабочей силы. В результате чего темпы строительства оказались в два раза ниже, и в 1931 году удалось освоить лишь 18 из 30 млн. рублей, заложенных в финансирование проекта (11514).</w:t>
      </w:r>
    </w:p>
    <w:p w14:paraId="6FAD1C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F286553"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2BC4185D"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CE781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1931 г. начались летные испытания ТШ-2 (летали Б. Л. Бухгольц, Ю. И. Пионтковский и М. А. Волковойнов - все из НИИ ВВС КА), на которых последний при полетном весе 3300 кг показал максимальную скорость полета 180 км/ч, что было явно недостаточно для самолета поля боя.</w:t>
      </w:r>
    </w:p>
    <w:p w14:paraId="785649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Кроме того, в полете сильно грелся мотор (температура масла доходила до 82°, что было опасно, а этилен-гликоля - до 125-130°), давления на рули были значительны, а в кабинах экипажа было очень жарко, велик был разбег и низкая скороподъемность.</w:t>
      </w:r>
    </w:p>
    <w:p w14:paraId="214C62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3-4 посадок приходилось менять амортизаторы шасси. Вооружение штурмовика оказалось недоведенным. Штурмовик был возвращен на завод для проведения необходимых доработок (9649).</w:t>
      </w:r>
    </w:p>
    <w:p w14:paraId="0A5A32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0BA6B83" w14:textId="77777777" w:rsidR="00BE087B" w:rsidRPr="005E779E" w:rsidRDefault="00BE087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1931 г. возник вопрос о создании нового эталона ТШ-2 с металлическим крылом, внутри которого предполагалась батарея пулеметов, бомбоотсеки и бензо</w:t>
      </w:r>
      <w:r w:rsidRPr="005E779E">
        <w:rPr>
          <w:rFonts w:ascii="Times New Roman" w:hAnsi="Times New Roman"/>
          <w:color w:val="000000" w:themeColor="text1"/>
          <w:sz w:val="16"/>
          <w:szCs w:val="16"/>
        </w:rPr>
        <w:softHyphen/>
        <w:t>баки. И, главное, нужен был другой, значительно более мощный двигатель.</w:t>
      </w:r>
    </w:p>
    <w:p w14:paraId="5ABB303E" w14:textId="77777777" w:rsidR="00BE087B" w:rsidRPr="005E779E" w:rsidRDefault="00BE087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Далее конструкторы бригады Кочеригина продолжили за</w:t>
      </w:r>
      <w:r w:rsidRPr="005E779E">
        <w:rPr>
          <w:rFonts w:ascii="Times New Roman" w:hAnsi="Times New Roman"/>
          <w:color w:val="000000" w:themeColor="text1"/>
          <w:sz w:val="16"/>
          <w:szCs w:val="16"/>
        </w:rPr>
        <w:softHyphen/>
        <w:t>ниматься подготовкой улучшенного штурмовика, который определяли как «самолет №21» с двигателем М-27. «Са</w:t>
      </w:r>
      <w:r w:rsidRPr="005E779E">
        <w:rPr>
          <w:rFonts w:ascii="Times New Roman" w:hAnsi="Times New Roman"/>
          <w:color w:val="000000" w:themeColor="text1"/>
          <w:sz w:val="16"/>
          <w:szCs w:val="16"/>
        </w:rPr>
        <w:softHyphen/>
        <w:t>молет №21» строился больше года и как-то затерялся затем во времени, то есть уточненных сведений о нем об</w:t>
      </w:r>
      <w:r w:rsidRPr="005E779E">
        <w:rPr>
          <w:rFonts w:ascii="Times New Roman" w:hAnsi="Times New Roman"/>
          <w:color w:val="000000" w:themeColor="text1"/>
          <w:sz w:val="16"/>
          <w:szCs w:val="16"/>
        </w:rPr>
        <w:softHyphen/>
        <w:t>наружить не удалось.</w:t>
      </w:r>
    </w:p>
    <w:p w14:paraId="5A36A871" w14:textId="77777777" w:rsidR="00BE087B" w:rsidRPr="005E779E" w:rsidRDefault="00BE087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Судя по всему, именно двигатель М-27 «навел тумана» в истории штурмовика ТШ-2. После того как опытные эк</w:t>
      </w:r>
      <w:r w:rsidRPr="005E779E">
        <w:rPr>
          <w:rFonts w:ascii="Times New Roman" w:hAnsi="Times New Roman"/>
          <w:color w:val="000000" w:themeColor="text1"/>
          <w:sz w:val="16"/>
          <w:szCs w:val="16"/>
        </w:rPr>
        <w:softHyphen/>
        <w:t>земпляры с М-17 облетали и окончательно убедились в не</w:t>
      </w:r>
      <w:r w:rsidRPr="005E779E">
        <w:rPr>
          <w:rFonts w:ascii="Times New Roman" w:hAnsi="Times New Roman"/>
          <w:color w:val="000000" w:themeColor="text1"/>
          <w:sz w:val="16"/>
          <w:szCs w:val="16"/>
        </w:rPr>
        <w:softHyphen/>
        <w:t>достаточной его мощности, взоры обратили на ожидаемый М-27. Этот 18-цилиндровый W-образный рядный двигатель жидкостного охлаждения создавался в конструкторском бюро завода №24 под руководством А.А. Бессонова. За</w:t>
      </w:r>
      <w:r w:rsidRPr="005E779E">
        <w:rPr>
          <w:rFonts w:ascii="Times New Roman" w:hAnsi="Times New Roman"/>
          <w:color w:val="000000" w:themeColor="text1"/>
          <w:sz w:val="16"/>
          <w:szCs w:val="16"/>
        </w:rPr>
        <w:softHyphen/>
        <w:t>явленная проектная мощность М-27 составляла 700-900 л.с. (в обозримом будущем даже мечтали о 1000 л.с.). Опытный двигатель проходил испытания на переломе 1930-31 гг. Он даже начал внедряться в небольшую серию на заводе №24 в Москве. Очевидно, надежды были имен</w:t>
      </w:r>
      <w:r w:rsidRPr="005E779E">
        <w:rPr>
          <w:rFonts w:ascii="Times New Roman" w:hAnsi="Times New Roman"/>
          <w:color w:val="000000" w:themeColor="text1"/>
          <w:sz w:val="16"/>
          <w:szCs w:val="16"/>
        </w:rPr>
        <w:softHyphen/>
        <w:t>но на двигатель, ибо в течение 1931 г. наблюдалось неко</w:t>
      </w:r>
      <w:r w:rsidRPr="005E779E">
        <w:rPr>
          <w:rFonts w:ascii="Times New Roman" w:hAnsi="Times New Roman"/>
          <w:color w:val="000000" w:themeColor="text1"/>
          <w:sz w:val="16"/>
          <w:szCs w:val="16"/>
        </w:rPr>
        <w:softHyphen/>
        <w:t>торое затишье с самим самолетом ТШ-2. Существуют сведения, что М-27 даже испытывался на ТШ-2, однако ни</w:t>
      </w:r>
      <w:r w:rsidRPr="005E779E">
        <w:rPr>
          <w:rFonts w:ascii="Times New Roman" w:hAnsi="Times New Roman"/>
          <w:color w:val="000000" w:themeColor="text1"/>
          <w:sz w:val="16"/>
          <w:szCs w:val="16"/>
        </w:rPr>
        <w:softHyphen/>
        <w:t>каких подтверждений этого факта автором не обнаруже</w:t>
      </w:r>
      <w:r w:rsidRPr="005E779E">
        <w:rPr>
          <w:rFonts w:ascii="Times New Roman" w:hAnsi="Times New Roman"/>
          <w:color w:val="000000" w:themeColor="text1"/>
          <w:sz w:val="16"/>
          <w:szCs w:val="16"/>
        </w:rPr>
        <w:softHyphen/>
        <w:t>но. Впрочем, в начале 1932 г. вся деятельность по М-27 прекратилась, его сняли с программы, ибо уже имелся бо</w:t>
      </w:r>
      <w:r w:rsidRPr="005E779E">
        <w:rPr>
          <w:rFonts w:ascii="Times New Roman" w:hAnsi="Times New Roman"/>
          <w:color w:val="000000" w:themeColor="text1"/>
          <w:sz w:val="16"/>
          <w:szCs w:val="16"/>
        </w:rPr>
        <w:softHyphen/>
        <w:t>лее реальный двигатель М-34 (20362).</w:t>
      </w:r>
    </w:p>
    <w:p w14:paraId="7DE8E2CB" w14:textId="77777777" w:rsidR="00BE087B" w:rsidRPr="005E779E" w:rsidRDefault="00BE087B" w:rsidP="000B7A6C">
      <w:pPr>
        <w:shd w:val="clear" w:color="auto" w:fill="FFFFFF"/>
        <w:spacing w:after="0" w:line="240" w:lineRule="auto"/>
        <w:jc w:val="both"/>
        <w:rPr>
          <w:rFonts w:ascii="Times New Roman" w:hAnsi="Times New Roman"/>
          <w:color w:val="000000" w:themeColor="text1"/>
          <w:sz w:val="16"/>
          <w:szCs w:val="16"/>
        </w:rPr>
      </w:pPr>
    </w:p>
    <w:p w14:paraId="6A518D97" w14:textId="77777777" w:rsidR="00BE087B" w:rsidRPr="005E779E" w:rsidRDefault="00BE087B" w:rsidP="000B7A6C">
      <w:pPr>
        <w:spacing w:after="0" w:line="240" w:lineRule="auto"/>
        <w:jc w:val="both"/>
        <w:rPr>
          <w:rFonts w:ascii="Times New Roman" w:hAnsi="Times New Roman"/>
          <w:color w:val="000000" w:themeColor="text1"/>
          <w:sz w:val="16"/>
          <w:szCs w:val="16"/>
          <w:lang w:eastAsia="ru-RU" w:bidi="ru-RU"/>
        </w:rPr>
      </w:pPr>
      <w:r w:rsidRPr="005E779E">
        <w:rPr>
          <w:rFonts w:ascii="Times New Roman" w:hAnsi="Times New Roman"/>
          <w:color w:val="000000" w:themeColor="text1"/>
          <w:sz w:val="16"/>
          <w:szCs w:val="16"/>
        </w:rPr>
        <w:t>В начале 1931 г. испытания прототипа ТШ-2 Н.Н.П, показали недостаточность его летных качеств (максимальная скорость, в частности, не превышала 180 км/ч) и эксплуатационных характеристик (перегрев двигателя из-за плохой вентиляции в бронированном кожухе, быстрый износ амортизаторов). Самолет вернули на завод для доработок. При этом для улучшения аэродинамики пулеметные батареи перенесли из-под крыла в утолщенную часть нижнего крыла, изменили схему бронирования и постарались улучшить условия охлаждения двигателя. Испытания, проведенные в ноябре — декабре 1931 г., показали повышение летных качеств (максимальная скорость возросла до 213 км/ч), и самолет решили внедрить в серийное производство на воронежском авиазаводе № 16 (21241).</w:t>
      </w:r>
    </w:p>
    <w:p w14:paraId="55B1BFD5" w14:textId="77777777" w:rsidR="00BE087B" w:rsidRPr="005E779E" w:rsidRDefault="00BE087B" w:rsidP="000B7A6C">
      <w:pPr>
        <w:spacing w:after="0" w:line="240" w:lineRule="auto"/>
        <w:jc w:val="both"/>
        <w:rPr>
          <w:rFonts w:ascii="Times New Roman" w:hAnsi="Times New Roman"/>
          <w:color w:val="000000" w:themeColor="text1"/>
          <w:sz w:val="16"/>
          <w:szCs w:val="16"/>
          <w:lang w:eastAsia="ru-RU" w:bidi="ru-RU"/>
        </w:rPr>
      </w:pPr>
    </w:p>
    <w:p w14:paraId="41584D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1931 г. Алкснис отправил на завод № I распоряжение: "Настоящим предписываю немедленно приступить к подготовке 3 самолетов Р-5 (без вооружения, радио, фото) для участия в Весеннем конкурсе, который состоится в Персии в первых числах мая с.г.". Команду выполнили. Несмотря на участие представителей фирм "Хаукер" из Англии и "Фоккер" из Нидерландов, конкурс выиграли.</w:t>
      </w:r>
    </w:p>
    <w:p w14:paraId="73A127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 заказа не последовало. Иранцев не устраивало, что в качестве аванса наши хотели получить две трети денег. В беседе с советским военным атташе Бенедиктовым в декабре 1931 г. министр двора сказал: "Ваш самолет нам нравится и мы думаем его купить, но мы должны еще посоветоваться...". На самом деле в Тегеране ждали результатов переговоров, которые вели во Франции. Но осенью 1932 г. военное министерство Ирана все же заключило с СССР контракт на поставку десяти самолетов Р-5, а попутно и партии зенитных пушек. Предложение организовать производство поликарповских бипланов на месте отклонили.</w:t>
      </w:r>
    </w:p>
    <w:p w14:paraId="0878F0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Экспортные машины имели моторы BMW VI и пулеметы "Льюис" в задней кабине. Бомбосбрасыватель ставили один, возможность нести выливные или дымовые приборы отсутствовала. У летнаба ставили бомбовый прицел АП-2, оптический "Герц" не предусматривался. Партия Р-5 для Персии проходила советскую военную приемку в обычном порядке, но по отдельным техническим условиям в связи с отличиями в комплектации. Разведчики начали предъявлять приемщикам в конце марта 1933 г.</w:t>
      </w:r>
    </w:p>
    <w:p w14:paraId="229FCE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Первый самолет доставили в Иран по воздуху. На нем иранский летчик А. Макуи, выпускник Качинской летной школы, успешно совершил перелет Москва - Тегеран, прибыв на место 28 мая 1933 г. Остальные Р-5 перевозились в разобранном виде. Из Москвы их везли по железной дороге, а затем по Каспию в иранский порт Пехлеви.</w:t>
      </w:r>
    </w:p>
    <w:p w14:paraId="67D1CD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Советские Р-5 успешно эксплуатировались в иранских ВВС сначала как боевые, а с конца 1934 г. как тренировочные. В отличие от поставлявшихся иранцам Р-1 в боевых действиях они никогда не участвовали. Когда в Иране списали последние Р-5 - неизвестно (12034).</w:t>
      </w:r>
    </w:p>
    <w:p w14:paraId="76B4A1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AA1986F" w14:textId="77777777" w:rsidR="00B642B8" w:rsidRPr="005E779E" w:rsidRDefault="00B642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1931 г. Алкснис отправил на завод № 1 распоряжение: «Настоящим предписываю немедленно приступить к подготовке 3-х самолетов Р5 (без вооружения, радио, фото) для участия в Весеннем конкурсе, который состоится в Персии в первых числах мая с.г.». Несмотря на участие в конкурсе новых конкурентов, он был выигран советской машиной. Однако заказа не последовало – иранская сторона была не согласна с тем, что в качестве аванса ей придется выплачивать две трети его стоимости, а также ожидала результатов переговоров, которые велись во Франции. В беседе с А.И. Бенедиктовым в декабре 1931 г. министр двора заявил: «Ваш самолет нам нравится и мы думаем его купить, но мы должны еще посоветоваться…». Лишь полтора года спустя после конкурса – осенью 1932 г. – военное министерство заключило с СССР контракт на поставку 10 Р-5, а также партии зенитных орудий. Предложение организовать производство самолетов на месте иранская сторона отклонила. Все экспортные машины для Ирана оснащались немецкими двигателями BMW VI и пулеметами «Льюис» в задней кабине. На первом самолете 28 мая 1933 г. успешно завершил перелет Москва-Тегеран иранский летчик А. Макуи, выпускник Качинской летной школы, остальные машины перевозились в разобранном виде по железной дороге, а затем – через Каспийское море в порт Пехлеви. В качестве боевых они использовались в ВВС Ирана до конца 1934 г.77 Гораздо дольше Р-5 служили в Иране в качестве тренировочных машин (18512).</w:t>
      </w:r>
    </w:p>
    <w:p w14:paraId="746198E3" w14:textId="77777777" w:rsidR="00B642B8" w:rsidRPr="005E779E" w:rsidRDefault="00B642B8" w:rsidP="000B7A6C">
      <w:pPr>
        <w:spacing w:after="0" w:line="240" w:lineRule="auto"/>
        <w:jc w:val="both"/>
        <w:rPr>
          <w:rFonts w:ascii="Times New Roman" w:hAnsi="Times New Roman"/>
          <w:color w:val="000000" w:themeColor="text1"/>
          <w:sz w:val="16"/>
          <w:szCs w:val="16"/>
        </w:rPr>
      </w:pPr>
    </w:p>
    <w:p w14:paraId="5F333001"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 начале 1931 г. Алкснис отправил на завод № 1 распоряжение: «Настоящим предписываю немедленно приступить к подготовке 3-х самолетов Р5 (без вооружения, радио, фото) для участия в Весеннем конкурсе, который состоится в Персии в первых числах мая с.г.». Несмотря на участие в конкурсе новых конкурентов, он был выигран советской машиной. Однако заказа не последовало - иранская сторона была не согласна с тем, что в качестве аванса ей придется выплачивать две трети его стоимости, а также ожидала результатов переговоров, которые велись во Франции. В беседе с А.И. Бенедиктовым в декабре 1931 г. министр двора заявил: «Ваш самолет нам нравится и мы думаем его купить, но мы должны еще посоветоваться.». Лишь полтора года спустя после конкурса - осенью 1932 г. - военное министерство заключило с СССР контракт на поставку 10 Р-5, а также партии зенитных орудий. Предложение организовать производство самолетов на месте иранская сторона отклонила. Все экспортные машины для Ирана оснащались немецкими двигателями ВМШ VI и пулеметами «Льюис» в задней кабине. На первом самолете 28 мая 1933 г. успешно завершил перелет Москва-Тегеран иранский летчик А. Макуи, выпускник Качинской летной школы, остальные машины перевозились в разобранном виде по железной дороге, а затем - через Каспийское море в порт Пехлеви. В качестве боевых они использовались в ВВС Ирана до конца 1934 г. (18261).</w:t>
      </w:r>
    </w:p>
    <w:p w14:paraId="49C573CC" w14:textId="77777777" w:rsidR="009A3E3D" w:rsidRPr="005E779E" w:rsidRDefault="009A3E3D" w:rsidP="000B7A6C">
      <w:pPr>
        <w:spacing w:after="0" w:line="240" w:lineRule="auto"/>
        <w:jc w:val="both"/>
        <w:rPr>
          <w:rFonts w:ascii="Times New Roman" w:hAnsi="Times New Roman"/>
          <w:color w:val="000000" w:themeColor="text1"/>
          <w:sz w:val="16"/>
          <w:szCs w:val="16"/>
        </w:rPr>
      </w:pPr>
    </w:p>
    <w:p w14:paraId="3012576F" w14:textId="77777777" w:rsidR="00EB19FC" w:rsidRPr="005E779E" w:rsidRDefault="00EB19F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1931 г. Алкснис отправил на завод № 1 распоряжение: «Настоящим предписываю немедленно приступить к подготовке 3-х самолетов Р5 (без вооружения, радио, фото) для участия в Весеннем конкурсе, который состоится в Персии в первых числах мая с.г.» (24334).</w:t>
      </w:r>
    </w:p>
    <w:p w14:paraId="4AB10C26" w14:textId="77777777" w:rsidR="00EB19FC" w:rsidRPr="005E779E" w:rsidRDefault="00EB19FC" w:rsidP="000B7A6C">
      <w:pPr>
        <w:spacing w:after="0" w:line="240" w:lineRule="auto"/>
        <w:jc w:val="both"/>
        <w:rPr>
          <w:rFonts w:ascii="Times New Roman" w:hAnsi="Times New Roman"/>
          <w:color w:val="000000" w:themeColor="text1"/>
          <w:sz w:val="16"/>
          <w:szCs w:val="16"/>
        </w:rPr>
      </w:pPr>
    </w:p>
    <w:p w14:paraId="53CE8E9C"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1931 г. Алкснис отправил на завод № I распо</w:t>
      </w:r>
      <w:r w:rsidRPr="00142305">
        <w:rPr>
          <w:rFonts w:ascii="Times New Roman" w:hAnsi="Times New Roman"/>
          <w:color w:val="0070C0"/>
          <w:sz w:val="16"/>
          <w:szCs w:val="16"/>
        </w:rPr>
        <w:softHyphen/>
        <w:t>ряжение: «Настоящим предписываю немедленно присту</w:t>
      </w:r>
      <w:r w:rsidRPr="00142305">
        <w:rPr>
          <w:rFonts w:ascii="Times New Roman" w:hAnsi="Times New Roman"/>
          <w:color w:val="0070C0"/>
          <w:sz w:val="16"/>
          <w:szCs w:val="16"/>
        </w:rPr>
        <w:softHyphen/>
        <w:t>пить к подготовке 3 самолетов Р-5 (без вооружения, ра</w:t>
      </w:r>
      <w:r w:rsidRPr="00142305">
        <w:rPr>
          <w:rFonts w:ascii="Times New Roman" w:hAnsi="Times New Roman"/>
          <w:color w:val="0070C0"/>
          <w:sz w:val="16"/>
          <w:szCs w:val="16"/>
        </w:rPr>
        <w:softHyphen/>
        <w:t>дио, фото) для участия в Весеннем конкурсе, который со</w:t>
      </w:r>
      <w:r w:rsidRPr="00142305">
        <w:rPr>
          <w:rFonts w:ascii="Times New Roman" w:hAnsi="Times New Roman"/>
          <w:color w:val="0070C0"/>
          <w:sz w:val="16"/>
          <w:szCs w:val="16"/>
        </w:rPr>
        <w:softHyphen/>
        <w:t>стоится в Персии в первых числах мая с.г.». Команду вы</w:t>
      </w:r>
      <w:r w:rsidRPr="00142305">
        <w:rPr>
          <w:rFonts w:ascii="Times New Roman" w:hAnsi="Times New Roman"/>
          <w:color w:val="0070C0"/>
          <w:sz w:val="16"/>
          <w:szCs w:val="16"/>
        </w:rPr>
        <w:softHyphen/>
        <w:t>полнили. Несмотря на участие представителей фирм «Хаукер» из Англии и «Фоккер» из Нидерландов, конкурс вы</w:t>
      </w:r>
      <w:r w:rsidRPr="00142305">
        <w:rPr>
          <w:rFonts w:ascii="Times New Roman" w:hAnsi="Times New Roman"/>
          <w:color w:val="0070C0"/>
          <w:sz w:val="16"/>
          <w:szCs w:val="16"/>
        </w:rPr>
        <w:softHyphen/>
        <w:t>играли.</w:t>
      </w:r>
    </w:p>
    <w:p w14:paraId="3641DD40"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Но заказа не последовало. Иранцев не устраивало, что в качестве аванса наши хотели получить две трети денег. В беседе с советским военным атташе Бенедиктовым в дека</w:t>
      </w:r>
      <w:r w:rsidRPr="00142305">
        <w:rPr>
          <w:rFonts w:ascii="Times New Roman" w:hAnsi="Times New Roman"/>
          <w:color w:val="0070C0"/>
          <w:sz w:val="16"/>
          <w:szCs w:val="16"/>
        </w:rPr>
        <w:softHyphen/>
        <w:t>бре 1931 г. министр двора сказал: «Ваш самолет нам нра</w:t>
      </w:r>
      <w:r w:rsidRPr="00142305">
        <w:rPr>
          <w:rFonts w:ascii="Times New Roman" w:hAnsi="Times New Roman"/>
          <w:color w:val="0070C0"/>
          <w:sz w:val="16"/>
          <w:szCs w:val="16"/>
        </w:rPr>
        <w:softHyphen/>
        <w:t>вится и мы думаем его купить, но мы должны еще посове</w:t>
      </w:r>
      <w:r w:rsidRPr="00142305">
        <w:rPr>
          <w:rFonts w:ascii="Times New Roman" w:hAnsi="Times New Roman"/>
          <w:color w:val="0070C0"/>
          <w:sz w:val="16"/>
          <w:szCs w:val="16"/>
        </w:rPr>
        <w:softHyphen/>
        <w:t>товаться...». На самом деле в Тегеране ждали результатов переговоров, которые вели во Франции. Но осенью 1932 г. военное министерство Ирана все же заключило с СССР контракт на поставку десяти самолетов Р-5, а попутно и партии зенитных пушек.</w:t>
      </w:r>
    </w:p>
    <w:p w14:paraId="17D1AD47"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Предложение организовать про</w:t>
      </w:r>
      <w:r w:rsidRPr="00142305">
        <w:rPr>
          <w:rFonts w:ascii="Times New Roman" w:hAnsi="Times New Roman"/>
          <w:color w:val="0070C0"/>
          <w:sz w:val="16"/>
          <w:szCs w:val="16"/>
        </w:rPr>
        <w:softHyphen/>
        <w:t>изводство поликарповских бипланов на месте отклонили.</w:t>
      </w:r>
    </w:p>
    <w:p w14:paraId="61F14C24"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Экспортные машины имели моторы BMW VI и пулеме</w:t>
      </w:r>
      <w:r w:rsidRPr="00142305">
        <w:rPr>
          <w:rFonts w:ascii="Times New Roman" w:hAnsi="Times New Roman"/>
          <w:color w:val="0070C0"/>
          <w:sz w:val="16"/>
          <w:szCs w:val="16"/>
        </w:rPr>
        <w:softHyphen/>
        <w:t>ты «Льюис» в задней кабине. Бомбосбрасыватель стави</w:t>
      </w:r>
      <w:r w:rsidRPr="00142305">
        <w:rPr>
          <w:rFonts w:ascii="Times New Roman" w:hAnsi="Times New Roman"/>
          <w:color w:val="0070C0"/>
          <w:sz w:val="16"/>
          <w:szCs w:val="16"/>
        </w:rPr>
        <w:softHyphen/>
        <w:t>ли один, возможность нести выливные или дымовые при</w:t>
      </w:r>
      <w:r w:rsidRPr="00142305">
        <w:rPr>
          <w:rFonts w:ascii="Times New Roman" w:hAnsi="Times New Roman"/>
          <w:color w:val="0070C0"/>
          <w:sz w:val="16"/>
          <w:szCs w:val="16"/>
        </w:rPr>
        <w:softHyphen/>
        <w:t>боры отсутствовала. У летнаба ставили бомбовый прицел АП-2, оптический «Герц» не предусматривался. Партия Р-5 для Персии проходила советскую военную приемку в обычном порядке, но по отдельным техническим услови</w:t>
      </w:r>
      <w:r w:rsidRPr="00142305">
        <w:rPr>
          <w:rFonts w:ascii="Times New Roman" w:hAnsi="Times New Roman"/>
          <w:color w:val="0070C0"/>
          <w:sz w:val="16"/>
          <w:szCs w:val="16"/>
        </w:rPr>
        <w:softHyphen/>
        <w:t>ям в связи с отличиями в комплектации. Разведчики нача</w:t>
      </w:r>
      <w:r w:rsidRPr="00142305">
        <w:rPr>
          <w:rFonts w:ascii="Times New Roman" w:hAnsi="Times New Roman"/>
          <w:color w:val="0070C0"/>
          <w:sz w:val="16"/>
          <w:szCs w:val="16"/>
        </w:rPr>
        <w:softHyphen/>
        <w:t>ли предъявлять приемщикам в конце марта 1933 г. (24990).</w:t>
      </w:r>
    </w:p>
    <w:p w14:paraId="0102E8A2" w14:textId="77777777" w:rsidR="00AE1636" w:rsidRPr="00142305" w:rsidRDefault="00AE1636" w:rsidP="00AE1636">
      <w:pPr>
        <w:spacing w:after="0" w:line="240" w:lineRule="auto"/>
        <w:jc w:val="both"/>
        <w:rPr>
          <w:rFonts w:ascii="Times New Roman" w:hAnsi="Times New Roman"/>
          <w:color w:val="0070C0"/>
          <w:sz w:val="16"/>
          <w:szCs w:val="16"/>
        </w:rPr>
      </w:pPr>
    </w:p>
    <w:p w14:paraId="36F8465B"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1931 были подготовлены</w:t>
      </w:r>
    </w:p>
    <w:p w14:paraId="6DAFE474"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Списки военных заводов, входящих в объединение трестов ГВПУ</w:t>
      </w:r>
    </w:p>
    <w:p w14:paraId="0FDC165A"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Главное военно-промышленное управление (ГВПУ) ВСНХ СССР</w:t>
      </w:r>
    </w:p>
    <w:p w14:paraId="095236DE"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1929-1930 гг.</w:t>
      </w:r>
    </w:p>
    <w:p w14:paraId="320F90A8"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Химический завод № 1 Москва, п/я 702</w:t>
      </w:r>
    </w:p>
    <w:p w14:paraId="1A2D44BE"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Химический завод № 2 Троицк Самарской губернии, п\я 2</w:t>
      </w:r>
    </w:p>
    <w:p w14:paraId="55B2D9FB"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 «Патрубтрест»</w:t>
      </w:r>
    </w:p>
    <w:p w14:paraId="49614B6C"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Тульский патронный завод </w:t>
      </w:r>
    </w:p>
    <w:p w14:paraId="349754E3"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 Ильин Ф.В.</w:t>
      </w:r>
    </w:p>
    <w:p w14:paraId="2CA05C76"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Винтовки, ревпатроны, пушечные гильзы, патронная латунь, мельхиор</w:t>
      </w:r>
    </w:p>
    <w:p w14:paraId="1F07E619"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Малокалиберные патроны, примуса, самовары и пр.</w:t>
      </w:r>
    </w:p>
    <w:p w14:paraId="0D130EA6"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Тула, п/я 37</w:t>
      </w:r>
    </w:p>
    <w:p w14:paraId="2F25A74F"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1932 года присвоен номер - №10, на незначительный период)</w:t>
      </w:r>
    </w:p>
    <w:p w14:paraId="52905398"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Завод № 3 им. Володарского</w:t>
      </w:r>
    </w:p>
    <w:p w14:paraId="05E3DC84"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 Меняйло М.Л,</w:t>
      </w:r>
    </w:p>
    <w:p w14:paraId="118F75D1"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Винтпатроны и ревпатроны</w:t>
      </w:r>
    </w:p>
    <w:p w14:paraId="47A79FCD"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Ульяновск, п/я 19</w:t>
      </w:r>
    </w:p>
    <w:p w14:paraId="04AA6341"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Завод № 17</w:t>
      </w:r>
    </w:p>
    <w:p w14:paraId="17AE57AF"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 Дорофеев А.Н.</w:t>
      </w:r>
    </w:p>
    <w:p w14:paraId="1666885A"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Винтпатроны и ревпатроны</w:t>
      </w:r>
    </w:p>
    <w:p w14:paraId="7689ABE0"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Малокалиберные патроны</w:t>
      </w:r>
    </w:p>
    <w:p w14:paraId="1A939FA5"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Подольск, п/я 17</w:t>
      </w:r>
    </w:p>
    <w:p w14:paraId="2C604CBE"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Завод № 60</w:t>
      </w:r>
    </w:p>
    <w:p w14:paraId="056CD9A9"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 Мальцев П.И.</w:t>
      </w:r>
    </w:p>
    <w:p w14:paraId="3BE6EA8F"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Винтпатроны</w:t>
      </w:r>
    </w:p>
    <w:p w14:paraId="24C13256"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Станки для патронного производства</w:t>
      </w:r>
    </w:p>
    <w:p w14:paraId="22B4E489"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Луганск, п/я 27</w:t>
      </w:r>
    </w:p>
    <w:p w14:paraId="10B026B3"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Московский дроболитейный завод</w:t>
      </w:r>
    </w:p>
    <w:p w14:paraId="50C96D14"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 Перфильев Н.А.</w:t>
      </w:r>
    </w:p>
    <w:p w14:paraId="5A6A801D"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Осветительные патроны</w:t>
      </w:r>
    </w:p>
    <w:p w14:paraId="42C1CF4C"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Охотничьи патроны, дробь, картечь, пыжи, кожевенные изделия</w:t>
      </w:r>
    </w:p>
    <w:p w14:paraId="203A6CA1"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Москва, Дроболитейный пер.</w:t>
      </w:r>
    </w:p>
    <w:p w14:paraId="7C66240B"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(Позже Завод №58 им. Ворошилова).</w:t>
      </w:r>
    </w:p>
    <w:p w14:paraId="7581A5BD"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Завод № 4 им. Всероссийского старосты т. Калинина</w:t>
      </w:r>
    </w:p>
    <w:p w14:paraId="09C04BA9"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 Холодилин Ф.И.</w:t>
      </w:r>
    </w:p>
    <w:p w14:paraId="31233995"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Взрыватели, руж. гранаты Дьяконова и пр.</w:t>
      </w:r>
    </w:p>
    <w:p w14:paraId="2F64E2E5"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Автоавиатракторные свечи, мясорубки, детали текстильных машин, станкостроение</w:t>
      </w:r>
    </w:p>
    <w:p w14:paraId="4C6135E5"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Ленинград, п/я 18</w:t>
      </w:r>
    </w:p>
    <w:p w14:paraId="485D6FB4"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Завод № 42 им. Масленникова</w:t>
      </w:r>
    </w:p>
    <w:p w14:paraId="43931A3E"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 Шмырев И.И.</w:t>
      </w:r>
    </w:p>
    <w:p w14:paraId="7D628BCB"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 и «Д» трубы, капсюльная втулка, запалы Ковешникова и пр.</w:t>
      </w:r>
    </w:p>
    <w:p w14:paraId="4899F1B1"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Электроарматура, пароарматура</w:t>
      </w:r>
    </w:p>
    <w:p w14:paraId="54D9F262"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Самара, п\я 59</w:t>
      </w:r>
    </w:p>
    <w:p w14:paraId="483486B2"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Завод № 50 (Пензенский велосипедный завод) им. Фрунзе</w:t>
      </w:r>
    </w:p>
    <w:p w14:paraId="2220467D"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 Дмитриев М.Е.</w:t>
      </w:r>
    </w:p>
    <w:p w14:paraId="4B3CEB7F"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Взрыватели и пр.</w:t>
      </w:r>
    </w:p>
    <w:p w14:paraId="7B2348EA"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Велосипеды</w:t>
      </w:r>
    </w:p>
    <w:p w14:paraId="13B13AC9"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Пенза, п/я 25</w:t>
      </w:r>
    </w:p>
    <w:p w14:paraId="1128FB94"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Оружейно-пулеметный</w:t>
      </w:r>
    </w:p>
    <w:p w14:paraId="6C4805F9"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Первые оружейные заводы в Туле</w:t>
      </w:r>
    </w:p>
    <w:p w14:paraId="221A1DEA"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 Ситников В.Н.</w:t>
      </w:r>
    </w:p>
    <w:p w14:paraId="5EFA689B"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Винтовки, пулеметы и револьверы «Наган»</w:t>
      </w:r>
    </w:p>
    <w:p w14:paraId="478BF0E7"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Охотничье и малокалиберное оружие, инструмент, текстильное машиностроение, станкостроение</w:t>
      </w:r>
    </w:p>
    <w:p w14:paraId="5EA5ABA7"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Тула, п/я №№ 86 и 87</w:t>
      </w:r>
    </w:p>
    <w:p w14:paraId="14B7086D"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Ижевские оружейный и сталелитейный заводы</w:t>
      </w:r>
    </w:p>
    <w:p w14:paraId="4CCB0082"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 Ершов М.И.</w:t>
      </w:r>
    </w:p>
    <w:p w14:paraId="22DF5CEF"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Винтовки и авиапоковки</w:t>
      </w:r>
    </w:p>
    <w:p w14:paraId="6DFD1144"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Сталь, инструмент (включая напильники), охотружья, станкостроение</w:t>
      </w:r>
    </w:p>
    <w:p w14:paraId="208C52BE"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Ижевск, п/я 11</w:t>
      </w:r>
    </w:p>
    <w:p w14:paraId="424F125F"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Сестрорецкий завод им. Воскова</w:t>
      </w:r>
    </w:p>
    <w:p w14:paraId="6E80AE0F"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 Жбаков П.И.</w:t>
      </w:r>
    </w:p>
    <w:p w14:paraId="59A276B3"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Принадлежность к винтовке</w:t>
      </w:r>
    </w:p>
    <w:p w14:paraId="48B0979B"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Мерительный инструмент</w:t>
      </w:r>
    </w:p>
    <w:p w14:paraId="39B4E256"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Сестрорецк, пл. Свободы</w:t>
      </w:r>
    </w:p>
    <w:p w14:paraId="6B5BCC97"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Инструментальный завод № 2</w:t>
      </w:r>
    </w:p>
    <w:p w14:paraId="3BC4A468"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 Бурухин А.М.</w:t>
      </w:r>
    </w:p>
    <w:p w14:paraId="01E404D3"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Пулеметы ручные, авиационные и танковые</w:t>
      </w:r>
    </w:p>
    <w:p w14:paraId="2399BA5E"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Ковров Владимирской области, п/я 9</w:t>
      </w:r>
    </w:p>
    <w:p w14:paraId="5B8F65F7"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«Красногвардеец»</w:t>
      </w:r>
    </w:p>
    <w:p w14:paraId="27479FF4"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 Шахов А.И.</w:t>
      </w:r>
    </w:p>
    <w:p w14:paraId="01D02AB6"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Производство хирургического инструмента, примусы</w:t>
      </w:r>
    </w:p>
    <w:p w14:paraId="2A033E24"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Ленинград, п/я 1, Аптекарский остров</w:t>
      </w:r>
    </w:p>
    <w:p w14:paraId="5973C37F"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Военно-химический трест</w:t>
      </w:r>
    </w:p>
    <w:p w14:paraId="491FB681"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 40 им. Ленина</w:t>
      </w:r>
    </w:p>
    <w:p w14:paraId="60A944C2"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 Чупшев Г.И.</w:t>
      </w:r>
    </w:p>
    <w:p w14:paraId="58BFB4C5"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Бездымный порох</w:t>
      </w:r>
    </w:p>
    <w:p w14:paraId="4D86D1CB"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Ставится производство искусственного шелка</w:t>
      </w:r>
    </w:p>
    <w:p w14:paraId="482B259F"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Казань, п\я 101</w:t>
      </w:r>
    </w:p>
    <w:p w14:paraId="3A4F2C8A"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им. Свердлова № 80</w:t>
      </w:r>
    </w:p>
    <w:p w14:paraId="0A6C7391"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 Кетура Н.Г.</w:t>
      </w:r>
    </w:p>
    <w:p w14:paraId="7D9A3573"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Тротил и снаряжение снарядов</w:t>
      </w:r>
    </w:p>
    <w:p w14:paraId="20016A53"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Медный купорос, ставится производство аммоналов и полупродуктов красочной промышленности</w:t>
      </w:r>
    </w:p>
    <w:p w14:paraId="7158BB34"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Растяпино, п/я 5</w:t>
      </w:r>
    </w:p>
    <w:p w14:paraId="7412BDE9"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Сергиевский завод № 11 (Сергиевский Посад, Сергиев (1919г))</w:t>
      </w:r>
    </w:p>
    <w:p w14:paraId="0E0C95F3"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 Жиляев Н.Д,</w:t>
      </w:r>
    </w:p>
    <w:p w14:paraId="13E139F6"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Снаряжение ручных гранат, капсюля, сигнальные гранаты, снаряжение ВВ, инструмент.</w:t>
      </w:r>
    </w:p>
    <w:p w14:paraId="42794C10"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Ж\д петарды и пр.</w:t>
      </w:r>
    </w:p>
    <w:p w14:paraId="4267D668"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Сергиев, Московской губернии, п/я 3</w:t>
      </w:r>
    </w:p>
    <w:p w14:paraId="24993065"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Шостенский завод № 9</w:t>
      </w:r>
    </w:p>
    <w:p w14:paraId="23E259A7"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 Урицкий С.Б.</w:t>
      </w:r>
    </w:p>
    <w:p w14:paraId="3D960FAB"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Капсюльное производство и может делать бездымный и дымный порох</w:t>
      </w:r>
    </w:p>
    <w:p w14:paraId="40E3EF35"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Медный купорос, детонаторы, картонное производство и пр. </w:t>
      </w:r>
    </w:p>
    <w:p w14:paraId="035CA72A"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Устанавливается производство фото-кинопленки</w:t>
      </w:r>
    </w:p>
    <w:p w14:paraId="1485A0BF"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Шостка, Сумская обл. Украина. </w:t>
      </w:r>
    </w:p>
    <w:p w14:paraId="6574727C"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им. Косякова</w:t>
      </w:r>
    </w:p>
    <w:p w14:paraId="3F58FA9B"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 Алексеев К.А.</w:t>
      </w:r>
    </w:p>
    <w:p w14:paraId="5392D3F0"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Бездымный порох</w:t>
      </w:r>
    </w:p>
    <w:p w14:paraId="42D990E7"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Серный эфир</w:t>
      </w:r>
    </w:p>
    <w:p w14:paraId="2F98CB48"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Рошаль, Московской губернии, п/я 4</w:t>
      </w:r>
    </w:p>
    <w:p w14:paraId="13BB4913"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Богородский завод № 12</w:t>
      </w:r>
    </w:p>
    <w:p w14:paraId="12EF0F0F"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 Титов А.Е.</w:t>
      </w:r>
    </w:p>
    <w:p w14:paraId="78216BEB"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Снаряжение снарядов, аэробомб, противогазов, производство активированного угля</w:t>
      </w:r>
    </w:p>
    <w:p w14:paraId="3535FC6D"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Богородск Московской губернии, п/я 1</w:t>
      </w:r>
    </w:p>
    <w:p w14:paraId="7321A45B"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Ленинградский Ульяновский завод</w:t>
      </w:r>
    </w:p>
    <w:p w14:paraId="6CAB3130"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 Ходулев Ф.Т.</w:t>
      </w:r>
    </w:p>
    <w:p w14:paraId="7E8B01A2"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Дымный порох для трубок</w:t>
      </w:r>
    </w:p>
    <w:p w14:paraId="35CAA627"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Бикфордов шнур, охотничий порох</w:t>
      </w:r>
    </w:p>
    <w:p w14:paraId="3A54FB36"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 Саблино Ленинградской области</w:t>
      </w:r>
    </w:p>
    <w:p w14:paraId="693626AC"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«Красный боевик» № 25</w:t>
      </w:r>
    </w:p>
    <w:p w14:paraId="5D768F71"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 Мосеев Ф.Л.</w:t>
      </w:r>
    </w:p>
    <w:p w14:paraId="2869BEAA"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Подготовляется к производству бездымного пороха</w:t>
      </w:r>
    </w:p>
    <w:p w14:paraId="7BC446B6"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Будет ставиться производство целлулойда</w:t>
      </w:r>
    </w:p>
    <w:p w14:paraId="33D9B4D8"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Тамбов</w:t>
      </w:r>
    </w:p>
    <w:p w14:paraId="41FB9EB5"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«Краснознаменец»</w:t>
      </w:r>
    </w:p>
    <w:p w14:paraId="6D04503B"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 Абрамов Г.А.</w:t>
      </w:r>
    </w:p>
    <w:p w14:paraId="5986D667"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Револьверные и трубочные капсюли, зажигательные снаряды</w:t>
      </w:r>
    </w:p>
    <w:p w14:paraId="24DC07B5"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Капсюлированные детонаторы для горных работ и охотничьи капсюли</w:t>
      </w:r>
    </w:p>
    <w:p w14:paraId="28207FE0"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Ленинград, п/я 1</w:t>
      </w:r>
    </w:p>
    <w:p w14:paraId="01D6750B"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Шлиссельбургский завод им. Морозова</w:t>
      </w:r>
    </w:p>
    <w:p w14:paraId="1B54D11C"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 Волостнов П.И.</w:t>
      </w:r>
    </w:p>
    <w:p w14:paraId="1FE6D5CD"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Револьверный порох, минный порох</w:t>
      </w:r>
    </w:p>
    <w:p w14:paraId="75A4CD8B"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Самарский завод № 15</w:t>
      </w:r>
    </w:p>
    <w:p w14:paraId="4E6E56EA"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 Козловский П.А.</w:t>
      </w:r>
    </w:p>
    <w:p w14:paraId="7A092DF0"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Троицк Самарской области, п\я 15</w:t>
      </w:r>
    </w:p>
    <w:p w14:paraId="4D3455B6"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ЦНИЛ № 84</w:t>
      </w:r>
    </w:p>
    <w:p w14:paraId="6BC8F4F7"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 Никитин М.А.</w:t>
      </w:r>
    </w:p>
    <w:p w14:paraId="176A9D5F"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Ленинград</w:t>
      </w:r>
    </w:p>
    <w:p w14:paraId="7023FFE1"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Орудийно-арсенальный</w:t>
      </w:r>
    </w:p>
    <w:p w14:paraId="301C47AF"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«Большевик»</w:t>
      </w:r>
    </w:p>
    <w:p w14:paraId="47F6E29C"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 Григорьев Н.С.</w:t>
      </w:r>
    </w:p>
    <w:p w14:paraId="656052EF"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Орудийное производство (новое, ремонт и запчасти), оптика, танки, тракторы, авиамоторы</w:t>
      </w:r>
    </w:p>
    <w:p w14:paraId="3B5A99FA"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Металлургия, литье, поковки, прокат, оптика и точная механика</w:t>
      </w:r>
    </w:p>
    <w:p w14:paraId="1DD1EF07"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Ленинград</w:t>
      </w:r>
    </w:p>
    <w:p w14:paraId="19CBA5E7"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«Мастяжарт»</w:t>
      </w:r>
    </w:p>
    <w:p w14:paraId="34A857E6"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 Кузьмичев Г.Т.</w:t>
      </w:r>
    </w:p>
    <w:p w14:paraId="3940E93F"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Аэробомбы, противогазы, корпуса ручных гранат</w:t>
      </w:r>
    </w:p>
    <w:p w14:paraId="0A40F5CC"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Разные изделия из жести, котельные работы и пр.</w:t>
      </w:r>
    </w:p>
    <w:p w14:paraId="792259C3"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Москва, 58, п/я 1, Семеновская застава, ул. Вельяминовская, 32</w:t>
      </w:r>
    </w:p>
    <w:p w14:paraId="35DA990F"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точной механики № 19</w:t>
      </w:r>
    </w:p>
    <w:p w14:paraId="1E2E9ACF"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 Титов И.Т.</w:t>
      </w:r>
    </w:p>
    <w:p w14:paraId="7CF5C02D"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Оптическое производство: стереотрубы, бинокли, панорамы и ремонт оптики</w:t>
      </w:r>
    </w:p>
    <w:p w14:paraId="7ADA7B66"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Линзы и оправы очковые, объективы и лупы разные</w:t>
      </w:r>
    </w:p>
    <w:p w14:paraId="2ABCFE67"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Павшино, п/я 2</w:t>
      </w:r>
    </w:p>
    <w:p w14:paraId="2F78831F"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Механический завод № 13</w:t>
      </w:r>
    </w:p>
    <w:p w14:paraId="3D4AFD9A"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Директор – Иванов К.В.</w:t>
      </w:r>
    </w:p>
    <w:p w14:paraId="00EFBF69"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Арсенальное производство: аммуниция, снарядные прицепки, перестволение, повозки конной тяги, механические тяги</w:t>
      </w:r>
    </w:p>
    <w:p w14:paraId="088ED70B"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Текстильное машиностроение</w:t>
      </w:r>
    </w:p>
    <w:p w14:paraId="6ADC87CD"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Брянск, п/я 6</w:t>
      </w:r>
    </w:p>
    <w:p w14:paraId="2952C1C4"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 8 им. Калинина</w:t>
      </w:r>
    </w:p>
    <w:p w14:paraId="66E048DA"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 Гузаков П.В.</w:t>
      </w:r>
    </w:p>
    <w:p w14:paraId="4557CC6E"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Орудийное производство (новое, ремонт и запчасти) и точная механика</w:t>
      </w:r>
    </w:p>
    <w:p w14:paraId="544A6DC1"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Пресс Гагарина</w:t>
      </w:r>
    </w:p>
    <w:p w14:paraId="46615E21"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Мытищи Московской губернии, п/я 1</w:t>
      </w:r>
    </w:p>
    <w:p w14:paraId="2064E9BD"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Мотовилихинский машиностроительный завод</w:t>
      </w:r>
    </w:p>
    <w:p w14:paraId="5A67B1A7"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 Кустов А.Я.</w:t>
      </w:r>
    </w:p>
    <w:p w14:paraId="57174422"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Орудийное производство (новое, ремонт и запчасти), снаряды, поковки, авиапоковки: валы, втулки и цилиндры, танки, перестволение</w:t>
      </w:r>
    </w:p>
    <w:p w14:paraId="329DBED8"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Поковки, литье, двигатели Болиндра, инструмент, драги, прокат и обжатая заготовка</w:t>
      </w:r>
    </w:p>
    <w:p w14:paraId="68AF2CEC"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Киевский краснознаменный завод</w:t>
      </w:r>
    </w:p>
    <w:p w14:paraId="235B4C60"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 Чернышев Ф.М.</w:t>
      </w:r>
    </w:p>
    <w:p w14:paraId="008DD546"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Арсенальное производство: передки, лафеты, колеса боевые, ремонт, запчасти, пулемет тачанки, аэробомбы, двуколки патронные, повозки парные, колеса обозные</w:t>
      </w:r>
    </w:p>
    <w:p w14:paraId="5C3B7C1A"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Текстильное машиностроение, станки и валки мелничные, веялки</w:t>
      </w:r>
    </w:p>
    <w:p w14:paraId="7114C896"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Киев 2, п/я 1</w:t>
      </w:r>
    </w:p>
    <w:p w14:paraId="45601150"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Механический завод № 7</w:t>
      </w:r>
    </w:p>
    <w:p w14:paraId="1184F66B"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 Руда И.П.</w:t>
      </w:r>
    </w:p>
    <w:p w14:paraId="34EE1DDF"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Арсенальное производство: ремонт и запчасти артиллерии, колеса, седла, снарядные прицепки, прицепные повозки, зарядные ящики и аэробомбы, авиахимбомбы, хлебопекарни</w:t>
      </w:r>
    </w:p>
    <w:p w14:paraId="2DFCB3ED"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Банкоброши, ленточные машины, ткацкие автоматы и запчасти к текстильным машинам</w:t>
      </w:r>
    </w:p>
    <w:p w14:paraId="528F629D"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Ленинград 9, п/я 1</w:t>
      </w:r>
    </w:p>
    <w:p w14:paraId="61C700DE"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«ЛЕНЗОС»</w:t>
      </w:r>
    </w:p>
    <w:p w14:paraId="2A792AB4"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 Иванов В.И.</w:t>
      </w:r>
    </w:p>
    <w:p w14:paraId="0567FE01"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Ленинград 12, п/я 1</w:t>
      </w:r>
    </w:p>
    <w:p w14:paraId="01883233"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«Баррикады»</w:t>
      </w:r>
    </w:p>
    <w:p w14:paraId="60FA8D17"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 Зотов Г.Т.</w:t>
      </w:r>
    </w:p>
    <w:p w14:paraId="07039EE6"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Производство оборудования для нефтяной, писчебумажной и силикатной промышленности, поковки, литье</w:t>
      </w:r>
    </w:p>
    <w:p w14:paraId="30F39FF1"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Сталинград, п/я 113</w:t>
      </w:r>
    </w:p>
    <w:p w14:paraId="0D4BB7D8"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Изюмский завод оптического стекла им. Дзержинского</w:t>
      </w:r>
    </w:p>
    <w:p w14:paraId="2CD8A466"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 Виксне Я.П.</w:t>
      </w:r>
    </w:p>
    <w:p w14:paraId="0E27A91C"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Оптическое стекло</w:t>
      </w:r>
    </w:p>
    <w:p w14:paraId="228F58A9"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Очковые стекла и огнеупорные изделия</w:t>
      </w:r>
    </w:p>
    <w:p w14:paraId="70491BCA"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Изюм, п/я 24 (18629).</w:t>
      </w:r>
    </w:p>
    <w:p w14:paraId="3FBC10C4" w14:textId="77777777" w:rsidR="009A3E3D" w:rsidRPr="005E779E" w:rsidRDefault="009A3E3D" w:rsidP="000B7A6C">
      <w:pPr>
        <w:spacing w:after="0" w:line="240" w:lineRule="auto"/>
        <w:jc w:val="both"/>
        <w:rPr>
          <w:rFonts w:ascii="Times New Roman" w:hAnsi="Times New Roman"/>
          <w:color w:val="000000" w:themeColor="text1"/>
          <w:sz w:val="16"/>
          <w:szCs w:val="16"/>
        </w:rPr>
      </w:pPr>
    </w:p>
    <w:p w14:paraId="3B0A8FB6" w14:textId="77777777" w:rsidR="00E252B8" w:rsidRPr="005E779E" w:rsidRDefault="00E252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1931 г., на заводе №1 была запущена в производство первая партия документации на самолет И-7 и началось изготовление первых деталей и узлов. В это время на заводе уже завершался серийный выпуск отечественных самолетов И-3, налажено крупносерийное производство Р-5 и приступили к серийному производству И-5 (24331)</w:t>
      </w:r>
    </w:p>
    <w:p w14:paraId="1F380519" w14:textId="77777777" w:rsidR="00E252B8" w:rsidRPr="005E779E" w:rsidRDefault="00E252B8" w:rsidP="000B7A6C">
      <w:pPr>
        <w:spacing w:after="0" w:line="240" w:lineRule="auto"/>
        <w:jc w:val="both"/>
        <w:rPr>
          <w:rFonts w:ascii="Times New Roman" w:hAnsi="Times New Roman"/>
          <w:color w:val="000000" w:themeColor="text1"/>
          <w:sz w:val="16"/>
          <w:szCs w:val="16"/>
        </w:rPr>
      </w:pPr>
    </w:p>
    <w:p w14:paraId="5C5CD8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1931 г. на заводе № 22 в Филях, где делали ТБ-1, конструктивно и технологически очень близкий к "крейсеру", заложили первую серию из пяти самолетов Р-6. Фактически она разделялась на две. На первых двух машинах собирались отработать окончательную схему размещения оборудования и вооружения, так и не определенную до сих пор заказчиком. Это тогда было нормой: ждать некогда, надо выполнять план!</w:t>
      </w:r>
    </w:p>
    <w:p w14:paraId="70DE8F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последнему уточненному плану головной Р-6 должен был быть предъявлен на испытания 7 сентября 1931 г.; фактически он прибыл в НИИ ВВС 3 октября. Задержка в основном связывалась с несвоевременной поставкой оборудования. В августе уже почти готовая машина стояла без вооружения - оно не прибыло в срок. Представители УВВС практически до последнего момента вносили изменения в свои требования. Так, 6 июля очередная комиссия, побывавшая на заводе, потребовала перенести трубку Пито, усилить балки бомбодержателей и обшивку под ними, еще раз перекомпоновать оборудование в кабинах, ввести лаз от летнаба к пилоту. Это вызвало взрыв негодования у Туполева: "УВВС переписывается, а самолеты завод уже строит..." В итоге военные согласились внести часть изменений со 2-й серии. Головной же самолет № 2201 выпустили на испытания некомплектным - практически без вооружения и многих элементов оборудования (12036).</w:t>
      </w:r>
    </w:p>
    <w:p w14:paraId="252DD7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A9CE8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1931 г. завод №39 сдал еще четы</w:t>
      </w:r>
      <w:r w:rsidRPr="005E779E">
        <w:rPr>
          <w:rFonts w:ascii="Times New Roman" w:hAnsi="Times New Roman"/>
          <w:color w:val="000000" w:themeColor="text1"/>
          <w:sz w:val="16"/>
          <w:szCs w:val="16"/>
        </w:rPr>
        <w:softHyphen/>
        <w:t>ре серийные машины из первого заказа: таким образом, общее количество изготовленных здесь И-5 составило 12 экземпляров. Хотя выпуск И-5 в 1931 г. почти полностью перешел на завод №1, вся техническая под</w:t>
      </w:r>
      <w:r w:rsidRPr="005E779E">
        <w:rPr>
          <w:rFonts w:ascii="Times New Roman" w:hAnsi="Times New Roman"/>
          <w:color w:val="000000" w:themeColor="text1"/>
          <w:sz w:val="16"/>
          <w:szCs w:val="16"/>
        </w:rPr>
        <w:softHyphen/>
        <w:t>держка по-прежнему осуществлялась отделом доводок (отделом №9) ЦКБ, то есть специали</w:t>
      </w:r>
      <w:r w:rsidRPr="005E779E">
        <w:rPr>
          <w:rFonts w:ascii="Times New Roman" w:hAnsi="Times New Roman"/>
          <w:color w:val="000000" w:themeColor="text1"/>
          <w:sz w:val="16"/>
          <w:szCs w:val="16"/>
        </w:rPr>
        <w:softHyphen/>
        <w:t xml:space="preserve">стами завода №39. Начальником ЦКБ являлся С.В. Ильюшин, его замом (помощником) -А.В. Надашкевич, </w:t>
      </w:r>
      <w:r w:rsidRPr="005E779E">
        <w:rPr>
          <w:rFonts w:ascii="Times New Roman" w:hAnsi="Times New Roman"/>
          <w:color w:val="000000" w:themeColor="text1"/>
          <w:sz w:val="16"/>
          <w:szCs w:val="16"/>
          <w:lang w:val="en-US"/>
        </w:rPr>
        <w:t>B</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C</w:t>
      </w:r>
      <w:r w:rsidRPr="005E779E">
        <w:rPr>
          <w:rFonts w:ascii="Times New Roman" w:hAnsi="Times New Roman"/>
          <w:color w:val="000000" w:themeColor="text1"/>
          <w:sz w:val="16"/>
          <w:szCs w:val="16"/>
        </w:rPr>
        <w:t>. Вахмистров - начальник бригады вооружения И.Л.Толстых - начальник секции оборудования (11974).</w:t>
      </w:r>
    </w:p>
    <w:p w14:paraId="10A205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2CB1A4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1931 г. — летчика-истребителя — направили в отряд НИИ ВВС, испытывавше</w:t>
      </w:r>
      <w:r w:rsidRPr="005E779E">
        <w:rPr>
          <w:rFonts w:ascii="Times New Roman" w:hAnsi="Times New Roman"/>
          <w:color w:val="000000" w:themeColor="text1"/>
          <w:sz w:val="16"/>
          <w:szCs w:val="16"/>
        </w:rPr>
        <w:softHyphen/>
        <w:t>го бомбардировщики, а инструктором наз</w:t>
      </w:r>
      <w:r w:rsidRPr="005E779E">
        <w:rPr>
          <w:rFonts w:ascii="Times New Roman" w:hAnsi="Times New Roman"/>
          <w:color w:val="000000" w:themeColor="text1"/>
          <w:sz w:val="16"/>
          <w:szCs w:val="16"/>
        </w:rPr>
        <w:softHyphen/>
        <w:t>начили В.П.Чкалова.</w:t>
      </w:r>
    </w:p>
    <w:p w14:paraId="34BC48A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взлете Валерий Павлович плавно прибавил оборотов обоим моторам, и тя</w:t>
      </w:r>
      <w:r w:rsidRPr="005E779E">
        <w:rPr>
          <w:rFonts w:ascii="Times New Roman" w:hAnsi="Times New Roman"/>
          <w:color w:val="000000" w:themeColor="text1"/>
          <w:sz w:val="16"/>
          <w:szCs w:val="16"/>
        </w:rPr>
        <w:softHyphen/>
        <w:t>желая машина легко, без напряжения под</w:t>
      </w:r>
      <w:r w:rsidRPr="005E779E">
        <w:rPr>
          <w:rFonts w:ascii="Times New Roman" w:hAnsi="Times New Roman"/>
          <w:color w:val="000000" w:themeColor="text1"/>
          <w:sz w:val="16"/>
          <w:szCs w:val="16"/>
        </w:rPr>
        <w:softHyphen/>
        <w:t>нялась в воздух. За штурвалом Чкалов си</w:t>
      </w:r>
      <w:r w:rsidRPr="005E779E">
        <w:rPr>
          <w:rFonts w:ascii="Times New Roman" w:hAnsi="Times New Roman"/>
          <w:color w:val="000000" w:themeColor="text1"/>
          <w:sz w:val="16"/>
          <w:szCs w:val="16"/>
        </w:rPr>
        <w:softHyphen/>
        <w:t>дел спокойно, словно за чашкой чая. Оно и понятно, — подумал я, — к чему волновать</w:t>
      </w:r>
      <w:r w:rsidRPr="005E779E">
        <w:rPr>
          <w:rFonts w:ascii="Times New Roman" w:hAnsi="Times New Roman"/>
          <w:color w:val="000000" w:themeColor="text1"/>
          <w:sz w:val="16"/>
          <w:szCs w:val="16"/>
        </w:rPr>
        <w:softHyphen/>
        <w:t>ся: бомбардировщик устойчив в воздухе, не вильнет, не кувыркнется, как ястребок...</w:t>
      </w:r>
    </w:p>
    <w:p w14:paraId="363BD1E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Совершенно неожиданно самолет во</w:t>
      </w:r>
      <w:r w:rsidRPr="005E779E">
        <w:rPr>
          <w:rFonts w:ascii="Times New Roman" w:hAnsi="Times New Roman"/>
          <w:color w:val="000000" w:themeColor="text1"/>
          <w:sz w:val="16"/>
          <w:szCs w:val="16"/>
        </w:rPr>
        <w:softHyphen/>
        <w:t>шел в глубокий вираж. А до земли было метров триста, не больше. Безупречно вы</w:t>
      </w:r>
      <w:r w:rsidRPr="005E779E">
        <w:rPr>
          <w:rFonts w:ascii="Times New Roman" w:hAnsi="Times New Roman"/>
          <w:color w:val="000000" w:themeColor="text1"/>
          <w:sz w:val="16"/>
          <w:szCs w:val="16"/>
        </w:rPr>
        <w:softHyphen/>
        <w:t>полнив несколько фигур, Чкалов резко под</w:t>
      </w:r>
      <w:r w:rsidRPr="005E779E">
        <w:rPr>
          <w:rFonts w:ascii="Times New Roman" w:hAnsi="Times New Roman"/>
          <w:color w:val="000000" w:themeColor="text1"/>
          <w:sz w:val="16"/>
          <w:szCs w:val="16"/>
        </w:rPr>
        <w:softHyphen/>
        <w:t>нял нос корабля, плавно убрал газ и пере</w:t>
      </w:r>
      <w:r w:rsidRPr="005E779E">
        <w:rPr>
          <w:rFonts w:ascii="Times New Roman" w:hAnsi="Times New Roman"/>
          <w:color w:val="000000" w:themeColor="text1"/>
          <w:sz w:val="16"/>
          <w:szCs w:val="16"/>
        </w:rPr>
        <w:softHyphen/>
        <w:t>вел машину в крутое пикирование. Что он делает, черт! Земля стремительно прибли</w:t>
      </w:r>
      <w:r w:rsidRPr="005E779E">
        <w:rPr>
          <w:rFonts w:ascii="Times New Roman" w:hAnsi="Times New Roman"/>
          <w:color w:val="000000" w:themeColor="text1"/>
          <w:sz w:val="16"/>
          <w:szCs w:val="16"/>
        </w:rPr>
        <w:softHyphen/>
        <w:t>жается. С беспокойством и укором смотрю на своего инструктора: мы ведь не на ист</w:t>
      </w:r>
      <w:r w:rsidRPr="005E779E">
        <w:rPr>
          <w:rFonts w:ascii="Times New Roman" w:hAnsi="Times New Roman"/>
          <w:color w:val="000000" w:themeColor="text1"/>
          <w:sz w:val="16"/>
          <w:szCs w:val="16"/>
        </w:rPr>
        <w:softHyphen/>
        <w:t>ребителе! А он «пьет чай».</w:t>
      </w:r>
    </w:p>
    <w:p w14:paraId="2FEFB32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Вот уже до земли не более пятидесяти метров... Деревенские домишки, разраста</w:t>
      </w:r>
      <w:r w:rsidRPr="005E779E">
        <w:rPr>
          <w:rFonts w:ascii="Times New Roman" w:hAnsi="Times New Roman"/>
          <w:color w:val="000000" w:themeColor="text1"/>
          <w:sz w:val="16"/>
          <w:szCs w:val="16"/>
        </w:rPr>
        <w:softHyphen/>
        <w:t>ясь, лезут в глаза. Еще секунда — и...</w:t>
      </w:r>
    </w:p>
    <w:p w14:paraId="19B9AAA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Взревев моторами, самолет рванулся вверх, легко развернулся и перешел в гори</w:t>
      </w:r>
      <w:r w:rsidRPr="005E779E">
        <w:rPr>
          <w:rFonts w:ascii="Times New Roman" w:hAnsi="Times New Roman"/>
          <w:color w:val="000000" w:themeColor="text1"/>
          <w:sz w:val="16"/>
          <w:szCs w:val="16"/>
        </w:rPr>
        <w:softHyphen/>
        <w:t>зонтальный полет.</w:t>
      </w:r>
    </w:p>
    <w:p w14:paraId="02D4925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голове у меня сумбур. Бомбардиров</w:t>
      </w:r>
      <w:r w:rsidRPr="005E779E">
        <w:rPr>
          <w:rFonts w:ascii="Times New Roman" w:hAnsi="Times New Roman"/>
          <w:color w:val="000000" w:themeColor="text1"/>
          <w:sz w:val="16"/>
          <w:szCs w:val="16"/>
        </w:rPr>
        <w:softHyphen/>
        <w:t>щик, а такой маневренный! С восхищением смотрю на Чкалова.</w:t>
      </w:r>
    </w:p>
    <w:p w14:paraId="2FFE42D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Понял? — спрашивает он, широко улыбаясь. В ответ согласно киваю головой.</w:t>
      </w:r>
    </w:p>
    <w:p w14:paraId="4856C69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Давай сам.</w:t>
      </w:r>
    </w:p>
    <w:p w14:paraId="440C635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Так сразу? А инструктор уже полностью освободил штурвал:</w:t>
      </w:r>
    </w:p>
    <w:p w14:paraId="2A4C096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—Ну!</w:t>
      </w:r>
    </w:p>
    <w:p w14:paraId="4212680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Высота — триста метров. Закладываю не менее глубокие виражи, потом подни</w:t>
      </w:r>
      <w:r w:rsidRPr="005E779E">
        <w:rPr>
          <w:rFonts w:ascii="Times New Roman" w:hAnsi="Times New Roman"/>
          <w:color w:val="000000" w:themeColor="text1"/>
          <w:sz w:val="16"/>
          <w:szCs w:val="16"/>
        </w:rPr>
        <w:softHyphen/>
        <w:t>маю нос самолета, плавно сбрасываю газ и по-чкаловски энергично бросаю машину в пикирование. Кажется, не самолет несется вниз, а сама земля мчится ему навстречу. Не ощущаю ни громадных размеров, ни тя</w:t>
      </w:r>
      <w:r w:rsidRPr="005E779E">
        <w:rPr>
          <w:rFonts w:ascii="Times New Roman" w:hAnsi="Times New Roman"/>
          <w:color w:val="000000" w:themeColor="text1"/>
          <w:sz w:val="16"/>
          <w:szCs w:val="16"/>
        </w:rPr>
        <w:softHyphen/>
        <w:t>жести корабля. Высота уже сто пятьдесят, сто метров... Пора! Самолет пружинисто ломает кривую полета и взмывает вверх.</w:t>
      </w:r>
    </w:p>
    <w:p w14:paraId="572C93D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Хорошо! — по-волжски окая, одобрил Валерий Павлович. — Понял. Иди на посадку.</w:t>
      </w:r>
    </w:p>
    <w:p w14:paraId="642FFEF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второй посадки Чкалов освобо</w:t>
      </w:r>
      <w:r w:rsidRPr="005E779E">
        <w:rPr>
          <w:rFonts w:ascii="Times New Roman" w:hAnsi="Times New Roman"/>
          <w:color w:val="000000" w:themeColor="text1"/>
          <w:sz w:val="16"/>
          <w:szCs w:val="16"/>
        </w:rPr>
        <w:softHyphen/>
        <w:t>дил командирское кресло, и лицо его снова расплылось в улыбке.</w:t>
      </w:r>
    </w:p>
    <w:p w14:paraId="2055002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Лети сам, — сказал он. — Мне тут де</w:t>
      </w:r>
      <w:r w:rsidRPr="005E779E">
        <w:rPr>
          <w:rFonts w:ascii="Times New Roman" w:hAnsi="Times New Roman"/>
          <w:color w:val="000000" w:themeColor="text1"/>
          <w:sz w:val="16"/>
          <w:szCs w:val="16"/>
        </w:rPr>
        <w:softHyphen/>
        <w:t>лать нечего.</w:t>
      </w:r>
    </w:p>
    <w:p w14:paraId="77F2C6E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Так я стал летать на тяжелых воздушных кораблях» (11286).</w:t>
      </w:r>
    </w:p>
    <w:p w14:paraId="37C49E3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5DC40D" w14:textId="77777777" w:rsidR="00AE1636" w:rsidRPr="005E779E" w:rsidRDefault="00AE1636" w:rsidP="00AE1636">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1931 на 22 заводе заложили первую серию из 5 АНТ-7 (Р-6). Первыми стали делать машины 2201 и 2202 с тем, чтобы на них отработать окончательную схему размещения оборудования и вооружения (2671,14).</w:t>
      </w:r>
    </w:p>
    <w:p w14:paraId="57371F95" w14:textId="77777777" w:rsidR="00AE1636" w:rsidRPr="005E779E" w:rsidRDefault="00AE1636" w:rsidP="00AE1636">
      <w:pPr>
        <w:autoSpaceDE w:val="0"/>
        <w:autoSpaceDN w:val="0"/>
        <w:adjustRightInd w:val="0"/>
        <w:spacing w:after="0" w:line="240" w:lineRule="auto"/>
        <w:jc w:val="both"/>
        <w:rPr>
          <w:rFonts w:ascii="Times New Roman" w:hAnsi="Times New Roman"/>
          <w:color w:val="000000" w:themeColor="text1"/>
          <w:sz w:val="16"/>
          <w:szCs w:val="16"/>
        </w:rPr>
      </w:pPr>
    </w:p>
    <w:p w14:paraId="2825C43A"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1931 г. на заводе № 22 заложили первую серию из пяти самолетов Р-6. Фактически она разделя</w:t>
      </w:r>
      <w:r w:rsidRPr="00142305">
        <w:rPr>
          <w:rFonts w:ascii="Times New Roman" w:hAnsi="Times New Roman"/>
          <w:color w:val="0070C0"/>
          <w:sz w:val="16"/>
          <w:szCs w:val="16"/>
        </w:rPr>
        <w:softHyphen/>
        <w:t>лась на две. На первых двух машинах собирались отрабо</w:t>
      </w:r>
      <w:r w:rsidRPr="00142305">
        <w:rPr>
          <w:rFonts w:ascii="Times New Roman" w:hAnsi="Times New Roman"/>
          <w:color w:val="0070C0"/>
          <w:sz w:val="16"/>
          <w:szCs w:val="16"/>
        </w:rPr>
        <w:softHyphen/>
        <w:t>тать окончательную схему размещения оборудования и воо</w:t>
      </w:r>
      <w:r w:rsidRPr="00142305">
        <w:rPr>
          <w:rFonts w:ascii="Times New Roman" w:hAnsi="Times New Roman"/>
          <w:color w:val="0070C0"/>
          <w:sz w:val="16"/>
          <w:szCs w:val="16"/>
        </w:rPr>
        <w:softHyphen/>
        <w:t>ружения, так и не определенную до сих пор заказчиком. Это тогда было нормой: ждать некогда, надо выполнять план!</w:t>
      </w:r>
    </w:p>
    <w:p w14:paraId="4BE5A80E"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последнему -уточненному плану головной Р-6 дол</w:t>
      </w:r>
      <w:r w:rsidRPr="00142305">
        <w:rPr>
          <w:rFonts w:ascii="Times New Roman" w:hAnsi="Times New Roman"/>
          <w:color w:val="0070C0"/>
          <w:sz w:val="16"/>
          <w:szCs w:val="16"/>
        </w:rPr>
        <w:softHyphen/>
        <w:t>жен был быть предъявлен на испытания 7 сентября 1931 г.; фактически он прибыл в НИИ ВВС 3 октября. Задержка в основном связывалась с несвоевременной поставкой обо</w:t>
      </w:r>
      <w:r w:rsidRPr="00142305">
        <w:rPr>
          <w:rFonts w:ascii="Times New Roman" w:hAnsi="Times New Roman"/>
          <w:color w:val="0070C0"/>
          <w:sz w:val="16"/>
          <w:szCs w:val="16"/>
        </w:rPr>
        <w:softHyphen/>
        <w:t xml:space="preserve">рудования. В августе уже почти готовая машина стояла без вооружения — оно не прибыло в срок. </w:t>
      </w:r>
      <w:r w:rsidRPr="00142305">
        <w:rPr>
          <w:rFonts w:ascii="Times New Roman" w:hAnsi="Times New Roman"/>
          <w:color w:val="0070C0"/>
          <w:sz w:val="16"/>
          <w:szCs w:val="16"/>
        </w:rPr>
        <w:lastRenderedPageBreak/>
        <w:t>Представители УВВС практически до последнего момента вносили изменения в свои требования. Так, 6 июля очередная комиссия, побы</w:t>
      </w:r>
      <w:r w:rsidRPr="00142305">
        <w:rPr>
          <w:rFonts w:ascii="Times New Roman" w:hAnsi="Times New Roman"/>
          <w:color w:val="0070C0"/>
          <w:sz w:val="16"/>
          <w:szCs w:val="16"/>
        </w:rPr>
        <w:softHyphen/>
        <w:t>вавшая на заводе, потребовала перенести трубку Пито, уси</w:t>
      </w:r>
      <w:r w:rsidRPr="00142305">
        <w:rPr>
          <w:rFonts w:ascii="Times New Roman" w:hAnsi="Times New Roman"/>
          <w:color w:val="0070C0"/>
          <w:sz w:val="16"/>
          <w:szCs w:val="16"/>
        </w:rPr>
        <w:softHyphen/>
        <w:t>лить балки бомбодержателей и обшивку под ними, еще раз перекомпоновать оборудование в кабинах, ввести лаз от летнаба к пилоту. Это вызвало взрыв негодования у Туполе</w:t>
      </w:r>
      <w:r w:rsidRPr="00142305">
        <w:rPr>
          <w:rFonts w:ascii="Times New Roman" w:hAnsi="Times New Roman"/>
          <w:color w:val="0070C0"/>
          <w:sz w:val="16"/>
          <w:szCs w:val="16"/>
        </w:rPr>
        <w:softHyphen/>
        <w:t>ва: «УВВС переписывается, а самолеты завод уже строит...» В итоге военные согласились внести часть изменений со 2-й серии. Головной же самолет № 2201 выпустили на испыта</w:t>
      </w:r>
      <w:r w:rsidRPr="00142305">
        <w:rPr>
          <w:rFonts w:ascii="Times New Roman" w:hAnsi="Times New Roman"/>
          <w:color w:val="0070C0"/>
          <w:sz w:val="16"/>
          <w:szCs w:val="16"/>
        </w:rPr>
        <w:softHyphen/>
        <w:t>ния некомплектным — практически без вооружения и мно</w:t>
      </w:r>
      <w:r w:rsidRPr="00142305">
        <w:rPr>
          <w:rFonts w:ascii="Times New Roman" w:hAnsi="Times New Roman"/>
          <w:color w:val="0070C0"/>
          <w:sz w:val="16"/>
          <w:szCs w:val="16"/>
        </w:rPr>
        <w:softHyphen/>
        <w:t>гих элементов оборудования (24977).</w:t>
      </w:r>
    </w:p>
    <w:p w14:paraId="446D09C3" w14:textId="77777777" w:rsidR="00AE1636" w:rsidRPr="00142305" w:rsidRDefault="00AE1636" w:rsidP="00AE1636">
      <w:pPr>
        <w:spacing w:after="0" w:line="240" w:lineRule="auto"/>
        <w:jc w:val="both"/>
        <w:rPr>
          <w:rFonts w:ascii="Times New Roman" w:hAnsi="Times New Roman"/>
          <w:color w:val="0070C0"/>
          <w:sz w:val="16"/>
          <w:szCs w:val="16"/>
        </w:rPr>
      </w:pPr>
    </w:p>
    <w:p w14:paraId="019A7F97"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1931 года провели сравнительные ис</w:t>
      </w:r>
      <w:r w:rsidRPr="00142305">
        <w:rPr>
          <w:rFonts w:ascii="Times New Roman" w:hAnsi="Times New Roman"/>
          <w:color w:val="0070C0"/>
          <w:sz w:val="16"/>
          <w:szCs w:val="16"/>
        </w:rPr>
        <w:softHyphen/>
        <w:t>пытания нескольких типов лыж для АНТ-4, сконструированных в ЦАГИ и на заводе № 28. Первые делали целиком из кольчугалюминия, вторые были деревянными с козел</w:t>
      </w:r>
      <w:r w:rsidRPr="00142305">
        <w:rPr>
          <w:rFonts w:ascii="Times New Roman" w:hAnsi="Times New Roman"/>
          <w:color w:val="0070C0"/>
          <w:sz w:val="16"/>
          <w:szCs w:val="16"/>
        </w:rPr>
        <w:softHyphen/>
        <w:t>ком из стальных труб. Металлические оказались про</w:t>
      </w:r>
      <w:r w:rsidRPr="00142305">
        <w:rPr>
          <w:rFonts w:ascii="Times New Roman" w:hAnsi="Times New Roman"/>
          <w:color w:val="0070C0"/>
          <w:sz w:val="16"/>
          <w:szCs w:val="16"/>
        </w:rPr>
        <w:softHyphen/>
        <w:t>чнее и легче, но вдвое дороже. В итоге выбрали облег</w:t>
      </w:r>
      <w:r w:rsidRPr="00142305">
        <w:rPr>
          <w:rFonts w:ascii="Times New Roman" w:hAnsi="Times New Roman"/>
          <w:color w:val="0070C0"/>
          <w:sz w:val="16"/>
          <w:szCs w:val="16"/>
        </w:rPr>
        <w:softHyphen/>
        <w:t>ченные лыжи завода № 28 с усиленной обшивкой. Их запустили в производство и стали отправлять во все эскадрильи, вооружавшиеся новыми бомбардировщи</w:t>
      </w:r>
      <w:r w:rsidRPr="00142305">
        <w:rPr>
          <w:rFonts w:ascii="Times New Roman" w:hAnsi="Times New Roman"/>
          <w:color w:val="0070C0"/>
          <w:sz w:val="16"/>
          <w:szCs w:val="16"/>
        </w:rPr>
        <w:softHyphen/>
        <w:t>ками (25004).</w:t>
      </w:r>
    </w:p>
    <w:p w14:paraId="1F1D7DC7" w14:textId="77777777" w:rsidR="00AE1636" w:rsidRPr="00142305" w:rsidRDefault="00AE1636" w:rsidP="00AE1636">
      <w:pPr>
        <w:spacing w:after="0" w:line="240" w:lineRule="auto"/>
        <w:jc w:val="both"/>
        <w:rPr>
          <w:rFonts w:ascii="Times New Roman" w:hAnsi="Times New Roman"/>
          <w:color w:val="0070C0"/>
          <w:sz w:val="16"/>
          <w:szCs w:val="16"/>
        </w:rPr>
      </w:pPr>
    </w:p>
    <w:p w14:paraId="0D9524E7" w14:textId="77777777" w:rsidR="00AE1636" w:rsidRPr="005E779E" w:rsidRDefault="00AE1636" w:rsidP="00AE1636">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1931 НИИ ВВС занимался вопросами заправки ТБ-1 в воздухе. Сначала с Р-5, в котором был установлен бак. Р-5 летел сверху. Техник Р-5 через люк выпускал, механик на ТБ-1 - ловил руками. В 1933-1935 в-и А.К.Запанованный и летчик И.Белозеров продолжили работу с ТБ-1 на ТБ-1 (346,17).</w:t>
      </w:r>
    </w:p>
    <w:p w14:paraId="2DB562EC" w14:textId="77777777" w:rsidR="00AE1636" w:rsidRPr="005E779E" w:rsidRDefault="00AE1636" w:rsidP="00AE1636">
      <w:pPr>
        <w:autoSpaceDE w:val="0"/>
        <w:autoSpaceDN w:val="0"/>
        <w:adjustRightInd w:val="0"/>
        <w:spacing w:after="0" w:line="240" w:lineRule="auto"/>
        <w:jc w:val="both"/>
        <w:rPr>
          <w:rFonts w:ascii="Times New Roman" w:hAnsi="Times New Roman"/>
          <w:color w:val="000000" w:themeColor="text1"/>
          <w:sz w:val="16"/>
          <w:szCs w:val="16"/>
        </w:rPr>
      </w:pPr>
    </w:p>
    <w:p w14:paraId="0CF6CD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1931 в Севастополь привезли ТОМ-1 П.Ришара и испытывали до августа 1931 (553,164).</w:t>
      </w:r>
    </w:p>
    <w:p w14:paraId="733829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C977C6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1931 г. одновременно с доработка</w:t>
      </w:r>
      <w:r w:rsidRPr="005E779E">
        <w:rPr>
          <w:rFonts w:ascii="Times New Roman" w:hAnsi="Times New Roman"/>
          <w:color w:val="000000" w:themeColor="text1"/>
          <w:sz w:val="16"/>
          <w:szCs w:val="16"/>
        </w:rPr>
        <w:softHyphen/>
        <w:t>ми самолета КР-1 началась установка вооружения. Пулемет ПВ-1 калибра 7,62 мм разместили перед летчиком слева в специальной выемке фю</w:t>
      </w:r>
      <w:r w:rsidRPr="005E779E">
        <w:rPr>
          <w:rFonts w:ascii="Times New Roman" w:hAnsi="Times New Roman"/>
          <w:color w:val="000000" w:themeColor="text1"/>
          <w:sz w:val="16"/>
          <w:szCs w:val="16"/>
        </w:rPr>
        <w:softHyphen/>
        <w:t>зеляжа. Стандартную оборонительную турель ТУР-б поначалу предполагалось оснастить одним пулеметом ДА (Дегтярева, авиационный) калибра 7,62 мм, однако позднее все самолеты оснастили штатной спаренной установкой пулеметов ДА.</w:t>
      </w:r>
    </w:p>
    <w:p w14:paraId="6A8D188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зимний период КР-1 устанавливался на лыжи. Боковые поплавки при этом снимались и заменялись предохранитель</w:t>
      </w:r>
      <w:r w:rsidRPr="005E779E">
        <w:rPr>
          <w:rFonts w:ascii="Times New Roman" w:hAnsi="Times New Roman"/>
          <w:color w:val="000000" w:themeColor="text1"/>
          <w:sz w:val="16"/>
          <w:szCs w:val="16"/>
        </w:rPr>
        <w:softHyphen/>
        <w:t>ными дугами. Две основные лыжи крепились к сквозной тру</w:t>
      </w:r>
      <w:r w:rsidRPr="005E779E">
        <w:rPr>
          <w:rFonts w:ascii="Times New Roman" w:hAnsi="Times New Roman"/>
          <w:color w:val="000000" w:themeColor="text1"/>
          <w:sz w:val="16"/>
          <w:szCs w:val="16"/>
        </w:rPr>
        <w:softHyphen/>
        <w:t>бе, проходящей через корпус лодки, маленькая хвостовая лы</w:t>
      </w:r>
      <w:r w:rsidRPr="005E779E">
        <w:rPr>
          <w:rFonts w:ascii="Times New Roman" w:hAnsi="Times New Roman"/>
          <w:color w:val="000000" w:themeColor="text1"/>
          <w:sz w:val="16"/>
          <w:szCs w:val="16"/>
        </w:rPr>
        <w:softHyphen/>
        <w:t>жа крепилась на специально предусмотренном кронштейне. Лыжи конструкции Жохова, изготовленные на московском авиазаводе №28 испытывали весной 1931 г. Позднее все КР-1 Балтийского флота на зиму были снабжены комплектом та</w:t>
      </w:r>
      <w:r w:rsidRPr="005E779E">
        <w:rPr>
          <w:rFonts w:ascii="Times New Roman" w:hAnsi="Times New Roman"/>
          <w:color w:val="000000" w:themeColor="text1"/>
          <w:sz w:val="16"/>
          <w:szCs w:val="16"/>
        </w:rPr>
        <w:softHyphen/>
        <w:t>ких лыж.</w:t>
      </w:r>
    </w:p>
    <w:p w14:paraId="41F285A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Известно, что один КР-1, заводской №348, в 1935 г. переда</w:t>
      </w:r>
      <w:r w:rsidRPr="005E779E">
        <w:rPr>
          <w:rFonts w:ascii="Times New Roman" w:hAnsi="Times New Roman"/>
          <w:color w:val="000000" w:themeColor="text1"/>
          <w:sz w:val="16"/>
          <w:szCs w:val="16"/>
        </w:rPr>
        <w:softHyphen/>
        <w:t>ли Управлению полярной авиации. С опознавательным зна</w:t>
      </w:r>
      <w:r w:rsidRPr="005E779E">
        <w:rPr>
          <w:rFonts w:ascii="Times New Roman" w:hAnsi="Times New Roman"/>
          <w:color w:val="000000" w:themeColor="text1"/>
          <w:sz w:val="16"/>
          <w:szCs w:val="16"/>
        </w:rPr>
        <w:softHyphen/>
        <w:t>ком СССР-Н133 самолет эпизодически использовали для ве</w:t>
      </w:r>
      <w:r w:rsidRPr="005E779E">
        <w:rPr>
          <w:rFonts w:ascii="Times New Roman" w:hAnsi="Times New Roman"/>
          <w:color w:val="000000" w:themeColor="text1"/>
          <w:sz w:val="16"/>
          <w:szCs w:val="16"/>
        </w:rPr>
        <w:softHyphen/>
        <w:t>дения ледовой разведки (11107).</w:t>
      </w:r>
    </w:p>
    <w:p w14:paraId="0FFD26C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C4E64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началу 1931 г. ВВС аннулировали задание на И-9. В целом пятилетие с октября 1924 г. до октября 1929 г. было очень плодотворными для Поликарпова. За это время под его руководством разработали свыше 100 про</w:t>
      </w:r>
      <w:r w:rsidRPr="005E779E">
        <w:rPr>
          <w:rFonts w:ascii="Times New Roman" w:hAnsi="Times New Roman"/>
          <w:color w:val="000000" w:themeColor="text1"/>
          <w:sz w:val="16"/>
          <w:szCs w:val="16"/>
        </w:rPr>
        <w:softHyphen/>
        <w:t>ектов самолетов различного назначения, оборудования, вооружения. Были построены и прошли летные испыта</w:t>
      </w:r>
      <w:r w:rsidRPr="005E779E">
        <w:rPr>
          <w:rFonts w:ascii="Times New Roman" w:hAnsi="Times New Roman"/>
          <w:color w:val="000000" w:themeColor="text1"/>
          <w:sz w:val="16"/>
          <w:szCs w:val="16"/>
        </w:rPr>
        <w:softHyphen/>
        <w:t>ния разведчики Р-1 (5 модификаций), МР-1, Р-4, Р-5, учебные и переходные самолеты 2УБ-3, П-1, П-2, У-2 (2 экземпляра), пассажирский самолет П-2 (ПМ-1), бом</w:t>
      </w:r>
      <w:r w:rsidRPr="005E779E">
        <w:rPr>
          <w:rFonts w:ascii="Times New Roman" w:hAnsi="Times New Roman"/>
          <w:color w:val="000000" w:themeColor="text1"/>
          <w:sz w:val="16"/>
          <w:szCs w:val="16"/>
        </w:rPr>
        <w:softHyphen/>
        <w:t>бардировщики Б-2, ТБ-2, истребители ИЛ-3, И-1, 2ИН-1, И-3, Д-2, И-6. Турельные установки, созданные в ОКБ Н.Н.Поликарпова, нашли применение не только в отече</w:t>
      </w:r>
      <w:r w:rsidRPr="005E779E">
        <w:rPr>
          <w:rFonts w:ascii="Times New Roman" w:hAnsi="Times New Roman"/>
          <w:color w:val="000000" w:themeColor="text1"/>
          <w:sz w:val="16"/>
          <w:szCs w:val="16"/>
        </w:rPr>
        <w:softHyphen/>
        <w:t>ственной авиации, но и на флоте. Пожалуй, ни одно КБ не работало столь эффективно. Накопив знания, опыт, конструкторское бюро под руководством Николая Нико</w:t>
      </w:r>
      <w:r w:rsidRPr="005E779E">
        <w:rPr>
          <w:rFonts w:ascii="Times New Roman" w:hAnsi="Times New Roman"/>
          <w:color w:val="000000" w:themeColor="text1"/>
          <w:sz w:val="16"/>
          <w:szCs w:val="16"/>
        </w:rPr>
        <w:softHyphen/>
        <w:t>лаевича было способно быстро и качественно проектиро</w:t>
      </w:r>
      <w:r w:rsidRPr="005E779E">
        <w:rPr>
          <w:rFonts w:ascii="Times New Roman" w:hAnsi="Times New Roman"/>
          <w:color w:val="000000" w:themeColor="text1"/>
          <w:sz w:val="16"/>
          <w:szCs w:val="16"/>
        </w:rPr>
        <w:softHyphen/>
        <w:t>вать самолеты различных типов и назначений, составляя серьезную конкуренцию другим конструкторским бюро. В июле 1927 г. на заседании Технического совета Авиатре</w:t>
      </w:r>
      <w:r w:rsidRPr="005E779E">
        <w:rPr>
          <w:rFonts w:ascii="Times New Roman" w:hAnsi="Times New Roman"/>
          <w:color w:val="000000" w:themeColor="text1"/>
          <w:sz w:val="16"/>
          <w:szCs w:val="16"/>
        </w:rPr>
        <w:softHyphen/>
        <w:t>ста при обсуждении плана работ ОСС ЦКБ А.Н.Туполев (10667).</w:t>
      </w:r>
    </w:p>
    <w:p w14:paraId="05C3DB3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BC715E"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1931 года в СССР Отделом особых конструкций ЦАГИ была начата систематически работа по автожирам. Первый экспериментальный автожир был выпущен ЦАГИ в конце 1931 года. Этот аппарат 2-ЭА, первый полет которого состоялся в конце ноября 1931 года, был построен по схеме одного из последних английских автожиров; он обладал достаточно удовлетворительными конструктивными и летными данными, почти не уступающими соответствующим данным английского автожира, взятого в виде образца. Этот аппарат сыграл большую роль в деле освоения теории и конструкции автожира, а также обучения летно-технического персонала (3849,13).</w:t>
      </w:r>
    </w:p>
    <w:p w14:paraId="6955EE13"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3093EB0E" w14:textId="77777777" w:rsidR="00E252B8" w:rsidRPr="005E779E" w:rsidRDefault="00E252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1931 года в ЦАГИ стартовало про</w:t>
      </w:r>
      <w:r w:rsidRPr="005E779E">
        <w:rPr>
          <w:rFonts w:ascii="Times New Roman" w:hAnsi="Times New Roman"/>
          <w:color w:val="000000" w:themeColor="text1"/>
          <w:sz w:val="16"/>
          <w:szCs w:val="16"/>
        </w:rPr>
        <w:softHyphen/>
        <w:t>ектирование аппарата 2ЭА аппарата 2ЭА, но, если можно так выра</w:t>
      </w:r>
      <w:r w:rsidRPr="005E779E">
        <w:rPr>
          <w:rFonts w:ascii="Times New Roman" w:hAnsi="Times New Roman"/>
          <w:color w:val="000000" w:themeColor="text1"/>
          <w:sz w:val="16"/>
          <w:szCs w:val="16"/>
        </w:rPr>
        <w:softHyphen/>
        <w:t>зиться, только в эпистолярной его части. Многие количественные параметры и число</w:t>
      </w:r>
      <w:r w:rsidRPr="005E779E">
        <w:rPr>
          <w:rFonts w:ascii="Times New Roman" w:hAnsi="Times New Roman"/>
          <w:color w:val="000000" w:themeColor="text1"/>
          <w:sz w:val="16"/>
          <w:szCs w:val="16"/>
        </w:rPr>
        <w:softHyphen/>
        <w:t>вые характеристики у советского автожира заметно отличались. Основную причину та</w:t>
      </w:r>
      <w:r w:rsidRPr="005E779E">
        <w:rPr>
          <w:rFonts w:ascii="Times New Roman" w:hAnsi="Times New Roman"/>
          <w:color w:val="000000" w:themeColor="text1"/>
          <w:sz w:val="16"/>
          <w:szCs w:val="16"/>
        </w:rPr>
        <w:softHyphen/>
        <w:t>кого положения дел в январе 1932 года Алек</w:t>
      </w:r>
      <w:r w:rsidRPr="005E779E">
        <w:rPr>
          <w:rFonts w:ascii="Times New Roman" w:hAnsi="Times New Roman"/>
          <w:color w:val="000000" w:themeColor="text1"/>
          <w:sz w:val="16"/>
          <w:szCs w:val="16"/>
        </w:rPr>
        <w:softHyphen/>
        <w:t>сандр Михайлович Изаксон - тогда замначальника ЭАО ЦАГИ - сформулировал так: «Литературных источников хватило лишь по линии внешнего черчения машины. Всю же конструкцию аппарата приходилось созда</w:t>
      </w:r>
      <w:r w:rsidRPr="005E779E">
        <w:rPr>
          <w:rFonts w:ascii="Times New Roman" w:hAnsi="Times New Roman"/>
          <w:color w:val="000000" w:themeColor="text1"/>
          <w:sz w:val="16"/>
          <w:szCs w:val="16"/>
        </w:rPr>
        <w:softHyphen/>
        <w:t>вать самим и в этом отношении она отличает</w:t>
      </w:r>
      <w:r w:rsidRPr="005E779E">
        <w:rPr>
          <w:rFonts w:ascii="Times New Roman" w:hAnsi="Times New Roman"/>
          <w:color w:val="000000" w:themeColor="text1"/>
          <w:sz w:val="16"/>
          <w:szCs w:val="16"/>
        </w:rPr>
        <w:softHyphen/>
        <w:t>ся от английского аппарата. Проектирование аппарата, помимо конструктивной разработ</w:t>
      </w:r>
      <w:r w:rsidRPr="005E779E">
        <w:rPr>
          <w:rFonts w:ascii="Times New Roman" w:hAnsi="Times New Roman"/>
          <w:color w:val="000000" w:themeColor="text1"/>
          <w:sz w:val="16"/>
          <w:szCs w:val="16"/>
        </w:rPr>
        <w:softHyphen/>
        <w:t>ки, сопровождалось весьма тщательным аэродинамическим расчетом и целым рядом аэродинамических экспериментов в аэроди</w:t>
      </w:r>
      <w:r w:rsidRPr="005E779E">
        <w:rPr>
          <w:rFonts w:ascii="Times New Roman" w:hAnsi="Times New Roman"/>
          <w:color w:val="000000" w:themeColor="text1"/>
          <w:sz w:val="16"/>
          <w:szCs w:val="16"/>
        </w:rPr>
        <w:softHyphen/>
        <w:t>намической трубе».</w:t>
      </w:r>
    </w:p>
    <w:p w14:paraId="35AD5586" w14:textId="77777777" w:rsidR="00E252B8" w:rsidRPr="005E779E" w:rsidRDefault="00E252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Поскольку сразу было очевидно, что точ</w:t>
      </w:r>
      <w:r w:rsidRPr="005E779E">
        <w:rPr>
          <w:rFonts w:ascii="Times New Roman" w:hAnsi="Times New Roman"/>
          <w:color w:val="000000" w:themeColor="text1"/>
          <w:sz w:val="16"/>
          <w:szCs w:val="16"/>
        </w:rPr>
        <w:softHyphen/>
        <w:t>ную копию С-19 построить не удастся, было принято решение предусмотреть возмож</w:t>
      </w:r>
      <w:r w:rsidRPr="005E779E">
        <w:rPr>
          <w:rFonts w:ascii="Times New Roman" w:hAnsi="Times New Roman"/>
          <w:color w:val="000000" w:themeColor="text1"/>
          <w:sz w:val="16"/>
          <w:szCs w:val="16"/>
        </w:rPr>
        <w:softHyphen/>
        <w:t>ность путем незначительного изменения кон</w:t>
      </w:r>
      <w:r w:rsidRPr="005E779E">
        <w:rPr>
          <w:rFonts w:ascii="Times New Roman" w:hAnsi="Times New Roman"/>
          <w:color w:val="000000" w:themeColor="text1"/>
          <w:sz w:val="16"/>
          <w:szCs w:val="16"/>
        </w:rPr>
        <w:softHyphen/>
        <w:t>струкции создать два варианта машины. На втором этапе испытаний специалисты ЦАГИ рассчитывали опробовать механическую раскрутку ротора от маршевого двигателя. С этой целью фюзеляж решили проектировать с отъемной хвостовой частью, что позволило бы установить нормальное хвостовое опере</w:t>
      </w:r>
      <w:r w:rsidRPr="005E779E">
        <w:rPr>
          <w:rFonts w:ascii="Times New Roman" w:hAnsi="Times New Roman"/>
          <w:color w:val="000000" w:themeColor="text1"/>
          <w:sz w:val="16"/>
          <w:szCs w:val="16"/>
        </w:rPr>
        <w:softHyphen/>
        <w:t>ние, более подходящее в таком случае.</w:t>
      </w:r>
    </w:p>
    <w:p w14:paraId="55B6BC90" w14:textId="01B623A8" w:rsidR="00E252B8" w:rsidRPr="005E779E" w:rsidRDefault="00E252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учетом планировавшихся изменений и реальных характеристик отечественных ма</w:t>
      </w:r>
      <w:r w:rsidRPr="005E779E">
        <w:rPr>
          <w:rFonts w:ascii="Times New Roman" w:hAnsi="Times New Roman"/>
          <w:color w:val="000000" w:themeColor="text1"/>
          <w:sz w:val="16"/>
          <w:szCs w:val="16"/>
        </w:rPr>
        <w:softHyphen/>
        <w:t>териалов было решено установить более мощный двигатель, хотя в серийном про</w:t>
      </w:r>
      <w:r w:rsidRPr="005E779E">
        <w:rPr>
          <w:rFonts w:ascii="Times New Roman" w:hAnsi="Times New Roman"/>
          <w:color w:val="000000" w:themeColor="text1"/>
          <w:sz w:val="16"/>
          <w:szCs w:val="16"/>
        </w:rPr>
        <w:softHyphen/>
        <w:t>изводстве находился отечественный мотор М-11 вполне эквивалентный английскому</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(23518).</w:t>
      </w:r>
    </w:p>
    <w:p w14:paraId="5E6CB3B5" w14:textId="77777777" w:rsidR="00E252B8" w:rsidRPr="005E779E" w:rsidRDefault="00E252B8" w:rsidP="000B7A6C">
      <w:pPr>
        <w:spacing w:after="0" w:line="240" w:lineRule="auto"/>
        <w:jc w:val="both"/>
        <w:rPr>
          <w:rFonts w:ascii="Times New Roman" w:hAnsi="Times New Roman"/>
          <w:color w:val="000000" w:themeColor="text1"/>
          <w:sz w:val="16"/>
          <w:szCs w:val="16"/>
        </w:rPr>
      </w:pPr>
    </w:p>
    <w:p w14:paraId="209B41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1931 23 завод КЛ получил заказ Ленгорисполкома (через Осоавиахим) спроектировать и построить легкий самолет-аэробус для связи города и Кронштадта в распутицу. Взялся А.Москалев, который к тому времени уже спроектировал и построил МУ-3 на 23 заводе, проигравший конкурс Ш-2 В.Б.Ш. Решил делать на 10-12 чел. под 2хМ-11 как подкосный моноплан с высоко расположенным деревянным крылом. Проект был принят, сделали макет фюзеляжа, чертежи и запустили в производство. Не был закончен, т.к. А.Москалев заболел скоротечной чахоткой и уехал в Воронеж зам. нач. серийного КО (2889,19).</w:t>
      </w:r>
    </w:p>
    <w:p w14:paraId="7F25A8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2B57C30" w14:textId="77777777" w:rsidR="00F52FEE" w:rsidRPr="005E779E" w:rsidRDefault="00F52FEE" w:rsidP="000B7A6C">
      <w:pPr>
        <w:pStyle w:val="a3"/>
        <w:rPr>
          <w:color w:val="000000" w:themeColor="text1"/>
          <w:lang w:val="ru-RU"/>
        </w:rPr>
      </w:pPr>
      <w:r w:rsidRPr="005E779E">
        <w:rPr>
          <w:rStyle w:val="ArialNarrow17"/>
          <w:rFonts w:ascii="Times New Roman" w:hAnsi="Times New Roman" w:cs="Times New Roman"/>
          <w:b w:val="0"/>
          <w:color w:val="000000" w:themeColor="text1"/>
          <w:sz w:val="16"/>
          <w:szCs w:val="16"/>
          <w:lang w:val="ru-RU"/>
        </w:rPr>
        <w:t>В начале</w:t>
      </w:r>
      <w:r w:rsidRPr="005E779E">
        <w:rPr>
          <w:color w:val="000000" w:themeColor="text1"/>
          <w:lang w:val="ru-RU"/>
        </w:rPr>
        <w:t xml:space="preserve"> 1931 г. работавший в НИИ ВВС</w:t>
      </w:r>
      <w:r w:rsidRPr="005E779E">
        <w:rPr>
          <w:rStyle w:val="ArialNarrow17"/>
          <w:rFonts w:ascii="Times New Roman" w:hAnsi="Times New Roman" w:cs="Times New Roman"/>
          <w:b w:val="0"/>
          <w:color w:val="000000" w:themeColor="text1"/>
          <w:sz w:val="16"/>
          <w:szCs w:val="16"/>
          <w:lang w:val="ru-RU"/>
        </w:rPr>
        <w:t xml:space="preserve"> военный</w:t>
      </w:r>
      <w:r w:rsidRPr="005E779E">
        <w:rPr>
          <w:color w:val="000000" w:themeColor="text1"/>
          <w:lang w:val="ru-RU"/>
        </w:rPr>
        <w:t xml:space="preserve"> инженер </w:t>
      </w:r>
      <w:r w:rsidRPr="005E779E">
        <w:rPr>
          <w:color w:val="000000" w:themeColor="text1"/>
        </w:rPr>
        <w:t>B</w:t>
      </w:r>
      <w:r w:rsidRPr="005E779E">
        <w:rPr>
          <w:color w:val="000000" w:themeColor="text1"/>
          <w:lang w:val="ru-RU"/>
        </w:rPr>
        <w:t>.</w:t>
      </w:r>
      <w:r w:rsidRPr="005E779E">
        <w:rPr>
          <w:color w:val="000000" w:themeColor="text1"/>
        </w:rPr>
        <w:t>C</w:t>
      </w:r>
      <w:r w:rsidRPr="005E779E">
        <w:rPr>
          <w:color w:val="000000" w:themeColor="text1"/>
          <w:lang w:val="ru-RU"/>
        </w:rPr>
        <w:t>. Вахми</w:t>
      </w:r>
      <w:r w:rsidRPr="005E779E">
        <w:rPr>
          <w:color w:val="000000" w:themeColor="text1"/>
          <w:lang w:val="ru-RU"/>
        </w:rPr>
        <w:softHyphen/>
      </w:r>
      <w:r w:rsidRPr="005E779E">
        <w:rPr>
          <w:rStyle w:val="Tahoma"/>
          <w:rFonts w:ascii="Times New Roman" w:hAnsi="Times New Roman" w:cs="Times New Roman"/>
          <w:b w:val="0"/>
          <w:color w:val="000000" w:themeColor="text1"/>
          <w:spacing w:val="0"/>
          <w:sz w:val="16"/>
          <w:szCs w:val="16"/>
          <w:lang w:val="ru-RU"/>
        </w:rPr>
        <w:t>стров,</w:t>
      </w:r>
      <w:r w:rsidRPr="005E779E">
        <w:rPr>
          <w:rStyle w:val="ArialNarrow17"/>
          <w:rFonts w:ascii="Times New Roman" w:hAnsi="Times New Roman" w:cs="Times New Roman"/>
          <w:b w:val="0"/>
          <w:color w:val="000000" w:themeColor="text1"/>
          <w:sz w:val="16"/>
          <w:szCs w:val="16"/>
          <w:lang w:val="ru-RU"/>
        </w:rPr>
        <w:t xml:space="preserve"> выпускник</w:t>
      </w:r>
      <w:r w:rsidRPr="005E779E">
        <w:rPr>
          <w:color w:val="000000" w:themeColor="text1"/>
          <w:lang w:val="ru-RU"/>
        </w:rPr>
        <w:t xml:space="preserve"> Военно-воздушной ака</w:t>
      </w:r>
      <w:r w:rsidRPr="005E779E">
        <w:rPr>
          <w:color w:val="000000" w:themeColor="text1"/>
          <w:lang w:val="ru-RU"/>
        </w:rPr>
        <w:softHyphen/>
      </w:r>
      <w:r w:rsidRPr="005E779E">
        <w:rPr>
          <w:rStyle w:val="Tahoma"/>
          <w:rFonts w:ascii="Times New Roman" w:hAnsi="Times New Roman" w:cs="Times New Roman"/>
          <w:b w:val="0"/>
          <w:color w:val="000000" w:themeColor="text1"/>
          <w:spacing w:val="0"/>
          <w:sz w:val="16"/>
          <w:szCs w:val="16"/>
          <w:lang w:val="ru-RU"/>
        </w:rPr>
        <w:t>демии,</w:t>
      </w:r>
      <w:r w:rsidRPr="005E779E">
        <w:rPr>
          <w:rStyle w:val="ArialNarrow17"/>
          <w:rFonts w:ascii="Times New Roman" w:hAnsi="Times New Roman" w:cs="Times New Roman"/>
          <w:b w:val="0"/>
          <w:color w:val="000000" w:themeColor="text1"/>
          <w:sz w:val="16"/>
          <w:szCs w:val="16"/>
          <w:lang w:val="ru-RU"/>
        </w:rPr>
        <w:t xml:space="preserve"> предложил</w:t>
      </w:r>
      <w:r w:rsidRPr="005E779E">
        <w:rPr>
          <w:color w:val="000000" w:themeColor="text1"/>
          <w:lang w:val="ru-RU"/>
        </w:rPr>
        <w:t xml:space="preserve"> оригинальную идею - </w:t>
      </w:r>
      <w:r w:rsidRPr="005E779E">
        <w:rPr>
          <w:rStyle w:val="Tahoma"/>
          <w:rFonts w:ascii="Times New Roman" w:hAnsi="Times New Roman" w:cs="Times New Roman"/>
          <w:b w:val="0"/>
          <w:color w:val="000000" w:themeColor="text1"/>
          <w:spacing w:val="0"/>
          <w:sz w:val="16"/>
          <w:szCs w:val="16"/>
          <w:lang w:val="ru-RU"/>
        </w:rPr>
        <w:t>самолет</w:t>
      </w:r>
      <w:r w:rsidRPr="005E779E">
        <w:rPr>
          <w:color w:val="000000" w:themeColor="text1"/>
          <w:lang w:val="ru-RU"/>
        </w:rPr>
        <w:t>-авианосец. В то время уже счита</w:t>
      </w:r>
      <w:r w:rsidRPr="005E779E">
        <w:rPr>
          <w:color w:val="000000" w:themeColor="text1"/>
          <w:lang w:val="ru-RU"/>
        </w:rPr>
        <w:softHyphen/>
      </w:r>
      <w:r w:rsidRPr="005E779E">
        <w:rPr>
          <w:rStyle w:val="Tahoma"/>
          <w:rFonts w:ascii="Times New Roman" w:hAnsi="Times New Roman" w:cs="Times New Roman"/>
          <w:b w:val="0"/>
          <w:color w:val="000000" w:themeColor="text1"/>
          <w:spacing w:val="0"/>
          <w:sz w:val="16"/>
          <w:szCs w:val="16"/>
          <w:lang w:val="ru-RU"/>
        </w:rPr>
        <w:t>лось</w:t>
      </w:r>
      <w:r w:rsidRPr="005E779E">
        <w:rPr>
          <w:rStyle w:val="ArialNarrow17"/>
          <w:rFonts w:ascii="Times New Roman" w:hAnsi="Times New Roman" w:cs="Times New Roman"/>
          <w:b w:val="0"/>
          <w:color w:val="000000" w:themeColor="text1"/>
          <w:sz w:val="16"/>
          <w:szCs w:val="16"/>
          <w:lang w:val="ru-RU"/>
        </w:rPr>
        <w:t xml:space="preserve"> реальным</w:t>
      </w:r>
      <w:r w:rsidRPr="005E779E">
        <w:rPr>
          <w:color w:val="000000" w:themeColor="text1"/>
          <w:lang w:val="ru-RU"/>
        </w:rPr>
        <w:t xml:space="preserve"> размещение летательных </w:t>
      </w:r>
      <w:r w:rsidRPr="005E779E">
        <w:rPr>
          <w:rStyle w:val="ArialNarrow17"/>
          <w:rFonts w:ascii="Times New Roman" w:hAnsi="Times New Roman" w:cs="Times New Roman"/>
          <w:b w:val="0"/>
          <w:color w:val="000000" w:themeColor="text1"/>
          <w:sz w:val="16"/>
          <w:szCs w:val="16"/>
          <w:lang w:val="ru-RU"/>
        </w:rPr>
        <w:t>аппаратов</w:t>
      </w:r>
      <w:r w:rsidRPr="005E779E">
        <w:rPr>
          <w:color w:val="000000" w:themeColor="text1"/>
          <w:lang w:val="ru-RU"/>
        </w:rPr>
        <w:t xml:space="preserve"> на дирижабле. Немцы экспе</w:t>
      </w:r>
      <w:r w:rsidRPr="005E779E">
        <w:rPr>
          <w:color w:val="000000" w:themeColor="text1"/>
          <w:lang w:val="ru-RU"/>
        </w:rPr>
        <w:softHyphen/>
        <w:t xml:space="preserve">риментировали как с планерами, так и с </w:t>
      </w:r>
      <w:r w:rsidRPr="005E779E">
        <w:rPr>
          <w:rStyle w:val="Tahoma"/>
          <w:rFonts w:ascii="Times New Roman" w:hAnsi="Times New Roman" w:cs="Times New Roman"/>
          <w:b w:val="0"/>
          <w:color w:val="000000" w:themeColor="text1"/>
          <w:spacing w:val="0"/>
          <w:sz w:val="16"/>
          <w:szCs w:val="16"/>
          <w:lang w:val="ru-RU"/>
        </w:rPr>
        <w:t>легкими</w:t>
      </w:r>
      <w:r w:rsidRPr="005E779E">
        <w:rPr>
          <w:color w:val="000000" w:themeColor="text1"/>
          <w:lang w:val="ru-RU"/>
        </w:rPr>
        <w:t xml:space="preserve"> самолетами, а в США близили</w:t>
      </w:r>
      <w:r w:rsidRPr="005E779E">
        <w:rPr>
          <w:color w:val="000000" w:themeColor="text1"/>
          <w:lang w:val="ru-RU"/>
        </w:rPr>
        <w:softHyphen/>
      </w:r>
      <w:r w:rsidRPr="005E779E">
        <w:rPr>
          <w:rStyle w:val="Tahoma"/>
          <w:rFonts w:ascii="Times New Roman" w:hAnsi="Times New Roman" w:cs="Times New Roman"/>
          <w:b w:val="0"/>
          <w:color w:val="000000" w:themeColor="text1"/>
          <w:spacing w:val="0"/>
          <w:sz w:val="16"/>
          <w:szCs w:val="16"/>
          <w:lang w:val="ru-RU"/>
        </w:rPr>
        <w:t>сь к</w:t>
      </w:r>
      <w:r w:rsidRPr="005E779E">
        <w:rPr>
          <w:rStyle w:val="ArialNarrow17"/>
          <w:rFonts w:ascii="Times New Roman" w:hAnsi="Times New Roman" w:cs="Times New Roman"/>
          <w:b w:val="0"/>
          <w:color w:val="000000" w:themeColor="text1"/>
          <w:sz w:val="16"/>
          <w:szCs w:val="16"/>
          <w:lang w:val="ru-RU"/>
        </w:rPr>
        <w:t xml:space="preserve"> завершению</w:t>
      </w:r>
      <w:r w:rsidRPr="005E779E">
        <w:rPr>
          <w:color w:val="000000" w:themeColor="text1"/>
          <w:lang w:val="ru-RU"/>
        </w:rPr>
        <w:t xml:space="preserve"> огромные дирижабли </w:t>
      </w:r>
      <w:r w:rsidRPr="005E779E">
        <w:rPr>
          <w:rStyle w:val="Tahoma"/>
          <w:rFonts w:ascii="Times New Roman" w:hAnsi="Times New Roman" w:cs="Times New Roman"/>
          <w:b w:val="0"/>
          <w:color w:val="000000" w:themeColor="text1"/>
          <w:spacing w:val="0"/>
          <w:sz w:val="16"/>
          <w:szCs w:val="16"/>
          <w:lang w:val="ru-RU"/>
        </w:rPr>
        <w:t>«Акрон»</w:t>
      </w:r>
      <w:r w:rsidRPr="005E779E">
        <w:rPr>
          <w:color w:val="000000" w:themeColor="text1"/>
          <w:lang w:val="ru-RU"/>
        </w:rPr>
        <w:t xml:space="preserve"> и «Мекон», каждый из которых </w:t>
      </w:r>
      <w:r w:rsidRPr="005E779E">
        <w:rPr>
          <w:rStyle w:val="Tahoma"/>
          <w:rFonts w:ascii="Times New Roman" w:hAnsi="Times New Roman" w:cs="Times New Roman"/>
          <w:b w:val="0"/>
          <w:color w:val="000000" w:themeColor="text1"/>
          <w:spacing w:val="0"/>
          <w:sz w:val="16"/>
          <w:szCs w:val="16"/>
          <w:lang w:val="ru-RU"/>
        </w:rPr>
        <w:t>нес по пять</w:t>
      </w:r>
      <w:r w:rsidRPr="005E779E">
        <w:rPr>
          <w:color w:val="000000" w:themeColor="text1"/>
          <w:lang w:val="ru-RU"/>
        </w:rPr>
        <w:t xml:space="preserve"> истребителей. При этом аме</w:t>
      </w:r>
      <w:r w:rsidRPr="005E779E">
        <w:rPr>
          <w:color w:val="000000" w:themeColor="text1"/>
          <w:lang w:val="ru-RU"/>
        </w:rPr>
        <w:softHyphen/>
      </w:r>
      <w:r w:rsidRPr="005E779E">
        <w:rPr>
          <w:rStyle w:val="Tahoma"/>
          <w:rFonts w:ascii="Times New Roman" w:hAnsi="Times New Roman" w:cs="Times New Roman"/>
          <w:b w:val="0"/>
          <w:color w:val="000000" w:themeColor="text1"/>
          <w:spacing w:val="0"/>
          <w:sz w:val="16"/>
          <w:szCs w:val="16"/>
          <w:lang w:val="ru-RU"/>
        </w:rPr>
        <w:t>риканцы</w:t>
      </w:r>
      <w:r w:rsidRPr="005E779E">
        <w:rPr>
          <w:color w:val="000000" w:themeColor="text1"/>
          <w:lang w:val="ru-RU"/>
        </w:rPr>
        <w:t xml:space="preserve"> могли как запустить самолеты с </w:t>
      </w:r>
      <w:r w:rsidRPr="005E779E">
        <w:rPr>
          <w:rStyle w:val="Tahoma"/>
          <w:rFonts w:ascii="Times New Roman" w:hAnsi="Times New Roman" w:cs="Times New Roman"/>
          <w:b w:val="0"/>
          <w:color w:val="000000" w:themeColor="text1"/>
          <w:spacing w:val="0"/>
          <w:sz w:val="16"/>
          <w:szCs w:val="16"/>
          <w:lang w:val="ru-RU"/>
        </w:rPr>
        <w:t>носителя,</w:t>
      </w:r>
      <w:r w:rsidRPr="005E779E">
        <w:rPr>
          <w:rStyle w:val="ArialNarrow17"/>
          <w:rFonts w:ascii="Times New Roman" w:hAnsi="Times New Roman" w:cs="Times New Roman"/>
          <w:b w:val="0"/>
          <w:color w:val="000000" w:themeColor="text1"/>
          <w:sz w:val="16"/>
          <w:szCs w:val="16"/>
          <w:lang w:val="ru-RU"/>
        </w:rPr>
        <w:t xml:space="preserve"> так и</w:t>
      </w:r>
      <w:r w:rsidRPr="005E779E">
        <w:rPr>
          <w:color w:val="000000" w:themeColor="text1"/>
          <w:lang w:val="ru-RU"/>
        </w:rPr>
        <w:t xml:space="preserve"> принять их обратно.</w:t>
      </w:r>
    </w:p>
    <w:p w14:paraId="676A39E4" w14:textId="77777777" w:rsidR="00F52FEE" w:rsidRPr="005E779E" w:rsidRDefault="00F52FEE" w:rsidP="000B7A6C">
      <w:pPr>
        <w:pStyle w:val="a3"/>
        <w:rPr>
          <w:color w:val="000000" w:themeColor="text1"/>
          <w:lang w:val="ru-RU"/>
        </w:rPr>
      </w:pPr>
      <w:r w:rsidRPr="005E779E">
        <w:rPr>
          <w:rStyle w:val="ArialNarrow17"/>
          <w:rFonts w:ascii="Times New Roman" w:hAnsi="Times New Roman" w:cs="Times New Roman"/>
          <w:b w:val="0"/>
          <w:color w:val="000000" w:themeColor="text1"/>
          <w:sz w:val="16"/>
          <w:szCs w:val="16"/>
          <w:lang w:val="ru-RU"/>
        </w:rPr>
        <w:t>Самолет мог</w:t>
      </w:r>
      <w:r w:rsidRPr="005E779E">
        <w:rPr>
          <w:color w:val="000000" w:themeColor="text1"/>
          <w:lang w:val="ru-RU"/>
        </w:rPr>
        <w:t xml:space="preserve"> лететь</w:t>
      </w:r>
      <w:r w:rsidRPr="005E779E">
        <w:rPr>
          <w:color w:val="000000" w:themeColor="text1"/>
          <w:vertAlign w:val="subscript"/>
          <w:lang w:val="ru-RU"/>
        </w:rPr>
        <w:t>4</w:t>
      </w:r>
      <w:r w:rsidRPr="005E779E">
        <w:rPr>
          <w:color w:val="000000" w:themeColor="text1"/>
          <w:lang w:val="ru-RU"/>
        </w:rPr>
        <w:t>быстрее, чем ди</w:t>
      </w:r>
      <w:r w:rsidRPr="005E779E">
        <w:rPr>
          <w:color w:val="000000" w:themeColor="text1"/>
          <w:lang w:val="ru-RU"/>
        </w:rPr>
        <w:softHyphen/>
      </w:r>
      <w:r w:rsidRPr="005E779E">
        <w:rPr>
          <w:rStyle w:val="ArialNarrow17"/>
          <w:rFonts w:ascii="Times New Roman" w:hAnsi="Times New Roman" w:cs="Times New Roman"/>
          <w:b w:val="0"/>
          <w:color w:val="000000" w:themeColor="text1"/>
          <w:sz w:val="16"/>
          <w:szCs w:val="16"/>
          <w:lang w:val="ru-RU"/>
        </w:rPr>
        <w:t>рижабль,</w:t>
      </w:r>
      <w:r w:rsidRPr="005E779E">
        <w:rPr>
          <w:color w:val="000000" w:themeColor="text1"/>
          <w:lang w:val="ru-RU"/>
        </w:rPr>
        <w:t xml:space="preserve"> занимал намного меньше места </w:t>
      </w:r>
      <w:r w:rsidRPr="005E779E">
        <w:rPr>
          <w:rStyle w:val="Tahoma"/>
          <w:rFonts w:ascii="Times New Roman" w:hAnsi="Times New Roman" w:cs="Times New Roman"/>
          <w:b w:val="0"/>
          <w:color w:val="000000" w:themeColor="text1"/>
          <w:spacing w:val="0"/>
          <w:sz w:val="16"/>
          <w:szCs w:val="16"/>
          <w:lang w:val="ru-RU"/>
        </w:rPr>
        <w:t>и</w:t>
      </w:r>
      <w:r w:rsidRPr="005E779E">
        <w:rPr>
          <w:rStyle w:val="ArialNarrow17"/>
          <w:rFonts w:ascii="Times New Roman" w:hAnsi="Times New Roman" w:cs="Times New Roman"/>
          <w:b w:val="0"/>
          <w:color w:val="000000" w:themeColor="text1"/>
          <w:sz w:val="16"/>
          <w:szCs w:val="16"/>
          <w:lang w:val="ru-RU"/>
        </w:rPr>
        <w:t xml:space="preserve"> не</w:t>
      </w:r>
      <w:r w:rsidRPr="005E779E">
        <w:rPr>
          <w:color w:val="000000" w:themeColor="text1"/>
          <w:lang w:val="ru-RU"/>
        </w:rPr>
        <w:t xml:space="preserve"> представлял из себя столь неуклю</w:t>
      </w:r>
      <w:r w:rsidRPr="005E779E">
        <w:rPr>
          <w:color w:val="000000" w:themeColor="text1"/>
          <w:lang w:val="ru-RU"/>
        </w:rPr>
        <w:softHyphen/>
      </w:r>
      <w:r w:rsidRPr="005E779E">
        <w:rPr>
          <w:rStyle w:val="Tahoma"/>
          <w:rFonts w:ascii="Times New Roman" w:hAnsi="Times New Roman" w:cs="Times New Roman"/>
          <w:b w:val="0"/>
          <w:color w:val="000000" w:themeColor="text1"/>
          <w:spacing w:val="0"/>
          <w:sz w:val="16"/>
          <w:szCs w:val="16"/>
          <w:lang w:val="ru-RU"/>
        </w:rPr>
        <w:t>жую</w:t>
      </w:r>
      <w:r w:rsidRPr="005E779E">
        <w:rPr>
          <w:rStyle w:val="ArialNarrow17"/>
          <w:rFonts w:ascii="Times New Roman" w:hAnsi="Times New Roman" w:cs="Times New Roman"/>
          <w:b w:val="0"/>
          <w:color w:val="000000" w:themeColor="text1"/>
          <w:sz w:val="16"/>
          <w:szCs w:val="16"/>
          <w:lang w:val="ru-RU"/>
        </w:rPr>
        <w:t xml:space="preserve"> мишень.</w:t>
      </w:r>
      <w:r w:rsidRPr="005E779E">
        <w:rPr>
          <w:color w:val="000000" w:themeColor="text1"/>
          <w:lang w:val="ru-RU"/>
        </w:rPr>
        <w:t xml:space="preserve"> При использовании в воен</w:t>
      </w:r>
      <w:r w:rsidRPr="005E779E">
        <w:rPr>
          <w:color w:val="000000" w:themeColor="text1"/>
          <w:lang w:val="ru-RU"/>
        </w:rPr>
        <w:softHyphen/>
      </w:r>
      <w:r w:rsidRPr="005E779E">
        <w:rPr>
          <w:rStyle w:val="ArialNarrow17"/>
          <w:rFonts w:ascii="Times New Roman" w:hAnsi="Times New Roman" w:cs="Times New Roman"/>
          <w:b w:val="0"/>
          <w:color w:val="000000" w:themeColor="text1"/>
          <w:sz w:val="16"/>
          <w:szCs w:val="16"/>
          <w:lang w:val="ru-RU"/>
        </w:rPr>
        <w:t>ных целях</w:t>
      </w:r>
      <w:r w:rsidRPr="005E779E">
        <w:rPr>
          <w:color w:val="000000" w:themeColor="text1"/>
          <w:lang w:val="ru-RU"/>
        </w:rPr>
        <w:t xml:space="preserve"> это казалось существенными </w:t>
      </w:r>
      <w:r w:rsidRPr="005E779E">
        <w:rPr>
          <w:rStyle w:val="ArialNarrow17"/>
          <w:rFonts w:ascii="Times New Roman" w:hAnsi="Times New Roman" w:cs="Times New Roman"/>
          <w:b w:val="0"/>
          <w:color w:val="000000" w:themeColor="text1"/>
          <w:sz w:val="16"/>
          <w:szCs w:val="16"/>
          <w:lang w:val="ru-RU"/>
        </w:rPr>
        <w:t>ппосами.</w:t>
      </w:r>
    </w:p>
    <w:p w14:paraId="713BD4B7" w14:textId="77777777" w:rsidR="00F52FEE" w:rsidRPr="005E779E" w:rsidRDefault="00F52FEE" w:rsidP="000B7A6C">
      <w:pPr>
        <w:pStyle w:val="a3"/>
        <w:rPr>
          <w:color w:val="000000" w:themeColor="text1"/>
          <w:lang w:val="ru-RU"/>
        </w:rPr>
      </w:pPr>
      <w:r w:rsidRPr="005E779E">
        <w:rPr>
          <w:rStyle w:val="ArialNarrow17"/>
          <w:rFonts w:ascii="Times New Roman" w:hAnsi="Times New Roman" w:cs="Times New Roman"/>
          <w:b w:val="0"/>
          <w:color w:val="000000" w:themeColor="text1"/>
          <w:sz w:val="16"/>
          <w:szCs w:val="16"/>
          <w:lang w:val="ru-RU"/>
        </w:rPr>
        <w:t>Но</w:t>
      </w:r>
      <w:r w:rsidRPr="005E779E">
        <w:rPr>
          <w:color w:val="000000" w:themeColor="text1"/>
          <w:lang w:val="ru-RU"/>
        </w:rPr>
        <w:t xml:space="preserve"> грузоподъемность дирижаблей </w:t>
      </w:r>
      <w:r w:rsidRPr="005E779E">
        <w:rPr>
          <w:rStyle w:val="Tahoma"/>
          <w:rFonts w:ascii="Times New Roman" w:hAnsi="Times New Roman" w:cs="Times New Roman"/>
          <w:b w:val="0"/>
          <w:color w:val="000000" w:themeColor="text1"/>
          <w:spacing w:val="0"/>
          <w:sz w:val="16"/>
          <w:szCs w:val="16"/>
          <w:lang w:val="ru-RU"/>
        </w:rPr>
        <w:t>и</w:t>
      </w:r>
      <w:r w:rsidRPr="005E779E">
        <w:rPr>
          <w:rStyle w:val="ArialNarrow17"/>
          <w:rFonts w:ascii="Times New Roman" w:hAnsi="Times New Roman" w:cs="Times New Roman"/>
          <w:b w:val="0"/>
          <w:color w:val="000000" w:themeColor="text1"/>
          <w:sz w:val="16"/>
          <w:szCs w:val="16"/>
          <w:lang w:val="ru-RU"/>
        </w:rPr>
        <w:t xml:space="preserve"> самолетов</w:t>
      </w:r>
      <w:r w:rsidRPr="005E779E">
        <w:rPr>
          <w:color w:val="000000" w:themeColor="text1"/>
          <w:lang w:val="ru-RU"/>
        </w:rPr>
        <w:t xml:space="preserve"> в то время была несоизме</w:t>
      </w:r>
      <w:r w:rsidRPr="005E779E">
        <w:rPr>
          <w:color w:val="000000" w:themeColor="text1"/>
          <w:lang w:val="ru-RU"/>
        </w:rPr>
        <w:softHyphen/>
      </w:r>
      <w:r w:rsidRPr="005E779E">
        <w:rPr>
          <w:rStyle w:val="Tahoma"/>
          <w:rFonts w:ascii="Times New Roman" w:hAnsi="Times New Roman" w:cs="Times New Roman"/>
          <w:b w:val="0"/>
          <w:color w:val="000000" w:themeColor="text1"/>
          <w:spacing w:val="0"/>
          <w:sz w:val="16"/>
          <w:szCs w:val="16"/>
          <w:lang w:val="ru-RU"/>
        </w:rPr>
        <w:t>рима.</w:t>
      </w:r>
      <w:r w:rsidRPr="005E779E">
        <w:rPr>
          <w:color w:val="000000" w:themeColor="text1"/>
          <w:lang w:val="ru-RU"/>
        </w:rPr>
        <w:t xml:space="preserve"> Соответственно, и предложение </w:t>
      </w:r>
      <w:r w:rsidRPr="005E779E">
        <w:rPr>
          <w:rStyle w:val="ArialNarrow17"/>
          <w:rFonts w:ascii="Times New Roman" w:hAnsi="Times New Roman" w:cs="Times New Roman"/>
          <w:b w:val="0"/>
          <w:color w:val="000000" w:themeColor="text1"/>
          <w:sz w:val="16"/>
          <w:szCs w:val="16"/>
          <w:lang w:val="ru-RU"/>
        </w:rPr>
        <w:t>Вахмистрова</w:t>
      </w:r>
      <w:r w:rsidRPr="005E779E">
        <w:rPr>
          <w:color w:val="000000" w:themeColor="text1"/>
          <w:lang w:val="ru-RU"/>
        </w:rPr>
        <w:t xml:space="preserve"> выглядело куда скромнее. </w:t>
      </w:r>
      <w:r w:rsidRPr="005E779E">
        <w:rPr>
          <w:rStyle w:val="ArialNarrow17"/>
          <w:rFonts w:ascii="Times New Roman" w:hAnsi="Times New Roman" w:cs="Times New Roman"/>
          <w:b w:val="0"/>
          <w:color w:val="000000" w:themeColor="text1"/>
          <w:sz w:val="16"/>
          <w:szCs w:val="16"/>
          <w:lang w:val="ru-RU"/>
        </w:rPr>
        <w:t>В качестве</w:t>
      </w:r>
      <w:r w:rsidRPr="005E779E">
        <w:rPr>
          <w:color w:val="000000" w:themeColor="text1"/>
          <w:lang w:val="ru-RU"/>
        </w:rPr>
        <w:t xml:space="preserve"> носителя он взял двухмотор</w:t>
      </w:r>
      <w:r w:rsidRPr="005E779E">
        <w:rPr>
          <w:color w:val="000000" w:themeColor="text1"/>
          <w:lang w:val="ru-RU"/>
        </w:rPr>
        <w:softHyphen/>
      </w:r>
      <w:r w:rsidRPr="005E779E">
        <w:rPr>
          <w:rStyle w:val="ArialNarrow17"/>
          <w:rFonts w:ascii="Times New Roman" w:hAnsi="Times New Roman" w:cs="Times New Roman"/>
          <w:b w:val="0"/>
          <w:color w:val="000000" w:themeColor="text1"/>
          <w:sz w:val="16"/>
          <w:szCs w:val="16"/>
          <w:lang w:val="ru-RU"/>
        </w:rPr>
        <w:t>ный</w:t>
      </w:r>
      <w:r w:rsidRPr="005E779E">
        <w:rPr>
          <w:color w:val="000000" w:themeColor="text1"/>
          <w:lang w:val="ru-RU"/>
        </w:rPr>
        <w:t xml:space="preserve"> бомбардировщик ТБ-1. Впрочем, и </w:t>
      </w:r>
      <w:r w:rsidRPr="005E779E">
        <w:rPr>
          <w:rStyle w:val="ArialNarrow17"/>
          <w:rFonts w:ascii="Times New Roman" w:hAnsi="Times New Roman" w:cs="Times New Roman"/>
          <w:b w:val="0"/>
          <w:color w:val="000000" w:themeColor="text1"/>
          <w:sz w:val="16"/>
          <w:szCs w:val="16"/>
          <w:lang w:val="ru-RU"/>
        </w:rPr>
        <w:t>выбора</w:t>
      </w:r>
      <w:r w:rsidRPr="005E779E">
        <w:rPr>
          <w:color w:val="000000" w:themeColor="text1"/>
          <w:lang w:val="ru-RU"/>
        </w:rPr>
        <w:t xml:space="preserve"> у конструктора никакого не было. </w:t>
      </w:r>
      <w:r w:rsidRPr="005E779E">
        <w:rPr>
          <w:rStyle w:val="ArialNarrow17"/>
          <w:rFonts w:ascii="Times New Roman" w:hAnsi="Times New Roman" w:cs="Times New Roman"/>
          <w:b w:val="0"/>
          <w:color w:val="000000" w:themeColor="text1"/>
          <w:sz w:val="16"/>
          <w:szCs w:val="16"/>
          <w:lang w:val="ru-RU"/>
        </w:rPr>
        <w:t>ТБ-1</w:t>
      </w:r>
      <w:r w:rsidRPr="005E779E">
        <w:rPr>
          <w:color w:val="000000" w:themeColor="text1"/>
          <w:lang w:val="ru-RU"/>
        </w:rPr>
        <w:t xml:space="preserve"> тогда являлся единственной маши</w:t>
      </w:r>
      <w:r w:rsidRPr="005E779E">
        <w:rPr>
          <w:color w:val="000000" w:themeColor="text1"/>
          <w:lang w:val="ru-RU"/>
        </w:rPr>
        <w:softHyphen/>
      </w:r>
      <w:r w:rsidRPr="005E779E">
        <w:rPr>
          <w:rStyle w:val="ArialNarrow17"/>
          <w:rFonts w:ascii="Times New Roman" w:hAnsi="Times New Roman" w:cs="Times New Roman"/>
          <w:b w:val="0"/>
          <w:color w:val="000000" w:themeColor="text1"/>
          <w:sz w:val="16"/>
          <w:szCs w:val="16"/>
          <w:lang w:val="ru-RU"/>
        </w:rPr>
        <w:t>ной со</w:t>
      </w:r>
      <w:r w:rsidRPr="005E779E">
        <w:rPr>
          <w:color w:val="000000" w:themeColor="text1"/>
          <w:lang w:val="ru-RU"/>
        </w:rPr>
        <w:t xml:space="preserve"> сколь-нибудь приемлемой грузо</w:t>
      </w:r>
      <w:r w:rsidRPr="005E779E">
        <w:rPr>
          <w:color w:val="000000" w:themeColor="text1"/>
          <w:lang w:val="ru-RU"/>
        </w:rPr>
        <w:softHyphen/>
        <w:t>подъемностью (четырехмоторный ТБ-3 существовал в единственном экземпля</w:t>
      </w:r>
      <w:r w:rsidRPr="005E779E">
        <w:rPr>
          <w:color w:val="000000" w:themeColor="text1"/>
          <w:lang w:val="ru-RU"/>
        </w:rPr>
        <w:softHyphen/>
      </w:r>
      <w:r w:rsidRPr="005E779E">
        <w:rPr>
          <w:rStyle w:val="ArialNarrow17"/>
          <w:rFonts w:ascii="Times New Roman" w:hAnsi="Times New Roman" w:cs="Times New Roman"/>
          <w:b w:val="0"/>
          <w:color w:val="000000" w:themeColor="text1"/>
          <w:sz w:val="16"/>
          <w:szCs w:val="16"/>
          <w:lang w:val="ru-RU"/>
        </w:rPr>
        <w:t>ре, только</w:t>
      </w:r>
      <w:r w:rsidRPr="005E779E">
        <w:rPr>
          <w:color w:val="000000" w:themeColor="text1"/>
          <w:lang w:val="ru-RU"/>
        </w:rPr>
        <w:t xml:space="preserve"> проходившем испытания). При предельном облегчении ТБ-1 мог под</w:t>
      </w:r>
      <w:r w:rsidRPr="005E779E">
        <w:rPr>
          <w:color w:val="000000" w:themeColor="text1"/>
          <w:lang w:val="ru-RU"/>
        </w:rPr>
        <w:softHyphen/>
      </w:r>
      <w:r w:rsidRPr="005E779E">
        <w:rPr>
          <w:rStyle w:val="ArialNarrow17"/>
          <w:rFonts w:ascii="Times New Roman" w:hAnsi="Times New Roman" w:cs="Times New Roman"/>
          <w:b w:val="0"/>
          <w:color w:val="000000" w:themeColor="text1"/>
          <w:sz w:val="16"/>
          <w:szCs w:val="16"/>
          <w:lang w:val="ru-RU"/>
        </w:rPr>
        <w:t>нять в</w:t>
      </w:r>
      <w:r w:rsidRPr="005E779E">
        <w:rPr>
          <w:color w:val="000000" w:themeColor="text1"/>
          <w:lang w:val="ru-RU"/>
        </w:rPr>
        <w:t xml:space="preserve"> воздух два истребителя И-4. Эти маленькие полуторапланы, видимо, вы</w:t>
      </w:r>
      <w:r w:rsidRPr="005E779E">
        <w:rPr>
          <w:color w:val="000000" w:themeColor="text1"/>
          <w:lang w:val="ru-RU"/>
        </w:rPr>
        <w:softHyphen/>
      </w:r>
      <w:r w:rsidRPr="005E779E">
        <w:rPr>
          <w:rStyle w:val="ArialNarrow17"/>
          <w:rFonts w:ascii="Times New Roman" w:hAnsi="Times New Roman" w:cs="Times New Roman"/>
          <w:b w:val="0"/>
          <w:color w:val="000000" w:themeColor="text1"/>
          <w:sz w:val="16"/>
          <w:szCs w:val="16"/>
          <w:lang w:val="ru-RU"/>
        </w:rPr>
        <w:t>брали</w:t>
      </w:r>
      <w:r w:rsidRPr="005E779E">
        <w:rPr>
          <w:color w:val="000000" w:themeColor="text1"/>
          <w:lang w:val="ru-RU"/>
        </w:rPr>
        <w:t xml:space="preserve"> за выдающуюся прочность - тогда </w:t>
      </w:r>
      <w:r w:rsidRPr="005E779E">
        <w:rPr>
          <w:rStyle w:val="ArialNarrow17"/>
          <w:rFonts w:ascii="Times New Roman" w:hAnsi="Times New Roman" w:cs="Times New Roman"/>
          <w:b w:val="0"/>
          <w:color w:val="000000" w:themeColor="text1"/>
          <w:sz w:val="16"/>
          <w:szCs w:val="16"/>
          <w:lang w:val="ru-RU"/>
        </w:rPr>
        <w:t>это</w:t>
      </w:r>
      <w:r w:rsidRPr="005E779E">
        <w:rPr>
          <w:color w:val="000000" w:themeColor="text1"/>
          <w:lang w:val="ru-RU"/>
        </w:rPr>
        <w:t xml:space="preserve"> были единственные отечественные цельнометаллические истребители. Лет</w:t>
      </w:r>
      <w:r w:rsidRPr="005E779E">
        <w:rPr>
          <w:color w:val="000000" w:themeColor="text1"/>
          <w:lang w:val="ru-RU"/>
        </w:rPr>
        <w:softHyphen/>
      </w:r>
      <w:r w:rsidRPr="005E779E">
        <w:rPr>
          <w:rStyle w:val="ArialNarrow17"/>
          <w:rFonts w:ascii="Times New Roman" w:hAnsi="Times New Roman" w:cs="Times New Roman"/>
          <w:b w:val="0"/>
          <w:color w:val="000000" w:themeColor="text1"/>
          <w:sz w:val="16"/>
          <w:szCs w:val="16"/>
          <w:lang w:val="ru-RU"/>
        </w:rPr>
        <w:t>ные</w:t>
      </w:r>
      <w:r w:rsidRPr="005E779E">
        <w:rPr>
          <w:color w:val="000000" w:themeColor="text1"/>
          <w:lang w:val="ru-RU"/>
        </w:rPr>
        <w:t xml:space="preserve"> же данные их выглядели довольно посредственными.</w:t>
      </w:r>
    </w:p>
    <w:p w14:paraId="1F5C581C" w14:textId="77777777" w:rsidR="00F52FEE" w:rsidRPr="005E779E" w:rsidRDefault="00F52FEE" w:rsidP="000B7A6C">
      <w:pPr>
        <w:pStyle w:val="a3"/>
        <w:rPr>
          <w:color w:val="000000" w:themeColor="text1"/>
          <w:lang w:val="ru-RU"/>
        </w:rPr>
      </w:pPr>
      <w:r w:rsidRPr="005E779E">
        <w:rPr>
          <w:color w:val="000000" w:themeColor="text1"/>
          <w:lang w:val="ru-RU"/>
        </w:rPr>
        <w:t>И-4 с «летающего авианосца» пред</w:t>
      </w:r>
      <w:r w:rsidRPr="005E779E">
        <w:rPr>
          <w:color w:val="000000" w:themeColor="text1"/>
          <w:lang w:val="ru-RU"/>
        </w:rPr>
        <w:softHyphen/>
        <w:t>полагалось использовать за пределами радиуса действия истребителей, стартую</w:t>
      </w:r>
      <w:r w:rsidRPr="005E779E">
        <w:rPr>
          <w:color w:val="000000" w:themeColor="text1"/>
          <w:lang w:val="ru-RU"/>
        </w:rPr>
        <w:softHyphen/>
        <w:t>щих с земли, - над открытым морем или в глубоком тылу противника. Дальность полета двухмоторного бомбардировщика больше, чем у маленького одномоторно</w:t>
      </w:r>
      <w:r w:rsidRPr="005E779E">
        <w:rPr>
          <w:color w:val="000000" w:themeColor="text1"/>
          <w:lang w:val="ru-RU"/>
        </w:rPr>
        <w:softHyphen/>
        <w:t>го истребителя. При полетах на полный радиус ТБ-1 с определенного момента лишался истребительного прикрытия.</w:t>
      </w:r>
    </w:p>
    <w:p w14:paraId="34ACE5BE" w14:textId="77777777" w:rsidR="00F52FEE" w:rsidRPr="005E779E" w:rsidRDefault="00F52FEE" w:rsidP="000B7A6C">
      <w:pPr>
        <w:pStyle w:val="a3"/>
        <w:rPr>
          <w:color w:val="000000" w:themeColor="text1"/>
          <w:lang w:val="ru-RU"/>
        </w:rPr>
      </w:pPr>
      <w:r w:rsidRPr="005E779E">
        <w:rPr>
          <w:color w:val="000000" w:themeColor="text1"/>
          <w:lang w:val="ru-RU"/>
        </w:rPr>
        <w:t>Эскорт вынужден был оставить бомбар</w:t>
      </w:r>
      <w:r w:rsidRPr="005E779E">
        <w:rPr>
          <w:color w:val="000000" w:themeColor="text1"/>
          <w:lang w:val="ru-RU"/>
        </w:rPr>
        <w:softHyphen/>
        <w:t>дировщики и лечь на обратный курс. Вот тогда и вступали в действие летающие авианосцы, идущие в составе группы. Стартовавшие с них самолеты обеспечи</w:t>
      </w:r>
      <w:r w:rsidRPr="005E779E">
        <w:rPr>
          <w:color w:val="000000" w:themeColor="text1"/>
          <w:lang w:val="ru-RU"/>
        </w:rPr>
        <w:softHyphen/>
        <w:t>вали сопровождение бомбардировщи</w:t>
      </w:r>
      <w:r w:rsidRPr="005E779E">
        <w:rPr>
          <w:color w:val="000000" w:themeColor="text1"/>
          <w:lang w:val="ru-RU"/>
        </w:rPr>
        <w:softHyphen/>
        <w:t>ков вплоть до самой цели и на обратном пути, при необходимости вступая в воз</w:t>
      </w:r>
      <w:r w:rsidRPr="005E779E">
        <w:rPr>
          <w:color w:val="000000" w:themeColor="text1"/>
          <w:lang w:val="ru-RU"/>
        </w:rPr>
        <w:softHyphen/>
        <w:t>душный бой с истребителями противника. По прикидкам конструктора, радиус дей</w:t>
      </w:r>
      <w:r w:rsidRPr="005E779E">
        <w:rPr>
          <w:color w:val="000000" w:themeColor="text1"/>
          <w:lang w:val="ru-RU"/>
        </w:rPr>
        <w:softHyphen/>
        <w:t>ствия И-4, запускаемых с самолета-носи</w:t>
      </w:r>
      <w:r w:rsidRPr="005E779E">
        <w:rPr>
          <w:color w:val="000000" w:themeColor="text1"/>
          <w:lang w:val="ru-RU"/>
        </w:rPr>
        <w:softHyphen/>
        <w:t>теля, увеличивался вдвое.</w:t>
      </w:r>
    </w:p>
    <w:p w14:paraId="67F66D02" w14:textId="77777777" w:rsidR="00F52FEE" w:rsidRPr="005E779E" w:rsidRDefault="00F52FEE" w:rsidP="000B7A6C">
      <w:pPr>
        <w:pStyle w:val="a3"/>
        <w:rPr>
          <w:color w:val="000000" w:themeColor="text1"/>
          <w:lang w:val="ru-RU"/>
        </w:rPr>
      </w:pPr>
      <w:r w:rsidRPr="005E779E">
        <w:rPr>
          <w:color w:val="000000" w:themeColor="text1"/>
          <w:lang w:val="ru-RU"/>
        </w:rPr>
        <w:t>В частности, просчитывался налет на Варшаву с приграничных аэродро</w:t>
      </w:r>
      <w:r w:rsidRPr="005E779E">
        <w:rPr>
          <w:color w:val="000000" w:themeColor="text1"/>
          <w:lang w:val="ru-RU"/>
        </w:rPr>
        <w:softHyphen/>
        <w:t>мов. Взлет должен был проходить ночью, с восходом солнца истребители отцепля</w:t>
      </w:r>
      <w:r w:rsidRPr="005E779E">
        <w:rPr>
          <w:color w:val="000000" w:themeColor="text1"/>
          <w:lang w:val="ru-RU"/>
        </w:rPr>
        <w:softHyphen/>
        <w:t>лись и занимали места вокруг соедине</w:t>
      </w:r>
      <w:r w:rsidRPr="005E779E">
        <w:rPr>
          <w:color w:val="000000" w:themeColor="text1"/>
          <w:lang w:val="ru-RU"/>
        </w:rPr>
        <w:softHyphen/>
        <w:t>ния бомбардировщиков.</w:t>
      </w:r>
    </w:p>
    <w:p w14:paraId="73C0CE66" w14:textId="77777777" w:rsidR="00F52FEE" w:rsidRPr="005E779E" w:rsidRDefault="00F52FEE" w:rsidP="000B7A6C">
      <w:pPr>
        <w:pStyle w:val="a3"/>
        <w:rPr>
          <w:color w:val="000000" w:themeColor="text1"/>
          <w:lang w:val="ru-RU"/>
        </w:rPr>
      </w:pPr>
      <w:r w:rsidRPr="005E779E">
        <w:rPr>
          <w:color w:val="000000" w:themeColor="text1"/>
          <w:lang w:val="ru-RU"/>
        </w:rPr>
        <w:t>Охранением функции этих машин не ограничивались. Вахмистров предлагал использовать их также для подавления зенитных батарей, постановки ослепля</w:t>
      </w:r>
      <w:r w:rsidRPr="005E779E">
        <w:rPr>
          <w:color w:val="000000" w:themeColor="text1"/>
          <w:lang w:val="ru-RU"/>
        </w:rPr>
        <w:softHyphen/>
        <w:t>ющих дымовых завес. Уйдя вперед от охраняемого для определения положения самолетов на больших расстояниях (радиолокато</w:t>
      </w:r>
      <w:r w:rsidRPr="005E779E">
        <w:rPr>
          <w:color w:val="000000" w:themeColor="text1"/>
          <w:lang w:val="ru-RU"/>
        </w:rPr>
        <w:softHyphen/>
        <w:t>ров еще не существовало).</w:t>
      </w:r>
    </w:p>
    <w:p w14:paraId="46BB15BE" w14:textId="77777777" w:rsidR="00F52FEE" w:rsidRPr="005E779E" w:rsidRDefault="00F52FEE" w:rsidP="000B7A6C">
      <w:pPr>
        <w:pStyle w:val="610"/>
        <w:framePr w:h="271" w:wrap="around" w:vAnchor="text" w:hAnchor="margin" w:x="3730" w:y="1691"/>
        <w:shd w:val="clear" w:color="auto" w:fill="auto"/>
        <w:spacing w:line="240" w:lineRule="auto"/>
        <w:jc w:val="both"/>
        <w:rPr>
          <w:rFonts w:ascii="Times New Roman" w:hAnsi="Times New Roman" w:cs="Times New Roman"/>
          <w:color w:val="000000" w:themeColor="text1"/>
          <w:sz w:val="16"/>
          <w:szCs w:val="16"/>
        </w:rPr>
      </w:pPr>
      <w:r w:rsidRPr="005E779E">
        <w:rPr>
          <w:rFonts w:ascii="Times New Roman" w:hAnsi="Times New Roman" w:cs="Times New Roman"/>
          <w:color w:val="000000" w:themeColor="text1"/>
          <w:sz w:val="16"/>
          <w:szCs w:val="16"/>
        </w:rPr>
        <w:t>ft</w:t>
      </w:r>
    </w:p>
    <w:p w14:paraId="123DE913" w14:textId="77777777" w:rsidR="00F52FEE" w:rsidRPr="005E779E" w:rsidRDefault="00F52FEE" w:rsidP="000B7A6C">
      <w:pPr>
        <w:pStyle w:val="a3"/>
        <w:rPr>
          <w:color w:val="000000" w:themeColor="text1"/>
          <w:lang w:val="ru-RU"/>
        </w:rPr>
      </w:pPr>
      <w:r w:rsidRPr="005E779E">
        <w:rPr>
          <w:color w:val="000000" w:themeColor="text1"/>
          <w:lang w:val="ru-RU"/>
        </w:rPr>
        <w:t>Летающие авианосцы могли бы по</w:t>
      </w:r>
      <w:r w:rsidRPr="005E779E">
        <w:rPr>
          <w:color w:val="000000" w:themeColor="text1"/>
          <w:lang w:val="ru-RU"/>
        </w:rPr>
        <w:softHyphen/>
        <w:t>мочь в отражении массированных нале</w:t>
      </w:r>
      <w:r w:rsidRPr="005E779E">
        <w:rPr>
          <w:color w:val="000000" w:themeColor="text1"/>
          <w:lang w:val="ru-RU"/>
        </w:rPr>
        <w:softHyphen/>
        <w:t>тов вражеской авиации, встречая группы бомбардировщиков вдали от охраняе</w:t>
      </w:r>
      <w:r w:rsidRPr="005E779E">
        <w:rPr>
          <w:color w:val="000000" w:themeColor="text1"/>
          <w:lang w:val="ru-RU"/>
        </w:rPr>
        <w:softHyphen/>
        <w:t>мого объекта. В перспективе предпо</w:t>
      </w:r>
      <w:r w:rsidRPr="005E779E">
        <w:rPr>
          <w:color w:val="000000" w:themeColor="text1"/>
          <w:lang w:val="ru-RU"/>
        </w:rPr>
        <w:softHyphen/>
        <w:t>лагалось несение телемеханических (радиоуправляемых) машин, груженых взрывчаткой и применяемых как мощные управляемые крылатые бомбы. Ими соби</w:t>
      </w:r>
      <w:r w:rsidRPr="005E779E">
        <w:rPr>
          <w:color w:val="000000" w:themeColor="text1"/>
          <w:lang w:val="ru-RU"/>
        </w:rPr>
        <w:softHyphen/>
        <w:t>рались поражать крупные промышленные объекты и большие боевые корабли - крейсера и линкоры. Оператор управле</w:t>
      </w:r>
      <w:r w:rsidRPr="005E779E">
        <w:rPr>
          <w:color w:val="000000" w:themeColor="text1"/>
          <w:lang w:val="ru-RU"/>
        </w:rPr>
        <w:softHyphen/>
        <w:t>ния при этом размещался на самолете- носителе. За счет демонтажа кресла, при</w:t>
      </w:r>
      <w:r w:rsidRPr="005E779E">
        <w:rPr>
          <w:color w:val="000000" w:themeColor="text1"/>
          <w:lang w:val="ru-RU"/>
        </w:rPr>
        <w:softHyphen/>
        <w:t>борной доски, стрелкового вооружения вес боевой части Вахмистров собирался довести до 625 кг (значительно больше, чем у бомб и торпед того времени). Та</w:t>
      </w:r>
      <w:r w:rsidRPr="005E779E">
        <w:rPr>
          <w:color w:val="000000" w:themeColor="text1"/>
          <w:lang w:val="ru-RU"/>
        </w:rPr>
        <w:softHyphen/>
        <w:t>кую цифру получали еще за счет мини</w:t>
      </w:r>
      <w:r w:rsidRPr="005E779E">
        <w:rPr>
          <w:color w:val="000000" w:themeColor="text1"/>
          <w:lang w:val="ru-RU"/>
        </w:rPr>
        <w:softHyphen/>
        <w:t>мального запаса горючего - ведь дале</w:t>
      </w:r>
      <w:r w:rsidRPr="005E779E">
        <w:rPr>
          <w:color w:val="000000" w:themeColor="text1"/>
          <w:lang w:val="ru-RU"/>
        </w:rPr>
        <w:softHyphen/>
        <w:t>ко лететь крылатой бомбе не придется, всего несколько километров, она должна оставаться в пределах видимости для оператора. Подобными аппаратами наме</w:t>
      </w:r>
      <w:r w:rsidRPr="005E779E">
        <w:rPr>
          <w:color w:val="000000" w:themeColor="text1"/>
          <w:lang w:val="ru-RU"/>
        </w:rPr>
        <w:softHyphen/>
        <w:t>ревались поражать также бомбардиров</w:t>
      </w:r>
      <w:r w:rsidRPr="005E779E">
        <w:rPr>
          <w:color w:val="000000" w:themeColor="text1"/>
          <w:lang w:val="ru-RU"/>
        </w:rPr>
        <w:softHyphen/>
        <w:t>щики, идущие в плотном строю. Предпо</w:t>
      </w:r>
      <w:r w:rsidRPr="005E779E">
        <w:rPr>
          <w:color w:val="000000" w:themeColor="text1"/>
          <w:lang w:val="ru-RU"/>
        </w:rPr>
        <w:softHyphen/>
        <w:t>лагалось, что радиус поражения составит около 100 м. Эти же радиоуправляемые самолеты могли использоваться как воз</w:t>
      </w:r>
      <w:r w:rsidRPr="005E779E">
        <w:rPr>
          <w:color w:val="000000" w:themeColor="text1"/>
          <w:lang w:val="ru-RU"/>
        </w:rPr>
        <w:softHyphen/>
        <w:t>душные мишени для обучения зенитчи</w:t>
      </w:r>
      <w:r w:rsidRPr="005E779E">
        <w:rPr>
          <w:color w:val="000000" w:themeColor="text1"/>
          <w:lang w:val="ru-RU"/>
        </w:rPr>
        <w:softHyphen/>
        <w:t>ков и воздушных стрелков (17741).</w:t>
      </w:r>
    </w:p>
    <w:p w14:paraId="6C234994" w14:textId="77777777" w:rsidR="00F52FEE" w:rsidRPr="005E779E" w:rsidRDefault="00F52FEE" w:rsidP="000B7A6C">
      <w:pPr>
        <w:spacing w:after="0" w:line="240" w:lineRule="auto"/>
        <w:jc w:val="both"/>
        <w:rPr>
          <w:rFonts w:ascii="Times New Roman" w:hAnsi="Times New Roman"/>
          <w:color w:val="000000" w:themeColor="text1"/>
          <w:sz w:val="16"/>
          <w:szCs w:val="16"/>
        </w:rPr>
      </w:pPr>
    </w:p>
    <w:p w14:paraId="20CA9E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 начале 1931 г. проверили состояние строительства завода “Сибсельмаш”. Западно-Сибирская контрольная комиссия ВКП(б) и отдел рабоче-крестьянской инспекции рекомендовали ВСНХ СССР, Союзсельмашу и другим центральным органам оказать надлежащее содействие строительству: своевременно и полностью обеспечивать строительные материалы и оборудование, а также инженерно-технические кадры. Кроме того, предлагалось возможно скорее перевести всех занятых в этой стройке на снабжение предметами широкого потребления и продуктами питания по нормам ударных строек в Сибири (Кузнецкстрой и др.), подпадающих, к тому же, под действие закона об отдельных местностях (9684).</w:t>
      </w:r>
    </w:p>
    <w:p w14:paraId="182189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9B00BDC" w14:textId="64E2A46C"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1931 г. пущена первая очередь завода (Завод № 20 ВСНХ, НКТП, НКОП, НКАП, Омский агрегатный завод им. В.В. Куйбышева МАП, Омское НПО «Агрегат», АООТ, ОАО «Омский агрегатный завод», ОАО «Акционерная компания (АК) «Омскагрегат» / г. Москва Старопетровский пр., 41;</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Омск/ /644007</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Омск ул. Герцена, 48 тел. 25-05-88,25-12-97/), с 09.1931 г. - производство нормалей и водяных насосов для М- 17, бензонасосов «Хорнет». С 04.1932 г. вступил в строй литейный цех, с 1934 г.- цех по производству клапанов, с 1935 г. начат выпуск поршневых колец. По пр. № 00276 от 20.12.1937 г. заводу поручено организовать производство агрегатов для М-62 (масляная и бензиновая помпа, маслофильтр, поршневые кольца, выпускные клапаны). С 1938 г. ликвидировано производство нормалей, и основной продукцией в предвоеннй период стали агрегаты: водяные насосы ВНМ-17, ВНШ-2, ВНАМ-35; маслонасосы МШ-2, МШ-8, МНМ-11, МНАМ-35, МК-1; бензонасосы БНК-10, БНК-12А, БК-1; помпы «88р»; маслофильтры МФМ-25; регуляторы оборотов в/винта Р-2, Р-7; клапаны и поршневые кольца для авиационных двигателей. Поршневые кольца изготовлялись по технологии американской фирмы "</w:t>
      </w:r>
      <w:r w:rsidRPr="005E779E">
        <w:rPr>
          <w:rFonts w:ascii="Times New Roman" w:hAnsi="Times New Roman"/>
          <w:color w:val="000000" w:themeColor="text1"/>
          <w:sz w:val="16"/>
          <w:szCs w:val="16"/>
          <w:lang w:val="en-US"/>
        </w:rPr>
        <w:t>Wright</w:t>
      </w:r>
      <w:r w:rsidRPr="005E779E">
        <w:rPr>
          <w:rFonts w:ascii="Times New Roman" w:hAnsi="Times New Roman"/>
          <w:color w:val="000000" w:themeColor="text1"/>
          <w:sz w:val="16"/>
          <w:szCs w:val="16"/>
        </w:rPr>
        <w:t>". По пр. № 329с от 8/17.08.1938 г. для обеспечения выпуска поршневых колец заводу было выделено 25 единиц оборудования, еще 1 станок был передан с завода № 24; на завод направлено 8 инженеров. Этим же приказом ГПИ-1 поручено разработать проект испытательной станции завода с готовностью ее к монтажу к концу года.</w:t>
      </w:r>
    </w:p>
    <w:p w14:paraId="51C3CB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 № 80с от 11.03.1938 г. «в целях правильной организации ремонтного производства» на заводе организован ремонтно-эксплуатационный отдел.</w:t>
      </w:r>
    </w:p>
    <w:p w14:paraId="5F74A2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пост. КО от 2.10.1939 г. в 1940 г. должна была быть завершена реконструкция завода.</w:t>
      </w:r>
    </w:p>
    <w:p w14:paraId="1895F3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Перед войной в распоряжение завода переданы помещения расположенного рядом лесотарного завода НКПП (Старопетровский пр., 3).</w:t>
      </w:r>
    </w:p>
    <w:p w14:paraId="4BBD9A6E" w14:textId="2A1546C6"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Постановлению ГКО № 741с от 8.10.1941 г. и приказам № 660сс от 9.07.1941 г. и № 1053сс от 9.10.1941 г. завод эвакуирован в</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Омск на площадку своего филиала, складов Сибирского военного округа № 25 и площадку завода № 495 НКАП. Здесь приказом № 1093с от 4.11.1941 г. объединен с заводом № 495 НКАП в единый завод № 20 НКАП. Часть завода планировалось перевести на площадку завода № 283 НКАП в Ульяновск. Производство клапанов было эвакуировано на моторные заводы (в т.ч. на завод № 24).</w:t>
      </w:r>
    </w:p>
    <w:p w14:paraId="43DA5B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годы ВОВ производство: бензонасосов БНК-6, БНК-10, БНК-12; маслонасосов МШ-3, МШ-5, МШ-8, МНМ- 11; регуляторов оборотов Р-2, Р-7, Р-10.</w:t>
      </w:r>
    </w:p>
    <w:p w14:paraId="2AECB3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площадке эвакуированного завода в Москве по приказу № 46с от 17.01.1942 г. образованы Агрегатные ремонтные мастерские. В 04.1942 г. на их базе организован новый агрегатный завод № 451 НКАП при 4ГУ, переведенный позже на площадку бывшего завода № 132 НКАП. По приказу № 424с от 7.06.1942 г. на площадку завода № 20 со всем оборудованием, материалами и личным составом был переведен завод № 41 НКАП. Одновременно помещения лесотарного завода (Старопетровский пр., 3) переданы обратно в НКПП для налаживания производства корпусов авиабомб.</w:t>
      </w:r>
    </w:p>
    <w:p w14:paraId="55AFD1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03.1946 г. начато освоение производства насосов непосредственного впрыска НВ-21.</w:t>
      </w:r>
    </w:p>
    <w:p w14:paraId="55013F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1953 г. завод переведен из 4ГУ во 2ГУ, с 1.05.1956 г.- в ЗГУ. В соответствии с пост. СМ СССР № 713-342 от 26.06.1957 г. передан в ведение управления агрегатостроения Западно-Сибирского СНХ РСФСР (и в 1962 г.).</w:t>
      </w:r>
    </w:p>
    <w:p w14:paraId="2BE72400" w14:textId="3F05290C"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1980-м</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 xml:space="preserve">г. завод стал крупнейшим в стране по изготовлению топливной автоматики для авиадвигателей и гидросистем </w:t>
      </w:r>
      <w:r w:rsidRPr="005E779E">
        <w:rPr>
          <w:rFonts w:ascii="Times New Roman" w:hAnsi="Times New Roman"/>
          <w:color w:val="000000" w:themeColor="text1"/>
          <w:sz w:val="16"/>
          <w:szCs w:val="16"/>
          <w:lang w:val="en-US"/>
        </w:rPr>
        <w:t>JIA</w:t>
      </w:r>
      <w:r w:rsidRPr="005E779E">
        <w:rPr>
          <w:rFonts w:ascii="Times New Roman" w:hAnsi="Times New Roman"/>
          <w:color w:val="000000" w:themeColor="text1"/>
          <w:sz w:val="16"/>
          <w:szCs w:val="16"/>
        </w:rPr>
        <w:t>.</w:t>
      </w:r>
    </w:p>
    <w:p w14:paraId="5D5CED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510EC3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Производство (2004 г.): топливных многофункциональных регуляторов, насосов шестеренчатых, плунжерных, центробежных, коловратных, гидроусилителей, дозаторов, различных клапанов; компрессоров к холодильникам; насосов для гидросистем тракторов, дорожных и подъемных машин, грузовых автомобилей и автобусов, гидроаппаратуры к зерновым комбайнам, для пищевой промышленности.</w:t>
      </w:r>
    </w:p>
    <w:p w14:paraId="3E6BF4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Численность персонала (1964 г.)- 7025 чел., (1.01.2001 г.)- 5500 чел.</w:t>
      </w:r>
    </w:p>
    <w:p w14:paraId="4E8547C9" w14:textId="7ABF3354"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(1930 г.)- Бжезинский, (-06.1937-15.06.1938 г.)-</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 xml:space="preserve">Г.З. Алмазов (снят за выпуск брака), (15.06- 12.1938 г.-)- Д.М. Соколов, (20.01.1939-41 г.)- И.Т. Борисов, (-06.1942-07.1943 г.-)- </w:t>
      </w:r>
      <w:r w:rsidRPr="005E779E">
        <w:rPr>
          <w:rFonts w:ascii="Times New Roman" w:hAnsi="Times New Roman"/>
          <w:color w:val="000000" w:themeColor="text1"/>
          <w:sz w:val="16"/>
          <w:szCs w:val="16"/>
          <w:lang w:val="en-US"/>
        </w:rPr>
        <w:t>A</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M</w:t>
      </w:r>
      <w:r w:rsidRPr="005E779E">
        <w:rPr>
          <w:rFonts w:ascii="Times New Roman" w:hAnsi="Times New Roman"/>
          <w:color w:val="000000" w:themeColor="text1"/>
          <w:sz w:val="16"/>
          <w:szCs w:val="16"/>
        </w:rPr>
        <w:t>. Ивайкин, (09.1943 г.)- Ермоленко, (-12.1943-02.1944 г.-)- Н.Н. Кругленин, (1946 г.)- Сибиркин, (1979 г.)- Иванов. Гендиректор (1988-90 г.)- А.А. Кульков, (-1992-2002 г.-)- Е. Г. Руденко, (-10.2004-06 г.-&gt; С.А. Морев.</w:t>
      </w:r>
    </w:p>
    <w:p w14:paraId="6A1FC7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Помощник директора: по техчасти (1930 г.)- Е.Н. Дмитревский; по найму и увольнению (-06.1937-7.12.1938 г.)- А.П. Гусев, (7.12.1938 г.-)- И.А. Уваров.</w:t>
      </w:r>
    </w:p>
    <w:p w14:paraId="6030BA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конструктор (10.1940-46 г.-)- П.Н. Тарасов, (1988-90 г.)- А.А. Кульков.</w:t>
      </w:r>
    </w:p>
    <w:p w14:paraId="487031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гл. конструктора (-10.1940 г.)- А.Н. Мельников (затем- нач. КО завода № 456), (11.1941 г.-)- Н. Г. Гладченко (бывший и.о. директора завода №495, с 12.1942 г.- гл. конструктор ОКБ-315).</w:t>
      </w:r>
    </w:p>
    <w:p w14:paraId="1326A8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инженер (12.1937 г.)- Боцковский, (1941 г.)- Ф.С. Деменюк.</w:t>
      </w:r>
    </w:p>
    <w:p w14:paraId="4D1843A6" w14:textId="5597CC5A"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директора (1941 г.)- Ф.С. Деменюк; по МФВ (1941 г.)-</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Г.С. Телегин. Зам. гендиректора по производству (1990-е)- В.Ф. Беляев, М.А. Пыхаев; (2006 г.)- С.К. Малиновский.</w:t>
      </w:r>
    </w:p>
    <w:p w14:paraId="36E820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 производства (1941 г.)- Н.Н. Кругленин. Исполнительный директор (2002 г.)- С. А. Морев.</w:t>
      </w:r>
      <w:r w:rsidRPr="005E779E">
        <w:rPr>
          <w:rFonts w:ascii="Times New Roman" w:hAnsi="Times New Roman"/>
          <w:color w:val="000000" w:themeColor="text1"/>
          <w:sz w:val="16"/>
          <w:szCs w:val="16"/>
          <w:vertAlign w:val="superscript"/>
        </w:rPr>
        <w:t>69</w:t>
      </w:r>
    </w:p>
    <w:p w14:paraId="022B2F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Начальники отделов: инструментального (-07.1938 г.)- М.И. Горячев; перспективного развития (10.2004 г.)- Н.А. Раат.</w:t>
      </w:r>
    </w:p>
    <w:p w14:paraId="4DDCE1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Производство: детали для </w:t>
      </w:r>
      <w:r w:rsidRPr="005E779E">
        <w:rPr>
          <w:rFonts w:ascii="Times New Roman" w:hAnsi="Times New Roman"/>
          <w:color w:val="000000" w:themeColor="text1"/>
          <w:sz w:val="16"/>
          <w:szCs w:val="16"/>
          <w:lang w:val="en-US"/>
        </w:rPr>
        <w:t>PC</w:t>
      </w:r>
      <w:r w:rsidRPr="005E779E">
        <w:rPr>
          <w:rFonts w:ascii="Times New Roman" w:hAnsi="Times New Roman"/>
          <w:color w:val="000000" w:themeColor="text1"/>
          <w:sz w:val="16"/>
          <w:szCs w:val="16"/>
        </w:rPr>
        <w:t xml:space="preserve"> М-13 (1942) (11982).</w:t>
      </w:r>
    </w:p>
    <w:p w14:paraId="2DD0C2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CBA3872" w14:textId="77777777" w:rsidR="00B642B8" w:rsidRPr="005E779E" w:rsidRDefault="00B642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shd w:val="clear" w:color="auto" w:fill="FFFFFF"/>
        </w:rPr>
        <w:t xml:space="preserve">В начале 1931 года в бюро воздушной техники при Ленинградском областном ОСОАВИАХИМе поступило предложение о постройке аэростата СА-1 (стратосферный аэростат, первый). Стратостат был создан в Бюро воздушной техники Ленинградского областного совета ОСОАВИАХИМа. Если стратостат </w:t>
      </w:r>
      <w:r w:rsidRPr="005E779E">
        <w:rPr>
          <w:rFonts w:ascii="Times New Roman" w:hAnsi="Times New Roman"/>
          <w:color w:val="000000" w:themeColor="text1"/>
          <w:sz w:val="16"/>
          <w:szCs w:val="16"/>
          <w:shd w:val="clear" w:color="auto" w:fill="FFFFFF"/>
          <w:lang w:val="en-US"/>
        </w:rPr>
        <w:t>CCCH</w:t>
      </w:r>
      <w:r w:rsidRPr="005E779E">
        <w:rPr>
          <w:rFonts w:ascii="Times New Roman" w:hAnsi="Times New Roman"/>
          <w:color w:val="000000" w:themeColor="text1"/>
          <w:sz w:val="16"/>
          <w:szCs w:val="16"/>
          <w:shd w:val="clear" w:color="auto" w:fill="FFFFFF"/>
        </w:rPr>
        <w:t>-1 строился по линии ВВС, т.е. по государственному заказу, то его ленинградский аналог создавался общественной организацией, что в известной степени сказалось на качестве проектных решений.</w:t>
      </w:r>
    </w:p>
    <w:p w14:paraId="4F1443A8" w14:textId="77777777" w:rsidR="00B642B8" w:rsidRPr="005E779E" w:rsidRDefault="00B642B8" w:rsidP="000B7A6C">
      <w:pPr>
        <w:pStyle w:val="ae"/>
        <w:shd w:val="clear" w:color="auto" w:fill="FFFFFF"/>
        <w:spacing w:before="0" w:after="0"/>
        <w:jc w:val="both"/>
        <w:rPr>
          <w:color w:val="000000" w:themeColor="text1"/>
          <w:sz w:val="16"/>
          <w:szCs w:val="16"/>
        </w:rPr>
      </w:pPr>
      <w:r w:rsidRPr="005E779E">
        <w:rPr>
          <w:color w:val="000000" w:themeColor="text1"/>
          <w:sz w:val="16"/>
          <w:szCs w:val="16"/>
        </w:rPr>
        <w:t>Проектирование велось под руководством А.Б.Васенко. В бригаду вошли инженер Е.Е.Чертовский, занимавшийся конструированием гондолы, инженер К.С.Кирпичников, осуществлявший вместе с Васенко расчет оболочки и такелажа, и техники-конструкторы Чепик и Лутохин. Проектные разработки консультировал известный специалист в области воздухоплавания профессор Н.А.Рынин. Расчет полета производился инженером П.Ф.Федосеенко. Метеорологическое обеспечение было возложено на изобретателя радиозонда профессора П.А.Молчанова. Руководство научной программой полета осуществлял академик А.Ф.Иоффе.</w:t>
      </w:r>
    </w:p>
    <w:p w14:paraId="5774607E" w14:textId="77777777" w:rsidR="00B642B8" w:rsidRPr="005E779E" w:rsidRDefault="00B642B8" w:rsidP="000B7A6C">
      <w:pPr>
        <w:pStyle w:val="ae"/>
        <w:shd w:val="clear" w:color="auto" w:fill="FFFFFF"/>
        <w:spacing w:before="0" w:after="0"/>
        <w:jc w:val="both"/>
        <w:rPr>
          <w:color w:val="000000" w:themeColor="text1"/>
          <w:sz w:val="16"/>
          <w:szCs w:val="16"/>
        </w:rPr>
      </w:pPr>
      <w:r w:rsidRPr="005E779E">
        <w:rPr>
          <w:color w:val="000000" w:themeColor="text1"/>
          <w:sz w:val="16"/>
          <w:szCs w:val="16"/>
        </w:rPr>
        <w:t>Стратостат имел максимальный объем оболочки при полном наполнении 22500 м3. Герметичная гондола для размещения трех стратонавтов в первом варианте представляла собой четырехугольник с закругленными углами. Конструктивно была выполнена в виде ферменного каркаса, обшитого сверху тонкой нержавеющей сталью толщиной 0,5 мм для устранения влияния на показания приборов. Обшивка сварная, на случай появления трещин в сварных швах внутри имелась дополнительная оболочка. По четырем сторонам плоских бортов кабины и в полу были установлены герметичные иллюминаторы. Снизу крепился амортизатор, выполненный в виде камышовой корзины. Для уменьшения перегрева кабина была окрашена в серый цвет. Впрочем, данное описание гондолы было представлено в период строительства стратостата. Позднее эта герметичная кабина была переработана и выполнена в виде сферы – по типу гондолы стратостата «СССР-1».</w:t>
      </w:r>
    </w:p>
    <w:p w14:paraId="26A6A129" w14:textId="77777777" w:rsidR="00B642B8" w:rsidRPr="005E779E" w:rsidRDefault="00B642B8" w:rsidP="000B7A6C">
      <w:pPr>
        <w:pStyle w:val="ae"/>
        <w:shd w:val="clear" w:color="auto" w:fill="FFFFFF"/>
        <w:spacing w:before="0" w:after="0"/>
        <w:jc w:val="both"/>
        <w:rPr>
          <w:color w:val="000000" w:themeColor="text1"/>
          <w:sz w:val="16"/>
          <w:szCs w:val="16"/>
        </w:rPr>
      </w:pPr>
      <w:r w:rsidRPr="005E779E">
        <w:rPr>
          <w:color w:val="000000" w:themeColor="text1"/>
          <w:sz w:val="16"/>
          <w:szCs w:val="16"/>
        </w:rPr>
        <w:t>Летом 1933 года, когда ленинградские создатели стратостата «ОСОАВИАХИМ-1» доложили правительству о завершении строительства стратостата и готовности к полету, из Москвы приехала комиссия для проверки готовности и конструкции аэростата, прежде всего его гондолы. Ознакомившись на месте с гондолой ленинградского стратостата, комиссия составила официальный акт и доложила свои соображения на собрании ленинградского отделения ОСОАВИАХИМа, на котором присутствовали руководство организации (Иванов) и все участники строительства. Общий вывод комиссии гласил: гондола имеет существенные конструктивные недостатки и выпускать ее в таком состоянии в полет с людьми нельзя. Важнейшие недостатки гондолы были связаны с обеспечением безопасности полета и аварийного спуска.</w:t>
      </w:r>
    </w:p>
    <w:p w14:paraId="61815E23" w14:textId="77777777" w:rsidR="00B642B8" w:rsidRPr="005E779E" w:rsidRDefault="00B642B8" w:rsidP="000B7A6C">
      <w:pPr>
        <w:pStyle w:val="ae"/>
        <w:shd w:val="clear" w:color="auto" w:fill="FFFFFF"/>
        <w:spacing w:before="0" w:after="0"/>
        <w:jc w:val="both"/>
        <w:rPr>
          <w:color w:val="000000" w:themeColor="text1"/>
          <w:sz w:val="16"/>
          <w:szCs w:val="16"/>
        </w:rPr>
      </w:pPr>
      <w:r w:rsidRPr="005E779E">
        <w:rPr>
          <w:color w:val="000000" w:themeColor="text1"/>
          <w:sz w:val="16"/>
          <w:szCs w:val="16"/>
        </w:rPr>
        <w:t>Прежде всего, это была неудачная конструкция единственного люка гондолы «ОСОАВИАХИМ-1». В гондоле стратостата «СССР-1» было два люка, причем открывание их производилось поворотом штурвала в его центре в течение 5-6 с. В гондоле стратостата «ОСОАВИАХИМ» крышка единственного люка имела по окружности 24 отверстия, а на кольце обшивки гондолы было 24 шпильки. Крышка поднималась руками и надевалась отверстиями на шпильки, на которые затем навертывались барашковые гайки, прижимавшие крышку к кольцу обшивки. Для открывания люка нужно было отвернуть 24 гайки, а затем снять крышку со шпилек. Даже в наземных условиях для этого требовалось несколько минут. Кроме того, люк находился в самой верхней части гондолы, а выход в него осуществлялся при помощи веревочной лестницы.</w:t>
      </w:r>
    </w:p>
    <w:p w14:paraId="3B05400E" w14:textId="77777777" w:rsidR="00B642B8" w:rsidRPr="005E779E" w:rsidRDefault="00B642B8" w:rsidP="000B7A6C">
      <w:pPr>
        <w:pStyle w:val="ae"/>
        <w:shd w:val="clear" w:color="auto" w:fill="FFFFFF"/>
        <w:spacing w:before="0" w:after="0"/>
        <w:jc w:val="both"/>
        <w:rPr>
          <w:color w:val="000000" w:themeColor="text1"/>
          <w:sz w:val="16"/>
          <w:szCs w:val="16"/>
        </w:rPr>
      </w:pPr>
      <w:r w:rsidRPr="005E779E">
        <w:rPr>
          <w:color w:val="000000" w:themeColor="text1"/>
          <w:sz w:val="16"/>
          <w:szCs w:val="16"/>
        </w:rPr>
        <w:t>Столь же неудовлетворительно был решен вопрос с балластом. Балласт, необходимый для безопасного спуска аэростата (1 т мелкой свинцовой дроби) помещался внутри гондолы. Для сбрасывания в гондоле имелось устройство в виде воронки и специального кармана с трубой, проходившей через обшивку наружу. Дробь зачерпывалась совком и засыпалась в воронку, из нее пересыпаясь в расположенный ниже карман. После этого закрывался кран между воронкой и карманом, и открывался кран между карманом и трубкой. Таким образом, дробь через трубку высыпалась наружу без нарушения герметичности гондолы. Скорость сбрасывания балласта была очень незначительной, поэтому для освобождения от тонны балласта требовалось больше часа времени. (Для сравнения, на «СССР-1» на это уходило всего 1-2 минуты.) Таким образом, было невозможно быстро сбросить балласт при опасном возрастании скорости спуска.</w:t>
      </w:r>
    </w:p>
    <w:p w14:paraId="53771CAC" w14:textId="77777777" w:rsidR="00B642B8" w:rsidRPr="005E779E" w:rsidRDefault="00B642B8" w:rsidP="000B7A6C">
      <w:pPr>
        <w:pStyle w:val="ae"/>
        <w:shd w:val="clear" w:color="auto" w:fill="FFFFFF"/>
        <w:spacing w:before="0" w:after="0"/>
        <w:jc w:val="both"/>
        <w:rPr>
          <w:color w:val="000000" w:themeColor="text1"/>
          <w:sz w:val="16"/>
          <w:szCs w:val="16"/>
        </w:rPr>
      </w:pPr>
      <w:r w:rsidRPr="005E779E">
        <w:rPr>
          <w:color w:val="000000" w:themeColor="text1"/>
          <w:sz w:val="16"/>
          <w:szCs w:val="16"/>
        </w:rPr>
        <w:t xml:space="preserve">Помимо этих недостатков были и другие. Гондола шарообразной формы, сваренная из листовой стали толщиной 0,8 мм, не имела никакого каркаса. Ее обшивка, помимо избыточного давления изнутри, воспринимала также все местные нагрузки от веса балласта, оборудования, экипажа, что могло вызвать местные деформации. </w:t>
      </w:r>
      <w:r w:rsidRPr="005E779E">
        <w:rPr>
          <w:color w:val="000000" w:themeColor="text1"/>
          <w:sz w:val="16"/>
          <w:szCs w:val="16"/>
        </w:rPr>
        <w:lastRenderedPageBreak/>
        <w:t>Гондола охватывалась веревочной сеткой, подведенной под ее днище, которая крепилась к стропам оболочки не двадцатью четырьмя, а восемью веревками. Хотя каждая из этих веревок была настолько прочной, что одна могла выдержать тяжесть гондолы, такое крепление гондолы не гарантировало ее от произвольного поворота в сетке под действием местных нагрузок. Концы веревок разделялись на несколько ветвей, и уже концы этих ветвей прикреплялись к оболочке посредством особых лап, пришитых к оболочке. Веревки крепились к разветвлениям не узлом, а посредством петель. В случае обрыва ветки петля сползала и освобождала веревку. Амортизатором при посадке служила резиновая камера, прикрепленная снизу к сетке, охватывающей гондолу. Небольшое сечение камеры не могло обеспечить при посадке сколько-нибудь существенное смягчение удара.</w:t>
      </w:r>
    </w:p>
    <w:p w14:paraId="1B93C62F" w14:textId="77777777" w:rsidR="00B642B8" w:rsidRPr="005E779E" w:rsidRDefault="00B642B8" w:rsidP="000B7A6C">
      <w:pPr>
        <w:pStyle w:val="ae"/>
        <w:shd w:val="clear" w:color="auto" w:fill="FFFFFF"/>
        <w:spacing w:before="0" w:after="0"/>
        <w:jc w:val="both"/>
        <w:rPr>
          <w:color w:val="000000" w:themeColor="text1"/>
          <w:sz w:val="16"/>
          <w:szCs w:val="16"/>
        </w:rPr>
      </w:pPr>
      <w:r w:rsidRPr="005E779E">
        <w:rPr>
          <w:color w:val="000000" w:themeColor="text1"/>
          <w:sz w:val="16"/>
          <w:szCs w:val="16"/>
        </w:rPr>
        <w:t>Полет аэростата «ОСОАВИАХИМ-1» задержали, но исправить отмеченные комиссией недостатки не удалось. Тем не менее было все же решено совершить полет на стратостате. По сегодняшним представлениям такое решение было ошибочным, вызванным лишь стремлением побить мировой рекорд. Но нельзя игнорировать общий настрой людей того времени, которые, стремясь к победе, «экономили» на средствах спасения.</w:t>
      </w:r>
    </w:p>
    <w:p w14:paraId="0F26A86F" w14:textId="77777777" w:rsidR="00B642B8" w:rsidRPr="005E779E" w:rsidRDefault="00B642B8" w:rsidP="000B7A6C">
      <w:pPr>
        <w:pStyle w:val="ae"/>
        <w:shd w:val="clear" w:color="auto" w:fill="FFFFFF"/>
        <w:spacing w:before="0" w:after="0"/>
        <w:jc w:val="both"/>
        <w:rPr>
          <w:color w:val="000000" w:themeColor="text1"/>
          <w:sz w:val="16"/>
          <w:szCs w:val="16"/>
        </w:rPr>
      </w:pPr>
      <w:r w:rsidRPr="005E779E">
        <w:rPr>
          <w:color w:val="000000" w:themeColor="text1"/>
          <w:sz w:val="16"/>
          <w:szCs w:val="16"/>
        </w:rPr>
        <w:t>Стратостат должен был стартовать 30 сентября 1933 года, в тот же день, что и «СССР-1». Однако поднявшийся ветер помешал полету. Плохая погода не позволила выпустить стратостат ОСОАВИАХИМа до января 1934 года. В конце этого месяца условия оказались более благоприятными, и решено было произвести исследование стратосферы в зимних условиях.</w:t>
      </w:r>
    </w:p>
    <w:p w14:paraId="59185602" w14:textId="77777777" w:rsidR="00B642B8" w:rsidRPr="005E779E" w:rsidRDefault="00B642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shd w:val="clear" w:color="auto" w:fill="FFFFFF"/>
        </w:rPr>
        <w:t>Старт стратостата «ОСОАВИАХИМ» (иногда его определяли как «ОСОАВИАХИМ-1») состоялся 30 января 1934 года в 9 часов 07 минут в поселке Кунцево под Москвой. Экипаж стратостата состоял из трех человек: командира — военного воздухоплавателя-инженера П.Ф.Федосеенко, инженера А.Б.Васенко и научного сотрудника И.Д.Усыскина. Для осуществления непрерывной радиосвязи с землей имел позывной «Сириус».</w:t>
      </w:r>
    </w:p>
    <w:p w14:paraId="15A86099" w14:textId="77777777" w:rsidR="00B642B8" w:rsidRPr="005E779E" w:rsidRDefault="00B642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shd w:val="clear" w:color="auto" w:fill="FFFFFF"/>
        </w:rPr>
        <w:t>После успеха стратостата «СССР-1» имелись надежды на благополучное завершение и этого полета. Кроме того, создатели данного стратостата ориентировались на достижение максимальной высоты не менее 20 км, то есть основной его целью являлось достижение нового мирового рекорда. Именно поэтому вокруг полета стратостата «ОСОАВИАХИМ» сложилась весьма торжественная обстановка. Сообщения об этапах полета почти непрерывно транслировались через радиостанцию им. Коминтерна. На борт постоянно поступали различные радиограммы с поздравлениями.</w:t>
      </w:r>
    </w:p>
    <w:p w14:paraId="778E8733" w14:textId="77777777" w:rsidR="00B642B8" w:rsidRPr="005E779E" w:rsidRDefault="00B642B8" w:rsidP="000B7A6C">
      <w:pPr>
        <w:pStyle w:val="ae"/>
        <w:shd w:val="clear" w:color="auto" w:fill="FFFFFF"/>
        <w:spacing w:before="0" w:after="0"/>
        <w:jc w:val="both"/>
        <w:rPr>
          <w:color w:val="000000" w:themeColor="text1"/>
          <w:sz w:val="16"/>
          <w:szCs w:val="16"/>
        </w:rPr>
      </w:pPr>
      <w:r w:rsidRPr="005E779E">
        <w:rPr>
          <w:rStyle w:val="af0"/>
          <w:i w:val="0"/>
          <w:color w:val="000000" w:themeColor="text1"/>
          <w:sz w:val="16"/>
          <w:szCs w:val="16"/>
        </w:rPr>
        <w:t>«11.42. Говорит «Сириус»! Высота 20600 м. Слушайте, слушайте! Передаём радиограмму XVII съезду партии…»</w:t>
      </w:r>
    </w:p>
    <w:p w14:paraId="31E5A384" w14:textId="77777777" w:rsidR="00B642B8" w:rsidRPr="005E779E" w:rsidRDefault="00B642B8" w:rsidP="000B7A6C">
      <w:pPr>
        <w:pStyle w:val="ae"/>
        <w:shd w:val="clear" w:color="auto" w:fill="FFFFFF"/>
        <w:spacing w:before="0" w:after="0"/>
        <w:jc w:val="both"/>
        <w:rPr>
          <w:color w:val="000000" w:themeColor="text1"/>
          <w:sz w:val="16"/>
          <w:szCs w:val="16"/>
        </w:rPr>
      </w:pPr>
      <w:r w:rsidRPr="005E779E">
        <w:rPr>
          <w:rStyle w:val="af0"/>
          <w:i w:val="0"/>
          <w:color w:val="000000" w:themeColor="text1"/>
          <w:sz w:val="16"/>
          <w:szCs w:val="16"/>
        </w:rPr>
        <w:t>«11.49. Говорит «Сириус»! Производим непрерывные наблюдения и опыты… для изучения космических лучей… Алло! Говорит «Сириус»! Временно прекращаем приём и передачу, для того чтобы включить патроны для поглощения углекислоты…»</w:t>
      </w:r>
    </w:p>
    <w:p w14:paraId="51BEDFAF" w14:textId="77777777" w:rsidR="00B642B8" w:rsidRPr="005E779E" w:rsidRDefault="00B642B8" w:rsidP="000B7A6C">
      <w:pPr>
        <w:pStyle w:val="ae"/>
        <w:shd w:val="clear" w:color="auto" w:fill="FFFFFF"/>
        <w:spacing w:before="0" w:after="0"/>
        <w:jc w:val="both"/>
        <w:rPr>
          <w:color w:val="000000" w:themeColor="text1"/>
          <w:sz w:val="16"/>
          <w:szCs w:val="16"/>
        </w:rPr>
      </w:pPr>
      <w:r w:rsidRPr="005E779E">
        <w:rPr>
          <w:color w:val="000000" w:themeColor="text1"/>
          <w:sz w:val="16"/>
          <w:szCs w:val="16"/>
        </w:rPr>
        <w:t>В 11.49 передача сведений со стратостата прекратилась. Научный сотрудник Ленинградского физико-технического института Усыскин производил наблюдения за космическими лучами. Поэтому перерыв в радиосвязи со стратостатом не вызывал беспокойства. На земле полагали, что он мог быть вызван порчей радиопередатчика, истощением аккумулятора и другими причинами. Действительно, пилоты, как оказалось впоследствии, перешли на работу с приборами, поглощавшими углекислоту. После этого, около 13.00, они снова передавали некоторые сведения, но в Москве их уже не было слышно вследствие большого удаления. Как выяснилось из дневников, они достигли высоты в 22000 м.</w:t>
      </w:r>
    </w:p>
    <w:p w14:paraId="22982986" w14:textId="77777777" w:rsidR="00B642B8" w:rsidRPr="005E779E" w:rsidRDefault="00B642B8" w:rsidP="000B7A6C">
      <w:pPr>
        <w:pStyle w:val="ae"/>
        <w:shd w:val="clear" w:color="auto" w:fill="FFFFFF"/>
        <w:spacing w:before="0" w:after="0"/>
        <w:jc w:val="both"/>
        <w:rPr>
          <w:color w:val="000000" w:themeColor="text1"/>
          <w:sz w:val="16"/>
          <w:szCs w:val="16"/>
        </w:rPr>
      </w:pPr>
      <w:r w:rsidRPr="005E779E">
        <w:rPr>
          <w:color w:val="000000" w:themeColor="text1"/>
          <w:sz w:val="16"/>
          <w:szCs w:val="16"/>
        </w:rPr>
        <w:t>Стратостат «ОСОАВИАХИМ-1» потерпел катастрофу в 16 км от станции Кадошкино, Московско-Казанской железной дороги, около деревни Потиж-Острог, Инсарского района, Мордовской автономной области. В гондоле, ударившейся со страшной силой о землю, были найдены тела погибших стратонавтов.</w:t>
      </w:r>
    </w:p>
    <w:p w14:paraId="427DB134" w14:textId="77777777" w:rsidR="00B642B8" w:rsidRPr="005E779E" w:rsidRDefault="00B642B8" w:rsidP="000B7A6C">
      <w:pPr>
        <w:pStyle w:val="ae"/>
        <w:shd w:val="clear" w:color="auto" w:fill="FFFFFF"/>
        <w:spacing w:before="0" w:after="0"/>
        <w:jc w:val="both"/>
        <w:rPr>
          <w:color w:val="000000" w:themeColor="text1"/>
          <w:sz w:val="16"/>
          <w:szCs w:val="16"/>
        </w:rPr>
      </w:pPr>
      <w:r w:rsidRPr="005E779E">
        <w:rPr>
          <w:color w:val="000000" w:themeColor="text1"/>
          <w:sz w:val="16"/>
          <w:szCs w:val="16"/>
        </w:rPr>
        <w:t>1 февраля 1934 года было опубликовано сообщение комиссии, прибывшей на место трагедии, о результатах расследования причины гибели стратостата «ОСОАВИАХИМ-1»:</w:t>
      </w:r>
    </w:p>
    <w:p w14:paraId="6B03E238" w14:textId="77777777" w:rsidR="00B642B8" w:rsidRPr="005E779E" w:rsidRDefault="00B642B8" w:rsidP="000B7A6C">
      <w:pPr>
        <w:pStyle w:val="ae"/>
        <w:shd w:val="clear" w:color="auto" w:fill="FFFFFF"/>
        <w:spacing w:before="0" w:after="0"/>
        <w:jc w:val="both"/>
        <w:rPr>
          <w:color w:val="000000" w:themeColor="text1"/>
          <w:sz w:val="16"/>
          <w:szCs w:val="16"/>
        </w:rPr>
      </w:pPr>
      <w:r w:rsidRPr="005E779E">
        <w:rPr>
          <w:rStyle w:val="af0"/>
          <w:i w:val="0"/>
          <w:color w:val="000000" w:themeColor="text1"/>
          <w:sz w:val="16"/>
          <w:szCs w:val="16"/>
        </w:rPr>
        <w:t>«В результате работы комиссии на месте катастрофы в настоящее время можно считать установленным нижеследующее:</w:t>
      </w:r>
    </w:p>
    <w:p w14:paraId="0F0A5F61" w14:textId="77777777" w:rsidR="00B642B8" w:rsidRPr="005E779E" w:rsidRDefault="00B642B8" w:rsidP="000B7A6C">
      <w:pPr>
        <w:pStyle w:val="ae"/>
        <w:shd w:val="clear" w:color="auto" w:fill="FFFFFF"/>
        <w:spacing w:before="0" w:after="0"/>
        <w:jc w:val="both"/>
        <w:rPr>
          <w:color w:val="000000" w:themeColor="text1"/>
          <w:sz w:val="16"/>
          <w:szCs w:val="16"/>
        </w:rPr>
      </w:pPr>
      <w:r w:rsidRPr="005E779E">
        <w:rPr>
          <w:rStyle w:val="af0"/>
          <w:i w:val="0"/>
          <w:color w:val="000000" w:themeColor="text1"/>
          <w:sz w:val="16"/>
          <w:szCs w:val="16"/>
        </w:rPr>
        <w:t>1. Гондола стратостата упала вблизи деревни Потиж-Острог, Инсарского района в 16 км на восток от ст. Кадошкино, Моск. — Каз. ж. д. (в 40 км от ст. Рузаевки). Экипаж в составе тт. Федосеенко П.Ф., Васенко А.Б. и Усыскина И.Д. найден в гондоле мертвым.</w:t>
      </w:r>
    </w:p>
    <w:p w14:paraId="1BF9C869" w14:textId="77777777" w:rsidR="00B642B8" w:rsidRPr="005E779E" w:rsidRDefault="00B642B8" w:rsidP="000B7A6C">
      <w:pPr>
        <w:pStyle w:val="ae"/>
        <w:shd w:val="clear" w:color="auto" w:fill="FFFFFF"/>
        <w:spacing w:before="0" w:after="0"/>
        <w:jc w:val="both"/>
        <w:rPr>
          <w:color w:val="000000" w:themeColor="text1"/>
          <w:sz w:val="16"/>
          <w:szCs w:val="16"/>
        </w:rPr>
      </w:pPr>
      <w:r w:rsidRPr="005E779E">
        <w:rPr>
          <w:rStyle w:val="af0"/>
          <w:i w:val="0"/>
          <w:color w:val="000000" w:themeColor="text1"/>
          <w:sz w:val="16"/>
          <w:szCs w:val="16"/>
        </w:rPr>
        <w:t>Часть пилотных и научных приборов, находившихся в гондоле, оказалась разбитой, часть приборов найдена в полуразрушенном состоянии и подлежит дальнейшему исследованию. Запись всех трех участников полета, а также и регистрация барографа, записавшего давление внутри гондолы, оказались в полной сохранности.</w:t>
      </w:r>
    </w:p>
    <w:p w14:paraId="588A1226" w14:textId="77777777" w:rsidR="00B642B8" w:rsidRPr="005E779E" w:rsidRDefault="00B642B8" w:rsidP="000B7A6C">
      <w:pPr>
        <w:pStyle w:val="ae"/>
        <w:shd w:val="clear" w:color="auto" w:fill="FFFFFF"/>
        <w:spacing w:before="0" w:after="0"/>
        <w:jc w:val="both"/>
        <w:rPr>
          <w:color w:val="000000" w:themeColor="text1"/>
          <w:sz w:val="16"/>
          <w:szCs w:val="16"/>
        </w:rPr>
      </w:pPr>
      <w:r w:rsidRPr="005E779E">
        <w:rPr>
          <w:rStyle w:val="af0"/>
          <w:i w:val="0"/>
          <w:color w:val="000000" w:themeColor="text1"/>
          <w:sz w:val="16"/>
          <w:szCs w:val="16"/>
        </w:rPr>
        <w:t>На основании найденных и тщательно исследованных материалов Комиссия устанавливает:</w:t>
      </w:r>
    </w:p>
    <w:p w14:paraId="43E729E0" w14:textId="77777777" w:rsidR="00B642B8" w:rsidRPr="005E779E" w:rsidRDefault="00B642B8" w:rsidP="000B7A6C">
      <w:pPr>
        <w:pStyle w:val="ae"/>
        <w:shd w:val="clear" w:color="auto" w:fill="FFFFFF"/>
        <w:spacing w:before="0" w:after="0"/>
        <w:jc w:val="both"/>
        <w:rPr>
          <w:color w:val="000000" w:themeColor="text1"/>
          <w:sz w:val="16"/>
          <w:szCs w:val="16"/>
        </w:rPr>
      </w:pPr>
      <w:r w:rsidRPr="005E779E">
        <w:rPr>
          <w:rStyle w:val="af0"/>
          <w:i w:val="0"/>
          <w:color w:val="000000" w:themeColor="text1"/>
          <w:sz w:val="16"/>
          <w:szCs w:val="16"/>
        </w:rPr>
        <w:t>а) В 12 ч 33 м стратостат «ОСОАВИАХИМ-1» достиг предельной высоты 22000 м. На этой высоте стратостат задержался до 12 ч 45 м, после чего пошел на снижение.</w:t>
      </w:r>
    </w:p>
    <w:p w14:paraId="163E49B3" w14:textId="77777777" w:rsidR="00B642B8" w:rsidRPr="005E779E" w:rsidRDefault="00B642B8" w:rsidP="000B7A6C">
      <w:pPr>
        <w:pStyle w:val="ae"/>
        <w:shd w:val="clear" w:color="auto" w:fill="FFFFFF"/>
        <w:spacing w:before="0" w:after="0"/>
        <w:jc w:val="both"/>
        <w:rPr>
          <w:color w:val="000000" w:themeColor="text1"/>
          <w:sz w:val="16"/>
          <w:szCs w:val="16"/>
        </w:rPr>
      </w:pPr>
      <w:r w:rsidRPr="005E779E">
        <w:rPr>
          <w:rStyle w:val="af0"/>
          <w:i w:val="0"/>
          <w:color w:val="000000" w:themeColor="text1"/>
          <w:sz w:val="16"/>
          <w:szCs w:val="16"/>
        </w:rPr>
        <w:t>б) Записи бортового журнала велись регулярно до 16 ч 07 м. Последняя запись относится к 16 ч 10 м, и это время Комиссия считает началом катастрофы.</w:t>
      </w:r>
    </w:p>
    <w:p w14:paraId="6E9E0AE7" w14:textId="77777777" w:rsidR="00B642B8" w:rsidRPr="005E779E" w:rsidRDefault="00B642B8" w:rsidP="000B7A6C">
      <w:pPr>
        <w:pStyle w:val="ae"/>
        <w:shd w:val="clear" w:color="auto" w:fill="FFFFFF"/>
        <w:spacing w:before="0" w:after="0"/>
        <w:jc w:val="both"/>
        <w:rPr>
          <w:color w:val="000000" w:themeColor="text1"/>
          <w:sz w:val="16"/>
          <w:szCs w:val="16"/>
        </w:rPr>
      </w:pPr>
      <w:r w:rsidRPr="005E779E">
        <w:rPr>
          <w:rStyle w:val="af0"/>
          <w:i w:val="0"/>
          <w:color w:val="000000" w:themeColor="text1"/>
          <w:sz w:val="16"/>
          <w:szCs w:val="16"/>
        </w:rPr>
        <w:t>в) По записям барограммы разбитого барографа Комиссией установлено, что барограф перестал работать в 16 ч 21 м, стрелки на найденных на месте катастрофы карманных часах, принадлежавших т. Васенко, остановились от удара на 16 ч 21 мин. Все опрошенные жители также показывают время падения гондолы на землю — 16 ч с минутами.</w:t>
      </w:r>
    </w:p>
    <w:p w14:paraId="40152692" w14:textId="77777777" w:rsidR="00B642B8" w:rsidRPr="005E779E" w:rsidRDefault="00B642B8" w:rsidP="000B7A6C">
      <w:pPr>
        <w:pStyle w:val="ae"/>
        <w:shd w:val="clear" w:color="auto" w:fill="FFFFFF"/>
        <w:spacing w:before="0" w:after="0"/>
        <w:jc w:val="both"/>
        <w:rPr>
          <w:color w:val="000000" w:themeColor="text1"/>
          <w:sz w:val="16"/>
          <w:szCs w:val="16"/>
        </w:rPr>
      </w:pPr>
      <w:r w:rsidRPr="005E779E">
        <w:rPr>
          <w:rStyle w:val="af0"/>
          <w:i w:val="0"/>
          <w:color w:val="000000" w:themeColor="text1"/>
          <w:sz w:val="16"/>
          <w:szCs w:val="16"/>
        </w:rPr>
        <w:t>На основании вышеизложенного Комиссия устанавливает, что удар гондолы о землю произошел в 16 ч 23 м.</w:t>
      </w:r>
    </w:p>
    <w:p w14:paraId="06758330" w14:textId="77777777" w:rsidR="00B642B8" w:rsidRPr="005E779E" w:rsidRDefault="00B642B8" w:rsidP="000B7A6C">
      <w:pPr>
        <w:pStyle w:val="ae"/>
        <w:shd w:val="clear" w:color="auto" w:fill="FFFFFF"/>
        <w:spacing w:before="0" w:after="0"/>
        <w:jc w:val="both"/>
        <w:rPr>
          <w:color w:val="000000" w:themeColor="text1"/>
          <w:sz w:val="16"/>
          <w:szCs w:val="16"/>
        </w:rPr>
      </w:pPr>
      <w:r w:rsidRPr="005E779E">
        <w:rPr>
          <w:rStyle w:val="af0"/>
          <w:i w:val="0"/>
          <w:color w:val="000000" w:themeColor="text1"/>
          <w:sz w:val="16"/>
          <w:szCs w:val="16"/>
        </w:rPr>
        <w:t>Причиной катастрофы является чрезмерная прогрессивно возраставшая скорость снижения стратостата, начавшаяся в 16 ч 10 м с высоты 12000 м, вызвавшая, по-видимому, в дальнейшем разрывы части строп и нарушение равновесия всей системы, в итоге чего оторвавшаяся от оболочки гондола с силой ударилась о землю в 16 ч 23 м.</w:t>
      </w:r>
    </w:p>
    <w:p w14:paraId="65367B3D" w14:textId="77777777" w:rsidR="00B642B8" w:rsidRPr="005E779E" w:rsidRDefault="00B642B8" w:rsidP="000B7A6C">
      <w:pPr>
        <w:pStyle w:val="ae"/>
        <w:shd w:val="clear" w:color="auto" w:fill="FFFFFF"/>
        <w:spacing w:before="0" w:after="0"/>
        <w:jc w:val="both"/>
        <w:rPr>
          <w:color w:val="000000" w:themeColor="text1"/>
          <w:sz w:val="16"/>
          <w:szCs w:val="16"/>
        </w:rPr>
      </w:pPr>
      <w:r w:rsidRPr="005E779E">
        <w:rPr>
          <w:rStyle w:val="af0"/>
          <w:i w:val="0"/>
          <w:color w:val="000000" w:themeColor="text1"/>
          <w:sz w:val="16"/>
          <w:szCs w:val="16"/>
        </w:rPr>
        <w:t>Установлено, что находившаяся в стратостате команда погибла в результате удара гондолы о землю.</w:t>
      </w:r>
    </w:p>
    <w:p w14:paraId="7622B2D7" w14:textId="77777777" w:rsidR="00B642B8" w:rsidRPr="005E779E" w:rsidRDefault="00B642B8" w:rsidP="000B7A6C">
      <w:pPr>
        <w:pStyle w:val="ae"/>
        <w:shd w:val="clear" w:color="auto" w:fill="FFFFFF"/>
        <w:spacing w:before="0" w:after="0"/>
        <w:jc w:val="both"/>
        <w:rPr>
          <w:color w:val="000000" w:themeColor="text1"/>
          <w:sz w:val="16"/>
          <w:szCs w:val="16"/>
        </w:rPr>
      </w:pPr>
      <w:r w:rsidRPr="005E779E">
        <w:rPr>
          <w:rStyle w:val="af0"/>
          <w:i w:val="0"/>
          <w:color w:val="000000" w:themeColor="text1"/>
          <w:sz w:val="16"/>
          <w:szCs w:val="16"/>
        </w:rPr>
        <w:t>Никаких признаков обледенения на оболочке и гондоле стратостата не обнаружено. В районе спуска наблюдались разрывы облаков, сквозь которые пилоты, согласно записям, видели землю, и сам стратостат был виден в отдельные моменты с земной поверхности. Таким образом, опубликованная в «Правде» от 31 января радиограмма, принятая радиолюбителем в районе Гомеля и сообщавшая об обледенении стратостата и тяжелом состоянии участников полета не соответствует действительности, и, по-видимому, радист оказался жертвой чьей-то мистификации.</w:t>
      </w:r>
    </w:p>
    <w:p w14:paraId="2C33E096" w14:textId="77777777" w:rsidR="00B642B8" w:rsidRPr="005E779E" w:rsidRDefault="00B642B8" w:rsidP="000B7A6C">
      <w:pPr>
        <w:pStyle w:val="ae"/>
        <w:shd w:val="clear" w:color="auto" w:fill="FFFFFF"/>
        <w:spacing w:before="0" w:after="0"/>
        <w:jc w:val="both"/>
        <w:rPr>
          <w:color w:val="000000" w:themeColor="text1"/>
          <w:sz w:val="16"/>
          <w:szCs w:val="16"/>
        </w:rPr>
      </w:pPr>
      <w:r w:rsidRPr="005E779E">
        <w:rPr>
          <w:rStyle w:val="af0"/>
          <w:i w:val="0"/>
          <w:color w:val="000000" w:themeColor="text1"/>
          <w:sz w:val="16"/>
          <w:szCs w:val="16"/>
        </w:rPr>
        <w:t>По всем сохранившимся записям явствует, что за все время полета от начала до 16 ч 10 м экипаж стратостата имел бодрое настроение и твердую уверенность в благополучном спуске. По записям и остаткам приборов удалось установить большую научную работу, проведенную участниками полета.</w:t>
      </w:r>
    </w:p>
    <w:p w14:paraId="5D3BA558" w14:textId="77777777" w:rsidR="00B642B8" w:rsidRPr="005E779E" w:rsidRDefault="00B642B8" w:rsidP="000B7A6C">
      <w:pPr>
        <w:spacing w:after="0" w:line="240" w:lineRule="auto"/>
        <w:jc w:val="both"/>
        <w:rPr>
          <w:rFonts w:ascii="Times New Roman" w:hAnsi="Times New Roman"/>
          <w:color w:val="000000" w:themeColor="text1"/>
          <w:sz w:val="16"/>
          <w:szCs w:val="16"/>
        </w:rPr>
      </w:pPr>
      <w:r w:rsidRPr="005E779E">
        <w:rPr>
          <w:rStyle w:val="af0"/>
          <w:rFonts w:ascii="Times New Roman" w:hAnsi="Times New Roman"/>
          <w:i w:val="0"/>
          <w:color w:val="000000" w:themeColor="text1"/>
          <w:sz w:val="16"/>
          <w:szCs w:val="16"/>
          <w:shd w:val="clear" w:color="auto" w:fill="FFFFFF"/>
        </w:rPr>
        <w:t>Комиссия продолжает дальнейшее изучение найденных материалов и уцелевших вещественных доказательств для уточнения и определения всех обстоятельств катастрофы.</w:t>
      </w:r>
    </w:p>
    <w:p w14:paraId="54430C6A" w14:textId="77777777" w:rsidR="00B642B8" w:rsidRPr="005E779E" w:rsidRDefault="00B642B8" w:rsidP="000B7A6C">
      <w:pPr>
        <w:pStyle w:val="ae"/>
        <w:shd w:val="clear" w:color="auto" w:fill="FFFFFF"/>
        <w:spacing w:before="0" w:after="0"/>
        <w:jc w:val="both"/>
        <w:rPr>
          <w:color w:val="000000" w:themeColor="text1"/>
          <w:sz w:val="16"/>
          <w:szCs w:val="16"/>
        </w:rPr>
      </w:pPr>
      <w:r w:rsidRPr="005E779E">
        <w:rPr>
          <w:color w:val="000000" w:themeColor="text1"/>
          <w:sz w:val="16"/>
          <w:szCs w:val="16"/>
        </w:rPr>
        <w:t>На основании работы аварийной комиссии было установлено:</w:t>
      </w:r>
    </w:p>
    <w:p w14:paraId="2B402A7B" w14:textId="77777777" w:rsidR="00B642B8" w:rsidRPr="005E779E" w:rsidRDefault="00B642B8" w:rsidP="000B7A6C">
      <w:pPr>
        <w:pStyle w:val="ae"/>
        <w:shd w:val="clear" w:color="auto" w:fill="FFFFFF"/>
        <w:spacing w:before="0" w:after="0"/>
        <w:jc w:val="both"/>
        <w:rPr>
          <w:color w:val="000000" w:themeColor="text1"/>
          <w:sz w:val="16"/>
          <w:szCs w:val="16"/>
        </w:rPr>
      </w:pPr>
      <w:r w:rsidRPr="005E779E">
        <w:rPr>
          <w:color w:val="000000" w:themeColor="text1"/>
          <w:sz w:val="16"/>
          <w:szCs w:val="16"/>
        </w:rPr>
        <w:t>1. В 12 часов 33 минуты стратостат «ОСОАВИАХИМ» достиг предельной высоты 22 000 м. На этой высоте стратостат задержался до 12 часов 45 минут, после чего пошел на снижение.</w:t>
      </w:r>
    </w:p>
    <w:p w14:paraId="57AA80B5" w14:textId="77777777" w:rsidR="00B642B8" w:rsidRPr="005E779E" w:rsidRDefault="00B642B8" w:rsidP="000B7A6C">
      <w:pPr>
        <w:pStyle w:val="ae"/>
        <w:shd w:val="clear" w:color="auto" w:fill="FFFFFF"/>
        <w:spacing w:before="0" w:after="0"/>
        <w:jc w:val="both"/>
        <w:rPr>
          <w:color w:val="000000" w:themeColor="text1"/>
          <w:sz w:val="16"/>
          <w:szCs w:val="16"/>
        </w:rPr>
      </w:pPr>
      <w:r w:rsidRPr="005E779E">
        <w:rPr>
          <w:color w:val="000000" w:themeColor="text1"/>
          <w:sz w:val="16"/>
          <w:szCs w:val="16"/>
        </w:rPr>
        <w:t>2. Записи бортового журнала велись регулярно до 16 часов 07 минут. Последняя запись относится к 16 часам 10 минутам и это время комиссия считает началом катастрофы.</w:t>
      </w:r>
    </w:p>
    <w:p w14:paraId="4318794B" w14:textId="77777777" w:rsidR="00B642B8" w:rsidRPr="005E779E" w:rsidRDefault="00B642B8" w:rsidP="000B7A6C">
      <w:pPr>
        <w:pStyle w:val="ae"/>
        <w:shd w:val="clear" w:color="auto" w:fill="FFFFFF"/>
        <w:spacing w:before="0" w:after="0"/>
        <w:jc w:val="both"/>
        <w:rPr>
          <w:color w:val="000000" w:themeColor="text1"/>
          <w:sz w:val="16"/>
          <w:szCs w:val="16"/>
        </w:rPr>
      </w:pPr>
      <w:r w:rsidRPr="005E779E">
        <w:rPr>
          <w:color w:val="000000" w:themeColor="text1"/>
          <w:sz w:val="16"/>
          <w:szCs w:val="16"/>
        </w:rPr>
        <w:t>3. По записям барограммы установлено, что барограф перестал работать в 16 часов 21 минуту, стрелки часов, принадлежащих т. Васенко, остановились от удара на 16 часов 23 минуты. Все опрошенные жители также показывают время падения гондолы на землю – 16 часов с минутами.</w:t>
      </w:r>
    </w:p>
    <w:p w14:paraId="1CF20E69" w14:textId="77777777" w:rsidR="00B642B8" w:rsidRPr="005E779E" w:rsidRDefault="00B642B8" w:rsidP="000B7A6C">
      <w:pPr>
        <w:pStyle w:val="ae"/>
        <w:shd w:val="clear" w:color="auto" w:fill="FFFFFF"/>
        <w:spacing w:before="0" w:after="0"/>
        <w:jc w:val="both"/>
        <w:rPr>
          <w:color w:val="000000" w:themeColor="text1"/>
          <w:sz w:val="16"/>
          <w:szCs w:val="16"/>
        </w:rPr>
      </w:pPr>
      <w:r w:rsidRPr="005E779E">
        <w:rPr>
          <w:rStyle w:val="af0"/>
          <w:i w:val="0"/>
          <w:color w:val="000000" w:themeColor="text1"/>
          <w:sz w:val="16"/>
          <w:szCs w:val="16"/>
        </w:rPr>
        <w:t>«Причиной катастрофы является чрезмерная, прогрессивно возрастающая скорость снижения стратостата, начавшаяся в 16 часов 10 минут с высоты 12000 м, вызвавшая, по – видимому, в дальнейшем разрывы части строп и нарушение равновесия всей системы, в итоге чего оторвавшаяся от оболочки гондола с силой ударилась о землю в 16 часов 23 минуты.»</w:t>
      </w:r>
    </w:p>
    <w:p w14:paraId="0D1F95A9" w14:textId="77777777" w:rsidR="00B642B8" w:rsidRPr="005E779E" w:rsidRDefault="00B642B8" w:rsidP="000B7A6C">
      <w:pPr>
        <w:pStyle w:val="ae"/>
        <w:shd w:val="clear" w:color="auto" w:fill="FFFFFF"/>
        <w:spacing w:before="0" w:after="0"/>
        <w:jc w:val="both"/>
        <w:rPr>
          <w:color w:val="000000" w:themeColor="text1"/>
          <w:sz w:val="16"/>
          <w:szCs w:val="16"/>
        </w:rPr>
      </w:pPr>
      <w:r w:rsidRPr="005E779E">
        <w:rPr>
          <w:color w:val="000000" w:themeColor="text1"/>
          <w:sz w:val="16"/>
          <w:szCs w:val="16"/>
        </w:rPr>
        <w:t>После изучения всех материалов и, в частности, записей, сделанных в бортовом журнале погибшими стратонавтами, причины катастрофы удалось уточнить. Г.А.Прокофьев в своем докладе от 22 февраля 1934 года отмечал следующее:</w:t>
      </w:r>
    </w:p>
    <w:p w14:paraId="0FBD1AC3" w14:textId="77777777" w:rsidR="00B642B8" w:rsidRPr="005E779E" w:rsidRDefault="00B642B8" w:rsidP="000B7A6C">
      <w:pPr>
        <w:pStyle w:val="ae"/>
        <w:shd w:val="clear" w:color="auto" w:fill="FFFFFF"/>
        <w:spacing w:before="0" w:after="0"/>
        <w:jc w:val="both"/>
        <w:rPr>
          <w:color w:val="000000" w:themeColor="text1"/>
          <w:sz w:val="16"/>
          <w:szCs w:val="16"/>
        </w:rPr>
      </w:pPr>
      <w:r w:rsidRPr="005E779E">
        <w:rPr>
          <w:rStyle w:val="af0"/>
          <w:i w:val="0"/>
          <w:color w:val="000000" w:themeColor="text1"/>
          <w:sz w:val="16"/>
          <w:szCs w:val="16"/>
        </w:rPr>
        <w:t>«…причины катастрофы кроются в перерасходе балласта и в затянувшемся по времени пребывании в стратосфере. Способствовали этому и приборы, неправильно фиксировавшие вертикальную скорость при нараставшем спуске. На это мы находим прямую жалобу тов. Васенко — «альтиметр опаздывает» (19614).</w:t>
      </w:r>
    </w:p>
    <w:p w14:paraId="64B85E50" w14:textId="77777777" w:rsidR="00B642B8" w:rsidRPr="005E779E" w:rsidRDefault="00B642B8" w:rsidP="000B7A6C">
      <w:pPr>
        <w:spacing w:after="0" w:line="240" w:lineRule="auto"/>
        <w:jc w:val="both"/>
        <w:rPr>
          <w:rFonts w:ascii="Times New Roman" w:hAnsi="Times New Roman"/>
          <w:color w:val="000000" w:themeColor="text1"/>
          <w:sz w:val="16"/>
          <w:szCs w:val="16"/>
        </w:rPr>
      </w:pPr>
    </w:p>
    <w:p w14:paraId="10071B1A" w14:textId="77777777" w:rsidR="00B642B8" w:rsidRPr="005E779E" w:rsidRDefault="00B642B8" w:rsidP="000B7A6C">
      <w:pPr>
        <w:pStyle w:val="a8"/>
        <w:jc w:val="both"/>
        <w:rPr>
          <w:rFonts w:ascii="Times New Roman" w:hAnsi="Times New Roman" w:cs="Times New Roman"/>
          <w:color w:val="000000" w:themeColor="text1"/>
        </w:rPr>
      </w:pPr>
      <w:r w:rsidRPr="005E779E">
        <w:rPr>
          <w:rFonts w:ascii="Times New Roman" w:hAnsi="Times New Roman" w:cs="Times New Roman"/>
          <w:color w:val="000000" w:themeColor="text1"/>
        </w:rPr>
        <w:t>В начале 1931 г. работавший в НИИ ВВС военный инженер В.С. Вахмистров, выпускник Военно-воздушной академии, предложил оригинальную идею - самолет-авианосец. В то время уже считалось реальным размещение летательных аппаратов на дирижабле. Немцы экспериментировали как с планерами, так и с легкими самолетами, а в США близились к завершению огромные дирижабли «Акрон» и «Мекон», каждый из которых нес по пять истребителей. При этом американцы могли как запустить самолеты с носителя, так и принять их обратно.</w:t>
      </w:r>
    </w:p>
    <w:p w14:paraId="7BA76778" w14:textId="77777777" w:rsidR="00B642B8" w:rsidRPr="005E779E" w:rsidRDefault="00B642B8" w:rsidP="000B7A6C">
      <w:pPr>
        <w:pStyle w:val="a8"/>
        <w:jc w:val="both"/>
        <w:rPr>
          <w:rFonts w:ascii="Times New Roman" w:hAnsi="Times New Roman" w:cs="Times New Roman"/>
          <w:color w:val="000000" w:themeColor="text1"/>
        </w:rPr>
      </w:pPr>
      <w:r w:rsidRPr="005E779E">
        <w:rPr>
          <w:rFonts w:ascii="Times New Roman" w:hAnsi="Times New Roman" w:cs="Times New Roman"/>
          <w:color w:val="000000" w:themeColor="text1"/>
        </w:rPr>
        <w:t>Самолет мог лететь быстрее, чем дирижабль, занимал намного меньше места и не представлял из себя столь неуклюжую мишень. При использовании в военных целях это казалось существенными плюсами.</w:t>
      </w:r>
    </w:p>
    <w:p w14:paraId="60395B2E" w14:textId="77777777" w:rsidR="00B642B8" w:rsidRPr="005E779E" w:rsidRDefault="00B642B8" w:rsidP="000B7A6C">
      <w:pPr>
        <w:pStyle w:val="a8"/>
        <w:jc w:val="both"/>
        <w:rPr>
          <w:rFonts w:ascii="Times New Roman" w:hAnsi="Times New Roman" w:cs="Times New Roman"/>
          <w:color w:val="000000" w:themeColor="text1"/>
        </w:rPr>
      </w:pPr>
      <w:r w:rsidRPr="005E779E">
        <w:rPr>
          <w:rFonts w:ascii="Times New Roman" w:hAnsi="Times New Roman" w:cs="Times New Roman"/>
          <w:color w:val="000000" w:themeColor="text1"/>
        </w:rPr>
        <w:t>Но грузоподъемность дирижаблей и самолетов в то время была несоизмерима. Соответственно, и предложение Вахмистрова выглядело куда скромнее. В качестве носителя он взял двухмоторный бомбардировщик ТБ-1. Впрочем, выбирать конструктору не приходилось: ТБ-1 тогда являлся единственной машиной со сколь-нибудь приемлемой грузоподъемностью, четырехмоторный ТБ-3 существовал в единственном экземпляре, только проходившем испытания. При предельном облегчении ТБ-1 мог поднять в воздух два истребителя И-4.</w:t>
      </w:r>
    </w:p>
    <w:p w14:paraId="136BE5D4" w14:textId="77777777" w:rsidR="00B642B8" w:rsidRPr="005E779E" w:rsidRDefault="00B642B8" w:rsidP="000B7A6C">
      <w:pPr>
        <w:pStyle w:val="a8"/>
        <w:jc w:val="both"/>
        <w:rPr>
          <w:rFonts w:ascii="Times New Roman" w:hAnsi="Times New Roman" w:cs="Times New Roman"/>
          <w:color w:val="000000" w:themeColor="text1"/>
        </w:rPr>
      </w:pPr>
      <w:r w:rsidRPr="005E779E">
        <w:rPr>
          <w:rFonts w:ascii="Times New Roman" w:hAnsi="Times New Roman" w:cs="Times New Roman"/>
          <w:color w:val="000000" w:themeColor="text1"/>
        </w:rPr>
        <w:t xml:space="preserve">И-4 с «летающего авианосца» предполагалось использовать за пределами радиуса действия истребителей, стартующих с земли, - над открытым морем или в глубоком тылу противника. Дальность полета двухмоторного бомбардировщика превосходила возможности маленького одномоторного истребителя. При полетах на полный радиус ТБ-1 с определенного момента лишался истребительного прикрытия. Эскорт вынужден был оставить бомбардировщики и лечь на обратный курс. Вот тогда и вступали в действие летающие авианосцы, идущие в составе группы. Стартовавшие с них самолеты обеспечивали сопровождение бомбардировщиков вплоть до самой цели и на обратном пути, при необходимости вступая в воздушный бой с истребителями противника. По прикидкам конструктора, радиус действия И-4, запускаемых </w:t>
      </w:r>
      <w:r w:rsidRPr="005E779E">
        <w:rPr>
          <w:rFonts w:ascii="Times New Roman" w:hAnsi="Times New Roman" w:cs="Times New Roman"/>
          <w:color w:val="000000" w:themeColor="text1"/>
        </w:rPr>
        <w:lastRenderedPageBreak/>
        <w:t>с самолета-носителя, увеличивался вдвое.</w:t>
      </w:r>
    </w:p>
    <w:p w14:paraId="2D5CC1FF" w14:textId="77777777" w:rsidR="00B642B8" w:rsidRPr="005E779E" w:rsidRDefault="00B642B8" w:rsidP="000B7A6C">
      <w:pPr>
        <w:pStyle w:val="a8"/>
        <w:jc w:val="both"/>
        <w:rPr>
          <w:rFonts w:ascii="Times New Roman" w:hAnsi="Times New Roman" w:cs="Times New Roman"/>
          <w:color w:val="000000" w:themeColor="text1"/>
        </w:rPr>
      </w:pPr>
      <w:r w:rsidRPr="005E779E">
        <w:rPr>
          <w:rFonts w:ascii="Times New Roman" w:hAnsi="Times New Roman" w:cs="Times New Roman"/>
          <w:color w:val="000000" w:themeColor="text1"/>
        </w:rPr>
        <w:t>В частности, просчитывался налет на Варшаву с приграничных аэродромов. Взлет предполагался ночью, с восходом солнца истребители отцеплялись и занимали места вокруг соединения бомбардировщиков.</w:t>
      </w:r>
    </w:p>
    <w:p w14:paraId="5A8B0E28" w14:textId="77777777" w:rsidR="00B642B8" w:rsidRPr="005E779E" w:rsidRDefault="00B642B8" w:rsidP="000B7A6C">
      <w:pPr>
        <w:pStyle w:val="a8"/>
        <w:jc w:val="both"/>
        <w:rPr>
          <w:rFonts w:ascii="Times New Roman" w:hAnsi="Times New Roman" w:cs="Times New Roman"/>
          <w:color w:val="000000" w:themeColor="text1"/>
        </w:rPr>
      </w:pPr>
      <w:r w:rsidRPr="005E779E">
        <w:rPr>
          <w:rFonts w:ascii="Times New Roman" w:hAnsi="Times New Roman" w:cs="Times New Roman"/>
          <w:color w:val="000000" w:themeColor="text1"/>
        </w:rPr>
        <w:t>Охранением функции этих машин не ограничивались. Вахмистров предлагал использовать их также для подавления зенитных батарей, постановки ослепляющих дымовых завес. Уйдя вперед от охраняемого соединения бомбардировщиков, истребители могли глушить звукопеленгаторы, применявшиеся в то время для определения положения самолетов на больших расстояниях (радиолокаторов еще не существовало).</w:t>
      </w:r>
    </w:p>
    <w:p w14:paraId="23AAE90D" w14:textId="77777777" w:rsidR="00B642B8" w:rsidRPr="005E779E" w:rsidRDefault="00B642B8" w:rsidP="000B7A6C">
      <w:pPr>
        <w:pStyle w:val="a8"/>
        <w:jc w:val="both"/>
        <w:rPr>
          <w:rFonts w:ascii="Times New Roman" w:hAnsi="Times New Roman" w:cs="Times New Roman"/>
          <w:color w:val="000000" w:themeColor="text1"/>
        </w:rPr>
      </w:pPr>
      <w:r w:rsidRPr="005E779E">
        <w:rPr>
          <w:rFonts w:ascii="Times New Roman" w:hAnsi="Times New Roman" w:cs="Times New Roman"/>
          <w:color w:val="000000" w:themeColor="text1"/>
        </w:rPr>
        <w:t>Летающие авианосцы могли бы помочь в отражении массированных налетов вражеской авиации, встречая группы бомбардировщиков вдали от охраняемого объекта. В перспективе предполагалось несение телемеханических (радиоуправляемых) машин, груженых взрывчаткой и применяемых как мощные управляемые крылатые бомбы. Ими собирались поражать крупные промышленные объекты и большие боевые корабли - крейсера и линкоры. Оператор управления при этом размещался на самолете-носителе. За счет демонтажа кресла, приборной доски, стрелкового вооружения вес боевой части Вахмистров собирался довести до 625 кг (значительно больше, чем у бомб и торпед того времени). Такую цифру получали еще за счет минимального запаса горючего - ведь далеко лететь крылатой бомбе не придется, всего несколько километров, она должна оставаться в пределах видимости для оператора. Подобными аппаратами намеревались поражать также бомбардировщики, идущие в плотном строю. Предполагалось, что радиус поражения составит около 100 м. Эти же радиоуправляемые самолеты могли использоваться как воздушные мишени для обучения зенитчиков и воздушных стрелков.</w:t>
      </w:r>
    </w:p>
    <w:p w14:paraId="6EBB6D5D" w14:textId="77777777" w:rsidR="00B642B8" w:rsidRPr="005E779E" w:rsidRDefault="00B642B8" w:rsidP="000B7A6C">
      <w:pPr>
        <w:pStyle w:val="a8"/>
        <w:jc w:val="both"/>
        <w:rPr>
          <w:rFonts w:ascii="Times New Roman" w:hAnsi="Times New Roman" w:cs="Times New Roman"/>
          <w:color w:val="000000" w:themeColor="text1"/>
        </w:rPr>
      </w:pPr>
      <w:r w:rsidRPr="005E779E">
        <w:rPr>
          <w:rFonts w:ascii="Times New Roman" w:hAnsi="Times New Roman" w:cs="Times New Roman"/>
          <w:color w:val="000000" w:themeColor="text1"/>
        </w:rPr>
        <w:t>Надо сказать, что для ТБ-1 пара И-4 являлась нагрузкой нелегкой. Бомбовая нагрузка этого самолета равнялась 900 кг, а взлетный вес каждого истребителя составлял около 1430 кг. Отсюда следовало, что все машины требовалось существенно облегчать. Взлетать предусматривалось с работающими моторами всех трех самолетов.</w:t>
      </w:r>
    </w:p>
    <w:p w14:paraId="275F7A3A" w14:textId="77777777" w:rsidR="00B642B8" w:rsidRPr="005E779E" w:rsidRDefault="00B642B8" w:rsidP="000B7A6C">
      <w:pPr>
        <w:pStyle w:val="a8"/>
        <w:jc w:val="both"/>
        <w:rPr>
          <w:rFonts w:ascii="Times New Roman" w:hAnsi="Times New Roman" w:cs="Times New Roman"/>
          <w:color w:val="000000" w:themeColor="text1"/>
        </w:rPr>
      </w:pPr>
      <w:r w:rsidRPr="005E779E">
        <w:rPr>
          <w:rFonts w:ascii="Times New Roman" w:hAnsi="Times New Roman" w:cs="Times New Roman"/>
          <w:color w:val="000000" w:themeColor="text1"/>
        </w:rPr>
        <w:t>По расчетам Вахмистрова получалось, что на таком режиме скорость и скороподъемность всей сцепки не уменьшатся по сравнению с обычным ТБ-1 с бомбами, а, наоборот, возрастут на 5 - 7%. Это происходило за счет того, что у истребителей отношение мощности двигателя к взлетному весу было существенно больше, чем у бомбардировщика. Следовательно, тяговооруженность всего комплекта вырастала.</w:t>
      </w:r>
    </w:p>
    <w:p w14:paraId="14E0DD36" w14:textId="77777777" w:rsidR="00B642B8" w:rsidRPr="005E779E" w:rsidRDefault="00B642B8" w:rsidP="000B7A6C">
      <w:pPr>
        <w:pStyle w:val="a8"/>
        <w:jc w:val="both"/>
        <w:rPr>
          <w:rFonts w:ascii="Times New Roman" w:hAnsi="Times New Roman" w:cs="Times New Roman"/>
          <w:color w:val="000000" w:themeColor="text1"/>
        </w:rPr>
      </w:pPr>
      <w:r w:rsidRPr="005E779E">
        <w:rPr>
          <w:rFonts w:ascii="Times New Roman" w:hAnsi="Times New Roman" w:cs="Times New Roman"/>
          <w:color w:val="000000" w:themeColor="text1"/>
        </w:rPr>
        <w:t>В первоначальном варианте проекта сцепка именуется «самолетом-звеном Вахмистрова», сокращенно - СЗВ. Позже этот тип «летающего авианосца» стал известен как «Звено-1». В мастерских НИИ ВВС столяры изготовили модель всей сцепки, которую потом продули в аэродинамической трубе ЦАГИ. Больше всего боялись, что для управления «звеном» у бомбардировщика не хватит площади рулей. Однако размещение истребителей на крыле носителя не вызвало нежелательных эффектов - ни чрезмерного вихреоб- разования, ни «затенения» оперения не выявили. Отчасти этому способствовали малые скорости самолетов того времени (19100).</w:t>
      </w:r>
    </w:p>
    <w:p w14:paraId="119327CD" w14:textId="77777777" w:rsidR="00B642B8" w:rsidRPr="005E779E" w:rsidRDefault="00B642B8" w:rsidP="000B7A6C">
      <w:pPr>
        <w:pStyle w:val="a8"/>
        <w:jc w:val="both"/>
        <w:rPr>
          <w:rFonts w:ascii="Times New Roman" w:hAnsi="Times New Roman" w:cs="Times New Roman"/>
          <w:color w:val="000000" w:themeColor="text1"/>
        </w:rPr>
      </w:pPr>
    </w:p>
    <w:p w14:paraId="25064E91" w14:textId="77777777" w:rsidR="00E018C9" w:rsidRPr="00142305" w:rsidRDefault="00E018C9" w:rsidP="00E018C9">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В начале 1931 года Г.С. Бродский, откомандированный в НИИ ВВС, где в то время развертывалась деятельность группы П.И. Гроховского, занимавшаяся перспективными образцами техники для воздушно-десантных войск, выступил с инициативой создания реактивной железнодорожной торпеды, которая должна была поражать железнодорожную технику противника и важные объекты инфраструк</w:t>
      </w:r>
      <w:r w:rsidRPr="00142305">
        <w:rPr>
          <w:rStyle w:val="aff0"/>
          <w:rFonts w:ascii="Times New Roman" w:hAnsi="Times New Roman" w:cs="Times New Roman"/>
          <w:color w:val="0070C0"/>
          <w:spacing w:val="0"/>
          <w:sz w:val="16"/>
          <w:szCs w:val="16"/>
        </w:rPr>
        <w:softHyphen/>
        <w:t>туры - в первую очередь мосты.</w:t>
      </w:r>
    </w:p>
    <w:p w14:paraId="7E00C858" w14:textId="77777777" w:rsidR="00E018C9" w:rsidRPr="00142305" w:rsidRDefault="00E018C9" w:rsidP="00E018C9">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Предлагалось несколько вариантов компоновки торпедной установки: с двумя корпусами, располо</w:t>
      </w:r>
      <w:r w:rsidRPr="00142305">
        <w:rPr>
          <w:rStyle w:val="aff0"/>
          <w:rFonts w:ascii="Times New Roman" w:hAnsi="Times New Roman" w:cs="Times New Roman"/>
          <w:color w:val="0070C0"/>
          <w:spacing w:val="0"/>
          <w:sz w:val="16"/>
          <w:szCs w:val="16"/>
        </w:rPr>
        <w:softHyphen/>
        <w:t>женными параллельно на двухрельсовой тележке; с одним корпусом центрального положения или со смещением на двухрельсовой тележке; с одним корпусом на однорельсовой тележке. Сами торпеды внешне были почти идентичны, представляя собой веретенообразное тело. Конструктивно они отли</w:t>
      </w:r>
      <w:r w:rsidRPr="00142305">
        <w:rPr>
          <w:rStyle w:val="aff0"/>
          <w:rFonts w:ascii="Times New Roman" w:hAnsi="Times New Roman" w:cs="Times New Roman"/>
          <w:color w:val="0070C0"/>
          <w:spacing w:val="0"/>
          <w:sz w:val="16"/>
          <w:szCs w:val="16"/>
        </w:rPr>
        <w:softHyphen/>
        <w:t>чались типом боезарядов, мощностью реактивных двигателей и различными взрывателями - контакт</w:t>
      </w:r>
      <w:r w:rsidRPr="00142305">
        <w:rPr>
          <w:rStyle w:val="aff0"/>
          <w:rFonts w:ascii="Times New Roman" w:hAnsi="Times New Roman" w:cs="Times New Roman"/>
          <w:color w:val="0070C0"/>
          <w:spacing w:val="0"/>
          <w:sz w:val="16"/>
          <w:szCs w:val="16"/>
        </w:rPr>
        <w:softHyphen/>
        <w:t>ными или дистанционными.</w:t>
      </w:r>
    </w:p>
    <w:p w14:paraId="7F12D698" w14:textId="77777777" w:rsidR="00E018C9" w:rsidRPr="00142305" w:rsidRDefault="00E018C9" w:rsidP="00E018C9">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Контактный взрыватель срабатывал, понятно, при непосредственном столкновении с целью, а дистанционный имел возможность программиро</w:t>
      </w:r>
      <w:r w:rsidRPr="00142305">
        <w:rPr>
          <w:rStyle w:val="aff0"/>
          <w:rFonts w:ascii="Times New Roman" w:hAnsi="Times New Roman" w:cs="Times New Roman"/>
          <w:color w:val="0070C0"/>
          <w:spacing w:val="0"/>
          <w:sz w:val="16"/>
          <w:szCs w:val="16"/>
        </w:rPr>
        <w:softHyphen/>
        <w:t>ванного подрыва боеприпаса на расстоянии до 10,5 км от точки активации. Он включал в себя ини</w:t>
      </w:r>
      <w:r w:rsidRPr="00142305">
        <w:rPr>
          <w:rStyle w:val="aff0"/>
          <w:rFonts w:ascii="Times New Roman" w:hAnsi="Times New Roman" w:cs="Times New Roman"/>
          <w:color w:val="0070C0"/>
          <w:spacing w:val="0"/>
          <w:sz w:val="16"/>
          <w:szCs w:val="16"/>
        </w:rPr>
        <w:softHyphen/>
        <w:t>циирующий механизм и связанный с ним счетчик пройденного пути, основанный на механическом датчике, фиксирующем число оборотов колеса. 16 апреля 1931 года Бродский получил заявочное свидетельство на «Дистанционный электрический взрыватель для железнодорожной торпеды» (25695).</w:t>
      </w:r>
    </w:p>
    <w:p w14:paraId="10BF8486" w14:textId="77777777" w:rsidR="00E018C9" w:rsidRPr="00142305" w:rsidRDefault="00E018C9" w:rsidP="00E018C9">
      <w:pPr>
        <w:spacing w:after="0" w:line="240" w:lineRule="auto"/>
        <w:jc w:val="both"/>
        <w:rPr>
          <w:rFonts w:ascii="Times New Roman" w:hAnsi="Times New Roman"/>
          <w:color w:val="0070C0"/>
          <w:sz w:val="16"/>
          <w:szCs w:val="16"/>
        </w:rPr>
      </w:pPr>
    </w:p>
    <w:p w14:paraId="7CB634EF" w14:textId="77777777" w:rsidR="00EB19FC" w:rsidRPr="005E779E" w:rsidRDefault="00EB19F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1931 г. НИИ ВВС занимался вопросом заправки ТБ—1 в воздухе. В ка</w:t>
      </w:r>
      <w:r w:rsidRPr="005E779E">
        <w:rPr>
          <w:rFonts w:ascii="Times New Roman" w:hAnsi="Times New Roman"/>
          <w:color w:val="000000" w:themeColor="text1"/>
          <w:sz w:val="16"/>
          <w:szCs w:val="16"/>
        </w:rPr>
        <w:softHyphen/>
        <w:t>честве заправщика-танкера в первых опы</w:t>
      </w:r>
      <w:r w:rsidRPr="005E779E">
        <w:rPr>
          <w:rFonts w:ascii="Times New Roman" w:hAnsi="Times New Roman"/>
          <w:color w:val="000000" w:themeColor="text1"/>
          <w:sz w:val="16"/>
          <w:szCs w:val="16"/>
        </w:rPr>
        <w:softHyphen/>
        <w:t>тах использовался самолет Р—5. В его фю</w:t>
      </w:r>
      <w:r w:rsidRPr="005E779E">
        <w:rPr>
          <w:rFonts w:ascii="Times New Roman" w:hAnsi="Times New Roman"/>
          <w:color w:val="000000" w:themeColor="text1"/>
          <w:sz w:val="16"/>
          <w:szCs w:val="16"/>
        </w:rPr>
        <w:softHyphen/>
        <w:t>зеляже разместили дополнительный бак, из которого выходил шланг. Свободный конец шланга был намотан на барабан. Р—5 летел над ТБ—1, и техник через отвер</w:t>
      </w:r>
      <w:r w:rsidRPr="005E779E">
        <w:rPr>
          <w:rFonts w:ascii="Times New Roman" w:hAnsi="Times New Roman"/>
          <w:color w:val="000000" w:themeColor="text1"/>
          <w:sz w:val="16"/>
          <w:szCs w:val="16"/>
        </w:rPr>
        <w:softHyphen/>
        <w:t>стие в фюзеляже выпускал шланг. Механик на ТБ—1, находясь в кабине верхнего стрелка, ловил «конец» и присоединял к топливной системе. Знак рукой — и с Р—5 самотеком начинал поступать бензин. Военный инженер А.К. Запакованный и летчик И. Белозеров в 1933—1935 гг. про</w:t>
      </w:r>
      <w:r w:rsidRPr="005E779E">
        <w:rPr>
          <w:rFonts w:ascii="Times New Roman" w:hAnsi="Times New Roman"/>
          <w:color w:val="000000" w:themeColor="text1"/>
          <w:sz w:val="16"/>
          <w:szCs w:val="16"/>
        </w:rPr>
        <w:softHyphen/>
        <w:t>водили такие эксперименты, совершен</w:t>
      </w:r>
      <w:r w:rsidRPr="005E779E">
        <w:rPr>
          <w:rFonts w:ascii="Times New Roman" w:hAnsi="Times New Roman"/>
          <w:color w:val="000000" w:themeColor="text1"/>
          <w:sz w:val="16"/>
          <w:szCs w:val="16"/>
        </w:rPr>
        <w:softHyphen/>
        <w:t>ствуя технику дозаправки. На сей раз ТБ—1 выполнял при необходимости роль и танкера и заправляемого самолета (23474).</w:t>
      </w:r>
    </w:p>
    <w:p w14:paraId="7519A18B" w14:textId="77777777" w:rsidR="00EB19FC" w:rsidRPr="005E779E" w:rsidRDefault="00EB19FC" w:rsidP="000B7A6C">
      <w:pPr>
        <w:spacing w:after="0" w:line="240" w:lineRule="auto"/>
        <w:jc w:val="both"/>
        <w:rPr>
          <w:rFonts w:ascii="Times New Roman" w:hAnsi="Times New Roman"/>
          <w:color w:val="000000" w:themeColor="text1"/>
          <w:sz w:val="16"/>
          <w:szCs w:val="16"/>
        </w:rPr>
      </w:pPr>
    </w:p>
    <w:p w14:paraId="7A0E252C" w14:textId="77777777" w:rsidR="00BE087B" w:rsidRPr="005E779E" w:rsidRDefault="00BE087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1931 г. БОСЭД развернул рабо</w:t>
      </w:r>
      <w:r w:rsidRPr="005E779E">
        <w:rPr>
          <w:rFonts w:ascii="Times New Roman" w:hAnsi="Times New Roman"/>
          <w:color w:val="000000" w:themeColor="text1"/>
          <w:sz w:val="16"/>
          <w:szCs w:val="16"/>
        </w:rPr>
        <w:softHyphen/>
        <w:t>ты по поиску места для строительства Дирижа</w:t>
      </w:r>
      <w:r w:rsidRPr="005E779E">
        <w:rPr>
          <w:rFonts w:ascii="Times New Roman" w:hAnsi="Times New Roman"/>
          <w:color w:val="000000" w:themeColor="text1"/>
          <w:sz w:val="16"/>
          <w:szCs w:val="16"/>
        </w:rPr>
        <w:softHyphen/>
        <w:t>бельной верфи и Испытательного центра — базы создания советского дирижаблестроения. Так как разрешение на строительство базы на берегу Плещеева озера вблизи г. Переславль-Залесский получить не удалось, то подыскали другую пло</w:t>
      </w:r>
      <w:r w:rsidRPr="005E779E">
        <w:rPr>
          <w:rFonts w:ascii="Times New Roman" w:hAnsi="Times New Roman"/>
          <w:color w:val="000000" w:themeColor="text1"/>
          <w:sz w:val="16"/>
          <w:szCs w:val="16"/>
        </w:rPr>
        <w:softHyphen/>
        <w:t>щадку, вблизи Москвы, у платформы Долгопруд</w:t>
      </w:r>
      <w:r w:rsidRPr="005E779E">
        <w:rPr>
          <w:rFonts w:ascii="Times New Roman" w:hAnsi="Times New Roman"/>
          <w:color w:val="000000" w:themeColor="text1"/>
          <w:sz w:val="16"/>
          <w:szCs w:val="16"/>
        </w:rPr>
        <w:softHyphen/>
        <w:t>ная Савёловской линии Северной ж.д. На этой площадке, выбранной в мае 1931 г. командиром дирижабля «Комсомольская правда» Е.М. Опп- маном и такелажмейстером И.В. Гузеевым, наме</w:t>
      </w:r>
      <w:r w:rsidRPr="005E779E">
        <w:rPr>
          <w:rFonts w:ascii="Times New Roman" w:hAnsi="Times New Roman"/>
          <w:color w:val="000000" w:themeColor="text1"/>
          <w:sz w:val="16"/>
          <w:szCs w:val="16"/>
        </w:rPr>
        <w:softHyphen/>
        <w:t>чалось построить эллинг для этого дирижабля, базировавшегося в 1930-1933 годах в овраге под Кунцевым (20120).</w:t>
      </w:r>
    </w:p>
    <w:p w14:paraId="0BB4F137" w14:textId="77777777" w:rsidR="00BE087B" w:rsidRPr="005E779E" w:rsidRDefault="00BE087B" w:rsidP="000B7A6C">
      <w:pPr>
        <w:spacing w:after="0" w:line="240" w:lineRule="auto"/>
        <w:jc w:val="both"/>
        <w:rPr>
          <w:rFonts w:ascii="Times New Roman" w:hAnsi="Times New Roman"/>
          <w:color w:val="000000" w:themeColor="text1"/>
          <w:sz w:val="16"/>
          <w:szCs w:val="16"/>
        </w:rPr>
      </w:pPr>
    </w:p>
    <w:p w14:paraId="19194031" w14:textId="7ADA77C7" w:rsidR="00370FDB" w:rsidRPr="005E779E" w:rsidRDefault="00370FD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В начале 1931 года из-за затянувшейся неопределённости дирижаблестроители пребывали в сложном положении. Время, и без того крайне ограниченное, неумолимо уходило - это вынуждало идти вперёд. Однако любой шаг, имеющий долгосрочные последствия, мог задним числом войти в противоречие с основополагающими установками, которые рано или поздно должны были поступить из высших инстанций.</w:t>
      </w:r>
    </w:p>
    <w:p w14:paraId="78C04893" w14:textId="77777777" w:rsidR="00370FDB" w:rsidRPr="005E779E" w:rsidRDefault="00370FD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Не видя подвижек в течение полугода, начала проявлять беспокойство воздухоплавательная общественность. Её настроения отражает проект документа под названием «Генеральная линия комитета содействия дирижаблестроению»:</w:t>
      </w:r>
    </w:p>
    <w:p w14:paraId="03AD3920" w14:textId="77777777" w:rsidR="00370FDB" w:rsidRPr="005E779E" w:rsidRDefault="00370FD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В отношении... развития дирижаблестроения ВОГВФ хранит молчание. И это молчание не может быть объяснено никакими серьёзными мотивами.</w:t>
      </w:r>
    </w:p>
    <w:p w14:paraId="27752EB5" w14:textId="77777777" w:rsidR="00370FDB" w:rsidRPr="005E779E" w:rsidRDefault="00370FD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Все наши гиганты индустрии рождались под самым широким контролем пролетариата. Наши гиганты воздуха тоже должны строиться при широкой поддержке общественности.</w:t>
      </w:r>
    </w:p>
    <w:p w14:paraId="558DA46D" w14:textId="77777777" w:rsidR="00370FDB" w:rsidRPr="005E779E" w:rsidRDefault="00370FD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Не может быть такого положения, чтобы трудящиеся Союза не знали основных решений ВОГВФ о применении дирижаблей в деле обслуживания нужд народного хозяйства, чтобы они не знали, где, как и когда оказать помощь строительству дирижаблей.</w:t>
      </w:r>
    </w:p>
    <w:p w14:paraId="35E9DF29" w14:textId="77777777" w:rsidR="00370FDB" w:rsidRPr="005E779E" w:rsidRDefault="00370FD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Общественность имела право спрашивать: к этому времени в фонд постройки советских гигантов воздуха собрали уже 10 млн рублей, и трудящиеся хотели знать, на что пойдут их деньги.</w:t>
      </w:r>
    </w:p>
    <w:p w14:paraId="68230182" w14:textId="77777777" w:rsidR="00370FDB" w:rsidRPr="005E779E" w:rsidRDefault="00370FD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По-видимому, давление ощущалось не только снизу, но и сверху: в марте истекали два месяца, которые Политбюро отвело на подготовку решения о дирижаблестроении.</w:t>
      </w:r>
    </w:p>
    <w:p w14:paraId="21FDBB5C" w14:textId="77777777" w:rsidR="00370FDB" w:rsidRPr="005E779E" w:rsidRDefault="00370FD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Выход, рекомендованный Гольцману советниками, заключался в том, чтобы объявить 1931 год подготовительным этапом, периодом «малого» дирижаблестроения, осуществляемого по отдельной краткосрочной программе с небольшими затратами, без необратимых решений. Это позволяло заниматься делом, сохраняя возможность всё переиграть в случае, если полученные указания будут отличаться от предполагаемых.</w:t>
      </w:r>
    </w:p>
    <w:p w14:paraId="1E0977D0" w14:textId="0869F58E" w:rsidR="00370FDB" w:rsidRPr="005E779E" w:rsidRDefault="00370FDB" w:rsidP="000B7A6C">
      <w:pPr>
        <w:spacing w:after="0" w:line="240" w:lineRule="auto"/>
        <w:jc w:val="both"/>
        <w:rPr>
          <w:rFonts w:ascii="Times New Roman" w:hAnsi="Times New Roman"/>
          <w:color w:val="000000" w:themeColor="text1"/>
          <w:sz w:val="16"/>
          <w:szCs w:val="16"/>
          <w:lang w:eastAsia="ru-RU" w:bidi="ru-RU"/>
        </w:rPr>
      </w:pPr>
      <w:r w:rsidRPr="005E779E">
        <w:rPr>
          <w:rFonts w:ascii="Times New Roman" w:hAnsi="Times New Roman"/>
          <w:color w:val="000000" w:themeColor="text1"/>
          <w:sz w:val="16"/>
          <w:szCs w:val="16"/>
          <w:lang w:eastAsia="ru-RU" w:bidi="ru-RU"/>
        </w:rPr>
        <w:t>Одновременно начальнику ВОГВФ рекомендовали как наилучшее место для «малой» дирижаблестроительной базы Ленинград: на судостроительном заводе им. Андре Марти пустовали два старых корабельных дока, которые можно было использовать для изготовления и сборки дирижаблей объёмом до 25 тыс. кубометров, там же имелось необходимое производственное оборудование. Проектирование первых воздушных кораблей предлагалось организовать силами конструкторского бюро, создаваемого в Ленинградском институте гражданского воздушного флота (ЛИГВФ)</w:t>
      </w:r>
      <w:r w:rsidR="0019470D" w:rsidRPr="005E779E">
        <w:rPr>
          <w:rFonts w:ascii="Times New Roman" w:hAnsi="Times New Roman"/>
          <w:color w:val="000000" w:themeColor="text1"/>
          <w:sz w:val="16"/>
          <w:szCs w:val="16"/>
          <w:lang w:eastAsia="ru-RU" w:bidi="ru-RU"/>
        </w:rPr>
        <w:t xml:space="preserve"> (23192)</w:t>
      </w:r>
      <w:r w:rsidRPr="005E779E">
        <w:rPr>
          <w:rFonts w:ascii="Times New Roman" w:hAnsi="Times New Roman"/>
          <w:color w:val="000000" w:themeColor="text1"/>
          <w:sz w:val="16"/>
          <w:szCs w:val="16"/>
          <w:lang w:eastAsia="ru-RU" w:bidi="ru-RU"/>
        </w:rPr>
        <w:t>.</w:t>
      </w:r>
    </w:p>
    <w:p w14:paraId="36F5E7C8" w14:textId="77777777" w:rsidR="0019470D" w:rsidRPr="005E779E" w:rsidRDefault="0019470D" w:rsidP="000B7A6C">
      <w:pPr>
        <w:spacing w:after="0" w:line="240" w:lineRule="auto"/>
        <w:jc w:val="both"/>
        <w:rPr>
          <w:rFonts w:ascii="Times New Roman" w:hAnsi="Times New Roman"/>
          <w:color w:val="000000" w:themeColor="text1"/>
          <w:sz w:val="16"/>
          <w:szCs w:val="16"/>
        </w:rPr>
      </w:pPr>
    </w:p>
    <w:p w14:paraId="5053F3B2" w14:textId="77777777" w:rsidR="00E018C9" w:rsidRPr="00142305" w:rsidRDefault="00E018C9" w:rsidP="00E018C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1931 г. ТЭИ (технико-эксплуатационная инспекция) была передана в со</w:t>
      </w:r>
      <w:r w:rsidRPr="00142305">
        <w:rPr>
          <w:rFonts w:ascii="Times New Roman" w:hAnsi="Times New Roman"/>
          <w:color w:val="0070C0"/>
          <w:sz w:val="16"/>
          <w:szCs w:val="16"/>
        </w:rPr>
        <w:softHyphen/>
        <w:t>став НИИ ВВС (Рисунок 2.3). Главным инспектором НИИ ВВС в мае 1931 г. стал А. И. Смолин. Он непосредственно подчинялся начальнику НИИ ВВС.</w:t>
      </w:r>
    </w:p>
    <w:p w14:paraId="3FB8C14A" w14:textId="77777777" w:rsidR="00E018C9" w:rsidRPr="00142305" w:rsidRDefault="00E018C9" w:rsidP="00E018C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НИИ имелось отделение учета и статистики, занимавшееся разработкой учетно-отчетной документации, сбором информации об отказах и неисправно</w:t>
      </w:r>
      <w:r w:rsidRPr="00142305">
        <w:rPr>
          <w:rFonts w:ascii="Times New Roman" w:hAnsi="Times New Roman"/>
          <w:color w:val="0070C0"/>
          <w:sz w:val="16"/>
          <w:szCs w:val="16"/>
        </w:rPr>
        <w:softHyphen/>
        <w:t>стях авиатехники и передачей ее в промышленность и в строевые части (РГВА. Ф. 24708. On. 1. Д. 34. Л. 413) (24968).</w:t>
      </w:r>
    </w:p>
    <w:p w14:paraId="2DDC149E" w14:textId="77777777" w:rsidR="00E018C9" w:rsidRPr="00142305" w:rsidRDefault="00E018C9" w:rsidP="00E018C9">
      <w:pPr>
        <w:spacing w:after="0" w:line="240" w:lineRule="auto"/>
        <w:jc w:val="both"/>
        <w:rPr>
          <w:rFonts w:ascii="Times New Roman" w:hAnsi="Times New Roman"/>
          <w:color w:val="0070C0"/>
          <w:sz w:val="16"/>
          <w:szCs w:val="16"/>
        </w:rPr>
      </w:pPr>
    </w:p>
    <w:p w14:paraId="556AAC60" w14:textId="5D2D42C6"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7863D4F5"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1098EEC" w14:textId="77777777" w:rsidR="00BE087B" w:rsidRPr="005E779E" w:rsidRDefault="00BE087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Также в начале 1931 г. группой «Д» были представлены в НТК АУ проекты мин к 76-мм миномету Стокса двух видов – из сталистого чугуна и стальная, каждая из которых была разработана с тремя вариантами стабилизатора (с целью определения его оптимальной длины).18 (20074)</w:t>
      </w:r>
    </w:p>
    <w:p w14:paraId="46BCEACC" w14:textId="77777777" w:rsidR="00BE087B" w:rsidRPr="005E779E" w:rsidRDefault="00BE087B" w:rsidP="000B7A6C">
      <w:pPr>
        <w:spacing w:after="0" w:line="240" w:lineRule="auto"/>
        <w:jc w:val="both"/>
        <w:rPr>
          <w:rFonts w:ascii="Times New Roman" w:hAnsi="Times New Roman"/>
          <w:color w:val="000000" w:themeColor="text1"/>
          <w:sz w:val="16"/>
          <w:szCs w:val="16"/>
        </w:rPr>
      </w:pPr>
    </w:p>
    <w:p w14:paraId="28EDC5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1931 года был изготовлен на заводе "Большевик" первый опытный образец 203-мм гаубицы Б-4 (3861).</w:t>
      </w:r>
    </w:p>
    <w:p w14:paraId="44BAA0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6A8CB7D" w14:textId="77777777" w:rsidR="00252EFE" w:rsidRPr="005E779E" w:rsidRDefault="00252EFE" w:rsidP="000B7A6C">
      <w:pPr>
        <w:pStyle w:val="ae"/>
        <w:spacing w:before="0" w:after="0"/>
        <w:jc w:val="both"/>
        <w:rPr>
          <w:color w:val="000000" w:themeColor="text1"/>
          <w:sz w:val="16"/>
          <w:szCs w:val="16"/>
        </w:rPr>
      </w:pPr>
      <w:r w:rsidRPr="005E779E">
        <w:rPr>
          <w:color w:val="000000" w:themeColor="text1"/>
          <w:sz w:val="16"/>
          <w:szCs w:val="16"/>
        </w:rPr>
        <w:t xml:space="preserve">В начале 1931 г. заводом «Большевик» заводом «Большевик»первый опытный экземпляр гаубицы был изготовлен </w:t>
      </w:r>
    </w:p>
    <w:p w14:paraId="5493511A" w14:textId="77777777" w:rsidR="00252EFE" w:rsidRPr="005E779E" w:rsidRDefault="00252EFE" w:rsidP="000B7A6C">
      <w:pPr>
        <w:pStyle w:val="ae"/>
        <w:spacing w:before="0" w:after="0"/>
        <w:jc w:val="both"/>
        <w:rPr>
          <w:color w:val="000000" w:themeColor="text1"/>
          <w:sz w:val="16"/>
          <w:szCs w:val="16"/>
        </w:rPr>
      </w:pPr>
      <w:r w:rsidRPr="005E779E">
        <w:rPr>
          <w:color w:val="000000" w:themeColor="text1"/>
          <w:sz w:val="16"/>
          <w:szCs w:val="16"/>
        </w:rPr>
        <w:t>Тактико-технические данные гаубицы Б-4:</w:t>
      </w:r>
    </w:p>
    <w:p w14:paraId="329B325B" w14:textId="77777777" w:rsidR="00252EFE" w:rsidRPr="005E779E" w:rsidRDefault="00252EFE" w:rsidP="000B7A6C">
      <w:pPr>
        <w:pStyle w:val="ae"/>
        <w:spacing w:before="0" w:after="0"/>
        <w:jc w:val="both"/>
        <w:rPr>
          <w:color w:val="000000" w:themeColor="text1"/>
          <w:sz w:val="16"/>
          <w:szCs w:val="16"/>
        </w:rPr>
      </w:pPr>
      <w:hyperlink r:id="rId13" w:anchor="bookmark113" w:history="1">
        <w:r w:rsidRPr="005E779E">
          <w:rPr>
            <w:rStyle w:val="a5"/>
            <w:rFonts w:eastAsia="Times New Roman"/>
            <w:color w:val="000000" w:themeColor="text1"/>
            <w:sz w:val="16"/>
            <w:szCs w:val="16"/>
            <w:u w:val="none"/>
          </w:rPr>
          <w:t>Калибр, мм.............................. 203,4</w:t>
        </w:r>
      </w:hyperlink>
    </w:p>
    <w:p w14:paraId="06E793B8" w14:textId="77777777" w:rsidR="00252EFE" w:rsidRPr="005E779E" w:rsidRDefault="00252EFE" w:rsidP="000B7A6C">
      <w:pPr>
        <w:pStyle w:val="ae"/>
        <w:spacing w:before="0" w:after="0"/>
        <w:jc w:val="both"/>
        <w:rPr>
          <w:color w:val="000000" w:themeColor="text1"/>
          <w:sz w:val="16"/>
          <w:szCs w:val="16"/>
        </w:rPr>
      </w:pPr>
      <w:r w:rsidRPr="005E779E">
        <w:rPr>
          <w:color w:val="000000" w:themeColor="text1"/>
          <w:sz w:val="16"/>
          <w:szCs w:val="16"/>
        </w:rPr>
        <w:lastRenderedPageBreak/>
        <w:t>Длина ствола, мм/клб................ 4617/22,7</w:t>
      </w:r>
    </w:p>
    <w:p w14:paraId="7D1AB855" w14:textId="77777777" w:rsidR="00252EFE" w:rsidRPr="005E779E" w:rsidRDefault="00252EFE" w:rsidP="000B7A6C">
      <w:pPr>
        <w:pStyle w:val="ae"/>
        <w:spacing w:before="0" w:after="0"/>
        <w:jc w:val="both"/>
        <w:rPr>
          <w:color w:val="000000" w:themeColor="text1"/>
          <w:sz w:val="16"/>
          <w:szCs w:val="16"/>
        </w:rPr>
      </w:pPr>
      <w:r w:rsidRPr="005E779E">
        <w:rPr>
          <w:color w:val="000000" w:themeColor="text1"/>
          <w:sz w:val="16"/>
          <w:szCs w:val="16"/>
        </w:rPr>
        <w:t>Крутизна нарезов, клб/град............25/7°10&gt;</w:t>
      </w:r>
    </w:p>
    <w:p w14:paraId="051E8174" w14:textId="77777777" w:rsidR="00252EFE" w:rsidRPr="005E779E" w:rsidRDefault="00252EFE" w:rsidP="000B7A6C">
      <w:pPr>
        <w:pStyle w:val="ae"/>
        <w:spacing w:before="0" w:after="0"/>
        <w:jc w:val="both"/>
        <w:rPr>
          <w:color w:val="000000" w:themeColor="text1"/>
          <w:sz w:val="16"/>
          <w:szCs w:val="16"/>
        </w:rPr>
      </w:pPr>
      <w:hyperlink r:id="rId14" w:anchor="bookmark114" w:history="1">
        <w:r w:rsidRPr="005E779E">
          <w:rPr>
            <w:rStyle w:val="a5"/>
            <w:rFonts w:eastAsia="Times New Roman"/>
            <w:color w:val="000000" w:themeColor="text1"/>
            <w:sz w:val="16"/>
            <w:szCs w:val="16"/>
            <w:u w:val="none"/>
          </w:rPr>
          <w:t>Число нарезов..............................68</w:t>
        </w:r>
      </w:hyperlink>
    </w:p>
    <w:p w14:paraId="7E58FA41" w14:textId="77777777" w:rsidR="00252EFE" w:rsidRPr="005E779E" w:rsidRDefault="00252EFE" w:rsidP="000B7A6C">
      <w:pPr>
        <w:pStyle w:val="ae"/>
        <w:spacing w:before="0" w:after="0"/>
        <w:jc w:val="both"/>
        <w:rPr>
          <w:color w:val="000000" w:themeColor="text1"/>
          <w:sz w:val="16"/>
          <w:szCs w:val="16"/>
        </w:rPr>
      </w:pPr>
      <w:hyperlink r:id="rId15" w:anchor="bookmark115" w:history="1">
        <w:r w:rsidRPr="005E779E">
          <w:rPr>
            <w:rStyle w:val="a5"/>
            <w:rFonts w:eastAsia="Times New Roman"/>
            <w:color w:val="000000" w:themeColor="text1"/>
            <w:sz w:val="16"/>
            <w:szCs w:val="16"/>
            <w:u w:val="none"/>
          </w:rPr>
          <w:t>Глубина нареза, мм........................2,0</w:t>
        </w:r>
      </w:hyperlink>
    </w:p>
    <w:p w14:paraId="36859BE1" w14:textId="77777777" w:rsidR="00252EFE" w:rsidRPr="005E779E" w:rsidRDefault="00252EFE" w:rsidP="000B7A6C">
      <w:pPr>
        <w:pStyle w:val="ae"/>
        <w:spacing w:before="0" w:after="0"/>
        <w:jc w:val="both"/>
        <w:rPr>
          <w:color w:val="000000" w:themeColor="text1"/>
          <w:sz w:val="16"/>
          <w:szCs w:val="16"/>
        </w:rPr>
      </w:pPr>
      <w:hyperlink r:id="rId16" w:anchor="bookmark116" w:history="1">
        <w:r w:rsidRPr="005E779E">
          <w:rPr>
            <w:rStyle w:val="a5"/>
            <w:rFonts w:eastAsia="Times New Roman"/>
            <w:color w:val="000000" w:themeColor="text1"/>
            <w:sz w:val="16"/>
            <w:szCs w:val="16"/>
            <w:u w:val="none"/>
          </w:rPr>
          <w:t>Угол вертикального наведения, град.........+60</w:t>
        </w:r>
      </w:hyperlink>
    </w:p>
    <w:p w14:paraId="3EB9E1C7" w14:textId="77777777" w:rsidR="00252EFE" w:rsidRPr="005E779E" w:rsidRDefault="00252EFE" w:rsidP="000B7A6C">
      <w:pPr>
        <w:pStyle w:val="ae"/>
        <w:spacing w:before="0" w:after="0"/>
        <w:jc w:val="both"/>
        <w:rPr>
          <w:color w:val="000000" w:themeColor="text1"/>
          <w:sz w:val="16"/>
          <w:szCs w:val="16"/>
        </w:rPr>
      </w:pPr>
      <w:hyperlink r:id="rId17" w:anchor="bookmark117" w:history="1">
        <w:r w:rsidRPr="005E779E">
          <w:rPr>
            <w:rStyle w:val="a5"/>
            <w:rFonts w:eastAsia="Times New Roman"/>
            <w:color w:val="000000" w:themeColor="text1"/>
            <w:sz w:val="16"/>
            <w:szCs w:val="16"/>
            <w:u w:val="none"/>
          </w:rPr>
          <w:t>Высота линии огня, мм...................2000</w:t>
        </w:r>
      </w:hyperlink>
    </w:p>
    <w:p w14:paraId="7C175D5D" w14:textId="77777777" w:rsidR="00252EFE" w:rsidRPr="005E779E" w:rsidRDefault="00252EFE" w:rsidP="000B7A6C">
      <w:pPr>
        <w:spacing w:after="0" w:line="240" w:lineRule="auto"/>
        <w:jc w:val="both"/>
        <w:rPr>
          <w:rStyle w:val="a5"/>
          <w:rFonts w:ascii="Times New Roman" w:eastAsia="Times New Roman" w:hAnsi="Times New Roman"/>
          <w:color w:val="000000" w:themeColor="text1"/>
          <w:sz w:val="16"/>
          <w:szCs w:val="16"/>
          <w:u w:val="none"/>
        </w:rPr>
      </w:pPr>
      <w:hyperlink r:id="rId18" w:anchor="bookmark118" w:history="1">
        <w:r w:rsidRPr="005E779E">
          <w:rPr>
            <w:rStyle w:val="a5"/>
            <w:rFonts w:ascii="Times New Roman" w:eastAsia="Times New Roman" w:hAnsi="Times New Roman"/>
            <w:color w:val="000000" w:themeColor="text1"/>
            <w:sz w:val="16"/>
            <w:szCs w:val="16"/>
            <w:u w:val="none"/>
          </w:rPr>
          <w:t>Ширина хода, мм.........................1930</w:t>
        </w:r>
      </w:hyperlink>
      <w:r w:rsidRPr="005E779E">
        <w:rPr>
          <w:rStyle w:val="a5"/>
          <w:rFonts w:ascii="Times New Roman" w:eastAsia="Times New Roman" w:hAnsi="Times New Roman"/>
          <w:color w:val="000000" w:themeColor="text1"/>
          <w:sz w:val="16"/>
          <w:szCs w:val="16"/>
          <w:u w:val="none"/>
        </w:rPr>
        <w:t xml:space="preserve"> (15132).</w:t>
      </w:r>
    </w:p>
    <w:p w14:paraId="2765C354" w14:textId="77777777" w:rsidR="00252EFE" w:rsidRPr="005E779E" w:rsidRDefault="00252EFE" w:rsidP="000B7A6C">
      <w:pPr>
        <w:spacing w:after="0" w:line="240" w:lineRule="auto"/>
        <w:jc w:val="both"/>
        <w:rPr>
          <w:rStyle w:val="a5"/>
          <w:rFonts w:ascii="Times New Roman" w:eastAsia="Times New Roman" w:hAnsi="Times New Roman"/>
          <w:color w:val="000000" w:themeColor="text1"/>
          <w:sz w:val="16"/>
          <w:szCs w:val="16"/>
          <w:u w:val="none"/>
        </w:rPr>
      </w:pPr>
    </w:p>
    <w:p w14:paraId="060341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1931 г. Курчевским была спроектирована 76,2-мм легкая мортира (ЛМК). Мортира предназначалась для вооружения стрелковой роты. Ствол мортиры ребристый. Заряжание с дула. Затвора не было. Подъемный и поворотный механизмы винтовые. Колеса сплошные дисковые.</w:t>
      </w:r>
    </w:p>
    <w:p w14:paraId="460089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Данные легкой мортиры Курчевского </w:t>
      </w:r>
    </w:p>
    <w:p w14:paraId="1DA026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Калибр, мм — 76,2</w:t>
      </w:r>
    </w:p>
    <w:p w14:paraId="23EE89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Длина ствола без воронки, мм/клб — 605/8</w:t>
      </w:r>
    </w:p>
    <w:p w14:paraId="1118EB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Длина воронки (сопла), мм — 550</w:t>
      </w:r>
    </w:p>
    <w:p w14:paraId="041681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Угол ВН, град — ?10°; +60°</w:t>
      </w:r>
    </w:p>
    <w:p w14:paraId="6E6664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Угол ГН, град — 4°30?</w:t>
      </w:r>
    </w:p>
    <w:p w14:paraId="693220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Высота системы в боевом и походном (на руках) положении, мм — 750</w:t>
      </w:r>
    </w:p>
    <w:p w14:paraId="4317FF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Длина станин (длина станка от оси до края), мм — 900</w:t>
      </w:r>
    </w:p>
    <w:p w14:paraId="0ABBD8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Ширина хода, мм — 510</w:t>
      </w:r>
    </w:p>
    <w:p w14:paraId="637409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Диаметр колеса, мм — 300</w:t>
      </w:r>
    </w:p>
    <w:p w14:paraId="759CD3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Высота системы в сложенном положении, мм — 490</w:t>
      </w:r>
    </w:p>
    <w:p w14:paraId="1C6806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ствола с воронкой, кг — 21,2</w:t>
      </w:r>
    </w:p>
    <w:p w14:paraId="5DD585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воронки (сопло), кг — 4,20</w:t>
      </w:r>
    </w:p>
    <w:p w14:paraId="6361DC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прицела, кг — 1,5</w:t>
      </w:r>
    </w:p>
    <w:p w14:paraId="3C4C18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станка, кг — 14,15</w:t>
      </w:r>
    </w:p>
    <w:p w14:paraId="4E4B89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системы, кг — 38</w:t>
      </w:r>
    </w:p>
    <w:p w14:paraId="42F8E1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Скорострельность, выстр/мин: расчетная — 10–12</w:t>
      </w:r>
    </w:p>
    <w:p w14:paraId="60FB9F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практическая — 8</w:t>
      </w:r>
    </w:p>
    <w:p w14:paraId="302517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перехода из боевого положения в походное, с — 20–30</w:t>
      </w:r>
    </w:p>
    <w:p w14:paraId="19F8E3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Собственно, ЛМК и мортирой назвать нельзя. Видимо, Курчевский не знал, что мортира — это орудие, основной задачей которого является стрельба под углом свыше 45°. А ЛМК только по тактико-техническим характеристикам, поданным Курчевским в Артуправление РККА, могла вести стрельбу под углом 60°. Конструктивно ствол опытного образца мог быть опущен до 57°, но действие газовой струи физически не позволяло стрелять под углом больше 43°. Да и тогда действие раскаленных газов было опасно для расчета.</w:t>
      </w:r>
    </w:p>
    <w:p w14:paraId="7C3FD1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стрельбе из мортиры использовались опытные легкие снаряды весом от 3,2 до 4 кг. Выстрел унитарный. Заряд 320 г пороха ВЛ помещался в сгорающую гильзу из нитроткани с деревянным поддоном. Длина гильзы 112 мм.</w:t>
      </w:r>
    </w:p>
    <w:p w14:paraId="374E43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Максимальное давление в канале составляло 1800 кг/см2.</w:t>
      </w:r>
    </w:p>
    <w:p w14:paraId="50750B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Первый образец 76-мм легкой мортиры Курчевского был изготовлен на заводе № 8. После заводских испытаний в объеме 100 выстрелов его отправили на полигонные испытания. На НИАП мортира прибыла 12 августа 1931 г. (12091).</w:t>
      </w:r>
    </w:p>
    <w:p w14:paraId="35346C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728A365" w14:textId="77777777" w:rsidR="00045E46" w:rsidRPr="005E779E" w:rsidRDefault="00045E4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1931 г. Курчевским была спроектирована 76,2-мм легкая мортира (ЛМК). Мортира предназначалась для вооружения стрелковой роты. Ствол мортиры ребристый. Заряжание с дула. Затвора не было. Подъемный и поворотный механизмы винтовые. Колеса сплошные дисковые.</w:t>
      </w:r>
    </w:p>
    <w:p w14:paraId="2D11279E" w14:textId="77777777" w:rsidR="00045E46" w:rsidRPr="005E779E" w:rsidRDefault="00045E46" w:rsidP="000B7A6C">
      <w:pPr>
        <w:spacing w:after="0" w:line="240" w:lineRule="auto"/>
        <w:jc w:val="both"/>
        <w:rPr>
          <w:rFonts w:ascii="Times New Roman" w:hAnsi="Times New Roman"/>
          <w:color w:val="000000" w:themeColor="text1"/>
          <w:sz w:val="16"/>
          <w:szCs w:val="16"/>
        </w:rPr>
      </w:pPr>
      <w:bookmarkStart w:id="6" w:name="label42"/>
      <w:bookmarkEnd w:id="6"/>
      <w:r w:rsidRPr="005E779E">
        <w:rPr>
          <w:rFonts w:ascii="Times New Roman" w:hAnsi="Times New Roman"/>
          <w:color w:val="000000" w:themeColor="text1"/>
          <w:sz w:val="16"/>
          <w:szCs w:val="16"/>
        </w:rPr>
        <w:t>С 14 по 22 августа 1931 г. на НИАПе из ЛМК было сделано 102 выстрела. Максимальный угол возвышения, при котором возможна стрельба +43°, то есть ЛМК фактически не могла использоваться как мортира, стреляющая под углом возвышения свыше 45°.</w:t>
      </w:r>
    </w:p>
    <w:p w14:paraId="0629AEA5" w14:textId="77777777" w:rsidR="00045E46" w:rsidRPr="005E779E" w:rsidRDefault="00045E46"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Данные легкой мортиры Курчевского</w:t>
      </w:r>
    </w:p>
    <w:p w14:paraId="081DA60B" w14:textId="77777777" w:rsidR="00045E46" w:rsidRPr="005E779E" w:rsidRDefault="00045E4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Калибр, мм …… 76,2</w:t>
      </w:r>
    </w:p>
    <w:p w14:paraId="7477AD03" w14:textId="77777777" w:rsidR="00045E46" w:rsidRPr="005E779E" w:rsidRDefault="00045E4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Длина ствола без воронки, мм/клб …… 605/8</w:t>
      </w:r>
    </w:p>
    <w:p w14:paraId="2E35550F" w14:textId="77777777" w:rsidR="00045E46" w:rsidRPr="005E779E" w:rsidRDefault="00045E4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Длина воронки (сопла), мм …… 550</w:t>
      </w:r>
    </w:p>
    <w:p w14:paraId="4F0CFBC9" w14:textId="77777777" w:rsidR="00045E46" w:rsidRPr="005E779E" w:rsidRDefault="00045E4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Угол ВН, град …… -10°; +60°</w:t>
      </w:r>
    </w:p>
    <w:p w14:paraId="402437F8" w14:textId="77777777" w:rsidR="00045E46" w:rsidRPr="005E779E" w:rsidRDefault="00045E4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Угол ГН, град …… ±4°30'</w:t>
      </w:r>
    </w:p>
    <w:p w14:paraId="4883F8CA" w14:textId="77777777" w:rsidR="00045E46" w:rsidRPr="005E779E" w:rsidRDefault="00045E4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Высота системы в боевом и походном (на руках) положении, мм …… 750</w:t>
      </w:r>
    </w:p>
    <w:p w14:paraId="09EC331B" w14:textId="77777777" w:rsidR="00045E46" w:rsidRPr="005E779E" w:rsidRDefault="00045E4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Длина станин (длина станка от оси до края), мм …… 900</w:t>
      </w:r>
    </w:p>
    <w:p w14:paraId="45713E7E" w14:textId="77777777" w:rsidR="00045E46" w:rsidRPr="005E779E" w:rsidRDefault="00045E4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Ширина хода, мм …… 510</w:t>
      </w:r>
    </w:p>
    <w:p w14:paraId="24773DA5" w14:textId="77777777" w:rsidR="00045E46" w:rsidRPr="005E779E" w:rsidRDefault="00045E4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Диаметр колеса, мм …… 300</w:t>
      </w:r>
    </w:p>
    <w:p w14:paraId="0D849C91" w14:textId="77777777" w:rsidR="00045E46" w:rsidRPr="005E779E" w:rsidRDefault="00045E4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Высота системы в сложенном положении, мм …… 490</w:t>
      </w:r>
    </w:p>
    <w:p w14:paraId="33770DF0" w14:textId="77777777" w:rsidR="00045E46" w:rsidRPr="005E779E" w:rsidRDefault="00045E4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ствола с воронкой, кг …… 21,2</w:t>
      </w:r>
    </w:p>
    <w:p w14:paraId="795E90EB" w14:textId="77777777" w:rsidR="00045E46" w:rsidRPr="005E779E" w:rsidRDefault="00045E4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воронки (сопло), кг …… 4,20</w:t>
      </w:r>
    </w:p>
    <w:p w14:paraId="3BEA7451" w14:textId="77777777" w:rsidR="00045E46" w:rsidRPr="005E779E" w:rsidRDefault="00045E4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прицела, кг …… 1,5</w:t>
      </w:r>
    </w:p>
    <w:p w14:paraId="2C7D2576" w14:textId="77777777" w:rsidR="00045E46" w:rsidRPr="005E779E" w:rsidRDefault="00045E4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станка, кг …… 14,15</w:t>
      </w:r>
    </w:p>
    <w:p w14:paraId="5812F822" w14:textId="77777777" w:rsidR="00045E46" w:rsidRPr="005E779E" w:rsidRDefault="00045E4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системы, кг …… 38</w:t>
      </w:r>
    </w:p>
    <w:p w14:paraId="6AC60924" w14:textId="77777777" w:rsidR="00045E46" w:rsidRPr="005E779E" w:rsidRDefault="00045E4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Скорострельность, выстр/мин.</w:t>
      </w:r>
    </w:p>
    <w:p w14:paraId="4A598D48" w14:textId="77777777" w:rsidR="00045E46" w:rsidRPr="005E779E" w:rsidRDefault="00045E4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расчетная …… 10—12</w:t>
      </w:r>
    </w:p>
    <w:p w14:paraId="688DEFE0" w14:textId="77777777" w:rsidR="00045E46" w:rsidRPr="005E779E" w:rsidRDefault="00045E4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практическая …… 8</w:t>
      </w:r>
    </w:p>
    <w:p w14:paraId="283853B8" w14:textId="77777777" w:rsidR="00045E46" w:rsidRPr="005E779E" w:rsidRDefault="00045E4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перехода из боевого положения в походное, с …… 20—30</w:t>
      </w:r>
    </w:p>
    <w:p w14:paraId="13F0908A" w14:textId="77777777" w:rsidR="00045E46" w:rsidRPr="005E779E" w:rsidRDefault="00045E4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Собственно ЛМК и мортирой назвать нельзя. Видимо, Курчевский не знал, что мортира — это орудие, основной задачей которого является стрельба под углом свыше 45°. А ЛМК только по тактико-техническим характеристикам, поданным Курчевским в Артуправление РККА, могла вести стрельбу под углом 60°. Конструктивно ствол опытного образца мог быть опущен до 57°, но действие газовой струи физически не позволяло стрелять под углом больше 43°. Да и тогда действие раскаленных газов было опасно для расчета.</w:t>
      </w:r>
    </w:p>
    <w:p w14:paraId="0EE5B7AE" w14:textId="77777777" w:rsidR="00045E46" w:rsidRPr="005E779E" w:rsidRDefault="00045E4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стрельбе из мортиры использовались опытные легкие снаряды весом от 3,2 до 4 кг. Выстрел унитарный. Заряд 320 г пороха ВЛ помещался в сгорающую гильзу из нитроткани с деревянным поддоном. Длина гильзы 112 мм.</w:t>
      </w:r>
    </w:p>
    <w:p w14:paraId="1DC454DF" w14:textId="77777777" w:rsidR="00045E46" w:rsidRPr="005E779E" w:rsidRDefault="00045E46" w:rsidP="000B7A6C">
      <w:pPr>
        <w:spacing w:after="0" w:line="240" w:lineRule="auto"/>
        <w:jc w:val="both"/>
        <w:rPr>
          <w:rFonts w:ascii="Times New Roman" w:hAnsi="Times New Roman"/>
          <w:bCs/>
          <w:color w:val="000000" w:themeColor="text1"/>
          <w:sz w:val="16"/>
          <w:szCs w:val="16"/>
        </w:rPr>
      </w:pPr>
      <w:bookmarkStart w:id="7" w:name="label43"/>
      <w:bookmarkStart w:id="8" w:name="label44"/>
      <w:bookmarkEnd w:id="7"/>
      <w:bookmarkEnd w:id="8"/>
      <w:r w:rsidRPr="005E779E">
        <w:rPr>
          <w:rFonts w:ascii="Times New Roman" w:hAnsi="Times New Roman"/>
          <w:bCs/>
          <w:color w:val="000000" w:themeColor="text1"/>
          <w:sz w:val="16"/>
          <w:szCs w:val="16"/>
        </w:rPr>
        <w:t>Баллистические данные, полученные на испытаниях</w:t>
      </w:r>
    </w:p>
    <w:p w14:paraId="0FF8AD81" w14:textId="77777777" w:rsidR="00045E46" w:rsidRPr="005E779E" w:rsidRDefault="00045E46" w:rsidP="000B7A6C">
      <w:pPr>
        <w:spacing w:after="0" w:line="240" w:lineRule="auto"/>
        <w:jc w:val="both"/>
        <w:rPr>
          <w:rFonts w:ascii="Times New Roman" w:hAnsi="Times New Roman"/>
          <w:bCs/>
          <w:color w:val="000000" w:themeColor="text1"/>
          <w:sz w:val="16"/>
          <w:szCs w:val="16"/>
        </w:rPr>
      </w:pPr>
      <w:bookmarkStart w:id="9" w:name="label45"/>
      <w:bookmarkEnd w:id="9"/>
      <w:r w:rsidRPr="005E779E">
        <w:rPr>
          <w:rFonts w:ascii="Times New Roman" w:hAnsi="Times New Roman"/>
          <w:bCs/>
          <w:color w:val="000000" w:themeColor="text1"/>
          <w:sz w:val="16"/>
          <w:szCs w:val="16"/>
          <w:vertAlign w:val="superscript"/>
        </w:rPr>
        <w:t>Вес снаряда, кг …… Начальная скорость, м/с — Дальностям — Угол, град. — Давление в канале, кг/см2</w:t>
      </w:r>
    </w:p>
    <w:p w14:paraId="5224F412" w14:textId="77777777" w:rsidR="00045E46" w:rsidRPr="005E779E" w:rsidRDefault="00045E4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3,9 …… 173,6 — 1200 — 15° </w:t>
      </w:r>
    </w:p>
    <w:p w14:paraId="6EB437F1" w14:textId="77777777" w:rsidR="00045E46" w:rsidRPr="005E779E" w:rsidRDefault="00045E4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3,2 …… 205,2 — 3000 — 35° </w:t>
      </w:r>
    </w:p>
    <w:p w14:paraId="12D31DDA" w14:textId="77777777" w:rsidR="00045E46" w:rsidRPr="005E779E" w:rsidRDefault="00045E4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 …… 170 — 2200 — 41º — 1600</w:t>
      </w:r>
    </w:p>
    <w:p w14:paraId="482CED11" w14:textId="77777777" w:rsidR="00045E46" w:rsidRPr="005E779E" w:rsidRDefault="00045E4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Максимальное давление в канале составляло 1800 кг/см</w:t>
      </w:r>
      <w:r w:rsidRPr="005E779E">
        <w:rPr>
          <w:rFonts w:ascii="Times New Roman" w:hAnsi="Times New Roman"/>
          <w:color w:val="000000" w:themeColor="text1"/>
          <w:sz w:val="16"/>
          <w:szCs w:val="16"/>
          <w:vertAlign w:val="superscript"/>
        </w:rPr>
        <w:t>2</w:t>
      </w:r>
      <w:r w:rsidRPr="005E779E">
        <w:rPr>
          <w:rFonts w:ascii="Times New Roman" w:hAnsi="Times New Roman"/>
          <w:color w:val="000000" w:themeColor="text1"/>
          <w:sz w:val="16"/>
          <w:szCs w:val="16"/>
        </w:rPr>
        <w:t>.</w:t>
      </w:r>
    </w:p>
    <w:p w14:paraId="7E8F79D7" w14:textId="77777777" w:rsidR="00045E46" w:rsidRPr="005E779E" w:rsidRDefault="00045E4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Первый образец 76-мм легкой мортиры Курчевского был изготовлен на заводе № 8. После заводских испытаний в объеме 100 выстрелов его отправили на полигонные испытания. На НИАП мортира прибыла 12 августа 1931 г (15117).</w:t>
      </w:r>
    </w:p>
    <w:p w14:paraId="6142370C" w14:textId="77777777" w:rsidR="00045E46" w:rsidRPr="005E779E" w:rsidRDefault="00045E46" w:rsidP="000B7A6C">
      <w:pPr>
        <w:spacing w:after="0" w:line="240" w:lineRule="auto"/>
        <w:jc w:val="both"/>
        <w:rPr>
          <w:rFonts w:ascii="Times New Roman" w:hAnsi="Times New Roman"/>
          <w:color w:val="000000" w:themeColor="text1"/>
          <w:sz w:val="16"/>
          <w:szCs w:val="16"/>
        </w:rPr>
      </w:pPr>
    </w:p>
    <w:p w14:paraId="444724CA"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В начале 1931 г. Курчевским была спроектирована 76,2-мм легкая мортира (ЛМК). Мортира предназначалась для вооружения стрелковой роты. Ствол мортиры ребристый. Заряжание с дула. Затвора не было. Подъемный и поворотный механизмы винтовые. Колеса сплошные дисковые.</w:t>
      </w:r>
    </w:p>
    <w:p w14:paraId="785B3EC2"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Данные легкой мортиры Курчевского</w:t>
      </w:r>
    </w:p>
    <w:p w14:paraId="5F838F76"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Калибр, мм 76,2</w:t>
      </w:r>
    </w:p>
    <w:p w14:paraId="55238CCA"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Длина ствола без воронки, мм/клб. 605/8</w:t>
      </w:r>
    </w:p>
    <w:p w14:paraId="4FDD02F0"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Длина воронки (сопла), мм 550</w:t>
      </w:r>
    </w:p>
    <w:p w14:paraId="6CC69E0E"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Угол ВН, град. –10°; +60°</w:t>
      </w:r>
    </w:p>
    <w:p w14:paraId="1AAA7C5E"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lastRenderedPageBreak/>
        <w:t>Угол ГН, град. ±4°30′</w:t>
      </w:r>
    </w:p>
    <w:p w14:paraId="1971F09A"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Высота системы в боевом и походном (на руках) положении, мм 750</w:t>
      </w:r>
    </w:p>
    <w:p w14:paraId="4327FE3D"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Длина станин (длина станка от оси до края), мм 900</w:t>
      </w:r>
    </w:p>
    <w:p w14:paraId="70515023"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Ширина хода, мм 510</w:t>
      </w:r>
    </w:p>
    <w:p w14:paraId="7A7C30B8"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Диаметр колеса, мм 300</w:t>
      </w:r>
    </w:p>
    <w:p w14:paraId="0965F32A"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Высота системы в сложенном положении, мм 490</w:t>
      </w:r>
    </w:p>
    <w:p w14:paraId="272E5086"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Вес ствола с воронкой, кг 21,2</w:t>
      </w:r>
    </w:p>
    <w:p w14:paraId="36D3FC59"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Вес воронки (сопло), кг 4,20</w:t>
      </w:r>
    </w:p>
    <w:p w14:paraId="7D84A9BC"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Вес прицела, кг 1,5</w:t>
      </w:r>
    </w:p>
    <w:p w14:paraId="65709578"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Вес станка, кг 14,15</w:t>
      </w:r>
    </w:p>
    <w:p w14:paraId="2B230652"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Вес системы, кг 38</w:t>
      </w:r>
    </w:p>
    <w:p w14:paraId="79B63693"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Скорострельность, выстр./мин.: расчетная 10—12 практическая 8</w:t>
      </w:r>
    </w:p>
    <w:p w14:paraId="5E58ADD8" w14:textId="77777777" w:rsidR="00AE1636" w:rsidRPr="00142305" w:rsidRDefault="00AE1636" w:rsidP="00AE1636">
      <w:pPr>
        <w:spacing w:after="0" w:line="240" w:lineRule="auto"/>
        <w:jc w:val="both"/>
        <w:rPr>
          <w:rStyle w:val="aff0"/>
          <w:rFonts w:ascii="Times New Roman" w:hAnsi="Times New Roman" w:cs="Times New Roman"/>
          <w:color w:val="0070C0"/>
          <w:spacing w:val="0"/>
          <w:sz w:val="16"/>
          <w:szCs w:val="16"/>
        </w:rPr>
      </w:pPr>
      <w:r w:rsidRPr="00142305">
        <w:rPr>
          <w:rStyle w:val="aff0"/>
          <w:rFonts w:ascii="Times New Roman" w:hAnsi="Times New Roman" w:cs="Times New Roman"/>
          <w:color w:val="0070C0"/>
          <w:spacing w:val="0"/>
          <w:sz w:val="16"/>
          <w:szCs w:val="16"/>
        </w:rPr>
        <w:t>Время перехода из боевого положения в походное, с. 20—30.</w:t>
      </w:r>
    </w:p>
    <w:p w14:paraId="0B122ED5"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Собственно ЛМК и мортирой назвать нельзя. Видимо, Курчевский не знал, что мортира — это орудие, основной задачей которого является стрельба под углом свыше 45°. А ЛМК только по тактико-техническим характеристикам, поданным Курчевским в Артуправление РККА, могла вести стрельбу под углом 60°. Конструктивно ствол опытного образца мог быть опущен до 57°, но действие газовой струи физически не позволяло стрелять под углом больше 43°. Да и тогда действие раскаленных газов было опасно для расчета.</w:t>
      </w:r>
    </w:p>
    <w:p w14:paraId="539B626A" w14:textId="77777777" w:rsidR="00AE1636" w:rsidRPr="00142305" w:rsidRDefault="00AE1636" w:rsidP="00AE1636">
      <w:pPr>
        <w:spacing w:after="0" w:line="240" w:lineRule="auto"/>
        <w:jc w:val="both"/>
        <w:rPr>
          <w:rStyle w:val="aff0"/>
          <w:rFonts w:ascii="Times New Roman" w:hAnsi="Times New Roman" w:cs="Times New Roman"/>
          <w:color w:val="0070C0"/>
          <w:spacing w:val="0"/>
          <w:sz w:val="16"/>
          <w:szCs w:val="16"/>
        </w:rPr>
      </w:pPr>
      <w:r w:rsidRPr="00142305">
        <w:rPr>
          <w:rStyle w:val="aff0"/>
          <w:rFonts w:ascii="Times New Roman" w:hAnsi="Times New Roman" w:cs="Times New Roman"/>
          <w:color w:val="0070C0"/>
          <w:spacing w:val="0"/>
          <w:sz w:val="16"/>
          <w:szCs w:val="16"/>
        </w:rPr>
        <w:t>При стрельбе из мортиры использовались опытные легкие снаряды весом от 3,2 до 4 кг. Выстрел унитарный. Заряд 320 г пороха ВЛ помещался в сгорающую гильзу из нитроткани с деревянным поддоном. Длина гильзы 112 мм.</w:t>
      </w:r>
    </w:p>
    <w:p w14:paraId="0B1B6FD3"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Максимальное давление в канале составляло 1800 кг/см</w:t>
      </w:r>
      <w:r w:rsidRPr="00142305">
        <w:rPr>
          <w:rStyle w:val="aff0"/>
          <w:rFonts w:ascii="Times New Roman" w:hAnsi="Times New Roman" w:cs="Times New Roman"/>
          <w:color w:val="0070C0"/>
          <w:spacing w:val="0"/>
          <w:sz w:val="16"/>
          <w:szCs w:val="16"/>
          <w:vertAlign w:val="superscript"/>
        </w:rPr>
        <w:t>2</w:t>
      </w:r>
      <w:r w:rsidRPr="00142305">
        <w:rPr>
          <w:rStyle w:val="aff0"/>
          <w:rFonts w:ascii="Times New Roman" w:hAnsi="Times New Roman" w:cs="Times New Roman"/>
          <w:color w:val="0070C0"/>
          <w:spacing w:val="0"/>
          <w:sz w:val="16"/>
          <w:szCs w:val="16"/>
        </w:rPr>
        <w:t>.</w:t>
      </w:r>
    </w:p>
    <w:p w14:paraId="369DBA09"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Первый образец 76-мм легкой мортиры Курчевского был изготовлен на заводе № 8. После заводских испытаний в объеме 100 выстрелов его отправили на полигонные испытания (25213).</w:t>
      </w:r>
    </w:p>
    <w:p w14:paraId="5BF6B094" w14:textId="77777777" w:rsidR="00AE1636" w:rsidRPr="00142305" w:rsidRDefault="00AE1636" w:rsidP="00AE1636">
      <w:pPr>
        <w:spacing w:after="0" w:line="240" w:lineRule="auto"/>
        <w:jc w:val="both"/>
        <w:rPr>
          <w:rFonts w:ascii="Times New Roman" w:hAnsi="Times New Roman"/>
          <w:color w:val="0070C0"/>
          <w:sz w:val="16"/>
          <w:szCs w:val="16"/>
        </w:rPr>
      </w:pPr>
    </w:p>
    <w:p w14:paraId="21E0F848"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В начале 1931 г. Курчевским была спроектирована 76-мм мотоциклетная пушка (МПК). Она предназначалась для вооружения разведотрядов и «стратегической конницы». Заряжание пушки производилось с казенной части. Подъемный механизм винтовой. Винт действовал на рычаг, укрепленный на правой цапфе пушки. Поворотный механизм винтового типа. МПК могла стрелять из двух положений: верхнего и нижнего.</w:t>
      </w:r>
    </w:p>
    <w:p w14:paraId="4EA1A5D1"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Данные МПК</w:t>
      </w:r>
    </w:p>
    <w:p w14:paraId="2A631D97"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Ствол</w:t>
      </w:r>
    </w:p>
    <w:p w14:paraId="3772FB74"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Калибр, мм 76,2</w:t>
      </w:r>
    </w:p>
    <w:p w14:paraId="51256390"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Длина ствола с воронкой, мм/клб. 2060/27</w:t>
      </w:r>
    </w:p>
    <w:p w14:paraId="22695DA9"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Диаметр сопла (внутренни), мм 62</w:t>
      </w:r>
    </w:p>
    <w:p w14:paraId="3F3AE7C6"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Объем каморы, дм</w:t>
      </w:r>
      <w:r w:rsidRPr="00142305">
        <w:rPr>
          <w:rStyle w:val="aff0"/>
          <w:rFonts w:ascii="Times New Roman" w:hAnsi="Times New Roman" w:cs="Times New Roman"/>
          <w:color w:val="0070C0"/>
          <w:spacing w:val="0"/>
          <w:sz w:val="16"/>
          <w:szCs w:val="16"/>
          <w:vertAlign w:val="superscript"/>
        </w:rPr>
        <w:t>3</w:t>
      </w:r>
      <w:r w:rsidRPr="00142305">
        <w:rPr>
          <w:rStyle w:val="aff0"/>
          <w:rFonts w:ascii="Times New Roman" w:hAnsi="Times New Roman" w:cs="Times New Roman"/>
          <w:color w:val="0070C0"/>
          <w:spacing w:val="0"/>
          <w:sz w:val="16"/>
          <w:szCs w:val="16"/>
        </w:rPr>
        <w:t xml:space="preserve"> 1,6</w:t>
      </w:r>
    </w:p>
    <w:p w14:paraId="51DA666E"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Глубина нарезов, мм 0,76</w:t>
      </w:r>
    </w:p>
    <w:p w14:paraId="42985916"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Лафет Верхнее положение Нижнее положение</w:t>
      </w:r>
    </w:p>
    <w:p w14:paraId="699E73A3"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Угол ВН, град. +37°40′ +12°</w:t>
      </w:r>
    </w:p>
    <w:p w14:paraId="7EC71B76"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Угол ГН, град. –6° (влево); +7°10′ (вправо) –2° (влево); +6° (вправо)</w:t>
      </w:r>
    </w:p>
    <w:p w14:paraId="3775899C"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Высота системы, мм: в походном положении 550</w:t>
      </w:r>
    </w:p>
    <w:p w14:paraId="332CF65F"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в боевом положении при угле 0° 920</w:t>
      </w:r>
    </w:p>
    <w:p w14:paraId="5EF4660A"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Вес ствола без затвора, кг 78,1</w:t>
      </w:r>
    </w:p>
    <w:p w14:paraId="60FB6B11"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Вес затвора, кг 4,9</w:t>
      </w:r>
    </w:p>
    <w:p w14:paraId="2847586C"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Вес трубы, кг 9,4</w:t>
      </w:r>
    </w:p>
    <w:p w14:paraId="5417FAA1"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Вес станка, кг 61,6</w:t>
      </w:r>
    </w:p>
    <w:p w14:paraId="36F6D2B2"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Вес всей установки (без мотоцикла), кг 170,4</w:t>
      </w:r>
    </w:p>
    <w:p w14:paraId="35FDD932"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Скорость по шоссе, км/час 60</w:t>
      </w:r>
    </w:p>
    <w:p w14:paraId="66822788"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Скорострельность, выстр./мин. 4—6</w:t>
      </w:r>
    </w:p>
    <w:p w14:paraId="2A337A7A"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Расчет, чел. 2</w:t>
      </w:r>
    </w:p>
    <w:p w14:paraId="13EE6DA5"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Запас патронов, возимый на мотоцикле 6</w:t>
      </w:r>
    </w:p>
    <w:p w14:paraId="3CF105D1"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Время перехода из походного: в боевое (верхнее) положение, с 40—60</w:t>
      </w:r>
    </w:p>
    <w:p w14:paraId="05790995"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в нижнее положение, с 30</w:t>
      </w:r>
    </w:p>
    <w:p w14:paraId="0F7146C3"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Время перехода из верхнего положения в походное, с 30—40</w:t>
      </w:r>
    </w:p>
    <w:p w14:paraId="07B47212"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В боекомплект МПК входили штатные снаряды от 76-мм дивизионных пушек как дальнобойные, так и дореволюционного образца. Кроме того, имелись и специально спроектированные для пушек Курчевского легкие снаряды: осколочный весом 4,5 кг и бронебойный весом 3,5 кг. Для всех снарядов использовался одинаковый штатный заряд 0,95 кг пороха ПКО.</w:t>
      </w:r>
    </w:p>
    <w:p w14:paraId="3088DE1A" w14:textId="77777777" w:rsidR="00AE1636" w:rsidRPr="00142305" w:rsidRDefault="00AE1636" w:rsidP="00AE1636">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Гильзу патрона МПК взяли от 3-дюймовой пушки обр. 1902 г. У этой гильзы расточили дно (диаметр отверстия стал 60 мм) и проделали боковое отверстие для капсюля на расстоянии 14 мм от переднего среза гильзы. На фланце сделали выточку, в которую входила шпонка на экстракторе. Дно гильзы закрывалось деревянным поддоном.</w:t>
      </w:r>
    </w:p>
    <w:p w14:paraId="0DBD62D1" w14:textId="77777777" w:rsidR="00AE1636" w:rsidRPr="00142305" w:rsidRDefault="00AE1636" w:rsidP="00AE1636">
      <w:pPr>
        <w:spacing w:after="0" w:line="240" w:lineRule="auto"/>
        <w:jc w:val="both"/>
        <w:rPr>
          <w:rStyle w:val="aff0"/>
          <w:rFonts w:ascii="Times New Roman" w:hAnsi="Times New Roman" w:cs="Times New Roman"/>
          <w:color w:val="0070C0"/>
          <w:spacing w:val="0"/>
          <w:sz w:val="16"/>
          <w:szCs w:val="16"/>
        </w:rPr>
      </w:pPr>
      <w:r w:rsidRPr="00142305">
        <w:rPr>
          <w:rStyle w:val="aff0"/>
          <w:rFonts w:ascii="Times New Roman" w:hAnsi="Times New Roman" w:cs="Times New Roman"/>
          <w:color w:val="0070C0"/>
          <w:spacing w:val="0"/>
          <w:sz w:val="16"/>
          <w:szCs w:val="16"/>
        </w:rPr>
        <w:t>Малая скорострельность МПК — это следствие неудобства заряжания, так как приходилось совмещать вырез на фланце гильзы со шпонкой на выбрасывателе, чтобы совместить запальное отверстие в стволе и гильзе (25213).</w:t>
      </w:r>
    </w:p>
    <w:p w14:paraId="35849776" w14:textId="77777777" w:rsidR="00AE1636" w:rsidRPr="00142305" w:rsidRDefault="00AE1636" w:rsidP="00AE1636">
      <w:pPr>
        <w:spacing w:after="0" w:line="240" w:lineRule="auto"/>
        <w:jc w:val="both"/>
        <w:rPr>
          <w:rFonts w:ascii="Times New Roman" w:hAnsi="Times New Roman"/>
          <w:color w:val="0070C0"/>
          <w:sz w:val="16"/>
          <w:szCs w:val="16"/>
        </w:rPr>
      </w:pPr>
    </w:p>
    <w:p w14:paraId="4446B0A2" w14:textId="77777777" w:rsidR="00045E46" w:rsidRPr="005E779E" w:rsidRDefault="00045E4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1931 г. была спроектирована 76-мм мотоциклетная пушка (МПК) Она предназначалась для вооружения разведотрядов и «стратегической конницы». Заряжание пушки производилось с казенной части. Подъемный механизм винтовой. Винт действовал на рычаг, укрепленный на правой цапфе пушки. Поворотный механизм винтового типа. МПК могла стрелять из двух положений: верхнего и нижнего.</w:t>
      </w:r>
    </w:p>
    <w:p w14:paraId="66F3188E" w14:textId="77777777" w:rsidR="00045E46" w:rsidRPr="005E779E" w:rsidRDefault="00045E46" w:rsidP="000B7A6C">
      <w:pPr>
        <w:spacing w:after="0" w:line="240" w:lineRule="auto"/>
        <w:jc w:val="both"/>
        <w:rPr>
          <w:rFonts w:ascii="Times New Roman" w:hAnsi="Times New Roman"/>
          <w:bCs/>
          <w:color w:val="000000" w:themeColor="text1"/>
          <w:sz w:val="16"/>
          <w:szCs w:val="16"/>
        </w:rPr>
      </w:pPr>
      <w:bookmarkStart w:id="10" w:name="label59"/>
      <w:bookmarkEnd w:id="10"/>
      <w:r w:rsidRPr="005E779E">
        <w:rPr>
          <w:rFonts w:ascii="Times New Roman" w:hAnsi="Times New Roman"/>
          <w:bCs/>
          <w:color w:val="000000" w:themeColor="text1"/>
          <w:sz w:val="16"/>
          <w:szCs w:val="16"/>
        </w:rPr>
        <w:t>Данные МПК</w:t>
      </w:r>
    </w:p>
    <w:p w14:paraId="1701FA65" w14:textId="77777777" w:rsidR="00045E46" w:rsidRPr="005E779E" w:rsidRDefault="00045E46"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Ствол</w:t>
      </w:r>
    </w:p>
    <w:p w14:paraId="41EFC35E" w14:textId="77777777" w:rsidR="00045E46" w:rsidRPr="005E779E" w:rsidRDefault="00045E4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Калибр, мм …… 76,2</w:t>
      </w:r>
    </w:p>
    <w:p w14:paraId="2626BC59" w14:textId="77777777" w:rsidR="00045E46" w:rsidRPr="005E779E" w:rsidRDefault="00045E4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Длина ствола с воронкой, мм/клб …… 2060/27</w:t>
      </w:r>
    </w:p>
    <w:p w14:paraId="37147BF2" w14:textId="77777777" w:rsidR="00045E46" w:rsidRPr="005E779E" w:rsidRDefault="00045E4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Диаметр сопла (внутренний), мм …… 62</w:t>
      </w:r>
    </w:p>
    <w:p w14:paraId="27E3D60C" w14:textId="77777777" w:rsidR="00045E46" w:rsidRPr="005E779E" w:rsidRDefault="00045E4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Объем каморы, дм</w:t>
      </w:r>
      <w:r w:rsidRPr="005E779E">
        <w:rPr>
          <w:rFonts w:ascii="Times New Roman" w:hAnsi="Times New Roman"/>
          <w:color w:val="000000" w:themeColor="text1"/>
          <w:sz w:val="16"/>
          <w:szCs w:val="16"/>
          <w:vertAlign w:val="superscript"/>
        </w:rPr>
        <w:t>3</w:t>
      </w:r>
      <w:r w:rsidRPr="005E779E">
        <w:rPr>
          <w:rFonts w:ascii="Times New Roman" w:hAnsi="Times New Roman"/>
          <w:color w:val="000000" w:themeColor="text1"/>
          <w:sz w:val="16"/>
          <w:szCs w:val="16"/>
        </w:rPr>
        <w:t xml:space="preserve"> …… 1,6</w:t>
      </w:r>
    </w:p>
    <w:p w14:paraId="6A9749BF" w14:textId="77777777" w:rsidR="00045E46" w:rsidRPr="005E779E" w:rsidRDefault="00045E4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Глубина нарезов, мм …… 0,76</w:t>
      </w:r>
    </w:p>
    <w:p w14:paraId="48F517DA" w14:textId="77777777" w:rsidR="00045E46" w:rsidRPr="005E779E" w:rsidRDefault="00045E46"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 xml:space="preserve">Лафет </w:t>
      </w:r>
    </w:p>
    <w:p w14:paraId="7DA0DC82" w14:textId="77777777" w:rsidR="00045E46" w:rsidRPr="005E779E" w:rsidRDefault="00045E4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Верхнее положение …… Угол BH, град. +37°40'; Угол ГН, град. -6° (влево); +7°10' (вправо)</w:t>
      </w:r>
    </w:p>
    <w:p w14:paraId="1F387106" w14:textId="77777777" w:rsidR="00045E46" w:rsidRPr="005E779E" w:rsidRDefault="00045E4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Нижнее положение …… Угол BH, град. +12º; Угол ГН, град. -2° (влево); +6° (вправо)</w:t>
      </w:r>
    </w:p>
    <w:p w14:paraId="5354A827" w14:textId="77777777" w:rsidR="00045E46" w:rsidRPr="005E779E" w:rsidRDefault="00045E4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Высота системы, мм: в походном положении …… 550</w:t>
      </w:r>
    </w:p>
    <w:p w14:paraId="71C3CA1D" w14:textId="77777777" w:rsidR="00045E46" w:rsidRPr="005E779E" w:rsidRDefault="00045E4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боевом положении при угле 0° …… 920</w:t>
      </w:r>
    </w:p>
    <w:p w14:paraId="7F2DB497" w14:textId="77777777" w:rsidR="00045E46" w:rsidRPr="005E779E" w:rsidRDefault="00045E4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ствола без затвора, кг …… 78,1</w:t>
      </w:r>
    </w:p>
    <w:p w14:paraId="17760104" w14:textId="77777777" w:rsidR="00045E46" w:rsidRPr="005E779E" w:rsidRDefault="00045E4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затвора, кг ……4,9</w:t>
      </w:r>
    </w:p>
    <w:p w14:paraId="2511A92E" w14:textId="77777777" w:rsidR="00045E46" w:rsidRPr="005E779E" w:rsidRDefault="00045E4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трубы, кг …… 9,4</w:t>
      </w:r>
    </w:p>
    <w:p w14:paraId="3194226D" w14:textId="77777777" w:rsidR="00045E46" w:rsidRPr="005E779E" w:rsidRDefault="00045E4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станка, кг …… 61,6</w:t>
      </w:r>
    </w:p>
    <w:p w14:paraId="1AF98BD6" w14:textId="77777777" w:rsidR="00045E46" w:rsidRPr="005E779E" w:rsidRDefault="00045E4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всей установки (без мотоцикла), кг …… 170,4</w:t>
      </w:r>
    </w:p>
    <w:p w14:paraId="72765B38" w14:textId="77777777" w:rsidR="00045E46" w:rsidRPr="005E779E" w:rsidRDefault="00045E4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Скорость по шоссе, км/час …… 60</w:t>
      </w:r>
    </w:p>
    <w:p w14:paraId="41966250" w14:textId="77777777" w:rsidR="00045E46" w:rsidRPr="005E779E" w:rsidRDefault="00045E4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Скорострельность, выстр/мин …… 4—6</w:t>
      </w:r>
    </w:p>
    <w:p w14:paraId="4146715A" w14:textId="77777777" w:rsidR="00045E46" w:rsidRPr="005E779E" w:rsidRDefault="00045E4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Расчет, чел …… 2</w:t>
      </w:r>
    </w:p>
    <w:p w14:paraId="46775ED0" w14:textId="77777777" w:rsidR="00045E46" w:rsidRPr="005E779E" w:rsidRDefault="00045E4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Запас патронов, возимый на мотоцикле …… 6</w:t>
      </w:r>
    </w:p>
    <w:p w14:paraId="6C7D3896" w14:textId="77777777" w:rsidR="00045E46" w:rsidRPr="005E779E" w:rsidRDefault="00045E4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Время перехода из походного: </w:t>
      </w:r>
    </w:p>
    <w:p w14:paraId="1AF0C955" w14:textId="77777777" w:rsidR="00045E46" w:rsidRPr="005E779E" w:rsidRDefault="00045E4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боевое (верхнее) положение, с …… 40—60</w:t>
      </w:r>
    </w:p>
    <w:p w14:paraId="226878A7" w14:textId="77777777" w:rsidR="00045E46" w:rsidRPr="005E779E" w:rsidRDefault="00045E4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 нижнее положение, с …… 30</w:t>
      </w:r>
    </w:p>
    <w:p w14:paraId="1CE9700B" w14:textId="77777777" w:rsidR="00045E46" w:rsidRPr="005E779E" w:rsidRDefault="00045E4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перехода из верхнего положения в походное, с …… 30—40</w:t>
      </w:r>
    </w:p>
    <w:p w14:paraId="427C1383" w14:textId="77777777" w:rsidR="00045E46" w:rsidRPr="005E779E" w:rsidRDefault="00045E4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боекомплект МПК входили штатные снаряды от 76-мм дивизионных пушек как дальнобойные, так и дореволюционного образца. Кроме того, имелись и специально спроектированные для пушек Курчевского легкие снаряды: осколочный весом 4,5 кг и бронебойный весом 3,5 кг. Для всех снарядов использовался одинаковый штатный заряд 0,95 кг пороха ПКО.</w:t>
      </w:r>
    </w:p>
    <w:p w14:paraId="2D05674D" w14:textId="77777777" w:rsidR="00045E46" w:rsidRPr="005E779E" w:rsidRDefault="00045E4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Гильзу патрона МПК взяли от 3-дюймовой пушки обр. 1902 г. У этой гильзы расточили дно (диаметр отверстия стал 60 мм) и проделали боковое отверстие для капсюля на расстоянии 14 мм от переднего среза гильзы. На фланце сделали выточку, в которую входила шпонка на экстракторе. Дно гильзы закрывалось деревянным поддоном.</w:t>
      </w:r>
    </w:p>
    <w:p w14:paraId="4358BF3A" w14:textId="77777777" w:rsidR="00045E46" w:rsidRPr="005E779E" w:rsidRDefault="00045E4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Малая скорострельность МПК — это следствие неудобства заряжания, так как приходилось совмещать вырез на фланце гильзы со шпонкой на выбрасывателе, чтобы совместить запальное отверстие в стволе и гильзе.</w:t>
      </w:r>
    </w:p>
    <w:p w14:paraId="3EACEE22" w14:textId="77777777" w:rsidR="00045E46" w:rsidRPr="005E779E" w:rsidRDefault="00045E46" w:rsidP="000B7A6C">
      <w:pPr>
        <w:spacing w:after="0" w:line="240" w:lineRule="auto"/>
        <w:jc w:val="both"/>
        <w:rPr>
          <w:rFonts w:ascii="Times New Roman" w:hAnsi="Times New Roman"/>
          <w:bCs/>
          <w:color w:val="000000" w:themeColor="text1"/>
          <w:sz w:val="16"/>
          <w:szCs w:val="16"/>
        </w:rPr>
      </w:pPr>
      <w:bookmarkStart w:id="11" w:name="label60"/>
      <w:bookmarkStart w:id="12" w:name="label61"/>
      <w:bookmarkEnd w:id="11"/>
      <w:bookmarkEnd w:id="12"/>
      <w:r w:rsidRPr="005E779E">
        <w:rPr>
          <w:rFonts w:ascii="Times New Roman" w:hAnsi="Times New Roman"/>
          <w:bCs/>
          <w:color w:val="000000" w:themeColor="text1"/>
          <w:sz w:val="16"/>
          <w:szCs w:val="16"/>
        </w:rPr>
        <w:t>Баллистические данные 76-мм пушек МПК и СПК по данным испытаний при заряде 0,95 кг пороха ПКО</w:t>
      </w:r>
    </w:p>
    <w:p w14:paraId="0B3874EF" w14:textId="77777777" w:rsidR="00045E46" w:rsidRPr="005E779E" w:rsidRDefault="00045E4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Первая 76-мм система МПК прибыла на НИАП без мотоцикла и с 12 сентября 1931 г. по 15 декабря 1931 г. была испытана 109 выстрелами зарядом 0,95 кг ленточного пороха ПКО. Снаряды: бронебойный весом 3,5 кг и осколочный весом 4,575 кг с 22-секундной трубкой.</w:t>
      </w:r>
    </w:p>
    <w:p w14:paraId="0FEA9B7E" w14:textId="77777777" w:rsidR="00045E46" w:rsidRPr="005E779E" w:rsidRDefault="00045E4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ходе испытаний на НИАПе выяснилось, что максимальный угол стрельбы с мотоцикла составлял +37°40'. При стрельбе бронебойным снарядом весом 3,5 кг 40-мм цементированная броневая плита с расстояния 1000 м по нормали не пробивалась, 30-мм цементированная плита с расстояния 1000 м проламывалась при целом снаряде.</w:t>
      </w:r>
    </w:p>
    <w:p w14:paraId="365BD9C3" w14:textId="77777777" w:rsidR="00045E46" w:rsidRPr="005E779E" w:rsidRDefault="00045E4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76-мм МПК проходила войсковые испытания в июле 1932 г. в Московской Пролетарской стрелковой дивизии и 4-й кавалерийской дивизии. Результаты удовлетворительные. Пушка при выстреле подпрыгивала. Затвор заедал вследствие неполного сгорания пороха.</w:t>
      </w:r>
    </w:p>
    <w:p w14:paraId="7CBDCF06" w14:textId="77777777" w:rsidR="00045E46" w:rsidRPr="005E779E" w:rsidRDefault="00045E4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вооружение система не принята ввиду малой проходимости мотоцикла. («Харлей Давидсон» проектировался как полицейский мотоцикл с мощным двигателем, но обладал малой проходимостью).</w:t>
      </w:r>
    </w:p>
    <w:p w14:paraId="18BC1A6F" w14:textId="77777777" w:rsidR="00045E46" w:rsidRPr="005E779E" w:rsidRDefault="00045E4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1932 г. заводу № 7 выдали заказ на 25 МПК. В1932 г. было изготовлено 22 МПК, а сдано 14. Больше заказы на МПК не выдавались (15117).</w:t>
      </w:r>
    </w:p>
    <w:p w14:paraId="034ED48B" w14:textId="77777777" w:rsidR="00045E46" w:rsidRPr="005E779E" w:rsidRDefault="00045E46" w:rsidP="000B7A6C">
      <w:pPr>
        <w:spacing w:after="0" w:line="240" w:lineRule="auto"/>
        <w:jc w:val="both"/>
        <w:rPr>
          <w:rFonts w:ascii="Times New Roman" w:hAnsi="Times New Roman"/>
          <w:color w:val="000000" w:themeColor="text1"/>
          <w:sz w:val="16"/>
          <w:szCs w:val="16"/>
        </w:rPr>
      </w:pPr>
    </w:p>
    <w:p w14:paraId="023C7F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1931 г. была спроектирована76-мм мотоциклетная пушка (МПК) Курчевского. Она предназначалась для вооружения разведотрядов и «стратегической конницы». Заряжание пушки производилось с казенной части. Подъемный механизм винтовой. Винт действовал на рычаг, укрепленный на правой цапфе пушки. Поворотный механизм винтового типа. МПК могла стрелять из двух положений: верхнего и нижнего.</w:t>
      </w:r>
    </w:p>
    <w:p w14:paraId="65E717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Данные МПК </w:t>
      </w:r>
    </w:p>
    <w:p w14:paraId="6D73A4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Ствол</w:t>
      </w:r>
    </w:p>
    <w:p w14:paraId="086A37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Калибр, мм — 76,2</w:t>
      </w:r>
    </w:p>
    <w:p w14:paraId="6DCFF3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Длина ствола с воронкой, мм/клб — 2060/27</w:t>
      </w:r>
    </w:p>
    <w:p w14:paraId="5DCBAA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Диаметр сопла (внутренний), мм — 62</w:t>
      </w:r>
    </w:p>
    <w:p w14:paraId="695E66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Объем каморы, дм3 — 31,6</w:t>
      </w:r>
    </w:p>
    <w:p w14:paraId="659D0D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Глубина нарезов, мм — 0,76</w:t>
      </w:r>
    </w:p>
    <w:p w14:paraId="5528DD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Лафет — Верхнее положение — Нижнее положение</w:t>
      </w:r>
    </w:p>
    <w:p w14:paraId="1BD896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Угол ВН, град — +37°40? — +12</w:t>
      </w:r>
    </w:p>
    <w:p w14:paraId="5F1B9F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Угол ГН, град — ?6 (влево); +7°10? (вправо) — ?2(влево); +6 (вправо)</w:t>
      </w:r>
    </w:p>
    <w:p w14:paraId="41B3D5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Высота системы, мм: в походном положении — 550</w:t>
      </w:r>
    </w:p>
    <w:p w14:paraId="2B1F0B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боевом положении при угле 0° — 920</w:t>
      </w:r>
    </w:p>
    <w:p w14:paraId="611BF1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ствола без затвора, кг — 78,1</w:t>
      </w:r>
    </w:p>
    <w:p w14:paraId="080421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затвора, кг — 4,9</w:t>
      </w:r>
    </w:p>
    <w:p w14:paraId="217713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трубы, кг — 9,4</w:t>
      </w:r>
    </w:p>
    <w:p w14:paraId="703C97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станка, кг — 61,6</w:t>
      </w:r>
    </w:p>
    <w:p w14:paraId="5F83FD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всей установки (без мотоцикла), кг — 170,4</w:t>
      </w:r>
    </w:p>
    <w:p w14:paraId="65A48D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Скорость по шоссе, км/час — 60</w:t>
      </w:r>
    </w:p>
    <w:p w14:paraId="74DB2C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Скорострельность, выстр/мин — 4–6</w:t>
      </w:r>
    </w:p>
    <w:p w14:paraId="1756E0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Расчет, чел — 2</w:t>
      </w:r>
    </w:p>
    <w:p w14:paraId="7AEBAF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Запас патронов, возимый на мотоцикле — 6</w:t>
      </w:r>
    </w:p>
    <w:p w14:paraId="3EC04F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перехода из походного: в боевое (верхнее) положение, с — 40–60</w:t>
      </w:r>
    </w:p>
    <w:p w14:paraId="72B7BE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нижнее положение, с — 30</w:t>
      </w:r>
    </w:p>
    <w:p w14:paraId="0E0C0B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перехода из верхнего положения в походное, с — 30–40</w:t>
      </w:r>
    </w:p>
    <w:p w14:paraId="7F1B65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боекомплект МПК входили штатные снаряды от 76-мм дивизионных пушек как дальнобойные, так и дореволюционного образца. Кроме того, имелись и специально спроектированные для пушек Курчевского легкие снаряды: осколочный весом 4,5 кг и бронебойный весом 3,5 кг. Для всех снарядов использовался одинаковый штатный заряд 0,95 кг пороха ПКО.</w:t>
      </w:r>
    </w:p>
    <w:p w14:paraId="591058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Гильзу патрона МПК взяли от 3-дюймовой пушки обр. 1902 г. У этой гильзы расточили дно (диаметр отверстия стал 60 мм) и проделали боковое отверстие для капсюля на расстоянии 14 мм от переднего среза гильзы. На фланце сделали выточку, в которую входила шпонка на экстракторе. Дно гильзы закрывалось деревянным поддоном.</w:t>
      </w:r>
    </w:p>
    <w:p w14:paraId="632B90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Малая скорострельность МПК — это следствие неудобства заряжания, так как приходилось совмещать вырез на фланце гильзы со шпонкой на выбрасывателе, чтобы совместить запальное отверстие в стволе и гильзе.</w:t>
      </w:r>
    </w:p>
    <w:p w14:paraId="1962E5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Первая 76-мм система МПК прибыла на НИАП без мотоцикла и с 12 сентября 1931 г. по 15 декабря 1931 г. была испытана 109 выстрелами зарядом 0,95 кг ленточного пороха ПКО. Снаряды: бронебойный весом 3,5 кг и осколочный весом 4,575 кг с 22-секундной трубкой.</w:t>
      </w:r>
    </w:p>
    <w:p w14:paraId="02059C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ходе испытаний на НИАПе выяснилось, что максимальный угол стрельбы с мотоцикла составлял +37°40?. При стрельбе бронебойным снарядом весом 3,5 кг 40-мм цементированная броневая плита с расстояния 1000 м по нормали не пробивалась, 30-мм цементированная плита с расстояния 1000 м проламывалась при целом снаряде.</w:t>
      </w:r>
    </w:p>
    <w:p w14:paraId="2C4101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76-мм МПК проходила войсковые испытания в июле 1932 г. в московской Пролетарской стрелковой дивизии и 4-й кавалерийской дивизии. Результаты удовлетворительные. Пушка при выстреле подпрыгивала. Затвор заедал вследствие неполного сгорания пороха.</w:t>
      </w:r>
    </w:p>
    <w:p w14:paraId="54D072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вооружение система не принята ввиду малой проходимости мотоцикла. («Харлей Давидсон» проектировался как полицейский мотоцикл с мощным двигателем, но обладал малой проходимостью.)</w:t>
      </w:r>
    </w:p>
    <w:p w14:paraId="5BC4D7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1932 г. заводу № 7 выдали заказ на 25 МПК. В 1932 г. было изготовлено 22 МПК, а сдано 14. Больше заказы на МПК не выдавались (12091).</w:t>
      </w:r>
    </w:p>
    <w:p w14:paraId="29990F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005A3A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1931 г. были проведены сравнительные испыта</w:t>
      </w:r>
      <w:r w:rsidRPr="005E779E">
        <w:rPr>
          <w:rFonts w:ascii="Times New Roman" w:hAnsi="Times New Roman"/>
          <w:color w:val="000000" w:themeColor="text1"/>
          <w:sz w:val="16"/>
          <w:szCs w:val="16"/>
        </w:rPr>
        <w:softHyphen/>
        <w:t>ния крупнокалиберных пулеметов Дегтярева и Дрейзе (10670,204).</w:t>
      </w:r>
    </w:p>
    <w:p w14:paraId="23636D3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60EE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1931 г. Западно-Сибирская контрольная комиссия ВКП(б) и отдел рабоче-крестьянской инспекции проверили состояние строительства завода Сибкомбайн и рекомендовали ВСНХ СССР, Союзсельмашу и другим центральным органам оказать надлежащее содействие строительству: своевременно и полностью обеспечивать строительные материалы и оборудование, а также инженерно-технические кадры. Кроме того, предлагалось возможно скорее перевести всех занятых в этой стройке на снабжение предметами широкого потребления и продуктами питания по нормам ударных строек в Сибири (Кузнецкстрой и др.), подпадающих, к тому же, под действие закона об отдельных местностях. Строительство завода осуществлялось неравномерно — то развивалось, то прекращалось — по причине неоднозначного отношения правительственных структур, поэтому было много проблем с выделением капитальных вложений, снабжением строительными материалами и техникой, обеспечением стройки инженерно-техническими кадрами. Вместе с тем, первый комбайн был изготовлен к началу уборки 1931 г. Успешно прошли его государственные испытания. Одновременно в Омской области испытывались комбайны Ростовского завода и завода «Коммунар». Государственная комиссия признала сибирский комбайн наилучшим (11591).</w:t>
      </w:r>
    </w:p>
    <w:p w14:paraId="79978A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59DF8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1931 на полигоне в Кубинке провели сравнительные испытания импортных танков с танками собственной конструкции Т-19 и Т-20, а также с "гибридными" танками ТММ. Лучше всего себя показал танк Т-20, однако он приводился в движение двигателем, не выпускавшимся серийно (3862).</w:t>
      </w:r>
    </w:p>
    <w:p w14:paraId="584130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F184771" w14:textId="77777777" w:rsidR="00BE087B" w:rsidRPr="005E779E" w:rsidRDefault="00BE087B"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shd w:val="clear" w:color="auto" w:fill="FFFFFF"/>
        </w:rPr>
        <w:t xml:space="preserve">В начале 1931 года было понятно, что Т-24 "не жилец". Единственный вопрос заключался в том, кто будет его заменой. Поднимался вопрос об организации на ХПЗ выпуска Medium Tank Mk.II, но эту идею отвергли. Английский танк был чересчур сложным, да и порядком устарел. Еще одной кандидатурой был ТГ-1 конструкции </w:t>
      </w:r>
      <w:r w:rsidRPr="005E779E">
        <w:rPr>
          <w:rFonts w:ascii="Times New Roman" w:hAnsi="Times New Roman"/>
          <w:color w:val="000000" w:themeColor="text1"/>
          <w:sz w:val="16"/>
          <w:szCs w:val="16"/>
          <w:shd w:val="clear" w:color="auto" w:fill="FFFFFF"/>
        </w:rPr>
        <w:lastRenderedPageBreak/>
        <w:t>Эдварда Гроте, но и с этой машиной как-то не получилось. Наконец, 23 мая 1931 года на заседании Комиссии Обороны СССР было решено организовать на ХПЗ выпуск танков Б-Т. Это стало итогом изучения образцов танка Кристи, которые были закуплены для Советского Союза (20375).</w:t>
      </w:r>
    </w:p>
    <w:p w14:paraId="2179A1FA" w14:textId="77777777" w:rsidR="00BE087B" w:rsidRPr="005E779E" w:rsidRDefault="00BE087B" w:rsidP="000B7A6C">
      <w:pPr>
        <w:shd w:val="clear" w:color="auto" w:fill="FFFFFF"/>
        <w:spacing w:after="0" w:line="240" w:lineRule="auto"/>
        <w:jc w:val="both"/>
        <w:rPr>
          <w:rFonts w:ascii="Times New Roman" w:hAnsi="Times New Roman"/>
          <w:color w:val="000000" w:themeColor="text1"/>
          <w:sz w:val="16"/>
          <w:szCs w:val="16"/>
        </w:rPr>
      </w:pPr>
    </w:p>
    <w:p w14:paraId="57F1B0A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1931 г. ОКМО занимался доработкой танкетки при активном участии конструкторской группы Н. Козырева, преобразованной в КБ. ОКБ Н. Дыренкова также готовило свой проект танкетки Д-7, которая была ко-лесно-гусеничной и, по мнению изобретателя, как нельзя лучше соответствовала требованиям «Системы...». Однако после рассмотрения документации на Д-7 было отмечено, что проект выполнен неграмотно и без каких бы то ни было расчетов. Что компоновка моторного отделения танкетки выполнена крайне неудачно, а рабочие места членов экипа</w:t>
      </w:r>
      <w:r w:rsidRPr="005E779E">
        <w:rPr>
          <w:rFonts w:ascii="Times New Roman" w:hAnsi="Times New Roman"/>
          <w:color w:val="000000" w:themeColor="text1"/>
          <w:sz w:val="16"/>
          <w:szCs w:val="16"/>
        </w:rPr>
        <w:softHyphen/>
        <w:t>жа не позволяют, находясь на них, нормально вести машину и стрелять из пулемета. Проект был отклонен (10733,144).</w:t>
      </w:r>
    </w:p>
    <w:p w14:paraId="6E11C49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AEAB5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w:t>
      </w:r>
      <w:r w:rsidRPr="005E779E">
        <w:rPr>
          <w:rFonts w:ascii="Times New Roman" w:hAnsi="Times New Roman"/>
          <w:color w:val="000000" w:themeColor="text1"/>
          <w:sz w:val="16"/>
          <w:szCs w:val="16"/>
        </w:rPr>
        <w:softHyphen/>
        <w:t>ле 1931 г. ЭКО ОГПУ ориентировало группу конструкторов под руководством В. Асафова на совершенствование идей Э. Гроте в плане снижения сложности и стоимости танка (10733,255).</w:t>
      </w:r>
    </w:p>
    <w:p w14:paraId="59F1141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484D77" w14:textId="77777777" w:rsidR="00E018C9" w:rsidRPr="005E779E" w:rsidRDefault="00E018C9" w:rsidP="00E018C9">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1931 года небольшое конструкторское бюро из «врагов народа», занимавшееся проектированием различных образцов боевой техники — от танков до самолетов и катеров, входящее в структуру технического отделе</w:t>
      </w:r>
      <w:r w:rsidRPr="005E779E">
        <w:rPr>
          <w:rFonts w:ascii="Times New Roman" w:hAnsi="Times New Roman"/>
          <w:color w:val="000000" w:themeColor="text1"/>
          <w:sz w:val="16"/>
          <w:szCs w:val="16"/>
        </w:rPr>
        <w:softHyphen/>
        <w:t>ния экономического отдела полномочного представитель</w:t>
      </w:r>
      <w:r w:rsidRPr="005E779E">
        <w:rPr>
          <w:rFonts w:ascii="Times New Roman" w:hAnsi="Times New Roman"/>
          <w:color w:val="000000" w:themeColor="text1"/>
          <w:sz w:val="16"/>
          <w:szCs w:val="16"/>
        </w:rPr>
        <w:softHyphen/>
        <w:t>ства (ТО ЭКО ПП) ОГПУ в Ленинградском военном окру</w:t>
      </w:r>
      <w:r w:rsidRPr="005E779E">
        <w:rPr>
          <w:rFonts w:ascii="Times New Roman" w:hAnsi="Times New Roman"/>
          <w:color w:val="000000" w:themeColor="text1"/>
          <w:sz w:val="16"/>
          <w:szCs w:val="16"/>
        </w:rPr>
        <w:softHyphen/>
        <w:t>ге (ЛВО), изготовило железнодорожные бандажи для грузового ав</w:t>
      </w:r>
      <w:r w:rsidRPr="005E779E">
        <w:rPr>
          <w:rFonts w:ascii="Times New Roman" w:hAnsi="Times New Roman"/>
          <w:color w:val="000000" w:themeColor="text1"/>
          <w:sz w:val="16"/>
          <w:szCs w:val="16"/>
        </w:rPr>
        <w:softHyphen/>
        <w:t>томобиля «Форд-АА», превратив его в дрезину. Проведен</w:t>
      </w:r>
      <w:r w:rsidRPr="005E779E">
        <w:rPr>
          <w:rFonts w:ascii="Times New Roman" w:hAnsi="Times New Roman"/>
          <w:color w:val="000000" w:themeColor="text1"/>
          <w:sz w:val="16"/>
          <w:szCs w:val="16"/>
        </w:rPr>
        <w:softHyphen/>
        <w:t>ные испытания показали хорошие результаты: скорость с 15 пассажирами составляла 80 км/ч, а время перехода с автомобильных колес на железнодорожные составляло всего 20 минут. В сопроводительной записке конструкто</w:t>
      </w:r>
      <w:r w:rsidRPr="005E779E">
        <w:rPr>
          <w:rFonts w:ascii="Times New Roman" w:hAnsi="Times New Roman"/>
          <w:color w:val="000000" w:themeColor="text1"/>
          <w:sz w:val="16"/>
          <w:szCs w:val="16"/>
        </w:rPr>
        <w:softHyphen/>
        <w:t>ры писали: «При такой малой затрате времени можно до</w:t>
      </w:r>
      <w:r w:rsidRPr="005E779E">
        <w:rPr>
          <w:rFonts w:ascii="Times New Roman" w:hAnsi="Times New Roman"/>
          <w:color w:val="000000" w:themeColor="text1"/>
          <w:sz w:val="16"/>
          <w:szCs w:val="16"/>
        </w:rPr>
        <w:softHyphen/>
        <w:t>стигнуть конвейеризации в переброски войск на авто-мото-дрезинах. Машина, выезжая из казарм с войсками подъезжает к железнодорожному полотну, моментально поднимается на домкрате, одевает стальной ход, подъез</w:t>
      </w:r>
      <w:r w:rsidRPr="005E779E">
        <w:rPr>
          <w:rFonts w:ascii="Times New Roman" w:hAnsi="Times New Roman"/>
          <w:color w:val="000000" w:themeColor="text1"/>
          <w:sz w:val="16"/>
          <w:szCs w:val="16"/>
        </w:rPr>
        <w:softHyphen/>
        <w:t>жает вторая машина, обслуживающая команда садится в первую машину, уже подготовленную к отправке и уез</w:t>
      </w:r>
      <w:r w:rsidRPr="005E779E">
        <w:rPr>
          <w:rFonts w:ascii="Times New Roman" w:hAnsi="Times New Roman"/>
          <w:color w:val="000000" w:themeColor="text1"/>
          <w:sz w:val="16"/>
          <w:szCs w:val="16"/>
        </w:rPr>
        <w:softHyphen/>
        <w:t>жает, подошедшая же в свою очередь становится на рельсы и так далее. Одна за другой машины становятся на стальную паутину рельс и летят на боевые участки со ско</w:t>
      </w:r>
      <w:r w:rsidRPr="005E779E">
        <w:rPr>
          <w:rFonts w:ascii="Times New Roman" w:hAnsi="Times New Roman"/>
          <w:color w:val="000000" w:themeColor="text1"/>
          <w:sz w:val="16"/>
          <w:szCs w:val="16"/>
        </w:rPr>
        <w:softHyphen/>
        <w:t>ростью 80 км/ч. Но этого недостаточно. Нужно было сде</w:t>
      </w:r>
      <w:r w:rsidRPr="005E779E">
        <w:rPr>
          <w:rFonts w:ascii="Times New Roman" w:hAnsi="Times New Roman"/>
          <w:color w:val="000000" w:themeColor="text1"/>
          <w:sz w:val="16"/>
          <w:szCs w:val="16"/>
        </w:rPr>
        <w:softHyphen/>
        <w:t>лать «Форд» броневой машиной» (11284).</w:t>
      </w:r>
    </w:p>
    <w:p w14:paraId="46D0A359" w14:textId="77777777" w:rsidR="00E018C9" w:rsidRPr="005E779E" w:rsidRDefault="00E018C9" w:rsidP="00E018C9">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F028FB" w14:textId="77777777" w:rsidR="00E018C9" w:rsidRPr="00142305" w:rsidRDefault="00E018C9" w:rsidP="00E018C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1931 года по заданию ЭКО ОГПУ Ленинградского военного окру</w:t>
      </w:r>
      <w:r w:rsidRPr="00142305">
        <w:rPr>
          <w:rFonts w:ascii="Times New Roman" w:hAnsi="Times New Roman"/>
          <w:color w:val="0070C0"/>
          <w:sz w:val="16"/>
          <w:szCs w:val="16"/>
        </w:rPr>
        <w:softHyphen/>
        <w:t>га специальное конструкторское бюро в составе Инженеров Асафонова, Алек</w:t>
      </w:r>
      <w:r w:rsidRPr="00142305">
        <w:rPr>
          <w:rFonts w:ascii="Times New Roman" w:hAnsi="Times New Roman"/>
          <w:color w:val="0070C0"/>
          <w:sz w:val="16"/>
          <w:szCs w:val="16"/>
        </w:rPr>
        <w:softHyphen/>
        <w:t>сеева и Скворцова начало проектиро</w:t>
      </w:r>
      <w:r w:rsidRPr="00142305">
        <w:rPr>
          <w:rFonts w:ascii="Times New Roman" w:hAnsi="Times New Roman"/>
          <w:color w:val="0070C0"/>
          <w:sz w:val="16"/>
          <w:szCs w:val="16"/>
        </w:rPr>
        <w:softHyphen/>
        <w:t>вание маневренного (среднего) танка, используя опыт работ по ТГ. К осени того же года конструкторы представи</w:t>
      </w:r>
      <w:r w:rsidRPr="00142305">
        <w:rPr>
          <w:rFonts w:ascii="Times New Roman" w:hAnsi="Times New Roman"/>
          <w:color w:val="0070C0"/>
          <w:sz w:val="16"/>
          <w:szCs w:val="16"/>
        </w:rPr>
        <w:softHyphen/>
        <w:t>ли на рассмотрение несколько проектов (25010).</w:t>
      </w:r>
    </w:p>
    <w:p w14:paraId="4E60E0AD" w14:textId="77777777" w:rsidR="00E018C9" w:rsidRPr="00142305" w:rsidRDefault="00E018C9" w:rsidP="00E018C9">
      <w:pPr>
        <w:spacing w:after="0" w:line="240" w:lineRule="auto"/>
        <w:jc w:val="both"/>
        <w:rPr>
          <w:rFonts w:ascii="Times New Roman" w:hAnsi="Times New Roman"/>
          <w:color w:val="0070C0"/>
          <w:sz w:val="16"/>
          <w:szCs w:val="16"/>
        </w:rPr>
      </w:pPr>
    </w:p>
    <w:p w14:paraId="109C48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1931 в СССР прибыли оба танка Кристи (3879,4).</w:t>
      </w:r>
    </w:p>
    <w:p w14:paraId="56A13B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2647C5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1931 года, выступая на заводской партийной конференции начальник дизельного отдела ХПЗ Константин Федорович Челпан от имени коллектива отдела сообщил о том, что конструкторы-дизелисты решили начать работы по созданию быстроходного дизеля собственной конструкции. 13 января 1932 г. бюро парткома завода рассмотрело задачи в области дизелестроения. Было отмечено: «... важную роль должен сыг</w:t>
      </w:r>
      <w:r w:rsidRPr="005E779E">
        <w:rPr>
          <w:rFonts w:ascii="Times New Roman" w:hAnsi="Times New Roman"/>
          <w:color w:val="000000" w:themeColor="text1"/>
          <w:sz w:val="16"/>
          <w:szCs w:val="16"/>
        </w:rPr>
        <w:softHyphen/>
        <w:t>рать дизельный отдел в вопросе осуществления директив партии о созда</w:t>
      </w:r>
      <w:r w:rsidRPr="005E779E">
        <w:rPr>
          <w:rFonts w:ascii="Times New Roman" w:hAnsi="Times New Roman"/>
          <w:color w:val="000000" w:themeColor="text1"/>
          <w:sz w:val="16"/>
          <w:szCs w:val="16"/>
        </w:rPr>
        <w:softHyphen/>
        <w:t>нии в кратчайший срок дизельмотора для трактора и спецмашины». В принятом решении указано: «... в дизельном отделе на базе существую</w:t>
      </w:r>
      <w:r w:rsidRPr="005E779E">
        <w:rPr>
          <w:rFonts w:ascii="Times New Roman" w:hAnsi="Times New Roman"/>
          <w:color w:val="000000" w:themeColor="text1"/>
          <w:sz w:val="16"/>
          <w:szCs w:val="16"/>
        </w:rPr>
        <w:softHyphen/>
        <w:t>щего КБ создать сильный проектный отдел и сосредоточить в нем все работы по проектированию и исследованию дизель-моторов;... вести ра</w:t>
      </w:r>
      <w:r w:rsidRPr="005E779E">
        <w:rPr>
          <w:rFonts w:ascii="Times New Roman" w:hAnsi="Times New Roman"/>
          <w:color w:val="000000" w:themeColor="text1"/>
          <w:sz w:val="16"/>
          <w:szCs w:val="16"/>
        </w:rPr>
        <w:softHyphen/>
        <w:t>боты по проектированию и исследованию специального дизель-мотора». В докладе директора завода имени Коминтерна на бюро горкома партии в сентябре 1933 года о состоянии дизелестроения на заводе сказано: «...за</w:t>
      </w:r>
      <w:r w:rsidRPr="005E779E">
        <w:rPr>
          <w:rFonts w:ascii="Times New Roman" w:hAnsi="Times New Roman"/>
          <w:color w:val="000000" w:themeColor="text1"/>
          <w:sz w:val="16"/>
          <w:szCs w:val="16"/>
        </w:rPr>
        <w:softHyphen/>
        <w:t>вод поставил перед собой задачу (и в настоящее время может считать ее Почти разрешенной) — сконструировать и построить мощный быстро</w:t>
      </w:r>
      <w:r w:rsidRPr="005E779E">
        <w:rPr>
          <w:rFonts w:ascii="Times New Roman" w:hAnsi="Times New Roman"/>
          <w:color w:val="000000" w:themeColor="text1"/>
          <w:sz w:val="16"/>
          <w:szCs w:val="16"/>
        </w:rPr>
        <w:softHyphen/>
        <w:t xml:space="preserve">ходный дизель-мотор, имеющий колоссальное значение». С 1932 года Конструкторы-дизелисты завода полностью сосредоточили свои усилия На создании танкового дизеля. Дизели другого назначения, находящиеся </w:t>
      </w:r>
      <w:r w:rsidRPr="005E779E">
        <w:rPr>
          <w:rFonts w:ascii="Times New Roman" w:hAnsi="Times New Roman"/>
          <w:color w:val="000000" w:themeColor="text1"/>
          <w:sz w:val="16"/>
          <w:szCs w:val="16"/>
          <w:vertAlign w:val="superscript"/>
        </w:rPr>
        <w:t>в</w:t>
      </w:r>
      <w:r w:rsidRPr="005E779E">
        <w:rPr>
          <w:rFonts w:ascii="Times New Roman" w:hAnsi="Times New Roman"/>
          <w:color w:val="000000" w:themeColor="text1"/>
          <w:sz w:val="16"/>
          <w:szCs w:val="16"/>
        </w:rPr>
        <w:t xml:space="preserve"> разработке и в производстве завода, были переданы на другие предпри</w:t>
      </w:r>
      <w:r w:rsidRPr="005E779E">
        <w:rPr>
          <w:rFonts w:ascii="Times New Roman" w:hAnsi="Times New Roman"/>
          <w:color w:val="000000" w:themeColor="text1"/>
          <w:sz w:val="16"/>
          <w:szCs w:val="16"/>
        </w:rPr>
        <w:softHyphen/>
        <w:t>ятия отрасли дизелестроения (11504).</w:t>
      </w:r>
    </w:p>
    <w:p w14:paraId="64028B5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3FD5A2" w14:textId="77777777" w:rsidR="00E018C9" w:rsidRPr="00142305" w:rsidRDefault="00E018C9" w:rsidP="00E018C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1931 года танки Кристи М.1931, прибывшие в СССР, подверглись всестороннему изучению и испытани</w:t>
      </w:r>
      <w:r w:rsidRPr="00142305">
        <w:rPr>
          <w:rFonts w:ascii="Times New Roman" w:hAnsi="Times New Roman"/>
          <w:color w:val="0070C0"/>
          <w:sz w:val="16"/>
          <w:szCs w:val="16"/>
        </w:rPr>
        <w:softHyphen/>
        <w:t>ям (25009).</w:t>
      </w:r>
    </w:p>
    <w:p w14:paraId="34F372DC" w14:textId="77777777" w:rsidR="00E018C9" w:rsidRPr="00142305" w:rsidRDefault="00E018C9" w:rsidP="00E018C9">
      <w:pPr>
        <w:spacing w:after="0" w:line="240" w:lineRule="auto"/>
        <w:jc w:val="both"/>
        <w:rPr>
          <w:rFonts w:ascii="Times New Roman" w:hAnsi="Times New Roman"/>
          <w:color w:val="0070C0"/>
          <w:sz w:val="16"/>
          <w:szCs w:val="16"/>
        </w:rPr>
      </w:pPr>
    </w:p>
    <w:p w14:paraId="7A8A2594" w14:textId="77777777" w:rsidR="00E018C9" w:rsidRPr="00142305" w:rsidRDefault="00E018C9" w:rsidP="00E018C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1931 г. оба танка Кристи прибыли в СССР и сразу подверглись тщательным исследованиям и испытаниям. Так, танк, имевший заводской номер 2051, 4 марта 1931 г. поступил для исследований на склад – 127 АБТУ. После короткого знакомства с танком представителей УММ РККА 14 марта опытный образец прибыл в испытательный отдел, где, согласно распоряжению начальника УММ РККА, до 16 мая проводилось ознакомление с его материальной частью и демонстрация закупленной машины под руководством начальника отдела Громова и инженера танковой станции Лаврентьева. Многочисленные делегации руководящего состава РККА с конца марта и до 16 апреля знакомились с приобретенной новинкой, которая в целом произвела на них хорошее впечатление (25184).</w:t>
      </w:r>
    </w:p>
    <w:p w14:paraId="20D09FCB" w14:textId="77777777" w:rsidR="00E018C9" w:rsidRPr="00142305" w:rsidRDefault="00E018C9" w:rsidP="00E018C9">
      <w:pPr>
        <w:spacing w:after="0" w:line="240" w:lineRule="auto"/>
        <w:jc w:val="both"/>
        <w:rPr>
          <w:rFonts w:ascii="Times New Roman" w:hAnsi="Times New Roman"/>
          <w:color w:val="0070C0"/>
          <w:sz w:val="16"/>
          <w:szCs w:val="16"/>
        </w:rPr>
      </w:pPr>
    </w:p>
    <w:p w14:paraId="7E8F007D" w14:textId="77777777" w:rsidR="00E018C9" w:rsidRPr="00142305" w:rsidRDefault="00E018C9" w:rsidP="00E018C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1931-го началось производство партии в 350 37 мм танковой пушки Б-3 на заводе № 8 имени Калинина в подмосковных Мытищах.</w:t>
      </w:r>
    </w:p>
    <w:p w14:paraId="4F12C221" w14:textId="77777777" w:rsidR="00E018C9" w:rsidRPr="00142305" w:rsidRDefault="00E018C9" w:rsidP="00E018C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принятием на вооружения Т-26 Б-3 передали для установки в этот танк (в ле</w:t>
      </w:r>
      <w:r w:rsidRPr="00142305">
        <w:rPr>
          <w:rFonts w:ascii="Times New Roman" w:hAnsi="Times New Roman"/>
          <w:color w:val="0070C0"/>
          <w:sz w:val="16"/>
          <w:szCs w:val="16"/>
        </w:rPr>
        <w:softHyphen/>
        <w:t>вую башню), а МС-1 вооружили пушкой ПС-1 (37-мм Гочкиса), что создало боль</w:t>
      </w:r>
      <w:r w:rsidRPr="00142305">
        <w:rPr>
          <w:rFonts w:ascii="Times New Roman" w:hAnsi="Times New Roman"/>
          <w:color w:val="0070C0"/>
          <w:sz w:val="16"/>
          <w:szCs w:val="16"/>
        </w:rPr>
        <w:softHyphen/>
        <w:t>шое неудобство, так как башни рассчи</w:t>
      </w:r>
      <w:r w:rsidRPr="00142305">
        <w:rPr>
          <w:rFonts w:ascii="Times New Roman" w:hAnsi="Times New Roman"/>
          <w:color w:val="0070C0"/>
          <w:sz w:val="16"/>
          <w:szCs w:val="16"/>
        </w:rPr>
        <w:softHyphen/>
        <w:t>тывались под более мощную Б-3 (25009).</w:t>
      </w:r>
    </w:p>
    <w:p w14:paraId="1DAE5C9C" w14:textId="77777777" w:rsidR="00E018C9" w:rsidRPr="00142305" w:rsidRDefault="00E018C9" w:rsidP="00E018C9">
      <w:pPr>
        <w:spacing w:after="0" w:line="240" w:lineRule="auto"/>
        <w:jc w:val="both"/>
        <w:rPr>
          <w:rFonts w:ascii="Times New Roman" w:hAnsi="Times New Roman"/>
          <w:color w:val="0070C0"/>
          <w:sz w:val="16"/>
          <w:szCs w:val="16"/>
        </w:rPr>
      </w:pPr>
    </w:p>
    <w:p w14:paraId="50A866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1931 на Ижорском заводе под руководством Н.И.Дыренкова был разработан и изготовлен ба Д-8 на шасси Форд-А. Приняли на вооружение и в 1932-34 изготовили 25. Также изготовили ба Д-12 и тоже выпустили 25 (9527,297).</w:t>
      </w:r>
    </w:p>
    <w:p w14:paraId="677F30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572E2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1931 года опытно-конструкторское и испытательное бюро было переведено в Москву и разместилось на территории Московского железнодорожного ремонтного завода, сокращенно Можерез (ныне это литейно-механический завод в Люблино) (10291).</w:t>
      </w:r>
    </w:p>
    <w:p w14:paraId="735DB0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8323D3C" w14:textId="77777777" w:rsidR="00EB19FC" w:rsidRPr="005E779E" w:rsidRDefault="00EB19F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1931 г. на правительственном уровне впервые был рассмотрен вопрос об оснащении танков двигателями, работающими на тяжелом топливе (24856)</w:t>
      </w:r>
    </w:p>
    <w:p w14:paraId="4A64122B" w14:textId="77777777" w:rsidR="00EB19FC" w:rsidRPr="005E779E" w:rsidRDefault="00EB19FC" w:rsidP="000B7A6C">
      <w:pPr>
        <w:spacing w:after="0" w:line="240" w:lineRule="auto"/>
        <w:jc w:val="both"/>
        <w:rPr>
          <w:rFonts w:ascii="Times New Roman" w:hAnsi="Times New Roman"/>
          <w:color w:val="000000" w:themeColor="text1"/>
          <w:sz w:val="16"/>
          <w:szCs w:val="16"/>
        </w:rPr>
      </w:pPr>
    </w:p>
    <w:p w14:paraId="09E8AAB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началу 1931 года были изготовлены две колесные танкетки - одна на Ижорском заводе, вторая на Экспери</w:t>
      </w:r>
      <w:r w:rsidRPr="005E779E">
        <w:rPr>
          <w:rFonts w:ascii="Times New Roman" w:hAnsi="Times New Roman"/>
          <w:color w:val="000000" w:themeColor="text1"/>
          <w:sz w:val="16"/>
          <w:szCs w:val="16"/>
        </w:rPr>
        <w:softHyphen/>
        <w:t>ментальном заводе НКПС. И по конструкции, и по воору</w:t>
      </w:r>
      <w:r w:rsidRPr="005E779E">
        <w:rPr>
          <w:rFonts w:ascii="Times New Roman" w:hAnsi="Times New Roman"/>
          <w:color w:val="000000" w:themeColor="text1"/>
          <w:sz w:val="16"/>
          <w:szCs w:val="16"/>
        </w:rPr>
        <w:softHyphen/>
        <w:t>жению обе машины были очень похожи — они были изго</w:t>
      </w:r>
      <w:r w:rsidRPr="005E779E">
        <w:rPr>
          <w:rFonts w:ascii="Times New Roman" w:hAnsi="Times New Roman"/>
          <w:color w:val="000000" w:themeColor="text1"/>
          <w:sz w:val="16"/>
          <w:szCs w:val="16"/>
        </w:rPr>
        <w:softHyphen/>
        <w:t>товлены по проекту А. Рожкова. Главное их отличие заклю</w:t>
      </w:r>
      <w:r w:rsidRPr="005E779E">
        <w:rPr>
          <w:rFonts w:ascii="Times New Roman" w:hAnsi="Times New Roman"/>
          <w:color w:val="000000" w:themeColor="text1"/>
          <w:sz w:val="16"/>
          <w:szCs w:val="16"/>
        </w:rPr>
        <w:softHyphen/>
        <w:t>чалось в технологии изготовления бронекорпусов — на машине Ижорского завода он был клепаный, а на второй машине сварной (11284).</w:t>
      </w:r>
    </w:p>
    <w:p w14:paraId="3DEA026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56AB13" w14:textId="77777777" w:rsidR="00E018C9" w:rsidRPr="00142305" w:rsidRDefault="00E018C9" w:rsidP="00E018C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1931-го документацию по химическому танку Опытно-конструкторского и испытательного бюро УММ (ОКИБ), начальником которого являлся известный конструктор Николай Иванович Дыренков, передали на производство</w:t>
      </w:r>
      <w:r w:rsidRPr="00142305">
        <w:rPr>
          <w:rFonts w:ascii="Times New Roman" w:hAnsi="Times New Roman"/>
          <w:color w:val="0070C0"/>
          <w:sz w:val="16"/>
          <w:szCs w:val="16"/>
          <w:shd w:val="clear" w:color="auto" w:fill="FFFFFF"/>
        </w:rPr>
        <w:t xml:space="preserve"> </w:t>
      </w:r>
      <w:r w:rsidRPr="00142305">
        <w:rPr>
          <w:rFonts w:ascii="Times New Roman" w:hAnsi="Times New Roman"/>
          <w:color w:val="0070C0"/>
          <w:sz w:val="16"/>
          <w:szCs w:val="16"/>
        </w:rPr>
        <w:t>на завод МОЖЕРЕЗ (будущий Люблинский литейно-механический завод), которому предстояло собрать четыре опытных образца. Химический танк получил обозначение Д-15.</w:t>
      </w:r>
    </w:p>
    <w:p w14:paraId="5FEDEE36" w14:textId="77777777" w:rsidR="00E018C9" w:rsidRPr="00142305" w:rsidRDefault="00E018C9" w:rsidP="00E018C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Танк Д-15 являлся частью крупной программы строительства бронетехники. В октябре 1930 г. Реввоенсовет постановил разработать и испытать около двух десятков бронемашин разных классов на базе серийных тракторов отечественного производства. Четыре подобных образца разрабатывались в ОКИБ УММ. Машины с индексами Д-10 и Д-11 являлись «танками» с пушечно-пулеметным вооружением; Д-14 был десантным танком, а Д-15 представлял собой «танк химического нападения».</w:t>
      </w:r>
    </w:p>
    <w:p w14:paraId="45D8868D" w14:textId="77777777" w:rsidR="00E018C9" w:rsidRPr="00142305" w:rsidRDefault="00E018C9" w:rsidP="00E018C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большому сожалению, ни одного фотоснимка химического танка Д-15 не сохранилось. Однако доступные данные о линейке позволяют предполагать, что танки были унифицированы друг с другом. Химический Д-15 вполне мог иметь конструктивное сходство с пушечно-пулеметным Д-10.</w:t>
      </w:r>
    </w:p>
    <w:p w14:paraId="1EAEAF82" w14:textId="77777777" w:rsidR="00E018C9" w:rsidRPr="00142305" w:rsidRDefault="00E018C9" w:rsidP="00E018C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качестве базы для Д-10 и Д-15 был выбран гусеничный трактор «Коммунар 9ГУ», выпускавшийся Харьковским паровозостроительным заводом и широко применявшийся в народном хозяйстве. Проекты ОКИБ предусматривали удаление с трактора всего ненужного оснащения и установку новых агрегатов.</w:t>
      </w:r>
    </w:p>
    <w:p w14:paraId="2E8FD15D" w14:textId="77777777" w:rsidR="00E018C9" w:rsidRPr="00142305" w:rsidRDefault="00E018C9" w:rsidP="00E018C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Для пушечного танка Д-10 и, вероятно, для химического Д-15 был разработан броневой корпус капотной компоновки с общим обитаемым отсеком – он выполнял функции отделения управления и боевого отделения. Корпус собирался на заклепках из броневых листов. Лобовая проекция получила противопульную защиту толщиной 16 мм, борта состояли из 11-мм листов. Наименьшую защиту давала 6-мм крыша.</w:t>
      </w:r>
    </w:p>
    <w:p w14:paraId="5E5FAD08" w14:textId="77777777" w:rsidR="00E018C9" w:rsidRPr="00142305" w:rsidRDefault="00E018C9" w:rsidP="00E018C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Д-10 кожух моторного отсека представлял собой короб с люками для доступа внутрь и жалюзи на лобовой стенке. Обитаемая часть корпуса имела увеличенную ширину с полноценными надгусеничными нишами. Для монтажа пушки на Д-10 имелась кормовая установка, размещенная над L-образной кормой корпуса. Использовалась ли такая корма на Д-15 – неясно (25586).</w:t>
      </w:r>
    </w:p>
    <w:p w14:paraId="177DFA5A" w14:textId="77777777" w:rsidR="00E018C9" w:rsidRPr="00142305" w:rsidRDefault="00E018C9" w:rsidP="00E018C9">
      <w:pPr>
        <w:spacing w:after="0" w:line="240" w:lineRule="auto"/>
        <w:jc w:val="both"/>
        <w:rPr>
          <w:rFonts w:ascii="Times New Roman" w:hAnsi="Times New Roman"/>
          <w:color w:val="0070C0"/>
          <w:sz w:val="16"/>
          <w:szCs w:val="16"/>
        </w:rPr>
      </w:pPr>
    </w:p>
    <w:p w14:paraId="4B0B925E" w14:textId="77777777" w:rsidR="00E018C9" w:rsidRPr="00142305" w:rsidRDefault="00E018C9" w:rsidP="00E018C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1931 года конструк</w:t>
      </w:r>
      <w:r w:rsidRPr="00142305">
        <w:rPr>
          <w:rFonts w:ascii="Times New Roman" w:hAnsi="Times New Roman"/>
          <w:color w:val="0070C0"/>
          <w:sz w:val="16"/>
          <w:szCs w:val="16"/>
        </w:rPr>
        <w:softHyphen/>
        <w:t>тор Кристи получил заказ на изготовление се</w:t>
      </w:r>
      <w:r w:rsidRPr="00142305">
        <w:rPr>
          <w:rFonts w:ascii="Times New Roman" w:hAnsi="Times New Roman"/>
          <w:color w:val="0070C0"/>
          <w:sz w:val="16"/>
          <w:szCs w:val="16"/>
        </w:rPr>
        <w:softHyphen/>
        <w:t>ми колесно-гусеничных танков для американской армии.</w:t>
      </w:r>
    </w:p>
    <w:p w14:paraId="15FAF1C0" w14:textId="77777777" w:rsidR="00E018C9" w:rsidRPr="00142305" w:rsidRDefault="00E018C9" w:rsidP="00E018C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Американский конструктор не до конца выполнил ус</w:t>
      </w:r>
      <w:r w:rsidRPr="00142305">
        <w:rPr>
          <w:rFonts w:ascii="Times New Roman" w:hAnsi="Times New Roman"/>
          <w:color w:val="0070C0"/>
          <w:sz w:val="16"/>
          <w:szCs w:val="16"/>
        </w:rPr>
        <w:softHyphen/>
        <w:t>ловия договора — танки, отправленные в СССР не имели башен, а комплект чертежей был не полным. Поэтому при расчетах «Амторга» с Кристи удержали 25000 долларов. Это обстоятельство привело к «охлаждению» отношений между советскими представителями и американским конструктором — он отказался от поездки в СССР, а факт его приглашения использовал для дав</w:t>
      </w:r>
      <w:r w:rsidRPr="00142305">
        <w:rPr>
          <w:rFonts w:ascii="Times New Roman" w:hAnsi="Times New Roman"/>
          <w:color w:val="0070C0"/>
          <w:sz w:val="16"/>
          <w:szCs w:val="16"/>
        </w:rPr>
        <w:softHyphen/>
        <w:t>ления на Госдепартамент САСШ</w:t>
      </w:r>
    </w:p>
    <w:p w14:paraId="5718FECF" w14:textId="77777777" w:rsidR="00E018C9" w:rsidRPr="00142305" w:rsidRDefault="00E018C9" w:rsidP="00E018C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При этом он пы</w:t>
      </w:r>
      <w:r w:rsidRPr="00142305">
        <w:rPr>
          <w:rFonts w:ascii="Times New Roman" w:hAnsi="Times New Roman"/>
          <w:color w:val="0070C0"/>
          <w:sz w:val="16"/>
          <w:szCs w:val="16"/>
        </w:rPr>
        <w:softHyphen/>
        <w:t>тался получить недоплаченные ему 25000 долларов любыми средствами. При этом он не выполнял пункты дого</w:t>
      </w:r>
      <w:r w:rsidRPr="00142305">
        <w:rPr>
          <w:rFonts w:ascii="Times New Roman" w:hAnsi="Times New Roman"/>
          <w:color w:val="0070C0"/>
          <w:sz w:val="16"/>
          <w:szCs w:val="16"/>
        </w:rPr>
        <w:softHyphen/>
        <w:t>вора о предоставлении всех изменений, вносимых в конструкцию танка (25009).</w:t>
      </w:r>
    </w:p>
    <w:p w14:paraId="74F41D8B" w14:textId="77777777" w:rsidR="00E018C9" w:rsidRPr="00142305" w:rsidRDefault="00E018C9" w:rsidP="00E018C9">
      <w:pPr>
        <w:spacing w:after="0" w:line="240" w:lineRule="auto"/>
        <w:jc w:val="both"/>
        <w:rPr>
          <w:rFonts w:ascii="Times New Roman" w:hAnsi="Times New Roman"/>
          <w:color w:val="0070C0"/>
          <w:sz w:val="16"/>
          <w:szCs w:val="16"/>
        </w:rPr>
      </w:pPr>
    </w:p>
    <w:p w14:paraId="541E4F3D" w14:textId="77777777" w:rsidR="00E018C9" w:rsidRPr="00142305" w:rsidRDefault="00E018C9" w:rsidP="00E018C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1931 года было опытно-конструктор</w:t>
      </w:r>
      <w:r w:rsidRPr="00142305">
        <w:rPr>
          <w:rFonts w:ascii="Times New Roman" w:hAnsi="Times New Roman"/>
          <w:color w:val="0070C0"/>
          <w:sz w:val="16"/>
          <w:szCs w:val="16"/>
        </w:rPr>
        <w:softHyphen/>
        <w:t>ское и испытательное бюро Дыренкова было переведено в Москву и там велась окончательная сборка танка Д-4. КБ разме</w:t>
      </w:r>
      <w:r w:rsidRPr="00142305">
        <w:rPr>
          <w:rFonts w:ascii="Times New Roman" w:hAnsi="Times New Roman"/>
          <w:color w:val="0070C0"/>
          <w:sz w:val="16"/>
          <w:szCs w:val="16"/>
        </w:rPr>
        <w:softHyphen/>
        <w:t>стилось на территории Московского железнодорожного ремонтного завода, сокращенно Можерез (ныне это литей</w:t>
      </w:r>
      <w:r w:rsidRPr="00142305">
        <w:rPr>
          <w:rFonts w:ascii="Times New Roman" w:hAnsi="Times New Roman"/>
          <w:color w:val="0070C0"/>
          <w:sz w:val="16"/>
          <w:szCs w:val="16"/>
        </w:rPr>
        <w:softHyphen/>
        <w:t>но-механический завод в Люблино). Сначала срок поступления танка на испытания был определен 15 сентября 1930 года (25010).</w:t>
      </w:r>
    </w:p>
    <w:p w14:paraId="29D2A6D0" w14:textId="77777777" w:rsidR="00E018C9" w:rsidRPr="00142305" w:rsidRDefault="00E018C9" w:rsidP="00E018C9">
      <w:pPr>
        <w:spacing w:after="0" w:line="240" w:lineRule="auto"/>
        <w:jc w:val="both"/>
        <w:rPr>
          <w:rFonts w:ascii="Times New Roman" w:hAnsi="Times New Roman"/>
          <w:color w:val="0070C0"/>
          <w:sz w:val="16"/>
          <w:szCs w:val="16"/>
        </w:rPr>
      </w:pPr>
    </w:p>
    <w:p w14:paraId="11563043" w14:textId="77777777" w:rsidR="00E018C9" w:rsidRPr="00142305" w:rsidRDefault="00E018C9" w:rsidP="00E018C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1931 года на основе полученного опыта и матери</w:t>
      </w:r>
      <w:r w:rsidRPr="00142305">
        <w:rPr>
          <w:rFonts w:ascii="Times New Roman" w:hAnsi="Times New Roman"/>
          <w:color w:val="0070C0"/>
          <w:sz w:val="16"/>
          <w:szCs w:val="16"/>
        </w:rPr>
        <w:softHyphen/>
        <w:t>алов КБ Гроте, по зада</w:t>
      </w:r>
      <w:r w:rsidRPr="00142305">
        <w:rPr>
          <w:rFonts w:ascii="Times New Roman" w:hAnsi="Times New Roman"/>
          <w:color w:val="0070C0"/>
          <w:sz w:val="16"/>
          <w:szCs w:val="16"/>
        </w:rPr>
        <w:softHyphen/>
        <w:t>нию ЭКО ОГПУ Ленинградского военного округа, специальное конструкторское бюро в составе инженеров Асафонова, Алексеева и Скворцова начало проектирование манев</w:t>
      </w:r>
      <w:r w:rsidRPr="00142305">
        <w:rPr>
          <w:rFonts w:ascii="Times New Roman" w:hAnsi="Times New Roman"/>
          <w:color w:val="0070C0"/>
          <w:sz w:val="16"/>
          <w:szCs w:val="16"/>
        </w:rPr>
        <w:softHyphen/>
        <w:t>ренного (среднего) танка. К осени того же года конструкторы представили на рассмо</w:t>
      </w:r>
      <w:r w:rsidRPr="00142305">
        <w:rPr>
          <w:rFonts w:ascii="Times New Roman" w:hAnsi="Times New Roman"/>
          <w:color w:val="0070C0"/>
          <w:sz w:val="16"/>
          <w:szCs w:val="16"/>
        </w:rPr>
        <w:softHyphen/>
        <w:t>трение несколько проектов (25014).</w:t>
      </w:r>
    </w:p>
    <w:p w14:paraId="328644BF" w14:textId="77777777" w:rsidR="00E018C9" w:rsidRPr="00142305" w:rsidRDefault="00E018C9" w:rsidP="00E018C9">
      <w:pPr>
        <w:spacing w:after="0" w:line="240" w:lineRule="auto"/>
        <w:jc w:val="both"/>
        <w:rPr>
          <w:rFonts w:ascii="Times New Roman" w:hAnsi="Times New Roman"/>
          <w:color w:val="0070C0"/>
          <w:sz w:val="16"/>
          <w:szCs w:val="16"/>
        </w:rPr>
      </w:pPr>
    </w:p>
    <w:p w14:paraId="556AED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1931 г. Политбюро ЦК ВКП (б) приняло секретную Танковую программу, согласно которой 20—25% производственных мощностей Нижегородского автозавода отводилось для выпуска танкеток с мотором от грузового Форда. В следующем году, чтобы сэкономить валюту, большевистские руководители страны решили ограничиться закупками заводского оборудования.</w:t>
      </w:r>
    </w:p>
    <w:p w14:paraId="022CF1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 бизнеса в СССР компания Форда понесла убытки — по минимальным оценкам в 578 000 долларов, но эта цифра не идет ни в какое сравнение с многомиллионными потерями от Великой депрессии и неблагоприятной ситуации на европейских рынках.</w:t>
      </w:r>
    </w:p>
    <w:p w14:paraId="1148B5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Бизнес компании Форда в советской России в 1920—1930-е гг. можно расценить как помощь, которая если и не приносила прибыль, то способствовала, по убеждению основателя фирмы, всеобщему улучшению жизни. Американский бизнес, считал Форд, от этого только выигрывал, поскольку бедные и экономически неразвитые страны, зависящие от импорта готовой продукции, не могут равноправно участвовать в масштабных деловых отношениях (11506).</w:t>
      </w:r>
    </w:p>
    <w:p w14:paraId="2D5BA1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F4F5250"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1931 году кредиты для ХАСЗ были задержаны: объяснили это тем, что завод пока еще не нужен. Подумывали даже о роспуске с таким трудом собран-ных и обученных специалистов, полной остановке предприятия...</w:t>
      </w:r>
    </w:p>
    <w:p w14:paraId="1115A45A"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 в этот момент возникла идея начать производство мотоциклов. Состоялось техническое совещание, созванное с согласия ВСНХ УССР. Инициативу под-держали в "верхах". Выбрали тип машины, наиболее отвечающей насущным требованиям, и нача-ли работы (11602).</w:t>
      </w:r>
    </w:p>
    <w:p w14:paraId="064EC9A5"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9A74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1931 г. провели работы по организации испытательной базы НАМИ: обследовали территорию, на которой возможно сооружение спецдорог, подъемов и прочего, необходимого для полноценных испытаний автотехники. В феврале 1933, по предварительному решению, институту отвели участок для испытательной станции на землях подмосковных совхозов «Машкино» и «Соколове», расположенный в 7,5 км от станции Химки и в 3,5 км от Ленинградского шоссе. На нем уже имелись небольшие помещения механических мастерских и жилой поселок на несколько десятков семей, а на реке Сходня стояла гидроэлектростанция. Однако окончательного разрешения на отвод земельного участка под полигон так и не получили из-за непосредственной близости к Москве. В конце 1931 г. первая испытательная станция прекратила свою работу.</w:t>
      </w:r>
    </w:p>
    <w:p w14:paraId="1B6941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Первые испытания автомобилей сотрудники НАМИ проводили на улицах Москвы и пригородных дорогах. В те годы городские улицы были мало приспособлены для автомобильного движения. Садовое кольцо имело булыжную мостовую, пересекаемую многочисленными трамвайными путями, регулярное автобусное движение отсутствовало. Так было до начала реконструкции столицы. В ту пору испытания автомобилей на надежность и долговечность проводились на участках Угличского и Бежецкого шоссе, имевших булыжное покрытие. Для испытания на проходимость по грунтовым дорогам и бездорожью использовались участки полевых, лесных и проселочных дорог, часть которых получила собственные названия «Петля НАМИ», «Петля Крживицкого», установившего этот маршрут.</w:t>
      </w:r>
    </w:p>
    <w:p w14:paraId="30004F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июне 1936 г. вышел приказ народного комиссара тяжелой промышленности Г.К. Орджоникидзе, в котором устанавливались задачи института при испытаниях новых моделей автомобилей: «НАТИ представить свои соображения и смету по постройке Центрального испытательного полигона». Инженер А. А. Крживицкий, патриарх испытаний, подготовил на 5 страницах «Соображения НАТИ по вопросу о Центральном испытательном полигоне автотракторной промышленности» с приложением на 45 страницах «Проектного задания Центрального испытательного полигона ГУТАП». К концу года был подобран участок для полигона в районе села Павшино между Волоколамским и Пятницким шоссе в 17-20 км от института. ЗИС также проработал проектное задание для создания заводского автодрома с целью обкатки автомобилей. Чтобы не строить двух полигонов, НАМИ согласился на включение функций обкатки новых автомобилей, полагая при этом, что обкатка, зависящая от несовершенства продукции, является временной мерой. Однако для выполнения технологических задач полигон должен был располагаться на территории, принадлежащей заводу в районе Чертаново-Красное и прилегающей к южной окраине Москвы. Трудности с отводом этого участка, по плану реконструкции Москвы частично попадавшего в черту города, стали одной из причин задержки решения о строительстве полигона. В 1938 г. были проведены предварительные изыскания на этом участке. Однако из-за отсутствия ассигнований дальнейшие работы здесь не проводились (11835).</w:t>
      </w:r>
    </w:p>
    <w:p w14:paraId="16ED94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368F5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1931 г. правительством принято решение о строительстве верфи деревянного катеростроения Морпогранохраны ОГПУ для выпуска катеров ГК. По решению Ленгорисполкома № 021-38 от 23.02.1931 г. для строительства верфи был выделен участок земли на Петровском острове за фабрикой «Канат», 5.07.1931 г. Госпланом были выделены фонды на строительство. Проект верфи разработан в ОКТБ-2 НКВД. Верфь вступила в строй 23.02.1933г., 21.03.1933г. на верфи заложен первый катер типа «ГК» («габаритный катер») (официально открыта 1.05.1933г.). Всего было предусмотрено 16 стапельных мест для постройки катеров. В 1934г. верфь передана в ведение НКВД.</w:t>
      </w:r>
      <w:r w:rsidRPr="005E779E">
        <w:rPr>
          <w:rFonts w:ascii="Times New Roman" w:hAnsi="Times New Roman"/>
          <w:color w:val="000000" w:themeColor="text1"/>
          <w:sz w:val="16"/>
          <w:szCs w:val="16"/>
          <w:vertAlign w:val="superscript"/>
        </w:rPr>
        <w:t>131</w:t>
      </w:r>
      <w:r w:rsidRPr="005E779E">
        <w:rPr>
          <w:rFonts w:ascii="Times New Roman" w:hAnsi="Times New Roman"/>
          <w:color w:val="000000" w:themeColor="text1"/>
          <w:sz w:val="16"/>
          <w:szCs w:val="16"/>
        </w:rPr>
        <w:t xml:space="preserve"> В начале 1939г. верфь переименована в завод № 5 НКВД (Завод № 5 НКВД, НКСП, МСП, Государственная судостроительная верфь ОГПУ, Ленинградский Приморский завод (ЛПЗ) МСП, ОАО «Судостроительная фирма (СФ) «Алмаз» /г. Ленинград/ /197110 г. Санкт-Петербург Петровский пр., 26 тел. 235-51-48). В 03.1941 г. завод № 5 передан из НКВД в НКСП.</w:t>
      </w:r>
    </w:p>
    <w:p w14:paraId="5CAEBB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Бывшая верфь Золотова преобразована в Государственную судостроительную мастерскую для постройки пограничных судов и стала отделением верфи Морпогранохраны ОГПУ. В 1931 г. на строящейся верфи по инициативе Д.Л. Блинова организовано собственное КБ.</w:t>
      </w:r>
    </w:p>
    <w:p w14:paraId="366828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пост. СТО № 25 от 1937г. на верфь «для обеспечения производства верфи в военное время» возложена постройка деревянных торпедных катеров.</w:t>
      </w:r>
    </w:p>
    <w:p w14:paraId="54E2CB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1941 г. строительство верфи было завершено. В ее составе цехи: судосборочный (стапельный, площадь 4800 м</w:t>
      </w:r>
      <w:r w:rsidRPr="005E779E">
        <w:rPr>
          <w:rFonts w:ascii="Times New Roman" w:hAnsi="Times New Roman"/>
          <w:color w:val="000000" w:themeColor="text1"/>
          <w:sz w:val="16"/>
          <w:szCs w:val="16"/>
          <w:vertAlign w:val="superscript"/>
        </w:rPr>
        <w:t>2</w:t>
      </w:r>
      <w:r w:rsidRPr="005E779E">
        <w:rPr>
          <w:rFonts w:ascii="Times New Roman" w:hAnsi="Times New Roman"/>
          <w:color w:val="000000" w:themeColor="text1"/>
          <w:sz w:val="16"/>
          <w:szCs w:val="16"/>
        </w:rPr>
        <w:t>), деревообрабатывающий, монтажно-сдаточный (840 м</w:t>
      </w:r>
      <w:r w:rsidRPr="005E779E">
        <w:rPr>
          <w:rFonts w:ascii="Times New Roman" w:hAnsi="Times New Roman"/>
          <w:color w:val="000000" w:themeColor="text1"/>
          <w:sz w:val="16"/>
          <w:szCs w:val="16"/>
          <w:vertAlign w:val="superscript"/>
        </w:rPr>
        <w:t>2</w:t>
      </w:r>
      <w:r w:rsidRPr="005E779E">
        <w:rPr>
          <w:rFonts w:ascii="Times New Roman" w:hAnsi="Times New Roman"/>
          <w:color w:val="000000" w:themeColor="text1"/>
          <w:sz w:val="16"/>
          <w:szCs w:val="16"/>
        </w:rPr>
        <w:t>), механический, кузнечный, литейная мастерская.</w:t>
      </w:r>
    </w:p>
    <w:p w14:paraId="1B9F8C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начала войны начаты работы по модернизации катеров МО-2 и МО-4 для условий военного времени.</w:t>
      </w:r>
    </w:p>
    <w:p w14:paraId="52EBE6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НКСП № 185 от 12.07.1941 г. часть завода (177 чел.) эвакуирована на завод № 640, затем - на заводы № 345 НКСП и Судоверфь им. Кирова НКРП (Астрахань); всего эвакуировано 405 чел. Основная часть завода продолжила работу в Ленинграде. 31.05.1944г. завод награжден орденом Трудового Красного Знамени.</w:t>
      </w:r>
    </w:p>
    <w:p w14:paraId="3EF021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Наряду со строительством новых выполнялся ремонт катеров, поврежденных в боях. Пост. ГКО № 473 от 13.08.1941 г. заводу предписано построить для флота в 1941 г. 30 торпедных катеров. Фактически в 1941 г. построено 3 катера и 7 переоборудовано в вариант малого охотника МО-ДЗ, в 1943г. построено 43 катера. За годы войны отремонтировано около 400 катеров.</w:t>
      </w:r>
    </w:p>
    <w:p w14:paraId="1D503D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 1946г. завод № 5 - в ведении МСП. В 1966г. переименован в ЛПЗ. По пр. МСП № 0299 от 1.06.1970 г. завод вошел в состав Производственно-технологического объединения (с 1974г. - ПО) «Алмаз» в качестве площадки № 1 (Петровской площадки). В 1990 г. из состава ПО вышло ЦМКБ «Алмаз», и объединение переименовано в </w:t>
      </w:r>
      <w:r w:rsidRPr="005E779E">
        <w:rPr>
          <w:rFonts w:ascii="Times New Roman" w:hAnsi="Times New Roman"/>
          <w:color w:val="000000" w:themeColor="text1"/>
          <w:sz w:val="16"/>
          <w:szCs w:val="16"/>
          <w:lang w:val="en-US"/>
        </w:rPr>
        <w:t>JICO</w:t>
      </w:r>
      <w:r w:rsidRPr="005E779E">
        <w:rPr>
          <w:rFonts w:ascii="Times New Roman" w:hAnsi="Times New Roman"/>
          <w:color w:val="000000" w:themeColor="text1"/>
          <w:sz w:val="16"/>
          <w:szCs w:val="16"/>
        </w:rPr>
        <w:t>, а с 1.10.1991 г. - СО «Алмаз». 20.03.1991 г. объединение преобразовано в СФ «Алмаз».</w:t>
      </w:r>
    </w:p>
    <w:p w14:paraId="2A5181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1.04.1956г. пр. № 037 от 16.02.1956г. цех № 6 завода передан созданному ЦКБ-5 в качестве филиала. В 1958г. действовал филиал завода № 5 на Феодосийском ССЗ «Море».</w:t>
      </w:r>
      <w:r w:rsidRPr="005E779E">
        <w:rPr>
          <w:rFonts w:ascii="Times New Roman" w:hAnsi="Times New Roman"/>
          <w:color w:val="000000" w:themeColor="text1"/>
          <w:sz w:val="16"/>
          <w:szCs w:val="16"/>
          <w:vertAlign w:val="superscript"/>
        </w:rPr>
        <w:t>3</w:t>
      </w:r>
    </w:p>
    <w:p w14:paraId="13E1CB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ПСМ № 2521-1213сс от 29.12.1954г. начато строительство опытной серии малого охотника пр. 199.</w:t>
      </w:r>
    </w:p>
    <w:p w14:paraId="584858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1950-х г. для производства стальных ракетных катеров пр. 205 проведена реконструкция завода (производство деревянных катеров сохранено). Организован корпусообрабатывающий цех, участки химической очистки и пассивирования металла, построена новая трансформаторная подстанция. Переоборудован эллинг № 3, там организованы участки узловой и секционной сборки. Рядом с эллингом был вырыт ковш, соединенный с акваторией Малой Невы, и в нем построен новый поперечный слип. С 1961 г. начата серийная постройка катеров пр. 205.</w:t>
      </w:r>
    </w:p>
    <w:p w14:paraId="6A8724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распоряжением правительства № 402Р от 10.03.1964г. для строительства малых ракетных кораблей (МРК) пр. 1234 проведена очередная реконструкция завода. Прекращено строительство деревянных катеров, полностью переоборудован эллинг № 1. Для спуска МРК спроектирован (ГСПИ-2) комплекс гидротехнических сооружений, включавший причал, спусковой передаточный док пр. 960 грузоподъемностью 1000 т, достроечную набережную. В 1966г. построен новый двухпролетный цех корпусообработки</w:t>
      </w:r>
    </w:p>
    <w:p w14:paraId="5D9F98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1970-х г. завод специализировался на постройке головных образцов заказов с целью отработки технологии.</w:t>
      </w:r>
    </w:p>
    <w:p w14:paraId="4EA44D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1980-е г. на заводе начато строительство эллинга для постройки экранопланов, закончено не было.</w:t>
      </w:r>
    </w:p>
    <w:p w14:paraId="103AFF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1.07.1993г. в результате акционирования предприятие разделено на АООТ «СФ «Алмаз» (площадка № 1) и МЗ «Алмаз» (площадка № 2). 12.07.1996г. АООТ преобразовано в ОАО «СФ «Алмаз». Входило в состав ОАО ОМЗ (2003г.), ГК МНП (2004г.). В 08.2005г. предприятие продано Л. Грабовцу, в 07.2006г. продано ПО «Ленстройматериалы». В 02.2007г. планировалось слияние СФ «Алмаз» с МЗ «Алмаз».</w:t>
      </w:r>
    </w:p>
    <w:p w14:paraId="427528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По решению правительства № 22-р от 9.01.2004г. вошло в перечень стратегических предприятий.</w:t>
      </w:r>
    </w:p>
    <w:p w14:paraId="239DCC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1990-х г. в порядке конверсии производства были спроектированы и изготовлены рассадопосадочные машины для посадки капусты. В 1990-е г. освоено производство крейсерских яхт. Выпускались также изделия для аэрокосмической отрасли (устройства для транспортировки частей КА к местам старта), оборудование для АЭС.</w:t>
      </w:r>
    </w:p>
    <w:p w14:paraId="77AAB7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концу 1990-х г. было завершено техническое перевооружение производства. Цехи близкой направленности были объединены в отдельные производства. В 2000 г. введен в эксплуатацию новый эллинг площадью 9 тыс. м</w:t>
      </w:r>
      <w:r w:rsidRPr="005E779E">
        <w:rPr>
          <w:rFonts w:ascii="Times New Roman" w:hAnsi="Times New Roman"/>
          <w:color w:val="000000" w:themeColor="text1"/>
          <w:sz w:val="16"/>
          <w:szCs w:val="16"/>
          <w:vertAlign w:val="superscript"/>
        </w:rPr>
        <w:t>2</w:t>
      </w:r>
      <w:r w:rsidRPr="005E779E">
        <w:rPr>
          <w:rFonts w:ascii="Times New Roman" w:hAnsi="Times New Roman"/>
          <w:color w:val="000000" w:themeColor="text1"/>
          <w:sz w:val="16"/>
          <w:szCs w:val="16"/>
        </w:rPr>
        <w:t>. В составе предприятия (2000-е): производства: корпусообрабатывающее, сборочно-сварочное, стапельно- монтажное (11 стапельных дорожек), достроечно-сдаточное, машиностроительное; 2 эллинга (58х 150 м); достроечная набережная (250 м); два плавучих дока (грузоподъемность 1000-2500 т и 1500-3500 т); Центр информационных технологий (ЦИТ).</w:t>
      </w:r>
    </w:p>
    <w:p w14:paraId="6B5D68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 к 2005г. построено более 1000 кораблей и катеров.</w:t>
      </w:r>
    </w:p>
    <w:p w14:paraId="7970FD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Имелось Московское представительство (зам. директора (2006г.)- И. Вишняков).</w:t>
      </w:r>
    </w:p>
    <w:p w14:paraId="7EB907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Площадь: территории (2006г.)- 16,5 га; застройки (2006г.)- около 50 тыс. м</w:t>
      </w:r>
      <w:r w:rsidRPr="005E779E">
        <w:rPr>
          <w:rFonts w:ascii="Times New Roman" w:hAnsi="Times New Roman"/>
          <w:color w:val="000000" w:themeColor="text1"/>
          <w:sz w:val="16"/>
          <w:szCs w:val="16"/>
          <w:vertAlign w:val="superscript"/>
        </w:rPr>
        <w:t>2</w:t>
      </w:r>
      <w:r w:rsidRPr="005E779E">
        <w:rPr>
          <w:rFonts w:ascii="Times New Roman" w:hAnsi="Times New Roman"/>
          <w:color w:val="000000" w:themeColor="text1"/>
          <w:sz w:val="16"/>
          <w:szCs w:val="16"/>
        </w:rPr>
        <w:t>; производственная (2009г.)- 30,4 тыс. м</w:t>
      </w:r>
      <w:r w:rsidRPr="005E779E">
        <w:rPr>
          <w:rFonts w:ascii="Times New Roman" w:hAnsi="Times New Roman"/>
          <w:color w:val="000000" w:themeColor="text1"/>
          <w:sz w:val="16"/>
          <w:szCs w:val="16"/>
          <w:vertAlign w:val="superscript"/>
        </w:rPr>
        <w:t>2</w:t>
      </w:r>
      <w:r w:rsidRPr="005E779E">
        <w:rPr>
          <w:rFonts w:ascii="Times New Roman" w:hAnsi="Times New Roman"/>
          <w:color w:val="000000" w:themeColor="text1"/>
          <w:sz w:val="16"/>
          <w:szCs w:val="16"/>
        </w:rPr>
        <w:t>.</w:t>
      </w:r>
    </w:p>
    <w:p w14:paraId="1B5E3C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Численность персонала (06.1941 г.)- 2845 чел., (12.1941 г.)- 730 чел., (2009г.)- более 1000 чел.</w:t>
      </w:r>
    </w:p>
    <w:p w14:paraId="0934C6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Владелец (08.2005г.-)- Л.Г. Грабовец.</w:t>
      </w:r>
    </w:p>
    <w:p w14:paraId="48AF1B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 (1932-33г.)- Д.Л. Блинов, (1933-34г.)- А.В. Крюков, (1934г.)- М.А. Цикановский, (1935-37г.)- Ф.Н. Глушко, (05.1937г.-)- Е.Я. Локшин. Директор (-1949г.)- Е.Я. Локшин, (1949-56г.)- И.Д. Яблоков, (1956-67г.)- В.Д. Колечицкий, (1967-70 г.)- Ю.П. Кузьмин. Гендиректор (1970-71 г.)- Е.И. Юхнин, (1972-76г.)- Ю.Г. Полухин, (1976- 86г.)- В.К. Косенков, (1986-2001 г.)- А.П. Королев, (2001-07г.-)- Л.Г. Грабовец.</w:t>
      </w:r>
    </w:p>
    <w:p w14:paraId="00AC93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Технический директор (2005г.)- В. Демченко. Директор по маркетингу (2006г.)- С. Галиченко.</w:t>
      </w:r>
    </w:p>
    <w:p w14:paraId="77AF7C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инженер (1933г.)- В.Е. Бурачек, (1941 г.)- И.К. Силин, (1944г.)- А.Ф. Симин, (1970-е)- А.А. Пономарев.</w:t>
      </w:r>
    </w:p>
    <w:p w14:paraId="223D01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Начальники цехов: (2000 г.)- М.С. Каримова.</w:t>
      </w:r>
    </w:p>
    <w:p w14:paraId="197B07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строители: (1943-45г.)- А.Д. Симин, (1957г.)- Н.И. Мартынычев.</w:t>
      </w:r>
    </w:p>
    <w:p w14:paraId="1FD378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Строители судов: (ВОВ)- Л.Н. Одинцов, (07.1941 г.)- А.А. Тимофеев, (1967г.)- Б.П. Дитятьев (пр. 1234), (1970- е&gt; И.И. Костинский, (1970-е)- В.И. Мерцалов, (1970-е)- В.И. Сибирцев, (1970-е)- М.И. Тузов, (1970-е)- М.И. Украинский.</w:t>
      </w:r>
    </w:p>
    <w:p w14:paraId="0EBCDF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Производство: катера: морской «ГК» ПК-110 (1933-34)- 16, представительский ГК-4 (1941)- 1; торпедные: ДТК (1936-)- 3, Д-2 (1939)- 1, Д-3 (пр. П-19, 1939-44)- 67, Д-4 (1941-, не достроен), пр. ТД-200 (1946)- 1, ТД- 200бис (1947-52)- 168; сборка американских катеров А-1 «Воспер» (1944-47)- 14 и А-3 «ЭЛКО» (1944-47)- 29; пр. 183 (1949-60)- 361 (вместе с заводами 602, 640), пр. 183ТК (1956-57)- 25, представительский пр. 183Ш (1960-е); пр. 206М (1970-76)- 24 (вместе с заводами 341, 363 и 602); сторожевые (малые охотники): II серии МО-2 (1934- 35)- 32, IV серии МО-4 (1936-41)- 228, МО-ДЗ (1942-43-)- 46; пр. ПП-19-0 (1943), ПП-19-ОК (1944-45)- всего 46; малый охотник пр. 199 (1954-55)- 52; тральщик, сторожевик КМ-2 и КМ-4 (-1941-45)- 207; БК-2 (1941)- 6; десантный К-ЗИС-5 (1941-45)- 128;</w:t>
      </w:r>
      <w:r w:rsidRPr="005E779E">
        <w:rPr>
          <w:rFonts w:ascii="Times New Roman" w:hAnsi="Times New Roman"/>
          <w:color w:val="000000" w:themeColor="text1"/>
          <w:sz w:val="16"/>
          <w:szCs w:val="16"/>
          <w:vertAlign w:val="superscript"/>
        </w:rPr>
        <w:t>115</w:t>
      </w:r>
      <w:r w:rsidRPr="005E779E">
        <w:rPr>
          <w:rFonts w:ascii="Times New Roman" w:hAnsi="Times New Roman"/>
          <w:color w:val="000000" w:themeColor="text1"/>
          <w:sz w:val="16"/>
          <w:szCs w:val="16"/>
        </w:rPr>
        <w:t xml:space="preserve"> катерный тральщик пр. Т351 (1949); ракетные: пр. 183Э переоборудованы из ТКА-14, -15 (1957)- 2, пр. 183Р (1959-65)- 26 и 30 переоборудовано по пр. 183РТР (по другим данным, всего </w:t>
      </w:r>
      <w:r w:rsidRPr="005E779E">
        <w:rPr>
          <w:rFonts w:ascii="Times New Roman" w:hAnsi="Times New Roman"/>
          <w:color w:val="000000" w:themeColor="text1"/>
          <w:sz w:val="16"/>
          <w:szCs w:val="16"/>
          <w:vertAlign w:val="subscript"/>
        </w:rPr>
        <w:t>60</w:t>
      </w:r>
      <w:r w:rsidR="002629BF" w:rsidRPr="005E779E">
        <w:rPr>
          <w:rFonts w:ascii="Times New Roman" w:hAnsi="Times New Roman"/>
          <w:color w:val="000000" w:themeColor="text1"/>
          <w:sz w:val="16"/>
          <w:szCs w:val="16"/>
        </w:rPr>
        <w:fldChar w:fldCharType="begin"/>
      </w:r>
      <w:r w:rsidR="002629BF" w:rsidRPr="005E779E">
        <w:rPr>
          <w:rFonts w:ascii="Times New Roman" w:hAnsi="Times New Roman"/>
          <w:color w:val="000000" w:themeColor="text1"/>
          <w:sz w:val="16"/>
          <w:szCs w:val="16"/>
        </w:rPr>
        <w:instrText xml:space="preserve">ref  HYPERLINK "http://www.aimazmfo"  \* MERGEFORMAT </w:instrText>
      </w:r>
      <w:r w:rsidR="002629BF" w:rsidRPr="005E779E">
        <w:rPr>
          <w:rFonts w:ascii="Times New Roman" w:hAnsi="Times New Roman"/>
          <w:color w:val="000000" w:themeColor="text1"/>
          <w:sz w:val="16"/>
          <w:szCs w:val="16"/>
        </w:rPr>
        <w:fldChar w:fldCharType="separate"/>
      </w:r>
      <w:r w:rsidRPr="005E779E">
        <w:rPr>
          <w:rFonts w:ascii="Times New Roman" w:hAnsi="Times New Roman"/>
          <w:color w:val="000000" w:themeColor="text1"/>
          <w:sz w:val="16"/>
          <w:szCs w:val="16"/>
          <w:lang w:val="en-US"/>
        </w:rPr>
        <w:t>www</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aimazmfo</w:t>
      </w:r>
      <w:r w:rsidR="002629BF" w:rsidRPr="005E779E">
        <w:rPr>
          <w:rFonts w:ascii="Times New Roman" w:hAnsi="Times New Roman"/>
          <w:color w:val="000000" w:themeColor="text1"/>
          <w:sz w:val="16"/>
          <w:szCs w:val="16"/>
          <w:lang w:val="en-US"/>
        </w:rPr>
        <w:fldChar w:fldCharType="end"/>
      </w:r>
      <w:r w:rsidRPr="005E779E">
        <w:rPr>
          <w:rFonts w:ascii="Times New Roman" w:hAnsi="Times New Roman"/>
          <w:color w:val="000000" w:themeColor="text1"/>
          <w:sz w:val="16"/>
          <w:szCs w:val="16"/>
          <w:vertAlign w:val="subscript"/>
        </w:rPr>
        <w:t>); щ 2</w:t>
      </w:r>
      <w:r w:rsidRPr="005E779E">
        <w:rPr>
          <w:rFonts w:ascii="Times New Roman" w:hAnsi="Times New Roman"/>
          <w:color w:val="000000" w:themeColor="text1"/>
          <w:sz w:val="16"/>
          <w:szCs w:val="16"/>
          <w:vertAlign w:val="subscript"/>
          <w:lang w:val="en-US"/>
        </w:rPr>
        <w:t>Q</w:t>
      </w:r>
      <w:r w:rsidRPr="005E779E">
        <w:rPr>
          <w:rFonts w:ascii="Times New Roman" w:hAnsi="Times New Roman"/>
          <w:color w:val="000000" w:themeColor="text1"/>
          <w:sz w:val="16"/>
          <w:szCs w:val="16"/>
          <w:vertAlign w:val="subscript"/>
        </w:rPr>
        <w:t>5 (1959</w:t>
      </w:r>
      <w:r w:rsidRPr="005E779E">
        <w:rPr>
          <w:rFonts w:ascii="Times New Roman" w:hAnsi="Times New Roman"/>
          <w:color w:val="000000" w:themeColor="text1"/>
          <w:sz w:val="16"/>
          <w:szCs w:val="16"/>
        </w:rPr>
        <w:t>_</w:t>
      </w:r>
      <w:r w:rsidRPr="005E779E">
        <w:rPr>
          <w:rFonts w:ascii="Times New Roman" w:hAnsi="Times New Roman"/>
          <w:color w:val="000000" w:themeColor="text1"/>
          <w:sz w:val="16"/>
          <w:szCs w:val="16"/>
          <w:vertAlign w:val="subscript"/>
        </w:rPr>
        <w:t>66)</w:t>
      </w:r>
      <w:r w:rsidRPr="005E779E">
        <w:rPr>
          <w:rFonts w:ascii="Times New Roman" w:hAnsi="Times New Roman"/>
          <w:color w:val="000000" w:themeColor="text1"/>
          <w:sz w:val="16"/>
          <w:szCs w:val="16"/>
        </w:rPr>
        <w:t xml:space="preserve">_ </w:t>
      </w:r>
      <w:r w:rsidRPr="005E779E">
        <w:rPr>
          <w:rFonts w:ascii="Times New Roman" w:hAnsi="Times New Roman"/>
          <w:color w:val="000000" w:themeColor="text1"/>
          <w:sz w:val="16"/>
          <w:szCs w:val="16"/>
          <w:vertAlign w:val="subscript"/>
        </w:rPr>
        <w:t>68? пр 2</w:t>
      </w:r>
      <w:r w:rsidRPr="005E779E">
        <w:rPr>
          <w:rFonts w:ascii="Times New Roman" w:hAnsi="Times New Roman"/>
          <w:color w:val="000000" w:themeColor="text1"/>
          <w:sz w:val="16"/>
          <w:szCs w:val="16"/>
        </w:rPr>
        <w:t>05У (1965-72)- 19 (по другим данным, всего 89</w:t>
      </w:r>
      <w:r w:rsidRPr="005E779E">
        <w:rPr>
          <w:rFonts w:ascii="Times New Roman" w:hAnsi="Times New Roman"/>
          <w:color w:val="000000" w:themeColor="text1"/>
          <w:sz w:val="16"/>
          <w:szCs w:val="16"/>
          <w:vertAlign w:val="superscript"/>
          <w:lang w:val="en-US"/>
        </w:rPr>
        <w:t>wwwa</w:t>
      </w:r>
      <w:r w:rsidRPr="005E779E">
        <w:rPr>
          <w:rFonts w:ascii="Times New Roman" w:hAnsi="Times New Roman"/>
          <w:color w:val="000000" w:themeColor="text1"/>
          <w:sz w:val="16"/>
          <w:szCs w:val="16"/>
          <w:vertAlign w:val="superscript"/>
        </w:rPr>
        <w:t>]</w:t>
      </w:r>
      <w:r w:rsidRPr="005E779E">
        <w:rPr>
          <w:rFonts w:ascii="Times New Roman" w:hAnsi="Times New Roman"/>
          <w:color w:val="000000" w:themeColor="text1"/>
          <w:sz w:val="16"/>
          <w:szCs w:val="16"/>
          <w:vertAlign w:val="superscript"/>
          <w:lang w:val="en-US"/>
        </w:rPr>
        <w:t>mazspbru</w:t>
      </w:r>
      <w:r w:rsidRPr="005E779E">
        <w:rPr>
          <w:rFonts w:ascii="Times New Roman" w:hAnsi="Times New Roman"/>
          <w:color w:val="000000" w:themeColor="text1"/>
          <w:sz w:val="16"/>
          <w:szCs w:val="16"/>
        </w:rPr>
        <w:t>); пр. 12411 «Молния-1» с ПКР «Термит» (1979-80)- 1, (1982)- 1, (1983)-1; пограничный пр. 205П (1967-89)- 111,</w:t>
      </w:r>
    </w:p>
    <w:p w14:paraId="7EDEA9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экспериментальный пр. 205ПЭ (1970), экспортный пр. 02059 для Кубы и Кампучии (1984-89)- 8; искатель мин пр. 257Д (1961-65)- 20 (вместе с заводами 602 и 789); рабочие: бортовой КРМ-10 (1950), пр. 337; пограничные сторожевые пр. 1400, пр. 1400М, представительский пр. 1400А (1970-е)- 4, экспортный пр. 1400МЭ (1970-91)- всего более 200 (вместе с заводами «Море» и Батумским); баркас моторный БМ-16 (1949)- 1; телеуправляемая мишень пр. 1392 (1966-80); самоходные десантные баржи: типа Т-4м «Танкист», типа А-3 «Артиллерист» (1950- е); рейдовый тральщик пр. 1258 «Корунд» (1967)- 1; МРК: пр. 1234 «Буря» (01.1967-69), (-1981), пр. 1234.1 «Овод» («Бурун», 1977-91)- всего 30; экспортный пр. 1234Э для Индии «Ураган» ("</w:t>
      </w:r>
      <w:r w:rsidRPr="005E779E">
        <w:rPr>
          <w:rFonts w:ascii="Times New Roman" w:hAnsi="Times New Roman"/>
          <w:color w:val="000000" w:themeColor="text1"/>
          <w:sz w:val="16"/>
          <w:szCs w:val="16"/>
          <w:lang w:val="en-US"/>
        </w:rPr>
        <w:t>VijayDurg</w:t>
      </w:r>
      <w:r w:rsidRPr="005E779E">
        <w:rPr>
          <w:rFonts w:ascii="Times New Roman" w:hAnsi="Times New Roman"/>
          <w:color w:val="000000" w:themeColor="text1"/>
          <w:sz w:val="16"/>
          <w:szCs w:val="16"/>
        </w:rPr>
        <w:t>"), «Прибой» ("</w:t>
      </w:r>
      <w:r w:rsidRPr="005E779E">
        <w:rPr>
          <w:rFonts w:ascii="Times New Roman" w:hAnsi="Times New Roman"/>
          <w:color w:val="000000" w:themeColor="text1"/>
          <w:sz w:val="16"/>
          <w:szCs w:val="16"/>
          <w:lang w:val="en-US"/>
        </w:rPr>
        <w:t>SihdhuDurg</w:t>
      </w:r>
      <w:r w:rsidRPr="005E779E">
        <w:rPr>
          <w:rFonts w:ascii="Times New Roman" w:hAnsi="Times New Roman"/>
          <w:color w:val="000000" w:themeColor="text1"/>
          <w:sz w:val="16"/>
          <w:szCs w:val="16"/>
        </w:rPr>
        <w:t>"), «Прилив» ("</w:t>
      </w:r>
      <w:r w:rsidRPr="005E779E">
        <w:rPr>
          <w:rFonts w:ascii="Times New Roman" w:hAnsi="Times New Roman"/>
          <w:color w:val="000000" w:themeColor="text1"/>
          <w:sz w:val="16"/>
          <w:szCs w:val="16"/>
          <w:lang w:val="en-US"/>
        </w:rPr>
        <w:t>HosDurg</w:t>
      </w:r>
      <w:r w:rsidRPr="005E779E">
        <w:rPr>
          <w:rFonts w:ascii="Times New Roman" w:hAnsi="Times New Roman"/>
          <w:color w:val="000000" w:themeColor="text1"/>
          <w:sz w:val="16"/>
          <w:szCs w:val="16"/>
        </w:rPr>
        <w:t>"), для Алжира МРК-21 ("</w:t>
      </w:r>
      <w:r w:rsidRPr="005E779E">
        <w:rPr>
          <w:rFonts w:ascii="Times New Roman" w:hAnsi="Times New Roman"/>
          <w:color w:val="000000" w:themeColor="text1"/>
          <w:sz w:val="16"/>
          <w:szCs w:val="16"/>
          <w:lang w:val="en-US"/>
        </w:rPr>
        <w:t>RasHamidou</w:t>
      </w:r>
      <w:r w:rsidRPr="005E779E">
        <w:rPr>
          <w:rFonts w:ascii="Times New Roman" w:hAnsi="Times New Roman"/>
          <w:color w:val="000000" w:themeColor="text1"/>
          <w:sz w:val="16"/>
          <w:szCs w:val="16"/>
        </w:rPr>
        <w:t>"), МРК-22 ("</w:t>
      </w:r>
      <w:r w:rsidRPr="005E779E">
        <w:rPr>
          <w:rFonts w:ascii="Times New Roman" w:hAnsi="Times New Roman"/>
          <w:color w:val="000000" w:themeColor="text1"/>
          <w:sz w:val="16"/>
          <w:szCs w:val="16"/>
          <w:lang w:val="en-US"/>
        </w:rPr>
        <w:t>ReisAli</w:t>
      </w:r>
      <w:r w:rsidRPr="005E779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lang w:val="en-US"/>
        </w:rPr>
        <w:t>MPK</w:t>
      </w:r>
      <w:r w:rsidRPr="005E779E">
        <w:rPr>
          <w:rFonts w:ascii="Times New Roman" w:hAnsi="Times New Roman"/>
          <w:color w:val="000000" w:themeColor="text1"/>
          <w:sz w:val="16"/>
          <w:szCs w:val="16"/>
        </w:rPr>
        <w:t>-23 ("</w:t>
      </w:r>
      <w:r w:rsidRPr="005E779E">
        <w:rPr>
          <w:rFonts w:ascii="Times New Roman" w:hAnsi="Times New Roman"/>
          <w:color w:val="000000" w:themeColor="text1"/>
          <w:sz w:val="16"/>
          <w:szCs w:val="16"/>
          <w:lang w:val="en-US"/>
        </w:rPr>
        <w:t>SalahReis</w:t>
      </w:r>
      <w:r w:rsidRPr="005E779E">
        <w:rPr>
          <w:rFonts w:ascii="Times New Roman" w:hAnsi="Times New Roman"/>
          <w:color w:val="000000" w:themeColor="text1"/>
          <w:sz w:val="16"/>
          <w:szCs w:val="16"/>
        </w:rPr>
        <w:t xml:space="preserve">"), для Ливии </w:t>
      </w:r>
      <w:r w:rsidRPr="005E779E">
        <w:rPr>
          <w:rFonts w:ascii="Times New Roman" w:hAnsi="Times New Roman"/>
          <w:color w:val="000000" w:themeColor="text1"/>
          <w:sz w:val="16"/>
          <w:szCs w:val="16"/>
          <w:lang w:val="en-US"/>
        </w:rPr>
        <w:t>MPK</w:t>
      </w:r>
      <w:r w:rsidRPr="005E779E">
        <w:rPr>
          <w:rFonts w:ascii="Times New Roman" w:hAnsi="Times New Roman"/>
          <w:color w:val="000000" w:themeColor="text1"/>
          <w:sz w:val="16"/>
          <w:szCs w:val="16"/>
        </w:rPr>
        <w:t>-9 ("</w:t>
      </w:r>
      <w:r w:rsidRPr="005E779E">
        <w:rPr>
          <w:rFonts w:ascii="Times New Roman" w:hAnsi="Times New Roman"/>
          <w:color w:val="000000" w:themeColor="text1"/>
          <w:sz w:val="16"/>
          <w:szCs w:val="16"/>
          <w:lang w:val="en-US"/>
        </w:rPr>
        <w:t>EanMara</w:t>
      </w:r>
      <w:r w:rsidRPr="005E779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lang w:val="en-US"/>
        </w:rPr>
        <w:t>MPK</w:t>
      </w:r>
      <w:r w:rsidRPr="005E779E">
        <w:rPr>
          <w:rFonts w:ascii="Times New Roman" w:hAnsi="Times New Roman"/>
          <w:color w:val="000000" w:themeColor="text1"/>
          <w:sz w:val="16"/>
          <w:szCs w:val="16"/>
        </w:rPr>
        <w:t>-15 ("</w:t>
      </w:r>
      <w:r w:rsidRPr="005E779E">
        <w:rPr>
          <w:rFonts w:ascii="Times New Roman" w:hAnsi="Times New Roman"/>
          <w:color w:val="000000" w:themeColor="text1"/>
          <w:sz w:val="16"/>
          <w:szCs w:val="16"/>
          <w:lang w:val="en-US"/>
        </w:rPr>
        <w:t>EanZaquit</w:t>
      </w:r>
      <w:r w:rsidRPr="005E779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lang w:val="en-US"/>
        </w:rPr>
        <w:t>MPK</w:t>
      </w:r>
      <w:r w:rsidRPr="005E779E">
        <w:rPr>
          <w:rFonts w:ascii="Times New Roman" w:hAnsi="Times New Roman"/>
          <w:color w:val="000000" w:themeColor="text1"/>
          <w:sz w:val="16"/>
          <w:szCs w:val="16"/>
        </w:rPr>
        <w:t>-24 ("</w:t>
      </w:r>
      <w:r w:rsidRPr="005E779E">
        <w:rPr>
          <w:rFonts w:ascii="Times New Roman" w:hAnsi="Times New Roman"/>
          <w:color w:val="000000" w:themeColor="text1"/>
          <w:sz w:val="16"/>
          <w:szCs w:val="16"/>
          <w:lang w:val="en-US"/>
        </w:rPr>
        <w:t>EanA</w:t>
      </w:r>
      <w:r w:rsidRPr="005E779E">
        <w:rPr>
          <w:rFonts w:ascii="Times New Roman" w:hAnsi="Times New Roman"/>
          <w:color w:val="000000" w:themeColor="text1"/>
          <w:sz w:val="16"/>
          <w:szCs w:val="16"/>
        </w:rPr>
        <w:t xml:space="preserve">1 </w:t>
      </w:r>
      <w:r w:rsidRPr="005E779E">
        <w:rPr>
          <w:rFonts w:ascii="Times New Roman" w:hAnsi="Times New Roman"/>
          <w:color w:val="000000" w:themeColor="text1"/>
          <w:sz w:val="16"/>
          <w:szCs w:val="16"/>
          <w:lang w:val="en-US"/>
        </w:rPr>
        <w:t>Gazala</w:t>
      </w:r>
      <w:r w:rsidRPr="005E779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lang w:val="en-US"/>
        </w:rPr>
        <w:t>MPK</w:t>
      </w:r>
      <w:r w:rsidRPr="005E779E">
        <w:rPr>
          <w:rFonts w:ascii="Times New Roman" w:hAnsi="Times New Roman"/>
          <w:color w:val="000000" w:themeColor="text1"/>
          <w:sz w:val="16"/>
          <w:szCs w:val="16"/>
        </w:rPr>
        <w:t>-25 ("</w:t>
      </w:r>
      <w:r w:rsidRPr="005E779E">
        <w:rPr>
          <w:rFonts w:ascii="Times New Roman" w:hAnsi="Times New Roman"/>
          <w:color w:val="000000" w:themeColor="text1"/>
          <w:sz w:val="16"/>
          <w:szCs w:val="16"/>
          <w:lang w:val="en-US"/>
        </w:rPr>
        <w:t>EanZara</w:t>
      </w:r>
      <w:r w:rsidRPr="005E779E">
        <w:rPr>
          <w:rFonts w:ascii="Times New Roman" w:hAnsi="Times New Roman"/>
          <w:color w:val="000000" w:themeColor="text1"/>
          <w:sz w:val="16"/>
          <w:szCs w:val="16"/>
        </w:rPr>
        <w:t>") (1976-84)- 10;</w:t>
      </w:r>
      <w:r w:rsidRPr="005E779E">
        <w:rPr>
          <w:rFonts w:ascii="Times New Roman" w:hAnsi="Times New Roman"/>
          <w:color w:val="000000" w:themeColor="text1"/>
          <w:sz w:val="16"/>
          <w:szCs w:val="16"/>
          <w:vertAlign w:val="superscript"/>
        </w:rPr>
        <w:t>3</w:t>
      </w:r>
      <w:r w:rsidRPr="005E779E">
        <w:rPr>
          <w:rFonts w:ascii="Times New Roman" w:hAnsi="Times New Roman"/>
          <w:color w:val="000000" w:themeColor="text1"/>
          <w:sz w:val="16"/>
          <w:szCs w:val="16"/>
        </w:rPr>
        <w:t xml:space="preserve"> пр. 1240 «Ураган» (1972-76)- 1; БРК пр. 12411 «Молния»; ПСКР: пр. 10410 «Светляк» (1989-92), (-05.1999)- 1, (-05.2000)- 1, «Алмаз» (-06.2001), «Ямалец» (2004), зак. № 310 (2000-е)- всего 10; пр. 10412 «Светляк» для Вьетнама (-08.2002)-1, (-09.2002)- 1; пр. 22460 (зак. № 501, 09.2007-); ПКА пр. 12200 «Соболь» (01.2003-2006)- 1, для Туркменистана (-09.2008)- 2; СВП: десантно-штурмовые пр. 1205 «Скат» (1969- 76)- 27 (вместе с заводами 340 и 831); пр. 1206 «Кальмар» (1972-85)- 2 (площадка № 2); МДК пр. 1232 «Джейран» (1970-85)- 20 (из них 19 - на площадке № 2), пр. 12322 «Зубр» (1983-91; 1998)- 6 (площадка № 2), пр. 12322Э для Греции «Кефаллиния» (05-10.2000), «Закинтос» (зак. № 107, -05.2001), «Керкир» (01.2003-06.2004)- 1; лоцманское судно-амфибия пр. 14661 «Рысь» (-12.1998)- 1; пассажирское пр. 15063 «Ирбис» (10.2003-2004); малый артиллерийский корабль пр. 21630 «Буян» «Астрахань» (01.2004-03.2006), «Каспийск» (02.2005-), «Махачкала (03.2006-); правительственные яхты: пр. 360 (1960-63)- 4, пр. 1360 «Кавказ», «Крым» (1978-79г.)- 2; катера: прогулочный пр. 370У (1950-е), пассажирский на ПК пр. 1233 «Тайфун» (1969), типа </w:t>
      </w:r>
      <w:r w:rsidRPr="005E779E">
        <w:rPr>
          <w:rFonts w:ascii="Times New Roman" w:hAnsi="Times New Roman"/>
          <w:color w:val="000000" w:themeColor="text1"/>
          <w:sz w:val="16"/>
          <w:szCs w:val="16"/>
          <w:lang w:val="en-US"/>
        </w:rPr>
        <w:t>SeaHorse</w:t>
      </w:r>
      <w:r w:rsidRPr="005E779E">
        <w:rPr>
          <w:rFonts w:ascii="Times New Roman" w:hAnsi="Times New Roman"/>
          <w:color w:val="000000" w:themeColor="text1"/>
          <w:sz w:val="16"/>
          <w:szCs w:val="16"/>
        </w:rPr>
        <w:t xml:space="preserve"> (1998)- 1, многоцелевой рабочий пр. «Алмаз-11900» (-06.1999)- 1; лоцманский пр. АР-1600 «Лоцман Сажин» (-10.1998), (-09.1999)- 1; судно экологического мониторинга пр. 16220 «Экопатруль-1 (1995), -2 (1990-е), -3» (1990-е); природоохранное судно пр. 23107Э «Россия» (1999); морской испытательный комплекс пр. Р2030 для НПП «Радар-ММС» (2005), таможенное судно пр. Р-2030Т ТС-596 (-2007); буксир-ледокол пр. 2805 «Невская застава» (2007-10.2009); яхты: пр. «Алмаз-53» (1990-е)- несколько шт., крейсерская пр. СТ-1400 (-08.1999)- 1;</w:t>
      </w:r>
    </w:p>
    <w:p w14:paraId="3F0815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кровати, журнальные и сервировочные столики (1980-е); рассадопосадочные машины (1990-е); опытные вагоны для скоростного поезда «Сокол-250» (1990-е); плавучий фонтанный комплекс для Санкт-Петербурга (2006);</w:t>
      </w:r>
    </w:p>
    <w:p w14:paraId="341DE4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переоборудование: торпедного катера ТД-200бис подводным крылом ЦАГИ (1950-е); модернизация президентской яхты пр. 1360 «Кавказ» (принадлежавшей ранее Л.И. Брежневу, 11.2001-05.2002); теплохода «Ласточка» в яхту «Лаймарита» (-06.2000) (11982).</w:t>
      </w:r>
    </w:p>
    <w:p w14:paraId="79C8785A" w14:textId="77777777" w:rsidR="004121BA" w:rsidRPr="005E779E" w:rsidRDefault="004121BA" w:rsidP="000B7A6C">
      <w:pPr>
        <w:spacing w:after="0" w:line="240" w:lineRule="auto"/>
        <w:jc w:val="both"/>
        <w:rPr>
          <w:rFonts w:ascii="Times New Roman" w:hAnsi="Times New Roman"/>
          <w:color w:val="000000" w:themeColor="text1"/>
          <w:sz w:val="16"/>
          <w:szCs w:val="16"/>
        </w:rPr>
      </w:pPr>
    </w:p>
    <w:p w14:paraId="1ABE1041" w14:textId="77777777" w:rsidR="00DB1931" w:rsidRPr="005E779E" w:rsidRDefault="00DB193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1931 г. в ходе подготовки рабочих чертежей ПЛ серии IV возникли серьезные разногласия между автором проекта и многими специалистами подводного плавания. Для достижения большой надводной скорости А.Н.Асафов постарался придать ПЛ обводы эскадренного миноносца - наиболее быстроходного в то время из надводных кораблей. Но для миноносцев характерны отношение длины к ширине и ширины к осадке, абсолютно не свойственные ПЛ.</w:t>
      </w:r>
    </w:p>
    <w:p w14:paraId="08825553" w14:textId="77777777" w:rsidR="00DB1931" w:rsidRPr="005E779E" w:rsidRDefault="00DB193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Автор проекта считал, что для улучшения мореходных качеств ПЛ, которой предстоит действовать совместно с надводными кораблями, следует значительно уменьшить ее осадку. Поэтому запас плавучести ПЛ оказался необычным - 92 %. Но это резко увеличило ее массу и затруднило процесс погружения и всплытия. ПЛ получила чрезвычайно высокий надводный борт. Между тем артиллерия продолжала оставаться одним из главнейших средств борьбы с ПЛ, а способность их к быстрому погружению являлась важнейшим тактическим элементом ПЛ.</w:t>
      </w:r>
    </w:p>
    <w:p w14:paraId="0B0FFE1D" w14:textId="77777777" w:rsidR="00DB1931" w:rsidRPr="005E779E" w:rsidRDefault="00DB193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Складывалось впечатление, что прообразом проекта А.Н.Асафова, по сути дела, послужил незавершенный И.Г.Бубновым проект ПЛ водоизмещением 950 т (1914 г.), забракованный в свое время. При этом А.Н.Асафов не только не увеличил водоизмещение предложенной им ПЛ по сравнению с прототипом, но, наоборот, несколько уменьшил его.</w:t>
      </w:r>
    </w:p>
    <w:p w14:paraId="7F945168" w14:textId="77777777" w:rsidR="00DB1931" w:rsidRPr="005E779E" w:rsidRDefault="00DB193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Избранная им глубина погружения (50-60 м), к тому времени превзойденная почти вдвое на ПЛ советской постройки, при длине ПЛ серии IV 90 м затрудняла маневрирование под водой. Более того, даже такая ограниченная глубина погружения не была обеспечена расчетами прочности.</w:t>
      </w:r>
    </w:p>
    <w:p w14:paraId="78040FCB" w14:textId="77777777" w:rsidR="00DB1931" w:rsidRPr="005E779E" w:rsidRDefault="00DB193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Специалисты НТКМ считали, что выполненные расчеты фактически соответствуют погружению ПЛ лишь до глубины 40 - 50 м, тогда как требовались иные пределы - 75 - 100 м. Такие авторитетнейшие специалисты, как А.Н.Крылов, П.Ф.Папкович, В.Л.Поздюнин, полагали, что рабочая и предельная глубина погружения ПЛ, судя по их контрольным расчетам, не превысит 35 м и 45 м (12719).</w:t>
      </w:r>
    </w:p>
    <w:p w14:paraId="4EDED941" w14:textId="77777777" w:rsidR="00DB1931" w:rsidRPr="005E779E" w:rsidRDefault="00DB1931" w:rsidP="000B7A6C">
      <w:pPr>
        <w:spacing w:after="0" w:line="240" w:lineRule="auto"/>
        <w:jc w:val="both"/>
        <w:rPr>
          <w:rFonts w:ascii="Times New Roman" w:hAnsi="Times New Roman"/>
          <w:color w:val="000000" w:themeColor="text1"/>
          <w:sz w:val="16"/>
          <w:szCs w:val="16"/>
        </w:rPr>
      </w:pPr>
    </w:p>
    <w:p w14:paraId="56416BDA"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1931 года состоящее из репрессированных судостроителей Особое конструкторское бюро в Ленинграде закончило проект эскадренной подводной лодки водоизмещением 900 тонн. Была разработана и экспериментально проверена теория погружения и всплытия подводных лодок большого водоизмещения. На Балтийском заводе спроектировали и построили эскадренные подводные лодки типа «Правда», серию прибрежных подводных лодок типа «М» и боевых катеров (18728).</w:t>
      </w:r>
    </w:p>
    <w:p w14:paraId="26D370D9" w14:textId="77777777" w:rsidR="009A3E3D" w:rsidRPr="005E779E" w:rsidRDefault="009A3E3D" w:rsidP="000B7A6C">
      <w:pPr>
        <w:spacing w:after="0" w:line="240" w:lineRule="auto"/>
        <w:jc w:val="both"/>
        <w:rPr>
          <w:rFonts w:ascii="Times New Roman" w:hAnsi="Times New Roman"/>
          <w:color w:val="000000" w:themeColor="text1"/>
          <w:sz w:val="16"/>
          <w:szCs w:val="16"/>
        </w:rPr>
      </w:pPr>
    </w:p>
    <w:p w14:paraId="189D08D4" w14:textId="77777777" w:rsidR="0023773B" w:rsidRPr="005E779E" w:rsidRDefault="0023773B"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5B68783E" w14:textId="77777777" w:rsidR="0023773B" w:rsidRPr="005E779E" w:rsidRDefault="0023773B"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1D9CA73"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1931 г. (Техническо-эксплуатационная инспекция) ТЭИ была передана в состав НИИ ВВС. А.П. Смолин был назначен Главным инспектором НИИ ВВС с непосредственным подчинением начальнику НИИ ВВС. Было также организовано отделение учета и статистики, которое стало заниматься разработкой учетно-отчетной документации, сбором информации об отказах и неисправностях авиатехники и передачей ее в промышленность и в строевые части (19566).</w:t>
      </w:r>
    </w:p>
    <w:p w14:paraId="2B387525" w14:textId="77777777" w:rsidR="009A3E3D" w:rsidRPr="005E779E" w:rsidRDefault="009A3E3D" w:rsidP="000B7A6C">
      <w:pPr>
        <w:spacing w:after="0" w:line="240" w:lineRule="auto"/>
        <w:jc w:val="both"/>
        <w:rPr>
          <w:rFonts w:ascii="Times New Roman" w:hAnsi="Times New Roman"/>
          <w:color w:val="000000" w:themeColor="text1"/>
          <w:sz w:val="16"/>
          <w:szCs w:val="16"/>
        </w:rPr>
      </w:pPr>
    </w:p>
    <w:p w14:paraId="2FF2DE57" w14:textId="77777777" w:rsidR="0023773B" w:rsidRPr="005E779E" w:rsidRDefault="002377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1931 г. по указанию ЦК ВКП(б) был проведен набор четырех тысяч коммунистов в летные школы ВВС. В том же году началась плановая подготовка политических кадров ВВС. В Военно-политической академии был создан воздушный факультет, комплектовавшийся летчиками и штурманами из строевых частей. Политработники среднего звена готовились в военно-политических училищах, а также на курсах при некоторых летных вузах (19566).</w:t>
      </w:r>
    </w:p>
    <w:p w14:paraId="1348778A" w14:textId="77777777" w:rsidR="0023773B" w:rsidRPr="005E779E" w:rsidRDefault="0023773B" w:rsidP="000B7A6C">
      <w:pPr>
        <w:spacing w:after="0" w:line="240" w:lineRule="auto"/>
        <w:jc w:val="both"/>
        <w:rPr>
          <w:rFonts w:ascii="Times New Roman" w:hAnsi="Times New Roman"/>
          <w:color w:val="000000" w:themeColor="text1"/>
          <w:sz w:val="16"/>
          <w:szCs w:val="16"/>
        </w:rPr>
      </w:pPr>
    </w:p>
    <w:p w14:paraId="5E1EAAFE" w14:textId="77777777" w:rsidR="0023773B" w:rsidRPr="005E779E" w:rsidRDefault="002377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 1931 из журнала «Вестник воздушного флота»</w:t>
      </w:r>
    </w:p>
    <w:p w14:paraId="5992C583" w14:textId="77777777" w:rsidR="0023773B" w:rsidRPr="005E779E" w:rsidRDefault="002377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 xml:space="preserve">Изотов. «Некоторые выводы из летней учебы». Опыт показывает, что авиационные штабы в смысле постановки работы штаба как органа управления командования еще не достигли совершенства. Самостоятельная оценка начальником штаба земной и воздушной обстановки, подсчет сил и средств, устройство и организация тыла и прочие вопросы, тесно связанные к принятием командованием оперативного решения и, как выводы из всего, право предложения того или иного варианта решения – все это обычное в работе начальника штаба земных войск – к сожалению, еще не чувствуется в работе у некоторой группы начальников штабов авиасоединений. Фактически роль начальника штаба сводится к технической передаче подчиненным частям принятого командованием решения. (…) Правильна ли такая постановка дела в условиях возрастающих технических возможностей, а вместе с ним и усложняющихся решением сложных самостоятельных задач Воздушного флота? Сможет ли сейчас охватить командир авиасоединения типа бригады все мелочи проведения принятого им решения в жизнь? Сможет ли командир авиачасти предусмотреть целый ряд таких вопросов, самих по себе, на первый взгляд, маловажных, но в случае невнимательного их разрешения дающих себя довольно остро почувствовать на успешности боевой работы. Безусловно, нет. Вот здесь-то роль штаба велика и ответственна. Штаб авиачасти собирает все мелочи по воздушной и земной обстановке, анализируя их, дает командованию в своем докладе тот готовый материал, на основе которого последнее, разгруженное от мелочей, охватывает всю обстановку в целом, принимая то или иное решение по боевому использованию вверенных ему частей. После принятия решения для штаба начинается вторая ответственная работа – проведение решения командования в жизнь. Мы нарочно разделили так резко эти две важнейшие функции штаба, чтобы нагляднее показать то обширное поле деятельности штаба, на котором он может и должен проявить творчество и инициативу» (Изотов. Некоторые выводы из летней учебы // Вестник воздушного флота. – 1931. – № 1. – С. 10 – 11) (19566). </w:t>
      </w:r>
    </w:p>
    <w:p w14:paraId="6EB01A5D" w14:textId="77777777" w:rsidR="0023773B" w:rsidRPr="005E779E" w:rsidRDefault="0023773B" w:rsidP="000B7A6C">
      <w:pPr>
        <w:spacing w:after="0" w:line="240" w:lineRule="auto"/>
        <w:jc w:val="both"/>
        <w:rPr>
          <w:rFonts w:ascii="Times New Roman" w:hAnsi="Times New Roman"/>
          <w:color w:val="000000" w:themeColor="text1"/>
          <w:sz w:val="16"/>
          <w:szCs w:val="16"/>
        </w:rPr>
      </w:pPr>
    </w:p>
    <w:p w14:paraId="74F05193" w14:textId="77777777" w:rsidR="0023773B" w:rsidRPr="005E779E" w:rsidRDefault="002377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 1931 из журнала «Вестник воздушного флота»</w:t>
      </w:r>
    </w:p>
    <w:p w14:paraId="427674E8" w14:textId="77777777" w:rsidR="0023773B" w:rsidRPr="005E779E" w:rsidRDefault="002377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 Михайлов. «К партполитработе на летний период». Третье Всеармейское совещание секретарей ячеек, дифференцируя свою работу по родам войск, в том числе и по авиации, дало следующую общую оценку состояния партийно-политической работы в авиачастях: «Политорганы и партийные ячейки частей ВВС полностью еще не повернулись лицом к боевой подготовке. Налицо ряд случаев отставания от растущих требований и недостаточного умения приспособить партполитработу к особенностям Военно-Воздушного флота». Остановлюсь на отдельных моментах партийно-политической работы в авиачастях в период летней учебы. Первый из них – дальнейшее укрепление отрядной ячейки. (…) Второй - овладение техникой и ее боевым применением. Третий вопрос - о дисциплине. Должна быть единая дисциплина – воинская. Четвертый вопрос – о боевой подготовке. Пятый вопрос – о партийно-политической работе на аэродроме (на старте). Шестой вопрос – о командирской учебе (омоложение личного состава требует повышения качества кадров ВВС). Седьмой вопрос – о рационализации и изобретательстве. (…) Восьмой вопрос – о соцсоревновании и ударничестве. Последний вопрос – о партполитработе в авиачастях. Особенности партполитработы в авиачастях есть. Но некоторые сваливают на специфичность. Однако опыт партполитработы в стрелковых частях полностью должен быть привит и проведен в авиачастях» (Михайлов Н. К партполитработе на летний период // Вестник воздушного флота. – 1931. – № 5 – 6. С. 4 – 6.) (19566).</w:t>
      </w:r>
    </w:p>
    <w:p w14:paraId="556FAF89" w14:textId="77777777" w:rsidR="0023773B" w:rsidRPr="005E779E" w:rsidRDefault="0023773B" w:rsidP="000B7A6C">
      <w:pPr>
        <w:spacing w:after="0" w:line="240" w:lineRule="auto"/>
        <w:jc w:val="both"/>
        <w:rPr>
          <w:rFonts w:ascii="Times New Roman" w:hAnsi="Times New Roman"/>
          <w:color w:val="000000" w:themeColor="text1"/>
          <w:sz w:val="16"/>
          <w:szCs w:val="16"/>
        </w:rPr>
      </w:pPr>
    </w:p>
    <w:p w14:paraId="7EBADC2A" w14:textId="77777777" w:rsidR="00E018C9" w:rsidRPr="00142305" w:rsidRDefault="00E018C9" w:rsidP="00E018C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1931 г. по указанию ЦК ВКП (б) был проведен набор четырех тысяч коммунистов в летные школы ВВС (Козлов А. Д„ Зайцев А. Д. Сражающаяся партия.-М. 1975.-С. 23) (24968).</w:t>
      </w:r>
    </w:p>
    <w:p w14:paraId="619D37AF" w14:textId="77777777" w:rsidR="00E018C9" w:rsidRPr="00142305" w:rsidRDefault="00E018C9" w:rsidP="00E018C9">
      <w:pPr>
        <w:spacing w:after="0" w:line="240" w:lineRule="auto"/>
        <w:jc w:val="both"/>
        <w:rPr>
          <w:rFonts w:ascii="Times New Roman" w:hAnsi="Times New Roman"/>
          <w:color w:val="0070C0"/>
          <w:sz w:val="16"/>
          <w:szCs w:val="16"/>
        </w:rPr>
      </w:pPr>
    </w:p>
    <w:p w14:paraId="38AE1102"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08CF4555"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416629F" w14:textId="77777777" w:rsidR="00BE087B" w:rsidRPr="005E779E" w:rsidRDefault="00BE087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1931 г. произошло окончательное оформление всесоюзной карточной системы. Рабочие повсеместно снабжались по карточкам в первую очередь. Особо выделялись Москва и Ленинград. Рабочие ведущих предприятий имели преимущества перед теми, кто работал на второстепенных объектах.</w:t>
      </w:r>
    </w:p>
    <w:p w14:paraId="59D23E9C" w14:textId="77777777" w:rsidR="00BE087B" w:rsidRPr="005E779E" w:rsidRDefault="00BE087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Вместе с тем государство явно не справлялось со снабжением населения. Большие различия в заработной плате мало что значили при покупке товаров на «черном рынке» за высокие цены, т.е. в смысле реальной зарплаты. Трудно было убедить работника повышать интенсивность труда, если это мало что давало на практике. Негативные последствия этого сказывались также на передвижениях рабочих. Слухи о предприятиях, лучше обеспеченных, способствовали текучести. Бесконечное стояние в очередях отрицательно влияло на состояние трудовой дисциплины на предприятиях, способствовало прогулам и опозданиям. (21332).</w:t>
      </w:r>
    </w:p>
    <w:p w14:paraId="71B8C022" w14:textId="77777777" w:rsidR="00BE087B" w:rsidRPr="005E779E" w:rsidRDefault="00BE087B" w:rsidP="000B7A6C">
      <w:pPr>
        <w:spacing w:after="0" w:line="240" w:lineRule="auto"/>
        <w:jc w:val="both"/>
        <w:rPr>
          <w:rFonts w:ascii="Times New Roman" w:hAnsi="Times New Roman"/>
          <w:color w:val="000000" w:themeColor="text1"/>
          <w:sz w:val="16"/>
          <w:szCs w:val="16"/>
        </w:rPr>
      </w:pPr>
    </w:p>
    <w:p w14:paraId="24ADA504" w14:textId="77777777" w:rsidR="00BE087B" w:rsidRPr="005E779E" w:rsidRDefault="00BE087B"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Только в начале 1931 года, когда массовый голод стал реальной перспективой и карточки уже фактически существовали по всей стране, Наркомат снабжения по заданию Политбюро разработал единые принципы карточного снабжения основными продуктами и непродовольственными товарами для всей страны. Продовольственный кризис и введение в 1931 году всесоюзной карточной системы представляли закономерный результат отмирания частного предпринимательства в городе и насильственного обобществления крестьянских хозяйств. Процесс форсированной индустриализации и огосударствления экономики был на полном ходу, но население балансировало на пороге массового голода (11528).</w:t>
      </w:r>
    </w:p>
    <w:p w14:paraId="34A063B2" w14:textId="77777777" w:rsidR="00BE087B" w:rsidRPr="005E779E" w:rsidRDefault="00BE087B" w:rsidP="000B7A6C">
      <w:pPr>
        <w:autoSpaceDE w:val="0"/>
        <w:autoSpaceDN w:val="0"/>
        <w:adjustRightInd w:val="0"/>
        <w:spacing w:after="0" w:line="240" w:lineRule="auto"/>
        <w:jc w:val="both"/>
        <w:rPr>
          <w:rFonts w:ascii="Times New Roman" w:hAnsi="Times New Roman"/>
          <w:color w:val="000000" w:themeColor="text1"/>
          <w:sz w:val="16"/>
          <w:szCs w:val="16"/>
        </w:rPr>
      </w:pPr>
    </w:p>
    <w:p w14:paraId="12A38BEC" w14:textId="77777777" w:rsidR="0023773B" w:rsidRPr="005E779E" w:rsidRDefault="0023773B" w:rsidP="000B7A6C">
      <w:pPr>
        <w:pStyle w:val="b-articletext"/>
        <w:shd w:val="clear" w:color="auto" w:fill="FFFFFF"/>
        <w:spacing w:before="0" w:beforeAutospacing="0" w:after="0" w:afterAutospacing="0"/>
        <w:jc w:val="both"/>
        <w:textAlignment w:val="baseline"/>
        <w:rPr>
          <w:color w:val="000000" w:themeColor="text1"/>
          <w:sz w:val="16"/>
          <w:szCs w:val="16"/>
        </w:rPr>
      </w:pPr>
      <w:r w:rsidRPr="005E779E">
        <w:rPr>
          <w:color w:val="000000" w:themeColor="text1"/>
          <w:sz w:val="16"/>
          <w:szCs w:val="16"/>
        </w:rPr>
        <w:t>С начала 1931 года страна снабжалась по четырем спискам: особый, первый, второй и третий. «Преимущества в снабжении имели особый и первый списки, куда вошли ведущие индустриальные предприятия Москвы, Ленинграда, Баку, Донбасса, Караганды, Восточной Сибири, Дальнего Востока, Урала,— утверждает автор книги “За фасадом сталинского изобилия” Елена Осокина.— Жители этих промышленных центров должны были получать из фондов централизованного снабжения хлеб, муку, крупу, мясо, рыбу, масло, сахар, чай, яйца в первую очередь и по более высоким нормам. Потребители особого и первого списков составляли только 40% в числе снабжаемых, но получали львиную долю государственного снабжения — 70–80% поступавших в торговлю фондов».</w:t>
      </w:r>
    </w:p>
    <w:p w14:paraId="273B9F7F" w14:textId="77777777" w:rsidR="0023773B" w:rsidRPr="005E779E" w:rsidRDefault="0023773B" w:rsidP="000B7A6C">
      <w:pPr>
        <w:pStyle w:val="b-articletext"/>
        <w:shd w:val="clear" w:color="auto" w:fill="FFFFFF"/>
        <w:spacing w:before="0" w:beforeAutospacing="0" w:after="0" w:afterAutospacing="0"/>
        <w:jc w:val="both"/>
        <w:textAlignment w:val="baseline"/>
        <w:rPr>
          <w:color w:val="000000" w:themeColor="text1"/>
          <w:sz w:val="16"/>
          <w:szCs w:val="16"/>
        </w:rPr>
      </w:pPr>
      <w:r w:rsidRPr="005E779E">
        <w:rPr>
          <w:color w:val="000000" w:themeColor="text1"/>
          <w:sz w:val="16"/>
          <w:szCs w:val="16"/>
        </w:rPr>
        <w:t>Во второй и третий списки попали небольшие, не имевшие крупной промышленности города, мелкие предприятия, артели, типографии и т. д. Из центрального фонда снабжения они получали только хлеб, сахар, крупу и чай, да и то по сниженным нормам. А всеми остальными продуктами должны были обеспечивать себя сами.</w:t>
      </w:r>
    </w:p>
    <w:p w14:paraId="35629EE8" w14:textId="77777777" w:rsidR="0023773B" w:rsidRPr="005E779E" w:rsidRDefault="0023773B" w:rsidP="000B7A6C">
      <w:pPr>
        <w:pStyle w:val="b-articletext"/>
        <w:shd w:val="clear" w:color="auto" w:fill="FFFFFF"/>
        <w:spacing w:before="0" w:beforeAutospacing="0" w:after="0" w:afterAutospacing="0"/>
        <w:jc w:val="both"/>
        <w:textAlignment w:val="baseline"/>
        <w:rPr>
          <w:color w:val="000000" w:themeColor="text1"/>
          <w:sz w:val="16"/>
          <w:szCs w:val="16"/>
        </w:rPr>
      </w:pPr>
      <w:r w:rsidRPr="005E779E">
        <w:rPr>
          <w:color w:val="000000" w:themeColor="text1"/>
          <w:sz w:val="16"/>
          <w:szCs w:val="16"/>
        </w:rPr>
        <w:t>«Внутри каждого из четырех списков существовали разные стандарты снабжения, которые зависели от производственного статуса людей,— продолжает Елена Осокина.— Высшую категорию в каждом из списков представляли нормы индустриальных рабочих. К их числу относились рабочие фабрично-заводских предприятий и транспорта. Нормы прочих рабочих и лиц физического труда, не занятых на фабрично-заводском производстве, представляли вторую категорию снабжения» (19550).</w:t>
      </w:r>
    </w:p>
    <w:p w14:paraId="237706F8" w14:textId="77777777" w:rsidR="0023773B" w:rsidRPr="005E779E" w:rsidRDefault="0023773B" w:rsidP="000B7A6C">
      <w:pPr>
        <w:spacing w:after="0" w:line="240" w:lineRule="auto"/>
        <w:jc w:val="both"/>
        <w:rPr>
          <w:rFonts w:ascii="Times New Roman" w:hAnsi="Times New Roman"/>
          <w:color w:val="000000" w:themeColor="text1"/>
          <w:sz w:val="16"/>
          <w:szCs w:val="16"/>
        </w:rPr>
      </w:pPr>
    </w:p>
    <w:p w14:paraId="59996FE9" w14:textId="77777777" w:rsidR="00EC2876"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6E671D07" w14:textId="77777777" w:rsidR="00EC2876" w:rsidRPr="005E779E" w:rsidRDefault="00EC2876"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4D17827" w14:textId="77777777" w:rsidR="00EC2876" w:rsidRPr="005E779E" w:rsidRDefault="00EC2876" w:rsidP="000B7A6C">
      <w:pPr>
        <w:pStyle w:val="ae"/>
        <w:shd w:val="clear" w:color="auto" w:fill="FFFFFF"/>
        <w:spacing w:before="0" w:after="0"/>
        <w:jc w:val="both"/>
        <w:rPr>
          <w:color w:val="000000" w:themeColor="text1"/>
          <w:sz w:val="16"/>
          <w:szCs w:val="16"/>
        </w:rPr>
      </w:pPr>
      <w:r w:rsidRPr="005E779E">
        <w:rPr>
          <w:color w:val="000000" w:themeColor="text1"/>
          <w:sz w:val="16"/>
          <w:szCs w:val="16"/>
        </w:rPr>
        <w:t>К началу 1931 года боевая масса проектируемого легкого танка выросла до 3,5 тонн. На разработку Kleinetraktor Krupp запросил 38 тысяч марок, ещё 2400 марок стоила деревянная модель. 5007 марок потребовалось на разработку ходовой части, позже эта сумма выросла до 8066 марок. Предполагалось, что с апреля 1933 по март 1938 года будет закуплено 20 Kleinetraktor по цене 50 тысяч рейхсмарок за штуку (17463).</w:t>
      </w:r>
    </w:p>
    <w:p w14:paraId="72FB2524" w14:textId="77777777" w:rsidR="00EC2876" w:rsidRPr="005E779E" w:rsidRDefault="00EC2876" w:rsidP="000B7A6C">
      <w:pPr>
        <w:pStyle w:val="ae"/>
        <w:shd w:val="clear" w:color="auto" w:fill="FFFFFF"/>
        <w:spacing w:before="0" w:after="0"/>
        <w:jc w:val="both"/>
        <w:rPr>
          <w:color w:val="000000" w:themeColor="text1"/>
          <w:sz w:val="16"/>
          <w:szCs w:val="16"/>
        </w:rPr>
      </w:pPr>
    </w:p>
    <w:p w14:paraId="27CCC007" w14:textId="77777777" w:rsidR="0023773B" w:rsidRPr="005E779E" w:rsidRDefault="002377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началу 1931 г. автотранспортных дизелей еще не было, то через три года в Германии насчитывалось уже 16 000 автомобилей с дизельными двигателями, в Англии – 8 000, а во всех остальных странах еще порядка 10 000. Лидером в производстве автомобильных дизелей в начале 1930-х гг. была, безусловно, Германия, где 75 % выпускаемых грузовиков и автобусов оснащались этими двигателями (19149).</w:t>
      </w:r>
    </w:p>
    <w:p w14:paraId="74EFA063" w14:textId="77777777" w:rsidR="0023773B" w:rsidRPr="005E779E" w:rsidRDefault="0023773B" w:rsidP="000B7A6C">
      <w:pPr>
        <w:spacing w:after="0" w:line="240" w:lineRule="auto"/>
        <w:jc w:val="both"/>
        <w:rPr>
          <w:rFonts w:ascii="Times New Roman" w:hAnsi="Times New Roman"/>
          <w:color w:val="000000" w:themeColor="text1"/>
          <w:sz w:val="16"/>
          <w:szCs w:val="16"/>
        </w:rPr>
      </w:pPr>
    </w:p>
    <w:p w14:paraId="27E8D99F"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2AF172B8"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BCABB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февралю 1931 НИИ ВВС разработал ТТТ для нового многоцелевого самолета, получившего наименование войскового (70,257).</w:t>
      </w:r>
    </w:p>
    <w:p w14:paraId="7B7618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CA8AD9E" w14:textId="77777777" w:rsidR="004121BA" w:rsidRPr="005E779E" w:rsidRDefault="004121B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февралю 1931 года НИИ ВВС разработало тактико-технические требования для нового самолета, получившего название “войскового”. А 4 июля 1932 года Совет Труда и Обороны поручил проектирование и строительство такой машины коллективу Харьковского авиационного завода опытного и серийного самолетостроения (ХАЗОСС) во главе с директором и главным конструктором К. А. Калининым (15552).</w:t>
      </w:r>
    </w:p>
    <w:p w14:paraId="6E198A32" w14:textId="77777777" w:rsidR="004121BA" w:rsidRPr="005E779E" w:rsidRDefault="004121BA" w:rsidP="000B7A6C">
      <w:pPr>
        <w:spacing w:after="0" w:line="240" w:lineRule="auto"/>
        <w:jc w:val="both"/>
        <w:rPr>
          <w:rFonts w:ascii="Times New Roman" w:hAnsi="Times New Roman"/>
          <w:color w:val="000000" w:themeColor="text1"/>
          <w:sz w:val="16"/>
          <w:szCs w:val="16"/>
        </w:rPr>
      </w:pPr>
    </w:p>
    <w:p w14:paraId="08B69D32" w14:textId="77777777" w:rsidR="008A0C3D" w:rsidRPr="00142305" w:rsidRDefault="008A0C3D" w:rsidP="008A0C3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февралю 1931 года НИИ ВВС разработало тактико-технические требования для нового многоцелевого самолета — замены Р-5, получившего название “войскового”. А 4 июля 1932 года Совет Труда и Обороны поручил проектирование и строительство такой машины коллективу Харьковского авиационного завода опытного и серийного самолетостроения (ХАЗОСС) во главе с директором и главным конструктором К. А. Калининым (25251).</w:t>
      </w:r>
    </w:p>
    <w:p w14:paraId="60B94BB9" w14:textId="77777777" w:rsidR="008A0C3D" w:rsidRPr="00142305" w:rsidRDefault="008A0C3D" w:rsidP="008A0C3D">
      <w:pPr>
        <w:spacing w:after="0" w:line="240" w:lineRule="auto"/>
        <w:jc w:val="both"/>
        <w:rPr>
          <w:rFonts w:ascii="Times New Roman" w:hAnsi="Times New Roman"/>
          <w:color w:val="0070C0"/>
          <w:sz w:val="16"/>
          <w:szCs w:val="16"/>
        </w:rPr>
      </w:pPr>
    </w:p>
    <w:p w14:paraId="64D78D7C" w14:textId="77777777" w:rsidR="002E524B" w:rsidRPr="005E779E" w:rsidRDefault="002E524B"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3C5BA87C" w14:textId="77777777" w:rsidR="002E524B" w:rsidRPr="005E779E" w:rsidRDefault="002E524B"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35B801B" w14:textId="77777777" w:rsidR="002E524B" w:rsidRPr="005E779E" w:rsidRDefault="002E524B" w:rsidP="000B7A6C">
      <w:pPr>
        <w:pStyle w:val="ae"/>
        <w:shd w:val="clear" w:color="auto" w:fill="FFFFFF"/>
        <w:spacing w:before="0" w:after="0"/>
        <w:jc w:val="both"/>
        <w:rPr>
          <w:color w:val="000000" w:themeColor="text1"/>
          <w:sz w:val="16"/>
          <w:szCs w:val="16"/>
        </w:rPr>
      </w:pPr>
      <w:r w:rsidRPr="005E779E">
        <w:rPr>
          <w:color w:val="000000" w:themeColor="text1"/>
          <w:sz w:val="16"/>
          <w:szCs w:val="16"/>
        </w:rPr>
        <w:t xml:space="preserve">К февралю 1931 года было принято решение о начале производства Т-26 на «Большевике». Из-за постоянных изменений плана по выпуску танков разобраться в этом хитросплетении очень сложно. Например, «Большевик» планировал произвести 370 танков, но со второй половины 1931 года Т-18 вообще пропадает из программы завода. В реальности же 1931 год стал самым «урожайным» для Т-18. 4-я серия стала самой массовой. Было заказано 430 танков, и все они были предъявлены на испытания к 1 января 1932 года. А вот заводские документы свидетельствуют о производстве в этот период от 750 до 790 танков. Этого не может быть физически, </w:t>
      </w:r>
      <w:r w:rsidRPr="005E779E">
        <w:rPr>
          <w:color w:val="000000" w:themeColor="text1"/>
          <w:sz w:val="16"/>
          <w:szCs w:val="16"/>
        </w:rPr>
        <w:lastRenderedPageBreak/>
        <w:t>поскольку к 15 марта 1932 года в Красной армии числилось всего 959 Т-18 (17724).</w:t>
      </w:r>
    </w:p>
    <w:p w14:paraId="084E443C" w14:textId="77777777" w:rsidR="002E524B" w:rsidRPr="005E779E" w:rsidRDefault="002E524B" w:rsidP="000B7A6C">
      <w:pPr>
        <w:spacing w:after="0" w:line="240" w:lineRule="auto"/>
        <w:jc w:val="both"/>
        <w:rPr>
          <w:rFonts w:ascii="Times New Roman" w:eastAsia="Times New Roman" w:hAnsi="Times New Roman"/>
          <w:color w:val="000000" w:themeColor="text1"/>
          <w:sz w:val="16"/>
          <w:szCs w:val="16"/>
          <w:lang w:eastAsia="ru-RU"/>
        </w:rPr>
      </w:pPr>
    </w:p>
    <w:p w14:paraId="3D9C5CA8"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329B6EFA"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FFD2D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февраля 1931 начались работы над АНТ-16 (ТБ-4) (514).</w:t>
      </w:r>
    </w:p>
    <w:p w14:paraId="7EC3DE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B4167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 февраля 1931 г. по 26 февраля 1931 г. на 1-м серийном самолете N 4273 завода N 1 проводились испытания стрелкового вооружения на серийном самолете И-5 (3208).</w:t>
      </w:r>
    </w:p>
    <w:p w14:paraId="572910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D6D7A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февраля 1931 г. из-за неисправности мотора были прерваны гос. испытания самолета И5-М15, которые шли с 12 декабря 1930 г. За указанный период произведено всего 8 полетов. Испытание самолета было продолжено при вторичном получении самолета с новым мотором 6 мая 1931 г. (3290,42-58).</w:t>
      </w:r>
    </w:p>
    <w:p w14:paraId="4BFA67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0744AB2" w14:textId="77777777" w:rsidR="001522BB" w:rsidRPr="005E779E" w:rsidRDefault="001522B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февраля 1931 года, после выполнения всего 8 полетов госиспытани И-5 “подарок” прекратили вовсе, опять же по причине отказа М-15. Но основные выводы были уже сделаны. В частности, И-5 М-15 даже с макетным вооружением оказал</w:t>
      </w:r>
      <w:r w:rsidRPr="005E779E">
        <w:rPr>
          <w:rFonts w:ascii="Times New Roman" w:hAnsi="Times New Roman"/>
          <w:color w:val="000000" w:themeColor="text1"/>
          <w:sz w:val="16"/>
          <w:szCs w:val="16"/>
        </w:rPr>
        <w:softHyphen/>
        <w:t>ся тяжелее на 80 кг, чем И-5 с «Юпитер» VI. Кроме того, летчикам не понравился новый капот, который заметно уменьшал обзор из кабины вперед.</w:t>
      </w:r>
    </w:p>
    <w:p w14:paraId="68627D2E" w14:textId="77777777" w:rsidR="001522BB" w:rsidRPr="005E779E" w:rsidRDefault="001522B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Далее последовал второй этап испытаний И-5 №3 с двигателем М-15, который прохо</w:t>
      </w:r>
      <w:r w:rsidRPr="005E779E">
        <w:rPr>
          <w:rFonts w:ascii="Times New Roman" w:hAnsi="Times New Roman"/>
          <w:color w:val="000000" w:themeColor="text1"/>
          <w:sz w:val="16"/>
          <w:szCs w:val="16"/>
        </w:rPr>
        <w:softHyphen/>
        <w:t>дил в период 6 мая - 15 июня 1931 года. Од</w:t>
      </w:r>
      <w:r w:rsidRPr="005E779E">
        <w:rPr>
          <w:rFonts w:ascii="Times New Roman" w:hAnsi="Times New Roman"/>
          <w:color w:val="000000" w:themeColor="text1"/>
          <w:sz w:val="16"/>
          <w:szCs w:val="16"/>
        </w:rPr>
        <w:softHyphen/>
        <w:t>нако этот самолет по-прежнему не имел во</w:t>
      </w:r>
      <w:r w:rsidRPr="005E779E">
        <w:rPr>
          <w:rFonts w:ascii="Times New Roman" w:hAnsi="Times New Roman"/>
          <w:color w:val="000000" w:themeColor="text1"/>
          <w:sz w:val="16"/>
          <w:szCs w:val="16"/>
        </w:rPr>
        <w:softHyphen/>
        <w:t>оружения и обладал множеством отличий от серийных образцов с индивидуальными об</w:t>
      </w:r>
      <w:r w:rsidRPr="005E779E">
        <w:rPr>
          <w:rFonts w:ascii="Times New Roman" w:hAnsi="Times New Roman"/>
          <w:color w:val="000000" w:themeColor="text1"/>
          <w:sz w:val="16"/>
          <w:szCs w:val="16"/>
        </w:rPr>
        <w:softHyphen/>
        <w:t>текателями цилиндров двигателя. Поэтому заводом № 39 был изготовлен еще один И-5 с двигателем М-15, который в основном по</w:t>
      </w:r>
      <w:r w:rsidRPr="005E779E">
        <w:rPr>
          <w:rFonts w:ascii="Times New Roman" w:hAnsi="Times New Roman"/>
          <w:color w:val="000000" w:themeColor="text1"/>
          <w:sz w:val="16"/>
          <w:szCs w:val="16"/>
        </w:rPr>
        <w:softHyphen/>
        <w:t>вторял серийные машины завода №1. Фо</w:t>
      </w:r>
      <w:r w:rsidRPr="005E779E">
        <w:rPr>
          <w:rFonts w:ascii="Times New Roman" w:hAnsi="Times New Roman"/>
          <w:color w:val="000000" w:themeColor="text1"/>
          <w:sz w:val="16"/>
          <w:szCs w:val="16"/>
        </w:rPr>
        <w:softHyphen/>
        <w:t>тографий этого самолета видеть не прихо</w:t>
      </w:r>
      <w:r w:rsidRPr="005E779E">
        <w:rPr>
          <w:rFonts w:ascii="Times New Roman" w:hAnsi="Times New Roman"/>
          <w:color w:val="000000" w:themeColor="text1"/>
          <w:sz w:val="16"/>
          <w:szCs w:val="16"/>
        </w:rPr>
        <w:softHyphen/>
        <w:t>дилось, однако в ряде документов указыва</w:t>
      </w:r>
      <w:r w:rsidRPr="005E779E">
        <w:rPr>
          <w:rFonts w:ascii="Times New Roman" w:hAnsi="Times New Roman"/>
          <w:color w:val="000000" w:themeColor="text1"/>
          <w:sz w:val="16"/>
          <w:szCs w:val="16"/>
        </w:rPr>
        <w:softHyphen/>
        <w:t>лось, что «данный экземпляр отличается из</w:t>
      </w:r>
      <w:r w:rsidRPr="005E779E">
        <w:rPr>
          <w:rFonts w:ascii="Times New Roman" w:hAnsi="Times New Roman"/>
          <w:color w:val="000000" w:themeColor="text1"/>
          <w:sz w:val="16"/>
          <w:szCs w:val="16"/>
        </w:rPr>
        <w:softHyphen/>
        <w:t>мененной головной частью». Возможно, на этом И-5 впервые использовали кольцо Та- уненда. Другим отличием этого образца, из</w:t>
      </w:r>
      <w:r w:rsidRPr="005E779E">
        <w:rPr>
          <w:rFonts w:ascii="Times New Roman" w:hAnsi="Times New Roman"/>
          <w:color w:val="000000" w:themeColor="text1"/>
          <w:sz w:val="16"/>
          <w:szCs w:val="16"/>
        </w:rPr>
        <w:softHyphen/>
        <w:t>вестного как И-5 №18, стало вооружение: верхние пулеметы были разнесены шире на 40 мм, а нижние заключены в трубы. Испы</w:t>
      </w:r>
      <w:r w:rsidRPr="005E779E">
        <w:rPr>
          <w:rFonts w:ascii="Times New Roman" w:hAnsi="Times New Roman"/>
          <w:color w:val="000000" w:themeColor="text1"/>
          <w:sz w:val="16"/>
          <w:szCs w:val="16"/>
        </w:rPr>
        <w:softHyphen/>
        <w:t>тания в НИИ ВВС И-5 № 18 с двигателем М-15 №6 начались 30 июля и были прерваны 15 августа 1931 года по причине поломки мо</w:t>
      </w:r>
      <w:r w:rsidRPr="005E779E">
        <w:rPr>
          <w:rFonts w:ascii="Times New Roman" w:hAnsi="Times New Roman"/>
          <w:color w:val="000000" w:themeColor="text1"/>
          <w:sz w:val="16"/>
          <w:szCs w:val="16"/>
        </w:rPr>
        <w:softHyphen/>
        <w:t>торамы. После ремонта самолет предъявили к тестированию с новым двигателем - М-15 №24109. Полеты начались 10 октября, а че</w:t>
      </w:r>
      <w:r w:rsidRPr="005E779E">
        <w:rPr>
          <w:rFonts w:ascii="Times New Roman" w:hAnsi="Times New Roman"/>
          <w:color w:val="000000" w:themeColor="text1"/>
          <w:sz w:val="16"/>
          <w:szCs w:val="16"/>
        </w:rPr>
        <w:softHyphen/>
        <w:t>рез несколько дней самолет потерпел аварию при выполнении вынужденной посад</w:t>
      </w:r>
      <w:r w:rsidRPr="005E779E">
        <w:rPr>
          <w:rFonts w:ascii="Times New Roman" w:hAnsi="Times New Roman"/>
          <w:color w:val="000000" w:themeColor="text1"/>
          <w:sz w:val="16"/>
          <w:szCs w:val="16"/>
        </w:rPr>
        <w:softHyphen/>
        <w:t>ки. Дальнейшая судьба машины не просле</w:t>
      </w:r>
      <w:r w:rsidRPr="005E779E">
        <w:rPr>
          <w:rFonts w:ascii="Times New Roman" w:hAnsi="Times New Roman"/>
          <w:color w:val="000000" w:themeColor="text1"/>
          <w:sz w:val="16"/>
          <w:szCs w:val="16"/>
        </w:rPr>
        <w:softHyphen/>
        <w:t>живается, однако из переписки завода №39 известно, что какой-то И-5 с М-15 потерпел аварию и не восстанавливался (вероятно это был И-5 №18) (12295).</w:t>
      </w:r>
    </w:p>
    <w:p w14:paraId="25694AD8" w14:textId="77777777" w:rsidR="001522BB" w:rsidRPr="005E779E" w:rsidRDefault="001522BB" w:rsidP="000B7A6C">
      <w:pPr>
        <w:spacing w:after="0" w:line="240" w:lineRule="auto"/>
        <w:jc w:val="both"/>
        <w:rPr>
          <w:rFonts w:ascii="Times New Roman" w:hAnsi="Times New Roman"/>
          <w:color w:val="000000" w:themeColor="text1"/>
          <w:sz w:val="16"/>
          <w:szCs w:val="16"/>
        </w:rPr>
      </w:pPr>
    </w:p>
    <w:p w14:paraId="536900F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февраля 1931 в НИИ ВВС закончились испытания И5 № 3 с мотором М15, которые проходили с 12 декабря 1930.</w:t>
      </w:r>
    </w:p>
    <w:p w14:paraId="7E57861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Результаты испытания (образца для серии) самолета И5 № 18 с мотором М15</w:t>
      </w:r>
    </w:p>
    <w:p w14:paraId="7EBFB8D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Выводы были сделаны на основании двух разновременных испытаний одного и того же самолета.</w:t>
      </w:r>
    </w:p>
    <w:p w14:paraId="1C2392A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Первый раз испытывался самолет И5 № 18 с мотором М15 № 6. Испытание было начато 30 июля 1931 года и прервано 15 августа 1931 года из-за поломки рамы моторной установки. Самолет И5 № 18 после ремонта вторично был предъявлен для испытания 10 октября 1931 года с другим мотором М15 № 24109 и с тем же винтом.</w:t>
      </w:r>
    </w:p>
    <w:p w14:paraId="1BBF176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И5 № 18 построен по типу серийных самолетов, т.е. отдельные части самолета изготовлялись на заводах №№ 39, 1 и 22, а вся сборка самолета произведена заводом № 39.</w:t>
      </w:r>
    </w:p>
    <w:p w14:paraId="0CF2478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сообщению завода № 39 данный самолет в сравнении с И5 Юп VI усилен ………….</w:t>
      </w:r>
    </w:p>
    <w:p w14:paraId="45AECFD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Цель испытаний</w:t>
      </w:r>
    </w:p>
    <w:p w14:paraId="5E688E7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 период с 12 декабря 1930 года по 1 февраля 1931 года и с 6 мая 1931 года по 15 июня 1931 года испытывался самолет И5 № 3 с мотором М15. Этот самолет не имел целого ряда деталей, требующихся для установки вооружения и оборудования и имел конструкцию (капотаж, моторы, установка пулеметов) отличную от предполагаемой в серийной постройке, поэтому полученные летные данные не могли быть показаны для серийных самолетов И5-М15. Установка вооружения на самолете И5 № 3 носила макетный характер, вследствие чего вооружение не могло быть испытано. Поэтому заводом № 39 был дан на испытание в НИИ ВВС другой самолет И5 № 18 с мотором М15, который должен быть принят как образец для серии. Данный самолет мог быть испытан только в отношении летных данных, так как вооружение его не было отлажено (при заводских испытаниях был отмечен перегрев верхних пулеметов и трещины у трубы нижних пулеметов) и правые пулеметы не имели левых приемников.</w:t>
      </w:r>
    </w:p>
    <w:p w14:paraId="6C2DAAB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 самолета И5-М15 отличается от вооружения самолета И5-ЮпVI тем, что верхние пулеметы разнесены на 40 мм больше и у нижних пулеметов поставлены трубы.</w:t>
      </w:r>
    </w:p>
    <w:p w14:paraId="2EFB1FA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Ход испытания</w:t>
      </w:r>
    </w:p>
    <w:p w14:paraId="72F8FB6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 период первого испытания самолет И5 № 18 произвел следующие полеты:</w:t>
      </w:r>
    </w:p>
    <w:p w14:paraId="54D102F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 июля 1931 года – полет на определение скороподъемности и горизонтальных скоростей на высотах 5000, 4000, 2000, 1000 м –45 минут</w:t>
      </w:r>
    </w:p>
    <w:p w14:paraId="716CB83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августа 1931 года – полет с целью определения скороподъемности, потолка и горизонтальных скоростей на высотах 7000, 6000, 5000 м. Определение расхода горючего на высоте 5000 м – 2 часа 5 минут</w:t>
      </w:r>
    </w:p>
    <w:p w14:paraId="72E31B8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августа 1931 года – полет на управляемость на 5000 и 3000 м. Определение расхода горючего на высоте 3000 м – 2 часа 20 минут</w:t>
      </w:r>
    </w:p>
    <w:p w14:paraId="0DA4AB7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 время второго испытания произведены следующие полеты:</w:t>
      </w:r>
    </w:p>
    <w:p w14:paraId="0153CE5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октября 1931 года - полет на управляемость и фигуры на высоте 1000 м. Полет с целью определения горизонтальных скоростей на высоте 100 м – 1 час 30 минут</w:t>
      </w:r>
    </w:p>
    <w:p w14:paraId="071F1FE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Испытание прервано из-за поломки самолета при вынужденной посадке. Вынужденная посадка произошла вследствие прекращения подачи бензина.</w:t>
      </w:r>
    </w:p>
    <w:p w14:paraId="5018451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w:t>
      </w:r>
    </w:p>
    <w:p w14:paraId="4E1ED2E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основании произведенных испытаний можно установить, что самолет И5 при постановке на него мотора М15 в серийной постройке будет иметь как худшие летные данные, так и меньший радиус действия, чем с мотором ЮпVI (6964, 32-40).</w:t>
      </w:r>
    </w:p>
    <w:p w14:paraId="0F8E377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F2D5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февра</w:t>
      </w:r>
      <w:r w:rsidRPr="005E779E">
        <w:rPr>
          <w:rFonts w:ascii="Times New Roman" w:hAnsi="Times New Roman"/>
          <w:color w:val="000000" w:themeColor="text1"/>
          <w:sz w:val="16"/>
          <w:szCs w:val="16"/>
        </w:rPr>
        <w:softHyphen/>
        <w:t>ли 1931 г., после выполнения всего 8 полетов, испытания И-5-3 с М-15 прекратили вовсе, опять же по причине отказа М-15. Но основные выводы были уже сде</w:t>
      </w:r>
      <w:r w:rsidRPr="005E779E">
        <w:rPr>
          <w:rFonts w:ascii="Times New Roman" w:hAnsi="Times New Roman"/>
          <w:color w:val="000000" w:themeColor="text1"/>
          <w:sz w:val="16"/>
          <w:szCs w:val="16"/>
        </w:rPr>
        <w:softHyphen/>
        <w:t>ланы. В частности, И-5 М-15 даже с макетным вооружением оказался тяжелее на 80 кг, чем И-5 с «Юпитер» VI. Летчикам не понравился новый капот, который заметно уменьшал обзор из кабины вперед.</w:t>
      </w:r>
    </w:p>
    <w:p w14:paraId="4807BA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Третий опытный образец истребителя, из</w:t>
      </w:r>
      <w:r w:rsidRPr="005E779E">
        <w:rPr>
          <w:rFonts w:ascii="Times New Roman" w:hAnsi="Times New Roman"/>
          <w:color w:val="000000" w:themeColor="text1"/>
          <w:sz w:val="16"/>
          <w:szCs w:val="16"/>
        </w:rPr>
        <w:softHyphen/>
        <w:t>вестный как И-5 №3 «Подарок XVI съезду ВКП (б.)», начал летать во второй половине 1930 г. Этот самолет с двигателем М-15 конструкции Бессонова, отличался наличием цилиндриче</w:t>
      </w:r>
      <w:r w:rsidRPr="005E779E">
        <w:rPr>
          <w:rFonts w:ascii="Times New Roman" w:hAnsi="Times New Roman"/>
          <w:color w:val="000000" w:themeColor="text1"/>
          <w:sz w:val="16"/>
          <w:szCs w:val="16"/>
        </w:rPr>
        <w:softHyphen/>
        <w:t xml:space="preserve">ского капота типа </w:t>
      </w:r>
      <w:r w:rsidRPr="005E779E">
        <w:rPr>
          <w:rFonts w:ascii="Times New Roman" w:hAnsi="Times New Roman"/>
          <w:color w:val="000000" w:themeColor="text1"/>
          <w:sz w:val="16"/>
          <w:szCs w:val="16"/>
          <w:lang w:val="en-US"/>
        </w:rPr>
        <w:t>NACA</w:t>
      </w:r>
      <w:r w:rsidRPr="005E779E">
        <w:rPr>
          <w:rFonts w:ascii="Times New Roman" w:hAnsi="Times New Roman"/>
          <w:color w:val="000000" w:themeColor="text1"/>
          <w:sz w:val="16"/>
          <w:szCs w:val="16"/>
        </w:rPr>
        <w:t>. Особыми его внешни</w:t>
      </w:r>
      <w:r w:rsidRPr="005E779E">
        <w:rPr>
          <w:rFonts w:ascii="Times New Roman" w:hAnsi="Times New Roman"/>
          <w:color w:val="000000" w:themeColor="text1"/>
          <w:sz w:val="16"/>
          <w:szCs w:val="16"/>
        </w:rPr>
        <w:softHyphen/>
        <w:t>ми отличиями были: надпись на борту фюзе</w:t>
      </w:r>
      <w:r w:rsidRPr="005E779E">
        <w:rPr>
          <w:rFonts w:ascii="Times New Roman" w:hAnsi="Times New Roman"/>
          <w:color w:val="000000" w:themeColor="text1"/>
          <w:sz w:val="16"/>
          <w:szCs w:val="16"/>
        </w:rPr>
        <w:softHyphen/>
        <w:t>ляжа - «XVI съезду В.К.П. (б)» и изогнутая стрела на руле поворота. Вполне вероятно, что данный экземпляр предполагался для личного пользования командующего ПВО Московского военного округа И.У. Павлова - все его именные самолеты имели на борту надпись «За В.К.П. (б)» и изогнутую стрелу на руле пово</w:t>
      </w:r>
      <w:r w:rsidRPr="005E779E">
        <w:rPr>
          <w:rFonts w:ascii="Times New Roman" w:hAnsi="Times New Roman"/>
          <w:color w:val="000000" w:themeColor="text1"/>
          <w:sz w:val="16"/>
          <w:szCs w:val="16"/>
        </w:rPr>
        <w:softHyphen/>
        <w:t>рота.</w:t>
      </w:r>
    </w:p>
    <w:p w14:paraId="6B87C2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Далее последовал второй этап испытаний И-5 №3 с двигателем М-15, который проходил в период 6 мая - 15 июня 1931 г. Однако этот ополет по-прежнему не имел вооружения и обладал множеством отличий от серийных об</w:t>
      </w:r>
      <w:r w:rsidRPr="005E779E">
        <w:rPr>
          <w:rFonts w:ascii="Times New Roman" w:hAnsi="Times New Roman"/>
          <w:color w:val="000000" w:themeColor="text1"/>
          <w:sz w:val="16"/>
          <w:szCs w:val="16"/>
        </w:rPr>
        <w:softHyphen/>
        <w:t>разцов с индивидуальными обтекателями цилиндров двигателя. Поэтому заводом № 39 был изготовлен еще один самолет с двигате</w:t>
      </w:r>
      <w:r w:rsidRPr="005E779E">
        <w:rPr>
          <w:rFonts w:ascii="Times New Roman" w:hAnsi="Times New Roman"/>
          <w:color w:val="000000" w:themeColor="text1"/>
          <w:sz w:val="16"/>
          <w:szCs w:val="16"/>
        </w:rPr>
        <w:softHyphen/>
        <w:t>лем М-15, который в основном повторял серийные И-5 завода № 1. Фотографий этого самолета видеть не приходилось, однако в ряде документов указывалось, что «данный экземпляр отличается измененной головной частью». Возможно, на этом И-5 впервые использовали кольцо Тауненда. Другим отличи</w:t>
      </w:r>
      <w:r w:rsidRPr="005E779E">
        <w:rPr>
          <w:rFonts w:ascii="Times New Roman" w:hAnsi="Times New Roman"/>
          <w:color w:val="000000" w:themeColor="text1"/>
          <w:sz w:val="16"/>
          <w:szCs w:val="16"/>
        </w:rPr>
        <w:softHyphen/>
        <w:t>ем этого образца, известного как И-5 №18, стало вооружение: верхние пулеметы были разнесены шире на 40 мм, а нижние заключе</w:t>
      </w:r>
      <w:r w:rsidRPr="005E779E">
        <w:rPr>
          <w:rFonts w:ascii="Times New Roman" w:hAnsi="Times New Roman"/>
          <w:color w:val="000000" w:themeColor="text1"/>
          <w:sz w:val="16"/>
          <w:szCs w:val="16"/>
        </w:rPr>
        <w:softHyphen/>
        <w:t>на в трубы. Испытания в НИИ ВВС И-5 № 18 с двигателем М-15 № 6 начались 30 июля и были прерваны 15 августа 1931 г. по причине по</w:t>
      </w:r>
      <w:r w:rsidRPr="005E779E">
        <w:rPr>
          <w:rFonts w:ascii="Times New Roman" w:hAnsi="Times New Roman"/>
          <w:color w:val="000000" w:themeColor="text1"/>
          <w:sz w:val="16"/>
          <w:szCs w:val="16"/>
        </w:rPr>
        <w:softHyphen/>
        <w:t>ломки моторамы. После ремонта самолет предъявили к тестированию с новым двигате</w:t>
      </w:r>
      <w:r w:rsidRPr="005E779E">
        <w:rPr>
          <w:rFonts w:ascii="Times New Roman" w:hAnsi="Times New Roman"/>
          <w:color w:val="000000" w:themeColor="text1"/>
          <w:sz w:val="16"/>
          <w:szCs w:val="16"/>
        </w:rPr>
        <w:softHyphen/>
        <w:t>лем - М-15 № 24109. Полеты начались 10 ок</w:t>
      </w:r>
      <w:r w:rsidRPr="005E779E">
        <w:rPr>
          <w:rFonts w:ascii="Times New Roman" w:hAnsi="Times New Roman"/>
          <w:color w:val="000000" w:themeColor="text1"/>
          <w:sz w:val="16"/>
          <w:szCs w:val="16"/>
        </w:rPr>
        <w:softHyphen/>
        <w:t>тября, а через несколько дней самолет потерпел аварию при выполнении вынужденной по</w:t>
      </w:r>
      <w:r w:rsidRPr="005E779E">
        <w:rPr>
          <w:rFonts w:ascii="Times New Roman" w:hAnsi="Times New Roman"/>
          <w:color w:val="000000" w:themeColor="text1"/>
          <w:sz w:val="16"/>
          <w:szCs w:val="16"/>
        </w:rPr>
        <w:softHyphen/>
        <w:t>садки. Дальнейшая судьба машины не просле живется, однако из переписки завода №39 известно, что какой-то И-5 с М-15 потерпел аварию и не восстанавливался (вероятно это был И-5 №18).</w:t>
      </w:r>
    </w:p>
    <w:p w14:paraId="524E34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 смотря на аварию, основные выводы в отношении испытывавшегося самолета были, получены. В частности, указывалось, что се</w:t>
      </w:r>
      <w:r w:rsidRPr="005E779E">
        <w:rPr>
          <w:rFonts w:ascii="Times New Roman" w:hAnsi="Times New Roman"/>
          <w:color w:val="000000" w:themeColor="text1"/>
          <w:sz w:val="16"/>
          <w:szCs w:val="16"/>
        </w:rPr>
        <w:softHyphen/>
        <w:t>рийные И-5 с М-15 будут обладать худшими летными данными и меньшим радиусом дей</w:t>
      </w:r>
      <w:r w:rsidRPr="005E779E">
        <w:rPr>
          <w:rFonts w:ascii="Times New Roman" w:hAnsi="Times New Roman"/>
          <w:color w:val="000000" w:themeColor="text1"/>
          <w:sz w:val="16"/>
          <w:szCs w:val="16"/>
        </w:rPr>
        <w:softHyphen/>
        <w:t>ствия, чем И-5 с двигателем «Юпитер» VI. Максимальная полетная скорость самолета с М-15 оказалась немного выше, а скороподъем</w:t>
      </w:r>
      <w:r w:rsidRPr="005E779E">
        <w:rPr>
          <w:rFonts w:ascii="Times New Roman" w:hAnsi="Times New Roman"/>
          <w:color w:val="000000" w:themeColor="text1"/>
          <w:sz w:val="16"/>
          <w:szCs w:val="16"/>
        </w:rPr>
        <w:softHyphen/>
        <w:t>ность чуть ниже, чем у второго опытного эк</w:t>
      </w:r>
      <w:r w:rsidRPr="005E779E">
        <w:rPr>
          <w:rFonts w:ascii="Times New Roman" w:hAnsi="Times New Roman"/>
          <w:color w:val="000000" w:themeColor="text1"/>
          <w:sz w:val="16"/>
          <w:szCs w:val="16"/>
        </w:rPr>
        <w:softHyphen/>
        <w:t>земпляра.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B65F32" w:rsidRPr="005E779E" w14:paraId="34CE244D" w14:textId="77777777">
        <w:tc>
          <w:tcPr>
            <w:tcW w:w="3736" w:type="dxa"/>
            <w:tcBorders>
              <w:top w:val="single" w:sz="12" w:space="0" w:color="auto"/>
            </w:tcBorders>
          </w:tcPr>
          <w:p w14:paraId="1D4B63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736" w:type="dxa"/>
            <w:tcBorders>
              <w:top w:val="single" w:sz="12" w:space="0" w:color="auto"/>
            </w:tcBorders>
          </w:tcPr>
          <w:p w14:paraId="703F86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 М-15</w:t>
            </w:r>
          </w:p>
        </w:tc>
        <w:tc>
          <w:tcPr>
            <w:tcW w:w="3736" w:type="dxa"/>
            <w:tcBorders>
              <w:top w:val="single" w:sz="12" w:space="0" w:color="auto"/>
            </w:tcBorders>
          </w:tcPr>
          <w:p w14:paraId="501AF2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 Ю</w:t>
            </w:r>
            <w:r w:rsidRPr="005E779E">
              <w:rPr>
                <w:rFonts w:ascii="Times New Roman" w:hAnsi="Times New Roman"/>
                <w:color w:val="000000" w:themeColor="text1"/>
                <w:sz w:val="16"/>
                <w:szCs w:val="16"/>
                <w:lang w:val="en-US"/>
              </w:rPr>
              <w:t>-VI</w:t>
            </w:r>
          </w:p>
        </w:tc>
      </w:tr>
      <w:tr w:rsidR="00B65F32" w:rsidRPr="005E779E" w14:paraId="07FE7317" w14:textId="77777777">
        <w:tc>
          <w:tcPr>
            <w:tcW w:w="3736" w:type="dxa"/>
          </w:tcPr>
          <w:p w14:paraId="63537D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Скорость максимальная на 1000 м (км/ч)</w:t>
            </w:r>
          </w:p>
        </w:tc>
        <w:tc>
          <w:tcPr>
            <w:tcW w:w="3736" w:type="dxa"/>
          </w:tcPr>
          <w:p w14:paraId="15110D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266</w:t>
            </w:r>
          </w:p>
        </w:tc>
        <w:tc>
          <w:tcPr>
            <w:tcW w:w="3736" w:type="dxa"/>
          </w:tcPr>
          <w:p w14:paraId="4A49B0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258</w:t>
            </w:r>
          </w:p>
        </w:tc>
      </w:tr>
      <w:tr w:rsidR="00B65F32" w:rsidRPr="005E779E" w14:paraId="39B7E83E" w14:textId="77777777">
        <w:tc>
          <w:tcPr>
            <w:tcW w:w="3736" w:type="dxa"/>
            <w:tcBorders>
              <w:bottom w:val="single" w:sz="12" w:space="0" w:color="auto"/>
            </w:tcBorders>
          </w:tcPr>
          <w:p w14:paraId="4791F4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набора 3000 м (мин.)</w:t>
            </w:r>
          </w:p>
        </w:tc>
        <w:tc>
          <w:tcPr>
            <w:tcW w:w="3736" w:type="dxa"/>
            <w:tcBorders>
              <w:bottom w:val="single" w:sz="12" w:space="0" w:color="auto"/>
            </w:tcBorders>
          </w:tcPr>
          <w:p w14:paraId="4559CB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4,75</w:t>
            </w:r>
          </w:p>
        </w:tc>
        <w:tc>
          <w:tcPr>
            <w:tcW w:w="3736" w:type="dxa"/>
            <w:tcBorders>
              <w:bottom w:val="single" w:sz="12" w:space="0" w:color="auto"/>
            </w:tcBorders>
          </w:tcPr>
          <w:p w14:paraId="20F388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4,68</w:t>
            </w:r>
          </w:p>
        </w:tc>
      </w:tr>
    </w:tbl>
    <w:p w14:paraId="5F5553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тем, значительные усилия, потра</w:t>
      </w:r>
      <w:r w:rsidRPr="005E779E">
        <w:rPr>
          <w:rFonts w:ascii="Times New Roman" w:hAnsi="Times New Roman"/>
          <w:color w:val="000000" w:themeColor="text1"/>
          <w:sz w:val="16"/>
          <w:szCs w:val="16"/>
        </w:rPr>
        <w:softHyphen/>
        <w:t>ченные на внедрение М-15 в производство, и большие на него надежды обусловили про</w:t>
      </w:r>
      <w:r w:rsidRPr="005E779E">
        <w:rPr>
          <w:rFonts w:ascii="Times New Roman" w:hAnsi="Times New Roman"/>
          <w:color w:val="000000" w:themeColor="text1"/>
          <w:sz w:val="16"/>
          <w:szCs w:val="16"/>
        </w:rPr>
        <w:softHyphen/>
        <w:t>должение работ по его внедрению. Было ре</w:t>
      </w:r>
      <w:r w:rsidRPr="005E779E">
        <w:rPr>
          <w:rFonts w:ascii="Times New Roman" w:hAnsi="Times New Roman"/>
          <w:color w:val="000000" w:themeColor="text1"/>
          <w:sz w:val="16"/>
          <w:szCs w:val="16"/>
        </w:rPr>
        <w:softHyphen/>
        <w:t>шено, что в числе первой сотни серийных истребителей должны быть 10 машин с М-15, поэтому еще один самолет оснастили таким двигателем. Он прибыл на аэродром 25 но</w:t>
      </w:r>
      <w:r w:rsidRPr="005E779E">
        <w:rPr>
          <w:rFonts w:ascii="Times New Roman" w:hAnsi="Times New Roman"/>
          <w:color w:val="000000" w:themeColor="text1"/>
          <w:sz w:val="16"/>
          <w:szCs w:val="16"/>
        </w:rPr>
        <w:softHyphen/>
        <w:t>ября 1931 г., далее доводился в бригаде С.А. Кочеригина, в которой готовили чертежи для серийного производства. Впрочем, уже в конце 1931 г. от использования М-15 отказа</w:t>
      </w:r>
      <w:r w:rsidRPr="005E779E">
        <w:rPr>
          <w:rFonts w:ascii="Times New Roman" w:hAnsi="Times New Roman"/>
          <w:color w:val="000000" w:themeColor="text1"/>
          <w:sz w:val="16"/>
          <w:szCs w:val="16"/>
        </w:rPr>
        <w:softHyphen/>
        <w:t>лись и более И-5 с этими двигателями не строились (11974).</w:t>
      </w:r>
    </w:p>
    <w:p w14:paraId="677F07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C4B5F91" w14:textId="77777777" w:rsidR="00777DEF" w:rsidRPr="005E779E" w:rsidRDefault="00777DE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1 февраля 1931 г. при центральном конструкторском бюро /ЦКБ/ организован 5-й /морской/ отдел, в котором были объедииены все работы по гидросамолетам. Отдел был организован по инициативе инженера Игоря Вячеславовича Четверикова, ставшего его начальником. За время своего существования отдел построил летающие лодки МБР-2, МБР-3, поплавковый Р-5 и др.</w:t>
      </w:r>
    </w:p>
    <w:p w14:paraId="529E2334" w14:textId="11056F9E" w:rsidR="00777DEF" w:rsidRPr="005E779E" w:rsidRDefault="00777DE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материалам В.Б.Шаврова/ (23370).</w:t>
      </w:r>
    </w:p>
    <w:p w14:paraId="1897AC3C" w14:textId="77777777" w:rsidR="00777DEF" w:rsidRPr="005E779E" w:rsidRDefault="00777DEF" w:rsidP="000B7A6C">
      <w:pPr>
        <w:spacing w:after="0" w:line="240" w:lineRule="auto"/>
        <w:jc w:val="both"/>
        <w:rPr>
          <w:rFonts w:ascii="Times New Roman" w:hAnsi="Times New Roman"/>
          <w:color w:val="000000" w:themeColor="text1"/>
          <w:sz w:val="16"/>
          <w:szCs w:val="16"/>
        </w:rPr>
      </w:pPr>
    </w:p>
    <w:p w14:paraId="0F5908A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февраля 1931 на седьмом часу ра</w:t>
      </w:r>
      <w:r w:rsidRPr="005E779E">
        <w:rPr>
          <w:rFonts w:ascii="Times New Roman" w:hAnsi="Times New Roman"/>
          <w:color w:val="000000" w:themeColor="text1"/>
          <w:sz w:val="16"/>
          <w:szCs w:val="16"/>
        </w:rPr>
        <w:softHyphen/>
        <w:t>боты «гибрид» цилиндро-поршневой группы М-34 и картера Юнкерса 15, испытывающийся на станке в Рыбинске с 28 января 1931, вышел из строя. Но он принес немало пользы: в частно</w:t>
      </w:r>
      <w:r w:rsidRPr="005E779E">
        <w:rPr>
          <w:rFonts w:ascii="Times New Roman" w:hAnsi="Times New Roman"/>
          <w:color w:val="000000" w:themeColor="text1"/>
          <w:sz w:val="16"/>
          <w:szCs w:val="16"/>
        </w:rPr>
        <w:softHyphen/>
        <w:t>сти, учитывая его недостатки, изме</w:t>
      </w:r>
      <w:r w:rsidRPr="005E779E">
        <w:rPr>
          <w:rFonts w:ascii="Times New Roman" w:hAnsi="Times New Roman"/>
          <w:color w:val="000000" w:themeColor="text1"/>
          <w:sz w:val="16"/>
          <w:szCs w:val="16"/>
        </w:rPr>
        <w:softHyphen/>
        <w:t>нили головку блока. Отремонтиро</w:t>
      </w:r>
      <w:r w:rsidRPr="005E779E">
        <w:rPr>
          <w:rFonts w:ascii="Times New Roman" w:hAnsi="Times New Roman"/>
          <w:color w:val="000000" w:themeColor="text1"/>
          <w:sz w:val="16"/>
          <w:szCs w:val="16"/>
        </w:rPr>
        <w:softHyphen/>
        <w:t>ванная «половинка» испытывалась, по крайней мере, до конца мая (11848).</w:t>
      </w:r>
    </w:p>
    <w:p w14:paraId="65AD8F1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A2C2B3" w14:textId="7A02823D" w:rsidR="008A0C3D" w:rsidRPr="005E779E" w:rsidRDefault="008A0C3D" w:rsidP="008A0C3D">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Другие оборонные отрасли</w:t>
      </w:r>
      <w:r w:rsidRPr="005E779E">
        <w:rPr>
          <w:rFonts w:ascii="Times New Roman" w:hAnsi="Times New Roman"/>
          <w:i/>
          <w:iCs/>
          <w:color w:val="000000" w:themeColor="text1"/>
          <w:sz w:val="16"/>
          <w:szCs w:val="16"/>
        </w:rPr>
        <w:t>:</w:t>
      </w:r>
    </w:p>
    <w:p w14:paraId="5F14462F" w14:textId="77777777" w:rsidR="008A0C3D" w:rsidRPr="005E779E" w:rsidRDefault="008A0C3D" w:rsidP="008A0C3D">
      <w:pPr>
        <w:autoSpaceDE w:val="0"/>
        <w:autoSpaceDN w:val="0"/>
        <w:adjustRightInd w:val="0"/>
        <w:spacing w:after="0" w:line="240" w:lineRule="auto"/>
        <w:jc w:val="both"/>
        <w:rPr>
          <w:rFonts w:ascii="Times New Roman" w:hAnsi="Times New Roman"/>
          <w:iCs/>
          <w:color w:val="000000" w:themeColor="text1"/>
          <w:sz w:val="16"/>
          <w:szCs w:val="16"/>
        </w:rPr>
      </w:pPr>
    </w:p>
    <w:p w14:paraId="363C9247" w14:textId="77777777" w:rsidR="008A0C3D" w:rsidRPr="00142305" w:rsidRDefault="008A0C3D" w:rsidP="008A0C3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состоянию на 1 февраля 1931 года в СССР прибыло всего два «двенадцатитонника», которые поступили на НИБТ</w:t>
      </w:r>
    </w:p>
    <w:p w14:paraId="4CC489CE" w14:textId="77777777" w:rsidR="008A0C3D" w:rsidRPr="00142305" w:rsidRDefault="008A0C3D" w:rsidP="008A0C3D">
      <w:pPr>
        <w:spacing w:after="0" w:line="240" w:lineRule="auto"/>
        <w:jc w:val="both"/>
        <w:rPr>
          <w:rFonts w:ascii="Times New Roman" w:hAnsi="Times New Roman"/>
          <w:color w:val="0070C0"/>
          <w:sz w:val="16"/>
          <w:szCs w:val="16"/>
        </w:rPr>
      </w:pPr>
    </w:p>
    <w:p w14:paraId="4E5817F6"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249C1CB3"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405BA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февраля 1931 торжественно открыли Центральную фабрику Союзкино - Мосфильм (3960,45).</w:t>
      </w:r>
    </w:p>
    <w:p w14:paraId="3ADCE2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6DDDB06" w14:textId="77777777" w:rsidR="001522BB" w:rsidRPr="005E779E" w:rsidRDefault="001522BB"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1 февраля 1931 </w:t>
      </w:r>
      <w:r w:rsidRPr="005E779E">
        <w:rPr>
          <w:rFonts w:ascii="Times New Roman" w:hAnsi="Times New Roman"/>
          <w:color w:val="000000" w:themeColor="text1"/>
          <w:sz w:val="16"/>
          <w:szCs w:val="16"/>
        </w:rPr>
        <w:t>СНК приняло постановление «О работе сберегательных касс и развитии сберегательного дела» (12265).</w:t>
      </w:r>
    </w:p>
    <w:p w14:paraId="482846A0" w14:textId="77777777" w:rsidR="001522BB" w:rsidRPr="005E779E" w:rsidRDefault="001522B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4C2A52F9" w14:textId="77777777" w:rsidR="0084298A"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0EBDF50C" w14:textId="77777777" w:rsidR="0084298A" w:rsidRPr="005E779E" w:rsidRDefault="0084298A"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86E97FD" w14:textId="77777777" w:rsidR="0084298A" w:rsidRPr="005E779E" w:rsidRDefault="0084298A"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1 февраля</w:t>
      </w:r>
      <w:r w:rsidRPr="005E779E">
        <w:rPr>
          <w:rFonts w:ascii="Times New Roman" w:hAnsi="Times New Roman"/>
          <w:color w:val="000000" w:themeColor="text1"/>
          <w:sz w:val="16"/>
          <w:szCs w:val="16"/>
        </w:rPr>
        <w:t xml:space="preserve"> в 1931 году в этот день на легком многоцелевом самолете </w:t>
      </w:r>
      <w:hyperlink r:id="rId19" w:tgtFrame="_blank" w:history="1">
        <w:r w:rsidRPr="005E779E">
          <w:rPr>
            <w:rFonts w:ascii="Times New Roman" w:hAnsi="Times New Roman"/>
            <w:color w:val="000000" w:themeColor="text1"/>
            <w:sz w:val="16"/>
            <w:szCs w:val="16"/>
          </w:rPr>
          <w:t xml:space="preserve">«L-2» </w:t>
        </w:r>
      </w:hyperlink>
      <w:r w:rsidRPr="005E779E">
        <w:rPr>
          <w:rFonts w:ascii="Times New Roman" w:hAnsi="Times New Roman"/>
          <w:color w:val="000000" w:themeColor="text1"/>
          <w:sz w:val="16"/>
          <w:szCs w:val="16"/>
        </w:rPr>
        <w:t>(с регистрационными SP-AFA) польские авиаторы капитан Скаржинский и поручик Андрей Маркиевич вылетели в направлении Африки. За этот полет самолет получил наименование "Afrykanka" (15027).</w:t>
      </w:r>
    </w:p>
    <w:p w14:paraId="35C99B74" w14:textId="77777777" w:rsidR="0084298A" w:rsidRPr="005E779E" w:rsidRDefault="0084298A" w:rsidP="000B7A6C">
      <w:pPr>
        <w:spacing w:after="0" w:line="240" w:lineRule="auto"/>
        <w:jc w:val="both"/>
        <w:rPr>
          <w:rFonts w:ascii="Times New Roman" w:hAnsi="Times New Roman"/>
          <w:color w:val="000000" w:themeColor="text1"/>
          <w:sz w:val="16"/>
          <w:szCs w:val="16"/>
        </w:rPr>
      </w:pPr>
    </w:p>
    <w:p w14:paraId="19EE7E1B" w14:textId="77777777" w:rsidR="009A487A" w:rsidRPr="005E779E" w:rsidRDefault="009A487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февраля 1931 польский пилот Станислав Скаржиньски начинает путешествие длиной 25050 километров (15560 миль) вокруг Африки на PZL Ł.2 . Завершит он его 5 мая (20804).</w:t>
      </w:r>
    </w:p>
    <w:p w14:paraId="6D689EFB" w14:textId="77777777" w:rsidR="009A487A" w:rsidRPr="005E779E" w:rsidRDefault="009A487A" w:rsidP="000B7A6C">
      <w:pPr>
        <w:spacing w:after="0" w:line="240" w:lineRule="auto"/>
        <w:jc w:val="both"/>
        <w:rPr>
          <w:rFonts w:ascii="Times New Roman" w:hAnsi="Times New Roman"/>
          <w:color w:val="000000" w:themeColor="text1"/>
          <w:sz w:val="16"/>
          <w:szCs w:val="16"/>
        </w:rPr>
      </w:pPr>
    </w:p>
    <w:p w14:paraId="61A806D5" w14:textId="77777777" w:rsidR="009A487A" w:rsidRPr="005E779E" w:rsidRDefault="009A487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февраля 1931 года — первый полёт бомбардировщика-разведчика SPCA 30 (он же SPCA Type III)</w:t>
      </w:r>
    </w:p>
    <w:p w14:paraId="061AF8C4" w14:textId="77777777" w:rsidR="009A487A" w:rsidRPr="005E779E" w:rsidRDefault="009A487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1928 году правительство Франции начало программу разработки многоместного многоцелевого боевого самолёта. В конкурсе приняли участие все крупнейшие производители — Breguet, Amiot, Blériot и другие. Предложила свой проект и компания Société Provençale de Constructions Aéronautiques (SPCA), которая до этого в основном занималась самолётами для флота.</w:t>
      </w:r>
    </w:p>
    <w:p w14:paraId="53C63372" w14:textId="77777777" w:rsidR="009A487A" w:rsidRPr="005E779E" w:rsidRDefault="009A487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Оригинальная двухбалочная конструкция была призвана снизить число мёртвых зон при стрельбе назад и вниз. Позиции стрелков находились в носовой части и в каждой из балок. SPCA Type III стал первым цельнометаллическим самолётом компании.</w:t>
      </w:r>
    </w:p>
    <w:p w14:paraId="75B077C0" w14:textId="77777777" w:rsidR="009A487A" w:rsidRPr="005E779E" w:rsidRDefault="009A487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Испытания показали, что бомбардировщик получился неудачным. При полёте на полной мощности двигателей проявлялось скручивание крыла, что отрицательно влияло на управляемость. Все попытки инженеров компании устранить недостатки успехом не увенчались. Проект SPCA 30 закрыли, построив 2 опытных экземпляра (22300).</w:t>
      </w:r>
    </w:p>
    <w:p w14:paraId="0DEEEAB4" w14:textId="77777777" w:rsidR="009A487A" w:rsidRPr="005E779E" w:rsidRDefault="009A487A" w:rsidP="000B7A6C">
      <w:pPr>
        <w:spacing w:after="0" w:line="240" w:lineRule="auto"/>
        <w:jc w:val="both"/>
        <w:rPr>
          <w:rFonts w:ascii="Times New Roman" w:hAnsi="Times New Roman"/>
          <w:color w:val="000000" w:themeColor="text1"/>
          <w:sz w:val="16"/>
          <w:szCs w:val="16"/>
        </w:rPr>
      </w:pPr>
    </w:p>
    <w:p w14:paraId="125D831E"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287BBE70"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E458C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февраля 1931 постановлением РВС были утверждены основные данные нагрузок ТБ-4 6М-34, принято решение об установке 4хМ-35 или 6М-34 с установкой на опытный 6РР с НХП и постройке 2-х вариантов: дюралевого с площадью крыльев 410 м и стального с площадью 340 м (3029).</w:t>
      </w:r>
    </w:p>
    <w:p w14:paraId="3D2925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E856C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февраля 1931 на заводе 45 в Севастополе утвердили эталонный образец доработанного HD.55 под обозначением КР-1. В течение сентября переделали три машины (1083,7).</w:t>
      </w:r>
    </w:p>
    <w:p w14:paraId="0FAE82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4C5BA9D" w14:textId="77777777" w:rsidR="0084298A"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2094FBF1" w14:textId="77777777" w:rsidR="0084298A" w:rsidRPr="005E779E" w:rsidRDefault="0084298A"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58E0F46" w14:textId="77777777" w:rsidR="009A487A" w:rsidRPr="005E779E" w:rsidRDefault="009A487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февраля 1931 состоялся первый полет Latécoère 350 (20804).</w:t>
      </w:r>
    </w:p>
    <w:p w14:paraId="05ECA21C" w14:textId="77777777" w:rsidR="009A487A" w:rsidRPr="005E779E" w:rsidRDefault="009A487A" w:rsidP="000B7A6C">
      <w:pPr>
        <w:spacing w:after="0" w:line="240" w:lineRule="auto"/>
        <w:jc w:val="both"/>
        <w:rPr>
          <w:rFonts w:ascii="Times New Roman" w:hAnsi="Times New Roman"/>
          <w:color w:val="000000" w:themeColor="text1"/>
          <w:sz w:val="16"/>
          <w:szCs w:val="16"/>
        </w:rPr>
      </w:pPr>
    </w:p>
    <w:p w14:paraId="6213D00E" w14:textId="77777777" w:rsidR="009A487A" w:rsidRPr="005E779E" w:rsidRDefault="009A487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февраля 1931 года — первый полёт пассажирского самолёта Latécoère 35-0. /Франция/</w:t>
      </w:r>
    </w:p>
    <w:p w14:paraId="2D2198A8" w14:textId="77777777" w:rsidR="009A487A" w:rsidRPr="005E779E" w:rsidRDefault="009A487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успеха Latécoère 28 компания Forges et Ateliers de Construction Latécoère решила разработать на его базе новый пассажирский самолёт. Он должен быть более вместительным и достаточно надёжным для ночных полётов. Проект получил обозначение Latécoère 35-0.</w:t>
      </w:r>
    </w:p>
    <w:p w14:paraId="7CEA2A43" w14:textId="77777777" w:rsidR="009A487A" w:rsidRPr="005E779E" w:rsidRDefault="009A487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Как и его предшественник, Latécoère 35-0 был высокопланом смешанной конструкции (дерево, сталь и алюминий) с неубираемым шасси. Оснащался 3 × двигателями Hispano-Suiza 12Jb (400 л.с.) Крейсерская скорость — 200 км/ч, дальность полёта — 800 км. В комфортном салоне размещалось 10 пассажиров. Экипаж состоял из 2-3 человек.</w:t>
      </w:r>
    </w:p>
    <w:p w14:paraId="3E644640" w14:textId="77777777" w:rsidR="009A487A" w:rsidRPr="005E779E" w:rsidRDefault="009A487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первый полёт Latécoère 35-0 поднял известный лётчик и писатель Антуан де Сент-Экзюпери. Но успешным самолёт не стал. Он был перетяжелён на 30% и мощности двигателей стало не хватать. Не удалось достичь и запланированной максимальной скорости. Проект был закрыт в 1933 году (22300).</w:t>
      </w:r>
    </w:p>
    <w:p w14:paraId="27E7CD1C" w14:textId="77777777" w:rsidR="009A487A" w:rsidRPr="005E779E" w:rsidRDefault="009A487A" w:rsidP="000B7A6C">
      <w:pPr>
        <w:spacing w:after="0" w:line="240" w:lineRule="auto"/>
        <w:jc w:val="both"/>
        <w:rPr>
          <w:rFonts w:ascii="Times New Roman" w:hAnsi="Times New Roman"/>
          <w:color w:val="000000" w:themeColor="text1"/>
          <w:sz w:val="16"/>
          <w:szCs w:val="16"/>
        </w:rPr>
      </w:pPr>
    </w:p>
    <w:p w14:paraId="02B46612" w14:textId="77777777" w:rsidR="009A487A" w:rsidRPr="005E779E" w:rsidRDefault="009A487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февраля 1931 - Первый полет транспортного самолета Late-35, разработанного французской фирмой Societe Industrielle d'Aviation Latecoere, оборудованного двигателями Hispano-Suiza 12Jb мощностью 400 л.с. (22636).</w:t>
      </w:r>
    </w:p>
    <w:p w14:paraId="5DBC6B2C" w14:textId="77777777" w:rsidR="009A487A" w:rsidRPr="005E779E" w:rsidRDefault="009A487A" w:rsidP="000B7A6C">
      <w:pPr>
        <w:spacing w:after="0" w:line="240" w:lineRule="auto"/>
        <w:jc w:val="both"/>
        <w:rPr>
          <w:rFonts w:ascii="Times New Roman" w:hAnsi="Times New Roman"/>
          <w:color w:val="000000" w:themeColor="text1"/>
          <w:sz w:val="16"/>
          <w:szCs w:val="16"/>
        </w:rPr>
      </w:pPr>
    </w:p>
    <w:p w14:paraId="0E921D67" w14:textId="77777777" w:rsidR="0084298A" w:rsidRPr="005E779E" w:rsidRDefault="0084298A"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2 февраля</w:t>
      </w:r>
      <w:r w:rsidRPr="005E779E">
        <w:rPr>
          <w:rFonts w:ascii="Times New Roman" w:hAnsi="Times New Roman"/>
          <w:color w:val="000000" w:themeColor="text1"/>
          <w:sz w:val="16"/>
          <w:szCs w:val="16"/>
        </w:rPr>
        <w:t xml:space="preserve"> в 1931 году впервые в мире была осуществлена </w:t>
      </w:r>
      <w:hyperlink r:id="rId20" w:tgtFrame="_blank" w:history="1">
        <w:r w:rsidRPr="005E779E">
          <w:rPr>
            <w:rFonts w:ascii="Times New Roman" w:hAnsi="Times New Roman"/>
            <w:color w:val="000000" w:themeColor="text1"/>
            <w:sz w:val="16"/>
            <w:szCs w:val="16"/>
          </w:rPr>
          <w:t xml:space="preserve">доставка почты с помощью почтовой ракеты. </w:t>
        </w:r>
      </w:hyperlink>
      <w:r w:rsidRPr="005E779E">
        <w:rPr>
          <w:rFonts w:ascii="Times New Roman" w:hAnsi="Times New Roman"/>
          <w:color w:val="000000" w:themeColor="text1"/>
          <w:sz w:val="16"/>
          <w:szCs w:val="16"/>
        </w:rPr>
        <w:t>Было доставлено 102 письма. Австрийский инженер Фридрих Шмидль организовал ракетную почту в Штирии (Австрия), между населенными пунктами Шёккель и Радегунд. Он использовал для этого 2-м пороховые ракеты собственного производства, которые незадолго до падения выбрасывали снабженный парашютом почтовый мешок (15028).</w:t>
      </w:r>
    </w:p>
    <w:p w14:paraId="167EAB86" w14:textId="77777777" w:rsidR="0084298A" w:rsidRPr="005E779E" w:rsidRDefault="0084298A" w:rsidP="000B7A6C">
      <w:pPr>
        <w:spacing w:after="0" w:line="240" w:lineRule="auto"/>
        <w:jc w:val="both"/>
        <w:rPr>
          <w:rFonts w:ascii="Times New Roman" w:hAnsi="Times New Roman"/>
          <w:color w:val="000000" w:themeColor="text1"/>
          <w:sz w:val="16"/>
          <w:szCs w:val="16"/>
        </w:rPr>
      </w:pPr>
    </w:p>
    <w:p w14:paraId="1486E283"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15AC8339"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632EE10" w14:textId="77777777" w:rsidR="001522BB" w:rsidRPr="005E779E" w:rsidRDefault="001522BB" w:rsidP="000B7A6C">
      <w:pPr>
        <w:pStyle w:val="rtejustify"/>
        <w:spacing w:before="0" w:after="0"/>
        <w:rPr>
          <w:color w:val="000000" w:themeColor="text1"/>
          <w:sz w:val="16"/>
          <w:szCs w:val="16"/>
        </w:rPr>
      </w:pPr>
      <w:r w:rsidRPr="005E779E">
        <w:rPr>
          <w:rStyle w:val="af0"/>
          <w:i w:val="0"/>
          <w:color w:val="000000" w:themeColor="text1"/>
          <w:sz w:val="16"/>
          <w:szCs w:val="16"/>
        </w:rPr>
        <w:t>3 февраля 1931 г. Протокол Реввоенсовета № </w:t>
      </w:r>
      <w:r w:rsidRPr="005E779E">
        <w:rPr>
          <w:color w:val="000000" w:themeColor="text1"/>
          <w:sz w:val="16"/>
          <w:szCs w:val="16"/>
        </w:rPr>
        <w:t>7. 2. Утверждение технических требований к самолету ТБ</w:t>
      </w:r>
      <w:r w:rsidRPr="005E779E">
        <w:rPr>
          <w:color w:val="000000" w:themeColor="text1"/>
          <w:sz w:val="16"/>
          <w:szCs w:val="16"/>
        </w:rPr>
        <w:noBreakHyphen/>
        <w:t>4 (Туполев). 3. О мощном самолете инженера Калинина К</w:t>
      </w:r>
      <w:r w:rsidRPr="005E779E">
        <w:rPr>
          <w:color w:val="000000" w:themeColor="text1"/>
          <w:sz w:val="16"/>
          <w:szCs w:val="16"/>
        </w:rPr>
        <w:noBreakHyphen/>
        <w:t>7. (Калинин). 6. О ходе работ по реализации системы связи РККА. (Синявский). 7. О ходе работ по взрывчатым веществам (Козиницкий). 8. О высокосортных сталях (Уборевич). 10. Об авиабомбах (Уборевич). (РГВА. Ф. 4. Оп. 18. Д. 20. Л. 68, 69, 70, 71) (12342).</w:t>
      </w:r>
    </w:p>
    <w:p w14:paraId="3AE392CF" w14:textId="77777777" w:rsidR="001522BB" w:rsidRPr="005E779E" w:rsidRDefault="001522BB" w:rsidP="000B7A6C">
      <w:pPr>
        <w:pStyle w:val="rtejustify"/>
        <w:spacing w:before="0" w:after="0"/>
        <w:rPr>
          <w:color w:val="000000" w:themeColor="text1"/>
          <w:sz w:val="16"/>
          <w:szCs w:val="16"/>
        </w:rPr>
      </w:pPr>
    </w:p>
    <w:p w14:paraId="4783F57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февраля 1931 года Постановлением РВС от утверждены основные данные нагрузок самолета ТБ-4, принято решение о проектировании самолета под 4хМ35 или 6хМ34 с установкой на опытный самолет 6 моторов Роллс Ройс с НХII и о постройке двух вариантов первого дюр алюминиевого с площадью крыльев 410 м кв. и второго стального с площадью крыльев 340 м кв (6918).</w:t>
      </w:r>
    </w:p>
    <w:p w14:paraId="2C6D20D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9191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февраля 1931 г. Реввоенсовет СССР утвердил данные предварительных расчетов и принял решение строить опытную дюралевую машину ТБ-4 с крылом площадью 410 м2.</w:t>
      </w:r>
    </w:p>
    <w:p w14:paraId="788A9A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Конструкция ТБ-4 была и похожа, и не похожа на ТБ-3. Принципиально это был такой же свободнонесуший моноплан с неубираю- щимся шасси, тихоходный гофрированный гигант с крылом толстого профиля. Аэродинамическая компоновка и облик большинства узлов повторяли ТБ-3.</w:t>
      </w:r>
    </w:p>
    <w:p w14:paraId="78543D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 имелись и отличия. Отказавшись от членения машины на узлы, укладывающиеся в железнодорожный габарит, крыло разбили всего на три части - центроплан и две консоли. Да и внутри крыло стало несколько иным. Число лонжеронов сократилось до трех. Их раскосы делали не из труб, а клепали из листа.</w:t>
      </w:r>
    </w:p>
    <w:p w14:paraId="52BF2D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Фюзеляж принципиально не отличался от ТБ-3, но включал не один, а два бомбоотсе- ка. Интересно, что вопреки плану опытных работ и заданию, самолет проектировали под бомбовую нагрузку 10 000 кг в соответствии с первоначальными прикидками. При этом полностью проигнорировали то, что машина с нагрузкой 10 ООО кг, являвшаяся следующим шагом вверх по лестнице гигантомании после ТБ-4, к этому времени уже была исключена из всех планов. Но, очевидно, уже сделанные чертежи Туполев не пожелал выбрасывать в корзину.</w:t>
      </w:r>
    </w:p>
    <w:p w14:paraId="0B4337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Бомбоотсеки позволяли подвеску в восьми кассетах КД-3 (Дер-18) бомб калибром до 500 кг. Общая нагрузка складывалась из 20 бомб по 500 кг или 40 бомб по 250 кг. Каждая пара кассет имела свой люк для сбрасывания бомб. Внутренняя подвеска боеприпасов более крупных калибров не предусматривалась. Проходы вдоль бомбоотсеков, шедшие посередине, не давали возможности использовать всю ширину емкого фюзеляжа. Самой крупной бомбой, которую мог нести АНТ-16, как и у ТБ-3, являлась АФ-1000 весом в тонну. Такие бомбы вешались на наружных бомбодержателях под центропланом.</w:t>
      </w:r>
    </w:p>
    <w:p w14:paraId="2CB86C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носовой части самолета размещались передний артиллерист, бомбардир и штурман. Для бомбардира предусматривалась установка оптического прицела ОПБ-2 (советская копия немецкого "Герц-Бойков"), Два пилота сидели в полузакрытой кабине сверху перед крылом. Места летчиков разделялись широким проходом с металлической крышей над ним. Подобное решение встречалось на самолетах фирмы "Юнкере". Компоновку носовой части и ее кабин отработали на макете, утвержденном в апреле 1931 г. Места двух бортмехаников находились в центроплане. Согласно заданию, они могли в полете перемещаться внутри крыла и через специальные смотровые окна наблюдать за работой агрегатов двигателей. Предусматривался также выход через люки на крыло и горизонтальное оперение. За бомбоотсеками находилась кабина радиста с радиостанцией 11-СК, так называемая общая кабина и отдельная кабина для установки радиопеленгатора (примитивного радиокомпаса).</w:t>
      </w:r>
    </w:p>
    <w:p w14:paraId="3A2C2E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Оперение по очертаниям было очень сходно с тем, которое позже ввели на серийных ТБ-3 с моторами М-34Р, но отличалось значительно большими габаритами. Несмотря на размеры рулей и, соответственно, нагрузки на органы управления, рули приводились в действие без сервомеханизмов, по жесткой схеме. Пилотам помогал только электропривод изменения угла установки стабилизатора. Его можно было отклонять в полете на небольшой угол.</w:t>
      </w:r>
    </w:p>
    <w:p w14:paraId="4C1352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Шасси новой машины на ТБ-3 было совершенно не похоже. Иначе выполнили саму стойку, ввели масляно-пневматичес- кую амортизацию (на ранних модификациях ТБ-3 для этой цели применяли резиновые буфера), а спаренные колеса разместили не в тележке-тандем, а рядом друг с другом. Спицованные колеса снабдили импортными барабанными тормозами "Фаст". Проектом предусматривалось закрытие стоек вместе с колесами обтекателями-"штанами". Но на других эскизах видны большие каплевидные обтекатели, закрывающие только колеса. Хвостовой опорой являлся нетрадиционный для того времени костыль (стоявший на ТБ-1 и всех ранних модификациях ТБ-3), а ориентирующееся колесо.</w:t>
      </w:r>
    </w:p>
    <w:p w14:paraId="1C5EAF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Долгая утряска ситуации с двигателями явно наложила свой отпечаток на компоновку мотоустановки. Четыре мотора стояли в ряд на крыле, а еще два - в специальной гондоле на фермах над фюзеляжем. В этой гондоле М-34 располагались тандемом - один с тянущим, а другой - с толкающим винтом. Туполев явно использовал установку, ранее спроектированную для гидросамолета, - там надо приподнимать моторы и винты повыше, чтобы уберечь их от водяных брызг на взлете и посадке. Похоже, что такое решение считалось временным. Если бы удалось заполучить двигатели большей мощности, то их бы установили вместо М-34 на крыле, а верхнюю установку-ликвидировали. Предусматривался и седьмой мотор - вспомогательный, приводивший так называемую "центральную электростанцию" фирмы "Сименс". Двухтактный мотор от мотоцикла мощностью 7 л.с. крутил вал генератора. Это давало возможность использовать все электрооборудование и радиостанцию на земле, при неработающих основных двигателях. Ранее для этих целей применяли генераторы с ветрянками, раскручивающимися набегающим потоком. Ток они обеспечивали только в полете.</w:t>
      </w:r>
    </w:p>
    <w:p w14:paraId="778137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современным меркам "центральная электростанция" давала совсем мало - 2,5 кВт. На серийных ТБ-4 собирались использовать отечественный двигатель от мотоцикла J1-300 (скопированный с английского) и копию же генератора "Сименс", которую делал завод им. Лепсе.</w:t>
      </w:r>
    </w:p>
    <w:p w14:paraId="333603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 двигатели самолета питались из бензобаков в крыле. Всего баков имелось восемь - два в центроплане и шесть в консолях. Общая их емкость равнялась 8500 л. Для подачи горючего к моторам верхней тандемной установки предусмотрели электронасос и запасной ручной ("альвейер").</w:t>
      </w:r>
    </w:p>
    <w:p w14:paraId="3A2254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перспективе рассчитывали оборудовать самолет системой дозаправки в воздухе. Это значительно увеличило бы радиус действия бомбардировщика. В качестве танкера ("бен- зиноносца") собирались использовать тоже не маленький пятимоторный АНТ-14 (эта машина реально была построена в единственном экземпляре).</w:t>
      </w:r>
    </w:p>
    <w:p w14:paraId="51FDE7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Количество и размещение стрелковых точек в ходе проектирования неоднократно менялось. Так, в феврале 1931 г. Управлением ВВС были представлены два варианта, отличавшиеся расположением огневых точек на крыле. По расположению турелей на фюзеляже оба совпадали. В носовой части самолета стояла 20-мм пушка, наверху за крылом - турель с 37-мм пушкой, в корме под рулем направления - спаренный 7,62-мм пулемет. Вооружение на крыльях подразделялось по-ко- рабельному на два "плутонга" - левый и правый. По первому варианту каждый плутонг состоял из трех установок. За крайним мотором на передней кромке крыла имелся выступ с открытой турелью (видимо, типа Тур-6) под спаренный пулемет. На одной с ней оси на верхней поверхности плоскости находилась башня с 20-мм пушкой. Она должна была быть выдвижной: "стакан" с кольцом турели выдвигался вверх из обтекателя- зализа. Третья установка располагалась в ро- гообразном выступе под крылом в плоскости крайнего мотора. Она тоже была открытой; в ней стояли два пулемета. По второму варианту передняя и задняя установки являлись экранированными. Экраны имели вид цилиндров с коническими секциями сверху и снизу. Застеклять их должны были целлулоидом. Стволы пулеметов торчали через вертикальные щели экранов, так что влево-вправо оружие перемещалось вместе с экраном. Верхняя башня во втором варианте отсутствовала. Интересно, что по заданию на бомбардировщике должны были стоять пулеметы ПВ-1 в ту- рельном исполнении (реально не существовавшем).</w:t>
      </w:r>
    </w:p>
    <w:p w14:paraId="149AC5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Позднее в ходе проектирования могучий арсенал несколько подсократился и пришел в соответствие с техническим заданием: две пушки и восемь пулеметов. 20-мм пушки "Эрликон" должны были размещаться в двух открытых турелях на фюзеляже - носовой и средней. Последняя стояла на специальной тележке и могла перекатываться с борта на борт, увеличивая поле обстрела. Для каждой пушки предусматривался боезапас в 150 патронов в сменных магазинах. Два пулемета монтировались в кормовой установке. Еше четыре пары пулеметов хотели поставить на крыльях - спереди и сзади. Большая толщина крыла позволяла стрелкам в полете свободно перемещаться из фюзеляжа к своим позициям в консолях по внутренним коридорам. Поскольку ПВ-1 в турельном варианте не появились, вполне логично перешли к спаренным пулеметам ДА - установкам ДА-2. На первом опытном образце ТБ-4 решили от огневых точек на крыле отказаться. Это назвали "1-м вариантом вооружения". При этом на машине реально имелась только одна установка ДА-2 с боезапасом в 24 диска.</w:t>
      </w:r>
    </w:p>
    <w:p w14:paraId="10A027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Бомбардировщик рассчитывался на обслуживание экипажем из десяти человек. В него входили передний артиллерист (артиллерийский техник, он же запасной бомбардир), командир самолета (штурман), главный бомбардир (второй штурман), два пилота, старший техник и два младших (одновременно являвшихся стрелками), радист-"фотист" (то есть фотограф, на ТБ-4 должен был стоять плановый фотоаппарат "Поттэ-1Б") и еще один артиллерист.</w:t>
      </w:r>
    </w:p>
    <w:p w14:paraId="6B0F4C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Завершение проектирования шло фактически параллельно с постройкой опытного образца самолета (12024).</w:t>
      </w:r>
    </w:p>
    <w:p w14:paraId="44F57F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92CC8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 февраля 1931 г. Реввоенсовет СССР утвердил данные предварительных расчетов и принял решение строить опытную дюралевую машину с крылом площадью 410 м2. </w:t>
      </w:r>
    </w:p>
    <w:p w14:paraId="6616BD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Конструкция ТБ-4 была и похожа, и не похожа на ТБ-3. Принципиально это был такой же свободнонесущий моноплан с неубираюшимся шасси, тихоходный гофрированный гиганте крылом толстого профиля. Аэродинамическая компоновка и облик большинства узлов повторяли ТБ-3.</w:t>
      </w:r>
    </w:p>
    <w:p w14:paraId="116B61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 имелись и отличия. Отказавшись от членения машины на узлы, укладывающиеся в железнодорожный габарит, крыло разбили всего на три части - центроплан и две консоли. Да и внутри крыло стало несколько иным. Число лонжеронов сократилось до трех. Их раскосы делали не из труб, а клепали из листа.</w:t>
      </w:r>
    </w:p>
    <w:p w14:paraId="5F7894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Фюзеляж принципиально не отличался от ТБ-3, но включал не один, а два бомбоотсека. Интересно, что вопреки плану опытных работ и заданию, самолет проектировали под бомбовую нагрузку 10 ООО кг в соответствии с первоначальными прикидками. При этом полностью проигнорировали то, что машина с нагрузкой 10 ООО кг, являвшаяся следующим шагом после ТБ-4, к этому времени уже была исключена из всех планов. Но, очевидно, уже сделанные чертежи Туполев не желал выбрасывать в корзину.</w:t>
      </w:r>
    </w:p>
    <w:p w14:paraId="2FD4E2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Бомбоотсеки позволяли подвеску в восьми кассетах КД-3 (Дер-18) бомб калибром до 500 кг. Общая нагрузка складывалась из 20 бомб по 500 кг или 40 бомб по 250 кг. Каждая пара кассет имела свой люк для сбрасывания бомб. Внутренняя подвеска боеприпасов более крупных калибров не предусматривалась. Проходы вдоль бомбоотсеков, шедшие посередине, не давали возможности использовать всю ширину емкого фюзеляжа. Самой крупной бомбой, которую мог нести АНТ-16, являлась АФ-1000 весом в тонну. Такие бомбы вешались на наружных бомбодержателях под центропланом.</w:t>
      </w:r>
    </w:p>
    <w:p w14:paraId="14F229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носовой части самолета размещались передний артиллерист, бомбардир и штурман. Для бомбардира предусматривалась установка оптического прицела ОПБ-2 (копия немецкого "Герц-Бойков"). Два пилота сидели в полузакрытой кабине перед крылом. Места летчиков разделялись широким проходом с металлической крышей над ним. Нечто подобное встречалось на самолетах фирмы "Юнкере". Компоновку носовой части и ее кабин отработали на макете, утвержденном в апреле 1931 г. Места двух бортмехаников находились в центроплане. Согласно заданию, они могли в полете перемешаться внугри крыла и через специальные смотровые окна наблюдать за работой агрегатов двигателей. Предусматривался также выход через люки на крыло и горизонтальное оперение. За бомбоотсеками находилась кабина радиста с радиостанцией 11 -СК, так называемая общая кабина и отдельная кабина для установки радиопеленгатора (примитивного радиокомпаса).</w:t>
      </w:r>
    </w:p>
    <w:p w14:paraId="292666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Оперение было очень сходно с тем, которое позже ввели на ТБ-3 с моторами М-34Р, но отличалось значительно большими габаритами. Несмотря на размеры рулей и, соответственно, нагрузки на органы управления, рули приводились в действие без сервомеханизмов, по жесткой схеме. Пилотам помогал только электропривод изменения угла установки стабилизатора.</w:t>
      </w:r>
    </w:p>
    <w:p w14:paraId="41496B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Шасси на ТБ-3 было совершенно не похоже. Иначе выполнили саму стойку, ввели масляно-пневматическую амортизацию (на ранних модификациях ТБ-3 для этой цели применяли резиновые буфера), а спаренные колеса разместили не втележке-тандем, а рядом друге другом. Спицован- ные колеса снабдили импортными барабанными тормозами "Фаст". Проектом предусматривалось закрытие стоек вместе с колесами обтекателями-"штанами". Но на других эскизах видны большие каплевидные обтекатели, закрывающие только колеса. Хвостовой опорой являлся не традиционный для того времени костыль, а ориентирующееся колесо.</w:t>
      </w:r>
    </w:p>
    <w:p w14:paraId="389B95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Долгая утряска ситуации с двигателями явно наложила свой отпечаток на компоновку мотоустановки. Четыре мотора стояли в ряд на крыле, а еще два - в специальной гондоле на фермах над фюзеляжем. В этой гондоле М-34 располагались тандемом - один с тянущим, а другой - с толкающим винтом. Туполев явно использовал установку, ранее спроектированную для гидросамолета, - там надо приподнимать моторы и винты повыше, чтобы уберечь их от водяных брызг на взлете и посадке. </w:t>
      </w:r>
      <w:r w:rsidRPr="005E779E">
        <w:rPr>
          <w:rFonts w:ascii="Times New Roman" w:hAnsi="Times New Roman"/>
          <w:color w:val="000000" w:themeColor="text1"/>
          <w:sz w:val="16"/>
          <w:szCs w:val="16"/>
        </w:rPr>
        <w:lastRenderedPageBreak/>
        <w:t>Похоже, что такое решение считалось временным. Если бы удалось заполучить двигатели большей мощности, то их бы установили вместо М-34 на крыле, а верхнюю установку - ликвидировали. Предусматривался и седьмой мотор - вспомогательный, приводивший так называемую "центральную электростанцию" фирмы "Сименс". Двухтактный мотор от мотоцикла мощностью 7 л.с. крутил вал генератора. По современным меркам "центральная электростанция" давала совсем мало - 2,5 КВт. На серийных ТБ-4 собирались использовать отечественный двигатель от мотоцикла J1-300 (скопированный с английского) и копию же генератора "Сименс", которую делал завод им. Лепсе.</w:t>
      </w:r>
    </w:p>
    <w:p w14:paraId="43CBE4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 двигатели самолета питались из бензобаков в крыле. Всего баков имелось восемь - два в центроплане и шесть в консолях. Обшая их емкость равнялась 8500 л. Для подачи горючего к моторам верхней тандемной установки предусмотрели электронасос и запасной ручной ("альвейер").</w:t>
      </w:r>
    </w:p>
    <w:p w14:paraId="000ACE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перспективе рассчитывали оборудовать самолет системой дозаправки в воздухе. Это значительно увеличило бы радиус действия бомбардировщика. В качестве танкера ("бензиноносца") собирались использовать тоже не маленький пятимоторный АНТ-14 (о нем будет рассказано позже).</w:t>
      </w:r>
    </w:p>
    <w:p w14:paraId="399B65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Количество и размещение стрелковых точек в ходе проектирования неоднократно менялось. Так. в феврале 1931 г. УВВС были представлены два варианта, отличавшиеся расположением огневых точек на крыле. По расположению турелей на фюзеляже оба совпадали. В носовой части самолета стояла 20-мм пушка, наверху за крылом - турель с 37-мм пушкой, в корме под рулем направления - спаренный 7,62-мм пулемет. Вооружение на крыльях подразделялось по-корабельному на два "плутонга" - левый и правый. По первому варианту каждый плутонг состоял из трех установок. За крайним мотором на передней кромке крыла имелся выступ с открытой турелью (видимо, типа Тур-6) под спаренный пулемет. На одной с ней оси на верхней поверхности плоскости находилась башня с 20-мм пушкой. Она должна была быть выдвижной: "стакан" с кольцом турели выдвигался вверх из обтекателя-зализа. Третья установка располагалась в рогообразном выступе под крылом в плоскости крайнего мотора. Она тоже была открытой; в ней стояли два пулемета. По второму варианту передняя и задняя установки являлись экранированными. Экраны имели вид цилиндров с коническими секциями сверху и снизу. Застеклять их должны были целлулоидом. Стволы пулеметов торчали через вертикальные щели экранов, так что влево-вправо оружие перемещалось вместе с экраном. Верхняя башня отсутствовала. Интересно, что по заданию на бомбардировщике должны были стоять упоминавшиеся ранее пулеметы ПВ-1 в турельном исполнении (реально не существовавшем).</w:t>
      </w:r>
    </w:p>
    <w:p w14:paraId="1993D3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Позднее в ходе проектирования могучий арсенал несколько подсократился и пришел в соответствие с техническим заданием: две пушки и восемь пулеметов. 20-мм пушки "Эрликон" должны были размешаться в двух открытых турелях на фюзеляже - носовой и средней. Последняя стояла на специальной тележке и могла перекатываться с борта на борт, увеличивая поле обстрела. Для каждой пушки предусматривается боезапас в 150 патронов в сменных магазинах. Два пулемета монтировались в кормовой установке. Еще четыре пары пулеметов хотели поставить на крыльях - спереди и сзади. Большая толщина крыла позволяла стрелкам в полете свободно перемещаться из фюзеляжа к своим позициям в консолях по внутренним коридорам. Поскольку ПВ-1 в турельном варианте не появились, вполне логично перешли к спаренным пулеметам ДА - установкам ДА-2. На первом опытном образце ТБ-4 решили от огневых точек на крыле отказаться. Это назвали "1-м вариантом вооружения". При этом имелась только одна установка ДА-2 с боезапасом в 24 диска.</w:t>
      </w:r>
    </w:p>
    <w:p w14:paraId="57137D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Бомбардировщик рассчитывался на обслуживание экипажем из десяти человек. В него входили передний артиллерист (артиллерийский техник, он же запасной бомбардир), командир самолета (штурман), главный бомбардир (второй штурман), два пилота, старший техник и два младших (одновременно являвшихся стрелками), радист-"фотист" (то есть фотограф, на ТБ-4 должен был стоять аппарат "Поттэ- 1 Б") и еще один артиллерист.</w:t>
      </w:r>
    </w:p>
    <w:p w14:paraId="21D0B5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Завершение проектирования шло фактически параллельно с постройкой опытного образца самолета (12036).</w:t>
      </w:r>
    </w:p>
    <w:p w14:paraId="5EBE49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DB9C982" w14:textId="77777777" w:rsidR="008A0C3D" w:rsidRPr="00142305" w:rsidRDefault="008A0C3D" w:rsidP="008A0C3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 февраля 1931 г. Реввоенсовет СССР утвердил данные предварительных расчетов АНТ-16 и принял решение строить опыт</w:t>
      </w:r>
      <w:r w:rsidRPr="00142305">
        <w:rPr>
          <w:rFonts w:ascii="Times New Roman" w:hAnsi="Times New Roman"/>
          <w:color w:val="0070C0"/>
          <w:sz w:val="16"/>
          <w:szCs w:val="16"/>
        </w:rPr>
        <w:softHyphen/>
        <w:t>ную дюралевую машину с крылом площадью 410 м2.</w:t>
      </w:r>
    </w:p>
    <w:p w14:paraId="1B744DA1" w14:textId="77777777" w:rsidR="008A0C3D" w:rsidRPr="00142305" w:rsidRDefault="008A0C3D" w:rsidP="008A0C3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Параллельно проектировались два варианта ТБ-4, предусмотренные планом опытных работ. Один должен был строиться целиком из дюраля (кольчугалюминия) и иметь большее по площади крыло (410 м</w:t>
      </w:r>
      <w:r w:rsidRPr="00142305">
        <w:rPr>
          <w:rFonts w:ascii="Times New Roman" w:hAnsi="Times New Roman"/>
          <w:color w:val="0070C0"/>
          <w:sz w:val="16"/>
          <w:szCs w:val="16"/>
          <w:vertAlign w:val="superscript"/>
        </w:rPr>
        <w:t>2</w:t>
      </w:r>
      <w:r w:rsidRPr="00142305">
        <w:rPr>
          <w:rFonts w:ascii="Times New Roman" w:hAnsi="Times New Roman"/>
          <w:color w:val="0070C0"/>
          <w:sz w:val="16"/>
          <w:szCs w:val="16"/>
        </w:rPr>
        <w:t>). Уточненное за</w:t>
      </w:r>
      <w:r w:rsidRPr="00142305">
        <w:rPr>
          <w:rFonts w:ascii="Times New Roman" w:hAnsi="Times New Roman"/>
          <w:color w:val="0070C0"/>
          <w:sz w:val="16"/>
          <w:szCs w:val="16"/>
        </w:rPr>
        <w:softHyphen/>
        <w:t>дание требовало от этого варианта бомбовую нагрузку 6000 кг и вооружение из десяти пулеметов и двух пушек. Второй тип должен был иметь стальной (для экономии дефицитно</w:t>
      </w:r>
      <w:bookmarkStart w:id="13" w:name="_Hlk177551241"/>
      <w:r w:rsidRPr="00142305">
        <w:rPr>
          <w:rFonts w:ascii="Times New Roman" w:hAnsi="Times New Roman"/>
          <w:color w:val="0070C0"/>
          <w:sz w:val="16"/>
          <w:szCs w:val="16"/>
        </w:rPr>
        <w:t>го дюраля) каркас и меньшее по размерам крыло (площа</w:t>
      </w:r>
      <w:r w:rsidRPr="00142305">
        <w:rPr>
          <w:rFonts w:ascii="Times New Roman" w:hAnsi="Times New Roman"/>
          <w:color w:val="0070C0"/>
          <w:sz w:val="16"/>
          <w:szCs w:val="16"/>
        </w:rPr>
        <w:softHyphen/>
        <w:t>дью 340 м</w:t>
      </w:r>
      <w:r w:rsidRPr="00142305">
        <w:rPr>
          <w:rFonts w:ascii="Times New Roman" w:hAnsi="Times New Roman"/>
          <w:color w:val="0070C0"/>
          <w:sz w:val="16"/>
          <w:szCs w:val="16"/>
          <w:vertAlign w:val="superscript"/>
        </w:rPr>
        <w:t>2</w:t>
      </w:r>
      <w:r w:rsidRPr="00142305">
        <w:rPr>
          <w:rFonts w:ascii="Times New Roman" w:hAnsi="Times New Roman"/>
          <w:color w:val="0070C0"/>
          <w:sz w:val="16"/>
          <w:szCs w:val="16"/>
        </w:rPr>
        <w:t>). Он должен был нести меньше бомб (4500 кг) и более слабое стрелково-артиллерийское вооружение - шесть - восемь пулеметов и одну пушку</w:t>
      </w:r>
      <w:bookmarkEnd w:id="13"/>
      <w:r w:rsidRPr="00142305">
        <w:rPr>
          <w:rFonts w:ascii="Times New Roman" w:hAnsi="Times New Roman"/>
          <w:color w:val="0070C0"/>
          <w:sz w:val="16"/>
          <w:szCs w:val="16"/>
        </w:rPr>
        <w:t>.</w:t>
      </w:r>
    </w:p>
    <w:p w14:paraId="57D2E551" w14:textId="77777777" w:rsidR="008A0C3D" w:rsidRPr="00142305" w:rsidRDefault="008A0C3D" w:rsidP="008A0C3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Конструкция ТБ-4 была и похожа, и не похожа-на ТБ-З. Принципиально это был такой же свободнонесущий моно</w:t>
      </w:r>
      <w:r w:rsidRPr="00142305">
        <w:rPr>
          <w:rFonts w:ascii="Times New Roman" w:hAnsi="Times New Roman"/>
          <w:color w:val="0070C0"/>
          <w:sz w:val="16"/>
          <w:szCs w:val="16"/>
        </w:rPr>
        <w:softHyphen/>
        <w:t>план с неубирающимся шасси, тихоходный гофрирован</w:t>
      </w:r>
      <w:r w:rsidRPr="00142305">
        <w:rPr>
          <w:rFonts w:ascii="Times New Roman" w:hAnsi="Times New Roman"/>
          <w:color w:val="0070C0"/>
          <w:sz w:val="16"/>
          <w:szCs w:val="16"/>
        </w:rPr>
        <w:softHyphen/>
        <w:t>ный гигант с крылом толстого профиля. Аэродинамическая компоновка и облик большинства узлов повторяли ТБ-З.</w:t>
      </w:r>
    </w:p>
    <w:p w14:paraId="50B4275F" w14:textId="77777777" w:rsidR="008A0C3D" w:rsidRPr="00142305" w:rsidRDefault="008A0C3D" w:rsidP="008A0C3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Но имелись и отличия. Сказавшись от членения маши</w:t>
      </w:r>
      <w:r w:rsidRPr="00142305">
        <w:rPr>
          <w:rFonts w:ascii="Times New Roman" w:hAnsi="Times New Roman"/>
          <w:color w:val="0070C0"/>
          <w:sz w:val="16"/>
          <w:szCs w:val="16"/>
        </w:rPr>
        <w:softHyphen/>
        <w:t>ны на узлы, укладывающиеся в железнодорожный габарит, крьыо разбили всего на три части — центроплан и две кон</w:t>
      </w:r>
      <w:r w:rsidRPr="00142305">
        <w:rPr>
          <w:rFonts w:ascii="Times New Roman" w:hAnsi="Times New Roman"/>
          <w:color w:val="0070C0"/>
          <w:sz w:val="16"/>
          <w:szCs w:val="16"/>
        </w:rPr>
        <w:softHyphen/>
        <w:t>соли. Да и внутри крыло стало несколько иным. Число лон</w:t>
      </w:r>
      <w:r w:rsidRPr="00142305">
        <w:rPr>
          <w:rFonts w:ascii="Times New Roman" w:hAnsi="Times New Roman"/>
          <w:color w:val="0070C0"/>
          <w:sz w:val="16"/>
          <w:szCs w:val="16"/>
        </w:rPr>
        <w:softHyphen/>
        <w:t>жеронов сократилосьдо трех. Их раскосы делали не из труб, а клепали из листа.</w:t>
      </w:r>
    </w:p>
    <w:p w14:paraId="2A574446" w14:textId="77777777" w:rsidR="008A0C3D" w:rsidRPr="00142305" w:rsidRDefault="008A0C3D" w:rsidP="008A0C3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Фюзеляж принципиально не отличался от ТБ-З, но включал не один, а два бомбоотсека. Интересно, что вопре</w:t>
      </w:r>
      <w:r w:rsidRPr="00142305">
        <w:rPr>
          <w:rFonts w:ascii="Times New Roman" w:hAnsi="Times New Roman"/>
          <w:color w:val="0070C0"/>
          <w:sz w:val="16"/>
          <w:szCs w:val="16"/>
        </w:rPr>
        <w:softHyphen/>
        <w:t>ки плану опытных работ и заданию, самолет проектировали под бомбовую нагрузку 10 000 кг в соответствии с первона</w:t>
      </w:r>
      <w:r w:rsidRPr="00142305">
        <w:rPr>
          <w:rFonts w:ascii="Times New Roman" w:hAnsi="Times New Roman"/>
          <w:color w:val="0070C0"/>
          <w:sz w:val="16"/>
          <w:szCs w:val="16"/>
        </w:rPr>
        <w:softHyphen/>
        <w:t>чальными прикидками. При этом полностью проигнори</w:t>
      </w:r>
      <w:r w:rsidRPr="00142305">
        <w:rPr>
          <w:rFonts w:ascii="Times New Roman" w:hAnsi="Times New Roman"/>
          <w:color w:val="0070C0"/>
          <w:sz w:val="16"/>
          <w:szCs w:val="16"/>
        </w:rPr>
        <w:softHyphen/>
        <w:t>ровали то, что машина с нагрузкой 10 000 кг, являвшаяся следующим шагом после ТБ-4, к этому времени уже бьыа исключена из всех планов. Но, очевидно, уже сделанные чертежи Туполев не желал выбрасывать в корзину.</w:t>
      </w:r>
    </w:p>
    <w:p w14:paraId="70E30652" w14:textId="77777777" w:rsidR="008A0C3D" w:rsidRPr="00142305" w:rsidRDefault="008A0C3D" w:rsidP="008A0C3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Бомбоотсеки позволяли подвеску в восьми кассетах КД-З (Дер-18) бомб калибром до 500 кг. Общая нагрузка складывалась из 20 бомб по 500 кг или 40 бомб по 250 кг. Каждая пара кассет имела свой люк аля сбрасывания бомб. Внутренняя подвеска боеприпасов более крупных калиб</w:t>
      </w:r>
      <w:r w:rsidRPr="00142305">
        <w:rPr>
          <w:rFonts w:ascii="Times New Roman" w:hAnsi="Times New Roman"/>
          <w:color w:val="0070C0"/>
          <w:sz w:val="16"/>
          <w:szCs w:val="16"/>
        </w:rPr>
        <w:softHyphen/>
        <w:t>ров не предусматривалась. Проходы вдоль бомбоотсеков, шедшие посередине, не давали возможности использовать всю ширину емкого фюзеляжа. Самой крупной бомбой, ко</w:t>
      </w:r>
      <w:r w:rsidRPr="00142305">
        <w:rPr>
          <w:rFonts w:ascii="Times New Roman" w:hAnsi="Times New Roman"/>
          <w:color w:val="0070C0"/>
          <w:sz w:val="16"/>
          <w:szCs w:val="16"/>
        </w:rPr>
        <w:softHyphen/>
        <w:t>торую мог нести АНТ-16, являлась АФ-1000 весом в тонну. Такие бомбы вешались на наружных бомбодержателях под центропланом.</w:t>
      </w:r>
    </w:p>
    <w:p w14:paraId="50767046" w14:textId="77777777" w:rsidR="008A0C3D" w:rsidRPr="00142305" w:rsidRDefault="008A0C3D" w:rsidP="008A0C3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носовой части самолета размещались передний ар</w:t>
      </w:r>
      <w:r w:rsidRPr="00142305">
        <w:rPr>
          <w:rFonts w:ascii="Times New Roman" w:hAnsi="Times New Roman"/>
          <w:color w:val="0070C0"/>
          <w:sz w:val="16"/>
          <w:szCs w:val="16"/>
        </w:rPr>
        <w:softHyphen/>
        <w:t>тиллерист, бомбардир и штурман. Для бомбардира предус</w:t>
      </w:r>
      <w:r w:rsidRPr="00142305">
        <w:rPr>
          <w:rFonts w:ascii="Times New Roman" w:hAnsi="Times New Roman"/>
          <w:color w:val="0070C0"/>
          <w:sz w:val="16"/>
          <w:szCs w:val="16"/>
        </w:rPr>
        <w:softHyphen/>
        <w:t>матривалась установка оптического прицела ОПБ-2 (копия немецкого «Герц-Бойков»). Два пилота сидели в полуза</w:t>
      </w:r>
      <w:r w:rsidRPr="00142305">
        <w:rPr>
          <w:rFonts w:ascii="Times New Roman" w:hAnsi="Times New Roman"/>
          <w:color w:val="0070C0"/>
          <w:sz w:val="16"/>
          <w:szCs w:val="16"/>
        </w:rPr>
        <w:softHyphen/>
        <w:t>крытой кабине перед крылом. Места летчиков разделялись широким проходом с металлической крышей над ним. Нечто подобное встречалось на самолетах фирмы «Юнкерс». Компоновку носовой части и ее кабин отработали на ма</w:t>
      </w:r>
      <w:r w:rsidRPr="00142305">
        <w:rPr>
          <w:rFonts w:ascii="Times New Roman" w:hAnsi="Times New Roman"/>
          <w:color w:val="0070C0"/>
          <w:sz w:val="16"/>
          <w:szCs w:val="16"/>
        </w:rPr>
        <w:softHyphen/>
        <w:t>кете, утвержденном в апреле 1931 г. Места двух бортмеха</w:t>
      </w:r>
      <w:r w:rsidRPr="00142305">
        <w:rPr>
          <w:rFonts w:ascii="Times New Roman" w:hAnsi="Times New Roman"/>
          <w:color w:val="0070C0"/>
          <w:sz w:val="16"/>
          <w:szCs w:val="16"/>
        </w:rPr>
        <w:softHyphen/>
        <w:t>ников находились в центроплане. Согласно заданию, они могли в полете перемешаться внутри крыла и через спе</w:t>
      </w:r>
      <w:r w:rsidRPr="00142305">
        <w:rPr>
          <w:rFonts w:ascii="Times New Roman" w:hAnsi="Times New Roman"/>
          <w:color w:val="0070C0"/>
          <w:sz w:val="16"/>
          <w:szCs w:val="16"/>
        </w:rPr>
        <w:softHyphen/>
        <w:t>циальные смотровые окна наблюдать за работой агрегатов двигателей. Предусматривался также выход через люки на крыло и горизонтальное оперение. За бомбоотсеками нахо</w:t>
      </w:r>
      <w:r w:rsidRPr="00142305">
        <w:rPr>
          <w:rFonts w:ascii="Times New Roman" w:hAnsi="Times New Roman"/>
          <w:color w:val="0070C0"/>
          <w:sz w:val="16"/>
          <w:szCs w:val="16"/>
        </w:rPr>
        <w:softHyphen/>
        <w:t>дилась кабина радиста с радиостанцией 11-CK, так называ</w:t>
      </w:r>
      <w:r w:rsidRPr="00142305">
        <w:rPr>
          <w:rFonts w:ascii="Times New Roman" w:hAnsi="Times New Roman"/>
          <w:color w:val="0070C0"/>
          <w:sz w:val="16"/>
          <w:szCs w:val="16"/>
        </w:rPr>
        <w:softHyphen/>
        <w:t>емая общая кабина и отдельная кабина для установки ра</w:t>
      </w:r>
      <w:r w:rsidRPr="00142305">
        <w:rPr>
          <w:rFonts w:ascii="Times New Roman" w:hAnsi="Times New Roman"/>
          <w:color w:val="0070C0"/>
          <w:sz w:val="16"/>
          <w:szCs w:val="16"/>
        </w:rPr>
        <w:softHyphen/>
        <w:t>диопеленгатора (примитивного радиокомпаса).</w:t>
      </w:r>
    </w:p>
    <w:p w14:paraId="6ABE0A43" w14:textId="77777777" w:rsidR="008A0C3D" w:rsidRPr="00142305" w:rsidRDefault="008A0C3D" w:rsidP="008A0C3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Оперение было очень сходно с тем, которое позже вве</w:t>
      </w:r>
      <w:r w:rsidRPr="00142305">
        <w:rPr>
          <w:rFonts w:ascii="Times New Roman" w:hAnsi="Times New Roman"/>
          <w:color w:val="0070C0"/>
          <w:sz w:val="16"/>
          <w:szCs w:val="16"/>
        </w:rPr>
        <w:softHyphen/>
        <w:t>ли на ТБ-3 с моторами М-34Р, но отличалось значительно большими габаритами. Несмотря на размеры рулей и, со</w:t>
      </w:r>
      <w:r w:rsidRPr="00142305">
        <w:rPr>
          <w:rFonts w:ascii="Times New Roman" w:hAnsi="Times New Roman"/>
          <w:color w:val="0070C0"/>
          <w:sz w:val="16"/>
          <w:szCs w:val="16"/>
        </w:rPr>
        <w:softHyphen/>
        <w:t>ответственно, нагрузки на органы управления, рули приво</w:t>
      </w:r>
      <w:r w:rsidRPr="00142305">
        <w:rPr>
          <w:rFonts w:ascii="Times New Roman" w:hAnsi="Times New Roman"/>
          <w:color w:val="0070C0"/>
          <w:sz w:val="16"/>
          <w:szCs w:val="16"/>
        </w:rPr>
        <w:softHyphen/>
        <w:t xml:space="preserve">дились </w:t>
      </w:r>
      <w:r w:rsidRPr="00142305">
        <w:rPr>
          <w:rFonts w:ascii="Times New Roman" w:hAnsi="Times New Roman"/>
          <w:smallCaps/>
          <w:color w:val="0070C0"/>
          <w:sz w:val="16"/>
          <w:szCs w:val="16"/>
        </w:rPr>
        <w:t>в</w:t>
      </w:r>
      <w:r w:rsidRPr="00142305">
        <w:rPr>
          <w:rFonts w:ascii="Times New Roman" w:hAnsi="Times New Roman"/>
          <w:color w:val="0070C0"/>
          <w:sz w:val="16"/>
          <w:szCs w:val="16"/>
        </w:rPr>
        <w:t xml:space="preserve"> действие без сервомеханизмов, по жесткой схеме. Пилотам помогал только электропривод изменения угла ус</w:t>
      </w:r>
      <w:r w:rsidRPr="00142305">
        <w:rPr>
          <w:rFonts w:ascii="Times New Roman" w:hAnsi="Times New Roman"/>
          <w:color w:val="0070C0"/>
          <w:sz w:val="16"/>
          <w:szCs w:val="16"/>
        </w:rPr>
        <w:softHyphen/>
        <w:t>тановки стабилизатора.</w:t>
      </w:r>
    </w:p>
    <w:p w14:paraId="179CAE91" w14:textId="77777777" w:rsidR="008A0C3D" w:rsidRPr="00142305" w:rsidRDefault="008A0C3D" w:rsidP="008A0C3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Шасси на ТБ-3 бьыо совершенно не похоже. Иначе вы</w:t>
      </w:r>
      <w:r w:rsidRPr="00142305">
        <w:rPr>
          <w:rFonts w:ascii="Times New Roman" w:hAnsi="Times New Roman"/>
          <w:color w:val="0070C0"/>
          <w:sz w:val="16"/>
          <w:szCs w:val="16"/>
        </w:rPr>
        <w:softHyphen/>
        <w:t>полнили саму стойку, ввели масляно-пневматическую амортизацию (на ранних модификациях ТБ-З дЛя этой цели применяли резиновые буфера), а спаренные колеса размес</w:t>
      </w:r>
      <w:r w:rsidRPr="00142305">
        <w:rPr>
          <w:rFonts w:ascii="Times New Roman" w:hAnsi="Times New Roman"/>
          <w:color w:val="0070C0"/>
          <w:sz w:val="16"/>
          <w:szCs w:val="16"/>
        </w:rPr>
        <w:softHyphen/>
        <w:t>тили не в тележке-тандем, а радом друг с другом. Спицован- ные колеса снабдили импортными барабанными тормозами «Фаст». Проектом предусматривалось закрытие стоек вмес</w:t>
      </w:r>
      <w:r w:rsidRPr="00142305">
        <w:rPr>
          <w:rFonts w:ascii="Times New Roman" w:hAnsi="Times New Roman"/>
          <w:color w:val="0070C0"/>
          <w:sz w:val="16"/>
          <w:szCs w:val="16"/>
        </w:rPr>
        <w:softHyphen/>
        <w:t>те с колесами обтекателями-«штанами». Но на других эски</w:t>
      </w:r>
      <w:r w:rsidRPr="00142305">
        <w:rPr>
          <w:rFonts w:ascii="Times New Roman" w:hAnsi="Times New Roman"/>
          <w:color w:val="0070C0"/>
          <w:sz w:val="16"/>
          <w:szCs w:val="16"/>
        </w:rPr>
        <w:softHyphen/>
        <w:t>зах видны большие каплевидные обтекатели, закрывающие только колеса. Хвостовой опорой являлся не традиционный для того времени костыль, а ориентирующееся колесо.</w:t>
      </w:r>
    </w:p>
    <w:p w14:paraId="70E1BEAC" w14:textId="77777777" w:rsidR="008A0C3D" w:rsidRPr="00142305" w:rsidRDefault="008A0C3D" w:rsidP="008A0C3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Четыре мотора стояли в рад на крыле, а еще два - в специальной гондоле на фермах над фюзеляжем. В этой говдоле М-З4 располагались тандемом - один с тянущим, а другой — с толкающим винтом. Туполев явно использовал установ</w:t>
      </w:r>
      <w:r w:rsidRPr="00142305">
        <w:rPr>
          <w:rFonts w:ascii="Times New Roman" w:hAnsi="Times New Roman"/>
          <w:color w:val="0070C0"/>
          <w:sz w:val="16"/>
          <w:szCs w:val="16"/>
        </w:rPr>
        <w:softHyphen/>
        <w:t>ку, ранее спроектированную ДЛя гидросамолета, - там надо приподнимать моторы и винты повыше, чтобы уберечь их от водяных брызг на взлете и посадке. Похоже, что такое ре</w:t>
      </w:r>
      <w:r w:rsidRPr="00142305">
        <w:rPr>
          <w:rFonts w:ascii="Times New Roman" w:hAnsi="Times New Roman"/>
          <w:color w:val="0070C0"/>
          <w:sz w:val="16"/>
          <w:szCs w:val="16"/>
        </w:rPr>
        <w:softHyphen/>
        <w:t>шение считалось временным. Если бы удалось заполучить двигатели большей мощности, то их бы установили вместо М-34 на крыле, а верхнюю установку - ликвидировали. Предусматривался и седьмой мотор - вспомогательный, приводивший так называемую «центральную электростан</w:t>
      </w:r>
      <w:r w:rsidRPr="00142305">
        <w:rPr>
          <w:rFonts w:ascii="Times New Roman" w:hAnsi="Times New Roman"/>
          <w:color w:val="0070C0"/>
          <w:sz w:val="16"/>
          <w:szCs w:val="16"/>
        </w:rPr>
        <w:softHyphen/>
        <w:t>цию» фирмы «Сименс». Двухтактный мотор от мотоцикла мощностью 7 л.с. крутил вал генератора. По современным меркам «центральная электростанция» давала совсем мало - 2,5 КВт. На серийных ТБ-4 собирались использовать оте</w:t>
      </w:r>
      <w:r w:rsidRPr="00142305">
        <w:rPr>
          <w:rFonts w:ascii="Times New Roman" w:hAnsi="Times New Roman"/>
          <w:color w:val="0070C0"/>
          <w:sz w:val="16"/>
          <w:szCs w:val="16"/>
        </w:rPr>
        <w:softHyphen/>
        <w:t>чественный двигатель от мотоцикла Л-300 (скопированный с английского) и копию же генератора «Сименс», которую делал завод им. Лепсе.</w:t>
      </w:r>
    </w:p>
    <w:p w14:paraId="1F5CD010" w14:textId="77777777" w:rsidR="008A0C3D" w:rsidRPr="00142305" w:rsidRDefault="008A0C3D" w:rsidP="008A0C3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Все двигатели самолета питались из бензобаков в крыле. Всего баков имелось восемь — ддва в центроплане и шесть в консолях. Общая их емкость равнялась 8500 л. Для подачи горючего к моторам верхней тандемной установки предус</w:t>
      </w:r>
      <w:r w:rsidRPr="00142305">
        <w:rPr>
          <w:rFonts w:ascii="Times New Roman" w:hAnsi="Times New Roman"/>
          <w:color w:val="0070C0"/>
          <w:sz w:val="16"/>
          <w:szCs w:val="16"/>
        </w:rPr>
        <w:softHyphen/>
        <w:t>мотрели электронасос и запасной ручной («альвейер»).</w:t>
      </w:r>
    </w:p>
    <w:p w14:paraId="46A6A7CA" w14:textId="77777777" w:rsidR="008A0C3D" w:rsidRPr="00142305" w:rsidRDefault="008A0C3D" w:rsidP="008A0C3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перспективе рассчитывали оборудовать самолет сис</w:t>
      </w:r>
      <w:r w:rsidRPr="00142305">
        <w:rPr>
          <w:rFonts w:ascii="Times New Roman" w:hAnsi="Times New Roman"/>
          <w:color w:val="0070C0"/>
          <w:sz w:val="16"/>
          <w:szCs w:val="16"/>
        </w:rPr>
        <w:softHyphen/>
        <w:t>темой дозаправки в воздухе. Эго значительно увеличило бы радиус действия бомбардировщика. В качестве танке</w:t>
      </w:r>
      <w:r w:rsidRPr="00142305">
        <w:rPr>
          <w:rFonts w:ascii="Times New Roman" w:hAnsi="Times New Roman"/>
          <w:color w:val="0070C0"/>
          <w:sz w:val="16"/>
          <w:szCs w:val="16"/>
        </w:rPr>
        <w:softHyphen/>
        <w:t>ра («бензиноносца») собирались использовать тоже не маленький пятимоторный АНТ -14.</w:t>
      </w:r>
    </w:p>
    <w:p w14:paraId="027FD025" w14:textId="77777777" w:rsidR="008A0C3D" w:rsidRPr="00142305" w:rsidRDefault="008A0C3D" w:rsidP="008A0C3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Количество и размещение стрелковых точек в ходе про</w:t>
      </w:r>
      <w:r w:rsidRPr="00142305">
        <w:rPr>
          <w:rFonts w:ascii="Times New Roman" w:hAnsi="Times New Roman"/>
          <w:color w:val="0070C0"/>
          <w:sz w:val="16"/>
          <w:szCs w:val="16"/>
        </w:rPr>
        <w:softHyphen/>
        <w:t>ектирования неоднократно менялось (24977).</w:t>
      </w:r>
    </w:p>
    <w:p w14:paraId="7C60D429" w14:textId="77777777" w:rsidR="008A0C3D" w:rsidRPr="00142305" w:rsidRDefault="008A0C3D" w:rsidP="008A0C3D">
      <w:pPr>
        <w:spacing w:after="0" w:line="240" w:lineRule="auto"/>
        <w:jc w:val="both"/>
        <w:rPr>
          <w:rFonts w:ascii="Times New Roman" w:hAnsi="Times New Roman"/>
          <w:color w:val="0070C0"/>
          <w:sz w:val="16"/>
          <w:szCs w:val="16"/>
        </w:rPr>
      </w:pPr>
    </w:p>
    <w:p w14:paraId="4514B4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3 по 5 февраля 1931 проходило испытание лыж к самолету ТБ-3 (3226,6-10).</w:t>
      </w:r>
    </w:p>
    <w:p w14:paraId="465F04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Выполнено 5 полетов.</w:t>
      </w:r>
    </w:p>
    <w:p w14:paraId="4635B7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Лыжи для самолета ТБ-3 деревянной конструкции с металлическими козелками, закрытыми обтекателями, постройки завода N 28.</w:t>
      </w:r>
    </w:p>
    <w:p w14:paraId="15BE16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w:t>
      </w:r>
    </w:p>
    <w:p w14:paraId="387F31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НИИ считает, что для полного заключения по лыжам к самолету ТБ3, проведенных испытаний недостаточно, так как не выявлено поведение лыж на различных снежных покровах и при увеличенной нагрузке. Однако, принимая во внимание, что по своим основным размерным данным лыжи ТБ3 близки к таковым же других тяжелых самолетов и выдержали полетные испытания, считать возможным допустить их серийное производство, устранив указанные в отчете недочеты (3236,6-10).</w:t>
      </w:r>
    </w:p>
    <w:p w14:paraId="02958E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E98371E"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708755C3"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2F1FE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3 февраля 1931 г. Постановлением ЦИК и СНК СССР милиция приравнена в отношении важнейших льгот и преимуществ к военнослужащим (10303).</w:t>
      </w:r>
    </w:p>
    <w:p w14:paraId="68CA78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A81F833" w14:textId="77777777" w:rsidR="00FA5373" w:rsidRPr="005E779E" w:rsidRDefault="00FA5373"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Внешняя политика:</w:t>
      </w:r>
    </w:p>
    <w:p w14:paraId="271B9C36" w14:textId="77777777" w:rsidR="00FA5373" w:rsidRPr="005E779E" w:rsidRDefault="00FA5373"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9449BBB" w14:textId="77777777" w:rsidR="00FA5373" w:rsidRPr="005E779E" w:rsidRDefault="00FA5373"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3 февраля 1931 г.</w:t>
      </w:r>
    </w:p>
    <w:p w14:paraId="08174627" w14:textId="77777777" w:rsidR="00FA5373" w:rsidRPr="005E779E" w:rsidRDefault="00FA5373"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Письмо В. Н. Баркова Ж. Л. Аренсу с информацией о публикациях о процессе «Промпартии» во французской прессе и ходе перевода стенограммы процесса. 3 февраля 1931 г.</w:t>
      </w:r>
    </w:p>
    <w:p w14:paraId="7FEB0B40" w14:textId="77777777" w:rsidR="00FA5373" w:rsidRPr="005E779E" w:rsidRDefault="00FA5373"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Источник: </w:t>
      </w:r>
    </w:p>
    <w:p w14:paraId="771B8238" w14:textId="77777777" w:rsidR="00FA5373" w:rsidRPr="005E779E" w:rsidRDefault="00FA53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55F94CD" w14:textId="77777777" w:rsidR="00FA5373" w:rsidRPr="005E779E" w:rsidRDefault="00FA5373"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Архив: </w:t>
      </w:r>
    </w:p>
    <w:p w14:paraId="6EDC836A" w14:textId="77777777" w:rsidR="00FA5373" w:rsidRPr="005E779E" w:rsidRDefault="00FA53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АВП РФ. Ф. 056. Oп. 16. П. 34. Д. 14. Л. 18</w:t>
      </w:r>
    </w:p>
    <w:p w14:paraId="1CAA7EF5" w14:textId="77777777" w:rsidR="00FA5373" w:rsidRPr="005E779E" w:rsidRDefault="00FA5373" w:rsidP="000B7A6C">
      <w:pPr>
        <w:pStyle w:val="ae"/>
        <w:spacing w:before="0" w:after="0"/>
        <w:jc w:val="both"/>
        <w:rPr>
          <w:color w:val="000000" w:themeColor="text1"/>
          <w:sz w:val="16"/>
          <w:szCs w:val="16"/>
        </w:rPr>
      </w:pPr>
      <w:r w:rsidRPr="005E779E">
        <w:rPr>
          <w:color w:val="000000" w:themeColor="text1"/>
          <w:sz w:val="16"/>
          <w:szCs w:val="16"/>
        </w:rPr>
        <w:t>3 февраля 1931 г.</w:t>
      </w:r>
    </w:p>
    <w:p w14:paraId="53D543CF" w14:textId="77777777" w:rsidR="00FA5373" w:rsidRPr="005E779E" w:rsidRDefault="00FA5373" w:rsidP="000B7A6C">
      <w:pPr>
        <w:pStyle w:val="ae"/>
        <w:spacing w:before="0" w:after="0"/>
        <w:jc w:val="both"/>
        <w:rPr>
          <w:color w:val="000000" w:themeColor="text1"/>
          <w:sz w:val="16"/>
          <w:szCs w:val="16"/>
        </w:rPr>
      </w:pPr>
      <w:r w:rsidRPr="005E779E">
        <w:rPr>
          <w:color w:val="000000" w:themeColor="text1"/>
          <w:sz w:val="16"/>
          <w:szCs w:val="16"/>
        </w:rPr>
        <w:t>СЕКРЕТНО</w:t>
      </w:r>
    </w:p>
    <w:p w14:paraId="37974EFD" w14:textId="77777777" w:rsidR="00FA5373" w:rsidRPr="005E779E" w:rsidRDefault="00FA5373" w:rsidP="000B7A6C">
      <w:pPr>
        <w:pStyle w:val="ae"/>
        <w:spacing w:before="0" w:after="0"/>
        <w:jc w:val="both"/>
        <w:rPr>
          <w:color w:val="000000" w:themeColor="text1"/>
          <w:sz w:val="16"/>
          <w:szCs w:val="16"/>
        </w:rPr>
      </w:pPr>
      <w:r w:rsidRPr="005E779E">
        <w:rPr>
          <w:color w:val="000000" w:themeColor="text1"/>
          <w:sz w:val="16"/>
          <w:szCs w:val="16"/>
        </w:rPr>
        <w:t>Н.К.И.Д. ОТДЕЛ ПЕЧАТИ</w:t>
      </w:r>
    </w:p>
    <w:p w14:paraId="42BE243D" w14:textId="77777777" w:rsidR="00FA5373" w:rsidRPr="005E779E" w:rsidRDefault="00FA5373" w:rsidP="000B7A6C">
      <w:pPr>
        <w:pStyle w:val="ae"/>
        <w:spacing w:before="0" w:after="0"/>
        <w:jc w:val="both"/>
        <w:rPr>
          <w:color w:val="000000" w:themeColor="text1"/>
          <w:sz w:val="16"/>
          <w:szCs w:val="16"/>
        </w:rPr>
      </w:pPr>
      <w:r w:rsidRPr="005E779E">
        <w:rPr>
          <w:color w:val="000000" w:themeColor="text1"/>
          <w:sz w:val="16"/>
          <w:szCs w:val="16"/>
        </w:rPr>
        <w:t>ТОВ. АРЕНСУ</w:t>
      </w:r>
    </w:p>
    <w:p w14:paraId="13811A52" w14:textId="77777777" w:rsidR="00FA5373" w:rsidRPr="005E779E" w:rsidRDefault="00FA5373" w:rsidP="000B7A6C">
      <w:pPr>
        <w:pStyle w:val="ae"/>
        <w:spacing w:before="0" w:after="0"/>
        <w:jc w:val="both"/>
        <w:rPr>
          <w:color w:val="000000" w:themeColor="text1"/>
          <w:sz w:val="16"/>
          <w:szCs w:val="16"/>
        </w:rPr>
      </w:pPr>
      <w:r w:rsidRPr="005E779E">
        <w:rPr>
          <w:color w:val="000000" w:themeColor="text1"/>
          <w:sz w:val="16"/>
          <w:szCs w:val="16"/>
        </w:rPr>
        <w:t>Уважаемый товарищ,</w:t>
      </w:r>
    </w:p>
    <w:p w14:paraId="5ADB6D51" w14:textId="56616205" w:rsidR="00FA5373" w:rsidRPr="005E779E" w:rsidRDefault="00FA5373" w:rsidP="000B7A6C">
      <w:pPr>
        <w:pStyle w:val="rtejustify"/>
        <w:spacing w:before="0" w:after="0"/>
        <w:rPr>
          <w:color w:val="000000" w:themeColor="text1"/>
          <w:sz w:val="16"/>
          <w:szCs w:val="16"/>
        </w:rPr>
      </w:pPr>
      <w:r w:rsidRPr="005E779E">
        <w:rPr>
          <w:color w:val="000000" w:themeColor="text1"/>
          <w:sz w:val="16"/>
          <w:szCs w:val="16"/>
        </w:rPr>
        <w:t>1.</w:t>
      </w:r>
      <w:r w:rsidR="00FE094E">
        <w:rPr>
          <w:color w:val="000000" w:themeColor="text1"/>
          <w:sz w:val="16"/>
          <w:szCs w:val="16"/>
        </w:rPr>
        <w:t xml:space="preserve"> </w:t>
      </w:r>
      <w:r w:rsidRPr="005E779E">
        <w:rPr>
          <w:color w:val="000000" w:themeColor="text1"/>
          <w:sz w:val="16"/>
          <w:szCs w:val="16"/>
        </w:rPr>
        <w:t xml:space="preserve"> Перевод двигается. Будет окончен в конце февраля.</w:t>
      </w:r>
    </w:p>
    <w:p w14:paraId="2EFD98BD" w14:textId="306359AE" w:rsidR="00FA5373" w:rsidRPr="005E779E" w:rsidRDefault="00FA5373" w:rsidP="000B7A6C">
      <w:pPr>
        <w:pStyle w:val="rtejustify"/>
        <w:spacing w:before="0" w:after="0"/>
        <w:rPr>
          <w:color w:val="000000" w:themeColor="text1"/>
          <w:sz w:val="16"/>
          <w:szCs w:val="16"/>
        </w:rPr>
      </w:pPr>
      <w:r w:rsidRPr="005E779E">
        <w:rPr>
          <w:color w:val="000000" w:themeColor="text1"/>
          <w:sz w:val="16"/>
          <w:szCs w:val="16"/>
        </w:rPr>
        <w:t>2.</w:t>
      </w:r>
      <w:r w:rsidR="00FE094E">
        <w:rPr>
          <w:color w:val="000000" w:themeColor="text1"/>
          <w:sz w:val="16"/>
          <w:szCs w:val="16"/>
        </w:rPr>
        <w:t xml:space="preserve">  </w:t>
      </w:r>
      <w:r w:rsidRPr="005E779E">
        <w:rPr>
          <w:color w:val="000000" w:themeColor="text1"/>
          <w:sz w:val="16"/>
          <w:szCs w:val="16"/>
        </w:rPr>
        <w:t>Вышел очередной номер «Кайе Бле» о процессе. Посылаем.</w:t>
      </w:r>
    </w:p>
    <w:p w14:paraId="51D95C1B" w14:textId="7AE357BD" w:rsidR="00FA5373" w:rsidRPr="005E779E" w:rsidRDefault="00FA5373" w:rsidP="000B7A6C">
      <w:pPr>
        <w:pStyle w:val="rtejustify"/>
        <w:spacing w:before="0" w:after="0"/>
        <w:rPr>
          <w:color w:val="000000" w:themeColor="text1"/>
          <w:sz w:val="16"/>
          <w:szCs w:val="16"/>
        </w:rPr>
      </w:pPr>
      <w:r w:rsidRPr="005E779E">
        <w:rPr>
          <w:color w:val="000000" w:themeColor="text1"/>
          <w:sz w:val="16"/>
          <w:szCs w:val="16"/>
        </w:rPr>
        <w:t>3.</w:t>
      </w:r>
      <w:r w:rsidR="00FE094E">
        <w:rPr>
          <w:color w:val="000000" w:themeColor="text1"/>
          <w:sz w:val="16"/>
          <w:szCs w:val="16"/>
        </w:rPr>
        <w:t xml:space="preserve"> </w:t>
      </w:r>
      <w:r w:rsidRPr="005E779E">
        <w:rPr>
          <w:color w:val="000000" w:themeColor="text1"/>
          <w:sz w:val="16"/>
          <w:szCs w:val="16"/>
        </w:rPr>
        <w:t xml:space="preserve"> Обратился к нам Дволайцкий с просьбой посылать ему регулярно 2 экз. наших бюллетеней. Просим санкции со стороны НКИД. Известите о решение.</w:t>
      </w:r>
    </w:p>
    <w:p w14:paraId="1AAF62A9" w14:textId="585C05ED" w:rsidR="00FA5373" w:rsidRPr="005E779E" w:rsidRDefault="00FA5373" w:rsidP="000B7A6C">
      <w:pPr>
        <w:pStyle w:val="rtejustify"/>
        <w:spacing w:before="0" w:after="0"/>
        <w:rPr>
          <w:color w:val="000000" w:themeColor="text1"/>
          <w:sz w:val="16"/>
          <w:szCs w:val="16"/>
        </w:rPr>
      </w:pPr>
      <w:r w:rsidRPr="005E779E">
        <w:rPr>
          <w:color w:val="000000" w:themeColor="text1"/>
          <w:sz w:val="16"/>
          <w:szCs w:val="16"/>
        </w:rPr>
        <w:t>4.</w:t>
      </w:r>
      <w:r w:rsidR="00FE094E">
        <w:rPr>
          <w:color w:val="000000" w:themeColor="text1"/>
          <w:sz w:val="16"/>
          <w:szCs w:val="16"/>
        </w:rPr>
        <w:t xml:space="preserve"> </w:t>
      </w:r>
      <w:r w:rsidRPr="005E779E">
        <w:rPr>
          <w:color w:val="000000" w:themeColor="text1"/>
          <w:sz w:val="16"/>
          <w:szCs w:val="16"/>
        </w:rPr>
        <w:t xml:space="preserve"> Как решен вопрос о специальном номере «Эроп Нувелль», посвященном пятилетке. Луиза Вейс вернулась из поездки по Европе. Увижусь с ней 7-го февраля. Остается ли в силе Ваше предложение о специальном номере, посвященном процессу?</w:t>
      </w:r>
    </w:p>
    <w:p w14:paraId="5568A19E" w14:textId="0814E3EF" w:rsidR="00FA5373" w:rsidRPr="005E779E" w:rsidRDefault="00FA5373" w:rsidP="000B7A6C">
      <w:pPr>
        <w:pStyle w:val="rtejustify"/>
        <w:spacing w:before="0" w:after="0"/>
        <w:rPr>
          <w:color w:val="000000" w:themeColor="text1"/>
          <w:sz w:val="16"/>
          <w:szCs w:val="16"/>
        </w:rPr>
      </w:pPr>
      <w:r w:rsidRPr="005E779E">
        <w:rPr>
          <w:color w:val="000000" w:themeColor="text1"/>
          <w:sz w:val="16"/>
          <w:szCs w:val="16"/>
        </w:rPr>
        <w:t>5.</w:t>
      </w:r>
      <w:r w:rsidR="00FE094E">
        <w:rPr>
          <w:color w:val="000000" w:themeColor="text1"/>
          <w:sz w:val="16"/>
          <w:szCs w:val="16"/>
        </w:rPr>
        <w:t xml:space="preserve">  </w:t>
      </w:r>
      <w:r w:rsidRPr="005E779E">
        <w:rPr>
          <w:color w:val="000000" w:themeColor="text1"/>
          <w:sz w:val="16"/>
          <w:szCs w:val="16"/>
        </w:rPr>
        <w:t>Передайте в первый западный, что в прессу ничего не проникло о т. н. «балтийских завтраках». Вообще нам ничего не известно о них.</w:t>
      </w:r>
    </w:p>
    <w:p w14:paraId="2A0D1B64" w14:textId="4EBB1CC0" w:rsidR="00FA5373" w:rsidRPr="005E779E" w:rsidRDefault="00FA5373" w:rsidP="000B7A6C">
      <w:pPr>
        <w:pStyle w:val="rtejustify"/>
        <w:spacing w:before="0" w:after="0"/>
        <w:rPr>
          <w:color w:val="000000" w:themeColor="text1"/>
          <w:sz w:val="16"/>
          <w:szCs w:val="16"/>
        </w:rPr>
      </w:pPr>
      <w:r w:rsidRPr="005E779E">
        <w:rPr>
          <w:color w:val="000000" w:themeColor="text1"/>
          <w:sz w:val="16"/>
          <w:szCs w:val="16"/>
        </w:rPr>
        <w:t>6.</w:t>
      </w:r>
      <w:r w:rsidR="00FE094E">
        <w:rPr>
          <w:color w:val="000000" w:themeColor="text1"/>
          <w:sz w:val="16"/>
          <w:szCs w:val="16"/>
        </w:rPr>
        <w:t xml:space="preserve"> </w:t>
      </w:r>
      <w:r w:rsidRPr="005E779E">
        <w:rPr>
          <w:color w:val="000000" w:themeColor="text1"/>
          <w:sz w:val="16"/>
          <w:szCs w:val="16"/>
        </w:rPr>
        <w:t xml:space="preserve"> Постараемся пустить в прессу материалы о зверствах Польского Правительства в Западной Галиции. Пресса упорно молчит о них.</w:t>
      </w:r>
    </w:p>
    <w:p w14:paraId="53E0A1DF" w14:textId="3D529077" w:rsidR="00FA5373" w:rsidRPr="005E779E" w:rsidRDefault="00FA5373" w:rsidP="000B7A6C">
      <w:pPr>
        <w:pStyle w:val="rtejustify"/>
        <w:spacing w:before="0" w:after="0"/>
        <w:rPr>
          <w:color w:val="000000" w:themeColor="text1"/>
          <w:sz w:val="16"/>
          <w:szCs w:val="16"/>
        </w:rPr>
      </w:pPr>
      <w:r w:rsidRPr="005E779E">
        <w:rPr>
          <w:color w:val="000000" w:themeColor="text1"/>
          <w:sz w:val="16"/>
          <w:szCs w:val="16"/>
        </w:rPr>
        <w:t>7.</w:t>
      </w:r>
      <w:r w:rsidR="00FE094E">
        <w:rPr>
          <w:color w:val="000000" w:themeColor="text1"/>
          <w:sz w:val="16"/>
          <w:szCs w:val="16"/>
        </w:rPr>
        <w:t xml:space="preserve">  </w:t>
      </w:r>
      <w:r w:rsidRPr="005E779E">
        <w:rPr>
          <w:color w:val="000000" w:themeColor="text1"/>
          <w:sz w:val="16"/>
          <w:szCs w:val="16"/>
        </w:rPr>
        <w:t>Книжку Рене Мартеля посылаем.</w:t>
      </w:r>
    </w:p>
    <w:p w14:paraId="6BAEB9FB" w14:textId="0A9D6662" w:rsidR="00FA5373" w:rsidRPr="005E779E" w:rsidRDefault="00FA5373" w:rsidP="000B7A6C">
      <w:pPr>
        <w:pStyle w:val="rtejustify"/>
        <w:spacing w:before="0" w:after="0"/>
        <w:rPr>
          <w:color w:val="000000" w:themeColor="text1"/>
          <w:sz w:val="16"/>
          <w:szCs w:val="16"/>
        </w:rPr>
      </w:pPr>
      <w:r w:rsidRPr="005E779E">
        <w:rPr>
          <w:color w:val="000000" w:themeColor="text1"/>
          <w:sz w:val="16"/>
          <w:szCs w:val="16"/>
        </w:rPr>
        <w:t>8.</w:t>
      </w:r>
      <w:r w:rsidR="00FE094E">
        <w:rPr>
          <w:color w:val="000000" w:themeColor="text1"/>
          <w:sz w:val="16"/>
          <w:szCs w:val="16"/>
        </w:rPr>
        <w:t xml:space="preserve"> </w:t>
      </w:r>
      <w:r w:rsidRPr="005E779E">
        <w:rPr>
          <w:color w:val="000000" w:themeColor="text1"/>
          <w:sz w:val="16"/>
          <w:szCs w:val="16"/>
        </w:rPr>
        <w:t xml:space="preserve"> У нас скопились комплекты журналов за прошлый год. Не найдете ли целесообразным переслать их в Москву в какую-нибудь библиотеку, напр., имени Ленина.</w:t>
      </w:r>
    </w:p>
    <w:p w14:paraId="2921C773" w14:textId="77777777" w:rsidR="00FA5373" w:rsidRPr="005E779E" w:rsidRDefault="00FA5373" w:rsidP="000B7A6C">
      <w:pPr>
        <w:pStyle w:val="rtejustify"/>
        <w:spacing w:before="0" w:after="0"/>
        <w:rPr>
          <w:color w:val="000000" w:themeColor="text1"/>
          <w:sz w:val="16"/>
          <w:szCs w:val="16"/>
        </w:rPr>
      </w:pPr>
      <w:r w:rsidRPr="005E779E">
        <w:rPr>
          <w:color w:val="000000" w:themeColor="text1"/>
          <w:sz w:val="16"/>
          <w:szCs w:val="16"/>
        </w:rPr>
        <w:t>С тов. прив[етом] В. Барков</w:t>
      </w:r>
    </w:p>
    <w:p w14:paraId="0FED4499" w14:textId="77777777" w:rsidR="00FA5373" w:rsidRPr="005E779E" w:rsidRDefault="00FA5373" w:rsidP="000B7A6C">
      <w:pPr>
        <w:pStyle w:val="ae"/>
        <w:spacing w:before="0" w:after="0"/>
        <w:jc w:val="both"/>
        <w:rPr>
          <w:color w:val="000000" w:themeColor="text1"/>
          <w:sz w:val="16"/>
          <w:szCs w:val="16"/>
        </w:rPr>
      </w:pPr>
      <w:r w:rsidRPr="005E779E">
        <w:rPr>
          <w:rStyle w:val="af0"/>
          <w:i w:val="0"/>
          <w:color w:val="000000" w:themeColor="text1"/>
          <w:sz w:val="16"/>
          <w:szCs w:val="16"/>
        </w:rPr>
        <w:t>АВП РФ. Ф. 056. Oп. 16. П. 34. Д. 14. Л. 18. Машинописный подлинник на бланке Полпредства СССР во Франции, подпись Баркова — автограф. Вверху справа в графе бланка дата «3 февраля 1931 г.» (число и месяц машинописью) и номер «46/с» (от руки). Гриф секретности машинописью. Вверху слева написаны от руки входящий номер и дата получения документа «8/II-31 г.», ниже рукописная помета: «Взято на заметку». Внизу слева делопроизводственная помета машинописью (столбцом) «2 экз.: — т. Аренсу. 1 — в дело» (18830).</w:t>
      </w:r>
    </w:p>
    <w:p w14:paraId="1C6D4F71" w14:textId="77777777" w:rsidR="00FA5373" w:rsidRPr="005E779E" w:rsidRDefault="00FA5373" w:rsidP="000B7A6C">
      <w:pPr>
        <w:spacing w:after="0" w:line="240" w:lineRule="auto"/>
        <w:jc w:val="both"/>
        <w:rPr>
          <w:rFonts w:ascii="Times New Roman" w:hAnsi="Times New Roman"/>
          <w:color w:val="000000" w:themeColor="text1"/>
          <w:sz w:val="16"/>
          <w:szCs w:val="16"/>
        </w:rPr>
      </w:pPr>
    </w:p>
    <w:p w14:paraId="288D5BD2" w14:textId="77777777" w:rsidR="00FA5373" w:rsidRPr="005E779E" w:rsidRDefault="00FA53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февраля 1931 г.</w:t>
      </w:r>
    </w:p>
    <w:p w14:paraId="520862DA" w14:textId="77777777" w:rsidR="00FA5373" w:rsidRPr="005E779E" w:rsidRDefault="00FA5373"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 xml:space="preserve">Письмо Б. Д. Виноградова в отдел печати НКИД СССР с информацией о пребывании в Германии Б. А. Пильняка. </w:t>
      </w:r>
    </w:p>
    <w:p w14:paraId="26C51DB0" w14:textId="77777777" w:rsidR="00FA5373" w:rsidRPr="005E779E" w:rsidRDefault="00FA5373"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Источник: </w:t>
      </w:r>
    </w:p>
    <w:p w14:paraId="7310B044" w14:textId="77777777" w:rsidR="00FA5373" w:rsidRPr="005E779E" w:rsidRDefault="00FA53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2471DE8" w14:textId="77777777" w:rsidR="00FA5373" w:rsidRPr="005E779E" w:rsidRDefault="00FA5373"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Архив: </w:t>
      </w:r>
    </w:p>
    <w:p w14:paraId="5D533B33" w14:textId="77777777" w:rsidR="00FA5373" w:rsidRPr="005E779E" w:rsidRDefault="00FA53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АВП РФ. Ф. 056. On. 16. Папка 33. Д. 8. Л. 111-111 об.</w:t>
      </w:r>
    </w:p>
    <w:p w14:paraId="5D12FF46" w14:textId="77777777" w:rsidR="00FA5373" w:rsidRPr="005E779E" w:rsidRDefault="00FA5373" w:rsidP="000B7A6C">
      <w:pPr>
        <w:pStyle w:val="rteright"/>
        <w:spacing w:before="0" w:after="0"/>
        <w:jc w:val="both"/>
        <w:rPr>
          <w:color w:val="000000" w:themeColor="text1"/>
          <w:sz w:val="16"/>
          <w:szCs w:val="16"/>
        </w:rPr>
      </w:pPr>
      <w:r w:rsidRPr="005E779E">
        <w:rPr>
          <w:color w:val="000000" w:themeColor="text1"/>
          <w:sz w:val="16"/>
          <w:szCs w:val="16"/>
        </w:rPr>
        <w:t>3 февраля 1931 г.</w:t>
      </w:r>
    </w:p>
    <w:p w14:paraId="3CD801E9" w14:textId="77777777" w:rsidR="00FA5373" w:rsidRPr="005E779E" w:rsidRDefault="00FA5373" w:rsidP="000B7A6C">
      <w:pPr>
        <w:pStyle w:val="rteright"/>
        <w:spacing w:before="0" w:after="0"/>
        <w:jc w:val="both"/>
        <w:rPr>
          <w:color w:val="000000" w:themeColor="text1"/>
          <w:sz w:val="16"/>
          <w:szCs w:val="16"/>
        </w:rPr>
      </w:pPr>
      <w:r w:rsidRPr="005E779E">
        <w:rPr>
          <w:color w:val="000000" w:themeColor="text1"/>
          <w:sz w:val="16"/>
          <w:szCs w:val="16"/>
        </w:rPr>
        <w:t>Секретно</w:t>
      </w:r>
    </w:p>
    <w:p w14:paraId="45CE2D8C" w14:textId="77777777" w:rsidR="00FA5373" w:rsidRPr="005E779E" w:rsidRDefault="00FA5373" w:rsidP="000B7A6C">
      <w:pPr>
        <w:pStyle w:val="ae"/>
        <w:spacing w:before="0" w:after="0"/>
        <w:jc w:val="both"/>
        <w:rPr>
          <w:color w:val="000000" w:themeColor="text1"/>
          <w:sz w:val="16"/>
          <w:szCs w:val="16"/>
        </w:rPr>
      </w:pPr>
      <w:r w:rsidRPr="005E779E">
        <w:rPr>
          <w:color w:val="000000" w:themeColor="text1"/>
          <w:sz w:val="16"/>
          <w:szCs w:val="16"/>
        </w:rPr>
        <w:t>ОТДЕЛ ПЕЧАТИ НКИД</w:t>
      </w:r>
    </w:p>
    <w:p w14:paraId="11B62EE7" w14:textId="77777777" w:rsidR="00FA5373" w:rsidRPr="005E779E" w:rsidRDefault="00FA5373" w:rsidP="000B7A6C">
      <w:pPr>
        <w:pStyle w:val="ae"/>
        <w:spacing w:before="0" w:after="0"/>
        <w:jc w:val="both"/>
        <w:rPr>
          <w:color w:val="000000" w:themeColor="text1"/>
          <w:sz w:val="16"/>
          <w:szCs w:val="16"/>
        </w:rPr>
      </w:pPr>
      <w:r w:rsidRPr="005E779E">
        <w:rPr>
          <w:color w:val="000000" w:themeColor="text1"/>
          <w:sz w:val="16"/>
          <w:szCs w:val="16"/>
        </w:rPr>
        <w:t>тов. Аренсу</w:t>
      </w:r>
    </w:p>
    <w:p w14:paraId="1531FBA2" w14:textId="77777777" w:rsidR="00FA5373" w:rsidRPr="005E779E" w:rsidRDefault="00FA5373" w:rsidP="000B7A6C">
      <w:pPr>
        <w:pStyle w:val="ae"/>
        <w:spacing w:before="0" w:after="0"/>
        <w:jc w:val="both"/>
        <w:rPr>
          <w:color w:val="000000" w:themeColor="text1"/>
          <w:sz w:val="16"/>
          <w:szCs w:val="16"/>
        </w:rPr>
      </w:pPr>
      <w:r w:rsidRPr="005E779E">
        <w:rPr>
          <w:color w:val="000000" w:themeColor="text1"/>
          <w:sz w:val="16"/>
          <w:szCs w:val="16"/>
        </w:rPr>
        <w:t>Москва</w:t>
      </w:r>
    </w:p>
    <w:p w14:paraId="398F33AB" w14:textId="77777777" w:rsidR="00FA5373" w:rsidRPr="005E779E" w:rsidRDefault="00FA5373" w:rsidP="000B7A6C">
      <w:pPr>
        <w:pStyle w:val="ae"/>
        <w:spacing w:before="0" w:after="0"/>
        <w:jc w:val="both"/>
        <w:rPr>
          <w:color w:val="000000" w:themeColor="text1"/>
          <w:sz w:val="16"/>
          <w:szCs w:val="16"/>
        </w:rPr>
      </w:pPr>
      <w:r w:rsidRPr="005E779E">
        <w:rPr>
          <w:color w:val="000000" w:themeColor="text1"/>
          <w:sz w:val="16"/>
          <w:szCs w:val="16"/>
        </w:rPr>
        <w:t>Уважаемый Товарищ,</w:t>
      </w:r>
    </w:p>
    <w:p w14:paraId="45BDFB57" w14:textId="77777777" w:rsidR="00FA5373" w:rsidRPr="005E779E" w:rsidRDefault="00FA5373" w:rsidP="000B7A6C">
      <w:pPr>
        <w:pStyle w:val="rtejustify"/>
        <w:spacing w:before="0" w:after="0"/>
        <w:rPr>
          <w:color w:val="000000" w:themeColor="text1"/>
          <w:sz w:val="16"/>
          <w:szCs w:val="16"/>
        </w:rPr>
      </w:pPr>
      <w:r w:rsidRPr="005E779E">
        <w:rPr>
          <w:color w:val="000000" w:themeColor="text1"/>
          <w:sz w:val="16"/>
          <w:szCs w:val="16"/>
        </w:rPr>
        <w:t>Так как от Вас поступило несколько писем с предупреждением о приезде Пильняка, то я хочу Вам в нескольких словах написать об его пребывании в Германии. Использовать Пильняка для какой-либо культурной пропаганды очень трудно. Он не говорит ни на одном иностранном языке, а когда дело доходит до докладов на русском[,] заявляет, что «я не оратор». Мы его здесь «показывали» на двух приемах (на прессе бирабенде и на втором специально устроенном для наших приезжих писателей). Кроме того, на докладе т. Третьякова, собравшем многочисленную аудиторию в ОДНР, Пильняк был представлен и сказал несколько несвязных слов. Наконец, Пильняк выступал в Союзе Пролетарских Писателей. ТАССовский отчет об этом выступлении прилагаю, хотя Вы, возможно, уже его читали. Употребляя слова отчета, можно сказать, что это был для Пильняка, действительно, тяжелый вечер. Возможно, что Пильняк за время своего путешествия наберется впечатлений и потом сможет написать интересный роман. Но, говоря откровенно, я мало надеюсь на такой результат.</w:t>
      </w:r>
    </w:p>
    <w:p w14:paraId="246018BE" w14:textId="77777777" w:rsidR="00FA5373" w:rsidRPr="005E779E" w:rsidRDefault="00FA5373" w:rsidP="000B7A6C">
      <w:pPr>
        <w:pStyle w:val="rtejustify"/>
        <w:spacing w:before="0" w:after="0"/>
        <w:rPr>
          <w:color w:val="000000" w:themeColor="text1"/>
          <w:sz w:val="16"/>
          <w:szCs w:val="16"/>
        </w:rPr>
      </w:pPr>
      <w:r w:rsidRPr="005E779E">
        <w:rPr>
          <w:color w:val="000000" w:themeColor="text1"/>
          <w:sz w:val="16"/>
          <w:szCs w:val="16"/>
        </w:rPr>
        <w:t>С товарищеским приветом</w:t>
      </w:r>
    </w:p>
    <w:p w14:paraId="15A1E63A" w14:textId="77777777" w:rsidR="00FA5373" w:rsidRPr="005E779E" w:rsidRDefault="00FA5373" w:rsidP="000B7A6C">
      <w:pPr>
        <w:pStyle w:val="rtejustify"/>
        <w:spacing w:before="0" w:after="0"/>
        <w:rPr>
          <w:color w:val="000000" w:themeColor="text1"/>
          <w:sz w:val="16"/>
          <w:szCs w:val="16"/>
        </w:rPr>
      </w:pPr>
      <w:r w:rsidRPr="005E779E">
        <w:rPr>
          <w:color w:val="000000" w:themeColor="text1"/>
          <w:sz w:val="16"/>
          <w:szCs w:val="16"/>
        </w:rPr>
        <w:t>Б. Виноградов</w:t>
      </w:r>
    </w:p>
    <w:p w14:paraId="7F09F132" w14:textId="77777777" w:rsidR="00FA5373" w:rsidRPr="005E779E" w:rsidRDefault="00FA5373" w:rsidP="000B7A6C">
      <w:pPr>
        <w:pStyle w:val="rtejustify"/>
        <w:spacing w:before="0" w:after="0"/>
        <w:rPr>
          <w:color w:val="000000" w:themeColor="text1"/>
          <w:sz w:val="16"/>
          <w:szCs w:val="16"/>
        </w:rPr>
      </w:pPr>
      <w:r w:rsidRPr="005E779E">
        <w:rPr>
          <w:color w:val="000000" w:themeColor="text1"/>
          <w:sz w:val="16"/>
          <w:szCs w:val="16"/>
        </w:rPr>
        <w:t>П. С. О злоключениях статьи т. Луначарского Вам пишет т. Штерн, так что я к этому вопросу возвращаться не буду. Статья, по[-]видимому, появится в «Цейтшрифт фюр Политик» в середине февраля.</w:t>
      </w:r>
    </w:p>
    <w:p w14:paraId="3B76F8DC" w14:textId="77777777" w:rsidR="00FA5373" w:rsidRPr="005E779E" w:rsidRDefault="00FA5373" w:rsidP="000B7A6C">
      <w:pPr>
        <w:pStyle w:val="rtejustify"/>
        <w:spacing w:before="0" w:after="0"/>
        <w:rPr>
          <w:color w:val="000000" w:themeColor="text1"/>
          <w:sz w:val="16"/>
          <w:szCs w:val="16"/>
          <w:lang w:val="en-US"/>
        </w:rPr>
      </w:pPr>
      <w:r w:rsidRPr="005E779E">
        <w:rPr>
          <w:color w:val="000000" w:themeColor="text1"/>
          <w:sz w:val="16"/>
          <w:szCs w:val="16"/>
        </w:rPr>
        <w:t>Б</w:t>
      </w:r>
      <w:r w:rsidRPr="005E779E">
        <w:rPr>
          <w:color w:val="000000" w:themeColor="text1"/>
          <w:sz w:val="16"/>
          <w:szCs w:val="16"/>
          <w:lang w:val="en-US"/>
        </w:rPr>
        <w:t xml:space="preserve">. </w:t>
      </w:r>
      <w:r w:rsidRPr="005E779E">
        <w:rPr>
          <w:color w:val="000000" w:themeColor="text1"/>
          <w:sz w:val="16"/>
          <w:szCs w:val="16"/>
        </w:rPr>
        <w:t>В</w:t>
      </w:r>
      <w:r w:rsidRPr="005E779E">
        <w:rPr>
          <w:color w:val="000000" w:themeColor="text1"/>
          <w:sz w:val="16"/>
          <w:szCs w:val="16"/>
          <w:lang w:val="en-US"/>
        </w:rPr>
        <w:t>.</w:t>
      </w:r>
    </w:p>
    <w:p w14:paraId="5E35E6C3" w14:textId="77777777" w:rsidR="00FA5373" w:rsidRPr="005E779E" w:rsidRDefault="00FA5373" w:rsidP="000B7A6C">
      <w:pPr>
        <w:pStyle w:val="ae"/>
        <w:spacing w:before="0" w:after="0"/>
        <w:jc w:val="both"/>
        <w:rPr>
          <w:color w:val="000000" w:themeColor="text1"/>
          <w:sz w:val="16"/>
          <w:szCs w:val="16"/>
        </w:rPr>
      </w:pPr>
      <w:r w:rsidRPr="005E779E">
        <w:rPr>
          <w:rStyle w:val="af0"/>
          <w:i w:val="0"/>
          <w:color w:val="000000" w:themeColor="text1"/>
          <w:sz w:val="16"/>
          <w:szCs w:val="16"/>
        </w:rPr>
        <w:t>АВП</w:t>
      </w:r>
      <w:r w:rsidRPr="005E779E">
        <w:rPr>
          <w:rStyle w:val="af0"/>
          <w:i w:val="0"/>
          <w:color w:val="000000" w:themeColor="text1"/>
          <w:sz w:val="16"/>
          <w:szCs w:val="16"/>
          <w:lang w:val="en-US"/>
        </w:rPr>
        <w:t xml:space="preserve"> </w:t>
      </w:r>
      <w:r w:rsidRPr="005E779E">
        <w:rPr>
          <w:rStyle w:val="af0"/>
          <w:i w:val="0"/>
          <w:color w:val="000000" w:themeColor="text1"/>
          <w:sz w:val="16"/>
          <w:szCs w:val="16"/>
        </w:rPr>
        <w:t>РФ</w:t>
      </w:r>
      <w:r w:rsidRPr="005E779E">
        <w:rPr>
          <w:rStyle w:val="af0"/>
          <w:i w:val="0"/>
          <w:color w:val="000000" w:themeColor="text1"/>
          <w:sz w:val="16"/>
          <w:szCs w:val="16"/>
          <w:lang w:val="en-US"/>
        </w:rPr>
        <w:t xml:space="preserve">. </w:t>
      </w:r>
      <w:r w:rsidRPr="005E779E">
        <w:rPr>
          <w:rStyle w:val="af0"/>
          <w:i w:val="0"/>
          <w:color w:val="000000" w:themeColor="text1"/>
          <w:sz w:val="16"/>
          <w:szCs w:val="16"/>
        </w:rPr>
        <w:t>Ф</w:t>
      </w:r>
      <w:r w:rsidRPr="005E779E">
        <w:rPr>
          <w:rStyle w:val="af0"/>
          <w:i w:val="0"/>
          <w:color w:val="000000" w:themeColor="text1"/>
          <w:sz w:val="16"/>
          <w:szCs w:val="16"/>
          <w:lang w:val="en-US"/>
        </w:rPr>
        <w:t xml:space="preserve">. 056. On. 16. </w:t>
      </w:r>
      <w:r w:rsidRPr="005E779E">
        <w:rPr>
          <w:rStyle w:val="af0"/>
          <w:i w:val="0"/>
          <w:color w:val="000000" w:themeColor="text1"/>
          <w:sz w:val="16"/>
          <w:szCs w:val="16"/>
        </w:rPr>
        <w:t>Папка 33. Д. 8. Л. 111-111 об. Машинописный подлинник, на бланке Полпредства СССР в Германии, подпись Виноградова — автограф. Гриф секретности и дата машинописью, исходящий «№ 226» в графе бланка. Вверху Л. 111 написаны от руки входящий «№ 172» и дата получения документа «18/11-31 г.», подпись-росчерк Миронова с пометой «архив» (18900).</w:t>
      </w:r>
    </w:p>
    <w:p w14:paraId="54E2B4AF" w14:textId="77777777" w:rsidR="00FA5373" w:rsidRPr="005E779E" w:rsidRDefault="00FA5373" w:rsidP="000B7A6C">
      <w:pPr>
        <w:spacing w:after="0" w:line="240" w:lineRule="auto"/>
        <w:jc w:val="both"/>
        <w:rPr>
          <w:rFonts w:ascii="Times New Roman" w:hAnsi="Times New Roman"/>
          <w:color w:val="000000" w:themeColor="text1"/>
          <w:sz w:val="16"/>
          <w:szCs w:val="16"/>
        </w:rPr>
      </w:pPr>
    </w:p>
    <w:p w14:paraId="183A825B"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lang w:val="en-US"/>
        </w:rPr>
      </w:pPr>
      <w:r w:rsidRPr="005E779E">
        <w:rPr>
          <w:rFonts w:ascii="Times New Roman" w:hAnsi="Times New Roman"/>
          <w:i/>
          <w:iCs/>
          <w:color w:val="000000" w:themeColor="text1"/>
          <w:sz w:val="16"/>
          <w:szCs w:val="16"/>
        </w:rPr>
        <w:t>Жизнь</w:t>
      </w:r>
      <w:r w:rsidR="002E524B" w:rsidRPr="005E779E">
        <w:rPr>
          <w:rFonts w:ascii="Times New Roman" w:hAnsi="Times New Roman"/>
          <w:i/>
          <w:iCs/>
          <w:color w:val="000000" w:themeColor="text1"/>
          <w:sz w:val="16"/>
          <w:szCs w:val="16"/>
          <w:lang w:val="en-US"/>
        </w:rPr>
        <w:t xml:space="preserve"> </w:t>
      </w:r>
      <w:r w:rsidRPr="005E779E">
        <w:rPr>
          <w:rFonts w:ascii="Times New Roman" w:hAnsi="Times New Roman"/>
          <w:i/>
          <w:iCs/>
          <w:color w:val="000000" w:themeColor="text1"/>
          <w:sz w:val="16"/>
          <w:szCs w:val="16"/>
        </w:rPr>
        <w:t>и</w:t>
      </w:r>
      <w:r w:rsidR="002E524B" w:rsidRPr="005E779E">
        <w:rPr>
          <w:rFonts w:ascii="Times New Roman" w:hAnsi="Times New Roman"/>
          <w:i/>
          <w:iCs/>
          <w:color w:val="000000" w:themeColor="text1"/>
          <w:sz w:val="16"/>
          <w:szCs w:val="16"/>
          <w:lang w:val="en-US"/>
        </w:rPr>
        <w:t xml:space="preserve"> </w:t>
      </w:r>
      <w:r w:rsidRPr="005E779E">
        <w:rPr>
          <w:rFonts w:ascii="Times New Roman" w:hAnsi="Times New Roman"/>
          <w:i/>
          <w:iCs/>
          <w:color w:val="000000" w:themeColor="text1"/>
          <w:sz w:val="16"/>
          <w:szCs w:val="16"/>
        </w:rPr>
        <w:t>внутренняя</w:t>
      </w:r>
      <w:r w:rsidR="002E524B" w:rsidRPr="005E779E">
        <w:rPr>
          <w:rFonts w:ascii="Times New Roman" w:hAnsi="Times New Roman"/>
          <w:i/>
          <w:iCs/>
          <w:color w:val="000000" w:themeColor="text1"/>
          <w:sz w:val="16"/>
          <w:szCs w:val="16"/>
          <w:lang w:val="en-US"/>
        </w:rPr>
        <w:t xml:space="preserve"> </w:t>
      </w:r>
      <w:r w:rsidRPr="005E779E">
        <w:rPr>
          <w:rFonts w:ascii="Times New Roman" w:hAnsi="Times New Roman"/>
          <w:i/>
          <w:iCs/>
          <w:color w:val="000000" w:themeColor="text1"/>
          <w:sz w:val="16"/>
          <w:szCs w:val="16"/>
        </w:rPr>
        <w:t>политика</w:t>
      </w:r>
      <w:r w:rsidRPr="005E779E">
        <w:rPr>
          <w:rFonts w:ascii="Times New Roman" w:hAnsi="Times New Roman"/>
          <w:i/>
          <w:iCs/>
          <w:color w:val="000000" w:themeColor="text1"/>
          <w:sz w:val="16"/>
          <w:szCs w:val="16"/>
          <w:lang w:val="en-US"/>
        </w:rPr>
        <w:t>:</w:t>
      </w:r>
    </w:p>
    <w:p w14:paraId="17A79C4D"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1423F5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lang w:val="en-US"/>
        </w:rPr>
        <w:t>On February 4, 1931, Stalin explained why the country had to maintain the extremely rapid rate of industrialization: `Do you want our socialist fatherland to be beaten and lose its independence? `We are fifty to hundred years behind the advanced countries. We must make good this distance in ten years. Either we do this or they crush us (1065).</w:t>
      </w:r>
    </w:p>
    <w:p w14:paraId="42801E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p w14:paraId="481646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февраля 1931 И.В.С. объяснил, почему требуются сверхбыстрые темпы индустриализации (1065).</w:t>
      </w:r>
    </w:p>
    <w:p w14:paraId="198C82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E7668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февраля 1931 года в речи "О задачах хозяйственников" И.В.Сталин признал, что в 1930 году прирост промышленной продукции составил 25 % вместо 32 % по годовому плану. Тем не менее он по-прежнему призывал обеспечить в 1931 году 45 % прироста и добиться выполнения пятилетки за 4 года, а в основных, решающих отраслях промышленности - за 3 года (9492).</w:t>
      </w:r>
    </w:p>
    <w:p w14:paraId="5F864D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E665C92" w14:textId="77777777" w:rsidR="007510B4" w:rsidRPr="005E779E" w:rsidRDefault="007510B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февраля 1931 г. на первой Всесоюзной конференции работников социалистической промышленности, И.В. Сталин сказал: «Мы отстали от передовых стран на 50 – 100 лет. Мы должны пробежать это расстояние в десять лет. Либо мы сделаем это, либо нас сомнут. (…) Для этого есть у нас все «объективные» возможности. Не хватает только уменья использовать по-настоящему эти возможности» (19566).</w:t>
      </w:r>
    </w:p>
    <w:p w14:paraId="77FA30D7" w14:textId="77777777" w:rsidR="007510B4" w:rsidRPr="005E779E" w:rsidRDefault="007510B4" w:rsidP="000B7A6C">
      <w:pPr>
        <w:spacing w:after="0" w:line="240" w:lineRule="auto"/>
        <w:jc w:val="both"/>
        <w:rPr>
          <w:rFonts w:ascii="Times New Roman" w:hAnsi="Times New Roman"/>
          <w:color w:val="000000" w:themeColor="text1"/>
          <w:sz w:val="16"/>
          <w:szCs w:val="16"/>
        </w:rPr>
      </w:pPr>
    </w:p>
    <w:p w14:paraId="5430A635"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февраля 1931 г. из выступления И.В. Сталина: «Мы отстали от передовых стран на 50-100 лет. Мы должны пробежать это расстояние в десять лет. Либо мы это сделаем, либо нас сомнут» (18272).</w:t>
      </w:r>
    </w:p>
    <w:p w14:paraId="69653411" w14:textId="77777777" w:rsidR="009A3E3D" w:rsidRPr="005E779E" w:rsidRDefault="009A3E3D" w:rsidP="000B7A6C">
      <w:pPr>
        <w:spacing w:after="0" w:line="240" w:lineRule="auto"/>
        <w:jc w:val="both"/>
        <w:rPr>
          <w:rFonts w:ascii="Times New Roman" w:hAnsi="Times New Roman"/>
          <w:color w:val="000000" w:themeColor="text1"/>
          <w:sz w:val="16"/>
          <w:szCs w:val="16"/>
        </w:rPr>
      </w:pPr>
    </w:p>
    <w:p w14:paraId="6A8B50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4 февраля 1931 года, выступая на первой Всесоюзной конференции работников социалистической промышленности, Сталин заявил: </w:t>
      </w:r>
      <w:r w:rsidRPr="005E779E">
        <w:rPr>
          <w:rFonts w:ascii="Times New Roman" w:hAnsi="Times New Roman"/>
          <w:iCs/>
          <w:color w:val="000000" w:themeColor="text1"/>
          <w:sz w:val="16"/>
          <w:szCs w:val="16"/>
        </w:rPr>
        <w:t>«Мы отстали от передовых стран на 50-100 лет. Мы должны пробежать это расстояние в десять лет. Либо мы сделаем это, либо нас сомнут».</w:t>
      </w:r>
    </w:p>
    <w:p w14:paraId="7DA8E1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Говоря так, Иосиф Виссарионович нисколько не преувеличивал. Отставание России проявилось во всей своей красе уже в ходе 1-й мировой войны. Как писал летом 1915 года командир 29-го корпуса генерал Д. П. Зуев военному министру генералу А. А. Поливанову: </w:t>
      </w:r>
    </w:p>
    <w:p w14:paraId="52DA4210"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«Немцы вспахивают поля сражений градом металла и ровняют с землёй всякие окопы и сооружения, заваливая часто их защитников с землёю. Они тратят металл, мы — человеческую жизнь. Они идут вперёд, окрылённые успехом и потому дерзают; мы, ценою тяжких потерь и пролитой крови, лишь отбиваемся и отходим».</w:t>
      </w:r>
    </w:p>
    <w:p w14:paraId="1A2550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 xml:space="preserve">Увы, подобная картина не выглядит удивительной, если сравнить количество вооружений, произведённых за время 1-й мировой войны странами-участницами: </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2880"/>
        <w:gridCol w:w="1536"/>
        <w:gridCol w:w="1344"/>
        <w:gridCol w:w="1152"/>
        <w:gridCol w:w="1152"/>
      </w:tblGrid>
      <w:tr w:rsidR="00B65F32" w:rsidRPr="005E779E" w14:paraId="3C6187E4" w14:textId="77777777">
        <w:tc>
          <w:tcPr>
            <w:tcW w:w="2880" w:type="dxa"/>
            <w:tcBorders>
              <w:top w:val="single" w:sz="12" w:space="0" w:color="000000"/>
            </w:tcBorders>
          </w:tcPr>
          <w:p w14:paraId="247FE6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Боевые средства</w:t>
            </w:r>
          </w:p>
        </w:tc>
        <w:tc>
          <w:tcPr>
            <w:tcW w:w="1536" w:type="dxa"/>
            <w:tcBorders>
              <w:top w:val="single" w:sz="12" w:space="0" w:color="000000"/>
            </w:tcBorders>
          </w:tcPr>
          <w:p w14:paraId="59BC33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Германия</w:t>
            </w:r>
          </w:p>
        </w:tc>
        <w:tc>
          <w:tcPr>
            <w:tcW w:w="1344" w:type="dxa"/>
            <w:tcBorders>
              <w:top w:val="single" w:sz="12" w:space="0" w:color="000000"/>
            </w:tcBorders>
          </w:tcPr>
          <w:p w14:paraId="2404D0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Франция</w:t>
            </w:r>
          </w:p>
        </w:tc>
        <w:tc>
          <w:tcPr>
            <w:tcW w:w="1152" w:type="dxa"/>
            <w:tcBorders>
              <w:top w:val="single" w:sz="12" w:space="0" w:color="000000"/>
            </w:tcBorders>
          </w:tcPr>
          <w:p w14:paraId="67C6F3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Англия</w:t>
            </w:r>
          </w:p>
        </w:tc>
        <w:tc>
          <w:tcPr>
            <w:tcW w:w="1152" w:type="dxa"/>
            <w:tcBorders>
              <w:top w:val="single" w:sz="12" w:space="0" w:color="000000"/>
            </w:tcBorders>
          </w:tcPr>
          <w:p w14:paraId="568160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Россия</w:t>
            </w:r>
          </w:p>
        </w:tc>
      </w:tr>
      <w:tr w:rsidR="00B65F32" w:rsidRPr="005E779E" w14:paraId="76B8214E" w14:textId="77777777">
        <w:tc>
          <w:tcPr>
            <w:tcW w:w="2880" w:type="dxa"/>
          </w:tcPr>
          <w:p w14:paraId="04A716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Пулемёты, тыс.</w:t>
            </w:r>
          </w:p>
        </w:tc>
        <w:tc>
          <w:tcPr>
            <w:tcW w:w="1536" w:type="dxa"/>
          </w:tcPr>
          <w:p w14:paraId="190539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280,0</w:t>
            </w:r>
          </w:p>
        </w:tc>
        <w:tc>
          <w:tcPr>
            <w:tcW w:w="1344" w:type="dxa"/>
          </w:tcPr>
          <w:p w14:paraId="788741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312,0</w:t>
            </w:r>
          </w:p>
        </w:tc>
        <w:tc>
          <w:tcPr>
            <w:tcW w:w="1152" w:type="dxa"/>
          </w:tcPr>
          <w:p w14:paraId="77F5C3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239,0</w:t>
            </w:r>
          </w:p>
        </w:tc>
        <w:tc>
          <w:tcPr>
            <w:tcW w:w="1152" w:type="dxa"/>
          </w:tcPr>
          <w:p w14:paraId="2A4D68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28,0</w:t>
            </w:r>
          </w:p>
        </w:tc>
      </w:tr>
      <w:tr w:rsidR="00B65F32" w:rsidRPr="005E779E" w14:paraId="436AC51C" w14:textId="77777777">
        <w:tc>
          <w:tcPr>
            <w:tcW w:w="2880" w:type="dxa"/>
          </w:tcPr>
          <w:p w14:paraId="10E296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Орудия, тыс.</w:t>
            </w:r>
          </w:p>
        </w:tc>
        <w:tc>
          <w:tcPr>
            <w:tcW w:w="1536" w:type="dxa"/>
          </w:tcPr>
          <w:p w14:paraId="5FC15F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64,0</w:t>
            </w:r>
          </w:p>
        </w:tc>
        <w:tc>
          <w:tcPr>
            <w:tcW w:w="1344" w:type="dxa"/>
          </w:tcPr>
          <w:p w14:paraId="188C5B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23,2</w:t>
            </w:r>
          </w:p>
        </w:tc>
        <w:tc>
          <w:tcPr>
            <w:tcW w:w="1152" w:type="dxa"/>
          </w:tcPr>
          <w:p w14:paraId="5B9981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26,4</w:t>
            </w:r>
          </w:p>
        </w:tc>
        <w:tc>
          <w:tcPr>
            <w:tcW w:w="1152" w:type="dxa"/>
          </w:tcPr>
          <w:p w14:paraId="2B1799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11,7</w:t>
            </w:r>
          </w:p>
        </w:tc>
      </w:tr>
      <w:tr w:rsidR="00B65F32" w:rsidRPr="005E779E" w14:paraId="5747D75E" w14:textId="77777777">
        <w:tc>
          <w:tcPr>
            <w:tcW w:w="2880" w:type="dxa"/>
          </w:tcPr>
          <w:p w14:paraId="7218AB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Снаряды, млн</w:t>
            </w:r>
          </w:p>
        </w:tc>
        <w:tc>
          <w:tcPr>
            <w:tcW w:w="1536" w:type="dxa"/>
          </w:tcPr>
          <w:p w14:paraId="378854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306,0</w:t>
            </w:r>
          </w:p>
        </w:tc>
        <w:tc>
          <w:tcPr>
            <w:tcW w:w="1344" w:type="dxa"/>
          </w:tcPr>
          <w:p w14:paraId="040C5B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290,0</w:t>
            </w:r>
          </w:p>
        </w:tc>
        <w:tc>
          <w:tcPr>
            <w:tcW w:w="1152" w:type="dxa"/>
          </w:tcPr>
          <w:p w14:paraId="6920DC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218,0</w:t>
            </w:r>
          </w:p>
        </w:tc>
        <w:tc>
          <w:tcPr>
            <w:tcW w:w="1152" w:type="dxa"/>
          </w:tcPr>
          <w:p w14:paraId="2CC687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67,0</w:t>
            </w:r>
          </w:p>
        </w:tc>
      </w:tr>
      <w:tr w:rsidR="00365C94" w:rsidRPr="005E779E" w14:paraId="6754BA49" w14:textId="77777777">
        <w:tc>
          <w:tcPr>
            <w:tcW w:w="2880" w:type="dxa"/>
            <w:tcBorders>
              <w:bottom w:val="single" w:sz="12" w:space="0" w:color="000000"/>
            </w:tcBorders>
          </w:tcPr>
          <w:p w14:paraId="7A1E03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Самолёты, тыс.</w:t>
            </w:r>
          </w:p>
        </w:tc>
        <w:tc>
          <w:tcPr>
            <w:tcW w:w="1536" w:type="dxa"/>
            <w:tcBorders>
              <w:bottom w:val="single" w:sz="12" w:space="0" w:color="000000"/>
            </w:tcBorders>
          </w:tcPr>
          <w:p w14:paraId="6C7EAA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47,3</w:t>
            </w:r>
          </w:p>
        </w:tc>
        <w:tc>
          <w:tcPr>
            <w:tcW w:w="1344" w:type="dxa"/>
            <w:tcBorders>
              <w:bottom w:val="single" w:sz="12" w:space="0" w:color="000000"/>
            </w:tcBorders>
          </w:tcPr>
          <w:p w14:paraId="52566D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52,1</w:t>
            </w:r>
          </w:p>
        </w:tc>
        <w:tc>
          <w:tcPr>
            <w:tcW w:w="1152" w:type="dxa"/>
            <w:tcBorders>
              <w:bottom w:val="single" w:sz="12" w:space="0" w:color="000000"/>
            </w:tcBorders>
          </w:tcPr>
          <w:p w14:paraId="58A966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47,8</w:t>
            </w:r>
          </w:p>
        </w:tc>
        <w:tc>
          <w:tcPr>
            <w:tcW w:w="1152" w:type="dxa"/>
            <w:tcBorders>
              <w:bottom w:val="single" w:sz="12" w:space="0" w:color="000000"/>
            </w:tcBorders>
          </w:tcPr>
          <w:p w14:paraId="75D77F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 (11208)</w:t>
            </w:r>
          </w:p>
        </w:tc>
      </w:tr>
    </w:tbl>
    <w:p w14:paraId="387B6C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1EEABEF" w14:textId="77777777" w:rsidR="0084298A" w:rsidRPr="005E779E" w:rsidRDefault="0084298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февраля 1931 была речь Сталина на первой Всесоюзной конференции работников социалистической промышленности: «…мы не хотим оказаться битыми. Нет, не хотим! История старой России состояла, между прочим, в том, что ее непрерывно били за отсталость. Били монгольские ханы. Били турецкие беки. Били шведские феодалы. Били польско</w:t>
      </w:r>
      <w:r w:rsidRPr="005E779E">
        <w:rPr>
          <w:rFonts w:ascii="Times New Roman" w:hAnsi="Times New Roman"/>
          <w:color w:val="000000" w:themeColor="text1"/>
          <w:sz w:val="16"/>
          <w:szCs w:val="16"/>
        </w:rPr>
        <w:noBreakHyphen/>
        <w:t>литовские паны. Били англо</w:t>
      </w:r>
      <w:r w:rsidRPr="005E779E">
        <w:rPr>
          <w:rFonts w:ascii="Times New Roman" w:hAnsi="Times New Roman"/>
          <w:color w:val="000000" w:themeColor="text1"/>
          <w:sz w:val="16"/>
          <w:szCs w:val="16"/>
        </w:rPr>
        <w:noBreakHyphen/>
        <w:t>французские капиталисты. Били японские бароны. Били все – за отсталость. За отсталость военную, за отсталость культурную, за отсталость государственную, за отсталость промышленную, за отсталость сельскохозяйственную. Били потому, что это было выгодно, доходно и сходило безнаказанно… Таков уж волчий закон эксплуататоров – бить отсталых и слабых. Волчий закон капитализма. Ты отстал, ты слаб, значит, ты неправ, стало быть, тебя можно бить и порабощать. Ты могуч – значит, ты прав, стало быть, тебя надо остерегаться. Вот почему нам нельзя больше отставать… Мы отстали от передовых стран на 50–100 лет. Мы должны пробежать это расстояние в десять лет. Либо мы сделаем это, либо нас сомнут» (12629).</w:t>
      </w:r>
    </w:p>
    <w:p w14:paraId="6C46DA25" w14:textId="77777777" w:rsidR="0084298A" w:rsidRPr="005E779E" w:rsidRDefault="0084298A" w:rsidP="000B7A6C">
      <w:pPr>
        <w:autoSpaceDE w:val="0"/>
        <w:autoSpaceDN w:val="0"/>
        <w:adjustRightInd w:val="0"/>
        <w:spacing w:after="0" w:line="240" w:lineRule="auto"/>
        <w:jc w:val="both"/>
        <w:rPr>
          <w:rFonts w:ascii="Times New Roman" w:hAnsi="Times New Roman"/>
          <w:color w:val="000000" w:themeColor="text1"/>
          <w:sz w:val="16"/>
          <w:szCs w:val="16"/>
        </w:rPr>
      </w:pPr>
    </w:p>
    <w:p w14:paraId="79644CCC" w14:textId="77777777" w:rsidR="009A487A" w:rsidRPr="005E779E" w:rsidRDefault="009A487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февраля 1931 г. И.В. Сталин в своей речи "О задачах хозяйственников" на Первой Всесоюзной конференции работников социалистической промышленности сказал: "Мы отстали от передовых стран на 50–100 лет. Мы должны пробежать это расстояние в десять лет. Либо мы сделаем это, либо нас сомнут.</w:t>
      </w:r>
    </w:p>
    <w:p w14:paraId="17E316F0" w14:textId="77777777" w:rsidR="009A487A" w:rsidRPr="005E779E" w:rsidRDefault="009A487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Вот что диктуют нам наши обязательства перед рабочими и крестьянами СССР.</w:t>
      </w:r>
    </w:p>
    <w:p w14:paraId="7DF3AD28" w14:textId="77777777" w:rsidR="009A487A" w:rsidRPr="005E779E" w:rsidRDefault="009A487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0846CBAD" w14:textId="77777777" w:rsidR="009A487A" w:rsidRPr="005E779E" w:rsidRDefault="009A487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Максимум в десять лет мы должны пробежать то расстояние, на которое мы отстали от передовых стран капитализма. Для этого есть у нас все “объективные” возможности. Не хватает только уменья использовать по-настоящему эти возможности. А это зависит от нас. Только от нас!</w:t>
      </w:r>
    </w:p>
    <w:p w14:paraId="1F004DF1" w14:textId="77777777" w:rsidR="009A487A" w:rsidRPr="005E779E" w:rsidRDefault="009A487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69BAE2D3" w14:textId="77777777" w:rsidR="009A487A" w:rsidRPr="005E779E" w:rsidRDefault="009A487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Говорят, что трудно овладеть техникой. Неверно! Нет таких крепостей, которых большевики не могли бы взять. Мы решили ряд труднейших задач. Мы свергли капитализм. Мы взяли власть. Мы построили крупнейшую социалистическую индустрию. Мы повернули середняка на путь социализма. Самое важное с точки [c.41] зрения строительства мы уже сделали. Нам осталось немного: изучить технику, овладеть наукой. И когда мы сделаем это, у нас пойдут такие темпы, о которых сейчас мы не смеем и мечтать.</w:t>
      </w:r>
    </w:p>
    <w:p w14:paraId="419CB568" w14:textId="77777777" w:rsidR="009A487A" w:rsidRPr="005E779E" w:rsidRDefault="009A487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 мы это сделаем, если захотим этого по-настоящему!" “Правда” № 35,5 февраля 1931 г.) (21166).</w:t>
      </w:r>
    </w:p>
    <w:p w14:paraId="33E8412E" w14:textId="77777777" w:rsidR="009A487A" w:rsidRPr="005E779E" w:rsidRDefault="009A487A" w:rsidP="000B7A6C">
      <w:pPr>
        <w:spacing w:after="0" w:line="240" w:lineRule="auto"/>
        <w:jc w:val="both"/>
        <w:rPr>
          <w:rFonts w:ascii="Times New Roman" w:hAnsi="Times New Roman"/>
          <w:color w:val="000000" w:themeColor="text1"/>
          <w:sz w:val="16"/>
          <w:szCs w:val="16"/>
        </w:rPr>
      </w:pPr>
    </w:p>
    <w:p w14:paraId="701958DA" w14:textId="77777777" w:rsidR="009A487A" w:rsidRPr="005E779E" w:rsidRDefault="009A487A" w:rsidP="000B7A6C">
      <w:pPr>
        <w:spacing w:after="0" w:line="240" w:lineRule="auto"/>
        <w:jc w:val="both"/>
        <w:rPr>
          <w:rFonts w:ascii="Times New Roman" w:hAnsi="Times New Roman"/>
          <w:color w:val="000000" w:themeColor="text1"/>
          <w:sz w:val="16"/>
          <w:szCs w:val="16"/>
          <w:lang w:eastAsia="ru-RU" w:bidi="ru-RU"/>
        </w:rPr>
      </w:pPr>
      <w:r w:rsidRPr="005E779E">
        <w:rPr>
          <w:rFonts w:ascii="Times New Roman" w:hAnsi="Times New Roman"/>
          <w:color w:val="000000" w:themeColor="text1"/>
          <w:sz w:val="16"/>
          <w:szCs w:val="16"/>
          <w:lang w:eastAsia="ru-RU" w:bidi="ru-RU"/>
        </w:rPr>
        <w:t>4 февраля 1931 г. на первой Всесоюзной конференции работников соци</w:t>
      </w:r>
      <w:r w:rsidRPr="005E779E">
        <w:rPr>
          <w:rFonts w:ascii="Times New Roman" w:hAnsi="Times New Roman"/>
          <w:color w:val="000000" w:themeColor="text1"/>
          <w:sz w:val="16"/>
          <w:szCs w:val="16"/>
          <w:lang w:eastAsia="ru-RU" w:bidi="ru-RU"/>
        </w:rPr>
        <w:softHyphen/>
        <w:t>алистической промышленности И.В.С. сказал: «Мы от</w:t>
      </w:r>
      <w:r w:rsidRPr="005E779E">
        <w:rPr>
          <w:rFonts w:ascii="Times New Roman" w:hAnsi="Times New Roman"/>
          <w:color w:val="000000" w:themeColor="text1"/>
          <w:sz w:val="16"/>
          <w:szCs w:val="16"/>
          <w:lang w:eastAsia="ru-RU" w:bidi="ru-RU"/>
        </w:rPr>
        <w:softHyphen/>
        <w:t>стали от передовых стран на 50—100 лет. Мы должны про</w:t>
      </w:r>
      <w:r w:rsidRPr="005E779E">
        <w:rPr>
          <w:rFonts w:ascii="Times New Roman" w:hAnsi="Times New Roman"/>
          <w:color w:val="000000" w:themeColor="text1"/>
          <w:sz w:val="16"/>
          <w:szCs w:val="16"/>
          <w:lang w:eastAsia="ru-RU" w:bidi="ru-RU"/>
        </w:rPr>
        <w:softHyphen/>
        <w:t>бежать это расстояние в десять лет. Либо мы сделаем это, либо нас сомнут» (20325).</w:t>
      </w:r>
    </w:p>
    <w:p w14:paraId="1772868E" w14:textId="77777777" w:rsidR="009A487A" w:rsidRPr="005E779E" w:rsidRDefault="009A487A" w:rsidP="000B7A6C">
      <w:pPr>
        <w:spacing w:after="0" w:line="240" w:lineRule="auto"/>
        <w:jc w:val="both"/>
        <w:rPr>
          <w:rFonts w:ascii="Times New Roman" w:hAnsi="Times New Roman"/>
          <w:color w:val="000000" w:themeColor="text1"/>
          <w:sz w:val="16"/>
          <w:szCs w:val="16"/>
        </w:rPr>
      </w:pPr>
    </w:p>
    <w:p w14:paraId="1FA0A3AB" w14:textId="77777777" w:rsidR="009A487A" w:rsidRPr="005E779E" w:rsidRDefault="009A487A"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4 февраля 1931 года Сталин выступил на Всесоюзной конференции работников социалистической промышленности. И, воспользовавшись тем, провозгласил новый курс нового правительства, объяснив его предельно просто и ясно, доходчиво для всех: «В истории государств, в истории стран, в истории армий бывали случаи, когда имелись все возможности для успеха, для победы, но они, эти возможности, остались втуне, так как руководители не замечали этих возможностей, не умели воспользоваться ими, и армии терпели поражение…</w:t>
      </w:r>
    </w:p>
    <w:p w14:paraId="70B3A5CB" w14:textId="77777777" w:rsidR="009A487A" w:rsidRPr="005E779E" w:rsidRDefault="009A487A"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Да, такие возможности у нас есть.</w:t>
      </w:r>
    </w:p>
    <w:p w14:paraId="36EC524F" w14:textId="77777777" w:rsidR="009A487A" w:rsidRPr="005E779E" w:rsidRDefault="009A487A"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В чем состоят эти возможности, что требуется для того, чтобы эти возможности существовали в реальности?</w:t>
      </w:r>
    </w:p>
    <w:p w14:paraId="231E7A64" w14:textId="77777777" w:rsidR="009A487A" w:rsidRPr="005E779E" w:rsidRDefault="009A487A"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Прежде всего требуются достаточные природные богатства в стране: железная руда, уголь, нефть, хлеб, хлопок.</w:t>
      </w:r>
    </w:p>
    <w:p w14:paraId="634A1210" w14:textId="77777777" w:rsidR="009A487A" w:rsidRPr="005E779E" w:rsidRDefault="009A487A"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Есть ли они у нас? Есть. Есть больше, чем в любой другой стране…</w:t>
      </w:r>
    </w:p>
    <w:p w14:paraId="2BA3D172" w14:textId="77777777" w:rsidR="009A487A" w:rsidRPr="005E779E" w:rsidRDefault="009A487A"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У нас имеется в стране все, кроме разве каучука. Но через год-два и каучук мы будем иметь в своем распоряжении.</w:t>
      </w:r>
    </w:p>
    <w:p w14:paraId="46A6CFE4" w14:textId="77777777" w:rsidR="009A487A" w:rsidRPr="005E779E" w:rsidRDefault="009A487A"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С этой стороны, со стороны природных богатств, мы обеспечены полностью. Их у нас даже больше, чем нужно…</w:t>
      </w:r>
    </w:p>
    <w:p w14:paraId="088230A1" w14:textId="77777777" w:rsidR="009A487A" w:rsidRPr="005E779E" w:rsidRDefault="009A487A"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Иногда спрашивают, нельзя ли несколько замедлить темпы, придержать движение. Нет, нельзя, товарищи! Нельзя снижать темпы! Наоборот, по мере сил и возможностей их надо увеличивать.</w:t>
      </w:r>
    </w:p>
    <w:p w14:paraId="059038F4" w14:textId="77777777" w:rsidR="009A487A" w:rsidRPr="005E779E" w:rsidRDefault="009A487A"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Задержать темпы — это значит отстать. А отсталых бьют. Но мы не хотим оказаться битыми. Нет, не хотим!</w:t>
      </w:r>
    </w:p>
    <w:p w14:paraId="08E59F6B" w14:textId="77777777" w:rsidR="009A487A" w:rsidRPr="005E779E" w:rsidRDefault="009A487A"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История старой России состояла, между прочим, в том, что ее непрерывно били за отсталость. Били монгольские ханы. Били турецкие беки. Били шведские феодалы. Били польско-литовские паны. Били англо-французские капиталисты. Били японские бароны. Били все — за отсталость. За отсталость военную, за отсталость культурную, за отсталость государственную, за отсталость промышленную, за отсталость сельскохозяйственную. Били потому, что это было доходно и сходило безнаказанно.</w:t>
      </w:r>
    </w:p>
    <w:p w14:paraId="6C2176E1" w14:textId="77777777" w:rsidR="009A487A" w:rsidRPr="005E779E" w:rsidRDefault="009A487A"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Помните слова дореволюционного поэта: «Ты и убогая, ты и обильная, ты и могучая, ты и бессильная, матушка Русь». Эти слова старого поэта хорошо заучили эти господа. Они били и приговаривали: «Ты обильная» — стало быть, можно на твой счет поживиться. Они били и приговаривали: «Ты убогая, бессильная» — стало быть, можно бить и грабить тебя безнаказанно.</w:t>
      </w:r>
    </w:p>
    <w:p w14:paraId="5ADA799E" w14:textId="77777777" w:rsidR="009A487A" w:rsidRPr="005E779E" w:rsidRDefault="009A487A"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Таков уж закон эксплуататоров — бить отсталых и слабых. Волчий закон капитализма. Ты отстал, ты слаб — значит, ты не прав, стало быть, тебя можно бить и порабощать. Ты могуч — значит, ты прав, стало быть, тебя надо остерегаться.</w:t>
      </w:r>
    </w:p>
    <w:p w14:paraId="0A788130" w14:textId="77777777" w:rsidR="009A487A" w:rsidRPr="005E779E" w:rsidRDefault="009A487A"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Вот почему нельзя нам больше отставать…</w:t>
      </w:r>
    </w:p>
    <w:p w14:paraId="4C00B94C" w14:textId="77777777" w:rsidR="009A487A" w:rsidRPr="005E779E" w:rsidRDefault="009A487A"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Мы отстали от передовых стран на 50—100 лет. Мы должны пробежать это расстояние в десять лет. Либо мы сделаем это, либо нас сомнут» (20467).</w:t>
      </w:r>
    </w:p>
    <w:p w14:paraId="52D16E8D" w14:textId="77777777" w:rsidR="009A487A" w:rsidRPr="005E779E" w:rsidRDefault="009A487A" w:rsidP="000B7A6C">
      <w:pPr>
        <w:spacing w:after="0" w:line="240" w:lineRule="auto"/>
        <w:jc w:val="both"/>
        <w:rPr>
          <w:rFonts w:ascii="Times New Roman" w:hAnsi="Times New Roman"/>
          <w:color w:val="000000" w:themeColor="text1"/>
          <w:sz w:val="16"/>
          <w:szCs w:val="16"/>
        </w:rPr>
      </w:pPr>
    </w:p>
    <w:p w14:paraId="0C9BF823" w14:textId="77777777" w:rsidR="00E20620" w:rsidRPr="00142305" w:rsidRDefault="00E20620" w:rsidP="00E2062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4 февраля 1931 г. И. В. Сталин, выступая на первой Всесоюзной конференции работников социалисти</w:t>
      </w:r>
      <w:r w:rsidRPr="00142305">
        <w:rPr>
          <w:rFonts w:ascii="Times New Roman" w:hAnsi="Times New Roman"/>
          <w:color w:val="0070C0"/>
          <w:sz w:val="16"/>
          <w:szCs w:val="16"/>
        </w:rPr>
        <w:softHyphen/>
        <w:t>ческой промышленности, сказал: «Мы отстали от передовых стран на 50- 100 лет. Мы должны пробежать это расстояние в десять лет. Либо мы сделаем это, либо нас сомнут. (...) Для этого есть у нас все объективные возможности. Не хватает только уменья использовать по-настоящему эти возможности» (Сталин И. В. О задачах хозяйственников. Речь на первой Всесоюзной конференции работников социалистической промышленности. 4 февраля 1931 г. // И. Сталин. Вопросы ле</w:t>
      </w:r>
      <w:r w:rsidRPr="00142305">
        <w:rPr>
          <w:rFonts w:ascii="Times New Roman" w:hAnsi="Times New Roman"/>
          <w:color w:val="0070C0"/>
          <w:sz w:val="16"/>
          <w:szCs w:val="16"/>
        </w:rPr>
        <w:softHyphen/>
        <w:t>нинизма. Издание десятое. - М.: Партиздат ЦК ВКП (б), 1935. - 656 с. - С. 445 446) (24968).</w:t>
      </w:r>
    </w:p>
    <w:p w14:paraId="568B0638" w14:textId="77777777" w:rsidR="00E20620" w:rsidRPr="00142305" w:rsidRDefault="00E20620" w:rsidP="00E20620">
      <w:pPr>
        <w:spacing w:after="0" w:line="240" w:lineRule="auto"/>
        <w:jc w:val="both"/>
        <w:rPr>
          <w:rFonts w:ascii="Times New Roman" w:hAnsi="Times New Roman"/>
          <w:color w:val="0070C0"/>
          <w:sz w:val="16"/>
          <w:szCs w:val="16"/>
        </w:rPr>
      </w:pPr>
    </w:p>
    <w:p w14:paraId="752BB40D" w14:textId="77777777" w:rsidR="005E7475"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28A7453E" w14:textId="77777777" w:rsidR="005E7475" w:rsidRPr="005E779E" w:rsidRDefault="005E7475"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418325E" w14:textId="77777777" w:rsidR="005E7475" w:rsidRPr="005E779E" w:rsidRDefault="005E7475"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5 февраля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Протокол заседания Политбюро ЦК ВКП(б) № 25. 9. Проект постановления по докладу ВСНХ о состоянии производств, обслуживающих автотракторную промышленность (ПБ от 25 января 1931 г., пр. № 24, п. 4). 26. О ходе работ на Сталинградском тракторном заводе (ПБ от 10 декабря 1930 г., пр. № 20, п. 4/10). Решения ПБ от 30 января 1931 г. 8/13. О заказах в Италии. 9/14. О запродажах в Западный Китай (Розенгольц, Ворошилов, Карахан) [о предварительных переговорах о поставках изделий военной промышленности]. — ОП. (Политбюро... Т. 2. С. 123, 124) (12416).</w:t>
      </w:r>
    </w:p>
    <w:p w14:paraId="1F5107A2" w14:textId="77777777" w:rsidR="005E7475" w:rsidRPr="005E779E" w:rsidRDefault="005E7475" w:rsidP="000B7A6C">
      <w:pPr>
        <w:spacing w:after="0" w:line="240" w:lineRule="auto"/>
        <w:jc w:val="both"/>
        <w:rPr>
          <w:rFonts w:ascii="Times New Roman" w:hAnsi="Times New Roman"/>
          <w:color w:val="000000" w:themeColor="text1"/>
          <w:sz w:val="16"/>
          <w:szCs w:val="16"/>
          <w:u w:color="002060"/>
        </w:rPr>
      </w:pPr>
    </w:p>
    <w:p w14:paraId="029E9045"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5 февраля 1931</w:t>
      </w:r>
      <w:r w:rsidRPr="005E779E">
        <w:rPr>
          <w:rFonts w:ascii="Times New Roman" w:hAnsi="Times New Roman"/>
          <w:color w:val="000000" w:themeColor="text1"/>
          <w:sz w:val="16"/>
          <w:szCs w:val="16"/>
        </w:rPr>
        <w:t>Политбюро ЦК ВКП (б) предложило ВСНХ приступить к проектированию Чирчикского азотнотукового комбината (12265).</w:t>
      </w:r>
    </w:p>
    <w:p w14:paraId="1811664F"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1FBD905C" w14:textId="77777777" w:rsidR="00F67992" w:rsidRPr="005E779E" w:rsidRDefault="00F67992"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4657D058" w14:textId="77777777" w:rsidR="00F67992" w:rsidRPr="005E779E" w:rsidRDefault="00F67992"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47B9684" w14:textId="77777777" w:rsidR="00F67992" w:rsidRPr="005E779E" w:rsidRDefault="00F67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6 февраля 1931 г. в Таганрог перегнали летающую лодку</w:t>
      </w:r>
      <w:r w:rsidRPr="005E779E">
        <w:rPr>
          <w:rFonts w:ascii="Times New Roman" w:hAnsi="Times New Roman"/>
          <w:color w:val="000000" w:themeColor="text1"/>
          <w:sz w:val="16"/>
          <w:szCs w:val="16"/>
          <w:lang w:bidi="en-US"/>
        </w:rPr>
        <w:t xml:space="preserve"> </w:t>
      </w:r>
      <w:r w:rsidRPr="005E779E">
        <w:rPr>
          <w:rFonts w:ascii="Times New Roman" w:hAnsi="Times New Roman"/>
          <w:color w:val="000000" w:themeColor="text1"/>
          <w:sz w:val="16"/>
          <w:szCs w:val="16"/>
          <w:lang w:val="en-US" w:bidi="en-US"/>
        </w:rPr>
        <w:t>S</w:t>
      </w:r>
      <w:r w:rsidRPr="005E779E">
        <w:rPr>
          <w:rFonts w:ascii="Times New Roman" w:hAnsi="Times New Roman"/>
          <w:color w:val="000000" w:themeColor="text1"/>
          <w:sz w:val="16"/>
          <w:szCs w:val="16"/>
          <w:lang w:bidi="en-US"/>
        </w:rPr>
        <w:t>-62</w:t>
      </w:r>
      <w:r w:rsidRPr="005E779E">
        <w:rPr>
          <w:rFonts w:ascii="Times New Roman" w:hAnsi="Times New Roman"/>
          <w:color w:val="000000" w:themeColor="text1"/>
          <w:sz w:val="16"/>
          <w:szCs w:val="16"/>
          <w:lang w:val="en-US" w:bidi="en-US"/>
        </w:rPr>
        <w:t>bis</w:t>
      </w:r>
      <w:r w:rsidRPr="005E779E">
        <w:rPr>
          <w:rFonts w:ascii="Times New Roman" w:hAnsi="Times New Roman"/>
          <w:color w:val="000000" w:themeColor="text1"/>
          <w:sz w:val="16"/>
          <w:szCs w:val="16"/>
          <w:lang w:eastAsia="ru-RU" w:bidi="ru-RU"/>
        </w:rPr>
        <w:t>, закуплен</w:t>
      </w:r>
      <w:r w:rsidRPr="005E779E">
        <w:rPr>
          <w:rFonts w:ascii="Times New Roman" w:hAnsi="Times New Roman"/>
          <w:color w:val="000000" w:themeColor="text1"/>
          <w:sz w:val="16"/>
          <w:szCs w:val="16"/>
          <w:lang w:eastAsia="ru-RU" w:bidi="ru-RU"/>
        </w:rPr>
        <w:softHyphen/>
        <w:t>ную в качестве образца и испытывавшуюся ранее в Сева</w:t>
      </w:r>
      <w:r w:rsidRPr="005E779E">
        <w:rPr>
          <w:rFonts w:ascii="Times New Roman" w:hAnsi="Times New Roman"/>
          <w:color w:val="000000" w:themeColor="text1"/>
          <w:sz w:val="16"/>
          <w:szCs w:val="16"/>
          <w:lang w:eastAsia="ru-RU" w:bidi="ru-RU"/>
        </w:rPr>
        <w:softHyphen/>
        <w:t>стополе. На год заводу выдали план на 80 лодок.</w:t>
      </w:r>
    </w:p>
    <w:p w14:paraId="6449FF6C" w14:textId="77777777" w:rsidR="00F67992" w:rsidRPr="005E779E" w:rsidRDefault="00F67992" w:rsidP="000B7A6C">
      <w:pPr>
        <w:spacing w:after="0" w:line="240" w:lineRule="auto"/>
        <w:jc w:val="both"/>
        <w:rPr>
          <w:rFonts w:ascii="Times New Roman" w:hAnsi="Times New Roman"/>
          <w:color w:val="000000" w:themeColor="text1"/>
          <w:sz w:val="16"/>
          <w:szCs w:val="16"/>
          <w:lang w:eastAsia="ru-RU" w:bidi="ru-RU"/>
        </w:rPr>
      </w:pPr>
    </w:p>
    <w:p w14:paraId="05D8B84A" w14:textId="77777777" w:rsidR="00F67992" w:rsidRPr="005E779E" w:rsidRDefault="00F67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февраля 1931 г. в Таганрог передали как образец самолет С-62Б, испытывавшийся ранее в Севастополе. На год предприятию выдали план на 80 лодок. Поскольку чертежи из Италии задерживались (РГВА. Ф. 29. Оп. 76. Д. 927. Отчеты опытных головных серийных и летных испытаний самолета С-62 и переписке с УСС ВВС о поставке самолетов из Италии. Л. 43.), директор предприятия был вынужден приказать обмерить образцовую машину, снять с нее чертежи и по ним запустить в производство установочную серию из пяти самолетов. К апрелю их уже начали собирать. Однако постройка серии лодок без нормального комплекта документации испытывала серьезные трудности. Завод обратился в трест с просьбой уменьшить план до 30 самолетов, а пять первых считать опытными (это позволяло существенно отклоняться от требований к серийным машинам). Руководство главка согласилось, зато на следующий 1932 г. от предприятия потребовали уже 110 лодок, причем первые 50 должны были оснащаться импортными моторами Ассо 750, 10–20 следующих – новыми отечественными М-27 (максимальной мощностью 830 л.с.), а все остальные – М-34 (800 л.с.)353 . Машины с М-27 предназначались для гражданской авиации, с М-34 – для ВВС (21410).</w:t>
      </w:r>
    </w:p>
    <w:p w14:paraId="6622B17E" w14:textId="77777777" w:rsidR="00F67992" w:rsidRPr="005E779E" w:rsidRDefault="00F67992" w:rsidP="000B7A6C">
      <w:pPr>
        <w:spacing w:after="0" w:line="240" w:lineRule="auto"/>
        <w:jc w:val="both"/>
        <w:rPr>
          <w:rFonts w:ascii="Times New Roman" w:hAnsi="Times New Roman"/>
          <w:color w:val="000000" w:themeColor="text1"/>
          <w:sz w:val="16"/>
          <w:szCs w:val="16"/>
        </w:rPr>
      </w:pPr>
    </w:p>
    <w:p w14:paraId="76E345A0" w14:textId="77777777" w:rsidR="00E20620" w:rsidRPr="00142305" w:rsidRDefault="00E20620" w:rsidP="00E2062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6 февраля 1931 г. в Таганрог на завод № 31, где собирались организовать производство, передали как образец самолет S.62, испытывавшийся ранее в Се</w:t>
      </w:r>
      <w:r w:rsidRPr="00142305">
        <w:rPr>
          <w:rFonts w:ascii="Times New Roman" w:hAnsi="Times New Roman"/>
          <w:color w:val="0070C0"/>
          <w:sz w:val="16"/>
          <w:szCs w:val="16"/>
        </w:rPr>
        <w:softHyphen/>
        <w:t>вастополе. На год предприятию выдали план на 80 лодок. Но чертежи из Италии в срок не получили, а перед трестом надо было отчитываться. На свой страх и риск директор приказал обмерить образцовую машину, снять с нее чертежи и по ним запустить в производство установочную серию из пяти самолетов. К апрелю их уже начали собирать (24948).</w:t>
      </w:r>
    </w:p>
    <w:p w14:paraId="07F302B7" w14:textId="77777777" w:rsidR="00E20620" w:rsidRPr="00142305" w:rsidRDefault="00E20620" w:rsidP="00E20620">
      <w:pPr>
        <w:spacing w:after="0" w:line="240" w:lineRule="auto"/>
        <w:jc w:val="both"/>
        <w:rPr>
          <w:rFonts w:ascii="Times New Roman" w:hAnsi="Times New Roman"/>
          <w:color w:val="0070C0"/>
          <w:sz w:val="16"/>
          <w:szCs w:val="16"/>
        </w:rPr>
      </w:pPr>
    </w:p>
    <w:p w14:paraId="10BBD610" w14:textId="77777777" w:rsidR="00E20620" w:rsidRPr="00142305" w:rsidRDefault="00E20620" w:rsidP="00E2062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6 февраля 1931 г. на завод № 31 передали самолёт S.62, испытывавшийся ранее в Севастополе. На год заводу выдали план на 80 лодок. Но чертежи из Италии в срок не получили, а перед трестом надо было отчитываться. На свой страх и риск директор приказал обмерить образцовую «савойю», снять с нее чертежи и по ним запустить в производство установочную серию из пяти самолётов. К апрелю их уже начали собирать»</w:t>
      </w:r>
      <w:bookmarkStart w:id="14" w:name="n_28"/>
      <w:r w:rsidRPr="00142305">
        <w:rPr>
          <w:rFonts w:ascii="Times New Roman" w:hAnsi="Times New Roman"/>
          <w:color w:val="0070C0"/>
          <w:sz w:val="16"/>
          <w:szCs w:val="16"/>
        </w:rPr>
        <w:t xml:space="preserve"> (25184)</w:t>
      </w:r>
      <w:bookmarkEnd w:id="14"/>
      <w:r w:rsidRPr="00142305">
        <w:rPr>
          <w:rFonts w:ascii="Times New Roman" w:hAnsi="Times New Roman"/>
          <w:color w:val="0070C0"/>
          <w:sz w:val="16"/>
          <w:szCs w:val="16"/>
        </w:rPr>
        <w:t>.</w:t>
      </w:r>
    </w:p>
    <w:p w14:paraId="110FE467" w14:textId="77777777" w:rsidR="00E20620" w:rsidRPr="00142305" w:rsidRDefault="00E20620" w:rsidP="00E20620">
      <w:pPr>
        <w:spacing w:after="0" w:line="240" w:lineRule="auto"/>
        <w:jc w:val="both"/>
        <w:rPr>
          <w:rFonts w:ascii="Times New Roman" w:hAnsi="Times New Roman"/>
          <w:color w:val="0070C0"/>
          <w:sz w:val="16"/>
          <w:szCs w:val="16"/>
        </w:rPr>
      </w:pPr>
    </w:p>
    <w:p w14:paraId="6E8EA3DD" w14:textId="77777777" w:rsidR="0084298A"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71314AD8" w14:textId="77777777" w:rsidR="0084298A" w:rsidRPr="005E779E" w:rsidRDefault="0084298A"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B114086" w14:textId="77777777" w:rsidR="0084298A" w:rsidRPr="005E779E" w:rsidRDefault="0084298A" w:rsidP="000B7A6C">
      <w:pPr>
        <w:pStyle w:val="1010"/>
        <w:shd w:val="clear" w:color="auto" w:fill="auto"/>
        <w:spacing w:line="240" w:lineRule="auto"/>
        <w:ind w:firstLine="0"/>
        <w:rPr>
          <w:rFonts w:ascii="Times New Roman" w:hAnsi="Times New Roman" w:cs="Times New Roman"/>
          <w:i w:val="0"/>
          <w:color w:val="000000" w:themeColor="text1"/>
          <w:sz w:val="16"/>
          <w:szCs w:val="16"/>
        </w:rPr>
      </w:pPr>
      <w:r w:rsidRPr="005E779E">
        <w:rPr>
          <w:rStyle w:val="1025"/>
          <w:rFonts w:ascii="Times New Roman" w:eastAsia="Arial Unicode MS" w:hAnsi="Times New Roman" w:cs="Times New Roman"/>
          <w:i w:val="0"/>
          <w:iCs w:val="0"/>
          <w:color w:val="000000" w:themeColor="text1"/>
          <w:sz w:val="16"/>
          <w:szCs w:val="16"/>
        </w:rPr>
        <w:t>6 февраля 1931 г. со склада №37 в Испытательную группу прибыл второй образец – 12-тонного Виккерса - танк №230 (№2). Основное внимание в ходе пробегов уделялось ведомым дискам сцепления.</w:t>
      </w:r>
      <w:r w:rsidRPr="005E779E">
        <w:rPr>
          <w:rFonts w:ascii="Times New Roman" w:hAnsi="Times New Roman" w:cs="Times New Roman"/>
          <w:i w:val="0"/>
          <w:color w:val="000000" w:themeColor="text1"/>
          <w:sz w:val="16"/>
          <w:szCs w:val="16"/>
        </w:rPr>
        <w:t xml:space="preserve"> «...После ремонта при пробеге танка в движении были поломаны шпильки пружин сцепления управле</w:t>
      </w:r>
      <w:r w:rsidRPr="005E779E">
        <w:rPr>
          <w:rFonts w:ascii="Times New Roman" w:hAnsi="Times New Roman" w:cs="Times New Roman"/>
          <w:i w:val="0"/>
          <w:color w:val="000000" w:themeColor="text1"/>
          <w:sz w:val="16"/>
          <w:szCs w:val="16"/>
        </w:rPr>
        <w:softHyphen/>
        <w:t>ния РАКГАМ. Разобранное сцепление оказалось с поломанными ведо</w:t>
      </w:r>
      <w:r w:rsidRPr="005E779E">
        <w:rPr>
          <w:rFonts w:ascii="Times New Roman" w:hAnsi="Times New Roman" w:cs="Times New Roman"/>
          <w:i w:val="0"/>
          <w:color w:val="000000" w:themeColor="text1"/>
          <w:sz w:val="16"/>
          <w:szCs w:val="16"/>
        </w:rPr>
        <w:softHyphen/>
        <w:t>мыми стальными дисками. Диски были заменены отдельными сегмен</w:t>
      </w:r>
      <w:r w:rsidRPr="005E779E">
        <w:rPr>
          <w:rFonts w:ascii="Times New Roman" w:hAnsi="Times New Roman" w:cs="Times New Roman"/>
          <w:i w:val="0"/>
          <w:color w:val="000000" w:themeColor="text1"/>
          <w:sz w:val="16"/>
          <w:szCs w:val="16"/>
        </w:rPr>
        <w:softHyphen/>
        <w:t>тами, и сцепление в таком виде работало до окончания испытаний».</w:t>
      </w:r>
    </w:p>
    <w:p w14:paraId="2FE5187E" w14:textId="77777777" w:rsidR="0084298A" w:rsidRPr="005E779E" w:rsidRDefault="0084298A" w:rsidP="000B7A6C">
      <w:pPr>
        <w:pStyle w:val="a3"/>
        <w:rPr>
          <w:color w:val="000000" w:themeColor="text1"/>
          <w:lang w:val="ru-RU"/>
        </w:rPr>
      </w:pPr>
      <w:r w:rsidRPr="005E779E">
        <w:rPr>
          <w:color w:val="000000" w:themeColor="text1"/>
          <w:lang w:val="ru-RU"/>
        </w:rPr>
        <w:t>Парадоксально, но даже с таким дефектом сцепление танка функци</w:t>
      </w:r>
      <w:r w:rsidRPr="005E779E">
        <w:rPr>
          <w:color w:val="000000" w:themeColor="text1"/>
          <w:lang w:val="ru-RU"/>
        </w:rPr>
        <w:softHyphen/>
        <w:t>онировало нормально. Весьма интересная информация об этом приве</w:t>
      </w:r>
      <w:r w:rsidRPr="005E779E">
        <w:rPr>
          <w:color w:val="000000" w:themeColor="text1"/>
          <w:lang w:val="ru-RU"/>
        </w:rPr>
        <w:softHyphen/>
        <w:t>дена в отчетах майора Одди:</w:t>
      </w:r>
    </w:p>
    <w:p w14:paraId="02E95C04" w14:textId="77777777" w:rsidR="0084298A" w:rsidRPr="005E779E" w:rsidRDefault="0084298A" w:rsidP="000B7A6C">
      <w:pPr>
        <w:pStyle w:val="1010"/>
        <w:shd w:val="clear" w:color="auto" w:fill="auto"/>
        <w:spacing w:line="240" w:lineRule="auto"/>
        <w:ind w:firstLine="0"/>
        <w:rPr>
          <w:rFonts w:ascii="Times New Roman" w:hAnsi="Times New Roman" w:cs="Times New Roman"/>
          <w:i w:val="0"/>
          <w:color w:val="000000" w:themeColor="text1"/>
          <w:sz w:val="16"/>
          <w:szCs w:val="16"/>
        </w:rPr>
      </w:pPr>
      <w:r w:rsidRPr="005E779E">
        <w:rPr>
          <w:rFonts w:ascii="Times New Roman" w:hAnsi="Times New Roman" w:cs="Times New Roman"/>
          <w:i w:val="0"/>
          <w:color w:val="000000" w:themeColor="text1"/>
          <w:sz w:val="16"/>
          <w:szCs w:val="16"/>
        </w:rPr>
        <w:t>«Каждый из дисков сцепления... был разломан на несколько частей, все трещины приходились к месту, где диск прорезан, и в добавление к этому у каждого прореза, который еще не был сломан, была отчетливо видимая трещина. Фактически все диски были или сломаны, или у про</w:t>
      </w:r>
      <w:r w:rsidRPr="005E779E">
        <w:rPr>
          <w:rFonts w:ascii="Times New Roman" w:hAnsi="Times New Roman" w:cs="Times New Roman"/>
          <w:i w:val="0"/>
          <w:color w:val="000000" w:themeColor="text1"/>
          <w:sz w:val="16"/>
          <w:szCs w:val="16"/>
        </w:rPr>
        <w:softHyphen/>
        <w:t>резов имелись трещины.</w:t>
      </w:r>
    </w:p>
    <w:p w14:paraId="4D7BA872" w14:textId="77777777" w:rsidR="0084298A" w:rsidRPr="005E779E" w:rsidRDefault="0084298A" w:rsidP="000B7A6C">
      <w:pPr>
        <w:pStyle w:val="1010"/>
        <w:shd w:val="clear" w:color="auto" w:fill="auto"/>
        <w:spacing w:line="240" w:lineRule="auto"/>
        <w:ind w:firstLine="0"/>
        <w:rPr>
          <w:rFonts w:ascii="Times New Roman" w:hAnsi="Times New Roman" w:cs="Times New Roman"/>
          <w:i w:val="0"/>
          <w:color w:val="000000" w:themeColor="text1"/>
          <w:sz w:val="16"/>
          <w:szCs w:val="16"/>
        </w:rPr>
      </w:pPr>
      <w:r w:rsidRPr="005E779E">
        <w:rPr>
          <w:rFonts w:ascii="Times New Roman" w:hAnsi="Times New Roman" w:cs="Times New Roman"/>
          <w:i w:val="0"/>
          <w:color w:val="000000" w:themeColor="text1"/>
          <w:sz w:val="16"/>
          <w:szCs w:val="16"/>
        </w:rPr>
        <w:t>Все поломки</w:t>
      </w:r>
      <w:r w:rsidRPr="005E779E">
        <w:rPr>
          <w:rStyle w:val="1013"/>
          <w:rFonts w:ascii="Times New Roman" w:eastAsia="Arial Unicode MS" w:hAnsi="Times New Roman" w:cs="Times New Roman"/>
          <w:b w:val="0"/>
          <w:iCs/>
          <w:color w:val="000000" w:themeColor="text1"/>
          <w:sz w:val="16"/>
          <w:szCs w:val="16"/>
        </w:rPr>
        <w:t xml:space="preserve"> были</w:t>
      </w:r>
      <w:r w:rsidRPr="005E779E">
        <w:rPr>
          <w:rFonts w:ascii="Times New Roman" w:hAnsi="Times New Roman" w:cs="Times New Roman"/>
          <w:i w:val="0"/>
          <w:color w:val="000000" w:themeColor="text1"/>
          <w:sz w:val="16"/>
          <w:szCs w:val="16"/>
        </w:rPr>
        <w:t xml:space="preserve"> давнишними, ни одна из трещин не оказалась не</w:t>
      </w:r>
      <w:r w:rsidRPr="005E779E">
        <w:rPr>
          <w:rFonts w:ascii="Times New Roman" w:hAnsi="Times New Roman" w:cs="Times New Roman"/>
          <w:i w:val="0"/>
          <w:color w:val="000000" w:themeColor="text1"/>
          <w:sz w:val="16"/>
          <w:szCs w:val="16"/>
        </w:rPr>
        <w:softHyphen/>
        <w:t>давней.</w:t>
      </w:r>
    </w:p>
    <w:p w14:paraId="1BF9F097" w14:textId="77777777" w:rsidR="0084298A" w:rsidRPr="005E779E" w:rsidRDefault="0084298A" w:rsidP="000B7A6C">
      <w:pPr>
        <w:pStyle w:val="1010"/>
        <w:shd w:val="clear" w:color="auto" w:fill="auto"/>
        <w:spacing w:line="240" w:lineRule="auto"/>
        <w:ind w:firstLine="0"/>
        <w:rPr>
          <w:rFonts w:ascii="Times New Roman" w:hAnsi="Times New Roman" w:cs="Times New Roman"/>
          <w:i w:val="0"/>
          <w:color w:val="000000" w:themeColor="text1"/>
          <w:sz w:val="16"/>
          <w:szCs w:val="16"/>
        </w:rPr>
      </w:pPr>
      <w:r w:rsidRPr="005E779E">
        <w:rPr>
          <w:rFonts w:ascii="Times New Roman" w:hAnsi="Times New Roman" w:cs="Times New Roman"/>
          <w:i w:val="0"/>
          <w:color w:val="000000" w:themeColor="text1"/>
          <w:sz w:val="16"/>
          <w:szCs w:val="16"/>
        </w:rPr>
        <w:t>Я исследовал</w:t>
      </w:r>
      <w:r w:rsidRPr="005E779E">
        <w:rPr>
          <w:rStyle w:val="1013"/>
          <w:rFonts w:ascii="Times New Roman" w:eastAsia="Arial Unicode MS" w:hAnsi="Times New Roman" w:cs="Times New Roman"/>
          <w:b w:val="0"/>
          <w:iCs/>
          <w:color w:val="000000" w:themeColor="text1"/>
          <w:sz w:val="16"/>
          <w:szCs w:val="16"/>
        </w:rPr>
        <w:t xml:space="preserve"> левое</w:t>
      </w:r>
      <w:r w:rsidRPr="005E779E">
        <w:rPr>
          <w:rFonts w:ascii="Times New Roman" w:hAnsi="Times New Roman" w:cs="Times New Roman"/>
          <w:i w:val="0"/>
          <w:color w:val="000000" w:themeColor="text1"/>
          <w:sz w:val="16"/>
          <w:szCs w:val="16"/>
        </w:rPr>
        <w:t xml:space="preserve"> сцепление, но оно оказалось в порядке.</w:t>
      </w:r>
    </w:p>
    <w:p w14:paraId="5E8F8CCC" w14:textId="77777777" w:rsidR="0084298A" w:rsidRPr="005E779E" w:rsidRDefault="0084298A" w:rsidP="000B7A6C">
      <w:pPr>
        <w:pStyle w:val="1010"/>
        <w:shd w:val="clear" w:color="auto" w:fill="auto"/>
        <w:spacing w:line="240" w:lineRule="auto"/>
        <w:ind w:firstLine="0"/>
        <w:rPr>
          <w:rFonts w:ascii="Times New Roman" w:hAnsi="Times New Roman" w:cs="Times New Roman"/>
          <w:i w:val="0"/>
          <w:color w:val="000000" w:themeColor="text1"/>
          <w:sz w:val="16"/>
          <w:szCs w:val="16"/>
        </w:rPr>
      </w:pPr>
      <w:r w:rsidRPr="005E779E">
        <w:rPr>
          <w:rFonts w:ascii="Times New Roman" w:hAnsi="Times New Roman" w:cs="Times New Roman"/>
          <w:i w:val="0"/>
          <w:color w:val="000000" w:themeColor="text1"/>
          <w:sz w:val="16"/>
          <w:szCs w:val="16"/>
        </w:rPr>
        <w:t>Я объяснил</w:t>
      </w:r>
      <w:r w:rsidRPr="005E779E">
        <w:rPr>
          <w:rStyle w:val="1013"/>
          <w:rFonts w:ascii="Times New Roman" w:eastAsia="Arial Unicode MS" w:hAnsi="Times New Roman" w:cs="Times New Roman"/>
          <w:b w:val="0"/>
          <w:iCs/>
          <w:color w:val="000000" w:themeColor="text1"/>
          <w:sz w:val="16"/>
          <w:szCs w:val="16"/>
        </w:rPr>
        <w:t xml:space="preserve"> русской</w:t>
      </w:r>
      <w:r w:rsidRPr="005E779E">
        <w:rPr>
          <w:rFonts w:ascii="Times New Roman" w:hAnsi="Times New Roman" w:cs="Times New Roman"/>
          <w:i w:val="0"/>
          <w:color w:val="000000" w:themeColor="text1"/>
          <w:sz w:val="16"/>
          <w:szCs w:val="16"/>
        </w:rPr>
        <w:t xml:space="preserve"> комиссии, что я не знал причины вышеуказан</w:t>
      </w:r>
      <w:r w:rsidRPr="005E779E">
        <w:rPr>
          <w:rFonts w:ascii="Times New Roman" w:hAnsi="Times New Roman" w:cs="Times New Roman"/>
          <w:i w:val="0"/>
          <w:color w:val="000000" w:themeColor="text1"/>
          <w:sz w:val="16"/>
          <w:szCs w:val="16"/>
        </w:rPr>
        <w:softHyphen/>
        <w:t>ного, так как в</w:t>
      </w:r>
      <w:r w:rsidRPr="005E779E">
        <w:rPr>
          <w:rStyle w:val="1013"/>
          <w:rFonts w:ascii="Times New Roman" w:eastAsia="Arial Unicode MS" w:hAnsi="Times New Roman" w:cs="Times New Roman"/>
          <w:b w:val="0"/>
          <w:iCs/>
          <w:color w:val="000000" w:themeColor="text1"/>
          <w:sz w:val="16"/>
          <w:szCs w:val="16"/>
        </w:rPr>
        <w:t xml:space="preserve"> нашей практике</w:t>
      </w:r>
      <w:r w:rsidRPr="005E779E">
        <w:rPr>
          <w:rFonts w:ascii="Times New Roman" w:hAnsi="Times New Roman" w:cs="Times New Roman"/>
          <w:i w:val="0"/>
          <w:color w:val="000000" w:themeColor="text1"/>
          <w:sz w:val="16"/>
          <w:szCs w:val="16"/>
        </w:rPr>
        <w:t xml:space="preserve"> этого раньше не было.</w:t>
      </w:r>
    </w:p>
    <w:p w14:paraId="441953F0" w14:textId="77777777" w:rsidR="0084298A" w:rsidRPr="005E779E" w:rsidRDefault="0084298A" w:rsidP="000B7A6C">
      <w:pPr>
        <w:pStyle w:val="1010"/>
        <w:shd w:val="clear" w:color="auto" w:fill="auto"/>
        <w:spacing w:line="240" w:lineRule="auto"/>
        <w:ind w:firstLine="0"/>
        <w:rPr>
          <w:rFonts w:ascii="Times New Roman" w:hAnsi="Times New Roman" w:cs="Times New Roman"/>
          <w:i w:val="0"/>
          <w:color w:val="000000" w:themeColor="text1"/>
          <w:sz w:val="16"/>
          <w:szCs w:val="16"/>
        </w:rPr>
      </w:pPr>
      <w:r w:rsidRPr="005E779E">
        <w:rPr>
          <w:rFonts w:ascii="Times New Roman" w:hAnsi="Times New Roman" w:cs="Times New Roman"/>
          <w:i w:val="0"/>
          <w:color w:val="000000" w:themeColor="text1"/>
          <w:sz w:val="16"/>
          <w:szCs w:val="16"/>
        </w:rPr>
        <w:t>Я объяснил</w:t>
      </w:r>
      <w:r w:rsidRPr="005E779E">
        <w:rPr>
          <w:rStyle w:val="1013"/>
          <w:rFonts w:ascii="Times New Roman" w:eastAsia="Arial Unicode MS" w:hAnsi="Times New Roman" w:cs="Times New Roman"/>
          <w:b w:val="0"/>
          <w:iCs/>
          <w:color w:val="000000" w:themeColor="text1"/>
          <w:sz w:val="16"/>
          <w:szCs w:val="16"/>
        </w:rPr>
        <w:t xml:space="preserve"> русской комиссии,</w:t>
      </w:r>
      <w:r w:rsidRPr="005E779E">
        <w:rPr>
          <w:rFonts w:ascii="Times New Roman" w:hAnsi="Times New Roman" w:cs="Times New Roman"/>
          <w:i w:val="0"/>
          <w:color w:val="000000" w:themeColor="text1"/>
          <w:sz w:val="16"/>
          <w:szCs w:val="16"/>
        </w:rPr>
        <w:t xml:space="preserve"> что не является необходимым снятие ведущих дисков</w:t>
      </w:r>
      <w:r w:rsidRPr="005E779E">
        <w:rPr>
          <w:rStyle w:val="1013"/>
          <w:rFonts w:ascii="Times New Roman" w:eastAsia="Arial Unicode MS" w:hAnsi="Times New Roman" w:cs="Times New Roman"/>
          <w:b w:val="0"/>
          <w:iCs/>
          <w:color w:val="000000" w:themeColor="text1"/>
          <w:sz w:val="16"/>
          <w:szCs w:val="16"/>
        </w:rPr>
        <w:t xml:space="preserve"> сцеплении, когда</w:t>
      </w:r>
      <w:r w:rsidRPr="005E779E">
        <w:rPr>
          <w:rFonts w:ascii="Times New Roman" w:hAnsi="Times New Roman" w:cs="Times New Roman"/>
          <w:i w:val="0"/>
          <w:color w:val="000000" w:themeColor="text1"/>
          <w:sz w:val="16"/>
          <w:szCs w:val="16"/>
        </w:rPr>
        <w:t xml:space="preserve"> они поломаны, т.к. эти диски будут ра</w:t>
      </w:r>
      <w:r w:rsidRPr="005E779E">
        <w:rPr>
          <w:rFonts w:ascii="Times New Roman" w:hAnsi="Times New Roman" w:cs="Times New Roman"/>
          <w:i w:val="0"/>
          <w:color w:val="000000" w:themeColor="text1"/>
          <w:sz w:val="16"/>
          <w:szCs w:val="16"/>
        </w:rPr>
        <w:softHyphen/>
        <w:t>ботать</w:t>
      </w:r>
      <w:r w:rsidRPr="005E779E">
        <w:rPr>
          <w:rStyle w:val="1012"/>
          <w:rFonts w:ascii="Times New Roman" w:eastAsia="Arial Unicode MS" w:hAnsi="Times New Roman" w:cs="Times New Roman"/>
          <w:b w:val="0"/>
          <w:i w:val="0"/>
          <w:iCs w:val="0"/>
          <w:color w:val="000000" w:themeColor="text1"/>
          <w:sz w:val="16"/>
          <w:szCs w:val="16"/>
        </w:rPr>
        <w:t xml:space="preserve"> удовлетворительно даже</w:t>
      </w:r>
      <w:r w:rsidRPr="005E779E">
        <w:rPr>
          <w:rStyle w:val="1013"/>
          <w:rFonts w:ascii="Times New Roman" w:eastAsia="Arial Unicode MS" w:hAnsi="Times New Roman" w:cs="Times New Roman"/>
          <w:b w:val="0"/>
          <w:iCs/>
          <w:color w:val="000000" w:themeColor="text1"/>
          <w:sz w:val="16"/>
          <w:szCs w:val="16"/>
        </w:rPr>
        <w:t xml:space="preserve"> и</w:t>
      </w:r>
      <w:r w:rsidRPr="005E779E">
        <w:rPr>
          <w:rFonts w:ascii="Times New Roman" w:hAnsi="Times New Roman" w:cs="Times New Roman"/>
          <w:i w:val="0"/>
          <w:color w:val="000000" w:themeColor="text1"/>
          <w:sz w:val="16"/>
          <w:szCs w:val="16"/>
        </w:rPr>
        <w:t xml:space="preserve"> тогда, когда они сломаны (расколоты) на части или</w:t>
      </w:r>
      <w:r w:rsidRPr="005E779E">
        <w:rPr>
          <w:rStyle w:val="1013"/>
          <w:rFonts w:ascii="Times New Roman" w:eastAsia="Arial Unicode MS" w:hAnsi="Times New Roman" w:cs="Times New Roman"/>
          <w:b w:val="0"/>
          <w:iCs/>
          <w:color w:val="000000" w:themeColor="text1"/>
          <w:sz w:val="16"/>
          <w:szCs w:val="16"/>
        </w:rPr>
        <w:t xml:space="preserve"> сегменты,</w:t>
      </w:r>
      <w:r w:rsidRPr="005E779E">
        <w:rPr>
          <w:rStyle w:val="10MicrosoftSansSerif2"/>
          <w:rFonts w:ascii="Times New Roman" w:eastAsia="Arial Unicode MS" w:hAnsi="Times New Roman" w:cs="Times New Roman"/>
          <w:b w:val="0"/>
          <w:iCs/>
          <w:color w:val="000000" w:themeColor="text1"/>
          <w:sz w:val="16"/>
          <w:szCs w:val="16"/>
        </w:rPr>
        <w:t xml:space="preserve"> при</w:t>
      </w:r>
      <w:r w:rsidRPr="005E779E">
        <w:rPr>
          <w:rStyle w:val="1013"/>
          <w:rFonts w:ascii="Times New Roman" w:eastAsia="Arial Unicode MS" w:hAnsi="Times New Roman" w:cs="Times New Roman"/>
          <w:b w:val="0"/>
          <w:iCs/>
          <w:color w:val="000000" w:themeColor="text1"/>
          <w:sz w:val="16"/>
          <w:szCs w:val="16"/>
        </w:rPr>
        <w:t xml:space="preserve"> условии,</w:t>
      </w:r>
      <w:r w:rsidRPr="005E779E">
        <w:rPr>
          <w:rFonts w:ascii="Times New Roman" w:hAnsi="Times New Roman" w:cs="Times New Roman"/>
          <w:i w:val="0"/>
          <w:color w:val="000000" w:themeColor="text1"/>
          <w:sz w:val="16"/>
          <w:szCs w:val="16"/>
        </w:rPr>
        <w:t xml:space="preserve"> что каждый сегмент изготовлен, какуказано ниже,</w:t>
      </w:r>
      <w:r w:rsidRPr="005E779E">
        <w:rPr>
          <w:rStyle w:val="1013"/>
          <w:rFonts w:ascii="Times New Roman" w:eastAsia="Arial Unicode MS" w:hAnsi="Times New Roman" w:cs="Times New Roman"/>
          <w:b w:val="0"/>
          <w:iCs/>
          <w:color w:val="000000" w:themeColor="text1"/>
          <w:sz w:val="16"/>
          <w:szCs w:val="16"/>
        </w:rPr>
        <w:t xml:space="preserve"> раньше, чем производить</w:t>
      </w:r>
      <w:r w:rsidRPr="005E779E">
        <w:rPr>
          <w:rFonts w:ascii="Times New Roman" w:hAnsi="Times New Roman" w:cs="Times New Roman"/>
          <w:i w:val="0"/>
          <w:color w:val="000000" w:themeColor="text1"/>
          <w:sz w:val="16"/>
          <w:szCs w:val="16"/>
        </w:rPr>
        <w:t xml:space="preserve"> сборку сцепления.</w:t>
      </w:r>
    </w:p>
    <w:p w14:paraId="1AB5F242" w14:textId="77777777" w:rsidR="0084298A" w:rsidRPr="005E779E" w:rsidRDefault="0084298A" w:rsidP="000B7A6C">
      <w:pPr>
        <w:pStyle w:val="1340"/>
        <w:shd w:val="clear" w:color="auto" w:fill="auto"/>
        <w:tabs>
          <w:tab w:val="left" w:pos="495"/>
        </w:tabs>
        <w:spacing w:line="240" w:lineRule="auto"/>
        <w:ind w:firstLine="0"/>
        <w:rPr>
          <w:rFonts w:ascii="Times New Roman" w:hAnsi="Times New Roman" w:cs="Times New Roman"/>
          <w:i w:val="0"/>
          <w:color w:val="000000" w:themeColor="text1"/>
          <w:sz w:val="16"/>
          <w:szCs w:val="16"/>
        </w:rPr>
      </w:pPr>
      <w:bookmarkStart w:id="15" w:name="bookmark40"/>
      <w:r w:rsidRPr="005E779E">
        <w:rPr>
          <w:rFonts w:ascii="Times New Roman" w:hAnsi="Times New Roman" w:cs="Times New Roman"/>
          <w:i w:val="0"/>
          <w:color w:val="000000" w:themeColor="text1"/>
          <w:sz w:val="16"/>
          <w:szCs w:val="16"/>
        </w:rPr>
        <w:t>1. Каждый</w:t>
      </w:r>
      <w:r w:rsidRPr="005E779E">
        <w:rPr>
          <w:rStyle w:val="1341"/>
          <w:rFonts w:ascii="Times New Roman" w:hAnsi="Times New Roman" w:cs="Times New Roman"/>
          <w:b w:val="0"/>
          <w:iCs/>
          <w:color w:val="000000" w:themeColor="text1"/>
          <w:sz w:val="16"/>
          <w:szCs w:val="16"/>
        </w:rPr>
        <w:t xml:space="preserve"> сегмент</w:t>
      </w:r>
      <w:r w:rsidRPr="005E779E">
        <w:rPr>
          <w:rStyle w:val="134FranklinGothicBook"/>
          <w:rFonts w:ascii="Times New Roman" w:hAnsi="Times New Roman" w:cs="Times New Roman"/>
          <w:b w:val="0"/>
          <w:iCs/>
          <w:color w:val="000000" w:themeColor="text1"/>
          <w:spacing w:val="0"/>
          <w:sz w:val="16"/>
          <w:szCs w:val="16"/>
        </w:rPr>
        <w:t xml:space="preserve"> должен</w:t>
      </w:r>
      <w:r w:rsidRPr="005E779E">
        <w:rPr>
          <w:rStyle w:val="1341"/>
          <w:rFonts w:ascii="Times New Roman" w:hAnsi="Times New Roman" w:cs="Times New Roman"/>
          <w:b w:val="0"/>
          <w:iCs/>
          <w:color w:val="000000" w:themeColor="text1"/>
          <w:sz w:val="16"/>
          <w:szCs w:val="16"/>
        </w:rPr>
        <w:t xml:space="preserve"> быть</w:t>
      </w:r>
      <w:r w:rsidRPr="005E779E">
        <w:rPr>
          <w:rFonts w:ascii="Times New Roman" w:hAnsi="Times New Roman" w:cs="Times New Roman"/>
          <w:i w:val="0"/>
          <w:color w:val="000000" w:themeColor="text1"/>
          <w:sz w:val="16"/>
          <w:szCs w:val="16"/>
        </w:rPr>
        <w:t xml:space="preserve"> слегка укорочен, с тем чтобы пре</w:t>
      </w:r>
      <w:r w:rsidRPr="005E779E">
        <w:rPr>
          <w:rFonts w:ascii="Times New Roman" w:hAnsi="Times New Roman" w:cs="Times New Roman"/>
          <w:i w:val="0"/>
          <w:color w:val="000000" w:themeColor="text1"/>
          <w:sz w:val="16"/>
          <w:szCs w:val="16"/>
        </w:rPr>
        <w:softHyphen/>
        <w:t>дотвратить</w:t>
      </w:r>
      <w:r w:rsidRPr="005E779E">
        <w:rPr>
          <w:rStyle w:val="1341"/>
          <w:rFonts w:ascii="Times New Roman" w:hAnsi="Times New Roman" w:cs="Times New Roman"/>
          <w:b w:val="0"/>
          <w:iCs/>
          <w:color w:val="000000" w:themeColor="text1"/>
          <w:sz w:val="16"/>
          <w:szCs w:val="16"/>
        </w:rPr>
        <w:t xml:space="preserve"> наползания</w:t>
      </w:r>
      <w:r w:rsidRPr="005E779E">
        <w:rPr>
          <w:rStyle w:val="134FranklinGothicBook"/>
          <w:rFonts w:ascii="Times New Roman" w:hAnsi="Times New Roman" w:cs="Times New Roman"/>
          <w:b w:val="0"/>
          <w:iCs/>
          <w:color w:val="000000" w:themeColor="text1"/>
          <w:spacing w:val="0"/>
          <w:sz w:val="16"/>
          <w:szCs w:val="16"/>
        </w:rPr>
        <w:t xml:space="preserve"> друг иа друга.</w:t>
      </w:r>
      <w:bookmarkEnd w:id="15"/>
    </w:p>
    <w:p w14:paraId="511BA02C" w14:textId="77777777" w:rsidR="0084298A" w:rsidRPr="005E779E" w:rsidRDefault="0084298A" w:rsidP="000B7A6C">
      <w:pPr>
        <w:pStyle w:val="1340"/>
        <w:shd w:val="clear" w:color="auto" w:fill="auto"/>
        <w:tabs>
          <w:tab w:val="left" w:pos="500"/>
        </w:tabs>
        <w:spacing w:line="240" w:lineRule="auto"/>
        <w:ind w:firstLine="0"/>
        <w:rPr>
          <w:rFonts w:ascii="Times New Roman" w:hAnsi="Times New Roman" w:cs="Times New Roman"/>
          <w:i w:val="0"/>
          <w:color w:val="000000" w:themeColor="text1"/>
          <w:sz w:val="16"/>
          <w:szCs w:val="16"/>
        </w:rPr>
      </w:pPr>
      <w:bookmarkStart w:id="16" w:name="bookmark41"/>
      <w:r w:rsidRPr="005E779E">
        <w:rPr>
          <w:rFonts w:ascii="Times New Roman" w:hAnsi="Times New Roman" w:cs="Times New Roman"/>
          <w:i w:val="0"/>
          <w:color w:val="000000" w:themeColor="text1"/>
          <w:sz w:val="16"/>
          <w:szCs w:val="16"/>
        </w:rPr>
        <w:t>2. Острые</w:t>
      </w:r>
      <w:r w:rsidRPr="005E779E">
        <w:rPr>
          <w:rStyle w:val="1341"/>
          <w:rFonts w:ascii="Times New Roman" w:hAnsi="Times New Roman" w:cs="Times New Roman"/>
          <w:b w:val="0"/>
          <w:iCs/>
          <w:color w:val="000000" w:themeColor="text1"/>
          <w:sz w:val="16"/>
          <w:szCs w:val="16"/>
        </w:rPr>
        <w:t xml:space="preserve"> края</w:t>
      </w:r>
      <w:r w:rsidRPr="005E779E">
        <w:rPr>
          <w:rStyle w:val="134MicrosoftSansSerif"/>
          <w:rFonts w:ascii="Times New Roman" w:hAnsi="Times New Roman" w:cs="Times New Roman"/>
          <w:b w:val="0"/>
          <w:iCs/>
          <w:color w:val="000000" w:themeColor="text1"/>
          <w:sz w:val="16"/>
          <w:szCs w:val="16"/>
        </w:rPr>
        <w:t xml:space="preserve"> каждого сегмента</w:t>
      </w:r>
      <w:r w:rsidRPr="005E779E">
        <w:rPr>
          <w:rFonts w:ascii="Times New Roman" w:hAnsi="Times New Roman" w:cs="Times New Roman"/>
          <w:i w:val="0"/>
          <w:color w:val="000000" w:themeColor="text1"/>
          <w:sz w:val="16"/>
          <w:szCs w:val="16"/>
        </w:rPr>
        <w:t xml:space="preserve"> должны быть сняты с двух сто</w:t>
      </w:r>
      <w:r w:rsidRPr="005E779E">
        <w:rPr>
          <w:rFonts w:ascii="Times New Roman" w:hAnsi="Times New Roman" w:cs="Times New Roman"/>
          <w:i w:val="0"/>
          <w:color w:val="000000" w:themeColor="text1"/>
          <w:sz w:val="16"/>
          <w:szCs w:val="16"/>
        </w:rPr>
        <w:softHyphen/>
        <w:t>рон, чтобы</w:t>
      </w:r>
      <w:r w:rsidRPr="005E779E">
        <w:rPr>
          <w:rStyle w:val="1341"/>
          <w:rFonts w:ascii="Times New Roman" w:hAnsi="Times New Roman" w:cs="Times New Roman"/>
          <w:b w:val="0"/>
          <w:iCs/>
          <w:color w:val="000000" w:themeColor="text1"/>
          <w:sz w:val="16"/>
          <w:szCs w:val="16"/>
        </w:rPr>
        <w:t xml:space="preserve"> предохранил</w:t>
      </w:r>
      <w:r w:rsidRPr="005E779E">
        <w:rPr>
          <w:rStyle w:val="1342"/>
          <w:rFonts w:ascii="Times New Roman" w:hAnsi="Times New Roman" w:cs="Times New Roman"/>
          <w:i w:val="0"/>
          <w:iCs w:val="0"/>
          <w:color w:val="000000" w:themeColor="text1"/>
          <w:sz w:val="16"/>
          <w:szCs w:val="16"/>
        </w:rPr>
        <w:t xml:space="preserve"> црггвдгу</w:t>
      </w:r>
      <w:r w:rsidRPr="005E779E">
        <w:rPr>
          <w:rStyle w:val="1341"/>
          <w:rFonts w:ascii="Times New Roman" w:hAnsi="Times New Roman" w:cs="Times New Roman"/>
          <w:b w:val="0"/>
          <w:iCs/>
          <w:color w:val="000000" w:themeColor="text1"/>
          <w:sz w:val="16"/>
          <w:szCs w:val="16"/>
        </w:rPr>
        <w:t xml:space="preserve"> на</w:t>
      </w:r>
      <w:r w:rsidRPr="005E779E">
        <w:rPr>
          <w:rFonts w:ascii="Times New Roman" w:hAnsi="Times New Roman" w:cs="Times New Roman"/>
          <w:i w:val="0"/>
          <w:color w:val="000000" w:themeColor="text1"/>
          <w:sz w:val="16"/>
          <w:szCs w:val="16"/>
        </w:rPr>
        <w:t xml:space="preserve"> ведущих дисках от порезов и разрыва.</w:t>
      </w:r>
      <w:bookmarkEnd w:id="16"/>
    </w:p>
    <w:p w14:paraId="2BDC9BCA" w14:textId="77777777" w:rsidR="0084298A" w:rsidRPr="005E779E" w:rsidRDefault="0084298A" w:rsidP="000B7A6C">
      <w:pPr>
        <w:pStyle w:val="1010"/>
        <w:shd w:val="clear" w:color="auto" w:fill="auto"/>
        <w:spacing w:line="240" w:lineRule="auto"/>
        <w:ind w:firstLine="0"/>
        <w:rPr>
          <w:rFonts w:ascii="Times New Roman" w:hAnsi="Times New Roman" w:cs="Times New Roman"/>
          <w:i w:val="0"/>
          <w:color w:val="000000" w:themeColor="text1"/>
          <w:sz w:val="16"/>
          <w:szCs w:val="16"/>
        </w:rPr>
      </w:pPr>
      <w:r w:rsidRPr="005E779E">
        <w:rPr>
          <w:rFonts w:ascii="Times New Roman" w:hAnsi="Times New Roman" w:cs="Times New Roman"/>
          <w:i w:val="0"/>
          <w:color w:val="000000" w:themeColor="text1"/>
          <w:sz w:val="16"/>
          <w:szCs w:val="16"/>
        </w:rPr>
        <w:t>3. Оба угла каждого сегмента должны быть закруглены по радиусу (по внутреннему диаметру или радиусу), чтобы предохранить от поре</w:t>
      </w:r>
      <w:r w:rsidRPr="005E779E">
        <w:rPr>
          <w:rFonts w:ascii="Times New Roman" w:hAnsi="Times New Roman" w:cs="Times New Roman"/>
          <w:i w:val="0"/>
          <w:color w:val="000000" w:themeColor="text1"/>
          <w:sz w:val="16"/>
          <w:szCs w:val="16"/>
        </w:rPr>
        <w:softHyphen/>
        <w:t>зов барабан сцепления во всякое время (внутренний).</w:t>
      </w:r>
    </w:p>
    <w:p w14:paraId="49516C20" w14:textId="77777777" w:rsidR="0084298A" w:rsidRPr="005E779E" w:rsidRDefault="0084298A" w:rsidP="000B7A6C">
      <w:pPr>
        <w:pStyle w:val="1010"/>
        <w:shd w:val="clear" w:color="auto" w:fill="auto"/>
        <w:spacing w:line="240" w:lineRule="auto"/>
        <w:ind w:firstLine="0"/>
        <w:rPr>
          <w:rFonts w:ascii="Times New Roman" w:hAnsi="Times New Roman" w:cs="Times New Roman"/>
          <w:i w:val="0"/>
          <w:color w:val="000000" w:themeColor="text1"/>
          <w:sz w:val="16"/>
          <w:szCs w:val="16"/>
        </w:rPr>
      </w:pPr>
      <w:r w:rsidRPr="005E779E">
        <w:rPr>
          <w:rFonts w:ascii="Times New Roman" w:hAnsi="Times New Roman" w:cs="Times New Roman"/>
          <w:i w:val="0"/>
          <w:color w:val="000000" w:themeColor="text1"/>
          <w:sz w:val="16"/>
          <w:szCs w:val="16"/>
        </w:rPr>
        <w:t>Относительно вышеуказанного я объяснил, что хотя ведущие диски сцепления были сломаны, сцепление очевидно работало хорошо, а все вышеуказанные диски были сломаны некоторое время тому назад и ма</w:t>
      </w:r>
      <w:r w:rsidRPr="005E779E">
        <w:rPr>
          <w:rFonts w:ascii="Times New Roman" w:hAnsi="Times New Roman" w:cs="Times New Roman"/>
          <w:i w:val="0"/>
          <w:color w:val="000000" w:themeColor="text1"/>
          <w:sz w:val="16"/>
          <w:szCs w:val="16"/>
        </w:rPr>
        <w:softHyphen/>
        <w:t>шина с тех пор проделала значительную работу.</w:t>
      </w:r>
    </w:p>
    <w:p w14:paraId="53ADD600" w14:textId="77777777" w:rsidR="0084298A" w:rsidRPr="005E779E" w:rsidRDefault="0084298A" w:rsidP="000B7A6C">
      <w:pPr>
        <w:pStyle w:val="1010"/>
        <w:shd w:val="clear" w:color="auto" w:fill="auto"/>
        <w:spacing w:line="240" w:lineRule="auto"/>
        <w:ind w:firstLine="0"/>
        <w:rPr>
          <w:rFonts w:ascii="Times New Roman" w:hAnsi="Times New Roman" w:cs="Times New Roman"/>
          <w:i w:val="0"/>
          <w:color w:val="000000" w:themeColor="text1"/>
          <w:sz w:val="16"/>
          <w:szCs w:val="16"/>
        </w:rPr>
      </w:pPr>
      <w:r w:rsidRPr="005E779E">
        <w:rPr>
          <w:rFonts w:ascii="Times New Roman" w:hAnsi="Times New Roman" w:cs="Times New Roman"/>
          <w:i w:val="0"/>
          <w:color w:val="000000" w:themeColor="text1"/>
          <w:sz w:val="16"/>
          <w:szCs w:val="16"/>
        </w:rPr>
        <w:t>Я осмотрел сцепление на первом двенадцатитонном танке, и было обнаружено, что хотя два ведомых диска сцепления были сломаны на части (на сегменты)... сцепление не причинило недоразумения и рабо</w:t>
      </w:r>
      <w:r w:rsidRPr="005E779E">
        <w:rPr>
          <w:rFonts w:ascii="Times New Roman" w:hAnsi="Times New Roman" w:cs="Times New Roman"/>
          <w:i w:val="0"/>
          <w:color w:val="000000" w:themeColor="text1"/>
          <w:sz w:val="16"/>
          <w:szCs w:val="16"/>
        </w:rPr>
        <w:softHyphen/>
        <w:t>тало удовлетворительно.</w:t>
      </w:r>
    </w:p>
    <w:p w14:paraId="4EF797B0" w14:textId="77777777" w:rsidR="0084298A" w:rsidRPr="005E779E" w:rsidRDefault="0084298A" w:rsidP="000B7A6C">
      <w:pPr>
        <w:pStyle w:val="1010"/>
        <w:shd w:val="clear" w:color="auto" w:fill="auto"/>
        <w:spacing w:line="240" w:lineRule="auto"/>
        <w:ind w:firstLine="0"/>
        <w:rPr>
          <w:rFonts w:ascii="Times New Roman" w:hAnsi="Times New Roman" w:cs="Times New Roman"/>
          <w:i w:val="0"/>
          <w:color w:val="000000" w:themeColor="text1"/>
          <w:sz w:val="16"/>
          <w:szCs w:val="16"/>
        </w:rPr>
      </w:pPr>
      <w:r w:rsidRPr="005E779E">
        <w:rPr>
          <w:rFonts w:ascii="Times New Roman" w:hAnsi="Times New Roman" w:cs="Times New Roman"/>
          <w:i w:val="0"/>
          <w:color w:val="000000" w:themeColor="text1"/>
          <w:sz w:val="16"/>
          <w:szCs w:val="16"/>
        </w:rPr>
        <w:t>Эти диски также были сломаны уже значительное время и все же они не предоставили каких-либо затруднений».</w:t>
      </w:r>
    </w:p>
    <w:p w14:paraId="0B83250A" w14:textId="77777777" w:rsidR="0084298A" w:rsidRPr="005E779E" w:rsidRDefault="0084298A" w:rsidP="000B7A6C">
      <w:pPr>
        <w:pStyle w:val="a3"/>
        <w:rPr>
          <w:color w:val="000000" w:themeColor="text1"/>
          <w:lang w:val="ru-RU"/>
        </w:rPr>
      </w:pPr>
      <w:r w:rsidRPr="005E779E">
        <w:rPr>
          <w:color w:val="000000" w:themeColor="text1"/>
          <w:lang w:val="ru-RU"/>
        </w:rPr>
        <w:t>Вновь обратимся к отчетам майора:</w:t>
      </w:r>
    </w:p>
    <w:p w14:paraId="4130ABE7" w14:textId="77777777" w:rsidR="0084298A" w:rsidRPr="005E779E" w:rsidRDefault="0084298A" w:rsidP="000B7A6C">
      <w:pPr>
        <w:pStyle w:val="1010"/>
        <w:shd w:val="clear" w:color="auto" w:fill="auto"/>
        <w:spacing w:line="240" w:lineRule="auto"/>
        <w:ind w:firstLine="0"/>
        <w:rPr>
          <w:rFonts w:ascii="Times New Roman" w:hAnsi="Times New Roman" w:cs="Times New Roman"/>
          <w:i w:val="0"/>
          <w:color w:val="000000" w:themeColor="text1"/>
          <w:sz w:val="16"/>
          <w:szCs w:val="16"/>
        </w:rPr>
      </w:pPr>
      <w:r w:rsidRPr="005E779E">
        <w:rPr>
          <w:rFonts w:ascii="Times New Roman" w:hAnsi="Times New Roman" w:cs="Times New Roman"/>
          <w:i w:val="0"/>
          <w:color w:val="000000" w:themeColor="text1"/>
          <w:sz w:val="16"/>
          <w:szCs w:val="16"/>
        </w:rPr>
        <w:t>«Второй 12-ти тонный танк проделал пробег в 502 км</w:t>
      </w:r>
      <w:r w:rsidRPr="005E779E">
        <w:rPr>
          <w:rStyle w:val="1013"/>
          <w:rFonts w:ascii="Times New Roman" w:eastAsia="Arial Unicode MS" w:hAnsi="Times New Roman" w:cs="Times New Roman"/>
          <w:b w:val="0"/>
          <w:iCs/>
          <w:color w:val="000000" w:themeColor="text1"/>
          <w:sz w:val="16"/>
          <w:szCs w:val="16"/>
        </w:rPr>
        <w:t xml:space="preserve"> (314</w:t>
      </w:r>
      <w:r w:rsidRPr="005E779E">
        <w:rPr>
          <w:rFonts w:ascii="Times New Roman" w:hAnsi="Times New Roman" w:cs="Times New Roman"/>
          <w:i w:val="0"/>
          <w:color w:val="000000" w:themeColor="text1"/>
          <w:sz w:val="16"/>
          <w:szCs w:val="16"/>
        </w:rPr>
        <w:t xml:space="preserve"> миль)</w:t>
      </w:r>
      <w:r w:rsidRPr="005E779E">
        <w:rPr>
          <w:rStyle w:val="1013"/>
          <w:rFonts w:ascii="Times New Roman" w:eastAsia="Arial Unicode MS" w:hAnsi="Times New Roman" w:cs="Times New Roman"/>
          <w:b w:val="0"/>
          <w:iCs/>
          <w:color w:val="000000" w:themeColor="text1"/>
          <w:sz w:val="16"/>
          <w:szCs w:val="16"/>
        </w:rPr>
        <w:t xml:space="preserve"> с </w:t>
      </w:r>
      <w:r w:rsidRPr="005E779E">
        <w:rPr>
          <w:rFonts w:ascii="Times New Roman" w:hAnsi="Times New Roman" w:cs="Times New Roman"/>
          <w:i w:val="0"/>
          <w:color w:val="000000" w:themeColor="text1"/>
          <w:sz w:val="16"/>
          <w:szCs w:val="16"/>
        </w:rPr>
        <w:t>ведомыми дисками, в одном сцеплении Ракгама, разделенными на шесть сегментов каждый.</w:t>
      </w:r>
    </w:p>
    <w:p w14:paraId="033F8A66" w14:textId="77777777" w:rsidR="0084298A" w:rsidRPr="005E779E" w:rsidRDefault="0084298A" w:rsidP="000B7A6C">
      <w:pPr>
        <w:pStyle w:val="1010"/>
        <w:shd w:val="clear" w:color="auto" w:fill="auto"/>
        <w:spacing w:line="240" w:lineRule="auto"/>
        <w:ind w:firstLine="0"/>
        <w:rPr>
          <w:rFonts w:ascii="Times New Roman" w:hAnsi="Times New Roman" w:cs="Times New Roman"/>
          <w:i w:val="0"/>
          <w:color w:val="000000" w:themeColor="text1"/>
          <w:sz w:val="16"/>
          <w:szCs w:val="16"/>
        </w:rPr>
      </w:pPr>
      <w:r w:rsidRPr="005E779E">
        <w:rPr>
          <w:rFonts w:ascii="Times New Roman" w:hAnsi="Times New Roman" w:cs="Times New Roman"/>
          <w:i w:val="0"/>
          <w:color w:val="000000" w:themeColor="text1"/>
          <w:sz w:val="16"/>
          <w:szCs w:val="16"/>
        </w:rPr>
        <w:t>Первый 12-ти тонный танк проделал пробег в 212</w:t>
      </w:r>
      <w:r w:rsidRPr="005E779E">
        <w:rPr>
          <w:rStyle w:val="1013"/>
          <w:rFonts w:ascii="Times New Roman" w:eastAsia="Arial Unicode MS" w:hAnsi="Times New Roman" w:cs="Times New Roman"/>
          <w:b w:val="0"/>
          <w:iCs/>
          <w:color w:val="000000" w:themeColor="text1"/>
          <w:sz w:val="16"/>
          <w:szCs w:val="16"/>
        </w:rPr>
        <w:t xml:space="preserve"> километров </w:t>
      </w:r>
      <w:r w:rsidRPr="005E779E">
        <w:rPr>
          <w:rFonts w:ascii="Times New Roman" w:hAnsi="Times New Roman" w:cs="Times New Roman"/>
          <w:i w:val="0"/>
          <w:color w:val="000000" w:themeColor="text1"/>
          <w:sz w:val="16"/>
          <w:szCs w:val="16"/>
        </w:rPr>
        <w:t>(134 мили) с 7 из ведомых дисков, разделенными на шесть</w:t>
      </w:r>
      <w:r w:rsidRPr="005E779E">
        <w:rPr>
          <w:rStyle w:val="1013"/>
          <w:rFonts w:ascii="Times New Roman" w:eastAsia="Arial Unicode MS" w:hAnsi="Times New Roman" w:cs="Times New Roman"/>
          <w:b w:val="0"/>
          <w:iCs/>
          <w:color w:val="000000" w:themeColor="text1"/>
          <w:sz w:val="16"/>
          <w:szCs w:val="16"/>
        </w:rPr>
        <w:t xml:space="preserve"> сегментов </w:t>
      </w:r>
      <w:r w:rsidRPr="005E779E">
        <w:rPr>
          <w:rFonts w:ascii="Times New Roman" w:hAnsi="Times New Roman" w:cs="Times New Roman"/>
          <w:i w:val="0"/>
          <w:color w:val="000000" w:themeColor="text1"/>
          <w:sz w:val="16"/>
          <w:szCs w:val="16"/>
        </w:rPr>
        <w:t>каждый.</w:t>
      </w:r>
    </w:p>
    <w:p w14:paraId="37AD177D" w14:textId="77777777" w:rsidR="0084298A" w:rsidRPr="005E779E" w:rsidRDefault="0084298A" w:rsidP="000B7A6C">
      <w:pPr>
        <w:pStyle w:val="1010"/>
        <w:shd w:val="clear" w:color="auto" w:fill="auto"/>
        <w:spacing w:line="240" w:lineRule="auto"/>
        <w:ind w:firstLine="0"/>
        <w:rPr>
          <w:rFonts w:ascii="Times New Roman" w:hAnsi="Times New Roman" w:cs="Times New Roman"/>
          <w:i w:val="0"/>
          <w:color w:val="000000" w:themeColor="text1"/>
          <w:sz w:val="16"/>
          <w:szCs w:val="16"/>
        </w:rPr>
      </w:pPr>
      <w:r w:rsidRPr="005E779E">
        <w:rPr>
          <w:rFonts w:ascii="Times New Roman" w:hAnsi="Times New Roman" w:cs="Times New Roman"/>
          <w:i w:val="0"/>
          <w:color w:val="000000" w:themeColor="text1"/>
          <w:sz w:val="16"/>
          <w:szCs w:val="16"/>
        </w:rPr>
        <w:t>Ни одна из машин не дала каких-либо затруднений в</w:t>
      </w:r>
      <w:r w:rsidRPr="005E779E">
        <w:rPr>
          <w:rStyle w:val="1013"/>
          <w:rFonts w:ascii="Times New Roman" w:eastAsia="Arial Unicode MS" w:hAnsi="Times New Roman" w:cs="Times New Roman"/>
          <w:b w:val="0"/>
          <w:iCs/>
          <w:color w:val="000000" w:themeColor="text1"/>
          <w:sz w:val="16"/>
          <w:szCs w:val="16"/>
        </w:rPr>
        <w:t xml:space="preserve"> этом отно</w:t>
      </w:r>
      <w:r w:rsidRPr="005E779E">
        <w:rPr>
          <w:rStyle w:val="1013"/>
          <w:rFonts w:ascii="Times New Roman" w:eastAsia="Arial Unicode MS" w:hAnsi="Times New Roman" w:cs="Times New Roman"/>
          <w:b w:val="0"/>
          <w:iCs/>
          <w:color w:val="000000" w:themeColor="text1"/>
          <w:sz w:val="16"/>
          <w:szCs w:val="16"/>
        </w:rPr>
        <w:softHyphen/>
      </w:r>
      <w:r w:rsidRPr="005E779E">
        <w:rPr>
          <w:rFonts w:ascii="Times New Roman" w:hAnsi="Times New Roman" w:cs="Times New Roman"/>
          <w:i w:val="0"/>
          <w:color w:val="000000" w:themeColor="text1"/>
          <w:sz w:val="16"/>
          <w:szCs w:val="16"/>
        </w:rPr>
        <w:t>шении, хотя большинство из этого пробега было произведено</w:t>
      </w:r>
      <w:r w:rsidRPr="005E779E">
        <w:rPr>
          <w:rStyle w:val="1013"/>
          <w:rFonts w:ascii="Times New Roman" w:eastAsia="Arial Unicode MS" w:hAnsi="Times New Roman" w:cs="Times New Roman"/>
          <w:b w:val="0"/>
          <w:iCs/>
          <w:color w:val="000000" w:themeColor="text1"/>
          <w:sz w:val="16"/>
          <w:szCs w:val="16"/>
        </w:rPr>
        <w:t xml:space="preserve"> на пе</w:t>
      </w:r>
      <w:r w:rsidRPr="005E779E">
        <w:rPr>
          <w:rStyle w:val="1013"/>
          <w:rFonts w:ascii="Times New Roman" w:eastAsia="Arial Unicode MS" w:hAnsi="Times New Roman" w:cs="Times New Roman"/>
          <w:b w:val="0"/>
          <w:iCs/>
          <w:color w:val="000000" w:themeColor="text1"/>
          <w:sz w:val="16"/>
          <w:szCs w:val="16"/>
        </w:rPr>
        <w:softHyphen/>
      </w:r>
      <w:r w:rsidRPr="005E779E">
        <w:rPr>
          <w:rFonts w:ascii="Times New Roman" w:hAnsi="Times New Roman" w:cs="Times New Roman"/>
          <w:i w:val="0"/>
          <w:color w:val="000000" w:themeColor="text1"/>
          <w:sz w:val="16"/>
          <w:szCs w:val="16"/>
        </w:rPr>
        <w:t>ресеченной местности, что вызывало необходимость более</w:t>
      </w:r>
      <w:r w:rsidRPr="005E779E">
        <w:rPr>
          <w:rStyle w:val="1013"/>
          <w:rFonts w:ascii="Times New Roman" w:eastAsia="Arial Unicode MS" w:hAnsi="Times New Roman" w:cs="Times New Roman"/>
          <w:b w:val="0"/>
          <w:iCs/>
          <w:color w:val="000000" w:themeColor="text1"/>
          <w:sz w:val="16"/>
          <w:szCs w:val="16"/>
        </w:rPr>
        <w:t xml:space="preserve"> частого</w:t>
      </w:r>
      <w:r w:rsidRPr="005E779E">
        <w:rPr>
          <w:rStyle w:val="1012"/>
          <w:rFonts w:ascii="Times New Roman" w:eastAsia="Arial Unicode MS" w:hAnsi="Times New Roman" w:cs="Times New Roman"/>
          <w:b w:val="0"/>
          <w:i w:val="0"/>
          <w:iCs w:val="0"/>
          <w:color w:val="000000" w:themeColor="text1"/>
          <w:sz w:val="16"/>
          <w:szCs w:val="16"/>
        </w:rPr>
        <w:t xml:space="preserve"> и </w:t>
      </w:r>
      <w:r w:rsidRPr="005E779E">
        <w:rPr>
          <w:rFonts w:ascii="Times New Roman" w:hAnsi="Times New Roman" w:cs="Times New Roman"/>
          <w:i w:val="0"/>
          <w:color w:val="000000" w:themeColor="text1"/>
          <w:sz w:val="16"/>
          <w:szCs w:val="16"/>
        </w:rPr>
        <w:t>усиленного употребления управления сцепления Ракгама,</w:t>
      </w:r>
      <w:r w:rsidRPr="005E779E">
        <w:rPr>
          <w:rStyle w:val="1013"/>
          <w:rFonts w:ascii="Times New Roman" w:eastAsia="Arial Unicode MS" w:hAnsi="Times New Roman" w:cs="Times New Roman"/>
          <w:b w:val="0"/>
          <w:iCs/>
          <w:color w:val="000000" w:themeColor="text1"/>
          <w:sz w:val="16"/>
          <w:szCs w:val="16"/>
        </w:rPr>
        <w:t xml:space="preserve"> чем</w:t>
      </w:r>
      <w:r w:rsidRPr="005E779E">
        <w:rPr>
          <w:rStyle w:val="1012"/>
          <w:rFonts w:ascii="Times New Roman" w:eastAsia="Arial Unicode MS" w:hAnsi="Times New Roman" w:cs="Times New Roman"/>
          <w:b w:val="0"/>
          <w:i w:val="0"/>
          <w:iCs w:val="0"/>
          <w:color w:val="000000" w:themeColor="text1"/>
          <w:sz w:val="16"/>
          <w:szCs w:val="16"/>
        </w:rPr>
        <w:t xml:space="preserve"> этого </w:t>
      </w:r>
      <w:r w:rsidRPr="005E779E">
        <w:rPr>
          <w:rFonts w:ascii="Times New Roman" w:hAnsi="Times New Roman" w:cs="Times New Roman"/>
          <w:i w:val="0"/>
          <w:color w:val="000000" w:themeColor="text1"/>
          <w:sz w:val="16"/>
          <w:szCs w:val="16"/>
        </w:rPr>
        <w:t>требует пробег по дороге.</w:t>
      </w:r>
    </w:p>
    <w:p w14:paraId="066AE53E" w14:textId="77777777" w:rsidR="0084298A" w:rsidRPr="005E779E" w:rsidRDefault="0084298A" w:rsidP="000B7A6C">
      <w:pPr>
        <w:pStyle w:val="1010"/>
        <w:shd w:val="clear" w:color="auto" w:fill="auto"/>
        <w:spacing w:line="240" w:lineRule="auto"/>
        <w:ind w:firstLine="0"/>
        <w:rPr>
          <w:rFonts w:ascii="Times New Roman" w:hAnsi="Times New Roman" w:cs="Times New Roman"/>
          <w:i w:val="0"/>
          <w:color w:val="000000" w:themeColor="text1"/>
          <w:sz w:val="16"/>
          <w:szCs w:val="16"/>
        </w:rPr>
      </w:pPr>
      <w:r w:rsidRPr="005E779E">
        <w:rPr>
          <w:rFonts w:ascii="Times New Roman" w:hAnsi="Times New Roman" w:cs="Times New Roman"/>
          <w:i w:val="0"/>
          <w:color w:val="000000" w:themeColor="text1"/>
          <w:sz w:val="16"/>
          <w:szCs w:val="16"/>
        </w:rPr>
        <w:t>Русская комиссия соглашается, что если какой-либо из</w:t>
      </w:r>
      <w:r w:rsidRPr="005E779E">
        <w:rPr>
          <w:rStyle w:val="1013"/>
          <w:rFonts w:ascii="Times New Roman" w:eastAsia="Arial Unicode MS" w:hAnsi="Times New Roman" w:cs="Times New Roman"/>
          <w:b w:val="0"/>
          <w:iCs/>
          <w:color w:val="000000" w:themeColor="text1"/>
          <w:sz w:val="16"/>
          <w:szCs w:val="16"/>
        </w:rPr>
        <w:t xml:space="preserve"> ведомых ди</w:t>
      </w:r>
      <w:r w:rsidRPr="005E779E">
        <w:rPr>
          <w:rStyle w:val="1013"/>
          <w:rFonts w:ascii="Times New Roman" w:eastAsia="Arial Unicode MS" w:hAnsi="Times New Roman" w:cs="Times New Roman"/>
          <w:b w:val="0"/>
          <w:iCs/>
          <w:color w:val="000000" w:themeColor="text1"/>
          <w:sz w:val="16"/>
          <w:szCs w:val="16"/>
        </w:rPr>
        <w:softHyphen/>
      </w:r>
      <w:r w:rsidRPr="005E779E">
        <w:rPr>
          <w:rFonts w:ascii="Times New Roman" w:hAnsi="Times New Roman" w:cs="Times New Roman"/>
          <w:i w:val="0"/>
          <w:color w:val="000000" w:themeColor="text1"/>
          <w:sz w:val="16"/>
          <w:szCs w:val="16"/>
        </w:rPr>
        <w:t>сков сцепления будет найден поломанным или сломается</w:t>
      </w:r>
      <w:r w:rsidRPr="005E779E">
        <w:rPr>
          <w:rStyle w:val="1013"/>
          <w:rFonts w:ascii="Times New Roman" w:eastAsia="Arial Unicode MS" w:hAnsi="Times New Roman" w:cs="Times New Roman"/>
          <w:b w:val="0"/>
          <w:iCs/>
          <w:color w:val="000000" w:themeColor="text1"/>
          <w:sz w:val="16"/>
          <w:szCs w:val="16"/>
        </w:rPr>
        <w:t xml:space="preserve"> на любом из </w:t>
      </w:r>
      <w:r w:rsidRPr="005E779E">
        <w:rPr>
          <w:rFonts w:ascii="Times New Roman" w:hAnsi="Times New Roman" w:cs="Times New Roman"/>
          <w:i w:val="0"/>
          <w:color w:val="000000" w:themeColor="text1"/>
          <w:sz w:val="16"/>
          <w:szCs w:val="16"/>
        </w:rPr>
        <w:t>дальнейших 12 тонных танках, то они пересоберут эти</w:t>
      </w:r>
      <w:r w:rsidRPr="005E779E">
        <w:rPr>
          <w:rStyle w:val="1013"/>
          <w:rFonts w:ascii="Times New Roman" w:eastAsia="Arial Unicode MS" w:hAnsi="Times New Roman" w:cs="Times New Roman"/>
          <w:b w:val="0"/>
          <w:iCs/>
          <w:color w:val="000000" w:themeColor="text1"/>
          <w:sz w:val="16"/>
          <w:szCs w:val="16"/>
        </w:rPr>
        <w:t xml:space="preserve"> сломанные</w:t>
      </w:r>
      <w:r w:rsidRPr="005E779E">
        <w:rPr>
          <w:rStyle w:val="1012"/>
          <w:rFonts w:ascii="Times New Roman" w:eastAsia="Arial Unicode MS" w:hAnsi="Times New Roman" w:cs="Times New Roman"/>
          <w:b w:val="0"/>
          <w:i w:val="0"/>
          <w:iCs w:val="0"/>
          <w:color w:val="000000" w:themeColor="text1"/>
          <w:sz w:val="16"/>
          <w:szCs w:val="16"/>
        </w:rPr>
        <w:t xml:space="preserve"> ведо</w:t>
      </w:r>
      <w:r w:rsidRPr="005E779E">
        <w:rPr>
          <w:rStyle w:val="1012"/>
          <w:rFonts w:ascii="Times New Roman" w:eastAsia="Arial Unicode MS" w:hAnsi="Times New Roman" w:cs="Times New Roman"/>
          <w:b w:val="0"/>
          <w:i w:val="0"/>
          <w:iCs w:val="0"/>
          <w:color w:val="000000" w:themeColor="text1"/>
          <w:sz w:val="16"/>
          <w:szCs w:val="16"/>
        </w:rPr>
        <w:softHyphen/>
        <w:t>мые</w:t>
      </w:r>
      <w:r w:rsidRPr="005E779E">
        <w:rPr>
          <w:rFonts w:ascii="Times New Roman" w:hAnsi="Times New Roman" w:cs="Times New Roman"/>
          <w:i w:val="0"/>
          <w:color w:val="000000" w:themeColor="text1"/>
          <w:sz w:val="16"/>
          <w:szCs w:val="16"/>
        </w:rPr>
        <w:t xml:space="preserve"> диски сцепления ...на шесть сегментов.</w:t>
      </w:r>
    </w:p>
    <w:p w14:paraId="4DE922EF" w14:textId="77777777" w:rsidR="0084298A" w:rsidRPr="005E779E" w:rsidRDefault="0084298A" w:rsidP="000B7A6C">
      <w:pPr>
        <w:pStyle w:val="1010"/>
        <w:shd w:val="clear" w:color="auto" w:fill="auto"/>
        <w:spacing w:line="240" w:lineRule="auto"/>
        <w:ind w:firstLine="0"/>
        <w:rPr>
          <w:rFonts w:ascii="Times New Roman" w:hAnsi="Times New Roman" w:cs="Times New Roman"/>
          <w:i w:val="0"/>
          <w:color w:val="000000" w:themeColor="text1"/>
          <w:sz w:val="16"/>
          <w:szCs w:val="16"/>
        </w:rPr>
      </w:pPr>
      <w:r w:rsidRPr="005E779E">
        <w:rPr>
          <w:rStyle w:val="1025"/>
          <w:rFonts w:ascii="Times New Roman" w:eastAsia="Arial Unicode MS" w:hAnsi="Times New Roman" w:cs="Times New Roman"/>
          <w:i w:val="0"/>
          <w:iCs w:val="0"/>
          <w:color w:val="000000" w:themeColor="text1"/>
          <w:sz w:val="16"/>
          <w:szCs w:val="16"/>
        </w:rPr>
        <w:t>Сцепление</w:t>
      </w:r>
      <w:r w:rsidRPr="005E779E">
        <w:rPr>
          <w:rFonts w:ascii="Times New Roman" w:hAnsi="Times New Roman" w:cs="Times New Roman"/>
          <w:i w:val="0"/>
          <w:color w:val="000000" w:themeColor="text1"/>
          <w:sz w:val="16"/>
          <w:szCs w:val="16"/>
        </w:rPr>
        <w:t xml:space="preserve"> РАКГАМА (с дисками, разделенными на</w:t>
      </w:r>
      <w:r w:rsidRPr="005E779E">
        <w:rPr>
          <w:rStyle w:val="1013"/>
          <w:rFonts w:ascii="Times New Roman" w:eastAsia="Arial Unicode MS" w:hAnsi="Times New Roman" w:cs="Times New Roman"/>
          <w:b w:val="0"/>
          <w:iCs/>
          <w:color w:val="000000" w:themeColor="text1"/>
          <w:sz w:val="16"/>
          <w:szCs w:val="16"/>
        </w:rPr>
        <w:t xml:space="preserve"> шесть сегмен</w:t>
      </w:r>
      <w:r w:rsidRPr="005E779E">
        <w:rPr>
          <w:rFonts w:ascii="Times New Roman" w:hAnsi="Times New Roman" w:cs="Times New Roman"/>
          <w:i w:val="0"/>
          <w:color w:val="000000" w:themeColor="text1"/>
          <w:sz w:val="16"/>
          <w:szCs w:val="16"/>
        </w:rPr>
        <w:t>тов) на 2-м 12-ти тонном танке было снято и осмотрено</w:t>
      </w:r>
      <w:r w:rsidRPr="005E779E">
        <w:rPr>
          <w:rStyle w:val="1013"/>
          <w:rFonts w:ascii="Times New Roman" w:eastAsia="Arial Unicode MS" w:hAnsi="Times New Roman" w:cs="Times New Roman"/>
          <w:b w:val="0"/>
          <w:iCs/>
          <w:color w:val="000000" w:themeColor="text1"/>
          <w:sz w:val="16"/>
          <w:szCs w:val="16"/>
        </w:rPr>
        <w:t xml:space="preserve"> после </w:t>
      </w:r>
      <w:r w:rsidRPr="005E779E">
        <w:rPr>
          <w:rFonts w:ascii="Times New Roman" w:hAnsi="Times New Roman" w:cs="Times New Roman"/>
          <w:i w:val="0"/>
          <w:color w:val="000000" w:themeColor="text1"/>
          <w:sz w:val="16"/>
          <w:szCs w:val="16"/>
        </w:rPr>
        <w:t>были закончены испытания и как ведомые диски</w:t>
      </w:r>
      <w:r w:rsidRPr="005E779E">
        <w:rPr>
          <w:rStyle w:val="1013"/>
          <w:rFonts w:ascii="Times New Roman" w:eastAsia="Arial Unicode MS" w:hAnsi="Times New Roman" w:cs="Times New Roman"/>
          <w:b w:val="0"/>
          <w:iCs/>
          <w:color w:val="000000" w:themeColor="text1"/>
          <w:sz w:val="16"/>
          <w:szCs w:val="16"/>
        </w:rPr>
        <w:t xml:space="preserve"> сцепления (с проклад</w:t>
      </w:r>
      <w:r w:rsidRPr="005E779E">
        <w:rPr>
          <w:rFonts w:ascii="Times New Roman" w:hAnsi="Times New Roman" w:cs="Times New Roman"/>
          <w:i w:val="0"/>
          <w:color w:val="000000" w:themeColor="text1"/>
          <w:sz w:val="16"/>
          <w:szCs w:val="16"/>
        </w:rPr>
        <w:t>кой ферродо), так и ведущие диски сцепления (в</w:t>
      </w:r>
      <w:r w:rsidRPr="005E779E">
        <w:rPr>
          <w:rStyle w:val="1013"/>
          <w:rFonts w:ascii="Times New Roman" w:eastAsia="Arial Unicode MS" w:hAnsi="Times New Roman" w:cs="Times New Roman"/>
          <w:b w:val="0"/>
          <w:iCs/>
          <w:color w:val="000000" w:themeColor="text1"/>
          <w:sz w:val="16"/>
          <w:szCs w:val="16"/>
        </w:rPr>
        <w:t xml:space="preserve"> шести кегментах каж</w:t>
      </w:r>
      <w:r w:rsidRPr="005E779E">
        <w:rPr>
          <w:rFonts w:ascii="Times New Roman" w:hAnsi="Times New Roman" w:cs="Times New Roman"/>
          <w:i w:val="0"/>
          <w:color w:val="000000" w:themeColor="text1"/>
          <w:sz w:val="16"/>
          <w:szCs w:val="16"/>
        </w:rPr>
        <w:t>дый) были найдены в прекрасном состоянии.</w:t>
      </w:r>
    </w:p>
    <w:p w14:paraId="03EE197F" w14:textId="77777777" w:rsidR="0084298A" w:rsidRPr="005E779E" w:rsidRDefault="0084298A" w:rsidP="000B7A6C">
      <w:pPr>
        <w:pStyle w:val="1010"/>
        <w:shd w:val="clear" w:color="auto" w:fill="auto"/>
        <w:spacing w:line="240" w:lineRule="auto"/>
        <w:ind w:firstLine="0"/>
        <w:rPr>
          <w:rFonts w:ascii="Times New Roman" w:hAnsi="Times New Roman" w:cs="Times New Roman"/>
          <w:i w:val="0"/>
          <w:color w:val="000000" w:themeColor="text1"/>
          <w:sz w:val="16"/>
          <w:szCs w:val="16"/>
        </w:rPr>
      </w:pPr>
      <w:r w:rsidRPr="005E779E">
        <w:rPr>
          <w:rFonts w:ascii="Times New Roman" w:hAnsi="Times New Roman" w:cs="Times New Roman"/>
          <w:i w:val="0"/>
          <w:color w:val="000000" w:themeColor="text1"/>
          <w:sz w:val="16"/>
          <w:szCs w:val="16"/>
        </w:rPr>
        <w:t>Я объяснил русской комиссии, что нет причинц ~ мые диски сцепления не должны быть разделены щ при первой сборке сцепления в Англии, и что</w:t>
      </w:r>
      <w:r w:rsidRPr="005E779E">
        <w:rPr>
          <w:rStyle w:val="10MicrosoftSansSerif2"/>
          <w:rFonts w:ascii="Times New Roman" w:eastAsia="Arial Unicode MS" w:hAnsi="Times New Roman" w:cs="Times New Roman"/>
          <w:b w:val="0"/>
          <w:iCs/>
          <w:color w:val="000000" w:themeColor="text1"/>
          <w:sz w:val="16"/>
          <w:szCs w:val="16"/>
        </w:rPr>
        <w:t xml:space="preserve"> я</w:t>
      </w:r>
      <w:r w:rsidRPr="005E779E">
        <w:rPr>
          <w:rFonts w:ascii="Times New Roman" w:hAnsi="Times New Roman" w:cs="Times New Roman"/>
          <w:i w:val="0"/>
          <w:color w:val="000000" w:themeColor="text1"/>
          <w:sz w:val="16"/>
          <w:szCs w:val="16"/>
        </w:rPr>
        <w:t xml:space="preserve"> г внимание, когда приеду в Англию».</w:t>
      </w:r>
    </w:p>
    <w:p w14:paraId="6054DB7A" w14:textId="77777777" w:rsidR="0084298A" w:rsidRPr="005E779E" w:rsidRDefault="0084298A" w:rsidP="000B7A6C">
      <w:pPr>
        <w:pStyle w:val="a3"/>
        <w:rPr>
          <w:color w:val="000000" w:themeColor="text1"/>
          <w:lang w:val="ru-RU"/>
        </w:rPr>
      </w:pPr>
      <w:r w:rsidRPr="005E779E">
        <w:rPr>
          <w:color w:val="000000" w:themeColor="text1"/>
          <w:lang w:val="ru-RU"/>
        </w:rPr>
        <w:t>Фирма «Виккерс Армстронг» обязалась внедрить такую конструкцию ведомых дисков сцепления на оставшихся танках (15745).</w:t>
      </w:r>
    </w:p>
    <w:p w14:paraId="3274B5F5" w14:textId="77777777" w:rsidR="0084298A" w:rsidRPr="005E779E" w:rsidRDefault="0084298A" w:rsidP="000B7A6C">
      <w:pPr>
        <w:pStyle w:val="1b"/>
        <w:shd w:val="clear" w:color="auto" w:fill="auto"/>
        <w:spacing w:line="240" w:lineRule="auto"/>
        <w:ind w:firstLine="0"/>
        <w:jc w:val="both"/>
        <w:rPr>
          <w:rFonts w:ascii="Times New Roman" w:hAnsi="Times New Roman" w:cs="Times New Roman"/>
          <w:b w:val="0"/>
          <w:color w:val="000000" w:themeColor="text1"/>
          <w:sz w:val="16"/>
          <w:szCs w:val="16"/>
        </w:rPr>
      </w:pPr>
    </w:p>
    <w:p w14:paraId="42753B4A" w14:textId="77777777" w:rsidR="007510B4" w:rsidRPr="005E779E" w:rsidRDefault="007510B4"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26706412" w14:textId="77777777" w:rsidR="007510B4" w:rsidRPr="005E779E" w:rsidRDefault="007510B4"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0BBC661" w14:textId="77777777" w:rsidR="007510B4" w:rsidRPr="005E779E" w:rsidRDefault="007510B4"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6 и 12 февраля 1931. Из протокола заседания Политбюро № 26, 1931 г.</w:t>
      </w:r>
    </w:p>
    <w:p w14:paraId="7EB647C8" w14:textId="77777777" w:rsidR="007510B4" w:rsidRPr="005E779E" w:rsidRDefault="007510B4"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 Беломорском канале </w:t>
      </w:r>
    </w:p>
    <w:p w14:paraId="31ECCDFA" w14:textId="77777777" w:rsidR="007510B4" w:rsidRPr="005E779E" w:rsidRDefault="007510B4"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Утвердить план постройки Беломорско-Балтийского канала, исходя из следующих положений: </w:t>
      </w:r>
    </w:p>
    <w:p w14:paraId="64A6AF48" w14:textId="77777777" w:rsidR="007510B4" w:rsidRPr="005E779E" w:rsidRDefault="007510B4"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 Глубина канала — не более 10-12 футов; </w:t>
      </w:r>
    </w:p>
    <w:p w14:paraId="699F5796" w14:textId="77777777" w:rsidR="007510B4" w:rsidRPr="005E779E" w:rsidRDefault="007510B4"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 Затраты на канал — 60-70 млн руб. (ни одной копейки валюты); </w:t>
      </w:r>
    </w:p>
    <w:p w14:paraId="20F00E0E" w14:textId="77777777" w:rsidR="007510B4" w:rsidRPr="005E779E" w:rsidRDefault="007510B4"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Срок окончания — не позже конца 1932 г. (11652).</w:t>
      </w:r>
    </w:p>
    <w:p w14:paraId="3457EC87" w14:textId="77777777" w:rsidR="007510B4" w:rsidRPr="005E779E" w:rsidRDefault="007510B4" w:rsidP="000B7A6C">
      <w:pPr>
        <w:autoSpaceDE w:val="0"/>
        <w:autoSpaceDN w:val="0"/>
        <w:adjustRightInd w:val="0"/>
        <w:spacing w:after="0" w:line="240" w:lineRule="auto"/>
        <w:jc w:val="both"/>
        <w:rPr>
          <w:rFonts w:ascii="Times New Roman" w:hAnsi="Times New Roman"/>
          <w:color w:val="000000" w:themeColor="text1"/>
          <w:sz w:val="16"/>
          <w:szCs w:val="16"/>
        </w:rPr>
      </w:pPr>
    </w:p>
    <w:p w14:paraId="2C19CEC9" w14:textId="77777777" w:rsidR="007510B4" w:rsidRPr="005E779E" w:rsidRDefault="007510B4"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Внешняя политика:</w:t>
      </w:r>
    </w:p>
    <w:p w14:paraId="751EC364" w14:textId="77777777" w:rsidR="007510B4" w:rsidRPr="005E779E" w:rsidRDefault="007510B4"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83AD362" w14:textId="77777777" w:rsidR="007510B4" w:rsidRPr="005E779E" w:rsidRDefault="007510B4"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6 февраля 1931 г.</w:t>
      </w:r>
    </w:p>
    <w:p w14:paraId="43CC1A69" w14:textId="77777777" w:rsidR="007510B4" w:rsidRPr="005E779E" w:rsidRDefault="007510B4"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Письмо Ж. Л. Аренса В. Н. Баркову с информацией о ходе подготовки к заключению договора об издании стенограммы процесса «Промпартии» с французским издательством. 6 февраля 1931 г.</w:t>
      </w:r>
    </w:p>
    <w:p w14:paraId="081E16C0" w14:textId="77777777" w:rsidR="007510B4" w:rsidRPr="005E779E" w:rsidRDefault="007510B4"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Источник: </w:t>
      </w:r>
    </w:p>
    <w:p w14:paraId="055B66BF" w14:textId="77777777" w:rsidR="007510B4" w:rsidRPr="005E779E" w:rsidRDefault="007510B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E815A32" w14:textId="77777777" w:rsidR="007510B4" w:rsidRPr="005E779E" w:rsidRDefault="007510B4"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Архив: </w:t>
      </w:r>
    </w:p>
    <w:p w14:paraId="636DFB77" w14:textId="77777777" w:rsidR="007510B4" w:rsidRPr="005E779E" w:rsidRDefault="007510B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АВП РФ. Ф. 056. Оп. 16. П. 34. Д. 14. Л. 20</w:t>
      </w:r>
    </w:p>
    <w:p w14:paraId="0D54F321" w14:textId="77777777" w:rsidR="007510B4" w:rsidRPr="005E779E" w:rsidRDefault="007510B4" w:rsidP="000B7A6C">
      <w:pPr>
        <w:pStyle w:val="rteright"/>
        <w:spacing w:before="0" w:after="0"/>
        <w:jc w:val="both"/>
        <w:rPr>
          <w:color w:val="000000" w:themeColor="text1"/>
          <w:sz w:val="16"/>
          <w:szCs w:val="16"/>
        </w:rPr>
      </w:pPr>
      <w:r w:rsidRPr="005E779E">
        <w:rPr>
          <w:color w:val="000000" w:themeColor="text1"/>
          <w:sz w:val="16"/>
          <w:szCs w:val="16"/>
        </w:rPr>
        <w:t>6 февраля 1931 г.</w:t>
      </w:r>
    </w:p>
    <w:p w14:paraId="0EFFE5E0" w14:textId="77777777" w:rsidR="007510B4" w:rsidRPr="005E779E" w:rsidRDefault="007510B4" w:rsidP="000B7A6C">
      <w:pPr>
        <w:pStyle w:val="rteright"/>
        <w:spacing w:before="0" w:after="0"/>
        <w:jc w:val="both"/>
        <w:rPr>
          <w:color w:val="000000" w:themeColor="text1"/>
          <w:sz w:val="16"/>
          <w:szCs w:val="16"/>
        </w:rPr>
      </w:pPr>
      <w:r w:rsidRPr="005E779E">
        <w:rPr>
          <w:color w:val="000000" w:themeColor="text1"/>
          <w:sz w:val="16"/>
          <w:szCs w:val="16"/>
        </w:rPr>
        <w:t>Секретно</w:t>
      </w:r>
    </w:p>
    <w:p w14:paraId="0A226E49" w14:textId="77777777" w:rsidR="007510B4" w:rsidRPr="005E779E" w:rsidRDefault="007510B4" w:rsidP="000B7A6C">
      <w:pPr>
        <w:pStyle w:val="ae"/>
        <w:spacing w:before="0" w:after="0"/>
        <w:jc w:val="both"/>
        <w:rPr>
          <w:color w:val="000000" w:themeColor="text1"/>
          <w:sz w:val="16"/>
          <w:szCs w:val="16"/>
        </w:rPr>
      </w:pPr>
      <w:r w:rsidRPr="005E779E">
        <w:rPr>
          <w:color w:val="000000" w:themeColor="text1"/>
          <w:sz w:val="16"/>
          <w:szCs w:val="16"/>
        </w:rPr>
        <w:t>Отдел Печати НКИД</w:t>
      </w:r>
    </w:p>
    <w:p w14:paraId="65EDAAED" w14:textId="77777777" w:rsidR="007510B4" w:rsidRPr="005E779E" w:rsidRDefault="007510B4" w:rsidP="000B7A6C">
      <w:pPr>
        <w:pStyle w:val="ae"/>
        <w:spacing w:before="0" w:after="0"/>
        <w:jc w:val="both"/>
        <w:rPr>
          <w:color w:val="000000" w:themeColor="text1"/>
          <w:sz w:val="16"/>
          <w:szCs w:val="16"/>
        </w:rPr>
      </w:pPr>
      <w:r w:rsidRPr="005E779E">
        <w:rPr>
          <w:color w:val="000000" w:themeColor="text1"/>
          <w:sz w:val="16"/>
          <w:szCs w:val="16"/>
        </w:rPr>
        <w:t>6.II.1931 г.</w:t>
      </w:r>
    </w:p>
    <w:p w14:paraId="69C34014" w14:textId="77777777" w:rsidR="007510B4" w:rsidRPr="005E779E" w:rsidRDefault="007510B4" w:rsidP="000B7A6C">
      <w:pPr>
        <w:pStyle w:val="ae"/>
        <w:spacing w:before="0" w:after="0"/>
        <w:jc w:val="both"/>
        <w:rPr>
          <w:color w:val="000000" w:themeColor="text1"/>
          <w:sz w:val="16"/>
          <w:szCs w:val="16"/>
        </w:rPr>
      </w:pPr>
      <w:r w:rsidRPr="005E779E">
        <w:rPr>
          <w:color w:val="000000" w:themeColor="text1"/>
          <w:sz w:val="16"/>
          <w:szCs w:val="16"/>
        </w:rPr>
        <w:t>№ 27059</w:t>
      </w:r>
    </w:p>
    <w:p w14:paraId="027E3462" w14:textId="77777777" w:rsidR="007510B4" w:rsidRPr="005E779E" w:rsidRDefault="007510B4" w:rsidP="000B7A6C">
      <w:pPr>
        <w:pStyle w:val="ae"/>
        <w:spacing w:before="0" w:after="0"/>
        <w:jc w:val="both"/>
        <w:rPr>
          <w:color w:val="000000" w:themeColor="text1"/>
          <w:sz w:val="16"/>
          <w:szCs w:val="16"/>
        </w:rPr>
      </w:pPr>
      <w:r w:rsidRPr="005E779E">
        <w:rPr>
          <w:color w:val="000000" w:themeColor="text1"/>
          <w:sz w:val="16"/>
          <w:szCs w:val="16"/>
        </w:rPr>
        <w:t>Тов. Баркову</w:t>
      </w:r>
    </w:p>
    <w:p w14:paraId="3EAC4368" w14:textId="77777777" w:rsidR="007510B4" w:rsidRPr="005E779E" w:rsidRDefault="007510B4" w:rsidP="000B7A6C">
      <w:pPr>
        <w:pStyle w:val="ae"/>
        <w:spacing w:before="0" w:after="0"/>
        <w:jc w:val="both"/>
        <w:rPr>
          <w:color w:val="000000" w:themeColor="text1"/>
          <w:sz w:val="16"/>
          <w:szCs w:val="16"/>
        </w:rPr>
      </w:pPr>
      <w:r w:rsidRPr="005E779E">
        <w:rPr>
          <w:color w:val="000000" w:themeColor="text1"/>
          <w:sz w:val="16"/>
          <w:szCs w:val="16"/>
        </w:rPr>
        <w:t>Париж</w:t>
      </w:r>
    </w:p>
    <w:p w14:paraId="71A2C246" w14:textId="27E2C616" w:rsidR="007510B4" w:rsidRPr="005E779E" w:rsidRDefault="007510B4" w:rsidP="000B7A6C">
      <w:pPr>
        <w:pStyle w:val="rtejustify"/>
        <w:spacing w:before="0" w:after="0"/>
        <w:rPr>
          <w:color w:val="000000" w:themeColor="text1"/>
          <w:sz w:val="16"/>
          <w:szCs w:val="16"/>
        </w:rPr>
      </w:pPr>
      <w:r w:rsidRPr="005E779E">
        <w:rPr>
          <w:color w:val="000000" w:themeColor="text1"/>
          <w:sz w:val="16"/>
          <w:szCs w:val="16"/>
        </w:rPr>
        <w:t>1)</w:t>
      </w:r>
      <w:r w:rsidR="00FE094E">
        <w:rPr>
          <w:color w:val="000000" w:themeColor="text1"/>
          <w:sz w:val="16"/>
          <w:szCs w:val="16"/>
        </w:rPr>
        <w:t xml:space="preserve"> </w:t>
      </w:r>
      <w:r w:rsidRPr="005E779E">
        <w:rPr>
          <w:color w:val="000000" w:themeColor="text1"/>
          <w:sz w:val="16"/>
          <w:szCs w:val="16"/>
        </w:rPr>
        <w:t xml:space="preserve"> Считая заключение договора между ОГИЗом и Валюа полезным, мы получили на это согласие ОГИЗа, который нам пишет следующее: «Ввиду того, что издательством “Советского Законодательства” в настоящий момент заканчивается подготовка к печати названного судебного отчета, ОГИЗ будет иметь возможность за несколько дней до выхода в свет советского издания отчета передать Вам один экземпляр этого текста для пересылки в Парижское Полпредство, где, очевидно, и будет сделан перевод текста на французский язык. Точно также ОГИЗом будут выполнены все соответствующие формальности по заключению договора с упомянутым французским издательством».</w:t>
      </w:r>
    </w:p>
    <w:p w14:paraId="0C03F1F1" w14:textId="77777777" w:rsidR="007510B4" w:rsidRPr="005E779E" w:rsidRDefault="007510B4" w:rsidP="000B7A6C">
      <w:pPr>
        <w:pStyle w:val="rtejustify"/>
        <w:spacing w:before="0" w:after="0"/>
        <w:rPr>
          <w:color w:val="000000" w:themeColor="text1"/>
          <w:sz w:val="16"/>
          <w:szCs w:val="16"/>
        </w:rPr>
      </w:pPr>
      <w:r w:rsidRPr="005E779E">
        <w:rPr>
          <w:color w:val="000000" w:themeColor="text1"/>
          <w:sz w:val="16"/>
          <w:szCs w:val="16"/>
        </w:rPr>
        <w:t>Считаем необходимым вставить, в связи с этим, во 2-ом абзаце 1-го параграфа договора вместо слов «&lt;des autorites judiciaries de Pe U.R.S.S.&gt;» издательство «Советское Законодательство». Поручить тов. Мерле подписать договор от имени ОГИЗа не считаем подходящим, ввиду того, что он работает в Полпредстве. Было бы более целесообразным, если бы договор с Валюа подписал кто[-]нибудь из Торгпредства, в частности, представитель «Международной Книги» в Париже. Этим придается чисто коммерческий характер всей этой сделке.</w:t>
      </w:r>
    </w:p>
    <w:p w14:paraId="0E655D6E" w14:textId="4B5C5437" w:rsidR="007510B4" w:rsidRPr="005E779E" w:rsidRDefault="007510B4" w:rsidP="000B7A6C">
      <w:pPr>
        <w:pStyle w:val="rtejustify"/>
        <w:spacing w:before="0" w:after="0"/>
        <w:rPr>
          <w:color w:val="000000" w:themeColor="text1"/>
          <w:sz w:val="16"/>
          <w:szCs w:val="16"/>
        </w:rPr>
      </w:pPr>
      <w:r w:rsidRPr="005E779E">
        <w:rPr>
          <w:color w:val="000000" w:themeColor="text1"/>
          <w:sz w:val="16"/>
          <w:szCs w:val="16"/>
        </w:rPr>
        <w:t>2)</w:t>
      </w:r>
      <w:r w:rsidR="00FE094E">
        <w:rPr>
          <w:color w:val="000000" w:themeColor="text1"/>
          <w:sz w:val="16"/>
          <w:szCs w:val="16"/>
        </w:rPr>
        <w:t xml:space="preserve"> </w:t>
      </w:r>
      <w:r w:rsidRPr="005E779E">
        <w:rPr>
          <w:color w:val="000000" w:themeColor="text1"/>
          <w:sz w:val="16"/>
          <w:szCs w:val="16"/>
        </w:rPr>
        <w:t xml:space="preserve"> В Вашем письме Вы упоминаете о «Кайе Бле», посвященной процессу. Мы ничего об этом не знаем. Пришлите нам несколько экземпляров «Кайе Бле», а также все, что вышло или выйдет по поводу процесса как в газетах, так и в журналах. Кто составлял «Кайе Бле»[?]</w:t>
      </w:r>
    </w:p>
    <w:p w14:paraId="61BE053F" w14:textId="1725DD6B" w:rsidR="007510B4" w:rsidRPr="005E779E" w:rsidRDefault="007510B4" w:rsidP="000B7A6C">
      <w:pPr>
        <w:pStyle w:val="rtejustify"/>
        <w:spacing w:before="0" w:after="0"/>
        <w:rPr>
          <w:color w:val="000000" w:themeColor="text1"/>
          <w:sz w:val="16"/>
          <w:szCs w:val="16"/>
        </w:rPr>
      </w:pPr>
      <w:r w:rsidRPr="005E779E">
        <w:rPr>
          <w:color w:val="000000" w:themeColor="text1"/>
          <w:sz w:val="16"/>
          <w:szCs w:val="16"/>
        </w:rPr>
        <w:t>3)</w:t>
      </w:r>
      <w:r w:rsidR="00FE094E">
        <w:rPr>
          <w:color w:val="000000" w:themeColor="text1"/>
          <w:sz w:val="16"/>
          <w:szCs w:val="16"/>
        </w:rPr>
        <w:t xml:space="preserve"> </w:t>
      </w:r>
      <w:r w:rsidRPr="005E779E">
        <w:rPr>
          <w:color w:val="000000" w:themeColor="text1"/>
          <w:sz w:val="16"/>
          <w:szCs w:val="16"/>
        </w:rPr>
        <w:t xml:space="preserve"> Не откажите выслать книжку Андрэ Зигфрида о политических партиях во Франции.</w:t>
      </w:r>
    </w:p>
    <w:p w14:paraId="51DC3C3E" w14:textId="77777777" w:rsidR="007510B4" w:rsidRPr="005E779E" w:rsidRDefault="007510B4" w:rsidP="000B7A6C">
      <w:pPr>
        <w:pStyle w:val="ae"/>
        <w:spacing w:before="0" w:after="0"/>
        <w:jc w:val="both"/>
        <w:rPr>
          <w:color w:val="000000" w:themeColor="text1"/>
          <w:sz w:val="16"/>
          <w:szCs w:val="16"/>
        </w:rPr>
      </w:pPr>
      <w:r w:rsidRPr="005E779E">
        <w:rPr>
          <w:color w:val="000000" w:themeColor="text1"/>
          <w:sz w:val="16"/>
          <w:szCs w:val="16"/>
        </w:rPr>
        <w:lastRenderedPageBreak/>
        <w:t>(Аренс)</w:t>
      </w:r>
    </w:p>
    <w:p w14:paraId="0900081E" w14:textId="77777777" w:rsidR="007510B4" w:rsidRPr="005E779E" w:rsidRDefault="007510B4" w:rsidP="000B7A6C">
      <w:pPr>
        <w:pStyle w:val="ae"/>
        <w:spacing w:before="0" w:after="0"/>
        <w:jc w:val="both"/>
        <w:rPr>
          <w:color w:val="000000" w:themeColor="text1"/>
          <w:sz w:val="16"/>
          <w:szCs w:val="16"/>
        </w:rPr>
      </w:pPr>
      <w:r w:rsidRPr="005E779E">
        <w:rPr>
          <w:rStyle w:val="af0"/>
          <w:i w:val="0"/>
          <w:color w:val="000000" w:themeColor="text1"/>
          <w:sz w:val="16"/>
          <w:szCs w:val="16"/>
        </w:rPr>
        <w:t>АВП РФ. Ф. 056. Оп. 16. П. 34. Д. 14. Л. 20. Машинописная копия того времени. Исходящий номер вписан от руки. Гриф секретности машинописью. Внизу слева делопроизводственная помета машинописью (столбцом) «1 - т. Баркову 1 - т. Литвинову 1 - т. Крестинскому. 1 - архив. 4 экз.» (18831).</w:t>
      </w:r>
    </w:p>
    <w:p w14:paraId="61442876" w14:textId="77777777" w:rsidR="007510B4" w:rsidRPr="005E779E" w:rsidRDefault="007510B4" w:rsidP="000B7A6C">
      <w:pPr>
        <w:spacing w:after="0" w:line="240" w:lineRule="auto"/>
        <w:jc w:val="both"/>
        <w:rPr>
          <w:rFonts w:ascii="Times New Roman" w:hAnsi="Times New Roman"/>
          <w:color w:val="000000" w:themeColor="text1"/>
          <w:sz w:val="16"/>
          <w:szCs w:val="16"/>
        </w:rPr>
      </w:pPr>
    </w:p>
    <w:p w14:paraId="0ED10E3D" w14:textId="77777777" w:rsidR="0084298A"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051BE5B3" w14:textId="77777777" w:rsidR="0084298A" w:rsidRPr="005E779E" w:rsidRDefault="0084298A"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A47A599" w14:textId="77777777" w:rsidR="0084298A" w:rsidRPr="005E779E" w:rsidRDefault="0084298A"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6 февраля</w:t>
      </w:r>
      <w:r w:rsidRPr="005E779E">
        <w:rPr>
          <w:rFonts w:ascii="Times New Roman" w:hAnsi="Times New Roman"/>
          <w:color w:val="000000" w:themeColor="text1"/>
          <w:sz w:val="16"/>
          <w:szCs w:val="16"/>
        </w:rPr>
        <w:t xml:space="preserve"> в 1931 году получен сертификат типа коммерческого самолёта ATC № 389 для всего семейства «Gee Bee» «Model E» «Sportste</w:t>
      </w:r>
      <w:r w:rsidR="00A96708" w:rsidRPr="005E779E">
        <w:rPr>
          <w:rFonts w:ascii="Times New Roman" w:hAnsi="Times New Roman"/>
          <w:color w:val="000000" w:themeColor="text1"/>
          <w:sz w:val="16"/>
          <w:szCs w:val="16"/>
          <w:lang w:val="en-US"/>
        </w:rPr>
        <w:t>r</w:t>
      </w:r>
      <w:r w:rsidRPr="005E779E">
        <w:rPr>
          <w:rFonts w:ascii="Times New Roman" w:hAnsi="Times New Roman"/>
          <w:color w:val="000000" w:themeColor="text1"/>
          <w:sz w:val="16"/>
          <w:szCs w:val="16"/>
        </w:rPr>
        <w:t>», после чего к регистрационному номеру добавился вожделенный префикс NC. Именно на этом самолёте в феврале 1934 года разбился основатель компании, Зэнтфорд Грэнвил. При посадке у самолёта отказал двигатель, и попытка избежать столкновения с работавшими на полосе аэродрома Spatanburg людьми привела к катастрофе. Зентфорду на тот момент было 32 года. Было построено всего четыре «Model E» (15032).</w:t>
      </w:r>
    </w:p>
    <w:p w14:paraId="49A8A072" w14:textId="77777777" w:rsidR="0084298A" w:rsidRPr="005E779E" w:rsidRDefault="0084298A" w:rsidP="000B7A6C">
      <w:pPr>
        <w:spacing w:after="0" w:line="240" w:lineRule="auto"/>
        <w:jc w:val="both"/>
        <w:rPr>
          <w:rFonts w:ascii="Times New Roman" w:hAnsi="Times New Roman"/>
          <w:color w:val="000000" w:themeColor="text1"/>
          <w:sz w:val="16"/>
          <w:szCs w:val="16"/>
        </w:rPr>
      </w:pPr>
    </w:p>
    <w:p w14:paraId="7D3008BB" w14:textId="77777777" w:rsidR="00403219" w:rsidRPr="005E779E" w:rsidRDefault="0040321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февраля - 1 марта 1931, пролетая на Blériot 110 по замкнутой трассе во французском Алжире, французский летчик Морис Росси устанавливает рекорд дальности полета без дозаправки в 8 822 км (5 478 миль). Самолет находится в воздухе более 75 часов 23 минуты (20804).</w:t>
      </w:r>
    </w:p>
    <w:p w14:paraId="36CBFBC6" w14:textId="77777777" w:rsidR="00403219" w:rsidRPr="005E779E" w:rsidRDefault="00403219" w:rsidP="000B7A6C">
      <w:pPr>
        <w:spacing w:after="0" w:line="240" w:lineRule="auto"/>
        <w:jc w:val="both"/>
        <w:rPr>
          <w:rFonts w:ascii="Times New Roman" w:hAnsi="Times New Roman"/>
          <w:color w:val="000000" w:themeColor="text1"/>
          <w:sz w:val="16"/>
          <w:szCs w:val="16"/>
        </w:rPr>
      </w:pPr>
    </w:p>
    <w:p w14:paraId="6520024A"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1804B8A9"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82CF4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февраля 1931 на московском заводе Можерез был построен опытный образец танков Д-10 (на шасси Коммунар) и Д-11 (на шасси Катерпиллер) Н.И.Дыренкова (9527,88).</w:t>
      </w:r>
    </w:p>
    <w:p w14:paraId="3FB91C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7368F9F" w14:textId="77777777" w:rsidR="00CA7117" w:rsidRPr="00142305" w:rsidRDefault="00CA7117" w:rsidP="00CA711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февраля 1931-го на заводе Можерез изготовили танки Дыренкова Д-10 и Д-11, после чего началось строительство опытного транспортера Д-14 и химической бронемашины Д-15. В мае заказчику передали машину Д-14. Сборка Д-15 затянулась (25586).</w:t>
      </w:r>
    </w:p>
    <w:p w14:paraId="733086AC" w14:textId="77777777" w:rsidR="00CA7117" w:rsidRPr="00142305" w:rsidRDefault="00CA7117" w:rsidP="00CA7117">
      <w:pPr>
        <w:spacing w:after="0" w:line="240" w:lineRule="auto"/>
        <w:jc w:val="both"/>
        <w:rPr>
          <w:rFonts w:ascii="Times New Roman" w:hAnsi="Times New Roman"/>
          <w:color w:val="0070C0"/>
          <w:sz w:val="16"/>
          <w:szCs w:val="16"/>
        </w:rPr>
      </w:pPr>
    </w:p>
    <w:p w14:paraId="733E8D7A" w14:textId="77777777" w:rsidR="00CA7117" w:rsidRPr="005E779E" w:rsidRDefault="00CA7117" w:rsidP="00CA7117">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41C6790E" w14:textId="77777777" w:rsidR="00CA7117" w:rsidRPr="005E779E" w:rsidRDefault="00CA7117" w:rsidP="00CA7117">
      <w:pPr>
        <w:autoSpaceDE w:val="0"/>
        <w:autoSpaceDN w:val="0"/>
        <w:adjustRightInd w:val="0"/>
        <w:spacing w:after="0" w:line="240" w:lineRule="auto"/>
        <w:jc w:val="both"/>
        <w:rPr>
          <w:rFonts w:ascii="Times New Roman" w:hAnsi="Times New Roman"/>
          <w:iCs/>
          <w:color w:val="000000" w:themeColor="text1"/>
          <w:sz w:val="16"/>
          <w:szCs w:val="16"/>
        </w:rPr>
      </w:pPr>
    </w:p>
    <w:p w14:paraId="1B49715B" w14:textId="77777777" w:rsidR="00CA7117" w:rsidRPr="00142305" w:rsidRDefault="00CA7117" w:rsidP="00CA711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февраля 1931 года самолет Bernard 80 GR, названный - «Oiseau Tango» («Оранжевая птица»), получив номер граж</w:t>
      </w:r>
      <w:r w:rsidRPr="00142305">
        <w:rPr>
          <w:rFonts w:ascii="Times New Roman" w:hAnsi="Times New Roman"/>
          <w:color w:val="0070C0"/>
          <w:sz w:val="16"/>
          <w:szCs w:val="16"/>
        </w:rPr>
        <w:softHyphen/>
        <w:t>данской регистрации F-AKEX, был готов к попытке установления рекорда дальности полета по замкнутому маршруту.</w:t>
      </w:r>
    </w:p>
    <w:p w14:paraId="6B8E77B0" w14:textId="77777777" w:rsidR="00CA7117" w:rsidRPr="00142305" w:rsidRDefault="00CA7117" w:rsidP="00CA711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февралю 1931 года уже шесть меся</w:t>
      </w:r>
      <w:r w:rsidRPr="00142305">
        <w:rPr>
          <w:rFonts w:ascii="Times New Roman" w:hAnsi="Times New Roman"/>
          <w:color w:val="0070C0"/>
          <w:sz w:val="16"/>
          <w:szCs w:val="16"/>
        </w:rPr>
        <w:softHyphen/>
        <w:t>цев держался установленный итальянцами рекорд - 8 188 км. Пилот Антуан Пайар и штурман Луи Маллуа (Louis Mailloux) надеялись превзойти это достижение. Однако из-за плохой погоды, уменьшив</w:t>
      </w:r>
      <w:r w:rsidRPr="00142305">
        <w:rPr>
          <w:rFonts w:ascii="Times New Roman" w:hAnsi="Times New Roman"/>
          <w:color w:val="0070C0"/>
          <w:sz w:val="16"/>
          <w:szCs w:val="16"/>
        </w:rPr>
        <w:softHyphen/>
        <w:t>шей скорость и увеличившей потребление топлива, Bernard 80 GR совершил посадку после 50 часов полета и прохождения 8 168 км. До нового рекорда не хватило совсем чуть-чуть...</w:t>
      </w:r>
    </w:p>
    <w:p w14:paraId="53928DA7" w14:textId="77777777" w:rsidR="00CA7117" w:rsidRPr="00142305" w:rsidRDefault="00CA7117" w:rsidP="00CA711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Пришлось ждать почти год, пока не был сформирован новый экипаж: к Антуану Пайару присоединился Жан Мермоз - самый известный, наверное, тогда летчик Франции (24916).</w:t>
      </w:r>
    </w:p>
    <w:p w14:paraId="38511D1B" w14:textId="77777777" w:rsidR="00CA7117" w:rsidRPr="00142305" w:rsidRDefault="00CA7117" w:rsidP="00CA7117">
      <w:pPr>
        <w:spacing w:after="0" w:line="240" w:lineRule="auto"/>
        <w:jc w:val="both"/>
        <w:rPr>
          <w:rFonts w:ascii="Times New Roman" w:hAnsi="Times New Roman"/>
          <w:color w:val="0070C0"/>
          <w:sz w:val="16"/>
          <w:szCs w:val="16"/>
        </w:rPr>
      </w:pPr>
    </w:p>
    <w:p w14:paraId="3B925EEE"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7950995D"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4187A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февраля 1931 ВАО из Наркомвоенмора опять перевели в ВСНХ.</w:t>
      </w:r>
    </w:p>
    <w:p w14:paraId="5A2EA10A"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9E4E9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февраля 1931 г. объединение вернули в систему ВСНХ (11852).</w:t>
      </w:r>
    </w:p>
    <w:p w14:paraId="6DD631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D29196F" w14:textId="77777777" w:rsidR="00D42A4D" w:rsidRPr="005E779E" w:rsidRDefault="00D42A4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февраля 1931 г. ВАО было возвращено в ВСНХ, а 28 декабря 1931 г. вместо него было образовано Главное управление авиационной промышленности (Глававиапром или ГУАП). Освободившийся окончательно от всех дел в ВВС П.И. Баранов 28 июня 1931 г. был назначен Начальником ВАО (с декабря – ГУАП). Он сумел организовать подъем авиационной промышленности на более высокий уровень, которая в основном справилась с заданиями первой пятилетки, дав ВВС РККА новые самолеты в запланированном количестве (19566).</w:t>
      </w:r>
    </w:p>
    <w:p w14:paraId="3CC196DC" w14:textId="77777777" w:rsidR="00D42A4D" w:rsidRPr="005E779E" w:rsidRDefault="00D42A4D" w:rsidP="000B7A6C">
      <w:pPr>
        <w:spacing w:after="0" w:line="240" w:lineRule="auto"/>
        <w:jc w:val="both"/>
        <w:rPr>
          <w:rFonts w:ascii="Times New Roman" w:hAnsi="Times New Roman"/>
          <w:color w:val="000000" w:themeColor="text1"/>
          <w:sz w:val="16"/>
          <w:szCs w:val="16"/>
        </w:rPr>
      </w:pPr>
    </w:p>
    <w:p w14:paraId="69C54019"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4F38F88A"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7A3B0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февраля 1931 г. Решением Главного управления рабоче-крестьянской милиции в Москве создана Центральная высшая школа. В 1942 г. она была реорганизована в Высшую школу НКВД СССР, в 1954 г. получила название высшей школы МВД СССР, а 21.09.73 г. преобразована в Академию МВД СССР. Ныне - Академия управления МВД Российской Федерации (10303).</w:t>
      </w:r>
    </w:p>
    <w:p w14:paraId="3DC3A8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6120DC8" w14:textId="77777777" w:rsidR="00A96708"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4DA76116" w14:textId="77777777" w:rsidR="00A96708" w:rsidRPr="005E779E" w:rsidRDefault="00A96708"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9446202" w14:textId="77777777" w:rsidR="00A96708" w:rsidRPr="005E779E" w:rsidRDefault="00A96708"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7 февраля</w:t>
      </w:r>
      <w:r w:rsidRPr="005E779E">
        <w:rPr>
          <w:rFonts w:ascii="Times New Roman" w:hAnsi="Times New Roman"/>
          <w:color w:val="000000" w:themeColor="text1"/>
          <w:sz w:val="16"/>
          <w:szCs w:val="16"/>
        </w:rPr>
        <w:t xml:space="preserve"> в 1931 году разбился единственный экземпляр истребителя </w:t>
      </w:r>
      <w:hyperlink r:id="rId21" w:tgtFrame="_blank" w:history="1">
        <w:r w:rsidRPr="005E779E">
          <w:rPr>
            <w:rFonts w:ascii="Times New Roman" w:hAnsi="Times New Roman"/>
            <w:color w:val="000000" w:themeColor="text1"/>
            <w:sz w:val="16"/>
            <w:szCs w:val="16"/>
          </w:rPr>
          <w:t xml:space="preserve">«Boeing» «Model 202» («XP-15»). </w:t>
        </w:r>
      </w:hyperlink>
      <w:r w:rsidRPr="005E779E">
        <w:rPr>
          <w:rFonts w:ascii="Times New Roman" w:hAnsi="Times New Roman"/>
          <w:color w:val="000000" w:themeColor="text1"/>
          <w:sz w:val="16"/>
          <w:szCs w:val="16"/>
        </w:rPr>
        <w:t>«P-15» - истребитель, разработанный американской фирмой Boeing. В 1929 году компания Boeing предложила Авиационному корпусу Армии США модернизированную версию истребителя «P-12E». Модернизация главным состояла в установки на истребитель новых крыльев. Установка новых крыльев позволила улучшить маневренность истребителя. Первый полет самолета состоялся в январе 1930 года. Новый истребитель «Boeing» «Model 202», получивший обозначение «ХP-15», не заинтересовал командование Авиационного корпуса, так как его остальные летные характеристики незначительно отличались от уже состоящих на вооружение истребителей «P-12». Единственный экземпляр самолет разбился 7 февраля 1931 года. Так же была создана палубная модификация самолета, получившая обозначение «F5B». Но и он не был принят на вооружение ВМС США (15033).</w:t>
      </w:r>
    </w:p>
    <w:p w14:paraId="3F70B879" w14:textId="77777777" w:rsidR="00A96708" w:rsidRPr="005E779E" w:rsidRDefault="00A96708" w:rsidP="000B7A6C">
      <w:pPr>
        <w:spacing w:after="0" w:line="240" w:lineRule="auto"/>
        <w:jc w:val="both"/>
        <w:rPr>
          <w:rFonts w:ascii="Times New Roman" w:hAnsi="Times New Roman"/>
          <w:color w:val="000000" w:themeColor="text1"/>
          <w:sz w:val="16"/>
          <w:szCs w:val="16"/>
        </w:rPr>
      </w:pPr>
    </w:p>
    <w:p w14:paraId="6261DA50"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5F011F87"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9237088" w14:textId="77777777" w:rsidR="00A96708" w:rsidRPr="005E779E" w:rsidRDefault="00A96708"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8 февраля</w:t>
      </w:r>
      <w:r w:rsidRPr="005E779E">
        <w:rPr>
          <w:rFonts w:ascii="Times New Roman" w:hAnsi="Times New Roman"/>
          <w:color w:val="000000" w:themeColor="text1"/>
          <w:sz w:val="16"/>
          <w:szCs w:val="16"/>
        </w:rPr>
        <w:t xml:space="preserve"> в 1931 году после опробования машины в воздухе, летчик-испытатель И.Ф.Козлов перегнал истребитель </w:t>
      </w:r>
      <w:hyperlink r:id="rId22" w:tgtFrame="_blank" w:history="1">
        <w:r w:rsidRPr="005E779E">
          <w:rPr>
            <w:rFonts w:ascii="Times New Roman" w:hAnsi="Times New Roman"/>
            <w:color w:val="000000" w:themeColor="text1"/>
            <w:sz w:val="16"/>
            <w:szCs w:val="16"/>
          </w:rPr>
          <w:t xml:space="preserve">«И-12» </w:t>
        </w:r>
      </w:hyperlink>
      <w:r w:rsidRPr="005E779E">
        <w:rPr>
          <w:rFonts w:ascii="Times New Roman" w:hAnsi="Times New Roman"/>
          <w:color w:val="000000" w:themeColor="text1"/>
          <w:sz w:val="16"/>
          <w:szCs w:val="16"/>
        </w:rPr>
        <w:t>в Монино, где продолжились наземные огневые испытания. Первые наземные стрельбы состоялись 11 ноября на аэродроме НИИ ВВС. Отстрелялись вполне успешно, однако при возвращении в Москву самолет подломал костыли. «И-12» («АНТ-23») - один из первых истребителей, разработанных специально под динамо-реактивные («безоткатные») орудия «АПК-4» калибра 76,2 мм. Л.В.Курчевского (15034).</w:t>
      </w:r>
    </w:p>
    <w:p w14:paraId="6FA10039" w14:textId="77777777" w:rsidR="00A96708" w:rsidRPr="005E779E" w:rsidRDefault="00A96708" w:rsidP="000B7A6C">
      <w:pPr>
        <w:spacing w:after="0" w:line="240" w:lineRule="auto"/>
        <w:jc w:val="both"/>
        <w:rPr>
          <w:rFonts w:ascii="Times New Roman" w:hAnsi="Times New Roman"/>
          <w:color w:val="000000" w:themeColor="text1"/>
          <w:sz w:val="16"/>
          <w:szCs w:val="16"/>
        </w:rPr>
      </w:pPr>
    </w:p>
    <w:p w14:paraId="6B94A913" w14:textId="77777777" w:rsidR="00403219" w:rsidRPr="005E779E" w:rsidRDefault="0040321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февраля 1931 года лётчик-испытатель Центрального аэрогидродинамического института Иван Фролович Козлов посадил самолёт И-12 (АНТ-23), специально разработанный инженерами конструкторским бюро АГОС ЦАГИ под динамореактивные авиационные пушки Леонида Курчевского, на аэрподром в Монино. Здесь со специальных деревянных помостов из нового вида оружия были проведены наземные стрельбы. В процессе их проведения было выявлено наличие значительных нагрузок, разрушающих непосредственно саму конструкцию самолёта – носителя артиллерийской системы (21535).</w:t>
      </w:r>
    </w:p>
    <w:p w14:paraId="41273BA2" w14:textId="77777777" w:rsidR="00403219" w:rsidRPr="005E779E" w:rsidRDefault="00403219" w:rsidP="000B7A6C">
      <w:pPr>
        <w:spacing w:after="0" w:line="240" w:lineRule="auto"/>
        <w:jc w:val="both"/>
        <w:rPr>
          <w:rFonts w:ascii="Times New Roman" w:hAnsi="Times New Roman"/>
          <w:color w:val="000000" w:themeColor="text1"/>
          <w:sz w:val="16"/>
          <w:szCs w:val="16"/>
        </w:rPr>
      </w:pPr>
    </w:p>
    <w:p w14:paraId="258DE03D" w14:textId="77777777" w:rsidR="00CA7117" w:rsidRPr="00142305" w:rsidRDefault="00CA7117" w:rsidP="00CA711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8 февраля 1931 года лётчик-испытатель Центрального аэрогидродинамического института Иван Фролович Козлов посадил в Монино самолёт И-12 (АНТ-23), специально разработанный инженерами конструкторским бюро АГОС ЦАГИ под динамореактивные авиационные пушки Леонида Курчевского. Здесь со специальных деревянных помостов из нового вида оружия были проведены наземные стрельбы. В процессе их проведения было выявлено наличие значительных нагрузок, разрушающих непосредственно саму конструкцию самолёта – носителя артиллерийской системы. Через два года на полигоне Управления ВВС в Монино проводились испытания одного из первых экземпляров истребителя со странным названием И-Z (И-ЗЕТ), созданного под руководством ведущего инженера Центрального конструкторского бюро № 39 Дмитрия Павловича Григоровича. Одна боевая динамореактивная авиационная пушка АПК-4 конструкции Леонида Васильевича Курчевского была установлена под левой плоскостью самолёта, а под правой – её макет, полностью соответствующий настоящему орудию, как по своей массе, так и по габаритам. «Проверку качества» перспективного образца военной техники, окутанного завесой строгой секретности, проводил лётчик-испытатель Московского авиационного завода №39 Юлиан Иванович Пионтковский. При этом, собственно, было неизвестно, что являлось в большей степени тайной – сам самолёт, или его новейшее вооружение (25652).</w:t>
      </w:r>
    </w:p>
    <w:p w14:paraId="4EE0468C" w14:textId="77777777" w:rsidR="00CA7117" w:rsidRPr="00142305" w:rsidRDefault="00CA7117" w:rsidP="00CA7117">
      <w:pPr>
        <w:spacing w:after="0" w:line="240" w:lineRule="auto"/>
        <w:jc w:val="both"/>
        <w:rPr>
          <w:rFonts w:ascii="Times New Roman" w:hAnsi="Times New Roman"/>
          <w:color w:val="0070C0"/>
          <w:sz w:val="16"/>
          <w:szCs w:val="16"/>
        </w:rPr>
      </w:pPr>
    </w:p>
    <w:p w14:paraId="0E927D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февраля 1931 состоялось техническое совещание руководителей групп отдела АГОС о ходе работ по АНТ-16 (1077,173).</w:t>
      </w:r>
    </w:p>
    <w:p w14:paraId="24DF95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0858459" w14:textId="77777777" w:rsidR="005E7475"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0D33193C" w14:textId="77777777" w:rsidR="005E7475" w:rsidRPr="005E779E" w:rsidRDefault="005E7475"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C5BD089" w14:textId="77777777" w:rsidR="005E7475" w:rsidRPr="005E779E" w:rsidRDefault="005E7475" w:rsidP="000B7A6C">
      <w:pPr>
        <w:pStyle w:val="a3"/>
        <w:rPr>
          <w:color w:val="000000" w:themeColor="text1"/>
          <w:lang w:val="ru-RU"/>
        </w:rPr>
      </w:pPr>
      <w:r w:rsidRPr="005E779E">
        <w:rPr>
          <w:color w:val="000000" w:themeColor="text1"/>
          <w:lang w:val="ru-RU"/>
        </w:rPr>
        <w:lastRenderedPageBreak/>
        <w:t>8 февраля 1931 г. в ходе специ</w:t>
      </w:r>
      <w:r w:rsidRPr="005E779E">
        <w:rPr>
          <w:color w:val="000000" w:themeColor="text1"/>
          <w:lang w:val="ru-RU"/>
        </w:rPr>
        <w:softHyphen/>
        <w:t>ального совещания под председательством Уборевича заводу для выпуска во время войны был определен танк Т-26. Организацией, ответ</w:t>
      </w:r>
      <w:r w:rsidRPr="005E779E">
        <w:rPr>
          <w:color w:val="000000" w:themeColor="text1"/>
          <w:lang w:val="ru-RU"/>
        </w:rPr>
        <w:softHyphen/>
        <w:t>ственной за реконструкцию завода с учетом его мобилизационных возможностей, утвердили Гипроспецпроект. Мобилизационно-плановому отделу ВСНХ поручили подготовить для СТЗ со</w:t>
      </w:r>
      <w:r w:rsidRPr="005E779E">
        <w:rPr>
          <w:color w:val="000000" w:themeColor="text1"/>
          <w:lang w:val="ru-RU"/>
        </w:rPr>
        <w:softHyphen/>
        <w:t>ответствующее промзадание.</w:t>
      </w:r>
    </w:p>
    <w:p w14:paraId="695C0B62" w14:textId="77777777" w:rsidR="005E7475" w:rsidRPr="005E779E" w:rsidRDefault="005E7475" w:rsidP="000B7A6C">
      <w:pPr>
        <w:pStyle w:val="a3"/>
        <w:rPr>
          <w:color w:val="000000" w:themeColor="text1"/>
          <w:lang w:val="ru-RU"/>
        </w:rPr>
      </w:pPr>
      <w:r w:rsidRPr="005E779E">
        <w:rPr>
          <w:color w:val="000000" w:themeColor="text1"/>
          <w:lang w:val="ru-RU"/>
        </w:rPr>
        <w:t>17 февраля 1931 г. Всесоюзное автотрак</w:t>
      </w:r>
      <w:r w:rsidRPr="005E779E">
        <w:rPr>
          <w:color w:val="000000" w:themeColor="text1"/>
          <w:lang w:val="ru-RU"/>
        </w:rPr>
        <w:softHyphen/>
        <w:t>торное объединение (ВАТО) получило от МПО ВСНХ письмом №883/сс промзадание для СТЗ, предполагавшее выпуск в первый год войны 12000 танков Т-26 с комплектами запчастей, эквивалентных 6000 танкам, и создание к 1 апреля 1932 г. базы по фасонному стальному литью мощностью 55000 т из расчета выпуска специального литья: для малых танков — 12000 единиц, для средних танков — 2000 единиц и для танкеток — 4000 единиц.</w:t>
      </w:r>
    </w:p>
    <w:p w14:paraId="0B2D92EF" w14:textId="77777777" w:rsidR="005E7475" w:rsidRPr="005E779E" w:rsidRDefault="005E7475" w:rsidP="000B7A6C">
      <w:pPr>
        <w:pStyle w:val="a3"/>
        <w:rPr>
          <w:color w:val="000000" w:themeColor="text1"/>
          <w:lang w:val="ru-RU"/>
        </w:rPr>
      </w:pPr>
      <w:r w:rsidRPr="005E779E">
        <w:rPr>
          <w:color w:val="000000" w:themeColor="text1"/>
          <w:lang w:val="ru-RU"/>
        </w:rPr>
        <w:t>Для обеспечения потребности Народно</w:t>
      </w:r>
      <w:r w:rsidRPr="005E779E">
        <w:rPr>
          <w:color w:val="000000" w:themeColor="text1"/>
          <w:lang w:val="ru-RU"/>
        </w:rPr>
        <w:softHyphen/>
        <w:t>го комиссариата по военным и морским делам (НКВМ) в танках мирного времени и подготовки кадров танкостроителей на СТЗ следовало орга</w:t>
      </w:r>
      <w:r w:rsidRPr="005E779E">
        <w:rPr>
          <w:color w:val="000000" w:themeColor="text1"/>
          <w:lang w:val="ru-RU"/>
        </w:rPr>
        <w:softHyphen/>
        <w:t>низовать опытный цех с пропускной способно</w:t>
      </w:r>
      <w:r w:rsidRPr="005E779E">
        <w:rPr>
          <w:color w:val="000000" w:themeColor="text1"/>
          <w:lang w:val="ru-RU"/>
        </w:rPr>
        <w:softHyphen/>
        <w:t>стью 100 танков в год при односменной работе (12622).</w:t>
      </w:r>
    </w:p>
    <w:p w14:paraId="6E6A969D" w14:textId="77777777" w:rsidR="005E7475" w:rsidRPr="005E779E" w:rsidRDefault="005E7475" w:rsidP="000B7A6C">
      <w:pPr>
        <w:pStyle w:val="a3"/>
        <w:rPr>
          <w:color w:val="000000" w:themeColor="text1"/>
          <w:lang w:val="ru-RU"/>
        </w:rPr>
      </w:pPr>
    </w:p>
    <w:p w14:paraId="7DF00FF3" w14:textId="77777777" w:rsidR="00CA7117" w:rsidRPr="00142305" w:rsidRDefault="00CA7117" w:rsidP="00CA711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8 февраля 1931 г. в ходе специального совещания под председательством Уборевича Сталинградскому тракторному заводу для выпуска во время войны был определен танк Т-26. Организацией, ответственной за реконструкцию завода с учетом его мобилизационных возможностей, утвердили Гипроспецпроект. Мобилизационно-плановому отделу ВСНХ поручили подготовить для СТЗ соответствующее промзадание (25580).</w:t>
      </w:r>
    </w:p>
    <w:p w14:paraId="7DA0C9C5" w14:textId="77777777" w:rsidR="00CA7117" w:rsidRPr="00142305" w:rsidRDefault="00CA7117" w:rsidP="00CA7117">
      <w:pPr>
        <w:spacing w:after="0" w:line="240" w:lineRule="auto"/>
        <w:jc w:val="both"/>
        <w:rPr>
          <w:rFonts w:ascii="Times New Roman" w:hAnsi="Times New Roman"/>
          <w:color w:val="0070C0"/>
          <w:sz w:val="16"/>
          <w:szCs w:val="16"/>
        </w:rPr>
      </w:pPr>
    </w:p>
    <w:p w14:paraId="0A21034B" w14:textId="77777777" w:rsidR="005E7475"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2F880A45" w14:textId="77777777" w:rsidR="005E7475" w:rsidRPr="005E779E" w:rsidRDefault="005E7475"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0FED17C"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8 февраля 1931 </w:t>
      </w:r>
      <w:r w:rsidRPr="005E779E">
        <w:rPr>
          <w:rFonts w:ascii="Times New Roman" w:hAnsi="Times New Roman"/>
          <w:color w:val="000000" w:themeColor="text1"/>
          <w:sz w:val="16"/>
          <w:szCs w:val="16"/>
        </w:rPr>
        <w:t>ЦИК и СНК приняли постановление «О Госплане СССР» (12265).</w:t>
      </w:r>
    </w:p>
    <w:p w14:paraId="1AB7426A"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037B911D" w14:textId="77777777" w:rsidR="00D42A4D" w:rsidRPr="005E779E" w:rsidRDefault="00D42A4D"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Внешняя политика:</w:t>
      </w:r>
    </w:p>
    <w:p w14:paraId="367AA648" w14:textId="77777777" w:rsidR="00D42A4D" w:rsidRPr="005E779E" w:rsidRDefault="00D42A4D"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A49DA19" w14:textId="77777777" w:rsidR="00D42A4D" w:rsidRPr="005E779E" w:rsidRDefault="00D42A4D"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8 февраля 1931 г.</w:t>
      </w:r>
    </w:p>
    <w:p w14:paraId="1E409E91" w14:textId="77777777" w:rsidR="00D42A4D" w:rsidRPr="005E779E" w:rsidRDefault="00D42A4D"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Письмо Д. Г. Штерна Ж. Л. Аренсу о проблемах с освещением процесса «Промпартии» в германской печати. 8 февраля 1931 г.</w:t>
      </w:r>
    </w:p>
    <w:p w14:paraId="300FDDF8" w14:textId="77777777" w:rsidR="00D42A4D" w:rsidRPr="005E779E" w:rsidRDefault="00D42A4D"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Источник: </w:t>
      </w:r>
    </w:p>
    <w:p w14:paraId="6BC33CE5" w14:textId="77777777" w:rsidR="00D42A4D" w:rsidRPr="005E779E" w:rsidRDefault="00D42A4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C041A2C" w14:textId="77777777" w:rsidR="00D42A4D" w:rsidRPr="005E779E" w:rsidRDefault="00D42A4D" w:rsidP="000B7A6C">
      <w:pPr>
        <w:pStyle w:val="rteright"/>
        <w:spacing w:before="0" w:after="0"/>
        <w:jc w:val="both"/>
        <w:rPr>
          <w:color w:val="000000" w:themeColor="text1"/>
          <w:sz w:val="16"/>
          <w:szCs w:val="16"/>
        </w:rPr>
      </w:pPr>
      <w:r w:rsidRPr="005E779E">
        <w:rPr>
          <w:color w:val="000000" w:themeColor="text1"/>
          <w:sz w:val="16"/>
          <w:szCs w:val="16"/>
        </w:rPr>
        <w:t>8 февраля 1931 г.</w:t>
      </w:r>
    </w:p>
    <w:p w14:paraId="046CE2EE" w14:textId="77777777" w:rsidR="00D42A4D" w:rsidRPr="005E779E" w:rsidRDefault="00D42A4D" w:rsidP="000B7A6C">
      <w:pPr>
        <w:pStyle w:val="rteright"/>
        <w:spacing w:before="0" w:after="0"/>
        <w:jc w:val="both"/>
        <w:rPr>
          <w:color w:val="000000" w:themeColor="text1"/>
          <w:sz w:val="16"/>
          <w:szCs w:val="16"/>
        </w:rPr>
      </w:pPr>
      <w:r w:rsidRPr="005E779E">
        <w:rPr>
          <w:color w:val="000000" w:themeColor="text1"/>
          <w:sz w:val="16"/>
          <w:szCs w:val="16"/>
        </w:rPr>
        <w:t>Секретно</w:t>
      </w:r>
    </w:p>
    <w:p w14:paraId="604A68E0" w14:textId="77777777" w:rsidR="00D42A4D" w:rsidRPr="005E779E" w:rsidRDefault="00D42A4D" w:rsidP="000B7A6C">
      <w:pPr>
        <w:pStyle w:val="ae"/>
        <w:spacing w:before="0" w:after="0"/>
        <w:jc w:val="both"/>
        <w:rPr>
          <w:color w:val="000000" w:themeColor="text1"/>
          <w:sz w:val="16"/>
          <w:szCs w:val="16"/>
        </w:rPr>
      </w:pPr>
      <w:r w:rsidRPr="005E779E">
        <w:rPr>
          <w:color w:val="000000" w:themeColor="text1"/>
          <w:sz w:val="16"/>
          <w:szCs w:val="16"/>
        </w:rPr>
        <w:t>Тов. Аренсу</w:t>
      </w:r>
    </w:p>
    <w:p w14:paraId="21A63DDB" w14:textId="77777777" w:rsidR="00D42A4D" w:rsidRPr="005E779E" w:rsidRDefault="00D42A4D" w:rsidP="000B7A6C">
      <w:pPr>
        <w:pStyle w:val="ae"/>
        <w:spacing w:before="0" w:after="0"/>
        <w:jc w:val="both"/>
        <w:rPr>
          <w:color w:val="000000" w:themeColor="text1"/>
          <w:sz w:val="16"/>
          <w:szCs w:val="16"/>
        </w:rPr>
      </w:pPr>
      <w:r w:rsidRPr="005E779E">
        <w:rPr>
          <w:color w:val="000000" w:themeColor="text1"/>
          <w:sz w:val="16"/>
          <w:szCs w:val="16"/>
        </w:rPr>
        <w:t>копии: тт. Литвинову, Крестинскому</w:t>
      </w:r>
    </w:p>
    <w:p w14:paraId="019FC44B" w14:textId="77777777" w:rsidR="00D42A4D" w:rsidRPr="005E779E" w:rsidRDefault="00D42A4D" w:rsidP="000B7A6C">
      <w:pPr>
        <w:pStyle w:val="ae"/>
        <w:spacing w:before="0" w:after="0"/>
        <w:jc w:val="both"/>
        <w:rPr>
          <w:color w:val="000000" w:themeColor="text1"/>
          <w:sz w:val="16"/>
          <w:szCs w:val="16"/>
        </w:rPr>
      </w:pPr>
      <w:r w:rsidRPr="005E779E">
        <w:rPr>
          <w:color w:val="000000" w:themeColor="text1"/>
          <w:sz w:val="16"/>
          <w:szCs w:val="16"/>
        </w:rPr>
        <w:t>Уважаемый товарищ,</w:t>
      </w:r>
    </w:p>
    <w:p w14:paraId="693A1A88" w14:textId="77777777" w:rsidR="00D42A4D" w:rsidRPr="005E779E" w:rsidRDefault="00D42A4D" w:rsidP="000B7A6C">
      <w:pPr>
        <w:numPr>
          <w:ilvl w:val="0"/>
          <w:numId w:val="7"/>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Спешу внести некоторую ясность в вопрос «моих злоключений» с [«]Ост Ейропой[»]. Считаю необходимым в первую очередь напомнить Вам, что контакт с [«]Ост Ейропой[»] поддерживаю не я, а тов. Виноградов. Моя роль в деле статьи Луначарского выразилась лишь в том, что я вследствие болезни тов. Виноградова передал статью Шиллерту, из [«]Ост Ейропы[»]. Все дальнейшие переговоры с [«]Ост Ейропой[»] вел тов. Виноградов, при полном отсутствии какого[-]либо касательства к ним с моей стороны. Со слов тов. Виноградова я понял, что редакция [«]Ост Ейропы[»] признала невозможной для себя поместить статью и сообщила тов. Виноградову, что передала ее Грабовскому. Как статья фактически попала к Грабовскому, установить точно трудно, однако, по[-]видимому, дело обстояло след[ующим] образом: редакция [«]Ост Ейропы[»] обратилась в Аусамт с заявлением, что не может использовать эту статью, тогда в Аусамте решили привлечь к этому делу Грабовского, для чего Траутман его вызывал. Полагаю что вышеизложенное объясняет Вам, почему я[,] передав запись беседы с Грабовским, не излагал сущности и перипетий переговоров в связи со статьей Луначарского, к которым[,] повторяю[,] не имел отношения.</w:t>
      </w:r>
    </w:p>
    <w:p w14:paraId="7518B077" w14:textId="77777777" w:rsidR="00D42A4D" w:rsidRPr="005E779E" w:rsidRDefault="00D42A4D" w:rsidP="000B7A6C">
      <w:pPr>
        <w:numPr>
          <w:ilvl w:val="0"/>
          <w:numId w:val="7"/>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Что касается малой статьи Луначарского, то я ознакомил с ее содержанием сначала Дитмара, а потом Кирхера, и оба они заявили, что в настоящий момент можно о процессе лишь упоминать в статье, но давать статью, в которой процесс Промпартии является основным, совершенно немыслимо.</w:t>
      </w:r>
    </w:p>
    <w:p w14:paraId="4F36C176" w14:textId="77777777" w:rsidR="00D42A4D" w:rsidRPr="005E779E" w:rsidRDefault="00D42A4D" w:rsidP="000B7A6C">
      <w:pPr>
        <w:numPr>
          <w:ilvl w:val="0"/>
          <w:numId w:val="7"/>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Мною написана статья, посвященная противоречиям между версальской системой и Сов. Союзом, в которой много места уделяется процессу Промпартии. Эта статья мною написана для журнала «Ди Тат», кстати[,] для Вашего сведения[,] являющегося в настоящее время самым серьезным и влиятельным журналом в Германии (его тираж превышает 13 тыс. экз.). Статья будет подписана псевдонимом «Германикус». На днях должен буду получить от Церера ответ, приемлема ли для журнала «Тат» моя установка.</w:t>
      </w:r>
    </w:p>
    <w:p w14:paraId="02A8AC01" w14:textId="77777777" w:rsidR="00D42A4D" w:rsidRPr="005E779E" w:rsidRDefault="00D42A4D" w:rsidP="000B7A6C">
      <w:pPr>
        <w:numPr>
          <w:ilvl w:val="0"/>
          <w:numId w:val="7"/>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Относительно Свен фон Мюллера я в первую очередь буду говорить с Мишем, однако, мне еще не ясно[,] следует ли ставить вопрос в резкой форме, так как в этом случае может оказаться необходимым довести дело до принципиального решения. При этом надо учитывать, как я Вам неоднократно писал, очень сильные позиции Свен фон Мюллера. Я в настоящий момент продумываю возможности использования в отношении Свена правой прессы. Как Вы помните, в свое время некоторый урон получил Бирнбаум и с тех пор корреспонденции из Варшавы носят совершенно иной характер.</w:t>
      </w:r>
    </w:p>
    <w:p w14:paraId="1BDB5791" w14:textId="77777777" w:rsidR="00D42A4D" w:rsidRPr="005E779E" w:rsidRDefault="00D42A4D" w:rsidP="000B7A6C">
      <w:pPr>
        <w:numPr>
          <w:ilvl w:val="0"/>
          <w:numId w:val="7"/>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Еще до получения Вашего последнего письма я составил доклад о внутри политическом положении Германии, однако, мне пришлось его закончить в спешном порядке и поэтому я не имел возможности подробно остановиться на перспективах. Сделаю это в ближайшее время. Одновременно я готовлю доклад о внешне-политических тенденциях Германии.</w:t>
      </w:r>
    </w:p>
    <w:p w14:paraId="48BB07CE" w14:textId="77777777" w:rsidR="00D42A4D" w:rsidRPr="005E779E" w:rsidRDefault="00D42A4D" w:rsidP="000B7A6C">
      <w:pPr>
        <w:numPr>
          <w:ilvl w:val="0"/>
          <w:numId w:val="7"/>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области фото работы я смог бы довольно много сделать, в случае получения фото-материала.</w:t>
      </w:r>
    </w:p>
    <w:p w14:paraId="4A27482C" w14:textId="77777777" w:rsidR="00D42A4D" w:rsidRPr="005E779E" w:rsidRDefault="00D42A4D" w:rsidP="000B7A6C">
      <w:pPr>
        <w:pStyle w:val="ae"/>
        <w:spacing w:before="0" w:after="0"/>
        <w:jc w:val="both"/>
        <w:rPr>
          <w:color w:val="000000" w:themeColor="text1"/>
          <w:sz w:val="16"/>
          <w:szCs w:val="16"/>
        </w:rPr>
      </w:pPr>
      <w:r w:rsidRPr="005E779E">
        <w:rPr>
          <w:color w:val="000000" w:themeColor="text1"/>
          <w:sz w:val="16"/>
          <w:szCs w:val="16"/>
        </w:rPr>
        <w:t>С тов. приветом</w:t>
      </w:r>
    </w:p>
    <w:p w14:paraId="60088DC2" w14:textId="77777777" w:rsidR="00D42A4D" w:rsidRPr="005E779E" w:rsidRDefault="00D42A4D" w:rsidP="000B7A6C">
      <w:pPr>
        <w:pStyle w:val="ae"/>
        <w:spacing w:before="0" w:after="0"/>
        <w:jc w:val="both"/>
        <w:rPr>
          <w:color w:val="000000" w:themeColor="text1"/>
          <w:sz w:val="16"/>
          <w:szCs w:val="16"/>
        </w:rPr>
      </w:pPr>
      <w:r w:rsidRPr="005E779E">
        <w:rPr>
          <w:color w:val="000000" w:themeColor="text1"/>
          <w:sz w:val="16"/>
          <w:szCs w:val="16"/>
        </w:rPr>
        <w:t>Д. Штерн</w:t>
      </w:r>
    </w:p>
    <w:p w14:paraId="43333A25" w14:textId="77777777" w:rsidR="00D42A4D" w:rsidRPr="005E779E" w:rsidRDefault="00D42A4D" w:rsidP="000B7A6C">
      <w:pPr>
        <w:pStyle w:val="ae"/>
        <w:spacing w:before="0" w:after="0"/>
        <w:jc w:val="both"/>
        <w:rPr>
          <w:color w:val="000000" w:themeColor="text1"/>
          <w:sz w:val="16"/>
          <w:szCs w:val="16"/>
        </w:rPr>
      </w:pPr>
      <w:r w:rsidRPr="005E779E">
        <w:rPr>
          <w:rStyle w:val="af0"/>
          <w:i w:val="0"/>
          <w:color w:val="000000" w:themeColor="text1"/>
          <w:sz w:val="16"/>
          <w:szCs w:val="16"/>
        </w:rPr>
        <w:t>АВП РФ. Ф. 056. On. 16. П. 33. Д. 8. Л. 127—127 об. Машинописный подлинник на бланке Полпредства СССР в Германии. Гриф секретности и дата машинописью, исходящий номер «№ 259» от руки в графе бланка. Вверху Л. 127 написаны от руки входящий номер и дата получения документа «10/11-31 г.», рукописная помета «архив», подпись-росчерк Миронова (18896).</w:t>
      </w:r>
    </w:p>
    <w:p w14:paraId="1F4A8226" w14:textId="77777777" w:rsidR="00D42A4D" w:rsidRPr="005E779E" w:rsidRDefault="00D42A4D" w:rsidP="000B7A6C">
      <w:pPr>
        <w:spacing w:after="0" w:line="240" w:lineRule="auto"/>
        <w:jc w:val="both"/>
        <w:rPr>
          <w:rFonts w:ascii="Times New Roman" w:hAnsi="Times New Roman"/>
          <w:color w:val="000000" w:themeColor="text1"/>
          <w:sz w:val="16"/>
          <w:szCs w:val="16"/>
        </w:rPr>
      </w:pPr>
    </w:p>
    <w:p w14:paraId="086FA414"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3DF6568D"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E633D6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февраля 1931 из-за взрыва и пожара на шахте в Манчжурии погибло до 3 тысяч шахтеров (4962).</w:t>
      </w:r>
    </w:p>
    <w:p w14:paraId="3037A4F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C1281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февраля 1931 папа римский Пий XI издал энциклику против любых форм контроля за рождаемость (4962).</w:t>
      </w:r>
    </w:p>
    <w:p w14:paraId="4A2C04A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BC202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февраля 1931 состоялось торжественно открытие новой столицы Индии - Нью-Дели (4962).</w:t>
      </w:r>
    </w:p>
    <w:p w14:paraId="6D2AB16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E423C5"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603CF955"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E3617A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февраля 1931 вышло постановление Правительства о разработке крупнокалиберного авиационного пулемета калибра 12ю7 мм под патрон 12ю7 мм армейского пулемета ДК (3996, 74).</w:t>
      </w:r>
    </w:p>
    <w:p w14:paraId="1C356EF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EE5CF5" w14:textId="77777777" w:rsidR="00A96708" w:rsidRPr="005E779E" w:rsidRDefault="00A96708"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февраля 1931 г. в соответствии с пост. правительства на ТОЗ начата разработка авиационного крупнокалиберного пулемета под 12,7-мм патрон армейского пулемета ДК, в 1934г. пулемет ШВАК пнв (11982).</w:t>
      </w:r>
    </w:p>
    <w:p w14:paraId="7B71066E" w14:textId="77777777" w:rsidR="00A96708" w:rsidRPr="005E779E" w:rsidRDefault="00A96708" w:rsidP="000B7A6C">
      <w:pPr>
        <w:autoSpaceDE w:val="0"/>
        <w:autoSpaceDN w:val="0"/>
        <w:adjustRightInd w:val="0"/>
        <w:spacing w:after="0" w:line="240" w:lineRule="auto"/>
        <w:jc w:val="both"/>
        <w:rPr>
          <w:rFonts w:ascii="Times New Roman" w:hAnsi="Times New Roman"/>
          <w:color w:val="000000" w:themeColor="text1"/>
          <w:sz w:val="16"/>
          <w:szCs w:val="16"/>
        </w:rPr>
      </w:pPr>
    </w:p>
    <w:p w14:paraId="3A10AB96" w14:textId="77777777" w:rsidR="00A96708" w:rsidRPr="005E779E" w:rsidRDefault="00A96708"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9 февраля</w:t>
      </w:r>
      <w:r w:rsidRPr="005E779E">
        <w:rPr>
          <w:rFonts w:ascii="Times New Roman" w:hAnsi="Times New Roman"/>
          <w:color w:val="000000" w:themeColor="text1"/>
          <w:sz w:val="16"/>
          <w:szCs w:val="16"/>
        </w:rPr>
        <w:t xml:space="preserve"> в 1931 году вышло постановление правительства о разработке крупнокалиберного авиационного пулемёта калибра 12,7 мм под патрон 12,7-мм армейского пулемёта ДК. Такой пулемёт был спроектирован С.В.Владимировым, конструктором ПКБ (пулеметное КБ) в г. Тула и в 1934 г. был принят на вооружение под названием </w:t>
      </w:r>
      <w:hyperlink r:id="rId23" w:tgtFrame="_blank" w:history="1">
        <w:r w:rsidRPr="005E779E">
          <w:rPr>
            <w:rFonts w:ascii="Times New Roman" w:hAnsi="Times New Roman"/>
            <w:color w:val="000000" w:themeColor="text1"/>
            <w:sz w:val="16"/>
            <w:szCs w:val="16"/>
          </w:rPr>
          <w:t>"12,7-мм авиационный пулемет системы Шпитального и Владимирова" - ШВАК (Шпитальный - Владимиров - авиационный - крупнокалиберный) (15035).</w:t>
        </w:r>
      </w:hyperlink>
    </w:p>
    <w:p w14:paraId="2C937CA0" w14:textId="77777777" w:rsidR="00A96708" w:rsidRPr="005E779E" w:rsidRDefault="00A96708" w:rsidP="000B7A6C">
      <w:pPr>
        <w:spacing w:after="0" w:line="240" w:lineRule="auto"/>
        <w:jc w:val="both"/>
        <w:rPr>
          <w:rFonts w:ascii="Times New Roman" w:hAnsi="Times New Roman"/>
          <w:color w:val="000000" w:themeColor="text1"/>
          <w:sz w:val="16"/>
          <w:szCs w:val="16"/>
        </w:rPr>
      </w:pPr>
    </w:p>
    <w:p w14:paraId="3120C584" w14:textId="77777777" w:rsidR="00A96708" w:rsidRPr="005E779E" w:rsidRDefault="00A96708" w:rsidP="000B7A6C">
      <w:pPr>
        <w:pStyle w:val="rtejustify"/>
        <w:spacing w:before="0" w:after="0"/>
        <w:rPr>
          <w:color w:val="000000" w:themeColor="text1"/>
          <w:sz w:val="16"/>
          <w:szCs w:val="16"/>
        </w:rPr>
      </w:pPr>
      <w:r w:rsidRPr="005E779E">
        <w:rPr>
          <w:color w:val="000000" w:themeColor="text1"/>
          <w:sz w:val="16"/>
          <w:szCs w:val="16"/>
        </w:rPr>
        <w:t>9 февраля 1931 г. СТО принял постановление о разработке крупнокалиберного авиационного пулемета калибра 12,7 мм под патрон 12,7</w:t>
      </w:r>
      <w:r w:rsidRPr="005E779E">
        <w:rPr>
          <w:color w:val="000000" w:themeColor="text1"/>
          <w:sz w:val="16"/>
          <w:szCs w:val="16"/>
        </w:rPr>
        <w:noBreakHyphen/>
        <w:t>мм армейского пулемета ДК (Дегтярев крупнокалиберный)</w:t>
      </w:r>
      <w:r w:rsidRPr="005E779E">
        <w:rPr>
          <w:rStyle w:val="af0"/>
          <w:bCs/>
          <w:i w:val="0"/>
          <w:color w:val="000000" w:themeColor="text1"/>
          <w:sz w:val="16"/>
          <w:szCs w:val="16"/>
        </w:rPr>
        <w:t xml:space="preserve"> ШВАК (Шпиталъный-Владимиров авиационный крупнокалиберный)</w:t>
      </w:r>
      <w:r w:rsidRPr="005E779E">
        <w:rPr>
          <w:color w:val="000000" w:themeColor="text1"/>
          <w:sz w:val="16"/>
          <w:szCs w:val="16"/>
        </w:rPr>
        <w:t>. Такой пулемет был спроектирован С. В. Владимировым, конструктором пулеметного КБ в Туле. Патроны 12,7</w:t>
      </w:r>
      <w:r w:rsidRPr="005E779E">
        <w:rPr>
          <w:color w:val="000000" w:themeColor="text1"/>
          <w:sz w:val="16"/>
          <w:szCs w:val="16"/>
        </w:rPr>
        <w:noBreakHyphen/>
        <w:t>мм ШВАК производились с теми же типами пуль, что и 12,7</w:t>
      </w:r>
      <w:r w:rsidRPr="005E779E">
        <w:rPr>
          <w:color w:val="000000" w:themeColor="text1"/>
          <w:sz w:val="16"/>
          <w:szCs w:val="16"/>
        </w:rPr>
        <w:noBreakHyphen/>
        <w:t>мм патроны ДК. Пулемет ШВАК изготавливался в крыльевом, турельном, синхронном и моторном вариантах. Он оказался довольно эффективным оружием, однако, имел ряд недостатков. Главными из них были: большая сложность устройства отдельных узлов, что создавало проблемы при разборке и сборке. Своеобразие конструкции пулемета весьма усложнило его производство. В 1935</w:t>
      </w:r>
      <w:r w:rsidRPr="005E779E">
        <w:rPr>
          <w:color w:val="000000" w:themeColor="text1"/>
          <w:sz w:val="16"/>
          <w:szCs w:val="16"/>
        </w:rPr>
        <w:noBreakHyphen/>
        <w:t>1936 гг. на базе 12,7</w:t>
      </w:r>
      <w:r w:rsidRPr="005E779E">
        <w:rPr>
          <w:color w:val="000000" w:themeColor="text1"/>
          <w:sz w:val="16"/>
          <w:szCs w:val="16"/>
        </w:rPr>
        <w:noBreakHyphen/>
        <w:t>мм пулемета ШВАК была создана 20</w:t>
      </w:r>
      <w:r w:rsidRPr="005E779E">
        <w:rPr>
          <w:color w:val="000000" w:themeColor="text1"/>
          <w:sz w:val="16"/>
          <w:szCs w:val="16"/>
        </w:rPr>
        <w:noBreakHyphen/>
        <w:t>мм пушка ШВАК, запущенная в серийное производство в 1936 г. Через несколько месяцев после этого 12,7</w:t>
      </w:r>
      <w:r w:rsidRPr="005E779E">
        <w:rPr>
          <w:color w:val="000000" w:themeColor="text1"/>
          <w:sz w:val="16"/>
          <w:szCs w:val="16"/>
        </w:rPr>
        <w:noBreakHyphen/>
        <w:t>мм пулемет ШВАК был снят с производства (15276).</w:t>
      </w:r>
    </w:p>
    <w:p w14:paraId="5146260E" w14:textId="77777777" w:rsidR="00A96708" w:rsidRPr="005E779E" w:rsidRDefault="00A96708" w:rsidP="000B7A6C">
      <w:pPr>
        <w:pStyle w:val="rtejustify"/>
        <w:spacing w:before="0" w:after="0"/>
        <w:rPr>
          <w:color w:val="000000" w:themeColor="text1"/>
          <w:sz w:val="16"/>
          <w:szCs w:val="16"/>
        </w:rPr>
      </w:pPr>
    </w:p>
    <w:p w14:paraId="3BC8B2C4" w14:textId="77777777" w:rsidR="004C0512" w:rsidRPr="00142305" w:rsidRDefault="004C0512" w:rsidP="004C0512">
      <w:pPr>
        <w:shd w:val="clear" w:color="auto" w:fill="FFFFFF"/>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shd w:val="clear" w:color="auto" w:fill="FFFFFF"/>
        </w:rPr>
        <w:lastRenderedPageBreak/>
        <w:t>9 февраля 1931 г. вышло постановление правительства о разработке крупнокалиберного авиационного пулемета под</w:t>
      </w:r>
      <w:bookmarkStart w:id="17" w:name="bookmark473"/>
      <w:bookmarkEnd w:id="17"/>
      <w:r w:rsidRPr="00142305">
        <w:rPr>
          <w:rFonts w:ascii="Times New Roman" w:hAnsi="Times New Roman"/>
          <w:color w:val="0070C0"/>
          <w:sz w:val="16"/>
          <w:szCs w:val="16"/>
          <w:shd w:val="clear" w:color="auto" w:fill="FFFFFF"/>
        </w:rPr>
        <w:t xml:space="preserve"> 12,7 </w:t>
      </w:r>
      <w:r w:rsidRPr="00142305">
        <w:rPr>
          <w:rFonts w:ascii="Times New Roman" w:hAnsi="Times New Roman"/>
          <w:color w:val="0070C0"/>
          <w:sz w:val="16"/>
          <w:szCs w:val="16"/>
        </w:rPr>
        <w:t>мм патрон пулемета ДК (Дегтярев-крупнокалиберный). Пуля такого патрона весила 48 г, почти впятеро превосходя массу винтовочной пули, и при этом имела практически одинаковую с последней начальную скорость. Попадая в блок авиационного мотора водяного охлаждения, она с высокой вероятностью выводила его из строя, а броне</w:t>
      </w:r>
      <w:r w:rsidRPr="00142305">
        <w:rPr>
          <w:rFonts w:ascii="Times New Roman" w:hAnsi="Times New Roman"/>
          <w:color w:val="0070C0"/>
          <w:sz w:val="16"/>
          <w:szCs w:val="16"/>
        </w:rPr>
        <w:softHyphen/>
        <w:t>спинки истребителей, толь ко-только появлявшиеся, были для нее «прозрачными» на дистанциях стрельбы менее полуки</w:t>
      </w:r>
      <w:r w:rsidRPr="00142305">
        <w:rPr>
          <w:rFonts w:ascii="Times New Roman" w:hAnsi="Times New Roman"/>
          <w:color w:val="0070C0"/>
          <w:sz w:val="16"/>
          <w:szCs w:val="16"/>
        </w:rPr>
        <w:softHyphen/>
        <w:t>лометра (на расстоянии 300 м пробивалась 16-мм броня).</w:t>
      </w:r>
    </w:p>
    <w:p w14:paraId="1D7ED3D6" w14:textId="77777777" w:rsidR="004C0512" w:rsidRPr="00142305" w:rsidRDefault="004C0512" w:rsidP="004C051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КБ Тульского завода разработкой нового 12,7-мм пулемета руководил Семен Владимирович Владимиров, обладавший десятилетним опытом работы в области стрелкового вооружения (12 июля 1956 г. он погиб, получив смертельную травму при испытаниях оружия). На основе пулемета ШКАС Владимиров создал его увели</w:t>
      </w:r>
      <w:r w:rsidRPr="00142305">
        <w:rPr>
          <w:rFonts w:ascii="Times New Roman" w:hAnsi="Times New Roman"/>
          <w:color w:val="0070C0"/>
          <w:sz w:val="16"/>
          <w:szCs w:val="16"/>
        </w:rPr>
        <w:softHyphen/>
        <w:t>ченную версию, которой присвоили наименование ШВАК (Шпитальный - Владимиров авиационный крупнока</w:t>
      </w:r>
      <w:r w:rsidRPr="00142305">
        <w:rPr>
          <w:rFonts w:ascii="Times New Roman" w:hAnsi="Times New Roman"/>
          <w:color w:val="0070C0"/>
          <w:sz w:val="16"/>
          <w:szCs w:val="16"/>
        </w:rPr>
        <w:softHyphen/>
        <w:t>либерный). Принцип работы автоматики пулемета был по-прежнему основан на использовании энергии пороховых газов, отводимых через отверстие в канале ствола, извле</w:t>
      </w:r>
      <w:r w:rsidRPr="00142305">
        <w:rPr>
          <w:rFonts w:ascii="Times New Roman" w:hAnsi="Times New Roman"/>
          <w:color w:val="0070C0"/>
          <w:sz w:val="16"/>
          <w:szCs w:val="16"/>
        </w:rPr>
        <w:softHyphen/>
        <w:t>чение патрона из ленты происходило за несколько тактов. Длина пулемета составляла 1726 мм, начальная скорость пули - 830 м/с, а скорострельность - 760-780 выстр./мин. Патрон, правда, пришлось несколько переделать, снабдив его гильзу буртом, как у «шкасовского», и он получил обозначение 12,7x108R. В 1932-1933 гг. пулемет прошел испытания, а в 1934 г. он был принят на вооружение. С 1935 г. начался выпуск 12,7-мм пулемета ШВАК малой серией на заводе в Коврове, куда перебрался Владимиров.</w:t>
      </w:r>
    </w:p>
    <w:p w14:paraId="259168EC" w14:textId="77777777" w:rsidR="004C0512" w:rsidRPr="00142305" w:rsidRDefault="004C0512" w:rsidP="004C051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Пулемет ШВАК изготавливался в крыльевом, турельном, синхронном и моторном вариантах. Он стал первым советским крупнокалиберным авиационным пулеметом и оказался довольно эффективным оружием. Однако ШВАК имел и ряд недостатков, в числе которых называли:</w:t>
      </w:r>
    </w:p>
    <w:p w14:paraId="5672F7B4" w14:textId="77777777" w:rsidR="004C0512" w:rsidRPr="00142305" w:rsidRDefault="004C0512" w:rsidP="004C0512">
      <w:pPr>
        <w:widowControl w:val="0"/>
        <w:tabs>
          <w:tab w:val="left" w:pos="500"/>
        </w:tabs>
        <w:spacing w:after="0" w:line="240" w:lineRule="auto"/>
        <w:jc w:val="both"/>
        <w:rPr>
          <w:rFonts w:ascii="Times New Roman" w:hAnsi="Times New Roman"/>
          <w:color w:val="0070C0"/>
          <w:sz w:val="16"/>
          <w:szCs w:val="16"/>
        </w:rPr>
      </w:pPr>
      <w:bookmarkStart w:id="18" w:name="bookmark474"/>
      <w:bookmarkEnd w:id="18"/>
      <w:r w:rsidRPr="00142305">
        <w:rPr>
          <w:rFonts w:ascii="Times New Roman" w:hAnsi="Times New Roman"/>
          <w:color w:val="0070C0"/>
          <w:sz w:val="16"/>
          <w:szCs w:val="16"/>
        </w:rPr>
        <w:t>- чрезвычайно большую сложность устройства отдельных узлов, особенно механизма питания и механизма отражения стреляной гильзы, что затрудняло разборку и сборку автомата;</w:t>
      </w:r>
    </w:p>
    <w:p w14:paraId="1395A9A8" w14:textId="77777777" w:rsidR="004C0512" w:rsidRPr="00142305" w:rsidRDefault="004C0512" w:rsidP="004C0512">
      <w:pPr>
        <w:widowControl w:val="0"/>
        <w:tabs>
          <w:tab w:val="left" w:pos="500"/>
        </w:tabs>
        <w:spacing w:after="0" w:line="240" w:lineRule="auto"/>
        <w:jc w:val="both"/>
        <w:rPr>
          <w:rFonts w:ascii="Times New Roman" w:hAnsi="Times New Roman"/>
          <w:color w:val="0070C0"/>
          <w:sz w:val="16"/>
          <w:szCs w:val="16"/>
        </w:rPr>
      </w:pPr>
      <w:bookmarkStart w:id="19" w:name="bookmark475"/>
      <w:bookmarkEnd w:id="19"/>
      <w:r w:rsidRPr="00142305">
        <w:rPr>
          <w:rFonts w:ascii="Times New Roman" w:hAnsi="Times New Roman"/>
          <w:color w:val="0070C0"/>
          <w:sz w:val="16"/>
          <w:szCs w:val="16"/>
        </w:rPr>
        <w:t>- своеобразие конструкции, что весьма усложнило его производство. Особенно велика была трудоемкость изготовления механизма питания и ствольной коробки;</w:t>
      </w:r>
    </w:p>
    <w:p w14:paraId="6F9A4FC5" w14:textId="77777777" w:rsidR="004C0512" w:rsidRPr="00142305" w:rsidRDefault="004C0512" w:rsidP="004C0512">
      <w:pPr>
        <w:widowControl w:val="0"/>
        <w:tabs>
          <w:tab w:val="left" w:pos="500"/>
        </w:tabs>
        <w:spacing w:after="0" w:line="240" w:lineRule="auto"/>
        <w:jc w:val="both"/>
        <w:rPr>
          <w:rFonts w:ascii="Times New Roman" w:hAnsi="Times New Roman"/>
          <w:color w:val="0070C0"/>
          <w:sz w:val="16"/>
          <w:szCs w:val="16"/>
        </w:rPr>
      </w:pPr>
      <w:bookmarkStart w:id="20" w:name="bookmark476"/>
      <w:bookmarkEnd w:id="20"/>
      <w:r w:rsidRPr="00142305">
        <w:rPr>
          <w:rFonts w:ascii="Times New Roman" w:hAnsi="Times New Roman"/>
          <w:color w:val="0070C0"/>
          <w:sz w:val="16"/>
          <w:szCs w:val="16"/>
        </w:rPr>
        <w:t>- затрудненный доступ к механизмам при нарушении нормальной работы механизмов и устранении задержек во время стрельбы. В отдельных случаях для устранения задержек требовалась частичная или даже полная разборка автомата;</w:t>
      </w:r>
    </w:p>
    <w:p w14:paraId="0DF32C2F" w14:textId="77777777" w:rsidR="004C0512" w:rsidRPr="00142305" w:rsidRDefault="004C0512" w:rsidP="004C0512">
      <w:pPr>
        <w:widowControl w:val="0"/>
        <w:tabs>
          <w:tab w:val="left" w:pos="490"/>
        </w:tabs>
        <w:spacing w:after="0" w:line="240" w:lineRule="auto"/>
        <w:jc w:val="both"/>
        <w:rPr>
          <w:rFonts w:ascii="Times New Roman" w:hAnsi="Times New Roman"/>
          <w:color w:val="0070C0"/>
          <w:sz w:val="16"/>
          <w:szCs w:val="16"/>
        </w:rPr>
      </w:pPr>
      <w:bookmarkStart w:id="21" w:name="bookmark477"/>
      <w:bookmarkEnd w:id="21"/>
      <w:r w:rsidRPr="00142305">
        <w:rPr>
          <w:rFonts w:ascii="Times New Roman" w:hAnsi="Times New Roman"/>
          <w:color w:val="0070C0"/>
          <w:sz w:val="16"/>
          <w:szCs w:val="16"/>
        </w:rPr>
        <w:t>- большую массу автомата, в одном из вариантов соста</w:t>
      </w:r>
      <w:r w:rsidRPr="00142305">
        <w:rPr>
          <w:rFonts w:ascii="Times New Roman" w:hAnsi="Times New Roman"/>
          <w:color w:val="0070C0"/>
          <w:sz w:val="16"/>
          <w:szCs w:val="16"/>
        </w:rPr>
        <w:softHyphen/>
        <w:t>вившую 35 кг.</w:t>
      </w:r>
    </w:p>
    <w:p w14:paraId="44F2C50A" w14:textId="77777777" w:rsidR="004C0512" w:rsidRPr="00142305" w:rsidRDefault="004C0512" w:rsidP="004C051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1935 г. завод сумел изготовить всего шесть пулеметов ШВАК на универсальном станке для проведения войсковых испытаний (при плане 40 единиц) и 86 авиационных пулеметов ШВАК (при плане 410 единиц).</w:t>
      </w:r>
    </w:p>
    <w:p w14:paraId="307DF2CA" w14:textId="77777777" w:rsidR="004C0512" w:rsidRPr="00142305" w:rsidRDefault="004C0512" w:rsidP="004C051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Заместитель наркома обороны маршал М.Н. Тухачевский при посещении завода поинтересовался у Владимирова: нельзя ли этот пулемет переделать в пушку, увеличив калибр до 20 мм? Этот вопрос в принципе предрешил дальнейшую судьбу Ш ВАК: доводку пулемета после изготов</w:t>
      </w:r>
      <w:r w:rsidRPr="00142305">
        <w:rPr>
          <w:rFonts w:ascii="Times New Roman" w:hAnsi="Times New Roman"/>
          <w:color w:val="0070C0"/>
          <w:sz w:val="16"/>
          <w:szCs w:val="16"/>
        </w:rPr>
        <w:softHyphen/>
        <w:t>ления всего 82 экземпляров (некоторые из них исполь</w:t>
      </w:r>
      <w:r w:rsidRPr="00142305">
        <w:rPr>
          <w:rFonts w:ascii="Times New Roman" w:hAnsi="Times New Roman"/>
          <w:color w:val="0070C0"/>
          <w:sz w:val="16"/>
          <w:szCs w:val="16"/>
        </w:rPr>
        <w:softHyphen/>
        <w:t>зовали в составе зенитных установок) прекратили, сосре</w:t>
      </w:r>
      <w:r w:rsidRPr="00142305">
        <w:rPr>
          <w:rFonts w:ascii="Times New Roman" w:hAnsi="Times New Roman"/>
          <w:color w:val="0070C0"/>
          <w:sz w:val="16"/>
          <w:szCs w:val="16"/>
        </w:rPr>
        <w:softHyphen/>
        <w:t>доточившись на переделке его в артсистему, для чего пришлось создать специальный патрон (24933).</w:t>
      </w:r>
    </w:p>
    <w:p w14:paraId="6AD80745" w14:textId="77777777" w:rsidR="004C0512" w:rsidRPr="00142305" w:rsidRDefault="004C0512" w:rsidP="004C0512">
      <w:pPr>
        <w:spacing w:after="0" w:line="240" w:lineRule="auto"/>
        <w:jc w:val="both"/>
        <w:rPr>
          <w:rFonts w:ascii="Times New Roman" w:hAnsi="Times New Roman"/>
          <w:color w:val="0070C0"/>
          <w:sz w:val="16"/>
          <w:szCs w:val="16"/>
        </w:rPr>
      </w:pPr>
    </w:p>
    <w:p w14:paraId="7C9BE4BD" w14:textId="77777777" w:rsidR="004C0512" w:rsidRPr="00142305" w:rsidRDefault="004C0512" w:rsidP="004C051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9 февраля 1931 года, постановлением правительства была инициирована программа создания авиационной версии крупнокалиберного пулемета. Причем характерно, что оговаривалось применение принятого на вооружение нового патрона 12,7х108 ДК.</w:t>
      </w:r>
    </w:p>
    <w:p w14:paraId="03A31E79" w14:textId="77777777" w:rsidR="004C0512" w:rsidRPr="00142305" w:rsidRDefault="004C0512" w:rsidP="004C051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следующем, 1932 году пулемет, получивший обозначение ДК-32, был формально принят на вооружение. Одновременно на испытания был выставлен авиационный вариант ДАК-32, унифицированный с пехотным пулеметом. И как раз в этот период появляется первое упоминание о пулемете ШВАК, опытный образец которого был закончен в изготовлении 28 мая 1932 года (25233).</w:t>
      </w:r>
    </w:p>
    <w:p w14:paraId="23D4CC85" w14:textId="77777777" w:rsidR="004C0512" w:rsidRPr="00142305" w:rsidRDefault="004C0512" w:rsidP="004C0512">
      <w:pPr>
        <w:spacing w:after="0" w:line="240" w:lineRule="auto"/>
        <w:jc w:val="both"/>
        <w:rPr>
          <w:rFonts w:ascii="Times New Roman" w:hAnsi="Times New Roman"/>
          <w:color w:val="0070C0"/>
          <w:sz w:val="16"/>
          <w:szCs w:val="16"/>
        </w:rPr>
      </w:pPr>
    </w:p>
    <w:p w14:paraId="0B2EBD68" w14:textId="77777777" w:rsidR="005C4849" w:rsidRPr="005E779E" w:rsidRDefault="00874B1E" w:rsidP="000B7A6C">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1B24FBD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74DE8F1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февраля 1931 года Дыренков, который рьяно взялся за работу, смог предъявить представителям УММ РККА три броне</w:t>
      </w:r>
      <w:r w:rsidRPr="005E779E">
        <w:rPr>
          <w:rFonts w:ascii="Times New Roman" w:hAnsi="Times New Roman"/>
          <w:color w:val="000000" w:themeColor="text1"/>
          <w:sz w:val="16"/>
          <w:szCs w:val="16"/>
        </w:rPr>
        <w:softHyphen/>
        <w:t>вых машины: «Форд-Тимкен», изготовленный по проекту Ижорского завода, «Мореланд» и «Форд-Тимкен» собст</w:t>
      </w:r>
      <w:r w:rsidRPr="005E779E">
        <w:rPr>
          <w:rFonts w:ascii="Times New Roman" w:hAnsi="Times New Roman"/>
          <w:color w:val="000000" w:themeColor="text1"/>
          <w:sz w:val="16"/>
          <w:szCs w:val="16"/>
        </w:rPr>
        <w:softHyphen/>
        <w:t>венной конструкции. Причем последние предъявлялись «вчерне»: корпуса на них были только «наживлены» свар</w:t>
      </w:r>
      <w:r w:rsidRPr="005E779E">
        <w:rPr>
          <w:rFonts w:ascii="Times New Roman" w:hAnsi="Times New Roman"/>
          <w:color w:val="000000" w:themeColor="text1"/>
          <w:sz w:val="16"/>
          <w:szCs w:val="16"/>
        </w:rPr>
        <w:softHyphen/>
        <w:t>кой, бронировка двигателей и башни находились в полуза</w:t>
      </w:r>
      <w:r w:rsidRPr="005E779E">
        <w:rPr>
          <w:rFonts w:ascii="Times New Roman" w:hAnsi="Times New Roman"/>
          <w:color w:val="000000" w:themeColor="text1"/>
          <w:sz w:val="16"/>
          <w:szCs w:val="16"/>
        </w:rPr>
        <w:softHyphen/>
        <w:t>конченном виде. Вооружение «Форд-Тимкена» состояло из 37-мм пушки Гочкиса и двух пулеметов ДТ (с четырьмя гнездами для них), на «Мореланде» планировалось устано</w:t>
      </w:r>
      <w:r w:rsidRPr="005E779E">
        <w:rPr>
          <w:rFonts w:ascii="Times New Roman" w:hAnsi="Times New Roman"/>
          <w:color w:val="000000" w:themeColor="text1"/>
          <w:sz w:val="16"/>
          <w:szCs w:val="16"/>
        </w:rPr>
        <w:softHyphen/>
        <w:t>вить 20-мм автоматическую пушку или 37-мм пушку Б-3 образца 1930 года, 4 пулемета ДТ и авиатурель.</w:t>
      </w:r>
    </w:p>
    <w:p w14:paraId="19246EB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«Форд-Тимкен» проекта Ижорского завода представ</w:t>
      </w:r>
      <w:r w:rsidRPr="005E779E">
        <w:rPr>
          <w:rFonts w:ascii="Times New Roman" w:hAnsi="Times New Roman"/>
          <w:color w:val="000000" w:themeColor="text1"/>
          <w:sz w:val="16"/>
          <w:szCs w:val="16"/>
        </w:rPr>
        <w:softHyphen/>
        <w:t>лял собой бронеавтомобиль с корпусом прямоугольной формы, за что в документах того времени был прозван «со</w:t>
      </w:r>
      <w:r w:rsidRPr="005E779E">
        <w:rPr>
          <w:rFonts w:ascii="Times New Roman" w:hAnsi="Times New Roman"/>
          <w:color w:val="000000" w:themeColor="text1"/>
          <w:sz w:val="16"/>
          <w:szCs w:val="16"/>
        </w:rPr>
        <w:softHyphen/>
        <w:t>бачий ящик». При изготовлении машины вместо брони использовалась обычная сталь толщиной 4—8 мм. Из-за от</w:t>
      </w:r>
      <w:r w:rsidRPr="005E779E">
        <w:rPr>
          <w:rFonts w:ascii="Times New Roman" w:hAnsi="Times New Roman"/>
          <w:color w:val="000000" w:themeColor="text1"/>
          <w:sz w:val="16"/>
          <w:szCs w:val="16"/>
        </w:rPr>
        <w:softHyphen/>
        <w:t>сутствия вооружения — 12,7-мм пулемета и 20-мм пушки — башня так и не была сделана, поэтому по распоряжению Дыренкова на броневик установили башню от БА-27. По</w:t>
      </w:r>
      <w:r w:rsidRPr="005E779E">
        <w:rPr>
          <w:rFonts w:ascii="Times New Roman" w:hAnsi="Times New Roman"/>
          <w:color w:val="000000" w:themeColor="text1"/>
          <w:sz w:val="16"/>
          <w:szCs w:val="16"/>
        </w:rPr>
        <w:softHyphen/>
        <w:t>сле осмотра машины военные отмечали «плохую видимость для водителя, неудобную его посадку, при езде водитель ударяется головой в потолок». Поэтому было предложено ее доработать.</w:t>
      </w:r>
    </w:p>
    <w:p w14:paraId="25B7A0E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Бронемашины собственной конструкции на шасси «Форд-Тимкен» и «Мореланд» Дыренков предъявил воен</w:t>
      </w:r>
      <w:r w:rsidRPr="005E779E">
        <w:rPr>
          <w:rFonts w:ascii="Times New Roman" w:hAnsi="Times New Roman"/>
          <w:color w:val="000000" w:themeColor="text1"/>
          <w:sz w:val="16"/>
          <w:szCs w:val="16"/>
        </w:rPr>
        <w:softHyphen/>
        <w:t>ным только в мае 1931 года. Броневики получили обозначе</w:t>
      </w:r>
      <w:r w:rsidRPr="005E779E">
        <w:rPr>
          <w:rFonts w:ascii="Times New Roman" w:hAnsi="Times New Roman"/>
          <w:color w:val="000000" w:themeColor="text1"/>
          <w:sz w:val="16"/>
          <w:szCs w:val="16"/>
        </w:rPr>
        <w:softHyphen/>
        <w:t>ния Д-13 и Д-9 (Д - Дыренков).</w:t>
      </w:r>
    </w:p>
    <w:p w14:paraId="10A533B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Корпуса обеих машин собирались из 4—6 мм броневых листов при помощи сварки, что было передовым для того времени. Основное вооружение — 37-мм пушка Гочкиса и пулемет ДТ — размещалось в раздельных установках во вращающейся башне. Конструкция последней на Д-9 и Д-13 была аналогичной. Кроме того, каждый броневик имел пулеметы ДТ в шаровых установках корпуса: Д-13 — 6 таких установок (по две на борт и по одной в лобовом и кор</w:t>
      </w:r>
      <w:r w:rsidRPr="005E779E">
        <w:rPr>
          <w:rFonts w:ascii="Times New Roman" w:hAnsi="Times New Roman"/>
          <w:color w:val="000000" w:themeColor="text1"/>
          <w:sz w:val="16"/>
          <w:szCs w:val="16"/>
        </w:rPr>
        <w:softHyphen/>
        <w:t>мовом листах), а Д-9 — 8 (по три на борт и по одной в кор</w:t>
      </w:r>
      <w:r w:rsidRPr="005E779E">
        <w:rPr>
          <w:rFonts w:ascii="Times New Roman" w:hAnsi="Times New Roman"/>
          <w:color w:val="000000" w:themeColor="text1"/>
          <w:sz w:val="16"/>
          <w:szCs w:val="16"/>
        </w:rPr>
        <w:softHyphen/>
        <w:t>мовом и лобовом листах). Для защиты от атак с воздуха бро</w:t>
      </w:r>
      <w:r w:rsidRPr="005E779E">
        <w:rPr>
          <w:rFonts w:ascii="Times New Roman" w:hAnsi="Times New Roman"/>
          <w:color w:val="000000" w:themeColor="text1"/>
          <w:sz w:val="16"/>
          <w:szCs w:val="16"/>
        </w:rPr>
        <w:softHyphen/>
        <w:t>невики оснащались авиационной турелью, расположенной на крыше корпуса за башней. Запасные колеса Д-13, уста</w:t>
      </w:r>
      <w:r w:rsidRPr="005E779E">
        <w:rPr>
          <w:rFonts w:ascii="Times New Roman" w:hAnsi="Times New Roman"/>
          <w:color w:val="000000" w:themeColor="text1"/>
          <w:sz w:val="16"/>
          <w:szCs w:val="16"/>
        </w:rPr>
        <w:softHyphen/>
        <w:t>новленные по бортам корпуса, могли вращаться и служили дополнительной опорой при преодолении броневиком вер</w:t>
      </w:r>
      <w:r w:rsidRPr="005E779E">
        <w:rPr>
          <w:rFonts w:ascii="Times New Roman" w:hAnsi="Times New Roman"/>
          <w:color w:val="000000" w:themeColor="text1"/>
          <w:sz w:val="16"/>
          <w:szCs w:val="16"/>
        </w:rPr>
        <w:softHyphen/>
        <w:t>тикальных препятствий и канав (11284).</w:t>
      </w:r>
    </w:p>
    <w:p w14:paraId="2CBC920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3AB4A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февраля 1931 года в докладе о ходе опытных работ в опытно-конструкторском и испытательном бюро говорилось:</w:t>
      </w:r>
    </w:p>
    <w:p w14:paraId="3C31B85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«...Инженер Дыренков сверх плана выполнил ра</w:t>
      </w:r>
      <w:r w:rsidRPr="005E779E">
        <w:rPr>
          <w:rFonts w:ascii="Times New Roman" w:hAnsi="Times New Roman"/>
          <w:color w:val="000000" w:themeColor="text1"/>
          <w:sz w:val="16"/>
          <w:szCs w:val="16"/>
        </w:rPr>
        <w:softHyphen/>
        <w:t>боты:</w:t>
      </w:r>
    </w:p>
    <w:p w14:paraId="5A79F8F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«Форд-А» — работа выполнена полностью. Машина имеет следующее вооружение: 1 пулемет ДТ (пулеметных гнезд 4), 6000 патронов;</w:t>
      </w:r>
    </w:p>
    <w:p w14:paraId="1450CBE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«Форд-А» - второй вариант, расширена бронировка задней части машины и установлена авиационная турель на крыше этого бронеавтомобиля. Работа предъявляется вчерне» (11284).</w:t>
      </w:r>
    </w:p>
    <w:p w14:paraId="7AAB7B9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B22B4D"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февраля 1931 г. — Доклад научно-исследовательской группы Оружобъединения об основных этапах развития военной техники</w:t>
      </w:r>
    </w:p>
    <w:p w14:paraId="1133E6CB"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Секретно.</w:t>
      </w:r>
    </w:p>
    <w:p w14:paraId="0F29A79B"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Контрольные точки пятилетнего плана развития научно-исследовательских работ Оружобъединения в связи с задачами реконструкции</w:t>
      </w:r>
    </w:p>
    <w:p w14:paraId="4C0F9F14" w14:textId="77777777" w:rsidR="005E7475" w:rsidRPr="005E779E" w:rsidRDefault="005E7475" w:rsidP="000B7A6C">
      <w:pPr>
        <w:pStyle w:val="rtejustify"/>
        <w:spacing w:before="0" w:after="0"/>
        <w:rPr>
          <w:color w:val="000000" w:themeColor="text1"/>
          <w:sz w:val="16"/>
          <w:szCs w:val="16"/>
        </w:rPr>
      </w:pPr>
      <w:r w:rsidRPr="005E779E">
        <w:rPr>
          <w:color w:val="000000" w:themeColor="text1"/>
          <w:sz w:val="16"/>
          <w:szCs w:val="16"/>
        </w:rPr>
        <w:t>Развитие видов военной техники, обслуживать которые призвано Оружобъединение, характеризуется следующей динамикой, если остановиться хотя бы только на двух основных показателях — дальнобойность и скорострельность для огнестрельного оружия.</w:t>
      </w:r>
    </w:p>
    <w:p w14:paraId="0E569DD5" w14:textId="77777777" w:rsidR="005E7475" w:rsidRPr="005E779E" w:rsidRDefault="005E7475" w:rsidP="000B7A6C">
      <w:pPr>
        <w:pStyle w:val="ae"/>
        <w:spacing w:before="0" w:after="0"/>
        <w:jc w:val="both"/>
        <w:rPr>
          <w:color w:val="000000" w:themeColor="text1"/>
          <w:sz w:val="16"/>
          <w:szCs w:val="16"/>
        </w:rPr>
      </w:pPr>
      <w:r w:rsidRPr="005E779E">
        <w:rPr>
          <w:rStyle w:val="a7"/>
          <w:b w:val="0"/>
          <w:color w:val="000000" w:themeColor="text1"/>
          <w:sz w:val="16"/>
          <w:szCs w:val="16"/>
        </w:rPr>
        <w:t>Сравнительная таблица прогресса военного оружия с 1914 по 1929 гг.</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417"/>
        <w:gridCol w:w="3100"/>
        <w:gridCol w:w="2805"/>
      </w:tblGrid>
      <w:tr w:rsidR="00B65F32" w:rsidRPr="005E779E" w14:paraId="66DEA25A"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2BF1A682"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Название оружия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08D908E"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Дальнобойность, в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1EF94CC"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Скоростр[ельность]</w:t>
            </w:r>
          </w:p>
          <w:p w14:paraId="5F2BF74D"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колич[еством]</w:t>
            </w:r>
          </w:p>
          <w:p w14:paraId="34BB30B9"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выстр[елов]</w:t>
            </w:r>
          </w:p>
          <w:p w14:paraId="0C48FB55"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минуту</w:t>
            </w:r>
          </w:p>
        </w:tc>
      </w:tr>
      <w:tr w:rsidR="00B65F32" w:rsidRPr="005E779E" w14:paraId="5833ABC0"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06073290"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I. Винтовка 1914 г. 7,66 мм²*</w:t>
            </w:r>
          </w:p>
        </w:tc>
        <w:tc>
          <w:tcPr>
            <w:tcW w:w="0" w:type="auto"/>
            <w:tcBorders>
              <w:top w:val="outset" w:sz="6" w:space="0" w:color="auto"/>
              <w:left w:val="outset" w:sz="6" w:space="0" w:color="auto"/>
              <w:bottom w:val="outset" w:sz="6" w:space="0" w:color="auto"/>
              <w:right w:val="outset" w:sz="6" w:space="0" w:color="auto"/>
            </w:tcBorders>
            <w:vAlign w:val="center"/>
            <w:hideMark/>
          </w:tcPr>
          <w:p w14:paraId="5D2B65F3"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4F2F87C"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20-25</w:t>
            </w:r>
          </w:p>
        </w:tc>
      </w:tr>
      <w:tr w:rsidR="00B65F32" w:rsidRPr="005E779E" w14:paraId="30A8AC92"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5150C482"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То же 1929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28F8E50"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85359CB"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20-25</w:t>
            </w:r>
          </w:p>
        </w:tc>
      </w:tr>
      <w:tr w:rsidR="00B65F32" w:rsidRPr="005E779E" w14:paraId="180315EC"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51F11F33"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Пулемет 1914 г. 7,62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A46D047"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9B10B15"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510-750</w:t>
            </w:r>
          </w:p>
        </w:tc>
      </w:tr>
      <w:tr w:rsidR="00B65F32" w:rsidRPr="005E779E" w14:paraId="54CFA93C"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496CCAC9"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То же 1929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DAC68DE"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A40036A"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1200-1500</w:t>
            </w:r>
          </w:p>
        </w:tc>
      </w:tr>
      <w:tr w:rsidR="00B65F32" w:rsidRPr="005E779E" w14:paraId="5E8FDBFB"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3D9C57AF"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Пулемет 1914 г. 7,62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CBC34"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C2CD261"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510-750</w:t>
            </w:r>
          </w:p>
        </w:tc>
      </w:tr>
      <w:tr w:rsidR="00B65F32" w:rsidRPr="005E779E" w14:paraId="675E9D38"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4FF7190E"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То же 1929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5890500"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491C5D1"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1200-1500</w:t>
            </w:r>
          </w:p>
        </w:tc>
      </w:tr>
      <w:tr w:rsidR="00B65F32" w:rsidRPr="005E779E" w14:paraId="410352CC" w14:textId="77777777" w:rsidTr="00083CD8">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33C25352"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II. Дивизионная артиллерия</w:t>
            </w:r>
          </w:p>
        </w:tc>
      </w:tr>
      <w:tr w:rsidR="00B65F32" w:rsidRPr="005E779E" w14:paraId="1626B65D"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378C2610"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Дивизион[ная] пушка 75,77 мм 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69D185E"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23BC9ED9"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w:t>
            </w:r>
          </w:p>
        </w:tc>
      </w:tr>
      <w:tr w:rsidR="00B65F32" w:rsidRPr="005E779E" w14:paraId="689B63A4"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662EC4DB"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То же 1929 г.³*</w:t>
            </w:r>
          </w:p>
        </w:tc>
        <w:tc>
          <w:tcPr>
            <w:tcW w:w="0" w:type="auto"/>
            <w:tcBorders>
              <w:top w:val="outset" w:sz="6" w:space="0" w:color="auto"/>
              <w:left w:val="outset" w:sz="6" w:space="0" w:color="auto"/>
              <w:bottom w:val="outset" w:sz="6" w:space="0" w:color="auto"/>
              <w:right w:val="outset" w:sz="6" w:space="0" w:color="auto"/>
            </w:tcBorders>
            <w:vAlign w:val="center"/>
            <w:hideMark/>
          </w:tcPr>
          <w:p w14:paraId="2B42F2CE"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13-14</w:t>
            </w:r>
          </w:p>
        </w:tc>
        <w:tc>
          <w:tcPr>
            <w:tcW w:w="0" w:type="auto"/>
            <w:tcBorders>
              <w:top w:val="outset" w:sz="6" w:space="0" w:color="auto"/>
              <w:left w:val="outset" w:sz="6" w:space="0" w:color="auto"/>
              <w:bottom w:val="outset" w:sz="6" w:space="0" w:color="auto"/>
              <w:right w:val="outset" w:sz="6" w:space="0" w:color="auto"/>
            </w:tcBorders>
            <w:vAlign w:val="center"/>
            <w:hideMark/>
          </w:tcPr>
          <w:p w14:paraId="42699C3B"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20-25</w:t>
            </w:r>
          </w:p>
        </w:tc>
      </w:tr>
      <w:tr w:rsidR="00B65F32" w:rsidRPr="005E779E" w14:paraId="18DA2137"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2C4A6D1C"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Дивизионная гаубица 105 мм 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E489F8B"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6-9</w:t>
            </w:r>
          </w:p>
        </w:tc>
        <w:tc>
          <w:tcPr>
            <w:tcW w:w="0" w:type="auto"/>
            <w:tcBorders>
              <w:top w:val="outset" w:sz="6" w:space="0" w:color="auto"/>
              <w:left w:val="outset" w:sz="6" w:space="0" w:color="auto"/>
              <w:bottom w:val="outset" w:sz="6" w:space="0" w:color="auto"/>
              <w:right w:val="outset" w:sz="6" w:space="0" w:color="auto"/>
            </w:tcBorders>
            <w:vAlign w:val="center"/>
            <w:hideMark/>
          </w:tcPr>
          <w:p w14:paraId="031D5F35"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B65F32" w:rsidRPr="005E779E" w14:paraId="0B12DDB4"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0338EDDD"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То же 1929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A09E837"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291E50EA"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—⁴*</w:t>
            </w:r>
          </w:p>
        </w:tc>
      </w:tr>
      <w:tr w:rsidR="00B65F32" w:rsidRPr="005E779E" w14:paraId="5ED5CEC9" w14:textId="77777777" w:rsidTr="00083CD8">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6DCFFACF"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III. Корпусная артиллерия</w:t>
            </w:r>
          </w:p>
        </w:tc>
      </w:tr>
      <w:tr w:rsidR="00B65F32" w:rsidRPr="005E779E" w14:paraId="64B2DB5A"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4B6ACAF6"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Корпусная пушка 105</w:t>
            </w:r>
            <w:r w:rsidRPr="005E779E">
              <w:rPr>
                <w:rFonts w:ascii="Times New Roman" w:hAnsi="Times New Roman"/>
                <w:color w:val="000000" w:themeColor="text1"/>
                <w:sz w:val="16"/>
                <w:szCs w:val="16"/>
              </w:rPr>
              <w:noBreakHyphen/>
              <w:t>107 мм 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AF92651"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233FE14C"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w:t>
            </w:r>
          </w:p>
        </w:tc>
      </w:tr>
      <w:tr w:rsidR="00B65F32" w:rsidRPr="005E779E" w14:paraId="6A59E973"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3C95F51F"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То же 1929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FE96F8A"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68F3B3"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7122AB" w:rsidRPr="005E779E" w14:paraId="464DC8A6"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165DCF4D"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Гаубица 150</w:t>
            </w:r>
            <w:r w:rsidRPr="005E779E">
              <w:rPr>
                <w:rFonts w:ascii="Times New Roman" w:hAnsi="Times New Roman"/>
                <w:color w:val="000000" w:themeColor="text1"/>
                <w:sz w:val="16"/>
                <w:szCs w:val="16"/>
              </w:rPr>
              <w:noBreakHyphen/>
              <w:t>152 см 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7E66D61"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8-9</w:t>
            </w:r>
          </w:p>
        </w:tc>
        <w:tc>
          <w:tcPr>
            <w:tcW w:w="0" w:type="auto"/>
            <w:tcBorders>
              <w:top w:val="outset" w:sz="6" w:space="0" w:color="auto"/>
              <w:left w:val="outset" w:sz="6" w:space="0" w:color="auto"/>
              <w:bottom w:val="outset" w:sz="6" w:space="0" w:color="auto"/>
              <w:right w:val="outset" w:sz="6" w:space="0" w:color="auto"/>
            </w:tcBorders>
            <w:vAlign w:val="center"/>
            <w:hideMark/>
          </w:tcPr>
          <w:p w14:paraId="4DFEE2C0"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5-6</w:t>
            </w:r>
          </w:p>
        </w:tc>
      </w:tr>
      <w:tr w:rsidR="007122AB" w:rsidRPr="005E779E" w14:paraId="261DAD38"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31176D89"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То же 1929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AD1E374"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10FCC4F"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5-6⁵*</w:t>
            </w:r>
          </w:p>
        </w:tc>
      </w:tr>
      <w:tr w:rsidR="007122AB" w:rsidRPr="005E779E" w14:paraId="013920EF" w14:textId="77777777" w:rsidTr="00083CD8">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B8B11DD"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IV. Артиллерийский резерв Главного командования</w:t>
            </w:r>
          </w:p>
        </w:tc>
      </w:tr>
      <w:tr w:rsidR="007122AB" w:rsidRPr="005E779E" w14:paraId="60759D4E"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07B1158B"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Пушка 150</w:t>
            </w:r>
            <w:r w:rsidRPr="005E779E">
              <w:rPr>
                <w:rFonts w:ascii="Times New Roman" w:hAnsi="Times New Roman"/>
                <w:color w:val="000000" w:themeColor="text1"/>
                <w:sz w:val="16"/>
                <w:szCs w:val="16"/>
              </w:rPr>
              <w:noBreakHyphen/>
              <w:t>152 мм 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F942920"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1FA755F"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tc>
      </w:tr>
      <w:tr w:rsidR="007122AB" w:rsidRPr="005E779E" w14:paraId="09131F1D"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1B20AF20"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То же 1929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FEB26C8"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23-32</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B9D6D"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З⁶*</w:t>
            </w:r>
          </w:p>
        </w:tc>
      </w:tr>
      <w:tr w:rsidR="007122AB" w:rsidRPr="005E779E" w14:paraId="4A5E176A"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3D9D5E12"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203</w:t>
            </w:r>
            <w:r w:rsidRPr="005E779E">
              <w:rPr>
                <w:rFonts w:ascii="Times New Roman" w:hAnsi="Times New Roman"/>
                <w:color w:val="000000" w:themeColor="text1"/>
                <w:sz w:val="16"/>
                <w:szCs w:val="16"/>
              </w:rPr>
              <w:noBreakHyphen/>
              <w:t>220</w:t>
            </w:r>
            <w:r w:rsidRPr="005E779E">
              <w:rPr>
                <w:rFonts w:ascii="Times New Roman" w:hAnsi="Times New Roman"/>
                <w:color w:val="000000" w:themeColor="text1"/>
                <w:sz w:val="16"/>
                <w:szCs w:val="16"/>
              </w:rPr>
              <w:noBreakHyphen/>
              <w:t>мм гаубица 1914 г. и 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92EBDC4"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7-8</w:t>
            </w:r>
          </w:p>
        </w:tc>
        <w:tc>
          <w:tcPr>
            <w:tcW w:w="0" w:type="auto"/>
            <w:tcBorders>
              <w:top w:val="outset" w:sz="6" w:space="0" w:color="auto"/>
              <w:left w:val="outset" w:sz="6" w:space="0" w:color="auto"/>
              <w:bottom w:val="outset" w:sz="6" w:space="0" w:color="auto"/>
              <w:right w:val="outset" w:sz="6" w:space="0" w:color="auto"/>
            </w:tcBorders>
            <w:vAlign w:val="center"/>
            <w:hideMark/>
          </w:tcPr>
          <w:p w14:paraId="7132F140"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⅓ до 2</w:t>
            </w:r>
          </w:p>
        </w:tc>
      </w:tr>
      <w:tr w:rsidR="007122AB" w:rsidRPr="005E779E" w14:paraId="6254AB66"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16B51E65"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То же 1929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D5BB6D9"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 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282787B"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7122AB" w:rsidRPr="005E779E" w14:paraId="54B20A10"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6540420B"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305</w:t>
            </w:r>
            <w:r w:rsidRPr="005E779E">
              <w:rPr>
                <w:rFonts w:ascii="Times New Roman" w:hAnsi="Times New Roman"/>
                <w:color w:val="000000" w:themeColor="text1"/>
                <w:sz w:val="16"/>
                <w:szCs w:val="16"/>
              </w:rPr>
              <w:noBreakHyphen/>
              <w:t>мм гаубица 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D32969B"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48C8A6C1"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 ⅓</w:t>
            </w:r>
          </w:p>
        </w:tc>
      </w:tr>
      <w:tr w:rsidR="007122AB" w:rsidRPr="005E779E" w14:paraId="594EB831"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4D38DA62"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То же 1924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EC1E3"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 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C00E49A"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около 3</w:t>
            </w:r>
          </w:p>
        </w:tc>
      </w:tr>
      <w:tr w:rsidR="007122AB" w:rsidRPr="005E779E" w14:paraId="5ECCB390"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3BFD1E3F"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355</w:t>
            </w:r>
            <w:r w:rsidRPr="005E779E">
              <w:rPr>
                <w:rFonts w:ascii="Times New Roman" w:hAnsi="Times New Roman"/>
                <w:color w:val="000000" w:themeColor="text1"/>
                <w:sz w:val="16"/>
                <w:szCs w:val="16"/>
              </w:rPr>
              <w:noBreakHyphen/>
              <w:t>мм гаубица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87E26AF"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1A9EF293"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7122AB" w:rsidRPr="005E779E" w14:paraId="3104311B" w14:textId="77777777" w:rsidTr="00083CD8">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6E11840F"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V. Зенитные орудия</w:t>
            </w:r>
          </w:p>
        </w:tc>
      </w:tr>
      <w:tr w:rsidR="007122AB" w:rsidRPr="005E779E" w14:paraId="67DA60B1"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08DCA3D1"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75-77</w:t>
            </w:r>
            <w:r w:rsidRPr="005E779E">
              <w:rPr>
                <w:rFonts w:ascii="Times New Roman" w:hAnsi="Times New Roman"/>
                <w:color w:val="000000" w:themeColor="text1"/>
                <w:sz w:val="16"/>
                <w:szCs w:val="16"/>
              </w:rPr>
              <w:noBreakHyphen/>
              <w:t>мм 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3853596"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11/8-9/7⁷*</w:t>
            </w:r>
          </w:p>
        </w:tc>
        <w:tc>
          <w:tcPr>
            <w:tcW w:w="0" w:type="auto"/>
            <w:tcBorders>
              <w:top w:val="outset" w:sz="6" w:space="0" w:color="auto"/>
              <w:left w:val="outset" w:sz="6" w:space="0" w:color="auto"/>
              <w:bottom w:val="outset" w:sz="6" w:space="0" w:color="auto"/>
              <w:right w:val="outset" w:sz="6" w:space="0" w:color="auto"/>
            </w:tcBorders>
            <w:vAlign w:val="center"/>
            <w:hideMark/>
          </w:tcPr>
          <w:p w14:paraId="786578DB"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w:t>
            </w:r>
          </w:p>
        </w:tc>
      </w:tr>
      <w:tr w:rsidR="007122AB" w:rsidRPr="005E779E" w14:paraId="10A4F0A8"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3FBC5F4F"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То же 1929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8A140F4"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D458FA8"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w:t>
            </w:r>
          </w:p>
        </w:tc>
      </w:tr>
      <w:tr w:rsidR="007122AB" w:rsidRPr="005E779E" w14:paraId="7BA58C5E"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22B12198"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Орудие 100—105 мм 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27F6B"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12/7</w:t>
            </w:r>
          </w:p>
        </w:tc>
        <w:tc>
          <w:tcPr>
            <w:tcW w:w="0" w:type="auto"/>
            <w:tcBorders>
              <w:top w:val="outset" w:sz="6" w:space="0" w:color="auto"/>
              <w:left w:val="outset" w:sz="6" w:space="0" w:color="auto"/>
              <w:bottom w:val="outset" w:sz="6" w:space="0" w:color="auto"/>
              <w:right w:val="outset" w:sz="6" w:space="0" w:color="auto"/>
            </w:tcBorders>
            <w:vAlign w:val="center"/>
            <w:hideMark/>
          </w:tcPr>
          <w:p w14:paraId="5DBECC04"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w:t>
            </w:r>
          </w:p>
        </w:tc>
      </w:tr>
      <w:tr w:rsidR="007122AB" w:rsidRPr="005E779E" w14:paraId="2B07395C"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1906F55A"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То же 1929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AFF3345"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20/17</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EB308"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w:t>
            </w:r>
          </w:p>
        </w:tc>
      </w:tr>
      <w:tr w:rsidR="007122AB" w:rsidRPr="005E779E" w14:paraId="0C8E95D3" w14:textId="77777777" w:rsidTr="00083CD8">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4F305736"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VI. Железнодорожная артиллерия</w:t>
            </w:r>
          </w:p>
        </w:tc>
      </w:tr>
      <w:tr w:rsidR="007122AB" w:rsidRPr="005E779E" w14:paraId="38E13658"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55168602"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305</w:t>
            </w:r>
            <w:r w:rsidRPr="005E779E">
              <w:rPr>
                <w:rFonts w:ascii="Times New Roman" w:hAnsi="Times New Roman"/>
                <w:color w:val="000000" w:themeColor="text1"/>
                <w:sz w:val="16"/>
                <w:szCs w:val="16"/>
              </w:rPr>
              <w:noBreakHyphen/>
              <w:t>мм пушка 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C1FEA12"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638B3B"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w:t>
            </w:r>
          </w:p>
        </w:tc>
      </w:tr>
      <w:tr w:rsidR="007122AB" w:rsidRPr="005E779E" w14:paraId="7F3D06BB"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32EE94A1"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То 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5C8A2FB"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41</w:t>
            </w:r>
          </w:p>
        </w:tc>
        <w:tc>
          <w:tcPr>
            <w:tcW w:w="0" w:type="auto"/>
            <w:tcBorders>
              <w:top w:val="outset" w:sz="6" w:space="0" w:color="auto"/>
              <w:left w:val="outset" w:sz="6" w:space="0" w:color="auto"/>
              <w:bottom w:val="outset" w:sz="6" w:space="0" w:color="auto"/>
              <w:right w:val="outset" w:sz="6" w:space="0" w:color="auto"/>
            </w:tcBorders>
            <w:vAlign w:val="center"/>
            <w:hideMark/>
          </w:tcPr>
          <w:p w14:paraId="7D213D63"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7122AB" w:rsidRPr="005E779E" w14:paraId="1A66501D"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6338393B"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305</w:t>
            </w:r>
            <w:r w:rsidRPr="005E779E">
              <w:rPr>
                <w:rFonts w:ascii="Times New Roman" w:hAnsi="Times New Roman"/>
                <w:color w:val="000000" w:themeColor="text1"/>
                <w:sz w:val="16"/>
                <w:szCs w:val="16"/>
              </w:rPr>
              <w:noBreakHyphen/>
              <w:t>мм пушка 1929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EF86BAA"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4753CB"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7122AB" w:rsidRPr="005E779E" w14:paraId="7AA39EF0"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621C394E"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То 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FCF5E31"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5D7D7C"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w:t>
            </w:r>
          </w:p>
        </w:tc>
      </w:tr>
      <w:tr w:rsidR="007122AB" w:rsidRPr="005E779E" w14:paraId="0AB3169F"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7215536C"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340</w:t>
            </w:r>
            <w:r w:rsidRPr="005E779E">
              <w:rPr>
                <w:rFonts w:ascii="Times New Roman" w:hAnsi="Times New Roman"/>
                <w:color w:val="000000" w:themeColor="text1"/>
                <w:sz w:val="16"/>
                <w:szCs w:val="16"/>
              </w:rPr>
              <w:noBreakHyphen/>
              <w:t>мм пушка 1929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72E53BD"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4F5D18"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7122AB" w:rsidRPr="005E779E" w14:paraId="573FB69A"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13778E62"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356</w:t>
            </w:r>
            <w:r w:rsidRPr="005E779E">
              <w:rPr>
                <w:rFonts w:ascii="Times New Roman" w:hAnsi="Times New Roman"/>
                <w:color w:val="000000" w:themeColor="text1"/>
                <w:sz w:val="16"/>
                <w:szCs w:val="16"/>
              </w:rPr>
              <w:noBreakHyphen/>
              <w:t>мм пушка 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C9DF70D"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1BA96F"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7122AB" w:rsidRPr="005E779E" w14:paraId="42E62AD5"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424D2364"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Тоже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4537DF5"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39</w:t>
            </w:r>
          </w:p>
        </w:tc>
        <w:tc>
          <w:tcPr>
            <w:tcW w:w="0" w:type="auto"/>
            <w:tcBorders>
              <w:top w:val="outset" w:sz="6" w:space="0" w:color="auto"/>
              <w:left w:val="outset" w:sz="6" w:space="0" w:color="auto"/>
              <w:bottom w:val="outset" w:sz="6" w:space="0" w:color="auto"/>
              <w:right w:val="outset" w:sz="6" w:space="0" w:color="auto"/>
            </w:tcBorders>
            <w:vAlign w:val="center"/>
            <w:hideMark/>
          </w:tcPr>
          <w:p w14:paraId="3213F68C"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7122AB" w:rsidRPr="005E779E" w14:paraId="1C916218"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1305FC48"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Тоже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7AC13E5"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842BCE"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7122AB" w:rsidRPr="005E779E" w14:paraId="0AB86E3B"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106CE78C"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380</w:t>
            </w:r>
            <w:r w:rsidRPr="005E779E">
              <w:rPr>
                <w:rFonts w:ascii="Times New Roman" w:hAnsi="Times New Roman"/>
                <w:color w:val="000000" w:themeColor="text1"/>
                <w:sz w:val="16"/>
                <w:szCs w:val="16"/>
              </w:rPr>
              <w:noBreakHyphen/>
              <w:t>мм пушка 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CFB9B82"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55⁸*</w:t>
            </w:r>
          </w:p>
        </w:tc>
        <w:tc>
          <w:tcPr>
            <w:tcW w:w="0" w:type="auto"/>
            <w:tcBorders>
              <w:top w:val="outset" w:sz="6" w:space="0" w:color="auto"/>
              <w:left w:val="outset" w:sz="6" w:space="0" w:color="auto"/>
              <w:bottom w:val="outset" w:sz="6" w:space="0" w:color="auto"/>
              <w:right w:val="outset" w:sz="6" w:space="0" w:color="auto"/>
            </w:tcBorders>
            <w:vAlign w:val="center"/>
            <w:hideMark/>
          </w:tcPr>
          <w:p w14:paraId="1B89A62B"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tc>
      </w:tr>
      <w:tr w:rsidR="007122AB" w:rsidRPr="005E779E" w14:paraId="3002A620"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60698029"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VII. Сверхдальнобойная артиллерия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A667D9C"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8EDA5E8"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r>
      <w:tr w:rsidR="007122AB" w:rsidRPr="005E779E" w14:paraId="2842E64A"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70ABE23A"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203</w:t>
            </w:r>
            <w:r w:rsidRPr="005E779E">
              <w:rPr>
                <w:rFonts w:ascii="Times New Roman" w:hAnsi="Times New Roman"/>
                <w:color w:val="000000" w:themeColor="text1"/>
                <w:sz w:val="16"/>
                <w:szCs w:val="16"/>
              </w:rPr>
              <w:noBreakHyphen/>
              <w:t>мм пушка 1917 и 1920 гг.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D12CBA7"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 102-120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1B6D75"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7122AB" w:rsidRPr="005E779E" w14:paraId="029782DC"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298974FC"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То же 1929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959A1B2"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 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9CDB58"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7122AB" w:rsidRPr="005E779E" w14:paraId="21862871" w14:textId="77777777" w:rsidTr="00083CD8">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0983D4C4"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VIII. Морская артиллерия</w:t>
            </w:r>
          </w:p>
        </w:tc>
      </w:tr>
      <w:tr w:rsidR="007122AB" w:rsidRPr="005E779E" w14:paraId="4377A8AA"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32CA3B3A"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180</w:t>
            </w:r>
            <w:r w:rsidRPr="005E779E">
              <w:rPr>
                <w:rFonts w:ascii="Times New Roman" w:hAnsi="Times New Roman"/>
                <w:color w:val="000000" w:themeColor="text1"/>
                <w:sz w:val="16"/>
                <w:szCs w:val="16"/>
              </w:rPr>
              <w:noBreakHyphen/>
              <w:t>мм орудие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34EF5E7"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 18 до 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73C683C"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6-8</w:t>
            </w:r>
          </w:p>
        </w:tc>
      </w:tr>
      <w:tr w:rsidR="007122AB" w:rsidRPr="005E779E" w14:paraId="41276FA3"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608E6244"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203</w:t>
            </w:r>
            <w:r w:rsidRPr="005E779E">
              <w:rPr>
                <w:rFonts w:ascii="Times New Roman" w:hAnsi="Times New Roman"/>
                <w:color w:val="000000" w:themeColor="text1"/>
                <w:sz w:val="16"/>
                <w:szCs w:val="16"/>
              </w:rPr>
              <w:noBreakHyphen/>
              <w:t>мм пушка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15CA2BE"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DC3D45"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w:t>
            </w:r>
          </w:p>
        </w:tc>
      </w:tr>
      <w:tr w:rsidR="007122AB" w:rsidRPr="005E779E" w14:paraId="19D5061E"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20F28573"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305</w:t>
            </w:r>
            <w:r w:rsidRPr="005E779E">
              <w:rPr>
                <w:rFonts w:ascii="Times New Roman" w:hAnsi="Times New Roman"/>
                <w:color w:val="000000" w:themeColor="text1"/>
                <w:sz w:val="16"/>
                <w:szCs w:val="16"/>
              </w:rPr>
              <w:noBreakHyphen/>
              <w:t>мм (50 кал[ибров], 12 дюймов)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2F66053"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 23 до 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DA17F0"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7122AB" w:rsidRPr="005E779E" w14:paraId="0E8A60B4"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1C585BA8"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356</w:t>
            </w:r>
            <w:r w:rsidRPr="005E779E">
              <w:rPr>
                <w:rFonts w:ascii="Times New Roman" w:hAnsi="Times New Roman"/>
                <w:color w:val="000000" w:themeColor="text1"/>
                <w:sz w:val="16"/>
                <w:szCs w:val="16"/>
              </w:rPr>
              <w:noBreakHyphen/>
              <w:t>мм (50 кал[ибров], 14 дюймов)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4C0FCB3"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 30 до 39</w:t>
            </w:r>
          </w:p>
        </w:tc>
        <w:tc>
          <w:tcPr>
            <w:tcW w:w="0" w:type="auto"/>
            <w:tcBorders>
              <w:top w:val="outset" w:sz="6" w:space="0" w:color="auto"/>
              <w:left w:val="outset" w:sz="6" w:space="0" w:color="auto"/>
              <w:bottom w:val="outset" w:sz="6" w:space="0" w:color="auto"/>
              <w:right w:val="outset" w:sz="6" w:space="0" w:color="auto"/>
            </w:tcBorders>
            <w:vAlign w:val="center"/>
            <w:hideMark/>
          </w:tcPr>
          <w:p w14:paraId="7AAB0922"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7122AB" w:rsidRPr="005E779E" w14:paraId="0D5E7755"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6DAC9CE6"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406</w:t>
            </w:r>
            <w:r w:rsidRPr="005E779E">
              <w:rPr>
                <w:rFonts w:ascii="Times New Roman" w:hAnsi="Times New Roman"/>
                <w:color w:val="000000" w:themeColor="text1"/>
                <w:sz w:val="16"/>
                <w:szCs w:val="16"/>
              </w:rPr>
              <w:noBreakHyphen/>
              <w:t>мм (50 кал[ибров], 16 дюймов)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20C16A6"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CD91C7"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r>
      <w:tr w:rsidR="007122AB" w:rsidRPr="005E779E" w14:paraId="5B492B4E"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7C14AB0D"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457</w:t>
            </w:r>
            <w:r w:rsidRPr="005E779E">
              <w:rPr>
                <w:rFonts w:ascii="Times New Roman" w:hAnsi="Times New Roman"/>
                <w:color w:val="000000" w:themeColor="text1"/>
                <w:sz w:val="16"/>
                <w:szCs w:val="16"/>
              </w:rPr>
              <w:noBreakHyphen/>
              <w:t>мм (50 кал[ибров], 18 дюймов)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FF31440"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C9EE8"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7122AB" w:rsidRPr="005E779E" w14:paraId="1429C366"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210F4773"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508</w:t>
            </w:r>
            <w:r w:rsidRPr="005E779E">
              <w:rPr>
                <w:rFonts w:ascii="Times New Roman" w:hAnsi="Times New Roman"/>
                <w:color w:val="000000" w:themeColor="text1"/>
                <w:sz w:val="16"/>
                <w:szCs w:val="16"/>
              </w:rPr>
              <w:noBreakHyphen/>
              <w:t>мм (50 кал[ибров], 20 дюймов)⁹*</w:t>
            </w:r>
          </w:p>
        </w:tc>
        <w:tc>
          <w:tcPr>
            <w:tcW w:w="0" w:type="auto"/>
            <w:tcBorders>
              <w:top w:val="outset" w:sz="6" w:space="0" w:color="auto"/>
              <w:left w:val="outset" w:sz="6" w:space="0" w:color="auto"/>
              <w:bottom w:val="outset" w:sz="6" w:space="0" w:color="auto"/>
              <w:right w:val="outset" w:sz="6" w:space="0" w:color="auto"/>
            </w:tcBorders>
            <w:vAlign w:val="center"/>
            <w:hideMark/>
          </w:tcPr>
          <w:p w14:paraId="6234C0C5"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D43609"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bl>
    <w:p w14:paraId="2139E883" w14:textId="77777777" w:rsidR="005E7475" w:rsidRPr="005E779E" w:rsidRDefault="005E7475" w:rsidP="000B7A6C">
      <w:pPr>
        <w:pStyle w:val="rtejustify"/>
        <w:spacing w:before="0" w:after="0"/>
        <w:rPr>
          <w:color w:val="000000" w:themeColor="text1"/>
          <w:sz w:val="16"/>
          <w:szCs w:val="16"/>
        </w:rPr>
      </w:pPr>
      <w:r w:rsidRPr="005E779E">
        <w:rPr>
          <w:color w:val="000000" w:themeColor="text1"/>
          <w:sz w:val="16"/>
          <w:szCs w:val="16"/>
        </w:rPr>
        <w:t>Как видно, эволюция в дальнобойности и скорострельности поразительная, дающая в среднем приращение по сравнению с 1914 г. По винтовке дальнобойность прямого выстрела в 6 раз. Скорострельность осталась без изменения¹⁰*. По пулеметам дальнобойность прямого выстрела — в 6 раз, скорострельность — в 2</w:t>
      </w:r>
      <w:r w:rsidRPr="005E779E">
        <w:rPr>
          <w:color w:val="000000" w:themeColor="text1"/>
          <w:sz w:val="16"/>
          <w:szCs w:val="16"/>
        </w:rPr>
        <w:noBreakHyphen/>
        <w:t>3 раза.</w:t>
      </w:r>
    </w:p>
    <w:p w14:paraId="4599B5DE" w14:textId="77777777" w:rsidR="005E7475" w:rsidRPr="005E779E" w:rsidRDefault="005E7475" w:rsidP="000B7A6C">
      <w:pPr>
        <w:pStyle w:val="rtejustify"/>
        <w:spacing w:before="0" w:after="0"/>
        <w:rPr>
          <w:color w:val="000000" w:themeColor="text1"/>
          <w:sz w:val="16"/>
          <w:szCs w:val="16"/>
        </w:rPr>
      </w:pPr>
      <w:r w:rsidRPr="005E779E">
        <w:rPr>
          <w:color w:val="000000" w:themeColor="text1"/>
          <w:sz w:val="16"/>
          <w:szCs w:val="16"/>
        </w:rPr>
        <w:t>В дивизионной артиллерии приращение дальнобойности в 1,5 раза с тенденцией к 2</w:t>
      </w:r>
      <w:r w:rsidRPr="005E779E">
        <w:rPr>
          <w:color w:val="000000" w:themeColor="text1"/>
          <w:sz w:val="16"/>
          <w:szCs w:val="16"/>
        </w:rPr>
        <w:noBreakHyphen/>
        <w:t>м, скорострельности — в 2 раза. Особенно бросается в глаза дальнобойность 77</w:t>
      </w:r>
      <w:r w:rsidRPr="005E779E">
        <w:rPr>
          <w:color w:val="000000" w:themeColor="text1"/>
          <w:sz w:val="16"/>
          <w:szCs w:val="16"/>
        </w:rPr>
        <w:noBreakHyphen/>
        <w:t>мм¹¹* морской японской [пушки] — 30 км. Увеличение дальнобойности корпусных орудий также стремится к 2, а скорострельности, если основываться на соответствующих морских калибрах, то к 4¹²*.</w:t>
      </w:r>
    </w:p>
    <w:p w14:paraId="34E2DC0B" w14:textId="77777777" w:rsidR="005E7475" w:rsidRPr="005E779E" w:rsidRDefault="005E7475" w:rsidP="000B7A6C">
      <w:pPr>
        <w:pStyle w:val="rtejustify"/>
        <w:spacing w:before="0" w:after="0"/>
        <w:rPr>
          <w:color w:val="000000" w:themeColor="text1"/>
          <w:sz w:val="16"/>
          <w:szCs w:val="16"/>
        </w:rPr>
      </w:pPr>
      <w:r w:rsidRPr="005E779E">
        <w:rPr>
          <w:color w:val="000000" w:themeColor="text1"/>
          <w:sz w:val="16"/>
          <w:szCs w:val="16"/>
        </w:rPr>
        <w:t>То же самое должно быть отмечено и по орудиям артиллерийского резерва Главного командования. То же в отношении зенитной артиллерии, которая, по данным на 1929 г., достигла рекордной цифры по высотобойности — 17 км при скорострельности 15 выстрелов в минуту. Для 105</w:t>
      </w:r>
      <w:r w:rsidRPr="005E779E">
        <w:rPr>
          <w:color w:val="000000" w:themeColor="text1"/>
          <w:sz w:val="16"/>
          <w:szCs w:val="16"/>
        </w:rPr>
        <w:noBreakHyphen/>
        <w:t>мм орудий — высотобойности 13 км, скорострельности 50 выстрелов в минуту для 76</w:t>
      </w:r>
      <w:r w:rsidRPr="005E779E">
        <w:rPr>
          <w:color w:val="000000" w:themeColor="text1"/>
          <w:sz w:val="16"/>
          <w:szCs w:val="16"/>
        </w:rPr>
        <w:noBreakHyphen/>
        <w:t>мм калибра при высотобойности 13 км.</w:t>
      </w:r>
    </w:p>
    <w:p w14:paraId="7E205607" w14:textId="77777777" w:rsidR="005E7475" w:rsidRPr="005E779E" w:rsidRDefault="005E7475" w:rsidP="000B7A6C">
      <w:pPr>
        <w:pStyle w:val="rtejustify"/>
        <w:spacing w:before="0" w:after="0"/>
        <w:rPr>
          <w:color w:val="000000" w:themeColor="text1"/>
          <w:sz w:val="16"/>
          <w:szCs w:val="16"/>
        </w:rPr>
      </w:pPr>
      <w:r w:rsidRPr="005E779E">
        <w:rPr>
          <w:color w:val="000000" w:themeColor="text1"/>
          <w:sz w:val="16"/>
          <w:szCs w:val="16"/>
        </w:rPr>
        <w:t>По железнодорожной артиллерии бросается в глаза достигнутая еще в 1914 г. большая скорострельность таких крупных орудий, как 305 мм — 4 выстрела в минуту. Из этой группы особенно следует отметить 380</w:t>
      </w:r>
      <w:r w:rsidRPr="005E779E">
        <w:rPr>
          <w:color w:val="000000" w:themeColor="text1"/>
          <w:sz w:val="16"/>
          <w:szCs w:val="16"/>
        </w:rPr>
        <w:noBreakHyphen/>
        <w:t>мм крупповскую, которая стреляла на дистанции 55 км при скорострельности 3 выстрела в минуту.</w:t>
      </w:r>
    </w:p>
    <w:p w14:paraId="3991480C" w14:textId="77777777" w:rsidR="005E7475" w:rsidRPr="005E779E" w:rsidRDefault="005E7475" w:rsidP="000B7A6C">
      <w:pPr>
        <w:pStyle w:val="rtejustify"/>
        <w:spacing w:before="0" w:after="0"/>
        <w:rPr>
          <w:color w:val="000000" w:themeColor="text1"/>
          <w:sz w:val="16"/>
          <w:szCs w:val="16"/>
        </w:rPr>
      </w:pPr>
      <w:r w:rsidRPr="005E779E">
        <w:rPr>
          <w:color w:val="000000" w:themeColor="text1"/>
          <w:sz w:val="16"/>
          <w:szCs w:val="16"/>
        </w:rPr>
        <w:t>Сверхдальнобойная артиллерия, будучи в свое время своего рода техническим трюком, по мнению Италии, должна стать серьезным орудием войны и имеет эволюцию дальности до 200 км.</w:t>
      </w:r>
    </w:p>
    <w:p w14:paraId="1585D7CB" w14:textId="77777777" w:rsidR="005E7475" w:rsidRPr="005E779E" w:rsidRDefault="005E7475" w:rsidP="000B7A6C">
      <w:pPr>
        <w:pStyle w:val="rtejustify"/>
        <w:spacing w:before="0" w:after="0"/>
        <w:rPr>
          <w:color w:val="000000" w:themeColor="text1"/>
          <w:sz w:val="16"/>
          <w:szCs w:val="16"/>
        </w:rPr>
      </w:pPr>
      <w:r w:rsidRPr="005E779E">
        <w:rPr>
          <w:color w:val="000000" w:themeColor="text1"/>
          <w:sz w:val="16"/>
          <w:szCs w:val="16"/>
        </w:rPr>
        <w:t>Из группы морских и береговых орудий особенно следует отметить 18</w:t>
      </w:r>
      <w:r w:rsidRPr="005E779E">
        <w:rPr>
          <w:color w:val="000000" w:themeColor="text1"/>
          <w:sz w:val="16"/>
          <w:szCs w:val="16"/>
        </w:rPr>
        <w:noBreakHyphen/>
        <w:t>дюймовые и 20</w:t>
      </w:r>
      <w:r w:rsidRPr="005E779E">
        <w:rPr>
          <w:color w:val="000000" w:themeColor="text1"/>
          <w:sz w:val="16"/>
          <w:szCs w:val="16"/>
        </w:rPr>
        <w:noBreakHyphen/>
        <w:t>дюймовые орудия. По Вашингтонской конференции на вооружении флотов не должно находиться орудие выше 16 дюймов, но в береговой артиллерии державы себя этим калибром не считают связанными, и Америка экспериментирует с 18</w:t>
      </w:r>
      <w:r w:rsidRPr="005E779E">
        <w:rPr>
          <w:color w:val="000000" w:themeColor="text1"/>
          <w:sz w:val="16"/>
          <w:szCs w:val="16"/>
        </w:rPr>
        <w:noBreakHyphen/>
        <w:t>дюймовым орудием. С точки зрения артиллерийской техники, и в особенности для металлургии, исключительный интерес и важность представляет 20</w:t>
      </w:r>
      <w:r w:rsidRPr="005E779E">
        <w:rPr>
          <w:color w:val="000000" w:themeColor="text1"/>
          <w:sz w:val="16"/>
          <w:szCs w:val="16"/>
        </w:rPr>
        <w:noBreakHyphen/>
        <w:t>дюймовая пушка. Этот калибр Крупп приготовил в виде особого сюрприза, рассчитывая на внезапность, к концу империалистической войны. Данные по эволюции танкового дела даются отдельно.</w:t>
      </w:r>
    </w:p>
    <w:p w14:paraId="4AB43BA5" w14:textId="77777777" w:rsidR="005E7475" w:rsidRPr="005E779E" w:rsidRDefault="005E7475" w:rsidP="000B7A6C">
      <w:pPr>
        <w:pStyle w:val="rtejustify"/>
        <w:spacing w:before="0" w:after="0"/>
        <w:rPr>
          <w:color w:val="000000" w:themeColor="text1"/>
          <w:sz w:val="16"/>
          <w:szCs w:val="16"/>
        </w:rPr>
      </w:pPr>
      <w:r w:rsidRPr="005E779E">
        <w:rPr>
          <w:color w:val="000000" w:themeColor="text1"/>
          <w:sz w:val="16"/>
          <w:szCs w:val="16"/>
        </w:rPr>
        <w:t>Уже эти скудные сведения должны дать производству очень серьезный материал для размышления, и можно с полной определенностью сказать, что если будет учтена эта самая эволюция, то все проектирование наших артиллерийских цехов, начиная с орудийных, а в особенности по затвору и лафетам, должно выглядеть совершенно иначе, чем это имеет место сейчас у нас.</w:t>
      </w:r>
    </w:p>
    <w:p w14:paraId="7F610BEB" w14:textId="77777777" w:rsidR="005E7475" w:rsidRPr="005E779E" w:rsidRDefault="005E7475" w:rsidP="000B7A6C">
      <w:pPr>
        <w:pStyle w:val="rtejustify"/>
        <w:spacing w:before="0" w:after="0"/>
        <w:rPr>
          <w:color w:val="000000" w:themeColor="text1"/>
          <w:sz w:val="16"/>
          <w:szCs w:val="16"/>
        </w:rPr>
      </w:pPr>
      <w:r w:rsidRPr="005E779E">
        <w:rPr>
          <w:color w:val="000000" w:themeColor="text1"/>
          <w:sz w:val="16"/>
          <w:szCs w:val="16"/>
        </w:rPr>
        <w:t>Однако указанных двух показателей дальнобойности и скорострельности для проведения необходимых изменений в производство недостаточно, и нам желательно было бы иметь на первое время разработанный материал хотя бы по следующим основным показателям: 1) по скорострельности; 2) по дальнобойности; 3) по подвижности, понимая под последней вес системы в боевом и походном положении и скорость движения — км/ч; 4) мощность (дульная энергия); 5) коэффициент использования металла. (Дульная энергия, разделенная как на вес системы — по орудию и лафету в боевом положении, так и отдельно по основным элементам — по орудию и лафету); 6) живучести, подразумевая под последней количество выстрелов, которые делает система до потери меткости в заданных пределах и наконец 7) надежность системы в работе.</w:t>
      </w:r>
    </w:p>
    <w:p w14:paraId="4913348D" w14:textId="77777777" w:rsidR="005E7475" w:rsidRPr="005E779E" w:rsidRDefault="005E7475" w:rsidP="000B7A6C">
      <w:pPr>
        <w:pStyle w:val="rtejustify"/>
        <w:spacing w:before="0" w:after="0"/>
        <w:rPr>
          <w:color w:val="000000" w:themeColor="text1"/>
          <w:sz w:val="16"/>
          <w:szCs w:val="16"/>
        </w:rPr>
      </w:pPr>
      <w:r w:rsidRPr="005E779E">
        <w:rPr>
          <w:color w:val="000000" w:themeColor="text1"/>
          <w:sz w:val="16"/>
          <w:szCs w:val="16"/>
        </w:rPr>
        <w:t>С точки зрения задания металлургии, необходимо здесь остановиться на одном важном факторе — живучесть, по данным, относящимся ко времени мировой войны; орудия русской артиллерии в отношении продолжительности «жизни» находились на одном из последних мест. Так, например, предельный срок пушки указанного периода характеризуется следующим средним числом выстрелов: 1) Германия — 76</w:t>
      </w:r>
      <w:r w:rsidRPr="005E779E">
        <w:rPr>
          <w:color w:val="000000" w:themeColor="text1"/>
          <w:sz w:val="16"/>
          <w:szCs w:val="16"/>
        </w:rPr>
        <w:noBreakHyphen/>
        <w:t>мм пушка образца 1896 г./А — 15 тыс. выстрелов; 2) Франция — 75</w:t>
      </w:r>
      <w:r w:rsidRPr="005E779E">
        <w:rPr>
          <w:color w:val="000000" w:themeColor="text1"/>
          <w:sz w:val="16"/>
          <w:szCs w:val="16"/>
        </w:rPr>
        <w:noBreakHyphen/>
        <w:t>мм [пушка] образца 1897 г. — 8 тыс. выстрелов; 3) Россия — 3</w:t>
      </w:r>
      <w:r w:rsidRPr="005E779E">
        <w:rPr>
          <w:color w:val="000000" w:themeColor="text1"/>
          <w:sz w:val="16"/>
          <w:szCs w:val="16"/>
        </w:rPr>
        <w:noBreakHyphen/>
        <w:t>дюймовая пушка образца 1902 г. — 6 тыс. выстрелов; 4) Австрия — 76</w:t>
      </w:r>
      <w:r w:rsidRPr="005E779E">
        <w:rPr>
          <w:color w:val="000000" w:themeColor="text1"/>
          <w:sz w:val="16"/>
          <w:szCs w:val="16"/>
        </w:rPr>
        <w:noBreakHyphen/>
        <w:t>мм пушка — 4,5 тыс. выстрелов.</w:t>
      </w:r>
    </w:p>
    <w:p w14:paraId="00D3DA92" w14:textId="77777777" w:rsidR="005E7475" w:rsidRPr="005E779E" w:rsidRDefault="005E7475" w:rsidP="000B7A6C">
      <w:pPr>
        <w:pStyle w:val="rtejustify"/>
        <w:spacing w:before="0" w:after="0"/>
        <w:rPr>
          <w:color w:val="000000" w:themeColor="text1"/>
          <w:sz w:val="16"/>
          <w:szCs w:val="16"/>
        </w:rPr>
      </w:pPr>
      <w:r w:rsidRPr="005E779E">
        <w:rPr>
          <w:color w:val="000000" w:themeColor="text1"/>
          <w:sz w:val="16"/>
          <w:szCs w:val="16"/>
        </w:rPr>
        <w:t>Продолжительность службы пулеметных стволов может в отдельных случаях достигать 70 тыс. выстрелов, но средние данные меньше этого в несколько раз. В части танкового дела мы имеем следующую картину:</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08"/>
        <w:gridCol w:w="1440"/>
        <w:gridCol w:w="4841"/>
        <w:gridCol w:w="1785"/>
        <w:gridCol w:w="948"/>
      </w:tblGrid>
      <w:tr w:rsidR="007122AB" w:rsidRPr="005E779E" w14:paraId="7B96AA98"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5A74C23E"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Название</w:t>
            </w:r>
          </w:p>
          <w:p w14:paraId="4C4CAEFF"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танка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4E25636"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Район</w:t>
            </w:r>
          </w:p>
          <w:p w14:paraId="6A122CD5"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действия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64ED1B3"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Подвижное число, км/ч</w:t>
            </w:r>
          </w:p>
        </w:tc>
        <w:tc>
          <w:tcPr>
            <w:tcW w:w="0" w:type="auto"/>
            <w:tcBorders>
              <w:top w:val="outset" w:sz="6" w:space="0" w:color="auto"/>
              <w:left w:val="outset" w:sz="6" w:space="0" w:color="auto"/>
              <w:bottom w:val="outset" w:sz="6" w:space="0" w:color="auto"/>
              <w:right w:val="outset" w:sz="6" w:space="0" w:color="auto"/>
            </w:tcBorders>
            <w:vAlign w:val="center"/>
            <w:hideMark/>
          </w:tcPr>
          <w:p w14:paraId="28CFB691"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Мощность,</w:t>
            </w:r>
          </w:p>
          <w:p w14:paraId="439B99CA"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НР</w:t>
            </w:r>
          </w:p>
        </w:tc>
        <w:tc>
          <w:tcPr>
            <w:tcW w:w="0" w:type="auto"/>
            <w:tcBorders>
              <w:top w:val="outset" w:sz="6" w:space="0" w:color="auto"/>
              <w:left w:val="outset" w:sz="6" w:space="0" w:color="auto"/>
              <w:bottom w:val="outset" w:sz="6" w:space="0" w:color="auto"/>
              <w:right w:val="outset" w:sz="6" w:space="0" w:color="auto"/>
            </w:tcBorders>
            <w:vAlign w:val="center"/>
            <w:hideMark/>
          </w:tcPr>
          <w:p w14:paraId="4367AE4D"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т</w:t>
            </w:r>
          </w:p>
        </w:tc>
      </w:tr>
      <w:tr w:rsidR="007122AB" w:rsidRPr="005E779E" w14:paraId="02FADEE6"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5E1B7544"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Танкетка¹³*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E6E88D8"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184A9D3"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 на гусенице, 150 на колесах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973D7F2"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304605"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w:t>
            </w:r>
            <w:r w:rsidRPr="005E779E">
              <w:rPr>
                <w:rFonts w:ascii="Times New Roman" w:hAnsi="Times New Roman"/>
                <w:color w:val="000000" w:themeColor="text1"/>
                <w:sz w:val="16"/>
                <w:szCs w:val="16"/>
              </w:rPr>
              <w:noBreakHyphen/>
              <w:t>2</w:t>
            </w:r>
          </w:p>
        </w:tc>
      </w:tr>
      <w:tr w:rsidR="007122AB" w:rsidRPr="005E779E" w14:paraId="2F4321E1"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6D45D00E"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Танк малый¹⁴*</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A4B9343" w14:textId="77777777" w:rsidR="005E7475" w:rsidRPr="005E779E" w:rsidRDefault="005E7475" w:rsidP="000B7A6C">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5D4A95"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То же самое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2F66C"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B43ADE"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w:t>
            </w:r>
          </w:p>
        </w:tc>
      </w:tr>
      <w:tr w:rsidR="007122AB" w:rsidRPr="005E779E" w14:paraId="6CEAF655"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3D77764D"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Танк средний</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B023F57" w14:textId="77777777" w:rsidR="005E7475" w:rsidRPr="005E779E" w:rsidRDefault="005E7475" w:rsidP="000B7A6C">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44BE81"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 гусеница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84D22CC"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3CADFA"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w:t>
            </w:r>
          </w:p>
        </w:tc>
      </w:tr>
      <w:tr w:rsidR="007122AB" w:rsidRPr="005E779E" w14:paraId="4DCC863A"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0CF902A9"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Танк большой</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7E7C777" w14:textId="77777777" w:rsidR="005E7475" w:rsidRPr="005E779E" w:rsidRDefault="005E7475" w:rsidP="000B7A6C">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DBF14E"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 гусеница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DC50558"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6AC9CC"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w:t>
            </w:r>
          </w:p>
        </w:tc>
      </w:tr>
    </w:tbl>
    <w:p w14:paraId="3A464739" w14:textId="77777777" w:rsidR="005E7475" w:rsidRPr="005E779E" w:rsidRDefault="005E7475" w:rsidP="000B7A6C">
      <w:pPr>
        <w:pStyle w:val="rtejustify"/>
        <w:spacing w:before="0" w:after="0"/>
        <w:rPr>
          <w:color w:val="000000" w:themeColor="text1"/>
          <w:sz w:val="16"/>
          <w:szCs w:val="16"/>
        </w:rPr>
      </w:pPr>
      <w:r w:rsidRPr="005E779E">
        <w:rPr>
          <w:color w:val="000000" w:themeColor="text1"/>
          <w:sz w:val="16"/>
          <w:szCs w:val="16"/>
        </w:rPr>
        <w:t>Кроме того, по имеющимся сведениям во Франции изготовлен танк весом в 120 т; других данных нет.</w:t>
      </w:r>
    </w:p>
    <w:p w14:paraId="35271B9E" w14:textId="77777777" w:rsidR="005E7475" w:rsidRPr="005E779E" w:rsidRDefault="005E7475" w:rsidP="000B7A6C">
      <w:pPr>
        <w:pStyle w:val="rtejustify"/>
        <w:spacing w:before="0" w:after="0"/>
        <w:rPr>
          <w:color w:val="000000" w:themeColor="text1"/>
          <w:sz w:val="16"/>
          <w:szCs w:val="16"/>
        </w:rPr>
      </w:pPr>
      <w:r w:rsidRPr="005E779E">
        <w:rPr>
          <w:color w:val="000000" w:themeColor="text1"/>
          <w:sz w:val="16"/>
          <w:szCs w:val="16"/>
        </w:rPr>
        <w:t>В части противогазов мы имеем непрерывное появление новых ОВ, причем производство противогазов должно непрерывно приспособляться к тому, чтобы противогазы отвечали своему назначению во всех случаях и выдержали бы длительное воздействие ОВ, не коррозируя и не разрушаясь, а также продержались без изменения своих свойств хранения в течение нескольких лет. По имеющимся данным, американские противогазы выдерживают хранение до 8 лет. Удовлетворить требованиям снабжения нашей артиллерии новыми образцами призвано Оружобъединение. Необходимо выявить условия достижения рекордных цифр и обеспечить постановку новых рекордов. Одновременно научно-исследовательская работа, в широком смысле этого слова, должна ответить на вопрос, как перевести эту поразительную динамику на язык конструкторов в части геометрических размеров, на язык поставщиков материалов — в части технических требований к ним.</w:t>
      </w:r>
    </w:p>
    <w:p w14:paraId="385B41EF" w14:textId="77777777" w:rsidR="005E7475" w:rsidRPr="005E779E" w:rsidRDefault="005E7475" w:rsidP="000B7A6C">
      <w:pPr>
        <w:pStyle w:val="rtejustify"/>
        <w:spacing w:before="0" w:after="0"/>
        <w:rPr>
          <w:color w:val="000000" w:themeColor="text1"/>
          <w:sz w:val="16"/>
          <w:szCs w:val="16"/>
        </w:rPr>
      </w:pPr>
      <w:r w:rsidRPr="005E779E">
        <w:rPr>
          <w:color w:val="000000" w:themeColor="text1"/>
          <w:sz w:val="16"/>
          <w:szCs w:val="16"/>
        </w:rPr>
        <w:lastRenderedPageBreak/>
        <w:t>Но, помимо придания предметам вооружения новых замечательных свойств, увеличивающих его могущество, современная военная техника колоссально увеличила насыщенность строевых единиц военной техникой, например: САСШ, пулеметов на дивизию: 1914 г. — 24, 1930 г. — 947. Чрезвычайно возросли производственные возможности держав капит[алистических] стран. Так, например, Франция увеличила месячный свой выпуск.</w:t>
      </w:r>
    </w:p>
    <w:p w14:paraId="1FFD36E2" w14:textId="77777777" w:rsidR="005E7475" w:rsidRPr="005E779E" w:rsidRDefault="005E7475" w:rsidP="000B7A6C">
      <w:pPr>
        <w:pStyle w:val="ae"/>
        <w:spacing w:before="0" w:after="0"/>
        <w:jc w:val="both"/>
        <w:rPr>
          <w:color w:val="000000" w:themeColor="text1"/>
          <w:sz w:val="16"/>
          <w:szCs w:val="16"/>
        </w:rPr>
      </w:pPr>
      <w:r w:rsidRPr="005E779E">
        <w:rPr>
          <w:rStyle w:val="a7"/>
          <w:b w:val="0"/>
          <w:color w:val="000000" w:themeColor="text1"/>
          <w:sz w:val="16"/>
          <w:szCs w:val="16"/>
        </w:rPr>
        <w:t>Развитие военных производств во Франции:</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84"/>
        <w:gridCol w:w="4293"/>
        <w:gridCol w:w="1678"/>
        <w:gridCol w:w="1551"/>
        <w:gridCol w:w="2316"/>
      </w:tblGrid>
      <w:tr w:rsidR="007122AB" w:rsidRPr="005E779E" w14:paraId="16F5E51F"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502F3366"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DD3ABD8"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Пулеметов тяжелых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C74447F"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374C3D6"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Танков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1899A6C"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Самолетов</w:t>
            </w:r>
          </w:p>
        </w:tc>
      </w:tr>
      <w:tr w:rsidR="007122AB" w:rsidRPr="005E779E" w14:paraId="2554C4FB"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72639F77"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1918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2E98F54"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52C6BC0"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2E5D53"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BEF1F2"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2000</w:t>
            </w:r>
          </w:p>
        </w:tc>
      </w:tr>
      <w:tr w:rsidR="007122AB" w:rsidRPr="005E779E" w14:paraId="647846A7"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40159285"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6A2E125"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1A40058"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ADD06B"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213EF0"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r>
    </w:tbl>
    <w:p w14:paraId="753B6578" w14:textId="77777777" w:rsidR="005E7475" w:rsidRPr="005E779E" w:rsidRDefault="005E7475" w:rsidP="000B7A6C">
      <w:pPr>
        <w:pStyle w:val="rtejustify"/>
        <w:spacing w:before="0" w:after="0"/>
        <w:rPr>
          <w:color w:val="000000" w:themeColor="text1"/>
          <w:sz w:val="16"/>
          <w:szCs w:val="16"/>
        </w:rPr>
      </w:pPr>
      <w:r w:rsidRPr="005E779E">
        <w:rPr>
          <w:color w:val="000000" w:themeColor="text1"/>
          <w:sz w:val="16"/>
          <w:szCs w:val="16"/>
        </w:rPr>
        <w:t>Отсюда вытекают новые требования к производству и к капитальному строительству количественного и качественного порядка, и последние ставят дополнительные вопросы конструкторам:</w:t>
      </w:r>
    </w:p>
    <w:p w14:paraId="02B0AB3A" w14:textId="77777777" w:rsidR="005E7475" w:rsidRPr="005E779E" w:rsidRDefault="005E7475" w:rsidP="000B7A6C">
      <w:pPr>
        <w:pStyle w:val="rtejustify"/>
        <w:spacing w:before="0" w:after="0"/>
        <w:rPr>
          <w:color w:val="000000" w:themeColor="text1"/>
          <w:sz w:val="16"/>
          <w:szCs w:val="16"/>
        </w:rPr>
      </w:pPr>
      <w:r w:rsidRPr="005E779E">
        <w:rPr>
          <w:color w:val="000000" w:themeColor="text1"/>
          <w:sz w:val="16"/>
          <w:szCs w:val="16"/>
        </w:rPr>
        <w:t>а) каковы будут геометрические размеры (линейные размеры, площади, объем);</w:t>
      </w:r>
    </w:p>
    <w:p w14:paraId="4EA582A5" w14:textId="77777777" w:rsidR="005E7475" w:rsidRPr="005E779E" w:rsidRDefault="005E7475" w:rsidP="000B7A6C">
      <w:pPr>
        <w:pStyle w:val="rtejustify"/>
        <w:spacing w:before="0" w:after="0"/>
        <w:rPr>
          <w:color w:val="000000" w:themeColor="text1"/>
          <w:sz w:val="16"/>
          <w:szCs w:val="16"/>
        </w:rPr>
      </w:pPr>
      <w:r w:rsidRPr="005E779E">
        <w:rPr>
          <w:color w:val="000000" w:themeColor="text1"/>
          <w:sz w:val="16"/>
          <w:szCs w:val="16"/>
        </w:rPr>
        <w:t>б) каковы будут веса главнейших составных частей артиллерии и новых предметов вооружений в целом;</w:t>
      </w:r>
    </w:p>
    <w:p w14:paraId="3E91E516" w14:textId="77777777" w:rsidR="005E7475" w:rsidRPr="005E779E" w:rsidRDefault="005E7475" w:rsidP="000B7A6C">
      <w:pPr>
        <w:pStyle w:val="rtejustify"/>
        <w:spacing w:before="0" w:after="0"/>
        <w:rPr>
          <w:color w:val="000000" w:themeColor="text1"/>
          <w:sz w:val="16"/>
          <w:szCs w:val="16"/>
        </w:rPr>
      </w:pPr>
      <w:r w:rsidRPr="005E779E">
        <w:rPr>
          <w:color w:val="000000" w:themeColor="text1"/>
          <w:sz w:val="16"/>
          <w:szCs w:val="16"/>
        </w:rPr>
        <w:t>в) каков процент внедрения специальных и конструкционных сталей и специальных легких сплавов в новую военную технику.</w:t>
      </w:r>
    </w:p>
    <w:p w14:paraId="7E0E521B"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Третья группа вопросов¹⁵*</w:t>
      </w:r>
    </w:p>
    <w:p w14:paraId="0670E334" w14:textId="77777777" w:rsidR="005E7475" w:rsidRPr="005E779E" w:rsidRDefault="005E7475" w:rsidP="000B7A6C">
      <w:pPr>
        <w:pStyle w:val="rtejustify"/>
        <w:spacing w:before="0" w:after="0"/>
        <w:rPr>
          <w:color w:val="000000" w:themeColor="text1"/>
          <w:sz w:val="16"/>
          <w:szCs w:val="16"/>
        </w:rPr>
      </w:pPr>
      <w:r w:rsidRPr="005E779E">
        <w:rPr>
          <w:color w:val="000000" w:themeColor="text1"/>
          <w:sz w:val="16"/>
          <w:szCs w:val="16"/>
        </w:rPr>
        <w:t>Изучение технологических процессов получения металлов новых свойств, которые также потерпели большую эволюцию. Для иллюстрации приводится сравнительная таблица требований и углеродистой стали пушечной и в спецстали категории “Б”: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64"/>
        <w:gridCol w:w="2242"/>
        <w:gridCol w:w="4575"/>
        <w:gridCol w:w="2841"/>
      </w:tblGrid>
      <w:tr w:rsidR="007122AB" w:rsidRPr="005E779E" w14:paraId="36F520AF"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33C8EC14"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E1578DB"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Предел упругости, кд/мм²</w:t>
            </w:r>
          </w:p>
        </w:tc>
        <w:tc>
          <w:tcPr>
            <w:tcW w:w="0" w:type="auto"/>
            <w:tcBorders>
              <w:top w:val="outset" w:sz="6" w:space="0" w:color="auto"/>
              <w:left w:val="outset" w:sz="6" w:space="0" w:color="auto"/>
              <w:bottom w:val="outset" w:sz="6" w:space="0" w:color="auto"/>
              <w:right w:val="outset" w:sz="6" w:space="0" w:color="auto"/>
            </w:tcBorders>
            <w:vAlign w:val="center"/>
            <w:hideMark/>
          </w:tcPr>
          <w:p w14:paraId="58CA4F3C"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Сужение площади поперечн[ого] сеч[ения] бруска,%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44E9D4B"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Ударная проба по Шарпи, кд/см²</w:t>
            </w:r>
          </w:p>
        </w:tc>
      </w:tr>
      <w:tr w:rsidR="007122AB" w:rsidRPr="005E779E" w14:paraId="58475283"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74F3BCA0"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Углеродистая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5984B46"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32</w:t>
            </w:r>
          </w:p>
        </w:tc>
        <w:tc>
          <w:tcPr>
            <w:tcW w:w="0" w:type="auto"/>
            <w:tcBorders>
              <w:top w:val="outset" w:sz="6" w:space="0" w:color="auto"/>
              <w:left w:val="outset" w:sz="6" w:space="0" w:color="auto"/>
              <w:bottom w:val="outset" w:sz="6" w:space="0" w:color="auto"/>
              <w:right w:val="outset" w:sz="6" w:space="0" w:color="auto"/>
            </w:tcBorders>
            <w:vAlign w:val="center"/>
            <w:hideMark/>
          </w:tcPr>
          <w:p w14:paraId="7E8C8DB9"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7125F57B"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tc>
      </w:tr>
      <w:tr w:rsidR="007122AB" w:rsidRPr="005E779E" w14:paraId="67008212"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43355BE8"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Спецкатегории “Б”</w:t>
            </w:r>
          </w:p>
        </w:tc>
        <w:tc>
          <w:tcPr>
            <w:tcW w:w="0" w:type="auto"/>
            <w:tcBorders>
              <w:top w:val="outset" w:sz="6" w:space="0" w:color="auto"/>
              <w:left w:val="outset" w:sz="6" w:space="0" w:color="auto"/>
              <w:bottom w:val="outset" w:sz="6" w:space="0" w:color="auto"/>
              <w:right w:val="outset" w:sz="6" w:space="0" w:color="auto"/>
            </w:tcBorders>
            <w:vAlign w:val="center"/>
            <w:hideMark/>
          </w:tcPr>
          <w:p w14:paraId="7113B7D5"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805D71"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8D83A8"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w:t>
            </w:r>
          </w:p>
        </w:tc>
      </w:tr>
      <w:tr w:rsidR="007122AB" w:rsidRPr="005E779E" w14:paraId="6FA1CCEE" w14:textId="77777777" w:rsidTr="00083CD8">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98AD5AB"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Требования возросли вдвое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E33AE86"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B4DBB"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r>
    </w:tbl>
    <w:p w14:paraId="2D3FCA09" w14:textId="77777777" w:rsidR="005E7475" w:rsidRPr="005E779E" w:rsidRDefault="005E7475" w:rsidP="000B7A6C">
      <w:pPr>
        <w:pStyle w:val="rtejustify"/>
        <w:spacing w:before="0" w:after="0"/>
        <w:rPr>
          <w:color w:val="000000" w:themeColor="text1"/>
          <w:sz w:val="16"/>
          <w:szCs w:val="16"/>
        </w:rPr>
      </w:pPr>
      <w:r w:rsidRPr="005E779E">
        <w:rPr>
          <w:color w:val="000000" w:themeColor="text1"/>
          <w:sz w:val="16"/>
          <w:szCs w:val="16"/>
        </w:rPr>
        <w:t>Требуется разрешить задачу, как эту сталь получить и как обеспечить ее исходными материалами, и в каком направлении модернизировать оборудование цехов (новые виды печей в части технологических процессов и в части геометрических размеров; новые размеры и мощность прессового и ковочного оборудования; новые размеры и мощность механического оборудования в связи с появлением новых высоких сопротивлений материалов и новых способов резания).</w:t>
      </w:r>
    </w:p>
    <w:p w14:paraId="0336939D"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Четвертая группа вопросов</w:t>
      </w:r>
    </w:p>
    <w:p w14:paraId="5FC9A76E"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Учитывая размер нашей территории и расстояние между поставщиками сырья и полуфабрикатов для наших военных заводов и потребителями их, с одной стороны, и могущество авиационных средств нападения, с другой стороны, ставится дополнительная группа вопросов: а) как приблизить базу снабжения к наши заводам и в первую очередь по линии черных металлов; б) какие меры предпринять, чтобы использовать более близкие пункты получения сырья во время войны, хотя бы суррогат, использовав для улучшения его дополнительные методы облагораживания (сортировка и агломерация железных руд, сортировка и мойка каменного угля для получения бессернистого угля и бессернистого или малосернистого, электроплавка и пр.). Как обеспечить переброску из центра производства на периферию наиболее громоздких предметов оборудования, вооружения и полуфабрикатов для них.</w:t>
      </w:r>
    </w:p>
    <w:p w14:paraId="5629060C"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Группа — суррогатирование. Кооперирование с гражданской пром[ышленностью]</w:t>
      </w:r>
    </w:p>
    <w:p w14:paraId="7ED9D817"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эти основные вопросы надо промышленности получить ответ. А поэтому тематический план научно-исследовательских работ, в широком смысле этого слова, должен их собой охватить. Наконец, при обсуждении тематического плана надо отдельно остановиться на металлургии и других проблемах, связанных с орудиями калибром свыше 14 дюймов и сверхдальнобойной артиллерией, а равно на стали для пулеметов. С точки зрения производства, они представляют исключительную трудность. Путем исследования заграничных образцов и получая соответствующие указания от конструкторов, необходимо иметь ответ, по каким линиям должно идти увеличение столь большего могущества для металла: а) путем ли особо высокомеханических качеств; б) путем ли большой однородности свойств металла; в) или путем уменьшения чрезмерных запасов прочности со стороны конструкторов.</w:t>
      </w:r>
    </w:p>
    <w:p w14:paraId="0643F37A"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Так как оказывается, что наши конструктора и заграничные рассчитывают прочность орудий по различным формулам, а из-за этого получается для одних и тех же свойств системы артиллерии в отношении могущества различные геометрические размеры.</w:t>
      </w:r>
    </w:p>
    <w:p w14:paraId="77E05261"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Темпы научно-иссл[едовательских] работ</w:t>
      </w:r>
    </w:p>
    <w:p w14:paraId="73C542E1"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Однако вся научно-исследовательская работа будет иметь очень небольшую относительную ценность, если она не будет вести[сь] соответствующими темпами. Недостаточно будет ограничиться поставкой задания, не сказав, на каких отрезках времени должна быть разрешена задача.</w:t>
      </w:r>
    </w:p>
    <w:p w14:paraId="71A3A473"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Мы имеем две установки партии и правительства, подтвержденные и расширенные решениями XVI съезда ВКП(б): 1) догнать и перегнать; 2) пятилетка — в 4 года. В соответствии с этим должны строиться темпы нашей работы.</w:t>
      </w:r>
    </w:p>
    <w:p w14:paraId="2DE8D394"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Наше решение по этому вопросу должно найти, прежде всего, отражение в тематическом плане, общем по объединению, и, в частности, по исполнителям и в общей динамике развития научно-исследовательской работы.</w:t>
      </w:r>
    </w:p>
    <w:p w14:paraId="58099BB9"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Динамика</w:t>
      </w:r>
    </w:p>
    <w:p w14:paraId="03A7E293"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Развитие научно-исследовательских работ по годам, отражая в себе реконструктивный период СССР, намечается в денежном выражении следующими цифрами и темпами: старая пятилетка Орудийно-арсенального треста должна быть закончена в основном в 1931 г., а на отрезке остающихся двух лет должен быть выполнен объем н[аучно-]и[сследовательских] работ, равный трем старым пятилеткам. Цифра капит[альных] затрат по старой пятилетке — 4 млн. руб., по новой — 16 млн. руб.</w:t>
      </w:r>
    </w:p>
    <w:p w14:paraId="5AABD720"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Если посмотреть на диаграммы, которыми иллюстрируются эти самые цифры, то мы увидим, какое огромное развитие должна получить в нашем объединении научно-исследовательская работа и как незначительны те шаги, которые нами в этом направлении на сегодняшний день предприняты. Кажущийся на первое время огромным (16 млн. руб.) объем научно-исследовательских работ при составлении с объемом продукции по пятилетке, вернее по 1 января 1932 г., является весьма незначительным. В отношении к старой пятилетке эта сумма затрат составляет около 2%. Старая пятилетка составлена была со значительным преуменьшением возможности заводов и с очень малым использованием основного капитала, то при надлежащей постановке производства расходы на научно-исследовательскую работу в запроектированном объеме не превысят 1%¹⁶*. А поэтому на эти цифры надо смотреть не как на астрономические, а как на вполне обоснованный уровень, достигнуть которого нужно, минуя все препятствия. Расшифровка цифр проведена в тематическом плане работ.</w:t>
      </w:r>
    </w:p>
    <w:p w14:paraId="0D68C989"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Кадры</w:t>
      </w:r>
    </w:p>
    <w:p w14:paraId="08083742"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Если попытаться перевести в самом грубом приближении эту динамику на язык потребных для этих целей работников, которую можно получить делением цифры затрат на научно-исследовательские работы (без капитального строительства) на производительность в рублевом выражении одного работника, то ориентируясь на расчеты комиссии, работавшей по этому вопросу, требуется за три года втянуть в работу 2155 чел., причем по годам динамика втягивания такая: 1931 г. — 435 чел.; 1932 г. — 770 чел.; 1933 г. — 950 чел.; подробности в таблице (приложение №¹⁷*).</w:t>
      </w:r>
    </w:p>
    <w:p w14:paraId="3E3C9214"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ориентировки приводится сравнительная таблица структуры затрат ГФТИ, завода «Баррикады» и Ижевских заводов на научно-исследовательскую работу. «Баррикады»: зарплата — 17, цех[овые] расх[оды] — 33 ([вместе] — 50%), материал — 45, прочее — 5, [итого] — 100%; ГФТИ: а) зарплата — 49%, б) эксперимент[альные] расх[оды] — 20%, в) текущее оборудов[ание] — 23%, г) канц[елярские] расх[оды], путевое довольствие, капит[альный] ремонт, разные расходы и прочее — 8%, всего — 100%; схема ИОЗ: зарплата — 17, цеховые расх[оды] — 33 ([вместе] — 50%), материал — 45, прочие расх[оды] — 5, [итого] — 100%</w:t>
      </w:r>
    </w:p>
    <w:p w14:paraId="34BCDE76"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наших условиях для разных предприятий и разных работ при соотношении будут колебаться с расчетом увеличения стоимости экспериментальных расходов и затрат на текущее оборудование. А поэтому ориентироваться на ГФТИ можно только в качестве первого приближения.</w:t>
      </w:r>
    </w:p>
    <w:p w14:paraId="4CAF1C80"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Научно-исследовательские институты</w:t>
      </w:r>
    </w:p>
    <w:p w14:paraId="74E526D9" w14:textId="77777777" w:rsidR="005E7475" w:rsidRPr="005E779E" w:rsidRDefault="005E7475" w:rsidP="000B7A6C">
      <w:pPr>
        <w:pStyle w:val="rtejustify"/>
        <w:spacing w:before="0" w:after="0"/>
        <w:rPr>
          <w:color w:val="000000" w:themeColor="text1"/>
          <w:sz w:val="16"/>
          <w:szCs w:val="16"/>
        </w:rPr>
      </w:pPr>
      <w:r w:rsidRPr="005E779E">
        <w:rPr>
          <w:color w:val="000000" w:themeColor="text1"/>
          <w:sz w:val="16"/>
          <w:szCs w:val="16"/>
        </w:rPr>
        <w:t>Обращаясь к вопросу о сотрудничестве с другими научно-исследовательскими организациями и собственных центральных и заводских исследовательских лабораториях отметим, что курс берется на самое тесное сотрудничество с научно-исследовательскими институтами, причем на долю Всесоюзного института металлов (ВИМ) и, в особенности, его специального отдела выпадает ответственейшая задача.</w:t>
      </w:r>
    </w:p>
    <w:p w14:paraId="1610568F" w14:textId="77777777" w:rsidR="005E7475" w:rsidRPr="005E779E" w:rsidRDefault="005E7475" w:rsidP="000B7A6C">
      <w:pPr>
        <w:pStyle w:val="rtejustify"/>
        <w:spacing w:before="0" w:after="0"/>
        <w:rPr>
          <w:color w:val="000000" w:themeColor="text1"/>
          <w:sz w:val="16"/>
          <w:szCs w:val="16"/>
        </w:rPr>
      </w:pPr>
      <w:r w:rsidRPr="005E779E">
        <w:rPr>
          <w:color w:val="000000" w:themeColor="text1"/>
          <w:sz w:val="16"/>
          <w:szCs w:val="16"/>
        </w:rPr>
        <w:t>Если взять роль отдельных институтов так, как она проектируется в намеченных точках, то работа отдельных институтов выражается следующей таблицей: Институт им. Карпова — 1,7%; институт НАМИ — 16,7%; ЦАГИ и Институт древесины — 1,7%; Гипроспецмет — 3,3%; всего — 100%.</w:t>
      </w:r>
    </w:p>
    <w:p w14:paraId="0BD56C04" w14:textId="77777777" w:rsidR="005E7475" w:rsidRPr="005E779E" w:rsidRDefault="005E7475" w:rsidP="000B7A6C">
      <w:pPr>
        <w:pStyle w:val="rtejustify"/>
        <w:spacing w:before="0" w:after="0"/>
        <w:rPr>
          <w:color w:val="000000" w:themeColor="text1"/>
          <w:sz w:val="16"/>
          <w:szCs w:val="16"/>
        </w:rPr>
      </w:pPr>
      <w:r w:rsidRPr="005E779E">
        <w:rPr>
          <w:color w:val="000000" w:themeColor="text1"/>
          <w:sz w:val="16"/>
          <w:szCs w:val="16"/>
        </w:rPr>
        <w:t>Мы не ошибемся, если скажем, что специальный отдел ВИМ по мысли Объединения должен, слившись с лабораторией завода «Большевик», вырасти в Центральный научно-исследовательский институт объединения с его филиалом в Сталинграде и ружейно-пулеметного дела в Ижевске. Второго порядка филиалы — лаборатории на отдельных предприятиях. Кроме того, лаборатория завода № 8 в Мытищах должна развернуться в Институт машиностроения специального уклона.</w:t>
      </w:r>
    </w:p>
    <w:p w14:paraId="159D948C" w14:textId="77777777" w:rsidR="005E7475" w:rsidRPr="005E779E" w:rsidRDefault="005E7475" w:rsidP="000B7A6C">
      <w:pPr>
        <w:pStyle w:val="rtejustify"/>
        <w:spacing w:before="0" w:after="0"/>
        <w:rPr>
          <w:color w:val="000000" w:themeColor="text1"/>
          <w:sz w:val="16"/>
          <w:szCs w:val="16"/>
        </w:rPr>
      </w:pPr>
      <w:r w:rsidRPr="005E779E">
        <w:rPr>
          <w:color w:val="000000" w:themeColor="text1"/>
          <w:sz w:val="16"/>
          <w:szCs w:val="16"/>
        </w:rPr>
        <w:t>Особым стоит вопрос о лаборатории завода Мастяжарт, которая должна в первую очередь обеспечить себя шефством и руководством Института химической обороны в специальных заданиях, а в работах по металлу опираться на специальный отдел того же ВИМа.</w:t>
      </w:r>
    </w:p>
    <w:p w14:paraId="59587016" w14:textId="77777777" w:rsidR="005E7475" w:rsidRPr="005E779E" w:rsidRDefault="005E7475" w:rsidP="000B7A6C">
      <w:pPr>
        <w:pStyle w:val="rtejustify"/>
        <w:spacing w:before="0" w:after="0"/>
        <w:rPr>
          <w:color w:val="000000" w:themeColor="text1"/>
          <w:sz w:val="16"/>
          <w:szCs w:val="16"/>
        </w:rPr>
      </w:pPr>
      <w:r w:rsidRPr="005E779E">
        <w:rPr>
          <w:color w:val="000000" w:themeColor="text1"/>
          <w:sz w:val="16"/>
          <w:szCs w:val="16"/>
        </w:rPr>
        <w:t>Следующая по заданию крупная роль должна принадлежать Артиллерийскому научно-исследовательскому институту (АНИИ), Военно-технической академии и НАМИ. Весьма важную роль должен играть также в идейном руководстве исследовательскими работами для нашего производства Институт машиностроения, в особенности в области резания и инструментов.</w:t>
      </w:r>
    </w:p>
    <w:p w14:paraId="30D0E2CC" w14:textId="77777777" w:rsidR="005E7475" w:rsidRPr="005E779E" w:rsidRDefault="005E7475" w:rsidP="000B7A6C">
      <w:pPr>
        <w:pStyle w:val="rtejustify"/>
        <w:spacing w:before="0" w:after="0"/>
        <w:rPr>
          <w:color w:val="000000" w:themeColor="text1"/>
          <w:sz w:val="16"/>
          <w:szCs w:val="16"/>
        </w:rPr>
      </w:pPr>
      <w:r w:rsidRPr="005E779E">
        <w:rPr>
          <w:color w:val="000000" w:themeColor="text1"/>
          <w:sz w:val="16"/>
          <w:szCs w:val="16"/>
        </w:rPr>
        <w:t>Лаборатории ГФТИ, ЦАГИ, Института древесины и Гинцветмет, Института Карпова, Нефтяного института — этим лабораториям принадлежит также ответственная и почетная роль в научном руководстве исследовательскими работами объединения.</w:t>
      </w:r>
    </w:p>
    <w:p w14:paraId="589967AD" w14:textId="77777777" w:rsidR="005E7475" w:rsidRPr="005E779E" w:rsidRDefault="005E7475" w:rsidP="000B7A6C">
      <w:pPr>
        <w:pStyle w:val="rtejustify"/>
        <w:spacing w:before="0" w:after="0"/>
        <w:rPr>
          <w:color w:val="000000" w:themeColor="text1"/>
          <w:sz w:val="16"/>
          <w:szCs w:val="16"/>
        </w:rPr>
      </w:pPr>
      <w:r w:rsidRPr="005E779E">
        <w:rPr>
          <w:color w:val="000000" w:themeColor="text1"/>
          <w:sz w:val="16"/>
          <w:szCs w:val="16"/>
        </w:rPr>
        <w:lastRenderedPageBreak/>
        <w:t>В заключение необходимо остановиться на работах по кооперированию с гражданский промышленностью для расширения базы объединения по полуфабрикатам для нашего производства.</w:t>
      </w:r>
    </w:p>
    <w:p w14:paraId="102B4133" w14:textId="77777777" w:rsidR="005E7475" w:rsidRPr="005E779E" w:rsidRDefault="005E7475" w:rsidP="000B7A6C">
      <w:pPr>
        <w:pStyle w:val="rtejustify"/>
        <w:spacing w:before="0" w:after="0"/>
        <w:rPr>
          <w:color w:val="000000" w:themeColor="text1"/>
          <w:sz w:val="16"/>
          <w:szCs w:val="16"/>
        </w:rPr>
      </w:pPr>
      <w:r w:rsidRPr="005E779E">
        <w:rPr>
          <w:color w:val="000000" w:themeColor="text1"/>
          <w:sz w:val="16"/>
          <w:szCs w:val="16"/>
        </w:rPr>
        <w:t>Характерной чертой работ промышленности САСШ в минувшую войну и теперь является поставка гражданскими заводами военным заводам в САСШ и в Европу термически обработанных поковок и заготовок как для орудий, включая самые крупные калибры, так и для других предметов вооружения.</w:t>
      </w:r>
    </w:p>
    <w:p w14:paraId="667103D6" w14:textId="77777777" w:rsidR="005E7475" w:rsidRPr="005E779E" w:rsidRDefault="005E7475" w:rsidP="000B7A6C">
      <w:pPr>
        <w:pStyle w:val="rtejustify"/>
        <w:spacing w:before="0" w:after="0"/>
        <w:rPr>
          <w:color w:val="000000" w:themeColor="text1"/>
          <w:sz w:val="16"/>
          <w:szCs w:val="16"/>
        </w:rPr>
      </w:pPr>
      <w:r w:rsidRPr="005E779E">
        <w:rPr>
          <w:color w:val="000000" w:themeColor="text1"/>
          <w:sz w:val="16"/>
          <w:szCs w:val="16"/>
        </w:rPr>
        <w:t>Кроме этого, необходимо решительно приблизить сырьевую базу ко всем нашим заводам, идя по пути создания, по возможности, замкнутой базы для предприятий центрального района, для предприятий Северо-западной области, для Уральской области, для Брянско-Киевского района и для Сталинграда. Основная картина кооперирования дана в проекте тематического плана пятилетки. Вот в основном задачи работ Оружобъединения.</w:t>
      </w:r>
    </w:p>
    <w:p w14:paraId="18AD1F6E" w14:textId="77777777" w:rsidR="005E7475" w:rsidRPr="005E779E" w:rsidRDefault="005E7475" w:rsidP="000B7A6C">
      <w:pPr>
        <w:pStyle w:val="rtejustify"/>
        <w:spacing w:before="0" w:after="0"/>
        <w:rPr>
          <w:color w:val="000000" w:themeColor="text1"/>
          <w:sz w:val="16"/>
          <w:szCs w:val="16"/>
        </w:rPr>
      </w:pPr>
      <w:r w:rsidRPr="005E779E">
        <w:rPr>
          <w:color w:val="000000" w:themeColor="text1"/>
          <w:sz w:val="16"/>
          <w:szCs w:val="16"/>
        </w:rPr>
        <w:t>Приложение¹⁸*: 1) контрольные точки научно-исследовательских работ Оружобъединения; 2) список исполнителей-участников, кооперирующих свою работу; 3) таблица по кадрам; 4) диаграмма динамики разворач[иваемых] н[аучно-]и[сследовательских] работ.</w:t>
      </w:r>
    </w:p>
    <w:p w14:paraId="449B8E03" w14:textId="77777777" w:rsidR="005E7475" w:rsidRPr="005E779E" w:rsidRDefault="005E7475" w:rsidP="000B7A6C">
      <w:pPr>
        <w:pStyle w:val="ae"/>
        <w:spacing w:before="0" w:after="0"/>
        <w:jc w:val="both"/>
        <w:rPr>
          <w:color w:val="000000" w:themeColor="text1"/>
          <w:sz w:val="16"/>
          <w:szCs w:val="16"/>
        </w:rPr>
      </w:pPr>
      <w:r w:rsidRPr="005E779E">
        <w:rPr>
          <w:rStyle w:val="af0"/>
          <w:i w:val="0"/>
          <w:color w:val="000000" w:themeColor="text1"/>
          <w:sz w:val="16"/>
          <w:szCs w:val="16"/>
        </w:rPr>
        <w:t>Начальник научно-исследовательских работ Тарновский</w:t>
      </w:r>
    </w:p>
    <w:p w14:paraId="1EA3D4C5" w14:textId="77777777" w:rsidR="005E7475" w:rsidRPr="005E779E" w:rsidRDefault="005E7475" w:rsidP="000B7A6C">
      <w:pPr>
        <w:pStyle w:val="ae"/>
        <w:spacing w:before="0" w:after="0"/>
        <w:jc w:val="both"/>
        <w:rPr>
          <w:color w:val="000000" w:themeColor="text1"/>
          <w:sz w:val="16"/>
          <w:szCs w:val="16"/>
        </w:rPr>
      </w:pPr>
      <w:r w:rsidRPr="005E779E">
        <w:rPr>
          <w:rStyle w:val="af0"/>
          <w:i w:val="0"/>
          <w:color w:val="000000" w:themeColor="text1"/>
          <w:sz w:val="16"/>
          <w:szCs w:val="16"/>
        </w:rPr>
        <w:t>Примечание</w:t>
      </w:r>
      <w:r w:rsidRPr="005E779E">
        <w:rPr>
          <w:color w:val="000000" w:themeColor="text1"/>
          <w:sz w:val="16"/>
          <w:szCs w:val="16"/>
        </w:rPr>
        <w:t>:</w:t>
      </w:r>
    </w:p>
    <w:p w14:paraId="0E264E94" w14:textId="77777777" w:rsidR="005E7475" w:rsidRPr="005E779E" w:rsidRDefault="005E7475" w:rsidP="000B7A6C">
      <w:pPr>
        <w:pStyle w:val="rtejustify"/>
        <w:spacing w:before="0" w:after="0"/>
        <w:rPr>
          <w:color w:val="000000" w:themeColor="text1"/>
          <w:sz w:val="16"/>
          <w:szCs w:val="16"/>
        </w:rPr>
      </w:pPr>
      <w:r w:rsidRPr="005E779E">
        <w:rPr>
          <w:color w:val="000000" w:themeColor="text1"/>
          <w:sz w:val="16"/>
          <w:szCs w:val="16"/>
          <w:vertAlign w:val="superscript"/>
        </w:rPr>
        <w:t>1</w:t>
      </w:r>
      <w:r w:rsidRPr="005E779E">
        <w:rPr>
          <w:color w:val="000000" w:themeColor="text1"/>
          <w:sz w:val="16"/>
          <w:szCs w:val="16"/>
        </w:rPr>
        <w:t>* Публикуемый экземпляр доклада был направлен в Сектор обороны Госплана СССР.</w:t>
      </w:r>
    </w:p>
    <w:p w14:paraId="6EA14267" w14:textId="77777777" w:rsidR="005E7475" w:rsidRPr="005E779E" w:rsidRDefault="005E7475" w:rsidP="000B7A6C">
      <w:pPr>
        <w:pStyle w:val="rtejustify"/>
        <w:spacing w:before="0" w:after="0"/>
        <w:rPr>
          <w:color w:val="000000" w:themeColor="text1"/>
          <w:sz w:val="16"/>
          <w:szCs w:val="16"/>
        </w:rPr>
      </w:pPr>
      <w:r w:rsidRPr="005E779E">
        <w:rPr>
          <w:color w:val="000000" w:themeColor="text1"/>
          <w:sz w:val="16"/>
          <w:szCs w:val="16"/>
          <w:vertAlign w:val="superscript"/>
        </w:rPr>
        <w:t>2</w:t>
      </w:r>
      <w:r w:rsidRPr="005E779E">
        <w:rPr>
          <w:color w:val="000000" w:themeColor="text1"/>
          <w:sz w:val="16"/>
          <w:szCs w:val="16"/>
        </w:rPr>
        <w:t>* Прямой выстрел, настильность (</w:t>
      </w:r>
      <w:r w:rsidRPr="005E779E">
        <w:rPr>
          <w:rStyle w:val="af0"/>
          <w:i w:val="0"/>
          <w:color w:val="000000" w:themeColor="text1"/>
          <w:sz w:val="16"/>
          <w:szCs w:val="16"/>
        </w:rPr>
        <w:t>Прим. док</w:t>
      </w:r>
      <w:r w:rsidRPr="005E779E">
        <w:rPr>
          <w:color w:val="000000" w:themeColor="text1"/>
          <w:sz w:val="16"/>
          <w:szCs w:val="16"/>
        </w:rPr>
        <w:t>.).</w:t>
      </w:r>
    </w:p>
    <w:p w14:paraId="3B7D63ED" w14:textId="77777777" w:rsidR="005E7475" w:rsidRPr="005E779E" w:rsidRDefault="005E7475" w:rsidP="000B7A6C">
      <w:pPr>
        <w:pStyle w:val="rtejustify"/>
        <w:spacing w:before="0" w:after="0"/>
        <w:rPr>
          <w:color w:val="000000" w:themeColor="text1"/>
          <w:sz w:val="16"/>
          <w:szCs w:val="16"/>
        </w:rPr>
      </w:pPr>
      <w:r w:rsidRPr="005E779E">
        <w:rPr>
          <w:color w:val="000000" w:themeColor="text1"/>
          <w:sz w:val="16"/>
          <w:szCs w:val="16"/>
          <w:vertAlign w:val="superscript"/>
        </w:rPr>
        <w:t>3</w:t>
      </w:r>
      <w:r w:rsidRPr="005E779E">
        <w:rPr>
          <w:color w:val="000000" w:themeColor="text1"/>
          <w:sz w:val="16"/>
          <w:szCs w:val="16"/>
        </w:rPr>
        <w:t>* Среди морск[их] оруд[ий] японск[ого] флота имеется 76</w:t>
      </w:r>
      <w:r w:rsidRPr="005E779E">
        <w:rPr>
          <w:color w:val="000000" w:themeColor="text1"/>
          <w:sz w:val="16"/>
          <w:szCs w:val="16"/>
        </w:rPr>
        <w:noBreakHyphen/>
        <w:t>мм пушка, стреляющая на дистанцию 30 км со скорост[ной] реальностью 4 выстрела в минуту (</w:t>
      </w:r>
      <w:r w:rsidRPr="005E779E">
        <w:rPr>
          <w:rStyle w:val="af0"/>
          <w:i w:val="0"/>
          <w:color w:val="000000" w:themeColor="text1"/>
          <w:sz w:val="16"/>
          <w:szCs w:val="16"/>
        </w:rPr>
        <w:t>Прим. док</w:t>
      </w:r>
      <w:r w:rsidRPr="005E779E">
        <w:rPr>
          <w:color w:val="000000" w:themeColor="text1"/>
          <w:sz w:val="16"/>
          <w:szCs w:val="16"/>
        </w:rPr>
        <w:t>.).</w:t>
      </w:r>
    </w:p>
    <w:p w14:paraId="546F5456" w14:textId="77777777" w:rsidR="005E7475" w:rsidRPr="005E779E" w:rsidRDefault="005E7475" w:rsidP="000B7A6C">
      <w:pPr>
        <w:pStyle w:val="rtejustify"/>
        <w:spacing w:before="0" w:after="0"/>
        <w:rPr>
          <w:color w:val="000000" w:themeColor="text1"/>
          <w:sz w:val="16"/>
          <w:szCs w:val="16"/>
        </w:rPr>
      </w:pPr>
      <w:r w:rsidRPr="005E779E">
        <w:rPr>
          <w:color w:val="000000" w:themeColor="text1"/>
          <w:sz w:val="16"/>
          <w:szCs w:val="16"/>
          <w:vertAlign w:val="superscript"/>
        </w:rPr>
        <w:t>4</w:t>
      </w:r>
      <w:r w:rsidRPr="005E779E">
        <w:rPr>
          <w:color w:val="000000" w:themeColor="text1"/>
          <w:sz w:val="16"/>
          <w:szCs w:val="16"/>
        </w:rPr>
        <w:t>* По данным ГКБ, около 12 (</w:t>
      </w:r>
      <w:r w:rsidRPr="005E779E">
        <w:rPr>
          <w:rStyle w:val="af0"/>
          <w:i w:val="0"/>
          <w:color w:val="000000" w:themeColor="text1"/>
          <w:sz w:val="16"/>
          <w:szCs w:val="16"/>
        </w:rPr>
        <w:t>Прим. док</w:t>
      </w:r>
      <w:r w:rsidRPr="005E779E">
        <w:rPr>
          <w:color w:val="000000" w:themeColor="text1"/>
          <w:sz w:val="16"/>
          <w:szCs w:val="16"/>
        </w:rPr>
        <w:t>.).</w:t>
      </w:r>
    </w:p>
    <w:p w14:paraId="4E034DE5" w14:textId="77777777" w:rsidR="005E7475" w:rsidRPr="005E779E" w:rsidRDefault="005E7475" w:rsidP="000B7A6C">
      <w:pPr>
        <w:pStyle w:val="rtejustify"/>
        <w:spacing w:before="0" w:after="0"/>
        <w:rPr>
          <w:color w:val="000000" w:themeColor="text1"/>
          <w:sz w:val="16"/>
          <w:szCs w:val="16"/>
        </w:rPr>
      </w:pPr>
      <w:r w:rsidRPr="005E779E">
        <w:rPr>
          <w:color w:val="000000" w:themeColor="text1"/>
          <w:sz w:val="16"/>
          <w:szCs w:val="16"/>
          <w:vertAlign w:val="superscript"/>
        </w:rPr>
        <w:t>5</w:t>
      </w:r>
      <w:r w:rsidRPr="005E779E">
        <w:rPr>
          <w:color w:val="000000" w:themeColor="text1"/>
          <w:sz w:val="16"/>
          <w:szCs w:val="16"/>
        </w:rPr>
        <w:t>* По данным ГКБ (</w:t>
      </w:r>
      <w:r w:rsidRPr="005E779E">
        <w:rPr>
          <w:rStyle w:val="af0"/>
          <w:i w:val="0"/>
          <w:color w:val="000000" w:themeColor="text1"/>
          <w:sz w:val="16"/>
          <w:szCs w:val="16"/>
        </w:rPr>
        <w:t>Прим. док</w:t>
      </w:r>
      <w:r w:rsidRPr="005E779E">
        <w:rPr>
          <w:color w:val="000000" w:themeColor="text1"/>
          <w:sz w:val="16"/>
          <w:szCs w:val="16"/>
        </w:rPr>
        <w:t>.).</w:t>
      </w:r>
    </w:p>
    <w:p w14:paraId="6FD01E2F" w14:textId="77777777" w:rsidR="005E7475" w:rsidRPr="005E779E" w:rsidRDefault="005E7475" w:rsidP="000B7A6C">
      <w:pPr>
        <w:pStyle w:val="rtejustify"/>
        <w:spacing w:before="0" w:after="0"/>
        <w:rPr>
          <w:color w:val="000000" w:themeColor="text1"/>
          <w:sz w:val="16"/>
          <w:szCs w:val="16"/>
        </w:rPr>
      </w:pPr>
      <w:r w:rsidRPr="005E779E">
        <w:rPr>
          <w:color w:val="000000" w:themeColor="text1"/>
          <w:sz w:val="16"/>
          <w:szCs w:val="16"/>
          <w:vertAlign w:val="superscript"/>
        </w:rPr>
        <w:t>6</w:t>
      </w:r>
      <w:r w:rsidRPr="005E779E">
        <w:rPr>
          <w:color w:val="000000" w:themeColor="text1"/>
          <w:sz w:val="16"/>
          <w:szCs w:val="16"/>
        </w:rPr>
        <w:t>* По данным ГКБ (</w:t>
      </w:r>
      <w:r w:rsidRPr="005E779E">
        <w:rPr>
          <w:rStyle w:val="af0"/>
          <w:i w:val="0"/>
          <w:color w:val="000000" w:themeColor="text1"/>
          <w:sz w:val="16"/>
          <w:szCs w:val="16"/>
        </w:rPr>
        <w:t>Прим. док</w:t>
      </w:r>
      <w:r w:rsidRPr="005E779E">
        <w:rPr>
          <w:color w:val="000000" w:themeColor="text1"/>
          <w:sz w:val="16"/>
          <w:szCs w:val="16"/>
        </w:rPr>
        <w:t>.).</w:t>
      </w:r>
    </w:p>
    <w:p w14:paraId="1E22E2AB" w14:textId="77777777" w:rsidR="005E7475" w:rsidRPr="005E779E" w:rsidRDefault="005E7475" w:rsidP="000B7A6C">
      <w:pPr>
        <w:pStyle w:val="rtejustify"/>
        <w:spacing w:before="0" w:after="0"/>
        <w:rPr>
          <w:color w:val="000000" w:themeColor="text1"/>
          <w:sz w:val="16"/>
          <w:szCs w:val="16"/>
        </w:rPr>
      </w:pPr>
      <w:r w:rsidRPr="005E779E">
        <w:rPr>
          <w:color w:val="000000" w:themeColor="text1"/>
          <w:sz w:val="16"/>
          <w:szCs w:val="16"/>
          <w:vertAlign w:val="superscript"/>
        </w:rPr>
        <w:t>7</w:t>
      </w:r>
      <w:r w:rsidRPr="005E779E">
        <w:rPr>
          <w:color w:val="000000" w:themeColor="text1"/>
          <w:sz w:val="16"/>
          <w:szCs w:val="16"/>
        </w:rPr>
        <w:t>* В числ[ителе] показана дальнобойность по гориз[онтальному] направлению, в знамен[ателе] — по вертикальн[ому] направлению (</w:t>
      </w:r>
      <w:r w:rsidRPr="005E779E">
        <w:rPr>
          <w:rStyle w:val="af0"/>
          <w:i w:val="0"/>
          <w:color w:val="000000" w:themeColor="text1"/>
          <w:sz w:val="16"/>
          <w:szCs w:val="16"/>
        </w:rPr>
        <w:t>Прим. док</w:t>
      </w:r>
      <w:r w:rsidRPr="005E779E">
        <w:rPr>
          <w:color w:val="000000" w:themeColor="text1"/>
          <w:sz w:val="16"/>
          <w:szCs w:val="16"/>
        </w:rPr>
        <w:t>.).</w:t>
      </w:r>
    </w:p>
    <w:p w14:paraId="3B5E7BAF" w14:textId="77777777" w:rsidR="005E7475" w:rsidRPr="005E779E" w:rsidRDefault="005E7475" w:rsidP="000B7A6C">
      <w:pPr>
        <w:pStyle w:val="rtejustify"/>
        <w:spacing w:before="0" w:after="0"/>
        <w:rPr>
          <w:color w:val="000000" w:themeColor="text1"/>
          <w:sz w:val="16"/>
          <w:szCs w:val="16"/>
        </w:rPr>
      </w:pPr>
      <w:r w:rsidRPr="005E779E">
        <w:rPr>
          <w:color w:val="000000" w:themeColor="text1"/>
          <w:sz w:val="16"/>
          <w:szCs w:val="16"/>
          <w:vertAlign w:val="superscript"/>
        </w:rPr>
        <w:t>8</w:t>
      </w:r>
      <w:r w:rsidRPr="005E779E">
        <w:rPr>
          <w:color w:val="000000" w:themeColor="text1"/>
          <w:sz w:val="16"/>
          <w:szCs w:val="16"/>
        </w:rPr>
        <w:t>* Трофейная крупповская, по германским данным (</w:t>
      </w:r>
      <w:r w:rsidRPr="005E779E">
        <w:rPr>
          <w:rStyle w:val="af0"/>
          <w:i w:val="0"/>
          <w:color w:val="000000" w:themeColor="text1"/>
          <w:sz w:val="16"/>
          <w:szCs w:val="16"/>
        </w:rPr>
        <w:t>Прим. док</w:t>
      </w:r>
      <w:r w:rsidRPr="005E779E">
        <w:rPr>
          <w:color w:val="000000" w:themeColor="text1"/>
          <w:sz w:val="16"/>
          <w:szCs w:val="16"/>
        </w:rPr>
        <w:t>.).</w:t>
      </w:r>
    </w:p>
    <w:p w14:paraId="32BBBFF1" w14:textId="77777777" w:rsidR="005E7475" w:rsidRPr="005E779E" w:rsidRDefault="005E7475" w:rsidP="000B7A6C">
      <w:pPr>
        <w:pStyle w:val="rtejustify"/>
        <w:spacing w:before="0" w:after="0"/>
        <w:rPr>
          <w:color w:val="000000" w:themeColor="text1"/>
          <w:sz w:val="16"/>
          <w:szCs w:val="16"/>
        </w:rPr>
      </w:pPr>
      <w:r w:rsidRPr="005E779E">
        <w:rPr>
          <w:color w:val="000000" w:themeColor="text1"/>
          <w:sz w:val="16"/>
          <w:szCs w:val="16"/>
          <w:vertAlign w:val="superscript"/>
        </w:rPr>
        <w:t>9</w:t>
      </w:r>
      <w:r w:rsidRPr="005E779E">
        <w:rPr>
          <w:color w:val="000000" w:themeColor="text1"/>
          <w:sz w:val="16"/>
          <w:szCs w:val="16"/>
        </w:rPr>
        <w:t>* По теоретич[еским] подсчетам дальноб[ойность] при нач[альной] скор[ости] 875 м/сек д[олжна] быть 75 км (</w:t>
      </w:r>
      <w:r w:rsidRPr="005E779E">
        <w:rPr>
          <w:rStyle w:val="af0"/>
          <w:i w:val="0"/>
          <w:color w:val="000000" w:themeColor="text1"/>
          <w:sz w:val="16"/>
          <w:szCs w:val="16"/>
        </w:rPr>
        <w:t>Прим. док</w:t>
      </w:r>
      <w:r w:rsidRPr="005E779E">
        <w:rPr>
          <w:color w:val="000000" w:themeColor="text1"/>
          <w:sz w:val="16"/>
          <w:szCs w:val="16"/>
        </w:rPr>
        <w:t>.).</w:t>
      </w:r>
    </w:p>
    <w:p w14:paraId="67BF5272" w14:textId="77777777" w:rsidR="005E7475" w:rsidRPr="005E779E" w:rsidRDefault="005E7475" w:rsidP="000B7A6C">
      <w:pPr>
        <w:pStyle w:val="rtejustify"/>
        <w:spacing w:before="0" w:after="0"/>
        <w:rPr>
          <w:color w:val="000000" w:themeColor="text1"/>
          <w:sz w:val="16"/>
          <w:szCs w:val="16"/>
        </w:rPr>
      </w:pPr>
      <w:r w:rsidRPr="005E779E">
        <w:rPr>
          <w:color w:val="000000" w:themeColor="text1"/>
          <w:sz w:val="16"/>
          <w:szCs w:val="16"/>
          <w:vertAlign w:val="superscript"/>
        </w:rPr>
        <w:t>10</w:t>
      </w:r>
      <w:r w:rsidRPr="005E779E">
        <w:rPr>
          <w:color w:val="000000" w:themeColor="text1"/>
          <w:sz w:val="16"/>
          <w:szCs w:val="16"/>
        </w:rPr>
        <w:t>* В Англии появилась винтовка Виккерса — Бертис, дающая 450 выстр[елов] в минуту при постоянном воздушном охлаждении, и 2 тыс. выстр[елов] при стрельбе в течение нескольких минут (</w:t>
      </w:r>
      <w:r w:rsidRPr="005E779E">
        <w:rPr>
          <w:rStyle w:val="af0"/>
          <w:i w:val="0"/>
          <w:color w:val="000000" w:themeColor="text1"/>
          <w:sz w:val="16"/>
          <w:szCs w:val="16"/>
        </w:rPr>
        <w:t>Прим. док</w:t>
      </w:r>
      <w:r w:rsidRPr="005E779E">
        <w:rPr>
          <w:color w:val="000000" w:themeColor="text1"/>
          <w:sz w:val="16"/>
          <w:szCs w:val="16"/>
        </w:rPr>
        <w:t>.).</w:t>
      </w:r>
    </w:p>
    <w:p w14:paraId="31CACDB6" w14:textId="77777777" w:rsidR="005E7475" w:rsidRPr="005E779E" w:rsidRDefault="005E7475" w:rsidP="000B7A6C">
      <w:pPr>
        <w:pStyle w:val="rtejustify"/>
        <w:spacing w:before="0" w:after="0"/>
        <w:rPr>
          <w:color w:val="000000" w:themeColor="text1"/>
          <w:sz w:val="16"/>
          <w:szCs w:val="16"/>
        </w:rPr>
      </w:pPr>
      <w:r w:rsidRPr="005E779E">
        <w:rPr>
          <w:color w:val="000000" w:themeColor="text1"/>
          <w:sz w:val="16"/>
          <w:szCs w:val="16"/>
          <w:vertAlign w:val="superscript"/>
        </w:rPr>
        <w:t>11</w:t>
      </w:r>
      <w:r w:rsidRPr="005E779E">
        <w:rPr>
          <w:color w:val="000000" w:themeColor="text1"/>
          <w:sz w:val="16"/>
          <w:szCs w:val="16"/>
        </w:rPr>
        <w:t>* В тексте, видимо, ошибочно указано 77 мм вместо 76 (см. выше примечание к таблице).</w:t>
      </w:r>
    </w:p>
    <w:p w14:paraId="4C4280FB" w14:textId="77777777" w:rsidR="005E7475" w:rsidRPr="005E779E" w:rsidRDefault="005E7475" w:rsidP="000B7A6C">
      <w:pPr>
        <w:pStyle w:val="rtejustify"/>
        <w:spacing w:before="0" w:after="0"/>
        <w:rPr>
          <w:color w:val="000000" w:themeColor="text1"/>
          <w:sz w:val="16"/>
          <w:szCs w:val="16"/>
        </w:rPr>
      </w:pPr>
      <w:r w:rsidRPr="005E779E">
        <w:rPr>
          <w:color w:val="000000" w:themeColor="text1"/>
          <w:sz w:val="16"/>
          <w:szCs w:val="16"/>
          <w:vertAlign w:val="superscript"/>
        </w:rPr>
        <w:t>12</w:t>
      </w:r>
      <w:r w:rsidRPr="005E779E">
        <w:rPr>
          <w:color w:val="000000" w:themeColor="text1"/>
          <w:sz w:val="16"/>
          <w:szCs w:val="16"/>
        </w:rPr>
        <w:t>* Япония 2/50 — 140 мм — 12 выстрелов в минуту, Англия 2/50 — 102 мм, — 16 выстрелов в минуту, Италия 2/50 —120 мм — 16 выстрелов в минуту (</w:t>
      </w:r>
      <w:r w:rsidRPr="005E779E">
        <w:rPr>
          <w:rStyle w:val="af0"/>
          <w:i w:val="0"/>
          <w:color w:val="000000" w:themeColor="text1"/>
          <w:sz w:val="16"/>
          <w:szCs w:val="16"/>
        </w:rPr>
        <w:t>Прим. док</w:t>
      </w:r>
      <w:r w:rsidRPr="005E779E">
        <w:rPr>
          <w:color w:val="000000" w:themeColor="text1"/>
          <w:sz w:val="16"/>
          <w:szCs w:val="16"/>
        </w:rPr>
        <w:t>.).</w:t>
      </w:r>
    </w:p>
    <w:p w14:paraId="2E5AEA10" w14:textId="77777777" w:rsidR="005E7475" w:rsidRPr="005E779E" w:rsidRDefault="005E7475" w:rsidP="000B7A6C">
      <w:pPr>
        <w:pStyle w:val="rtejustify"/>
        <w:spacing w:before="0" w:after="0"/>
        <w:rPr>
          <w:color w:val="000000" w:themeColor="text1"/>
          <w:sz w:val="16"/>
          <w:szCs w:val="16"/>
        </w:rPr>
      </w:pPr>
      <w:r w:rsidRPr="005E779E">
        <w:rPr>
          <w:color w:val="000000" w:themeColor="text1"/>
          <w:sz w:val="16"/>
          <w:szCs w:val="16"/>
          <w:vertAlign w:val="superscript"/>
        </w:rPr>
        <w:t>13</w:t>
      </w:r>
      <w:r w:rsidRPr="005E779E">
        <w:rPr>
          <w:color w:val="000000" w:themeColor="text1"/>
          <w:sz w:val="16"/>
          <w:szCs w:val="16"/>
        </w:rPr>
        <w:t>* В части металл[ической] надлежит ориент[ироваться] на требования авиамоторостроения (</w:t>
      </w:r>
      <w:r w:rsidRPr="005E779E">
        <w:rPr>
          <w:rStyle w:val="af0"/>
          <w:i w:val="0"/>
          <w:color w:val="000000" w:themeColor="text1"/>
          <w:sz w:val="16"/>
          <w:szCs w:val="16"/>
        </w:rPr>
        <w:t>Прим.док</w:t>
      </w:r>
      <w:r w:rsidRPr="005E779E">
        <w:rPr>
          <w:color w:val="000000" w:themeColor="text1"/>
          <w:sz w:val="16"/>
          <w:szCs w:val="16"/>
        </w:rPr>
        <w:t>.)</w:t>
      </w:r>
    </w:p>
    <w:p w14:paraId="70D22939" w14:textId="77777777" w:rsidR="005E7475" w:rsidRPr="005E779E" w:rsidRDefault="005E7475" w:rsidP="000B7A6C">
      <w:pPr>
        <w:pStyle w:val="rtejustify"/>
        <w:spacing w:before="0" w:after="0"/>
        <w:rPr>
          <w:color w:val="000000" w:themeColor="text1"/>
          <w:sz w:val="16"/>
          <w:szCs w:val="16"/>
        </w:rPr>
      </w:pPr>
      <w:r w:rsidRPr="005E779E">
        <w:rPr>
          <w:color w:val="000000" w:themeColor="text1"/>
          <w:sz w:val="16"/>
          <w:szCs w:val="16"/>
          <w:vertAlign w:val="superscript"/>
        </w:rPr>
        <w:t>14</w:t>
      </w:r>
      <w:r w:rsidRPr="005E779E">
        <w:rPr>
          <w:color w:val="000000" w:themeColor="text1"/>
          <w:sz w:val="16"/>
          <w:szCs w:val="16"/>
        </w:rPr>
        <w:t>* Однако для мотор[ов] услов[ия] охлажден[ия] для танков более тяжелые (</w:t>
      </w:r>
      <w:r w:rsidRPr="005E779E">
        <w:rPr>
          <w:rStyle w:val="af0"/>
          <w:i w:val="0"/>
          <w:color w:val="000000" w:themeColor="text1"/>
          <w:sz w:val="16"/>
          <w:szCs w:val="16"/>
        </w:rPr>
        <w:t>Прим.док</w:t>
      </w:r>
      <w:r w:rsidRPr="005E779E">
        <w:rPr>
          <w:color w:val="000000" w:themeColor="text1"/>
          <w:sz w:val="16"/>
          <w:szCs w:val="16"/>
        </w:rPr>
        <w:t>.).</w:t>
      </w:r>
    </w:p>
    <w:p w14:paraId="49845F80" w14:textId="77777777" w:rsidR="005E7475" w:rsidRPr="005E779E" w:rsidRDefault="005E7475" w:rsidP="000B7A6C">
      <w:pPr>
        <w:pStyle w:val="rtejustify"/>
        <w:spacing w:before="0" w:after="0"/>
        <w:rPr>
          <w:color w:val="000000" w:themeColor="text1"/>
          <w:sz w:val="16"/>
          <w:szCs w:val="16"/>
        </w:rPr>
      </w:pPr>
      <w:r w:rsidRPr="005E779E">
        <w:rPr>
          <w:color w:val="000000" w:themeColor="text1"/>
          <w:sz w:val="16"/>
          <w:szCs w:val="16"/>
          <w:vertAlign w:val="superscript"/>
        </w:rPr>
        <w:t>15</w:t>
      </w:r>
      <w:r w:rsidRPr="005E779E">
        <w:rPr>
          <w:color w:val="000000" w:themeColor="text1"/>
          <w:sz w:val="16"/>
          <w:szCs w:val="16"/>
        </w:rPr>
        <w:t>* Так в тексте.</w:t>
      </w:r>
    </w:p>
    <w:p w14:paraId="76508BA3" w14:textId="77777777" w:rsidR="005E7475" w:rsidRPr="005E779E" w:rsidRDefault="005E7475" w:rsidP="000B7A6C">
      <w:pPr>
        <w:pStyle w:val="rtejustify"/>
        <w:spacing w:before="0" w:after="0"/>
        <w:rPr>
          <w:color w:val="000000" w:themeColor="text1"/>
          <w:sz w:val="16"/>
          <w:szCs w:val="16"/>
        </w:rPr>
      </w:pPr>
      <w:r w:rsidRPr="005E779E">
        <w:rPr>
          <w:color w:val="000000" w:themeColor="text1"/>
          <w:sz w:val="16"/>
          <w:szCs w:val="16"/>
          <w:vertAlign w:val="superscript"/>
        </w:rPr>
        <w:t>16</w:t>
      </w:r>
      <w:r w:rsidRPr="005E779E">
        <w:rPr>
          <w:color w:val="000000" w:themeColor="text1"/>
          <w:sz w:val="16"/>
          <w:szCs w:val="16"/>
        </w:rPr>
        <w:t>* Согласно последним данным о развитии мощностей наших заводов запроектированный объем научно-исследовательских работ составит в 1932 г. около 0,3% и в 1933 г. около 0,6% (</w:t>
      </w:r>
      <w:r w:rsidRPr="005E779E">
        <w:rPr>
          <w:rStyle w:val="af0"/>
          <w:i w:val="0"/>
          <w:color w:val="000000" w:themeColor="text1"/>
          <w:sz w:val="16"/>
          <w:szCs w:val="16"/>
        </w:rPr>
        <w:t>Прим. док., написано от руки</w:t>
      </w:r>
      <w:r w:rsidRPr="005E779E">
        <w:rPr>
          <w:color w:val="000000" w:themeColor="text1"/>
          <w:sz w:val="16"/>
          <w:szCs w:val="16"/>
        </w:rPr>
        <w:t>).</w:t>
      </w:r>
    </w:p>
    <w:p w14:paraId="0B09D9C3" w14:textId="77777777" w:rsidR="005E7475" w:rsidRPr="005E779E" w:rsidRDefault="005E7475" w:rsidP="000B7A6C">
      <w:pPr>
        <w:pStyle w:val="rtejustify"/>
        <w:spacing w:before="0" w:after="0"/>
        <w:rPr>
          <w:color w:val="000000" w:themeColor="text1"/>
          <w:sz w:val="16"/>
          <w:szCs w:val="16"/>
        </w:rPr>
      </w:pPr>
      <w:r w:rsidRPr="005E779E">
        <w:rPr>
          <w:color w:val="000000" w:themeColor="text1"/>
          <w:sz w:val="16"/>
          <w:szCs w:val="16"/>
          <w:vertAlign w:val="superscript"/>
        </w:rPr>
        <w:t>17</w:t>
      </w:r>
      <w:r w:rsidRPr="005E779E">
        <w:rPr>
          <w:color w:val="000000" w:themeColor="text1"/>
          <w:sz w:val="16"/>
          <w:szCs w:val="16"/>
        </w:rPr>
        <w:t>* Номер не указан.</w:t>
      </w:r>
    </w:p>
    <w:p w14:paraId="13F3D6E6" w14:textId="77777777" w:rsidR="005E7475" w:rsidRPr="005E779E" w:rsidRDefault="005E7475" w:rsidP="000B7A6C">
      <w:pPr>
        <w:pStyle w:val="rtejustify"/>
        <w:spacing w:before="0" w:after="0"/>
        <w:rPr>
          <w:color w:val="000000" w:themeColor="text1"/>
          <w:sz w:val="16"/>
          <w:szCs w:val="16"/>
        </w:rPr>
      </w:pPr>
      <w:r w:rsidRPr="005E779E">
        <w:rPr>
          <w:color w:val="000000" w:themeColor="text1"/>
          <w:sz w:val="16"/>
          <w:szCs w:val="16"/>
          <w:vertAlign w:val="superscript"/>
        </w:rPr>
        <w:t>18</w:t>
      </w:r>
      <w:r w:rsidRPr="005E779E">
        <w:rPr>
          <w:color w:val="000000" w:themeColor="text1"/>
          <w:sz w:val="16"/>
          <w:szCs w:val="16"/>
        </w:rPr>
        <w:t>* Приложения не публикуются, см. там же, л. 112</w:t>
      </w:r>
      <w:r w:rsidRPr="005E779E">
        <w:rPr>
          <w:color w:val="000000" w:themeColor="text1"/>
          <w:sz w:val="16"/>
          <w:szCs w:val="16"/>
        </w:rPr>
        <w:noBreakHyphen/>
        <w:t>111 об., 109</w:t>
      </w:r>
      <w:r w:rsidRPr="005E779E">
        <w:rPr>
          <w:color w:val="000000" w:themeColor="text1"/>
          <w:sz w:val="16"/>
          <w:szCs w:val="16"/>
        </w:rPr>
        <w:noBreakHyphen/>
        <w:t>66 об., 55</w:t>
      </w:r>
      <w:r w:rsidRPr="005E779E">
        <w:rPr>
          <w:color w:val="000000" w:themeColor="text1"/>
          <w:sz w:val="16"/>
          <w:szCs w:val="16"/>
        </w:rPr>
        <w:noBreakHyphen/>
        <w:t>54. Приложение № 2 в деле не обнаружено.</w:t>
      </w:r>
    </w:p>
    <w:p w14:paraId="0C87ECDB" w14:textId="77777777" w:rsidR="005E7475" w:rsidRPr="005E779E" w:rsidRDefault="005E7475" w:rsidP="000B7A6C">
      <w:pPr>
        <w:pStyle w:val="ae"/>
        <w:spacing w:before="0" w:after="0"/>
        <w:jc w:val="both"/>
        <w:rPr>
          <w:color w:val="000000" w:themeColor="text1"/>
          <w:sz w:val="16"/>
          <w:szCs w:val="16"/>
        </w:rPr>
      </w:pPr>
      <w:r w:rsidRPr="005E779E">
        <w:rPr>
          <w:color w:val="000000" w:themeColor="text1"/>
          <w:sz w:val="16"/>
          <w:szCs w:val="16"/>
        </w:rPr>
        <w:t>РГАЭ. Ф. 4372. Оп. 91. Д. 422. Л. 118—113. Заверенная копия.</w:t>
      </w:r>
    </w:p>
    <w:p w14:paraId="559642FB"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Архив: РГАЭ. Ф. 4372. Оп. 91. Д. 422. Л. 118—113. Заверенная копия. </w:t>
      </w:r>
    </w:p>
    <w:p w14:paraId="00948495"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Источник: Становление оборонно-промышленного комплекса СССР (1927-1932). М. 2008, стр. 517-525 (12522).</w:t>
      </w:r>
    </w:p>
    <w:p w14:paraId="5CAF0319" w14:textId="49B956D3" w:rsidR="005E7475" w:rsidRPr="005E779E" w:rsidRDefault="005E7475" w:rsidP="000B7A6C">
      <w:pPr>
        <w:spacing w:after="0" w:line="240" w:lineRule="auto"/>
        <w:jc w:val="both"/>
        <w:rPr>
          <w:rFonts w:ascii="Times New Roman" w:hAnsi="Times New Roman"/>
          <w:color w:val="000000" w:themeColor="text1"/>
          <w:sz w:val="16"/>
          <w:szCs w:val="16"/>
        </w:rPr>
      </w:pPr>
    </w:p>
    <w:p w14:paraId="6644C999" w14:textId="3192C01D" w:rsidR="00403219" w:rsidRPr="005E779E" w:rsidRDefault="00403219" w:rsidP="000B7A6C">
      <w:pPr>
        <w:spacing w:after="0" w:line="240" w:lineRule="auto"/>
        <w:jc w:val="both"/>
        <w:rPr>
          <w:rFonts w:ascii="Times New Roman" w:hAnsi="Times New Roman"/>
          <w:i/>
          <w:iCs/>
          <w:color w:val="000000" w:themeColor="text1"/>
          <w:sz w:val="16"/>
          <w:szCs w:val="16"/>
        </w:rPr>
      </w:pPr>
      <w:r w:rsidRPr="005E779E">
        <w:rPr>
          <w:rFonts w:ascii="Times New Roman" w:hAnsi="Times New Roman"/>
          <w:i/>
          <w:iCs/>
          <w:color w:val="000000" w:themeColor="text1"/>
          <w:sz w:val="16"/>
          <w:szCs w:val="16"/>
        </w:rPr>
        <w:t>Армия:</w:t>
      </w:r>
    </w:p>
    <w:p w14:paraId="52A855EC" w14:textId="77777777" w:rsidR="00403219" w:rsidRPr="005E779E" w:rsidRDefault="00403219" w:rsidP="000B7A6C">
      <w:pPr>
        <w:spacing w:after="0" w:line="240" w:lineRule="auto"/>
        <w:jc w:val="both"/>
        <w:rPr>
          <w:rFonts w:ascii="Times New Roman" w:hAnsi="Times New Roman"/>
          <w:i/>
          <w:iCs/>
          <w:color w:val="000000" w:themeColor="text1"/>
          <w:sz w:val="16"/>
          <w:szCs w:val="16"/>
        </w:rPr>
      </w:pPr>
    </w:p>
    <w:p w14:paraId="286E0738" w14:textId="77777777" w:rsidR="00403219" w:rsidRPr="005E779E" w:rsidRDefault="0040321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shd w:val="clear" w:color="auto" w:fill="FFFFFF"/>
        </w:rPr>
        <w:t>9 февраля 1931 г. начальник ВВС РККА Я.И. Алкснис запретил учебные прыжки на боевых парашютах. Новички стали пользоваться учебными «Ирвинами». Последние имели два купола в двух отдельных ранцах: основной, побольше, размещался на спине, запасной, поменьше, вешался на живот. Интересно, что сброс основного купола при его смятии или перехлесте стропами американцами не предусматривался. Парашютист должен был резать стропы, а потом выпускать запасной (21505).</w:t>
      </w:r>
    </w:p>
    <w:p w14:paraId="2017BCF9" w14:textId="77777777" w:rsidR="00403219" w:rsidRPr="005E779E" w:rsidRDefault="00403219" w:rsidP="000B7A6C">
      <w:pPr>
        <w:spacing w:after="0" w:line="240" w:lineRule="auto"/>
        <w:jc w:val="both"/>
        <w:rPr>
          <w:rFonts w:ascii="Times New Roman" w:hAnsi="Times New Roman"/>
          <w:color w:val="000000" w:themeColor="text1"/>
          <w:sz w:val="16"/>
          <w:szCs w:val="16"/>
        </w:rPr>
      </w:pPr>
    </w:p>
    <w:p w14:paraId="4116AE0D" w14:textId="77777777" w:rsidR="00093149" w:rsidRPr="005E779E" w:rsidRDefault="00093149"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1E1FF11B" w14:textId="77777777" w:rsidR="00093149" w:rsidRPr="005E779E" w:rsidRDefault="000931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A715E1E" w14:textId="77777777" w:rsidR="00093149" w:rsidRPr="005E779E" w:rsidRDefault="0009314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февраля 1931 г. партийное руководство Москвы вынесло впечатление, что хотя трамвайное дело нуждается в основательной реорганизации, однако одного этого недостаточно для исправления тяжелой ситуации на городском транспорте. Комиссия под председательством Рындина разработала решение, утвержденное 5 марта 1931 г. Бюро МГК, согласно которому Моссовету совместно с областными плановыми органами и МГЖД поручалось в течение 6 месяцев разработать концепцию реконструкции транспортной системы города, причем определить «тип дополнительных средств сообщения (метрополитен, проведение железных дорог внутрь города), новые кольцевые линии трамвая и автобуса»{309} (18299).</w:t>
      </w:r>
    </w:p>
    <w:p w14:paraId="7A347F69" w14:textId="77777777" w:rsidR="00093149" w:rsidRPr="005E779E" w:rsidRDefault="00093149" w:rsidP="000B7A6C">
      <w:pPr>
        <w:spacing w:after="0" w:line="240" w:lineRule="auto"/>
        <w:jc w:val="both"/>
        <w:rPr>
          <w:rFonts w:ascii="Times New Roman" w:hAnsi="Times New Roman"/>
          <w:color w:val="000000" w:themeColor="text1"/>
          <w:sz w:val="16"/>
          <w:szCs w:val="16"/>
        </w:rPr>
      </w:pPr>
    </w:p>
    <w:p w14:paraId="4B08C92B"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2B1A515C"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BB00EF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февраля 1931 русский певец Ф. Шаляпин отсудил 10 тысяч франков у Советского Коммерческого Бюро в Париже за пиратское тиражирование в СССР его песен (4962).</w:t>
      </w:r>
    </w:p>
    <w:p w14:paraId="1C3BCE3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62C057"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10799177"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2CE3D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февраля 1931 вышло письмо НИИ ВВС в ЦАГИ по поводу договоренности В.М.П. об окончании переделки ТБ-3 (АНТ-6) под БМВ-6 к 20 марта 1931 при условии, что самолет будет получен 20 февраля 1931 (1077,122).</w:t>
      </w:r>
    </w:p>
    <w:p w14:paraId="5D0BC5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7A94C2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февраля 1931 года самолет ТБ3-4Кертис Конкверрер был передан из НИИ ВВС в ЦАГИ для установки на него моторов БМВVI Е=7,3 и переделки элеронов, руля высоты, руля направления и костыля (6918).</w:t>
      </w:r>
    </w:p>
    <w:p w14:paraId="24DBB43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B9D44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февраля 1931 ТБ-3 4КК был передан в ЦАГИ для установки моторов БМВ-6 и переделки РВ, РН и элеронов, т.к. нагрузки на рули и педали были излишне высоки. Потом еще несколько раз переделывали (3029,211).</w:t>
      </w:r>
    </w:p>
    <w:p w14:paraId="7B4679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9A8A636"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35FD4FA4"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1E521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февраля 1931 СНК обязал гос. предприятия снабжать ГВФ по ценам, установленным для армии и флота (356,417).</w:t>
      </w:r>
    </w:p>
    <w:p w14:paraId="5E3919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9CE377C" w14:textId="77777777" w:rsidR="00D74271" w:rsidRPr="005E779E" w:rsidRDefault="00D7427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февраля 1931 г.</w:t>
      </w:r>
    </w:p>
    <w:p w14:paraId="4733488B" w14:textId="77777777" w:rsidR="00D74271" w:rsidRPr="005E779E" w:rsidRDefault="00D7427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ДОКЛАДНАЯ ЗАПИСКА ЗАМЕСТИТЕЛЯ ЗАВЕДУЮЩЕГО III ЗАПАДНЫМ ОТДЕЛОМ НКИД СССР И.Л. АРЕНСА НАРОДНОМУ КОМИССАРУ ИНОСТРАННЫХ ДЕЛ СССР М.М. ЛИТВИНОВУ О ПОЛЯРНОМ ПЕРЕЛЕТЕ ДИРИЖАБЛЯ «ГРАФ ЦЕППЕЛИН»1 11</w:t>
      </w:r>
    </w:p>
    <w:p w14:paraId="1572D4B1" w14:textId="77777777" w:rsidR="00D74271" w:rsidRPr="005E779E" w:rsidRDefault="00D7427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февраля 1931 г.</w:t>
      </w:r>
    </w:p>
    <w:p w14:paraId="715635C2" w14:textId="77777777" w:rsidR="00D74271" w:rsidRPr="005E779E" w:rsidRDefault="00D7427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Секретно</w:t>
      </w:r>
    </w:p>
    <w:p w14:paraId="13593ACE" w14:textId="77777777" w:rsidR="00D74271" w:rsidRPr="005E779E" w:rsidRDefault="00D7427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связи с предполагающимся воздушным полярным перелетом на «Графе Цеппелине» по линии Фридрихсгафен - Ленинград - Земля Франца Иосифа —Северная Земля — Москва — Фридрихсгафен профессор Р.Л. Самойлович сообщает следующее: начальником экспедиции был избран Р.Л. Самойлович, командиром корабля доктор Эккенер. Перелет намечен на начало июля — август с.г.</w:t>
      </w:r>
    </w:p>
    <w:p w14:paraId="6131B6E4" w14:textId="77777777" w:rsidR="00D74271" w:rsidRPr="005E779E" w:rsidRDefault="00D7427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согласования вопросов, связанных с означенным перелетом, 15-го февраля приезжает в Москву генеральный секретарь Международного общества по изучению Арктики Брунс. Ему придется выяснить следующие вопросы:</w:t>
      </w:r>
    </w:p>
    <w:p w14:paraId="4B4242A9" w14:textId="77777777" w:rsidR="00D74271" w:rsidRPr="005E779E" w:rsidRDefault="00D7427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Согласно ли советское правительство на означенный перелет.</w:t>
      </w:r>
    </w:p>
    <w:p w14:paraId="48043492" w14:textId="77777777" w:rsidR="00D74271" w:rsidRPr="005E779E" w:rsidRDefault="00D7427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Утверждение начальником экспедиции РЛ.Самойловича и личного состава экспедиции со стороны СССР. С нашей стороны должны принять участие двое ученых (в том числе проф. Самойлович), один радиотелеграфист, один представитель прессы и два воздухоплавателя. Для сведения сообщаю, что команда «Цеппелина» состоит из 32-х чел. и 10-12 чел. будут принимать участие в качестве ученых, журналистов, кино- и фоторепортеров и т.д.</w:t>
      </w:r>
    </w:p>
    <w:p w14:paraId="6461A372" w14:textId="77777777" w:rsidR="00D74271" w:rsidRPr="005E779E" w:rsidRDefault="00D7427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3) Финансовый вопрос. По последнему вопросу дело представляется следующим образом: с нашей стороны не потребуется больших расходов на эту экспедицию, так как она будет финансироваться концерном Херста в Америке; последний получит за это, понятно, монопольное право на газетные сведения, фото- и киноинформацию о перелете. Наша помощь выразится в обслуживании перелета сведениями метеорологического характера и оказании всяческой помощи во время пребывания в Ленинграде.</w:t>
      </w:r>
    </w:p>
    <w:p w14:paraId="10C84786" w14:textId="77777777" w:rsidR="00D74271" w:rsidRPr="005E779E" w:rsidRDefault="00D7427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Ввиду того, что финансирование перелета связано с монопольными правами концерна Херста, возникает вопрос о характере работы нашего представителя печати во время перелета. Со своей стороны предлагаю следующее: послать представителя ТАСС с правом снабжать информацией ТАСС исключительно для СССР. Его телеграммы будут передаваться непосредственно после херстовских. ТАСС не будет иметь право передавать телеграмм своего корреспондента за границу. Этим путем мы не ставим нашу информацию в зависимость от Херста и одновременно не мешаем их деятельности за границей.</w:t>
      </w:r>
    </w:p>
    <w:p w14:paraId="6E6CA3DD" w14:textId="77777777" w:rsidR="00D74271" w:rsidRPr="005E779E" w:rsidRDefault="00D7427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В связи с приездом Брунса, при Арктической комиссии СССР4, находящейся под председательством С.С.Каменева, создается комиссия, в которую должен войти представитель НКИД.</w:t>
      </w:r>
    </w:p>
    <w:p w14:paraId="58D73A5D" w14:textId="77777777" w:rsidR="00D74271" w:rsidRPr="005E779E" w:rsidRDefault="00D7427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Прошу все вопросы, связанные с предполагаемым перелетом «Графа Цеппелина», поставить на ближайшем заседании Коллегии.</w:t>
      </w:r>
    </w:p>
    <w:p w14:paraId="53E6DCF9" w14:textId="77777777" w:rsidR="00D74271" w:rsidRPr="005E779E" w:rsidRDefault="00D7427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АРЕНС</w:t>
      </w:r>
    </w:p>
    <w:p w14:paraId="5AB81878" w14:textId="77777777" w:rsidR="00D74271" w:rsidRPr="005E779E" w:rsidRDefault="00D7427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АВП РФ. Ф. 027а. On. 1. П. 14. Д. 74. Л. 158 + оборот. Подлинник (21049).</w:t>
      </w:r>
    </w:p>
    <w:p w14:paraId="638F8F87" w14:textId="77777777" w:rsidR="00D74271" w:rsidRPr="005E779E" w:rsidRDefault="00D74271" w:rsidP="000B7A6C">
      <w:pPr>
        <w:spacing w:after="0" w:line="240" w:lineRule="auto"/>
        <w:jc w:val="both"/>
        <w:rPr>
          <w:rFonts w:ascii="Times New Roman" w:hAnsi="Times New Roman"/>
          <w:color w:val="000000" w:themeColor="text1"/>
          <w:sz w:val="16"/>
          <w:szCs w:val="16"/>
        </w:rPr>
      </w:pPr>
    </w:p>
    <w:p w14:paraId="4F858CAF"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5172E7E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03814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11 февраля 1931 г. для выполнения работ по совершенствованию структуры ЭКУ, В. Р. Менжинский просит Сталина вернуть в центральную структуру ЭКУ Льва Григорьевича Миронова, направленного в 1926 г. Полномочным представителем ЭКУ в Средней Азии. </w:t>
      </w:r>
    </w:p>
    <w:p w14:paraId="42686C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Приказом ОГПУ № 160/96 от 1 апреля 1931 г. заместителем начальника ЭКУГ. Е. Прокофьева назначается Л. Г. Миронов. Этим же приказом в составе ЭКУ ОГПУ организуется 5-е Специально-Техническое Отделение по использованию осужденных специалистов. </w:t>
      </w:r>
    </w:p>
    <w:p w14:paraId="3B0564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Этот день следует считать днем рождения шарашек (12107).</w:t>
      </w:r>
    </w:p>
    <w:p w14:paraId="58E949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8AF4F7F"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февраля 1931 г. В. Р. Менжинский просит Сталина вернуть в центральную структуру ЭКУ Льва Григорьевича Миронова, направленного в 1926 г. Полномочным представителем ЭКУ в Средней Азии. Приказом ОГПУ № 160/96 от 1 апреля 1931 г. заместителем начальника ЭКУГ. Е. Прокофьева назначается Л. Г. Миронов. Этим же приказом в составе ЭКУ ОГПУ организуется 5-е Специально-Техническое Отделение по использованию осужденных специалистов. Этот день следует считать днем рождения шарашек (18668).</w:t>
      </w:r>
    </w:p>
    <w:p w14:paraId="48897A27" w14:textId="77777777" w:rsidR="009A3E3D" w:rsidRPr="005E779E" w:rsidRDefault="009A3E3D" w:rsidP="000B7A6C">
      <w:pPr>
        <w:spacing w:after="0" w:line="240" w:lineRule="auto"/>
        <w:jc w:val="both"/>
        <w:rPr>
          <w:rFonts w:ascii="Times New Roman" w:hAnsi="Times New Roman"/>
          <w:color w:val="000000" w:themeColor="text1"/>
          <w:sz w:val="16"/>
          <w:szCs w:val="16"/>
        </w:rPr>
      </w:pPr>
    </w:p>
    <w:p w14:paraId="5D1FFA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февраля 1931 года вышел приказ № 151 по Всесоюзному объединению химической промышленности</w:t>
      </w:r>
    </w:p>
    <w:p w14:paraId="2EE502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Центральную научно-исследовательскую лабораторию пластических масс ВСЕХИМПРОМа реорганизовать в НИИ пластмасс (7705)</w:t>
      </w:r>
    </w:p>
    <w:p w14:paraId="22964BE5"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AEA56B2" w14:textId="3177197E" w:rsidR="00935E1C" w:rsidRPr="005E779E" w:rsidRDefault="00935E1C"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11 февраля 1931 г. Трудовые книжки были введены для промышленных и транспортных рабочих и 20 декабря 1938 г. для всех других рабочих. Эти книжки нужно предъявлять</w:t>
      </w:r>
      <w:r w:rsidR="00FE094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eastAsia="ru-RU"/>
        </w:rPr>
        <w:t>директору</w:t>
      </w:r>
      <w:r w:rsidR="00FE094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eastAsia="ru-RU"/>
        </w:rPr>
        <w:t>предприятия при поступлении на работу. Директора обязаны указывать в книжке причину увольнения рабочего. Ни один рабочий не может быть принят на новую работу до тех пор, пока он не предъявит своей трудовой книжки. К какой порочной практике приводила подобная система, показывает Виктор Серж, приводя следующие факты: «Паспорт визируется по месту работы. При каждой перемене места работы причина перехода вносится в паспорт. Я знаю факты, когда рабочим, уволенным за неявку в выходной день для участия в «добровольной» (и, естественно, не оплачиваемой) работе, в паспортах делалась отметка: «Уволен за срыв производственного плана».</w:t>
      </w:r>
    </w:p>
    <w:p w14:paraId="0B0CE7F3" w14:textId="58DD8BAE" w:rsidR="00935E1C" w:rsidRPr="005E779E" w:rsidRDefault="00935E1C"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По закону от 15 ноября</w:t>
      </w:r>
      <w:r w:rsidR="00FE094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eastAsia="ru-RU"/>
        </w:rPr>
        <w:t>1932</w:t>
      </w:r>
      <w:r w:rsidR="00FE094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eastAsia="ru-RU"/>
        </w:rPr>
        <w:t>г. рабочий, отсутствовавший на работе в течение одного дня без уважительной причины, подлежит увольнению и - что является значительно более серьезной угрозой в русских условиях - подлежит выселению из квартиры, если он проживает в ведомственном доме (55), а это, как правило, обычно для промышленных рабочих, шахтеров и т. д.</w:t>
      </w:r>
    </w:p>
    <w:p w14:paraId="092AFD5E" w14:textId="4D61D0FE" w:rsidR="00935E1C" w:rsidRPr="005E779E" w:rsidRDefault="00935E1C"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4 декабря</w:t>
      </w:r>
      <w:r w:rsidR="00FE094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eastAsia="ru-RU"/>
        </w:rPr>
        <w:t>1932</w:t>
      </w:r>
      <w:r w:rsidR="00FE094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eastAsia="ru-RU"/>
        </w:rPr>
        <w:t>г. Совет Народных Комиссаров и Центральный Комитет партии издали другой указ, направленный против прогулов. На этот раз обеспечение продуктами питания и другими предметами первой необходимости было поставлено под контроль</w:t>
      </w:r>
      <w:r w:rsidR="00FE094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eastAsia="ru-RU"/>
        </w:rPr>
        <w:t>директоров</w:t>
      </w:r>
      <w:r w:rsidR="00FE094E">
        <w:rPr>
          <w:rFonts w:ascii="Times New Roman" w:eastAsia="Times New Roman" w:hAnsi="Times New Roman"/>
          <w:color w:val="000000" w:themeColor="text1"/>
          <w:sz w:val="16"/>
          <w:szCs w:val="16"/>
          <w:lang w:eastAsia="ru-RU"/>
        </w:rPr>
        <w:t xml:space="preserve"> </w:t>
      </w:r>
      <w:bookmarkStart w:id="22" w:name="YANDEX_14"/>
      <w:bookmarkEnd w:id="22"/>
      <w:r w:rsidRPr="005E779E">
        <w:rPr>
          <w:rFonts w:ascii="Times New Roman" w:eastAsia="Times New Roman" w:hAnsi="Times New Roman"/>
          <w:color w:val="000000" w:themeColor="text1"/>
          <w:sz w:val="16"/>
          <w:szCs w:val="16"/>
          <w:lang w:eastAsia="ru-RU"/>
        </w:rPr>
        <w:t> заводов</w:t>
      </w:r>
      <w:r w:rsidR="00FE094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eastAsia="ru-RU"/>
        </w:rPr>
        <w:t>(17248).</w:t>
      </w:r>
    </w:p>
    <w:p w14:paraId="5146B971" w14:textId="77777777" w:rsidR="00935E1C" w:rsidRPr="005E779E" w:rsidRDefault="00935E1C"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1450A08"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709E908C"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A856E7A" w14:textId="77777777" w:rsidR="002431C2" w:rsidRPr="00142305" w:rsidRDefault="002431C2" w:rsidP="002431C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12 февраля 1931 года на</w:t>
      </w:r>
      <w:r w:rsidRPr="00142305">
        <w:rPr>
          <w:rFonts w:ascii="Times New Roman" w:hAnsi="Times New Roman"/>
          <w:color w:val="0070C0"/>
          <w:sz w:val="16"/>
          <w:szCs w:val="16"/>
        </w:rPr>
        <w:softHyphen/>
        <w:t>чальник УММ РККА И. Халепский направил в Революционно-военный со</w:t>
      </w:r>
      <w:r w:rsidRPr="00142305">
        <w:rPr>
          <w:rFonts w:ascii="Times New Roman" w:hAnsi="Times New Roman"/>
          <w:color w:val="0070C0"/>
          <w:sz w:val="16"/>
          <w:szCs w:val="16"/>
        </w:rPr>
        <w:softHyphen/>
        <w:t>вет СССР доклад, в котором сообщал о ходе работ по изготовлению опытных образцов автобронетанковой техники. По танку Т-24 там сообщалось следу</w:t>
      </w:r>
      <w:r w:rsidRPr="00142305">
        <w:rPr>
          <w:rFonts w:ascii="Times New Roman" w:hAnsi="Times New Roman"/>
          <w:color w:val="0070C0"/>
          <w:sz w:val="16"/>
          <w:szCs w:val="16"/>
        </w:rPr>
        <w:softHyphen/>
        <w:t>ющее:</w:t>
      </w:r>
    </w:p>
    <w:p w14:paraId="6BEC4317" w14:textId="77777777" w:rsidR="002431C2" w:rsidRPr="00142305" w:rsidRDefault="002431C2" w:rsidP="002431C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«Изготовлено три корпуса и ни од</w:t>
      </w:r>
      <w:r w:rsidRPr="00142305">
        <w:rPr>
          <w:rFonts w:ascii="Times New Roman" w:hAnsi="Times New Roman"/>
          <w:color w:val="0070C0"/>
          <w:sz w:val="16"/>
          <w:szCs w:val="16"/>
        </w:rPr>
        <w:softHyphen/>
        <w:t>ной башни. Заканчивается на ХПЗ из</w:t>
      </w:r>
      <w:r w:rsidRPr="00142305">
        <w:rPr>
          <w:rFonts w:ascii="Times New Roman" w:hAnsi="Times New Roman"/>
          <w:color w:val="0070C0"/>
          <w:sz w:val="16"/>
          <w:szCs w:val="16"/>
        </w:rPr>
        <w:softHyphen/>
        <w:t>готовление всех механизмов для первой партии в 15 машин. До настоящего вре</w:t>
      </w:r>
      <w:r w:rsidRPr="00142305">
        <w:rPr>
          <w:rFonts w:ascii="Times New Roman" w:hAnsi="Times New Roman"/>
          <w:color w:val="0070C0"/>
          <w:sz w:val="16"/>
          <w:szCs w:val="16"/>
        </w:rPr>
        <w:softHyphen/>
        <w:t>мени не устранен целый ряд конструк</w:t>
      </w:r>
      <w:r w:rsidRPr="00142305">
        <w:rPr>
          <w:rFonts w:ascii="Times New Roman" w:hAnsi="Times New Roman"/>
          <w:color w:val="0070C0"/>
          <w:sz w:val="16"/>
          <w:szCs w:val="16"/>
        </w:rPr>
        <w:softHyphen/>
        <w:t>тивных недостатков, которые завод на</w:t>
      </w:r>
      <w:r w:rsidRPr="00142305">
        <w:rPr>
          <w:rFonts w:ascii="Times New Roman" w:hAnsi="Times New Roman"/>
          <w:color w:val="0070C0"/>
          <w:sz w:val="16"/>
          <w:szCs w:val="16"/>
        </w:rPr>
        <w:softHyphen/>
        <w:t>мечает устранить к началу марта».</w:t>
      </w:r>
    </w:p>
    <w:p w14:paraId="61D6C476" w14:textId="77777777" w:rsidR="002431C2" w:rsidRPr="00142305" w:rsidRDefault="002431C2" w:rsidP="002431C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23 мая 1931 года прошло заседание Комитета Обороны СССР. В протоко</w:t>
      </w:r>
      <w:r w:rsidRPr="00142305">
        <w:rPr>
          <w:rFonts w:ascii="Times New Roman" w:hAnsi="Times New Roman"/>
          <w:color w:val="0070C0"/>
          <w:sz w:val="16"/>
          <w:szCs w:val="16"/>
        </w:rPr>
        <w:softHyphen/>
        <w:t>ле по его итогам, озаглавленном кратко «О танкостроении», среди прочего за</w:t>
      </w:r>
      <w:r w:rsidRPr="00142305">
        <w:rPr>
          <w:rFonts w:ascii="Times New Roman" w:hAnsi="Times New Roman"/>
          <w:color w:val="0070C0"/>
          <w:sz w:val="16"/>
          <w:szCs w:val="16"/>
        </w:rPr>
        <w:softHyphen/>
        <w:t>писано: « Выработать задел по среднему тан</w:t>
      </w:r>
      <w:r w:rsidRPr="00142305">
        <w:rPr>
          <w:rFonts w:ascii="Times New Roman" w:hAnsi="Times New Roman"/>
          <w:color w:val="0070C0"/>
          <w:sz w:val="16"/>
          <w:szCs w:val="16"/>
        </w:rPr>
        <w:softHyphen/>
        <w:t>ку Т-24 и больше этих машин не произ</w:t>
      </w:r>
      <w:r w:rsidRPr="00142305">
        <w:rPr>
          <w:rFonts w:ascii="Times New Roman" w:hAnsi="Times New Roman"/>
          <w:color w:val="0070C0"/>
          <w:sz w:val="16"/>
          <w:szCs w:val="16"/>
        </w:rPr>
        <w:softHyphen/>
        <w:t>водить» (25010).</w:t>
      </w:r>
    </w:p>
    <w:p w14:paraId="073BCD7E" w14:textId="77777777" w:rsidR="002431C2" w:rsidRPr="00142305" w:rsidRDefault="002431C2" w:rsidP="002431C2">
      <w:pPr>
        <w:spacing w:after="0" w:line="240" w:lineRule="auto"/>
        <w:jc w:val="both"/>
        <w:rPr>
          <w:rFonts w:ascii="Times New Roman" w:hAnsi="Times New Roman"/>
          <w:color w:val="0070C0"/>
          <w:sz w:val="16"/>
          <w:szCs w:val="16"/>
        </w:rPr>
      </w:pPr>
    </w:p>
    <w:p w14:paraId="1C472076" w14:textId="77777777" w:rsidR="002431C2" w:rsidRPr="00142305" w:rsidRDefault="002431C2" w:rsidP="002431C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12 февраля 1931 года в докладе И. Халеп</w:t>
      </w:r>
      <w:r w:rsidRPr="00142305">
        <w:rPr>
          <w:rFonts w:ascii="Times New Roman" w:hAnsi="Times New Roman"/>
          <w:color w:val="0070C0"/>
          <w:sz w:val="16"/>
          <w:szCs w:val="16"/>
        </w:rPr>
        <w:softHyphen/>
        <w:t>ского т сказано:</w:t>
      </w:r>
    </w:p>
    <w:p w14:paraId="6FB4FF7E" w14:textId="77777777" w:rsidR="002431C2" w:rsidRPr="00142305" w:rsidRDefault="002431C2" w:rsidP="002431C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«Танк (Д-4) был в опытном заводском пробе</w:t>
      </w:r>
      <w:r w:rsidRPr="00142305">
        <w:rPr>
          <w:rFonts w:ascii="Times New Roman" w:hAnsi="Times New Roman"/>
          <w:color w:val="0070C0"/>
          <w:sz w:val="16"/>
          <w:szCs w:val="16"/>
        </w:rPr>
        <w:softHyphen/>
        <w:t>ге. Опытный образец танка не закончен» (25010).</w:t>
      </w:r>
    </w:p>
    <w:p w14:paraId="0DBA808F" w14:textId="77777777" w:rsidR="002431C2" w:rsidRPr="00142305" w:rsidRDefault="002431C2" w:rsidP="002431C2">
      <w:pPr>
        <w:spacing w:after="0" w:line="240" w:lineRule="auto"/>
        <w:jc w:val="both"/>
        <w:rPr>
          <w:rFonts w:ascii="Times New Roman" w:hAnsi="Times New Roman"/>
          <w:color w:val="0070C0"/>
          <w:sz w:val="16"/>
          <w:szCs w:val="16"/>
        </w:rPr>
      </w:pPr>
    </w:p>
    <w:p w14:paraId="46E2A41F" w14:textId="77777777" w:rsidR="002431C2" w:rsidRPr="00142305" w:rsidRDefault="002431C2" w:rsidP="002431C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12 февраля 1931 года в докладе И. Халепского, направленном в РСВ СССР, по поводу 12-тонного «Виккерса» ска</w:t>
      </w:r>
      <w:r w:rsidRPr="00142305">
        <w:rPr>
          <w:rFonts w:ascii="Times New Roman" w:hAnsi="Times New Roman"/>
          <w:color w:val="0070C0"/>
          <w:sz w:val="16"/>
          <w:szCs w:val="16"/>
        </w:rPr>
        <w:softHyphen/>
        <w:t>зано лаконично: «Находится в стадии испытаний». Но каких-то бурных вос</w:t>
      </w:r>
      <w:r w:rsidRPr="00142305">
        <w:rPr>
          <w:rFonts w:ascii="Times New Roman" w:hAnsi="Times New Roman"/>
          <w:color w:val="0070C0"/>
          <w:sz w:val="16"/>
          <w:szCs w:val="16"/>
        </w:rPr>
        <w:softHyphen/>
        <w:t>торгов у советских специалистов «две- надцатитонник» не вызвал — в то время основной интерес военных был на сто</w:t>
      </w:r>
      <w:r w:rsidRPr="00142305">
        <w:rPr>
          <w:rFonts w:ascii="Times New Roman" w:hAnsi="Times New Roman"/>
          <w:color w:val="0070C0"/>
          <w:sz w:val="16"/>
          <w:szCs w:val="16"/>
        </w:rPr>
        <w:softHyphen/>
        <w:t>роне танков Кристи и «Виккерса-шеститонного» (25010).</w:t>
      </w:r>
    </w:p>
    <w:p w14:paraId="7FBF1F9C" w14:textId="77777777" w:rsidR="002431C2" w:rsidRPr="00142305" w:rsidRDefault="002431C2" w:rsidP="002431C2">
      <w:pPr>
        <w:spacing w:after="0" w:line="240" w:lineRule="auto"/>
        <w:jc w:val="both"/>
        <w:rPr>
          <w:rFonts w:ascii="Times New Roman" w:hAnsi="Times New Roman"/>
          <w:color w:val="0070C0"/>
          <w:sz w:val="16"/>
          <w:szCs w:val="16"/>
        </w:rPr>
      </w:pPr>
    </w:p>
    <w:p w14:paraId="0E1C3B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февраля 1931 года руко</w:t>
      </w:r>
      <w:r w:rsidRPr="005E779E">
        <w:rPr>
          <w:rFonts w:ascii="Times New Roman" w:hAnsi="Times New Roman"/>
          <w:color w:val="000000" w:themeColor="text1"/>
          <w:sz w:val="16"/>
          <w:szCs w:val="16"/>
        </w:rPr>
        <w:softHyphen/>
        <w:t>водство УММ РККА представило революционно-военно</w:t>
      </w:r>
      <w:r w:rsidRPr="005E779E">
        <w:rPr>
          <w:rFonts w:ascii="Times New Roman" w:hAnsi="Times New Roman"/>
          <w:color w:val="000000" w:themeColor="text1"/>
          <w:sz w:val="16"/>
          <w:szCs w:val="16"/>
        </w:rPr>
        <w:softHyphen/>
        <w:t>му совету СССР «доклад о положении по опытным образ</w:t>
      </w:r>
      <w:r w:rsidRPr="005E779E">
        <w:rPr>
          <w:rFonts w:ascii="Times New Roman" w:hAnsi="Times New Roman"/>
          <w:color w:val="000000" w:themeColor="text1"/>
          <w:sz w:val="16"/>
          <w:szCs w:val="16"/>
        </w:rPr>
        <w:softHyphen/>
        <w:t>цам автоброневооружения», в котором был следующий пункт: «Бронированный «Форд-А». В основном законче</w:t>
      </w:r>
      <w:r w:rsidRPr="005E779E">
        <w:rPr>
          <w:rFonts w:ascii="Times New Roman" w:hAnsi="Times New Roman"/>
          <w:color w:val="000000" w:themeColor="text1"/>
          <w:sz w:val="16"/>
          <w:szCs w:val="16"/>
        </w:rPr>
        <w:softHyphen/>
        <w:t>ны изготовлением четыре опытных образца. Зампредом принято решение остановиться на двух образцах брони</w:t>
      </w:r>
      <w:r w:rsidRPr="005E779E">
        <w:rPr>
          <w:rFonts w:ascii="Times New Roman" w:hAnsi="Times New Roman"/>
          <w:color w:val="000000" w:themeColor="text1"/>
          <w:sz w:val="16"/>
          <w:szCs w:val="16"/>
        </w:rPr>
        <w:softHyphen/>
        <w:t>ровки т. Дыренкова» (11284).</w:t>
      </w:r>
    </w:p>
    <w:p w14:paraId="6C1711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C197B7C" w14:textId="77777777" w:rsidR="009A3E3D" w:rsidRPr="005E779E" w:rsidRDefault="009A3E3D"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08A331F8" w14:textId="77777777" w:rsidR="009A3E3D" w:rsidRPr="005E779E" w:rsidRDefault="009A3E3D"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7C0BC79"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февраля 1931 г.</w:t>
      </w:r>
    </w:p>
    <w:p w14:paraId="380B75CE"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Сопроводительная записка председателя ОГПУ В. Р. Менжинского в связи с отправкой в ЦК ВКП(б) материалов «о ходе следствия» по «делу» Уральского областного комитета «Промпартии». 12 февраля 1931 г.</w:t>
      </w:r>
    </w:p>
    <w:p w14:paraId="2AB31F74"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Источник: </w:t>
      </w:r>
    </w:p>
    <w:p w14:paraId="34CA60C9"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2EFC8F9"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февраля 1931 г.</w:t>
      </w:r>
    </w:p>
    <w:p w14:paraId="53FDDD03"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Секретно.</w:t>
      </w:r>
    </w:p>
    <w:p w14:paraId="4D148CCA"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ЦК ВКП(б).</w:t>
      </w:r>
    </w:p>
    <w:p w14:paraId="2869ECEA"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СЕКРЕТАРЮ — тов. СТАЛИНУ.</w:t>
      </w:r>
    </w:p>
    <w:p w14:paraId="02B28416"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Препровождаю, для Вашего сведения, справку о ходе следствия по Уральскому Областному Комитету «Промышленной Партии» и показания основного руководителя этой организации — б. главного инженера Магнитостроя — Г[А]ССЕЛЬБЛАТА с характеристикой как деятельности организации в целом, так и по вопросу о вредительских актах на Магнитогорском строительстве.</w:t>
      </w:r>
    </w:p>
    <w:p w14:paraId="1581E084"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ПРЕДСЕДАТЕЛЬ О.Г.П.У. В. Менжинский</w:t>
      </w:r>
    </w:p>
    <w:p w14:paraId="328ED4FD"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 S. Значительная часть лиц, проходящих по делу, еще не арестована.</w:t>
      </w:r>
    </w:p>
    <w:p w14:paraId="2C8DBEC2"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 356. Л. 54. Машинописный подлинник на бланке ОГПУ при СНК СССР, подпись — автограф. Дата и номер документа вписаны от руки в угловой штамп бланка. Гриф секретности машинописью. Постскриптум написан рукой В. Р. Менжинского (18660).</w:t>
      </w:r>
    </w:p>
    <w:p w14:paraId="54DBF1F1" w14:textId="77777777" w:rsidR="009A3E3D" w:rsidRPr="005E779E" w:rsidRDefault="009A3E3D" w:rsidP="000B7A6C">
      <w:pPr>
        <w:spacing w:after="0" w:line="240" w:lineRule="auto"/>
        <w:jc w:val="both"/>
        <w:rPr>
          <w:rFonts w:ascii="Times New Roman" w:hAnsi="Times New Roman"/>
          <w:color w:val="000000" w:themeColor="text1"/>
          <w:sz w:val="16"/>
          <w:szCs w:val="16"/>
        </w:rPr>
      </w:pPr>
    </w:p>
    <w:p w14:paraId="14DD7FBF"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февраля 1931 г.</w:t>
      </w:r>
    </w:p>
    <w:p w14:paraId="107A8A05"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«Справка» о деятельности «вредительских организаций» в промышленности Урала. 12 февраля 1931 г.</w:t>
      </w:r>
    </w:p>
    <w:p w14:paraId="480DAE2B"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Источник: </w:t>
      </w:r>
    </w:p>
    <w:p w14:paraId="4FDF84FB"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CFD7776"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февраля 1931 г.</w:t>
      </w:r>
    </w:p>
    <w:p w14:paraId="32DCC162"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[Секретно]</w:t>
      </w:r>
    </w:p>
    <w:p w14:paraId="59F3AC6F"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СПРАВКА</w:t>
      </w:r>
    </w:p>
    <w:p w14:paraId="742B0460"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 ЛИКВИДИРОВАННЫХ К.-Р. ОРГАНИЗАЦИЯХ НА УРАЛЕ.</w:t>
      </w:r>
    </w:p>
    <w:p w14:paraId="3153BFDA"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О.Г.П.У. за последнее время вскрыты и ликвидированы на Урале целый ряд к.-р. организаций, охвативших активной вредительской деятельностью все основные участки Уральской промышленности.</w:t>
      </w:r>
    </w:p>
    <w:p w14:paraId="74F3D41A"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настоящее время следствие ведется по следующим отраслям промышленности: черная металлургия, строительство Магнитогорского завода, цветная металлургия, каменно-угольная промышленность, машиностроение, строительство электро-станций, бывший геологический комитет, сельхозмашиностроение, промышленность строительных материалов, лесная и химическая промышленность.</w:t>
      </w:r>
    </w:p>
    <w:p w14:paraId="491CD558"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 группы вскрыты также в научно-исследовательских институтах и ВТУЗах Урала.</w:t>
      </w:r>
    </w:p>
    <w:p w14:paraId="72315A05"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Следствием установлено, что вредительские организации на &lt;Урале&gt; [руко]водились в своей деятельности указаниями Уральского Областного Центра «Промпартии», связанного, в свою очередь, с ЦК Промпартии в Москве.</w:t>
      </w:r>
    </w:p>
    <w:p w14:paraId="6A5775D6"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 главе Уральского Областного вредительского центра стояли:</w:t>
      </w:r>
    </w:p>
    <w:p w14:paraId="3850950B" w14:textId="358E465A"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ГАССЕЛЬБЛАТ — б. главный инженер УралГипромеза и главный инженер Магнитостроя.</w:t>
      </w:r>
    </w:p>
    <w:p w14:paraId="06729BF8" w14:textId="2BE53870"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 xml:space="preserve"> КРАПИВИН — б. технический руководитель треста «Уралмет».</w:t>
      </w:r>
    </w:p>
    <w:p w14:paraId="75D62BD1" w14:textId="4F31790A"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ГИРБАСОВ — б. технический директор «Уралгостреста» и консультант Уралгеолкома.</w:t>
      </w:r>
    </w:p>
    <w:p w14:paraId="345BF001" w14:textId="0E394CCB"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 xml:space="preserve"> ДУНАЕВ — член Президиума Уралоблсовнархоза и</w:t>
      </w:r>
    </w:p>
    <w:p w14:paraId="4613329A" w14:textId="0CA3292F"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 xml:space="preserve"> СОЛОВОВ — б. председатель промсекции Уралплана.</w:t>
      </w:r>
    </w:p>
    <w:p w14:paraId="6989086C"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начала 1930 г. в составе вредительских организаций на Урале были созданы специальные военные и диверсантские ячейки. В настоящее время вскрыты и ликвидируются следующие военно-диверсантские ячейки:</w:t>
      </w:r>
    </w:p>
    <w:p w14:paraId="49150634" w14:textId="58D0BF29"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на электро-станциях: Челябинской, Свердловской, Пермской, Губахинской, Кизеловской и Кушвинской.</w:t>
      </w:r>
    </w:p>
    <w:p w14:paraId="469BD31B"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на жел.-дор. узлах: Свердловском, Пермском, Челябинском, Луньевско-Чусовской ж.-д. ветке и на переправах через р. Каму у Перми и Сарапуля.</w:t>
      </w:r>
    </w:p>
    <w:p w14:paraId="62FE80F5"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Военно-диверсантские ячейки состояли в своем большинстве из б. офицеров царской и белой армии. Их задачей являлось на случай интервенции парализовать деятельность уральской промышленности.</w:t>
      </w:r>
    </w:p>
    <w:p w14:paraId="58A62226"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 ОРГАНИЗАЦИЯ В ЧЕРНОЙ МЕТАЛЛУРГИИ.</w:t>
      </w:r>
    </w:p>
    <w:p w14:paraId="78790243"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Наиболее мощной к.-р. организацией на Урале являлась организация черной металлургии. Благодаря деятельности последней сорвана реконструкция металлургических заводов Урала и тормозится развитие машиностроения:</w:t>
      </w:r>
    </w:p>
    <w:p w14:paraId="5558CB36" w14:textId="1D169630"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Сорвана своевременная реконструкция Златоустовского, Н[ижне]-Салд[и]нского, Чусовского, Алапаевского и Кушвинского з-дов. Златоустовский з-д имеет все данные для того, чтобы быть развернутым в крупную металлургическую единицу по производству высоко-сортных сталей и изделий. До настоящего времени вопрос о реконструкции этого завода не разрешен.</w:t>
      </w:r>
    </w:p>
    <w:p w14:paraId="4A78AEA8" w14:textId="52CF9BC6"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Консервировались железо-рудные месторождения с богатыми запасами руды, как-то: северные рудники Богословского общества, Синатские рудники.</w:t>
      </w:r>
    </w:p>
    <w:p w14:paraId="12D14D48" w14:textId="3A262B9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 xml:space="preserve"> Задерживалась и срывалась проблема использования кизеловского угля для коксования.</w:t>
      </w:r>
    </w:p>
    <w:p w14:paraId="028E8C5E" w14:textId="25CF3F73"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 xml:space="preserve"> Срывалась программа механизации (собственных) лесозаготовок, что привело к срыву заготовки дров и древесного угля для металлургических заводов.</w:t>
      </w:r>
    </w:p>
    <w:p w14:paraId="31AB9105" w14:textId="1A7D8456"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 xml:space="preserve"> Завозилось, но не использовывалось дорогостоящее импортное оборудование. Часть этого оборудования лежит и в настоящее время без использования на Златоустовском заводе.</w:t>
      </w:r>
    </w:p>
    <w:p w14:paraId="1DE7405E" w14:textId="3616DFB8"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 xml:space="preserve"> В пятилетием плане развития на Урале было намечено незначительное развитие доменного хозяйства Надеждинского района, вполне обеспеченного рудными запасами. По делу арестовано 27 человек.</w:t>
      </w:r>
    </w:p>
    <w:p w14:paraId="4B9D0E92"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 ОРГАНИЗАЦИЯ В НОВОСТАЛИ И В МАГНИТОГОРСКЕ.</w:t>
      </w:r>
    </w:p>
    <w:p w14:paraId="6344C842"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момента создания специального объединения для руководства строительством новых металлургических заводов (Магнито[-] и Кузнецкстрой) как само объединение (Новосталь, затем Востокосталь), так и техническое руководство этими строительствами было захвачено вредительской организацией. Вредительскую организацию на Магнитогорском строительстве возглавлял главный инженер ГАССЕЛЬБЛАТ. Основной задачей к.-р. организации Востокостали являлось сорвать строительство металлургических гигантов.</w:t>
      </w:r>
    </w:p>
    <w:p w14:paraId="60C38848"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Проверенными агентурными материалами устанавливается, что в Востокостали вредительская работа продолжается и в настоящее время. Вредительская группа Востокостали (инженеры ЕМЕЛЬЯНОВ, ПИСАРЕВ и др.) продолжает срывать своевременную выдачу заказов для Магнитостроя.</w:t>
      </w:r>
    </w:p>
    <w:p w14:paraId="4850191C"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целях срыва строительства Магнитогорского завода к.-р. организацией были проведены следующие основные вредительские акты.</w:t>
      </w:r>
    </w:p>
    <w:p w14:paraId="43E010AD" w14:textId="3317AE06"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 xml:space="preserve"> До конца 1930 г. не был разрешен вопрос о топливной базе и в результате не известны данные для шихтовки, которая будет принята для изготовления углей, нет точных данных о содержании фосфора в угле.</w:t>
      </w:r>
    </w:p>
    <w:p w14:paraId="05EC9DF5" w14:textId="6523E94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 xml:space="preserve"> Вредительским способом велись разведки и исследовательская работа по определению состояния железо-рудной базы. Данные разведок 1927, 1928 и 1929 г.г. не соответствуют действительности в части качественных показателей. Были даны неправильные химические анализы на фосфор и серу. Исследовательские работы в целом велись таким образом, что не дали возможности составить проект обогащения магнитогорских руд.</w:t>
      </w:r>
    </w:p>
    <w:p w14:paraId="61748310" w14:textId="373AFB6E"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 xml:space="preserve"> До самого последнего времени не разрешен вопрос доставки грузов Магнитогорскому заводу. Совершенно не был поставлен вопрос об усилении пропускной способности Сибирской ж.-д. и части Уральских дорог, чем создана угроза правильному питанию топливом Магнитогорского з-да и вывозу готовых грузов с завода.</w:t>
      </w:r>
    </w:p>
    <w:p w14:paraId="4DD4EC75" w14:textId="7E5CEF24"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Задание Магнитогорскому заводу по номенклатуре прокатных изделий дано без учета и увязки с заводами, которые будут потреблять металл Магнитогорского з[аво]да. Поэтому задержано проектирование прокатных станов с точки зрения их специализации и установления максимальной производительности. Качество прокатных изделий вовсе не определено.</w:t>
      </w:r>
    </w:p>
    <w:p w14:paraId="7C8010B4" w14:textId="4D7D12F1"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Не разработан проект строительства крупнейшей электростанции (250.000 клв.) при заводе. Заграничная комиссия Энергостроя, работавшая под руководством член[а] вредительской организации проф. СУШКИНА, заказала заграницей совершенно неиспытанные топки к котлам, что должно было сорвать своевременный пуск станции.</w:t>
      </w:r>
    </w:p>
    <w:p w14:paraId="580DBF2D" w14:textId="5BC4CE3B"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 xml:space="preserve"> Не разрешен вопрос водоснабжения завода и города.</w:t>
      </w:r>
    </w:p>
    <w:p w14:paraId="226C0FDE" w14:textId="39BA0D7C"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 xml:space="preserve"> Сорвано строительство вспомогательных цехов.</w:t>
      </w:r>
    </w:p>
    <w:p w14:paraId="26A98E6B"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делу Магнитогорского з-да проходят 10 чел., арестовано 5 ч[ел].</w:t>
      </w:r>
    </w:p>
    <w:p w14:paraId="51C95F62"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 ОРГАНИЗАЦИЯ В ЦВЕТНОЙ МЕТАЛЛУРГИИ.</w:t>
      </w:r>
    </w:p>
    <w:p w14:paraId="355D1B81"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интересах срыва развития цветной металлургии проведены следующие вредительские акты:</w:t>
      </w:r>
    </w:p>
    <w:p w14:paraId="4FF4E2BA" w14:textId="0130A5ED"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Законсервированы крупные медные месторождения — Икшмино-Ключевское, Богословское и не разрабатывалось Карабашское.</w:t>
      </w:r>
    </w:p>
    <w:p w14:paraId="00AAE2A0" w14:textId="179CC389"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Проект нового Богомоловского медеплавильного з-да умышленно разрабатывался три года.</w:t>
      </w:r>
    </w:p>
    <w:p w14:paraId="36C4BA90" w14:textId="29D9B6D5"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Вопрос о флотации медных руд распространен на медно-колчеданные месторождения в Калате и Карабаше, где строятся новые обогатительные фабрики. Руды этих месторождений на флотацию не испытаны.</w:t>
      </w:r>
    </w:p>
    <w:p w14:paraId="3436071F" w14:textId="009430A4"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Разведки медных месторождений не производившиеся в предыдущие годы в пятилетием плане также получили слабое отражение. Разведки известных месторождений (Калата, Карабаш, Богомол, С[а]н-Донато и др.) по пятилетке затушевываются и в то же время выдвинут вопрос о разведках Пермских медистых песчаников, совершенно не изученных.</w:t>
      </w:r>
    </w:p>
    <w:p w14:paraId="17BC0948" w14:textId="2BE7A605"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Подготовительные работы на рудниках запущены, и добыча руды для текущей плавки меди проходит в исключительно напряженных условиях. Не подготовленные рудники — Рыковский и Первомайские в Карабаше, Калатинский и Картушинский в Калате.</w:t>
      </w:r>
    </w:p>
    <w:p w14:paraId="23BCBA8B"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делу арестовано 4 человека.</w:t>
      </w:r>
    </w:p>
    <w:p w14:paraId="1A4D207E"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 ОРГАНИЗАЦИЯ В КАМЕННО-УГОЛЬНОЙ</w:t>
      </w:r>
    </w:p>
    <w:p w14:paraId="1BE44BE1"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ПРОМЫШЛЕННОСТИ.</w:t>
      </w:r>
    </w:p>
    <w:p w14:paraId="203FC2DE"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Основные вредительские акты:</w:t>
      </w:r>
    </w:p>
    <w:p w14:paraId="4923871B" w14:textId="495EEAAE"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Горные работы проводились в местах, не содержащих угля.</w:t>
      </w:r>
    </w:p>
    <w:p w14:paraId="7302E315" w14:textId="05DBFE0D"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Добыча была сосредоточена на загрязненных низкосортных пластах.</w:t>
      </w:r>
    </w:p>
    <w:p w14:paraId="50CE9962" w14:textId="21E97699"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Шахты с богатыми залежами углей разрабатывались неправильно и потом закрывались.</w:t>
      </w:r>
    </w:p>
    <w:p w14:paraId="20DF2F14"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Задерживались проходкой и постройкой новые шахты из-за отсутствия оборудования. В то же время имеющееся оборудование направлялось не незначительные работы.</w:t>
      </w:r>
    </w:p>
    <w:p w14:paraId="2D1DCA04" w14:textId="4B0109B4"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Разведками скрывались богатые залежи угля и не показывались документами.</w:t>
      </w:r>
    </w:p>
    <w:p w14:paraId="6ADBB452"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делу арестовано 9 человек.</w:t>
      </w:r>
    </w:p>
    <w:p w14:paraId="09A1A8D3"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К.-Р. ОРГАНИЗАЦИЯ В МАШИНОСТРОЕНИИ.</w:t>
      </w:r>
    </w:p>
    <w:p w14:paraId="19D66405" w14:textId="3EEA316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 xml:space="preserve"> До 1929 г. машиностроительные з-ды Урала не были объединены и находились в составе отдельных металлургических заводов, как подсобные цеха. Производственная мощность цехов умышленно не учитывалась и полностью не использовалась. Разработанной вредителями пятилеткой было намечено к выпуску продукции Уралмаштрестом на 4 миллиона рублей. Фактически в 1929/30 г. заводы дали продукции на 12.000.000 рублей.</w:t>
      </w:r>
    </w:p>
    <w:p w14:paraId="50C7E497" w14:textId="7F836A34"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 xml:space="preserve"> Работа заводов дезорганизовывалась изменением номенклатуры изделий. Вместо крайне необходимых буровых станков вводилось производство стиральных машин. Работа цехов между собой не увязывалась.</w:t>
      </w:r>
    </w:p>
    <w:p w14:paraId="1F99475B" w14:textId="40F9C5D9"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 xml:space="preserve"> Строительство Свердловского машиностроительного завода затянуто на 2 года. Выстроенный в 1929 г. цех металлических конструкций около года стоял без использования.</w:t>
      </w:r>
    </w:p>
    <w:p w14:paraId="56532102"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настоящее время не разрешен вопрос о номенклатуре изделий, которые должен производить Уральский машиностроительный завод.</w:t>
      </w:r>
    </w:p>
    <w:p w14:paraId="4E263759"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руководящую к.-р. группу входило 3 человека.</w:t>
      </w:r>
    </w:p>
    <w:p w14:paraId="2B262135"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 ОРГАНИЗАЦИЯ В ЭЛЕКТРОСТРОИТЕЛЬСТВЕ.</w:t>
      </w:r>
    </w:p>
    <w:p w14:paraId="70D4B9DB"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Сорвано строительство районных электро-станций. Это повлекло задержку развития тяжелой индустрии (металлургия, химия и др.). По плану ГОЭРЛО к 1931 г. предполагалось построить 4 станции мощностью в 165.000. клв. На 1/I-1931 г. выполнено 30 т[ыс]. клв., или 19 %. Кизеловская станция начата постройкой в 1921 г. До сих пор имеет мощность в 6 т[ыс]. клв. В 1924 г. было начато дальнейшее расширение станции, но в 1927 г. строительство станции из разряда районной переводится в местную и снимаются кредиты. Этот акт привел к полному разгрому станции. Последнее решение по расширению станции так же срывалось путем несвоевременной выдачи заказов на импорт.</w:t>
      </w:r>
    </w:p>
    <w:p w14:paraId="2BEAEAF7"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намечено к пуску на этой станции 5 генераторов мощностью в 94 т[ыс]. клв. Выясняется, что это не обеспечено оборудованием по срокам.</w:t>
      </w:r>
    </w:p>
    <w:p w14:paraId="6E44C87D"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Постройка Челябинской станции задержана из-за отсутствия геологических данных. Оборудование для этой станции могло быть заказано внутри Союза. Этого не сделали и заказы были выданы на импорт. Несвоевременная выдача заказов привела также к созданию разрыва между котельной и турбинной мощностью. Строительством были представлены явно преуменьшенные заявки на цемент, что привело в разгар строительного сезона к остановке работ.</w:t>
      </w:r>
    </w:p>
    <w:p w14:paraId="5FCC5D8B"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месте по делу арестовано 2 чел., проходят — 9 чел.</w:t>
      </w:r>
    </w:p>
    <w:p w14:paraId="3E2D7A55"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 ОРГАНИЗАЦИЯ В УРАЛЬСКОМ ГГРУ.</w:t>
      </w:r>
    </w:p>
    <w:p w14:paraId="71BAEABD"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Вредительская организация проводила политику преуменьшения подсчета запасов минерального топлива, железных и медных руд в недрах Урала. Такая политика задержала подготовку уральской сырьевой базы.</w:t>
      </w:r>
    </w:p>
    <w:p w14:paraId="2ACC4907"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Программа разведочных работ умышленно составлялась по многочисленным объектам и таким образом распыляли ассигнованные средства, что привело к затяжке разведочных работ на важнейших участках капитального строительства.</w:t>
      </w:r>
    </w:p>
    <w:p w14:paraId="7A1A4876"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Задерживались разведки на более важных имеющих первостепенное значение участк[ах], за счет форсирования работ на участках, имеющих второстепенное значение, эта вредительская установка нашла полное отражение в планах и программах работ, в распределении оборудования и кадров геологов на Урале.</w:t>
      </w:r>
    </w:p>
    <w:p w14:paraId="5D5ADC8A"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Задержано развитие Кизеловского каменно-угольного бассейна[;] отсутствие геологической карты привело к тому, что до сих пор не имеется твердых данных для промышленной оценки бассейна, а также тормозится производство уже намеченных разведочных работ. Благодаря вредительской задержке изучения этого важнейшего угольного центра Урала невозможно новое шахтное строительство, т. к. неизвестны даже приблизительно те пункты, где должны быть заложены шахты.</w:t>
      </w:r>
    </w:p>
    <w:p w14:paraId="01CB75C6"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Задержаны на 3 года геологические разведки в Челябинском районе.</w:t>
      </w:r>
    </w:p>
    <w:p w14:paraId="7571E606"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Задержано на год начало буровых работ в Брединском районе.</w:t>
      </w:r>
    </w:p>
    <w:p w14:paraId="2D925DC2"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Задержаны разведки на бурые угли на восточном склоне Урала.</w:t>
      </w:r>
    </w:p>
    <w:p w14:paraId="6323A355"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Вредительски составленный план организационных] разведок железных руд привел к срыву постройки нового Алапаевского з[аво]да.</w:t>
      </w:r>
    </w:p>
    <w:p w14:paraId="693DD522"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Вредительская организация по директивам геолого-разведочного вредительского центра (Ленинград) преуменьшила медно-рудные ресурсы Урала. Умалчивая о незаконченных разведках рудников Калатинского комбината, дано было необоснованное заключение о быстром прекращении разработки рудников этого комбината.</w:t>
      </w:r>
    </w:p>
    <w:p w14:paraId="042670B7"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Широкие перспективы разработки колчеданных месторождений в Нижне-Тагильском округе, а также медных магнезитов и месторождений, типа Волковских и сульфидных вкрапленников, либо совершенно замалчивается, либо отрицается их промышленная ценность.</w:t>
      </w:r>
    </w:p>
    <w:p w14:paraId="51BEDD84"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делу арестовано 4 человека.</w:t>
      </w:r>
    </w:p>
    <w:p w14:paraId="22450445"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 ОРГАНИЗАЦИЯ В СЕЛЬХОЗМАШИНОСТРОЕНИИ.</w:t>
      </w:r>
    </w:p>
    <w:p w14:paraId="4CC19372"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Основной завод сельхозмашиностроение на Урале — Челябинский плужный. В связи с неоднократным изменением программы и номенклатуры подвергался несколько раз переоборудованию.</w:t>
      </w:r>
    </w:p>
    <w:p w14:paraId="39426816"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Во[т]кинском з-де имеющийся механический цех, могущий выполнять крупные заказы металлургических заводов Урала, был использован от 10 до 30 %. Оборудование паровозного цеха этого же завода разрушено и самый цех ликвидирован.</w:t>
      </w:r>
    </w:p>
    <w:p w14:paraId="439FEE81"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з-де «Сепаратор» в течение последних лет дезорганизовано производство взрывателей.</w:t>
      </w:r>
    </w:p>
    <w:p w14:paraId="698DB4E2"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Вредительская группа состояла из 5 человек.</w:t>
      </w:r>
    </w:p>
    <w:p w14:paraId="7C614320"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 ОРГАНИЗАЦИЯ В ХИМИЧЕСКОЙ ПРОМЫШЛЕННОСТИ.</w:t>
      </w:r>
    </w:p>
    <w:p w14:paraId="3A591A96"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Сырьевая база основной химической промышленности (серно-кислотной) не подготовлена. Не проведены разведки на месторождениях серных колчеданов и других мест химического сырья. До сего времени ничего не сделано для использования и утилизации отходов сернистых газов на медеплавильных заводах в Калате и Карабаше.</w:t>
      </w:r>
    </w:p>
    <w:p w14:paraId="075DBEFE"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Березниковское строительство ведется по проектам Бондюжского завода со всеми включенными в него вредительскими расчетами: недостаточная площадь и размеры здания для размещения аппаратуры, неверная установка вентиляции и др.</w:t>
      </w:r>
    </w:p>
    <w:p w14:paraId="3274C93A"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Развертывание химических комбинатов в таких пунктах, как Богомоловский завод и Карабаш — задержано.</w:t>
      </w:r>
    </w:p>
    <w:p w14:paraId="45587D54"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делу проходят 5 человек.</w:t>
      </w:r>
    </w:p>
    <w:p w14:paraId="6ECCCF63"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 ОРАГАНИЗАЦИЯ В ПРОМЫШЛЕННОСТИ</w:t>
      </w:r>
    </w:p>
    <w:p w14:paraId="423CFAEE"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СТРОИТЕЛЬНЫХ МАТЕРИАЛОВ.</w:t>
      </w:r>
    </w:p>
    <w:p w14:paraId="387360F1"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Строящиеся новые кирпичные заводы имеют резкий разрыв между силовыми установками, количеством выпускаемого кирпича и приспособленных площадей для сушки кирпича. Имеющиеся старые кирпичные з-ды, несмотря на возможности[,] не расширялись.</w:t>
      </w:r>
    </w:p>
    <w:p w14:paraId="3D5AC748"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 расширялись также цементные заводы — Невьянский и Катав- Ивановский, несмотря на наличие сырьевой базы. Работа Невьянского з-да дезорганизована, благодаря неправильной работе печей, мельниц и неправильного составления смеси для размола.</w:t>
      </w:r>
    </w:p>
    <w:p w14:paraId="5E9BE4CE"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Сухоложский цементный завод до 1928 г. задерживался достройкой в надежде сдачи его в концессию бывшему владельцу Мешкову.</w:t>
      </w:r>
    </w:p>
    <w:p w14:paraId="1DA58FE6"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Законченная в настоящее время первая очередь Сухоложского з-да не может приступить к работе, т. к. карьеры сырья не подготовлены и часть строительных работ (упоры, трансмиссии от мельниц) требуют переделки и укрепления их колоннами.</w:t>
      </w:r>
    </w:p>
    <w:p w14:paraId="738E34F5"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Руководящая вредительская группа состоит из 5 человек.</w:t>
      </w:r>
    </w:p>
    <w:p w14:paraId="31928301"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Что же касается строительства Челябинского тракторного з-да, то в виду того, что оно находится в самой первоначальной стадии (в основном жилстроительство) — О.Г.П.У. приняты меры агентурного обслуживания, т. к., несомненно, этот крупный объект в будущем привлечет внимание вредителей.</w:t>
      </w:r>
    </w:p>
    <w:p w14:paraId="5CB89BB2"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Кроме уже арестованных в настоящее время — по делу уральской к.-р. вредительской организации проходит еще 100 инженеров.</w:t>
      </w:r>
    </w:p>
    <w:p w14:paraId="3139EFCE"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 ЭКОНОМУПРа ОГПУ Г. Прокофьев</w:t>
      </w:r>
    </w:p>
    <w:p w14:paraId="16B17A25"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февраля 1931 г.</w:t>
      </w:r>
    </w:p>
    <w:p w14:paraId="31A79BC8"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 356. Л. 55-64. Машинописный подлинник, подпись — автограф. Число в дате (Л. 64) вписано от руки (18672).</w:t>
      </w:r>
    </w:p>
    <w:p w14:paraId="0610264B" w14:textId="77777777" w:rsidR="009A3E3D" w:rsidRPr="005E779E" w:rsidRDefault="009A3E3D" w:rsidP="000B7A6C">
      <w:pPr>
        <w:spacing w:after="0" w:line="240" w:lineRule="auto"/>
        <w:jc w:val="both"/>
        <w:rPr>
          <w:rFonts w:ascii="Times New Roman" w:hAnsi="Times New Roman"/>
          <w:color w:val="000000" w:themeColor="text1"/>
          <w:sz w:val="16"/>
          <w:szCs w:val="16"/>
        </w:rPr>
      </w:pPr>
    </w:p>
    <w:p w14:paraId="3499CE88" w14:textId="77777777" w:rsidR="00EA7676"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0B951598" w14:textId="77777777" w:rsidR="00EA7676" w:rsidRPr="005E779E" w:rsidRDefault="00EA7676"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16A280E" w14:textId="77777777" w:rsidR="00EA7676" w:rsidRPr="005E779E" w:rsidRDefault="00EA7676"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12 февраля</w:t>
      </w:r>
      <w:r w:rsidRPr="005E779E">
        <w:rPr>
          <w:rFonts w:ascii="Times New Roman" w:hAnsi="Times New Roman"/>
          <w:color w:val="000000" w:themeColor="text1"/>
          <w:sz w:val="16"/>
          <w:szCs w:val="16"/>
        </w:rPr>
        <w:t xml:space="preserve"> в 1931 году первый полёт опытного многоцелевого истребителя </w:t>
      </w:r>
      <w:hyperlink r:id="rId24" w:tgtFrame="_blank" w:history="1">
        <w:r w:rsidRPr="005E779E">
          <w:rPr>
            <w:rFonts w:ascii="Times New Roman" w:hAnsi="Times New Roman"/>
            <w:color w:val="000000" w:themeColor="text1"/>
            <w:sz w:val="16"/>
            <w:szCs w:val="16"/>
          </w:rPr>
          <w:t xml:space="preserve">«F9C» «Sparrowhawk» </w:t>
        </w:r>
      </w:hyperlink>
      <w:r w:rsidRPr="005E779E">
        <w:rPr>
          <w:rFonts w:ascii="Times New Roman" w:hAnsi="Times New Roman"/>
          <w:color w:val="000000" w:themeColor="text1"/>
          <w:sz w:val="16"/>
          <w:szCs w:val="16"/>
        </w:rPr>
        <w:t>(компания 2Curtiss», США). Опытному экземпляру присвоили регистрационный номер ВМФ А8731. Самолёт имел передовую на то время цельнометаллическую конструкцию фюзеляжа и металлические крылья, обтянутые тканью. Биплан был оснащен девятицилиндровой "звездой" «Wright» «R-975C» «Whirlwind» мощностью 400 л.с, цилиндры которой закрывались кольцом Тауненда (15038).</w:t>
      </w:r>
    </w:p>
    <w:p w14:paraId="108F9800" w14:textId="77777777" w:rsidR="00EA7676" w:rsidRPr="005E779E" w:rsidRDefault="00EA7676" w:rsidP="000B7A6C">
      <w:pPr>
        <w:spacing w:after="0" w:line="240" w:lineRule="auto"/>
        <w:jc w:val="both"/>
        <w:rPr>
          <w:rFonts w:ascii="Times New Roman" w:hAnsi="Times New Roman"/>
          <w:color w:val="000000" w:themeColor="text1"/>
          <w:sz w:val="16"/>
          <w:szCs w:val="16"/>
        </w:rPr>
      </w:pPr>
    </w:p>
    <w:p w14:paraId="063ADA6F" w14:textId="77777777" w:rsidR="004F3165" w:rsidRPr="005E779E" w:rsidRDefault="004F31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февраля 1931 года — первый полёт поршневого истребителя-биплана Curtiss F9C Sparrowhawk.</w:t>
      </w:r>
    </w:p>
    <w:p w14:paraId="1ADA96B7" w14:textId="77777777" w:rsidR="004F3165" w:rsidRPr="005E779E" w:rsidRDefault="004F31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Изначально Sparrowhawk разрабатывался в рамках программы постройки лёгкого палубного истребителя. Но послужить на авианосцах морских ему не довелось. Самолёт стал единственным в истории ВМС США, эксплуатировавшимся с авианосцев воздушных — жёстких дирижаблей USS Akron (ZRS-4) и USS Macon (ZRS-5). Предполагалось, что Curtiss F9C будут защищать дирижабли от вражеской авиации и выполнять воздушную разведку.</w:t>
      </w:r>
    </w:p>
    <w:p w14:paraId="4ED49B68" w14:textId="77777777" w:rsidR="004F3165" w:rsidRPr="005E779E" w:rsidRDefault="004F31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Конструктивно это был типичный для своего времени цельнометаллический биплан. Главной особенностью было наличие устройства для запуска и сцепки с дирижаблем. Взлёт осуществлялся через люк в нижней части дирижабля, куда из ангара с помощью лебёдок спускали самолёт. Истребители, приписанные к USS Macon, часто летали без шасси — для увеличения скорости.</w:t>
      </w:r>
    </w:p>
    <w:p w14:paraId="4D5AD613" w14:textId="77777777" w:rsidR="004F3165" w:rsidRPr="005E779E" w:rsidRDefault="004F31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 было построено 8 единиц Curtiss F9C Sparrowhawk. Но служили они недолго. В феврале 1935 года разбился USS Macon, а с ним и 4 истребителя. Оставшиеся были списаны через год. (22300).</w:t>
      </w:r>
    </w:p>
    <w:p w14:paraId="30D362F5" w14:textId="77777777" w:rsidR="004F3165" w:rsidRPr="005E779E" w:rsidRDefault="004F3165" w:rsidP="000B7A6C">
      <w:pPr>
        <w:spacing w:after="0" w:line="240" w:lineRule="auto"/>
        <w:jc w:val="both"/>
        <w:rPr>
          <w:rFonts w:ascii="Times New Roman" w:hAnsi="Times New Roman"/>
          <w:color w:val="000000" w:themeColor="text1"/>
          <w:sz w:val="16"/>
          <w:szCs w:val="16"/>
        </w:rPr>
      </w:pPr>
    </w:p>
    <w:p w14:paraId="70233A00" w14:textId="77777777" w:rsidR="004F3165" w:rsidRPr="005E779E" w:rsidRDefault="004F31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февраля 1931 Detroit News размещает заказ на автожир Pitcairn PCA-2 у компании Pitcairn Aircraft Company. Это первый коммерческий заказ на автожир в США (20804).</w:t>
      </w:r>
    </w:p>
    <w:p w14:paraId="1274FFEC" w14:textId="77777777" w:rsidR="004F3165" w:rsidRPr="005E779E" w:rsidRDefault="004F3165" w:rsidP="000B7A6C">
      <w:pPr>
        <w:spacing w:after="0" w:line="240" w:lineRule="auto"/>
        <w:jc w:val="both"/>
        <w:rPr>
          <w:rFonts w:ascii="Times New Roman" w:hAnsi="Times New Roman"/>
          <w:color w:val="000000" w:themeColor="text1"/>
          <w:sz w:val="16"/>
          <w:szCs w:val="16"/>
        </w:rPr>
      </w:pPr>
    </w:p>
    <w:p w14:paraId="6FC6F5AA" w14:textId="77777777" w:rsidR="00EA7676"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3ECB6767" w14:textId="77777777" w:rsidR="00EA7676" w:rsidRPr="005E779E" w:rsidRDefault="00EA7676"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C4AC2F2" w14:textId="77777777" w:rsidR="00EA7676" w:rsidRPr="005E779E" w:rsidRDefault="00EA7676"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Гос. испытания МДР-2 походили с 15 февраля по 17 (20 - 1017,212) (13 - 1085,107) марта 1931. Потребовались повторные (92,355) c 8 октября по 14 ноября 1931 (1076,888).</w:t>
      </w:r>
    </w:p>
    <w:p w14:paraId="7B25804C" w14:textId="77777777" w:rsidR="00EA7676" w:rsidRPr="005E779E" w:rsidRDefault="00EA7676"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Проводил л С.Т.Рыбальчук. Оказалось неудовлетворительной поперечная устойчивость (346,40).</w:t>
      </w:r>
    </w:p>
    <w:p w14:paraId="68B7E143" w14:textId="77777777" w:rsidR="00EA7676" w:rsidRPr="005E779E" w:rsidRDefault="00EA7676" w:rsidP="000B7A6C">
      <w:pPr>
        <w:autoSpaceDE w:val="0"/>
        <w:autoSpaceDN w:val="0"/>
        <w:adjustRightInd w:val="0"/>
        <w:spacing w:after="0" w:line="240" w:lineRule="auto"/>
        <w:jc w:val="both"/>
        <w:rPr>
          <w:rFonts w:ascii="Times New Roman" w:hAnsi="Times New Roman"/>
          <w:color w:val="000000" w:themeColor="text1"/>
          <w:sz w:val="16"/>
          <w:szCs w:val="16"/>
        </w:rPr>
      </w:pPr>
    </w:p>
    <w:p w14:paraId="7149B8B4"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343FCAC7"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E52F1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февраля 1931 г. на вооружение РККА была принята под названием "37-мм противотанковая пушка обр. 1930 года" 37-мм противотанковая пушка, полученная от Рейнметалла по договору от 28 августа 1930. Инженер Сячентов разработал проект установки качающейся части 37-мм пушки "Рейнметалл" в танк. Пушка получила индекс ПС-2 (пушка Сячентова) и была принята на вооружение под названием "37-мм танковая пушка обр. 1930 г.".</w:t>
      </w:r>
    </w:p>
    <w:p w14:paraId="1F0DB1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Пушку ПС-2 устанавливали в серийных двухбашенных танках Т-26 выпуска 1932 года, танках БТ-2 и опытном образце танка Т-35 (3861).</w:t>
      </w:r>
    </w:p>
    <w:p w14:paraId="6B5291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99605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февраля 1931 приказом Реввоенсовета на вооружение приняли 37-мм противотанковую пушку образца 1930 (1073,30).</w:t>
      </w:r>
    </w:p>
    <w:p w14:paraId="6B52D63C" w14:textId="77777777" w:rsidR="00EA7676" w:rsidRPr="005E779E" w:rsidRDefault="00EA7676" w:rsidP="000B7A6C">
      <w:pPr>
        <w:spacing w:after="0" w:line="240" w:lineRule="auto"/>
        <w:jc w:val="both"/>
        <w:rPr>
          <w:rFonts w:ascii="Times New Roman" w:hAnsi="Times New Roman"/>
          <w:color w:val="000000" w:themeColor="text1"/>
          <w:sz w:val="16"/>
          <w:szCs w:val="16"/>
        </w:rPr>
      </w:pPr>
    </w:p>
    <w:p w14:paraId="63F1B208"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февраля 1931 года 37-мм пушка фирмы «Рейнметалл» приказом РВС была принята на вооружение под названием «37-мм противотанковая пушка обр. 1930 г. (1К)». В Германии это же орудие после небольшой модернизации было принято на вооружение под названием «3,7-см Рак 35/36» и стало основной противотанковой пушкой вермахта в начальный период войны. Рак 35/36 успешно воевала на первом этапе Второй мировой войны, хотя после встреч с французскими тяжелыми танками Bl bis, Somua S-35, британскими «Матильдами» и отечественными Т-34 и KB солдаты прозвали ее «армейской колотушкой» и «дверным молотком» за полную бесполезность. В СССР было решено провести модернизацию немецкой пушки в соответствии с предложением Симонова (соединить отечественный ствол с немецким лафетом). Работа была поручена группе инженеров завода № 8 под руководством Г. Беринга. В старый кожух «Рейнметалла» установили новый 45-мм ствол с полуавтоматическим клиновым затвором, добавили подрессоривание и колеса от автомобиля ГАЗ-АА. В результате получилась знаменитая 45-мм противотанковая пушка 19 К образца 1932 года, выпускавшаяся вплоть до января 1942 года (всего был изготовлен 16 621 экземпляр). На базе этого орудия на заводе №8 была создана 45-мм танковая пушка 20 К, которой было вооружено подавляющее большинство отечественных легких танков и бронеавтомобилей (Т-26, БТ-5, БТ-7, Т-35, Т-70 и Т-80, Ба-3, Ба-6, Ба-10, БК-11 и ПБ-4). До 1943 года было изготовлено 32 453 пушки 20 К (18263).</w:t>
      </w:r>
    </w:p>
    <w:p w14:paraId="4A47CF06" w14:textId="77777777" w:rsidR="009A3E3D" w:rsidRPr="005E779E" w:rsidRDefault="009A3E3D" w:rsidP="000B7A6C">
      <w:pPr>
        <w:spacing w:after="0" w:line="240" w:lineRule="auto"/>
        <w:jc w:val="both"/>
        <w:rPr>
          <w:rFonts w:ascii="Times New Roman" w:hAnsi="Times New Roman"/>
          <w:color w:val="000000" w:themeColor="text1"/>
          <w:sz w:val="16"/>
          <w:szCs w:val="16"/>
        </w:rPr>
      </w:pPr>
    </w:p>
    <w:p w14:paraId="6473C66F" w14:textId="77777777" w:rsidR="009A4311" w:rsidRPr="00142305" w:rsidRDefault="009A4311" w:rsidP="009A4311">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13 февраля 1931 г. при</w:t>
      </w:r>
      <w:r w:rsidRPr="00142305">
        <w:rPr>
          <w:rStyle w:val="aff0"/>
          <w:rFonts w:ascii="Times New Roman" w:hAnsi="Times New Roman" w:cs="Times New Roman"/>
          <w:color w:val="0070C0"/>
          <w:spacing w:val="0"/>
          <w:sz w:val="16"/>
          <w:szCs w:val="16"/>
        </w:rPr>
        <w:softHyphen/>
        <w:t>казом Реввоенсовета немецкая 3,7-см пушка, изготавливаемая с 1931 г. на заводе № 8 в подмосковной де</w:t>
      </w:r>
      <w:r w:rsidRPr="00142305">
        <w:rPr>
          <w:rStyle w:val="aff0"/>
          <w:rFonts w:ascii="Times New Roman" w:hAnsi="Times New Roman" w:cs="Times New Roman"/>
          <w:color w:val="0070C0"/>
          <w:spacing w:val="0"/>
          <w:sz w:val="16"/>
          <w:szCs w:val="16"/>
        </w:rPr>
        <w:softHyphen/>
        <w:t>ревне Подлипки, где она получила заводской индекс 1 К была принята на вооружение под наименованием «37-мм противотанковая пушка обр. 1930 г.» (25436).</w:t>
      </w:r>
    </w:p>
    <w:p w14:paraId="4890813E" w14:textId="77777777" w:rsidR="009A4311" w:rsidRPr="00142305" w:rsidRDefault="009A4311" w:rsidP="009A4311">
      <w:pPr>
        <w:spacing w:after="0" w:line="240" w:lineRule="auto"/>
        <w:jc w:val="both"/>
        <w:rPr>
          <w:rFonts w:ascii="Times New Roman" w:hAnsi="Times New Roman"/>
          <w:color w:val="0070C0"/>
          <w:sz w:val="16"/>
          <w:szCs w:val="16"/>
        </w:rPr>
      </w:pPr>
    </w:p>
    <w:p w14:paraId="3FDDE528" w14:textId="77777777" w:rsidR="00EA7676" w:rsidRPr="005E779E" w:rsidRDefault="00EA767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февраля 1931 г. Реввоенсовет СССР рассматривал вопрос серий</w:t>
      </w:r>
      <w:r w:rsidRPr="005E779E">
        <w:rPr>
          <w:rFonts w:ascii="Times New Roman" w:hAnsi="Times New Roman"/>
          <w:color w:val="000000" w:themeColor="text1"/>
          <w:sz w:val="16"/>
          <w:szCs w:val="16"/>
        </w:rPr>
        <w:softHyphen/>
        <w:t>ного заказа пистолет-пулемета токарева (15766)</w:t>
      </w:r>
    </w:p>
    <w:p w14:paraId="3EAD106A" w14:textId="77777777" w:rsidR="00EA7676" w:rsidRPr="005E779E" w:rsidRDefault="00EA7676" w:rsidP="000B7A6C">
      <w:pPr>
        <w:spacing w:after="0" w:line="240" w:lineRule="auto"/>
        <w:jc w:val="both"/>
        <w:rPr>
          <w:rFonts w:ascii="Times New Roman" w:hAnsi="Times New Roman"/>
          <w:color w:val="000000" w:themeColor="text1"/>
          <w:sz w:val="16"/>
          <w:szCs w:val="16"/>
        </w:rPr>
      </w:pPr>
    </w:p>
    <w:p w14:paraId="105B8708" w14:textId="77777777" w:rsidR="00EA7676" w:rsidRPr="005E779E" w:rsidRDefault="00EA7676"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13 февраля</w:t>
      </w:r>
      <w:r w:rsidRPr="005E779E">
        <w:rPr>
          <w:rFonts w:ascii="Times New Roman" w:hAnsi="Times New Roman"/>
          <w:color w:val="000000" w:themeColor="text1"/>
          <w:sz w:val="16"/>
          <w:szCs w:val="16"/>
        </w:rPr>
        <w:t xml:space="preserve"> в 1931 году Реввоенсовет СССР постановил изготовить тысячу пистолетов системы В.Ф.Токарева. Фактически пистолет принимается на вооружение и получает название "7,62-мм пистолет Токарева образца 1930 г". Во всем мире он известен как ТТ - "Тула, Токарев» (15039).</w:t>
      </w:r>
    </w:p>
    <w:p w14:paraId="2257ED30" w14:textId="77777777" w:rsidR="00EA7676" w:rsidRPr="005E779E" w:rsidRDefault="00EA7676" w:rsidP="000B7A6C">
      <w:pPr>
        <w:spacing w:after="0" w:line="240" w:lineRule="auto"/>
        <w:jc w:val="both"/>
        <w:rPr>
          <w:rFonts w:ascii="Times New Roman" w:hAnsi="Times New Roman"/>
          <w:color w:val="000000" w:themeColor="text1"/>
          <w:sz w:val="16"/>
          <w:szCs w:val="16"/>
        </w:rPr>
      </w:pPr>
    </w:p>
    <w:p w14:paraId="223315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февраля 1931 года приказом Реввоенсовета СССР еще до изготовления опытного образца танкетка Т-27 была принята на вооружение (3861).</w:t>
      </w:r>
    </w:p>
    <w:p w14:paraId="1CCD42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98DF72A" w14:textId="77777777" w:rsidR="00EA7676" w:rsidRPr="005E779E" w:rsidRDefault="00EA7676" w:rsidP="000B7A6C">
      <w:pPr>
        <w:widowControl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13 февраля </w:t>
      </w:r>
      <w:smartTag w:uri="urn:schemas-microsoft-com:office:smarttags" w:element="metricconverter">
        <w:smartTagPr>
          <w:attr w:name="ProductID" w:val="1945 г"/>
        </w:smartTagPr>
        <w:r w:rsidRPr="005E779E">
          <w:rPr>
            <w:rFonts w:ascii="Times New Roman" w:hAnsi="Times New Roman"/>
            <w:color w:val="000000" w:themeColor="text1"/>
            <w:sz w:val="16"/>
            <w:szCs w:val="16"/>
          </w:rPr>
          <w:t>1931 г</w:t>
        </w:r>
      </w:smartTag>
      <w:r w:rsidRPr="005E779E">
        <w:rPr>
          <w:rFonts w:ascii="Times New Roman" w:hAnsi="Times New Roman"/>
          <w:color w:val="000000" w:themeColor="text1"/>
          <w:sz w:val="16"/>
          <w:szCs w:val="16"/>
        </w:rPr>
        <w:t xml:space="preserve">. на вооружение Красной Армии была принята танкетка Т-27, бывшая доработанным вариантом английской машины «Карден-Ллойд </w:t>
      </w:r>
      <w:r w:rsidRPr="005E779E">
        <w:rPr>
          <w:rFonts w:ascii="Times New Roman" w:hAnsi="Times New Roman"/>
          <w:color w:val="000000" w:themeColor="text1"/>
          <w:sz w:val="16"/>
          <w:szCs w:val="16"/>
          <w:lang w:val="en-US"/>
        </w:rPr>
        <w:t>MkVI</w:t>
      </w:r>
      <w:r w:rsidRPr="005E779E">
        <w:rPr>
          <w:rFonts w:ascii="Times New Roman" w:hAnsi="Times New Roman"/>
          <w:color w:val="000000" w:themeColor="text1"/>
          <w:sz w:val="16"/>
          <w:szCs w:val="16"/>
        </w:rPr>
        <w:t xml:space="preserve">», закупленной Советским правительством. Именно она стала первенцем бронетанковой продукции нижегородцев. Выпуск Т-27 на автосборочном заводе №1, входившем в систему Нижегородского автозавода, предполагалось начать с февраля </w:t>
      </w:r>
      <w:smartTag w:uri="urn:schemas-microsoft-com:office:smarttags" w:element="metricconverter">
        <w:smartTagPr>
          <w:attr w:name="ProductID" w:val="1945 г"/>
        </w:smartTagPr>
        <w:r w:rsidRPr="005E779E">
          <w:rPr>
            <w:rFonts w:ascii="Times New Roman" w:hAnsi="Times New Roman"/>
            <w:color w:val="000000" w:themeColor="text1"/>
            <w:sz w:val="16"/>
            <w:szCs w:val="16"/>
          </w:rPr>
          <w:t>1932 г</w:t>
        </w:r>
      </w:smartTag>
      <w:r w:rsidRPr="005E779E">
        <w:rPr>
          <w:rFonts w:ascii="Times New Roman" w:hAnsi="Times New Roman"/>
          <w:color w:val="000000" w:themeColor="text1"/>
          <w:sz w:val="16"/>
          <w:szCs w:val="16"/>
        </w:rPr>
        <w:t xml:space="preserve">. и до конца марта собрать 120 машин. Однако техническое управление Управления по механизации и моторизации РККА заключает договор с нижегородцами о поставке 2000 Т-27 только 11 марта 1932 года, соответственно изменились и сроки выпуска. Общая стоимость заказа составляла 21,5 млн. руб., а одной танкетки – 10 тысяч рублей. На практике цена ее выросла до 13 тыс., а себестоимость оказалась еще выше. К работе было решено подключить Опытные мастерские завода. Большие проблемы вызвала кооперация с другими заводами страны: бронекорпуса поступали из Подольска; среди заводов-смежников были «Красный треугольник» из Москвы, местные «Красная Этна» и «Красный якорь». В конструкции машины широко использовались автомобильные узлы и детали: двигатель, коробка передач и др. Первые пять Т-27 были собраны в Опытных мастерских в апреле </w:t>
      </w:r>
      <w:smartTag w:uri="urn:schemas-microsoft-com:office:smarttags" w:element="metricconverter">
        <w:smartTagPr>
          <w:attr w:name="ProductID" w:val="1945 г"/>
        </w:smartTagPr>
        <w:r w:rsidRPr="005E779E">
          <w:rPr>
            <w:rFonts w:ascii="Times New Roman" w:hAnsi="Times New Roman"/>
            <w:color w:val="000000" w:themeColor="text1"/>
            <w:sz w:val="16"/>
            <w:szCs w:val="16"/>
          </w:rPr>
          <w:t>1932 г</w:t>
        </w:r>
      </w:smartTag>
      <w:r w:rsidRPr="005E779E">
        <w:rPr>
          <w:rFonts w:ascii="Times New Roman" w:hAnsi="Times New Roman"/>
          <w:color w:val="000000" w:themeColor="text1"/>
          <w:sz w:val="16"/>
          <w:szCs w:val="16"/>
        </w:rPr>
        <w:t xml:space="preserve">., но вся партия была возвращена заказчиком ввиду многочисленных дефектов. Планы и сроки выпуска постоянно срывались по многим причинам. Начальник Опытных мастерских Коско утверждал, что руководство завода, занятое освоением производства автомашин, не уделяет должного внимания выпуску Т-27. Мастерские не имели необходимого оборудования и инструментов, снабжение деталями шло с перебоями, ощущался острый дефицит рабочей силы – все основные усилия завод направляет на главный сборочный конвейер. Не способствовало выполнению задания и низкое качество поставляемой смежниками продукции. Поэтому было решено с 1 июля </w:t>
      </w:r>
      <w:smartTag w:uri="urn:schemas-microsoft-com:office:smarttags" w:element="metricconverter">
        <w:smartTagPr>
          <w:attr w:name="ProductID" w:val="1945 г"/>
        </w:smartTagPr>
        <w:r w:rsidRPr="005E779E">
          <w:rPr>
            <w:rFonts w:ascii="Times New Roman" w:hAnsi="Times New Roman"/>
            <w:color w:val="000000" w:themeColor="text1"/>
            <w:sz w:val="16"/>
            <w:szCs w:val="16"/>
          </w:rPr>
          <w:t>1932 г</w:t>
        </w:r>
      </w:smartTag>
      <w:r w:rsidRPr="005E779E">
        <w:rPr>
          <w:rFonts w:ascii="Times New Roman" w:hAnsi="Times New Roman"/>
          <w:color w:val="000000" w:themeColor="text1"/>
          <w:sz w:val="16"/>
          <w:szCs w:val="16"/>
        </w:rPr>
        <w:t xml:space="preserve">. прекратить сборку Т-27 в Опытных мастерских и передать ее на автосборочный завод. Однако выполнение решения затянулось, и до сентября </w:t>
      </w:r>
      <w:smartTag w:uri="urn:schemas-microsoft-com:office:smarttags" w:element="metricconverter">
        <w:smartTagPr>
          <w:attr w:name="ProductID" w:val="1945 г"/>
        </w:smartTagPr>
        <w:r w:rsidRPr="005E779E">
          <w:rPr>
            <w:rFonts w:ascii="Times New Roman" w:hAnsi="Times New Roman"/>
            <w:color w:val="000000" w:themeColor="text1"/>
            <w:sz w:val="16"/>
            <w:szCs w:val="16"/>
          </w:rPr>
          <w:t>1932 г</w:t>
        </w:r>
      </w:smartTag>
      <w:r w:rsidRPr="005E779E">
        <w:rPr>
          <w:rFonts w:ascii="Times New Roman" w:hAnsi="Times New Roman"/>
          <w:color w:val="000000" w:themeColor="text1"/>
          <w:sz w:val="16"/>
          <w:szCs w:val="16"/>
        </w:rPr>
        <w:t>. сборка продолжалась на старом месте. Всего собрали 41 танкетку (15218).</w:t>
      </w:r>
    </w:p>
    <w:p w14:paraId="264FB10B" w14:textId="77777777" w:rsidR="00EA7676" w:rsidRPr="005E779E" w:rsidRDefault="00EA7676" w:rsidP="000B7A6C">
      <w:pPr>
        <w:widowControl w:val="0"/>
        <w:spacing w:after="0" w:line="240" w:lineRule="auto"/>
        <w:jc w:val="both"/>
        <w:rPr>
          <w:rFonts w:ascii="Times New Roman" w:hAnsi="Times New Roman"/>
          <w:color w:val="000000" w:themeColor="text1"/>
          <w:sz w:val="16"/>
          <w:szCs w:val="16"/>
        </w:rPr>
      </w:pPr>
    </w:p>
    <w:p w14:paraId="5A47C1F8" w14:textId="77777777" w:rsidR="009A3E3D" w:rsidRPr="005E779E" w:rsidRDefault="009A3E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13 февраля 1931 г. Т-27 еще до завершения государственных испытаний, была принята на вооружение. Корпус машины собирался из катаных броневых листов толщиной 6–10 мм. Двигатель четырехтактный, четырехцилиндровый «Форд-АА» («ГАЗ-АА»). Первые 45 машин «Большевик» изготовил в 1931 г., после чего производство было передано автомобильным заводам. Всего было выпущено 3295 танкеток. В основном они использовались как учебные машины. Был даже выпущен учебный фильм «Танкетка» для пропаганды нового оружия среди молодежи. В 1929–31 гг. работы по созданию тяжелого танка ограничились теоретической проработкой вопроса. В 1929 г. УММ РККА выдало ТТТ на разработку тяжелого танка массой 60 т с броней 30–50 мм, максимальной скоростью 20–25 км/час и вооружением из двух 76,2-мм пушек, одной 37-мм пушки и шести пулеметов. В соответствии с этими требованиями ОКМО «Большевика» в 1930–31 гг. разработало проект тяжелого танка Т-30. В 1932 г. изготовили деревянную модель танка. На танк предполагалось установить авиационный карбюраторный двигатель АМ6 мощностью 750 л.с., при этом его расчетная скорость должна была составить 30 км/час. Конструкцию танка посчитали чрезвычайно сложной и дальнейшие работы над ним были прекращены (18975). </w:t>
      </w:r>
    </w:p>
    <w:p w14:paraId="0DE9322B" w14:textId="77777777" w:rsidR="009A3E3D" w:rsidRPr="005E779E" w:rsidRDefault="009A3E3D" w:rsidP="000B7A6C">
      <w:pPr>
        <w:spacing w:after="0" w:line="240" w:lineRule="auto"/>
        <w:jc w:val="both"/>
        <w:rPr>
          <w:rFonts w:ascii="Times New Roman" w:hAnsi="Times New Roman"/>
          <w:color w:val="000000" w:themeColor="text1"/>
          <w:sz w:val="16"/>
          <w:szCs w:val="16"/>
        </w:rPr>
      </w:pPr>
    </w:p>
    <w:p w14:paraId="463664C0" w14:textId="77777777" w:rsidR="00EA7676" w:rsidRPr="005E779E" w:rsidRDefault="00EA767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февраля 1931 г. танкетку ещё до завершения государственных испытании Т-27 приняли на вооружение. Корпус машины собирался из катаных броневых листов толщиной 6-10 мм. Двигатель четырёхтактный четырёхцилиндровый «Форд-АА» («ГАЗ-АА»). Первые 45 машин изготовил в 1931 г. «Большевик», после чего производство было передано автомобильным заводам. Всего было выпущено 3295 танкеток. В основном они использовались как учебные машины, был даже выпущен учебный фильм «Танкетка» для пропаганды нового оружия среди молодёжи (15132).</w:t>
      </w:r>
    </w:p>
    <w:p w14:paraId="2FC3FE61" w14:textId="77777777" w:rsidR="00EA7676" w:rsidRPr="005E779E" w:rsidRDefault="00EA7676" w:rsidP="000B7A6C">
      <w:pPr>
        <w:spacing w:after="0" w:line="240" w:lineRule="auto"/>
        <w:jc w:val="both"/>
        <w:rPr>
          <w:rFonts w:ascii="Times New Roman" w:hAnsi="Times New Roman"/>
          <w:color w:val="000000" w:themeColor="text1"/>
          <w:sz w:val="16"/>
          <w:szCs w:val="16"/>
        </w:rPr>
      </w:pPr>
    </w:p>
    <w:p w14:paraId="38D57BAC" w14:textId="77777777" w:rsidR="00A11EA8" w:rsidRPr="005E779E" w:rsidRDefault="00A11EA8" w:rsidP="00A11EA8">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февраля 1931 г. танкетка Т-27 была принята на вооружение РККА поста</w:t>
      </w:r>
      <w:r w:rsidRPr="005E779E">
        <w:rPr>
          <w:rFonts w:ascii="Times New Roman" w:hAnsi="Times New Roman"/>
          <w:color w:val="000000" w:themeColor="text1"/>
          <w:sz w:val="16"/>
          <w:szCs w:val="16"/>
        </w:rPr>
        <w:softHyphen/>
        <w:t>новлением РВС СССР от, несмотря на то, что государственные испытания машины к этому вре</w:t>
      </w:r>
      <w:r w:rsidRPr="005E779E">
        <w:rPr>
          <w:rFonts w:ascii="Times New Roman" w:hAnsi="Times New Roman"/>
          <w:color w:val="000000" w:themeColor="text1"/>
          <w:sz w:val="16"/>
          <w:szCs w:val="16"/>
        </w:rPr>
        <w:softHyphen/>
        <w:t>мени завершены не были. Против ожидания, серийное производство танкетки не вызвало таких проблем, как выпуск Т-26 и БТ. Видимо, сказывалось широкое использование узлов и агрегатов гру</w:t>
      </w:r>
      <w:r w:rsidRPr="005E779E">
        <w:rPr>
          <w:rFonts w:ascii="Times New Roman" w:hAnsi="Times New Roman"/>
          <w:color w:val="000000" w:themeColor="text1"/>
          <w:sz w:val="16"/>
          <w:szCs w:val="16"/>
        </w:rPr>
        <w:softHyphen/>
        <w:t>зового автомобиля «Форд-АА», выпускаемого в СССР на заводе ГАЗ (в то время еще носившего название НАЗ). Общая компоновка танкетки предусматривала разме</w:t>
      </w:r>
      <w:r w:rsidRPr="005E779E">
        <w:rPr>
          <w:rFonts w:ascii="Times New Roman" w:hAnsi="Times New Roman"/>
          <w:color w:val="000000" w:themeColor="text1"/>
          <w:sz w:val="16"/>
          <w:szCs w:val="16"/>
        </w:rPr>
        <w:softHyphen/>
        <w:t>щение силового агрегата, вооружения и экипажа в одном корпусе. Причем двигатель с системами питания и охлаж</w:t>
      </w:r>
      <w:r w:rsidRPr="005E779E">
        <w:rPr>
          <w:rFonts w:ascii="Times New Roman" w:hAnsi="Times New Roman"/>
          <w:color w:val="000000" w:themeColor="text1"/>
          <w:sz w:val="16"/>
          <w:szCs w:val="16"/>
        </w:rPr>
        <w:softHyphen/>
        <w:t>дения находился в его средней части, трансмиссия впере</w:t>
      </w:r>
      <w:r w:rsidRPr="005E779E">
        <w:rPr>
          <w:rFonts w:ascii="Times New Roman" w:hAnsi="Times New Roman"/>
          <w:color w:val="000000" w:themeColor="text1"/>
          <w:sz w:val="16"/>
          <w:szCs w:val="16"/>
        </w:rPr>
        <w:softHyphen/>
        <w:t>ди, а экипаж - сзади. Корпус Т-27 собирался из катаных броневых листов тол</w:t>
      </w:r>
      <w:r w:rsidRPr="005E779E">
        <w:rPr>
          <w:rFonts w:ascii="Times New Roman" w:hAnsi="Times New Roman"/>
          <w:color w:val="000000" w:themeColor="text1"/>
          <w:sz w:val="16"/>
          <w:szCs w:val="16"/>
        </w:rPr>
        <w:softHyphen/>
        <w:t>щиной 6—10 мм на уголковом каркасе болтами и заклепка</w:t>
      </w:r>
      <w:r w:rsidRPr="005E779E">
        <w:rPr>
          <w:rFonts w:ascii="Times New Roman" w:hAnsi="Times New Roman"/>
          <w:color w:val="000000" w:themeColor="text1"/>
          <w:sz w:val="16"/>
          <w:szCs w:val="16"/>
        </w:rPr>
        <w:softHyphen/>
        <w:t>ми. Правда, на машинах последнего года выпуска уже применялась электросварка. Швы корпуса в нижней части на высоту до 400 мм имели холщовую прокладку на сурике, которая обеспечивала водонепроницаемость корпуса при преодолении водных преград. В верхнем лобовом листе корпуса имелся люк для доступа к тормозным валикам, закрывавшийся броневой крышкой с гайками на шпильках. Кроме того, на верхнем и нижнем лобовых листах бол</w:t>
      </w:r>
      <w:r w:rsidRPr="005E779E">
        <w:rPr>
          <w:rFonts w:ascii="Times New Roman" w:hAnsi="Times New Roman"/>
          <w:color w:val="000000" w:themeColor="text1"/>
          <w:sz w:val="16"/>
          <w:szCs w:val="16"/>
        </w:rPr>
        <w:softHyphen/>
        <w:t xml:space="preserve">идами крепился броневой кожух, закрывавший выступающую часть картера дифференциала. На большинстве танкеток этот кожух крепился на заклепках и снимался только </w:t>
      </w:r>
      <w:r w:rsidRPr="005E779E">
        <w:rPr>
          <w:rFonts w:ascii="Times New Roman" w:hAnsi="Times New Roman"/>
          <w:color w:val="000000" w:themeColor="text1"/>
          <w:sz w:val="16"/>
          <w:szCs w:val="16"/>
        </w:rPr>
        <w:lastRenderedPageBreak/>
        <w:t>месте с лобовыми листами. На верхнем, наклонном листе ансмиссионного отделения находился люк с броневой рышкой на петлях, который обеспечивал доступ к коробку передач и приводам управления. Кроме того, с правой ороны имелось специальное отверстие для крепления яеметной установки (10733,145).</w:t>
      </w:r>
    </w:p>
    <w:p w14:paraId="70F6570A" w14:textId="77777777" w:rsidR="00A11EA8" w:rsidRPr="005E779E" w:rsidRDefault="00A11EA8" w:rsidP="00A11EA8">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02A6E8" w14:textId="77777777" w:rsidR="00EA7676" w:rsidRPr="005E779E" w:rsidRDefault="00EA767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февраля 1931 г. еще до окончания испытаний танкетка Т-27 была принята на вооружение. Толщина брони — 6—10 мм, вооружение — один пулемет ДТ. РККА в 1931—1934 гг. получило 3295 танкеток Т-27. В частях их быстро переводили в учебные машины. Зато на базе Т-27 началось проектирование плавающих танков (15117).</w:t>
      </w:r>
    </w:p>
    <w:p w14:paraId="39C9D9B0" w14:textId="77777777" w:rsidR="00EA7676" w:rsidRPr="005E779E" w:rsidRDefault="00EA7676" w:rsidP="000B7A6C">
      <w:pPr>
        <w:spacing w:after="0" w:line="240" w:lineRule="auto"/>
        <w:jc w:val="both"/>
        <w:rPr>
          <w:rFonts w:ascii="Times New Roman" w:hAnsi="Times New Roman"/>
          <w:color w:val="000000" w:themeColor="text1"/>
          <w:sz w:val="16"/>
          <w:szCs w:val="16"/>
        </w:rPr>
      </w:pPr>
    </w:p>
    <w:p w14:paraId="0FB112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февраля 1931 года постановлением РВС СССР будущий танк был принят на вооружение под индексом БТ-2 (9366).</w:t>
      </w:r>
    </w:p>
    <w:p w14:paraId="172913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DCEFE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февраля 1931 г. по докладу И.А. Халепского Реввоенсовет СССР, не ожидая изготовления опытного образца, издал приказ о принятии на вооружение РККА легкого танка Т-26 (3861).</w:t>
      </w:r>
    </w:p>
    <w:p w14:paraId="28FF98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59D1159" w14:textId="77777777" w:rsidR="004F3165" w:rsidRPr="005E779E" w:rsidRDefault="004F3165"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13 февраля 1931 года, было принято решение о производстве В-26 на заводе "Большевик". Танк приняли на вооружение Красной Армии как Т-26. Это было единственно верным решением, дальше заниматься заниматься развитием шукаловских машин не имело никакого смысла (20740).</w:t>
      </w:r>
    </w:p>
    <w:p w14:paraId="75AF2C8A" w14:textId="77777777" w:rsidR="004F3165" w:rsidRPr="005E779E" w:rsidRDefault="004F3165"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C4CA696" w14:textId="77777777" w:rsidR="004F3165" w:rsidRPr="005E779E" w:rsidRDefault="004F3165"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13 февраля 1931 года на вооружение Красной Армии был принят танк сопровождения Т-26, его производство организовывалось на "Большевике". Т-18 четвертой производственной серии, который изначально предполагался временным решением, стал самым массовым из МС-1. Правда, пушки Б-3 он так и не дождался. Что же касается Т-20, то он разделил судьбу своего собрата - Т-19. Машину достроили, но с указанием "закончить и в музей", точнее в академию ВАММ. Доводили танк, который своей башни так и не дождался, до конца 1931 года. 60-сильный мотор упорно не хотел работать положенный ресурс, так что и про планы модернизации Т-18 пришлось забыть. Помимо опытного Т-20, был также изготовлен сварной корпус. Впрочем, его изображений не сохранилось, да и сам Т-20 пока что известен в виде проектной документации и единственной фотографии из альбома 1932 года. История этого танка прекрасно показывает, что покупка Vickers Mk.E оказалась очень своевременной, а постановка данной машины в серию - правильным решением. Без Т-26 существовал риск завала программы оснащения РККА современными танками сопровождения (20852).</w:t>
      </w:r>
    </w:p>
    <w:p w14:paraId="039FBD76" w14:textId="77777777" w:rsidR="004F3165" w:rsidRPr="005E779E" w:rsidRDefault="004F3165" w:rsidP="000B7A6C">
      <w:pPr>
        <w:spacing w:after="0" w:line="240" w:lineRule="auto"/>
        <w:jc w:val="both"/>
        <w:rPr>
          <w:rFonts w:ascii="Times New Roman" w:hAnsi="Times New Roman"/>
          <w:color w:val="000000" w:themeColor="text1"/>
          <w:sz w:val="16"/>
          <w:szCs w:val="16"/>
          <w:shd w:val="clear" w:color="auto" w:fill="FFFFFF"/>
        </w:rPr>
      </w:pPr>
    </w:p>
    <w:p w14:paraId="708006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февраля 1931 г. Т-26 принят на вооружение, а с осени началось серийное производство на ленинградском заводе им. Ворошилова. Первый вариант имел, как и прототип, две пулеметные башни. Но боевая масса его возросла до 8 т против 5,4 т у британской машины. Бронирование было противопульное, недифференцированное (лоб, борт, корма - 15 мм). С августа 1933 г. на танк ставили 45-мм пушку в цилиндрической башне и пулемет 7,62 мм. Экипаж составлял 3 человека. Боевая масса возросла до 10,3 т, а двигатель остался прежний, мощностью 90 л. с. Энерговооруженность была явно недостаточной. С февраля 1939 г. выпускалась последняя модификация Т-26 с наклонным расположением бронелистов подбашенной коробки. А во время Финской войны Т-26 оснастили экранной броней на лобовых листах корпуса. Всего за 1931-1940 гг. выпустили более 11000 машин 23 модификаций. Это была крупнейшая предвоенная серия танков в мире (11224).</w:t>
      </w:r>
    </w:p>
    <w:p w14:paraId="7A8EA1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EE1D4EB" w14:textId="77777777" w:rsidR="00A11EA8" w:rsidRPr="005E779E" w:rsidRDefault="00A11EA8" w:rsidP="00A11EA8">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февраля 1931 г. Реввоенсовет СССР, заслушав доклад И.А. Халепского о ходе работ по новым танкам, постановил принять 6-тонный танк «Виккерс» на вооружение Красной армии как «основной танк сопровождения общевойсковых частей и соединений, а также танковых частей Резерва Главного Командования»[53].</w:t>
      </w:r>
    </w:p>
    <w:p w14:paraId="48B21B47" w14:textId="77777777" w:rsidR="00A11EA8" w:rsidRPr="005E779E" w:rsidRDefault="00A11EA8" w:rsidP="00A11EA8">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Производство этого танка начал ленинградский завод «Большевик», который в течение 1931 г. должен был перейти с танка Т-18 на новую программу[54]. Первоначально Т-26 выпускался в двухбашенной модификации, вооруженный пулеметами. Однобашенный вариант танка был разработан КБ завода «Большевик» под руководством С.А. Гинзбурга в 1931-1932 гг. и отличался от предыдущих образцов танка Т-26 установкой пушки 20К калибра 45 мм и спаренного с ней пулемета ДТ во вращающейся цилиндрической башне. Сборочное и моторное производство были организованы на ленинградском заводе № 174 им.</w:t>
      </w:r>
    </w:p>
    <w:p w14:paraId="73CD5FD0" w14:textId="77777777" w:rsidR="00A11EA8" w:rsidRPr="005E779E" w:rsidRDefault="00A11EA8" w:rsidP="00A11EA8">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Ворошилова, созданного в 1932-1933 гг. на основе танкового производства завода «Большевик»[55]. Т-26 стал самым массовым советским танком и в разных модификациях выпускался вплоть до 1941 года. Всего было выпущено более 11,2 тыс. машин[56] (23536).</w:t>
      </w:r>
    </w:p>
    <w:p w14:paraId="28E1936B" w14:textId="77777777" w:rsidR="00A11EA8" w:rsidRPr="005E779E" w:rsidRDefault="00A11EA8" w:rsidP="00A11EA8">
      <w:pPr>
        <w:spacing w:after="0" w:line="240" w:lineRule="auto"/>
        <w:jc w:val="both"/>
        <w:rPr>
          <w:rFonts w:ascii="Times New Roman" w:hAnsi="Times New Roman"/>
          <w:color w:val="000000" w:themeColor="text1"/>
          <w:sz w:val="16"/>
          <w:szCs w:val="16"/>
        </w:rPr>
      </w:pPr>
    </w:p>
    <w:p w14:paraId="36D2C95F" w14:textId="77777777" w:rsidR="009A4311" w:rsidRPr="00142305" w:rsidRDefault="009A4311" w:rsidP="009A431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13 февраля 1931 года РВС СССР, заслу</w:t>
      </w:r>
      <w:r w:rsidRPr="00142305">
        <w:rPr>
          <w:rFonts w:ascii="Times New Roman" w:hAnsi="Times New Roman"/>
          <w:color w:val="0070C0"/>
          <w:sz w:val="16"/>
          <w:szCs w:val="16"/>
        </w:rPr>
        <w:softHyphen/>
        <w:t>шав доклад И. Халепского о ходе работ по новым танкам, постановил принять 6-тон</w:t>
      </w:r>
      <w:r w:rsidRPr="00142305">
        <w:rPr>
          <w:rFonts w:ascii="Times New Roman" w:hAnsi="Times New Roman"/>
          <w:color w:val="0070C0"/>
          <w:sz w:val="16"/>
          <w:szCs w:val="16"/>
        </w:rPr>
        <w:softHyphen/>
        <w:t>ный танк «Виккерс» на вооружение Крас</w:t>
      </w:r>
      <w:r w:rsidRPr="00142305">
        <w:rPr>
          <w:rFonts w:ascii="Times New Roman" w:hAnsi="Times New Roman"/>
          <w:color w:val="0070C0"/>
          <w:sz w:val="16"/>
          <w:szCs w:val="16"/>
        </w:rPr>
        <w:softHyphen/>
        <w:t>ной Армии как «основной танк сопровож</w:t>
      </w:r>
      <w:r w:rsidRPr="00142305">
        <w:rPr>
          <w:rFonts w:ascii="Times New Roman" w:hAnsi="Times New Roman"/>
          <w:color w:val="0070C0"/>
          <w:sz w:val="16"/>
          <w:szCs w:val="16"/>
        </w:rPr>
        <w:softHyphen/>
        <w:t>дения общевойсковых частей и соедине</w:t>
      </w:r>
      <w:r w:rsidRPr="00142305">
        <w:rPr>
          <w:rFonts w:ascii="Times New Roman" w:hAnsi="Times New Roman"/>
          <w:color w:val="0070C0"/>
          <w:sz w:val="16"/>
          <w:szCs w:val="16"/>
        </w:rPr>
        <w:softHyphen/>
        <w:t>ний, а также танковых частей Резерва Главного Командования». Новый танк по</w:t>
      </w:r>
      <w:r w:rsidRPr="00142305">
        <w:rPr>
          <w:rFonts w:ascii="Times New Roman" w:hAnsi="Times New Roman"/>
          <w:color w:val="0070C0"/>
          <w:sz w:val="16"/>
          <w:szCs w:val="16"/>
        </w:rPr>
        <w:softHyphen/>
        <w:t>лучил индекс Т-26 (24999).</w:t>
      </w:r>
    </w:p>
    <w:p w14:paraId="4F841881" w14:textId="77777777" w:rsidR="009A4311" w:rsidRPr="00142305" w:rsidRDefault="009A4311" w:rsidP="009A4311">
      <w:pPr>
        <w:spacing w:after="0" w:line="240" w:lineRule="auto"/>
        <w:jc w:val="both"/>
        <w:rPr>
          <w:rFonts w:ascii="Times New Roman" w:hAnsi="Times New Roman"/>
          <w:color w:val="0070C0"/>
          <w:sz w:val="16"/>
          <w:szCs w:val="16"/>
        </w:rPr>
      </w:pPr>
    </w:p>
    <w:p w14:paraId="19ACE249" w14:textId="77777777" w:rsidR="009A4311" w:rsidRPr="00142305" w:rsidRDefault="009A4311" w:rsidP="009A431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13 февраля 1931 года постановлением РВС СССР танк Кристи приняли на во</w:t>
      </w:r>
      <w:r w:rsidRPr="00142305">
        <w:rPr>
          <w:rFonts w:ascii="Times New Roman" w:hAnsi="Times New Roman"/>
          <w:color w:val="0070C0"/>
          <w:sz w:val="16"/>
          <w:szCs w:val="16"/>
        </w:rPr>
        <w:softHyphen/>
        <w:t>оружение Красной Армии под индек</w:t>
      </w:r>
      <w:r w:rsidRPr="00142305">
        <w:rPr>
          <w:rFonts w:ascii="Times New Roman" w:hAnsi="Times New Roman"/>
          <w:color w:val="0070C0"/>
          <w:sz w:val="16"/>
          <w:szCs w:val="16"/>
        </w:rPr>
        <w:softHyphen/>
        <w:t>сом БТ-2. К этому времени стало ясно, что Ярославский автозавод не сможет справиться с производством такой сложной боевой машины, как конст</w:t>
      </w:r>
      <w:r w:rsidRPr="00142305">
        <w:rPr>
          <w:rFonts w:ascii="Times New Roman" w:hAnsi="Times New Roman"/>
          <w:color w:val="0070C0"/>
          <w:sz w:val="16"/>
          <w:szCs w:val="16"/>
        </w:rPr>
        <w:softHyphen/>
        <w:t>рукция Кристи. Начались поиски дру</w:t>
      </w:r>
      <w:r w:rsidRPr="00142305">
        <w:rPr>
          <w:rFonts w:ascii="Times New Roman" w:hAnsi="Times New Roman"/>
          <w:color w:val="0070C0"/>
          <w:sz w:val="16"/>
          <w:szCs w:val="16"/>
        </w:rPr>
        <w:softHyphen/>
        <w:t>гого предприятия, в результате чего ос</w:t>
      </w:r>
      <w:r w:rsidRPr="00142305">
        <w:rPr>
          <w:rFonts w:ascii="Times New Roman" w:hAnsi="Times New Roman"/>
          <w:color w:val="0070C0"/>
          <w:sz w:val="16"/>
          <w:szCs w:val="16"/>
        </w:rPr>
        <w:softHyphen/>
        <w:t>тановились на ленинградском заводе «Большевик» — предприятии, имевшим опыт изготовления танков МС-1. 24 ап</w:t>
      </w:r>
      <w:r w:rsidRPr="00142305">
        <w:rPr>
          <w:rFonts w:ascii="Times New Roman" w:hAnsi="Times New Roman"/>
          <w:color w:val="0070C0"/>
          <w:sz w:val="16"/>
          <w:szCs w:val="16"/>
        </w:rPr>
        <w:softHyphen/>
        <w:t>реля 1931 года здесь прошло совещание «О танковой программе на заводе на 1931 год», на котором приняли решение о выпуске до конца года 100 БТ, при ус</w:t>
      </w:r>
      <w:r w:rsidRPr="00142305">
        <w:rPr>
          <w:rFonts w:ascii="Times New Roman" w:hAnsi="Times New Roman"/>
          <w:color w:val="0070C0"/>
          <w:sz w:val="16"/>
          <w:szCs w:val="16"/>
        </w:rPr>
        <w:softHyphen/>
        <w:t>ловии снабжения предприятия «про</w:t>
      </w:r>
      <w:r w:rsidRPr="00142305">
        <w:rPr>
          <w:rFonts w:ascii="Times New Roman" w:hAnsi="Times New Roman"/>
          <w:color w:val="0070C0"/>
          <w:sz w:val="16"/>
          <w:szCs w:val="16"/>
        </w:rPr>
        <w:softHyphen/>
        <w:t>катной цементованной броней». Одна</w:t>
      </w:r>
      <w:r w:rsidRPr="00142305">
        <w:rPr>
          <w:rFonts w:ascii="Times New Roman" w:hAnsi="Times New Roman"/>
          <w:color w:val="0070C0"/>
          <w:sz w:val="16"/>
          <w:szCs w:val="16"/>
        </w:rPr>
        <w:softHyphen/>
        <w:t>ко из-за того, что изготовление танков Т-24 с Харьковского паровозострои</w:t>
      </w:r>
      <w:r w:rsidRPr="00142305">
        <w:rPr>
          <w:rFonts w:ascii="Times New Roman" w:hAnsi="Times New Roman"/>
          <w:color w:val="0070C0"/>
          <w:sz w:val="16"/>
          <w:szCs w:val="16"/>
        </w:rPr>
        <w:softHyphen/>
        <w:t>тельного завода было снято, выпуск БТ передали из Ленинграда на ХПЗ. При этом производственная база Харь</w:t>
      </w:r>
      <w:r w:rsidRPr="00142305">
        <w:rPr>
          <w:rFonts w:ascii="Times New Roman" w:hAnsi="Times New Roman"/>
          <w:color w:val="0070C0"/>
          <w:sz w:val="16"/>
          <w:szCs w:val="16"/>
        </w:rPr>
        <w:softHyphen/>
        <w:t>кова позволяла без особого труда нала</w:t>
      </w:r>
      <w:r w:rsidRPr="00142305">
        <w:rPr>
          <w:rFonts w:ascii="Times New Roman" w:hAnsi="Times New Roman"/>
          <w:color w:val="0070C0"/>
          <w:sz w:val="16"/>
          <w:szCs w:val="16"/>
        </w:rPr>
        <w:softHyphen/>
        <w:t>дить сборку БТ — на ХПЗ имелось необ</w:t>
      </w:r>
      <w:r w:rsidRPr="00142305">
        <w:rPr>
          <w:rFonts w:ascii="Times New Roman" w:hAnsi="Times New Roman"/>
          <w:color w:val="0070C0"/>
          <w:sz w:val="16"/>
          <w:szCs w:val="16"/>
        </w:rPr>
        <w:softHyphen/>
        <w:t>ходимое оборудование и участок сборки танков (созданный для Т-24),а также специальное танко-конструкторское бюро. Кроме того, в это время на заводе велось строительство цехов производст</w:t>
      </w:r>
      <w:r w:rsidRPr="00142305">
        <w:rPr>
          <w:rFonts w:ascii="Times New Roman" w:hAnsi="Times New Roman"/>
          <w:color w:val="0070C0"/>
          <w:sz w:val="16"/>
          <w:szCs w:val="16"/>
        </w:rPr>
        <w:softHyphen/>
        <w:t>ва танков, а также был организован тан</w:t>
      </w:r>
      <w:r w:rsidRPr="00142305">
        <w:rPr>
          <w:rFonts w:ascii="Times New Roman" w:hAnsi="Times New Roman"/>
          <w:color w:val="0070C0"/>
          <w:sz w:val="16"/>
          <w:szCs w:val="16"/>
        </w:rPr>
        <w:softHyphen/>
        <w:t>ковый отдел Т2, в состав которого вклю</w:t>
      </w:r>
      <w:r w:rsidRPr="00142305">
        <w:rPr>
          <w:rFonts w:ascii="Times New Roman" w:hAnsi="Times New Roman"/>
          <w:color w:val="0070C0"/>
          <w:sz w:val="16"/>
          <w:szCs w:val="16"/>
        </w:rPr>
        <w:softHyphen/>
        <w:t>чили несколько цехов (танковый, сбо</w:t>
      </w:r>
      <w:r w:rsidRPr="00142305">
        <w:rPr>
          <w:rFonts w:ascii="Times New Roman" w:hAnsi="Times New Roman"/>
          <w:color w:val="0070C0"/>
          <w:sz w:val="16"/>
          <w:szCs w:val="16"/>
        </w:rPr>
        <w:softHyphen/>
        <w:t>рочный ит.п.), конструкторское бюро, бюро подготовки производства и т.п. (25009).</w:t>
      </w:r>
    </w:p>
    <w:p w14:paraId="1871C0B2" w14:textId="77777777" w:rsidR="009A4311" w:rsidRPr="00142305" w:rsidRDefault="009A4311" w:rsidP="009A4311">
      <w:pPr>
        <w:spacing w:after="0" w:line="240" w:lineRule="auto"/>
        <w:jc w:val="both"/>
        <w:rPr>
          <w:rFonts w:ascii="Times New Roman" w:hAnsi="Times New Roman"/>
          <w:color w:val="0070C0"/>
          <w:sz w:val="16"/>
          <w:szCs w:val="16"/>
        </w:rPr>
      </w:pPr>
    </w:p>
    <w:p w14:paraId="6690D49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февраля 1931 г. РВС СССР, заслушав доклад И. Халепского о ходе работ по новым танкам, постановил принять «6-тонный танк Виккерса типа В-26» на вооружение РККА как основной танк сопровождения общевойсковых частей и соединений, также танковых и мехчастей РГК. Новый танк, в соответствии с планами УММ, получил индекс Т-26 (10733,173).</w:t>
      </w:r>
    </w:p>
    <w:p w14:paraId="5D39C32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FFD4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февраля 1931 г. РВС СССР, заслушав доклад И.Халепского о ходе работ над новыми танками, постановил принять «6-тонный танк Виккерса типа В-26» на вооружение бронесил РККА, как «... танк сопровождения общевойсковых частей и соединений, а также в качестве танка для бронесш КА». Этот танк получил индекс Т-26. Весьма интересным для советской стороны был тот факт, что купленный у фирмы «Виккерс» танк был одним из триплекса, в составе которого тоже предусматривался «танк огневой поддержки», вооруженный 47-мм пушкой (6469, 12).</w:t>
      </w:r>
    </w:p>
    <w:p w14:paraId="70827B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8BD53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февраля 1931 года РВС СССР постановил принять на вооружение Красной Армии танк Vickers Е под обозначением Т-26 (в те годы этот танк также называли "истребитель малой мощности") и рекомендовал начать серийный выпуск этой машины. Главным производителем танков должен был стать Сталинградский тракторный завод, ежегодно предполагали выпускать по 13800 танков этого типа! Однако к тому времени СТЗ еще не был введен в строй, поэтому заказ временно разместили на заводе "Большевик" в Ленинграде. Вскоре танковое отделение завода выделилось в самостоятельный Завод N 174 им. К.Е.Ворошилова. На этом заводе действительно построили 12000 танков Т-26, но не за год, а за 10 лет - последние машины этого типа покинули сборочный цех в начале 1941 года (3862).</w:t>
      </w:r>
    </w:p>
    <w:p w14:paraId="72281F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85D60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февраля 1931 на вооружение приняли танк Т-26 (176,25) и Т-27, которые начали производить под Москвой в Черкизово (3547) на з имени Г.К.Орджоникидзе и до 1933 сделали 3.3 тыс. (1124,9).</w:t>
      </w:r>
    </w:p>
    <w:p w14:paraId="0148F8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Т-26 делали на заводе Большевик (б. Обуховском) (1127,9).</w:t>
      </w:r>
    </w:p>
    <w:p w14:paraId="676CB5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другим данным в тот же день на вооружение был прият и БТ-2 (2118).</w:t>
      </w:r>
    </w:p>
    <w:p w14:paraId="506FF5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22995C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февраля 1931 года приказом Реввоенсовета СССР были приняты на вооружение Красной Армии танкетка Т-27 и легкий танк Т-26, а 23 мая 1931 года, еще до изготовления опытного образца, был принят на вооружение и легкий быстроходный танк БТ-2 (11504).</w:t>
      </w:r>
    </w:p>
    <w:p w14:paraId="4064A7B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8249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13 февраля 1931 года РВС СССР постановил принять на вооружение Красной Армии танк "Викерс Е" под обозначением Т-26 и рекомендовал начать серийный выпуск этой машины. На первых танках Т-26 устанавливались импортируемые английские двигатели Armstrong-Siddeley (11553). </w:t>
      </w:r>
    </w:p>
    <w:p w14:paraId="515549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FF6AC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февраля 1931 изобретатель-самоучка Н.И.Дыренков, который на московском заводе Можерез бронировал 4 трактора разных типов писал Нач. УММ РККА И.Халепскому: “На основании полученных от Вас заданий мною разработаны и построены следующие образцы:</w:t>
      </w:r>
    </w:p>
    <w:p w14:paraId="45533C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на шасси трактора Коммунар - суррогативный танк с одной 76-мм полковой пушкой, двумя ДТ при двух запасных с четырьмя шаровыми установками (Д-10).</w:t>
      </w:r>
    </w:p>
    <w:p w14:paraId="254707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на шасси трактора Катерпиллер - суррогативный танк с одной 76-мм полковой пушкой, двумя ДТ при двух запасных с четырьмя шаровыми установками (Д-11).</w:t>
      </w:r>
    </w:p>
    <w:p w14:paraId="30F1D3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 на шасси трактора Коммунар - бронированный десантный танк для 15 стрелков с двумя ДТ при двух запасных с четырьмя шаровыми установками (Д-14).</w:t>
      </w:r>
    </w:p>
    <w:p w14:paraId="484C8E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на шасси трактора Коммунар - танк химического нападения с двумя резервуарами на 4000 л с двумя распылителями при одном ДТ и при четырех шаровых установках (Д-15). Д-10 и Д-11 изготовлены к 8 февраля, Д—14 и 15 начаты постройкой.” (4306).</w:t>
      </w:r>
    </w:p>
    <w:p w14:paraId="3C086C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B1A4453" w14:textId="77777777" w:rsidR="00A11EA8" w:rsidRPr="00142305" w:rsidRDefault="00A11EA8" w:rsidP="00A11EA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13 февраля 1931 года Дыренков предоставил начальнику Управления механизации и моторизации РККА комкору И. А. Халепскому докладную записку, в которой информировал того о готовности бронетракторов (или, как указывалось в записке, «суррогативных танков») Д-10 и Д-11, а также о запуске в производство десантного бронетрактора Д-14 и химического Д-15.</w:t>
      </w:r>
    </w:p>
    <w:p w14:paraId="59BBEE8E" w14:textId="77777777" w:rsidR="00A11EA8" w:rsidRPr="00142305" w:rsidRDefault="00A11EA8" w:rsidP="00A11EA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Д-10 и Д-11 отличались друг от друга только шасси. Д-10 был создан на базе трактора «Коммунар» З-90. Толщина его бронелистов варьировалась от 6 до 16 мм. В кормовой части машины располагалась 76,2-мм полковая пушка образца 1927 года, установленная на специальном лафете. В бортах были прорезаны четыре амбразуры с шаровыми установками для четырех пулеметов ДТ, два из которых считались резервными. Экипаж состоял из 3 человек – механика-водителя, пулеметчика и командира машины. Боезапас возился на специальной тележке, буксируемой самим бронетрактором. Емкость бензобаков составляла 245 и 205 литров. В целом машины Дыренкова повторяли идею российских тракторов времен Первой мировой и Гражданской войн, ходивших в атаку задним ходом.</w:t>
      </w:r>
    </w:p>
    <w:p w14:paraId="19BBA597" w14:textId="77777777" w:rsidR="00A11EA8" w:rsidRPr="00142305" w:rsidRDefault="00A11EA8" w:rsidP="00A11EA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Д-11 по конструкции практически ничем не отличался от Д-10, за исключением того, что в качестве шасси для него использовался американский трактор «Катерпиллер-60», оснащенный 65-сильным 4-цилиндровым карбюраторным бензиновым двигателем. Компоновка его полностью повторяла конструкцию «Коммунара» при несколько большей массе в 9,3 тонны. Всего в США на двух предприятиях компании «Катерпиллер» было выпущено 18 948 таких машин, из которых несколько штук было закуплено для нужд Советского Союза. Весной 1933 года на Челябинском тракторном заводе начнется производство этих тракторов по лицензии и под названием «Сталинец-60».</w:t>
      </w:r>
    </w:p>
    <w:p w14:paraId="4ECC49D4" w14:textId="77777777" w:rsidR="00A11EA8" w:rsidRPr="00142305" w:rsidRDefault="00A11EA8" w:rsidP="00A11EA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1931 году на базе импортного трактора Дыренков разработал новый бронетрактор Д-11, чей корпус был короче, чем у Д-10, и который внешне от него почти не отличался. Основное различие состояло в том, что командирская башенка у Д-11 была сильнее смещена к корме.</w:t>
      </w:r>
    </w:p>
    <w:p w14:paraId="0E3917CB" w14:textId="77777777" w:rsidR="00A11EA8" w:rsidRPr="00142305" w:rsidRDefault="00A11EA8" w:rsidP="00A11EA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Кроме этих двух машин Дыренковым был создан десантный бронетрактор Д-14, вооруженный двумя пулеметами и четырьмя шаровыми установками в бортах под них и рассчитанный на перевозку 15 десантников. Чтобы разместить десант, бронированный корпус Д-14 сделали сильнее вынесенным назад, чем у Д-10, из-за чего пришлось усилить заднюю часть ходовой. В качестве шасси, как и при создании Д-10, использовали трактор «Коммунар» модели З-90. Бронирование корпуса было противопульным и противоосколочным толщиной 11 мм, крыши корпуса – 6 мм. Экипаж бронетрактора состоял из 2 человек: механика-водителя и командира, который одновременно был пулеметчиком.</w:t>
      </w:r>
    </w:p>
    <w:p w14:paraId="3F528F0D" w14:textId="77777777" w:rsidR="00A11EA8" w:rsidRPr="00142305" w:rsidRDefault="00A11EA8" w:rsidP="00A11EA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Химический бронетрактор Д-15 также использовал шасси трактора «Коммунар» и был вооружен двумя распылителями и двумя емкостями под отравляющие вещества объемом по 4 м3 каждая. Так же как и у Д-14, в его корпусе находились четыре шаровые установки под два пулемета ДТ (25537).</w:t>
      </w:r>
    </w:p>
    <w:p w14:paraId="5D46CA6D" w14:textId="77777777" w:rsidR="00A11EA8" w:rsidRPr="00142305" w:rsidRDefault="00A11EA8" w:rsidP="00A11EA8">
      <w:pPr>
        <w:spacing w:after="0" w:line="240" w:lineRule="auto"/>
        <w:jc w:val="both"/>
        <w:rPr>
          <w:rFonts w:ascii="Times New Roman" w:hAnsi="Times New Roman"/>
          <w:color w:val="0070C0"/>
          <w:sz w:val="16"/>
          <w:szCs w:val="16"/>
        </w:rPr>
      </w:pPr>
    </w:p>
    <w:p w14:paraId="2A46155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февраля 1931 Дыренков направил Халепскому отчет о выполнении работ. В числе прочих, речь шла и о новых разведывательных броневиках, причем в этом документе впервые упоминалось обозначение ма</w:t>
      </w:r>
      <w:r w:rsidRPr="005E779E">
        <w:rPr>
          <w:rFonts w:ascii="Times New Roman" w:hAnsi="Times New Roman"/>
          <w:color w:val="000000" w:themeColor="text1"/>
          <w:sz w:val="16"/>
          <w:szCs w:val="16"/>
        </w:rPr>
        <w:softHyphen/>
        <w:t>шин:</w:t>
      </w:r>
    </w:p>
    <w:p w14:paraId="5DAE3C8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основании полученного от Вас задания мною разработаны и построены следующие образцы брониро</w:t>
      </w:r>
      <w:r w:rsidRPr="005E779E">
        <w:rPr>
          <w:rFonts w:ascii="Times New Roman" w:hAnsi="Times New Roman"/>
          <w:color w:val="000000" w:themeColor="text1"/>
          <w:sz w:val="16"/>
          <w:szCs w:val="16"/>
        </w:rPr>
        <w:softHyphen/>
        <w:t>вания:</w:t>
      </w:r>
    </w:p>
    <w:p w14:paraId="00557D5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На легковом шасси «Форд-А» разведывательный двухместный бронеавтомобиль при одном пулемете дейст</w:t>
      </w:r>
      <w:r w:rsidRPr="005E779E">
        <w:rPr>
          <w:rFonts w:ascii="Times New Roman" w:hAnsi="Times New Roman"/>
          <w:color w:val="000000" w:themeColor="text1"/>
          <w:sz w:val="16"/>
          <w:szCs w:val="16"/>
        </w:rPr>
        <w:softHyphen/>
        <w:t>вующем, одном запасном и четырех огневых точках. Обо</w:t>
      </w:r>
      <w:r w:rsidRPr="005E779E">
        <w:rPr>
          <w:rFonts w:ascii="Times New Roman" w:hAnsi="Times New Roman"/>
          <w:color w:val="000000" w:themeColor="text1"/>
          <w:sz w:val="16"/>
          <w:szCs w:val="16"/>
        </w:rPr>
        <w:softHyphen/>
        <w:t>значение Д-8р.</w:t>
      </w:r>
    </w:p>
    <w:p w14:paraId="6AB601B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На таком же шасси при таком же вооружении, но с несколько удлиненным кузовом и добавленной уста</w:t>
      </w:r>
      <w:r w:rsidRPr="005E779E">
        <w:rPr>
          <w:rFonts w:ascii="Times New Roman" w:hAnsi="Times New Roman"/>
          <w:color w:val="000000" w:themeColor="text1"/>
          <w:sz w:val="16"/>
          <w:szCs w:val="16"/>
        </w:rPr>
        <w:softHyphen/>
        <w:t>новкой стандартной зенитной авиатурели. Обозначение Д-12р».</w:t>
      </w:r>
    </w:p>
    <w:p w14:paraId="636DA40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Конструктивно обе машины были очень похожи -они имели сварные корпуса из 3—7 мм листов незакален</w:t>
      </w:r>
      <w:r w:rsidRPr="005E779E">
        <w:rPr>
          <w:rFonts w:ascii="Times New Roman" w:hAnsi="Times New Roman"/>
          <w:color w:val="000000" w:themeColor="text1"/>
          <w:sz w:val="16"/>
          <w:szCs w:val="16"/>
        </w:rPr>
        <w:softHyphen/>
        <w:t>ной броневой стали, установленные под большими угла</w:t>
      </w:r>
      <w:r w:rsidRPr="005E779E">
        <w:rPr>
          <w:rFonts w:ascii="Times New Roman" w:hAnsi="Times New Roman"/>
          <w:color w:val="000000" w:themeColor="text1"/>
          <w:sz w:val="16"/>
          <w:szCs w:val="16"/>
        </w:rPr>
        <w:softHyphen/>
        <w:t>ми наклона с расчетом на рикошет пуль. Для посадки экипажа из двух человек служили две двери в бортах. В крыше Д-8 имелся люк для наблюдения, а у Д-12 -авиационная турель с пулеметом Максима. Основное во</w:t>
      </w:r>
      <w:r w:rsidRPr="005E779E">
        <w:rPr>
          <w:rFonts w:ascii="Times New Roman" w:hAnsi="Times New Roman"/>
          <w:color w:val="000000" w:themeColor="text1"/>
          <w:sz w:val="16"/>
          <w:szCs w:val="16"/>
        </w:rPr>
        <w:softHyphen/>
        <w:t>оружение броневиков состояло из одного пулемета ДТ, для обеспечения кругового обстрела которого Дыренков запроектировал четыре шаровых установки — в лобовом, кормовом и бортовых листах. Боекомплект Д-8 состоял из 2709 патронов (43 магазина), а Д-12 - из 2079 патро</w:t>
      </w:r>
      <w:r w:rsidRPr="005E779E">
        <w:rPr>
          <w:rFonts w:ascii="Times New Roman" w:hAnsi="Times New Roman"/>
          <w:color w:val="000000" w:themeColor="text1"/>
          <w:sz w:val="16"/>
          <w:szCs w:val="16"/>
        </w:rPr>
        <w:softHyphen/>
        <w:t>нов к ДТ (33 магазина) и 1000 к Максиму (4 коробки). Благодаря небольшим габаритным размерам и плотной компоновке бронемашины имели небольшую массу — 1,6—1,65 т — и по проходимости немногим уступали базо</w:t>
      </w:r>
      <w:r w:rsidRPr="005E779E">
        <w:rPr>
          <w:rFonts w:ascii="Times New Roman" w:hAnsi="Times New Roman"/>
          <w:color w:val="000000" w:themeColor="text1"/>
          <w:sz w:val="16"/>
          <w:szCs w:val="16"/>
        </w:rPr>
        <w:softHyphen/>
        <w:t>вой модели.</w:t>
      </w:r>
    </w:p>
    <w:p w14:paraId="003A65C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доделок опытные образцы новых бронемашин предъявили на испытания, выявившие целый ряд недостат</w:t>
      </w:r>
      <w:r w:rsidRPr="005E779E">
        <w:rPr>
          <w:rFonts w:ascii="Times New Roman" w:hAnsi="Times New Roman"/>
          <w:color w:val="000000" w:themeColor="text1"/>
          <w:sz w:val="16"/>
          <w:szCs w:val="16"/>
        </w:rPr>
        <w:softHyphen/>
        <w:t>ков (11284).</w:t>
      </w:r>
    </w:p>
    <w:p w14:paraId="5B5F56D6"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3933DE3" w14:textId="77777777" w:rsidR="005E7475" w:rsidRPr="005E779E" w:rsidRDefault="005E7475" w:rsidP="000B7A6C">
      <w:pPr>
        <w:pStyle w:val="rtejustify"/>
        <w:spacing w:before="0" w:after="0"/>
        <w:rPr>
          <w:color w:val="000000" w:themeColor="text1"/>
          <w:sz w:val="16"/>
          <w:szCs w:val="16"/>
        </w:rPr>
      </w:pPr>
      <w:r w:rsidRPr="005E779E">
        <w:rPr>
          <w:rStyle w:val="af0"/>
          <w:i w:val="0"/>
          <w:color w:val="000000" w:themeColor="text1"/>
          <w:sz w:val="16"/>
          <w:szCs w:val="16"/>
        </w:rPr>
        <w:t xml:space="preserve">13 февраля 1931 г. Протокол Реввоенсовета №8. </w:t>
      </w:r>
      <w:r w:rsidRPr="005E779E">
        <w:rPr>
          <w:color w:val="000000" w:themeColor="text1"/>
          <w:sz w:val="16"/>
          <w:szCs w:val="16"/>
        </w:rPr>
        <w:t>2. О ходе осуществления системы авто-броне-танкового вооружения. (Халепский). 3. а) Мероприятия МПУ, обеспечивающие своевременное изготовление корпусов танков на Ижорском заводе (Халепский). б) Прицепки (Халепский). 4. О введении на вооружение: а) 37</w:t>
      </w:r>
      <w:r w:rsidRPr="005E779E">
        <w:rPr>
          <w:color w:val="000000" w:themeColor="text1"/>
          <w:sz w:val="16"/>
          <w:szCs w:val="16"/>
        </w:rPr>
        <w:noBreakHyphen/>
        <w:t>мм танковой пушки; б) 45</w:t>
      </w:r>
      <w:r w:rsidRPr="005E779E">
        <w:rPr>
          <w:color w:val="000000" w:themeColor="text1"/>
          <w:sz w:val="16"/>
          <w:szCs w:val="16"/>
        </w:rPr>
        <w:noBreakHyphen/>
        <w:t>мм танковой пушки; в) 76</w:t>
      </w:r>
      <w:r w:rsidRPr="005E779E">
        <w:rPr>
          <w:color w:val="000000" w:themeColor="text1"/>
          <w:sz w:val="16"/>
          <w:szCs w:val="16"/>
        </w:rPr>
        <w:noBreakHyphen/>
        <w:t>мм зенитной пушки 1915/28 г.; г) строенной пулеметной, зенитной установки; д) зарядного ящика, передка и лотка полковой пушки; е) осветительных и сигнальных патронов; ж) селитро-угольных добавков к 76</w:t>
      </w:r>
      <w:r w:rsidRPr="005E779E">
        <w:rPr>
          <w:color w:val="000000" w:themeColor="text1"/>
          <w:sz w:val="16"/>
          <w:szCs w:val="16"/>
        </w:rPr>
        <w:noBreakHyphen/>
        <w:t>мм полевой пушке и 152</w:t>
      </w:r>
      <w:r w:rsidRPr="005E779E">
        <w:rPr>
          <w:color w:val="000000" w:themeColor="text1"/>
          <w:sz w:val="16"/>
          <w:szCs w:val="16"/>
        </w:rPr>
        <w:noBreakHyphen/>
        <w:t>мм гаубице; з) 122</w:t>
      </w:r>
      <w:r w:rsidRPr="005E779E">
        <w:rPr>
          <w:color w:val="000000" w:themeColor="text1"/>
          <w:sz w:val="16"/>
          <w:szCs w:val="16"/>
        </w:rPr>
        <w:noBreakHyphen/>
        <w:t>мм снаряда сталистого чугуна; и) 107</w:t>
      </w:r>
      <w:r w:rsidRPr="005E779E">
        <w:rPr>
          <w:color w:val="000000" w:themeColor="text1"/>
          <w:sz w:val="16"/>
          <w:szCs w:val="16"/>
        </w:rPr>
        <w:noBreakHyphen/>
        <w:t>мм снаряда сталистого чугуна; л) 7,62</w:t>
      </w:r>
      <w:r w:rsidRPr="005E779E">
        <w:rPr>
          <w:color w:val="000000" w:themeColor="text1"/>
          <w:sz w:val="16"/>
          <w:szCs w:val="16"/>
        </w:rPr>
        <w:noBreakHyphen/>
        <w:t>мм пуль — тяжелой, бронебойной и трассирующей. (Уборевич). 5. О разрешении на валовые и серийные заказы: а) 203</w:t>
      </w:r>
      <w:r w:rsidRPr="005E779E">
        <w:rPr>
          <w:color w:val="000000" w:themeColor="text1"/>
          <w:sz w:val="16"/>
          <w:szCs w:val="16"/>
        </w:rPr>
        <w:noBreakHyphen/>
        <w:t>мм гаубицы «Кр[асный] Путиловец»; б) 203</w:t>
      </w:r>
      <w:r w:rsidRPr="005E779E">
        <w:rPr>
          <w:color w:val="000000" w:themeColor="text1"/>
          <w:sz w:val="16"/>
          <w:szCs w:val="16"/>
        </w:rPr>
        <w:noBreakHyphen/>
        <w:t>мм гаубицы «Большевик»; в) 20</w:t>
      </w:r>
      <w:r w:rsidRPr="005E779E">
        <w:rPr>
          <w:color w:val="000000" w:themeColor="text1"/>
          <w:sz w:val="16"/>
          <w:szCs w:val="16"/>
        </w:rPr>
        <w:noBreakHyphen/>
        <w:t>мм автоматической пушки; г) 37</w:t>
      </w:r>
      <w:r w:rsidRPr="005E779E">
        <w:rPr>
          <w:color w:val="000000" w:themeColor="text1"/>
          <w:sz w:val="16"/>
          <w:szCs w:val="16"/>
        </w:rPr>
        <w:noBreakHyphen/>
        <w:t>мм батальонной пушки; д) 76</w:t>
      </w:r>
      <w:r w:rsidRPr="005E779E">
        <w:rPr>
          <w:color w:val="000000" w:themeColor="text1"/>
          <w:sz w:val="16"/>
          <w:szCs w:val="16"/>
        </w:rPr>
        <w:noBreakHyphen/>
        <w:t>мм дивизионной пушки «Бофорс»; е) прибора «ПУАЗО» системы Крузе; ж) спаренной пулеметной установки на тачанке; з) взрывателя КАТ</w:t>
      </w:r>
      <w:r w:rsidRPr="005E779E">
        <w:rPr>
          <w:color w:val="000000" w:themeColor="text1"/>
          <w:sz w:val="16"/>
          <w:szCs w:val="16"/>
        </w:rPr>
        <w:noBreakHyphen/>
        <w:t>10; и) 7,62</w:t>
      </w:r>
      <w:r w:rsidRPr="005E779E">
        <w:rPr>
          <w:color w:val="000000" w:themeColor="text1"/>
          <w:sz w:val="16"/>
          <w:szCs w:val="16"/>
        </w:rPr>
        <w:noBreakHyphen/>
        <w:t>мм малого пистолета; к) 12,7</w:t>
      </w:r>
      <w:r w:rsidRPr="005E779E">
        <w:rPr>
          <w:color w:val="000000" w:themeColor="text1"/>
          <w:sz w:val="16"/>
          <w:szCs w:val="16"/>
        </w:rPr>
        <w:noBreakHyphen/>
        <w:t>мм крупнокалиберного пулемета; л) 7,62</w:t>
      </w:r>
      <w:r w:rsidRPr="005E779E">
        <w:rPr>
          <w:color w:val="000000" w:themeColor="text1"/>
          <w:sz w:val="16"/>
          <w:szCs w:val="16"/>
        </w:rPr>
        <w:noBreakHyphen/>
        <w:t>мм самозарядной винтовки Ковр. Кол.; м) 7,62</w:t>
      </w:r>
      <w:r w:rsidRPr="005E779E">
        <w:rPr>
          <w:color w:val="000000" w:themeColor="text1"/>
          <w:sz w:val="16"/>
          <w:szCs w:val="16"/>
        </w:rPr>
        <w:noBreakHyphen/>
        <w:t>мм легкого пулемета Дегтярева; п) оптического пулеметного прицела; о) 7,62</w:t>
      </w:r>
      <w:r w:rsidRPr="005E779E">
        <w:rPr>
          <w:color w:val="000000" w:themeColor="text1"/>
          <w:sz w:val="16"/>
          <w:szCs w:val="16"/>
        </w:rPr>
        <w:noBreakHyphen/>
        <w:t>мм пистолета-пулемета Токарева; п) о батальонных мортирах. (Уборевич). (РГВА. Ф. 4. Оп. 18. Д. 20. Л. 83</w:t>
      </w:r>
      <w:r w:rsidRPr="005E779E">
        <w:rPr>
          <w:color w:val="000000" w:themeColor="text1"/>
          <w:sz w:val="16"/>
          <w:szCs w:val="16"/>
        </w:rPr>
        <w:noBreakHyphen/>
        <w:t>86) (12342).</w:t>
      </w:r>
    </w:p>
    <w:p w14:paraId="72BA1623" w14:textId="77777777" w:rsidR="005E7475" w:rsidRPr="005E779E" w:rsidRDefault="005E7475" w:rsidP="000B7A6C">
      <w:pPr>
        <w:pStyle w:val="rtejustify"/>
        <w:spacing w:before="0" w:after="0"/>
        <w:rPr>
          <w:color w:val="000000" w:themeColor="text1"/>
          <w:sz w:val="16"/>
          <w:szCs w:val="16"/>
        </w:rPr>
      </w:pPr>
    </w:p>
    <w:p w14:paraId="67F03379"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Внешняя политика:</w:t>
      </w:r>
    </w:p>
    <w:p w14:paraId="04F3A56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21DA2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13 и 19 февраля 1931. Из протокола заседания Политбюро № 26, 1931 г.</w:t>
      </w:r>
    </w:p>
    <w:p w14:paraId="15DDF4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Записка тов. Радека </w:t>
      </w:r>
    </w:p>
    <w:p w14:paraId="7EFAE7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ответ на лживую кампанию буржуазной прессы о принудительном труде в СССР развернуть в прессе, особенно в "Известиях", кампанию по вопросам: а) о социалистической организации труда в СССР; б) об эксплуатации и условиях труда в капиталистических странах, в) о рабстве в колониях Англии, Франции и др. Странах (11652).</w:t>
      </w:r>
    </w:p>
    <w:p w14:paraId="7A86D7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20E9AB7" w14:textId="77777777" w:rsidR="00DB6472" w:rsidRPr="005E779E" w:rsidRDefault="00DB6472"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13 февраля 1931 г.</w:t>
      </w:r>
    </w:p>
    <w:p w14:paraId="25523579" w14:textId="77777777" w:rsidR="00DB6472" w:rsidRPr="005E779E" w:rsidRDefault="00DB6472"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Письмо В. Н. Баркова Ж. Л. Аренсу относительно публикаций о процессе «Промпартии» во французской прессе и переводе стенограммы процесса. 13 февраля 1931 г.</w:t>
      </w:r>
    </w:p>
    <w:p w14:paraId="5DDA3860" w14:textId="77777777" w:rsidR="00DB6472" w:rsidRPr="005E779E" w:rsidRDefault="00DB6472"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Источник: </w:t>
      </w:r>
    </w:p>
    <w:p w14:paraId="17B1976A" w14:textId="77777777" w:rsidR="00DB6472" w:rsidRPr="005E779E" w:rsidRDefault="00DB647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30A7D80" w14:textId="77777777" w:rsidR="00DB6472" w:rsidRPr="005E779E" w:rsidRDefault="00DB6472"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Архив: </w:t>
      </w:r>
    </w:p>
    <w:p w14:paraId="147D4FA0" w14:textId="77777777" w:rsidR="00DB6472" w:rsidRPr="005E779E" w:rsidRDefault="00DB647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АВП РФ. Ф. 056. On. 16. П. 34. Д. 14. Л. 21-21 об.</w:t>
      </w:r>
    </w:p>
    <w:p w14:paraId="2664627A" w14:textId="77777777" w:rsidR="00DB6472" w:rsidRPr="005E779E" w:rsidRDefault="00DB6472" w:rsidP="000B7A6C">
      <w:pPr>
        <w:pStyle w:val="rteright"/>
        <w:spacing w:before="0" w:after="0"/>
        <w:jc w:val="both"/>
        <w:rPr>
          <w:color w:val="000000" w:themeColor="text1"/>
          <w:sz w:val="16"/>
          <w:szCs w:val="16"/>
        </w:rPr>
      </w:pPr>
      <w:r w:rsidRPr="005E779E">
        <w:rPr>
          <w:color w:val="000000" w:themeColor="text1"/>
          <w:sz w:val="16"/>
          <w:szCs w:val="16"/>
        </w:rPr>
        <w:t>13 февраля 1931 г.</w:t>
      </w:r>
    </w:p>
    <w:p w14:paraId="7422A262" w14:textId="77777777" w:rsidR="00DB6472" w:rsidRPr="005E779E" w:rsidRDefault="00DB6472" w:rsidP="000B7A6C">
      <w:pPr>
        <w:pStyle w:val="rteright"/>
        <w:spacing w:before="0" w:after="0"/>
        <w:jc w:val="both"/>
        <w:rPr>
          <w:color w:val="000000" w:themeColor="text1"/>
          <w:sz w:val="16"/>
          <w:szCs w:val="16"/>
        </w:rPr>
      </w:pPr>
      <w:r w:rsidRPr="005E779E">
        <w:rPr>
          <w:color w:val="000000" w:themeColor="text1"/>
          <w:sz w:val="16"/>
          <w:szCs w:val="16"/>
        </w:rPr>
        <w:t>Секретно.</w:t>
      </w:r>
    </w:p>
    <w:p w14:paraId="6FBC6F0D" w14:textId="77777777" w:rsidR="00DB6472" w:rsidRPr="005E779E" w:rsidRDefault="00DB6472" w:rsidP="000B7A6C">
      <w:pPr>
        <w:pStyle w:val="ae"/>
        <w:spacing w:before="0" w:after="0"/>
        <w:jc w:val="both"/>
        <w:rPr>
          <w:color w:val="000000" w:themeColor="text1"/>
          <w:sz w:val="16"/>
          <w:szCs w:val="16"/>
        </w:rPr>
      </w:pPr>
      <w:r w:rsidRPr="005E779E">
        <w:rPr>
          <w:color w:val="000000" w:themeColor="text1"/>
          <w:sz w:val="16"/>
          <w:szCs w:val="16"/>
        </w:rPr>
        <w:t>Н.К.И.Д.</w:t>
      </w:r>
    </w:p>
    <w:p w14:paraId="2AFD43D4" w14:textId="77777777" w:rsidR="00DB6472" w:rsidRPr="005E779E" w:rsidRDefault="00DB6472" w:rsidP="000B7A6C">
      <w:pPr>
        <w:pStyle w:val="ae"/>
        <w:spacing w:before="0" w:after="0"/>
        <w:jc w:val="both"/>
        <w:rPr>
          <w:color w:val="000000" w:themeColor="text1"/>
          <w:sz w:val="16"/>
          <w:szCs w:val="16"/>
        </w:rPr>
      </w:pPr>
      <w:r w:rsidRPr="005E779E">
        <w:rPr>
          <w:color w:val="000000" w:themeColor="text1"/>
          <w:sz w:val="16"/>
          <w:szCs w:val="16"/>
        </w:rPr>
        <w:t>ОТДЕЛ ПЕЧАТИ тов. АРЕНСУ</w:t>
      </w:r>
    </w:p>
    <w:p w14:paraId="511FEA77" w14:textId="77777777" w:rsidR="00DB6472" w:rsidRPr="005E779E" w:rsidRDefault="00DB6472" w:rsidP="000B7A6C">
      <w:pPr>
        <w:pStyle w:val="ae"/>
        <w:spacing w:before="0" w:after="0"/>
        <w:jc w:val="both"/>
        <w:rPr>
          <w:color w:val="000000" w:themeColor="text1"/>
          <w:sz w:val="16"/>
          <w:szCs w:val="16"/>
        </w:rPr>
      </w:pPr>
      <w:r w:rsidRPr="005E779E">
        <w:rPr>
          <w:color w:val="000000" w:themeColor="text1"/>
          <w:sz w:val="16"/>
          <w:szCs w:val="16"/>
        </w:rPr>
        <w:t>Уважаемый товарищ,</w:t>
      </w:r>
    </w:p>
    <w:p w14:paraId="5072B7E3" w14:textId="77777777" w:rsidR="00DB6472" w:rsidRPr="005E779E" w:rsidRDefault="00DB6472" w:rsidP="000B7A6C">
      <w:pPr>
        <w:numPr>
          <w:ilvl w:val="0"/>
          <w:numId w:val="8"/>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Перевод стенограммы процесса будет закончен своевременно. Что же касается подписания договора с ВАЛУА, к сожалению у нас представителя «Международной Книги» нет. Считаем целесообразным доверить заключение договора Алексею Алексеевичу Игнатьеву (&lt;...&gt;). С ним еще не договорились, но можно быть уверенным, что он согласится. Пусть Госиздат пришлет доверенность на его имя.</w:t>
      </w:r>
    </w:p>
    <w:p w14:paraId="5C056571" w14:textId="77777777" w:rsidR="00DB6472" w:rsidRPr="005E779E" w:rsidRDefault="00DB6472" w:rsidP="000B7A6C">
      <w:pPr>
        <w:numPr>
          <w:ilvl w:val="0"/>
          <w:numId w:val="8"/>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Прилагаю несколько экз. текста протеста для сбора подписей против интервенции. Дюшен организовала сбор подписей. «Пари Миди» уже напечатала информацию об этом.</w:t>
      </w:r>
    </w:p>
    <w:p w14:paraId="5611820E" w14:textId="77777777" w:rsidR="00DB6472" w:rsidRPr="005E779E" w:rsidRDefault="00DB6472" w:rsidP="000B7A6C">
      <w:pPr>
        <w:numPr>
          <w:ilvl w:val="0"/>
          <w:numId w:val="8"/>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Луиза Вейс согласна опубликовать часть обвинительной речи т. Крыленко. Ей уже сообщено о нашем решении. В одном из ближайших номеров материалы процесса будут опубликованы.</w:t>
      </w:r>
    </w:p>
    <w:p w14:paraId="78B74366" w14:textId="77777777" w:rsidR="00DB6472" w:rsidRPr="005E779E" w:rsidRDefault="00DB6472" w:rsidP="000B7A6C">
      <w:pPr>
        <w:numPr>
          <w:ilvl w:val="0"/>
          <w:numId w:val="8"/>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Расходы на перевод стенограммы и на покупку стенографического отчета в издании Валуа исчерпают все средства особого фонда, поэтому издержки по публикации материалов о процессе в «Эроп Нувелль» должны быть покрыты специальным ассигнованием, которое просим незамедлительно произвести.</w:t>
      </w:r>
    </w:p>
    <w:p w14:paraId="29A1AAF9" w14:textId="77777777" w:rsidR="00DB6472" w:rsidRPr="005E779E" w:rsidRDefault="00DB6472" w:rsidP="000B7A6C">
      <w:pPr>
        <w:numPr>
          <w:ilvl w:val="0"/>
          <w:numId w:val="8"/>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 Позина заканчивает большую статью о Пятилетке для журнала «Знание и Жизнь». Эта же статья в переработанном виде пойдет в «Эроп Нувелль». Тов. Позина поэтому освобождена от составления очередного реферата, — статья нужна срочно.</w:t>
      </w:r>
    </w:p>
    <w:p w14:paraId="3A28E34E" w14:textId="77777777" w:rsidR="00DB6472" w:rsidRPr="005E779E" w:rsidRDefault="00DB6472" w:rsidP="000B7A6C">
      <w:pPr>
        <w:numPr>
          <w:ilvl w:val="0"/>
          <w:numId w:val="8"/>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«Кайе Бле» послан Вам в одном экз. с последней почтой. Посылаем еще 10 экз. Имя составителя — на обложке. Собираем о нем сведения.</w:t>
      </w:r>
    </w:p>
    <w:p w14:paraId="4DA500CD" w14:textId="77777777" w:rsidR="00DB6472" w:rsidRPr="005E779E" w:rsidRDefault="00DB6472" w:rsidP="000B7A6C">
      <w:pPr>
        <w:numPr>
          <w:ilvl w:val="0"/>
          <w:numId w:val="8"/>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Посылаю небольшое письмецо Алланди с конкретизацией вопросов, которые его интересуют.</w:t>
      </w:r>
    </w:p>
    <w:p w14:paraId="4E1C8DAA" w14:textId="77777777" w:rsidR="00DB6472" w:rsidRPr="005E779E" w:rsidRDefault="00DB6472" w:rsidP="000B7A6C">
      <w:pPr>
        <w:numPr>
          <w:ilvl w:val="0"/>
          <w:numId w:val="8"/>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Статью Арагона отказались напечатать все журналы, с которыми мы связаны. Наконец, журнал «Нувелль Аж» согласился пустить статью, однако Арагон категорически отказался иметь дело с этим журналом.</w:t>
      </w:r>
    </w:p>
    <w:p w14:paraId="3873A0C1" w14:textId="77777777" w:rsidR="00DB6472" w:rsidRPr="005E779E" w:rsidRDefault="00DB6472" w:rsidP="000B7A6C">
      <w:pPr>
        <w:numPr>
          <w:ilvl w:val="0"/>
          <w:numId w:val="8"/>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Пришлите документацию, тезисы для статей о так наз. «принудительном» труде в СССР.</w:t>
      </w:r>
    </w:p>
    <w:p w14:paraId="46EAD877" w14:textId="77777777" w:rsidR="00DB6472" w:rsidRPr="005E779E" w:rsidRDefault="00DB6472" w:rsidP="000B7A6C">
      <w:pPr>
        <w:numPr>
          <w:ilvl w:val="0"/>
          <w:numId w:val="8"/>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Книжку Зигфрида посылаем обычной почтой.</w:t>
      </w:r>
    </w:p>
    <w:p w14:paraId="3A7F2A97" w14:textId="77777777" w:rsidR="00DB6472" w:rsidRPr="005E779E" w:rsidRDefault="00DB6472" w:rsidP="000B7A6C">
      <w:pPr>
        <w:pStyle w:val="rtejustify"/>
        <w:spacing w:before="0" w:after="0"/>
        <w:rPr>
          <w:color w:val="000000" w:themeColor="text1"/>
          <w:sz w:val="16"/>
          <w:szCs w:val="16"/>
        </w:rPr>
      </w:pPr>
      <w:r w:rsidRPr="005E779E">
        <w:rPr>
          <w:color w:val="000000" w:themeColor="text1"/>
          <w:sz w:val="16"/>
          <w:szCs w:val="16"/>
        </w:rPr>
        <w:t>С тов. приветом В. Барков</w:t>
      </w:r>
    </w:p>
    <w:p w14:paraId="3B91C922" w14:textId="77777777" w:rsidR="00DB6472" w:rsidRPr="005E779E" w:rsidRDefault="00DB6472" w:rsidP="000B7A6C">
      <w:pPr>
        <w:pStyle w:val="ae"/>
        <w:spacing w:before="0" w:after="0"/>
        <w:jc w:val="both"/>
        <w:rPr>
          <w:color w:val="000000" w:themeColor="text1"/>
          <w:sz w:val="16"/>
          <w:szCs w:val="16"/>
        </w:rPr>
      </w:pPr>
      <w:r w:rsidRPr="005E779E">
        <w:rPr>
          <w:color w:val="000000" w:themeColor="text1"/>
          <w:sz w:val="16"/>
          <w:szCs w:val="16"/>
        </w:rPr>
        <w:t>ПРИЛОЖЕНИЕ: 1) 10 экз. «протеста», 2) письмо Алланди.</w:t>
      </w:r>
    </w:p>
    <w:p w14:paraId="62DDF4DE" w14:textId="77777777" w:rsidR="00DB6472" w:rsidRPr="005E779E" w:rsidRDefault="00DB6472" w:rsidP="000B7A6C">
      <w:pPr>
        <w:pStyle w:val="ae"/>
        <w:spacing w:before="0" w:after="0"/>
        <w:jc w:val="both"/>
        <w:rPr>
          <w:color w:val="000000" w:themeColor="text1"/>
          <w:sz w:val="16"/>
          <w:szCs w:val="16"/>
        </w:rPr>
      </w:pPr>
      <w:r w:rsidRPr="005E779E">
        <w:rPr>
          <w:rStyle w:val="af0"/>
          <w:i w:val="0"/>
          <w:color w:val="000000" w:themeColor="text1"/>
          <w:sz w:val="16"/>
          <w:szCs w:val="16"/>
        </w:rPr>
        <w:t>АВП РФ. Ф. 056. On. 16. П. 34. Д. 14. Л. 21-21 об. Машинописный подлинник, подпись Баркова — автограф. На Л. 21 вверху справа напечатано «Париж, 13.11.1931 г.», ниже исходящий номер «№ 75/с» (от руки). Гриф секретности машинописью. Вверху листа слева написаны от руки карандашом входящий номер и дата получения документа «18/II-31 г.», ниже «К делу. 25/II» (подпись-росчерк, неразборчиво). На Л. 21 об. рядом с пунктом 10 (о книге Зигфрида) рукописная помета «не получено &lt;Аре&gt;нс». Внизу листа слева делопроизводственная помета машинописью (столбцом ) «2 экз.: 1 — т. Аренсу 1 — в дело» (18832).</w:t>
      </w:r>
    </w:p>
    <w:p w14:paraId="7807C87B" w14:textId="77777777" w:rsidR="00DB6472" w:rsidRPr="005E779E" w:rsidRDefault="00DB6472" w:rsidP="000B7A6C">
      <w:pPr>
        <w:spacing w:after="0" w:line="240" w:lineRule="auto"/>
        <w:jc w:val="both"/>
        <w:rPr>
          <w:rFonts w:ascii="Times New Roman" w:hAnsi="Times New Roman"/>
          <w:color w:val="000000" w:themeColor="text1"/>
          <w:sz w:val="16"/>
          <w:szCs w:val="16"/>
        </w:rPr>
      </w:pPr>
    </w:p>
    <w:p w14:paraId="5DA2FCBC" w14:textId="77777777" w:rsidR="00DB6472" w:rsidRPr="005E779E" w:rsidRDefault="00DB6472"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13 февраля 1931 г.</w:t>
      </w:r>
    </w:p>
    <w:p w14:paraId="50C6A16C" w14:textId="77777777" w:rsidR="00DB6472" w:rsidRPr="005E779E" w:rsidRDefault="00DB6472"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Письмо Д. Г. Штерна Ж. Л. Аренсу с информацией о проделанной работе по освещению процесса «Промпартии» в германской печати. 13 февраля 1931 г.</w:t>
      </w:r>
    </w:p>
    <w:p w14:paraId="6F2B8000" w14:textId="77777777" w:rsidR="00DB6472" w:rsidRPr="005E779E" w:rsidRDefault="00DB6472"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Источник: </w:t>
      </w:r>
    </w:p>
    <w:p w14:paraId="72DA830C" w14:textId="77777777" w:rsidR="00DB6472" w:rsidRPr="005E779E" w:rsidRDefault="00DB647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3E257B9" w14:textId="77777777" w:rsidR="00DB6472" w:rsidRPr="005E779E" w:rsidRDefault="00DB6472" w:rsidP="000B7A6C">
      <w:pPr>
        <w:pStyle w:val="rteright"/>
        <w:spacing w:before="0" w:after="0"/>
        <w:jc w:val="both"/>
        <w:rPr>
          <w:color w:val="000000" w:themeColor="text1"/>
          <w:sz w:val="16"/>
          <w:szCs w:val="16"/>
        </w:rPr>
      </w:pPr>
      <w:r w:rsidRPr="005E779E">
        <w:rPr>
          <w:color w:val="000000" w:themeColor="text1"/>
          <w:sz w:val="16"/>
          <w:szCs w:val="16"/>
        </w:rPr>
        <w:t>13 февраля 1931 г.</w:t>
      </w:r>
    </w:p>
    <w:p w14:paraId="5D4C317E" w14:textId="77777777" w:rsidR="00DB6472" w:rsidRPr="005E779E" w:rsidRDefault="00DB6472" w:rsidP="000B7A6C">
      <w:pPr>
        <w:pStyle w:val="rteright"/>
        <w:spacing w:before="0" w:after="0"/>
        <w:jc w:val="both"/>
        <w:rPr>
          <w:color w:val="000000" w:themeColor="text1"/>
          <w:sz w:val="16"/>
          <w:szCs w:val="16"/>
        </w:rPr>
      </w:pPr>
      <w:r w:rsidRPr="005E779E">
        <w:rPr>
          <w:color w:val="000000" w:themeColor="text1"/>
          <w:sz w:val="16"/>
          <w:szCs w:val="16"/>
        </w:rPr>
        <w:t>Секретно</w:t>
      </w:r>
    </w:p>
    <w:p w14:paraId="4F138E15" w14:textId="77777777" w:rsidR="00DB6472" w:rsidRPr="005E779E" w:rsidRDefault="00DB6472" w:rsidP="000B7A6C">
      <w:pPr>
        <w:pStyle w:val="ae"/>
        <w:spacing w:before="0" w:after="0"/>
        <w:jc w:val="both"/>
        <w:rPr>
          <w:color w:val="000000" w:themeColor="text1"/>
          <w:sz w:val="16"/>
          <w:szCs w:val="16"/>
        </w:rPr>
      </w:pPr>
      <w:r w:rsidRPr="005E779E">
        <w:rPr>
          <w:color w:val="000000" w:themeColor="text1"/>
          <w:sz w:val="16"/>
          <w:szCs w:val="16"/>
        </w:rPr>
        <w:t>ОТДЕЛ ПЕЧАТИ НКИД</w:t>
      </w:r>
    </w:p>
    <w:p w14:paraId="3C3E9744" w14:textId="77777777" w:rsidR="00DB6472" w:rsidRPr="005E779E" w:rsidRDefault="00DB6472" w:rsidP="000B7A6C">
      <w:pPr>
        <w:pStyle w:val="ae"/>
        <w:spacing w:before="0" w:after="0"/>
        <w:jc w:val="both"/>
        <w:rPr>
          <w:color w:val="000000" w:themeColor="text1"/>
          <w:sz w:val="16"/>
          <w:szCs w:val="16"/>
        </w:rPr>
      </w:pPr>
      <w:r w:rsidRPr="005E779E">
        <w:rPr>
          <w:color w:val="000000" w:themeColor="text1"/>
          <w:sz w:val="16"/>
          <w:szCs w:val="16"/>
        </w:rPr>
        <w:t>тов. Аренсу</w:t>
      </w:r>
    </w:p>
    <w:p w14:paraId="483DEB29" w14:textId="77777777" w:rsidR="00DB6472" w:rsidRPr="005E779E" w:rsidRDefault="00DB6472" w:rsidP="000B7A6C">
      <w:pPr>
        <w:pStyle w:val="ae"/>
        <w:spacing w:before="0" w:after="0"/>
        <w:jc w:val="both"/>
        <w:rPr>
          <w:color w:val="000000" w:themeColor="text1"/>
          <w:sz w:val="16"/>
          <w:szCs w:val="16"/>
        </w:rPr>
      </w:pPr>
      <w:r w:rsidRPr="005E779E">
        <w:rPr>
          <w:color w:val="000000" w:themeColor="text1"/>
          <w:sz w:val="16"/>
          <w:szCs w:val="16"/>
        </w:rPr>
        <w:t>Копии: т. Литвинову, Крестинскому, Штейну</w:t>
      </w:r>
    </w:p>
    <w:p w14:paraId="0A736D79" w14:textId="77777777" w:rsidR="00DB6472" w:rsidRPr="005E779E" w:rsidRDefault="00DB6472" w:rsidP="000B7A6C">
      <w:pPr>
        <w:pStyle w:val="ae"/>
        <w:spacing w:before="0" w:after="0"/>
        <w:jc w:val="both"/>
        <w:rPr>
          <w:color w:val="000000" w:themeColor="text1"/>
          <w:sz w:val="16"/>
          <w:szCs w:val="16"/>
        </w:rPr>
      </w:pPr>
      <w:r w:rsidRPr="005E779E">
        <w:rPr>
          <w:color w:val="000000" w:themeColor="text1"/>
          <w:sz w:val="16"/>
          <w:szCs w:val="16"/>
        </w:rPr>
        <w:t>Уважаемый Товарищ,</w:t>
      </w:r>
    </w:p>
    <w:p w14:paraId="093B6BD0" w14:textId="77777777" w:rsidR="00DB6472" w:rsidRPr="005E779E" w:rsidRDefault="00DB6472" w:rsidP="000B7A6C">
      <w:pPr>
        <w:pStyle w:val="rtejustify"/>
        <w:spacing w:before="0" w:after="0"/>
        <w:rPr>
          <w:color w:val="000000" w:themeColor="text1"/>
          <w:sz w:val="16"/>
          <w:szCs w:val="16"/>
        </w:rPr>
      </w:pPr>
      <w:r w:rsidRPr="005E779E">
        <w:rPr>
          <w:color w:val="000000" w:themeColor="text1"/>
          <w:sz w:val="16"/>
          <w:szCs w:val="16"/>
        </w:rPr>
        <w:t>Согласно Вашему предложению даю краткую сводку всего того, что было достигнуто нами в области процесса «промпартии»[,] причем на попытках, окончившихся безрезультатно, я не останавливаюсь:</w:t>
      </w:r>
    </w:p>
    <w:p w14:paraId="47A3CE86" w14:textId="1C506917" w:rsidR="00DB6472" w:rsidRPr="005E779E" w:rsidRDefault="00DB6472" w:rsidP="000B7A6C">
      <w:pPr>
        <w:pStyle w:val="rtejustify"/>
        <w:spacing w:before="0" w:after="0"/>
        <w:rPr>
          <w:color w:val="000000" w:themeColor="text1"/>
          <w:sz w:val="16"/>
          <w:szCs w:val="16"/>
        </w:rPr>
      </w:pPr>
      <w:r w:rsidRPr="005E779E">
        <w:rPr>
          <w:color w:val="000000" w:themeColor="text1"/>
          <w:sz w:val="16"/>
          <w:szCs w:val="16"/>
        </w:rPr>
        <w:t>1.</w:t>
      </w:r>
      <w:r w:rsidR="00FE094E">
        <w:rPr>
          <w:color w:val="000000" w:themeColor="text1"/>
          <w:sz w:val="16"/>
          <w:szCs w:val="16"/>
        </w:rPr>
        <w:t xml:space="preserve"> </w:t>
      </w:r>
      <w:r w:rsidRPr="005E779E">
        <w:rPr>
          <w:color w:val="000000" w:themeColor="text1"/>
          <w:sz w:val="16"/>
          <w:szCs w:val="16"/>
        </w:rPr>
        <w:t xml:space="preserve"> Нами была подготовлена поездка Гака, статьи которого в «Дейтче Тагесцейтунг» имели безусловно положительный эффект.</w:t>
      </w:r>
    </w:p>
    <w:p w14:paraId="7236BADA" w14:textId="46BC4D34" w:rsidR="00DB6472" w:rsidRPr="005E779E" w:rsidRDefault="00DB6472" w:rsidP="000B7A6C">
      <w:pPr>
        <w:pStyle w:val="rtejustify"/>
        <w:spacing w:before="0" w:after="0"/>
        <w:rPr>
          <w:color w:val="000000" w:themeColor="text1"/>
          <w:sz w:val="16"/>
          <w:szCs w:val="16"/>
        </w:rPr>
      </w:pPr>
      <w:r w:rsidRPr="005E779E">
        <w:rPr>
          <w:color w:val="000000" w:themeColor="text1"/>
          <w:sz w:val="16"/>
          <w:szCs w:val="16"/>
        </w:rPr>
        <w:t>2.</w:t>
      </w:r>
      <w:r w:rsidR="00FE094E">
        <w:rPr>
          <w:color w:val="000000" w:themeColor="text1"/>
          <w:sz w:val="16"/>
          <w:szCs w:val="16"/>
        </w:rPr>
        <w:t xml:space="preserve"> </w:t>
      </w:r>
      <w:r w:rsidRPr="005E779E">
        <w:rPr>
          <w:color w:val="000000" w:themeColor="text1"/>
          <w:sz w:val="16"/>
          <w:szCs w:val="16"/>
        </w:rPr>
        <w:t xml:space="preserve"> Аналогичное относится к Вейнбергу, давшему три корреспонденции в «Дорт[мундер] Ген[ераль] Анц[ейгер]» и уделяющему место процессу в печатающейся теперь серии статей.</w:t>
      </w:r>
    </w:p>
    <w:p w14:paraId="38AB24AC" w14:textId="04A355BF" w:rsidR="00DB6472" w:rsidRPr="005E779E" w:rsidRDefault="00DB6472" w:rsidP="000B7A6C">
      <w:pPr>
        <w:pStyle w:val="rtejustify"/>
        <w:spacing w:before="0" w:after="0"/>
        <w:rPr>
          <w:color w:val="000000" w:themeColor="text1"/>
          <w:sz w:val="16"/>
          <w:szCs w:val="16"/>
        </w:rPr>
      </w:pPr>
      <w:r w:rsidRPr="005E779E">
        <w:rPr>
          <w:color w:val="000000" w:themeColor="text1"/>
          <w:sz w:val="16"/>
          <w:szCs w:val="16"/>
        </w:rPr>
        <w:t>3.</w:t>
      </w:r>
      <w:r w:rsidR="00FE094E">
        <w:rPr>
          <w:color w:val="000000" w:themeColor="text1"/>
          <w:sz w:val="16"/>
          <w:szCs w:val="16"/>
        </w:rPr>
        <w:t xml:space="preserve"> </w:t>
      </w:r>
      <w:r w:rsidRPr="005E779E">
        <w:rPr>
          <w:color w:val="000000" w:themeColor="text1"/>
          <w:sz w:val="16"/>
          <w:szCs w:val="16"/>
        </w:rPr>
        <w:t xml:space="preserve"> Подготовлена к изданию брошюра Вейнберга, заключительная часть которой посвящена процессу.</w:t>
      </w:r>
    </w:p>
    <w:p w14:paraId="18AAAE7B" w14:textId="4027B949" w:rsidR="00DB6472" w:rsidRPr="005E779E" w:rsidRDefault="00DB6472" w:rsidP="000B7A6C">
      <w:pPr>
        <w:pStyle w:val="rtejustify"/>
        <w:spacing w:before="0" w:after="0"/>
        <w:rPr>
          <w:color w:val="000000" w:themeColor="text1"/>
          <w:sz w:val="16"/>
          <w:szCs w:val="16"/>
        </w:rPr>
      </w:pPr>
      <w:r w:rsidRPr="005E779E">
        <w:rPr>
          <w:color w:val="000000" w:themeColor="text1"/>
          <w:sz w:val="16"/>
          <w:szCs w:val="16"/>
        </w:rPr>
        <w:t>4.</w:t>
      </w:r>
      <w:r w:rsidR="00FE094E">
        <w:rPr>
          <w:color w:val="000000" w:themeColor="text1"/>
          <w:sz w:val="16"/>
          <w:szCs w:val="16"/>
        </w:rPr>
        <w:t xml:space="preserve"> </w:t>
      </w:r>
      <w:r w:rsidRPr="005E779E">
        <w:rPr>
          <w:color w:val="000000" w:themeColor="text1"/>
          <w:sz w:val="16"/>
          <w:szCs w:val="16"/>
        </w:rPr>
        <w:t xml:space="preserve"> Пишется роман, к изданию которого уже предприняты предварительные шаги. Затяжка произошла не по нашей вине, т. к. окончательное одобрение было получено нами лишь в начале этого месяца. Роман, вероятнее всего, будет также помещен в какой-нибудь правой газете в качестве фельетона.</w:t>
      </w:r>
    </w:p>
    <w:p w14:paraId="66F46FE9" w14:textId="340D4345" w:rsidR="00DB6472" w:rsidRPr="005E779E" w:rsidRDefault="00DB6472" w:rsidP="000B7A6C">
      <w:pPr>
        <w:pStyle w:val="rtejustify"/>
        <w:spacing w:before="0" w:after="0"/>
        <w:rPr>
          <w:color w:val="000000" w:themeColor="text1"/>
          <w:sz w:val="16"/>
          <w:szCs w:val="16"/>
        </w:rPr>
      </w:pPr>
      <w:r w:rsidRPr="005E779E">
        <w:rPr>
          <w:color w:val="000000" w:themeColor="text1"/>
          <w:sz w:val="16"/>
          <w:szCs w:val="16"/>
        </w:rPr>
        <w:t>5.</w:t>
      </w:r>
      <w:r w:rsidR="00FE094E">
        <w:rPr>
          <w:color w:val="000000" w:themeColor="text1"/>
          <w:sz w:val="16"/>
          <w:szCs w:val="16"/>
        </w:rPr>
        <w:t xml:space="preserve"> </w:t>
      </w:r>
      <w:r w:rsidRPr="005E779E">
        <w:rPr>
          <w:color w:val="000000" w:themeColor="text1"/>
          <w:sz w:val="16"/>
          <w:szCs w:val="16"/>
        </w:rPr>
        <w:t xml:space="preserve"> В мартовском номере журнала «Ди Тат» будет напечатана статья Германикуса, в которой центральное место занимает процесс «промпартии».</w:t>
      </w:r>
    </w:p>
    <w:p w14:paraId="4A762592" w14:textId="0580904A" w:rsidR="00DB6472" w:rsidRPr="005E779E" w:rsidRDefault="00DB6472" w:rsidP="000B7A6C">
      <w:pPr>
        <w:pStyle w:val="rtejustify"/>
        <w:spacing w:before="0" w:after="0"/>
        <w:rPr>
          <w:color w:val="000000" w:themeColor="text1"/>
          <w:sz w:val="16"/>
          <w:szCs w:val="16"/>
        </w:rPr>
      </w:pPr>
      <w:r w:rsidRPr="005E779E">
        <w:rPr>
          <w:color w:val="000000" w:themeColor="text1"/>
          <w:sz w:val="16"/>
          <w:szCs w:val="16"/>
        </w:rPr>
        <w:t>6.</w:t>
      </w:r>
      <w:r w:rsidR="00FE094E">
        <w:rPr>
          <w:color w:val="000000" w:themeColor="text1"/>
          <w:sz w:val="16"/>
          <w:szCs w:val="16"/>
        </w:rPr>
        <w:t xml:space="preserve"> </w:t>
      </w:r>
      <w:r w:rsidRPr="005E779E">
        <w:rPr>
          <w:color w:val="000000" w:themeColor="text1"/>
          <w:sz w:val="16"/>
          <w:szCs w:val="16"/>
        </w:rPr>
        <w:t xml:space="preserve"> Журнал «Дейтче Републик» поместил весьма положительную статью, пущенную по нашему каналу.</w:t>
      </w:r>
    </w:p>
    <w:p w14:paraId="318C2968" w14:textId="28BC78EC" w:rsidR="00DB6472" w:rsidRPr="005E779E" w:rsidRDefault="00DB6472" w:rsidP="000B7A6C">
      <w:pPr>
        <w:pStyle w:val="rtejustify"/>
        <w:spacing w:before="0" w:after="0"/>
        <w:rPr>
          <w:color w:val="000000" w:themeColor="text1"/>
          <w:sz w:val="16"/>
          <w:szCs w:val="16"/>
        </w:rPr>
      </w:pPr>
      <w:r w:rsidRPr="005E779E">
        <w:rPr>
          <w:color w:val="000000" w:themeColor="text1"/>
          <w:sz w:val="16"/>
          <w:szCs w:val="16"/>
        </w:rPr>
        <w:t>7.</w:t>
      </w:r>
      <w:r w:rsidR="00FE094E">
        <w:rPr>
          <w:color w:val="000000" w:themeColor="text1"/>
          <w:sz w:val="16"/>
          <w:szCs w:val="16"/>
        </w:rPr>
        <w:t xml:space="preserve"> </w:t>
      </w:r>
      <w:r w:rsidRPr="005E779E">
        <w:rPr>
          <w:color w:val="000000" w:themeColor="text1"/>
          <w:sz w:val="16"/>
          <w:szCs w:val="16"/>
        </w:rPr>
        <w:t xml:space="preserve"> Статья о процессе была напечатана в правом органе «Дейтче Форвертс».</w:t>
      </w:r>
    </w:p>
    <w:p w14:paraId="691D4CAD" w14:textId="47F67F07" w:rsidR="00DB6472" w:rsidRPr="005E779E" w:rsidRDefault="00DB6472" w:rsidP="000B7A6C">
      <w:pPr>
        <w:pStyle w:val="rtejustify"/>
        <w:spacing w:before="0" w:after="0"/>
        <w:rPr>
          <w:color w:val="000000" w:themeColor="text1"/>
          <w:sz w:val="16"/>
          <w:szCs w:val="16"/>
        </w:rPr>
      </w:pPr>
      <w:r w:rsidRPr="005E779E">
        <w:rPr>
          <w:color w:val="000000" w:themeColor="text1"/>
          <w:sz w:val="16"/>
          <w:szCs w:val="16"/>
        </w:rPr>
        <w:t>8.</w:t>
      </w:r>
      <w:r w:rsidR="00FE094E">
        <w:rPr>
          <w:color w:val="000000" w:themeColor="text1"/>
          <w:sz w:val="16"/>
          <w:szCs w:val="16"/>
        </w:rPr>
        <w:t xml:space="preserve"> </w:t>
      </w:r>
      <w:r w:rsidRPr="005E779E">
        <w:rPr>
          <w:color w:val="000000" w:themeColor="text1"/>
          <w:sz w:val="16"/>
          <w:szCs w:val="16"/>
        </w:rPr>
        <w:t xml:space="preserve"> Журнал «Цейтшрифт фюр политик» поместит статью тов. Луначарского (в ближайшем номере). Статья первоначально предназначалась т. Виноградовым для [«]Ост Еуропы[»] и с его согласия будет напечатана в журнале Грабовского.</w:t>
      </w:r>
    </w:p>
    <w:p w14:paraId="24137725" w14:textId="3E64B195" w:rsidR="00DB6472" w:rsidRPr="005E779E" w:rsidRDefault="00DB6472" w:rsidP="000B7A6C">
      <w:pPr>
        <w:pStyle w:val="rtejustify"/>
        <w:spacing w:before="0" w:after="0"/>
        <w:rPr>
          <w:color w:val="000000" w:themeColor="text1"/>
          <w:sz w:val="16"/>
          <w:szCs w:val="16"/>
        </w:rPr>
      </w:pPr>
      <w:r w:rsidRPr="005E779E">
        <w:rPr>
          <w:color w:val="000000" w:themeColor="text1"/>
          <w:sz w:val="16"/>
          <w:szCs w:val="16"/>
        </w:rPr>
        <w:t>9.</w:t>
      </w:r>
      <w:r w:rsidR="00FE094E">
        <w:rPr>
          <w:color w:val="000000" w:themeColor="text1"/>
          <w:sz w:val="16"/>
          <w:szCs w:val="16"/>
        </w:rPr>
        <w:t xml:space="preserve"> </w:t>
      </w:r>
      <w:r w:rsidRPr="005E779E">
        <w:rPr>
          <w:color w:val="000000" w:themeColor="text1"/>
          <w:sz w:val="16"/>
          <w:szCs w:val="16"/>
        </w:rPr>
        <w:t xml:space="preserve"> Одновременно следует отметить, что во время и после процесса мною была произведена большая работа по индивидуальному разъяснению смысла процесса ряду серьезных журналистов.</w:t>
      </w:r>
    </w:p>
    <w:p w14:paraId="19CE884E" w14:textId="113E1AF6" w:rsidR="00DB6472" w:rsidRPr="005E779E" w:rsidRDefault="00DB6472" w:rsidP="000B7A6C">
      <w:pPr>
        <w:pStyle w:val="rtejustify"/>
        <w:spacing w:before="0" w:after="0"/>
        <w:rPr>
          <w:color w:val="000000" w:themeColor="text1"/>
          <w:sz w:val="16"/>
          <w:szCs w:val="16"/>
        </w:rPr>
      </w:pPr>
      <w:r w:rsidRPr="005E779E">
        <w:rPr>
          <w:color w:val="000000" w:themeColor="text1"/>
          <w:sz w:val="16"/>
          <w:szCs w:val="16"/>
        </w:rPr>
        <w:t>10.</w:t>
      </w:r>
      <w:r w:rsidR="00FE094E">
        <w:rPr>
          <w:color w:val="000000" w:themeColor="text1"/>
          <w:sz w:val="16"/>
          <w:szCs w:val="16"/>
        </w:rPr>
        <w:t xml:space="preserve"> </w:t>
      </w:r>
      <w:r w:rsidRPr="005E779E">
        <w:rPr>
          <w:color w:val="000000" w:themeColor="text1"/>
          <w:sz w:val="16"/>
          <w:szCs w:val="16"/>
        </w:rPr>
        <w:t xml:space="preserve"> Параллельно с этим необходимо отметить, что материалы, полученные нами из Москвы[,] прибыли с большим опозданием и вследствие своего сухого и академического характера не могли быть нами использованы.</w:t>
      </w:r>
    </w:p>
    <w:p w14:paraId="234FE537" w14:textId="77777777" w:rsidR="00DB6472" w:rsidRPr="005E779E" w:rsidRDefault="00DB6472" w:rsidP="000B7A6C">
      <w:pPr>
        <w:pStyle w:val="rtejustify"/>
        <w:spacing w:before="0" w:after="0"/>
        <w:rPr>
          <w:color w:val="000000" w:themeColor="text1"/>
          <w:sz w:val="16"/>
          <w:szCs w:val="16"/>
        </w:rPr>
      </w:pPr>
      <w:r w:rsidRPr="005E779E">
        <w:rPr>
          <w:color w:val="000000" w:themeColor="text1"/>
          <w:sz w:val="16"/>
          <w:szCs w:val="16"/>
        </w:rPr>
        <w:t>С товарищеским приветом</w:t>
      </w:r>
    </w:p>
    <w:p w14:paraId="4B193064" w14:textId="77777777" w:rsidR="00DB6472" w:rsidRPr="005E779E" w:rsidRDefault="00DB6472" w:rsidP="000B7A6C">
      <w:pPr>
        <w:pStyle w:val="rtejustify"/>
        <w:spacing w:before="0" w:after="0"/>
        <w:rPr>
          <w:color w:val="000000" w:themeColor="text1"/>
          <w:sz w:val="16"/>
          <w:szCs w:val="16"/>
        </w:rPr>
      </w:pPr>
      <w:r w:rsidRPr="005E779E">
        <w:rPr>
          <w:color w:val="000000" w:themeColor="text1"/>
          <w:sz w:val="16"/>
          <w:szCs w:val="16"/>
        </w:rPr>
        <w:t>Д. Штерн</w:t>
      </w:r>
    </w:p>
    <w:p w14:paraId="20625C20" w14:textId="77777777" w:rsidR="00DB6472" w:rsidRPr="005E779E" w:rsidRDefault="00DB6472" w:rsidP="000B7A6C">
      <w:pPr>
        <w:pStyle w:val="ae"/>
        <w:spacing w:before="0" w:after="0"/>
        <w:jc w:val="both"/>
        <w:rPr>
          <w:color w:val="000000" w:themeColor="text1"/>
          <w:sz w:val="16"/>
          <w:szCs w:val="16"/>
        </w:rPr>
      </w:pPr>
      <w:r w:rsidRPr="005E779E">
        <w:rPr>
          <w:rStyle w:val="af0"/>
          <w:i w:val="0"/>
          <w:color w:val="000000" w:themeColor="text1"/>
          <w:sz w:val="16"/>
          <w:szCs w:val="16"/>
        </w:rPr>
        <w:t>АВП РФ. Ф. 056. On. 16. П. 33. Д. 8. Л. 148. Машинописный подлинник на бланке Полпредства СССР в Германии, подпись Штерна — автограф. Гриф секретности и дата «Берлин, 13 февраля 31 г.» машинописью, исходящий «№ 299» от руки в графе бланка. Вверху листа написаны от руки входящий номер и дата получения документа «16/11-31 г.», подпись-росчерк Миронова. На поле слева вверху рукописная помета «Проц[есс]» и нечитаемая резолюция Аренса (?) карандашом напротив последнего абзаца письма (18897).</w:t>
      </w:r>
    </w:p>
    <w:p w14:paraId="7874EB66" w14:textId="77777777" w:rsidR="00DB6472" w:rsidRPr="005E779E" w:rsidRDefault="00DB6472" w:rsidP="000B7A6C">
      <w:pPr>
        <w:spacing w:after="0" w:line="240" w:lineRule="auto"/>
        <w:jc w:val="both"/>
        <w:rPr>
          <w:rFonts w:ascii="Times New Roman" w:hAnsi="Times New Roman"/>
          <w:color w:val="000000" w:themeColor="text1"/>
          <w:sz w:val="16"/>
          <w:szCs w:val="16"/>
        </w:rPr>
      </w:pPr>
    </w:p>
    <w:p w14:paraId="3877959A" w14:textId="77777777" w:rsidR="00DB6472" w:rsidRPr="005E779E" w:rsidRDefault="00DB6472"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13 февраля 1931 г.</w:t>
      </w:r>
    </w:p>
    <w:p w14:paraId="5EB2FE00" w14:textId="77777777" w:rsidR="00DB6472" w:rsidRPr="005E779E" w:rsidRDefault="00DB6472"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Письмо Д. Г. Штерна Ж. Л. Аренсу о политических правках текста брошюры Вейнберга. 13 февраля 1931 г.</w:t>
      </w:r>
    </w:p>
    <w:p w14:paraId="13C723AA" w14:textId="77777777" w:rsidR="00DB6472" w:rsidRPr="005E779E" w:rsidRDefault="00DB6472"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Источник: </w:t>
      </w:r>
    </w:p>
    <w:p w14:paraId="59AFE62E" w14:textId="77777777" w:rsidR="00DB6472" w:rsidRPr="005E779E" w:rsidRDefault="00DB647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C1E601B" w14:textId="77777777" w:rsidR="00DB6472" w:rsidRPr="005E779E" w:rsidRDefault="00DB6472" w:rsidP="000B7A6C">
      <w:pPr>
        <w:pStyle w:val="rteright"/>
        <w:spacing w:before="0" w:after="0"/>
        <w:jc w:val="both"/>
        <w:rPr>
          <w:color w:val="000000" w:themeColor="text1"/>
          <w:sz w:val="16"/>
          <w:szCs w:val="16"/>
        </w:rPr>
      </w:pPr>
      <w:r w:rsidRPr="005E779E">
        <w:rPr>
          <w:color w:val="000000" w:themeColor="text1"/>
          <w:sz w:val="16"/>
          <w:szCs w:val="16"/>
        </w:rPr>
        <w:t>13 февраля 1931 г.</w:t>
      </w:r>
    </w:p>
    <w:p w14:paraId="4459CD24" w14:textId="77777777" w:rsidR="00DB6472" w:rsidRPr="005E779E" w:rsidRDefault="00DB6472" w:rsidP="000B7A6C">
      <w:pPr>
        <w:pStyle w:val="rteright"/>
        <w:spacing w:before="0" w:after="0"/>
        <w:jc w:val="both"/>
        <w:rPr>
          <w:color w:val="000000" w:themeColor="text1"/>
          <w:sz w:val="16"/>
          <w:szCs w:val="16"/>
        </w:rPr>
      </w:pPr>
      <w:r w:rsidRPr="005E779E">
        <w:rPr>
          <w:color w:val="000000" w:themeColor="text1"/>
          <w:sz w:val="16"/>
          <w:szCs w:val="16"/>
        </w:rPr>
        <w:t>Секретно</w:t>
      </w:r>
    </w:p>
    <w:p w14:paraId="441FB60B" w14:textId="77777777" w:rsidR="00DB6472" w:rsidRPr="005E779E" w:rsidRDefault="00DB6472" w:rsidP="000B7A6C">
      <w:pPr>
        <w:pStyle w:val="ae"/>
        <w:spacing w:before="0" w:after="0"/>
        <w:jc w:val="both"/>
        <w:rPr>
          <w:color w:val="000000" w:themeColor="text1"/>
          <w:sz w:val="16"/>
          <w:szCs w:val="16"/>
        </w:rPr>
      </w:pPr>
      <w:r w:rsidRPr="005E779E">
        <w:rPr>
          <w:color w:val="000000" w:themeColor="text1"/>
          <w:sz w:val="16"/>
          <w:szCs w:val="16"/>
        </w:rPr>
        <w:t>ОТДЕЛ ПЕЧАТИ НКИД</w:t>
      </w:r>
    </w:p>
    <w:p w14:paraId="0F97A748" w14:textId="77777777" w:rsidR="00DB6472" w:rsidRPr="005E779E" w:rsidRDefault="00DB6472" w:rsidP="000B7A6C">
      <w:pPr>
        <w:pStyle w:val="ae"/>
        <w:spacing w:before="0" w:after="0"/>
        <w:jc w:val="both"/>
        <w:rPr>
          <w:color w:val="000000" w:themeColor="text1"/>
          <w:sz w:val="16"/>
          <w:szCs w:val="16"/>
        </w:rPr>
      </w:pPr>
      <w:r w:rsidRPr="005E779E">
        <w:rPr>
          <w:color w:val="000000" w:themeColor="text1"/>
          <w:sz w:val="16"/>
          <w:szCs w:val="16"/>
        </w:rPr>
        <w:t>тов. Аренсу</w:t>
      </w:r>
    </w:p>
    <w:p w14:paraId="47F91C1E" w14:textId="77777777" w:rsidR="00DB6472" w:rsidRPr="005E779E" w:rsidRDefault="00DB6472" w:rsidP="000B7A6C">
      <w:pPr>
        <w:pStyle w:val="ae"/>
        <w:spacing w:before="0" w:after="0"/>
        <w:jc w:val="both"/>
        <w:rPr>
          <w:color w:val="000000" w:themeColor="text1"/>
          <w:sz w:val="16"/>
          <w:szCs w:val="16"/>
        </w:rPr>
      </w:pPr>
      <w:r w:rsidRPr="005E779E">
        <w:rPr>
          <w:color w:val="000000" w:themeColor="text1"/>
          <w:sz w:val="16"/>
          <w:szCs w:val="16"/>
        </w:rPr>
        <w:t>Копия: т. Крестинскому </w:t>
      </w:r>
    </w:p>
    <w:p w14:paraId="3AB8961F" w14:textId="77777777" w:rsidR="00DB6472" w:rsidRPr="005E779E" w:rsidRDefault="00DB6472" w:rsidP="000B7A6C">
      <w:pPr>
        <w:pStyle w:val="ae"/>
        <w:spacing w:before="0" w:after="0"/>
        <w:jc w:val="both"/>
        <w:rPr>
          <w:color w:val="000000" w:themeColor="text1"/>
          <w:sz w:val="16"/>
          <w:szCs w:val="16"/>
        </w:rPr>
      </w:pPr>
      <w:r w:rsidRPr="005E779E">
        <w:rPr>
          <w:color w:val="000000" w:themeColor="text1"/>
          <w:sz w:val="16"/>
          <w:szCs w:val="16"/>
        </w:rPr>
        <w:t>Уважаемый Товарищ,</w:t>
      </w:r>
    </w:p>
    <w:p w14:paraId="5663FA54" w14:textId="77777777" w:rsidR="00DB6472" w:rsidRPr="005E779E" w:rsidRDefault="00DB6472" w:rsidP="000B7A6C">
      <w:pPr>
        <w:pStyle w:val="rtejustify"/>
        <w:spacing w:before="0" w:after="0"/>
        <w:rPr>
          <w:color w:val="000000" w:themeColor="text1"/>
          <w:sz w:val="16"/>
          <w:szCs w:val="16"/>
        </w:rPr>
      </w:pPr>
      <w:r w:rsidRPr="005E779E">
        <w:rPr>
          <w:color w:val="000000" w:themeColor="text1"/>
          <w:sz w:val="16"/>
          <w:szCs w:val="16"/>
        </w:rPr>
        <w:t>Брошюра Вейнберга уже начинает принимать конкретный характер. В[ейнберг] в первую очередь помещает серию статей в «Дортмундер Генераль Анцейгер», причем брошюра явится несколько расширенным воспроизведением этой серии. Манускрипт брошюры находится у меня в руках и пересылается Вам с этой почтой. Манускрипт передан мне самим В[ейнбергом], сегодня приехавшим в Берлин. Об общей структуре брошюры у меня была с ним договоренность и брошюра в общем удовлетворительна. Первые ее главы описывают советские бытовые условия в достаточно мрачных красках, однако, я согласен с В[ейнбергом], что в противном случае брошюра была бы заподозрена в тенденциозности.</w:t>
      </w:r>
    </w:p>
    <w:p w14:paraId="548744E7" w14:textId="77777777" w:rsidR="00DB6472" w:rsidRPr="005E779E" w:rsidRDefault="00DB6472" w:rsidP="000B7A6C">
      <w:pPr>
        <w:pStyle w:val="rtejustify"/>
        <w:spacing w:before="0" w:after="0"/>
        <w:rPr>
          <w:color w:val="000000" w:themeColor="text1"/>
          <w:sz w:val="16"/>
          <w:szCs w:val="16"/>
        </w:rPr>
      </w:pPr>
      <w:r w:rsidRPr="005E779E">
        <w:rPr>
          <w:color w:val="000000" w:themeColor="text1"/>
          <w:sz w:val="16"/>
          <w:szCs w:val="16"/>
        </w:rPr>
        <w:t>Дальнейшие главы представляю[т], по[-]моему, положительный интерес, в частности глава о положении женщины и ликвидации религии. Процессу в брошюре уделено 8 страниц (печатных, вероятно, 15, т. е. около 20 % всего издания). В этой главе я признал неприемлемыми два места. Одно из них находится на 30 стр., в конце ее. В этом месте В[ейнберг] описывает, как к нему подошел во время процесса человек, назвавшийся американским журналистом и оказавшийся[,] по твердым убеждениям В[ейнберга,] агентом ГПУ. Это место после долгих споров В[ейнбергом] вычеркнуто (в пересылаемой Вам рукописи это место взято в скобки). Далее в конце 35-ой стр., опять-таки, вычеркнуто место, в котором В[ейнберг] считает не исключенным, что Рамзин являлся агентом ГПУ. Кроме того, несколько выше мною вставлены два слова, меняющие смысл.</w:t>
      </w:r>
    </w:p>
    <w:p w14:paraId="646B2A55" w14:textId="77777777" w:rsidR="00DB6472" w:rsidRPr="005E779E" w:rsidRDefault="00DB6472" w:rsidP="000B7A6C">
      <w:pPr>
        <w:pStyle w:val="rtejustify"/>
        <w:spacing w:before="0" w:after="0"/>
        <w:rPr>
          <w:color w:val="000000" w:themeColor="text1"/>
          <w:sz w:val="16"/>
          <w:szCs w:val="16"/>
        </w:rPr>
      </w:pPr>
      <w:r w:rsidRPr="005E779E">
        <w:rPr>
          <w:color w:val="000000" w:themeColor="text1"/>
          <w:sz w:val="16"/>
          <w:szCs w:val="16"/>
        </w:rPr>
        <w:t>Просьба в срочном порядке сообщить мне Ваше мнение о произведении Вейнберга. Мне лично оно представляется в общем приемлемым.</w:t>
      </w:r>
    </w:p>
    <w:p w14:paraId="7E43E59A" w14:textId="77777777" w:rsidR="00DB6472" w:rsidRPr="005E779E" w:rsidRDefault="00DB6472" w:rsidP="000B7A6C">
      <w:pPr>
        <w:pStyle w:val="rtejustify"/>
        <w:spacing w:before="0" w:after="0"/>
        <w:rPr>
          <w:color w:val="000000" w:themeColor="text1"/>
          <w:sz w:val="16"/>
          <w:szCs w:val="16"/>
        </w:rPr>
      </w:pPr>
      <w:r w:rsidRPr="005E779E">
        <w:rPr>
          <w:color w:val="000000" w:themeColor="text1"/>
          <w:sz w:val="16"/>
          <w:szCs w:val="16"/>
        </w:rPr>
        <w:t>Что касается издания брошюры, то В[ейнберг] сегодня начинает переговоры с Ровольтом, Фишером и Кипенгоером. Брошюра в продаже должна стоить очень дешево, ориентировочно 60-70 пф[енингов]. Что касается нашего участия в расходах по изданию, то пока точных данных у меня нет, но предполагаю, что речь должна будет идти приблизительно о 800-1000 марок.</w:t>
      </w:r>
    </w:p>
    <w:p w14:paraId="0DCC4646" w14:textId="77777777" w:rsidR="00DB6472" w:rsidRPr="005E779E" w:rsidRDefault="00DB6472" w:rsidP="000B7A6C">
      <w:pPr>
        <w:pStyle w:val="rtejustify"/>
        <w:spacing w:before="0" w:after="0"/>
        <w:rPr>
          <w:color w:val="000000" w:themeColor="text1"/>
          <w:sz w:val="16"/>
          <w:szCs w:val="16"/>
        </w:rPr>
      </w:pPr>
      <w:r w:rsidRPr="005E779E">
        <w:rPr>
          <w:color w:val="000000" w:themeColor="text1"/>
          <w:sz w:val="16"/>
          <w:szCs w:val="16"/>
        </w:rPr>
        <w:t>На мой вопрос, откуда В[ейнберг] взял, что подходивший к нему на процессе американец является агентом ГПУ, В[ейнберг] ответил следующее: американец, по фамилии G. А. Трон, назвавший себя представителем «Ньюиорк Геральд»[,] позже дал В[ейнбергу] визитную карточку, где назывался представителем «Инт[ернешнл] Дженераль Электрик». Свой адрес он указал Гранд Отель, коми. 501. Я высмеял В[ейнберга] и его подозрительность.</w:t>
      </w:r>
    </w:p>
    <w:p w14:paraId="70B0B2AF" w14:textId="77777777" w:rsidR="00DB6472" w:rsidRPr="005E779E" w:rsidRDefault="00DB6472" w:rsidP="000B7A6C">
      <w:pPr>
        <w:pStyle w:val="rtejustify"/>
        <w:spacing w:before="0" w:after="0"/>
        <w:rPr>
          <w:color w:val="000000" w:themeColor="text1"/>
          <w:sz w:val="16"/>
          <w:szCs w:val="16"/>
        </w:rPr>
      </w:pPr>
      <w:r w:rsidRPr="005E779E">
        <w:rPr>
          <w:color w:val="000000" w:themeColor="text1"/>
          <w:sz w:val="16"/>
          <w:szCs w:val="16"/>
        </w:rPr>
        <w:t>Жду от Вас срочного ответа относительно брошюры, предпочтительно телеграфного.</w:t>
      </w:r>
    </w:p>
    <w:p w14:paraId="45C3D9D0" w14:textId="77777777" w:rsidR="00DB6472" w:rsidRPr="005E779E" w:rsidRDefault="00DB6472" w:rsidP="000B7A6C">
      <w:pPr>
        <w:pStyle w:val="rtejustify"/>
        <w:spacing w:before="0" w:after="0"/>
        <w:rPr>
          <w:color w:val="000000" w:themeColor="text1"/>
          <w:sz w:val="16"/>
          <w:szCs w:val="16"/>
        </w:rPr>
      </w:pPr>
      <w:r w:rsidRPr="005E779E">
        <w:rPr>
          <w:color w:val="000000" w:themeColor="text1"/>
          <w:sz w:val="16"/>
          <w:szCs w:val="16"/>
        </w:rPr>
        <w:t>С товарищеским приветом</w:t>
      </w:r>
    </w:p>
    <w:p w14:paraId="0587CC52" w14:textId="77777777" w:rsidR="00DB6472" w:rsidRPr="005E779E" w:rsidRDefault="00DB6472" w:rsidP="000B7A6C">
      <w:pPr>
        <w:pStyle w:val="rtejustify"/>
        <w:spacing w:before="0" w:after="0"/>
        <w:rPr>
          <w:color w:val="000000" w:themeColor="text1"/>
          <w:sz w:val="16"/>
          <w:szCs w:val="16"/>
        </w:rPr>
      </w:pPr>
      <w:r w:rsidRPr="005E779E">
        <w:rPr>
          <w:color w:val="000000" w:themeColor="text1"/>
          <w:sz w:val="16"/>
          <w:szCs w:val="16"/>
        </w:rPr>
        <w:t>Д. Штерн</w:t>
      </w:r>
    </w:p>
    <w:p w14:paraId="45B60B67" w14:textId="77777777" w:rsidR="00DB6472" w:rsidRPr="005E779E" w:rsidRDefault="00DB6472" w:rsidP="000B7A6C">
      <w:pPr>
        <w:pStyle w:val="ae"/>
        <w:spacing w:before="0" w:after="0"/>
        <w:jc w:val="both"/>
        <w:rPr>
          <w:color w:val="000000" w:themeColor="text1"/>
          <w:sz w:val="16"/>
          <w:szCs w:val="16"/>
        </w:rPr>
      </w:pPr>
      <w:r w:rsidRPr="005E779E">
        <w:rPr>
          <w:rStyle w:val="af0"/>
          <w:i w:val="0"/>
          <w:color w:val="000000" w:themeColor="text1"/>
          <w:sz w:val="16"/>
          <w:szCs w:val="16"/>
        </w:rPr>
        <w:t>АВП РФ. Ф. 056. On. 16. П. 33. Д. 8. Л. 147. Машинописный подлинник, на бланке Полпредства СССР в Германии, подпись Штерна — автограф. Гриф секретности и дата «Берлин, 13.11.31 т.» машинописью, исходящий «№ 300» от руки в графе бланка. Вверху листа написаны от руки входящий номер и дата получения документа «16/11-31 г.» (18898).</w:t>
      </w:r>
    </w:p>
    <w:p w14:paraId="73E04F4C" w14:textId="77777777" w:rsidR="00DB6472" w:rsidRPr="005E779E" w:rsidRDefault="00DB6472" w:rsidP="000B7A6C">
      <w:pPr>
        <w:spacing w:after="0" w:line="240" w:lineRule="auto"/>
        <w:jc w:val="both"/>
        <w:rPr>
          <w:rFonts w:ascii="Times New Roman" w:hAnsi="Times New Roman"/>
          <w:color w:val="000000" w:themeColor="text1"/>
          <w:sz w:val="16"/>
          <w:szCs w:val="16"/>
        </w:rPr>
      </w:pPr>
    </w:p>
    <w:p w14:paraId="7F4F117D"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175EE46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E6DA8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14 февраля 1931 состоялся Первый полет пассажирского самолета К-5 с двигателем М-22 (10674).</w:t>
      </w:r>
    </w:p>
    <w:p w14:paraId="3FD3CF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BBE4D34"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0EA4956A"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B04CE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февраля 1931 в Испании правительство г Беренгера ушло в отставку и новым премьер-министром стал а Аснар (3907,167).</w:t>
      </w:r>
    </w:p>
    <w:p w14:paraId="628489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1A8A1C0"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0D51EF69"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B5A4C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15 февраля по 20 марта 1931 прошли испытания самолета МДР-2-2БМВVI (3043).</w:t>
      </w:r>
    </w:p>
    <w:p w14:paraId="72360E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ED1D84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15 февраля по 20 марта 1931 проходили испытания самолета МДР-2 БМВ-VI.</w:t>
      </w:r>
    </w:p>
    <w:p w14:paraId="73631B8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Испытание самолета МДР-2 БМВ-VI специальной комиссией назначенной начальником ВВС</w:t>
      </w:r>
    </w:p>
    <w:p w14:paraId="3C24981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Морской дальний разведчик –2 с двумя моторами БМВ-VIZ Е=6</w:t>
      </w:r>
    </w:p>
    <w:p w14:paraId="62EB4FB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Цель испытаний: произвести типовые испытания самолета с нагрузками 2105 кг и 2360 кг</w:t>
      </w:r>
    </w:p>
    <w:p w14:paraId="785F1E5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Начало испытаний 15 февраля 1931 года</w:t>
      </w:r>
    </w:p>
    <w:p w14:paraId="741CB6A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Окончание испытаний – 20 марта 1931 года</w:t>
      </w:r>
    </w:p>
    <w:p w14:paraId="0C9892B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Продолжительность испытаний – 34 дня, из них летных дней – 11, общий налет – 18 часов 22 минуты</w:t>
      </w:r>
    </w:p>
    <w:p w14:paraId="5441532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Количество полетов – 25 (6956).</w:t>
      </w:r>
    </w:p>
    <w:p w14:paraId="6920668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C5ECDD"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15 февраля по 20 марта 1931 г. в Севастополе проходили государственные испыта</w:t>
      </w:r>
      <w:r w:rsidRPr="005E779E">
        <w:rPr>
          <w:rFonts w:ascii="Times New Roman" w:hAnsi="Times New Roman"/>
          <w:color w:val="000000" w:themeColor="text1"/>
          <w:sz w:val="16"/>
          <w:szCs w:val="16"/>
        </w:rPr>
        <w:softHyphen/>
        <w:t>ния АНТ-8. Проводил их летчик С.Т Рыбальчук с двумя вариан</w:t>
      </w:r>
      <w:r w:rsidRPr="005E779E">
        <w:rPr>
          <w:rFonts w:ascii="Times New Roman" w:hAnsi="Times New Roman"/>
          <w:color w:val="000000" w:themeColor="text1"/>
          <w:sz w:val="16"/>
          <w:szCs w:val="16"/>
        </w:rPr>
        <w:softHyphen/>
        <w:t>тами полетной массы — 6665 и 6920 кг. Определяли крейсерскую скорость и ра</w:t>
      </w:r>
      <w:r w:rsidRPr="005E779E">
        <w:rPr>
          <w:rFonts w:ascii="Times New Roman" w:hAnsi="Times New Roman"/>
          <w:color w:val="000000" w:themeColor="text1"/>
          <w:sz w:val="16"/>
          <w:szCs w:val="16"/>
        </w:rPr>
        <w:softHyphen/>
        <w:t>диус действия.</w:t>
      </w:r>
    </w:p>
    <w:p w14:paraId="691CB997"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основании испытаний НИИ ВВС предложил КБ:</w:t>
      </w:r>
    </w:p>
    <w:p w14:paraId="0E08D7DC"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из-за недостаточной поперечной ос</w:t>
      </w:r>
      <w:r w:rsidRPr="005E779E">
        <w:rPr>
          <w:rFonts w:ascii="Times New Roman" w:hAnsi="Times New Roman"/>
          <w:color w:val="000000" w:themeColor="text1"/>
          <w:sz w:val="16"/>
          <w:szCs w:val="16"/>
        </w:rPr>
        <w:softHyphen/>
        <w:t>тойчивости машины либо изменить объем поплавков, либо увеличить их колею;</w:t>
      </w:r>
    </w:p>
    <w:p w14:paraId="044DCC05"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установить дополнительные бензо</w:t>
      </w:r>
      <w:r w:rsidRPr="005E779E">
        <w:rPr>
          <w:rFonts w:ascii="Times New Roman" w:hAnsi="Times New Roman"/>
          <w:color w:val="000000" w:themeColor="text1"/>
          <w:sz w:val="16"/>
          <w:szCs w:val="16"/>
        </w:rPr>
        <w:softHyphen/>
        <w:t>баки емкостью 615 л и масляные баки ем</w:t>
      </w:r>
      <w:r w:rsidRPr="005E779E">
        <w:rPr>
          <w:rFonts w:ascii="Times New Roman" w:hAnsi="Times New Roman"/>
          <w:color w:val="000000" w:themeColor="text1"/>
          <w:sz w:val="16"/>
          <w:szCs w:val="16"/>
        </w:rPr>
        <w:softHyphen/>
        <w:t>костью 62 л;</w:t>
      </w:r>
    </w:p>
    <w:p w14:paraId="37989F07"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устранить вибрацию передних под</w:t>
      </w:r>
      <w:r w:rsidRPr="005E779E">
        <w:rPr>
          <w:rFonts w:ascii="Times New Roman" w:hAnsi="Times New Roman"/>
          <w:color w:val="000000" w:themeColor="text1"/>
          <w:sz w:val="16"/>
          <w:szCs w:val="16"/>
        </w:rPr>
        <w:softHyphen/>
        <w:t>косов стабилизатора.</w:t>
      </w:r>
    </w:p>
    <w:p w14:paraId="7519A6C2"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исправления замеченных де</w:t>
      </w:r>
      <w:r w:rsidRPr="005E779E">
        <w:rPr>
          <w:rFonts w:ascii="Times New Roman" w:hAnsi="Times New Roman"/>
          <w:color w:val="000000" w:themeColor="text1"/>
          <w:sz w:val="16"/>
          <w:szCs w:val="16"/>
        </w:rPr>
        <w:softHyphen/>
        <w:t>фектов и установки новых поплавков МДР—2 снова предъявили на испыта</w:t>
      </w:r>
      <w:r w:rsidRPr="005E779E">
        <w:rPr>
          <w:rFonts w:ascii="Times New Roman" w:hAnsi="Times New Roman"/>
          <w:color w:val="000000" w:themeColor="text1"/>
          <w:sz w:val="16"/>
          <w:szCs w:val="16"/>
        </w:rPr>
        <w:softHyphen/>
        <w:t>ния. С 8 октября по 13 ноября 1931 г. их проводили М.М. Громов, Б.Л. Бухгольц, Н.Г. Кастанаев. Самолет испытывался на взлет, посадку, мореходность и т.д. Мореходность была признана очень хо</w:t>
      </w:r>
      <w:r w:rsidRPr="005E779E">
        <w:rPr>
          <w:rFonts w:ascii="Times New Roman" w:hAnsi="Times New Roman"/>
          <w:color w:val="000000" w:themeColor="text1"/>
          <w:sz w:val="16"/>
          <w:szCs w:val="16"/>
        </w:rPr>
        <w:softHyphen/>
        <w:t>рошей, самолет мог взлетать и садиться при значительной волне. По общей оценке, он соответствовал «требованиям сегодняшнего дня», был близок по сво</w:t>
      </w:r>
      <w:r w:rsidRPr="005E779E">
        <w:rPr>
          <w:rFonts w:ascii="Times New Roman" w:hAnsi="Times New Roman"/>
          <w:color w:val="000000" w:themeColor="text1"/>
          <w:sz w:val="16"/>
          <w:szCs w:val="16"/>
        </w:rPr>
        <w:softHyphen/>
        <w:t>им характеристикам к находившемуся на вооружении ВВС немецкому развед</w:t>
      </w:r>
      <w:r w:rsidRPr="005E779E">
        <w:rPr>
          <w:rFonts w:ascii="Times New Roman" w:hAnsi="Times New Roman"/>
          <w:color w:val="000000" w:themeColor="text1"/>
          <w:sz w:val="16"/>
          <w:szCs w:val="16"/>
        </w:rPr>
        <w:softHyphen/>
        <w:t>чику Dornier Wai, но запускать самолет в серию не стали. К моменту выхода се</w:t>
      </w:r>
      <w:r w:rsidRPr="005E779E">
        <w:rPr>
          <w:rFonts w:ascii="Times New Roman" w:hAnsi="Times New Roman"/>
          <w:color w:val="000000" w:themeColor="text1"/>
          <w:sz w:val="16"/>
          <w:szCs w:val="16"/>
        </w:rPr>
        <w:softHyphen/>
        <w:t>рийных машин их данные уже не смогли бы удовлетворить военных.</w:t>
      </w:r>
    </w:p>
    <w:p w14:paraId="741F4ACC"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МДР—2 остался в истории как первый отечественный цельнометаллический ги</w:t>
      </w:r>
      <w:r w:rsidRPr="005E779E">
        <w:rPr>
          <w:rFonts w:ascii="Times New Roman" w:hAnsi="Times New Roman"/>
          <w:color w:val="000000" w:themeColor="text1"/>
          <w:sz w:val="16"/>
          <w:szCs w:val="16"/>
        </w:rPr>
        <w:softHyphen/>
        <w:t>дросамолет.</w:t>
      </w:r>
    </w:p>
    <w:p w14:paraId="6F856AB8"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АНТ—8 соответствовал «требованиям сегодняшнего дня», но серийно не строился. Эта машина осталась в истории как первая отечественная летающая лодка (23474).</w:t>
      </w:r>
    </w:p>
    <w:p w14:paraId="6C5C035C" w14:textId="77777777" w:rsidR="00225E06" w:rsidRPr="005E779E" w:rsidRDefault="00225E06" w:rsidP="000B7A6C">
      <w:pPr>
        <w:spacing w:after="0" w:line="240" w:lineRule="auto"/>
        <w:jc w:val="both"/>
        <w:rPr>
          <w:rFonts w:ascii="Times New Roman" w:hAnsi="Times New Roman"/>
          <w:color w:val="000000" w:themeColor="text1"/>
          <w:sz w:val="16"/>
          <w:szCs w:val="16"/>
        </w:rPr>
      </w:pPr>
    </w:p>
    <w:p w14:paraId="1B0ADF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15-17 февраля 1931 в Москве прошла 1-я всесоюзная конференция работников ГВФ (438,620).</w:t>
      </w:r>
    </w:p>
    <w:p w14:paraId="0B1DC4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BB0A30A" w14:textId="77777777" w:rsidR="00E20577" w:rsidRPr="005E779E" w:rsidRDefault="00E2057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15-17 февраля 1931 г. в Москве состоялась 1-я всесоюзная конференция работников гражданского, воздушнрнр флота. Были заслушаны доклады о состоянии и перспекривах развития Гражданского воздушного флота на ближайшее время, а также об опытно-изыскательной работе НИИ ГВФ.</w:t>
      </w:r>
    </w:p>
    <w:p w14:paraId="626B71D3" w14:textId="77777777" w:rsidR="00E20577" w:rsidRPr="005E779E" w:rsidRDefault="00E2057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Конференция наметила ряд мероприятии по скорейшей реализации правительственных постановлений о развитии гражданского целого флота.</w:t>
      </w:r>
    </w:p>
    <w:p w14:paraId="4EFA9886" w14:textId="77777777" w:rsidR="00E20577" w:rsidRPr="005E779E" w:rsidRDefault="00E2057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/«Красная звезда» за 19 февраля 1931 г./ (23370).</w:t>
      </w:r>
    </w:p>
    <w:p w14:paraId="7EBA2398" w14:textId="77777777" w:rsidR="00E20577" w:rsidRPr="005E779E" w:rsidRDefault="00E20577" w:rsidP="000B7A6C">
      <w:pPr>
        <w:spacing w:after="0" w:line="240" w:lineRule="auto"/>
        <w:jc w:val="both"/>
        <w:rPr>
          <w:rFonts w:ascii="Times New Roman" w:hAnsi="Times New Roman"/>
          <w:color w:val="000000" w:themeColor="text1"/>
          <w:sz w:val="16"/>
          <w:szCs w:val="16"/>
        </w:rPr>
      </w:pPr>
    </w:p>
    <w:p w14:paraId="1017D7AB"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7DB9775C"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F25061F" w14:textId="77777777" w:rsidR="00EA7676" w:rsidRPr="005E779E" w:rsidRDefault="00EA7676" w:rsidP="000B7A6C">
      <w:pPr>
        <w:pStyle w:val="1010"/>
        <w:shd w:val="clear" w:color="auto" w:fill="auto"/>
        <w:spacing w:line="240" w:lineRule="auto"/>
        <w:ind w:firstLine="0"/>
        <w:rPr>
          <w:rFonts w:ascii="Times New Roman" w:hAnsi="Times New Roman" w:cs="Times New Roman"/>
          <w:i w:val="0"/>
          <w:color w:val="000000" w:themeColor="text1"/>
          <w:sz w:val="16"/>
          <w:szCs w:val="16"/>
        </w:rPr>
      </w:pPr>
      <w:r w:rsidRPr="005E779E">
        <w:rPr>
          <w:rStyle w:val="1030"/>
          <w:rFonts w:ascii="Times New Roman" w:eastAsia="Arial Unicode MS" w:hAnsi="Times New Roman" w:cs="Times New Roman"/>
          <w:i w:val="0"/>
          <w:iCs w:val="0"/>
          <w:color w:val="000000" w:themeColor="text1"/>
          <w:sz w:val="16"/>
          <w:szCs w:val="16"/>
        </w:rPr>
        <w:t>15 февраля 1931 г. в докладе начальника УММ в Реввоенсовет о «по</w:t>
      </w:r>
      <w:r w:rsidRPr="005E779E">
        <w:rPr>
          <w:rStyle w:val="1030"/>
          <w:rFonts w:ascii="Times New Roman" w:eastAsia="Arial Unicode MS" w:hAnsi="Times New Roman" w:cs="Times New Roman"/>
          <w:i w:val="0"/>
          <w:iCs w:val="0"/>
          <w:color w:val="000000" w:themeColor="text1"/>
          <w:sz w:val="16"/>
          <w:szCs w:val="16"/>
        </w:rPr>
        <w:softHyphen/>
        <w:t>ложении по опытным образцам системы АБТВ» упоминается:</w:t>
      </w:r>
      <w:r w:rsidRPr="005E779E">
        <w:rPr>
          <w:rFonts w:ascii="Times New Roman" w:hAnsi="Times New Roman" w:cs="Times New Roman"/>
          <w:i w:val="0"/>
          <w:color w:val="000000" w:themeColor="text1"/>
          <w:sz w:val="16"/>
          <w:szCs w:val="16"/>
        </w:rPr>
        <w:t xml:space="preserve"> «Танк Виккерс 12 тонный (Постановление РВС СССР от 13 августа 1930 г.). Находится в стадии испытаний» (15744).</w:t>
      </w:r>
    </w:p>
    <w:p w14:paraId="5A68BD49" w14:textId="77777777" w:rsidR="00EA7676" w:rsidRPr="005E779E" w:rsidRDefault="00EA7676" w:rsidP="000B7A6C">
      <w:pPr>
        <w:pStyle w:val="1010"/>
        <w:shd w:val="clear" w:color="auto" w:fill="auto"/>
        <w:spacing w:line="240" w:lineRule="auto"/>
        <w:ind w:firstLine="0"/>
        <w:rPr>
          <w:rFonts w:ascii="Times New Roman" w:hAnsi="Times New Roman" w:cs="Times New Roman"/>
          <w:i w:val="0"/>
          <w:color w:val="000000" w:themeColor="text1"/>
          <w:sz w:val="16"/>
          <w:szCs w:val="16"/>
        </w:rPr>
      </w:pPr>
    </w:p>
    <w:p w14:paraId="7F32742E" w14:textId="77777777" w:rsidR="005E7475" w:rsidRPr="005E779E" w:rsidRDefault="005E7475"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15 февраля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Протокол заседания Политбюро ЦК ВКП(б) № 26. 10. Проект постановления по докладу ВСНХ о состоянии производств, обслуживающих автотракторную промышленность (ПБ от 25 января 1931 г., пр. № 24, п. 4) (Орджоникидзе). 11. О ходе работ на Сталинградском тракторном заводе (ПБ от 10 декабря 1930 г., пр. № 20, п. 4/10) (Орджоникидзе, Михайлов-Иванов). Решения ПБ от 10 февраля 1931 г. 4/9. Об организации снарядного дела (ПБ от 30 августа 1930 г., пр. № 6, п. 2/8) (Орджоникидзе, Ворошилов). (Политбюро... Т. 2. С. 126, 127) (12416).</w:t>
      </w:r>
    </w:p>
    <w:p w14:paraId="4DA000AC" w14:textId="77777777" w:rsidR="005E7475" w:rsidRPr="005E779E" w:rsidRDefault="005E7475" w:rsidP="000B7A6C">
      <w:pPr>
        <w:spacing w:after="0" w:line="240" w:lineRule="auto"/>
        <w:jc w:val="both"/>
        <w:rPr>
          <w:rFonts w:ascii="Times New Roman" w:hAnsi="Times New Roman"/>
          <w:color w:val="000000" w:themeColor="text1"/>
          <w:sz w:val="16"/>
          <w:szCs w:val="16"/>
          <w:u w:color="002060"/>
        </w:rPr>
      </w:pPr>
    </w:p>
    <w:p w14:paraId="0E4698FC" w14:textId="77777777" w:rsidR="00EA7676" w:rsidRPr="005E779E" w:rsidRDefault="00EA767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февраля 1931 О снабжении автотракторной промышленности материалами. (Утверждено Политбюро ЦК ВКП(б) 15.II.31 г.) Приложение № 2 к п. 10 пр. ПБ № 26.Архив: </w:t>
      </w:r>
    </w:p>
    <w:p w14:paraId="4567AE80" w14:textId="77777777" w:rsidR="00EA7676" w:rsidRPr="005E779E" w:rsidRDefault="00EA767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РГАСПИ. Ф. 17. Оп. 3. Д. 813. Л. 24.</w:t>
      </w:r>
    </w:p>
    <w:p w14:paraId="359E2BC2" w14:textId="77777777" w:rsidR="00EA7676" w:rsidRPr="005E779E" w:rsidRDefault="00EA7676" w:rsidP="000B7A6C">
      <w:pPr>
        <w:spacing w:after="0" w:line="240" w:lineRule="auto"/>
        <w:jc w:val="both"/>
        <w:rPr>
          <w:rFonts w:ascii="Times New Roman" w:hAnsi="Times New Roman"/>
          <w:color w:val="000000" w:themeColor="text1"/>
          <w:sz w:val="16"/>
          <w:szCs w:val="16"/>
        </w:rPr>
      </w:pPr>
      <w:r w:rsidRPr="005E779E">
        <w:rPr>
          <w:rStyle w:val="af0"/>
          <w:rFonts w:ascii="Times New Roman" w:hAnsi="Times New Roman"/>
          <w:i w:val="0"/>
          <w:color w:val="000000" w:themeColor="text1"/>
          <w:sz w:val="16"/>
          <w:szCs w:val="16"/>
        </w:rPr>
        <w:t>Приложение № 2 к п. 10 пр. ПБ № 26.</w:t>
      </w:r>
    </w:p>
    <w:p w14:paraId="1001815A" w14:textId="77777777" w:rsidR="00EA7676" w:rsidRPr="005E779E" w:rsidRDefault="00EA7676" w:rsidP="000B7A6C">
      <w:pPr>
        <w:pStyle w:val="ae"/>
        <w:spacing w:before="0" w:after="0"/>
        <w:jc w:val="both"/>
        <w:rPr>
          <w:color w:val="000000" w:themeColor="text1"/>
          <w:sz w:val="16"/>
          <w:szCs w:val="16"/>
        </w:rPr>
      </w:pPr>
      <w:r w:rsidRPr="005E779E">
        <w:rPr>
          <w:color w:val="000000" w:themeColor="text1"/>
          <w:sz w:val="16"/>
          <w:szCs w:val="16"/>
        </w:rPr>
        <w:t>(Утверждено Политбюро ЦК ВКП(б) 15.II.31 г.).</w:t>
      </w:r>
    </w:p>
    <w:p w14:paraId="24CC254D" w14:textId="77777777" w:rsidR="00EA7676" w:rsidRPr="005E779E" w:rsidRDefault="00EA7676" w:rsidP="000B7A6C">
      <w:pPr>
        <w:pStyle w:val="rtejustify"/>
        <w:spacing w:before="0" w:after="0"/>
        <w:rPr>
          <w:color w:val="000000" w:themeColor="text1"/>
          <w:sz w:val="16"/>
          <w:szCs w:val="16"/>
        </w:rPr>
      </w:pPr>
      <w:r w:rsidRPr="005E779E">
        <w:rPr>
          <w:color w:val="000000" w:themeColor="text1"/>
          <w:sz w:val="16"/>
          <w:szCs w:val="16"/>
        </w:rPr>
        <w:t>1. Доклад ВСНХ СССР о плане снабжения в 1931 году автотракторной промышленности материалами принять к сведению.</w:t>
      </w:r>
    </w:p>
    <w:p w14:paraId="46BFB903" w14:textId="77777777" w:rsidR="00EA7676" w:rsidRPr="005E779E" w:rsidRDefault="00EA7676" w:rsidP="000B7A6C">
      <w:pPr>
        <w:pStyle w:val="rtejustify"/>
        <w:spacing w:before="0" w:after="0"/>
        <w:rPr>
          <w:color w:val="000000" w:themeColor="text1"/>
          <w:sz w:val="16"/>
          <w:szCs w:val="16"/>
        </w:rPr>
      </w:pPr>
      <w:r w:rsidRPr="005E779E">
        <w:rPr>
          <w:color w:val="000000" w:themeColor="text1"/>
          <w:sz w:val="16"/>
          <w:szCs w:val="16"/>
        </w:rPr>
        <w:t>2. Принять к сведению решение ВСНХ о том, что завод карбюраторов будет построен в районе Владимир — Ярославль — Н.Новгород, производство асбестовых изделий будет развито вместо Ленинграда в Ярославле и Егорьевске (Московской области), производство автосвечей будет развито в Пензе, производство автоарматуры будет развито в районе Мурома.</w:t>
      </w:r>
    </w:p>
    <w:p w14:paraId="44299137" w14:textId="77777777" w:rsidR="00EA7676" w:rsidRPr="005E779E" w:rsidRDefault="00EA7676" w:rsidP="000B7A6C">
      <w:pPr>
        <w:pStyle w:val="rtejustify"/>
        <w:spacing w:before="0" w:after="0"/>
        <w:rPr>
          <w:color w:val="000000" w:themeColor="text1"/>
          <w:sz w:val="16"/>
          <w:szCs w:val="16"/>
        </w:rPr>
      </w:pPr>
      <w:r w:rsidRPr="005E779E">
        <w:rPr>
          <w:color w:val="000000" w:themeColor="text1"/>
          <w:sz w:val="16"/>
          <w:szCs w:val="16"/>
        </w:rPr>
        <w:t>3. Решение ВСНХ о прикреплении к отдельным автотракторным заводам металлургических баз одобрить и предложить ВСНХ взять под особое наблюдение все работы по реконструкции этих баз.</w:t>
      </w:r>
    </w:p>
    <w:p w14:paraId="09B4BEC1" w14:textId="77777777" w:rsidR="00EA7676" w:rsidRPr="005E779E" w:rsidRDefault="00EA7676" w:rsidP="000B7A6C">
      <w:pPr>
        <w:pStyle w:val="rtejustify"/>
        <w:spacing w:before="0" w:after="0"/>
        <w:rPr>
          <w:color w:val="000000" w:themeColor="text1"/>
          <w:sz w:val="16"/>
          <w:szCs w:val="16"/>
        </w:rPr>
      </w:pPr>
      <w:r w:rsidRPr="005E779E">
        <w:rPr>
          <w:color w:val="000000" w:themeColor="text1"/>
          <w:sz w:val="16"/>
          <w:szCs w:val="16"/>
        </w:rPr>
        <w:t>4. Предложить ВСНХ разработать вопрос о замене в максимально возможной степени, без ущерба для качества выпускаемых машин, легированных сортов стали (хромоникелевые и др.) углеродистыми, а также легированные сорта с импортным сырьем (никель) сортами стали, содержании металлы, имеющиеся в Союзе (хром, марганец), однако, без снижения качества этих сталей.</w:t>
      </w:r>
    </w:p>
    <w:p w14:paraId="7606A86F" w14:textId="77777777" w:rsidR="00EA7676" w:rsidRPr="005E779E" w:rsidRDefault="00EA7676" w:rsidP="000B7A6C">
      <w:pPr>
        <w:pStyle w:val="rtejustify"/>
        <w:spacing w:before="0" w:after="0"/>
        <w:rPr>
          <w:color w:val="000000" w:themeColor="text1"/>
          <w:sz w:val="16"/>
          <w:szCs w:val="16"/>
        </w:rPr>
      </w:pPr>
      <w:r w:rsidRPr="005E779E">
        <w:rPr>
          <w:color w:val="000000" w:themeColor="text1"/>
          <w:sz w:val="16"/>
          <w:szCs w:val="16"/>
        </w:rPr>
        <w:t>5. Предложить ВСНХ обследовать и выявить дополнительные производственные возможности в изготовлении качественных сталей для автотракторной промышленности на заводах военной промышленности.</w:t>
      </w:r>
    </w:p>
    <w:p w14:paraId="78789E9C" w14:textId="77777777" w:rsidR="00EA7676" w:rsidRPr="005E779E" w:rsidRDefault="00EA7676" w:rsidP="000B7A6C">
      <w:pPr>
        <w:pStyle w:val="rtejustify"/>
        <w:spacing w:before="0" w:after="0"/>
        <w:rPr>
          <w:color w:val="000000" w:themeColor="text1"/>
          <w:sz w:val="16"/>
          <w:szCs w:val="16"/>
        </w:rPr>
      </w:pPr>
      <w:r w:rsidRPr="005E779E">
        <w:rPr>
          <w:color w:val="000000" w:themeColor="text1"/>
          <w:sz w:val="16"/>
          <w:szCs w:val="16"/>
        </w:rPr>
        <w:t>6. Отмечая крайне слабый темп развития производства электрооборудования для автотракторной промышленности, предложить ВСНХ повести в 1931 г. работы по развитию этого производства таким темпом, чтобы потребности автотракторной промышленности были в 1932 г. полностью покрыты за счет внутреннего производства.</w:t>
      </w:r>
    </w:p>
    <w:p w14:paraId="4669C347" w14:textId="77777777" w:rsidR="00EA7676" w:rsidRPr="005E779E" w:rsidRDefault="00EA7676" w:rsidP="000B7A6C">
      <w:pPr>
        <w:pStyle w:val="rtejustify"/>
        <w:spacing w:before="0" w:after="0"/>
        <w:rPr>
          <w:color w:val="000000" w:themeColor="text1"/>
          <w:sz w:val="16"/>
          <w:szCs w:val="16"/>
        </w:rPr>
      </w:pPr>
      <w:r w:rsidRPr="005E779E">
        <w:rPr>
          <w:color w:val="000000" w:themeColor="text1"/>
          <w:sz w:val="16"/>
          <w:szCs w:val="16"/>
        </w:rPr>
        <w:t>7. Предложить НКВМор и ВСНХ в декадный срок пересмотреть вопрос о месте постройки завода авиа и автоприборов.</w:t>
      </w:r>
    </w:p>
    <w:p w14:paraId="62755754" w14:textId="77777777" w:rsidR="00EA7676" w:rsidRPr="005E779E" w:rsidRDefault="00EA7676" w:rsidP="000B7A6C">
      <w:pPr>
        <w:pStyle w:val="rtejustify"/>
        <w:spacing w:before="0" w:after="0"/>
        <w:rPr>
          <w:color w:val="000000" w:themeColor="text1"/>
          <w:sz w:val="16"/>
          <w:szCs w:val="16"/>
        </w:rPr>
      </w:pPr>
      <w:r w:rsidRPr="005E779E">
        <w:rPr>
          <w:color w:val="000000" w:themeColor="text1"/>
          <w:sz w:val="16"/>
          <w:szCs w:val="16"/>
        </w:rPr>
        <w:t>8. Предложить ВСНХ не позже 1</w:t>
      </w:r>
      <w:r w:rsidRPr="005E779E">
        <w:rPr>
          <w:color w:val="000000" w:themeColor="text1"/>
          <w:sz w:val="16"/>
          <w:szCs w:val="16"/>
        </w:rPr>
        <w:noBreakHyphen/>
        <w:t>го апреля представить в ЦК развернутый план снабжения материалами автотракторной промышленности на 1932 и 1933 годы. При составлении этого плана исходить из того, что постройка новых или реконструкция действующих заводов, снабжающих тракторную промышленность, не должна производиться в районах, близлежащих к пограничной полосе (17115).</w:t>
      </w:r>
    </w:p>
    <w:p w14:paraId="4AA417DE" w14:textId="77777777" w:rsidR="00EA7676" w:rsidRPr="005E779E" w:rsidRDefault="00EA7676" w:rsidP="000B7A6C">
      <w:pPr>
        <w:shd w:val="clear" w:color="auto" w:fill="FFFFFF"/>
        <w:spacing w:after="0" w:line="240" w:lineRule="auto"/>
        <w:jc w:val="both"/>
        <w:rPr>
          <w:rFonts w:ascii="Times New Roman" w:hAnsi="Times New Roman"/>
          <w:color w:val="000000" w:themeColor="text1"/>
          <w:sz w:val="16"/>
          <w:szCs w:val="16"/>
        </w:rPr>
      </w:pPr>
    </w:p>
    <w:p w14:paraId="14347E23" w14:textId="77777777" w:rsidR="00EA7676" w:rsidRPr="005E779E" w:rsidRDefault="00EA767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февраля 1931 Об организации производства специального инструмента на заводах Станкоинструмент. (Утверждено Политбюро ЦК ВКП(б) 15.II.31 г.) Приложение № 1 к п. 8 пр. ПБ № 26.</w:t>
      </w:r>
    </w:p>
    <w:p w14:paraId="3CD7BA10" w14:textId="77777777" w:rsidR="00EA7676" w:rsidRPr="005E779E" w:rsidRDefault="00EA767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Архив: </w:t>
      </w:r>
    </w:p>
    <w:p w14:paraId="3B09DE3D" w14:textId="77777777" w:rsidR="00EA7676" w:rsidRPr="005E779E" w:rsidRDefault="00EA767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РГАСПИ. Ф. 17. Оп. 3. Д. 813. Л. 20-23.</w:t>
      </w:r>
    </w:p>
    <w:p w14:paraId="049FAF9E" w14:textId="77777777" w:rsidR="00EA7676" w:rsidRPr="005E779E" w:rsidRDefault="00EA7676" w:rsidP="000B7A6C">
      <w:pPr>
        <w:spacing w:after="0" w:line="240" w:lineRule="auto"/>
        <w:jc w:val="both"/>
        <w:rPr>
          <w:rFonts w:ascii="Times New Roman" w:hAnsi="Times New Roman"/>
          <w:color w:val="000000" w:themeColor="text1"/>
          <w:sz w:val="16"/>
          <w:szCs w:val="16"/>
        </w:rPr>
      </w:pPr>
      <w:r w:rsidRPr="005E779E">
        <w:rPr>
          <w:rStyle w:val="af0"/>
          <w:rFonts w:ascii="Times New Roman" w:hAnsi="Times New Roman"/>
          <w:i w:val="0"/>
          <w:color w:val="000000" w:themeColor="text1"/>
          <w:sz w:val="16"/>
          <w:szCs w:val="16"/>
        </w:rPr>
        <w:t>Приложение № 1 к п. 8 пр. ПБ № 26.</w:t>
      </w:r>
    </w:p>
    <w:p w14:paraId="7D20F19F" w14:textId="77777777" w:rsidR="00EA7676" w:rsidRPr="005E779E" w:rsidRDefault="00EA7676" w:rsidP="000B7A6C">
      <w:pPr>
        <w:pStyle w:val="ae"/>
        <w:spacing w:before="0" w:after="0"/>
        <w:jc w:val="both"/>
        <w:rPr>
          <w:color w:val="000000" w:themeColor="text1"/>
          <w:sz w:val="16"/>
          <w:szCs w:val="16"/>
        </w:rPr>
      </w:pPr>
      <w:r w:rsidRPr="005E779E">
        <w:rPr>
          <w:color w:val="000000" w:themeColor="text1"/>
          <w:sz w:val="16"/>
          <w:szCs w:val="16"/>
        </w:rPr>
        <w:t xml:space="preserve"> (Утверждено Политбюро ЦК ВКП(б) 15.II.31 г.).</w:t>
      </w:r>
    </w:p>
    <w:p w14:paraId="73E26DEC" w14:textId="77777777" w:rsidR="00EA7676" w:rsidRPr="005E779E" w:rsidRDefault="00EA7676" w:rsidP="000B7A6C">
      <w:pPr>
        <w:pStyle w:val="rtejustify"/>
        <w:spacing w:before="0" w:after="0"/>
        <w:rPr>
          <w:color w:val="000000" w:themeColor="text1"/>
          <w:sz w:val="16"/>
          <w:szCs w:val="16"/>
        </w:rPr>
      </w:pPr>
      <w:r w:rsidRPr="005E779E">
        <w:rPr>
          <w:color w:val="000000" w:themeColor="text1"/>
          <w:sz w:val="16"/>
          <w:szCs w:val="16"/>
        </w:rPr>
        <w:t>Поставленная ХVI</w:t>
      </w:r>
      <w:r w:rsidRPr="005E779E">
        <w:rPr>
          <w:color w:val="000000" w:themeColor="text1"/>
          <w:sz w:val="16"/>
          <w:szCs w:val="16"/>
        </w:rPr>
        <w:noBreakHyphen/>
        <w:t>м партсъездом задача максимального развития машиностроения «и в особенности станкостроения» со всей решительностью выдвинула вопрос развития производства контрольно-мерительного и режущего инструмента и изделий абразивной промышленности. Отсутствие в прошлом самостоятельной технической базы по производству инструмента и недопустимо малое внимание, которое уделялось до сих пор этому вопросу, создало громадный разрыв между потребностью в инструменте и имеющимися производственными возможностями.</w:t>
      </w:r>
    </w:p>
    <w:p w14:paraId="509FFF07" w14:textId="77777777" w:rsidR="00EA7676" w:rsidRPr="005E779E" w:rsidRDefault="00EA7676" w:rsidP="000B7A6C">
      <w:pPr>
        <w:pStyle w:val="rtejustify"/>
        <w:spacing w:before="0" w:after="0"/>
        <w:rPr>
          <w:color w:val="000000" w:themeColor="text1"/>
          <w:sz w:val="16"/>
          <w:szCs w:val="16"/>
        </w:rPr>
      </w:pPr>
      <w:r w:rsidRPr="005E779E">
        <w:rPr>
          <w:color w:val="000000" w:themeColor="text1"/>
          <w:sz w:val="16"/>
          <w:szCs w:val="16"/>
        </w:rPr>
        <w:lastRenderedPageBreak/>
        <w:t>Темпы развития инструментальной и абразивной промышленности за последние годы отстают от обслуживаемых ею других отраслей народного хозяйства. Особо недопустимым является необеспеченность мобзапаса и текущего производства предметов военного снаряжения необходимым контрольно-мерительным инструментом. Незначительный процент удовлетворения потребности в инструменте еще больше понижается неудовлетворительным его качеством, чем затрудняется использование имеющихся еще значительных, резервов оборудования на существующих заводах, а также быстрое освоение завезенного новейшего импортного оборудования.</w:t>
      </w:r>
    </w:p>
    <w:p w14:paraId="250798F8" w14:textId="77777777" w:rsidR="00EA7676" w:rsidRPr="005E779E" w:rsidRDefault="00EA7676" w:rsidP="000B7A6C">
      <w:pPr>
        <w:pStyle w:val="rtejustify"/>
        <w:spacing w:before="0" w:after="0"/>
        <w:rPr>
          <w:color w:val="000000" w:themeColor="text1"/>
          <w:sz w:val="16"/>
          <w:szCs w:val="16"/>
        </w:rPr>
      </w:pPr>
      <w:r w:rsidRPr="005E779E">
        <w:rPr>
          <w:color w:val="000000" w:themeColor="text1"/>
          <w:sz w:val="16"/>
          <w:szCs w:val="16"/>
        </w:rPr>
        <w:t>Кроме того, дальнейшее развитие инструментальной и абразивной промышленности упирается в отсутствие 5</w:t>
      </w:r>
      <w:r w:rsidRPr="005E779E">
        <w:rPr>
          <w:color w:val="000000" w:themeColor="text1"/>
          <w:sz w:val="16"/>
          <w:szCs w:val="16"/>
        </w:rPr>
        <w:noBreakHyphen/>
        <w:t>летнего плана потребности в инструменте и наждачных кругах, а также в необеспеченности надлежащей сырьевой базы качественной стали.</w:t>
      </w:r>
    </w:p>
    <w:p w14:paraId="2F842B60" w14:textId="77777777" w:rsidR="00EA7676" w:rsidRPr="005E779E" w:rsidRDefault="00EA7676" w:rsidP="000B7A6C">
      <w:pPr>
        <w:pStyle w:val="rtejustify"/>
        <w:spacing w:before="0" w:after="0"/>
        <w:rPr>
          <w:color w:val="000000" w:themeColor="text1"/>
          <w:sz w:val="16"/>
          <w:szCs w:val="16"/>
        </w:rPr>
      </w:pPr>
      <w:r w:rsidRPr="005E779E">
        <w:rPr>
          <w:color w:val="000000" w:themeColor="text1"/>
          <w:sz w:val="16"/>
          <w:szCs w:val="16"/>
        </w:rPr>
        <w:t>ЦК ВКП(б) отмечает некоторые достижения, выражающиеся в увеличении программы выпуска в 1931 г. режущего инструмента на 90% по сравнению с 29/30 г. и увеличения ассигнования на 1931 г. по капитальному строительству станкоинструментальной промышленности вместо 17,8 миллионов рублей в 29/30 г., 95 млн. руб. в 1931 г. и по импорту вместо 1,5 млн. руб. — 19 млн. руб., что обеспечивает начало создания новой, отвечающей современным требованиям технической базы по производству металлорежущих станков и инструмента.</w:t>
      </w:r>
    </w:p>
    <w:p w14:paraId="7C80CE13" w14:textId="77777777" w:rsidR="00EA7676" w:rsidRPr="005E779E" w:rsidRDefault="00EA7676" w:rsidP="000B7A6C">
      <w:pPr>
        <w:pStyle w:val="rtejustify"/>
        <w:spacing w:before="0" w:after="0"/>
        <w:rPr>
          <w:color w:val="000000" w:themeColor="text1"/>
          <w:sz w:val="16"/>
          <w:szCs w:val="16"/>
        </w:rPr>
      </w:pPr>
      <w:r w:rsidRPr="005E779E">
        <w:rPr>
          <w:color w:val="000000" w:themeColor="text1"/>
          <w:sz w:val="16"/>
          <w:szCs w:val="16"/>
        </w:rPr>
        <w:t>ЦК ВКП(б) констатирует, что строительство новых инструментальных заводов в Москве, а также окончание реконструкции существующих (Златоуст, МИЗ, ТИЗ, Ильич) протекает без необходимых темпов, подготовка кадров крайне неудовлетворительна, техпомощь и привлечение иностранных специалистов недостаточно.</w:t>
      </w:r>
    </w:p>
    <w:p w14:paraId="746EA4B0" w14:textId="77777777" w:rsidR="00EA7676" w:rsidRPr="005E779E" w:rsidRDefault="00EA7676" w:rsidP="000B7A6C">
      <w:pPr>
        <w:pStyle w:val="rtejustify"/>
        <w:spacing w:before="0" w:after="0"/>
        <w:rPr>
          <w:color w:val="000000" w:themeColor="text1"/>
          <w:sz w:val="16"/>
          <w:szCs w:val="16"/>
        </w:rPr>
      </w:pPr>
      <w:r w:rsidRPr="005E779E">
        <w:rPr>
          <w:color w:val="000000" w:themeColor="text1"/>
          <w:sz w:val="16"/>
          <w:szCs w:val="16"/>
        </w:rPr>
        <w:t>ЦК ВКП(б) постановляет:</w:t>
      </w:r>
    </w:p>
    <w:p w14:paraId="53B0E275" w14:textId="77777777" w:rsidR="00EA7676" w:rsidRPr="005E779E" w:rsidRDefault="00EA7676" w:rsidP="000B7A6C">
      <w:pPr>
        <w:pStyle w:val="rtejustify"/>
        <w:spacing w:before="0" w:after="0"/>
        <w:rPr>
          <w:color w:val="000000" w:themeColor="text1"/>
          <w:sz w:val="16"/>
          <w:szCs w:val="16"/>
        </w:rPr>
      </w:pPr>
      <w:r w:rsidRPr="005E779E">
        <w:rPr>
          <w:color w:val="000000" w:themeColor="text1"/>
          <w:sz w:val="16"/>
          <w:szCs w:val="16"/>
        </w:rPr>
        <w:t>1. Обеспечить пуск в эксплуатацию завода режущих инструментов в Москве (“Фрезер”) к 1 апреля 1932 г., а завода мерительных инструментов в Москве (“Калибр”) к 1 июля 1932 г.</w:t>
      </w:r>
    </w:p>
    <w:p w14:paraId="43EC7959" w14:textId="77777777" w:rsidR="00EA7676" w:rsidRPr="005E779E" w:rsidRDefault="00EA7676" w:rsidP="000B7A6C">
      <w:pPr>
        <w:pStyle w:val="rtejustify"/>
        <w:spacing w:before="0" w:after="0"/>
        <w:rPr>
          <w:color w:val="000000" w:themeColor="text1"/>
          <w:sz w:val="16"/>
          <w:szCs w:val="16"/>
        </w:rPr>
      </w:pPr>
      <w:r w:rsidRPr="005E779E">
        <w:rPr>
          <w:color w:val="000000" w:themeColor="text1"/>
          <w:sz w:val="16"/>
          <w:szCs w:val="16"/>
        </w:rPr>
        <w:t>2. Провести в 1931 г. все необходимые подготовительные работы для строительства в 1932 г. нового инструментального завода на Урале.</w:t>
      </w:r>
    </w:p>
    <w:p w14:paraId="61F812D0" w14:textId="77777777" w:rsidR="00EA7676" w:rsidRPr="005E779E" w:rsidRDefault="00EA7676" w:rsidP="000B7A6C">
      <w:pPr>
        <w:pStyle w:val="rtejustify"/>
        <w:spacing w:before="0" w:after="0"/>
        <w:rPr>
          <w:color w:val="000000" w:themeColor="text1"/>
          <w:sz w:val="16"/>
          <w:szCs w:val="16"/>
        </w:rPr>
      </w:pPr>
      <w:r w:rsidRPr="005E779E">
        <w:rPr>
          <w:color w:val="000000" w:themeColor="text1"/>
          <w:sz w:val="16"/>
          <w:szCs w:val="16"/>
        </w:rPr>
        <w:t>3. Включить строительство инструментальных заводов в круг ударных строительств в отношении порядка и первоочередности снабжения.</w:t>
      </w:r>
    </w:p>
    <w:p w14:paraId="04F69A58" w14:textId="77777777" w:rsidR="00EA7676" w:rsidRPr="005E779E" w:rsidRDefault="00EA7676" w:rsidP="000B7A6C">
      <w:pPr>
        <w:pStyle w:val="rtejustify"/>
        <w:spacing w:before="0" w:after="0"/>
        <w:rPr>
          <w:color w:val="000000" w:themeColor="text1"/>
          <w:sz w:val="16"/>
          <w:szCs w:val="16"/>
        </w:rPr>
      </w:pPr>
      <w:r w:rsidRPr="005E779E">
        <w:rPr>
          <w:color w:val="000000" w:themeColor="text1"/>
          <w:sz w:val="16"/>
          <w:szCs w:val="16"/>
        </w:rPr>
        <w:t>Обязать ВСНХ обеспечить строительство этих заводов как с финансовой стороны, так и со стороны оборудования и материалов в полном объеме в соответствии с установленными сроками окончания строительства.</w:t>
      </w:r>
    </w:p>
    <w:p w14:paraId="038BE136" w14:textId="77777777" w:rsidR="00EA7676" w:rsidRPr="005E779E" w:rsidRDefault="00EA7676" w:rsidP="000B7A6C">
      <w:pPr>
        <w:pStyle w:val="rtejustify"/>
        <w:spacing w:before="0" w:after="0"/>
        <w:rPr>
          <w:color w:val="000000" w:themeColor="text1"/>
          <w:sz w:val="16"/>
          <w:szCs w:val="16"/>
        </w:rPr>
      </w:pPr>
      <w:r w:rsidRPr="005E779E">
        <w:rPr>
          <w:color w:val="000000" w:themeColor="text1"/>
          <w:sz w:val="16"/>
          <w:szCs w:val="16"/>
        </w:rPr>
        <w:t>4. Предложить Союзстрою и Мособлстрою выполнять безоговорочно установленный совместно с Союзстанкоинструментом календарный план строительства указанных заводов.</w:t>
      </w:r>
    </w:p>
    <w:p w14:paraId="284B93C9" w14:textId="77777777" w:rsidR="00EA7676" w:rsidRPr="005E779E" w:rsidRDefault="00EA7676" w:rsidP="000B7A6C">
      <w:pPr>
        <w:pStyle w:val="rtejustify"/>
        <w:spacing w:before="0" w:after="0"/>
        <w:rPr>
          <w:color w:val="000000" w:themeColor="text1"/>
          <w:sz w:val="16"/>
          <w:szCs w:val="16"/>
        </w:rPr>
      </w:pPr>
      <w:r w:rsidRPr="005E779E">
        <w:rPr>
          <w:color w:val="000000" w:themeColor="text1"/>
          <w:sz w:val="16"/>
          <w:szCs w:val="16"/>
        </w:rPr>
        <w:t>5. ВСНХ и Наркомвнешторгу обеспечить полностью, в пределах отпускаемых контингентов, поступление импортного оборудования, начиная с августа месяца 1931 г. Начать немедленно реализацию контингентов на импортное оборудование по ремонтно-инструментальным цехам этих заводов.</w:t>
      </w:r>
    </w:p>
    <w:p w14:paraId="76713E36" w14:textId="77777777" w:rsidR="00EA7676" w:rsidRPr="005E779E" w:rsidRDefault="00EA7676" w:rsidP="000B7A6C">
      <w:pPr>
        <w:pStyle w:val="rtejustify"/>
        <w:spacing w:before="0" w:after="0"/>
        <w:rPr>
          <w:color w:val="000000" w:themeColor="text1"/>
          <w:sz w:val="16"/>
          <w:szCs w:val="16"/>
        </w:rPr>
      </w:pPr>
      <w:r w:rsidRPr="005E779E">
        <w:rPr>
          <w:color w:val="000000" w:themeColor="text1"/>
          <w:sz w:val="16"/>
          <w:szCs w:val="16"/>
        </w:rPr>
        <w:t>6. Обеспечить пуск в эксплуатацию 3</w:t>
      </w:r>
      <w:r w:rsidRPr="005E779E">
        <w:rPr>
          <w:color w:val="000000" w:themeColor="text1"/>
          <w:sz w:val="16"/>
          <w:szCs w:val="16"/>
        </w:rPr>
        <w:noBreakHyphen/>
        <w:t>х вновь строящихся лекальных цехов (Златоуст, МИЗ, ТИЗ), не позднее 1.VI.31 г. с тем, чтобы эти цеха в 1932 г. дали продукцию на сумму 18.000.000 руб.</w:t>
      </w:r>
    </w:p>
    <w:p w14:paraId="716CA6A9" w14:textId="77777777" w:rsidR="00EA7676" w:rsidRPr="005E779E" w:rsidRDefault="00EA7676" w:rsidP="000B7A6C">
      <w:pPr>
        <w:pStyle w:val="rtejustify"/>
        <w:spacing w:before="0" w:after="0"/>
        <w:rPr>
          <w:color w:val="000000" w:themeColor="text1"/>
          <w:sz w:val="16"/>
          <w:szCs w:val="16"/>
        </w:rPr>
      </w:pPr>
      <w:r w:rsidRPr="005E779E">
        <w:rPr>
          <w:color w:val="000000" w:themeColor="text1"/>
          <w:sz w:val="16"/>
          <w:szCs w:val="16"/>
        </w:rPr>
        <w:t>ВСНХ и Наркомвнешторгу обеспечить своевременное поступление назначенного для них импортного оборудования.</w:t>
      </w:r>
    </w:p>
    <w:p w14:paraId="704283C6" w14:textId="77777777" w:rsidR="00EA7676" w:rsidRPr="005E779E" w:rsidRDefault="00EA7676" w:rsidP="000B7A6C">
      <w:pPr>
        <w:pStyle w:val="rtejustify"/>
        <w:spacing w:before="0" w:after="0"/>
        <w:rPr>
          <w:color w:val="000000" w:themeColor="text1"/>
          <w:sz w:val="16"/>
          <w:szCs w:val="16"/>
        </w:rPr>
      </w:pPr>
      <w:r w:rsidRPr="005E779E">
        <w:rPr>
          <w:color w:val="000000" w:themeColor="text1"/>
          <w:sz w:val="16"/>
          <w:szCs w:val="16"/>
        </w:rPr>
        <w:t>7. Для своевременного обеспечения строительства новых заводов и цехов оборудованием (изготовляемым в Союзе), предложить Союзстанкоинструменту:</w:t>
      </w:r>
    </w:p>
    <w:p w14:paraId="42C62FCD" w14:textId="77777777" w:rsidR="00EA7676" w:rsidRPr="005E779E" w:rsidRDefault="00EA7676" w:rsidP="000B7A6C">
      <w:pPr>
        <w:pStyle w:val="rtejustify"/>
        <w:spacing w:before="0" w:after="0"/>
        <w:rPr>
          <w:color w:val="000000" w:themeColor="text1"/>
          <w:sz w:val="16"/>
          <w:szCs w:val="16"/>
        </w:rPr>
      </w:pPr>
      <w:r w:rsidRPr="005E779E">
        <w:rPr>
          <w:color w:val="000000" w:themeColor="text1"/>
          <w:sz w:val="16"/>
          <w:szCs w:val="16"/>
        </w:rPr>
        <w:t>а) в месячный срок разработать график изготовления и поступления оборудования, с указанием заводов-поставщиков и сроков завоза;</w:t>
      </w:r>
    </w:p>
    <w:p w14:paraId="4824A277" w14:textId="77777777" w:rsidR="00EA7676" w:rsidRPr="005E779E" w:rsidRDefault="00EA7676" w:rsidP="000B7A6C">
      <w:pPr>
        <w:pStyle w:val="rtejustify"/>
        <w:spacing w:before="0" w:after="0"/>
        <w:rPr>
          <w:color w:val="000000" w:themeColor="text1"/>
          <w:sz w:val="16"/>
          <w:szCs w:val="16"/>
        </w:rPr>
      </w:pPr>
      <w:r w:rsidRPr="005E779E">
        <w:rPr>
          <w:color w:val="000000" w:themeColor="text1"/>
          <w:sz w:val="16"/>
          <w:szCs w:val="16"/>
        </w:rPr>
        <w:t>б) Союзстанкоинструменту добиться доведения в кратчайший срок заказов на оборудование непосредственно до заводов их изготовляющих и оформления договоров с соответствующими поставщиками.</w:t>
      </w:r>
    </w:p>
    <w:p w14:paraId="407984A6" w14:textId="77777777" w:rsidR="00EA7676" w:rsidRPr="005E779E" w:rsidRDefault="00EA7676" w:rsidP="000B7A6C">
      <w:pPr>
        <w:pStyle w:val="rtejustify"/>
        <w:spacing w:before="0" w:after="0"/>
        <w:rPr>
          <w:color w:val="000000" w:themeColor="text1"/>
          <w:sz w:val="16"/>
          <w:szCs w:val="16"/>
        </w:rPr>
      </w:pPr>
      <w:r w:rsidRPr="005E779E">
        <w:rPr>
          <w:color w:val="000000" w:themeColor="text1"/>
          <w:sz w:val="16"/>
          <w:szCs w:val="16"/>
        </w:rPr>
        <w:t>8. В целях получения в кратчайший срок коренного улучшения качества получаемой продукции, предложить:</w:t>
      </w:r>
    </w:p>
    <w:p w14:paraId="10E2B0D8" w14:textId="77777777" w:rsidR="00EA7676" w:rsidRPr="005E779E" w:rsidRDefault="00EA7676" w:rsidP="000B7A6C">
      <w:pPr>
        <w:pStyle w:val="rtejustify"/>
        <w:spacing w:before="0" w:after="0"/>
        <w:rPr>
          <w:color w:val="000000" w:themeColor="text1"/>
          <w:sz w:val="16"/>
          <w:szCs w:val="16"/>
        </w:rPr>
      </w:pPr>
      <w:r w:rsidRPr="005E779E">
        <w:rPr>
          <w:color w:val="000000" w:themeColor="text1"/>
          <w:sz w:val="16"/>
          <w:szCs w:val="16"/>
        </w:rPr>
        <w:t>а) ВСНХ обеспечить регулярное снабжение качественной и инструментальной сталью инструментальные заводы, прикрепив их к определенным заводам — поставщикам стали. Заводоуправлениям и местным организациям предприятий, поставляющих инструментальным заводам сталь, взять под особое наблюдение аккуратность и стандартность качества поставляемой стали;</w:t>
      </w:r>
    </w:p>
    <w:p w14:paraId="63A70E75" w14:textId="77777777" w:rsidR="00EA7676" w:rsidRPr="005E779E" w:rsidRDefault="00EA7676" w:rsidP="000B7A6C">
      <w:pPr>
        <w:pStyle w:val="rtejustify"/>
        <w:spacing w:before="0" w:after="0"/>
        <w:rPr>
          <w:color w:val="000000" w:themeColor="text1"/>
          <w:sz w:val="16"/>
          <w:szCs w:val="16"/>
        </w:rPr>
      </w:pPr>
      <w:r w:rsidRPr="005E779E">
        <w:rPr>
          <w:color w:val="000000" w:themeColor="text1"/>
          <w:sz w:val="16"/>
          <w:szCs w:val="16"/>
        </w:rPr>
        <w:t>б) ВСНХ в 2</w:t>
      </w:r>
      <w:r w:rsidRPr="005E779E">
        <w:rPr>
          <w:color w:val="000000" w:themeColor="text1"/>
          <w:sz w:val="16"/>
          <w:szCs w:val="16"/>
        </w:rPr>
        <w:noBreakHyphen/>
        <w:t>х месячный срок установить технические условия на сталь, применяемую для производства инструмента. Союзстанкоинструменту проводить в дальнейшем жесткую приемку стали у заводов производителей;</w:t>
      </w:r>
    </w:p>
    <w:p w14:paraId="1AE27CFE" w14:textId="77777777" w:rsidR="00EA7676" w:rsidRPr="005E779E" w:rsidRDefault="00EA7676" w:rsidP="000B7A6C">
      <w:pPr>
        <w:pStyle w:val="rtejustify"/>
        <w:spacing w:before="0" w:after="0"/>
        <w:rPr>
          <w:color w:val="000000" w:themeColor="text1"/>
          <w:sz w:val="16"/>
          <w:szCs w:val="16"/>
        </w:rPr>
      </w:pPr>
      <w:r w:rsidRPr="005E779E">
        <w:rPr>
          <w:color w:val="000000" w:themeColor="text1"/>
          <w:sz w:val="16"/>
          <w:szCs w:val="16"/>
        </w:rPr>
        <w:t>в) Союзстанкоинструменту организовать постоянную строжайшую приемку выпускаемой на заводах инструментальной продукции в соответствии с установленными техническими условиями;</w:t>
      </w:r>
    </w:p>
    <w:p w14:paraId="7DE1D19E" w14:textId="77777777" w:rsidR="00EA7676" w:rsidRPr="005E779E" w:rsidRDefault="00EA7676" w:rsidP="000B7A6C">
      <w:pPr>
        <w:pStyle w:val="rtejustify"/>
        <w:spacing w:before="0" w:after="0"/>
        <w:rPr>
          <w:color w:val="000000" w:themeColor="text1"/>
          <w:sz w:val="16"/>
          <w:szCs w:val="16"/>
        </w:rPr>
      </w:pPr>
      <w:r w:rsidRPr="005E779E">
        <w:rPr>
          <w:color w:val="000000" w:themeColor="text1"/>
          <w:sz w:val="16"/>
          <w:szCs w:val="16"/>
        </w:rPr>
        <w:t>г) Наркомвнешторгу обеспечить в кратчайший срок приобретение в счет имеющихся контингентов, контрольно-мерительных приборов и инструментов для контрольных отделов лабораторий и термических цехов инструментальных заводов;</w:t>
      </w:r>
    </w:p>
    <w:p w14:paraId="5B33A730" w14:textId="77777777" w:rsidR="00EA7676" w:rsidRPr="005E779E" w:rsidRDefault="00EA7676" w:rsidP="000B7A6C">
      <w:pPr>
        <w:pStyle w:val="rtejustify"/>
        <w:spacing w:before="0" w:after="0"/>
        <w:rPr>
          <w:color w:val="000000" w:themeColor="text1"/>
          <w:sz w:val="16"/>
          <w:szCs w:val="16"/>
        </w:rPr>
      </w:pPr>
      <w:r w:rsidRPr="005E779E">
        <w:rPr>
          <w:color w:val="000000" w:themeColor="text1"/>
          <w:sz w:val="16"/>
          <w:szCs w:val="16"/>
        </w:rPr>
        <w:t>д) ВСНХ довести в течение 1931 г. до 50% изготовление режущего инструмента из быстрорежущей стали;</w:t>
      </w:r>
    </w:p>
    <w:p w14:paraId="67A1C1F7" w14:textId="77777777" w:rsidR="00EA7676" w:rsidRPr="005E779E" w:rsidRDefault="00EA7676" w:rsidP="000B7A6C">
      <w:pPr>
        <w:pStyle w:val="rtejustify"/>
        <w:spacing w:before="0" w:after="0"/>
        <w:rPr>
          <w:color w:val="000000" w:themeColor="text1"/>
          <w:sz w:val="16"/>
          <w:szCs w:val="16"/>
        </w:rPr>
      </w:pPr>
      <w:r w:rsidRPr="005E779E">
        <w:rPr>
          <w:color w:val="000000" w:themeColor="text1"/>
          <w:sz w:val="16"/>
          <w:szCs w:val="16"/>
        </w:rPr>
        <w:t>е) Союзстанкоинструменту добиться в конце 1931 г. норм режущих свойств инструмента не ниже 80% от режущих свойств инструмента иностранных заводов;</w:t>
      </w:r>
    </w:p>
    <w:p w14:paraId="439AFF4A" w14:textId="77777777" w:rsidR="00EA7676" w:rsidRPr="005E779E" w:rsidRDefault="00EA7676" w:rsidP="000B7A6C">
      <w:pPr>
        <w:pStyle w:val="rtejustify"/>
        <w:spacing w:before="0" w:after="0"/>
        <w:rPr>
          <w:color w:val="000000" w:themeColor="text1"/>
          <w:sz w:val="16"/>
          <w:szCs w:val="16"/>
        </w:rPr>
      </w:pPr>
      <w:r w:rsidRPr="005E779E">
        <w:rPr>
          <w:color w:val="000000" w:themeColor="text1"/>
          <w:sz w:val="16"/>
          <w:szCs w:val="16"/>
        </w:rPr>
        <w:t>ж) Военведу, при разработке чертежей огнеприпасов, холодного оружия и материальной части артиллерии, твердо руководствоваться установленными стандартами ОСТа.</w:t>
      </w:r>
    </w:p>
    <w:p w14:paraId="2C409C91" w14:textId="77777777" w:rsidR="00EA7676" w:rsidRPr="005E779E" w:rsidRDefault="00EA7676" w:rsidP="000B7A6C">
      <w:pPr>
        <w:pStyle w:val="rtejustify"/>
        <w:spacing w:before="0" w:after="0"/>
        <w:rPr>
          <w:color w:val="000000" w:themeColor="text1"/>
          <w:sz w:val="16"/>
          <w:szCs w:val="16"/>
        </w:rPr>
      </w:pPr>
      <w:r w:rsidRPr="005E779E">
        <w:rPr>
          <w:color w:val="000000" w:themeColor="text1"/>
          <w:sz w:val="16"/>
          <w:szCs w:val="16"/>
        </w:rPr>
        <w:t>9. Союзстанкоинструменту довести в течение 1931 г. коэффициент сменности до 2½ на существующих инструментальных заводах и цехах. Одновременно с этим, предложить ВСНХ дополнительно загрузить инструментальные цеха существующих заводов производством нормального инструмента.</w:t>
      </w:r>
    </w:p>
    <w:p w14:paraId="45C3229E" w14:textId="77777777" w:rsidR="00EA7676" w:rsidRPr="005E779E" w:rsidRDefault="00EA7676" w:rsidP="000B7A6C">
      <w:pPr>
        <w:pStyle w:val="rtejustify"/>
        <w:spacing w:before="0" w:after="0"/>
        <w:rPr>
          <w:color w:val="000000" w:themeColor="text1"/>
          <w:sz w:val="16"/>
          <w:szCs w:val="16"/>
        </w:rPr>
      </w:pPr>
      <w:r w:rsidRPr="005E779E">
        <w:rPr>
          <w:color w:val="000000" w:themeColor="text1"/>
          <w:sz w:val="16"/>
          <w:szCs w:val="16"/>
        </w:rPr>
        <w:t>В 2</w:t>
      </w:r>
      <w:r w:rsidRPr="005E779E">
        <w:rPr>
          <w:color w:val="000000" w:themeColor="text1"/>
          <w:sz w:val="16"/>
          <w:szCs w:val="16"/>
        </w:rPr>
        <w:noBreakHyphen/>
        <w:t>х месячный срок Союзстанкоинструменту разработать конкретный план концентрации производства инструмента по отдельным районам.</w:t>
      </w:r>
    </w:p>
    <w:p w14:paraId="6A13ED39" w14:textId="77777777" w:rsidR="00EA7676" w:rsidRPr="005E779E" w:rsidRDefault="00EA7676" w:rsidP="000B7A6C">
      <w:pPr>
        <w:pStyle w:val="rtejustify"/>
        <w:spacing w:before="0" w:after="0"/>
        <w:rPr>
          <w:color w:val="000000" w:themeColor="text1"/>
          <w:sz w:val="16"/>
          <w:szCs w:val="16"/>
        </w:rPr>
      </w:pPr>
      <w:r w:rsidRPr="005E779E">
        <w:rPr>
          <w:color w:val="000000" w:themeColor="text1"/>
          <w:sz w:val="16"/>
          <w:szCs w:val="16"/>
        </w:rPr>
        <w:t>10. В целях наилучшего использования оборудования инструментальных цехов на всех заводах, главным образом, на заводах инструментальных, поручить ВСНХ при изготовлении оборудования обратить особое внимание на широкое применение приспособлений.</w:t>
      </w:r>
    </w:p>
    <w:p w14:paraId="19809E24" w14:textId="77777777" w:rsidR="00EA7676" w:rsidRPr="005E779E" w:rsidRDefault="00EA7676" w:rsidP="000B7A6C">
      <w:pPr>
        <w:pStyle w:val="rtejustify"/>
        <w:spacing w:before="0" w:after="0"/>
        <w:rPr>
          <w:color w:val="000000" w:themeColor="text1"/>
          <w:sz w:val="16"/>
          <w:szCs w:val="16"/>
        </w:rPr>
      </w:pPr>
      <w:r w:rsidRPr="005E779E">
        <w:rPr>
          <w:color w:val="000000" w:themeColor="text1"/>
          <w:sz w:val="16"/>
          <w:szCs w:val="16"/>
        </w:rPr>
        <w:t>Обязать ВСНХ поставить в порядок дня своей работы вопрос о необходимости организации специальных заводов по выработке приспособлений.</w:t>
      </w:r>
    </w:p>
    <w:p w14:paraId="763F9D45" w14:textId="77777777" w:rsidR="00EA7676" w:rsidRPr="005E779E" w:rsidRDefault="00EA7676" w:rsidP="000B7A6C">
      <w:pPr>
        <w:pStyle w:val="rtejustify"/>
        <w:spacing w:before="0" w:after="0"/>
        <w:rPr>
          <w:color w:val="000000" w:themeColor="text1"/>
          <w:sz w:val="16"/>
          <w:szCs w:val="16"/>
        </w:rPr>
      </w:pPr>
      <w:r w:rsidRPr="005E779E">
        <w:rPr>
          <w:color w:val="000000" w:themeColor="text1"/>
          <w:sz w:val="16"/>
          <w:szCs w:val="16"/>
        </w:rPr>
        <w:t>11. Обязать ВСНХ в декадный срок точно установить добавочный размер необходимых дополнительных ассигнований в 1931 году на подготовку кадров лекальщиков, а также на капитальное строительство по кадрам и при одном из вузов организовать специальный факультет по подготовке специалистов по абразивному делу.</w:t>
      </w:r>
    </w:p>
    <w:p w14:paraId="01816A3D" w14:textId="77777777" w:rsidR="00EA7676" w:rsidRPr="005E779E" w:rsidRDefault="00EA7676" w:rsidP="000B7A6C">
      <w:pPr>
        <w:pStyle w:val="rtejustify"/>
        <w:spacing w:before="0" w:after="0"/>
        <w:rPr>
          <w:color w:val="000000" w:themeColor="text1"/>
          <w:sz w:val="16"/>
          <w:szCs w:val="16"/>
        </w:rPr>
      </w:pPr>
      <w:r w:rsidRPr="005E779E">
        <w:rPr>
          <w:color w:val="000000" w:themeColor="text1"/>
          <w:sz w:val="16"/>
          <w:szCs w:val="16"/>
        </w:rPr>
        <w:t>12. ВСНХ, совместно с Наркомвнешторгом, в месячный срок рассмотреть и представить на утверждение ЦК конкретное предложение на приобретение одного из действующих заграницей инструментальных заводов по специальному и контрольно-мерительному инструменту.</w:t>
      </w:r>
    </w:p>
    <w:p w14:paraId="5CD55789" w14:textId="77777777" w:rsidR="00EA7676" w:rsidRPr="005E779E" w:rsidRDefault="00EA7676" w:rsidP="000B7A6C">
      <w:pPr>
        <w:pStyle w:val="rtejustify"/>
        <w:spacing w:before="0" w:after="0"/>
        <w:rPr>
          <w:color w:val="000000" w:themeColor="text1"/>
          <w:sz w:val="16"/>
          <w:szCs w:val="16"/>
        </w:rPr>
      </w:pPr>
      <w:r w:rsidRPr="005E779E">
        <w:rPr>
          <w:color w:val="000000" w:themeColor="text1"/>
          <w:sz w:val="16"/>
          <w:szCs w:val="16"/>
        </w:rPr>
        <w:t>Обеспечить в 1931 г. необходимые суммы для техпомощи по наладке в Союзе производства специально режущего и мерительного инструмента (долбняки к станкам фелло, производство плиток Иогансена и проч.) и для завоза иностранных специалистов.</w:t>
      </w:r>
    </w:p>
    <w:p w14:paraId="7F8C1781" w14:textId="77777777" w:rsidR="00EA7676" w:rsidRPr="005E779E" w:rsidRDefault="00EA7676" w:rsidP="000B7A6C">
      <w:pPr>
        <w:pStyle w:val="rtejustify"/>
        <w:spacing w:before="0" w:after="0"/>
        <w:rPr>
          <w:color w:val="000000" w:themeColor="text1"/>
          <w:sz w:val="16"/>
          <w:szCs w:val="16"/>
        </w:rPr>
      </w:pPr>
      <w:r w:rsidRPr="005E779E">
        <w:rPr>
          <w:color w:val="000000" w:themeColor="text1"/>
          <w:sz w:val="16"/>
          <w:szCs w:val="16"/>
        </w:rPr>
        <w:t>В целях быстрого освоения иностранного опыта изготовления контрольно-мерительного и специального режущего инструмента, командировать заграницу группу рабочих и технического персонала в количестве 100 человек для вновь строящихся инструментальных заводов.</w:t>
      </w:r>
    </w:p>
    <w:p w14:paraId="3C6EBB61" w14:textId="77777777" w:rsidR="00EA7676" w:rsidRPr="005E779E" w:rsidRDefault="00EA7676" w:rsidP="000B7A6C">
      <w:pPr>
        <w:pStyle w:val="rtejustify"/>
        <w:spacing w:before="0" w:after="0"/>
        <w:rPr>
          <w:color w:val="000000" w:themeColor="text1"/>
          <w:sz w:val="16"/>
          <w:szCs w:val="16"/>
        </w:rPr>
      </w:pPr>
      <w:r w:rsidRPr="005E779E">
        <w:rPr>
          <w:color w:val="000000" w:themeColor="text1"/>
          <w:sz w:val="16"/>
          <w:szCs w:val="16"/>
        </w:rPr>
        <w:t>13. Для полного освобождения к 1933 г. от ввоза из заграницы изделий абразивной промышленности предложить ВСНХ пересмотреть под этим углом зрения план капитальных работ на 1931 г. по абразивной промышленности, а также по разработке и добыче как искусственного, так и естественного сырья для этой промышленности.</w:t>
      </w:r>
    </w:p>
    <w:p w14:paraId="7F175A77" w14:textId="77777777" w:rsidR="00EA7676" w:rsidRPr="005E779E" w:rsidRDefault="00EA7676" w:rsidP="000B7A6C">
      <w:pPr>
        <w:pStyle w:val="rtejustify"/>
        <w:spacing w:before="0" w:after="0"/>
        <w:rPr>
          <w:color w:val="000000" w:themeColor="text1"/>
          <w:sz w:val="16"/>
          <w:szCs w:val="16"/>
        </w:rPr>
      </w:pPr>
      <w:r w:rsidRPr="005E779E">
        <w:rPr>
          <w:color w:val="000000" w:themeColor="text1"/>
          <w:sz w:val="16"/>
          <w:szCs w:val="16"/>
        </w:rPr>
        <w:t>14. ВСНХ в шестимесячный срок разработать пятилетний план покрытия потребности в контрольно-мерительном и режущем инструменте и абразивных изделиях, учтя в первую очередь, нужды мобзапаса, текущие нужды военного ведомства, нужды автотракторной, авиационной и станко-инструментальной промышленности, тяжелого машиностроения и транспорта. В соответствии с этим, разработать план покрытия потребности в качественных и инструментальных сталях.</w:t>
      </w:r>
    </w:p>
    <w:p w14:paraId="3DF68C74" w14:textId="77777777" w:rsidR="00EA7676" w:rsidRPr="005E779E" w:rsidRDefault="00EA7676" w:rsidP="000B7A6C">
      <w:pPr>
        <w:pStyle w:val="rtejustify"/>
        <w:spacing w:before="0" w:after="0"/>
        <w:rPr>
          <w:color w:val="000000" w:themeColor="text1"/>
          <w:sz w:val="16"/>
          <w:szCs w:val="16"/>
        </w:rPr>
      </w:pPr>
      <w:r w:rsidRPr="005E779E">
        <w:rPr>
          <w:color w:val="000000" w:themeColor="text1"/>
          <w:sz w:val="16"/>
          <w:szCs w:val="16"/>
        </w:rPr>
        <w:t>15. В целях мобилизации инструментальных средств предприятий:</w:t>
      </w:r>
    </w:p>
    <w:p w14:paraId="3677167B" w14:textId="77777777" w:rsidR="00EA7676" w:rsidRPr="005E779E" w:rsidRDefault="00EA7676" w:rsidP="000B7A6C">
      <w:pPr>
        <w:pStyle w:val="rtejustify"/>
        <w:spacing w:before="0" w:after="0"/>
        <w:rPr>
          <w:color w:val="000000" w:themeColor="text1"/>
          <w:sz w:val="16"/>
          <w:szCs w:val="16"/>
        </w:rPr>
      </w:pPr>
      <w:r w:rsidRPr="005E779E">
        <w:rPr>
          <w:color w:val="000000" w:themeColor="text1"/>
          <w:sz w:val="16"/>
          <w:szCs w:val="16"/>
        </w:rPr>
        <w:t>а) произвести широкою кампанию за изъятие излишков запасов инструмента и инструментальной стали из рабочих мест;</w:t>
      </w:r>
    </w:p>
    <w:p w14:paraId="11A64C72" w14:textId="77777777" w:rsidR="00EA7676" w:rsidRPr="005E779E" w:rsidRDefault="00EA7676" w:rsidP="000B7A6C">
      <w:pPr>
        <w:pStyle w:val="rtejustify"/>
        <w:spacing w:before="0" w:after="0"/>
        <w:rPr>
          <w:color w:val="000000" w:themeColor="text1"/>
          <w:sz w:val="16"/>
          <w:szCs w:val="16"/>
        </w:rPr>
      </w:pPr>
      <w:r w:rsidRPr="005E779E">
        <w:rPr>
          <w:color w:val="000000" w:themeColor="text1"/>
          <w:sz w:val="16"/>
          <w:szCs w:val="16"/>
        </w:rPr>
        <w:t>б) установить на предприятиях для каждой профессии минимальный комплект инструмента, находящегося у отдельного рабочего и пересмотреть эти комплекты там, где это уже практикуется;</w:t>
      </w:r>
    </w:p>
    <w:p w14:paraId="33CF6A23" w14:textId="77777777" w:rsidR="00EA7676" w:rsidRPr="005E779E" w:rsidRDefault="00EA7676" w:rsidP="000B7A6C">
      <w:pPr>
        <w:pStyle w:val="rtejustify"/>
        <w:spacing w:before="0" w:after="0"/>
        <w:rPr>
          <w:color w:val="000000" w:themeColor="text1"/>
          <w:sz w:val="16"/>
          <w:szCs w:val="16"/>
        </w:rPr>
      </w:pPr>
      <w:r w:rsidRPr="005E779E">
        <w:rPr>
          <w:color w:val="000000" w:themeColor="text1"/>
          <w:sz w:val="16"/>
          <w:szCs w:val="16"/>
        </w:rPr>
        <w:t>в) установить регулярное возвращение в кладовую инструмента для его осмотра и исправления.</w:t>
      </w:r>
    </w:p>
    <w:p w14:paraId="37278773" w14:textId="77777777" w:rsidR="00EA7676" w:rsidRPr="005E779E" w:rsidRDefault="00EA7676" w:rsidP="000B7A6C">
      <w:pPr>
        <w:pStyle w:val="rtejustify"/>
        <w:spacing w:before="0" w:after="0"/>
        <w:rPr>
          <w:color w:val="000000" w:themeColor="text1"/>
          <w:sz w:val="16"/>
          <w:szCs w:val="16"/>
        </w:rPr>
      </w:pPr>
      <w:r w:rsidRPr="005E779E">
        <w:rPr>
          <w:color w:val="000000" w:themeColor="text1"/>
          <w:sz w:val="16"/>
          <w:szCs w:val="16"/>
        </w:rPr>
        <w:t>16. Для обеспечения единого руководства лекально-калиберным делом Союза ВСНХ организовать главное лекальное управление, поручив ему представить в советском порядке соответствующее положение об этом управлении на утверждение. Обязать ВСНХ укомплектовать это управление специалистами по лекальному делу.</w:t>
      </w:r>
    </w:p>
    <w:p w14:paraId="02840C3D" w14:textId="77777777" w:rsidR="00EA7676" w:rsidRPr="005E779E" w:rsidRDefault="00EA7676" w:rsidP="000B7A6C">
      <w:pPr>
        <w:pStyle w:val="rtejustify"/>
        <w:spacing w:before="0" w:after="0"/>
        <w:rPr>
          <w:color w:val="000000" w:themeColor="text1"/>
          <w:sz w:val="16"/>
          <w:szCs w:val="16"/>
        </w:rPr>
      </w:pPr>
      <w:r w:rsidRPr="005E779E">
        <w:rPr>
          <w:color w:val="000000" w:themeColor="text1"/>
          <w:sz w:val="16"/>
          <w:szCs w:val="16"/>
        </w:rPr>
        <w:t>Считать необходимым укрепить руководящий состав Союзстанкоинструмента необходимыми работниками.</w:t>
      </w:r>
    </w:p>
    <w:p w14:paraId="1ED64240" w14:textId="77777777" w:rsidR="00EA7676" w:rsidRPr="005E779E" w:rsidRDefault="00EA7676" w:rsidP="000B7A6C">
      <w:pPr>
        <w:pStyle w:val="rtejustify"/>
        <w:spacing w:before="0" w:after="0"/>
        <w:rPr>
          <w:color w:val="000000" w:themeColor="text1"/>
          <w:sz w:val="16"/>
          <w:szCs w:val="16"/>
        </w:rPr>
      </w:pPr>
      <w:r w:rsidRPr="005E779E">
        <w:rPr>
          <w:color w:val="000000" w:themeColor="text1"/>
          <w:sz w:val="16"/>
          <w:szCs w:val="16"/>
        </w:rPr>
        <w:t>ВСНХ принять немедленные меры к укомплектованию инженерно-техническими кадрами двух вновь строящихся инструментальных заводов в Москве.</w:t>
      </w:r>
    </w:p>
    <w:p w14:paraId="1CB84CAC" w14:textId="77777777" w:rsidR="00EA7676" w:rsidRPr="005E779E" w:rsidRDefault="00EA7676" w:rsidP="000B7A6C">
      <w:pPr>
        <w:pStyle w:val="rtejustify"/>
        <w:spacing w:before="0" w:after="0"/>
        <w:rPr>
          <w:color w:val="000000" w:themeColor="text1"/>
          <w:sz w:val="16"/>
          <w:szCs w:val="16"/>
        </w:rPr>
      </w:pPr>
      <w:r w:rsidRPr="005E779E">
        <w:rPr>
          <w:color w:val="000000" w:themeColor="text1"/>
          <w:sz w:val="16"/>
          <w:szCs w:val="16"/>
        </w:rPr>
        <w:t>Союзстанкоинструменту представить Главпромкадру подробный календарный план покрытия квалифицированной рабсилой для этих же заводов.</w:t>
      </w:r>
    </w:p>
    <w:p w14:paraId="65622E89" w14:textId="77777777" w:rsidR="00EA7676" w:rsidRPr="005E779E" w:rsidRDefault="00EA7676" w:rsidP="000B7A6C">
      <w:pPr>
        <w:pStyle w:val="rtejustify"/>
        <w:spacing w:before="0" w:after="0"/>
        <w:rPr>
          <w:color w:val="000000" w:themeColor="text1"/>
          <w:sz w:val="16"/>
          <w:szCs w:val="16"/>
        </w:rPr>
      </w:pPr>
      <w:r w:rsidRPr="005E779E">
        <w:rPr>
          <w:color w:val="000000" w:themeColor="text1"/>
          <w:sz w:val="16"/>
          <w:szCs w:val="16"/>
        </w:rPr>
        <w:t>17. В целях закрепления необходимых технических кадров для вновь нарождающейся инструментальной промышленности, считать необходимым освободить Союзстанкоинструмент от различных мобилизаций специалистов, а ВСНХ усилить Союзстанкоинструмент специалистами, работающими в настоящее время не по своей прямой специальности (17114).</w:t>
      </w:r>
    </w:p>
    <w:p w14:paraId="02A025A0" w14:textId="77777777" w:rsidR="00EA7676" w:rsidRPr="005E779E" w:rsidRDefault="00EA7676" w:rsidP="000B7A6C">
      <w:pPr>
        <w:shd w:val="clear" w:color="auto" w:fill="FFFFFF"/>
        <w:spacing w:after="0" w:line="240" w:lineRule="auto"/>
        <w:jc w:val="both"/>
        <w:rPr>
          <w:rFonts w:ascii="Times New Roman" w:hAnsi="Times New Roman"/>
          <w:color w:val="000000" w:themeColor="text1"/>
          <w:sz w:val="16"/>
          <w:szCs w:val="16"/>
        </w:rPr>
      </w:pPr>
    </w:p>
    <w:p w14:paraId="54D01529"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15 февраля 1931</w:t>
      </w:r>
      <w:r w:rsidRPr="005E779E">
        <w:rPr>
          <w:rFonts w:ascii="Times New Roman" w:hAnsi="Times New Roman"/>
          <w:color w:val="000000" w:themeColor="text1"/>
          <w:sz w:val="16"/>
          <w:szCs w:val="16"/>
        </w:rPr>
        <w:t>Политбюро ЦК ВКП (б) приняло постановления: об организации производства специального инструмента, о снабжении материалами автотракторной промышленности; предложило приравнять строительство Ташкентского завода хлопковых машин к ударным стройкам (12265).</w:t>
      </w:r>
    </w:p>
    <w:p w14:paraId="4DC89BEA"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24123E9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февраля 1931 г. был подготовлен ДОКЛАД НАЧАЛЬНИКА УММ В РВСР О ПОЛОЖЕНИИ ПО ОПЫТНЫМ ОБРАЗЦАМ СИСТЕМЫ АБТВ</w:t>
      </w:r>
    </w:p>
    <w:p w14:paraId="6AF7235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Москва</w:t>
      </w:r>
    </w:p>
    <w:p w14:paraId="26143C5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Во исполнение постановления РВС от 17-18 июля 1929 г., 13 июля 1930 г., 10 декабря 1929 г. и ре</w:t>
      </w:r>
      <w:r w:rsidRPr="005E779E">
        <w:rPr>
          <w:rFonts w:ascii="Times New Roman" w:hAnsi="Times New Roman"/>
          <w:color w:val="000000" w:themeColor="text1"/>
          <w:sz w:val="16"/>
          <w:szCs w:val="16"/>
        </w:rPr>
        <w:softHyphen/>
        <w:t>шений Совещания зампредов от 6 ноября 1930 г. мною был представлен доклад Революционному во</w:t>
      </w:r>
      <w:r w:rsidRPr="005E779E">
        <w:rPr>
          <w:rFonts w:ascii="Times New Roman" w:hAnsi="Times New Roman"/>
          <w:color w:val="000000" w:themeColor="text1"/>
          <w:sz w:val="16"/>
          <w:szCs w:val="16"/>
        </w:rPr>
        <w:softHyphen/>
        <w:t>енному совету 6 января 1931 г. о ходе реализации системы автобронетанкового вооружения.</w:t>
      </w:r>
    </w:p>
    <w:p w14:paraId="715CA1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Так как до 13 февраля РВС не смог заслушать моего доклада и так как за истекший период состо</w:t>
      </w:r>
      <w:r w:rsidRPr="005E779E">
        <w:rPr>
          <w:rFonts w:ascii="Times New Roman" w:hAnsi="Times New Roman"/>
          <w:color w:val="000000" w:themeColor="text1"/>
          <w:sz w:val="16"/>
          <w:szCs w:val="16"/>
        </w:rPr>
        <w:softHyphen/>
        <w:t>яние опытных работ другое чем то, в котором я докладывал 6 января, то представляю настоящий до</w:t>
      </w:r>
      <w:r w:rsidRPr="005E779E">
        <w:rPr>
          <w:rFonts w:ascii="Times New Roman" w:hAnsi="Times New Roman"/>
          <w:color w:val="000000" w:themeColor="text1"/>
          <w:sz w:val="16"/>
          <w:szCs w:val="16"/>
        </w:rPr>
        <w:softHyphen/>
        <w:t>клад о положении по опытным образцам системы автобронетанкового вооружения:</w:t>
      </w:r>
    </w:p>
    <w:tbl>
      <w:tblPr>
        <w:tblW w:w="0" w:type="auto"/>
        <w:tblInd w:w="40" w:type="dxa"/>
        <w:tblLayout w:type="fixed"/>
        <w:tblCellMar>
          <w:left w:w="40" w:type="dxa"/>
          <w:right w:w="40" w:type="dxa"/>
        </w:tblCellMar>
        <w:tblLook w:val="0000" w:firstRow="0" w:lastRow="0" w:firstColumn="0" w:lastColumn="0" w:noHBand="0" w:noVBand="0"/>
      </w:tblPr>
      <w:tblGrid>
        <w:gridCol w:w="426"/>
        <w:gridCol w:w="1842"/>
        <w:gridCol w:w="3651"/>
        <w:gridCol w:w="6"/>
        <w:gridCol w:w="1734"/>
      </w:tblGrid>
      <w:tr w:rsidR="007122AB" w:rsidRPr="005E779E" w14:paraId="468989B6" w14:textId="77777777">
        <w:trPr>
          <w:trHeight w:val="374"/>
        </w:trPr>
        <w:tc>
          <w:tcPr>
            <w:tcW w:w="426" w:type="dxa"/>
            <w:tcBorders>
              <w:top w:val="single" w:sz="6" w:space="0" w:color="auto"/>
              <w:left w:val="single" w:sz="6" w:space="0" w:color="auto"/>
              <w:bottom w:val="single" w:sz="6" w:space="0" w:color="auto"/>
              <w:right w:val="single" w:sz="6" w:space="0" w:color="auto"/>
            </w:tcBorders>
          </w:tcPr>
          <w:p w14:paraId="09B0D81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п/п</w:t>
            </w:r>
          </w:p>
          <w:p w14:paraId="605F562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447907E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Перечень вопросов</w:t>
            </w:r>
          </w:p>
          <w:p w14:paraId="7231452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47" w:type="dxa"/>
            <w:tcBorders>
              <w:top w:val="single" w:sz="6" w:space="0" w:color="auto"/>
              <w:left w:val="single" w:sz="6" w:space="0" w:color="auto"/>
              <w:bottom w:val="single" w:sz="6" w:space="0" w:color="auto"/>
              <w:right w:val="single" w:sz="6" w:space="0" w:color="auto"/>
            </w:tcBorders>
          </w:tcPr>
          <w:p w14:paraId="67366B9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Положение вопроса</w:t>
            </w:r>
          </w:p>
          <w:p w14:paraId="2DC96C5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0" w:type="dxa"/>
            <w:gridSpan w:val="2"/>
            <w:tcBorders>
              <w:top w:val="single" w:sz="6" w:space="0" w:color="auto"/>
              <w:left w:val="single" w:sz="6" w:space="0" w:color="auto"/>
              <w:bottom w:val="single" w:sz="6" w:space="0" w:color="auto"/>
              <w:right w:val="single" w:sz="6" w:space="0" w:color="auto"/>
            </w:tcBorders>
          </w:tcPr>
          <w:p w14:paraId="234D6D0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Примечание</w:t>
            </w:r>
          </w:p>
          <w:p w14:paraId="6C5CFE0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14A7246A" w14:textId="77777777">
        <w:trPr>
          <w:trHeight w:val="1853"/>
        </w:trPr>
        <w:tc>
          <w:tcPr>
            <w:tcW w:w="426" w:type="dxa"/>
            <w:tcBorders>
              <w:top w:val="single" w:sz="6" w:space="0" w:color="auto"/>
              <w:left w:val="single" w:sz="6" w:space="0" w:color="auto"/>
              <w:bottom w:val="single" w:sz="6" w:space="0" w:color="auto"/>
              <w:right w:val="single" w:sz="6" w:space="0" w:color="auto"/>
            </w:tcBorders>
          </w:tcPr>
          <w:p w14:paraId="2574F60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p w14:paraId="130FBF3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5E26814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Изготовление опытного образца Т-19. Срок изготовления 1 марта 1931 г. (Постановление РВССССРот 13 июля 1930 г.)</w:t>
            </w:r>
          </w:p>
          <w:p w14:paraId="063B8A9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47" w:type="dxa"/>
            <w:tcBorders>
              <w:top w:val="single" w:sz="6" w:space="0" w:color="auto"/>
              <w:left w:val="single" w:sz="6" w:space="0" w:color="auto"/>
              <w:bottom w:val="single" w:sz="6" w:space="0" w:color="auto"/>
              <w:right w:val="single" w:sz="6" w:space="0" w:color="auto"/>
            </w:tcBorders>
          </w:tcPr>
          <w:p w14:paraId="35419DD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Корпус танка собран. Мотор находится в стадии сборки. Будет закончен сборкой к 20 февраля. По ходовой части механическая обработка закончена, приступлено к сборке.</w:t>
            </w:r>
          </w:p>
          <w:p w14:paraId="31516E7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0" w:type="dxa"/>
            <w:gridSpan w:val="2"/>
            <w:tcBorders>
              <w:top w:val="single" w:sz="6" w:space="0" w:color="auto"/>
              <w:left w:val="single" w:sz="6" w:space="0" w:color="auto"/>
              <w:bottom w:val="single" w:sz="6" w:space="0" w:color="auto"/>
              <w:right w:val="single" w:sz="6" w:space="0" w:color="auto"/>
            </w:tcBorders>
          </w:tcPr>
          <w:p w14:paraId="1C08976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Срок изготовления 1 образца был намечен на январь месяц, но промышленность не выдержала этого срока и по всей вероятности танк будет собран к 1 марта.</w:t>
            </w:r>
          </w:p>
          <w:p w14:paraId="10A492F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38236927" w14:textId="77777777">
        <w:trPr>
          <w:trHeight w:val="2198"/>
        </w:trPr>
        <w:tc>
          <w:tcPr>
            <w:tcW w:w="426" w:type="dxa"/>
            <w:tcBorders>
              <w:top w:val="single" w:sz="6" w:space="0" w:color="auto"/>
              <w:left w:val="single" w:sz="6" w:space="0" w:color="auto"/>
              <w:bottom w:val="single" w:sz="6" w:space="0" w:color="auto"/>
              <w:right w:val="single" w:sz="6" w:space="0" w:color="auto"/>
            </w:tcBorders>
          </w:tcPr>
          <w:p w14:paraId="6B2CB4B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p w14:paraId="2D1D07B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4DBE362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Изготовление опытного образца танка Т-20. Срок изготовления 1 октября 1930 г. (Постановление РВС СССР от 1 3 августа 1930 г.)</w:t>
            </w:r>
          </w:p>
          <w:p w14:paraId="15311A6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47" w:type="dxa"/>
            <w:tcBorders>
              <w:top w:val="single" w:sz="6" w:space="0" w:color="auto"/>
              <w:left w:val="single" w:sz="6" w:space="0" w:color="auto"/>
              <w:bottom w:val="single" w:sz="6" w:space="0" w:color="auto"/>
              <w:right w:val="single" w:sz="6" w:space="0" w:color="auto"/>
            </w:tcBorders>
          </w:tcPr>
          <w:p w14:paraId="17CE311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 изготовлен в двух вариантах: модернизированный мотор Т-18 конструкции КБ завода Большевик и новый мотор конструкции ГКБ Оружобъединения. Вследствие аварии мотора КБ последний в настоящее время находится в стадии переборки и устранения ряда дефектов. Мотор ГКБ прошел предварительные испытания и показал удовлетворительные результаты. В ближайшие дни оба мотора ставятся на 100 ч. испытание Корпус и ходовая часть собраны. Испытания Т-20 можно ожидать не ранее марта месяца.</w:t>
            </w:r>
          </w:p>
          <w:p w14:paraId="5C3E132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0" w:type="dxa"/>
            <w:gridSpan w:val="2"/>
            <w:tcBorders>
              <w:top w:val="single" w:sz="6" w:space="0" w:color="auto"/>
              <w:left w:val="single" w:sz="6" w:space="0" w:color="auto"/>
              <w:bottom w:val="single" w:sz="6" w:space="0" w:color="auto"/>
              <w:right w:val="single" w:sz="6" w:space="0" w:color="auto"/>
            </w:tcBorders>
          </w:tcPr>
          <w:p w14:paraId="54708F4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36BDF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6CF5B7A5" w14:textId="77777777">
        <w:trPr>
          <w:trHeight w:val="1834"/>
        </w:trPr>
        <w:tc>
          <w:tcPr>
            <w:tcW w:w="426" w:type="dxa"/>
            <w:tcBorders>
              <w:top w:val="single" w:sz="6" w:space="0" w:color="auto"/>
              <w:left w:val="single" w:sz="6" w:space="0" w:color="auto"/>
              <w:bottom w:val="single" w:sz="6" w:space="0" w:color="auto"/>
              <w:right w:val="single" w:sz="6" w:space="0" w:color="auto"/>
            </w:tcBorders>
          </w:tcPr>
          <w:p w14:paraId="4185D9B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p w14:paraId="46FDB4B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0E0BBB8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Гусеничная танкетка Т-23. Срок изготовления 1 декабря 1930 г. (Постановление РВС СССР от 13 августа 1930 г.)</w:t>
            </w:r>
          </w:p>
          <w:p w14:paraId="732545F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47" w:type="dxa"/>
            <w:tcBorders>
              <w:top w:val="single" w:sz="6" w:space="0" w:color="auto"/>
              <w:left w:val="single" w:sz="6" w:space="0" w:color="auto"/>
              <w:bottom w:val="single" w:sz="6" w:space="0" w:color="auto"/>
              <w:right w:val="single" w:sz="6" w:space="0" w:color="auto"/>
            </w:tcBorders>
          </w:tcPr>
          <w:p w14:paraId="77F8EE9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 согласно п.2, так как для нее предназначен мотор Т-20 конструкции ГКБ. Корпус склепан, заканчивается изготовление деталей для ходовой части по линии заготовительных цехов. Механическую обработку прошли около 20% деталей. Изготовление опытного образца ожидается во 2-й половине марта. Срок изготовления опытного образца был перенесен на 1 марта ввиду форсирования работ по танку Т-19.</w:t>
            </w:r>
          </w:p>
          <w:p w14:paraId="23E6E29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0" w:type="dxa"/>
            <w:gridSpan w:val="2"/>
            <w:tcBorders>
              <w:top w:val="single" w:sz="6" w:space="0" w:color="auto"/>
              <w:left w:val="single" w:sz="6" w:space="0" w:color="auto"/>
              <w:bottom w:val="single" w:sz="6" w:space="0" w:color="auto"/>
              <w:right w:val="single" w:sz="6" w:space="0" w:color="auto"/>
            </w:tcBorders>
          </w:tcPr>
          <w:p w14:paraId="6B8E8CF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C2099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010BFCD6" w14:textId="77777777">
        <w:trPr>
          <w:trHeight w:val="950"/>
        </w:trPr>
        <w:tc>
          <w:tcPr>
            <w:tcW w:w="426" w:type="dxa"/>
            <w:tcBorders>
              <w:top w:val="single" w:sz="6" w:space="0" w:color="auto"/>
              <w:left w:val="single" w:sz="6" w:space="0" w:color="auto"/>
              <w:bottom w:val="single" w:sz="6" w:space="0" w:color="auto"/>
              <w:right w:val="single" w:sz="6" w:space="0" w:color="auto"/>
            </w:tcBorders>
          </w:tcPr>
          <w:p w14:paraId="2993291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w:t>
            </w:r>
          </w:p>
          <w:p w14:paraId="0D9BD31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2DFDBF4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Гусеничная танкетка Т-27. (Постановление РВС СССР от 13 августа 1930 г.)</w:t>
            </w:r>
          </w:p>
          <w:p w14:paraId="7A9F907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47" w:type="dxa"/>
            <w:tcBorders>
              <w:top w:val="single" w:sz="6" w:space="0" w:color="auto"/>
              <w:left w:val="single" w:sz="6" w:space="0" w:color="auto"/>
              <w:bottom w:val="single" w:sz="6" w:space="0" w:color="auto"/>
              <w:right w:val="single" w:sz="6" w:space="0" w:color="auto"/>
            </w:tcBorders>
          </w:tcPr>
          <w:p w14:paraId="5675C2E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Первый образец с моторной установкой Форд-АА с новым корпусом, с новой ходовой частью был закончен изготовлением 5 февраля с.г. Первый опытный образец при заводских испытаниях показал хорошие результаты.</w:t>
            </w:r>
          </w:p>
          <w:p w14:paraId="7EC2EF0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0" w:type="dxa"/>
            <w:gridSpan w:val="2"/>
            <w:tcBorders>
              <w:top w:val="single" w:sz="6" w:space="0" w:color="auto"/>
              <w:left w:val="single" w:sz="6" w:space="0" w:color="auto"/>
              <w:bottom w:val="single" w:sz="6" w:space="0" w:color="auto"/>
              <w:right w:val="single" w:sz="6" w:space="0" w:color="auto"/>
            </w:tcBorders>
          </w:tcPr>
          <w:p w14:paraId="1759F5C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37B44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55254494" w14:textId="77777777">
        <w:trPr>
          <w:trHeight w:val="3446"/>
        </w:trPr>
        <w:tc>
          <w:tcPr>
            <w:tcW w:w="426" w:type="dxa"/>
            <w:tcBorders>
              <w:top w:val="single" w:sz="6" w:space="0" w:color="auto"/>
              <w:left w:val="single" w:sz="6" w:space="0" w:color="auto"/>
              <w:bottom w:val="single" w:sz="6" w:space="0" w:color="auto"/>
              <w:right w:val="single" w:sz="6" w:space="0" w:color="auto"/>
            </w:tcBorders>
          </w:tcPr>
          <w:p w14:paraId="43EF46B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w:t>
            </w:r>
          </w:p>
          <w:p w14:paraId="4D79351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3DF7CC9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Танк Т-24.</w:t>
            </w:r>
          </w:p>
          <w:p w14:paraId="6671818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47" w:type="dxa"/>
            <w:tcBorders>
              <w:top w:val="single" w:sz="6" w:space="0" w:color="auto"/>
              <w:left w:val="single" w:sz="6" w:space="0" w:color="auto"/>
              <w:bottom w:val="single" w:sz="6" w:space="0" w:color="auto"/>
              <w:right w:val="single" w:sz="6" w:space="0" w:color="auto"/>
            </w:tcBorders>
          </w:tcPr>
          <w:p w14:paraId="2B82A70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Изготовлены 3 корпуса и ни одной башни. Заканчивается на ХПЗ изготовление всех механизмов на 1 серию в 15 машин. До настоящего времени не устранен целый ряд конструктивных недостатков: в системе охлаждения выявилась необходимость поставить дополнительные воздухо-отражательные щитки на радиатор, т.к. существующая система охлаждает только нижнюю часть радиатора, в коробке скоростей необходимо переставить фильтр, поставленные железные тормозные ленты греются, т.к. вместо стальных заводом поставлены железные, регулятор мотора работает неисправно. Новая коробка скоростей до сего времени не изготовлена. Завод намечает устранить отмеченные дефекты, за исключением изготовления новой коробки скоростей примерно к началу марта.</w:t>
            </w:r>
          </w:p>
          <w:p w14:paraId="4E4E9DF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0" w:type="dxa"/>
            <w:gridSpan w:val="2"/>
            <w:tcBorders>
              <w:top w:val="single" w:sz="6" w:space="0" w:color="auto"/>
              <w:left w:val="single" w:sz="6" w:space="0" w:color="auto"/>
              <w:bottom w:val="single" w:sz="6" w:space="0" w:color="auto"/>
              <w:right w:val="single" w:sz="6" w:space="0" w:color="auto"/>
            </w:tcBorders>
          </w:tcPr>
          <w:p w14:paraId="390F188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2D8A7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5E237B12" w14:textId="77777777">
        <w:trPr>
          <w:trHeight w:val="1142"/>
        </w:trPr>
        <w:tc>
          <w:tcPr>
            <w:tcW w:w="426" w:type="dxa"/>
            <w:tcBorders>
              <w:top w:val="single" w:sz="6" w:space="0" w:color="auto"/>
              <w:left w:val="single" w:sz="6" w:space="0" w:color="auto"/>
              <w:bottom w:val="single" w:sz="6" w:space="0" w:color="auto"/>
              <w:right w:val="single" w:sz="6" w:space="0" w:color="auto"/>
            </w:tcBorders>
          </w:tcPr>
          <w:p w14:paraId="11C4C3B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w:t>
            </w:r>
          </w:p>
          <w:p w14:paraId="44946D0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0D26F4C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Большой танк. Разработка общего проекта к 1 октября 1 930 г. (Протокол №29 РВС СССР от 17-1 8 июля 1929г.)</w:t>
            </w:r>
          </w:p>
          <w:p w14:paraId="2A88D38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47" w:type="dxa"/>
            <w:tcBorders>
              <w:top w:val="single" w:sz="6" w:space="0" w:color="auto"/>
              <w:left w:val="single" w:sz="6" w:space="0" w:color="auto"/>
              <w:bottom w:val="single" w:sz="6" w:space="0" w:color="auto"/>
              <w:right w:val="single" w:sz="6" w:space="0" w:color="auto"/>
            </w:tcBorders>
          </w:tcPr>
          <w:p w14:paraId="5E27B11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Главное конструкторское бюро Оружобъединения разрабатывает общий проект. Срок окончания март 1931 г.</w:t>
            </w:r>
          </w:p>
          <w:p w14:paraId="33C1B16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0" w:type="dxa"/>
            <w:gridSpan w:val="2"/>
            <w:tcBorders>
              <w:top w:val="single" w:sz="6" w:space="0" w:color="auto"/>
              <w:left w:val="single" w:sz="6" w:space="0" w:color="auto"/>
              <w:bottom w:val="single" w:sz="6" w:space="0" w:color="auto"/>
              <w:right w:val="single" w:sz="6" w:space="0" w:color="auto"/>
            </w:tcBorders>
          </w:tcPr>
          <w:p w14:paraId="28BF5B1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1559D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5413E03F" w14:textId="77777777">
        <w:trPr>
          <w:trHeight w:val="1344"/>
        </w:trPr>
        <w:tc>
          <w:tcPr>
            <w:tcW w:w="426" w:type="dxa"/>
            <w:tcBorders>
              <w:top w:val="single" w:sz="6" w:space="0" w:color="auto"/>
              <w:left w:val="single" w:sz="6" w:space="0" w:color="auto"/>
              <w:bottom w:val="single" w:sz="6" w:space="0" w:color="auto"/>
              <w:right w:val="single" w:sz="6" w:space="0" w:color="auto"/>
            </w:tcBorders>
          </w:tcPr>
          <w:p w14:paraId="12353AB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w:t>
            </w:r>
          </w:p>
          <w:p w14:paraId="1F19EB1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405C100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Танкетка колесно-гусеничная. (Протокол №29 РВС СССР от 17-1 8 июля 1929г.)</w:t>
            </w:r>
          </w:p>
          <w:p w14:paraId="26DF5AA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7" w:type="dxa"/>
            <w:gridSpan w:val="2"/>
            <w:tcBorders>
              <w:top w:val="single" w:sz="6" w:space="0" w:color="auto"/>
              <w:left w:val="single" w:sz="6" w:space="0" w:color="auto"/>
              <w:bottom w:val="single" w:sz="6" w:space="0" w:color="auto"/>
              <w:right w:val="single" w:sz="6" w:space="0" w:color="auto"/>
            </w:tcBorders>
          </w:tcPr>
          <w:p w14:paraId="61A63D9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Главным конструкторским бюро Оружобъединения 9 февраля представлен проект на рассмотрение. Кроме того, НАТИ приступил к разработке общего проекта с использованием мотора Форд-АА и оформлению идеи Кристи перехода с колесного на гусеничный ход.</w:t>
            </w:r>
          </w:p>
          <w:p w14:paraId="4194CFA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0" w:type="dxa"/>
            <w:tcBorders>
              <w:top w:val="single" w:sz="6" w:space="0" w:color="auto"/>
              <w:left w:val="single" w:sz="6" w:space="0" w:color="auto"/>
              <w:bottom w:val="single" w:sz="6" w:space="0" w:color="auto"/>
              <w:right w:val="single" w:sz="6" w:space="0" w:color="auto"/>
            </w:tcBorders>
          </w:tcPr>
          <w:p w14:paraId="04EEE35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плану намечается изготовление опытного образца в ноябре 1930 года.</w:t>
            </w:r>
          </w:p>
          <w:p w14:paraId="5B93E70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2FB12B14" w14:textId="77777777">
        <w:trPr>
          <w:trHeight w:val="586"/>
        </w:trPr>
        <w:tc>
          <w:tcPr>
            <w:tcW w:w="426" w:type="dxa"/>
            <w:tcBorders>
              <w:top w:val="single" w:sz="6" w:space="0" w:color="auto"/>
              <w:left w:val="single" w:sz="6" w:space="0" w:color="auto"/>
              <w:bottom w:val="single" w:sz="6" w:space="0" w:color="auto"/>
              <w:right w:val="single" w:sz="6" w:space="0" w:color="auto"/>
            </w:tcBorders>
          </w:tcPr>
          <w:p w14:paraId="198EBAC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w:t>
            </w:r>
          </w:p>
          <w:p w14:paraId="139F979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6C866F8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Плавучая танкетка</w:t>
            </w:r>
          </w:p>
          <w:p w14:paraId="7C70EC9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7" w:type="dxa"/>
            <w:gridSpan w:val="2"/>
            <w:tcBorders>
              <w:top w:val="single" w:sz="6" w:space="0" w:color="auto"/>
              <w:left w:val="single" w:sz="6" w:space="0" w:color="auto"/>
              <w:bottom w:val="single" w:sz="6" w:space="0" w:color="auto"/>
              <w:right w:val="single" w:sz="6" w:space="0" w:color="auto"/>
            </w:tcBorders>
          </w:tcPr>
          <w:p w14:paraId="13328FA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Представлен на рассмотрение НТК проект Конструкторского бюро Оружобъединения с мотором Форд «А»</w:t>
            </w:r>
          </w:p>
          <w:p w14:paraId="15BE48F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0" w:type="dxa"/>
            <w:tcBorders>
              <w:top w:val="single" w:sz="6" w:space="0" w:color="auto"/>
              <w:left w:val="single" w:sz="6" w:space="0" w:color="auto"/>
              <w:bottom w:val="single" w:sz="6" w:space="0" w:color="auto"/>
              <w:right w:val="single" w:sz="6" w:space="0" w:color="auto"/>
            </w:tcBorders>
          </w:tcPr>
          <w:p w14:paraId="4003291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4D2C8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4D020CF1" w14:textId="77777777">
        <w:trPr>
          <w:trHeight w:val="1114"/>
        </w:trPr>
        <w:tc>
          <w:tcPr>
            <w:tcW w:w="426" w:type="dxa"/>
            <w:tcBorders>
              <w:top w:val="single" w:sz="6" w:space="0" w:color="auto"/>
              <w:left w:val="single" w:sz="6" w:space="0" w:color="auto"/>
              <w:bottom w:val="single" w:sz="6" w:space="0" w:color="auto"/>
              <w:right w:val="single" w:sz="6" w:space="0" w:color="auto"/>
            </w:tcBorders>
          </w:tcPr>
          <w:p w14:paraId="3ACE6C6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9</w:t>
            </w:r>
          </w:p>
          <w:p w14:paraId="1C2209A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60D9422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Радиотанк. Проект и постройка опытного образца (Протокол № 29 РВС СССР от 17-1 8 июля 1929 г.)</w:t>
            </w:r>
          </w:p>
          <w:p w14:paraId="09CACC8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7" w:type="dxa"/>
            <w:gridSpan w:val="2"/>
            <w:tcBorders>
              <w:top w:val="single" w:sz="6" w:space="0" w:color="auto"/>
              <w:left w:val="single" w:sz="6" w:space="0" w:color="auto"/>
              <w:bottom w:val="single" w:sz="6" w:space="0" w:color="auto"/>
              <w:right w:val="single" w:sz="6" w:space="0" w:color="auto"/>
            </w:tcBorders>
          </w:tcPr>
          <w:p w14:paraId="4413FC2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плану работ НТК УММ на 1931 г. для радиотанка назначен малый танк Т-19. Срок готовности опытного образца 1 октября 1931 г. Вопрос об образце подлежит пересмотру, если будет принято решение о переходе на малый танк Т-26.</w:t>
            </w:r>
          </w:p>
          <w:p w14:paraId="4DBE349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0" w:type="dxa"/>
            <w:tcBorders>
              <w:top w:val="single" w:sz="6" w:space="0" w:color="auto"/>
              <w:left w:val="single" w:sz="6" w:space="0" w:color="auto"/>
              <w:bottom w:val="single" w:sz="6" w:space="0" w:color="auto"/>
              <w:right w:val="single" w:sz="6" w:space="0" w:color="auto"/>
            </w:tcBorders>
          </w:tcPr>
          <w:p w14:paraId="14F49AC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E2FC9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0414436C" w14:textId="77777777">
        <w:trPr>
          <w:trHeight w:val="1296"/>
        </w:trPr>
        <w:tc>
          <w:tcPr>
            <w:tcW w:w="426" w:type="dxa"/>
            <w:tcBorders>
              <w:top w:val="single" w:sz="6" w:space="0" w:color="auto"/>
              <w:left w:val="single" w:sz="6" w:space="0" w:color="auto"/>
              <w:bottom w:val="single" w:sz="6" w:space="0" w:color="auto"/>
              <w:right w:val="single" w:sz="6" w:space="0" w:color="auto"/>
            </w:tcBorders>
          </w:tcPr>
          <w:p w14:paraId="62B767B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w:t>
            </w:r>
          </w:p>
          <w:p w14:paraId="3111F1F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187BF2C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Дымовой и мостовой танк (Протокол № 29 РВС СССР от 17-18 июля 1929г.)</w:t>
            </w:r>
          </w:p>
          <w:p w14:paraId="661CE38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7" w:type="dxa"/>
            <w:gridSpan w:val="2"/>
            <w:tcBorders>
              <w:top w:val="single" w:sz="6" w:space="0" w:color="auto"/>
              <w:left w:val="single" w:sz="6" w:space="0" w:color="auto"/>
              <w:bottom w:val="single" w:sz="6" w:space="0" w:color="auto"/>
              <w:right w:val="single" w:sz="6" w:space="0" w:color="auto"/>
            </w:tcBorders>
          </w:tcPr>
          <w:p w14:paraId="7D509C5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плану работ НТК УММ на 1931 г. предусмотрена разработка проектов и рабочих чертежей дымового и мостового танка на шасси Т-19 со сроком окончания в декабре 1931 г. Вопрос об образце подлежит пересмотру, если будет принято решение о переходе на малый танк Т-26.</w:t>
            </w:r>
          </w:p>
          <w:p w14:paraId="188A6C3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0" w:type="dxa"/>
            <w:tcBorders>
              <w:top w:val="single" w:sz="6" w:space="0" w:color="auto"/>
              <w:left w:val="single" w:sz="6" w:space="0" w:color="auto"/>
              <w:bottom w:val="single" w:sz="6" w:space="0" w:color="auto"/>
              <w:right w:val="single" w:sz="6" w:space="0" w:color="auto"/>
            </w:tcBorders>
          </w:tcPr>
          <w:p w14:paraId="1166D6F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50CEA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7CE3C7EB" w14:textId="77777777">
        <w:trPr>
          <w:trHeight w:val="758"/>
        </w:trPr>
        <w:tc>
          <w:tcPr>
            <w:tcW w:w="426" w:type="dxa"/>
            <w:tcBorders>
              <w:top w:val="single" w:sz="6" w:space="0" w:color="auto"/>
              <w:left w:val="single" w:sz="6" w:space="0" w:color="auto"/>
              <w:bottom w:val="single" w:sz="6" w:space="0" w:color="auto"/>
              <w:right w:val="single" w:sz="6" w:space="0" w:color="auto"/>
            </w:tcBorders>
          </w:tcPr>
          <w:p w14:paraId="186B318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w:t>
            </w:r>
          </w:p>
          <w:p w14:paraId="63587AE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546F24B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Малый танк Т-26 (6 т Виккерс) Постановление РВС СССР от 13 августа 1930 г.</w:t>
            </w:r>
          </w:p>
          <w:p w14:paraId="46DF660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7" w:type="dxa"/>
            <w:gridSpan w:val="2"/>
            <w:tcBorders>
              <w:top w:val="single" w:sz="6" w:space="0" w:color="auto"/>
              <w:left w:val="single" w:sz="6" w:space="0" w:color="auto"/>
              <w:bottom w:val="single" w:sz="6" w:space="0" w:color="auto"/>
              <w:right w:val="single" w:sz="6" w:space="0" w:color="auto"/>
            </w:tcBorders>
          </w:tcPr>
          <w:p w14:paraId="035AF31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Испытания танка закончены, результаты представлены на утверждение РВС СССР.</w:t>
            </w:r>
          </w:p>
          <w:p w14:paraId="532B8DB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0" w:type="dxa"/>
            <w:tcBorders>
              <w:top w:val="single" w:sz="6" w:space="0" w:color="auto"/>
              <w:left w:val="single" w:sz="6" w:space="0" w:color="auto"/>
              <w:bottom w:val="single" w:sz="6" w:space="0" w:color="auto"/>
              <w:right w:val="single" w:sz="6" w:space="0" w:color="auto"/>
            </w:tcBorders>
          </w:tcPr>
          <w:p w14:paraId="48E7BA2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DE72B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0BB2A74A" w14:textId="77777777">
        <w:trPr>
          <w:trHeight w:val="758"/>
        </w:trPr>
        <w:tc>
          <w:tcPr>
            <w:tcW w:w="426" w:type="dxa"/>
            <w:tcBorders>
              <w:top w:val="single" w:sz="6" w:space="0" w:color="auto"/>
              <w:left w:val="single" w:sz="6" w:space="0" w:color="auto"/>
              <w:bottom w:val="single" w:sz="6" w:space="0" w:color="auto"/>
              <w:right w:val="single" w:sz="6" w:space="0" w:color="auto"/>
            </w:tcBorders>
          </w:tcPr>
          <w:p w14:paraId="497982D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w:t>
            </w:r>
          </w:p>
          <w:p w14:paraId="559E92A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3F6C20B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Танк Виккерс 12 тонный (Постановление РВС СССР от 1 3 августа 1930 г.)</w:t>
            </w:r>
          </w:p>
          <w:p w14:paraId="32304B2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7" w:type="dxa"/>
            <w:gridSpan w:val="2"/>
            <w:tcBorders>
              <w:top w:val="single" w:sz="6" w:space="0" w:color="auto"/>
              <w:left w:val="single" w:sz="6" w:space="0" w:color="auto"/>
              <w:bottom w:val="single" w:sz="6" w:space="0" w:color="auto"/>
              <w:right w:val="single" w:sz="6" w:space="0" w:color="auto"/>
            </w:tcBorders>
          </w:tcPr>
          <w:p w14:paraId="01C0BB6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Находится в стадии испытаний.</w:t>
            </w:r>
          </w:p>
          <w:p w14:paraId="59E1AE1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0" w:type="dxa"/>
            <w:tcBorders>
              <w:top w:val="single" w:sz="6" w:space="0" w:color="auto"/>
              <w:left w:val="single" w:sz="6" w:space="0" w:color="auto"/>
              <w:bottom w:val="single" w:sz="6" w:space="0" w:color="auto"/>
              <w:right w:val="single" w:sz="6" w:space="0" w:color="auto"/>
            </w:tcBorders>
          </w:tcPr>
          <w:p w14:paraId="41E07C2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06CB5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1CDEA7EB" w14:textId="77777777">
        <w:trPr>
          <w:trHeight w:val="941"/>
        </w:trPr>
        <w:tc>
          <w:tcPr>
            <w:tcW w:w="426" w:type="dxa"/>
            <w:tcBorders>
              <w:top w:val="single" w:sz="6" w:space="0" w:color="auto"/>
              <w:left w:val="single" w:sz="6" w:space="0" w:color="auto"/>
              <w:bottom w:val="single" w:sz="6" w:space="0" w:color="auto"/>
              <w:right w:val="single" w:sz="6" w:space="0" w:color="auto"/>
            </w:tcBorders>
          </w:tcPr>
          <w:p w14:paraId="5FC8729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w:t>
            </w:r>
          </w:p>
          <w:p w14:paraId="27E0C0E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7454502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Танк «Д». Срок испытания 1 5 сентября 1930 г. (Постановление РВС СССР от 13 августа 1930 г.)</w:t>
            </w:r>
          </w:p>
          <w:p w14:paraId="6193CEE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7" w:type="dxa"/>
            <w:gridSpan w:val="2"/>
            <w:tcBorders>
              <w:top w:val="single" w:sz="6" w:space="0" w:color="auto"/>
              <w:left w:val="single" w:sz="6" w:space="0" w:color="auto"/>
              <w:bottom w:val="single" w:sz="6" w:space="0" w:color="auto"/>
              <w:right w:val="single" w:sz="6" w:space="0" w:color="auto"/>
            </w:tcBorders>
          </w:tcPr>
          <w:p w14:paraId="7E75023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Танк был в опытном заводском пробеге. Опытный образец танка не закончен.</w:t>
            </w:r>
          </w:p>
          <w:p w14:paraId="69E35F8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0" w:type="dxa"/>
            <w:tcBorders>
              <w:top w:val="single" w:sz="6" w:space="0" w:color="auto"/>
              <w:left w:val="single" w:sz="6" w:space="0" w:color="auto"/>
              <w:bottom w:val="single" w:sz="6" w:space="0" w:color="auto"/>
              <w:right w:val="single" w:sz="6" w:space="0" w:color="auto"/>
            </w:tcBorders>
          </w:tcPr>
          <w:p w14:paraId="52D3E28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A743B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3E9EB93A" w14:textId="77777777">
        <w:trPr>
          <w:trHeight w:val="394"/>
        </w:trPr>
        <w:tc>
          <w:tcPr>
            <w:tcW w:w="426" w:type="dxa"/>
            <w:tcBorders>
              <w:top w:val="single" w:sz="6" w:space="0" w:color="auto"/>
              <w:left w:val="single" w:sz="6" w:space="0" w:color="auto"/>
              <w:bottom w:val="single" w:sz="6" w:space="0" w:color="auto"/>
              <w:right w:val="single" w:sz="6" w:space="0" w:color="auto"/>
            </w:tcBorders>
          </w:tcPr>
          <w:p w14:paraId="24DC985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w:t>
            </w:r>
          </w:p>
          <w:p w14:paraId="3DCC533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62A20FA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Бронирование трактора «Катерпиллер».</w:t>
            </w:r>
          </w:p>
          <w:p w14:paraId="7E3F078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7" w:type="dxa"/>
            <w:gridSpan w:val="2"/>
            <w:tcBorders>
              <w:top w:val="single" w:sz="6" w:space="0" w:color="auto"/>
              <w:left w:val="single" w:sz="6" w:space="0" w:color="auto"/>
              <w:bottom w:val="single" w:sz="6" w:space="0" w:color="auto"/>
              <w:right w:val="single" w:sz="6" w:space="0" w:color="auto"/>
            </w:tcBorders>
          </w:tcPr>
          <w:p w14:paraId="5310B70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Закончена бронировка опытного образца 8 февраля с.г.</w:t>
            </w:r>
          </w:p>
          <w:p w14:paraId="434AAAD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0" w:type="dxa"/>
            <w:tcBorders>
              <w:top w:val="single" w:sz="6" w:space="0" w:color="auto"/>
              <w:left w:val="single" w:sz="6" w:space="0" w:color="auto"/>
              <w:bottom w:val="single" w:sz="6" w:space="0" w:color="auto"/>
              <w:right w:val="single" w:sz="6" w:space="0" w:color="auto"/>
            </w:tcBorders>
          </w:tcPr>
          <w:p w14:paraId="2287BF8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CBB9A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46C92A41" w14:textId="77777777">
        <w:trPr>
          <w:trHeight w:val="403"/>
        </w:trPr>
        <w:tc>
          <w:tcPr>
            <w:tcW w:w="426" w:type="dxa"/>
            <w:tcBorders>
              <w:top w:val="single" w:sz="6" w:space="0" w:color="auto"/>
              <w:left w:val="single" w:sz="6" w:space="0" w:color="auto"/>
              <w:bottom w:val="single" w:sz="6" w:space="0" w:color="auto"/>
              <w:right w:val="single" w:sz="6" w:space="0" w:color="auto"/>
            </w:tcBorders>
          </w:tcPr>
          <w:p w14:paraId="6A34B35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w:t>
            </w:r>
          </w:p>
          <w:p w14:paraId="02D0350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088FC23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Бронирование трактора «Коммунар»</w:t>
            </w:r>
          </w:p>
          <w:p w14:paraId="0E19611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7" w:type="dxa"/>
            <w:gridSpan w:val="2"/>
            <w:tcBorders>
              <w:top w:val="single" w:sz="6" w:space="0" w:color="auto"/>
              <w:left w:val="single" w:sz="6" w:space="0" w:color="auto"/>
              <w:bottom w:val="single" w:sz="6" w:space="0" w:color="auto"/>
              <w:right w:val="single" w:sz="6" w:space="0" w:color="auto"/>
            </w:tcBorders>
          </w:tcPr>
          <w:p w14:paraId="7EAE7BE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Закончена бронировка опытного образца 8 февраля с.г.</w:t>
            </w:r>
          </w:p>
          <w:p w14:paraId="06D4EFC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0" w:type="dxa"/>
            <w:tcBorders>
              <w:top w:val="single" w:sz="6" w:space="0" w:color="auto"/>
              <w:left w:val="single" w:sz="6" w:space="0" w:color="auto"/>
              <w:bottom w:val="single" w:sz="6" w:space="0" w:color="auto"/>
              <w:right w:val="single" w:sz="6" w:space="0" w:color="auto"/>
            </w:tcBorders>
          </w:tcPr>
          <w:p w14:paraId="31FE874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9838D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2A7D937C" w14:textId="77777777">
        <w:trPr>
          <w:trHeight w:val="394"/>
        </w:trPr>
        <w:tc>
          <w:tcPr>
            <w:tcW w:w="426" w:type="dxa"/>
            <w:tcBorders>
              <w:top w:val="single" w:sz="6" w:space="0" w:color="auto"/>
              <w:left w:val="single" w:sz="6" w:space="0" w:color="auto"/>
              <w:bottom w:val="single" w:sz="6" w:space="0" w:color="auto"/>
              <w:right w:val="single" w:sz="6" w:space="0" w:color="auto"/>
            </w:tcBorders>
          </w:tcPr>
          <w:p w14:paraId="2E66E88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w:t>
            </w:r>
          </w:p>
          <w:p w14:paraId="3CF2CED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49F510F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Бронирование трактора «Интернационал».</w:t>
            </w:r>
          </w:p>
          <w:p w14:paraId="5999139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7" w:type="dxa"/>
            <w:gridSpan w:val="2"/>
            <w:tcBorders>
              <w:top w:val="single" w:sz="6" w:space="0" w:color="auto"/>
              <w:left w:val="single" w:sz="6" w:space="0" w:color="auto"/>
              <w:bottom w:val="single" w:sz="6" w:space="0" w:color="auto"/>
              <w:right w:val="single" w:sz="6" w:space="0" w:color="auto"/>
            </w:tcBorders>
          </w:tcPr>
          <w:p w14:paraId="60929B9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Находится в стадии бронирования.</w:t>
            </w:r>
          </w:p>
          <w:p w14:paraId="7366FD9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0" w:type="dxa"/>
            <w:tcBorders>
              <w:top w:val="single" w:sz="6" w:space="0" w:color="auto"/>
              <w:left w:val="single" w:sz="6" w:space="0" w:color="auto"/>
              <w:bottom w:val="single" w:sz="6" w:space="0" w:color="auto"/>
              <w:right w:val="single" w:sz="6" w:space="0" w:color="auto"/>
            </w:tcBorders>
          </w:tcPr>
          <w:p w14:paraId="511B639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C9959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39E872C6" w14:textId="77777777">
        <w:trPr>
          <w:trHeight w:val="1315"/>
        </w:trPr>
        <w:tc>
          <w:tcPr>
            <w:tcW w:w="426" w:type="dxa"/>
            <w:tcBorders>
              <w:top w:val="single" w:sz="6" w:space="0" w:color="auto"/>
              <w:left w:val="single" w:sz="6" w:space="0" w:color="auto"/>
              <w:bottom w:val="single" w:sz="6" w:space="0" w:color="auto"/>
              <w:right w:val="single" w:sz="6" w:space="0" w:color="auto"/>
            </w:tcBorders>
          </w:tcPr>
          <w:p w14:paraId="2E8FC1A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w:t>
            </w:r>
          </w:p>
          <w:p w14:paraId="5C051A0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4AC564A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6-ти колесный Форд-АА (Протокол РВС СССР от 10 декабря 1929г.)</w:t>
            </w:r>
          </w:p>
          <w:p w14:paraId="11B22A4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7" w:type="dxa"/>
            <w:gridSpan w:val="2"/>
            <w:tcBorders>
              <w:top w:val="single" w:sz="6" w:space="0" w:color="auto"/>
              <w:left w:val="single" w:sz="6" w:space="0" w:color="auto"/>
              <w:bottom w:val="single" w:sz="6" w:space="0" w:color="auto"/>
              <w:right w:val="single" w:sz="6" w:space="0" w:color="auto"/>
            </w:tcBorders>
          </w:tcPr>
          <w:p w14:paraId="7B0D1C6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Выполнен общий проект. Ввиду категорического отказа ВАТО изготовить опытный образец на своих заводах эта работа передана Киевскому и Одесскому энергетическим институтам со сроком окончания к 1 мая 1931 г. (заказано 2 опытных образца).</w:t>
            </w:r>
          </w:p>
          <w:p w14:paraId="41071B6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0" w:type="dxa"/>
            <w:tcBorders>
              <w:top w:val="single" w:sz="6" w:space="0" w:color="auto"/>
              <w:left w:val="single" w:sz="6" w:space="0" w:color="auto"/>
              <w:bottom w:val="single" w:sz="6" w:space="0" w:color="auto"/>
              <w:right w:val="single" w:sz="6" w:space="0" w:color="auto"/>
            </w:tcBorders>
          </w:tcPr>
          <w:p w14:paraId="48B3B1B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B564C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3114A4A8" w14:textId="77777777">
        <w:trPr>
          <w:trHeight w:val="3110"/>
        </w:trPr>
        <w:tc>
          <w:tcPr>
            <w:tcW w:w="426" w:type="dxa"/>
            <w:tcBorders>
              <w:top w:val="single" w:sz="6" w:space="0" w:color="auto"/>
              <w:left w:val="single" w:sz="6" w:space="0" w:color="auto"/>
              <w:bottom w:val="single" w:sz="6" w:space="0" w:color="auto"/>
              <w:right w:val="single" w:sz="6" w:space="0" w:color="auto"/>
            </w:tcBorders>
          </w:tcPr>
          <w:p w14:paraId="2587E42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w:t>
            </w:r>
          </w:p>
          <w:p w14:paraId="69489E4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21ED228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6-ти колесный Форд-АА (Решение совещания зампредов от 6 сентября 1930 г.). Изготовление опытного образца к 1 декабря 1930 г.</w:t>
            </w:r>
          </w:p>
          <w:p w14:paraId="2151430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1" w:type="dxa"/>
            <w:tcBorders>
              <w:top w:val="single" w:sz="6" w:space="0" w:color="auto"/>
              <w:left w:val="single" w:sz="6" w:space="0" w:color="auto"/>
              <w:bottom w:val="single" w:sz="6" w:space="0" w:color="auto"/>
              <w:right w:val="single" w:sz="6" w:space="0" w:color="auto"/>
            </w:tcBorders>
          </w:tcPr>
          <w:p w14:paraId="4584EB5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Выполнены опытные образцы: 1) Форд Тимкен, 2) Форд НАМИ и 3) Форд конструкции Главной фордовской лаборатории в Дирборне. Форд Тимкен испытан, дал хорошие результаты и задние мосты к нему заказываются в Америке. Форд НАМИ испытан и дал хорошие результаты. Прибытие образца Главной фордовской лаборатории ожидается через несколько дней.</w:t>
            </w:r>
          </w:p>
          <w:p w14:paraId="174517E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6" w:type="dxa"/>
            <w:gridSpan w:val="2"/>
            <w:tcBorders>
              <w:top w:val="single" w:sz="6" w:space="0" w:color="auto"/>
              <w:left w:val="single" w:sz="6" w:space="0" w:color="auto"/>
              <w:bottom w:val="single" w:sz="6" w:space="0" w:color="auto"/>
              <w:right w:val="single" w:sz="6" w:space="0" w:color="auto"/>
            </w:tcBorders>
          </w:tcPr>
          <w:p w14:paraId="50B22A8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УММ считает, что для отечественного производства имеется не законченная конструкция 6-ти колесного Форд-АА и категорически настаивает на организации производства 6-ти колесных машин в конце 1931 г. параллельно с пуском Нижегородского завода.</w:t>
            </w:r>
          </w:p>
          <w:p w14:paraId="5E16F07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390F612B" w14:textId="77777777">
        <w:trPr>
          <w:trHeight w:val="1286"/>
        </w:trPr>
        <w:tc>
          <w:tcPr>
            <w:tcW w:w="426" w:type="dxa"/>
            <w:tcBorders>
              <w:top w:val="single" w:sz="6" w:space="0" w:color="auto"/>
              <w:left w:val="single" w:sz="6" w:space="0" w:color="auto"/>
              <w:bottom w:val="single" w:sz="6" w:space="0" w:color="auto"/>
              <w:right w:val="single" w:sz="6" w:space="0" w:color="auto"/>
            </w:tcBorders>
          </w:tcPr>
          <w:p w14:paraId="7FFD922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w:t>
            </w:r>
          </w:p>
          <w:p w14:paraId="3DDDBDB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7EC2CDC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6-ти колесный автомобиль АМО-2 (Решение совещания зампредов от 6 сентября 1930 г.) Изготовление опытного образца к 1 мая 1931 г.</w:t>
            </w:r>
          </w:p>
          <w:p w14:paraId="125DE22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1" w:type="dxa"/>
            <w:tcBorders>
              <w:top w:val="single" w:sz="6" w:space="0" w:color="auto"/>
              <w:left w:val="single" w:sz="6" w:space="0" w:color="auto"/>
              <w:bottom w:val="single" w:sz="6" w:space="0" w:color="auto"/>
              <w:right w:val="single" w:sz="6" w:space="0" w:color="auto"/>
            </w:tcBorders>
          </w:tcPr>
          <w:p w14:paraId="36BAB4E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Опытные образцы испытаны на износ и переданы на завод АМО для необходимых конструктивных изменений. Заводом АМО срок переработки конструкции установлен - 1 марта. Изготовление рабочих чертежей - 2 мая. Пуск в производство - 1 ноября.</w:t>
            </w:r>
          </w:p>
          <w:p w14:paraId="33BA287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6" w:type="dxa"/>
            <w:gridSpan w:val="2"/>
            <w:tcBorders>
              <w:top w:val="single" w:sz="6" w:space="0" w:color="auto"/>
              <w:left w:val="single" w:sz="6" w:space="0" w:color="auto"/>
              <w:bottom w:val="single" w:sz="6" w:space="0" w:color="auto"/>
              <w:right w:val="single" w:sz="6" w:space="0" w:color="auto"/>
            </w:tcBorders>
          </w:tcPr>
          <w:p w14:paraId="07AEC8A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537DD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6C38494C" w14:textId="77777777">
        <w:trPr>
          <w:trHeight w:val="576"/>
        </w:trPr>
        <w:tc>
          <w:tcPr>
            <w:tcW w:w="426" w:type="dxa"/>
            <w:tcBorders>
              <w:top w:val="single" w:sz="6" w:space="0" w:color="auto"/>
              <w:left w:val="single" w:sz="6" w:space="0" w:color="auto"/>
              <w:bottom w:val="single" w:sz="6" w:space="0" w:color="auto"/>
              <w:right w:val="single" w:sz="6" w:space="0" w:color="auto"/>
            </w:tcBorders>
          </w:tcPr>
          <w:p w14:paraId="1E0F941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w:t>
            </w:r>
          </w:p>
          <w:p w14:paraId="56B0747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4A71EC9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6-ти колесный автомобиль Я-5</w:t>
            </w:r>
          </w:p>
          <w:p w14:paraId="0F8DA55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1" w:type="dxa"/>
            <w:tcBorders>
              <w:top w:val="single" w:sz="6" w:space="0" w:color="auto"/>
              <w:left w:val="single" w:sz="6" w:space="0" w:color="auto"/>
              <w:bottom w:val="single" w:sz="6" w:space="0" w:color="auto"/>
              <w:right w:val="single" w:sz="6" w:space="0" w:color="auto"/>
            </w:tcBorders>
          </w:tcPr>
          <w:p w14:paraId="480C973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УММ скомпонован опытный образец с использованием ходовой части автомобиля Морелэнд. Образец еще не испытан.</w:t>
            </w:r>
          </w:p>
          <w:p w14:paraId="261274B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6" w:type="dxa"/>
            <w:gridSpan w:val="2"/>
            <w:tcBorders>
              <w:top w:val="single" w:sz="6" w:space="0" w:color="auto"/>
              <w:left w:val="single" w:sz="6" w:space="0" w:color="auto"/>
              <w:bottom w:val="single" w:sz="6" w:space="0" w:color="auto"/>
              <w:right w:val="single" w:sz="6" w:space="0" w:color="auto"/>
            </w:tcBorders>
          </w:tcPr>
          <w:p w14:paraId="2D1593B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D07C2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6BEAD05C" w14:textId="77777777">
        <w:trPr>
          <w:trHeight w:val="758"/>
        </w:trPr>
        <w:tc>
          <w:tcPr>
            <w:tcW w:w="426" w:type="dxa"/>
            <w:tcBorders>
              <w:top w:val="single" w:sz="6" w:space="0" w:color="auto"/>
              <w:left w:val="single" w:sz="6" w:space="0" w:color="auto"/>
              <w:bottom w:val="single" w:sz="6" w:space="0" w:color="auto"/>
              <w:right w:val="single" w:sz="6" w:space="0" w:color="auto"/>
            </w:tcBorders>
          </w:tcPr>
          <w:p w14:paraId="4660D3F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w:t>
            </w:r>
          </w:p>
          <w:p w14:paraId="0BB1294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2688CA7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Бронирование Форд-А.</w:t>
            </w:r>
          </w:p>
          <w:p w14:paraId="68CB992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1" w:type="dxa"/>
            <w:tcBorders>
              <w:top w:val="single" w:sz="6" w:space="0" w:color="auto"/>
              <w:left w:val="single" w:sz="6" w:space="0" w:color="auto"/>
              <w:bottom w:val="single" w:sz="6" w:space="0" w:color="auto"/>
              <w:right w:val="single" w:sz="6" w:space="0" w:color="auto"/>
            </w:tcBorders>
          </w:tcPr>
          <w:p w14:paraId="65C0802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основном закончено изготовление 4 опытных образцов. Зампредом принято решение остановиться на 2 образцах бронировки т. Дыренкова.</w:t>
            </w:r>
          </w:p>
          <w:p w14:paraId="25006CF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6" w:type="dxa"/>
            <w:gridSpan w:val="2"/>
            <w:tcBorders>
              <w:top w:val="single" w:sz="6" w:space="0" w:color="auto"/>
              <w:left w:val="single" w:sz="6" w:space="0" w:color="auto"/>
              <w:bottom w:val="single" w:sz="6" w:space="0" w:color="auto"/>
              <w:right w:val="single" w:sz="6" w:space="0" w:color="auto"/>
            </w:tcBorders>
          </w:tcPr>
          <w:p w14:paraId="1C605C8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CA6E0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3FBCBCE8" w14:textId="77777777">
        <w:trPr>
          <w:trHeight w:val="931"/>
        </w:trPr>
        <w:tc>
          <w:tcPr>
            <w:tcW w:w="426" w:type="dxa"/>
            <w:tcBorders>
              <w:top w:val="single" w:sz="6" w:space="0" w:color="auto"/>
              <w:left w:val="single" w:sz="6" w:space="0" w:color="auto"/>
              <w:bottom w:val="single" w:sz="6" w:space="0" w:color="auto"/>
              <w:right w:val="single" w:sz="6" w:space="0" w:color="auto"/>
            </w:tcBorders>
          </w:tcPr>
          <w:p w14:paraId="2A485BE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23</w:t>
            </w:r>
          </w:p>
          <w:p w14:paraId="34F95CF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5D71541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Бронирование шасси Форд-АА. (Постановление РВС СССР от 17-1 8 июля 1929 г.) средний бронеавтомобиль.</w:t>
            </w:r>
          </w:p>
          <w:p w14:paraId="5FB3CBB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1" w:type="dxa"/>
            <w:tcBorders>
              <w:top w:val="single" w:sz="6" w:space="0" w:color="auto"/>
              <w:left w:val="single" w:sz="6" w:space="0" w:color="auto"/>
              <w:bottom w:val="single" w:sz="6" w:space="0" w:color="auto"/>
              <w:right w:val="single" w:sz="6" w:space="0" w:color="auto"/>
            </w:tcBorders>
          </w:tcPr>
          <w:p w14:paraId="0F9A679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Сварен и установлен кузов на шасси. Не изготовлена башня. Опытный образец будет закончен к 1 марта, как это и требовалось совещанием зампредов от 6 сентября 1930 г.</w:t>
            </w:r>
          </w:p>
          <w:p w14:paraId="31851CB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6" w:type="dxa"/>
            <w:gridSpan w:val="2"/>
            <w:tcBorders>
              <w:top w:val="single" w:sz="6" w:space="0" w:color="auto"/>
              <w:left w:val="single" w:sz="6" w:space="0" w:color="auto"/>
              <w:bottom w:val="single" w:sz="6" w:space="0" w:color="auto"/>
              <w:right w:val="single" w:sz="6" w:space="0" w:color="auto"/>
            </w:tcBorders>
          </w:tcPr>
          <w:p w14:paraId="5AAA906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72EB6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01B595BC" w14:textId="77777777">
        <w:trPr>
          <w:trHeight w:val="758"/>
        </w:trPr>
        <w:tc>
          <w:tcPr>
            <w:tcW w:w="426" w:type="dxa"/>
            <w:tcBorders>
              <w:top w:val="single" w:sz="6" w:space="0" w:color="auto"/>
              <w:left w:val="single" w:sz="6" w:space="0" w:color="auto"/>
              <w:bottom w:val="single" w:sz="6" w:space="0" w:color="auto"/>
              <w:right w:val="single" w:sz="6" w:space="0" w:color="auto"/>
            </w:tcBorders>
          </w:tcPr>
          <w:p w14:paraId="46A7F3D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w:t>
            </w:r>
          </w:p>
          <w:p w14:paraId="3443281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0F67080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Бронирование 6-ти колесного шасси Морелэнд.</w:t>
            </w:r>
          </w:p>
          <w:p w14:paraId="7EAAC09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1" w:type="dxa"/>
            <w:tcBorders>
              <w:top w:val="single" w:sz="6" w:space="0" w:color="auto"/>
              <w:left w:val="single" w:sz="6" w:space="0" w:color="auto"/>
              <w:bottom w:val="single" w:sz="6" w:space="0" w:color="auto"/>
              <w:right w:val="single" w:sz="6" w:space="0" w:color="auto"/>
            </w:tcBorders>
          </w:tcPr>
          <w:p w14:paraId="77AA48F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Заканчивается сварка кузова для опытного образца. К изготовлению башни не приступлено. Опытный образец будет закончен в первых числах марта.</w:t>
            </w:r>
          </w:p>
          <w:p w14:paraId="5ABE719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6" w:type="dxa"/>
            <w:gridSpan w:val="2"/>
            <w:tcBorders>
              <w:top w:val="single" w:sz="6" w:space="0" w:color="auto"/>
              <w:left w:val="single" w:sz="6" w:space="0" w:color="auto"/>
              <w:bottom w:val="single" w:sz="6" w:space="0" w:color="auto"/>
              <w:right w:val="single" w:sz="6" w:space="0" w:color="auto"/>
            </w:tcBorders>
          </w:tcPr>
          <w:p w14:paraId="5719894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B50CB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66D98643" w14:textId="77777777">
        <w:trPr>
          <w:trHeight w:val="1478"/>
        </w:trPr>
        <w:tc>
          <w:tcPr>
            <w:tcW w:w="426" w:type="dxa"/>
            <w:tcBorders>
              <w:top w:val="single" w:sz="6" w:space="0" w:color="auto"/>
              <w:left w:val="single" w:sz="6" w:space="0" w:color="auto"/>
              <w:bottom w:val="single" w:sz="6" w:space="0" w:color="auto"/>
              <w:right w:val="single" w:sz="6" w:space="0" w:color="auto"/>
            </w:tcBorders>
          </w:tcPr>
          <w:p w14:paraId="2E3E0B3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w:t>
            </w:r>
          </w:p>
          <w:p w14:paraId="1D400BA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3D0AEC2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Легкий трактор Интернационал на гусенице. Изготовление опытного образца к 1 декабря 1930 г. (Решение совещания зампредов от 6 сентября 1930 г.)</w:t>
            </w:r>
          </w:p>
          <w:p w14:paraId="6711F3F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1" w:type="dxa"/>
            <w:tcBorders>
              <w:top w:val="single" w:sz="6" w:space="0" w:color="auto"/>
              <w:left w:val="single" w:sz="6" w:space="0" w:color="auto"/>
              <w:bottom w:val="single" w:sz="6" w:space="0" w:color="auto"/>
              <w:right w:val="single" w:sz="6" w:space="0" w:color="auto"/>
            </w:tcBorders>
          </w:tcPr>
          <w:p w14:paraId="36C8871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Проект выполнен. Но так как ВАТО отказалось изготовить опытный образец, то эта работа передана Одесскому энергетическому Институту со сроком окончания в июле 1931 г. Кроме того, по получении от ВТУ гусеничных придатков каковые будут поставлены на трактор Интернационал и испытаны.</w:t>
            </w:r>
          </w:p>
          <w:p w14:paraId="45F2968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6" w:type="dxa"/>
            <w:gridSpan w:val="2"/>
            <w:tcBorders>
              <w:top w:val="single" w:sz="6" w:space="0" w:color="auto"/>
              <w:left w:val="single" w:sz="6" w:space="0" w:color="auto"/>
              <w:bottom w:val="single" w:sz="6" w:space="0" w:color="auto"/>
              <w:right w:val="single" w:sz="6" w:space="0" w:color="auto"/>
            </w:tcBorders>
          </w:tcPr>
          <w:p w14:paraId="0686975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68783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290E76BC" w14:textId="77777777">
        <w:trPr>
          <w:trHeight w:val="1498"/>
        </w:trPr>
        <w:tc>
          <w:tcPr>
            <w:tcW w:w="426" w:type="dxa"/>
            <w:tcBorders>
              <w:top w:val="single" w:sz="6" w:space="0" w:color="auto"/>
              <w:left w:val="single" w:sz="6" w:space="0" w:color="auto"/>
              <w:bottom w:val="single" w:sz="6" w:space="0" w:color="auto"/>
              <w:right w:val="single" w:sz="6" w:space="0" w:color="auto"/>
            </w:tcBorders>
          </w:tcPr>
          <w:p w14:paraId="4200AAE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w:t>
            </w:r>
          </w:p>
          <w:p w14:paraId="2EA955B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3149C8E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Средний трактор Коммунар 100 НР и скорость 20 км/ч. Срок изготовления опытного образца 1 января 1931 г. (Решение совещания зампредов от 6 сентября 1930 г.) (11210)</w:t>
            </w:r>
          </w:p>
          <w:p w14:paraId="76AD696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1" w:type="dxa"/>
            <w:tcBorders>
              <w:top w:val="single" w:sz="6" w:space="0" w:color="auto"/>
              <w:left w:val="single" w:sz="6" w:space="0" w:color="auto"/>
              <w:bottom w:val="single" w:sz="6" w:space="0" w:color="auto"/>
              <w:right w:val="single" w:sz="6" w:space="0" w:color="auto"/>
            </w:tcBorders>
          </w:tcPr>
          <w:p w14:paraId="75B1C80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Трактор находится в производстве на ГХПЗ. Окончание 3 опытных образцов ожидается в апреле 1931 г.</w:t>
            </w:r>
          </w:p>
          <w:p w14:paraId="405350C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6" w:type="dxa"/>
            <w:gridSpan w:val="2"/>
            <w:tcBorders>
              <w:top w:val="single" w:sz="6" w:space="0" w:color="auto"/>
              <w:left w:val="single" w:sz="6" w:space="0" w:color="auto"/>
              <w:bottom w:val="single" w:sz="6" w:space="0" w:color="auto"/>
              <w:right w:val="single" w:sz="6" w:space="0" w:color="auto"/>
            </w:tcBorders>
          </w:tcPr>
          <w:p w14:paraId="574F41A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968F9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AEDC19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Тяжелый трактор (Протокол РВС СССР № 29 от 17-18 июля 1929г.)</w:t>
      </w:r>
    </w:p>
    <w:p w14:paraId="7E28C00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Средний трактор Катерпиллер</w:t>
      </w:r>
    </w:p>
    <w:p w14:paraId="7C5AD3C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Общий проект тяжелого трактора с использованием агрегатов и деталей трактора Катерпиллер выполнен.</w:t>
      </w:r>
    </w:p>
    <w:p w14:paraId="437A9AC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Разработан проект модернизации трактора Катерпиллер (увеличена скорость до 12 км в час и введена 4-х скоростная коробка) и заказаны 2 опытных образца на Челябинском опытном тракторном заводе со сроком изготовления 1 - к 15 марта 1931 г. и 2 - к 15 мая 1931 г. Состояние работ обеспечивает изготовление опытных образцов в эти сроки.</w:t>
      </w:r>
    </w:p>
    <w:p w14:paraId="5191CF3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УММ считает, что организация производства тяжелых тракторов нецелесообразна как по дорожным условиям,так и по весу грузов, подлежащих перевозке на тракторах.</w:t>
      </w:r>
    </w:p>
    <w:p w14:paraId="61C8416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 Управления по механизации и моторизации РККА Халепский</w:t>
      </w:r>
    </w:p>
    <w:p w14:paraId="5A8222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РГВА.Ф. 31811. Оп. 1. Д. 141. Л. 1 -3. Копия (11210).</w:t>
      </w:r>
    </w:p>
    <w:p w14:paraId="4D6C9B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AA6CD01" w14:textId="77777777" w:rsidR="00EA7676" w:rsidRPr="005E779E" w:rsidRDefault="00EA7676"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15 февраля</w:t>
      </w:r>
      <w:r w:rsidRPr="005E779E">
        <w:rPr>
          <w:rFonts w:ascii="Times New Roman" w:hAnsi="Times New Roman"/>
          <w:color w:val="000000" w:themeColor="text1"/>
          <w:sz w:val="16"/>
          <w:szCs w:val="16"/>
        </w:rPr>
        <w:t xml:space="preserve"> в 1931 году из ворот Опытного завода ЧТЗ (Челябинск) выехал первый советский гусеничный трактор «С-60» (15041).</w:t>
      </w:r>
    </w:p>
    <w:p w14:paraId="4C138D82" w14:textId="77777777" w:rsidR="00EA7676" w:rsidRPr="005E779E" w:rsidRDefault="00EA7676" w:rsidP="000B7A6C">
      <w:pPr>
        <w:spacing w:after="0" w:line="240" w:lineRule="auto"/>
        <w:jc w:val="both"/>
        <w:rPr>
          <w:rFonts w:ascii="Times New Roman" w:hAnsi="Times New Roman"/>
          <w:color w:val="000000" w:themeColor="text1"/>
          <w:sz w:val="16"/>
          <w:szCs w:val="16"/>
        </w:rPr>
      </w:pPr>
    </w:p>
    <w:p w14:paraId="27DC8A5B" w14:textId="77777777" w:rsidR="00AF028E" w:rsidRPr="00142305" w:rsidRDefault="00AF028E" w:rsidP="00AF028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15 февраля 1931 г. в Челябинске на опытном заводе собрали первый опытный трактор и 27 апреля отправили в Москву для показа правительству. Следующий трактор был отправлен в Москву к лету, где он подвергся кратковременным испытаниям совместно с американским прототипом – «Sixty».</w:t>
      </w:r>
    </w:p>
    <w:p w14:paraId="52B47F21" w14:textId="77777777" w:rsidR="00AF028E" w:rsidRPr="00142305" w:rsidRDefault="00AF028E" w:rsidP="00AF028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этому времени фирма «Катерпиллер» серьезно пересмотрела конструкцию выпускавшихся моделей. Модернизированные тракторы получили двигатели более высокой мощности и новые коробки скоростей. У тракторов моделей «15», «20» и «25» имелась возможность путем смены шестерен (так называемая «третья специальная скорость») повысить скорость движения на 3-й передаче. Например, максимальная скорость трактора «15» при смене шестерен возрастала с 5,63 до 7,07 км/ч. Но монтаж и демонтаж коробок скоростей с заменой шестерен нельзя было назвать легко осуществимой операций. Несколько удачнее проблему быстроходности попытались решить в модели «35». Трактор «35» в основном был идентичен модели «30», но оснащался двигателем мощностью 46 л.с. и новой четырехскоростной коробкой передач, допускающими движение с максимальной скоростью до 7,4 км/ч. Трактор «Sixty», хотя и был весьма надежным и тяговитым, имел низкие скоростные показатели, что существенно ограничивало область его применения в военном деле и на некоторых транспортных работах. (25588).</w:t>
      </w:r>
    </w:p>
    <w:p w14:paraId="717DE60F" w14:textId="77777777" w:rsidR="00AF028E" w:rsidRPr="00142305" w:rsidRDefault="00AF028E" w:rsidP="00AF028E">
      <w:pPr>
        <w:spacing w:after="0" w:line="240" w:lineRule="auto"/>
        <w:jc w:val="both"/>
        <w:rPr>
          <w:rFonts w:ascii="Times New Roman" w:hAnsi="Times New Roman"/>
          <w:color w:val="0070C0"/>
          <w:sz w:val="16"/>
          <w:szCs w:val="16"/>
        </w:rPr>
      </w:pPr>
    </w:p>
    <w:p w14:paraId="25288E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февраля 1931 на опытном заводе в Ленинграде под руководством С.В.Лебедева был получен первый в СССР блок искусственного каучук (3960,64).</w:t>
      </w:r>
    </w:p>
    <w:p w14:paraId="1FF033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CE420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февраля 1931 года, Ленинградский опытный завод СК Литер Б получил первую партию каучука, исходным сырьем для которого служил этиловый спирт. Это была большая победа советских химиков, впервые в мире начавших промышленное производство синтетического каучука.</w:t>
      </w:r>
    </w:p>
    <w:p w14:paraId="36C22B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1934 г. СССР произвел 11 тыс. тонн синтетического каучука и вплоть до 1990 года занимал по его производству первое место в мире</w:t>
      </w:r>
    </w:p>
    <w:p w14:paraId="51FE2D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1935 г. Государственному опытному заводу синтетического каучука литер «Б» присвоено имя академика С. В. Лебедева (11771).</w:t>
      </w:r>
    </w:p>
    <w:p w14:paraId="1F2F88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D8838D4" w14:textId="77777777" w:rsidR="00EA7676" w:rsidRPr="005E779E" w:rsidRDefault="00EA7676"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15 февраля</w:t>
      </w:r>
      <w:r w:rsidRPr="005E779E">
        <w:rPr>
          <w:rFonts w:ascii="Times New Roman" w:hAnsi="Times New Roman"/>
          <w:color w:val="000000" w:themeColor="text1"/>
          <w:sz w:val="16"/>
          <w:szCs w:val="16"/>
        </w:rPr>
        <w:t xml:space="preserve"> в 1931 году на опытном заводе в Ленинграде под руководством С.В.Лебедева получен первый в СССР блок синтетического каучука весом 265 кг (15041).</w:t>
      </w:r>
    </w:p>
    <w:p w14:paraId="6DF92156" w14:textId="77777777" w:rsidR="00EA7676" w:rsidRPr="005E779E" w:rsidRDefault="00EA7676" w:rsidP="000B7A6C">
      <w:pPr>
        <w:spacing w:after="0" w:line="240" w:lineRule="auto"/>
        <w:jc w:val="both"/>
        <w:rPr>
          <w:rFonts w:ascii="Times New Roman" w:hAnsi="Times New Roman"/>
          <w:color w:val="000000" w:themeColor="text1"/>
          <w:sz w:val="16"/>
          <w:szCs w:val="16"/>
        </w:rPr>
      </w:pPr>
    </w:p>
    <w:p w14:paraId="0980D80E" w14:textId="77777777" w:rsidR="00EA7676" w:rsidRPr="005E779E" w:rsidRDefault="00EA7676"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bCs/>
          <w:iCs/>
          <w:color w:val="000000" w:themeColor="text1"/>
          <w:sz w:val="16"/>
          <w:szCs w:val="16"/>
        </w:rPr>
        <w:t>15 февраля 1931 г.</w:t>
      </w:r>
      <w:r w:rsidRPr="005E779E">
        <w:rPr>
          <w:rFonts w:ascii="Times New Roman" w:hAnsi="Times New Roman"/>
          <w:color w:val="000000" w:themeColor="text1"/>
          <w:sz w:val="16"/>
          <w:szCs w:val="16"/>
        </w:rPr>
        <w:t xml:space="preserve"> Начало работы Опытного сектора химического завода № 1 (г.Москва, Владимирский тракт, впоследствии — шоссе Энтузиастов; другие названия: Ольгинский завод, Эксольхим, химический завод № 51, ГСНИИ-42, ГСНИИ-403, п/я 702, ГСНИИОХТ) — первое организационное решение в последовательном преобразовании завода по промышленному выпуску ОВ (с ЦНИЛ и опытным производством) в нынешний ГСНИИОХТ (головной Институт по химии и технологии ОВ с опытным производством ОВ). С 1926 г. на заводе работала установка по производству хлорацетофенона (выпуск: 1931 г. — 21,7 тонн, 1932 г. — 14,7 тонн) и фосгена. С конца 1926 г. действовала установка по выпуску дифенилхлорарсина с суточной производительностью 4-5 пудов. Мощность установок по производства иприта в 1932-1934 гг. составляла 2000 тонн в год, в 1935-1941 гг. — 2250-2500 тонн в год (фактический выпуск иприта составил в 1931 г. — 61,2 тонны, в 1932 г. — 754,4 тонны, и он продолжался до самой войны). В 1931 г. в опытном секторе завода работало 11 установок, в 1932 г. 23 установки, в том числе по выпуску бромбензилцинида, синильной кислоты, хлорциана, также разнообразных мышьяксодержащих ОВ — люизита (мощность на 1 июня 1937 г. .- 210 тонн в год), дифенилхлорарсина, дифенилцианарсина и т.д. В 1934 г. уже велись работы по созданию азотистого иприта, иприта Мейера, незамерзающих и вязких ипритов, смесевых ОВ (синильная кислота- хлорциан, синильная кислота с фтористым водородом и т.д.), ОВ наркотического действия, ОВ, способных «пробивать» противогаз, и т.д. Отходы производств ОВ в основном захоранивались на территории полигоне в Кузьминках (Москва) (17133).</w:t>
      </w:r>
    </w:p>
    <w:p w14:paraId="2EED55A6" w14:textId="77777777" w:rsidR="00EA7676" w:rsidRPr="005E779E" w:rsidRDefault="00EA7676" w:rsidP="000B7A6C">
      <w:pPr>
        <w:shd w:val="clear" w:color="auto" w:fill="FFFFFF"/>
        <w:spacing w:after="0" w:line="240" w:lineRule="auto"/>
        <w:jc w:val="both"/>
        <w:rPr>
          <w:rFonts w:ascii="Times New Roman" w:hAnsi="Times New Roman"/>
          <w:color w:val="000000" w:themeColor="text1"/>
          <w:sz w:val="16"/>
          <w:szCs w:val="16"/>
        </w:rPr>
      </w:pPr>
    </w:p>
    <w:p w14:paraId="61FB7C7F"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07E40103"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10780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февраля 1931 приказом по ОГПУ N 73/37 было создано ГУ лагерей (ГУЛАГ (3398,75).</w:t>
      </w:r>
    </w:p>
    <w:p w14:paraId="27DF08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251C4FD"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05FEDD87"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D853FB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середине февраля 1931 план завода Большевик был скорректирован до 300 шт. Т-26 со сдачей первого танка не позднее 1 мая. Но и это количест</w:t>
      </w:r>
      <w:r w:rsidRPr="005E779E">
        <w:rPr>
          <w:rFonts w:ascii="Times New Roman" w:hAnsi="Times New Roman"/>
          <w:color w:val="000000" w:themeColor="text1"/>
          <w:sz w:val="16"/>
          <w:szCs w:val="16"/>
        </w:rPr>
        <w:softHyphen/>
        <w:t>во оказалось нереальным (10733,175).</w:t>
      </w:r>
    </w:p>
    <w:p w14:paraId="1BE90CE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A06B61" w14:textId="77777777" w:rsidR="005E7475"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63445F4C" w14:textId="77777777" w:rsidR="005E7475" w:rsidRPr="005E779E" w:rsidRDefault="005E7475"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108D880" w14:textId="77777777" w:rsidR="005E7475" w:rsidRPr="005E779E" w:rsidRDefault="005E7475"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16 февраля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Постановление № 57 СТО СССР о порядке производства расчетов по судостроению (ГА РФ. Ф. 5674. Оп. 1. Д. 44. Л. 121?122) (12415).</w:t>
      </w:r>
    </w:p>
    <w:p w14:paraId="5B6683EF" w14:textId="77777777" w:rsidR="005E7475" w:rsidRPr="005E779E" w:rsidRDefault="005E7475" w:rsidP="000B7A6C">
      <w:pPr>
        <w:spacing w:after="0" w:line="240" w:lineRule="auto"/>
        <w:jc w:val="both"/>
        <w:rPr>
          <w:rFonts w:ascii="Times New Roman" w:hAnsi="Times New Roman"/>
          <w:color w:val="000000" w:themeColor="text1"/>
          <w:sz w:val="16"/>
          <w:szCs w:val="16"/>
          <w:u w:color="002060"/>
        </w:rPr>
      </w:pPr>
    </w:p>
    <w:p w14:paraId="06E05513"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672C66EF"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D75BF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 февраля 1931 вышло постановление СТО, а 20 февраля 1931 вышел приказ N 51 Наркомвоенмора о передаче ВАО назад из состава Наркомвоенмора в ведение ВСНХ СССР (1647,5).</w:t>
      </w:r>
    </w:p>
    <w:p w14:paraId="192E78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6CF35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 февраля 1931 состоялось совещание руководителей и техперсонала АГОС по АНТ-16 (1077,173).</w:t>
      </w:r>
    </w:p>
    <w:p w14:paraId="763348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863F9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 февраля 1931 в присутствии немцев с линкора Парижской Коммуны с отремонтированной и доработанной катапульты произвели сразу 4 взлета. Л Ганулич и второй - Валтонен (1083,7).</w:t>
      </w:r>
    </w:p>
    <w:p w14:paraId="1E74F9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891FDFB" w14:textId="77777777" w:rsidR="00C02F0A" w:rsidRPr="005E779E" w:rsidRDefault="00C02F0A"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17 февраля</w:t>
      </w:r>
      <w:r w:rsidRPr="005E779E">
        <w:rPr>
          <w:rFonts w:ascii="Times New Roman" w:hAnsi="Times New Roman"/>
          <w:color w:val="000000" w:themeColor="text1"/>
          <w:sz w:val="16"/>
          <w:szCs w:val="16"/>
        </w:rPr>
        <w:t xml:space="preserve"> в 1931 году с линкора «Марат» летающая лодка «Do-55» (доработанная до «КР-1») совершила с помощью катапульты 4 взлета с посадкой на воду. Двадцатиметровая пневматическая катапульта «К-3» могла разогнать самолет весом до 3,5 т до скорости 130 км/ч. Доработку самолета до «КР-1» на Черном море вел завод N45 в Севастополе. Спереди на кронштейнах устанавливался в полуутопленном положении пулемет ПВ-1 с патронным ящиком по образцу самолета «МР-1». Гашетка ПВ-1 находилась на штурвале, спуск осуществлялся с помощью тросика. Перезаряжание же происходило совсем просто - затвор пулемета выходил в кабину. Летчик прицеливался через простой кольцевой складывающийся прицел. Сзади ставилась турель Тур-6 с парой пулеметов ДА. Под турель, чтобы она свободно двигалась, пришлось подложить деревянный круг толщиной 30 мм. Чтобы козырек задней кабины не мешал вращению, его сместили вперед на 60 мм. Попутно внесли еще некоторые мелкие изменения - переделали козырек у пилота, сделав его несимметричным (это сочли более удобным, так как летчик сидел не по оси), надели коробку на компенсатор турели и т. д. Пилотировал машину пилот Ганулич (15043).</w:t>
      </w:r>
    </w:p>
    <w:p w14:paraId="63C933D0" w14:textId="77777777" w:rsidR="00C02F0A" w:rsidRPr="005E779E" w:rsidRDefault="00C02F0A" w:rsidP="000B7A6C">
      <w:pPr>
        <w:spacing w:after="0" w:line="240" w:lineRule="auto"/>
        <w:jc w:val="both"/>
        <w:rPr>
          <w:rFonts w:ascii="Times New Roman" w:hAnsi="Times New Roman"/>
          <w:color w:val="000000" w:themeColor="text1"/>
          <w:sz w:val="16"/>
          <w:szCs w:val="16"/>
        </w:rPr>
      </w:pPr>
    </w:p>
    <w:p w14:paraId="38D5A4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 февраля 1931 в Москве открыли Центральную авиамодельную лабораторию (271,125).</w:t>
      </w:r>
    </w:p>
    <w:p w14:paraId="770754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F31F415"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6A6DC209"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FB9CF94" w14:textId="77777777" w:rsidR="005E7475" w:rsidRPr="005E779E" w:rsidRDefault="005E7475" w:rsidP="000B7A6C">
      <w:pPr>
        <w:pStyle w:val="a3"/>
        <w:rPr>
          <w:color w:val="000000" w:themeColor="text1"/>
          <w:lang w:val="ru-RU"/>
        </w:rPr>
      </w:pPr>
      <w:r w:rsidRPr="005E779E">
        <w:rPr>
          <w:color w:val="000000" w:themeColor="text1"/>
          <w:lang w:val="ru-RU"/>
        </w:rPr>
        <w:t>17 февраля 1931 г. Всесоюзное автотрак</w:t>
      </w:r>
      <w:r w:rsidRPr="005E779E">
        <w:rPr>
          <w:color w:val="000000" w:themeColor="text1"/>
          <w:lang w:val="ru-RU"/>
        </w:rPr>
        <w:softHyphen/>
        <w:t>торное объединение (ВАТО) получило от МПО ВСНХ письмом №883/сс промзадание для СТЗ, предполагавшее выпуск в первый год войны 12000 танков Т-26 с комплектами запчастей, эквивалентных 6000 танкам, и создание к 1 апреля 1932 г. базы по фасонному стальному литью мощностью 55000 т из расчета выпуска специального литья: для малых танков — 12000 единиц, для средних танков — 2000 единиц и для танкеток — 4000 единиц.</w:t>
      </w:r>
    </w:p>
    <w:p w14:paraId="665D215A" w14:textId="77777777" w:rsidR="005E7475" w:rsidRPr="005E779E" w:rsidRDefault="005E7475" w:rsidP="000B7A6C">
      <w:pPr>
        <w:pStyle w:val="a3"/>
        <w:rPr>
          <w:color w:val="000000" w:themeColor="text1"/>
          <w:lang w:val="ru-RU"/>
        </w:rPr>
      </w:pPr>
      <w:r w:rsidRPr="005E779E">
        <w:rPr>
          <w:color w:val="000000" w:themeColor="text1"/>
          <w:lang w:val="ru-RU"/>
        </w:rPr>
        <w:t>Для обеспечения потребности Народно</w:t>
      </w:r>
      <w:r w:rsidRPr="005E779E">
        <w:rPr>
          <w:color w:val="000000" w:themeColor="text1"/>
          <w:lang w:val="ru-RU"/>
        </w:rPr>
        <w:softHyphen/>
        <w:t>го комиссариата по военным и морским делам (НКВМ) в танках мирного времени и подготовки кадров танкостроителей на СТЗ следовало орга</w:t>
      </w:r>
      <w:r w:rsidRPr="005E779E">
        <w:rPr>
          <w:color w:val="000000" w:themeColor="text1"/>
          <w:lang w:val="ru-RU"/>
        </w:rPr>
        <w:softHyphen/>
        <w:t>низовать опытный цех с пропускной способно</w:t>
      </w:r>
      <w:r w:rsidRPr="005E779E">
        <w:rPr>
          <w:color w:val="000000" w:themeColor="text1"/>
          <w:lang w:val="ru-RU"/>
        </w:rPr>
        <w:softHyphen/>
        <w:t>стью 100 танков в год при односменной работе (12622).</w:t>
      </w:r>
    </w:p>
    <w:p w14:paraId="1DD56991" w14:textId="77777777" w:rsidR="005E7475" w:rsidRPr="005E779E" w:rsidRDefault="005E7475" w:rsidP="000B7A6C">
      <w:pPr>
        <w:pStyle w:val="a3"/>
        <w:rPr>
          <w:color w:val="000000" w:themeColor="text1"/>
          <w:lang w:val="ru-RU"/>
        </w:rPr>
      </w:pPr>
    </w:p>
    <w:p w14:paraId="13BD2C7E" w14:textId="77777777" w:rsidR="00AF028E" w:rsidRPr="00142305" w:rsidRDefault="00AF028E" w:rsidP="00AF028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17 февраля 1931 г. Всесоюзное автотракторное объединение (ВАТО) получило от МПО ВСНХ письмом №883/сс промзадание для СТЗ, предполагавшее выпуск в первый год войны 12 000 танков Т-26 с комплектами запчастей, эквивалентных 6000 танкам, и создание к 1 апреля 1932 г. базы по фасонному стальному литью мощностью 55 000 т из расчета выпуска специального литья: для малых танков – 12 000 единиц, для средних танков – 2000 единиц и для танкеток – 4000 единиц.</w:t>
      </w:r>
    </w:p>
    <w:p w14:paraId="5B60A4F4" w14:textId="77777777" w:rsidR="00AF028E" w:rsidRPr="00142305" w:rsidRDefault="00AF028E" w:rsidP="00AF028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Для обеспечения потребности Народного комиссариата по военным и морским делам (НКВМ) в танках мирного времени и подготовки кадров танкостроителей на СТЗ следовало организовать опытный цех с пропускной способностью 100 танков в год при односменной работе. (25580).</w:t>
      </w:r>
    </w:p>
    <w:p w14:paraId="25A513E9" w14:textId="77777777" w:rsidR="00AF028E" w:rsidRPr="00142305" w:rsidRDefault="00AF028E" w:rsidP="00AF028E">
      <w:pPr>
        <w:spacing w:after="0" w:line="240" w:lineRule="auto"/>
        <w:jc w:val="both"/>
        <w:rPr>
          <w:rFonts w:ascii="Times New Roman" w:hAnsi="Times New Roman"/>
          <w:color w:val="0070C0"/>
          <w:sz w:val="16"/>
          <w:szCs w:val="16"/>
        </w:rPr>
      </w:pPr>
    </w:p>
    <w:p w14:paraId="1F3F9A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 февраля 1931 г. решением правления Государственного всесоюзного объединения тяжелого машиностроения "ВОМТ" ВСНХ СССР был создан Отраслевой институт химического машиностроения при Научно-исследовательском институте машиностроения "НИИМАШ" в г. Москве. Приказом ВОМТ от 6 апреля 1931 г. институт выделен в самостоятельный Государственный научно-исследовательский институт химического машиностроения (ГНИИХМ), реорганизованный в 1933 г. в Экспериментально-конструкторский институт химического машиностроения "ЭКИхиммаш". В 1935 г. институт переведен в гХарьков, в 1941 г. эвакуирован в г. Златоуст Челябинской обл. Приказом Наркомата минометного вооружения СССР от 18 августа 1942 г. на базе ЭКИхиммаша, Государственного института химического и бумажного машиностроения "Гипрохимбуммаш" и Конструкторского бюро Киевского завода "Большевик" организован Научно-исследовательский институт химического машиностроения "НИИхиммаш" (12102).</w:t>
      </w:r>
    </w:p>
    <w:p w14:paraId="6613E4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42A00E4" w14:textId="77777777" w:rsidR="003B4AB7"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7A70F707" w14:textId="77777777" w:rsidR="003B4AB7" w:rsidRPr="005E779E" w:rsidRDefault="003B4AB7"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AC1BD54" w14:textId="77777777" w:rsidR="003B4AB7" w:rsidRPr="005E779E" w:rsidRDefault="003B4AB7" w:rsidP="000B7A6C">
      <w:pPr>
        <w:widowControl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17 февраля </w:t>
      </w:r>
      <w:smartTag w:uri="urn:schemas-microsoft-com:office:smarttags" w:element="metricconverter">
        <w:smartTagPr>
          <w:attr w:name="ProductID" w:val="1945 г"/>
        </w:smartTagPr>
        <w:r w:rsidRPr="005E779E">
          <w:rPr>
            <w:rFonts w:ascii="Times New Roman" w:hAnsi="Times New Roman"/>
            <w:color w:val="000000" w:themeColor="text1"/>
            <w:sz w:val="16"/>
            <w:szCs w:val="16"/>
          </w:rPr>
          <w:t>1931 г</w:t>
        </w:r>
      </w:smartTag>
      <w:r w:rsidRPr="005E779E">
        <w:rPr>
          <w:rFonts w:ascii="Times New Roman" w:hAnsi="Times New Roman"/>
          <w:color w:val="000000" w:themeColor="text1"/>
          <w:sz w:val="16"/>
          <w:szCs w:val="16"/>
        </w:rPr>
        <w:t>. в целях дальнейшей централизации управления строительством приказом ВСНХ СССР, подписанном Г.К. Орджоникидзе, создавалось единое управление, которому подчинялись все строительные контрагенты: Водоканалстрой, Промсантехстрой, Малярстрой, Кровельстрой и Всесоюзное электрообъединение (ВЭО). Начальником строительного управления, получившего название 13-го Госстройтреста, был назначен М.М. Царевский. Одновременно он являлся заместителем начальника управления Автостроя (15218).</w:t>
      </w:r>
    </w:p>
    <w:p w14:paraId="55892E09" w14:textId="77777777" w:rsidR="003B4AB7" w:rsidRPr="005E779E" w:rsidRDefault="003B4AB7" w:rsidP="000B7A6C">
      <w:pPr>
        <w:widowControl w:val="0"/>
        <w:spacing w:after="0" w:line="240" w:lineRule="auto"/>
        <w:jc w:val="both"/>
        <w:rPr>
          <w:rFonts w:ascii="Times New Roman" w:hAnsi="Times New Roman"/>
          <w:color w:val="000000" w:themeColor="text1"/>
          <w:sz w:val="16"/>
          <w:szCs w:val="16"/>
        </w:rPr>
      </w:pPr>
    </w:p>
    <w:p w14:paraId="0AB7E60A"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4C00CE25"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5F14A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 февраля 1931 в Нью-Йорке в разгар Великой депрессии была основана фирма Seversky Aircraft Corp. во главе с президентом А.Н.Прокофьевым-Северским. На фирме работало много русских эмигрантов (1609,31).</w:t>
      </w:r>
    </w:p>
    <w:p w14:paraId="24BDD0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9EBDD78"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 февраля 1931 г. на аэродроме Берлин-Темпельхоф прототип самолета Ju-52 (D-1974, Werk Mr. 4001) впервые был продемонстрирован публично. Самолет был оснащен одним двигателем жидкостного охлаждения BMW-VlIaU мощностью 685 л.с. Обратите внимание на круглые иллюминаторы.</w:t>
      </w:r>
    </w:p>
    <w:p w14:paraId="489C1943"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Параметры нового самолета, получившего обозначение Ju-52, определял Готхард Зашенбург, один из ведущих сотрудников Юнкерса. Самолет должен был обладать способностью перевозить груз массой 2,2 т на расстояние 800 км. Максимальная скорость полета — всего 120 км/ч, но этот параметр в те годы не считался для транспортных самолетов критичным. Критичными являлись эксплуатационные расходы, снижению которых на фирме постарались уделить максимум внимания.</w:t>
      </w:r>
    </w:p>
    <w:p w14:paraId="278202EC"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Непосредственно за проектирование самолета Ju-52 отвечал дипломированный инженер Эрнст Циндель. За основу конструкторы взяли самолет W-33, увеличив его размеры. Размах крыла прототипа Ju-52 составил 29 м, на 11 м больше, чем у W-33. Длина прототипа Ju-52 — 18, м, высота — 6,1 м, в то время как длина W-33 составляла 10,5 м, а высота 3,5 м.</w:t>
      </w:r>
    </w:p>
    <w:p w14:paraId="41B6DA92"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Ju-52 представлял собой низкоплан полумонококовой конструкции с четырехлонжеронным крылом, лонжероны — стальные трубы.</w:t>
      </w:r>
    </w:p>
    <w:p w14:paraId="1EEBEDC8"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Большие грузовые двери-люки в бортах в крыше фюзеляжа позволяли использовать на погрузочно-разгрузочных работах кран. Размеры грузовой кабины самолета были следующими: длина 6, м, ширина 1,6 м, высота 1,9 м, объем грузовой кабины 16,7 м3. На Ju-52, как и на его предшественнике, самолете W-33, могли быть установлены разные типы шасси — колесное, лыжное, поплавки. Экипаж состоял из пилота и второго пилота, управление самолетом двойное. На самолете стоял один 12-цилиндровый двигатель жидкостного охлаждения Юнкере L/88 мощностью 800 л.с. Двигатель приводил во вращение четырехлопастный металлический воздушный винт.</w:t>
      </w:r>
    </w:p>
    <w:p w14:paraId="5C0DC3DB"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Сборка первого прототипа Ju-52ba (Werk Nummer 4001) началась в первом квартале 1930 г. Впервые самолет поднял в воздух с заводского аэродрома в Дессау 13 октября 1930 г. старший летчик-испытатель фирмы Вильгельм Циммерман. Уже в первых полетах выявилась ненадежная работа двигателя L88, который пришлось менять на мотор BMW VIIaU мощностью 685 л.с. Двигатель BMW VIIaU комплектовался двухлопастным деревянным воздушным винтом (24200)..</w:t>
      </w:r>
    </w:p>
    <w:p w14:paraId="171F9D3A" w14:textId="77777777" w:rsidR="00225E06" w:rsidRPr="005E779E" w:rsidRDefault="00225E06" w:rsidP="000B7A6C">
      <w:pPr>
        <w:spacing w:after="0" w:line="240" w:lineRule="auto"/>
        <w:jc w:val="both"/>
        <w:rPr>
          <w:rFonts w:ascii="Times New Roman" w:hAnsi="Times New Roman"/>
          <w:color w:val="000000" w:themeColor="text1"/>
          <w:sz w:val="16"/>
          <w:szCs w:val="16"/>
        </w:rPr>
      </w:pPr>
    </w:p>
    <w:p w14:paraId="2101646E" w14:textId="77777777" w:rsidR="00B63732" w:rsidRPr="005E779E" w:rsidRDefault="00B63732"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17 февраля 1931 г. Махатма Ганди начинает переговоры о судьбе страныт (</w:t>
      </w:r>
      <w:r w:rsidRPr="005E779E">
        <w:rPr>
          <w:rFonts w:ascii="Times New Roman" w:eastAsia="Times New Roman" w:hAnsi="Times New Roman"/>
          <w:bCs/>
          <w:iCs/>
          <w:color w:val="000000" w:themeColor="text1"/>
          <w:sz w:val="16"/>
          <w:szCs w:val="16"/>
          <w:lang w:eastAsia="ru-RU"/>
        </w:rPr>
        <w:t>А. Горев «Неру»):</w:t>
      </w:r>
    </w:p>
    <w:p w14:paraId="4D769CC3" w14:textId="77777777" w:rsidR="00B63732" w:rsidRPr="005E779E" w:rsidRDefault="00B63732"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bCs/>
          <w:color w:val="000000" w:themeColor="text1"/>
          <w:sz w:val="16"/>
          <w:szCs w:val="16"/>
          <w:lang w:eastAsia="ru-RU"/>
        </w:rPr>
        <w:t xml:space="preserve">«Переговоры Ганди с вице-королем Индии лордом Ирвином начались </w:t>
      </w:r>
      <w:r w:rsidRPr="005E779E">
        <w:rPr>
          <w:rFonts w:ascii="Times New Roman" w:eastAsia="Times New Roman" w:hAnsi="Times New Roman"/>
          <w:color w:val="000000" w:themeColor="text1"/>
          <w:sz w:val="16"/>
          <w:szCs w:val="16"/>
          <w:lang w:eastAsia="ru-RU"/>
        </w:rPr>
        <w:t>17 февраля 1931 года.»</w:t>
      </w:r>
      <w:r w:rsidRPr="005E779E">
        <w:rPr>
          <w:rFonts w:ascii="Times New Roman" w:eastAsia="Times New Roman" w:hAnsi="Times New Roman"/>
          <w:bCs/>
          <w:color w:val="000000" w:themeColor="text1"/>
          <w:sz w:val="16"/>
          <w:szCs w:val="16"/>
          <w:lang w:eastAsia="ru-RU"/>
        </w:rPr>
        <w:t xml:space="preserve"> «Три недели длились переговоры Ганди с лордом Ирвином. Обычно Махатма находился в вице-королевском дворце до глубокого вечера. Невзирая на усталость и позднее время, Ганди непременно рассказывал членам Рабочего комитета о ходе переговоров. Выслушивая ежедневные отчеты Ганди, Джавахарлал склонялся к мысли, что позиция Махатмы, похоже, становилась все более компромиссной, нежели это первоначально предусматривалось.» (17325).</w:t>
      </w:r>
    </w:p>
    <w:p w14:paraId="5A68C5A5" w14:textId="77777777" w:rsidR="00B63732" w:rsidRPr="005E779E" w:rsidRDefault="00B63732" w:rsidP="000B7A6C">
      <w:pPr>
        <w:autoSpaceDE w:val="0"/>
        <w:autoSpaceDN w:val="0"/>
        <w:adjustRightInd w:val="0"/>
        <w:spacing w:after="0" w:line="240" w:lineRule="auto"/>
        <w:jc w:val="both"/>
        <w:rPr>
          <w:rFonts w:ascii="Times New Roman" w:hAnsi="Times New Roman"/>
          <w:color w:val="000000" w:themeColor="text1"/>
          <w:sz w:val="16"/>
          <w:szCs w:val="16"/>
        </w:rPr>
      </w:pPr>
    </w:p>
    <w:p w14:paraId="00733EDC" w14:textId="77777777" w:rsidR="00D306B4" w:rsidRPr="005E779E" w:rsidRDefault="00D306B4"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603F3152" w14:textId="77777777" w:rsidR="00D306B4" w:rsidRPr="005E779E" w:rsidRDefault="00D306B4"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35407DB" w14:textId="77777777" w:rsidR="00D306B4" w:rsidRPr="005E779E" w:rsidRDefault="00D306B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февраля 1931. Газета "Вечерняя Москва" сообщала: "Советский инженер СП. Королев сконструировал тип легкого двухмоторного самолета. Постройка опытного образца уже закончена, и на нем совершено несколько опытных полетов. Новая машина показала хорошие летные качества" (18724).</w:t>
      </w:r>
    </w:p>
    <w:p w14:paraId="79BE4588" w14:textId="77777777" w:rsidR="00D306B4" w:rsidRPr="005E779E" w:rsidRDefault="00D306B4" w:rsidP="000B7A6C">
      <w:pPr>
        <w:spacing w:after="0" w:line="240" w:lineRule="auto"/>
        <w:jc w:val="both"/>
        <w:rPr>
          <w:rFonts w:ascii="Times New Roman" w:hAnsi="Times New Roman"/>
          <w:color w:val="000000" w:themeColor="text1"/>
          <w:sz w:val="16"/>
          <w:szCs w:val="16"/>
        </w:rPr>
      </w:pPr>
    </w:p>
    <w:p w14:paraId="137E5EAE"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lastRenderedPageBreak/>
        <w:t>Другие оборонные отрасли:</w:t>
      </w:r>
    </w:p>
    <w:p w14:paraId="7202FED1"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7F68E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февраля по 2 апреля 1931 года на НИАПе была испытана первая 180-мм пушка Б-1-К. Заказ на изготовление первой 180/60-мм пушки Б-1-К Обуховскому заводу был выдан еще в 1927 году. Четыре 180-мм пушки Б-1-К были установлены на крейсере "Красный Кавказ" в одноорудийных установках МК-1-180. Испытания и эксплуатация этих орудий и установок выявили массу недостатков. В результате пушки Б-1-К больше никогда не использовались, а в производство была запущена 180/57-мм пушка Б-1-П. Основным ее отличием от Б-1-К был поршневой затвор и картузное заряжание. Баллистика и боеприпасы у Б-1-К и Б-1-П полностью совпадали (3861).</w:t>
      </w:r>
    </w:p>
    <w:p w14:paraId="48BE6C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C592C2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состоянию на 18 февраля 1931 года в донесении о со</w:t>
      </w:r>
      <w:r w:rsidRPr="005E779E">
        <w:rPr>
          <w:rFonts w:ascii="Times New Roman" w:hAnsi="Times New Roman"/>
          <w:color w:val="000000" w:themeColor="text1"/>
          <w:sz w:val="16"/>
          <w:szCs w:val="16"/>
        </w:rPr>
        <w:softHyphen/>
        <w:t>стоянии работ у т. Дыренкова на представитель УММ РККА докладывал: «...2. «Форд-А» Рожкова (проект УММ РККА) — готов».</w:t>
      </w:r>
    </w:p>
    <w:p w14:paraId="1400D18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Новый бронеавтомобиль (в документах того времени он именовался как «Форд-А» с башней или «Форд-А» Рож</w:t>
      </w:r>
      <w:r w:rsidRPr="005E779E">
        <w:rPr>
          <w:rFonts w:ascii="Times New Roman" w:hAnsi="Times New Roman"/>
          <w:color w:val="000000" w:themeColor="text1"/>
          <w:sz w:val="16"/>
          <w:szCs w:val="16"/>
        </w:rPr>
        <w:softHyphen/>
        <w:t>кова) внешне представлял собой «колесную танкетку» с ус</w:t>
      </w:r>
      <w:r w:rsidRPr="005E779E">
        <w:rPr>
          <w:rFonts w:ascii="Times New Roman" w:hAnsi="Times New Roman"/>
          <w:color w:val="000000" w:themeColor="text1"/>
          <w:sz w:val="16"/>
          <w:szCs w:val="16"/>
        </w:rPr>
        <w:softHyphen/>
        <w:t>тановленной на крыше корпуса башней. Корпус машины был изготовлен из бронелистов толщиной 4—6 мм, сварен</w:t>
      </w:r>
      <w:r w:rsidRPr="005E779E">
        <w:rPr>
          <w:rFonts w:ascii="Times New Roman" w:hAnsi="Times New Roman"/>
          <w:color w:val="000000" w:themeColor="text1"/>
          <w:sz w:val="16"/>
          <w:szCs w:val="16"/>
        </w:rPr>
        <w:softHyphen/>
        <w:t>ных между собой. Для удобства работы водителя крыша над его головой имела полусферическую выштамповку. Посад</w:t>
      </w:r>
      <w:r w:rsidRPr="005E779E">
        <w:rPr>
          <w:rFonts w:ascii="Times New Roman" w:hAnsi="Times New Roman"/>
          <w:color w:val="000000" w:themeColor="text1"/>
          <w:sz w:val="16"/>
          <w:szCs w:val="16"/>
        </w:rPr>
        <w:softHyphen/>
        <w:t>ка экипажа, состоявшего из двух человек, осуществлялась через двери в бортах корпуса. Вооружение машины состоя</w:t>
      </w:r>
      <w:r w:rsidRPr="005E779E">
        <w:rPr>
          <w:rFonts w:ascii="Times New Roman" w:hAnsi="Times New Roman"/>
          <w:color w:val="000000" w:themeColor="text1"/>
          <w:sz w:val="16"/>
          <w:szCs w:val="16"/>
        </w:rPr>
        <w:softHyphen/>
        <w:t>ло из одного пулемета ДТ в башне с круговым обстрелом</w:t>
      </w:r>
    </w:p>
    <w:p w14:paraId="7E73FD3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Проведенные кратковременные испытания выявили целый ряд недостатков в конструкции бронемашины, ос</w:t>
      </w:r>
      <w:r w:rsidRPr="005E779E">
        <w:rPr>
          <w:rFonts w:ascii="Times New Roman" w:hAnsi="Times New Roman"/>
          <w:color w:val="000000" w:themeColor="text1"/>
          <w:sz w:val="16"/>
          <w:szCs w:val="16"/>
        </w:rPr>
        <w:softHyphen/>
        <w:t>новными из которых была теснота броневого корпуса, не</w:t>
      </w:r>
      <w:r w:rsidRPr="005E779E">
        <w:rPr>
          <w:rFonts w:ascii="Times New Roman" w:hAnsi="Times New Roman"/>
          <w:color w:val="000000" w:themeColor="text1"/>
          <w:sz w:val="16"/>
          <w:szCs w:val="16"/>
        </w:rPr>
        <w:softHyphen/>
        <w:t>удовлетворительное охлаждение двигателя и неудобство работы с вооружением. Вместе с тем новая машина имела преимущество перед Д-8 и Д-12 в вооружении, имея башню с круговым обстрелом. Несмотря на это, «Форд-А» Рожко</w:t>
      </w:r>
      <w:r w:rsidRPr="005E779E">
        <w:rPr>
          <w:rFonts w:ascii="Times New Roman" w:hAnsi="Times New Roman"/>
          <w:color w:val="000000" w:themeColor="text1"/>
          <w:sz w:val="16"/>
          <w:szCs w:val="16"/>
        </w:rPr>
        <w:softHyphen/>
        <w:t>ва требовал доработки конструкции перед его постановкой на серийное производство (11284).</w:t>
      </w:r>
    </w:p>
    <w:p w14:paraId="42C51B0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AA369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февраля 1931 г. - ПРОТОКОЛ СОВЕЩАНИЯ УММ О РЕМОНТЕ ТРАКТОРОВ НКВМ В МАСТЕРСКИХ ТРАКТОРОЦЕНТРА</w:t>
      </w:r>
    </w:p>
    <w:p w14:paraId="02FD9D1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Карачан;</w:t>
      </w:r>
    </w:p>
    <w:p w14:paraId="568071D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Вахонин, Вейде, Петров</w:t>
      </w:r>
    </w:p>
    <w:p w14:paraId="189B3F7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Присутствовали: представители 4 отдела — Магидов, Бураков, Витковский;</w:t>
      </w:r>
    </w:p>
    <w:p w14:paraId="16DD745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отдела — Денисов;</w:t>
      </w:r>
    </w:p>
    <w:p w14:paraId="48C61B5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отдела — Кашкаров;</w:t>
      </w:r>
    </w:p>
    <w:p w14:paraId="731355E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НТК - Карачан;</w:t>
      </w:r>
    </w:p>
    <w:p w14:paraId="47D390C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Трактороцентра — Вахонин, Вейде, Петров.</w:t>
      </w:r>
    </w:p>
    <w:p w14:paraId="1A66FB7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Слушали:</w:t>
      </w:r>
    </w:p>
    <w:p w14:paraId="7BCABD4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Доклад т. Витковского и т. Вахонина</w:t>
      </w:r>
    </w:p>
    <w:p w14:paraId="2BCC48F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Тов. Витковский указывает, чтобы ремонтировать трактора Военведа необходимо расширить ворота в соответствии с габаритами машин больших размеров. Увеличить моечную, увеличить регулировочную. Добавить оборудование в механический цех, что потребует расширения площади механического цеха из расчета иметь там ориентировочно 14-15 станков. Предусмотреть термическую обработ</w:t>
      </w:r>
      <w:r w:rsidRPr="005E779E">
        <w:rPr>
          <w:rFonts w:ascii="Times New Roman" w:hAnsi="Times New Roman"/>
          <w:color w:val="000000" w:themeColor="text1"/>
          <w:sz w:val="16"/>
          <w:szCs w:val="16"/>
        </w:rPr>
        <w:softHyphen/>
        <w:t>ку, ремонт электрооборудования, кладовую сортовых материалов и если ремонтировать повозки, то - в колесную мастерскую. И тогда в одну смену, если не будет перебоя в запасных частях, можно будет пропустить через данные мастерские примерно 220-240 машин в год, считая одновременное нахождение в ремонте 8 машин и простой каждой машины от 10-12 рабочих дней.</w:t>
      </w:r>
    </w:p>
    <w:p w14:paraId="57176B5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Тов. Вахонин указывает, что более удобная схема будет последняя, которая уже утверждена, ко-5 гда расположение сборочных цехов, как для тракторов, так и для сельскохозяйственных машин находятся по соседству. Ворота делаются более широкими, учитывая проезд более крупных машин, а моечную можно будет пристроить для больших машин с другого конца сборочной.</w:t>
      </w:r>
    </w:p>
    <w:p w14:paraId="387ECD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Ремонт агрегатов будет производиться в помещении сборочной. Что же касается расширения площадей, то выходить из габаритов нельзя, так как удорожит стройку, и проект мастерской изменять нежелательно.</w:t>
      </w:r>
    </w:p>
    <w:p w14:paraId="73AC738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Тов. Магидов предлагает не предъявлять требования Трактороцентру, держать для УММ стан ему не нужные и рассматривать проект с точки зрения приспособления мастерских для целей Военвед без особо больших затрат, которые бы удорожали стоимость мастерских.</w:t>
      </w:r>
    </w:p>
    <w:p w14:paraId="39D8A62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общего рассмотрения проекта т. Магидов предлагает рассмотреть площади по цех уточняя размеры.</w:t>
      </w:r>
    </w:p>
    <w:p w14:paraId="476B3BA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Постановили:</w:t>
      </w:r>
    </w:p>
    <w:p w14:paraId="77DC377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Считать, что предложенный проект мастерских по своей пропускной способности не впол удовлетворяет нуждам НКВМ. Целесообразнее было бы строить более мощные районные ремон ные мастерские. Просить Трактороцентр проработать этот вопрос у себя.</w:t>
      </w:r>
    </w:p>
    <w:p w14:paraId="5648496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Из представленных 3 вариантов проектов мастерских наиболее подходящим для УММ 5 ся последний 3 вариант, в который нужно внести следующие изменения:</w:t>
      </w:r>
    </w:p>
    <w:p w14:paraId="2E352D1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Моечная. Высота ворот должна быть минимум 3 м, ширина тоже не менее 3 м. Моечную} ширить, т.е. взять ширину 5,5 м, длину 7 м, т.е. площадью 5,5 х 7 = 38 кв.м.</w:t>
      </w:r>
    </w:p>
    <w:p w14:paraId="4910A7E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Сборочный цех оставить по проекту.</w:t>
      </w:r>
    </w:p>
    <w:p w14:paraId="1F06E24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Регулировочную построить таких же размеров, как и моечную.</w:t>
      </w:r>
    </w:p>
    <w:p w14:paraId="6623739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В кузнечном цехе предусмотреть оборудование для термической обработки (печь для цема тации и закалки).</w:t>
      </w:r>
    </w:p>
    <w:p w14:paraId="791651B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 Площадь механического цеха запроектированная 103 кв.м недостаток, но есть возможное случае нужды расширить ее за счет кладовой запасных деталей, а для кладовой запасных дета придется предусмотреть площадь особо.</w:t>
      </w:r>
    </w:p>
    <w:p w14:paraId="684A3FA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Учитывая, что рассчитывать на полное и бесперебойное снабжение ремонтируемых УММ* шин запасными деталями не приходится, намеченного Трактороцентром оборудования недоста но, следует механический цех оборудовать дополнительно примерно следующими станками:</w:t>
      </w:r>
    </w:p>
    <w:p w14:paraId="0379103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Токарный станок 250 х 2000</w:t>
      </w:r>
      <w:r w:rsidRPr="005E779E">
        <w:rPr>
          <w:rFonts w:ascii="Times New Roman" w:hAnsi="Times New Roman"/>
          <w:color w:val="000000" w:themeColor="text1"/>
          <w:sz w:val="16"/>
          <w:szCs w:val="16"/>
        </w:rPr>
        <w:tab/>
        <w:t>1</w:t>
      </w:r>
    </w:p>
    <w:p w14:paraId="56709F7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Токарный станок 210 х 1500</w:t>
      </w:r>
      <w:r w:rsidRPr="005E779E">
        <w:rPr>
          <w:rFonts w:ascii="Times New Roman" w:hAnsi="Times New Roman"/>
          <w:color w:val="000000" w:themeColor="text1"/>
          <w:sz w:val="16"/>
          <w:szCs w:val="16"/>
        </w:rPr>
        <w:tab/>
        <w:t>1</w:t>
      </w:r>
    </w:p>
    <w:p w14:paraId="39A297F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Токарный станок 150 х 750</w:t>
      </w:r>
      <w:r w:rsidRPr="005E779E">
        <w:rPr>
          <w:rFonts w:ascii="Times New Roman" w:hAnsi="Times New Roman"/>
          <w:color w:val="000000" w:themeColor="text1"/>
          <w:sz w:val="16"/>
          <w:szCs w:val="16"/>
        </w:rPr>
        <w:tab/>
        <w:t>1</w:t>
      </w:r>
    </w:p>
    <w:p w14:paraId="2DAD6CC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Револьверных 32 мм</w:t>
      </w:r>
      <w:r w:rsidRPr="005E779E">
        <w:rPr>
          <w:rFonts w:ascii="Times New Roman" w:hAnsi="Times New Roman"/>
          <w:color w:val="000000" w:themeColor="text1"/>
          <w:sz w:val="16"/>
          <w:szCs w:val="16"/>
        </w:rPr>
        <w:tab/>
        <w:t>1</w:t>
      </w:r>
    </w:p>
    <w:p w14:paraId="7132B3A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Револьверных 25 мм</w:t>
      </w:r>
      <w:r w:rsidRPr="005E779E">
        <w:rPr>
          <w:rFonts w:ascii="Times New Roman" w:hAnsi="Times New Roman"/>
          <w:color w:val="000000" w:themeColor="text1"/>
          <w:sz w:val="16"/>
          <w:szCs w:val="16"/>
        </w:rPr>
        <w:tab/>
        <w:t>1</w:t>
      </w:r>
    </w:p>
    <w:p w14:paraId="41240C8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Сверлильных 30 мм</w:t>
      </w:r>
      <w:r w:rsidRPr="005E779E">
        <w:rPr>
          <w:rFonts w:ascii="Times New Roman" w:hAnsi="Times New Roman"/>
          <w:color w:val="000000" w:themeColor="text1"/>
          <w:sz w:val="16"/>
          <w:szCs w:val="16"/>
        </w:rPr>
        <w:tab/>
        <w:t>1</w:t>
      </w:r>
    </w:p>
    <w:p w14:paraId="1F025E4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Точило наждачное на 2 крута</w:t>
      </w:r>
      <w:r w:rsidRPr="005E779E">
        <w:rPr>
          <w:rFonts w:ascii="Times New Roman" w:hAnsi="Times New Roman"/>
          <w:color w:val="000000" w:themeColor="text1"/>
          <w:sz w:val="16"/>
          <w:szCs w:val="16"/>
        </w:rPr>
        <w:tab/>
        <w:t>1</w:t>
      </w:r>
    </w:p>
    <w:p w14:paraId="38E6C61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Точило мокрой точки с приводом</w:t>
      </w:r>
      <w:r w:rsidRPr="005E779E">
        <w:rPr>
          <w:rFonts w:ascii="Times New Roman" w:hAnsi="Times New Roman"/>
          <w:color w:val="000000" w:themeColor="text1"/>
          <w:sz w:val="16"/>
          <w:szCs w:val="16"/>
        </w:rPr>
        <w:tab/>
        <w:t>1</w:t>
      </w:r>
    </w:p>
    <w:p w14:paraId="08496DF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Ножовка приводная</w:t>
      </w:r>
      <w:r w:rsidRPr="005E779E">
        <w:rPr>
          <w:rFonts w:ascii="Times New Roman" w:hAnsi="Times New Roman"/>
          <w:color w:val="000000" w:themeColor="text1"/>
          <w:sz w:val="16"/>
          <w:szCs w:val="16"/>
        </w:rPr>
        <w:tab/>
        <w:t>1</w:t>
      </w:r>
    </w:p>
    <w:p w14:paraId="040B826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Приспособление для расшлифовки цилиндров</w:t>
      </w:r>
      <w:r w:rsidRPr="005E779E">
        <w:rPr>
          <w:rFonts w:ascii="Times New Roman" w:hAnsi="Times New Roman"/>
          <w:color w:val="000000" w:themeColor="text1"/>
          <w:sz w:val="16"/>
          <w:szCs w:val="16"/>
        </w:rPr>
        <w:tab/>
        <w:t>1</w:t>
      </w:r>
    </w:p>
    <w:p w14:paraId="4895962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Приспособление для шлифовки коленчатых валов</w:t>
      </w:r>
      <w:r w:rsidRPr="005E779E">
        <w:rPr>
          <w:rFonts w:ascii="Times New Roman" w:hAnsi="Times New Roman"/>
          <w:color w:val="000000" w:themeColor="text1"/>
          <w:sz w:val="16"/>
          <w:szCs w:val="16"/>
        </w:rPr>
        <w:tab/>
        <w:t>1</w:t>
      </w:r>
    </w:p>
    <w:p w14:paraId="2DAF65D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Шлифовальные приборы к токарным станкам</w:t>
      </w:r>
      <w:r w:rsidRPr="005E779E">
        <w:rPr>
          <w:rFonts w:ascii="Times New Roman" w:hAnsi="Times New Roman"/>
          <w:color w:val="000000" w:themeColor="text1"/>
          <w:sz w:val="16"/>
          <w:szCs w:val="16"/>
        </w:rPr>
        <w:tab/>
        <w:t>2</w:t>
      </w:r>
    </w:p>
    <w:p w14:paraId="3CE297A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Для сборочного цеха иметь:</w:t>
      </w:r>
    </w:p>
    <w:p w14:paraId="5BE01A5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Электродрелей - 4 шт;</w:t>
      </w:r>
    </w:p>
    <w:p w14:paraId="3F5F321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Передвижные козлы с талью на 1,5 тонн.</w:t>
      </w:r>
    </w:p>
    <w:p w14:paraId="4211052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В случае развёртывания в мастерской ремонта повозок необходимо будет дополнительно I строить колесную мастерскую.</w:t>
      </w:r>
    </w:p>
    <w:p w14:paraId="21FE90F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При выборе места для мастерской предусмотреть возможность расширения ее со стороны! рот сборочного цеха сельхозмашин и деревообделочной.</w:t>
      </w:r>
    </w:p>
    <w:p w14:paraId="3E0D171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Предусмотреть противопожарное оборудование.</w:t>
      </w:r>
    </w:p>
    <w:p w14:paraId="173CD89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Мощность силовой от станции при увеличении оборудования механического цеха нужно) личить до 50 кВт.</w:t>
      </w:r>
    </w:p>
    <w:p w14:paraId="144E6BB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Председатель Магидов</w:t>
      </w:r>
    </w:p>
    <w:p w14:paraId="1F86B7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Секретарь Харьков</w:t>
      </w:r>
    </w:p>
    <w:p w14:paraId="0E398A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РГВА, ф. 31811, оп. 2, д. 58, л. 93 (11210).</w:t>
      </w:r>
    </w:p>
    <w:p w14:paraId="507200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08BBCF2" w14:textId="20326DC4" w:rsidR="002E524B" w:rsidRPr="005E779E" w:rsidRDefault="002E524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февраля 1931 г. вышло постановление ЦИК и СНК СССР № 57/131, в котором указаны следующие меры воздействия для борьбы с нарушениями договорной дисциплины: «1) обязать хозяйственные органы оформлять свои заказы и поставки путем заключения письменных договоров; 2) в случае невыполнения или ненадлежащего выполнения хозяйственными органами принятых на себя обязательств но договорам заказов и поставок для государственной</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промышленности, транспорта, обобществленного сектора сельского хозяйства, а также для других отраслей обобществленного сектора народного хозяйства директора заводов и другие должностные лица, ответственные за невыполнение данного заказа или поставки, привлекаются к ответственности, как за должностное преступление». (СЗ СССР. 1931. № 10. Ст. 109. Стр. 166.) (17724).</w:t>
      </w:r>
    </w:p>
    <w:p w14:paraId="4BDC71B2" w14:textId="77777777" w:rsidR="002E524B" w:rsidRPr="005E779E" w:rsidRDefault="002E524B" w:rsidP="000B7A6C">
      <w:pPr>
        <w:spacing w:after="0" w:line="240" w:lineRule="auto"/>
        <w:jc w:val="both"/>
        <w:rPr>
          <w:rFonts w:ascii="Times New Roman" w:hAnsi="Times New Roman"/>
          <w:color w:val="000000" w:themeColor="text1"/>
          <w:sz w:val="16"/>
          <w:szCs w:val="16"/>
        </w:rPr>
      </w:pPr>
    </w:p>
    <w:p w14:paraId="63029513"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751DEAD1"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7C649DE" w14:textId="77777777" w:rsidR="003B4AB7" w:rsidRPr="005E779E" w:rsidRDefault="003B4A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18 февраля</w:t>
      </w:r>
      <w:r w:rsidRPr="005E779E">
        <w:rPr>
          <w:rFonts w:ascii="Times New Roman" w:hAnsi="Times New Roman"/>
          <w:color w:val="000000" w:themeColor="text1"/>
          <w:sz w:val="16"/>
          <w:szCs w:val="16"/>
        </w:rPr>
        <w:t xml:space="preserve"> в 1931 году при Радиоуправлении Наркомпочтеля в Москве организована мастерская по записи радиопрограмм на пленку и грампластинки. Позднее реорганизована в Государственную лабораторию звукозаписи ГЛЗ (с 1994 г. ОАО Всероссийский научно-исследовательский институт телевидения и радиовещания) (15044).</w:t>
      </w:r>
    </w:p>
    <w:p w14:paraId="2D0C7987" w14:textId="77777777" w:rsidR="003B4AB7" w:rsidRPr="005E779E" w:rsidRDefault="003B4AB7" w:rsidP="000B7A6C">
      <w:pPr>
        <w:spacing w:after="0" w:line="240" w:lineRule="auto"/>
        <w:jc w:val="both"/>
        <w:rPr>
          <w:rFonts w:ascii="Times New Roman" w:hAnsi="Times New Roman"/>
          <w:color w:val="000000" w:themeColor="text1"/>
          <w:sz w:val="16"/>
          <w:szCs w:val="16"/>
        </w:rPr>
      </w:pPr>
    </w:p>
    <w:p w14:paraId="529F0C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февраля 1931 года Постановлением СНК углубление Беломорско-Балтийского канала устанавливалось в 12 футов с последующим доведением в ходе эксплуатации до 18 футов, а размер шлюзов был принят 100 на 17 метров (9045).</w:t>
      </w:r>
    </w:p>
    <w:p w14:paraId="3AAF90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C3DA3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18 февраля 1931 г. СТО принимает постановление № 24 "Об изменении п. п. "б", "в" и "г" ст.2-й постановления СТО от 3 июня 1930 года о постройке Балтийско-Беломорского канала". </w:t>
      </w:r>
    </w:p>
    <w:p w14:paraId="63B5F41C"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Совет Труда и Обороны постановил: </w:t>
      </w:r>
    </w:p>
    <w:p w14:paraId="5662C032"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 глубину Балтийско-Беломорского канала установить в 10–12 футов; </w:t>
      </w:r>
    </w:p>
    <w:p w14:paraId="257418D4"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 срок окончания работ не позже конца 1932 года; </w:t>
      </w:r>
    </w:p>
    <w:p w14:paraId="71E94E9C"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 затраты на постройку канала определить в 60–70 млн. руб.; </w:t>
      </w:r>
    </w:p>
    <w:p w14:paraId="1E79AF75"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4) валютных ассигнований не производить. </w:t>
      </w:r>
    </w:p>
    <w:p w14:paraId="3D4CEDDA"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предложить Комитету по постройке канала представить в СТО не позднее 15 марта 1931 года общую смету и программу работ на 1931 год.</w:t>
      </w:r>
    </w:p>
    <w:p w14:paraId="4B4D8F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Выполнение этих требований ставило перед проектировщиками множество сложных задач, т. к. приходилось изыскивать неординарные технические и инженерные решения. </w:t>
      </w:r>
    </w:p>
    <w:p w14:paraId="7989C9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Самое же необычное во всей этой истории заключалось в том, что эскизный проект сооружений канала разрабатывался заключенными. Большая группа инженеров, арестованных по обвинению во вредительстве на водном транспорте и в водном хозяйстве, была доставлена в Проектный отдел Беломорстроя, располагавшийся тогда в Москве по адресу Фуркасовский пер., 12, и под техническим руководством вольнонаемного инженера С. Я. Жука занялась разработкой проектов шлюзов и плотин. </w:t>
      </w:r>
    </w:p>
    <w:p w14:paraId="361372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недрах столь необычно рожденного коллектива родилось большинство проектов уникальных гидротехнических сооружений: деревянные ворота шлюзов конструкции профессора В. Н. Маслова, способные выдерживать трехкратное давление воды; ряжевые и земляные плотины конструкции К. М. Зубрика и О. В Вяземского. Все сооружения проектировались из расчета на применение местных материалов, с минимальным использованием стали и бетона. </w:t>
      </w:r>
    </w:p>
    <w:p w14:paraId="230AE2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Работа шла очень напряженно, иногда по 16 часов в сутки. </w:t>
      </w:r>
    </w:p>
    <w:p w14:paraId="73A594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таком же жестком ритме работал весь проектный отдел, возглавляемый с апреля 1931 г. инженером В. Н. Могилко (12107).</w:t>
      </w:r>
    </w:p>
    <w:p w14:paraId="324B6E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2D6E964"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18 февраля 1931 г. СТО принимает постановление № 24 "Об изменении п. п. "б", "в" и "г" ст.2-й постановления СТО от 3 июня 1930 года о постройке Балтийско-Беломорского канала". </w:t>
      </w:r>
    </w:p>
    <w:p w14:paraId="59C46CDB" w14:textId="77777777" w:rsidR="005E7475" w:rsidRPr="005E779E" w:rsidRDefault="005E7475" w:rsidP="000B7A6C">
      <w:pPr>
        <w:pStyle w:val="Blockquote"/>
        <w:spacing w:before="0" w:after="0"/>
        <w:ind w:left="0" w:right="0"/>
        <w:jc w:val="both"/>
        <w:rPr>
          <w:color w:val="000000" w:themeColor="text1"/>
          <w:sz w:val="16"/>
          <w:szCs w:val="16"/>
          <w:lang w:val="ru-RU"/>
        </w:rPr>
      </w:pPr>
      <w:r w:rsidRPr="005E779E">
        <w:rPr>
          <w:color w:val="000000" w:themeColor="text1"/>
          <w:sz w:val="16"/>
          <w:szCs w:val="16"/>
          <w:lang w:val="ru-RU"/>
        </w:rPr>
        <w:t xml:space="preserve">Совет Труда и Обороны постановил: </w:t>
      </w:r>
    </w:p>
    <w:p w14:paraId="5F90EAFE" w14:textId="77777777" w:rsidR="005E7475" w:rsidRPr="005E779E" w:rsidRDefault="005E7475" w:rsidP="000B7A6C">
      <w:pPr>
        <w:pStyle w:val="Blockquote"/>
        <w:spacing w:before="0" w:after="0"/>
        <w:ind w:left="0" w:right="0"/>
        <w:jc w:val="both"/>
        <w:rPr>
          <w:color w:val="000000" w:themeColor="text1"/>
          <w:sz w:val="16"/>
          <w:szCs w:val="16"/>
          <w:lang w:val="ru-RU"/>
        </w:rPr>
      </w:pPr>
      <w:r w:rsidRPr="005E779E">
        <w:rPr>
          <w:color w:val="000000" w:themeColor="text1"/>
          <w:sz w:val="16"/>
          <w:szCs w:val="16"/>
          <w:lang w:val="ru-RU"/>
        </w:rPr>
        <w:t xml:space="preserve">1) глубину Балтийско-Беломорского канала установить в 10–12 футов; </w:t>
      </w:r>
    </w:p>
    <w:p w14:paraId="5593FF85" w14:textId="77777777" w:rsidR="005E7475" w:rsidRPr="005E779E" w:rsidRDefault="005E7475" w:rsidP="000B7A6C">
      <w:pPr>
        <w:pStyle w:val="Blockquote"/>
        <w:spacing w:before="0" w:after="0"/>
        <w:ind w:left="0" w:right="0"/>
        <w:jc w:val="both"/>
        <w:rPr>
          <w:color w:val="000000" w:themeColor="text1"/>
          <w:sz w:val="16"/>
          <w:szCs w:val="16"/>
          <w:lang w:val="ru-RU"/>
        </w:rPr>
      </w:pPr>
      <w:r w:rsidRPr="005E779E">
        <w:rPr>
          <w:color w:val="000000" w:themeColor="text1"/>
          <w:sz w:val="16"/>
          <w:szCs w:val="16"/>
          <w:lang w:val="ru-RU"/>
        </w:rPr>
        <w:t xml:space="preserve">2) срок окончания работ не позже конца 1932 года; </w:t>
      </w:r>
    </w:p>
    <w:p w14:paraId="29BE64B7" w14:textId="77777777" w:rsidR="005E7475" w:rsidRPr="005E779E" w:rsidRDefault="005E7475" w:rsidP="000B7A6C">
      <w:pPr>
        <w:pStyle w:val="Blockquote"/>
        <w:spacing w:before="0" w:after="0"/>
        <w:ind w:left="0" w:right="0"/>
        <w:jc w:val="both"/>
        <w:rPr>
          <w:color w:val="000000" w:themeColor="text1"/>
          <w:sz w:val="16"/>
          <w:szCs w:val="16"/>
          <w:lang w:val="ru-RU"/>
        </w:rPr>
      </w:pPr>
      <w:r w:rsidRPr="005E779E">
        <w:rPr>
          <w:color w:val="000000" w:themeColor="text1"/>
          <w:sz w:val="16"/>
          <w:szCs w:val="16"/>
          <w:lang w:val="ru-RU"/>
        </w:rPr>
        <w:t xml:space="preserve">3) затраты на постройку канала определить в 60–70 млн. руб.; </w:t>
      </w:r>
    </w:p>
    <w:p w14:paraId="082A7A54" w14:textId="77777777" w:rsidR="005E7475" w:rsidRPr="005E779E" w:rsidRDefault="005E7475" w:rsidP="000B7A6C">
      <w:pPr>
        <w:pStyle w:val="Blockquote"/>
        <w:spacing w:before="0" w:after="0"/>
        <w:ind w:left="0" w:right="0"/>
        <w:jc w:val="both"/>
        <w:rPr>
          <w:color w:val="000000" w:themeColor="text1"/>
          <w:sz w:val="16"/>
          <w:szCs w:val="16"/>
          <w:lang w:val="ru-RU"/>
        </w:rPr>
      </w:pPr>
      <w:r w:rsidRPr="005E779E">
        <w:rPr>
          <w:color w:val="000000" w:themeColor="text1"/>
          <w:sz w:val="16"/>
          <w:szCs w:val="16"/>
          <w:lang w:val="ru-RU"/>
        </w:rPr>
        <w:t xml:space="preserve">4) валютных ассигнований не производить. </w:t>
      </w:r>
    </w:p>
    <w:p w14:paraId="60A3A4AE" w14:textId="77777777" w:rsidR="005E7475" w:rsidRPr="005E779E" w:rsidRDefault="005E7475" w:rsidP="000B7A6C">
      <w:pPr>
        <w:pStyle w:val="Blockquote"/>
        <w:spacing w:before="0" w:after="0"/>
        <w:ind w:left="0" w:right="0"/>
        <w:jc w:val="both"/>
        <w:rPr>
          <w:color w:val="000000" w:themeColor="text1"/>
          <w:sz w:val="16"/>
          <w:szCs w:val="16"/>
          <w:lang w:val="ru-RU"/>
        </w:rPr>
      </w:pPr>
      <w:r w:rsidRPr="005E779E">
        <w:rPr>
          <w:color w:val="000000" w:themeColor="text1"/>
          <w:sz w:val="16"/>
          <w:szCs w:val="16"/>
          <w:lang w:val="ru-RU"/>
        </w:rPr>
        <w:t>5) предложить Комитету по постройке канала представить в СТО не позднее 15 марта 1931 года общую смету и программу работ на 1931 год.</w:t>
      </w:r>
    </w:p>
    <w:p w14:paraId="00F1A1F3"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Выполнение этих требований ставило перед проектировщиками множество сложных задач, т. к. приходилось изыскивать неординарные технические и инженерные решения. </w:t>
      </w:r>
    </w:p>
    <w:p w14:paraId="50DE889F"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Самое же необычное во всей этой истории заключалось в том, что эскизный проект сооружений канала разрабатывался заключенными. Большая группа инженеров, арестованных по обвинению во вредительстве на водном транспорте и в водном хозяйстве, была доставлена в Проектный отдел Беломорстроя, располагавшийся тогда в Москве по адресу Фуркасовский пер., 12, и под техническим руководством вольнонаемного инженера С. Я. Жука занялась разработкой проектов шлюзов и плотин.</w:t>
      </w:r>
    </w:p>
    <w:p w14:paraId="042C0F16"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недрах столь необычно рожденного коллектива родилось большинство проектов уникальных гидротехнических сооружений: деревянные ворота шлюзов конструкции профессора В. Н. Маслова, способные выдерживать трехкратное давление воды; ряжевые и земляные плотины конструкции К. М. Зубрика и О. В Вяземского. Все сооружения проектировались из расчета на применение местных материалов, с минимальным использованием стали и бетона. </w:t>
      </w:r>
    </w:p>
    <w:p w14:paraId="294B7D56"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Работа шла очень напряженно, иногда по 16 часов в сутки. </w:t>
      </w:r>
    </w:p>
    <w:p w14:paraId="50140483"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таком же жестком ритме работал весь проектный отдел, возглавляемый с апреля 1931 г. инженером В. Н. Могилко. </w:t>
      </w:r>
    </w:p>
    <w:p w14:paraId="2AFDFF3E"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К 1 июля, с двухмесячным опережением графика, проект был готов. </w:t>
      </w:r>
    </w:p>
    <w:p w14:paraId="6D35A558"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тот же день Особый комитет утвердил его на своем заседании. В окончательном варианте проект канала предусматривал сооружение транспортного водного пути длиной 227 километров, оборудованного 128 гидротехническими сооружениями. Планировалось сооружение 19 шлюзов (из них восемь составляли т. н. "Повенчанскую лестницу"), 15 плотин, 49 дамб. Общая стоимость работ, согласно финансовому плану, исчислялась в 88 866 600 рублей, из них в 1931 г. планировалось отпустить 32 380 000 рублей, в 1932 (решающем) году - 55 921 000 рублей и в 1933 г. на доделки - 565 800 рублей. Работы должны были быть в основном выполнены за 400 рабочих дней (12129).</w:t>
      </w:r>
    </w:p>
    <w:p w14:paraId="3E15072C" w14:textId="77777777" w:rsidR="005E7475" w:rsidRPr="005E779E" w:rsidRDefault="005E7475" w:rsidP="000B7A6C">
      <w:pPr>
        <w:spacing w:after="0" w:line="240" w:lineRule="auto"/>
        <w:jc w:val="both"/>
        <w:rPr>
          <w:rFonts w:ascii="Times New Roman" w:hAnsi="Times New Roman"/>
          <w:color w:val="000000" w:themeColor="text1"/>
          <w:sz w:val="16"/>
          <w:szCs w:val="16"/>
        </w:rPr>
      </w:pPr>
    </w:p>
    <w:p w14:paraId="47C0F388"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504B8C5C"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D548B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C 19 февраля по 24 марта 1931 г. проходило специальное испытание самолета И-3 N 4364 с мотором М-17 N 26191 постройки завода N 1 сер. 9-й - колич. 38 шт. Винт зав. N 28, шаг 3615, диам. 2,95. Время закладки 22 июня 1930 г.</w:t>
      </w:r>
    </w:p>
    <w:p w14:paraId="2F692A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w:t>
      </w:r>
    </w:p>
    <w:p w14:paraId="70934A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результатам взвешивания, определения центра тяжести, скороподъемности, скорости и управляемости, самолеты данной серии могут быть приняты на снабжение ВВС (3251,3-6).</w:t>
      </w:r>
    </w:p>
    <w:p w14:paraId="5D928F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AA915D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 февраля 1931 года вышел приказ № 17/11 ВВС Московского военного округа</w:t>
      </w:r>
    </w:p>
    <w:p w14:paraId="23B804F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 установлении специальных зон для высшего пилотажа и полетов по кругу на всех аэродромах частей ВВС МВО (6948, 108).</w:t>
      </w:r>
    </w:p>
    <w:p w14:paraId="65A451F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E9A5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 февраля 1931 В.В.Куйбышев выступая на 1 Всесоюзной конференции работников ГВФ заявил "Советское правительство считает возможным запроектировать в области ГА огромные темпы, которые не снились ни одному капиталистическому государству" (442,74).</w:t>
      </w:r>
    </w:p>
    <w:p w14:paraId="7D71D8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385F96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 февраля 1931 г. В.В.Куйбышев, выступая на I Все</w:t>
      </w:r>
      <w:r w:rsidRPr="005E779E">
        <w:rPr>
          <w:rFonts w:ascii="Times New Roman" w:hAnsi="Times New Roman"/>
          <w:color w:val="000000" w:themeColor="text1"/>
          <w:sz w:val="16"/>
          <w:szCs w:val="16"/>
        </w:rPr>
        <w:softHyphen/>
        <w:t>союзной конференции работников гражданского воздушного флота, сказал: "Гражданская авиация - это детище новой техники. Прави</w:t>
      </w:r>
      <w:r w:rsidRPr="005E779E">
        <w:rPr>
          <w:rFonts w:ascii="Times New Roman" w:hAnsi="Times New Roman"/>
          <w:color w:val="000000" w:themeColor="text1"/>
          <w:sz w:val="16"/>
          <w:szCs w:val="16"/>
        </w:rPr>
        <w:softHyphen/>
        <w:t>тельство именно поэтому считает возможным запроектировать в области гражданской.авиации огромные темпы, темпы, которые не снились ни одно.чу капиталистическому государству". И дейст</w:t>
      </w:r>
      <w:r w:rsidRPr="005E779E">
        <w:rPr>
          <w:rFonts w:ascii="Times New Roman" w:hAnsi="Times New Roman"/>
          <w:color w:val="000000" w:themeColor="text1"/>
          <w:sz w:val="16"/>
          <w:szCs w:val="16"/>
        </w:rPr>
        <w:softHyphen/>
        <w:t>вительно, уже.к концу первой пятилетки Советский Союз занял ведущее место в.мире по темпам развития гражданской авиации (11114).</w:t>
      </w:r>
    </w:p>
    <w:p w14:paraId="15BD658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ED54C6"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34D9EA26"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6F892D1" w14:textId="77777777" w:rsidR="00D306B4" w:rsidRPr="005E779E" w:rsidRDefault="00D306B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 февраля 1931 г. комиссия Политбюро ЦК ВКП(б) по танкостроению в докладе Политбюро отметила, что танк «Т-Г» был признан основным типом среднего танка и что было предложено срочно развернуть его производство в Харькове и на Урале. В сентябре 1931 г. Гротте выехал в Германию.</w:t>
      </w:r>
    </w:p>
    <w:p w14:paraId="29251BB1" w14:textId="77777777" w:rsidR="00D306B4" w:rsidRPr="005E779E" w:rsidRDefault="00D306B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Возможно, произошел конфликт, потому что отдыхавшему в Сочи И. В. Сталину его жена Н. С. Аллилуева в своем сугубо личном письме написала, что С. М. Киров (Первый секретарь Ленинградского губкома (обкома) ВКП(б) в 1926–1934 гг.), с которым Сталин дружил, отправится к нему в Сочи 12 сентября и «о Гротте &lt;. &gt; расскажет &lt;…&gt; всё сам» (18265).</w:t>
      </w:r>
    </w:p>
    <w:p w14:paraId="0FA41EE2" w14:textId="77777777" w:rsidR="00D306B4" w:rsidRPr="005E779E" w:rsidRDefault="00D306B4" w:rsidP="000B7A6C">
      <w:pPr>
        <w:spacing w:after="0" w:line="240" w:lineRule="auto"/>
        <w:jc w:val="both"/>
        <w:rPr>
          <w:rFonts w:ascii="Times New Roman" w:hAnsi="Times New Roman"/>
          <w:color w:val="000000" w:themeColor="text1"/>
          <w:sz w:val="16"/>
          <w:szCs w:val="16"/>
        </w:rPr>
      </w:pPr>
    </w:p>
    <w:p w14:paraId="264185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19 февраля 1931 г. комиссия Политбюро ЦК ВКП(б) по танкостроению в докладе Политбюро дала высокую оценку танку Гротте. Танк «Т-Г» был признан основным типом среднего танка и было предложено срочно развернуть его производство в Харькове и на Урале (Захаров В. В. Указ. Соч. С. 92.). В сентябре 1931 г. Гротте выехал в Германию. Возможно, произошел конфликт, потому что отдыхавшему в Сочи И. В. Сталину его жена Н. С. Аллилуева в своем сугубо личном письме написала, что С. М. Киров (Первый секретарь Ленинградского губкома (обкома) ВКП(б) в 1926 — 1934 гг. ), с которым Сталин дружил, отправится к нему в Сочи 12 сентября и «о Гротте &lt; . . &gt; расскажет &lt;...&gt; всё сам» (Иосиф Сталин в объятиях семьи: Из личного архива (Сборник документов). М., 1993, с. 35—36,42.). В условиях экономического кризиса 1929 — 1933гг. («великая депрессия») значение СССР как рынка сбыта германской промышленной, в т. ч. и военно-промышленной </w:t>
      </w:r>
      <w:r w:rsidRPr="005E779E">
        <w:rPr>
          <w:rFonts w:ascii="Times New Roman" w:hAnsi="Times New Roman"/>
          <w:color w:val="000000" w:themeColor="text1"/>
          <w:sz w:val="16"/>
          <w:szCs w:val="16"/>
        </w:rPr>
        <w:lastRenderedPageBreak/>
        <w:t>продукции, резко возросло. Так, если экспорт Германии в такие страны, как Франция, Голландия, Великобритания в 1932 г. по сравнению с 1929 г. сократился соответственно на 48,6%, 53,2% и 65,7%, то ее экспорт в СССР, наоборот, возрос на 176% (Ахтамзян А. А. Указ. соч. С. 261.). Подобный рост в значительной мере был обусловлен тем обстоятельством, что Москва, жестко поставив вопрос перед Берлином об экспортных кредитах, сумела настоять на своем. Переговоры о новом кредите были начаты беседой германского посла в Москве Дирксена с наркомом внешней торговли А. И. Микояном и членом коллегии НКИД СССР Стомоняковым на приеме в германском посольстве 12 апреля 1929 г. Микоян заявил тогда германскому дипломату: «Тяжелых и невыгодных кредитов мы больше брать не будем». И Москва сумела реализовать данный подход. В свою очередь Дирксен постоянно ставил вопрос о кредитах перед министром иностранных дел Курциусом, подчеркивая его политическое значение в условиях, когда в Германии заговорили о «кризисе Рапалло», «конце Рапалло», указывая при этом на обострение внутриполитической обстановки и ужесточение режима в СССР (11784).</w:t>
      </w:r>
    </w:p>
    <w:p w14:paraId="3AB761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8324B4E" w14:textId="77777777" w:rsidR="003B4AB7" w:rsidRPr="005E779E" w:rsidRDefault="003B4AB7" w:rsidP="000B7A6C">
      <w:pPr>
        <w:pStyle w:val="a3"/>
        <w:rPr>
          <w:color w:val="000000" w:themeColor="text1"/>
          <w:lang w:val="ru-RU"/>
        </w:rPr>
      </w:pPr>
      <w:r w:rsidRPr="005E779E">
        <w:rPr>
          <w:color w:val="000000" w:themeColor="text1"/>
          <w:lang w:val="ru-RU"/>
        </w:rPr>
        <w:t>19 февраля 1931 г. 12-тонный танк Виккерс №3 (с вооружением) был отправлен в Мурманск на пароходе «Искра» (15745).</w:t>
      </w:r>
    </w:p>
    <w:p w14:paraId="2C7FB805" w14:textId="77777777" w:rsidR="003B4AB7" w:rsidRPr="005E779E" w:rsidRDefault="003B4AB7" w:rsidP="000B7A6C">
      <w:pPr>
        <w:pStyle w:val="a3"/>
        <w:rPr>
          <w:color w:val="000000" w:themeColor="text1"/>
          <w:lang w:val="ru-RU"/>
        </w:rPr>
      </w:pPr>
    </w:p>
    <w:p w14:paraId="3AC352A3" w14:textId="77777777" w:rsidR="009D708C"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7246013E" w14:textId="77777777" w:rsidR="009D708C" w:rsidRPr="005E779E" w:rsidRDefault="009D708C"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2AA930D" w14:textId="77777777" w:rsidR="009D708C" w:rsidRPr="005E779E" w:rsidRDefault="009D708C"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19 февраля 1931 г. статус договорной Абхазской ССР изменен на статус автономной республики. Абхазская АССР присоединена к Грузии (17325).</w:t>
      </w:r>
    </w:p>
    <w:p w14:paraId="64D80002" w14:textId="77777777" w:rsidR="009D708C" w:rsidRPr="005E779E" w:rsidRDefault="009D708C" w:rsidP="000B7A6C">
      <w:pPr>
        <w:pStyle w:val="a3"/>
        <w:rPr>
          <w:color w:val="000000" w:themeColor="text1"/>
          <w:lang w:val="ru-RU"/>
        </w:rPr>
      </w:pPr>
    </w:p>
    <w:p w14:paraId="4D8545F6"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0CD9DB2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CB9AA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февраля 1931 закончились гос. испытания АНТ-6 (ТБ-3), которые шли с 20 ноября 1930 (1017,169).</w:t>
      </w:r>
    </w:p>
    <w:p w14:paraId="19C385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CF1CF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февраля 1931 была вынесена оценка ТБ-3 (АНТ-6) НИИ ВВС. Рекомендовали для серии с М-17 и возвратили в АГОС для смены двигателей и т.п. Началось внедрение в серию (92,427).</w:t>
      </w:r>
    </w:p>
    <w:p w14:paraId="63C2ED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Подписал акт гос. испытаний вл М.М.Громов "Самолет АНТ-6 с моторами Кертис по свои ЛД вполне современный бомбардировщик на уровне лучших иностранных самолетов. Летно-эксплуатационные характеристики позволяют рекомендовать его для серийной постройки с моторами М-17" (172,130).</w:t>
      </w:r>
    </w:p>
    <w:p w14:paraId="481759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Запуск в серию рассматривается как успех П.И.Баранова и А.Н.Т., которые смогли закупить необходимое оборудование. Осваивать начал завод 22, созданный на базе ГАЗ-5 (71,167).</w:t>
      </w:r>
    </w:p>
    <w:p w14:paraId="42CD8C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 время испытаний ТБ-3 (АНТ-6) перед АП была поставлена задача создать новый высотный самолет, предназначенный для уничтожения объектов в глубоком тылу. Согласно ТТ машина должны была иметь потолок - 7000 м, скорость - 250 км/ч, радиус действия - 1500-2000 км, нагрузку - 1000 кг, экипаж - 10-14 чел. Машина при снятии части бомбовой нагрузки и замене ее стрелковыми точками должна была бы быть и тяжелым крейсером. По реестру ВВС получила обозначение ТБ-7 (232,15).</w:t>
      </w:r>
    </w:p>
    <w:p w14:paraId="6293DA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Конечно, никакого АНТ-42 тогда и в заделе не было и ТТТ были совсем другими.</w:t>
      </w:r>
    </w:p>
    <w:p w14:paraId="5D2A80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Есть мнение, что мысли о новом бомбардировщике появились в связи с появлением М-34, гос. испытания которого закончились к ноябрю 1931 (2122).</w:t>
      </w:r>
    </w:p>
    <w:p w14:paraId="4294A2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B37AE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20 февраля 1931 г. ТБ-3 (АНТ-6) совершили 10 полетов, на колесах и на лыжах. Их итогом стала высокая оценка: "Самолет по своим летным данным - вполне современный тяжелый бомбардировщик, стоящий на одном уровне с лучшими иностранными самолетами». Можно даже сказать, что испытатели поскромничали - ни одна страна мира не имела самолета, подобного АНТ-6. Рули признали недостаточно эффективными. Жалюзи водяных радиаторов самопроизвольно открывались и закрывались. После того, как крышки смотровых люков на крыле пару раз открылись в полете, их сняли совсем. Глушители моторов прогорали и трескались. Пожарная сигнализация срабатывала, вызывая ложную тревогу - потом выяснилось, что на датчики подтекала вода из расширительных бачков. Некоторые из мостиков, которые должны были выкидываться из передней кромки крыла для работы мотористов на земле, не открывались совсем, другие, наоборот, открывались, но в рабочем положении запирались весьма ненадежно и наступать на них было страшно. Весьма существенными являлись выявленные дефекты в конструкции амортизации шасси. Машину рекомендовали к серийному производству, но потоебо-вали внести в нее ряд существенных изменений. Основным из них стало применение моторов BMW VI. Кроме этого, НТК предписал изменить предусмотренные типы радиостанций и повторно заявил о необходимости смонтировать "подкрыльные башни по типу подфю-зеляжной башни самолета Р-6». Последнее, правда, согласились отнести уже к головной серийной машине (8887).</w:t>
      </w:r>
    </w:p>
    <w:p w14:paraId="021FFF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3B74926"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февраля 1931 г. закончились госиспытания АНТ-6. В за</w:t>
      </w:r>
      <w:r w:rsidRPr="005E779E">
        <w:rPr>
          <w:rFonts w:ascii="Times New Roman" w:hAnsi="Times New Roman"/>
          <w:color w:val="000000" w:themeColor="text1"/>
          <w:sz w:val="16"/>
          <w:szCs w:val="16"/>
        </w:rPr>
        <w:softHyphen/>
        <w:t>ключении НИИ ВВС отмечалось:</w:t>
      </w:r>
    </w:p>
    <w:p w14:paraId="197E0003"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самолет с моторами Кертис стоит на одном уровне с лучшими иностранны</w:t>
      </w:r>
      <w:r w:rsidRPr="005E779E">
        <w:rPr>
          <w:rFonts w:ascii="Times New Roman" w:hAnsi="Times New Roman"/>
          <w:color w:val="000000" w:themeColor="text1"/>
          <w:sz w:val="16"/>
          <w:szCs w:val="16"/>
        </w:rPr>
        <w:softHyphen/>
        <w:t>ми самолетами;</w:t>
      </w:r>
    </w:p>
    <w:p w14:paraId="11D33854"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хорошие летно-эксплуатационные характеристики самолета позволяют реко</w:t>
      </w:r>
      <w:r w:rsidRPr="005E779E">
        <w:rPr>
          <w:rFonts w:ascii="Times New Roman" w:hAnsi="Times New Roman"/>
          <w:color w:val="000000" w:themeColor="text1"/>
          <w:sz w:val="16"/>
          <w:szCs w:val="16"/>
        </w:rPr>
        <w:softHyphen/>
        <w:t>мендовать его в серию, но при замене иностранных моторов Кертис на отече</w:t>
      </w:r>
      <w:r w:rsidRPr="005E779E">
        <w:rPr>
          <w:rFonts w:ascii="Times New Roman" w:hAnsi="Times New Roman"/>
          <w:color w:val="000000" w:themeColor="text1"/>
          <w:sz w:val="16"/>
          <w:szCs w:val="16"/>
        </w:rPr>
        <w:softHyphen/>
        <w:t>ственные М—17 (лицензионный двига</w:t>
      </w:r>
      <w:r w:rsidRPr="005E779E">
        <w:rPr>
          <w:rFonts w:ascii="Times New Roman" w:hAnsi="Times New Roman"/>
          <w:color w:val="000000" w:themeColor="text1"/>
          <w:sz w:val="16"/>
          <w:szCs w:val="16"/>
        </w:rPr>
        <w:softHyphen/>
        <w:t>тель М—17 по типу BMW V] выпускался серийно с 1927 г.);</w:t>
      </w:r>
    </w:p>
    <w:p w14:paraId="6F249BB2"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после устранения отмеченных де</w:t>
      </w:r>
      <w:r w:rsidRPr="005E779E">
        <w:rPr>
          <w:rFonts w:ascii="Times New Roman" w:hAnsi="Times New Roman"/>
          <w:color w:val="000000" w:themeColor="text1"/>
          <w:sz w:val="16"/>
          <w:szCs w:val="16"/>
        </w:rPr>
        <w:softHyphen/>
        <w:t>фектов провести повторные испытания с моторами БМВ—VI».</w:t>
      </w:r>
    </w:p>
    <w:p w14:paraId="6A75E9CE"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КБ выполнило все требования заказ</w:t>
      </w:r>
      <w:r w:rsidRPr="005E779E">
        <w:rPr>
          <w:rFonts w:ascii="Times New Roman" w:hAnsi="Times New Roman"/>
          <w:color w:val="000000" w:themeColor="text1"/>
          <w:sz w:val="16"/>
          <w:szCs w:val="16"/>
        </w:rPr>
        <w:softHyphen/>
        <w:t>чика, и с 29 апреля 1931 г. начался новый этап испытаний опытной машины с че</w:t>
      </w:r>
      <w:r w:rsidRPr="005E779E">
        <w:rPr>
          <w:rFonts w:ascii="Times New Roman" w:hAnsi="Times New Roman"/>
          <w:color w:val="000000" w:themeColor="text1"/>
          <w:sz w:val="16"/>
          <w:szCs w:val="16"/>
        </w:rPr>
        <w:softHyphen/>
        <w:t>тырьмя моторами BMW VI (23474).</w:t>
      </w:r>
    </w:p>
    <w:p w14:paraId="489784A3" w14:textId="77777777" w:rsidR="00225E06" w:rsidRPr="005E779E" w:rsidRDefault="00225E06" w:rsidP="000B7A6C">
      <w:pPr>
        <w:spacing w:after="0" w:line="240" w:lineRule="auto"/>
        <w:jc w:val="both"/>
        <w:rPr>
          <w:rFonts w:ascii="Times New Roman" w:hAnsi="Times New Roman"/>
          <w:color w:val="000000" w:themeColor="text1"/>
          <w:sz w:val="16"/>
          <w:szCs w:val="16"/>
        </w:rPr>
      </w:pPr>
    </w:p>
    <w:p w14:paraId="57C96CCC" w14:textId="77777777" w:rsidR="00027288" w:rsidRPr="00142305" w:rsidRDefault="00027288" w:rsidP="00027288">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 xml:space="preserve">До 20 февраля 1931 г. проходили заводские испытания прототипа АНТ-6. ВВС порекомендовали заменить двигатели на 730-сильные немецкие </w:t>
      </w:r>
      <w:r w:rsidRPr="00142305">
        <w:rPr>
          <w:rStyle w:val="aff0"/>
          <w:rFonts w:ascii="Times New Roman" w:hAnsi="Times New Roman" w:cs="Times New Roman"/>
          <w:color w:val="0070C0"/>
          <w:spacing w:val="0"/>
          <w:sz w:val="16"/>
          <w:szCs w:val="16"/>
          <w:lang w:val="en-US"/>
        </w:rPr>
        <w:t>BMW</w:t>
      </w:r>
      <w:r w:rsidRPr="00142305">
        <w:rPr>
          <w:rStyle w:val="aff0"/>
          <w:rFonts w:ascii="Times New Roman" w:hAnsi="Times New Roman" w:cs="Times New Roman"/>
          <w:color w:val="0070C0"/>
          <w:spacing w:val="0"/>
          <w:sz w:val="16"/>
          <w:szCs w:val="16"/>
        </w:rPr>
        <w:t xml:space="preserve"> </w:t>
      </w:r>
      <w:r w:rsidRPr="00142305">
        <w:rPr>
          <w:rStyle w:val="aff0"/>
          <w:rFonts w:ascii="Times New Roman" w:hAnsi="Times New Roman" w:cs="Times New Roman"/>
          <w:color w:val="0070C0"/>
          <w:spacing w:val="0"/>
          <w:sz w:val="16"/>
          <w:szCs w:val="16"/>
          <w:lang w:val="en-US"/>
        </w:rPr>
        <w:t>VI</w:t>
      </w:r>
      <w:r w:rsidRPr="00142305">
        <w:rPr>
          <w:rStyle w:val="aff0"/>
          <w:rFonts w:ascii="Times New Roman" w:hAnsi="Times New Roman" w:cs="Times New Roman"/>
          <w:color w:val="0070C0"/>
          <w:spacing w:val="0"/>
          <w:sz w:val="16"/>
          <w:szCs w:val="16"/>
        </w:rPr>
        <w:t xml:space="preserve">, а одинарные колёса шасси – на двухколёсные тележки. В таком виде самолёт пошёл в серию под обозначением ТБ-3 4М-17 (двигатель М-17 был советской лицензионной копией </w:t>
      </w:r>
      <w:r w:rsidRPr="00142305">
        <w:rPr>
          <w:rStyle w:val="aff0"/>
          <w:rFonts w:ascii="Times New Roman" w:hAnsi="Times New Roman" w:cs="Times New Roman"/>
          <w:color w:val="0070C0"/>
          <w:spacing w:val="0"/>
          <w:sz w:val="16"/>
          <w:szCs w:val="16"/>
          <w:lang w:val="en-US"/>
        </w:rPr>
        <w:t>BMW</w:t>
      </w:r>
      <w:r w:rsidRPr="00142305">
        <w:rPr>
          <w:rStyle w:val="aff0"/>
          <w:rFonts w:ascii="Times New Roman" w:hAnsi="Times New Roman" w:cs="Times New Roman"/>
          <w:color w:val="0070C0"/>
          <w:spacing w:val="0"/>
          <w:sz w:val="16"/>
          <w:szCs w:val="16"/>
        </w:rPr>
        <w:t xml:space="preserve"> </w:t>
      </w:r>
      <w:r w:rsidRPr="00142305">
        <w:rPr>
          <w:rStyle w:val="aff0"/>
          <w:rFonts w:ascii="Times New Roman" w:hAnsi="Times New Roman" w:cs="Times New Roman"/>
          <w:color w:val="0070C0"/>
          <w:spacing w:val="0"/>
          <w:sz w:val="16"/>
          <w:szCs w:val="16"/>
          <w:lang w:val="en-US"/>
        </w:rPr>
        <w:t>VI</w:t>
      </w:r>
      <w:r w:rsidRPr="00142305">
        <w:rPr>
          <w:rStyle w:val="aff0"/>
          <w:rFonts w:ascii="Times New Roman" w:hAnsi="Times New Roman" w:cs="Times New Roman"/>
          <w:color w:val="0070C0"/>
          <w:spacing w:val="0"/>
          <w:sz w:val="16"/>
          <w:szCs w:val="16"/>
        </w:rPr>
        <w:t>); первый серийный экземпляр, построенный на московском авиазаводе № 22, поднялся в воздух 27 февраля 1932 г. В декабре того же года к выпуску ТБ-3 подключился другой московский завод (№ 39), а в сентябре 1934 г. – и воронежский завод № 18 (25146).</w:t>
      </w:r>
    </w:p>
    <w:p w14:paraId="655FB356" w14:textId="77777777" w:rsidR="00027288" w:rsidRPr="00142305" w:rsidRDefault="00027288" w:rsidP="00027288">
      <w:pPr>
        <w:spacing w:after="0" w:line="240" w:lineRule="auto"/>
        <w:jc w:val="both"/>
        <w:rPr>
          <w:rFonts w:ascii="Times New Roman" w:hAnsi="Times New Roman"/>
          <w:color w:val="0070C0"/>
          <w:sz w:val="16"/>
          <w:szCs w:val="16"/>
        </w:rPr>
      </w:pPr>
    </w:p>
    <w:p w14:paraId="209138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20 февраля по 19 марта 1931 года производились испытания на мореходность и буксировку самолета МУ-2 N 2259 и мотором М-11 N 7005.</w:t>
      </w:r>
    </w:p>
    <w:p w14:paraId="7E2170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к моменту испытания налетал 26 час. 58 мин.</w:t>
      </w:r>
    </w:p>
    <w:p w14:paraId="63D454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 к моменту испытания наработал 31 час 00 мин. (3007).</w:t>
      </w:r>
    </w:p>
    <w:p w14:paraId="63C7F6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94C4F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февраля 1931 мотор для ГА М-26 удовлетворительно прошел 50-часовые гос. испытания (3029,206).</w:t>
      </w:r>
    </w:p>
    <w:p w14:paraId="4F9C88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33A5EE5"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31575946"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F08A359"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февраля 1931 г. — Постановление Политбюро ЦК ВКП(б) «О танковой программе»</w:t>
      </w:r>
    </w:p>
    <w:p w14:paraId="096F9422"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развитие решения Политбюро от 30 ноября 1930 г. о программе танкостроения в военное время к весне 1932 г., согласно которой должно быть подано для нужд вооруженного фронта: танкеток — 4 тыс., малых танков — 13,8 тыс., средних танков — 2 тыс., Политбюро постановляет:</w:t>
      </w:r>
    </w:p>
    <w:p w14:paraId="18928723"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Танкетка</w:t>
      </w:r>
    </w:p>
    <w:p w14:paraId="485718B0"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A. Утвердить тип Т</w:t>
      </w:r>
      <w:r w:rsidRPr="005E779E">
        <w:rPr>
          <w:rFonts w:ascii="Times New Roman" w:hAnsi="Times New Roman"/>
          <w:color w:val="000000" w:themeColor="text1"/>
          <w:sz w:val="16"/>
          <w:szCs w:val="16"/>
        </w:rPr>
        <w:noBreakHyphen/>
        <w:t>27 с мотором «Форд АА» со следующими данными: скорость — 36</w:t>
      </w:r>
      <w:r w:rsidRPr="005E779E">
        <w:rPr>
          <w:rFonts w:ascii="Times New Roman" w:hAnsi="Times New Roman"/>
          <w:color w:val="000000" w:themeColor="text1"/>
          <w:sz w:val="16"/>
          <w:szCs w:val="16"/>
        </w:rPr>
        <w:noBreakHyphen/>
        <w:t>40 км/ч, вес — 2 т, броня — 10</w:t>
      </w:r>
      <w:r w:rsidRPr="005E779E">
        <w:rPr>
          <w:rFonts w:ascii="Times New Roman" w:hAnsi="Times New Roman"/>
          <w:color w:val="000000" w:themeColor="text1"/>
          <w:sz w:val="16"/>
          <w:szCs w:val="16"/>
        </w:rPr>
        <w:noBreakHyphen/>
        <w:t>5 мм, вооружение — 1 пулемет, мотор с водяным охлаждением — 40</w:t>
      </w:r>
      <w:r w:rsidRPr="005E779E">
        <w:rPr>
          <w:rFonts w:ascii="Times New Roman" w:hAnsi="Times New Roman"/>
          <w:color w:val="000000" w:themeColor="text1"/>
          <w:sz w:val="16"/>
          <w:szCs w:val="16"/>
        </w:rPr>
        <w:noBreakHyphen/>
        <w:t>45 л. с.</w:t>
      </w:r>
    </w:p>
    <w:p w14:paraId="505B0302"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Базой производства утвердить автозавод № 2 для 4 тыс. танкеток в военное время. Освоение производства в 1931 г. провести путем выполнения заказа в 400 танкеток.</w:t>
      </w:r>
    </w:p>
    <w:p w14:paraId="4E8F5338"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B. Учитывая, что тип танкетки Т</w:t>
      </w:r>
      <w:r w:rsidRPr="005E779E">
        <w:rPr>
          <w:rFonts w:ascii="Times New Roman" w:hAnsi="Times New Roman"/>
          <w:color w:val="000000" w:themeColor="text1"/>
          <w:sz w:val="16"/>
          <w:szCs w:val="16"/>
        </w:rPr>
        <w:noBreakHyphen/>
        <w:t>27 имеет в основе использование автомобиля «Форд» плюс броня и гусеница с катками, поручить ВСНХ проработать вопрос о создании второй базы для танкетки при Нижегородском автозаводе, с учетом использования для танкеток 20</w:t>
      </w:r>
      <w:r w:rsidRPr="005E779E">
        <w:rPr>
          <w:rFonts w:ascii="Times New Roman" w:hAnsi="Times New Roman"/>
          <w:color w:val="000000" w:themeColor="text1"/>
          <w:sz w:val="16"/>
          <w:szCs w:val="16"/>
        </w:rPr>
        <w:noBreakHyphen/>
        <w:t>25% производственной мощности завода.</w:t>
      </w:r>
    </w:p>
    <w:p w14:paraId="6B786FF8"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ВСНХ и НКВМ через два месяца доложить, на какое количество танкеток Нижегородский автозавод может быть подготовлен к весне 1932 г.</w:t>
      </w:r>
    </w:p>
    <w:p w14:paraId="066C7B21"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Малый танк</w:t>
      </w:r>
    </w:p>
    <w:p w14:paraId="0ABC422F"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утвердить тип Т</w:t>
      </w:r>
      <w:r w:rsidRPr="005E779E">
        <w:rPr>
          <w:rFonts w:ascii="Times New Roman" w:hAnsi="Times New Roman"/>
          <w:color w:val="000000" w:themeColor="text1"/>
          <w:sz w:val="16"/>
          <w:szCs w:val="16"/>
        </w:rPr>
        <w:noBreakHyphen/>
        <w:t>26 («Виккерс») со следующими данными: скорость по дороге — 35 км/ч, скорость по местности — 20</w:t>
      </w:r>
      <w:r w:rsidRPr="005E779E">
        <w:rPr>
          <w:rFonts w:ascii="Times New Roman" w:hAnsi="Times New Roman"/>
          <w:color w:val="000000" w:themeColor="text1"/>
          <w:sz w:val="16"/>
          <w:szCs w:val="16"/>
        </w:rPr>
        <w:noBreakHyphen/>
        <w:t>25 км/ч, вес — 7,5 т, броня — 13</w:t>
      </w:r>
      <w:r w:rsidRPr="005E779E">
        <w:rPr>
          <w:rFonts w:ascii="Times New Roman" w:hAnsi="Times New Roman"/>
          <w:color w:val="000000" w:themeColor="text1"/>
          <w:sz w:val="16"/>
          <w:szCs w:val="16"/>
        </w:rPr>
        <w:noBreakHyphen/>
        <w:t>8 мм, вооружение — 1 пушка калибра 37 мм и 1 пулемет или 2 пулемета, мотор «Армстронг Сидлей» воздушного охлаждения — 84</w:t>
      </w:r>
      <w:r w:rsidRPr="005E779E">
        <w:rPr>
          <w:rFonts w:ascii="Times New Roman" w:hAnsi="Times New Roman"/>
          <w:color w:val="000000" w:themeColor="text1"/>
          <w:sz w:val="16"/>
          <w:szCs w:val="16"/>
        </w:rPr>
        <w:noBreakHyphen/>
        <w:t>93 л. с.</w:t>
      </w:r>
    </w:p>
    <w:p w14:paraId="7343CA74"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Для освоения производства в 1931 г. изготовить на заводе «Большевик» 300 танков этого типа. Вести усиленную подготовку к организации производства на заводах «Большевик» и Сталинградском тракторном собственными инженерно-техническими силами.</w:t>
      </w:r>
    </w:p>
    <w:p w14:paraId="0ABACBFD"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Базы производства на военное время — завод «Большевик» с подачей 1,5 тыс. танков в год и Сталинградский тракторный завод с подачей 12 тыс. танков вместе с запасными частями. Производственная база по Сталинградскому тракторному заводу должна быть подготовлена к 1 апреля 1932 г. Опытный цех на том же заводе должен быть готов к весне 1932 г. с производственной программой 100 танков в одну смену в год. Для освоения производства первая партия танков на опытном цехе должна быть изготовлена к весне 1932 г.</w:t>
      </w:r>
    </w:p>
    <w:p w14:paraId="3B306886"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Средний танк</w:t>
      </w:r>
    </w:p>
    <w:p w14:paraId="4B26BEAF" w14:textId="77777777" w:rsidR="005E7475" w:rsidRPr="005E779E" w:rsidRDefault="005E7475" w:rsidP="000B7A6C">
      <w:pPr>
        <w:pStyle w:val="rtejustify"/>
        <w:spacing w:before="0" w:after="0"/>
        <w:rPr>
          <w:color w:val="000000" w:themeColor="text1"/>
          <w:sz w:val="16"/>
          <w:szCs w:val="16"/>
        </w:rPr>
      </w:pPr>
      <w:r w:rsidRPr="005E779E">
        <w:rPr>
          <w:color w:val="000000" w:themeColor="text1"/>
          <w:sz w:val="16"/>
          <w:szCs w:val="16"/>
        </w:rPr>
        <w:t xml:space="preserve">A. Признать основным типом мощный средний танк ТГ </w:t>
      </w:r>
      <w:r w:rsidRPr="005E779E">
        <w:rPr>
          <w:rStyle w:val="af0"/>
          <w:i w:val="0"/>
          <w:color w:val="000000" w:themeColor="text1"/>
          <w:sz w:val="16"/>
          <w:szCs w:val="16"/>
        </w:rPr>
        <w:t>со</w:t>
      </w:r>
      <w:r w:rsidRPr="005E779E">
        <w:rPr>
          <w:color w:val="000000" w:themeColor="text1"/>
          <w:sz w:val="16"/>
          <w:szCs w:val="16"/>
        </w:rPr>
        <w:t xml:space="preserve"> следующими данными (ориентировочно): скорость максимальная — 40 км/ч, скорость средняя — 25 км/ч, вес — около 20 т, броня — 30/20/15 мм, вооружение: 1 — 76</w:t>
      </w:r>
      <w:r w:rsidRPr="005E779E">
        <w:rPr>
          <w:color w:val="000000" w:themeColor="text1"/>
          <w:sz w:val="16"/>
          <w:szCs w:val="16"/>
        </w:rPr>
        <w:noBreakHyphen/>
        <w:t>мм пушка, 1 — 37</w:t>
      </w:r>
      <w:r w:rsidRPr="005E779E">
        <w:rPr>
          <w:color w:val="000000" w:themeColor="text1"/>
          <w:sz w:val="16"/>
          <w:szCs w:val="16"/>
        </w:rPr>
        <w:noBreakHyphen/>
        <w:t>мм пушка, 4</w:t>
      </w:r>
      <w:r w:rsidRPr="005E779E">
        <w:rPr>
          <w:color w:val="000000" w:themeColor="text1"/>
          <w:sz w:val="16"/>
          <w:szCs w:val="16"/>
        </w:rPr>
        <w:noBreakHyphen/>
        <w:t>5 пулеметов, мотор воздушного охлаждения — 240 л. с.</w:t>
      </w:r>
    </w:p>
    <w:p w14:paraId="286E2FE5" w14:textId="77777777" w:rsidR="005E7475" w:rsidRPr="005E779E" w:rsidRDefault="005E7475" w:rsidP="000B7A6C">
      <w:pPr>
        <w:pStyle w:val="rtejustify"/>
        <w:spacing w:before="0" w:after="0"/>
        <w:rPr>
          <w:color w:val="000000" w:themeColor="text1"/>
          <w:sz w:val="16"/>
          <w:szCs w:val="16"/>
        </w:rPr>
      </w:pPr>
      <w:r w:rsidRPr="005E779E">
        <w:rPr>
          <w:color w:val="000000" w:themeColor="text1"/>
          <w:sz w:val="16"/>
          <w:szCs w:val="16"/>
        </w:rPr>
        <w:lastRenderedPageBreak/>
        <w:t>Б. Предложить ОГПУ и НКВМ форсировать работу по изготовлению и испытанию танка ТГ, считая эту работу важнейшей задачей в области изготовления опытных образцов танков на 1931 г.</w:t>
      </w:r>
    </w:p>
    <w:p w14:paraId="26302262" w14:textId="77777777" w:rsidR="005E7475" w:rsidRPr="005E779E" w:rsidRDefault="005E7475" w:rsidP="000B7A6C">
      <w:pPr>
        <w:pStyle w:val="rtejustify"/>
        <w:spacing w:before="0" w:after="0"/>
        <w:rPr>
          <w:color w:val="000000" w:themeColor="text1"/>
          <w:sz w:val="16"/>
          <w:szCs w:val="16"/>
        </w:rPr>
      </w:pPr>
      <w:r w:rsidRPr="005E779E">
        <w:rPr>
          <w:color w:val="000000" w:themeColor="text1"/>
          <w:sz w:val="16"/>
          <w:szCs w:val="16"/>
        </w:rPr>
        <w:t>B. Для освоения производства изготовить в 1931 г. первую серию в количестве 50</w:t>
      </w:r>
      <w:r w:rsidRPr="005E779E">
        <w:rPr>
          <w:color w:val="000000" w:themeColor="text1"/>
          <w:sz w:val="16"/>
          <w:szCs w:val="16"/>
        </w:rPr>
        <w:noBreakHyphen/>
        <w:t>75 танков.</w:t>
      </w:r>
    </w:p>
    <w:p w14:paraId="1FA3DA4D" w14:textId="77777777" w:rsidR="005E7475" w:rsidRPr="005E779E" w:rsidRDefault="005E7475" w:rsidP="000B7A6C">
      <w:pPr>
        <w:pStyle w:val="rtejustify"/>
        <w:spacing w:before="0" w:after="0"/>
        <w:rPr>
          <w:color w:val="000000" w:themeColor="text1"/>
          <w:sz w:val="16"/>
          <w:szCs w:val="16"/>
        </w:rPr>
      </w:pPr>
      <w:r w:rsidRPr="005E779E">
        <w:rPr>
          <w:color w:val="000000" w:themeColor="text1"/>
          <w:sz w:val="16"/>
          <w:szCs w:val="16"/>
        </w:rPr>
        <w:t>Г. В связи с боевым значением танка ТГ ВСНХ подготовить производственные возможности к весне 1932 г. на 2 тыс. танков этого типа.</w:t>
      </w:r>
    </w:p>
    <w:p w14:paraId="6BFA877F" w14:textId="77777777" w:rsidR="005E7475" w:rsidRPr="005E779E" w:rsidRDefault="005E7475" w:rsidP="000B7A6C">
      <w:pPr>
        <w:pStyle w:val="rtejustify"/>
        <w:spacing w:before="0" w:after="0"/>
        <w:rPr>
          <w:color w:val="000000" w:themeColor="text1"/>
          <w:sz w:val="16"/>
          <w:szCs w:val="16"/>
        </w:rPr>
      </w:pPr>
      <w:r w:rsidRPr="005E779E">
        <w:rPr>
          <w:color w:val="000000" w:themeColor="text1"/>
          <w:sz w:val="16"/>
          <w:szCs w:val="16"/>
        </w:rPr>
        <w:t>Д. Производственной базой утвердить Харьковский паровозостроительный завод с кооперированием по корпусу, мотору и стальному фасонному литью со Сталинградским и моторным заводами.</w:t>
      </w:r>
    </w:p>
    <w:p w14:paraId="052D16F1" w14:textId="77777777" w:rsidR="005E7475" w:rsidRPr="005E779E" w:rsidRDefault="005E7475" w:rsidP="000B7A6C">
      <w:pPr>
        <w:pStyle w:val="rtejustify"/>
        <w:spacing w:before="0" w:after="0"/>
        <w:rPr>
          <w:color w:val="000000" w:themeColor="text1"/>
          <w:sz w:val="16"/>
          <w:szCs w:val="16"/>
        </w:rPr>
      </w:pPr>
      <w:r w:rsidRPr="005E779E">
        <w:rPr>
          <w:color w:val="000000" w:themeColor="text1"/>
          <w:sz w:val="16"/>
          <w:szCs w:val="16"/>
        </w:rPr>
        <w:t>Предложить ВСНХ проработать в двухмесячный срок вопрос о создании для танка ТГ, кроме Харькова, вторую базу на Урале.</w:t>
      </w:r>
    </w:p>
    <w:p w14:paraId="2DD5BC25" w14:textId="77777777" w:rsidR="005E7475" w:rsidRPr="005E779E" w:rsidRDefault="005E7475" w:rsidP="000B7A6C">
      <w:pPr>
        <w:pStyle w:val="rtejustify"/>
        <w:spacing w:before="0" w:after="0"/>
        <w:rPr>
          <w:color w:val="000000" w:themeColor="text1"/>
          <w:sz w:val="16"/>
          <w:szCs w:val="16"/>
        </w:rPr>
      </w:pPr>
      <w:r w:rsidRPr="005E779E">
        <w:rPr>
          <w:color w:val="000000" w:themeColor="text1"/>
          <w:sz w:val="16"/>
          <w:szCs w:val="16"/>
        </w:rPr>
        <w:t>Е. Танк Т</w:t>
      </w:r>
      <w:r w:rsidRPr="005E779E">
        <w:rPr>
          <w:color w:val="000000" w:themeColor="text1"/>
          <w:sz w:val="16"/>
          <w:szCs w:val="16"/>
        </w:rPr>
        <w:noBreakHyphen/>
        <w:t>24 после изготовления пущенной в задел партии (80 шт.) с производства снять и вести усиленную подготовку по установке на ХПЗ производства танка ТГ.</w:t>
      </w:r>
    </w:p>
    <w:p w14:paraId="7B9FB1CD" w14:textId="77777777" w:rsidR="005E7475" w:rsidRPr="005E779E" w:rsidRDefault="005E7475" w:rsidP="000B7A6C">
      <w:pPr>
        <w:pStyle w:val="rtejustify"/>
        <w:spacing w:before="0" w:after="0"/>
        <w:rPr>
          <w:color w:val="000000" w:themeColor="text1"/>
          <w:sz w:val="16"/>
          <w:szCs w:val="16"/>
        </w:rPr>
      </w:pPr>
      <w:r w:rsidRPr="005E779E">
        <w:rPr>
          <w:color w:val="000000" w:themeColor="text1"/>
          <w:sz w:val="16"/>
          <w:szCs w:val="16"/>
        </w:rPr>
        <w:t>4. В связи с организацией на Урале второй базы по производству танка ТГ прекратить производство малого танка на ММЗ после использования задела.</w:t>
      </w:r>
    </w:p>
    <w:p w14:paraId="387507EC" w14:textId="77777777" w:rsidR="005E7475" w:rsidRPr="005E779E" w:rsidRDefault="005E7475" w:rsidP="000B7A6C">
      <w:pPr>
        <w:pStyle w:val="rtejustify"/>
        <w:spacing w:before="0" w:after="0"/>
        <w:rPr>
          <w:color w:val="000000" w:themeColor="text1"/>
          <w:sz w:val="16"/>
          <w:szCs w:val="16"/>
        </w:rPr>
      </w:pPr>
      <w:r w:rsidRPr="005E779E">
        <w:rPr>
          <w:color w:val="000000" w:themeColor="text1"/>
          <w:sz w:val="16"/>
          <w:szCs w:val="16"/>
        </w:rPr>
        <w:t>5. Учитывая удовлетворительные результаты по ассимиляции танкетки Т</w:t>
      </w:r>
      <w:r w:rsidRPr="005E779E">
        <w:rPr>
          <w:color w:val="000000" w:themeColor="text1"/>
          <w:sz w:val="16"/>
          <w:szCs w:val="16"/>
        </w:rPr>
        <w:noBreakHyphen/>
        <w:t>27 с «Фордом АА» и предварительные итоги использования под бронирование и вооружение тракторов «Коммунар» и «Катерпиллер» и создание таким образом типа танка сопровождения пехоты, считать необходимым на автотракторной базе создать в военное время второй эшелон танков сопровождения пехоты, для чего НКВМ и ВСНХ форсировать изготовление и испытание соответствующих образцов и в шестимесячный срок доложить о типах, количестве и месте производства их на 1932 и 1933 гг.</w:t>
      </w:r>
    </w:p>
    <w:p w14:paraId="7CBDCBB6" w14:textId="77777777" w:rsidR="005E7475" w:rsidRPr="005E779E" w:rsidRDefault="005E7475" w:rsidP="000B7A6C">
      <w:pPr>
        <w:pStyle w:val="rtejustify"/>
        <w:spacing w:before="0" w:after="0"/>
        <w:rPr>
          <w:color w:val="000000" w:themeColor="text1"/>
          <w:sz w:val="16"/>
          <w:szCs w:val="16"/>
        </w:rPr>
      </w:pPr>
      <w:r w:rsidRPr="005E779E">
        <w:rPr>
          <w:color w:val="000000" w:themeColor="text1"/>
          <w:sz w:val="16"/>
          <w:szCs w:val="16"/>
        </w:rPr>
        <w:t>6. По моторам. Производственную программу танкостроения обеспечить моторами: а) для танкетки Т</w:t>
      </w:r>
      <w:r w:rsidRPr="005E779E">
        <w:rPr>
          <w:color w:val="000000" w:themeColor="text1"/>
          <w:sz w:val="16"/>
          <w:szCs w:val="16"/>
        </w:rPr>
        <w:noBreakHyphen/>
        <w:t>27 — мотор «Форд АА» Нижегородского автомобильного завода; б) для малого танка Т</w:t>
      </w:r>
      <w:r w:rsidRPr="005E779E">
        <w:rPr>
          <w:color w:val="000000" w:themeColor="text1"/>
          <w:sz w:val="16"/>
          <w:szCs w:val="16"/>
        </w:rPr>
        <w:noBreakHyphen/>
        <w:t>26 — мотор «Армстронг Сидлей» производства заводов «Большевик» и Сталинградского тракторного в количестве, соответствующем программе танкостроения на каждом заводе; в) для среднего танка предложить НКВМ максимально ускорить испытания и дать окончательный тип через 1</w:t>
      </w:r>
      <w:r w:rsidRPr="005E779E">
        <w:rPr>
          <w:color w:val="000000" w:themeColor="text1"/>
          <w:sz w:val="16"/>
          <w:szCs w:val="16"/>
        </w:rPr>
        <w:noBreakHyphen/>
        <w:t>2 месяца. Ввиду отсутствия производственной базы для мощных моторов среднего танка и необходимости создания моторной базы для хозяйства страны предложить ВСНХ форсировать постройку моторного завода с тем, чтобы его первая очередь обеспечила к весне 1932 г. подачу моторов в количестве, соответствующем программе по средним танкам. Проектировку завода начать ориентировочно под моторы типа М</w:t>
      </w:r>
      <w:r w:rsidRPr="005E779E">
        <w:rPr>
          <w:color w:val="000000" w:themeColor="text1"/>
          <w:sz w:val="16"/>
          <w:szCs w:val="16"/>
        </w:rPr>
        <w:noBreakHyphen/>
        <w:t>6 и «Гротэ»; г) предложить ВСНХ, НКВМ и ОГПУ в течение 1931 г. создать образцы мощных дизельных моторов в 240</w:t>
      </w:r>
      <w:r w:rsidRPr="005E779E">
        <w:rPr>
          <w:color w:val="000000" w:themeColor="text1"/>
          <w:sz w:val="16"/>
          <w:szCs w:val="16"/>
        </w:rPr>
        <w:noBreakHyphen/>
        <w:t>300 л. с.</w:t>
      </w:r>
    </w:p>
    <w:p w14:paraId="183D034D" w14:textId="77777777" w:rsidR="005E7475" w:rsidRPr="005E779E" w:rsidRDefault="005E7475" w:rsidP="000B7A6C">
      <w:pPr>
        <w:pStyle w:val="rtejustify"/>
        <w:spacing w:before="0" w:after="0"/>
        <w:rPr>
          <w:color w:val="000000" w:themeColor="text1"/>
          <w:sz w:val="16"/>
          <w:szCs w:val="16"/>
        </w:rPr>
      </w:pPr>
      <w:r w:rsidRPr="005E779E">
        <w:rPr>
          <w:color w:val="000000" w:themeColor="text1"/>
          <w:sz w:val="16"/>
          <w:szCs w:val="16"/>
        </w:rPr>
        <w:t>7. По броне: а) отметить, что потребность брони по утвержденной ПБ программе танкостроения выражается в 50 тыс. т обработанной брони, наличная же база — заводы Ижорский и «Большевик» — обеспечивает подачу к весне 1932 г. 6 тыс. т; б) предложить ВСНХ организовать в течение 1931 г. в Сталинграде новую броневую базу на подачу с весны 1932 г. 45 тыс. т обработанной брони; в) учитывая необходимость увеличения программы по мощному среднему танку и танкеткам, а также формирования на автотракторной базе 2</w:t>
      </w:r>
      <w:r w:rsidRPr="005E779E">
        <w:rPr>
          <w:color w:val="000000" w:themeColor="text1"/>
          <w:sz w:val="16"/>
          <w:szCs w:val="16"/>
        </w:rPr>
        <w:noBreakHyphen/>
        <w:t>го эшелона танков сопровождения пехоты, предложить ВСНХ внести в двухмесячный срок конкретные предложения по увеличению программы подачи брони; г) отметить, что нынешние качества брони внутреннего производства в сравнении с броней Виккерса неудовлетворительны, несмотря на то что количество цветных металлов (никель) и ферросплавов в нашей броне в 2 раза больше, чем в броне Виккерса.</w:t>
      </w:r>
    </w:p>
    <w:p w14:paraId="77B44FF3" w14:textId="77777777" w:rsidR="005E7475" w:rsidRPr="005E779E" w:rsidRDefault="005E7475" w:rsidP="000B7A6C">
      <w:pPr>
        <w:pStyle w:val="rtejustify"/>
        <w:spacing w:before="0" w:after="0"/>
        <w:rPr>
          <w:color w:val="000000" w:themeColor="text1"/>
          <w:sz w:val="16"/>
          <w:szCs w:val="16"/>
        </w:rPr>
      </w:pPr>
      <w:r w:rsidRPr="005E779E">
        <w:rPr>
          <w:color w:val="000000" w:themeColor="text1"/>
          <w:sz w:val="16"/>
          <w:szCs w:val="16"/>
        </w:rPr>
        <w:t>Предложить НКВМ и ВСНХ в двухмесячный срок закончить ведущиеся опыты по поднятию качества брони минимум до уровня брони Виккерса и снижению импортных ферросплавов в броне.</w:t>
      </w:r>
    </w:p>
    <w:p w14:paraId="5B6C1935" w14:textId="77777777" w:rsidR="005E7475" w:rsidRPr="005E779E" w:rsidRDefault="005E7475" w:rsidP="000B7A6C">
      <w:pPr>
        <w:pStyle w:val="rtejustify"/>
        <w:spacing w:before="0" w:after="0"/>
        <w:rPr>
          <w:color w:val="000000" w:themeColor="text1"/>
          <w:sz w:val="16"/>
          <w:szCs w:val="16"/>
        </w:rPr>
      </w:pPr>
      <w:r w:rsidRPr="005E779E">
        <w:rPr>
          <w:color w:val="000000" w:themeColor="text1"/>
          <w:sz w:val="16"/>
          <w:szCs w:val="16"/>
        </w:rPr>
        <w:t>8. О мелком стальном фасонном литье. Отметить, что для выполнения утвержденной программы танкостроения требуется 55 тыс. т мелкого стального фасонного литья при наличии базы на заводе «Большевик» около 4 тыс. т.</w:t>
      </w:r>
    </w:p>
    <w:p w14:paraId="5D0FF0E0" w14:textId="77777777" w:rsidR="005E7475" w:rsidRPr="005E779E" w:rsidRDefault="005E7475" w:rsidP="000B7A6C">
      <w:pPr>
        <w:pStyle w:val="rtejustify"/>
        <w:spacing w:before="0" w:after="0"/>
        <w:rPr>
          <w:color w:val="000000" w:themeColor="text1"/>
          <w:sz w:val="16"/>
          <w:szCs w:val="16"/>
        </w:rPr>
      </w:pPr>
      <w:r w:rsidRPr="005E779E">
        <w:rPr>
          <w:color w:val="000000" w:themeColor="text1"/>
          <w:sz w:val="16"/>
          <w:szCs w:val="16"/>
        </w:rPr>
        <w:t>Предложить ВСНХ СССР построить в течение 1931 г. базу для недостающего количества литья при Сталинградском тракторном заводе.</w:t>
      </w:r>
    </w:p>
    <w:p w14:paraId="4798AD6C" w14:textId="77777777" w:rsidR="005E7475" w:rsidRPr="005E779E" w:rsidRDefault="005E7475" w:rsidP="000B7A6C">
      <w:pPr>
        <w:pStyle w:val="rtejustify"/>
        <w:spacing w:before="0" w:after="0"/>
        <w:rPr>
          <w:color w:val="000000" w:themeColor="text1"/>
          <w:sz w:val="16"/>
          <w:szCs w:val="16"/>
        </w:rPr>
      </w:pPr>
      <w:r w:rsidRPr="005E779E">
        <w:rPr>
          <w:color w:val="000000" w:themeColor="text1"/>
          <w:sz w:val="16"/>
          <w:szCs w:val="16"/>
        </w:rPr>
        <w:t>РГАСПИ. Ф. 17. Оп. 162. Д. 9. Л. 151 — 156. Заверенная копия.</w:t>
      </w:r>
    </w:p>
    <w:p w14:paraId="4741DF3A"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Архив: РГАСПИ. Ф. 17. Оп. 162. Д. 9. Л. 151 — 156. Заверенная копия. </w:t>
      </w:r>
    </w:p>
    <w:p w14:paraId="451D897D"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Источник: Становление оборонно-промышленного комплекса СССР (1927-1932). М. 2008, стр. 525-527 (12523).</w:t>
      </w:r>
    </w:p>
    <w:p w14:paraId="19305CF3" w14:textId="77777777" w:rsidR="005E7475" w:rsidRPr="005E779E" w:rsidRDefault="005E7475" w:rsidP="000B7A6C">
      <w:pPr>
        <w:spacing w:after="0" w:line="240" w:lineRule="auto"/>
        <w:jc w:val="both"/>
        <w:rPr>
          <w:rFonts w:ascii="Times New Roman" w:hAnsi="Times New Roman"/>
          <w:color w:val="000000" w:themeColor="text1"/>
          <w:sz w:val="16"/>
          <w:szCs w:val="16"/>
        </w:rPr>
      </w:pPr>
    </w:p>
    <w:p w14:paraId="77336C96" w14:textId="77777777" w:rsidR="00431F83" w:rsidRPr="005E779E" w:rsidRDefault="00431F8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февраля 1931 г.</w:t>
      </w:r>
    </w:p>
    <w:p w14:paraId="0AD9B666" w14:textId="77777777" w:rsidR="00431F83" w:rsidRPr="005E779E" w:rsidRDefault="00431F8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РГАСПИ Фонд 17 Опись 162 Дело 9 листы 151 – 156 </w:t>
      </w:r>
    </w:p>
    <w:p w14:paraId="5D371CED" w14:textId="77777777" w:rsidR="00431F83" w:rsidRPr="005E779E" w:rsidRDefault="00431F8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СОВ.СЕКРЕТНО </w:t>
      </w:r>
    </w:p>
    <w:p w14:paraId="265DA0F1" w14:textId="77777777" w:rsidR="00431F83" w:rsidRPr="005E779E" w:rsidRDefault="00431F8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ПОСТАНОВЛЕНИЕ ЦК ВКП(б) </w:t>
      </w:r>
    </w:p>
    <w:p w14:paraId="70F40627" w14:textId="77777777" w:rsidR="00431F83" w:rsidRPr="005E779E" w:rsidRDefault="00431F8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 танковой программе» </w:t>
      </w:r>
    </w:p>
    <w:p w14:paraId="5C9D06BE" w14:textId="77777777" w:rsidR="00431F83" w:rsidRPr="005E779E" w:rsidRDefault="00431F8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(Утверждено Политбюро ЦК ВКП(б) 20 февраля 1931 г.)</w:t>
      </w:r>
    </w:p>
    <w:p w14:paraId="0F189B8A" w14:textId="77777777" w:rsidR="00431F83" w:rsidRPr="005E779E" w:rsidRDefault="00431F8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развитие решения Политбюро от 30 ноября 1930 г. о программе танкостроения в военное время к весне 1932 г., согласно которой должно быть подано для нужд вооруженного фронта: танкеток – 4 тыс., малых танков – 13,8 тыс., средних танков – 2 тыс., Политбюро постановляет: </w:t>
      </w:r>
    </w:p>
    <w:p w14:paraId="3E13C1EB" w14:textId="77777777" w:rsidR="00431F83" w:rsidRPr="005E779E" w:rsidRDefault="00431F8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Танкетка</w:t>
      </w:r>
    </w:p>
    <w:p w14:paraId="17032479" w14:textId="77777777" w:rsidR="00431F83" w:rsidRPr="005E779E" w:rsidRDefault="00431F8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A. Утвердить тип Т-27 с мотором «Форд АА» со следующими данными: скорость – 36 – 40 км/ч, вес – 2 т, броня – 10 – 5 мм, вооружение – 1 пулемет, мотор с водяным охлаждением – 40 – 45 л. с. </w:t>
      </w:r>
    </w:p>
    <w:p w14:paraId="6E9AF019" w14:textId="77777777" w:rsidR="00431F83" w:rsidRPr="005E779E" w:rsidRDefault="00431F8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Б. Базой производства утвердить автозавод № 2 для 4 тыс. танкеток в военное время. Освоение производства в 1931 г. провести путем выполнения заказа в 400 танкеток. </w:t>
      </w:r>
    </w:p>
    <w:p w14:paraId="48F9ED7C" w14:textId="77777777" w:rsidR="00431F83" w:rsidRPr="005E779E" w:rsidRDefault="00431F8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B. Учитывая, что тип танкетки Т-27 имеет в основе использование автомобиля «Форд» плюс броня и гусеница с катками, поручить ВСНХ проработать вопрос о создании второй базы для танкетки при Нижегородском автозаводе, с учетом использования для танкеток 20 – 25% производственной мощности завода. </w:t>
      </w:r>
    </w:p>
    <w:p w14:paraId="3718985F" w14:textId="77777777" w:rsidR="00431F83" w:rsidRPr="005E779E" w:rsidRDefault="00431F8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ВСНХ и НКВМ через два месяца доложить, на какое количество танкеток Нижегородский автозавод может быть подготовлен к весне 1932 г. </w:t>
      </w:r>
    </w:p>
    <w:p w14:paraId="459A44AF" w14:textId="77777777" w:rsidR="00431F83" w:rsidRPr="005E779E" w:rsidRDefault="00431F8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Малый танк</w:t>
      </w:r>
    </w:p>
    <w:p w14:paraId="4A49D50D" w14:textId="77777777" w:rsidR="00431F83" w:rsidRPr="005E779E" w:rsidRDefault="00431F8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 Утвердить тип Т-26 («Виккерс») со следующими данными: скорость по дороге – 35 км/ч, скорость по местности – 20 – 25 км/ч, вес – 7,5 т, броня – 13 – 8 мм, вооружение – 1 пушка калибра 37 мм и 1 пулемет или 2 пулемета, мотор «Армстронг Сидлей» воздушного охлаждения – 84 – 93 л. с. </w:t>
      </w:r>
    </w:p>
    <w:p w14:paraId="0D7F27A5" w14:textId="77777777" w:rsidR="00431F83" w:rsidRPr="005E779E" w:rsidRDefault="00431F8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Б. Для освоения производства в 1931 г. изготовить на заводе «Большевик» 300 танков этого типа. Вести усиленную подготовку к организации производства на заводах «Большевик» и Сталинградском тракторном собственными инженерно-техническими силами. </w:t>
      </w:r>
    </w:p>
    <w:p w14:paraId="6220A933" w14:textId="77777777" w:rsidR="00431F83" w:rsidRPr="005E779E" w:rsidRDefault="00431F8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Базы производства на военное время – завод «Большевик» с подачей 1,5 тыс. танков в год и Сталинградский тракторный завод с подачей 12 тыс. танков вместе с запасными частями. Производственная база по Сталинградскому тракторному заводу должна быть подготовлена к 1 апреля 1932 г. Опытный цех на том же заводе должен быть готов к весне 1932 г. с производственной программой 100 танков в одну смену в год. Для освоения производства первая партия танков на опытном цехе должна быть изготовлена к весне 1932 г. </w:t>
      </w:r>
    </w:p>
    <w:p w14:paraId="1A07F594" w14:textId="77777777" w:rsidR="00431F83" w:rsidRPr="005E779E" w:rsidRDefault="00431F8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Средний танк</w:t>
      </w:r>
    </w:p>
    <w:p w14:paraId="3E64DF65" w14:textId="77777777" w:rsidR="00431F83" w:rsidRPr="005E779E" w:rsidRDefault="00431F8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A. Признать основным типом мощный средний танк Т-Г, со следующими данными (ориентировочно): скорость максимальная – 40 км/ч, скорость средняя – 25 км/ч, вес – около 20 т, броня – 30/20/15 мм, вооружение: 1 – 76-мм пушка, 1 – 37-мм пушка, 4 – 5 пулеметов, мотор воздушного охлаждения – 240 л. с. </w:t>
      </w:r>
    </w:p>
    <w:p w14:paraId="3EDAFB1C" w14:textId="77777777" w:rsidR="00431F83" w:rsidRPr="005E779E" w:rsidRDefault="00431F8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Б. Предложить ОГПУ и НКВМ форсировать работу по изготовлению и испытанию танка Т-Г, считая эту работу важнейшей задачей в области изготовления опытных образцов танков на 1931 г. </w:t>
      </w:r>
    </w:p>
    <w:p w14:paraId="71E03DB5" w14:textId="77777777" w:rsidR="00431F83" w:rsidRPr="005E779E" w:rsidRDefault="00431F8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B. Для освоения производства изготовить в 1931 г. первую серию в количестве 50 – 75 танков. </w:t>
      </w:r>
    </w:p>
    <w:p w14:paraId="42AC2F1B" w14:textId="77777777" w:rsidR="00431F83" w:rsidRPr="005E779E" w:rsidRDefault="00431F8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Г. В связи с боевым значением танка Т-Г ВСНХ подготовить производственные возможности к весне 1932 г. на 2 тыс. танков этого типа. </w:t>
      </w:r>
    </w:p>
    <w:p w14:paraId="6297FD71" w14:textId="77777777" w:rsidR="00431F83" w:rsidRPr="005E779E" w:rsidRDefault="00431F8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 Производственной базой утвердить Харьковский паровозостроительный завод с кооперированием по корпусу, мотору и стальному фасонному литью со Сталинградским и моторным заводами. </w:t>
      </w:r>
    </w:p>
    <w:p w14:paraId="7BE2C1B2" w14:textId="77777777" w:rsidR="00431F83" w:rsidRPr="005E779E" w:rsidRDefault="00431F8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Предложить ВСНХ проработать в двухмесячный срок вопрос о создании для танка Т-Г, кроме Харькова, вторую базу на Урале. </w:t>
      </w:r>
    </w:p>
    <w:p w14:paraId="452DCE36" w14:textId="77777777" w:rsidR="00431F83" w:rsidRPr="005E779E" w:rsidRDefault="00431F8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Е. Танк Т-24 после изготовления пущенной в задел партии (80 шт.) с производства снять и вести усиленную подготовку по установке на ХПЗ производства танка Т-Г. </w:t>
      </w:r>
    </w:p>
    <w:p w14:paraId="094CD3E6" w14:textId="77777777" w:rsidR="00431F83" w:rsidRPr="005E779E" w:rsidRDefault="00431F8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4. В связи с организацией на Урале второй базы по производству танка Т-Г прекратить производство малого танка на ММЗ после использования задела. </w:t>
      </w:r>
    </w:p>
    <w:p w14:paraId="6369CFB5" w14:textId="77777777" w:rsidR="00431F83" w:rsidRPr="005E779E" w:rsidRDefault="00431F8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5. Учитывая удовлетворительные результаты по ассимиляции танкетки Т-27 с «Фордом АА» и предварительные итоги использования под бронирование и вооружение тракторов «Коммунар» и «Катерпиллер» и создание таким образом типа танка сопровождения пехоты, считать необходимым на автотракторной базе создать в военное время второй эшелон танков сопровождения пехоты, для чего НКВМ и ВСНХ форсировать изготовление и испытание соответствующих образцов и в шестимесячный срок доложить о типах, количестве и месте производства их на 1932 и 1933 гг. </w:t>
      </w:r>
    </w:p>
    <w:p w14:paraId="6D523296" w14:textId="77777777" w:rsidR="00431F83" w:rsidRPr="005E779E" w:rsidRDefault="00431F8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6. По моторам. Производственную программу танкостроения обеспечить моторами: </w:t>
      </w:r>
    </w:p>
    <w:p w14:paraId="056B8A8C" w14:textId="77777777" w:rsidR="00431F83" w:rsidRPr="005E779E" w:rsidRDefault="00431F8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 для танкетки Т-27 – мотор «Форд АА» Нижегородского автомобильного завода; </w:t>
      </w:r>
    </w:p>
    <w:p w14:paraId="09AEDFA0" w14:textId="77777777" w:rsidR="00431F83" w:rsidRPr="005E779E" w:rsidRDefault="00431F8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б) для малого танка Т-26 – мотор «Армстронг Сидлей» производства заводов «Большевик» и Сталинградского тракторного в количестве, соответствующем программе танкостроения на каждом заводе; </w:t>
      </w:r>
    </w:p>
    <w:p w14:paraId="14C5AA89" w14:textId="77777777" w:rsidR="00431F83" w:rsidRPr="005E779E" w:rsidRDefault="00431F8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для среднего танка предложить НКВМ максимально ускорить испытания и дать окончательный тип через 1 – 2 месяца. Ввиду отсутствия производственной базы для мощных моторов среднего танка и необходимости создания моторной базы для хозяйства страны предложить ВСНХ форсировать постройку моторного завода с тем, чтобы его первая очередь обеспечила к весне 1932 г. подачу моторов в количестве, соответствующем программе по средним танкам. Проектировку завода начать ориентировочно под моторы типа М-6 и «Гротэ»; </w:t>
      </w:r>
    </w:p>
    <w:p w14:paraId="7E2C0017" w14:textId="77777777" w:rsidR="00431F83" w:rsidRPr="005E779E" w:rsidRDefault="00431F8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 xml:space="preserve">г) предложить ВСНХ, НКВМ и ОГПУ в течение 1931 г. создать образцы мощных дизельных моторов в 240 – 300 л. с. </w:t>
      </w:r>
    </w:p>
    <w:p w14:paraId="790C66A4" w14:textId="77777777" w:rsidR="00431F83" w:rsidRPr="005E779E" w:rsidRDefault="00431F8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7. По броне: </w:t>
      </w:r>
    </w:p>
    <w:p w14:paraId="6BCA9E2E" w14:textId="77777777" w:rsidR="00431F83" w:rsidRPr="005E779E" w:rsidRDefault="00431F8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 отметить, что потребность брони по утвержденной ПБ программе танкостроения выражается в 50 тыс. т обработанной брони, наличная же база – заводы Ижорский и «Большевик» – обеспечивает подачу к весне 1932 г. 6 тыс. т; </w:t>
      </w:r>
    </w:p>
    <w:p w14:paraId="57234D9C" w14:textId="77777777" w:rsidR="00431F83" w:rsidRPr="005E779E" w:rsidRDefault="00431F8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б) предложить ВСНХ организовать в течение 1931 г. в Сталинграде новую броневую базу на подачу с весны 1932 г. 45 тыс. т обработанной брони; </w:t>
      </w:r>
    </w:p>
    <w:p w14:paraId="0065401A" w14:textId="77777777" w:rsidR="00431F83" w:rsidRPr="005E779E" w:rsidRDefault="00431F8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учитывая необходимость увеличения программы по мощному среднему танку и танкеткам, а также формирования на автотракторной базе 2-го эшелона танков сопровождения пехоты, предложить ВСНХ внести в двухмесячный срок конкретные предложения по увеличению программы подачи брони; </w:t>
      </w:r>
    </w:p>
    <w:p w14:paraId="4758E489" w14:textId="77777777" w:rsidR="00431F83" w:rsidRPr="005E779E" w:rsidRDefault="00431F8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г) отметить, что нынешние качества брони внутреннего производства в сравнении с броней Виккерса неудовлетворительны, несмотря на то что количество цветных металлов (никель) и ферросплавов в нашей броне в 2 раза больше, чем в броне Виккерса. </w:t>
      </w:r>
    </w:p>
    <w:p w14:paraId="3844335D" w14:textId="77777777" w:rsidR="00431F83" w:rsidRPr="005E779E" w:rsidRDefault="00431F8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Предложить НКВМ и ВСНХ в двухмесячный срок закончить ведущиеся опыты по поднятию качества брони минимум до уровня брони Виккерса и снижению импортных ферросплавов в броне. </w:t>
      </w:r>
    </w:p>
    <w:p w14:paraId="2B73459C" w14:textId="77777777" w:rsidR="00431F83" w:rsidRPr="005E779E" w:rsidRDefault="00431F8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8. О мелком стальном фасонном литье. Отметить, что для выполнения утвержденной программы танкостроения требуется 55 тыс. т мелкого стального фасонного литья при наличии базы на заводе «Большевик» около 4 тыс. т. </w:t>
      </w:r>
    </w:p>
    <w:p w14:paraId="00424ED0" w14:textId="77777777" w:rsidR="00431F83" w:rsidRPr="005E779E" w:rsidRDefault="00431F8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Предложить ВСНХ СССР построить в течение 1931 г. базу для недостающего количества литья при Сталинградском тракторном заводе. </w:t>
      </w:r>
    </w:p>
    <w:p w14:paraId="0AD62C93" w14:textId="77777777" w:rsidR="00431F83" w:rsidRPr="005E779E" w:rsidRDefault="00431F8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Верно: подпись (24859).</w:t>
      </w:r>
    </w:p>
    <w:p w14:paraId="5578C0EB" w14:textId="77777777" w:rsidR="00431F83" w:rsidRPr="005E779E" w:rsidRDefault="00431F83" w:rsidP="000B7A6C">
      <w:pPr>
        <w:spacing w:after="0" w:line="240" w:lineRule="auto"/>
        <w:jc w:val="both"/>
        <w:rPr>
          <w:rFonts w:ascii="Times New Roman" w:hAnsi="Times New Roman"/>
          <w:color w:val="000000" w:themeColor="text1"/>
          <w:sz w:val="16"/>
          <w:szCs w:val="16"/>
        </w:rPr>
      </w:pPr>
    </w:p>
    <w:p w14:paraId="5EAB5C10" w14:textId="77777777" w:rsidR="000B1FE7" w:rsidRPr="005E779E" w:rsidRDefault="000B1FE7"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20 февраля 1931 были приняты Ворошиловым и Орджоникидзе и утверждены Политбюро Предложения комиссии Убооевича, созданной 10 января, (за исключением пункта "о технической помощи"). Обширное постановление "О танковой программе" устанавливало технические характеристики танкетки, малого и среднего танка, размещение заказов по заводам, объемы потребностей в броне и т. д. Объемы выпуска танков на 1931 г. определялись в точном соответствии с решением Политбюро от 30 ноября 1930 г. (Протокол № 23 заседания Политбюро ЦК ВКП(б) от 15.01.1931 // РГА СПИ. Ф. 17. Оп. 162. Д 9 Л. 119; Протокол № 27 заседания Политбюро ЦК ВКП(б) от 27.02.1931 // Там же. Л. 140; Постановление Политбюро ЦК ВКП(б) "О танковой программе", 20.02.1931 // Там же. Л. 151-156.). Вероятно, несколько позже, весной 1932 г., правительство утвердило мобзаявку НКВМ, предусматривавшую производство в первый год войны 13 800 малых и 2000 средних танков, 15 000 танкеток (тяжелые танки прорыва разрабатывались, но к лету опытные образцы еще не были изготовлены) (См.: Постановление РВС СССР "О формированиях в военное время", 27.06.1931 // РГВА Ф. 40442. Оп. 2. Д 9. Л. 14. Следуя в русле этих решений, в конце апреля 1931 г. РВСС принял постановление "О танковой программе", которое было предложено заседанию КО 4 мая, а затем вновь рассмотрено Реввоенсоветом (Протокол № 15 заседания РВС СССР от 28.04.1931 // Там же. Ф. 4. Оп. 18. Д 20. Л. 232; 11ротокол № 16 заседания РВС СССР от 08.05.1931 // Там же. Л. 254. Текст постановления, посвященного в основном номенклатуре образцов танкового вооружения, см. Там же. Л. 259-262)). 22725.</w:t>
      </w:r>
    </w:p>
    <w:p w14:paraId="6EF7C640" w14:textId="77777777" w:rsidR="000B1FE7" w:rsidRPr="005E779E" w:rsidRDefault="000B1FE7" w:rsidP="000B7A6C">
      <w:pPr>
        <w:spacing w:after="0" w:line="240" w:lineRule="auto"/>
        <w:jc w:val="both"/>
        <w:rPr>
          <w:rFonts w:ascii="Times New Roman" w:hAnsi="Times New Roman"/>
          <w:color w:val="000000" w:themeColor="text1"/>
          <w:sz w:val="16"/>
          <w:szCs w:val="16"/>
        </w:rPr>
      </w:pPr>
    </w:p>
    <w:p w14:paraId="6F6A96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февраля 1931 показатель 20000 танков всех тпов по мобзапросу КО был пересмотрен и к 1933 решили производить 16000 танкеток (Т-17), 13800 легких танков (Т-26) и 2000 средних быстроходных (БТ) для действия в первом эшелоне и 8500 танков поддержки пехоты для действий во втором эшелоне (9089,152).</w:t>
      </w:r>
    </w:p>
    <w:p w14:paraId="67138D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1CB058F"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февраля 1931 г. в Постановлении ПБ ЦК ВКП)б) о танковой программе в разделе касавшемся обеспечения выпуска танков двигателями было записано: «г) предложить ВСНХ, НКВМ и ОГПУ в течение 1931 г. создать образцы мощных дизельных моторов в 240 – 300 л.с.» (24856).</w:t>
      </w:r>
    </w:p>
    <w:p w14:paraId="74A10F45" w14:textId="77777777" w:rsidR="00225E06" w:rsidRPr="005E779E" w:rsidRDefault="00225E06" w:rsidP="000B7A6C">
      <w:pPr>
        <w:spacing w:after="0" w:line="240" w:lineRule="auto"/>
        <w:jc w:val="both"/>
        <w:rPr>
          <w:rFonts w:ascii="Times New Roman" w:hAnsi="Times New Roman"/>
          <w:color w:val="000000" w:themeColor="text1"/>
          <w:sz w:val="16"/>
          <w:szCs w:val="16"/>
        </w:rPr>
      </w:pPr>
    </w:p>
    <w:p w14:paraId="741C4639"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20 февраля 1931</w:t>
      </w:r>
      <w:r w:rsidRPr="005E779E">
        <w:rPr>
          <w:rFonts w:ascii="Times New Roman" w:hAnsi="Times New Roman"/>
          <w:color w:val="000000" w:themeColor="text1"/>
          <w:sz w:val="16"/>
          <w:szCs w:val="16"/>
        </w:rPr>
        <w:t>Политбюро ЦК ВКП (б) приняло постановление о мероприятиях по улучшению строительства Нижегородского автозавода (12265).</w:t>
      </w:r>
    </w:p>
    <w:p w14:paraId="7BBEE619"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658E54C6" w14:textId="77777777" w:rsidR="003B4AB7" w:rsidRPr="005E779E" w:rsidRDefault="003B4A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февраля 1931 было решение ПБ О Нижегородском Автозаводе. (Утверждено Политбюро ЦК ВКП(б) 20.II.31 г.) Приложение № 6 к п. 43/60, пр. ПБ № 27</w:t>
      </w:r>
    </w:p>
    <w:p w14:paraId="20572E56" w14:textId="77777777" w:rsidR="003B4AB7" w:rsidRPr="005E779E" w:rsidRDefault="003B4A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Архив: </w:t>
      </w:r>
    </w:p>
    <w:p w14:paraId="4B995D20" w14:textId="77777777" w:rsidR="003B4AB7" w:rsidRPr="005E779E" w:rsidRDefault="003B4A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РГАСПИ. Ф. 17. Оп. 3. Д. 814. Л. 32-35.</w:t>
      </w:r>
    </w:p>
    <w:p w14:paraId="55968431" w14:textId="77777777" w:rsidR="003B4AB7" w:rsidRPr="005E779E" w:rsidRDefault="003B4AB7" w:rsidP="000B7A6C">
      <w:pPr>
        <w:spacing w:after="0" w:line="240" w:lineRule="auto"/>
        <w:jc w:val="both"/>
        <w:rPr>
          <w:rFonts w:ascii="Times New Roman" w:hAnsi="Times New Roman"/>
          <w:color w:val="000000" w:themeColor="text1"/>
          <w:sz w:val="16"/>
          <w:szCs w:val="16"/>
        </w:rPr>
      </w:pPr>
      <w:r w:rsidRPr="005E779E">
        <w:rPr>
          <w:rStyle w:val="af0"/>
          <w:rFonts w:ascii="Times New Roman" w:hAnsi="Times New Roman"/>
          <w:i w:val="0"/>
          <w:color w:val="000000" w:themeColor="text1"/>
          <w:sz w:val="16"/>
          <w:szCs w:val="16"/>
        </w:rPr>
        <w:t>Приложение № 6 к п. 43/60, пр. ПБ № 27.</w:t>
      </w:r>
    </w:p>
    <w:p w14:paraId="0A5A3767" w14:textId="77777777" w:rsidR="003B4AB7" w:rsidRPr="005E779E" w:rsidRDefault="003B4AB7" w:rsidP="000B7A6C">
      <w:pPr>
        <w:pStyle w:val="ae"/>
        <w:spacing w:before="0" w:after="0"/>
        <w:jc w:val="both"/>
        <w:rPr>
          <w:color w:val="000000" w:themeColor="text1"/>
          <w:sz w:val="16"/>
          <w:szCs w:val="16"/>
        </w:rPr>
      </w:pPr>
      <w:r w:rsidRPr="005E779E">
        <w:rPr>
          <w:color w:val="000000" w:themeColor="text1"/>
          <w:sz w:val="16"/>
          <w:szCs w:val="16"/>
        </w:rPr>
        <w:t>О Нижегородском Автозаводе.</w:t>
      </w:r>
    </w:p>
    <w:p w14:paraId="420C179A" w14:textId="77777777" w:rsidR="003B4AB7" w:rsidRPr="005E779E" w:rsidRDefault="003B4AB7" w:rsidP="000B7A6C">
      <w:pPr>
        <w:pStyle w:val="ae"/>
        <w:spacing w:before="0" w:after="0"/>
        <w:jc w:val="both"/>
        <w:rPr>
          <w:color w:val="000000" w:themeColor="text1"/>
          <w:sz w:val="16"/>
          <w:szCs w:val="16"/>
        </w:rPr>
      </w:pPr>
      <w:r w:rsidRPr="005E779E">
        <w:rPr>
          <w:color w:val="000000" w:themeColor="text1"/>
          <w:sz w:val="16"/>
          <w:szCs w:val="16"/>
        </w:rPr>
        <w:t>(Утверждено Политбюро ЦК ВКП(б) 20.II.31 г.)</w:t>
      </w:r>
    </w:p>
    <w:p w14:paraId="64F236BA" w14:textId="77777777" w:rsidR="003B4AB7" w:rsidRPr="005E779E" w:rsidRDefault="003B4AB7" w:rsidP="000B7A6C">
      <w:pPr>
        <w:pStyle w:val="rtejustify"/>
        <w:spacing w:before="0" w:after="0"/>
        <w:rPr>
          <w:color w:val="000000" w:themeColor="text1"/>
          <w:sz w:val="16"/>
          <w:szCs w:val="16"/>
        </w:rPr>
      </w:pPr>
      <w:r w:rsidRPr="005E779E">
        <w:rPr>
          <w:color w:val="000000" w:themeColor="text1"/>
          <w:sz w:val="16"/>
          <w:szCs w:val="16"/>
        </w:rPr>
        <w:t>Перестройка сельского хозяйства на основе строительства крупных совхозов и колхозов, бурное развитие промышленности и возрастающий в связи с этим грузооборот в стране выдвигают автотранспорт как одно из важнейших звеньев во всей системе транспорта в Союзе.</w:t>
      </w:r>
    </w:p>
    <w:p w14:paraId="3B2A57DC" w14:textId="77777777" w:rsidR="003B4AB7" w:rsidRPr="005E779E" w:rsidRDefault="003B4AB7" w:rsidP="000B7A6C">
      <w:pPr>
        <w:pStyle w:val="rtejustify"/>
        <w:spacing w:before="0" w:after="0"/>
        <w:rPr>
          <w:color w:val="000000" w:themeColor="text1"/>
          <w:sz w:val="16"/>
          <w:szCs w:val="16"/>
        </w:rPr>
      </w:pPr>
      <w:r w:rsidRPr="005E779E">
        <w:rPr>
          <w:color w:val="000000" w:themeColor="text1"/>
          <w:sz w:val="16"/>
          <w:szCs w:val="16"/>
        </w:rPr>
        <w:t>Строящийся в Нижнем Новгороде автомобильный завод должен явиться не только источником снабжения страны грузовыми и легковыми автомобилями (140 тыс. в год), но и практической школой в деле освоения передовой техники и подготовки кадров для дальнейшего развития автопромышленности.</w:t>
      </w:r>
    </w:p>
    <w:p w14:paraId="6279680A" w14:textId="77777777" w:rsidR="003B4AB7" w:rsidRPr="005E779E" w:rsidRDefault="003B4AB7" w:rsidP="000B7A6C">
      <w:pPr>
        <w:pStyle w:val="rtejustify"/>
        <w:spacing w:before="0" w:after="0"/>
        <w:rPr>
          <w:color w:val="000000" w:themeColor="text1"/>
          <w:sz w:val="16"/>
          <w:szCs w:val="16"/>
        </w:rPr>
      </w:pPr>
      <w:r w:rsidRPr="005E779E">
        <w:rPr>
          <w:color w:val="000000" w:themeColor="text1"/>
          <w:sz w:val="16"/>
          <w:szCs w:val="16"/>
        </w:rPr>
        <w:t>Отмечая недостаточность существующих темпов работ как на строительстве самого Автозавода, так и в подготовке предприятий, которые должны будут снабжать Автозавод полуфабрикатами и изделиями (сталь, резина, стекло и т. д.).</w:t>
      </w:r>
    </w:p>
    <w:p w14:paraId="66992EA8" w14:textId="77777777" w:rsidR="003B4AB7" w:rsidRPr="005E779E" w:rsidRDefault="003B4AB7" w:rsidP="000B7A6C">
      <w:pPr>
        <w:pStyle w:val="ae"/>
        <w:spacing w:before="0" w:after="0"/>
        <w:jc w:val="both"/>
        <w:rPr>
          <w:color w:val="000000" w:themeColor="text1"/>
          <w:sz w:val="16"/>
          <w:szCs w:val="16"/>
        </w:rPr>
      </w:pPr>
      <w:r w:rsidRPr="005E779E">
        <w:rPr>
          <w:color w:val="000000" w:themeColor="text1"/>
          <w:sz w:val="16"/>
          <w:szCs w:val="16"/>
        </w:rPr>
        <w:t xml:space="preserve">ЦК ВКП(б) </w:t>
      </w:r>
      <w:r w:rsidRPr="005E779E">
        <w:rPr>
          <w:rStyle w:val="af0"/>
          <w:bCs/>
          <w:i w:val="0"/>
          <w:color w:val="000000" w:themeColor="text1"/>
          <w:sz w:val="16"/>
          <w:szCs w:val="16"/>
        </w:rPr>
        <w:t>постановляет</w:t>
      </w:r>
      <w:r w:rsidRPr="005E779E">
        <w:rPr>
          <w:color w:val="000000" w:themeColor="text1"/>
          <w:sz w:val="16"/>
          <w:szCs w:val="16"/>
        </w:rPr>
        <w:t>:</w:t>
      </w:r>
    </w:p>
    <w:p w14:paraId="1D9FD9DF" w14:textId="77777777" w:rsidR="003B4AB7" w:rsidRPr="005E779E" w:rsidRDefault="003B4AB7" w:rsidP="000B7A6C">
      <w:pPr>
        <w:pStyle w:val="rtejustify"/>
        <w:spacing w:before="0" w:after="0"/>
        <w:rPr>
          <w:color w:val="000000" w:themeColor="text1"/>
          <w:sz w:val="16"/>
          <w:szCs w:val="16"/>
        </w:rPr>
      </w:pPr>
      <w:r w:rsidRPr="005E779E">
        <w:rPr>
          <w:rStyle w:val="a7"/>
          <w:b w:val="0"/>
          <w:color w:val="000000" w:themeColor="text1"/>
          <w:sz w:val="16"/>
          <w:szCs w:val="16"/>
        </w:rPr>
        <w:t>1</w:t>
      </w:r>
      <w:r w:rsidRPr="005E779E">
        <w:rPr>
          <w:color w:val="000000" w:themeColor="text1"/>
          <w:sz w:val="16"/>
          <w:szCs w:val="16"/>
        </w:rPr>
        <w:t>. Исходя из установленного ранее срока о пуске 1.XI.31 г. первой очереди завода, установить следующие сроки пуска основных цехов Автостроя:</w:t>
      </w: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238"/>
        <w:gridCol w:w="2090"/>
      </w:tblGrid>
      <w:tr w:rsidR="007122AB" w:rsidRPr="005E779E" w14:paraId="5204626D" w14:textId="77777777" w:rsidTr="00D93444">
        <w:trPr>
          <w:tblCellSpacing w:w="0" w:type="dxa"/>
        </w:trPr>
        <w:tc>
          <w:tcPr>
            <w:tcW w:w="0" w:type="auto"/>
            <w:vAlign w:val="center"/>
            <w:hideMark/>
          </w:tcPr>
          <w:p w14:paraId="1875F6A3" w14:textId="77777777" w:rsidR="003B4AB7" w:rsidRPr="005E779E" w:rsidRDefault="003B4A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деревообделочный и инструментальный</w:t>
            </w:r>
          </w:p>
        </w:tc>
        <w:tc>
          <w:tcPr>
            <w:tcW w:w="0" w:type="auto"/>
            <w:vAlign w:val="center"/>
            <w:hideMark/>
          </w:tcPr>
          <w:p w14:paraId="00838EA8" w14:textId="77777777" w:rsidR="003B4AB7" w:rsidRPr="005E779E" w:rsidRDefault="003B4A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1.VI.31 г.</w:t>
            </w:r>
          </w:p>
        </w:tc>
      </w:tr>
      <w:tr w:rsidR="007122AB" w:rsidRPr="005E779E" w14:paraId="3FD2F203" w14:textId="77777777" w:rsidTr="00D93444">
        <w:trPr>
          <w:tblCellSpacing w:w="0" w:type="dxa"/>
        </w:trPr>
        <w:tc>
          <w:tcPr>
            <w:tcW w:w="0" w:type="auto"/>
            <w:vAlign w:val="center"/>
            <w:hideMark/>
          </w:tcPr>
          <w:p w14:paraId="0D40CD90" w14:textId="77777777" w:rsidR="003B4AB7" w:rsidRPr="005E779E" w:rsidRDefault="003B4A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ремонтно-механический и ремонтно-кузнечный цеха</w:t>
            </w:r>
          </w:p>
        </w:tc>
        <w:tc>
          <w:tcPr>
            <w:tcW w:w="0" w:type="auto"/>
            <w:vAlign w:val="center"/>
            <w:hideMark/>
          </w:tcPr>
          <w:p w14:paraId="0A1AC3B7" w14:textId="77777777" w:rsidR="003B4AB7" w:rsidRPr="005E779E" w:rsidRDefault="003B4A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1.VII.31 г.</w:t>
            </w:r>
          </w:p>
        </w:tc>
      </w:tr>
      <w:tr w:rsidR="007122AB" w:rsidRPr="005E779E" w14:paraId="147DC901" w14:textId="77777777" w:rsidTr="00D93444">
        <w:trPr>
          <w:tblCellSpacing w:w="0" w:type="dxa"/>
        </w:trPr>
        <w:tc>
          <w:tcPr>
            <w:tcW w:w="0" w:type="auto"/>
            <w:vAlign w:val="center"/>
            <w:hideMark/>
          </w:tcPr>
          <w:p w14:paraId="1A9B2F37" w14:textId="77777777" w:rsidR="003B4AB7" w:rsidRPr="005E779E" w:rsidRDefault="003B4A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литейный, кузнечный, прессовый цеха</w:t>
            </w:r>
          </w:p>
        </w:tc>
        <w:tc>
          <w:tcPr>
            <w:tcW w:w="0" w:type="auto"/>
            <w:vAlign w:val="center"/>
            <w:hideMark/>
          </w:tcPr>
          <w:p w14:paraId="4E6F0774" w14:textId="77777777" w:rsidR="003B4AB7" w:rsidRPr="005E779E" w:rsidRDefault="003B4A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1.Х.31 г.</w:t>
            </w:r>
          </w:p>
        </w:tc>
      </w:tr>
      <w:tr w:rsidR="007122AB" w:rsidRPr="005E779E" w14:paraId="1E03ABFB" w14:textId="77777777" w:rsidTr="00D93444">
        <w:trPr>
          <w:tblCellSpacing w:w="0" w:type="dxa"/>
        </w:trPr>
        <w:tc>
          <w:tcPr>
            <w:tcW w:w="0" w:type="auto"/>
            <w:vAlign w:val="center"/>
            <w:hideMark/>
          </w:tcPr>
          <w:p w14:paraId="3894F95D" w14:textId="77777777" w:rsidR="003B4AB7" w:rsidRPr="005E779E" w:rsidRDefault="003B4A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цех моторов, рессорный и прочие цеха</w:t>
            </w:r>
          </w:p>
        </w:tc>
        <w:tc>
          <w:tcPr>
            <w:tcW w:w="0" w:type="auto"/>
            <w:vAlign w:val="center"/>
            <w:hideMark/>
          </w:tcPr>
          <w:p w14:paraId="462F41FF" w14:textId="77777777" w:rsidR="003B4AB7" w:rsidRPr="005E779E" w:rsidRDefault="003B4A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1.XI.31 г.</w:t>
            </w:r>
          </w:p>
        </w:tc>
      </w:tr>
    </w:tbl>
    <w:p w14:paraId="0DE97595" w14:textId="77777777" w:rsidR="003B4AB7" w:rsidRPr="005E779E" w:rsidRDefault="003B4AB7" w:rsidP="000B7A6C">
      <w:pPr>
        <w:pStyle w:val="rtejustify"/>
        <w:spacing w:before="0" w:after="0"/>
        <w:rPr>
          <w:color w:val="000000" w:themeColor="text1"/>
          <w:sz w:val="16"/>
          <w:szCs w:val="16"/>
        </w:rPr>
      </w:pPr>
      <w:r w:rsidRPr="005E779E">
        <w:rPr>
          <w:rStyle w:val="a7"/>
          <w:b w:val="0"/>
          <w:color w:val="000000" w:themeColor="text1"/>
          <w:sz w:val="16"/>
          <w:szCs w:val="16"/>
        </w:rPr>
        <w:t>2</w:t>
      </w:r>
      <w:r w:rsidRPr="005E779E">
        <w:rPr>
          <w:color w:val="000000" w:themeColor="text1"/>
          <w:sz w:val="16"/>
          <w:szCs w:val="16"/>
        </w:rPr>
        <w:t>. Считать совершенно недопустимым ведение таких крупнейших работ, как Автозавод, без наличия проработанных смет.</w:t>
      </w:r>
    </w:p>
    <w:p w14:paraId="50508DD9" w14:textId="77777777" w:rsidR="003B4AB7" w:rsidRPr="005E779E" w:rsidRDefault="003B4AB7" w:rsidP="000B7A6C">
      <w:pPr>
        <w:pStyle w:val="rtejustify"/>
        <w:spacing w:before="0" w:after="0"/>
        <w:rPr>
          <w:color w:val="000000" w:themeColor="text1"/>
          <w:sz w:val="16"/>
          <w:szCs w:val="16"/>
        </w:rPr>
      </w:pPr>
      <w:r w:rsidRPr="005E779E">
        <w:rPr>
          <w:color w:val="000000" w:themeColor="text1"/>
          <w:sz w:val="16"/>
          <w:szCs w:val="16"/>
        </w:rPr>
        <w:t>Обязать ВАТО и Автострой проработать сметы по Автострою на 31 г. не позже 1.IV.31 г., а президиуму ВСНХ на основе представленных смет окончательно установить объем затрат на 31 г. по Автозаводу с таким расчетом, чтобы был полностью обеспечен пуск завода первой очереди в намеченные сроки.</w:t>
      </w:r>
    </w:p>
    <w:p w14:paraId="3D5EAAEE" w14:textId="77777777" w:rsidR="003B4AB7" w:rsidRPr="005E779E" w:rsidRDefault="003B4AB7" w:rsidP="000B7A6C">
      <w:pPr>
        <w:pStyle w:val="rtejustify"/>
        <w:spacing w:before="0" w:after="0"/>
        <w:rPr>
          <w:color w:val="000000" w:themeColor="text1"/>
          <w:sz w:val="16"/>
          <w:szCs w:val="16"/>
        </w:rPr>
      </w:pPr>
      <w:r w:rsidRPr="005E779E">
        <w:rPr>
          <w:color w:val="000000" w:themeColor="text1"/>
          <w:sz w:val="16"/>
          <w:szCs w:val="16"/>
        </w:rPr>
        <w:t>Обязать Автострой не позже 25 апреля представить смету полной стоимости Автозавода.</w:t>
      </w:r>
    </w:p>
    <w:p w14:paraId="73D031EB" w14:textId="77777777" w:rsidR="003B4AB7" w:rsidRPr="005E779E" w:rsidRDefault="003B4AB7" w:rsidP="000B7A6C">
      <w:pPr>
        <w:pStyle w:val="rtejustify"/>
        <w:spacing w:before="0" w:after="0"/>
        <w:rPr>
          <w:color w:val="000000" w:themeColor="text1"/>
          <w:sz w:val="16"/>
          <w:szCs w:val="16"/>
        </w:rPr>
      </w:pPr>
      <w:r w:rsidRPr="005E779E">
        <w:rPr>
          <w:rStyle w:val="a7"/>
          <w:b w:val="0"/>
          <w:color w:val="000000" w:themeColor="text1"/>
          <w:sz w:val="16"/>
          <w:szCs w:val="16"/>
        </w:rPr>
        <w:t>3</w:t>
      </w:r>
      <w:r w:rsidRPr="005E779E">
        <w:rPr>
          <w:color w:val="000000" w:themeColor="text1"/>
          <w:sz w:val="16"/>
          <w:szCs w:val="16"/>
        </w:rPr>
        <w:t>. Отмечая неудовлетворительное состояние хода работ по проектированию, обязать ВСНХ увязать работу всех проектных организаций как внутри Союза, так и заграницей, для чего в декадный срок составить календарный план всех проектных работ, обеспечивающий своевременное поступление проектов на строительство.</w:t>
      </w:r>
    </w:p>
    <w:p w14:paraId="1517ECD3" w14:textId="77777777" w:rsidR="003B4AB7" w:rsidRPr="005E779E" w:rsidRDefault="003B4AB7" w:rsidP="000B7A6C">
      <w:pPr>
        <w:pStyle w:val="rtejustify"/>
        <w:spacing w:before="0" w:after="0"/>
        <w:rPr>
          <w:color w:val="000000" w:themeColor="text1"/>
          <w:sz w:val="16"/>
          <w:szCs w:val="16"/>
        </w:rPr>
      </w:pPr>
      <w:r w:rsidRPr="005E779E">
        <w:rPr>
          <w:rStyle w:val="a7"/>
          <w:b w:val="0"/>
          <w:color w:val="000000" w:themeColor="text1"/>
          <w:sz w:val="16"/>
          <w:szCs w:val="16"/>
        </w:rPr>
        <w:t>4</w:t>
      </w:r>
      <w:r w:rsidRPr="005E779E">
        <w:rPr>
          <w:color w:val="000000" w:themeColor="text1"/>
          <w:sz w:val="16"/>
          <w:szCs w:val="16"/>
        </w:rPr>
        <w:t>. Одобрить решение ВСНХ о введении на строительстве чисто подрядного способа работ по определенным твердым ценам с тем, что основным производителем работ должен быть 3</w:t>
      </w:r>
      <w:r w:rsidRPr="005E779E">
        <w:rPr>
          <w:color w:val="000000" w:themeColor="text1"/>
          <w:sz w:val="16"/>
          <w:szCs w:val="16"/>
        </w:rPr>
        <w:noBreakHyphen/>
        <w:t>й Госстройтрест, а все остальные стройорганизации ведут работу в качестве подрядчиков 3</w:t>
      </w:r>
      <w:r w:rsidRPr="005E779E">
        <w:rPr>
          <w:color w:val="000000" w:themeColor="text1"/>
          <w:sz w:val="16"/>
          <w:szCs w:val="16"/>
        </w:rPr>
        <w:noBreakHyphen/>
        <w:t>го Госстройтреста.</w:t>
      </w:r>
    </w:p>
    <w:p w14:paraId="51E51638" w14:textId="77777777" w:rsidR="003B4AB7" w:rsidRPr="005E779E" w:rsidRDefault="003B4AB7" w:rsidP="000B7A6C">
      <w:pPr>
        <w:pStyle w:val="rtejustify"/>
        <w:spacing w:before="0" w:after="0"/>
        <w:rPr>
          <w:color w:val="000000" w:themeColor="text1"/>
          <w:sz w:val="16"/>
          <w:szCs w:val="16"/>
        </w:rPr>
      </w:pPr>
      <w:r w:rsidRPr="005E779E">
        <w:rPr>
          <w:rStyle w:val="a7"/>
          <w:b w:val="0"/>
          <w:color w:val="000000" w:themeColor="text1"/>
          <w:sz w:val="16"/>
          <w:szCs w:val="16"/>
        </w:rPr>
        <w:t>5</w:t>
      </w:r>
      <w:r w:rsidRPr="005E779E">
        <w:rPr>
          <w:color w:val="000000" w:themeColor="text1"/>
          <w:sz w:val="16"/>
          <w:szCs w:val="16"/>
        </w:rPr>
        <w:t>. Отмечая неудовлетворительность работы Водоканалстроя и Промсантехстроя, обязать тов. Комарова (Союзстрой) в декадный срок организовать работу Водоканалстроя и Промсантехстроя на площадке Автостроя таким образом, чтобы строительство водопровода, канализации, отопления и вентиляционных устройств было окончено в сроки, предусмотренные планом пуска цехов.</w:t>
      </w:r>
    </w:p>
    <w:p w14:paraId="5C924BB1" w14:textId="77777777" w:rsidR="003B4AB7" w:rsidRPr="005E779E" w:rsidRDefault="003B4AB7" w:rsidP="000B7A6C">
      <w:pPr>
        <w:pStyle w:val="rtejustify"/>
        <w:spacing w:before="0" w:after="0"/>
        <w:rPr>
          <w:color w:val="000000" w:themeColor="text1"/>
          <w:sz w:val="16"/>
          <w:szCs w:val="16"/>
        </w:rPr>
      </w:pPr>
      <w:r w:rsidRPr="005E779E">
        <w:rPr>
          <w:rStyle w:val="a7"/>
          <w:b w:val="0"/>
          <w:color w:val="000000" w:themeColor="text1"/>
          <w:sz w:val="16"/>
          <w:szCs w:val="16"/>
        </w:rPr>
        <w:t>6</w:t>
      </w:r>
      <w:r w:rsidRPr="005E779E">
        <w:rPr>
          <w:color w:val="000000" w:themeColor="text1"/>
          <w:sz w:val="16"/>
          <w:szCs w:val="16"/>
        </w:rPr>
        <w:t>. Одобрить решение президиума ВСНХ СССР о производстве на Нижегородском автозаводе металлических кузовов типа “Форда”.</w:t>
      </w:r>
    </w:p>
    <w:p w14:paraId="736EADF9" w14:textId="77777777" w:rsidR="003B4AB7" w:rsidRPr="005E779E" w:rsidRDefault="003B4AB7" w:rsidP="000B7A6C">
      <w:pPr>
        <w:pStyle w:val="rtejustify"/>
        <w:spacing w:before="0" w:after="0"/>
        <w:rPr>
          <w:color w:val="000000" w:themeColor="text1"/>
          <w:sz w:val="16"/>
          <w:szCs w:val="16"/>
        </w:rPr>
      </w:pPr>
      <w:r w:rsidRPr="005E779E">
        <w:rPr>
          <w:rStyle w:val="a7"/>
          <w:b w:val="0"/>
          <w:color w:val="000000" w:themeColor="text1"/>
          <w:sz w:val="16"/>
          <w:szCs w:val="16"/>
        </w:rPr>
        <w:t>7</w:t>
      </w:r>
      <w:r w:rsidRPr="005E779E">
        <w:rPr>
          <w:color w:val="000000" w:themeColor="text1"/>
          <w:sz w:val="16"/>
          <w:szCs w:val="16"/>
        </w:rPr>
        <w:t>. Обязать т. Иванова (ВАТО) и т. Постникова (НКПС) рассмотреть как схему внутризаводского транспорта, так и вопрос о способах доставки топлива для теплоэлектроцентрали и представить в декадный срок решение по этим вопросам на утверждение ВСНХ.</w:t>
      </w:r>
    </w:p>
    <w:p w14:paraId="78152024" w14:textId="77777777" w:rsidR="003B4AB7" w:rsidRPr="005E779E" w:rsidRDefault="003B4AB7" w:rsidP="000B7A6C">
      <w:pPr>
        <w:pStyle w:val="rtejustify"/>
        <w:spacing w:before="0" w:after="0"/>
        <w:rPr>
          <w:color w:val="000000" w:themeColor="text1"/>
          <w:sz w:val="16"/>
          <w:szCs w:val="16"/>
        </w:rPr>
      </w:pPr>
      <w:r w:rsidRPr="005E779E">
        <w:rPr>
          <w:rStyle w:val="a7"/>
          <w:b w:val="0"/>
          <w:color w:val="000000" w:themeColor="text1"/>
          <w:sz w:val="16"/>
          <w:szCs w:val="16"/>
        </w:rPr>
        <w:t>8</w:t>
      </w:r>
      <w:r w:rsidRPr="005E779E">
        <w:rPr>
          <w:color w:val="000000" w:themeColor="text1"/>
          <w:sz w:val="16"/>
          <w:szCs w:val="16"/>
        </w:rPr>
        <w:t>. Обязать Автострой и Котлотурбину в пятидневный срок заключить договор на проектирование и монтаж всех работ по теплофикации, паропроводам и нефтехозяйству.</w:t>
      </w:r>
    </w:p>
    <w:p w14:paraId="5D7EFA7D" w14:textId="77777777" w:rsidR="003B4AB7" w:rsidRPr="005E779E" w:rsidRDefault="003B4AB7" w:rsidP="000B7A6C">
      <w:pPr>
        <w:pStyle w:val="rtejustify"/>
        <w:spacing w:before="0" w:after="0"/>
        <w:rPr>
          <w:color w:val="000000" w:themeColor="text1"/>
          <w:sz w:val="16"/>
          <w:szCs w:val="16"/>
        </w:rPr>
      </w:pPr>
      <w:r w:rsidRPr="005E779E">
        <w:rPr>
          <w:rStyle w:val="a7"/>
          <w:b w:val="0"/>
          <w:color w:val="000000" w:themeColor="text1"/>
          <w:sz w:val="16"/>
          <w:szCs w:val="16"/>
        </w:rPr>
        <w:t>9</w:t>
      </w:r>
      <w:r w:rsidRPr="005E779E">
        <w:rPr>
          <w:color w:val="000000" w:themeColor="text1"/>
          <w:sz w:val="16"/>
          <w:szCs w:val="16"/>
        </w:rPr>
        <w:t>. Обязать Автострой, ВАТО и Союзсредмашину в десятидневный срок заключить договора на проектирование и изготовление транспортеров и земледельных устройств.</w:t>
      </w:r>
    </w:p>
    <w:p w14:paraId="6B5C7F86" w14:textId="77777777" w:rsidR="003B4AB7" w:rsidRPr="005E779E" w:rsidRDefault="003B4AB7" w:rsidP="000B7A6C">
      <w:pPr>
        <w:pStyle w:val="rtejustify"/>
        <w:spacing w:before="0" w:after="0"/>
        <w:rPr>
          <w:color w:val="000000" w:themeColor="text1"/>
          <w:sz w:val="16"/>
          <w:szCs w:val="16"/>
        </w:rPr>
      </w:pPr>
      <w:r w:rsidRPr="005E779E">
        <w:rPr>
          <w:color w:val="000000" w:themeColor="text1"/>
          <w:sz w:val="16"/>
          <w:szCs w:val="16"/>
        </w:rPr>
        <w:t>Обязать ВЭО и Союзсредмашину заключить договор на проектирование, изготовление оборудования и монтаж топливоподачи для теплоэлектроцентрали Автостроя.</w:t>
      </w:r>
    </w:p>
    <w:p w14:paraId="56952A05" w14:textId="77777777" w:rsidR="003B4AB7" w:rsidRPr="005E779E" w:rsidRDefault="003B4AB7" w:rsidP="000B7A6C">
      <w:pPr>
        <w:pStyle w:val="rtejustify"/>
        <w:spacing w:before="0" w:after="0"/>
        <w:rPr>
          <w:color w:val="000000" w:themeColor="text1"/>
          <w:sz w:val="16"/>
          <w:szCs w:val="16"/>
        </w:rPr>
      </w:pPr>
      <w:r w:rsidRPr="005E779E">
        <w:rPr>
          <w:rStyle w:val="a7"/>
          <w:b w:val="0"/>
          <w:color w:val="000000" w:themeColor="text1"/>
          <w:sz w:val="16"/>
          <w:szCs w:val="16"/>
        </w:rPr>
        <w:t>10</w:t>
      </w:r>
      <w:r w:rsidRPr="005E779E">
        <w:rPr>
          <w:color w:val="000000" w:themeColor="text1"/>
          <w:sz w:val="16"/>
          <w:szCs w:val="16"/>
        </w:rPr>
        <w:t>. В целях бесперебойного снабжения лесоматериалами Автостроя, предложить ВАТО и Союзлеспрому в пятидневный срок договориться о прикреплении для снабжения Автостроя лесопильного завода “Новая Сосна” с таким расчетом, чтобы последний удовлетворял потребность строительства Автостроя в первую очередь.</w:t>
      </w:r>
    </w:p>
    <w:p w14:paraId="3379E2DA" w14:textId="77777777" w:rsidR="003B4AB7" w:rsidRPr="005E779E" w:rsidRDefault="003B4AB7" w:rsidP="000B7A6C">
      <w:pPr>
        <w:pStyle w:val="rtejustify"/>
        <w:spacing w:before="0" w:after="0"/>
        <w:rPr>
          <w:color w:val="000000" w:themeColor="text1"/>
          <w:sz w:val="16"/>
          <w:szCs w:val="16"/>
        </w:rPr>
      </w:pPr>
      <w:r w:rsidRPr="005E779E">
        <w:rPr>
          <w:rStyle w:val="a7"/>
          <w:b w:val="0"/>
          <w:color w:val="000000" w:themeColor="text1"/>
          <w:sz w:val="16"/>
          <w:szCs w:val="16"/>
        </w:rPr>
        <w:t>11</w:t>
      </w:r>
      <w:r w:rsidRPr="005E779E">
        <w:rPr>
          <w:color w:val="000000" w:themeColor="text1"/>
          <w:sz w:val="16"/>
          <w:szCs w:val="16"/>
        </w:rPr>
        <w:t>. Обязать ВСНХ выделить достаточные фонды строительных материалов, чугунных и железных труб, фасонных частей и других материалов для специальных работ.</w:t>
      </w:r>
    </w:p>
    <w:p w14:paraId="66008149" w14:textId="77777777" w:rsidR="003B4AB7" w:rsidRPr="005E779E" w:rsidRDefault="003B4AB7" w:rsidP="000B7A6C">
      <w:pPr>
        <w:pStyle w:val="rtejustify"/>
        <w:spacing w:before="0" w:after="0"/>
        <w:rPr>
          <w:color w:val="000000" w:themeColor="text1"/>
          <w:sz w:val="16"/>
          <w:szCs w:val="16"/>
        </w:rPr>
      </w:pPr>
      <w:r w:rsidRPr="005E779E">
        <w:rPr>
          <w:rStyle w:val="a7"/>
          <w:b w:val="0"/>
          <w:color w:val="000000" w:themeColor="text1"/>
          <w:sz w:val="16"/>
          <w:szCs w:val="16"/>
        </w:rPr>
        <w:t>12</w:t>
      </w:r>
      <w:r w:rsidRPr="005E779E">
        <w:rPr>
          <w:color w:val="000000" w:themeColor="text1"/>
          <w:sz w:val="16"/>
          <w:szCs w:val="16"/>
        </w:rPr>
        <w:t>. Принимая во внимание, что узким местом как в строительстве, так и в пуске завода является неподготовленность как подъездных путей, так и внутризаводского транспорта — обязать ВСНХ обеспечить в ближайшее время снабжение путей рельсами (42 км), шпалами, скреплениями и подвижным составом.</w:t>
      </w:r>
    </w:p>
    <w:p w14:paraId="3C6CC149" w14:textId="77777777" w:rsidR="003B4AB7" w:rsidRPr="005E779E" w:rsidRDefault="003B4AB7" w:rsidP="000B7A6C">
      <w:pPr>
        <w:pStyle w:val="rtejustify"/>
        <w:spacing w:before="0" w:after="0"/>
        <w:rPr>
          <w:color w:val="000000" w:themeColor="text1"/>
          <w:sz w:val="16"/>
          <w:szCs w:val="16"/>
        </w:rPr>
      </w:pPr>
      <w:r w:rsidRPr="005E779E">
        <w:rPr>
          <w:rStyle w:val="a7"/>
          <w:b w:val="0"/>
          <w:color w:val="000000" w:themeColor="text1"/>
          <w:sz w:val="16"/>
          <w:szCs w:val="16"/>
        </w:rPr>
        <w:t>13</w:t>
      </w:r>
      <w:r w:rsidRPr="005E779E">
        <w:rPr>
          <w:color w:val="000000" w:themeColor="text1"/>
          <w:sz w:val="16"/>
          <w:szCs w:val="16"/>
        </w:rPr>
        <w:t>. Придавая особое значение своевременному изготовлению оборудования для Автостроя на заводах Союза, обязать ВСНХ привлечь к размещению заказов управляющих заводами-поставщиками. Одновременно предложить заводским партийным и профсоюзным организациям взять под особое наблюдение изготовление оборудования для Автостроя, мобилизовав на это дело ударные бригады, производственные совещания и заводскую печать.</w:t>
      </w:r>
    </w:p>
    <w:p w14:paraId="333FD959" w14:textId="77777777" w:rsidR="003B4AB7" w:rsidRPr="005E779E" w:rsidRDefault="003B4AB7" w:rsidP="000B7A6C">
      <w:pPr>
        <w:pStyle w:val="rtejustify"/>
        <w:spacing w:before="0" w:after="0"/>
        <w:rPr>
          <w:color w:val="000000" w:themeColor="text1"/>
          <w:sz w:val="16"/>
          <w:szCs w:val="16"/>
        </w:rPr>
      </w:pPr>
      <w:r w:rsidRPr="005E779E">
        <w:rPr>
          <w:rStyle w:val="a7"/>
          <w:b w:val="0"/>
          <w:color w:val="000000" w:themeColor="text1"/>
          <w:sz w:val="16"/>
          <w:szCs w:val="16"/>
        </w:rPr>
        <w:t>14</w:t>
      </w:r>
      <w:r w:rsidRPr="005E779E">
        <w:rPr>
          <w:color w:val="000000" w:themeColor="text1"/>
          <w:sz w:val="16"/>
          <w:szCs w:val="16"/>
        </w:rPr>
        <w:t>. Обязать НКПС выделить члена Коллегии ответственного за своевременную подачу вагонов под грузы Автостроя.</w:t>
      </w:r>
    </w:p>
    <w:p w14:paraId="3381FE47" w14:textId="77777777" w:rsidR="003B4AB7" w:rsidRPr="005E779E" w:rsidRDefault="003B4AB7" w:rsidP="000B7A6C">
      <w:pPr>
        <w:pStyle w:val="rtejustify"/>
        <w:spacing w:before="0" w:after="0"/>
        <w:rPr>
          <w:color w:val="000000" w:themeColor="text1"/>
          <w:sz w:val="16"/>
          <w:szCs w:val="16"/>
        </w:rPr>
      </w:pPr>
      <w:r w:rsidRPr="005E779E">
        <w:rPr>
          <w:rStyle w:val="a7"/>
          <w:b w:val="0"/>
          <w:color w:val="000000" w:themeColor="text1"/>
          <w:sz w:val="16"/>
          <w:szCs w:val="16"/>
        </w:rPr>
        <w:lastRenderedPageBreak/>
        <w:t>15</w:t>
      </w:r>
      <w:r w:rsidRPr="005E779E">
        <w:rPr>
          <w:color w:val="000000" w:themeColor="text1"/>
          <w:sz w:val="16"/>
          <w:szCs w:val="16"/>
        </w:rPr>
        <w:t>. Придавая особое значение делу своевременной подготовки производств автопромышленных полуфабрикатов и изделий, считать необходимым наметить на 31 г. следующие базы по снабжению основными материалами Нижегородского завода:</w:t>
      </w:r>
    </w:p>
    <w:p w14:paraId="1D04C68F" w14:textId="77777777" w:rsidR="003B4AB7" w:rsidRPr="005E779E" w:rsidRDefault="003B4AB7" w:rsidP="000B7A6C">
      <w:pPr>
        <w:pStyle w:val="rtejustify"/>
        <w:spacing w:before="0" w:after="0"/>
        <w:rPr>
          <w:color w:val="000000" w:themeColor="text1"/>
          <w:sz w:val="16"/>
          <w:szCs w:val="16"/>
        </w:rPr>
      </w:pPr>
      <w:r w:rsidRPr="005E779E">
        <w:rPr>
          <w:color w:val="000000" w:themeColor="text1"/>
          <w:sz w:val="16"/>
          <w:szCs w:val="16"/>
        </w:rPr>
        <w:t>а) по качественным сталям снабжение возлагается:</w:t>
      </w:r>
    </w:p>
    <w:p w14:paraId="5B420A7A" w14:textId="77777777" w:rsidR="003B4AB7" w:rsidRPr="005E779E" w:rsidRDefault="003B4A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по легированным сталям на “Красный Октябрь”,</w:t>
      </w:r>
    </w:p>
    <w:p w14:paraId="0F98E2CF" w14:textId="77777777" w:rsidR="003B4AB7" w:rsidRPr="005E779E" w:rsidRDefault="003B4A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по рессорным сталям на Златоустовский завод,</w:t>
      </w:r>
    </w:p>
    <w:p w14:paraId="7741D5AB" w14:textId="77777777" w:rsidR="003B4AB7" w:rsidRPr="005E779E" w:rsidRDefault="003B4A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по углеродистым на Мариупольский завод и “Серп и Молот”,</w:t>
      </w:r>
    </w:p>
    <w:p w14:paraId="33AF0359" w14:textId="77777777" w:rsidR="003B4AB7" w:rsidRPr="005E779E" w:rsidRDefault="003B4A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по листовой стали на Мариупольский завод и Лысьвенский;</w:t>
      </w:r>
    </w:p>
    <w:p w14:paraId="5C203B7B" w14:textId="77777777" w:rsidR="003B4AB7" w:rsidRPr="005E779E" w:rsidRDefault="003B4AB7" w:rsidP="000B7A6C">
      <w:pPr>
        <w:pStyle w:val="rtejustify"/>
        <w:spacing w:before="0" w:after="0"/>
        <w:rPr>
          <w:color w:val="000000" w:themeColor="text1"/>
          <w:sz w:val="16"/>
          <w:szCs w:val="16"/>
        </w:rPr>
      </w:pPr>
      <w:r w:rsidRPr="005E779E">
        <w:rPr>
          <w:color w:val="000000" w:themeColor="text1"/>
          <w:sz w:val="16"/>
          <w:szCs w:val="16"/>
        </w:rPr>
        <w:t>б) по болтозаклепочным изделиям — на завод "Красная Этна" в Н. Новгороде;</w:t>
      </w:r>
    </w:p>
    <w:p w14:paraId="5B96C8D4" w14:textId="77777777" w:rsidR="003B4AB7" w:rsidRPr="005E779E" w:rsidRDefault="003B4AB7" w:rsidP="000B7A6C">
      <w:pPr>
        <w:pStyle w:val="rtejustify"/>
        <w:spacing w:before="0" w:after="0"/>
        <w:rPr>
          <w:color w:val="000000" w:themeColor="text1"/>
          <w:sz w:val="16"/>
          <w:szCs w:val="16"/>
        </w:rPr>
      </w:pPr>
      <w:r w:rsidRPr="005E779E">
        <w:rPr>
          <w:color w:val="000000" w:themeColor="text1"/>
          <w:sz w:val="16"/>
          <w:szCs w:val="16"/>
        </w:rPr>
        <w:t>в) по шинам — на заводы Резинообъединения;</w:t>
      </w:r>
    </w:p>
    <w:p w14:paraId="42A3637A" w14:textId="77777777" w:rsidR="003B4AB7" w:rsidRPr="005E779E" w:rsidRDefault="003B4AB7" w:rsidP="000B7A6C">
      <w:pPr>
        <w:pStyle w:val="rtejustify"/>
        <w:spacing w:before="0" w:after="0"/>
        <w:rPr>
          <w:color w:val="000000" w:themeColor="text1"/>
          <w:sz w:val="16"/>
          <w:szCs w:val="16"/>
        </w:rPr>
      </w:pPr>
      <w:r w:rsidRPr="005E779E">
        <w:rPr>
          <w:color w:val="000000" w:themeColor="text1"/>
          <w:sz w:val="16"/>
          <w:szCs w:val="16"/>
        </w:rPr>
        <w:t>г) по тормозной ленте и асбестовым изделиям — на заводы Резинообъединения;</w:t>
      </w:r>
    </w:p>
    <w:p w14:paraId="112C1FD5" w14:textId="77777777" w:rsidR="003B4AB7" w:rsidRPr="005E779E" w:rsidRDefault="003B4AB7" w:rsidP="000B7A6C">
      <w:pPr>
        <w:pStyle w:val="rtejustify"/>
        <w:spacing w:before="0" w:after="0"/>
        <w:rPr>
          <w:color w:val="000000" w:themeColor="text1"/>
          <w:sz w:val="16"/>
          <w:szCs w:val="16"/>
        </w:rPr>
      </w:pPr>
      <w:r w:rsidRPr="005E779E">
        <w:rPr>
          <w:color w:val="000000" w:themeColor="text1"/>
          <w:sz w:val="16"/>
          <w:szCs w:val="16"/>
        </w:rPr>
        <w:t>д) по фарам, фонарям — на завод “Красный Октябрь” в Киржаче;</w:t>
      </w:r>
    </w:p>
    <w:p w14:paraId="64CDE00E" w14:textId="77777777" w:rsidR="003B4AB7" w:rsidRPr="005E779E" w:rsidRDefault="003B4AB7" w:rsidP="000B7A6C">
      <w:pPr>
        <w:pStyle w:val="rtejustify"/>
        <w:spacing w:before="0" w:after="0"/>
        <w:rPr>
          <w:color w:val="000000" w:themeColor="text1"/>
          <w:sz w:val="16"/>
          <w:szCs w:val="16"/>
        </w:rPr>
      </w:pPr>
      <w:r w:rsidRPr="005E779E">
        <w:rPr>
          <w:color w:val="000000" w:themeColor="text1"/>
          <w:sz w:val="16"/>
          <w:szCs w:val="16"/>
        </w:rPr>
        <w:t>е) по фибре — на Кинешемскую фабрику “Союзбумаги”.</w:t>
      </w:r>
    </w:p>
    <w:p w14:paraId="49196356" w14:textId="77777777" w:rsidR="003B4AB7" w:rsidRPr="005E779E" w:rsidRDefault="003B4AB7" w:rsidP="000B7A6C">
      <w:pPr>
        <w:pStyle w:val="rtejustify"/>
        <w:spacing w:before="0" w:after="0"/>
        <w:rPr>
          <w:color w:val="000000" w:themeColor="text1"/>
          <w:sz w:val="16"/>
          <w:szCs w:val="16"/>
        </w:rPr>
      </w:pPr>
      <w:r w:rsidRPr="005E779E">
        <w:rPr>
          <w:color w:val="000000" w:themeColor="text1"/>
          <w:sz w:val="16"/>
          <w:szCs w:val="16"/>
        </w:rPr>
        <w:t>Предложить ВСНХ при разработке плана развития на 1932 и 1933 г. производств, обслуживающих автотракторную промышленность, окончательно уточнить базы снабжения Нижегородского завода.</w:t>
      </w:r>
    </w:p>
    <w:p w14:paraId="6E04A372" w14:textId="77777777" w:rsidR="003B4AB7" w:rsidRPr="005E779E" w:rsidRDefault="003B4AB7" w:rsidP="000B7A6C">
      <w:pPr>
        <w:pStyle w:val="rtejustify"/>
        <w:spacing w:before="0" w:after="0"/>
        <w:rPr>
          <w:color w:val="000000" w:themeColor="text1"/>
          <w:sz w:val="16"/>
          <w:szCs w:val="16"/>
        </w:rPr>
      </w:pPr>
      <w:r w:rsidRPr="005E779E">
        <w:rPr>
          <w:rStyle w:val="a7"/>
          <w:b w:val="0"/>
          <w:color w:val="000000" w:themeColor="text1"/>
          <w:sz w:val="16"/>
          <w:szCs w:val="16"/>
        </w:rPr>
        <w:t>16</w:t>
      </w:r>
      <w:r w:rsidRPr="005E779E">
        <w:rPr>
          <w:color w:val="000000" w:themeColor="text1"/>
          <w:sz w:val="16"/>
          <w:szCs w:val="16"/>
        </w:rPr>
        <w:t>. Обязать ВАТО немедленно приступить к размещению заказов на материалы и полуфабрикаты для всей автотракторной промышленности на основе постановления Президиума ВСНХ от 23 января, утвержденного Политбюро 15 февраля 1931 г.</w:t>
      </w:r>
    </w:p>
    <w:p w14:paraId="42FF3803" w14:textId="77777777" w:rsidR="003B4AB7" w:rsidRPr="005E779E" w:rsidRDefault="003B4AB7" w:rsidP="000B7A6C">
      <w:pPr>
        <w:pStyle w:val="rtejustify"/>
        <w:spacing w:before="0" w:after="0"/>
        <w:rPr>
          <w:color w:val="000000" w:themeColor="text1"/>
          <w:sz w:val="16"/>
          <w:szCs w:val="16"/>
        </w:rPr>
      </w:pPr>
      <w:r w:rsidRPr="005E779E">
        <w:rPr>
          <w:rStyle w:val="a7"/>
          <w:b w:val="0"/>
          <w:color w:val="000000" w:themeColor="text1"/>
          <w:sz w:val="16"/>
          <w:szCs w:val="16"/>
        </w:rPr>
        <w:t>17</w:t>
      </w:r>
      <w:r w:rsidRPr="005E779E">
        <w:rPr>
          <w:color w:val="000000" w:themeColor="text1"/>
          <w:sz w:val="16"/>
          <w:szCs w:val="16"/>
        </w:rPr>
        <w:t>. Обязать ВСНХ обеспечить в 1931 г. необходимыми финансовыми и материальными средствами строительство и реконструкцию всех заводов, являющихся базами снабжения Нижегородского завода, приравняв их к ударным стройкам.</w:t>
      </w:r>
    </w:p>
    <w:p w14:paraId="54149EA2" w14:textId="77777777" w:rsidR="003B4AB7" w:rsidRPr="005E779E" w:rsidRDefault="003B4AB7" w:rsidP="000B7A6C">
      <w:pPr>
        <w:pStyle w:val="rtejustify"/>
        <w:spacing w:before="0" w:after="0"/>
        <w:rPr>
          <w:color w:val="000000" w:themeColor="text1"/>
          <w:sz w:val="16"/>
          <w:szCs w:val="16"/>
        </w:rPr>
      </w:pPr>
      <w:r w:rsidRPr="005E779E">
        <w:rPr>
          <w:rStyle w:val="a7"/>
          <w:b w:val="0"/>
          <w:color w:val="000000" w:themeColor="text1"/>
          <w:sz w:val="16"/>
          <w:szCs w:val="16"/>
        </w:rPr>
        <w:t>18</w:t>
      </w:r>
      <w:r w:rsidRPr="005E779E">
        <w:rPr>
          <w:color w:val="000000" w:themeColor="text1"/>
          <w:sz w:val="16"/>
          <w:szCs w:val="16"/>
        </w:rPr>
        <w:t>. Обязать ВСНХ и НКТруд принять немедленные меры к укомплектованию Нижегородского завода инструкторскими кадрами в количестве 1080 человек с тем, чтобы к пуску завода эти кадры находились уже на заводе.</w:t>
      </w:r>
    </w:p>
    <w:p w14:paraId="36169AFF" w14:textId="77777777" w:rsidR="003B4AB7" w:rsidRPr="005E779E" w:rsidRDefault="003B4AB7" w:rsidP="000B7A6C">
      <w:pPr>
        <w:pStyle w:val="rtejustify"/>
        <w:spacing w:before="0" w:after="0"/>
        <w:rPr>
          <w:color w:val="000000" w:themeColor="text1"/>
          <w:sz w:val="16"/>
          <w:szCs w:val="16"/>
        </w:rPr>
      </w:pPr>
      <w:r w:rsidRPr="005E779E">
        <w:rPr>
          <w:rStyle w:val="a7"/>
          <w:b w:val="0"/>
          <w:color w:val="000000" w:themeColor="text1"/>
          <w:sz w:val="16"/>
          <w:szCs w:val="16"/>
        </w:rPr>
        <w:t>19</w:t>
      </w:r>
      <w:r w:rsidRPr="005E779E">
        <w:rPr>
          <w:color w:val="000000" w:themeColor="text1"/>
          <w:sz w:val="16"/>
          <w:szCs w:val="16"/>
        </w:rPr>
        <w:t>. Предложить ВСНХ отобрать и пригласить 500 человек иностранных квалифицированных рабочих и мастеров.</w:t>
      </w:r>
    </w:p>
    <w:p w14:paraId="1C4502EE" w14:textId="77777777" w:rsidR="003B4AB7" w:rsidRPr="005E779E" w:rsidRDefault="003B4AB7" w:rsidP="000B7A6C">
      <w:pPr>
        <w:pStyle w:val="rtejustify"/>
        <w:spacing w:before="0" w:after="0"/>
        <w:rPr>
          <w:color w:val="000000" w:themeColor="text1"/>
          <w:sz w:val="16"/>
          <w:szCs w:val="16"/>
        </w:rPr>
      </w:pPr>
      <w:r w:rsidRPr="005E779E">
        <w:rPr>
          <w:rStyle w:val="a7"/>
          <w:b w:val="0"/>
          <w:color w:val="000000" w:themeColor="text1"/>
          <w:sz w:val="16"/>
          <w:szCs w:val="16"/>
        </w:rPr>
        <w:t>20</w:t>
      </w:r>
      <w:r w:rsidRPr="005E779E">
        <w:rPr>
          <w:color w:val="000000" w:themeColor="text1"/>
          <w:sz w:val="16"/>
          <w:szCs w:val="16"/>
        </w:rPr>
        <w:t>. Обязать ВСНХ командировать заграницу для изучения производства в течение 1931 г. 100 человек инженеров, мастеров и квалифицированных рабочих.</w:t>
      </w:r>
    </w:p>
    <w:p w14:paraId="1E8E1338" w14:textId="77777777" w:rsidR="003B4AB7" w:rsidRPr="005E779E" w:rsidRDefault="003B4AB7" w:rsidP="000B7A6C">
      <w:pPr>
        <w:pStyle w:val="rtejustify"/>
        <w:spacing w:before="0" w:after="0"/>
        <w:rPr>
          <w:color w:val="000000" w:themeColor="text1"/>
          <w:sz w:val="16"/>
          <w:szCs w:val="16"/>
        </w:rPr>
      </w:pPr>
      <w:r w:rsidRPr="005E779E">
        <w:rPr>
          <w:rStyle w:val="a7"/>
          <w:b w:val="0"/>
          <w:color w:val="000000" w:themeColor="text1"/>
          <w:sz w:val="16"/>
          <w:szCs w:val="16"/>
        </w:rPr>
        <w:t>21</w:t>
      </w:r>
      <w:r w:rsidRPr="005E779E">
        <w:rPr>
          <w:color w:val="000000" w:themeColor="text1"/>
          <w:sz w:val="16"/>
          <w:szCs w:val="16"/>
        </w:rPr>
        <w:t>. Обязать ВСНХ мобилизовать для Нижегородского Автозавода в двухдекадный срок 25 человек высококвалифицированных инженеров и 10 чел. инженерно-технического персонала для строительства.</w:t>
      </w:r>
    </w:p>
    <w:p w14:paraId="4B840C02" w14:textId="77777777" w:rsidR="003B4AB7" w:rsidRPr="005E779E" w:rsidRDefault="003B4AB7" w:rsidP="000B7A6C">
      <w:pPr>
        <w:pStyle w:val="rtejustify"/>
        <w:spacing w:before="0" w:after="0"/>
        <w:rPr>
          <w:color w:val="000000" w:themeColor="text1"/>
          <w:sz w:val="16"/>
          <w:szCs w:val="16"/>
        </w:rPr>
      </w:pPr>
      <w:r w:rsidRPr="005E779E">
        <w:rPr>
          <w:rStyle w:val="a7"/>
          <w:b w:val="0"/>
          <w:color w:val="000000" w:themeColor="text1"/>
          <w:sz w:val="16"/>
          <w:szCs w:val="16"/>
        </w:rPr>
        <w:t>22</w:t>
      </w:r>
      <w:r w:rsidRPr="005E779E">
        <w:rPr>
          <w:color w:val="000000" w:themeColor="text1"/>
          <w:sz w:val="16"/>
          <w:szCs w:val="16"/>
        </w:rPr>
        <w:t>. Обязать ВАТО обеспечить подготовку необходимых для пуска завода 6000 рабочих (2</w:t>
      </w:r>
      <w:r w:rsidRPr="005E779E">
        <w:rPr>
          <w:color w:val="000000" w:themeColor="text1"/>
          <w:sz w:val="16"/>
          <w:szCs w:val="16"/>
        </w:rPr>
        <w:noBreakHyphen/>
        <w:t>4 разряда) как на своих базах, так и в районных школах.</w:t>
      </w:r>
    </w:p>
    <w:p w14:paraId="23CD7934" w14:textId="77777777" w:rsidR="003B4AB7" w:rsidRPr="005E779E" w:rsidRDefault="003B4AB7" w:rsidP="000B7A6C">
      <w:pPr>
        <w:pStyle w:val="rtejustify"/>
        <w:spacing w:before="0" w:after="0"/>
        <w:rPr>
          <w:color w:val="000000" w:themeColor="text1"/>
          <w:sz w:val="16"/>
          <w:szCs w:val="16"/>
        </w:rPr>
      </w:pPr>
      <w:r w:rsidRPr="005E779E">
        <w:rPr>
          <w:rStyle w:val="a7"/>
          <w:b w:val="0"/>
          <w:color w:val="000000" w:themeColor="text1"/>
          <w:sz w:val="16"/>
          <w:szCs w:val="16"/>
        </w:rPr>
        <w:t>23</w:t>
      </w:r>
      <w:r w:rsidRPr="005E779E">
        <w:rPr>
          <w:color w:val="000000" w:themeColor="text1"/>
          <w:sz w:val="16"/>
          <w:szCs w:val="16"/>
        </w:rPr>
        <w:t>. Поручить Отделу Кадров ЦК ВКП(б) совместно с ВСНХ внести в Секретариат ЦК в двухдекадный срок предложения по укомплектованию Автозавода необходимым количеством руководящего хозяйственного состава (директоров отделов, начальников цехов и т. д.).</w:t>
      </w:r>
    </w:p>
    <w:p w14:paraId="1CAF7684" w14:textId="77777777" w:rsidR="003B4AB7" w:rsidRPr="005E779E" w:rsidRDefault="003B4AB7" w:rsidP="000B7A6C">
      <w:pPr>
        <w:pStyle w:val="rtejustify"/>
        <w:spacing w:before="0" w:after="0"/>
        <w:rPr>
          <w:color w:val="000000" w:themeColor="text1"/>
          <w:sz w:val="16"/>
          <w:szCs w:val="16"/>
        </w:rPr>
      </w:pPr>
      <w:r w:rsidRPr="005E779E">
        <w:rPr>
          <w:rStyle w:val="a7"/>
          <w:b w:val="0"/>
          <w:color w:val="000000" w:themeColor="text1"/>
          <w:sz w:val="16"/>
          <w:szCs w:val="16"/>
        </w:rPr>
        <w:t>24</w:t>
      </w:r>
      <w:r w:rsidRPr="005E779E">
        <w:rPr>
          <w:color w:val="000000" w:themeColor="text1"/>
          <w:sz w:val="16"/>
          <w:szCs w:val="16"/>
        </w:rPr>
        <w:t>. Предложить партийным и профсоюзным организациям Нижегородского края и Автозавода принять все необходимые меры к осуществлению строительства в установленные сроки. Необходимо обеспечить самое активное участие рабочих масс как в разработке, так и в выполнении всех строительных планов, для чего на строительстве должна быть развернута массовая работа по внедрению новых форм социалистического труда, по широкому развертыванию ударничества и социалистического соревнования.</w:t>
      </w:r>
    </w:p>
    <w:p w14:paraId="12626964" w14:textId="77777777" w:rsidR="003B4AB7" w:rsidRPr="005E779E" w:rsidRDefault="003B4AB7" w:rsidP="000B7A6C">
      <w:pPr>
        <w:pStyle w:val="rtejustify"/>
        <w:spacing w:before="0" w:after="0"/>
        <w:rPr>
          <w:color w:val="000000" w:themeColor="text1"/>
          <w:sz w:val="16"/>
          <w:szCs w:val="16"/>
        </w:rPr>
      </w:pPr>
      <w:r w:rsidRPr="005E779E">
        <w:rPr>
          <w:color w:val="000000" w:themeColor="text1"/>
          <w:sz w:val="16"/>
          <w:szCs w:val="16"/>
        </w:rPr>
        <w:t>Партийным, профессиональным и хозяйственным организациям обратить особое внимание на культурно-бытовое обслуживание рабочих (17112).</w:t>
      </w:r>
    </w:p>
    <w:p w14:paraId="6471E716" w14:textId="77777777" w:rsidR="003B4AB7" w:rsidRPr="005E779E" w:rsidRDefault="003B4AB7" w:rsidP="000B7A6C">
      <w:pPr>
        <w:shd w:val="clear" w:color="auto" w:fill="FFFFFF"/>
        <w:spacing w:after="0" w:line="240" w:lineRule="auto"/>
        <w:jc w:val="both"/>
        <w:rPr>
          <w:rFonts w:ascii="Times New Roman" w:hAnsi="Times New Roman"/>
          <w:color w:val="000000" w:themeColor="text1"/>
          <w:sz w:val="16"/>
          <w:szCs w:val="16"/>
        </w:rPr>
      </w:pPr>
    </w:p>
    <w:p w14:paraId="00BB14F5"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241FA5F1"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6519A99" w14:textId="77777777" w:rsidR="000B1FE7" w:rsidRPr="005E779E" w:rsidRDefault="000B1FE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shd w:val="clear" w:color="auto" w:fill="FFFFFF"/>
        </w:rPr>
        <w:t>20 февраля 1931 Сталин счел необходимым уточнить программу применительно к Арктике. Дополнить новую тактику закрепления за Советским Союзом его полярных областей третьей — после вопросов авиации и дирижаблестроения — составляющей. Направил в Политбюро инициативную записку «Об охране северного побережья»49. В ней учел явную неспособность Ледовитого океана оставаться при современном уровне развития техники непреодолимой преградой для потенциального врага. Предложил сразу же по завершении строительства Беломоро-Балтийского канала использовать его для перевода некоторого числа кораблей из Балтики в Баренцево море. Остающееся же время даром не терять. Найти в Кольском заливе, неподалеку от Мурманска, связанного железной дорогой с крупнейшими промышленными центрами страны, место для военно-морской базы и начать ее строительство (20467).</w:t>
      </w:r>
    </w:p>
    <w:p w14:paraId="33A4C9E8" w14:textId="77777777" w:rsidR="000B1FE7" w:rsidRPr="005E779E" w:rsidRDefault="000B1FE7" w:rsidP="000B7A6C">
      <w:pPr>
        <w:spacing w:after="0" w:line="240" w:lineRule="auto"/>
        <w:jc w:val="both"/>
        <w:rPr>
          <w:rFonts w:ascii="Times New Roman" w:hAnsi="Times New Roman"/>
          <w:color w:val="000000" w:themeColor="text1"/>
          <w:sz w:val="16"/>
          <w:szCs w:val="16"/>
        </w:rPr>
      </w:pPr>
    </w:p>
    <w:p w14:paraId="53E29987" w14:textId="77777777" w:rsidR="000B1FE7" w:rsidRPr="005E779E" w:rsidRDefault="000B1FE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февраля 1931 г. появилось новое постановление ВЦИК и СНК о товарищеских судах и их борьбе с нарушениями трудовой дисциплины и пережитками старого быта (пьянством, озорством, хулиганством и пр.). Предусматривались меры воздействия: предупреждение, общественное порицание с опубликованием в заводской печати, штраф не свыше 10 руб., возбуждение вопроса об увольнении, исключение из профсоюза. Товарищеские суды должны были создаваться из лучших рабочих-ударников (21332).</w:t>
      </w:r>
    </w:p>
    <w:p w14:paraId="3728BE7D" w14:textId="77777777" w:rsidR="000B1FE7" w:rsidRPr="005E779E" w:rsidRDefault="000B1FE7" w:rsidP="000B7A6C">
      <w:pPr>
        <w:spacing w:after="0" w:line="240" w:lineRule="auto"/>
        <w:jc w:val="both"/>
        <w:rPr>
          <w:rFonts w:ascii="Times New Roman" w:hAnsi="Times New Roman"/>
          <w:color w:val="000000" w:themeColor="text1"/>
          <w:sz w:val="16"/>
          <w:szCs w:val="16"/>
        </w:rPr>
      </w:pPr>
    </w:p>
    <w:p w14:paraId="6D2DC5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20 февраля и 5 марта 1931. Из протокола заседания Политбюро № 27, 1931 г.</w:t>
      </w:r>
    </w:p>
    <w:p w14:paraId="0FEF3E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 хозяйстве Москвы </w:t>
      </w:r>
    </w:p>
    <w:p w14:paraId="683A41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 Предложить бюро МК и президиуму Мособлисполкома в полуторамесячный срок представить в Политбюро свои предложения относительно улучшения хозяйства Москвы в целом. </w:t>
      </w:r>
    </w:p>
    <w:p w14:paraId="1DE224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Признать необходимым выделение Москвы в самостоятельную административно-хозяйственную единицу с собственным бюджетом и провести соответствующее решение через Московский Совет и Московский областной съезд (11652).</w:t>
      </w:r>
    </w:p>
    <w:p w14:paraId="078EBB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9BC0C19" w14:textId="77777777" w:rsidR="00F202BC" w:rsidRPr="005E779E" w:rsidRDefault="00F202B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февраля 1931 г. Политбюро приняло решение направить соответствующую резолюцию в Моссовет и заседавшему в Москве второму съезду областных советов{303},[30]что и было сделано три дня спустя{304}. 24 февраля последовало аналогичное постановление областного комитета партии о парторганизации{305}по метро (18299).</w:t>
      </w:r>
    </w:p>
    <w:p w14:paraId="0E28D275" w14:textId="77777777" w:rsidR="00F202BC" w:rsidRPr="005E779E" w:rsidRDefault="00F202BC" w:rsidP="000B7A6C">
      <w:pPr>
        <w:spacing w:after="0" w:line="240" w:lineRule="auto"/>
        <w:jc w:val="both"/>
        <w:rPr>
          <w:rFonts w:ascii="Times New Roman" w:hAnsi="Times New Roman"/>
          <w:color w:val="000000" w:themeColor="text1"/>
          <w:sz w:val="16"/>
          <w:szCs w:val="16"/>
        </w:rPr>
      </w:pPr>
    </w:p>
    <w:p w14:paraId="4F1E8EE5" w14:textId="77777777" w:rsidR="00F202BC" w:rsidRPr="005E779E" w:rsidRDefault="00F202B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февраля 1931 г. Политбюро отдало распоряжение Бюро МК и Моссовету в течение двух недель представить свои предложения по улучшению московского хозяйства{310}.Комиссия во главе с Булганиным и Кагановичем подготовила обширный перечень практических мероприятий, который 3 мая 1931 г. был обсужден и с некоторыми изменениями принят на совместном заседании Бюро МК и МГК. По поводу городского транспорта в перечне отмечалось, среди прочего, что предстоит установить «электрическое быстроходное сообщение во вновь осваиваемых промышленным и жилищным строительством районах путем использования и соответствующего приспособления существующих кольцевых и соединительных железнодорожных веток». Следует просить Центральный комитет обязать Наркомат путей сообщения совместно с горисполкомом представить до конца 1931 г. проект сети городских электрифицированных железных дорог. При этом необходимо предусмотреть линию, которая могла бы разрешить транспортную проблему на Каланчевской пл. путем соединения оканчивающихся там железнодорожных линий с Курской и Нижегородской железными дорогами. Помимо этого городские власти должны обсудить с Наркоматом путей сообщения вопрос об организации пассажирского движения по Московской окружной железной дороге{311} (18299).</w:t>
      </w:r>
    </w:p>
    <w:p w14:paraId="625CD077" w14:textId="77777777" w:rsidR="00F202BC" w:rsidRPr="005E779E" w:rsidRDefault="00F202BC" w:rsidP="000B7A6C">
      <w:pPr>
        <w:spacing w:after="0" w:line="240" w:lineRule="auto"/>
        <w:jc w:val="both"/>
        <w:rPr>
          <w:rFonts w:ascii="Times New Roman" w:hAnsi="Times New Roman"/>
          <w:color w:val="000000" w:themeColor="text1"/>
          <w:sz w:val="16"/>
          <w:szCs w:val="16"/>
        </w:rPr>
      </w:pPr>
    </w:p>
    <w:p w14:paraId="1DB646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20 февраля и 5 марта 1931. Из протокола заседания Политбюро № 27, 1931 г.</w:t>
      </w:r>
    </w:p>
    <w:p w14:paraId="74CC39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 поездке за границу для лечения</w:t>
      </w:r>
    </w:p>
    <w:p w14:paraId="59CBCA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Ввиду необходимости максимально беречь валюту и ввиду того, что ответственные товарищи нередко и без нужды уезжают за границу полечиться, несмотря на то что они могли бы поправить здоровье в СССР, ЦК постановляет: </w:t>
      </w:r>
    </w:p>
    <w:p w14:paraId="7A256C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 Отпускать ответственных работников за границу для лечения лишь в случае крайней необходимости и лишь при наличии проверки медицинских данных о том, что они не могут обойтись без заграничного лечения. </w:t>
      </w:r>
    </w:p>
    <w:p w14:paraId="08BC1F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 Выдавать уезжающим за границу для лечения товарищам необходимые деньги с строжайшим соблюдением нормы. </w:t>
      </w:r>
    </w:p>
    <w:p w14:paraId="341FD5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Безусловно воспретить органам НКВнешторга и НКИД за границей выдачу дополнительных сумм уезжающим за границу для лечения товарищам без санкции ЦК (11652).</w:t>
      </w:r>
    </w:p>
    <w:p w14:paraId="445901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5965754" w14:textId="77777777" w:rsidR="00F202BC" w:rsidRPr="005E779E" w:rsidRDefault="00F202BC"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Внешняя политика:</w:t>
      </w:r>
    </w:p>
    <w:p w14:paraId="13A105BD" w14:textId="77777777" w:rsidR="00F202BC" w:rsidRPr="005E779E" w:rsidRDefault="00F202BC"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365DD6F" w14:textId="77777777" w:rsidR="00F202BC" w:rsidRPr="005E779E" w:rsidRDefault="00F202BC"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20 февраля 1931 г.</w:t>
      </w:r>
    </w:p>
    <w:p w14:paraId="15ECA087" w14:textId="77777777" w:rsidR="00F202BC" w:rsidRPr="005E779E" w:rsidRDefault="00F202BC"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Указания отдела печати НКИД СССР Д. Г. Штерну по поводу брошюры Вейнберга и реакции на «антисоветские выступления» в германской прессе. 20 февраля 1931 г.</w:t>
      </w:r>
    </w:p>
    <w:p w14:paraId="31D70D2C" w14:textId="77777777" w:rsidR="00F202BC" w:rsidRPr="005E779E" w:rsidRDefault="00F202BC"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Источник: </w:t>
      </w:r>
    </w:p>
    <w:p w14:paraId="22211851" w14:textId="77777777" w:rsidR="00F202BC" w:rsidRPr="005E779E" w:rsidRDefault="00F202B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AAEB244" w14:textId="77777777" w:rsidR="00F202BC" w:rsidRPr="005E779E" w:rsidRDefault="00F202BC" w:rsidP="000B7A6C">
      <w:pPr>
        <w:pStyle w:val="rteright"/>
        <w:spacing w:before="0" w:after="0"/>
        <w:jc w:val="both"/>
        <w:rPr>
          <w:color w:val="000000" w:themeColor="text1"/>
          <w:sz w:val="16"/>
          <w:szCs w:val="16"/>
        </w:rPr>
      </w:pPr>
      <w:r w:rsidRPr="005E779E">
        <w:rPr>
          <w:color w:val="000000" w:themeColor="text1"/>
          <w:sz w:val="16"/>
          <w:szCs w:val="16"/>
        </w:rPr>
        <w:t>20 февраля 1931 г.</w:t>
      </w:r>
    </w:p>
    <w:p w14:paraId="4AF9C88C" w14:textId="77777777" w:rsidR="00F202BC" w:rsidRPr="005E779E" w:rsidRDefault="00F202BC" w:rsidP="000B7A6C">
      <w:pPr>
        <w:pStyle w:val="rteright"/>
        <w:spacing w:before="0" w:after="0"/>
        <w:jc w:val="both"/>
        <w:rPr>
          <w:color w:val="000000" w:themeColor="text1"/>
          <w:sz w:val="16"/>
          <w:szCs w:val="16"/>
        </w:rPr>
      </w:pPr>
      <w:r w:rsidRPr="005E779E">
        <w:rPr>
          <w:color w:val="000000" w:themeColor="text1"/>
          <w:sz w:val="16"/>
          <w:szCs w:val="16"/>
        </w:rPr>
        <w:t>Секретно</w:t>
      </w:r>
    </w:p>
    <w:p w14:paraId="6B8F87A3" w14:textId="77777777" w:rsidR="00F202BC" w:rsidRPr="005E779E" w:rsidRDefault="00F202BC" w:rsidP="000B7A6C">
      <w:pPr>
        <w:pStyle w:val="ae"/>
        <w:spacing w:before="0" w:after="0"/>
        <w:jc w:val="both"/>
        <w:rPr>
          <w:color w:val="000000" w:themeColor="text1"/>
          <w:sz w:val="16"/>
          <w:szCs w:val="16"/>
        </w:rPr>
      </w:pPr>
      <w:r w:rsidRPr="005E779E">
        <w:rPr>
          <w:color w:val="000000" w:themeColor="text1"/>
          <w:sz w:val="16"/>
          <w:szCs w:val="16"/>
        </w:rPr>
        <w:t>Отдел Печати НКИД</w:t>
      </w:r>
    </w:p>
    <w:p w14:paraId="7C535DD0" w14:textId="77777777" w:rsidR="00F202BC" w:rsidRPr="005E779E" w:rsidRDefault="00F202BC" w:rsidP="000B7A6C">
      <w:pPr>
        <w:pStyle w:val="ae"/>
        <w:spacing w:before="0" w:after="0"/>
        <w:jc w:val="both"/>
        <w:rPr>
          <w:color w:val="000000" w:themeColor="text1"/>
          <w:sz w:val="16"/>
          <w:szCs w:val="16"/>
        </w:rPr>
      </w:pPr>
      <w:r w:rsidRPr="005E779E">
        <w:rPr>
          <w:color w:val="000000" w:themeColor="text1"/>
          <w:sz w:val="16"/>
          <w:szCs w:val="16"/>
        </w:rPr>
        <w:t>20.11.31 года.</w:t>
      </w:r>
    </w:p>
    <w:p w14:paraId="25430075" w14:textId="77777777" w:rsidR="00F202BC" w:rsidRPr="005E779E" w:rsidRDefault="00F202BC" w:rsidP="000B7A6C">
      <w:pPr>
        <w:pStyle w:val="ae"/>
        <w:spacing w:before="0" w:after="0"/>
        <w:jc w:val="both"/>
        <w:rPr>
          <w:color w:val="000000" w:themeColor="text1"/>
          <w:sz w:val="16"/>
          <w:szCs w:val="16"/>
        </w:rPr>
      </w:pPr>
      <w:r w:rsidRPr="005E779E">
        <w:rPr>
          <w:color w:val="000000" w:themeColor="text1"/>
          <w:sz w:val="16"/>
          <w:szCs w:val="16"/>
        </w:rPr>
        <w:t>№ 27087</w:t>
      </w:r>
    </w:p>
    <w:p w14:paraId="167540C7" w14:textId="77777777" w:rsidR="00F202BC" w:rsidRPr="005E779E" w:rsidRDefault="00F202BC" w:rsidP="000B7A6C">
      <w:pPr>
        <w:pStyle w:val="ae"/>
        <w:spacing w:before="0" w:after="0"/>
        <w:jc w:val="both"/>
        <w:rPr>
          <w:color w:val="000000" w:themeColor="text1"/>
          <w:sz w:val="16"/>
          <w:szCs w:val="16"/>
        </w:rPr>
      </w:pPr>
      <w:r w:rsidRPr="005E779E">
        <w:rPr>
          <w:color w:val="000000" w:themeColor="text1"/>
          <w:sz w:val="16"/>
          <w:szCs w:val="16"/>
        </w:rPr>
        <w:t>Тов. Штерну</w:t>
      </w:r>
    </w:p>
    <w:p w14:paraId="2B42D595" w14:textId="77777777" w:rsidR="00F202BC" w:rsidRPr="005E779E" w:rsidRDefault="00F202BC" w:rsidP="000B7A6C">
      <w:pPr>
        <w:pStyle w:val="ae"/>
        <w:spacing w:before="0" w:after="0"/>
        <w:jc w:val="both"/>
        <w:rPr>
          <w:color w:val="000000" w:themeColor="text1"/>
          <w:sz w:val="16"/>
          <w:szCs w:val="16"/>
        </w:rPr>
      </w:pPr>
      <w:r w:rsidRPr="005E779E">
        <w:rPr>
          <w:color w:val="000000" w:themeColor="text1"/>
          <w:sz w:val="16"/>
          <w:szCs w:val="16"/>
        </w:rPr>
        <w:t>Берлин</w:t>
      </w:r>
    </w:p>
    <w:p w14:paraId="3E086CF3" w14:textId="0D264425" w:rsidR="00F202BC" w:rsidRPr="005E779E" w:rsidRDefault="00F202BC" w:rsidP="000B7A6C">
      <w:pPr>
        <w:pStyle w:val="rtejustify"/>
        <w:spacing w:before="0" w:after="0"/>
        <w:rPr>
          <w:color w:val="000000" w:themeColor="text1"/>
          <w:sz w:val="16"/>
          <w:szCs w:val="16"/>
        </w:rPr>
      </w:pPr>
      <w:r w:rsidRPr="005E779E">
        <w:rPr>
          <w:color w:val="000000" w:themeColor="text1"/>
          <w:sz w:val="16"/>
          <w:szCs w:val="16"/>
        </w:rPr>
        <w:t>1)</w:t>
      </w:r>
      <w:r w:rsidR="00FE094E">
        <w:rPr>
          <w:color w:val="000000" w:themeColor="text1"/>
          <w:sz w:val="16"/>
          <w:szCs w:val="16"/>
        </w:rPr>
        <w:t xml:space="preserve"> </w:t>
      </w:r>
      <w:r w:rsidRPr="005E779E">
        <w:rPr>
          <w:color w:val="000000" w:themeColor="text1"/>
          <w:sz w:val="16"/>
          <w:szCs w:val="16"/>
        </w:rPr>
        <w:t xml:space="preserve"> После ознакомления с брошюрой Вайнберга, можем Вам сообщить следующее наше мнение о ней. Содержание ее, действительно, в общем приемлемо. Но брошюра имеет один кардинальный недостаток, на который и Вы сами обратили внимание. Это — то обстоятельство, что максимально 20 % брошюры посвящено процессу. Мы в свое время предупреждали, что нам известно намерение Вайнберга в своей брошюре говорить не столько о процессе, сколько о С.С.С.Р. и что мы считаем такой подход неправильным и нецелесообразным. Совершенно необходимо, чтобы Вайнберг последнюю часть брошюры расширил и дополнил так, чтобы по меньшей мере половина брошюры была посвящена процессу. Тогда получится, что все сказанное о СССР вообще, есть как бы необходимый законный орнамент брошюры о процессе. В настоящем же виде получается брошюра об СССР[,] в которой, между прочим, говорится и о процессе. Такого впечатления надо избегнуть, тем более что финансирование издания брошюры в ее нынешнем виде натолкнется на затруднения соответствующей инстанции.</w:t>
      </w:r>
    </w:p>
    <w:p w14:paraId="64488C7A" w14:textId="766EE597" w:rsidR="00F202BC" w:rsidRPr="005E779E" w:rsidRDefault="00F202BC" w:rsidP="000B7A6C">
      <w:pPr>
        <w:pStyle w:val="rtejustify"/>
        <w:spacing w:before="0" w:after="0"/>
        <w:rPr>
          <w:color w:val="000000" w:themeColor="text1"/>
          <w:sz w:val="16"/>
          <w:szCs w:val="16"/>
        </w:rPr>
      </w:pPr>
      <w:r w:rsidRPr="005E779E">
        <w:rPr>
          <w:color w:val="000000" w:themeColor="text1"/>
          <w:sz w:val="16"/>
          <w:szCs w:val="16"/>
        </w:rPr>
        <w:t>2)</w:t>
      </w:r>
      <w:r w:rsidR="00FE094E">
        <w:rPr>
          <w:color w:val="000000" w:themeColor="text1"/>
          <w:sz w:val="16"/>
          <w:szCs w:val="16"/>
        </w:rPr>
        <w:t xml:space="preserve"> </w:t>
      </w:r>
      <w:r w:rsidRPr="005E779E">
        <w:rPr>
          <w:color w:val="000000" w:themeColor="text1"/>
          <w:sz w:val="16"/>
          <w:szCs w:val="16"/>
        </w:rPr>
        <w:t xml:space="preserve"> Относительно анти-советских выступлений «Гамбургер Фремдемблатт», мы будем говорить с местным корр[еспонден]том этой газеты Баумом. Однако, положение таково, что Баум человек сравнительно новый и совершенно не влиятельный в своей редакции. Можно заранее сказать, что он отделается обещаниями и сочувствующими вздохами, а затем все останется по-старому. Поэтому необходимо поговорить с берлинской редакцией газеты, а кроме того снестись с нашим гамбургским генеральным консульством.</w:t>
      </w:r>
    </w:p>
    <w:p w14:paraId="4E421B3B" w14:textId="77777777" w:rsidR="00F202BC" w:rsidRPr="005E779E" w:rsidRDefault="00F202BC" w:rsidP="000B7A6C">
      <w:pPr>
        <w:pStyle w:val="ae"/>
        <w:spacing w:before="0" w:after="0"/>
        <w:jc w:val="both"/>
        <w:rPr>
          <w:color w:val="000000" w:themeColor="text1"/>
          <w:sz w:val="16"/>
          <w:szCs w:val="16"/>
        </w:rPr>
      </w:pPr>
      <w:r w:rsidRPr="005E779E">
        <w:rPr>
          <w:color w:val="000000" w:themeColor="text1"/>
          <w:sz w:val="16"/>
          <w:szCs w:val="16"/>
        </w:rPr>
        <w:t>Пом. Зав. Отделом Печати (Подольский)</w:t>
      </w:r>
    </w:p>
    <w:p w14:paraId="591B8A63" w14:textId="77777777" w:rsidR="00F202BC" w:rsidRPr="005E779E" w:rsidRDefault="00F202BC" w:rsidP="000B7A6C">
      <w:pPr>
        <w:pStyle w:val="ae"/>
        <w:spacing w:before="0" w:after="0"/>
        <w:jc w:val="both"/>
        <w:rPr>
          <w:color w:val="000000" w:themeColor="text1"/>
          <w:sz w:val="16"/>
          <w:szCs w:val="16"/>
        </w:rPr>
      </w:pPr>
      <w:r w:rsidRPr="005E779E">
        <w:rPr>
          <w:color w:val="000000" w:themeColor="text1"/>
          <w:sz w:val="16"/>
          <w:szCs w:val="16"/>
        </w:rPr>
        <w:t>Референт (Миронов)</w:t>
      </w:r>
    </w:p>
    <w:p w14:paraId="1098DDA5" w14:textId="77777777" w:rsidR="00F202BC" w:rsidRPr="005E779E" w:rsidRDefault="00F202BC" w:rsidP="000B7A6C">
      <w:pPr>
        <w:pStyle w:val="ae"/>
        <w:spacing w:before="0" w:after="0"/>
        <w:jc w:val="both"/>
        <w:rPr>
          <w:color w:val="000000" w:themeColor="text1"/>
          <w:sz w:val="16"/>
          <w:szCs w:val="16"/>
        </w:rPr>
      </w:pPr>
      <w:r w:rsidRPr="005E779E">
        <w:rPr>
          <w:rStyle w:val="af0"/>
          <w:i w:val="0"/>
          <w:color w:val="000000" w:themeColor="text1"/>
          <w:sz w:val="16"/>
          <w:szCs w:val="16"/>
        </w:rPr>
        <w:t>АВП РФ. Ф. 056. On. 15. П. 33. Д. 8. Л. 161. Машинописная копия того времени. Гриф секретности и дата машинописью, исходящий номер от руки. Внизу листа делопроизводственная помета машинописью (столбцом) «4 экз. 1 — т. Штерну 1 — т. Литвинову 1 — т. Крестинскому 1 — архив» (18899).</w:t>
      </w:r>
    </w:p>
    <w:p w14:paraId="537BC913" w14:textId="77777777" w:rsidR="00F202BC" w:rsidRPr="005E779E" w:rsidRDefault="00F202BC" w:rsidP="000B7A6C">
      <w:pPr>
        <w:spacing w:after="0" w:line="240" w:lineRule="auto"/>
        <w:jc w:val="both"/>
        <w:rPr>
          <w:rFonts w:ascii="Times New Roman" w:hAnsi="Times New Roman"/>
          <w:color w:val="000000" w:themeColor="text1"/>
          <w:sz w:val="16"/>
          <w:szCs w:val="16"/>
        </w:rPr>
      </w:pPr>
    </w:p>
    <w:p w14:paraId="4EDDB857" w14:textId="77777777" w:rsidR="003B4AB7"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2AF5C4AA" w14:textId="77777777" w:rsidR="003B4AB7" w:rsidRPr="005E779E" w:rsidRDefault="003B4AB7"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186662E" w14:textId="77777777" w:rsidR="003B4AB7" w:rsidRPr="005E779E" w:rsidRDefault="003B4A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20 февраля</w:t>
      </w:r>
      <w:r w:rsidRPr="005E779E">
        <w:rPr>
          <w:rFonts w:ascii="Times New Roman" w:hAnsi="Times New Roman"/>
          <w:color w:val="000000" w:themeColor="text1"/>
          <w:sz w:val="16"/>
          <w:szCs w:val="16"/>
        </w:rPr>
        <w:t xml:space="preserve"> в 1931 году завершился кругосветный перелет миссис Милдред Брюс (с 25 сентября 1930 по 20 февраля 1931 года) на легком самолете </w:t>
      </w:r>
      <w:hyperlink r:id="rId25" w:tgtFrame="_blank" w:history="1">
        <w:r w:rsidRPr="005E779E">
          <w:rPr>
            <w:rFonts w:ascii="Times New Roman" w:hAnsi="Times New Roman"/>
            <w:color w:val="000000" w:themeColor="text1"/>
            <w:sz w:val="16"/>
            <w:szCs w:val="16"/>
          </w:rPr>
          <w:t xml:space="preserve">«Bluebird IV». </w:t>
        </w:r>
      </w:hyperlink>
      <w:r w:rsidRPr="005E779E">
        <w:rPr>
          <w:rFonts w:ascii="Times New Roman" w:hAnsi="Times New Roman"/>
          <w:color w:val="000000" w:themeColor="text1"/>
          <w:sz w:val="16"/>
          <w:szCs w:val="16"/>
        </w:rPr>
        <w:t>Однако следует отметить, что участки маршрута Токио - Сиэтл и Нью-Йорк - Гавр путешественница преодолела на борту корабля. Последний сохранившийся «Bluebird», 11 -я серийная машина, пошел на слом в 1947 году (15046).</w:t>
      </w:r>
    </w:p>
    <w:p w14:paraId="0C0AC3F0" w14:textId="77777777" w:rsidR="003B4AB7" w:rsidRPr="005E779E" w:rsidRDefault="003B4AB7" w:rsidP="000B7A6C">
      <w:pPr>
        <w:spacing w:after="0" w:line="240" w:lineRule="auto"/>
        <w:jc w:val="both"/>
        <w:rPr>
          <w:rFonts w:ascii="Times New Roman" w:hAnsi="Times New Roman"/>
          <w:color w:val="000000" w:themeColor="text1"/>
          <w:sz w:val="16"/>
          <w:szCs w:val="16"/>
        </w:rPr>
      </w:pPr>
    </w:p>
    <w:p w14:paraId="56F144C6" w14:textId="77777777" w:rsidR="000B1FE7" w:rsidRPr="005E779E" w:rsidRDefault="000B1FE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февраля 1931 - Завершился кругосветный перелет миссис Милдред Брюс (с 25 сентября 1930 по 20 февраля 1931 года) на легком самолете Bluebird IV. Однако следует отметить, что участки маршрута Токио - Сиэтл и Нью-Йорк - Гавр путешественница преодолела на борту корабля (22582).</w:t>
      </w:r>
    </w:p>
    <w:p w14:paraId="00E848AF" w14:textId="77777777" w:rsidR="000B1FE7" w:rsidRPr="005E779E" w:rsidRDefault="000B1FE7" w:rsidP="000B7A6C">
      <w:pPr>
        <w:spacing w:after="0" w:line="240" w:lineRule="auto"/>
        <w:jc w:val="both"/>
        <w:rPr>
          <w:rFonts w:ascii="Times New Roman" w:hAnsi="Times New Roman"/>
          <w:color w:val="000000" w:themeColor="text1"/>
          <w:sz w:val="16"/>
          <w:szCs w:val="16"/>
        </w:rPr>
      </w:pPr>
    </w:p>
    <w:p w14:paraId="07E88EE1" w14:textId="19BB988B" w:rsidR="00BD06CF" w:rsidRPr="005E779E" w:rsidRDefault="00BD06C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февраля и</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31 марта 1931</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Карл Поггензее (Karl Poggensee; 1909–1980) запускал свои ракеты длиной 158 см, диаметром 12,7 см. Он установил в</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них двигатель от большой ракеты для фейерверков, оснастил штоками (стержнями) со стабилизаторами. В</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нижней части ракеты штоки были соединены обручем. По мнению изобретателя, такая конструкция должны была способствовать подъему ракеты вверх без отклонений от вертикали. В</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головную часть ракеты он поместил прибор для измерения скорости, барометр для определения высоты взлета, фотокамеру для съемки показаний приборов в полете. Эту ракету Карл запустил дважды в поле под Берлином. В первый раз она достигла высоты 450 м, во второй — 460 м и</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оба раза благополучно опускалась на парашюте (23372).</w:t>
      </w:r>
    </w:p>
    <w:p w14:paraId="7FBDFEF6" w14:textId="77777777" w:rsidR="00BD06CF" w:rsidRPr="005E779E" w:rsidRDefault="00BD06CF" w:rsidP="000B7A6C">
      <w:pPr>
        <w:spacing w:after="0" w:line="240" w:lineRule="auto"/>
        <w:jc w:val="both"/>
        <w:rPr>
          <w:rFonts w:ascii="Times New Roman" w:hAnsi="Times New Roman"/>
          <w:color w:val="000000" w:themeColor="text1"/>
          <w:sz w:val="16"/>
          <w:szCs w:val="16"/>
        </w:rPr>
      </w:pPr>
    </w:p>
    <w:p w14:paraId="48792042" w14:textId="63DBBD0A" w:rsidR="00027288" w:rsidRPr="005E779E" w:rsidRDefault="00027288" w:rsidP="00027288">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Авиапромышленность</w:t>
      </w:r>
      <w:r w:rsidRPr="005E779E">
        <w:rPr>
          <w:rFonts w:ascii="Times New Roman" w:hAnsi="Times New Roman"/>
          <w:i/>
          <w:iCs/>
          <w:color w:val="000000" w:themeColor="text1"/>
          <w:sz w:val="16"/>
          <w:szCs w:val="16"/>
        </w:rPr>
        <w:t>:</w:t>
      </w:r>
    </w:p>
    <w:p w14:paraId="69D75918" w14:textId="77777777" w:rsidR="00027288" w:rsidRPr="005E779E" w:rsidRDefault="00027288" w:rsidP="00027288">
      <w:pPr>
        <w:autoSpaceDE w:val="0"/>
        <w:autoSpaceDN w:val="0"/>
        <w:adjustRightInd w:val="0"/>
        <w:spacing w:after="0" w:line="240" w:lineRule="auto"/>
        <w:jc w:val="both"/>
        <w:rPr>
          <w:rFonts w:ascii="Times New Roman" w:hAnsi="Times New Roman"/>
          <w:iCs/>
          <w:color w:val="000000" w:themeColor="text1"/>
          <w:sz w:val="16"/>
          <w:szCs w:val="16"/>
        </w:rPr>
      </w:pPr>
    </w:p>
    <w:p w14:paraId="2A4902C0" w14:textId="77777777" w:rsidR="00027288" w:rsidRPr="00142305" w:rsidRDefault="00027288" w:rsidP="0002728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21 февраля 1931 г. результаты испытаний ТБ-3 обсудили на совещании представителей ЦАГИ, НИИ ВВС и завода № 22. Решили переделать рули, усовершенствовать уп</w:t>
      </w:r>
      <w:r w:rsidRPr="00142305">
        <w:rPr>
          <w:rFonts w:ascii="Times New Roman" w:hAnsi="Times New Roman"/>
          <w:color w:val="0070C0"/>
          <w:sz w:val="16"/>
          <w:szCs w:val="16"/>
        </w:rPr>
        <w:softHyphen/>
        <w:t>равление, усилить амортизатор костыля, поставить глушители на выхлопные кол</w:t>
      </w:r>
      <w:r w:rsidRPr="00142305">
        <w:rPr>
          <w:rFonts w:ascii="Times New Roman" w:hAnsi="Times New Roman"/>
          <w:color w:val="0070C0"/>
          <w:sz w:val="16"/>
          <w:szCs w:val="16"/>
        </w:rPr>
        <w:softHyphen/>
        <w:t>лекторы моторов и заклеить лентами щели на стыках узлов.</w:t>
      </w:r>
    </w:p>
    <w:p w14:paraId="4DFB3FD0" w14:textId="77777777" w:rsidR="00027288" w:rsidRPr="00142305" w:rsidRDefault="00027288" w:rsidP="0002728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Немецкие моторы смонтировали до</w:t>
      </w:r>
      <w:r w:rsidRPr="00142305">
        <w:rPr>
          <w:rFonts w:ascii="Times New Roman" w:hAnsi="Times New Roman"/>
          <w:color w:val="0070C0"/>
          <w:sz w:val="16"/>
          <w:szCs w:val="16"/>
        </w:rPr>
        <w:softHyphen/>
        <w:t>вольно быстро, но при пробном запуске в винт засосало валявшийся неподалеку чехол - одна мотоустановка разрушилась; пришлось делать ее заново (24937).</w:t>
      </w:r>
    </w:p>
    <w:p w14:paraId="3ACBF404" w14:textId="77777777" w:rsidR="00027288" w:rsidRPr="00142305" w:rsidRDefault="00027288" w:rsidP="00027288">
      <w:pPr>
        <w:spacing w:after="0" w:line="240" w:lineRule="auto"/>
        <w:jc w:val="both"/>
        <w:rPr>
          <w:rFonts w:ascii="Times New Roman" w:hAnsi="Times New Roman"/>
          <w:color w:val="0070C0"/>
          <w:sz w:val="16"/>
          <w:szCs w:val="16"/>
        </w:rPr>
      </w:pPr>
    </w:p>
    <w:p w14:paraId="6BDB586D" w14:textId="77777777" w:rsidR="00027288" w:rsidRPr="00142305" w:rsidRDefault="00027288" w:rsidP="0002728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21 февраля 1931 г. закончился перелет Ф.Б. Фариха на У-2 из Красноярска. Затем са</w:t>
      </w:r>
      <w:r w:rsidRPr="00142305">
        <w:rPr>
          <w:rFonts w:ascii="Times New Roman" w:hAnsi="Times New Roman"/>
          <w:color w:val="0070C0"/>
          <w:sz w:val="16"/>
          <w:szCs w:val="16"/>
        </w:rPr>
        <w:softHyphen/>
        <w:t>молет вернулся в Красноярск по тому же маршруту. Расстояние 4396 км было преодолено за 36 летных часов со сред</w:t>
      </w:r>
      <w:r w:rsidRPr="00142305">
        <w:rPr>
          <w:rFonts w:ascii="Times New Roman" w:hAnsi="Times New Roman"/>
          <w:color w:val="0070C0"/>
          <w:sz w:val="16"/>
          <w:szCs w:val="16"/>
        </w:rPr>
        <w:softHyphen/>
        <w:t xml:space="preserve">ней скоростью 122 км/ч. </w:t>
      </w:r>
    </w:p>
    <w:p w14:paraId="58DC3F56" w14:textId="77777777" w:rsidR="00027288" w:rsidRPr="00142305" w:rsidRDefault="00027288" w:rsidP="0002728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Учебный самолет соответст</w:t>
      </w:r>
      <w:r w:rsidRPr="00142305">
        <w:rPr>
          <w:rFonts w:ascii="Times New Roman" w:hAnsi="Times New Roman"/>
          <w:color w:val="0070C0"/>
          <w:sz w:val="16"/>
          <w:szCs w:val="16"/>
        </w:rPr>
        <w:softHyphen/>
        <w:t>вующим образом доработали: утеплили топливную и маслосистему, в простран</w:t>
      </w:r>
      <w:r w:rsidRPr="00142305">
        <w:rPr>
          <w:rFonts w:ascii="Times New Roman" w:hAnsi="Times New Roman"/>
          <w:color w:val="0070C0"/>
          <w:sz w:val="16"/>
          <w:szCs w:val="16"/>
        </w:rPr>
        <w:softHyphen/>
        <w:t>стве между кабинами установили допол</w:t>
      </w:r>
      <w:r w:rsidRPr="00142305">
        <w:rPr>
          <w:rFonts w:ascii="Times New Roman" w:hAnsi="Times New Roman"/>
          <w:color w:val="0070C0"/>
          <w:sz w:val="16"/>
          <w:szCs w:val="16"/>
        </w:rPr>
        <w:softHyphen/>
        <w:t>нительный топливный бак, позволивший увеличить продолжительность полета до 7 часов. В фюзеляже закрепили запас</w:t>
      </w:r>
      <w:r w:rsidRPr="00142305">
        <w:rPr>
          <w:rFonts w:ascii="Times New Roman" w:hAnsi="Times New Roman"/>
          <w:color w:val="0070C0"/>
          <w:sz w:val="16"/>
          <w:szCs w:val="16"/>
        </w:rPr>
        <w:softHyphen/>
        <w:t>ное шасси и воздушный винт. Для обеспечения нормальной центровки запасные детали закрепили под капотом двига</w:t>
      </w:r>
      <w:r w:rsidRPr="00142305">
        <w:rPr>
          <w:rFonts w:ascii="Times New Roman" w:hAnsi="Times New Roman"/>
          <w:color w:val="0070C0"/>
          <w:sz w:val="16"/>
          <w:szCs w:val="16"/>
        </w:rPr>
        <w:softHyphen/>
        <w:t>теля. Полезная нагрузка возросла с 350 до 470 кг. Предполагая проблемы взлета со снега с возросшей нагрузкой, нижнюю поверхность лыж смазали мазью, исполь</w:t>
      </w:r>
      <w:r w:rsidRPr="00142305">
        <w:rPr>
          <w:rFonts w:ascii="Times New Roman" w:hAnsi="Times New Roman"/>
          <w:color w:val="0070C0"/>
          <w:sz w:val="16"/>
          <w:szCs w:val="16"/>
        </w:rPr>
        <w:softHyphen/>
        <w:t>зуемой спортсменами. Последнее реше</w:t>
      </w:r>
      <w:r w:rsidRPr="00142305">
        <w:rPr>
          <w:rFonts w:ascii="Times New Roman" w:hAnsi="Times New Roman"/>
          <w:color w:val="0070C0"/>
          <w:sz w:val="16"/>
          <w:szCs w:val="16"/>
        </w:rPr>
        <w:softHyphen/>
        <w:t>ние дало блестящие результаты: длина разбега заметно сократилась, а снег дей</w:t>
      </w:r>
      <w:r w:rsidRPr="00142305">
        <w:rPr>
          <w:rFonts w:ascii="Times New Roman" w:hAnsi="Times New Roman"/>
          <w:color w:val="0070C0"/>
          <w:sz w:val="16"/>
          <w:szCs w:val="16"/>
        </w:rPr>
        <w:softHyphen/>
        <w:t>ствительно не налипал.</w:t>
      </w:r>
    </w:p>
    <w:p w14:paraId="1476BC42" w14:textId="77777777" w:rsidR="00027288" w:rsidRPr="00142305" w:rsidRDefault="00027288" w:rsidP="0002728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мнению ор</w:t>
      </w:r>
      <w:r w:rsidRPr="00142305">
        <w:rPr>
          <w:rFonts w:ascii="Times New Roman" w:hAnsi="Times New Roman"/>
          <w:color w:val="0070C0"/>
          <w:sz w:val="16"/>
          <w:szCs w:val="16"/>
        </w:rPr>
        <w:softHyphen/>
        <w:t>ганизаторов и участников акции, полет показал полную пригодность маломощ</w:t>
      </w:r>
      <w:r w:rsidRPr="00142305">
        <w:rPr>
          <w:rFonts w:ascii="Times New Roman" w:hAnsi="Times New Roman"/>
          <w:color w:val="0070C0"/>
          <w:sz w:val="16"/>
          <w:szCs w:val="16"/>
        </w:rPr>
        <w:softHyphen/>
        <w:t>ного самолета для эксплуатации на Се</w:t>
      </w:r>
      <w:r w:rsidRPr="00142305">
        <w:rPr>
          <w:rFonts w:ascii="Times New Roman" w:hAnsi="Times New Roman"/>
          <w:color w:val="0070C0"/>
          <w:sz w:val="16"/>
          <w:szCs w:val="16"/>
        </w:rPr>
        <w:softHyphen/>
        <w:t>вере как средства связи с удаленными от центра пунктами. Имея небольшую посадочную скорость и сравнительно малый вес, самолет спокойно садился на небольших аэродромах, где тяжелая пассажирская машина в лучшем случае потеряла бы шасси. Перелет доказал не только возможность применения лег</w:t>
      </w:r>
      <w:r w:rsidRPr="00142305">
        <w:rPr>
          <w:rFonts w:ascii="Times New Roman" w:hAnsi="Times New Roman"/>
          <w:color w:val="0070C0"/>
          <w:sz w:val="16"/>
          <w:szCs w:val="16"/>
        </w:rPr>
        <w:softHyphen/>
        <w:t>кого самолета на Севере в зимних усло</w:t>
      </w:r>
      <w:r w:rsidRPr="00142305">
        <w:rPr>
          <w:rFonts w:ascii="Times New Roman" w:hAnsi="Times New Roman"/>
          <w:color w:val="0070C0"/>
          <w:sz w:val="16"/>
          <w:szCs w:val="16"/>
        </w:rPr>
        <w:softHyphen/>
        <w:t>виях, но даже необходимость использо</w:t>
      </w:r>
      <w:r w:rsidRPr="00142305">
        <w:rPr>
          <w:rFonts w:ascii="Times New Roman" w:hAnsi="Times New Roman"/>
          <w:color w:val="0070C0"/>
          <w:sz w:val="16"/>
          <w:szCs w:val="16"/>
        </w:rPr>
        <w:softHyphen/>
        <w:t>вания его для связи с отдаленными стан</w:t>
      </w:r>
      <w:r w:rsidRPr="00142305">
        <w:rPr>
          <w:rFonts w:ascii="Times New Roman" w:hAnsi="Times New Roman"/>
          <w:color w:val="0070C0"/>
          <w:sz w:val="16"/>
          <w:szCs w:val="16"/>
        </w:rPr>
        <w:softHyphen/>
        <w:t>циями и зимовками (24879).</w:t>
      </w:r>
    </w:p>
    <w:p w14:paraId="2A20E6AD" w14:textId="77777777" w:rsidR="00027288" w:rsidRPr="00142305" w:rsidRDefault="00027288" w:rsidP="00027288">
      <w:pPr>
        <w:spacing w:after="0" w:line="240" w:lineRule="auto"/>
        <w:jc w:val="both"/>
        <w:rPr>
          <w:rFonts w:ascii="Times New Roman" w:hAnsi="Times New Roman"/>
          <w:color w:val="0070C0"/>
          <w:sz w:val="16"/>
          <w:szCs w:val="16"/>
        </w:rPr>
      </w:pPr>
    </w:p>
    <w:p w14:paraId="140B7DC5" w14:textId="77777777" w:rsidR="005E7475"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17E4AF28" w14:textId="77777777" w:rsidR="005E7475" w:rsidRPr="005E779E" w:rsidRDefault="005E7475"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837C9E2" w14:textId="77777777" w:rsidR="00027288" w:rsidRPr="005E779E" w:rsidRDefault="00027288" w:rsidP="00027288">
      <w:pPr>
        <w:pStyle w:val="ae"/>
        <w:spacing w:before="0" w:after="0"/>
        <w:jc w:val="both"/>
        <w:rPr>
          <w:color w:val="000000" w:themeColor="text1"/>
          <w:sz w:val="16"/>
          <w:szCs w:val="16"/>
        </w:rPr>
      </w:pPr>
      <w:r w:rsidRPr="005E779E">
        <w:rPr>
          <w:color w:val="000000" w:themeColor="text1"/>
          <w:sz w:val="16"/>
          <w:szCs w:val="16"/>
        </w:rPr>
        <w:t>21 февраля 1931 директором Ковровского завода стал Семен Васильевич Савельев. Заместителем директора и помощником по технической части стал И.А. Мирзаханов, 4 апреля ОРПО ВСНХ переводит И.А. Мирзаханова на должность директора завода № 8 имени Калинина в Подмосковье.</w:t>
      </w:r>
    </w:p>
    <w:p w14:paraId="5F488F62" w14:textId="77777777" w:rsidR="00027288" w:rsidRPr="005E779E" w:rsidRDefault="00027288" w:rsidP="00027288">
      <w:pPr>
        <w:pStyle w:val="ae"/>
        <w:spacing w:before="0" w:after="0"/>
        <w:jc w:val="both"/>
        <w:rPr>
          <w:color w:val="000000" w:themeColor="text1"/>
          <w:sz w:val="16"/>
          <w:szCs w:val="16"/>
        </w:rPr>
      </w:pPr>
      <w:r w:rsidRPr="005E779E">
        <w:rPr>
          <w:color w:val="000000" w:themeColor="text1"/>
          <w:sz w:val="16"/>
          <w:szCs w:val="16"/>
        </w:rPr>
        <w:t>А.Ж. Бурухин, руководивший заводом в 1919-1922 гг. и 1927-1931 гг., переведен в Москву на должность заместителя управляющего Всесоюзным оружейно-пулеметным трестом, затем в Ленинград - директором завода «Большевик». Умер 25 декабря 1932 года (12221).</w:t>
      </w:r>
    </w:p>
    <w:p w14:paraId="7DB189D9" w14:textId="77777777" w:rsidR="00027288" w:rsidRPr="005E779E" w:rsidRDefault="00027288" w:rsidP="00027288">
      <w:pPr>
        <w:pStyle w:val="ae"/>
        <w:spacing w:before="0" w:after="0"/>
        <w:jc w:val="both"/>
        <w:rPr>
          <w:color w:val="000000" w:themeColor="text1"/>
          <w:sz w:val="16"/>
          <w:szCs w:val="16"/>
        </w:rPr>
      </w:pPr>
    </w:p>
    <w:p w14:paraId="3B205B09" w14:textId="77777777" w:rsidR="003B4AB7" w:rsidRPr="005E779E" w:rsidRDefault="003B4AB7" w:rsidP="000B7A6C">
      <w:pPr>
        <w:widowControl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21 февраля </w:t>
      </w:r>
      <w:smartTag w:uri="urn:schemas-microsoft-com:office:smarttags" w:element="metricconverter">
        <w:smartTagPr>
          <w:attr w:name="ProductID" w:val="1945 г"/>
        </w:smartTagPr>
        <w:r w:rsidRPr="005E779E">
          <w:rPr>
            <w:rFonts w:ascii="Times New Roman" w:hAnsi="Times New Roman"/>
            <w:color w:val="000000" w:themeColor="text1"/>
            <w:sz w:val="16"/>
            <w:szCs w:val="16"/>
          </w:rPr>
          <w:t>1931 г</w:t>
        </w:r>
      </w:smartTag>
      <w:r w:rsidRPr="005E779E">
        <w:rPr>
          <w:rFonts w:ascii="Times New Roman" w:hAnsi="Times New Roman"/>
          <w:color w:val="000000" w:themeColor="text1"/>
          <w:sz w:val="16"/>
          <w:szCs w:val="16"/>
        </w:rPr>
        <w:t xml:space="preserve">. Совет Труда и Обороны по докладу председателя Президиума ВСНХ СССР Г.К.Орджоникидзе принял специальное постановление, в котором подтверждалось огромное значение строящегося в Нижнем Новгороде автозавода, который явится практической школой в деле освоения передовой техники и подготовки кадров для дальнейшего развития автопромышленности. Оно сыграло большую роль в ускорении темпов строительства и дало толчок к организации по всей стране смежных производств для будущего автозавода. В намеченной программе предусматривалось к ноябрю </w:t>
      </w:r>
      <w:smartTag w:uri="urn:schemas-microsoft-com:office:smarttags" w:element="metricconverter">
        <w:smartTagPr>
          <w:attr w:name="ProductID" w:val="1945 г"/>
        </w:smartTagPr>
        <w:r w:rsidRPr="005E779E">
          <w:rPr>
            <w:rFonts w:ascii="Times New Roman" w:hAnsi="Times New Roman"/>
            <w:color w:val="000000" w:themeColor="text1"/>
            <w:sz w:val="16"/>
            <w:szCs w:val="16"/>
          </w:rPr>
          <w:t>1931 г</w:t>
        </w:r>
      </w:smartTag>
      <w:r w:rsidRPr="005E779E">
        <w:rPr>
          <w:rFonts w:ascii="Times New Roman" w:hAnsi="Times New Roman"/>
          <w:color w:val="000000" w:themeColor="text1"/>
          <w:sz w:val="16"/>
          <w:szCs w:val="16"/>
        </w:rPr>
        <w:t xml:space="preserve">. завершить промышленное строительство автогиганта. В апреле заказ-наряд был определен в сумме 71 324 тыс. руб. (против 30 млн. руб. в </w:t>
      </w:r>
      <w:smartTag w:uri="urn:schemas-microsoft-com:office:smarttags" w:element="metricconverter">
        <w:smartTagPr>
          <w:attr w:name="ProductID" w:val="1945 г"/>
        </w:smartTagPr>
        <w:r w:rsidRPr="005E779E">
          <w:rPr>
            <w:rFonts w:ascii="Times New Roman" w:hAnsi="Times New Roman"/>
            <w:color w:val="000000" w:themeColor="text1"/>
            <w:sz w:val="16"/>
            <w:szCs w:val="16"/>
          </w:rPr>
          <w:t>1930 г</w:t>
        </w:r>
      </w:smartTag>
      <w:r w:rsidRPr="005E779E">
        <w:rPr>
          <w:rFonts w:ascii="Times New Roman" w:hAnsi="Times New Roman"/>
          <w:color w:val="000000" w:themeColor="text1"/>
          <w:sz w:val="16"/>
          <w:szCs w:val="16"/>
        </w:rPr>
        <w:t xml:space="preserve">.). Практический опыт помогал применять различные меры по удешевлению строительства и проведению сложных работ в зимних условиях. Разрабатывалась зимняя рецептура изготовления бетонной массы; составлялась подробная инструкция по каменной кладке на морозе. Так, в соцгороде бутовая и кирпичная кладка шла на морозе в 25 градусов. Готовые работы защищались матами и щитами. В промрайоне часть зданий (понизительная подстанция, мастерские профтехкомбината, частично литейная) сооружались в тепляках (тепляк – деревянный каркас, обшитый тесом и толем). Центральный бетонный завод был весь утеплен, в нем могли работать гравиемойки по промывке гравия. Бетон развозился на автомашинах с опрокидываемыми кузовами, снабженными крышками. На Автострое была создана единственная в то время в Нижнем Новгороде и крае полевая лаборатория. Основное оборудование для автозавода было получено из Москвы и Киева. За время строительства автозавода было испытано до 420 тыс. бочек цемента, более 50 тыс. куб. м. гравия, выше 30 тыс. куб. м песка и до 50 тыс. куб. м бетона, что помогло исключить недоброкачественные стройматериалы, а это предотвращало обвалы и разрушения сооружений. Автозаводская лаборатория обслуживала и другие крупные новостройки Нижнего Новгорода. Так впервые на Автострое советская практика опрокинула старое понятие о сезонности. Несмотря на зимнюю стужу, морозы и снежные бураны, коллектив строителей автозавода не прекращал работ не только на сооружении мелких, но и крупных объектов. Напряженно трудились автостроевцы на сооружении водозабора на Оке. Вода автозаводу и соцгороду должна была поступать по трубам к насосным станциям первого и второго подъемов и затем распределяться по трем системам труб: промышленного, бытового и пожарного водопроводов. Работу по укладке труб до станции второго подъема необходимо было провести со льда, до весеннего паводка. На создании водозабора было занято 2 тыс. строителей. По просьбе крайкома ВКП(б) и крайисполкома из местного гарнизона на сооружение водозабора прибыли саперы. Сюда перебросили подъемные краны, экскаваторы, транспортеры, установили прожектор. Работали днем и ночью. Плакаты призывали: «Водозабор в опасности!», «Выведем водозабор из опасного </w:t>
      </w:r>
      <w:r w:rsidRPr="005E779E">
        <w:rPr>
          <w:rFonts w:ascii="Times New Roman" w:hAnsi="Times New Roman"/>
          <w:color w:val="000000" w:themeColor="text1"/>
          <w:sz w:val="16"/>
          <w:szCs w:val="16"/>
        </w:rPr>
        <w:lastRenderedPageBreak/>
        <w:t>положения!». Строители прорубили лед до середины Оки и забили по бокам толстые шпунтовые сваи, создав коридор, из которого насосами выкачали воду. Образовалась сухая глубокая траншея, в которой монтировали и бетонировали трубы. Комсомольцы Леонид Бронников, Григорий Переходников, братья Яков, Михаил, Иван и Дмитрий Волковы, Иван, Павел и Василий Василины, техники Г. Мочалов, В. Мурзоев и сотни других успешно и в срок построили водозабор. Это была новая крупная победа в борьбе за автозавод (15218).</w:t>
      </w:r>
    </w:p>
    <w:p w14:paraId="63514960" w14:textId="77777777" w:rsidR="003B4AB7" w:rsidRPr="005E779E" w:rsidRDefault="003B4AB7" w:rsidP="000B7A6C">
      <w:pPr>
        <w:widowControl w:val="0"/>
        <w:spacing w:after="0" w:line="240" w:lineRule="auto"/>
        <w:jc w:val="both"/>
        <w:rPr>
          <w:rFonts w:ascii="Times New Roman" w:hAnsi="Times New Roman"/>
          <w:color w:val="000000" w:themeColor="text1"/>
          <w:sz w:val="16"/>
          <w:szCs w:val="16"/>
        </w:rPr>
      </w:pPr>
    </w:p>
    <w:p w14:paraId="4078D14D" w14:textId="0F82D4CF" w:rsidR="000030AF" w:rsidRPr="005E779E" w:rsidRDefault="000030A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21 февраля </w:t>
      </w:r>
      <w:smartTag w:uri="urn:schemas-microsoft-com:office:smarttags" w:element="metricconverter">
        <w:smartTagPr>
          <w:attr w:name="ProductID" w:val="1945 г"/>
        </w:smartTagPr>
        <w:r w:rsidRPr="005E779E">
          <w:rPr>
            <w:rFonts w:ascii="Times New Roman" w:hAnsi="Times New Roman"/>
            <w:color w:val="000000" w:themeColor="text1"/>
            <w:sz w:val="16"/>
            <w:szCs w:val="16"/>
          </w:rPr>
          <w:t>1931 г</w:t>
        </w:r>
      </w:smartTag>
      <w:r w:rsidRPr="005E779E">
        <w:rPr>
          <w:rFonts w:ascii="Times New Roman" w:hAnsi="Times New Roman"/>
          <w:color w:val="000000" w:themeColor="text1"/>
          <w:sz w:val="16"/>
          <w:szCs w:val="16"/>
        </w:rPr>
        <w:t xml:space="preserve">. Совет Труда и Обороны по докладу председателя Президиума ВСНХ СССР Г.К.Орджоникидзе принял специальное постановление, в котором подтверждалось огромное значение строящегося в Нижнем Новгороде автозавода, который явится практической школой в деле освоения передовой техники и подготовки кадров для дальнейшего развития автопромышленности. В намеченной программе предусматривалось к ноябрю </w:t>
      </w:r>
      <w:smartTag w:uri="urn:schemas-microsoft-com:office:smarttags" w:element="metricconverter">
        <w:smartTagPr>
          <w:attr w:name="ProductID" w:val="1945 г"/>
        </w:smartTagPr>
        <w:r w:rsidRPr="005E779E">
          <w:rPr>
            <w:rFonts w:ascii="Times New Roman" w:hAnsi="Times New Roman"/>
            <w:color w:val="000000" w:themeColor="text1"/>
            <w:sz w:val="16"/>
            <w:szCs w:val="16"/>
          </w:rPr>
          <w:t>1931 г</w:t>
        </w:r>
      </w:smartTag>
      <w:r w:rsidRPr="005E779E">
        <w:rPr>
          <w:rFonts w:ascii="Times New Roman" w:hAnsi="Times New Roman"/>
          <w:color w:val="000000" w:themeColor="text1"/>
          <w:sz w:val="16"/>
          <w:szCs w:val="16"/>
        </w:rPr>
        <w:t>. завершить промышленное строительство автогиганта. В апреле заказ-наряд был определен в сумме 71 324 тыс. руб. (против</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 xml:space="preserve"> 30 млн. руб. в </w:t>
      </w:r>
      <w:smartTag w:uri="urn:schemas-microsoft-com:office:smarttags" w:element="metricconverter">
        <w:smartTagPr>
          <w:attr w:name="ProductID" w:val="1945 г"/>
        </w:smartTagPr>
        <w:r w:rsidRPr="005E779E">
          <w:rPr>
            <w:rFonts w:ascii="Times New Roman" w:hAnsi="Times New Roman"/>
            <w:color w:val="000000" w:themeColor="text1"/>
            <w:sz w:val="16"/>
            <w:szCs w:val="16"/>
          </w:rPr>
          <w:t>1930 г</w:t>
        </w:r>
      </w:smartTag>
      <w:r w:rsidRPr="005E779E">
        <w:rPr>
          <w:rFonts w:ascii="Times New Roman" w:hAnsi="Times New Roman"/>
          <w:color w:val="000000" w:themeColor="text1"/>
          <w:sz w:val="16"/>
          <w:szCs w:val="16"/>
        </w:rPr>
        <w:t>.) (15218).</w:t>
      </w:r>
    </w:p>
    <w:p w14:paraId="76024040" w14:textId="77777777" w:rsidR="000030AF" w:rsidRPr="005E779E" w:rsidRDefault="000030AF" w:rsidP="000B7A6C">
      <w:pPr>
        <w:spacing w:after="0" w:line="240" w:lineRule="auto"/>
        <w:jc w:val="both"/>
        <w:rPr>
          <w:rFonts w:ascii="Times New Roman" w:hAnsi="Times New Roman"/>
          <w:color w:val="000000" w:themeColor="text1"/>
          <w:sz w:val="16"/>
          <w:szCs w:val="16"/>
        </w:rPr>
      </w:pPr>
    </w:p>
    <w:p w14:paraId="4F67C9D1" w14:textId="77777777" w:rsidR="005E7475" w:rsidRPr="005E779E" w:rsidRDefault="005E7475" w:rsidP="000B7A6C">
      <w:pPr>
        <w:pStyle w:val="a3"/>
        <w:rPr>
          <w:color w:val="000000" w:themeColor="text1"/>
          <w:lang w:val="ru-RU"/>
        </w:rPr>
      </w:pPr>
      <w:r w:rsidRPr="005E779E">
        <w:rPr>
          <w:color w:val="000000" w:themeColor="text1"/>
          <w:lang w:val="ru-RU"/>
        </w:rPr>
        <w:t>21 февраля 1931 г. подготовка</w:t>
      </w:r>
      <w:r w:rsidRPr="005E779E">
        <w:rPr>
          <w:rStyle w:val="2d"/>
          <w:rFonts w:ascii="Times New Roman" w:hAnsi="Times New Roman" w:cs="Times New Roman"/>
          <w:i w:val="0"/>
          <w:color w:val="000000" w:themeColor="text1"/>
          <w:sz w:val="16"/>
          <w:szCs w:val="16"/>
          <w:lang w:val="ru-RU"/>
        </w:rPr>
        <w:t xml:space="preserve"> «процесса ассимиляции»</w:t>
      </w:r>
      <w:r w:rsidRPr="005E779E">
        <w:rPr>
          <w:color w:val="000000" w:themeColor="text1"/>
          <w:lang w:val="ru-RU"/>
        </w:rPr>
        <w:t xml:space="preserve"> на за</w:t>
      </w:r>
      <w:r w:rsidRPr="005E779E">
        <w:rPr>
          <w:color w:val="000000" w:themeColor="text1"/>
          <w:lang w:val="ru-RU"/>
        </w:rPr>
        <w:softHyphen/>
        <w:t>воде оборонного и народнохозяйственных про</w:t>
      </w:r>
      <w:r w:rsidRPr="005E779E">
        <w:rPr>
          <w:color w:val="000000" w:themeColor="text1"/>
          <w:lang w:val="ru-RU"/>
        </w:rPr>
        <w:softHyphen/>
        <w:t>изводств была возложена на СТЗ предписанием ВАТО №386/сс. Для этого на заводе не позднее 25 февраля следовало организовать работу бюро, руководителем которого еще 1 февраля 1931 г. назначи</w:t>
      </w:r>
      <w:r w:rsidRPr="005E779E">
        <w:rPr>
          <w:color w:val="000000" w:themeColor="text1"/>
          <w:lang w:val="ru-RU"/>
        </w:rPr>
        <w:softHyphen/>
        <w:t>ли инженера Седова. В состав бюро завод должен был вы</w:t>
      </w:r>
      <w:r w:rsidRPr="005E779E">
        <w:rPr>
          <w:color w:val="000000" w:themeColor="text1"/>
          <w:lang w:val="ru-RU"/>
        </w:rPr>
        <w:softHyphen/>
        <w:t>делить опытных специалистов. Кроме того, ВАТО к 25 февраля обязывался направить на СТЗ 14 молодых инженеров из Запо</w:t>
      </w:r>
      <w:r w:rsidRPr="005E779E">
        <w:rPr>
          <w:color w:val="000000" w:themeColor="text1"/>
          <w:lang w:val="ru-RU"/>
        </w:rPr>
        <w:softHyphen/>
        <w:t>рожья, в марте — 23 выпускни</w:t>
      </w:r>
      <w:r w:rsidRPr="005E779E">
        <w:rPr>
          <w:color w:val="000000" w:themeColor="text1"/>
          <w:lang w:val="ru-RU"/>
        </w:rPr>
        <w:softHyphen/>
        <w:t>ков АТИ и до 45 человек, окон</w:t>
      </w:r>
      <w:r w:rsidRPr="005E779E">
        <w:rPr>
          <w:color w:val="000000" w:themeColor="text1"/>
          <w:lang w:val="ru-RU"/>
        </w:rPr>
        <w:softHyphen/>
        <w:t>чивших техникум СТЗ. Своим распоряжением от 17 февраля 31 г. ВСНХ обязал Гипроспецмет выделить для завода группу тех</w:t>
      </w:r>
      <w:r w:rsidRPr="005E779E">
        <w:rPr>
          <w:color w:val="000000" w:themeColor="text1"/>
          <w:lang w:val="ru-RU"/>
        </w:rPr>
        <w:softHyphen/>
        <w:t>нических работников.</w:t>
      </w:r>
    </w:p>
    <w:p w14:paraId="5BB6266C" w14:textId="77777777" w:rsidR="005E7475" w:rsidRPr="005E779E" w:rsidRDefault="005E7475" w:rsidP="000B7A6C">
      <w:pPr>
        <w:pStyle w:val="a3"/>
        <w:rPr>
          <w:color w:val="000000" w:themeColor="text1"/>
          <w:lang w:val="ru-RU"/>
        </w:rPr>
      </w:pPr>
      <w:r w:rsidRPr="005E779E">
        <w:rPr>
          <w:color w:val="000000" w:themeColor="text1"/>
          <w:lang w:val="ru-RU"/>
        </w:rPr>
        <w:t>Но ни заводоуправление, ни Гипроспецмет не выделили для проектного бюро ни одного ква</w:t>
      </w:r>
      <w:r w:rsidRPr="005E779E">
        <w:rPr>
          <w:color w:val="000000" w:themeColor="text1"/>
          <w:lang w:val="ru-RU"/>
        </w:rPr>
        <w:softHyphen/>
        <w:t>лифицированного специалиста, и состав бюро формировался Седовым на месте из моло</w:t>
      </w:r>
      <w:r w:rsidRPr="005E779E">
        <w:rPr>
          <w:color w:val="000000" w:themeColor="text1"/>
          <w:lang w:val="ru-RU"/>
        </w:rPr>
        <w:softHyphen/>
        <w:t>дых инженеров, направляемых в отдел кадров завода ВАТО. В результате такого комплекто</w:t>
      </w:r>
      <w:r w:rsidRPr="005E779E">
        <w:rPr>
          <w:color w:val="000000" w:themeColor="text1"/>
          <w:lang w:val="ru-RU"/>
        </w:rPr>
        <w:softHyphen/>
        <w:t>вания специальное проектное бюро, названное «Техническим бюро», насчитывало к 1 марта 5 чел., к 1 апреля — 14 чел., а к 1 октября — 23 чел. Все работ</w:t>
      </w:r>
      <w:r w:rsidRPr="005E779E">
        <w:rPr>
          <w:color w:val="000000" w:themeColor="text1"/>
          <w:lang w:val="ru-RU"/>
        </w:rPr>
        <w:softHyphen/>
        <w:t>ники бюро были молодые инже</w:t>
      </w:r>
      <w:r w:rsidRPr="005E779E">
        <w:rPr>
          <w:color w:val="000000" w:themeColor="text1"/>
          <w:lang w:val="ru-RU"/>
        </w:rPr>
        <w:softHyphen/>
        <w:t>неры без опыта работы, только что окончившие ВУЗы (12622).</w:t>
      </w:r>
    </w:p>
    <w:p w14:paraId="75ECF2B8" w14:textId="77777777" w:rsidR="005E7475" w:rsidRPr="005E779E" w:rsidRDefault="005E7475" w:rsidP="000B7A6C">
      <w:pPr>
        <w:pStyle w:val="152"/>
        <w:shd w:val="clear" w:color="auto" w:fill="auto"/>
        <w:spacing w:line="240" w:lineRule="auto"/>
        <w:rPr>
          <w:rFonts w:ascii="Times New Roman" w:hAnsi="Times New Roman" w:cs="Times New Roman"/>
          <w:color w:val="000000" w:themeColor="text1"/>
          <w:sz w:val="16"/>
          <w:szCs w:val="16"/>
        </w:rPr>
      </w:pPr>
    </w:p>
    <w:p w14:paraId="27DAC900" w14:textId="77777777" w:rsidR="00027288" w:rsidRPr="00142305" w:rsidRDefault="00027288" w:rsidP="0002728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21 февраля 1931 г. предписанием ВАТО №386/сс подготовка «процесса ассимиляции» на заводе оборонного и народнохозяйственных производств была возложена на СТЗ. Для этого на заводе не позднее 25 февраля следовало организовать работу бюро, руководителем которого еще 1 февраля 1931 г. назначили инженера Седова. В состав бюро завод должен был выделить опытных специалистов. Кроме того, ВАТО к 25 февраля обязывался направить на СТЗ 14 молодых инженеров из Запорожья, в марте – 23 выпускников АТИ и до 45 человек, окончивших техникум СТЗ. Своим распоряжением от 17 февраля 31 г. ВСНХ обязал Гипроспецмет выделить для завода группу технических работников.</w:t>
      </w:r>
    </w:p>
    <w:p w14:paraId="0F5DC930" w14:textId="77777777" w:rsidR="00027288" w:rsidRPr="00142305" w:rsidRDefault="00027288" w:rsidP="0002728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Но ни заводоуправление, ни сектор кадров ВАТО, ни Гипроспецмет не выделили для проектного бюро ни одного квалифицированного специалиста, и состав бюро формировался Седовым на месте из молодых инженеров, направляемых в отдел кадров завода ВАТО. В результате такого комплектования специальное проектное бюро, названное «Техническим бюро», насчитывало к 1 марта 5 чел., к 1 апреля – 14 чел., а к 1 октября – 23 чел. Все работники бюро были молодые инженеры без опыта работы, только что окончившие ВУЗы.</w:t>
      </w:r>
    </w:p>
    <w:p w14:paraId="1BFBF528" w14:textId="77777777" w:rsidR="00027288" w:rsidRPr="00142305" w:rsidRDefault="00027288" w:rsidP="0002728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Руководство строительством всех специальных цехов СТЗ 28 сентября 1931 г. приказом по ВАТО было возложено на начальника строительства Ананьина, проработка вопросов приспособления оборудования основных цехов и технологического процесса опытного цеха – на директора завода и его заместителя по спецвопросам.</w:t>
      </w:r>
    </w:p>
    <w:p w14:paraId="2BF8B448" w14:textId="77777777" w:rsidR="00027288" w:rsidRPr="00142305" w:rsidRDefault="00027288" w:rsidP="0002728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Директору завода предлагалось усилить Техническое бюро 12 специалистами из НАТИ и 10 выпускниками Военно-технической академии РККА. Гипровато поручалось организовать консультационную работу СТЗ за счет командируемых специалистов. 8 ноября 1931 г. директор СТЗ утвердил соображения Техбюро о привлечении на вечернюю работу инженеров с основного производства. В начале декабря Техническое бюро начало функционировать (25580).</w:t>
      </w:r>
    </w:p>
    <w:p w14:paraId="7F290332" w14:textId="77777777" w:rsidR="00027288" w:rsidRPr="00142305" w:rsidRDefault="00027288" w:rsidP="00027288">
      <w:pPr>
        <w:spacing w:after="0" w:line="240" w:lineRule="auto"/>
        <w:jc w:val="both"/>
        <w:rPr>
          <w:rFonts w:ascii="Times New Roman" w:hAnsi="Times New Roman"/>
          <w:color w:val="0070C0"/>
          <w:sz w:val="16"/>
          <w:szCs w:val="16"/>
        </w:rPr>
      </w:pPr>
    </w:p>
    <w:p w14:paraId="61356342"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21 февраля 1930</w:t>
      </w:r>
      <w:r w:rsidRPr="005E779E">
        <w:rPr>
          <w:rFonts w:ascii="Times New Roman" w:hAnsi="Times New Roman"/>
          <w:color w:val="000000" w:themeColor="text1"/>
          <w:sz w:val="16"/>
          <w:szCs w:val="16"/>
        </w:rPr>
        <w:t>СНК принял постановление «О Всесоюзном комитете по стандартизации». СТО принял постановление «О Нижегородском автозаводе» (12265).</w:t>
      </w:r>
    </w:p>
    <w:p w14:paraId="582DC646" w14:textId="77777777" w:rsidR="005E7475" w:rsidRPr="005E779E" w:rsidRDefault="005E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6F1C4976" w14:textId="77777777" w:rsidR="00F202BC" w:rsidRPr="005E779E" w:rsidRDefault="00F202BC"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Внешняя политика:</w:t>
      </w:r>
    </w:p>
    <w:p w14:paraId="2B3B327F" w14:textId="77777777" w:rsidR="00F202BC" w:rsidRPr="005E779E" w:rsidRDefault="00F202BC"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90D0B14" w14:textId="77777777" w:rsidR="00F202BC" w:rsidRPr="005E779E" w:rsidRDefault="00F202BC"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21 февраля 1931 г.</w:t>
      </w:r>
    </w:p>
    <w:p w14:paraId="246EC90C" w14:textId="77777777" w:rsidR="00F202BC" w:rsidRPr="005E779E" w:rsidRDefault="00F202BC"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Письмо Д. Г. Штерна помощнику заведующего отделом печати НКИД СССР Я. Б. Подольскому о достоинствах пропагандистской брошюры Вейнберга. 21 февраля 1931 г.</w:t>
      </w:r>
    </w:p>
    <w:p w14:paraId="49238F7A" w14:textId="77777777" w:rsidR="00F202BC" w:rsidRPr="005E779E" w:rsidRDefault="00F202BC"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Источник: </w:t>
      </w:r>
    </w:p>
    <w:p w14:paraId="7444050C" w14:textId="77777777" w:rsidR="00F202BC" w:rsidRPr="005E779E" w:rsidRDefault="00F202B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082935E" w14:textId="77777777" w:rsidR="00F202BC" w:rsidRPr="005E779E" w:rsidRDefault="00F202BC"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Архив: </w:t>
      </w:r>
    </w:p>
    <w:p w14:paraId="5C5C80A5" w14:textId="77777777" w:rsidR="00F202BC" w:rsidRPr="005E779E" w:rsidRDefault="00F202B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АВП РФ. Ф. 056. On. 16. П. 33. Д. 8. Л. 164-164 об.</w:t>
      </w:r>
    </w:p>
    <w:p w14:paraId="63C031C0" w14:textId="77777777" w:rsidR="00F202BC" w:rsidRPr="005E779E" w:rsidRDefault="00F202BC" w:rsidP="000B7A6C">
      <w:pPr>
        <w:pStyle w:val="rteright"/>
        <w:spacing w:before="0" w:after="0"/>
        <w:jc w:val="both"/>
        <w:rPr>
          <w:color w:val="000000" w:themeColor="text1"/>
          <w:sz w:val="16"/>
          <w:szCs w:val="16"/>
        </w:rPr>
      </w:pPr>
      <w:r w:rsidRPr="005E779E">
        <w:rPr>
          <w:color w:val="000000" w:themeColor="text1"/>
          <w:sz w:val="16"/>
          <w:szCs w:val="16"/>
        </w:rPr>
        <w:t>21 февраля 1931 г.</w:t>
      </w:r>
    </w:p>
    <w:p w14:paraId="5F417D99" w14:textId="77777777" w:rsidR="00F202BC" w:rsidRPr="005E779E" w:rsidRDefault="00F202BC" w:rsidP="000B7A6C">
      <w:pPr>
        <w:pStyle w:val="rteright"/>
        <w:spacing w:before="0" w:after="0"/>
        <w:jc w:val="both"/>
        <w:rPr>
          <w:color w:val="000000" w:themeColor="text1"/>
          <w:sz w:val="16"/>
          <w:szCs w:val="16"/>
        </w:rPr>
      </w:pPr>
      <w:r w:rsidRPr="005E779E">
        <w:rPr>
          <w:color w:val="000000" w:themeColor="text1"/>
          <w:sz w:val="16"/>
          <w:szCs w:val="16"/>
        </w:rPr>
        <w:t>Секретно</w:t>
      </w:r>
    </w:p>
    <w:p w14:paraId="6E7C312B" w14:textId="77777777" w:rsidR="00F202BC" w:rsidRPr="005E779E" w:rsidRDefault="00F202BC" w:rsidP="000B7A6C">
      <w:pPr>
        <w:pStyle w:val="ae"/>
        <w:spacing w:before="0" w:after="0"/>
        <w:jc w:val="both"/>
        <w:rPr>
          <w:color w:val="000000" w:themeColor="text1"/>
          <w:sz w:val="16"/>
          <w:szCs w:val="16"/>
        </w:rPr>
      </w:pPr>
      <w:r w:rsidRPr="005E779E">
        <w:rPr>
          <w:color w:val="000000" w:themeColor="text1"/>
          <w:sz w:val="16"/>
          <w:szCs w:val="16"/>
        </w:rPr>
        <w:t>Н.К.И.Д.</w:t>
      </w:r>
    </w:p>
    <w:p w14:paraId="2D772F9D" w14:textId="77777777" w:rsidR="00F202BC" w:rsidRPr="005E779E" w:rsidRDefault="00F202BC" w:rsidP="000B7A6C">
      <w:pPr>
        <w:pStyle w:val="ae"/>
        <w:spacing w:before="0" w:after="0"/>
        <w:jc w:val="both"/>
        <w:rPr>
          <w:color w:val="000000" w:themeColor="text1"/>
          <w:sz w:val="16"/>
          <w:szCs w:val="16"/>
        </w:rPr>
      </w:pPr>
      <w:r w:rsidRPr="005E779E">
        <w:rPr>
          <w:color w:val="000000" w:themeColor="text1"/>
          <w:sz w:val="16"/>
          <w:szCs w:val="16"/>
        </w:rPr>
        <w:t>Отдел Печати тов. Подольскому</w:t>
      </w:r>
    </w:p>
    <w:p w14:paraId="506A7094" w14:textId="77777777" w:rsidR="00F202BC" w:rsidRPr="005E779E" w:rsidRDefault="00F202BC" w:rsidP="000B7A6C">
      <w:pPr>
        <w:pStyle w:val="ae"/>
        <w:spacing w:before="0" w:after="0"/>
        <w:jc w:val="both"/>
        <w:rPr>
          <w:color w:val="000000" w:themeColor="text1"/>
          <w:sz w:val="16"/>
          <w:szCs w:val="16"/>
        </w:rPr>
      </w:pPr>
      <w:r w:rsidRPr="005E779E">
        <w:rPr>
          <w:color w:val="000000" w:themeColor="text1"/>
          <w:sz w:val="16"/>
          <w:szCs w:val="16"/>
        </w:rPr>
        <w:t>Копии: т.т. Крестинскому, Аренсу, Штейну</w:t>
      </w:r>
    </w:p>
    <w:p w14:paraId="1E6DAFBD" w14:textId="77777777" w:rsidR="00F202BC" w:rsidRPr="005E779E" w:rsidRDefault="00F202BC" w:rsidP="000B7A6C">
      <w:pPr>
        <w:pStyle w:val="ae"/>
        <w:spacing w:before="0" w:after="0"/>
        <w:jc w:val="both"/>
        <w:rPr>
          <w:color w:val="000000" w:themeColor="text1"/>
          <w:sz w:val="16"/>
          <w:szCs w:val="16"/>
        </w:rPr>
      </w:pPr>
      <w:r w:rsidRPr="005E779E">
        <w:rPr>
          <w:color w:val="000000" w:themeColor="text1"/>
          <w:sz w:val="16"/>
          <w:szCs w:val="16"/>
        </w:rPr>
        <w:t>Уважаемый Товарищ,</w:t>
      </w:r>
    </w:p>
    <w:p w14:paraId="70FBB48F" w14:textId="77777777" w:rsidR="00F202BC" w:rsidRPr="005E779E" w:rsidRDefault="00F202B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Спешу в последнюю минуту перед уходом почты ответить Вам на Ваше письмо, в связи с брошюрой Вейнберга:</w:t>
      </w:r>
    </w:p>
    <w:p w14:paraId="034AB60F" w14:textId="77777777" w:rsidR="00F202BC" w:rsidRPr="005E779E" w:rsidRDefault="00F202BC" w:rsidP="000B7A6C">
      <w:pPr>
        <w:numPr>
          <w:ilvl w:val="0"/>
          <w:numId w:val="9"/>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первую очередь считаю необходимым отметить, что я[,] указывая на то, что процессу в брошюре уделено около 20 % места, отнюдь не видел в этом недостатка брошюры.</w:t>
      </w:r>
    </w:p>
    <w:p w14:paraId="64370456" w14:textId="77777777" w:rsidR="00F202BC" w:rsidRPr="005E779E" w:rsidRDefault="00F202BC" w:rsidP="000B7A6C">
      <w:pPr>
        <w:numPr>
          <w:ilvl w:val="0"/>
          <w:numId w:val="9"/>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 подлежит сомнению, что брошюра, посвященная в основном процессу[,] не найдет в настоящих условиях издателя. Кроме того, я убежден, что с точки зрения наших политических интересов гораздо выгоднее издать брошюру[,] захватывающую более широкую сферу вопросов, в которой тем не менее процессу уделено видно[е] место, нежели отпугивать читателя брошюрой, носящей специфический характер. Брошюра, типа Вейнберговской, имеет все основания в глазах читателя претендовать на объективность, что в данных условиях является основным. Несравненно более выгодно издать брошюру, найдущую широкий крут читателей, нежели посвященную исключительно процессу, которая резонанса не найдет.</w:t>
      </w:r>
    </w:p>
    <w:p w14:paraId="2DAE3B80" w14:textId="77777777" w:rsidR="00F202BC" w:rsidRPr="005E779E" w:rsidRDefault="00F202BC" w:rsidP="000B7A6C">
      <w:pPr>
        <w:numPr>
          <w:ilvl w:val="0"/>
          <w:numId w:val="9"/>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Сверх все[го] сказанного выше, как я уже сообщал, брошюра находится в портфеле трех издательств, т. к. Вашего телеграфного ответа я не получил и поэтому необходимо было использовать пребывание Вейнберга в Берлине, не откладывая переговоров его с издательствами в долгий ящик.</w:t>
      </w:r>
    </w:p>
    <w:p w14:paraId="102D6955" w14:textId="77777777" w:rsidR="00F202BC" w:rsidRPr="005E779E" w:rsidRDefault="00F202BC" w:rsidP="000B7A6C">
      <w:pPr>
        <w:numPr>
          <w:ilvl w:val="0"/>
          <w:numId w:val="9"/>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Что касается финансовой стороны дела, то обстановка складывается, по[-]видимому, (не берусь окончательно это утверждать) более благоприятно, чем можно было ожидать и наши расходы выразятся в сумме вряд ли превышедшей 500-600 марок, не считая выданных ему на приезд в Берлин и пребывание здесь 200 марок, что, вероятно, не представит при осуществлении для вас особых трудностей, т. к., судя по словам В[ейнберга], ему в Москве делались очень широкие обещания.</w:t>
      </w:r>
    </w:p>
    <w:p w14:paraId="392E8E76" w14:textId="77777777" w:rsidR="00F202BC" w:rsidRPr="005E779E" w:rsidRDefault="00F202BC" w:rsidP="000B7A6C">
      <w:pPr>
        <w:numPr>
          <w:ilvl w:val="0"/>
          <w:numId w:val="9"/>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Одновременно с этим считаю необходимым отметить, что серия фельетонов-статей в «Дорт[мундер] Ген[ераль] Анц[ейгер]», посвященная в значительной степени культурным вопросам в настоящих условиях представляет несомненную ценность.</w:t>
      </w:r>
    </w:p>
    <w:p w14:paraId="4A1C21A1" w14:textId="77777777" w:rsidR="00F202BC" w:rsidRPr="005E779E" w:rsidRDefault="00F202BC" w:rsidP="000B7A6C">
      <w:pPr>
        <w:numPr>
          <w:ilvl w:val="0"/>
          <w:numId w:val="9"/>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Сказанное мною выше является не только моим личным мнением, но разделяется и другими товарищами Полпредства.</w:t>
      </w:r>
    </w:p>
    <w:p w14:paraId="3442F262" w14:textId="77777777" w:rsidR="00F202BC" w:rsidRPr="005E779E" w:rsidRDefault="00F202BC" w:rsidP="000B7A6C">
      <w:pPr>
        <w:numPr>
          <w:ilvl w:val="0"/>
          <w:numId w:val="9"/>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Если мои соображения не будут признаны убедительными, просьба немедленно сообщить мне об этом для ликвидации этого дела, что, конечно, будет сопровождаться порчей отношений с Вейнбергом.</w:t>
      </w:r>
    </w:p>
    <w:p w14:paraId="07596BBA" w14:textId="77777777" w:rsidR="00F202BC" w:rsidRPr="005E779E" w:rsidRDefault="00F202B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тов. приветом</w:t>
      </w:r>
    </w:p>
    <w:p w14:paraId="0C86750C" w14:textId="77777777" w:rsidR="00F202BC" w:rsidRPr="005E779E" w:rsidRDefault="00F202B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 Штерн</w:t>
      </w:r>
    </w:p>
    <w:p w14:paraId="1D4502DC" w14:textId="77777777" w:rsidR="00F202BC" w:rsidRPr="005E779E" w:rsidRDefault="00F202BC" w:rsidP="000B7A6C">
      <w:pPr>
        <w:pStyle w:val="ae"/>
        <w:spacing w:before="0" w:after="0"/>
        <w:jc w:val="both"/>
        <w:rPr>
          <w:color w:val="000000" w:themeColor="text1"/>
          <w:sz w:val="16"/>
          <w:szCs w:val="16"/>
        </w:rPr>
      </w:pPr>
      <w:r w:rsidRPr="005E779E">
        <w:rPr>
          <w:rStyle w:val="af0"/>
          <w:i w:val="0"/>
          <w:color w:val="000000" w:themeColor="text1"/>
          <w:sz w:val="16"/>
          <w:szCs w:val="16"/>
        </w:rPr>
        <w:t>АВП РФ. Ф. 056. On. 16. П. 33. Д. 8. Л. 164-164 об. Машинописный подлинник на бланке Полпредства СССР в Германии, подпись Штерна — автограф. Гриф секретности и дата машинописью, исходящий «№ 349» от руки в графе бланка. Вверху Л. 164 написаны от руки входящий номер и дата получения документа «26.11.31 г.» (18901).</w:t>
      </w:r>
    </w:p>
    <w:p w14:paraId="7B8B7FEB" w14:textId="77777777" w:rsidR="00F202BC" w:rsidRPr="005E779E" w:rsidRDefault="00F202BC" w:rsidP="000B7A6C">
      <w:pPr>
        <w:spacing w:after="0" w:line="240" w:lineRule="auto"/>
        <w:jc w:val="both"/>
        <w:rPr>
          <w:rFonts w:ascii="Times New Roman" w:hAnsi="Times New Roman"/>
          <w:color w:val="000000" w:themeColor="text1"/>
          <w:sz w:val="16"/>
          <w:szCs w:val="16"/>
        </w:rPr>
      </w:pPr>
    </w:p>
    <w:p w14:paraId="31B75DF2"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629BE541"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6870A3F" w14:textId="77777777" w:rsidR="000B1FE7" w:rsidRPr="005E779E" w:rsidRDefault="000B1FE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 февраля 1931 после того, как самолет компании Pan American-Grace Airways (Panagra) Ford Trimotor приземлился в аэропорту Родригес Бальон в Арекипе, Перу, его окружают вооруженные солдаты-революционеры. Они требуют, чтобы он доставил их в другое место, но пилот «Тримотора» отказывается. Противостояние продолжается 10 дней, пока 2 марта солдаты внезапно не объявляют, что их сторона выиграла революцию, и отпускают пилота в обмен на то, что он подвезет одного из них до Лимы (20804).</w:t>
      </w:r>
    </w:p>
    <w:p w14:paraId="55A0D8B8" w14:textId="77777777" w:rsidR="000B1FE7" w:rsidRPr="005E779E" w:rsidRDefault="000B1FE7" w:rsidP="000B7A6C">
      <w:pPr>
        <w:spacing w:after="0" w:line="240" w:lineRule="auto"/>
        <w:jc w:val="both"/>
        <w:rPr>
          <w:rFonts w:ascii="Times New Roman" w:hAnsi="Times New Roman"/>
          <w:color w:val="000000" w:themeColor="text1"/>
          <w:sz w:val="16"/>
          <w:szCs w:val="16"/>
        </w:rPr>
      </w:pPr>
    </w:p>
    <w:p w14:paraId="11B6CE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21 февраля 1931 года на учебном плацу недалеко от города Дессау состоялось первое испытание ракеты Винкулера, но вследствие технической неисправности ракета взлетела всего лишь на три метра от земли. Винклер, который уже не являлся председателем «Общества межпланетных сообщений», но оставался его действительным членом, при финансовой поддержке фабриканта Хюккеля, построил ракету «HWR-1» («ХВР-1», сокращение от «Huckel-Winkler-Rakete») с жидкостным двигателем. Ракета Винклера имела в длину 60 см и весила примерно 5 кг, из которых на долю топливных компонентов приходилось 1,7 кг. Она была похожа на призму, состоявшую из трех трубчатых баков, частично закрытых алюминиевой обшивкой, которая придавала ракете вид коробчатого воздушного змея. В одном баке находился сжиженный метан, в другом – жидкий кислород, а в третьем – «инертный газ под давлением» (так Винклер называл сжатый азот). Двигатель представлял собой кусок цельнотянутой стальной трубы без швов длиной 457 мм, расположенной по оси ракеты (11688).</w:t>
      </w:r>
    </w:p>
    <w:p w14:paraId="2D17F1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A9C4151" w14:textId="77777777" w:rsidR="000030AF" w:rsidRPr="005E779E" w:rsidRDefault="000030AF"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21 февраля</w:t>
      </w:r>
      <w:r w:rsidRPr="005E779E">
        <w:rPr>
          <w:rFonts w:ascii="Times New Roman" w:hAnsi="Times New Roman"/>
          <w:color w:val="000000" w:themeColor="text1"/>
          <w:sz w:val="16"/>
          <w:szCs w:val="16"/>
        </w:rPr>
        <w:t xml:space="preserve"> в 1931 году около города Дессау (Германия) был проведен первый испытательный пуск, первой жидкостной ракеты в Европе, "HWR-1" (HWR - Хюккель-Винклер-ракета). Иоганн Винклер, который уже не являлся председателем «Немецкого ракетного общества», но оставался его действительным членом, при финансовой поддержке фабриканта Хюккеля построил и запустил ракету «HWR-1» с жидкостным двигателем, застолбив таким образом свой приоритет на этом поприще. Ракета Винклера имела в длину 60 сантиметров и весила примерно 5 килограммов, из которых на долю топливных компонентов приходилось 1,7 килограмма. Она была похожа на призму, состоявшую из трех трубчатых баков, частично закрытых алюминиевой обшивкой, которая придавала ракете вид коробчатого воздушного змея. В одном баке находился сжиженный метан, в другом — жидкий кислород, а в третьем — «инертный газ под давлением» (так Винклер называл сжатый азот). Двигатель представлял собой кусок цельнотянутой стальной трубы без швов длиной 457 миллиметров, расположенной по оси ракеты. Первое испытание было проведено 21 февраля 1931 года на учебном плацу недалеко от города Дессау, но вследствие технической неисправности ракета взлетела всего лишь на 3 метра от земли. При вторичном испытании, 14 марта 1931 года, ракета Винклера отклонилась от вертикальной траектории и потому не достигла расчетной высоты, которая должна была составить 500 метров, но в остальном эксперимент прошел успешно (15047).</w:t>
      </w:r>
    </w:p>
    <w:p w14:paraId="278285E3" w14:textId="77777777" w:rsidR="000030AF" w:rsidRPr="005E779E" w:rsidRDefault="000030AF" w:rsidP="000B7A6C">
      <w:pPr>
        <w:spacing w:after="0" w:line="240" w:lineRule="auto"/>
        <w:jc w:val="both"/>
        <w:rPr>
          <w:rFonts w:ascii="Times New Roman" w:hAnsi="Times New Roman"/>
          <w:color w:val="000000" w:themeColor="text1"/>
          <w:sz w:val="16"/>
          <w:szCs w:val="16"/>
        </w:rPr>
      </w:pPr>
    </w:p>
    <w:p w14:paraId="7DA33BBF" w14:textId="52345BAA" w:rsidR="00BD06CF" w:rsidRPr="005E779E" w:rsidRDefault="00BD06C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21 февраля 1931 г. </w:t>
      </w:r>
      <w:r w:rsidRPr="005E779E">
        <w:rPr>
          <w:rFonts w:ascii="Times New Roman" w:hAnsi="Times New Roman"/>
          <w:color w:val="000000" w:themeColor="text1"/>
          <w:sz w:val="16"/>
          <w:szCs w:val="16"/>
          <w:u w:val="single"/>
        </w:rPr>
        <w:t>в</w:t>
      </w:r>
      <w:r w:rsidR="00FE094E">
        <w:rPr>
          <w:rFonts w:ascii="Times New Roman" w:hAnsi="Times New Roman"/>
          <w:color w:val="000000" w:themeColor="text1"/>
          <w:sz w:val="16"/>
          <w:szCs w:val="16"/>
          <w:u w:val="single"/>
        </w:rPr>
        <w:t xml:space="preserve"> </w:t>
      </w:r>
      <w:r w:rsidRPr="005E779E">
        <w:rPr>
          <w:rFonts w:ascii="Times New Roman" w:hAnsi="Times New Roman"/>
          <w:color w:val="000000" w:themeColor="text1"/>
          <w:sz w:val="16"/>
          <w:szCs w:val="16"/>
          <w:u w:val="single"/>
        </w:rPr>
        <w:t>окрестностях</w:t>
      </w:r>
      <w:r w:rsidRPr="005E779E">
        <w:rPr>
          <w:rFonts w:ascii="Times New Roman" w:hAnsi="Times New Roman"/>
          <w:color w:val="000000" w:themeColor="text1"/>
          <w:sz w:val="16"/>
          <w:szCs w:val="16"/>
        </w:rPr>
        <w:t xml:space="preserve"> Дессау Винклер вместе с</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Хюккелем и</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Бауманом попытался запустить ракету HW-1 (Hueckel-Winkler) (Хюккель? Это владелец шляпной фабрики, оказывавший финансовую поддержку Винклеру). Внешне ракета напоминала трехгранную призму, составленную из трех баков в виде труб, частично закрытых алюминиевой обшивкой. В</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них находились жидкий метан, жидкий кислород и</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сжатый азот, под давлением которого горючее и</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окислитель подавались в</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камеру сгорания двигателя. Она была расположена между баками по оси ракеты. Сопло двигателя имело керамическое покрытие. Стартовый вес ракеты составил около 5 кг, вес топлива около 1,7 кг. Длина — 60 см, длина ЖРД — 45,7 см. Ракета из-за технических неполадок поднялась всего на 3</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метра и</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упала на землю. Вскоре после неудачного испытания, 7 марта, Винклер взял двухгодичный отпуск и</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покинул лабораторию Юнкерса (где он разрабатывал стартовые ускорителей с ТРД для гидросамолета «Юнкерс-33»), чтобы полностью сосредоточиться на создании и испытаниях ракет. 14 марта 1931</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на том же поле Винклер запустил ту же ракету, которую оснастил стабилизаторами, прикрепленными к</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нижним концам труб (модель HW-1a). По его расчётам, она должна была подняться на высоту 500 м. Однако, достигнув 60 м, ракета отклонилась от вертикали и упала в 200 метрах от места старта. Тем не менее, это был первый в Европе успешный запуск ракеты с ЖРД! Его сняли на кинопленку операторы нью-йоркской кинокомпании «Paramount News» (фильм сохранился до наших дней) (23372)</w:t>
      </w:r>
    </w:p>
    <w:p w14:paraId="7A3816C1" w14:textId="77777777" w:rsidR="00BD06CF" w:rsidRPr="005E779E" w:rsidRDefault="00BD06CF" w:rsidP="000B7A6C">
      <w:pPr>
        <w:spacing w:after="0" w:line="240" w:lineRule="auto"/>
        <w:jc w:val="both"/>
        <w:rPr>
          <w:rFonts w:ascii="Times New Roman" w:hAnsi="Times New Roman"/>
          <w:color w:val="000000" w:themeColor="text1"/>
          <w:sz w:val="16"/>
          <w:szCs w:val="16"/>
        </w:rPr>
      </w:pPr>
    </w:p>
    <w:p w14:paraId="1A524DCA" w14:textId="7803D9AB" w:rsidR="00A145D0" w:rsidRPr="005E779E" w:rsidRDefault="00A145D0" w:rsidP="00A145D0">
      <w:pPr>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Авиапромышленность</w:t>
      </w:r>
      <w:r w:rsidRPr="005E779E">
        <w:rPr>
          <w:rFonts w:ascii="Times New Roman" w:hAnsi="Times New Roman"/>
          <w:i/>
          <w:iCs/>
          <w:color w:val="000000" w:themeColor="text1"/>
          <w:sz w:val="16"/>
          <w:szCs w:val="16"/>
        </w:rPr>
        <w:t>:</w:t>
      </w:r>
    </w:p>
    <w:p w14:paraId="627F0F61" w14:textId="77777777" w:rsidR="00A145D0" w:rsidRPr="005E779E" w:rsidRDefault="00A145D0" w:rsidP="00A145D0">
      <w:pPr>
        <w:autoSpaceDE w:val="0"/>
        <w:autoSpaceDN w:val="0"/>
        <w:adjustRightInd w:val="0"/>
        <w:spacing w:after="0" w:line="240" w:lineRule="auto"/>
        <w:jc w:val="both"/>
        <w:rPr>
          <w:rFonts w:ascii="Times New Roman" w:hAnsi="Times New Roman"/>
          <w:i/>
          <w:iCs/>
          <w:color w:val="000000" w:themeColor="text1"/>
          <w:sz w:val="16"/>
          <w:szCs w:val="16"/>
        </w:rPr>
      </w:pPr>
    </w:p>
    <w:p w14:paraId="014B4CA8" w14:textId="77777777" w:rsidR="00A145D0" w:rsidRPr="00142305" w:rsidRDefault="00A145D0" w:rsidP="00A145D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22 февраля 1931 г., на следующий день после окончания госиспытаний АНТ-6, состоялось совещание представителей ЦАГИ и НИИ ВВС, в протоколе которого, в частности, отмечалось: «ТБ-3-4 «Кертис-Конкверор» является по своим летным данным современным бомбардировщиком, стоящим на уровне лучших заграничных самолетов. Считать необходимым пустить само</w:t>
      </w:r>
      <w:r w:rsidRPr="00142305">
        <w:rPr>
          <w:rFonts w:ascii="Times New Roman" w:hAnsi="Times New Roman"/>
          <w:color w:val="0070C0"/>
          <w:sz w:val="16"/>
          <w:szCs w:val="16"/>
        </w:rPr>
        <w:softHyphen/>
        <w:t>лет в серийную постройку с заменой моторов «Кертис-Конкверор» на М-17».</w:t>
      </w:r>
    </w:p>
    <w:p w14:paraId="40C879E3" w14:textId="77777777" w:rsidR="00A145D0" w:rsidRPr="00142305" w:rsidRDefault="00A145D0" w:rsidP="00A145D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совещании говорилось, что самолет устойчив на всех режимах и при отрегулиро</w:t>
      </w:r>
      <w:r w:rsidRPr="00142305">
        <w:rPr>
          <w:rFonts w:ascii="Times New Roman" w:hAnsi="Times New Roman"/>
          <w:color w:val="0070C0"/>
          <w:sz w:val="16"/>
          <w:szCs w:val="16"/>
        </w:rPr>
        <w:softHyphen/>
        <w:t>ванном стабилизаторе летит продолжительное время с брошенным штурвалом, допускает виражи с креном 40-45 градусов, время выполнения полного разворота в зависимости от направления изменялось от 54,5 до 56,5 секунды. Возможен также полет на трех моторах в любых комбинациях, но в этом случае были очень велики нагрузки на педали (30—40 кг). На взлете и посадке самолет не имел тенденций к развороту.</w:t>
      </w:r>
    </w:p>
    <w:p w14:paraId="65F8BD6D" w14:textId="77777777" w:rsidR="00A145D0" w:rsidRPr="00142305" w:rsidRDefault="00A145D0" w:rsidP="00A145D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Вместе с тем указывалось на недостатки огневых точек, ограничивавших сферы обстрела назад, на чрезмерные нагрузки на рули и малую эффективность хвостового опере</w:t>
      </w:r>
      <w:r w:rsidRPr="00142305">
        <w:rPr>
          <w:rFonts w:ascii="Times New Roman" w:hAnsi="Times New Roman"/>
          <w:color w:val="0070C0"/>
          <w:sz w:val="16"/>
          <w:szCs w:val="16"/>
        </w:rPr>
        <w:softHyphen/>
        <w:t>ния, рулей поворота и высоты, отсутствие связи между членами экипажа.</w:t>
      </w:r>
    </w:p>
    <w:p w14:paraId="1287DA3D" w14:textId="77777777" w:rsidR="00A145D0" w:rsidRPr="00142305" w:rsidRDefault="00A145D0" w:rsidP="00A145D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Для улучшения защиты задней полусферы на совещании предложили сделать двухки</w:t>
      </w:r>
      <w:r w:rsidRPr="00142305">
        <w:rPr>
          <w:rFonts w:ascii="Times New Roman" w:hAnsi="Times New Roman"/>
          <w:color w:val="0070C0"/>
          <w:sz w:val="16"/>
          <w:szCs w:val="16"/>
        </w:rPr>
        <w:softHyphen/>
        <w:t>левое оперение, а в случае невозможности - снабдить серийные самолеты огневыми точ</w:t>
      </w:r>
      <w:r w:rsidRPr="00142305">
        <w:rPr>
          <w:rFonts w:ascii="Times New Roman" w:hAnsi="Times New Roman"/>
          <w:color w:val="0070C0"/>
          <w:sz w:val="16"/>
          <w:szCs w:val="16"/>
        </w:rPr>
        <w:softHyphen/>
        <w:t>ками под крылом. Это предложение рассматривалось еще во время работы макетной комис</w:t>
      </w:r>
      <w:r w:rsidRPr="00142305">
        <w:rPr>
          <w:rFonts w:ascii="Times New Roman" w:hAnsi="Times New Roman"/>
          <w:color w:val="0070C0"/>
          <w:sz w:val="16"/>
          <w:szCs w:val="16"/>
        </w:rPr>
        <w:softHyphen/>
        <w:t>сии и было отражено в ее протоколе по изменению технических условий на ТБ-3 в феврале 1930 года.</w:t>
      </w:r>
    </w:p>
    <w:p w14:paraId="00CC0F42" w14:textId="77777777" w:rsidR="00A145D0" w:rsidRPr="00142305" w:rsidRDefault="00A145D0" w:rsidP="00A145D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Предлагалась также установка щелевых элеронов. Однако от этой идеи отказались из-за сложности и предложили испытать их на проектировавшемся пассажирском АНТ-14. Рекомендовалось на опытной машине увеличить аэродинамический компенсатор и площадь руля высоты (24991).</w:t>
      </w:r>
    </w:p>
    <w:p w14:paraId="2F721A30" w14:textId="77777777" w:rsidR="00A145D0" w:rsidRPr="00142305" w:rsidRDefault="00A145D0" w:rsidP="00A145D0">
      <w:pPr>
        <w:spacing w:after="0" w:line="240" w:lineRule="auto"/>
        <w:jc w:val="both"/>
        <w:rPr>
          <w:rFonts w:ascii="Times New Roman" w:hAnsi="Times New Roman"/>
          <w:color w:val="0070C0"/>
          <w:sz w:val="16"/>
          <w:szCs w:val="16"/>
        </w:rPr>
      </w:pPr>
    </w:p>
    <w:p w14:paraId="06010EDE" w14:textId="5E1D8CFB" w:rsidR="00225E06" w:rsidRPr="005E779E" w:rsidRDefault="00225E06" w:rsidP="000B7A6C">
      <w:pPr>
        <w:autoSpaceDE w:val="0"/>
        <w:autoSpaceDN w:val="0"/>
        <w:adjustRightInd w:val="0"/>
        <w:spacing w:after="0" w:line="240" w:lineRule="auto"/>
        <w:jc w:val="both"/>
        <w:rPr>
          <w:rFonts w:ascii="Times New Roman" w:hAnsi="Times New Roman"/>
          <w:i/>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3E8DA9FC" w14:textId="77777777" w:rsidR="00225E06" w:rsidRPr="005E779E" w:rsidRDefault="00225E06" w:rsidP="000B7A6C">
      <w:pPr>
        <w:autoSpaceDE w:val="0"/>
        <w:autoSpaceDN w:val="0"/>
        <w:adjustRightInd w:val="0"/>
        <w:spacing w:after="0" w:line="240" w:lineRule="auto"/>
        <w:jc w:val="both"/>
        <w:rPr>
          <w:rFonts w:ascii="Times New Roman" w:hAnsi="Times New Roman"/>
          <w:i/>
          <w:iCs/>
          <w:color w:val="000000" w:themeColor="text1"/>
          <w:sz w:val="16"/>
          <w:szCs w:val="16"/>
        </w:rPr>
      </w:pPr>
    </w:p>
    <w:p w14:paraId="5BBF0C46"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 февраля 1931 г. в Мобилизационно-плановой секции ВСНХ СССР состоялось заседание, на котором был разработан план мероприятий по реализации вышеуказанного Постановления Политбюро ЦК ВКП(б). Относительно создания танкового дизеля было принято следующее решение, зафиксированное в Протоколе заседания:</w:t>
      </w:r>
    </w:p>
    <w:p w14:paraId="4B46D091"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Проектирование и изготовление опытного образца дизельного мотора в 240 – 300 лош. сил поручить Научно-Авто-тракторному Институту ВАТО.</w:t>
      </w:r>
    </w:p>
    <w:p w14:paraId="76BC1D2B"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Поручить т. ЛУКИНУ [начальник Специального сектора ВАТО] в 2-х недельный срок установить на каких персонально конструкторов возлагается разработка этого вопроса.</w:t>
      </w:r>
    </w:p>
    <w:p w14:paraId="29B7FA4D"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тов. ЛУКИНУ немедленно закупить заграницей образцы дизель-моторов, в частности, у фирмы МАН, ЮНКЕРС и ДАЙМЛЕР – в Германии и Англии – АЕС. Предложить т. ЛУКИНУ немедленно связаться по этому вопросу с т. Лугановским.</w:t>
      </w:r>
    </w:p>
    <w:p w14:paraId="120A233C"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Работу по конструкции дизель-мотора вести с таким расчетом, чтобы 1-й опытный образец мог быть предъявлен к испытанию 1 декабря.</w:t>
      </w:r>
    </w:p>
    <w:p w14:paraId="29F65E4F"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Ответственным за организацию и надлежащие темпы работы по конструкции дизеля являются т.т. Лукин, Лебедев [председатель НТК УММ] и Зелинский [и.о. директора НАТИ]».</w:t>
      </w:r>
    </w:p>
    <w:p w14:paraId="6B8CC84D"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[РГАЭ. Ф. 3429. Оп. 16. Д. 198. Л. 3 об.]</w:t>
      </w:r>
    </w:p>
    <w:p w14:paraId="12ED1661"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Задание на проектирование и изготовление опытного образца танкового дизеля с максимальной мощностью 300 л.с. было выдано Управлением по механизации и моторизации (УММ) РККА, а сам дизель, к проектированию которого приступили в НАТИ, получил название Д-300 (24856).</w:t>
      </w:r>
    </w:p>
    <w:p w14:paraId="2C804A00" w14:textId="77777777" w:rsidR="00225E06" w:rsidRPr="005E779E" w:rsidRDefault="00225E06" w:rsidP="000B7A6C">
      <w:pPr>
        <w:spacing w:after="0" w:line="240" w:lineRule="auto"/>
        <w:jc w:val="both"/>
        <w:rPr>
          <w:rFonts w:ascii="Times New Roman" w:hAnsi="Times New Roman"/>
          <w:color w:val="000000" w:themeColor="text1"/>
          <w:sz w:val="16"/>
          <w:szCs w:val="16"/>
        </w:rPr>
      </w:pPr>
    </w:p>
    <w:p w14:paraId="5557178D" w14:textId="71A41384"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092F5E02"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93627C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 февраля 1931 года Директивой На</w:t>
      </w:r>
      <w:r w:rsidRPr="005E779E">
        <w:rPr>
          <w:rFonts w:ascii="Times New Roman" w:hAnsi="Times New Roman"/>
          <w:color w:val="000000" w:themeColor="text1"/>
          <w:sz w:val="16"/>
          <w:szCs w:val="16"/>
        </w:rPr>
        <w:softHyphen/>
        <w:t>родного комиссара по военным и морским делам СССР и Революционно-военного совета СССР № 017127/сс на формирование опытной мехбрига</w:t>
      </w:r>
      <w:r w:rsidRPr="005E779E">
        <w:rPr>
          <w:rFonts w:ascii="Times New Roman" w:hAnsi="Times New Roman"/>
          <w:color w:val="000000" w:themeColor="text1"/>
          <w:sz w:val="16"/>
          <w:szCs w:val="16"/>
        </w:rPr>
        <w:softHyphen/>
        <w:t>ды обращался 3-й автоброневой дивизион, расположенный в Москве (11284).</w:t>
      </w:r>
    </w:p>
    <w:p w14:paraId="2DA0C7D9" w14:textId="3389B8ED"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88387C" w14:textId="597AE81A" w:rsidR="000B1FE7" w:rsidRPr="005E779E" w:rsidRDefault="000B1FE7" w:rsidP="000B7A6C">
      <w:pPr>
        <w:shd w:val="clear" w:color="auto" w:fill="FFFFFF"/>
        <w:autoSpaceDE w:val="0"/>
        <w:autoSpaceDN w:val="0"/>
        <w:adjustRightInd w:val="0"/>
        <w:spacing w:after="0" w:line="240" w:lineRule="auto"/>
        <w:jc w:val="both"/>
        <w:rPr>
          <w:rFonts w:ascii="Times New Roman" w:hAnsi="Times New Roman"/>
          <w:i/>
          <w:iCs/>
          <w:color w:val="000000" w:themeColor="text1"/>
          <w:sz w:val="16"/>
          <w:szCs w:val="16"/>
        </w:rPr>
      </w:pPr>
      <w:r w:rsidRPr="005E779E">
        <w:rPr>
          <w:rFonts w:ascii="Times New Roman" w:hAnsi="Times New Roman"/>
          <w:i/>
          <w:iCs/>
          <w:color w:val="000000" w:themeColor="text1"/>
          <w:sz w:val="16"/>
          <w:szCs w:val="16"/>
        </w:rPr>
        <w:t>Внешняя политика:</w:t>
      </w:r>
    </w:p>
    <w:p w14:paraId="11032699" w14:textId="77777777" w:rsidR="000B1FE7" w:rsidRPr="005E779E" w:rsidRDefault="000B1FE7" w:rsidP="000B7A6C">
      <w:pPr>
        <w:shd w:val="clear" w:color="auto" w:fill="FFFFFF"/>
        <w:autoSpaceDE w:val="0"/>
        <w:autoSpaceDN w:val="0"/>
        <w:adjustRightInd w:val="0"/>
        <w:spacing w:after="0" w:line="240" w:lineRule="auto"/>
        <w:jc w:val="both"/>
        <w:rPr>
          <w:rFonts w:ascii="Times New Roman" w:hAnsi="Times New Roman"/>
          <w:i/>
          <w:iCs/>
          <w:color w:val="000000" w:themeColor="text1"/>
          <w:sz w:val="16"/>
          <w:szCs w:val="16"/>
        </w:rPr>
      </w:pPr>
    </w:p>
    <w:p w14:paraId="7719AA57" w14:textId="77777777" w:rsidR="000B1FE7" w:rsidRPr="005E779E" w:rsidRDefault="000B1FE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 февраля 1931 г.</w:t>
      </w:r>
    </w:p>
    <w:p w14:paraId="2EA8C8D0" w14:textId="77777777" w:rsidR="000B1FE7" w:rsidRPr="005E779E" w:rsidRDefault="000B1FE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Записка Председателя РВС МНКА Г.Демида начальнику Разведупра Штаба РККА</w:t>
      </w:r>
    </w:p>
    <w:p w14:paraId="1C2C9B1F" w14:textId="77777777" w:rsidR="000B1FE7" w:rsidRPr="005E779E" w:rsidRDefault="000B1FE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Я.К.Берзину о военных заказах МНР на 1931 - 1933 годы и оплате их в рассрочку</w:t>
      </w:r>
    </w:p>
    <w:p w14:paraId="7647B9A4" w14:textId="77777777" w:rsidR="000B1FE7" w:rsidRPr="005E779E" w:rsidRDefault="000B1FE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 февраля 1931 г.</w:t>
      </w:r>
    </w:p>
    <w:p w14:paraId="38A9D06D" w14:textId="77777777" w:rsidR="000B1FE7" w:rsidRPr="005E779E" w:rsidRDefault="000B1FE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Дружба и связь Монгольской Красной Армии с Рабоче-Крестьянской Армией СССР укрепляется.</w:t>
      </w:r>
    </w:p>
    <w:p w14:paraId="65ADA536" w14:textId="77777777" w:rsidR="000B1FE7" w:rsidRPr="005E779E" w:rsidRDefault="000B1FE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 В росте боевой мощи и политической закалки МНКА военно-инструкторский состав сыграл большую роль. В общеармейском строительстве военных инструкторов в особенности усилилось после разгрома правого руководства, которое искусственно создавало ряд препятствий в работе инструкторов. </w:t>
      </w:r>
    </w:p>
    <w:p w14:paraId="51A7EA9F" w14:textId="77777777" w:rsidR="000B1FE7" w:rsidRPr="005E779E" w:rsidRDefault="000B1FE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созданием левого руководства работа по подготовке армии идет усиленным темпом и инструктора установили деловые взаимоотношения с монгольскими командирами. Есть отдельные факты, тормозящие работу инструкторов, но с ними ведется борьба Правительством и МНРП.</w:t>
      </w:r>
    </w:p>
    <w:p w14:paraId="31E0C615" w14:textId="77777777" w:rsidR="000B1FE7" w:rsidRPr="005E779E" w:rsidRDefault="000B1FE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Монгольская Народная Красная Армия после VIII съезда строго проводит классовый принцип комплектования бойцов армии. До настоящего времени еще нельзя сказать утвердительно, что классовый принцип полностью проведен в армии, но мы подходим к окончательному его проведению в текущем году (имеющий свыше 100 бодо причисляется к зажиточно-кулацкому элементу, но есть случаи, когда имеющий 100 бодо эксплуатирует монгольских аратов).</w:t>
      </w:r>
    </w:p>
    <w:p w14:paraId="171BD1D2" w14:textId="77777777" w:rsidR="000B1FE7" w:rsidRPr="005E779E" w:rsidRDefault="000B1FE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Командный состав на 90% состоит из бедняцко-середняцкого аратства и только 10% из чуждой среды по официальному положению, но все они прошли десятилетнюю школу службы в армии и вполне преданы правительству МНР.</w:t>
      </w:r>
    </w:p>
    <w:p w14:paraId="214D35FD" w14:textId="77777777" w:rsidR="000B1FE7" w:rsidRPr="005E779E" w:rsidRDefault="000B1FE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4. Наша армия сформировалась в 1921 году. Командный состав и бойцы не имеют достаточного боевого опыта, недостаточную тактическую и политическую подготовку, сейчас является основной задачей усиление боевой мощи армии, увеличение технических средств, не только владея ими, но зная правильно ее использовать. Большую роль в этом деле проводят военные инструктора, проводя техническое образование в армии.</w:t>
      </w:r>
    </w:p>
    <w:p w14:paraId="2A1CF671" w14:textId="77777777" w:rsidR="000B1FE7" w:rsidRPr="005E779E" w:rsidRDefault="000B1FE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Ограниченные материальные средства, своеобразные условия страны, а также опыт прошлых лет позволяют нам основные силы армии вести по линии территориального строительства. Текущим летом (с 1 мая) МНКА будет иметь 4 территориальных полка. Это позволит нам накопить достаточно кадров военнообязанных и широко развить допризывную подготовку, использовать кадры территориальных полков.</w:t>
      </w:r>
    </w:p>
    <w:p w14:paraId="34270420" w14:textId="77777777" w:rsidR="000B1FE7" w:rsidRPr="005E779E" w:rsidRDefault="000B1FE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Реввоенсовет МНКА принимает все меры к улучшению бытовых условий бойцов, но это не везде удается, в особенности это сказывается на положении погранчастей МНКА. Отсутствие казарм на границах, а также и строительного материала для постройки таковых на месте вынуждает погранчасти размещать в юртах, порою в районах где недостает воды и топлива. Военсовет МНКА в текущем году провел ряд мер, обеспечивающих улучшение бытовых условий погранчастей, как-то: замена старых юрт новыми, увеличение медицинской помощи в пограничных районах, усиление питания и т. п.</w:t>
      </w:r>
    </w:p>
    <w:p w14:paraId="57D60682" w14:textId="77777777" w:rsidR="000B1FE7" w:rsidRPr="005E779E" w:rsidRDefault="000B1FE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Проводимые партией и правительством мероприятия по переустройству экономики сельского хозяйства и промышленности МНР, а равно частичная конфискация имущества феодалов и передача на выпас джасского520 скота колхозам и артелям, не могли не вызвать резкого классового расслоения в стране. Это обстоятельство отразилось и на армии. Местами ламы сагитировали отдельных красноармейцев к побегу за рубеж и дезертирству, но это были отдельные случаи.</w:t>
      </w:r>
    </w:p>
    <w:p w14:paraId="48C47C9F" w14:textId="77777777" w:rsidR="000B1FE7" w:rsidRPr="005E779E" w:rsidRDefault="000B1FE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Оперативный план. Покус сделал доклад РВС МНКА о пересоставлении оперативного] плана.</w:t>
      </w:r>
    </w:p>
    <w:p w14:paraId="34EDBFF8" w14:textId="77777777" w:rsidR="000B1FE7" w:rsidRPr="005E779E" w:rsidRDefault="000B1FE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Правительство новый оперативный план утвердило, но военный бюджет оставило в прежней норме. </w:t>
      </w:r>
    </w:p>
    <w:p w14:paraId="1FEA6FA0" w14:textId="77777777" w:rsidR="000B1FE7" w:rsidRPr="005E779E" w:rsidRDefault="000B1FE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Оперативный план должен обеспечиваться соответствующими материальными ресурсами.</w:t>
      </w:r>
    </w:p>
    <w:p w14:paraId="7FC9217E" w14:textId="77777777" w:rsidR="000B1FE7" w:rsidRPr="005E779E" w:rsidRDefault="000B1FE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Военная угроза вторжения в МНР с каждым годом усиливается. Внутри страны мы также имеем феодально-ламские элементы и зажиточно-кулацкие элементы, которые весьма враждебно настроены к правительству. Ряд контрреволюционных выступлений в прошлом году в МНР и нападение белогвардейцев на наши пограничные посты осенью [19]30 г. свидетельствуют, что японские империалисты поддерживают Панчен-Богдо и ряд белогвардейских группировок на нашей восточной и юго-восточной границах. Наш оперативный план безусловно требует соответствующего материального обеспечения. Поскольку у нас нет своей военной промышленности, мы возлагаем большие надежды на помощь в этом деле Советского Союза. Нами принимаются меры по проведению</w:t>
      </w:r>
    </w:p>
    <w:p w14:paraId="6216CCD7" w14:textId="77777777" w:rsidR="000B1FE7" w:rsidRPr="005E779E" w:rsidRDefault="000B1FE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экономической подготовки в стране к войне путем проведения соответствующего согласования с другими министерствами, но этот вопрос у нас находится в подготовительной стадии работы.</w:t>
      </w:r>
    </w:p>
    <w:p w14:paraId="1FBD4DDE" w14:textId="77777777" w:rsidR="000B1FE7" w:rsidRPr="005E779E" w:rsidRDefault="000B1FE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Лично думаю, что необходимо заключить ряд соответствующих договоров о насыщении нашей армии техническим имуществом в развитии нашего оперплана с тем, чтобы оперплан был обоснован на соответствующей материальной военной базе. Я не сомневаюсь, что в этом вопросе мы встретим полную поддержку со стороны СССР. Поскольку мы имеем тесную дружбу с СССР, может быть и не потребуется соответствующего договора, а будет предоставлена соответствующая рассрочка по нашим военным заказам, поскольку они диктуются необходимостью укрепления обороноспособности страны и защитой независимости МНР.</w:t>
      </w:r>
    </w:p>
    <w:p w14:paraId="3C60F77E" w14:textId="77777777" w:rsidR="000B1FE7" w:rsidRPr="005E779E" w:rsidRDefault="000B1FE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Должен поставить Вас в известность, что оперативный план будет жизненен при условии обеспечения его материальными средствами, а также его согласования со всеми нашими хозяйственными органами и министерствами. Этого еще нами не произведено.</w:t>
      </w:r>
    </w:p>
    <w:p w14:paraId="6F037F4D" w14:textId="77777777" w:rsidR="000B1FE7" w:rsidRPr="005E779E" w:rsidRDefault="000B1FE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Подготовка командного состава. Средний командный состав подготовляем своими силами в Объединенном военном училище (ОВУ), которое с 1931 года расширено, в него влита школа им. Сухе-Батора, представляющая подготовительные курсу в ОВУ. В настоящем году в ОВУ имеется до 100 человек курсантов при достаточно слаженной учебной работе.</w:t>
      </w:r>
    </w:p>
    <w:p w14:paraId="7437A7B4" w14:textId="77777777" w:rsidR="000B1FE7" w:rsidRPr="005E779E" w:rsidRDefault="000B1FE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Младший командный состав готовим в полковых школах и в дивизионной кавшколе.</w:t>
      </w:r>
    </w:p>
    <w:p w14:paraId="1629929D" w14:textId="77777777" w:rsidR="000B1FE7" w:rsidRPr="005E779E" w:rsidRDefault="000B1FE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Наряду с европеизацией армии мы усиливаем и техническую мощь армии. В частности, мы обращаем особенное внимание на авто-мото-дивизион, сформировали при нем десантный отряд (ударно -сковывающая группа, посаженная на машины). Десантный отряд комплектуем из ревсомольцев, и поставлен лозунг усиления культурно-политической связи с СССР.</w:t>
      </w:r>
    </w:p>
    <w:p w14:paraId="53EA4C01" w14:textId="77777777" w:rsidR="000B1FE7" w:rsidRPr="005E779E" w:rsidRDefault="000B1FE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О заказах. Имеющаяся задолженность по военным заказам около 3 000 000 рублей предполагаем погасить в 4 года, как это разрешено Советским правительством. В этом, 1931 г., вносим первый взнос 500 000 рублей. Весь долг оплатит правительство в указанные сроки.</w:t>
      </w:r>
    </w:p>
    <w:p w14:paraId="5E729A54" w14:textId="77777777" w:rsidR="000B1FE7" w:rsidRPr="005E779E" w:rsidRDefault="000B1FE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Новый заказ на сумму ориентировочно 1 300 000 рублей оплатим в следующие сроки: 600 000 в 1931 г., на остальную сумму просим предоставить рассрочку на 1932 - 1933 гг.</w:t>
      </w:r>
    </w:p>
    <w:p w14:paraId="6D976BCB" w14:textId="77777777" w:rsidR="000B1FE7" w:rsidRPr="005E779E" w:rsidRDefault="000B1FE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новом заказе мы просим 3 самолета, военно-хозяйственное имущество и, частично, артимущество. Потребность в самолетах вызывается тем, что в отряде МНКА имеется три самолета Р-1, с мотором М-5, полученных в 1930 г., и один Юнкере 1929 г., а также 2 машины.</w:t>
      </w:r>
    </w:p>
    <w:p w14:paraId="650F3E6F" w14:textId="77777777" w:rsidR="000B1FE7" w:rsidRPr="005E779E" w:rsidRDefault="000B1FE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РГВА. Ф. 33987. Он. 3. Д. 225. Л. 3. Копия (20014).</w:t>
      </w:r>
    </w:p>
    <w:p w14:paraId="14DB138D" w14:textId="77777777" w:rsidR="000B1FE7" w:rsidRPr="005E779E" w:rsidRDefault="000B1FE7" w:rsidP="000B7A6C">
      <w:pPr>
        <w:spacing w:after="0" w:line="240" w:lineRule="auto"/>
        <w:jc w:val="both"/>
        <w:rPr>
          <w:rFonts w:ascii="Times New Roman" w:hAnsi="Times New Roman"/>
          <w:color w:val="000000" w:themeColor="text1"/>
          <w:sz w:val="16"/>
          <w:szCs w:val="16"/>
        </w:rPr>
      </w:pPr>
    </w:p>
    <w:p w14:paraId="0C1F9F7C"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34360EBF"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8E07F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февраля 1931 вышел приказ по ВАО N 56:</w:t>
      </w:r>
    </w:p>
    <w:p w14:paraId="779350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наиболее успешной и быстрой постройки опытного самолета ДИ-4 КГ французского и Лавиль передать в непосредственное подчинение Управления опытного строительства ВАО.</w:t>
      </w:r>
    </w:p>
    <w:p w14:paraId="697F9D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КГ присвоить название Бюро новых конструкций ВАО (БНК ВАО). При БНК создать самостоятельные производственные мастерские, обеспечивающие постройку опытных образцов." (2354,19).</w:t>
      </w:r>
    </w:p>
    <w:p w14:paraId="5FDACE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81F24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февраля 1931 г. ЭПРОН передан в ведение Народного комиссариата водного транспорта. 11.03.1931 г. при Главном управлении для проработки производственных вопросов, разработки проектов и планов судоподъемных, аварийно-спасательных и водолазно-строительных работ, конструкции приспособлений и усовершенствований производства был организован Научно-технический совет ЭПРОНа, в который наряду со специалистами его Главного управления вошли ведущие ученые в области кораблестроения - академик Алексей Николаевич Крылов, члены-корреспонденты АН СССР Ю.А.Шиманский, П.Ф.Попкович, профессор В.Г.Власов и в области физиологии водолазного руда академик Леон Абгарович Орбели и член-корреспондент АН СССР Евгений Михайлович Крепе. С 1932 г. Научно-технический совет возглавлял начальник ЭПРОНа Фотий Иванович Крылов. Материалы заседаний Совета и отчеты по наиболее интересным судоподъемным и водолазным работам публиковались в "Сборниках ЭПРОНа", которые начали издаваться с 1933 г. (11631).</w:t>
      </w:r>
    </w:p>
    <w:p w14:paraId="0DD7B8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7DBD54C"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37928460"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8364242"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февраля 1931 г.</w:t>
      </w:r>
    </w:p>
    <w:p w14:paraId="4498AA54"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РГАЭ Фонд 3429 Опись 16 Дело 198 лист 4 – 3 </w:t>
      </w:r>
    </w:p>
    <w:p w14:paraId="2FCB35E1"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Сов.секретно. </w:t>
      </w:r>
    </w:p>
    <w:p w14:paraId="21DEB8A7"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23/II-31 г. ааз № 1688 </w:t>
      </w:r>
    </w:p>
    <w:p w14:paraId="785EB62E"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ПРОТОКОЛ № ___ </w:t>
      </w:r>
    </w:p>
    <w:p w14:paraId="648008E8"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ЗАСЕДАНИЯ в М.П.С. ВСНХ С.С.С.Р. </w:t>
      </w:r>
    </w:p>
    <w:p w14:paraId="1EE29269"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 22 Февраля 1931 г.</w:t>
      </w:r>
    </w:p>
    <w:p w14:paraId="75178FB9"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Присутствовали: </w:t>
      </w:r>
    </w:p>
    <w:p w14:paraId="23F19449"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от М.П.С. – т. МАРТИНОВИЧ, ЧЕРИ, УРЕЦКИЙ. </w:t>
      </w:r>
    </w:p>
    <w:p w14:paraId="05D2738A"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от Оружобъединения – т. БУДНЯК </w:t>
      </w:r>
    </w:p>
    <w:p w14:paraId="75A71F64"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от УММ РККА – т. ХАЛЕПСКИЙ, БОКИС, ЛЕБЕДЕВ. </w:t>
      </w:r>
    </w:p>
    <w:p w14:paraId="276C2A41"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от ВАТО – т. ЛУКИН. </w:t>
      </w:r>
    </w:p>
    <w:p w14:paraId="7B9DBAE1"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от Парвагдиза – т. КУРИЦЫН. </w:t>
      </w:r>
    </w:p>
    <w:p w14:paraId="6D173D93"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Председатель – т. МАРТИНОВИЧ. </w:t>
      </w:r>
    </w:p>
    <w:p w14:paraId="2FA229B6"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Слушали: О реализации постановления ПБ по танко-строению. </w:t>
      </w:r>
    </w:p>
    <w:p w14:paraId="7B2707F3"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Постановили: </w:t>
      </w:r>
    </w:p>
    <w:p w14:paraId="2368F781"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По танкеткам.</w:t>
      </w:r>
    </w:p>
    <w:p w14:paraId="0CEBDE04"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Пункт "в" постановления ПБ в части Нижегородского завода поручить проработать т.т. ЧЕРИ и ЛУКИНУ, с привлечением необходимых работников – в месячный срок. </w:t>
      </w:r>
    </w:p>
    <w:p w14:paraId="4FB1043D"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По малому танку.</w:t>
      </w:r>
    </w:p>
    <w:p w14:paraId="54FC6842"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 Принять к сведению заявление т. БУДНЯК, что к снятию рабочих чертежей завод "Большевик" уже приступил. </w:t>
      </w:r>
    </w:p>
    <w:p w14:paraId="72388C7B"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 Считать необходимым для форсированной разработки чертежей танка Т-26 создать при заводе "Большевик" специальную конструкторскую группу в составе 23 – 24 конструкторов и инженеров и плюс к ним не менее 20 человек копировальщиков. </w:t>
      </w:r>
    </w:p>
    <w:p w14:paraId="7E724916"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 xml:space="preserve">3) Принять к сведению заявление т. ЛУКИНА, что им дано распоряжение Сталинградскому тракторному з-ду о немедленном откомандировании 19-ти чел. инженеров на з-д "Большевик". </w:t>
      </w:r>
    </w:p>
    <w:p w14:paraId="016ABB52"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4) Конструкторская группа по снятию и разработке чертежей танка Т-26 должна находиться при з-де "Большевик". Рабочие чертежи по танку Т-26 должны быть полностью закончены к 1-му мая с.г. </w:t>
      </w:r>
    </w:p>
    <w:p w14:paraId="76A0E2AC"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5) Разработка технологического процесса для постановки производства Т-26 на заводе "Большевик" (танковый отдел) должна быть закончена к 15-му июня. Проработка технологического процесса поручается Танковому Отделу з-да "Большевик" совместно с конструкторской группой по разработке чертежей. </w:t>
      </w:r>
    </w:p>
    <w:p w14:paraId="1524CEEF"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Разработка технологического процесса Танковым отделом и снятие рабочих чертежей конструкторской группой должно идти непосредственно под руководством т. ДАНИЛОВА. Снятие рабочих чертежей и разработка технологического процесса должны идти параллельно. </w:t>
      </w:r>
    </w:p>
    <w:p w14:paraId="40235BCD"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Первые два опытных образца танка Т-26 завод "Большевик" должен изготовить и предъявить к испытанию к 1-му августу 31 г. </w:t>
      </w:r>
    </w:p>
    <w:p w14:paraId="27858B0F"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По мере изготовления рабочих чертежей и проработки технологического процесса немедленно пускать на заводе "Большевик" в задел литье, поковки и т.д. на все 300 машин заказа 31 г. Кроме этого завод "Большевик" должен изготовить заготовки литье и поковки и т.д. на 100 машин для ВАТО с учетом известного процента брака. </w:t>
      </w:r>
    </w:p>
    <w:p w14:paraId="49349225"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Калькуляция по себестоимости на Т-26 на 31 год должна учитывать и установочный расход по этому производству. </w:t>
      </w:r>
    </w:p>
    <w:p w14:paraId="00D76B2A"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Помесячный размер выпуска танков Т-26 в 31 году на заводе "Большевик" определить т.т. БУДНЯКУ и ХАЛЕПСКОМУ. </w:t>
      </w:r>
    </w:p>
    <w:p w14:paraId="6336D5F0"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6) Производство Т-18 на заводе "Большевик" закончить на 400 машине с сохранением производства запасных частей. </w:t>
      </w:r>
    </w:p>
    <w:p w14:paraId="49BA546B"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СТАЛИНГРАДСКИЙ ТРАКТОРНЫЙ ЗАВОД.</w:t>
      </w:r>
    </w:p>
    <w:p w14:paraId="0C457852"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 Конструкторская Группа при заводе "Большевик" снимает рабочие чертежи по танку Т-26 не только для завода "Большевик", но и необходимое количество комплектов для Сталинградского тракторного завода. </w:t>
      </w:r>
    </w:p>
    <w:p w14:paraId="6025A765"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Сталинградский тракторный завод по мере получения чертежей с завода "Большевик" немедленно приступает к проработке технологического процесса и планирования самого производства по переводу Сталинградского тракторного завода в случае развертывания с производства тракторов на производство танков. Для проведения этой работы при Сталинградском тракторном заводе немедленно должно быть организовано ВАТО и дирекцией завода проектное бюро и выделено необходимое количество инженеров, чертежников, конструкторов. </w:t>
      </w:r>
    </w:p>
    <w:p w14:paraId="1F93C415"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 Принять к сведению заявление т. ЛУКИНА, что непосредственным руководителем Проектного Бюро на Сталинградском тракторном заводе назначается инженер СЕДОВ. Просить Сектор Кадров ВСНХ оформить закрепление инженера СЕДОВА за Сталинградским тракторным заводом. </w:t>
      </w:r>
    </w:p>
    <w:p w14:paraId="02D60CCF"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Для усиления Проектного Бюро на Сталинградском тракторном заводе командировать из Гипроспецмета в распоряжение руководителя Проектного Бюро группу инженеров и техников в количестве 10 – 15 человек. </w:t>
      </w:r>
    </w:p>
    <w:p w14:paraId="68B616FF"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 Изготовление чертежей на инструмент, приспособления и разработку технологического процесса на Сталинградском тракторном заводе закончить к 15-му августа 31 г. </w:t>
      </w:r>
    </w:p>
    <w:p w14:paraId="2C9D1E84"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К 1-му апреля 32 г. Сталинградский тракторный завод должен изготовить все необходимые приспособления, инструмент и проч., обеспечивающие выпуск, в случае развертывания, в течение года, начиная с весны 32 г. 12.000 малых танков, плюс запасные части и монтаж вооружения. </w:t>
      </w:r>
    </w:p>
    <w:p w14:paraId="22A86B52"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Выпуск 1-й партии в 25 штук танков Т-26 в опытном цехе Сталинградского тракторного завода должен быть завершен к 1-му марта 32 г. </w:t>
      </w:r>
    </w:p>
    <w:p w14:paraId="3229F990"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том случае, если опыт по применению гусениц из ковкого чугуна окажутся удачными, то постановку такового возложить на Люберецкий завод для выполнения текущей программы в 300 шт. в 31 году. </w:t>
      </w:r>
    </w:p>
    <w:p w14:paraId="0F57DBD0"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Средний танк.</w:t>
      </w:r>
    </w:p>
    <w:p w14:paraId="38986D84"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порядке разработки чертежей, технологического процесса, сроках и распределении заказов на 31 г. между ММЗ и ХПЗ – этот вопрос разрешить по возвращении из Ленинграда т.т. Мартиновича, Будняка и Курицына. </w:t>
      </w:r>
    </w:p>
    <w:p w14:paraId="4AAE2836"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Танки сопровождения.</w:t>
      </w:r>
    </w:p>
    <w:p w14:paraId="16496F7E"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 Принять к сведению заявление т. ХАЛЕПСКОГО, что изготовление опытных образцов УММ принимает на себя и изготавливает их в своем опытном цеху (Ижорский завод). </w:t>
      </w:r>
    </w:p>
    <w:p w14:paraId="1A470061"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Образцы предъявляются: Катерпиллер и "Коммунар" – в марте месяце 31 г., АМО-2 и Я-5 к 1-му июля 31 г. В каком комплекте и какие ходовые части должны быть даны ВАТО – этот вопрос надлежит разрешить т.т. ХАЛЕПСКОМУ и ЛУКИНУ. </w:t>
      </w:r>
    </w:p>
    <w:p w14:paraId="30E64748"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 По вопросу о состоянии броневой базы в Сталинграде – принять к сведению заявление т. МАРТИНОВИЧ о том, что по этому вопросу дано соответствующее промышленное задание ВАТО, "Стали", Гипромезу и Гипроспецмету. </w:t>
      </w:r>
    </w:p>
    <w:p w14:paraId="0D4957EC"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 Поручить т.т. ЛУКИНУ и ЧЕРИ к 10-му марта разработать вопрос о сроках проектирования броневой базы, календарных сроках постройки и какие организации будут осуществлять строительство. </w:t>
      </w:r>
    </w:p>
    <w:p w14:paraId="51BEA624"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4) Поручить МПС в 3-х дневный срок уточнить промышленное задание по броне в связи с последним решением ПБ, а также учесть заявление т. КУРИЦЫНА о том, что известная мощность броневых станов должна быть выделена для изготовления необходимых рамных листов для мощных паровозов. </w:t>
      </w:r>
    </w:p>
    <w:p w14:paraId="19F88FC4"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5) Уточнить промышленное задание по фасонному литью в связи с последним решением ПБ. </w:t>
      </w:r>
    </w:p>
    <w:p w14:paraId="6FB02020"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МОТОРНОМУ ЗАВОДУ В.А.Т.О.</w:t>
      </w:r>
    </w:p>
    <w:p w14:paraId="52CD683B"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 Принять к сведению заявление т. ЛУКИНА что задание на проектировку моторного завода дается ГипроВАТО. Поручить т. ЛУКИНУ к 15-му марта сообщить МПС, когда будет закончен проект моторного завода, когда будет начато строительство, какая строительная организация будет осуществлять строительство и в какие сроки. </w:t>
      </w:r>
    </w:p>
    <w:p w14:paraId="2D247BF9"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О дизельном моторе в 240 – 300 лош. сил.</w:t>
      </w:r>
    </w:p>
    <w:p w14:paraId="6BB4BF72"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 Проектирование и изготовление опытного образца дизельного мотора в 240 – 300 лош. сил поручить Научно-Авто-тракторному Институту ВАТО. </w:t>
      </w:r>
    </w:p>
    <w:p w14:paraId="102156E7"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 Поручить т. ЛУКИНУ в 2-х недельный срок установить на каких персонально конструкторов возлагается разработка этого вопроса. </w:t>
      </w:r>
    </w:p>
    <w:p w14:paraId="6A0F9157"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 тов. ЛУКИНУ немедленно закупить заграницей образцы дизель-моторов, в частности, у фирмы МАН, ЮНКЕРС и ДАЙМЛЕР – в Германии и Англии – АЕС. Предложить т. ЛУКИНУ немедленно связаться по этому вопросу с т. Лугановским. </w:t>
      </w:r>
    </w:p>
    <w:p w14:paraId="7247A3FF"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Работу по конструкции дизель-мотора вести с таким расчетом, чтобы 1-й опытный образец мог быть предъявлен к испытанию 1 декабря. </w:t>
      </w:r>
    </w:p>
    <w:p w14:paraId="416B7555"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Ответственным за организацию и надлежащие темпы работы по конструкции дизеля являются т.т. Лукин, Лебедев и Зелинский. </w:t>
      </w:r>
    </w:p>
    <w:p w14:paraId="528115EB"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5) Для проработки вопроса о ремонте танков в военное время УММ выделить в МПС – т.т. ДАВЫДОВА и ВИТКОВСКОГО. Проработку вопроса МПС провести в 2-х месячный срок. </w:t>
      </w:r>
    </w:p>
    <w:p w14:paraId="3D32C29F"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Через две недели собраться в том же составе для проверки хода выполнения постановления ПБ и решений, принятых на настоящем заседании.</w:t>
      </w:r>
    </w:p>
    <w:p w14:paraId="5F6116F7"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Председатель – (МАРТИНОВИЧ)</w:t>
      </w:r>
    </w:p>
    <w:p w14:paraId="2ABAED54" w14:textId="77777777" w:rsidR="00225E06" w:rsidRPr="005E779E" w:rsidRDefault="00225E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Отп. 6 экз. (24860).</w:t>
      </w:r>
    </w:p>
    <w:p w14:paraId="602F830F" w14:textId="77777777" w:rsidR="00225E06" w:rsidRPr="005E779E" w:rsidRDefault="00225E06" w:rsidP="000B7A6C">
      <w:pPr>
        <w:spacing w:after="0" w:line="240" w:lineRule="auto"/>
        <w:jc w:val="both"/>
        <w:rPr>
          <w:rFonts w:ascii="Times New Roman" w:hAnsi="Times New Roman"/>
          <w:color w:val="000000" w:themeColor="text1"/>
          <w:sz w:val="16"/>
          <w:szCs w:val="16"/>
        </w:rPr>
      </w:pPr>
    </w:p>
    <w:p w14:paraId="0AED20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февраля 1931 г. по решению Ленгорисполкома № 021-38 для строительства верфи деревянного катеростроения Морпогранохраны ОГПУ для выпуска катеров ГК был выделен участок земли на Петровском острове за фабрикой «Канат», 5.07.1931 г. Госпланом были выделены фонды на строительство. Проект верфи разработан в ОКТБ-2 НКВД. Верфь вступила в строй 23.02.1933г., 21.03.1933г. на верфи заложен первый катер типа «ГК» («габаритный катер») (официально открыта 1.05.1933г.). Всего было предусмотрено 16 стапельных мест для постройки катеров. В 1934г. верфь передана в ведение НКВД.</w:t>
      </w:r>
      <w:r w:rsidRPr="005E779E">
        <w:rPr>
          <w:rFonts w:ascii="Times New Roman" w:hAnsi="Times New Roman"/>
          <w:color w:val="000000" w:themeColor="text1"/>
          <w:sz w:val="16"/>
          <w:szCs w:val="16"/>
          <w:vertAlign w:val="superscript"/>
        </w:rPr>
        <w:t>131</w:t>
      </w:r>
      <w:r w:rsidRPr="005E779E">
        <w:rPr>
          <w:rFonts w:ascii="Times New Roman" w:hAnsi="Times New Roman"/>
          <w:color w:val="000000" w:themeColor="text1"/>
          <w:sz w:val="16"/>
          <w:szCs w:val="16"/>
        </w:rPr>
        <w:t xml:space="preserve"> В начале 1939г. верфь переименована в завод № 5 НКВД (Завод № 5 НКВД, НКСП, МСП, Государственная судостроительная верфь ОГПУ, Ленинградский Приморский завод (ЛПЗ) МСП, ОАО «Судостроительная фирма (СФ) «Алмаз» /г. Ленинград/ /197110 г. Санкт-Петербург Петровский пр., 26 тел. 235-51-48). В 03.1941 г. завод № 5 передан из НКВД в НКСП.</w:t>
      </w:r>
    </w:p>
    <w:p w14:paraId="4602EA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Бывшая верфь Золотова преобразована в Государственную судостроительную мастерскую для постройки пограничных судов и стала отделением верфи Морпогранохраны ОГПУ. В 1931 г. на строящейся верфи по инициативе Д.Л. Блинова организовано собственное КБ.</w:t>
      </w:r>
    </w:p>
    <w:p w14:paraId="78E025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пост. СТО № 25 от 1937г. на верфь «для обеспечения производства верфи в военное время» возложена постройка деревянных торпедных катеров.</w:t>
      </w:r>
    </w:p>
    <w:p w14:paraId="4A032B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1941 г. строительство верфи было завершено. В ее составе цехи: судосборочный (стапельный, площадь 4800 м</w:t>
      </w:r>
      <w:r w:rsidRPr="005E779E">
        <w:rPr>
          <w:rFonts w:ascii="Times New Roman" w:hAnsi="Times New Roman"/>
          <w:color w:val="000000" w:themeColor="text1"/>
          <w:sz w:val="16"/>
          <w:szCs w:val="16"/>
          <w:vertAlign w:val="superscript"/>
        </w:rPr>
        <w:t>2</w:t>
      </w:r>
      <w:r w:rsidRPr="005E779E">
        <w:rPr>
          <w:rFonts w:ascii="Times New Roman" w:hAnsi="Times New Roman"/>
          <w:color w:val="000000" w:themeColor="text1"/>
          <w:sz w:val="16"/>
          <w:szCs w:val="16"/>
        </w:rPr>
        <w:t>), деревообрабатывающий, монтажно-сдаточный (840 м</w:t>
      </w:r>
      <w:r w:rsidRPr="005E779E">
        <w:rPr>
          <w:rFonts w:ascii="Times New Roman" w:hAnsi="Times New Roman"/>
          <w:color w:val="000000" w:themeColor="text1"/>
          <w:sz w:val="16"/>
          <w:szCs w:val="16"/>
          <w:vertAlign w:val="superscript"/>
        </w:rPr>
        <w:t>2</w:t>
      </w:r>
      <w:r w:rsidRPr="005E779E">
        <w:rPr>
          <w:rFonts w:ascii="Times New Roman" w:hAnsi="Times New Roman"/>
          <w:color w:val="000000" w:themeColor="text1"/>
          <w:sz w:val="16"/>
          <w:szCs w:val="16"/>
        </w:rPr>
        <w:t>), механический, кузнечный, литейная мастерская.</w:t>
      </w:r>
    </w:p>
    <w:p w14:paraId="769C26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начала войны начаты работы по модернизации катеров МО-2 и МО-4 для условий военного времени.</w:t>
      </w:r>
    </w:p>
    <w:p w14:paraId="5F6E9B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НКСП № 185 от 12.07.1941 г. часть завода (177 чел.) эвакуирована на завод № 640, затем - на заводы № 345 НКСП и Судоверфь им. Кирова НКРП (Астрахань); всего эвакуировано 405 чел. Основная часть завода продолжила работу в Ленинграде. 31.05.1944г. завод награжден орденом Трудового Красного Знамени.</w:t>
      </w:r>
    </w:p>
    <w:p w14:paraId="315402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Наряду со строительством новых выполнялся ремонт катеров, поврежденных в боях. Пост. ГКО № 473 от 13.08.1941 г. заводу предписано построить для флота в 1941 г. 30 торпедных катеров. Фактически в 1941 г. построено 3 катера и 7 переоборудовано в вариант малого охотника МО-ДЗ, в 1943г. построено 43 катера. За годы войны отремонтировано около 400 катеров.</w:t>
      </w:r>
    </w:p>
    <w:p w14:paraId="7EF621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 1946г. завод № 5 - в ведении МСП. В 1966г. переименован в ЛПЗ. По пр. МСП № 0299 от 1.06.1970 г. завод вошел в состав Производственно-технологического объединения (с 1974г. - ПО) «Алмаз» в качестве площадки № 1 (Петровской площадки). В 1990 г. из состава ПО вышло ЦМКБ «Алмаз», и объединение переименовано в </w:t>
      </w:r>
      <w:r w:rsidRPr="005E779E">
        <w:rPr>
          <w:rFonts w:ascii="Times New Roman" w:hAnsi="Times New Roman"/>
          <w:color w:val="000000" w:themeColor="text1"/>
          <w:sz w:val="16"/>
          <w:szCs w:val="16"/>
          <w:lang w:val="en-US"/>
        </w:rPr>
        <w:t>JICO</w:t>
      </w:r>
      <w:r w:rsidRPr="005E779E">
        <w:rPr>
          <w:rFonts w:ascii="Times New Roman" w:hAnsi="Times New Roman"/>
          <w:color w:val="000000" w:themeColor="text1"/>
          <w:sz w:val="16"/>
          <w:szCs w:val="16"/>
        </w:rPr>
        <w:t>, а с 1.10.1991 г. - СО «Алмаз». 20.03.1991 г. объединение преобразовано в СФ «Алмаз».</w:t>
      </w:r>
    </w:p>
    <w:p w14:paraId="435EB0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С 1.04.1956г. пр. № 037 от 16.02.1956г. цех № 6 завода передан созданному ЦКБ-5 в качестве филиала. В 1958г. действовал филиал завода № 5 на Феодосийском ССЗ «Море».</w:t>
      </w:r>
      <w:r w:rsidRPr="005E779E">
        <w:rPr>
          <w:rFonts w:ascii="Times New Roman" w:hAnsi="Times New Roman"/>
          <w:color w:val="000000" w:themeColor="text1"/>
          <w:sz w:val="16"/>
          <w:szCs w:val="16"/>
          <w:vertAlign w:val="superscript"/>
        </w:rPr>
        <w:t>3</w:t>
      </w:r>
    </w:p>
    <w:p w14:paraId="22A756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ПСМ № 2521-1213сс от 29.12.1954г. начато строительство опытной серии малого охотника пр. 199.</w:t>
      </w:r>
    </w:p>
    <w:p w14:paraId="08A4D7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1950-х г. для производства стальных ракетных катеров пр. 205 проведена реконструкция завода (производство деревянных катеров сохранено). Организован корпусообрабатывающий цех, участки химической очистки и пассивирования металла, построена новая трансформаторная подстанция. Переоборудован эллинг № 3, там организованы участки узловой и секционной сборки. Рядом с эллингом был вырыт ковш, соединенный с акваторией Малой Невы, и в нем построен новый поперечный слип. С 1961 г. начата серийная постройка катеров пр. 205.</w:t>
      </w:r>
    </w:p>
    <w:p w14:paraId="36E571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распоряжением правительства № 402Р от 10.03.1964г. для строительства малых ракетных кораблей (МРК) пр. 1234 проведена очередная реконструкция завода. Прекращено строительство деревянных катеров, полностью переоборудован эллинг № 1. Для спуска МРК спроектирован (ГСПИ-2) комплекс гидротехнических сооружений, включавший причал, спусковой передаточный док пр. 960 грузоподъемностью 1000 т, достроечную набережную. В 1966г. построен новый двухпролетный цех корпусообработки</w:t>
      </w:r>
    </w:p>
    <w:p w14:paraId="1B4320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1970-х г. завод специализировался на постройке головных образцов заказов с целью отработки технологии.</w:t>
      </w:r>
    </w:p>
    <w:p w14:paraId="7937DB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1980-е г. на заводе начато строительство эллинга для постройки экранопланов, закончено не было.</w:t>
      </w:r>
    </w:p>
    <w:p w14:paraId="6EFD46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1.07.1993г. в результате акционирования предприятие разделено на АООТ «СФ «Алмаз» (площадка № 1) и МЗ «Алмаз» (площадка № 2). 12.07.1996г. АООТ преобразовано в ОАО «СФ «Алмаз». Входило в состав ОАО ОМЗ (2003г.), ГК МНП (2004г.). В 08.2005г. предприятие продано Л. Грабовцу, в 07.2006г. продано ПО «Ленстройматериалы». В 02.2007г. планировалось слияние СФ «Алмаз» с МЗ «Алмаз».</w:t>
      </w:r>
    </w:p>
    <w:p w14:paraId="058B4A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решению правительства № 22-р от 9.01.2004г. вошло в перечень стратегических предприятий.</w:t>
      </w:r>
    </w:p>
    <w:p w14:paraId="4BA4E4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1990-х г. в порядке конверсии производства были спроектированы и изготовлены рассадопосадочные машины для посадки капусты. В 1990-е г. освоено производство крейсерских яхт. Выпускались также изделия для аэрокосмической отрасли (устройства для транспортировки частей КА к местам старта), оборудование для АЭС.</w:t>
      </w:r>
    </w:p>
    <w:p w14:paraId="0FDF3E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концу 1990-х г. было завершено техническое перевооружение производства. Цехи близкой направленности были объединены в отдельные производства. В 2000 г. введен в эксплуатацию новый эллинг площадью 9 тыс. м</w:t>
      </w:r>
      <w:r w:rsidRPr="005E779E">
        <w:rPr>
          <w:rFonts w:ascii="Times New Roman" w:hAnsi="Times New Roman"/>
          <w:color w:val="000000" w:themeColor="text1"/>
          <w:sz w:val="16"/>
          <w:szCs w:val="16"/>
          <w:vertAlign w:val="superscript"/>
        </w:rPr>
        <w:t>2</w:t>
      </w:r>
      <w:r w:rsidRPr="005E779E">
        <w:rPr>
          <w:rFonts w:ascii="Times New Roman" w:hAnsi="Times New Roman"/>
          <w:color w:val="000000" w:themeColor="text1"/>
          <w:sz w:val="16"/>
          <w:szCs w:val="16"/>
        </w:rPr>
        <w:t>. В составе предприятия (2000-е): производства: корпусообрабатывающее, сборочно-сварочное, стапельно- монтажное (11 стапельных дорожек), достроечно-сдаточное, машиностроительное; 2 эллинга (58х 150 м); достроечная набережная (250 м); два плавучих дока (грузоподъемность 1000-2500 т и 1500-3500 т); Центр информационных технологий (ЦИТ).</w:t>
      </w:r>
    </w:p>
    <w:p w14:paraId="027BBD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 к 2005г. построено более 1000 кораблей и катеров.</w:t>
      </w:r>
    </w:p>
    <w:p w14:paraId="6016B6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Имелось Московское представительство (зам. директора (2006г.)- И. Вишняков).</w:t>
      </w:r>
    </w:p>
    <w:p w14:paraId="62607B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Площадь: территории (2006г.)- 16,5 га; застройки (2006г.)- около 50 тыс. м</w:t>
      </w:r>
      <w:r w:rsidRPr="005E779E">
        <w:rPr>
          <w:rFonts w:ascii="Times New Roman" w:hAnsi="Times New Roman"/>
          <w:color w:val="000000" w:themeColor="text1"/>
          <w:sz w:val="16"/>
          <w:szCs w:val="16"/>
          <w:vertAlign w:val="superscript"/>
        </w:rPr>
        <w:t>2</w:t>
      </w:r>
      <w:r w:rsidRPr="005E779E">
        <w:rPr>
          <w:rFonts w:ascii="Times New Roman" w:hAnsi="Times New Roman"/>
          <w:color w:val="000000" w:themeColor="text1"/>
          <w:sz w:val="16"/>
          <w:szCs w:val="16"/>
        </w:rPr>
        <w:t>; производственная (2009г.)- 30,4 тыс. м</w:t>
      </w:r>
      <w:r w:rsidRPr="005E779E">
        <w:rPr>
          <w:rFonts w:ascii="Times New Roman" w:hAnsi="Times New Roman"/>
          <w:color w:val="000000" w:themeColor="text1"/>
          <w:sz w:val="16"/>
          <w:szCs w:val="16"/>
          <w:vertAlign w:val="superscript"/>
        </w:rPr>
        <w:t>2</w:t>
      </w:r>
      <w:r w:rsidRPr="005E779E">
        <w:rPr>
          <w:rFonts w:ascii="Times New Roman" w:hAnsi="Times New Roman"/>
          <w:color w:val="000000" w:themeColor="text1"/>
          <w:sz w:val="16"/>
          <w:szCs w:val="16"/>
        </w:rPr>
        <w:t>.</w:t>
      </w:r>
    </w:p>
    <w:p w14:paraId="2A7F93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Численность персонала (06.1941 г.)- 2845 чел., (12.1941 г.)- 730 чел., (2009г.)- более 1000 чел.</w:t>
      </w:r>
    </w:p>
    <w:p w14:paraId="7B5BFB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Владелец (08.2005г.-)- Л.Г. Грабовец.</w:t>
      </w:r>
    </w:p>
    <w:p w14:paraId="12D844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 (1932-33г.)- Д.Л. Блинов, (1933-34г.)- А.В. Крюков, (1934г.)- М.А. Цикановский, (1935-37г.)- Ф.Н. Глушко, (05.1937г.-)- Е.Я. Локшин. Директор (-1949г.)- Е.Я. Локшин, (1949-56г.)- И.Д. Яблоков, (1956-67г.)- В.Д. Колечицкий, (1967-70 г.)- Ю.П. Кузьмин. Гендиректор (1970-71 г.)- Е.И. Юхнин, (1972-76г.)- Ю.Г. Полухин, (1976- 86г.)- В.К. Косенков, (1986-2001 г.)- А.П. Королев, (2001-07г.-)- Л.Г. Грабовец.</w:t>
      </w:r>
    </w:p>
    <w:p w14:paraId="0DC089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Технический директор (2005г.)- В. Демченко. Директор по маркетингу (2006г.)- С. Галиченко.</w:t>
      </w:r>
    </w:p>
    <w:p w14:paraId="2E714D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инженер (1933г.)- В.Е. Бурачек, (1941 г.)- И.К. Силин, (1944г.)- А.Ф. Симин, (1970-е)- А.А. Пономарев.</w:t>
      </w:r>
    </w:p>
    <w:p w14:paraId="4BB48E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Начальники цехов: (2000 г.)- М.С. Каримова.</w:t>
      </w:r>
    </w:p>
    <w:p w14:paraId="68CB32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строители: (1943-45г.)- А.Д. Симин, (1957г.)- Н.И. Мартынычев.</w:t>
      </w:r>
    </w:p>
    <w:p w14:paraId="56525B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Строители судов: (ВОВ)- Л.Н. Одинцов, (07.1941 г.)- А.А. Тимофеев, (1967г.)- Б.П. Дитятьев (пр. 1234), (1970- е&gt; И.И. Костинский, (1970-е)- В.И. Мерцалов, (1970-е)- В.И. Сибирцев, (1970-е)- М.И. Тузов, (1970-е)- М.И. Украинский.</w:t>
      </w:r>
    </w:p>
    <w:p w14:paraId="309C39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Производство: катера: морской «ГК» ПК-110 (1933-34)- 16, представительский ГК-4 (1941)- 1; торпедные: ДТК (1936-)- 3, Д-2 (1939)- 1, Д-3 (пр. П-19, 1939-44)- 67, Д-4 (1941-, не достроен), пр. ТД-200 (1946)- 1, ТД- 200бис (1947-52)- 168; сборка американских катеров А-1 «Воспер» (1944-47)- 14 и А-3 «ЭЛКО» (1944-47)- 29; пр. 183 (1949-60)- 361 (вместе с заводами 602, 640), пр. 183ТК (1956-57)- 25, представительский пр. 183Ш (1960-е); пр. 206М (1970-76)- 24 (вместе с заводами 341, 363 и 602); сторожевые (малые охотники): II серии МО-2 (1934- 35)- 32, IV серии МО-4 (1936-41)- 228, МО-ДЗ (1942-43-)- 46; пр. ПП-19-0 (1943), ПП-19-ОК (1944-45)- всего 46; малый охотник пр. 199 (1954-55)- 52; тральщик, сторожевик КМ-2 и КМ-4 (-1941-45)- 207; БК-2 (1941)- 6; десантный К-ЗИС-5 (1941-45)- 128;</w:t>
      </w:r>
      <w:r w:rsidRPr="005E779E">
        <w:rPr>
          <w:rFonts w:ascii="Times New Roman" w:hAnsi="Times New Roman"/>
          <w:color w:val="000000" w:themeColor="text1"/>
          <w:sz w:val="16"/>
          <w:szCs w:val="16"/>
          <w:vertAlign w:val="superscript"/>
        </w:rPr>
        <w:t>115</w:t>
      </w:r>
      <w:r w:rsidRPr="005E779E">
        <w:rPr>
          <w:rFonts w:ascii="Times New Roman" w:hAnsi="Times New Roman"/>
          <w:color w:val="000000" w:themeColor="text1"/>
          <w:sz w:val="16"/>
          <w:szCs w:val="16"/>
        </w:rPr>
        <w:t xml:space="preserve"> катерный тральщик пр. Т351 (1949); ракетные: пр. 183Э переоборудованы из ТКА-14, -15 (1957)- 2, пр. 183Р (1959-65)- 26 и 30 переоборудовано по пр. 183РТР (по другим данным, всего </w:t>
      </w:r>
      <w:r w:rsidRPr="005E779E">
        <w:rPr>
          <w:rFonts w:ascii="Times New Roman" w:hAnsi="Times New Roman"/>
          <w:color w:val="000000" w:themeColor="text1"/>
          <w:sz w:val="16"/>
          <w:szCs w:val="16"/>
          <w:vertAlign w:val="subscript"/>
        </w:rPr>
        <w:t>60</w:t>
      </w:r>
      <w:r w:rsidR="002629BF" w:rsidRPr="005E779E">
        <w:rPr>
          <w:rFonts w:ascii="Times New Roman" w:hAnsi="Times New Roman"/>
          <w:color w:val="000000" w:themeColor="text1"/>
          <w:sz w:val="16"/>
          <w:szCs w:val="16"/>
        </w:rPr>
        <w:fldChar w:fldCharType="begin"/>
      </w:r>
      <w:r w:rsidR="002629BF" w:rsidRPr="005E779E">
        <w:rPr>
          <w:rFonts w:ascii="Times New Roman" w:hAnsi="Times New Roman"/>
          <w:color w:val="000000" w:themeColor="text1"/>
          <w:sz w:val="16"/>
          <w:szCs w:val="16"/>
        </w:rPr>
        <w:instrText xml:space="preserve">ref  HYPERLINK "http://www.aimazmfo"  \* MERGEFORMAT </w:instrText>
      </w:r>
      <w:r w:rsidR="002629BF" w:rsidRPr="005E779E">
        <w:rPr>
          <w:rFonts w:ascii="Times New Roman" w:hAnsi="Times New Roman"/>
          <w:color w:val="000000" w:themeColor="text1"/>
          <w:sz w:val="16"/>
          <w:szCs w:val="16"/>
        </w:rPr>
        <w:fldChar w:fldCharType="separate"/>
      </w:r>
      <w:r w:rsidRPr="005E779E">
        <w:rPr>
          <w:rFonts w:ascii="Times New Roman" w:hAnsi="Times New Roman"/>
          <w:color w:val="000000" w:themeColor="text1"/>
          <w:sz w:val="16"/>
          <w:szCs w:val="16"/>
          <w:lang w:val="en-US"/>
        </w:rPr>
        <w:t>www</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aimazmfo</w:t>
      </w:r>
      <w:r w:rsidR="002629BF" w:rsidRPr="005E779E">
        <w:rPr>
          <w:rFonts w:ascii="Times New Roman" w:hAnsi="Times New Roman"/>
          <w:color w:val="000000" w:themeColor="text1"/>
          <w:sz w:val="16"/>
          <w:szCs w:val="16"/>
          <w:lang w:val="en-US"/>
        </w:rPr>
        <w:fldChar w:fldCharType="end"/>
      </w:r>
      <w:r w:rsidRPr="005E779E">
        <w:rPr>
          <w:rFonts w:ascii="Times New Roman" w:hAnsi="Times New Roman"/>
          <w:color w:val="000000" w:themeColor="text1"/>
          <w:sz w:val="16"/>
          <w:szCs w:val="16"/>
          <w:vertAlign w:val="subscript"/>
        </w:rPr>
        <w:t>); щ 2</w:t>
      </w:r>
      <w:r w:rsidRPr="005E779E">
        <w:rPr>
          <w:rFonts w:ascii="Times New Roman" w:hAnsi="Times New Roman"/>
          <w:color w:val="000000" w:themeColor="text1"/>
          <w:sz w:val="16"/>
          <w:szCs w:val="16"/>
          <w:vertAlign w:val="subscript"/>
          <w:lang w:val="en-US"/>
        </w:rPr>
        <w:t>Q</w:t>
      </w:r>
      <w:r w:rsidRPr="005E779E">
        <w:rPr>
          <w:rFonts w:ascii="Times New Roman" w:hAnsi="Times New Roman"/>
          <w:color w:val="000000" w:themeColor="text1"/>
          <w:sz w:val="16"/>
          <w:szCs w:val="16"/>
          <w:vertAlign w:val="subscript"/>
        </w:rPr>
        <w:t>5 (1959</w:t>
      </w:r>
      <w:r w:rsidRPr="005E779E">
        <w:rPr>
          <w:rFonts w:ascii="Times New Roman" w:hAnsi="Times New Roman"/>
          <w:color w:val="000000" w:themeColor="text1"/>
          <w:sz w:val="16"/>
          <w:szCs w:val="16"/>
        </w:rPr>
        <w:t>_</w:t>
      </w:r>
      <w:r w:rsidRPr="005E779E">
        <w:rPr>
          <w:rFonts w:ascii="Times New Roman" w:hAnsi="Times New Roman"/>
          <w:color w:val="000000" w:themeColor="text1"/>
          <w:sz w:val="16"/>
          <w:szCs w:val="16"/>
          <w:vertAlign w:val="subscript"/>
        </w:rPr>
        <w:t>66)</w:t>
      </w:r>
      <w:r w:rsidRPr="005E779E">
        <w:rPr>
          <w:rFonts w:ascii="Times New Roman" w:hAnsi="Times New Roman"/>
          <w:color w:val="000000" w:themeColor="text1"/>
          <w:sz w:val="16"/>
          <w:szCs w:val="16"/>
        </w:rPr>
        <w:t xml:space="preserve">_ </w:t>
      </w:r>
      <w:r w:rsidRPr="005E779E">
        <w:rPr>
          <w:rFonts w:ascii="Times New Roman" w:hAnsi="Times New Roman"/>
          <w:color w:val="000000" w:themeColor="text1"/>
          <w:sz w:val="16"/>
          <w:szCs w:val="16"/>
          <w:vertAlign w:val="subscript"/>
        </w:rPr>
        <w:t>68? пр 2</w:t>
      </w:r>
      <w:r w:rsidRPr="005E779E">
        <w:rPr>
          <w:rFonts w:ascii="Times New Roman" w:hAnsi="Times New Roman"/>
          <w:color w:val="000000" w:themeColor="text1"/>
          <w:sz w:val="16"/>
          <w:szCs w:val="16"/>
        </w:rPr>
        <w:t>05У (1965-72)- 19 (по другим данным, всего 89</w:t>
      </w:r>
      <w:r w:rsidRPr="005E779E">
        <w:rPr>
          <w:rFonts w:ascii="Times New Roman" w:hAnsi="Times New Roman"/>
          <w:color w:val="000000" w:themeColor="text1"/>
          <w:sz w:val="16"/>
          <w:szCs w:val="16"/>
          <w:vertAlign w:val="superscript"/>
          <w:lang w:val="en-US"/>
        </w:rPr>
        <w:t>wwwa</w:t>
      </w:r>
      <w:r w:rsidRPr="005E779E">
        <w:rPr>
          <w:rFonts w:ascii="Times New Roman" w:hAnsi="Times New Roman"/>
          <w:color w:val="000000" w:themeColor="text1"/>
          <w:sz w:val="16"/>
          <w:szCs w:val="16"/>
          <w:vertAlign w:val="superscript"/>
        </w:rPr>
        <w:t>]</w:t>
      </w:r>
      <w:r w:rsidRPr="005E779E">
        <w:rPr>
          <w:rFonts w:ascii="Times New Roman" w:hAnsi="Times New Roman"/>
          <w:color w:val="000000" w:themeColor="text1"/>
          <w:sz w:val="16"/>
          <w:szCs w:val="16"/>
          <w:vertAlign w:val="superscript"/>
          <w:lang w:val="en-US"/>
        </w:rPr>
        <w:t>mazspbru</w:t>
      </w:r>
      <w:r w:rsidRPr="005E779E">
        <w:rPr>
          <w:rFonts w:ascii="Times New Roman" w:hAnsi="Times New Roman"/>
          <w:color w:val="000000" w:themeColor="text1"/>
          <w:sz w:val="16"/>
          <w:szCs w:val="16"/>
        </w:rPr>
        <w:t>); пр. 12411 «Молния-1» с ПКР «Термит» (1979-80)- 1, (1982)- 1, (1983)-1; пограничный пр. 205П (1967-89)- 111,</w:t>
      </w:r>
    </w:p>
    <w:p w14:paraId="746836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экспериментальный пр. 205ПЭ (1970), экспортный пр. 02059 для Кубы и Кампучии (1984-89)- 8; искатель мин пр. 257Д (1961-65)- 20 (вместе с заводами 602 и 789); рабочие: бортовой КРМ-10 (1950), пр. 337; пограничные сторожевые пр. 1400, пр. 1400М, представительский пр. 1400А (1970-е)- 4, экспортный пр. 1400МЭ (1970-91)- всего более 200 (вместе с заводами «Море» и Батумским); баркас моторный БМ-16 (1949)- 1; телеуправляемая мишень пр. 1392 (1966-80); самоходные десантные баржи: типа Т-4м «Танкист», типа А-3 «Артиллерист» (1950- е); рейдовый тральщик пр. 1258 «Корунд» (1967)- 1; МРК: пр. 1234 «Буря» (01.1967-69), (-1981), пр. 1234.1 «Овод» («Бурун», 1977-91)- всего 30; экспортный пр. 1234Э для Индии «Ураган» ("</w:t>
      </w:r>
      <w:r w:rsidRPr="005E779E">
        <w:rPr>
          <w:rFonts w:ascii="Times New Roman" w:hAnsi="Times New Roman"/>
          <w:color w:val="000000" w:themeColor="text1"/>
          <w:sz w:val="16"/>
          <w:szCs w:val="16"/>
          <w:lang w:val="en-US"/>
        </w:rPr>
        <w:t>VijayDurg</w:t>
      </w:r>
      <w:r w:rsidRPr="005E779E">
        <w:rPr>
          <w:rFonts w:ascii="Times New Roman" w:hAnsi="Times New Roman"/>
          <w:color w:val="000000" w:themeColor="text1"/>
          <w:sz w:val="16"/>
          <w:szCs w:val="16"/>
        </w:rPr>
        <w:t>"), «Прибой» ("</w:t>
      </w:r>
      <w:r w:rsidRPr="005E779E">
        <w:rPr>
          <w:rFonts w:ascii="Times New Roman" w:hAnsi="Times New Roman"/>
          <w:color w:val="000000" w:themeColor="text1"/>
          <w:sz w:val="16"/>
          <w:szCs w:val="16"/>
          <w:lang w:val="en-US"/>
        </w:rPr>
        <w:t>SihdhuDurg</w:t>
      </w:r>
      <w:r w:rsidRPr="005E779E">
        <w:rPr>
          <w:rFonts w:ascii="Times New Roman" w:hAnsi="Times New Roman"/>
          <w:color w:val="000000" w:themeColor="text1"/>
          <w:sz w:val="16"/>
          <w:szCs w:val="16"/>
        </w:rPr>
        <w:t>"), «Прилив» ("</w:t>
      </w:r>
      <w:r w:rsidRPr="005E779E">
        <w:rPr>
          <w:rFonts w:ascii="Times New Roman" w:hAnsi="Times New Roman"/>
          <w:color w:val="000000" w:themeColor="text1"/>
          <w:sz w:val="16"/>
          <w:szCs w:val="16"/>
          <w:lang w:val="en-US"/>
        </w:rPr>
        <w:t>HosDurg</w:t>
      </w:r>
      <w:r w:rsidRPr="005E779E">
        <w:rPr>
          <w:rFonts w:ascii="Times New Roman" w:hAnsi="Times New Roman"/>
          <w:color w:val="000000" w:themeColor="text1"/>
          <w:sz w:val="16"/>
          <w:szCs w:val="16"/>
        </w:rPr>
        <w:t>"), для Алжира МРК-21 ("</w:t>
      </w:r>
      <w:r w:rsidRPr="005E779E">
        <w:rPr>
          <w:rFonts w:ascii="Times New Roman" w:hAnsi="Times New Roman"/>
          <w:color w:val="000000" w:themeColor="text1"/>
          <w:sz w:val="16"/>
          <w:szCs w:val="16"/>
          <w:lang w:val="en-US"/>
        </w:rPr>
        <w:t>RasHamidou</w:t>
      </w:r>
      <w:r w:rsidRPr="005E779E">
        <w:rPr>
          <w:rFonts w:ascii="Times New Roman" w:hAnsi="Times New Roman"/>
          <w:color w:val="000000" w:themeColor="text1"/>
          <w:sz w:val="16"/>
          <w:szCs w:val="16"/>
        </w:rPr>
        <w:t>"), МРК-22 ("</w:t>
      </w:r>
      <w:r w:rsidRPr="005E779E">
        <w:rPr>
          <w:rFonts w:ascii="Times New Roman" w:hAnsi="Times New Roman"/>
          <w:color w:val="000000" w:themeColor="text1"/>
          <w:sz w:val="16"/>
          <w:szCs w:val="16"/>
          <w:lang w:val="en-US"/>
        </w:rPr>
        <w:t>ReisAli</w:t>
      </w:r>
      <w:r w:rsidRPr="005E779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lang w:val="en-US"/>
        </w:rPr>
        <w:t>MPK</w:t>
      </w:r>
      <w:r w:rsidRPr="005E779E">
        <w:rPr>
          <w:rFonts w:ascii="Times New Roman" w:hAnsi="Times New Roman"/>
          <w:color w:val="000000" w:themeColor="text1"/>
          <w:sz w:val="16"/>
          <w:szCs w:val="16"/>
        </w:rPr>
        <w:t>-23 ("</w:t>
      </w:r>
      <w:r w:rsidRPr="005E779E">
        <w:rPr>
          <w:rFonts w:ascii="Times New Roman" w:hAnsi="Times New Roman"/>
          <w:color w:val="000000" w:themeColor="text1"/>
          <w:sz w:val="16"/>
          <w:szCs w:val="16"/>
          <w:lang w:val="en-US"/>
        </w:rPr>
        <w:t>SalahReis</w:t>
      </w:r>
      <w:r w:rsidRPr="005E779E">
        <w:rPr>
          <w:rFonts w:ascii="Times New Roman" w:hAnsi="Times New Roman"/>
          <w:color w:val="000000" w:themeColor="text1"/>
          <w:sz w:val="16"/>
          <w:szCs w:val="16"/>
        </w:rPr>
        <w:t xml:space="preserve">"), для Ливии </w:t>
      </w:r>
      <w:r w:rsidRPr="005E779E">
        <w:rPr>
          <w:rFonts w:ascii="Times New Roman" w:hAnsi="Times New Roman"/>
          <w:color w:val="000000" w:themeColor="text1"/>
          <w:sz w:val="16"/>
          <w:szCs w:val="16"/>
          <w:lang w:val="en-US"/>
        </w:rPr>
        <w:t>MPK</w:t>
      </w:r>
      <w:r w:rsidRPr="005E779E">
        <w:rPr>
          <w:rFonts w:ascii="Times New Roman" w:hAnsi="Times New Roman"/>
          <w:color w:val="000000" w:themeColor="text1"/>
          <w:sz w:val="16"/>
          <w:szCs w:val="16"/>
        </w:rPr>
        <w:t>-9 ("</w:t>
      </w:r>
      <w:r w:rsidRPr="005E779E">
        <w:rPr>
          <w:rFonts w:ascii="Times New Roman" w:hAnsi="Times New Roman"/>
          <w:color w:val="000000" w:themeColor="text1"/>
          <w:sz w:val="16"/>
          <w:szCs w:val="16"/>
          <w:lang w:val="en-US"/>
        </w:rPr>
        <w:t>EanMara</w:t>
      </w:r>
      <w:r w:rsidRPr="005E779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lang w:val="en-US"/>
        </w:rPr>
        <w:t>MPK</w:t>
      </w:r>
      <w:r w:rsidRPr="005E779E">
        <w:rPr>
          <w:rFonts w:ascii="Times New Roman" w:hAnsi="Times New Roman"/>
          <w:color w:val="000000" w:themeColor="text1"/>
          <w:sz w:val="16"/>
          <w:szCs w:val="16"/>
        </w:rPr>
        <w:t>-15 ("</w:t>
      </w:r>
      <w:r w:rsidRPr="005E779E">
        <w:rPr>
          <w:rFonts w:ascii="Times New Roman" w:hAnsi="Times New Roman"/>
          <w:color w:val="000000" w:themeColor="text1"/>
          <w:sz w:val="16"/>
          <w:szCs w:val="16"/>
          <w:lang w:val="en-US"/>
        </w:rPr>
        <w:t>EanZaquit</w:t>
      </w:r>
      <w:r w:rsidRPr="005E779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lang w:val="en-US"/>
        </w:rPr>
        <w:t>MPK</w:t>
      </w:r>
      <w:r w:rsidRPr="005E779E">
        <w:rPr>
          <w:rFonts w:ascii="Times New Roman" w:hAnsi="Times New Roman"/>
          <w:color w:val="000000" w:themeColor="text1"/>
          <w:sz w:val="16"/>
          <w:szCs w:val="16"/>
        </w:rPr>
        <w:t>-24 ("</w:t>
      </w:r>
      <w:r w:rsidRPr="005E779E">
        <w:rPr>
          <w:rFonts w:ascii="Times New Roman" w:hAnsi="Times New Roman"/>
          <w:color w:val="000000" w:themeColor="text1"/>
          <w:sz w:val="16"/>
          <w:szCs w:val="16"/>
          <w:lang w:val="en-US"/>
        </w:rPr>
        <w:t>EanA</w:t>
      </w:r>
      <w:r w:rsidRPr="005E779E">
        <w:rPr>
          <w:rFonts w:ascii="Times New Roman" w:hAnsi="Times New Roman"/>
          <w:color w:val="000000" w:themeColor="text1"/>
          <w:sz w:val="16"/>
          <w:szCs w:val="16"/>
        </w:rPr>
        <w:t xml:space="preserve">1 </w:t>
      </w:r>
      <w:r w:rsidRPr="005E779E">
        <w:rPr>
          <w:rFonts w:ascii="Times New Roman" w:hAnsi="Times New Roman"/>
          <w:color w:val="000000" w:themeColor="text1"/>
          <w:sz w:val="16"/>
          <w:szCs w:val="16"/>
          <w:lang w:val="en-US"/>
        </w:rPr>
        <w:t>Gazala</w:t>
      </w:r>
      <w:r w:rsidRPr="005E779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lang w:val="en-US"/>
        </w:rPr>
        <w:t>MPK</w:t>
      </w:r>
      <w:r w:rsidRPr="005E779E">
        <w:rPr>
          <w:rFonts w:ascii="Times New Roman" w:hAnsi="Times New Roman"/>
          <w:color w:val="000000" w:themeColor="text1"/>
          <w:sz w:val="16"/>
          <w:szCs w:val="16"/>
        </w:rPr>
        <w:t>-25 ("</w:t>
      </w:r>
      <w:r w:rsidRPr="005E779E">
        <w:rPr>
          <w:rFonts w:ascii="Times New Roman" w:hAnsi="Times New Roman"/>
          <w:color w:val="000000" w:themeColor="text1"/>
          <w:sz w:val="16"/>
          <w:szCs w:val="16"/>
          <w:lang w:val="en-US"/>
        </w:rPr>
        <w:t>EanZara</w:t>
      </w:r>
      <w:r w:rsidRPr="005E779E">
        <w:rPr>
          <w:rFonts w:ascii="Times New Roman" w:hAnsi="Times New Roman"/>
          <w:color w:val="000000" w:themeColor="text1"/>
          <w:sz w:val="16"/>
          <w:szCs w:val="16"/>
        </w:rPr>
        <w:t>") (1976-84)- 10;</w:t>
      </w:r>
      <w:r w:rsidRPr="005E779E">
        <w:rPr>
          <w:rFonts w:ascii="Times New Roman" w:hAnsi="Times New Roman"/>
          <w:color w:val="000000" w:themeColor="text1"/>
          <w:sz w:val="16"/>
          <w:szCs w:val="16"/>
          <w:vertAlign w:val="superscript"/>
        </w:rPr>
        <w:t>3</w:t>
      </w:r>
      <w:r w:rsidRPr="005E779E">
        <w:rPr>
          <w:rFonts w:ascii="Times New Roman" w:hAnsi="Times New Roman"/>
          <w:color w:val="000000" w:themeColor="text1"/>
          <w:sz w:val="16"/>
          <w:szCs w:val="16"/>
        </w:rPr>
        <w:t xml:space="preserve"> пр. 1240 «Ураган» (1972-76)- 1; БРК пр. 12411 «Молния»; ПСКР: пр. 10410 «Светляк» (1989-92), (-05.1999)- 1, (-05.2000)- 1, «Алмаз» (-06.2001), «Ямалец» (2004), зак. № 310 (2000-е)- всего 10; пр. 10412 «Светляк» для Вьетнама (-08.2002)-1, (-09.2002)- 1; пр. 22460 (зак. № 501, 09.2007-); ПКА пр. 12200 «Соболь» (01.2003-2006)- 1, для Туркменистана (-09.2008)- 2; СВП: десантно-штурмовые пр. 1205 «Скат» (1969- 76)- 27 (вместе с заводами 340 и 831); пр. 1206 «Кальмар» (1972-85)- 2 (площадка № 2); МДК пр. 1232 «Джейран» (1970-85)- 20 (из них 19 - на площадке № 2), пр. 12322 «Зубр» (1983-91; 1998)- 6 (площадка № 2), пр. 12322Э для Греции «Кефаллиния» (05-10.2000), «Закинтос» (зак. № 107, -05.2001), «Керкир» (01.2003-06.2004)- 1; лоцманское судно-амфибия пр. 14661 «Рысь» (-12.1998)- 1; пассажирское пр. 15063 «Ирбис» (10.2003-2004); малый артиллерийский корабль пр. 21630 «Буян» «Астрахань» (01.2004-03.2006), «Каспийск» (02.2005-), «Махачкала (03.2006-); правительственные яхты: пр. 360 (1960-63)- 4, пр. 1360 «Кавказ», «Крым» (1978-79г.)- 2; катера: прогулочный пр. 370У (1950-е), пассажирский на ПК пр. 1233 «Тайфун» (1969), типа </w:t>
      </w:r>
      <w:r w:rsidRPr="005E779E">
        <w:rPr>
          <w:rFonts w:ascii="Times New Roman" w:hAnsi="Times New Roman"/>
          <w:color w:val="000000" w:themeColor="text1"/>
          <w:sz w:val="16"/>
          <w:szCs w:val="16"/>
          <w:lang w:val="en-US"/>
        </w:rPr>
        <w:t>SeaHorse</w:t>
      </w:r>
      <w:r w:rsidRPr="005E779E">
        <w:rPr>
          <w:rFonts w:ascii="Times New Roman" w:hAnsi="Times New Roman"/>
          <w:color w:val="000000" w:themeColor="text1"/>
          <w:sz w:val="16"/>
          <w:szCs w:val="16"/>
        </w:rPr>
        <w:t xml:space="preserve"> (1998)- 1, многоцелевой рабочий пр. «Алмаз-11900» (-06.1999)- 1; лоцманский пр. АР-1600 «Лоцман Сажин» (-10.1998), (-09.1999)- 1; судно экологического мониторинга пр. 16220 «Экопатруль-1 (1995), -2 (1990-е), -3» (1990-е); природоохранное судно пр. 23107Э «Россия» (1999); морской испытательный комплекс пр. Р2030 для НПП «Радар-ММС» (2005), таможенное судно пр. Р-2030Т ТС-596 (-2007); буксир-ледокол пр. 2805 «Невская застава» (2007-10.2009); яхты: пр. «Алмаз-53» (1990-е)- несколько шт., крейсерская пр. СТ-1400 (-08.1999)- 1;</w:t>
      </w:r>
    </w:p>
    <w:p w14:paraId="5D079B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кровати, журнальные и сервировочные столики (1980-е); рассадопосадочные машины (1990-е); опытные вагоны для скоростного поезда «Сокол-250» (1990-е); плавучий фонтанный комплекс для Санкт-Петербурга (2006);</w:t>
      </w:r>
    </w:p>
    <w:p w14:paraId="07DC4D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переоборудование: торпедного катера ТД-200бис подводным крылом ЦАГИ (1950-е); модернизация президентской яхты пр. 1360 «Кавказ» (принадлежавшей ранее Л.И. Брежневу, 11.2001-05.2002); теплохода «Ласточка» в яхту «Лаймарита» (-06.2000) (11982).</w:t>
      </w:r>
    </w:p>
    <w:p w14:paraId="29980FDD" w14:textId="77777777" w:rsidR="00AC715D" w:rsidRPr="005E779E" w:rsidRDefault="00AC715D"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9A54B81" w14:textId="77777777" w:rsidR="00C90094" w:rsidRPr="005E779E" w:rsidRDefault="00C90094"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654E72DF" w14:textId="77777777" w:rsidR="00C90094" w:rsidRPr="005E779E" w:rsidRDefault="00C90094"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D99BB24" w14:textId="77777777" w:rsidR="00C90094" w:rsidRPr="005E779E" w:rsidRDefault="00C90094"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23 февраля 1931 г.</w:t>
      </w:r>
    </w:p>
    <w:p w14:paraId="5DAD1DA8" w14:textId="77777777" w:rsidR="00C90094" w:rsidRPr="005E779E" w:rsidRDefault="00C90094"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Обзор протестов, направленных в ЦИК СССР в связи с изменением судебного приговора, подготовленный секретариатом М. И. Калинина. 23 февраля 1931 г.</w:t>
      </w:r>
    </w:p>
    <w:p w14:paraId="55579E1B" w14:textId="77777777" w:rsidR="00C90094" w:rsidRPr="005E779E" w:rsidRDefault="00C90094"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Источник: </w:t>
      </w:r>
    </w:p>
    <w:p w14:paraId="1D59571D"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76FBD32" w14:textId="77777777" w:rsidR="00C90094" w:rsidRPr="005E779E" w:rsidRDefault="00C90094"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Архив: </w:t>
      </w:r>
    </w:p>
    <w:p w14:paraId="64B9C97B"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ГА РФ. Ф. P-3316. Оп. 23. Д. 1036. Л. 159-163</w:t>
      </w:r>
    </w:p>
    <w:p w14:paraId="467354DE" w14:textId="77777777" w:rsidR="00C90094" w:rsidRPr="005E779E" w:rsidRDefault="00C90094" w:rsidP="000B7A6C">
      <w:pPr>
        <w:pStyle w:val="rteright"/>
        <w:spacing w:before="0" w:after="0"/>
        <w:jc w:val="both"/>
        <w:rPr>
          <w:color w:val="000000" w:themeColor="text1"/>
          <w:sz w:val="16"/>
          <w:szCs w:val="16"/>
        </w:rPr>
      </w:pPr>
      <w:r w:rsidRPr="005E779E">
        <w:rPr>
          <w:color w:val="000000" w:themeColor="text1"/>
          <w:sz w:val="16"/>
          <w:szCs w:val="16"/>
        </w:rPr>
        <w:t>23 февраля 1931 г.</w:t>
      </w:r>
    </w:p>
    <w:p w14:paraId="518B92AD" w14:textId="77777777" w:rsidR="00C90094" w:rsidRPr="005E779E" w:rsidRDefault="00C90094" w:rsidP="000B7A6C">
      <w:pPr>
        <w:pStyle w:val="rtejustify"/>
        <w:spacing w:before="0" w:after="0"/>
        <w:rPr>
          <w:color w:val="000000" w:themeColor="text1"/>
          <w:sz w:val="16"/>
          <w:szCs w:val="16"/>
        </w:rPr>
      </w:pPr>
      <w:r w:rsidRPr="005E779E">
        <w:rPr>
          <w:color w:val="000000" w:themeColor="text1"/>
          <w:sz w:val="16"/>
          <w:szCs w:val="16"/>
        </w:rPr>
        <w:t>На имя т. Калинина поступило около сотни писем, главным образом, от рабочих и работниц, а также от красноармейцев, из колхозов, от комсомольцев, от учащихся и т. п. с протестами и упреками против постановления о помиловании осужденных специальным присутствием Верховного Суда главных обвиняемых по процессу Промпартии — к расстрелу. Число этих обращений следует умножить ввиду того, что часть писем поступила за коллективными подписями (от цехов, колхозов, учебных заведений и отдельных групп трудящихся).</w:t>
      </w:r>
    </w:p>
    <w:p w14:paraId="7286E25E" w14:textId="77777777" w:rsidR="00C90094" w:rsidRPr="005E779E" w:rsidRDefault="00C90094" w:rsidP="000B7A6C">
      <w:pPr>
        <w:pStyle w:val="rtejustify"/>
        <w:spacing w:before="0" w:after="0"/>
        <w:rPr>
          <w:color w:val="000000" w:themeColor="text1"/>
          <w:sz w:val="16"/>
          <w:szCs w:val="16"/>
        </w:rPr>
      </w:pPr>
      <w:r w:rsidRPr="005E779E">
        <w:rPr>
          <w:color w:val="000000" w:themeColor="text1"/>
          <w:sz w:val="16"/>
          <w:szCs w:val="16"/>
        </w:rPr>
        <w:t>Авторы писем в значительной части являются членами партии.</w:t>
      </w:r>
    </w:p>
    <w:p w14:paraId="3BA72317" w14:textId="77777777" w:rsidR="00C90094" w:rsidRPr="005E779E" w:rsidRDefault="00C90094" w:rsidP="000B7A6C">
      <w:pPr>
        <w:pStyle w:val="rtejustify"/>
        <w:spacing w:before="0" w:after="0"/>
        <w:rPr>
          <w:color w:val="000000" w:themeColor="text1"/>
          <w:sz w:val="16"/>
          <w:szCs w:val="16"/>
        </w:rPr>
      </w:pPr>
      <w:r w:rsidRPr="005E779E">
        <w:rPr>
          <w:color w:val="000000" w:themeColor="text1"/>
          <w:sz w:val="16"/>
          <w:szCs w:val="16"/>
        </w:rPr>
        <w:lastRenderedPageBreak/>
        <w:t>Общий тон писем усматривает в помиловании признак слабости перед врагом и перед внешним миром; во многих письмах содержатся упреки в игнорировании настроений и требований трудящихся масс Союза и зарубежных стран. Имеются также письма, в которых употреблены резкие формы негодования и выражены опасения насчет присутствия или влияния враждебных элементов на товарищей из руководящих правительственных кругов.</w:t>
      </w:r>
    </w:p>
    <w:p w14:paraId="15F9F569" w14:textId="77777777" w:rsidR="00C90094" w:rsidRPr="005E779E" w:rsidRDefault="00C90094" w:rsidP="000B7A6C">
      <w:pPr>
        <w:pStyle w:val="rtejustify"/>
        <w:spacing w:before="0" w:after="0"/>
        <w:rPr>
          <w:color w:val="000000" w:themeColor="text1"/>
          <w:sz w:val="16"/>
          <w:szCs w:val="16"/>
        </w:rPr>
      </w:pPr>
      <w:r w:rsidRPr="005E779E">
        <w:rPr>
          <w:color w:val="000000" w:themeColor="text1"/>
          <w:sz w:val="16"/>
          <w:szCs w:val="16"/>
        </w:rPr>
        <w:t>Несмотря на недоумение по случаю акта помилования и на протесты, содержащиеся в письмах и обращениях, все письма дышат бодростью и уверенностью, готовностью к дальнейшей борьбе за увеличение темпов строительства, предложениями о разных формах мобилизации сил, средств и т. д.</w:t>
      </w:r>
    </w:p>
    <w:p w14:paraId="31487EA2" w14:textId="77777777" w:rsidR="00C90094" w:rsidRPr="005E779E" w:rsidRDefault="00C90094" w:rsidP="000B7A6C">
      <w:pPr>
        <w:pStyle w:val="rtejustify"/>
        <w:spacing w:before="0" w:after="0"/>
        <w:rPr>
          <w:color w:val="000000" w:themeColor="text1"/>
          <w:sz w:val="16"/>
          <w:szCs w:val="16"/>
        </w:rPr>
      </w:pPr>
      <w:r w:rsidRPr="005E779E">
        <w:rPr>
          <w:color w:val="000000" w:themeColor="text1"/>
          <w:sz w:val="16"/>
          <w:szCs w:val="16"/>
        </w:rPr>
        <w:t>Вот выдержки из некоторых писем, обращений:</w:t>
      </w:r>
    </w:p>
    <w:p w14:paraId="452EDD40" w14:textId="77777777" w:rsidR="00C90094" w:rsidRPr="005E779E" w:rsidRDefault="00C90094" w:rsidP="000B7A6C">
      <w:pPr>
        <w:pStyle w:val="rtejustify"/>
        <w:spacing w:before="0" w:after="0"/>
        <w:rPr>
          <w:color w:val="000000" w:themeColor="text1"/>
          <w:sz w:val="16"/>
          <w:szCs w:val="16"/>
        </w:rPr>
      </w:pPr>
      <w:r w:rsidRPr="005E779E">
        <w:rPr>
          <w:color w:val="000000" w:themeColor="text1"/>
          <w:sz w:val="16"/>
          <w:szCs w:val="16"/>
        </w:rPr>
        <w:t>«...население в акте помилования усматривает мягкотелость, Центральный комитет поощряет целиком и полностью вредительство, наверное, в Центральном Комитете также есть вредители или близкие к ним правые оппортунисты...». Автор интересуется: «...когда выносили постановление о помиловании, участвовал или нет т. Сталин» (товарищ Малодушев, член партии с 1926 г. из деревни Климовской, председатель коопбюро).</w:t>
      </w:r>
    </w:p>
    <w:p w14:paraId="31EAB645" w14:textId="77777777" w:rsidR="00C90094" w:rsidRPr="005E779E" w:rsidRDefault="00C90094" w:rsidP="000B7A6C">
      <w:pPr>
        <w:pStyle w:val="rtejustify"/>
        <w:spacing w:before="0" w:after="0"/>
        <w:rPr>
          <w:color w:val="000000" w:themeColor="text1"/>
          <w:sz w:val="16"/>
          <w:szCs w:val="16"/>
        </w:rPr>
      </w:pPr>
      <w:r w:rsidRPr="005E779E">
        <w:rPr>
          <w:color w:val="000000" w:themeColor="text1"/>
          <w:sz w:val="16"/>
          <w:szCs w:val="16"/>
        </w:rPr>
        <w:t>«...На душе было легко, прочитав решение пролетарского суда по делу контр-революционной организации Промпартии, но через день, проглядывая газету, я наткнулся на другое, что вредители помилованы. Здесь сердце рвет на куски, слышится скрежет зубов...». Далее он, сопоставляя товарный кризис, жестокость хлебо[-] и других заготовок, суровое преследование за нарушение в этих областях — пишет: «...ваше помилование кучки сволочей напоминает басню Крылова “Волк на псарне”, вы брали во внимание их чистосердечное раскаяние и последние слова на процессе, когда они клялись работать на пользу советской власти, — это равно тому, что волк окружен стадом гончих и чувствуя свой конец, клянется драться с теми, кто будет нападать на стадо...» (Антонов, пограничник Волочинского погранотряда, от 15 декабря).</w:t>
      </w:r>
    </w:p>
    <w:p w14:paraId="145F3CA0" w14:textId="77777777" w:rsidR="00C90094" w:rsidRPr="005E779E" w:rsidRDefault="00C90094" w:rsidP="000B7A6C">
      <w:pPr>
        <w:pStyle w:val="rtejustify"/>
        <w:spacing w:before="0" w:after="0"/>
        <w:rPr>
          <w:color w:val="000000" w:themeColor="text1"/>
          <w:sz w:val="16"/>
          <w:szCs w:val="16"/>
        </w:rPr>
      </w:pPr>
      <w:r w:rsidRPr="005E779E">
        <w:rPr>
          <w:color w:val="000000" w:themeColor="text1"/>
          <w:sz w:val="16"/>
          <w:szCs w:val="16"/>
        </w:rPr>
        <w:t>«...Я не согласен с постановлением ВЦИК насчет Промпартии, так как присутствием специального Верховного Суда был вынесен приговор по делу профессора Рамзина и других вполне правильно, так как этого требовал рабочий класс Советского Союза и даже рабочие Франции и других стран..., а вот вы, как лидеры рабочего класса СССР, не хотите исполнять волю своего класса... А вот когда ГПУ в Москве расстреляло вредителей мясной и рыбной промышленности, то мне это очень понравилось и мне казалось, что действительно мы идем к уничтожению классовых врагов. Я сам бывший красноармеец, участвовал в гражданской войне и хочу заверить советское правительство и партию, что по первому зову готов встать на защиту советских границ» (Поддубный М. И., рабочий Стекольного завода «Дагестанские огни» им. Рыкова — от 11 декабря).</w:t>
      </w:r>
    </w:p>
    <w:p w14:paraId="24A58B83" w14:textId="77777777" w:rsidR="00C90094" w:rsidRPr="005E779E" w:rsidRDefault="00C90094" w:rsidP="000B7A6C">
      <w:pPr>
        <w:pStyle w:val="rtejustify"/>
        <w:spacing w:before="0" w:after="0"/>
        <w:rPr>
          <w:color w:val="000000" w:themeColor="text1"/>
          <w:sz w:val="16"/>
          <w:szCs w:val="16"/>
        </w:rPr>
      </w:pPr>
      <w:r w:rsidRPr="005E779E">
        <w:rPr>
          <w:color w:val="000000" w:themeColor="text1"/>
          <w:sz w:val="16"/>
          <w:szCs w:val="16"/>
        </w:rPr>
        <w:t>«...Приходится остановливаться на одном, что хорошо живется грамотному образованному человеку, только им приходится вести борьбу за власть, только они и борятся, надеясь, что плохих последствий быть не может... Наш суд не мстил, а по заслугам наградил офицеров армии Пуанкаре-война; им не нужно было бы снимать этого наказания» (Дмитрочков Сергей, Себеж, прораб — 19 декабря, дер. Мидино).</w:t>
      </w:r>
    </w:p>
    <w:p w14:paraId="7DE5DBB4" w14:textId="77777777" w:rsidR="00C90094" w:rsidRPr="005E779E" w:rsidRDefault="00C90094" w:rsidP="000B7A6C">
      <w:pPr>
        <w:pStyle w:val="rtejustify"/>
        <w:spacing w:before="0" w:after="0"/>
        <w:rPr>
          <w:color w:val="000000" w:themeColor="text1"/>
          <w:sz w:val="16"/>
          <w:szCs w:val="16"/>
        </w:rPr>
      </w:pPr>
      <w:r w:rsidRPr="005E779E">
        <w:rPr>
          <w:color w:val="000000" w:themeColor="text1"/>
          <w:sz w:val="16"/>
          <w:szCs w:val="16"/>
        </w:rPr>
        <w:t>Рабочий Тагильского завода Лапкин в письме от 17 декабря пишет: «Стоило ли нам останавливаться перед расстрелом Рамзина и его приспешников, когда этого требовал весь рабочий класс земного шара. Зачем Верховный суд записал, что все виновные приговорены к расстрелу, приговор окончательный и обжалованию не подлежит, однако эти изменники, эти продажные душонки были помилованы. Но рабочие и крестьяне и я вместе с ними заявляем, что эту банду вредителей надо было расстрелять. Я заверяю правительство о том, что как только буржуазный мир попытается напасть на границы Советского Союза, то есть вопреки нашего мирного социалистического строительства откроют войну — я по первому зову, как и все рабочие и крестьяне, встанем снова под винтовку для защиты завоеваний Октября».</w:t>
      </w:r>
    </w:p>
    <w:p w14:paraId="762A94A7" w14:textId="77777777" w:rsidR="00C90094" w:rsidRPr="005E779E" w:rsidRDefault="00C90094" w:rsidP="000B7A6C">
      <w:pPr>
        <w:pStyle w:val="rtejustify"/>
        <w:spacing w:before="0" w:after="0"/>
        <w:rPr>
          <w:color w:val="000000" w:themeColor="text1"/>
          <w:sz w:val="16"/>
          <w:szCs w:val="16"/>
        </w:rPr>
      </w:pPr>
      <w:r w:rsidRPr="005E779E">
        <w:rPr>
          <w:color w:val="000000" w:themeColor="text1"/>
          <w:sz w:val="16"/>
          <w:szCs w:val="16"/>
        </w:rPr>
        <w:t>Т. Рожков, слесарь инструментального завода в г. Коврове, ссылаясь на напряженное внимание, с которым он и другие рабочие следили за процессом, за докладами парторганизации о вредителях, говоря об энтузиазме масс, проявленном в ответ на действия вредителей, на увеличение подписки на займы, ударничество и т. п. пишет: «Все рабочие постановления были “отказать в паспорте на жизнь этим гадам”, но ЦИК СССР в этом случае воли масс не выполнил и тем, что их помиловал, это иностранный капитал будет думать, что мы испугались. Проводя по заводу подписку на дополнительный заем, рабочие прямо говорят, что все наши постановления идут на смарку и дать ответ на данный вопрос слишком трудно, ибо нет причин к их помилованию и кроме того, оставить их живыми и желая их использовать, необходим надзор, а это значит, нам быть прислугой у господ профессоров Рамзиных, Ларичевых и других, а они будут лишь только улыбаться, они наверное теперь смеются, ибо им на суде говорить что либо нужно, а жизнь им дороже. Ваше постановление разбирали на вечерней совпартшколе и многие также не согласились».</w:t>
      </w:r>
    </w:p>
    <w:p w14:paraId="5A95CC11" w14:textId="77777777" w:rsidR="00C90094" w:rsidRPr="005E779E" w:rsidRDefault="00C90094" w:rsidP="000B7A6C">
      <w:pPr>
        <w:pStyle w:val="rtejustify"/>
        <w:spacing w:before="0" w:after="0"/>
        <w:rPr>
          <w:color w:val="000000" w:themeColor="text1"/>
          <w:sz w:val="16"/>
          <w:szCs w:val="16"/>
        </w:rPr>
      </w:pPr>
      <w:r w:rsidRPr="005E779E">
        <w:rPr>
          <w:color w:val="000000" w:themeColor="text1"/>
          <w:sz w:val="16"/>
          <w:szCs w:val="16"/>
        </w:rPr>
        <w:t>От имени собрания (107 чел.) рабочих, красноармейцев и студентов получено постановление, в котором пишется: «Зачитав постановление Президиума ЦИКа Союза об отмене приговора Верховного Суда по делу Промпартии... мы, рабочие механического завода, железнодорожники Новочеркасского узла, красноармейцы 30 Краснознаменного Саратовского полка, 5 Блиновской кавдивизии и 29 Сталинградского Камышевского полка, с участием студентов пролетарских ВУЗов г. Новочеркасска, с большим негодованием зачитываем ваше постановление об отмене расстрела от 8 декабря и высказываем наш протест. Мы требуем от вас отменить постановление (о помиловании), подтвердив приговор Верховного Суда, вынесенный по делу этих гадов. Если только это не сделаете, то просим на нас не обижаться, мы пойдем в подполье и будем таких гадов сами приговаривать. Все наши заслуги можете у нас отобрать. Как вы еще не амнистировали Колчака и царя, которые тоже раскаялись. Теряете революционное чутье. Позор. Мы требуем». (СКК, Новочеркасск. От имени 107 рабочих, красноармейцев и студентов: Би- кетов от рабочих, от красноармейцев — Влад&lt;...&gt;, от студентов — Павлов. — 10 декабря 1930 г.)</w:t>
      </w:r>
    </w:p>
    <w:p w14:paraId="3FC29CB1" w14:textId="77777777" w:rsidR="00C90094" w:rsidRPr="005E779E" w:rsidRDefault="00C90094" w:rsidP="000B7A6C">
      <w:pPr>
        <w:pStyle w:val="rtejustify"/>
        <w:spacing w:before="0" w:after="0"/>
        <w:rPr>
          <w:color w:val="000000" w:themeColor="text1"/>
          <w:sz w:val="16"/>
          <w:szCs w:val="16"/>
        </w:rPr>
      </w:pPr>
      <w:r w:rsidRPr="005E779E">
        <w:rPr>
          <w:color w:val="000000" w:themeColor="text1"/>
          <w:sz w:val="16"/>
          <w:szCs w:val="16"/>
        </w:rPr>
        <w:t>Телеграмма из Горноколыванскова «Мы коммунары коммуны “Красный воин” из далекого Алтая Горно-Колыванского района Сибири требуем срочного пересмотра постановления по делу обвинения контрреволюционной организации Промпартии и просим оставить приговор Верховного Суда СССР в силе — Коммуна Красный Воин».</w:t>
      </w:r>
    </w:p>
    <w:p w14:paraId="2801F716" w14:textId="77777777" w:rsidR="00C90094" w:rsidRPr="005E779E" w:rsidRDefault="00C90094" w:rsidP="000B7A6C">
      <w:pPr>
        <w:pStyle w:val="rtejustify"/>
        <w:spacing w:before="0" w:after="0"/>
        <w:rPr>
          <w:color w:val="000000" w:themeColor="text1"/>
          <w:sz w:val="16"/>
          <w:szCs w:val="16"/>
        </w:rPr>
      </w:pPr>
      <w:r w:rsidRPr="005E779E">
        <w:rPr>
          <w:color w:val="000000" w:themeColor="text1"/>
          <w:sz w:val="16"/>
          <w:szCs w:val="16"/>
        </w:rPr>
        <w:t>«...Рабочие возмущаются и недоумевают, что это [-] трусость или гуманность или своего рода политика... На местах иногда применяют высшую меру наказания даже таким преступникам, которые вышли из среды рабочего класса, но просто сбились с пути, а здесь просто исход один — расстрелять — вот чего требовал рабочий класс Союза и других стран, а вы не подчинились голосу масс и самовольно делаете что хотите. Так как я еду со съезда, где массы всего Донбасса высказывали протест, то я считаю, что нам надо объясниться через газету» (Комов, член партии, рабочий Трубного завода в Харцыске).</w:t>
      </w:r>
    </w:p>
    <w:p w14:paraId="6E70D717" w14:textId="77777777" w:rsidR="00C90094" w:rsidRPr="005E779E" w:rsidRDefault="00C90094" w:rsidP="000B7A6C">
      <w:pPr>
        <w:pStyle w:val="rtejustify"/>
        <w:spacing w:before="0" w:after="0"/>
        <w:rPr>
          <w:color w:val="000000" w:themeColor="text1"/>
          <w:sz w:val="16"/>
          <w:szCs w:val="16"/>
        </w:rPr>
      </w:pPr>
      <w:r w:rsidRPr="005E779E">
        <w:rPr>
          <w:color w:val="000000" w:themeColor="text1"/>
          <w:sz w:val="16"/>
          <w:szCs w:val="16"/>
        </w:rPr>
        <w:t>«В самом деле, надо ли жалеть тех, кто сводил на нет рабочую инициативу, кто строил вредительские планы в промышленности, кто тащит последние соки от каждого рабочего, на благополучие французского и других капиталов. Разве можно дать другой приговор этим Рамзиным, разве дорого их раскаяние, да, оно нам было нужно, но оно не должно отменять расстрела...». Далее, считая постановление о помиловании слабостью и противоречащим требованию рабочих масс, автор пишет: «Разве ты не читал и не знал, что говорили миллионы таких, каким был раньше ты, у вас всегда есть оговорка, что мол, это связано с политическими и прочими моментами. Так знайте, что мы перед такими делами не трусим, мы хоть сейчас готовы взять винтовку в руки, чтобы пойти за Октябрь. Передайте эти уверения и Сталину от меня беспартийного рабочего, но с вашим постановлением я не согласен, не согласны и многие, даже все, никто с этим не мирится» (Павел Бондарев, рабочий, Ленинград — 9 декабря).</w:t>
      </w:r>
    </w:p>
    <w:p w14:paraId="79F86DDC" w14:textId="77777777" w:rsidR="00C90094" w:rsidRPr="005E779E" w:rsidRDefault="00C90094" w:rsidP="000B7A6C">
      <w:pPr>
        <w:pStyle w:val="rtejustify"/>
        <w:spacing w:before="0" w:after="0"/>
        <w:rPr>
          <w:color w:val="000000" w:themeColor="text1"/>
          <w:sz w:val="16"/>
          <w:szCs w:val="16"/>
        </w:rPr>
      </w:pPr>
      <w:r w:rsidRPr="005E779E">
        <w:rPr>
          <w:color w:val="000000" w:themeColor="text1"/>
          <w:sz w:val="16"/>
          <w:szCs w:val="16"/>
        </w:rPr>
        <w:t>Эти отрывки писем являются типичными для остальных индивидуальных и коллективных обращений.</w:t>
      </w:r>
    </w:p>
    <w:p w14:paraId="4A9B8F53" w14:textId="77777777" w:rsidR="00C90094" w:rsidRPr="005E779E" w:rsidRDefault="00C90094" w:rsidP="000B7A6C">
      <w:pPr>
        <w:pStyle w:val="rtejustify"/>
        <w:spacing w:before="0" w:after="0"/>
        <w:rPr>
          <w:color w:val="000000" w:themeColor="text1"/>
          <w:sz w:val="16"/>
          <w:szCs w:val="16"/>
        </w:rPr>
      </w:pPr>
      <w:r w:rsidRPr="005E779E">
        <w:rPr>
          <w:color w:val="000000" w:themeColor="text1"/>
          <w:sz w:val="16"/>
          <w:szCs w:val="16"/>
        </w:rPr>
        <w:t>Даты обращений и писем приблизительно все совпадают и относятся к первым неделе — другой после опубликования приговора суда и постановления о помиловании. В дальнейшем приток писем сразу оборвался; это обстоятельство в известной степени позволяет предполагать, что в большинстве случаев протесты и недоумения возникли вследствие того, что партийные организации на местах не успели еще провести широкую политическую кампанию по разъяснению основных мотивов, коими руководствовалось правительство при рассмотрении ходатайства осужденных о помиловании.</w:t>
      </w:r>
    </w:p>
    <w:p w14:paraId="4CD64D7A" w14:textId="77777777" w:rsidR="00C90094" w:rsidRPr="005E779E" w:rsidRDefault="00C90094" w:rsidP="000B7A6C">
      <w:pPr>
        <w:pStyle w:val="rtejustify"/>
        <w:spacing w:before="0" w:after="0"/>
        <w:rPr>
          <w:color w:val="000000" w:themeColor="text1"/>
          <w:sz w:val="16"/>
          <w:szCs w:val="16"/>
        </w:rPr>
      </w:pPr>
      <w:r w:rsidRPr="005E779E">
        <w:rPr>
          <w:color w:val="000000" w:themeColor="text1"/>
          <w:sz w:val="16"/>
          <w:szCs w:val="16"/>
        </w:rPr>
        <w:t>Обращает на себя внимание и то обстоятельство, что в подавляющем большинстве письма и обращения исходят из отдаленных районов, нет протестов и недоуменных вопросов со стороны отдельных лиц и организаций из крупных центров промышленности, а также от крупных колхозов.</w:t>
      </w:r>
    </w:p>
    <w:p w14:paraId="5467117E" w14:textId="77777777" w:rsidR="00C90094" w:rsidRPr="005E779E" w:rsidRDefault="00C90094" w:rsidP="000B7A6C">
      <w:pPr>
        <w:pStyle w:val="rtejustify"/>
        <w:spacing w:before="0" w:after="0"/>
        <w:rPr>
          <w:color w:val="000000" w:themeColor="text1"/>
          <w:sz w:val="16"/>
          <w:szCs w:val="16"/>
        </w:rPr>
      </w:pPr>
      <w:r w:rsidRPr="005E779E">
        <w:rPr>
          <w:color w:val="000000" w:themeColor="text1"/>
          <w:sz w:val="16"/>
          <w:szCs w:val="16"/>
        </w:rPr>
        <w:t>Что же касается невыдержанного по своему содержанию письма из Новочеркасска от имени 107 рабочих, красноармейцев и студентов, то оно оставляет впечатление мистификации и может быть следовало бы в партийном порядке обследовать хотя бы и с запозданием обстоятельство, помешавшее местным партийным органам дать нужное разъяснение на этом собрании, если оно действительно имело место.</w:t>
      </w:r>
    </w:p>
    <w:p w14:paraId="1116F641" w14:textId="77777777" w:rsidR="00C90094" w:rsidRPr="005E779E" w:rsidRDefault="00C90094" w:rsidP="000B7A6C">
      <w:pPr>
        <w:pStyle w:val="ae"/>
        <w:spacing w:before="0" w:after="0"/>
        <w:jc w:val="both"/>
        <w:rPr>
          <w:color w:val="000000" w:themeColor="text1"/>
          <w:sz w:val="16"/>
          <w:szCs w:val="16"/>
        </w:rPr>
      </w:pPr>
      <w:r w:rsidRPr="005E779E">
        <w:rPr>
          <w:color w:val="000000" w:themeColor="text1"/>
          <w:sz w:val="16"/>
          <w:szCs w:val="16"/>
        </w:rPr>
        <w:t>23/II- 1931 г.</w:t>
      </w:r>
    </w:p>
    <w:p w14:paraId="38F1C92C" w14:textId="77777777" w:rsidR="00C90094" w:rsidRPr="005E779E" w:rsidRDefault="00C90094" w:rsidP="000B7A6C">
      <w:pPr>
        <w:pStyle w:val="ae"/>
        <w:spacing w:before="0" w:after="0"/>
        <w:jc w:val="both"/>
        <w:rPr>
          <w:color w:val="000000" w:themeColor="text1"/>
          <w:sz w:val="16"/>
          <w:szCs w:val="16"/>
        </w:rPr>
      </w:pPr>
      <w:r w:rsidRPr="005E779E">
        <w:rPr>
          <w:color w:val="000000" w:themeColor="text1"/>
          <w:sz w:val="16"/>
          <w:szCs w:val="16"/>
        </w:rPr>
        <w:t>&lt;Тарашкин&gt;</w:t>
      </w:r>
    </w:p>
    <w:p w14:paraId="2EBF613F" w14:textId="77777777" w:rsidR="00C90094" w:rsidRPr="005E779E" w:rsidRDefault="00C90094" w:rsidP="000B7A6C">
      <w:pPr>
        <w:pStyle w:val="ae"/>
        <w:spacing w:before="0" w:after="0"/>
        <w:jc w:val="both"/>
        <w:rPr>
          <w:color w:val="000000" w:themeColor="text1"/>
          <w:sz w:val="16"/>
          <w:szCs w:val="16"/>
        </w:rPr>
      </w:pPr>
      <w:r w:rsidRPr="005E779E">
        <w:rPr>
          <w:rStyle w:val="af0"/>
          <w:i w:val="0"/>
          <w:color w:val="000000" w:themeColor="text1"/>
          <w:sz w:val="16"/>
          <w:szCs w:val="16"/>
        </w:rPr>
        <w:t>ГА РФ. Ф. P-3316. Оп. 23. Д. 1036. Л. 159-163. Машинописный подлинник, подпись составителя обзора — автограф. На. Л. 163 вверху слева резолюция (от руки): «В дело вместе с письмами сдать в архив. 4/IV»; справа прямоугольный штамп делопроизводства ЦИК СССР с рукописной пометой «ПР-343.75/3-30 год» (19049).</w:t>
      </w:r>
    </w:p>
    <w:p w14:paraId="7F027391" w14:textId="77777777" w:rsidR="00C90094" w:rsidRPr="005E779E" w:rsidRDefault="00C90094" w:rsidP="000B7A6C">
      <w:pPr>
        <w:spacing w:after="0" w:line="240" w:lineRule="auto"/>
        <w:jc w:val="both"/>
        <w:rPr>
          <w:rFonts w:ascii="Times New Roman" w:hAnsi="Times New Roman"/>
          <w:color w:val="000000" w:themeColor="text1"/>
          <w:sz w:val="16"/>
          <w:szCs w:val="16"/>
        </w:rPr>
      </w:pPr>
    </w:p>
    <w:p w14:paraId="1C187F09"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февраля 1931. Газета "Вечерняя Москва" сообщала: "ВСФК вводится особый значок "Готов к труду и обороне", которым будут награждаться физкультурники за всестороннее физкультурное развитие" (18724).</w:t>
      </w:r>
    </w:p>
    <w:p w14:paraId="72CE2B66" w14:textId="77777777" w:rsidR="00C90094" w:rsidRPr="005E779E" w:rsidRDefault="00C90094" w:rsidP="000B7A6C">
      <w:pPr>
        <w:spacing w:after="0" w:line="240" w:lineRule="auto"/>
        <w:jc w:val="both"/>
        <w:rPr>
          <w:rFonts w:ascii="Times New Roman" w:hAnsi="Times New Roman"/>
          <w:color w:val="000000" w:themeColor="text1"/>
          <w:sz w:val="16"/>
          <w:szCs w:val="16"/>
        </w:rPr>
      </w:pPr>
    </w:p>
    <w:p w14:paraId="6A63CB8F" w14:textId="77777777" w:rsidR="00AC715D"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11850F2F" w14:textId="77777777" w:rsidR="00AC715D" w:rsidRPr="005E779E" w:rsidRDefault="00AC715D"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8A43692" w14:textId="77777777" w:rsidR="00AC715D" w:rsidRPr="005E779E" w:rsidRDefault="00AC715D"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23 февраля</w:t>
      </w:r>
      <w:r w:rsidRPr="005E779E">
        <w:rPr>
          <w:rFonts w:ascii="Times New Roman" w:hAnsi="Times New Roman"/>
          <w:color w:val="000000" w:themeColor="text1"/>
          <w:sz w:val="16"/>
          <w:szCs w:val="16"/>
        </w:rPr>
        <w:t xml:space="preserve"> в 1931 году экипаж самолета </w:t>
      </w:r>
      <w:hyperlink r:id="rId26" w:tgtFrame="_blank" w:history="1">
        <w:r w:rsidRPr="005E779E">
          <w:rPr>
            <w:rFonts w:ascii="Times New Roman" w:hAnsi="Times New Roman"/>
            <w:color w:val="000000" w:themeColor="text1"/>
            <w:sz w:val="16"/>
            <w:szCs w:val="16"/>
          </w:rPr>
          <w:t xml:space="preserve">«Bernard» «80GR» </w:t>
        </w:r>
      </w:hyperlink>
      <w:r w:rsidRPr="005E779E">
        <w:rPr>
          <w:rFonts w:ascii="Times New Roman" w:hAnsi="Times New Roman"/>
          <w:color w:val="000000" w:themeColor="text1"/>
          <w:sz w:val="16"/>
          <w:szCs w:val="16"/>
        </w:rPr>
        <w:t>стартовал в попытке установить новый мировой рекорд дальности полета по замкнутому маршруту. Самолет имел регистрационный бортовой код «F-AKEX» и был заправлен 6300 литрами топлива. Вначале полет проходил без особых осложнений. Спустя некоторое время, вдруг выяснилось, что расход топлива в полете гораздо выше предусмотренного в расчетах. 25 февраля пришлось совершить вынужденную посадку. Самолет продержался в воздухе 50 часов и 2 минуты. При этом он пролетел расстояние, равное 8168 километров. Не хватило всего каких-то двадцати километров, чтобы повторить рекорд итальянцев. В последствии выяснилось, что виной всему был плохо отрегулированный винт самолета (15049).</w:t>
      </w:r>
    </w:p>
    <w:p w14:paraId="0ECE573C" w14:textId="77777777" w:rsidR="00AC715D" w:rsidRPr="005E779E" w:rsidRDefault="00AC715D" w:rsidP="000B7A6C">
      <w:pPr>
        <w:spacing w:after="0" w:line="240" w:lineRule="auto"/>
        <w:jc w:val="both"/>
        <w:rPr>
          <w:rFonts w:ascii="Times New Roman" w:hAnsi="Times New Roman"/>
          <w:color w:val="000000" w:themeColor="text1"/>
          <w:sz w:val="16"/>
          <w:szCs w:val="16"/>
        </w:rPr>
      </w:pPr>
    </w:p>
    <w:p w14:paraId="1CF54442" w14:textId="77777777" w:rsidR="00AC715D"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084858F1" w14:textId="77777777" w:rsidR="00AC715D" w:rsidRPr="005E779E" w:rsidRDefault="00AC715D"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A88DB88" w14:textId="77777777" w:rsidR="00AC715D" w:rsidRPr="005E779E" w:rsidRDefault="00AC715D"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24 февраля</w:t>
      </w:r>
      <w:r w:rsidRPr="005E779E">
        <w:rPr>
          <w:rFonts w:ascii="Times New Roman" w:hAnsi="Times New Roman"/>
          <w:color w:val="000000" w:themeColor="text1"/>
          <w:sz w:val="16"/>
          <w:szCs w:val="16"/>
        </w:rPr>
        <w:t xml:space="preserve"> в 1931 году впервые взлетел прототип английской транспортной летающей лодки </w:t>
      </w:r>
      <w:hyperlink r:id="rId27" w:tgtFrame="_blank" w:history="1">
        <w:r w:rsidRPr="005E779E">
          <w:rPr>
            <w:rFonts w:ascii="Times New Roman" w:hAnsi="Times New Roman"/>
            <w:color w:val="000000" w:themeColor="text1"/>
            <w:sz w:val="16"/>
            <w:szCs w:val="16"/>
          </w:rPr>
          <w:t xml:space="preserve">«Short» «S.17» «Kent» </w:t>
        </w:r>
      </w:hyperlink>
      <w:r w:rsidRPr="005E779E">
        <w:rPr>
          <w:rFonts w:ascii="Times New Roman" w:hAnsi="Times New Roman"/>
          <w:color w:val="000000" w:themeColor="text1"/>
          <w:sz w:val="16"/>
          <w:szCs w:val="16"/>
        </w:rPr>
        <w:t>названный "Scipio" («G-ABFA»). Успешная эксплуатация «Short» «S.8» «Calcutta» повлияла на решение «Imperial Airways» вновь воспользоваться услугами фирмы братьев Шорт. В конце 1920-х было заказно три новых летающих лодки для замены "Калькутты" на средиземноморском участке имперских авиалиний. Проект «Short» «S.17» «Kent» стал развитием предыдущей модели. У нового самолёта были увеличены размеры фюзеляжа и размах крыльев, установлены четыре более мощных двигателя «Bristol» «Jupiter XFBM». Пилотская кабина стала закрытой, повысился комфорт пассажирского салона. Были проведены мероприятия по защите от коррозии, вызываемой морской водой. Испытания прототипа происходили настолько гладко, что уже 5 мая 1931 самолёт вышел на линию. 15 мая к нему присоединился второй экземпляр («G-ABFB» "Sylvanus"), а 26 мая третий (G-AFBC "Satyrus"). Машины использовались на трассе Бриндизи - Афины - Александрия. По пути из Афин в Александрию выполнялась техническая посадка на Крите для дозаправки. С 16 апреля 1932 полёты также выполнялись по маршруту Бриндизи - Лимассол - Хайфа - Александрия. В том же 1932 году все три построенных «Short» «S.17» ("Scipio", "Sylvanus", "Satyrus" ) полностью заменили Short S.8 Calcutta на средиземноморской линии. 9 ноября 1935 "Sylvanus" сгорел в Бриндизи в результате террористического акта. 22 августа 1936 в сложных метеоусловиях "Scipio" потерпел аварию при посадке в порту Мирабелла на Крите. "Satyrus" же обслуживал линии авиакомпании вплоть до списания в июне 1938 (15050).</w:t>
      </w:r>
    </w:p>
    <w:p w14:paraId="4F5AE345" w14:textId="77777777" w:rsidR="00AC715D" w:rsidRPr="005E779E" w:rsidRDefault="00AC715D" w:rsidP="000B7A6C">
      <w:pPr>
        <w:spacing w:after="0" w:line="240" w:lineRule="auto"/>
        <w:jc w:val="both"/>
        <w:rPr>
          <w:rFonts w:ascii="Times New Roman" w:hAnsi="Times New Roman"/>
          <w:color w:val="000000" w:themeColor="text1"/>
          <w:sz w:val="16"/>
          <w:szCs w:val="16"/>
        </w:rPr>
      </w:pPr>
    </w:p>
    <w:p w14:paraId="2197D168" w14:textId="77777777" w:rsidR="004742EE" w:rsidRPr="005E779E" w:rsidRDefault="004742E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 февраля 1931 - Впервые взлетел прототип английской транспортной летающей лодки Short S.17 Kent, названный "Scipio" (G-ABFA). Успешная эксплуатация Short S.8 Calcutta повлияла на решение Imperial Airways вновь воспользоваться услугами фирмы братьев Шорт. В конце 1920-х было заказно три новых летающих лодки для замены "Калькутты" на средиземноморском участке имперских авиалиний. Проект Short S.17 Kent стал развитием предыдущей модели. У нового самолёта были увеличены размеры фюзеляжа и размах крыльев, установлены четыре более мощных двигателя Bristol Jupiter XFBM. Пилотская кабина стала закрытой, повысился комфорт пассажирского салона. Были проведены мероприятия по защите от коррозии, вызываемой морской водой. Испытания прототипа происходили настолько гладко, что уже 5 мая 1931 самолёт вышел на линию. 15 мая к нему присоединился второй экземпляр (G-ABFB "Sylvanus"), а 26 мая третий (G-AFBC "Satyrus"). Машины использовались на трассе Бриндизи - Афины - Александрия. По пути из Афин в Александрию выполнялась техническая посадка на Крите для дозаправки. С 16 апреля 1932 полёты также выполнялись по маршруту Бриндизи - Лимассол - Хайфа - Александрия. В том же 1932 году все три построенных Short S.17 ("Scipio", "Sylvanus", "Satyrus" ) полностью заменили Short S.8 Calcutta на средиземноморской линии (22588).</w:t>
      </w:r>
    </w:p>
    <w:p w14:paraId="584939ED" w14:textId="77777777" w:rsidR="004742EE" w:rsidRPr="005E779E" w:rsidRDefault="004742EE" w:rsidP="000B7A6C">
      <w:pPr>
        <w:spacing w:after="0" w:line="240" w:lineRule="auto"/>
        <w:jc w:val="both"/>
        <w:rPr>
          <w:rFonts w:ascii="Times New Roman" w:hAnsi="Times New Roman"/>
          <w:color w:val="000000" w:themeColor="text1"/>
          <w:sz w:val="16"/>
          <w:szCs w:val="16"/>
        </w:rPr>
      </w:pPr>
    </w:p>
    <w:p w14:paraId="6CCDB95C"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2B4D02D2"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4720A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25 февраля по 20 марта 1931 проходили гос. испытания МДР-2 АНТ-8 (1017,212).</w:t>
      </w:r>
    </w:p>
    <w:p w14:paraId="660EA2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A7329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февраля 1931 года гл. инженер по сухопутным самолетам Горощенко писал письмо N 122с в 3-й отдел УСС.</w:t>
      </w:r>
    </w:p>
    <w:p w14:paraId="0F1DFC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сем препровождается отчет по войсковым испытаниям самолета И5 в 73 АО 5-й Авиабригады в г. Киеве и заключение 2 отдела НИИ по войсковым испытаниям.</w:t>
      </w:r>
    </w:p>
    <w:p w14:paraId="0C60A9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Основной целью тактических эксплуатационных испытаний самолетов И5 являлось выявление технико-эксплуатационных и конструктивных особенностей и недостатков, а также выявление тактических свойств самолета.</w:t>
      </w:r>
    </w:p>
    <w:p w14:paraId="734A31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Испытание начато 28 ноября 1930 г.</w:t>
      </w:r>
    </w:p>
    <w:p w14:paraId="005704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Испытание окончено 24 января 1931 г.</w:t>
      </w:r>
    </w:p>
    <w:p w14:paraId="254FD8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Летных дней - 25</w:t>
      </w:r>
    </w:p>
    <w:p w14:paraId="033A29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 пяти самолетов И5, полученных отрядом программу войсковых испытаний выполняли на 3-х самолетах, а два оставались в резерве.</w:t>
      </w:r>
    </w:p>
    <w:p w14:paraId="694757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 2 отдела НИИ</w:t>
      </w:r>
    </w:p>
    <w:p w14:paraId="70F6DA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НИИ считает, что самолет И5-ЮVI, выполнив полностью программу войсковых испытаний (за исключением стрельб), выдержал последние вполне удовлетворительно и получил благоприятную оценку, как с точки зрения эксплуатационной, так и с тактической, за исключением вопросов, связанных со стрельбами, так как последние не производились (3290,14-40).</w:t>
      </w:r>
    </w:p>
    <w:p w14:paraId="492DF6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34921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февраля 1931 на совещании в ИАМ с участием представителя НИИ ГВФ, ЦАГИ был обсужден "План, порядок и сроки работ по РД и смету по производству опытных работ по РД", разработанный Цандером (388,57).</w:t>
      </w:r>
    </w:p>
    <w:p w14:paraId="279E4F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F6B36A4"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4F1C227F"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56431CA" w14:textId="77777777" w:rsidR="00FF3124" w:rsidRPr="005E779E" w:rsidRDefault="00FF3124"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25 февраля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Протокол заседания Политбюро ЦК ВКП(б) № 27. 9. О ходе работ на Сталинградском тракторном заводе (ПБ от 10 декабря 1930 г., пр. № 20, п. 4/10). 27. О кадрах командного состава НКВоенмора (Гамарник). — ОП. Решения ПБ от 20 февраля 1931 г. 13/29. О заказах военведа в Италию (ПБ от 30 января 1931 г. пр. 25, п. 8/13). 32/48. О Луганском паровозостроительном заводе (Сталин). 35/51 а) о танкостроении (ПБ от 10 января 1931 г., пр. № 23, п. 14/19) (Уборевич, Мартинович, Тухачевский, Халепский, Михайлов-Иванов). — ОП; б) о танках (Ворошилов, Орджоникидзе). — ОП. Опросом членов ПБ от 21 февраля 1931 г. 61/61. О кадрах командного состава РККА. — ОП. (Политбюро... Т. 2. С. 130, 131, 132, 133). Приложение к п. 35/51. О танковой программе (принято ПБ ЦК ВКП(б) 20 февраля 1931 г.). (РГАСПИ. Ф. 17. Оп. 162. Д. 9. Л. 151?156.) (12416).</w:t>
      </w:r>
    </w:p>
    <w:p w14:paraId="6FD6C914" w14:textId="77777777" w:rsidR="00FF3124" w:rsidRPr="005E779E" w:rsidRDefault="00FF3124" w:rsidP="000B7A6C">
      <w:pPr>
        <w:spacing w:after="0" w:line="240" w:lineRule="auto"/>
        <w:jc w:val="both"/>
        <w:rPr>
          <w:rFonts w:ascii="Times New Roman" w:hAnsi="Times New Roman"/>
          <w:color w:val="000000" w:themeColor="text1"/>
          <w:sz w:val="16"/>
          <w:szCs w:val="16"/>
          <w:u w:color="002060"/>
        </w:rPr>
      </w:pPr>
    </w:p>
    <w:p w14:paraId="1DECF509" w14:textId="77777777" w:rsidR="00FF3124" w:rsidRPr="005E779E" w:rsidRDefault="00FF3124" w:rsidP="000B7A6C">
      <w:pPr>
        <w:spacing w:after="0" w:line="240" w:lineRule="auto"/>
        <w:jc w:val="both"/>
        <w:rPr>
          <w:rFonts w:ascii="Times New Roman" w:hAnsi="Times New Roman"/>
          <w:color w:val="000000" w:themeColor="text1"/>
          <w:sz w:val="16"/>
          <w:szCs w:val="16"/>
        </w:rPr>
      </w:pPr>
      <w:r w:rsidRPr="005E779E">
        <w:rPr>
          <w:rStyle w:val="440"/>
          <w:rFonts w:ascii="Times New Roman" w:cs="Times New Roman"/>
          <w:color w:val="000000" w:themeColor="text1"/>
          <w:sz w:val="16"/>
          <w:szCs w:val="16"/>
          <w:lang w:val="ru-RU"/>
        </w:rPr>
        <w:t xml:space="preserve">25 февраля 1931 </w:t>
      </w:r>
      <w:r w:rsidRPr="005E779E">
        <w:rPr>
          <w:rFonts w:ascii="Times New Roman" w:hAnsi="Times New Roman"/>
          <w:color w:val="000000" w:themeColor="text1"/>
          <w:sz w:val="16"/>
          <w:szCs w:val="16"/>
        </w:rPr>
        <w:t>Политбюро ЦК ВКП (б) одобрило проект постановления СНК о строительстве и реконструкции металлургических заводов в 1931 г., а также решение Комиссии исполнения при СНК о выполнении директив ЦК ВКП (б) и СТО по производству сельскохозяйственных машин в 1931 г (12265).</w:t>
      </w:r>
    </w:p>
    <w:p w14:paraId="26811BFC" w14:textId="77777777" w:rsidR="00FF3124" w:rsidRPr="005E779E" w:rsidRDefault="00FF312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СНК принял постановление «О черной металлургии» (12265).</w:t>
      </w:r>
    </w:p>
    <w:p w14:paraId="421B517D" w14:textId="77777777" w:rsidR="00FF3124" w:rsidRPr="005E779E" w:rsidRDefault="00FF312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Комиссия исполнения при СНК приняла постановление «О выполнении Директив ЦК ВКП (б) и СТО по производству сельскохозяйственных машин в 1931 г., особенно в части обеспечения весенней посевной кампании» (12265).</w:t>
      </w:r>
    </w:p>
    <w:p w14:paraId="2D11F211" w14:textId="77777777" w:rsidR="00FF3124" w:rsidRPr="005E779E" w:rsidRDefault="00FF312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24803EDC" w14:textId="77777777" w:rsidR="00AC715D" w:rsidRPr="005E779E" w:rsidRDefault="00AC715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февраля 1931 О черной металлургии. (Утверждено Политбюро ЦК ВКП(б) 25.II.31 г.) Приложение № 1 к п. 7, пр. ПБ № 27.</w:t>
      </w:r>
    </w:p>
    <w:p w14:paraId="66F838BD" w14:textId="77777777" w:rsidR="00AC715D" w:rsidRPr="005E779E" w:rsidRDefault="00AC715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Архив: </w:t>
      </w:r>
    </w:p>
    <w:p w14:paraId="5BA59B0D" w14:textId="77777777" w:rsidR="00AC715D" w:rsidRPr="005E779E" w:rsidRDefault="00AC715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РГАСПИ. Ф. 17. Оп. 3. Д. 814. Л. 23-25.</w:t>
      </w:r>
    </w:p>
    <w:p w14:paraId="7B3A2D3E" w14:textId="77777777" w:rsidR="00AC715D" w:rsidRPr="005E779E" w:rsidRDefault="00AC715D" w:rsidP="000B7A6C">
      <w:pPr>
        <w:spacing w:after="0" w:line="240" w:lineRule="auto"/>
        <w:jc w:val="both"/>
        <w:rPr>
          <w:rFonts w:ascii="Times New Roman" w:hAnsi="Times New Roman"/>
          <w:color w:val="000000" w:themeColor="text1"/>
          <w:sz w:val="16"/>
          <w:szCs w:val="16"/>
        </w:rPr>
      </w:pPr>
      <w:r w:rsidRPr="005E779E">
        <w:rPr>
          <w:rStyle w:val="af0"/>
          <w:rFonts w:ascii="Times New Roman" w:hAnsi="Times New Roman"/>
          <w:i w:val="0"/>
          <w:color w:val="000000" w:themeColor="text1"/>
          <w:sz w:val="16"/>
          <w:szCs w:val="16"/>
        </w:rPr>
        <w:t>Приложение № 1 к п. 7, пр. ПБ № 27.</w:t>
      </w:r>
    </w:p>
    <w:p w14:paraId="01E69678" w14:textId="77777777" w:rsidR="00AC715D" w:rsidRPr="005E779E" w:rsidRDefault="00AC715D" w:rsidP="000B7A6C">
      <w:pPr>
        <w:pStyle w:val="ae"/>
        <w:spacing w:before="0" w:after="0"/>
        <w:jc w:val="both"/>
        <w:rPr>
          <w:color w:val="000000" w:themeColor="text1"/>
          <w:sz w:val="16"/>
          <w:szCs w:val="16"/>
        </w:rPr>
      </w:pPr>
      <w:r w:rsidRPr="005E779E">
        <w:rPr>
          <w:color w:val="000000" w:themeColor="text1"/>
          <w:sz w:val="16"/>
          <w:szCs w:val="16"/>
        </w:rPr>
        <w:t xml:space="preserve"> (Утверждено Политбюро ЦК ВКП(б) 25.II.31 г.)</w:t>
      </w:r>
    </w:p>
    <w:p w14:paraId="06271F49" w14:textId="77777777" w:rsidR="00AC715D" w:rsidRPr="005E779E" w:rsidRDefault="00AC715D" w:rsidP="000B7A6C">
      <w:pPr>
        <w:pStyle w:val="rtejustify"/>
        <w:spacing w:before="0" w:after="0"/>
        <w:rPr>
          <w:color w:val="000000" w:themeColor="text1"/>
          <w:sz w:val="16"/>
          <w:szCs w:val="16"/>
        </w:rPr>
      </w:pPr>
      <w:r w:rsidRPr="005E779E">
        <w:rPr>
          <w:rStyle w:val="a7"/>
          <w:b w:val="0"/>
          <w:color w:val="000000" w:themeColor="text1"/>
          <w:sz w:val="16"/>
          <w:szCs w:val="16"/>
        </w:rPr>
        <w:t>I</w:t>
      </w:r>
      <w:r w:rsidRPr="005E779E">
        <w:rPr>
          <w:color w:val="000000" w:themeColor="text1"/>
          <w:sz w:val="16"/>
          <w:szCs w:val="16"/>
        </w:rPr>
        <w:t>. Выполнение пятилетнего плана по основным решающим отраслям промышленности (уголь, нефть, машиностроение, электротехника) уже в 1931 году предъявляют к черной металлургии требования, превышающие намеченные темпы ее развития.</w:t>
      </w:r>
    </w:p>
    <w:p w14:paraId="25E7F503" w14:textId="77777777" w:rsidR="00AC715D" w:rsidRPr="005E779E" w:rsidRDefault="00AC715D" w:rsidP="000B7A6C">
      <w:pPr>
        <w:pStyle w:val="rtejustify"/>
        <w:spacing w:before="0" w:after="0"/>
        <w:rPr>
          <w:color w:val="000000" w:themeColor="text1"/>
          <w:sz w:val="16"/>
          <w:szCs w:val="16"/>
        </w:rPr>
      </w:pPr>
      <w:r w:rsidRPr="005E779E">
        <w:rPr>
          <w:color w:val="000000" w:themeColor="text1"/>
          <w:sz w:val="16"/>
          <w:szCs w:val="16"/>
        </w:rPr>
        <w:t>Дальнейшее развитие всех отраслей народного хозяйства требует безусловного немедленного ускорения темпа роста металлургии.</w:t>
      </w:r>
    </w:p>
    <w:p w14:paraId="4EAF351E" w14:textId="77777777" w:rsidR="00AC715D" w:rsidRPr="005E779E" w:rsidRDefault="00AC715D" w:rsidP="000B7A6C">
      <w:pPr>
        <w:pStyle w:val="rtejustify"/>
        <w:spacing w:before="0" w:after="0"/>
        <w:rPr>
          <w:color w:val="000000" w:themeColor="text1"/>
          <w:sz w:val="16"/>
          <w:szCs w:val="16"/>
        </w:rPr>
      </w:pPr>
      <w:r w:rsidRPr="005E779E">
        <w:rPr>
          <w:rStyle w:val="a7"/>
          <w:b w:val="0"/>
          <w:color w:val="000000" w:themeColor="text1"/>
          <w:sz w:val="16"/>
          <w:szCs w:val="16"/>
        </w:rPr>
        <w:t>II</w:t>
      </w:r>
      <w:r w:rsidRPr="005E779E">
        <w:rPr>
          <w:color w:val="000000" w:themeColor="text1"/>
          <w:sz w:val="16"/>
          <w:szCs w:val="16"/>
        </w:rPr>
        <w:t>. Наряду с ускорением строительства новых заводов черной металлургии (Магнитная, Кузнецк, Днепросталь, Нижний Тагил), особо важное значение для немедленного увеличения производства металлов в кратчайший срок приобретает форсированная реконструкция заводов Юга и окончание реконструкции Уральских заводов в 1932 году.</w:t>
      </w:r>
    </w:p>
    <w:p w14:paraId="3295A3F7" w14:textId="77777777" w:rsidR="00AC715D" w:rsidRPr="005E779E" w:rsidRDefault="00AC715D" w:rsidP="000B7A6C">
      <w:pPr>
        <w:pStyle w:val="rtejustify"/>
        <w:spacing w:before="0" w:after="0"/>
        <w:rPr>
          <w:color w:val="000000" w:themeColor="text1"/>
          <w:sz w:val="16"/>
          <w:szCs w:val="16"/>
        </w:rPr>
      </w:pPr>
      <w:r w:rsidRPr="005E779E">
        <w:rPr>
          <w:rStyle w:val="a7"/>
          <w:b w:val="0"/>
          <w:color w:val="000000" w:themeColor="text1"/>
          <w:sz w:val="16"/>
          <w:szCs w:val="16"/>
        </w:rPr>
        <w:t>III</w:t>
      </w:r>
      <w:r w:rsidRPr="005E779E">
        <w:rPr>
          <w:color w:val="000000" w:themeColor="text1"/>
          <w:sz w:val="16"/>
          <w:szCs w:val="16"/>
        </w:rPr>
        <w:t>. Отмечая, что несмотря на решение ЦК ВКП(б) от 15.V.30 г. реконструкция действующих металлургических заводов Урала осуществляется слишком медленно, ЦК подтверждает, что действующие древесно-угольные металлургические заводы Урала уже в 1932 г. должны явиться главной базой снабжения качественным и высококачественным металлом.</w:t>
      </w:r>
    </w:p>
    <w:p w14:paraId="31C017A5" w14:textId="77777777" w:rsidR="00AC715D" w:rsidRPr="005E779E" w:rsidRDefault="00AC715D" w:rsidP="000B7A6C">
      <w:pPr>
        <w:pStyle w:val="rtejustify"/>
        <w:spacing w:before="0" w:after="0"/>
        <w:rPr>
          <w:color w:val="000000" w:themeColor="text1"/>
          <w:sz w:val="16"/>
          <w:szCs w:val="16"/>
        </w:rPr>
      </w:pPr>
      <w:r w:rsidRPr="005E779E">
        <w:rPr>
          <w:rStyle w:val="a7"/>
          <w:b w:val="0"/>
          <w:color w:val="000000" w:themeColor="text1"/>
          <w:sz w:val="16"/>
          <w:szCs w:val="16"/>
        </w:rPr>
        <w:t>IV</w:t>
      </w:r>
      <w:r w:rsidRPr="005E779E">
        <w:rPr>
          <w:color w:val="000000" w:themeColor="text1"/>
          <w:sz w:val="16"/>
          <w:szCs w:val="16"/>
        </w:rPr>
        <w:t>. ЦК предлагает ВСНХ:</w:t>
      </w:r>
    </w:p>
    <w:p w14:paraId="3157D169" w14:textId="77777777" w:rsidR="00AC715D" w:rsidRPr="005E779E" w:rsidRDefault="00AC715D" w:rsidP="000B7A6C">
      <w:pPr>
        <w:pStyle w:val="rtejustify"/>
        <w:spacing w:before="0" w:after="0"/>
        <w:rPr>
          <w:color w:val="000000" w:themeColor="text1"/>
          <w:sz w:val="16"/>
          <w:szCs w:val="16"/>
        </w:rPr>
      </w:pPr>
      <w:r w:rsidRPr="005E779E">
        <w:rPr>
          <w:color w:val="000000" w:themeColor="text1"/>
          <w:sz w:val="16"/>
          <w:szCs w:val="16"/>
        </w:rPr>
        <w:t>1) Приступить в 1931 г. к строительству на заводах Украины, сверх включенных в план 1931 г., пяти новых доменных печей общей производительностью в 1,400.000</w:t>
      </w:r>
      <w:r w:rsidRPr="005E779E">
        <w:rPr>
          <w:color w:val="000000" w:themeColor="text1"/>
          <w:sz w:val="16"/>
          <w:szCs w:val="16"/>
        </w:rPr>
        <w:noBreakHyphen/>
        <w:t>1.500.000 тонн чугуна в год и соответствующему расширению мартеновских и прокатных цехов.</w:t>
      </w:r>
    </w:p>
    <w:p w14:paraId="11097307" w14:textId="77777777" w:rsidR="00AC715D" w:rsidRPr="005E779E" w:rsidRDefault="00AC715D" w:rsidP="000B7A6C">
      <w:pPr>
        <w:pStyle w:val="rtejustify"/>
        <w:spacing w:before="0" w:after="0"/>
        <w:rPr>
          <w:color w:val="000000" w:themeColor="text1"/>
          <w:sz w:val="16"/>
          <w:szCs w:val="16"/>
        </w:rPr>
      </w:pPr>
      <w:r w:rsidRPr="005E779E">
        <w:rPr>
          <w:color w:val="000000" w:themeColor="text1"/>
          <w:sz w:val="16"/>
          <w:szCs w:val="16"/>
        </w:rPr>
        <w:t>2) Обеспечить такой темп реконструкции древесно-угольных заводов Урала (Златоустовского, Надеждинского, Чусовского, Белорецкого, Аша-Балашовского и Верхне-Исетского), чтобы на этих заводах было произведено в 1933 году не менее 700 тыс. тонн качественного и высококачественного прокатного металла.</w:t>
      </w:r>
    </w:p>
    <w:p w14:paraId="328E8AC4" w14:textId="77777777" w:rsidR="00AC715D" w:rsidRPr="005E779E" w:rsidRDefault="00AC715D" w:rsidP="000B7A6C">
      <w:pPr>
        <w:pStyle w:val="rtejustify"/>
        <w:spacing w:before="0" w:after="0"/>
        <w:rPr>
          <w:color w:val="000000" w:themeColor="text1"/>
          <w:sz w:val="16"/>
          <w:szCs w:val="16"/>
        </w:rPr>
      </w:pPr>
      <w:r w:rsidRPr="005E779E">
        <w:rPr>
          <w:color w:val="000000" w:themeColor="text1"/>
          <w:sz w:val="16"/>
          <w:szCs w:val="16"/>
        </w:rPr>
        <w:t>3) В соответствии с постановлением ЦК от 15.V.30 г. включить в план работ на 1931 год строительство мартеновского цеха на Н.</w:t>
      </w:r>
      <w:r w:rsidRPr="005E779E">
        <w:rPr>
          <w:color w:val="000000" w:themeColor="text1"/>
          <w:sz w:val="16"/>
          <w:szCs w:val="16"/>
        </w:rPr>
        <w:noBreakHyphen/>
        <w:t>Салдинском заводе.</w:t>
      </w:r>
    </w:p>
    <w:p w14:paraId="216E5606" w14:textId="77777777" w:rsidR="00AC715D" w:rsidRPr="005E779E" w:rsidRDefault="00AC715D" w:rsidP="000B7A6C">
      <w:pPr>
        <w:pStyle w:val="rtejustify"/>
        <w:spacing w:before="0" w:after="0"/>
        <w:rPr>
          <w:color w:val="000000" w:themeColor="text1"/>
          <w:sz w:val="16"/>
          <w:szCs w:val="16"/>
        </w:rPr>
      </w:pPr>
      <w:r w:rsidRPr="005E779E">
        <w:rPr>
          <w:color w:val="000000" w:themeColor="text1"/>
          <w:sz w:val="16"/>
          <w:szCs w:val="16"/>
        </w:rPr>
        <w:t>4) Закончить проектирование рудников и обогатительных фабрик на горе Высокой, Благодати и Бакалу не позже 1.VI.31 г.</w:t>
      </w:r>
    </w:p>
    <w:p w14:paraId="20E6EF56" w14:textId="77777777" w:rsidR="00AC715D" w:rsidRPr="005E779E" w:rsidRDefault="00AC715D" w:rsidP="000B7A6C">
      <w:pPr>
        <w:pStyle w:val="rtejustify"/>
        <w:spacing w:before="0" w:after="0"/>
        <w:rPr>
          <w:color w:val="000000" w:themeColor="text1"/>
          <w:sz w:val="16"/>
          <w:szCs w:val="16"/>
        </w:rPr>
      </w:pPr>
      <w:r w:rsidRPr="005E779E">
        <w:rPr>
          <w:color w:val="000000" w:themeColor="text1"/>
          <w:sz w:val="16"/>
          <w:szCs w:val="16"/>
        </w:rPr>
        <w:t>5) Осуществить в течение 1931 года механизацию действующих рудников Урала в объеме, обеспечивающем добычу в 1931 году 3,1 млн. тонн руды, и подготовку к росту добычи в 1932 году.</w:t>
      </w:r>
    </w:p>
    <w:p w14:paraId="567870D6" w14:textId="77777777" w:rsidR="00AC715D" w:rsidRPr="005E779E" w:rsidRDefault="00AC715D" w:rsidP="000B7A6C">
      <w:pPr>
        <w:pStyle w:val="rtejustify"/>
        <w:spacing w:before="0" w:after="0"/>
        <w:rPr>
          <w:color w:val="000000" w:themeColor="text1"/>
          <w:sz w:val="16"/>
          <w:szCs w:val="16"/>
        </w:rPr>
      </w:pPr>
      <w:r w:rsidRPr="005E779E">
        <w:rPr>
          <w:color w:val="000000" w:themeColor="text1"/>
          <w:sz w:val="16"/>
          <w:szCs w:val="16"/>
        </w:rPr>
        <w:t>6) Закончить детальные разведки по Высокой и Бакалу в 1931 году; в течение 1931 года форсировать разведки в районе Надеждинского завода в объеме, достаточном для определения перспектив этого завода, а также форсировать разведки в районе Зигазино-Комаровских месторождений. При развертывании разведочных работ использовать опыт организации разведочного дела по горе Магнитной.</w:t>
      </w:r>
    </w:p>
    <w:p w14:paraId="658D9D3A" w14:textId="77777777" w:rsidR="00AC715D" w:rsidRPr="005E779E" w:rsidRDefault="00AC715D" w:rsidP="000B7A6C">
      <w:pPr>
        <w:pStyle w:val="rtejustify"/>
        <w:spacing w:before="0" w:after="0"/>
        <w:rPr>
          <w:color w:val="000000" w:themeColor="text1"/>
          <w:sz w:val="16"/>
          <w:szCs w:val="16"/>
        </w:rPr>
      </w:pPr>
      <w:r w:rsidRPr="005E779E">
        <w:rPr>
          <w:color w:val="000000" w:themeColor="text1"/>
          <w:sz w:val="16"/>
          <w:szCs w:val="16"/>
        </w:rPr>
        <w:t>7) В двухмесячный срок представить план развития крупной промышленности в Башкирии, особенно в районе Зигазино-Комаровского рудного месторождения.</w:t>
      </w:r>
    </w:p>
    <w:p w14:paraId="04D5B1F6" w14:textId="77777777" w:rsidR="00AC715D" w:rsidRPr="005E779E" w:rsidRDefault="00AC715D" w:rsidP="000B7A6C">
      <w:pPr>
        <w:pStyle w:val="rtejustify"/>
        <w:spacing w:before="0" w:after="0"/>
        <w:rPr>
          <w:color w:val="000000" w:themeColor="text1"/>
          <w:sz w:val="16"/>
          <w:szCs w:val="16"/>
        </w:rPr>
      </w:pPr>
      <w:r w:rsidRPr="005E779E">
        <w:rPr>
          <w:rStyle w:val="a7"/>
          <w:b w:val="0"/>
          <w:color w:val="000000" w:themeColor="text1"/>
          <w:sz w:val="16"/>
          <w:szCs w:val="16"/>
        </w:rPr>
        <w:lastRenderedPageBreak/>
        <w:t>V</w:t>
      </w:r>
      <w:r w:rsidRPr="005E779E">
        <w:rPr>
          <w:color w:val="000000" w:themeColor="text1"/>
          <w:sz w:val="16"/>
          <w:szCs w:val="16"/>
        </w:rPr>
        <w:t>. Недостаток литейного чугуна требует в дополнение к развернутому новому строительству приступить немедленно к постройке заводов литейного чугуна средних размеров на достаточно разведанных и изученных рудных месторождениях с тем, чтобы они вступили к концу 1932 года в эксплуатацию на полную свою производительность.</w:t>
      </w:r>
    </w:p>
    <w:p w14:paraId="1518CF76" w14:textId="77777777" w:rsidR="00AC715D" w:rsidRPr="005E779E" w:rsidRDefault="00AC715D" w:rsidP="000B7A6C">
      <w:pPr>
        <w:pStyle w:val="rtejustify"/>
        <w:spacing w:before="0" w:after="0"/>
        <w:rPr>
          <w:color w:val="000000" w:themeColor="text1"/>
          <w:sz w:val="16"/>
          <w:szCs w:val="16"/>
        </w:rPr>
      </w:pPr>
      <w:r w:rsidRPr="005E779E">
        <w:rPr>
          <w:color w:val="000000" w:themeColor="text1"/>
          <w:sz w:val="16"/>
          <w:szCs w:val="16"/>
        </w:rPr>
        <w:t>ЦК ВКП(б) предлагает ВСНХ начать в 1931 году и закончить в 1932 году строительство следующих заводов литейного чугуне общей производительностью в 1.050.000 тонн чугуна в год: Синарского на Урале, на Каменско-Синарском горнорудном месторождении, Липецкого — на рудах Липецкого района; Тульского — на рудах Тульского района с производительностью каждого в 350 тыс. тонн.</w:t>
      </w:r>
    </w:p>
    <w:p w14:paraId="73DB91F8" w14:textId="77777777" w:rsidR="00AC715D" w:rsidRPr="005E779E" w:rsidRDefault="00AC715D" w:rsidP="000B7A6C">
      <w:pPr>
        <w:pStyle w:val="rtejustify"/>
        <w:spacing w:before="0" w:after="0"/>
        <w:rPr>
          <w:color w:val="000000" w:themeColor="text1"/>
          <w:sz w:val="16"/>
          <w:szCs w:val="16"/>
        </w:rPr>
      </w:pPr>
      <w:r w:rsidRPr="005E779E">
        <w:rPr>
          <w:color w:val="000000" w:themeColor="text1"/>
          <w:sz w:val="16"/>
          <w:szCs w:val="16"/>
        </w:rPr>
        <w:t>ЦК отмечает громадные задачи, которые возлагает строительство этих трех заводов на местные советские, хозяйственные, партийные и профсоюзные организации.</w:t>
      </w:r>
    </w:p>
    <w:p w14:paraId="497BC876" w14:textId="77777777" w:rsidR="00AC715D" w:rsidRPr="005E779E" w:rsidRDefault="00AC715D" w:rsidP="000B7A6C">
      <w:pPr>
        <w:pStyle w:val="rtejustify"/>
        <w:spacing w:before="0" w:after="0"/>
        <w:rPr>
          <w:color w:val="000000" w:themeColor="text1"/>
          <w:sz w:val="16"/>
          <w:szCs w:val="16"/>
        </w:rPr>
      </w:pPr>
      <w:r w:rsidRPr="005E779E">
        <w:rPr>
          <w:rStyle w:val="a7"/>
          <w:b w:val="0"/>
          <w:color w:val="000000" w:themeColor="text1"/>
          <w:sz w:val="16"/>
          <w:szCs w:val="16"/>
        </w:rPr>
        <w:t>VI</w:t>
      </w:r>
      <w:r w:rsidRPr="005E779E">
        <w:rPr>
          <w:color w:val="000000" w:themeColor="text1"/>
          <w:sz w:val="16"/>
          <w:szCs w:val="16"/>
        </w:rPr>
        <w:t>. Наряду со строительством заводов литейного чугуна, ЦК поручает ВСНХ в двухмесячный срок проработать вопрос о строительстве передельных заводов средних размеров для производства как ходового проката, так и специальных профилей для машиностроения.</w:t>
      </w:r>
    </w:p>
    <w:p w14:paraId="2CC629F7" w14:textId="77777777" w:rsidR="00AC715D" w:rsidRPr="005E779E" w:rsidRDefault="00AC715D" w:rsidP="000B7A6C">
      <w:pPr>
        <w:pStyle w:val="rtejustify"/>
        <w:spacing w:before="0" w:after="0"/>
        <w:rPr>
          <w:color w:val="000000" w:themeColor="text1"/>
          <w:sz w:val="16"/>
          <w:szCs w:val="16"/>
        </w:rPr>
      </w:pPr>
      <w:r w:rsidRPr="005E779E">
        <w:rPr>
          <w:rStyle w:val="a7"/>
          <w:b w:val="0"/>
          <w:color w:val="000000" w:themeColor="text1"/>
          <w:sz w:val="16"/>
          <w:szCs w:val="16"/>
        </w:rPr>
        <w:t>VII</w:t>
      </w:r>
      <w:r w:rsidRPr="005E779E">
        <w:rPr>
          <w:color w:val="000000" w:themeColor="text1"/>
          <w:sz w:val="16"/>
          <w:szCs w:val="16"/>
        </w:rPr>
        <w:t>. Для осуществления указанных выше работ ЦК поручает СТО:</w:t>
      </w:r>
    </w:p>
    <w:p w14:paraId="4944AD11" w14:textId="77777777" w:rsidR="00AC715D" w:rsidRPr="005E779E" w:rsidRDefault="00AC715D" w:rsidP="000B7A6C">
      <w:pPr>
        <w:pStyle w:val="rtejustify"/>
        <w:spacing w:before="0" w:after="0"/>
        <w:rPr>
          <w:color w:val="000000" w:themeColor="text1"/>
          <w:sz w:val="16"/>
          <w:szCs w:val="16"/>
        </w:rPr>
      </w:pPr>
      <w:r w:rsidRPr="005E779E">
        <w:rPr>
          <w:color w:val="000000" w:themeColor="text1"/>
          <w:sz w:val="16"/>
          <w:szCs w:val="16"/>
        </w:rPr>
        <w:t>1. Увеличить ассигнование на черную металлургию в 31 г. на 350 млн. руб., в частности: дополнительно к ассигнованиям, предусмотренным планом на 31 год, на ускорение строительства Магнитостроя — 80 млн. руб., Кузнецкстроя — 15 млн. руб., на начале постройки пяти новых доменных печей и на ускорение работ по реконструкции заводов на Украине — 90 млн. руб., на Нижнетагильский завод — 12 млн. руб., на ускорение реконструкции действующих заводов Урала — 30 млн. руб. и 123 млн. руб. на строительство заводов литейного чугуна (Синар, Тула, Липецк), форсирование строительства Днепростали и усиление разведок. Из 350 млн. руб. 20 млн. руб. зарезервировать для строительства металлургического завода в районе Зигазино-Комаровских месторождений.</w:t>
      </w:r>
    </w:p>
    <w:p w14:paraId="6AB031D3" w14:textId="77777777" w:rsidR="00AC715D" w:rsidRPr="005E779E" w:rsidRDefault="00AC715D" w:rsidP="000B7A6C">
      <w:pPr>
        <w:pStyle w:val="rtejustify"/>
        <w:spacing w:before="0" w:after="0"/>
        <w:rPr>
          <w:color w:val="000000" w:themeColor="text1"/>
          <w:sz w:val="16"/>
          <w:szCs w:val="16"/>
        </w:rPr>
      </w:pPr>
      <w:r w:rsidRPr="005E779E">
        <w:rPr>
          <w:color w:val="000000" w:themeColor="text1"/>
          <w:sz w:val="16"/>
          <w:szCs w:val="16"/>
        </w:rPr>
        <w:t>2. Дополнительные ассигнования покрыть за счет резерва ВСНХ — 120 млн. руб. и за счет резерва СНК — 230 млн. рублей.</w:t>
      </w:r>
    </w:p>
    <w:p w14:paraId="047464E4" w14:textId="77777777" w:rsidR="00AC715D" w:rsidRPr="005E779E" w:rsidRDefault="00AC715D" w:rsidP="000B7A6C">
      <w:pPr>
        <w:pStyle w:val="rtejustify"/>
        <w:spacing w:before="0" w:after="0"/>
        <w:rPr>
          <w:color w:val="000000" w:themeColor="text1"/>
          <w:sz w:val="16"/>
          <w:szCs w:val="16"/>
        </w:rPr>
      </w:pPr>
      <w:r w:rsidRPr="005E779E">
        <w:rPr>
          <w:color w:val="000000" w:themeColor="text1"/>
          <w:sz w:val="16"/>
          <w:szCs w:val="16"/>
        </w:rPr>
        <w:t>3. Пересмотреть материальные фонды всех ведомств на 31 год с тем, чтобы обеспечить намеченные дополнительные работы по черной металлургии.</w:t>
      </w:r>
    </w:p>
    <w:p w14:paraId="004F2E43" w14:textId="77777777" w:rsidR="00AC715D" w:rsidRPr="005E779E" w:rsidRDefault="00AC715D" w:rsidP="000B7A6C">
      <w:pPr>
        <w:pStyle w:val="rtejustify"/>
        <w:spacing w:before="0" w:after="0"/>
        <w:rPr>
          <w:color w:val="000000" w:themeColor="text1"/>
          <w:sz w:val="16"/>
          <w:szCs w:val="16"/>
        </w:rPr>
      </w:pPr>
      <w:r w:rsidRPr="005E779E">
        <w:rPr>
          <w:color w:val="000000" w:themeColor="text1"/>
          <w:sz w:val="16"/>
          <w:szCs w:val="16"/>
        </w:rPr>
        <w:t>4. В соответствии с увеличенными лимитами капитальных затрат — установить по докладу ВСНХ в месячный срок размер дополнительного импортного контингента на 1931 год.</w:t>
      </w:r>
    </w:p>
    <w:p w14:paraId="78AE72FD" w14:textId="77777777" w:rsidR="00AC715D" w:rsidRPr="005E779E" w:rsidRDefault="00AC715D" w:rsidP="000B7A6C">
      <w:pPr>
        <w:pStyle w:val="rtejustify"/>
        <w:spacing w:before="0" w:after="0"/>
        <w:rPr>
          <w:color w:val="000000" w:themeColor="text1"/>
          <w:sz w:val="16"/>
          <w:szCs w:val="16"/>
        </w:rPr>
      </w:pPr>
      <w:r w:rsidRPr="005E779E">
        <w:rPr>
          <w:color w:val="000000" w:themeColor="text1"/>
          <w:sz w:val="16"/>
          <w:szCs w:val="16"/>
        </w:rPr>
        <w:t>5.Указанные работы по черной металлургии вести в порядке ударных строительств.</w:t>
      </w:r>
    </w:p>
    <w:p w14:paraId="577E4C05" w14:textId="77777777" w:rsidR="00AC715D" w:rsidRPr="005E779E" w:rsidRDefault="00AC715D" w:rsidP="000B7A6C">
      <w:pPr>
        <w:pStyle w:val="rtejustify"/>
        <w:spacing w:before="0" w:after="0"/>
        <w:rPr>
          <w:color w:val="000000" w:themeColor="text1"/>
          <w:sz w:val="16"/>
          <w:szCs w:val="16"/>
        </w:rPr>
      </w:pPr>
      <w:r w:rsidRPr="005E779E">
        <w:rPr>
          <w:rStyle w:val="a7"/>
          <w:b w:val="0"/>
          <w:color w:val="000000" w:themeColor="text1"/>
          <w:sz w:val="16"/>
          <w:szCs w:val="16"/>
        </w:rPr>
        <w:t>VIII</w:t>
      </w:r>
      <w:r w:rsidRPr="005E779E">
        <w:rPr>
          <w:color w:val="000000" w:themeColor="text1"/>
          <w:sz w:val="16"/>
          <w:szCs w:val="16"/>
        </w:rPr>
        <w:t>. Поручить ОГПУ оказать максимальную помощь ВСНХ как в организации разведок, так и по эксплуатации рудников в районе Вишеры.</w:t>
      </w:r>
    </w:p>
    <w:p w14:paraId="23374AA3" w14:textId="77777777" w:rsidR="00AC715D" w:rsidRPr="005E779E" w:rsidRDefault="00AC715D" w:rsidP="000B7A6C">
      <w:pPr>
        <w:pStyle w:val="rtejustify"/>
        <w:spacing w:before="0" w:after="0"/>
        <w:rPr>
          <w:color w:val="000000" w:themeColor="text1"/>
          <w:sz w:val="16"/>
          <w:szCs w:val="16"/>
        </w:rPr>
      </w:pPr>
      <w:r w:rsidRPr="005E779E">
        <w:rPr>
          <w:rStyle w:val="a7"/>
          <w:b w:val="0"/>
          <w:color w:val="000000" w:themeColor="text1"/>
          <w:sz w:val="16"/>
          <w:szCs w:val="16"/>
        </w:rPr>
        <w:t>IX</w:t>
      </w:r>
      <w:r w:rsidRPr="005E779E">
        <w:rPr>
          <w:color w:val="000000" w:themeColor="text1"/>
          <w:sz w:val="16"/>
          <w:szCs w:val="16"/>
        </w:rPr>
        <w:t>. Поручить НКПС в двухмесячный срок представить в ЦК доклад о постройке железной дороги Магнитогорск — Белорецк — Уфа.</w:t>
      </w:r>
    </w:p>
    <w:p w14:paraId="1B371B7F" w14:textId="77777777" w:rsidR="00AC715D" w:rsidRPr="005E779E" w:rsidRDefault="00AC715D" w:rsidP="000B7A6C">
      <w:pPr>
        <w:pStyle w:val="rtejustify"/>
        <w:spacing w:before="0" w:after="0"/>
        <w:rPr>
          <w:color w:val="000000" w:themeColor="text1"/>
          <w:sz w:val="16"/>
          <w:szCs w:val="16"/>
        </w:rPr>
      </w:pPr>
      <w:r w:rsidRPr="005E779E">
        <w:rPr>
          <w:rStyle w:val="a7"/>
          <w:b w:val="0"/>
          <w:color w:val="000000" w:themeColor="text1"/>
          <w:sz w:val="16"/>
          <w:szCs w:val="16"/>
        </w:rPr>
        <w:t>X</w:t>
      </w:r>
      <w:r w:rsidRPr="005E779E">
        <w:rPr>
          <w:color w:val="000000" w:themeColor="text1"/>
          <w:sz w:val="16"/>
          <w:szCs w:val="16"/>
        </w:rPr>
        <w:t>. Поручить ВСНХ пересмотреть план развития коксохимической промышленности и обеспечить выжиг кокса в соответствии с производственной программой черной металлургии.</w:t>
      </w:r>
    </w:p>
    <w:p w14:paraId="2C26872B" w14:textId="77777777" w:rsidR="00AC715D" w:rsidRPr="005E779E" w:rsidRDefault="00AC715D" w:rsidP="000B7A6C">
      <w:pPr>
        <w:pStyle w:val="rtejustify"/>
        <w:spacing w:before="0" w:after="0"/>
        <w:rPr>
          <w:color w:val="000000" w:themeColor="text1"/>
          <w:sz w:val="16"/>
          <w:szCs w:val="16"/>
        </w:rPr>
      </w:pPr>
      <w:r w:rsidRPr="005E779E">
        <w:rPr>
          <w:rStyle w:val="a7"/>
          <w:b w:val="0"/>
          <w:color w:val="000000" w:themeColor="text1"/>
          <w:sz w:val="16"/>
          <w:szCs w:val="16"/>
        </w:rPr>
        <w:t>XI</w:t>
      </w:r>
      <w:r w:rsidRPr="005E779E">
        <w:rPr>
          <w:color w:val="000000" w:themeColor="text1"/>
          <w:sz w:val="16"/>
          <w:szCs w:val="16"/>
        </w:rPr>
        <w:t>. ЦК обязывает хозяйственные, партийные и профсоюзные организации в кратчайший срок добиться решающего перелома в строительстве и в производстве заводов черной металлургии и безусловно обеспечить выполнение плана 1931 года (17113).</w:t>
      </w:r>
    </w:p>
    <w:p w14:paraId="5D1C40A8" w14:textId="77777777" w:rsidR="00AC715D" w:rsidRPr="005E779E" w:rsidRDefault="00AC715D" w:rsidP="000B7A6C">
      <w:pPr>
        <w:shd w:val="clear" w:color="auto" w:fill="FFFFFF"/>
        <w:spacing w:after="0" w:line="240" w:lineRule="auto"/>
        <w:jc w:val="both"/>
        <w:rPr>
          <w:rFonts w:ascii="Times New Roman" w:hAnsi="Times New Roman"/>
          <w:color w:val="000000" w:themeColor="text1"/>
          <w:sz w:val="16"/>
          <w:szCs w:val="16"/>
        </w:rPr>
      </w:pPr>
    </w:p>
    <w:p w14:paraId="1FE944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февраля 1931 введен в строй завод киноаппаратуры Ленкинап (3960, 78).</w:t>
      </w:r>
    </w:p>
    <w:p w14:paraId="52E92F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6C9F0E6" w14:textId="77777777" w:rsidR="00C90094" w:rsidRPr="005E779E" w:rsidRDefault="00C90094"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Внешняя политика:</w:t>
      </w:r>
    </w:p>
    <w:p w14:paraId="1C2B8EA9" w14:textId="77777777" w:rsidR="00C90094" w:rsidRPr="005E779E" w:rsidRDefault="00C90094"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E0C9A79" w14:textId="77777777" w:rsidR="00C90094" w:rsidRPr="005E779E" w:rsidRDefault="00C90094"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25 февраля 1931 г.</w:t>
      </w:r>
    </w:p>
    <w:p w14:paraId="548EECD2" w14:textId="77777777" w:rsidR="00C90094" w:rsidRPr="005E779E" w:rsidRDefault="00C90094"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Письмо В. Н. Баркова Ж. Л. Аренсу о публикациях, посвященных процессу «Промпартии», во французской прессе и их стоимости. 25 февраля 1931 г.</w:t>
      </w:r>
    </w:p>
    <w:p w14:paraId="0A201E77" w14:textId="77777777" w:rsidR="00C90094" w:rsidRPr="005E779E" w:rsidRDefault="00C90094"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Источник: </w:t>
      </w:r>
    </w:p>
    <w:p w14:paraId="0D3D7D78"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B032DF4" w14:textId="77777777" w:rsidR="00C90094" w:rsidRPr="005E779E" w:rsidRDefault="00C90094" w:rsidP="000B7A6C">
      <w:pPr>
        <w:pStyle w:val="rteright"/>
        <w:spacing w:before="0" w:after="0"/>
        <w:jc w:val="both"/>
        <w:rPr>
          <w:color w:val="000000" w:themeColor="text1"/>
          <w:sz w:val="16"/>
          <w:szCs w:val="16"/>
        </w:rPr>
      </w:pPr>
      <w:r w:rsidRPr="005E779E">
        <w:rPr>
          <w:color w:val="000000" w:themeColor="text1"/>
          <w:sz w:val="16"/>
          <w:szCs w:val="16"/>
        </w:rPr>
        <w:t>25 февраля 1931 г.</w:t>
      </w:r>
    </w:p>
    <w:p w14:paraId="14069673" w14:textId="77777777" w:rsidR="00C90094" w:rsidRPr="005E779E" w:rsidRDefault="00C90094" w:rsidP="000B7A6C">
      <w:pPr>
        <w:pStyle w:val="rteright"/>
        <w:spacing w:before="0" w:after="0"/>
        <w:jc w:val="both"/>
        <w:rPr>
          <w:color w:val="000000" w:themeColor="text1"/>
          <w:sz w:val="16"/>
          <w:szCs w:val="16"/>
        </w:rPr>
      </w:pPr>
      <w:r w:rsidRPr="005E779E">
        <w:rPr>
          <w:color w:val="000000" w:themeColor="text1"/>
          <w:sz w:val="16"/>
          <w:szCs w:val="16"/>
        </w:rPr>
        <w:t>Секретно</w:t>
      </w:r>
    </w:p>
    <w:p w14:paraId="5BC68514" w14:textId="77777777" w:rsidR="00C90094" w:rsidRPr="005E779E" w:rsidRDefault="00C90094" w:rsidP="000B7A6C">
      <w:pPr>
        <w:pStyle w:val="ae"/>
        <w:spacing w:before="0" w:after="0"/>
        <w:jc w:val="both"/>
        <w:rPr>
          <w:color w:val="000000" w:themeColor="text1"/>
          <w:sz w:val="16"/>
          <w:szCs w:val="16"/>
        </w:rPr>
      </w:pPr>
      <w:r w:rsidRPr="005E779E">
        <w:rPr>
          <w:color w:val="000000" w:themeColor="text1"/>
          <w:sz w:val="16"/>
          <w:szCs w:val="16"/>
        </w:rPr>
        <w:t>Зав. Отделом Печати НКИД</w:t>
      </w:r>
    </w:p>
    <w:p w14:paraId="69EC3F28" w14:textId="77777777" w:rsidR="00C90094" w:rsidRPr="005E779E" w:rsidRDefault="00C90094" w:rsidP="000B7A6C">
      <w:pPr>
        <w:pStyle w:val="ae"/>
        <w:spacing w:before="0" w:after="0"/>
        <w:jc w:val="both"/>
        <w:rPr>
          <w:color w:val="000000" w:themeColor="text1"/>
          <w:sz w:val="16"/>
          <w:szCs w:val="16"/>
        </w:rPr>
      </w:pPr>
      <w:r w:rsidRPr="005E779E">
        <w:rPr>
          <w:color w:val="000000" w:themeColor="text1"/>
          <w:sz w:val="16"/>
          <w:szCs w:val="16"/>
        </w:rPr>
        <w:t>Тов. Ж. Л. АРЕНСУ</w:t>
      </w:r>
    </w:p>
    <w:p w14:paraId="273FDB24" w14:textId="77777777" w:rsidR="00C90094" w:rsidRPr="005E779E" w:rsidRDefault="00C90094" w:rsidP="000B7A6C">
      <w:pPr>
        <w:pStyle w:val="ae"/>
        <w:spacing w:before="0" w:after="0"/>
        <w:jc w:val="both"/>
        <w:rPr>
          <w:color w:val="000000" w:themeColor="text1"/>
          <w:sz w:val="16"/>
          <w:szCs w:val="16"/>
        </w:rPr>
      </w:pPr>
      <w:r w:rsidRPr="005E779E">
        <w:rPr>
          <w:color w:val="000000" w:themeColor="text1"/>
          <w:sz w:val="16"/>
          <w:szCs w:val="16"/>
        </w:rPr>
        <w:t>Москва</w:t>
      </w:r>
    </w:p>
    <w:p w14:paraId="57C6C659" w14:textId="77777777" w:rsidR="00C90094" w:rsidRPr="005E779E" w:rsidRDefault="00C90094" w:rsidP="000B7A6C">
      <w:pPr>
        <w:pStyle w:val="ae"/>
        <w:spacing w:before="0" w:after="0"/>
        <w:jc w:val="both"/>
        <w:rPr>
          <w:color w:val="000000" w:themeColor="text1"/>
          <w:sz w:val="16"/>
          <w:szCs w:val="16"/>
        </w:rPr>
      </w:pPr>
      <w:r w:rsidRPr="005E779E">
        <w:rPr>
          <w:color w:val="000000" w:themeColor="text1"/>
          <w:sz w:val="16"/>
          <w:szCs w:val="16"/>
        </w:rPr>
        <w:t>Уважаемый Товарищ,</w:t>
      </w:r>
    </w:p>
    <w:p w14:paraId="7FB42F1A" w14:textId="42D1350B" w:rsidR="00C90094" w:rsidRPr="005E779E" w:rsidRDefault="00C90094" w:rsidP="000B7A6C">
      <w:pPr>
        <w:pStyle w:val="rtejustify"/>
        <w:spacing w:before="0" w:after="0"/>
        <w:rPr>
          <w:color w:val="000000" w:themeColor="text1"/>
          <w:sz w:val="16"/>
          <w:szCs w:val="16"/>
        </w:rPr>
      </w:pPr>
      <w:r w:rsidRPr="005E779E">
        <w:rPr>
          <w:color w:val="000000" w:themeColor="text1"/>
          <w:sz w:val="16"/>
          <w:szCs w:val="16"/>
        </w:rPr>
        <w:t>1.</w:t>
      </w:r>
      <w:r w:rsidR="00FE094E">
        <w:rPr>
          <w:color w:val="000000" w:themeColor="text1"/>
          <w:sz w:val="16"/>
          <w:szCs w:val="16"/>
        </w:rPr>
        <w:t xml:space="preserve"> </w:t>
      </w:r>
      <w:r w:rsidRPr="005E779E">
        <w:rPr>
          <w:color w:val="000000" w:themeColor="text1"/>
          <w:sz w:val="16"/>
          <w:szCs w:val="16"/>
        </w:rPr>
        <w:t>Договор с Валуа еще не подписан, ибо он еще не ответил из Африки на телеграфный запрос об изменениях в тексте договора. Перевод близится к концу.</w:t>
      </w:r>
    </w:p>
    <w:p w14:paraId="3E7FF26E" w14:textId="0B2A695E" w:rsidR="00C90094" w:rsidRPr="005E779E" w:rsidRDefault="00C90094" w:rsidP="000B7A6C">
      <w:pPr>
        <w:pStyle w:val="rtejustify"/>
        <w:spacing w:before="0" w:after="0"/>
        <w:rPr>
          <w:color w:val="000000" w:themeColor="text1"/>
          <w:sz w:val="16"/>
          <w:szCs w:val="16"/>
        </w:rPr>
      </w:pPr>
      <w:r w:rsidRPr="005E779E">
        <w:rPr>
          <w:color w:val="000000" w:themeColor="text1"/>
          <w:sz w:val="16"/>
          <w:szCs w:val="16"/>
        </w:rPr>
        <w:t>2.</w:t>
      </w:r>
      <w:r w:rsidR="00FE094E">
        <w:rPr>
          <w:color w:val="000000" w:themeColor="text1"/>
          <w:sz w:val="16"/>
          <w:szCs w:val="16"/>
        </w:rPr>
        <w:t xml:space="preserve"> </w:t>
      </w:r>
      <w:r w:rsidRPr="005E779E">
        <w:rPr>
          <w:color w:val="000000" w:themeColor="text1"/>
          <w:sz w:val="16"/>
          <w:szCs w:val="16"/>
        </w:rPr>
        <w:t>Мы уже писали о состоянии фонда, выделенного для «процесса». Если вы считаете необходимым произвести расходы на «Кайе блэ», надо сделать дополнительные ассигнования (один экземпляр стоит 1 фр. 50 сантимов). Кроме того, на той неделе выходит книга о процессе, издаваемая Дюшен. Экземпляр стоит 4 франка. М-м Дюшен спрашивала у меня, сколько экземпляров мы возьмем. Ответа ей не дал. Может быть на эту книжку даст деньги БОКС? Переговорите с ними.</w:t>
      </w:r>
    </w:p>
    <w:p w14:paraId="4D8434B6" w14:textId="581FC674" w:rsidR="00C90094" w:rsidRPr="005E779E" w:rsidRDefault="00C90094" w:rsidP="000B7A6C">
      <w:pPr>
        <w:pStyle w:val="rtejustify"/>
        <w:spacing w:before="0" w:after="0"/>
        <w:rPr>
          <w:color w:val="000000" w:themeColor="text1"/>
          <w:sz w:val="16"/>
          <w:szCs w:val="16"/>
        </w:rPr>
      </w:pPr>
      <w:r w:rsidRPr="005E779E">
        <w:rPr>
          <w:color w:val="000000" w:themeColor="text1"/>
          <w:sz w:val="16"/>
          <w:szCs w:val="16"/>
        </w:rPr>
        <w:t>3.</w:t>
      </w:r>
      <w:r w:rsidR="00FE094E">
        <w:rPr>
          <w:color w:val="000000" w:themeColor="text1"/>
          <w:sz w:val="16"/>
          <w:szCs w:val="16"/>
        </w:rPr>
        <w:t xml:space="preserve"> </w:t>
      </w:r>
      <w:r w:rsidRPr="005E779E">
        <w:rPr>
          <w:color w:val="000000" w:themeColor="text1"/>
          <w:sz w:val="16"/>
          <w:szCs w:val="16"/>
        </w:rPr>
        <w:t>Так и не удалось получить исчерпывающих сведений об американском журналисте Р. Ферлине. Известно, что агентство, которое его посылает — очень крупное агентство. На Мерлэ он произвел благоприятное впечатление. Во всяком случае, у нас нет никаких оснований возражать против его поездки в СССР.</w:t>
      </w:r>
    </w:p>
    <w:p w14:paraId="63E70048" w14:textId="51415D2B" w:rsidR="00C90094" w:rsidRPr="005E779E" w:rsidRDefault="00C90094" w:rsidP="000B7A6C">
      <w:pPr>
        <w:pStyle w:val="rtejustify"/>
        <w:spacing w:before="0" w:after="0"/>
        <w:rPr>
          <w:color w:val="000000" w:themeColor="text1"/>
          <w:sz w:val="16"/>
          <w:szCs w:val="16"/>
        </w:rPr>
      </w:pPr>
      <w:r w:rsidRPr="005E779E">
        <w:rPr>
          <w:color w:val="000000" w:themeColor="text1"/>
          <w:sz w:val="16"/>
          <w:szCs w:val="16"/>
        </w:rPr>
        <w:t>4.</w:t>
      </w:r>
      <w:r w:rsidR="00FE094E">
        <w:rPr>
          <w:color w:val="000000" w:themeColor="text1"/>
          <w:sz w:val="16"/>
          <w:szCs w:val="16"/>
        </w:rPr>
        <w:t xml:space="preserve"> </w:t>
      </w:r>
      <w:r w:rsidRPr="005E779E">
        <w:rPr>
          <w:color w:val="000000" w:themeColor="text1"/>
          <w:sz w:val="16"/>
          <w:szCs w:val="16"/>
        </w:rPr>
        <w:t>Обратилась с просьбой Клод Шовьер помочь ей привлечь к участию в сборнике, посвященном французской писательнице Колетт, какого-нибудь советского критика. Я думаю, следует привлечь Петра Семеновича Когана. Материалы ей нужны к 10-му марта. Работа срочная. Муссинак очень просил ей помочь. Сделайте все возможное. Проспект работы прилагаем.</w:t>
      </w:r>
    </w:p>
    <w:p w14:paraId="3002C604" w14:textId="77777777" w:rsidR="00C90094" w:rsidRPr="005E779E" w:rsidRDefault="00C90094" w:rsidP="000B7A6C">
      <w:pPr>
        <w:pStyle w:val="rtejustify"/>
        <w:spacing w:before="0" w:after="0"/>
        <w:rPr>
          <w:color w:val="000000" w:themeColor="text1"/>
          <w:sz w:val="16"/>
          <w:szCs w:val="16"/>
        </w:rPr>
      </w:pPr>
      <w:r w:rsidRPr="005E779E">
        <w:rPr>
          <w:color w:val="000000" w:themeColor="text1"/>
          <w:sz w:val="16"/>
          <w:szCs w:val="16"/>
        </w:rPr>
        <w:t>С товарищеским приветом</w:t>
      </w:r>
    </w:p>
    <w:p w14:paraId="75734497" w14:textId="77777777" w:rsidR="00C90094" w:rsidRPr="005E779E" w:rsidRDefault="00C90094" w:rsidP="000B7A6C">
      <w:pPr>
        <w:pStyle w:val="rtejustify"/>
        <w:spacing w:before="0" w:after="0"/>
        <w:rPr>
          <w:color w:val="000000" w:themeColor="text1"/>
          <w:sz w:val="16"/>
          <w:szCs w:val="16"/>
        </w:rPr>
      </w:pPr>
      <w:r w:rsidRPr="005E779E">
        <w:rPr>
          <w:color w:val="000000" w:themeColor="text1"/>
          <w:sz w:val="16"/>
          <w:szCs w:val="16"/>
        </w:rPr>
        <w:t>В. Барков</w:t>
      </w:r>
    </w:p>
    <w:p w14:paraId="621B5D73" w14:textId="77777777" w:rsidR="00C90094" w:rsidRPr="005E779E" w:rsidRDefault="00C90094" w:rsidP="000B7A6C">
      <w:pPr>
        <w:pStyle w:val="ae"/>
        <w:spacing w:before="0" w:after="0"/>
        <w:jc w:val="both"/>
        <w:rPr>
          <w:color w:val="000000" w:themeColor="text1"/>
          <w:sz w:val="16"/>
          <w:szCs w:val="16"/>
        </w:rPr>
      </w:pPr>
      <w:r w:rsidRPr="005E779E">
        <w:rPr>
          <w:rStyle w:val="af0"/>
          <w:i w:val="0"/>
          <w:color w:val="000000" w:themeColor="text1"/>
          <w:sz w:val="16"/>
          <w:szCs w:val="16"/>
        </w:rPr>
        <w:t>АВП РФ. Ф. 056. On. 16. П. 34. Д. 14. Л. 26. Машинописный подлинник на бланке Полпредства СССР во Франции, подпись Баркова — автограф. Вверху справа в графе бланка дата «25 февраля 1931 г.» (число и месяц машинописью) и номер «№ 89/с» (от руки). Вверху слева написаны карандашом входящий номер и дата получения документа «3/III-31 г.». Внизу слева делопроизводственная помета машинописью (столбцом) «2 экз. 1 — т. Аренсу, 1 -в дело» (18833).</w:t>
      </w:r>
    </w:p>
    <w:p w14:paraId="4EDCE3B6" w14:textId="77777777" w:rsidR="00C90094" w:rsidRPr="005E779E" w:rsidRDefault="00C90094" w:rsidP="000B7A6C">
      <w:pPr>
        <w:spacing w:after="0" w:line="240" w:lineRule="auto"/>
        <w:jc w:val="both"/>
        <w:rPr>
          <w:rFonts w:ascii="Times New Roman" w:hAnsi="Times New Roman"/>
          <w:color w:val="000000" w:themeColor="text1"/>
          <w:sz w:val="16"/>
          <w:szCs w:val="16"/>
        </w:rPr>
      </w:pPr>
    </w:p>
    <w:p w14:paraId="0B189C48"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4A301D7E"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2E852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 февраля 1931 г. на 1-м серийном самолете N 4273 завода N 1 закончились испытания стрелкового вооружения на серийном самолете И-5, которые проводились с 1 февраля 1931 г. (3208).</w:t>
      </w:r>
    </w:p>
    <w:p w14:paraId="15B0D4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BDFDA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 февраля 1931 на НИАП была испытана АПК-5 для И-12 для определения баллистических данных. Начальная скорость - 397 м/сек (3996, 96).</w:t>
      </w:r>
    </w:p>
    <w:p w14:paraId="15DE30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3FB1C93" w14:textId="77777777" w:rsidR="00A145D0" w:rsidRPr="00142305" w:rsidRDefault="00A145D0" w:rsidP="00A145D0">
      <w:pPr>
        <w:spacing w:after="0" w:line="240" w:lineRule="auto"/>
        <w:jc w:val="both"/>
        <w:rPr>
          <w:rStyle w:val="aff0"/>
          <w:rFonts w:ascii="Times New Roman" w:hAnsi="Times New Roman" w:cs="Times New Roman"/>
          <w:color w:val="0070C0"/>
          <w:spacing w:val="0"/>
          <w:sz w:val="16"/>
          <w:szCs w:val="16"/>
        </w:rPr>
      </w:pPr>
      <w:r w:rsidRPr="00142305">
        <w:rPr>
          <w:rStyle w:val="aff0"/>
          <w:rFonts w:ascii="Times New Roman" w:hAnsi="Times New Roman" w:cs="Times New Roman"/>
          <w:color w:val="0070C0"/>
          <w:spacing w:val="0"/>
          <w:sz w:val="16"/>
          <w:szCs w:val="16"/>
        </w:rPr>
        <w:t>26 февраля 1931 г. на НИАПе были проведены испытания АПК-5, предназначающейся для И-12 (АНТ-23) для определения баллистических данных.</w:t>
      </w:r>
    </w:p>
    <w:p w14:paraId="2383E72E" w14:textId="77777777" w:rsidR="00A145D0" w:rsidRPr="00142305" w:rsidRDefault="00A145D0" w:rsidP="00A145D0">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В 1931 г. для истребителя И-12 было изготовлено две 76-мм пушки АПК-5. Пушка имела несколько меньший вес, чем АПК-4 (65 кг). Баллистические данные были близки к АПК-4 (вес снаряда 3,0 кг, вес заряда 0,6 кг). Начальная скорость оказалась 397 м/с. Первые наземные стрельбы И-12 с АПК-5 состоялись 11 ноября 1931 г. на аэродроме НИИ ВВС.</w:t>
      </w:r>
    </w:p>
    <w:p w14:paraId="164896E5" w14:textId="77777777" w:rsidR="00A145D0" w:rsidRPr="00142305" w:rsidRDefault="00A145D0" w:rsidP="00A145D0">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Отстрелялись вполне успешно, однако при возвращении в Москву самолет подломал костыли. Ремонт потянул за собой очередные доделки и улучшения. На аэродроме И-12 оказался лишь спустя три месяца, в феврале 1932 г. После опробования машины в воздухе 8 февраля летчик испытатель Иван Фролович Козлов перегнал И-12 на аэродром в Монино, где были продолжены наземные огневые испытания (25213).</w:t>
      </w:r>
    </w:p>
    <w:p w14:paraId="79D19818" w14:textId="77777777" w:rsidR="00A145D0" w:rsidRPr="00142305" w:rsidRDefault="00A145D0" w:rsidP="00A145D0">
      <w:pPr>
        <w:spacing w:after="0" w:line="240" w:lineRule="auto"/>
        <w:jc w:val="both"/>
        <w:rPr>
          <w:rFonts w:ascii="Times New Roman" w:hAnsi="Times New Roman"/>
          <w:color w:val="0070C0"/>
          <w:sz w:val="16"/>
          <w:szCs w:val="16"/>
        </w:rPr>
      </w:pPr>
    </w:p>
    <w:p w14:paraId="07EB2124"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6263200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FD128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26 февраля по 5 марта 1931 в Москве шел 15-й Всероссийский съезд Советов, который подвел итоги первых двух лет пятилетки и признал необходимым обязательное начальное обучение и ликвидацию неграмотности (1348,148).</w:t>
      </w:r>
    </w:p>
    <w:p w14:paraId="65FE38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4B973C2"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399AD14A"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35BC8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период с 26 февраля по 1 марта 1931 г. самолет Блерио- 110, пилотируемый летчиками Боссутро и Росси, продержался в воздухе 75 часов 23 минуты, пролетев 8805 км. В период 5-7 августа 1933 г. французские пилоты Росси и Кодос осуществили на Блерио-110 рекордный перелет из Нью-Йорка в сирийский город Райак (французская территория в Сирии) протяженностью 9104 км за 56 часов. В 1930 г. первым выпустили цельнодеревянный высокоплан Блерио- 110. Его крыло с размахом 26,5 метров поддерживалось расчалками, в плане имело почти эллиптическую форму, в его сечении использовался выпукло-вогнутый профиль, который помимо прочего снижал неприятные явления изменения центровки по мере выработки горючего из фюзеляжных баков. Фюзеляж Блерио-110 деревянный, типа "монокок", почти треугольного сечения, что позволяло наиболее эффективно крепить поддерживающие крыльевые расчалки. Кабина пилотов не имела выступа из </w:t>
      </w:r>
      <w:r w:rsidRPr="005E779E">
        <w:rPr>
          <w:rFonts w:ascii="Times New Roman" w:hAnsi="Times New Roman"/>
          <w:color w:val="000000" w:themeColor="text1"/>
          <w:sz w:val="16"/>
          <w:szCs w:val="16"/>
        </w:rPr>
        <w:lastRenderedPageBreak/>
        <w:t>фюзеляжа, поэтому для получения необходимого обзора на взлете и посадке высокоплан Блерио оборудовали специальным перископом. Двигатель "Испано-Сюза" 12 МЬг мощностью 500 л. е., был снабжен лобовым радиатором. Горючее общей емкостью 7855 литров размещалось в 8 крыльевых топливных баках и в 4 фюзеляжных. Шасси неубираемое, на пирамидальных стойках, снабжено резиновой амортизацией. Несмотря на очевидную архаичность конструкции, именно Блерио- 110 смог добиться наиболее впечатляющих успехов (11941).</w:t>
      </w:r>
    </w:p>
    <w:p w14:paraId="732298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ТАКТИКО-ТЕХНИЧЕСКИЕ ХАРАКТЕРИСТИКИ ЕВРОПЕЙСКИХ САМОЛЕТОВ ДЛЯ ДАЛЬНИХ ПЕРЕЛЕТОВ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45"/>
        <w:gridCol w:w="1145"/>
        <w:gridCol w:w="1145"/>
        <w:gridCol w:w="1145"/>
        <w:gridCol w:w="1145"/>
        <w:gridCol w:w="1145"/>
        <w:gridCol w:w="1145"/>
        <w:gridCol w:w="1145"/>
        <w:gridCol w:w="1145"/>
      </w:tblGrid>
      <w:tr w:rsidR="007122AB" w:rsidRPr="005E779E" w14:paraId="7805B0F7" w14:textId="77777777">
        <w:tc>
          <w:tcPr>
            <w:tcW w:w="1145" w:type="dxa"/>
            <w:tcBorders>
              <w:top w:val="single" w:sz="12" w:space="0" w:color="auto"/>
            </w:tcBorders>
          </w:tcPr>
          <w:p w14:paraId="114A55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w:t>
            </w:r>
          </w:p>
        </w:tc>
        <w:tc>
          <w:tcPr>
            <w:tcW w:w="1145" w:type="dxa"/>
            <w:tcBorders>
              <w:top w:val="single" w:sz="12" w:space="0" w:color="auto"/>
            </w:tcBorders>
          </w:tcPr>
          <w:p w14:paraId="6BB6CE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Двигатель(л.с.)</w:t>
            </w:r>
          </w:p>
        </w:tc>
        <w:tc>
          <w:tcPr>
            <w:tcW w:w="1145" w:type="dxa"/>
            <w:tcBorders>
              <w:top w:val="single" w:sz="12" w:space="0" w:color="auto"/>
            </w:tcBorders>
          </w:tcPr>
          <w:p w14:paraId="5F19FD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Размах (м)</w:t>
            </w:r>
          </w:p>
        </w:tc>
        <w:tc>
          <w:tcPr>
            <w:tcW w:w="1145" w:type="dxa"/>
            <w:tcBorders>
              <w:top w:val="single" w:sz="12" w:space="0" w:color="auto"/>
            </w:tcBorders>
          </w:tcPr>
          <w:p w14:paraId="032199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Площадь крыла (мг)</w:t>
            </w:r>
          </w:p>
        </w:tc>
        <w:tc>
          <w:tcPr>
            <w:tcW w:w="1145" w:type="dxa"/>
            <w:tcBorders>
              <w:top w:val="single" w:sz="12" w:space="0" w:color="auto"/>
            </w:tcBorders>
          </w:tcPr>
          <w:p w14:paraId="3AFAD3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Удлинение</w:t>
            </w:r>
          </w:p>
        </w:tc>
        <w:tc>
          <w:tcPr>
            <w:tcW w:w="1145" w:type="dxa"/>
            <w:tcBorders>
              <w:top w:val="single" w:sz="12" w:space="0" w:color="auto"/>
            </w:tcBorders>
          </w:tcPr>
          <w:p w14:paraId="437EC5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пустого (кг)</w:t>
            </w:r>
          </w:p>
        </w:tc>
        <w:tc>
          <w:tcPr>
            <w:tcW w:w="1145" w:type="dxa"/>
            <w:tcBorders>
              <w:top w:val="single" w:sz="12" w:space="0" w:color="auto"/>
            </w:tcBorders>
          </w:tcPr>
          <w:p w14:paraId="716330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Полетный вес (кг)</w:t>
            </w:r>
          </w:p>
        </w:tc>
        <w:tc>
          <w:tcPr>
            <w:tcW w:w="1145" w:type="dxa"/>
            <w:tcBorders>
              <w:top w:val="single" w:sz="12" w:space="0" w:color="auto"/>
            </w:tcBorders>
          </w:tcPr>
          <w:p w14:paraId="0553F3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Запас горючего (кг)</w:t>
            </w:r>
          </w:p>
        </w:tc>
        <w:tc>
          <w:tcPr>
            <w:tcW w:w="1145" w:type="dxa"/>
            <w:tcBorders>
              <w:top w:val="single" w:sz="12" w:space="0" w:color="auto"/>
            </w:tcBorders>
          </w:tcPr>
          <w:p w14:paraId="00B342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Нагрузка на крыло (кг/м2)</w:t>
            </w:r>
          </w:p>
        </w:tc>
      </w:tr>
      <w:tr w:rsidR="007122AB" w:rsidRPr="005E779E" w14:paraId="37B6C3E2" w14:textId="77777777">
        <w:tc>
          <w:tcPr>
            <w:tcW w:w="1145" w:type="dxa"/>
          </w:tcPr>
          <w:p w14:paraId="0D62E3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25AB52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388297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04EF06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60D90B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01A8A2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3D72EA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7C8EA0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06A9B5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20B77C72" w14:textId="77777777">
        <w:tc>
          <w:tcPr>
            <w:tcW w:w="1145" w:type="dxa"/>
          </w:tcPr>
          <w:p w14:paraId="798598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Фэйри LR</w:t>
            </w:r>
          </w:p>
        </w:tc>
        <w:tc>
          <w:tcPr>
            <w:tcW w:w="1145" w:type="dxa"/>
          </w:tcPr>
          <w:p w14:paraId="1530D5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Нэпир XI (530)</w:t>
            </w:r>
          </w:p>
        </w:tc>
        <w:tc>
          <w:tcPr>
            <w:tcW w:w="1145" w:type="dxa"/>
          </w:tcPr>
          <w:p w14:paraId="0D6A69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25,0</w:t>
            </w:r>
          </w:p>
        </w:tc>
        <w:tc>
          <w:tcPr>
            <w:tcW w:w="1145" w:type="dxa"/>
          </w:tcPr>
          <w:p w14:paraId="465E57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82,0</w:t>
            </w:r>
          </w:p>
        </w:tc>
        <w:tc>
          <w:tcPr>
            <w:tcW w:w="1145" w:type="dxa"/>
          </w:tcPr>
          <w:p w14:paraId="2C508B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7,6</w:t>
            </w:r>
          </w:p>
        </w:tc>
        <w:tc>
          <w:tcPr>
            <w:tcW w:w="1145" w:type="dxa"/>
          </w:tcPr>
          <w:p w14:paraId="290341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145" w:type="dxa"/>
          </w:tcPr>
          <w:p w14:paraId="7CF978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7800</w:t>
            </w:r>
          </w:p>
        </w:tc>
        <w:tc>
          <w:tcPr>
            <w:tcW w:w="1145" w:type="dxa"/>
          </w:tcPr>
          <w:p w14:paraId="098EF8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4500</w:t>
            </w:r>
          </w:p>
        </w:tc>
        <w:tc>
          <w:tcPr>
            <w:tcW w:w="1145" w:type="dxa"/>
          </w:tcPr>
          <w:p w14:paraId="4CDEF7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95,0</w:t>
            </w:r>
          </w:p>
        </w:tc>
      </w:tr>
      <w:tr w:rsidR="007122AB" w:rsidRPr="005E779E" w14:paraId="49831C09" w14:textId="77777777">
        <w:tc>
          <w:tcPr>
            <w:tcW w:w="1145" w:type="dxa"/>
          </w:tcPr>
          <w:p w14:paraId="3A2DDE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Савойя S-64</w:t>
            </w:r>
          </w:p>
        </w:tc>
        <w:tc>
          <w:tcPr>
            <w:tcW w:w="1145" w:type="dxa"/>
          </w:tcPr>
          <w:p w14:paraId="0CABB0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Фиат А-22Т (620)</w:t>
            </w:r>
          </w:p>
        </w:tc>
        <w:tc>
          <w:tcPr>
            <w:tcW w:w="1145" w:type="dxa"/>
          </w:tcPr>
          <w:p w14:paraId="31A77E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21,5</w:t>
            </w:r>
          </w:p>
        </w:tc>
        <w:tc>
          <w:tcPr>
            <w:tcW w:w="1145" w:type="dxa"/>
          </w:tcPr>
          <w:p w14:paraId="01AEBC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w:t>
            </w:r>
          </w:p>
        </w:tc>
        <w:tc>
          <w:tcPr>
            <w:tcW w:w="1145" w:type="dxa"/>
          </w:tcPr>
          <w:p w14:paraId="278D7B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7,75</w:t>
            </w:r>
          </w:p>
        </w:tc>
        <w:tc>
          <w:tcPr>
            <w:tcW w:w="1145" w:type="dxa"/>
          </w:tcPr>
          <w:p w14:paraId="79D55E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2670</w:t>
            </w:r>
          </w:p>
        </w:tc>
        <w:tc>
          <w:tcPr>
            <w:tcW w:w="1145" w:type="dxa"/>
          </w:tcPr>
          <w:p w14:paraId="099DBC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7200</w:t>
            </w:r>
          </w:p>
        </w:tc>
        <w:tc>
          <w:tcPr>
            <w:tcW w:w="1145" w:type="dxa"/>
          </w:tcPr>
          <w:p w14:paraId="034FE1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4550</w:t>
            </w:r>
          </w:p>
        </w:tc>
        <w:tc>
          <w:tcPr>
            <w:tcW w:w="1145" w:type="dxa"/>
          </w:tcPr>
          <w:p w14:paraId="2A7E47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120,0</w:t>
            </w:r>
          </w:p>
        </w:tc>
      </w:tr>
      <w:tr w:rsidR="007122AB" w:rsidRPr="005E779E" w14:paraId="5CF5F5E6" w14:textId="77777777">
        <w:tc>
          <w:tcPr>
            <w:tcW w:w="1145" w:type="dxa"/>
          </w:tcPr>
          <w:p w14:paraId="45D770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Блерио-110</w:t>
            </w:r>
          </w:p>
        </w:tc>
        <w:tc>
          <w:tcPr>
            <w:tcW w:w="1145" w:type="dxa"/>
          </w:tcPr>
          <w:p w14:paraId="750EE8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Испано 12МЬг (500)</w:t>
            </w:r>
          </w:p>
        </w:tc>
        <w:tc>
          <w:tcPr>
            <w:tcW w:w="1145" w:type="dxa"/>
          </w:tcPr>
          <w:p w14:paraId="57F384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26,5</w:t>
            </w:r>
          </w:p>
        </w:tc>
        <w:tc>
          <w:tcPr>
            <w:tcW w:w="1145" w:type="dxa"/>
          </w:tcPr>
          <w:p w14:paraId="341DE7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81,0</w:t>
            </w:r>
          </w:p>
        </w:tc>
        <w:tc>
          <w:tcPr>
            <w:tcW w:w="1145" w:type="dxa"/>
          </w:tcPr>
          <w:p w14:paraId="7A36A3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8,65</w:t>
            </w:r>
          </w:p>
        </w:tc>
        <w:tc>
          <w:tcPr>
            <w:tcW w:w="1145" w:type="dxa"/>
          </w:tcPr>
          <w:p w14:paraId="1D2BA9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2700</w:t>
            </w:r>
          </w:p>
        </w:tc>
        <w:tc>
          <w:tcPr>
            <w:tcW w:w="1145" w:type="dxa"/>
          </w:tcPr>
          <w:p w14:paraId="2F1B86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8500</w:t>
            </w:r>
          </w:p>
        </w:tc>
        <w:tc>
          <w:tcPr>
            <w:tcW w:w="1145" w:type="dxa"/>
          </w:tcPr>
          <w:p w14:paraId="4E0BBF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5500</w:t>
            </w:r>
          </w:p>
        </w:tc>
        <w:tc>
          <w:tcPr>
            <w:tcW w:w="1145" w:type="dxa"/>
          </w:tcPr>
          <w:p w14:paraId="33C9BA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104,5</w:t>
            </w:r>
          </w:p>
        </w:tc>
      </w:tr>
      <w:tr w:rsidR="007122AB" w:rsidRPr="005E779E" w14:paraId="376CC746" w14:textId="77777777">
        <w:tc>
          <w:tcPr>
            <w:tcW w:w="1145" w:type="dxa"/>
          </w:tcPr>
          <w:p w14:paraId="62E773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Девуатин D.33</w:t>
            </w:r>
          </w:p>
        </w:tc>
        <w:tc>
          <w:tcPr>
            <w:tcW w:w="1145" w:type="dxa"/>
          </w:tcPr>
          <w:p w14:paraId="643605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Испано 12Nb (650)</w:t>
            </w:r>
          </w:p>
        </w:tc>
        <w:tc>
          <w:tcPr>
            <w:tcW w:w="1145" w:type="dxa"/>
          </w:tcPr>
          <w:p w14:paraId="079027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28,0</w:t>
            </w:r>
          </w:p>
        </w:tc>
        <w:tc>
          <w:tcPr>
            <w:tcW w:w="1145" w:type="dxa"/>
          </w:tcPr>
          <w:p w14:paraId="404857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78,0</w:t>
            </w:r>
          </w:p>
        </w:tc>
        <w:tc>
          <w:tcPr>
            <w:tcW w:w="1145" w:type="dxa"/>
          </w:tcPr>
          <w:p w14:paraId="326403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w:t>
            </w:r>
          </w:p>
        </w:tc>
        <w:tc>
          <w:tcPr>
            <w:tcW w:w="1145" w:type="dxa"/>
          </w:tcPr>
          <w:p w14:paraId="41D55B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3100</w:t>
            </w:r>
          </w:p>
        </w:tc>
        <w:tc>
          <w:tcPr>
            <w:tcW w:w="1145" w:type="dxa"/>
          </w:tcPr>
          <w:p w14:paraId="312C67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9200</w:t>
            </w:r>
          </w:p>
        </w:tc>
        <w:tc>
          <w:tcPr>
            <w:tcW w:w="1145" w:type="dxa"/>
          </w:tcPr>
          <w:p w14:paraId="0F899D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5600</w:t>
            </w:r>
          </w:p>
        </w:tc>
        <w:tc>
          <w:tcPr>
            <w:tcW w:w="1145" w:type="dxa"/>
          </w:tcPr>
          <w:p w14:paraId="2D5F2D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117,5</w:t>
            </w:r>
          </w:p>
        </w:tc>
      </w:tr>
      <w:tr w:rsidR="007122AB" w:rsidRPr="005E779E" w14:paraId="3BB84270" w14:textId="77777777">
        <w:tc>
          <w:tcPr>
            <w:tcW w:w="1145" w:type="dxa"/>
            <w:tcBorders>
              <w:bottom w:val="single" w:sz="12" w:space="0" w:color="auto"/>
            </w:tcBorders>
          </w:tcPr>
          <w:p w14:paraId="63258B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Бернар-80</w:t>
            </w:r>
          </w:p>
        </w:tc>
        <w:tc>
          <w:tcPr>
            <w:tcW w:w="1145" w:type="dxa"/>
            <w:tcBorders>
              <w:bottom w:val="single" w:sz="12" w:space="0" w:color="auto"/>
            </w:tcBorders>
          </w:tcPr>
          <w:p w14:paraId="327669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Испано 12Nb (650)</w:t>
            </w:r>
          </w:p>
        </w:tc>
        <w:tc>
          <w:tcPr>
            <w:tcW w:w="1145" w:type="dxa"/>
            <w:tcBorders>
              <w:bottom w:val="single" w:sz="12" w:space="0" w:color="auto"/>
            </w:tcBorders>
          </w:tcPr>
          <w:p w14:paraId="03B1A2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24,5</w:t>
            </w:r>
          </w:p>
        </w:tc>
        <w:tc>
          <w:tcPr>
            <w:tcW w:w="1145" w:type="dxa"/>
            <w:tcBorders>
              <w:bottom w:val="single" w:sz="12" w:space="0" w:color="auto"/>
            </w:tcBorders>
          </w:tcPr>
          <w:p w14:paraId="50B8F2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70,0</w:t>
            </w:r>
          </w:p>
        </w:tc>
        <w:tc>
          <w:tcPr>
            <w:tcW w:w="1145" w:type="dxa"/>
            <w:tcBorders>
              <w:bottom w:val="single" w:sz="12" w:space="0" w:color="auto"/>
            </w:tcBorders>
          </w:tcPr>
          <w:p w14:paraId="623CD8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8,6</w:t>
            </w:r>
          </w:p>
        </w:tc>
        <w:tc>
          <w:tcPr>
            <w:tcW w:w="1145" w:type="dxa"/>
            <w:tcBorders>
              <w:bottom w:val="single" w:sz="12" w:space="0" w:color="auto"/>
            </w:tcBorders>
          </w:tcPr>
          <w:p w14:paraId="5339F8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3100</w:t>
            </w:r>
          </w:p>
        </w:tc>
        <w:tc>
          <w:tcPr>
            <w:tcW w:w="1145" w:type="dxa"/>
            <w:tcBorders>
              <w:bottom w:val="single" w:sz="12" w:space="0" w:color="auto"/>
            </w:tcBorders>
          </w:tcPr>
          <w:p w14:paraId="720942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8625</w:t>
            </w:r>
          </w:p>
        </w:tc>
        <w:tc>
          <w:tcPr>
            <w:tcW w:w="1145" w:type="dxa"/>
            <w:tcBorders>
              <w:bottom w:val="single" w:sz="12" w:space="0" w:color="auto"/>
            </w:tcBorders>
          </w:tcPr>
          <w:p w14:paraId="685A7C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145" w:type="dxa"/>
            <w:tcBorders>
              <w:bottom w:val="single" w:sz="12" w:space="0" w:color="auto"/>
            </w:tcBorders>
          </w:tcPr>
          <w:p w14:paraId="72798A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123,0</w:t>
            </w:r>
          </w:p>
        </w:tc>
      </w:tr>
    </w:tbl>
    <w:p w14:paraId="26D990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Приведенные в таблице данные полетного веса и запаса горючего на самом деле имели разные значения. Так, при установлении мирового рекорда в 1933 г. полетный вес Блерио-110 указывался 9 тонн, а запас горючего составлял 6500 литров (11941).</w:t>
      </w:r>
    </w:p>
    <w:p w14:paraId="037F4D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FDDC7B4" w14:textId="77777777" w:rsidR="00A145D0" w:rsidRPr="00142305" w:rsidRDefault="00A145D0" w:rsidP="00A145D0">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 xml:space="preserve">В период с 26 февраля по 1 марта 1931 г. самолет </w:t>
      </w:r>
      <w:r w:rsidRPr="00142305">
        <w:rPr>
          <w:rStyle w:val="affa"/>
          <w:rFonts w:ascii="Times New Roman" w:hAnsi="Times New Roman" w:cs="Times New Roman"/>
          <w:color w:val="0070C0"/>
          <w:sz w:val="16"/>
          <w:szCs w:val="16"/>
        </w:rPr>
        <w:t>«Блерио-110»</w:t>
      </w:r>
      <w:r w:rsidRPr="00142305">
        <w:rPr>
          <w:rStyle w:val="aff0"/>
          <w:rFonts w:ascii="Times New Roman" w:hAnsi="Times New Roman" w:cs="Times New Roman"/>
          <w:color w:val="0070C0"/>
          <w:spacing w:val="0"/>
          <w:sz w:val="16"/>
          <w:szCs w:val="16"/>
        </w:rPr>
        <w:t>, пилотируемый летчиками Боссутро и Росси, продержался в воздухе 75 ч 23 мин., пролетев 8805 км. В период 5—7 августа 1933 г. французские пилоты Росси и Кодос осуществили на «Блерио-110» рекордный перелет протяженностью 9104 км из Нью-Йорка в сирийский город Райак (французская тер</w:t>
      </w:r>
      <w:r w:rsidRPr="00142305">
        <w:rPr>
          <w:rStyle w:val="aff0"/>
          <w:rFonts w:ascii="Times New Roman" w:hAnsi="Times New Roman" w:cs="Times New Roman"/>
          <w:color w:val="0070C0"/>
          <w:spacing w:val="0"/>
          <w:sz w:val="16"/>
          <w:szCs w:val="16"/>
        </w:rPr>
        <w:softHyphen/>
        <w:t>ритория в Сирии) за 56 ч. (25675).</w:t>
      </w:r>
    </w:p>
    <w:p w14:paraId="1A4304AF" w14:textId="77777777" w:rsidR="00A145D0" w:rsidRPr="00142305" w:rsidRDefault="00A145D0" w:rsidP="00A145D0">
      <w:pPr>
        <w:spacing w:after="0" w:line="240" w:lineRule="auto"/>
        <w:jc w:val="both"/>
        <w:rPr>
          <w:rFonts w:ascii="Times New Roman" w:hAnsi="Times New Roman"/>
          <w:color w:val="0070C0"/>
          <w:sz w:val="16"/>
          <w:szCs w:val="16"/>
        </w:rPr>
      </w:pPr>
    </w:p>
    <w:p w14:paraId="340034D3" w14:textId="77777777" w:rsidR="004742EE" w:rsidRPr="005E779E" w:rsidRDefault="004742E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 февраля 1931 Imperial Airways начинает регулярные рейсы между Англией и Африкой с использованием Armstrong Whitworth Argosys (20804).</w:t>
      </w:r>
    </w:p>
    <w:p w14:paraId="06F761AA" w14:textId="77777777" w:rsidR="004742EE" w:rsidRPr="005E779E" w:rsidRDefault="004742EE" w:rsidP="000B7A6C">
      <w:pPr>
        <w:spacing w:after="0" w:line="240" w:lineRule="auto"/>
        <w:jc w:val="both"/>
        <w:rPr>
          <w:rFonts w:ascii="Times New Roman" w:hAnsi="Times New Roman"/>
          <w:color w:val="000000" w:themeColor="text1"/>
          <w:sz w:val="16"/>
          <w:szCs w:val="16"/>
        </w:rPr>
      </w:pPr>
    </w:p>
    <w:p w14:paraId="45DD47CD" w14:textId="77777777" w:rsidR="00C90094" w:rsidRPr="005E779E" w:rsidRDefault="00C90094"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551860FB" w14:textId="77777777" w:rsidR="00C90094" w:rsidRPr="005E779E" w:rsidRDefault="00C90094"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34D7166"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февраля 1931</w:t>
      </w:r>
    </w:p>
    <w:p w14:paraId="6D042554"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Протокол № 27 заседания Политбюро ЦК ВКП(б) от 25 февраля 1931 г.</w:t>
      </w:r>
    </w:p>
    <w:p w14:paraId="5318E819"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Заседание Политбюро ЦК ВКП(б) от 25-го февраля 1931 года.</w:t>
      </w:r>
    </w:p>
    <w:p w14:paraId="7D8CE62A"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 35/51: а) О танкостроении</w:t>
      </w:r>
    </w:p>
    <w:p w14:paraId="2166C65B"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(ПБ от 10.I.31 г., пр. № 23, п. 14/19).</w:t>
      </w:r>
    </w:p>
    <w:p w14:paraId="7ED45683"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(Уборевич, Мартинович, Тухачевский, Халепский, Михайлов-Иванов).</w:t>
      </w:r>
    </w:p>
    <w:p w14:paraId="3307EE67"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 35/51: б) О танках</w:t>
      </w:r>
    </w:p>
    <w:p w14:paraId="5251C759"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(Ворошилов, Орджоникидзе).</w:t>
      </w:r>
    </w:p>
    <w:p w14:paraId="26598AAF"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Решение — особая папка.</w:t>
      </w:r>
    </w:p>
    <w:p w14:paraId="542A1DE3"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Принять предложения комиссии т. Уборевича, за исключением пункта о технической помощи (</w:t>
      </w:r>
      <w:hyperlink r:id="rId28" w:history="1">
        <w:r w:rsidRPr="005E779E">
          <w:rPr>
            <w:rStyle w:val="a5"/>
            <w:rFonts w:ascii="Times New Roman" w:hAnsi="Times New Roman"/>
            <w:color w:val="000000" w:themeColor="text1"/>
            <w:sz w:val="16"/>
            <w:szCs w:val="16"/>
            <w:u w:val="none"/>
          </w:rPr>
          <w:t>см. приложение № 4</w:t>
        </w:r>
        <w:r w:rsidRPr="005E779E">
          <w:rPr>
            <w:rStyle w:val="a5"/>
            <w:rFonts w:ascii="Times New Roman" w:hAnsi="Times New Roman"/>
            <w:color w:val="000000" w:themeColor="text1"/>
            <w:sz w:val="16"/>
            <w:szCs w:val="16"/>
            <w:u w:val="none"/>
          </w:rPr>
          <w:noBreakHyphen/>
          <w:t>ОП</w:t>
        </w:r>
      </w:hyperlink>
      <w:r w:rsidRPr="005E779E">
        <w:rPr>
          <w:rFonts w:ascii="Times New Roman" w:hAnsi="Times New Roman"/>
          <w:color w:val="000000" w:themeColor="text1"/>
          <w:sz w:val="16"/>
          <w:szCs w:val="16"/>
        </w:rPr>
        <w:t>).</w:t>
      </w:r>
    </w:p>
    <w:p w14:paraId="6EC95DC9"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Приложение № 4-ОП</w:t>
      </w:r>
    </w:p>
    <w:p w14:paraId="3E1FDD6F"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п. 35/51 (о. п.) пр. ПБ № 27.</w:t>
      </w:r>
    </w:p>
    <w:p w14:paraId="677EB713"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 танковой программе</w:t>
      </w:r>
    </w:p>
    <w:p w14:paraId="0342463F"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(Принято Политбюро ЦК ВКП(б) 20.II.1931 года).</w:t>
      </w:r>
    </w:p>
    <w:p w14:paraId="208D9968"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развитие решения Политбюро от 30 ноября 1930 г. о программе танкостроения в военное время к весне 1932 г., согласно которой должно быть подано для нужд вооруженного фронта:</w:t>
      </w:r>
    </w:p>
    <w:p w14:paraId="7342FF4D" w14:textId="3DA596E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танкеток ............ —</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4.000</w:t>
      </w:r>
    </w:p>
    <w:p w14:paraId="6C49199E"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малых танков ........ — 13.000</w:t>
      </w:r>
    </w:p>
    <w:p w14:paraId="4B68AAEC" w14:textId="1937551D"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средних танков ...... —</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2.000</w:t>
      </w:r>
    </w:p>
    <w:p w14:paraId="09720890"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Политбюро постановляет:</w:t>
      </w:r>
    </w:p>
    <w:p w14:paraId="76BF3435"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Танкетка</w:t>
      </w:r>
    </w:p>
    <w:p w14:paraId="2042C26D"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A. Утвердить тип Т</w:t>
      </w:r>
      <w:r w:rsidRPr="005E779E">
        <w:rPr>
          <w:rFonts w:ascii="Times New Roman" w:hAnsi="Times New Roman"/>
          <w:color w:val="000000" w:themeColor="text1"/>
          <w:sz w:val="16"/>
          <w:szCs w:val="16"/>
        </w:rPr>
        <w:noBreakHyphen/>
        <w:t>27 с мотором Форда АА со следующими данными:</w:t>
      </w:r>
    </w:p>
    <w:p w14:paraId="3C299C1A"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скорость — 36</w:t>
      </w:r>
      <w:r w:rsidRPr="005E779E">
        <w:rPr>
          <w:rFonts w:ascii="Times New Roman" w:hAnsi="Times New Roman"/>
          <w:color w:val="000000" w:themeColor="text1"/>
          <w:sz w:val="16"/>
          <w:szCs w:val="16"/>
        </w:rPr>
        <w:noBreakHyphen/>
        <w:t>40 км/ч,</w:t>
      </w:r>
    </w:p>
    <w:p w14:paraId="23565662"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 2 т,</w:t>
      </w:r>
    </w:p>
    <w:p w14:paraId="423CA546"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броня — 10</w:t>
      </w:r>
      <w:r w:rsidRPr="005E779E">
        <w:rPr>
          <w:rFonts w:ascii="Times New Roman" w:hAnsi="Times New Roman"/>
          <w:color w:val="000000" w:themeColor="text1"/>
          <w:sz w:val="16"/>
          <w:szCs w:val="16"/>
        </w:rPr>
        <w:noBreakHyphen/>
        <w:t>5 мм,</w:t>
      </w:r>
    </w:p>
    <w:p w14:paraId="2B9D46B2"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 — 1 пулемет,</w:t>
      </w:r>
    </w:p>
    <w:p w14:paraId="4BADF374"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 с водяным охлаждением — 40</w:t>
      </w:r>
      <w:r w:rsidRPr="005E779E">
        <w:rPr>
          <w:rFonts w:ascii="Times New Roman" w:hAnsi="Times New Roman"/>
          <w:color w:val="000000" w:themeColor="text1"/>
          <w:sz w:val="16"/>
          <w:szCs w:val="16"/>
        </w:rPr>
        <w:noBreakHyphen/>
        <w:t>45 л. с.</w:t>
      </w:r>
    </w:p>
    <w:p w14:paraId="6B618C58"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Базой производства утвердить автозавод № 2 для 4 тыс. танкеток в военное время. Освоение производства в 1931 г. провести путем выполнения заказа в 400 танкеток.</w:t>
      </w:r>
    </w:p>
    <w:p w14:paraId="1851F8B1"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B. Учитывая, что тип танкетки Т</w:t>
      </w:r>
      <w:r w:rsidRPr="005E779E">
        <w:rPr>
          <w:rFonts w:ascii="Times New Roman" w:hAnsi="Times New Roman"/>
          <w:color w:val="000000" w:themeColor="text1"/>
          <w:sz w:val="16"/>
          <w:szCs w:val="16"/>
        </w:rPr>
        <w:noBreakHyphen/>
        <w:t>27 имеет в основе использование автомобиля “Форд” плюс броня и гусеница с катками, поручить ВСНХ проработать вопрос о создании второй базы для танкетки при Нижегородском автозаводе, с учетом использования для танкеток 20</w:t>
      </w:r>
      <w:r w:rsidRPr="005E779E">
        <w:rPr>
          <w:rFonts w:ascii="Times New Roman" w:hAnsi="Times New Roman"/>
          <w:color w:val="000000" w:themeColor="text1"/>
          <w:sz w:val="16"/>
          <w:szCs w:val="16"/>
        </w:rPr>
        <w:noBreakHyphen/>
        <w:t>25% производственной мощности завода.</w:t>
      </w:r>
    </w:p>
    <w:p w14:paraId="1BBE675C"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ВСНХ и НКВМ через два месяца доложить, на какое количество танкеток Нижегородский автозавод может быть подготовлен к весне 1932 г.</w:t>
      </w:r>
    </w:p>
    <w:p w14:paraId="728FEBB7"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Малый танк</w:t>
      </w:r>
    </w:p>
    <w:p w14:paraId="1652CDA2"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утвердить тип Т</w:t>
      </w:r>
      <w:r w:rsidRPr="005E779E">
        <w:rPr>
          <w:rFonts w:ascii="Times New Roman" w:hAnsi="Times New Roman"/>
          <w:color w:val="000000" w:themeColor="text1"/>
          <w:sz w:val="16"/>
          <w:szCs w:val="16"/>
        </w:rPr>
        <w:noBreakHyphen/>
        <w:t>26 (“Виккерс”) со следующими данными:</w:t>
      </w:r>
    </w:p>
    <w:p w14:paraId="01A786F6"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скорость по дороге — 35 км/ч,</w:t>
      </w:r>
    </w:p>
    <w:p w14:paraId="12F14D4F"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скорость по местности — 20</w:t>
      </w:r>
      <w:r w:rsidRPr="005E779E">
        <w:rPr>
          <w:rFonts w:ascii="Times New Roman" w:hAnsi="Times New Roman"/>
          <w:color w:val="000000" w:themeColor="text1"/>
          <w:sz w:val="16"/>
          <w:szCs w:val="16"/>
        </w:rPr>
        <w:noBreakHyphen/>
        <w:t>25 км/ч,</w:t>
      </w:r>
    </w:p>
    <w:p w14:paraId="4E2F7D2E"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 7,5 т,</w:t>
      </w:r>
    </w:p>
    <w:p w14:paraId="0EE23CDF"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броня — 13</w:t>
      </w:r>
      <w:r w:rsidRPr="005E779E">
        <w:rPr>
          <w:rFonts w:ascii="Times New Roman" w:hAnsi="Times New Roman"/>
          <w:color w:val="000000" w:themeColor="text1"/>
          <w:sz w:val="16"/>
          <w:szCs w:val="16"/>
        </w:rPr>
        <w:noBreakHyphen/>
        <w:t>8 мм,</w:t>
      </w:r>
    </w:p>
    <w:p w14:paraId="1845E911"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 — 1 пушка калибра 37 мм и 1 пулемет или 2 пулемета,</w:t>
      </w:r>
    </w:p>
    <w:p w14:paraId="4D0AF18A"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 Армстронг Сидлей воздушного охлаждения — 84</w:t>
      </w:r>
      <w:r w:rsidRPr="005E779E">
        <w:rPr>
          <w:rFonts w:ascii="Times New Roman" w:hAnsi="Times New Roman"/>
          <w:color w:val="000000" w:themeColor="text1"/>
          <w:sz w:val="16"/>
          <w:szCs w:val="16"/>
        </w:rPr>
        <w:noBreakHyphen/>
        <w:t>93 л. с.</w:t>
      </w:r>
    </w:p>
    <w:p w14:paraId="37E11619"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Для освоения производства в 1931 г. изготовить на заводе “Большевик” 300 танков этого типа.</w:t>
      </w:r>
    </w:p>
    <w:p w14:paraId="51198430"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Вести усиленную подготовку к организации производства на заводах “Большевик” и Сталинградском тракторном собственными инженерно-техническими силами.</w:t>
      </w:r>
    </w:p>
    <w:p w14:paraId="5AF10DBD"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Базы производства на военное время — завод “Большевик” с подачей 1.500 танков в год и Сталинградский тракторный завод с подачей 12.000 танков вместе с запасными частями. Производственная база по Сталинградскому тракторному заводу должна быть подготовлена к 1 апреля 1932 г. Опытный цех на том же заводе должен быть готов к весне 1932 г. с производственной программой 100 танков в одну смену в год. Для освоения производства первая партия танков на опытном цехе должна быть изготовлена к весне 1932 г.</w:t>
      </w:r>
    </w:p>
    <w:p w14:paraId="6CA8DF81"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Средний танк</w:t>
      </w:r>
    </w:p>
    <w:p w14:paraId="25933B85"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A. Признать основным типом мощный средний танк ТГ со следующими данными (ориентировочно):</w:t>
      </w:r>
    </w:p>
    <w:p w14:paraId="1C5F2746"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скорость максимальная — 40 км/ч,</w:t>
      </w:r>
    </w:p>
    <w:p w14:paraId="097266A0"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скорость средняя — 25 км/ч,</w:t>
      </w:r>
    </w:p>
    <w:p w14:paraId="04D7B277"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 около 20 т,</w:t>
      </w:r>
    </w:p>
    <w:p w14:paraId="61E62465"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броня — 30/20/15 мм,</w:t>
      </w:r>
    </w:p>
    <w:p w14:paraId="550F1420"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 1 — 76</w:t>
      </w:r>
      <w:r w:rsidRPr="005E779E">
        <w:rPr>
          <w:rFonts w:ascii="Times New Roman" w:hAnsi="Times New Roman"/>
          <w:color w:val="000000" w:themeColor="text1"/>
          <w:sz w:val="16"/>
          <w:szCs w:val="16"/>
        </w:rPr>
        <w:noBreakHyphen/>
        <w:t>мм пушка, 1 — 37</w:t>
      </w:r>
      <w:r w:rsidRPr="005E779E">
        <w:rPr>
          <w:rFonts w:ascii="Times New Roman" w:hAnsi="Times New Roman"/>
          <w:color w:val="000000" w:themeColor="text1"/>
          <w:sz w:val="16"/>
          <w:szCs w:val="16"/>
        </w:rPr>
        <w:noBreakHyphen/>
        <w:t>мм пушка, 4</w:t>
      </w:r>
      <w:r w:rsidRPr="005E779E">
        <w:rPr>
          <w:rFonts w:ascii="Times New Roman" w:hAnsi="Times New Roman"/>
          <w:color w:val="000000" w:themeColor="text1"/>
          <w:sz w:val="16"/>
          <w:szCs w:val="16"/>
        </w:rPr>
        <w:noBreakHyphen/>
        <w:t>5 пулеметов,</w:t>
      </w:r>
    </w:p>
    <w:p w14:paraId="3E83FCDF"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 воздушного охлаждения — 240 л. с.</w:t>
      </w:r>
    </w:p>
    <w:p w14:paraId="6888CA68"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Б. Предложить ОГПУ и НКВМ форсировать работу по изготовлению и испытанию танка ТГ, считая эту работу важнейшей задачей в области изготовления опытных образцов танков на 1931 г.</w:t>
      </w:r>
    </w:p>
    <w:p w14:paraId="62C9D7FD"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B. Для освоения производства изготовить в 1931 г. первую серию в количестве 50</w:t>
      </w:r>
      <w:r w:rsidRPr="005E779E">
        <w:rPr>
          <w:rFonts w:ascii="Times New Roman" w:hAnsi="Times New Roman"/>
          <w:color w:val="000000" w:themeColor="text1"/>
          <w:sz w:val="16"/>
          <w:szCs w:val="16"/>
        </w:rPr>
        <w:noBreakHyphen/>
        <w:t>75 танков.</w:t>
      </w:r>
    </w:p>
    <w:p w14:paraId="746FE770"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В связи с боевым значением танка Т</w:t>
      </w:r>
      <w:r w:rsidRPr="005E779E">
        <w:rPr>
          <w:rFonts w:ascii="Times New Roman" w:hAnsi="Times New Roman"/>
          <w:color w:val="000000" w:themeColor="text1"/>
          <w:sz w:val="16"/>
          <w:szCs w:val="16"/>
        </w:rPr>
        <w:noBreakHyphen/>
        <w:t>Г ВСНХ подготовить производственные возможности к весне 1932 г. на 2.000 танков этого типа.</w:t>
      </w:r>
    </w:p>
    <w:p w14:paraId="040EAE6D"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 Производственной базой утвердить Харьковский паровозостроительный завод с кооперированием по корпусу, мотору и стальному фасонному литью со Сталинградским и моторным заводами.</w:t>
      </w:r>
    </w:p>
    <w:p w14:paraId="42462D17"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Предложить ВСНХ проработать в двухмесячный срок вопрос о создании для танка Т</w:t>
      </w:r>
      <w:r w:rsidRPr="005E779E">
        <w:rPr>
          <w:rFonts w:ascii="Times New Roman" w:hAnsi="Times New Roman"/>
          <w:color w:val="000000" w:themeColor="text1"/>
          <w:sz w:val="16"/>
          <w:szCs w:val="16"/>
        </w:rPr>
        <w:noBreakHyphen/>
        <w:t>Г, кроме Харькова, вторую базу на Урале.</w:t>
      </w:r>
    </w:p>
    <w:p w14:paraId="193CAC9D"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 Танк Т</w:t>
      </w:r>
      <w:r w:rsidRPr="005E779E">
        <w:rPr>
          <w:rFonts w:ascii="Times New Roman" w:hAnsi="Times New Roman"/>
          <w:color w:val="000000" w:themeColor="text1"/>
          <w:sz w:val="16"/>
          <w:szCs w:val="16"/>
        </w:rPr>
        <w:noBreakHyphen/>
        <w:t>24 после изготовления пущенной в задел партии (80 шт.) с производства снять и вести усиленную подготовку по установке на ХПЗ производства танка Т</w:t>
      </w:r>
      <w:r w:rsidRPr="005E779E">
        <w:rPr>
          <w:rFonts w:ascii="Times New Roman" w:hAnsi="Times New Roman"/>
          <w:color w:val="000000" w:themeColor="text1"/>
          <w:sz w:val="16"/>
          <w:szCs w:val="16"/>
        </w:rPr>
        <w:noBreakHyphen/>
        <w:t>Г.</w:t>
      </w:r>
    </w:p>
    <w:p w14:paraId="47B6D408"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В связи с организацией на Урале второй базы по производству танка Т</w:t>
      </w:r>
      <w:r w:rsidRPr="005E779E">
        <w:rPr>
          <w:rFonts w:ascii="Times New Roman" w:hAnsi="Times New Roman"/>
          <w:color w:val="000000" w:themeColor="text1"/>
          <w:sz w:val="16"/>
          <w:szCs w:val="16"/>
        </w:rPr>
        <w:noBreakHyphen/>
        <w:t>Г прекратить производство малого танка на ММЗ после использования задела.</w:t>
      </w:r>
    </w:p>
    <w:p w14:paraId="4BF11E4F"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Учитывая удовлетворительные результаты по ассимиляции танкетки Т</w:t>
      </w:r>
      <w:r w:rsidRPr="005E779E">
        <w:rPr>
          <w:rFonts w:ascii="Times New Roman" w:hAnsi="Times New Roman"/>
          <w:color w:val="000000" w:themeColor="text1"/>
          <w:sz w:val="16"/>
          <w:szCs w:val="16"/>
        </w:rPr>
        <w:noBreakHyphen/>
        <w:t>27 с Фордом АА и предварительные итоги использования под бронирование и вооружение тракторов “Коммунар” и “Катерпиллер” и создание таким образом типа танка сопровождения пехоты, считать необходимым на автотракторной базе создать в военное время второй эшелон танков сопровождения пехоты, для чего НКВМ и ВСНХ форсировать изготовление и испытание соответствующих образцов и в шестимесячный срок доложить о типах, количестве и месте производства их на 1932 и 1933 гг.</w:t>
      </w:r>
    </w:p>
    <w:p w14:paraId="7C2489A6"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По моторам. Производственную программу танкостроения обеспечить моторами:</w:t>
      </w:r>
    </w:p>
    <w:p w14:paraId="20C1940D"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для танкетки Т</w:t>
      </w:r>
      <w:r w:rsidRPr="005E779E">
        <w:rPr>
          <w:rFonts w:ascii="Times New Roman" w:hAnsi="Times New Roman"/>
          <w:color w:val="000000" w:themeColor="text1"/>
          <w:sz w:val="16"/>
          <w:szCs w:val="16"/>
        </w:rPr>
        <w:noBreakHyphen/>
        <w:t>27 — мотор Форд АА Нижегородского автомобильного завода;</w:t>
      </w:r>
    </w:p>
    <w:p w14:paraId="3D597C2F"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для малого танка Т</w:t>
      </w:r>
      <w:r w:rsidRPr="005E779E">
        <w:rPr>
          <w:rFonts w:ascii="Times New Roman" w:hAnsi="Times New Roman"/>
          <w:color w:val="000000" w:themeColor="text1"/>
          <w:sz w:val="16"/>
          <w:szCs w:val="16"/>
        </w:rPr>
        <w:noBreakHyphen/>
        <w:t>26 — мотор Армстронг Сидлей производства заводов “Большевик” и Сталинградского тракторного в количестве, соответствующем программе танкостроения на каждом заводе;</w:t>
      </w:r>
    </w:p>
    <w:p w14:paraId="2CFDD92A"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для среднего танка предложить НКВМ максимально ускорить испытания и дать окончательный тип через 1</w:t>
      </w:r>
      <w:r w:rsidRPr="005E779E">
        <w:rPr>
          <w:rFonts w:ascii="Times New Roman" w:hAnsi="Times New Roman"/>
          <w:color w:val="000000" w:themeColor="text1"/>
          <w:sz w:val="16"/>
          <w:szCs w:val="16"/>
        </w:rPr>
        <w:noBreakHyphen/>
        <w:t>2 месяца. Ввиду отсутствия производственной базы для мощных моторов среднего танка и необходимости создания моторной базы для хозяйства страны предложить ВСНХ форсировать постройку моторного завода с тем, чтобы его первая очередь обеспечила к весне 1932 г. подачу моторов в количестве, соответствующем программе по средним танкам. Проектировку завода начать ориентировочно под моторы типа М</w:t>
      </w:r>
      <w:r w:rsidRPr="005E779E">
        <w:rPr>
          <w:rFonts w:ascii="Times New Roman" w:hAnsi="Times New Roman"/>
          <w:color w:val="000000" w:themeColor="text1"/>
          <w:sz w:val="16"/>
          <w:szCs w:val="16"/>
        </w:rPr>
        <w:noBreakHyphen/>
        <w:t>6 и Гротэ;</w:t>
      </w:r>
    </w:p>
    <w:p w14:paraId="2180DBAE"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предложить ВСНХ, НКВМ и ОГПУ в течение 1931 г. создать образцы мощных дизельных моторов в 240</w:t>
      </w:r>
      <w:r w:rsidRPr="005E779E">
        <w:rPr>
          <w:rFonts w:ascii="Times New Roman" w:hAnsi="Times New Roman"/>
          <w:color w:val="000000" w:themeColor="text1"/>
          <w:sz w:val="16"/>
          <w:szCs w:val="16"/>
        </w:rPr>
        <w:noBreakHyphen/>
        <w:t>300 л. с.</w:t>
      </w:r>
    </w:p>
    <w:p w14:paraId="67785742"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По броне:</w:t>
      </w:r>
    </w:p>
    <w:p w14:paraId="0EB86FE6"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отметить, что потребность брони по утвержденной ПБ программе танкостроения выражается в 50 тыс. т обработанной брони, наличная же база — заводы Ижорский и «Большевик» — обеспечивает подачу к весне 1932 г. 6 тыс. т;</w:t>
      </w:r>
    </w:p>
    <w:p w14:paraId="54A973C4"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предложить ВСНХ организовать в течение 1931 г. в Сталинграде новую броневую базу на подачу с весны 1932 г. 45 тыс. т обработанной брони;</w:t>
      </w:r>
    </w:p>
    <w:p w14:paraId="03CAFC4D"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учитывая необходимость увеличения программы по мощному среднему танку и танкеткам, а также формирования на автотракторной базе 2</w:t>
      </w:r>
      <w:r w:rsidRPr="005E779E">
        <w:rPr>
          <w:rFonts w:ascii="Times New Roman" w:hAnsi="Times New Roman"/>
          <w:color w:val="000000" w:themeColor="text1"/>
          <w:sz w:val="16"/>
          <w:szCs w:val="16"/>
        </w:rPr>
        <w:noBreakHyphen/>
        <w:t>го эшелона танков сопровождения пехоты, предложить ВСНХ внести в двухмесячный срок конкретные предложения по увеличению программы подачи брони;</w:t>
      </w:r>
    </w:p>
    <w:p w14:paraId="1D3DBE23"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отметить, что нынешние качества брони внутреннего производства в сравнении с броней Виккерса неудовлетворительны, несмотря на то, что количество цветных металлов (никель) и ферросплавов в нашей броне в 2 раза больше, чем в броне Виккерса.</w:t>
      </w:r>
    </w:p>
    <w:p w14:paraId="64B405FA"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Предложить НКВМ и ВСНХ в двухмесячный срок закончить ведущиеся опыты по поднятию качества брони минимум до уровня брони Виккерса и снижению импортных ферросплавов в броне.</w:t>
      </w:r>
    </w:p>
    <w:p w14:paraId="695629AD"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О мелком стальном фасонном литье. Отметить, что для выполнения утвержденной программы танкостроения требуется 55 тыс. т мелкого стального фасонного литья при наличии базы на заводе «Большевик» около 4 тыс. т.</w:t>
      </w:r>
    </w:p>
    <w:p w14:paraId="2989B43B"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Предложить ВСНХ СССР построить в течение 1931 г. базу для недостающего количества литья при Сталинградском тракторном заводе.</w:t>
      </w:r>
    </w:p>
    <w:p w14:paraId="22D401DE" w14:textId="77777777" w:rsidR="00C90094" w:rsidRPr="005E779E" w:rsidRDefault="00C9009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(18108).</w:t>
      </w:r>
    </w:p>
    <w:p w14:paraId="3A587199" w14:textId="77777777" w:rsidR="00C90094" w:rsidRPr="005E779E" w:rsidRDefault="00C90094" w:rsidP="000B7A6C">
      <w:pPr>
        <w:spacing w:after="0" w:line="240" w:lineRule="auto"/>
        <w:jc w:val="both"/>
        <w:rPr>
          <w:rFonts w:ascii="Times New Roman" w:hAnsi="Times New Roman"/>
          <w:color w:val="000000" w:themeColor="text1"/>
          <w:sz w:val="16"/>
          <w:szCs w:val="16"/>
        </w:rPr>
      </w:pPr>
    </w:p>
    <w:p w14:paraId="6E0ACD27" w14:textId="77777777" w:rsidR="00FF3124"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2F6D3174" w14:textId="77777777" w:rsidR="00FF3124" w:rsidRPr="005E779E" w:rsidRDefault="00FF3124"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B0EF25B" w14:textId="77777777" w:rsidR="00FF3124" w:rsidRPr="005E779E" w:rsidRDefault="00FF3124" w:rsidP="000B7A6C">
      <w:pPr>
        <w:pStyle w:val="rtejustify"/>
        <w:spacing w:before="0" w:after="0"/>
        <w:rPr>
          <w:color w:val="000000" w:themeColor="text1"/>
          <w:sz w:val="16"/>
          <w:szCs w:val="16"/>
        </w:rPr>
      </w:pPr>
      <w:r w:rsidRPr="005E779E">
        <w:rPr>
          <w:rStyle w:val="af0"/>
          <w:i w:val="0"/>
          <w:color w:val="000000" w:themeColor="text1"/>
          <w:sz w:val="16"/>
          <w:szCs w:val="16"/>
        </w:rPr>
        <w:t>28 февраля 1931 г. Протокол Реввоенсовета № 11.</w:t>
      </w:r>
      <w:r w:rsidRPr="005E779E">
        <w:rPr>
          <w:color w:val="000000" w:themeColor="text1"/>
          <w:sz w:val="16"/>
          <w:szCs w:val="16"/>
        </w:rPr>
        <w:t xml:space="preserve"> 1. О пулеметном вооружении ВВС и опытном строительстве этого вооружения. (Симонов). 2. О ходе работ по взрывчатым веществам (Козиницкий). (РГВА. Ф. 4. Оп. 18. Д. 20. Л. 119</w:t>
      </w:r>
      <w:r w:rsidRPr="005E779E">
        <w:rPr>
          <w:color w:val="000000" w:themeColor="text1"/>
          <w:sz w:val="16"/>
          <w:szCs w:val="16"/>
        </w:rPr>
        <w:noBreakHyphen/>
        <w:t>121) (12342).</w:t>
      </w:r>
    </w:p>
    <w:p w14:paraId="57743DE9" w14:textId="77777777" w:rsidR="00FF3124" w:rsidRPr="005E779E" w:rsidRDefault="00FF3124" w:rsidP="000B7A6C">
      <w:pPr>
        <w:pStyle w:val="rtejustify"/>
        <w:spacing w:before="0" w:after="0"/>
        <w:rPr>
          <w:color w:val="000000" w:themeColor="text1"/>
          <w:sz w:val="16"/>
          <w:szCs w:val="16"/>
        </w:rPr>
      </w:pPr>
    </w:p>
    <w:p w14:paraId="2177FDF8"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1356E345"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7598F2F" w14:textId="77777777" w:rsidR="00AC715D" w:rsidRPr="005E779E" w:rsidRDefault="00AC715D" w:rsidP="000B7A6C">
      <w:pPr>
        <w:pStyle w:val="a3"/>
        <w:rPr>
          <w:color w:val="000000" w:themeColor="text1"/>
          <w:lang w:val="ru-RU"/>
        </w:rPr>
      </w:pPr>
      <w:r w:rsidRPr="005E779E">
        <w:rPr>
          <w:color w:val="000000" w:themeColor="text1"/>
          <w:lang w:val="ru-RU"/>
        </w:rPr>
        <w:t>28 февраля 1931 г., после</w:t>
      </w:r>
      <w:r w:rsidRPr="005E779E">
        <w:rPr>
          <w:rStyle w:val="391"/>
          <w:rFonts w:ascii="Times New Roman" w:hAnsi="Times New Roman" w:cs="Times New Roman"/>
          <w:b w:val="0"/>
          <w:color w:val="000000" w:themeColor="text1"/>
          <w:sz w:val="16"/>
          <w:szCs w:val="16"/>
          <w:lang w:val="ru-RU"/>
        </w:rPr>
        <w:t xml:space="preserve"> устранений выявленных дефектов </w:t>
      </w:r>
      <w:r w:rsidRPr="005E779E">
        <w:rPr>
          <w:color w:val="000000" w:themeColor="text1"/>
          <w:lang w:val="ru-RU"/>
        </w:rPr>
        <w:t>стоялось испытание танка №2 на</w:t>
      </w:r>
      <w:r w:rsidRPr="005E779E">
        <w:rPr>
          <w:rStyle w:val="391"/>
          <w:rFonts w:ascii="Times New Roman" w:hAnsi="Times New Roman" w:cs="Times New Roman"/>
          <w:b w:val="0"/>
          <w:color w:val="000000" w:themeColor="text1"/>
          <w:sz w:val="16"/>
          <w:szCs w:val="16"/>
          <w:lang w:val="ru-RU"/>
        </w:rPr>
        <w:t xml:space="preserve"> «слаженность работы </w:t>
      </w:r>
      <w:r w:rsidRPr="005E779E">
        <w:rPr>
          <w:rStyle w:val="260"/>
          <w:rFonts w:ascii="Times New Roman" w:hAnsi="Times New Roman" w:cs="Times New Roman"/>
          <w:i w:val="0"/>
          <w:color w:val="000000" w:themeColor="text1"/>
          <w:sz w:val="16"/>
          <w:szCs w:val="16"/>
          <w:lang w:val="ru-RU"/>
        </w:rPr>
        <w:t>двигателя»</w:t>
      </w:r>
      <w:r w:rsidRPr="005E779E">
        <w:rPr>
          <w:color w:val="000000" w:themeColor="text1"/>
          <w:lang w:val="ru-RU"/>
        </w:rPr>
        <w:t xml:space="preserve"> в течение длительного</w:t>
      </w:r>
      <w:r w:rsidRPr="005E779E">
        <w:rPr>
          <w:rStyle w:val="391"/>
          <w:rFonts w:ascii="Times New Roman" w:hAnsi="Times New Roman" w:cs="Times New Roman"/>
          <w:b w:val="0"/>
          <w:color w:val="000000" w:themeColor="text1"/>
          <w:sz w:val="16"/>
          <w:szCs w:val="16"/>
          <w:lang w:val="ru-RU"/>
        </w:rPr>
        <w:t xml:space="preserve"> пробега по шоссе и про</w:t>
      </w:r>
      <w:r w:rsidRPr="005E779E">
        <w:rPr>
          <w:color w:val="000000" w:themeColor="text1"/>
          <w:lang w:val="ru-RU"/>
        </w:rPr>
        <w:t>селочной дороге (глубина</w:t>
      </w:r>
      <w:r w:rsidRPr="005E779E">
        <w:rPr>
          <w:rStyle w:val="391"/>
          <w:rFonts w:ascii="Times New Roman" w:hAnsi="Times New Roman" w:cs="Times New Roman"/>
          <w:b w:val="0"/>
          <w:color w:val="000000" w:themeColor="text1"/>
          <w:sz w:val="16"/>
          <w:szCs w:val="16"/>
          <w:lang w:val="ru-RU"/>
        </w:rPr>
        <w:t xml:space="preserve"> снега –</w:t>
      </w:r>
      <w:r w:rsidRPr="005E779E">
        <w:rPr>
          <w:rStyle w:val="912"/>
          <w:rFonts w:ascii="Times New Roman" w:hAnsi="Times New Roman" w:cs="Times New Roman"/>
          <w:b w:val="0"/>
          <w:color w:val="000000" w:themeColor="text1"/>
          <w:spacing w:val="0"/>
          <w:sz w:val="16"/>
          <w:szCs w:val="16"/>
          <w:lang w:val="ru-RU"/>
        </w:rPr>
        <w:t xml:space="preserve"> до 50 см.) Пробег протяженностью </w:t>
      </w:r>
      <w:r w:rsidRPr="005E779E">
        <w:rPr>
          <w:color w:val="000000" w:themeColor="text1"/>
          <w:lang w:val="ru-RU"/>
        </w:rPr>
        <w:t>104 км, занявший чуть больше 6</w:t>
      </w:r>
      <w:r w:rsidRPr="005E779E">
        <w:rPr>
          <w:rStyle w:val="391"/>
          <w:rFonts w:ascii="Times New Roman" w:hAnsi="Times New Roman" w:cs="Times New Roman"/>
          <w:b w:val="0"/>
          <w:color w:val="000000" w:themeColor="text1"/>
          <w:sz w:val="16"/>
          <w:szCs w:val="16"/>
          <w:lang w:val="ru-RU"/>
        </w:rPr>
        <w:t xml:space="preserve"> ч, проходил в условиях сильного ветра, </w:t>
      </w:r>
      <w:r w:rsidRPr="005E779E">
        <w:rPr>
          <w:color w:val="000000" w:themeColor="text1"/>
          <w:lang w:val="ru-RU"/>
        </w:rPr>
        <w:t>короткие остановки</w:t>
      </w:r>
      <w:r w:rsidRPr="005E779E">
        <w:rPr>
          <w:rStyle w:val="391"/>
          <w:rFonts w:ascii="Times New Roman" w:hAnsi="Times New Roman" w:cs="Times New Roman"/>
          <w:b w:val="0"/>
          <w:color w:val="000000" w:themeColor="text1"/>
          <w:sz w:val="16"/>
          <w:szCs w:val="16"/>
          <w:lang w:val="ru-RU"/>
        </w:rPr>
        <w:t xml:space="preserve"> совершались для осмотра машины и отдыха испытателей</w:t>
      </w:r>
      <w:r w:rsidRPr="005E779E">
        <w:rPr>
          <w:color w:val="000000" w:themeColor="text1"/>
          <w:lang w:val="ru-RU"/>
        </w:rPr>
        <w:t>. Шпоры не</w:t>
      </w:r>
      <w:r w:rsidRPr="005E779E">
        <w:rPr>
          <w:rStyle w:val="391"/>
          <w:rFonts w:ascii="Times New Roman" w:hAnsi="Times New Roman" w:cs="Times New Roman"/>
          <w:b w:val="0"/>
          <w:color w:val="000000" w:themeColor="text1"/>
          <w:sz w:val="16"/>
          <w:szCs w:val="16"/>
          <w:lang w:val="ru-RU"/>
        </w:rPr>
        <w:t xml:space="preserve"> надевались.</w:t>
      </w:r>
      <w:r w:rsidRPr="005E779E">
        <w:rPr>
          <w:rStyle w:val="912"/>
          <w:rFonts w:ascii="Times New Roman" w:hAnsi="Times New Roman" w:cs="Times New Roman"/>
          <w:b w:val="0"/>
          <w:color w:val="000000" w:themeColor="text1"/>
          <w:spacing w:val="0"/>
          <w:sz w:val="16"/>
          <w:szCs w:val="16"/>
          <w:lang w:val="ru-RU"/>
        </w:rPr>
        <w:t xml:space="preserve"> По шоссе танк прошел 80 км., показав </w:t>
      </w:r>
      <w:r w:rsidRPr="005E779E">
        <w:rPr>
          <w:color w:val="000000" w:themeColor="text1"/>
          <w:lang w:val="ru-RU"/>
        </w:rPr>
        <w:t>среднюю скорость 18,9 км/ч, а по проселочной дороге - 24 км со сред</w:t>
      </w:r>
      <w:r w:rsidRPr="005E779E">
        <w:rPr>
          <w:color w:val="000000" w:themeColor="text1"/>
          <w:lang w:val="ru-RU"/>
        </w:rPr>
        <w:softHyphen/>
        <w:t>ней скоростью 17,8 км/ч.</w:t>
      </w:r>
    </w:p>
    <w:p w14:paraId="11D6ABA2" w14:textId="77777777" w:rsidR="00AC715D" w:rsidRPr="005E779E" w:rsidRDefault="00AC715D" w:rsidP="000B7A6C">
      <w:pPr>
        <w:pStyle w:val="a3"/>
        <w:rPr>
          <w:color w:val="000000" w:themeColor="text1"/>
          <w:lang w:val="ru-RU"/>
        </w:rPr>
      </w:pPr>
      <w:r w:rsidRPr="005E779E">
        <w:rPr>
          <w:color w:val="000000" w:themeColor="text1"/>
          <w:lang w:val="ru-RU"/>
        </w:rPr>
        <w:t>Работа элементов трансмиссии и двигателя не вызвала нареканий. Управляемость и маневренность танка на всех скоростях испытатели признали хорошими. Однако недостаточное сцепление гусениц при дви</w:t>
      </w:r>
      <w:r w:rsidRPr="005E779E">
        <w:rPr>
          <w:color w:val="000000" w:themeColor="text1"/>
          <w:lang w:val="ru-RU"/>
        </w:rPr>
        <w:softHyphen/>
        <w:t>жении танка по обледенелым участкам дороги приводило к заносам, по</w:t>
      </w:r>
      <w:r w:rsidRPr="005E779E">
        <w:rPr>
          <w:color w:val="000000" w:themeColor="text1"/>
          <w:lang w:val="ru-RU"/>
        </w:rPr>
        <w:softHyphen/>
        <w:t>этому приходилось снижать скорость (15745).</w:t>
      </w:r>
    </w:p>
    <w:p w14:paraId="73832A1C" w14:textId="77777777" w:rsidR="00AC715D" w:rsidRPr="005E779E" w:rsidRDefault="00AC715D" w:rsidP="000B7A6C">
      <w:pPr>
        <w:pStyle w:val="a3"/>
        <w:rPr>
          <w:color w:val="000000" w:themeColor="text1"/>
          <w:lang w:val="ru-RU"/>
        </w:rPr>
      </w:pPr>
    </w:p>
    <w:p w14:paraId="46DF9D76" w14:textId="77777777" w:rsidR="00A145D0" w:rsidRPr="00142305" w:rsidRDefault="00A145D0" w:rsidP="00A145D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28 февраля 1931 г., после устранения выявленных дефектов, состоялось испытание танка Виккерс № 2 на «слаженность работы механизмов двигателя» в течение длительного пробега по шоссе и по разбитой просёлочной дороге (глубина снега – до 50 см). Пробег протяженностью 104 км, занявший чуть больше 6 часов, проходил в условиях сильного ветра. Короткие остановки совершались для осмотра машины и отдыха испытателей. Шпоры не надевались. По шоссе танк прошёл 80 км, показав среднюю скорость 18,9 км/ч, а по проселочной дороге – 24 км со средней скоростью 17,8 км/ч.</w:t>
      </w:r>
    </w:p>
    <w:p w14:paraId="0BA8935C" w14:textId="77777777" w:rsidR="00A145D0" w:rsidRPr="00142305" w:rsidRDefault="00A145D0" w:rsidP="00A145D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Работа элементов трансмиссии и двигателя не вызвала нареканий. Управляемость и манёвренность танка на всех скоростях испытатели признали хорошими. Однако недостаточное сцепление гусениц при движении танка по обледенелым участкам дороги приводило к заносам, поэтому приходилось снижать скорость.</w:t>
      </w:r>
    </w:p>
    <w:p w14:paraId="5D29DB94" w14:textId="77777777" w:rsidR="00A145D0" w:rsidRPr="00142305" w:rsidRDefault="00A145D0" w:rsidP="00A145D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мнению советских специалистов, испытания 12-тонных танков «Виккерс Медиум» показали их хорошую манёвренность, управляемость и достаточно высокую проходимость в зимних условиях. Машина могла совершать большие суточные пробеги и обладала достаточно надежной конструкцией, с отработанными механизмами трансмиссии и двигателя. К сожалению, наличие глубокого снежного покрова не позволило полностью выполнить запланированную программу по преодолению препятствий. Для получения полных характеристик танка предлагалось продолжить испытания в летний период, а пока использовать данные фирмы «Виккерс-Армстронг» при приемке танков в Англии».</w:t>
      </w:r>
    </w:p>
    <w:p w14:paraId="29D9AE95" w14:textId="77777777" w:rsidR="00A145D0" w:rsidRPr="00142305" w:rsidRDefault="00A145D0" w:rsidP="00A145D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этом испытания первых 12-тонных танков в СССР были завершены, а майор Одди вернулся в Англию. В своем финальном отчёте он констатировал:</w:t>
      </w:r>
    </w:p>
    <w:p w14:paraId="1F0B6099" w14:textId="77777777" w:rsidR="00A145D0" w:rsidRPr="00142305" w:rsidRDefault="00A145D0" w:rsidP="00A145D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«Русская комиссия соглашается, что испытания вышеуказанной машины были весьма удовлетворительны и что машина дала чрезвычайно хорошую демонстрацию во все время испытаний в здешних суровых условиях.</w:t>
      </w:r>
    </w:p>
    <w:p w14:paraId="12859897" w14:textId="77777777" w:rsidR="00A145D0" w:rsidRPr="00142305" w:rsidRDefault="00A145D0" w:rsidP="00A145D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…Русская комиссия заявляет, что теперь она очень довольна и целиком удовлетворена всем относящимся к 12-тонному танку».</w:t>
      </w:r>
    </w:p>
    <w:p w14:paraId="2A3B8584" w14:textId="77777777" w:rsidR="00A145D0" w:rsidRPr="00142305" w:rsidRDefault="00A145D0" w:rsidP="00A145D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Общий вывод советских специалистов гласил:</w:t>
      </w:r>
    </w:p>
    <w:p w14:paraId="487DD652" w14:textId="77777777" w:rsidR="00A145D0" w:rsidRPr="00142305" w:rsidRDefault="00A145D0" w:rsidP="00A145D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«Все боевые и конструктивные данные танка определяются специфичностью цели, для которой он создан (Колониальный танк). Данный танк имеет хорошо работающий мотор, трансмиссию и движитель. При моторе небольшой мощности (82 HP) на свой вес (13 тонн) танк даёт высокие скорости и обладает хорошей проходимостью (в зимних условиях), надежностью действий и прочностью.</w:t>
      </w:r>
    </w:p>
    <w:p w14:paraId="1E93D890" w14:textId="77777777" w:rsidR="00A145D0" w:rsidRPr="00142305" w:rsidRDefault="00A145D0" w:rsidP="00A145D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Танк является хорошо выполненной машиной, требует дальнейшего изучения при испытаниях в летних и осенних условиях».</w:t>
      </w:r>
    </w:p>
    <w:p w14:paraId="28E7DECF" w14:textId="77777777" w:rsidR="00A145D0" w:rsidRPr="00142305" w:rsidRDefault="00A145D0" w:rsidP="00A145D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Несмотря на столь обнадеживающие выводы, 12-тонные танки «виккерс» использовались у нас в основном в учебных целях. Остался нерешенным окончательно вопрос об оснащении этих машин отечественным вооружением» (25184).</w:t>
      </w:r>
    </w:p>
    <w:p w14:paraId="625B8483" w14:textId="77777777" w:rsidR="00A145D0" w:rsidRPr="00142305" w:rsidRDefault="00A145D0" w:rsidP="00A145D0">
      <w:pPr>
        <w:spacing w:after="0" w:line="240" w:lineRule="auto"/>
        <w:jc w:val="both"/>
        <w:rPr>
          <w:rFonts w:ascii="Times New Roman" w:hAnsi="Times New Roman"/>
          <w:color w:val="0070C0"/>
          <w:sz w:val="16"/>
          <w:szCs w:val="16"/>
        </w:rPr>
      </w:pPr>
    </w:p>
    <w:p w14:paraId="09F360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28 февраля 1931 года Совнарком все-таки постановил: наряду с Липецким и Тульским строить и Синарский комбинат... Замышлялось, что новый гигант объединит все металлургические переделы: на входе - железорудное сырье, на выходе - трубы, литье, прокат. Возведением Каменско-Синарского металлурги ческого комбината должна была непосредственно заняться организация Синарстрой, структурно входившая в трест "Востокосталь", под крылом которого сосредоточились все стройки металлургической, железорудной и марганцевой промышленности на востоке СССР. В апреле 1931 года образован штаб стройки, пуск же завода правление треста запланировало в 1933-м (11515). </w:t>
      </w:r>
    </w:p>
    <w:p w14:paraId="58BF1B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68E47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 февраля 1931 г. была спущена на воду Головная лодка "Ленинец" и вступила в строй 22 октября 1933 г. Параллельно с ней строилась и вся серия. На создание пяти лодок было затрачено око</w:t>
      </w:r>
      <w:r w:rsidRPr="005E779E">
        <w:rPr>
          <w:rFonts w:ascii="Times New Roman" w:hAnsi="Times New Roman"/>
          <w:color w:val="000000" w:themeColor="text1"/>
          <w:sz w:val="16"/>
          <w:szCs w:val="16"/>
        </w:rPr>
        <w:softHyphen/>
        <w:t>ло 50 мес., только готовность "Карбонария" задержалась до мая 1935 г. (3898).</w:t>
      </w:r>
    </w:p>
    <w:p w14:paraId="0B560EB7"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F7F4337" w14:textId="77777777" w:rsidR="00AC715D" w:rsidRPr="005E779E" w:rsidRDefault="00AC715D" w:rsidP="000B7A6C">
      <w:pPr>
        <w:pStyle w:val="rtejustify"/>
        <w:spacing w:before="0" w:after="0"/>
        <w:rPr>
          <w:color w:val="000000" w:themeColor="text1"/>
          <w:sz w:val="16"/>
          <w:szCs w:val="16"/>
        </w:rPr>
      </w:pPr>
      <w:r w:rsidRPr="005E779E">
        <w:rPr>
          <w:color w:val="000000" w:themeColor="text1"/>
          <w:sz w:val="16"/>
          <w:szCs w:val="16"/>
        </w:rPr>
        <w:t xml:space="preserve">28 февраля 1931 г. Головная лодка «Ленинец» была спущена на воду и вступила в строй 22 октября 1933 г. Параллельно с ней строилась и вся серия. На создание пяти лодок было затрачено около 50 месяцев. Впервые в отечественном кораблестроении лодки типа «Ленинец» получили стальные торпедные аппараты вместо прежних </w:t>
      </w:r>
      <w:r w:rsidRPr="005E779E">
        <w:rPr>
          <w:color w:val="000000" w:themeColor="text1"/>
          <w:sz w:val="16"/>
          <w:szCs w:val="16"/>
        </w:rPr>
        <w:lastRenderedPageBreak/>
        <w:t>бронзовых. Однако создать предусмотренную заданием систему беспузырной торпедной стрельбы для них не удалось. К недостаткам лодок II серии относились длительное погружение, большая шумность механизмов, скорость погрузки торпед. Наибольшие нарекания моряков вызывали низкие качества элементов аккумуляторных батарей и плохая система вентиляции ям. Опыт этих аварий был учтен и система вентиляции и устройство аккумуляторных ям лодок типа «Ленинец» были усовершенствованы. Усовершенствованный проект «Ленинца» был реализован при постройке шести больших подводных лодок для Дальнего Востока. Эти лодки первоначально были отнесены к II</w:t>
      </w:r>
      <w:r w:rsidRPr="005E779E">
        <w:rPr>
          <w:color w:val="000000" w:themeColor="text1"/>
          <w:sz w:val="16"/>
          <w:szCs w:val="16"/>
        </w:rPr>
        <w:noBreakHyphen/>
        <w:t>бис, а затем к XI серии. «Ворошиловец», «Дзержинец» и «Кировец», заложенные в апреле-июне 1934 г., строились ударными темпами на Балтийском заводе, а собирались и сдавались на Дальзаводе во Владивостоке. Они вступили в строй в конце 1936 г. «Менжинец» строился на заводе им. А. Марти в Николаеве и был закончен на Дальзаводе в декабре 1937 г. Заложенные с ним одновременно (июнь 1934 г.) николаевскими корабелами Л</w:t>
      </w:r>
      <w:r w:rsidRPr="005E779E">
        <w:rPr>
          <w:color w:val="000000" w:themeColor="text1"/>
          <w:sz w:val="16"/>
          <w:szCs w:val="16"/>
        </w:rPr>
        <w:noBreakHyphen/>
        <w:t>11 и Л</w:t>
      </w:r>
      <w:r w:rsidRPr="005E779E">
        <w:rPr>
          <w:color w:val="000000" w:themeColor="text1"/>
          <w:sz w:val="16"/>
          <w:szCs w:val="16"/>
        </w:rPr>
        <w:noBreakHyphen/>
        <w:t>12 были собраны на еще строящейся Амурской верфи в Комсомольске-на-Амуре и вступили в строй в конце 1938 г. (15280).</w:t>
      </w:r>
    </w:p>
    <w:p w14:paraId="504292C9" w14:textId="77777777" w:rsidR="00AC715D" w:rsidRPr="005E779E" w:rsidRDefault="00AC715D" w:rsidP="000B7A6C">
      <w:pPr>
        <w:pStyle w:val="rtejustify"/>
        <w:spacing w:before="0" w:after="0"/>
        <w:rPr>
          <w:color w:val="000000" w:themeColor="text1"/>
          <w:sz w:val="16"/>
          <w:szCs w:val="16"/>
        </w:rPr>
      </w:pPr>
    </w:p>
    <w:p w14:paraId="250601F6"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Внешняя политика:</w:t>
      </w:r>
    </w:p>
    <w:p w14:paraId="72860525"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A8040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 сентября 1931 г. в советском меморандуме от по итогам осеннего раунда экономических переговоров было выставлено требование об обеспечении условий роста советского экспорта до уровня в 750 млн. Марок (ДВП СССР, т. XIV, с. 821-822.). Протоколом от 22 декабря 1931 г. Хинчук и германский министр экономики X. Вармбольд зафиксировали договоренность о взаимном увеличении экспорта товаров. Подобная напористость диктовалась тем, что задолженность СССР Германии приблизилась к 1 млрд. марок и расплачиваться приходилось золотом и валютой (11784).</w:t>
      </w:r>
    </w:p>
    <w:p w14:paraId="454767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F5BEFC0"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650971B0"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65B5E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 февраля 1931 в Великобритании О.Мосли, который 20 января вышел из Лейбористской партии, объявил о создании Новой партии - фашистской (3907,167).</w:t>
      </w:r>
    </w:p>
    <w:p w14:paraId="6A3509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FC3AE1F"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60FB848C"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C18CB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феврале 1931 третий экз. И-5 истребитель потерпел аварию (разрушился нагнетатель мотора) и был отправлен на ремонт. Как и следовало ожидать, ВТ-11 с высотным "Юпитером" VII (снабжённым нагнетателем) проигрывал в скорости у земли, но обгонял соперников на высотах более 3000 м. "Подарок" имел большой потолок - 8200 м, выигрывал по скорости выполнения виража, но уступал двум другим машинам по дальности полёта (2М-15 оказался "прожорлив"). Самым перспективным сочли второй экземпляр, который имел неплохие характеристики и у земли, и на средних высотах. По скорости он существенно опережал состоящий на вооружении ВВС РККА цельнометаллический истребитель И-4 во всех диапазонах высот, а по сравнению с более тяжёлым И-3 выигрывал в манёвренности. НИИ ВВС дало в отношении BT-12 заключение: "После устранения недостатков может быть принят на вооружение" (11997).</w:t>
      </w:r>
    </w:p>
    <w:p w14:paraId="4E53E7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3D711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феврале 1931 И.В.Четвериков, работая в ЦКБ (то есть в старом), получил задание на МДР-3 с М-17 и должен был к декабрю 1931 завершить строительство 63,85).</w:t>
      </w:r>
    </w:p>
    <w:p w14:paraId="6CCF77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То есть ЦКБ - не такая уж и глупость, хотя работа была начата не в ЦАГИ, ЦАГИ ее по-видимому погубил.</w:t>
      </w:r>
    </w:p>
    <w:p w14:paraId="6E345A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Туда в ЦКБ, где Д.П.Григорович и Н.Н.Поликарпов сидели на тюремном положении в ангаре 7 в 1931 пришел А.С.Я. Сначала назначили в бригаду С.А.Кочеригина, который как и А.Н.Рафаэлянц - были вольными. А.С.Я. - отказался (испугался стать узким специалистом) и пошел на производство якобы инженером (74,60).</w:t>
      </w:r>
    </w:p>
    <w:p w14:paraId="698873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ЦКБ было в ведении техотдела ГПУ под руководством Горьянова. Пауфлер был директором завода 39 им. Менжинского (74,60). А.С.Я. как-то все время получал деньги Осоавиахима - вряд ли случайно.</w:t>
      </w:r>
    </w:p>
    <w:p w14:paraId="32D118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ходе весенней реорганизации ЦКБ Н.Н.П. был назначен начальником бригады 3 и приступил к разработке истребителя И-11 (228,82).</w:t>
      </w:r>
    </w:p>
    <w:p w14:paraId="1A99A0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2ACA8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феврале 1931 специальная комиссия ВВС РККА приступила к гос. испытаниям АНТ-8 МДР-2 А.Н.Т. в Севастополе и испытания шли до 20 марта (4269,18).</w:t>
      </w:r>
    </w:p>
    <w:p w14:paraId="04CCF3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2FF4F72" w14:textId="77777777" w:rsidR="0034631F" w:rsidRPr="00142305" w:rsidRDefault="0034631F" w:rsidP="003463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феврале 1931 г. специальная комиссия ВВС приступила к всесторонним испытаниям МДР-2 – АНТ-8 в Севастополе. До 20 марта летчик НИИ ВВС С.Т. Рыбальчук выполнил 25 полетов, поднимались в воздух и пилоты строевых частей, в том числе начальник ВВС Черноморского флота Лавров.</w:t>
      </w:r>
    </w:p>
    <w:p w14:paraId="37979391" w14:textId="77777777" w:rsidR="0034631F" w:rsidRPr="00142305" w:rsidRDefault="0034631F" w:rsidP="003463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их мнению, летные свойства МДР-2 и простота управления оказались лучше, чем у немецкого «Валя». «Но на воде гидросамолет был вертляв и не слушался руля при рулежке, требовал большого внимания при подходе к спуску. На одном моторе машина циркулиро</w:t>
      </w:r>
      <w:r w:rsidRPr="00142305">
        <w:rPr>
          <w:rFonts w:ascii="Times New Roman" w:hAnsi="Times New Roman"/>
          <w:color w:val="0070C0"/>
          <w:sz w:val="16"/>
          <w:szCs w:val="16"/>
        </w:rPr>
        <w:softHyphen/>
        <w:t>вала, и рулить на ней не представлялось возможным». Вместе с тем отмечалось, что «огне</w:t>
      </w:r>
      <w:r w:rsidRPr="00142305">
        <w:rPr>
          <w:rFonts w:ascii="Times New Roman" w:hAnsi="Times New Roman"/>
          <w:color w:val="0070C0"/>
          <w:sz w:val="16"/>
          <w:szCs w:val="16"/>
        </w:rPr>
        <w:softHyphen/>
        <w:t>вая защита лучше, чем на «Ваче», а управление гидросамолетом и вооружением просто и для рядового летчика быстро усвояемо». МДР-2 допускал взлет и посадку при высоте волн до одного метра.</w:t>
      </w:r>
    </w:p>
    <w:p w14:paraId="4D0502A2" w14:textId="77777777" w:rsidR="0034631F" w:rsidRPr="00142305" w:rsidRDefault="0034631F" w:rsidP="003463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Полностью провести летные испытания зимой 1931 -1932 годов не удалось из-за недостаточ</w:t>
      </w:r>
      <w:r w:rsidRPr="00142305">
        <w:rPr>
          <w:rFonts w:ascii="Times New Roman" w:hAnsi="Times New Roman"/>
          <w:color w:val="0070C0"/>
          <w:sz w:val="16"/>
          <w:szCs w:val="16"/>
        </w:rPr>
        <w:softHyphen/>
        <w:t>ного водоизмещения боковых поплавков. Тем не менее в представлении председателя РВС СССР о принятии на вооружение МДР-2, кроме уже приведенных недостатков и преиму</w:t>
      </w:r>
      <w:r w:rsidRPr="00142305">
        <w:rPr>
          <w:rFonts w:ascii="Times New Roman" w:hAnsi="Times New Roman"/>
          <w:color w:val="0070C0"/>
          <w:sz w:val="16"/>
          <w:szCs w:val="16"/>
        </w:rPr>
        <w:softHyphen/>
        <w:t>ществ, отмечалось:</w:t>
      </w:r>
    </w:p>
    <w:p w14:paraId="5442DC57" w14:textId="77777777" w:rsidR="0034631F" w:rsidRPr="00142305" w:rsidRDefault="0034631F" w:rsidP="003463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результате проведенной части государственных испытаний самолета обнаружен ряд дефектов, главнейшим из которых является отсутствие видимости (обзора назад) со стороны носовой части из-за толстого и высоко расположенного крыла, что ухудшает тактические свойства самолета (вождение в строю, защиту от против</w:t>
      </w:r>
      <w:r w:rsidRPr="00142305">
        <w:rPr>
          <w:rFonts w:ascii="Times New Roman" w:hAnsi="Times New Roman"/>
          <w:color w:val="0070C0"/>
          <w:sz w:val="16"/>
          <w:szCs w:val="16"/>
        </w:rPr>
        <w:softHyphen/>
        <w:t>ника, визуальную связь между лицами экипажа). Недостаточные площадь руля поворота и поперечная остойчивость. Последнее потребовало увеличения водоизмещения боковых поплавков. Перекрытие над кабиной пилотов затрудняет обзор».</w:t>
      </w:r>
    </w:p>
    <w:p w14:paraId="240BC721" w14:textId="77777777" w:rsidR="0034631F" w:rsidRPr="00142305" w:rsidRDefault="0034631F" w:rsidP="003463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основании заключения, сделанного в июле 1931 года, начальник ВВС РККА нало</w:t>
      </w:r>
      <w:r w:rsidRPr="00142305">
        <w:rPr>
          <w:rFonts w:ascii="Times New Roman" w:hAnsi="Times New Roman"/>
          <w:color w:val="0070C0"/>
          <w:sz w:val="16"/>
          <w:szCs w:val="16"/>
        </w:rPr>
        <w:softHyphen/>
        <w:t>жил резолюцию: «Решение вопроса о введении на вооружение ... отложить до оконча</w:t>
      </w:r>
      <w:r w:rsidRPr="00142305">
        <w:rPr>
          <w:rFonts w:ascii="Times New Roman" w:hAnsi="Times New Roman"/>
          <w:color w:val="0070C0"/>
          <w:sz w:val="16"/>
          <w:szCs w:val="16"/>
        </w:rPr>
        <w:softHyphen/>
        <w:t>ния испытании и проверки технических изменений, до получения результатов испытаний МДР-3 завода Л" 39».</w:t>
      </w:r>
    </w:p>
    <w:p w14:paraId="72E30870" w14:textId="77777777" w:rsidR="0034631F" w:rsidRPr="00142305" w:rsidRDefault="0034631F" w:rsidP="003463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результатам зимних летных испытаний МДР-2 доработали. Увеличили водоизме</w:t>
      </w:r>
      <w:r w:rsidRPr="00142305">
        <w:rPr>
          <w:rFonts w:ascii="Times New Roman" w:hAnsi="Times New Roman"/>
          <w:color w:val="0070C0"/>
          <w:sz w:val="16"/>
          <w:szCs w:val="16"/>
        </w:rPr>
        <w:softHyphen/>
        <w:t>щение поплавков и площадь руля направления. Повторные испытания в октябре - ноябре 1931 года показали, что мореходность улучшилась, но посадочная скорость оставалась довольно высокой - 115 км/ч (24991).</w:t>
      </w:r>
    </w:p>
    <w:p w14:paraId="0AC7AD86" w14:textId="77777777" w:rsidR="0034631F" w:rsidRPr="00142305" w:rsidRDefault="0034631F" w:rsidP="0034631F">
      <w:pPr>
        <w:spacing w:after="0" w:line="240" w:lineRule="auto"/>
        <w:jc w:val="both"/>
        <w:rPr>
          <w:rFonts w:ascii="Times New Roman" w:hAnsi="Times New Roman"/>
          <w:color w:val="0070C0"/>
          <w:sz w:val="16"/>
          <w:szCs w:val="16"/>
        </w:rPr>
      </w:pPr>
    </w:p>
    <w:p w14:paraId="69FF416F" w14:textId="77777777" w:rsidR="004742EE" w:rsidRPr="005E779E" w:rsidRDefault="004742EE" w:rsidP="000B7A6C">
      <w:pPr>
        <w:spacing w:after="0" w:line="240" w:lineRule="auto"/>
        <w:jc w:val="both"/>
        <w:rPr>
          <w:rFonts w:ascii="Times New Roman" w:hAnsi="Times New Roman"/>
          <w:color w:val="000000" w:themeColor="text1"/>
          <w:sz w:val="16"/>
          <w:szCs w:val="16"/>
          <w:lang w:eastAsia="ru-RU" w:bidi="ru-RU"/>
        </w:rPr>
      </w:pPr>
      <w:r w:rsidRPr="005E779E">
        <w:rPr>
          <w:rFonts w:ascii="Times New Roman" w:hAnsi="Times New Roman"/>
          <w:color w:val="000000" w:themeColor="text1"/>
          <w:sz w:val="16"/>
          <w:szCs w:val="16"/>
          <w:lang w:eastAsia="ru-RU" w:bidi="ru-RU"/>
        </w:rPr>
        <w:t>В феврале 1931 г. заводские специалисты завода № 31, выехавшие для знаком</w:t>
      </w:r>
      <w:r w:rsidRPr="005E779E">
        <w:rPr>
          <w:rFonts w:ascii="Times New Roman" w:hAnsi="Times New Roman"/>
          <w:color w:val="000000" w:themeColor="text1"/>
          <w:sz w:val="16"/>
          <w:szCs w:val="16"/>
          <w:lang w:eastAsia="ru-RU" w:bidi="ru-RU"/>
        </w:rPr>
        <w:softHyphen/>
        <w:t>ства с самолетом и технологией выехала во главе с заведующим монтажным участ</w:t>
      </w:r>
      <w:r w:rsidRPr="005E779E">
        <w:rPr>
          <w:rFonts w:ascii="Times New Roman" w:hAnsi="Times New Roman"/>
          <w:color w:val="000000" w:themeColor="text1"/>
          <w:sz w:val="16"/>
          <w:szCs w:val="16"/>
          <w:lang w:eastAsia="ru-RU" w:bidi="ru-RU"/>
        </w:rPr>
        <w:softHyphen/>
        <w:t>ком инженером Г. И. Трутко, прибыли на фирму в Геную. Однако получение чертежей и технологии, а также шаблонов, приспособлений, таблиц нормалей, специальных клеев и мастик и прочего шло крайне мед</w:t>
      </w:r>
      <w:r w:rsidRPr="005E779E">
        <w:rPr>
          <w:rFonts w:ascii="Times New Roman" w:hAnsi="Times New Roman"/>
          <w:color w:val="000000" w:themeColor="text1"/>
          <w:sz w:val="16"/>
          <w:szCs w:val="16"/>
          <w:lang w:eastAsia="ru-RU" w:bidi="ru-RU"/>
        </w:rPr>
        <w:softHyphen/>
        <w:t>ленно. Ко всему прочему, никто в группе не знал итальян</w:t>
      </w:r>
      <w:r w:rsidRPr="005E779E">
        <w:rPr>
          <w:rFonts w:ascii="Times New Roman" w:hAnsi="Times New Roman"/>
          <w:color w:val="000000" w:themeColor="text1"/>
          <w:sz w:val="16"/>
          <w:szCs w:val="16"/>
          <w:lang w:eastAsia="ru-RU" w:bidi="ru-RU"/>
        </w:rPr>
        <w:softHyphen/>
        <w:t>ского языка, денег же на переводчика или просто учите</w:t>
      </w:r>
      <w:r w:rsidRPr="005E779E">
        <w:rPr>
          <w:rFonts w:ascii="Times New Roman" w:hAnsi="Times New Roman"/>
          <w:color w:val="000000" w:themeColor="text1"/>
          <w:sz w:val="16"/>
          <w:szCs w:val="16"/>
          <w:lang w:eastAsia="ru-RU" w:bidi="ru-RU"/>
        </w:rPr>
        <w:softHyphen/>
        <w:t>ля не выделили. Поэтому объясняться с итальянцами ча</w:t>
      </w:r>
      <w:r w:rsidRPr="005E779E">
        <w:rPr>
          <w:rFonts w:ascii="Times New Roman" w:hAnsi="Times New Roman"/>
          <w:color w:val="000000" w:themeColor="text1"/>
          <w:sz w:val="16"/>
          <w:szCs w:val="16"/>
          <w:lang w:eastAsia="ru-RU" w:bidi="ru-RU"/>
        </w:rPr>
        <w:softHyphen/>
        <w:t>сто приходилось просто «на пальцах» (20325).</w:t>
      </w:r>
    </w:p>
    <w:p w14:paraId="007E2FCC" w14:textId="77777777" w:rsidR="004742EE" w:rsidRPr="005E779E" w:rsidRDefault="004742EE" w:rsidP="000B7A6C">
      <w:pPr>
        <w:spacing w:after="0" w:line="240" w:lineRule="auto"/>
        <w:jc w:val="both"/>
        <w:rPr>
          <w:rFonts w:ascii="Times New Roman" w:hAnsi="Times New Roman"/>
          <w:color w:val="000000" w:themeColor="text1"/>
          <w:sz w:val="16"/>
          <w:szCs w:val="16"/>
          <w:lang w:eastAsia="ru-RU" w:bidi="ru-RU"/>
        </w:rPr>
      </w:pPr>
    </w:p>
    <w:p w14:paraId="45A4D5B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феврале 1931 г. испытания продолжи</w:t>
      </w:r>
      <w:r w:rsidRPr="005E779E">
        <w:rPr>
          <w:rFonts w:ascii="Times New Roman" w:hAnsi="Times New Roman"/>
          <w:color w:val="000000" w:themeColor="text1"/>
          <w:sz w:val="16"/>
          <w:szCs w:val="16"/>
        </w:rPr>
        <w:softHyphen/>
        <w:t>лись, после чего К-3 успешно эксплуатировалась в тече</w:t>
      </w:r>
      <w:r w:rsidRPr="005E779E">
        <w:rPr>
          <w:rFonts w:ascii="Times New Roman" w:hAnsi="Times New Roman"/>
          <w:color w:val="000000" w:themeColor="text1"/>
          <w:sz w:val="16"/>
          <w:szCs w:val="16"/>
        </w:rPr>
        <w:softHyphen/>
        <w:t>ние нескольких лет. Катапульта находилась на линкоре «Парижская Коммуна» до 1935 г., затем ее перенесли на крейсер «Красный Кавказ», считавшийся самым совре</w:t>
      </w:r>
      <w:r w:rsidRPr="005E779E">
        <w:rPr>
          <w:rFonts w:ascii="Times New Roman" w:hAnsi="Times New Roman"/>
          <w:color w:val="000000" w:themeColor="text1"/>
          <w:sz w:val="16"/>
          <w:szCs w:val="16"/>
        </w:rPr>
        <w:softHyphen/>
        <w:t>менным кораблем Черноморского флота. На нем ката</w:t>
      </w:r>
      <w:r w:rsidRPr="005E779E">
        <w:rPr>
          <w:rFonts w:ascii="Times New Roman" w:hAnsi="Times New Roman"/>
          <w:color w:val="000000" w:themeColor="text1"/>
          <w:sz w:val="16"/>
          <w:szCs w:val="16"/>
        </w:rPr>
        <w:softHyphen/>
        <w:t>пульта находилась до 1941 г. (11107).</w:t>
      </w:r>
    </w:p>
    <w:p w14:paraId="5FA71A1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A05A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феврале 1931 фотография "нового советского самолета дальнего действия конструкции т. С. П. Королева" СК-4 и заметка о конструктивных особенностях самолета (журн. "Вестник воздушного флота". 1931. № 2) (10676).</w:t>
      </w:r>
    </w:p>
    <w:p w14:paraId="2AB2C2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6D701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феврале 1931 был принят документ “Система вооружения ВВС РККА на 1932-34 гг.), в которой были как носители ЗАМ и Майзеля ДИП-1 и ДИП-2, самолет-таран (ТА-1), “бронированный истребитель-миноносец” М-1. ДИП-1 и ДИП-2 брали по два ЗАМ в перегрузку, а М-1 - 4. По М-1 написано: “Полет олиночный, выпуск по строю противника ЗАМ с дальтних (до 4 км) дистанций ы целях расстройства строя и поражения”. Лл МК-2 д.б. брать и ЗАМы и ПБМ “Многоместный-истребитель-крейсер - развитие МИ-3 - имел в составе вооружения 4 ПБМ. Потом, более поздний вариант (от марта 1931) - на всех юомбардировщиках с нагрузкой менее 10 т (8908,36).</w:t>
      </w:r>
    </w:p>
    <w:p w14:paraId="217414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D336D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феврале 1931 ВАО передано из НКВМД в ВСНХ (7383, 5).</w:t>
      </w:r>
    </w:p>
    <w:p w14:paraId="38F41C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7E6ED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феврале 1931 г. ВАО вновь передали в ВСНХ. Улуч</w:t>
      </w:r>
      <w:r w:rsidRPr="005E779E">
        <w:rPr>
          <w:rFonts w:ascii="Times New Roman" w:hAnsi="Times New Roman"/>
          <w:color w:val="000000" w:themeColor="text1"/>
          <w:sz w:val="16"/>
          <w:szCs w:val="16"/>
        </w:rPr>
        <w:softHyphen/>
        <w:t>шилась связь авиационной промышленности с другими отраслями народного хозяйства. В результате реоргани</w:t>
      </w:r>
      <w:r w:rsidRPr="005E779E">
        <w:rPr>
          <w:rFonts w:ascii="Times New Roman" w:hAnsi="Times New Roman"/>
          <w:color w:val="000000" w:themeColor="text1"/>
          <w:sz w:val="16"/>
          <w:szCs w:val="16"/>
        </w:rPr>
        <w:softHyphen/>
        <w:t>зации ЦКБ были сформированы конструкторские бри</w:t>
      </w:r>
      <w:r w:rsidRPr="005E779E">
        <w:rPr>
          <w:rFonts w:ascii="Times New Roman" w:hAnsi="Times New Roman"/>
          <w:color w:val="000000" w:themeColor="text1"/>
          <w:sz w:val="16"/>
          <w:szCs w:val="16"/>
        </w:rPr>
        <w:softHyphen/>
        <w:t>гады постоянного состава, которые получили право курировать весь процесс проектирования и изготовле</w:t>
      </w:r>
      <w:r w:rsidRPr="005E779E">
        <w:rPr>
          <w:rFonts w:ascii="Times New Roman" w:hAnsi="Times New Roman"/>
          <w:color w:val="000000" w:themeColor="text1"/>
          <w:sz w:val="16"/>
          <w:szCs w:val="16"/>
        </w:rPr>
        <w:softHyphen/>
        <w:t>ния опытных машин. Николая Николаевича назначили начальником бригады № 3 (10667).</w:t>
      </w:r>
    </w:p>
    <w:p w14:paraId="41221E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14BE77C" w14:textId="77777777" w:rsidR="00BD06CF" w:rsidRPr="005E779E" w:rsidRDefault="00BD06C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феврале 1931 года ВАО вновь было передано в ВСНХ. Улучши</w:t>
      </w:r>
      <w:r w:rsidRPr="005E779E">
        <w:rPr>
          <w:rFonts w:ascii="Times New Roman" w:hAnsi="Times New Roman"/>
          <w:color w:val="000000" w:themeColor="text1"/>
          <w:sz w:val="16"/>
          <w:szCs w:val="16"/>
        </w:rPr>
        <w:softHyphen/>
        <w:t>лась связь авиационной промыш</w:t>
      </w:r>
      <w:r w:rsidRPr="005E779E">
        <w:rPr>
          <w:rFonts w:ascii="Times New Roman" w:hAnsi="Times New Roman"/>
          <w:color w:val="000000" w:themeColor="text1"/>
          <w:sz w:val="16"/>
          <w:szCs w:val="16"/>
        </w:rPr>
        <w:softHyphen/>
        <w:t>ленности с другими отраслями народного хозяйства.</w:t>
      </w:r>
    </w:p>
    <w:p w14:paraId="37FC7D7A" w14:textId="77777777" w:rsidR="00BD06CF" w:rsidRPr="005E779E" w:rsidRDefault="00BD06C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результате реорганизации ЦКБ были сформированы кон</w:t>
      </w:r>
      <w:r w:rsidRPr="005E779E">
        <w:rPr>
          <w:rFonts w:ascii="Times New Roman" w:hAnsi="Times New Roman"/>
          <w:color w:val="000000" w:themeColor="text1"/>
          <w:sz w:val="16"/>
          <w:szCs w:val="16"/>
        </w:rPr>
        <w:softHyphen/>
        <w:t>структорские бригады постоянного состава, которые получили право курировать весь процесс проекти</w:t>
      </w:r>
      <w:r w:rsidRPr="005E779E">
        <w:rPr>
          <w:rFonts w:ascii="Times New Roman" w:hAnsi="Times New Roman"/>
          <w:color w:val="000000" w:themeColor="text1"/>
          <w:sz w:val="16"/>
          <w:szCs w:val="16"/>
        </w:rPr>
        <w:softHyphen/>
        <w:t>рования и изготовления опытных машин, тогда же Николая Нико</w:t>
      </w:r>
      <w:r w:rsidRPr="005E779E">
        <w:rPr>
          <w:rFonts w:ascii="Times New Roman" w:hAnsi="Times New Roman"/>
          <w:color w:val="000000" w:themeColor="text1"/>
          <w:sz w:val="16"/>
          <w:szCs w:val="16"/>
        </w:rPr>
        <w:softHyphen/>
        <w:t>лаевича назначили начальником бригады №3 (23406).</w:t>
      </w:r>
    </w:p>
    <w:p w14:paraId="6C668DB4" w14:textId="77777777" w:rsidR="00BD06CF" w:rsidRPr="005E779E" w:rsidRDefault="00BD06CF" w:rsidP="000B7A6C">
      <w:pPr>
        <w:spacing w:after="0" w:line="240" w:lineRule="auto"/>
        <w:jc w:val="both"/>
        <w:rPr>
          <w:rFonts w:ascii="Times New Roman" w:hAnsi="Times New Roman"/>
          <w:color w:val="000000" w:themeColor="text1"/>
          <w:sz w:val="16"/>
          <w:szCs w:val="16"/>
        </w:rPr>
      </w:pPr>
    </w:p>
    <w:p w14:paraId="32456425" w14:textId="77777777" w:rsidR="0034631F" w:rsidRPr="00142305" w:rsidRDefault="0034631F" w:rsidP="003463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феврале 1931 г. ВАО вновь было передано в ВСНХ. Улучшилась связь авиационной промышленности с другими отраслями народного хозяйства.</w:t>
      </w:r>
    </w:p>
    <w:p w14:paraId="2B1F9D69" w14:textId="77777777" w:rsidR="0034631F" w:rsidRPr="00142305" w:rsidRDefault="0034631F" w:rsidP="003463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В результате реорганизации ЦКБ были сформированы конструкторские бригады постоянного состава, которые получили право курировать весь процесс проектирования и изготовления опытных машин, тогда же Николая Николаевича назначили начальником бригады № 3 (25035).</w:t>
      </w:r>
    </w:p>
    <w:p w14:paraId="76E680EF" w14:textId="77777777" w:rsidR="0034631F" w:rsidRPr="00142305" w:rsidRDefault="0034631F" w:rsidP="0034631F">
      <w:pPr>
        <w:spacing w:after="0" w:line="240" w:lineRule="auto"/>
        <w:jc w:val="both"/>
        <w:rPr>
          <w:rFonts w:ascii="Times New Roman" w:hAnsi="Times New Roman"/>
          <w:color w:val="0070C0"/>
          <w:sz w:val="16"/>
          <w:szCs w:val="16"/>
        </w:rPr>
      </w:pPr>
    </w:p>
    <w:p w14:paraId="3557312C" w14:textId="77777777" w:rsidR="00BD06CF" w:rsidRPr="005E779E" w:rsidRDefault="00BD06C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феврале 1931 С.А. Кочеригина во главе ОПО сменил Семен Иосифович Зоншайн - сотрудник ОСС ЦКБ, единственным явным преимуществом которого перед Кочеригиным был больший на год стаж работы в КБ Н.Н. Поликарпова. Что привело его на этот пост - личные амбиции, внутренние интриги Авиатреста или «пожелания» ОГПУ - пока не известно. Под руководством Зоншайна вначале была свернута основная масса пер</w:t>
      </w:r>
      <w:r w:rsidRPr="005E779E">
        <w:rPr>
          <w:rFonts w:ascii="Times New Roman" w:hAnsi="Times New Roman"/>
          <w:color w:val="000000" w:themeColor="text1"/>
          <w:sz w:val="16"/>
          <w:szCs w:val="16"/>
        </w:rPr>
        <w:softHyphen/>
        <w:t>спективных тем КБ, а затем подготовлена ликвидация авиазавода № 25 и ОСС ЦКБ. 1 июля 1930 года он фактически сложил с себя полномочия технического директора и к концу года «перешел на преподавательскую работу». Хотя в дальнейшем Семен Иосифо</w:t>
      </w:r>
      <w:r w:rsidRPr="005E779E">
        <w:rPr>
          <w:rFonts w:ascii="Times New Roman" w:hAnsi="Times New Roman"/>
          <w:color w:val="000000" w:themeColor="text1"/>
          <w:sz w:val="16"/>
          <w:szCs w:val="16"/>
        </w:rPr>
        <w:softHyphen/>
        <w:t>вич Зоншайн сыграл известную роль в ста</w:t>
      </w:r>
      <w:r w:rsidRPr="005E779E">
        <w:rPr>
          <w:rFonts w:ascii="Times New Roman" w:hAnsi="Times New Roman"/>
          <w:color w:val="000000" w:themeColor="text1"/>
          <w:sz w:val="16"/>
          <w:szCs w:val="16"/>
        </w:rPr>
        <w:softHyphen/>
        <w:t>новлении ведущих авиационных вузов СССР МАИ и МАТИ, но в области практического са</w:t>
      </w:r>
      <w:r w:rsidRPr="005E779E">
        <w:rPr>
          <w:rFonts w:ascii="Times New Roman" w:hAnsi="Times New Roman"/>
          <w:color w:val="000000" w:themeColor="text1"/>
          <w:sz w:val="16"/>
          <w:szCs w:val="16"/>
        </w:rPr>
        <w:softHyphen/>
        <w:t>молетостроения он стал могильщиком КБ По</w:t>
      </w:r>
      <w:r w:rsidRPr="005E779E">
        <w:rPr>
          <w:rFonts w:ascii="Times New Roman" w:hAnsi="Times New Roman"/>
          <w:color w:val="000000" w:themeColor="text1"/>
          <w:sz w:val="16"/>
          <w:szCs w:val="16"/>
        </w:rPr>
        <w:softHyphen/>
        <w:t>ликарпова (23344).</w:t>
      </w:r>
    </w:p>
    <w:p w14:paraId="6D062558" w14:textId="77777777" w:rsidR="00BD06CF" w:rsidRPr="005E779E" w:rsidRDefault="00BD06CF" w:rsidP="000B7A6C">
      <w:pPr>
        <w:spacing w:after="0" w:line="240" w:lineRule="auto"/>
        <w:jc w:val="both"/>
        <w:rPr>
          <w:rFonts w:ascii="Times New Roman" w:hAnsi="Times New Roman"/>
          <w:color w:val="000000" w:themeColor="text1"/>
          <w:sz w:val="16"/>
          <w:szCs w:val="16"/>
        </w:rPr>
      </w:pPr>
    </w:p>
    <w:p w14:paraId="54E91B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феврале 1931 при калининском КБ создали опытный завод. Структуру назвали "Гражданское опытное самолетостроение" (ГРОС). Она стала основой Харьковского авиазавода опытного самолетостроения (70,169).</w:t>
      </w:r>
    </w:p>
    <w:p w14:paraId="0DD360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138F5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феврале 1931 НИИ ВВС разработал ТТТ для нового многоцелевого самолета, получившего название "войскового" (70,257) или к февралю (7570, 2).</w:t>
      </w:r>
    </w:p>
    <w:p w14:paraId="0121A9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36A56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феврале 1931 - получено задание начальника ГУАП П.И.Баранова начать проектные работы под модернизацией К-5 под М-22 (70,169).</w:t>
      </w:r>
    </w:p>
    <w:p w14:paraId="217543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 стал еще П.И.Баранов начальником ГУАП да и ГУАП еще не было.</w:t>
      </w:r>
    </w:p>
    <w:p w14:paraId="2A9A05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1D71C9F" w14:textId="77777777" w:rsidR="00996BD8" w:rsidRPr="005E779E" w:rsidRDefault="00996BD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февраля 1931 г., после ухода С. А. Чаплыгина, ЦАГИ сменил трех начальников. В августе институт возглавил директор завода №39 им. Менжинского, чекист Н. Е. Пауфлер. Приказом начальника ВАО №265 от 27 августа 1931 г. предписывалось объединить в единое целое ЦАГИ и Центральное конструкторское бюро (ЦКБ) с заводом №39 им. Менжинского (19727).</w:t>
      </w:r>
    </w:p>
    <w:p w14:paraId="6471FADE" w14:textId="77777777" w:rsidR="00996BD8" w:rsidRPr="005E779E" w:rsidRDefault="00996BD8" w:rsidP="000B7A6C">
      <w:pPr>
        <w:spacing w:after="0" w:line="240" w:lineRule="auto"/>
        <w:jc w:val="both"/>
        <w:rPr>
          <w:rFonts w:ascii="Times New Roman" w:hAnsi="Times New Roman"/>
          <w:color w:val="000000" w:themeColor="text1"/>
          <w:sz w:val="16"/>
          <w:szCs w:val="16"/>
        </w:rPr>
      </w:pPr>
    </w:p>
    <w:p w14:paraId="03B20147" w14:textId="77777777" w:rsidR="00996BD8" w:rsidRPr="005E779E" w:rsidRDefault="00996BD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феврале 1931 г. завод Красный летчик № 23 передан в состав Государственного всесоюзного объединения авиационной промышленности ВСНХ СССР. Дальнейшая подведомственность: 1932 г. Главного управления авиационной промышленности Наркомата тяжелой промышленности СССР, 1937 г. Наркомата оборонной промышленности СССР, январь 1939 г. Наркомата авиационной промышленности СССР (18255).</w:t>
      </w:r>
    </w:p>
    <w:p w14:paraId="5EE7A01D" w14:textId="77777777" w:rsidR="00996BD8" w:rsidRPr="005E779E" w:rsidRDefault="00996BD8" w:rsidP="000B7A6C">
      <w:pPr>
        <w:spacing w:after="0" w:line="240" w:lineRule="auto"/>
        <w:jc w:val="both"/>
        <w:rPr>
          <w:rFonts w:ascii="Times New Roman" w:hAnsi="Times New Roman"/>
          <w:color w:val="000000" w:themeColor="text1"/>
          <w:sz w:val="16"/>
          <w:szCs w:val="16"/>
        </w:rPr>
      </w:pPr>
    </w:p>
    <w:p w14:paraId="76F64F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февраля 1931 по 1932 на 45 заводе пытались доработать один из Дорнье Валей. Эта работа была заказана после испытания в филиале НИИ ВВС машины, доработанной еще в конце 1930 также на 45 заводе (2543,13).</w:t>
      </w:r>
    </w:p>
    <w:p w14:paraId="6255C3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F3862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феврале 1931 началась постройка автожира ЭА-2 и продолжалась по май 1932 (1017,276).</w:t>
      </w:r>
    </w:p>
    <w:p w14:paraId="0123EF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AB2370D" w14:textId="77777777" w:rsidR="00FF3124" w:rsidRPr="005E779E" w:rsidRDefault="00FF312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феврале 1931 года И.В.Сталин заявил </w:t>
      </w:r>
      <w:r w:rsidRPr="005E779E">
        <w:rPr>
          <w:rStyle w:val="aff6"/>
          <w:rFonts w:ascii="Times New Roman" w:hAnsi="Times New Roman" w:cs="Times New Roman"/>
          <w:i w:val="0"/>
          <w:color w:val="000000" w:themeColor="text1"/>
        </w:rPr>
        <w:t>«Мы отстали от передовых стран на 50—100лет и должны пробежать это расстояние в 10лет, иначе нас сомнут». В</w:t>
      </w:r>
      <w:r w:rsidRPr="005E779E">
        <w:rPr>
          <w:rFonts w:ascii="Times New Roman" w:hAnsi="Times New Roman"/>
          <w:color w:val="000000" w:themeColor="text1"/>
          <w:sz w:val="16"/>
          <w:szCs w:val="16"/>
        </w:rPr>
        <w:t xml:space="preserve"> авиации «гон</w:t>
      </w:r>
      <w:r w:rsidRPr="005E779E">
        <w:rPr>
          <w:rFonts w:ascii="Times New Roman" w:hAnsi="Times New Roman"/>
          <w:color w:val="000000" w:themeColor="text1"/>
          <w:sz w:val="16"/>
          <w:szCs w:val="16"/>
        </w:rPr>
        <w:softHyphen/>
        <w:t>ка за лидером» вышла на финишную прямую: если первые советские серийные истребите</w:t>
      </w:r>
      <w:r w:rsidRPr="005E779E">
        <w:rPr>
          <w:rFonts w:ascii="Times New Roman" w:hAnsi="Times New Roman"/>
          <w:color w:val="000000" w:themeColor="text1"/>
          <w:sz w:val="16"/>
          <w:szCs w:val="16"/>
        </w:rPr>
        <w:softHyphen/>
        <w:t>ли И-1 и И-2, созданные в середине двадцатых, не смогли стать достойной заменой «им</w:t>
      </w:r>
      <w:r w:rsidRPr="005E779E">
        <w:rPr>
          <w:rFonts w:ascii="Times New Roman" w:hAnsi="Times New Roman"/>
          <w:color w:val="000000" w:themeColor="text1"/>
          <w:sz w:val="16"/>
          <w:szCs w:val="16"/>
        </w:rPr>
        <w:softHyphen/>
        <w:t>портным» «Фоккерам», «Мартинсайдам» и «Балиллам», то уже И-5 соответствовал луч</w:t>
      </w:r>
      <w:r w:rsidRPr="005E779E">
        <w:rPr>
          <w:rFonts w:ascii="Times New Roman" w:hAnsi="Times New Roman"/>
          <w:color w:val="000000" w:themeColor="text1"/>
          <w:sz w:val="16"/>
          <w:szCs w:val="16"/>
        </w:rPr>
        <w:softHyphen/>
        <w:t>шим мировым стандартам. Спроектированный в рекордные сроки (меньше, чем за два ме</w:t>
      </w:r>
      <w:r w:rsidRPr="005E779E">
        <w:rPr>
          <w:rFonts w:ascii="Times New Roman" w:hAnsi="Times New Roman"/>
          <w:color w:val="000000" w:themeColor="text1"/>
          <w:sz w:val="16"/>
          <w:szCs w:val="16"/>
        </w:rPr>
        <w:softHyphen/>
        <w:t>сяца!) в первой отечественной «шарашке» под руководством заключенных Н.Н. Поликар</w:t>
      </w:r>
      <w:r w:rsidRPr="005E779E">
        <w:rPr>
          <w:rFonts w:ascii="Times New Roman" w:hAnsi="Times New Roman"/>
          <w:color w:val="000000" w:themeColor="text1"/>
          <w:sz w:val="16"/>
          <w:szCs w:val="16"/>
        </w:rPr>
        <w:softHyphen/>
        <w:t>пова и Д.П. Григоровича, этот истребитель-полутороплан закончил войсковые испытания в том же 1931 году, за несколько дней до речи Сталина, но боевое крещение принял лишь 10 лет спустя, в начале Великой Отечественной, когда огромные потери заставили вернуть в строй не только учебные, но даже списанные машины. И хотя к тому времени «пятерки» уже безнадежно устарели, они привлекались к боевым дежурствам в разгар немецких нале</w:t>
      </w:r>
      <w:r w:rsidRPr="005E779E">
        <w:rPr>
          <w:rFonts w:ascii="Times New Roman" w:hAnsi="Times New Roman"/>
          <w:color w:val="000000" w:themeColor="text1"/>
          <w:sz w:val="16"/>
          <w:szCs w:val="16"/>
        </w:rPr>
        <w:softHyphen/>
        <w:t>тов на Москву, а в качестве штурмовиков и легких ночных бомбардировщиков воевали до 1942 года, мало того — зафиксированы случаи, когда древние И-5 сбивали новейшие «мес</w:t>
      </w:r>
      <w:r w:rsidRPr="005E779E">
        <w:rPr>
          <w:rFonts w:ascii="Times New Roman" w:hAnsi="Times New Roman"/>
          <w:color w:val="000000" w:themeColor="text1"/>
          <w:sz w:val="16"/>
          <w:szCs w:val="16"/>
        </w:rPr>
        <w:softHyphen/>
        <w:t>серы»!..(12295).</w:t>
      </w:r>
    </w:p>
    <w:p w14:paraId="01F6C971" w14:textId="77777777" w:rsidR="00FF3124" w:rsidRPr="005E779E" w:rsidRDefault="00FF3124" w:rsidP="000B7A6C">
      <w:pPr>
        <w:spacing w:after="0" w:line="240" w:lineRule="auto"/>
        <w:jc w:val="both"/>
        <w:rPr>
          <w:rFonts w:ascii="Times New Roman" w:hAnsi="Times New Roman"/>
          <w:color w:val="000000" w:themeColor="text1"/>
          <w:sz w:val="16"/>
          <w:szCs w:val="16"/>
        </w:rPr>
      </w:pPr>
    </w:p>
    <w:p w14:paraId="739A993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февраля 1931 часть моторов М-17, производимых в Рыбинске, стали комплектовать коленвалами, отко</w:t>
      </w:r>
      <w:r w:rsidRPr="005E779E">
        <w:rPr>
          <w:rFonts w:ascii="Times New Roman" w:hAnsi="Times New Roman"/>
          <w:color w:val="000000" w:themeColor="text1"/>
          <w:sz w:val="16"/>
          <w:szCs w:val="16"/>
        </w:rPr>
        <w:softHyphen/>
        <w:t>ванными на артиллерийском заводе в Мотовилихе. В то же время начали внедрять остальную часть изменений по типу ВМ</w:t>
      </w:r>
      <w:r w:rsidRPr="005E779E">
        <w:rPr>
          <w:rFonts w:ascii="Times New Roman" w:hAnsi="Times New Roman"/>
          <w:color w:val="000000" w:themeColor="text1"/>
          <w:sz w:val="16"/>
          <w:szCs w:val="16"/>
          <w:lang w:val="en-US"/>
        </w:rPr>
        <w:t>W</w:t>
      </w:r>
      <w:r w:rsidRPr="005E779E">
        <w:rPr>
          <w:rFonts w:ascii="Times New Roman" w:hAnsi="Times New Roman"/>
          <w:color w:val="000000" w:themeColor="text1"/>
          <w:sz w:val="16"/>
          <w:szCs w:val="16"/>
        </w:rPr>
        <w:t xml:space="preserve"> У1Ь (новые седла клапанов, коленчатый вал с измененным хвостовиком, гофрированные ру</w:t>
      </w:r>
      <w:r w:rsidRPr="005E779E">
        <w:rPr>
          <w:rFonts w:ascii="Times New Roman" w:hAnsi="Times New Roman"/>
          <w:color w:val="000000" w:themeColor="text1"/>
          <w:sz w:val="16"/>
          <w:szCs w:val="16"/>
        </w:rPr>
        <w:softHyphen/>
        <w:t>башки цилиндров и т.п.), что привело к появлению модификации М-17Б. Головной образец М-17Б официально сдали в июле 1931 г. К 10 июня через военную приемку прошли семь таких моторов. На М-17Б стали ставить отечественные карбюраторы и бензонасосы. Ранее их импортировали из Франции. Советский карбюратор К-17, соз</w:t>
      </w:r>
      <w:r w:rsidRPr="005E779E">
        <w:rPr>
          <w:rFonts w:ascii="Times New Roman" w:hAnsi="Times New Roman"/>
          <w:color w:val="000000" w:themeColor="text1"/>
          <w:sz w:val="16"/>
          <w:szCs w:val="16"/>
        </w:rPr>
        <w:softHyphen/>
        <w:t>данный на заводе № 24, впервые испытали на М-17 в апреле 1931 г. Серийные моторы в 1930 г. выпускались только со степенью сжатия 6,0. Первые опытные высотные М-17 со степенью сжатия 7,3 изготовили в ноябре 1930 г. Далее серии включали двигатели с обеими степенями сжатия в разном соотношении. Первой такой серией стала серия «3» в феврале 1931 г., в которую вошли 20 моторов М-17Е7,3. Позднее появи</w:t>
      </w:r>
      <w:r w:rsidRPr="005E779E">
        <w:rPr>
          <w:rFonts w:ascii="Times New Roman" w:hAnsi="Times New Roman"/>
          <w:color w:val="000000" w:themeColor="text1"/>
          <w:sz w:val="16"/>
          <w:szCs w:val="16"/>
        </w:rPr>
        <w:softHyphen/>
        <w:t>лись целые серии высотных двигателей. Например, все моторы, входив</w:t>
      </w:r>
      <w:r w:rsidRPr="005E779E">
        <w:rPr>
          <w:rFonts w:ascii="Times New Roman" w:hAnsi="Times New Roman"/>
          <w:color w:val="000000" w:themeColor="text1"/>
          <w:sz w:val="16"/>
          <w:szCs w:val="16"/>
        </w:rPr>
        <w:softHyphen/>
        <w:t>шие в серию «Л», имели степень сжатия 7,3. Практически с самого начала освоения производства М-17 формирова</w:t>
      </w:r>
      <w:r w:rsidRPr="005E779E">
        <w:rPr>
          <w:rFonts w:ascii="Times New Roman" w:hAnsi="Times New Roman"/>
          <w:color w:val="000000" w:themeColor="text1"/>
          <w:sz w:val="16"/>
          <w:szCs w:val="16"/>
        </w:rPr>
        <w:softHyphen/>
        <w:t>лись планы его последующей модернизации. При этом не только следова</w:t>
      </w:r>
      <w:r w:rsidRPr="005E779E">
        <w:rPr>
          <w:rFonts w:ascii="Times New Roman" w:hAnsi="Times New Roman"/>
          <w:color w:val="000000" w:themeColor="text1"/>
          <w:sz w:val="16"/>
          <w:szCs w:val="16"/>
        </w:rPr>
        <w:softHyphen/>
        <w:t>ли путями, уже проторенными немецкими конструкторами, но и пытались внести нечто свое. В частности, в план опытных работ, утвержденный Реввоенсоветом 1 октября 1930 г., вошел «М-17 с 4-х клапанной голов</w:t>
      </w:r>
      <w:r w:rsidRPr="005E779E">
        <w:rPr>
          <w:rFonts w:ascii="Times New Roman" w:hAnsi="Times New Roman"/>
          <w:color w:val="000000" w:themeColor="text1"/>
          <w:sz w:val="16"/>
          <w:szCs w:val="16"/>
        </w:rPr>
        <w:softHyphen/>
        <w:t>кой», который хотели выставить на госиспытания к 1 июня 1931 г. Никаких материалов об этой работе найти не удалось. Но в 1933-1934 гг. под руководством военпреда Рогова М-17 форсировали по оборотам до 800 л.с. Испытания усовершенствованного двигателя проходили в апреле 1934 г. Изготовили не менее трех экземпляров, один из которых установили на персональный Р-5 начальника ВВС Я.И. Алксниса. Однако на серийное производство эти работы, в сущности, не повлияли. Это было связано с появлением отечественного двигателя М-34, соз</w:t>
      </w:r>
      <w:r w:rsidRPr="005E779E">
        <w:rPr>
          <w:rFonts w:ascii="Times New Roman" w:hAnsi="Times New Roman"/>
          <w:color w:val="000000" w:themeColor="text1"/>
          <w:sz w:val="16"/>
          <w:szCs w:val="16"/>
        </w:rPr>
        <w:softHyphen/>
        <w:t>данного под руководством А.А. Микулина. Его специально делали, чтобы заменить М-17, под те же габариты и посадочные места. Этот мотор был, безусловно, перспективнее, чем устаревающий «БМВ» с его рубашками отдельных цилиндров. Внедрение М-34 в производство в 1933 г. сразу снизило интерес к созданию новых модификаций немецкого двигателя. Предполагалось, что мотор Микулина полностью вытеснит М-17 из за</w:t>
      </w:r>
      <w:r w:rsidRPr="005E779E">
        <w:rPr>
          <w:rFonts w:ascii="Times New Roman" w:hAnsi="Times New Roman"/>
          <w:color w:val="000000" w:themeColor="text1"/>
          <w:sz w:val="16"/>
          <w:szCs w:val="16"/>
        </w:rPr>
        <w:softHyphen/>
        <w:t>водских цехов. И действительно, выпуск М-17 рос до 1934 г., когда достигли пика — 5662 мотора в год. При этом завод № 26 тогда обеспечивал около полови</w:t>
      </w:r>
      <w:r w:rsidRPr="005E779E">
        <w:rPr>
          <w:rFonts w:ascii="Times New Roman" w:hAnsi="Times New Roman"/>
          <w:color w:val="000000" w:themeColor="text1"/>
          <w:sz w:val="16"/>
          <w:szCs w:val="16"/>
        </w:rPr>
        <w:softHyphen/>
        <w:t>ны всего производства авиадвигателей в стране. Далее же начался спад (11852).</w:t>
      </w:r>
    </w:p>
    <w:p w14:paraId="0CF4B06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20D6C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феврале 1931 г. и в июне 1930 г. М-26 дважды представлялся на госиспытания. Во втором случае прошел их успешно. Се</w:t>
      </w:r>
      <w:r w:rsidRPr="005E779E">
        <w:rPr>
          <w:rFonts w:ascii="Times New Roman" w:hAnsi="Times New Roman"/>
          <w:color w:val="000000" w:themeColor="text1"/>
          <w:sz w:val="16"/>
          <w:szCs w:val="16"/>
        </w:rPr>
        <w:softHyphen/>
        <w:t>рийное производство велось на заводе № 24 (Москва) в 1931-1933 гг. Вы</w:t>
      </w:r>
      <w:r w:rsidRPr="005E779E">
        <w:rPr>
          <w:rFonts w:ascii="Times New Roman" w:hAnsi="Times New Roman"/>
          <w:color w:val="000000" w:themeColor="text1"/>
          <w:sz w:val="16"/>
          <w:szCs w:val="16"/>
        </w:rPr>
        <w:softHyphen/>
        <w:t>пущено 445 экз. Мотор эксплуатировался только в гражданской авиации. Снят с производства и с эксплуатации в связи с низкой надежностью.</w:t>
      </w:r>
    </w:p>
    <w:p w14:paraId="60DB9AC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Характеристики:</w:t>
      </w:r>
    </w:p>
    <w:p w14:paraId="63CEB1D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7-цилиндровый, звездообразный, четырехтактный, воздушного охлаж</w:t>
      </w:r>
      <w:r w:rsidRPr="005E779E">
        <w:rPr>
          <w:rFonts w:ascii="Times New Roman" w:hAnsi="Times New Roman"/>
          <w:color w:val="000000" w:themeColor="text1"/>
          <w:sz w:val="16"/>
          <w:szCs w:val="16"/>
        </w:rPr>
        <w:softHyphen/>
        <w:t>дения;</w:t>
      </w:r>
    </w:p>
    <w:p w14:paraId="0B8A741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мощность 270/300 л.с. (по проекту 300/350 л.с.);</w:t>
      </w:r>
    </w:p>
    <w:p w14:paraId="5994FD3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диаметр цилиндра/ход поршня 150/170 мм;</w:t>
      </w:r>
    </w:p>
    <w:p w14:paraId="43C2CC7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объем 21,0 л;</w:t>
      </w:r>
    </w:p>
    <w:p w14:paraId="232A045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степень сжатия 5,4;</w:t>
      </w:r>
    </w:p>
    <w:p w14:paraId="1DF61A2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безредукторный;</w:t>
      </w:r>
    </w:p>
    <w:p w14:paraId="055751F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вес по проекту 300 кг, фактический — 375 кг (без втулки винта);</w:t>
      </w:r>
    </w:p>
    <w:p w14:paraId="01F0693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имел ПЦН.</w:t>
      </w:r>
    </w:p>
    <w:p w14:paraId="7F013FD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Устанавливался на серийных самолетах АНТ-9, «Сталь-2», автожире А-4 (малая серия). Предлагалось использование в проекте самолета МФС. Существовал мотор 1946 г. под тем же обозначением (11852).</w:t>
      </w:r>
    </w:p>
    <w:p w14:paraId="6DFA10C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24BCDF" w14:textId="77777777" w:rsidR="0034631F" w:rsidRPr="00142305" w:rsidRDefault="0034631F" w:rsidP="003463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феврале 1931 г. началась серия моторов М-26. Двигатель получился громоздким и тяжелым, расход топлива и масла значительно превышал заданный, а главное - ресурс с трудом довели всего до 50 часов. Обычно к этому времени разрушались подшипники на</w:t>
      </w:r>
      <w:r w:rsidRPr="00142305">
        <w:rPr>
          <w:rFonts w:ascii="Times New Roman" w:hAnsi="Times New Roman"/>
          <w:color w:val="0070C0"/>
          <w:sz w:val="16"/>
          <w:szCs w:val="16"/>
        </w:rPr>
        <w:softHyphen/>
        <w:t>гнетателя В результате УВВС потеряло к М-26 всякий интерес и предложило пе</w:t>
      </w:r>
      <w:r w:rsidRPr="00142305">
        <w:rPr>
          <w:rFonts w:ascii="Times New Roman" w:hAnsi="Times New Roman"/>
          <w:color w:val="0070C0"/>
          <w:sz w:val="16"/>
          <w:szCs w:val="16"/>
        </w:rPr>
        <w:softHyphen/>
        <w:t>редать весь заказ гражданской авиации. К этому времени «Добролет» поглотил «Укрвоздухпуть» и был преобразован во Всесоюзное объединение гражданского воздушного флота (ВО ГВФ).</w:t>
      </w:r>
    </w:p>
    <w:p w14:paraId="316E6DA3" w14:textId="77777777" w:rsidR="0034631F" w:rsidRPr="00142305" w:rsidRDefault="0034631F" w:rsidP="003463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проектированию модификации с М-26 в ЦАГИ приступили еще в 1930 г. По расчетам, вес машины возрастал, но увеличение тяги все равно могло улучшить летные данные. Внесли изменения в моторамы, масляную и бензиновую системы. Дви</w:t>
      </w:r>
      <w:r w:rsidRPr="00142305">
        <w:rPr>
          <w:rFonts w:ascii="Times New Roman" w:hAnsi="Times New Roman"/>
          <w:color w:val="0070C0"/>
          <w:sz w:val="16"/>
          <w:szCs w:val="16"/>
        </w:rPr>
        <w:softHyphen/>
        <w:t>гатели не капотировались, применялись двухлопастные деревянные винты посто</w:t>
      </w:r>
      <w:r w:rsidRPr="00142305">
        <w:rPr>
          <w:rFonts w:ascii="Times New Roman" w:hAnsi="Times New Roman"/>
          <w:color w:val="0070C0"/>
          <w:sz w:val="16"/>
          <w:szCs w:val="16"/>
        </w:rPr>
        <w:softHyphen/>
        <w:t>янного шага. Запуск моторов опять стали производить сжатым воздухом (24949).</w:t>
      </w:r>
    </w:p>
    <w:p w14:paraId="7470C9A6" w14:textId="77777777" w:rsidR="0034631F" w:rsidRPr="00142305" w:rsidRDefault="0034631F" w:rsidP="0034631F">
      <w:pPr>
        <w:spacing w:after="0" w:line="240" w:lineRule="auto"/>
        <w:jc w:val="both"/>
        <w:rPr>
          <w:rFonts w:ascii="Times New Roman" w:hAnsi="Times New Roman"/>
          <w:color w:val="0070C0"/>
          <w:sz w:val="16"/>
          <w:szCs w:val="16"/>
        </w:rPr>
      </w:pPr>
    </w:p>
    <w:p w14:paraId="2D62FA7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февраля 1931 г. проектирование М-32 велось в ИАМ под руководством В.М. Яков</w:t>
      </w:r>
      <w:r w:rsidRPr="005E779E">
        <w:rPr>
          <w:rFonts w:ascii="Times New Roman" w:hAnsi="Times New Roman"/>
          <w:color w:val="000000" w:themeColor="text1"/>
          <w:sz w:val="16"/>
          <w:szCs w:val="16"/>
        </w:rPr>
        <w:softHyphen/>
        <w:t>лева. Передача М-32 в НАМ затормозила работу над двигателем. На несколь</w:t>
      </w:r>
      <w:r w:rsidRPr="005E779E">
        <w:rPr>
          <w:rFonts w:ascii="Times New Roman" w:hAnsi="Times New Roman"/>
          <w:color w:val="000000" w:themeColor="text1"/>
          <w:sz w:val="16"/>
          <w:szCs w:val="16"/>
        </w:rPr>
        <w:softHyphen/>
        <w:t xml:space="preserve">ко месяцев он «завис». Лишь в феврале 1931 г. от завода приняли уже выполненные чертежи и расчеты. Проектирование закончено в марте 1931 г. Очевидно, готовность эскизного проекта была достаточно высока, поскольку 1 апреля того же года проект одобрен техническим совещанием ИАМ. В мае 1930 г. руководство </w:t>
      </w:r>
      <w:r w:rsidRPr="005E779E">
        <w:rPr>
          <w:rFonts w:ascii="Times New Roman" w:hAnsi="Times New Roman"/>
          <w:color w:val="000000" w:themeColor="text1"/>
          <w:sz w:val="16"/>
          <w:szCs w:val="16"/>
        </w:rPr>
        <w:lastRenderedPageBreak/>
        <w:t>проектированием М-32 в ИАМ предлагали поручить АД Швецову. В 1931-1932 гг. из</w:t>
      </w:r>
      <w:r w:rsidRPr="005E779E">
        <w:rPr>
          <w:rFonts w:ascii="Times New Roman" w:hAnsi="Times New Roman"/>
          <w:color w:val="000000" w:themeColor="text1"/>
          <w:sz w:val="16"/>
          <w:szCs w:val="16"/>
        </w:rPr>
        <w:softHyphen/>
        <w:t>готовлено пять (по другим данным — шесть) опытных экземпляров. К 1 января 1932 г. все рабочие чертежи деталей завершили, сделали три четверти моделей для отливок и приступили к литью. 20 октября того же года первый экземпляр М-32 запустили на стенде. В процессе доводки усилили рубашки блоков, затем выявилось растрескивание коренных под</w:t>
      </w:r>
      <w:r w:rsidRPr="005E779E">
        <w:rPr>
          <w:rFonts w:ascii="Times New Roman" w:hAnsi="Times New Roman"/>
          <w:color w:val="000000" w:themeColor="text1"/>
          <w:sz w:val="16"/>
          <w:szCs w:val="16"/>
        </w:rPr>
        <w:softHyphen/>
        <w:t>шипников и головок блоков. Со второго экзем</w:t>
      </w:r>
      <w:r w:rsidRPr="005E779E">
        <w:rPr>
          <w:rFonts w:ascii="Times New Roman" w:hAnsi="Times New Roman"/>
          <w:color w:val="000000" w:themeColor="text1"/>
          <w:sz w:val="16"/>
          <w:szCs w:val="16"/>
        </w:rPr>
        <w:softHyphen/>
        <w:t>пляра применялись усиленные блоки. Основные дефекты так и не были устранены. В 1934 г. появилось новое задание на модификацию М-32РН. За счет введения ПЦН мощность требовалось довести до 650 л.с. В перспективе рассчитывали перейти на охлаждение этиленгликолем или даже на паровое охлаждение. М-32РН был построен и поставлен на стенд. В общей сложности изго</w:t>
      </w:r>
      <w:r w:rsidRPr="005E779E">
        <w:rPr>
          <w:rFonts w:ascii="Times New Roman" w:hAnsi="Times New Roman"/>
          <w:color w:val="000000" w:themeColor="text1"/>
          <w:sz w:val="16"/>
          <w:szCs w:val="16"/>
        </w:rPr>
        <w:softHyphen/>
        <w:t xml:space="preserve">товили пять М-32. Доводка двигателя шла до 1935 г. К этому времени он уже устарел, а требуемого уровня надежности ПЦН добиться не удалось. Работу прекратили. В серийное производство не запускался. </w:t>
      </w:r>
    </w:p>
    <w:p w14:paraId="492F5C0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Известны модификации:</w:t>
      </w:r>
    </w:p>
    <w:p w14:paraId="38EB611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М-32, первоначальный вариант без редук</w:t>
      </w:r>
      <w:r w:rsidRPr="005E779E">
        <w:rPr>
          <w:rFonts w:ascii="Times New Roman" w:hAnsi="Times New Roman"/>
          <w:color w:val="000000" w:themeColor="text1"/>
          <w:sz w:val="16"/>
          <w:szCs w:val="16"/>
        </w:rPr>
        <w:softHyphen/>
        <w:t>тора и ПЦН, изготовлен в одном экзем</w:t>
      </w:r>
      <w:r w:rsidRPr="005E779E">
        <w:rPr>
          <w:rFonts w:ascii="Times New Roman" w:hAnsi="Times New Roman"/>
          <w:color w:val="000000" w:themeColor="text1"/>
          <w:sz w:val="16"/>
          <w:szCs w:val="16"/>
        </w:rPr>
        <w:softHyphen/>
        <w:t>пляре. Вес по заданию 400 кг, фактически 430 кг.</w:t>
      </w:r>
    </w:p>
    <w:p w14:paraId="38F8D80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М-32РН, вариант с редуктором и одно-скоростным ПЦН. В дальнейшем предпо</w:t>
      </w:r>
      <w:r w:rsidRPr="005E779E">
        <w:rPr>
          <w:rFonts w:ascii="Times New Roman" w:hAnsi="Times New Roman"/>
          <w:color w:val="000000" w:themeColor="text1"/>
          <w:sz w:val="16"/>
          <w:szCs w:val="16"/>
        </w:rPr>
        <w:softHyphen/>
        <w:t>лагали опробовать паровое охлаждение и охлаждение этиленгликолем. Вес 460 кг.</w:t>
      </w:r>
    </w:p>
    <w:p w14:paraId="3D840CC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Характеристики:</w:t>
      </w:r>
    </w:p>
    <w:p w14:paraId="0DEB541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16-цилиндровый, рядный У-образный, че</w:t>
      </w:r>
      <w:r w:rsidRPr="005E779E">
        <w:rPr>
          <w:rFonts w:ascii="Times New Roman" w:hAnsi="Times New Roman"/>
          <w:color w:val="000000" w:themeColor="text1"/>
          <w:sz w:val="16"/>
          <w:szCs w:val="16"/>
        </w:rPr>
        <w:softHyphen/>
        <w:t>тырехтактный, водяного охлаждения;</w:t>
      </w:r>
    </w:p>
    <w:p w14:paraId="18068EE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мощность 600/750 л.с. (по заданию 650/700 л.с.);</w:t>
      </w:r>
    </w:p>
    <w:p w14:paraId="4EA476B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диаметр цилиндра/ход поршня 120/120 мм;</w:t>
      </w:r>
    </w:p>
    <w:p w14:paraId="166AA1D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объем 21,7 л;</w:t>
      </w:r>
    </w:p>
    <w:p w14:paraId="13D0B09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степень сжатия 6,0;</w:t>
      </w:r>
    </w:p>
    <w:p w14:paraId="4814779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безредукторный.</w:t>
      </w:r>
    </w:p>
    <w:p w14:paraId="543D902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Предлагался для истребителей И-9, И-13, ДИ-6.</w:t>
      </w:r>
    </w:p>
    <w:p w14:paraId="58D1463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Единственный сохранившийся до наших дней М-32РН лежит на задворках музея в Монино (11852).</w:t>
      </w:r>
    </w:p>
    <w:p w14:paraId="6F7FC8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44767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феврале 1931 г. документацию по двигателю М-38 при</w:t>
      </w:r>
      <w:r w:rsidRPr="005E779E">
        <w:rPr>
          <w:rFonts w:ascii="Times New Roman" w:hAnsi="Times New Roman"/>
          <w:color w:val="000000" w:themeColor="text1"/>
          <w:sz w:val="16"/>
          <w:szCs w:val="16"/>
        </w:rPr>
        <w:softHyphen/>
        <w:t>нял ИАМ. В мае проект в целом завершили. В январе следующего года уже изготовили около трети деталей. В октябре 1932 г. опытный образец был готов. Первые испытания выявили недостаточную прочность головок, поршней, кулачковой шайбы. В январе 1933 г. литые поршни заменили коваными, механизм газораспределения модернизировали, взяв за образец Бристоль «Меркьюри». Но заданной мощности 600 л.с. достичь -не уда</w:t>
      </w:r>
      <w:r w:rsidRPr="005E779E">
        <w:rPr>
          <w:rFonts w:ascii="Times New Roman" w:hAnsi="Times New Roman"/>
          <w:color w:val="000000" w:themeColor="text1"/>
          <w:sz w:val="16"/>
          <w:szCs w:val="16"/>
        </w:rPr>
        <w:softHyphen/>
        <w:t>лось. После принятия решения о запуске в производство американского «Циклона» ценность недоведенного М-38 сразу упала. В конце 1933 г. работу по нему прекратили.</w:t>
      </w:r>
    </w:p>
    <w:p w14:paraId="125473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Двигатель для истребителей. Проектировался под руководством Ф.В. Концевича на заводе № 24 с 1930 г., с февраля 1931 г. в НАМ. Общая компоновка завершена в мае 1931 г., рабочие чертежи — в янва</w:t>
      </w:r>
      <w:r w:rsidRPr="005E779E">
        <w:rPr>
          <w:rFonts w:ascii="Times New Roman" w:hAnsi="Times New Roman"/>
          <w:color w:val="000000" w:themeColor="text1"/>
          <w:sz w:val="16"/>
          <w:szCs w:val="16"/>
        </w:rPr>
        <w:softHyphen/>
        <w:t>ре 1932 г. Опытным заводом НАМ в 1932 г. изготовлены два опытных образца. Стендовые испытания проводились с осени 1932 г. Выявлены трещины в поршнях, ненадежность газораспределения. Доводка двигателя шла до осени 1933 г. Работы прекращены из-за несоответствия реальной</w:t>
      </w:r>
    </w:p>
    <w:p w14:paraId="4CCCFDF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мощности двигателя заданию и превышения веса (по заданию не более 400 кг).</w:t>
      </w:r>
    </w:p>
    <w:p w14:paraId="6F38290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Характеристики:</w:t>
      </w:r>
    </w:p>
    <w:p w14:paraId="588AB6C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9-цилиндровый, звездообразный, четырехтактный, воздушного охлаж</w:t>
      </w:r>
      <w:r w:rsidRPr="005E779E">
        <w:rPr>
          <w:rFonts w:ascii="Times New Roman" w:hAnsi="Times New Roman"/>
          <w:color w:val="000000" w:themeColor="text1"/>
          <w:sz w:val="16"/>
          <w:szCs w:val="16"/>
        </w:rPr>
        <w:softHyphen/>
        <w:t>дения;</w:t>
      </w:r>
    </w:p>
    <w:p w14:paraId="5C92C3D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безредукторный;</w:t>
      </w:r>
    </w:p>
    <w:p w14:paraId="056FD6E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мощность по проекту 570/600 л.с. (фактически получено 575 л.с.);</w:t>
      </w:r>
    </w:p>
    <w:p w14:paraId="2E939CC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вес 460 кг (по заданию 450 кг);</w:t>
      </w:r>
    </w:p>
    <w:p w14:paraId="6FF16D3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диаметр цилиндра/ход поршня 135/160 мм;</w:t>
      </w:r>
    </w:p>
    <w:p w14:paraId="1BF8577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полный рабочий объем 30,7 л;</w:t>
      </w:r>
    </w:p>
    <w:p w14:paraId="21401A6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степень сжатия 6,0. Проектировались несколько модификаций:</w:t>
      </w:r>
    </w:p>
    <w:p w14:paraId="3342387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М-38 без редуктора и нагнетателя.</w:t>
      </w:r>
    </w:p>
    <w:p w14:paraId="0E7CEC8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М-38Н с односкоростным ПЦН.</w:t>
      </w:r>
    </w:p>
    <w:p w14:paraId="698B7CF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М-38Г (М-38Гр) для гражданских самолетов на базе М-38Н.</w:t>
      </w:r>
    </w:p>
    <w:p w14:paraId="2746F6B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М-38РН с редуктором и ПЦН, 600 л.с., вес 430 кг (по расчету). Предлагался для истребителей И-5, И-9, И-14, И-15, корабельного раз</w:t>
      </w:r>
      <w:r w:rsidRPr="005E779E">
        <w:rPr>
          <w:rFonts w:ascii="Times New Roman" w:hAnsi="Times New Roman"/>
          <w:color w:val="000000" w:themeColor="text1"/>
          <w:sz w:val="16"/>
          <w:szCs w:val="16"/>
        </w:rPr>
        <w:softHyphen/>
        <w:t>ведчика КР-2 (11852).</w:t>
      </w:r>
    </w:p>
    <w:p w14:paraId="6873872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1581C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феврале 1931 г. в ИАМ на базе цилиндро-поршневой группы экспериментального одноцилиндрового мотора М-170 (впоследствии известный также как М-170/44) с уравнове</w:t>
      </w:r>
      <w:r w:rsidRPr="005E779E">
        <w:rPr>
          <w:rFonts w:ascii="Times New Roman" w:hAnsi="Times New Roman"/>
          <w:color w:val="000000" w:themeColor="text1"/>
          <w:sz w:val="16"/>
          <w:szCs w:val="16"/>
        </w:rPr>
        <w:softHyphen/>
        <w:t>шивающим механизмом, спроектированном в ВМО ЦАГИ в 1927-1929 гг. для проверки возможность создания авиамотора с цилиндрами большого диаметра (222 мм), с которого хотели снять 170 л.с. на цилиндр, начали проектировать 12-цилиндровый двигатель М-44, предназначенный для тяжелых бомбардировщиков. Его хотели монтиро</w:t>
      </w:r>
      <w:r w:rsidRPr="005E779E">
        <w:rPr>
          <w:rFonts w:ascii="Times New Roman" w:hAnsi="Times New Roman"/>
          <w:color w:val="000000" w:themeColor="text1"/>
          <w:sz w:val="16"/>
          <w:szCs w:val="16"/>
        </w:rPr>
        <w:softHyphen/>
        <w:t>вать на огромных «бомбовозах» ТБ-6 и ТБ-7, заложенных в план развития ВВС РККА. В мае 1931 г. проект в основном был готов. Но в план опытных работ на 1932 г. двигатель внесли как второочередной, ожидая окончания до</w:t>
      </w:r>
      <w:r w:rsidRPr="005E779E">
        <w:rPr>
          <w:rFonts w:ascii="Times New Roman" w:hAnsi="Times New Roman"/>
          <w:color w:val="000000" w:themeColor="text1"/>
          <w:sz w:val="16"/>
          <w:szCs w:val="16"/>
        </w:rPr>
        <w:softHyphen/>
        <w:t>водки М-170/44. По мере проработки проекта М-44 изменялось задание — допустимый вес с 1500 кг поднялся до 1800 кг. Лишь с начала 1933 г. приступили к изготовлению опытных образцов двигателя (их параллельно делали два). В том же году начались заводские испытания первого экземпляра, в следующем — второго. Планировали и третий, но позднее от его сборки отказались. Одновременно началось проектирование катерной модификации, ГМ-44 с реверс-муфтой. Авиационный М-44 не оправдал надежд конструкторов. Мощность его оказалась значительно меньше заданных 2200 л.с. В конце 1934 г. работы по нему прекратили. Катерный ГМ-44 построили и испытывали до сере</w:t>
      </w:r>
      <w:r w:rsidRPr="005E779E">
        <w:rPr>
          <w:rFonts w:ascii="Times New Roman" w:hAnsi="Times New Roman"/>
          <w:color w:val="000000" w:themeColor="text1"/>
          <w:sz w:val="16"/>
          <w:szCs w:val="16"/>
        </w:rPr>
        <w:softHyphen/>
        <w:t>дины 1936 г. Но его также не запустили в серийное производство.</w:t>
      </w:r>
    </w:p>
    <w:p w14:paraId="5B2033C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Самый мощный советский авиамотор первой половины 30-х годов. Предназначался для тяжелых бомбардировщиков. Проектировался в НАМ под руководством Н.П. Сердюкова с февраля 1931 г. на базе экспериментального одноцилиндрового мотора М-170 (М-170/44), соз</w:t>
      </w:r>
      <w:r w:rsidRPr="005E779E">
        <w:rPr>
          <w:rFonts w:ascii="Times New Roman" w:hAnsi="Times New Roman"/>
          <w:color w:val="000000" w:themeColor="text1"/>
          <w:sz w:val="16"/>
          <w:szCs w:val="16"/>
        </w:rPr>
        <w:softHyphen/>
        <w:t>данного в 1929-1930 гг. в ВМО ЦАГИ. Построены в 1933-1935 гг. три опытных образца, в том числе один ГМ-44. Работы прекращены в середине 1936 г.</w:t>
      </w:r>
    </w:p>
    <w:p w14:paraId="7D6FA25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Существовали модификации:</w:t>
      </w:r>
    </w:p>
    <w:p w14:paraId="3EB3311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М-44, авиационный вариант. Изготовлен в двух экземплярах. Мощ</w:t>
      </w:r>
      <w:r w:rsidRPr="005E779E">
        <w:rPr>
          <w:rFonts w:ascii="Times New Roman" w:hAnsi="Times New Roman"/>
          <w:color w:val="000000" w:themeColor="text1"/>
          <w:sz w:val="16"/>
          <w:szCs w:val="16"/>
        </w:rPr>
        <w:softHyphen/>
        <w:t>ность 1700/2000 л.с., вес 1700 кг (по другим данным — 1800 кг).</w:t>
      </w:r>
    </w:p>
    <w:p w14:paraId="7B6FA27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М-44Н с нагнетателем. Значился в плане работ на 1933 г., но никаких данных о работе по этому проекту нет.</w:t>
      </w:r>
    </w:p>
    <w:p w14:paraId="04B877E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ГМ-44, катерный вариант с реверс-редуктором. Изготовлен в одном экземпляре в 1935 г. Испытывался в 1935-1936 гг. Мощность 1870 л.с.</w:t>
      </w:r>
    </w:p>
    <w:p w14:paraId="33DD06F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Характеристики:</w:t>
      </w:r>
    </w:p>
    <w:p w14:paraId="41617CC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12-цилиндровый, рядный У-образный, четырехтактный, водяного охлаждения;</w:t>
      </w:r>
    </w:p>
    <w:p w14:paraId="53FD0E4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.редукторный;</w:t>
      </w:r>
    </w:p>
    <w:p w14:paraId="2E1A6D4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мощность и вес в зависимости от модификации;</w:t>
      </w:r>
    </w:p>
    <w:p w14:paraId="46DFE7D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диаметр цилиндра/ход поршня 222/286 мм;</w:t>
      </w:r>
    </w:p>
    <w:p w14:paraId="16CDAD7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полный рабочий объем 132,8 л;</w:t>
      </w:r>
    </w:p>
    <w:p w14:paraId="6B83CA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степень сжатия 6,0 (по другим данным - 5,0). Предлагался для бомбардировщиков ТБ-6 и ТБ-7 (не Пе-8) (11852).</w:t>
      </w:r>
    </w:p>
    <w:p w14:paraId="3A07F2E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FDD5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феврале 1931 г. приступили к проектированию М-44, а в мае уже закончили; руководил работой Н.П. Сердюков. Однако изготовление опытных образцов задержали, поскольку хотели в максимальной степени отладить цилиндро-поршневую группу, испытывая ее на М-170/44. Интересно, что в плане института на 1932 г. работа по М-44 числилась "второочередной".</w:t>
      </w:r>
    </w:p>
    <w:p w14:paraId="6DE893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1928 г. в ЦАГИ начали строить установку М-170. Это был одноцилиндровый четырехтактный двигатель, а цифра показывала, что с этого цилиндра намеревались "снять" 170 л.с. Результаты опытов внушали надежду, и в 1930 г. ИАМ дали задание на базе М-170 (переименованной в М-170/44) создать 12-цилиндровый V-образный мотор водяного охлаждения.</w:t>
      </w:r>
    </w:p>
    <w:p w14:paraId="0E798D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1933 г. приступили к изготовлению деталей для двух опытных экземпляров. В том же году первый из них собрали и опробовали на стенде, а в начале следующего года - второй. Планировали и третий, но потом его исключили. Однако М-44 упорно отказывался выдавать требуемую мощность и постоянно ломался.</w:t>
      </w:r>
    </w:p>
    <w:p w14:paraId="682EF8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Третий образец этого мотора все-таки сделали, но в катерном варианте ГМ-44 со специальным реверс-редуктором. Но и он не снискал большого успеха. Отчаявшись добиться поставленных заданием показателей, в конце 1934 г. работу прекратили.</w:t>
      </w:r>
    </w:p>
    <w:p w14:paraId="6CEFCB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мотор М-44 возлагались большие надежды. По заданию его максимальная мощность должна была достигнуть 2000 л.с. (а по некоторым документам - 2200 л.с.). История этого двигателя началась в винтомоторном отделе ЦАГИ. Там экспериментировали с цилиндрами большого диаметра. Действительно, при этом коэффициент полезного действия двигателя должен был вырасти за счет уменьшения тепловых потерь, ведь объем растет по кубу, а площадь, с которой теряют тепло - только по квадрату. Но при этом резко возрастают нагрузки на все части двигателя, ведь увеличение площади поршня - это пропорциональное увеличение действующей на него силы (12024).</w:t>
      </w:r>
    </w:p>
    <w:p w14:paraId="46670B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A1E62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 феврале 1931 г. приступили к проектированию М-44, а в мае уже закончили; руководил работой Н.П. Сердюков. Изготовление опытных образцов задержали, поскольку хотели в максимальной степени отладить пилиндро-поршневую группу, испытывая ее на М-170/44. Интересно, что в плане института на 1932 г. работа по М-44 числилась "второочередной".</w:t>
      </w:r>
    </w:p>
    <w:p w14:paraId="7ABD93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1928 г. в ЦАГИ начали строить установку М-170. Это был одноцилиндровый четырехтактный двигатель, а цифра показывала, что с этого цилиндра намеревались "снять" 170 л.с. Результаты опытов внушали надежду, и в 1930 г. ИАМ дали задание на базе М-170 (переименованной в М-170/44) создать 12-цилиндровый V-образный мотор водяного охлаждения.</w:t>
      </w:r>
    </w:p>
    <w:p w14:paraId="55DC9F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1933 г. приступили к изготовлению деталей для двух опытных экземпляров. В том же году первый из них собрали и опробовали на стенде, а в начале следующего года - второй. Планировали и третий, но потом его исключили. Однако М-44 упорно отказывался выдавать требуемую мощность и постоянно ломался.</w:t>
      </w:r>
    </w:p>
    <w:p w14:paraId="0BE5A4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Третий образец этого мотора все-таки сделали, но в катерном варианте ГМ-44 со специальным реверс-редуктором. Но и он не снискал большого успеха. Отчаявшись добиться поставленных заданием показателей, в конце 1934 г. работу прекратили (12036).</w:t>
      </w:r>
    </w:p>
    <w:p w14:paraId="03EC81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0035B3A" w14:textId="77777777" w:rsidR="0034631F" w:rsidRPr="00142305" w:rsidRDefault="0034631F" w:rsidP="003463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феврале 1931 г. приступили к проектированию двигателя М-44, а в мае уже закончили; руководил работой Н.П. Сердюков. Изготов</w:t>
      </w:r>
      <w:r w:rsidRPr="00142305">
        <w:rPr>
          <w:rFonts w:ascii="Times New Roman" w:hAnsi="Times New Roman"/>
          <w:color w:val="0070C0"/>
          <w:sz w:val="16"/>
          <w:szCs w:val="16"/>
        </w:rPr>
        <w:softHyphen/>
        <w:t>ление опытных образцов задержали, поскольку хотели в мак</w:t>
      </w:r>
      <w:r w:rsidRPr="00142305">
        <w:rPr>
          <w:rFonts w:ascii="Times New Roman" w:hAnsi="Times New Roman"/>
          <w:color w:val="0070C0"/>
          <w:sz w:val="16"/>
          <w:szCs w:val="16"/>
        </w:rPr>
        <w:softHyphen/>
        <w:t>симальной степени отладить цилиндро-поршневую группу, испытывая ее на М -170/44. Интересно, что в плане института на 1932 г. работа по М-44 числилась «второочередной».</w:t>
      </w:r>
    </w:p>
    <w:p w14:paraId="2BCF9D35" w14:textId="77777777" w:rsidR="0034631F" w:rsidRPr="00142305" w:rsidRDefault="0034631F" w:rsidP="003463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1928 г. в ЦАГИ начали строить установку M-170. Это был одноцилиндровый четырехтактный двигатель, а циф</w:t>
      </w:r>
      <w:r w:rsidRPr="00142305">
        <w:rPr>
          <w:rFonts w:ascii="Times New Roman" w:hAnsi="Times New Roman"/>
          <w:color w:val="0070C0"/>
          <w:sz w:val="16"/>
          <w:szCs w:val="16"/>
        </w:rPr>
        <w:softHyphen/>
        <w:t>ра показывала, что с этого цилиндра намеревались «снять» 170 л.с. Результаты опытов внушали надежду, и в 1930 г. ИАМ дали задание на базе M-170 (переименованной в M-170/44) создать 12-цилиндровый V-образный мотор во</w:t>
      </w:r>
      <w:r w:rsidRPr="00142305">
        <w:rPr>
          <w:rFonts w:ascii="Times New Roman" w:hAnsi="Times New Roman"/>
          <w:color w:val="0070C0"/>
          <w:sz w:val="16"/>
          <w:szCs w:val="16"/>
        </w:rPr>
        <w:softHyphen/>
        <w:t>дяного охлаждения (24977).</w:t>
      </w:r>
    </w:p>
    <w:p w14:paraId="56CECBA0" w14:textId="77777777" w:rsidR="0034631F" w:rsidRPr="00142305" w:rsidRDefault="0034631F" w:rsidP="0034631F">
      <w:pPr>
        <w:spacing w:after="0" w:line="240" w:lineRule="auto"/>
        <w:jc w:val="both"/>
        <w:rPr>
          <w:rFonts w:ascii="Times New Roman" w:hAnsi="Times New Roman"/>
          <w:color w:val="0070C0"/>
          <w:sz w:val="16"/>
          <w:szCs w:val="16"/>
        </w:rPr>
      </w:pPr>
    </w:p>
    <w:p w14:paraId="5DF27C78" w14:textId="77777777" w:rsidR="0034631F" w:rsidRPr="00142305" w:rsidRDefault="0034631F" w:rsidP="003463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феврале 1931 г. УВВС были представлены два варианта стрелкового вооружения АНТ-16, отличавшиеся расположением огневых точек на крыле. По расположению турелей на фюзеляже оба совпадали. В носовой части са</w:t>
      </w:r>
      <w:r w:rsidRPr="00142305">
        <w:rPr>
          <w:rFonts w:ascii="Times New Roman" w:hAnsi="Times New Roman"/>
          <w:color w:val="0070C0"/>
          <w:sz w:val="16"/>
          <w:szCs w:val="16"/>
        </w:rPr>
        <w:softHyphen/>
        <w:t>молета стояла 20-мм пушка, наверху за крылом - турель с 37 -мм пушкой, в корме под рулем направления - спаренный 7,б2-мм пулемет. Вооружение на крыльях подразделялось по-корабельному на два «плутонга» - левый и правы</w:t>
      </w:r>
      <w:r w:rsidRPr="00142305">
        <w:rPr>
          <w:rFonts w:ascii="Times New Roman" w:hAnsi="Times New Roman"/>
          <w:color w:val="0070C0"/>
          <w:sz w:val="16"/>
          <w:szCs w:val="16"/>
          <w:lang w:val="en-US"/>
        </w:rPr>
        <w:t>q</w:t>
      </w:r>
      <w:r w:rsidRPr="00142305">
        <w:rPr>
          <w:rFonts w:ascii="Times New Roman" w:hAnsi="Times New Roman"/>
          <w:color w:val="0070C0"/>
          <w:sz w:val="16"/>
          <w:szCs w:val="16"/>
        </w:rPr>
        <w:t>. По первому варианту каждый плугонг состоял из трех устано</w:t>
      </w:r>
      <w:r w:rsidRPr="00142305">
        <w:rPr>
          <w:rFonts w:ascii="Times New Roman" w:hAnsi="Times New Roman"/>
          <w:color w:val="0070C0"/>
          <w:sz w:val="16"/>
          <w:szCs w:val="16"/>
        </w:rPr>
        <w:softHyphen/>
        <w:t>вок. За крайним мотором на передней кромке крыла имел</w:t>
      </w:r>
      <w:r w:rsidRPr="00142305">
        <w:rPr>
          <w:rFonts w:ascii="Times New Roman" w:hAnsi="Times New Roman"/>
          <w:color w:val="0070C0"/>
          <w:sz w:val="16"/>
          <w:szCs w:val="16"/>
        </w:rPr>
        <w:softHyphen/>
        <w:t>ся выступ с открытой турелью (видимо, типа Тур-6) под спа</w:t>
      </w:r>
      <w:r w:rsidRPr="00142305">
        <w:rPr>
          <w:rFonts w:ascii="Times New Roman" w:hAnsi="Times New Roman"/>
          <w:color w:val="0070C0"/>
          <w:sz w:val="16"/>
          <w:szCs w:val="16"/>
        </w:rPr>
        <w:softHyphen/>
        <w:t xml:space="preserve">ренный пулемет. На одной с ней оси на верхней поверхности плоскости находилась башня с 20-мм пушкой. Она должна была быть выдвижной: «стакан» </w:t>
      </w:r>
      <w:r w:rsidRPr="00142305">
        <w:rPr>
          <w:rFonts w:ascii="Times New Roman" w:hAnsi="Times New Roman"/>
          <w:smallCaps/>
          <w:color w:val="0070C0"/>
          <w:sz w:val="16"/>
          <w:szCs w:val="16"/>
        </w:rPr>
        <w:t>с</w:t>
      </w:r>
      <w:r w:rsidRPr="00142305">
        <w:rPr>
          <w:rFonts w:ascii="Times New Roman" w:hAnsi="Times New Roman"/>
          <w:color w:val="0070C0"/>
          <w:sz w:val="16"/>
          <w:szCs w:val="16"/>
        </w:rPr>
        <w:t xml:space="preserve"> кольцом турели выдвигался вверх из обтекателя-зализа. Третья установка распо</w:t>
      </w:r>
      <w:r w:rsidRPr="00142305">
        <w:rPr>
          <w:rFonts w:ascii="Times New Roman" w:hAnsi="Times New Roman"/>
          <w:color w:val="0070C0"/>
          <w:sz w:val="16"/>
          <w:szCs w:val="16"/>
        </w:rPr>
        <w:softHyphen/>
        <w:t>лагалась в рогообразном выступе под крылом в плоскости крайнего мотора. Она тоже была открытой; в ней стояли два пулемета. По второму варианту передняя и задняя установ</w:t>
      </w:r>
      <w:r w:rsidRPr="00142305">
        <w:rPr>
          <w:rFonts w:ascii="Times New Roman" w:hAnsi="Times New Roman"/>
          <w:color w:val="0070C0"/>
          <w:sz w:val="16"/>
          <w:szCs w:val="16"/>
        </w:rPr>
        <w:softHyphen/>
        <w:t>ки являлись экранированными. Экраны имели вид цилинд</w:t>
      </w:r>
      <w:r w:rsidRPr="00142305">
        <w:rPr>
          <w:rFonts w:ascii="Times New Roman" w:hAnsi="Times New Roman"/>
          <w:color w:val="0070C0"/>
          <w:sz w:val="16"/>
          <w:szCs w:val="16"/>
        </w:rPr>
        <w:softHyphen/>
        <w:t>ров с коническими секциями сверху и снизу. Застеклять их должны били целлулоидом. Стволы пулеметов торчали че</w:t>
      </w:r>
      <w:r w:rsidRPr="00142305">
        <w:rPr>
          <w:rFonts w:ascii="Times New Roman" w:hAnsi="Times New Roman"/>
          <w:color w:val="0070C0"/>
          <w:sz w:val="16"/>
          <w:szCs w:val="16"/>
        </w:rPr>
        <w:softHyphen/>
        <w:t>рез вертикальные щели экранов, так что влево-вправо ору</w:t>
      </w:r>
      <w:r w:rsidRPr="00142305">
        <w:rPr>
          <w:rFonts w:ascii="Times New Roman" w:hAnsi="Times New Roman"/>
          <w:color w:val="0070C0"/>
          <w:sz w:val="16"/>
          <w:szCs w:val="16"/>
        </w:rPr>
        <w:softHyphen/>
        <w:t>жие перемещалось вместе с экраном. Верхняя башня отсутствовала. Интересно, что по заданию на бомбардировщике должны были стоять упоминавшиеся ранее пулеметы ПВ-1 в турельном исполнении (реально не существовавшем).</w:t>
      </w:r>
    </w:p>
    <w:p w14:paraId="3A9DFB0F" w14:textId="77777777" w:rsidR="0034631F" w:rsidRPr="00142305" w:rsidRDefault="0034631F" w:rsidP="003463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Позднее в ходе проектирования могучий арсенал не</w:t>
      </w:r>
      <w:r w:rsidRPr="00142305">
        <w:rPr>
          <w:rFonts w:ascii="Times New Roman" w:hAnsi="Times New Roman"/>
          <w:color w:val="0070C0"/>
          <w:sz w:val="16"/>
          <w:szCs w:val="16"/>
        </w:rPr>
        <w:softHyphen/>
        <w:t>сколько подсократился и пришел в соответствие с техничес</w:t>
      </w:r>
      <w:r w:rsidRPr="00142305">
        <w:rPr>
          <w:rFonts w:ascii="Times New Roman" w:hAnsi="Times New Roman"/>
          <w:color w:val="0070C0"/>
          <w:sz w:val="16"/>
          <w:szCs w:val="16"/>
        </w:rPr>
        <w:softHyphen/>
        <w:t>ким заданием: две пушки и восемь пулеметов. 20-мм пушки «Эрликон» должны были размещаться в двух открытых ту</w:t>
      </w:r>
      <w:r w:rsidRPr="00142305">
        <w:rPr>
          <w:rFonts w:ascii="Times New Roman" w:hAnsi="Times New Roman"/>
          <w:color w:val="0070C0"/>
          <w:sz w:val="16"/>
          <w:szCs w:val="16"/>
        </w:rPr>
        <w:softHyphen/>
        <w:t>релях на фюзеляже - носовой и средней. Последняя стоя</w:t>
      </w:r>
      <w:r w:rsidRPr="00142305">
        <w:rPr>
          <w:rFonts w:ascii="Times New Roman" w:hAnsi="Times New Roman"/>
          <w:color w:val="0070C0"/>
          <w:sz w:val="16"/>
          <w:szCs w:val="16"/>
        </w:rPr>
        <w:softHyphen/>
        <w:t>ла на специальной тележке и могла перекатываться с борта на борт, увеличивая поле обстрела. Для каждой пушки пре</w:t>
      </w:r>
      <w:r w:rsidRPr="00142305">
        <w:rPr>
          <w:rFonts w:ascii="Times New Roman" w:hAnsi="Times New Roman"/>
          <w:color w:val="0070C0"/>
          <w:sz w:val="16"/>
          <w:szCs w:val="16"/>
        </w:rPr>
        <w:softHyphen/>
        <w:t>дусматривается боезапас в 150 патронов в сменных мага</w:t>
      </w:r>
      <w:r w:rsidRPr="00142305">
        <w:rPr>
          <w:rFonts w:ascii="Times New Roman" w:hAnsi="Times New Roman"/>
          <w:color w:val="0070C0"/>
          <w:sz w:val="16"/>
          <w:szCs w:val="16"/>
        </w:rPr>
        <w:softHyphen/>
        <w:t>зинах. Два пулемета монтировались в кормовой установке. Еще четыре пары пулеметов хотели поставить на крыльях - спереди и сзади. Большая толщина крыла позволяла стрел</w:t>
      </w:r>
      <w:r w:rsidRPr="00142305">
        <w:rPr>
          <w:rFonts w:ascii="Times New Roman" w:hAnsi="Times New Roman"/>
          <w:color w:val="0070C0"/>
          <w:sz w:val="16"/>
          <w:szCs w:val="16"/>
        </w:rPr>
        <w:softHyphen/>
        <w:t>кам в полете свободно перемещаться из фюзеляжа к своим позициям в консолях по внутренним коридорам. Посколь</w:t>
      </w:r>
      <w:r w:rsidRPr="00142305">
        <w:rPr>
          <w:rFonts w:ascii="Times New Roman" w:hAnsi="Times New Roman"/>
          <w:color w:val="0070C0"/>
          <w:sz w:val="16"/>
          <w:szCs w:val="16"/>
        </w:rPr>
        <w:softHyphen/>
        <w:t>ку ПВ-1 в турельном варианте не появились, вполне логич</w:t>
      </w:r>
      <w:r w:rsidRPr="00142305">
        <w:rPr>
          <w:rFonts w:ascii="Times New Roman" w:hAnsi="Times New Roman"/>
          <w:color w:val="0070C0"/>
          <w:sz w:val="16"/>
          <w:szCs w:val="16"/>
        </w:rPr>
        <w:softHyphen/>
        <w:t>но перешли к спаренным пулеметам ДА — установкам ДА-2. На первом опытном образце ТБ-4 решили от огневых точек на крыле отказаться. Это назвали «1-м вариантом вооруже</w:t>
      </w:r>
      <w:r w:rsidRPr="00142305">
        <w:rPr>
          <w:rFonts w:ascii="Times New Roman" w:hAnsi="Times New Roman"/>
          <w:color w:val="0070C0"/>
          <w:sz w:val="16"/>
          <w:szCs w:val="16"/>
        </w:rPr>
        <w:softHyphen/>
        <w:t>ния». При этом имелась только одна установка ДА-2 с бое</w:t>
      </w:r>
      <w:r w:rsidRPr="00142305">
        <w:rPr>
          <w:rFonts w:ascii="Times New Roman" w:hAnsi="Times New Roman"/>
          <w:color w:val="0070C0"/>
          <w:sz w:val="16"/>
          <w:szCs w:val="16"/>
        </w:rPr>
        <w:softHyphen/>
        <w:t>запасом в 24 диска (24977).</w:t>
      </w:r>
    </w:p>
    <w:p w14:paraId="59B544C4" w14:textId="77777777" w:rsidR="0034631F" w:rsidRPr="00142305" w:rsidRDefault="0034631F" w:rsidP="0034631F">
      <w:pPr>
        <w:spacing w:after="0" w:line="240" w:lineRule="auto"/>
        <w:jc w:val="both"/>
        <w:rPr>
          <w:rFonts w:ascii="Times New Roman" w:hAnsi="Times New Roman"/>
          <w:color w:val="0070C0"/>
          <w:sz w:val="16"/>
          <w:szCs w:val="16"/>
        </w:rPr>
      </w:pPr>
    </w:p>
    <w:p w14:paraId="1A1BF6A3" w14:textId="77777777" w:rsidR="0034631F" w:rsidRPr="00142305" w:rsidRDefault="0034631F" w:rsidP="003463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феврале 1931 г. была начата разработка специальных авиационных крупнокали</w:t>
      </w:r>
      <w:r w:rsidRPr="00142305">
        <w:rPr>
          <w:rFonts w:ascii="Times New Roman" w:hAnsi="Times New Roman"/>
          <w:color w:val="0070C0"/>
          <w:sz w:val="16"/>
          <w:szCs w:val="16"/>
        </w:rPr>
        <w:softHyphen/>
        <w:t>берных пулеметов. Но лишь в 1935 г. выпустили первую партию пулеметов ШВАК, использовавших удачные конструкторские реше</w:t>
      </w:r>
      <w:r w:rsidRPr="00142305">
        <w:rPr>
          <w:rFonts w:ascii="Times New Roman" w:hAnsi="Times New Roman"/>
          <w:color w:val="0070C0"/>
          <w:sz w:val="16"/>
          <w:szCs w:val="16"/>
        </w:rPr>
        <w:softHyphen/>
        <w:t>ния ШКАС. Его конструкторами являлись Б.Г. Шпитальный и С.В. Владимиров. Однако пока система доводилась, решили сделать упор на авиационные пушки. Через год ШВАК превратился во всем известную 20-мм автоматичес</w:t>
      </w:r>
      <w:r w:rsidRPr="00142305">
        <w:rPr>
          <w:rFonts w:ascii="Times New Roman" w:hAnsi="Times New Roman"/>
          <w:color w:val="0070C0"/>
          <w:sz w:val="16"/>
          <w:szCs w:val="16"/>
        </w:rPr>
        <w:softHyphen/>
        <w:t>кую пушку (24977).</w:t>
      </w:r>
    </w:p>
    <w:p w14:paraId="3DD1801D" w14:textId="77777777" w:rsidR="0034631F" w:rsidRPr="00142305" w:rsidRDefault="0034631F" w:rsidP="0034631F">
      <w:pPr>
        <w:spacing w:after="0" w:line="240" w:lineRule="auto"/>
        <w:jc w:val="both"/>
        <w:rPr>
          <w:rFonts w:ascii="Times New Roman" w:hAnsi="Times New Roman"/>
          <w:color w:val="0070C0"/>
          <w:sz w:val="16"/>
          <w:szCs w:val="16"/>
        </w:rPr>
      </w:pPr>
    </w:p>
    <w:p w14:paraId="233D86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феврале 1931 года испытания на НИО – полигоне показали, что при весе снаряда АПК-4 калибр 76,2 мм 3 кг и порохе марки "МСК" начальная скорость получена 347 м/сек. при уменьшенном заряде = 560 гр., при нормальном заряде 600 гр. начальная скорость = 397 м/сек. и при увеличенном заряде 650 гр. начальная скорость = 433 м/сек (7470, 244).</w:t>
      </w:r>
    </w:p>
    <w:p w14:paraId="0A5200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1F79F21" w14:textId="0D107189" w:rsidR="0034631F" w:rsidRPr="005E779E" w:rsidRDefault="0034631F" w:rsidP="0034631F">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феврале 1931 была подготовлена "Система вооружения ВВС РККА на 1932-34 гг." представляла</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сумму перспективных заданий на новые самолеты, двигатели, оборудование и вооружение для них. Аналогично были расставлены акценты и в плане опытного самолетостроения и авиационного моторостроения, принятом Реввоенсоветом СССР весной 1931 г.</w:t>
      </w:r>
    </w:p>
    <w:p w14:paraId="23A0A5C2" w14:textId="77777777" w:rsidR="0034631F" w:rsidRPr="005E779E" w:rsidRDefault="0034631F" w:rsidP="0034631F">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первом из этих документов говорилось: "Основной идеей системы стратегической авиации является базирование на тяжелом бомбардировщике с весом 15 - 18 тонн, с радиусом действия 1000 - 1400 км, бомбовой нагрузкой 3000 - 5000 кг, потолком 8000 м... с одновременным развитием сверхтяжелого бомбардировщика и доведением его данных до полетного веса 140 - 150 тонн, бомбовой нагрузки до 25 тонн, радиуса действия до 2000 км".</w:t>
      </w:r>
    </w:p>
    <w:p w14:paraId="6503C51D" w14:textId="77777777" w:rsidR="0034631F" w:rsidRPr="005E779E" w:rsidRDefault="0034631F" w:rsidP="0034631F">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Таким образом, предполагался постепенный переход ко все большим по размерам и весу бомбардировщикам. Двухмоторный ТБ-1 уже отошел в разряд машин войсковой авиации. "Лестница наверх" начиналась с ТБ-3, считавшегося по тогдашней классификации "линкором 2-го класса". Он, с некоторыми отступлениями в части грузоподъемности и потолка, в целом соответствовал требованиям к "базовой", самой массовой машине стратегической авиации. Затем следовал еще больший по размерам, но по заданию тоже четырехмоторный (на деле его выполнили шестимоторным) ТБ-4 - "линкор 1-го класса", также являвшийся детищем А.Н. Туполева. "Дублером" ТБ-4 считался К-7, создававшийся в Харькове под руководством К.А. Калинина.</w:t>
      </w:r>
    </w:p>
    <w:p w14:paraId="5CADC7DE" w14:textId="77777777" w:rsidR="0034631F" w:rsidRPr="005E779E" w:rsidRDefault="0034631F" w:rsidP="0034631F">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следующей стадии ВВС предполагали получить огромные сверхтяжелые бомбардировщики. В документах они никак не классифицировались. Наверное, следовало бы их назвать "суперлинкорами" или "дредноутами". В качестве таковых рассматривались туполевский ТБ-6 либо конкурировавший с ним десятимоторный (по заданию, реально - двенадцатимоторный) Д-l (он же Г-1), разрабатывавшийся в Военно-воздушной академии имени Жуковского. Готовились технические задания на еще большие машины. "Основное развитие бомбардировщиков должно идти по линии стратегической авиации", - указывалось в докладе о перспективах ВВС во 2-й пятилетке (март 1933 г.).</w:t>
      </w:r>
    </w:p>
    <w:p w14:paraId="11D983CA" w14:textId="77777777" w:rsidR="0034631F" w:rsidRPr="005E779E" w:rsidRDefault="0034631F" w:rsidP="0034631F">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Всю эту армаду должны были поддерживать "вспомогательные бомбардировщики" - такие же огромные самолеты ГВФ, на которых заранее предусматривалась установка стрелкового и бомбового вооружения. Они должны были бомбить цели по ночам. Эта концепция являлась аналогом "вспомогательного крейсера" в военно-морском флоте. Во вспомогательные крейсера во время войны превращали быстроходные торговые суда и пассажирские лайнеры. Применительно к авиации ее впервые опробовали немцы. Лишенные Версальским договором права иметь военную авиацию, они намеревались в случае боевых действий "поставить под ружье" пассажирские самолеты, установив на них бомбодержатели и пулеметы по заранее отлаженной схеме.</w:t>
      </w:r>
    </w:p>
    <w:p w14:paraId="60A1A4B0" w14:textId="77777777" w:rsidR="0034631F" w:rsidRPr="005E779E" w:rsidRDefault="0034631F" w:rsidP="0034631F">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ту же "Систему вооружений...", подготовленную в 1931 г., включались гражданские самолеты, в конструкцию которых исходно закладывалось двойное назначение. Они могли служить при необходимости как тяжелые военно-транспортные машины или бомбардировщики. Это были ГТБ (бомбовая нагрузка семь тонн), ГТБТ (десять тонн), 9ТБТ (15 тонн) и ГТБ-5 (три тонны). В последнем собирались странным образом совместить военные функции бомбардировщика и "летающей амбулатории". Немного позже 9ТБТ заменили на почти идентичный по требованиям, но уже чисто военный ТБ-8 и добавили ТБ-9 под 25 тонн бомб.</w:t>
      </w:r>
    </w:p>
    <w:p w14:paraId="3437D8A4" w14:textId="77777777" w:rsidR="0034631F" w:rsidRPr="005E779E" w:rsidRDefault="0034631F" w:rsidP="0034631F">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Система стратегической авиации предполагалась двухчленной. В паре с бомбардиров- щиком-"линкором" должен был создаваться "крейсер" - неманевренный самолет сопровождения. "Крейсера" имели мощное пуле- метно-пушечное вооружение и минимальную бомбовую нагрузку. Такие машины при операциях днем хотели расположить по краям строя бомбардировщиков. Они должны были создавать огневой заслон на пути атакующих истребителей. При отсутствии таковых "крейсера" могли мелкими бомбами или пулеметным огнем подавлять зенитную артиллерию. Предусматривались действия и отдельно от общего строя: на них также возлагались функции доразведки целей и метеоразведки. Эти самолеты несли также дозорно- сторожевую службу. Радиолокаторов тогда еще не существовало; звукопеленгатор, применявшийся зенитчиками на земле, на борту был бесполезен из-за шума моторов и винтов. Оставалось выслать вперед и по бокам основного строя тяжелых бомбардировщиков машины охранения, с которых наблюдатели будут докладывать по радио о приближении истребителей противника.</w:t>
      </w:r>
    </w:p>
    <w:p w14:paraId="5D7EEA36" w14:textId="77777777" w:rsidR="0034631F" w:rsidRPr="005E779E" w:rsidRDefault="0034631F" w:rsidP="0034631F">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целью экономии "крейсер" должен был представлять модификацию бомбардировщика меньшей размерности. Так, для ТБ-4 и ТБ-6 такой самолет хотели сделать на базе ТБ-3. Самый маленький "крейсер", для прикрытия самих ТБ-3, унифицировался с двухмоторным бомбардировщиком войсковой авиации.</w:t>
      </w:r>
    </w:p>
    <w:p w14:paraId="68EC0344" w14:textId="77777777" w:rsidR="0034631F" w:rsidRPr="005E779E" w:rsidRDefault="0034631F" w:rsidP="0034631F">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конечном итоге, по мнению Управления ВВС, на вооружении стратегической авиации должны были находиться гиганты с взлетным весом 140- 150 т (этот тип Бузанов именовал собственно "тяжелыми бомбардировщиками"), затем "средние" (с весом 15 - 18 т, примерно как ТБ-3) и "крейсера" на их базе, и, наконец, "крейсера" для сопровождения "средних" машин. Существовала также точка зрения, что необходимо иметь и некоторую долю "переходных" бомбардировщиков, по своим данным примерно соответствовавших ТБ-4 (12024).</w:t>
      </w:r>
    </w:p>
    <w:p w14:paraId="414625E3" w14:textId="77777777" w:rsidR="0034631F" w:rsidRPr="005E779E" w:rsidRDefault="0034631F" w:rsidP="0034631F">
      <w:pPr>
        <w:autoSpaceDE w:val="0"/>
        <w:autoSpaceDN w:val="0"/>
        <w:adjustRightInd w:val="0"/>
        <w:spacing w:after="0" w:line="240" w:lineRule="auto"/>
        <w:jc w:val="both"/>
        <w:rPr>
          <w:rFonts w:ascii="Times New Roman" w:hAnsi="Times New Roman"/>
          <w:color w:val="000000" w:themeColor="text1"/>
          <w:sz w:val="16"/>
          <w:szCs w:val="16"/>
        </w:rPr>
      </w:pPr>
    </w:p>
    <w:p w14:paraId="3B285BAB" w14:textId="77777777" w:rsidR="0034631F" w:rsidRPr="005E779E" w:rsidRDefault="0034631F" w:rsidP="0034631F">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феврале 1931 был принят документ “Система вооружения ВВС РККА на 1932-34 гг.), в которой говорилось: "Основной идеей системы стратегической авиации является базирование на тяжелом бомбардировщике с весом 15-18 тонн, с радиусом действия 1000 - 1400 км, бомбовой нагрузкой 3000 - 5000 кг, потолком 8000 м... </w:t>
      </w:r>
      <w:r w:rsidRPr="005E779E">
        <w:rPr>
          <w:rFonts w:ascii="Times New Roman" w:hAnsi="Times New Roman"/>
          <w:color w:val="000000" w:themeColor="text1"/>
          <w:sz w:val="16"/>
          <w:szCs w:val="16"/>
        </w:rPr>
        <w:lastRenderedPageBreak/>
        <w:t>с одновременным развитием сверхтяжелого бомбардировщика и доведением его данных до полетного веса 140 - 150 тонн, бомбовой нагрузки до 25 тонн, радиуса действия до 2000 км".</w:t>
      </w:r>
    </w:p>
    <w:p w14:paraId="16517FAC" w14:textId="77777777" w:rsidR="0034631F" w:rsidRPr="005E779E" w:rsidRDefault="0034631F" w:rsidP="0034631F">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Таким образом, предполагался постепенный переход к все большим по размерам и весу бомбардировщикам. Двухмоторный ТБ-1 уже отошел в разряд машин войсковой авиации. "Лестница наверх" начиналась с ТБ-3, считавшегося по тогдашней классификации "линкором 2-го класса". Он, с некоторыми отступлениями в части грузоподъемности и потолка, в целом соответствовал требованиям к "базовой", самой массовой машине стратегической авиации. Затем следовал еше больший по размерам, но тоже четырехмоторный (на деле его выполнили шестимоторным) ТБ-4 - "линкор 1-го класса", также являвшийся детищем А.Н. Туполева. "Дублером" ТБ-4 считался К-7, создававшийся в Харькове под руководством К.А. Калинина.</w:t>
      </w:r>
    </w:p>
    <w:p w14:paraId="4F9BA713" w14:textId="77777777" w:rsidR="0034631F" w:rsidRPr="005E779E" w:rsidRDefault="0034631F" w:rsidP="0034631F">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следующей стадии ВВС предполагали получить огромные сверхтяжелые бомбардировщики. В документах они никак не классифицировались. Наверное, следовало бы их назвать "суперлинкорами" или "дредноутами". В качестве таковых рассматривались туполевский ТБ-6 либо конкурировавший с ним десятимоторный (реально - две- надцатимоторный) Д-l (он же Г-1), разрабатывавшийся в Военно-воздушной академии (12036).</w:t>
      </w:r>
    </w:p>
    <w:p w14:paraId="21656995" w14:textId="77777777" w:rsidR="0034631F" w:rsidRPr="005E779E" w:rsidRDefault="0034631F" w:rsidP="0034631F">
      <w:pPr>
        <w:autoSpaceDE w:val="0"/>
        <w:autoSpaceDN w:val="0"/>
        <w:adjustRightInd w:val="0"/>
        <w:spacing w:after="0" w:line="240" w:lineRule="auto"/>
        <w:jc w:val="both"/>
        <w:rPr>
          <w:rFonts w:ascii="Times New Roman" w:hAnsi="Times New Roman"/>
          <w:color w:val="000000" w:themeColor="text1"/>
          <w:sz w:val="16"/>
          <w:szCs w:val="16"/>
        </w:rPr>
      </w:pPr>
    </w:p>
    <w:p w14:paraId="51EC9BC5" w14:textId="545924DF" w:rsidR="0019470D" w:rsidRPr="005E779E" w:rsidRDefault="0019470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В феврале 1931 года московский БОСЭД пал жертвой аппаратных интриг и был ликвидирован, а вместо него в Ленинграде возник Научно-исследовательский институт строительства и эксплуатации дирижаблей (НИИСЭД), который к середине марта подготовил программу и смету «малого» дирижаблестроения на 1931 год. Как и план, представленный Гольцманом двумя месяцами раньше в комиссии Куйбышева, программа предусматривала одновременное проектирование и начало строительства одного мягкого дирижабля, двух полужёстких объёмом в 7,5 тыс. и 20 тыс. кубометров и жёсткого цеппелиновского корабля объёмом не менее 20 тыс. кубометров. Мягкий и меньший полужёсткий дирижабли планировалось сдать уже в 1931 году, два других - в следующем. При этом предполагалось также вести опытные работы по двум цельнометаллическим дирижаблям - каркасному и бескаркасному системы Циолковского. Сумма затрат на предстоящий год определялась в 5,2 млн рублей.</w:t>
      </w:r>
    </w:p>
    <w:p w14:paraId="7D20C554" w14:textId="4252E973" w:rsidR="0019470D" w:rsidRPr="005E779E" w:rsidRDefault="0019470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Очень похоже, что сторонники дирижаблестроения, готовя свой стомиллионный план для Политбюро, слабо верили в его утверждение, а когда это вдруг случилось, растерялись: не оказалось ни людей, ни иностранных технических партнёров, ни понимания, с чего и как начинать. И если обычно инициаторам бюджетных программ приходится урезать свои желания, втискивая их в рамки недостаточных ассигнований, то здесь произошло обратное: сами исполнители попросили усечь им план и уменьшить годовой объём финансирования до 5 % суммы, выделенной на трёхлетие (23192).</w:t>
      </w:r>
    </w:p>
    <w:p w14:paraId="2D02D713" w14:textId="77777777" w:rsidR="0019470D" w:rsidRPr="005E779E" w:rsidRDefault="0019470D" w:rsidP="000B7A6C">
      <w:pPr>
        <w:autoSpaceDE w:val="0"/>
        <w:autoSpaceDN w:val="0"/>
        <w:adjustRightInd w:val="0"/>
        <w:spacing w:after="0" w:line="240" w:lineRule="auto"/>
        <w:jc w:val="both"/>
        <w:rPr>
          <w:rFonts w:ascii="Times New Roman" w:hAnsi="Times New Roman"/>
          <w:i/>
          <w:iCs/>
          <w:color w:val="000000" w:themeColor="text1"/>
          <w:sz w:val="16"/>
          <w:szCs w:val="16"/>
        </w:rPr>
      </w:pPr>
    </w:p>
    <w:p w14:paraId="06E58FBD"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2FC7FADC"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F015394" w14:textId="77777777" w:rsidR="004742EE" w:rsidRPr="005E779E" w:rsidRDefault="004742EE"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феврале 1931 г. группой «Д» на утверждение заказчика были направлены рабочие чертежи проекта 107-мм миномета типа Стокса и мин к нему (сталистого чугуна – 2 варианта и стальная – 1 вариант).376 Изготовление 107-мм мин для МС-107 в 1930 г. было освоено на заводе им. Ленина (г. Днепропетровск).377 Следует отметить, что в июне 1931 г. при баллонном цехе спецпроизводства завода решением ВСНХ было организовано конструкторское бюро для разработки новых типов тары для отравляющих веществ и мин. По указанию НТК ВОХИМУ представители нового КБ были направлены в АНИИ для знакомства с документацией проектирования и расчетов.378 </w:t>
      </w:r>
    </w:p>
    <w:p w14:paraId="50F041A3" w14:textId="77777777" w:rsidR="004742EE" w:rsidRPr="005E779E" w:rsidRDefault="004742EE" w:rsidP="000B7A6C">
      <w:pPr>
        <w:spacing w:after="0" w:line="240" w:lineRule="auto"/>
        <w:jc w:val="both"/>
        <w:rPr>
          <w:rFonts w:ascii="Times New Roman" w:eastAsia="TimesNewRomanPSMT" w:hAnsi="Times New Roman"/>
          <w:color w:val="000000" w:themeColor="text1"/>
          <w:sz w:val="16"/>
          <w:szCs w:val="16"/>
        </w:rPr>
      </w:pPr>
      <w:r w:rsidRPr="005E779E">
        <w:rPr>
          <w:rFonts w:ascii="Times New Roman" w:hAnsi="Times New Roman"/>
          <w:color w:val="000000" w:themeColor="text1"/>
          <w:sz w:val="16"/>
          <w:szCs w:val="16"/>
        </w:rPr>
        <w:t>Изготовление станка и сборка опытного образца МС-107 осуществлялись на заводе №7 и были закончены к середине июля 1931 г.379 (20074).</w:t>
      </w:r>
    </w:p>
    <w:p w14:paraId="2C12E122" w14:textId="77777777" w:rsidR="004742EE" w:rsidRPr="005E779E" w:rsidRDefault="004742EE" w:rsidP="000B7A6C">
      <w:pPr>
        <w:spacing w:after="0" w:line="240" w:lineRule="auto"/>
        <w:jc w:val="both"/>
        <w:rPr>
          <w:rFonts w:ascii="Times New Roman" w:eastAsia="TimesNewRomanPSMT" w:hAnsi="Times New Roman"/>
          <w:color w:val="000000" w:themeColor="text1"/>
          <w:sz w:val="16"/>
          <w:szCs w:val="16"/>
        </w:rPr>
      </w:pPr>
    </w:p>
    <w:p w14:paraId="25EFA26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фев</w:t>
      </w:r>
      <w:r w:rsidRPr="005E779E">
        <w:rPr>
          <w:rFonts w:ascii="Times New Roman" w:hAnsi="Times New Roman"/>
          <w:color w:val="000000" w:themeColor="text1"/>
          <w:sz w:val="16"/>
          <w:szCs w:val="16"/>
        </w:rPr>
        <w:softHyphen/>
        <w:t>рале 1931 заместитель председателя Реввоенсовета И. П. Уборевич докладывал Ворошилову: «Изготовлено 2 крупнокалиберных пулемета — 12,7-мм системы Дрейзе изготовления ТОЗ на станке Прилуцкого и пулемет системы Дрейзе на универсаль</w:t>
      </w:r>
      <w:r w:rsidRPr="005E779E">
        <w:rPr>
          <w:rFonts w:ascii="Times New Roman" w:hAnsi="Times New Roman"/>
          <w:color w:val="000000" w:themeColor="text1"/>
          <w:sz w:val="16"/>
          <w:szCs w:val="16"/>
        </w:rPr>
        <w:softHyphen/>
        <w:t>ном станке Колесникова... При демонстрировании РВС СССР оба пулемета работали удовлетворительно. Темп стрельбы 350—400 выстр./мин. Бронепробиваемость — 16-мм танко</w:t>
      </w:r>
      <w:r w:rsidRPr="005E779E">
        <w:rPr>
          <w:rFonts w:ascii="Times New Roman" w:hAnsi="Times New Roman"/>
          <w:color w:val="000000" w:themeColor="text1"/>
          <w:sz w:val="16"/>
          <w:szCs w:val="16"/>
        </w:rPr>
        <w:softHyphen/>
        <w:t>вая броня при угле встречи 90° на 300 м системы Дегтярева 100%, Дрейзе — 80%. По сравнению с иностранным пулеме</w:t>
      </w:r>
      <w:r w:rsidRPr="005E779E">
        <w:rPr>
          <w:rFonts w:ascii="Times New Roman" w:hAnsi="Times New Roman"/>
          <w:color w:val="000000" w:themeColor="text1"/>
          <w:sz w:val="16"/>
          <w:szCs w:val="16"/>
        </w:rPr>
        <w:softHyphen/>
        <w:t>том Браунинга пулеметы обладают большей мощностью, имея начальную скорость пули 810 м/с против 760 м/с Браунинга. Пулеметы дорабатываются, и после окончания испытаний предположено заказать в 1931 г. 50 пулеметов системы Дег</w:t>
      </w:r>
      <w:r w:rsidRPr="005E779E">
        <w:rPr>
          <w:rFonts w:ascii="Times New Roman" w:hAnsi="Times New Roman"/>
          <w:color w:val="000000" w:themeColor="text1"/>
          <w:sz w:val="16"/>
          <w:szCs w:val="16"/>
        </w:rPr>
        <w:softHyphen/>
        <w:t>тярева, как более легкого и простого в изготовлении и допус</w:t>
      </w:r>
      <w:r w:rsidRPr="005E779E">
        <w:rPr>
          <w:rFonts w:ascii="Times New Roman" w:hAnsi="Times New Roman"/>
          <w:color w:val="000000" w:themeColor="text1"/>
          <w:sz w:val="16"/>
          <w:szCs w:val="16"/>
        </w:rPr>
        <w:softHyphen/>
        <w:t>кающего в дальнейшем постановку ленты» (10670,204).</w:t>
      </w:r>
    </w:p>
    <w:p w14:paraId="753683D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06D660" w14:textId="77777777" w:rsidR="0034631F" w:rsidRPr="00142305" w:rsidRDefault="0034631F" w:rsidP="003463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феврале 1931 года, когда прошли сравнительные испытания пулемета Дегтярева с разработанным ТОЗ пулеметом «системы Дрейзе» на станке Прилуцкого, были сформулированы окончательные требования по пулемету. В мае того же года на испытания был представлен доработанный образец пулемета с приемником Г.С.Шпагина под матерчатую ленту (25566).</w:t>
      </w:r>
    </w:p>
    <w:p w14:paraId="175B0E20" w14:textId="77777777" w:rsidR="0034631F" w:rsidRPr="00142305" w:rsidRDefault="0034631F" w:rsidP="0034631F">
      <w:pPr>
        <w:spacing w:after="0" w:line="240" w:lineRule="auto"/>
        <w:jc w:val="both"/>
        <w:rPr>
          <w:rFonts w:ascii="Times New Roman" w:hAnsi="Times New Roman"/>
          <w:color w:val="0070C0"/>
          <w:sz w:val="16"/>
          <w:szCs w:val="16"/>
        </w:rPr>
      </w:pPr>
    </w:p>
    <w:p w14:paraId="1B398ECF" w14:textId="77777777" w:rsidR="0034631F" w:rsidRPr="00142305" w:rsidRDefault="0034631F" w:rsidP="003463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феврале 1931 года прошли сравнительные испытания пулемета Дегтярева с разработанным ТОЗ пулеметом «системы Дрейзе». В мае того же года на испытания был представлен доработанный образец пулемета с приемником Г.С. Шпагина под матерчатую ленту (25233).</w:t>
      </w:r>
    </w:p>
    <w:p w14:paraId="0A2862FC" w14:textId="77777777" w:rsidR="0034631F" w:rsidRPr="00142305" w:rsidRDefault="0034631F" w:rsidP="0034631F">
      <w:pPr>
        <w:spacing w:after="0" w:line="240" w:lineRule="auto"/>
        <w:jc w:val="both"/>
        <w:rPr>
          <w:rFonts w:ascii="Times New Roman" w:hAnsi="Times New Roman"/>
          <w:color w:val="0070C0"/>
          <w:sz w:val="16"/>
          <w:szCs w:val="16"/>
        </w:rPr>
      </w:pPr>
    </w:p>
    <w:p w14:paraId="40B0180D" w14:textId="77777777" w:rsidR="004742EE" w:rsidRPr="005E779E" w:rsidRDefault="004742EE"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shd w:val="clear" w:color="auto" w:fill="FFFFFF"/>
        </w:rPr>
        <w:t>В феврале 1931 года индекс БТ стал официальным, при этом американский танк стал именоваться "БТ Кристи", а его отечественный вариант, соответственно, в дальнейшем стал БТ-2 (появился этот индекс позднее) (20339). </w:t>
      </w:r>
    </w:p>
    <w:p w14:paraId="3E979007" w14:textId="77777777" w:rsidR="004742EE" w:rsidRPr="005E779E" w:rsidRDefault="004742EE" w:rsidP="000B7A6C">
      <w:pPr>
        <w:shd w:val="clear" w:color="auto" w:fill="FFFFFF"/>
        <w:spacing w:after="0" w:line="240" w:lineRule="auto"/>
        <w:jc w:val="both"/>
        <w:rPr>
          <w:rFonts w:ascii="Times New Roman" w:hAnsi="Times New Roman"/>
          <w:color w:val="000000" w:themeColor="text1"/>
          <w:sz w:val="16"/>
          <w:szCs w:val="16"/>
        </w:rPr>
      </w:pPr>
    </w:p>
    <w:p w14:paraId="476CA5F2" w14:textId="77777777" w:rsidR="0046076A" w:rsidRPr="005E779E" w:rsidRDefault="004607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феврале 1931 г. Комиссией обороны задача модернизацию существующего серийного образца была поставлена </w:t>
      </w:r>
      <w:hyperlink r:id="rId29"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овому отделу ХПЗ, московскому КБ Оружобъединения и НАТИ. В результате проведенных работ были разработаны варианты установки в </w:t>
      </w:r>
      <w:hyperlink r:id="rId30"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 76,2-мм пушки Гарфорда, а также четырех 7,62-мм пулеметов ДТ. Боекомплект </w:t>
      </w:r>
      <w:hyperlink r:id="rId31"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а составлял 60 снарядов и 6000 патронов. Бронирование корпуса и башни было усилено за счет использования броневых листов толщиной 20, 25 и 45 мм. Ход дальнейших работ по этому направлению неизвестен (15619).</w:t>
      </w:r>
    </w:p>
    <w:p w14:paraId="2E2722D6" w14:textId="77777777" w:rsidR="0046076A" w:rsidRPr="005E779E" w:rsidRDefault="0046076A" w:rsidP="000B7A6C">
      <w:pPr>
        <w:spacing w:after="0" w:line="240" w:lineRule="auto"/>
        <w:jc w:val="both"/>
        <w:rPr>
          <w:rFonts w:ascii="Times New Roman" w:hAnsi="Times New Roman"/>
          <w:color w:val="000000" w:themeColor="text1"/>
          <w:sz w:val="16"/>
          <w:szCs w:val="16"/>
        </w:rPr>
      </w:pPr>
    </w:p>
    <w:p w14:paraId="2E703121" w14:textId="77777777" w:rsidR="00FF3124" w:rsidRPr="005E779E" w:rsidRDefault="00FF312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феврале 1931 г. постановлением РВС на вооружение РККА приняли танкетку Т-27. До 1934 г. на заводах промышленности было изготовлено более 3000 таких машин. Опыт эксплуатации танкетки показал необходимость ее совершенствования. Мероприятия по модернизации Т-27 провели на танкетке с заводским номером 452. В период с 22 марта 1932 г. по 11 февраля 1933 г. она прошла полигонные испытания на НИАБТП с целью подтверждения целесообразности внесения конструктивных изменений, а также определения износа и ресурса доработанных деталей и механизмов.</w:t>
      </w:r>
    </w:p>
    <w:p w14:paraId="21197A1C" w14:textId="77777777" w:rsidR="00FF3124" w:rsidRPr="005E779E" w:rsidRDefault="00FF312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конструкцию танкетки Т-27 были внесены следующие изменения:</w:t>
      </w:r>
    </w:p>
    <w:p w14:paraId="696E43B5" w14:textId="77777777" w:rsidR="00FF3124" w:rsidRPr="005E779E" w:rsidRDefault="00FF312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Гусеница поставлена с разваленными перьями для уменьшения схождения гусеницы.</w:t>
      </w:r>
    </w:p>
    <w:p w14:paraId="46287828" w14:textId="77777777" w:rsidR="00FF3124" w:rsidRPr="005E779E" w:rsidRDefault="00FF312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Поставлены задние крылья над гусеницами.</w:t>
      </w:r>
    </w:p>
    <w:p w14:paraId="1996649C" w14:textId="77777777" w:rsidR="00FF3124" w:rsidRPr="005E779E" w:rsidRDefault="00FF312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Поставлены наколенники для правой ноги механика водителя и для левой пулеметчика, предохраняющие ноги от ушибов об уголки.</w:t>
      </w:r>
    </w:p>
    <w:p w14:paraId="399E727D" w14:textId="77777777" w:rsidR="00FF3124" w:rsidRPr="005E779E" w:rsidRDefault="00FF312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Вместо пружинных амортизаторов подвески радиатора поставлены резиновые пластины.</w:t>
      </w:r>
    </w:p>
    <w:p w14:paraId="0E9AF9A2" w14:textId="77777777" w:rsidR="00FF3124" w:rsidRPr="005E779E" w:rsidRDefault="00FF312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 Снят канал приточного воздуха.</w:t>
      </w:r>
    </w:p>
    <w:p w14:paraId="6A67759E" w14:textId="77777777" w:rsidR="00FF3124" w:rsidRPr="005E779E" w:rsidRDefault="00FF312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 Сделан макет бронировки козырька над радиатором.</w:t>
      </w:r>
    </w:p>
    <w:p w14:paraId="1E183054" w14:textId="77777777" w:rsidR="00FF3124" w:rsidRPr="005E779E" w:rsidRDefault="00FF312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ж. Сделано новое крепление АКБ с поддоном.</w:t>
      </w:r>
    </w:p>
    <w:p w14:paraId="2102B8A5" w14:textId="77777777" w:rsidR="00FF3124" w:rsidRPr="005E779E" w:rsidRDefault="00FF312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 Правый тормозной валик поставлен усиленный, увеличенного диаметра.</w:t>
      </w:r>
    </w:p>
    <w:p w14:paraId="00725947" w14:textId="77777777" w:rsidR="00FF3124" w:rsidRPr="005E779E" w:rsidRDefault="00FF312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 Сделаны лючки в крышках лазов у командира наверх и назад, механик водитель имеет один лючок назад.</w:t>
      </w:r>
    </w:p>
    <w:p w14:paraId="3DD7A946" w14:textId="77777777" w:rsidR="00FF3124" w:rsidRPr="005E779E" w:rsidRDefault="00FF312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Поставлены пружины и сделаны другие петли крышек лазов.</w:t>
      </w:r>
    </w:p>
    <w:p w14:paraId="1585A9EA" w14:textId="77777777" w:rsidR="00FF3124" w:rsidRPr="005E779E" w:rsidRDefault="00FF312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 Поставлен налобник для водителя.</w:t>
      </w:r>
    </w:p>
    <w:p w14:paraId="43D43FE3" w14:textId="77777777" w:rsidR="00FF3124" w:rsidRPr="005E779E" w:rsidRDefault="00FF312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 Изменены крышки сальника.</w:t>
      </w:r>
    </w:p>
    <w:p w14:paraId="40A3C50D" w14:textId="77777777" w:rsidR="00FF3124" w:rsidRPr="005E779E" w:rsidRDefault="00FF312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 Изменено направление для заводной ручки в кронштейне задней подвески мотора. Для удержания заводной рукоятки в горизонтальном положении поставлена пружина.</w:t>
      </w:r>
    </w:p>
    <w:p w14:paraId="65CB588A" w14:textId="77777777" w:rsidR="00FF3124" w:rsidRPr="005E779E" w:rsidRDefault="00FF312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 Сиденье механика-водителя обшито сзади асбестом, а спереди войлоком.</w:t>
      </w:r>
    </w:p>
    <w:p w14:paraId="451097A6" w14:textId="77777777" w:rsidR="00FF3124" w:rsidRPr="005E779E" w:rsidRDefault="00FF312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 Пулеметная установка II образца установлена с прожиганием двух отверстий в лобовом листе, что не делается на других машинах и имеет люфт в боковой плоскости. Удобной и надежной конструкцией является серийный тип Виккерса, поставленный на пулеметную танкетку Т-27.</w:t>
      </w:r>
    </w:p>
    <w:p w14:paraId="28969C43" w14:textId="77777777" w:rsidR="00FF3124" w:rsidRPr="005E779E" w:rsidRDefault="00FF312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 Каретка подачи магазинов поставлена сварная без роликов» (12138).</w:t>
      </w:r>
    </w:p>
    <w:p w14:paraId="34F591D4" w14:textId="77777777" w:rsidR="00FF3124" w:rsidRPr="005E779E" w:rsidRDefault="00FF3124" w:rsidP="000B7A6C">
      <w:pPr>
        <w:spacing w:after="0" w:line="240" w:lineRule="auto"/>
        <w:jc w:val="both"/>
        <w:rPr>
          <w:rFonts w:ascii="Times New Roman" w:hAnsi="Times New Roman"/>
          <w:color w:val="000000" w:themeColor="text1"/>
          <w:sz w:val="16"/>
          <w:szCs w:val="16"/>
        </w:rPr>
      </w:pPr>
    </w:p>
    <w:p w14:paraId="0E9091E8" w14:textId="77777777" w:rsidR="0034631F" w:rsidRPr="00142305" w:rsidRDefault="0034631F" w:rsidP="003463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феврале 1931 г. постановлением РВС на вооружение РККА приняли танкетку Т-27. До 1934 г. на заводах промышленности было изготовлено более 3000 таких машин. Опыт эксплуатации танкетки показал необходимость ее совершенствования. Мероприятия по модернизации Т-27 провели на танкетке с заводским номером 452 (25559).</w:t>
      </w:r>
    </w:p>
    <w:p w14:paraId="5B3A2235" w14:textId="77777777" w:rsidR="0034631F" w:rsidRPr="00142305" w:rsidRDefault="0034631F" w:rsidP="0034631F">
      <w:pPr>
        <w:spacing w:after="0" w:line="240" w:lineRule="auto"/>
        <w:jc w:val="both"/>
        <w:rPr>
          <w:rFonts w:ascii="Times New Roman" w:hAnsi="Times New Roman"/>
          <w:color w:val="0070C0"/>
          <w:sz w:val="16"/>
          <w:szCs w:val="16"/>
        </w:rPr>
      </w:pPr>
    </w:p>
    <w:p w14:paraId="0F1638A0" w14:textId="77777777" w:rsidR="004742EE" w:rsidRPr="005E779E" w:rsidRDefault="004742EE"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феврале 1931, когда уже уверенно гово</w:t>
      </w:r>
      <w:r w:rsidRPr="005E779E">
        <w:rPr>
          <w:rFonts w:ascii="Times New Roman" w:hAnsi="Times New Roman"/>
          <w:color w:val="000000" w:themeColor="text1"/>
          <w:sz w:val="16"/>
          <w:szCs w:val="16"/>
        </w:rPr>
        <w:softHyphen/>
        <w:t>рили о серийном производстве Т-26 и Т-27 и продолжали метания со средним таком - «признать основным типом мощный средний танк ТГ (танк Гроте)» - о выпуске большого танка речь все еще не шла. Внятные требова</w:t>
      </w:r>
      <w:r w:rsidRPr="005E779E">
        <w:rPr>
          <w:rFonts w:ascii="Times New Roman" w:hAnsi="Times New Roman"/>
          <w:color w:val="000000" w:themeColor="text1"/>
          <w:sz w:val="16"/>
          <w:szCs w:val="16"/>
        </w:rPr>
        <w:softHyphen/>
        <w:t>ния к «тяжелому танку» были зафиксирова</w:t>
      </w:r>
      <w:r w:rsidRPr="005E779E">
        <w:rPr>
          <w:rFonts w:ascii="Times New Roman" w:hAnsi="Times New Roman"/>
          <w:color w:val="000000" w:themeColor="text1"/>
          <w:sz w:val="16"/>
          <w:szCs w:val="16"/>
        </w:rPr>
        <w:softHyphen/>
        <w:t>ны только через полтора года в мае 1932-го. К этому времени уже изменилась сама систе</w:t>
      </w:r>
      <w:r w:rsidRPr="005E779E">
        <w:rPr>
          <w:rFonts w:ascii="Times New Roman" w:hAnsi="Times New Roman"/>
          <w:color w:val="000000" w:themeColor="text1"/>
          <w:sz w:val="16"/>
          <w:szCs w:val="16"/>
        </w:rPr>
        <w:softHyphen/>
        <w:t>ма вооружений (19859)</w:t>
      </w:r>
    </w:p>
    <w:p w14:paraId="628715B5" w14:textId="77777777" w:rsidR="004742EE" w:rsidRPr="005E779E" w:rsidRDefault="004742EE" w:rsidP="000B7A6C">
      <w:pPr>
        <w:shd w:val="clear" w:color="auto" w:fill="FFFFFF"/>
        <w:spacing w:after="0" w:line="240" w:lineRule="auto"/>
        <w:jc w:val="both"/>
        <w:rPr>
          <w:rFonts w:ascii="Times New Roman" w:hAnsi="Times New Roman"/>
          <w:color w:val="000000" w:themeColor="text1"/>
          <w:sz w:val="16"/>
          <w:szCs w:val="16"/>
        </w:rPr>
      </w:pPr>
    </w:p>
    <w:p w14:paraId="27FE9D95" w14:textId="77777777" w:rsidR="0034631F" w:rsidRPr="00142305" w:rsidRDefault="0034631F" w:rsidP="003463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феврале 1931 года Дыренков извес</w:t>
      </w:r>
      <w:r w:rsidRPr="00142305">
        <w:rPr>
          <w:rFonts w:ascii="Times New Roman" w:hAnsi="Times New Roman"/>
          <w:color w:val="0070C0"/>
          <w:sz w:val="16"/>
          <w:szCs w:val="16"/>
        </w:rPr>
        <w:softHyphen/>
        <w:t xml:space="preserve">тил начальника УММ </w:t>
      </w:r>
      <w:r w:rsidRPr="00142305">
        <w:rPr>
          <w:rFonts w:ascii="Times New Roman" w:hAnsi="Times New Roman"/>
          <w:smallCaps/>
          <w:color w:val="0070C0"/>
          <w:sz w:val="16"/>
          <w:szCs w:val="16"/>
        </w:rPr>
        <w:t>РККа</w:t>
      </w:r>
      <w:r w:rsidRPr="00142305">
        <w:rPr>
          <w:rFonts w:ascii="Times New Roman" w:hAnsi="Times New Roman"/>
          <w:color w:val="0070C0"/>
          <w:sz w:val="16"/>
          <w:szCs w:val="16"/>
        </w:rPr>
        <w:t xml:space="preserve"> Халепского:</w:t>
      </w:r>
    </w:p>
    <w:p w14:paraId="6DF022BC" w14:textId="77777777" w:rsidR="0034631F" w:rsidRPr="00142305" w:rsidRDefault="0034631F" w:rsidP="003463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основании полученных от Вас зада</w:t>
      </w:r>
      <w:r w:rsidRPr="00142305">
        <w:rPr>
          <w:rFonts w:ascii="Times New Roman" w:hAnsi="Times New Roman"/>
          <w:color w:val="0070C0"/>
          <w:sz w:val="16"/>
          <w:szCs w:val="16"/>
        </w:rPr>
        <w:softHyphen/>
        <w:t>ний мною разработаны и построены сле</w:t>
      </w:r>
      <w:r w:rsidRPr="00142305">
        <w:rPr>
          <w:rFonts w:ascii="Times New Roman" w:hAnsi="Times New Roman"/>
          <w:color w:val="0070C0"/>
          <w:sz w:val="16"/>
          <w:szCs w:val="16"/>
        </w:rPr>
        <w:softHyphen/>
        <w:t>дующие образцы бронирования:</w:t>
      </w:r>
    </w:p>
    <w:p w14:paraId="30717CAF" w14:textId="77777777" w:rsidR="0034631F" w:rsidRPr="00142305" w:rsidRDefault="0034631F" w:rsidP="003463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шасси трактора «Коммунар» — суррогативный танк с одной 76-мм полковой пушкой, двумя пулеметами ДТ при двух запасных пулеметах с четырьмя шаровы</w:t>
      </w:r>
      <w:r w:rsidRPr="00142305">
        <w:rPr>
          <w:rFonts w:ascii="Times New Roman" w:hAnsi="Times New Roman"/>
          <w:color w:val="0070C0"/>
          <w:sz w:val="16"/>
          <w:szCs w:val="16"/>
        </w:rPr>
        <w:softHyphen/>
        <w:t>ми установками (обозначение Д-10);</w:t>
      </w:r>
    </w:p>
    <w:p w14:paraId="0CC91F1E" w14:textId="77777777" w:rsidR="0034631F" w:rsidRPr="00142305" w:rsidRDefault="0034631F" w:rsidP="003463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w:t>
      </w:r>
    </w:p>
    <w:p w14:paraId="1ABB77B3" w14:textId="77777777" w:rsidR="0034631F" w:rsidRPr="00142305" w:rsidRDefault="0034631F" w:rsidP="003463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шасси трактора «Коммунар» — бро</w:t>
      </w:r>
      <w:r w:rsidRPr="00142305">
        <w:rPr>
          <w:rFonts w:ascii="Times New Roman" w:hAnsi="Times New Roman"/>
          <w:color w:val="0070C0"/>
          <w:sz w:val="16"/>
          <w:szCs w:val="16"/>
        </w:rPr>
        <w:softHyphen/>
        <w:t>нированный десантный танк для 15 стрел</w:t>
      </w:r>
      <w:r w:rsidRPr="00142305">
        <w:rPr>
          <w:rFonts w:ascii="Times New Roman" w:hAnsi="Times New Roman"/>
          <w:color w:val="0070C0"/>
          <w:sz w:val="16"/>
          <w:szCs w:val="16"/>
        </w:rPr>
        <w:softHyphen/>
        <w:t>ков с двумя пулеметами ДТ при четырех шаровых установках (обозначение Д-14);</w:t>
      </w:r>
    </w:p>
    <w:p w14:paraId="24EBD18A" w14:textId="77777777" w:rsidR="0034631F" w:rsidRPr="00142305" w:rsidRDefault="0034631F" w:rsidP="003463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шасси «Коммунар» — танк химиче</w:t>
      </w:r>
      <w:r w:rsidRPr="00142305">
        <w:rPr>
          <w:rFonts w:ascii="Times New Roman" w:hAnsi="Times New Roman"/>
          <w:color w:val="0070C0"/>
          <w:sz w:val="16"/>
          <w:szCs w:val="16"/>
        </w:rPr>
        <w:softHyphen/>
        <w:t>ского нападения с двумя резервуарами на 4000 литров отравляющего вещества с двумя распылителями при одном пуле</w:t>
      </w:r>
      <w:r w:rsidRPr="00142305">
        <w:rPr>
          <w:rFonts w:ascii="Times New Roman" w:hAnsi="Times New Roman"/>
          <w:color w:val="0070C0"/>
          <w:sz w:val="16"/>
          <w:szCs w:val="16"/>
        </w:rPr>
        <w:softHyphen/>
        <w:t>мете ДТ действующем и одном запасном при четырех шаровых установках (обо</w:t>
      </w:r>
      <w:r w:rsidRPr="00142305">
        <w:rPr>
          <w:rFonts w:ascii="Times New Roman" w:hAnsi="Times New Roman"/>
          <w:color w:val="0070C0"/>
          <w:sz w:val="16"/>
          <w:szCs w:val="16"/>
        </w:rPr>
        <w:softHyphen/>
        <w:t>значение Д-15)» (25003).</w:t>
      </w:r>
    </w:p>
    <w:p w14:paraId="05D267DD" w14:textId="77777777" w:rsidR="0034631F" w:rsidRPr="00142305" w:rsidRDefault="0034631F" w:rsidP="0034631F">
      <w:pPr>
        <w:spacing w:after="0" w:line="240" w:lineRule="auto"/>
        <w:jc w:val="both"/>
        <w:rPr>
          <w:rFonts w:ascii="Times New Roman" w:hAnsi="Times New Roman"/>
          <w:color w:val="0070C0"/>
          <w:sz w:val="16"/>
          <w:szCs w:val="16"/>
        </w:rPr>
      </w:pPr>
    </w:p>
    <w:p w14:paraId="73E73CC2" w14:textId="77777777" w:rsidR="0034631F" w:rsidRPr="00142305" w:rsidRDefault="0034631F" w:rsidP="003463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феврале 1931 года на Экспериментальном заводе НКПС изготовили опытный образец Д-2, который получил имя «Вячеслав Менжинский» (Д-3 стал называться «Генрих Ягода»). После небольших пробегов и устранения недостатков, Д-2 и Д-3 продемонстрировали представителям командования войск ОПТУ, на которых оба образца произвели хорошее впечатление.</w:t>
      </w:r>
    </w:p>
    <w:p w14:paraId="0912D684" w14:textId="77777777" w:rsidR="0034631F" w:rsidRPr="00142305" w:rsidRDefault="0034631F" w:rsidP="003463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конструкции Д-2 сильно напоминал увеличенный в размерах Д-3. Его корпус также имел толщину бронелистов 10-16 мм, собранных между собой на заклепках. В центре корпуса Д-2 располагалась командирская рубка с наблюдательной башенкой, оборудованной стробоскопическим смотровым прибором. Для посадки экипажа из 16 человек в корпусе имелось четыре двери в бортах, а для наблюдения во время движения — четыре люка. Корпус крепился к раме, в центре которой находился 93-сильный автомобильный двигатель «Геркулес» YXC и коробка перемены передач Д-35 конструкции Дыренкова. В ходовой части использовались две типовых колесных пары от железнодорожных вагонов, но из-за увеличения габаритов Д-2, его база, по сравнению с Д-3 увеличилась на 900 мм.</w:t>
      </w:r>
    </w:p>
    <w:p w14:paraId="32BC3921" w14:textId="77777777" w:rsidR="0034631F" w:rsidRPr="00142305" w:rsidRDefault="0034631F" w:rsidP="003463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сравнению с Д-3, вооружение Д-2 значительно усилили — оно состояло из двух 7б,2-мм противоштурмовых орудий образца 1913 года в башнях, четырех бортовых пулеметов Максима и трех ДТ (два в башнях и один в командирской рубке. Орудия монтировались на тумбах, конструкцию которых заимствовали у бронеавтомобиля «Гарфорд» (их производство велось на Путиловском заводе еще в годы Первой Мировой войны).</w:t>
      </w:r>
    </w:p>
    <w:p w14:paraId="79E88326" w14:textId="77777777" w:rsidR="0034631F" w:rsidRPr="00142305" w:rsidRDefault="0034631F" w:rsidP="003463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После проведения заводских испытаний и устранения выявленных недостатков, мотоброневагоны Д-2 и Д-3 поступили на вооружение бронедивизиоиа центральных транспортных курсов ОПТУ, который в то время располагался недалеко от Белорусского вокзала в Москве (25568).</w:t>
      </w:r>
    </w:p>
    <w:p w14:paraId="67FC32AD" w14:textId="77777777" w:rsidR="0034631F" w:rsidRPr="00142305" w:rsidRDefault="0034631F" w:rsidP="0034631F">
      <w:pPr>
        <w:spacing w:after="0" w:line="240" w:lineRule="auto"/>
        <w:jc w:val="both"/>
        <w:rPr>
          <w:rFonts w:ascii="Times New Roman" w:hAnsi="Times New Roman"/>
          <w:color w:val="0070C0"/>
          <w:sz w:val="16"/>
          <w:szCs w:val="16"/>
        </w:rPr>
      </w:pPr>
    </w:p>
    <w:p w14:paraId="7358BACF" w14:textId="77777777" w:rsidR="004742EE" w:rsidRPr="005E779E" w:rsidRDefault="004742E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феврале 1931, по предварительному решению, отве</w:t>
      </w:r>
      <w:r w:rsidRPr="005E779E">
        <w:rPr>
          <w:rFonts w:ascii="Times New Roman" w:hAnsi="Times New Roman"/>
          <w:color w:val="000000" w:themeColor="text1"/>
          <w:sz w:val="16"/>
          <w:szCs w:val="16"/>
        </w:rPr>
        <w:softHyphen/>
        <w:t>ден участок для испытательной станции НАМИ на землях подмосковных совхозов «Машкино» и «Соколово», расположенный в 7,5 км от станции Химки и в 3,5 км от Ленинградского шоссе. На участке располагались небольшие помещения механических мастерских и жилой поселок на несколько десятков семей, а на реке Сходня имелась гидроэлектростанция.</w:t>
      </w:r>
    </w:p>
    <w:p w14:paraId="2E039348" w14:textId="77777777" w:rsidR="004742EE" w:rsidRPr="005E779E" w:rsidRDefault="004742E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Небольшой коллектив испытателей (началь</w:t>
      </w:r>
      <w:r w:rsidRPr="005E779E">
        <w:rPr>
          <w:rFonts w:ascii="Times New Roman" w:hAnsi="Times New Roman"/>
          <w:color w:val="000000" w:themeColor="text1"/>
          <w:sz w:val="16"/>
          <w:szCs w:val="16"/>
        </w:rPr>
        <w:softHyphen/>
        <w:t>ник Д.П. Новоспасский, инженеры П.О. Зарецкий, А.И. Пяткин, Ф.П. Фомин, старшие механики С.В. Звездин, П.П. Прокофьев и др.) провел испы</w:t>
      </w:r>
      <w:r w:rsidRPr="005E779E">
        <w:rPr>
          <w:rFonts w:ascii="Times New Roman" w:hAnsi="Times New Roman"/>
          <w:color w:val="000000" w:themeColor="text1"/>
          <w:sz w:val="16"/>
          <w:szCs w:val="16"/>
        </w:rPr>
        <w:softHyphen/>
        <w:t>тания автомобилей Форд-А и Форд-АА, АМО-3, Я-5,Я-4.</w:t>
      </w:r>
    </w:p>
    <w:p w14:paraId="5A360334" w14:textId="77777777" w:rsidR="004742EE" w:rsidRPr="005E779E" w:rsidRDefault="004742E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Однако окончательного разрешения на отвод зе</w:t>
      </w:r>
      <w:r w:rsidRPr="005E779E">
        <w:rPr>
          <w:rFonts w:ascii="Times New Roman" w:hAnsi="Times New Roman"/>
          <w:color w:val="000000" w:themeColor="text1"/>
          <w:sz w:val="16"/>
          <w:szCs w:val="16"/>
        </w:rPr>
        <w:softHyphen/>
        <w:t>мельного участка под полигон не было получено в связи с непосредственной близостью к Москве. В кон</w:t>
      </w:r>
      <w:r w:rsidRPr="005E779E">
        <w:rPr>
          <w:rFonts w:ascii="Times New Roman" w:hAnsi="Times New Roman"/>
          <w:color w:val="000000" w:themeColor="text1"/>
          <w:sz w:val="16"/>
          <w:szCs w:val="16"/>
        </w:rPr>
        <w:softHyphen/>
        <w:t>це года испытательная станция прекратила работу (22518).</w:t>
      </w:r>
    </w:p>
    <w:p w14:paraId="6525B7C2" w14:textId="77777777" w:rsidR="004742EE" w:rsidRPr="005E779E" w:rsidRDefault="004742EE" w:rsidP="000B7A6C">
      <w:pPr>
        <w:spacing w:after="0" w:line="240" w:lineRule="auto"/>
        <w:jc w:val="both"/>
        <w:rPr>
          <w:rFonts w:ascii="Times New Roman" w:hAnsi="Times New Roman"/>
          <w:color w:val="000000" w:themeColor="text1"/>
          <w:sz w:val="16"/>
          <w:szCs w:val="16"/>
        </w:rPr>
      </w:pPr>
    </w:p>
    <w:p w14:paraId="4BE843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феврале 1931 г. на базе мастерских создан завод киноаппаратуры «Кинап» Союзкино (Завод киноаппаратуры «Кинап», Ленинградский государственный завод киноаппаратуры «Кинап» («Л енкинап») /г. Ленинград Кондратьевский пр., 21/). Первоначально располагался в помещениях мастерской на ул. Правды и в одном из корпусов завода «Красный арсенал». Весной 1932 г. завод получил собственное помещение на Кондратьевском проспекте, 21. В 1934 г. завод передан в ведение Всесоюзного треста «Киномехпром», в 1939 г. - ГУ киномеханической промышленности Комитета по делам кинематографии.</w:t>
      </w:r>
    </w:p>
    <w:p w14:paraId="2873D0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Вначале выпускал звукомонтажные столы, прожектора, динамомашины, моторы, чистильные машины, ртутные выпрямители. Затем завод был перепрофилирован на производство аппаратуры звукозаписи и звуковоспроизведения. С началом войны выпускал детали для пистолетов-пулеметов, редукторы для вывода бомбардировщиков из пикирования, пиропатроны для ракетных снарядов, огнеметы.</w:t>
      </w:r>
    </w:p>
    <w:p w14:paraId="7E15E0F5" w14:textId="1AB05A02"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1942 г. завод полностью эвакуирован в города Белово (по другой информации-</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Басов'</w:t>
      </w:r>
      <w:r w:rsidRPr="005E779E">
        <w:rPr>
          <w:rFonts w:ascii="Times New Roman" w:hAnsi="Times New Roman"/>
          <w:color w:val="000000" w:themeColor="text1"/>
          <w:sz w:val="16"/>
          <w:szCs w:val="16"/>
          <w:vertAlign w:val="superscript"/>
        </w:rPr>
        <w:t>31</w:t>
      </w:r>
      <w:r w:rsidRPr="005E779E">
        <w:rPr>
          <w:rFonts w:ascii="Times New Roman" w:hAnsi="Times New Roman"/>
          <w:color w:val="000000" w:themeColor="text1"/>
          <w:sz w:val="16"/>
          <w:szCs w:val="16"/>
        </w:rPr>
        <w:t>) и Самарканд. В 1944 г., после снятия блокады, завод начал восстанавливаться.</w:t>
      </w:r>
    </w:p>
    <w:p w14:paraId="286408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1946 г. Ленинградский государственный завод киноаппаратуры «Кинап» - в ведении Министерства кинематографии, с 1953 г. - Министерства культуры, с 06.1957 г. - Управления приборостроительной промышленности ЛенСНХ, далее - Управления машиностроения ЛенСНХ.</w:t>
      </w:r>
    </w:p>
    <w:p w14:paraId="20A1F7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1952 г. при заводе сформировано Опытное Конструкторско-технологическое бюро (ОКТБ).</w:t>
      </w:r>
    </w:p>
    <w:p w14:paraId="00A4E0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1959 г. в состав завода «Кинап» вошел ЛОМЗ (бывший Химико-фармацевтический завод № 2). 2.10.1962 г. завод «Кинап» вошел в Ленинградское объединение оптико-механических производств (ЛООМП).</w:t>
      </w:r>
    </w:p>
    <w:p w14:paraId="50327961" w14:textId="2B14F6C9"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1960-х</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выпущен комплект звукотехнического оборудования для Дворца съездов (</w:t>
      </w:r>
      <w:r w:rsidRPr="005E779E">
        <w:rPr>
          <w:rFonts w:ascii="Times New Roman" w:hAnsi="Times New Roman"/>
          <w:color w:val="000000" w:themeColor="text1"/>
          <w:sz w:val="16"/>
          <w:szCs w:val="16"/>
          <w:lang w:val="en-US"/>
        </w:rPr>
        <w:t>P</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M</w:t>
      </w:r>
      <w:r w:rsidRPr="005E779E">
        <w:rPr>
          <w:rFonts w:ascii="Times New Roman" w:hAnsi="Times New Roman"/>
          <w:color w:val="000000" w:themeColor="text1"/>
          <w:sz w:val="16"/>
          <w:szCs w:val="16"/>
        </w:rPr>
        <w:t>. Кашерининов, Н.Т. Гордиенко).</w:t>
      </w:r>
    </w:p>
    <w:p w14:paraId="3B6751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Численность персонала (1932 г.)- 300 чел.</w:t>
      </w:r>
    </w:p>
    <w:p w14:paraId="059F80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Директор (1931-34 г.)- В.Ф. Сакман, (1939-40 г.)- Д.Е. Тесленко, (1945-49 г.)- </w:t>
      </w:r>
      <w:r w:rsidRPr="005E779E">
        <w:rPr>
          <w:rFonts w:ascii="Times New Roman" w:hAnsi="Times New Roman"/>
          <w:color w:val="000000" w:themeColor="text1"/>
          <w:sz w:val="16"/>
          <w:szCs w:val="16"/>
          <w:lang w:val="en-US"/>
        </w:rPr>
        <w:t>B</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C</w:t>
      </w:r>
      <w:r w:rsidRPr="005E779E">
        <w:rPr>
          <w:rFonts w:ascii="Times New Roman" w:hAnsi="Times New Roman"/>
          <w:color w:val="000000" w:themeColor="text1"/>
          <w:sz w:val="16"/>
          <w:szCs w:val="16"/>
        </w:rPr>
        <w:t>. Балабанович, (1950-62 г.)- С.М. Кузнецов.</w:t>
      </w:r>
    </w:p>
    <w:p w14:paraId="530ECCF5" w14:textId="72F801BA"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инженер (1930-е</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w:t>
      </w:r>
      <w:r w:rsidRPr="005E779E">
        <w:rPr>
          <w:rFonts w:ascii="Times New Roman" w:hAnsi="Times New Roman"/>
          <w:iCs/>
          <w:color w:val="000000" w:themeColor="text1"/>
          <w:sz w:val="16"/>
          <w:szCs w:val="16"/>
        </w:rPr>
        <w:t xml:space="preserve"> ИМ.</w:t>
      </w:r>
      <w:r w:rsidRPr="005E779E">
        <w:rPr>
          <w:rFonts w:ascii="Times New Roman" w:hAnsi="Times New Roman"/>
          <w:color w:val="000000" w:themeColor="text1"/>
          <w:sz w:val="16"/>
          <w:szCs w:val="16"/>
        </w:rPr>
        <w:t xml:space="preserve"> Саенко, (1960-е</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 xml:space="preserve">г.)- </w:t>
      </w:r>
      <w:r w:rsidRPr="005E779E">
        <w:rPr>
          <w:rFonts w:ascii="Times New Roman" w:hAnsi="Times New Roman"/>
          <w:color w:val="000000" w:themeColor="text1"/>
          <w:sz w:val="16"/>
          <w:szCs w:val="16"/>
          <w:lang w:val="en-US"/>
        </w:rPr>
        <w:t>P</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M</w:t>
      </w:r>
      <w:r w:rsidRPr="005E779E">
        <w:rPr>
          <w:rFonts w:ascii="Times New Roman" w:hAnsi="Times New Roman"/>
          <w:color w:val="000000" w:themeColor="text1"/>
          <w:sz w:val="16"/>
          <w:szCs w:val="16"/>
        </w:rPr>
        <w:t>. Кашерининов.</w:t>
      </w:r>
    </w:p>
    <w:p w14:paraId="79D9BA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Производство:</w:t>
      </w:r>
      <w:r w:rsidRPr="005E779E">
        <w:rPr>
          <w:rFonts w:ascii="Times New Roman" w:hAnsi="Times New Roman"/>
          <w:color w:val="000000" w:themeColor="text1"/>
          <w:sz w:val="16"/>
          <w:szCs w:val="16"/>
        </w:rPr>
        <w:t xml:space="preserve"> звукозаписывающие аппараты: СГК-7 (1932), «Кинап» (1932); киносъемочная камера (1933); проявочные машины (1934); видеомагнитофоны ГКНТ (1959-), «Электрон-2», ВМ-403; магнитофон «Ритм- Репортер»; бортовая аппаратура для КР «Комета» (1953-).</w:t>
      </w:r>
    </w:p>
    <w:p w14:paraId="30D0F4BC" w14:textId="77777777" w:rsidR="0046076A" w:rsidRPr="005E779E" w:rsidRDefault="0046076A"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Опытное Конструкторско-технологическое бюро (ОКТБ) при заводе «Кинап»</w:t>
      </w:r>
    </w:p>
    <w:p w14:paraId="5B4998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Сформировано при заводе в 1952 г. для обеспечения серийного производства аппаратуры самонаведения К-1 УР «КС» системы «Комета».</w:t>
      </w:r>
    </w:p>
    <w:p w14:paraId="3175F0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1956 г. ОКТБ вошло в состав ОКБ-283 МАП.</w:t>
      </w:r>
    </w:p>
    <w:p w14:paraId="149402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 (-1957 г.)- А.Н. Амромин (11982).</w:t>
      </w:r>
    </w:p>
    <w:p w14:paraId="0D3937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7091CAA" w14:textId="77777777" w:rsidR="0046076A" w:rsidRPr="005E779E" w:rsidRDefault="004607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феврале 1931 года на Экспериментальном заводе НКПС в Люблино изготовили опытный образец Д-2, который получил имя «Вячеслав Менжинский» (Д-3 стал называться «Генрих Ягода»). После небольших пробегов и устранения недостатков, Д-2 и Д-3 продемонстрировали представителям командования войск ОПТУ, на которых оба образца произвели хорошее впечатление.</w:t>
      </w:r>
    </w:p>
    <w:p w14:paraId="639D891C" w14:textId="77777777" w:rsidR="0046076A" w:rsidRPr="005E779E" w:rsidRDefault="004607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конструкции Д-2 сильно напоминал увеличенный в размерах Д-3. Его корпус также имел толщину бронелистов 10-16 мм, собранных между собой на заклепках. В центре корпуса Д-2 располагалась командирская рубка с наблюдательной башенкой, оборудованной стробоскопическим смотровым прибором. Для посадки экипажа из 16 человек в корпусе имелось четыре двери в бортах, а для наблюдения во время движения - четыре люка. Корпус крепился к раме, в центре которой находился 93-сильный автомобильный двигатель «Геркулес» YXC и коробка перемены передач Д-35 конструкции Дыренкова. В ходовой части использовались две типовых колесных пары от железнодорожных вагонов, но из-за увеличения габаритов Д-2, его база, по сравнению с Д-3 увеличилась на 900 мм.</w:t>
      </w:r>
    </w:p>
    <w:p w14:paraId="2DA1F1D5" w14:textId="77777777" w:rsidR="0046076A" w:rsidRPr="005E779E" w:rsidRDefault="004607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сравнению с Д-3, вооружение Д-2 значительно усилили - оно состояло из двух 7б,2-мм противоштурмовых орудий образца 1913 года в башнях, четырех бортовых пулеметов Максима и трех ДТ (два в башнях и один в командирской рубке. Орудия монтировались на тумбах, конструкцию которых заимствовали у бронеавтомобиля «Гарфорд» (их производство велось на Путиловском заводе еще в годы Первой Мировой войны).</w:t>
      </w:r>
    </w:p>
    <w:p w14:paraId="38C7391E" w14:textId="77777777" w:rsidR="0046076A" w:rsidRPr="005E779E" w:rsidRDefault="004607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проведения заводских испытаний и устранения выявленных недостатков, мотоброневагоны Д-2 и Д-3 поступили на вооружение бронедивизиоиа центральных транспортных курсов ОПТУ, который в то время располагался недалеко от Белорусского вокзала в Москве (15624).</w:t>
      </w:r>
    </w:p>
    <w:p w14:paraId="4DE70B57" w14:textId="77777777" w:rsidR="0046076A" w:rsidRPr="005E779E" w:rsidRDefault="0046076A" w:rsidP="000B7A6C">
      <w:pPr>
        <w:spacing w:after="0" w:line="240" w:lineRule="auto"/>
        <w:jc w:val="both"/>
        <w:rPr>
          <w:rFonts w:ascii="Times New Roman" w:hAnsi="Times New Roman"/>
          <w:color w:val="000000" w:themeColor="text1"/>
          <w:sz w:val="16"/>
          <w:szCs w:val="16"/>
        </w:rPr>
      </w:pPr>
    </w:p>
    <w:p w14:paraId="33AAE179" w14:textId="77777777" w:rsidR="0046076A" w:rsidRPr="005E779E" w:rsidRDefault="004607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феврале 1931 года машины Дыренкова Д-8 и Д-12 были осмотрены комиссией НТК УММ РККА.</w:t>
      </w:r>
    </w:p>
    <w:p w14:paraId="3D98A2C5" w14:textId="77777777" w:rsidR="0046076A" w:rsidRPr="005E779E" w:rsidRDefault="004607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 время визита на завод одного из заместителей наркома обороны в 1931 году тот, просматривая в кабинете Дыренкова американский журнал «Арми Орднанс», обратил внимание хозяина кабинета на последние модели бронеавтомобилей США. Они имели низкий силуэт и сильно наклоненные броневые листы, способствующие рикошетированию пуль. Дыренков ответил, что работа над подобной моделью у него уже идет и завтра он готов ее продемонстрировать.</w:t>
      </w:r>
    </w:p>
    <w:p w14:paraId="23A921CE" w14:textId="77777777" w:rsidR="0046076A" w:rsidRPr="005E779E" w:rsidRDefault="004607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ухода гостя Дыренков распорядился снять кузов со своего служебного автомобиля, вызвал плотника и уже к вечеру на шасси стоял фанерный макет со следами карандаша, которым изобретательный инженер размечал выкройки прямо по листам фанеры. Затем подогнанный по шасси макет разобрали и по импровизированным фанерным лекалам вырезали из бронелистов панели, собрали из них кузов, установили его на шасси. Самым трудоемким оказалась сушка окрашенного масляной краской броневика посредством паяльных ламп. Но к полудню Дыренков смог представить высокому гостю готовый для пробных стрельб корпус Д-8, смонтированный на шасси ГАЗ-А.</w:t>
      </w:r>
    </w:p>
    <w:p w14:paraId="2A82A531" w14:textId="77777777" w:rsidR="0046076A" w:rsidRPr="005E779E" w:rsidRDefault="004607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Стремясь облегчить и уменьшить машину, сделать ее незаметней и в то же время обеспечить надежной бронезащитой, Дыренков отказался от традиционной башни и разместил вооружение внутри приземистого корпуса. Оно состояло из пулемета ДТ с запасом патронов в 2079 шт. (в том числе 756 бронебойных), расположенного в правом лобовом листе, рядом с водителем, и такого же запасного пулемета, для которого, по предложению К.Е. Ворошилова в кормовой части была предусмотрена дополнительная огневая точка. Поскольку в боковых стенках еще имелись бойницы, снабженные бронезаслонками, экипаж Д-8 (который состоял из двух человек: </w:t>
      </w:r>
      <w:r w:rsidRPr="005E779E">
        <w:rPr>
          <w:rFonts w:ascii="Times New Roman" w:hAnsi="Times New Roman"/>
          <w:color w:val="000000" w:themeColor="text1"/>
          <w:sz w:val="16"/>
          <w:szCs w:val="16"/>
        </w:rPr>
        <w:lastRenderedPageBreak/>
        <w:t>водителя и командира, который одновременно выполнял обязанности пулеметчика) в случае необходимости мог вести почти круговой обстрел. При стрельбе использовался простой механический прицел.</w:t>
      </w:r>
    </w:p>
    <w:p w14:paraId="71081BF8" w14:textId="77777777" w:rsidR="0046076A" w:rsidRPr="005E779E" w:rsidRDefault="004607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Корпус броневика, набранный из термообработанных плоских бронелистов различной формы толщиной 3–7 мм соединявшихся между собой заклепками, предохранял экипаж и двигатель от поражения обычными пулями и осколками снарядов. Бронекапот с откидывающимися боковыми складными дверцами впереди имел жалюзи, через которые к радиатору подавался воздух. В боевой обстановке эти жалюзи закрывались, а воздух шел через наклонный бронелоток, защищавший переднюю ось и картер. Привод осуществлялся на заднюю ось, колеса были с проволочными спицами, шины пневматические.</w:t>
      </w:r>
    </w:p>
    <w:p w14:paraId="5F25EAC2" w14:textId="77777777" w:rsidR="0046076A" w:rsidRPr="005E779E" w:rsidRDefault="004607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бронеавтомобиле устанавливался четырехтактный четырехцилиндровый двигатель «Форд-А» (ГАЗ-А) мощностью 40 л.с. (29 кВт) с карбюратором «Форд-Зенит». Пуск двигателя производился с помощью электростартера «Автолайт МАФ» мощностью 0,8 л.с. (0,6 кВт).</w:t>
      </w:r>
    </w:p>
    <w:p w14:paraId="4CAC0372" w14:textId="77777777" w:rsidR="0046076A" w:rsidRPr="005E779E" w:rsidRDefault="004607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батарейной контактной системе зажигания использовались индукционная катушка (бобина) и распределитель с прерывателем. Емкость топливных баков составляла 40 л. Запас хода бронеавтомобиля по шоссе достигал 225 км.</w:t>
      </w:r>
    </w:p>
    <w:p w14:paraId="7E0D06A0" w14:textId="77777777" w:rsidR="0046076A" w:rsidRPr="005E779E" w:rsidRDefault="004607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состав трансмиссии входили: однодисковое сцепление с накладками из феродо, механическая коробка передач, обеспечивавшая три передачи переднего и одну передачу заднего хода, и главная коническая передача с дифференциалом. Бронеавтомобиль имел колесную формулу 4x2. Зависимая подвеска машины, состоявшая из поперечно расположенных полуэллиптических листовых рессор, обеспечивала возможность движения по грунтовым дорогам с достаточно высокой средней скоростью — до 30 км/ч. Колеса с проволочными спицами, расположенными в три ряда, обладали большой жесткостью в продольной и поперечной плоскостях.</w:t>
      </w:r>
    </w:p>
    <w:p w14:paraId="54C41CA3" w14:textId="77777777" w:rsidR="0046076A" w:rsidRPr="005E779E" w:rsidRDefault="004607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Электрооборудование машины было выполнено по однопроводной схеме. Напряжение бортовой сети составляло 6 В. В качестве источников электроэнергии использовались аккумуляторная батарея емкостью 80 А·ч и генератор мощностью 100 Вт.</w:t>
      </w:r>
    </w:p>
    <w:p w14:paraId="028B8471" w14:textId="77777777" w:rsidR="0046076A" w:rsidRPr="005E779E" w:rsidRDefault="004607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Одновременно с Д-8 был разработан и построен его вариант Д-12, вооруженный еще и зенитным пулеметом системы «Максим». Он устанавливался на авиационной турели на крыше бронекорпуса. Стрельба из него велась с остановок. Из-за этого корпус в задней части пришлось изменить, увеличив объем боевого отделения и уменьшив угол наклона кормовых листов брони. Задний пулемет ДТ на машине Д-12 уже не устанавливался. После всех этих переделок высота машины увеличилась до 2015 мм, а боевая масса возросла на 70 кг, что, впрочем, не повлияло на подвижность и проходимость броневика. В частности, средняя скорость на проселочной дороге составляла 30 км/ч. При движении по снегу и грязи экипаж использовал старое средство — браслетные цепи противоскольжения.</w:t>
      </w:r>
    </w:p>
    <w:p w14:paraId="3D6493C1" w14:textId="77777777" w:rsidR="0046076A" w:rsidRPr="005E779E" w:rsidRDefault="004607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заключении комиссии говорилось: «Признать, что бронеавтомобили Д-8 и Д-12 не удовлетворяют требованиям, предъявляемым к легким разведывательным автомобилям ввиду неудобства пользования вооружением, плохой видимости для водителя и перегрузки передней оси...» Тем не менее, после небольших доработок эти бронеавтомобили были рекомендованы для серийного производства — ведь ничего другого просто не было, а армия нуждалась в новой технике.</w:t>
      </w:r>
    </w:p>
    <w:p w14:paraId="56852F80" w14:textId="77777777" w:rsidR="0046076A" w:rsidRPr="005E779E" w:rsidRDefault="004607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Производство небольшой партии в 25 машин было организованно на Ижорском заводе в 1932–1934 гг. Однако через некоторое время Д-8 модернизировали, установив на нем поворотную башню с пулеметом ДТ в шаровой установке. А в 1932 году на основе Д-8 и на том же шасси (позже замененном аналогичным отечественным ГАЗ-А), был построен бронеавтомобиль ФАИ.</w:t>
      </w:r>
    </w:p>
    <w:p w14:paraId="4E7C30EB" w14:textId="77777777" w:rsidR="0046076A" w:rsidRPr="005E779E" w:rsidRDefault="004607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Части, оснащенные Д-8, принимали участие в Зимней войне с Финляндией. Часть этих бронеавтомомбилей досталась противнику и была восстановлена. Прослужили эти машины в Финской Армии до 1943 года.</w:t>
      </w:r>
    </w:p>
    <w:tbl>
      <w:tblPr>
        <w:tblW w:w="5000" w:type="pct"/>
        <w:tblBorders>
          <w:top w:val="single" w:sz="6" w:space="0" w:color="5E4B39"/>
          <w:left w:val="single" w:sz="6" w:space="0" w:color="5E4B39"/>
          <w:bottom w:val="single" w:sz="6" w:space="0" w:color="5E4B39"/>
          <w:right w:val="single" w:sz="6" w:space="0" w:color="5E4B39"/>
        </w:tblBorders>
        <w:tblCellMar>
          <w:left w:w="0" w:type="dxa"/>
          <w:right w:w="0" w:type="dxa"/>
        </w:tblCellMar>
        <w:tblLook w:val="04A0" w:firstRow="1" w:lastRow="0" w:firstColumn="1" w:lastColumn="0" w:noHBand="0" w:noVBand="1"/>
      </w:tblPr>
      <w:tblGrid>
        <w:gridCol w:w="6175"/>
        <w:gridCol w:w="5147"/>
      </w:tblGrid>
      <w:tr w:rsidR="007122AB" w:rsidRPr="005E779E" w14:paraId="2684F6B3" w14:textId="77777777" w:rsidTr="00D93444">
        <w:tc>
          <w:tcPr>
            <w:tcW w:w="2727"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0D6D8509" w14:textId="77777777" w:rsidR="0046076A" w:rsidRPr="005E779E" w:rsidRDefault="004607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Масса</w:t>
            </w:r>
          </w:p>
        </w:tc>
        <w:tc>
          <w:tcPr>
            <w:tcW w:w="2273"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3D955FB2" w14:textId="77777777" w:rsidR="0046076A" w:rsidRPr="005E779E" w:rsidRDefault="004607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1580 кг</w:t>
            </w:r>
          </w:p>
        </w:tc>
      </w:tr>
      <w:tr w:rsidR="007122AB" w:rsidRPr="005E779E" w14:paraId="2BB3903A" w14:textId="77777777" w:rsidTr="00D93444">
        <w:tc>
          <w:tcPr>
            <w:tcW w:w="2727"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55F8EBFF" w14:textId="77777777" w:rsidR="0046076A" w:rsidRPr="005E779E" w:rsidRDefault="004607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Экипаж</w:t>
            </w:r>
          </w:p>
        </w:tc>
        <w:tc>
          <w:tcPr>
            <w:tcW w:w="2273"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49826D9A" w14:textId="77777777" w:rsidR="0046076A" w:rsidRPr="005E779E" w:rsidRDefault="004607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человека</w:t>
            </w:r>
          </w:p>
        </w:tc>
      </w:tr>
      <w:tr w:rsidR="007122AB" w:rsidRPr="005E779E" w14:paraId="15365F14" w14:textId="77777777" w:rsidTr="00D93444">
        <w:tc>
          <w:tcPr>
            <w:tcW w:w="2727"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22B0CE66" w14:textId="77777777" w:rsidR="0046076A" w:rsidRPr="005E779E" w:rsidRDefault="004607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Длина</w:t>
            </w:r>
          </w:p>
        </w:tc>
        <w:tc>
          <w:tcPr>
            <w:tcW w:w="2273"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73EAE3E9" w14:textId="77777777" w:rsidR="0046076A" w:rsidRPr="005E779E" w:rsidRDefault="004607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3540 мм</w:t>
            </w:r>
          </w:p>
        </w:tc>
      </w:tr>
      <w:tr w:rsidR="007122AB" w:rsidRPr="005E779E" w14:paraId="710EE91D" w14:textId="77777777" w:rsidTr="00D93444">
        <w:tc>
          <w:tcPr>
            <w:tcW w:w="2727"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61EA3870" w14:textId="77777777" w:rsidR="0046076A" w:rsidRPr="005E779E" w:rsidRDefault="004607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Ширина</w:t>
            </w:r>
          </w:p>
        </w:tc>
        <w:tc>
          <w:tcPr>
            <w:tcW w:w="2273"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71840709" w14:textId="77777777" w:rsidR="0046076A" w:rsidRPr="005E779E" w:rsidRDefault="004607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1705 мм</w:t>
            </w:r>
          </w:p>
        </w:tc>
      </w:tr>
      <w:tr w:rsidR="007122AB" w:rsidRPr="005E779E" w14:paraId="6475F04B" w14:textId="77777777" w:rsidTr="00D93444">
        <w:tc>
          <w:tcPr>
            <w:tcW w:w="2727"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6411FFAF" w14:textId="77777777" w:rsidR="0046076A" w:rsidRPr="005E779E" w:rsidRDefault="004607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Высота</w:t>
            </w:r>
          </w:p>
        </w:tc>
        <w:tc>
          <w:tcPr>
            <w:tcW w:w="2273"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218ACA0C" w14:textId="77777777" w:rsidR="0046076A" w:rsidRPr="005E779E" w:rsidRDefault="004607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1680 мм</w:t>
            </w:r>
          </w:p>
        </w:tc>
      </w:tr>
      <w:tr w:rsidR="007122AB" w:rsidRPr="005E779E" w14:paraId="0CD44BEB" w14:textId="77777777" w:rsidTr="00D93444">
        <w:tc>
          <w:tcPr>
            <w:tcW w:w="2727"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1B906775" w14:textId="77777777" w:rsidR="0046076A" w:rsidRPr="005E779E" w:rsidRDefault="004607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Клиренс</w:t>
            </w:r>
          </w:p>
        </w:tc>
        <w:tc>
          <w:tcPr>
            <w:tcW w:w="2273"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0DDDB0CC" w14:textId="77777777" w:rsidR="0046076A" w:rsidRPr="005E779E" w:rsidRDefault="004607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224 мм</w:t>
            </w:r>
          </w:p>
        </w:tc>
      </w:tr>
      <w:tr w:rsidR="007122AB" w:rsidRPr="005E779E" w14:paraId="69A6D3F4" w14:textId="77777777" w:rsidTr="00D93444">
        <w:tc>
          <w:tcPr>
            <w:tcW w:w="2727"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477126A0" w14:textId="77777777" w:rsidR="0046076A" w:rsidRPr="005E779E" w:rsidRDefault="004607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Мощность двигателя</w:t>
            </w:r>
          </w:p>
        </w:tc>
        <w:tc>
          <w:tcPr>
            <w:tcW w:w="2273"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5AE3A110" w14:textId="77777777" w:rsidR="0046076A" w:rsidRPr="005E779E" w:rsidRDefault="004607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 л.с.</w:t>
            </w:r>
          </w:p>
        </w:tc>
      </w:tr>
      <w:tr w:rsidR="007122AB" w:rsidRPr="005E779E" w14:paraId="7D2BD1EB" w14:textId="77777777" w:rsidTr="00D93444">
        <w:tc>
          <w:tcPr>
            <w:tcW w:w="2727"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401E1C1F" w14:textId="77777777" w:rsidR="0046076A" w:rsidRPr="005E779E" w:rsidRDefault="004607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Скорость по шоссе</w:t>
            </w:r>
          </w:p>
        </w:tc>
        <w:tc>
          <w:tcPr>
            <w:tcW w:w="2273"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5E299AFD" w14:textId="77777777" w:rsidR="0046076A" w:rsidRPr="005E779E" w:rsidRDefault="004607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 85 км/ч</w:t>
            </w:r>
          </w:p>
        </w:tc>
      </w:tr>
      <w:tr w:rsidR="007122AB" w:rsidRPr="005E779E" w14:paraId="13615456" w14:textId="77777777" w:rsidTr="00D93444">
        <w:tc>
          <w:tcPr>
            <w:tcW w:w="2727"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152127CC" w14:textId="77777777" w:rsidR="0046076A" w:rsidRPr="005E779E" w:rsidRDefault="004607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Запас хода по шоссе</w:t>
            </w:r>
          </w:p>
        </w:tc>
        <w:tc>
          <w:tcPr>
            <w:tcW w:w="2273"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340087AA" w14:textId="77777777" w:rsidR="0046076A" w:rsidRPr="005E779E" w:rsidRDefault="004607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225 км</w:t>
            </w:r>
          </w:p>
        </w:tc>
      </w:tr>
      <w:tr w:rsidR="007122AB" w:rsidRPr="005E779E" w14:paraId="293FB0D0" w14:textId="77777777" w:rsidTr="00D93444">
        <w:tc>
          <w:tcPr>
            <w:tcW w:w="2727"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17ED16F9" w14:textId="77777777" w:rsidR="0046076A" w:rsidRPr="005E779E" w:rsidRDefault="004607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Запас хода по грунту</w:t>
            </w:r>
          </w:p>
        </w:tc>
        <w:tc>
          <w:tcPr>
            <w:tcW w:w="2273"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7D971CFA" w14:textId="77777777" w:rsidR="0046076A" w:rsidRPr="005E779E" w:rsidRDefault="004607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120 км</w:t>
            </w:r>
          </w:p>
        </w:tc>
      </w:tr>
      <w:tr w:rsidR="007122AB" w:rsidRPr="005E779E" w14:paraId="4EDA29EB" w14:textId="77777777" w:rsidTr="00D93444">
        <w:tc>
          <w:tcPr>
            <w:tcW w:w="2727"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0B6ED722" w14:textId="77777777" w:rsidR="0046076A" w:rsidRPr="005E779E" w:rsidRDefault="004607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2273"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363FF657" w14:textId="77777777" w:rsidR="0046076A" w:rsidRPr="005E779E" w:rsidRDefault="004607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два 7,62-мм пулемета ДТ</w:t>
            </w:r>
          </w:p>
        </w:tc>
      </w:tr>
      <w:tr w:rsidR="007122AB" w:rsidRPr="005E779E" w14:paraId="20ED3329" w14:textId="77777777" w:rsidTr="00D93444">
        <w:tc>
          <w:tcPr>
            <w:tcW w:w="2727"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2286ECB2" w14:textId="77777777" w:rsidR="0046076A" w:rsidRPr="005E779E" w:rsidRDefault="004607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Боекомплект</w:t>
            </w:r>
          </w:p>
        </w:tc>
        <w:tc>
          <w:tcPr>
            <w:tcW w:w="2273"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2D3337B7" w14:textId="77777777" w:rsidR="0046076A" w:rsidRPr="005E779E" w:rsidRDefault="004607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2079 патронов</w:t>
            </w:r>
          </w:p>
        </w:tc>
      </w:tr>
      <w:tr w:rsidR="007122AB" w:rsidRPr="005E779E" w14:paraId="15165BE2" w14:textId="77777777" w:rsidTr="00D93444">
        <w:tc>
          <w:tcPr>
            <w:tcW w:w="2727"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46D070E7" w14:textId="77777777" w:rsidR="0046076A" w:rsidRPr="005E779E" w:rsidRDefault="004607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Бронирование</w:t>
            </w:r>
          </w:p>
        </w:tc>
        <w:tc>
          <w:tcPr>
            <w:tcW w:w="2273"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458832EC" w14:textId="77777777" w:rsidR="0046076A" w:rsidRPr="005E779E" w:rsidRDefault="004607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3–7 мм</w:t>
            </w:r>
          </w:p>
        </w:tc>
      </w:tr>
    </w:tbl>
    <w:p w14:paraId="15CF9FE8" w14:textId="77777777" w:rsidR="0046076A" w:rsidRPr="005E779E" w:rsidRDefault="004607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(15626).</w:t>
      </w:r>
    </w:p>
    <w:p w14:paraId="5936409A" w14:textId="77777777" w:rsidR="0046076A" w:rsidRPr="005E779E" w:rsidRDefault="0046076A" w:rsidP="000B7A6C">
      <w:pPr>
        <w:spacing w:after="0" w:line="240" w:lineRule="auto"/>
        <w:jc w:val="both"/>
        <w:rPr>
          <w:rFonts w:ascii="Times New Roman" w:hAnsi="Times New Roman"/>
          <w:color w:val="000000" w:themeColor="text1"/>
          <w:sz w:val="16"/>
          <w:szCs w:val="16"/>
        </w:rPr>
      </w:pPr>
    </w:p>
    <w:p w14:paraId="11592C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феврале 1931 комиссия НТК УММ РККА рассмотрела бронеавтомобили по проекту Н.Дыренкова - руководителя опытно-конструкторского и испытательного бюро - Д-8 и Д-12, которые различались установкой вооружения. Д-8 имел ДТ, устанавливаемый в одно из 4-х гнезд, а Д-12 - еще и авиационную турель с зенитным пулеметом на крыше корпуса. Изготавливались на Ижорском заводе параллельно с изготовление трех опытных образцов бронированных автомобилей на базе Форда-А - Форда-А с броней или колесных танкеток, которое велось с сентября 1930 и было задержано из-за загруженности завода текущими заказами УММ и нехватки кадров. В заключении было записано: “Признать, что бронеавтомобили Д-8 и Д-12 не удовлетворяют требованиям, предъявляемым к легким разведывательным бронеавтомобилям ввиду неудобства пользования вооружением, плохой видимости для водителя и перегрузки передней оси.... Тем не менее, после небольших переделок рекомендовали в серию (3947,14).</w:t>
      </w:r>
    </w:p>
    <w:p w14:paraId="24FC2C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94A6134" w14:textId="77777777" w:rsidR="00BE22D4" w:rsidRPr="005E779E" w:rsidRDefault="00BE22D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феврале 1931 года на Экспериментальном заводе НКПС изготовили опытный образец бронедрезины Дыренкова Д-2, который получил имя «Вячеслав Менжинский» (Д-3 стал называться «Генрих Ягода»). После небольших пробегов и устранения недостатков, Д-2 и Д-3 продемонстрировали представителям командования войск ОПТУ, на которых оба образца произвели хорошее впечатление.</w:t>
      </w:r>
    </w:p>
    <w:p w14:paraId="357FF3DD" w14:textId="77777777" w:rsidR="00BE22D4" w:rsidRPr="005E779E" w:rsidRDefault="00BE22D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конструкции Д-2 сильно напоминал увеличенный в размерах Д-3. Его корпус также имел толщину бронелистов 10-16 мм, собранных между собой на заклепках. В центре корпуса Д-2 располагалась командирская рубка с наблюдательной башенкой, оборудованной стробоскопическим смотровым прибором. Для посадки экипажа из 16 человек в корпусе имелось четыре двери в бортах, а для наблюдения во время движения - четыре люка. Корпус крепился к раме, в центре которой находился 93-сильный автомобильный двигатель «Геркулес» YXC и коробка перемены передач Д-35 конструкции Дыренкова. В ходовой части использовались две типовых колесных пары от железнодорожных вагонов, но из-за увеличения габаритов Д-2, его база, по сравнению с Д-3 увеличилась на 900 мм. </w:t>
      </w:r>
    </w:p>
    <w:p w14:paraId="08BB3563" w14:textId="77777777" w:rsidR="00BE22D4" w:rsidRPr="005E779E" w:rsidRDefault="00BE22D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По сравнению с Д-3, вооружение Д-2 значительно усилили - оно состояло из двух 7б,2-мм противоштурмовых орудий образца 1913 года в башнях, четырех бортовых пулеметов Максима и трех ДТ (два в башнях и один в командирской рубке. Орудия монтировались на тумбах, конструкцию которых заимствовали у бронеавтомобиля «Гарфорд» (их производство велось на Путиловском заводе еще в годы Первой Мировой войны). </w:t>
      </w:r>
    </w:p>
    <w:p w14:paraId="10FBD11D" w14:textId="77777777" w:rsidR="00BE22D4" w:rsidRPr="005E779E" w:rsidRDefault="00BE22D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проведения заводских испытаний и устранения выявленных недостатков, мото-броневагоны Д-2 и Д-3 поступили на вооружение бронедивизиона центральных транспортных курсов ОПТУ, который в то время располагался недалеко от Белорусского вокзала в Москве (18626).</w:t>
      </w:r>
    </w:p>
    <w:p w14:paraId="2791F737" w14:textId="77777777" w:rsidR="00BE22D4" w:rsidRPr="005E779E" w:rsidRDefault="00BE22D4" w:rsidP="000B7A6C">
      <w:pPr>
        <w:spacing w:after="0" w:line="240" w:lineRule="auto"/>
        <w:jc w:val="both"/>
        <w:rPr>
          <w:rFonts w:ascii="Times New Roman" w:hAnsi="Times New Roman"/>
          <w:color w:val="000000" w:themeColor="text1"/>
          <w:sz w:val="16"/>
          <w:szCs w:val="16"/>
        </w:rPr>
      </w:pPr>
    </w:p>
    <w:p w14:paraId="25C5BC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феврале 1931, по предварительному решению НАМИ отвели участок для испытательной станции на землях подмосковных совхозов «Машкино» и «Соколове», расположенный в 7,5 км от станции Химки и в 3,5 км от Ленинградского шоссе. На нем уже имелись небольшие помещения механических мастерских и жилой поселок на несколько десятков семей, а на реке Сходня стояла гидроэлектростанция. Однако окончательного разрешения на отвод земельного участка под полигон так и не получили из-за непосредственной близости к Москве. В конце 1931 г. первая испытательная станция прекратила свою работу. Первые испытания автомобилей сотрудники НАМИ проводили на улицах Москвы и пригородных дорогах. В те годы городские улицы были мало приспособлены для автомобильного движения. Садовое кольцо имело булыжную мостовую, пересекаемую многочисленными трамвайными путями, регулярное автобусное движение отсутствовало. Так было до начала реконструкции столицы. В ту пору испытания автомобилей на надежность и долговечность проводились на участках Угличского и Бежецкого шоссе, имевших булыжное покрытие. Для испытания на проходимость по грунтовым дорогам и бездорожью использовались участки полевых, лесных и проселочных дорог, часть которых получила собственные названия «Петля НАМИ», «Петля Крживицкого», установившего этот маршрут.</w:t>
      </w:r>
    </w:p>
    <w:p w14:paraId="2DEB59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июне 1936 г. вышел приказ народного комиссара тяжелой промышленности Г.К. Орджоникидзе, в котором устанавливались задачи института при испытаниях новых моделей автомобилей: «НАТИ представить свои соображения и смету по постройке Центрального испытательного полигона». Инженер А. А. Крживицкий, патриарх испытаний, подготовил на 5 страницах «Соображения НАТИ по вопросу о Центральном испытательном полигоне автотракторной промышленности» с приложением на 45 страницах «Проектного задания Центрального испытательного полигона ГУТАП». К концу года был подобран участок для полигона в районе села Павшино между Волоколамским и Пятницким шоссе в 17-20 км от института. ЗИС также проработал проектное задание для создания заводского автодрома с целью обкатки автомобилей. Чтобы не строить двух полигонов, НАМИ согласился на включение функций обкатки новых автомобилей, полагая при этом, что обкатка, зависящая от несовершенства продукции, является временной мерой. Однако для выполнения технологических задач полигон должен был располагаться на территории, принадлежащей заводу в районе Чертаново-Красное и прилегающей к южной окраине Москвы. Трудности с отводом этого участка, по плану реконструкции Москвы частично попадавшего в черту города, стали одной из причин задержки решения о строительстве полигона. В 1938 г. были проведены предварительные изыскания на этом участке. Однако из-за отсутствия ассигнований дальнейшие работы здесь не проводились (11835).</w:t>
      </w:r>
    </w:p>
    <w:p w14:paraId="38E2EB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47C9E4A" w14:textId="77777777" w:rsidR="00EB5899" w:rsidRPr="005E779E" w:rsidRDefault="00EB589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феврале 1931 г. в Ленинграде возник первый в СССР Научно-исследовательский институт пластических масс, объединивший 180 научных работников, а спустя два месяца в Москве был открыт его филиал 46 . Одновременно под Москвой было организовано производство формалина - важнейшего сырья для промышленности пластмасс. В Ленинграде развернулось строительство завода "Комсомольская правда". Реконструировался, а вернее, заново создавался завод "Карболит". Эти предприятия должны были специализироваться на выпуске различных изделий из пластических масс. Значительные средства выделялись для сооружения мощного комбината пластмасс во Владимире. Строительство перечисленных объектов требовало больших затрат, и объем капиталовложений непрерывно рос. Если в 1927/28 г. он составил всего 1,5 млн. руб., то в 1932 г. уже превысил 20,5 млн. рублей. Менее чем за пять лет стройки объединения "Союзхимпластмасс" на капитальные вложения получили около 44 млн. рублей (18301).</w:t>
      </w:r>
    </w:p>
    <w:p w14:paraId="6BD16B06" w14:textId="77777777" w:rsidR="00EB5899" w:rsidRPr="005E779E" w:rsidRDefault="00EB5899" w:rsidP="000B7A6C">
      <w:pPr>
        <w:spacing w:after="0" w:line="240" w:lineRule="auto"/>
        <w:jc w:val="both"/>
        <w:rPr>
          <w:rFonts w:ascii="Times New Roman" w:hAnsi="Times New Roman"/>
          <w:color w:val="000000" w:themeColor="text1"/>
          <w:sz w:val="16"/>
          <w:szCs w:val="16"/>
        </w:rPr>
      </w:pPr>
    </w:p>
    <w:p w14:paraId="5C03C5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февраля 1931 г. на Московском Ольгинском заводе начал работать опытный сектор, и к 1932 г. в нем работало уже 23 опытных установки (дифенилцианарсин, хлорциан, бромбензилцианид, синильная кислота, люизит, иприты, газ "циклон", хлорфенолы и т.д.). Численность персонала Ольгинского завода в 1931 г. составляла 665 человек, из которых 438 работали на заводе, остальные - на опытном производстве. Источником сырья служил расположенный рядом завод "Нефтегаз" (9066).</w:t>
      </w:r>
    </w:p>
    <w:p w14:paraId="17CF11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DD80FD0" w14:textId="77777777" w:rsidR="00EB5899" w:rsidRPr="005E779E" w:rsidRDefault="00EB589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феврале 1931 г. возник вопрос о том, какое предприятие будет заниматься установкой радиостанций, которые должен был серийно выпустить завод им. Козицкого. Традиционно, еще с дореволюционных времен, установкой аппаратуры на кораблях занимался завод им. Коминтерна.</w:t>
      </w:r>
    </w:p>
    <w:p w14:paraId="64E39206" w14:textId="77777777" w:rsidR="00EB5899" w:rsidRPr="005E779E" w:rsidRDefault="00EB589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Однако количество этих работ никогда не достигало такого уровня, с которым заводу пришлось столкнуться при выполнении заказа «Блокада». Только для установки собственной серийной продукции (радиостанции «Зарница» и пеленгаторы) заводу им. Коминтерна требовалось создать пять монтажных бригад для одновременной работы на судах МС БМ, МС ЧМ, Северной, Днепровской и Дальневосточной флотилий1. И даже эту задачу предприятие решить не смогло: из 45 изготовленных в 1931 г. «Зарниц» были установлены всего 13, а из 43 «Штилей» – 152.</w:t>
      </w:r>
    </w:p>
    <w:p w14:paraId="0965ECF0" w14:textId="77777777" w:rsidR="00EB5899" w:rsidRPr="005E779E" w:rsidRDefault="00EB589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связи с таким положением завода им. Коминтерна в мае 1931 г. возникла идея возложить монтаж радиоустановок на одну из действовавших в составе ВЭО монтажных организаций – «Электроморстрой» (Центральное проектно-монтажное управление по электрооборудованию морских, речных и сухопутных сооружений) или «Электросвязьстрой» (Монтажно-строительное управление сооружениями электротехнической связи и сигнализации). Выбор пал на последнюю, причем предполагалось, что «Электросвязьстрой» уже с 1932 г. возьмет на себя установку всех серийные изделий по заказу «Блокада».</w:t>
      </w:r>
    </w:p>
    <w:p w14:paraId="263F7739" w14:textId="77777777" w:rsidR="00EB5899" w:rsidRPr="005E779E" w:rsidRDefault="00EB589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Однако против такого решения решительно выступили представители Ленкомнаба, которые не без оснований полагали, что «Электросвязьстрою» не по плечу выполнить такого рода задачу, не имея для этого ни соответствующего опыта, ни сил, ни средств. Дело было передано на рассмотрение Сектору проверки исполнения ВСНХ, при посредничестве которого в течение лета 1931 г. был проведен ряд совещаний на ленинградских предприятиях с участием заинтересованных сторон. В результате было решено поручить монтаж радиоустановок все же заводу им. Коминтерна (18297).</w:t>
      </w:r>
    </w:p>
    <w:p w14:paraId="6BCD9CD9" w14:textId="77777777" w:rsidR="00EB5899" w:rsidRPr="005E779E" w:rsidRDefault="00EB5899" w:rsidP="000B7A6C">
      <w:pPr>
        <w:spacing w:after="0" w:line="240" w:lineRule="auto"/>
        <w:jc w:val="both"/>
        <w:rPr>
          <w:rFonts w:ascii="Times New Roman" w:hAnsi="Times New Roman"/>
          <w:color w:val="000000" w:themeColor="text1"/>
          <w:sz w:val="16"/>
          <w:szCs w:val="16"/>
        </w:rPr>
      </w:pPr>
    </w:p>
    <w:p w14:paraId="4A071430" w14:textId="77777777" w:rsidR="0046076A" w:rsidRPr="005E779E" w:rsidRDefault="004607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феврале 1931 года испытания системы телеуправления Шорина решили перенести на Черное море. Аппаратуру демонтировали и отправили в Севастополь. Установку аппаратуры на выделенном самолете типа “Дорнье-Валль” и торпедном катере Ш-4 провели быстро — П.П. Литвинским еще в проекте было предусмотрено размещение приборов на всех катерах и самолетах, имевшихся на вооружении Морских Сил. В. первые дни на самолете с летчиком В. Бортновским вылетали М. Морозов и радист Н. Михаленко. Управлял катером М. Морозов. На следующем этапе испытаний в Севастополь приехал П.П. Литвинский и привез сконструированные и изготовленные в лаборатории А.Ф. Шорина приборы стабилизации курса катера, запуска и реверсирования двигателей. Начался их монтаж, настройка. Особенно много пришлось повозиться, добиваясь надежной стабилизации курса катера. Оригинальный прибор для этой цели сконструировал П.П. Литвинский, использовав гироскопическое устройство торпеды — прибор Обри. Это было новое слово в технике; прообраз авторулевого, который в дальнейшем нашел применение на катерах и подводных лодках, послужил основой для разработки автопилота. Работу новых приборов тщательно проверили на выходах в море. Тогда же определили и наибольшие расстояния, на которых можно управлять катером с самолета. После нескольких контрольных выходов в присутствии прибывшего в Севастополь сотрудника НТК Р.Б. Шварцберга всю аппаратуру отправили в Ленинград. Испытания дали удовлетворительные результаты. Теперь Шорин приступил к работе над модификацией всего комплекса радиоуправления, с тем чтобы обеспечить одновременное управление с одного самолета двумя катерами. А доставленную с Черного моря аппаратуру лаборатория стала готовить к государственным испытаниям. К таким же испытаниям готовило свою аппаратуру и Остехбюро. Здесь от НТК наблюдение за ходом работы вел Я.И. Румянцев. Общим в комплексах А.Ф. Шорина и В.И. Бекаури был принцип управления торпедным катером по радио. Но имелись й некоторые отличия. Во-первых, командир-оператор и станция управления у В.И. Бекаури размещались на корабле, а не в воздухе — флот для этого выделил миноносец “Конструктор”. Во-вторых, Остехбюро включило в состав станции управления специальный счетно-решающий прибор. Выйти в торпедную атаку не так-то просто. Ведь корабль противника маневрирует, а катеру нужно дать торпедный залп на расстоянии всего лишь около одного километра от цели. Но для этого нужно занять такую позицию торпедного залпа, чтобы цель не успела уклониться от несущихся к ней двух торпед. Для выхода в эту позицию командир катера все время делает необходимые расчеты. В.И. Бекаури решил автоматизировать эти расчеты. В счетно-решающий прибор вводились расстояния и курсовые углы. По ним прибор определял курс и скорость противника и вырабатывал курс выхода торпедного катера в атаку. Оставалось снять с него показания и передать на катер по радио соответствующие команды. Таким образом, в комплексе В.И. Бекаури курс выхода в атаку катера определялся прибором, а в комплексе А.Ф. Шорина его нужно было рассчитывать самому оператору — на карте или планшете. Создание счетно-решающего прибора для того времени было значительным техническим достижением. Его теоретические основы разработал профессор Военно-морской академии Л.Г. Гончаров, известный специалист в области счетно-решающих устройств (15117).</w:t>
      </w:r>
    </w:p>
    <w:p w14:paraId="0C9E49E3" w14:textId="77777777" w:rsidR="0046076A" w:rsidRPr="005E779E" w:rsidRDefault="0046076A" w:rsidP="000B7A6C">
      <w:pPr>
        <w:spacing w:after="0" w:line="240" w:lineRule="auto"/>
        <w:jc w:val="both"/>
        <w:rPr>
          <w:rFonts w:ascii="Times New Roman" w:hAnsi="Times New Roman"/>
          <w:color w:val="000000" w:themeColor="text1"/>
          <w:sz w:val="16"/>
          <w:szCs w:val="16"/>
        </w:rPr>
      </w:pPr>
    </w:p>
    <w:p w14:paraId="2F8531C7"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23D36E7F"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142B164" w14:textId="77777777" w:rsidR="00B8294A" w:rsidRPr="005E779E" w:rsidRDefault="00B829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феврале 1931 как бы в ответ на сталинскую формулу в «Вестнике воздушного флота» появляется статья Н. Хмелевского: «Воздушные силы в третьем году пятилетки». Она была выдержана в духе новых задач, поставленных Наркомвоенмором. Вот некоторые выдержки из нее: «Вооруженные силы пролетарского государства вступили в реконструктивный период своего строительства, в полосу быстрого совершенствования своей боевой подготовки, на базе новой техники и нового «человеческого материала». (…) Третий год пятилетки ставит и ряд практических задач, выдвигает жесткие требования: вести самую решительную борьбу с аварийностью и недисциплинированностью (…). Надо развертыванием (…) самокритики, социалистического соревнования и ударничества, рационализаторского движения и изобретательства путем мобилизации творческой активности (…) – в третьем – решающем году пятилетки добиться и решающих успехов в строительстве и боевом совершенствовании Военных Воздушных сил РККА» (19566).</w:t>
      </w:r>
    </w:p>
    <w:p w14:paraId="769C0618" w14:textId="77777777" w:rsidR="00B8294A" w:rsidRPr="005E779E" w:rsidRDefault="00B8294A" w:rsidP="000B7A6C">
      <w:pPr>
        <w:spacing w:after="0" w:line="240" w:lineRule="auto"/>
        <w:jc w:val="both"/>
        <w:rPr>
          <w:rFonts w:ascii="Times New Roman" w:hAnsi="Times New Roman"/>
          <w:color w:val="000000" w:themeColor="text1"/>
          <w:sz w:val="16"/>
          <w:szCs w:val="16"/>
        </w:rPr>
      </w:pPr>
    </w:p>
    <w:p w14:paraId="6502BF1E" w14:textId="77777777" w:rsidR="0034631F" w:rsidRPr="00142305" w:rsidRDefault="0034631F" w:rsidP="003463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феврале 1931 г. в «Вестнике воздушного флота» появилась статья И. Хмелевского «Воздушные силы в третьем году пятилетки». Она была вы</w:t>
      </w:r>
      <w:r w:rsidRPr="00142305">
        <w:rPr>
          <w:rFonts w:ascii="Times New Roman" w:hAnsi="Times New Roman"/>
          <w:color w:val="0070C0"/>
          <w:sz w:val="16"/>
          <w:szCs w:val="16"/>
        </w:rPr>
        <w:softHyphen/>
        <w:t>держана в духе новых задач, поставленных Наркомвоенмором.</w:t>
      </w:r>
    </w:p>
    <w:p w14:paraId="356AD477" w14:textId="77777777" w:rsidR="0034631F" w:rsidRPr="00142305" w:rsidRDefault="0034631F" w:rsidP="003463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«Третий год пятилетки будет решающим годом и в осуществлении всех меро</w:t>
      </w:r>
      <w:r w:rsidRPr="00142305">
        <w:rPr>
          <w:rFonts w:ascii="Times New Roman" w:hAnsi="Times New Roman"/>
          <w:color w:val="0070C0"/>
          <w:sz w:val="16"/>
          <w:szCs w:val="16"/>
        </w:rPr>
        <w:softHyphen/>
        <w:t>приятий, связанных с укреплением обороноспособности Советского Союза. Вооруженные силы пролетарского государства вступили в реконструктивный период своего строительства, в полосу быстрого совершенствования своей бое</w:t>
      </w:r>
      <w:r w:rsidRPr="00142305">
        <w:rPr>
          <w:rFonts w:ascii="Times New Roman" w:hAnsi="Times New Roman"/>
          <w:color w:val="0070C0"/>
          <w:sz w:val="16"/>
          <w:szCs w:val="16"/>
        </w:rPr>
        <w:softHyphen/>
        <w:t>вой подготовки, на базе новой техники и нового «человеческого материала». Запроектированные темпы индустриального развития страны подводят реаль</w:t>
      </w:r>
      <w:r w:rsidRPr="00142305">
        <w:rPr>
          <w:rFonts w:ascii="Times New Roman" w:hAnsi="Times New Roman"/>
          <w:color w:val="0070C0"/>
          <w:sz w:val="16"/>
          <w:szCs w:val="16"/>
        </w:rPr>
        <w:softHyphen/>
        <w:t>ное и мощное основание для технического оснащения Красной армии, для осу</w:t>
      </w:r>
      <w:r w:rsidRPr="00142305">
        <w:rPr>
          <w:rFonts w:ascii="Times New Roman" w:hAnsi="Times New Roman"/>
          <w:color w:val="0070C0"/>
          <w:sz w:val="16"/>
          <w:szCs w:val="16"/>
        </w:rPr>
        <w:softHyphen/>
        <w:t>ществления задач ее моторизации и механизации, для строительства Военно- воздушных сил. (...) Именно сейчас, в период развертывания социалистическо</w:t>
      </w:r>
      <w:r w:rsidRPr="00142305">
        <w:rPr>
          <w:rFonts w:ascii="Times New Roman" w:hAnsi="Times New Roman"/>
          <w:color w:val="0070C0"/>
          <w:sz w:val="16"/>
          <w:szCs w:val="16"/>
        </w:rPr>
        <w:softHyphen/>
        <w:t>го наступления, становятся во весь рост задачи такой перестройки всей работы по боевому совершенствованию и политическому воспитанию летного, техни</w:t>
      </w:r>
      <w:r w:rsidRPr="00142305">
        <w:rPr>
          <w:rFonts w:ascii="Times New Roman" w:hAnsi="Times New Roman"/>
          <w:color w:val="0070C0"/>
          <w:sz w:val="16"/>
          <w:szCs w:val="16"/>
        </w:rPr>
        <w:softHyphen/>
        <w:t>ческого и красноармейского состава ВВС, которая бы обеспечила бы полное соответствие роста Военно-Воздушных сил с темпами роста социалистической экономики. Третий год пятилетки ставит и ряд практических задач, выдвигает жесткие требования: вести самую решительную борьбу с аварийностью и не</w:t>
      </w:r>
      <w:r w:rsidRPr="00142305">
        <w:rPr>
          <w:rFonts w:ascii="Times New Roman" w:hAnsi="Times New Roman"/>
          <w:color w:val="0070C0"/>
          <w:sz w:val="16"/>
          <w:szCs w:val="16"/>
        </w:rPr>
        <w:softHyphen/>
        <w:t>дисциплинированностью, недочетами специальной летной службы, преодолеть некультурное отношение к боевой технике и оружию, поднять на более высо</w:t>
      </w:r>
      <w:r w:rsidRPr="00142305">
        <w:rPr>
          <w:rFonts w:ascii="Times New Roman" w:hAnsi="Times New Roman"/>
          <w:color w:val="0070C0"/>
          <w:sz w:val="16"/>
          <w:szCs w:val="16"/>
        </w:rPr>
        <w:softHyphen/>
        <w:t>кую ступень техническую и общую грамотность летного и технического соста</w:t>
      </w:r>
      <w:r w:rsidRPr="00142305">
        <w:rPr>
          <w:rFonts w:ascii="Times New Roman" w:hAnsi="Times New Roman"/>
          <w:color w:val="0070C0"/>
          <w:sz w:val="16"/>
          <w:szCs w:val="16"/>
        </w:rPr>
        <w:softHyphen/>
        <w:t>ва, приступить к действительной рационализации боевой подготовки, создать решительный перелом в условиях и темпах командирской учебы, привлечь по всем этим задачам самое непосредственное внимание политорганов, партийных и комсомольских организаций ВВС. (...) Надо развертыванием пролетарской самокритики, социалистического соревнования и ударничества, рационализа</w:t>
      </w:r>
      <w:r w:rsidRPr="00142305">
        <w:rPr>
          <w:rFonts w:ascii="Times New Roman" w:hAnsi="Times New Roman"/>
          <w:color w:val="0070C0"/>
          <w:sz w:val="16"/>
          <w:szCs w:val="16"/>
        </w:rPr>
        <w:softHyphen/>
        <w:t>торского движения и изобретательства, путем мобилизации творческой актив</w:t>
      </w:r>
      <w:r w:rsidRPr="00142305">
        <w:rPr>
          <w:rFonts w:ascii="Times New Roman" w:hAnsi="Times New Roman"/>
          <w:color w:val="0070C0"/>
          <w:sz w:val="16"/>
          <w:szCs w:val="16"/>
        </w:rPr>
        <w:softHyphen/>
        <w:t>ности самих масс - в третьем - решающем году пятилетки добиться и решаю</w:t>
      </w:r>
      <w:r w:rsidRPr="00142305">
        <w:rPr>
          <w:rFonts w:ascii="Times New Roman" w:hAnsi="Times New Roman"/>
          <w:color w:val="0070C0"/>
          <w:sz w:val="16"/>
          <w:szCs w:val="16"/>
        </w:rPr>
        <w:softHyphen/>
        <w:t>щих успехов в строительстве и боевом совершенствовании Военных воздуш</w:t>
      </w:r>
      <w:r w:rsidRPr="00142305">
        <w:rPr>
          <w:rFonts w:ascii="Times New Roman" w:hAnsi="Times New Roman"/>
          <w:color w:val="0070C0"/>
          <w:sz w:val="16"/>
          <w:szCs w:val="16"/>
        </w:rPr>
        <w:softHyphen/>
        <w:t>ных сил РККА» (Хмелевский Н. Воздушные силы в третьем году пятилетки // Вестник воздушного флота. - 1931. - № 2. - С. 3) (24967).</w:t>
      </w:r>
    </w:p>
    <w:p w14:paraId="5E65A8A7" w14:textId="77777777" w:rsidR="0034631F" w:rsidRPr="00142305" w:rsidRDefault="0034631F" w:rsidP="0034631F">
      <w:pPr>
        <w:spacing w:after="0" w:line="240" w:lineRule="auto"/>
        <w:jc w:val="both"/>
        <w:rPr>
          <w:rFonts w:ascii="Times New Roman" w:hAnsi="Times New Roman"/>
          <w:color w:val="0070C0"/>
          <w:sz w:val="16"/>
          <w:szCs w:val="16"/>
        </w:rPr>
      </w:pPr>
    </w:p>
    <w:p w14:paraId="7D03FD2F" w14:textId="77777777" w:rsidR="0034631F" w:rsidRPr="00142305" w:rsidRDefault="0034631F" w:rsidP="003463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феврале 1931 г., как бы в ответ на сталинскую формулу от 4 февраля, в «Вестнике воздушного флота» появилась статья члена редакционной коллегии «ВВФ» политработника из Академии им. Жуковского Н. Г. Хмелев</w:t>
      </w:r>
      <w:r w:rsidRPr="00142305">
        <w:rPr>
          <w:rFonts w:ascii="Times New Roman" w:hAnsi="Times New Roman"/>
          <w:color w:val="0070C0"/>
          <w:sz w:val="16"/>
          <w:szCs w:val="16"/>
        </w:rPr>
        <w:softHyphen/>
        <w:t>ского «Воздушные силы в третьем году пятилетки». Она отражала «дух вре</w:t>
      </w:r>
      <w:r w:rsidRPr="00142305">
        <w:rPr>
          <w:rFonts w:ascii="Times New Roman" w:hAnsi="Times New Roman"/>
          <w:color w:val="0070C0"/>
          <w:sz w:val="16"/>
          <w:szCs w:val="16"/>
        </w:rPr>
        <w:softHyphen/>
        <w:t>мени». Вот выдержки из этой публикации: «Вооруженные силы пролетарского государства вступили в реконструктивный период своего строительства, в по</w:t>
      </w:r>
      <w:r w:rsidRPr="00142305">
        <w:rPr>
          <w:rFonts w:ascii="Times New Roman" w:hAnsi="Times New Roman"/>
          <w:color w:val="0070C0"/>
          <w:sz w:val="16"/>
          <w:szCs w:val="16"/>
        </w:rPr>
        <w:softHyphen/>
        <w:t>лосу быстрого совершенствования своей боевой подготовки, на базе новой тех</w:t>
      </w:r>
      <w:r w:rsidRPr="00142305">
        <w:rPr>
          <w:rFonts w:ascii="Times New Roman" w:hAnsi="Times New Roman"/>
          <w:color w:val="0070C0"/>
          <w:sz w:val="16"/>
          <w:szCs w:val="16"/>
        </w:rPr>
        <w:softHyphen/>
        <w:t>ники и нового «человеческого материала». (...) Третий год пятилетки ставит и ряд практических задач, выдвигает жесткие требования: вести самую решитель</w:t>
      </w:r>
      <w:r w:rsidRPr="00142305">
        <w:rPr>
          <w:rFonts w:ascii="Times New Roman" w:hAnsi="Times New Roman"/>
          <w:color w:val="0070C0"/>
          <w:sz w:val="16"/>
          <w:szCs w:val="16"/>
        </w:rPr>
        <w:softHyphen/>
        <w:t>ную борьбу с аварийностью и недисциплинированностью (...). Надо разверты</w:t>
      </w:r>
      <w:r w:rsidRPr="00142305">
        <w:rPr>
          <w:rFonts w:ascii="Times New Roman" w:hAnsi="Times New Roman"/>
          <w:color w:val="0070C0"/>
          <w:sz w:val="16"/>
          <w:szCs w:val="16"/>
        </w:rPr>
        <w:softHyphen/>
        <w:t>ванием (...) самокритики, социалистического соревнования и ударничества, ра</w:t>
      </w:r>
      <w:r w:rsidRPr="00142305">
        <w:rPr>
          <w:rFonts w:ascii="Times New Roman" w:hAnsi="Times New Roman"/>
          <w:color w:val="0070C0"/>
          <w:sz w:val="16"/>
          <w:szCs w:val="16"/>
        </w:rPr>
        <w:softHyphen/>
        <w:t>ционализаторского движения и изобретательства путем мобилизации творче</w:t>
      </w:r>
      <w:r w:rsidRPr="00142305">
        <w:rPr>
          <w:rFonts w:ascii="Times New Roman" w:hAnsi="Times New Roman"/>
          <w:color w:val="0070C0"/>
          <w:sz w:val="16"/>
          <w:szCs w:val="16"/>
        </w:rPr>
        <w:softHyphen/>
        <w:t>ской активности (...) - в третьем - решающем году пятилетки добиться решающих успехов в строительстве и боевом совершенствовании Военных Воз</w:t>
      </w:r>
      <w:r w:rsidRPr="00142305">
        <w:rPr>
          <w:rFonts w:ascii="Times New Roman" w:hAnsi="Times New Roman"/>
          <w:color w:val="0070C0"/>
          <w:sz w:val="16"/>
          <w:szCs w:val="16"/>
        </w:rPr>
        <w:softHyphen/>
        <w:t>душных сил РККА» (Хмелевский Н. Воздушные силы в третьем году пятилетки // Вестник воздушного флота - 1931. - № 2. - С. 3).</w:t>
      </w:r>
    </w:p>
    <w:p w14:paraId="1D14F135" w14:textId="77777777" w:rsidR="0034631F" w:rsidRPr="00142305" w:rsidRDefault="0034631F" w:rsidP="003463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Эта статья Хмелевского была не более чем призывом и своего рода сигна</w:t>
      </w:r>
      <w:r w:rsidRPr="00142305">
        <w:rPr>
          <w:rFonts w:ascii="Times New Roman" w:hAnsi="Times New Roman"/>
          <w:color w:val="0070C0"/>
          <w:sz w:val="16"/>
          <w:szCs w:val="16"/>
        </w:rPr>
        <w:softHyphen/>
        <w:t>лом, что ВВС РККА в свете новых указаний партии готовы выполнить постав</w:t>
      </w:r>
      <w:r w:rsidRPr="00142305">
        <w:rPr>
          <w:rFonts w:ascii="Times New Roman" w:hAnsi="Times New Roman"/>
          <w:color w:val="0070C0"/>
          <w:sz w:val="16"/>
          <w:szCs w:val="16"/>
        </w:rPr>
        <w:softHyphen/>
        <w:t>ленные задачи. Однако новой авиатехники в войсках пока было очень мало (24968).</w:t>
      </w:r>
    </w:p>
    <w:p w14:paraId="47763EEB" w14:textId="77777777" w:rsidR="0034631F" w:rsidRPr="00142305" w:rsidRDefault="0034631F" w:rsidP="0034631F">
      <w:pPr>
        <w:spacing w:after="0" w:line="240" w:lineRule="auto"/>
        <w:jc w:val="both"/>
        <w:rPr>
          <w:rFonts w:ascii="Times New Roman" w:hAnsi="Times New Roman"/>
          <w:color w:val="0070C0"/>
          <w:sz w:val="16"/>
          <w:szCs w:val="16"/>
        </w:rPr>
      </w:pPr>
    </w:p>
    <w:p w14:paraId="3DF8A310"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06946A11"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6B5CC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феврале 1931 года И.В.С. провозгласил: «</w:t>
      </w:r>
      <w:r w:rsidRPr="005E779E">
        <w:rPr>
          <w:rFonts w:ascii="Times New Roman" w:hAnsi="Times New Roman"/>
          <w:iCs/>
          <w:color w:val="000000" w:themeColor="text1"/>
          <w:sz w:val="16"/>
          <w:szCs w:val="16"/>
        </w:rPr>
        <w:t xml:space="preserve">Мы отстали от передовых стран на 50-100 лет. Мы должны пробежать это расстояние в десять лет. Либо мы сделаем это, либо нас сомнут». </w:t>
      </w:r>
      <w:r w:rsidRPr="005E779E">
        <w:rPr>
          <w:rFonts w:ascii="Times New Roman" w:hAnsi="Times New Roman"/>
          <w:color w:val="000000" w:themeColor="text1"/>
          <w:sz w:val="16"/>
          <w:szCs w:val="16"/>
        </w:rPr>
        <w:t>Эта знаменитая декларация призвана была идеологически подкрепить амбициозный сталинский проект индустриализации страны. Выдвинутый им лозунг «</w:t>
      </w:r>
      <w:r w:rsidRPr="005E779E">
        <w:rPr>
          <w:rFonts w:ascii="Times New Roman" w:hAnsi="Times New Roman"/>
          <w:iCs/>
          <w:color w:val="000000" w:themeColor="text1"/>
          <w:sz w:val="16"/>
          <w:szCs w:val="16"/>
        </w:rPr>
        <w:t xml:space="preserve">Техника в период реконструкции решает всё» </w:t>
      </w:r>
      <w:r w:rsidRPr="005E779E">
        <w:rPr>
          <w:rFonts w:ascii="Times New Roman" w:hAnsi="Times New Roman"/>
          <w:color w:val="000000" w:themeColor="text1"/>
          <w:sz w:val="16"/>
          <w:szCs w:val="16"/>
        </w:rPr>
        <w:t>действительно стал реальным знамением того времени (12018).</w:t>
      </w:r>
    </w:p>
    <w:p w14:paraId="076283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95662CB" w14:textId="77777777" w:rsidR="00FF3124" w:rsidRPr="005E779E" w:rsidRDefault="00FF3124" w:rsidP="000B7A6C">
      <w:pPr>
        <w:pStyle w:val="rtejustify"/>
        <w:spacing w:before="0" w:after="0"/>
        <w:rPr>
          <w:color w:val="000000" w:themeColor="text1"/>
          <w:sz w:val="16"/>
          <w:szCs w:val="16"/>
        </w:rPr>
      </w:pPr>
      <w:r w:rsidRPr="005E779E">
        <w:rPr>
          <w:color w:val="000000" w:themeColor="text1"/>
          <w:sz w:val="16"/>
          <w:szCs w:val="16"/>
        </w:rPr>
        <w:t>В феврале 1931 г. из НКПС СССР в самостоятельную отрасль выделился водный транспорт. Был создан Наркомат водного транспорта СССР (Наркомвод), на который было возложено руководство речным и морским транспортом СССР, под его начало поступили все судоходные пути, торговый флот и Экспедиция подводных работ особого назначения. В этом же, 1931 г., из НКПС в самостоятельную отрасль управления были выделены автотранспорт и дороги, создано Всесоюзное центральное управление шоссейных и грунтовых дорог и автомобильного транспорта (Цудортранс) при СНК СССР (12268).</w:t>
      </w:r>
    </w:p>
    <w:p w14:paraId="3219080C" w14:textId="77777777" w:rsidR="00FF3124" w:rsidRPr="005E779E" w:rsidRDefault="00FF3124" w:rsidP="000B7A6C">
      <w:pPr>
        <w:pStyle w:val="rtejustify"/>
        <w:spacing w:before="0" w:after="0"/>
        <w:rPr>
          <w:color w:val="000000" w:themeColor="text1"/>
          <w:sz w:val="16"/>
          <w:szCs w:val="16"/>
        </w:rPr>
      </w:pPr>
    </w:p>
    <w:p w14:paraId="055689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феврале 1931 ввели обязательные трудовые книжки (1348,199).</w:t>
      </w:r>
    </w:p>
    <w:p w14:paraId="63DF34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4F1F707" w14:textId="77777777" w:rsidR="00B8294A" w:rsidRPr="005E779E" w:rsidRDefault="00B829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Февраль 1931. Введение трудовых книжек для работающих в промышленности (18724).</w:t>
      </w:r>
    </w:p>
    <w:p w14:paraId="519E7D6A" w14:textId="77777777" w:rsidR="00B8294A" w:rsidRPr="005E779E" w:rsidRDefault="00B8294A" w:rsidP="000B7A6C">
      <w:pPr>
        <w:spacing w:after="0" w:line="240" w:lineRule="auto"/>
        <w:jc w:val="both"/>
        <w:rPr>
          <w:rFonts w:ascii="Times New Roman" w:hAnsi="Times New Roman"/>
          <w:color w:val="000000" w:themeColor="text1"/>
          <w:sz w:val="16"/>
          <w:szCs w:val="16"/>
        </w:rPr>
      </w:pPr>
    </w:p>
    <w:p w14:paraId="483E3C5A" w14:textId="77777777" w:rsidR="00B03615" w:rsidRPr="005E779E" w:rsidRDefault="00B03615"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феврале 1932 введены трудовые книжки для промышленных рабочих (12629).</w:t>
      </w:r>
    </w:p>
    <w:p w14:paraId="169E114E" w14:textId="77777777" w:rsidR="00B8294A" w:rsidRPr="005E779E" w:rsidRDefault="00B8294A" w:rsidP="000B7A6C">
      <w:pPr>
        <w:autoSpaceDE w:val="0"/>
        <w:autoSpaceDN w:val="0"/>
        <w:adjustRightInd w:val="0"/>
        <w:spacing w:after="0" w:line="240" w:lineRule="auto"/>
        <w:jc w:val="both"/>
        <w:rPr>
          <w:rFonts w:ascii="Times New Roman" w:hAnsi="Times New Roman"/>
          <w:color w:val="000000" w:themeColor="text1"/>
          <w:sz w:val="16"/>
          <w:szCs w:val="16"/>
        </w:rPr>
      </w:pPr>
    </w:p>
    <w:p w14:paraId="490A91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феврале 1931 было дело "Украинского национального центра". Основные обвинения К.А.К. - связь с Директорией и эсерство (70,219).</w:t>
      </w:r>
    </w:p>
    <w:p w14:paraId="3570AC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E99E1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феврале 1931 года руководство чекистской работой в лагерях ОГПУ передано СОУ ОГПУ (8983).</w:t>
      </w:r>
    </w:p>
    <w:p w14:paraId="307220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55C6D5B"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65DC1419"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6FBED55" w14:textId="77777777" w:rsidR="003562F3" w:rsidRPr="005E779E" w:rsidRDefault="003562F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феврале 1931 французы на построенном в 1930 году «Блерио» 110» выполнили по</w:t>
      </w:r>
      <w:r w:rsidRPr="005E779E">
        <w:rPr>
          <w:rFonts w:ascii="Times New Roman" w:hAnsi="Times New Roman"/>
          <w:color w:val="000000" w:themeColor="text1"/>
          <w:sz w:val="16"/>
          <w:szCs w:val="16"/>
        </w:rPr>
        <w:softHyphen/>
        <w:t>лет по замкнутому маршруту на расстояние 8822,325 км (12725).</w:t>
      </w:r>
    </w:p>
    <w:tbl>
      <w:tblPr>
        <w:tblW w:w="0" w:type="auto"/>
        <w:tblLayout w:type="fixed"/>
        <w:tblCellMar>
          <w:left w:w="10" w:type="dxa"/>
          <w:right w:w="10" w:type="dxa"/>
        </w:tblCellMar>
        <w:tblLook w:val="04A0" w:firstRow="1" w:lastRow="0" w:firstColumn="1" w:lastColumn="0" w:noHBand="0" w:noVBand="1"/>
      </w:tblPr>
      <w:tblGrid>
        <w:gridCol w:w="2988"/>
        <w:gridCol w:w="1530"/>
        <w:gridCol w:w="1530"/>
        <w:gridCol w:w="1534"/>
      </w:tblGrid>
      <w:tr w:rsidR="007122AB" w:rsidRPr="005E779E" w14:paraId="0EA80827" w14:textId="77777777" w:rsidTr="003562F3">
        <w:trPr>
          <w:trHeight w:val="302"/>
        </w:trPr>
        <w:tc>
          <w:tcPr>
            <w:tcW w:w="2988" w:type="dxa"/>
            <w:tcBorders>
              <w:top w:val="single" w:sz="4" w:space="0" w:color="auto"/>
              <w:left w:val="single" w:sz="4" w:space="0" w:color="auto"/>
              <w:bottom w:val="single" w:sz="4" w:space="0" w:color="auto"/>
              <w:right w:val="single" w:sz="4" w:space="0" w:color="auto"/>
            </w:tcBorders>
            <w:shd w:val="clear" w:color="auto" w:fill="FFFFFF"/>
          </w:tcPr>
          <w:p w14:paraId="49CC9F15" w14:textId="77777777" w:rsidR="003562F3" w:rsidRPr="005E779E" w:rsidRDefault="003562F3" w:rsidP="000B7A6C">
            <w:pPr>
              <w:pStyle w:val="80"/>
              <w:shd w:val="clear" w:color="auto" w:fill="auto"/>
              <w:spacing w:line="240" w:lineRule="auto"/>
              <w:jc w:val="both"/>
              <w:rPr>
                <w:rFonts w:ascii="Times New Roman" w:hAnsi="Times New Roman" w:cs="Times New Roman"/>
                <w:color w:val="000000" w:themeColor="text1"/>
              </w:rPr>
            </w:pPr>
            <w:r w:rsidRPr="005E779E">
              <w:rPr>
                <w:rFonts w:ascii="Times New Roman" w:hAnsi="Times New Roman" w:cs="Times New Roman"/>
                <w:color w:val="000000" w:themeColor="text1"/>
              </w:rPr>
              <w:t>Самолет</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49FFD43A" w14:textId="77777777" w:rsidR="003562F3" w:rsidRPr="005E779E" w:rsidRDefault="003562F3" w:rsidP="000B7A6C">
            <w:pPr>
              <w:pStyle w:val="80"/>
              <w:shd w:val="clear" w:color="auto" w:fill="auto"/>
              <w:spacing w:line="240" w:lineRule="auto"/>
              <w:jc w:val="both"/>
              <w:rPr>
                <w:rFonts w:ascii="Times New Roman" w:hAnsi="Times New Roman" w:cs="Times New Roman"/>
                <w:color w:val="000000" w:themeColor="text1"/>
              </w:rPr>
            </w:pPr>
            <w:r w:rsidRPr="005E779E">
              <w:rPr>
                <w:rFonts w:ascii="Times New Roman" w:hAnsi="Times New Roman" w:cs="Times New Roman"/>
                <w:color w:val="000000" w:themeColor="text1"/>
              </w:rPr>
              <w:t>«Блерио 110»</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767D889D" w14:textId="77777777" w:rsidR="003562F3" w:rsidRPr="005E779E" w:rsidRDefault="003562F3" w:rsidP="000B7A6C">
            <w:pPr>
              <w:pStyle w:val="80"/>
              <w:shd w:val="clear" w:color="auto" w:fill="auto"/>
              <w:spacing w:line="240" w:lineRule="auto"/>
              <w:jc w:val="both"/>
              <w:rPr>
                <w:rFonts w:ascii="Times New Roman" w:hAnsi="Times New Roman" w:cs="Times New Roman"/>
                <w:color w:val="000000" w:themeColor="text1"/>
              </w:rPr>
            </w:pPr>
            <w:r w:rsidRPr="005E779E">
              <w:rPr>
                <w:rFonts w:ascii="Times New Roman" w:hAnsi="Times New Roman" w:cs="Times New Roman"/>
                <w:color w:val="000000" w:themeColor="text1"/>
              </w:rPr>
              <w:t>«Бернар 80»</w:t>
            </w:r>
          </w:p>
        </w:tc>
        <w:tc>
          <w:tcPr>
            <w:tcW w:w="1534" w:type="dxa"/>
            <w:tcBorders>
              <w:top w:val="single" w:sz="4" w:space="0" w:color="auto"/>
              <w:left w:val="single" w:sz="4" w:space="0" w:color="auto"/>
              <w:bottom w:val="single" w:sz="4" w:space="0" w:color="auto"/>
              <w:right w:val="single" w:sz="4" w:space="0" w:color="auto"/>
            </w:tcBorders>
            <w:shd w:val="clear" w:color="auto" w:fill="FFFFFF"/>
          </w:tcPr>
          <w:p w14:paraId="48EEDD2E" w14:textId="77777777" w:rsidR="003562F3" w:rsidRPr="005E779E" w:rsidRDefault="003562F3" w:rsidP="000B7A6C">
            <w:pPr>
              <w:pStyle w:val="80"/>
              <w:shd w:val="clear" w:color="auto" w:fill="auto"/>
              <w:spacing w:line="240" w:lineRule="auto"/>
              <w:jc w:val="both"/>
              <w:rPr>
                <w:rFonts w:ascii="Times New Roman" w:hAnsi="Times New Roman" w:cs="Times New Roman"/>
                <w:color w:val="000000" w:themeColor="text1"/>
              </w:rPr>
            </w:pPr>
            <w:r w:rsidRPr="005E779E">
              <w:rPr>
                <w:rFonts w:ascii="Times New Roman" w:hAnsi="Times New Roman" w:cs="Times New Roman"/>
                <w:color w:val="000000" w:themeColor="text1"/>
              </w:rPr>
              <w:t>«Девуатин» Д-33</w:t>
            </w:r>
          </w:p>
        </w:tc>
      </w:tr>
      <w:tr w:rsidR="007122AB" w:rsidRPr="005E779E" w14:paraId="067E95CC" w14:textId="77777777" w:rsidTr="003562F3">
        <w:trPr>
          <w:trHeight w:val="292"/>
        </w:trPr>
        <w:tc>
          <w:tcPr>
            <w:tcW w:w="2988" w:type="dxa"/>
            <w:tcBorders>
              <w:top w:val="single" w:sz="4" w:space="0" w:color="auto"/>
              <w:left w:val="single" w:sz="4" w:space="0" w:color="auto"/>
              <w:bottom w:val="single" w:sz="4" w:space="0" w:color="auto"/>
              <w:right w:val="single" w:sz="4" w:space="0" w:color="auto"/>
            </w:tcBorders>
            <w:shd w:val="clear" w:color="auto" w:fill="FFFFFF"/>
          </w:tcPr>
          <w:p w14:paraId="5F4D7CDC" w14:textId="77777777" w:rsidR="003562F3" w:rsidRPr="005E779E" w:rsidRDefault="003562F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Год</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3ABBE2B5" w14:textId="77777777" w:rsidR="003562F3" w:rsidRPr="005E779E" w:rsidRDefault="003562F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1930</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54F50AFA" w14:textId="77777777" w:rsidR="003562F3" w:rsidRPr="005E779E" w:rsidRDefault="003562F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1930</w:t>
            </w:r>
          </w:p>
        </w:tc>
        <w:tc>
          <w:tcPr>
            <w:tcW w:w="1534" w:type="dxa"/>
            <w:tcBorders>
              <w:top w:val="single" w:sz="4" w:space="0" w:color="auto"/>
              <w:left w:val="single" w:sz="4" w:space="0" w:color="auto"/>
              <w:bottom w:val="single" w:sz="4" w:space="0" w:color="auto"/>
              <w:right w:val="single" w:sz="4" w:space="0" w:color="auto"/>
            </w:tcBorders>
            <w:shd w:val="clear" w:color="auto" w:fill="FFFFFF"/>
          </w:tcPr>
          <w:p w14:paraId="57B2EEC3" w14:textId="77777777" w:rsidR="003562F3" w:rsidRPr="005E779E" w:rsidRDefault="003562F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1930</w:t>
            </w:r>
          </w:p>
        </w:tc>
      </w:tr>
      <w:tr w:rsidR="007122AB" w:rsidRPr="005E779E" w14:paraId="6202AA7B" w14:textId="77777777" w:rsidTr="003562F3">
        <w:trPr>
          <w:trHeight w:val="266"/>
        </w:trPr>
        <w:tc>
          <w:tcPr>
            <w:tcW w:w="2988" w:type="dxa"/>
            <w:tcBorders>
              <w:top w:val="single" w:sz="4" w:space="0" w:color="auto"/>
              <w:left w:val="single" w:sz="4" w:space="0" w:color="auto"/>
              <w:bottom w:val="single" w:sz="4" w:space="0" w:color="auto"/>
              <w:right w:val="single" w:sz="4" w:space="0" w:color="auto"/>
            </w:tcBorders>
            <w:shd w:val="clear" w:color="auto" w:fill="FFFFFF"/>
          </w:tcPr>
          <w:p w14:paraId="41455640" w14:textId="77777777" w:rsidR="003562F3" w:rsidRPr="005E779E" w:rsidRDefault="003562F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Двигатель</w:t>
            </w:r>
          </w:p>
        </w:tc>
        <w:tc>
          <w:tcPr>
            <w:tcW w:w="4594" w:type="dxa"/>
            <w:gridSpan w:val="3"/>
            <w:tcBorders>
              <w:top w:val="single" w:sz="4" w:space="0" w:color="auto"/>
              <w:left w:val="single" w:sz="4" w:space="0" w:color="auto"/>
              <w:bottom w:val="single" w:sz="4" w:space="0" w:color="auto"/>
              <w:right w:val="single" w:sz="4" w:space="0" w:color="auto"/>
            </w:tcBorders>
            <w:shd w:val="clear" w:color="auto" w:fill="FFFFFF"/>
          </w:tcPr>
          <w:p w14:paraId="1C0AB65C" w14:textId="77777777" w:rsidR="003562F3" w:rsidRPr="005E779E" w:rsidRDefault="003562F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«Испано-Сюиза» </w:t>
            </w:r>
            <w:r w:rsidRPr="005E779E">
              <w:rPr>
                <w:rFonts w:ascii="Times New Roman" w:hAnsi="Times New Roman"/>
                <w:color w:val="000000" w:themeColor="text1"/>
                <w:sz w:val="16"/>
                <w:szCs w:val="16"/>
                <w:lang w:val="en-US"/>
              </w:rPr>
              <w:t>12Nbrs</w:t>
            </w:r>
          </w:p>
        </w:tc>
      </w:tr>
      <w:tr w:rsidR="007122AB" w:rsidRPr="005E779E" w14:paraId="04F0A08E" w14:textId="77777777" w:rsidTr="003562F3">
        <w:trPr>
          <w:trHeight w:val="266"/>
        </w:trPr>
        <w:tc>
          <w:tcPr>
            <w:tcW w:w="2988" w:type="dxa"/>
            <w:tcBorders>
              <w:top w:val="single" w:sz="4" w:space="0" w:color="auto"/>
              <w:left w:val="single" w:sz="4" w:space="0" w:color="auto"/>
              <w:bottom w:val="single" w:sz="4" w:space="0" w:color="auto"/>
              <w:right w:val="single" w:sz="4" w:space="0" w:color="auto"/>
            </w:tcBorders>
            <w:shd w:val="clear" w:color="auto" w:fill="FFFFFF"/>
          </w:tcPr>
          <w:p w14:paraId="1B532054" w14:textId="77777777" w:rsidR="003562F3" w:rsidRPr="005E779E" w:rsidRDefault="003562F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Мощность, л.с.</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5F0C02B7" w14:textId="77777777" w:rsidR="003562F3" w:rsidRPr="005E779E" w:rsidRDefault="003562F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650</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6AD11C44" w14:textId="77777777" w:rsidR="003562F3" w:rsidRPr="005E779E" w:rsidRDefault="003562F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650</w:t>
            </w:r>
          </w:p>
        </w:tc>
        <w:tc>
          <w:tcPr>
            <w:tcW w:w="1534" w:type="dxa"/>
            <w:tcBorders>
              <w:top w:val="single" w:sz="4" w:space="0" w:color="auto"/>
              <w:left w:val="single" w:sz="4" w:space="0" w:color="auto"/>
              <w:bottom w:val="single" w:sz="4" w:space="0" w:color="auto"/>
              <w:right w:val="single" w:sz="4" w:space="0" w:color="auto"/>
            </w:tcBorders>
            <w:shd w:val="clear" w:color="auto" w:fill="FFFFFF"/>
          </w:tcPr>
          <w:p w14:paraId="73364B38" w14:textId="77777777" w:rsidR="003562F3" w:rsidRPr="005E779E" w:rsidRDefault="003562F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650</w:t>
            </w:r>
          </w:p>
        </w:tc>
      </w:tr>
      <w:tr w:rsidR="007122AB" w:rsidRPr="005E779E" w14:paraId="140C90BA" w14:textId="77777777" w:rsidTr="003562F3">
        <w:trPr>
          <w:trHeight w:val="302"/>
        </w:trPr>
        <w:tc>
          <w:tcPr>
            <w:tcW w:w="2988" w:type="dxa"/>
            <w:tcBorders>
              <w:top w:val="single" w:sz="4" w:space="0" w:color="auto"/>
              <w:left w:val="single" w:sz="4" w:space="0" w:color="auto"/>
              <w:bottom w:val="single" w:sz="4" w:space="0" w:color="auto"/>
              <w:right w:val="single" w:sz="4" w:space="0" w:color="auto"/>
            </w:tcBorders>
            <w:shd w:val="clear" w:color="auto" w:fill="FFFFFF"/>
          </w:tcPr>
          <w:p w14:paraId="1E4C08C8" w14:textId="77777777" w:rsidR="003562F3" w:rsidRPr="005E779E" w:rsidRDefault="003562F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Размах крыла, м</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65F9A60A" w14:textId="77777777" w:rsidR="003562F3" w:rsidRPr="005E779E" w:rsidRDefault="003562F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26,5</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3563AF1E" w14:textId="77777777" w:rsidR="003562F3" w:rsidRPr="005E779E" w:rsidRDefault="003562F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25,5</w:t>
            </w:r>
          </w:p>
        </w:tc>
        <w:tc>
          <w:tcPr>
            <w:tcW w:w="1534" w:type="dxa"/>
            <w:tcBorders>
              <w:top w:val="single" w:sz="4" w:space="0" w:color="auto"/>
              <w:left w:val="single" w:sz="4" w:space="0" w:color="auto"/>
              <w:bottom w:val="single" w:sz="4" w:space="0" w:color="auto"/>
              <w:right w:val="single" w:sz="4" w:space="0" w:color="auto"/>
            </w:tcBorders>
            <w:shd w:val="clear" w:color="auto" w:fill="FFFFFF"/>
          </w:tcPr>
          <w:p w14:paraId="4C41D170" w14:textId="77777777" w:rsidR="003562F3" w:rsidRPr="005E779E" w:rsidRDefault="003562F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w:t>
            </w:r>
          </w:p>
        </w:tc>
      </w:tr>
      <w:tr w:rsidR="007122AB" w:rsidRPr="005E779E" w14:paraId="018A277E" w14:textId="77777777" w:rsidTr="003562F3">
        <w:trPr>
          <w:trHeight w:val="266"/>
        </w:trPr>
        <w:tc>
          <w:tcPr>
            <w:tcW w:w="2988" w:type="dxa"/>
            <w:tcBorders>
              <w:top w:val="single" w:sz="4" w:space="0" w:color="auto"/>
              <w:left w:val="single" w:sz="4" w:space="0" w:color="auto"/>
              <w:bottom w:val="single" w:sz="4" w:space="0" w:color="auto"/>
              <w:right w:val="single" w:sz="4" w:space="0" w:color="auto"/>
            </w:tcBorders>
            <w:shd w:val="clear" w:color="auto" w:fill="FFFFFF"/>
          </w:tcPr>
          <w:p w14:paraId="4118FDA5" w14:textId="77777777" w:rsidR="003562F3" w:rsidRPr="005E779E" w:rsidRDefault="003562F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Площадь крыла, м</w:t>
            </w:r>
            <w:r w:rsidRPr="005E779E">
              <w:rPr>
                <w:rFonts w:ascii="Times New Roman" w:hAnsi="Times New Roman"/>
                <w:color w:val="000000" w:themeColor="text1"/>
                <w:sz w:val="16"/>
                <w:szCs w:val="16"/>
                <w:vertAlign w:val="superscript"/>
              </w:rPr>
              <w:t>2</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76C7871E" w14:textId="77777777" w:rsidR="003562F3" w:rsidRPr="005E779E" w:rsidRDefault="003562F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81</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5F97847B" w14:textId="77777777" w:rsidR="003562F3" w:rsidRPr="005E779E" w:rsidRDefault="003562F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w:t>
            </w:r>
          </w:p>
        </w:tc>
        <w:tc>
          <w:tcPr>
            <w:tcW w:w="1534" w:type="dxa"/>
            <w:tcBorders>
              <w:top w:val="single" w:sz="4" w:space="0" w:color="auto"/>
              <w:left w:val="single" w:sz="4" w:space="0" w:color="auto"/>
              <w:bottom w:val="single" w:sz="4" w:space="0" w:color="auto"/>
              <w:right w:val="single" w:sz="4" w:space="0" w:color="auto"/>
            </w:tcBorders>
            <w:shd w:val="clear" w:color="auto" w:fill="FFFFFF"/>
          </w:tcPr>
          <w:p w14:paraId="52C242D1" w14:textId="77777777" w:rsidR="003562F3" w:rsidRPr="005E779E" w:rsidRDefault="003562F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78,3</w:t>
            </w:r>
          </w:p>
        </w:tc>
      </w:tr>
      <w:tr w:rsidR="007122AB" w:rsidRPr="005E779E" w14:paraId="4DA1AC54" w14:textId="77777777" w:rsidTr="003562F3">
        <w:trPr>
          <w:trHeight w:val="270"/>
        </w:trPr>
        <w:tc>
          <w:tcPr>
            <w:tcW w:w="2988" w:type="dxa"/>
            <w:tcBorders>
              <w:top w:val="single" w:sz="4" w:space="0" w:color="auto"/>
              <w:left w:val="single" w:sz="4" w:space="0" w:color="auto"/>
              <w:bottom w:val="single" w:sz="4" w:space="0" w:color="auto"/>
              <w:right w:val="single" w:sz="4" w:space="0" w:color="auto"/>
            </w:tcBorders>
            <w:shd w:val="clear" w:color="auto" w:fill="FFFFFF"/>
          </w:tcPr>
          <w:p w14:paraId="2C19BEE7" w14:textId="77777777" w:rsidR="003562F3" w:rsidRPr="005E779E" w:rsidRDefault="003562F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Полетный вес, кг</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72BD6B40" w14:textId="77777777" w:rsidR="003562F3" w:rsidRPr="005E779E" w:rsidRDefault="003562F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8600</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67C85897" w14:textId="77777777" w:rsidR="003562F3" w:rsidRPr="005E779E" w:rsidRDefault="003562F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8850</w:t>
            </w:r>
          </w:p>
        </w:tc>
        <w:tc>
          <w:tcPr>
            <w:tcW w:w="1534" w:type="dxa"/>
            <w:tcBorders>
              <w:top w:val="single" w:sz="4" w:space="0" w:color="auto"/>
              <w:left w:val="single" w:sz="4" w:space="0" w:color="auto"/>
              <w:bottom w:val="single" w:sz="4" w:space="0" w:color="auto"/>
              <w:right w:val="single" w:sz="4" w:space="0" w:color="auto"/>
            </w:tcBorders>
            <w:shd w:val="clear" w:color="auto" w:fill="FFFFFF"/>
          </w:tcPr>
          <w:p w14:paraId="0BFB9577" w14:textId="77777777" w:rsidR="003562F3" w:rsidRPr="005E779E" w:rsidRDefault="003562F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9800"</w:t>
            </w:r>
          </w:p>
        </w:tc>
      </w:tr>
      <w:tr w:rsidR="007122AB" w:rsidRPr="005E779E" w14:paraId="28A82373" w14:textId="77777777" w:rsidTr="003562F3">
        <w:trPr>
          <w:trHeight w:val="263"/>
        </w:trPr>
        <w:tc>
          <w:tcPr>
            <w:tcW w:w="2988" w:type="dxa"/>
            <w:tcBorders>
              <w:top w:val="single" w:sz="4" w:space="0" w:color="auto"/>
              <w:left w:val="single" w:sz="4" w:space="0" w:color="auto"/>
              <w:bottom w:val="single" w:sz="4" w:space="0" w:color="auto"/>
              <w:right w:val="single" w:sz="4" w:space="0" w:color="auto"/>
            </w:tcBorders>
            <w:shd w:val="clear" w:color="auto" w:fill="FFFFFF"/>
          </w:tcPr>
          <w:p w14:paraId="4E5CF1E6" w14:textId="77777777" w:rsidR="003562F3" w:rsidRPr="005E779E" w:rsidRDefault="003562F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пустого, кг</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5EB8E729" w14:textId="77777777" w:rsidR="003562F3" w:rsidRPr="005E779E" w:rsidRDefault="003562F3" w:rsidP="000B7A6C">
            <w:pPr>
              <w:pStyle w:val="213"/>
              <w:shd w:val="clear" w:color="auto" w:fill="auto"/>
              <w:spacing w:after="0" w:line="240" w:lineRule="auto"/>
              <w:jc w:val="both"/>
              <w:rPr>
                <w:rFonts w:ascii="Times New Roman" w:hAnsi="Times New Roman"/>
                <w:color w:val="000000" w:themeColor="text1"/>
                <w:szCs w:val="16"/>
              </w:rPr>
            </w:pPr>
            <w:r w:rsidRPr="005E779E">
              <w:rPr>
                <w:rFonts w:ascii="Times New Roman" w:hAnsi="Times New Roman"/>
                <w:color w:val="000000" w:themeColor="text1"/>
                <w:szCs w:val="16"/>
              </w:rPr>
              <w:t>-</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7688EB3B" w14:textId="77777777" w:rsidR="003562F3" w:rsidRPr="005E779E" w:rsidRDefault="003562F3" w:rsidP="000B7A6C">
            <w:pPr>
              <w:pStyle w:val="221"/>
              <w:shd w:val="clear" w:color="auto" w:fill="auto"/>
              <w:spacing w:line="240" w:lineRule="auto"/>
              <w:jc w:val="both"/>
              <w:rPr>
                <w:color w:val="000000" w:themeColor="text1"/>
                <w:sz w:val="16"/>
                <w:szCs w:val="16"/>
              </w:rPr>
            </w:pPr>
            <w:r w:rsidRPr="005E779E">
              <w:rPr>
                <w:color w:val="000000" w:themeColor="text1"/>
                <w:sz w:val="16"/>
                <w:szCs w:val="16"/>
              </w:rPr>
              <w:t>-</w:t>
            </w:r>
          </w:p>
        </w:tc>
        <w:tc>
          <w:tcPr>
            <w:tcW w:w="1534" w:type="dxa"/>
            <w:tcBorders>
              <w:top w:val="single" w:sz="4" w:space="0" w:color="auto"/>
              <w:left w:val="single" w:sz="4" w:space="0" w:color="auto"/>
              <w:bottom w:val="single" w:sz="4" w:space="0" w:color="auto"/>
              <w:right w:val="single" w:sz="4" w:space="0" w:color="auto"/>
            </w:tcBorders>
            <w:shd w:val="clear" w:color="auto" w:fill="FFFFFF"/>
          </w:tcPr>
          <w:p w14:paraId="7DB52061" w14:textId="77777777" w:rsidR="003562F3" w:rsidRPr="005E779E" w:rsidRDefault="003562F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3100</w:t>
            </w:r>
          </w:p>
        </w:tc>
      </w:tr>
      <w:tr w:rsidR="007122AB" w:rsidRPr="005E779E" w14:paraId="41F33D79" w14:textId="77777777" w:rsidTr="003562F3">
        <w:trPr>
          <w:trHeight w:val="266"/>
        </w:trPr>
        <w:tc>
          <w:tcPr>
            <w:tcW w:w="2988" w:type="dxa"/>
            <w:tcBorders>
              <w:top w:val="single" w:sz="4" w:space="0" w:color="auto"/>
              <w:left w:val="single" w:sz="4" w:space="0" w:color="auto"/>
              <w:bottom w:val="single" w:sz="4" w:space="0" w:color="auto"/>
              <w:right w:val="single" w:sz="4" w:space="0" w:color="auto"/>
            </w:tcBorders>
            <w:shd w:val="clear" w:color="auto" w:fill="FFFFFF"/>
          </w:tcPr>
          <w:p w14:paraId="5564B025" w14:textId="77777777" w:rsidR="003562F3" w:rsidRPr="005E779E" w:rsidRDefault="003562F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топлива, кг</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12C64C38" w14:textId="77777777" w:rsidR="003562F3" w:rsidRPr="005E779E" w:rsidRDefault="003562F3" w:rsidP="000B7A6C">
            <w:pPr>
              <w:pStyle w:val="221"/>
              <w:shd w:val="clear" w:color="auto" w:fill="auto"/>
              <w:spacing w:line="240" w:lineRule="auto"/>
              <w:jc w:val="both"/>
              <w:rPr>
                <w:color w:val="000000" w:themeColor="text1"/>
                <w:sz w:val="16"/>
                <w:szCs w:val="16"/>
              </w:rPr>
            </w:pPr>
            <w:r w:rsidRPr="005E779E">
              <w:rPr>
                <w:color w:val="000000" w:themeColor="text1"/>
                <w:sz w:val="16"/>
                <w:szCs w:val="16"/>
              </w:rPr>
              <w:t>-</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5C66AC7A" w14:textId="77777777" w:rsidR="003562F3" w:rsidRPr="005E779E" w:rsidRDefault="003562F3" w:rsidP="000B7A6C">
            <w:pPr>
              <w:pStyle w:val="221"/>
              <w:shd w:val="clear" w:color="auto" w:fill="auto"/>
              <w:spacing w:line="240" w:lineRule="auto"/>
              <w:jc w:val="both"/>
              <w:rPr>
                <w:color w:val="000000" w:themeColor="text1"/>
                <w:sz w:val="16"/>
                <w:szCs w:val="16"/>
              </w:rPr>
            </w:pPr>
            <w:r w:rsidRPr="005E779E">
              <w:rPr>
                <w:color w:val="000000" w:themeColor="text1"/>
                <w:sz w:val="16"/>
                <w:szCs w:val="16"/>
              </w:rPr>
              <w:t>-</w:t>
            </w:r>
          </w:p>
        </w:tc>
        <w:tc>
          <w:tcPr>
            <w:tcW w:w="1534" w:type="dxa"/>
            <w:tcBorders>
              <w:top w:val="single" w:sz="4" w:space="0" w:color="auto"/>
              <w:left w:val="single" w:sz="4" w:space="0" w:color="auto"/>
              <w:bottom w:val="single" w:sz="4" w:space="0" w:color="auto"/>
              <w:right w:val="single" w:sz="4" w:space="0" w:color="auto"/>
            </w:tcBorders>
            <w:shd w:val="clear" w:color="auto" w:fill="FFFFFF"/>
          </w:tcPr>
          <w:p w14:paraId="69F39DA2" w14:textId="77777777" w:rsidR="003562F3" w:rsidRPr="005E779E" w:rsidRDefault="003562F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6340-'</w:t>
            </w:r>
          </w:p>
        </w:tc>
      </w:tr>
      <w:tr w:rsidR="007122AB" w:rsidRPr="005E779E" w14:paraId="50CD134F" w14:textId="77777777" w:rsidTr="003562F3">
        <w:trPr>
          <w:trHeight w:val="486"/>
        </w:trPr>
        <w:tc>
          <w:tcPr>
            <w:tcW w:w="2988" w:type="dxa"/>
            <w:tcBorders>
              <w:top w:val="single" w:sz="4" w:space="0" w:color="auto"/>
              <w:left w:val="single" w:sz="4" w:space="0" w:color="auto"/>
              <w:bottom w:val="single" w:sz="4" w:space="0" w:color="auto"/>
              <w:right w:val="single" w:sz="4" w:space="0" w:color="auto"/>
            </w:tcBorders>
            <w:shd w:val="clear" w:color="auto" w:fill="FFFFFF"/>
          </w:tcPr>
          <w:p w14:paraId="2B8A1AD5" w14:textId="77777777" w:rsidR="003562F3" w:rsidRPr="005E779E" w:rsidRDefault="003562F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Скорость</w:t>
            </w:r>
          </w:p>
          <w:p w14:paraId="6C3428FB" w14:textId="77777777" w:rsidR="003562F3" w:rsidRPr="005E779E" w:rsidRDefault="003562F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у земли, км/ч</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28150997" w14:textId="77777777" w:rsidR="003562F3" w:rsidRPr="005E779E" w:rsidRDefault="003562F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210</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4A1DA89E" w14:textId="77777777" w:rsidR="003562F3" w:rsidRPr="005E779E" w:rsidRDefault="003562F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250</w:t>
            </w:r>
          </w:p>
        </w:tc>
        <w:tc>
          <w:tcPr>
            <w:tcW w:w="1534" w:type="dxa"/>
            <w:tcBorders>
              <w:top w:val="single" w:sz="4" w:space="0" w:color="auto"/>
              <w:left w:val="single" w:sz="4" w:space="0" w:color="auto"/>
              <w:bottom w:val="single" w:sz="4" w:space="0" w:color="auto"/>
              <w:right w:val="single" w:sz="4" w:space="0" w:color="auto"/>
            </w:tcBorders>
            <w:shd w:val="clear" w:color="auto" w:fill="FFFFFF"/>
          </w:tcPr>
          <w:p w14:paraId="6EDA892A" w14:textId="77777777" w:rsidR="003562F3" w:rsidRPr="005E779E" w:rsidRDefault="003562F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245</w:t>
            </w:r>
          </w:p>
        </w:tc>
      </w:tr>
      <w:tr w:rsidR="007122AB" w:rsidRPr="005E779E" w14:paraId="2F4DA010" w14:textId="77777777" w:rsidTr="003562F3">
        <w:trPr>
          <w:trHeight w:val="266"/>
        </w:trPr>
        <w:tc>
          <w:tcPr>
            <w:tcW w:w="2988" w:type="dxa"/>
            <w:tcBorders>
              <w:top w:val="single" w:sz="4" w:space="0" w:color="auto"/>
              <w:left w:val="single" w:sz="4" w:space="0" w:color="auto"/>
              <w:bottom w:val="single" w:sz="4" w:space="0" w:color="auto"/>
              <w:right w:val="single" w:sz="4" w:space="0" w:color="auto"/>
            </w:tcBorders>
            <w:shd w:val="clear" w:color="auto" w:fill="FFFFFF"/>
          </w:tcPr>
          <w:p w14:paraId="666A8BB3" w14:textId="77777777" w:rsidR="003562F3" w:rsidRPr="005E779E" w:rsidRDefault="003562F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набора высоты, мин.</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207E2F3E" w14:textId="77777777" w:rsidR="003562F3" w:rsidRPr="005E779E" w:rsidRDefault="003562F3" w:rsidP="000B7A6C">
            <w:pPr>
              <w:pStyle w:val="221"/>
              <w:shd w:val="clear" w:color="auto" w:fill="auto"/>
              <w:spacing w:line="240" w:lineRule="auto"/>
              <w:jc w:val="both"/>
              <w:rPr>
                <w:color w:val="000000" w:themeColor="text1"/>
                <w:sz w:val="16"/>
                <w:szCs w:val="16"/>
              </w:rPr>
            </w:pPr>
            <w:r w:rsidRPr="005E779E">
              <w:rPr>
                <w:color w:val="000000" w:themeColor="text1"/>
                <w:sz w:val="16"/>
                <w:szCs w:val="16"/>
              </w:rPr>
              <w:t>-</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23E70F81" w14:textId="77777777" w:rsidR="003562F3" w:rsidRPr="005E779E" w:rsidRDefault="003562F3" w:rsidP="000B7A6C">
            <w:pPr>
              <w:pStyle w:val="221"/>
              <w:shd w:val="clear" w:color="auto" w:fill="auto"/>
              <w:spacing w:line="240" w:lineRule="auto"/>
              <w:jc w:val="both"/>
              <w:rPr>
                <w:color w:val="000000" w:themeColor="text1"/>
                <w:sz w:val="16"/>
                <w:szCs w:val="16"/>
              </w:rPr>
            </w:pPr>
            <w:r w:rsidRPr="005E779E">
              <w:rPr>
                <w:color w:val="000000" w:themeColor="text1"/>
                <w:sz w:val="16"/>
                <w:szCs w:val="16"/>
              </w:rPr>
              <w:t>-</w:t>
            </w:r>
          </w:p>
        </w:tc>
        <w:tc>
          <w:tcPr>
            <w:tcW w:w="1534" w:type="dxa"/>
            <w:tcBorders>
              <w:top w:val="single" w:sz="4" w:space="0" w:color="auto"/>
              <w:left w:val="single" w:sz="4" w:space="0" w:color="auto"/>
              <w:bottom w:val="single" w:sz="4" w:space="0" w:color="auto"/>
              <w:right w:val="single" w:sz="4" w:space="0" w:color="auto"/>
            </w:tcBorders>
            <w:shd w:val="clear" w:color="auto" w:fill="FFFFFF"/>
          </w:tcPr>
          <w:p w14:paraId="724A8141" w14:textId="77777777" w:rsidR="003562F3" w:rsidRPr="005E779E" w:rsidRDefault="003562F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53/6000 м</w:t>
            </w:r>
          </w:p>
        </w:tc>
      </w:tr>
      <w:tr w:rsidR="007122AB" w:rsidRPr="005E779E" w14:paraId="438AFE51" w14:textId="77777777" w:rsidTr="003562F3">
        <w:trPr>
          <w:trHeight w:val="263"/>
        </w:trPr>
        <w:tc>
          <w:tcPr>
            <w:tcW w:w="2988" w:type="dxa"/>
            <w:tcBorders>
              <w:top w:val="single" w:sz="4" w:space="0" w:color="auto"/>
              <w:left w:val="single" w:sz="4" w:space="0" w:color="auto"/>
              <w:bottom w:val="single" w:sz="4" w:space="0" w:color="auto"/>
              <w:right w:val="single" w:sz="4" w:space="0" w:color="auto"/>
            </w:tcBorders>
            <w:shd w:val="clear" w:color="auto" w:fill="FFFFFF"/>
          </w:tcPr>
          <w:p w14:paraId="50024C9E" w14:textId="77777777" w:rsidR="003562F3" w:rsidRPr="005E779E" w:rsidRDefault="003562F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Дальность расчетная, км</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03423C31" w14:textId="77777777" w:rsidR="003562F3" w:rsidRPr="005E779E" w:rsidRDefault="003562F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13 000</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1F0BE1C5" w14:textId="77777777" w:rsidR="003562F3" w:rsidRPr="005E779E" w:rsidRDefault="003562F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13 000</w:t>
            </w:r>
          </w:p>
        </w:tc>
        <w:tc>
          <w:tcPr>
            <w:tcW w:w="1534" w:type="dxa"/>
            <w:tcBorders>
              <w:top w:val="single" w:sz="4" w:space="0" w:color="auto"/>
              <w:left w:val="single" w:sz="4" w:space="0" w:color="auto"/>
              <w:bottom w:val="single" w:sz="4" w:space="0" w:color="auto"/>
              <w:right w:val="single" w:sz="4" w:space="0" w:color="auto"/>
            </w:tcBorders>
            <w:shd w:val="clear" w:color="auto" w:fill="FFFFFF"/>
          </w:tcPr>
          <w:p w14:paraId="25E0FE5D" w14:textId="77777777" w:rsidR="003562F3" w:rsidRPr="005E779E" w:rsidRDefault="003562F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11 000</w:t>
            </w:r>
          </w:p>
        </w:tc>
      </w:tr>
      <w:tr w:rsidR="007122AB" w:rsidRPr="005E779E" w14:paraId="6F0C8CBD" w14:textId="77777777" w:rsidTr="003562F3">
        <w:trPr>
          <w:trHeight w:val="270"/>
        </w:trPr>
        <w:tc>
          <w:tcPr>
            <w:tcW w:w="2988" w:type="dxa"/>
            <w:tcBorders>
              <w:top w:val="single" w:sz="4" w:space="0" w:color="auto"/>
              <w:left w:val="single" w:sz="4" w:space="0" w:color="auto"/>
              <w:bottom w:val="single" w:sz="4" w:space="0" w:color="auto"/>
              <w:right w:val="single" w:sz="4" w:space="0" w:color="auto"/>
            </w:tcBorders>
            <w:shd w:val="clear" w:color="auto" w:fill="FFFFFF"/>
          </w:tcPr>
          <w:p w14:paraId="464B3CAC" w14:textId="77777777" w:rsidR="003562F3" w:rsidRPr="005E779E" w:rsidRDefault="003562F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Разбег, м</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4F6364C1" w14:textId="77777777" w:rsidR="003562F3" w:rsidRPr="005E779E" w:rsidRDefault="003562F3" w:rsidP="000B7A6C">
            <w:pPr>
              <w:pStyle w:val="221"/>
              <w:shd w:val="clear" w:color="auto" w:fill="auto"/>
              <w:spacing w:line="240" w:lineRule="auto"/>
              <w:jc w:val="both"/>
              <w:rPr>
                <w:color w:val="000000" w:themeColor="text1"/>
                <w:sz w:val="16"/>
                <w:szCs w:val="16"/>
              </w:rPr>
            </w:pPr>
            <w:r w:rsidRPr="005E779E">
              <w:rPr>
                <w:color w:val="000000" w:themeColor="text1"/>
                <w:sz w:val="16"/>
                <w:szCs w:val="16"/>
              </w:rPr>
              <w:t>-</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331D2AE3" w14:textId="77777777" w:rsidR="003562F3" w:rsidRPr="005E779E" w:rsidRDefault="003562F3" w:rsidP="000B7A6C">
            <w:pPr>
              <w:pStyle w:val="221"/>
              <w:shd w:val="clear" w:color="auto" w:fill="auto"/>
              <w:spacing w:line="240" w:lineRule="auto"/>
              <w:jc w:val="both"/>
              <w:rPr>
                <w:color w:val="000000" w:themeColor="text1"/>
                <w:sz w:val="16"/>
                <w:szCs w:val="16"/>
              </w:rPr>
            </w:pPr>
            <w:r w:rsidRPr="005E779E">
              <w:rPr>
                <w:color w:val="000000" w:themeColor="text1"/>
                <w:sz w:val="16"/>
                <w:szCs w:val="16"/>
              </w:rPr>
              <w:t>-</w:t>
            </w:r>
          </w:p>
        </w:tc>
        <w:tc>
          <w:tcPr>
            <w:tcW w:w="1534" w:type="dxa"/>
            <w:tcBorders>
              <w:top w:val="single" w:sz="4" w:space="0" w:color="auto"/>
              <w:left w:val="single" w:sz="4" w:space="0" w:color="auto"/>
              <w:bottom w:val="single" w:sz="4" w:space="0" w:color="auto"/>
              <w:right w:val="single" w:sz="4" w:space="0" w:color="auto"/>
            </w:tcBorders>
            <w:shd w:val="clear" w:color="auto" w:fill="FFFFFF"/>
          </w:tcPr>
          <w:p w14:paraId="01031A17" w14:textId="77777777" w:rsidR="003562F3" w:rsidRPr="005E779E" w:rsidRDefault="003562F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1700</w:t>
            </w:r>
          </w:p>
        </w:tc>
      </w:tr>
      <w:tr w:rsidR="007122AB" w:rsidRPr="005E779E" w14:paraId="54149945" w14:textId="77777777" w:rsidTr="003562F3">
        <w:trPr>
          <w:trHeight w:val="281"/>
        </w:trPr>
        <w:tc>
          <w:tcPr>
            <w:tcW w:w="2988" w:type="dxa"/>
            <w:tcBorders>
              <w:top w:val="single" w:sz="4" w:space="0" w:color="auto"/>
              <w:left w:val="single" w:sz="4" w:space="0" w:color="auto"/>
              <w:bottom w:val="single" w:sz="4" w:space="0" w:color="auto"/>
              <w:right w:val="single" w:sz="4" w:space="0" w:color="auto"/>
            </w:tcBorders>
            <w:shd w:val="clear" w:color="auto" w:fill="FFFFFF"/>
          </w:tcPr>
          <w:p w14:paraId="4F802B31" w14:textId="77777777" w:rsidR="003562F3" w:rsidRPr="005E779E" w:rsidRDefault="003562F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Экипаж, чел.</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0305D7D6" w14:textId="77777777" w:rsidR="003562F3" w:rsidRPr="005E779E" w:rsidRDefault="003562F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1235E8D6" w14:textId="77777777" w:rsidR="003562F3" w:rsidRPr="005E779E" w:rsidRDefault="003562F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tc>
        <w:tc>
          <w:tcPr>
            <w:tcW w:w="1534" w:type="dxa"/>
            <w:tcBorders>
              <w:top w:val="single" w:sz="4" w:space="0" w:color="auto"/>
              <w:left w:val="single" w:sz="4" w:space="0" w:color="auto"/>
              <w:bottom w:val="single" w:sz="4" w:space="0" w:color="auto"/>
              <w:right w:val="single" w:sz="4" w:space="0" w:color="auto"/>
            </w:tcBorders>
            <w:shd w:val="clear" w:color="auto" w:fill="FFFFFF"/>
          </w:tcPr>
          <w:p w14:paraId="39322725" w14:textId="77777777" w:rsidR="003562F3" w:rsidRPr="005E779E" w:rsidRDefault="003562F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r>
    </w:tbl>
    <w:p w14:paraId="3548DC4F" w14:textId="77777777" w:rsidR="003562F3" w:rsidRPr="005E779E" w:rsidRDefault="003562F3" w:rsidP="000B7A6C">
      <w:pPr>
        <w:pStyle w:val="aff1"/>
        <w:shd w:val="clear" w:color="auto" w:fill="auto"/>
        <w:spacing w:line="240" w:lineRule="auto"/>
        <w:rPr>
          <w:rFonts w:ascii="Times New Roman" w:hAnsi="Times New Roman" w:cs="Times New Roman"/>
          <w:i w:val="0"/>
          <w:color w:val="000000" w:themeColor="text1"/>
          <w:sz w:val="16"/>
          <w:szCs w:val="16"/>
          <w:lang w:val="ru-RU"/>
        </w:rPr>
      </w:pPr>
      <w:r w:rsidRPr="005E779E">
        <w:rPr>
          <w:rFonts w:ascii="Times New Roman" w:hAnsi="Times New Roman" w:cs="Times New Roman"/>
          <w:i w:val="0"/>
          <w:color w:val="000000" w:themeColor="text1"/>
          <w:sz w:val="16"/>
          <w:szCs w:val="16"/>
          <w:lang w:val="ru-RU"/>
        </w:rPr>
        <w:t>Примечания: 1) — по другим данным, 9200. 2) — по другим данным, 5600 кг (12725).</w:t>
      </w:r>
    </w:p>
    <w:p w14:paraId="4738A049" w14:textId="77777777" w:rsidR="003562F3" w:rsidRPr="005E779E" w:rsidRDefault="003562F3" w:rsidP="000B7A6C">
      <w:pPr>
        <w:spacing w:after="0" w:line="240" w:lineRule="auto"/>
        <w:jc w:val="both"/>
        <w:rPr>
          <w:rFonts w:ascii="Times New Roman" w:hAnsi="Times New Roman"/>
          <w:color w:val="000000" w:themeColor="text1"/>
          <w:sz w:val="16"/>
          <w:szCs w:val="16"/>
        </w:rPr>
      </w:pPr>
    </w:p>
    <w:p w14:paraId="1484CC07" w14:textId="77777777" w:rsidR="004742EE" w:rsidRPr="005E779E" w:rsidRDefault="004742E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феврале 1931, вылетев из Орана во французском Алжире, французские авиаторы Антуан Пайяр и Луи Майлу пролетели 15 километров (9,3 мили) по кругу более 50 часов на Bernard 80 GR, пытаясь установить новый мировой рекорд дальности без дозаправки без остановок на замкнутой трассе. Они преодолевают 8168 километров (5076 миль), прежде чем из-за более высокого, чем ожидалось, расхода топлива они приземляются всего на 20 километров (12,4 мили) меньше рекорда (20804).</w:t>
      </w:r>
    </w:p>
    <w:p w14:paraId="4593E11D" w14:textId="77777777" w:rsidR="004742EE" w:rsidRPr="005E779E" w:rsidRDefault="004742EE" w:rsidP="000B7A6C">
      <w:pPr>
        <w:spacing w:after="0" w:line="240" w:lineRule="auto"/>
        <w:jc w:val="both"/>
        <w:rPr>
          <w:rFonts w:ascii="Times New Roman" w:hAnsi="Times New Roman"/>
          <w:color w:val="000000" w:themeColor="text1"/>
          <w:sz w:val="16"/>
          <w:szCs w:val="16"/>
        </w:rPr>
      </w:pPr>
    </w:p>
    <w:p w14:paraId="6269E5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феврале 1931 года «Лос-Анджелес» принял участие в больших маневрах тихоокеанского флота у западного берега Панамского канала. Дирижабль действовал с причальной вышки танкера «Патока». «Лос-Анджелес» отличился: ему удалось обнаружить соединение «вражеских» кораблей, которые хотели напасть на канал и </w:t>
      </w:r>
      <w:r w:rsidRPr="005E779E">
        <w:rPr>
          <w:rFonts w:ascii="Times New Roman" w:hAnsi="Times New Roman"/>
          <w:color w:val="000000" w:themeColor="text1"/>
          <w:sz w:val="16"/>
          <w:szCs w:val="16"/>
        </w:rPr>
        <w:lastRenderedPageBreak/>
        <w:t>скрытно наблюдать за кораблями в течение нескольких часов. Но как только он сам был обнаружен, «вражеские» самолеты не оставили ему никаких шансов. Один из [425] них набрал высоту и стремительно атаковал ZR-3 сверху, имитировав сброс бомбы столь правдоподобно, что посредники признали дирижабль «уничтоженным» (11324).</w:t>
      </w:r>
    </w:p>
    <w:p w14:paraId="139005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74BF421" w14:textId="77777777" w:rsidR="003E34FF" w:rsidRPr="00142305" w:rsidRDefault="003E34FF" w:rsidP="003E34FF">
      <w:pPr>
        <w:spacing w:after="0" w:line="240" w:lineRule="auto"/>
        <w:jc w:val="both"/>
        <w:rPr>
          <w:rFonts w:ascii="Times New Roman" w:hAnsi="Times New Roman"/>
          <w:color w:val="0070C0"/>
          <w:sz w:val="16"/>
          <w:szCs w:val="16"/>
        </w:rPr>
      </w:pPr>
      <w:r w:rsidRPr="00142305">
        <w:rPr>
          <w:rStyle w:val="aff0"/>
          <w:rFonts w:ascii="Times New Roman" w:eastAsiaTheme="minorHAnsi" w:hAnsi="Times New Roman" w:cs="Times New Roman"/>
          <w:color w:val="0070C0"/>
          <w:spacing w:val="0"/>
          <w:sz w:val="16"/>
          <w:szCs w:val="16"/>
        </w:rPr>
        <w:t>В феврале 1931 г. на Лонг Айленде (штат Нью-Йорк) появилась новая самолетостроительная фирма «Северский Эркрафт Корпорейш». Северский являлся одновремен</w:t>
      </w:r>
      <w:r w:rsidRPr="00142305">
        <w:rPr>
          <w:rStyle w:val="aff0"/>
          <w:rFonts w:ascii="Times New Roman" w:eastAsiaTheme="minorHAnsi" w:hAnsi="Times New Roman" w:cs="Times New Roman"/>
          <w:color w:val="0070C0"/>
          <w:spacing w:val="0"/>
          <w:sz w:val="16"/>
          <w:szCs w:val="16"/>
        </w:rPr>
        <w:softHyphen/>
        <w:t>но президентом, конструктором и летчиком-испытателем, главным инженером был соотечественник Северского талантливый авиаци</w:t>
      </w:r>
      <w:r w:rsidRPr="00142305">
        <w:rPr>
          <w:rStyle w:val="aff0"/>
          <w:rFonts w:ascii="Times New Roman" w:eastAsiaTheme="minorHAnsi" w:hAnsi="Times New Roman" w:cs="Times New Roman"/>
          <w:color w:val="0070C0"/>
          <w:spacing w:val="0"/>
          <w:sz w:val="16"/>
          <w:szCs w:val="16"/>
        </w:rPr>
        <w:softHyphen/>
        <w:t>онный специалист Александр Картвели. В связи с тем, что собствен</w:t>
      </w:r>
      <w:r w:rsidRPr="00142305">
        <w:rPr>
          <w:rStyle w:val="aff0"/>
          <w:rFonts w:ascii="Times New Roman" w:eastAsiaTheme="minorHAnsi" w:hAnsi="Times New Roman" w:cs="Times New Roman"/>
          <w:color w:val="0070C0"/>
          <w:spacing w:val="0"/>
          <w:sz w:val="16"/>
          <w:szCs w:val="16"/>
        </w:rPr>
        <w:softHyphen/>
        <w:t>ного производства новоиспеченная фирма не имела, Северский за</w:t>
      </w:r>
      <w:r w:rsidRPr="00142305">
        <w:rPr>
          <w:rStyle w:val="aff0"/>
          <w:rFonts w:ascii="Times New Roman" w:eastAsiaTheme="minorHAnsi" w:hAnsi="Times New Roman" w:cs="Times New Roman"/>
          <w:color w:val="0070C0"/>
          <w:spacing w:val="0"/>
          <w:sz w:val="16"/>
          <w:szCs w:val="16"/>
        </w:rPr>
        <w:softHyphen/>
        <w:t>ключил договор на изготовление самолета с расположенным по соседству авиационным предприятием фирмы «Эдо», специализи</w:t>
      </w:r>
      <w:r w:rsidRPr="00142305">
        <w:rPr>
          <w:rStyle w:val="aff0"/>
          <w:rFonts w:ascii="Times New Roman" w:eastAsiaTheme="minorHAnsi" w:hAnsi="Times New Roman" w:cs="Times New Roman"/>
          <w:color w:val="0070C0"/>
          <w:spacing w:val="0"/>
          <w:sz w:val="16"/>
          <w:szCs w:val="16"/>
        </w:rPr>
        <w:softHyphen/>
        <w:t>рующимся на производстве поплавков для гидросамолетов (25707).</w:t>
      </w:r>
    </w:p>
    <w:p w14:paraId="47E17572" w14:textId="77777777" w:rsidR="003E34FF" w:rsidRPr="00142305" w:rsidRDefault="003E34FF" w:rsidP="003E34FF">
      <w:pPr>
        <w:spacing w:after="0" w:line="240" w:lineRule="auto"/>
        <w:jc w:val="both"/>
        <w:rPr>
          <w:rFonts w:ascii="Times New Roman" w:hAnsi="Times New Roman"/>
          <w:color w:val="0070C0"/>
          <w:sz w:val="16"/>
          <w:szCs w:val="16"/>
        </w:rPr>
      </w:pPr>
    </w:p>
    <w:p w14:paraId="1739C4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период по 1931 с 1923 годп американские ВМФ имели на вооружении практически два боеготовых воздушных корабля — «Шенандоа» и «Лос-Анджелес». Их основным назначением было повышение выучки экипажей в управлении большими дирижаблями и совершенствование тактики совместного применения дирижаблей и кораблей. Однако большинство драгоценных летных часов было истрачено на показательные полеты, участие в торжествах и праздниках. Эти пропагандистские мероприятия имели и свою позитивную сторону. Несмотря на катастрофы, которые впоследствии произошли с «Шенандоа» и ZR-2 (R.38), такие выступления поддерживали внимание общественности к воздухоплаванию. </w:t>
      </w:r>
    </w:p>
    <w:p w14:paraId="1E31B1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Командование американского военно-морского флота видело в больших дирижаблях единственное средство для контроля Тихого океана, средство, которое не было ограничено действующими международными соглашениями о морском вооружении. Вашингтонская конференция по морским силам, которая состоялась в 1922 году, установила соотношение сил между тремя великими морскими державами — Великобританией, США и Японией в пропорции — 5:5:3. Огромное океаническое пространство от Пирл-Харбора до японских островов контролировали всего десять крейсеров типа «Омаха» вместо необходимых сорока, что было явно недостаточно, учитывая геополитические интересы Соединенных Штатов. </w:t>
      </w:r>
    </w:p>
    <w:p w14:paraId="737F4A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со взглядами того времени флотилия морских дирижаблей [426] могла бы эффективно заменить корабли в деле дальней морской разведки, а так как дирижабли не фигурировали в таблицах боевых кораблей, то не были бы нарушены и Вашингтонские соглашения (11324).</w:t>
      </w:r>
    </w:p>
    <w:p w14:paraId="7549F9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5AC06A3" w14:textId="77777777" w:rsidR="00BD06CF" w:rsidRPr="005E779E" w:rsidRDefault="00BD06C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феврале 1931 г. Министерство транспорта Рейха (Reichsverkehrsministerium, RVM) выдало сертификат летной годности самолету Ju-52, одновременно присвоив ему гражданский регистрационный номер D-1974. Новейший транспортный самолет был представлен прессе 17 февраля 1931 г. на аэродроме Берлин-Темпельхоф, машину подавали как «летающий товарный вагон». Самолет получил в печати прекрасные отзывы, но коммерческий успех машины не состоялся по причине всемирного экономического кризиса начала 30-х годов. Не было получено ни одного заказа от авиакомпаний (24200).</w:t>
      </w:r>
    </w:p>
    <w:p w14:paraId="63879978" w14:textId="77777777" w:rsidR="00BD06CF" w:rsidRPr="005E779E" w:rsidRDefault="00BD06CF" w:rsidP="000B7A6C">
      <w:pPr>
        <w:spacing w:after="0" w:line="240" w:lineRule="auto"/>
        <w:jc w:val="both"/>
        <w:rPr>
          <w:rFonts w:ascii="Times New Roman" w:hAnsi="Times New Roman"/>
          <w:color w:val="000000" w:themeColor="text1"/>
          <w:sz w:val="16"/>
          <w:szCs w:val="16"/>
        </w:rPr>
      </w:pPr>
    </w:p>
    <w:p w14:paraId="31F360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феврале 1931 г. в Испании было восстановлено действие Конституции (3871).</w:t>
      </w:r>
    </w:p>
    <w:p w14:paraId="60DB69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C59ED97"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00FC99D8"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5A69AB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феврале-марте 1931 г. был подготовлен документ «Система вооруже</w:t>
      </w:r>
      <w:r w:rsidRPr="005E779E">
        <w:rPr>
          <w:rFonts w:ascii="Times New Roman" w:hAnsi="Times New Roman"/>
          <w:color w:val="000000" w:themeColor="text1"/>
          <w:sz w:val="16"/>
          <w:szCs w:val="16"/>
        </w:rPr>
        <w:softHyphen/>
        <w:t>ния ВВС РККА на 1932-34 гг.» предус</w:t>
      </w:r>
      <w:r w:rsidRPr="005E779E">
        <w:rPr>
          <w:rFonts w:ascii="Times New Roman" w:hAnsi="Times New Roman"/>
          <w:color w:val="000000" w:themeColor="text1"/>
          <w:sz w:val="16"/>
          <w:szCs w:val="16"/>
        </w:rPr>
        <w:softHyphen/>
        <w:t>матривалось проектирование целой гаммы гигантских бомбовозов с бомбо</w:t>
      </w:r>
      <w:r w:rsidRPr="005E779E">
        <w:rPr>
          <w:rFonts w:ascii="Times New Roman" w:hAnsi="Times New Roman"/>
          <w:color w:val="000000" w:themeColor="text1"/>
          <w:sz w:val="16"/>
          <w:szCs w:val="16"/>
        </w:rPr>
        <w:softHyphen/>
        <w:t>вой нагрузкой до 30 т. Вершиной этой концепции явилось задание на сверхтя</w:t>
      </w:r>
      <w:r w:rsidRPr="005E779E">
        <w:rPr>
          <w:rFonts w:ascii="Times New Roman" w:hAnsi="Times New Roman"/>
          <w:color w:val="000000" w:themeColor="text1"/>
          <w:sz w:val="16"/>
          <w:szCs w:val="16"/>
        </w:rPr>
        <w:softHyphen/>
        <w:t>желый бомбардировщик («летающее крыло») СТБ с нормальным радиусом действия не менее 2500 км. На эту ма</w:t>
      </w:r>
      <w:r w:rsidRPr="005E779E">
        <w:rPr>
          <w:rFonts w:ascii="Times New Roman" w:hAnsi="Times New Roman"/>
          <w:color w:val="000000" w:themeColor="text1"/>
          <w:sz w:val="16"/>
          <w:szCs w:val="16"/>
        </w:rPr>
        <w:softHyphen/>
        <w:t>шину возлагалась задача «разрушения и уничтожения объектов противника исключительной важности (Мальта, Суэц...)». В рамках этой программы строились опытные многомоторные бомбардировщики ТБ-4 и К-7, проек</w:t>
      </w:r>
      <w:r w:rsidRPr="005E779E">
        <w:rPr>
          <w:rFonts w:ascii="Times New Roman" w:hAnsi="Times New Roman"/>
          <w:color w:val="000000" w:themeColor="text1"/>
          <w:sz w:val="16"/>
          <w:szCs w:val="16"/>
        </w:rPr>
        <w:softHyphen/>
        <w:t>тировались еще большие ТБ-6 и ТБ-7. В начале 30-х годов такой категории, как «дальний бомбардировщик», в со</w:t>
      </w:r>
      <w:r w:rsidRPr="005E779E">
        <w:rPr>
          <w:rFonts w:ascii="Times New Roman" w:hAnsi="Times New Roman"/>
          <w:color w:val="000000" w:themeColor="text1"/>
          <w:sz w:val="16"/>
          <w:szCs w:val="16"/>
        </w:rPr>
        <w:softHyphen/>
        <w:t>ставе советской авиации не было. На</w:t>
      </w:r>
      <w:r w:rsidRPr="005E779E">
        <w:rPr>
          <w:rFonts w:ascii="Times New Roman" w:hAnsi="Times New Roman"/>
          <w:color w:val="000000" w:themeColor="text1"/>
          <w:sz w:val="16"/>
          <w:szCs w:val="16"/>
        </w:rPr>
        <w:softHyphen/>
        <w:t>несение ударов по целям в глубоком ты</w:t>
      </w:r>
      <w:r w:rsidRPr="005E779E">
        <w:rPr>
          <w:rFonts w:ascii="Times New Roman" w:hAnsi="Times New Roman"/>
          <w:color w:val="000000" w:themeColor="text1"/>
          <w:sz w:val="16"/>
          <w:szCs w:val="16"/>
        </w:rPr>
        <w:softHyphen/>
        <w:t>лу противника возлагалось на соедине</w:t>
      </w:r>
      <w:r w:rsidRPr="005E779E">
        <w:rPr>
          <w:rFonts w:ascii="Times New Roman" w:hAnsi="Times New Roman"/>
          <w:color w:val="000000" w:themeColor="text1"/>
          <w:sz w:val="16"/>
          <w:szCs w:val="16"/>
        </w:rPr>
        <w:softHyphen/>
        <w:t>ния тяжелых бомбардировщиков. Ос</w:t>
      </w:r>
      <w:r w:rsidRPr="005E779E">
        <w:rPr>
          <w:rFonts w:ascii="Times New Roman" w:hAnsi="Times New Roman"/>
          <w:color w:val="000000" w:themeColor="text1"/>
          <w:sz w:val="16"/>
          <w:szCs w:val="16"/>
        </w:rPr>
        <w:softHyphen/>
        <w:t>новную массу их составляли четырех</w:t>
      </w:r>
      <w:r w:rsidRPr="005E779E">
        <w:rPr>
          <w:rFonts w:ascii="Times New Roman" w:hAnsi="Times New Roman"/>
          <w:color w:val="000000" w:themeColor="text1"/>
          <w:sz w:val="16"/>
          <w:szCs w:val="16"/>
        </w:rPr>
        <w:softHyphen/>
        <w:t>моторные ТБ—3. Реальный радиус дей</w:t>
      </w:r>
      <w:r w:rsidRPr="005E779E">
        <w:rPr>
          <w:rFonts w:ascii="Times New Roman" w:hAnsi="Times New Roman"/>
          <w:color w:val="000000" w:themeColor="text1"/>
          <w:sz w:val="16"/>
          <w:szCs w:val="16"/>
        </w:rPr>
        <w:softHyphen/>
        <w:t>ствия у них составлял 1100-1200 км. За его увеличение боролись разными спо</w:t>
      </w:r>
      <w:r w:rsidRPr="005E779E">
        <w:rPr>
          <w:rFonts w:ascii="Times New Roman" w:hAnsi="Times New Roman"/>
          <w:color w:val="000000" w:themeColor="text1"/>
          <w:sz w:val="16"/>
          <w:szCs w:val="16"/>
        </w:rPr>
        <w:softHyphen/>
        <w:t>собами: переходили на новые сорта топ</w:t>
      </w:r>
      <w:r w:rsidRPr="005E779E">
        <w:rPr>
          <w:rFonts w:ascii="Times New Roman" w:hAnsi="Times New Roman"/>
          <w:color w:val="000000" w:themeColor="text1"/>
          <w:sz w:val="16"/>
          <w:szCs w:val="16"/>
        </w:rPr>
        <w:softHyphen/>
        <w:t>лива, облегчали самолеты за счет сня</w:t>
      </w:r>
      <w:r w:rsidRPr="005E779E">
        <w:rPr>
          <w:rFonts w:ascii="Times New Roman" w:hAnsi="Times New Roman"/>
          <w:color w:val="000000" w:themeColor="text1"/>
          <w:sz w:val="16"/>
          <w:szCs w:val="16"/>
        </w:rPr>
        <w:softHyphen/>
        <w:t>тия второстепенного оборудования, пробовали внедрять более экономич</w:t>
      </w:r>
      <w:r w:rsidRPr="005E779E">
        <w:rPr>
          <w:rFonts w:ascii="Times New Roman" w:hAnsi="Times New Roman"/>
          <w:color w:val="000000" w:themeColor="text1"/>
          <w:sz w:val="16"/>
          <w:szCs w:val="16"/>
        </w:rPr>
        <w:softHyphen/>
        <w:t>ные дизельные двигатели. Этот путь считался основным. Хотя советская пропаганда критико</w:t>
      </w:r>
      <w:r w:rsidRPr="005E779E">
        <w:rPr>
          <w:rFonts w:ascii="Times New Roman" w:hAnsi="Times New Roman"/>
          <w:color w:val="000000" w:themeColor="text1"/>
          <w:sz w:val="16"/>
          <w:szCs w:val="16"/>
        </w:rPr>
        <w:softHyphen/>
        <w:t>вала модную тогда на Западе «доктрину Дуэ», «глубинная стратегия» ВВС РККА в значительной мере являлась ее отражением. Как говорил в своем до</w:t>
      </w:r>
      <w:r w:rsidRPr="005E779E">
        <w:rPr>
          <w:rFonts w:ascii="Times New Roman" w:hAnsi="Times New Roman"/>
          <w:color w:val="000000" w:themeColor="text1"/>
          <w:sz w:val="16"/>
          <w:szCs w:val="16"/>
        </w:rPr>
        <w:softHyphen/>
        <w:t>кладе начальник НИИ ВВС Бузанов, эволюция советской авиации «...должна быть целеустремлена в сторону разви</w:t>
      </w:r>
      <w:r w:rsidRPr="005E779E">
        <w:rPr>
          <w:rFonts w:ascii="Times New Roman" w:hAnsi="Times New Roman"/>
          <w:color w:val="000000" w:themeColor="text1"/>
          <w:sz w:val="16"/>
          <w:szCs w:val="16"/>
        </w:rPr>
        <w:softHyphen/>
        <w:t>тия наступательных средств...». Ударной силой ВВС должна была стать «страте</w:t>
      </w:r>
      <w:r w:rsidRPr="005E779E">
        <w:rPr>
          <w:rFonts w:ascii="Times New Roman" w:hAnsi="Times New Roman"/>
          <w:color w:val="000000" w:themeColor="text1"/>
          <w:sz w:val="16"/>
          <w:szCs w:val="16"/>
        </w:rPr>
        <w:softHyphen/>
        <w:t>гическая авиация» из соединений тяже</w:t>
      </w:r>
      <w:r w:rsidRPr="005E779E">
        <w:rPr>
          <w:rFonts w:ascii="Times New Roman" w:hAnsi="Times New Roman"/>
          <w:color w:val="000000" w:themeColor="text1"/>
          <w:sz w:val="16"/>
          <w:szCs w:val="16"/>
        </w:rPr>
        <w:softHyphen/>
        <w:t>лых бомбардировщиков-«линкоров» и «крейсеров» — самолетов сопровож</w:t>
      </w:r>
      <w:r w:rsidRPr="005E779E">
        <w:rPr>
          <w:rFonts w:ascii="Times New Roman" w:hAnsi="Times New Roman"/>
          <w:color w:val="000000" w:themeColor="text1"/>
          <w:sz w:val="16"/>
          <w:szCs w:val="16"/>
        </w:rPr>
        <w:softHyphen/>
        <w:t>дения. Ей предстояло разрушать города, порты, аэродромы, высаживать десан</w:t>
      </w:r>
      <w:r w:rsidRPr="005E779E">
        <w:rPr>
          <w:rFonts w:ascii="Times New Roman" w:hAnsi="Times New Roman"/>
          <w:color w:val="000000" w:themeColor="text1"/>
          <w:sz w:val="16"/>
          <w:szCs w:val="16"/>
        </w:rPr>
        <w:softHyphen/>
        <w:t>ты в тылу противника и, в духе времени, «оказывать помощь революционным восстаниям». При этом дальнейшая эволюция бом</w:t>
      </w:r>
      <w:r w:rsidRPr="005E779E">
        <w:rPr>
          <w:rFonts w:ascii="Times New Roman" w:hAnsi="Times New Roman"/>
          <w:color w:val="000000" w:themeColor="text1"/>
          <w:sz w:val="16"/>
          <w:szCs w:val="16"/>
        </w:rPr>
        <w:softHyphen/>
        <w:t>бардировочной авиации направлялась на рост размеров и веса машин. Они должны были нести все больше бомб, пушек и пулеметов. Экипажи станови</w:t>
      </w:r>
      <w:r w:rsidRPr="005E779E">
        <w:rPr>
          <w:rFonts w:ascii="Times New Roman" w:hAnsi="Times New Roman"/>
          <w:color w:val="000000" w:themeColor="text1"/>
          <w:sz w:val="16"/>
          <w:szCs w:val="16"/>
        </w:rPr>
        <w:softHyphen/>
        <w:t>лись все более многочисленными, на</w:t>
      </w:r>
      <w:r w:rsidRPr="005E779E">
        <w:rPr>
          <w:rFonts w:ascii="Times New Roman" w:hAnsi="Times New Roman"/>
          <w:color w:val="000000" w:themeColor="text1"/>
          <w:sz w:val="16"/>
          <w:szCs w:val="16"/>
        </w:rPr>
        <w:softHyphen/>
        <w:t>поминая по структуре команды боевых кораблей. При этом самолеты остава</w:t>
      </w:r>
      <w:r w:rsidRPr="005E779E">
        <w:rPr>
          <w:rFonts w:ascii="Times New Roman" w:hAnsi="Times New Roman"/>
          <w:color w:val="000000" w:themeColor="text1"/>
          <w:sz w:val="16"/>
          <w:szCs w:val="16"/>
        </w:rPr>
        <w:softHyphen/>
        <w:t>лись тихоходными, низковысотными и по мере роста размеров все больше те</w:t>
      </w:r>
      <w:r w:rsidRPr="005E779E">
        <w:rPr>
          <w:rFonts w:ascii="Times New Roman" w:hAnsi="Times New Roman"/>
          <w:color w:val="000000" w:themeColor="text1"/>
          <w:sz w:val="16"/>
          <w:szCs w:val="16"/>
        </w:rPr>
        <w:softHyphen/>
        <w:t>ряли в маневренности. Считалось, что лучшей защитой медленно летящей ар</w:t>
      </w:r>
      <w:r w:rsidRPr="005E779E">
        <w:rPr>
          <w:rFonts w:ascii="Times New Roman" w:hAnsi="Times New Roman"/>
          <w:color w:val="000000" w:themeColor="text1"/>
          <w:sz w:val="16"/>
          <w:szCs w:val="16"/>
        </w:rPr>
        <w:softHyphen/>
        <w:t>мады бомбовозов станут их пушки и пулеметы плюс огневая мощь «крейсе</w:t>
      </w:r>
      <w:r w:rsidRPr="005E779E">
        <w:rPr>
          <w:rFonts w:ascii="Times New Roman" w:hAnsi="Times New Roman"/>
          <w:color w:val="000000" w:themeColor="text1"/>
          <w:sz w:val="16"/>
          <w:szCs w:val="16"/>
        </w:rPr>
        <w:softHyphen/>
        <w:t>ров». По воззрениям стратегов того времени, для успешной атаки тяжелого бомбардировщика требовалось больше истребителей, чем у него имеется огне</w:t>
      </w:r>
      <w:r w:rsidRPr="005E779E">
        <w:rPr>
          <w:rFonts w:ascii="Times New Roman" w:hAnsi="Times New Roman"/>
          <w:color w:val="000000" w:themeColor="text1"/>
          <w:sz w:val="16"/>
          <w:szCs w:val="16"/>
        </w:rPr>
        <w:softHyphen/>
        <w:t>вых точек. Во главу угла ставился вес перевозимых самолетом бомб. В числе «главнейших идей» перспективного плана опытного самолетостроения на период до 1934 г. записан был пункт: «резкое повышение тоннажа бомбар</w:t>
      </w:r>
      <w:r w:rsidRPr="005E779E">
        <w:rPr>
          <w:rFonts w:ascii="Times New Roman" w:hAnsi="Times New Roman"/>
          <w:color w:val="000000" w:themeColor="text1"/>
          <w:sz w:val="16"/>
          <w:szCs w:val="16"/>
        </w:rPr>
        <w:softHyphen/>
        <w:t>дировщиков, доводя сбрасываемый бомбовый груз до 10, 15 и 25 тон, при соответственном увеличении радиусов действия до 2000 и 2500 км». Но в 1931 г. в коллективе Туполева предложили иную концепцию с упором именно на дальность. ДБ-1, военный вариант знаменитого рекордного само</w:t>
      </w:r>
      <w:r w:rsidRPr="005E779E">
        <w:rPr>
          <w:rFonts w:ascii="Times New Roman" w:hAnsi="Times New Roman"/>
          <w:color w:val="000000" w:themeColor="text1"/>
          <w:sz w:val="16"/>
          <w:szCs w:val="16"/>
        </w:rPr>
        <w:softHyphen/>
        <w:t>лета АНТ-25 (РД), по расчетам вдвое уступал ТБ-3 по бомбовой нагрузке, но впятеро превосходил по радиусу действия. Одномоторный,моноплан с длин</w:t>
      </w:r>
      <w:r w:rsidRPr="005E779E">
        <w:rPr>
          <w:rFonts w:ascii="Times New Roman" w:hAnsi="Times New Roman"/>
          <w:color w:val="000000" w:themeColor="text1"/>
          <w:sz w:val="16"/>
          <w:szCs w:val="16"/>
        </w:rPr>
        <w:softHyphen/>
        <w:t>ным и узким крылом огромного разма</w:t>
      </w:r>
      <w:r w:rsidRPr="005E779E">
        <w:rPr>
          <w:rFonts w:ascii="Times New Roman" w:hAnsi="Times New Roman"/>
          <w:color w:val="000000" w:themeColor="text1"/>
          <w:sz w:val="16"/>
          <w:szCs w:val="16"/>
        </w:rPr>
        <w:softHyphen/>
        <w:t>ха, он был столь же тихоходен, как и ТБ-3, и отличался такими же низкими показателями маневренности. Эти ма</w:t>
      </w:r>
      <w:r w:rsidRPr="005E779E">
        <w:rPr>
          <w:rFonts w:ascii="Times New Roman" w:hAnsi="Times New Roman"/>
          <w:color w:val="000000" w:themeColor="text1"/>
          <w:sz w:val="16"/>
          <w:szCs w:val="16"/>
        </w:rPr>
        <w:softHyphen/>
        <w:t>шины предназначали, в первую оче</w:t>
      </w:r>
      <w:r w:rsidRPr="005E779E">
        <w:rPr>
          <w:rFonts w:ascii="Times New Roman" w:hAnsi="Times New Roman"/>
          <w:color w:val="000000" w:themeColor="text1"/>
          <w:sz w:val="16"/>
          <w:szCs w:val="16"/>
        </w:rPr>
        <w:softHyphen/>
        <w:t>редь, для Дальнего Востока. Самолеты подобной схемы и назначения строи</w:t>
      </w:r>
      <w:r w:rsidRPr="005E779E">
        <w:rPr>
          <w:rFonts w:ascii="Times New Roman" w:hAnsi="Times New Roman"/>
          <w:color w:val="000000" w:themeColor="text1"/>
          <w:sz w:val="16"/>
          <w:szCs w:val="16"/>
        </w:rPr>
        <w:softHyphen/>
        <w:t>лись и за рубежом. Можно напомнить, например, английский Виккерс «Уэлл-сли», дошедший до стадии серийного производства и состоявший на воору</w:t>
      </w:r>
      <w:r w:rsidRPr="005E779E">
        <w:rPr>
          <w:rFonts w:ascii="Times New Roman" w:hAnsi="Times New Roman"/>
          <w:color w:val="000000" w:themeColor="text1"/>
          <w:sz w:val="16"/>
          <w:szCs w:val="16"/>
        </w:rPr>
        <w:softHyphen/>
        <w:t>жении Королевских ВВС. Но низкие летные данные, очень ма</w:t>
      </w:r>
      <w:r w:rsidRPr="005E779E">
        <w:rPr>
          <w:rFonts w:ascii="Times New Roman" w:hAnsi="Times New Roman"/>
          <w:color w:val="000000" w:themeColor="text1"/>
          <w:sz w:val="16"/>
          <w:szCs w:val="16"/>
        </w:rPr>
        <w:softHyphen/>
        <w:t>ленькая бомбовая нагрузка и, главное, неспособность работать с обычных по</w:t>
      </w:r>
      <w:r w:rsidRPr="005E779E">
        <w:rPr>
          <w:rFonts w:ascii="Times New Roman" w:hAnsi="Times New Roman"/>
          <w:color w:val="000000" w:themeColor="text1"/>
          <w:sz w:val="16"/>
          <w:szCs w:val="16"/>
        </w:rPr>
        <w:softHyphen/>
        <w:t>левых аэродромов привели к свертыва</w:t>
      </w:r>
      <w:r w:rsidRPr="005E779E">
        <w:rPr>
          <w:rFonts w:ascii="Times New Roman" w:hAnsi="Times New Roman"/>
          <w:color w:val="000000" w:themeColor="text1"/>
          <w:sz w:val="16"/>
          <w:szCs w:val="16"/>
        </w:rPr>
        <w:softHyphen/>
        <w:t>нию уже начатого серийного производ</w:t>
      </w:r>
      <w:r w:rsidRPr="005E779E">
        <w:rPr>
          <w:rFonts w:ascii="Times New Roman" w:hAnsi="Times New Roman"/>
          <w:color w:val="000000" w:themeColor="text1"/>
          <w:sz w:val="16"/>
          <w:szCs w:val="16"/>
        </w:rPr>
        <w:softHyphen/>
        <w:t>ства ДБ-1. Малая серия построенных машин после войсковых испытаний осела в 1-й авиационной армии особого назначения, дислоцировавшейся в Под</w:t>
      </w:r>
      <w:r w:rsidRPr="005E779E">
        <w:rPr>
          <w:rFonts w:ascii="Times New Roman" w:hAnsi="Times New Roman"/>
          <w:color w:val="000000" w:themeColor="text1"/>
          <w:sz w:val="16"/>
          <w:szCs w:val="16"/>
        </w:rPr>
        <w:softHyphen/>
        <w:t>московье. Сочли, что как бомбардиров</w:t>
      </w:r>
      <w:r w:rsidRPr="005E779E">
        <w:rPr>
          <w:rFonts w:ascii="Times New Roman" w:hAnsi="Times New Roman"/>
          <w:color w:val="000000" w:themeColor="text1"/>
          <w:sz w:val="16"/>
          <w:szCs w:val="16"/>
        </w:rPr>
        <w:softHyphen/>
        <w:t>щики они малопригодны, но могут сой</w:t>
      </w:r>
      <w:r w:rsidRPr="005E779E">
        <w:rPr>
          <w:rFonts w:ascii="Times New Roman" w:hAnsi="Times New Roman"/>
          <w:color w:val="000000" w:themeColor="text1"/>
          <w:sz w:val="16"/>
          <w:szCs w:val="16"/>
        </w:rPr>
        <w:softHyphen/>
        <w:t>ти в качестве дальних разведчиков. Дальнейшим развитием концепции ДБ-1 должны были стать самолеты АНТ-36 и АНТ-37. Первый из них пред</w:t>
      </w:r>
      <w:r w:rsidRPr="005E779E">
        <w:rPr>
          <w:rFonts w:ascii="Times New Roman" w:hAnsi="Times New Roman"/>
          <w:color w:val="000000" w:themeColor="text1"/>
          <w:sz w:val="16"/>
          <w:szCs w:val="16"/>
        </w:rPr>
        <w:softHyphen/>
        <w:t>ставлял собой тот же АНТ-25, но с ди</w:t>
      </w:r>
      <w:r w:rsidRPr="005E779E">
        <w:rPr>
          <w:rFonts w:ascii="Times New Roman" w:hAnsi="Times New Roman"/>
          <w:color w:val="000000" w:themeColor="text1"/>
          <w:sz w:val="16"/>
          <w:szCs w:val="16"/>
        </w:rPr>
        <w:softHyphen/>
        <w:t>зелем вместо карбюраторного мотора М-34Р Второй создавался по заданию на дальний бомбардировщик ДБ-2. В плане опытного строительства на 1934-35 годы в разделе второстепенных ра</w:t>
      </w:r>
      <w:r w:rsidRPr="005E779E">
        <w:rPr>
          <w:rFonts w:ascii="Times New Roman" w:hAnsi="Times New Roman"/>
          <w:color w:val="000000" w:themeColor="text1"/>
          <w:sz w:val="16"/>
          <w:szCs w:val="16"/>
        </w:rPr>
        <w:softHyphen/>
        <w:t>бот стоял «дальний бомбардировщик ДБ-2РЦ». Предполагалось, что это бу</w:t>
      </w:r>
      <w:r w:rsidRPr="005E779E">
        <w:rPr>
          <w:rFonts w:ascii="Times New Roman" w:hAnsi="Times New Roman"/>
          <w:color w:val="000000" w:themeColor="text1"/>
          <w:sz w:val="16"/>
          <w:szCs w:val="16"/>
        </w:rPr>
        <w:softHyphen/>
        <w:t>дет модификация того же АНТ-25 под два мотора «Циклон». Военные счита</w:t>
      </w:r>
      <w:r w:rsidRPr="005E779E">
        <w:rPr>
          <w:rFonts w:ascii="Times New Roman" w:hAnsi="Times New Roman"/>
          <w:color w:val="000000" w:themeColor="text1"/>
          <w:sz w:val="16"/>
          <w:szCs w:val="16"/>
        </w:rPr>
        <w:softHyphen/>
        <w:t>ли эту тему не очень актуальной. Туполев обладал немалым влиянием и мог надеяться «протолкнуть» самолет в производство, несмотря на позицию не</w:t>
      </w:r>
      <w:r w:rsidRPr="005E779E">
        <w:rPr>
          <w:rFonts w:ascii="Times New Roman" w:hAnsi="Times New Roman"/>
          <w:color w:val="000000" w:themeColor="text1"/>
          <w:sz w:val="16"/>
          <w:szCs w:val="16"/>
        </w:rPr>
        <w:softHyphen/>
        <w:t>которых руководителей ВВС (10734,4).</w:t>
      </w:r>
    </w:p>
    <w:p w14:paraId="138AD8A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A6EA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феврале-марте 1931 г. был подготовлен документ "Система вооружения ВВС РККА на 1932-34 гг.", в котором предусматривалось проектирование целой гаммы гигантских бомбовозов с бомбовой нагрузкой до 30 т. Вершиной этой концепции явилось задание на сверхтяжелый бомбардировщик ("летающее крыло") СТБ с нормальным радиусом действия не менее 2500 км. На эту машину возлагалась задача "разрушения и уничтожения объектов противника исключительной важности (Мальта, Суэц)". В рамках этой программы строились опытные многомоторные бомбардировщики ТБ-4 и К-7, проектировались еще большие ТБ-6 и ТБ-7.</w:t>
      </w:r>
    </w:p>
    <w:p w14:paraId="2E7809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 в 1931 г. в коллективе Туполева предложили иную концепцию с упором именно - образец дальнего рекордного самолета АНТ-25 (РД), по бомбардировщика расчетам вдвое уступал ТБ-3 по бомбовой на- ДБ-2 (АНТ-37) грузке, но впятеро превосходил по радиусу действия. Одномоторный моноплан с длинным и узким крылом огромного размаха, он был столь же тихоходен, как и ТБ-3, и отличался такими же низкими показателями маневренности. Эти машины предназначали, в первую очередь, для Дальнего Востока. Самолеты подобной схемы и назначения строились и за рубежом. Можно напомнить, например, английский Виккерс "Уэллсли", дошедший до стадии серийного производства и состоявший на вооружении Королевских ВВС.</w:t>
      </w:r>
    </w:p>
    <w:p w14:paraId="4E06F4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 низкие летные данные, очень маленькая бомбовая нагрузка и, главное, неспособность работать с обычных полевых аэродромов привели к свертыванию уже начатого серийного производства ДБ-1. Малая серия построенных машин после войсковых испытаний осела в 1-й авиационной армии особого назначения, дислоцировавшейся в Подмосковье. Сочли, что как бомбардировщики они малопригодны, но могут сойти в качестве дальних разведчиков.</w:t>
      </w:r>
    </w:p>
    <w:p w14:paraId="7BD230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Дальнейшим развитием концепции ДБ-1 должны были стать самолеты АНТ-36 и АНТ- 37. Первый из них представлял собой тот же АНТ-25, но с дизелем вместо карбюраторного мотора М-34Р. Второй создавался по заданию на дальний бомбардировщик ДБ-2. В плане опытного строительства на 1934-35 годы в разделе второстепенных работ стоял "дальний бомбардировщик ДБ-2РЦ". Предполагалось, что это будет модификация того же АНТ-25 под два мотора "Циклон". Военные считали эту тему не очень актуальной.</w:t>
      </w:r>
    </w:p>
    <w:p w14:paraId="49A402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Туполев обладал немалым влиянием и мог надеяться "протолкнуть" самолет в производство, несмотря на позицию некоторых руководителей ВВС. ДБ-2, спроектированный бригадой П.О. Сухого, вышел на испытания в июне 1935 г.</w:t>
      </w:r>
    </w:p>
    <w:p w14:paraId="340FF5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Вопреки заданию, туполевцы сделали ставку на те же моторы "Гном-Рон". В АНТ- 37 использовали многие уже проверенные на АНТ-25 конструктивные решения, следуя в целом той же концепции, что у ДБ-1 - "дальность превыше всего". Самолет Сухого имел узкое крыло большого удлинения с довольно толстым аэродинамическим профилем, считавшееся наивыгоднейшим для достижения большой дальности.</w:t>
      </w:r>
    </w:p>
    <w:p w14:paraId="6344D9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Руководство ГУАП еще до окончания испытаний приняло решение о запуске его в серию. Завод № 39 начал готовить оснастку для его производства - ему поставили задачу выпустить в 1936 г. головной серийный ДБ-2. Освоение выпуска этой машины намечалось еше на двух заводах: № 18 в Воронеже и № 126 в Комсомольске-на-Амуре.</w:t>
      </w:r>
    </w:p>
    <w:p w14:paraId="635474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Но ДБ-2 в серию не пошел. "Ножку" ему подставили два обстоятельства. В июле 1935 г., через месяц после первого полета, опытный АНТ-37 разрушился в воздухе. Причиной явился бафтинг хвостового оперения. Опасная тряска проявлялась и на дублере АНТ-37, выпущенном в начале 1936 г. Устранение бафтинга, в те годы довольно плохо изученного, было непростым делом. Из-за многочисленных дефектов НИИ ВВС отказался принять эту машину на госиспытания. А вторым обстоятельством, "похоронившим" ДБ-2, стали успехи коллектива, возглавлявшегося Ильюшиным (12021). </w:t>
      </w:r>
    </w:p>
    <w:p w14:paraId="39FF40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06BE8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феврале-июне 1931 г. конструкторы завода № 29 начали с М-51. Проект его подготовили За основу взяли М-11В. Высотные характеристики улучшили путем включения в конструкцию приводного центробежного нагнетателя (ПЦН). Это позволило довести максимальную мощность до 145 л.с. Обкатка моторов велась с марта 1932 г., в мае-июне того же года проходили госиспытания с цилиндрами от М-11, а в октябре - со своими оригинальными цилиндрами. Однако в обоих случаях испытания закончились неудачно. В июне 1933 г. М-51 испытывался на самолете У-2 (11478).</w:t>
      </w:r>
    </w:p>
    <w:p w14:paraId="16C9D7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DB30915" w14:textId="77777777" w:rsidR="003E34FF" w:rsidRPr="00142305" w:rsidRDefault="003E34FF" w:rsidP="003E34F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феврале-июне 1931 г. конструкторы завода № 29 в Запорожье подготовили проект М-51. За основу взяли М-11В. Высотные характеристики улучшили путем включения в конструкцию приводного центро</w:t>
      </w:r>
      <w:r w:rsidRPr="00142305">
        <w:rPr>
          <w:rFonts w:ascii="Times New Roman" w:hAnsi="Times New Roman"/>
          <w:color w:val="0070C0"/>
          <w:sz w:val="16"/>
          <w:szCs w:val="16"/>
        </w:rPr>
        <w:softHyphen/>
        <w:t>бежного нагнетателя (ПЦН). Это позволило довести максимальную мощность до 145 л.с. Обкатка моторов велась с марта 1932 г., в мае-июне того же года проходили госиспытания с цилиндрами от М-11, а в октябре — со своими оригинальными цилиндрами. Однако в обоих случаях испытания закончились неудачно. В июне 1933 г. М-51 испытывался на самолете У-2 (25397).</w:t>
      </w:r>
    </w:p>
    <w:p w14:paraId="68704A4F" w14:textId="77777777" w:rsidR="003E34FF" w:rsidRPr="00142305" w:rsidRDefault="003E34FF" w:rsidP="003E34FF">
      <w:pPr>
        <w:spacing w:after="0" w:line="240" w:lineRule="auto"/>
        <w:jc w:val="both"/>
        <w:rPr>
          <w:rFonts w:ascii="Times New Roman" w:hAnsi="Times New Roman"/>
          <w:color w:val="0070C0"/>
          <w:sz w:val="16"/>
          <w:szCs w:val="16"/>
        </w:rPr>
      </w:pPr>
    </w:p>
    <w:p w14:paraId="584A87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феврале — июне 1931 г. в КБ завода № 29 (Запорожье) под руководством А.С. Наза</w:t>
      </w:r>
      <w:r w:rsidRPr="005E779E">
        <w:rPr>
          <w:rFonts w:ascii="Times New Roman" w:hAnsi="Times New Roman"/>
          <w:color w:val="000000" w:themeColor="text1"/>
          <w:sz w:val="16"/>
          <w:szCs w:val="16"/>
        </w:rPr>
        <w:softHyphen/>
        <w:t>рова был разработан двигатель М-51. Являлся дальнейшим развитием известно</w:t>
      </w:r>
      <w:r w:rsidRPr="005E779E">
        <w:rPr>
          <w:rFonts w:ascii="Times New Roman" w:hAnsi="Times New Roman"/>
          <w:color w:val="000000" w:themeColor="text1"/>
          <w:sz w:val="16"/>
          <w:szCs w:val="16"/>
        </w:rPr>
        <w:softHyphen/>
        <w:t>го мотора М-11. Отличался в основном наличием ПЦН и использованием одной кулачковой шайбы вместо пяти кулачковых валиков. Использовал часть узлов и агрегатов двигателя М-11В и унифицировался с мото</w:t>
      </w:r>
      <w:r w:rsidRPr="005E779E">
        <w:rPr>
          <w:rFonts w:ascii="Times New Roman" w:hAnsi="Times New Roman"/>
          <w:color w:val="000000" w:themeColor="text1"/>
          <w:sz w:val="16"/>
          <w:szCs w:val="16"/>
        </w:rPr>
        <w:softHyphen/>
        <w:t>рами М-48 и М-49, входившими в то же семейство. По сравнению с М-11В были упрощены сборка и монтаж агрегатов. Коленвал уста</w:t>
      </w:r>
      <w:r w:rsidRPr="005E779E">
        <w:rPr>
          <w:rFonts w:ascii="Times New Roman" w:hAnsi="Times New Roman"/>
          <w:color w:val="000000" w:themeColor="text1"/>
          <w:sz w:val="16"/>
          <w:szCs w:val="16"/>
        </w:rPr>
        <w:softHyphen/>
        <w:t>новлен на роликовых подшипниках. Втулка винта шлицевая. Изготовле</w:t>
      </w:r>
      <w:r w:rsidRPr="005E779E">
        <w:rPr>
          <w:rFonts w:ascii="Times New Roman" w:hAnsi="Times New Roman"/>
          <w:color w:val="000000" w:themeColor="text1"/>
          <w:sz w:val="16"/>
          <w:szCs w:val="16"/>
        </w:rPr>
        <w:softHyphen/>
        <w:t>ны и испытаны опытные образцы. Обкатка велась с марта 1932 г., в мае — июне того же года мотор проходил госиспытания с цилин</w:t>
      </w:r>
      <w:r w:rsidRPr="005E779E">
        <w:rPr>
          <w:rFonts w:ascii="Times New Roman" w:hAnsi="Times New Roman"/>
          <w:color w:val="000000" w:themeColor="text1"/>
          <w:sz w:val="16"/>
          <w:szCs w:val="16"/>
        </w:rPr>
        <w:softHyphen/>
        <w:t>драми от М-11, а в октябре — со своими оригинальными цилиндра</w:t>
      </w:r>
      <w:r w:rsidRPr="005E779E">
        <w:rPr>
          <w:rFonts w:ascii="Times New Roman" w:hAnsi="Times New Roman"/>
          <w:color w:val="000000" w:themeColor="text1"/>
          <w:sz w:val="16"/>
          <w:szCs w:val="16"/>
        </w:rPr>
        <w:softHyphen/>
        <w:t>ми. Однако в обоих случаях ис</w:t>
      </w:r>
      <w:r w:rsidRPr="005E779E">
        <w:rPr>
          <w:rFonts w:ascii="Times New Roman" w:hAnsi="Times New Roman"/>
          <w:color w:val="000000" w:themeColor="text1"/>
          <w:sz w:val="16"/>
          <w:szCs w:val="16"/>
        </w:rPr>
        <w:softHyphen/>
        <w:t>пытания закончились неудачно. В июне 1933 г. испытывался на са</w:t>
      </w:r>
      <w:r w:rsidRPr="005E779E">
        <w:rPr>
          <w:rFonts w:ascii="Times New Roman" w:hAnsi="Times New Roman"/>
          <w:color w:val="000000" w:themeColor="text1"/>
          <w:sz w:val="16"/>
          <w:szCs w:val="16"/>
        </w:rPr>
        <w:softHyphen/>
        <w:t>молете У-2. Планировался серий</w:t>
      </w:r>
      <w:r w:rsidRPr="005E779E">
        <w:rPr>
          <w:rFonts w:ascii="Times New Roman" w:hAnsi="Times New Roman"/>
          <w:color w:val="000000" w:themeColor="text1"/>
          <w:sz w:val="16"/>
          <w:szCs w:val="16"/>
        </w:rPr>
        <w:softHyphen/>
        <w:t>ный выпуск в 1933 г.. но в серийное производство М-51 не запускался. Впоследствии стал прототипом для мотора МГ-11. Характеристики:</w:t>
      </w:r>
    </w:p>
    <w:p w14:paraId="3E44B04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5-цилиндровый, звездообразный, четырехтактный, воздушного охлаж</w:t>
      </w:r>
      <w:r w:rsidRPr="005E779E">
        <w:rPr>
          <w:rFonts w:ascii="Times New Roman" w:hAnsi="Times New Roman"/>
          <w:color w:val="000000" w:themeColor="text1"/>
          <w:sz w:val="16"/>
          <w:szCs w:val="16"/>
        </w:rPr>
        <w:softHyphen/>
        <w:t>дения, с ПЦН;</w:t>
      </w:r>
    </w:p>
    <w:p w14:paraId="6C2C3E6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мощность 125/145 л.с.;</w:t>
      </w:r>
    </w:p>
    <w:p w14:paraId="7862093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диаметр цилиндра/ход поршня 125/140 мм;</w:t>
      </w:r>
    </w:p>
    <w:p w14:paraId="64089E7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объем 8,6 л;</w:t>
      </w:r>
    </w:p>
    <w:p w14:paraId="39B3C4B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степень сжатия 5,0;</w:t>
      </w:r>
    </w:p>
    <w:p w14:paraId="408FAFD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вес 150 кг (позднее 155 кг).</w:t>
      </w:r>
    </w:p>
    <w:p w14:paraId="6359F73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Известен также двигатель 1947 г. под тем же обозначением (11852).</w:t>
      </w:r>
    </w:p>
    <w:p w14:paraId="0D6DDB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A8DE4D4"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409082F7"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2FD116E" w14:textId="77777777" w:rsidR="00EE45A6" w:rsidRPr="005E779E" w:rsidRDefault="00EE45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феврале-апреле 1931 г. первая 180-мм пушка Б-1-К была испытана на НИМАПе. Орудие было принято на вооружение. Четыре пушки Б-1-К были установлены на крейсере «Красный Кавказ» в одноорудийных башенных установках МК-1-180. Для управления стрельбой заводом спроектирован, изготовлен и установлен на крейсере один командно-дальномерный пост Б-8. Пост оборудован 6-метровым дальномером ДМ-6 с визиром наводки и 5-метровой стереотрубой с визиром наводки. Рабочие чертежи установки были разработаны КБ ЛМЗ под руководством Р. Вульфа. Она имела гидравлический компрессор веретённого типа, накатник гидропневматический. Верхняя подача снарядов производилась штанговым элеватором, снабжённым электроприводом. Подача зарядов производилась через зарядный штанговый элеватор. Испытания и эксплуатация орудий Б-1-К выявили массу недостатков. В результате в производство была запущена 180/57-мм пушка Б-1-П. Основным отличием её от Б-1-К был поршневой затвор и картузное заряжание. Баллистика и боеприпасы пушек совпадали (15132).</w:t>
      </w:r>
    </w:p>
    <w:p w14:paraId="41925851" w14:textId="77777777" w:rsidR="00EE45A6" w:rsidRPr="005E779E" w:rsidRDefault="00EE45A6" w:rsidP="000B7A6C">
      <w:pPr>
        <w:spacing w:after="0" w:line="240" w:lineRule="auto"/>
        <w:jc w:val="both"/>
        <w:rPr>
          <w:rFonts w:ascii="Times New Roman" w:hAnsi="Times New Roman"/>
          <w:color w:val="000000" w:themeColor="text1"/>
          <w:sz w:val="16"/>
          <w:szCs w:val="16"/>
        </w:rPr>
      </w:pPr>
    </w:p>
    <w:p w14:paraId="2652ED7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феврале-марте 1931 г. один танк (номера не установлены) Виккерс был от</w:t>
      </w:r>
      <w:r w:rsidRPr="005E779E">
        <w:rPr>
          <w:rFonts w:ascii="Times New Roman" w:hAnsi="Times New Roman"/>
          <w:color w:val="000000" w:themeColor="text1"/>
          <w:sz w:val="16"/>
          <w:szCs w:val="16"/>
        </w:rPr>
        <w:softHyphen/>
        <w:t>правлен для ознакомления в Харь</w:t>
      </w:r>
      <w:r w:rsidRPr="005E779E">
        <w:rPr>
          <w:rFonts w:ascii="Times New Roman" w:hAnsi="Times New Roman"/>
          <w:color w:val="000000" w:themeColor="text1"/>
          <w:sz w:val="16"/>
          <w:szCs w:val="16"/>
        </w:rPr>
        <w:softHyphen/>
        <w:t>ков и один — в Ленинград (10733,173).</w:t>
      </w:r>
    </w:p>
    <w:p w14:paraId="566D27D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9DC6E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феврале — сентябре 1931 года (с нескольки</w:t>
      </w:r>
      <w:r w:rsidRPr="005E779E">
        <w:rPr>
          <w:rFonts w:ascii="Times New Roman" w:hAnsi="Times New Roman"/>
          <w:color w:val="000000" w:themeColor="text1"/>
          <w:sz w:val="16"/>
          <w:szCs w:val="16"/>
        </w:rPr>
        <w:softHyphen/>
        <w:t>ми перерывами) по распоряжению председателя НТК УММ РККА были проведены широкомасштабные ис</w:t>
      </w:r>
      <w:r w:rsidRPr="005E779E">
        <w:rPr>
          <w:rFonts w:ascii="Times New Roman" w:hAnsi="Times New Roman"/>
          <w:color w:val="000000" w:themeColor="text1"/>
          <w:sz w:val="16"/>
          <w:szCs w:val="16"/>
        </w:rPr>
        <w:softHyphen/>
        <w:t>пытания «колесных танкеток». В отчете, составленном в октябре, говорилось следующее:</w:t>
      </w:r>
    </w:p>
    <w:p w14:paraId="23E58D4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Удобство наблюдения за дорогой при открытом и закрытом люке водителя вполне удовлетворительное.</w:t>
      </w:r>
    </w:p>
    <w:p w14:paraId="3869971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Управление автомобилем просто и удобно, но необ</w:t>
      </w:r>
      <w:r w:rsidRPr="005E779E">
        <w:rPr>
          <w:rFonts w:ascii="Times New Roman" w:hAnsi="Times New Roman"/>
          <w:color w:val="000000" w:themeColor="text1"/>
          <w:sz w:val="16"/>
          <w:szCs w:val="16"/>
        </w:rPr>
        <w:softHyphen/>
        <w:t>ходимо сиденья водителя и пулеметчика закрепить на</w:t>
      </w:r>
      <w:r w:rsidRPr="005E779E">
        <w:rPr>
          <w:rFonts w:ascii="Times New Roman" w:hAnsi="Times New Roman"/>
          <w:color w:val="000000" w:themeColor="text1"/>
          <w:sz w:val="16"/>
          <w:szCs w:val="16"/>
        </w:rPr>
        <w:softHyphen/>
        <w:t>мертво.</w:t>
      </w:r>
    </w:p>
    <w:p w14:paraId="45D60CF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Для посадки команды в 3 человека без оружия, но в шубах, требуется 5-7 с, для выхода - 4-5 с. Посадка и выход производятся водителем и передним пулеметчиком через борт, а заднего через дверцу.</w:t>
      </w:r>
    </w:p>
    <w:p w14:paraId="3FBC681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При испытании пробегом выяснилось, что разницы в проходимости по снежному шоссе с автомобилем «Форд» нормального типа почти нет. Надежно может работать на укатанном шоссе, на шоссе с заносами (на коротких участ</w:t>
      </w:r>
      <w:r w:rsidRPr="005E779E">
        <w:rPr>
          <w:rFonts w:ascii="Times New Roman" w:hAnsi="Times New Roman"/>
          <w:color w:val="000000" w:themeColor="text1"/>
          <w:sz w:val="16"/>
          <w:szCs w:val="16"/>
        </w:rPr>
        <w:softHyphen/>
        <w:t>ках) и на шоссе, покрытом слоем снега до 10—15 см.</w:t>
      </w:r>
    </w:p>
    <w:p w14:paraId="39F2776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скорость при полной нагрузке на гори</w:t>
      </w:r>
      <w:r w:rsidRPr="005E779E">
        <w:rPr>
          <w:rFonts w:ascii="Times New Roman" w:hAnsi="Times New Roman"/>
          <w:color w:val="000000" w:themeColor="text1"/>
          <w:sz w:val="16"/>
          <w:szCs w:val="16"/>
        </w:rPr>
        <w:softHyphen/>
        <w:t>зонтальном участке по спидометру 80—88 км/ч (50— 55 миль в час). Средняя скорость при полной нагрузке на хорошо укатанном шоссе — 45—50 км/ч, средняя скорость на занесенном снегом шоссе — 30—35 км/ч.</w:t>
      </w:r>
    </w:p>
    <w:p w14:paraId="25DB689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 Автомобиль прост по конструкции и ухо</w:t>
      </w:r>
      <w:r w:rsidRPr="005E779E">
        <w:rPr>
          <w:rFonts w:ascii="Times New Roman" w:hAnsi="Times New Roman"/>
          <w:color w:val="000000" w:themeColor="text1"/>
          <w:sz w:val="16"/>
          <w:szCs w:val="16"/>
        </w:rPr>
        <w:softHyphen/>
        <w:t>ду, быстроходен и поворотлив, с большим запасом мощно</w:t>
      </w:r>
      <w:r w:rsidRPr="005E779E">
        <w:rPr>
          <w:rFonts w:ascii="Times New Roman" w:hAnsi="Times New Roman"/>
          <w:color w:val="000000" w:themeColor="text1"/>
          <w:sz w:val="16"/>
          <w:szCs w:val="16"/>
        </w:rPr>
        <w:softHyphen/>
        <w:t>сти и ускорения. Для работы в летних условиях необходимо усилить охлаждение. По имеющимся в испытательной группе материалам, недостаточно прочен при работе в лет</w:t>
      </w:r>
      <w:r w:rsidRPr="005E779E">
        <w:rPr>
          <w:rFonts w:ascii="Times New Roman" w:hAnsi="Times New Roman"/>
          <w:color w:val="000000" w:themeColor="text1"/>
          <w:sz w:val="16"/>
          <w:szCs w:val="16"/>
        </w:rPr>
        <w:softHyphen/>
        <w:t>них условиях на гусматиках. В настоящее время автомобиль испытывается группой для определения прочности на гус</w:t>
      </w:r>
      <w:r w:rsidRPr="005E779E">
        <w:rPr>
          <w:rFonts w:ascii="Times New Roman" w:hAnsi="Times New Roman"/>
          <w:color w:val="000000" w:themeColor="text1"/>
          <w:sz w:val="16"/>
          <w:szCs w:val="16"/>
        </w:rPr>
        <w:softHyphen/>
        <w:t>матиках» (11284).</w:t>
      </w:r>
    </w:p>
    <w:p w14:paraId="6D48F95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937D0B"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Внешняя политика:</w:t>
      </w:r>
    </w:p>
    <w:p w14:paraId="6C30C611"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62B67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феврале-марте 1931 г. по приглашению СНК и ВСНХ СССР в Советский Союз прибыла представительная делегация германских деловых кругов. Возглавлял ее глава концерна «Клекнер-Верке» о П. Клекнер. В ее состав входили и представители ВПК Германии: гендиректора фирм «Фридрих Крупп», «Ферайнихте Штальверке», «Отто Вольфф», «Сименс», АЭГ, «Борзиг», «Шихау» (верфь в Данциге), МАН, ГХХ, «ИГ Фарбен», «Металльгезелыпафт», «Линке Хоффман-Буш», «Райникер», ДЕМАГ. 28 февраля 1931 г. их принял председатель ВСНХ Г. К. Орджоникидзе. Он предложил удвоить советские заказы немцам. Но для этого требовались большие кредиты. Переговоры завершились на мажорной ноте — была достигнута принципиальная договоренность о предоставлении экспортного кредита и наращивании поставок оборудования в СССР (ДВП СССР, т. XIV, с. 118, с. 778-781.) (11784).</w:t>
      </w:r>
    </w:p>
    <w:p w14:paraId="6A2B6D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F1F5971" w14:textId="77777777" w:rsidR="00B8294A" w:rsidRPr="005E779E" w:rsidRDefault="00B829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феврале-марте 1931 г. по приглашению СНК и ВСНХ СССР в Советский Союз прибыла представительная делегация германских деловых кругов. Возглавлял ее глава концерна «Клекнер-Верке» о П. Клекнер. В ее состав входили и представители ВПК Германии: гендиректора фирм «Фридрих Крупп», «Ферайнихте Штальверке», «Отто Вольфф», «Сименс», АЭГ, «Борзиг», «Шихау» (верфь в Данциге), МАН, ГХХ, «ИГ Фарбен», «Металльгезелыпафт», «Линке Хоффман-Буш», «Райникер», ДЕМАГ. 28 февраля 1931 г. их принял председатель ВСНХ Г. К. Орджоникидзе. Он предложил удвоить советские заказы немцам. Но для этого требовались большие кредиты. Переговоры завершились на мажорной ноте — была достигнута принципиальная договоренность о предоставлении экспортного кредита и наращивании поставок оборудования в СССР (18265).</w:t>
      </w:r>
    </w:p>
    <w:p w14:paraId="10B6F7FB" w14:textId="77777777" w:rsidR="00B8294A" w:rsidRPr="005E779E" w:rsidRDefault="00B8294A" w:rsidP="000B7A6C">
      <w:pPr>
        <w:spacing w:after="0" w:line="240" w:lineRule="auto"/>
        <w:jc w:val="both"/>
        <w:rPr>
          <w:rFonts w:ascii="Times New Roman" w:hAnsi="Times New Roman"/>
          <w:color w:val="000000" w:themeColor="text1"/>
          <w:sz w:val="16"/>
          <w:szCs w:val="16"/>
        </w:rPr>
      </w:pPr>
    </w:p>
    <w:p w14:paraId="048B552A" w14:textId="77777777" w:rsidR="003E34FF" w:rsidRPr="005E779E" w:rsidRDefault="003E34FF" w:rsidP="003E34FF">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704ED671" w14:textId="77777777" w:rsidR="003E34FF" w:rsidRPr="005E779E" w:rsidRDefault="003E34FF" w:rsidP="003E34FF">
      <w:pPr>
        <w:autoSpaceDE w:val="0"/>
        <w:autoSpaceDN w:val="0"/>
        <w:adjustRightInd w:val="0"/>
        <w:spacing w:after="0" w:line="240" w:lineRule="auto"/>
        <w:jc w:val="both"/>
        <w:rPr>
          <w:rFonts w:ascii="Times New Roman" w:hAnsi="Times New Roman"/>
          <w:iCs/>
          <w:color w:val="000000" w:themeColor="text1"/>
          <w:sz w:val="16"/>
          <w:szCs w:val="16"/>
        </w:rPr>
      </w:pPr>
    </w:p>
    <w:p w14:paraId="79D5D524" w14:textId="77777777" w:rsidR="003E34FF" w:rsidRPr="00142305" w:rsidRDefault="003E34FF" w:rsidP="003E34F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весне 1931 г. на заводе № 23 завершили восстановление Ш-2 после аварии 14 ноября 1930 г. К полётам приступили в мае. Для офи</w:t>
      </w:r>
      <w:r w:rsidRPr="00142305">
        <w:rPr>
          <w:rFonts w:ascii="Times New Roman" w:hAnsi="Times New Roman"/>
          <w:color w:val="0070C0"/>
          <w:sz w:val="16"/>
          <w:szCs w:val="16"/>
        </w:rPr>
        <w:softHyphen/>
        <w:t>циальных испытаний Ш-2 из НИИ ГВФ командировали лётчика Э.И. Шварца и инженера Е.В. Гурьеву. Шварц начал ле</w:t>
      </w:r>
      <w:r w:rsidRPr="00142305">
        <w:rPr>
          <w:rFonts w:ascii="Times New Roman" w:hAnsi="Times New Roman"/>
          <w:color w:val="0070C0"/>
          <w:sz w:val="16"/>
          <w:szCs w:val="16"/>
        </w:rPr>
        <w:softHyphen/>
        <w:t>тать с 17 июня (23952).</w:t>
      </w:r>
    </w:p>
    <w:p w14:paraId="1B5EB9EB" w14:textId="77777777" w:rsidR="003E34FF" w:rsidRPr="00142305" w:rsidRDefault="003E34FF" w:rsidP="003E34FF">
      <w:pPr>
        <w:spacing w:after="0" w:line="240" w:lineRule="auto"/>
        <w:jc w:val="both"/>
        <w:rPr>
          <w:rFonts w:ascii="Times New Roman" w:hAnsi="Times New Roman"/>
          <w:color w:val="0070C0"/>
          <w:sz w:val="16"/>
          <w:szCs w:val="16"/>
        </w:rPr>
      </w:pPr>
    </w:p>
    <w:p w14:paraId="25D7EDC6" w14:textId="77777777" w:rsidR="00063F82" w:rsidRPr="005E779E" w:rsidRDefault="00063F82"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67C99134" w14:textId="77777777" w:rsidR="00063F82" w:rsidRPr="005E779E" w:rsidRDefault="00063F82"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C81D202" w14:textId="77777777" w:rsidR="00063F82" w:rsidRPr="005E779E" w:rsidRDefault="00063F8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весне 1931 "Большевик" оказался загружен работами по теме Т-26, а задание по Т-23 отодвигали. В итоге опытный образец всё же собрали, но случилось это 31 октября 1931 (22492)</w:t>
      </w:r>
    </w:p>
    <w:p w14:paraId="0B625E96" w14:textId="77777777" w:rsidR="00063F82" w:rsidRPr="005E779E" w:rsidRDefault="00063F82" w:rsidP="000B7A6C">
      <w:pPr>
        <w:shd w:val="clear" w:color="auto" w:fill="FFFFFF"/>
        <w:spacing w:after="0" w:line="240" w:lineRule="auto"/>
        <w:jc w:val="both"/>
        <w:rPr>
          <w:rFonts w:ascii="Times New Roman" w:hAnsi="Times New Roman"/>
          <w:color w:val="000000" w:themeColor="text1"/>
          <w:sz w:val="16"/>
          <w:szCs w:val="16"/>
        </w:rPr>
      </w:pPr>
    </w:p>
    <w:p w14:paraId="058D1DCE" w14:textId="77777777" w:rsidR="003E34FF" w:rsidRPr="00142305" w:rsidRDefault="003E34FF" w:rsidP="003E34F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К весне 1931 года вопрос стоял не в том, как дальше развивать Т-24, а какой именно танк его заменит. В этом смысле конспирологические идеи по поводу возможной модернизации Т-24 вызывают не более чем снисходительную улыбку. В руководстве УММ КА уже понимали, что в Харькове требуется выпускать другой танк. Причем данная боевая машина предполагалась, что называется, со стороны. Диктовались такие условия тем, чтобы ХПЗ начал оперативно выпускать хоть что-нибудь, и в разумные сроки. Ибо освоение "лучшего танка" могло происходить годами (25678).</w:t>
      </w:r>
    </w:p>
    <w:p w14:paraId="11BD10FA" w14:textId="77777777" w:rsidR="003E34FF" w:rsidRPr="00142305" w:rsidRDefault="003E34FF" w:rsidP="003E34FF">
      <w:pPr>
        <w:spacing w:after="0" w:line="240" w:lineRule="auto"/>
        <w:jc w:val="both"/>
        <w:rPr>
          <w:rFonts w:ascii="Times New Roman" w:hAnsi="Times New Roman"/>
          <w:color w:val="0070C0"/>
          <w:sz w:val="16"/>
          <w:szCs w:val="16"/>
        </w:rPr>
      </w:pPr>
    </w:p>
    <w:p w14:paraId="1D40EF95" w14:textId="77777777" w:rsidR="003E34FF" w:rsidRPr="00142305" w:rsidRDefault="003E34FF" w:rsidP="003E34F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весне 1931 года мастерские склада № 60 изготовили бронепаровоз и две бронеплощадки по собственному проекту. В документах того времени новые бронеединицы именовались как «бронепаровоз типа военсклада № 60» и «легкая бронеплощадка типа военсклада № 60» (РГВА. Ф. 31811. Оп. 1. Д. 392. Л. 176.) (25635).</w:t>
      </w:r>
    </w:p>
    <w:p w14:paraId="5F33F9C6" w14:textId="77777777" w:rsidR="003E34FF" w:rsidRPr="00142305" w:rsidRDefault="003E34FF" w:rsidP="003E34FF">
      <w:pPr>
        <w:spacing w:after="0" w:line="240" w:lineRule="auto"/>
        <w:jc w:val="both"/>
        <w:rPr>
          <w:rFonts w:ascii="Times New Roman" w:hAnsi="Times New Roman"/>
          <w:color w:val="0070C0"/>
          <w:sz w:val="16"/>
          <w:szCs w:val="16"/>
        </w:rPr>
      </w:pPr>
    </w:p>
    <w:p w14:paraId="565406F0"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709B0C36"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7306A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 марта 1931 КБ ЦАГИ приступило к проектированию АНТ-21 (МИ-3) - первой машины А.Н.Т. с убирающимся шасси и из-за этого задержались (2072,67).</w:t>
      </w:r>
    </w:p>
    <w:p w14:paraId="6770C1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другим данным работы по МИ-3 начали с 1 июня 1931 (2072,68).</w:t>
      </w:r>
    </w:p>
    <w:p w14:paraId="6BB392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75154D0" w14:textId="77777777" w:rsidR="004F1F65" w:rsidRPr="005E779E" w:rsidRDefault="004F1F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 марта 1931 г., основываясь на ТТТ УВВС, достаточно высоких для своего времени (в 1931 г. УВВС наконец утвердило ТТТ к двум тяжелым истребителям: многоместному МИ—3, вооруженному скорострельными пуле</w:t>
      </w:r>
      <w:r w:rsidRPr="005E779E">
        <w:rPr>
          <w:rFonts w:ascii="Times New Roman" w:hAnsi="Times New Roman"/>
          <w:color w:val="000000" w:themeColor="text1"/>
          <w:sz w:val="16"/>
          <w:szCs w:val="16"/>
        </w:rPr>
        <w:softHyphen/>
        <w:t>метами, и пушечному истребителю ДИП. Создание обеих машин решили поручить ЦАГИ), КБ приступи</w:t>
      </w:r>
      <w:r w:rsidRPr="005E779E">
        <w:rPr>
          <w:rFonts w:ascii="Times New Roman" w:hAnsi="Times New Roman"/>
          <w:color w:val="000000" w:themeColor="text1"/>
          <w:sz w:val="16"/>
          <w:szCs w:val="16"/>
        </w:rPr>
        <w:softHyphen/>
        <w:t>ло к проектированию, а уже в июле представило на рассмотрение НИИ ВВС эскизный проект истребителя МИ-3 (заводское обозначение АНТ—21). Проект был утвержден, несмотря на не</w:t>
      </w:r>
      <w:r w:rsidRPr="005E779E">
        <w:rPr>
          <w:rFonts w:ascii="Times New Roman" w:hAnsi="Times New Roman"/>
          <w:color w:val="000000" w:themeColor="text1"/>
          <w:sz w:val="16"/>
          <w:szCs w:val="16"/>
        </w:rPr>
        <w:softHyphen/>
        <w:t>которые отклонения от требований ВВС:</w:t>
      </w:r>
    </w:p>
    <w:p w14:paraId="062FB0F8" w14:textId="77777777" w:rsidR="004F1F65" w:rsidRPr="005E779E" w:rsidRDefault="004F1F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w:t>
      </w:r>
    </w:p>
    <w:tbl>
      <w:tblPr>
        <w:tblOverlap w:val="never"/>
        <w:tblW w:w="0" w:type="auto"/>
        <w:tblLayout w:type="fixed"/>
        <w:tblCellMar>
          <w:left w:w="10" w:type="dxa"/>
          <w:right w:w="10" w:type="dxa"/>
        </w:tblCellMar>
        <w:tblLook w:val="04A0" w:firstRow="1" w:lastRow="0" w:firstColumn="1" w:lastColumn="0" w:noHBand="0" w:noVBand="1"/>
      </w:tblPr>
      <w:tblGrid>
        <w:gridCol w:w="2045"/>
        <w:gridCol w:w="811"/>
        <w:gridCol w:w="562"/>
      </w:tblGrid>
      <w:tr w:rsidR="004F1F65" w:rsidRPr="005E779E" w14:paraId="04DA2F91" w14:textId="77777777" w:rsidTr="004B2EA4">
        <w:trPr>
          <w:trHeight w:val="235"/>
        </w:trPr>
        <w:tc>
          <w:tcPr>
            <w:tcW w:w="2045" w:type="dxa"/>
          </w:tcPr>
          <w:p w14:paraId="6EA4C1E1" w14:textId="77777777" w:rsidR="004F1F65" w:rsidRPr="005E779E" w:rsidRDefault="004F1F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скорость, км/ч</w:t>
            </w:r>
          </w:p>
        </w:tc>
        <w:tc>
          <w:tcPr>
            <w:tcW w:w="811" w:type="dxa"/>
          </w:tcPr>
          <w:p w14:paraId="41AEBFE3" w14:textId="77777777" w:rsidR="004F1F65" w:rsidRPr="005E779E" w:rsidRDefault="004F1F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w:t>
            </w:r>
          </w:p>
        </w:tc>
        <w:tc>
          <w:tcPr>
            <w:tcW w:w="562" w:type="dxa"/>
          </w:tcPr>
          <w:p w14:paraId="680437B6" w14:textId="77777777" w:rsidR="004F1F65" w:rsidRPr="005E779E" w:rsidRDefault="004F1F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320</w:t>
            </w:r>
          </w:p>
        </w:tc>
      </w:tr>
      <w:tr w:rsidR="004F1F65" w:rsidRPr="005E779E" w14:paraId="5472B517" w14:textId="77777777" w:rsidTr="004B2EA4">
        <w:trPr>
          <w:trHeight w:val="643"/>
        </w:trPr>
        <w:tc>
          <w:tcPr>
            <w:tcW w:w="2045" w:type="dxa"/>
            <w:vAlign w:val="bottom"/>
          </w:tcPr>
          <w:p w14:paraId="415F771D" w14:textId="77777777" w:rsidR="004F1F65" w:rsidRPr="005E779E" w:rsidRDefault="004F1F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скорость</w:t>
            </w:r>
          </w:p>
          <w:p w14:paraId="0669582C" w14:textId="77777777" w:rsidR="004F1F65" w:rsidRPr="005E779E" w:rsidRDefault="004F1F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посадочная, км/ч время набора высоты</w:t>
            </w:r>
          </w:p>
        </w:tc>
        <w:tc>
          <w:tcPr>
            <w:tcW w:w="811" w:type="dxa"/>
            <w:vAlign w:val="center"/>
          </w:tcPr>
          <w:p w14:paraId="12685226" w14:textId="77777777" w:rsidR="004F1F65" w:rsidRPr="005E779E" w:rsidRDefault="004F1F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90-100</w:t>
            </w:r>
          </w:p>
        </w:tc>
        <w:tc>
          <w:tcPr>
            <w:tcW w:w="562" w:type="dxa"/>
            <w:vAlign w:val="center"/>
          </w:tcPr>
          <w:p w14:paraId="47243E31" w14:textId="77777777" w:rsidR="004F1F65" w:rsidRPr="005E779E" w:rsidRDefault="004F1F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w:t>
            </w:r>
          </w:p>
        </w:tc>
      </w:tr>
      <w:tr w:rsidR="004F1F65" w:rsidRPr="005E779E" w14:paraId="7F029D0A" w14:textId="77777777" w:rsidTr="004B2EA4">
        <w:trPr>
          <w:trHeight w:val="206"/>
        </w:trPr>
        <w:tc>
          <w:tcPr>
            <w:tcW w:w="2045" w:type="dxa"/>
          </w:tcPr>
          <w:p w14:paraId="4F9A24A5" w14:textId="77777777" w:rsidR="004F1F65" w:rsidRPr="005E779E" w:rsidRDefault="004F1F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 м, мин</w:t>
            </w:r>
          </w:p>
        </w:tc>
        <w:tc>
          <w:tcPr>
            <w:tcW w:w="811" w:type="dxa"/>
          </w:tcPr>
          <w:p w14:paraId="677CC05B" w14:textId="77777777" w:rsidR="004F1F65" w:rsidRPr="005E779E" w:rsidRDefault="004F1F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12-14</w:t>
            </w:r>
          </w:p>
        </w:tc>
        <w:tc>
          <w:tcPr>
            <w:tcW w:w="562" w:type="dxa"/>
          </w:tcPr>
          <w:p w14:paraId="37EC4AE9" w14:textId="77777777" w:rsidR="004F1F65" w:rsidRPr="005E779E" w:rsidRDefault="004F1F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w:t>
            </w:r>
          </w:p>
        </w:tc>
      </w:tr>
      <w:tr w:rsidR="004F1F65" w:rsidRPr="005E779E" w14:paraId="4CD01D70" w14:textId="77777777" w:rsidTr="004B2EA4">
        <w:trPr>
          <w:trHeight w:val="221"/>
        </w:trPr>
        <w:tc>
          <w:tcPr>
            <w:tcW w:w="2045" w:type="dxa"/>
            <w:vAlign w:val="bottom"/>
          </w:tcPr>
          <w:p w14:paraId="224F8504" w14:textId="77777777" w:rsidR="004F1F65" w:rsidRPr="005E779E" w:rsidRDefault="004F1F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потолок, м</w:t>
            </w:r>
          </w:p>
        </w:tc>
        <w:tc>
          <w:tcPr>
            <w:tcW w:w="811" w:type="dxa"/>
            <w:vAlign w:val="bottom"/>
          </w:tcPr>
          <w:p w14:paraId="5FAEB202" w14:textId="77777777" w:rsidR="004F1F65" w:rsidRPr="005E779E" w:rsidRDefault="004F1F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7000</w:t>
            </w:r>
          </w:p>
        </w:tc>
        <w:tc>
          <w:tcPr>
            <w:tcW w:w="562" w:type="dxa"/>
            <w:vAlign w:val="bottom"/>
          </w:tcPr>
          <w:p w14:paraId="4BEFE279" w14:textId="77777777" w:rsidR="004F1F65" w:rsidRPr="005E779E" w:rsidRDefault="004F1F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8300</w:t>
            </w:r>
          </w:p>
        </w:tc>
      </w:tr>
      <w:tr w:rsidR="004F1F65" w:rsidRPr="005E779E" w14:paraId="7290FE08" w14:textId="77777777" w:rsidTr="004B2EA4">
        <w:trPr>
          <w:trHeight w:val="221"/>
        </w:trPr>
        <w:tc>
          <w:tcPr>
            <w:tcW w:w="2045" w:type="dxa"/>
            <w:vAlign w:val="bottom"/>
          </w:tcPr>
          <w:p w14:paraId="67063797" w14:textId="77777777" w:rsidR="004F1F65" w:rsidRPr="005E779E" w:rsidRDefault="004F1F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дальность, км</w:t>
            </w:r>
          </w:p>
        </w:tc>
        <w:tc>
          <w:tcPr>
            <w:tcW w:w="811" w:type="dxa"/>
            <w:vAlign w:val="bottom"/>
          </w:tcPr>
          <w:p w14:paraId="748F76E4" w14:textId="77777777" w:rsidR="004F1F65" w:rsidRPr="005E779E" w:rsidRDefault="004F1F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юоо</w:t>
            </w:r>
          </w:p>
        </w:tc>
        <w:tc>
          <w:tcPr>
            <w:tcW w:w="562" w:type="dxa"/>
            <w:vAlign w:val="bottom"/>
          </w:tcPr>
          <w:p w14:paraId="3ED0FD44" w14:textId="77777777" w:rsidR="004F1F65" w:rsidRPr="005E779E" w:rsidRDefault="004F1F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ЮОО</w:t>
            </w:r>
          </w:p>
        </w:tc>
      </w:tr>
      <w:tr w:rsidR="004F1F65" w:rsidRPr="005E779E" w14:paraId="360AAB9F" w14:textId="77777777" w:rsidTr="004B2EA4">
        <w:trPr>
          <w:trHeight w:val="226"/>
        </w:trPr>
        <w:tc>
          <w:tcPr>
            <w:tcW w:w="2045" w:type="dxa"/>
          </w:tcPr>
          <w:p w14:paraId="3F6E5B10" w14:textId="77777777" w:rsidR="004F1F65" w:rsidRPr="005E779E" w:rsidRDefault="004F1F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разбег, м</w:t>
            </w:r>
          </w:p>
        </w:tc>
        <w:tc>
          <w:tcPr>
            <w:tcW w:w="811" w:type="dxa"/>
          </w:tcPr>
          <w:p w14:paraId="07A84CDB" w14:textId="77777777" w:rsidR="004F1F65" w:rsidRPr="005E779E" w:rsidRDefault="004F1F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w:t>
            </w:r>
          </w:p>
        </w:tc>
        <w:tc>
          <w:tcPr>
            <w:tcW w:w="562" w:type="dxa"/>
          </w:tcPr>
          <w:p w14:paraId="5E993171" w14:textId="77777777" w:rsidR="004F1F65" w:rsidRPr="005E779E" w:rsidRDefault="004F1F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130</w:t>
            </w:r>
          </w:p>
        </w:tc>
      </w:tr>
      <w:tr w:rsidR="004F1F65" w:rsidRPr="005E779E" w14:paraId="11FB62DA" w14:textId="77777777" w:rsidTr="004B2EA4">
        <w:trPr>
          <w:trHeight w:val="221"/>
        </w:trPr>
        <w:tc>
          <w:tcPr>
            <w:tcW w:w="2045" w:type="dxa"/>
          </w:tcPr>
          <w:p w14:paraId="5266B7FF" w14:textId="77777777" w:rsidR="004F1F65" w:rsidRPr="005E779E" w:rsidRDefault="004F1F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пробег (с тормозами), м</w:t>
            </w:r>
          </w:p>
        </w:tc>
        <w:tc>
          <w:tcPr>
            <w:tcW w:w="811" w:type="dxa"/>
          </w:tcPr>
          <w:p w14:paraId="49AD852E" w14:textId="77777777" w:rsidR="004F1F65" w:rsidRPr="005E779E" w:rsidRDefault="004F1F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80</w:t>
            </w:r>
          </w:p>
        </w:tc>
        <w:tc>
          <w:tcPr>
            <w:tcW w:w="562" w:type="dxa"/>
          </w:tcPr>
          <w:p w14:paraId="20DB23DC" w14:textId="77777777" w:rsidR="004F1F65" w:rsidRPr="005E779E" w:rsidRDefault="004F1F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315</w:t>
            </w:r>
          </w:p>
        </w:tc>
      </w:tr>
    </w:tbl>
    <w:p w14:paraId="740BF3F3" w14:textId="77777777" w:rsidR="004F1F65" w:rsidRPr="005E779E" w:rsidRDefault="004F1F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(23474).</w:t>
      </w:r>
    </w:p>
    <w:p w14:paraId="099A984F" w14:textId="77777777" w:rsidR="004F1F65" w:rsidRPr="005E779E" w:rsidRDefault="004F1F65" w:rsidP="000B7A6C">
      <w:pPr>
        <w:spacing w:after="0" w:line="240" w:lineRule="auto"/>
        <w:jc w:val="both"/>
        <w:rPr>
          <w:rFonts w:ascii="Times New Roman" w:hAnsi="Times New Roman"/>
          <w:color w:val="000000" w:themeColor="text1"/>
          <w:sz w:val="16"/>
          <w:szCs w:val="16"/>
        </w:rPr>
      </w:pPr>
    </w:p>
    <w:p w14:paraId="0AD1B8E3" w14:textId="77777777" w:rsidR="004F1F65" w:rsidRPr="005E779E" w:rsidRDefault="004F1F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1-го марта 1931г. ЦАГИ приступил к проектированию самолета МИ-3 (АНТ-21) (24197).</w:t>
      </w:r>
    </w:p>
    <w:p w14:paraId="2AAE9A0F" w14:textId="77777777" w:rsidR="004F1F65" w:rsidRPr="005E779E" w:rsidRDefault="004F1F65" w:rsidP="000B7A6C">
      <w:pPr>
        <w:spacing w:after="0" w:line="240" w:lineRule="auto"/>
        <w:jc w:val="both"/>
        <w:rPr>
          <w:rFonts w:ascii="Times New Roman" w:hAnsi="Times New Roman"/>
          <w:color w:val="000000" w:themeColor="text1"/>
          <w:sz w:val="16"/>
          <w:szCs w:val="16"/>
        </w:rPr>
      </w:pPr>
    </w:p>
    <w:p w14:paraId="0E758CD8" w14:textId="77777777" w:rsidR="00917E36" w:rsidRPr="005E779E" w:rsidRDefault="00917E36" w:rsidP="000B7A6C">
      <w:pPr>
        <w:spacing w:after="0" w:line="240" w:lineRule="auto"/>
        <w:jc w:val="both"/>
        <w:rPr>
          <w:rFonts w:ascii="Times New Roman" w:hAnsi="Times New Roman"/>
          <w:color w:val="000000" w:themeColor="text1"/>
          <w:sz w:val="16"/>
          <w:szCs w:val="16"/>
          <w:lang w:eastAsia="ru-RU" w:bidi="ru-RU"/>
        </w:rPr>
      </w:pPr>
      <w:r w:rsidRPr="005E779E">
        <w:rPr>
          <w:rFonts w:ascii="Times New Roman" w:hAnsi="Times New Roman"/>
          <w:color w:val="000000" w:themeColor="text1"/>
          <w:sz w:val="16"/>
          <w:szCs w:val="16"/>
          <w:lang w:eastAsia="ru-RU" w:bidi="ru-RU"/>
        </w:rPr>
        <w:t>На 1 марта 1931 в сводке НИИ ВВС по опытному самоле</w:t>
      </w:r>
      <w:r w:rsidRPr="005E779E">
        <w:rPr>
          <w:rFonts w:ascii="Times New Roman" w:hAnsi="Times New Roman"/>
          <w:color w:val="000000" w:themeColor="text1"/>
          <w:sz w:val="16"/>
          <w:szCs w:val="16"/>
          <w:lang w:eastAsia="ru-RU" w:bidi="ru-RU"/>
        </w:rPr>
        <w:softHyphen/>
        <w:t>тостроению отмечается, что работы по ТШ-1 2М-34 не ведутся, «так как нерешенными остаются тактические требования к самолету» (21062).</w:t>
      </w:r>
    </w:p>
    <w:p w14:paraId="4EA8FA15" w14:textId="77777777" w:rsidR="00917E36" w:rsidRPr="005E779E" w:rsidRDefault="00917E36" w:rsidP="000B7A6C">
      <w:pPr>
        <w:spacing w:after="0" w:line="240" w:lineRule="auto"/>
        <w:jc w:val="both"/>
        <w:rPr>
          <w:rFonts w:ascii="Times New Roman" w:hAnsi="Times New Roman"/>
          <w:color w:val="000000" w:themeColor="text1"/>
          <w:sz w:val="16"/>
          <w:szCs w:val="16"/>
        </w:rPr>
      </w:pPr>
    </w:p>
    <w:p w14:paraId="661FB22C" w14:textId="77777777" w:rsidR="00917E36" w:rsidRPr="005E779E" w:rsidRDefault="00917E36"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6903390B" w14:textId="77777777" w:rsidR="00917E36" w:rsidRPr="005E779E" w:rsidRDefault="00917E36"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2FB3923" w14:textId="77777777" w:rsidR="00132B05" w:rsidRPr="005E779E" w:rsidRDefault="00132B05" w:rsidP="000B7A6C">
      <w:pPr>
        <w:pStyle w:val="a3"/>
        <w:rPr>
          <w:color w:val="000000" w:themeColor="text1"/>
          <w:lang w:val="ru-RU"/>
        </w:rPr>
      </w:pPr>
      <w:r w:rsidRPr="005E779E">
        <w:rPr>
          <w:color w:val="000000" w:themeColor="text1"/>
          <w:lang w:val="ru-RU"/>
        </w:rPr>
        <w:t>1 марта 1931 были организованы испытания по преодолению естествен</w:t>
      </w:r>
      <w:r w:rsidRPr="005E779E">
        <w:rPr>
          <w:color w:val="000000" w:themeColor="text1"/>
          <w:lang w:val="ru-RU"/>
        </w:rPr>
        <w:softHyphen/>
        <w:t>ных препятствий при движении на пересеченной местности. После съе</w:t>
      </w:r>
      <w:r w:rsidRPr="005E779E">
        <w:rPr>
          <w:color w:val="000000" w:themeColor="text1"/>
          <w:lang w:val="ru-RU"/>
        </w:rPr>
        <w:softHyphen/>
        <w:t>зда с Волоколамского шоссе на бездорожье на танк №230 надели шпо</w:t>
      </w:r>
      <w:r w:rsidRPr="005E779E">
        <w:rPr>
          <w:color w:val="000000" w:themeColor="text1"/>
          <w:lang w:val="ru-RU"/>
        </w:rPr>
        <w:softHyphen/>
        <w:t>ры. Эта процедура заняла у четырех человек около 1 ч (на снятие шпор потребовалось 20 мин). Затем маршрут движения танка пролегал до д. Чернове. Местность изобиловала подъемами до 15' и была покрыта снегом глубиной до 1м.</w:t>
      </w:r>
    </w:p>
    <w:p w14:paraId="5ACBD27F" w14:textId="77777777" w:rsidR="00132B05" w:rsidRPr="005E779E" w:rsidRDefault="00132B05" w:rsidP="000B7A6C">
      <w:pPr>
        <w:pStyle w:val="a3"/>
        <w:rPr>
          <w:color w:val="000000" w:themeColor="text1"/>
          <w:lang w:val="ru-RU"/>
        </w:rPr>
      </w:pPr>
      <w:r w:rsidRPr="005E779E">
        <w:rPr>
          <w:color w:val="000000" w:themeColor="text1"/>
          <w:lang w:val="ru-RU"/>
        </w:rPr>
        <w:t>Весь маршрут протяженностью 50 км был преодолен за 3 ч 43 мин без каких-либо серьезных замечаний. Отмечалось, правда, излишняя высота шпор, что привело к разрушению элементов крепления надгусеничных полок. Использование шпор при движении по твердому покры</w:t>
      </w:r>
      <w:r w:rsidRPr="005E779E">
        <w:rPr>
          <w:color w:val="000000" w:themeColor="text1"/>
          <w:lang w:val="ru-RU"/>
        </w:rPr>
        <w:softHyphen/>
        <w:t>тию вызывало сильную вибрацию танка и вынуждало снижать скорость движения до предельно малой величины.</w:t>
      </w:r>
    </w:p>
    <w:p w14:paraId="585749B9" w14:textId="77777777" w:rsidR="00132B05" w:rsidRPr="005E779E" w:rsidRDefault="00132B05" w:rsidP="000B7A6C">
      <w:pPr>
        <w:pStyle w:val="1010"/>
        <w:shd w:val="clear" w:color="auto" w:fill="auto"/>
        <w:spacing w:line="240" w:lineRule="auto"/>
        <w:ind w:firstLine="0"/>
        <w:rPr>
          <w:rFonts w:ascii="Times New Roman" w:hAnsi="Times New Roman" w:cs="Times New Roman"/>
          <w:i w:val="0"/>
          <w:color w:val="000000" w:themeColor="text1"/>
          <w:sz w:val="16"/>
          <w:szCs w:val="16"/>
        </w:rPr>
      </w:pPr>
      <w:r w:rsidRPr="005E779E">
        <w:rPr>
          <w:rStyle w:val="1024"/>
          <w:rFonts w:ascii="Times New Roman" w:eastAsia="Arial Unicode MS" w:hAnsi="Times New Roman" w:cs="Times New Roman"/>
          <w:i w:val="0"/>
          <w:iCs w:val="0"/>
          <w:color w:val="000000" w:themeColor="text1"/>
          <w:sz w:val="16"/>
          <w:szCs w:val="16"/>
        </w:rPr>
        <w:t>Майор Одди заметил в своем отчете:</w:t>
      </w:r>
      <w:r w:rsidRPr="005E779E">
        <w:rPr>
          <w:rFonts w:ascii="Times New Roman" w:hAnsi="Times New Roman" w:cs="Times New Roman"/>
          <w:i w:val="0"/>
          <w:color w:val="000000" w:themeColor="text1"/>
          <w:sz w:val="16"/>
          <w:szCs w:val="16"/>
        </w:rPr>
        <w:t xml:space="preserve"> «Шпоры мы применит только раз, на коротком, но очень жестоком пробеге по пересеченной местно</w:t>
      </w:r>
      <w:r w:rsidRPr="005E779E">
        <w:rPr>
          <w:rFonts w:ascii="Times New Roman" w:hAnsi="Times New Roman" w:cs="Times New Roman"/>
          <w:i w:val="0"/>
          <w:color w:val="000000" w:themeColor="text1"/>
          <w:sz w:val="16"/>
          <w:szCs w:val="16"/>
        </w:rPr>
        <w:softHyphen/>
        <w:t>сти (через очень глубокий снег) с многочисленными подъемами и т.д.</w:t>
      </w:r>
    </w:p>
    <w:p w14:paraId="27B41427" w14:textId="77777777" w:rsidR="00132B05" w:rsidRPr="005E779E" w:rsidRDefault="00132B05" w:rsidP="000B7A6C">
      <w:pPr>
        <w:pStyle w:val="1010"/>
        <w:shd w:val="clear" w:color="auto" w:fill="auto"/>
        <w:spacing w:line="240" w:lineRule="auto"/>
        <w:ind w:firstLine="0"/>
        <w:rPr>
          <w:rFonts w:ascii="Times New Roman" w:hAnsi="Times New Roman" w:cs="Times New Roman"/>
          <w:i w:val="0"/>
          <w:color w:val="000000" w:themeColor="text1"/>
          <w:sz w:val="16"/>
          <w:szCs w:val="16"/>
        </w:rPr>
      </w:pPr>
      <w:r w:rsidRPr="005E779E">
        <w:rPr>
          <w:rFonts w:ascii="Times New Roman" w:hAnsi="Times New Roman" w:cs="Times New Roman"/>
          <w:i w:val="0"/>
          <w:color w:val="000000" w:themeColor="text1"/>
          <w:sz w:val="16"/>
          <w:szCs w:val="16"/>
        </w:rPr>
        <w:t>Мы имели также еще более жестокое испытание по пересеченной местности, когда снег во многих местах достигал глубины 2 фут. 6 дюй</w:t>
      </w:r>
      <w:r w:rsidRPr="005E779E">
        <w:rPr>
          <w:rFonts w:ascii="Times New Roman" w:hAnsi="Times New Roman" w:cs="Times New Roman"/>
          <w:i w:val="0"/>
          <w:color w:val="000000" w:themeColor="text1"/>
          <w:sz w:val="16"/>
          <w:szCs w:val="16"/>
        </w:rPr>
        <w:softHyphen/>
        <w:t>мов и 3 футами и местность изобиловала многочисленными пнями (по</w:t>
      </w:r>
      <w:r w:rsidRPr="005E779E">
        <w:rPr>
          <w:rFonts w:ascii="Times New Roman" w:hAnsi="Times New Roman" w:cs="Times New Roman"/>
          <w:i w:val="0"/>
          <w:color w:val="000000" w:themeColor="text1"/>
          <w:sz w:val="16"/>
          <w:szCs w:val="16"/>
        </w:rPr>
        <w:softHyphen/>
        <w:t>крытыми снегом), включая также препятствия, подъемы и канавы.</w:t>
      </w:r>
    </w:p>
    <w:p w14:paraId="4275DCC2" w14:textId="77777777" w:rsidR="00132B05" w:rsidRPr="005E779E" w:rsidRDefault="00132B05" w:rsidP="000B7A6C">
      <w:pPr>
        <w:pStyle w:val="1010"/>
        <w:shd w:val="clear" w:color="auto" w:fill="auto"/>
        <w:spacing w:line="240" w:lineRule="auto"/>
        <w:ind w:firstLine="0"/>
        <w:rPr>
          <w:rFonts w:ascii="Times New Roman" w:hAnsi="Times New Roman" w:cs="Times New Roman"/>
          <w:i w:val="0"/>
          <w:color w:val="000000" w:themeColor="text1"/>
          <w:sz w:val="16"/>
          <w:szCs w:val="16"/>
        </w:rPr>
      </w:pPr>
      <w:r w:rsidRPr="005E779E">
        <w:rPr>
          <w:rFonts w:ascii="Times New Roman" w:hAnsi="Times New Roman" w:cs="Times New Roman"/>
          <w:i w:val="0"/>
          <w:color w:val="000000" w:themeColor="text1"/>
          <w:sz w:val="16"/>
          <w:szCs w:val="16"/>
        </w:rPr>
        <w:t>Машина выполнила это прекрасно и произвела все это испытание без шпор».</w:t>
      </w:r>
    </w:p>
    <w:p w14:paraId="3EA2C7FB" w14:textId="77777777" w:rsidR="00132B05" w:rsidRPr="005E779E" w:rsidRDefault="00132B05" w:rsidP="000B7A6C">
      <w:pPr>
        <w:pStyle w:val="1010"/>
        <w:shd w:val="clear" w:color="auto" w:fill="auto"/>
        <w:spacing w:line="240" w:lineRule="auto"/>
        <w:ind w:firstLine="0"/>
        <w:rPr>
          <w:rFonts w:ascii="Times New Roman" w:hAnsi="Times New Roman" w:cs="Times New Roman"/>
          <w:i w:val="0"/>
          <w:color w:val="000000" w:themeColor="text1"/>
          <w:sz w:val="16"/>
          <w:szCs w:val="16"/>
        </w:rPr>
      </w:pPr>
      <w:r w:rsidRPr="005E779E">
        <w:rPr>
          <w:rStyle w:val="1024"/>
          <w:rFonts w:ascii="Times New Roman" w:eastAsia="Arial Unicode MS" w:hAnsi="Times New Roman" w:cs="Times New Roman"/>
          <w:i w:val="0"/>
          <w:iCs w:val="0"/>
          <w:color w:val="000000" w:themeColor="text1"/>
          <w:sz w:val="16"/>
          <w:szCs w:val="16"/>
        </w:rPr>
        <w:t>Двигатель при кренах до 18' работал</w:t>
      </w:r>
      <w:r w:rsidRPr="005E779E">
        <w:rPr>
          <w:rFonts w:ascii="Times New Roman" w:hAnsi="Times New Roman" w:cs="Times New Roman"/>
          <w:i w:val="0"/>
          <w:color w:val="000000" w:themeColor="text1"/>
          <w:sz w:val="16"/>
          <w:szCs w:val="16"/>
        </w:rPr>
        <w:t xml:space="preserve"> «четко, как и на горизонтальной дороге».</w:t>
      </w:r>
    </w:p>
    <w:p w14:paraId="05DEC94B" w14:textId="77777777" w:rsidR="00132B05" w:rsidRPr="005E779E" w:rsidRDefault="00132B05" w:rsidP="000B7A6C">
      <w:pPr>
        <w:pStyle w:val="a3"/>
        <w:rPr>
          <w:color w:val="000000" w:themeColor="text1"/>
          <w:lang w:val="ru-RU"/>
        </w:rPr>
      </w:pPr>
      <w:r w:rsidRPr="005E779E">
        <w:rPr>
          <w:color w:val="000000" w:themeColor="text1"/>
          <w:lang w:val="ru-RU"/>
        </w:rPr>
        <w:t>При испытаниях по определению скоростей движения танка получи</w:t>
      </w:r>
      <w:r w:rsidRPr="005E779E">
        <w:rPr>
          <w:color w:val="000000" w:themeColor="text1"/>
          <w:lang w:val="ru-RU"/>
        </w:rPr>
        <w:softHyphen/>
        <w:t>ли следующие результаты: максимальная скорость по шоссе - 32 км/ч, на грунтовой дороге со снежным покровом до 40 см - 20 км/ч, по снеж</w:t>
      </w:r>
      <w:r w:rsidRPr="005E779E">
        <w:rPr>
          <w:color w:val="000000" w:themeColor="text1"/>
          <w:lang w:val="ru-RU"/>
        </w:rPr>
        <w:softHyphen/>
        <w:t>ной целине со снежным покровом до 40 см - 14 км/ч. Средние скорости движения составили: по шоссе - 21 км/ч, попроселку- 17,8км/ч (15745).</w:t>
      </w:r>
    </w:p>
    <w:p w14:paraId="4EDD054E" w14:textId="77777777" w:rsidR="00132B05" w:rsidRPr="005E779E" w:rsidRDefault="00132B05" w:rsidP="000B7A6C">
      <w:pPr>
        <w:pStyle w:val="a3"/>
        <w:rPr>
          <w:color w:val="000000" w:themeColor="text1"/>
          <w:lang w:val="ru-RU"/>
        </w:rPr>
      </w:pPr>
    </w:p>
    <w:p w14:paraId="102170FB" w14:textId="77777777" w:rsidR="00132B05" w:rsidRPr="005E779E" w:rsidRDefault="00132B05"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bCs/>
          <w:iCs/>
          <w:color w:val="000000" w:themeColor="text1"/>
          <w:sz w:val="16"/>
          <w:szCs w:val="16"/>
        </w:rPr>
        <w:t>1 марта-23 марта 1931 г.</w:t>
      </w:r>
      <w:r w:rsidRPr="005E779E">
        <w:rPr>
          <w:rFonts w:ascii="Times New Roman" w:hAnsi="Times New Roman"/>
          <w:color w:val="000000" w:themeColor="text1"/>
          <w:sz w:val="16"/>
          <w:szCs w:val="16"/>
        </w:rPr>
        <w:t xml:space="preserve"> Большие зимние полевые испытания ядовито-дымных шашек в районе Ново-Орска (Оренбургская область). Выполнено 20 ЯД-пусков шашек ЯМ-21 (адамсит) и 9 пусков шашек ЯМ-11 (хлорацетофенон). Израсходовано: 7020 шашек с адамситом и 2810 шашек с хлорацетофеноном. Доказана «</w:t>
      </w:r>
      <w:r w:rsidRPr="005E779E">
        <w:rPr>
          <w:rFonts w:ascii="Times New Roman" w:hAnsi="Times New Roman"/>
          <w:iCs/>
          <w:color w:val="000000" w:themeColor="text1"/>
          <w:sz w:val="16"/>
          <w:szCs w:val="16"/>
        </w:rPr>
        <w:t>значительная боевая эффективность</w:t>
      </w:r>
      <w:r w:rsidRPr="005E779E">
        <w:rPr>
          <w:rFonts w:ascii="Times New Roman" w:hAnsi="Times New Roman"/>
          <w:color w:val="000000" w:themeColor="text1"/>
          <w:sz w:val="16"/>
          <w:szCs w:val="16"/>
        </w:rPr>
        <w:t>» испытанных ЯД-шашек, в том числе возможность распространения волн ядовитого дыма на основе адамсита на расстояния 80 км и больше. «</w:t>
      </w:r>
      <w:r w:rsidRPr="005E779E">
        <w:rPr>
          <w:rFonts w:ascii="Times New Roman" w:hAnsi="Times New Roman"/>
          <w:iCs/>
          <w:color w:val="000000" w:themeColor="text1"/>
          <w:sz w:val="16"/>
          <w:szCs w:val="16"/>
        </w:rPr>
        <w:t>Случаи сверхдальнего распространения ЯД-волн свидетельствуют о том, что ЯД-средства являются не только важным фактором тактического порядка, но и химическими средствами оперативного значения</w:t>
      </w:r>
      <w:r w:rsidRPr="005E779E">
        <w:rPr>
          <w:rFonts w:ascii="Times New Roman" w:hAnsi="Times New Roman"/>
          <w:color w:val="000000" w:themeColor="text1"/>
          <w:sz w:val="16"/>
          <w:szCs w:val="16"/>
        </w:rPr>
        <w:t>». Для определения расстояний, куда распространялись ЯД-волны, были использованы подопытные люди (17133).</w:t>
      </w:r>
    </w:p>
    <w:p w14:paraId="6DF81962" w14:textId="77777777" w:rsidR="00132B05" w:rsidRPr="005E779E" w:rsidRDefault="00132B05" w:rsidP="000B7A6C">
      <w:pPr>
        <w:shd w:val="clear" w:color="auto" w:fill="FFFFFF"/>
        <w:spacing w:after="0" w:line="240" w:lineRule="auto"/>
        <w:jc w:val="both"/>
        <w:rPr>
          <w:rFonts w:ascii="Times New Roman" w:hAnsi="Times New Roman"/>
          <w:color w:val="000000" w:themeColor="text1"/>
          <w:sz w:val="16"/>
          <w:szCs w:val="16"/>
        </w:rPr>
      </w:pPr>
    </w:p>
    <w:p w14:paraId="61F2BA63"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37E5567C"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433A9D0" w14:textId="77777777" w:rsidR="00293FAB" w:rsidRPr="005E779E" w:rsidRDefault="00293FAB" w:rsidP="000B7A6C">
      <w:pPr>
        <w:pStyle w:val="ae"/>
        <w:shd w:val="clear" w:color="auto" w:fill="FFFFFF"/>
        <w:spacing w:before="0" w:after="0"/>
        <w:jc w:val="both"/>
        <w:rPr>
          <w:color w:val="000000" w:themeColor="text1"/>
          <w:sz w:val="16"/>
          <w:szCs w:val="16"/>
        </w:rPr>
      </w:pPr>
      <w:r w:rsidRPr="005E779E">
        <w:rPr>
          <w:color w:val="000000" w:themeColor="text1"/>
          <w:sz w:val="16"/>
          <w:szCs w:val="16"/>
        </w:rPr>
        <w:t>К 1 марта 1931 года количество Т-18 в частях перевалило за 500 штук. Наибольшее количество имелось в Отдельном учебном танковом полку Московского военного округа (103 танка) и 2-м танковом полку Ленинградского военного округа (104 танка). Эти машины стали «учебной партой» для советских танкистов. Несмотря на свои многочисленные недостатки, Т-18 стал первой по-настоящему массовой машиной, благодаря которой появилась возможность готовить кадры для танковых войск. Следует отметить, что большинство зарубежных танков аналогичного класса того времени были не лучше советской машины.</w:t>
      </w:r>
    </w:p>
    <w:p w14:paraId="7D067770" w14:textId="77777777" w:rsidR="00293FAB" w:rsidRPr="005E779E" w:rsidRDefault="00293FAB" w:rsidP="000B7A6C">
      <w:pPr>
        <w:pStyle w:val="ae"/>
        <w:shd w:val="clear" w:color="auto" w:fill="FFFFFF"/>
        <w:spacing w:before="0" w:after="0"/>
        <w:jc w:val="both"/>
        <w:rPr>
          <w:color w:val="000000" w:themeColor="text1"/>
          <w:sz w:val="16"/>
          <w:szCs w:val="16"/>
        </w:rPr>
      </w:pPr>
      <w:r w:rsidRPr="005E779E">
        <w:rPr>
          <w:color w:val="000000" w:themeColor="text1"/>
          <w:sz w:val="16"/>
          <w:szCs w:val="16"/>
        </w:rPr>
        <w:t>Пик карьеры Т-18 пришёлся на весну 1932 года, когда численность этих танков достигла 959 штук. Больше всего этих машин (141 штука) имелось во 2-м танковом полку Дальневосточного военного округа (17724).</w:t>
      </w:r>
    </w:p>
    <w:p w14:paraId="7C20ECA9" w14:textId="77777777" w:rsidR="00293FAB" w:rsidRPr="005E779E" w:rsidRDefault="00293FAB" w:rsidP="000B7A6C">
      <w:pPr>
        <w:spacing w:after="0" w:line="240" w:lineRule="auto"/>
        <w:jc w:val="both"/>
        <w:rPr>
          <w:rFonts w:ascii="Times New Roman" w:eastAsia="Times New Roman" w:hAnsi="Times New Roman"/>
          <w:color w:val="000000" w:themeColor="text1"/>
          <w:sz w:val="16"/>
          <w:szCs w:val="16"/>
          <w:lang w:eastAsia="ru-RU"/>
        </w:rPr>
      </w:pPr>
    </w:p>
    <w:p w14:paraId="1623FB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1 марте 1931 в РККА было 180 ба БА-27 (9527,316).</w:t>
      </w:r>
    </w:p>
    <w:p w14:paraId="7D7A94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2A899F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Сведения о наличии бронеавтомобилей в частях Красной Армии по состоянию на 1 марта 1931 года:</w:t>
      </w:r>
    </w:p>
    <w:tbl>
      <w:tblPr>
        <w:tblW w:w="0" w:type="auto"/>
        <w:tblInd w:w="40" w:type="dxa"/>
        <w:tblLayout w:type="fixed"/>
        <w:tblCellMar>
          <w:left w:w="40" w:type="dxa"/>
          <w:right w:w="40" w:type="dxa"/>
        </w:tblCellMar>
        <w:tblLook w:val="0000" w:firstRow="0" w:lastRow="0" w:firstColumn="0" w:lastColumn="0" w:noHBand="0" w:noVBand="0"/>
      </w:tblPr>
      <w:tblGrid>
        <w:gridCol w:w="2707"/>
        <w:gridCol w:w="422"/>
        <w:gridCol w:w="547"/>
        <w:gridCol w:w="490"/>
        <w:gridCol w:w="1258"/>
      </w:tblGrid>
      <w:tr w:rsidR="007122AB" w:rsidRPr="005E779E" w14:paraId="2A7A9CA5" w14:textId="77777777">
        <w:trPr>
          <w:trHeight w:val="202"/>
        </w:trPr>
        <w:tc>
          <w:tcPr>
            <w:tcW w:w="2707" w:type="dxa"/>
            <w:tcBorders>
              <w:top w:val="single" w:sz="6" w:space="0" w:color="auto"/>
              <w:left w:val="single" w:sz="6" w:space="0" w:color="auto"/>
              <w:bottom w:val="single" w:sz="6" w:space="0" w:color="auto"/>
              <w:right w:val="single" w:sz="6" w:space="0" w:color="auto"/>
            </w:tcBorders>
          </w:tcPr>
          <w:p w14:paraId="7927258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6DD821A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БА-27</w:t>
            </w:r>
          </w:p>
        </w:tc>
        <w:tc>
          <w:tcPr>
            <w:tcW w:w="547" w:type="dxa"/>
            <w:tcBorders>
              <w:top w:val="single" w:sz="6" w:space="0" w:color="auto"/>
              <w:left w:val="single" w:sz="6" w:space="0" w:color="auto"/>
              <w:bottom w:val="single" w:sz="6" w:space="0" w:color="auto"/>
              <w:right w:val="single" w:sz="6" w:space="0" w:color="auto"/>
            </w:tcBorders>
          </w:tcPr>
          <w:p w14:paraId="1790140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«Остин»</w:t>
            </w:r>
          </w:p>
        </w:tc>
        <w:tc>
          <w:tcPr>
            <w:tcW w:w="490" w:type="dxa"/>
            <w:tcBorders>
              <w:top w:val="single" w:sz="6" w:space="0" w:color="auto"/>
              <w:left w:val="single" w:sz="6" w:space="0" w:color="auto"/>
              <w:bottom w:val="single" w:sz="6" w:space="0" w:color="auto"/>
              <w:right w:val="single" w:sz="6" w:space="0" w:color="auto"/>
            </w:tcBorders>
          </w:tcPr>
          <w:p w14:paraId="0D5E37D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«Фиат»</w:t>
            </w:r>
          </w:p>
        </w:tc>
        <w:tc>
          <w:tcPr>
            <w:tcW w:w="1258" w:type="dxa"/>
            <w:tcBorders>
              <w:top w:val="single" w:sz="6" w:space="0" w:color="auto"/>
              <w:left w:val="single" w:sz="6" w:space="0" w:color="auto"/>
              <w:bottom w:val="single" w:sz="6" w:space="0" w:color="auto"/>
              <w:right w:val="single" w:sz="6" w:space="0" w:color="auto"/>
            </w:tcBorders>
          </w:tcPr>
          <w:p w14:paraId="7290723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Примечание</w:t>
            </w:r>
          </w:p>
        </w:tc>
      </w:tr>
      <w:tr w:rsidR="007122AB" w:rsidRPr="005E779E" w14:paraId="0CC94FF5" w14:textId="77777777">
        <w:trPr>
          <w:trHeight w:val="355"/>
        </w:trPr>
        <w:tc>
          <w:tcPr>
            <w:tcW w:w="2707" w:type="dxa"/>
            <w:tcBorders>
              <w:top w:val="single" w:sz="6" w:space="0" w:color="auto"/>
              <w:left w:val="single" w:sz="6" w:space="0" w:color="auto"/>
              <w:bottom w:val="single" w:sz="6" w:space="0" w:color="auto"/>
              <w:right w:val="single" w:sz="6" w:space="0" w:color="auto"/>
            </w:tcBorders>
          </w:tcPr>
          <w:p w14:paraId="3CD838B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1-йавтобронедивизион Кавказской Краснознаменной армии</w:t>
            </w:r>
          </w:p>
        </w:tc>
        <w:tc>
          <w:tcPr>
            <w:tcW w:w="422" w:type="dxa"/>
            <w:tcBorders>
              <w:top w:val="single" w:sz="6" w:space="0" w:color="auto"/>
              <w:left w:val="single" w:sz="6" w:space="0" w:color="auto"/>
              <w:bottom w:val="single" w:sz="6" w:space="0" w:color="auto"/>
              <w:right w:val="single" w:sz="6" w:space="0" w:color="auto"/>
            </w:tcBorders>
          </w:tcPr>
          <w:p w14:paraId="4E05797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w:t>
            </w:r>
          </w:p>
        </w:tc>
        <w:tc>
          <w:tcPr>
            <w:tcW w:w="547" w:type="dxa"/>
            <w:tcBorders>
              <w:top w:val="single" w:sz="6" w:space="0" w:color="auto"/>
              <w:left w:val="single" w:sz="6" w:space="0" w:color="auto"/>
              <w:bottom w:val="single" w:sz="6" w:space="0" w:color="auto"/>
              <w:right w:val="single" w:sz="6" w:space="0" w:color="auto"/>
            </w:tcBorders>
          </w:tcPr>
          <w:p w14:paraId="4312672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w:t>
            </w:r>
          </w:p>
        </w:tc>
        <w:tc>
          <w:tcPr>
            <w:tcW w:w="490" w:type="dxa"/>
            <w:tcBorders>
              <w:top w:val="single" w:sz="6" w:space="0" w:color="auto"/>
              <w:left w:val="single" w:sz="6" w:space="0" w:color="auto"/>
              <w:bottom w:val="single" w:sz="6" w:space="0" w:color="auto"/>
              <w:right w:val="single" w:sz="6" w:space="0" w:color="auto"/>
            </w:tcBorders>
          </w:tcPr>
          <w:p w14:paraId="340D477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258" w:type="dxa"/>
            <w:tcBorders>
              <w:top w:val="single" w:sz="6" w:space="0" w:color="auto"/>
              <w:left w:val="single" w:sz="6" w:space="0" w:color="auto"/>
              <w:bottom w:val="single" w:sz="6" w:space="0" w:color="auto"/>
              <w:right w:val="single" w:sz="6" w:space="0" w:color="auto"/>
            </w:tcBorders>
          </w:tcPr>
          <w:p w14:paraId="7C7AC44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31767153" w14:textId="77777777">
        <w:trPr>
          <w:trHeight w:val="672"/>
        </w:trPr>
        <w:tc>
          <w:tcPr>
            <w:tcW w:w="2707" w:type="dxa"/>
            <w:tcBorders>
              <w:top w:val="single" w:sz="6" w:space="0" w:color="auto"/>
              <w:left w:val="single" w:sz="6" w:space="0" w:color="auto"/>
              <w:bottom w:val="single" w:sz="6" w:space="0" w:color="auto"/>
              <w:right w:val="single" w:sz="6" w:space="0" w:color="auto"/>
            </w:tcBorders>
          </w:tcPr>
          <w:p w14:paraId="220D344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3-й автобронедшшзион МВО</w:t>
            </w:r>
          </w:p>
        </w:tc>
        <w:tc>
          <w:tcPr>
            <w:tcW w:w="422" w:type="dxa"/>
            <w:tcBorders>
              <w:top w:val="single" w:sz="6" w:space="0" w:color="auto"/>
              <w:left w:val="single" w:sz="6" w:space="0" w:color="auto"/>
              <w:bottom w:val="single" w:sz="6" w:space="0" w:color="auto"/>
              <w:right w:val="single" w:sz="6" w:space="0" w:color="auto"/>
            </w:tcBorders>
          </w:tcPr>
          <w:p w14:paraId="6F9AA20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w:t>
            </w:r>
          </w:p>
        </w:tc>
        <w:tc>
          <w:tcPr>
            <w:tcW w:w="547" w:type="dxa"/>
            <w:tcBorders>
              <w:top w:val="single" w:sz="6" w:space="0" w:color="auto"/>
              <w:left w:val="single" w:sz="6" w:space="0" w:color="auto"/>
              <w:bottom w:val="single" w:sz="6" w:space="0" w:color="auto"/>
              <w:right w:val="single" w:sz="6" w:space="0" w:color="auto"/>
            </w:tcBorders>
          </w:tcPr>
          <w:p w14:paraId="1A47403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0" w:type="dxa"/>
            <w:tcBorders>
              <w:top w:val="single" w:sz="6" w:space="0" w:color="auto"/>
              <w:left w:val="single" w:sz="6" w:space="0" w:color="auto"/>
              <w:bottom w:val="single" w:sz="6" w:space="0" w:color="auto"/>
              <w:right w:val="single" w:sz="6" w:space="0" w:color="auto"/>
            </w:tcBorders>
          </w:tcPr>
          <w:p w14:paraId="3A7724B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07C87D2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 них на 1 машину дан наряд на отправку в КАВКУКС</w:t>
            </w:r>
          </w:p>
        </w:tc>
      </w:tr>
      <w:tr w:rsidR="007122AB" w:rsidRPr="005E779E" w14:paraId="73B7FD86"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27E6586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8-й автобронедивизион УВО</w:t>
            </w:r>
          </w:p>
        </w:tc>
        <w:tc>
          <w:tcPr>
            <w:tcW w:w="422" w:type="dxa"/>
            <w:tcBorders>
              <w:top w:val="single" w:sz="6" w:space="0" w:color="auto"/>
              <w:left w:val="single" w:sz="6" w:space="0" w:color="auto"/>
              <w:bottom w:val="single" w:sz="6" w:space="0" w:color="auto"/>
              <w:right w:val="single" w:sz="6" w:space="0" w:color="auto"/>
            </w:tcBorders>
          </w:tcPr>
          <w:p w14:paraId="4ADABD7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w:t>
            </w:r>
          </w:p>
        </w:tc>
        <w:tc>
          <w:tcPr>
            <w:tcW w:w="547" w:type="dxa"/>
            <w:tcBorders>
              <w:top w:val="single" w:sz="6" w:space="0" w:color="auto"/>
              <w:left w:val="single" w:sz="6" w:space="0" w:color="auto"/>
              <w:bottom w:val="single" w:sz="6" w:space="0" w:color="auto"/>
              <w:right w:val="single" w:sz="6" w:space="0" w:color="auto"/>
            </w:tcBorders>
          </w:tcPr>
          <w:p w14:paraId="44A43C3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490" w:type="dxa"/>
            <w:tcBorders>
              <w:top w:val="single" w:sz="6" w:space="0" w:color="auto"/>
              <w:left w:val="single" w:sz="6" w:space="0" w:color="auto"/>
              <w:bottom w:val="single" w:sz="6" w:space="0" w:color="auto"/>
              <w:right w:val="single" w:sz="6" w:space="0" w:color="auto"/>
            </w:tcBorders>
          </w:tcPr>
          <w:p w14:paraId="6BA7526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258" w:type="dxa"/>
            <w:tcBorders>
              <w:top w:val="single" w:sz="6" w:space="0" w:color="auto"/>
              <w:left w:val="single" w:sz="6" w:space="0" w:color="auto"/>
              <w:bottom w:val="single" w:sz="6" w:space="0" w:color="auto"/>
              <w:right w:val="single" w:sz="6" w:space="0" w:color="auto"/>
            </w:tcBorders>
          </w:tcPr>
          <w:p w14:paraId="0D11821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128FA858"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7485E9B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11-й автобронедивизион УВО</w:t>
            </w:r>
          </w:p>
        </w:tc>
        <w:tc>
          <w:tcPr>
            <w:tcW w:w="422" w:type="dxa"/>
            <w:tcBorders>
              <w:top w:val="single" w:sz="6" w:space="0" w:color="auto"/>
              <w:left w:val="single" w:sz="6" w:space="0" w:color="auto"/>
              <w:bottom w:val="single" w:sz="6" w:space="0" w:color="auto"/>
              <w:right w:val="single" w:sz="6" w:space="0" w:color="auto"/>
            </w:tcBorders>
          </w:tcPr>
          <w:p w14:paraId="50645BB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w:t>
            </w:r>
          </w:p>
        </w:tc>
        <w:tc>
          <w:tcPr>
            <w:tcW w:w="547" w:type="dxa"/>
            <w:tcBorders>
              <w:top w:val="single" w:sz="6" w:space="0" w:color="auto"/>
              <w:left w:val="single" w:sz="6" w:space="0" w:color="auto"/>
              <w:bottom w:val="single" w:sz="6" w:space="0" w:color="auto"/>
              <w:right w:val="single" w:sz="6" w:space="0" w:color="auto"/>
            </w:tcBorders>
          </w:tcPr>
          <w:p w14:paraId="351F388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490" w:type="dxa"/>
            <w:tcBorders>
              <w:top w:val="single" w:sz="6" w:space="0" w:color="auto"/>
              <w:left w:val="single" w:sz="6" w:space="0" w:color="auto"/>
              <w:bottom w:val="single" w:sz="6" w:space="0" w:color="auto"/>
              <w:right w:val="single" w:sz="6" w:space="0" w:color="auto"/>
            </w:tcBorders>
          </w:tcPr>
          <w:p w14:paraId="09C92E2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258" w:type="dxa"/>
            <w:tcBorders>
              <w:top w:val="single" w:sz="6" w:space="0" w:color="auto"/>
              <w:left w:val="single" w:sz="6" w:space="0" w:color="auto"/>
              <w:bottom w:val="single" w:sz="6" w:space="0" w:color="auto"/>
              <w:right w:val="single" w:sz="6" w:space="0" w:color="auto"/>
            </w:tcBorders>
          </w:tcPr>
          <w:p w14:paraId="05FB3E3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5966F728" w14:textId="77777777">
        <w:trPr>
          <w:trHeight w:val="182"/>
        </w:trPr>
        <w:tc>
          <w:tcPr>
            <w:tcW w:w="2707" w:type="dxa"/>
            <w:tcBorders>
              <w:top w:val="single" w:sz="6" w:space="0" w:color="auto"/>
              <w:left w:val="single" w:sz="6" w:space="0" w:color="auto"/>
              <w:bottom w:val="single" w:sz="6" w:space="0" w:color="auto"/>
              <w:right w:val="single" w:sz="6" w:space="0" w:color="auto"/>
            </w:tcBorders>
          </w:tcPr>
          <w:p w14:paraId="2C39E6F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12-й автобронедивизион БВО</w:t>
            </w:r>
          </w:p>
        </w:tc>
        <w:tc>
          <w:tcPr>
            <w:tcW w:w="422" w:type="dxa"/>
            <w:tcBorders>
              <w:top w:val="single" w:sz="6" w:space="0" w:color="auto"/>
              <w:left w:val="single" w:sz="6" w:space="0" w:color="auto"/>
              <w:bottom w:val="single" w:sz="6" w:space="0" w:color="auto"/>
              <w:right w:val="single" w:sz="6" w:space="0" w:color="auto"/>
            </w:tcBorders>
          </w:tcPr>
          <w:p w14:paraId="445DCDD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w:t>
            </w:r>
          </w:p>
        </w:tc>
        <w:tc>
          <w:tcPr>
            <w:tcW w:w="547" w:type="dxa"/>
            <w:tcBorders>
              <w:top w:val="single" w:sz="6" w:space="0" w:color="auto"/>
              <w:left w:val="single" w:sz="6" w:space="0" w:color="auto"/>
              <w:bottom w:val="single" w:sz="6" w:space="0" w:color="auto"/>
              <w:right w:val="single" w:sz="6" w:space="0" w:color="auto"/>
            </w:tcBorders>
          </w:tcPr>
          <w:p w14:paraId="5DAEC1F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490" w:type="dxa"/>
            <w:tcBorders>
              <w:top w:val="single" w:sz="6" w:space="0" w:color="auto"/>
              <w:left w:val="single" w:sz="6" w:space="0" w:color="auto"/>
              <w:bottom w:val="single" w:sz="6" w:space="0" w:color="auto"/>
              <w:right w:val="single" w:sz="6" w:space="0" w:color="auto"/>
            </w:tcBorders>
          </w:tcPr>
          <w:p w14:paraId="145318A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258" w:type="dxa"/>
            <w:tcBorders>
              <w:top w:val="single" w:sz="6" w:space="0" w:color="auto"/>
              <w:left w:val="single" w:sz="6" w:space="0" w:color="auto"/>
              <w:bottom w:val="single" w:sz="6" w:space="0" w:color="auto"/>
              <w:right w:val="single" w:sz="6" w:space="0" w:color="auto"/>
            </w:tcBorders>
          </w:tcPr>
          <w:p w14:paraId="52E5EAA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6EF221CA"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5E249D1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13-й автобронедивизион БВО</w:t>
            </w:r>
          </w:p>
        </w:tc>
        <w:tc>
          <w:tcPr>
            <w:tcW w:w="422" w:type="dxa"/>
            <w:tcBorders>
              <w:top w:val="single" w:sz="6" w:space="0" w:color="auto"/>
              <w:left w:val="single" w:sz="6" w:space="0" w:color="auto"/>
              <w:bottom w:val="single" w:sz="6" w:space="0" w:color="auto"/>
              <w:right w:val="single" w:sz="6" w:space="0" w:color="auto"/>
            </w:tcBorders>
          </w:tcPr>
          <w:p w14:paraId="3DAC245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w:t>
            </w:r>
          </w:p>
        </w:tc>
        <w:tc>
          <w:tcPr>
            <w:tcW w:w="547" w:type="dxa"/>
            <w:tcBorders>
              <w:top w:val="single" w:sz="6" w:space="0" w:color="auto"/>
              <w:left w:val="single" w:sz="6" w:space="0" w:color="auto"/>
              <w:bottom w:val="single" w:sz="6" w:space="0" w:color="auto"/>
              <w:right w:val="single" w:sz="6" w:space="0" w:color="auto"/>
            </w:tcBorders>
          </w:tcPr>
          <w:p w14:paraId="0FFC2B4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490" w:type="dxa"/>
            <w:tcBorders>
              <w:top w:val="single" w:sz="6" w:space="0" w:color="auto"/>
              <w:left w:val="single" w:sz="6" w:space="0" w:color="auto"/>
              <w:bottom w:val="single" w:sz="6" w:space="0" w:color="auto"/>
              <w:right w:val="single" w:sz="6" w:space="0" w:color="auto"/>
            </w:tcBorders>
          </w:tcPr>
          <w:p w14:paraId="58140ED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258" w:type="dxa"/>
            <w:tcBorders>
              <w:top w:val="single" w:sz="6" w:space="0" w:color="auto"/>
              <w:left w:val="single" w:sz="6" w:space="0" w:color="auto"/>
              <w:bottom w:val="single" w:sz="6" w:space="0" w:color="auto"/>
              <w:right w:val="single" w:sz="6" w:space="0" w:color="auto"/>
            </w:tcBorders>
          </w:tcPr>
          <w:p w14:paraId="1489363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09B0DFB3"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5A07309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Мотоотряд 1 1-й стрелковой дивизии ЛВО</w:t>
            </w:r>
          </w:p>
        </w:tc>
        <w:tc>
          <w:tcPr>
            <w:tcW w:w="422" w:type="dxa"/>
            <w:tcBorders>
              <w:top w:val="single" w:sz="6" w:space="0" w:color="auto"/>
              <w:left w:val="single" w:sz="6" w:space="0" w:color="auto"/>
              <w:bottom w:val="single" w:sz="6" w:space="0" w:color="auto"/>
              <w:right w:val="single" w:sz="6" w:space="0" w:color="auto"/>
            </w:tcBorders>
          </w:tcPr>
          <w:p w14:paraId="60E0654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w:t>
            </w:r>
          </w:p>
        </w:tc>
        <w:tc>
          <w:tcPr>
            <w:tcW w:w="547" w:type="dxa"/>
            <w:tcBorders>
              <w:top w:val="single" w:sz="6" w:space="0" w:color="auto"/>
              <w:left w:val="single" w:sz="6" w:space="0" w:color="auto"/>
              <w:bottom w:val="single" w:sz="6" w:space="0" w:color="auto"/>
              <w:right w:val="single" w:sz="6" w:space="0" w:color="auto"/>
            </w:tcBorders>
          </w:tcPr>
          <w:p w14:paraId="1B9A2CC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tc>
        <w:tc>
          <w:tcPr>
            <w:tcW w:w="490" w:type="dxa"/>
            <w:tcBorders>
              <w:top w:val="single" w:sz="6" w:space="0" w:color="auto"/>
              <w:left w:val="single" w:sz="6" w:space="0" w:color="auto"/>
              <w:bottom w:val="single" w:sz="6" w:space="0" w:color="auto"/>
              <w:right w:val="single" w:sz="6" w:space="0" w:color="auto"/>
            </w:tcBorders>
          </w:tcPr>
          <w:p w14:paraId="04B3F1C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258" w:type="dxa"/>
            <w:tcBorders>
              <w:top w:val="single" w:sz="6" w:space="0" w:color="auto"/>
              <w:left w:val="single" w:sz="6" w:space="0" w:color="auto"/>
              <w:bottom w:val="single" w:sz="6" w:space="0" w:color="auto"/>
              <w:right w:val="single" w:sz="6" w:space="0" w:color="auto"/>
            </w:tcBorders>
          </w:tcPr>
          <w:p w14:paraId="064E6CC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401931C3" w14:textId="77777777">
        <w:trPr>
          <w:trHeight w:val="355"/>
        </w:trPr>
        <w:tc>
          <w:tcPr>
            <w:tcW w:w="2707" w:type="dxa"/>
            <w:tcBorders>
              <w:top w:val="single" w:sz="6" w:space="0" w:color="auto"/>
              <w:left w:val="single" w:sz="6" w:space="0" w:color="auto"/>
              <w:bottom w:val="single" w:sz="6" w:space="0" w:color="auto"/>
              <w:right w:val="single" w:sz="6" w:space="0" w:color="auto"/>
            </w:tcBorders>
          </w:tcPr>
          <w:p w14:paraId="618286B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Мотоотряд Московской Пролетарской стрелковой дивизии МВО</w:t>
            </w:r>
          </w:p>
        </w:tc>
        <w:tc>
          <w:tcPr>
            <w:tcW w:w="422" w:type="dxa"/>
            <w:tcBorders>
              <w:top w:val="single" w:sz="6" w:space="0" w:color="auto"/>
              <w:left w:val="single" w:sz="6" w:space="0" w:color="auto"/>
              <w:bottom w:val="single" w:sz="6" w:space="0" w:color="auto"/>
              <w:right w:val="single" w:sz="6" w:space="0" w:color="auto"/>
            </w:tcBorders>
          </w:tcPr>
          <w:p w14:paraId="6777905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w:t>
            </w:r>
          </w:p>
        </w:tc>
        <w:tc>
          <w:tcPr>
            <w:tcW w:w="547" w:type="dxa"/>
            <w:tcBorders>
              <w:top w:val="single" w:sz="6" w:space="0" w:color="auto"/>
              <w:left w:val="single" w:sz="6" w:space="0" w:color="auto"/>
              <w:bottom w:val="single" w:sz="6" w:space="0" w:color="auto"/>
              <w:right w:val="single" w:sz="6" w:space="0" w:color="auto"/>
            </w:tcBorders>
          </w:tcPr>
          <w:p w14:paraId="70E8723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490" w:type="dxa"/>
            <w:tcBorders>
              <w:top w:val="single" w:sz="6" w:space="0" w:color="auto"/>
              <w:left w:val="single" w:sz="6" w:space="0" w:color="auto"/>
              <w:bottom w:val="single" w:sz="6" w:space="0" w:color="auto"/>
              <w:right w:val="single" w:sz="6" w:space="0" w:color="auto"/>
            </w:tcBorders>
          </w:tcPr>
          <w:p w14:paraId="20721B9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258" w:type="dxa"/>
            <w:tcBorders>
              <w:top w:val="single" w:sz="6" w:space="0" w:color="auto"/>
              <w:left w:val="single" w:sz="6" w:space="0" w:color="auto"/>
              <w:bottom w:val="single" w:sz="6" w:space="0" w:color="auto"/>
              <w:right w:val="single" w:sz="6" w:space="0" w:color="auto"/>
            </w:tcBorders>
          </w:tcPr>
          <w:p w14:paraId="549A576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7FB0E22D"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2196EA0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Мотоотряд 45-й стрелковой дивизии УВО</w:t>
            </w:r>
          </w:p>
        </w:tc>
        <w:tc>
          <w:tcPr>
            <w:tcW w:w="422" w:type="dxa"/>
            <w:tcBorders>
              <w:top w:val="single" w:sz="6" w:space="0" w:color="auto"/>
              <w:left w:val="single" w:sz="6" w:space="0" w:color="auto"/>
              <w:bottom w:val="single" w:sz="6" w:space="0" w:color="auto"/>
              <w:right w:val="single" w:sz="6" w:space="0" w:color="auto"/>
            </w:tcBorders>
          </w:tcPr>
          <w:p w14:paraId="359C960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w:t>
            </w:r>
          </w:p>
        </w:tc>
        <w:tc>
          <w:tcPr>
            <w:tcW w:w="547" w:type="dxa"/>
            <w:tcBorders>
              <w:top w:val="single" w:sz="6" w:space="0" w:color="auto"/>
              <w:left w:val="single" w:sz="6" w:space="0" w:color="auto"/>
              <w:bottom w:val="single" w:sz="6" w:space="0" w:color="auto"/>
              <w:right w:val="single" w:sz="6" w:space="0" w:color="auto"/>
            </w:tcBorders>
          </w:tcPr>
          <w:p w14:paraId="5334B76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tc>
        <w:tc>
          <w:tcPr>
            <w:tcW w:w="490" w:type="dxa"/>
            <w:tcBorders>
              <w:top w:val="single" w:sz="6" w:space="0" w:color="auto"/>
              <w:left w:val="single" w:sz="6" w:space="0" w:color="auto"/>
              <w:bottom w:val="single" w:sz="6" w:space="0" w:color="auto"/>
              <w:right w:val="single" w:sz="6" w:space="0" w:color="auto"/>
            </w:tcBorders>
          </w:tcPr>
          <w:p w14:paraId="286CC5F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258" w:type="dxa"/>
            <w:tcBorders>
              <w:top w:val="single" w:sz="6" w:space="0" w:color="auto"/>
              <w:left w:val="single" w:sz="6" w:space="0" w:color="auto"/>
              <w:bottom w:val="single" w:sz="6" w:space="0" w:color="auto"/>
              <w:right w:val="single" w:sz="6" w:space="0" w:color="auto"/>
            </w:tcBorders>
          </w:tcPr>
          <w:p w14:paraId="6FF406A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0FF55EA8"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3FE1D58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1-й полк мехбригады МВО</w:t>
            </w:r>
          </w:p>
        </w:tc>
        <w:tc>
          <w:tcPr>
            <w:tcW w:w="422" w:type="dxa"/>
            <w:tcBorders>
              <w:top w:val="single" w:sz="6" w:space="0" w:color="auto"/>
              <w:left w:val="single" w:sz="6" w:space="0" w:color="auto"/>
              <w:bottom w:val="single" w:sz="6" w:space="0" w:color="auto"/>
              <w:right w:val="single" w:sz="6" w:space="0" w:color="auto"/>
            </w:tcBorders>
          </w:tcPr>
          <w:p w14:paraId="55CA702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w:t>
            </w:r>
          </w:p>
        </w:tc>
        <w:tc>
          <w:tcPr>
            <w:tcW w:w="547" w:type="dxa"/>
            <w:tcBorders>
              <w:top w:val="single" w:sz="6" w:space="0" w:color="auto"/>
              <w:left w:val="single" w:sz="6" w:space="0" w:color="auto"/>
              <w:bottom w:val="single" w:sz="6" w:space="0" w:color="auto"/>
              <w:right w:val="single" w:sz="6" w:space="0" w:color="auto"/>
            </w:tcBorders>
          </w:tcPr>
          <w:p w14:paraId="523D00D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490" w:type="dxa"/>
            <w:tcBorders>
              <w:top w:val="single" w:sz="6" w:space="0" w:color="auto"/>
              <w:left w:val="single" w:sz="6" w:space="0" w:color="auto"/>
              <w:bottom w:val="single" w:sz="6" w:space="0" w:color="auto"/>
              <w:right w:val="single" w:sz="6" w:space="0" w:color="auto"/>
            </w:tcBorders>
          </w:tcPr>
          <w:p w14:paraId="0955802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258" w:type="dxa"/>
            <w:tcBorders>
              <w:top w:val="single" w:sz="6" w:space="0" w:color="auto"/>
              <w:left w:val="single" w:sz="6" w:space="0" w:color="auto"/>
              <w:bottom w:val="single" w:sz="6" w:space="0" w:color="auto"/>
              <w:right w:val="single" w:sz="6" w:space="0" w:color="auto"/>
            </w:tcBorders>
          </w:tcPr>
          <w:p w14:paraId="30217E4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4547820C" w14:textId="77777777">
        <w:trPr>
          <w:trHeight w:val="509"/>
        </w:trPr>
        <w:tc>
          <w:tcPr>
            <w:tcW w:w="2707" w:type="dxa"/>
            <w:tcBorders>
              <w:top w:val="single" w:sz="6" w:space="0" w:color="auto"/>
              <w:left w:val="single" w:sz="6" w:space="0" w:color="auto"/>
              <w:bottom w:val="single" w:sz="6" w:space="0" w:color="auto"/>
              <w:right w:val="single" w:sz="6" w:space="0" w:color="auto"/>
            </w:tcBorders>
          </w:tcPr>
          <w:p w14:paraId="533CFAB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Бронекомандные курсы ЛВО</w:t>
            </w:r>
          </w:p>
        </w:tc>
        <w:tc>
          <w:tcPr>
            <w:tcW w:w="422" w:type="dxa"/>
            <w:tcBorders>
              <w:top w:val="single" w:sz="6" w:space="0" w:color="auto"/>
              <w:left w:val="single" w:sz="6" w:space="0" w:color="auto"/>
              <w:bottom w:val="single" w:sz="6" w:space="0" w:color="auto"/>
              <w:right w:val="single" w:sz="6" w:space="0" w:color="auto"/>
            </w:tcBorders>
          </w:tcPr>
          <w:p w14:paraId="656C2F3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w:t>
            </w:r>
          </w:p>
        </w:tc>
        <w:tc>
          <w:tcPr>
            <w:tcW w:w="547" w:type="dxa"/>
            <w:tcBorders>
              <w:top w:val="single" w:sz="6" w:space="0" w:color="auto"/>
              <w:left w:val="single" w:sz="6" w:space="0" w:color="auto"/>
              <w:bottom w:val="single" w:sz="6" w:space="0" w:color="auto"/>
              <w:right w:val="single" w:sz="6" w:space="0" w:color="auto"/>
            </w:tcBorders>
          </w:tcPr>
          <w:p w14:paraId="025BB21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w:t>
            </w:r>
          </w:p>
        </w:tc>
        <w:tc>
          <w:tcPr>
            <w:tcW w:w="490" w:type="dxa"/>
            <w:tcBorders>
              <w:top w:val="single" w:sz="6" w:space="0" w:color="auto"/>
              <w:left w:val="single" w:sz="6" w:space="0" w:color="auto"/>
              <w:bottom w:val="single" w:sz="6" w:space="0" w:color="auto"/>
              <w:right w:val="single" w:sz="6" w:space="0" w:color="auto"/>
            </w:tcBorders>
          </w:tcPr>
          <w:p w14:paraId="12CCBC4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1258" w:type="dxa"/>
            <w:tcBorders>
              <w:top w:val="single" w:sz="6" w:space="0" w:color="auto"/>
              <w:left w:val="single" w:sz="6" w:space="0" w:color="auto"/>
              <w:bottom w:val="single" w:sz="6" w:space="0" w:color="auto"/>
              <w:right w:val="single" w:sz="6" w:space="0" w:color="auto"/>
            </w:tcBorders>
          </w:tcPr>
          <w:p w14:paraId="5360D7E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•Выдано 2 броне-шасси без кузовов, итого 15</w:t>
            </w:r>
          </w:p>
        </w:tc>
      </w:tr>
      <w:tr w:rsidR="007122AB" w:rsidRPr="005E779E" w14:paraId="36C49ABF"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6354EAF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Орловская танковая школа МВО</w:t>
            </w:r>
          </w:p>
        </w:tc>
        <w:tc>
          <w:tcPr>
            <w:tcW w:w="422" w:type="dxa"/>
            <w:tcBorders>
              <w:top w:val="single" w:sz="6" w:space="0" w:color="auto"/>
              <w:left w:val="single" w:sz="6" w:space="0" w:color="auto"/>
              <w:bottom w:val="single" w:sz="6" w:space="0" w:color="auto"/>
              <w:right w:val="single" w:sz="6" w:space="0" w:color="auto"/>
            </w:tcBorders>
          </w:tcPr>
          <w:p w14:paraId="4BC7C39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tc>
        <w:tc>
          <w:tcPr>
            <w:tcW w:w="547" w:type="dxa"/>
            <w:tcBorders>
              <w:top w:val="single" w:sz="6" w:space="0" w:color="auto"/>
              <w:left w:val="single" w:sz="6" w:space="0" w:color="auto"/>
              <w:bottom w:val="single" w:sz="6" w:space="0" w:color="auto"/>
              <w:right w:val="single" w:sz="6" w:space="0" w:color="auto"/>
            </w:tcBorders>
          </w:tcPr>
          <w:p w14:paraId="49A6CC2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490" w:type="dxa"/>
            <w:tcBorders>
              <w:top w:val="single" w:sz="6" w:space="0" w:color="auto"/>
              <w:left w:val="single" w:sz="6" w:space="0" w:color="auto"/>
              <w:bottom w:val="single" w:sz="6" w:space="0" w:color="auto"/>
              <w:right w:val="single" w:sz="6" w:space="0" w:color="auto"/>
            </w:tcBorders>
          </w:tcPr>
          <w:p w14:paraId="1EF391C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1258" w:type="dxa"/>
            <w:tcBorders>
              <w:top w:val="single" w:sz="6" w:space="0" w:color="auto"/>
              <w:left w:val="single" w:sz="6" w:space="0" w:color="auto"/>
              <w:bottom w:val="single" w:sz="6" w:space="0" w:color="auto"/>
              <w:right w:val="single" w:sz="6" w:space="0" w:color="auto"/>
            </w:tcBorders>
          </w:tcPr>
          <w:p w14:paraId="012D027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419848DD"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2F71737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Военно-техническая академия ЛВО</w:t>
            </w:r>
          </w:p>
        </w:tc>
        <w:tc>
          <w:tcPr>
            <w:tcW w:w="422" w:type="dxa"/>
            <w:tcBorders>
              <w:top w:val="single" w:sz="6" w:space="0" w:color="auto"/>
              <w:left w:val="single" w:sz="6" w:space="0" w:color="auto"/>
              <w:bottom w:val="single" w:sz="6" w:space="0" w:color="auto"/>
              <w:right w:val="single" w:sz="6" w:space="0" w:color="auto"/>
            </w:tcBorders>
          </w:tcPr>
          <w:p w14:paraId="2E679EF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w:t>
            </w:r>
          </w:p>
        </w:tc>
        <w:tc>
          <w:tcPr>
            <w:tcW w:w="547" w:type="dxa"/>
            <w:tcBorders>
              <w:top w:val="single" w:sz="6" w:space="0" w:color="auto"/>
              <w:left w:val="single" w:sz="6" w:space="0" w:color="auto"/>
              <w:bottom w:val="single" w:sz="6" w:space="0" w:color="auto"/>
              <w:right w:val="single" w:sz="6" w:space="0" w:color="auto"/>
            </w:tcBorders>
          </w:tcPr>
          <w:p w14:paraId="584ADB9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tc>
        <w:tc>
          <w:tcPr>
            <w:tcW w:w="490" w:type="dxa"/>
            <w:tcBorders>
              <w:top w:val="single" w:sz="6" w:space="0" w:color="auto"/>
              <w:left w:val="single" w:sz="6" w:space="0" w:color="auto"/>
              <w:bottom w:val="single" w:sz="6" w:space="0" w:color="auto"/>
              <w:right w:val="single" w:sz="6" w:space="0" w:color="auto"/>
            </w:tcBorders>
          </w:tcPr>
          <w:p w14:paraId="4AD7634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258" w:type="dxa"/>
            <w:tcBorders>
              <w:top w:val="single" w:sz="6" w:space="0" w:color="auto"/>
              <w:left w:val="single" w:sz="6" w:space="0" w:color="auto"/>
              <w:bottom w:val="single" w:sz="6" w:space="0" w:color="auto"/>
              <w:right w:val="single" w:sz="6" w:space="0" w:color="auto"/>
            </w:tcBorders>
          </w:tcPr>
          <w:p w14:paraId="4409A8A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0AE6775C"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0A302E9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Броневой эскадрон СКВО</w:t>
            </w:r>
          </w:p>
        </w:tc>
        <w:tc>
          <w:tcPr>
            <w:tcW w:w="422" w:type="dxa"/>
            <w:tcBorders>
              <w:top w:val="single" w:sz="6" w:space="0" w:color="auto"/>
              <w:left w:val="single" w:sz="6" w:space="0" w:color="auto"/>
              <w:bottom w:val="single" w:sz="6" w:space="0" w:color="auto"/>
              <w:right w:val="single" w:sz="6" w:space="0" w:color="auto"/>
            </w:tcBorders>
          </w:tcPr>
          <w:p w14:paraId="7578045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w:t>
            </w:r>
          </w:p>
        </w:tc>
        <w:tc>
          <w:tcPr>
            <w:tcW w:w="547" w:type="dxa"/>
            <w:tcBorders>
              <w:top w:val="single" w:sz="6" w:space="0" w:color="auto"/>
              <w:left w:val="single" w:sz="6" w:space="0" w:color="auto"/>
              <w:bottom w:val="single" w:sz="6" w:space="0" w:color="auto"/>
              <w:right w:val="single" w:sz="6" w:space="0" w:color="auto"/>
            </w:tcBorders>
          </w:tcPr>
          <w:p w14:paraId="184B3AE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490" w:type="dxa"/>
            <w:tcBorders>
              <w:top w:val="single" w:sz="6" w:space="0" w:color="auto"/>
              <w:left w:val="single" w:sz="6" w:space="0" w:color="auto"/>
              <w:bottom w:val="single" w:sz="6" w:space="0" w:color="auto"/>
              <w:right w:val="single" w:sz="6" w:space="0" w:color="auto"/>
            </w:tcBorders>
          </w:tcPr>
          <w:p w14:paraId="191F538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258" w:type="dxa"/>
            <w:tcBorders>
              <w:top w:val="single" w:sz="6" w:space="0" w:color="auto"/>
              <w:left w:val="single" w:sz="6" w:space="0" w:color="auto"/>
              <w:bottom w:val="single" w:sz="6" w:space="0" w:color="auto"/>
              <w:right w:val="single" w:sz="6" w:space="0" w:color="auto"/>
            </w:tcBorders>
          </w:tcPr>
          <w:p w14:paraId="61D386C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52D711AD"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467DA99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Отдельная бронерота ОКДВА</w:t>
            </w:r>
          </w:p>
        </w:tc>
        <w:tc>
          <w:tcPr>
            <w:tcW w:w="422" w:type="dxa"/>
            <w:tcBorders>
              <w:top w:val="single" w:sz="6" w:space="0" w:color="auto"/>
              <w:left w:val="single" w:sz="6" w:space="0" w:color="auto"/>
              <w:bottom w:val="single" w:sz="6" w:space="0" w:color="auto"/>
              <w:right w:val="single" w:sz="6" w:space="0" w:color="auto"/>
            </w:tcBorders>
          </w:tcPr>
          <w:p w14:paraId="5DDFBCE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w:t>
            </w:r>
          </w:p>
        </w:tc>
        <w:tc>
          <w:tcPr>
            <w:tcW w:w="547" w:type="dxa"/>
            <w:tcBorders>
              <w:top w:val="single" w:sz="6" w:space="0" w:color="auto"/>
              <w:left w:val="single" w:sz="6" w:space="0" w:color="auto"/>
              <w:bottom w:val="single" w:sz="6" w:space="0" w:color="auto"/>
              <w:right w:val="single" w:sz="6" w:space="0" w:color="auto"/>
            </w:tcBorders>
          </w:tcPr>
          <w:p w14:paraId="6B5FBD5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490" w:type="dxa"/>
            <w:tcBorders>
              <w:top w:val="single" w:sz="6" w:space="0" w:color="auto"/>
              <w:left w:val="single" w:sz="6" w:space="0" w:color="auto"/>
              <w:bottom w:val="single" w:sz="6" w:space="0" w:color="auto"/>
              <w:right w:val="single" w:sz="6" w:space="0" w:color="auto"/>
            </w:tcBorders>
          </w:tcPr>
          <w:p w14:paraId="52EFAC5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258" w:type="dxa"/>
            <w:tcBorders>
              <w:top w:val="single" w:sz="6" w:space="0" w:color="auto"/>
              <w:left w:val="single" w:sz="6" w:space="0" w:color="auto"/>
              <w:bottom w:val="single" w:sz="6" w:space="0" w:color="auto"/>
              <w:right w:val="single" w:sz="6" w:space="0" w:color="auto"/>
            </w:tcBorders>
          </w:tcPr>
          <w:p w14:paraId="4FB44C1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2C7A5AEB"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1FCDEA1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Командные курсы имени Каменева УВО</w:t>
            </w:r>
          </w:p>
        </w:tc>
        <w:tc>
          <w:tcPr>
            <w:tcW w:w="422" w:type="dxa"/>
            <w:tcBorders>
              <w:top w:val="single" w:sz="6" w:space="0" w:color="auto"/>
              <w:left w:val="single" w:sz="6" w:space="0" w:color="auto"/>
              <w:bottom w:val="single" w:sz="6" w:space="0" w:color="auto"/>
              <w:right w:val="single" w:sz="6" w:space="0" w:color="auto"/>
            </w:tcBorders>
          </w:tcPr>
          <w:p w14:paraId="399A892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547" w:type="dxa"/>
            <w:tcBorders>
              <w:top w:val="single" w:sz="6" w:space="0" w:color="auto"/>
              <w:left w:val="single" w:sz="6" w:space="0" w:color="auto"/>
              <w:bottom w:val="single" w:sz="6" w:space="0" w:color="auto"/>
              <w:right w:val="single" w:sz="6" w:space="0" w:color="auto"/>
            </w:tcBorders>
          </w:tcPr>
          <w:p w14:paraId="788CE00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490" w:type="dxa"/>
            <w:tcBorders>
              <w:top w:val="single" w:sz="6" w:space="0" w:color="auto"/>
              <w:left w:val="single" w:sz="6" w:space="0" w:color="auto"/>
              <w:bottom w:val="single" w:sz="6" w:space="0" w:color="auto"/>
              <w:right w:val="single" w:sz="6" w:space="0" w:color="auto"/>
            </w:tcBorders>
          </w:tcPr>
          <w:p w14:paraId="4F7C641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258" w:type="dxa"/>
            <w:tcBorders>
              <w:top w:val="single" w:sz="6" w:space="0" w:color="auto"/>
              <w:left w:val="single" w:sz="6" w:space="0" w:color="auto"/>
              <w:bottom w:val="single" w:sz="6" w:space="0" w:color="auto"/>
              <w:right w:val="single" w:sz="6" w:space="0" w:color="auto"/>
            </w:tcBorders>
          </w:tcPr>
          <w:p w14:paraId="7218622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3B169966"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6CFEC0C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Московская школа автотехников МВО</w:t>
            </w:r>
          </w:p>
        </w:tc>
        <w:tc>
          <w:tcPr>
            <w:tcW w:w="422" w:type="dxa"/>
            <w:tcBorders>
              <w:top w:val="single" w:sz="6" w:space="0" w:color="auto"/>
              <w:left w:val="single" w:sz="6" w:space="0" w:color="auto"/>
              <w:bottom w:val="single" w:sz="6" w:space="0" w:color="auto"/>
              <w:right w:val="single" w:sz="6" w:space="0" w:color="auto"/>
            </w:tcBorders>
          </w:tcPr>
          <w:p w14:paraId="0437C46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tc>
        <w:tc>
          <w:tcPr>
            <w:tcW w:w="547" w:type="dxa"/>
            <w:tcBorders>
              <w:top w:val="single" w:sz="6" w:space="0" w:color="auto"/>
              <w:left w:val="single" w:sz="6" w:space="0" w:color="auto"/>
              <w:bottom w:val="single" w:sz="6" w:space="0" w:color="auto"/>
              <w:right w:val="single" w:sz="6" w:space="0" w:color="auto"/>
            </w:tcBorders>
          </w:tcPr>
          <w:p w14:paraId="6A7773E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490" w:type="dxa"/>
            <w:tcBorders>
              <w:top w:val="single" w:sz="6" w:space="0" w:color="auto"/>
              <w:left w:val="single" w:sz="6" w:space="0" w:color="auto"/>
              <w:bottom w:val="single" w:sz="6" w:space="0" w:color="auto"/>
              <w:right w:val="single" w:sz="6" w:space="0" w:color="auto"/>
            </w:tcBorders>
          </w:tcPr>
          <w:p w14:paraId="03A6F4E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258" w:type="dxa"/>
            <w:tcBorders>
              <w:top w:val="single" w:sz="6" w:space="0" w:color="auto"/>
              <w:left w:val="single" w:sz="6" w:space="0" w:color="auto"/>
              <w:bottom w:val="single" w:sz="6" w:space="0" w:color="auto"/>
              <w:right w:val="single" w:sz="6" w:space="0" w:color="auto"/>
            </w:tcBorders>
          </w:tcPr>
          <w:p w14:paraId="370E4FC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2EC0BB5C" w14:textId="77777777">
        <w:trPr>
          <w:trHeight w:val="835"/>
        </w:trPr>
        <w:tc>
          <w:tcPr>
            <w:tcW w:w="2707" w:type="dxa"/>
            <w:tcBorders>
              <w:top w:val="single" w:sz="6" w:space="0" w:color="auto"/>
              <w:left w:val="single" w:sz="6" w:space="0" w:color="auto"/>
              <w:bottom w:val="single" w:sz="6" w:space="0" w:color="auto"/>
              <w:right w:val="single" w:sz="6" w:space="0" w:color="auto"/>
            </w:tcBorders>
          </w:tcPr>
          <w:p w14:paraId="6D07A25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Склад № 37</w:t>
            </w:r>
          </w:p>
        </w:tc>
        <w:tc>
          <w:tcPr>
            <w:tcW w:w="422" w:type="dxa"/>
            <w:tcBorders>
              <w:top w:val="single" w:sz="6" w:space="0" w:color="auto"/>
              <w:left w:val="single" w:sz="6" w:space="0" w:color="auto"/>
              <w:bottom w:val="single" w:sz="6" w:space="0" w:color="auto"/>
              <w:right w:val="single" w:sz="6" w:space="0" w:color="auto"/>
            </w:tcBorders>
          </w:tcPr>
          <w:p w14:paraId="58EAC31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w:t>
            </w:r>
          </w:p>
        </w:tc>
        <w:tc>
          <w:tcPr>
            <w:tcW w:w="547" w:type="dxa"/>
            <w:tcBorders>
              <w:top w:val="single" w:sz="6" w:space="0" w:color="auto"/>
              <w:left w:val="single" w:sz="6" w:space="0" w:color="auto"/>
              <w:bottom w:val="single" w:sz="6" w:space="0" w:color="auto"/>
              <w:right w:val="single" w:sz="6" w:space="0" w:color="auto"/>
            </w:tcBorders>
          </w:tcPr>
          <w:p w14:paraId="414BE05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49</w:t>
            </w:r>
          </w:p>
        </w:tc>
        <w:tc>
          <w:tcPr>
            <w:tcW w:w="490" w:type="dxa"/>
            <w:tcBorders>
              <w:top w:val="single" w:sz="6" w:space="0" w:color="auto"/>
              <w:left w:val="single" w:sz="6" w:space="0" w:color="auto"/>
              <w:bottom w:val="single" w:sz="6" w:space="0" w:color="auto"/>
              <w:right w:val="single" w:sz="6" w:space="0" w:color="auto"/>
            </w:tcBorders>
          </w:tcPr>
          <w:p w14:paraId="16E9406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37</w:t>
            </w:r>
          </w:p>
        </w:tc>
        <w:tc>
          <w:tcPr>
            <w:tcW w:w="1258" w:type="dxa"/>
            <w:tcBorders>
              <w:top w:val="single" w:sz="6" w:space="0" w:color="auto"/>
              <w:left w:val="single" w:sz="6" w:space="0" w:color="auto"/>
              <w:bottom w:val="single" w:sz="6" w:space="0" w:color="auto"/>
              <w:right w:val="single" w:sz="6" w:space="0" w:color="auto"/>
            </w:tcBorders>
          </w:tcPr>
          <w:p w14:paraId="0D591D2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 них на 5 машин наряды: ОГПУ - 3 шт. и 3-й автоброне</w:t>
            </w:r>
            <w:r w:rsidRPr="005E779E">
              <w:rPr>
                <w:rFonts w:ascii="Times New Roman" w:hAnsi="Times New Roman"/>
                <w:color w:val="000000" w:themeColor="text1"/>
                <w:sz w:val="16"/>
                <w:szCs w:val="16"/>
              </w:rPr>
              <w:softHyphen/>
              <w:t>дивизион — 2 шт.</w:t>
            </w:r>
          </w:p>
        </w:tc>
      </w:tr>
      <w:tr w:rsidR="007122AB" w:rsidRPr="005E779E" w14:paraId="30B49DEB"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32E08FD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 В ВОЙСКОВЫХ ЧАСТЯХ</w:t>
            </w:r>
          </w:p>
        </w:tc>
        <w:tc>
          <w:tcPr>
            <w:tcW w:w="422" w:type="dxa"/>
            <w:tcBorders>
              <w:top w:val="single" w:sz="6" w:space="0" w:color="auto"/>
              <w:left w:val="single" w:sz="6" w:space="0" w:color="auto"/>
              <w:bottom w:val="single" w:sz="6" w:space="0" w:color="auto"/>
              <w:right w:val="single" w:sz="6" w:space="0" w:color="auto"/>
            </w:tcBorders>
          </w:tcPr>
          <w:p w14:paraId="6BFBEA2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155</w:t>
            </w:r>
          </w:p>
        </w:tc>
        <w:tc>
          <w:tcPr>
            <w:tcW w:w="547" w:type="dxa"/>
            <w:tcBorders>
              <w:top w:val="single" w:sz="6" w:space="0" w:color="auto"/>
              <w:left w:val="single" w:sz="6" w:space="0" w:color="auto"/>
              <w:bottom w:val="single" w:sz="6" w:space="0" w:color="auto"/>
              <w:right w:val="single" w:sz="6" w:space="0" w:color="auto"/>
            </w:tcBorders>
          </w:tcPr>
          <w:p w14:paraId="3A529DF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73</w:t>
            </w:r>
          </w:p>
        </w:tc>
        <w:tc>
          <w:tcPr>
            <w:tcW w:w="490" w:type="dxa"/>
            <w:tcBorders>
              <w:top w:val="single" w:sz="6" w:space="0" w:color="auto"/>
              <w:left w:val="single" w:sz="6" w:space="0" w:color="auto"/>
              <w:bottom w:val="single" w:sz="6" w:space="0" w:color="auto"/>
              <w:right w:val="single" w:sz="6" w:space="0" w:color="auto"/>
            </w:tcBorders>
          </w:tcPr>
          <w:p w14:paraId="0E83688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258" w:type="dxa"/>
            <w:tcBorders>
              <w:top w:val="single" w:sz="6" w:space="0" w:color="auto"/>
              <w:left w:val="single" w:sz="6" w:space="0" w:color="auto"/>
              <w:bottom w:val="single" w:sz="6" w:space="0" w:color="auto"/>
              <w:right w:val="single" w:sz="6" w:space="0" w:color="auto"/>
            </w:tcBorders>
          </w:tcPr>
          <w:p w14:paraId="624CA07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5CE77BAE"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1C1B0C0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Числится за различными учреждениями:</w:t>
            </w:r>
          </w:p>
        </w:tc>
        <w:tc>
          <w:tcPr>
            <w:tcW w:w="422" w:type="dxa"/>
            <w:tcBorders>
              <w:top w:val="single" w:sz="6" w:space="0" w:color="auto"/>
              <w:left w:val="single" w:sz="6" w:space="0" w:color="auto"/>
              <w:bottom w:val="single" w:sz="6" w:space="0" w:color="auto"/>
              <w:right w:val="single" w:sz="6" w:space="0" w:color="auto"/>
            </w:tcBorders>
          </w:tcPr>
          <w:p w14:paraId="54AA13B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1BC3D1F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0" w:type="dxa"/>
            <w:tcBorders>
              <w:top w:val="single" w:sz="6" w:space="0" w:color="auto"/>
              <w:left w:val="single" w:sz="6" w:space="0" w:color="auto"/>
              <w:bottom w:val="single" w:sz="6" w:space="0" w:color="auto"/>
              <w:right w:val="single" w:sz="6" w:space="0" w:color="auto"/>
            </w:tcBorders>
          </w:tcPr>
          <w:p w14:paraId="4259B85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07016E0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0EABF632"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37809A5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Органы ОГПУ</w:t>
            </w:r>
          </w:p>
        </w:tc>
        <w:tc>
          <w:tcPr>
            <w:tcW w:w="422" w:type="dxa"/>
            <w:tcBorders>
              <w:top w:val="single" w:sz="6" w:space="0" w:color="auto"/>
              <w:left w:val="single" w:sz="6" w:space="0" w:color="auto"/>
              <w:bottom w:val="single" w:sz="6" w:space="0" w:color="auto"/>
              <w:right w:val="single" w:sz="6" w:space="0" w:color="auto"/>
            </w:tcBorders>
          </w:tcPr>
          <w:p w14:paraId="5BAD535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w:t>
            </w:r>
          </w:p>
        </w:tc>
        <w:tc>
          <w:tcPr>
            <w:tcW w:w="547" w:type="dxa"/>
            <w:tcBorders>
              <w:top w:val="single" w:sz="6" w:space="0" w:color="auto"/>
              <w:left w:val="single" w:sz="6" w:space="0" w:color="auto"/>
              <w:bottom w:val="single" w:sz="6" w:space="0" w:color="auto"/>
              <w:right w:val="single" w:sz="6" w:space="0" w:color="auto"/>
            </w:tcBorders>
          </w:tcPr>
          <w:p w14:paraId="2364289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I</w:t>
            </w:r>
          </w:p>
        </w:tc>
        <w:tc>
          <w:tcPr>
            <w:tcW w:w="490" w:type="dxa"/>
            <w:tcBorders>
              <w:top w:val="single" w:sz="6" w:space="0" w:color="auto"/>
              <w:left w:val="single" w:sz="6" w:space="0" w:color="auto"/>
              <w:bottom w:val="single" w:sz="6" w:space="0" w:color="auto"/>
              <w:right w:val="single" w:sz="6" w:space="0" w:color="auto"/>
            </w:tcBorders>
          </w:tcPr>
          <w:p w14:paraId="54763B3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1258" w:type="dxa"/>
            <w:tcBorders>
              <w:top w:val="single" w:sz="6" w:space="0" w:color="auto"/>
              <w:left w:val="single" w:sz="6" w:space="0" w:color="auto"/>
              <w:bottom w:val="single" w:sz="6" w:space="0" w:color="auto"/>
              <w:right w:val="single" w:sz="6" w:space="0" w:color="auto"/>
            </w:tcBorders>
          </w:tcPr>
          <w:p w14:paraId="56C996D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4F9D13E5"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761091F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Исключены из РККА</w:t>
            </w:r>
          </w:p>
        </w:tc>
        <w:tc>
          <w:tcPr>
            <w:tcW w:w="422" w:type="dxa"/>
            <w:tcBorders>
              <w:top w:val="single" w:sz="6" w:space="0" w:color="auto"/>
              <w:left w:val="single" w:sz="6" w:space="0" w:color="auto"/>
              <w:bottom w:val="single" w:sz="6" w:space="0" w:color="auto"/>
              <w:right w:val="single" w:sz="6" w:space="0" w:color="auto"/>
            </w:tcBorders>
          </w:tcPr>
          <w:p w14:paraId="74BC743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w:t>
            </w:r>
          </w:p>
        </w:tc>
        <w:tc>
          <w:tcPr>
            <w:tcW w:w="547" w:type="dxa"/>
            <w:tcBorders>
              <w:top w:val="single" w:sz="6" w:space="0" w:color="auto"/>
              <w:left w:val="single" w:sz="6" w:space="0" w:color="auto"/>
              <w:bottom w:val="single" w:sz="6" w:space="0" w:color="auto"/>
              <w:right w:val="single" w:sz="6" w:space="0" w:color="auto"/>
            </w:tcBorders>
          </w:tcPr>
          <w:p w14:paraId="7CC43B5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490" w:type="dxa"/>
            <w:tcBorders>
              <w:top w:val="single" w:sz="6" w:space="0" w:color="auto"/>
              <w:left w:val="single" w:sz="6" w:space="0" w:color="auto"/>
              <w:bottom w:val="single" w:sz="6" w:space="0" w:color="auto"/>
              <w:right w:val="single" w:sz="6" w:space="0" w:color="auto"/>
            </w:tcBorders>
          </w:tcPr>
          <w:p w14:paraId="0F24C00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258" w:type="dxa"/>
            <w:tcBorders>
              <w:top w:val="single" w:sz="6" w:space="0" w:color="auto"/>
              <w:left w:val="single" w:sz="6" w:space="0" w:color="auto"/>
              <w:bottom w:val="single" w:sz="6" w:space="0" w:color="auto"/>
              <w:right w:val="single" w:sz="6" w:space="0" w:color="auto"/>
            </w:tcBorders>
          </w:tcPr>
          <w:p w14:paraId="0FE7EDD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3FB37A29"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5811258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Московский областной совет ОСОАВИАХИМа</w:t>
            </w:r>
          </w:p>
        </w:tc>
        <w:tc>
          <w:tcPr>
            <w:tcW w:w="422" w:type="dxa"/>
            <w:tcBorders>
              <w:top w:val="single" w:sz="6" w:space="0" w:color="auto"/>
              <w:left w:val="single" w:sz="6" w:space="0" w:color="auto"/>
              <w:bottom w:val="single" w:sz="6" w:space="0" w:color="auto"/>
              <w:right w:val="single" w:sz="6" w:space="0" w:color="auto"/>
            </w:tcBorders>
          </w:tcPr>
          <w:p w14:paraId="24D8ECF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47" w:type="dxa"/>
            <w:tcBorders>
              <w:top w:val="single" w:sz="6" w:space="0" w:color="auto"/>
              <w:left w:val="single" w:sz="6" w:space="0" w:color="auto"/>
              <w:bottom w:val="single" w:sz="6" w:space="0" w:color="auto"/>
              <w:right w:val="single" w:sz="6" w:space="0" w:color="auto"/>
            </w:tcBorders>
          </w:tcPr>
          <w:p w14:paraId="310728B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490" w:type="dxa"/>
            <w:tcBorders>
              <w:top w:val="single" w:sz="6" w:space="0" w:color="auto"/>
              <w:left w:val="single" w:sz="6" w:space="0" w:color="auto"/>
              <w:bottom w:val="single" w:sz="6" w:space="0" w:color="auto"/>
              <w:right w:val="single" w:sz="6" w:space="0" w:color="auto"/>
            </w:tcBorders>
          </w:tcPr>
          <w:p w14:paraId="7AB24A7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258" w:type="dxa"/>
            <w:tcBorders>
              <w:top w:val="single" w:sz="6" w:space="0" w:color="auto"/>
              <w:left w:val="single" w:sz="6" w:space="0" w:color="auto"/>
              <w:bottom w:val="single" w:sz="6" w:space="0" w:color="auto"/>
              <w:right w:val="single" w:sz="6" w:space="0" w:color="auto"/>
            </w:tcBorders>
          </w:tcPr>
          <w:p w14:paraId="24DFFB2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72D4DD26"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6362530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Саратовский автодорожный институт</w:t>
            </w:r>
          </w:p>
        </w:tc>
        <w:tc>
          <w:tcPr>
            <w:tcW w:w="422" w:type="dxa"/>
            <w:tcBorders>
              <w:top w:val="single" w:sz="6" w:space="0" w:color="auto"/>
              <w:left w:val="single" w:sz="6" w:space="0" w:color="auto"/>
              <w:bottom w:val="single" w:sz="6" w:space="0" w:color="auto"/>
              <w:right w:val="single" w:sz="6" w:space="0" w:color="auto"/>
            </w:tcBorders>
          </w:tcPr>
          <w:p w14:paraId="4E1929F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47" w:type="dxa"/>
            <w:tcBorders>
              <w:top w:val="single" w:sz="6" w:space="0" w:color="auto"/>
              <w:left w:val="single" w:sz="6" w:space="0" w:color="auto"/>
              <w:bottom w:val="single" w:sz="6" w:space="0" w:color="auto"/>
              <w:right w:val="single" w:sz="6" w:space="0" w:color="auto"/>
            </w:tcBorders>
          </w:tcPr>
          <w:p w14:paraId="366B8F1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490" w:type="dxa"/>
            <w:tcBorders>
              <w:top w:val="single" w:sz="6" w:space="0" w:color="auto"/>
              <w:left w:val="single" w:sz="6" w:space="0" w:color="auto"/>
              <w:bottom w:val="single" w:sz="6" w:space="0" w:color="auto"/>
              <w:right w:val="single" w:sz="6" w:space="0" w:color="auto"/>
            </w:tcBorders>
          </w:tcPr>
          <w:p w14:paraId="575D658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258" w:type="dxa"/>
            <w:tcBorders>
              <w:top w:val="single" w:sz="6" w:space="0" w:color="auto"/>
              <w:left w:val="single" w:sz="6" w:space="0" w:color="auto"/>
              <w:bottom w:val="single" w:sz="6" w:space="0" w:color="auto"/>
              <w:right w:val="single" w:sz="6" w:space="0" w:color="auto"/>
            </w:tcBorders>
          </w:tcPr>
          <w:p w14:paraId="350DF09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507B9B8F" w14:textId="77777777">
        <w:trPr>
          <w:trHeight w:val="182"/>
        </w:trPr>
        <w:tc>
          <w:tcPr>
            <w:tcW w:w="2707" w:type="dxa"/>
            <w:tcBorders>
              <w:top w:val="single" w:sz="6" w:space="0" w:color="auto"/>
              <w:left w:val="single" w:sz="6" w:space="0" w:color="auto"/>
              <w:bottom w:val="single" w:sz="6" w:space="0" w:color="auto"/>
              <w:right w:val="single" w:sz="6" w:space="0" w:color="auto"/>
            </w:tcBorders>
          </w:tcPr>
          <w:p w14:paraId="6B34EF6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Московский парк культуры и отдыха</w:t>
            </w:r>
          </w:p>
        </w:tc>
        <w:tc>
          <w:tcPr>
            <w:tcW w:w="422" w:type="dxa"/>
            <w:tcBorders>
              <w:top w:val="single" w:sz="6" w:space="0" w:color="auto"/>
              <w:left w:val="single" w:sz="6" w:space="0" w:color="auto"/>
              <w:bottom w:val="single" w:sz="6" w:space="0" w:color="auto"/>
              <w:right w:val="single" w:sz="6" w:space="0" w:color="auto"/>
            </w:tcBorders>
          </w:tcPr>
          <w:p w14:paraId="68D0C17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47" w:type="dxa"/>
            <w:tcBorders>
              <w:top w:val="single" w:sz="6" w:space="0" w:color="auto"/>
              <w:left w:val="single" w:sz="6" w:space="0" w:color="auto"/>
              <w:bottom w:val="single" w:sz="6" w:space="0" w:color="auto"/>
              <w:right w:val="single" w:sz="6" w:space="0" w:color="auto"/>
            </w:tcBorders>
          </w:tcPr>
          <w:p w14:paraId="2B99FE7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490" w:type="dxa"/>
            <w:tcBorders>
              <w:top w:val="single" w:sz="6" w:space="0" w:color="auto"/>
              <w:left w:val="single" w:sz="6" w:space="0" w:color="auto"/>
              <w:bottom w:val="single" w:sz="6" w:space="0" w:color="auto"/>
              <w:right w:val="single" w:sz="6" w:space="0" w:color="auto"/>
            </w:tcBorders>
          </w:tcPr>
          <w:p w14:paraId="4DC4031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258" w:type="dxa"/>
            <w:tcBorders>
              <w:top w:val="single" w:sz="6" w:space="0" w:color="auto"/>
              <w:left w:val="single" w:sz="6" w:space="0" w:color="auto"/>
              <w:bottom w:val="single" w:sz="6" w:space="0" w:color="auto"/>
              <w:right w:val="single" w:sz="6" w:space="0" w:color="auto"/>
            </w:tcBorders>
          </w:tcPr>
          <w:p w14:paraId="73B70D0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5A2CF0F0"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310BAAD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Ленинградский автодорожный институт</w:t>
            </w:r>
          </w:p>
        </w:tc>
        <w:tc>
          <w:tcPr>
            <w:tcW w:w="422" w:type="dxa"/>
            <w:tcBorders>
              <w:top w:val="single" w:sz="6" w:space="0" w:color="auto"/>
              <w:left w:val="single" w:sz="6" w:space="0" w:color="auto"/>
              <w:bottom w:val="single" w:sz="6" w:space="0" w:color="auto"/>
              <w:right w:val="single" w:sz="6" w:space="0" w:color="auto"/>
            </w:tcBorders>
          </w:tcPr>
          <w:p w14:paraId="27A6F26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47" w:type="dxa"/>
            <w:tcBorders>
              <w:top w:val="single" w:sz="6" w:space="0" w:color="auto"/>
              <w:left w:val="single" w:sz="6" w:space="0" w:color="auto"/>
              <w:bottom w:val="single" w:sz="6" w:space="0" w:color="auto"/>
              <w:right w:val="single" w:sz="6" w:space="0" w:color="auto"/>
            </w:tcBorders>
          </w:tcPr>
          <w:p w14:paraId="4AADEE2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490" w:type="dxa"/>
            <w:tcBorders>
              <w:top w:val="single" w:sz="6" w:space="0" w:color="auto"/>
              <w:left w:val="single" w:sz="6" w:space="0" w:color="auto"/>
              <w:bottom w:val="single" w:sz="6" w:space="0" w:color="auto"/>
              <w:right w:val="single" w:sz="6" w:space="0" w:color="auto"/>
            </w:tcBorders>
          </w:tcPr>
          <w:p w14:paraId="0D96F3E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1258" w:type="dxa"/>
            <w:tcBorders>
              <w:top w:val="single" w:sz="6" w:space="0" w:color="auto"/>
              <w:left w:val="single" w:sz="6" w:space="0" w:color="auto"/>
              <w:bottom w:val="single" w:sz="6" w:space="0" w:color="auto"/>
              <w:right w:val="single" w:sz="6" w:space="0" w:color="auto"/>
            </w:tcBorders>
          </w:tcPr>
          <w:p w14:paraId="7317268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5620A363"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09240B8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Ростовский автодорожный институт</w:t>
            </w:r>
          </w:p>
        </w:tc>
        <w:tc>
          <w:tcPr>
            <w:tcW w:w="422" w:type="dxa"/>
            <w:tcBorders>
              <w:top w:val="single" w:sz="6" w:space="0" w:color="auto"/>
              <w:left w:val="single" w:sz="6" w:space="0" w:color="auto"/>
              <w:bottom w:val="single" w:sz="6" w:space="0" w:color="auto"/>
              <w:right w:val="single" w:sz="6" w:space="0" w:color="auto"/>
            </w:tcBorders>
          </w:tcPr>
          <w:p w14:paraId="46DAA91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47" w:type="dxa"/>
            <w:tcBorders>
              <w:top w:val="single" w:sz="6" w:space="0" w:color="auto"/>
              <w:left w:val="single" w:sz="6" w:space="0" w:color="auto"/>
              <w:bottom w:val="single" w:sz="6" w:space="0" w:color="auto"/>
              <w:right w:val="single" w:sz="6" w:space="0" w:color="auto"/>
            </w:tcBorders>
          </w:tcPr>
          <w:p w14:paraId="4D966F1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490" w:type="dxa"/>
            <w:tcBorders>
              <w:top w:val="single" w:sz="6" w:space="0" w:color="auto"/>
              <w:left w:val="single" w:sz="6" w:space="0" w:color="auto"/>
              <w:bottom w:val="single" w:sz="6" w:space="0" w:color="auto"/>
              <w:right w:val="single" w:sz="6" w:space="0" w:color="auto"/>
            </w:tcBorders>
          </w:tcPr>
          <w:p w14:paraId="1F2F952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1258" w:type="dxa"/>
            <w:tcBorders>
              <w:top w:val="single" w:sz="6" w:space="0" w:color="auto"/>
              <w:left w:val="single" w:sz="6" w:space="0" w:color="auto"/>
              <w:bottom w:val="single" w:sz="6" w:space="0" w:color="auto"/>
              <w:right w:val="single" w:sz="6" w:space="0" w:color="auto"/>
            </w:tcBorders>
          </w:tcPr>
          <w:p w14:paraId="7F78BE1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18880C98"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3D28E7B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Ленинградский автодорожный институт</w:t>
            </w:r>
          </w:p>
        </w:tc>
        <w:tc>
          <w:tcPr>
            <w:tcW w:w="422" w:type="dxa"/>
            <w:tcBorders>
              <w:top w:val="single" w:sz="6" w:space="0" w:color="auto"/>
              <w:left w:val="single" w:sz="6" w:space="0" w:color="auto"/>
              <w:bottom w:val="single" w:sz="6" w:space="0" w:color="auto"/>
              <w:right w:val="single" w:sz="6" w:space="0" w:color="auto"/>
            </w:tcBorders>
          </w:tcPr>
          <w:p w14:paraId="654DBCF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47" w:type="dxa"/>
            <w:tcBorders>
              <w:top w:val="single" w:sz="6" w:space="0" w:color="auto"/>
              <w:left w:val="single" w:sz="6" w:space="0" w:color="auto"/>
              <w:bottom w:val="single" w:sz="6" w:space="0" w:color="auto"/>
              <w:right w:val="single" w:sz="6" w:space="0" w:color="auto"/>
            </w:tcBorders>
          </w:tcPr>
          <w:p w14:paraId="7256D14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490" w:type="dxa"/>
            <w:tcBorders>
              <w:top w:val="single" w:sz="6" w:space="0" w:color="auto"/>
              <w:left w:val="single" w:sz="6" w:space="0" w:color="auto"/>
              <w:bottom w:val="single" w:sz="6" w:space="0" w:color="auto"/>
              <w:right w:val="single" w:sz="6" w:space="0" w:color="auto"/>
            </w:tcBorders>
          </w:tcPr>
          <w:p w14:paraId="07A8700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1258" w:type="dxa"/>
            <w:tcBorders>
              <w:top w:val="single" w:sz="6" w:space="0" w:color="auto"/>
              <w:left w:val="single" w:sz="6" w:space="0" w:color="auto"/>
              <w:bottom w:val="single" w:sz="6" w:space="0" w:color="auto"/>
              <w:right w:val="single" w:sz="6" w:space="0" w:color="auto"/>
            </w:tcBorders>
          </w:tcPr>
          <w:p w14:paraId="63DFB74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3AB768EF"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3657F43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 за учреждениями</w:t>
            </w:r>
          </w:p>
        </w:tc>
        <w:tc>
          <w:tcPr>
            <w:tcW w:w="422" w:type="dxa"/>
            <w:tcBorders>
              <w:top w:val="single" w:sz="6" w:space="0" w:color="auto"/>
              <w:left w:val="single" w:sz="6" w:space="0" w:color="auto"/>
              <w:bottom w:val="single" w:sz="6" w:space="0" w:color="auto"/>
              <w:right w:val="single" w:sz="6" w:space="0" w:color="auto"/>
            </w:tcBorders>
          </w:tcPr>
          <w:p w14:paraId="6740C96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w:t>
            </w:r>
          </w:p>
        </w:tc>
        <w:tc>
          <w:tcPr>
            <w:tcW w:w="547" w:type="dxa"/>
            <w:tcBorders>
              <w:top w:val="single" w:sz="6" w:space="0" w:color="auto"/>
              <w:left w:val="single" w:sz="6" w:space="0" w:color="auto"/>
              <w:bottom w:val="single" w:sz="6" w:space="0" w:color="auto"/>
              <w:right w:val="single" w:sz="6" w:space="0" w:color="auto"/>
            </w:tcBorders>
          </w:tcPr>
          <w:p w14:paraId="3B7A818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w:t>
            </w:r>
          </w:p>
        </w:tc>
        <w:tc>
          <w:tcPr>
            <w:tcW w:w="490" w:type="dxa"/>
            <w:tcBorders>
              <w:top w:val="single" w:sz="6" w:space="0" w:color="auto"/>
              <w:left w:val="single" w:sz="6" w:space="0" w:color="auto"/>
              <w:bottom w:val="single" w:sz="6" w:space="0" w:color="auto"/>
              <w:right w:val="single" w:sz="6" w:space="0" w:color="auto"/>
            </w:tcBorders>
          </w:tcPr>
          <w:p w14:paraId="65C8ECF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w:t>
            </w:r>
          </w:p>
        </w:tc>
        <w:tc>
          <w:tcPr>
            <w:tcW w:w="1258" w:type="dxa"/>
            <w:tcBorders>
              <w:top w:val="single" w:sz="6" w:space="0" w:color="auto"/>
              <w:left w:val="single" w:sz="6" w:space="0" w:color="auto"/>
              <w:bottom w:val="single" w:sz="6" w:space="0" w:color="auto"/>
              <w:right w:val="single" w:sz="6" w:space="0" w:color="auto"/>
            </w:tcBorders>
          </w:tcPr>
          <w:p w14:paraId="6837AB6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02769829"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29415C7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w:t>
            </w:r>
          </w:p>
        </w:tc>
        <w:tc>
          <w:tcPr>
            <w:tcW w:w="422" w:type="dxa"/>
            <w:tcBorders>
              <w:top w:val="single" w:sz="6" w:space="0" w:color="auto"/>
              <w:left w:val="single" w:sz="6" w:space="0" w:color="auto"/>
              <w:bottom w:val="single" w:sz="6" w:space="0" w:color="auto"/>
              <w:right w:val="single" w:sz="6" w:space="0" w:color="auto"/>
            </w:tcBorders>
          </w:tcPr>
          <w:p w14:paraId="4B85DBB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186</w:t>
            </w:r>
          </w:p>
        </w:tc>
        <w:tc>
          <w:tcPr>
            <w:tcW w:w="547" w:type="dxa"/>
            <w:tcBorders>
              <w:top w:val="single" w:sz="6" w:space="0" w:color="auto"/>
              <w:left w:val="single" w:sz="6" w:space="0" w:color="auto"/>
              <w:bottom w:val="single" w:sz="6" w:space="0" w:color="auto"/>
              <w:right w:val="single" w:sz="6" w:space="0" w:color="auto"/>
            </w:tcBorders>
          </w:tcPr>
          <w:p w14:paraId="694AA6B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78</w:t>
            </w:r>
          </w:p>
        </w:tc>
        <w:tc>
          <w:tcPr>
            <w:tcW w:w="490" w:type="dxa"/>
            <w:tcBorders>
              <w:top w:val="single" w:sz="6" w:space="0" w:color="auto"/>
              <w:left w:val="single" w:sz="6" w:space="0" w:color="auto"/>
              <w:bottom w:val="single" w:sz="6" w:space="0" w:color="auto"/>
              <w:right w:val="single" w:sz="6" w:space="0" w:color="auto"/>
            </w:tcBorders>
          </w:tcPr>
          <w:p w14:paraId="6FEA8CE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44</w:t>
            </w:r>
          </w:p>
        </w:tc>
        <w:tc>
          <w:tcPr>
            <w:tcW w:w="1258" w:type="dxa"/>
            <w:tcBorders>
              <w:top w:val="single" w:sz="6" w:space="0" w:color="auto"/>
              <w:left w:val="single" w:sz="6" w:space="0" w:color="auto"/>
              <w:bottom w:val="single" w:sz="6" w:space="0" w:color="auto"/>
              <w:right w:val="single" w:sz="6" w:space="0" w:color="auto"/>
            </w:tcBorders>
          </w:tcPr>
          <w:p w14:paraId="142C4C4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21D78402" w14:textId="77777777">
        <w:trPr>
          <w:trHeight w:val="413"/>
        </w:trPr>
        <w:tc>
          <w:tcPr>
            <w:tcW w:w="5424" w:type="dxa"/>
            <w:gridSpan w:val="5"/>
            <w:tcBorders>
              <w:top w:val="single" w:sz="6" w:space="0" w:color="auto"/>
              <w:left w:val="single" w:sz="6" w:space="0" w:color="auto"/>
              <w:bottom w:val="single" w:sz="6" w:space="0" w:color="auto"/>
              <w:right w:val="single" w:sz="6" w:space="0" w:color="auto"/>
            </w:tcBorders>
          </w:tcPr>
          <w:p w14:paraId="1AB80D0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3F0046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3 машины дано разрешение на передачу 2-му пшку бронепоездов Таблица составлена по данным: РГВА, ф. 31811, он. 1, (}. 143, я. 14 (11284).</w:t>
      </w:r>
    </w:p>
    <w:p w14:paraId="09E524A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76B615" w14:textId="77777777" w:rsidR="003E34FF" w:rsidRPr="00142305" w:rsidRDefault="003E34FF" w:rsidP="003E34F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1 марта 1931 года в РККА числилось уже 78 «остинов» на колесном ходу (один броне</w:t>
      </w:r>
      <w:r w:rsidRPr="00142305">
        <w:rPr>
          <w:rFonts w:ascii="Times New Roman" w:hAnsi="Times New Roman"/>
          <w:color w:val="0070C0"/>
          <w:sz w:val="16"/>
          <w:szCs w:val="16"/>
        </w:rPr>
        <w:softHyphen/>
        <w:t>вик списали) и 4 «Кегресса», которые нахо</w:t>
      </w:r>
      <w:r w:rsidRPr="00142305">
        <w:rPr>
          <w:rFonts w:ascii="Times New Roman" w:hAnsi="Times New Roman"/>
          <w:color w:val="0070C0"/>
          <w:sz w:val="16"/>
          <w:szCs w:val="16"/>
        </w:rPr>
        <w:softHyphen/>
        <w:t>дились в следующих частях и учреждениях: 1-й автобронедивизион Кавказской Красноз</w:t>
      </w:r>
      <w:r w:rsidRPr="00142305">
        <w:rPr>
          <w:rFonts w:ascii="Times New Roman" w:hAnsi="Times New Roman"/>
          <w:color w:val="0070C0"/>
          <w:sz w:val="16"/>
          <w:szCs w:val="16"/>
        </w:rPr>
        <w:softHyphen/>
        <w:t>наменной армии - 12 (там же 12 БА-27), мо</w:t>
      </w:r>
      <w:r w:rsidRPr="00142305">
        <w:rPr>
          <w:rFonts w:ascii="Times New Roman" w:hAnsi="Times New Roman"/>
          <w:color w:val="0070C0"/>
          <w:sz w:val="16"/>
          <w:szCs w:val="16"/>
        </w:rPr>
        <w:softHyphen/>
        <w:t>тоотряд 11-й стрелковой дивизии (МВО) - 3 (там же 12 БА-27), мотоотряд 45-й стрел</w:t>
      </w:r>
      <w:r w:rsidRPr="00142305">
        <w:rPr>
          <w:rFonts w:ascii="Times New Roman" w:hAnsi="Times New Roman"/>
          <w:color w:val="0070C0"/>
          <w:sz w:val="16"/>
          <w:szCs w:val="16"/>
        </w:rPr>
        <w:softHyphen/>
        <w:t>ковой дивизии (УВО) - 3 (там же 12 БА-27), бронекомандные курсы (ЛВО) - 4 (из них на три машины дано разрешение на передачу 2-му полку бронепоездов), Орловская тан</w:t>
      </w:r>
      <w:r w:rsidRPr="00142305">
        <w:rPr>
          <w:rFonts w:ascii="Times New Roman" w:hAnsi="Times New Roman"/>
          <w:color w:val="0070C0"/>
          <w:sz w:val="16"/>
          <w:szCs w:val="16"/>
        </w:rPr>
        <w:softHyphen/>
        <w:t>ковая школа (МВО) - 1, Военно-техническая академия (ЛВО) - 1, военный склад № 37-49 обычных и 4 «Кегресса», в частях ОГПУ - 1, Московский областной совет ОСОАВИАХИ- Ма - 2, Саратовский автодорожный инсти</w:t>
      </w:r>
      <w:r w:rsidRPr="00142305">
        <w:rPr>
          <w:rFonts w:ascii="Times New Roman" w:hAnsi="Times New Roman"/>
          <w:color w:val="0070C0"/>
          <w:sz w:val="16"/>
          <w:szCs w:val="16"/>
        </w:rPr>
        <w:softHyphen/>
        <w:t>тут - 1, парк культуры и отдыха - 1. Таким образом, из 82 броневиков 77 находились в военных организациях и 5 - в гражданских учреждениях. В последующие два года все броневики «Остин» были частично разброни</w:t>
      </w:r>
      <w:r w:rsidRPr="00142305">
        <w:rPr>
          <w:rFonts w:ascii="Times New Roman" w:hAnsi="Times New Roman"/>
          <w:color w:val="0070C0"/>
          <w:sz w:val="16"/>
          <w:szCs w:val="16"/>
        </w:rPr>
        <w:softHyphen/>
        <w:t>рованы, частично переданы в учебные учреж</w:t>
      </w:r>
      <w:r w:rsidRPr="00142305">
        <w:rPr>
          <w:rFonts w:ascii="Times New Roman" w:hAnsi="Times New Roman"/>
          <w:color w:val="0070C0"/>
          <w:sz w:val="16"/>
          <w:szCs w:val="16"/>
        </w:rPr>
        <w:softHyphen/>
        <w:t>дения и ОСОАВИАХИМ. Их почти 20-летняя служба завершилась (25008).</w:t>
      </w:r>
    </w:p>
    <w:p w14:paraId="75341F43" w14:textId="77777777" w:rsidR="003E34FF" w:rsidRPr="00142305" w:rsidRDefault="003E34FF" w:rsidP="003E34FF">
      <w:pPr>
        <w:spacing w:after="0" w:line="240" w:lineRule="auto"/>
        <w:jc w:val="both"/>
        <w:rPr>
          <w:rFonts w:ascii="Times New Roman" w:hAnsi="Times New Roman"/>
          <w:color w:val="0070C0"/>
          <w:sz w:val="16"/>
          <w:szCs w:val="16"/>
        </w:rPr>
      </w:pPr>
    </w:p>
    <w:p w14:paraId="36BB0616"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3FE54C6A"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AB150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марта 1931 Начался судебный процесс по делу "Союзного бюро ЦК РСДРП(м)" (10687).</w:t>
      </w:r>
    </w:p>
    <w:p w14:paraId="5F77AC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D3242B1" w14:textId="77777777" w:rsidR="00B03615" w:rsidRPr="005E779E" w:rsidRDefault="00B0361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марта. Начался процесс "Союзного бюро" Ц.К. меньшевиков, возглавлявшегося Громаном, Сухановым, Шером и рядом их помощников. Всего судили 14 человек. Подрывная деятельность, связь с зарубежными русскими организациями и так далее. Все признали свою вину, получили разные сроки, никого не расстреляли (12629).</w:t>
      </w:r>
    </w:p>
    <w:p w14:paraId="5C35290F" w14:textId="77777777" w:rsidR="00B03615" w:rsidRPr="005E779E" w:rsidRDefault="00B03615"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E751D74" w14:textId="77777777" w:rsidR="00EE45A6" w:rsidRPr="005E779E" w:rsidRDefault="00EE45A6"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 по 9 марта 1931 шел процесс Союзного бюро меньшевиков (1348,119). Целью было доказать, что меньшевики в контрреволюционных целях пролезли в руководство и захватили важные гос. посты, дублируя ВСНХ, Госбанк, Госплан, Наркомторг (3240).</w:t>
      </w:r>
    </w:p>
    <w:p w14:paraId="6DF7F8C1" w14:textId="77777777" w:rsidR="00EE45A6" w:rsidRPr="005E779E" w:rsidRDefault="00EE45A6" w:rsidP="000B7A6C">
      <w:pPr>
        <w:autoSpaceDE w:val="0"/>
        <w:autoSpaceDN w:val="0"/>
        <w:adjustRightInd w:val="0"/>
        <w:spacing w:after="0" w:line="240" w:lineRule="auto"/>
        <w:jc w:val="both"/>
        <w:rPr>
          <w:rFonts w:ascii="Times New Roman" w:hAnsi="Times New Roman"/>
          <w:color w:val="000000" w:themeColor="text1"/>
          <w:sz w:val="16"/>
          <w:szCs w:val="16"/>
        </w:rPr>
      </w:pPr>
    </w:p>
    <w:p w14:paraId="5D0EE9A4" w14:textId="77777777" w:rsidR="00EE45A6" w:rsidRPr="005E779E" w:rsidRDefault="00EE45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1 марта</w:t>
      </w:r>
      <w:r w:rsidRPr="005E779E">
        <w:rPr>
          <w:rFonts w:ascii="Times New Roman" w:hAnsi="Times New Roman"/>
          <w:color w:val="000000" w:themeColor="text1"/>
          <w:sz w:val="16"/>
          <w:szCs w:val="16"/>
        </w:rPr>
        <w:t xml:space="preserve"> в 1931 году в Москве начинается открытый судебный процесс над лидерами меньшевиков (15055).</w:t>
      </w:r>
    </w:p>
    <w:p w14:paraId="20261737" w14:textId="77777777" w:rsidR="00EE45A6" w:rsidRPr="005E779E" w:rsidRDefault="00EE45A6" w:rsidP="000B7A6C">
      <w:pPr>
        <w:spacing w:after="0" w:line="240" w:lineRule="auto"/>
        <w:jc w:val="both"/>
        <w:rPr>
          <w:rFonts w:ascii="Times New Roman" w:hAnsi="Times New Roman"/>
          <w:color w:val="000000" w:themeColor="text1"/>
          <w:sz w:val="16"/>
          <w:szCs w:val="16"/>
        </w:rPr>
      </w:pPr>
    </w:p>
    <w:p w14:paraId="70555C43" w14:textId="77777777" w:rsidR="00EE45A6" w:rsidRPr="005E779E" w:rsidRDefault="00EE45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 по 9 марта 1931 г. проходил очередной публичный процесс. На этот раз на скамье подсудимых: оказались 14 человек из "Союзного бюро ЦК меньшевиков". Они выслушивали набор тех же обвинений: от развала советской экономики до установления связи с правительствами империалистических держав. Среди тех, кто проходил по этому процессу, оказались член президиума Госплана В. Г. Громан, известный эконо-мист и журналист Н. Н. Суханов, член правления Госбанка СССР В. В. Шер и другие специалисты. Все они признали себя виновными и получили от 3 до 10 лет лишения свободы.</w:t>
      </w:r>
    </w:p>
    <w:p w14:paraId="15C17AE4" w14:textId="77777777" w:rsidR="00EE45A6" w:rsidRPr="005E779E" w:rsidRDefault="00EE45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Обвиняемые на публичных процессах 1928-1931 гг. представляли только верхушку внушитель-ной пирамиды из многих сотен арестованных в те годы по "вредительским" делам. Только в 1931 г. во внесудебном порядке на Особом совещании ОГПУ и его коллегии были рассмотрены дела в отношении почти 2,5 тыс. человек: профессоров, инженеров, экономистов, агрономов и служащих. "Вредительство" в широких масштабах обнаруживалось в лесоводстве, микробиологии, горном деле, мелиорации и т. д. (18527).</w:t>
      </w:r>
    </w:p>
    <w:p w14:paraId="3A943CBE" w14:textId="77777777" w:rsidR="00EE45A6" w:rsidRPr="005E779E" w:rsidRDefault="00EE45A6" w:rsidP="000B7A6C">
      <w:pPr>
        <w:spacing w:after="0" w:line="240" w:lineRule="auto"/>
        <w:jc w:val="both"/>
        <w:rPr>
          <w:rFonts w:ascii="Times New Roman" w:hAnsi="Times New Roman"/>
          <w:color w:val="000000" w:themeColor="text1"/>
          <w:sz w:val="16"/>
          <w:szCs w:val="16"/>
        </w:rPr>
      </w:pPr>
    </w:p>
    <w:p w14:paraId="63EB1C8A"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lang w:val="en-US"/>
        </w:rPr>
      </w:pPr>
      <w:r w:rsidRPr="005E779E">
        <w:rPr>
          <w:rFonts w:ascii="Times New Roman" w:hAnsi="Times New Roman"/>
          <w:i/>
          <w:iCs/>
          <w:color w:val="000000" w:themeColor="text1"/>
          <w:sz w:val="16"/>
          <w:szCs w:val="16"/>
        </w:rPr>
        <w:t>За</w:t>
      </w:r>
      <w:r w:rsidRPr="005E779E">
        <w:rPr>
          <w:rFonts w:ascii="Times New Roman" w:hAnsi="Times New Roman"/>
          <w:i/>
          <w:iCs/>
          <w:color w:val="000000" w:themeColor="text1"/>
          <w:sz w:val="16"/>
          <w:szCs w:val="16"/>
          <w:lang w:val="en-US"/>
        </w:rPr>
        <w:t xml:space="preserve"> </w:t>
      </w:r>
      <w:r w:rsidRPr="005E779E">
        <w:rPr>
          <w:rFonts w:ascii="Times New Roman" w:hAnsi="Times New Roman"/>
          <w:i/>
          <w:iCs/>
          <w:color w:val="000000" w:themeColor="text1"/>
          <w:sz w:val="16"/>
          <w:szCs w:val="16"/>
        </w:rPr>
        <w:t>рубежом</w:t>
      </w:r>
      <w:r w:rsidRPr="005E779E">
        <w:rPr>
          <w:rFonts w:ascii="Times New Roman" w:hAnsi="Times New Roman"/>
          <w:i/>
          <w:iCs/>
          <w:color w:val="000000" w:themeColor="text1"/>
          <w:sz w:val="16"/>
          <w:szCs w:val="16"/>
          <w:lang w:val="en-US"/>
        </w:rPr>
        <w:t>:</w:t>
      </w:r>
    </w:p>
    <w:p w14:paraId="4DB2B9F7"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5C951E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lang w:val="en-US"/>
        </w:rPr>
        <w:t>March 2, 1931 A propeller development program, which led to the adoption of variable pitch propellers, was initiated with the award of a contract to Hamilton Standard Propeller Company for two such propellers suitable for use on fighting planes (1090).</w:t>
      </w:r>
    </w:p>
    <w:p w14:paraId="5FCAC7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p w14:paraId="015957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марта 1931 в США была разработана программа развития работ в области винтов на фирме Hamilton Standard Propeller Company (1090).</w:t>
      </w:r>
    </w:p>
    <w:p w14:paraId="5B85B9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42A570B"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lastRenderedPageBreak/>
        <w:t>Авиапромышленность:</w:t>
      </w:r>
    </w:p>
    <w:p w14:paraId="575A0362"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3409D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3 декабря 1930 года по 11 января 1931 года и с 2 марта 1931 года по 22 марта 1931 года в НИАПе были проведены испытания опытной партии 2-кг осколочных бомб (3326).</w:t>
      </w:r>
    </w:p>
    <w:p w14:paraId="50F625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DFAE251"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6CC8FEE9"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5E827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марта 1931 Тухачевский сформулировал ТТТ для различных типов танков (танки прорыва, независимо действующие и приданные пехоте, а также прочие) (9089,137).</w:t>
      </w:r>
    </w:p>
    <w:p w14:paraId="663C96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D74DDF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марта 1931 г. были подготовлен СООБРАЖЕНИЯ КОМАНДУЮЩЕГО ЛВО НАЧАЛЬНИКУ УММ О ТАКТИЧЕСКИХ ХАРАКТЕРИСТИКАХ РАЗЛИЧНЫХ ТИПОВ ТАНКОВ</w:t>
      </w:r>
    </w:p>
    <w:p w14:paraId="4774880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Ленинград</w:t>
      </w:r>
    </w:p>
    <w:p w14:paraId="5C94387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I.</w:t>
      </w:r>
    </w:p>
    <w:p w14:paraId="3D46C34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Сообщаю на Ваш запрос свои соображения о тактической характеристике различных типов танков и их стандартизации с автотракторной промышленностью страны. Настоящие соображения носят характер предварительный, на практике проверенные лишь отчасти, но, по-видимому, имею</w:t>
      </w:r>
      <w:r w:rsidRPr="005E779E">
        <w:rPr>
          <w:rFonts w:ascii="Times New Roman" w:hAnsi="Times New Roman"/>
          <w:color w:val="000000" w:themeColor="text1"/>
          <w:sz w:val="16"/>
          <w:szCs w:val="16"/>
        </w:rPr>
        <w:softHyphen/>
        <w:t>щие все основания оправдаться полностью.</w:t>
      </w:r>
    </w:p>
    <w:p w14:paraId="5EBDA44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Тактическая характеристика танков</w:t>
      </w:r>
    </w:p>
    <w:p w14:paraId="2C530CF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Принятая у нас номенклатура различных типов танков не заключает в себя тактического содер</w:t>
      </w:r>
      <w:r w:rsidRPr="005E779E">
        <w:rPr>
          <w:rFonts w:ascii="Times New Roman" w:hAnsi="Times New Roman"/>
          <w:color w:val="000000" w:themeColor="text1"/>
          <w:sz w:val="16"/>
          <w:szCs w:val="16"/>
        </w:rPr>
        <w:softHyphen/>
        <w:t>жания, а потому мало помогает тактической подготовке войск в применении танков, а во-вторых, ос</w:t>
      </w:r>
      <w:r w:rsidRPr="005E779E">
        <w:rPr>
          <w:rFonts w:ascii="Times New Roman" w:hAnsi="Times New Roman"/>
          <w:color w:val="000000" w:themeColor="text1"/>
          <w:sz w:val="16"/>
          <w:szCs w:val="16"/>
        </w:rPr>
        <w:softHyphen/>
        <w:t>тавляет совершенно неограниченное поле для импровизации отдельных конструкторов, особенно в ; отношении вооружения. Между тем, вооружение на танках должно быть строго регламентировано, так как иначе, при массовом использовании танков, большое количество огневых средств, постав</w:t>
      </w:r>
      <w:r w:rsidRPr="005E779E">
        <w:rPr>
          <w:rFonts w:ascii="Times New Roman" w:hAnsi="Times New Roman"/>
          <w:color w:val="000000" w:themeColor="text1"/>
          <w:sz w:val="16"/>
          <w:szCs w:val="16"/>
        </w:rPr>
        <w:softHyphen/>
        <w:t>ленных на танки, окажется неиспользованным, и, вместе с тем, чрезмерные заявки на огневые сред</w:t>
      </w:r>
      <w:r w:rsidRPr="005E779E">
        <w:rPr>
          <w:rFonts w:ascii="Times New Roman" w:hAnsi="Times New Roman"/>
          <w:color w:val="000000" w:themeColor="text1"/>
          <w:sz w:val="16"/>
          <w:szCs w:val="16"/>
        </w:rPr>
        <w:softHyphen/>
        <w:t>ства, особенно артиллерийские, будут снижать производственные возможности по танкам. ПУ-29 по танковому вопросу дает ряд указаний, рассчитанных на крайне бедное и скудное наличие танковых средств в РККА, посему тактические задачи танков, в связи с последними решениями Пра</w:t>
      </w:r>
      <w:r w:rsidRPr="005E779E">
        <w:rPr>
          <w:rFonts w:ascii="Times New Roman" w:hAnsi="Times New Roman"/>
          <w:color w:val="000000" w:themeColor="text1"/>
          <w:sz w:val="16"/>
          <w:szCs w:val="16"/>
        </w:rPr>
        <w:softHyphen/>
        <w:t>вительства, должны быть в корне пересмотрены, расширены и уточнены. С другой стороны, исходя из этих тактических задач, необходимо сформулировать ряд конкретных требований для конструк</w:t>
      </w:r>
      <w:r w:rsidRPr="005E779E">
        <w:rPr>
          <w:rFonts w:ascii="Times New Roman" w:hAnsi="Times New Roman"/>
          <w:color w:val="000000" w:themeColor="text1"/>
          <w:sz w:val="16"/>
          <w:szCs w:val="16"/>
        </w:rPr>
        <w:softHyphen/>
        <w:t>торов танков. Большое количество танков на поле сражения вносит, по сравнению с методами тан</w:t>
      </w:r>
      <w:r w:rsidRPr="005E779E">
        <w:rPr>
          <w:rFonts w:ascii="Times New Roman" w:hAnsi="Times New Roman"/>
          <w:color w:val="000000" w:themeColor="text1"/>
          <w:sz w:val="16"/>
          <w:szCs w:val="16"/>
        </w:rPr>
        <w:softHyphen/>
        <w:t>ковых боев 1918 года, то новое, что огонь танковых средств развернется сразу на большой глубине внутри оборонительного расположения противника (для простоты буду рассматривать наступление на обороняющегося).</w:t>
      </w:r>
    </w:p>
    <w:p w14:paraId="0924E77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Сопровождение, проталкивание пехоты танками - явится лишь одной из составных частей общей системы нового вида глубокого боя. Оставлю пока в стороне вопросы прорыва специальных танково-десантных отрядов в глубокий тыл противника, имеющие оперативный характер. Попробую охарак</w:t>
      </w:r>
      <w:r w:rsidRPr="005E779E">
        <w:rPr>
          <w:rFonts w:ascii="Times New Roman" w:hAnsi="Times New Roman"/>
          <w:color w:val="000000" w:themeColor="text1"/>
          <w:sz w:val="16"/>
          <w:szCs w:val="16"/>
        </w:rPr>
        <w:softHyphen/>
        <w:t>теризовать систему танкового боя против оборонительной полосы противника после того, как поло</w:t>
      </w:r>
      <w:r w:rsidRPr="005E779E">
        <w:rPr>
          <w:rFonts w:ascii="Times New Roman" w:hAnsi="Times New Roman"/>
          <w:color w:val="000000" w:themeColor="text1"/>
          <w:sz w:val="16"/>
          <w:szCs w:val="16"/>
        </w:rPr>
        <w:softHyphen/>
        <w:t>са охранения его уничтожена. Применение больших танковых масс не исключает мощной артилле</w:t>
      </w:r>
      <w:r w:rsidRPr="005E779E">
        <w:rPr>
          <w:rFonts w:ascii="Times New Roman" w:hAnsi="Times New Roman"/>
          <w:color w:val="000000" w:themeColor="text1"/>
          <w:sz w:val="16"/>
          <w:szCs w:val="16"/>
        </w:rPr>
        <w:softHyphen/>
        <w:t>рийской подготовки. Наоборот, появление танков в оборонительной полосе должно быть внезапным для противника, залегшего на дне окопов под артиллерийским огнем. После достаточно мощной ар</w:t>
      </w:r>
      <w:r w:rsidRPr="005E779E">
        <w:rPr>
          <w:rFonts w:ascii="Times New Roman" w:hAnsi="Times New Roman"/>
          <w:color w:val="000000" w:themeColor="text1"/>
          <w:sz w:val="16"/>
          <w:szCs w:val="16"/>
        </w:rPr>
        <w:softHyphen/>
        <w:t>тиллерийской подготовки, наседая на свой артиллерийский огонь, переносимый в тыл противника, быстрее продвигаются в этот тыл первые танковые эшелоны дальнего действия. Эти эшелоны имеют две задачи: а) уничтожить артиллерию противника; б) уничтожить его штабы и систему связи; в) пу</w:t>
      </w:r>
      <w:r w:rsidRPr="005E779E">
        <w:rPr>
          <w:rFonts w:ascii="Times New Roman" w:hAnsi="Times New Roman"/>
          <w:color w:val="000000" w:themeColor="text1"/>
          <w:sz w:val="16"/>
          <w:szCs w:val="16"/>
        </w:rPr>
        <w:softHyphen/>
        <w:t>тем десантов специальных пулеметных частей на тыловых рубежах отрезать противнику путь отсту</w:t>
      </w:r>
      <w:r w:rsidRPr="005E779E">
        <w:rPr>
          <w:rFonts w:ascii="Times New Roman" w:hAnsi="Times New Roman"/>
          <w:color w:val="000000" w:themeColor="text1"/>
          <w:sz w:val="16"/>
          <w:szCs w:val="16"/>
        </w:rPr>
        <w:softHyphen/>
        <w:t>пления из оборонительной полосы в тыл и с тыла не допустить подходов к резервам.</w:t>
      </w:r>
    </w:p>
    <w:p w14:paraId="67CFF5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Я думаю, что после прохода этих эшелонов на короткий промежуток времени может быть возоб</w:t>
      </w:r>
      <w:r w:rsidRPr="005E779E">
        <w:rPr>
          <w:rFonts w:ascii="Times New Roman" w:hAnsi="Times New Roman"/>
          <w:color w:val="000000" w:themeColor="text1"/>
          <w:sz w:val="16"/>
          <w:szCs w:val="16"/>
        </w:rPr>
        <w:softHyphen/>
        <w:t>новлен ураганный налет артиллерии по пехоте противника (5-10 минут), после чего идут в атаку вто</w:t>
      </w:r>
      <w:r w:rsidRPr="005E779E">
        <w:rPr>
          <w:rFonts w:ascii="Times New Roman" w:hAnsi="Times New Roman"/>
          <w:color w:val="000000" w:themeColor="text1"/>
          <w:sz w:val="16"/>
          <w:szCs w:val="16"/>
        </w:rPr>
        <w:softHyphen/>
        <w:t>рые эшелоны танков и за ними - пехота. Впереди двигаются быстроходные танки-истребители стан</w:t>
      </w:r>
      <w:r w:rsidRPr="005E779E">
        <w:rPr>
          <w:rFonts w:ascii="Times New Roman" w:hAnsi="Times New Roman"/>
          <w:color w:val="000000" w:themeColor="text1"/>
          <w:sz w:val="16"/>
          <w:szCs w:val="16"/>
        </w:rPr>
        <w:softHyphen/>
        <w:t>ковых пулеметов, которые сразу врываются в глубину от 0,5 до 1 км (обычное месторасположение станковых пулеметов) и уничтожают их. Последующие эшелоны танков сопровождения пехоты дей</w:t>
      </w:r>
      <w:r w:rsidRPr="005E779E">
        <w:rPr>
          <w:rFonts w:ascii="Times New Roman" w:hAnsi="Times New Roman"/>
          <w:color w:val="000000" w:themeColor="text1"/>
          <w:sz w:val="16"/>
          <w:szCs w:val="16"/>
        </w:rPr>
        <w:softHyphen/>
        <w:t>ствуют непосредственно с ее эшелонами, облегчая и обеспечивая им превосходство над ручными пу</w:t>
      </w:r>
      <w:r w:rsidRPr="005E779E">
        <w:rPr>
          <w:rFonts w:ascii="Times New Roman" w:hAnsi="Times New Roman"/>
          <w:color w:val="000000" w:themeColor="text1"/>
          <w:sz w:val="16"/>
          <w:szCs w:val="16"/>
        </w:rPr>
        <w:softHyphen/>
        <w:t>леметами, снайперами и стрелками противника.</w:t>
      </w:r>
    </w:p>
    <w:p w14:paraId="3008325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Перед атакой эшелонов танков дальнего действия (ДД), могут быть использованы радиоуправля</w:t>
      </w:r>
      <w:r w:rsidRPr="005E779E">
        <w:rPr>
          <w:rFonts w:ascii="Times New Roman" w:hAnsi="Times New Roman"/>
          <w:color w:val="000000" w:themeColor="text1"/>
          <w:sz w:val="16"/>
          <w:szCs w:val="16"/>
        </w:rPr>
        <w:softHyphen/>
        <w:t>емые танки для установки дымовых завес, прикрывающих атакующие танки от артиллерийского на</w:t>
      </w:r>
      <w:r w:rsidRPr="005E779E">
        <w:rPr>
          <w:rFonts w:ascii="Times New Roman" w:hAnsi="Times New Roman"/>
          <w:color w:val="000000" w:themeColor="text1"/>
          <w:sz w:val="16"/>
          <w:szCs w:val="16"/>
        </w:rPr>
        <w:softHyphen/>
        <w:t>блюдения противника. Такие завесы могут быть поставлены и самолетами.</w:t>
      </w:r>
    </w:p>
    <w:p w14:paraId="45800D3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Наступление как эшелонов танков дальнего действия, так и поддержки пехоты (ПП) должно обеспечиваться целой системой специальных танков: саперных, связи, снабжения и т.д.</w:t>
      </w:r>
    </w:p>
    <w:p w14:paraId="5C88007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Такой характер танковых действий требует следующих типов танков:</w:t>
      </w:r>
    </w:p>
    <w:p w14:paraId="688707B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Танк истребитель артиллерии — ТИА;</w:t>
      </w:r>
    </w:p>
    <w:p w14:paraId="1F3F9E3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Танк десантов пехоты — ТДП;</w:t>
      </w:r>
    </w:p>
    <w:p w14:paraId="66A5A0A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Танк истребитель пулеметов (станковых) — ТИП;</w:t>
      </w:r>
    </w:p>
    <w:p w14:paraId="7B1156D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Танк сопровождения пехоты — ТСП;</w:t>
      </w:r>
    </w:p>
    <w:p w14:paraId="633CB7E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Специальный танк (саперный, связи, снабжения и проч.) — ТС;</w:t>
      </w:r>
    </w:p>
    <w:p w14:paraId="2B686F2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Радиоуправляемый танк — ТР.</w:t>
      </w:r>
    </w:p>
    <w:p w14:paraId="607C777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Встает вопрос — нужны ли специальные разведывательные танки. Я думаю, что такие танки не нужны. Для состава разведывательного отряда (РО) используются обычные типы танков — ДД и ПП, но в специальном для данной разведывательной цели подборе.</w:t>
      </w:r>
    </w:p>
    <w:p w14:paraId="220003B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Состав танков для обычного вида РО будет, примерно следующий: ТИП, ТСП, ТС. Помимо это</w:t>
      </w:r>
      <w:r w:rsidRPr="005E779E">
        <w:rPr>
          <w:rFonts w:ascii="Times New Roman" w:hAnsi="Times New Roman"/>
          <w:color w:val="000000" w:themeColor="text1"/>
          <w:sz w:val="16"/>
          <w:szCs w:val="16"/>
        </w:rPr>
        <w:softHyphen/>
        <w:t>го нового для нас вида действий РО, когда РО должен уничтожить определенную точку в расположе</w:t>
      </w:r>
      <w:r w:rsidRPr="005E779E">
        <w:rPr>
          <w:rFonts w:ascii="Times New Roman" w:hAnsi="Times New Roman"/>
          <w:color w:val="000000" w:themeColor="text1"/>
          <w:sz w:val="16"/>
          <w:szCs w:val="16"/>
        </w:rPr>
        <w:softHyphen/>
        <w:t>нии переднего края и на глубине близ переднего края противника, встает новый вид действий РО, вызываемый как характером глубокого танкового боя, так и новыми средствами. Этот новый вид действий РО может иметь своей задачей захват определенных точек, но уже не на переднем крае, а в глубине расположения противника, в частности, захват определенных штабов с задачей дальней</w:t>
      </w:r>
      <w:r w:rsidRPr="005E779E">
        <w:rPr>
          <w:rFonts w:ascii="Times New Roman" w:hAnsi="Times New Roman"/>
          <w:color w:val="000000" w:themeColor="text1"/>
          <w:sz w:val="16"/>
          <w:szCs w:val="16"/>
        </w:rPr>
        <w:softHyphen/>
        <w:t>шего возвращения в свое расположение.</w:t>
      </w:r>
    </w:p>
    <w:p w14:paraId="759A99F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Состав такого РО потребует следующих типов танков ТИА, ТДП, ТИС, ТС. Я думаю, что не тре</w:t>
      </w:r>
      <w:r w:rsidRPr="005E779E">
        <w:rPr>
          <w:rFonts w:ascii="Times New Roman" w:hAnsi="Times New Roman"/>
          <w:color w:val="000000" w:themeColor="text1"/>
          <w:sz w:val="16"/>
          <w:szCs w:val="16"/>
        </w:rPr>
        <w:softHyphen/>
        <w:t>буется точно также и особых типов танков для авангардов, головных отрядов, передовых отрядов и ; проч. Все эти задачи могут удовлетворяться определенным подбором вышеперечисленных танков.</w:t>
      </w:r>
    </w:p>
    <w:p w14:paraId="4712159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перечень различных систем танков я не включаю полковой и дивизионной артиллерии, поста</w:t>
      </w:r>
      <w:r w:rsidRPr="005E779E">
        <w:rPr>
          <w:rFonts w:ascii="Times New Roman" w:hAnsi="Times New Roman"/>
          <w:color w:val="000000" w:themeColor="text1"/>
          <w:sz w:val="16"/>
          <w:szCs w:val="16"/>
        </w:rPr>
        <w:softHyphen/>
        <w:t>вленной в танковые коробки, примерно, по типу «Коммунара» или «Катерпиллер», предложенных т. Дыренковым.</w:t>
      </w:r>
    </w:p>
    <w:p w14:paraId="1BD4036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Тактические требования к различным типам танков</w:t>
      </w:r>
    </w:p>
    <w:p w14:paraId="2F923D7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ТИА - передние стенки - против батальонной пушки и 20 мм пулемета; боковые стенки - против крупнокалиберных пулеметов; скорость — 30-40 км в час; длина - преодоление любого окопа; вес - преодоление любого искусственного препятствия.</w:t>
      </w:r>
    </w:p>
    <w:p w14:paraId="184CAB9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 а) одна пушка; б) один-два пулемета; в) пистолеты для самообороны.</w:t>
      </w:r>
    </w:p>
    <w:p w14:paraId="505E890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расчете вооружения я учитываю, что одно орудие противника должны атаковать 3 ТИА.</w:t>
      </w:r>
    </w:p>
    <w:p w14:paraId="55BBC9F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Основа производства: 2 автомобиля Я-3, 2 пары гусениц и подвесок типа Т-26.</w:t>
      </w:r>
    </w:p>
    <w:p w14:paraId="203F6B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Военно-техническая академия в ближайшее время намечает спроектировать такой танк. Ориентировочная схема такого танка будет иметь следующий вид:</w:t>
      </w:r>
    </w:p>
    <w:p w14:paraId="3C0C3A3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Такая схема ТИА, примерно, соответствующая тому типу, который у нас называется средним л, чрезвычайно упрощает постановку их массового производства, вводя полный стандарт, и с тем, предварительные расчеты показывают, что можно надеяться на успешное разрешение конструкции, которая будет иметь вес, примерно, среднего танка и мощность 170-180 лошадиных сил, а на высокосортном топливе - свыше 200.</w:t>
      </w:r>
    </w:p>
    <w:p w14:paraId="3C21F73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ТДП - броня кругом против крупнокалиберного пулемета; скорость - 20-30 км в час; длина - услоаие, равное для ТИА; вооружение - 2 пулемета и щели для использования ручных пулеметов десанта. Желательный состав десанта: 1 ДРП и 50 снарядов; 2 станковых и 6 ручных пулеметов с боевым лектом патронов; около 22 бойцов плюс команда танка. Условие габарита может снизить величину десанта. Основы для производства - автомобили «Автокар» и «Форд».</w:t>
      </w:r>
    </w:p>
    <w:p w14:paraId="7E16E64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ТИП - броня против пулеметного огня бронепуль; скорость - 30 км в час; вооружение - 1 пуле-г (можно добавить огнемет); производственная основа - автомобили «Автокар» и «Форд».</w:t>
      </w:r>
    </w:p>
    <w:p w14:paraId="4F8C388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ТСП - броня против винтовочных бронепуль; скорость - 10-20 км в час; вооружение - 1 пуле-; производственная основа - трактор «Интернационал» и автомобиль «Форд».</w:t>
      </w:r>
    </w:p>
    <w:p w14:paraId="5162A3F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ТС - броня против бронепуль крупнокалиберного пулемета; вооружение - пистолеты для само-бороны (можно огнемет); скорость (в зависимости от типов) - 10-30 км в час. Число и характер различных образцов специальных танков пока не рассматриваем, ограничива-ьлишь замечанием, что саперный танк должен уметь прокладывать путь через проволоку, срывать ость окопов и оврагов для создания колейных путей танкам и артиллерии, прокладывать легкий настил по заболоченным местам, наводить легкие мостки и т.д. Производственная основа - трактора «Коммунар», «Катерпиллер» и автомобиль «Автокар».</w:t>
      </w:r>
    </w:p>
    <w:p w14:paraId="5039D2D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ТР — радиоуправляемые танки могут иметь различные задания и характер устройства. Такими задачами могут быть: постановка дымовой завесы, производство пожара, производство взрывов, самодвижущиеся мины) и т.д.</w:t>
      </w:r>
    </w:p>
    <w:p w14:paraId="55594E5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Производственная основа - автомобиль «Автокар», трактора «Коммунар», «Интернационал» и даже «Фордзон» (для самодвижущихся мин).</w:t>
      </w:r>
    </w:p>
    <w:p w14:paraId="5E1FB5E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Скорость для дымозавесных ТР- 30 км в час.</w:t>
      </w:r>
    </w:p>
    <w:p w14:paraId="0192254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Расчет числа танков на фронте атаки стрелковой дивизии</w:t>
      </w:r>
    </w:p>
    <w:p w14:paraId="5EACDDC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На таком фронте, в зависимости от плотности обороны наступающая стрелковая дивизия в каждом из эшелонов обороны противника встретит 1,0-1,5 центра сопротивления противника, т.е. 36-54ручных пулемета, 12-16 станковых пулеметов и от 7 до 10 орудий корпусной, дивизионной, полко</w:t>
      </w:r>
      <w:r w:rsidRPr="005E779E">
        <w:rPr>
          <w:rFonts w:ascii="Times New Roman" w:hAnsi="Times New Roman"/>
          <w:color w:val="000000" w:themeColor="text1"/>
          <w:sz w:val="16"/>
          <w:szCs w:val="16"/>
        </w:rPr>
        <w:softHyphen/>
        <w:t>вой и батальонной артиллерии (огонь артиллерии будет и из других участков, но атаке танков на Г фронте наступающей дивизии подвергнется в среднем примерно такое число орудий, в зависимости от ширины обороны дивизии противника - 7-10 км).</w:t>
      </w:r>
    </w:p>
    <w:p w14:paraId="28C4CBA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фронте дивизии требуется: ТКА - 20-30 единиц; ТДП - 5 единиц (выброска в тыл противнику ; огневых сил, примерно, эквивалентна стрелковому батальону); ТИП - 12-18 единиц; ТСП - 36-54 единицы; ТС - 10 -20 единиц; ТР - 2-3 единицы. Итого - 87-130 единиц.</w:t>
      </w:r>
    </w:p>
    <w:p w14:paraId="20C47E2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100 ударных дивизий это потребовало бы 8700-13000 танков в строю.</w:t>
      </w:r>
    </w:p>
    <w:p w14:paraId="2D27C35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Помимо того, потребуются специальные самостоятельные танкодесантные отряды, проникаю</w:t>
      </w:r>
      <w:r w:rsidRPr="005E779E">
        <w:rPr>
          <w:rFonts w:ascii="Times New Roman" w:hAnsi="Times New Roman"/>
          <w:color w:val="000000" w:themeColor="text1"/>
          <w:sz w:val="16"/>
          <w:szCs w:val="16"/>
        </w:rPr>
        <w:softHyphen/>
        <w:t>щие в тыл противника, с крупнотактическими задачами корпусного масштаба и оперативными ар</w:t>
      </w:r>
      <w:r w:rsidRPr="005E779E">
        <w:rPr>
          <w:rFonts w:ascii="Times New Roman" w:hAnsi="Times New Roman"/>
          <w:color w:val="000000" w:themeColor="text1"/>
          <w:sz w:val="16"/>
          <w:szCs w:val="16"/>
        </w:rPr>
        <w:softHyphen/>
        <w:t>мейскими задачами.</w:t>
      </w:r>
    </w:p>
    <w:p w14:paraId="697E4E3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Необходимо также предусмотреть наличие танковых истребителей (контртанки во всех дивизи</w:t>
      </w:r>
      <w:r w:rsidRPr="005E779E">
        <w:rPr>
          <w:rFonts w:ascii="Times New Roman" w:hAnsi="Times New Roman"/>
          <w:color w:val="000000" w:themeColor="text1"/>
          <w:sz w:val="16"/>
          <w:szCs w:val="16"/>
        </w:rPr>
        <w:softHyphen/>
        <w:t>ях для самообороны), а так же придачи этим дивизиям штатных танковых единиц и постановки контртанка всей полковой, а желательно и дивизионной артиллерии.</w:t>
      </w:r>
    </w:p>
    <w:p w14:paraId="2D8AFA0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II</w:t>
      </w:r>
    </w:p>
    <w:p w14:paraId="47A7CA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Выше приведенная характеристика тактических требований к танкам, при строгом ограниче</w:t>
      </w:r>
      <w:r w:rsidRPr="005E779E">
        <w:rPr>
          <w:rFonts w:ascii="Times New Roman" w:hAnsi="Times New Roman"/>
          <w:color w:val="000000" w:themeColor="text1"/>
          <w:sz w:val="16"/>
          <w:szCs w:val="16"/>
        </w:rPr>
        <w:softHyphen/>
        <w:t>нии вооружения каждого танка и максимальном проведении стандартности, не только не создает из</w:t>
      </w:r>
      <w:r w:rsidRPr="005E779E">
        <w:rPr>
          <w:rFonts w:ascii="Times New Roman" w:hAnsi="Times New Roman"/>
          <w:color w:val="000000" w:themeColor="text1"/>
          <w:sz w:val="16"/>
          <w:szCs w:val="16"/>
        </w:rPr>
        <w:softHyphen/>
        <w:t>лишних затруднений, но наоборот, облегчает наши танковопроизводственные задачи. Однако, мне кажется, что было бы недостаточно ограничиться с нашей стороны стандартизацией только танко</w:t>
      </w:r>
      <w:r w:rsidRPr="005E779E">
        <w:rPr>
          <w:rFonts w:ascii="Times New Roman" w:hAnsi="Times New Roman"/>
          <w:color w:val="000000" w:themeColor="text1"/>
          <w:sz w:val="16"/>
          <w:szCs w:val="16"/>
        </w:rPr>
        <w:softHyphen/>
        <w:t>вых образцов. Необходимо еще добиться и максимальной стандартности между танковым производством и автотракторной базой в стране. Это диктуется не только стремлением облегчить для страны ее мобилизационное напряжение и упростить по окончании войны демобилизацию промышленно</w:t>
      </w:r>
      <w:r w:rsidRPr="005E779E">
        <w:rPr>
          <w:rFonts w:ascii="Times New Roman" w:hAnsi="Times New Roman"/>
          <w:color w:val="000000" w:themeColor="text1"/>
          <w:sz w:val="16"/>
          <w:szCs w:val="16"/>
        </w:rPr>
        <w:softHyphen/>
        <w:t>сти, но и интересами всего хозяйства в целом и, в частности, сельского хозяйства.</w:t>
      </w:r>
    </w:p>
    <w:p w14:paraId="0B1ABFB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Как Вы помните в разговоре Наркомзема СССР т. Яковлева с нами было установлено, что круп</w:t>
      </w:r>
      <w:r w:rsidRPr="005E779E">
        <w:rPr>
          <w:rFonts w:ascii="Times New Roman" w:hAnsi="Times New Roman"/>
          <w:color w:val="000000" w:themeColor="text1"/>
          <w:sz w:val="16"/>
          <w:szCs w:val="16"/>
        </w:rPr>
        <w:softHyphen/>
        <w:t>ные совхозные и колхозные хозяйства требуют повышенной скорости и мощности тракторов, а так</w:t>
      </w:r>
      <w:r w:rsidRPr="005E779E">
        <w:rPr>
          <w:rFonts w:ascii="Times New Roman" w:hAnsi="Times New Roman"/>
          <w:color w:val="000000" w:themeColor="text1"/>
          <w:sz w:val="16"/>
          <w:szCs w:val="16"/>
        </w:rPr>
        <w:softHyphen/>
        <w:t>же переноса тракторов на гусеничную тягу. Это целиком и полностью совпадает и с нашими интересами.</w:t>
      </w:r>
    </w:p>
    <w:p w14:paraId="1C38676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связи с этим, мне кажется, необходимо выдвинуть перед ВАТО и ВСНХ следующие предложения:</w:t>
      </w:r>
    </w:p>
    <w:p w14:paraId="3AE4AC0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Добиться стандартных моторов в автомобилях и тракторах. Для «Катерпиллера» может подой</w:t>
      </w:r>
      <w:r w:rsidRPr="005E779E">
        <w:rPr>
          <w:rFonts w:ascii="Times New Roman" w:hAnsi="Times New Roman"/>
          <w:color w:val="000000" w:themeColor="text1"/>
          <w:sz w:val="16"/>
          <w:szCs w:val="16"/>
        </w:rPr>
        <w:softHyphen/>
        <w:t>ти «Геркулес», а для «Интернационала» - «Форд». Высокооборотность автомобильных моторов с применением демультипликатора не нарушит условий работы транспорта. При этом следует добить-; ся первой скорости около 1 км и максимальной скорости - от 12 до 20 км, что необходимо, как гово</w:t>
      </w:r>
      <w:r w:rsidRPr="005E779E">
        <w:rPr>
          <w:rFonts w:ascii="Times New Roman" w:hAnsi="Times New Roman"/>
          <w:color w:val="000000" w:themeColor="text1"/>
          <w:sz w:val="16"/>
          <w:szCs w:val="16"/>
        </w:rPr>
        <w:softHyphen/>
        <w:t>рил т. Яковлев, для сельского хозяйства и, очевидно, необходимо для лесозаготовок и прочих транс</w:t>
      </w:r>
      <w:r w:rsidRPr="005E779E">
        <w:rPr>
          <w:rFonts w:ascii="Times New Roman" w:hAnsi="Times New Roman"/>
          <w:color w:val="000000" w:themeColor="text1"/>
          <w:sz w:val="16"/>
          <w:szCs w:val="16"/>
        </w:rPr>
        <w:softHyphen/>
        <w:t>портных перевозок.</w:t>
      </w:r>
    </w:p>
    <w:p w14:paraId="71A90DF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Производство стандартных гусениц для тракторов. «Катерпиллер» мог бы перейти на более совершенную гусеницу типа Т-26, а «Интернационал» - на гусеницу Т-27.</w:t>
      </w:r>
    </w:p>
    <w:p w14:paraId="7D89B31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Учитывая достижения т. Дворенкова в цементации под броню котельного железа организо-1 вать цементацию, штампование и сварку танковых корпусов на всех заводах «Котлотурбины», учи</w:t>
      </w:r>
      <w:r w:rsidRPr="005E779E">
        <w:rPr>
          <w:rFonts w:ascii="Times New Roman" w:hAnsi="Times New Roman"/>
          <w:color w:val="000000" w:themeColor="text1"/>
          <w:sz w:val="16"/>
          <w:szCs w:val="16"/>
        </w:rPr>
        <w:softHyphen/>
        <w:t>тывая и вновь строящиеся заводы по прокату.</w:t>
      </w:r>
    </w:p>
    <w:p w14:paraId="26A95F7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Командующий войсками ЛВО Тухачевский</w:t>
      </w:r>
    </w:p>
    <w:p w14:paraId="4ABF27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РГВА. Ф. 31811. Оп. 2. Д. 77. Л. 3 - 7. Подлинник (11210).</w:t>
      </w:r>
    </w:p>
    <w:p w14:paraId="226B79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1B1A968" w14:textId="77777777" w:rsidR="002460F7" w:rsidRPr="005E779E" w:rsidRDefault="002460F7" w:rsidP="000B7A6C">
      <w:pPr>
        <w:spacing w:after="0" w:line="240" w:lineRule="auto"/>
        <w:jc w:val="both"/>
        <w:rPr>
          <w:rFonts w:ascii="Times New Roman" w:hAnsi="Times New Roman"/>
          <w:color w:val="000000" w:themeColor="text1"/>
          <w:sz w:val="16"/>
          <w:szCs w:val="16"/>
          <w:shd w:val="clear" w:color="auto" w:fill="FFFFFF"/>
        </w:rPr>
      </w:pPr>
      <w:r w:rsidRPr="005E779E">
        <w:rPr>
          <w:rFonts w:ascii="Times New Roman" w:hAnsi="Times New Roman"/>
          <w:color w:val="000000" w:themeColor="text1"/>
          <w:sz w:val="16"/>
          <w:szCs w:val="16"/>
          <w:shd w:val="clear" w:color="auto" w:fill="FFFFFF"/>
        </w:rPr>
        <w:t>3 марта 1931 г. Заседание в наркомате обороны, посвященное деятельности совместных предприятий, постановило:</w:t>
      </w:r>
    </w:p>
    <w:p w14:paraId="67BCAFFA" w14:textId="77777777" w:rsidR="002460F7" w:rsidRPr="005E779E" w:rsidRDefault="002460F7"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 «Наличие в СССР предприятий PB (рейхсвера) дает нам возможность следить за развитием техники в Германии и на Западе вообще и перенимать то, что полезно для нас. Они дают нам много ценного в области методики. Поэтому в данное время ставить вопрос о ликвидации предприятий несвоевременно».</w:t>
      </w:r>
    </w:p>
    <w:p w14:paraId="4CB808AC" w14:textId="77777777" w:rsidR="002460F7" w:rsidRPr="005E779E" w:rsidRDefault="002460F7" w:rsidP="000B7A6C">
      <w:pPr>
        <w:spacing w:after="0" w:line="240" w:lineRule="auto"/>
        <w:jc w:val="both"/>
        <w:rPr>
          <w:rFonts w:ascii="Times New Roman" w:hAnsi="Times New Roman"/>
          <w:color w:val="000000" w:themeColor="text1"/>
          <w:sz w:val="16"/>
          <w:szCs w:val="16"/>
          <w:shd w:val="clear" w:color="auto" w:fill="FFFFFF"/>
        </w:rPr>
      </w:pPr>
      <w:r w:rsidRPr="005E779E">
        <w:rPr>
          <w:rFonts w:ascii="Times New Roman" w:hAnsi="Times New Roman"/>
          <w:color w:val="000000" w:themeColor="text1"/>
          <w:sz w:val="16"/>
          <w:szCs w:val="16"/>
          <w:shd w:val="clear" w:color="auto" w:fill="FFFFFF"/>
        </w:rPr>
        <w:t>В связи с требованиями о расширении работы предприятий как по подготовке советских курсантов и специалистов, так и по проведению опытов, совещание «считало возможным» пойти на некоторые уступки немцам: для облегчения их материального положения взять на себя дополнительные расходы по оплате персонала, предоставлять горючее немцам по себестоимости РККА, разрешить перевозку грузов, предназначенных для предприятий, по военному тарифу.</w:t>
      </w:r>
    </w:p>
    <w:p w14:paraId="4B319C2E" w14:textId="77777777" w:rsidR="002460F7" w:rsidRPr="005E779E" w:rsidRDefault="002460F7" w:rsidP="000B7A6C">
      <w:pPr>
        <w:spacing w:after="0" w:line="240" w:lineRule="auto"/>
        <w:jc w:val="both"/>
        <w:rPr>
          <w:rFonts w:ascii="Times New Roman" w:hAnsi="Times New Roman"/>
          <w:color w:val="000000" w:themeColor="text1"/>
          <w:sz w:val="16"/>
          <w:szCs w:val="16"/>
          <w:shd w:val="clear" w:color="auto" w:fill="FFFFFF"/>
        </w:rPr>
      </w:pPr>
      <w:r w:rsidRPr="005E779E">
        <w:rPr>
          <w:rFonts w:ascii="Times New Roman" w:hAnsi="Times New Roman"/>
          <w:color w:val="000000" w:themeColor="text1"/>
          <w:sz w:val="16"/>
          <w:szCs w:val="16"/>
          <w:shd w:val="clear" w:color="auto" w:fill="FFFFFF"/>
        </w:rPr>
        <w:t>Для реализации программы школы в Казани штабу Военно-строительного управления было вменено в обязанность организовать ремонт помещений в артиллерийских казармах для размещения курсантов и танковой роты, а для обеспечения работы курсов – расширить полигон.</w:t>
      </w:r>
    </w:p>
    <w:p w14:paraId="4941678D" w14:textId="77777777" w:rsidR="002460F7" w:rsidRPr="005E779E" w:rsidRDefault="002460F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shd w:val="clear" w:color="auto" w:fill="FFFFFF"/>
        </w:rPr>
        <w:t>Ввиду увеличения числа советских курсантов в Казани, в чем советская сторона была крайне заинтересована, немецкой стороне было предложено увеличить количество преподавателей еще на 6–7 человек. Советская сторона брала на себя оплату их работы в рублях. Она в приказном тоне, судя по тексту документа, настаивала на увеличении количества боевых и транспортных машин новых образцов и новых же образцов OB, в частности окиси углерода (21297).</w:t>
      </w:r>
    </w:p>
    <w:p w14:paraId="6D2E7A11" w14:textId="77777777" w:rsidR="002460F7" w:rsidRPr="005E779E" w:rsidRDefault="002460F7" w:rsidP="000B7A6C">
      <w:pPr>
        <w:spacing w:after="0" w:line="240" w:lineRule="auto"/>
        <w:jc w:val="both"/>
        <w:rPr>
          <w:rFonts w:ascii="Times New Roman" w:hAnsi="Times New Roman"/>
          <w:color w:val="000000" w:themeColor="text1"/>
          <w:sz w:val="16"/>
          <w:szCs w:val="16"/>
        </w:rPr>
      </w:pPr>
    </w:p>
    <w:p w14:paraId="1023EB60" w14:textId="77777777" w:rsidR="00EE45A6" w:rsidRPr="005E779E" w:rsidRDefault="00EE45A6"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Внешняя политика:</w:t>
      </w:r>
    </w:p>
    <w:p w14:paraId="4D0975BA" w14:textId="77777777" w:rsidR="00EE45A6" w:rsidRPr="005E779E" w:rsidRDefault="00EE45A6"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EF62EB8" w14:textId="77777777" w:rsidR="00EE45A6" w:rsidRPr="005E779E" w:rsidRDefault="00EE45A6"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3 марта 1931 г.</w:t>
      </w:r>
    </w:p>
    <w:p w14:paraId="456B33FE" w14:textId="77777777" w:rsidR="00EE45A6" w:rsidRPr="005E779E" w:rsidRDefault="00EE45A6"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Письмо наркома иностранных дел СССР М. М. Литвинова полпреду СССР во Франции В. С. Довгалевскому. 3 марта 1931 г.</w:t>
      </w:r>
    </w:p>
    <w:p w14:paraId="3CB66786" w14:textId="77777777" w:rsidR="00EE45A6" w:rsidRPr="005E779E" w:rsidRDefault="00EE45A6"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Источник: </w:t>
      </w:r>
    </w:p>
    <w:p w14:paraId="3CAE47C3" w14:textId="77777777" w:rsidR="00EE45A6" w:rsidRPr="005E779E" w:rsidRDefault="00EE45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503D3A4" w14:textId="77777777" w:rsidR="00EE45A6" w:rsidRPr="005E779E" w:rsidRDefault="00EE45A6" w:rsidP="000B7A6C">
      <w:pPr>
        <w:pStyle w:val="rteright"/>
        <w:spacing w:before="0" w:after="0"/>
        <w:jc w:val="both"/>
        <w:rPr>
          <w:color w:val="000000" w:themeColor="text1"/>
          <w:sz w:val="16"/>
          <w:szCs w:val="16"/>
        </w:rPr>
      </w:pPr>
      <w:r w:rsidRPr="005E779E">
        <w:rPr>
          <w:color w:val="000000" w:themeColor="text1"/>
          <w:sz w:val="16"/>
          <w:szCs w:val="16"/>
        </w:rPr>
        <w:t>3 марта 1931 г.</w:t>
      </w:r>
    </w:p>
    <w:p w14:paraId="7EDAFF35" w14:textId="77777777" w:rsidR="00EE45A6" w:rsidRPr="005E779E" w:rsidRDefault="00EE45A6" w:rsidP="000B7A6C">
      <w:pPr>
        <w:pStyle w:val="rteright"/>
        <w:spacing w:before="0" w:after="0"/>
        <w:jc w:val="both"/>
        <w:rPr>
          <w:color w:val="000000" w:themeColor="text1"/>
          <w:sz w:val="16"/>
          <w:szCs w:val="16"/>
        </w:rPr>
      </w:pPr>
      <w:r w:rsidRPr="005E779E">
        <w:rPr>
          <w:color w:val="000000" w:themeColor="text1"/>
          <w:sz w:val="16"/>
          <w:szCs w:val="16"/>
        </w:rPr>
        <w:t>Секретно</w:t>
      </w:r>
    </w:p>
    <w:p w14:paraId="327DA325" w14:textId="77777777" w:rsidR="00EE45A6" w:rsidRPr="005E779E" w:rsidRDefault="00EE45A6" w:rsidP="000B7A6C">
      <w:pPr>
        <w:pStyle w:val="rtejustify"/>
        <w:spacing w:before="0" w:after="0"/>
        <w:rPr>
          <w:color w:val="000000" w:themeColor="text1"/>
          <w:sz w:val="16"/>
          <w:szCs w:val="16"/>
        </w:rPr>
      </w:pPr>
      <w:r w:rsidRPr="005E779E">
        <w:rPr>
          <w:color w:val="000000" w:themeColor="text1"/>
          <w:sz w:val="16"/>
          <w:szCs w:val="16"/>
        </w:rPr>
        <w:t>Полномочному Представителю СССР во Франции тов. В. С. ДОВГАЛЕВСКОМУ</w:t>
      </w:r>
    </w:p>
    <w:p w14:paraId="18E884E8" w14:textId="77777777" w:rsidR="00EE45A6" w:rsidRPr="005E779E" w:rsidRDefault="00EE45A6" w:rsidP="000B7A6C">
      <w:pPr>
        <w:pStyle w:val="rtejustify"/>
        <w:spacing w:before="0" w:after="0"/>
        <w:rPr>
          <w:color w:val="000000" w:themeColor="text1"/>
          <w:sz w:val="16"/>
          <w:szCs w:val="16"/>
        </w:rPr>
      </w:pPr>
      <w:r w:rsidRPr="005E779E">
        <w:rPr>
          <w:color w:val="000000" w:themeColor="text1"/>
          <w:sz w:val="16"/>
          <w:szCs w:val="16"/>
        </w:rPr>
        <w:t>На дипломатических приемах в итальянском посольстве и эстонской миссии 21-го и 24-го февраля Эрбетт заговаривал со мной о советскофранцузских делах. Он обратил мое внимание на решение суда по делу Герцфельда, которое, якобы, делает своевременной постановку вопроса об экономических отношениях, и в частности, о кредитах. Я ответил, что одно из многочисленных зол в Париже устранено и что до обсуждения других вопросов необходимо разрешить известный Эрбетту конфликт.</w:t>
      </w:r>
    </w:p>
    <w:p w14:paraId="2B3F702E" w14:textId="77777777" w:rsidR="00EE45A6" w:rsidRPr="005E779E" w:rsidRDefault="00EE45A6" w:rsidP="000B7A6C">
      <w:pPr>
        <w:pStyle w:val="rtejustify"/>
        <w:spacing w:before="0" w:after="0"/>
        <w:rPr>
          <w:color w:val="000000" w:themeColor="text1"/>
          <w:sz w:val="16"/>
          <w:szCs w:val="16"/>
        </w:rPr>
      </w:pPr>
      <w:r w:rsidRPr="005E779E">
        <w:rPr>
          <w:color w:val="000000" w:themeColor="text1"/>
          <w:sz w:val="16"/>
          <w:szCs w:val="16"/>
        </w:rPr>
        <w:t>Э. сделал вид, как будто он не понимает о каком конфликте идет речь, и я должен был разъяснить ему, что этот конфликт был предметом нескольких Ваших бесед с Вертело. Э. сказал, что ему известно лишь о первой беседе, а о дальнейших разговорах он не информирован. На мое замечание, что конфликт все еще не разрешен, Э. возразил репликой, что тут мол недоразумение и «наоборот...» Он, очевидно, хотел этим сказать, что наши подозрения в отношении Кифера не основательны и что тот-де относится к нам вполне благожелательно, но, считая бесполезным продолжать с ним разговор на эту тему, я сказал, что не желал бы дублировать переговоров, уже начатых в Париже, и на этом наша беседа кончилась. Сообщаю все это лишь для сведения.</w:t>
      </w:r>
    </w:p>
    <w:p w14:paraId="3BBF5B85" w14:textId="77777777" w:rsidR="00EE45A6" w:rsidRPr="005E779E" w:rsidRDefault="00EE45A6" w:rsidP="000B7A6C">
      <w:pPr>
        <w:pStyle w:val="rtejustify"/>
        <w:spacing w:before="0" w:after="0"/>
        <w:rPr>
          <w:color w:val="000000" w:themeColor="text1"/>
          <w:sz w:val="16"/>
          <w:szCs w:val="16"/>
        </w:rPr>
      </w:pPr>
      <w:r w:rsidRPr="005E779E">
        <w:rPr>
          <w:color w:val="000000" w:themeColor="text1"/>
          <w:sz w:val="16"/>
          <w:szCs w:val="16"/>
        </w:rPr>
        <w:t>На тему о кредитах Э. беседовал на тех же приемах с т. Стомоняковым, причем он поставил конкретно вопрос, предпочитаем ли мы банковый или государственный кредит. Я сомневаюсь, чтобы Э. говорил по поручению Парижа, ибо в таком случае он нашел бы предлог для официального посещения НКИД и не ловил бы нас на приемах. Я скорее склонен думать, что Э. делал зондаж по собственной инициативе с целью обеспечить себе участие в предстоящих переговорах и сыграть в них какую-нибудь роль.</w:t>
      </w:r>
    </w:p>
    <w:p w14:paraId="3726C9BE" w14:textId="77777777" w:rsidR="00EE45A6" w:rsidRPr="005E779E" w:rsidRDefault="00EE45A6" w:rsidP="000B7A6C">
      <w:pPr>
        <w:pStyle w:val="rtejustify"/>
        <w:spacing w:before="0" w:after="0"/>
        <w:rPr>
          <w:color w:val="000000" w:themeColor="text1"/>
          <w:sz w:val="16"/>
          <w:szCs w:val="16"/>
        </w:rPr>
      </w:pPr>
      <w:r w:rsidRPr="005E779E">
        <w:rPr>
          <w:color w:val="000000" w:themeColor="text1"/>
          <w:sz w:val="16"/>
          <w:szCs w:val="16"/>
        </w:rPr>
        <w:t>Как только будет ликвидирован вопрос с Кифером, мы поставим в порядок дня передачу нашего ответа на французский меморандум.</w:t>
      </w:r>
    </w:p>
    <w:p w14:paraId="6616625A" w14:textId="77777777" w:rsidR="00EE45A6" w:rsidRPr="005E779E" w:rsidRDefault="00EE45A6" w:rsidP="000B7A6C">
      <w:pPr>
        <w:pStyle w:val="ae"/>
        <w:spacing w:before="0" w:after="0"/>
        <w:jc w:val="both"/>
        <w:rPr>
          <w:color w:val="000000" w:themeColor="text1"/>
          <w:sz w:val="16"/>
          <w:szCs w:val="16"/>
        </w:rPr>
      </w:pPr>
      <w:r w:rsidRPr="005E779E">
        <w:rPr>
          <w:color w:val="000000" w:themeColor="text1"/>
          <w:sz w:val="16"/>
          <w:szCs w:val="16"/>
        </w:rPr>
        <w:t>ЛИТВИНОВ</w:t>
      </w:r>
    </w:p>
    <w:p w14:paraId="03C7F8DB" w14:textId="77777777" w:rsidR="00EE45A6" w:rsidRPr="005E779E" w:rsidRDefault="00EE45A6" w:rsidP="000B7A6C">
      <w:pPr>
        <w:pStyle w:val="ae"/>
        <w:spacing w:before="0" w:after="0"/>
        <w:jc w:val="both"/>
        <w:rPr>
          <w:color w:val="000000" w:themeColor="text1"/>
          <w:sz w:val="16"/>
          <w:szCs w:val="16"/>
        </w:rPr>
      </w:pPr>
      <w:r w:rsidRPr="005E779E">
        <w:rPr>
          <w:rStyle w:val="af0"/>
          <w:i w:val="0"/>
          <w:color w:val="000000" w:themeColor="text1"/>
          <w:sz w:val="16"/>
          <w:szCs w:val="16"/>
        </w:rPr>
        <w:t>АВП РФ. Ф. 010. On. 2. П. 13а. Д. 232. Л. 10-11. Машинописная копия того времени. На Л. 10 вверху слева напечатано «экз. 2» (цифра от руки), справа столбцом — «Секретно», номер «№ л/21565» и дата «3 марта 1931 года». Штамп Секретариата замнаркома НКИД СССР с вписанными от руки номером и датой получения документа «5 февраля 1931 г.», подпись-росчерк Н. Н. Крестинского «НК». На Л. 11 внизу слева машинописью делопроизводственная помета о количестве распечатанных экземпляров (5 экз.) и адрес рассылки «1 — Адресат, 2 — Кр[естинский], 3 — С[томоняков], 4 — 3[ападный отдел] III, 5 — дело» (18812).</w:t>
      </w:r>
    </w:p>
    <w:p w14:paraId="29A29B16" w14:textId="77777777" w:rsidR="00EE45A6" w:rsidRPr="005E779E" w:rsidRDefault="00EE45A6" w:rsidP="000B7A6C">
      <w:pPr>
        <w:spacing w:after="0" w:line="240" w:lineRule="auto"/>
        <w:jc w:val="both"/>
        <w:rPr>
          <w:rFonts w:ascii="Times New Roman" w:hAnsi="Times New Roman"/>
          <w:color w:val="000000" w:themeColor="text1"/>
          <w:sz w:val="16"/>
          <w:szCs w:val="16"/>
        </w:rPr>
      </w:pPr>
    </w:p>
    <w:p w14:paraId="5E24774D"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3801BCC9"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5B42F81" w14:textId="77777777" w:rsidR="00274CEA" w:rsidRPr="005E779E" w:rsidRDefault="00274CEA"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3 марта</w:t>
      </w:r>
      <w:r w:rsidRPr="005E779E">
        <w:rPr>
          <w:rFonts w:ascii="Times New Roman" w:hAnsi="Times New Roman"/>
          <w:color w:val="000000" w:themeColor="text1"/>
          <w:sz w:val="16"/>
          <w:szCs w:val="16"/>
        </w:rPr>
        <w:t xml:space="preserve"> в 1931 году состоялся облет первого экземпляра самолета </w:t>
      </w:r>
      <w:hyperlink r:id="rId32" w:tgtFrame="_blank" w:history="1">
        <w:r w:rsidRPr="005E779E">
          <w:rPr>
            <w:rFonts w:ascii="Times New Roman" w:hAnsi="Times New Roman"/>
            <w:color w:val="000000" w:themeColor="text1"/>
            <w:sz w:val="16"/>
            <w:szCs w:val="16"/>
          </w:rPr>
          <w:t xml:space="preserve">(«K1697») «Gordon». </w:t>
        </w:r>
      </w:hyperlink>
      <w:r w:rsidRPr="005E779E">
        <w:rPr>
          <w:rFonts w:ascii="Times New Roman" w:hAnsi="Times New Roman"/>
          <w:color w:val="000000" w:themeColor="text1"/>
          <w:sz w:val="16"/>
          <w:szCs w:val="16"/>
        </w:rPr>
        <w:t>Проведенные в A&amp;AEE испытания подтвердили хорошие летные качества самолета и как следствие Авиационное Министерство Великобритании подписало с с фирмой контракт на производство 28 экземпляров самолета «Gordon» «Mk.I» («K1721»-«K1748»). К тому же первые восемь экземпляров, ранее заказанных, «Fairey IIIF» «Mk IVB» должны были быть доведены до стандарта «K1697» (15057).</w:t>
      </w:r>
    </w:p>
    <w:p w14:paraId="5C8F4273" w14:textId="77777777" w:rsidR="00274CEA" w:rsidRPr="005E779E" w:rsidRDefault="00274CEA" w:rsidP="000B7A6C">
      <w:pPr>
        <w:spacing w:after="0" w:line="240" w:lineRule="auto"/>
        <w:jc w:val="both"/>
        <w:rPr>
          <w:rFonts w:ascii="Times New Roman" w:hAnsi="Times New Roman"/>
          <w:color w:val="000000" w:themeColor="text1"/>
          <w:sz w:val="16"/>
          <w:szCs w:val="16"/>
        </w:rPr>
      </w:pPr>
    </w:p>
    <w:p w14:paraId="49FD1A2B" w14:textId="77777777" w:rsidR="001733DC" w:rsidRPr="005E779E" w:rsidRDefault="001733D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марта 1931 состоялся первый полет Фэйри Гордон Бета-версия Northrop (20804).</w:t>
      </w:r>
    </w:p>
    <w:p w14:paraId="0DE1C089" w14:textId="77777777" w:rsidR="001733DC" w:rsidRPr="005E779E" w:rsidRDefault="001733DC" w:rsidP="000B7A6C">
      <w:pPr>
        <w:spacing w:after="0" w:line="240" w:lineRule="auto"/>
        <w:jc w:val="both"/>
        <w:rPr>
          <w:rFonts w:ascii="Times New Roman" w:hAnsi="Times New Roman"/>
          <w:color w:val="000000" w:themeColor="text1"/>
          <w:sz w:val="16"/>
          <w:szCs w:val="16"/>
        </w:rPr>
      </w:pPr>
    </w:p>
    <w:p w14:paraId="7EF526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марта 1931 Конгресс сделал гимном США песню Джона Стаффорда Смита на стихи Френсиса Скотта Ки (3186).</w:t>
      </w:r>
    </w:p>
    <w:p w14:paraId="1DDD2A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8A5463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марта 1931 стихотворение поэта Ф. Ки принято Конгрессом США как текст национального гимна (4962).</w:t>
      </w:r>
    </w:p>
    <w:p w14:paraId="0783A83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D8FF99" w14:textId="77777777" w:rsidR="00274CEA" w:rsidRPr="005E779E" w:rsidRDefault="00274CEA"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lastRenderedPageBreak/>
        <w:t>3 марта</w:t>
      </w:r>
      <w:r w:rsidRPr="005E779E">
        <w:rPr>
          <w:rFonts w:ascii="Times New Roman" w:hAnsi="Times New Roman"/>
          <w:color w:val="000000" w:themeColor="text1"/>
          <w:sz w:val="16"/>
          <w:szCs w:val="16"/>
        </w:rPr>
        <w:t xml:space="preserve"> в 1931 году президент США Герберт Гувер подписал акт, утвердивший песню «Усыпанное звездами знамя» Государственным гимном США. В 1814 году Соединенные Штаты Америки были союзником наполеоновской Франции и в очередной раз воевали с бывшей метрополией - Великобританией. 12 сентября британский флот начал атаку форта Макгенри, последнего укрепления американцев на подступах к Балтимору. Превосходящие силы английского флота долго обстреливали форт Макгенри, однако героические защитники форта так и не спустили звездно-полосатый американский флаг. Адвокат Фрэнсис Скотт Ки попытался освободить своего друга, задержанного англичанами, но сам был арестован. Ночь он провел на корабле англичан и наблюдал за бомбардировкой форта. Когда наступил рассвет, Фрэнсис Ки с изумлением увидел развевавшийся над разгромленными укреплениями звездно-полосатый флаг. Это так поразило его, что в тот же день он сочинил стихи «The Star-Spangled Banner» («Звездно-полосатый стяг», «Усыпанное звездами знамя»). Позже этот текст был положен на мелодию популярной английской застольной песни. 3 марта 1931 года президент США Герберт Гувер подписал акт, утвердивший эту песню государственным гимном США (15057).</w:t>
      </w:r>
    </w:p>
    <w:p w14:paraId="7FD28491" w14:textId="77777777" w:rsidR="00274CEA" w:rsidRPr="005E779E" w:rsidRDefault="00274CEA" w:rsidP="000B7A6C">
      <w:pPr>
        <w:spacing w:after="0" w:line="240" w:lineRule="auto"/>
        <w:jc w:val="both"/>
        <w:rPr>
          <w:rFonts w:ascii="Times New Roman" w:hAnsi="Times New Roman"/>
          <w:color w:val="000000" w:themeColor="text1"/>
          <w:sz w:val="16"/>
          <w:szCs w:val="16"/>
        </w:rPr>
      </w:pPr>
    </w:p>
    <w:p w14:paraId="4A34B5C5"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632E3396"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E7DE6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марта 1931 первый танк Кристи N 2051 был получен для исследований на склад N 127 АБТУ (3879,5).</w:t>
      </w:r>
    </w:p>
    <w:p w14:paraId="3EFAAA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16D519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марта 1931 танк Кристи с номером 2051 был отгружен складу № 127 АБТУ (10733,193).</w:t>
      </w:r>
    </w:p>
    <w:p w14:paraId="49E0D9F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6ED3EF" w14:textId="77777777" w:rsidR="000F1D6E" w:rsidRPr="005E779E" w:rsidRDefault="000F1D6E"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shd w:val="clear" w:color="auto" w:fill="FFFFFF"/>
        </w:rPr>
        <w:t>4 марта 1931 года один из двух танков Кристи прибыл на склад № 127, а оттуда 14 марта передан в испытательный отдел. Следует отметить, что полноценных испытаний танк не проходил вплоть до 16 мая. Как следует из отчета по испытаниям, два месяца танк, имевший серийный номер 2051, использовался как объект изучения, также его демонстрировали начсоставу Красной Армии. Собственно говоря, уже на этом этапе было понятно, что в имеющемся виде танк Кристи для производства не подходит. Для начала, носовая часть выступала за габариты ходовой части, что забраковали еще на этапе приёмки в США. Далее, люк механика-водителя предназначался исключительно для обзора местности. Для вылезания из него механика-водителя проём был маловат. Часть операций по обслуживанию машины было выполнить невозможно без демонтажа надмоторной плиты или других элементов. Новостью это не стало, по крайней мере для КБ-3 ВОАО (Всесоюзное орудийно-арсенальное объединение), которое возглавлял С.А. Гинзбург. Когда дело дошло до "адаптации" БТ, машина стала отличаться по ряду элементов (20339).</w:t>
      </w:r>
    </w:p>
    <w:p w14:paraId="2FC54959" w14:textId="77777777" w:rsidR="000F1D6E" w:rsidRPr="005E779E" w:rsidRDefault="000F1D6E" w:rsidP="000B7A6C">
      <w:pPr>
        <w:shd w:val="clear" w:color="auto" w:fill="FFFFFF"/>
        <w:spacing w:after="0" w:line="240" w:lineRule="auto"/>
        <w:jc w:val="both"/>
        <w:rPr>
          <w:rFonts w:ascii="Times New Roman" w:hAnsi="Times New Roman"/>
          <w:color w:val="000000" w:themeColor="text1"/>
          <w:sz w:val="16"/>
          <w:szCs w:val="16"/>
        </w:rPr>
      </w:pPr>
    </w:p>
    <w:p w14:paraId="5AAF1050" w14:textId="77777777" w:rsidR="0043368F" w:rsidRPr="00142305" w:rsidRDefault="0043368F" w:rsidP="0043368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4 марта 1931 г. танк Кристи, имевший заводской номер 2051, поступил для исследований на склад – 127 АБТУ. После короткого знакомства с танком представителей УММ РККА 14 марта опытный образец прибыл в испытательный отдел, где, согласно распоряжению начальника УММ РККА, до 16 мая проводилось ознакомление с его материальной частью и демонстрация закупленной машины под руководством начальника отдела Громова и инженера танковой станции Лаврентьева. Многочисленные делегации руководящего состава РККА с конца марта и до 16 апреля знакомились с приобретенной новинкой, которая в целом произвела на них хорошее впечатление (25184).</w:t>
      </w:r>
    </w:p>
    <w:p w14:paraId="0911A40F" w14:textId="77777777" w:rsidR="0043368F" w:rsidRPr="00142305" w:rsidRDefault="0043368F" w:rsidP="0043368F">
      <w:pPr>
        <w:spacing w:after="0" w:line="240" w:lineRule="auto"/>
        <w:jc w:val="both"/>
        <w:rPr>
          <w:rFonts w:ascii="Times New Roman" w:hAnsi="Times New Roman"/>
          <w:color w:val="0070C0"/>
          <w:sz w:val="16"/>
          <w:szCs w:val="16"/>
        </w:rPr>
      </w:pPr>
    </w:p>
    <w:p w14:paraId="5215A7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марта 1931 г. приказом Президиума ВСНХ СССР был создан Уральский научно-исследовательский углехимический институт. Приказами Наркомата тяжелой промышленности СССР институт переименовывался: 15 ноября 1932 г. - в Уральский углекоксовый институт, 1933 г. - в Свердловский научно-исследовательский углекоксовый институт "Углекокс", 8 декабря 1935 г. - в Восточный научно-исследовательский углехимический институт (ВУХИН) (12102).</w:t>
      </w:r>
    </w:p>
    <w:p w14:paraId="23BD2A26" w14:textId="77777777" w:rsidR="00274CEA" w:rsidRPr="005E779E" w:rsidRDefault="00274CEA"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B06B19F" w14:textId="77777777" w:rsidR="00FB17DA"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3AD8F4FB" w14:textId="77777777" w:rsidR="00FB17DA" w:rsidRPr="005E779E" w:rsidRDefault="00FB17DA"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03B2151"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4 марта 1931 </w:t>
      </w:r>
      <w:r w:rsidRPr="005E779E">
        <w:rPr>
          <w:rFonts w:ascii="Times New Roman" w:hAnsi="Times New Roman"/>
          <w:color w:val="000000" w:themeColor="text1"/>
          <w:sz w:val="16"/>
          <w:szCs w:val="16"/>
        </w:rPr>
        <w:t>ЦИК и СНК приняли постановление «О выпуске государственного внутреннего 10-процентного займа 1930 г.» (12265).</w:t>
      </w:r>
    </w:p>
    <w:p w14:paraId="6779FBFC"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4DC4F166"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176DC3C1"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8FB73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марта 1931 года ст. техприемщик завода N 22 писал письмо N 28с нач. ПТО УСС ВВС.</w:t>
      </w:r>
    </w:p>
    <w:p w14:paraId="118E55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вопросу окраски самолетов доношу следующее:</w:t>
      </w:r>
    </w:p>
    <w:p w14:paraId="1C7A98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Скандал во Всесоюзном масштабе с окраской металлических самолетов, разразившийся в апреле-мае 1930 года не решил вопроса о улучшенном способе и методе окраски, гарантирующего полную ликвидацию прорыва в строительстве металлических самолетов. Были ряд предложений ВАО, но все это не имело последствий за исключением испытания на серийных самолетах нитрокрасок предложенных 36 заводом с разрешения ЦАГИ.</w:t>
      </w:r>
    </w:p>
    <w:p w14:paraId="2644FC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Результат повседневного наблюдения за самолетами, имеющими наружное покрытие нитрокрасками дает следующий практический анализ:</w:t>
      </w:r>
    </w:p>
    <w:p w14:paraId="3F953A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 время морозов отмечалось шелушение покрытия, покрытие казалось хрупким и легко отскакивающим пленкой при ударе посторонним предметом с повреждением волны гофра.</w:t>
      </w:r>
    </w:p>
    <w:p w14:paraId="5AE72E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появлением оттепелей и действий солнечных лучей нитрокраска стала на всей самолетах во многих местах отставать пленкой, шелушиться, трескаться от солнца и легко отставать при пробе ногтем.</w:t>
      </w:r>
    </w:p>
    <w:p w14:paraId="71F146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местах облитых бензином или смесью нитрокраска теряет прилипаемость к металлу и совершенно оголяет дюраль, отставая большими пластами.</w:t>
      </w:r>
    </w:p>
    <w:p w14:paraId="50367B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анти-пожарном отношении нитрокраска чрезвычайно опасна (3232,152).</w:t>
      </w:r>
    </w:p>
    <w:p w14:paraId="553AD9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DB5F164" w14:textId="77777777" w:rsidR="00EE45A6" w:rsidRPr="005E779E" w:rsidRDefault="00EE45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марта 1931</w:t>
      </w:r>
    </w:p>
    <w:p w14:paraId="57FA5B86" w14:textId="77777777" w:rsidR="00EE45A6" w:rsidRPr="005E779E" w:rsidRDefault="00EE45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 15: О плане гражданского воздушного флота на 1931 г.</w:t>
      </w:r>
    </w:p>
    <w:p w14:paraId="3A96077C" w14:textId="77777777" w:rsidR="00EE45A6" w:rsidRPr="005E779E" w:rsidRDefault="00EE45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(Молотов, Ворошилов, Куйбышев, Павлуновский, Гольцман, Акулов).</w:t>
      </w:r>
    </w:p>
    <w:p w14:paraId="28A9F7CA" w14:textId="77777777" w:rsidR="00EE45A6" w:rsidRPr="005E779E" w:rsidRDefault="00EE45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Утвердить постановление Совета Народных Комиссаров “О плане гражданского воздушного флота на 1931 г.” от 16.IV.31 г.</w:t>
      </w:r>
    </w:p>
    <w:p w14:paraId="1B93CEC3" w14:textId="77777777" w:rsidR="00EE45A6" w:rsidRPr="005E779E" w:rsidRDefault="00EE45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Считать необходимым усилить освещение работы гражданской авиации в печати, для чего обязать “Правду” и республиканские, краевые, областные партийные органы помещать материал о работе гражданского воздушного флота, а также организовать в них рабкоровские группы и т. д.</w:t>
      </w:r>
    </w:p>
    <w:p w14:paraId="106FC22B" w14:textId="77777777" w:rsidR="00EE45A6" w:rsidRPr="005E779E" w:rsidRDefault="00EE45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Поставить на ближайшем заседании Политбюро доклад РКИ о ходе выполнения постановления СНК от 11</w:t>
      </w:r>
      <w:r w:rsidRPr="005E779E">
        <w:rPr>
          <w:rFonts w:ascii="Times New Roman" w:hAnsi="Times New Roman"/>
          <w:color w:val="000000" w:themeColor="text1"/>
          <w:sz w:val="16"/>
          <w:szCs w:val="16"/>
        </w:rPr>
        <w:noBreakHyphen/>
        <w:t>го января 1931 г. “О приравнении гражданского воздушного флота к важнейшим внеочередным объектам капитального строительства”.</w:t>
      </w:r>
    </w:p>
    <w:p w14:paraId="2A78AF5C" w14:textId="77777777" w:rsidR="00EE45A6" w:rsidRPr="005E779E" w:rsidRDefault="00EE45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(18110).</w:t>
      </w:r>
    </w:p>
    <w:p w14:paraId="72EC17B0" w14:textId="77777777" w:rsidR="00EE45A6" w:rsidRPr="005E779E" w:rsidRDefault="00EE45A6" w:rsidP="000B7A6C">
      <w:pPr>
        <w:spacing w:after="0" w:line="240" w:lineRule="auto"/>
        <w:jc w:val="both"/>
        <w:rPr>
          <w:rFonts w:ascii="Times New Roman" w:hAnsi="Times New Roman"/>
          <w:color w:val="000000" w:themeColor="text1"/>
          <w:sz w:val="16"/>
          <w:szCs w:val="16"/>
        </w:rPr>
      </w:pPr>
    </w:p>
    <w:p w14:paraId="45DBDD6A" w14:textId="77777777" w:rsidR="000F1D6E" w:rsidRPr="005E779E" w:rsidRDefault="000F1D6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марта 1931 года в докладной записке на имя начальника ВВС от Л.Г. Минов предложил дополнить эксперименты, предложенные им 15 сентября 1930, исследованием способов выпрыгивания из различных типов самолетов, состоявших на вооружении, а также провести эксперимент по спускам на парашюте в воду. Для выполнения этих задач, а также для решения вопросов по обучению летного состава использованию парашюта и подготовке кадров парашютных инструкторов, на тот момент имелось в наличии всего 17 тренировочных парашютов, а 25 комплектов были заказаны к маю 1931 года в США (Архив ЦДА и К. Ф. 50. Оп. 1. Д. 2. Л. 10-11.). Эти предложения Л. Минова нашли закрепление в распоряжении начальника 1-го Управления ВВС РККА начальнику НИИ ВВС № VI/141 от 16 марта 1931 года об организации курсов укладчиков и облете авиагарнизонов и были реализованы (Архив ЦДА и К. Ф. 50. Оп. 1. Д. 3. Л. 6.) (21402).</w:t>
      </w:r>
    </w:p>
    <w:p w14:paraId="1EC9FE9B" w14:textId="77777777" w:rsidR="000F1D6E" w:rsidRPr="005E779E" w:rsidRDefault="000F1D6E" w:rsidP="000B7A6C">
      <w:pPr>
        <w:spacing w:after="0" w:line="240" w:lineRule="auto"/>
        <w:jc w:val="both"/>
        <w:rPr>
          <w:rFonts w:ascii="Times New Roman" w:hAnsi="Times New Roman"/>
          <w:color w:val="000000" w:themeColor="text1"/>
          <w:sz w:val="16"/>
          <w:szCs w:val="16"/>
        </w:rPr>
      </w:pPr>
    </w:p>
    <w:p w14:paraId="6655AEC6" w14:textId="77777777" w:rsidR="00FB17DA"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001EDB3E" w14:textId="77777777" w:rsidR="00FB17DA" w:rsidRPr="005E779E" w:rsidRDefault="00FB17DA"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ACD8FEC" w14:textId="77777777" w:rsidR="00FB17DA" w:rsidRPr="005E779E" w:rsidRDefault="00FB17DA"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5 марта</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Протокол заседания Политбюро ЦК ВКП(б) № 28. 12. О ходе работ на Сталинградском тракторном заводе (ПБ от 15 февраля 1931 г., пр. № 26, п. 11) (Михайлов-Иванов, Орджоникидзе, Птуха). (Политбюро... Т. 2. С. 134) (12416).</w:t>
      </w:r>
    </w:p>
    <w:p w14:paraId="7B1725A0" w14:textId="77777777" w:rsidR="00FB17DA" w:rsidRPr="005E779E" w:rsidRDefault="00FB17DA" w:rsidP="000B7A6C">
      <w:pPr>
        <w:spacing w:after="0" w:line="240" w:lineRule="auto"/>
        <w:jc w:val="both"/>
        <w:rPr>
          <w:rFonts w:ascii="Times New Roman" w:hAnsi="Times New Roman"/>
          <w:color w:val="000000" w:themeColor="text1"/>
          <w:sz w:val="16"/>
          <w:szCs w:val="16"/>
          <w:u w:color="002060"/>
        </w:rPr>
      </w:pPr>
    </w:p>
    <w:p w14:paraId="420B71FF"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5 марта 1931 </w:t>
      </w:r>
      <w:r w:rsidRPr="005E779E">
        <w:rPr>
          <w:rFonts w:ascii="Times New Roman" w:hAnsi="Times New Roman"/>
          <w:color w:val="000000" w:themeColor="text1"/>
          <w:sz w:val="16"/>
          <w:szCs w:val="16"/>
        </w:rPr>
        <w:t>Политбюро ЦК ВКП (б) приняло постановление о мероприятиях по усилению производства паровозов (12265).</w:t>
      </w:r>
    </w:p>
    <w:p w14:paraId="4C211BAD"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2D2FA619" w14:textId="77777777" w:rsidR="00EE45A6" w:rsidRPr="005E779E" w:rsidRDefault="00EE45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марта 1931</w:t>
      </w:r>
    </w:p>
    <w:p w14:paraId="1803D64A" w14:textId="77777777" w:rsidR="00EE45A6" w:rsidRPr="005E779E" w:rsidRDefault="00EE45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 10: О паровозостроительных заводах</w:t>
      </w:r>
    </w:p>
    <w:p w14:paraId="66409A1D" w14:textId="77777777" w:rsidR="00EE45A6" w:rsidRPr="005E779E" w:rsidRDefault="00EE45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(ПБ от 20.II.31 г., пр. № 27, п. 32/48).</w:t>
      </w:r>
    </w:p>
    <w:p w14:paraId="57654471" w14:textId="77777777" w:rsidR="00EE45A6" w:rsidRPr="005E779E" w:rsidRDefault="00EE45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(Орджоникидзе, Курицын, Москатов).</w:t>
      </w:r>
    </w:p>
    <w:p w14:paraId="62FF9132" w14:textId="77777777" w:rsidR="00EE45A6" w:rsidRPr="005E779E" w:rsidRDefault="00EE45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Принять в основном внесенный ВСНХ проект постановления о мероприятиях по усилению выпусков паровозов (</w:t>
      </w:r>
      <w:hyperlink r:id="rId33" w:history="1">
        <w:r w:rsidRPr="005E779E">
          <w:rPr>
            <w:rStyle w:val="a5"/>
            <w:rFonts w:ascii="Times New Roman" w:hAnsi="Times New Roman"/>
            <w:color w:val="000000" w:themeColor="text1"/>
            <w:sz w:val="16"/>
            <w:szCs w:val="16"/>
          </w:rPr>
          <w:t>см приложение № 4</w:t>
        </w:r>
      </w:hyperlink>
      <w:r w:rsidRPr="005E779E">
        <w:rPr>
          <w:rFonts w:ascii="Times New Roman" w:hAnsi="Times New Roman"/>
          <w:color w:val="000000" w:themeColor="text1"/>
          <w:sz w:val="16"/>
          <w:szCs w:val="16"/>
        </w:rPr>
        <w:t>).</w:t>
      </w:r>
    </w:p>
    <w:p w14:paraId="01720575" w14:textId="77777777" w:rsidR="00EE45A6" w:rsidRPr="005E779E" w:rsidRDefault="00EE45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Поручить комиссии в составе т.т. Рудзутака, Акулова и Курицына уточнить цифры ассигнований по Луганскому строительству.</w:t>
      </w:r>
    </w:p>
    <w:p w14:paraId="0E480843" w14:textId="77777777" w:rsidR="00EE45A6" w:rsidRPr="005E779E" w:rsidRDefault="00EE45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Дополнить пункт 8</w:t>
      </w:r>
      <w:r w:rsidRPr="005E779E">
        <w:rPr>
          <w:rFonts w:ascii="Times New Roman" w:hAnsi="Times New Roman"/>
          <w:color w:val="000000" w:themeColor="text1"/>
          <w:sz w:val="16"/>
          <w:szCs w:val="16"/>
        </w:rPr>
        <w:noBreakHyphen/>
        <w:t>й проекта следующим: обязать НКПС и ВСНХ договориться о номенклатуре запасных частей, изготавливаемых на заводах ВСНХ и НКПС.</w:t>
      </w:r>
    </w:p>
    <w:p w14:paraId="7C71B300" w14:textId="77777777" w:rsidR="00EE45A6" w:rsidRPr="005E779E" w:rsidRDefault="00EE45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Принять к сведению заявление т. Постышева о приостановке мобилизации работников промышленности на транспорт.</w:t>
      </w:r>
    </w:p>
    <w:p w14:paraId="30ED0957" w14:textId="77777777" w:rsidR="00EE45A6" w:rsidRPr="005E779E" w:rsidRDefault="00EE45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д) Поручить НК РКИ на следующем заседании Политбюро представить доклад по вопросу о возможности кооперирования Варшавских мастерских с Путиловским и Невским заводом в деле паровозостроения.</w:t>
      </w:r>
    </w:p>
    <w:p w14:paraId="108C13EB" w14:textId="77777777" w:rsidR="00EE45A6" w:rsidRPr="005E779E" w:rsidRDefault="00EE45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Приложение № 4</w:t>
      </w:r>
    </w:p>
    <w:p w14:paraId="68E4D285" w14:textId="77777777" w:rsidR="00EE45A6" w:rsidRPr="005E779E" w:rsidRDefault="00EE45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п. 10, пр. ПБ № 28.</w:t>
      </w:r>
    </w:p>
    <w:p w14:paraId="2D6D2257" w14:textId="77777777" w:rsidR="00EE45A6" w:rsidRPr="005E779E" w:rsidRDefault="00EE45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Окончательная редакция.</w:t>
      </w:r>
    </w:p>
    <w:p w14:paraId="4ECB3E45" w14:textId="77777777" w:rsidR="00EE45A6" w:rsidRPr="005E779E" w:rsidRDefault="00EE45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 паровозостроительных заводах.</w:t>
      </w:r>
    </w:p>
    <w:p w14:paraId="6620AEA9" w14:textId="77777777" w:rsidR="00EE45A6" w:rsidRPr="005E779E" w:rsidRDefault="00EE45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(Утверждено Политбюро ЦК ВКП(б) 5.III.31 года).</w:t>
      </w:r>
    </w:p>
    <w:p w14:paraId="0ED9822F" w14:textId="77777777" w:rsidR="00EE45A6" w:rsidRPr="005E779E" w:rsidRDefault="00EE45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Поручить ВСНХ СССР:</w:t>
      </w:r>
    </w:p>
    <w:p w14:paraId="4963F10F" w14:textId="77777777" w:rsidR="00EE45A6" w:rsidRPr="005E779E" w:rsidRDefault="00EE45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Форсировать строительство нового Луганского завода с выпуском 1080 паровозов в год с тем, чтобы пуск заводе был не позже 1.Х.32 года.</w:t>
      </w:r>
    </w:p>
    <w:p w14:paraId="1A2397D4" w14:textId="77777777" w:rsidR="00EE45A6" w:rsidRPr="005E779E" w:rsidRDefault="00EE45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Обеспечить ударное строительство нового Луганского завода необходимыми стройфондами и укомплектовать его необходимым количеством технического персонала и рабсилы.</w:t>
      </w:r>
    </w:p>
    <w:p w14:paraId="62846F83" w14:textId="77777777" w:rsidR="00EE45A6" w:rsidRPr="005E779E" w:rsidRDefault="00EE45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Объем работ по Луганскому строительству на 1931 год установить в 35,5 млн. рублей.</w:t>
      </w:r>
    </w:p>
    <w:p w14:paraId="0DB6EA15" w14:textId="77777777" w:rsidR="00EE45A6" w:rsidRPr="005E779E" w:rsidRDefault="00EE45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Решение особая папка.</w:t>
      </w:r>
    </w:p>
    <w:p w14:paraId="3D3ED3E9" w14:textId="77777777" w:rsidR="00EE45A6" w:rsidRPr="005E779E" w:rsidRDefault="00EE45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Обеспечить в текущем году необходимым дополнительным ассигнованием (10 млн. руб.) работы по всем существующим паровозным заводам для расшивки узких мест и обеспечению дальнейшего роста выпуска паровозов.</w:t>
      </w:r>
    </w:p>
    <w:p w14:paraId="2E5478E6" w14:textId="77777777" w:rsidR="00EE45A6" w:rsidRPr="005E779E" w:rsidRDefault="00EE45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Одобрить решение ВСНХ о восстановлении в 1931 году паровозостроения на Путиловском и Невском заводе в Ленинграде и при них конструкторского бюро по паровозам, сосредоточив в них всех прежде работавших по паровозостроению конструкторов.</w:t>
      </w:r>
    </w:p>
    <w:p w14:paraId="79AECE91" w14:textId="77777777" w:rsidR="00EE45A6" w:rsidRPr="005E779E" w:rsidRDefault="00EE45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Принять к сведению, что ВСНХ обеспечиваются дополнительными ассигнованиями окончание в текущем году полностью следующих заготовительных цехов, обеспечивающих дальнейшее развитие паровозо- и вагоностроения: фасонно-литейной и кузницы на Луганском заводе, чугунно-литейной на Коломенском заводе, фасонно-сталелитейной и кузницы на Н. Сормове. Отнести все эти объекты к ударным стройкам.</w:t>
      </w:r>
    </w:p>
    <w:p w14:paraId="423787A9" w14:textId="77777777" w:rsidR="00EE45A6" w:rsidRPr="005E779E" w:rsidRDefault="00EE45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Обязать ВСНХ в двухмесячный срок закончить работы по специализации паровозостроительных заводов и максимальному освобождению их от посторонних производств.</w:t>
      </w:r>
    </w:p>
    <w:p w14:paraId="675C4951" w14:textId="77777777" w:rsidR="00EE45A6" w:rsidRPr="005E779E" w:rsidRDefault="00EE45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Обязать НКПС обеспечить в текущем году развитие производства паровозных запасных частей на предприятиях и мастерских ВОРЗ'а с тем, чтобы освободить, начиная с 1932 года промышленность от изготовления запасных частей.</w:t>
      </w:r>
    </w:p>
    <w:p w14:paraId="5A7589FB" w14:textId="77777777" w:rsidR="00EE45A6" w:rsidRPr="005E779E" w:rsidRDefault="00EE45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Обязать НКПС и ВСНХ договориться о номенклатуре запасных частей, изготовляемых на заводах ВСНХ и НКПС.</w:t>
      </w:r>
    </w:p>
    <w:p w14:paraId="6A3B4F0D" w14:textId="77777777" w:rsidR="00EE45A6" w:rsidRPr="005E779E" w:rsidRDefault="00EE45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(18107).</w:t>
      </w:r>
    </w:p>
    <w:p w14:paraId="0054A302" w14:textId="77777777" w:rsidR="00EE45A6" w:rsidRPr="005E779E" w:rsidRDefault="00EE45A6" w:rsidP="000B7A6C">
      <w:pPr>
        <w:spacing w:after="0" w:line="240" w:lineRule="auto"/>
        <w:jc w:val="both"/>
        <w:rPr>
          <w:rFonts w:ascii="Times New Roman" w:hAnsi="Times New Roman"/>
          <w:color w:val="000000" w:themeColor="text1"/>
          <w:sz w:val="16"/>
          <w:szCs w:val="16"/>
        </w:rPr>
      </w:pPr>
    </w:p>
    <w:p w14:paraId="49FE2BD0" w14:textId="77777777" w:rsidR="00EE45A6" w:rsidRPr="005E779E" w:rsidRDefault="00EE45A6"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36E3AB39" w14:textId="77777777" w:rsidR="00EE45A6" w:rsidRPr="005E779E" w:rsidRDefault="00EE45A6"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72C77B5" w14:textId="77777777" w:rsidR="00EE45A6" w:rsidRPr="005E779E" w:rsidRDefault="00EE45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марта 1931</w:t>
      </w:r>
    </w:p>
    <w:p w14:paraId="5FF937F7" w14:textId="77777777" w:rsidR="00EE45A6" w:rsidRPr="005E779E" w:rsidRDefault="00EE45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 48: Сообщение т. Енукидзе об организации строительства Дворца Съездов</w:t>
      </w:r>
    </w:p>
    <w:p w14:paraId="76E4D711" w14:textId="77777777" w:rsidR="00EE45A6" w:rsidRPr="005E779E" w:rsidRDefault="00EE45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(Енукидзе).</w:t>
      </w:r>
    </w:p>
    <w:p w14:paraId="441BAD4C" w14:textId="77777777" w:rsidR="00EE45A6" w:rsidRPr="005E779E" w:rsidRDefault="00EE45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Утвердить для сооружения Дворца Советов земельный участок в границах: Охотный ряд — Тверская — Георгиевский проезд — Б. Дмитровка — Охотный ряд.</w:t>
      </w:r>
    </w:p>
    <w:p w14:paraId="74D41BD7" w14:textId="77777777" w:rsidR="00EE45A6" w:rsidRPr="005E779E" w:rsidRDefault="00EE45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Все имеющиеся на участке строения снести, за исключением Дома Союзов (крыло Дома Союзов по Георгиевскому проезду также снести).</w:t>
      </w:r>
    </w:p>
    <w:p w14:paraId="083D0224" w14:textId="77777777" w:rsidR="00EE45A6" w:rsidRPr="005E779E" w:rsidRDefault="00EE45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Принять, что в здании должны быть размещены следующие основные группы помещений:</w:t>
      </w:r>
    </w:p>
    <w:p w14:paraId="2787DC72" w14:textId="77777777" w:rsidR="00EE45A6" w:rsidRPr="005E779E" w:rsidRDefault="00EE45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зал на 10.000 чел.</w:t>
      </w:r>
    </w:p>
    <w:p w14:paraId="2220D230" w14:textId="77777777" w:rsidR="00EE45A6" w:rsidRPr="005E779E" w:rsidRDefault="00EE45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зал на 5.000 чел.</w:t>
      </w:r>
    </w:p>
    <w:p w14:paraId="602C4DEF" w14:textId="77777777" w:rsidR="00EE45A6" w:rsidRPr="005E779E" w:rsidRDefault="00EE45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зала по 500 чел.</w:t>
      </w:r>
    </w:p>
    <w:p w14:paraId="1EB6A324" w14:textId="77777777" w:rsidR="00EE45A6" w:rsidRPr="005E779E" w:rsidRDefault="00EE45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зала по 200 чел.,</w:t>
      </w:r>
    </w:p>
    <w:p w14:paraId="5F9D6355" w14:textId="77777777" w:rsidR="00EE45A6" w:rsidRPr="005E779E" w:rsidRDefault="00EE45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 залы со всеми вспомогательными учреждениями и помещениями.</w:t>
      </w:r>
    </w:p>
    <w:p w14:paraId="33F8AA1E" w14:textId="77777777" w:rsidR="00EE45A6" w:rsidRPr="005E779E" w:rsidRDefault="00EE45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Срок окончания здания установить ориентировочно на лето 1933 г. Все организационные и другие вопросы, связанные с постройкой дворца поручить Совету строительства (т.т. Ворошилов, Уханов и Енукидзе).</w:t>
      </w:r>
    </w:p>
    <w:p w14:paraId="65A30C80" w14:textId="77777777" w:rsidR="00EE45A6" w:rsidRPr="005E779E" w:rsidRDefault="00EE45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Поручить Совету строительства представить в Политбюро разработанный порядок строительства, порядок объявления конкурсов, схему строительной организации и установленные сроки окончания Дворца Советов.</w:t>
      </w:r>
    </w:p>
    <w:p w14:paraId="3B236EE8" w14:textId="77777777" w:rsidR="00EE45A6" w:rsidRPr="005E779E" w:rsidRDefault="00EE45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(18109).</w:t>
      </w:r>
    </w:p>
    <w:p w14:paraId="59627D0B" w14:textId="77777777" w:rsidR="00EE45A6" w:rsidRPr="005E779E" w:rsidRDefault="00EE45A6" w:rsidP="000B7A6C">
      <w:pPr>
        <w:spacing w:after="0" w:line="240" w:lineRule="auto"/>
        <w:jc w:val="both"/>
        <w:rPr>
          <w:rFonts w:ascii="Times New Roman" w:hAnsi="Times New Roman"/>
          <w:color w:val="000000" w:themeColor="text1"/>
          <w:sz w:val="16"/>
          <w:szCs w:val="16"/>
        </w:rPr>
      </w:pPr>
    </w:p>
    <w:p w14:paraId="3263E2C4"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3CFF55E4"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A8ED9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марта 1931 в Индии вице-король л Ирвин достиг соглашения с Ганди о прекращении компании гражданского неповиновения и партия национального конгресса согласилась принять участие в совещаниях круглого стола, после чего власти освободили политзаключенных (3907,167).</w:t>
      </w:r>
    </w:p>
    <w:p w14:paraId="454497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36F5A84"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11F07FB4"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25FD8B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марта 1931 года состоялось заседания у начальника ВВС:</w:t>
      </w:r>
    </w:p>
    <w:p w14:paraId="42097A0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Протокол</w:t>
      </w:r>
    </w:p>
    <w:p w14:paraId="009C774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Присутствовали: начальник ВВС Баранов, начальник НИИ ВВС Дубенский, помощник начальника НИИ С.В.И., помощник начальника НИИ Коннэрт, зам. председателя НТК Поляев, начальник конструкторского отдела Гроховский.</w:t>
      </w:r>
    </w:p>
    <w:p w14:paraId="0D98B2DE"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Доклад Гроховского о состоянии работ Конструкторского отдела УВВС.</w:t>
      </w:r>
    </w:p>
    <w:p w14:paraId="36129A7C"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План работ конструкторского отдела на 1931 год в основном утвердить.</w:t>
      </w:r>
    </w:p>
    <w:p w14:paraId="02BD4FFE"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дальнейшем основная работа конструкторского отдела должна предусматривать исключительно обслуживание ВВС в отношении улучшения эксплуатации самолетов, моторов, вооружения и оборудования самолетов.</w:t>
      </w:r>
    </w:p>
    <w:p w14:paraId="33B28343"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ближайшее время основной работой конструкторского отдела считать:</w:t>
      </w:r>
    </w:p>
    <w:p w14:paraId="62627FD3"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Проработку вопроса переливки бензина с самолета на самолет в воздухе.</w:t>
      </w:r>
    </w:p>
    <w:p w14:paraId="77CEB45D"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Проработку вопроса подогревания моторов с воздушным охлаждением при эксплуатации их в зимних условиях.</w:t>
      </w:r>
    </w:p>
    <w:p w14:paraId="4FEA5782"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Проработку вопроса выкатывания самолетов на лыжах из ангаров в зимних условиях, особенно тяжелых самолетов.</w:t>
      </w:r>
    </w:p>
    <w:p w14:paraId="6C2BFCA7"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Считать необходимым на одном из совещаний заслушивание доклада Остехбюро о работе по парашютам для сбрасывания грузов. Установление срока созыва этого совещания возложить на начальника НИИ Дубенского.</w:t>
      </w:r>
    </w:p>
    <w:p w14:paraId="6E88781E"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Принимая во внимание, что Гроховский при разработке парашютов для сбрасывания грузов не использовал опыт Остехбюро по этим парашютам – предложить Гроховскому во избежание дублирования этой работы, ознакомиться с работами Остехбюро по парашютам для сбрасывания грузов.</w:t>
      </w:r>
    </w:p>
    <w:p w14:paraId="04751502"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Опытные мастерские НИИ ВВС подчинить начальнику конструкторского отдела.</w:t>
      </w:r>
    </w:p>
    <w:p w14:paraId="1AB395D1"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Предложить начальнику конструкторского отдела в дальнейшем регистрацию всех предложений по изобретениям Воздушного флота установить в конструкторском отделе.</w:t>
      </w:r>
    </w:p>
    <w:p w14:paraId="76872D38"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Установить разделение работ между конструкторским отделом и Бюро особых работ согласно следующего:</w:t>
      </w:r>
    </w:p>
    <w:p w14:paraId="3ADEA352"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БОК ведет разработку всех экспериментальных и исследовательских работ по изобретениям воздушного флота.</w:t>
      </w:r>
    </w:p>
    <w:p w14:paraId="0A2C62E0"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Конструкторский отдел ведет все работы по улучшению эксплуатации самолетов, моторов, вооружения и оборудования самолетов (6770, 127).</w:t>
      </w:r>
    </w:p>
    <w:p w14:paraId="63D9D5EF"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F1124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марта 1931 года был определен протоколом заседания у начальника ВВС План работ Конструкторского Отдела Гроховского на 1931 год (6770).</w:t>
      </w:r>
    </w:p>
    <w:p w14:paraId="59563F0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BD9D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марта 1931 г. гл. инженер по сухопутным самолетам Горощенко писал письмо N 138/589с начальнику 2 управления УСС.</w:t>
      </w:r>
    </w:p>
    <w:p w14:paraId="7158D7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сем препровождается дополнительно Заключение по самолету П2 N 2284.</w:t>
      </w:r>
    </w:p>
    <w:p w14:paraId="785A42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может быть вполне допущен к эксплуатации в гражданском воздушном флоте.</w:t>
      </w:r>
    </w:p>
    <w:p w14:paraId="39C799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полной гарантии от возможности входа в штопор при ошибке пилота, необходимо чтобы задняя кабина при перевозке грузов была загружена общим весом не свыше 100 кг (считая и пассажира), расположенном в кабине наблюдателя (3278).</w:t>
      </w:r>
    </w:p>
    <w:p w14:paraId="394E39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3F4614F" w14:textId="77777777" w:rsidR="009B75C7" w:rsidRPr="005E779E" w:rsidRDefault="009B75C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6 марта 1930 г. закончился перелет летчика ГВФ И.В.Михеева из Москвы в Обдорск и обратно, начатый 31 января на самолете АНТ-9 с механикомн ВЛ.Монаховым. Полет был предпринят с целью выяснения возможности перевозки пушнины из полярных факторий воздушным путем, а также для испытания трехмоторного самолета в условиях крайнего севера. Опыт показал преимущество воздушной перевозки пушнины, которая обычно задерживалась на местах до открытия речной навигации и надолго оставалась мертвым капиталом.</w:t>
      </w:r>
    </w:p>
    <w:p w14:paraId="4145E346" w14:textId="3CB49DE9" w:rsidR="009B75C7" w:rsidRPr="005E779E" w:rsidRDefault="009B75C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/"Вовдушные пути Севера", 1933, стр. 198-215/ (23370)</w:t>
      </w:r>
    </w:p>
    <w:p w14:paraId="312CCA86" w14:textId="77777777" w:rsidR="009B75C7" w:rsidRPr="005E779E" w:rsidRDefault="009B75C7" w:rsidP="000B7A6C">
      <w:pPr>
        <w:spacing w:after="0" w:line="240" w:lineRule="auto"/>
        <w:jc w:val="both"/>
        <w:rPr>
          <w:rFonts w:ascii="Times New Roman" w:hAnsi="Times New Roman"/>
          <w:color w:val="000000" w:themeColor="text1"/>
          <w:sz w:val="16"/>
          <w:szCs w:val="16"/>
        </w:rPr>
      </w:pPr>
    </w:p>
    <w:p w14:paraId="08FC5359"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531642A4"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807681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марта 1931 газета «Правда» вышла с шапкой полосы «Страна должна знать своих героев», что стало на многие годы плакатным лозунгом (4962).</w:t>
      </w:r>
    </w:p>
    <w:p w14:paraId="6F31246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4D77E7" w14:textId="77777777" w:rsidR="00B930A1" w:rsidRPr="005E779E" w:rsidRDefault="00B930A1"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Внешняя политика:</w:t>
      </w:r>
    </w:p>
    <w:p w14:paraId="75FDAAA9" w14:textId="77777777" w:rsidR="00B930A1" w:rsidRPr="005E779E" w:rsidRDefault="00B930A1"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F891C1E" w14:textId="77777777" w:rsidR="00B930A1" w:rsidRPr="005E779E" w:rsidRDefault="00B930A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марта 1931 г.</w:t>
      </w:r>
    </w:p>
    <w:p w14:paraId="6A087526" w14:textId="77777777" w:rsidR="00B930A1" w:rsidRPr="005E779E" w:rsidRDefault="00B930A1"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Письмо Ж. Л. Аренса В. Н. Баркову с указаниями относительно издательских проектов и разъяснительной работы в связи с процессами «Промпартии» и «меньшевиков». 6 марта 1931 г.</w:t>
      </w:r>
    </w:p>
    <w:p w14:paraId="6183333B" w14:textId="77777777" w:rsidR="00B930A1" w:rsidRPr="005E779E" w:rsidRDefault="00B930A1"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Источник: </w:t>
      </w:r>
    </w:p>
    <w:p w14:paraId="01514504" w14:textId="77777777" w:rsidR="00B930A1" w:rsidRPr="005E779E" w:rsidRDefault="00B930A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5D1511E" w14:textId="77777777" w:rsidR="00B930A1" w:rsidRPr="005E779E" w:rsidRDefault="00B930A1"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Архив: </w:t>
      </w:r>
    </w:p>
    <w:p w14:paraId="6A21BB3F" w14:textId="77777777" w:rsidR="00B930A1" w:rsidRPr="005E779E" w:rsidRDefault="00B930A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АВП РФ. Ф. 056. On. 16. П. 34. Д. 14. Л. 30-31</w:t>
      </w:r>
    </w:p>
    <w:p w14:paraId="2B1952F1" w14:textId="77777777" w:rsidR="00B930A1" w:rsidRPr="005E779E" w:rsidRDefault="00B930A1" w:rsidP="000B7A6C">
      <w:pPr>
        <w:pStyle w:val="rteright"/>
        <w:spacing w:before="0" w:after="0"/>
        <w:jc w:val="both"/>
        <w:rPr>
          <w:color w:val="000000" w:themeColor="text1"/>
          <w:sz w:val="16"/>
          <w:szCs w:val="16"/>
        </w:rPr>
      </w:pPr>
      <w:r w:rsidRPr="005E779E">
        <w:rPr>
          <w:color w:val="000000" w:themeColor="text1"/>
          <w:sz w:val="16"/>
          <w:szCs w:val="16"/>
        </w:rPr>
        <w:t>6 марта 1931 г.</w:t>
      </w:r>
    </w:p>
    <w:p w14:paraId="058FAAB1" w14:textId="77777777" w:rsidR="00B930A1" w:rsidRPr="005E779E" w:rsidRDefault="00B930A1" w:rsidP="000B7A6C">
      <w:pPr>
        <w:pStyle w:val="rteright"/>
        <w:spacing w:before="0" w:after="0"/>
        <w:jc w:val="both"/>
        <w:rPr>
          <w:color w:val="000000" w:themeColor="text1"/>
          <w:sz w:val="16"/>
          <w:szCs w:val="16"/>
        </w:rPr>
      </w:pPr>
      <w:r w:rsidRPr="005E779E">
        <w:rPr>
          <w:color w:val="000000" w:themeColor="text1"/>
          <w:sz w:val="16"/>
          <w:szCs w:val="16"/>
        </w:rPr>
        <w:t>Секретно</w:t>
      </w:r>
    </w:p>
    <w:p w14:paraId="7393F22F" w14:textId="77777777" w:rsidR="00B930A1" w:rsidRPr="005E779E" w:rsidRDefault="00B930A1" w:rsidP="000B7A6C">
      <w:pPr>
        <w:pStyle w:val="ae"/>
        <w:spacing w:before="0" w:after="0"/>
        <w:jc w:val="both"/>
        <w:rPr>
          <w:color w:val="000000" w:themeColor="text1"/>
          <w:sz w:val="16"/>
          <w:szCs w:val="16"/>
        </w:rPr>
      </w:pPr>
      <w:r w:rsidRPr="005E779E">
        <w:rPr>
          <w:color w:val="000000" w:themeColor="text1"/>
          <w:sz w:val="16"/>
          <w:szCs w:val="16"/>
        </w:rPr>
        <w:t>Отдел Печати НКИД</w:t>
      </w:r>
    </w:p>
    <w:p w14:paraId="0DBEE386" w14:textId="77777777" w:rsidR="00B930A1" w:rsidRPr="005E779E" w:rsidRDefault="00B930A1" w:rsidP="000B7A6C">
      <w:pPr>
        <w:pStyle w:val="ae"/>
        <w:spacing w:before="0" w:after="0"/>
        <w:jc w:val="both"/>
        <w:rPr>
          <w:color w:val="000000" w:themeColor="text1"/>
          <w:sz w:val="16"/>
          <w:szCs w:val="16"/>
        </w:rPr>
      </w:pPr>
      <w:r w:rsidRPr="005E779E">
        <w:rPr>
          <w:color w:val="000000" w:themeColor="text1"/>
          <w:sz w:val="16"/>
          <w:szCs w:val="16"/>
        </w:rPr>
        <w:t>6.3.1931 г.</w:t>
      </w:r>
    </w:p>
    <w:p w14:paraId="6F2B3543" w14:textId="77777777" w:rsidR="00B930A1" w:rsidRPr="005E779E" w:rsidRDefault="00B930A1" w:rsidP="000B7A6C">
      <w:pPr>
        <w:pStyle w:val="ae"/>
        <w:spacing w:before="0" w:after="0"/>
        <w:jc w:val="both"/>
        <w:rPr>
          <w:color w:val="000000" w:themeColor="text1"/>
          <w:sz w:val="16"/>
          <w:szCs w:val="16"/>
        </w:rPr>
      </w:pPr>
      <w:r w:rsidRPr="005E779E">
        <w:rPr>
          <w:color w:val="000000" w:themeColor="text1"/>
          <w:sz w:val="16"/>
          <w:szCs w:val="16"/>
        </w:rPr>
        <w:t>№27115</w:t>
      </w:r>
    </w:p>
    <w:p w14:paraId="67A74446" w14:textId="77777777" w:rsidR="00B930A1" w:rsidRPr="005E779E" w:rsidRDefault="00B930A1" w:rsidP="000B7A6C">
      <w:pPr>
        <w:pStyle w:val="ae"/>
        <w:spacing w:before="0" w:after="0"/>
        <w:jc w:val="both"/>
        <w:rPr>
          <w:color w:val="000000" w:themeColor="text1"/>
          <w:sz w:val="16"/>
          <w:szCs w:val="16"/>
        </w:rPr>
      </w:pPr>
      <w:r w:rsidRPr="005E779E">
        <w:rPr>
          <w:color w:val="000000" w:themeColor="text1"/>
          <w:sz w:val="16"/>
          <w:szCs w:val="16"/>
        </w:rPr>
        <w:t>Тов. Баркову</w:t>
      </w:r>
    </w:p>
    <w:p w14:paraId="16F311DD" w14:textId="77777777" w:rsidR="00B930A1" w:rsidRPr="005E779E" w:rsidRDefault="00B930A1" w:rsidP="000B7A6C">
      <w:pPr>
        <w:pStyle w:val="ae"/>
        <w:spacing w:before="0" w:after="0"/>
        <w:jc w:val="both"/>
        <w:rPr>
          <w:color w:val="000000" w:themeColor="text1"/>
          <w:sz w:val="16"/>
          <w:szCs w:val="16"/>
        </w:rPr>
      </w:pPr>
      <w:r w:rsidRPr="005E779E">
        <w:rPr>
          <w:color w:val="000000" w:themeColor="text1"/>
          <w:sz w:val="16"/>
          <w:szCs w:val="16"/>
        </w:rPr>
        <w:t>Париж</w:t>
      </w:r>
    </w:p>
    <w:p w14:paraId="06011C5D" w14:textId="2762405E" w:rsidR="00B930A1" w:rsidRPr="005E779E" w:rsidRDefault="00B930A1" w:rsidP="000B7A6C">
      <w:pPr>
        <w:pStyle w:val="rtejustify"/>
        <w:spacing w:before="0" w:after="0"/>
        <w:rPr>
          <w:color w:val="000000" w:themeColor="text1"/>
          <w:sz w:val="16"/>
          <w:szCs w:val="16"/>
        </w:rPr>
      </w:pPr>
      <w:r w:rsidRPr="005E779E">
        <w:rPr>
          <w:color w:val="000000" w:themeColor="text1"/>
          <w:sz w:val="16"/>
          <w:szCs w:val="16"/>
        </w:rPr>
        <w:t>1.</w:t>
      </w:r>
      <w:r w:rsidR="00FE094E">
        <w:rPr>
          <w:color w:val="000000" w:themeColor="text1"/>
          <w:sz w:val="16"/>
          <w:szCs w:val="16"/>
        </w:rPr>
        <w:t xml:space="preserve"> </w:t>
      </w:r>
      <w:r w:rsidRPr="005E779E">
        <w:rPr>
          <w:color w:val="000000" w:themeColor="text1"/>
          <w:sz w:val="16"/>
          <w:szCs w:val="16"/>
        </w:rPr>
        <w:t xml:space="preserve"> Ход процесса меньшевиков и отклики буржуазной печати возлагают, по понятным для Вас причинам, самую существенную часть разъяснительной работы не на полпредство. Это, однако, не освобождает Вас от того, чтобы возможно полнее и шире знакомить и объяснять всем доступным для Вас кругам сущность и итоги этого процесса.</w:t>
      </w:r>
    </w:p>
    <w:p w14:paraId="73A9BD6D" w14:textId="259B13F6" w:rsidR="00B930A1" w:rsidRPr="005E779E" w:rsidRDefault="00B930A1" w:rsidP="000B7A6C">
      <w:pPr>
        <w:pStyle w:val="rtejustify"/>
        <w:spacing w:before="0" w:after="0"/>
        <w:rPr>
          <w:color w:val="000000" w:themeColor="text1"/>
          <w:sz w:val="16"/>
          <w:szCs w:val="16"/>
        </w:rPr>
      </w:pPr>
      <w:r w:rsidRPr="005E779E">
        <w:rPr>
          <w:color w:val="000000" w:themeColor="text1"/>
          <w:sz w:val="16"/>
          <w:szCs w:val="16"/>
        </w:rPr>
        <w:t>2.</w:t>
      </w:r>
      <w:r w:rsidR="00FE094E">
        <w:rPr>
          <w:color w:val="000000" w:themeColor="text1"/>
          <w:sz w:val="16"/>
          <w:szCs w:val="16"/>
        </w:rPr>
        <w:t xml:space="preserve"> </w:t>
      </w:r>
      <w:r w:rsidRPr="005E779E">
        <w:rPr>
          <w:color w:val="000000" w:themeColor="text1"/>
          <w:sz w:val="16"/>
          <w:szCs w:val="16"/>
        </w:rPr>
        <w:t xml:space="preserve"> Вы нам не отвечаете на вопрос о распространении изданных материалов по процессу Промпартии. Неужели до сих пор еще ничего Вами не предпринято в этой области? Необходимо срочно этот пробел восполнить. Не думаю, что для этого Вам понадобились дополнительные ассигновки, так как, как на распространение «Кайе Бле», так и книги мадам Дюшен, Вам нужно всего лишь несколько сот франк[ов]. Вы их можете свободно взять из той суммы, которая Вам послана для «Эйроп Нувелль», так как по крайней мере половина заказанных 1000 экз. этого журнала должна быть распространена в самой Франции, а поэтому у вас получится остаток в 1.500 франк[ов].</w:t>
      </w:r>
    </w:p>
    <w:p w14:paraId="51D4EDCA" w14:textId="088B28D1" w:rsidR="00B930A1" w:rsidRPr="005E779E" w:rsidRDefault="00B930A1" w:rsidP="000B7A6C">
      <w:pPr>
        <w:pStyle w:val="rtejustify"/>
        <w:spacing w:before="0" w:after="0"/>
        <w:rPr>
          <w:color w:val="000000" w:themeColor="text1"/>
          <w:sz w:val="16"/>
          <w:szCs w:val="16"/>
        </w:rPr>
      </w:pPr>
      <w:r w:rsidRPr="005E779E">
        <w:rPr>
          <w:color w:val="000000" w:themeColor="text1"/>
          <w:sz w:val="16"/>
          <w:szCs w:val="16"/>
        </w:rPr>
        <w:t>3.</w:t>
      </w:r>
      <w:r w:rsidR="00FE094E">
        <w:rPr>
          <w:color w:val="000000" w:themeColor="text1"/>
          <w:sz w:val="16"/>
          <w:szCs w:val="16"/>
        </w:rPr>
        <w:t xml:space="preserve"> </w:t>
      </w:r>
      <w:r w:rsidRPr="005E779E">
        <w:rPr>
          <w:color w:val="000000" w:themeColor="text1"/>
          <w:sz w:val="16"/>
          <w:szCs w:val="16"/>
        </w:rPr>
        <w:t xml:space="preserve"> Давным давно писал Вам о том, чтобы уговорить одно из связанных с нами предприятий печатать корреспонденции находящегося в Москве Люциани. По сей день никакого ответа от Вас не получил. Это очень досадно, так как мы в продолжении месяцев лишаемся возможности использовать соответствующим образом как связанные с нами предприятия, так и Люциани.</w:t>
      </w:r>
    </w:p>
    <w:p w14:paraId="70B34D80" w14:textId="4CF2F678" w:rsidR="00B930A1" w:rsidRPr="005E779E" w:rsidRDefault="00B930A1" w:rsidP="000B7A6C">
      <w:pPr>
        <w:pStyle w:val="rtejustify"/>
        <w:spacing w:before="0" w:after="0"/>
        <w:rPr>
          <w:color w:val="000000" w:themeColor="text1"/>
          <w:sz w:val="16"/>
          <w:szCs w:val="16"/>
        </w:rPr>
      </w:pPr>
      <w:r w:rsidRPr="005E779E">
        <w:rPr>
          <w:color w:val="000000" w:themeColor="text1"/>
          <w:sz w:val="16"/>
          <w:szCs w:val="16"/>
        </w:rPr>
        <w:t>4.</w:t>
      </w:r>
      <w:r w:rsidR="00FE094E">
        <w:rPr>
          <w:color w:val="000000" w:themeColor="text1"/>
          <w:sz w:val="16"/>
          <w:szCs w:val="16"/>
        </w:rPr>
        <w:t xml:space="preserve"> </w:t>
      </w:r>
      <w:r w:rsidRPr="005E779E">
        <w:rPr>
          <w:color w:val="000000" w:themeColor="text1"/>
          <w:sz w:val="16"/>
          <w:szCs w:val="16"/>
        </w:rPr>
        <w:t xml:space="preserve"> Проспект работы для сборника, посвященного Колетт, пересылаем П. С. Когану. Его ответ сообщу Вам дополнительно. Сомневаюсь, однако, что он будет положительным.</w:t>
      </w:r>
    </w:p>
    <w:p w14:paraId="29B10FA7" w14:textId="5D333C4A" w:rsidR="00B930A1" w:rsidRPr="005E779E" w:rsidRDefault="00B930A1" w:rsidP="000B7A6C">
      <w:pPr>
        <w:pStyle w:val="rtejustify"/>
        <w:spacing w:before="0" w:after="0"/>
        <w:rPr>
          <w:color w:val="000000" w:themeColor="text1"/>
          <w:sz w:val="16"/>
          <w:szCs w:val="16"/>
        </w:rPr>
      </w:pPr>
      <w:r w:rsidRPr="005E779E">
        <w:rPr>
          <w:color w:val="000000" w:themeColor="text1"/>
          <w:sz w:val="16"/>
          <w:szCs w:val="16"/>
        </w:rPr>
        <w:t>5.</w:t>
      </w:r>
      <w:r w:rsidR="00FE094E">
        <w:rPr>
          <w:color w:val="000000" w:themeColor="text1"/>
          <w:sz w:val="16"/>
          <w:szCs w:val="16"/>
        </w:rPr>
        <w:t xml:space="preserve"> </w:t>
      </w:r>
      <w:r w:rsidRPr="005E779E">
        <w:rPr>
          <w:color w:val="000000" w:themeColor="text1"/>
          <w:sz w:val="16"/>
          <w:szCs w:val="16"/>
        </w:rPr>
        <w:t xml:space="preserve"> Если не ошибаюсь, мы за все время Вашего пребывания в Париже не получили ни одного Вашего дневника. Встречаетесь ли Вы с журналистами вообще и в частности с представителями связанных с нами предприятий? Постоянный регулярный контакт с ними необходим для успешной работы.</w:t>
      </w:r>
    </w:p>
    <w:p w14:paraId="08B23FBB" w14:textId="455CD2BE" w:rsidR="00B930A1" w:rsidRPr="005E779E" w:rsidRDefault="00B930A1" w:rsidP="000B7A6C">
      <w:pPr>
        <w:pStyle w:val="rtejustify"/>
        <w:spacing w:before="0" w:after="0"/>
        <w:rPr>
          <w:color w:val="000000" w:themeColor="text1"/>
          <w:sz w:val="16"/>
          <w:szCs w:val="16"/>
        </w:rPr>
      </w:pPr>
      <w:r w:rsidRPr="005E779E">
        <w:rPr>
          <w:color w:val="000000" w:themeColor="text1"/>
          <w:sz w:val="16"/>
          <w:szCs w:val="16"/>
        </w:rPr>
        <w:t>6.</w:t>
      </w:r>
      <w:r w:rsidR="00FE094E">
        <w:rPr>
          <w:color w:val="000000" w:themeColor="text1"/>
          <w:sz w:val="16"/>
          <w:szCs w:val="16"/>
        </w:rPr>
        <w:t xml:space="preserve"> </w:t>
      </w:r>
      <w:r w:rsidRPr="005E779E">
        <w:rPr>
          <w:color w:val="000000" w:themeColor="text1"/>
          <w:sz w:val="16"/>
          <w:szCs w:val="16"/>
        </w:rPr>
        <w:t xml:space="preserve"> При сем прилагаю доверенность ОГИЗа на имя А. А. Игнатьева. Как Вы видите, ОГИЗ предлагает внести некоторые поправки в договор с Валюа, которые прошу принять к исполнению. Юрисконсульт Наркомвнешторга указывает также, что ОГИЗ должен фигурировать не в качестве автора, а лишь может удостоверить, что перевод во всем соответствует тексту оригинальных стенограмм процесса. Но это имеет второстепенное значение.</w:t>
      </w:r>
    </w:p>
    <w:p w14:paraId="3943960B" w14:textId="43B279B4" w:rsidR="00B930A1" w:rsidRPr="005E779E" w:rsidRDefault="00B930A1" w:rsidP="000B7A6C">
      <w:pPr>
        <w:pStyle w:val="rtejustify"/>
        <w:spacing w:before="0" w:after="0"/>
        <w:rPr>
          <w:color w:val="000000" w:themeColor="text1"/>
          <w:sz w:val="16"/>
          <w:szCs w:val="16"/>
        </w:rPr>
      </w:pPr>
      <w:r w:rsidRPr="005E779E">
        <w:rPr>
          <w:color w:val="000000" w:themeColor="text1"/>
          <w:sz w:val="16"/>
          <w:szCs w:val="16"/>
        </w:rPr>
        <w:t>7.</w:t>
      </w:r>
      <w:r w:rsidR="00FE094E">
        <w:rPr>
          <w:color w:val="000000" w:themeColor="text1"/>
          <w:sz w:val="16"/>
          <w:szCs w:val="16"/>
        </w:rPr>
        <w:t xml:space="preserve"> </w:t>
      </w:r>
      <w:r w:rsidRPr="005E779E">
        <w:rPr>
          <w:color w:val="000000" w:themeColor="text1"/>
          <w:sz w:val="16"/>
          <w:szCs w:val="16"/>
        </w:rPr>
        <w:t xml:space="preserve"> Выслали ли Вы книги: Мартеля (10 экз.), Зигфрида (1 экз.) и Пьера Доминика (2-3 экз.). Мы до сих пор ничего не получили. Пришлите также 2 экз. речи т. Сталина в издании Валюа.</w:t>
      </w:r>
    </w:p>
    <w:p w14:paraId="70DFE4CE" w14:textId="77777777" w:rsidR="00B930A1" w:rsidRPr="005E779E" w:rsidRDefault="00B930A1" w:rsidP="000B7A6C">
      <w:pPr>
        <w:pStyle w:val="ae"/>
        <w:spacing w:before="0" w:after="0"/>
        <w:jc w:val="both"/>
        <w:rPr>
          <w:color w:val="000000" w:themeColor="text1"/>
          <w:sz w:val="16"/>
          <w:szCs w:val="16"/>
        </w:rPr>
      </w:pPr>
      <w:r w:rsidRPr="005E779E">
        <w:rPr>
          <w:color w:val="000000" w:themeColor="text1"/>
          <w:sz w:val="16"/>
          <w:szCs w:val="16"/>
        </w:rPr>
        <w:t>(Аренс)</w:t>
      </w:r>
    </w:p>
    <w:p w14:paraId="5859B79C" w14:textId="77777777" w:rsidR="00B930A1" w:rsidRPr="005E779E" w:rsidRDefault="00B930A1" w:rsidP="000B7A6C">
      <w:pPr>
        <w:pStyle w:val="ae"/>
        <w:spacing w:before="0" w:after="0"/>
        <w:jc w:val="both"/>
        <w:rPr>
          <w:color w:val="000000" w:themeColor="text1"/>
          <w:sz w:val="16"/>
          <w:szCs w:val="16"/>
        </w:rPr>
      </w:pPr>
      <w:r w:rsidRPr="005E779E">
        <w:rPr>
          <w:rStyle w:val="af0"/>
          <w:i w:val="0"/>
          <w:color w:val="000000" w:themeColor="text1"/>
          <w:sz w:val="16"/>
          <w:szCs w:val="16"/>
        </w:rPr>
        <w:t>АВП РФ. Ф. 056. On. 16. П. 34. Д. 14. Л. 30-31. Машинописная копия того времени. Гриф секретности машинописью, исходящий номер написан от руки. На Л. 31 внизу слева делопроизводственная помета машинописью (столбцом) «4 экз. 1 — т. Баркову 1 — т. Литвинову 1 — т. Крестинскому 1 — в дело» (18834).</w:t>
      </w:r>
    </w:p>
    <w:p w14:paraId="04E5B06B" w14:textId="77777777" w:rsidR="00B930A1" w:rsidRPr="005E779E" w:rsidRDefault="00B930A1" w:rsidP="000B7A6C">
      <w:pPr>
        <w:spacing w:after="0" w:line="240" w:lineRule="auto"/>
        <w:jc w:val="both"/>
        <w:rPr>
          <w:rFonts w:ascii="Times New Roman" w:hAnsi="Times New Roman"/>
          <w:color w:val="000000" w:themeColor="text1"/>
          <w:sz w:val="16"/>
          <w:szCs w:val="16"/>
        </w:rPr>
      </w:pPr>
    </w:p>
    <w:p w14:paraId="7AADBD0D"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763AA729"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32BD1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марта 1931 года был утвержден технический проект установки, а в первых числах мая 1932 года первый транспортер ТМ-1-14 вышел на стрельбовые испытания на полигоне в Лебяжьем. Почти одновременно ОКТБ прекращает свое существование, а конструктор освобождается «В связи с окончанием работ по железнодорожным транспортерам» В 1934 году, когда батареи ТМ-1-14 встали на боевое дежурство на Балтике и на Тихом океане, А.Г. Дукельский был удостоен ордена Ленина (9059).</w:t>
      </w:r>
    </w:p>
    <w:p w14:paraId="030EDE81" w14:textId="01DABED3"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FD75009" w14:textId="5AE53B92" w:rsidR="000F1D6E" w:rsidRPr="005E779E" w:rsidRDefault="000F1D6E" w:rsidP="000B7A6C">
      <w:pPr>
        <w:autoSpaceDE w:val="0"/>
        <w:autoSpaceDN w:val="0"/>
        <w:adjustRightInd w:val="0"/>
        <w:spacing w:after="0" w:line="240" w:lineRule="auto"/>
        <w:jc w:val="both"/>
        <w:rPr>
          <w:rFonts w:ascii="Times New Roman" w:hAnsi="Times New Roman"/>
          <w:i/>
          <w:iCs/>
          <w:color w:val="000000" w:themeColor="text1"/>
          <w:sz w:val="16"/>
          <w:szCs w:val="16"/>
        </w:rPr>
      </w:pPr>
      <w:r w:rsidRPr="005E779E">
        <w:rPr>
          <w:rFonts w:ascii="Times New Roman" w:hAnsi="Times New Roman"/>
          <w:i/>
          <w:iCs/>
          <w:color w:val="000000" w:themeColor="text1"/>
          <w:sz w:val="16"/>
          <w:szCs w:val="16"/>
        </w:rPr>
        <w:t>За рубежом:</w:t>
      </w:r>
    </w:p>
    <w:p w14:paraId="51E38698" w14:textId="77777777" w:rsidR="000F1D6E" w:rsidRPr="005E779E" w:rsidRDefault="000F1D6E" w:rsidP="000B7A6C">
      <w:pPr>
        <w:autoSpaceDE w:val="0"/>
        <w:autoSpaceDN w:val="0"/>
        <w:adjustRightInd w:val="0"/>
        <w:spacing w:after="0" w:line="240" w:lineRule="auto"/>
        <w:jc w:val="both"/>
        <w:rPr>
          <w:rFonts w:ascii="Times New Roman" w:hAnsi="Times New Roman"/>
          <w:i/>
          <w:iCs/>
          <w:color w:val="000000" w:themeColor="text1"/>
          <w:sz w:val="16"/>
          <w:szCs w:val="16"/>
        </w:rPr>
      </w:pPr>
    </w:p>
    <w:p w14:paraId="2FD3AC17" w14:textId="77777777" w:rsidR="000F1D6E" w:rsidRPr="005E779E" w:rsidRDefault="000F1D6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марта 1931 - Рут Роулэнд Николс на самолете Lockheed Vega 5a установила рекорд высоты, зарегистрированный FAI - 8761 метр, в аэропорту Джерси-Сити (22578).</w:t>
      </w:r>
    </w:p>
    <w:p w14:paraId="667DC425" w14:textId="77777777" w:rsidR="000F1D6E" w:rsidRPr="005E779E" w:rsidRDefault="000F1D6E" w:rsidP="000B7A6C">
      <w:pPr>
        <w:spacing w:after="0" w:line="240" w:lineRule="auto"/>
        <w:jc w:val="both"/>
        <w:rPr>
          <w:rFonts w:ascii="Times New Roman" w:hAnsi="Times New Roman"/>
          <w:color w:val="000000" w:themeColor="text1"/>
          <w:sz w:val="16"/>
          <w:szCs w:val="16"/>
        </w:rPr>
      </w:pPr>
    </w:p>
    <w:p w14:paraId="6C7AB767"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3ADAE1A2"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A0ECD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марта 1931 года вышло постановление Всесоюзного Авиационного объединения (ВАО) о создании Московского филиала чертежно-конструкторского отдела завода № 21, строящегося в Нижнем Новгороде. Первым начальником этого отдела назначили К.А.Виганда. Нижегородские конструкторы, приобретая навыки проектирования в КБ Д. П. Григоровича и Н. Н. Поликарпова, С. А. Кочергина, разрабатывали чертежи самолетов ДИ-3 и И-5, стажировались в ЦАГИ под руководством А. Н. Туполева. В 1931 году в коллектив завода пришли первые специалисты. Среди них группа выпускников Нижегородского техникума ГВФ: Я. Сорокин, И. Колосов, В. Кутянин, Н. Потехин, В. Ильин и Б. Ильина. К моменту пуска завода в январе 1932 года в его коллектив влилась еще одна группа в составе Г. Миловидова, Е. Мараева, В. Пылина, И. Розенберга, М. Горяинова и Л. Мартемьянова. Летом 1932 года пришла и третья группа выпускников: В. Мюрисеп, Б. Протопопов, П. Иванькин, А. Лезин, А. Ковалев, С. Калышев, А. Яшков и другие. В первые годы работы завода рабочим помогали осваивать авиационные технологии иностранные специалисты (11651).</w:t>
      </w:r>
    </w:p>
    <w:p w14:paraId="24FFFC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B786C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марта 1931 г. начальник произв. технич. отдела УСС Горелиц писал письмо N нто/114с зав. Научной центральной лабораторией гостреста "Лакокраска".</w:t>
      </w:r>
    </w:p>
    <w:p w14:paraId="25F30D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N 48 от 4 марта 1931 г.</w:t>
      </w:r>
    </w:p>
    <w:p w14:paraId="7858D7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сем препровождаются рецептуры завода N 36 масленых лаков и красок коими покрывались металлич. самолеты, а также и рецептуры красок употребляемых в авиачастях.</w:t>
      </w:r>
    </w:p>
    <w:p w14:paraId="03584B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Рецептуры красок, употребляемых ранее</w:t>
      </w:r>
    </w:p>
    <w:p w14:paraId="6D55DE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 в настоящее время в авиачастях</w:t>
      </w:r>
    </w:p>
    <w:p w14:paraId="123622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период функционирования в Москве завода немцами производилась окраска самолетов следующим образом:</w:t>
      </w:r>
    </w:p>
    <w:p w14:paraId="41C607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Дюралюминиевые листы хорошо промываются бензолом для удаления жирных пятен.</w:t>
      </w:r>
    </w:p>
    <w:p w14:paraId="6514B0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Грунтовка производится полужирной масляной краской со сроком просушки 2-3 дня.</w:t>
      </w:r>
    </w:p>
    <w:p w14:paraId="65B10B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Вторичная окраска производится жирной первосортной лаковой краской содержащей сиккатив, но может быть и масляная краска.</w:t>
      </w:r>
    </w:p>
    <w:p w14:paraId="54235C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Разбавлять лаковую краску бензолом воспрещалось, т.к. она в этом случае плохо пристает.</w:t>
      </w:r>
    </w:p>
    <w:p w14:paraId="6BA895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Не разрешалось так называемое "частичное освежение" по старой окраске.</w:t>
      </w:r>
    </w:p>
    <w:p w14:paraId="3D7277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Состав краски:</w:t>
      </w:r>
    </w:p>
    <w:p w14:paraId="6B649B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Верхняя сторона - темная краска: умбра густо растертая в масле - смешанная с зеленой краской и охрой с добавлением 1/3 масляного лака и 2/3 олифы, скипидара и сиккатива.</w:t>
      </w:r>
    </w:p>
    <w:p w14:paraId="0DBAF8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Нижняя сторона - светлая краска: свинцовая белила густо растирается в масле, смеивается с синей и зеленой краской с добавлением 1/3 олифы и 2/3 олифы со скипидаром.</w:t>
      </w:r>
    </w:p>
    <w:p w14:paraId="58D34A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Опознавательные знаки:</w:t>
      </w:r>
    </w:p>
    <w:p w14:paraId="3CDA3B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краска составляется из киновари, растворенной в масле с незначительным добавлением масляного лака (наносится два раза).</w:t>
      </w:r>
    </w:p>
    <w:p w14:paraId="1B2458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Шасси - черная краска: окраска производится масляной краской за один раз, второй слой - черная эмалевая краска.</w:t>
      </w:r>
    </w:p>
    <w:p w14:paraId="5C712C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Обтекатели колес окрашиваются обычной авиационной смолой. Краски приобретались в Лакокраске; лаки с растворителями выписывались из Дессау.</w:t>
      </w:r>
    </w:p>
    <w:p w14:paraId="7CB8FF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Авиачастями на местах применяются различные имеющиеся на рынке краски и употребляются различные способы и рецептуры окрасок, как например:</w:t>
      </w:r>
    </w:p>
    <w:p w14:paraId="602E0D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1-е покрытие - грунтовка цинковыми белилами с олифой; 2-е покрытие - светло-серая краска; белил цинковых - 60%, сажи голландской - 1%, ультрамарину - 1,5%; киновари - 0,5% и олифы - 37%. Сушка между первым и вторым покрытием в летнее время - 2-3 дня.</w:t>
      </w:r>
    </w:p>
    <w:p w14:paraId="61D8AA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После смывки старой краски самолет был покрыт один раз лаком "Дюраль" с небольшой примесью лазури (около 1%); второй раз - верхняя сторона обшивки покрывалась защитной краской состава: олифы - 50%, умбры - 30%, охры - 15%, лазури 1,5%, зелени - 3%, сажи - 1,5%.</w:t>
      </w:r>
    </w:p>
    <w:p w14:paraId="500402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Нижняя сторона покрывалась цинковыми белилами.</w:t>
      </w:r>
    </w:p>
    <w:p w14:paraId="44E626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3-е покрытие производилось теми же красками с добавлением небольшого количества лака N 1.</w:t>
      </w:r>
    </w:p>
    <w:p w14:paraId="4C4F47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Внутренняя часть самолета покрывалась лаком "дюраль" за один раз, а второй раз - масляным лаком N 17.</w:t>
      </w:r>
    </w:p>
    <w:p w14:paraId="18850C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Рецептуры лаков и красок, изготовляемых заводом N 36.</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09"/>
        <w:gridCol w:w="1409"/>
        <w:gridCol w:w="2819"/>
        <w:gridCol w:w="4819"/>
      </w:tblGrid>
      <w:tr w:rsidR="007122AB" w:rsidRPr="005E779E" w14:paraId="18614592" w14:textId="77777777">
        <w:tc>
          <w:tcPr>
            <w:tcW w:w="1409" w:type="dxa"/>
          </w:tcPr>
          <w:p w14:paraId="434AF5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Лак Дюраль</w:t>
            </w:r>
          </w:p>
        </w:tc>
        <w:tc>
          <w:tcPr>
            <w:tcW w:w="1409" w:type="dxa"/>
          </w:tcPr>
          <w:p w14:paraId="2DA765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819" w:type="dxa"/>
          </w:tcPr>
          <w:p w14:paraId="09EA52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Лак Дюраль</w:t>
            </w:r>
          </w:p>
        </w:tc>
        <w:tc>
          <w:tcPr>
            <w:tcW w:w="4819" w:type="dxa"/>
          </w:tcPr>
          <w:p w14:paraId="7D754E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65EE7FBE" w14:textId="77777777">
        <w:tc>
          <w:tcPr>
            <w:tcW w:w="1409" w:type="dxa"/>
          </w:tcPr>
          <w:p w14:paraId="66B6AE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(прежняя рецептура)</w:t>
            </w:r>
          </w:p>
        </w:tc>
        <w:tc>
          <w:tcPr>
            <w:tcW w:w="1409" w:type="dxa"/>
          </w:tcPr>
          <w:p w14:paraId="09517B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819" w:type="dxa"/>
          </w:tcPr>
          <w:p w14:paraId="15EC98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(рецептура в настоящее время)</w:t>
            </w:r>
          </w:p>
        </w:tc>
        <w:tc>
          <w:tcPr>
            <w:tcW w:w="4819" w:type="dxa"/>
          </w:tcPr>
          <w:p w14:paraId="309F2F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3A475F2E" w14:textId="77777777">
        <w:tc>
          <w:tcPr>
            <w:tcW w:w="1409" w:type="dxa"/>
          </w:tcPr>
          <w:p w14:paraId="09A77C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Копал-каури</w:t>
            </w:r>
          </w:p>
        </w:tc>
        <w:tc>
          <w:tcPr>
            <w:tcW w:w="1409" w:type="dxa"/>
          </w:tcPr>
          <w:p w14:paraId="797284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 кг</w:t>
            </w:r>
          </w:p>
        </w:tc>
        <w:tc>
          <w:tcPr>
            <w:tcW w:w="2819" w:type="dxa"/>
          </w:tcPr>
          <w:p w14:paraId="39588C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Копал-каури</w:t>
            </w:r>
          </w:p>
        </w:tc>
        <w:tc>
          <w:tcPr>
            <w:tcW w:w="4819" w:type="dxa"/>
          </w:tcPr>
          <w:p w14:paraId="14FFF4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 кг</w:t>
            </w:r>
          </w:p>
        </w:tc>
      </w:tr>
      <w:tr w:rsidR="007122AB" w:rsidRPr="005E779E" w14:paraId="4CADFAC0" w14:textId="77777777">
        <w:tc>
          <w:tcPr>
            <w:tcW w:w="1409" w:type="dxa"/>
          </w:tcPr>
          <w:p w14:paraId="5F1B32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Копал-Занзибари</w:t>
            </w:r>
          </w:p>
        </w:tc>
        <w:tc>
          <w:tcPr>
            <w:tcW w:w="1409" w:type="dxa"/>
          </w:tcPr>
          <w:p w14:paraId="317569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 кг</w:t>
            </w:r>
          </w:p>
        </w:tc>
        <w:tc>
          <w:tcPr>
            <w:tcW w:w="2819" w:type="dxa"/>
          </w:tcPr>
          <w:p w14:paraId="005D37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Копал-Занзибари</w:t>
            </w:r>
          </w:p>
        </w:tc>
        <w:tc>
          <w:tcPr>
            <w:tcW w:w="4819" w:type="dxa"/>
          </w:tcPr>
          <w:p w14:paraId="131CA3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 кг</w:t>
            </w:r>
          </w:p>
        </w:tc>
      </w:tr>
      <w:tr w:rsidR="007122AB" w:rsidRPr="005E779E" w14:paraId="48F44D99" w14:textId="77777777">
        <w:tc>
          <w:tcPr>
            <w:tcW w:w="1409" w:type="dxa"/>
          </w:tcPr>
          <w:p w14:paraId="49797F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Линолеат густой</w:t>
            </w:r>
          </w:p>
        </w:tc>
        <w:tc>
          <w:tcPr>
            <w:tcW w:w="1409" w:type="dxa"/>
          </w:tcPr>
          <w:p w14:paraId="551A8F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42 кг</w:t>
            </w:r>
          </w:p>
        </w:tc>
        <w:tc>
          <w:tcPr>
            <w:tcW w:w="2819" w:type="dxa"/>
          </w:tcPr>
          <w:p w14:paraId="7705DA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Линолеат густой</w:t>
            </w:r>
          </w:p>
        </w:tc>
        <w:tc>
          <w:tcPr>
            <w:tcW w:w="4819" w:type="dxa"/>
          </w:tcPr>
          <w:p w14:paraId="36A3E7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55 кг</w:t>
            </w:r>
          </w:p>
        </w:tc>
      </w:tr>
      <w:tr w:rsidR="007122AB" w:rsidRPr="005E779E" w14:paraId="335D0380" w14:textId="77777777">
        <w:tc>
          <w:tcPr>
            <w:tcW w:w="1409" w:type="dxa"/>
          </w:tcPr>
          <w:p w14:paraId="5F51C0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Линолеат жидкий</w:t>
            </w:r>
          </w:p>
        </w:tc>
        <w:tc>
          <w:tcPr>
            <w:tcW w:w="1409" w:type="dxa"/>
          </w:tcPr>
          <w:p w14:paraId="5E4CE1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 кг</w:t>
            </w:r>
          </w:p>
        </w:tc>
        <w:tc>
          <w:tcPr>
            <w:tcW w:w="2819" w:type="dxa"/>
          </w:tcPr>
          <w:p w14:paraId="4661F3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Линолеат жидкий</w:t>
            </w:r>
          </w:p>
        </w:tc>
        <w:tc>
          <w:tcPr>
            <w:tcW w:w="4819" w:type="dxa"/>
          </w:tcPr>
          <w:p w14:paraId="36D20D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 кг</w:t>
            </w:r>
          </w:p>
        </w:tc>
      </w:tr>
      <w:tr w:rsidR="007122AB" w:rsidRPr="005E779E" w14:paraId="41147CCE" w14:textId="77777777">
        <w:tc>
          <w:tcPr>
            <w:tcW w:w="1409" w:type="dxa"/>
          </w:tcPr>
          <w:p w14:paraId="125C26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Скипидар</w:t>
            </w:r>
          </w:p>
        </w:tc>
        <w:tc>
          <w:tcPr>
            <w:tcW w:w="1409" w:type="dxa"/>
          </w:tcPr>
          <w:p w14:paraId="742DD2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90 кг</w:t>
            </w:r>
          </w:p>
        </w:tc>
        <w:tc>
          <w:tcPr>
            <w:tcW w:w="2819" w:type="dxa"/>
          </w:tcPr>
          <w:p w14:paraId="1CF69D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Скипидар</w:t>
            </w:r>
          </w:p>
        </w:tc>
        <w:tc>
          <w:tcPr>
            <w:tcW w:w="4819" w:type="dxa"/>
          </w:tcPr>
          <w:p w14:paraId="3BFF02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96 кг</w:t>
            </w:r>
          </w:p>
        </w:tc>
      </w:tr>
      <w:tr w:rsidR="007122AB" w:rsidRPr="005E779E" w14:paraId="270CED19" w14:textId="77777777">
        <w:tc>
          <w:tcPr>
            <w:tcW w:w="1409" w:type="dxa"/>
          </w:tcPr>
          <w:p w14:paraId="4A04CC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Бензин авиац.</w:t>
            </w:r>
          </w:p>
        </w:tc>
        <w:tc>
          <w:tcPr>
            <w:tcW w:w="1409" w:type="dxa"/>
          </w:tcPr>
          <w:p w14:paraId="3513A5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 кг</w:t>
            </w:r>
          </w:p>
        </w:tc>
        <w:tc>
          <w:tcPr>
            <w:tcW w:w="2819" w:type="dxa"/>
          </w:tcPr>
          <w:p w14:paraId="4DCE3A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Бензин авиац.</w:t>
            </w:r>
          </w:p>
        </w:tc>
        <w:tc>
          <w:tcPr>
            <w:tcW w:w="4819" w:type="dxa"/>
          </w:tcPr>
          <w:p w14:paraId="7BB9EE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32 кг</w:t>
            </w:r>
          </w:p>
        </w:tc>
      </w:tr>
      <w:tr w:rsidR="007122AB" w:rsidRPr="005E779E" w14:paraId="623012FA" w14:textId="77777777">
        <w:tc>
          <w:tcPr>
            <w:tcW w:w="1409" w:type="dxa"/>
          </w:tcPr>
          <w:p w14:paraId="35F0B2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Краска хризоидин</w:t>
            </w:r>
          </w:p>
        </w:tc>
        <w:tc>
          <w:tcPr>
            <w:tcW w:w="1409" w:type="dxa"/>
          </w:tcPr>
          <w:p w14:paraId="6DEC3C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0,6 кг</w:t>
            </w:r>
          </w:p>
        </w:tc>
        <w:tc>
          <w:tcPr>
            <w:tcW w:w="2819" w:type="dxa"/>
          </w:tcPr>
          <w:p w14:paraId="1ACC4E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Краска хризоидин</w:t>
            </w:r>
          </w:p>
        </w:tc>
        <w:tc>
          <w:tcPr>
            <w:tcW w:w="4819" w:type="dxa"/>
          </w:tcPr>
          <w:p w14:paraId="2AFDB5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0,6 кг</w:t>
            </w:r>
          </w:p>
        </w:tc>
      </w:tr>
      <w:tr w:rsidR="007122AB" w:rsidRPr="005E779E" w14:paraId="533C8DF6" w14:textId="77777777">
        <w:tc>
          <w:tcPr>
            <w:tcW w:w="1409" w:type="dxa"/>
          </w:tcPr>
          <w:p w14:paraId="6954EC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w:t>
            </w:r>
          </w:p>
        </w:tc>
        <w:tc>
          <w:tcPr>
            <w:tcW w:w="1409" w:type="dxa"/>
          </w:tcPr>
          <w:p w14:paraId="79F5F8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252,6 кг</w:t>
            </w:r>
          </w:p>
        </w:tc>
        <w:tc>
          <w:tcPr>
            <w:tcW w:w="2819" w:type="dxa"/>
          </w:tcPr>
          <w:p w14:paraId="6C56CA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w:t>
            </w:r>
          </w:p>
        </w:tc>
        <w:tc>
          <w:tcPr>
            <w:tcW w:w="4819" w:type="dxa"/>
          </w:tcPr>
          <w:p w14:paraId="58B5D8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283,6 кг</w:t>
            </w:r>
          </w:p>
        </w:tc>
      </w:tr>
      <w:tr w:rsidR="007122AB" w:rsidRPr="005E779E" w14:paraId="0DC85B81" w14:textId="77777777">
        <w:tc>
          <w:tcPr>
            <w:tcW w:w="1409" w:type="dxa"/>
          </w:tcPr>
          <w:p w14:paraId="551EF1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Линолеат густой</w:t>
            </w:r>
          </w:p>
        </w:tc>
        <w:tc>
          <w:tcPr>
            <w:tcW w:w="1409" w:type="dxa"/>
          </w:tcPr>
          <w:p w14:paraId="1F1D10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819" w:type="dxa"/>
          </w:tcPr>
          <w:p w14:paraId="39217B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Линолеат жидкий</w:t>
            </w:r>
          </w:p>
        </w:tc>
        <w:tc>
          <w:tcPr>
            <w:tcW w:w="4819" w:type="dxa"/>
          </w:tcPr>
          <w:p w14:paraId="549907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7DC111AF" w14:textId="77777777">
        <w:tc>
          <w:tcPr>
            <w:tcW w:w="1409" w:type="dxa"/>
          </w:tcPr>
          <w:p w14:paraId="5A6B2D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Масло льняное</w:t>
            </w:r>
          </w:p>
        </w:tc>
        <w:tc>
          <w:tcPr>
            <w:tcW w:w="1409" w:type="dxa"/>
          </w:tcPr>
          <w:p w14:paraId="5CC3CF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180 кг</w:t>
            </w:r>
          </w:p>
        </w:tc>
        <w:tc>
          <w:tcPr>
            <w:tcW w:w="2819" w:type="dxa"/>
          </w:tcPr>
          <w:p w14:paraId="5F055E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Масло льняное</w:t>
            </w:r>
          </w:p>
        </w:tc>
        <w:tc>
          <w:tcPr>
            <w:tcW w:w="4819" w:type="dxa"/>
          </w:tcPr>
          <w:p w14:paraId="6C0B04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192 кг</w:t>
            </w:r>
          </w:p>
        </w:tc>
      </w:tr>
      <w:tr w:rsidR="007122AB" w:rsidRPr="005E779E" w14:paraId="0150F94C" w14:textId="77777777">
        <w:tc>
          <w:tcPr>
            <w:tcW w:w="1409" w:type="dxa"/>
          </w:tcPr>
          <w:p w14:paraId="72D056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Глет</w:t>
            </w:r>
          </w:p>
        </w:tc>
        <w:tc>
          <w:tcPr>
            <w:tcW w:w="1409" w:type="dxa"/>
          </w:tcPr>
          <w:p w14:paraId="3D9C8D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кг</w:t>
            </w:r>
          </w:p>
        </w:tc>
        <w:tc>
          <w:tcPr>
            <w:tcW w:w="2819" w:type="dxa"/>
          </w:tcPr>
          <w:p w14:paraId="39F585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Манганоксид</w:t>
            </w:r>
          </w:p>
        </w:tc>
        <w:tc>
          <w:tcPr>
            <w:tcW w:w="4819" w:type="dxa"/>
          </w:tcPr>
          <w:p w14:paraId="1B0DF3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кг</w:t>
            </w:r>
          </w:p>
        </w:tc>
      </w:tr>
      <w:tr w:rsidR="007122AB" w:rsidRPr="005E779E" w14:paraId="529BCF15" w14:textId="77777777">
        <w:tc>
          <w:tcPr>
            <w:tcW w:w="1409" w:type="dxa"/>
          </w:tcPr>
          <w:p w14:paraId="1A7878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Манганоксид</w:t>
            </w:r>
          </w:p>
        </w:tc>
        <w:tc>
          <w:tcPr>
            <w:tcW w:w="1409" w:type="dxa"/>
          </w:tcPr>
          <w:p w14:paraId="1AC03A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кг</w:t>
            </w:r>
          </w:p>
        </w:tc>
        <w:tc>
          <w:tcPr>
            <w:tcW w:w="2819" w:type="dxa"/>
          </w:tcPr>
          <w:p w14:paraId="5BA085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w:t>
            </w:r>
          </w:p>
        </w:tc>
        <w:tc>
          <w:tcPr>
            <w:tcW w:w="4819" w:type="dxa"/>
          </w:tcPr>
          <w:p w14:paraId="3837E0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193,2 кг</w:t>
            </w:r>
          </w:p>
        </w:tc>
      </w:tr>
      <w:tr w:rsidR="007122AB" w:rsidRPr="005E779E" w14:paraId="100AD664" w14:textId="77777777">
        <w:tc>
          <w:tcPr>
            <w:tcW w:w="1409" w:type="dxa"/>
          </w:tcPr>
          <w:p w14:paraId="3E6429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Известь гащеная</w:t>
            </w:r>
          </w:p>
        </w:tc>
        <w:tc>
          <w:tcPr>
            <w:tcW w:w="1409" w:type="dxa"/>
          </w:tcPr>
          <w:p w14:paraId="239806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кг</w:t>
            </w:r>
          </w:p>
        </w:tc>
        <w:tc>
          <w:tcPr>
            <w:tcW w:w="2819" w:type="dxa"/>
          </w:tcPr>
          <w:p w14:paraId="1A4922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819" w:type="dxa"/>
          </w:tcPr>
          <w:p w14:paraId="02B25F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05A68E79" w14:textId="77777777">
        <w:tc>
          <w:tcPr>
            <w:tcW w:w="1409" w:type="dxa"/>
          </w:tcPr>
          <w:p w14:paraId="0ACF71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w:t>
            </w:r>
          </w:p>
        </w:tc>
        <w:tc>
          <w:tcPr>
            <w:tcW w:w="1409" w:type="dxa"/>
          </w:tcPr>
          <w:p w14:paraId="533B7A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180,4 кг</w:t>
            </w:r>
          </w:p>
        </w:tc>
        <w:tc>
          <w:tcPr>
            <w:tcW w:w="2819" w:type="dxa"/>
          </w:tcPr>
          <w:p w14:paraId="2BD4C2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819" w:type="dxa"/>
          </w:tcPr>
          <w:p w14:paraId="1C4106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bl>
    <w:p w14:paraId="61B473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Масляные краски</w:t>
      </w:r>
    </w:p>
    <w:p w14:paraId="62C3A4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Краска серая тертая на олифе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7638"/>
      </w:tblGrid>
      <w:tr w:rsidR="007122AB" w:rsidRPr="005E779E" w14:paraId="5BB5608A" w14:textId="77777777">
        <w:tc>
          <w:tcPr>
            <w:tcW w:w="2818" w:type="dxa"/>
          </w:tcPr>
          <w:p w14:paraId="0699F0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Литопон 30%</w:t>
            </w:r>
          </w:p>
        </w:tc>
        <w:tc>
          <w:tcPr>
            <w:tcW w:w="7638" w:type="dxa"/>
          </w:tcPr>
          <w:p w14:paraId="5A9D32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65 кг</w:t>
            </w:r>
          </w:p>
        </w:tc>
      </w:tr>
      <w:tr w:rsidR="007122AB" w:rsidRPr="005E779E" w14:paraId="7F10DF20" w14:textId="77777777">
        <w:tc>
          <w:tcPr>
            <w:tcW w:w="2818" w:type="dxa"/>
          </w:tcPr>
          <w:p w14:paraId="58456B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Сажа микронекс терт.</w:t>
            </w:r>
          </w:p>
        </w:tc>
        <w:tc>
          <w:tcPr>
            <w:tcW w:w="7638" w:type="dxa"/>
          </w:tcPr>
          <w:p w14:paraId="7A3C86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0,22 кг</w:t>
            </w:r>
          </w:p>
        </w:tc>
      </w:tr>
      <w:tr w:rsidR="007122AB" w:rsidRPr="005E779E" w14:paraId="73ABE7CB" w14:textId="77777777">
        <w:tc>
          <w:tcPr>
            <w:tcW w:w="2818" w:type="dxa"/>
          </w:tcPr>
          <w:p w14:paraId="454CD5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Милори тертый</w:t>
            </w:r>
          </w:p>
        </w:tc>
        <w:tc>
          <w:tcPr>
            <w:tcW w:w="7638" w:type="dxa"/>
          </w:tcPr>
          <w:p w14:paraId="2F9EA1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0,3 кг</w:t>
            </w:r>
          </w:p>
        </w:tc>
      </w:tr>
      <w:tr w:rsidR="007122AB" w:rsidRPr="005E779E" w14:paraId="2E715077" w14:textId="77777777">
        <w:tc>
          <w:tcPr>
            <w:tcW w:w="2818" w:type="dxa"/>
          </w:tcPr>
          <w:p w14:paraId="24E841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Крон N 4</w:t>
            </w:r>
          </w:p>
        </w:tc>
        <w:tc>
          <w:tcPr>
            <w:tcW w:w="7638" w:type="dxa"/>
          </w:tcPr>
          <w:p w14:paraId="7D151F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0,05 кг</w:t>
            </w:r>
          </w:p>
        </w:tc>
      </w:tr>
      <w:tr w:rsidR="007122AB" w:rsidRPr="005E779E" w14:paraId="43024270" w14:textId="77777777">
        <w:tc>
          <w:tcPr>
            <w:tcW w:w="2818" w:type="dxa"/>
          </w:tcPr>
          <w:p w14:paraId="4C28B5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Олифа</w:t>
            </w:r>
          </w:p>
        </w:tc>
        <w:tc>
          <w:tcPr>
            <w:tcW w:w="7638" w:type="dxa"/>
          </w:tcPr>
          <w:p w14:paraId="50BB78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 кг</w:t>
            </w:r>
          </w:p>
        </w:tc>
      </w:tr>
      <w:tr w:rsidR="007122AB" w:rsidRPr="005E779E" w14:paraId="66E79104" w14:textId="77777777">
        <w:tc>
          <w:tcPr>
            <w:tcW w:w="2818" w:type="dxa"/>
          </w:tcPr>
          <w:p w14:paraId="48BBAC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Лак масляный N 22</w:t>
            </w:r>
          </w:p>
        </w:tc>
        <w:tc>
          <w:tcPr>
            <w:tcW w:w="7638" w:type="dxa"/>
          </w:tcPr>
          <w:p w14:paraId="62C97D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кг</w:t>
            </w:r>
          </w:p>
        </w:tc>
      </w:tr>
      <w:tr w:rsidR="007122AB" w:rsidRPr="005E779E" w14:paraId="403DA16E" w14:textId="77777777">
        <w:tc>
          <w:tcPr>
            <w:tcW w:w="2818" w:type="dxa"/>
          </w:tcPr>
          <w:p w14:paraId="5CB33C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w:t>
            </w:r>
          </w:p>
        </w:tc>
        <w:tc>
          <w:tcPr>
            <w:tcW w:w="7638" w:type="dxa"/>
          </w:tcPr>
          <w:p w14:paraId="63293E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99,57 кг</w:t>
            </w:r>
          </w:p>
        </w:tc>
      </w:tr>
    </w:tbl>
    <w:p w14:paraId="1766E1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Защитная краска на олифе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08"/>
        <w:gridCol w:w="7650"/>
      </w:tblGrid>
      <w:tr w:rsidR="007122AB" w:rsidRPr="005E779E" w14:paraId="0B28D9F5" w14:textId="77777777">
        <w:tc>
          <w:tcPr>
            <w:tcW w:w="2808" w:type="dxa"/>
          </w:tcPr>
          <w:p w14:paraId="60EDDA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Крон N 4</w:t>
            </w:r>
          </w:p>
        </w:tc>
        <w:tc>
          <w:tcPr>
            <w:tcW w:w="7650" w:type="dxa"/>
          </w:tcPr>
          <w:p w14:paraId="1FE0B9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55 кг</w:t>
            </w:r>
          </w:p>
        </w:tc>
      </w:tr>
      <w:tr w:rsidR="007122AB" w:rsidRPr="005E779E" w14:paraId="0DC68D01" w14:textId="77777777">
        <w:tc>
          <w:tcPr>
            <w:tcW w:w="2808" w:type="dxa"/>
          </w:tcPr>
          <w:p w14:paraId="393E4D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Охра</w:t>
            </w:r>
          </w:p>
        </w:tc>
        <w:tc>
          <w:tcPr>
            <w:tcW w:w="7650" w:type="dxa"/>
          </w:tcPr>
          <w:p w14:paraId="262FAB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кг</w:t>
            </w:r>
          </w:p>
        </w:tc>
      </w:tr>
      <w:tr w:rsidR="007122AB" w:rsidRPr="005E779E" w14:paraId="55E7ED61" w14:textId="77777777">
        <w:tc>
          <w:tcPr>
            <w:tcW w:w="2808" w:type="dxa"/>
          </w:tcPr>
          <w:p w14:paraId="151C26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Пиролюзит</w:t>
            </w:r>
          </w:p>
        </w:tc>
        <w:tc>
          <w:tcPr>
            <w:tcW w:w="7650" w:type="dxa"/>
          </w:tcPr>
          <w:p w14:paraId="740DF1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12,7 кг</w:t>
            </w:r>
          </w:p>
        </w:tc>
      </w:tr>
      <w:tr w:rsidR="007122AB" w:rsidRPr="005E779E" w14:paraId="24A5BEDE" w14:textId="77777777">
        <w:tc>
          <w:tcPr>
            <w:tcW w:w="2808" w:type="dxa"/>
          </w:tcPr>
          <w:p w14:paraId="3D8A88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Мумия сухая</w:t>
            </w:r>
          </w:p>
        </w:tc>
        <w:tc>
          <w:tcPr>
            <w:tcW w:w="7650" w:type="dxa"/>
          </w:tcPr>
          <w:p w14:paraId="069887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кг</w:t>
            </w:r>
          </w:p>
        </w:tc>
      </w:tr>
      <w:tr w:rsidR="007122AB" w:rsidRPr="005E779E" w14:paraId="43FDDA5D" w14:textId="77777777">
        <w:tc>
          <w:tcPr>
            <w:tcW w:w="2808" w:type="dxa"/>
          </w:tcPr>
          <w:p w14:paraId="059808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Милори сухой</w:t>
            </w:r>
          </w:p>
        </w:tc>
        <w:tc>
          <w:tcPr>
            <w:tcW w:w="7650" w:type="dxa"/>
          </w:tcPr>
          <w:p w14:paraId="3497F0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0.85 кг</w:t>
            </w:r>
          </w:p>
        </w:tc>
      </w:tr>
      <w:tr w:rsidR="007122AB" w:rsidRPr="005E779E" w14:paraId="74911866" w14:textId="77777777">
        <w:tc>
          <w:tcPr>
            <w:tcW w:w="2808" w:type="dxa"/>
          </w:tcPr>
          <w:p w14:paraId="7CAEFF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Олифа</w:t>
            </w:r>
          </w:p>
        </w:tc>
        <w:tc>
          <w:tcPr>
            <w:tcW w:w="7650" w:type="dxa"/>
          </w:tcPr>
          <w:p w14:paraId="6081F4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 кг</w:t>
            </w:r>
          </w:p>
        </w:tc>
      </w:tr>
      <w:tr w:rsidR="007122AB" w:rsidRPr="005E779E" w14:paraId="0CAF53DD" w14:textId="77777777">
        <w:tc>
          <w:tcPr>
            <w:tcW w:w="2808" w:type="dxa"/>
          </w:tcPr>
          <w:p w14:paraId="7D61EF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Лак масляный N 22</w:t>
            </w:r>
          </w:p>
        </w:tc>
        <w:tc>
          <w:tcPr>
            <w:tcW w:w="7650" w:type="dxa"/>
          </w:tcPr>
          <w:p w14:paraId="312251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кг</w:t>
            </w:r>
          </w:p>
        </w:tc>
      </w:tr>
      <w:tr w:rsidR="007122AB" w:rsidRPr="005E779E" w14:paraId="6F289998" w14:textId="77777777">
        <w:tc>
          <w:tcPr>
            <w:tcW w:w="2808" w:type="dxa"/>
          </w:tcPr>
          <w:p w14:paraId="3D3104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w:t>
            </w:r>
          </w:p>
        </w:tc>
        <w:tc>
          <w:tcPr>
            <w:tcW w:w="7650" w:type="dxa"/>
          </w:tcPr>
          <w:p w14:paraId="1C8D2D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164,5 кг</w:t>
            </w:r>
          </w:p>
        </w:tc>
      </w:tr>
    </w:tbl>
    <w:p w14:paraId="03993F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Грунтовочная краска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08"/>
        <w:gridCol w:w="7650"/>
      </w:tblGrid>
      <w:tr w:rsidR="007122AB" w:rsidRPr="005E779E" w14:paraId="713285BC" w14:textId="77777777">
        <w:tc>
          <w:tcPr>
            <w:tcW w:w="2808" w:type="dxa"/>
          </w:tcPr>
          <w:p w14:paraId="292B9E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Белил цинковых</w:t>
            </w:r>
          </w:p>
        </w:tc>
        <w:tc>
          <w:tcPr>
            <w:tcW w:w="7650" w:type="dxa"/>
          </w:tcPr>
          <w:p w14:paraId="0971E3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 кг</w:t>
            </w:r>
          </w:p>
        </w:tc>
      </w:tr>
      <w:tr w:rsidR="007122AB" w:rsidRPr="005E779E" w14:paraId="5E46D663" w14:textId="77777777">
        <w:tc>
          <w:tcPr>
            <w:tcW w:w="2808" w:type="dxa"/>
          </w:tcPr>
          <w:p w14:paraId="3A4179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Лак масляный N 22</w:t>
            </w:r>
          </w:p>
        </w:tc>
        <w:tc>
          <w:tcPr>
            <w:tcW w:w="7650" w:type="dxa"/>
          </w:tcPr>
          <w:p w14:paraId="7CDA50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 кг</w:t>
            </w:r>
          </w:p>
        </w:tc>
      </w:tr>
      <w:tr w:rsidR="007122AB" w:rsidRPr="005E779E" w14:paraId="7FBB986E" w14:textId="77777777">
        <w:tc>
          <w:tcPr>
            <w:tcW w:w="2808" w:type="dxa"/>
          </w:tcPr>
          <w:p w14:paraId="5E9B74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Олифа</w:t>
            </w:r>
          </w:p>
        </w:tc>
        <w:tc>
          <w:tcPr>
            <w:tcW w:w="7650" w:type="dxa"/>
          </w:tcPr>
          <w:p w14:paraId="0CC1BE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кг</w:t>
            </w:r>
          </w:p>
        </w:tc>
      </w:tr>
      <w:tr w:rsidR="007122AB" w:rsidRPr="005E779E" w14:paraId="4975D8DB" w14:textId="77777777">
        <w:tc>
          <w:tcPr>
            <w:tcW w:w="2808" w:type="dxa"/>
          </w:tcPr>
          <w:p w14:paraId="5AD3A1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Скипидар</w:t>
            </w:r>
          </w:p>
        </w:tc>
        <w:tc>
          <w:tcPr>
            <w:tcW w:w="7650" w:type="dxa"/>
          </w:tcPr>
          <w:p w14:paraId="03ED80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кг</w:t>
            </w:r>
          </w:p>
        </w:tc>
      </w:tr>
      <w:tr w:rsidR="007122AB" w:rsidRPr="005E779E" w14:paraId="2F8A09FF" w14:textId="77777777">
        <w:tc>
          <w:tcPr>
            <w:tcW w:w="2808" w:type="dxa"/>
          </w:tcPr>
          <w:p w14:paraId="490D2E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Сажа микронекс терт.</w:t>
            </w:r>
          </w:p>
        </w:tc>
        <w:tc>
          <w:tcPr>
            <w:tcW w:w="7650" w:type="dxa"/>
          </w:tcPr>
          <w:p w14:paraId="19B77E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0,25 кг</w:t>
            </w:r>
          </w:p>
        </w:tc>
      </w:tr>
      <w:tr w:rsidR="007122AB" w:rsidRPr="005E779E" w14:paraId="642ACAC6" w14:textId="77777777">
        <w:tc>
          <w:tcPr>
            <w:tcW w:w="2808" w:type="dxa"/>
          </w:tcPr>
          <w:p w14:paraId="5DAE5A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Сажа сухая</w:t>
            </w:r>
          </w:p>
        </w:tc>
        <w:tc>
          <w:tcPr>
            <w:tcW w:w="7650" w:type="dxa"/>
          </w:tcPr>
          <w:p w14:paraId="04C712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0,026 кг</w:t>
            </w:r>
          </w:p>
        </w:tc>
      </w:tr>
      <w:tr w:rsidR="007122AB" w:rsidRPr="005E779E" w14:paraId="029D260F" w14:textId="77777777">
        <w:tc>
          <w:tcPr>
            <w:tcW w:w="2808" w:type="dxa"/>
          </w:tcPr>
          <w:p w14:paraId="58B1F3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w:t>
            </w:r>
          </w:p>
        </w:tc>
        <w:tc>
          <w:tcPr>
            <w:tcW w:w="7650" w:type="dxa"/>
          </w:tcPr>
          <w:p w14:paraId="3DE12D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120,275 кг</w:t>
            </w:r>
          </w:p>
        </w:tc>
      </w:tr>
    </w:tbl>
    <w:p w14:paraId="61C9CA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Лак N 22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08"/>
        <w:gridCol w:w="7650"/>
      </w:tblGrid>
      <w:tr w:rsidR="007122AB" w:rsidRPr="005E779E" w14:paraId="37464B7F" w14:textId="77777777">
        <w:tc>
          <w:tcPr>
            <w:tcW w:w="2808" w:type="dxa"/>
          </w:tcPr>
          <w:p w14:paraId="157964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Копал-каури</w:t>
            </w:r>
          </w:p>
        </w:tc>
        <w:tc>
          <w:tcPr>
            <w:tcW w:w="7650" w:type="dxa"/>
          </w:tcPr>
          <w:p w14:paraId="6D141A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48 кг</w:t>
            </w:r>
          </w:p>
        </w:tc>
      </w:tr>
      <w:tr w:rsidR="007122AB" w:rsidRPr="005E779E" w14:paraId="21128A37" w14:textId="77777777">
        <w:tc>
          <w:tcPr>
            <w:tcW w:w="2808" w:type="dxa"/>
          </w:tcPr>
          <w:p w14:paraId="1ECB0B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Гарпиус</w:t>
            </w:r>
          </w:p>
        </w:tc>
        <w:tc>
          <w:tcPr>
            <w:tcW w:w="7650" w:type="dxa"/>
          </w:tcPr>
          <w:p w14:paraId="6E8C8D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кг</w:t>
            </w:r>
          </w:p>
        </w:tc>
      </w:tr>
      <w:tr w:rsidR="007122AB" w:rsidRPr="005E779E" w14:paraId="0C6144EA" w14:textId="77777777">
        <w:tc>
          <w:tcPr>
            <w:tcW w:w="2808" w:type="dxa"/>
          </w:tcPr>
          <w:p w14:paraId="5F4D36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Линолеат густой</w:t>
            </w:r>
          </w:p>
        </w:tc>
        <w:tc>
          <w:tcPr>
            <w:tcW w:w="7650" w:type="dxa"/>
          </w:tcPr>
          <w:p w14:paraId="3042C3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 кг</w:t>
            </w:r>
          </w:p>
        </w:tc>
      </w:tr>
      <w:tr w:rsidR="007122AB" w:rsidRPr="005E779E" w14:paraId="2DDEC5FA" w14:textId="77777777">
        <w:tc>
          <w:tcPr>
            <w:tcW w:w="2808" w:type="dxa"/>
          </w:tcPr>
          <w:p w14:paraId="0A9D85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Линолеат жидкий</w:t>
            </w:r>
          </w:p>
        </w:tc>
        <w:tc>
          <w:tcPr>
            <w:tcW w:w="7650" w:type="dxa"/>
          </w:tcPr>
          <w:p w14:paraId="580409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кг</w:t>
            </w:r>
          </w:p>
        </w:tc>
      </w:tr>
      <w:tr w:rsidR="007122AB" w:rsidRPr="005E779E" w14:paraId="709D352D" w14:textId="77777777">
        <w:tc>
          <w:tcPr>
            <w:tcW w:w="2808" w:type="dxa"/>
          </w:tcPr>
          <w:p w14:paraId="565DC7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Скипидар</w:t>
            </w:r>
          </w:p>
        </w:tc>
        <w:tc>
          <w:tcPr>
            <w:tcW w:w="7650" w:type="dxa"/>
          </w:tcPr>
          <w:p w14:paraId="66CA0E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78 кг</w:t>
            </w:r>
          </w:p>
        </w:tc>
      </w:tr>
      <w:tr w:rsidR="007122AB" w:rsidRPr="005E779E" w14:paraId="447212A5" w14:textId="77777777">
        <w:tc>
          <w:tcPr>
            <w:tcW w:w="2808" w:type="dxa"/>
          </w:tcPr>
          <w:p w14:paraId="5A0DE6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Бензин 1 сорта</w:t>
            </w:r>
          </w:p>
        </w:tc>
        <w:tc>
          <w:tcPr>
            <w:tcW w:w="7650" w:type="dxa"/>
          </w:tcPr>
          <w:p w14:paraId="624321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кг</w:t>
            </w:r>
          </w:p>
        </w:tc>
      </w:tr>
      <w:tr w:rsidR="007122AB" w:rsidRPr="005E779E" w14:paraId="23687D42" w14:textId="77777777">
        <w:tc>
          <w:tcPr>
            <w:tcW w:w="2808" w:type="dxa"/>
          </w:tcPr>
          <w:p w14:paraId="67422C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w:t>
            </w:r>
          </w:p>
        </w:tc>
        <w:tc>
          <w:tcPr>
            <w:tcW w:w="7650" w:type="dxa"/>
          </w:tcPr>
          <w:p w14:paraId="70B679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190 кг</w:t>
            </w:r>
          </w:p>
        </w:tc>
      </w:tr>
    </w:tbl>
    <w:p w14:paraId="7A9A18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Олифа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08"/>
        <w:gridCol w:w="7650"/>
      </w:tblGrid>
      <w:tr w:rsidR="007122AB" w:rsidRPr="005E779E" w14:paraId="07C11F4F" w14:textId="77777777">
        <w:tc>
          <w:tcPr>
            <w:tcW w:w="2808" w:type="dxa"/>
          </w:tcPr>
          <w:p w14:paraId="04B389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Масло льняное</w:t>
            </w:r>
          </w:p>
        </w:tc>
        <w:tc>
          <w:tcPr>
            <w:tcW w:w="7650" w:type="dxa"/>
          </w:tcPr>
          <w:p w14:paraId="76BE90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1230 кг</w:t>
            </w:r>
          </w:p>
        </w:tc>
      </w:tr>
      <w:tr w:rsidR="007122AB" w:rsidRPr="005E779E" w14:paraId="21910824" w14:textId="77777777">
        <w:tc>
          <w:tcPr>
            <w:tcW w:w="2808" w:type="dxa"/>
          </w:tcPr>
          <w:p w14:paraId="16DAC0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Глет</w:t>
            </w:r>
          </w:p>
        </w:tc>
        <w:tc>
          <w:tcPr>
            <w:tcW w:w="7650" w:type="dxa"/>
          </w:tcPr>
          <w:p w14:paraId="61269E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кг</w:t>
            </w:r>
          </w:p>
        </w:tc>
      </w:tr>
      <w:tr w:rsidR="007122AB" w:rsidRPr="005E779E" w14:paraId="34AC1702" w14:textId="77777777">
        <w:tc>
          <w:tcPr>
            <w:tcW w:w="2808" w:type="dxa"/>
          </w:tcPr>
          <w:p w14:paraId="53F204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Манганоксид</w:t>
            </w:r>
          </w:p>
        </w:tc>
        <w:tc>
          <w:tcPr>
            <w:tcW w:w="7650" w:type="dxa"/>
          </w:tcPr>
          <w:p w14:paraId="0698F2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кг</w:t>
            </w:r>
          </w:p>
        </w:tc>
      </w:tr>
      <w:tr w:rsidR="007122AB" w:rsidRPr="005E779E" w14:paraId="16E58EE2" w14:textId="77777777">
        <w:tc>
          <w:tcPr>
            <w:tcW w:w="2808" w:type="dxa"/>
          </w:tcPr>
          <w:p w14:paraId="48FB88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Известь гашеная</w:t>
            </w:r>
          </w:p>
        </w:tc>
        <w:tc>
          <w:tcPr>
            <w:tcW w:w="7650" w:type="dxa"/>
          </w:tcPr>
          <w:p w14:paraId="74A91D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 кг</w:t>
            </w:r>
          </w:p>
        </w:tc>
      </w:tr>
      <w:tr w:rsidR="007122AB" w:rsidRPr="005E779E" w14:paraId="652153DC" w14:textId="77777777">
        <w:tc>
          <w:tcPr>
            <w:tcW w:w="2808" w:type="dxa"/>
          </w:tcPr>
          <w:p w14:paraId="7FA73D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w:t>
            </w:r>
          </w:p>
        </w:tc>
        <w:tc>
          <w:tcPr>
            <w:tcW w:w="7650" w:type="dxa"/>
          </w:tcPr>
          <w:p w14:paraId="4DF904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1249,6 кг</w:t>
            </w:r>
          </w:p>
        </w:tc>
      </w:tr>
    </w:tbl>
    <w:p w14:paraId="4A9B1D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3-й способ</w:t>
      </w:r>
    </w:p>
    <w:p w14:paraId="3BBE03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олифа льняная N 84 - 33%</w:t>
      </w:r>
    </w:p>
    <w:p w14:paraId="039A45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цинковая белила "000" на голубую краску - 25%</w:t>
      </w:r>
    </w:p>
    <w:p w14:paraId="507202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цинковая белила "000" на защитную краску - 12%</w:t>
      </w:r>
    </w:p>
    <w:p w14:paraId="40C98F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крон английский - 200 кг на 1 кг</w:t>
      </w:r>
    </w:p>
    <w:p w14:paraId="0F96BC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милори - 50 кг на 1 кг</w:t>
      </w:r>
    </w:p>
    <w:p w14:paraId="24DC4E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сажи или слоновой кости - 50 кг</w:t>
      </w:r>
    </w:p>
    <w:p w14:paraId="32BCB7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киновари - 50 кг</w:t>
      </w:r>
    </w:p>
    <w:p w14:paraId="0CE9E6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сиккатива N 99 - 25 кг</w:t>
      </w:r>
    </w:p>
    <w:p w14:paraId="04408F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масляный лак N 15 или N 25 - 38,5%.</w:t>
      </w:r>
    </w:p>
    <w:p w14:paraId="3BCABD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Подлинность указанных рецептур подтверждает ст. технический приемщик УСС ВВС Каченовский (3288).</w:t>
      </w:r>
    </w:p>
    <w:p w14:paraId="6BE082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EE9C3A7" w14:textId="77777777" w:rsidR="00FB17DA" w:rsidRPr="005E779E" w:rsidRDefault="00874B1E" w:rsidP="000B7A6C">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0903A7A0" w14:textId="77777777" w:rsidR="00FB17DA" w:rsidRPr="005E779E" w:rsidRDefault="00FB17DA" w:rsidP="000B7A6C">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6C426350"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марта 1931 г. — Из объяснительной записки Оружобъединения к годовому отчету о деятельности заводов за 1929/30 г.</w:t>
      </w:r>
    </w:p>
    <w:p w14:paraId="49E8EB20"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Совершенно секретно.</w:t>
      </w:r>
    </w:p>
    <w:p w14:paraId="0790F63B"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I. Производство1*</w:t>
      </w:r>
    </w:p>
    <w:p w14:paraId="5F42F379"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Орудийно-оружейно-пулеметное объединение организовалось в апреле 1930 г. в результате слияния двух бывших трестов — Орудийно-арсенального и Оружейно-пулеметного — с изъятием от нового объединения части заводов: завода им. Воскова (Сестр[орецкий] завод), «Красногвардеец» (Ленинград) и всей группы оптических заводов, и в объединении осталось 11 заводов.</w:t>
      </w:r>
    </w:p>
    <w:p w14:paraId="26835215"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Работа как объединения, так и заводов в течение 1929/30 г. протекала в условиях, которые не могли не отразиться на нормальном ходе выполнения намеченного объема работ и отсюда, как следствие, успешном выполнении программы производства. Останавливаясь ниже на основных причинах прорывов в 1929/30 г., объединение отмечает следующее: 1. Номенклатурный размер программы производства изменялся с постепенным ростом в течение всей первой половины операционного года. Это особенно касается программы производства по военной продукции. 2. Окончательный размер производства заводов на 1929/30 г. по утвержденному промфинплану во втором полугодии показывает рост программы в 66% от 1928/29 г. против предварительной наметки в 24,1% по контрольным цифрам на тот же год. 3. Резкое развертывание отдельных производств (пул[еметы] Дегтярева и др.) с одновременным свертыванием других производств (ватермашины). 4. Изменение и неопределенность технических условий заказчика по ряду производств (пулем[етам] Дегтярева, авиац[ионным] бомбам) задерживали нормальный ход производства заводов. 5. Ликвидация последствий вредительства (в частности, по производству пулемета Максима, замена мерительного инструмента и т. п.). 6. Затруднения с продовольствием на заводе № 2, ММЗ и др. 7. Недостаток рабочих отдельных квалификаций (особенно токарей и лекальщиков). 8. Недостаточно интенсивная деятельность самих заводов и бывших трестов и объединения. 9. Аппараты объединения и заводов недостаточно использовали ресурсы заводов из-за незнания в точности мощностей своего оборудования и реальных возможностей, рассчитывали, что новый рост загрузки на 66% будет выполняться при наличии условий работы прежних лет.</w:t>
      </w:r>
    </w:p>
    <w:p w14:paraId="16F0C367"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Надеясь на самотек, заводы слишком поздно приступили к подготовке новых кадров рабочих, недостаток которых был очевиден уже с начала операционного года. Заводские аппараты настолько беспечно отнеслись к этому вопросу, что начали набор рабсилы только с конца II квартала, когда по плану это должно быть начато в I квартале и начале II квартала. Некоторые заводы даже в I квартале сокращали рабсилу, зная, что в течение года они будут принуждены увеличить кадры почти вдвое. Поздний, а отсюда и неравномерный набор рабсилы и резкий наплыв ее во втором полугодии, не способствовали своевременной подготовке рабсилы, что явилось причиной увеличения текучести, падения труддисциплины и падения производительности.</w:t>
      </w:r>
    </w:p>
    <w:p w14:paraId="2D84FCBE"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Заводы, надеясь на самотек, сохранили те же методы экономического и технического планирования, какие были в наличии прошлых лет: а) экономическое планирование не было увязано с техническим, и наоборот; б) как экономическое, так и техническое планирование имело больше директивный характер и не было обеспечено оперативным проведением его в цехах; в) отсутствовала увязка в планировании работы механических цехов с заготовительными и других цехов между собой.</w:t>
      </w:r>
    </w:p>
    <w:p w14:paraId="61E0D2F2"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Эти недостатки технического планирования усугублялись отсутствием на ряде заводов точно зафиксированного технологического процесса производства изготовляемых изделий, чему способствовало изменение номенклатур ранее вырабатываемых изделий, установки ряда новых производств, модернизации военных изделий и изменение технических условий.</w:t>
      </w:r>
    </w:p>
    <w:p w14:paraId="09098A86"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Заводы не довели промплан во всех его показателях до цеха, чем не обеспечили себе инициативы всех работников завода и рабочих масс по выполнению показателей промплана.</w:t>
      </w:r>
    </w:p>
    <w:p w14:paraId="4E13ECC7"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Бухгалтерия на ряде заводов (особенно быв. Орудийного треста) сохранила полностью свою инертность, не учла потребностей жизни, существующих директив, и, несмотря на ряд мероприятий со стороны объединения, часть бухгалтерии заводов не изменила свои методы работы в течение года и слабо подготовилась к этому и на 1931 г. Все это вместе взятое в свою очередь повлияло на задержку с переводом цехов на хозрасчет в 1929/30 г. и скажется на качестве этого перевода в 1931 г.</w:t>
      </w:r>
    </w:p>
    <w:p w14:paraId="6D6F6DAD"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Следствием всех этих недостатков явилось резкое недовыполнение плановых заданий по заводам, а отсюда и по объединению. Отдельные заводы не выполнили своих программ или недостаточно их развернули из-за несвоевременного получения от других н[аших] заводов полуфабрикатов, поковок, сталей и т. п. Об этом свидетельствует выполнение заводами всей суммы междузаводских заказов всего лишь в размере 74,4% от годового плана, и притом большая часть этого выполнения с начала заводами отодвинута была систематическими недовыполнениями на конец года. Итоговое сопоставление выполнения отдельных видов валовой продукции с намеченным планом в тыс. руб. 1926/27 г. показывает:</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487"/>
        <w:gridCol w:w="1084"/>
        <w:gridCol w:w="906"/>
        <w:gridCol w:w="1084"/>
        <w:gridCol w:w="949"/>
        <w:gridCol w:w="1812"/>
      </w:tblGrid>
      <w:tr w:rsidR="007122AB" w:rsidRPr="005E779E" w14:paraId="54A3AB8F" w14:textId="77777777" w:rsidTr="00083CD8">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6CF6874"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прод[укции]</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DE7057B"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1928/29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2CA0344"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1929/30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AEC41C2"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Процент выполн[ения]</w:t>
            </w:r>
          </w:p>
        </w:tc>
      </w:tr>
      <w:tr w:rsidR="007122AB" w:rsidRPr="005E779E" w14:paraId="2EC571B7" w14:textId="77777777" w:rsidTr="00083CD8">
        <w:tc>
          <w:tcPr>
            <w:tcW w:w="0" w:type="auto"/>
            <w:vMerge/>
            <w:tcBorders>
              <w:top w:val="outset" w:sz="6" w:space="0" w:color="auto"/>
              <w:left w:val="outset" w:sz="6" w:space="0" w:color="auto"/>
              <w:bottom w:val="outset" w:sz="6" w:space="0" w:color="auto"/>
              <w:right w:val="outset" w:sz="6" w:space="0" w:color="auto"/>
            </w:tcBorders>
            <w:vAlign w:val="center"/>
            <w:hideMark/>
          </w:tcPr>
          <w:p w14:paraId="25F95EFF" w14:textId="77777777" w:rsidR="00FB17DA" w:rsidRPr="005E779E" w:rsidRDefault="00FB17DA" w:rsidP="000B7A6C">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ABE3281" w14:textId="77777777" w:rsidR="00FB17DA" w:rsidRPr="005E779E" w:rsidRDefault="00FB17DA" w:rsidP="000B7A6C">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A45ED9"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план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45D77875"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отчет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635013C"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w:t>
            </w:r>
          </w:p>
          <w:p w14:paraId="6A7D47BE"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1928/29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336220E"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 плана 1929/30 г.</w:t>
            </w:r>
          </w:p>
        </w:tc>
      </w:tr>
      <w:tr w:rsidR="007122AB" w:rsidRPr="005E779E" w14:paraId="756D4917"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67A85245"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Военная прод[укция] со спецзаказами]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F690446"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76 561,4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AD5B7CA"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136 729,9</w:t>
            </w:r>
          </w:p>
        </w:tc>
        <w:tc>
          <w:tcPr>
            <w:tcW w:w="0" w:type="auto"/>
            <w:tcBorders>
              <w:top w:val="outset" w:sz="6" w:space="0" w:color="auto"/>
              <w:left w:val="outset" w:sz="6" w:space="0" w:color="auto"/>
              <w:bottom w:val="outset" w:sz="6" w:space="0" w:color="auto"/>
              <w:right w:val="outset" w:sz="6" w:space="0" w:color="auto"/>
            </w:tcBorders>
            <w:vAlign w:val="center"/>
            <w:hideMark/>
          </w:tcPr>
          <w:p w14:paraId="33F8895D"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93 124,3</w:t>
            </w:r>
          </w:p>
        </w:tc>
        <w:tc>
          <w:tcPr>
            <w:tcW w:w="0" w:type="auto"/>
            <w:tcBorders>
              <w:top w:val="outset" w:sz="6" w:space="0" w:color="auto"/>
              <w:left w:val="outset" w:sz="6" w:space="0" w:color="auto"/>
              <w:bottom w:val="outset" w:sz="6" w:space="0" w:color="auto"/>
              <w:right w:val="outset" w:sz="6" w:space="0" w:color="auto"/>
            </w:tcBorders>
            <w:vAlign w:val="center"/>
            <w:hideMark/>
          </w:tcPr>
          <w:p w14:paraId="60BA8B7A"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121,6</w:t>
            </w:r>
          </w:p>
        </w:tc>
        <w:tc>
          <w:tcPr>
            <w:tcW w:w="0" w:type="auto"/>
            <w:tcBorders>
              <w:top w:val="outset" w:sz="6" w:space="0" w:color="auto"/>
              <w:left w:val="outset" w:sz="6" w:space="0" w:color="auto"/>
              <w:bottom w:val="outset" w:sz="6" w:space="0" w:color="auto"/>
              <w:right w:val="outset" w:sz="6" w:space="0" w:color="auto"/>
            </w:tcBorders>
            <w:vAlign w:val="center"/>
            <w:hideMark/>
          </w:tcPr>
          <w:p w14:paraId="6F85A73A"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68,1</w:t>
            </w:r>
          </w:p>
        </w:tc>
      </w:tr>
      <w:tr w:rsidR="007122AB" w:rsidRPr="005E779E" w14:paraId="4ED14743"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7C99DC48"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Мирная продукция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5A4A9C6"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51 309,3</w:t>
            </w:r>
          </w:p>
        </w:tc>
        <w:tc>
          <w:tcPr>
            <w:tcW w:w="0" w:type="auto"/>
            <w:tcBorders>
              <w:top w:val="outset" w:sz="6" w:space="0" w:color="auto"/>
              <w:left w:val="outset" w:sz="6" w:space="0" w:color="auto"/>
              <w:bottom w:val="outset" w:sz="6" w:space="0" w:color="auto"/>
              <w:right w:val="outset" w:sz="6" w:space="0" w:color="auto"/>
            </w:tcBorders>
            <w:vAlign w:val="center"/>
            <w:hideMark/>
          </w:tcPr>
          <w:p w14:paraId="0911CEE6"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91 888,7</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B095A"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83 798</w:t>
            </w:r>
          </w:p>
        </w:tc>
        <w:tc>
          <w:tcPr>
            <w:tcW w:w="0" w:type="auto"/>
            <w:tcBorders>
              <w:top w:val="outset" w:sz="6" w:space="0" w:color="auto"/>
              <w:left w:val="outset" w:sz="6" w:space="0" w:color="auto"/>
              <w:bottom w:val="outset" w:sz="6" w:space="0" w:color="auto"/>
              <w:right w:val="outset" w:sz="6" w:space="0" w:color="auto"/>
            </w:tcBorders>
            <w:vAlign w:val="center"/>
            <w:hideMark/>
          </w:tcPr>
          <w:p w14:paraId="72E27338"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163,3</w:t>
            </w:r>
          </w:p>
        </w:tc>
        <w:tc>
          <w:tcPr>
            <w:tcW w:w="0" w:type="auto"/>
            <w:tcBorders>
              <w:top w:val="outset" w:sz="6" w:space="0" w:color="auto"/>
              <w:left w:val="outset" w:sz="6" w:space="0" w:color="auto"/>
              <w:bottom w:val="outset" w:sz="6" w:space="0" w:color="auto"/>
              <w:right w:val="outset" w:sz="6" w:space="0" w:color="auto"/>
            </w:tcBorders>
            <w:vAlign w:val="center"/>
            <w:hideMark/>
          </w:tcPr>
          <w:p w14:paraId="746B2E04"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91,2</w:t>
            </w:r>
          </w:p>
        </w:tc>
      </w:tr>
      <w:tr w:rsidR="007122AB" w:rsidRPr="005E779E" w14:paraId="48E9A6F4"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4DA7C043"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 внешн[ей] тов[арной]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787ABE6"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127 870,7</w:t>
            </w:r>
          </w:p>
        </w:tc>
        <w:tc>
          <w:tcPr>
            <w:tcW w:w="0" w:type="auto"/>
            <w:tcBorders>
              <w:top w:val="outset" w:sz="6" w:space="0" w:color="auto"/>
              <w:left w:val="outset" w:sz="6" w:space="0" w:color="auto"/>
              <w:bottom w:val="outset" w:sz="6" w:space="0" w:color="auto"/>
              <w:right w:val="outset" w:sz="6" w:space="0" w:color="auto"/>
            </w:tcBorders>
            <w:vAlign w:val="center"/>
            <w:hideMark/>
          </w:tcPr>
          <w:p w14:paraId="6ADA5D0F"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228 618,6</w:t>
            </w:r>
          </w:p>
        </w:tc>
        <w:tc>
          <w:tcPr>
            <w:tcW w:w="0" w:type="auto"/>
            <w:tcBorders>
              <w:top w:val="outset" w:sz="6" w:space="0" w:color="auto"/>
              <w:left w:val="outset" w:sz="6" w:space="0" w:color="auto"/>
              <w:bottom w:val="outset" w:sz="6" w:space="0" w:color="auto"/>
              <w:right w:val="outset" w:sz="6" w:space="0" w:color="auto"/>
            </w:tcBorders>
            <w:vAlign w:val="center"/>
            <w:hideMark/>
          </w:tcPr>
          <w:p w14:paraId="563105BA"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176 922,3</w:t>
            </w:r>
          </w:p>
        </w:tc>
        <w:tc>
          <w:tcPr>
            <w:tcW w:w="0" w:type="auto"/>
            <w:tcBorders>
              <w:top w:val="outset" w:sz="6" w:space="0" w:color="auto"/>
              <w:left w:val="outset" w:sz="6" w:space="0" w:color="auto"/>
              <w:bottom w:val="outset" w:sz="6" w:space="0" w:color="auto"/>
              <w:right w:val="outset" w:sz="6" w:space="0" w:color="auto"/>
            </w:tcBorders>
            <w:vAlign w:val="center"/>
            <w:hideMark/>
          </w:tcPr>
          <w:p w14:paraId="31B5A562"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132</w:t>
            </w:r>
          </w:p>
        </w:tc>
        <w:tc>
          <w:tcPr>
            <w:tcW w:w="0" w:type="auto"/>
            <w:tcBorders>
              <w:top w:val="outset" w:sz="6" w:space="0" w:color="auto"/>
              <w:left w:val="outset" w:sz="6" w:space="0" w:color="auto"/>
              <w:bottom w:val="outset" w:sz="6" w:space="0" w:color="auto"/>
              <w:right w:val="outset" w:sz="6" w:space="0" w:color="auto"/>
            </w:tcBorders>
            <w:vAlign w:val="center"/>
            <w:hideMark/>
          </w:tcPr>
          <w:p w14:paraId="20968143"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77,4</w:t>
            </w:r>
          </w:p>
        </w:tc>
      </w:tr>
      <w:tr w:rsidR="007122AB" w:rsidRPr="005E779E" w14:paraId="53E46D7F"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46B6C0A6"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Опытные и уст[ановочные] работы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C096A42"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2294,2</w:t>
            </w:r>
          </w:p>
        </w:tc>
        <w:tc>
          <w:tcPr>
            <w:tcW w:w="0" w:type="auto"/>
            <w:tcBorders>
              <w:top w:val="outset" w:sz="6" w:space="0" w:color="auto"/>
              <w:left w:val="outset" w:sz="6" w:space="0" w:color="auto"/>
              <w:bottom w:val="outset" w:sz="6" w:space="0" w:color="auto"/>
              <w:right w:val="outset" w:sz="6" w:space="0" w:color="auto"/>
            </w:tcBorders>
            <w:vAlign w:val="center"/>
            <w:hideMark/>
          </w:tcPr>
          <w:p w14:paraId="403E4A88"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3573</w:t>
            </w:r>
          </w:p>
        </w:tc>
        <w:tc>
          <w:tcPr>
            <w:tcW w:w="0" w:type="auto"/>
            <w:tcBorders>
              <w:top w:val="outset" w:sz="6" w:space="0" w:color="auto"/>
              <w:left w:val="outset" w:sz="6" w:space="0" w:color="auto"/>
              <w:bottom w:val="outset" w:sz="6" w:space="0" w:color="auto"/>
              <w:right w:val="outset" w:sz="6" w:space="0" w:color="auto"/>
            </w:tcBorders>
            <w:vAlign w:val="center"/>
            <w:hideMark/>
          </w:tcPr>
          <w:p w14:paraId="30BE1441"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3938,1</w:t>
            </w:r>
          </w:p>
        </w:tc>
        <w:tc>
          <w:tcPr>
            <w:tcW w:w="0" w:type="auto"/>
            <w:tcBorders>
              <w:top w:val="outset" w:sz="6" w:space="0" w:color="auto"/>
              <w:left w:val="outset" w:sz="6" w:space="0" w:color="auto"/>
              <w:bottom w:val="outset" w:sz="6" w:space="0" w:color="auto"/>
              <w:right w:val="outset" w:sz="6" w:space="0" w:color="auto"/>
            </w:tcBorders>
            <w:vAlign w:val="center"/>
            <w:hideMark/>
          </w:tcPr>
          <w:p w14:paraId="071BDB15"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06375"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110,3</w:t>
            </w:r>
          </w:p>
        </w:tc>
      </w:tr>
      <w:tr w:rsidR="007122AB" w:rsidRPr="005E779E" w14:paraId="63F80CAD"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7D4993D9"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Заготовки для капработ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AB9EF8F"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13 486,9</w:t>
            </w:r>
          </w:p>
        </w:tc>
        <w:tc>
          <w:tcPr>
            <w:tcW w:w="0" w:type="auto"/>
            <w:tcBorders>
              <w:top w:val="outset" w:sz="6" w:space="0" w:color="auto"/>
              <w:left w:val="outset" w:sz="6" w:space="0" w:color="auto"/>
              <w:bottom w:val="outset" w:sz="6" w:space="0" w:color="auto"/>
              <w:right w:val="outset" w:sz="6" w:space="0" w:color="auto"/>
            </w:tcBorders>
            <w:vAlign w:val="center"/>
            <w:hideMark/>
          </w:tcPr>
          <w:p w14:paraId="1A280104"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14 365,4</w:t>
            </w:r>
          </w:p>
        </w:tc>
        <w:tc>
          <w:tcPr>
            <w:tcW w:w="0" w:type="auto"/>
            <w:tcBorders>
              <w:top w:val="outset" w:sz="6" w:space="0" w:color="auto"/>
              <w:left w:val="outset" w:sz="6" w:space="0" w:color="auto"/>
              <w:bottom w:val="outset" w:sz="6" w:space="0" w:color="auto"/>
              <w:right w:val="outset" w:sz="6" w:space="0" w:color="auto"/>
            </w:tcBorders>
            <w:vAlign w:val="center"/>
            <w:hideMark/>
          </w:tcPr>
          <w:p w14:paraId="0BBBB58C"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20 472,7</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06D16"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BD5CBCB"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142,5</w:t>
            </w:r>
          </w:p>
        </w:tc>
      </w:tr>
      <w:tr w:rsidR="007122AB" w:rsidRPr="005E779E" w14:paraId="124FCB69"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3E0B3233"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Междузаводские заказы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E9190D7"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11 700,8</w:t>
            </w:r>
          </w:p>
        </w:tc>
        <w:tc>
          <w:tcPr>
            <w:tcW w:w="0" w:type="auto"/>
            <w:tcBorders>
              <w:top w:val="outset" w:sz="6" w:space="0" w:color="auto"/>
              <w:left w:val="outset" w:sz="6" w:space="0" w:color="auto"/>
              <w:bottom w:val="outset" w:sz="6" w:space="0" w:color="auto"/>
              <w:right w:val="outset" w:sz="6" w:space="0" w:color="auto"/>
            </w:tcBorders>
            <w:vAlign w:val="center"/>
            <w:hideMark/>
          </w:tcPr>
          <w:p w14:paraId="416E586E"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24 275,8</w:t>
            </w:r>
          </w:p>
        </w:tc>
        <w:tc>
          <w:tcPr>
            <w:tcW w:w="0" w:type="auto"/>
            <w:tcBorders>
              <w:top w:val="outset" w:sz="6" w:space="0" w:color="auto"/>
              <w:left w:val="outset" w:sz="6" w:space="0" w:color="auto"/>
              <w:bottom w:val="outset" w:sz="6" w:space="0" w:color="auto"/>
              <w:right w:val="outset" w:sz="6" w:space="0" w:color="auto"/>
            </w:tcBorders>
            <w:vAlign w:val="center"/>
            <w:hideMark/>
          </w:tcPr>
          <w:p w14:paraId="41434303"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18 058,2</w:t>
            </w:r>
          </w:p>
        </w:tc>
        <w:tc>
          <w:tcPr>
            <w:tcW w:w="0" w:type="auto"/>
            <w:tcBorders>
              <w:top w:val="outset" w:sz="6" w:space="0" w:color="auto"/>
              <w:left w:val="outset" w:sz="6" w:space="0" w:color="auto"/>
              <w:bottom w:val="outset" w:sz="6" w:space="0" w:color="auto"/>
              <w:right w:val="outset" w:sz="6" w:space="0" w:color="auto"/>
            </w:tcBorders>
            <w:vAlign w:val="center"/>
            <w:hideMark/>
          </w:tcPr>
          <w:p w14:paraId="4C6E95C4"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154,4</w:t>
            </w:r>
          </w:p>
        </w:tc>
        <w:tc>
          <w:tcPr>
            <w:tcW w:w="0" w:type="auto"/>
            <w:tcBorders>
              <w:top w:val="outset" w:sz="6" w:space="0" w:color="auto"/>
              <w:left w:val="outset" w:sz="6" w:space="0" w:color="auto"/>
              <w:bottom w:val="outset" w:sz="6" w:space="0" w:color="auto"/>
              <w:right w:val="outset" w:sz="6" w:space="0" w:color="auto"/>
            </w:tcBorders>
            <w:vAlign w:val="center"/>
            <w:hideMark/>
          </w:tcPr>
          <w:p w14:paraId="49746B93"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74,4</w:t>
            </w:r>
          </w:p>
        </w:tc>
      </w:tr>
      <w:tr w:rsidR="007122AB" w:rsidRPr="005E779E" w14:paraId="33F099FB"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1A3B28EE"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Увеличение заг[отовок] незаверш[енного] пр[оизводст]ва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A9DE543"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18 137,9</w:t>
            </w:r>
          </w:p>
        </w:tc>
        <w:tc>
          <w:tcPr>
            <w:tcW w:w="0" w:type="auto"/>
            <w:tcBorders>
              <w:top w:val="outset" w:sz="6" w:space="0" w:color="auto"/>
              <w:left w:val="outset" w:sz="6" w:space="0" w:color="auto"/>
              <w:bottom w:val="outset" w:sz="6" w:space="0" w:color="auto"/>
              <w:right w:val="outset" w:sz="6" w:space="0" w:color="auto"/>
            </w:tcBorders>
            <w:vAlign w:val="center"/>
            <w:hideMark/>
          </w:tcPr>
          <w:p w14:paraId="46711B06"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17 994,1</w:t>
            </w:r>
          </w:p>
        </w:tc>
        <w:tc>
          <w:tcPr>
            <w:tcW w:w="0" w:type="auto"/>
            <w:tcBorders>
              <w:top w:val="outset" w:sz="6" w:space="0" w:color="auto"/>
              <w:left w:val="outset" w:sz="6" w:space="0" w:color="auto"/>
              <w:bottom w:val="outset" w:sz="6" w:space="0" w:color="auto"/>
              <w:right w:val="outset" w:sz="6" w:space="0" w:color="auto"/>
            </w:tcBorders>
            <w:vAlign w:val="center"/>
            <w:hideMark/>
          </w:tcPr>
          <w:p w14:paraId="7C268D4B"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34 003,1</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76776"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187,5</w:t>
            </w:r>
          </w:p>
        </w:tc>
        <w:tc>
          <w:tcPr>
            <w:tcW w:w="0" w:type="auto"/>
            <w:tcBorders>
              <w:top w:val="outset" w:sz="6" w:space="0" w:color="auto"/>
              <w:left w:val="outset" w:sz="6" w:space="0" w:color="auto"/>
              <w:bottom w:val="outset" w:sz="6" w:space="0" w:color="auto"/>
              <w:right w:val="outset" w:sz="6" w:space="0" w:color="auto"/>
            </w:tcBorders>
            <w:vAlign w:val="center"/>
            <w:hideMark/>
          </w:tcPr>
          <w:p w14:paraId="2D190564"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189,1</w:t>
            </w:r>
          </w:p>
        </w:tc>
      </w:tr>
      <w:tr w:rsidR="007122AB" w:rsidRPr="005E779E" w14:paraId="3DFD468B"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3050050E"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 по валовой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8DEBFE2"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173 500,5²*</w:t>
            </w:r>
          </w:p>
        </w:tc>
        <w:tc>
          <w:tcPr>
            <w:tcW w:w="0" w:type="auto"/>
            <w:tcBorders>
              <w:top w:val="outset" w:sz="6" w:space="0" w:color="auto"/>
              <w:left w:val="outset" w:sz="6" w:space="0" w:color="auto"/>
              <w:bottom w:val="outset" w:sz="6" w:space="0" w:color="auto"/>
              <w:right w:val="outset" w:sz="6" w:space="0" w:color="auto"/>
            </w:tcBorders>
            <w:vAlign w:val="center"/>
            <w:hideMark/>
          </w:tcPr>
          <w:p w14:paraId="6473F3C0"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288 826,9</w:t>
            </w:r>
          </w:p>
        </w:tc>
        <w:tc>
          <w:tcPr>
            <w:tcW w:w="0" w:type="auto"/>
            <w:tcBorders>
              <w:top w:val="outset" w:sz="6" w:space="0" w:color="auto"/>
              <w:left w:val="outset" w:sz="6" w:space="0" w:color="auto"/>
              <w:bottom w:val="outset" w:sz="6" w:space="0" w:color="auto"/>
              <w:right w:val="outset" w:sz="6" w:space="0" w:color="auto"/>
            </w:tcBorders>
            <w:vAlign w:val="center"/>
            <w:hideMark/>
          </w:tcPr>
          <w:p w14:paraId="4F5B04DC"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253 394,3³*</w:t>
            </w:r>
          </w:p>
        </w:tc>
        <w:tc>
          <w:tcPr>
            <w:tcW w:w="0" w:type="auto"/>
            <w:tcBorders>
              <w:top w:val="outset" w:sz="6" w:space="0" w:color="auto"/>
              <w:left w:val="outset" w:sz="6" w:space="0" w:color="auto"/>
              <w:bottom w:val="outset" w:sz="6" w:space="0" w:color="auto"/>
              <w:right w:val="outset" w:sz="6" w:space="0" w:color="auto"/>
            </w:tcBorders>
            <w:vAlign w:val="center"/>
            <w:hideMark/>
          </w:tcPr>
          <w:p w14:paraId="71D64C47"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146</w:t>
            </w:r>
          </w:p>
        </w:tc>
        <w:tc>
          <w:tcPr>
            <w:tcW w:w="0" w:type="auto"/>
            <w:tcBorders>
              <w:top w:val="outset" w:sz="6" w:space="0" w:color="auto"/>
              <w:left w:val="outset" w:sz="6" w:space="0" w:color="auto"/>
              <w:bottom w:val="outset" w:sz="6" w:space="0" w:color="auto"/>
              <w:right w:val="outset" w:sz="6" w:space="0" w:color="auto"/>
            </w:tcBorders>
            <w:vAlign w:val="center"/>
            <w:hideMark/>
          </w:tcPr>
          <w:p w14:paraId="45393043"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87,7</w:t>
            </w:r>
          </w:p>
        </w:tc>
      </w:tr>
    </w:tbl>
    <w:p w14:paraId="388811EC"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Основное невыполнение по военной продукции падает:</w:t>
      </w:r>
    </w:p>
    <w:p w14:paraId="572452E4"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 xml:space="preserve">1. По пулеметам Максима на ТОЗе имеется недовыполнение по количеству в размере 2205 шт., или на 38,9%. По этому же пр[оизводст]ву завод вышел почти с полным невыполнением заказа на пулеметные замки (96,2% недовыполнения), на что в сильной степени повлияло резкое изменение технических условий производства по изготовлению замка — завод в течение года перешел на изготовление почти всего замка из других сталей, что вызвало за собой полное изменение технологического процесса, изменение всего рабочего инструмента и лекал. Фактически в 1929/30 г. завод изыскивал пути изменения технологического процесса, пулеметное производство почти на 2 месяца было остановлено. Работа возникла в связи с ликвидацией последствий вредительства. Эта же работа еще более усугубила «узкое» место ТОЗа — положение </w:t>
      </w:r>
      <w:r w:rsidRPr="005E779E">
        <w:rPr>
          <w:rStyle w:val="af0"/>
          <w:i w:val="0"/>
          <w:color w:val="000000" w:themeColor="text1"/>
          <w:sz w:val="16"/>
          <w:szCs w:val="16"/>
        </w:rPr>
        <w:t xml:space="preserve">с </w:t>
      </w:r>
      <w:r w:rsidRPr="005E779E">
        <w:rPr>
          <w:color w:val="000000" w:themeColor="text1"/>
          <w:sz w:val="16"/>
          <w:szCs w:val="16"/>
        </w:rPr>
        <w:t>лекальным делом.</w:t>
      </w:r>
    </w:p>
    <w:p w14:paraId="278CCB99"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2. Недовыполнение программы по этому же заводу по пулем[етному] станку Соколова на 41,29[%] (2427 шт.), по револьверу на 20,4% (10 360 шт.) объясняется исключительно внутренними неувязками в работе самого завода.</w:t>
      </w:r>
    </w:p>
    <w:p w14:paraId="5F6B6D18"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3. По пехотным пулеметам Дегтярева завод № 2 вышел с невыполнением в размере 52,2% (6211 шт.) главным образом по следующим причинам: а) резкое увеличение по плану роста программы при наличии неустановившегося производства; б) необходимость достижения взаимозаменяемости составных частей пулемета (достигнуто); в) частичное изменение технических условий со стороны заказчика.</w:t>
      </w:r>
    </w:p>
    <w:p w14:paraId="37451A9F"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4. Почти полное недовыполнение по пулеметам ДА (95,6%) — 2131 шт. и ДТ — 1028 шт. (78,3%) в основном объясняется отсутствием окончательных образцов от заказчика.</w:t>
      </w:r>
    </w:p>
    <w:p w14:paraId="711B04A0"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5. Недовыполнение 120 шт. 5</w:t>
      </w:r>
      <w:r w:rsidRPr="005E779E">
        <w:rPr>
          <w:color w:val="000000" w:themeColor="text1"/>
          <w:sz w:val="16"/>
          <w:szCs w:val="16"/>
        </w:rPr>
        <w:noBreakHyphen/>
        <w:t>тонных тракторов, или 74,5%, то же — Т</w:t>
      </w:r>
      <w:r w:rsidRPr="005E779E">
        <w:rPr>
          <w:color w:val="000000" w:themeColor="text1"/>
          <w:sz w:val="16"/>
          <w:szCs w:val="16"/>
        </w:rPr>
        <w:noBreakHyphen/>
        <w:t>18 в количестве 128 шт., или 41,9% от плана по заводу «Большевик» объясняется резким разворачиванием этих производств, окончание заказа по Т</w:t>
      </w:r>
      <w:r w:rsidRPr="005E779E">
        <w:rPr>
          <w:color w:val="000000" w:themeColor="text1"/>
          <w:sz w:val="16"/>
          <w:szCs w:val="16"/>
        </w:rPr>
        <w:noBreakHyphen/>
        <w:t>18 в особом квартале фактически не повлияло на программу особого квартала, и, несмотря на значительное одновременное выполнение старых заказов по запчастям, в октябре месяце весь заказ по Т</w:t>
      </w:r>
      <w:r w:rsidRPr="005E779E">
        <w:rPr>
          <w:color w:val="000000" w:themeColor="text1"/>
          <w:sz w:val="16"/>
          <w:szCs w:val="16"/>
        </w:rPr>
        <w:noBreakHyphen/>
        <w:t>18 1929/30 г. был закончен.</w:t>
      </w:r>
    </w:p>
    <w:p w14:paraId="348D572D"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6. Конструктивное изменение в производстве аэробомб по заводу Мастяжарт явилось наряду с внутренними неувязками у завода и совершенно недостаточными темпами в работе одной из основных причин резкого недовыполнения плана: по 32</w:t>
      </w:r>
      <w:r w:rsidRPr="005E779E">
        <w:rPr>
          <w:color w:val="000000" w:themeColor="text1"/>
          <w:sz w:val="16"/>
          <w:szCs w:val="16"/>
        </w:rPr>
        <w:noBreakHyphen/>
        <w:t>кг бомб[ам] недовыполнение выявилось в размере 88,6%; по 16</w:t>
      </w:r>
      <w:r w:rsidRPr="005E779E">
        <w:rPr>
          <w:color w:val="000000" w:themeColor="text1"/>
          <w:sz w:val="16"/>
          <w:szCs w:val="16"/>
        </w:rPr>
        <w:noBreakHyphen/>
        <w:t>кг бомб[ам] недовыполнение выявилось в размере 74,1%. Значительное влияние на это недовыполнение оказала также несвоевременная и недостаточная поставка заводу полуфабрикатов (горловин и головок).</w:t>
      </w:r>
    </w:p>
    <w:p w14:paraId="2D56264D"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lastRenderedPageBreak/>
        <w:t>7. Недовыполнение программы по военной продукции по Мотовилихе падает главным образом: а) полностью не выполнен план производства по запасным частям (на сумму 680 тыс. руб.); б) по переств[олению] 122</w:t>
      </w:r>
      <w:r w:rsidRPr="005E779E">
        <w:rPr>
          <w:color w:val="000000" w:themeColor="text1"/>
          <w:sz w:val="16"/>
          <w:szCs w:val="16"/>
        </w:rPr>
        <w:noBreakHyphen/>
        <w:t>мм систем недовыполн[ено] 32 шт., или 45,7%; в) по 152</w:t>
      </w:r>
      <w:r w:rsidRPr="005E779E">
        <w:rPr>
          <w:color w:val="000000" w:themeColor="text1"/>
          <w:sz w:val="16"/>
          <w:szCs w:val="16"/>
        </w:rPr>
        <w:noBreakHyphen/>
        <w:t>мм гауб[ицам] обр[азца] 1904 г. — 13 шт., или 14,5%; г) по бронебойным снарядам 8</w:t>
      </w:r>
      <w:r w:rsidRPr="005E779E">
        <w:rPr>
          <w:color w:val="000000" w:themeColor="text1"/>
          <w:sz w:val="16"/>
          <w:szCs w:val="16"/>
        </w:rPr>
        <w:noBreakHyphen/>
        <w:t>дюймовым и 12</w:t>
      </w:r>
      <w:r w:rsidRPr="005E779E">
        <w:rPr>
          <w:color w:val="000000" w:themeColor="text1"/>
          <w:sz w:val="16"/>
          <w:szCs w:val="16"/>
        </w:rPr>
        <w:noBreakHyphen/>
        <w:t>дюймовым имеется недовыполнение в размере 49,5%.</w:t>
      </w:r>
    </w:p>
    <w:p w14:paraId="5D08205A"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8. Основное недовыполнение по мирной продукции падает на: а) инструмент всякого вида — недовыполнено 22,6%; б) охот[ничье] оружие всякого вида — недовыполнено 26,6%; в) сталь для внешних заказчиков — недовыполнено 24,7%; г) размер недовыполнения по авиапоковкам от плана равен 9,7% против портфеля, превышающего план (последний доходит до 23,2%).</w:t>
      </w:r>
    </w:p>
    <w:p w14:paraId="1BCE085F"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Размер недовыполнения производства по междузаводским заказам (25,6%), как указывалось выше, явился немаловажной причиной в недовыполнении программ пр[оизводст]ва по заводам-заказчикам. Резкое превышение размера увеличения заказов на переходах объясняется: а) недовыполнением выпуска товарной продукции и задержка деталей этой продукции на переходах; это относится к пулеметам Максима, Дегтярева, танкам, драгам и др.; б) дополнительным заданием со стороны моб[илизации] по доведению запасов на переходах до необходимого уровня (по ТОЗу); в) изменением размера развертывания на 1930/1931 г. по плану в сторону резкого увеличения.</w:t>
      </w:r>
    </w:p>
    <w:p w14:paraId="4A23D8A9"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Картина выполнения программы производства по заводам рисуется в следующем виде [(в процентах)]:</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35"/>
        <w:gridCol w:w="7037"/>
        <w:gridCol w:w="1875"/>
        <w:gridCol w:w="1875"/>
      </w:tblGrid>
      <w:tr w:rsidR="007122AB" w:rsidRPr="005E779E" w14:paraId="68ACFE16"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5C3BB56B"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79ABA488"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п/п</w:t>
            </w:r>
          </w:p>
        </w:tc>
        <w:tc>
          <w:tcPr>
            <w:tcW w:w="0" w:type="auto"/>
            <w:tcBorders>
              <w:top w:val="outset" w:sz="6" w:space="0" w:color="auto"/>
              <w:left w:val="outset" w:sz="6" w:space="0" w:color="auto"/>
              <w:bottom w:val="outset" w:sz="6" w:space="0" w:color="auto"/>
              <w:right w:val="outset" w:sz="6" w:space="0" w:color="auto"/>
            </w:tcBorders>
            <w:vAlign w:val="center"/>
            <w:hideMark/>
          </w:tcPr>
          <w:p w14:paraId="48D3ED5E"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54601A6"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Товарная</w:t>
            </w:r>
          </w:p>
          <w:p w14:paraId="69B9F041"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прод[укция]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D42DB3C"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Валовая</w:t>
            </w:r>
          </w:p>
          <w:p w14:paraId="28E15CAC"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прод[укция]</w:t>
            </w:r>
          </w:p>
        </w:tc>
      </w:tr>
      <w:tr w:rsidR="007122AB" w:rsidRPr="005E779E" w14:paraId="1221A9A0"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4F9C7665"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076E9D1"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Мотовилих[инский] машиностр[оительный]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CF4CAB2"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610EB5A"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84,8</w:t>
            </w:r>
          </w:p>
        </w:tc>
      </w:tr>
      <w:tr w:rsidR="007122AB" w:rsidRPr="005E779E" w14:paraId="1C7C12B7"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30750F01"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5CD75D4"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«Большевик»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062DFF0A"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70,2</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DDEE0"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103,6</w:t>
            </w:r>
          </w:p>
        </w:tc>
      </w:tr>
      <w:tr w:rsidR="007122AB" w:rsidRPr="005E779E" w14:paraId="2B3B830E"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5EE6BA10"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547CF1DF"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 8</w:t>
            </w:r>
          </w:p>
        </w:tc>
        <w:tc>
          <w:tcPr>
            <w:tcW w:w="0" w:type="auto"/>
            <w:tcBorders>
              <w:top w:val="outset" w:sz="6" w:space="0" w:color="auto"/>
              <w:left w:val="outset" w:sz="6" w:space="0" w:color="auto"/>
              <w:bottom w:val="outset" w:sz="6" w:space="0" w:color="auto"/>
              <w:right w:val="outset" w:sz="6" w:space="0" w:color="auto"/>
            </w:tcBorders>
            <w:vAlign w:val="center"/>
            <w:hideMark/>
          </w:tcPr>
          <w:p w14:paraId="5857CDBB"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82,6</w:t>
            </w:r>
          </w:p>
        </w:tc>
        <w:tc>
          <w:tcPr>
            <w:tcW w:w="0" w:type="auto"/>
            <w:tcBorders>
              <w:top w:val="outset" w:sz="6" w:space="0" w:color="auto"/>
              <w:left w:val="outset" w:sz="6" w:space="0" w:color="auto"/>
              <w:bottom w:val="outset" w:sz="6" w:space="0" w:color="auto"/>
              <w:right w:val="outset" w:sz="6" w:space="0" w:color="auto"/>
            </w:tcBorders>
            <w:vAlign w:val="center"/>
            <w:hideMark/>
          </w:tcPr>
          <w:p w14:paraId="3B7C50FB"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111,5</w:t>
            </w:r>
          </w:p>
        </w:tc>
      </w:tr>
      <w:tr w:rsidR="007122AB" w:rsidRPr="005E779E" w14:paraId="69888384"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251F69B5"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41271261"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«Баррикады»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2F8F3F9"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3B45E09"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w:t>
            </w:r>
          </w:p>
        </w:tc>
      </w:tr>
      <w:tr w:rsidR="007122AB" w:rsidRPr="005E779E" w14:paraId="77C7C856"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352A4FB9"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33412DD8"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 7</w:t>
            </w:r>
          </w:p>
        </w:tc>
        <w:tc>
          <w:tcPr>
            <w:tcW w:w="0" w:type="auto"/>
            <w:tcBorders>
              <w:top w:val="outset" w:sz="6" w:space="0" w:color="auto"/>
              <w:left w:val="outset" w:sz="6" w:space="0" w:color="auto"/>
              <w:bottom w:val="outset" w:sz="6" w:space="0" w:color="auto"/>
              <w:right w:val="outset" w:sz="6" w:space="0" w:color="auto"/>
            </w:tcBorders>
            <w:vAlign w:val="center"/>
            <w:hideMark/>
          </w:tcPr>
          <w:p w14:paraId="668895CD"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E7CD9D"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105,3</w:t>
            </w:r>
          </w:p>
        </w:tc>
      </w:tr>
      <w:tr w:rsidR="007122AB" w:rsidRPr="005E779E" w14:paraId="4E280146"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465D964F"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0F5C3356"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 13</w:t>
            </w:r>
          </w:p>
        </w:tc>
        <w:tc>
          <w:tcPr>
            <w:tcW w:w="0" w:type="auto"/>
            <w:tcBorders>
              <w:top w:val="outset" w:sz="6" w:space="0" w:color="auto"/>
              <w:left w:val="outset" w:sz="6" w:space="0" w:color="auto"/>
              <w:bottom w:val="outset" w:sz="6" w:space="0" w:color="auto"/>
              <w:right w:val="outset" w:sz="6" w:space="0" w:color="auto"/>
            </w:tcBorders>
            <w:vAlign w:val="center"/>
            <w:hideMark/>
          </w:tcPr>
          <w:p w14:paraId="5F2A2D87"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95,3</w:t>
            </w:r>
          </w:p>
        </w:tc>
        <w:tc>
          <w:tcPr>
            <w:tcW w:w="0" w:type="auto"/>
            <w:tcBorders>
              <w:top w:val="outset" w:sz="6" w:space="0" w:color="auto"/>
              <w:left w:val="outset" w:sz="6" w:space="0" w:color="auto"/>
              <w:bottom w:val="outset" w:sz="6" w:space="0" w:color="auto"/>
              <w:right w:val="outset" w:sz="6" w:space="0" w:color="auto"/>
            </w:tcBorders>
            <w:vAlign w:val="center"/>
            <w:hideMark/>
          </w:tcPr>
          <w:p w14:paraId="7021723A"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96,5</w:t>
            </w:r>
          </w:p>
        </w:tc>
      </w:tr>
      <w:tr w:rsidR="007122AB" w:rsidRPr="005E779E" w14:paraId="3608C035"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6FC5AAFA"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0D3D1CC7"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ККЗ</w:t>
            </w:r>
          </w:p>
        </w:tc>
        <w:tc>
          <w:tcPr>
            <w:tcW w:w="0" w:type="auto"/>
            <w:tcBorders>
              <w:top w:val="outset" w:sz="6" w:space="0" w:color="auto"/>
              <w:left w:val="outset" w:sz="6" w:space="0" w:color="auto"/>
              <w:bottom w:val="outset" w:sz="6" w:space="0" w:color="auto"/>
              <w:right w:val="outset" w:sz="6" w:space="0" w:color="auto"/>
            </w:tcBorders>
            <w:vAlign w:val="center"/>
            <w:hideMark/>
          </w:tcPr>
          <w:p w14:paraId="7C85BDC1"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104,8</w:t>
            </w:r>
          </w:p>
        </w:tc>
        <w:tc>
          <w:tcPr>
            <w:tcW w:w="0" w:type="auto"/>
            <w:tcBorders>
              <w:top w:val="outset" w:sz="6" w:space="0" w:color="auto"/>
              <w:left w:val="outset" w:sz="6" w:space="0" w:color="auto"/>
              <w:bottom w:val="outset" w:sz="6" w:space="0" w:color="auto"/>
              <w:right w:val="outset" w:sz="6" w:space="0" w:color="auto"/>
            </w:tcBorders>
            <w:vAlign w:val="center"/>
            <w:hideMark/>
          </w:tcPr>
          <w:p w14:paraId="31CD8F8C"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100,3</w:t>
            </w:r>
          </w:p>
        </w:tc>
      </w:tr>
      <w:tr w:rsidR="007122AB" w:rsidRPr="005E779E" w14:paraId="3CDC2727"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08C27CA3"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2834225A"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Мастяжарт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316A5D1"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78,5</w:t>
            </w:r>
          </w:p>
        </w:tc>
        <w:tc>
          <w:tcPr>
            <w:tcW w:w="0" w:type="auto"/>
            <w:tcBorders>
              <w:top w:val="outset" w:sz="6" w:space="0" w:color="auto"/>
              <w:left w:val="outset" w:sz="6" w:space="0" w:color="auto"/>
              <w:bottom w:val="outset" w:sz="6" w:space="0" w:color="auto"/>
              <w:right w:val="outset" w:sz="6" w:space="0" w:color="auto"/>
            </w:tcBorders>
            <w:vAlign w:val="center"/>
            <w:hideMark/>
          </w:tcPr>
          <w:p w14:paraId="46E43BEF"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91,7</w:t>
            </w:r>
          </w:p>
        </w:tc>
      </w:tr>
      <w:tr w:rsidR="007122AB" w:rsidRPr="005E779E" w14:paraId="5B6B9A9F"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64D6C926"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1EEFA9AC"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ТОЗ</w:t>
            </w:r>
          </w:p>
        </w:tc>
        <w:tc>
          <w:tcPr>
            <w:tcW w:w="0" w:type="auto"/>
            <w:tcBorders>
              <w:top w:val="outset" w:sz="6" w:space="0" w:color="auto"/>
              <w:left w:val="outset" w:sz="6" w:space="0" w:color="auto"/>
              <w:bottom w:val="outset" w:sz="6" w:space="0" w:color="auto"/>
              <w:right w:val="outset" w:sz="6" w:space="0" w:color="auto"/>
            </w:tcBorders>
            <w:vAlign w:val="center"/>
            <w:hideMark/>
          </w:tcPr>
          <w:p w14:paraId="6B4CF06B"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69,5</w:t>
            </w:r>
          </w:p>
        </w:tc>
        <w:tc>
          <w:tcPr>
            <w:tcW w:w="0" w:type="auto"/>
            <w:tcBorders>
              <w:top w:val="outset" w:sz="6" w:space="0" w:color="auto"/>
              <w:left w:val="outset" w:sz="6" w:space="0" w:color="auto"/>
              <w:bottom w:val="outset" w:sz="6" w:space="0" w:color="auto"/>
              <w:right w:val="outset" w:sz="6" w:space="0" w:color="auto"/>
            </w:tcBorders>
            <w:vAlign w:val="center"/>
            <w:hideMark/>
          </w:tcPr>
          <w:p w14:paraId="01B016E9"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76,2</w:t>
            </w:r>
          </w:p>
        </w:tc>
      </w:tr>
      <w:tr w:rsidR="007122AB" w:rsidRPr="005E779E" w14:paraId="4F3B35D3"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4A17A586"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35D568"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ИОЗ</w:t>
            </w:r>
          </w:p>
        </w:tc>
        <w:tc>
          <w:tcPr>
            <w:tcW w:w="0" w:type="auto"/>
            <w:tcBorders>
              <w:top w:val="outset" w:sz="6" w:space="0" w:color="auto"/>
              <w:left w:val="outset" w:sz="6" w:space="0" w:color="auto"/>
              <w:bottom w:val="outset" w:sz="6" w:space="0" w:color="auto"/>
              <w:right w:val="outset" w:sz="6" w:space="0" w:color="auto"/>
            </w:tcBorders>
            <w:vAlign w:val="center"/>
            <w:hideMark/>
          </w:tcPr>
          <w:p w14:paraId="1448B473"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93,5</w:t>
            </w:r>
          </w:p>
        </w:tc>
        <w:tc>
          <w:tcPr>
            <w:tcW w:w="0" w:type="auto"/>
            <w:tcBorders>
              <w:top w:val="outset" w:sz="6" w:space="0" w:color="auto"/>
              <w:left w:val="outset" w:sz="6" w:space="0" w:color="auto"/>
              <w:bottom w:val="outset" w:sz="6" w:space="0" w:color="auto"/>
              <w:right w:val="outset" w:sz="6" w:space="0" w:color="auto"/>
            </w:tcBorders>
            <w:vAlign w:val="center"/>
            <w:hideMark/>
          </w:tcPr>
          <w:p w14:paraId="443F660F"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93,7</w:t>
            </w:r>
          </w:p>
        </w:tc>
      </w:tr>
      <w:tr w:rsidR="007122AB" w:rsidRPr="005E779E" w14:paraId="03C46071"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2D8CBA78"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ADA46C5"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ИНЗ № 2</w:t>
            </w:r>
          </w:p>
        </w:tc>
        <w:tc>
          <w:tcPr>
            <w:tcW w:w="0" w:type="auto"/>
            <w:tcBorders>
              <w:top w:val="outset" w:sz="6" w:space="0" w:color="auto"/>
              <w:left w:val="outset" w:sz="6" w:space="0" w:color="auto"/>
              <w:bottom w:val="outset" w:sz="6" w:space="0" w:color="auto"/>
              <w:right w:val="outset" w:sz="6" w:space="0" w:color="auto"/>
            </w:tcBorders>
            <w:vAlign w:val="center"/>
            <w:hideMark/>
          </w:tcPr>
          <w:p w14:paraId="72D99761"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38,8</w:t>
            </w:r>
          </w:p>
        </w:tc>
        <w:tc>
          <w:tcPr>
            <w:tcW w:w="0" w:type="auto"/>
            <w:tcBorders>
              <w:top w:val="outset" w:sz="6" w:space="0" w:color="auto"/>
              <w:left w:val="outset" w:sz="6" w:space="0" w:color="auto"/>
              <w:bottom w:val="outset" w:sz="6" w:space="0" w:color="auto"/>
              <w:right w:val="outset" w:sz="6" w:space="0" w:color="auto"/>
            </w:tcBorders>
            <w:vAlign w:val="center"/>
            <w:hideMark/>
          </w:tcPr>
          <w:p w14:paraId="20915DB3"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50,8</w:t>
            </w:r>
          </w:p>
        </w:tc>
      </w:tr>
      <w:tr w:rsidR="007122AB" w:rsidRPr="005E779E" w14:paraId="52343F68" w14:textId="77777777" w:rsidTr="00083CD8">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FB47C4F"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Средний [процент] против плана по объединению</w:t>
            </w:r>
          </w:p>
        </w:tc>
        <w:tc>
          <w:tcPr>
            <w:tcW w:w="0" w:type="auto"/>
            <w:tcBorders>
              <w:top w:val="outset" w:sz="6" w:space="0" w:color="auto"/>
              <w:left w:val="outset" w:sz="6" w:space="0" w:color="auto"/>
              <w:bottom w:val="outset" w:sz="6" w:space="0" w:color="auto"/>
              <w:right w:val="outset" w:sz="6" w:space="0" w:color="auto"/>
            </w:tcBorders>
            <w:vAlign w:val="center"/>
            <w:hideMark/>
          </w:tcPr>
          <w:p w14:paraId="6A11B172"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77,4</w:t>
            </w:r>
          </w:p>
        </w:tc>
        <w:tc>
          <w:tcPr>
            <w:tcW w:w="0" w:type="auto"/>
            <w:tcBorders>
              <w:top w:val="outset" w:sz="6" w:space="0" w:color="auto"/>
              <w:left w:val="outset" w:sz="6" w:space="0" w:color="auto"/>
              <w:bottom w:val="outset" w:sz="6" w:space="0" w:color="auto"/>
              <w:right w:val="outset" w:sz="6" w:space="0" w:color="auto"/>
            </w:tcBorders>
            <w:vAlign w:val="center"/>
            <w:hideMark/>
          </w:tcPr>
          <w:p w14:paraId="43D15EF2"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87,7</w:t>
            </w:r>
          </w:p>
        </w:tc>
      </w:tr>
    </w:tbl>
    <w:p w14:paraId="39715C49" w14:textId="77777777" w:rsidR="00FB17DA" w:rsidRPr="005E779E" w:rsidRDefault="00FB17DA" w:rsidP="000B7A6C">
      <w:pPr>
        <w:pStyle w:val="ae"/>
        <w:spacing w:before="0" w:after="0"/>
        <w:jc w:val="both"/>
        <w:rPr>
          <w:color w:val="000000" w:themeColor="text1"/>
          <w:sz w:val="16"/>
          <w:szCs w:val="16"/>
        </w:rPr>
      </w:pPr>
      <w:r w:rsidRPr="005E779E">
        <w:rPr>
          <w:rStyle w:val="af0"/>
          <w:i w:val="0"/>
          <w:color w:val="000000" w:themeColor="text1"/>
          <w:sz w:val="16"/>
          <w:szCs w:val="16"/>
        </w:rPr>
        <w:t>Член Президиума ВСНХ СССР и начальник Оружобьединения Д. Будняк</w:t>
      </w:r>
    </w:p>
    <w:p w14:paraId="4CEE3EC0" w14:textId="77777777" w:rsidR="00FB17DA" w:rsidRPr="005E779E" w:rsidRDefault="00FB17DA" w:rsidP="000B7A6C">
      <w:pPr>
        <w:pStyle w:val="ae"/>
        <w:spacing w:before="0" w:after="0"/>
        <w:jc w:val="both"/>
        <w:rPr>
          <w:color w:val="000000" w:themeColor="text1"/>
          <w:sz w:val="16"/>
          <w:szCs w:val="16"/>
        </w:rPr>
      </w:pPr>
      <w:r w:rsidRPr="005E779E">
        <w:rPr>
          <w:rStyle w:val="af0"/>
          <w:i w:val="0"/>
          <w:color w:val="000000" w:themeColor="text1"/>
          <w:sz w:val="16"/>
          <w:szCs w:val="16"/>
        </w:rPr>
        <w:t>Примечания</w:t>
      </w:r>
      <w:r w:rsidRPr="005E779E">
        <w:rPr>
          <w:color w:val="000000" w:themeColor="text1"/>
          <w:sz w:val="16"/>
          <w:szCs w:val="16"/>
        </w:rPr>
        <w:t>:</w:t>
      </w:r>
    </w:p>
    <w:p w14:paraId="6AEA2A9B"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vertAlign w:val="superscript"/>
        </w:rPr>
        <w:t>1</w:t>
      </w:r>
      <w:r w:rsidRPr="005E779E">
        <w:rPr>
          <w:color w:val="000000" w:themeColor="text1"/>
          <w:sz w:val="16"/>
          <w:szCs w:val="16"/>
        </w:rPr>
        <w:t>* Опущены разделы: «Использование мощностей», «Новые производства», «Рационализация», «Качество продукции» и т. д.</w:t>
      </w:r>
    </w:p>
    <w:p w14:paraId="34717ADD"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vertAlign w:val="superscript"/>
        </w:rPr>
        <w:t>2</w:t>
      </w:r>
      <w:r w:rsidRPr="005E779E">
        <w:rPr>
          <w:color w:val="000000" w:themeColor="text1"/>
          <w:sz w:val="16"/>
          <w:szCs w:val="16"/>
        </w:rPr>
        <w:t>* Так в тексте. По подсчетам составителей —173 490,5.</w:t>
      </w:r>
    </w:p>
    <w:p w14:paraId="00834230"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vertAlign w:val="superscript"/>
        </w:rPr>
        <w:t>3</w:t>
      </w:r>
      <w:r w:rsidRPr="005E779E">
        <w:rPr>
          <w:color w:val="000000" w:themeColor="text1"/>
          <w:sz w:val="16"/>
          <w:szCs w:val="16"/>
        </w:rPr>
        <w:t>* Так в тексте. По подсчетам составителей —253 394,4.</w:t>
      </w:r>
    </w:p>
    <w:p w14:paraId="468ECD01"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РГАЭ. Ф. 4372. Оп. 91. Д. 422. Л. 255—251. Заверенная копия.</w:t>
      </w:r>
    </w:p>
    <w:p w14:paraId="6F5B8796"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Архив: РГАЭ. Ф. 4372. Оп. 91. Д. 422. Л. 255—251. Заверенная копия. </w:t>
      </w:r>
    </w:p>
    <w:p w14:paraId="256D8433"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Источник: Становление оборонно-промышленного комплекса СССР (1927-1932). М. 2008, стр. 527-531 (12524).</w:t>
      </w:r>
    </w:p>
    <w:p w14:paraId="757551FF" w14:textId="77777777" w:rsidR="00FB17DA" w:rsidRPr="005E779E" w:rsidRDefault="00FB17DA" w:rsidP="000B7A6C">
      <w:pPr>
        <w:spacing w:after="0" w:line="240" w:lineRule="auto"/>
        <w:jc w:val="both"/>
        <w:rPr>
          <w:rFonts w:ascii="Times New Roman" w:hAnsi="Times New Roman"/>
          <w:color w:val="000000" w:themeColor="text1"/>
          <w:sz w:val="16"/>
          <w:szCs w:val="16"/>
        </w:rPr>
      </w:pPr>
    </w:p>
    <w:p w14:paraId="30D789B1" w14:textId="77777777" w:rsidR="00274CEA" w:rsidRPr="005E779E" w:rsidRDefault="00274CEA" w:rsidP="000B7A6C">
      <w:pPr>
        <w:pStyle w:val="a3"/>
        <w:rPr>
          <w:color w:val="000000" w:themeColor="text1"/>
          <w:lang w:val="ru-RU"/>
        </w:rPr>
      </w:pPr>
      <w:r w:rsidRPr="005E779E">
        <w:rPr>
          <w:color w:val="000000" w:themeColor="text1"/>
          <w:lang w:val="ru-RU"/>
        </w:rPr>
        <w:t>7 марта 1931 на НИИТ Полигоне состоялось испытание танка по преодо</w:t>
      </w:r>
      <w:r w:rsidRPr="005E779E">
        <w:rPr>
          <w:color w:val="000000" w:themeColor="text1"/>
          <w:lang w:val="ru-RU"/>
        </w:rPr>
        <w:softHyphen/>
        <w:t>лению искусственных препятствий при глубине снежного покрова 1 м. Танк без шпор свободно преодолел ров шириной 1,8 м и порог высотой 0,6 м с бруствером в 0,25 м. В то же время из-за недостаточного сцепле</w:t>
      </w:r>
      <w:r w:rsidRPr="005E779E">
        <w:rPr>
          <w:color w:val="000000" w:themeColor="text1"/>
          <w:lang w:val="ru-RU"/>
        </w:rPr>
        <w:softHyphen/>
        <w:t>ния гусениц с грунтом не удалось преодолеть надолбы, а испытания по сваливанию деревьев не проводились из-за опасения повредить лобо</w:t>
      </w:r>
      <w:r w:rsidRPr="005E779E">
        <w:rPr>
          <w:color w:val="000000" w:themeColor="text1"/>
          <w:lang w:val="ru-RU"/>
        </w:rPr>
        <w:softHyphen/>
        <w:t>вую часть корпуса танка.</w:t>
      </w:r>
    </w:p>
    <w:p w14:paraId="57CA0E10" w14:textId="77777777" w:rsidR="00274CEA" w:rsidRPr="005E779E" w:rsidRDefault="00274CEA" w:rsidP="000B7A6C">
      <w:pPr>
        <w:pStyle w:val="a3"/>
        <w:rPr>
          <w:color w:val="000000" w:themeColor="text1"/>
          <w:lang w:val="ru-RU"/>
        </w:rPr>
      </w:pPr>
      <w:r w:rsidRPr="005E779E">
        <w:rPr>
          <w:color w:val="000000" w:themeColor="text1"/>
          <w:lang w:val="ru-RU"/>
        </w:rPr>
        <w:t>Всего же за время испытаний танк №2 прошел 502 км (503,1 км). Запас хода по шоссейным и грунтовым дорогам при наличии глубокого снега составил 240-250 км.</w:t>
      </w:r>
    </w:p>
    <w:p w14:paraId="7D8A4F94" w14:textId="77777777" w:rsidR="00274CEA" w:rsidRPr="005E779E" w:rsidRDefault="00274CEA" w:rsidP="000B7A6C">
      <w:pPr>
        <w:pStyle w:val="a3"/>
        <w:tabs>
          <w:tab w:val="left" w:pos="4796"/>
        </w:tabs>
        <w:rPr>
          <w:color w:val="000000" w:themeColor="text1"/>
          <w:lang w:val="ru-RU"/>
        </w:rPr>
      </w:pPr>
      <w:r w:rsidRPr="005E779E">
        <w:rPr>
          <w:color w:val="000000" w:themeColor="text1"/>
          <w:lang w:val="ru-RU"/>
        </w:rPr>
        <w:t>Последняя неприятность на этих испытаниях случилась на заклю</w:t>
      </w:r>
      <w:r w:rsidRPr="005E779E">
        <w:rPr>
          <w:color w:val="000000" w:themeColor="text1"/>
          <w:lang w:val="ru-RU"/>
        </w:rPr>
        <w:softHyphen/>
        <w:t>чительном этапе, когда при возвращении танка из 70-км пробега, пра</w:t>
      </w:r>
      <w:r w:rsidRPr="005E779E">
        <w:rPr>
          <w:color w:val="000000" w:themeColor="text1"/>
          <w:lang w:val="ru-RU"/>
        </w:rPr>
        <w:softHyphen/>
        <w:t>ктически у самог'о входа в гараж полигона, произошло разрушение двух пальцев гусеницы.</w:t>
      </w:r>
    </w:p>
    <w:p w14:paraId="3E1BE3D1" w14:textId="77777777" w:rsidR="00274CEA" w:rsidRPr="005E779E" w:rsidRDefault="00274CEA" w:rsidP="000B7A6C">
      <w:pPr>
        <w:pStyle w:val="a3"/>
        <w:rPr>
          <w:color w:val="000000" w:themeColor="text1"/>
          <w:lang w:val="ru-RU"/>
        </w:rPr>
      </w:pPr>
      <w:r w:rsidRPr="005E779E">
        <w:rPr>
          <w:color w:val="000000" w:themeColor="text1"/>
          <w:lang w:val="ru-RU"/>
        </w:rPr>
        <w:t>Для определения условий работы экипажа танка провели замеры температуры воздуха в боевом отделении при закрытых люках. Через 15 мин работы двигателя температура уверенно достигала +36'С, однако после включения электровентилятора так же быстро снижалась до вели</w:t>
      </w:r>
      <w:r w:rsidRPr="005E779E">
        <w:rPr>
          <w:color w:val="000000" w:themeColor="text1"/>
          <w:lang w:val="ru-RU"/>
        </w:rPr>
        <w:softHyphen/>
        <w:t>чины температуры окружающего воздуха.</w:t>
      </w:r>
    </w:p>
    <w:p w14:paraId="4EFF96ED" w14:textId="77777777" w:rsidR="00274CEA" w:rsidRPr="005E779E" w:rsidRDefault="00274CEA" w:rsidP="000B7A6C">
      <w:pPr>
        <w:pStyle w:val="a3"/>
        <w:rPr>
          <w:color w:val="000000" w:themeColor="text1"/>
          <w:lang w:val="ru-RU"/>
        </w:rPr>
      </w:pPr>
      <w:r w:rsidRPr="005E779E">
        <w:rPr>
          <w:color w:val="000000" w:themeColor="text1"/>
          <w:lang w:val="ru-RU"/>
        </w:rPr>
        <w:t>По мнению советских специалистов, испытания 12-тонных танков «Виккерс Медиум» показали их хорошую маневренность, управляемость и достаточно высокую проходимость в зимних условиях. Машина могла совершать большие суточные пробеги и обладала достаточно надежной конструкцией, с отработанными механизмами трансмиссии и двига^ теля. К сожалению, наличие глубокого снежного покрова не позволило полностью выполнить запланированную программу по преодолению^ препятствий. Для получения полных характеристик танка предлагалось продолжить испытания в летний период, а пока использовать данные фирмы «Виккерс-Армстронг» при приемке танков в Англии.</w:t>
      </w:r>
    </w:p>
    <w:p w14:paraId="3E4DDF4F" w14:textId="77777777" w:rsidR="00274CEA" w:rsidRPr="005E779E" w:rsidRDefault="00274CEA" w:rsidP="000B7A6C">
      <w:pPr>
        <w:pStyle w:val="1010"/>
        <w:shd w:val="clear" w:color="auto" w:fill="auto"/>
        <w:spacing w:line="240" w:lineRule="auto"/>
        <w:ind w:firstLine="0"/>
        <w:rPr>
          <w:rFonts w:ascii="Times New Roman" w:hAnsi="Times New Roman" w:cs="Times New Roman"/>
          <w:i w:val="0"/>
          <w:color w:val="000000" w:themeColor="text1"/>
          <w:sz w:val="16"/>
          <w:szCs w:val="16"/>
        </w:rPr>
      </w:pPr>
      <w:r w:rsidRPr="005E779E">
        <w:rPr>
          <w:rStyle w:val="1024"/>
          <w:rFonts w:ascii="Times New Roman" w:eastAsia="Arial Unicode MS" w:hAnsi="Times New Roman" w:cs="Times New Roman"/>
          <w:i w:val="0"/>
          <w:iCs w:val="0"/>
          <w:color w:val="000000" w:themeColor="text1"/>
          <w:sz w:val="16"/>
          <w:szCs w:val="16"/>
        </w:rPr>
        <w:t>На этом испытания первых 12-тонных танков в СССР были завер</w:t>
      </w:r>
      <w:r w:rsidRPr="005E779E">
        <w:rPr>
          <w:rStyle w:val="1024"/>
          <w:rFonts w:ascii="Times New Roman" w:eastAsia="Arial Unicode MS" w:hAnsi="Times New Roman" w:cs="Times New Roman"/>
          <w:i w:val="0"/>
          <w:iCs w:val="0"/>
          <w:color w:val="000000" w:themeColor="text1"/>
          <w:sz w:val="16"/>
          <w:szCs w:val="16"/>
        </w:rPr>
        <w:softHyphen/>
        <w:t>шены, а майор Одди вернулся в Англию. В своем финальном отчете он констатировал:</w:t>
      </w:r>
      <w:r w:rsidRPr="005E779E">
        <w:rPr>
          <w:rFonts w:ascii="Times New Roman" w:hAnsi="Times New Roman" w:cs="Times New Roman"/>
          <w:i w:val="0"/>
          <w:color w:val="000000" w:themeColor="text1"/>
          <w:sz w:val="16"/>
          <w:szCs w:val="16"/>
        </w:rPr>
        <w:t xml:space="preserve"> «Русская комиссия соглашается, что испытания вышеу</w:t>
      </w:r>
      <w:r w:rsidRPr="005E779E">
        <w:rPr>
          <w:rFonts w:ascii="Times New Roman" w:hAnsi="Times New Roman" w:cs="Times New Roman"/>
          <w:i w:val="0"/>
          <w:color w:val="000000" w:themeColor="text1"/>
          <w:sz w:val="16"/>
          <w:szCs w:val="16"/>
        </w:rPr>
        <w:softHyphen/>
        <w:t>казанной машины были весьма удовлетворительны и что машина дала чрезвычайно хорошую демонстрацию во все время испытаний в здеш</w:t>
      </w:r>
      <w:r w:rsidRPr="005E779E">
        <w:rPr>
          <w:rFonts w:ascii="Times New Roman" w:hAnsi="Times New Roman" w:cs="Times New Roman"/>
          <w:i w:val="0"/>
          <w:color w:val="000000" w:themeColor="text1"/>
          <w:sz w:val="16"/>
          <w:szCs w:val="16"/>
        </w:rPr>
        <w:softHyphen/>
        <w:t>них суровых условиях.</w:t>
      </w:r>
    </w:p>
    <w:p w14:paraId="4C7CB20A" w14:textId="77777777" w:rsidR="00274CEA" w:rsidRPr="005E779E" w:rsidRDefault="00274CEA" w:rsidP="000B7A6C">
      <w:pPr>
        <w:pStyle w:val="1010"/>
        <w:shd w:val="clear" w:color="auto" w:fill="auto"/>
        <w:spacing w:line="240" w:lineRule="auto"/>
        <w:ind w:firstLine="0"/>
        <w:rPr>
          <w:rFonts w:ascii="Times New Roman" w:hAnsi="Times New Roman" w:cs="Times New Roman"/>
          <w:i w:val="0"/>
          <w:color w:val="000000" w:themeColor="text1"/>
          <w:sz w:val="16"/>
          <w:szCs w:val="16"/>
        </w:rPr>
      </w:pPr>
      <w:r w:rsidRPr="005E779E">
        <w:rPr>
          <w:rFonts w:ascii="Times New Roman" w:hAnsi="Times New Roman" w:cs="Times New Roman"/>
          <w:i w:val="0"/>
          <w:color w:val="000000" w:themeColor="text1"/>
          <w:sz w:val="16"/>
          <w:szCs w:val="16"/>
        </w:rPr>
        <w:t>...Русская комиссия заявляет, что теперь она очень довольна и це</w:t>
      </w:r>
      <w:r w:rsidRPr="005E779E">
        <w:rPr>
          <w:rFonts w:ascii="Times New Roman" w:hAnsi="Times New Roman" w:cs="Times New Roman"/>
          <w:i w:val="0"/>
          <w:color w:val="000000" w:themeColor="text1"/>
          <w:sz w:val="16"/>
          <w:szCs w:val="16"/>
        </w:rPr>
        <w:softHyphen/>
        <w:t>ликом удовлетворена всем относящимся к 12 тонному танку».</w:t>
      </w:r>
    </w:p>
    <w:p w14:paraId="66C70964" w14:textId="77777777" w:rsidR="00274CEA" w:rsidRPr="005E779E" w:rsidRDefault="00274CEA" w:rsidP="000B7A6C">
      <w:pPr>
        <w:pStyle w:val="a3"/>
        <w:rPr>
          <w:color w:val="000000" w:themeColor="text1"/>
          <w:lang w:val="ru-RU"/>
        </w:rPr>
      </w:pPr>
      <w:r w:rsidRPr="005E779E">
        <w:rPr>
          <w:color w:val="000000" w:themeColor="text1"/>
          <w:lang w:val="ru-RU"/>
        </w:rPr>
        <w:t>Общий вывод советских специалистов гласил:</w:t>
      </w:r>
    </w:p>
    <w:p w14:paraId="7CC02069" w14:textId="77777777" w:rsidR="00274CEA" w:rsidRPr="005E779E" w:rsidRDefault="00274CEA" w:rsidP="000B7A6C">
      <w:pPr>
        <w:pStyle w:val="1010"/>
        <w:shd w:val="clear" w:color="auto" w:fill="auto"/>
        <w:spacing w:line="240" w:lineRule="auto"/>
        <w:ind w:firstLine="0"/>
        <w:rPr>
          <w:rFonts w:ascii="Times New Roman" w:hAnsi="Times New Roman" w:cs="Times New Roman"/>
          <w:i w:val="0"/>
          <w:color w:val="000000" w:themeColor="text1"/>
          <w:sz w:val="16"/>
          <w:szCs w:val="16"/>
        </w:rPr>
      </w:pPr>
      <w:r w:rsidRPr="005E779E">
        <w:rPr>
          <w:rFonts w:ascii="Times New Roman" w:hAnsi="Times New Roman" w:cs="Times New Roman"/>
          <w:i w:val="0"/>
          <w:color w:val="000000" w:themeColor="text1"/>
          <w:sz w:val="16"/>
          <w:szCs w:val="16"/>
        </w:rPr>
        <w:t>«Все боевые и конструктивные данные танка определяются специ</w:t>
      </w:r>
      <w:r w:rsidRPr="005E779E">
        <w:rPr>
          <w:rFonts w:ascii="Times New Roman" w:hAnsi="Times New Roman" w:cs="Times New Roman"/>
          <w:i w:val="0"/>
          <w:color w:val="000000" w:themeColor="text1"/>
          <w:sz w:val="16"/>
          <w:szCs w:val="16"/>
        </w:rPr>
        <w:softHyphen/>
        <w:t>фичностью цели, для которой он создан (Колониальный танк). Данный танк имеет хорошо работающий мотор, трансмиссию и движитель. При моторе небольшой мощности (82 НР</w:t>
      </w:r>
      <w:r w:rsidRPr="005E779E">
        <w:rPr>
          <w:rFonts w:ascii="Times New Roman" w:hAnsi="Times New Roman" w:cs="Times New Roman"/>
          <w:i w:val="0"/>
          <w:color w:val="000000" w:themeColor="text1"/>
          <w:sz w:val="16"/>
          <w:szCs w:val="16"/>
          <w:vertAlign w:val="superscript"/>
        </w:rPr>
        <w:t>е</w:t>
      </w:r>
      <w:r w:rsidRPr="005E779E">
        <w:rPr>
          <w:rFonts w:ascii="Times New Roman" w:hAnsi="Times New Roman" w:cs="Times New Roman"/>
          <w:i w:val="0"/>
          <w:color w:val="000000" w:themeColor="text1"/>
          <w:sz w:val="16"/>
          <w:szCs w:val="16"/>
        </w:rPr>
        <w:t>) на свой вес (13 тонн) танк дает высокие скорости и обладает хорошей проходимостью (в зимних усло</w:t>
      </w:r>
      <w:r w:rsidRPr="005E779E">
        <w:rPr>
          <w:rFonts w:ascii="Times New Roman" w:hAnsi="Times New Roman" w:cs="Times New Roman"/>
          <w:i w:val="0"/>
          <w:color w:val="000000" w:themeColor="text1"/>
          <w:sz w:val="16"/>
          <w:szCs w:val="16"/>
        </w:rPr>
        <w:softHyphen/>
        <w:t>виях), надежностью действий и прочностью.</w:t>
      </w:r>
    </w:p>
    <w:p w14:paraId="71A8493D" w14:textId="77777777" w:rsidR="00274CEA" w:rsidRPr="005E779E" w:rsidRDefault="00274CEA" w:rsidP="000B7A6C">
      <w:pPr>
        <w:pStyle w:val="1010"/>
        <w:shd w:val="clear" w:color="auto" w:fill="auto"/>
        <w:spacing w:line="240" w:lineRule="auto"/>
        <w:ind w:firstLine="0"/>
        <w:rPr>
          <w:rStyle w:val="1024"/>
          <w:rFonts w:ascii="Times New Roman" w:eastAsia="Arial Unicode MS" w:hAnsi="Times New Roman" w:cs="Times New Roman"/>
          <w:i w:val="0"/>
          <w:iCs w:val="0"/>
          <w:color w:val="000000" w:themeColor="text1"/>
          <w:sz w:val="16"/>
          <w:szCs w:val="16"/>
        </w:rPr>
      </w:pPr>
      <w:r w:rsidRPr="005E779E">
        <w:rPr>
          <w:rFonts w:ascii="Times New Roman" w:hAnsi="Times New Roman" w:cs="Times New Roman"/>
          <w:i w:val="0"/>
          <w:color w:val="000000" w:themeColor="text1"/>
          <w:sz w:val="16"/>
          <w:szCs w:val="16"/>
        </w:rPr>
        <w:t xml:space="preserve">Танк является хорошо выполненной машиной, требует дальнейшего </w:t>
      </w:r>
      <w:r w:rsidRPr="005E779E">
        <w:rPr>
          <w:rStyle w:val="1024"/>
          <w:rFonts w:ascii="Times New Roman" w:eastAsia="Arial Unicode MS" w:hAnsi="Times New Roman" w:cs="Times New Roman"/>
          <w:i w:val="0"/>
          <w:iCs w:val="0"/>
          <w:color w:val="000000" w:themeColor="text1"/>
          <w:sz w:val="16"/>
          <w:szCs w:val="16"/>
        </w:rPr>
        <w:t>изучения при испытаниях в летних и осенних условиях» (15745).</w:t>
      </w:r>
    </w:p>
    <w:p w14:paraId="600E94FB" w14:textId="77777777" w:rsidR="00274CEA" w:rsidRPr="005E779E" w:rsidRDefault="00274CEA" w:rsidP="000B7A6C">
      <w:pPr>
        <w:pStyle w:val="1010"/>
        <w:shd w:val="clear" w:color="auto" w:fill="auto"/>
        <w:spacing w:line="240" w:lineRule="auto"/>
        <w:ind w:firstLine="0"/>
        <w:rPr>
          <w:rFonts w:ascii="Times New Roman" w:hAnsi="Times New Roman" w:cs="Times New Roman"/>
          <w:i w:val="0"/>
          <w:color w:val="000000" w:themeColor="text1"/>
          <w:sz w:val="16"/>
          <w:szCs w:val="16"/>
        </w:rPr>
      </w:pPr>
    </w:p>
    <w:p w14:paraId="2A7649B6"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16F68D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B9F65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C 7 по 17 марта 1931 в Москве проходил 6-й съезд Советов СССР и обсуждал вопросы реконструкции и коллективизации (1348,149). Специальным постановлением ввел трудодень для оплаты труда колхозников вместо подушного распределения (3908,335).</w:t>
      </w:r>
    </w:p>
    <w:p w14:paraId="7CF87A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37ECCEB" w14:textId="77777777" w:rsidR="005C4849" w:rsidRPr="005E779E" w:rsidRDefault="00274CEA"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Cs/>
          <w:color w:val="000000" w:themeColor="text1"/>
          <w:sz w:val="16"/>
          <w:szCs w:val="16"/>
        </w:rPr>
        <w:t>Внешняя торговля</w:t>
      </w:r>
      <w:r w:rsidR="005C4849" w:rsidRPr="005E779E">
        <w:rPr>
          <w:rFonts w:ascii="Times New Roman" w:hAnsi="Times New Roman"/>
          <w:iCs/>
          <w:color w:val="000000" w:themeColor="text1"/>
          <w:sz w:val="16"/>
          <w:szCs w:val="16"/>
        </w:rPr>
        <w:t>:</w:t>
      </w:r>
    </w:p>
    <w:p w14:paraId="12883B4D"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F57A9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марта 1931 был заключен советско-турецкий договор о паритете вооружений на ЧМ (3908,335).</w:t>
      </w:r>
    </w:p>
    <w:p w14:paraId="3120AD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DB533C6" w14:textId="77777777" w:rsidR="00274CEA"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3B901B28" w14:textId="77777777" w:rsidR="00274CEA" w:rsidRPr="005E779E" w:rsidRDefault="00274CEA"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26E9A69" w14:textId="77777777" w:rsidR="00274CEA" w:rsidRPr="005E779E" w:rsidRDefault="00274CEA"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7 марта</w:t>
      </w:r>
      <w:r w:rsidRPr="005E779E">
        <w:rPr>
          <w:rFonts w:ascii="Times New Roman" w:hAnsi="Times New Roman"/>
          <w:color w:val="000000" w:themeColor="text1"/>
          <w:sz w:val="16"/>
          <w:szCs w:val="16"/>
        </w:rPr>
        <w:t xml:space="preserve"> в 1931 году гоночный самолёт </w:t>
      </w:r>
      <w:hyperlink r:id="rId34" w:tgtFrame="_blank" w:history="1">
        <w:r w:rsidRPr="005E779E">
          <w:rPr>
            <w:rFonts w:ascii="Times New Roman" w:hAnsi="Times New Roman"/>
            <w:color w:val="000000" w:themeColor="text1"/>
            <w:sz w:val="16"/>
            <w:szCs w:val="16"/>
          </w:rPr>
          <w:t xml:space="preserve">«Gee Bee» «Model D» «Sportster» </w:t>
        </w:r>
      </w:hyperlink>
      <w:r w:rsidRPr="005E779E">
        <w:rPr>
          <w:rFonts w:ascii="Times New Roman" w:hAnsi="Times New Roman"/>
          <w:color w:val="000000" w:themeColor="text1"/>
          <w:sz w:val="16"/>
          <w:szCs w:val="16"/>
        </w:rPr>
        <w:t>(Разработчик: «Gee Bee», США) получил сертификат типа коммерческого самолёта (АТС №404). На самолёте были установлены увеличенные по размеру киль и руль направления, а стойки и колёса шасси получили обтекатели. Серийный номер был D-1, регистрационный NC 11043. Двигатель «Menasco» «C-4» с наддувом, мощностью 95 л.с. позволял набрать 5000 футов высоты за 4 минуты. Самолёт был оборудован оригинальной системой дымопуска, состоявшей из бака с дымобразующей смесью, системы клапанов и форсунки, через которую смесь впрыскивалась в проходящую под фюзеляжем выхлопную трубу. Занял 1 место в 1931 в гонке ATC 400 cu. in. Race (для коммерческих самолётов с двигателями объёмом до 400 куб. дюймов), пилот Боб Холл. Пришёл вторым в двух женских гонках 1931 г, пилотировала Мэри Хэйзлип (Mary Haizlip). Разбился «Model D» в июле 1936 года, когда пилот Чени Сибьюри (Channing Seabury) потерял управление во время тренировочного акробатического полёта. Самолёт зацепился хвостом за землю во время маневрирования (15061).</w:t>
      </w:r>
    </w:p>
    <w:p w14:paraId="08266F90" w14:textId="77777777" w:rsidR="00274CEA" w:rsidRPr="005E779E" w:rsidRDefault="00274CEA" w:rsidP="000B7A6C">
      <w:pPr>
        <w:spacing w:after="0" w:line="240" w:lineRule="auto"/>
        <w:jc w:val="both"/>
        <w:rPr>
          <w:rFonts w:ascii="Times New Roman" w:hAnsi="Times New Roman"/>
          <w:color w:val="000000" w:themeColor="text1"/>
          <w:sz w:val="16"/>
          <w:szCs w:val="16"/>
        </w:rPr>
      </w:pPr>
    </w:p>
    <w:p w14:paraId="210E5221" w14:textId="77777777" w:rsidR="001422F1" w:rsidRPr="005E779E" w:rsidRDefault="001422F1"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3D718FC2" w14:textId="77777777" w:rsidR="001422F1" w:rsidRPr="005E779E" w:rsidRDefault="001422F1"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3BA3FD2" w14:textId="77777777" w:rsidR="001422F1" w:rsidRPr="005E779E" w:rsidRDefault="001422F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марта 1931 г. в связи о принятием шефства ВЛКСМ над ВВС "женский" день явился поводом для привлечения в авиацию девушек-комсомолок, которых до этого в школах ВВС почти не было. Началась допуск девушек в авиашколы, однако, прием их в школы ВВС оставался ограниченными, и только школы ГВФ и Осоавиахима широко открыли им свои двери.</w:t>
      </w:r>
    </w:p>
    <w:p w14:paraId="0B2F228D" w14:textId="39808754" w:rsidR="001422F1" w:rsidRPr="005E779E" w:rsidRDefault="001422F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/ВВФ, 1931, № 3/ (23370).</w:t>
      </w:r>
    </w:p>
    <w:p w14:paraId="2A4D24BC" w14:textId="77777777" w:rsidR="001422F1" w:rsidRPr="005E779E" w:rsidRDefault="001422F1" w:rsidP="000B7A6C">
      <w:pPr>
        <w:spacing w:after="0" w:line="240" w:lineRule="auto"/>
        <w:jc w:val="both"/>
        <w:rPr>
          <w:rFonts w:ascii="Times New Roman" w:hAnsi="Times New Roman"/>
          <w:color w:val="000000" w:themeColor="text1"/>
          <w:sz w:val="16"/>
          <w:szCs w:val="16"/>
        </w:rPr>
      </w:pPr>
    </w:p>
    <w:p w14:paraId="45928A61"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21D38561"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AB0A1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марта 1931 был заключен советско-турецкий договор о сокращении вооружений на ЧМ (3907,167).</w:t>
      </w:r>
    </w:p>
    <w:p w14:paraId="752D75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BF3B5CD" w14:textId="77777777" w:rsidR="00274CEA"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7F925D80" w14:textId="77777777" w:rsidR="00274CEA" w:rsidRPr="005E779E" w:rsidRDefault="00274CEA"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D19E439" w14:textId="77777777" w:rsidR="00274CEA" w:rsidRPr="005E779E" w:rsidRDefault="00274CEA"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9 марта</w:t>
      </w:r>
      <w:r w:rsidRPr="005E779E">
        <w:rPr>
          <w:rFonts w:ascii="Times New Roman" w:hAnsi="Times New Roman"/>
          <w:color w:val="000000" w:themeColor="text1"/>
          <w:sz w:val="16"/>
          <w:szCs w:val="16"/>
        </w:rPr>
        <w:t xml:space="preserve"> в 1931 году первый полёт транспортного самолёта </w:t>
      </w:r>
      <w:hyperlink r:id="rId35" w:tgtFrame="_blank" w:history="1">
        <w:r w:rsidRPr="005E779E">
          <w:rPr>
            <w:rFonts w:ascii="Times New Roman" w:hAnsi="Times New Roman"/>
            <w:color w:val="000000" w:themeColor="text1"/>
            <w:sz w:val="16"/>
            <w:szCs w:val="16"/>
          </w:rPr>
          <w:t xml:space="preserve">«Bleriot 125» </w:t>
        </w:r>
      </w:hyperlink>
      <w:r w:rsidRPr="005E779E">
        <w:rPr>
          <w:rFonts w:ascii="Times New Roman" w:hAnsi="Times New Roman"/>
          <w:color w:val="000000" w:themeColor="text1"/>
          <w:sz w:val="16"/>
          <w:szCs w:val="16"/>
        </w:rPr>
        <w:t>(разработчик: «Bleriot», Франция). Самолёт имел в основном деревянную конструкцию и высоко расположенное крыло, поддерживаемое двумя фюзеляжами, каждый из которых имел роскошную кабину для шести пассажиров, туалет и багажное отделение. Над центропланом находилась отдельная кабина для трёх членов экипажа. Хвостовой стабилизатор типа моноплан вместе с четырёхкилевым вертикальным оперением крепился в задней части двух фюзеляжей. Шасси состояло из двух тандемных пар колес, часть которых закрывалась днищем фюзеляжа. Силовую установку составляли два тандемных двигателя «Hispano-Suiza» «12Hbr», расположенных на центроплане и вращавших один тянущий и один толкающий винты. Проект Леона Кирста оказался слишком хитроумным, и самолет Bleriot 125 во время своего первого полета. продемонстрировал недостаточные лётные качества и в следующем году был списан (15063).</w:t>
      </w:r>
    </w:p>
    <w:p w14:paraId="555527C3" w14:textId="77777777" w:rsidR="00274CEA" w:rsidRPr="005E779E" w:rsidRDefault="00274CEA" w:rsidP="000B7A6C">
      <w:pPr>
        <w:spacing w:after="0" w:line="240" w:lineRule="auto"/>
        <w:jc w:val="both"/>
        <w:rPr>
          <w:rFonts w:ascii="Times New Roman" w:hAnsi="Times New Roman"/>
          <w:color w:val="000000" w:themeColor="text1"/>
          <w:sz w:val="16"/>
          <w:szCs w:val="16"/>
        </w:rPr>
      </w:pPr>
    </w:p>
    <w:p w14:paraId="6F15FF04" w14:textId="77777777" w:rsidR="000F1D6E" w:rsidRPr="005E779E" w:rsidRDefault="000F1D6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9 марта 1931 состоялся первый полет Blériot 125 F-ALZD (20804). </w:t>
      </w:r>
    </w:p>
    <w:p w14:paraId="39E52893" w14:textId="77777777" w:rsidR="000F1D6E" w:rsidRPr="005E779E" w:rsidRDefault="000F1D6E" w:rsidP="000B7A6C">
      <w:pPr>
        <w:spacing w:after="0" w:line="240" w:lineRule="auto"/>
        <w:jc w:val="both"/>
        <w:rPr>
          <w:rFonts w:ascii="Times New Roman" w:hAnsi="Times New Roman"/>
          <w:color w:val="000000" w:themeColor="text1"/>
          <w:sz w:val="16"/>
          <w:szCs w:val="16"/>
        </w:rPr>
      </w:pPr>
    </w:p>
    <w:p w14:paraId="66738E29" w14:textId="77777777" w:rsidR="000F1D6E" w:rsidRPr="005E779E" w:rsidRDefault="000F1D6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марта 1931 управляя самолетом Farman F.302, французские авиаторы Жан Региненси и Марсель Лалуетт установили новые рекорды дальности и продолжительности полета по замкнутому кругу с полезной нагрузкой 2000 кг (4409 фунтов), пролетев 2678 километров (1663 мили) за 17 часов (20804).</w:t>
      </w:r>
    </w:p>
    <w:p w14:paraId="7A21B819" w14:textId="77777777" w:rsidR="000F1D6E" w:rsidRPr="005E779E" w:rsidRDefault="000F1D6E" w:rsidP="000B7A6C">
      <w:pPr>
        <w:spacing w:after="0" w:line="240" w:lineRule="auto"/>
        <w:jc w:val="both"/>
        <w:rPr>
          <w:rFonts w:ascii="Times New Roman" w:hAnsi="Times New Roman"/>
          <w:color w:val="000000" w:themeColor="text1"/>
          <w:sz w:val="16"/>
          <w:szCs w:val="16"/>
        </w:rPr>
      </w:pPr>
    </w:p>
    <w:p w14:paraId="3EE34180"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2F54A74A"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DA288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марта 1931 началось строительство г. Магнитогорска в связи с сооружением ММЗ (3263,122).</w:t>
      </w:r>
    </w:p>
    <w:p w14:paraId="3F6B5A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4759393" w14:textId="77777777" w:rsidR="00C31C07"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7DAB2B51" w14:textId="77777777" w:rsidR="00C31C07" w:rsidRPr="005E779E" w:rsidRDefault="00C31C07"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AA9B61E" w14:textId="77777777" w:rsidR="00C31C07" w:rsidRPr="005E779E" w:rsidRDefault="00C31C07"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10 марта</w:t>
      </w:r>
      <w:r w:rsidRPr="005E779E">
        <w:rPr>
          <w:rFonts w:ascii="Times New Roman" w:hAnsi="Times New Roman"/>
          <w:color w:val="000000" w:themeColor="text1"/>
          <w:sz w:val="16"/>
          <w:szCs w:val="16"/>
        </w:rPr>
        <w:t xml:space="preserve"> в 1931 году на соревнованиях Coupe Schneider взлетела первая модель гоночного самолета </w:t>
      </w:r>
      <w:hyperlink r:id="rId36" w:tgtFrame="_blank" w:history="1">
        <w:r w:rsidRPr="005E779E">
          <w:rPr>
            <w:rFonts w:ascii="Times New Roman" w:hAnsi="Times New Roman"/>
            <w:color w:val="000000" w:themeColor="text1"/>
            <w:sz w:val="16"/>
            <w:szCs w:val="16"/>
          </w:rPr>
          <w:t xml:space="preserve">«Bernard» «HV-42». </w:t>
        </w:r>
      </w:hyperlink>
      <w:r w:rsidRPr="005E779E">
        <w:rPr>
          <w:rFonts w:ascii="Times New Roman" w:hAnsi="Times New Roman"/>
          <w:color w:val="000000" w:themeColor="text1"/>
          <w:sz w:val="16"/>
          <w:szCs w:val="16"/>
        </w:rPr>
        <w:t>Это был одноместный поплавковый низкоплан, оснащенный специальным двигателем для гоночных самолетов Hispano-Suiza 'Special' мощностью 1000 л.с. (15064).</w:t>
      </w:r>
    </w:p>
    <w:p w14:paraId="4BBC61C2" w14:textId="77777777" w:rsidR="00C31C07" w:rsidRPr="005E779E" w:rsidRDefault="00C31C07" w:rsidP="000B7A6C">
      <w:pPr>
        <w:spacing w:after="0" w:line="240" w:lineRule="auto"/>
        <w:jc w:val="both"/>
        <w:rPr>
          <w:rFonts w:ascii="Times New Roman" w:hAnsi="Times New Roman"/>
          <w:color w:val="000000" w:themeColor="text1"/>
          <w:sz w:val="16"/>
          <w:szCs w:val="16"/>
        </w:rPr>
      </w:pPr>
    </w:p>
    <w:p w14:paraId="6484ED4B" w14:textId="77777777" w:rsidR="004F1F65" w:rsidRPr="005E779E" w:rsidRDefault="004F1F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марта 1931 г. второй прототип, Ju-52bi (Werk Nr. 4002, D-2133), совершил первый полет. От первого прототипа он отличался рулями увеличенной площади и двигателем: на нем стоял 800-сильный 14-цилиндровый звездообразный двигатель воздушного охлаждения Армстронг Сиддли «Леопард». Воздушный винт — деревянный двухлопастный. Этот самолет стал единственным одномоторным Ju-52, получившим звездообразный двигатель, остальные пять самолетов имели двигатели жидкостного охлаждения с рядным расположением цилиндров. Второй прототип оснастили поплавками, эксплуатационные испытания гидроплана проводились на Эльбе в июле 1931 г. В ходе испытания на самолет установили новое усовершенствованное крыло, после чего обозначение машины изменилось на Ju-52ci. До ноября 1931 г. гидроплан проходил испытания на Балтике в Травемюнде.</w:t>
      </w:r>
    </w:p>
    <w:p w14:paraId="5A904A62" w14:textId="77777777" w:rsidR="004F1F65" w:rsidRPr="005E779E" w:rsidRDefault="004F1F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Ju-52ce (Werk Nr. 4003, D-USON) оснащался таким же, как на Ju-52be 685-сильным двигателем жидкостного охлаждения BMW VIIaU. Самолет использовался для тренировок германских зенитчиков. Второй Ju-52ce (Werk Nr. 4004, D-2317) в сентябре 1932 г. был передан Германской школе гражданских летчиков (Deutsche Verkehrsfliegerschule, DVS). В обстановке секретности в школе готовились кадры для будущих люфтваффе — Версальский договор запрещал Германии иметь военную авиацию. Позже самолет переставили с колес на поплавки для обучения летчиков кригсмарине, а затем машина принимала участие в отработке сброса торпед (24200).</w:t>
      </w:r>
    </w:p>
    <w:p w14:paraId="6C828045" w14:textId="77777777" w:rsidR="004F1F65" w:rsidRPr="005E779E" w:rsidRDefault="004F1F65" w:rsidP="000B7A6C">
      <w:pPr>
        <w:spacing w:after="0" w:line="240" w:lineRule="auto"/>
        <w:jc w:val="both"/>
        <w:rPr>
          <w:rFonts w:ascii="Times New Roman" w:hAnsi="Times New Roman"/>
          <w:color w:val="000000" w:themeColor="text1"/>
          <w:sz w:val="16"/>
          <w:szCs w:val="16"/>
        </w:rPr>
      </w:pPr>
    </w:p>
    <w:p w14:paraId="14FF268C"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1B767EE3"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BEE7C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C 11 марта 1931 проходили гос. испытания опытного АНТ-7 Р-6 (1017,198).</w:t>
      </w:r>
    </w:p>
    <w:p w14:paraId="772BBA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3A5802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11/12 марта 1931 года начальник УВВС писал письмо № 35сс НТК</w:t>
      </w:r>
    </w:p>
    <w:p w14:paraId="5F33059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 серийной постройке самолета ТБ-3-4хМ17</w:t>
      </w:r>
    </w:p>
    <w:p w14:paraId="436ADB2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ТБ3-4хКертис-Конкверор прошел полетные испытания по сокращенной программе.</w:t>
      </w:r>
    </w:p>
    <w:p w14:paraId="756765A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1AB4824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опытном самолете ТБ3 установлены заграничные моторы Кертис-Конкверор, в серии же, ТБ3 должен строиться с моторами М17.</w:t>
      </w:r>
    </w:p>
    <w:p w14:paraId="19F5BA6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настоящее время опытный экземпляр самолета ТБ3 находится в ЦАГИ, который производит на нем установку моторов М17, переделку рулей и устранение ряда мелких дефектов.</w:t>
      </w:r>
    </w:p>
    <w:p w14:paraId="02FBC8A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согласно установленному сроку должен быть передан на испытание в НИИ с устраненными дефектами к 25 апреля 1931 года.</w:t>
      </w:r>
    </w:p>
    <w:p w14:paraId="104D3EA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Параллельно с испытаниями ТБ3-4хМ17 будут проведены его испытания с подкрыльными пулеметными башнями, изготовленными на заводе № 22, усиливающими огневую мощь самолета, которая при наличных 6 пулеметах недостаточна, не обеспечивая обстрел задней полусферы.</w:t>
      </w:r>
    </w:p>
    <w:p w14:paraId="7E68746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(6274, 80).</w:t>
      </w:r>
    </w:p>
    <w:p w14:paraId="0846F3C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0206A9" w14:textId="77777777" w:rsidR="005C4849" w:rsidRPr="005E779E" w:rsidRDefault="00874B1E" w:rsidP="000B7A6C">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59C6492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26F21D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марта 1931 г. при Главном управлении ЭПРОН для проработки производственных вопросов, разработки проектов и планов судоподъемных, аварийно-спасательных и водолазно-строительных работ, конструкции приспособлений и усовершенствований производства был организован Научно-технический совет ЭПРОНа, в который наряду со специалистами его Главного управления вошли ведущие ученые в области кораблестроения - академик Алексей Николаевич Крылов, члены-корреспонденты АН СССР Ю.А.Шиманский, П.Ф.Попкович, профессор В.Г.Власов и в области физиологии водолазного руда академик Леон Абгарович Орбели и член-корреспондент АН СССР Евгений Михайлович Крепе. С 1932 г. Научно-технический совет возглавлял начальник ЭПРОНа Фотий Иванович Крылов. Материалы заседаний Совета и отчеты по наиболее интересным судоподъемным и водолазным работам публиковались в "Сборниках ЭПРОНа", которые начали издаваться с 1933 г. (11631).</w:t>
      </w:r>
    </w:p>
    <w:p w14:paraId="3167CB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5F062E7"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220F2EC2"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B817F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марта 1931 в СССР была запрещена продажа и импорт библий (2100).</w:t>
      </w:r>
    </w:p>
    <w:p w14:paraId="71FB8B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A2836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марта 1931 был ликвидирован Союз союзов сельскохозяйственной кооперации СССР (начало свертывания кооперации). Все руководство сельским хозяйством было возложено на Наркомзем (оперативное руководство) и Наркомснаб (заготовки) (3908,335).</w:t>
      </w:r>
    </w:p>
    <w:p w14:paraId="53C510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A11910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марта 1931 в СССР введен комплекс ГТО (4962).</w:t>
      </w:r>
    </w:p>
    <w:p w14:paraId="1EF4CFA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7A57E1" w14:textId="77777777" w:rsidR="000F1D6E" w:rsidRPr="005E779E" w:rsidRDefault="000F1D6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марта 1931 года в СССР введён физкультурный комплекс ГТО - программа физкультурной подготовки в общеобразовательных, профессиональных и спортивных организациях, основополагающая в единой и поддерживаемой государством системе патриотического воспитания молодёжи. Существовала с 1931 по 1991 год. Охватывала население в возрасте от 10 до 60 лет. В Советской армии аналогом ГТО был Военно-спортивный комплекс (21166).</w:t>
      </w:r>
    </w:p>
    <w:p w14:paraId="608A138D" w14:textId="77777777" w:rsidR="000F1D6E" w:rsidRPr="005E779E" w:rsidRDefault="000F1D6E" w:rsidP="000B7A6C">
      <w:pPr>
        <w:spacing w:after="0" w:line="240" w:lineRule="auto"/>
        <w:jc w:val="both"/>
        <w:rPr>
          <w:rFonts w:ascii="Times New Roman" w:hAnsi="Times New Roman"/>
          <w:color w:val="000000" w:themeColor="text1"/>
          <w:sz w:val="16"/>
          <w:szCs w:val="16"/>
        </w:rPr>
      </w:pPr>
    </w:p>
    <w:p w14:paraId="30CFBA13" w14:textId="77777777" w:rsidR="00E65C7F" w:rsidRPr="005E779E" w:rsidRDefault="00E65C7F"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Внутренняя политика:</w:t>
      </w:r>
    </w:p>
    <w:p w14:paraId="2C223469" w14:textId="77777777" w:rsidR="00E65C7F" w:rsidRPr="005E779E" w:rsidRDefault="00E65C7F"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7415AE4"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марта 1931 г. В записке Госплана «О мобилизационном плане промышленности» отмечалось, что скорректированный план заказов 1931 г. предусматривал снятие с производства почти всех прежних образцов вооружений, и что «промышленность должна была перейти в 1931 г. на производство новых и модернизированных образцов». Это обстоятельство имело своим следствием наличие большого числа так называемых «недоделов» по всей номенклатуре военной продукции, не исключая и средства военной связи;</w:t>
      </w:r>
    </w:p>
    <w:p w14:paraId="61489FE3"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 несвоевременное и не в полном объеме поступление импортного оборудования, без которого развертывание производства новой продукции было невозможным (на завод им. Козицкого импортное оборудование поступило в течение года в размере 24% от поданных заявок);</w:t>
      </w:r>
    </w:p>
    <w:p w14:paraId="3A2AB71C"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нехватка квалифицированной рабочей силы. На том же заводе им. Козицкого во II отделе, где выполнялись заказы УС КА, пополнение рабочими шло исключительно за счет неквалифицированных кадров, что неизбежно вело к росту брака при выпуске сложной специальной аппаратуры. Кроме того на заводе ощущался острый недостаток инженеров, а в плановых бюро отделов – квалифицированных техников;</w:t>
      </w:r>
    </w:p>
    <w:p w14:paraId="13BF7961"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несвоевременное поступление на заводы чертежей на выпускаемые изделия, низкое их качество и частые изменения, вносившиеся как заказчиками, так и разработчиками;</w:t>
      </w:r>
    </w:p>
    <w:p w14:paraId="33A0274D"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проводившиеся на заводах параллельно с развертыванием производства реорганизации организационно-штатной структуры;</w:t>
      </w:r>
    </w:p>
    <w:p w14:paraId="22107D21"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перебои с подачей электроэнергии. Эта проблема лихорадила ленинградские предприятия на протяжении всей первой пятилетки.</w:t>
      </w:r>
    </w:p>
    <w:p w14:paraId="6D9D31C1"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среднем простои по этой причине составляли до четырех суток в месяц, а в январе 1932 г. только за первую декаду тот же завод им. Козицкого был отключен от электроснабжения в течение 80 часов. Такая обстановка потребовала вмешательства МПУ ВСНХ: последовало распоряжение этого органа о переводе ленинградских заводов ВЭСО «… в части снабжения электроэнергией в первую категорию предприятий, подлежащих отключению в последнюю очередь» (18297).</w:t>
      </w:r>
    </w:p>
    <w:p w14:paraId="428A9FFD" w14:textId="77777777" w:rsidR="00E65C7F" w:rsidRPr="005E779E" w:rsidRDefault="00E65C7F" w:rsidP="000B7A6C">
      <w:pPr>
        <w:spacing w:after="0" w:line="240" w:lineRule="auto"/>
        <w:jc w:val="both"/>
        <w:rPr>
          <w:rFonts w:ascii="Times New Roman" w:hAnsi="Times New Roman"/>
          <w:color w:val="000000" w:themeColor="text1"/>
          <w:sz w:val="16"/>
          <w:szCs w:val="16"/>
        </w:rPr>
      </w:pPr>
    </w:p>
    <w:p w14:paraId="5B2895E2"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3F0AEB4C"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0F1A7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марта 1931 состоялось совещание специалистов ЦАГИ и завода п/я 747 о порядке передачи чертежей АНТ-6 (ТБ-3) (1077,123).</w:t>
      </w:r>
    </w:p>
    <w:p w14:paraId="71B526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D8B81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марта 1931 года на совещании в НТС ВАО (протокол NN 163/2098) К.А.Калинин заявил, что срок готовности К-7 даже 1 января 1932 года является для него приемлемым. Постановлением РВС первоначальный срок готовности самолета был установлен III-IV квартал 1932 года (3903).</w:t>
      </w:r>
    </w:p>
    <w:p w14:paraId="7C067F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066B012" w14:textId="77777777" w:rsidR="00FB17DA"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1E7D5784" w14:textId="77777777" w:rsidR="00FB17DA" w:rsidRPr="005E779E" w:rsidRDefault="00FB17DA"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993268A" w14:textId="77777777" w:rsidR="00C31C07" w:rsidRPr="005E779E" w:rsidRDefault="00C31C07" w:rsidP="000B7A6C">
      <w:pPr>
        <w:spacing w:after="0" w:line="240" w:lineRule="auto"/>
        <w:jc w:val="both"/>
        <w:rPr>
          <w:rStyle w:val="af0"/>
          <w:rFonts w:ascii="Times New Roman" w:hAnsi="Times New Roman"/>
          <w:i w:val="0"/>
          <w:color w:val="000000" w:themeColor="text1"/>
          <w:sz w:val="16"/>
          <w:szCs w:val="16"/>
        </w:rPr>
      </w:pPr>
      <w:r w:rsidRPr="005E779E">
        <w:rPr>
          <w:rFonts w:ascii="Times New Roman" w:hAnsi="Times New Roman"/>
          <w:bCs/>
          <w:color w:val="000000" w:themeColor="text1"/>
          <w:sz w:val="16"/>
          <w:szCs w:val="16"/>
        </w:rPr>
        <w:t>12 марта 1931 г. — Из аналитического доклада сотрудника Орудийно-арсенального объединения А. Кривенко о кооперировании военного производства с гражданской промышленностью</w:t>
      </w:r>
    </w:p>
    <w:p w14:paraId="2D3A4FD4"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Style w:val="af0"/>
          <w:rFonts w:ascii="Times New Roman" w:hAnsi="Times New Roman"/>
          <w:i w:val="0"/>
          <w:color w:val="000000" w:themeColor="text1"/>
          <w:sz w:val="16"/>
          <w:szCs w:val="16"/>
        </w:rPr>
        <w:t>Совершенно секретно.</w:t>
      </w:r>
    </w:p>
    <w:p w14:paraId="31154DBC" w14:textId="77777777" w:rsidR="00C31C07" w:rsidRPr="005E779E" w:rsidRDefault="00C31C07" w:rsidP="000B7A6C">
      <w:pPr>
        <w:pStyle w:val="rtejustify"/>
        <w:spacing w:before="0" w:after="0"/>
        <w:rPr>
          <w:color w:val="000000" w:themeColor="text1"/>
          <w:sz w:val="16"/>
          <w:szCs w:val="16"/>
        </w:rPr>
      </w:pPr>
      <w:r w:rsidRPr="005E779E">
        <w:rPr>
          <w:rStyle w:val="a7"/>
          <w:b w:val="0"/>
          <w:bCs w:val="0"/>
          <w:color w:val="000000" w:themeColor="text1"/>
          <w:sz w:val="16"/>
          <w:szCs w:val="16"/>
        </w:rPr>
        <w:t>I. Общие данные</w:t>
      </w:r>
    </w:p>
    <w:p w14:paraId="1953F759"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Предметы материальной части артиллерии и ручного оружия являются целиком продукцией специальных заводов, производство коих, за небольшими исключениями («Красный Путиловец», «Сормово»), мало знакомо гражданской промышленности.</w:t>
      </w:r>
    </w:p>
    <w:p w14:paraId="4544C0D6"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Современные требования на техническое оснащение армии специальными предметами вооружения (артиллерия, ручное оружие) настолько велики, что нашим кадровым заводам не под силу справиться с этой задачей. Было бы неправильным, если бы наше социалистическое государство, где в отношении управления промышленностью господствует плановое начало, не использовало бы этого выигрышного, но сравнению с капиталистическим частным хозяйством, положения. Отсюда вывод, что в нашем государстве вся промышленность, работая на оборону, должна производить все предметы боевого снабжения армии.</w:t>
      </w:r>
    </w:p>
    <w:p w14:paraId="79A6B1B9"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В предстоящей войне наши возможные западные противники, поддержанные большой Антантой, выведут в поле армии, снабженные в достаточной степени могущественной артиллерией с почти неограниченным количеством снарядов и ручным оружием новейших образцов.</w:t>
      </w:r>
    </w:p>
    <w:p w14:paraId="0AFCFA33"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Предполагается, что заявка НКВМ вар[ианта] 10 по своему существу определяет наши промышленные и сырьевые возможности, которые и составляют ресурсы для обороны государства, подсчитанные на основе нашей производственной и сырьевой базы на 1 января 1932 г., т. е. на 1932 г.</w:t>
      </w:r>
    </w:p>
    <w:p w14:paraId="261730E6"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Все ли нами сделано в направлении использования всех ресурсов но изготовлению оружия? На этот вопрос нужно ответить, что мы еще не использовали в достаточной степени мощь нашей промышленности и нашу сырьевую базу. Использование гражданской промышленности мыслится как максимальное внедрение в нее изготовления матчасти артиллерии и ручного оружия, целиком или отдельными его частями. Специальные военные артиллерийские и ружейные заводы должны служить одновременно с выполнением своей программы для целей инструктажа. Эти военные заводы должны быть ведущими, головными заводами и с приданными и включенными в сферу их влияния гражданскими заводами будут представлять целое объединение, концерн, который должен быть специализирован для производства определенных систем.</w:t>
      </w:r>
    </w:p>
    <w:p w14:paraId="62BBAE23"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Исходя из этих предпосылок и анализа разработанных ВСНХ СССР контрольных цифр 1931 г., приходим к выводу, что, так как вопросы широкого внедрения начала кооперирования в гражданскую промышленность в этом плане не нашли достаточного отражения, заявка НКВМ, его вариант 10, не исчерпывает в полной мере экономическую мощь государства, а следовательно, является недостаточной по своим размерам требований и подлежит переработке уже теперь.</w:t>
      </w:r>
    </w:p>
    <w:p w14:paraId="55145299"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Основным вопросом, который не нашел достаточного отражения в плане ВСНХ, который сразу же бросается в глаза, это кооперирование и ассимиляция, т. е. внедрение военных производств в гражданскую промышленность.</w:t>
      </w:r>
    </w:p>
    <w:p w14:paraId="07B1A847"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Этот вопрос совершенно не разработан, а казалось бы с этого нужно было начать, ибо в основу экономической мобилизации должен быть положен уровень производительных сил страны, всех ее предприятий в целом. А так как всю десятку мы построили и подровняли по подаче предметов вооружения и военного снабжения без учета кооперирования, то, следовательно, не исчерпали и не составили плана полного рационального использования промышленности.</w:t>
      </w:r>
    </w:p>
    <w:p w14:paraId="45916676"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Вне всякого сомнения, наша гражданская промышленность имеет множество возможностей, при рациональном ведении производственных процессов, к подаче продукции в большем количестве, чем это предусмотрено мобготовностью предприятий на 1 января 1932 г. по плану капитального строительства 1931 г.</w:t>
      </w:r>
    </w:p>
    <w:p w14:paraId="76149F52"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Мы должны соответственно мобилизовать нашу промышленность, поставить ей четкие, понятные задачи, приспособить целый ряд гражданских предприятий к изготовлению ряда предметов специального военного назначения, производство которых является теперь специальностью военных заводов.</w:t>
      </w:r>
    </w:p>
    <w:p w14:paraId="1031008E"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Современное техническое оснащение армии, малочисленность специальных военных заводов, огромное количество предметов вооружения, которые способна будет освоить мобилизованная армия, ставит на очередь вопрос о разгрузке военных заводов от изготовления ряда предметов военного назначения, целиком или частями (изготовление отдельных деталей), и передачи на наши металлургические, металлообрабатывающие и машиностроительные заводы изготовления этих предметов.</w:t>
      </w:r>
    </w:p>
    <w:p w14:paraId="42EF137D" w14:textId="77777777" w:rsidR="00C31C07" w:rsidRPr="005E779E" w:rsidRDefault="00C31C07" w:rsidP="000B7A6C">
      <w:pPr>
        <w:pStyle w:val="rtejustify"/>
        <w:spacing w:before="0" w:after="0"/>
        <w:rPr>
          <w:color w:val="000000" w:themeColor="text1"/>
          <w:sz w:val="16"/>
          <w:szCs w:val="16"/>
        </w:rPr>
      </w:pPr>
      <w:r w:rsidRPr="005E779E">
        <w:rPr>
          <w:rStyle w:val="a7"/>
          <w:b w:val="0"/>
          <w:bCs w:val="0"/>
          <w:color w:val="000000" w:themeColor="text1"/>
          <w:sz w:val="16"/>
          <w:szCs w:val="16"/>
        </w:rPr>
        <w:t>II. Вопросы стандартизации</w:t>
      </w:r>
    </w:p>
    <w:p w14:paraId="68CB7C52"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В целях упрощения внедрения массового производства предметов вооружения в гражданскую промышленность будет являться разработка промышленностью стандартов с детальными техническими описаниями, главной составной частью которых будут являться чертежи. Конструкция всех изделий, предназначенных к массовому выпуску, должна быть окончательно разработанной и утвержденной НКВМ. После увязки военных требований с возможностями промышленности данный предмет вооружения стандартизируется. Как обязательное правило, все стандарты должны предусматривать максимальную экономию остродефицитных или дорогих материалов и замену их полноценными суррогатами.</w:t>
      </w:r>
    </w:p>
    <w:p w14:paraId="616D54CA"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Сектор обороны Госплана должен обратить внимание на деятельность ВКС, под руководством которого во исполнение постановления СТО проводится работа по разработке промышленностью стандартов. Прошло уже 8 месяцев со дня издания этого постановления, а результатов работы пока нет. Объединения, за небольшим исключением, к этой работе еще не приступили, а между тем в свете наших установок по экономической мобилизации государства эта работа приобретает особенное, первостепенной важности оборонное значение. Надо включиться в эту работу, рассмотреть ее детали и внести в нее коррективы, если это потребуется по обстоятельствам.</w:t>
      </w:r>
    </w:p>
    <w:p w14:paraId="3A5AC504"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Стандартизация предметов вооружения при условии упрощения и облегчения технических условий дает нам возможность и гарантию ускорения развертывания массового производства в наикратчайшие мобилизационные сроки. Армия при мобилизации сумеет получить в стране большое количество имущества, вполне пригодного к войне, а гражданская промышленность может легко перейти на массовый выпуск, при условии, если разработанные стандарты будут освоены в производстве в мирное время.</w:t>
      </w:r>
    </w:p>
    <w:p w14:paraId="4744F90E" w14:textId="77777777" w:rsidR="00C31C07" w:rsidRPr="005E779E" w:rsidRDefault="00C31C07" w:rsidP="000B7A6C">
      <w:pPr>
        <w:spacing w:after="0" w:line="240" w:lineRule="auto"/>
        <w:jc w:val="both"/>
        <w:rPr>
          <w:rFonts w:ascii="Times New Roman" w:hAnsi="Times New Roman"/>
          <w:color w:val="000000" w:themeColor="text1"/>
          <w:sz w:val="16"/>
          <w:szCs w:val="16"/>
          <w:lang w:eastAsia="ru-RU"/>
        </w:rPr>
      </w:pPr>
      <w:r w:rsidRPr="005E779E">
        <w:rPr>
          <w:rStyle w:val="a7"/>
          <w:rFonts w:ascii="Times New Roman" w:hAnsi="Times New Roman"/>
          <w:b w:val="0"/>
          <w:bCs w:val="0"/>
          <w:color w:val="000000" w:themeColor="text1"/>
          <w:sz w:val="16"/>
          <w:szCs w:val="16"/>
        </w:rPr>
        <w:t>III. Калибровое хозяйство</w:t>
      </w:r>
    </w:p>
    <w:p w14:paraId="3C135651"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Приступая к приспособлению гражданских заводов для производства матчасти артиллерии и ручного оружия, нужно не упустить из виду необходимость создания специальных промышленных предприятий, которые обеспечивали бы гражданские заводы калибрами и инструментом.</w:t>
      </w:r>
    </w:p>
    <w:p w14:paraId="4CE33F29"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Госплан считает, что при разработке плана широкого кооперирования и ассимиляции военных производств необходимо наметить заводы или выстроить их вновь для производства калибров и специального инструмента для обработки металла. Наши гражданские заводы в лекальном деле будут испытывать, вне всякого сомнения, значительные перебои, а в некоторых случаях будут даже бессильны что-либо предпринять в этом направлении. Готовый инструмент и лекала значительно облегчат освоение военных производств.</w:t>
      </w:r>
    </w:p>
    <w:p w14:paraId="44FAEAA6"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Нам мыслится, что при строительстве таких заводов нужно иметь в виду их специализацию отдельно для лекал и отдельно для инструмента. На заводе калибров должны готовиться калибры как рабочие, так образцовые и приемочные по существующим у нас нормам. В основу нормализации калибров должны быть положены разработки Комитета по стандартизации в отношении пригонок, допусков, обозначения калибров и т. д. Если эта нормализация не проведена, ее нужно провести в срочном порядке.</w:t>
      </w:r>
    </w:p>
    <w:p w14:paraId="6908CB94"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lastRenderedPageBreak/>
        <w:t>Наша военная промышленность уже сейчас испытывает неполадки из-за недостатка лекал. Основным тормозом является отсутствие высококвалифицированных рабочих-лекальщиков. Ясно, что мы варварски, технически отстало ведем это дело, и без решительного сдвига в сторону концентрации этого вида производства мы не выйдем из тупика.</w:t>
      </w:r>
    </w:p>
    <w:p w14:paraId="1176CE7A"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Необходимо немедля приступить к созданию специальных предприятий по производству лекал и специального инструмента для матчасти артиллерии и стрелкового оружия. Концентрация производства дает возможность сберечь рабсилу, которая при разбросанности производства на каждом предприятии не может быть использована достаточно рационально. На этих заводах можно будет построить соответствующий современным техническим достижениям производственный процесс, который будет гарантировать качество лекал. Затем на таких крупных заводах можно будет с успехом использовать иностранную техпомощь.</w:t>
      </w:r>
    </w:p>
    <w:p w14:paraId="15DBCC67"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Для удовлетворения нужд фронта в военное время потребуется колоссальное напряжение работы промышленности. Производство предметов боевого снабжения должно быть массовым производством кооперированных заводов, на основе полной взаимозаменяемости деталей. Это-то и выдвигает на передний план вопрос о калибрах (поверочном инструменте). Если к началу войны будет иметься достаточный запас правильно сконструированных калибров, то период развертывания производства значительно сократится, уменьшатся общие расходы промышленности, повысится качество продукции и производительность труда.</w:t>
      </w:r>
    </w:p>
    <w:p w14:paraId="2C3D5A18" w14:textId="77777777" w:rsidR="00C31C07" w:rsidRPr="005E779E" w:rsidRDefault="00C31C07" w:rsidP="000B7A6C">
      <w:pPr>
        <w:pStyle w:val="rtejustify"/>
        <w:spacing w:before="0" w:after="0"/>
        <w:rPr>
          <w:color w:val="000000" w:themeColor="text1"/>
          <w:sz w:val="16"/>
          <w:szCs w:val="16"/>
        </w:rPr>
      </w:pPr>
      <w:r w:rsidRPr="005E779E">
        <w:rPr>
          <w:rStyle w:val="a7"/>
          <w:b w:val="0"/>
          <w:bCs w:val="0"/>
          <w:color w:val="000000" w:themeColor="text1"/>
          <w:sz w:val="16"/>
          <w:szCs w:val="16"/>
        </w:rPr>
        <w:t>IV. Патронное производство</w:t>
      </w:r>
    </w:p>
    <w:p w14:paraId="48B619EB"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Насыщенность Красной армии автоматическим огнестрельным оружием потребует соответствующего снабжения армии патронами. В условиях будущей войны эта задача вследствие количественного роста потребности, несомненно, усложнится. Трудность производства достаточного количества патронов усугубляется необходимостью подачи наравне с обыкновенными патронами специальных патронов: бронебойных, трассирующих, крупнокалиберных и других, производство которых, несомненно, сложнее обыкновенных патронов.</w:t>
      </w:r>
    </w:p>
    <w:p w14:paraId="0D0D25FD"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Новизна этого дела у нас в отношении специальных патронов, а также переход на гильзу из плакированного железа, в первый период развертывания окажет свое вредное влияние на качество продукции и производительность заводов. В случае принятия на вооружение самозарядной винтовки расход патронов должен еще более возрасти.</w:t>
      </w:r>
    </w:p>
    <w:p w14:paraId="4C7717AD"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Естественно, что изготовление 500 и более милл[иона| патронов в месяц, как это запроектировано по варианту 10, требует высокого развития патронного производства и соответствующего его обеспечения материалами, станками, рабочей силой. Патронное производство является узкоспециальной отраслью производства, обслуживаемой исключительно назначенными для этой цели станками. Приспособить для производства патронов какие-либо заводы гражданской промышленности при современном состоянии техники вряд ли возможно. Это вынуждает создавать в мирное время такие производительные мощности по оборудованию, которые смогли бы с объявлением войны и во время ее ведения обеспечить подачу патронов в нужном количестве.</w:t>
      </w:r>
    </w:p>
    <w:p w14:paraId="0FD42D9B"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Принимая во внимание возможные аварии, износ оборудования и его амортизацию, а также то обстоятельство, что импорт станков будет ограничен блокадой, необходимое для патронного производства большое количество различных станков специальных типов требует развития такого машиностроения и в таких размерах у нас, чтобы обеспечить бесперебойность производства во время войны.</w:t>
      </w:r>
    </w:p>
    <w:p w14:paraId="59E63A0C"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По программе 1931 г. производство таких специальных станков, недостающих для полного комплекта по заданным мощностям, Патрубвзрыв производит на своих заводах силами своего металлообрабатывающего оборудования (ремонтные цеха, мирное производство). В военное время массовое производство специальных патронных станков силами патронных заводов, без соответствующего расширения и упорядочения этого производства еще в мирное время, по-видимому, будет исключено, так как все площади заводов, его технический и рабочий персонал будет занят основным видом производства — патронным. Поэтому представляется необходимым уже теперь внести в это дело ясность и проработать вопрос снабжения заводов специальными патронными станками. При разрешении вопроса об установке такого вида специального машиностроения можно наметить 3 пути: 1. Постройка или приспособление одного какого-либо завода, не связанного с патронным производством. 2. Постройка на существующих крупных патронных заводах специальных цехов для производства станков. 3. Концентрация производства станков на одном из патронных заводов.</w:t>
      </w:r>
    </w:p>
    <w:p w14:paraId="704DB4AD"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Я считаю, что для этого дела нужно оборудовать специальный завод, который в мирное время, сохраняя оборудование и все технологические разработки и имея небольшой заказ на специальные патронные станки, включается в общую сеть машиностроительных заводов Союза по производству предметов или оборудования общегражданского назначения.</w:t>
      </w:r>
    </w:p>
    <w:p w14:paraId="70193446" w14:textId="77777777" w:rsidR="00C31C07" w:rsidRPr="005E779E" w:rsidRDefault="00C31C07" w:rsidP="000B7A6C">
      <w:pPr>
        <w:pStyle w:val="rtejustify"/>
        <w:spacing w:before="0" w:after="0"/>
        <w:rPr>
          <w:color w:val="000000" w:themeColor="text1"/>
          <w:sz w:val="16"/>
          <w:szCs w:val="16"/>
        </w:rPr>
      </w:pPr>
      <w:r w:rsidRPr="005E779E">
        <w:rPr>
          <w:rStyle w:val="a7"/>
          <w:b w:val="0"/>
          <w:bCs w:val="0"/>
          <w:color w:val="000000" w:themeColor="text1"/>
          <w:sz w:val="16"/>
          <w:szCs w:val="16"/>
        </w:rPr>
        <w:t>V. Производство матчасти артиллерии</w:t>
      </w:r>
    </w:p>
    <w:p w14:paraId="11F76322" w14:textId="77777777" w:rsidR="00C31C07" w:rsidRPr="005E779E" w:rsidRDefault="00C31C07" w:rsidP="000B7A6C">
      <w:pPr>
        <w:pStyle w:val="rtejustify"/>
        <w:spacing w:before="0" w:after="0"/>
        <w:rPr>
          <w:color w:val="000000" w:themeColor="text1"/>
          <w:sz w:val="16"/>
          <w:szCs w:val="16"/>
        </w:rPr>
      </w:pPr>
      <w:r w:rsidRPr="005E779E">
        <w:rPr>
          <w:rStyle w:val="a7"/>
          <w:b w:val="0"/>
          <w:bCs w:val="0"/>
          <w:color w:val="000000" w:themeColor="text1"/>
          <w:sz w:val="16"/>
          <w:szCs w:val="16"/>
        </w:rPr>
        <w:t>1. Металлургическая база</w:t>
      </w:r>
    </w:p>
    <w:p w14:paraId="5AA2D303"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Производство основной массы артиллерии возложено на специально организованное для этой цели Оружобъединение, имеющее мощные артиллерийские металлообрабатывающие заводы и свою металлургическую базу.</w:t>
      </w:r>
    </w:p>
    <w:p w14:paraId="3385F4C1"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В основном данное объединение сконструировано правильно, если принять во внимание опыт Запада, где такие концерны также имеют свою металлургическую базу. Но на Западе, в частности в Италии, эта база представляется как отдельный металлургический завод, изготовляющий поковки для различных целей, в том числе и для артиллерии. Металлургическая же база нашего Оружобъединения представляет из себя привеску к металлообрабатывающим предприятиям, связанную административными, хозяйственными и техническими узами воедино.</w:t>
      </w:r>
    </w:p>
    <w:p w14:paraId="350B61B6"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Правильна ли эта организация, если принять во внимание, что черная металлургия, хотя бы и высококачественных сталей, и точная обработка этой стали для превращения в сложную машину, какой является современное орудие, производства совершенно различные по своей технологической природе. Мне кажется, что тут не может быть двух мнений и что эти процессы — металлургию и металлообработку — можно без ущерба для дела организационно разъединить. Такое деление освободит специальный военный завод, его административный и технический аппарат для самой ответственной, по существу уникальной работы, какой нужно считать изготовление самого орудия. Производство же качественного металла, работу, требующую затраты менее квалифицированного труда и по своему существу простую, можно без ущерба для интересов орудийных заводов передать гражданской промышленности на наши металлургические гиганты: Магнитострой, Кузнецкстрой, в Донбасс и др.</w:t>
      </w:r>
    </w:p>
    <w:p w14:paraId="10B0558B"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Одновременно с отливкой и ковкой заготовок на эти заводы можно будет возложить и предварительную обработку поковок, чтобы не было такого безобразного положения, когда Пермский оруд[ийный] завод поставляет для завода № 8 поковки муфт для горной 76</w:t>
      </w:r>
      <w:r w:rsidRPr="005E779E">
        <w:rPr>
          <w:color w:val="000000" w:themeColor="text1"/>
          <w:sz w:val="16"/>
          <w:szCs w:val="16"/>
        </w:rPr>
        <w:noBreakHyphen/>
        <w:t>мм пушки весом в 52 пуд., тогда как обработанная муфта весит около 10 пуд. Пермский оруд[ийный] завод не может производить такую работу как вследствие разрыва между своими обрабатывающими возможностями и металлургией, так и потому, что нагрузка завода по производству артиллерии отнимает станки для своей орудийной программы. Этот пример указывает на то, что металлургическая база заводов Оружобъединения работает технически отстало, заваливая специальные орудийные обрабатывающие цеха лишним металлом и лишней работой.</w:t>
      </w:r>
    </w:p>
    <w:p w14:paraId="57CE617A"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С точки зрения интересов транспорта, такая реформа дает положительные результаты, так как металлургические цеха орудийных заводов («Большевик», ММЗ и «Баррикады» и ИОЗ) работают на привозном сырье. Положение с ММЗ и ИОЗ наиболее тревожно, так как эти заводы для своего металлургического процесса используют дрова, запасы коих в районе заводов в радиусе до 100 верст уже исчерпаны. Отсюда вывод, что для развития металлургической базы военных заводов нет никаких оснований.</w:t>
      </w:r>
    </w:p>
    <w:p w14:paraId="237E7710"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Госплан считает, что металлургическую базу военных заводов выше наметок 1931 г. развивать не следует. Одновременно с установкой на ограничение металлургической базы военных заводов в размерах строительства 1931 г. представляется целесообразным проработать вопрос о выделении металлургических цехов военных заводов в отдельные предприятия с тем, чтобы разъединить обработку металла от металлургического процесса. Работа таких металлургических заводов должна быть тесно увязана с работой орудийных заводов в смысле подачи качественной стали в соответственно обработанных поковках с небольшими пропусками на окончательную отделку изделия.</w:t>
      </w:r>
    </w:p>
    <w:p w14:paraId="45AA7050"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Госплан считает, что такие рационализаторские мероприятия повысят производительность орудийных заводов и упорядочат их производство. Производство качественной стали для матчасти и ручного оружия, на которые не хватит металла от заводов Оружобъединения, нужно установить на заводах гражданской промышленности, используя опыт военных заводов.</w:t>
      </w:r>
    </w:p>
    <w:p w14:paraId="36A37C30" w14:textId="77777777" w:rsidR="00C31C07" w:rsidRPr="005E779E" w:rsidRDefault="00C31C07" w:rsidP="000B7A6C">
      <w:pPr>
        <w:pStyle w:val="rtejustify"/>
        <w:spacing w:before="0" w:after="0"/>
        <w:rPr>
          <w:color w:val="000000" w:themeColor="text1"/>
          <w:sz w:val="16"/>
          <w:szCs w:val="16"/>
        </w:rPr>
      </w:pPr>
      <w:r w:rsidRPr="005E779E">
        <w:rPr>
          <w:rStyle w:val="a7"/>
          <w:b w:val="0"/>
          <w:bCs w:val="0"/>
          <w:color w:val="000000" w:themeColor="text1"/>
          <w:sz w:val="16"/>
          <w:szCs w:val="16"/>
        </w:rPr>
        <w:t>2. Орудийные цеха</w:t>
      </w:r>
    </w:p>
    <w:p w14:paraId="38E01016"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Предстоящая война с нашими возможными противниками, которые смогут выставить против нас могущественную артиллерию, ставит на очередь вопрос о производстве матчасти артиллерии в таком размере и таких калибров, чтобы обеспечить мощь обороноспособности Красной армии. Все внимание правительства и партии должно быть сосредоточено на производстве полевой тяжелой артиллерии; рост нашего автомобильного и тракторного парка подводит под количественную сторону артиллерийского хозяйства и надежную базу.</w:t>
      </w:r>
    </w:p>
    <w:p w14:paraId="06D5DCE2"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Потребность в матчасти артиллерии нетрудно определить, если возвратиться к опыту мировой войны, когда все расчеты воевавших государств в довоенное время были опрокинуты обстоятельствами этой войны. Кроме того, нужно предусмотреть быстрый износ матчасти, ее амортизацию и замену в будущей войне.</w:t>
      </w:r>
    </w:p>
    <w:p w14:paraId="5587891E"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Все эти предпосылки ставят на очередь пересмотр размера подачи матчасти артиллерии на 1932 г., т. е. тех производственных возможностей, которые легли в основу заявки НКВМ по варианту 10.</w:t>
      </w:r>
    </w:p>
    <w:p w14:paraId="4BA41485"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На основе широкого развития начал кооперирования и ассимиляции военных производств на гражданских заводах, выявления и постановки на службу обороны всех экономическо-производственных возможностей предприятий нужно добиться сдвига в сторону количественного увеличения подачи матчасти артиллерии. Вопрос о кооперировании требует немедленного разрешения, но, независимо от быстрых темпов его проведения, потребует углубленной и всесторонней проработки и увязки со всеми отраслями народного хозяйства.</w:t>
      </w:r>
    </w:p>
    <w:p w14:paraId="70B41D3D"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В целях удовлетворительного разрешения проблемы кооперирования орудийного производства Госплан, в частности, намечает следующие основные пути:</w:t>
      </w:r>
    </w:p>
    <w:p w14:paraId="48D28EB7"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lastRenderedPageBreak/>
        <w:t>1. Орудийные заводы, наряду с выполнением своей основной программы, должны быть центром исследовательской работы в области изучения и конструирования новых видов вооружения. Эти заводы, как правило, должны быть разгружены от изготовления второстепенных объектов и всемерно стремиться к наибольшей передаче гражданской промышленности изготовления отдельных деталей орудий. Сборка систем, если таковая не устанавливается на гражданском заводе, производится военным заводом.</w:t>
      </w:r>
    </w:p>
    <w:p w14:paraId="50B9EF80"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Передача изделий целому ряду гражданских заводов, которые должны быть в исчерпывающей степени снабжены чертежами, техусловиями, инструментом, лекалами и т. д., сократит сроки подачи артиллерии. В связи с перевооружением армии новыми образцами артиллерии увеличенной дальности это мероприятие приобретает особое значение.</w:t>
      </w:r>
    </w:p>
    <w:p w14:paraId="0825E65B"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2. Как правило, все образцы, вышедшие из стадии опытов, должны передаваться для изготовления гражданской промышленности, если у военных заводов нет возможностей выполнить в срок заказы. Для примера можно указать на заказ НКВМ на 8</w:t>
      </w:r>
      <w:r w:rsidRPr="005E779E">
        <w:rPr>
          <w:color w:val="000000" w:themeColor="text1"/>
          <w:sz w:val="16"/>
          <w:szCs w:val="16"/>
        </w:rPr>
        <w:noBreakHyphen/>
        <w:t>дюймовые гаубицы, распределенный между заводами «Большевик» и «Баррикады». У Госплана нет уверенности, что эти заводы справятся с этими заказами, а между тем гражданская промышленность смогла бы помочь своими производственными ресурсами; вооружение же полевой армии этими калибрами в кратчайшие сроки крайне необходимо.</w:t>
      </w:r>
    </w:p>
    <w:p w14:paraId="3102F745"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3. Необходимо разгрузить заводы военной промышленности от производства лафетов, передков, зарядных ящиков, укупорки и т. д. Наши арсеналы, которые заняты производством этих предметов, в результате проведенного капитального строительства за последние годы и ввода в действие целого ряда специального оборудования не смогут считаться уже в данное время арсеналами, где должно преобладать типичное устарелое арсенальное оборудование, главным образом, для ремонта матчасти артиллерии и ручного орудия, перестволения и т. д.</w:t>
      </w:r>
    </w:p>
    <w:p w14:paraId="59D4CD1C"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Наши арсеналы теперь — это машиностроительные заводы, оборудованные новейшими механизмами, способные принять на себя ответственную работу по изготовлению матчасти артиллерии и других видов вооружения.</w:t>
      </w:r>
    </w:p>
    <w:p w14:paraId="53CD8A1B"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Однако географическое расположение двух заводов — Ленинградского и Киевского — являются препятствием для развития на них военного производства. Брянский завод находится в лучших условиях, достаточно удален от фронтового района, почему нет никаких оснований для его не использования как подсобного орудийного завода. Я считаю, что программу арсенального порядка, т. е. ремонт, изготовление зар[ядных] ящиков и передков, с этого завода нужно снять и загрузить его производством мелкокалиберной артиллерии, передав его в сферу влияния завода № 8 им. Калинина.</w:t>
      </w:r>
    </w:p>
    <w:p w14:paraId="0F380CF9"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4. Развитие Киевского и Ленинградского арсеналов для производства артиллерии ограничено неудобствами их географического расположения. На этих заводах возможно производство несложной матчасти артиллерии при обязательном условии иметь в глубоком тылу заводы-дублеры, которые в мирное время также должны иметь загрузку военными предметами, чтобы с возникновением затруднений на заводе № 7 и Киевском полностью восполнить их выход из строя.</w:t>
      </w:r>
    </w:p>
    <w:p w14:paraId="745653CB" w14:textId="77777777" w:rsidR="00C31C07" w:rsidRPr="005E779E" w:rsidRDefault="00C31C07" w:rsidP="000B7A6C">
      <w:pPr>
        <w:pStyle w:val="rtejustify"/>
        <w:spacing w:before="0" w:after="0"/>
        <w:rPr>
          <w:color w:val="000000" w:themeColor="text1"/>
          <w:sz w:val="16"/>
          <w:szCs w:val="16"/>
        </w:rPr>
      </w:pPr>
      <w:r w:rsidRPr="005E779E">
        <w:rPr>
          <w:rStyle w:val="a7"/>
          <w:b w:val="0"/>
          <w:bCs w:val="0"/>
          <w:color w:val="000000" w:themeColor="text1"/>
          <w:sz w:val="16"/>
          <w:szCs w:val="16"/>
        </w:rPr>
        <w:t>VI. Производство ручного оружия</w:t>
      </w:r>
    </w:p>
    <w:p w14:paraId="2ED97A73"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Производство ручного оружия и предметов сосредоточено также на Оружобъединении. Как и в отношении орудийного производства, металлургической базой ручного оружия является Ижевский оруж[ейный] завод, который поставляет черновые заготовки как для себя, так и для Тульского и Ковровского заводов, которые уже на своем оборудовании производят дальнейшую обработку деталей.</w:t>
      </w:r>
    </w:p>
    <w:p w14:paraId="683B503D"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В направлении кооперирования и привлечения заводов гражданской промышленности для изготовления деталей оружия сделано очень мало, если не считать Подольского механического завода, который по мобпрограмме поставляет ТОЗу детали на 500 тыс. винтовок в год войны. Большая часть этих деталей и главнейшие части винтовок все же остаются за ТОЗом.</w:t>
      </w:r>
    </w:p>
    <w:p w14:paraId="4682126B"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Снабжение действующей армии ручным оружием и пулеметами в достаточном количестве и хорошего качества, принимая во внимание неоднородность и пестроту оборудования наших оружейных заводов и необходимость перевооружения армии новыми образцами, будет все же затруднено по разным причинам, главнейшими из которых надо считать недостаток технического персонала и квалифицированной рабсилы, которой не хватает уже сейчас. Особенно остро будет обстоять дело с лекальным хозяйством и заготовлением инструмента. В отношении обеспечения армии оружием мы не можем пройти мимо такого мощного экономического фактора, каким являются производственные возможности наших заводов мелкого и среднего машиностроения.</w:t>
      </w:r>
    </w:p>
    <w:p w14:paraId="0709800C"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На основе опыта и инструктажа кадровых военных заводов заводы гражданской промышленности без труда освоят производство деталей оружия с последующей его сборкой на военном головном заводе. Такое рассредоточение производства оружия повысит его выпуск во много раз.</w:t>
      </w:r>
    </w:p>
    <w:p w14:paraId="1281F26D"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Суммируя изложенное, я намечаю следующие пути кооперирования: 1) подачу черновых стволов и других заготовок возложить на гражданскую промышленность; 2) передать гражданской промышленности изготовление деревянных частей оружия, станков для тяжелых пехотных пулеметов и всех видов треног и установок для пулеметов специального назначения (зенитные треноги, сошки и т. д.); 3) производство укупорки возложить на заводы гражданской промышленности; 4) передать на заводы гражданской промышленности производство обойменой стали и обойм, сняв это производство с ИОЗа; 5) принимая во внимание необходимость в кратчайший срок снабдить пехоту и конницу ручными пулеметами, а также обеспечение снабжения этим видом оружия ближнего боя мобилизованную армию, считать необходимым уже с 1931 г. внедрение в гражданскую промышленность производства отдельных деталей пулемета с тем, чтобы увеличить выпуск пулеметов против наметок 1931 г.</w:t>
      </w:r>
    </w:p>
    <w:p w14:paraId="1E3DFD91"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В частности, Госплан считает возможным уже теперь производить на гражданских заводах следующие детали:</w:t>
      </w:r>
    </w:p>
    <w:p w14:paraId="4B355F78"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[1.] По пулемету Дегтярева: 1) кожух, 2) приклад, 3) черновую обработку ствола и скользящих частей с последующей отладкой и пригонкой на ИНЗ № 2. 4) изготовление магазинов.</w:t>
      </w:r>
    </w:p>
    <w:p w14:paraId="599C567C"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2. По станковым пулеметам: 1) короб с кожухом, 2) затыльник, 3) подъемный механизм, 4) прицел.</w:t>
      </w:r>
    </w:p>
    <w:p w14:paraId="5DAEAF5B"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3. По 3</w:t>
      </w:r>
      <w:r w:rsidRPr="005E779E">
        <w:rPr>
          <w:color w:val="000000" w:themeColor="text1"/>
          <w:sz w:val="16"/>
          <w:szCs w:val="16"/>
        </w:rPr>
        <w:noBreakHyphen/>
        <w:t>дюймовой винтовке. Опыт кооперирования производства этой винтовки у объединения имеется. Этот опыт дает положительные результаты, почему его нужно углублять, расширять номенклатуру деталей и привлечь для этой работы еще ряд заводов.</w:t>
      </w:r>
    </w:p>
    <w:p w14:paraId="118A2DDF"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4. По полуавтоматической винтовке. В предстоящей войне мы безусловно будем иметь перед собой пехоту противника, вооруженную автоматической винтовкой. Предпосылки для возможности такого вооружения пехоты имеются налицо, поскольку типы винтовок приняты почти всеми западными государствами и Америкой.</w:t>
      </w:r>
    </w:p>
    <w:p w14:paraId="7D0E887E" w14:textId="77777777" w:rsidR="00FB17DA" w:rsidRPr="005E779E" w:rsidRDefault="00FB17DA" w:rsidP="000B7A6C">
      <w:pPr>
        <w:pStyle w:val="rtejustify"/>
        <w:spacing w:before="0" w:after="0"/>
        <w:rPr>
          <w:color w:val="000000" w:themeColor="text1"/>
          <w:sz w:val="16"/>
          <w:szCs w:val="16"/>
        </w:rPr>
      </w:pPr>
      <w:r w:rsidRPr="005E779E">
        <w:rPr>
          <w:color w:val="000000" w:themeColor="text1"/>
          <w:sz w:val="16"/>
          <w:szCs w:val="16"/>
        </w:rPr>
        <w:t>С объявлением мобилизации, вне всякого сомнения, начнется внедрение в войска такой винтовки. Мы не должны отстать и вынуждены будем перевооружить армию, как бы это дорого не стоило, автоматом. Решающую роль в изготовлении должна сыграть гражданская промышленность, которой нужно дать уже теперь задание на освоение производства отдельных деталей¹*.</w:t>
      </w:r>
    </w:p>
    <w:p w14:paraId="31974ABA" w14:textId="77777777" w:rsidR="00FB17DA" w:rsidRPr="005E779E" w:rsidRDefault="00FB17DA" w:rsidP="000B7A6C">
      <w:pPr>
        <w:pStyle w:val="ae"/>
        <w:spacing w:before="0" w:after="0"/>
        <w:jc w:val="both"/>
        <w:rPr>
          <w:color w:val="000000" w:themeColor="text1"/>
          <w:sz w:val="16"/>
          <w:szCs w:val="16"/>
        </w:rPr>
      </w:pPr>
      <w:r w:rsidRPr="005E779E">
        <w:rPr>
          <w:rStyle w:val="af0"/>
          <w:i w:val="0"/>
          <w:color w:val="000000" w:themeColor="text1"/>
          <w:sz w:val="16"/>
          <w:szCs w:val="16"/>
        </w:rPr>
        <w:t>А. Кривенко</w:t>
      </w:r>
    </w:p>
    <w:p w14:paraId="141A8C47" w14:textId="77777777" w:rsidR="00FB17DA" w:rsidRPr="005E779E" w:rsidRDefault="00FB17DA" w:rsidP="000B7A6C">
      <w:pPr>
        <w:pStyle w:val="ae"/>
        <w:spacing w:before="0" w:after="0"/>
        <w:jc w:val="both"/>
        <w:rPr>
          <w:color w:val="000000" w:themeColor="text1"/>
          <w:sz w:val="16"/>
          <w:szCs w:val="16"/>
        </w:rPr>
      </w:pPr>
      <w:r w:rsidRPr="005E779E">
        <w:rPr>
          <w:rStyle w:val="af0"/>
          <w:i w:val="0"/>
          <w:color w:val="000000" w:themeColor="text1"/>
          <w:sz w:val="16"/>
          <w:szCs w:val="16"/>
        </w:rPr>
        <w:t>Примечание</w:t>
      </w:r>
      <w:r w:rsidRPr="005E779E">
        <w:rPr>
          <w:color w:val="000000" w:themeColor="text1"/>
          <w:sz w:val="16"/>
          <w:szCs w:val="16"/>
        </w:rPr>
        <w:t>:</w:t>
      </w:r>
    </w:p>
    <w:p w14:paraId="598436F0" w14:textId="77777777" w:rsidR="00FB17DA" w:rsidRPr="005E779E" w:rsidRDefault="00FB17DA" w:rsidP="000B7A6C">
      <w:pPr>
        <w:pStyle w:val="ae"/>
        <w:spacing w:before="0" w:after="0"/>
        <w:jc w:val="both"/>
        <w:rPr>
          <w:color w:val="000000" w:themeColor="text1"/>
          <w:sz w:val="16"/>
          <w:szCs w:val="16"/>
        </w:rPr>
      </w:pPr>
      <w:r w:rsidRPr="005E779E">
        <w:rPr>
          <w:color w:val="000000" w:themeColor="text1"/>
          <w:sz w:val="16"/>
          <w:szCs w:val="16"/>
          <w:vertAlign w:val="superscript"/>
        </w:rPr>
        <w:t>1</w:t>
      </w:r>
      <w:r w:rsidRPr="005E779E">
        <w:rPr>
          <w:color w:val="000000" w:themeColor="text1"/>
          <w:sz w:val="16"/>
          <w:szCs w:val="16"/>
        </w:rPr>
        <w:t>* Опущен раздел VII “Научно-исследовательская работа”.</w:t>
      </w:r>
    </w:p>
    <w:p w14:paraId="403C8967" w14:textId="77777777" w:rsidR="00FB17DA" w:rsidRPr="005E779E" w:rsidRDefault="00FB17DA" w:rsidP="000B7A6C">
      <w:pPr>
        <w:pStyle w:val="ae"/>
        <w:spacing w:before="0" w:after="0"/>
        <w:jc w:val="both"/>
        <w:rPr>
          <w:color w:val="000000" w:themeColor="text1"/>
          <w:sz w:val="16"/>
          <w:szCs w:val="16"/>
        </w:rPr>
      </w:pPr>
      <w:r w:rsidRPr="005E779E">
        <w:rPr>
          <w:color w:val="000000" w:themeColor="text1"/>
          <w:sz w:val="16"/>
          <w:szCs w:val="16"/>
        </w:rPr>
        <w:t>РГАЭ. Ф. 4372. Оп. 91. Д. 920. Л. 19—3. Подлинник.</w:t>
      </w:r>
    </w:p>
    <w:p w14:paraId="6D7003B1"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Архив: РГАЭ. Ф. 4372. Оп. 91. Д. 920. Л. 19—3. Подлинник. </w:t>
      </w:r>
    </w:p>
    <w:p w14:paraId="7D4A7DE1"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Источник: Становление оборонно-промышленного комплекса СССР (1927-1932). М. 2008, стр. 531-538 (12525).</w:t>
      </w:r>
    </w:p>
    <w:p w14:paraId="2DCC2630" w14:textId="77777777" w:rsidR="00FB17DA" w:rsidRPr="005E779E" w:rsidRDefault="00FB17DA" w:rsidP="000B7A6C">
      <w:pPr>
        <w:spacing w:after="0" w:line="240" w:lineRule="auto"/>
        <w:jc w:val="both"/>
        <w:rPr>
          <w:rFonts w:ascii="Times New Roman" w:hAnsi="Times New Roman"/>
          <w:color w:val="000000" w:themeColor="text1"/>
          <w:sz w:val="16"/>
          <w:szCs w:val="16"/>
        </w:rPr>
      </w:pPr>
    </w:p>
    <w:p w14:paraId="0BE1C640" w14:textId="77777777" w:rsidR="00FB17DA"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6F7F2B50" w14:textId="77777777" w:rsidR="00FB17DA" w:rsidRPr="005E779E" w:rsidRDefault="00FB17DA"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CAD8063"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12 марта 1931 </w:t>
      </w:r>
      <w:r w:rsidRPr="005E779E">
        <w:rPr>
          <w:rFonts w:ascii="Times New Roman" w:hAnsi="Times New Roman"/>
          <w:color w:val="000000" w:themeColor="text1"/>
          <w:sz w:val="16"/>
          <w:szCs w:val="16"/>
        </w:rPr>
        <w:t>VI Всесоюзный съезд Советов принял постановление «По отчету правительства СССР» (12265).</w:t>
      </w:r>
    </w:p>
    <w:p w14:paraId="27235E90" w14:textId="77777777" w:rsidR="00FB17DA" w:rsidRPr="005E779E" w:rsidRDefault="00FB17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12EF72E3"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07172744"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E4A03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марта 1931 года начальник 4 отдела НИИ ст. летнаб Стерлигов писал письмо N 102/699с в производственный отдел ВАО Воротникову.</w:t>
      </w:r>
    </w:p>
    <w:p w14:paraId="18637E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связи с утверждением образца гидростатического бензиномера, разработанного заводом Авиаприбор и предложенного к серийному выпуску в течение 2-го квартала 1931 года, 4-й отдел НИИ предлагает возобновить работы по выработке схем бензиномеров и тарировке баков на новых самолетах (3217,143).</w:t>
      </w:r>
    </w:p>
    <w:p w14:paraId="3BF26B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42F5BFB" w14:textId="5D2A03EA" w:rsidR="004F1F65" w:rsidRPr="005E779E" w:rsidRDefault="004F1F65" w:rsidP="000B7A6C">
      <w:pPr>
        <w:autoSpaceDE w:val="0"/>
        <w:autoSpaceDN w:val="0"/>
        <w:adjustRightInd w:val="0"/>
        <w:spacing w:after="0" w:line="240" w:lineRule="auto"/>
        <w:jc w:val="both"/>
        <w:rPr>
          <w:rFonts w:ascii="Times New Roman" w:hAnsi="Times New Roman"/>
          <w:i/>
          <w:iCs/>
          <w:color w:val="000000" w:themeColor="text1"/>
          <w:sz w:val="16"/>
          <w:szCs w:val="16"/>
        </w:rPr>
      </w:pPr>
      <w:r w:rsidRPr="005E779E">
        <w:rPr>
          <w:rFonts w:ascii="Times New Roman" w:hAnsi="Times New Roman"/>
          <w:i/>
          <w:iCs/>
          <w:color w:val="000000" w:themeColor="text1"/>
          <w:sz w:val="16"/>
          <w:szCs w:val="16"/>
        </w:rPr>
        <w:t>За рубежом:</w:t>
      </w:r>
    </w:p>
    <w:p w14:paraId="6D0BB5A0" w14:textId="77777777" w:rsidR="004F1F65" w:rsidRPr="005E779E" w:rsidRDefault="004F1F65" w:rsidP="000B7A6C">
      <w:pPr>
        <w:autoSpaceDE w:val="0"/>
        <w:autoSpaceDN w:val="0"/>
        <w:adjustRightInd w:val="0"/>
        <w:spacing w:after="0" w:line="240" w:lineRule="auto"/>
        <w:jc w:val="both"/>
        <w:rPr>
          <w:rFonts w:ascii="Times New Roman" w:hAnsi="Times New Roman"/>
          <w:i/>
          <w:iCs/>
          <w:color w:val="000000" w:themeColor="text1"/>
          <w:sz w:val="16"/>
          <w:szCs w:val="16"/>
        </w:rPr>
      </w:pPr>
    </w:p>
    <w:p w14:paraId="7543BEEC" w14:textId="77777777" w:rsidR="004F1F65" w:rsidRPr="005E779E" w:rsidRDefault="004F1F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марта 1931 г. Тилинг запустил ракету длиной 75 см, диаметром 6,5 см, которая взлетела на скорости 40 м/сек и за 11 секунд достигла высоты 1800 м (т. е. развила скорость около 165 м/сек). Затем она раскрыла крылья и плавно опустилась на землю.</w:t>
      </w:r>
    </w:p>
    <w:p w14:paraId="4300510E" w14:textId="77777777" w:rsidR="004F1F65" w:rsidRPr="005E779E" w:rsidRDefault="004F1F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Вот перечень последующих запусков: </w:t>
      </w:r>
    </w:p>
    <w:p w14:paraId="7E326085" w14:textId="097E5D20" w:rsidR="004F1F65" w:rsidRPr="005E779E" w:rsidRDefault="004F1F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- 15.04.1931 (Дирлинген возле Оснабрюке) - самая известная демонстрация ракет Тилинга. Она вызвала большой интерес по всей Германии. Ракеты имели длину 75 см и наибольший диаметр 6,5 см. Первая ракета взорвалась на высоте примерно 150 м. Вторая ракета достигла высоты около 760 м. Третья была первой в Германии почтовой ракетой: она несла 188 открыток. Ее полет был самым успешным в</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тот день, она достигла высоты 2000 м и скорости около 700</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км/час. На открытках стояли штемпели почты Оснабрюке. Четвертая ракета взлетела примерно на 455 м.</w:t>
      </w:r>
    </w:p>
    <w:p w14:paraId="6DADD7BC" w14:textId="77777777" w:rsidR="004F1F65" w:rsidRPr="005E779E" w:rsidRDefault="004F1F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Лето 1931 (Остров Вангероге — Wangerooge) в Восточной Фрисландии Первая ракета успешно совершила полёт. Подробности неизвестны. Вторая ракета поднялась на 975 м! Диаметр корпусов обеих ракет был 75 см.</w:t>
      </w:r>
    </w:p>
    <w:p w14:paraId="413A263B" w14:textId="6BAC6F3D" w:rsidR="004F1F65" w:rsidRPr="005E779E" w:rsidRDefault="004F1F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- 22.08.1932 (Оснабрюке) В</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этот день Тилинг впервые представил публике ракету с</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раскрывающимися крыльями размахом 173 см. Были совершены несколько запусков, один из них завершился взрывом вскоре после взлета.</w:t>
      </w:r>
    </w:p>
    <w:p w14:paraId="6ED984AA" w14:textId="63E28765" w:rsidR="004F1F65" w:rsidRPr="005E779E" w:rsidRDefault="004F1F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- 23.10.1932 (Берлин - Темпельгоф) Были запущены две ракеты с</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крыльями размахом 173 см. Обе приземлилась на поле аэродрома.</w:t>
      </w:r>
    </w:p>
    <w:p w14:paraId="29C368CB" w14:textId="77777777" w:rsidR="004F1F65" w:rsidRPr="005E779E" w:rsidRDefault="004F1F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- 30.10.1932 (Берлин — Темпельгоф) Еще один день запусков таких же ракет на аэродроме.</w:t>
      </w:r>
    </w:p>
    <w:p w14:paraId="4897F11D" w14:textId="77777777" w:rsidR="004F1F65" w:rsidRPr="005E779E" w:rsidRDefault="004F1F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13.11.1932 (Берлин — Темпельгоф) Несколько аналогичных ракет были запущены на аэродроме. Одна из них достигла высоты около 800 м, откуда спланировала на землю и совершила мягкую посадку.</w:t>
      </w:r>
    </w:p>
    <w:p w14:paraId="0809B650" w14:textId="00575147" w:rsidR="004F1F65" w:rsidRPr="005E779E" w:rsidRDefault="004F1F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Лето 1933 г. (окресности Ганновера Четыре новые ракеты с размахом крыльев 320 см были запущены и успешно совершили посадку, демострируя возможности почтовых ракет.</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(23372).</w:t>
      </w:r>
    </w:p>
    <w:p w14:paraId="77A3C731" w14:textId="77777777" w:rsidR="004F1F65" w:rsidRPr="005E779E" w:rsidRDefault="004F1F65" w:rsidP="000B7A6C">
      <w:pPr>
        <w:spacing w:after="0" w:line="240" w:lineRule="auto"/>
        <w:jc w:val="both"/>
        <w:rPr>
          <w:rFonts w:ascii="Times New Roman" w:hAnsi="Times New Roman"/>
          <w:color w:val="000000" w:themeColor="text1"/>
          <w:sz w:val="16"/>
          <w:szCs w:val="16"/>
        </w:rPr>
      </w:pPr>
    </w:p>
    <w:p w14:paraId="5E1AB6A6" w14:textId="37E87CE2"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41DDEB7A"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99F73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марта 1931 освободили многих конструкторов ЦКБ, в т.ч. Д.П.Г., но не Н.Н.П. (7383, 5).</w:t>
      </w:r>
    </w:p>
    <w:p w14:paraId="75284A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5C730B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марта 1931 г. освободили многих конструкторов, включая Д.П.Григоровича, но Н.Н.Поликарпов еще ос</w:t>
      </w:r>
      <w:r w:rsidRPr="005E779E">
        <w:rPr>
          <w:rFonts w:ascii="Times New Roman" w:hAnsi="Times New Roman"/>
          <w:color w:val="000000" w:themeColor="text1"/>
          <w:sz w:val="16"/>
          <w:szCs w:val="16"/>
        </w:rPr>
        <w:softHyphen/>
        <w:t>тавался в заключении. Более того, 18 марта 1931 г., спу</w:t>
      </w:r>
      <w:r w:rsidRPr="005E779E">
        <w:rPr>
          <w:rFonts w:ascii="Times New Roman" w:hAnsi="Times New Roman"/>
          <w:color w:val="000000" w:themeColor="text1"/>
          <w:sz w:val="16"/>
          <w:szCs w:val="16"/>
        </w:rPr>
        <w:softHyphen/>
        <w:t>стя полтора года после ареста, Коллегия ОГПУ приго</w:t>
      </w:r>
      <w:r w:rsidRPr="005E779E">
        <w:rPr>
          <w:rFonts w:ascii="Times New Roman" w:hAnsi="Times New Roman"/>
          <w:color w:val="000000" w:themeColor="text1"/>
          <w:sz w:val="16"/>
          <w:szCs w:val="16"/>
        </w:rPr>
        <w:softHyphen/>
        <w:t>ворила Н.Н.Поликарпова к десяти годам заключения в лагерях. Николай Николаевич обвинялся по статьям УК РСФСР 58-6 (шпионаж), 58-7 (подрыв госу</w:t>
      </w:r>
      <w:r w:rsidRPr="005E779E">
        <w:rPr>
          <w:rFonts w:ascii="Times New Roman" w:hAnsi="Times New Roman"/>
          <w:color w:val="000000" w:themeColor="text1"/>
          <w:sz w:val="16"/>
          <w:szCs w:val="16"/>
        </w:rPr>
        <w:softHyphen/>
        <w:t>дар ственной промышленности в контрреволюционных целях) и 58-11 (организационная деятельность или учас</w:t>
      </w:r>
      <w:r w:rsidRPr="005E779E">
        <w:rPr>
          <w:rFonts w:ascii="Times New Roman" w:hAnsi="Times New Roman"/>
          <w:color w:val="000000" w:themeColor="text1"/>
          <w:sz w:val="16"/>
          <w:szCs w:val="16"/>
        </w:rPr>
        <w:softHyphen/>
        <w:t>тие в организации для подготовки одного из преступле</w:t>
      </w:r>
      <w:r w:rsidRPr="005E779E">
        <w:rPr>
          <w:rFonts w:ascii="Times New Roman" w:hAnsi="Times New Roman"/>
          <w:color w:val="000000" w:themeColor="text1"/>
          <w:sz w:val="16"/>
          <w:szCs w:val="16"/>
        </w:rPr>
        <w:softHyphen/>
        <w:t>ний, предусмотренных первой главой - «Преступления государственные» - особенной части УК РСФСР):</w:t>
      </w:r>
    </w:p>
    <w:p w14:paraId="65A4950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ВЫПИСКА ИЗ ПРОТОКОЛА заседания Коллегии ОГПУ (судебное) от 18 марта 1931</w:t>
      </w:r>
    </w:p>
    <w:p w14:paraId="75F6F2E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СЛУШАЛИ:</w:t>
      </w:r>
    </w:p>
    <w:p w14:paraId="1DD095C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31.Дело №-84496 по обв. гр. ПОЛИКАРПОВА Николая Николаевича, по 58/6,7 и 11 ст. ст. УК (Дело рассм. в пор. постан. През. ЦИК СССР от 9/6-27 г.)</w:t>
      </w:r>
    </w:p>
    <w:p w14:paraId="660FC13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ПОСТАНОВИЛИ:</w:t>
      </w:r>
    </w:p>
    <w:p w14:paraId="05757DA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ПОЛИКАРПОВА Николая Николаевича - заключить в концлагерь, сроком на ДЕСЯТЬ лет, считая с 25/Х-29 года.</w:t>
      </w:r>
    </w:p>
    <w:p w14:paraId="0763565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Имущество КОНФИСКОВАТЬ.</w:t>
      </w:r>
    </w:p>
    <w:p w14:paraId="08F481E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(подпись) верно: Секретарь Коллегии ОГПУ (10667,176).</w:t>
      </w:r>
    </w:p>
    <w:p w14:paraId="27275DA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6BDC59" w14:textId="77777777" w:rsidR="004F1F65" w:rsidRPr="005E779E" w:rsidRDefault="004F1F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марта 1931 г. освободили многих конструкторов, включая Д.П. Григо</w:t>
      </w:r>
      <w:r w:rsidRPr="005E779E">
        <w:rPr>
          <w:rFonts w:ascii="Times New Roman" w:hAnsi="Times New Roman"/>
          <w:color w:val="000000" w:themeColor="text1"/>
          <w:sz w:val="16"/>
          <w:szCs w:val="16"/>
        </w:rPr>
        <w:softHyphen/>
        <w:t>ровича, но Николай Николаевич еще оставался в заключении (23406).</w:t>
      </w:r>
    </w:p>
    <w:p w14:paraId="26F10C4A" w14:textId="77777777" w:rsidR="004F1F65" w:rsidRPr="005E779E" w:rsidRDefault="004F1F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марта 1931 г., спустя пол</w:t>
      </w:r>
      <w:r w:rsidRPr="005E779E">
        <w:rPr>
          <w:rFonts w:ascii="Times New Roman" w:hAnsi="Times New Roman"/>
          <w:color w:val="000000" w:themeColor="text1"/>
          <w:sz w:val="16"/>
          <w:szCs w:val="16"/>
        </w:rPr>
        <w:softHyphen/>
        <w:t>тора года после ареста, Коллегия ОГПУ постановила: «Поликарпова Николая Николаевича - заключить в концлагерь сроком на десять лет, считая срок с 25/Х-29 года. Имуще</w:t>
      </w:r>
      <w:r w:rsidRPr="005E779E">
        <w:rPr>
          <w:rFonts w:ascii="Times New Roman" w:hAnsi="Times New Roman"/>
          <w:color w:val="000000" w:themeColor="text1"/>
          <w:sz w:val="16"/>
          <w:szCs w:val="16"/>
        </w:rPr>
        <w:softHyphen/>
        <w:t>ство конфисковать».</w:t>
      </w:r>
    </w:p>
    <w:p w14:paraId="08713114" w14:textId="77777777" w:rsidR="004F1F65" w:rsidRPr="005E779E" w:rsidRDefault="004F1F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Николай Николаевич обвинялся по статьям УК РСФСР 58-6 (шпионаж), 58-7 (подрыв государственной промышлен</w:t>
      </w:r>
      <w:r w:rsidRPr="005E779E">
        <w:rPr>
          <w:rFonts w:ascii="Times New Roman" w:hAnsi="Times New Roman"/>
          <w:color w:val="000000" w:themeColor="text1"/>
          <w:sz w:val="16"/>
          <w:szCs w:val="16"/>
        </w:rPr>
        <w:softHyphen/>
        <w:t>ности в контрреволюционных целях) и 58-11 (организованная деятельность или участие в организации для подго</w:t>
      </w:r>
      <w:r w:rsidRPr="005E779E">
        <w:rPr>
          <w:rFonts w:ascii="Times New Roman" w:hAnsi="Times New Roman"/>
          <w:color w:val="000000" w:themeColor="text1"/>
          <w:sz w:val="16"/>
          <w:szCs w:val="16"/>
        </w:rPr>
        <w:softHyphen/>
        <w:t>товки одного из преступлений, предус</w:t>
      </w:r>
      <w:r w:rsidRPr="005E779E">
        <w:rPr>
          <w:rFonts w:ascii="Times New Roman" w:hAnsi="Times New Roman"/>
          <w:color w:val="000000" w:themeColor="text1"/>
          <w:sz w:val="16"/>
          <w:szCs w:val="16"/>
        </w:rPr>
        <w:softHyphen/>
        <w:t>мотренных первой главой - «Преступ</w:t>
      </w:r>
      <w:r w:rsidRPr="005E779E">
        <w:rPr>
          <w:rFonts w:ascii="Times New Roman" w:hAnsi="Times New Roman"/>
          <w:color w:val="000000" w:themeColor="text1"/>
          <w:sz w:val="16"/>
          <w:szCs w:val="16"/>
        </w:rPr>
        <w:softHyphen/>
        <w:t>ления государственные» - особенной части УК РСФСР).</w:t>
      </w:r>
    </w:p>
    <w:p w14:paraId="79747699" w14:textId="77777777" w:rsidR="004F1F65" w:rsidRPr="005E779E" w:rsidRDefault="004F1F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Семья долго оставалась в не</w:t>
      </w:r>
      <w:r w:rsidRPr="005E779E">
        <w:rPr>
          <w:rFonts w:ascii="Times New Roman" w:hAnsi="Times New Roman"/>
          <w:color w:val="000000" w:themeColor="text1"/>
          <w:sz w:val="16"/>
          <w:szCs w:val="16"/>
        </w:rPr>
        <w:softHyphen/>
        <w:t>ведении в отношении дальнейшей судьбы Николая Николаевича. Жена Александра Федоровна пыталась узнать, в чем его обвиняют, скоро ли он выйдет на свободу. Через Красный Крест у Екатерины Пав</w:t>
      </w:r>
      <w:r w:rsidRPr="005E779E">
        <w:rPr>
          <w:rFonts w:ascii="Times New Roman" w:hAnsi="Times New Roman"/>
          <w:color w:val="000000" w:themeColor="text1"/>
          <w:sz w:val="16"/>
          <w:szCs w:val="16"/>
        </w:rPr>
        <w:softHyphen/>
        <w:t>ловны Пешковой она получила справку, в которой говорилось о том, что Н.Н. Поликарпов пригово</w:t>
      </w:r>
      <w:r w:rsidRPr="005E779E">
        <w:rPr>
          <w:rFonts w:ascii="Times New Roman" w:hAnsi="Times New Roman"/>
          <w:color w:val="000000" w:themeColor="text1"/>
          <w:sz w:val="16"/>
          <w:szCs w:val="16"/>
        </w:rPr>
        <w:softHyphen/>
        <w:t>рен к смертной казни с заменой на пожизненную ссылку в отдаленных районах Сибири.</w:t>
      </w:r>
    </w:p>
    <w:p w14:paraId="03F6BD7A" w14:textId="77777777" w:rsidR="004F1F65" w:rsidRPr="005E779E" w:rsidRDefault="004F1F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Николай Николаевич продолжал руководить бригадой №3. Теперь она получила новое задание - спроек</w:t>
      </w:r>
      <w:r w:rsidRPr="005E779E">
        <w:rPr>
          <w:rFonts w:ascii="Times New Roman" w:hAnsi="Times New Roman"/>
          <w:color w:val="000000" w:themeColor="text1"/>
          <w:sz w:val="16"/>
          <w:szCs w:val="16"/>
        </w:rPr>
        <w:softHyphen/>
        <w:t>тировать истребитель И-11. Для его успешного выполнения численность бригады увеличили. Среди инжене</w:t>
      </w:r>
      <w:r w:rsidRPr="005E779E">
        <w:rPr>
          <w:rFonts w:ascii="Times New Roman" w:hAnsi="Times New Roman"/>
          <w:color w:val="000000" w:themeColor="text1"/>
          <w:sz w:val="16"/>
          <w:szCs w:val="16"/>
        </w:rPr>
        <w:softHyphen/>
        <w:t>ров, оказавшихся в этом коллективе, был и Дмитрий Людвигович Томаше- вич, впоследствии главный конструк</w:t>
      </w:r>
      <w:r w:rsidRPr="005E779E">
        <w:rPr>
          <w:rFonts w:ascii="Times New Roman" w:hAnsi="Times New Roman"/>
          <w:color w:val="000000" w:themeColor="text1"/>
          <w:sz w:val="16"/>
          <w:szCs w:val="16"/>
        </w:rPr>
        <w:softHyphen/>
        <w:t>тор авиационной и ракетной техники. Он вспоминал:</w:t>
      </w:r>
    </w:p>
    <w:p w14:paraId="2BCFA865" w14:textId="77777777" w:rsidR="004F1F65" w:rsidRPr="005E779E" w:rsidRDefault="004F1F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середине 1931 г. я ушел на работу в конструкторское бюро, находящееся под опекой НКВД. В нем работали и заключенные специалисты, и вольнона</w:t>
      </w:r>
      <w:r w:rsidRPr="005E779E">
        <w:rPr>
          <w:rFonts w:ascii="Times New Roman" w:hAnsi="Times New Roman"/>
          <w:color w:val="000000" w:themeColor="text1"/>
          <w:sz w:val="16"/>
          <w:szCs w:val="16"/>
        </w:rPr>
        <w:softHyphen/>
        <w:t>емные. Я работал в отделе общих видов и здесь впервые лично встретился с Н.Н. Поликарповым.</w:t>
      </w:r>
    </w:p>
    <w:p w14:paraId="587BF193" w14:textId="77777777" w:rsidR="004F1F65" w:rsidRPr="005E779E" w:rsidRDefault="004F1F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Он относился к нам, вольнонаемным молодым инженерам, как равный.</w:t>
      </w:r>
    </w:p>
    <w:p w14:paraId="25EF67CD" w14:textId="77777777" w:rsidR="004F1F65" w:rsidRPr="005E779E" w:rsidRDefault="004F1F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 гордился своей квалификацией, а мог бы, по современным нравам в конструкторских бюро, так как имел уже 3 самолета, внедренных в серию, и 2 опытных самолета, сделанных еще до ареста.</w:t>
      </w:r>
    </w:p>
    <w:p w14:paraId="6C6DDD51" w14:textId="77777777" w:rsidR="004F1F65" w:rsidRPr="005E779E" w:rsidRDefault="004F1F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другой стороны, и не лебезил перед нами - вольнонаемными как заключенный.</w:t>
      </w:r>
    </w:p>
    <w:p w14:paraId="4DD04EF5" w14:textId="77777777" w:rsidR="004F1F65" w:rsidRPr="005E779E" w:rsidRDefault="004F1F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 это невольно вызывало уважение к нему и желание работать с ним.</w:t>
      </w:r>
    </w:p>
    <w:p w14:paraId="4B71E173" w14:textId="77777777" w:rsidR="004F1F65" w:rsidRPr="005E779E" w:rsidRDefault="004F1F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Его указания по работе (мы делали компоновку истребителя под весьма мощный двигатель, который не был построен из-за того, что двигатель был лишь в проекте и так и остался) воспри</w:t>
      </w:r>
      <w:r w:rsidRPr="005E779E">
        <w:rPr>
          <w:rFonts w:ascii="Times New Roman" w:hAnsi="Times New Roman"/>
          <w:color w:val="000000" w:themeColor="text1"/>
          <w:sz w:val="16"/>
          <w:szCs w:val="16"/>
        </w:rPr>
        <w:softHyphen/>
        <w:t>нимались как результат беседы и совместного обсуждения. Не могу вспомнить случая, чтобы он что- либо «приказал» сделать или угова</w:t>
      </w:r>
      <w:r w:rsidRPr="005E779E">
        <w:rPr>
          <w:rFonts w:ascii="Times New Roman" w:hAnsi="Times New Roman"/>
          <w:color w:val="000000" w:themeColor="text1"/>
          <w:sz w:val="16"/>
          <w:szCs w:val="16"/>
        </w:rPr>
        <w:softHyphen/>
        <w:t>ривал» (23406).</w:t>
      </w:r>
    </w:p>
    <w:p w14:paraId="6AE2C773" w14:textId="77777777" w:rsidR="004F1F65" w:rsidRPr="005E779E" w:rsidRDefault="004F1F65" w:rsidP="000B7A6C">
      <w:pPr>
        <w:spacing w:after="0" w:line="240" w:lineRule="auto"/>
        <w:jc w:val="both"/>
        <w:rPr>
          <w:rFonts w:ascii="Times New Roman" w:hAnsi="Times New Roman"/>
          <w:color w:val="000000" w:themeColor="text1"/>
          <w:sz w:val="16"/>
          <w:szCs w:val="16"/>
        </w:rPr>
      </w:pPr>
    </w:p>
    <w:p w14:paraId="190A7C58" w14:textId="77777777" w:rsidR="004F1F65" w:rsidRPr="005E779E" w:rsidRDefault="004F1F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марта 1931 г. освобождена группа заключенных – конструкторов ЦКБ-39, в т.ч. и Д.П. Григорович, но следствие и суды других продолжались (23559).</w:t>
      </w:r>
    </w:p>
    <w:p w14:paraId="4250EF4B" w14:textId="77777777" w:rsidR="004F1F65" w:rsidRPr="005E779E" w:rsidRDefault="004F1F65" w:rsidP="000B7A6C">
      <w:pPr>
        <w:spacing w:after="0" w:line="240" w:lineRule="auto"/>
        <w:jc w:val="both"/>
        <w:rPr>
          <w:rFonts w:ascii="Times New Roman" w:hAnsi="Times New Roman"/>
          <w:color w:val="000000" w:themeColor="text1"/>
          <w:sz w:val="16"/>
          <w:szCs w:val="16"/>
        </w:rPr>
      </w:pPr>
    </w:p>
    <w:p w14:paraId="4B93F3EF" w14:textId="77777777" w:rsidR="001D168C" w:rsidRPr="00142305" w:rsidRDefault="001D168C" w:rsidP="001D168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14 марта 1931 г. освободили многих конструкторов, включая Д. П. Григоровича, но Николай Николаевич еще оставался в заключении (25035).</w:t>
      </w:r>
    </w:p>
    <w:p w14:paraId="0601F543" w14:textId="77777777" w:rsidR="001D168C" w:rsidRPr="00142305" w:rsidRDefault="001D168C" w:rsidP="001D168C">
      <w:pPr>
        <w:spacing w:after="0" w:line="240" w:lineRule="auto"/>
        <w:jc w:val="both"/>
        <w:rPr>
          <w:rFonts w:ascii="Times New Roman" w:hAnsi="Times New Roman"/>
          <w:color w:val="0070C0"/>
          <w:sz w:val="16"/>
          <w:szCs w:val="16"/>
        </w:rPr>
      </w:pPr>
    </w:p>
    <w:p w14:paraId="2C4052AB"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3AB027CA"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2F336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марта 1931 один из двух закупленных танков Кристи N 2051 прибыл в испытательный отдел склада N 127 АБТУ и там до 16 мая 1931 под руководством нач. отдела Громова и танковой станции Лаврентьева проходило ознакомление с матчастью (3879,5).</w:t>
      </w:r>
    </w:p>
    <w:p w14:paraId="178500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C1F16C5" w14:textId="77777777" w:rsidR="000F1D6E" w:rsidRPr="005E779E" w:rsidRDefault="000F1D6E"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shd w:val="clear" w:color="auto" w:fill="FFFFFF"/>
        </w:rPr>
        <w:t>14 марта 1931 танк Кристи был передан со склада № 127в испытательный отдел. Следует отметить, что полноценных испытаний танк не проходил вплоть до 16 мая. Как следует из отчета по испытаниям, два месяца танк, имевший серийный номер 2051, использовался как объект изучения, также его демонстрировали начсоставу Красной Армии. Собственно говоря, уже на этом этапе было понятно, что в имеющемся виде танк Кристи для производства не подходит. Для начала, носовая часть выступала за габариты ходовой части, что забраковали еще на этапе приёмки в США. Далее, люк механика-водителя предназначался исключительно для обзора местности. Для вылезания из него механика-водителя проём был маловат. Часть операций по обслуживанию машины было выполнить невозможно без демонтажа надмоторной плиты или других элементов. Новостью это не стало, по крайней мере для КБ-3 ВОАО (Всесоюзное орудийно-арсенальное объединение), которое возглавлял С.А. Гинзбург. Когда дело дошло до "адаптации" БТ, машина стала отличаться по ряду элементов (20339).</w:t>
      </w:r>
    </w:p>
    <w:p w14:paraId="1FB9426F" w14:textId="77777777" w:rsidR="000F1D6E" w:rsidRPr="005E779E" w:rsidRDefault="000F1D6E" w:rsidP="000B7A6C">
      <w:pPr>
        <w:shd w:val="clear" w:color="auto" w:fill="FFFFFF"/>
        <w:spacing w:after="0" w:line="240" w:lineRule="auto"/>
        <w:jc w:val="both"/>
        <w:rPr>
          <w:rFonts w:ascii="Times New Roman" w:hAnsi="Times New Roman"/>
          <w:color w:val="000000" w:themeColor="text1"/>
          <w:sz w:val="16"/>
          <w:szCs w:val="16"/>
        </w:rPr>
      </w:pPr>
    </w:p>
    <w:p w14:paraId="3A4993AA" w14:textId="77777777" w:rsidR="00D57D9E" w:rsidRPr="00142305" w:rsidRDefault="00D57D9E" w:rsidP="00D57D9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14 марта 1931 г. опытный образец танка Кристи, имевший заводской номер 2051, прибыл в испытательный отдел, где, согласно распоряжению начальника УММ РККА, до 16 мая проводилось ознакомление с его материальной частью и демонстрация закупленной машины под руководством начальника отдела Громова и инженера танковой станции Лаврентьева. Многочисленные делегации руководящего состава РККА с конца марта и до 16 апреля знакомились с приобретенной новинкой, которая в целом произвела на них хорошее впечатление (25184).</w:t>
      </w:r>
    </w:p>
    <w:p w14:paraId="33B2B49B" w14:textId="77777777" w:rsidR="00D57D9E" w:rsidRPr="00142305" w:rsidRDefault="00D57D9E" w:rsidP="00D57D9E">
      <w:pPr>
        <w:spacing w:after="0" w:line="240" w:lineRule="auto"/>
        <w:jc w:val="both"/>
        <w:rPr>
          <w:rFonts w:ascii="Times New Roman" w:hAnsi="Times New Roman"/>
          <w:color w:val="0070C0"/>
          <w:sz w:val="16"/>
          <w:szCs w:val="16"/>
        </w:rPr>
      </w:pPr>
    </w:p>
    <w:p w14:paraId="6462F32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марта 1931 начались показы новинки представителям во</w:t>
      </w:r>
      <w:r w:rsidRPr="005E779E">
        <w:rPr>
          <w:rFonts w:ascii="Times New Roman" w:hAnsi="Times New Roman"/>
          <w:color w:val="000000" w:themeColor="text1"/>
          <w:sz w:val="16"/>
          <w:szCs w:val="16"/>
        </w:rPr>
        <w:softHyphen/>
        <w:t>енной верхушки РККА. В целом заморская диковинка про</w:t>
      </w:r>
      <w:r w:rsidRPr="005E779E">
        <w:rPr>
          <w:rFonts w:ascii="Times New Roman" w:hAnsi="Times New Roman"/>
          <w:color w:val="000000" w:themeColor="text1"/>
          <w:sz w:val="16"/>
          <w:szCs w:val="16"/>
        </w:rPr>
        <w:softHyphen/>
        <w:t>изводила на них благоприятное впечатление, но оно не шло ни в какое сравнение с первыми восторженными от</w:t>
      </w:r>
      <w:r w:rsidRPr="005E779E">
        <w:rPr>
          <w:rFonts w:ascii="Times New Roman" w:hAnsi="Times New Roman"/>
          <w:color w:val="000000" w:themeColor="text1"/>
          <w:sz w:val="16"/>
          <w:szCs w:val="16"/>
        </w:rPr>
        <w:softHyphen/>
        <w:t>зывами о «шеститоннике». Вскоре стало ясно, что Ярославский завод даже в коо</w:t>
      </w:r>
      <w:r w:rsidRPr="005E779E">
        <w:rPr>
          <w:rFonts w:ascii="Times New Roman" w:hAnsi="Times New Roman"/>
          <w:color w:val="000000" w:themeColor="text1"/>
          <w:sz w:val="16"/>
          <w:szCs w:val="16"/>
        </w:rPr>
        <w:softHyphen/>
        <w:t>перации с АМО не потянет это чудо американской техни</w:t>
      </w:r>
      <w:r w:rsidRPr="005E779E">
        <w:rPr>
          <w:rFonts w:ascii="Times New Roman" w:hAnsi="Times New Roman"/>
          <w:color w:val="000000" w:themeColor="text1"/>
          <w:sz w:val="16"/>
          <w:szCs w:val="16"/>
        </w:rPr>
        <w:softHyphen/>
        <w:t>ческой мысли (10733,194).</w:t>
      </w:r>
    </w:p>
    <w:p w14:paraId="431771C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7542EC"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lang w:val="en-US"/>
        </w:rPr>
      </w:pPr>
      <w:r w:rsidRPr="005E779E">
        <w:rPr>
          <w:rFonts w:ascii="Times New Roman" w:hAnsi="Times New Roman"/>
          <w:i/>
          <w:iCs/>
          <w:color w:val="000000" w:themeColor="text1"/>
          <w:sz w:val="16"/>
          <w:szCs w:val="16"/>
        </w:rPr>
        <w:t>Зарубежом</w:t>
      </w:r>
      <w:r w:rsidRPr="005E779E">
        <w:rPr>
          <w:rFonts w:ascii="Times New Roman" w:hAnsi="Times New Roman"/>
          <w:i/>
          <w:iCs/>
          <w:color w:val="000000" w:themeColor="text1"/>
          <w:sz w:val="16"/>
          <w:szCs w:val="16"/>
          <w:lang w:val="en-US"/>
        </w:rPr>
        <w:t>:</w:t>
      </w:r>
    </w:p>
    <w:p w14:paraId="2E955132"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3158AF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lang w:val="en-US"/>
        </w:rPr>
        <w:t>March 14 1931 First liquid-fuel rocket successfully fired in Europe, a methane-liquid oxygen rocket constructed by Johannes Winkler and flown from Dessau, Germany (1038).</w:t>
      </w:r>
    </w:p>
    <w:p w14:paraId="32546E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p w14:paraId="6C0DAA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марта 1931 была запущена первая в Европе ракета с ЖРД Johannes Winkler в Dessau, Germany (1038).</w:t>
      </w:r>
    </w:p>
    <w:p w14:paraId="636342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1FFF021" w14:textId="77777777" w:rsidR="00C31C07" w:rsidRPr="005E779E" w:rsidRDefault="00C31C07"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14 марта</w:t>
      </w:r>
      <w:r w:rsidRPr="005E779E">
        <w:rPr>
          <w:rFonts w:ascii="Times New Roman" w:hAnsi="Times New Roman"/>
          <w:color w:val="000000" w:themeColor="text1"/>
          <w:sz w:val="16"/>
          <w:szCs w:val="16"/>
        </w:rPr>
        <w:t xml:space="preserve"> в 1931 году около города Дессау (Германия) был проведен второй испытательный пуск, жидкостной (кислород-метан) ракеты "HWR-1", конструкции И.Винклера (I.Winkler). Из-за отклонения от вертикали ракета достигла только 100 метровой высоты вместо планируемых 500. Первый "успешный" пуск жидкостной ракеты в Европе. С 1932 г. исследования по баллистическим ракетам были сконцентрированы в лаборатории управления вооружений, которой руководил Вальтер Дорнберг. В числе сотрудников был Вернер фон Браун. До начала операции "Пингвин"- массированной бомбардировки Великобритании и Голландии оставалось 12 лет (15068).</w:t>
      </w:r>
    </w:p>
    <w:p w14:paraId="02AC136F" w14:textId="77777777" w:rsidR="00C31C07" w:rsidRPr="005E779E" w:rsidRDefault="00C31C07" w:rsidP="000B7A6C">
      <w:pPr>
        <w:spacing w:after="0" w:line="240" w:lineRule="auto"/>
        <w:jc w:val="both"/>
        <w:rPr>
          <w:rFonts w:ascii="Times New Roman" w:hAnsi="Times New Roman"/>
          <w:color w:val="000000" w:themeColor="text1"/>
          <w:sz w:val="16"/>
          <w:szCs w:val="16"/>
        </w:rPr>
      </w:pPr>
    </w:p>
    <w:p w14:paraId="7171B80A" w14:textId="77777777" w:rsidR="000F1D6E" w:rsidRPr="005E779E" w:rsidRDefault="000F1D6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марта 1931 - Близ города Бреслау (Германия) инженер ракетной техники Иоганн Винклер (Johannes Winkler, 1897-1947) осуществил первый в Европе пуск ракеты HWR-1 с жидкостным ракетным двигателем. Ракета достигла высоты 100 метров. 14 мая с полигона близ Берлина (Германия) осуществлен запуск ракеты Repulsor-1 немецкого Общества межпланетных сообщений конструкции Karl Riddel. Ракета достигла высоты 60 м (22568).</w:t>
      </w:r>
    </w:p>
    <w:p w14:paraId="32AE4FAB" w14:textId="77777777" w:rsidR="000F1D6E" w:rsidRPr="005E779E" w:rsidRDefault="000F1D6E" w:rsidP="000B7A6C">
      <w:pPr>
        <w:shd w:val="clear" w:color="auto" w:fill="FFFFFF"/>
        <w:spacing w:after="0" w:line="240" w:lineRule="auto"/>
        <w:jc w:val="both"/>
        <w:rPr>
          <w:rFonts w:ascii="Times New Roman" w:hAnsi="Times New Roman"/>
          <w:color w:val="000000" w:themeColor="text1"/>
          <w:sz w:val="16"/>
          <w:szCs w:val="16"/>
        </w:rPr>
      </w:pPr>
    </w:p>
    <w:p w14:paraId="64332CA9" w14:textId="77777777" w:rsidR="000F1D6E" w:rsidRPr="005E779E" w:rsidRDefault="000F1D6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марта 1931 г. на учебном плацу недалеко от г. Дессау при вторичном испытании HWR-1 (первое было совсем неудачным) ракета Винклера стартовала, но отклонилась от расчетной траектории и не достигла нужной высоты (22685).</w:t>
      </w:r>
    </w:p>
    <w:p w14:paraId="1A452B8F" w14:textId="77777777" w:rsidR="000F1D6E" w:rsidRPr="005E779E" w:rsidRDefault="000F1D6E" w:rsidP="000B7A6C">
      <w:pPr>
        <w:shd w:val="clear" w:color="auto" w:fill="FFFFFF"/>
        <w:spacing w:after="0" w:line="240" w:lineRule="auto"/>
        <w:jc w:val="both"/>
        <w:rPr>
          <w:rFonts w:ascii="Times New Roman" w:hAnsi="Times New Roman"/>
          <w:color w:val="000000" w:themeColor="text1"/>
          <w:sz w:val="16"/>
          <w:szCs w:val="16"/>
        </w:rPr>
      </w:pPr>
    </w:p>
    <w:p w14:paraId="1E723D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марта 1931 близ Бреслау, Германия Johannes Winkler осуществил первый в Европе пуск ракеты HWR-1 c ЖРД и достиг высоты 100 м (2990).</w:t>
      </w:r>
    </w:p>
    <w:p w14:paraId="1F9ED5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B7661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марта 1931 года при вторичном испытании ракета Винклера отклонилась от вертикальной траектории и потому не достигла расчетной высоты, которая должна была составить 500 м, но в остальном эксперимент был признан успешным…(11688).</w:t>
      </w:r>
    </w:p>
    <w:p w14:paraId="77834C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4192383" w14:textId="15DFA556" w:rsidR="001D4870" w:rsidRPr="005E779E" w:rsidRDefault="001D487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марта 1931 г. Винклер запустил ту же ракету HW-1, которую оснастил стабилизаторами, прикрепленными к</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нижним концам труб (модель HW-1a). По его расчётам, она должна была подняться на высоту 500 м. Однако, достигнув 60 м, ракета отклонилась от вертикали и упала в 200 метрах от места старта. Тем не менее, это был первый в Европе успешный запуск ракеты с ЖРД! Его сняли на кинопленку операторы нью-йоркской кинокомпании «Paramount News» (фильм сохранился до наших дней) (23372)</w:t>
      </w:r>
    </w:p>
    <w:p w14:paraId="73743114" w14:textId="77777777" w:rsidR="001D4870" w:rsidRPr="005E779E" w:rsidRDefault="001D4870" w:rsidP="000B7A6C">
      <w:pPr>
        <w:spacing w:after="0" w:line="240" w:lineRule="auto"/>
        <w:jc w:val="both"/>
        <w:rPr>
          <w:rFonts w:ascii="Times New Roman" w:hAnsi="Times New Roman"/>
          <w:color w:val="000000" w:themeColor="text1"/>
          <w:sz w:val="16"/>
          <w:szCs w:val="16"/>
        </w:rPr>
      </w:pPr>
    </w:p>
    <w:p w14:paraId="0322C6FA"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683804D0"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81D8E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марта 1931 был предъявлен генеральным извещением военной приемке Р-5 N 4534 М-17 постройки завода N 1 серии 3 количеством 60 шт. Самолет был заложен заводом 23 сентября 1930 года</w:t>
      </w:r>
    </w:p>
    <w:p w14:paraId="310047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допущен к летным испытаниям с рядом не устраненных дефектов.</w:t>
      </w:r>
    </w:p>
    <w:p w14:paraId="72D618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самолете N 4534 поставлен мотор М-17 N 26185 завода N 26, карбюратор "Зенит".</w:t>
      </w:r>
    </w:p>
    <w:p w14:paraId="1A7CF9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w:t>
      </w:r>
    </w:p>
    <w:p w14:paraId="47727E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Результат серийного испытания сам. N 4534 на скороподъемность и потолок по сравнению с эталонными сам. NN 4141 и 4151 - не удовлетворяет, поэтому необходимо заводу произвести дополнительные испытания: на скороподъемность как разведчика, легкого бомбардировщика и на управляемость (восьмерка), придерживаясь нагрузок, равных сам. NN 4141-4151. Испытание произвести немедленно.</w:t>
      </w:r>
    </w:p>
    <w:p w14:paraId="0E5C05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В связи с постановкой мотора М-17 вместо БМВ-6, поставленного на сам. 4141, который тяжелее последнего на 31 кг центровка серийной машины получилась передней...</w:t>
      </w:r>
    </w:p>
    <w:p w14:paraId="7B4D0F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Комиссия постановляет произвести повторное испытание на скороподъемность и на потолок как разведчика с нагрузкой равного сам. 4141 и как бомбардировщика с нагрузкой равной сам. 4151. При результатах удовлетворяющих головным самолетам серию допустить на снабжение ВВС и протокол представить на утверждение начальнику Произ.-технич. отдела УВВС (3235,30-36).</w:t>
      </w:r>
    </w:p>
    <w:p w14:paraId="565FD8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605B44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марта 1931 года на КАСКР-2 полет выполнил летчик-испытатель НИИ ВВС С.А. Корзинщиков. В своем последнем, длившимся 4 минуты полете на автожире КАСКР-2, Корзинщиков сделал круг на высоте 100 метров.</w:t>
      </w:r>
    </w:p>
    <w:p w14:paraId="13E31A2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связи с полетами Корзинщикова Крейдлин пишет Камову:</w:t>
      </w:r>
    </w:p>
    <w:p w14:paraId="0A6F5A1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«...Как Вам уже известно, после отъезда Кошица на машине летал Корзинщиков, от которого и получили благоприятный результат. Теперь первое: Вы спрашиваете, почему Корзинщиков, а не Кошиц? Потому что Кошиц уехал в отпуск в Сухуми на месяц с лишним, и никаких кон</w:t>
      </w:r>
      <w:r w:rsidRPr="005E779E">
        <w:rPr>
          <w:rFonts w:ascii="Times New Roman" w:hAnsi="Times New Roman"/>
          <w:color w:val="000000" w:themeColor="text1"/>
          <w:sz w:val="16"/>
          <w:szCs w:val="16"/>
        </w:rPr>
        <w:softHyphen/>
        <w:t>фликтов с Кошицем не было. Мы остались друзьями, и согласно комис</w:t>
      </w:r>
      <w:r w:rsidRPr="005E779E">
        <w:rPr>
          <w:rFonts w:ascii="Times New Roman" w:hAnsi="Times New Roman"/>
          <w:color w:val="000000" w:themeColor="text1"/>
          <w:sz w:val="16"/>
          <w:szCs w:val="16"/>
        </w:rPr>
        <w:softHyphen/>
        <w:t>сии был назначен Корзинщиков. Полеты Кошица Вы знаете, они были при Вас, такие же остались. Теперь, как летал Корзинщиков. Он сделал несколько полетов по прямой, всего три полета, и сразу после этого по</w:t>
      </w:r>
      <w:r w:rsidRPr="005E779E">
        <w:rPr>
          <w:rFonts w:ascii="Times New Roman" w:hAnsi="Times New Roman"/>
          <w:color w:val="000000" w:themeColor="text1"/>
          <w:sz w:val="16"/>
          <w:szCs w:val="16"/>
        </w:rPr>
        <w:softHyphen/>
        <w:t>шел на круг, при этом не было никаких провисаний хвоста. Он летал очень хорошо, и все были довольны, только сильно его трясло... Сейчас у нас весна,...и Корзинщиков ушел в отпуск. Теперь я занялся ремон</w:t>
      </w:r>
      <w:r w:rsidRPr="005E779E">
        <w:rPr>
          <w:rFonts w:ascii="Times New Roman" w:hAnsi="Times New Roman"/>
          <w:color w:val="000000" w:themeColor="text1"/>
          <w:sz w:val="16"/>
          <w:szCs w:val="16"/>
        </w:rPr>
        <w:softHyphen/>
        <w:t>том. Машина стоит в ангаре...</w:t>
      </w:r>
    </w:p>
    <w:p w14:paraId="6CE0950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Теперь относительно «БОКа» (Бюро Особых конструкций в ЦАГИ). На днях было заседание в ОСОАВИАХИМ-е, был Нико</w:t>
      </w:r>
      <w:r w:rsidRPr="005E779E">
        <w:rPr>
          <w:rFonts w:ascii="Times New Roman" w:hAnsi="Times New Roman"/>
          <w:color w:val="000000" w:themeColor="text1"/>
          <w:sz w:val="16"/>
          <w:szCs w:val="16"/>
        </w:rPr>
        <w:softHyphen/>
        <w:t>лай Кириллович и я, также Чижевский, где и решили передавать нашу машину в «БОК». Ее хотели перегнать в Подосинки, но мы сейчас не со</w:t>
      </w:r>
      <w:r w:rsidRPr="005E779E">
        <w:rPr>
          <w:rFonts w:ascii="Times New Roman" w:hAnsi="Times New Roman"/>
          <w:color w:val="000000" w:themeColor="text1"/>
          <w:sz w:val="16"/>
          <w:szCs w:val="16"/>
        </w:rPr>
        <w:softHyphen/>
        <w:t>гласились...</w:t>
      </w:r>
    </w:p>
    <w:p w14:paraId="7EC1F18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Напишите мне обязательно, как мне действовать дальше, а самое важное, когда Вы приедете. Срочно отвечайте. Очень прошу Вас при</w:t>
      </w:r>
      <w:r w:rsidRPr="005E779E">
        <w:rPr>
          <w:rFonts w:ascii="Times New Roman" w:hAnsi="Times New Roman"/>
          <w:color w:val="000000" w:themeColor="text1"/>
          <w:sz w:val="16"/>
          <w:szCs w:val="16"/>
        </w:rPr>
        <w:softHyphen/>
        <w:t>ехать...» (10224,34).</w:t>
      </w:r>
    </w:p>
    <w:p w14:paraId="715AB21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6FCAB1"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3EBFBF25"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D14B5EC" w14:textId="77777777" w:rsidR="00083CD8" w:rsidRPr="005E779E" w:rsidRDefault="00083CD8"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15 марта 1931. Протокол заседания Политбюро ЦК ВКП(б) № 29. 18. О ходе работ на Сталинградском тракторном заводе (ПБ от 5 марта 1931 г., пр. № 28, п. 126) (Михайлов-Иванов, Грачев, Орджоникидзе). 40. О кадрах командного состава НКВоенмора (ПБ от 25 февраля 1931 г., пр. № 27, п. 21). Решения ПБ от 11 марта 1931 г. 6/10. О Сталинградском тракторном заводе (Михайлов-Иванов, Птуха, Прокофьев, Орджоникидзе). (Политбюро... Т. 2. С. 137, 138) (12416).</w:t>
      </w:r>
    </w:p>
    <w:p w14:paraId="7E940382" w14:textId="77777777" w:rsidR="00083CD8" w:rsidRPr="005E779E" w:rsidRDefault="00083CD8" w:rsidP="000B7A6C">
      <w:pPr>
        <w:spacing w:after="0" w:line="240" w:lineRule="auto"/>
        <w:jc w:val="both"/>
        <w:rPr>
          <w:rFonts w:ascii="Times New Roman" w:hAnsi="Times New Roman"/>
          <w:color w:val="000000" w:themeColor="text1"/>
          <w:sz w:val="16"/>
          <w:szCs w:val="16"/>
          <w:u w:color="002060"/>
        </w:rPr>
      </w:pPr>
    </w:p>
    <w:p w14:paraId="0F579E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марта 1931 г. на основании постановления ВСНХ СССР был создан Государственный научно-исследовательский институт азота (ГИА), который 21 апреля 1943 г. распоряжения Совета Народных Комиссаров СССР и приказом Народного Комиссариата химической промышленности от 29 апреля 1943 г. вместе с Государственным институтом по проектированию азотно-туковых заводов и комбинатов "Гипроазот", созданным приказом Государственного Всесоюзного треста "Союзазот" Народного комиссариата тяжелой промышленности СССР от 15 июня 1932 г., стал Государственным научно-исследовательским и проектным институтом (ГИАП). В 1959 г. институт был переименован в Государственный научно-исследовательский и проектный институт азотной промышленности и продуктов органического синтеза (ГИАП). Указом Президиума Верховного Совета СССР от 17 февраля 1976 г. он был награжден орденом Трудового Красного Знамени. Распоряжением Госкомимущества РФ от 17 января 1994 г. институт был преобразован в Акционерное общество открытого типа "Научно-исследовательский и проектный институт азотной промышленности и продуктов органического синтеза" (АООТ "ГИАП"), которое в соответствии с уставом, зарегистрированным Московской регистрационной палатой 17 февраля 1994 г., было переименовано в Открытое акционерное общество "Научно-исследовательский и проектный институт азотной промышленности и продуктов органического синтеза" (ОАО "ГИАП").</w:t>
      </w:r>
    </w:p>
    <w:p w14:paraId="2F5CA3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FF2AC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марта 1931 г. постановлением ВСНХ СССР был создан Государственный научно-исследовательский институт азота (ГИА). В 1941 - 1943 гг. находился в эвакуации в г. Чирчик Ташкентской обл. Приказом Наркомата химической промышленности СССР от 29 апреля 1943 г. ГИА был объединен с Гипроазотом в ГИАП (12102).</w:t>
      </w:r>
    </w:p>
    <w:p w14:paraId="6BC03795" w14:textId="77777777" w:rsidR="005939E8" w:rsidRPr="005E779E" w:rsidRDefault="005939E8"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821316F"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3C725527"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9398D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15 марта 1931 вышла Директива ОГПУ за подписью заместителя председателя ОГПУ Г.Ягоды о проведении операции по массовому выселению кулаков из районов сплошной коллективизации Западно-Сибирского края: </w:t>
      </w:r>
    </w:p>
    <w:p w14:paraId="7FEC2F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Установить количество кулацких хозяйств края (в т.ч.раскулаченных и распроданных в прошлом году), подлежащих высылке.</w:t>
      </w:r>
    </w:p>
    <w:p w14:paraId="22E199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Установить теперешнее местонахождение кулацких хозяйств, в особенности глав семей.</w:t>
      </w:r>
    </w:p>
    <w:p w14:paraId="43D88B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Агентурным путем установить бежавших с постоянного места жительства и из ссылки кулаков, проникших на работу в промышленность, шахты, скрывающихся в городах.</w:t>
      </w:r>
    </w:p>
    <w:p w14:paraId="655A59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Проверить состав колхозов, учесть проникших в колхозы кулаков.</w:t>
      </w:r>
    </w:p>
    <w:p w14:paraId="563866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Разработать подробный оперативный план проведения этой массовой операции" (10687).</w:t>
      </w:r>
    </w:p>
    <w:p w14:paraId="4CB037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F4FD77E"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550ACA40"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9FDCC0C" w14:textId="77777777" w:rsidR="005939E8" w:rsidRPr="005E779E" w:rsidRDefault="005939E8"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15 марта</w:t>
      </w:r>
      <w:r w:rsidRPr="005E779E">
        <w:rPr>
          <w:rFonts w:ascii="Times New Roman" w:hAnsi="Times New Roman"/>
          <w:color w:val="000000" w:themeColor="text1"/>
          <w:sz w:val="16"/>
          <w:szCs w:val="16"/>
        </w:rPr>
        <w:t xml:space="preserve"> в 1931 году состоялся полет прототипа </w:t>
      </w:r>
      <w:hyperlink r:id="rId37" w:tgtFrame="_blank" w:history="1">
        <w:r w:rsidRPr="005E779E">
          <w:rPr>
            <w:rFonts w:ascii="Times New Roman" w:hAnsi="Times New Roman"/>
            <w:color w:val="000000" w:themeColor="text1"/>
            <w:sz w:val="16"/>
            <w:szCs w:val="16"/>
          </w:rPr>
          <w:t xml:space="preserve">«Late-440», </w:t>
        </w:r>
      </w:hyperlink>
      <w:r w:rsidRPr="005E779E">
        <w:rPr>
          <w:rFonts w:ascii="Times New Roman" w:hAnsi="Times New Roman"/>
          <w:color w:val="000000" w:themeColor="text1"/>
          <w:sz w:val="16"/>
          <w:szCs w:val="16"/>
        </w:rPr>
        <w:t>оборудованного двумя двигателями «Hispano Suiza» «12 Nbr» мощностью 650 л.с. «Late-440» - бомбардировщик-торпедоносец, разработанный французской фирмой «Societe Industrielle d'Aviation Latecoere». Испытания «Late 440» показали неудовлетворительные характеристики самолета, особенно на фоне более удачного «Late 290». Но и эти варианты не нашли признания у военных (15069).</w:t>
      </w:r>
    </w:p>
    <w:p w14:paraId="3889B72F" w14:textId="77777777" w:rsidR="005939E8" w:rsidRPr="005E779E" w:rsidRDefault="005939E8" w:rsidP="000B7A6C">
      <w:pPr>
        <w:spacing w:after="0" w:line="240" w:lineRule="auto"/>
        <w:jc w:val="both"/>
        <w:rPr>
          <w:rFonts w:ascii="Times New Roman" w:hAnsi="Times New Roman"/>
          <w:color w:val="000000" w:themeColor="text1"/>
          <w:sz w:val="16"/>
          <w:szCs w:val="16"/>
        </w:rPr>
      </w:pPr>
    </w:p>
    <w:p w14:paraId="164563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марта 1931 в Польше крестьянская партия одержала победу на парламентских выборах (3907,167).</w:t>
      </w:r>
    </w:p>
    <w:p w14:paraId="7EFBDF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38981F0" w14:textId="77777777" w:rsidR="0019470D" w:rsidRPr="005E779E" w:rsidRDefault="0019470D"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lastRenderedPageBreak/>
        <w:t>Авиапромышленность:</w:t>
      </w:r>
    </w:p>
    <w:p w14:paraId="5D4AB49E" w14:textId="77777777" w:rsidR="0019470D" w:rsidRPr="005E779E" w:rsidRDefault="0019470D"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48B6470" w14:textId="0F56ED5E" w:rsidR="0019470D" w:rsidRPr="005E779E" w:rsidRDefault="0019470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К середине марта ленинградский Научно-исследовательский институт строительства и эксплуатации дирижаблей (НИИСЭД) подготовил программу и смету «малого» дирижаблестроения на 1931 год. Как и план, представленный Гольцманом двумя месяцами раньше в комиссии Куйбышева, программа предусматривала одновременное проектирование и начало строительства одного мягкого дирижабля, двух полужёстких объёмом в 7,5 тыс. и 20 тыс. кубометров и жёсткого цеппелиновского корабля объёмом не менее 20 тыс. кубометров. Мягкий и меньший полужёсткий дирижабли планировалось сдать уже в 1931 году, два других - в следующем. При этом предполагалось также вести опытные работы по двум цельнометаллическим дирижаблям - каркасному и бескаркасному системы Циолковского. Сумма затрат на предстоящий год определялась в 5,2 млн рублей.</w:t>
      </w:r>
    </w:p>
    <w:p w14:paraId="436E93FE" w14:textId="77777777" w:rsidR="009949F5" w:rsidRPr="005E779E" w:rsidRDefault="0019470D" w:rsidP="000B7A6C">
      <w:pPr>
        <w:spacing w:after="0" w:line="240" w:lineRule="auto"/>
        <w:jc w:val="both"/>
        <w:rPr>
          <w:rFonts w:ascii="Times New Roman" w:hAnsi="Times New Roman"/>
          <w:color w:val="000000" w:themeColor="text1"/>
          <w:sz w:val="16"/>
          <w:szCs w:val="16"/>
          <w:lang w:eastAsia="ru-RU" w:bidi="ru-RU"/>
        </w:rPr>
      </w:pPr>
      <w:r w:rsidRPr="005E779E">
        <w:rPr>
          <w:rFonts w:ascii="Times New Roman" w:hAnsi="Times New Roman"/>
          <w:color w:val="000000" w:themeColor="text1"/>
          <w:sz w:val="16"/>
          <w:szCs w:val="16"/>
          <w:lang w:eastAsia="ru-RU" w:bidi="ru-RU"/>
        </w:rPr>
        <w:t>Очень похоже, что сторонники дирижаблестроения, готовя свой стомиллионный план для Политбюро, слабо верили в его утверждение, а когда это вдруг случилось, растерялись: не оказалось ни людей, ни иностранных технических партнёров, ни понимания, с чего и как начинать. И если обычно инициаторам бюджетных программ приходится урезать свои желания, втискивая их в рамки недостаточных ассигнований, то здесь произошло обратное: сами исполнители попросили усечь им план и уменьшить годовой объём финансирования до 5 % суммы, выделенной на трёхлетие</w:t>
      </w:r>
      <w:r w:rsidR="009949F5" w:rsidRPr="005E779E">
        <w:rPr>
          <w:rFonts w:ascii="Times New Roman" w:hAnsi="Times New Roman"/>
          <w:color w:val="000000" w:themeColor="text1"/>
          <w:sz w:val="16"/>
          <w:szCs w:val="16"/>
          <w:lang w:eastAsia="ru-RU" w:bidi="ru-RU"/>
        </w:rPr>
        <w:t>.</w:t>
      </w:r>
    </w:p>
    <w:p w14:paraId="7298E211" w14:textId="043045BA" w:rsidR="0019470D" w:rsidRPr="005E779E" w:rsidRDefault="009949F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Более чем скромное денежное измерение «малого» дирижаблестроения не помешало авторам заложить в него параллельную работу над кораблями пяти различных конструкций, из которых лишь одна, самая простая, была знакома советским инженерам. Многотипность, проникшая тогда в планы, уже не покидала их почти до самого конца. Сменявшие друг друга дирижаблестроители были вынуждены год за годом нести этот тяжкий груз, так и не сумев выполнить большей части намеченного</w:t>
      </w:r>
      <w:r w:rsidR="0019470D" w:rsidRPr="005E779E">
        <w:rPr>
          <w:rFonts w:ascii="Times New Roman" w:hAnsi="Times New Roman"/>
          <w:color w:val="000000" w:themeColor="text1"/>
          <w:sz w:val="16"/>
          <w:szCs w:val="16"/>
          <w:lang w:eastAsia="ru-RU" w:bidi="ru-RU"/>
        </w:rPr>
        <w:t xml:space="preserve"> (23192).</w:t>
      </w:r>
    </w:p>
    <w:p w14:paraId="6E25AE05" w14:textId="77777777" w:rsidR="0019470D" w:rsidRPr="005E779E" w:rsidRDefault="0019470D" w:rsidP="000B7A6C">
      <w:pPr>
        <w:autoSpaceDE w:val="0"/>
        <w:autoSpaceDN w:val="0"/>
        <w:adjustRightInd w:val="0"/>
        <w:spacing w:after="0" w:line="240" w:lineRule="auto"/>
        <w:jc w:val="both"/>
        <w:rPr>
          <w:rFonts w:ascii="Times New Roman" w:hAnsi="Times New Roman"/>
          <w:i/>
          <w:iCs/>
          <w:color w:val="000000" w:themeColor="text1"/>
          <w:sz w:val="16"/>
          <w:szCs w:val="16"/>
        </w:rPr>
      </w:pPr>
    </w:p>
    <w:p w14:paraId="1FCCD0CB"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0F72B42C"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E76A6D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16 по 17 марта 1931 проходили испытания самолета ДВ 2БМВ-VIZ Е=6 (для сравнения с самолетом МДР2).</w:t>
      </w:r>
    </w:p>
    <w:p w14:paraId="68EB826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Испытание самолета ДВ 2БМВ-VIZ Е=6 (для сравнения с самолетом МДР2).</w:t>
      </w:r>
    </w:p>
    <w:p w14:paraId="2DF6DD1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Начало испытаний – 16 марта 1931 года</w:t>
      </w:r>
    </w:p>
    <w:p w14:paraId="728CD19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Окончание испытаний – 17 марта 1931 года</w:t>
      </w:r>
    </w:p>
    <w:p w14:paraId="1F51489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Летных дней – 2</w:t>
      </w:r>
    </w:p>
    <w:p w14:paraId="0C5AFF0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Количество полетов – 2</w:t>
      </w:r>
    </w:p>
    <w:p w14:paraId="19F5B90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Налет – 2 часа 2 минуты</w:t>
      </w:r>
    </w:p>
    <w:p w14:paraId="02C74DE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Испытания проводились в Севастополе.</w:t>
      </w:r>
    </w:p>
    <w:p w14:paraId="330572E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Испытания были прерваны из-за обнаружившейся недостаточной поперечной устойчивости самолета. В настоящее время изготовляются новые боковые поплавки увеличенного водоизмещения, срок предъявления на испытания 1 апреля 1931 года (6956).</w:t>
      </w:r>
    </w:p>
    <w:p w14:paraId="7315369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DD5F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 марта 1931 начались испытания самолета ДВ 2БМВVIZ Е=6 (Для сравнения с самолетом МДР-2) и прошли за 2 дня до 17 марта 1931 (3043)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7122AB" w:rsidRPr="005E779E" w14:paraId="6C0FC56F" w14:textId="77777777">
        <w:tc>
          <w:tcPr>
            <w:tcW w:w="5636" w:type="dxa"/>
          </w:tcPr>
          <w:p w14:paraId="3AA6C2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Летных дней</w:t>
            </w:r>
          </w:p>
        </w:tc>
        <w:tc>
          <w:tcPr>
            <w:tcW w:w="5636" w:type="dxa"/>
          </w:tcPr>
          <w:p w14:paraId="2A7881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r>
      <w:tr w:rsidR="007122AB" w:rsidRPr="005E779E" w14:paraId="30DA3605" w14:textId="77777777">
        <w:tc>
          <w:tcPr>
            <w:tcW w:w="5636" w:type="dxa"/>
          </w:tcPr>
          <w:p w14:paraId="341615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Количество полетов</w:t>
            </w:r>
          </w:p>
        </w:tc>
        <w:tc>
          <w:tcPr>
            <w:tcW w:w="5636" w:type="dxa"/>
          </w:tcPr>
          <w:p w14:paraId="4E4E67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r>
      <w:tr w:rsidR="007122AB" w:rsidRPr="005E779E" w14:paraId="772EB9DD" w14:textId="77777777">
        <w:tc>
          <w:tcPr>
            <w:tcW w:w="5636" w:type="dxa"/>
          </w:tcPr>
          <w:p w14:paraId="3E5728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Налет</w:t>
            </w:r>
          </w:p>
        </w:tc>
        <w:tc>
          <w:tcPr>
            <w:tcW w:w="5636" w:type="dxa"/>
          </w:tcPr>
          <w:p w14:paraId="30BA53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час. 2 мин. (3043)</w:t>
            </w:r>
          </w:p>
        </w:tc>
      </w:tr>
    </w:tbl>
    <w:p w14:paraId="569D48E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03667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 марта 1931 года гл. инженер по сухопутным самолетам Горощенко писал письмо № 176/721 начальнику БОК при ЦАГИ.</w:t>
      </w:r>
    </w:p>
    <w:p w14:paraId="7C7ED02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последнее время работу по вертолету «КАСКР» и параболе Чарановского очень слабо продвигаются вперед.</w:t>
      </w:r>
    </w:p>
    <w:p w14:paraId="28052C6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698483F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Перевод конструкторов Камова и Чероновского в ваш отдел с освобождением их от остальных работ с нашей стороны встретит поддержку (6948, 100).</w:t>
      </w:r>
    </w:p>
    <w:p w14:paraId="1BC6945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69A783" w14:textId="77777777" w:rsidR="00D57D9E" w:rsidRPr="00142305" w:rsidRDefault="00D57D9E" w:rsidP="00D57D9E">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16 марта 1931 года через Техштаб РККА ГС. Брод</w:t>
      </w:r>
      <w:r w:rsidRPr="00142305">
        <w:rPr>
          <w:rStyle w:val="aff0"/>
          <w:rFonts w:ascii="Times New Roman" w:hAnsi="Times New Roman" w:cs="Times New Roman"/>
          <w:color w:val="0070C0"/>
          <w:spacing w:val="0"/>
          <w:sz w:val="16"/>
          <w:szCs w:val="16"/>
        </w:rPr>
        <w:softHyphen/>
        <w:t>ский, уже сконструировавший несколько типов взрывателей для мин и авиабомб, а также слушатель Академии воздушного флота и буду</w:t>
      </w:r>
      <w:r w:rsidRPr="00142305">
        <w:rPr>
          <w:rStyle w:val="aff0"/>
          <w:rFonts w:ascii="Times New Roman" w:hAnsi="Times New Roman" w:cs="Times New Roman"/>
          <w:color w:val="0070C0"/>
          <w:spacing w:val="0"/>
          <w:sz w:val="16"/>
          <w:szCs w:val="16"/>
        </w:rPr>
        <w:softHyphen/>
        <w:t>щий ее руководитель, Н.А. Соколов-Соколенок, выполнив необходимые расчеты и эскизы аэросаней, вооруженных пулеметом на турели двухместные аэросани с мотором мощностью порядка 200-250 л.с., подали заявку на изобретение.</w:t>
      </w:r>
    </w:p>
    <w:p w14:paraId="0E4C2D7A" w14:textId="77777777" w:rsidR="00D57D9E" w:rsidRPr="00142305" w:rsidRDefault="00D57D9E" w:rsidP="00D57D9E">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Выдержки из пояснительной записки Грохов</w:t>
      </w:r>
      <w:r w:rsidRPr="00142305">
        <w:rPr>
          <w:rStyle w:val="aff0"/>
          <w:rFonts w:ascii="Times New Roman" w:hAnsi="Times New Roman" w:cs="Times New Roman"/>
          <w:color w:val="0070C0"/>
          <w:spacing w:val="0"/>
          <w:sz w:val="16"/>
          <w:szCs w:val="16"/>
        </w:rPr>
        <w:softHyphen/>
        <w:t>ского (с сохранением авторской орфографии и пунктуации):</w:t>
      </w:r>
    </w:p>
    <w:p w14:paraId="1B794F7B" w14:textId="77777777" w:rsidR="00D57D9E" w:rsidRPr="00142305" w:rsidRDefault="00D57D9E" w:rsidP="00D57D9E">
      <w:pPr>
        <w:widowControl w:val="0"/>
        <w:tabs>
          <w:tab w:val="left" w:pos="686"/>
        </w:tabs>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1. Конструкция саней позволяет произвести подвеску к самолету и быть переброшенными на любое расстояние</w:t>
      </w:r>
    </w:p>
    <w:p w14:paraId="17EAD0F7" w14:textId="77777777" w:rsidR="00D57D9E" w:rsidRPr="00142305" w:rsidRDefault="00D57D9E" w:rsidP="00D57D9E">
      <w:pPr>
        <w:widowControl w:val="0"/>
        <w:tabs>
          <w:tab w:val="left" w:pos="710"/>
        </w:tabs>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2. Сани отличаются большой проходимо</w:t>
      </w:r>
      <w:r w:rsidRPr="00142305">
        <w:rPr>
          <w:rStyle w:val="aff0"/>
          <w:rFonts w:ascii="Times New Roman" w:hAnsi="Times New Roman" w:cs="Times New Roman"/>
          <w:color w:val="0070C0"/>
          <w:spacing w:val="0"/>
          <w:sz w:val="16"/>
          <w:szCs w:val="16"/>
        </w:rPr>
        <w:softHyphen/>
        <w:t>стью по рыхлому снегу, благодаря небольшому крылу приделанному к ним, а также выгады</w:t>
      </w:r>
      <w:r w:rsidRPr="00142305">
        <w:rPr>
          <w:rStyle w:val="aff0"/>
          <w:rFonts w:ascii="Times New Roman" w:hAnsi="Times New Roman" w:cs="Times New Roman"/>
          <w:color w:val="0070C0"/>
          <w:spacing w:val="0"/>
          <w:sz w:val="16"/>
          <w:szCs w:val="16"/>
        </w:rPr>
        <w:softHyphen/>
        <w:t>вают в скорости, благодаря этому же крылу</w:t>
      </w:r>
    </w:p>
    <w:p w14:paraId="265F5ECF" w14:textId="77777777" w:rsidR="00D57D9E" w:rsidRPr="00142305" w:rsidRDefault="00D57D9E" w:rsidP="00D57D9E">
      <w:pPr>
        <w:widowControl w:val="0"/>
        <w:tabs>
          <w:tab w:val="left" w:pos="704"/>
        </w:tabs>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3. Центр тяжести саней почти совпадает с линией тяги винта, что дает большой вы</w:t>
      </w:r>
      <w:r w:rsidRPr="00142305">
        <w:rPr>
          <w:rStyle w:val="aff0"/>
          <w:rFonts w:ascii="Times New Roman" w:hAnsi="Times New Roman" w:cs="Times New Roman"/>
          <w:color w:val="0070C0"/>
          <w:spacing w:val="0"/>
          <w:sz w:val="16"/>
          <w:szCs w:val="16"/>
        </w:rPr>
        <w:softHyphen/>
        <w:t>игрыш в скорости и мощности</w:t>
      </w:r>
    </w:p>
    <w:p w14:paraId="33C50530" w14:textId="77777777" w:rsidR="00D57D9E" w:rsidRPr="00142305" w:rsidRDefault="00D57D9E" w:rsidP="00D57D9E">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Скорость аэросаней, по предположению (не расчету!) Гроховского, должна была составлять от 140 до 160 км/ч. Корпус планировалось сде</w:t>
      </w:r>
      <w:r w:rsidRPr="00142305">
        <w:rPr>
          <w:rStyle w:val="aff0"/>
          <w:rFonts w:ascii="Times New Roman" w:hAnsi="Times New Roman" w:cs="Times New Roman"/>
          <w:color w:val="0070C0"/>
          <w:spacing w:val="0"/>
          <w:sz w:val="16"/>
          <w:szCs w:val="16"/>
        </w:rPr>
        <w:softHyphen/>
        <w:t>лать бронированным (25664).</w:t>
      </w:r>
    </w:p>
    <w:p w14:paraId="2864E20C" w14:textId="77777777" w:rsidR="00D57D9E" w:rsidRPr="00142305" w:rsidRDefault="00D57D9E" w:rsidP="00D57D9E">
      <w:pPr>
        <w:spacing w:after="0" w:line="240" w:lineRule="auto"/>
        <w:jc w:val="both"/>
        <w:rPr>
          <w:rFonts w:ascii="Times New Roman" w:hAnsi="Times New Roman"/>
          <w:color w:val="0070C0"/>
          <w:sz w:val="16"/>
          <w:szCs w:val="16"/>
        </w:rPr>
      </w:pPr>
    </w:p>
    <w:p w14:paraId="340732AE" w14:textId="77777777" w:rsidR="000F1D6E" w:rsidRPr="005E779E" w:rsidRDefault="000F1D6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13300BE4" w14:textId="77777777" w:rsidR="000F1D6E" w:rsidRPr="005E779E" w:rsidRDefault="000F1D6E"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CC64802" w14:textId="77777777" w:rsidR="000F1D6E" w:rsidRPr="005E779E" w:rsidRDefault="000F1D6E"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16 - 17 марта 1931 г. проект 107-мм нарезного химического миномета типа американской мортиры и мин (в 2 вариантах) был представлен на рассмотрение НТК АУ РККА.371 </w:t>
      </w:r>
    </w:p>
    <w:p w14:paraId="5DC56651" w14:textId="77777777" w:rsidR="000F1D6E" w:rsidRPr="005E779E" w:rsidRDefault="000F1D6E" w:rsidP="000B7A6C">
      <w:pPr>
        <w:pStyle w:val="Default"/>
        <w:jc w:val="both"/>
        <w:rPr>
          <w:color w:val="000000" w:themeColor="text1"/>
          <w:sz w:val="16"/>
          <w:szCs w:val="16"/>
        </w:rPr>
      </w:pPr>
      <w:r w:rsidRPr="005E779E">
        <w:rPr>
          <w:color w:val="000000" w:themeColor="text1"/>
          <w:sz w:val="16"/>
          <w:szCs w:val="16"/>
        </w:rPr>
        <w:t xml:space="preserve">Следует отметить, что его рассмотрение сопровождалось нареканиями со стороны инженера Л. В. Курчевского, который в апреле 1931 г. обратился в Технический штаб Начальника Вооружений РККА в жалобой на заимствование группой «Д» АНИИ принципиальных конструктивных решений для 107-мм нарезного миномета, два опытных образца которых изготавливались на заводе №8 им. М. И. Калинина, из его проекта 76-мм бомбомета, который также находился в стадии изготовления на заводе №8. Начальником Технического штаба К. И. Янсоном было дано распоряжение ВОХИМУ и АУ разобраться с </w:t>
      </w:r>
    </w:p>
    <w:p w14:paraId="78F31959" w14:textId="77777777" w:rsidR="000F1D6E" w:rsidRPr="005E779E" w:rsidRDefault="000F1D6E" w:rsidP="000B7A6C">
      <w:pPr>
        <w:spacing w:after="0" w:line="240" w:lineRule="auto"/>
        <w:jc w:val="both"/>
        <w:rPr>
          <w:rFonts w:ascii="Times New Roman" w:eastAsia="TimesNewRomanPSMT" w:hAnsi="Times New Roman"/>
          <w:color w:val="000000" w:themeColor="text1"/>
          <w:sz w:val="16"/>
          <w:szCs w:val="16"/>
        </w:rPr>
      </w:pPr>
      <w:r w:rsidRPr="005E779E">
        <w:rPr>
          <w:rFonts w:ascii="Times New Roman" w:hAnsi="Times New Roman"/>
          <w:color w:val="000000" w:themeColor="text1"/>
          <w:sz w:val="16"/>
          <w:szCs w:val="16"/>
        </w:rPr>
        <w:t>этим вопросом и уладить его лично с Л. В. Курчевским.372 В свою очередь, в мае 1931 г. НТК АУ и ВОХИМУ направили рапорты о надуманности таких обвинений: «Если инженер Курчевский выражает претензию на то, что АНИИ воспользовался его проектом, то это &lt;…&gt; совершенный абсурд, ибо АНИИ имел вполне определенное задание «разработать рабочие чертежи 42-линейной химической мортиры САСШ», пользуясь всеми необходимыми данными этой мортиры и фотографиями ее, полученными из IV управления Штаба РККА. &lt;…&gt; Одновременно ВОХИМУ ставит в известность, что Курчевский удовлетворен данными ему объяснениями».373 (20074)</w:t>
      </w:r>
    </w:p>
    <w:p w14:paraId="21206910" w14:textId="461FE721" w:rsidR="000F1D6E" w:rsidRPr="005E779E" w:rsidRDefault="000F1D6E" w:rsidP="000B7A6C">
      <w:pPr>
        <w:autoSpaceDE w:val="0"/>
        <w:autoSpaceDN w:val="0"/>
        <w:adjustRightInd w:val="0"/>
        <w:spacing w:after="0" w:line="240" w:lineRule="auto"/>
        <w:jc w:val="both"/>
        <w:rPr>
          <w:rFonts w:ascii="Times New Roman" w:hAnsi="Times New Roman"/>
          <w:color w:val="000000" w:themeColor="text1"/>
          <w:sz w:val="16"/>
          <w:szCs w:val="16"/>
        </w:rPr>
      </w:pPr>
    </w:p>
    <w:p w14:paraId="50F2C13E" w14:textId="0EE7E41B" w:rsidR="000F1D6E" w:rsidRPr="005E779E" w:rsidRDefault="000F1D6E" w:rsidP="000B7A6C">
      <w:pPr>
        <w:autoSpaceDE w:val="0"/>
        <w:autoSpaceDN w:val="0"/>
        <w:adjustRightInd w:val="0"/>
        <w:spacing w:after="0" w:line="240" w:lineRule="auto"/>
        <w:jc w:val="both"/>
        <w:rPr>
          <w:rFonts w:ascii="Times New Roman" w:hAnsi="Times New Roman"/>
          <w:i/>
          <w:iCs/>
          <w:color w:val="000000" w:themeColor="text1"/>
          <w:sz w:val="16"/>
          <w:szCs w:val="16"/>
        </w:rPr>
      </w:pPr>
      <w:r w:rsidRPr="005E779E">
        <w:rPr>
          <w:rFonts w:ascii="Times New Roman" w:hAnsi="Times New Roman"/>
          <w:i/>
          <w:iCs/>
          <w:color w:val="000000" w:themeColor="text1"/>
          <w:sz w:val="16"/>
          <w:szCs w:val="16"/>
        </w:rPr>
        <w:t>Армия:</w:t>
      </w:r>
    </w:p>
    <w:p w14:paraId="01C81C22" w14:textId="77777777" w:rsidR="000F1D6E" w:rsidRPr="005E779E" w:rsidRDefault="000F1D6E" w:rsidP="000B7A6C">
      <w:pPr>
        <w:autoSpaceDE w:val="0"/>
        <w:autoSpaceDN w:val="0"/>
        <w:adjustRightInd w:val="0"/>
        <w:spacing w:after="0" w:line="240" w:lineRule="auto"/>
        <w:jc w:val="both"/>
        <w:rPr>
          <w:rFonts w:ascii="Times New Roman" w:hAnsi="Times New Roman"/>
          <w:i/>
          <w:iCs/>
          <w:color w:val="000000" w:themeColor="text1"/>
          <w:sz w:val="16"/>
          <w:szCs w:val="16"/>
        </w:rPr>
      </w:pPr>
    </w:p>
    <w:p w14:paraId="786C28A4" w14:textId="23AB94D2" w:rsidR="000F1D6E" w:rsidRPr="005E779E" w:rsidRDefault="000F1D6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 марта 1931 года вышло распоряжение начальника 1-го Управления ВВС РККА начальнику НИИ ВВС № VI/141</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об организации курсов укладчиков и облете авиагарнизонов и были реализованы предложения Минова от 5 марта (Архив ЦДА и К. Ф. 50. Оп. 1. Д. 3. Л. 6.) (21402).</w:t>
      </w:r>
    </w:p>
    <w:p w14:paraId="68600154" w14:textId="77777777" w:rsidR="000F1D6E" w:rsidRPr="005E779E" w:rsidRDefault="000F1D6E" w:rsidP="000B7A6C">
      <w:pPr>
        <w:spacing w:after="0" w:line="240" w:lineRule="auto"/>
        <w:jc w:val="both"/>
        <w:rPr>
          <w:rFonts w:ascii="Times New Roman" w:hAnsi="Times New Roman"/>
          <w:color w:val="000000" w:themeColor="text1"/>
          <w:sz w:val="16"/>
          <w:szCs w:val="16"/>
        </w:rPr>
      </w:pPr>
    </w:p>
    <w:p w14:paraId="2C3479C9"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7430DAC0"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144E3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 марта 1931 Туркменская ССР. Коймат. Басмаческое восстание под руководством Илли -ахуна и Д.Клыча (10687).</w:t>
      </w:r>
    </w:p>
    <w:p w14:paraId="1ADB40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848BD0F"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4989E61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A4D64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 марта 1931 (20 - 1017,212 или 13 - 1085,107) завершился первый этап гос. испытаний АНТ-8 МДР-2, которые начались 14 февраля 1931. Выявили недоработки (1017,212).</w:t>
      </w:r>
    </w:p>
    <w:p w14:paraId="161E72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92397F8" w14:textId="77777777" w:rsidR="00083CD8"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5589D57E" w14:textId="77777777" w:rsidR="00083CD8" w:rsidRPr="005E779E" w:rsidRDefault="00083CD8"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3D018CB" w14:textId="77777777" w:rsidR="00083CD8" w:rsidRPr="005E779E" w:rsidRDefault="00083CD8" w:rsidP="000B7A6C">
      <w:pPr>
        <w:pStyle w:val="rtejustify"/>
        <w:spacing w:before="0" w:after="0"/>
        <w:rPr>
          <w:color w:val="000000" w:themeColor="text1"/>
          <w:sz w:val="16"/>
          <w:szCs w:val="16"/>
        </w:rPr>
      </w:pPr>
      <w:r w:rsidRPr="005E779E">
        <w:rPr>
          <w:rStyle w:val="af0"/>
          <w:i w:val="0"/>
          <w:color w:val="000000" w:themeColor="text1"/>
          <w:sz w:val="16"/>
          <w:szCs w:val="16"/>
        </w:rPr>
        <w:t>17 марта 1931 г. Протокол Реввоенсовета № 12.</w:t>
      </w:r>
      <w:r w:rsidRPr="005E779E">
        <w:rPr>
          <w:color w:val="000000" w:themeColor="text1"/>
          <w:sz w:val="16"/>
          <w:szCs w:val="16"/>
        </w:rPr>
        <w:t xml:space="preserve"> 2. Система вооружения ВМС РККА по минам, тралам и временная по торпедам. (Лудри). 4. О производстве 21</w:t>
      </w:r>
      <w:r w:rsidRPr="005E779E">
        <w:rPr>
          <w:color w:val="000000" w:themeColor="text1"/>
          <w:sz w:val="16"/>
          <w:szCs w:val="16"/>
        </w:rPr>
        <w:noBreakHyphen/>
        <w:t>дюймовых торпед. (Муклевич). 10. Введение на вооружение аэростатов заграждения. (Баранов П. И.). 11. а) Введение на вооружение авиабомб Остехбюро. (Баранов П. И.). (РГВА. Ф. 4. Оп. 18. Д. 20. Л. 138</w:t>
      </w:r>
      <w:r w:rsidRPr="005E779E">
        <w:rPr>
          <w:color w:val="000000" w:themeColor="text1"/>
          <w:sz w:val="16"/>
          <w:szCs w:val="16"/>
        </w:rPr>
        <w:noBreakHyphen/>
        <w:t>139, 140) (12342).</w:t>
      </w:r>
    </w:p>
    <w:p w14:paraId="0153EB4F" w14:textId="77777777" w:rsidR="00083CD8" w:rsidRPr="005E779E" w:rsidRDefault="00083CD8" w:rsidP="000B7A6C">
      <w:pPr>
        <w:pStyle w:val="rtejustify"/>
        <w:spacing w:before="0" w:after="0"/>
        <w:rPr>
          <w:color w:val="000000" w:themeColor="text1"/>
          <w:sz w:val="16"/>
          <w:szCs w:val="16"/>
        </w:rPr>
      </w:pPr>
    </w:p>
    <w:p w14:paraId="7522A4EF" w14:textId="77777777" w:rsidR="000F1D6E" w:rsidRPr="005E779E" w:rsidRDefault="000F1D6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lastRenderedPageBreak/>
        <w:t>Жизнь и внутренняя политика:</w:t>
      </w:r>
    </w:p>
    <w:p w14:paraId="4D1E6C72" w14:textId="77777777" w:rsidR="000F1D6E" w:rsidRPr="005E779E" w:rsidRDefault="000F1D6E"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8EF4291" w14:textId="77777777" w:rsidR="000F1D6E" w:rsidRPr="005E779E" w:rsidRDefault="000F1D6E"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17 марта 1931 года – под председательством академика Ивана Михайловича Губкина был рассмотрен план работ треста «Стройгаз» объединения «Всехимпром». В результате было заявлено: «Совещание считает Ухтинский район заслуживающим внимания в отношении разведки на газы; по данным ряда анализов газов этого района, в них содержится некоторое количество редких газов, причём содержание гелия достигает 0.25 процента максимум».</w:t>
      </w:r>
    </w:p>
    <w:p w14:paraId="2DD97231" w14:textId="77777777" w:rsidR="000F1D6E" w:rsidRPr="005E779E" w:rsidRDefault="000F1D6E"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В 1926 год – участники экспедиции Геологического комитета А.А. Веретенников и М.Н.Воробьёв указали на наличие выходов газа на площади до 2 тыс. кв. км в бассейне реки Ухта;</w:t>
      </w:r>
    </w:p>
    <w:p w14:paraId="09FEA084" w14:textId="77777777" w:rsidR="000F1D6E" w:rsidRPr="005E779E" w:rsidRDefault="000F1D6E"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В 1930 год – геолог А.И. Косыгин по заданию Госплана СССР сделал обзор по проблеме «Ресурсы природных горючих газов», в котором отнёс Ухтинский район к категории территорий, подлежащих детальному геологическому изучению (21449).</w:t>
      </w:r>
    </w:p>
    <w:p w14:paraId="08608BD9" w14:textId="77777777" w:rsidR="000F1D6E" w:rsidRPr="005E779E" w:rsidRDefault="000F1D6E"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B76D4B9"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68CB7853"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0D3F9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марта 1931 года зам. гл. инженера по сухопутным самолетам НИИ ВВС писал письмо N 181 с в 1-е управление УВВС.</w:t>
      </w:r>
    </w:p>
    <w:p w14:paraId="3F19A6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сем препровождается сводка результатов гос. испытаний сам. ТБ3 4 Кертис-Конкверор по 600 НР.</w:t>
      </w:r>
    </w:p>
    <w:p w14:paraId="560B29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ТБ3 4 Кертис-Конкверор по 600 НР - тяжелый бомбардировщик, опытный экземпляр, постройки ЦАГИ.</w:t>
      </w:r>
    </w:p>
    <w:p w14:paraId="055668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Цель работы</w:t>
      </w:r>
    </w:p>
    <w:p w14:paraId="5EEF6E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Предварительные испытания с целью выявления основных летных данных самолета и его эксплуатационных свойств для суждения о допущении к серийной постройке.</w:t>
      </w:r>
    </w:p>
    <w:p w14:paraId="226F7B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Испытание начато 20 ноября 1930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7122AB" w:rsidRPr="005E779E" w14:paraId="75E0AE1E" w14:textId="77777777">
        <w:tc>
          <w:tcPr>
            <w:tcW w:w="5636" w:type="dxa"/>
          </w:tcPr>
          <w:p w14:paraId="29E369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Число дней испытания</w:t>
            </w:r>
          </w:p>
        </w:tc>
        <w:tc>
          <w:tcPr>
            <w:tcW w:w="5636" w:type="dxa"/>
          </w:tcPr>
          <w:p w14:paraId="1446A9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92 дня</w:t>
            </w:r>
          </w:p>
        </w:tc>
      </w:tr>
      <w:tr w:rsidR="007122AB" w:rsidRPr="005E779E" w14:paraId="12FB9095" w14:textId="77777777">
        <w:tc>
          <w:tcPr>
            <w:tcW w:w="5636" w:type="dxa"/>
          </w:tcPr>
          <w:p w14:paraId="4784BE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Выполнение полетов</w:t>
            </w:r>
          </w:p>
        </w:tc>
        <w:tc>
          <w:tcPr>
            <w:tcW w:w="5636" w:type="dxa"/>
          </w:tcPr>
          <w:p w14:paraId="4A8608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w:t>
            </w:r>
          </w:p>
        </w:tc>
      </w:tr>
      <w:tr w:rsidR="007122AB" w:rsidRPr="005E779E" w14:paraId="10468A4F" w14:textId="77777777">
        <w:tc>
          <w:tcPr>
            <w:tcW w:w="5636" w:type="dxa"/>
          </w:tcPr>
          <w:p w14:paraId="57E671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Полетных дней </w:t>
            </w:r>
          </w:p>
        </w:tc>
        <w:tc>
          <w:tcPr>
            <w:tcW w:w="5636" w:type="dxa"/>
          </w:tcPr>
          <w:p w14:paraId="3EA9B9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w:t>
            </w:r>
          </w:p>
        </w:tc>
      </w:tr>
      <w:tr w:rsidR="007122AB" w:rsidRPr="005E779E" w14:paraId="481A5CD4" w14:textId="77777777">
        <w:tc>
          <w:tcPr>
            <w:tcW w:w="5636" w:type="dxa"/>
          </w:tcPr>
          <w:p w14:paraId="7D34B0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Устранение неисправностей</w:t>
            </w:r>
          </w:p>
        </w:tc>
        <w:tc>
          <w:tcPr>
            <w:tcW w:w="5636" w:type="dxa"/>
          </w:tcPr>
          <w:p w14:paraId="6967A4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57</w:t>
            </w:r>
          </w:p>
        </w:tc>
      </w:tr>
      <w:tr w:rsidR="007122AB" w:rsidRPr="005E779E" w14:paraId="1C04225A" w14:textId="77777777">
        <w:tc>
          <w:tcPr>
            <w:tcW w:w="5636" w:type="dxa"/>
          </w:tcPr>
          <w:p w14:paraId="36681C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Установка лыж</w:t>
            </w:r>
          </w:p>
        </w:tc>
        <w:tc>
          <w:tcPr>
            <w:tcW w:w="5636" w:type="dxa"/>
          </w:tcPr>
          <w:p w14:paraId="531307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w:t>
            </w:r>
          </w:p>
        </w:tc>
      </w:tr>
      <w:tr w:rsidR="007122AB" w:rsidRPr="005E779E" w14:paraId="0493BAF5" w14:textId="77777777">
        <w:tc>
          <w:tcPr>
            <w:tcW w:w="5636" w:type="dxa"/>
          </w:tcPr>
          <w:p w14:paraId="65A689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Нелетных дней</w:t>
            </w:r>
          </w:p>
        </w:tc>
        <w:tc>
          <w:tcPr>
            <w:tcW w:w="5636" w:type="dxa"/>
          </w:tcPr>
          <w:p w14:paraId="40E74D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w:t>
            </w:r>
          </w:p>
        </w:tc>
      </w:tr>
    </w:tbl>
    <w:p w14:paraId="3277EB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Испытание закончено 20 ноября 1931 года.</w:t>
      </w:r>
    </w:p>
    <w:p w14:paraId="3D9709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w:t>
      </w:r>
    </w:p>
    <w:p w14:paraId="665287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Считать, что самолет ТБ3 4 Кертис Конкверор является по своим летным данным вполне современным тяжелым бомбардировщиком, стоящим на уровне лучших заграничных самолетов.</w:t>
      </w:r>
    </w:p>
    <w:p w14:paraId="0713C4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Считать необходимым пустить самолет в серийную постройку с заменой импортных моторов Керти-Конкверор моторами М-17 (3214).</w:t>
      </w:r>
    </w:p>
    <w:p w14:paraId="1C61A2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89438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марта 1931 Коллегия ОГПУ заменила Н.Н.П смертный приговор на 10 лет лагерей, но в июле, после смотра на ЦА, где И.В.Сталину, К.Е.Ворошилову и A.К.Орджоникидзе были показаны возможности И-5 Н.Н.П. освободили не сняв обвинений, которые были отменены только 1 сентября 1956 за отсутствием состава преступления (129,2).</w:t>
      </w:r>
    </w:p>
    <w:p w14:paraId="1958BD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Надо понять, С.В.И. пришел в ЦКБ сразу же или сначала в ЦКБ ЦАГИ. Похоже - первое.</w:t>
      </w:r>
    </w:p>
    <w:p w14:paraId="7C6ADC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AA55D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марта 1931 г. Коллегия ГПУ приговорила Поликарпова к десятилетнему лагерному заключению, тем самым отменив прежний смертный приговор. Спустя три месяца после этого решения судьбе, в лице Иосифа Сталина, угодно было сделать очередное послабление. На показе авиационной техники в июне 1931-го Сталину с блеском продемонстрировали истребитель И-5. Это событие повлияло на дальнейший ход событий - 28 июня Коллегия ГПУ постановила приговор в отно-шениии Поликарпова считать условным (6593).</w:t>
      </w:r>
    </w:p>
    <w:p w14:paraId="24F7ED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66F1FA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марта 1931 г., спу</w:t>
      </w:r>
      <w:r w:rsidRPr="005E779E">
        <w:rPr>
          <w:rFonts w:ascii="Times New Roman" w:hAnsi="Times New Roman"/>
          <w:color w:val="000000" w:themeColor="text1"/>
          <w:sz w:val="16"/>
          <w:szCs w:val="16"/>
        </w:rPr>
        <w:softHyphen/>
        <w:t>стя полтора года после ареста, Коллегия ОГПУ приго</w:t>
      </w:r>
      <w:r w:rsidRPr="005E779E">
        <w:rPr>
          <w:rFonts w:ascii="Times New Roman" w:hAnsi="Times New Roman"/>
          <w:color w:val="000000" w:themeColor="text1"/>
          <w:sz w:val="16"/>
          <w:szCs w:val="16"/>
        </w:rPr>
        <w:softHyphen/>
        <w:t>ворила Н.Н.Поликарпова к десяти годам заключения в лагерях. Николай Николаевич обвинялся по статьям УК РСФСР 58-6 (шпионаж), 58-7 (подрыв госу</w:t>
      </w:r>
      <w:r w:rsidRPr="005E779E">
        <w:rPr>
          <w:rFonts w:ascii="Times New Roman" w:hAnsi="Times New Roman"/>
          <w:color w:val="000000" w:themeColor="text1"/>
          <w:sz w:val="16"/>
          <w:szCs w:val="16"/>
        </w:rPr>
        <w:softHyphen/>
        <w:t>дар ственной промышленности в контрреволюционных целях) и 58-11 (организационная деятельность или учас</w:t>
      </w:r>
      <w:r w:rsidRPr="005E779E">
        <w:rPr>
          <w:rFonts w:ascii="Times New Roman" w:hAnsi="Times New Roman"/>
          <w:color w:val="000000" w:themeColor="text1"/>
          <w:sz w:val="16"/>
          <w:szCs w:val="16"/>
        </w:rPr>
        <w:softHyphen/>
        <w:t>тие в организации для подготовки одного из преступле</w:t>
      </w:r>
      <w:r w:rsidRPr="005E779E">
        <w:rPr>
          <w:rFonts w:ascii="Times New Roman" w:hAnsi="Times New Roman"/>
          <w:color w:val="000000" w:themeColor="text1"/>
          <w:sz w:val="16"/>
          <w:szCs w:val="16"/>
        </w:rPr>
        <w:softHyphen/>
        <w:t>ний, предусмотренных первой главой - «Преступления государственные» - особенной части УК РСФСР)</w:t>
      </w:r>
    </w:p>
    <w:p w14:paraId="001DDD8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ВЫПИСКА ИЗ ПРОТОКОЛА заседания Коллегии ОГПУ (судебное) от 18 марта 1931</w:t>
      </w:r>
    </w:p>
    <w:p w14:paraId="14C83CB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СЛУШАЛИ:</w:t>
      </w:r>
    </w:p>
    <w:p w14:paraId="60CD121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31.Дело №-84496 по обв. гр. ПОЛИКАШОВА Николая Николаевича, по 58/6,7 и 11 ст. ст. УК (Дело рассм. в пор. постан. През. ЦИК СССР от 9/6-27 г.)</w:t>
      </w:r>
    </w:p>
    <w:p w14:paraId="363AEE2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ПОСТАНОВИЛИ:</w:t>
      </w:r>
    </w:p>
    <w:p w14:paraId="0DCE066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ПОЛИКАРПОВА Николая Николаевича - заключить в концлагерь, сроком на ДЕСЯТЬ лет, считая с 25/Х-29 года.</w:t>
      </w:r>
    </w:p>
    <w:p w14:paraId="33D8BA3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Имущество КОНФИСКОВАТЬ.</w:t>
      </w:r>
    </w:p>
    <w:p w14:paraId="1C6DBD0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(подпись) верно: Секретарь Коллегии ОГПУ (10667,176).</w:t>
      </w:r>
    </w:p>
    <w:p w14:paraId="38F9B3F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7935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марта 1931 г. вердиктом Коллегии ОГПУ Поликарпову смертную казнь заменили 10 годами лагерей, с отсрочкой приговора (10696).</w:t>
      </w:r>
    </w:p>
    <w:p w14:paraId="6AF955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A507B76" w14:textId="77777777" w:rsidR="003E1D1C" w:rsidRPr="005E779E" w:rsidRDefault="003E1D1C"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18-го марта 1931 года высшую меру наказания Поликарпова коллегия ОГПУ заменила десятью годами лагерей. По амнистии вместе со всеми его освободили 8-го июля, но приговор не отменили. При своей короткой жизни Николай Николаевич реабилитации не дождался (15223).</w:t>
      </w:r>
    </w:p>
    <w:p w14:paraId="7C9D57C6" w14:textId="77777777" w:rsidR="003E1D1C" w:rsidRPr="005E779E" w:rsidRDefault="003E1D1C" w:rsidP="000B7A6C">
      <w:pPr>
        <w:shd w:val="clear" w:color="auto" w:fill="FFFFFF"/>
        <w:spacing w:after="0" w:line="240" w:lineRule="auto"/>
        <w:jc w:val="both"/>
        <w:rPr>
          <w:rFonts w:ascii="Times New Roman" w:hAnsi="Times New Roman"/>
          <w:color w:val="000000" w:themeColor="text1"/>
          <w:sz w:val="16"/>
          <w:szCs w:val="16"/>
        </w:rPr>
      </w:pPr>
    </w:p>
    <w:p w14:paraId="0B092018" w14:textId="77777777" w:rsidR="001D4870" w:rsidRPr="005E779E" w:rsidRDefault="001D487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марта 1931 г., спустя пол</w:t>
      </w:r>
      <w:r w:rsidRPr="005E779E">
        <w:rPr>
          <w:rFonts w:ascii="Times New Roman" w:hAnsi="Times New Roman"/>
          <w:color w:val="000000" w:themeColor="text1"/>
          <w:sz w:val="16"/>
          <w:szCs w:val="16"/>
        </w:rPr>
        <w:softHyphen/>
        <w:t>тора года после ареста, Коллегия ОГПУ постановила: «Поликарпова Николая Николаевича - заключить в концлагерь сроком на десять лет, считая срок с 25/Х-29 года. Имуще</w:t>
      </w:r>
      <w:r w:rsidRPr="005E779E">
        <w:rPr>
          <w:rFonts w:ascii="Times New Roman" w:hAnsi="Times New Roman"/>
          <w:color w:val="000000" w:themeColor="text1"/>
          <w:sz w:val="16"/>
          <w:szCs w:val="16"/>
        </w:rPr>
        <w:softHyphen/>
        <w:t>ство конфисковать».</w:t>
      </w:r>
    </w:p>
    <w:p w14:paraId="7820F33C" w14:textId="77777777" w:rsidR="001D4870" w:rsidRPr="005E779E" w:rsidRDefault="001D487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Николай Николаевич обвинялся по статьям УК РСФСР 58-6 (шпионаж), 58-7 (подрыв государственной промышлен</w:t>
      </w:r>
      <w:r w:rsidRPr="005E779E">
        <w:rPr>
          <w:rFonts w:ascii="Times New Roman" w:hAnsi="Times New Roman"/>
          <w:color w:val="000000" w:themeColor="text1"/>
          <w:sz w:val="16"/>
          <w:szCs w:val="16"/>
        </w:rPr>
        <w:softHyphen/>
        <w:t>ности в контрреволюционных целях) и 58-11 (организованная деятельность или участие в организации для подго</w:t>
      </w:r>
      <w:r w:rsidRPr="005E779E">
        <w:rPr>
          <w:rFonts w:ascii="Times New Roman" w:hAnsi="Times New Roman"/>
          <w:color w:val="000000" w:themeColor="text1"/>
          <w:sz w:val="16"/>
          <w:szCs w:val="16"/>
        </w:rPr>
        <w:softHyphen/>
        <w:t>товки одного из преступлений, предус</w:t>
      </w:r>
      <w:r w:rsidRPr="005E779E">
        <w:rPr>
          <w:rFonts w:ascii="Times New Roman" w:hAnsi="Times New Roman"/>
          <w:color w:val="000000" w:themeColor="text1"/>
          <w:sz w:val="16"/>
          <w:szCs w:val="16"/>
        </w:rPr>
        <w:softHyphen/>
        <w:t>мотренных первой главой - «Преступ</w:t>
      </w:r>
      <w:r w:rsidRPr="005E779E">
        <w:rPr>
          <w:rFonts w:ascii="Times New Roman" w:hAnsi="Times New Roman"/>
          <w:color w:val="000000" w:themeColor="text1"/>
          <w:sz w:val="16"/>
          <w:szCs w:val="16"/>
        </w:rPr>
        <w:softHyphen/>
        <w:t>ления государственные» - особенной части УК РСФСР).</w:t>
      </w:r>
    </w:p>
    <w:p w14:paraId="23203FAE" w14:textId="77777777" w:rsidR="001D4870" w:rsidRPr="005E779E" w:rsidRDefault="001D487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Семья долго оставалась в не</w:t>
      </w:r>
      <w:r w:rsidRPr="005E779E">
        <w:rPr>
          <w:rFonts w:ascii="Times New Roman" w:hAnsi="Times New Roman"/>
          <w:color w:val="000000" w:themeColor="text1"/>
          <w:sz w:val="16"/>
          <w:szCs w:val="16"/>
        </w:rPr>
        <w:softHyphen/>
        <w:t>ведении в отношении дальнейшей судьбы Николая Николаевича. Жена Александра Федоровна пыталась узнать, в чем его обвиняют, скоро ли он выйдет на свободу. Через Красный Крест у Екатерины Пав</w:t>
      </w:r>
      <w:r w:rsidRPr="005E779E">
        <w:rPr>
          <w:rFonts w:ascii="Times New Roman" w:hAnsi="Times New Roman"/>
          <w:color w:val="000000" w:themeColor="text1"/>
          <w:sz w:val="16"/>
          <w:szCs w:val="16"/>
        </w:rPr>
        <w:softHyphen/>
        <w:t>ловны Пешковой она получила справку, в которой говорилось о том, что Н.Н. Поликарпов пригово</w:t>
      </w:r>
      <w:r w:rsidRPr="005E779E">
        <w:rPr>
          <w:rFonts w:ascii="Times New Roman" w:hAnsi="Times New Roman"/>
          <w:color w:val="000000" w:themeColor="text1"/>
          <w:sz w:val="16"/>
          <w:szCs w:val="16"/>
        </w:rPr>
        <w:softHyphen/>
        <w:t>рен к смертной казни с заменой на пожизненную ссылку в отдаленных районах Сибири.</w:t>
      </w:r>
    </w:p>
    <w:p w14:paraId="2737CBDB" w14:textId="77777777" w:rsidR="001D4870" w:rsidRPr="005E779E" w:rsidRDefault="001D487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Николай Николаевич продолжал руководить бригадой №3. Теперь она получила новое задание - спроек</w:t>
      </w:r>
      <w:r w:rsidRPr="005E779E">
        <w:rPr>
          <w:rFonts w:ascii="Times New Roman" w:hAnsi="Times New Roman"/>
          <w:color w:val="000000" w:themeColor="text1"/>
          <w:sz w:val="16"/>
          <w:szCs w:val="16"/>
        </w:rPr>
        <w:softHyphen/>
        <w:t>тировать истребитель И-11. Для его успешного выполнения численность бригады увеличили. Среди инжене</w:t>
      </w:r>
      <w:r w:rsidRPr="005E779E">
        <w:rPr>
          <w:rFonts w:ascii="Times New Roman" w:hAnsi="Times New Roman"/>
          <w:color w:val="000000" w:themeColor="text1"/>
          <w:sz w:val="16"/>
          <w:szCs w:val="16"/>
        </w:rPr>
        <w:softHyphen/>
        <w:t>ров, оказавшихся в этом коллективе, был и Дмитрий Людвигович Томашевич, впоследствии главный конструк</w:t>
      </w:r>
      <w:r w:rsidRPr="005E779E">
        <w:rPr>
          <w:rFonts w:ascii="Times New Roman" w:hAnsi="Times New Roman"/>
          <w:color w:val="000000" w:themeColor="text1"/>
          <w:sz w:val="16"/>
          <w:szCs w:val="16"/>
        </w:rPr>
        <w:softHyphen/>
        <w:t>тор авиационной и ракетной техники. Он вспоминал:</w:t>
      </w:r>
    </w:p>
    <w:p w14:paraId="22945BA4" w14:textId="77777777" w:rsidR="001D4870" w:rsidRPr="005E779E" w:rsidRDefault="001D487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середине 1931 г. я ушел на работу в конструкторское бюро, находящееся под опекой НКВД. В нем работали и заключенные специалисты, и вольнона</w:t>
      </w:r>
      <w:r w:rsidRPr="005E779E">
        <w:rPr>
          <w:rFonts w:ascii="Times New Roman" w:hAnsi="Times New Roman"/>
          <w:color w:val="000000" w:themeColor="text1"/>
          <w:sz w:val="16"/>
          <w:szCs w:val="16"/>
        </w:rPr>
        <w:softHyphen/>
        <w:t>емные. Я работал в отделе общих видов и здесь впервые лично встретился с Н.Н. Поликарповым.</w:t>
      </w:r>
    </w:p>
    <w:p w14:paraId="308C5634" w14:textId="77777777" w:rsidR="001D4870" w:rsidRPr="005E779E" w:rsidRDefault="001D487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Он относился к нам, вольнонаемным молодым инженерам, как равный.</w:t>
      </w:r>
    </w:p>
    <w:p w14:paraId="12D3E881" w14:textId="77777777" w:rsidR="001D4870" w:rsidRPr="005E779E" w:rsidRDefault="001D487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 гордился своей квалификацией, а мог бы, по современным нравам в конструкторских бюро, так как имел уже 3 самолета, внедренных в серию, и 2 опытных самолета, сделанных еще до ареста.</w:t>
      </w:r>
    </w:p>
    <w:p w14:paraId="668B47A5" w14:textId="77777777" w:rsidR="001D4870" w:rsidRPr="005E779E" w:rsidRDefault="001D487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другой стороны, и не лебезил перед нами - вольнонаемными как заключенный.</w:t>
      </w:r>
    </w:p>
    <w:p w14:paraId="08487A48" w14:textId="77777777" w:rsidR="001D4870" w:rsidRPr="005E779E" w:rsidRDefault="001D487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 это невольно вызывало уважение к нему и желание работать с ним.</w:t>
      </w:r>
    </w:p>
    <w:p w14:paraId="5F87E0DD" w14:textId="77777777" w:rsidR="001D4870" w:rsidRPr="005E779E" w:rsidRDefault="001D487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Его указания по работе (мы делали компоновку истребителя под весьма мощный двигатель, который не был построен из-за того, что двигатель был лишь в проекте и так и остался) воспри</w:t>
      </w:r>
      <w:r w:rsidRPr="005E779E">
        <w:rPr>
          <w:rFonts w:ascii="Times New Roman" w:hAnsi="Times New Roman"/>
          <w:color w:val="000000" w:themeColor="text1"/>
          <w:sz w:val="16"/>
          <w:szCs w:val="16"/>
        </w:rPr>
        <w:softHyphen/>
        <w:t>нимались как результат беседы и совместного обсуждения. Не могу вспомнить случая, чтобы он что- либо «приказал» сделать или угова</w:t>
      </w:r>
      <w:r w:rsidRPr="005E779E">
        <w:rPr>
          <w:rFonts w:ascii="Times New Roman" w:hAnsi="Times New Roman"/>
          <w:color w:val="000000" w:themeColor="text1"/>
          <w:sz w:val="16"/>
          <w:szCs w:val="16"/>
        </w:rPr>
        <w:softHyphen/>
        <w:t>ривал» (23406).</w:t>
      </w:r>
    </w:p>
    <w:p w14:paraId="7ACA6DC6" w14:textId="77777777" w:rsidR="001D4870" w:rsidRPr="005E779E" w:rsidRDefault="001D4870" w:rsidP="000B7A6C">
      <w:pPr>
        <w:spacing w:after="0" w:line="240" w:lineRule="auto"/>
        <w:jc w:val="both"/>
        <w:rPr>
          <w:rFonts w:ascii="Times New Roman" w:hAnsi="Times New Roman"/>
          <w:color w:val="000000" w:themeColor="text1"/>
          <w:sz w:val="16"/>
          <w:szCs w:val="16"/>
        </w:rPr>
      </w:pPr>
    </w:p>
    <w:p w14:paraId="42E24FEC" w14:textId="77777777" w:rsidR="001D4870" w:rsidRPr="005E779E" w:rsidRDefault="001D487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18 марта 1931 г. коллегия ОГПУ приговорила Поликарпова к 10 годам заключения в исправительном лагере с поражением в правах, конфискацией имущества по обвинению в шпионаже в пользу французской разведки, контрреволюционной деятельности и подрыве промышленности (при аресте обвинение было несколько другим – участие в контрреволюционной вредительской организации, саботаже и срыв опытных работ). Но никакие из указанных мер пресечения к нему применены </w:t>
      </w:r>
      <w:r w:rsidRPr="005E779E">
        <w:rPr>
          <w:rFonts w:ascii="Times New Roman" w:hAnsi="Times New Roman"/>
          <w:color w:val="000000" w:themeColor="text1"/>
          <w:sz w:val="16"/>
          <w:szCs w:val="16"/>
        </w:rPr>
        <w:lastRenderedPageBreak/>
        <w:t>в указанном виде не были – имущество было оставлено семье, с которой разрешали поддерживать связь, в лагеря не отправили, а поскольку в то время никаких выборов не проводилось, то и поражение в правах оказалось чисто формальным.</w:t>
      </w:r>
    </w:p>
    <w:p w14:paraId="7F20E879" w14:textId="77777777" w:rsidR="001D4870" w:rsidRPr="005E779E" w:rsidRDefault="001D487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марте 1931 г. на работу в ОМОС ЦКБ-39 переведен В.Б. Шавров и одновременно было передано задание на гидросамолет ФС, которое он вел в группе «Р» П.Э. Ришара. В ЦКБ-39 Шавров это задание также не закончил, он сделал ряд других проектов, но ни один из них не пошел в серию, как Ш-2, который делался не в ЦКБ (23559(.</w:t>
      </w:r>
    </w:p>
    <w:p w14:paraId="2C835EB2" w14:textId="77777777" w:rsidR="001D4870" w:rsidRPr="005E779E" w:rsidRDefault="001D4870" w:rsidP="000B7A6C">
      <w:pPr>
        <w:spacing w:after="0" w:line="240" w:lineRule="auto"/>
        <w:jc w:val="both"/>
        <w:rPr>
          <w:rFonts w:ascii="Times New Roman" w:hAnsi="Times New Roman"/>
          <w:color w:val="000000" w:themeColor="text1"/>
          <w:sz w:val="16"/>
          <w:szCs w:val="16"/>
        </w:rPr>
      </w:pPr>
    </w:p>
    <w:p w14:paraId="3664DD8B" w14:textId="77777777" w:rsidR="00D57D9E" w:rsidRPr="00142305" w:rsidRDefault="00D57D9E" w:rsidP="00D57D9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18 марта 1931 г., спустя полтора года после ареста, Коллегия ОГПУ постановила:</w:t>
      </w:r>
    </w:p>
    <w:p w14:paraId="5693FC21" w14:textId="77777777" w:rsidR="00D57D9E" w:rsidRPr="00142305" w:rsidRDefault="00D57D9E" w:rsidP="00D57D9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«Поликарпова Николая Николаевича — заключить в концлагерь сроком на десять лет, считая срок с 25/Х-29 года. Имущество конфисковать». </w:t>
      </w:r>
    </w:p>
    <w:p w14:paraId="063C67A4" w14:textId="77777777" w:rsidR="00D57D9E" w:rsidRPr="00142305" w:rsidRDefault="00D57D9E" w:rsidP="00D57D9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Николай Николаевич обвинялся по статьям УК РСФСР 58-6 (шпионаж), 58-7 (подрыв государственной промышленности в контрреволюционных целях) и 58–11 (организованная деятельность или участие в организации для подготовки одного из преступлений, предусмотренных первой главой — «Преступления государственные» — особенной части УК РСФСР).</w:t>
      </w:r>
    </w:p>
    <w:p w14:paraId="5660B666" w14:textId="77777777" w:rsidR="00D57D9E" w:rsidRPr="00142305" w:rsidRDefault="00D57D9E" w:rsidP="00D57D9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Семья долго оставалась в неведении в отношении дальнейшей судьбы Николая Николаевича. Александра Федоровна пыталась узнать, в чем его обвиняют, скоро ли он выйдет на свободу. Через Красный Крест у влиятельной Е. М. Пешковой она получила справку о том, что Н. Н. Поликарпов приговорен к смертной казни с заменой на пожизненную ссылку в отдаленных районах Сибири.</w:t>
      </w:r>
    </w:p>
    <w:p w14:paraId="57424D41" w14:textId="77777777" w:rsidR="00D57D9E" w:rsidRPr="00142305" w:rsidRDefault="00D57D9E" w:rsidP="00D57D9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Николай Николаевич продолжал руководить бригадой № 3. Теперь она получила новое задание спроектировать истребитель И-11. Для его успешного выполнения численность бригады увеличили. Среди инженеров, оказавшихся в этом коллективе, был и Дмитрий Людвигович Томашевич, впоследствии главный конструктор авиационной и ракетной техники (25035).</w:t>
      </w:r>
    </w:p>
    <w:p w14:paraId="259AAD87" w14:textId="77777777" w:rsidR="00D57D9E" w:rsidRPr="00142305" w:rsidRDefault="00D57D9E" w:rsidP="00D57D9E">
      <w:pPr>
        <w:spacing w:after="0" w:line="240" w:lineRule="auto"/>
        <w:jc w:val="both"/>
        <w:rPr>
          <w:rFonts w:ascii="Times New Roman" w:hAnsi="Times New Roman"/>
          <w:color w:val="0070C0"/>
          <w:sz w:val="16"/>
          <w:szCs w:val="16"/>
        </w:rPr>
      </w:pPr>
    </w:p>
    <w:p w14:paraId="39FFD1A2" w14:textId="77777777" w:rsidR="00D57D9E" w:rsidRPr="00142305" w:rsidRDefault="00D57D9E" w:rsidP="00D57D9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18 марта 1931 г. после обсуждения в Наркомате обороны (НКО) доклада от 12 января 1931 г. начальника морских сил Р. А. Муклевича наркому обороны К. Е. Ворошилову о необходимости скорейшего заказа в Италии предметов вооружения на основании предложений, привезѐнных группой А. К. Сивкова, в Комитет Обороны (КО) Совета Народных Комисаров (СНК) СССР был представлен план заказов Управления Военно-Морских Сил (УВМС) в Италии [Там же, л. 272]: по торпедам – 45 комплектов с запчастями, полуфабрикатами, ящиками ключей – на сумму 1 374 400 руб.; по минам – антенные (50 шт.), буксируемые (5 шт.) и 2 трѐхтрубных торпедных аппарата системы завода Силурифичио – на сумму 426 тыс. руб.; по артиллерии – артиллерийские установки системы Минизини (16 орудийных установок), приборы центральной наводки системы Галилео (3 комплекта); механическая трубка для зенитного снаряда системы Галилео; регулятор «Факини» (10 комплектов); дальномеры стерео трехметровый и пятиметровый (10 шт.) – на сумму 2 270 000 руб. (зол.).</w:t>
      </w:r>
    </w:p>
    <w:p w14:paraId="261A1988" w14:textId="77777777" w:rsidR="00D57D9E" w:rsidRPr="00142305" w:rsidRDefault="00D57D9E" w:rsidP="00D57D9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Вместе с планом был представлен и проект Постановления КО СНК СССР, утверждающий данный план и определяющий основные мероприятия его реализации [Там же, л. 273]. Однако решение этого вопроса затягивалось, что вынудило Начальника МС Р. А. Муклевича обратиться с письмом к Генеральному секретарю ЦК ВКП(б) И. В. Сталину, в котором, он, вспоминая прошлогодний разговор о командировке группы моряков в Италию, докладывал, что группа под руководством А. К. Сивкова проработала два месяца, вернулась с богатым материалом и наблюдениями. «И действительно у итальянцев морская техника весьма высока. Как в кораблестроении, так и морском вооружении они ушли далеко вперѐд. На фоне итальянских достижений особенно ―бросается в глаза‖ наша отсталость по торпедам, зенитной артиллерии, специальным снарядам и приборам управления огнѐм. После возвращения т. Сивков составил и представил точную заявку на необходимые заказы для морского флота. Вышло Постановление Политбюро о том, чтобы дать необходимые контингенты для этих заказов; тем не менее, вопрос окончательного решения не получил и ―повис в воздухе. Время идѐт, хороших торпед и зенитной артиллерии у нас нет, промышленность наша безуспешно бьется над решением тех задач, которые за границей давно уже решены. Давая указания о поездке наших специалистов в Италию в августе прошлого года, Вы придавали огромное значение нашим связям с итальянцами именно по морской линии, говорили даже о возможности заказа крейсера, теперь это дело застопорилось, боюсь, что Вы об этом не знаете. Докладываю и прошу Вашего личного вмешательства» [Там же, л. 274-275] (25366).</w:t>
      </w:r>
    </w:p>
    <w:p w14:paraId="52523C8A" w14:textId="77777777" w:rsidR="00D57D9E" w:rsidRPr="00142305" w:rsidRDefault="00D57D9E" w:rsidP="00D57D9E">
      <w:pPr>
        <w:spacing w:after="0" w:line="240" w:lineRule="auto"/>
        <w:jc w:val="both"/>
        <w:rPr>
          <w:rFonts w:ascii="Times New Roman" w:hAnsi="Times New Roman"/>
          <w:color w:val="0070C0"/>
          <w:sz w:val="16"/>
          <w:szCs w:val="16"/>
        </w:rPr>
      </w:pPr>
    </w:p>
    <w:p w14:paraId="37E95492" w14:textId="77777777" w:rsidR="00D57D9E" w:rsidRPr="00142305" w:rsidRDefault="00D57D9E" w:rsidP="00D57D9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18 марта 1931 г. приняли решение о создании в Ленинградском военном округе нештатного отряда парашютистов численностью 46 человек. Командиром был М. В. Бойцов, а личный состав обучал прыжкам Л. Г. Минов. В документах эта часть именовалась "особый отряд №3". Отряду придали самолеты, специально переоборудованные на ленинградских предприятиях. Боевой готовности это подразделение достигло к 1 июня.</w:t>
      </w:r>
    </w:p>
    <w:p w14:paraId="0D5E4819" w14:textId="77777777" w:rsidR="00D57D9E" w:rsidRPr="00142305" w:rsidRDefault="00D57D9E" w:rsidP="00D57D9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августе-сентябре того же года десантники впервые участвовали в крупных маневрах Красной армии на Украине. Из специальной техники применяли подфюзеляжные кабины, грузовые мешки и контейнеры. 15 августа группа парашютистов захватила аэродром условного противника, на который села эскадрилья ТБ-1. 10 и 14 сентября парашютные десанты сочетались с посадочными. Десантники, выпрыгнув с трехмоторных АНТ-9, подготовили площадки, на которые приземлились бомбардировщики с людьми и оружием. На одном из самолетов доставили автомобиль. Для приехавшего на учения начальства и иностранных атташе организовали демонстрационный сброс трехместного "авиабуса".</w:t>
      </w:r>
    </w:p>
    <w:p w14:paraId="75009F80" w14:textId="77777777" w:rsidR="00D57D9E" w:rsidRPr="00142305" w:rsidRDefault="00D57D9E" w:rsidP="00D57D9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Учения завершились полным успехом, но этот успех несколько омрачила катастрофа, произошедшая сразу после их окончания. Принадлежавший десантному отряду ТБ-1, под которым был подвешен пикап, взлетел, чтобы вернуться на постоянное место дислокации. Самолет был сильно перегружен. Кроме автомобиля, он нес различное имущество. На борту находилось семь человек. При наборе высоты отказал один из моторов (как потом выяснилось, оборвался шатун). Пилот решил сделать круг и сесть на ту же площадку, но он недооценил создаваемого наружной подвеской пикирующего момента. Самолет врезался в землю, все находившиеся на его борту погибли (25356).</w:t>
      </w:r>
    </w:p>
    <w:p w14:paraId="33F3E916" w14:textId="77777777" w:rsidR="00D57D9E" w:rsidRPr="00142305" w:rsidRDefault="00D57D9E" w:rsidP="00D57D9E">
      <w:pPr>
        <w:spacing w:after="0" w:line="240" w:lineRule="auto"/>
        <w:jc w:val="both"/>
        <w:rPr>
          <w:rFonts w:ascii="Times New Roman" w:hAnsi="Times New Roman"/>
          <w:color w:val="0070C0"/>
          <w:sz w:val="16"/>
          <w:szCs w:val="16"/>
        </w:rPr>
      </w:pPr>
    </w:p>
    <w:p w14:paraId="3B3D35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марта 1931 Командование КА решило организовать в ЛенВО опытный воздушно-десантный отряд, который П.И.Гроховский, в феврале ставший начальником и ГК Осконбюро, должен был оснащать техникой. Учить должен был Л.Г.Минов. Отряд имел 164 чел., 12 ТБ-1 и 10 Р-5, две танкетки Т-37, три броневика, три легкие пушки, станковые и ручные пулеметы, л и г автомашины, мотоциклы, велосипеды. Тогда то возникла идея открытия Ленинградского филиала во главе с Титовы. При создании Осконбюро ВВС РККА ему передали опытные мастерские НИИ ВВС и между Г.А.Зильбертом, замещавшим В.С.Горшкова, и П.И.Г. возникла неприязнь. РВС принял особое постановление по Осконбюро и обязал УВВС помогать (1101,74).</w:t>
      </w:r>
    </w:p>
    <w:p w14:paraId="362CD4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0D31AA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мар</w:t>
      </w:r>
      <w:r w:rsidRPr="005E779E">
        <w:rPr>
          <w:rFonts w:ascii="Times New Roman" w:hAnsi="Times New Roman"/>
          <w:color w:val="000000" w:themeColor="text1"/>
          <w:sz w:val="16"/>
          <w:szCs w:val="16"/>
        </w:rPr>
        <w:softHyphen/>
        <w:t>та 1931 г. Директивой штаба РККА в Ленинградском военном округе был образован нештатный опытный автомотодесантный отряд, а в июне создан еще и парашютно-де</w:t>
      </w:r>
      <w:r w:rsidRPr="005E779E">
        <w:rPr>
          <w:rFonts w:ascii="Times New Roman" w:hAnsi="Times New Roman"/>
          <w:color w:val="000000" w:themeColor="text1"/>
          <w:sz w:val="16"/>
          <w:szCs w:val="16"/>
        </w:rPr>
        <w:softHyphen/>
        <w:t>сантный отряд при 1-й авиационной бригаде. Ставилась задача переброс</w:t>
      </w:r>
      <w:r w:rsidRPr="005E779E">
        <w:rPr>
          <w:rFonts w:ascii="Times New Roman" w:hAnsi="Times New Roman"/>
          <w:color w:val="000000" w:themeColor="text1"/>
          <w:sz w:val="16"/>
          <w:szCs w:val="16"/>
        </w:rPr>
        <w:softHyphen/>
        <w:t>ки по воздуху и десантирования не только парашютистов, но и тяжелого вооружения и военной техники, боеп</w:t>
      </w:r>
      <w:r w:rsidRPr="005E779E">
        <w:rPr>
          <w:rFonts w:ascii="Times New Roman" w:hAnsi="Times New Roman"/>
          <w:color w:val="000000" w:themeColor="text1"/>
          <w:sz w:val="16"/>
          <w:szCs w:val="16"/>
        </w:rPr>
        <w:softHyphen/>
        <w:t>рипасов, грузов снабжения для пара</w:t>
      </w:r>
      <w:r w:rsidRPr="005E779E">
        <w:rPr>
          <w:rFonts w:ascii="Times New Roman" w:hAnsi="Times New Roman"/>
          <w:color w:val="000000" w:themeColor="text1"/>
          <w:sz w:val="16"/>
          <w:szCs w:val="16"/>
        </w:rPr>
        <w:softHyphen/>
        <w:t>шютных десантов.</w:t>
      </w:r>
    </w:p>
    <w:p w14:paraId="6DB3687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Как известно, тактические воздуш</w:t>
      </w:r>
      <w:r w:rsidRPr="005E779E">
        <w:rPr>
          <w:rFonts w:ascii="Times New Roman" w:hAnsi="Times New Roman"/>
          <w:color w:val="000000" w:themeColor="text1"/>
          <w:sz w:val="16"/>
          <w:szCs w:val="16"/>
        </w:rPr>
        <w:softHyphen/>
        <w:t>ные десанты Красная Армия практи</w:t>
      </w:r>
      <w:r w:rsidRPr="005E779E">
        <w:rPr>
          <w:rFonts w:ascii="Times New Roman" w:hAnsi="Times New Roman"/>
          <w:color w:val="000000" w:themeColor="text1"/>
          <w:sz w:val="16"/>
          <w:szCs w:val="16"/>
        </w:rPr>
        <w:softHyphen/>
        <w:t>ковала еще в 1927 и в 1929 гг. в боях с басмачами, но тогда пехотные отряды с групповым оружием (пулеметами) высаживались исключительно поса</w:t>
      </w:r>
      <w:r w:rsidRPr="005E779E">
        <w:rPr>
          <w:rFonts w:ascii="Times New Roman" w:hAnsi="Times New Roman"/>
          <w:color w:val="000000" w:themeColor="text1"/>
          <w:sz w:val="16"/>
          <w:szCs w:val="16"/>
        </w:rPr>
        <w:softHyphen/>
        <w:t>дочным способом. 2 августа 1930 г. на учениях ВВС Московского военного округа под Воронежем впервые для выполнения тактической задачи был выброшен парашютный десант чис</w:t>
      </w:r>
      <w:r w:rsidRPr="005E779E">
        <w:rPr>
          <w:rFonts w:ascii="Times New Roman" w:hAnsi="Times New Roman"/>
          <w:color w:val="000000" w:themeColor="text1"/>
          <w:sz w:val="16"/>
          <w:szCs w:val="16"/>
        </w:rPr>
        <w:softHyphen/>
        <w:t>ленностью 12 человек (11752).</w:t>
      </w:r>
    </w:p>
    <w:p w14:paraId="16BC772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B2960C" w14:textId="77777777" w:rsidR="008C5B22" w:rsidRPr="005E779E" w:rsidRDefault="008C5B2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марта 1931 г. Штаб РККА, выполняя приказ РВС СССР от 24 октября 1930, издал директиву № 1/013295, в соответствии с которой в ЛВО 1 июня 1931 г. был создан Опытный воздухо-десантный отряд, а 20 июня 1931 г. был сформирован первый нештатный парашютно-десантный отряд (ПДО) (21402).</w:t>
      </w:r>
    </w:p>
    <w:p w14:paraId="7D330984" w14:textId="77777777" w:rsidR="008C5B22" w:rsidRPr="005E779E" w:rsidRDefault="008C5B22" w:rsidP="000B7A6C">
      <w:pPr>
        <w:spacing w:after="0" w:line="240" w:lineRule="auto"/>
        <w:jc w:val="both"/>
        <w:rPr>
          <w:rFonts w:ascii="Times New Roman" w:hAnsi="Times New Roman"/>
          <w:color w:val="000000" w:themeColor="text1"/>
          <w:sz w:val="16"/>
          <w:szCs w:val="16"/>
        </w:rPr>
      </w:pPr>
    </w:p>
    <w:p w14:paraId="5734C5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18 марта 1931 </w:t>
      </w:r>
      <w:r w:rsidR="00083CD8" w:rsidRPr="005E779E">
        <w:rPr>
          <w:rFonts w:ascii="Times New Roman" w:hAnsi="Times New Roman"/>
          <w:color w:val="000000" w:themeColor="text1"/>
          <w:sz w:val="16"/>
          <w:szCs w:val="16"/>
        </w:rPr>
        <w:t>вышло постановление РВС, требова</w:t>
      </w:r>
      <w:r w:rsidRPr="005E779E">
        <w:rPr>
          <w:rFonts w:ascii="Times New Roman" w:hAnsi="Times New Roman"/>
          <w:color w:val="000000" w:themeColor="text1"/>
          <w:sz w:val="16"/>
          <w:szCs w:val="16"/>
        </w:rPr>
        <w:t>вшее в трехмесячный срок сдать чертежи ЗАМ, ПБМ и БВС (с химической боевой частью) и Майзеля, разместить в промышленности заказы ан 250 ЗАМ, 250 ПБМ и 50 БВС с началом сборки 1 августа 1931, а также провести войсковые испытания (8908,36).</w:t>
      </w:r>
    </w:p>
    <w:p w14:paraId="1E8002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3F6846D" w14:textId="77777777" w:rsidR="000F1D6E" w:rsidRPr="005E779E" w:rsidRDefault="000F1D6E" w:rsidP="000B7A6C">
      <w:pPr>
        <w:shd w:val="clear" w:color="auto" w:fill="FFFFFF"/>
        <w:spacing w:after="0" w:line="240" w:lineRule="auto"/>
        <w:jc w:val="both"/>
        <w:textAlignment w:val="top"/>
        <w:rPr>
          <w:rFonts w:ascii="Times New Roman" w:hAnsi="Times New Roman"/>
          <w:color w:val="000000" w:themeColor="text1"/>
          <w:sz w:val="16"/>
          <w:szCs w:val="16"/>
        </w:rPr>
      </w:pPr>
      <w:r w:rsidRPr="005E779E">
        <w:rPr>
          <w:rFonts w:ascii="Times New Roman" w:hAnsi="Times New Roman"/>
          <w:color w:val="000000" w:themeColor="text1"/>
          <w:sz w:val="16"/>
          <w:szCs w:val="16"/>
        </w:rPr>
        <w:t>18 марта 1931 года</w:t>
      </w:r>
    </w:p>
    <w:p w14:paraId="13430ED6" w14:textId="77777777" w:rsidR="000F1D6E" w:rsidRPr="005E779E" w:rsidRDefault="000F1D6E" w:rsidP="000B7A6C">
      <w:pPr>
        <w:shd w:val="clear" w:color="auto" w:fill="FFFFFF"/>
        <w:spacing w:after="0" w:line="240" w:lineRule="auto"/>
        <w:jc w:val="both"/>
        <w:textAlignment w:val="top"/>
        <w:rPr>
          <w:rFonts w:ascii="Times New Roman" w:hAnsi="Times New Roman"/>
          <w:color w:val="000000" w:themeColor="text1"/>
          <w:sz w:val="16"/>
          <w:szCs w:val="16"/>
        </w:rPr>
      </w:pPr>
      <w:r w:rsidRPr="005E779E">
        <w:rPr>
          <w:rFonts w:ascii="Times New Roman" w:hAnsi="Times New Roman"/>
          <w:color w:val="000000" w:themeColor="text1"/>
          <w:sz w:val="16"/>
          <w:szCs w:val="16"/>
        </w:rPr>
        <w:t>Постановление СНК «Об изменении законодательства в связи с образованием Всесоюзного объединения гражданского воздушного флота». (отменено «Положение о Главной инспекции гражданского воздушного флота Союза ССР при Народном комиссариате по военным и морским делам» от 23 февраля 1930 г.) (20226)</w:t>
      </w:r>
    </w:p>
    <w:p w14:paraId="0E9CD4ED" w14:textId="77777777" w:rsidR="000F1D6E" w:rsidRPr="005E779E" w:rsidRDefault="000F1D6E" w:rsidP="000B7A6C">
      <w:pPr>
        <w:shd w:val="clear" w:color="auto" w:fill="FFFFFF"/>
        <w:spacing w:after="0" w:line="240" w:lineRule="auto"/>
        <w:jc w:val="both"/>
        <w:textAlignment w:val="top"/>
        <w:rPr>
          <w:rFonts w:ascii="Times New Roman" w:hAnsi="Times New Roman"/>
          <w:color w:val="000000" w:themeColor="text1"/>
          <w:sz w:val="16"/>
          <w:szCs w:val="16"/>
        </w:rPr>
      </w:pPr>
    </w:p>
    <w:p w14:paraId="2FDFDDE6" w14:textId="77777777" w:rsidR="00083CD8"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3A5095D3" w14:textId="77777777" w:rsidR="00083CD8" w:rsidRPr="005E779E" w:rsidRDefault="00083CD8"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0908E41" w14:textId="77777777" w:rsidR="003E1D1C" w:rsidRPr="005E779E" w:rsidRDefault="003E1D1C" w:rsidP="000B7A6C">
      <w:pPr>
        <w:spacing w:after="0" w:line="240" w:lineRule="auto"/>
        <w:jc w:val="both"/>
        <w:rPr>
          <w:rStyle w:val="af0"/>
          <w:rFonts w:ascii="Times New Roman" w:hAnsi="Times New Roman"/>
          <w:i w:val="0"/>
          <w:color w:val="000000" w:themeColor="text1"/>
          <w:sz w:val="16"/>
          <w:szCs w:val="16"/>
        </w:rPr>
      </w:pPr>
      <w:r w:rsidRPr="005E779E">
        <w:rPr>
          <w:rFonts w:ascii="Times New Roman" w:hAnsi="Times New Roman"/>
          <w:bCs/>
          <w:color w:val="000000" w:themeColor="text1"/>
          <w:sz w:val="16"/>
          <w:szCs w:val="16"/>
        </w:rPr>
        <w:t>18 марта 1931 г. — Докладная записка наркома по военным и морским делам СССР и председателя РВС СССР К. Е. Ворошилова председателю СНК СССР В. М. Молотову о создании специального органа для разрешения разногласий между ведомствами по военным заказам</w:t>
      </w:r>
    </w:p>
    <w:p w14:paraId="04AE1BD9" w14:textId="77777777" w:rsidR="00083CD8" w:rsidRPr="005E779E" w:rsidRDefault="00083CD8" w:rsidP="000B7A6C">
      <w:pPr>
        <w:spacing w:after="0" w:line="240" w:lineRule="auto"/>
        <w:jc w:val="both"/>
        <w:rPr>
          <w:rFonts w:ascii="Times New Roman" w:hAnsi="Times New Roman"/>
          <w:color w:val="000000" w:themeColor="text1"/>
          <w:sz w:val="16"/>
          <w:szCs w:val="16"/>
        </w:rPr>
      </w:pPr>
      <w:r w:rsidRPr="005E779E">
        <w:rPr>
          <w:rStyle w:val="af0"/>
          <w:rFonts w:ascii="Times New Roman" w:hAnsi="Times New Roman"/>
          <w:i w:val="0"/>
          <w:color w:val="000000" w:themeColor="text1"/>
          <w:sz w:val="16"/>
          <w:szCs w:val="16"/>
        </w:rPr>
        <w:t>Совершенно секретно.</w:t>
      </w:r>
    </w:p>
    <w:p w14:paraId="266F0B35" w14:textId="77777777" w:rsidR="00083CD8" w:rsidRPr="005E779E" w:rsidRDefault="00083CD8" w:rsidP="000B7A6C">
      <w:pPr>
        <w:pStyle w:val="rtejustify"/>
        <w:spacing w:before="0" w:after="0"/>
        <w:rPr>
          <w:color w:val="000000" w:themeColor="text1"/>
          <w:sz w:val="16"/>
          <w:szCs w:val="16"/>
        </w:rPr>
      </w:pPr>
      <w:r w:rsidRPr="005E779E">
        <w:rPr>
          <w:color w:val="000000" w:themeColor="text1"/>
          <w:sz w:val="16"/>
          <w:szCs w:val="16"/>
        </w:rPr>
        <w:t>При размещении заказов НКВМ в промышленности и в процессе их выполнения между органами НКВМ и органами ВСНХ возникает целый ряд спорных вопросов по ценам, срокам и, особенно, техническим условиям заказываемой продукции. Эти споры часто задерживают оформление договоров и фактически препятствуют размещению заказов, тем самым срывая сроки выполнения заказов и нарушая план финансирования. Такое ненормальное положение вызывается тем, что не существует особого органа, который разрешал бы эти споры между НКВМ и ВСНХС.</w:t>
      </w:r>
    </w:p>
    <w:p w14:paraId="0D0DACA6" w14:textId="77777777" w:rsidR="00083CD8" w:rsidRPr="005E779E" w:rsidRDefault="00083CD8" w:rsidP="000B7A6C">
      <w:pPr>
        <w:pStyle w:val="rtejustify"/>
        <w:spacing w:before="0" w:after="0"/>
        <w:rPr>
          <w:color w:val="000000" w:themeColor="text1"/>
          <w:sz w:val="16"/>
          <w:szCs w:val="16"/>
        </w:rPr>
      </w:pPr>
      <w:r w:rsidRPr="005E779E">
        <w:rPr>
          <w:color w:val="000000" w:themeColor="text1"/>
          <w:sz w:val="16"/>
          <w:szCs w:val="16"/>
        </w:rPr>
        <w:t>Объединения ВСНХС, на которые возложено в настоящий момент разрешение споров по отдельным заказам между предприятиями (трестами) и их заказчиками, сами по отношению к НКВМ являются лишь заинтересованной стороной и, следовательно, неавторитетны и некомпетентны.</w:t>
      </w:r>
    </w:p>
    <w:p w14:paraId="60A51F37" w14:textId="77777777" w:rsidR="00083CD8" w:rsidRPr="005E779E" w:rsidRDefault="00083CD8" w:rsidP="000B7A6C">
      <w:pPr>
        <w:pStyle w:val="rtejustify"/>
        <w:spacing w:before="0" w:after="0"/>
        <w:rPr>
          <w:color w:val="000000" w:themeColor="text1"/>
          <w:sz w:val="16"/>
          <w:szCs w:val="16"/>
        </w:rPr>
      </w:pPr>
      <w:r w:rsidRPr="005E779E">
        <w:rPr>
          <w:color w:val="000000" w:themeColor="text1"/>
          <w:sz w:val="16"/>
          <w:szCs w:val="16"/>
        </w:rPr>
        <w:lastRenderedPageBreak/>
        <w:t xml:space="preserve">Для устранения всех отрицательных последствий для обороны, связанных </w:t>
      </w:r>
      <w:r w:rsidRPr="005E779E">
        <w:rPr>
          <w:rStyle w:val="af0"/>
          <w:i w:val="0"/>
          <w:color w:val="000000" w:themeColor="text1"/>
          <w:sz w:val="16"/>
          <w:szCs w:val="16"/>
        </w:rPr>
        <w:t>с</w:t>
      </w:r>
      <w:r w:rsidRPr="005E779E">
        <w:rPr>
          <w:color w:val="000000" w:themeColor="text1"/>
          <w:sz w:val="16"/>
          <w:szCs w:val="16"/>
        </w:rPr>
        <w:t xml:space="preserve"> задержками размещения в промышленности заказов НКВМ, считаю необходимым возложить на особый орган разрешение всех споров между НКВМ и ВСНХ по военным заказам.</w:t>
      </w:r>
    </w:p>
    <w:p w14:paraId="39AB62B0" w14:textId="77777777" w:rsidR="00083CD8" w:rsidRPr="005E779E" w:rsidRDefault="00083CD8" w:rsidP="000B7A6C">
      <w:pPr>
        <w:pStyle w:val="rtejustify"/>
        <w:spacing w:before="0" w:after="0"/>
        <w:rPr>
          <w:color w:val="000000" w:themeColor="text1"/>
          <w:sz w:val="16"/>
          <w:szCs w:val="16"/>
        </w:rPr>
      </w:pPr>
      <w:r w:rsidRPr="005E779E">
        <w:rPr>
          <w:color w:val="000000" w:themeColor="text1"/>
          <w:sz w:val="16"/>
          <w:szCs w:val="16"/>
        </w:rPr>
        <w:t>Прошу этот вопрос обсудить на сегодняшнем (18 марта) заседании Комиссии обороны.</w:t>
      </w:r>
    </w:p>
    <w:p w14:paraId="7EF5CE61" w14:textId="77777777" w:rsidR="00083CD8" w:rsidRPr="005E779E" w:rsidRDefault="00083CD8" w:rsidP="000B7A6C">
      <w:pPr>
        <w:pStyle w:val="ae"/>
        <w:spacing w:before="0" w:after="0"/>
        <w:jc w:val="both"/>
        <w:rPr>
          <w:color w:val="000000" w:themeColor="text1"/>
          <w:sz w:val="16"/>
          <w:szCs w:val="16"/>
        </w:rPr>
      </w:pPr>
      <w:r w:rsidRPr="005E779E">
        <w:rPr>
          <w:rStyle w:val="af0"/>
          <w:i w:val="0"/>
          <w:color w:val="000000" w:themeColor="text1"/>
          <w:sz w:val="16"/>
          <w:szCs w:val="16"/>
        </w:rPr>
        <w:t>Наркомвоенмор и председатель РВС СССР Ворошилов</w:t>
      </w:r>
    </w:p>
    <w:p w14:paraId="36FB5447" w14:textId="77777777" w:rsidR="00083CD8" w:rsidRPr="005E779E" w:rsidRDefault="00083CD8" w:rsidP="000B7A6C">
      <w:pPr>
        <w:pStyle w:val="ae"/>
        <w:spacing w:before="0" w:after="0"/>
        <w:jc w:val="both"/>
        <w:rPr>
          <w:color w:val="000000" w:themeColor="text1"/>
          <w:sz w:val="16"/>
          <w:szCs w:val="16"/>
        </w:rPr>
      </w:pPr>
      <w:r w:rsidRPr="005E779E">
        <w:rPr>
          <w:color w:val="000000" w:themeColor="text1"/>
          <w:sz w:val="16"/>
          <w:szCs w:val="16"/>
        </w:rPr>
        <w:t>ГА РФ. Ф. Р-8418. Оп. 5. Д. 36. Л. 1. Подлинник.</w:t>
      </w:r>
    </w:p>
    <w:p w14:paraId="62DCF724" w14:textId="77777777" w:rsidR="00083CD8" w:rsidRPr="005E779E" w:rsidRDefault="00083CD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Архив: ГА РФ. Ф. Р-8418. Оп. 5. Д. 36. Л. 1. Подлинник. </w:t>
      </w:r>
    </w:p>
    <w:p w14:paraId="520207A1" w14:textId="77777777" w:rsidR="00083CD8" w:rsidRPr="005E779E" w:rsidRDefault="00083CD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Источник: Становление оборонно-промышленного комплекса СССР (1927-1932). М. 2008, стр. 539 (12526).</w:t>
      </w:r>
    </w:p>
    <w:p w14:paraId="32EB8661" w14:textId="77777777" w:rsidR="00083CD8" w:rsidRPr="005E779E" w:rsidRDefault="00083CD8" w:rsidP="000B7A6C">
      <w:pPr>
        <w:spacing w:after="0" w:line="240" w:lineRule="auto"/>
        <w:jc w:val="both"/>
        <w:rPr>
          <w:rFonts w:ascii="Times New Roman" w:hAnsi="Times New Roman"/>
          <w:color w:val="000000" w:themeColor="text1"/>
          <w:sz w:val="16"/>
          <w:szCs w:val="16"/>
        </w:rPr>
      </w:pPr>
    </w:p>
    <w:p w14:paraId="108EF761" w14:textId="77777777" w:rsidR="001209D1" w:rsidRPr="005E779E" w:rsidRDefault="001209D1" w:rsidP="000B7A6C">
      <w:pPr>
        <w:spacing w:after="0" w:line="240" w:lineRule="auto"/>
        <w:jc w:val="both"/>
        <w:rPr>
          <w:rFonts w:ascii="Times New Roman" w:eastAsia="TimesNewRoman" w:hAnsi="Times New Roman"/>
          <w:color w:val="000000" w:themeColor="text1"/>
          <w:sz w:val="16"/>
          <w:szCs w:val="16"/>
        </w:rPr>
      </w:pPr>
      <w:r w:rsidRPr="005E779E">
        <w:rPr>
          <w:rFonts w:ascii="Times New Roman" w:eastAsia="TimesNewRoman" w:hAnsi="Times New Roman"/>
          <w:color w:val="000000" w:themeColor="text1"/>
          <w:sz w:val="16"/>
          <w:szCs w:val="16"/>
        </w:rPr>
        <w:t>18 марта 1931 г. после обсуждения в Наркомате обороны (НКО) доклада о поездке в Италию, в Комитет Обороны (КО) Совета Народных Комисаров (СНК) СССР был представлен план заказов Управления Военно-Морских Сил (УВМС) в Италии [Там же, л. 272]: по торпедам – 45 комплектов с запчастями, полуфабрикатами, ящиками ключей – на сумму 1 374 400 руб.; по минам – антенные (50 шт.), буксируемые (5 шт.) и 2 трѐ</w:t>
      </w:r>
      <w:r w:rsidRPr="005E779E">
        <w:rPr>
          <w:rFonts w:ascii="Times New Roman" w:eastAsia="MS Mincho" w:hAnsi="Times New Roman"/>
          <w:color w:val="000000" w:themeColor="text1"/>
          <w:sz w:val="16"/>
          <w:szCs w:val="16"/>
        </w:rPr>
        <w:t>хтрубных</w:t>
      </w:r>
      <w:r w:rsidRPr="005E779E">
        <w:rPr>
          <w:rFonts w:ascii="Times New Roman" w:eastAsia="TimesNewRoman" w:hAnsi="Times New Roman"/>
          <w:color w:val="000000" w:themeColor="text1"/>
          <w:sz w:val="16"/>
          <w:szCs w:val="16"/>
        </w:rPr>
        <w:t xml:space="preserve"> торпедных аппарата системы завода Силурифичио – на сумму 426 тыс. руб.; по артиллерии – артиллерийские установки системы Минизини (16 орудийных установок), приборы центральной наводки системы Галилео (3 комплекта); механическая трубка для зенитного снаряда системы Галилео; регулятор «Факини» (10 комплектов); дальномеры стерео трехметровый и пятиметровый (10 шт.) – на сумму 2 270 000 руб. (зол.).</w:t>
      </w:r>
    </w:p>
    <w:p w14:paraId="57B50A4C" w14:textId="77777777" w:rsidR="001209D1" w:rsidRPr="005E779E" w:rsidRDefault="001209D1" w:rsidP="000B7A6C">
      <w:pPr>
        <w:spacing w:after="0" w:line="240" w:lineRule="auto"/>
        <w:jc w:val="both"/>
        <w:rPr>
          <w:rFonts w:ascii="Times New Roman" w:eastAsia="TimesNewRoman" w:hAnsi="Times New Roman"/>
          <w:color w:val="000000" w:themeColor="text1"/>
          <w:sz w:val="16"/>
          <w:szCs w:val="16"/>
        </w:rPr>
      </w:pPr>
      <w:r w:rsidRPr="005E779E">
        <w:rPr>
          <w:rFonts w:ascii="Times New Roman" w:eastAsia="TimesNewRoman" w:hAnsi="Times New Roman"/>
          <w:color w:val="000000" w:themeColor="text1"/>
          <w:sz w:val="16"/>
          <w:szCs w:val="16"/>
        </w:rPr>
        <w:t>Вместе с планом был представлен и проект Постановления КО СНК СССР, утверждающий данный план и определяющий основные мероприятия его реализации [Там же, л. 273]. Однако решение этого вопроса затягивалось, что вынудило Начальника МС Р. А. Муклевича обратиться с письмом к Генеральному секретарю ЦК ВКП(б) И. В. Сталину, в котором, он, вспоминая прошлогодний разговор о командировке группы моряков в Италию, докладывал, что группа под руководством А. К. Сивкова проработала два месяца, вернулась с богатым материалом и наблюдениями. «И действительно у итальянцев морская техника весьма высока. Как в кораблестроении, так и морском вооружении они ушли далеко вперѐ</w:t>
      </w:r>
      <w:r w:rsidRPr="005E779E">
        <w:rPr>
          <w:rFonts w:ascii="Times New Roman" w:eastAsia="MS Mincho" w:hAnsi="Times New Roman"/>
          <w:color w:val="000000" w:themeColor="text1"/>
          <w:sz w:val="16"/>
          <w:szCs w:val="16"/>
        </w:rPr>
        <w:t>д</w:t>
      </w:r>
      <w:r w:rsidRPr="005E779E">
        <w:rPr>
          <w:rFonts w:ascii="Times New Roman" w:eastAsia="TimesNewRoman" w:hAnsi="Times New Roman"/>
          <w:color w:val="000000" w:themeColor="text1"/>
          <w:sz w:val="16"/>
          <w:szCs w:val="16"/>
        </w:rPr>
        <w:t>. На фоне итальянских достижений особенно ―бросается в глаза‖ наша отсталость по торпедам, зенитной артиллерии, специальным снарядам и приборам управления огнѐ</w:t>
      </w:r>
      <w:r w:rsidRPr="005E779E">
        <w:rPr>
          <w:rFonts w:ascii="Times New Roman" w:eastAsia="MS Mincho" w:hAnsi="Times New Roman"/>
          <w:color w:val="000000" w:themeColor="text1"/>
          <w:sz w:val="16"/>
          <w:szCs w:val="16"/>
        </w:rPr>
        <w:t>м</w:t>
      </w:r>
      <w:r w:rsidRPr="005E779E">
        <w:rPr>
          <w:rFonts w:ascii="Times New Roman" w:eastAsia="TimesNewRoman" w:hAnsi="Times New Roman"/>
          <w:color w:val="000000" w:themeColor="text1"/>
          <w:sz w:val="16"/>
          <w:szCs w:val="16"/>
        </w:rPr>
        <w:t>. После возвращения т. Сивков составил и представил точную заявку на необходимые заказы для морского флота. Вышло Постановление Политбюро о том, чтобы дать необходимые контингенты для этих заказов; тем не менее, вопрос окончательного решения не получил и ―повис в воздухе.</w:t>
      </w:r>
    </w:p>
    <w:p w14:paraId="5758D914" w14:textId="77777777" w:rsidR="001209D1" w:rsidRPr="005E779E" w:rsidRDefault="001209D1" w:rsidP="000B7A6C">
      <w:pPr>
        <w:spacing w:after="0" w:line="240" w:lineRule="auto"/>
        <w:jc w:val="both"/>
        <w:rPr>
          <w:rFonts w:ascii="Times New Roman" w:eastAsia="TimesNewRoman" w:hAnsi="Times New Roman"/>
          <w:color w:val="000000" w:themeColor="text1"/>
          <w:sz w:val="16"/>
          <w:szCs w:val="16"/>
        </w:rPr>
      </w:pPr>
      <w:r w:rsidRPr="005E779E">
        <w:rPr>
          <w:rFonts w:ascii="Times New Roman" w:eastAsia="TimesNewRoman" w:hAnsi="Times New Roman"/>
          <w:color w:val="000000" w:themeColor="text1"/>
          <w:sz w:val="16"/>
          <w:szCs w:val="16"/>
        </w:rPr>
        <w:t>Время идѐ</w:t>
      </w:r>
      <w:r w:rsidRPr="005E779E">
        <w:rPr>
          <w:rFonts w:ascii="Times New Roman" w:eastAsia="MS Mincho" w:hAnsi="Times New Roman"/>
          <w:color w:val="000000" w:themeColor="text1"/>
          <w:sz w:val="16"/>
          <w:szCs w:val="16"/>
        </w:rPr>
        <w:t>т</w:t>
      </w:r>
      <w:r w:rsidRPr="005E779E">
        <w:rPr>
          <w:rFonts w:ascii="Times New Roman" w:eastAsia="TimesNewRoman" w:hAnsi="Times New Roman"/>
          <w:color w:val="000000" w:themeColor="text1"/>
          <w:sz w:val="16"/>
          <w:szCs w:val="16"/>
        </w:rPr>
        <w:t>, хороших торпед и зенитной артиллерии у нас нет, промышленность наша безуспешно бьется над решением тех задач, которые за границей давно уже решены. Давая указания о поездке наших специалистов в Италию в августе прошлого года, Вы придавали огромное значение нашим связям с итальянцами именно по морской линии, говорили даже о возможности заказа крейсера, теперь это дело застопорилось, боюсь, что Вы об этом не знаете. Докладываю и прошу Вашего личного вмешательства» [Там же, л. 274-275] (12701).</w:t>
      </w:r>
    </w:p>
    <w:p w14:paraId="068CBB72" w14:textId="77777777" w:rsidR="001209D1" w:rsidRPr="005E779E" w:rsidRDefault="001209D1" w:rsidP="000B7A6C">
      <w:pPr>
        <w:spacing w:after="0" w:line="240" w:lineRule="auto"/>
        <w:jc w:val="both"/>
        <w:rPr>
          <w:rFonts w:ascii="Times New Roman" w:eastAsia="TimesNewRoman" w:hAnsi="Times New Roman"/>
          <w:color w:val="000000" w:themeColor="text1"/>
          <w:sz w:val="16"/>
          <w:szCs w:val="16"/>
        </w:rPr>
      </w:pPr>
    </w:p>
    <w:p w14:paraId="5FFFBC75"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марта 1931 г. в Комитет Обороны (КО) Совета Народных Комисаров (СНК) СССР был представлен план заказов Управления Военно-Морских Сил (УВМС) в Италии [Там же, л. 272]: по торпедам – 45 комплектов с запчастями, полуфабрикатами, ящиками ключей – на сумму 1 374 400 руб.; по минам – антенные (50 шт.), буксируемые (5 шт.) и 2 трѐхтрубных торпедных аппарата системы завода Силурифичио – на сумму 426 тыс. руб.; по артиллерии – артиллерийские установки системы Минизини (16 орудийных установок), приборы центральной наводки системы Галилео (3 комплекта); механическая трубка для зенитного снаряда системы Галилео; регулятор «Факини» (10 комплектов); дальномеры стерео трехметровый и пятиметровый (10 шт.) – на сумму 2 270 000 руб. (зол.).</w:t>
      </w:r>
    </w:p>
    <w:p w14:paraId="70EDCF9C"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Вместе с планом был представлен и проект Постановления КО СНК СССР, утверждающий данный план и определяющий основные мероприятия его реализации [Там же, л. 273]. Однако решение этого вопроса затягивалось, что вынудило Начальника МС Р. А. Муклевича обратиться с письмом к Генеральному секретарю ЦК ВКП(б) И. В. Сталину, в котором, он, вспоминая прошлогодний разговор о командировке группы моряков в Италию, докладывал, что группа под руководством А. К. Сивкова проработала два месяца, вернулась с богатым материалом и наблюдениями. «И действительно у итальянцев морская техника весьма высока. Как в кораблестроении, так и морском вооружении они ушли далеко вперѐд. На фоне итальянских достижений особенно ―бросается в глаза‖ наша отсталость по торпедам, зенитной артиллерии, специальным снарядам и приборам управления огнѐм. После возвращения т. Сивков составил и представил точную заявку на необходимые заказы для морского флота. Вышло Постановление Политбюро о том, чтобы дать необходимые контингенты для этих заказов; тем не менее, вопрос окончательного решения не получил и ―опвис в воздухе‖. Время идѐт, хороших торпед и зенитной артиллерии у нас нет, промышленность наша безуспешно бьется над решением тех задач, которые за границей давно уже решены. Давая указания о поездке наших специалистов в Италию в августе прошлого года, Вы придавали огромное значение нашим связям с итальянцами именно по морской линии, говорили даже о возможности заказа крейсера, теперь это дело застопорилось, боюсь, что Вы об этом не знаете. Докладываю и прошу Вашего личного вмешательства» [Там же, л. 274-275].</w:t>
      </w:r>
    </w:p>
    <w:p w14:paraId="6E427E38"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Данное письмо тут же возымело действие, 5 апреля 1931 г. вышло Постановление КО СНК «Разрешить вести переговоры о заказе в Италии вооружения (торпед, зенитной артиллерии и приборов управления огнѐм).</w:t>
      </w:r>
    </w:p>
    <w:p w14:paraId="07F10F93"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Сумму определить 4.000.000 руб. сверх существующих контингентов» [Там же, л. 276].</w:t>
      </w:r>
    </w:p>
    <w:p w14:paraId="45EF3D2A"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Закупки морских вооружений велись в соответствии с заключенными договорами. (18258).</w:t>
      </w:r>
    </w:p>
    <w:p w14:paraId="060A4808" w14:textId="77777777" w:rsidR="00E65C7F" w:rsidRPr="005E779E" w:rsidRDefault="00E65C7F" w:rsidP="000B7A6C">
      <w:pPr>
        <w:spacing w:after="0" w:line="240" w:lineRule="auto"/>
        <w:jc w:val="both"/>
        <w:rPr>
          <w:rFonts w:ascii="Times New Roman" w:hAnsi="Times New Roman"/>
          <w:color w:val="000000" w:themeColor="text1"/>
          <w:sz w:val="16"/>
          <w:szCs w:val="16"/>
        </w:rPr>
      </w:pPr>
    </w:p>
    <w:p w14:paraId="10A2BF33" w14:textId="03F80FB0" w:rsidR="000F1D6E" w:rsidRPr="005E779E" w:rsidRDefault="000F1D6E" w:rsidP="000B7A6C">
      <w:pPr>
        <w:autoSpaceDE w:val="0"/>
        <w:autoSpaceDN w:val="0"/>
        <w:adjustRightInd w:val="0"/>
        <w:spacing w:after="0" w:line="240" w:lineRule="auto"/>
        <w:jc w:val="both"/>
        <w:rPr>
          <w:rFonts w:ascii="Times New Roman" w:hAnsi="Times New Roman"/>
          <w:i/>
          <w:color w:val="000000" w:themeColor="text1"/>
          <w:sz w:val="16"/>
          <w:szCs w:val="16"/>
        </w:rPr>
      </w:pPr>
      <w:r w:rsidRPr="005E779E">
        <w:rPr>
          <w:rFonts w:ascii="Times New Roman" w:hAnsi="Times New Roman"/>
          <w:i/>
          <w:color w:val="000000" w:themeColor="text1"/>
          <w:sz w:val="16"/>
          <w:szCs w:val="16"/>
        </w:rPr>
        <w:t>Внешняя политика:</w:t>
      </w:r>
    </w:p>
    <w:p w14:paraId="2F1ADDBA" w14:textId="77777777" w:rsidR="000F1D6E" w:rsidRPr="005E779E" w:rsidRDefault="000F1D6E" w:rsidP="000B7A6C">
      <w:pPr>
        <w:autoSpaceDE w:val="0"/>
        <w:autoSpaceDN w:val="0"/>
        <w:adjustRightInd w:val="0"/>
        <w:spacing w:after="0" w:line="240" w:lineRule="auto"/>
        <w:jc w:val="both"/>
        <w:rPr>
          <w:rFonts w:ascii="Times New Roman" w:hAnsi="Times New Roman"/>
          <w:i/>
          <w:color w:val="000000" w:themeColor="text1"/>
          <w:sz w:val="16"/>
          <w:szCs w:val="16"/>
        </w:rPr>
      </w:pPr>
    </w:p>
    <w:p w14:paraId="00D9E9AB" w14:textId="77777777" w:rsidR="00E65C7F" w:rsidRPr="005E779E" w:rsidRDefault="00E65C7F"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18 марта 1931 г.</w:t>
      </w:r>
    </w:p>
    <w:p w14:paraId="42E5FB38" w14:textId="77777777" w:rsidR="00E65C7F" w:rsidRPr="005E779E" w:rsidRDefault="00E65C7F"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Из протокола № 4 заседания Агитпропотдела Исполкома Коминтерна «Об интернациональном радиовещании». 18 марта 1931 г.</w:t>
      </w:r>
    </w:p>
    <w:p w14:paraId="0BE372BB" w14:textId="77777777" w:rsidR="00E65C7F" w:rsidRPr="005E779E" w:rsidRDefault="00E65C7F"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Источник: </w:t>
      </w:r>
    </w:p>
    <w:p w14:paraId="2FB537A4"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62461E6" w14:textId="77777777" w:rsidR="00E65C7F" w:rsidRPr="005E779E" w:rsidRDefault="00E65C7F"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Архив: </w:t>
      </w:r>
    </w:p>
    <w:p w14:paraId="4CCC8DCB"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РГАСПИ. Ф. 495. On. 30. Д. 706. Л. 128-129</w:t>
      </w:r>
    </w:p>
    <w:p w14:paraId="5E688B65" w14:textId="77777777" w:rsidR="00E65C7F" w:rsidRPr="005E779E" w:rsidRDefault="00E65C7F" w:rsidP="000B7A6C">
      <w:pPr>
        <w:pStyle w:val="rteright"/>
        <w:spacing w:before="0" w:after="0"/>
        <w:jc w:val="both"/>
        <w:rPr>
          <w:color w:val="000000" w:themeColor="text1"/>
          <w:sz w:val="16"/>
          <w:szCs w:val="16"/>
        </w:rPr>
      </w:pPr>
      <w:r w:rsidRPr="005E779E">
        <w:rPr>
          <w:color w:val="000000" w:themeColor="text1"/>
          <w:sz w:val="16"/>
          <w:szCs w:val="16"/>
        </w:rPr>
        <w:t>18 марта 1931 г.</w:t>
      </w:r>
    </w:p>
    <w:p w14:paraId="6BB89C0C" w14:textId="77777777" w:rsidR="00E65C7F" w:rsidRPr="005E779E" w:rsidRDefault="00E65C7F" w:rsidP="000B7A6C">
      <w:pPr>
        <w:pStyle w:val="rteright"/>
        <w:spacing w:before="0" w:after="0"/>
        <w:jc w:val="both"/>
        <w:rPr>
          <w:color w:val="000000" w:themeColor="text1"/>
          <w:sz w:val="16"/>
          <w:szCs w:val="16"/>
        </w:rPr>
      </w:pPr>
      <w:r w:rsidRPr="005E779E">
        <w:rPr>
          <w:color w:val="000000" w:themeColor="text1"/>
          <w:sz w:val="16"/>
          <w:szCs w:val="16"/>
        </w:rPr>
        <w:t>Секретно</w:t>
      </w:r>
    </w:p>
    <w:p w14:paraId="244769F4" w14:textId="77777777" w:rsidR="00E65C7F" w:rsidRPr="005E779E" w:rsidRDefault="00E65C7F" w:rsidP="000B7A6C">
      <w:pPr>
        <w:pStyle w:val="ae"/>
        <w:spacing w:before="0" w:after="0"/>
        <w:jc w:val="both"/>
        <w:rPr>
          <w:color w:val="000000" w:themeColor="text1"/>
          <w:sz w:val="16"/>
          <w:szCs w:val="16"/>
        </w:rPr>
      </w:pPr>
      <w:r w:rsidRPr="005E779E">
        <w:rPr>
          <w:color w:val="000000" w:themeColor="text1"/>
          <w:sz w:val="16"/>
          <w:szCs w:val="16"/>
        </w:rPr>
        <w:t>ПРОТОКОЛ № 4</w:t>
      </w:r>
    </w:p>
    <w:p w14:paraId="62B87733" w14:textId="77777777" w:rsidR="00E65C7F" w:rsidRPr="005E779E" w:rsidRDefault="00E65C7F" w:rsidP="000B7A6C">
      <w:pPr>
        <w:pStyle w:val="ae"/>
        <w:spacing w:before="0" w:after="0"/>
        <w:jc w:val="both"/>
        <w:rPr>
          <w:color w:val="000000" w:themeColor="text1"/>
          <w:sz w:val="16"/>
          <w:szCs w:val="16"/>
        </w:rPr>
      </w:pPr>
      <w:r w:rsidRPr="005E779E">
        <w:rPr>
          <w:color w:val="000000" w:themeColor="text1"/>
          <w:sz w:val="16"/>
          <w:szCs w:val="16"/>
        </w:rPr>
        <w:t>Заседания Агитпропа ИККИ от 18 марта 1931 г.</w:t>
      </w:r>
    </w:p>
    <w:p w14:paraId="59C1DD41" w14:textId="77777777" w:rsidR="00E65C7F" w:rsidRPr="005E779E" w:rsidRDefault="00E65C7F" w:rsidP="000B7A6C">
      <w:pPr>
        <w:pStyle w:val="rtejustify"/>
        <w:spacing w:before="0" w:after="0"/>
        <w:rPr>
          <w:color w:val="000000" w:themeColor="text1"/>
          <w:sz w:val="16"/>
          <w:szCs w:val="16"/>
        </w:rPr>
      </w:pPr>
      <w:r w:rsidRPr="005E779E">
        <w:rPr>
          <w:color w:val="000000" w:themeColor="text1"/>
          <w:sz w:val="16"/>
          <w:szCs w:val="16"/>
        </w:rPr>
        <w:t>Присутствовали: т.т. Гопнер, Чернин, Благоева, Фогараши, Аренс (НКИД), Потехин (НКПиТ), Аплетин (Профинтерн), Фрумкина и Хейфец (Радиовещание ВЦСПС), Сиротинский, Шутко (Агитмасс ЦК ВКПб), Ценк, Добросельская.</w:t>
      </w:r>
    </w:p>
    <w:p w14:paraId="7D51FEDF" w14:textId="77777777" w:rsidR="00E65C7F" w:rsidRPr="005E779E" w:rsidRDefault="00E65C7F" w:rsidP="000B7A6C">
      <w:pPr>
        <w:pStyle w:val="rtecenter"/>
        <w:spacing w:before="0" w:after="0"/>
        <w:jc w:val="both"/>
        <w:rPr>
          <w:color w:val="000000" w:themeColor="text1"/>
          <w:sz w:val="16"/>
          <w:szCs w:val="16"/>
        </w:rPr>
      </w:pPr>
      <w:r w:rsidRPr="005E779E">
        <w:rPr>
          <w:color w:val="000000" w:themeColor="text1"/>
          <w:sz w:val="16"/>
          <w:szCs w:val="16"/>
        </w:rPr>
        <w:t>Повестка дня:</w:t>
      </w:r>
    </w:p>
    <w:p w14:paraId="4DAB9F4E" w14:textId="77777777" w:rsidR="00E65C7F" w:rsidRPr="005E779E" w:rsidRDefault="00E65C7F" w:rsidP="000B7A6C">
      <w:pPr>
        <w:pStyle w:val="rtejustify"/>
        <w:spacing w:before="0" w:after="0"/>
        <w:rPr>
          <w:color w:val="000000" w:themeColor="text1"/>
          <w:sz w:val="16"/>
          <w:szCs w:val="16"/>
        </w:rPr>
      </w:pPr>
      <w:r w:rsidRPr="005E779E">
        <w:rPr>
          <w:color w:val="000000" w:themeColor="text1"/>
          <w:sz w:val="16"/>
          <w:szCs w:val="16"/>
        </w:rPr>
        <w:t>1. Об интернациональном радиовещании.</w:t>
      </w:r>
    </w:p>
    <w:p w14:paraId="4C0B5B90" w14:textId="77777777" w:rsidR="00E65C7F" w:rsidRPr="005E779E" w:rsidRDefault="00E65C7F" w:rsidP="000B7A6C">
      <w:pPr>
        <w:pStyle w:val="rtejustify"/>
        <w:spacing w:before="0" w:after="0"/>
        <w:rPr>
          <w:color w:val="000000" w:themeColor="text1"/>
          <w:sz w:val="16"/>
          <w:szCs w:val="16"/>
        </w:rPr>
      </w:pPr>
      <w:r w:rsidRPr="005E779E">
        <w:rPr>
          <w:color w:val="000000" w:themeColor="text1"/>
          <w:sz w:val="16"/>
          <w:szCs w:val="16"/>
        </w:rPr>
        <w:t>СЛУШАЛИ:</w:t>
      </w:r>
    </w:p>
    <w:p w14:paraId="6AC47030" w14:textId="77777777" w:rsidR="00E65C7F" w:rsidRPr="005E779E" w:rsidRDefault="00E65C7F" w:rsidP="000B7A6C">
      <w:pPr>
        <w:pStyle w:val="rtejustify"/>
        <w:spacing w:before="0" w:after="0"/>
        <w:rPr>
          <w:color w:val="000000" w:themeColor="text1"/>
          <w:sz w:val="16"/>
          <w:szCs w:val="16"/>
        </w:rPr>
      </w:pPr>
      <w:r w:rsidRPr="005E779E">
        <w:rPr>
          <w:color w:val="000000" w:themeColor="text1"/>
          <w:sz w:val="16"/>
          <w:szCs w:val="16"/>
        </w:rPr>
        <w:t>Тов. ГОПНЕР говорит, что целью сегодняшнего заседания является большее, чем до сих пор привлечение внимания радиовещанию. До сих пор партии даже мало знают об этом радиовещании. Надо проверить сегодня пройденный путь и наметить будущий, найти метод для более широкого распространения радио за границей.</w:t>
      </w:r>
    </w:p>
    <w:p w14:paraId="0D10C937" w14:textId="77777777" w:rsidR="00E65C7F" w:rsidRPr="005E779E" w:rsidRDefault="00E65C7F" w:rsidP="000B7A6C">
      <w:pPr>
        <w:pStyle w:val="rtejustify"/>
        <w:spacing w:before="0" w:after="0"/>
        <w:rPr>
          <w:color w:val="000000" w:themeColor="text1"/>
          <w:sz w:val="16"/>
          <w:szCs w:val="16"/>
        </w:rPr>
      </w:pPr>
      <w:r w:rsidRPr="005E779E">
        <w:rPr>
          <w:color w:val="000000" w:themeColor="text1"/>
          <w:sz w:val="16"/>
          <w:szCs w:val="16"/>
        </w:rPr>
        <w:t>ФРУМКИНА. Радиовещание ВЦСПС формально существует с ноября, фактически меньше, т. к. первое время работали только на немецк[ом] яз., а потом вообще был перерыв. Чтобы иметь представление о том, как быстро увеличивается количество слушателей за границей, достаточно привести количество писем, полученных нами: в ноябре мы получили 45 писем, в декабре — 450, в феврале — 707, в январе — 850 и в первой половине марта — 600.</w:t>
      </w:r>
    </w:p>
    <w:p w14:paraId="58040C7C" w14:textId="77777777" w:rsidR="00E65C7F" w:rsidRPr="005E779E" w:rsidRDefault="00E65C7F" w:rsidP="000B7A6C">
      <w:pPr>
        <w:pStyle w:val="rtejustify"/>
        <w:spacing w:before="0" w:after="0"/>
        <w:rPr>
          <w:color w:val="000000" w:themeColor="text1"/>
          <w:sz w:val="16"/>
          <w:szCs w:val="16"/>
        </w:rPr>
      </w:pPr>
      <w:r w:rsidRPr="005E779E">
        <w:rPr>
          <w:color w:val="000000" w:themeColor="text1"/>
          <w:sz w:val="16"/>
          <w:szCs w:val="16"/>
        </w:rPr>
        <w:t>Мы отвечаем на все письма, прилагаем к ним нашу программу и анкеты; из последних видно, что часто нас слушают целые районы. В одном письме нам пишут, что к ним приезжают за 30 километров, остаются у них ночевать на полу, чтобы слушать СССР (Германия). Наша программа дается не шаблонно, а к каждой дается вступительное слово. Наши программы мы помещаем в наших газетах и журналах. В Германии слышимость прекрасная, во Франции слабеет, т. к. нас заглушает Мотал — шведская станция, потому нас могут слушать лишь на дорогом аппарате.</w:t>
      </w:r>
    </w:p>
    <w:p w14:paraId="2E5FD228" w14:textId="77777777" w:rsidR="00E65C7F" w:rsidRPr="005E779E" w:rsidRDefault="00E65C7F" w:rsidP="000B7A6C">
      <w:pPr>
        <w:pStyle w:val="rtejustify"/>
        <w:spacing w:before="0" w:after="0"/>
        <w:rPr>
          <w:color w:val="000000" w:themeColor="text1"/>
          <w:sz w:val="16"/>
          <w:szCs w:val="16"/>
        </w:rPr>
      </w:pPr>
      <w:r w:rsidRPr="005E779E">
        <w:rPr>
          <w:color w:val="000000" w:themeColor="text1"/>
          <w:sz w:val="16"/>
          <w:szCs w:val="16"/>
        </w:rPr>
        <w:t>Англия — значительно увеличилось количество писем. [«]Дейли Воркер[»] помещает наши программы и приглашает желающих для коллективного слушания.</w:t>
      </w:r>
    </w:p>
    <w:p w14:paraId="2D0E0B98" w14:textId="77777777" w:rsidR="00E65C7F" w:rsidRPr="005E779E" w:rsidRDefault="00E65C7F" w:rsidP="000B7A6C">
      <w:pPr>
        <w:pStyle w:val="rtejustify"/>
        <w:spacing w:before="0" w:after="0"/>
        <w:rPr>
          <w:color w:val="000000" w:themeColor="text1"/>
          <w:sz w:val="16"/>
          <w:szCs w:val="16"/>
        </w:rPr>
      </w:pPr>
      <w:r w:rsidRPr="005E779E">
        <w:rPr>
          <w:color w:val="000000" w:themeColor="text1"/>
          <w:sz w:val="16"/>
          <w:szCs w:val="16"/>
        </w:rPr>
        <w:t>[«]Юманите[»] — тоже печатает наши программы и часто приглашает слушать СССР таким образом: «Москву собираются заглушать, проверяйте, если это верно — протестуйте» и т. д.</w:t>
      </w:r>
    </w:p>
    <w:p w14:paraId="0EDF8F80" w14:textId="77777777" w:rsidR="00E65C7F" w:rsidRPr="005E779E" w:rsidRDefault="00E65C7F" w:rsidP="000B7A6C">
      <w:pPr>
        <w:pStyle w:val="rtejustify"/>
        <w:spacing w:before="0" w:after="0"/>
        <w:rPr>
          <w:color w:val="000000" w:themeColor="text1"/>
          <w:sz w:val="16"/>
          <w:szCs w:val="16"/>
        </w:rPr>
      </w:pPr>
      <w:r w:rsidRPr="005E779E">
        <w:rPr>
          <w:color w:val="000000" w:themeColor="text1"/>
          <w:sz w:val="16"/>
          <w:szCs w:val="16"/>
        </w:rPr>
        <w:t>Как применяться к слушателям? На эту тему были споры — что лучше давать. В письмах больше всего просят доклады, это для них самое интересное. От времени до времени необходимо давать и литературные вечера.</w:t>
      </w:r>
    </w:p>
    <w:p w14:paraId="3190EDB4" w14:textId="77777777" w:rsidR="00E65C7F" w:rsidRPr="005E779E" w:rsidRDefault="00E65C7F" w:rsidP="000B7A6C">
      <w:pPr>
        <w:pStyle w:val="rtejustify"/>
        <w:spacing w:before="0" w:after="0"/>
        <w:rPr>
          <w:color w:val="000000" w:themeColor="text1"/>
          <w:sz w:val="16"/>
          <w:szCs w:val="16"/>
        </w:rPr>
      </w:pPr>
      <w:r w:rsidRPr="005E779E">
        <w:rPr>
          <w:color w:val="000000" w:themeColor="text1"/>
          <w:sz w:val="16"/>
          <w:szCs w:val="16"/>
        </w:rPr>
        <w:t>Недочетом в нашей работе является узость тем: есть масса запросов со стороны слушателей, но НКИД запрещает, и это отражается на работе. Нам запрещено полемизировать, нам присылают запросы, нам запрещено на них отвечать. Индивидуальные просьбы передаем в КВС. Бывают и провокационного характера письма.</w:t>
      </w:r>
    </w:p>
    <w:p w14:paraId="1FFBE1D1" w14:textId="77777777" w:rsidR="00E65C7F" w:rsidRPr="005E779E" w:rsidRDefault="00E65C7F" w:rsidP="000B7A6C">
      <w:pPr>
        <w:pStyle w:val="rtejustify"/>
        <w:spacing w:before="0" w:after="0"/>
        <w:rPr>
          <w:color w:val="000000" w:themeColor="text1"/>
          <w:sz w:val="16"/>
          <w:szCs w:val="16"/>
        </w:rPr>
      </w:pPr>
      <w:r w:rsidRPr="005E779E">
        <w:rPr>
          <w:color w:val="000000" w:themeColor="text1"/>
          <w:sz w:val="16"/>
          <w:szCs w:val="16"/>
        </w:rPr>
        <w:t>Мы даем почтовый ящик, который стенографируется и печатается в наших радио-газетах, иногда даже в фаб[рично-]зав[одских] газетах (Германия).</w:t>
      </w:r>
    </w:p>
    <w:p w14:paraId="1D12D716" w14:textId="77777777" w:rsidR="00E65C7F" w:rsidRPr="005E779E" w:rsidRDefault="00E65C7F" w:rsidP="000B7A6C">
      <w:pPr>
        <w:pStyle w:val="rtejustify"/>
        <w:spacing w:before="0" w:after="0"/>
        <w:rPr>
          <w:color w:val="000000" w:themeColor="text1"/>
          <w:sz w:val="16"/>
          <w:szCs w:val="16"/>
        </w:rPr>
      </w:pPr>
      <w:r w:rsidRPr="005E779E">
        <w:rPr>
          <w:color w:val="000000" w:themeColor="text1"/>
          <w:sz w:val="16"/>
          <w:szCs w:val="16"/>
        </w:rPr>
        <w:t>Провинциальные станции. Вещают на иностранных языках: Хабаровск, Одесса, Ленинград.</w:t>
      </w:r>
    </w:p>
    <w:p w14:paraId="76D21765" w14:textId="77777777" w:rsidR="00E65C7F" w:rsidRPr="005E779E" w:rsidRDefault="00E65C7F" w:rsidP="000B7A6C">
      <w:pPr>
        <w:pStyle w:val="rtejustify"/>
        <w:spacing w:before="0" w:after="0"/>
        <w:rPr>
          <w:color w:val="000000" w:themeColor="text1"/>
          <w:sz w:val="16"/>
          <w:szCs w:val="16"/>
        </w:rPr>
      </w:pPr>
      <w:r w:rsidRPr="005E779E">
        <w:rPr>
          <w:color w:val="000000" w:themeColor="text1"/>
          <w:sz w:val="16"/>
          <w:szCs w:val="16"/>
        </w:rPr>
        <w:lastRenderedPageBreak/>
        <w:t>Большую помощь оказывает Лен&lt;инская&gt; школа: выделила работников, которые помогают составлять программы и т. д. Плохо обстоит с английской секцией в МЛШ, необходимо назначить ответственного руководителя.</w:t>
      </w:r>
    </w:p>
    <w:p w14:paraId="74D86491" w14:textId="77777777" w:rsidR="00E65C7F" w:rsidRPr="005E779E" w:rsidRDefault="00E65C7F" w:rsidP="000B7A6C">
      <w:pPr>
        <w:pStyle w:val="rtejustify"/>
        <w:spacing w:before="0" w:after="0"/>
        <w:rPr>
          <w:color w:val="000000" w:themeColor="text1"/>
          <w:sz w:val="16"/>
          <w:szCs w:val="16"/>
        </w:rPr>
      </w:pPr>
      <w:r w:rsidRPr="005E779E">
        <w:rPr>
          <w:color w:val="000000" w:themeColor="text1"/>
          <w:sz w:val="16"/>
          <w:szCs w:val="16"/>
        </w:rPr>
        <w:t>Метод слушания у слушателей различный: у немцев, гл. обр., коллективный, коллективное слушание через рабочие радио-организации, тут же дискуссия или кино об СССР. Это делают не партии, а рабочие организации по своей инициативе. То же во Франции и в Англии.</w:t>
      </w:r>
    </w:p>
    <w:p w14:paraId="2C96F7A7" w14:textId="77777777" w:rsidR="00E65C7F" w:rsidRPr="005E779E" w:rsidRDefault="00E65C7F" w:rsidP="000B7A6C">
      <w:pPr>
        <w:pStyle w:val="rtejustify"/>
        <w:spacing w:before="0" w:after="0"/>
        <w:rPr>
          <w:color w:val="000000" w:themeColor="text1"/>
          <w:sz w:val="16"/>
          <w:szCs w:val="16"/>
        </w:rPr>
      </w:pPr>
      <w:r w:rsidRPr="005E779E">
        <w:rPr>
          <w:color w:val="000000" w:themeColor="text1"/>
          <w:sz w:val="16"/>
          <w:szCs w:val="16"/>
        </w:rPr>
        <w:t>В работе нам нужна большая, чем до сих пор помощь: сейчас для нас мало пишут, с трудом достаем доклады. В аппарате радиостанции практически работают два человека, так что до сих пор нет и некому вести более глубокий анализ писем.</w:t>
      </w:r>
    </w:p>
    <w:p w14:paraId="36A78794" w14:textId="77777777" w:rsidR="00E65C7F" w:rsidRPr="005E779E" w:rsidRDefault="00E65C7F" w:rsidP="000B7A6C">
      <w:pPr>
        <w:pStyle w:val="rtejustify"/>
        <w:spacing w:before="0" w:after="0"/>
        <w:rPr>
          <w:color w:val="000000" w:themeColor="text1"/>
          <w:sz w:val="16"/>
          <w:szCs w:val="16"/>
        </w:rPr>
      </w:pPr>
      <w:r w:rsidRPr="005E779E">
        <w:rPr>
          <w:color w:val="000000" w:themeColor="text1"/>
          <w:sz w:val="16"/>
          <w:szCs w:val="16"/>
        </w:rPr>
        <w:t>ЧЕРНИН. О слушателях надо судить не только по письмам. Напр., нас хорошо слушают лимитрофы, но оттуда не пишут. Из Швейцарии мало пишут, но слушают нас много. Напр., 7.XI в Базеле и Цюрихе наняли специальные залы для слушания, прошло удачно. Радио имеет особенное значение для стран, слабо охваченных коммунистической прессой.</w:t>
      </w:r>
    </w:p>
    <w:p w14:paraId="5408FE4C" w14:textId="77777777" w:rsidR="00E65C7F" w:rsidRPr="005E779E" w:rsidRDefault="00E65C7F" w:rsidP="000B7A6C">
      <w:pPr>
        <w:pStyle w:val="rtejustify"/>
        <w:spacing w:before="0" w:after="0"/>
        <w:rPr>
          <w:color w:val="000000" w:themeColor="text1"/>
          <w:sz w:val="16"/>
          <w:szCs w:val="16"/>
        </w:rPr>
      </w:pPr>
      <w:r w:rsidRPr="005E779E">
        <w:rPr>
          <w:color w:val="000000" w:themeColor="text1"/>
          <w:sz w:val="16"/>
          <w:szCs w:val="16"/>
        </w:rPr>
        <w:t>Процесс меньшевиков освещался слабо. Немецкую передачу надо давать каждый день, французскую и английскую не меньше, чем через день, сейчас передача недостаточна. О содержании передач: мы проявляем чрезмерную скромность, необходимо расширить рамки. Первое время не решались передавать ни на каком другом языке, как только на немецком, теперь передаем на всех основных языках и никаких особых осложнений еще не было. Если мы вещаем для немцев Поволжья об АССР, то почему им нельзя говорить о Китае или другой стране. Надо перейти в наступление и покончить с нашей чрезмерной скромностью.</w:t>
      </w:r>
    </w:p>
    <w:p w14:paraId="78109906" w14:textId="77777777" w:rsidR="00E65C7F" w:rsidRPr="005E779E" w:rsidRDefault="00E65C7F" w:rsidP="000B7A6C">
      <w:pPr>
        <w:pStyle w:val="rtejustify"/>
        <w:spacing w:before="0" w:after="0"/>
        <w:rPr>
          <w:color w:val="000000" w:themeColor="text1"/>
          <w:sz w:val="16"/>
          <w:szCs w:val="16"/>
        </w:rPr>
      </w:pPr>
      <w:r w:rsidRPr="005E779E">
        <w:rPr>
          <w:color w:val="000000" w:themeColor="text1"/>
          <w:sz w:val="16"/>
          <w:szCs w:val="16"/>
        </w:rPr>
        <w:t>Как давать? Есть интересная бумажка из НКПиТ о том, что он рекомендует передавать концерты, вклинивая в них политические информации. Это тогда, как масса писем просит давать побольше докладов. Тов. Чернин предлагает составить комиссию из представителя НКИД, ИККИ и НКПиТ.</w:t>
      </w:r>
    </w:p>
    <w:p w14:paraId="2FCB7F34" w14:textId="77777777" w:rsidR="00E65C7F" w:rsidRPr="005E779E" w:rsidRDefault="00E65C7F" w:rsidP="000B7A6C">
      <w:pPr>
        <w:pStyle w:val="rtejustify"/>
        <w:spacing w:before="0" w:after="0"/>
        <w:rPr>
          <w:color w:val="000000" w:themeColor="text1"/>
          <w:sz w:val="16"/>
          <w:szCs w:val="16"/>
        </w:rPr>
      </w:pPr>
      <w:r w:rsidRPr="005E779E">
        <w:rPr>
          <w:color w:val="000000" w:themeColor="text1"/>
          <w:sz w:val="16"/>
          <w:szCs w:val="16"/>
        </w:rPr>
        <w:t>АРЕНС (НКИД).</w:t>
      </w:r>
    </w:p>
    <w:p w14:paraId="2CDBC9D4" w14:textId="77777777" w:rsidR="00E65C7F" w:rsidRPr="005E779E" w:rsidRDefault="00E65C7F" w:rsidP="000B7A6C">
      <w:pPr>
        <w:pStyle w:val="rtejustify"/>
        <w:spacing w:before="0" w:after="0"/>
        <w:rPr>
          <w:color w:val="000000" w:themeColor="text1"/>
          <w:sz w:val="16"/>
          <w:szCs w:val="16"/>
        </w:rPr>
      </w:pPr>
      <w:r w:rsidRPr="005E779E">
        <w:rPr>
          <w:color w:val="000000" w:themeColor="text1"/>
          <w:sz w:val="16"/>
          <w:szCs w:val="16"/>
        </w:rPr>
        <w:t>Есть директива — никакой пропаганды. Есть возможность наступления — это освещение нашей пятилетки, это достаточно. Если англичане прислали ноту по поводу статьи Горького, то это не говорит ничего хорошего. Они ведут провокацию: поступают протесты по передачам, которых мы не давали. Они знают, что на этом вопросе могут отыграться. Мы не должны давать им карты в руки. Напр., разоружение мы считаем комедией, а передавать это по эфиру мы не можем. В Венгрию можно передавать, в Румынию тоже все, что угодно. Качество передач надо улучшить, но переступить нашу линию мы не можем. Пользы от предлагаемой Черниным комиссии не будет, т. к. по программе ничего судить нельзя, надо читать каждую статью.</w:t>
      </w:r>
    </w:p>
    <w:p w14:paraId="06DA9EFD" w14:textId="77777777" w:rsidR="00E65C7F" w:rsidRPr="005E779E" w:rsidRDefault="00E65C7F" w:rsidP="000B7A6C">
      <w:pPr>
        <w:pStyle w:val="rtejustify"/>
        <w:spacing w:before="0" w:after="0"/>
        <w:rPr>
          <w:color w:val="000000" w:themeColor="text1"/>
          <w:sz w:val="16"/>
          <w:szCs w:val="16"/>
        </w:rPr>
      </w:pPr>
      <w:r w:rsidRPr="005E779E">
        <w:rPr>
          <w:color w:val="000000" w:themeColor="text1"/>
          <w:sz w:val="16"/>
          <w:szCs w:val="16"/>
        </w:rPr>
        <w:t>ШУТКО (ЦК). Мнение ЦК — раз мы несем ответственность за передачу, то мы вынуждены были дать НКИД такую директиву. Не имеет смысла устанавливать здесь, что и как можно передавать. Они ищут повода, мы не должны его им давать. Правильно, что основным должно быть — передача о пятилетке. [...]</w:t>
      </w:r>
    </w:p>
    <w:p w14:paraId="0C1202A4" w14:textId="77777777" w:rsidR="00E65C7F" w:rsidRPr="005E779E" w:rsidRDefault="00E65C7F" w:rsidP="000B7A6C">
      <w:pPr>
        <w:pStyle w:val="ae"/>
        <w:spacing w:before="0" w:after="0"/>
        <w:jc w:val="both"/>
        <w:rPr>
          <w:color w:val="000000" w:themeColor="text1"/>
          <w:sz w:val="16"/>
          <w:szCs w:val="16"/>
        </w:rPr>
      </w:pPr>
      <w:r w:rsidRPr="005E779E">
        <w:rPr>
          <w:rStyle w:val="af0"/>
          <w:i w:val="0"/>
          <w:color w:val="000000" w:themeColor="text1"/>
          <w:sz w:val="16"/>
          <w:szCs w:val="16"/>
        </w:rPr>
        <w:t>РГАСПИ. Ф. 495. On. 30. Д. 706. Л. 128-129. Машинописный экземпляр того времени (18905).</w:t>
      </w:r>
    </w:p>
    <w:p w14:paraId="29FBFFEE" w14:textId="77777777" w:rsidR="00E65C7F" w:rsidRPr="005E779E" w:rsidRDefault="00E65C7F" w:rsidP="000B7A6C">
      <w:pPr>
        <w:spacing w:after="0" w:line="240" w:lineRule="auto"/>
        <w:jc w:val="both"/>
        <w:rPr>
          <w:rFonts w:ascii="Times New Roman" w:hAnsi="Times New Roman"/>
          <w:color w:val="000000" w:themeColor="text1"/>
          <w:sz w:val="16"/>
          <w:szCs w:val="16"/>
        </w:rPr>
      </w:pPr>
    </w:p>
    <w:p w14:paraId="439629B3"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72CA8281"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DFD7D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марта 1931 в США началось производство электробритв (3481).</w:t>
      </w:r>
    </w:p>
    <w:p w14:paraId="60D12E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9314B5B"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3324AA4A"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0A5B6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 марта 1931 года закончились испытания на мореходность и буксировку самолета МУ-2 N 2259 и мотором М-11 N 7005, которые проходили с 20 февраля 1931.</w:t>
      </w:r>
    </w:p>
    <w:p w14:paraId="105BAE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к моменту испытания налетал 26 час. 58 мин.</w:t>
      </w:r>
    </w:p>
    <w:p w14:paraId="2834F7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 к моменту испытания наработал 31 час 00 мин. (3007).</w:t>
      </w:r>
    </w:p>
    <w:p w14:paraId="13058B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w:t>
      </w:r>
    </w:p>
    <w:p w14:paraId="56CF65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Посадку на волну 0,5 определенную глазомерно при скоростях ветра 5-6 м/сек. для самолета МУ-2 можно считать предельной.</w:t>
      </w:r>
    </w:p>
    <w:p w14:paraId="6D85DD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Рулежка самолета возможна при ветре до 8 м/сек. при незначительной волне.</w:t>
      </w:r>
    </w:p>
    <w:p w14:paraId="438BD4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Эксплуатация и обслуживание самолета МУ-2 с мотором М-11 по сравнению с МУ-1 проще, легче и удобнее.</w:t>
      </w:r>
    </w:p>
    <w:p w14:paraId="665E0D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Вполне удовлетворяет условиям школьной работы (3007).</w:t>
      </w:r>
    </w:p>
    <w:p w14:paraId="413ED0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1C3639F"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5FD1983C"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6CA2E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 марта 1931 г. КБ з-да «Большевик», совместно с АНИИ и академией ВАММ, было предложено «спешно разработать и предъявить в срок не позднее 7 ноября 1931 г. проект арттанка сопровождения типа В-26 с вооружением из 76-мм пушки во вращающейся башне, или без таковой». Тогда же задача создания «арттанка сопровождения с вращающейся башней» была поставлена и танковому отделу ХПЗ, занимавшемуся освоением серийного производства танков БТ-2 (6469, 12).</w:t>
      </w:r>
    </w:p>
    <w:p w14:paraId="15783B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8F551FD" w14:textId="77777777" w:rsidR="00D57D9E" w:rsidRPr="00142305" w:rsidRDefault="00D57D9E" w:rsidP="00D57D9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19 марта 1931 года КБ завода «Большевик» получило задание на разработку проекта безбашенного артиллерийского танка поддержки, а точнее – самоходной установки, получившей обозначение СУ-1. Советские конструкторы остановились на полковой 76-мм пушке образца 1927 года с откатом, укороченным до 750 мм, как основном вооружении будущей САУ. Орудие монтировалось в боевой рубке на специальной тумбе-лафете, конструкция которой была позаимствована у российского бронеавтомобиля типа «Гарфорд-Путиловец» образца 1915 года (25645).</w:t>
      </w:r>
    </w:p>
    <w:p w14:paraId="16571075" w14:textId="77777777" w:rsidR="00D57D9E" w:rsidRPr="00142305" w:rsidRDefault="00D57D9E" w:rsidP="00D57D9E">
      <w:pPr>
        <w:spacing w:after="0" w:line="240" w:lineRule="auto"/>
        <w:jc w:val="both"/>
        <w:rPr>
          <w:rFonts w:ascii="Times New Roman" w:hAnsi="Times New Roman"/>
          <w:color w:val="0070C0"/>
          <w:sz w:val="16"/>
          <w:szCs w:val="16"/>
        </w:rPr>
      </w:pPr>
    </w:p>
    <w:p w14:paraId="708EC876" w14:textId="77777777" w:rsidR="008C5B22" w:rsidRPr="005E779E" w:rsidRDefault="008C5B22" w:rsidP="000B7A6C">
      <w:pPr>
        <w:spacing w:after="0" w:line="240" w:lineRule="auto"/>
        <w:jc w:val="both"/>
        <w:rPr>
          <w:rFonts w:ascii="Times New Roman" w:eastAsia="TimesNewRomanPSMT" w:hAnsi="Times New Roman"/>
          <w:color w:val="000000" w:themeColor="text1"/>
          <w:sz w:val="16"/>
          <w:szCs w:val="16"/>
        </w:rPr>
      </w:pPr>
      <w:r w:rsidRPr="005E779E">
        <w:rPr>
          <w:rFonts w:ascii="Times New Roman" w:hAnsi="Times New Roman"/>
          <w:color w:val="000000" w:themeColor="text1"/>
          <w:sz w:val="16"/>
          <w:szCs w:val="16"/>
        </w:rPr>
        <w:t>19 марта 1931 г. на НИАПе состоялись пробные стрельбы из газоминомета «В» с затвором и на станке, разработанном А. А. Соколовым (общий вес системы составил 245 кг), в ходе которых опорная плита получила повреждения, после чего испытания были прекращены. 12 апреля прошли испытания затвора и стреляющего приспособления, в ходе которых работа затвора была признана неудовлетворительной. Испытания по данной тематике продолжались в течение всего месяца.366(20074).</w:t>
      </w:r>
    </w:p>
    <w:p w14:paraId="30AD5AAB" w14:textId="77777777" w:rsidR="008C5B22" w:rsidRPr="005E779E" w:rsidRDefault="008C5B22" w:rsidP="000B7A6C">
      <w:pPr>
        <w:spacing w:after="0" w:line="240" w:lineRule="auto"/>
        <w:jc w:val="both"/>
        <w:rPr>
          <w:rFonts w:ascii="Times New Roman" w:eastAsia="TimesNewRomanPSMT" w:hAnsi="Times New Roman"/>
          <w:color w:val="000000" w:themeColor="text1"/>
          <w:sz w:val="16"/>
          <w:szCs w:val="16"/>
        </w:rPr>
      </w:pPr>
    </w:p>
    <w:p w14:paraId="722F6B5B" w14:textId="77777777" w:rsidR="008C5B22" w:rsidRPr="005E779E" w:rsidRDefault="008C5B22"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20367A19" w14:textId="77777777" w:rsidR="008C5B22" w:rsidRPr="005E779E" w:rsidRDefault="008C5B22"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4F6C442" w14:textId="77777777" w:rsidR="008C5B22" w:rsidRPr="005E779E" w:rsidRDefault="008C5B22"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19 марта 1931 г. великая депрессия: Австрия и Германия заключают таможенный союз, но суд Лиги Наций опротестовывает это решение (</w:t>
      </w:r>
      <w:r w:rsidRPr="005E779E">
        <w:rPr>
          <w:rFonts w:ascii="Times New Roman" w:eastAsia="Times New Roman" w:hAnsi="Times New Roman"/>
          <w:bCs/>
          <w:iCs/>
          <w:color w:val="000000" w:themeColor="text1"/>
          <w:sz w:val="16"/>
          <w:szCs w:val="16"/>
          <w:lang w:eastAsia="ru-RU"/>
        </w:rPr>
        <w:t>«История дипломатии» под ред. Потемкина, М., ОГИЗ, (1941-1945):</w:t>
      </w:r>
    </w:p>
    <w:p w14:paraId="69D3F423" w14:textId="77777777" w:rsidR="008C5B22" w:rsidRPr="005E779E" w:rsidRDefault="008C5B22"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bCs/>
          <w:color w:val="000000" w:themeColor="text1"/>
          <w:sz w:val="16"/>
          <w:szCs w:val="16"/>
          <w:lang w:eastAsia="ru-RU"/>
        </w:rPr>
        <w:t>«</w:t>
      </w:r>
      <w:r w:rsidRPr="005E779E">
        <w:rPr>
          <w:rFonts w:ascii="Times New Roman" w:eastAsia="Times New Roman" w:hAnsi="Times New Roman"/>
          <w:color w:val="000000" w:themeColor="text1"/>
          <w:sz w:val="16"/>
          <w:szCs w:val="16"/>
          <w:lang w:eastAsia="ru-RU"/>
        </w:rPr>
        <w:t>19 марта 1931 г.</w:t>
      </w:r>
      <w:r w:rsidRPr="005E779E">
        <w:rPr>
          <w:rFonts w:ascii="Times New Roman" w:eastAsia="Times New Roman" w:hAnsi="Times New Roman"/>
          <w:bCs/>
          <w:color w:val="000000" w:themeColor="text1"/>
          <w:sz w:val="16"/>
          <w:szCs w:val="16"/>
          <w:lang w:eastAsia="ru-RU"/>
        </w:rPr>
        <w:t xml:space="preserve"> австрийский вице-канцлер Шобер и германский министр иностранных дел Курциус подписали соглашение о едином таможенном законе, о согласованных тарифах и об уничтожении таможенной границы между обоими государствами.» «5 сентября 1931 г. Постоянный международный трибунал вынес 8 голосами против 7 решение, что таможенный союз несовместим с договорными обязательствами Австрии. За два дня до решения суда, 3 сентября, Шобер и Курциус заявили об отказе их стран от таможенного союза. Эта капитуляция была ускорена решительным финансовым нажимом со стороны Франции, прекратившей свою помощь австрийским банкам. Провал замысла немецкой дипломатии озлобил германских реваншистов. Национал-социалисты развернули в стране самую бесшабашную националистическую демагогию.»</w:t>
      </w:r>
    </w:p>
    <w:p w14:paraId="0349CC98" w14:textId="77777777" w:rsidR="008C5B22" w:rsidRPr="005E779E" w:rsidRDefault="008C5B22"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13A8995" w14:textId="77777777" w:rsidR="008C5B22" w:rsidRPr="005E779E" w:rsidRDefault="008C5B22"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19 марта 1931 г. в штат Невада были легализованы азартные игры. Вскоре была выдана 1-я игровая лицензия, денежки потекли в казну, налоговые поступления повысились в 2 раза, экономика штата была спасена. Все понимали, что Невада качает деньги «темного» происхождения, но чиновники помнили фразу великого волнового героя римского императора Веспассиана (см. 17 ноября 9 г.) -«деньги не пахнут!» (17325).</w:t>
      </w:r>
    </w:p>
    <w:p w14:paraId="7DBCF2F8" w14:textId="77777777" w:rsidR="008C5B22" w:rsidRPr="005E779E" w:rsidRDefault="008C5B22"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4C1FCC5" w14:textId="77777777" w:rsidR="008C5B22" w:rsidRPr="005E779E" w:rsidRDefault="008C5B22"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 марта 1931 в штате Невада были легализованы азартные игры и потом появился Лас Вегас (2100).</w:t>
      </w:r>
    </w:p>
    <w:p w14:paraId="310AE1F7" w14:textId="77777777" w:rsidR="008C5B22" w:rsidRPr="005E779E" w:rsidRDefault="008C5B22" w:rsidP="000B7A6C">
      <w:pPr>
        <w:autoSpaceDE w:val="0"/>
        <w:autoSpaceDN w:val="0"/>
        <w:adjustRightInd w:val="0"/>
        <w:spacing w:after="0" w:line="240" w:lineRule="auto"/>
        <w:jc w:val="both"/>
        <w:rPr>
          <w:rFonts w:ascii="Times New Roman" w:hAnsi="Times New Roman"/>
          <w:color w:val="000000" w:themeColor="text1"/>
          <w:sz w:val="16"/>
          <w:szCs w:val="16"/>
        </w:rPr>
      </w:pPr>
    </w:p>
    <w:p w14:paraId="409C1127"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3E4AD68A"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815500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марта 1931 закончились испытания самолета МДР-2 БМВ-VI, которые проходили с 15 февраля 1931.</w:t>
      </w:r>
    </w:p>
    <w:p w14:paraId="44AB61C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Испытание самолета МДР-2 БМВ-VI специальной комиссией назначенной начальником ВВС</w:t>
      </w:r>
    </w:p>
    <w:p w14:paraId="7DD3BFB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Морской дальний разведчик –2 с двумя моторами БМВ-VIZ Е=6</w:t>
      </w:r>
    </w:p>
    <w:p w14:paraId="3F6F1CA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Цель испытаний: произвести типовые испытания самолета с нагрузками 2105 кг и 2360 кг</w:t>
      </w:r>
    </w:p>
    <w:p w14:paraId="24AA599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Начало испытаний 15 февраля 1931 года</w:t>
      </w:r>
    </w:p>
    <w:p w14:paraId="363B5DB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Окончание испытаний – 20 марта 1931 года</w:t>
      </w:r>
    </w:p>
    <w:p w14:paraId="1E87960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Продолжительность испытаний – 34 дня, из них летных дней – 11, общий налет – 18 часов 22 минуты</w:t>
      </w:r>
    </w:p>
    <w:p w14:paraId="5293E5E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Количество полетов – 25 (6956).</w:t>
      </w:r>
    </w:p>
    <w:p w14:paraId="0EE8D5A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59E4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(17 - 1017,212) марта 1931 закончился первый этап гос. испытания МДР-2 АНТ-8, которые велись с 25 февраля 1931 (1017,212)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7122AB" w:rsidRPr="005E779E" w14:paraId="24CDBCF8" w14:textId="77777777">
        <w:tc>
          <w:tcPr>
            <w:tcW w:w="5636" w:type="dxa"/>
          </w:tcPr>
          <w:p w14:paraId="34AA70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Продолжительность испытаний</w:t>
            </w:r>
          </w:p>
        </w:tc>
        <w:tc>
          <w:tcPr>
            <w:tcW w:w="5636" w:type="dxa"/>
          </w:tcPr>
          <w:p w14:paraId="099B45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34 дня</w:t>
            </w:r>
          </w:p>
        </w:tc>
      </w:tr>
      <w:tr w:rsidR="007122AB" w:rsidRPr="005E779E" w14:paraId="08ED9E82" w14:textId="77777777">
        <w:tc>
          <w:tcPr>
            <w:tcW w:w="5636" w:type="dxa"/>
          </w:tcPr>
          <w:p w14:paraId="03D740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 них:</w:t>
            </w:r>
          </w:p>
        </w:tc>
        <w:tc>
          <w:tcPr>
            <w:tcW w:w="5636" w:type="dxa"/>
          </w:tcPr>
          <w:p w14:paraId="73E08F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358BF113" w14:textId="77777777">
        <w:tc>
          <w:tcPr>
            <w:tcW w:w="5636" w:type="dxa"/>
          </w:tcPr>
          <w:p w14:paraId="1EE68A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летных дней</w:t>
            </w:r>
          </w:p>
        </w:tc>
        <w:tc>
          <w:tcPr>
            <w:tcW w:w="5636" w:type="dxa"/>
          </w:tcPr>
          <w:p w14:paraId="0D5CA0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w:t>
            </w:r>
          </w:p>
        </w:tc>
      </w:tr>
      <w:tr w:rsidR="007122AB" w:rsidRPr="005E779E" w14:paraId="1E0C445F" w14:textId="77777777">
        <w:tc>
          <w:tcPr>
            <w:tcW w:w="5636" w:type="dxa"/>
          </w:tcPr>
          <w:p w14:paraId="54AC27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нелетных дней</w:t>
            </w:r>
          </w:p>
        </w:tc>
        <w:tc>
          <w:tcPr>
            <w:tcW w:w="5636" w:type="dxa"/>
          </w:tcPr>
          <w:p w14:paraId="6B75B7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w:t>
            </w:r>
          </w:p>
        </w:tc>
      </w:tr>
      <w:tr w:rsidR="007122AB" w:rsidRPr="005E779E" w14:paraId="544CE8E7" w14:textId="77777777">
        <w:tc>
          <w:tcPr>
            <w:tcW w:w="5636" w:type="dxa"/>
          </w:tcPr>
          <w:p w14:paraId="57A7B8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Общий налет</w:t>
            </w:r>
          </w:p>
        </w:tc>
        <w:tc>
          <w:tcPr>
            <w:tcW w:w="5636" w:type="dxa"/>
          </w:tcPr>
          <w:p w14:paraId="586FCE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час. 32 мин.</w:t>
            </w:r>
          </w:p>
        </w:tc>
      </w:tr>
      <w:tr w:rsidR="007122AB" w:rsidRPr="005E779E" w14:paraId="02CBC009" w14:textId="77777777">
        <w:tc>
          <w:tcPr>
            <w:tcW w:w="5636" w:type="dxa"/>
          </w:tcPr>
          <w:p w14:paraId="258FD0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Количество полетов</w:t>
            </w:r>
          </w:p>
        </w:tc>
        <w:tc>
          <w:tcPr>
            <w:tcW w:w="5636" w:type="dxa"/>
          </w:tcPr>
          <w:p w14:paraId="19378A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(3043)</w:t>
            </w:r>
          </w:p>
        </w:tc>
      </w:tr>
    </w:tbl>
    <w:p w14:paraId="5D92C7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Летал л НИИ ВВС С.Т.Рыбальчук. В воздух поднимались и пилоты строевых частей, в т.ч. Нач. ВВС ЧМФ Лавров. Отметили простоту управления, лучшую, чем у Дорнье Валь, но на воде машина была вертлява и не слушалась руля при рулежке. На одном моторе - циркулировала и не допускала руления. “Огневая защита лучше, чем на с Дорнье Валь”, а “управление самолетом и вооружением просто и для рядового л быстро усвояемо”. Допускалась взлет и посадка при высоте волны 0.1 м. Полностью провести гос. испытания не смогли из-за недостаточного водоизмещения боковых поплавков. Однако представили для принятия на вооружение:</w:t>
      </w:r>
    </w:p>
    <w:p w14:paraId="62F0D6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результате проведенной части гос. испытаний самолета обнаружен ряд дефектов, главнейшим из которых является отсутствие видимости (обзора назад) со стороны носовой части из-за толстого и высоко расположенного крыла, что ухудшает тактические свойства самолета (вождение в строю, защиту от противника, визуальную связь между лицами экипажа. Недостаточны площадь РП и поперечная остойчивость. Последнее потребовало увеличения водоизмещения боковых поплавков. Перекрытие над кабиной пилотов затрудняет обзор.” (4269,18).</w:t>
      </w:r>
    </w:p>
    <w:p w14:paraId="4C66CC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полетов выполнил С.Т.рыбальчук, но летали и строевые л, в т.ч. Гач. ВВС ЧМ В.К.Лавров (7610, 33).</w:t>
      </w:r>
    </w:p>
    <w:p w14:paraId="1ED0BC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Алкснис нанес на отчете резолюцию: “Решение вопроса о введении на вооружение отложить до окончания испытаний и проверки технических изменений, ло получения результатов испытаний МДР-3...” (7610, 34).</w:t>
      </w:r>
    </w:p>
    <w:p w14:paraId="48E10A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B499636" w14:textId="77777777" w:rsidR="00D57D9E" w:rsidRPr="00142305" w:rsidRDefault="00D57D9E" w:rsidP="00D57D9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До 20 марта 1931 г. летчик НИИ ВВС С.Т. Рыбальчук выполнил на МДР-2 АНТ-8 25 полетов, поднимались в воздух и пилоты строевых частей, в том числе начальник ВВС Черноморского флота Лавров.</w:t>
      </w:r>
    </w:p>
    <w:p w14:paraId="6114694F" w14:textId="77777777" w:rsidR="00D57D9E" w:rsidRPr="00142305" w:rsidRDefault="00D57D9E" w:rsidP="00D57D9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их мнению, летные свойства МДР-2 и простота управления оказались лучше, чем у немецкого «Валя». «Но на воде гидросамолет был вертляв и не слушался руля при рулежке, требовал большого внимания при подходе к спуску. На одном моторе машина циркулиро</w:t>
      </w:r>
      <w:r w:rsidRPr="00142305">
        <w:rPr>
          <w:rFonts w:ascii="Times New Roman" w:hAnsi="Times New Roman"/>
          <w:color w:val="0070C0"/>
          <w:sz w:val="16"/>
          <w:szCs w:val="16"/>
        </w:rPr>
        <w:softHyphen/>
        <w:t>вала, и рулить на ней не представлялось возможным». Вместе с тем отмечалось, что «огне</w:t>
      </w:r>
      <w:r w:rsidRPr="00142305">
        <w:rPr>
          <w:rFonts w:ascii="Times New Roman" w:hAnsi="Times New Roman"/>
          <w:color w:val="0070C0"/>
          <w:sz w:val="16"/>
          <w:szCs w:val="16"/>
        </w:rPr>
        <w:softHyphen/>
        <w:t>вая защита лучше, чем на «Вале», а управление гидросамолетом и вооружением просто и для рядового летчика быстро усвояемо». МДР-2 допускал взлет и посадку при высоте волн до одного метра.</w:t>
      </w:r>
    </w:p>
    <w:p w14:paraId="6718F7C7" w14:textId="77777777" w:rsidR="00D57D9E" w:rsidRPr="00142305" w:rsidRDefault="00D57D9E" w:rsidP="00D57D9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Полностью провести летные испытания зимой 1930-31 годов не удалось из-за недостаточ</w:t>
      </w:r>
      <w:r w:rsidRPr="00142305">
        <w:rPr>
          <w:rFonts w:ascii="Times New Roman" w:hAnsi="Times New Roman"/>
          <w:color w:val="0070C0"/>
          <w:sz w:val="16"/>
          <w:szCs w:val="16"/>
        </w:rPr>
        <w:softHyphen/>
        <w:t>ного водоизмещения боковых поплавков. Тем не менее в представлении председателя РВС СССР о принятии на вооружение МДР-2, кроме уже приведенных недостатков и преиму</w:t>
      </w:r>
      <w:r w:rsidRPr="00142305">
        <w:rPr>
          <w:rFonts w:ascii="Times New Roman" w:hAnsi="Times New Roman"/>
          <w:color w:val="0070C0"/>
          <w:sz w:val="16"/>
          <w:szCs w:val="16"/>
        </w:rPr>
        <w:softHyphen/>
        <w:t>ществ, отмечалось:</w:t>
      </w:r>
    </w:p>
    <w:p w14:paraId="43E685B4" w14:textId="77777777" w:rsidR="00D57D9E" w:rsidRPr="00142305" w:rsidRDefault="00D57D9E" w:rsidP="00D57D9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результате проведенной части государственных испытаний самолета обнаружен ряд дефектов, главнейшим из которых является отсутствие видимости (обзора назад) со стороны носовой части из-за толстого и высоко расположенного крыла, что ухудшает тактические свойства самолета (вождение в строю, защиту от против</w:t>
      </w:r>
      <w:r w:rsidRPr="00142305">
        <w:rPr>
          <w:rFonts w:ascii="Times New Roman" w:hAnsi="Times New Roman"/>
          <w:color w:val="0070C0"/>
          <w:sz w:val="16"/>
          <w:szCs w:val="16"/>
        </w:rPr>
        <w:softHyphen/>
        <w:t>ника, визуальную связь между лицами экипажа). Недостаточные площадь руля поворота и поперечная остойчивость. Последнее потребовало увеличения водоизмещения боковых поплавков. Перекрытие над кабиной пилотов затрудняет обзор».</w:t>
      </w:r>
    </w:p>
    <w:p w14:paraId="7DA42041" w14:textId="77777777" w:rsidR="00D57D9E" w:rsidRPr="00142305" w:rsidRDefault="00D57D9E" w:rsidP="00D57D9E">
      <w:pPr>
        <w:spacing w:after="0" w:line="240" w:lineRule="auto"/>
        <w:jc w:val="both"/>
        <w:rPr>
          <w:rFonts w:ascii="Times New Roman" w:hAnsi="Times New Roman"/>
          <w:color w:val="0070C0"/>
          <w:sz w:val="16"/>
          <w:szCs w:val="16"/>
        </w:rPr>
      </w:pPr>
    </w:p>
    <w:p w14:paraId="7C669D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марта 1931 года Пом. начальника НИИ Коннэрт утвердил Отчет по испытанию стрелкового вооружения (пул. 9 бис с ПВ1) на самолетах И-4 Ю-6.</w:t>
      </w:r>
    </w:p>
    <w:p w14:paraId="07A1F1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Испытания стрелкового вооружения производились в НИИ на 2-х самолетах И-4 Ю-6 N 1568 и N 1620.</w:t>
      </w:r>
    </w:p>
    <w:p w14:paraId="6AC42A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w:t>
      </w:r>
    </w:p>
    <w:p w14:paraId="029372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 самолета И-4 с ПВ1 после устранения дефектов и внесения переделок может быть допущено для эксплуатации в частях ВВС (3196,32-49).</w:t>
      </w:r>
    </w:p>
    <w:p w14:paraId="6DA2CD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9C30C1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марта 1931 года Крейдлин пишет Камову: «Здравствуйте, уважаемый Николай Ильич...</w:t>
      </w:r>
    </w:p>
    <w:p w14:paraId="6AB2A23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Завтра мы опять испытываем. С завода № 1 нас выставили, машина стоит на улице. Приходится так работать... Вы гарантировали Баранову 500 метров, а этого пока еще нет. Я с Николаем Кирилловичем добива</w:t>
      </w:r>
      <w:r w:rsidRPr="005E779E">
        <w:rPr>
          <w:rFonts w:ascii="Times New Roman" w:hAnsi="Times New Roman"/>
          <w:color w:val="000000" w:themeColor="text1"/>
          <w:sz w:val="16"/>
          <w:szCs w:val="16"/>
        </w:rPr>
        <w:softHyphen/>
        <w:t>юсь изо всех сил, чтобы оправдать Вашу гарантию перед Барановым. Я считаю это самое важное. Сейчас мне приходится работать очень много. Приходится переставлять на +Г лопасти для наилучшей подъемной си</w:t>
      </w:r>
      <w:r w:rsidRPr="005E779E">
        <w:rPr>
          <w:rFonts w:ascii="Times New Roman" w:hAnsi="Times New Roman"/>
          <w:color w:val="000000" w:themeColor="text1"/>
          <w:sz w:val="16"/>
          <w:szCs w:val="16"/>
        </w:rPr>
        <w:softHyphen/>
        <w:t>лы. Если мы сохраним Ваш авторитет, то тогда я сохраню свой. О даль</w:t>
      </w:r>
      <w:r w:rsidRPr="005E779E">
        <w:rPr>
          <w:rFonts w:ascii="Times New Roman" w:hAnsi="Times New Roman"/>
          <w:color w:val="000000" w:themeColor="text1"/>
          <w:sz w:val="16"/>
          <w:szCs w:val="16"/>
        </w:rPr>
        <w:softHyphen/>
        <w:t>нейших испытаниях я Вам сообщу более подробно. Сейчас я очень ус</w:t>
      </w:r>
      <w:r w:rsidRPr="005E779E">
        <w:rPr>
          <w:rFonts w:ascii="Times New Roman" w:hAnsi="Times New Roman"/>
          <w:color w:val="000000" w:themeColor="text1"/>
          <w:sz w:val="16"/>
          <w:szCs w:val="16"/>
        </w:rPr>
        <w:softHyphen/>
        <w:t>тал. 12 часов ночи, недавно пришел. Николай Ильич, Вы меня прости</w:t>
      </w:r>
      <w:r w:rsidRPr="005E779E">
        <w:rPr>
          <w:rFonts w:ascii="Times New Roman" w:hAnsi="Times New Roman"/>
          <w:color w:val="000000" w:themeColor="text1"/>
          <w:sz w:val="16"/>
          <w:szCs w:val="16"/>
        </w:rPr>
        <w:softHyphen/>
        <w:t>те, очень хочу спать...» (10224,33).</w:t>
      </w:r>
    </w:p>
    <w:p w14:paraId="62071BF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6AD3E3" w14:textId="3FDEBE8A" w:rsidR="001422F1" w:rsidRPr="005E779E" w:rsidRDefault="001422F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марта 193</w:t>
      </w:r>
      <w:r w:rsidR="0093631F" w:rsidRPr="005E779E">
        <w:rPr>
          <w:rFonts w:ascii="Times New Roman" w:hAnsi="Times New Roman"/>
          <w:color w:val="000000" w:themeColor="text1"/>
          <w:sz w:val="16"/>
          <w:szCs w:val="16"/>
        </w:rPr>
        <w:t>1</w:t>
      </w:r>
      <w:r w:rsidRPr="005E779E">
        <w:rPr>
          <w:rFonts w:ascii="Times New Roman" w:hAnsi="Times New Roman"/>
          <w:color w:val="000000" w:themeColor="text1"/>
          <w:sz w:val="16"/>
          <w:szCs w:val="16"/>
        </w:rPr>
        <w:t xml:space="preserve"> г. в Ленинграде умер один из пионеров авиации профессор механики Николай Борисович Делоне /род. 185б/. Делоне начал работать в авиации в первые годы ее зарождения, будучи профессором Киевского Политехнического института. В 1909-08 годах </w:t>
      </w:r>
      <w:r w:rsidR="00B94527" w:rsidRPr="005E779E">
        <w:rPr>
          <w:rFonts w:ascii="Times New Roman" w:hAnsi="Times New Roman"/>
          <w:color w:val="000000" w:themeColor="text1"/>
          <w:sz w:val="16"/>
          <w:szCs w:val="16"/>
        </w:rPr>
        <w:t>он</w:t>
      </w:r>
      <w:r w:rsidRPr="005E779E">
        <w:rPr>
          <w:rFonts w:ascii="Times New Roman" w:hAnsi="Times New Roman"/>
          <w:color w:val="000000" w:themeColor="text1"/>
          <w:sz w:val="16"/>
          <w:szCs w:val="16"/>
        </w:rPr>
        <w:t xml:space="preserve"> построил легкий коробчатый планер по типу планера Шанюта и этим положил иачало планеризма на Украине, а в 1910 г. издал первое в Ро</w:t>
      </w:r>
      <w:r w:rsidR="00B94527" w:rsidRPr="005E779E">
        <w:rPr>
          <w:rFonts w:ascii="Times New Roman" w:hAnsi="Times New Roman"/>
          <w:color w:val="000000" w:themeColor="text1"/>
          <w:sz w:val="16"/>
          <w:szCs w:val="16"/>
        </w:rPr>
        <w:t>с</w:t>
      </w:r>
      <w:r w:rsidRPr="005E779E">
        <w:rPr>
          <w:rFonts w:ascii="Times New Roman" w:hAnsi="Times New Roman"/>
          <w:color w:val="000000" w:themeColor="text1"/>
          <w:sz w:val="16"/>
          <w:szCs w:val="16"/>
        </w:rPr>
        <w:t>сии пособие «Устройство дешевого и легкого планера и способы летания на нем».</w:t>
      </w:r>
    </w:p>
    <w:p w14:paraId="664F8EBE" w14:textId="77777777" w:rsidR="001422F1" w:rsidRPr="005E779E" w:rsidRDefault="001422F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Делоне организовал воздухоплавательный кружок при КПИ и был руководителем Киевского общества воздухоплавания (23370).</w:t>
      </w:r>
    </w:p>
    <w:p w14:paraId="152402B7" w14:textId="77777777" w:rsidR="001422F1" w:rsidRPr="005E779E" w:rsidRDefault="001422F1" w:rsidP="000B7A6C">
      <w:pPr>
        <w:spacing w:after="0" w:line="240" w:lineRule="auto"/>
        <w:jc w:val="both"/>
        <w:rPr>
          <w:rFonts w:ascii="Times New Roman" w:hAnsi="Times New Roman"/>
          <w:color w:val="000000" w:themeColor="text1"/>
          <w:sz w:val="16"/>
          <w:szCs w:val="16"/>
        </w:rPr>
      </w:pPr>
    </w:p>
    <w:p w14:paraId="45C87460" w14:textId="77777777" w:rsidR="00083CD8"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36254FB5" w14:textId="77777777" w:rsidR="00083CD8" w:rsidRPr="005E779E" w:rsidRDefault="00083CD8"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06F9B82" w14:textId="77777777" w:rsidR="00083CD8" w:rsidRPr="005E779E" w:rsidRDefault="00083CD8"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20 марта 1931 </w:t>
      </w:r>
      <w:r w:rsidRPr="005E779E">
        <w:rPr>
          <w:rFonts w:ascii="Times New Roman" w:hAnsi="Times New Roman"/>
          <w:color w:val="000000" w:themeColor="text1"/>
          <w:sz w:val="16"/>
          <w:szCs w:val="16"/>
        </w:rPr>
        <w:t>Политбюро ЦК ВКП (б) одобрило проект постановления СТО о развитии дорожного машиностроения и резолюцию партийного совещания по кредитной реформе; приняло решение об обеспечении оборудованием, подготовке кадров и сроках ввода в эксплуатацию калийных рудников; предложило ВСНХ ускорить исследование месторождений Печорского угля (12265).</w:t>
      </w:r>
    </w:p>
    <w:p w14:paraId="64ADB260" w14:textId="77777777" w:rsidR="00083CD8" w:rsidRPr="005E779E" w:rsidRDefault="00083CD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СНК принял постановление «Об изменении в системе кредитования, укреплении кредитной работы и обеспечении хозрасчета во всех хозяйственных органах» (12265).</w:t>
      </w:r>
    </w:p>
    <w:p w14:paraId="76A0F925" w14:textId="77777777" w:rsidR="00083CD8" w:rsidRPr="005E779E" w:rsidRDefault="00083CD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1882EC57"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71B18EA8"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3BAC7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20 и 27 марта 1931. Из протокола заседания Политбюро № 30, 1931 г.</w:t>
      </w:r>
    </w:p>
    <w:p w14:paraId="6F7340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 приеме в партию начсостава Красной армии и войск ОГПУ</w:t>
      </w:r>
    </w:p>
    <w:p w14:paraId="336BFB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приеме в партию лиц начальствующего состава Красной армии и войск ОГПУ, расположенных в пограничных районах и местностях, где отсутствует промышленная база, допустить замену рекомендаций рабочих с производства поручительством членов партии—красноармейцев — рабочих и батраков (11652).</w:t>
      </w:r>
    </w:p>
    <w:p w14:paraId="508EBA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E841EA7"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7D989A4C"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26447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20 и 27 марта 1931. Из протокола заседания Политбюро № 30, 1931 г.</w:t>
      </w:r>
    </w:p>
    <w:p w14:paraId="3C0C57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 полном прекращении командировок рабочих от станка на нужды текущих кампаний</w:t>
      </w:r>
    </w:p>
    <w:p w14:paraId="4083D4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 Воспретить мобилизацию партийным, советским, профессиональным и всяким другим организациям рабочих с производства... на всякого рода кампании. </w:t>
      </w:r>
    </w:p>
    <w:p w14:paraId="1C7C51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 Мобилизованных с 1 января с. г. на текущие кампании без ведома ЦК ВКП(б) и СНК Союза ССР рабочих с производства... немедленно возвратить на предприятия. </w:t>
      </w:r>
    </w:p>
    <w:p w14:paraId="684100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 Воспретить отвлечение рабочих от производства и административно-технического персонала со стороны партийных, советских, профсоюзных, комсомольских, хозяйственных организаций и органов печати в различного рода обследовательские бригады. </w:t>
      </w:r>
    </w:p>
    <w:p w14:paraId="20BF2F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4. Свести к минимуму вызов директоров на всякого рода заседания, исходя из того, что адм.-техн. персонал предприятия должен быть целиком занят своей непосредственной работой на предприятии. </w:t>
      </w:r>
    </w:p>
    <w:p w14:paraId="619A0B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5. Подтвердить решение... о запрещении на 2 года выдвигать рабочих на советскую работу, причем там, где эта директива нарушена и квалифицированные рабочие, а также техперсонал с производства были выдвинуты и направлены на советскую работу, возвратить их на производство. </w:t>
      </w:r>
    </w:p>
    <w:p w14:paraId="6DB5AF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6. Воспретить командировки рабочих в рабочее время по всякого рода шефским и другим делам. </w:t>
      </w:r>
    </w:p>
    <w:p w14:paraId="6E1931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7. Отменить все решения... установившие в нарушение законов о труде сокращенный рабочий день для занятых на всякого рода учебе и на общественной работе с тем, чтобы эти занятия проводились лишь в нерабочее время. </w:t>
      </w:r>
    </w:p>
    <w:p w14:paraId="5792FA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8. Установить, что исполнение всякого рода общественных обязанностей рабочими с производства, участие в секциях советов и комиссиях, партийных, профсоюзных, кооперативных и др. органах должно производиться исключительно во внерабочее время... </w:t>
      </w:r>
    </w:p>
    <w:p w14:paraId="3CA221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Ввиду наблюдающихся случаев неорганизованной переброски рабочих и адм.-технического персонала с одних предприятий на другие и новые строительства предложить ВСНХ совместно с НКТрудом принять меры к упорядочению этих перебросок (11652).</w:t>
      </w:r>
    </w:p>
    <w:p w14:paraId="32D9D9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A76A9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20 и 27 марта 1931. Из протокола заседания Политбюро № 30, 1931 г.</w:t>
      </w:r>
    </w:p>
    <w:p w14:paraId="65506B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 снабжении Москвы и Ленинграда хлебом и др. продуктами </w:t>
      </w:r>
    </w:p>
    <w:p w14:paraId="593391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 xml:space="preserve">а) Предложить Наркомснабу СССР выделить особо план снабжения Москвы продуктами питания и предметами широкого потребления из общего плана снабжения области. </w:t>
      </w:r>
    </w:p>
    <w:p w14:paraId="2A637B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б) Предложить Наркомснабу СССР создать не позднее 10 апреля в Москве месячные запасы по хлебу, сахару, крупе, керосину, соли, рыбе и сельдям... </w:t>
      </w:r>
    </w:p>
    <w:p w14:paraId="458AAC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е) Учитывая рост населения Москвы и количество сезонников, предложить Наркомснабу СССР увеличить план снабжения Москвы хлебом на второй квартал 1931 года на 40 тыс. тонн и Ленинграда — на 25 тыс. тонн... </w:t>
      </w:r>
    </w:p>
    <w:p w14:paraId="73FC08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и) Считать позором для Московской организации, что хлеб, предназначенный для снабжения рабочих и служащих, попадает в количестве не менее десятков тысяч пудов ежемесячно в руки спекулянтов, благодаря... отсутствию должного контроля со стороны Московской организации. </w:t>
      </w:r>
    </w:p>
    <w:p w14:paraId="26D63B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Обязать Московскую организацию положить конец этой вакханалии кормления спекулянтов за счет рабочих... (11652).</w:t>
      </w:r>
    </w:p>
    <w:p w14:paraId="03BC1206" w14:textId="287F705C"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C063F2E" w14:textId="0C3EEF39" w:rsidR="00B112A6" w:rsidRPr="005E779E" w:rsidRDefault="00B112A6" w:rsidP="000B7A6C">
      <w:pPr>
        <w:autoSpaceDE w:val="0"/>
        <w:autoSpaceDN w:val="0"/>
        <w:adjustRightInd w:val="0"/>
        <w:spacing w:after="0" w:line="240" w:lineRule="auto"/>
        <w:jc w:val="both"/>
        <w:rPr>
          <w:rFonts w:ascii="Times New Roman" w:hAnsi="Times New Roman"/>
          <w:i/>
          <w:iCs/>
          <w:color w:val="000000" w:themeColor="text1"/>
          <w:sz w:val="16"/>
          <w:szCs w:val="16"/>
        </w:rPr>
      </w:pPr>
      <w:r w:rsidRPr="005E779E">
        <w:rPr>
          <w:rFonts w:ascii="Times New Roman" w:hAnsi="Times New Roman"/>
          <w:i/>
          <w:iCs/>
          <w:color w:val="000000" w:themeColor="text1"/>
          <w:sz w:val="16"/>
          <w:szCs w:val="16"/>
        </w:rPr>
        <w:t>Внешняя политика:</w:t>
      </w:r>
    </w:p>
    <w:p w14:paraId="1E8A88C9" w14:textId="77777777" w:rsidR="00B112A6" w:rsidRPr="005E779E" w:rsidRDefault="00B112A6" w:rsidP="000B7A6C">
      <w:pPr>
        <w:autoSpaceDE w:val="0"/>
        <w:autoSpaceDN w:val="0"/>
        <w:adjustRightInd w:val="0"/>
        <w:spacing w:after="0" w:line="240" w:lineRule="auto"/>
        <w:jc w:val="both"/>
        <w:rPr>
          <w:rFonts w:ascii="Times New Roman" w:hAnsi="Times New Roman"/>
          <w:i/>
          <w:iCs/>
          <w:color w:val="000000" w:themeColor="text1"/>
          <w:sz w:val="16"/>
          <w:szCs w:val="16"/>
        </w:rPr>
      </w:pPr>
    </w:p>
    <w:p w14:paraId="161B83FC" w14:textId="77777777" w:rsidR="00B112A6" w:rsidRPr="005E779E" w:rsidRDefault="00B112A6"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20 марта 1931 года Политбюро утвердило постановление «О шпицбергенском угле»:</w:t>
      </w:r>
    </w:p>
    <w:p w14:paraId="38A307BB" w14:textId="77777777" w:rsidR="00B112A6" w:rsidRPr="005E779E" w:rsidRDefault="00B112A6"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«Придавая большое хозяйственно-политическое значение для страны делу добычи угля на острове Шпицберген, ЦК считает необходимым принять следующие мероприятия:</w:t>
      </w:r>
    </w:p>
    <w:p w14:paraId="616C58B7" w14:textId="77777777" w:rsidR="00B112A6" w:rsidRPr="005E779E" w:rsidRDefault="00B112A6"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1. Существующее на Шпицбергене каменноугольное предприятие «Англо-Грумант», в котором СССР участвует в половинном размере, необходимо целиком выкупить в руки СССР за сумму не более 50–60 тысяч фунтов стерлингов с выплатой в течение пяти лет. На основе этого поручить т. Брону и т. Козлову (сотрудники Наркомвнешторга. — </w:t>
      </w:r>
      <w:r w:rsidRPr="005E779E">
        <w:rPr>
          <w:rFonts w:ascii="Times New Roman" w:eastAsia="Times New Roman" w:hAnsi="Times New Roman"/>
          <w:i/>
          <w:iCs/>
          <w:color w:val="000000" w:themeColor="text1"/>
          <w:sz w:val="16"/>
          <w:szCs w:val="16"/>
          <w:lang w:eastAsia="ru-RU"/>
        </w:rPr>
        <w:t>Прим. авт.</w:t>
      </w:r>
      <w:r w:rsidRPr="005E779E">
        <w:rPr>
          <w:rFonts w:ascii="Times New Roman" w:eastAsia="Times New Roman" w:hAnsi="Times New Roman"/>
          <w:color w:val="000000" w:themeColor="text1"/>
          <w:sz w:val="16"/>
          <w:szCs w:val="16"/>
          <w:lang w:eastAsia="ru-RU"/>
        </w:rPr>
        <w:t>) вести конкретные переговоры в Лондоне о выкупе и закончить их не позже 20 апреля.</w:t>
      </w:r>
    </w:p>
    <w:p w14:paraId="14943EC6" w14:textId="77777777" w:rsidR="00B112A6" w:rsidRPr="005E779E" w:rsidRDefault="00B112A6"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2. Для организации всего этого дела и для дальнейшей эксплуатации рудников создать в составе Союзлеспрома специальное управление (с небольшим аппаратом), поставив во главе этого дела т. И.Н. Козлова, введя его в состав правления Союзлеспрома.</w:t>
      </w:r>
    </w:p>
    <w:p w14:paraId="1638E0B0" w14:textId="77777777" w:rsidR="00B112A6" w:rsidRPr="005E779E" w:rsidRDefault="00B112A6"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3. Принять к сведению, что уже в текущем году должно быть добыто и ввезено в СССР как минимум 500 тысяч пудов угля. В 1932 году добыть и ввезти в СССР как минимум 3 миллиона пудов. К концу 1935 года необходимо развернуть добычу угля на Шпицбергене в 20–25 миллионов пудов. Все процессы работы на Шпицбергене должны быть механизированы…</w:t>
      </w:r>
    </w:p>
    <w:p w14:paraId="1F10809A" w14:textId="77777777" w:rsidR="00B112A6" w:rsidRPr="005E779E" w:rsidRDefault="00B112A6"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9. Поручить тт. Ягоде, Стомонякову и Козлову в 10-дневный срок разработать упрощенную форму выезда и обратного приезда наших рабочих и служащих на Шпицберген, а также разработать упрощенный порядок прихода и отхода пароходов в наших портах.</w:t>
      </w:r>
    </w:p>
    <w:p w14:paraId="5722646B" w14:textId="77777777" w:rsidR="00B112A6" w:rsidRPr="005E779E" w:rsidRDefault="00B112A6"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10. Поручить Наркомпочтелю и Союзлеспрому не позднее 15 июля с.г. разработать вопрос об установке радиостанции на нашем предприятии, которое должно иметь непосредственную связь с СССР…» (20467).</w:t>
      </w:r>
    </w:p>
    <w:p w14:paraId="5D7339DB" w14:textId="77777777" w:rsidR="00B112A6" w:rsidRPr="005E779E" w:rsidRDefault="00B112A6" w:rsidP="000B7A6C">
      <w:pPr>
        <w:spacing w:after="0" w:line="240" w:lineRule="auto"/>
        <w:jc w:val="both"/>
        <w:rPr>
          <w:rFonts w:ascii="Times New Roman" w:hAnsi="Times New Roman"/>
          <w:color w:val="000000" w:themeColor="text1"/>
          <w:sz w:val="16"/>
          <w:szCs w:val="16"/>
        </w:rPr>
      </w:pPr>
    </w:p>
    <w:p w14:paraId="610C302B"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2BA0C01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0F6A7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 марта 1931 были представлены техтребования (предварит.) к самолету МИ3-2М34 опытный (7415, 16).</w:t>
      </w:r>
    </w:p>
    <w:p w14:paraId="21857F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982817B" w14:textId="77777777" w:rsidR="00E65C7F" w:rsidRPr="005E779E" w:rsidRDefault="00E65C7F" w:rsidP="000B7A6C">
      <w:pPr>
        <w:pStyle w:val="ae"/>
        <w:shd w:val="clear" w:color="auto" w:fill="FFFFFF"/>
        <w:spacing w:before="0" w:after="0"/>
        <w:jc w:val="both"/>
        <w:rPr>
          <w:color w:val="000000" w:themeColor="text1"/>
          <w:sz w:val="16"/>
          <w:szCs w:val="16"/>
        </w:rPr>
      </w:pPr>
      <w:r w:rsidRPr="005E779E">
        <w:rPr>
          <w:color w:val="000000" w:themeColor="text1"/>
          <w:sz w:val="16"/>
          <w:szCs w:val="16"/>
        </w:rPr>
        <w:t>21 марта 1935 года Алкснис утвердил технические требования на «герметичную кабину для стратостата» диаметром 2,5 м, предназначенную для полетов на высоту 30 000 м. В ней должны были удобно размещаться три человека. В примечании было сказано: «Желательно оборудовать кабину шлюзом для выхода и входа обратно одного человека в скафандре с парашютом на высоте 15–30 км». Гондола должна была иметь и общий парашют. Иллюминаторы с двойными стеклами обеспечивали бы «сферический обзор». Амортизаторы гондолы были рассчитаны на скорость снижения 5 м/с. Гондола должна была также устойчиво плавать. Заказ на постройку гондолы принял завод № 39, проектировали ее инженеры бюро особой конструкции завода № 35. По срокам гондола должна была быть готова 1 июля 1935 года.</w:t>
      </w:r>
    </w:p>
    <w:p w14:paraId="3EADFCE9" w14:textId="77777777" w:rsidR="00E65C7F" w:rsidRPr="005E779E" w:rsidRDefault="00E65C7F" w:rsidP="000B7A6C">
      <w:pPr>
        <w:pStyle w:val="ae"/>
        <w:shd w:val="clear" w:color="auto" w:fill="FFFFFF"/>
        <w:spacing w:before="0" w:after="0"/>
        <w:jc w:val="both"/>
        <w:rPr>
          <w:color w:val="000000" w:themeColor="text1"/>
          <w:sz w:val="16"/>
          <w:szCs w:val="16"/>
        </w:rPr>
      </w:pPr>
      <w:r w:rsidRPr="005E779E">
        <w:rPr>
          <w:color w:val="000000" w:themeColor="text1"/>
          <w:sz w:val="16"/>
          <w:szCs w:val="16"/>
        </w:rPr>
        <w:t>Парашют должен был обеспечить спуск гондолы массой 2 500 кг с высоты 35 000 м со скоростью снижения 3,5–4,0 м/с (у земли), причем независимо от того, отсоединена оболочка или нет. Стабилизирующее устройство парашюта обеспечивало бы нормальное падение гондолы без перевертывания и вращения при отрыве оболочки или отказе парашюта. Масса парашюта в упаковке должна была превышать 100 кг. Построить такой парашют не позднее 5 мая 1935 года должен был завод № 1 Наркомата легкой промышленности, где директором был знаменитый Савицкий (19611).</w:t>
      </w:r>
    </w:p>
    <w:p w14:paraId="33CC5D72" w14:textId="77777777" w:rsidR="00E65C7F" w:rsidRPr="005E779E" w:rsidRDefault="00E65C7F" w:rsidP="000B7A6C">
      <w:pPr>
        <w:spacing w:after="0" w:line="240" w:lineRule="auto"/>
        <w:jc w:val="both"/>
        <w:rPr>
          <w:rFonts w:ascii="Times New Roman" w:hAnsi="Times New Roman"/>
          <w:color w:val="000000" w:themeColor="text1"/>
          <w:sz w:val="16"/>
          <w:szCs w:val="16"/>
        </w:rPr>
      </w:pPr>
    </w:p>
    <w:p w14:paraId="7CCC0C9F" w14:textId="6A0CB073" w:rsidR="00D57D9E" w:rsidRPr="005E779E" w:rsidRDefault="00D57D9E" w:rsidP="00D57D9E">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Аомия</w:t>
      </w:r>
      <w:r w:rsidRPr="005E779E">
        <w:rPr>
          <w:rFonts w:ascii="Times New Roman" w:hAnsi="Times New Roman"/>
          <w:i/>
          <w:iCs/>
          <w:color w:val="000000" w:themeColor="text1"/>
          <w:sz w:val="16"/>
          <w:szCs w:val="16"/>
        </w:rPr>
        <w:t>:</w:t>
      </w:r>
    </w:p>
    <w:p w14:paraId="3B0D32F6" w14:textId="77777777" w:rsidR="00D57D9E" w:rsidRPr="005E779E" w:rsidRDefault="00D57D9E" w:rsidP="00D57D9E">
      <w:pPr>
        <w:autoSpaceDE w:val="0"/>
        <w:autoSpaceDN w:val="0"/>
        <w:adjustRightInd w:val="0"/>
        <w:spacing w:after="0" w:line="240" w:lineRule="auto"/>
        <w:jc w:val="both"/>
        <w:rPr>
          <w:rFonts w:ascii="Times New Roman" w:hAnsi="Times New Roman"/>
          <w:iCs/>
          <w:color w:val="000000" w:themeColor="text1"/>
          <w:sz w:val="16"/>
          <w:szCs w:val="16"/>
        </w:rPr>
      </w:pPr>
    </w:p>
    <w:p w14:paraId="662031AD" w14:textId="77777777" w:rsidR="00D57D9E" w:rsidRPr="00142305" w:rsidRDefault="00D57D9E" w:rsidP="00D57D9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21 марта 1931 г. во все военные школы ВВС была направлена «Инструкция по отбору кандидатов в Военные школы Военных Воздушных Сил Р.К.К.А.» (РГВА. Ф. 29. Оп. 23. Д. 297. Л. 113 114), в которой указывалось, что «в школы ВВС принимаются:</w:t>
      </w:r>
    </w:p>
    <w:p w14:paraId="7C1E9F26" w14:textId="77777777" w:rsidR="00D57D9E" w:rsidRPr="00142305" w:rsidRDefault="00D57D9E" w:rsidP="00D57D9E">
      <w:pPr>
        <w:widowControl w:val="0"/>
        <w:tabs>
          <w:tab w:val="left" w:pos="741"/>
        </w:tabs>
        <w:spacing w:after="0" w:line="240" w:lineRule="auto"/>
        <w:jc w:val="both"/>
        <w:rPr>
          <w:rFonts w:ascii="Times New Roman" w:hAnsi="Times New Roman"/>
          <w:color w:val="0070C0"/>
          <w:sz w:val="16"/>
          <w:szCs w:val="16"/>
        </w:rPr>
      </w:pPr>
      <w:bookmarkStart w:id="23" w:name="bookmark433"/>
      <w:bookmarkEnd w:id="23"/>
      <w:r w:rsidRPr="00142305">
        <w:rPr>
          <w:rFonts w:ascii="Times New Roman" w:hAnsi="Times New Roman"/>
          <w:color w:val="0070C0"/>
          <w:sz w:val="16"/>
          <w:szCs w:val="16"/>
        </w:rPr>
        <w:t>1. Военнослужащие - красноармейцы рядового состава, лица младшего начальствующего состава, а на курсы летчиков также и лица среднего начальствующего состава. Возраст до 27 лет.</w:t>
      </w:r>
    </w:p>
    <w:p w14:paraId="3DCC64D3" w14:textId="77777777" w:rsidR="00D57D9E" w:rsidRPr="00142305" w:rsidRDefault="00D57D9E" w:rsidP="00D57D9E">
      <w:pPr>
        <w:widowControl w:val="0"/>
        <w:tabs>
          <w:tab w:val="left" w:pos="748"/>
        </w:tabs>
        <w:spacing w:after="0" w:line="240" w:lineRule="auto"/>
        <w:jc w:val="both"/>
        <w:rPr>
          <w:rFonts w:ascii="Times New Roman" w:hAnsi="Times New Roman"/>
          <w:color w:val="0070C0"/>
          <w:sz w:val="16"/>
          <w:szCs w:val="16"/>
        </w:rPr>
      </w:pPr>
      <w:bookmarkStart w:id="24" w:name="bookmark434"/>
      <w:bookmarkEnd w:id="24"/>
      <w:r w:rsidRPr="00142305">
        <w:rPr>
          <w:rFonts w:ascii="Times New Roman" w:hAnsi="Times New Roman"/>
          <w:color w:val="0070C0"/>
          <w:sz w:val="16"/>
          <w:szCs w:val="16"/>
        </w:rPr>
        <w:t>2. Невоеннослужащие, направляемые в Школы Авиационных Техников и техников специальных служб - через организации ВЛКСМ. В школы принимаются лица в возрасте от 18 до 24 лет.</w:t>
      </w:r>
    </w:p>
    <w:p w14:paraId="6544BB68" w14:textId="77777777" w:rsidR="00D57D9E" w:rsidRPr="00142305" w:rsidRDefault="00D57D9E" w:rsidP="00D57D9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Требования: Хорошее состояние здоровья (...)</w:t>
      </w:r>
    </w:p>
    <w:p w14:paraId="18D66CEF" w14:textId="77777777" w:rsidR="00D57D9E" w:rsidRPr="00142305" w:rsidRDefault="00D57D9E" w:rsidP="00D57D9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Знания по русскому языку, математике, физике и политграмоте в объеме 5 групп семилетки. (...)</w:t>
      </w:r>
    </w:p>
    <w:p w14:paraId="751DD2BB" w14:textId="77777777" w:rsidR="00D57D9E" w:rsidRPr="00142305" w:rsidRDefault="00D57D9E" w:rsidP="00D57D9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 комплектовании школ ВВС надлежит руководствоваться следующими нормами социального состава:</w:t>
      </w:r>
    </w:p>
    <w:p w14:paraId="142A3BD5" w14:textId="77777777" w:rsidR="00D57D9E" w:rsidRPr="00142305" w:rsidRDefault="00D57D9E" w:rsidP="00D57D9E">
      <w:pPr>
        <w:tabs>
          <w:tab w:val="left" w:pos="770"/>
        </w:tabs>
        <w:spacing w:after="0" w:line="240" w:lineRule="auto"/>
        <w:jc w:val="both"/>
        <w:rPr>
          <w:rFonts w:ascii="Times New Roman" w:hAnsi="Times New Roman"/>
          <w:color w:val="0070C0"/>
          <w:sz w:val="16"/>
          <w:szCs w:val="16"/>
        </w:rPr>
      </w:pPr>
      <w:bookmarkStart w:id="25" w:name="bookmark435"/>
      <w:r w:rsidRPr="00142305">
        <w:rPr>
          <w:rFonts w:ascii="Times New Roman" w:hAnsi="Times New Roman"/>
          <w:color w:val="0070C0"/>
          <w:sz w:val="16"/>
          <w:szCs w:val="16"/>
        </w:rPr>
        <w:t>а</w:t>
      </w:r>
      <w:bookmarkEnd w:id="25"/>
      <w:r w:rsidRPr="00142305">
        <w:rPr>
          <w:rFonts w:ascii="Times New Roman" w:hAnsi="Times New Roman"/>
          <w:color w:val="0070C0"/>
          <w:sz w:val="16"/>
          <w:szCs w:val="16"/>
        </w:rPr>
        <w:t>) рабочих с производств - со стажем не менее 2-х лет - 75 %;</w:t>
      </w:r>
    </w:p>
    <w:p w14:paraId="3346236F" w14:textId="77777777" w:rsidR="00D57D9E" w:rsidRPr="00142305" w:rsidRDefault="00D57D9E" w:rsidP="00D57D9E">
      <w:pPr>
        <w:tabs>
          <w:tab w:val="left" w:pos="780"/>
        </w:tabs>
        <w:spacing w:after="0" w:line="240" w:lineRule="auto"/>
        <w:jc w:val="both"/>
        <w:rPr>
          <w:rFonts w:ascii="Times New Roman" w:hAnsi="Times New Roman"/>
          <w:color w:val="0070C0"/>
          <w:sz w:val="16"/>
          <w:szCs w:val="16"/>
        </w:rPr>
      </w:pPr>
      <w:bookmarkStart w:id="26" w:name="bookmark436"/>
      <w:r w:rsidRPr="00142305">
        <w:rPr>
          <w:rFonts w:ascii="Times New Roman" w:hAnsi="Times New Roman"/>
          <w:color w:val="0070C0"/>
          <w:sz w:val="16"/>
          <w:szCs w:val="16"/>
        </w:rPr>
        <w:t>б</w:t>
      </w:r>
      <w:bookmarkEnd w:id="26"/>
      <w:r w:rsidRPr="00142305">
        <w:rPr>
          <w:rFonts w:ascii="Times New Roman" w:hAnsi="Times New Roman"/>
          <w:color w:val="0070C0"/>
          <w:sz w:val="16"/>
          <w:szCs w:val="16"/>
        </w:rPr>
        <w:t>) колхозников и батраков - со стажем не менее 2-х лет - 20 %;</w:t>
      </w:r>
    </w:p>
    <w:p w14:paraId="24CA36FD" w14:textId="24D4C9E2" w:rsidR="00D57D9E" w:rsidRPr="00D57D9E" w:rsidRDefault="00D57D9E" w:rsidP="00D57D9E">
      <w:pPr>
        <w:pStyle w:val="aff3"/>
        <w:tabs>
          <w:tab w:val="left" w:pos="685"/>
        </w:tabs>
        <w:spacing w:line="240" w:lineRule="auto"/>
        <w:rPr>
          <w:rFonts w:ascii="Times New Roman" w:hAnsi="Times New Roman" w:cs="Times New Roman"/>
          <w:i w:val="0"/>
          <w:iCs w:val="0"/>
          <w:color w:val="0070C0"/>
          <w:sz w:val="16"/>
          <w:szCs w:val="16"/>
          <w:lang w:val="ru-RU"/>
        </w:rPr>
      </w:pPr>
      <w:bookmarkStart w:id="27" w:name="bookmark437"/>
      <w:r w:rsidRPr="00D57D9E">
        <w:rPr>
          <w:rFonts w:ascii="Times New Roman" w:hAnsi="Times New Roman" w:cs="Times New Roman"/>
          <w:i w:val="0"/>
          <w:iCs w:val="0"/>
          <w:color w:val="0070C0"/>
          <w:sz w:val="16"/>
          <w:szCs w:val="16"/>
          <w:lang w:val="ru-RU"/>
        </w:rPr>
        <w:t>в</w:t>
      </w:r>
      <w:bookmarkEnd w:id="27"/>
      <w:r w:rsidRPr="00D57D9E">
        <w:rPr>
          <w:rFonts w:ascii="Times New Roman" w:hAnsi="Times New Roman" w:cs="Times New Roman"/>
          <w:i w:val="0"/>
          <w:iCs w:val="0"/>
          <w:color w:val="0070C0"/>
          <w:sz w:val="16"/>
          <w:szCs w:val="16"/>
          <w:lang w:val="ru-RU"/>
        </w:rPr>
        <w:t>) детей рабочих и служащих - не более 5 %» (РГВА. Ф. 29. Оп. 23.Д. 297. Л. 113-114;</w:t>
      </w:r>
      <w:r w:rsidR="00FE094E">
        <w:rPr>
          <w:rFonts w:ascii="Times New Roman" w:hAnsi="Times New Roman" w:cs="Times New Roman"/>
          <w:i w:val="0"/>
          <w:iCs w:val="0"/>
          <w:color w:val="0070C0"/>
          <w:sz w:val="16"/>
          <w:szCs w:val="16"/>
          <w:lang w:val="ru-RU"/>
        </w:rPr>
        <w:t xml:space="preserve"> </w:t>
      </w:r>
      <w:r w:rsidRPr="00D57D9E">
        <w:rPr>
          <w:rFonts w:ascii="Times New Roman" w:hAnsi="Times New Roman" w:cs="Times New Roman"/>
          <w:i w:val="0"/>
          <w:iCs w:val="0"/>
          <w:color w:val="0070C0"/>
          <w:sz w:val="16"/>
          <w:szCs w:val="16"/>
          <w:lang w:val="ru-RU"/>
        </w:rPr>
        <w:t>Советская военная энциклопедия. - Т. 8. - С. 521) (24967).</w:t>
      </w:r>
    </w:p>
    <w:p w14:paraId="7CAC3D55" w14:textId="77777777" w:rsidR="00D57D9E" w:rsidRPr="00142305" w:rsidRDefault="00D57D9E" w:rsidP="00D57D9E">
      <w:pPr>
        <w:spacing w:after="0" w:line="240" w:lineRule="auto"/>
        <w:jc w:val="both"/>
        <w:rPr>
          <w:rFonts w:ascii="Times New Roman" w:hAnsi="Times New Roman"/>
          <w:color w:val="0070C0"/>
          <w:sz w:val="16"/>
          <w:szCs w:val="16"/>
        </w:rPr>
      </w:pPr>
    </w:p>
    <w:p w14:paraId="76B9D345" w14:textId="77777777" w:rsidR="00D57D9E" w:rsidRPr="00142305" w:rsidRDefault="00D57D9E" w:rsidP="00D57D9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21 марта 1931 г. во все военные школы ВВС была направлена «Инструкция по отбору кандидатов в Военные школы Военных Воздушных сил Р.К.К.А.» (РГВА. Ф. 29. Оп. 23. Д. 297. Л. 113-114), в которой указывалось, что «в школы ВВС принимаются:</w:t>
      </w:r>
    </w:p>
    <w:p w14:paraId="51EB05C3" w14:textId="77777777" w:rsidR="00D57D9E" w:rsidRPr="00142305" w:rsidRDefault="00D57D9E" w:rsidP="00D57D9E">
      <w:pPr>
        <w:widowControl w:val="0"/>
        <w:tabs>
          <w:tab w:val="left" w:pos="734"/>
        </w:tabs>
        <w:spacing w:after="0" w:line="240" w:lineRule="auto"/>
        <w:jc w:val="both"/>
        <w:rPr>
          <w:rFonts w:ascii="Times New Roman" w:hAnsi="Times New Roman"/>
          <w:color w:val="0070C0"/>
          <w:sz w:val="16"/>
          <w:szCs w:val="16"/>
        </w:rPr>
      </w:pPr>
      <w:bookmarkStart w:id="28" w:name="bookmark54"/>
      <w:bookmarkEnd w:id="28"/>
      <w:r w:rsidRPr="00142305">
        <w:rPr>
          <w:rFonts w:ascii="Times New Roman" w:hAnsi="Times New Roman"/>
          <w:color w:val="0070C0"/>
          <w:sz w:val="16"/>
          <w:szCs w:val="16"/>
        </w:rPr>
        <w:t>1. Военнослужащие - красноармейцы рядового состава, лица младшего начальствующего состава, а на курсы летчиков также и лица среднего начальствующего состава. Возраст - до 27 лет.</w:t>
      </w:r>
    </w:p>
    <w:p w14:paraId="4048E1E2" w14:textId="77777777" w:rsidR="00D57D9E" w:rsidRPr="00142305" w:rsidRDefault="00D57D9E" w:rsidP="00D57D9E">
      <w:pPr>
        <w:widowControl w:val="0"/>
        <w:tabs>
          <w:tab w:val="left" w:pos="741"/>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 Невоеннослужащие, направляемые в школы авиационных техников и техников специальных служб, - через организации ВЛКСМ. В школы принимаются лица в возрасте от 18 до 24 лет».</w:t>
      </w:r>
    </w:p>
    <w:p w14:paraId="470E5EFD" w14:textId="77777777" w:rsidR="00D57D9E" w:rsidRPr="00142305" w:rsidRDefault="00D57D9E" w:rsidP="00D57D9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Важным источником комплектования авиашкол в конце 1920-х гг. стал Осоавиахим. Поэтому шефство над его школами взяли ВВС, назначив авиаформирования шефами по территориальному принципу (24968).</w:t>
      </w:r>
    </w:p>
    <w:p w14:paraId="0D5ED91E" w14:textId="77777777" w:rsidR="00D57D9E" w:rsidRPr="00142305" w:rsidRDefault="00D57D9E" w:rsidP="00D57D9E">
      <w:pPr>
        <w:spacing w:after="0" w:line="240" w:lineRule="auto"/>
        <w:jc w:val="both"/>
        <w:rPr>
          <w:rFonts w:ascii="Times New Roman" w:hAnsi="Times New Roman"/>
          <w:color w:val="0070C0"/>
          <w:sz w:val="16"/>
          <w:szCs w:val="16"/>
        </w:rPr>
      </w:pPr>
    </w:p>
    <w:p w14:paraId="4229C058"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56C4D951"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8D1E1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 марта 1931 вышло Постановление ЦК ВКП(б) "О партийной и массовой работе и подготовке кадров для Харьковского тракторостроя" (10687).</w:t>
      </w:r>
    </w:p>
    <w:p w14:paraId="06B572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A00BE9D"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099D7F14"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A20E76C" w14:textId="77777777" w:rsidR="001707A1" w:rsidRPr="005E779E" w:rsidRDefault="001707A1"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21 марта</w:t>
      </w:r>
      <w:r w:rsidRPr="005E779E">
        <w:rPr>
          <w:rFonts w:ascii="Times New Roman" w:hAnsi="Times New Roman"/>
          <w:color w:val="000000" w:themeColor="text1"/>
          <w:sz w:val="16"/>
          <w:szCs w:val="16"/>
        </w:rPr>
        <w:t xml:space="preserve"> в 1931 году во время очередного полета упала польская летающая лодка «PZL-12» фирмы «PZL». Её восстанавливать больше не стали (15075).</w:t>
      </w:r>
    </w:p>
    <w:p w14:paraId="5B5B0D2C" w14:textId="77777777" w:rsidR="001707A1" w:rsidRPr="005E779E" w:rsidRDefault="001707A1" w:rsidP="000B7A6C">
      <w:pPr>
        <w:spacing w:after="0" w:line="240" w:lineRule="auto"/>
        <w:jc w:val="both"/>
        <w:rPr>
          <w:rFonts w:ascii="Times New Roman" w:hAnsi="Times New Roman"/>
          <w:color w:val="000000" w:themeColor="text1"/>
          <w:sz w:val="16"/>
          <w:szCs w:val="16"/>
        </w:rPr>
      </w:pPr>
    </w:p>
    <w:p w14:paraId="59B7557D" w14:textId="77777777" w:rsidR="00B112A6" w:rsidRPr="005E779E" w:rsidRDefault="00B112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 марта 1931 Зигмунт Пулавский, один из ведущих авиаконструкторов Польши, погиб во время шестого полета прототипа летающей лодки PZL.12, который он спроектировал и построил. PZL.12 остановился после взлета из-за сильного ветра и врезался в воду (20804).</w:t>
      </w:r>
    </w:p>
    <w:p w14:paraId="695789F4" w14:textId="77777777" w:rsidR="00B112A6" w:rsidRPr="005E779E" w:rsidRDefault="00B112A6" w:rsidP="000B7A6C">
      <w:pPr>
        <w:spacing w:after="0" w:line="240" w:lineRule="auto"/>
        <w:jc w:val="both"/>
        <w:rPr>
          <w:rFonts w:ascii="Times New Roman" w:hAnsi="Times New Roman"/>
          <w:color w:val="000000" w:themeColor="text1"/>
          <w:sz w:val="16"/>
          <w:szCs w:val="16"/>
        </w:rPr>
      </w:pPr>
    </w:p>
    <w:p w14:paraId="0028A4CE" w14:textId="77777777" w:rsidR="00B112A6" w:rsidRPr="005E779E" w:rsidRDefault="00B112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 марта 1931 Австралия терпит первую авиакатастрофу, когда австралийская национальная авиалиния Avro 618 Ten Southern Cloud исчезает в плохую погоду над Снежными горами в Новом Южном Уэльсе, Австралия, в результате чего погибли все восемь человек на борту. Обломки не будут обнаружены до 26 октября 1958 года (20804).</w:t>
      </w:r>
    </w:p>
    <w:p w14:paraId="32471D06" w14:textId="77777777" w:rsidR="00B112A6" w:rsidRPr="005E779E" w:rsidRDefault="00B112A6" w:rsidP="000B7A6C">
      <w:pPr>
        <w:spacing w:after="0" w:line="240" w:lineRule="auto"/>
        <w:jc w:val="both"/>
        <w:rPr>
          <w:rFonts w:ascii="Times New Roman" w:hAnsi="Times New Roman"/>
          <w:color w:val="000000" w:themeColor="text1"/>
          <w:sz w:val="16"/>
          <w:szCs w:val="16"/>
        </w:rPr>
      </w:pPr>
    </w:p>
    <w:p w14:paraId="4F1543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 марта 1931 в воздух поднялся Hawker Fury - биплан с Kestrel IIS 525 нр и скоростью 335 км/час - прямой предшественник Harrikane - и в том же году начали серию (3774,41).</w:t>
      </w:r>
    </w:p>
    <w:p w14:paraId="7DC787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AB59F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 марта 1931 Австрия и Германия подписали договор о таможенном союзе. Франция, Италия и Чехословакия - протестовали и вопрос был передан в Лигу наций и Постоянную палату международного правосудия (3907,167).</w:t>
      </w:r>
    </w:p>
    <w:p w14:paraId="54BBAC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ECDFADC"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7F1DB18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13129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 марта 1931 г. пом. нач. НИИ ВВС Коннэрт писал письмо N 137с/815с в УСС ВВС.</w:t>
      </w:r>
    </w:p>
    <w:p w14:paraId="461A34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сем представляется отчет по испытанию стрелкового вооружения (пул. 9 бис с ПВ1) на самолетах И-4 Ю-6.</w:t>
      </w:r>
    </w:p>
    <w:p w14:paraId="764A2B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w:t>
      </w:r>
    </w:p>
    <w:p w14:paraId="167215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 самолета И-4 с ПВ1 после устранения дефектов, отмеченных в отчете и внесения переделок может быть допущен для эксплуатации в частях ВВС (3261).</w:t>
      </w:r>
    </w:p>
    <w:p w14:paraId="31B27B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74421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3 декабря 1930 года по 11 января 1931 года и с 2 марта 1931 года по 22 марта 1931 года в НИАПе были проведены испытания опытной партии 2-кг осколочных бомб (3326).</w:t>
      </w:r>
    </w:p>
    <w:p w14:paraId="7BBF02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8B5476E" w14:textId="77777777" w:rsidR="006A088C" w:rsidRPr="005E779E" w:rsidRDefault="006A088C"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hAnsi="Times New Roman"/>
          <w:color w:val="000000" w:themeColor="text1"/>
          <w:sz w:val="16"/>
          <w:szCs w:val="16"/>
        </w:rPr>
        <w:t>22 марта 1931 г., за 5 дней до окончания Академии, Яковлев выступил на заседании президиума ячейки самолётчиков с докладом о работе по академической авиетке. Этот совершенно неизвестный самолёт представлял очередное партийное поручение Яковлева. Судя по протоколу, его проектирование началось в 1930 г., и было сделано следующее: схема, общий вид, компоновка машины под новый мотор, центровка и др. В прениях, как повелось, обсуждали не академическую авиетку, а Яковлева, который, как сообщил Белозёров, «мало обращает внимания на свою теоретическую подготовку. По сдаче ленинизма сумел преподавателю втереть очки. По диамату ничего не читал. При постройке авиеток работает индивидуально и игнорирует общественные организации Академии». И дальше в том же духе. «Постановили: Доклад т. Яковлева принять к сведению. Президиум рекомендует т. Яковлеву в дальнейшем обратить больше внимания на своё общественнополитическое развитие, на необходимость большего активного участия в общественной работе и на необходимость быть поближе к общественным и парторганизациям по месту своей работы» (21471).</w:t>
      </w:r>
    </w:p>
    <w:p w14:paraId="5D823780" w14:textId="77777777" w:rsidR="006A088C" w:rsidRPr="005E779E" w:rsidRDefault="006A088C"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9E1455F"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022F3BBC"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91356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марта 1931 г. состоялось совещание в производственно-техническом отделе УСС УВВС (Протокол N 135 с) О порядке серийной постройки самолетов Савойя С62-бис.</w:t>
      </w:r>
    </w:p>
    <w:p w14:paraId="25DE66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Все самолеты серийной постройки, строящиеся по итальянским чертежам должны быть идентичны с итальянскими самолетами, причем самолеты должны во всем соответствовать ТУ, утвержденным 1-ой секцией НТК 6.10 N 26с.</w:t>
      </w:r>
    </w:p>
    <w:p w14:paraId="601A9E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Самолеты строящиеся по образцу (5 шт.) (3270).</w:t>
      </w:r>
    </w:p>
    <w:p w14:paraId="783FF1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82D8E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марта 1931 Пом. начальника НИИ Коннэрт утвердил Отчет по испытаниям ударного приспособления к практическим цементным бомбам П-7 и П-25 конструкции КБ УВВС.</w:t>
      </w:r>
    </w:p>
    <w:p w14:paraId="16B958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w:t>
      </w:r>
    </w:p>
    <w:p w14:paraId="5F800F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Ударное приспособление испытаний не выдержало (3208,50-63).</w:t>
      </w:r>
    </w:p>
    <w:p w14:paraId="4ECD43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397FC8E"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68C0A52E"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18DCE7F" w14:textId="77777777" w:rsidR="001707A1" w:rsidRPr="005E779E" w:rsidRDefault="001707A1"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23 марта</w:t>
      </w:r>
      <w:r w:rsidRPr="005E779E">
        <w:rPr>
          <w:rFonts w:ascii="Times New Roman" w:hAnsi="Times New Roman"/>
          <w:color w:val="000000" w:themeColor="text1"/>
          <w:sz w:val="16"/>
          <w:szCs w:val="16"/>
        </w:rPr>
        <w:t xml:space="preserve"> в 1931 году французские летчики Lucien Bossoutrot и Maurice Rossi устанавливают новый мировой рекорд, преодолев на французском рекордном самолете </w:t>
      </w:r>
      <w:hyperlink r:id="rId38" w:tgtFrame="_blank" w:history="1">
        <w:r w:rsidRPr="005E779E">
          <w:rPr>
            <w:rFonts w:ascii="Times New Roman" w:hAnsi="Times New Roman"/>
            <w:color w:val="000000" w:themeColor="text1"/>
            <w:sz w:val="16"/>
            <w:szCs w:val="16"/>
          </w:rPr>
          <w:t xml:space="preserve">«Bl-110» «Joseph Le Brix» </w:t>
        </w:r>
      </w:hyperlink>
      <w:r w:rsidRPr="005E779E">
        <w:rPr>
          <w:rFonts w:ascii="Times New Roman" w:hAnsi="Times New Roman"/>
          <w:color w:val="000000" w:themeColor="text1"/>
          <w:sz w:val="16"/>
          <w:szCs w:val="16"/>
        </w:rPr>
        <w:t>10601 километров за 76 часов и 34 минуты. «Bl-110» «Joseph Le Brix» - рекордный самолет, разработанный французской фирмой «Bleriot». Первый полет самолета состоялся 16 мая 1930 года. 26 февраля 1931 года, после проведения испытаний, французские летчики Lucien Bossoutrot и Maurice Rossi совершили на нем перелет преодолев 8822 километров за 75 часов и 23 минуты. Полет закончившийся 1 марта стал мировым рекордом для полетов по замкнутой петле (15077).</w:t>
      </w:r>
    </w:p>
    <w:p w14:paraId="7837B07B" w14:textId="77777777" w:rsidR="001707A1" w:rsidRPr="005E779E" w:rsidRDefault="001707A1" w:rsidP="000B7A6C">
      <w:pPr>
        <w:spacing w:after="0" w:line="240" w:lineRule="auto"/>
        <w:jc w:val="both"/>
        <w:rPr>
          <w:rFonts w:ascii="Times New Roman" w:hAnsi="Times New Roman"/>
          <w:color w:val="000000" w:themeColor="text1"/>
          <w:sz w:val="16"/>
          <w:szCs w:val="16"/>
        </w:rPr>
      </w:pPr>
    </w:p>
    <w:p w14:paraId="0B7A506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марта 1931 в штате белоэмигрантского Российского Общевоинского Союза (РОВС) введена должность начальника кавалерии (при том, что в распоряжении Союза не было ни одной лошади) (4962).</w:t>
      </w:r>
    </w:p>
    <w:p w14:paraId="6E6C353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438EF3"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62CFCAD4"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8A51C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 марта 1931 г. закончилось специальное испытание самолета И-3 N 4364 с мотором М-17 N 26191 постройки завода N 1 сер. 9-й - колич. 38 шт. Винт зав. N 28, шаг 3615, диам. 2,95. Время закладки 22 июня 1930 г., которое проходило с 19 февраля 1931.</w:t>
      </w:r>
    </w:p>
    <w:p w14:paraId="515492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w:t>
      </w:r>
    </w:p>
    <w:p w14:paraId="348E04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результатам взвешивания, определения центра тяжести, скороподъемности, скорости и управляемости, самолеты данной серии могут быть приняты на снабжение ВВС (3251,3-6).</w:t>
      </w:r>
    </w:p>
    <w:p w14:paraId="475BD3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8DD99DE"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586495AA"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5CE878E" w14:textId="77777777" w:rsidR="00083CD8" w:rsidRPr="005E779E" w:rsidRDefault="00083CD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 марта 1931 г. на ХПЗ в сборке находились уже три танка, а 31 марта была окончательно готова первая машина из опытной серии, которую опробовали работой на холостом ходу (без гусениц) и под нагрузкой — движением по кабестану на гусеницах. Второй танк изготовили 1 апреля 1931 г. Сборка остальных четырех машин (для которых к этому времени подали корпуса) задерживалась из-за отсутствия ряда деталей и механизмов. При сборке и опробовании двух собранных танков были обнаружены различные дефекты. Основными причинами являлись низкое качество механической обработки деталей, недостатки конструкции самой машины (коробки передач, тормозов, вентиляторов системы охлаждения двигателя и др.), отсутствие необходимого опыта инженерно-технического персонала завода в части механической и термической обработки деталей, а также процессов сборки как механизмов, так и машины в целом. Однако опыт сборки первых машин, несмотря на выявленные дефекты, показал, что при обеспечении скомплектованными и подогнанными механизмами сам процесс постройки Т-24 не представляет каких-либо трудностей. Тем не менее, по решению правительства, заказ на танки Т-24 в апреле 1931 г. был сокращен до 80, а затем и до 24 машин (постановление Комиссии обороны СССР от 23 мая 1931 г.) (12303).</w:t>
      </w:r>
    </w:p>
    <w:p w14:paraId="7F332288" w14:textId="77777777" w:rsidR="00083CD8" w:rsidRPr="005E779E" w:rsidRDefault="00083CD8" w:rsidP="000B7A6C">
      <w:pPr>
        <w:spacing w:after="0" w:line="240" w:lineRule="auto"/>
        <w:jc w:val="both"/>
        <w:rPr>
          <w:rFonts w:ascii="Times New Roman" w:hAnsi="Times New Roman"/>
          <w:color w:val="000000" w:themeColor="text1"/>
          <w:sz w:val="16"/>
          <w:szCs w:val="16"/>
        </w:rPr>
      </w:pPr>
    </w:p>
    <w:p w14:paraId="691D20DD" w14:textId="77777777" w:rsidR="00D57D9E" w:rsidRPr="00142305" w:rsidRDefault="00D57D9E" w:rsidP="00D57D9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24 марта 1931 г. на ХПЗ в сборке находились уже три танка Т-24, а 31 марта была окончательно готова первая машина из опытной серии, которую опробовали работой на холостом ходу (без гусениц) и под нагрузкой — движением по кабестану на гусеницах. Второй танк изготовили 1 апреля 1931 г. Сборка остальных четырех машин (для которых к этому времени подали корпуса) задерживалась из-за отсутствия ряда деталей и механизмов.</w:t>
      </w:r>
    </w:p>
    <w:p w14:paraId="1D82B4C0" w14:textId="77777777" w:rsidR="00D57D9E" w:rsidRPr="00142305" w:rsidRDefault="00D57D9E" w:rsidP="00D57D9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 сборке и опробовании двух собранных танков были обнаружены различные дефекты. Основными причинами являлись низкое качество механической обработки деталей, недостатки конструкции самой машины (коробки передач, тормозов, вентиляторов системы охлаждения двигателя и др.), отсутствие необходимого опыта инженерно-технического персонала завода в части механической и термической обработки деталей, а также процессов сборки как механизмов, так и машины в целом (26479).</w:t>
      </w:r>
    </w:p>
    <w:p w14:paraId="3A5CE3E5" w14:textId="77777777" w:rsidR="00D57D9E" w:rsidRPr="00142305" w:rsidRDefault="00D57D9E" w:rsidP="00D57D9E">
      <w:pPr>
        <w:spacing w:after="0" w:line="240" w:lineRule="auto"/>
        <w:jc w:val="both"/>
        <w:rPr>
          <w:rFonts w:ascii="Times New Roman" w:hAnsi="Times New Roman"/>
          <w:color w:val="0070C0"/>
          <w:sz w:val="16"/>
          <w:szCs w:val="16"/>
        </w:rPr>
      </w:pPr>
    </w:p>
    <w:p w14:paraId="67C0B45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 марта 1930 г. были подготовлены СООБРАЖЕНИЯ НАЧАЛЬНИКА УММ КОМАНДУЮЩЕМУ ЛВО О СИСТЕМЕ ТАНКОВОГО ВООРУЖЕНИЯ РККА</w:t>
      </w:r>
    </w:p>
    <w:p w14:paraId="66D34E0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Москва</w:t>
      </w:r>
    </w:p>
    <w:p w14:paraId="5365A6B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Трехлетний опыт в строительстве и применении танков и анализ взглядов передовых в этом отношении армий дали достаточный материал для критической проверки утвержденной 18 июня 1929 г. системы автобронетанкового вооружения РККА, который и положен в основу настоящей разработки.</w:t>
      </w:r>
    </w:p>
    <w:p w14:paraId="7DB935C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Принцип, положенный в основу разработки.</w:t>
      </w:r>
    </w:p>
    <w:p w14:paraId="455042A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основу системы вооружения должно быть положено ограниченное количество основных образцов, из которых путем второстепенных изменений могут быть выработаны машины специального назначения. При выработке этих основных образцов, так называемых классов танков определяющим факто</w:t>
      </w:r>
      <w:r w:rsidRPr="005E779E">
        <w:rPr>
          <w:rFonts w:ascii="Times New Roman" w:hAnsi="Times New Roman"/>
          <w:color w:val="000000" w:themeColor="text1"/>
          <w:sz w:val="16"/>
          <w:szCs w:val="16"/>
        </w:rPr>
        <w:softHyphen/>
        <w:t>ром должно явиться не какое-либо специальное задание, могущее быть возложенным на данный тип ма</w:t>
      </w:r>
      <w:r w:rsidRPr="005E779E">
        <w:rPr>
          <w:rFonts w:ascii="Times New Roman" w:hAnsi="Times New Roman"/>
          <w:color w:val="000000" w:themeColor="text1"/>
          <w:sz w:val="16"/>
          <w:szCs w:val="16"/>
        </w:rPr>
        <w:softHyphen/>
        <w:t>шины, а та общая тактическая обстановка, в которой машина данного класса должна будет действовать. Эти основные образцы танков должны быть специально сконструированными, высококачественными боевыми машинами. Недостаток их и промышленные возможности могут вынудить прибегнуть к созда-рюо танков-суррогатов, однако эти последние не могут составлять скелета системы вооружения.</w:t>
      </w:r>
    </w:p>
    <w:p w14:paraId="331A893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Тактические условия, требующие создания основных типов танков.</w:t>
      </w:r>
    </w:p>
    <w:p w14:paraId="1C0FD15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Случаи тактической обстановки, требующие боевой машины танкового типа, т.е. бронированной, боевой гусеничной машины ударно-огневого действия, могут быть сведены к следующим основным группам:</w:t>
      </w:r>
    </w:p>
    <w:p w14:paraId="25DDAFF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а) боевая разведка;</w:t>
      </w:r>
    </w:p>
    <w:p w14:paraId="44B4A8F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непосредственная поддержка пехоты, наступающей на подготовленного к обороне противника;</w:t>
      </w:r>
    </w:p>
    <w:p w14:paraId="61C3E15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самостоятельные действия танков против подвижного противника или действия в составе подвижных войск;</w:t>
      </w:r>
    </w:p>
    <w:p w14:paraId="32A8312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самостоятельные действия в глубине оборудованной оборонительной полосы противника.</w:t>
      </w:r>
    </w:p>
    <w:p w14:paraId="7973672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Только эти типичные случаи тактической обстановки требуют выработки специфических классов танков; все остальные тактические задачи могут быть разрешены либо колесными боевыми машинами (разведка тактическая и охранительная), либо машинами одного из перечисленных классов, (иногда с второстепенными конструкторскими изменениями.</w:t>
      </w:r>
    </w:p>
    <w:p w14:paraId="5B4870B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Типичные условия обстановки в их обобщенном виде применительно к перечисленным выше группам могут быть охарактеризованы следующим образом.</w:t>
      </w:r>
    </w:p>
    <w:p w14:paraId="051A30B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Боевая разведка. Действиями тактической разведки установлено наличие противника. Требует</w:t>
      </w:r>
      <w:r w:rsidRPr="005E779E">
        <w:rPr>
          <w:rFonts w:ascii="Times New Roman" w:hAnsi="Times New Roman"/>
          <w:color w:val="000000" w:themeColor="text1"/>
          <w:sz w:val="16"/>
          <w:szCs w:val="16"/>
        </w:rPr>
        <w:softHyphen/>
        <w:t>ся вызвать его огонь и определить контур его расположения и его пехотные огневые средства, дейст</w:t>
      </w:r>
      <w:r w:rsidRPr="005E779E">
        <w:rPr>
          <w:rFonts w:ascii="Times New Roman" w:hAnsi="Times New Roman"/>
          <w:color w:val="000000" w:themeColor="text1"/>
          <w:sz w:val="16"/>
          <w:szCs w:val="16"/>
        </w:rPr>
        <w:softHyphen/>
        <w:t>вующие с переднего края (фронта, фланга), после чего немедленно вернуться с личным донесением. Огонь противника неорганизованный и не мощный, по преимуществу пулеметный, пребывание под огнем непродолжительно, действия вплотную к противнику не обязательны. Средство защиты танка - малая высота, большая поворотливость и скорость. Основное качество - круговой обзор и обстрел.</w:t>
      </w:r>
    </w:p>
    <w:p w14:paraId="58CBDAC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Непосредственное сопровождение пехоты. Пехота атакует позицию главного сопротивления противника, но рискует быть оставленной не подавленными артиллерией огневыми точками про</w:t>
      </w:r>
      <w:r w:rsidRPr="005E779E">
        <w:rPr>
          <w:rFonts w:ascii="Times New Roman" w:hAnsi="Times New Roman"/>
          <w:color w:val="000000" w:themeColor="text1"/>
          <w:sz w:val="16"/>
          <w:szCs w:val="16"/>
        </w:rPr>
        <w:softHyphen/>
        <w:t>тивника. Задача танков - подавить огневые точки, т.е. пулеметы противника. Эти последние трудно обнаружимы, танки вынуждены их искать и часто возвращаться к своей пехоте. По танкам ведут огонь: часть станковых пулеметов, противотанковые орудия, кинжальные орудия полковой артилле</w:t>
      </w:r>
      <w:r w:rsidRPr="005E779E">
        <w:rPr>
          <w:rFonts w:ascii="Times New Roman" w:hAnsi="Times New Roman"/>
          <w:color w:val="000000" w:themeColor="text1"/>
          <w:sz w:val="16"/>
          <w:szCs w:val="16"/>
        </w:rPr>
        <w:softHyphen/>
        <w:t>рии и частично дивизионная артиллерия. Пребывание под огнем длительно, приходиться преодоле</w:t>
      </w:r>
      <w:r w:rsidRPr="005E779E">
        <w:rPr>
          <w:rFonts w:ascii="Times New Roman" w:hAnsi="Times New Roman"/>
          <w:color w:val="000000" w:themeColor="text1"/>
          <w:sz w:val="16"/>
          <w:szCs w:val="16"/>
        </w:rPr>
        <w:softHyphen/>
        <w:t>вать окопы, но возможно отыскание более удобных для этого мест. Средства защиты танка: сильное бронирование, достаточная подвижность.</w:t>
      </w:r>
    </w:p>
    <w:p w14:paraId="1F961A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Основное качество - вооружение, способное подавить укрытый пулемет и бороться с бронеси</w:t>
      </w:r>
      <w:r w:rsidRPr="005E779E">
        <w:rPr>
          <w:rFonts w:ascii="Times New Roman" w:hAnsi="Times New Roman"/>
          <w:color w:val="000000" w:themeColor="text1"/>
          <w:sz w:val="16"/>
          <w:szCs w:val="16"/>
        </w:rPr>
        <w:softHyphen/>
        <w:t>лами и противотанковыми пушками.</w:t>
      </w:r>
    </w:p>
    <w:p w14:paraId="5C82AE0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Действия с подвижными войсками. Подвижные войска развертываются, столкнувшись с под</w:t>
      </w:r>
      <w:r w:rsidRPr="005E779E">
        <w:rPr>
          <w:rFonts w:ascii="Times New Roman" w:hAnsi="Times New Roman"/>
          <w:color w:val="000000" w:themeColor="text1"/>
          <w:sz w:val="16"/>
          <w:szCs w:val="16"/>
        </w:rPr>
        <w:softHyphen/>
        <w:t>вижным и насыщенным огневыми средствами противником. Необходим быстрый и мощный удар, разбивающий боевой порядок противника и разбивающий его бронесилы. Танки атакуют самосто</w:t>
      </w:r>
      <w:r w:rsidRPr="005E779E">
        <w:rPr>
          <w:rFonts w:ascii="Times New Roman" w:hAnsi="Times New Roman"/>
          <w:color w:val="000000" w:themeColor="text1"/>
          <w:sz w:val="16"/>
          <w:szCs w:val="16"/>
        </w:rPr>
        <w:softHyphen/>
        <w:t>ятельно, не оглядываясь на сопровождение. Движение танков очень быстрое, пребывание под сис</w:t>
      </w:r>
      <w:r w:rsidRPr="005E779E">
        <w:rPr>
          <w:rFonts w:ascii="Times New Roman" w:hAnsi="Times New Roman"/>
          <w:color w:val="000000" w:themeColor="text1"/>
          <w:sz w:val="16"/>
          <w:szCs w:val="16"/>
        </w:rPr>
        <w:softHyphen/>
        <w:t>тематизированным огнем всех видов непродолжительное. Приходится преодолевать канавы, воз</w:t>
      </w:r>
      <w:r w:rsidRPr="005E779E">
        <w:rPr>
          <w:rFonts w:ascii="Times New Roman" w:hAnsi="Times New Roman"/>
          <w:color w:val="000000" w:themeColor="text1"/>
          <w:sz w:val="16"/>
          <w:szCs w:val="16"/>
        </w:rPr>
        <w:softHyphen/>
        <w:t>можно рвы и окопы. Средства защиты танка - большая скорость и поворотливость.</w:t>
      </w:r>
    </w:p>
    <w:p w14:paraId="1C5A6DF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Основное качество - способность подавлять пулеметы и бороться с бронесилами и противотан</w:t>
      </w:r>
      <w:r w:rsidRPr="005E779E">
        <w:rPr>
          <w:rFonts w:ascii="Times New Roman" w:hAnsi="Times New Roman"/>
          <w:color w:val="000000" w:themeColor="text1"/>
          <w:sz w:val="16"/>
          <w:szCs w:val="16"/>
        </w:rPr>
        <w:softHyphen/>
        <w:t>ковыми пушками.</w:t>
      </w:r>
    </w:p>
    <w:p w14:paraId="5438DA5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Действия в глубине оборудованной оборонительной полосы. Пехота с другими танками атакует позицию главного сопротивления; на данные танки возложена задача возможно быстрее проскочить оборонительную полосу противника и разгромить его средства усиления, управления и резер</w:t>
      </w:r>
      <w:r w:rsidRPr="005E779E">
        <w:rPr>
          <w:rFonts w:ascii="Times New Roman" w:hAnsi="Times New Roman"/>
          <w:color w:val="000000" w:themeColor="text1"/>
          <w:sz w:val="16"/>
          <w:szCs w:val="16"/>
        </w:rPr>
        <w:softHyphen/>
        <w:t>вы. Эти объекты большей частью подвижны и частью обладают большой огневой силой. При быст</w:t>
      </w:r>
      <w:r w:rsidRPr="005E779E">
        <w:rPr>
          <w:rFonts w:ascii="Times New Roman" w:hAnsi="Times New Roman"/>
          <w:color w:val="000000" w:themeColor="text1"/>
          <w:sz w:val="16"/>
          <w:szCs w:val="16"/>
        </w:rPr>
        <w:softHyphen/>
        <w:t>ром движении сквозь оборонительную полосу необходимо не задерживаться для отыскания удоб</w:t>
      </w:r>
      <w:r w:rsidRPr="005E779E">
        <w:rPr>
          <w:rFonts w:ascii="Times New Roman" w:hAnsi="Times New Roman"/>
          <w:color w:val="000000" w:themeColor="text1"/>
          <w:sz w:val="16"/>
          <w:szCs w:val="16"/>
        </w:rPr>
        <w:softHyphen/>
        <w:t>ных мест переходов через окопы, рвы и другие препятствия. Средства защиты танка - сильное бронирование и мощный огонь. Основное качество - легкое преодоление препятствий и дальность огня, способного пробивать броню.</w:t>
      </w:r>
    </w:p>
    <w:p w14:paraId="241D3E5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Машины, способные к действиям в четырех приведенных выше типах обстановки, способны и к выполнению других задач. Так, машина первого типа, т.е. разведчик, пригодна для нападения из за</w:t>
      </w:r>
      <w:r w:rsidRPr="005E779E">
        <w:rPr>
          <w:rFonts w:ascii="Times New Roman" w:hAnsi="Times New Roman"/>
          <w:color w:val="000000" w:themeColor="text1"/>
          <w:sz w:val="16"/>
          <w:szCs w:val="16"/>
        </w:rPr>
        <w:softHyphen/>
        <w:t>сады и для преследования расстроенного противника; танк сопровождения пехоты может быть использован не только в группе НПП, но и в группе ДПП. Высокоподвижный танк может помимо дей</w:t>
      </w:r>
      <w:r w:rsidRPr="005E779E">
        <w:rPr>
          <w:rFonts w:ascii="Times New Roman" w:hAnsi="Times New Roman"/>
          <w:color w:val="000000" w:themeColor="text1"/>
          <w:sz w:val="16"/>
          <w:szCs w:val="16"/>
        </w:rPr>
        <w:softHyphen/>
        <w:t>ствий с подвижными войсками, т.е. конницей и мехчастями применяться и как танк НПП, ДПП и, в отдельных случаях, как танк ДД. Машина для действия в глубине - помимо своего прямого назначения в качестве танка дальнего действия (ДД) может служить мощным средством усиления танкового удара мехчастей или танком ПП в позиционной войне. Однако, основные назначения их остаюм ся, как было указано выше и соответственно этому казалось бы, что танки должны быть разделены на 4 класса: танки - разведчики, танки поддержки пехоты, танки механизированного маневра и тан</w:t>
      </w:r>
      <w:r w:rsidRPr="005E779E">
        <w:rPr>
          <w:rFonts w:ascii="Times New Roman" w:hAnsi="Times New Roman"/>
          <w:color w:val="000000" w:themeColor="text1"/>
          <w:sz w:val="16"/>
          <w:szCs w:val="16"/>
        </w:rPr>
        <w:softHyphen/>
        <w:t>ки дальнего действия. Однако: 1) желательно свести число классов к минимуму и 2) теоретическое изучение вопросов противотанковой обороны в перспективе недалекого будущего приводит к заключению, что в будущей войне никакая броня не спасет тихоходные танки от уничтожения. Имея в виду, что танки поддержки пехоты отличаются от танков механизированного маневра лишь более сильным бронированием и меньшим ходом - будет целесообразно поступиться бронированием объединить их в один класс, имеющий характеристику описанного выше танка для действий с по, вижными войсками. Этот танк служил бы и костяком легких мехсоединений, задачам против ковой борьбы и задачам поддержки пехоты и конницы. В силу большого разнообразия мог быть им выполненными задач его уместно будет назвать танком сопровождения.</w:t>
      </w:r>
    </w:p>
    <w:p w14:paraId="10EE017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Таким образом, костяком системы танкового вооружения явились бы три класса танков: а) разведывательный танк (РТ), б) танк сопровождения (СТ), в) танк дальнего действия (ДД).</w:t>
      </w:r>
    </w:p>
    <w:p w14:paraId="15BB65B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Нет надобности в создании специальных видов танков для истребления артиллерии, особо - истребления резервов, истребления штабов и т. п. - как в авиации нет самолетов истребителей разведчиков противника, истребителей его бомбардировщиков и т. п. Танк, предназначенный для ра ты в группе ДА должен быть способен решать все боевые задачи групп ДД.</w:t>
      </w:r>
    </w:p>
    <w:p w14:paraId="5138C5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Равным образом, нет необходимости ставить специальное тактическое задание на разраб танка десанта пехоты, как не ставится задача разработки танка - носителя пушки. Шасси трех приведенных классов танков могут быть использованы при конструировании всевозможных видов машин. К числу необходимых в первую очередь относятся: самоходное бронированное орудие сопровождения танков и вездеходный бронированный транспортер пехоты. Не исключена возможно разработки на этих же шасси различных вспомогательных машин (могущих быть и бронированными), например, для прокладки пути танкам и прочих видов саперных работ под огнем. Однако, эти машины будут по своему тактическому назначению не танками (в буквальном смысле этого словва) и не должны быть положены в основу системы танкового вооружения. Поскольку может встатьвопрос о танках связи, т.е. машинах, работающих в составе танковых частей и подразделений, также необходимо отметить, что это должны быть обыкновенные танки, лишь частично разоруженные и до-ельно оборудованные. Они, опять-таки, не должны быть включаемы в систему танкового воо-кения в качестве самостоятельного класса танков. Это же относится и к телетанкам. При постановке тактического задания на разработку конструкции танка того или иного класса кно быть указано:</w:t>
      </w:r>
    </w:p>
    <w:p w14:paraId="09FF063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основное назначение, б) возможные другие виды использования, в) вооружение и боекомп-т, г) состав команды, д) скорость: максимальная, походная и боевая, е) запас хода, ж) оперативная вижность, з) броневая защита, и) ширина перекрытия, к) высота зацепа, л) глубина брода, м) вес, очие требования, о) какие требования могут быть снижены без искажения самой идеи данной нны. В) Тактические задания на разработку основных классов танков системы танкового вооружения</w:t>
      </w:r>
    </w:p>
    <w:p w14:paraId="179F3A7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Разведывательный танк (РТ)</w:t>
      </w:r>
    </w:p>
    <w:p w14:paraId="529294B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Основное назначение: боевая разведка уже обнаруженного противника.</w:t>
      </w:r>
    </w:p>
    <w:p w14:paraId="5C5FEDC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Возможное использование: преследование, внезапное огневое нападение из засад, охранение инковых частей, связь в бою.</w:t>
      </w:r>
    </w:p>
    <w:p w14:paraId="67318EB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 танковый пулемет с круговым обстрелом, боевой запас 1500 патронов.</w:t>
      </w:r>
    </w:p>
    <w:p w14:paraId="733D98E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Команда: два человека.</w:t>
      </w:r>
    </w:p>
    <w:p w14:paraId="1D2021F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Скорость: походная 20 км/ч, предельная 35 км/ч, боевая 10-15 км/ч.</w:t>
      </w:r>
    </w:p>
    <w:p w14:paraId="74C3322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Запас хода не менее 120 км.</w:t>
      </w:r>
    </w:p>
    <w:p w14:paraId="7F67076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Оперативная подвижность 200 км в сутки.</w:t>
      </w:r>
    </w:p>
    <w:p w14:paraId="2E95197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Броневая защита от простых пуль на всех дистанциях, от бронебойных на 200 м.</w:t>
      </w:r>
    </w:p>
    <w:p w14:paraId="28FE087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Ширина преодолеваемого рва 1,5 м.</w:t>
      </w:r>
    </w:p>
    <w:p w14:paraId="3496FC0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Высота зацепа 0,6 м.</w:t>
      </w:r>
    </w:p>
    <w:p w14:paraId="1F500AC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Глубина брода 0,7 м.</w:t>
      </w:r>
    </w:p>
    <w:p w14:paraId="5CBAA43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не свыше 3,5 тонн.</w:t>
      </w:r>
    </w:p>
    <w:p w14:paraId="7F3B0B6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Особые требования: круговой обстрел и обзор.</w:t>
      </w:r>
    </w:p>
    <w:p w14:paraId="173243F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Танк сопровождения (СТ)</w:t>
      </w:r>
    </w:p>
    <w:p w14:paraId="7E654B6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Основное назначение: быстрый маневр в глубь расположения противника, уничтожение его бронесредств, огневых точек и живой силы. Основа механизированных войск.</w:t>
      </w:r>
    </w:p>
    <w:p w14:paraId="0F0A292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Возможное использование: непосредственная поддержка пехоты и кавалерии, уничтожение противотанковых средств в полосе главного сопротивления, самостоятельные действия в глубине обороны противника.</w:t>
      </w:r>
    </w:p>
    <w:p w14:paraId="13DA61E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 противоброневая пушка с круговым обстрелом и танковый пулемет. Не менее 100 выстрелов и 2000 патронов.</w:t>
      </w:r>
    </w:p>
    <w:p w14:paraId="3BEB1B2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Команда: 3 человека.</w:t>
      </w:r>
    </w:p>
    <w:p w14:paraId="457EB75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Скорость: походная 25 км/ч, предельная 40 км/ч, боевая 15 - 20 км/ч.</w:t>
      </w:r>
    </w:p>
    <w:p w14:paraId="294D23B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Запас хода 180 км.</w:t>
      </w:r>
    </w:p>
    <w:p w14:paraId="0F60989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Оперативная подвижность 200 км в сутки.</w:t>
      </w:r>
    </w:p>
    <w:p w14:paraId="07C9F88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Броневая защита от остроконечных и бронебойных пуль на всех дистанциях.</w:t>
      </w:r>
    </w:p>
    <w:p w14:paraId="6A4F09B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Ширина преодолеваемого рва 2 м.</w:t>
      </w:r>
    </w:p>
    <w:p w14:paraId="7534625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Высота зацепа 0,7 м.</w:t>
      </w:r>
    </w:p>
    <w:p w14:paraId="75AD413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Глубина брода 1 м.</w:t>
      </w:r>
    </w:p>
    <w:p w14:paraId="12AB382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Вес не более 8 т.</w:t>
      </w:r>
    </w:p>
    <w:p w14:paraId="4D95853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Танк дальнего действия (ДД,)</w:t>
      </w:r>
    </w:p>
    <w:p w14:paraId="7C25258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Основное назначение - быстро проходить полосу главного сопротивления противника и подав</w:t>
      </w:r>
      <w:r w:rsidRPr="005E779E">
        <w:rPr>
          <w:rFonts w:ascii="Times New Roman" w:hAnsi="Times New Roman"/>
          <w:color w:val="000000" w:themeColor="text1"/>
          <w:sz w:val="16"/>
          <w:szCs w:val="16"/>
        </w:rPr>
        <w:softHyphen/>
        <w:t>лять артиллерию, резервы и штабы.</w:t>
      </w:r>
    </w:p>
    <w:p w14:paraId="381EEC3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Возможное использование — как средство усиления удара танков сопровождения в мехчастях, как танк поддержки пехоты в позиционной войне.</w:t>
      </w:r>
    </w:p>
    <w:p w14:paraId="1557D6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 противоброневая пушка с круговым обстрелом и несколько пулеметов, из них один с круговым обстрелом, 150 выстрелов, в том числе фугасные и зажигательные, 5000 патронов.</w:t>
      </w:r>
    </w:p>
    <w:p w14:paraId="65C9665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Подрывные средства.</w:t>
      </w:r>
    </w:p>
    <w:p w14:paraId="7A67FC8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Команда: не менее 5 человек.</w:t>
      </w:r>
    </w:p>
    <w:p w14:paraId="024FE0F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Скорость: походная 25 км/ч, предельная 35 км/ч, боевая 20 - 25 км/ч.</w:t>
      </w:r>
    </w:p>
    <w:p w14:paraId="4D75815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 - 200 км.</w:t>
      </w:r>
    </w:p>
    <w:p w14:paraId="2FF0209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Оперативная подвижность — 250-300 км в сутки.</w:t>
      </w:r>
    </w:p>
    <w:p w14:paraId="2A1EB82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Броневая защита от бронебойных пуль 5-линейного пулемета на всех дистанциях.</w:t>
      </w:r>
    </w:p>
    <w:p w14:paraId="778BFA6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Ширина преодолеваемого рва - 2,5 м.</w:t>
      </w:r>
    </w:p>
    <w:p w14:paraId="5011FE6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Высота зацепа не менее 1 м.</w:t>
      </w:r>
    </w:p>
    <w:p w14:paraId="5D59D69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Глубина брода не менее 1 м.</w:t>
      </w:r>
    </w:p>
    <w:p w14:paraId="5A8A2D8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не выше 16 тонн.</w:t>
      </w:r>
    </w:p>
    <w:p w14:paraId="0201899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Особые требования: легкое преодоление препятствий, пушечный огонь на дистанции до 2 км, достаточная меткость огня с хода на 1000 м, отличные условия наблюдения, большие углы склоне</w:t>
      </w:r>
      <w:r w:rsidRPr="005E779E">
        <w:rPr>
          <w:rFonts w:ascii="Times New Roman" w:hAnsi="Times New Roman"/>
          <w:color w:val="000000" w:themeColor="text1"/>
          <w:sz w:val="16"/>
          <w:szCs w:val="16"/>
        </w:rPr>
        <w:softHyphen/>
        <w:t>ния, по крайней мере, двух пулеметов.</w:t>
      </w:r>
    </w:p>
    <w:p w14:paraId="1008D8E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 Управления по механизации и моторизации РККА;</w:t>
      </w:r>
    </w:p>
    <w:p w14:paraId="3E76B8D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Халепский</w:t>
      </w:r>
    </w:p>
    <w:p w14:paraId="6B9EF30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РГВА. Ф. 31811.ОП.2. Д. 77. Л. 18-21. Копия (11210).</w:t>
      </w:r>
    </w:p>
    <w:p w14:paraId="4BDEB10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3A570C"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0E2A4AB8"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78122C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марта 1931 года № 192 Горощенко подготовил:</w:t>
      </w:r>
    </w:p>
    <w:p w14:paraId="001FED0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Справка о положении самолета с разрезными крыльями Горелова и стального самолета группы инженера Путилова (НИИ ВОГВФ).</w:t>
      </w:r>
    </w:p>
    <w:p w14:paraId="63D5235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Горелова</w:t>
      </w:r>
    </w:p>
    <w:p w14:paraId="02B9E63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выходе на аэродром самолета Горелова осенью 1930 года самолет при рулежке подломил шасси ввиду его неудовлетворительной конструкции. До настоящего времени шасси переделывается заводом № 39.</w:t>
      </w:r>
    </w:p>
    <w:p w14:paraId="30C104B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Стальной самолет</w:t>
      </w:r>
    </w:p>
    <w:p w14:paraId="77DF110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Проектирование стального пассажирского самолета под мотор М-26 или РайтJ-6 закончено. Самолет находится в стадии постройки. Срок выпуска самолета на аэродром 1 мая 1931 года по-видимому выдержан не будет (6948, 129).</w:t>
      </w:r>
    </w:p>
    <w:p w14:paraId="439C8ED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из стали пассажирского типа (4-х местный) пол мотор М26 или Райт 96 осуществляется НИИ ВОГВФ под руководством конструктора Путилова. Проектирование закончено и самолет находится в производстве в мастерских НИИ ВОГВФ. Выпуск самолета задерживается из-за недостатка прокатной стали.</w:t>
      </w:r>
    </w:p>
    <w:p w14:paraId="68206D3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Горелова осуществляется Авиаотделом ОСОАВИАХИМА под руководством конструктора инженера Горелова. Для ремонта и доделки самолета решено его передать в организованное Бюро Особых Конструкций (БОК) при ЦАГИ (6948, 130).</w:t>
      </w:r>
    </w:p>
    <w:p w14:paraId="3F0A25F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5FC99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марта 1931 г. Скржинский пи</w:t>
      </w:r>
      <w:r w:rsidRPr="005E779E">
        <w:rPr>
          <w:rFonts w:ascii="Times New Roman" w:hAnsi="Times New Roman"/>
          <w:color w:val="000000" w:themeColor="text1"/>
          <w:sz w:val="16"/>
          <w:szCs w:val="16"/>
        </w:rPr>
        <w:softHyphen/>
        <w:t>шет Камову:</w:t>
      </w:r>
    </w:p>
    <w:p w14:paraId="0CC5F45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«Дорогой Николай Ильич!</w:t>
      </w:r>
    </w:p>
    <w:p w14:paraId="213C37F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Я ничего по нашему делу сейчас не делаю, т.к. до чрезвычайности за</w:t>
      </w:r>
      <w:r w:rsidRPr="005E779E">
        <w:rPr>
          <w:rFonts w:ascii="Times New Roman" w:hAnsi="Times New Roman"/>
          <w:color w:val="000000" w:themeColor="text1"/>
          <w:sz w:val="16"/>
          <w:szCs w:val="16"/>
        </w:rPr>
        <w:softHyphen/>
        <w:t>гружен. Баранов просил отпустить меня, Кричевского и Чернавского, на что Пауфлер не согласился. Так что в этом отношении перспективы неважные...</w:t>
      </w:r>
    </w:p>
    <w:p w14:paraId="1E3C416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...по-видимому, на дальнейшее проектирование времени выбрать не удастся. Хорошо бы, если бы Вы приехали, одному мне разрешить раз</w:t>
      </w:r>
      <w:r w:rsidRPr="005E779E">
        <w:rPr>
          <w:rFonts w:ascii="Times New Roman" w:hAnsi="Times New Roman"/>
          <w:color w:val="000000" w:themeColor="text1"/>
          <w:sz w:val="16"/>
          <w:szCs w:val="16"/>
        </w:rPr>
        <w:softHyphen/>
        <w:t>личные оргвопросы менее удобно. Постарайтесь приехать, если сможе</w:t>
      </w:r>
      <w:r w:rsidRPr="005E779E">
        <w:rPr>
          <w:rFonts w:ascii="Times New Roman" w:hAnsi="Times New Roman"/>
          <w:color w:val="000000" w:themeColor="text1"/>
          <w:sz w:val="16"/>
          <w:szCs w:val="16"/>
        </w:rPr>
        <w:softHyphen/>
        <w:t>те. При такой повседневной нагрузке нет энергии думать о чем-либо другом, кроме службы...» (10224,34).</w:t>
      </w:r>
    </w:p>
    <w:p w14:paraId="08A595C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700E8B" w14:textId="77777777" w:rsidR="00083CD8"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0CEAD220" w14:textId="77777777" w:rsidR="00083CD8" w:rsidRPr="005E779E" w:rsidRDefault="00083CD8"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78BD11F" w14:textId="77777777" w:rsidR="00083CD8" w:rsidRPr="005E779E" w:rsidRDefault="00083CD8"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25 марта</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Протокол заседания Политбюро ЦК ВКП(б) № 30. 11. О ходе работ на Сталинградском тракторном заводе (ПБ от 10 декабря 1930 г., пр. № 20, п. 4/10). 39. О кадрах командного состава НКВоенмора (ПБ от 25 февраля 1931 г., пр. № 27, п. 27). 40. О комплектовании военно-воздушных школ РККА. (Политбюро... Т. 2. С. 141, 142) (12416).</w:t>
      </w:r>
    </w:p>
    <w:p w14:paraId="39E24E48" w14:textId="77777777" w:rsidR="00083CD8" w:rsidRPr="005E779E" w:rsidRDefault="00083CD8" w:rsidP="000B7A6C">
      <w:pPr>
        <w:spacing w:after="0" w:line="240" w:lineRule="auto"/>
        <w:jc w:val="both"/>
        <w:rPr>
          <w:rFonts w:ascii="Times New Roman" w:hAnsi="Times New Roman"/>
          <w:color w:val="000000" w:themeColor="text1"/>
          <w:sz w:val="16"/>
          <w:szCs w:val="16"/>
          <w:u w:color="002060"/>
        </w:rPr>
      </w:pPr>
    </w:p>
    <w:p w14:paraId="39E1E697" w14:textId="77777777" w:rsidR="00083CD8" w:rsidRPr="005E779E" w:rsidRDefault="00083CD8"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25 марта 1931 </w:t>
      </w:r>
      <w:r w:rsidRPr="005E779E">
        <w:rPr>
          <w:rFonts w:ascii="Times New Roman" w:hAnsi="Times New Roman"/>
          <w:color w:val="000000" w:themeColor="text1"/>
          <w:sz w:val="16"/>
          <w:szCs w:val="16"/>
        </w:rPr>
        <w:t>Политбюро ЦК ВКП (б) приняло постановления: о дополнительных вложениях в капитальное строительство промышленности ВСНХ и об источниках их покрытия, об облегченном стандартном жилищном строительстве в Донбассе и Кузбассе в 1931 г., о полном прекращении командировок рабочих на нужды текущих кампаний (12265).</w:t>
      </w:r>
    </w:p>
    <w:p w14:paraId="2A57FECE" w14:textId="77777777" w:rsidR="00083CD8" w:rsidRPr="005E779E" w:rsidRDefault="00083CD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ЦК ВКП (б) и СНК приняли постановление «О полном прекращении мобилизации рабочих от станка на нужды текущих кампаний местными партийными, советскими и другими организациями» (12265).</w:t>
      </w:r>
    </w:p>
    <w:p w14:paraId="0CD6F769" w14:textId="77777777" w:rsidR="00083CD8" w:rsidRPr="005E779E" w:rsidRDefault="00083CD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69DB1A45" w14:textId="77777777" w:rsidR="006A088C" w:rsidRPr="005E779E" w:rsidRDefault="006A088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марта 1931 г. вышло Постановление ВСНХ № 710 «О быстроходных дизелях», которое возлагало на НАМИ научно-исследовательскую и конструктор</w:t>
      </w:r>
      <w:r w:rsidRPr="005E779E">
        <w:rPr>
          <w:rFonts w:ascii="Times New Roman" w:hAnsi="Times New Roman"/>
          <w:color w:val="000000" w:themeColor="text1"/>
          <w:sz w:val="16"/>
          <w:szCs w:val="16"/>
        </w:rPr>
        <w:softHyphen/>
        <w:t>скую работу по автотракторным дизелям. Институту поручалось проведение сравнительных испытаний новейших зарубежных образцов. Иносектору ВСНХ СССР, ВАТО и НАМИ предписывалось немедленно организовать конкурс между лучшими европейскими фирмами, строящими автотракторные дизели.</w:t>
      </w:r>
    </w:p>
    <w:p w14:paraId="158BBE2F" w14:textId="77777777" w:rsidR="006A088C" w:rsidRPr="005E779E" w:rsidRDefault="006A088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выполнения поставленных задач ВАТО долж</w:t>
      </w:r>
      <w:r w:rsidRPr="005E779E">
        <w:rPr>
          <w:rFonts w:ascii="Times New Roman" w:hAnsi="Times New Roman"/>
          <w:color w:val="000000" w:themeColor="text1"/>
          <w:sz w:val="16"/>
          <w:szCs w:val="16"/>
        </w:rPr>
        <w:softHyphen/>
        <w:t>но было пустить в строй Опытный завод НАМИ и ди</w:t>
      </w:r>
      <w:r w:rsidRPr="005E779E">
        <w:rPr>
          <w:rFonts w:ascii="Times New Roman" w:hAnsi="Times New Roman"/>
          <w:color w:val="000000" w:themeColor="text1"/>
          <w:sz w:val="16"/>
          <w:szCs w:val="16"/>
        </w:rPr>
        <w:softHyphen/>
        <w:t>зельные лаборатории института. Главмашпрому и Стройсектору ВСНХ предписывалось принять необ</w:t>
      </w:r>
      <w:r w:rsidRPr="005E779E">
        <w:rPr>
          <w:rFonts w:ascii="Times New Roman" w:hAnsi="Times New Roman"/>
          <w:color w:val="000000" w:themeColor="text1"/>
          <w:sz w:val="16"/>
          <w:szCs w:val="16"/>
        </w:rPr>
        <w:softHyphen/>
        <w:t>ходимые меры к форсированию строительства НАМИ (22518).</w:t>
      </w:r>
    </w:p>
    <w:p w14:paraId="2D0BC0E1" w14:textId="77777777" w:rsidR="006A088C" w:rsidRPr="005E779E" w:rsidRDefault="006A088C" w:rsidP="000B7A6C">
      <w:pPr>
        <w:spacing w:after="0" w:line="240" w:lineRule="auto"/>
        <w:jc w:val="both"/>
        <w:rPr>
          <w:rFonts w:ascii="Times New Roman" w:hAnsi="Times New Roman"/>
          <w:color w:val="000000" w:themeColor="text1"/>
          <w:sz w:val="16"/>
          <w:szCs w:val="16"/>
        </w:rPr>
      </w:pPr>
    </w:p>
    <w:p w14:paraId="2DDE3111" w14:textId="77777777" w:rsidR="001707A1" w:rsidRPr="005E779E" w:rsidRDefault="001707A1"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bCs/>
          <w:iCs/>
          <w:color w:val="000000" w:themeColor="text1"/>
          <w:sz w:val="16"/>
          <w:szCs w:val="16"/>
        </w:rPr>
        <w:t>25 марта 1931 г.</w:t>
      </w:r>
      <w:r w:rsidRPr="005E779E">
        <w:rPr>
          <w:rFonts w:ascii="Times New Roman" w:hAnsi="Times New Roman"/>
          <w:color w:val="000000" w:themeColor="text1"/>
          <w:sz w:val="16"/>
          <w:szCs w:val="16"/>
        </w:rPr>
        <w:t xml:space="preserve"> Приказ по ИХО ВОХИМУ РККА (Москва, Богородское) о результатах вскрытия и определения содержимого «</w:t>
      </w:r>
      <w:r w:rsidRPr="005E779E">
        <w:rPr>
          <w:rFonts w:ascii="Times New Roman" w:hAnsi="Times New Roman"/>
          <w:iCs/>
          <w:color w:val="000000" w:themeColor="text1"/>
          <w:sz w:val="16"/>
          <w:szCs w:val="16"/>
        </w:rPr>
        <w:t>баллонов с ОВ, находящихся на Богородском складе</w:t>
      </w:r>
      <w:r w:rsidRPr="005E779E">
        <w:rPr>
          <w:rFonts w:ascii="Times New Roman" w:hAnsi="Times New Roman"/>
          <w:color w:val="000000" w:themeColor="text1"/>
          <w:sz w:val="16"/>
          <w:szCs w:val="16"/>
        </w:rPr>
        <w:t>». Всего «</w:t>
      </w:r>
      <w:r w:rsidRPr="005E779E">
        <w:rPr>
          <w:rFonts w:ascii="Times New Roman" w:hAnsi="Times New Roman"/>
          <w:iCs/>
          <w:color w:val="000000" w:themeColor="text1"/>
          <w:sz w:val="16"/>
          <w:szCs w:val="16"/>
        </w:rPr>
        <w:t>в ударном порядке</w:t>
      </w:r>
      <w:r w:rsidRPr="005E779E">
        <w:rPr>
          <w:rFonts w:ascii="Times New Roman" w:hAnsi="Times New Roman"/>
          <w:color w:val="000000" w:themeColor="text1"/>
          <w:sz w:val="16"/>
          <w:szCs w:val="16"/>
        </w:rPr>
        <w:t>» было вскрыто 210 баллонов. Богородский склад примыкал к ИХО (НИХИ) и был заброшен промышленностью, а в дальнейшем вошел в состав НИХИ-ЦНИВТИ. Данных об обследовании забытого склада и о реабилитации его территории не имеется (17133).</w:t>
      </w:r>
    </w:p>
    <w:p w14:paraId="400D1C50" w14:textId="77777777" w:rsidR="001707A1" w:rsidRPr="005E779E" w:rsidRDefault="001707A1" w:rsidP="000B7A6C">
      <w:pPr>
        <w:shd w:val="clear" w:color="auto" w:fill="FFFFFF"/>
        <w:spacing w:after="0" w:line="240" w:lineRule="auto"/>
        <w:jc w:val="both"/>
        <w:rPr>
          <w:rFonts w:ascii="Times New Roman" w:hAnsi="Times New Roman"/>
          <w:color w:val="000000" w:themeColor="text1"/>
          <w:sz w:val="16"/>
          <w:szCs w:val="16"/>
        </w:rPr>
      </w:pPr>
    </w:p>
    <w:p w14:paraId="5203F94F"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7D803A24"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B436D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марта 1931 года вышел приказ по Институту химической обороны РККА (ИХО-НИХИ-ЦНИВТИ) о вскрытии и определении содержимого баллонов с ОВ на Богородском складе. Склад этот не принадлежал армии и примыкал к институту. Всего "в ударном порядке" было вскрыто не один и не два, а 210 баллонов. Между тем склад был по существу забыт. Месяцем позже появился новый приказ, на этот раз по мотивам тушения большого пожара в здании. После пожара пришлось определять содержимое уцелевших баллонов с ОВ, теперь уже собственных. Приказы эти характеризует не события, а типичное явление. Между тем данных об обследовании забытых складов и о реабилитации территории нет. Вряд ли они вообще когда-либо существовали (9065).</w:t>
      </w:r>
    </w:p>
    <w:p w14:paraId="24C2A8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ABCCEED" w14:textId="77777777" w:rsidR="001707A1"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185B3EBB" w14:textId="77777777" w:rsidR="001707A1" w:rsidRPr="005E779E" w:rsidRDefault="001707A1"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BF40286" w14:textId="77777777" w:rsidR="006A088C" w:rsidRPr="005E779E" w:rsidRDefault="006A088C" w:rsidP="000B7A6C">
      <w:pPr>
        <w:spacing w:after="0" w:line="240" w:lineRule="auto"/>
        <w:jc w:val="both"/>
        <w:rPr>
          <w:rFonts w:ascii="Times New Roman" w:hAnsi="Times New Roman"/>
          <w:color w:val="000000" w:themeColor="text1"/>
          <w:sz w:val="16"/>
          <w:szCs w:val="16"/>
        </w:rPr>
      </w:pPr>
      <w:bookmarkStart w:id="29" w:name="_Hlk89268763"/>
      <w:r w:rsidRPr="005E779E">
        <w:rPr>
          <w:rFonts w:ascii="Times New Roman" w:hAnsi="Times New Roman"/>
          <w:color w:val="000000" w:themeColor="text1"/>
          <w:sz w:val="16"/>
          <w:szCs w:val="16"/>
        </w:rPr>
        <w:t xml:space="preserve">25 марта </w:t>
      </w:r>
      <w:bookmarkEnd w:id="29"/>
      <w:r w:rsidRPr="005E779E">
        <w:rPr>
          <w:rFonts w:ascii="Times New Roman" w:hAnsi="Times New Roman"/>
          <w:color w:val="000000" w:themeColor="text1"/>
          <w:sz w:val="16"/>
          <w:szCs w:val="16"/>
        </w:rPr>
        <w:t xml:space="preserve">1931 состоялся первый полет Hawker Fury (20804). </w:t>
      </w:r>
    </w:p>
    <w:p w14:paraId="2B11969D" w14:textId="77777777" w:rsidR="006A088C" w:rsidRPr="005E779E" w:rsidRDefault="006A088C" w:rsidP="000B7A6C">
      <w:pPr>
        <w:spacing w:after="0" w:line="240" w:lineRule="auto"/>
        <w:jc w:val="both"/>
        <w:rPr>
          <w:rFonts w:ascii="Times New Roman" w:hAnsi="Times New Roman"/>
          <w:color w:val="000000" w:themeColor="text1"/>
          <w:sz w:val="16"/>
          <w:szCs w:val="16"/>
        </w:rPr>
      </w:pPr>
    </w:p>
    <w:p w14:paraId="7F823D3C" w14:textId="77777777" w:rsidR="001707A1" w:rsidRPr="005E779E" w:rsidRDefault="001707A1"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25 марта</w:t>
      </w:r>
      <w:r w:rsidRPr="005E779E">
        <w:rPr>
          <w:rFonts w:ascii="Times New Roman" w:hAnsi="Times New Roman"/>
          <w:color w:val="000000" w:themeColor="text1"/>
          <w:sz w:val="16"/>
          <w:szCs w:val="16"/>
        </w:rPr>
        <w:t xml:space="preserve"> в 1931 году летчик-испытатель П.Сэйер поднял в воздух первый экземпляр «Фьюри» - британского одноместного истребителя </w:t>
      </w:r>
      <w:hyperlink r:id="rId39" w:tgtFrame="_blank" w:history="1">
        <w:r w:rsidRPr="005E779E">
          <w:rPr>
            <w:rFonts w:ascii="Times New Roman" w:hAnsi="Times New Roman"/>
            <w:color w:val="000000" w:themeColor="text1"/>
            <w:sz w:val="16"/>
            <w:szCs w:val="16"/>
          </w:rPr>
          <w:t xml:space="preserve">«Fury», </w:t>
        </w:r>
      </w:hyperlink>
      <w:r w:rsidRPr="005E779E">
        <w:rPr>
          <w:rFonts w:ascii="Times New Roman" w:hAnsi="Times New Roman"/>
          <w:color w:val="000000" w:themeColor="text1"/>
          <w:sz w:val="16"/>
          <w:szCs w:val="16"/>
        </w:rPr>
        <w:t xml:space="preserve">созданного компанией «Н. G.Hawker Engineering Co. Ltd» (с 1933 г. – «Hawker Aircraft Ltd.») по проекту инженера С.Кэмма. В том же году на предприятиях фирмы «Hawker» в Кингстоне и Бруклендсе, а также дочерней компании «General Aircraft Co. Ltd» в Хенворсе началось серийное производство нового истребителя. До 1937 г., включительно, построили 302 машины (в том числе 3 предсерийные). Истребитель “Fury” представлял собой одностоечный биплан смешанной конструкции с металлическим каркасом и полотняной обшивкой крыла, оперения и хвостовой части фюзеляжа. Обшивка фюзеляжа до кабины пилота и капотировка двигателя - из дюралевых листов. Конструкция фюзеляжа - ферменная. Шасси - двухстоечное неубираемое с хвостовым костылем. Некоторые истребители оснащались радиостанциями. Британские машины вооружались двумя синхронными 7,69-мм пулеметами «Vickers» с боезапасом по 600 патронов на ствол. Большинство экспортных истребителей </w:t>
      </w:r>
      <w:r w:rsidRPr="005E779E">
        <w:rPr>
          <w:rFonts w:ascii="Times New Roman" w:hAnsi="Times New Roman"/>
          <w:color w:val="000000" w:themeColor="text1"/>
          <w:sz w:val="16"/>
          <w:szCs w:val="16"/>
        </w:rPr>
        <w:lastRenderedPageBreak/>
        <w:t>оснащались парой пулеметов «Colt», «Mauser» или «Spandau» также винтовочного калибра, а на югославских машинах была предусмотрена установка еще двух пулеметов под крылом, стрелявших вне диска винта. На всех “Fury” под нижним крылом могли размещаться держатели для мелких бомб (15079).</w:t>
      </w:r>
    </w:p>
    <w:p w14:paraId="42741491" w14:textId="77777777" w:rsidR="001707A1" w:rsidRPr="005E779E" w:rsidRDefault="001707A1" w:rsidP="000B7A6C">
      <w:pPr>
        <w:spacing w:after="0" w:line="240" w:lineRule="auto"/>
        <w:jc w:val="both"/>
        <w:rPr>
          <w:rFonts w:ascii="Times New Roman" w:hAnsi="Times New Roman"/>
          <w:color w:val="000000" w:themeColor="text1"/>
          <w:sz w:val="16"/>
          <w:szCs w:val="16"/>
        </w:rPr>
      </w:pPr>
    </w:p>
    <w:p w14:paraId="7A45DC8F"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652B4AA4"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8DB56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 марта 1931 года зам. зав. авиационным отделом ЦС союза Осоавиахима А. Розанов писал письмо пом. начальника ВВС Меженинову.</w:t>
      </w:r>
    </w:p>
    <w:p w14:paraId="219681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вопросу о состоянии постройки и испытания самолета с разрезным крылом конструкции инж. С.Н. Горелова:</w:t>
      </w:r>
    </w:p>
    <w:p w14:paraId="25E49C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осенью 1930 года был закончен постройкой на заводе N 39, причем постройка эта тянулась чрезвычайно долго, т.к. 39 завод, несмотря на попытки Осоавиахима ускорить строительство, откладывал постройки Осоавиахима в последнюю очередь.</w:t>
      </w:r>
    </w:p>
    <w:p w14:paraId="4E5074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первых пробежках выяснилась слабость шасси, которое было на этих пробежках подломлено... Одновременно с этим выяснился ряд дефектов производственного характера...</w:t>
      </w:r>
    </w:p>
    <w:p w14:paraId="7F84F5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2ACA26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текущего года на совещании Авиасектора нач. ВВС П.И. Баранов предложил передать эту машину, как и все опытные машины Осоавиахима БОК ЦАГИ.... Однако БОК их до сего времени не принимает в силу ряда задержек в его организации (3505,7).</w:t>
      </w:r>
    </w:p>
    <w:p w14:paraId="2823C8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FD64E8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 марта 1931 года. Начальник отдела требований НИИ ВВС Соколов-Соколенок.</w:t>
      </w:r>
    </w:p>
    <w:p w14:paraId="5B8FFF1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Распределение самолетов плана № 2 по конструкторским группам</w:t>
      </w:r>
    </w:p>
    <w:p w14:paraId="3E39F20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ЦКБ</w:t>
      </w:r>
    </w:p>
    <w:p w14:paraId="50075DE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Самолеты первой очереди</w:t>
      </w:r>
    </w:p>
    <w:p w14:paraId="45AAFCFA"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Легкий штурмовик «ЛШ» (приспособл. И5).</w:t>
      </w:r>
    </w:p>
    <w:p w14:paraId="4BB7DF48"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Легкий бронированный штурмовик «ЛБШ»</w:t>
      </w:r>
    </w:p>
    <w:p w14:paraId="67FDAC8A"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Армейский разведчик (скоростной) «Р»</w:t>
      </w:r>
    </w:p>
    <w:p w14:paraId="09D10CBE"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«Таран» – «Т»</w:t>
      </w:r>
    </w:p>
    <w:p w14:paraId="33E28A00"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Пикирующий бомбардировщик «ПБ»</w:t>
      </w:r>
    </w:p>
    <w:p w14:paraId="14D4E597"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Базовый разведчик «МБР»</w:t>
      </w:r>
    </w:p>
    <w:p w14:paraId="46787F3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Самолеты второй очереди</w:t>
      </w:r>
    </w:p>
    <w:p w14:paraId="17B42A29"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Одноместный истребитель «И»</w:t>
      </w:r>
    </w:p>
    <w:p w14:paraId="75C21293"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Двухместный истребитель «ДИ»</w:t>
      </w:r>
    </w:p>
    <w:p w14:paraId="314F8DA2"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Бронированный истребитель «БИ»</w:t>
      </w:r>
    </w:p>
    <w:p w14:paraId="53F95FFC"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Тяжелый штурмовик «ТШ»</w:t>
      </w:r>
    </w:p>
    <w:p w14:paraId="20E4221D"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Корректировщик судовой и береговой артиллерии (легкий) – «КОР»</w:t>
      </w:r>
    </w:p>
    <w:p w14:paraId="6AFD64A9"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«Грузовоз» «Г»</w:t>
      </w:r>
    </w:p>
    <w:p w14:paraId="160B951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Примечание: самолеты – армейский разведчик, «Таран» и бронированный истребитель – проектируются и строятся особой группой конструкторов ЦКБ.</w:t>
      </w:r>
    </w:p>
    <w:p w14:paraId="55636A3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w:t>
      </w:r>
    </w:p>
    <w:p w14:paraId="61EDEE0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Самолеты первой очереди</w:t>
      </w:r>
    </w:p>
    <w:p w14:paraId="7FD0A780"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Двухместный истребитель «ДИП»</w:t>
      </w:r>
    </w:p>
    <w:p w14:paraId="02B6E578"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Морской крейсер «МК»</w:t>
      </w:r>
    </w:p>
    <w:p w14:paraId="3D8DEBC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Самолеты второй очереди</w:t>
      </w:r>
    </w:p>
    <w:p w14:paraId="089A500B"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Сухопутный крейсер «К»</w:t>
      </w:r>
    </w:p>
    <w:p w14:paraId="22FD62F5"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Бомбардировщик среднего тоннажа «Б»</w:t>
      </w:r>
    </w:p>
    <w:p w14:paraId="6DCA03E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Самолеты третьей очереди</w:t>
      </w:r>
    </w:p>
    <w:p w14:paraId="7A03B563"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Одноместный истребитель (высотный) «ИП»</w:t>
      </w:r>
    </w:p>
    <w:p w14:paraId="7B529178"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Бомбардировщик сверхтяжелый «СТБ»</w:t>
      </w:r>
    </w:p>
    <w:p w14:paraId="29A3A833"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Экспериментальный самолет (сталь) «Э1»</w:t>
      </w:r>
    </w:p>
    <w:p w14:paraId="06786CE5"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Экспериментальный самолет (электрон) «Э2»</w:t>
      </w:r>
    </w:p>
    <w:p w14:paraId="54F641CA"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Геликоптер «ГЕ»</w:t>
      </w:r>
    </w:p>
    <w:p w14:paraId="0646CFD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Примечание: бомбардировщик среднего тоннажа может быть передан 39 заводу, в зависимости от принятия исходного типа самолета – ТБ1 или ТБ5.</w:t>
      </w:r>
    </w:p>
    <w:p w14:paraId="65A0C67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ГРОСС (Харьков).</w:t>
      </w:r>
    </w:p>
    <w:p w14:paraId="63EBC9F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Первая очередь</w:t>
      </w:r>
    </w:p>
    <w:p w14:paraId="67B085D6"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Химический боевик (летающая цистерна) «Х»</w:t>
      </w:r>
    </w:p>
    <w:p w14:paraId="7A0B52E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Самолеты второй очереди</w:t>
      </w:r>
    </w:p>
    <w:p w14:paraId="1F788B44"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Войсковой самолет «ВС»</w:t>
      </w:r>
    </w:p>
    <w:p w14:paraId="6E836247"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Легкий химический боевик «ЛХ»</w:t>
      </w:r>
    </w:p>
    <w:p w14:paraId="415E2EEF"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сопровождения (средний) «СС»</w:t>
      </w:r>
    </w:p>
    <w:p w14:paraId="553B6B74"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сопровождения (легкий) «ЛС»</w:t>
      </w:r>
    </w:p>
    <w:p w14:paraId="639618CE"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реактивного действия «РЕ»</w:t>
      </w:r>
    </w:p>
    <w:p w14:paraId="1042849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Самолеты третьей очереди</w:t>
      </w:r>
    </w:p>
    <w:p w14:paraId="62E60C1E"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Бомбардировщик тяжелый «ТБ»</w:t>
      </w:r>
    </w:p>
    <w:p w14:paraId="2E6BC4A0"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Санитарный самолет (амфибия) «САН»</w:t>
      </w:r>
    </w:p>
    <w:p w14:paraId="7762ECE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Группа инженера Лавиля</w:t>
      </w:r>
    </w:p>
    <w:p w14:paraId="2927AF1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Двухместный истребитель «ДИ»</w:t>
      </w:r>
    </w:p>
    <w:p w14:paraId="7274D65A" w14:textId="77777777" w:rsidR="005C4849" w:rsidRPr="005E779E" w:rsidRDefault="005C4849" w:rsidP="000B7A6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Общее примечание: Самолеты - химический боевик (летающая цистерна), базовый разведчик, войсковой самолет, легкий химический боевик, самолет сопровождения (легкий), самолет сопровождения (средний), корректировщик береговой и судовой артиллерии, бомбардировщик тяжелый, бомбардировщик сверхтяжелый, самолет «Грузовоз», санитарный самолет – должны быть или полностью совмещенными, или максимально унифицированными с самолетами ГВФ соответствующего тоннажа и типа (6274, 91).</w:t>
      </w:r>
    </w:p>
    <w:p w14:paraId="0750221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Сравнительная таблица летно-тактических требований к самолетам пятилетнего плана опытного строительства штаба РККА и 4 секции НТК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64"/>
        <w:gridCol w:w="2732"/>
        <w:gridCol w:w="3402"/>
      </w:tblGrid>
      <w:tr w:rsidR="007122AB" w:rsidRPr="005E779E" w14:paraId="2E507756" w14:textId="77777777">
        <w:tc>
          <w:tcPr>
            <w:tcW w:w="4464" w:type="dxa"/>
          </w:tcPr>
          <w:p w14:paraId="2838E60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Летно-тактические данные</w:t>
            </w:r>
          </w:p>
        </w:tc>
        <w:tc>
          <w:tcPr>
            <w:tcW w:w="2732" w:type="dxa"/>
          </w:tcPr>
          <w:p w14:paraId="29DDAFA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Требования Штаба</w:t>
            </w:r>
          </w:p>
        </w:tc>
        <w:tc>
          <w:tcPr>
            <w:tcW w:w="3402" w:type="dxa"/>
          </w:tcPr>
          <w:p w14:paraId="38A85EF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Требования 4 секции НТК УВВС</w:t>
            </w:r>
          </w:p>
        </w:tc>
      </w:tr>
    </w:tbl>
    <w:p w14:paraId="5FFEE1E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Тяжелый бомбардировщик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64"/>
        <w:gridCol w:w="2732"/>
        <w:gridCol w:w="3402"/>
      </w:tblGrid>
      <w:tr w:rsidR="007122AB" w:rsidRPr="005E779E" w14:paraId="7074459E" w14:textId="77777777">
        <w:tc>
          <w:tcPr>
            <w:tcW w:w="4464" w:type="dxa"/>
          </w:tcPr>
          <w:p w14:paraId="502D359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скорость/высота</w:t>
            </w:r>
          </w:p>
        </w:tc>
        <w:tc>
          <w:tcPr>
            <w:tcW w:w="2732" w:type="dxa"/>
          </w:tcPr>
          <w:p w14:paraId="716D66B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200/3000</w:t>
            </w:r>
          </w:p>
        </w:tc>
        <w:tc>
          <w:tcPr>
            <w:tcW w:w="3402" w:type="dxa"/>
          </w:tcPr>
          <w:p w14:paraId="0D0ABFF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230-250/3000</w:t>
            </w:r>
          </w:p>
        </w:tc>
      </w:tr>
      <w:tr w:rsidR="007122AB" w:rsidRPr="005E779E" w14:paraId="6A26A141" w14:textId="77777777">
        <w:tc>
          <w:tcPr>
            <w:tcW w:w="4464" w:type="dxa"/>
          </w:tcPr>
          <w:p w14:paraId="379FB02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подъема/высота</w:t>
            </w:r>
          </w:p>
        </w:tc>
        <w:tc>
          <w:tcPr>
            <w:tcW w:w="2732" w:type="dxa"/>
          </w:tcPr>
          <w:p w14:paraId="043524B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3402" w:type="dxa"/>
          </w:tcPr>
          <w:p w14:paraId="05CED0A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20/3000</w:t>
            </w:r>
          </w:p>
        </w:tc>
      </w:tr>
      <w:tr w:rsidR="007122AB" w:rsidRPr="005E779E" w14:paraId="0C347831" w14:textId="77777777">
        <w:tc>
          <w:tcPr>
            <w:tcW w:w="4464" w:type="dxa"/>
          </w:tcPr>
          <w:p w14:paraId="6705229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Практический потолок</w:t>
            </w:r>
          </w:p>
        </w:tc>
        <w:tc>
          <w:tcPr>
            <w:tcW w:w="2732" w:type="dxa"/>
          </w:tcPr>
          <w:p w14:paraId="4B0DBF5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5000-6000</w:t>
            </w:r>
          </w:p>
        </w:tc>
        <w:tc>
          <w:tcPr>
            <w:tcW w:w="3402" w:type="dxa"/>
          </w:tcPr>
          <w:p w14:paraId="69736D4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6000-7000</w:t>
            </w:r>
          </w:p>
        </w:tc>
      </w:tr>
      <w:tr w:rsidR="007122AB" w:rsidRPr="005E779E" w14:paraId="173D5164" w14:textId="77777777">
        <w:tc>
          <w:tcPr>
            <w:tcW w:w="4464" w:type="dxa"/>
          </w:tcPr>
          <w:p w14:paraId="53F3AE2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Продолжительность полета</w:t>
            </w:r>
          </w:p>
        </w:tc>
        <w:tc>
          <w:tcPr>
            <w:tcW w:w="2732" w:type="dxa"/>
          </w:tcPr>
          <w:p w14:paraId="466C79B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Pr>
          <w:p w14:paraId="4A8624C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72B06D14" w14:textId="77777777">
        <w:tc>
          <w:tcPr>
            <w:tcW w:w="4464" w:type="dxa"/>
          </w:tcPr>
          <w:p w14:paraId="2668292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w:t>
            </w:r>
          </w:p>
        </w:tc>
        <w:tc>
          <w:tcPr>
            <w:tcW w:w="2732" w:type="dxa"/>
          </w:tcPr>
          <w:p w14:paraId="0500272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w:t>
            </w:r>
          </w:p>
        </w:tc>
        <w:tc>
          <w:tcPr>
            <w:tcW w:w="3402" w:type="dxa"/>
          </w:tcPr>
          <w:p w14:paraId="71EB809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900-1000</w:t>
            </w:r>
          </w:p>
        </w:tc>
      </w:tr>
      <w:tr w:rsidR="007122AB" w:rsidRPr="005E779E" w14:paraId="590E2AA7" w14:textId="77777777">
        <w:tc>
          <w:tcPr>
            <w:tcW w:w="4464" w:type="dxa"/>
          </w:tcPr>
          <w:p w14:paraId="755584D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Экипаж</w:t>
            </w:r>
          </w:p>
        </w:tc>
        <w:tc>
          <w:tcPr>
            <w:tcW w:w="2732" w:type="dxa"/>
          </w:tcPr>
          <w:p w14:paraId="6CD5E73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5-6</w:t>
            </w:r>
          </w:p>
        </w:tc>
        <w:tc>
          <w:tcPr>
            <w:tcW w:w="3402" w:type="dxa"/>
          </w:tcPr>
          <w:p w14:paraId="65145BA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8-12</w:t>
            </w:r>
          </w:p>
        </w:tc>
      </w:tr>
      <w:tr w:rsidR="007122AB" w:rsidRPr="005E779E" w14:paraId="16271597" w14:textId="77777777">
        <w:tc>
          <w:tcPr>
            <w:tcW w:w="4464" w:type="dxa"/>
          </w:tcPr>
          <w:p w14:paraId="0F873FF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2732" w:type="dxa"/>
          </w:tcPr>
          <w:p w14:paraId="52AD541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6-8 пулеметов</w:t>
            </w:r>
          </w:p>
          <w:p w14:paraId="5E7F2DF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автоматическая пушка 20-37 мм или ДРП калибра 76,2-150 мм</w:t>
            </w:r>
          </w:p>
          <w:p w14:paraId="501397D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бомбовая нагрузка – 7000 кг</w:t>
            </w:r>
          </w:p>
        </w:tc>
        <w:tc>
          <w:tcPr>
            <w:tcW w:w="3402" w:type="dxa"/>
          </w:tcPr>
          <w:p w14:paraId="1AB468D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бомбовая нагрузка – 5000 кг</w:t>
            </w:r>
          </w:p>
        </w:tc>
      </w:tr>
    </w:tbl>
    <w:p w14:paraId="747403A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Тяжелый штурмовик бронированный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64"/>
        <w:gridCol w:w="2732"/>
        <w:gridCol w:w="3402"/>
      </w:tblGrid>
      <w:tr w:rsidR="007122AB" w:rsidRPr="005E779E" w14:paraId="081BE577" w14:textId="77777777">
        <w:tc>
          <w:tcPr>
            <w:tcW w:w="4464" w:type="dxa"/>
          </w:tcPr>
          <w:p w14:paraId="21BC96D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скорость/высота</w:t>
            </w:r>
          </w:p>
        </w:tc>
        <w:tc>
          <w:tcPr>
            <w:tcW w:w="2732" w:type="dxa"/>
          </w:tcPr>
          <w:p w14:paraId="5AF3EEC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250/1000</w:t>
            </w:r>
          </w:p>
        </w:tc>
        <w:tc>
          <w:tcPr>
            <w:tcW w:w="3402" w:type="dxa"/>
          </w:tcPr>
          <w:p w14:paraId="5B1D24D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200-210/у земли</w:t>
            </w:r>
          </w:p>
        </w:tc>
      </w:tr>
      <w:tr w:rsidR="007122AB" w:rsidRPr="005E779E" w14:paraId="3FE8FA6C" w14:textId="77777777">
        <w:tc>
          <w:tcPr>
            <w:tcW w:w="4464" w:type="dxa"/>
          </w:tcPr>
          <w:p w14:paraId="313EBC0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подъема/высота</w:t>
            </w:r>
          </w:p>
        </w:tc>
        <w:tc>
          <w:tcPr>
            <w:tcW w:w="2732" w:type="dxa"/>
          </w:tcPr>
          <w:p w14:paraId="4EC0426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Pr>
          <w:p w14:paraId="40C0CF9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2DCA34DF" w14:textId="77777777">
        <w:tc>
          <w:tcPr>
            <w:tcW w:w="4464" w:type="dxa"/>
          </w:tcPr>
          <w:p w14:paraId="67DBD2E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Практический потолок</w:t>
            </w:r>
          </w:p>
        </w:tc>
        <w:tc>
          <w:tcPr>
            <w:tcW w:w="2732" w:type="dxa"/>
          </w:tcPr>
          <w:p w14:paraId="7736E7A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Pr>
          <w:p w14:paraId="10627FB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4000</w:t>
            </w:r>
          </w:p>
        </w:tc>
      </w:tr>
      <w:tr w:rsidR="007122AB" w:rsidRPr="005E779E" w14:paraId="56676258" w14:textId="77777777">
        <w:tc>
          <w:tcPr>
            <w:tcW w:w="4464" w:type="dxa"/>
          </w:tcPr>
          <w:p w14:paraId="415B1AF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Продолжительность полета</w:t>
            </w:r>
          </w:p>
        </w:tc>
        <w:tc>
          <w:tcPr>
            <w:tcW w:w="2732" w:type="dxa"/>
          </w:tcPr>
          <w:p w14:paraId="5F273CC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Pr>
          <w:p w14:paraId="7F540C4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часа на эксплуатационной скорости</w:t>
            </w:r>
          </w:p>
        </w:tc>
      </w:tr>
      <w:tr w:rsidR="007122AB" w:rsidRPr="005E779E" w14:paraId="73FE26B7" w14:textId="77777777">
        <w:tc>
          <w:tcPr>
            <w:tcW w:w="4464" w:type="dxa"/>
          </w:tcPr>
          <w:p w14:paraId="5734BB7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w:t>
            </w:r>
          </w:p>
        </w:tc>
        <w:tc>
          <w:tcPr>
            <w:tcW w:w="2732" w:type="dxa"/>
          </w:tcPr>
          <w:p w14:paraId="1D09650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w:t>
            </w:r>
          </w:p>
        </w:tc>
        <w:tc>
          <w:tcPr>
            <w:tcW w:w="3402" w:type="dxa"/>
          </w:tcPr>
          <w:p w14:paraId="0C74B2D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w:t>
            </w:r>
          </w:p>
        </w:tc>
      </w:tr>
      <w:tr w:rsidR="007122AB" w:rsidRPr="005E779E" w14:paraId="63F13BD9" w14:textId="77777777">
        <w:tc>
          <w:tcPr>
            <w:tcW w:w="4464" w:type="dxa"/>
          </w:tcPr>
          <w:p w14:paraId="78202C4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Экипаж</w:t>
            </w:r>
          </w:p>
        </w:tc>
        <w:tc>
          <w:tcPr>
            <w:tcW w:w="2732" w:type="dxa"/>
          </w:tcPr>
          <w:p w14:paraId="0550362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Pr>
          <w:p w14:paraId="713A483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w:t>
            </w:r>
          </w:p>
        </w:tc>
      </w:tr>
      <w:tr w:rsidR="007122AB" w:rsidRPr="005E779E" w14:paraId="7656EB04" w14:textId="77777777">
        <w:tc>
          <w:tcPr>
            <w:tcW w:w="4464" w:type="dxa"/>
          </w:tcPr>
          <w:p w14:paraId="3891D3F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2732" w:type="dxa"/>
          </w:tcPr>
          <w:p w14:paraId="4D7D864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пулеметов</w:t>
            </w:r>
          </w:p>
          <w:p w14:paraId="6395C3B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автоматическая пушка 20-37 мм</w:t>
            </w:r>
          </w:p>
          <w:p w14:paraId="0382F0F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бомбовая нагрузка 800-1000 кг</w:t>
            </w:r>
          </w:p>
        </w:tc>
        <w:tc>
          <w:tcPr>
            <w:tcW w:w="3402" w:type="dxa"/>
          </w:tcPr>
          <w:p w14:paraId="5164171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6-8 пулеметов</w:t>
            </w:r>
          </w:p>
          <w:p w14:paraId="07D7A16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бомбовая нагрузка 1000 кг</w:t>
            </w:r>
          </w:p>
        </w:tc>
      </w:tr>
    </w:tbl>
    <w:p w14:paraId="7F82DE0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Армейский разведчик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64"/>
        <w:gridCol w:w="2732"/>
        <w:gridCol w:w="3402"/>
      </w:tblGrid>
      <w:tr w:rsidR="007122AB" w:rsidRPr="005E779E" w14:paraId="5288A9C0" w14:textId="77777777">
        <w:tc>
          <w:tcPr>
            <w:tcW w:w="4464" w:type="dxa"/>
          </w:tcPr>
          <w:p w14:paraId="5A8DA49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скорость/высота</w:t>
            </w:r>
          </w:p>
        </w:tc>
        <w:tc>
          <w:tcPr>
            <w:tcW w:w="2732" w:type="dxa"/>
          </w:tcPr>
          <w:p w14:paraId="06F0F9A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250/5000</w:t>
            </w:r>
          </w:p>
        </w:tc>
        <w:tc>
          <w:tcPr>
            <w:tcW w:w="3402" w:type="dxa"/>
          </w:tcPr>
          <w:p w14:paraId="65A6FEC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280-300/5000</w:t>
            </w:r>
          </w:p>
        </w:tc>
      </w:tr>
      <w:tr w:rsidR="007122AB" w:rsidRPr="005E779E" w14:paraId="1DE0FC28" w14:textId="77777777">
        <w:tc>
          <w:tcPr>
            <w:tcW w:w="4464" w:type="dxa"/>
          </w:tcPr>
          <w:p w14:paraId="5FE510F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подъема/высота</w:t>
            </w:r>
          </w:p>
        </w:tc>
        <w:tc>
          <w:tcPr>
            <w:tcW w:w="2732" w:type="dxa"/>
          </w:tcPr>
          <w:p w14:paraId="71C8313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8-10/3000</w:t>
            </w:r>
          </w:p>
        </w:tc>
        <w:tc>
          <w:tcPr>
            <w:tcW w:w="3402" w:type="dxa"/>
          </w:tcPr>
          <w:p w14:paraId="2813E26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10/5000</w:t>
            </w:r>
          </w:p>
        </w:tc>
      </w:tr>
      <w:tr w:rsidR="007122AB" w:rsidRPr="005E779E" w14:paraId="4D0049D8" w14:textId="77777777">
        <w:tc>
          <w:tcPr>
            <w:tcW w:w="4464" w:type="dxa"/>
          </w:tcPr>
          <w:p w14:paraId="5B365E9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Практический потолок</w:t>
            </w:r>
          </w:p>
        </w:tc>
        <w:tc>
          <w:tcPr>
            <w:tcW w:w="2732" w:type="dxa"/>
          </w:tcPr>
          <w:p w14:paraId="4FD80C2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7000-7500</w:t>
            </w:r>
          </w:p>
        </w:tc>
        <w:tc>
          <w:tcPr>
            <w:tcW w:w="3402" w:type="dxa"/>
          </w:tcPr>
          <w:p w14:paraId="2E56A4E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8000</w:t>
            </w:r>
          </w:p>
        </w:tc>
      </w:tr>
      <w:tr w:rsidR="007122AB" w:rsidRPr="005E779E" w14:paraId="7128B71E" w14:textId="77777777">
        <w:tc>
          <w:tcPr>
            <w:tcW w:w="4464" w:type="dxa"/>
          </w:tcPr>
          <w:p w14:paraId="1F1DB1D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Продолжительность полета</w:t>
            </w:r>
          </w:p>
        </w:tc>
        <w:tc>
          <w:tcPr>
            <w:tcW w:w="2732" w:type="dxa"/>
          </w:tcPr>
          <w:p w14:paraId="513C852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Pr>
          <w:p w14:paraId="19CD39A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6-8 часов</w:t>
            </w:r>
          </w:p>
        </w:tc>
      </w:tr>
      <w:tr w:rsidR="007122AB" w:rsidRPr="005E779E" w14:paraId="637A9095" w14:textId="77777777">
        <w:tc>
          <w:tcPr>
            <w:tcW w:w="4464" w:type="dxa"/>
          </w:tcPr>
          <w:p w14:paraId="4205EDB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w:t>
            </w:r>
          </w:p>
        </w:tc>
        <w:tc>
          <w:tcPr>
            <w:tcW w:w="2732" w:type="dxa"/>
          </w:tcPr>
          <w:p w14:paraId="787E3E9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650-750</w:t>
            </w:r>
          </w:p>
        </w:tc>
        <w:tc>
          <w:tcPr>
            <w:tcW w:w="3402" w:type="dxa"/>
          </w:tcPr>
          <w:p w14:paraId="1E349D1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700</w:t>
            </w:r>
          </w:p>
        </w:tc>
      </w:tr>
      <w:tr w:rsidR="007122AB" w:rsidRPr="005E779E" w14:paraId="75EF5224" w14:textId="77777777">
        <w:tc>
          <w:tcPr>
            <w:tcW w:w="4464" w:type="dxa"/>
          </w:tcPr>
          <w:p w14:paraId="7009842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Экипаж</w:t>
            </w:r>
          </w:p>
        </w:tc>
        <w:tc>
          <w:tcPr>
            <w:tcW w:w="2732" w:type="dxa"/>
          </w:tcPr>
          <w:p w14:paraId="3820FA0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3402" w:type="dxa"/>
          </w:tcPr>
          <w:p w14:paraId="6424E19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r>
      <w:tr w:rsidR="007122AB" w:rsidRPr="005E779E" w14:paraId="395BA809" w14:textId="77777777">
        <w:tc>
          <w:tcPr>
            <w:tcW w:w="4464" w:type="dxa"/>
          </w:tcPr>
          <w:p w14:paraId="792F2BA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2732" w:type="dxa"/>
          </w:tcPr>
          <w:p w14:paraId="21ABB51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3-4 пулемета</w:t>
            </w:r>
          </w:p>
        </w:tc>
        <w:tc>
          <w:tcPr>
            <w:tcW w:w="3402" w:type="dxa"/>
          </w:tcPr>
          <w:p w14:paraId="534FD99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3-4 пулемета</w:t>
            </w:r>
          </w:p>
        </w:tc>
      </w:tr>
    </w:tbl>
    <w:p w14:paraId="0C4A38D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Легкий бомбардировщик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64"/>
        <w:gridCol w:w="2732"/>
        <w:gridCol w:w="3402"/>
      </w:tblGrid>
      <w:tr w:rsidR="007122AB" w:rsidRPr="005E779E" w14:paraId="515D977D" w14:textId="77777777">
        <w:tc>
          <w:tcPr>
            <w:tcW w:w="4464" w:type="dxa"/>
          </w:tcPr>
          <w:p w14:paraId="167436B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скорость/высота</w:t>
            </w:r>
          </w:p>
        </w:tc>
        <w:tc>
          <w:tcPr>
            <w:tcW w:w="2732" w:type="dxa"/>
          </w:tcPr>
          <w:p w14:paraId="0364392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Pr>
          <w:p w14:paraId="36F0DD1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Данных</w:t>
            </w:r>
          </w:p>
        </w:tc>
      </w:tr>
      <w:tr w:rsidR="007122AB" w:rsidRPr="005E779E" w14:paraId="6072A319" w14:textId="77777777">
        <w:tc>
          <w:tcPr>
            <w:tcW w:w="4464" w:type="dxa"/>
          </w:tcPr>
          <w:p w14:paraId="0E8966B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подъема/высота</w:t>
            </w:r>
          </w:p>
        </w:tc>
        <w:tc>
          <w:tcPr>
            <w:tcW w:w="2732" w:type="dxa"/>
          </w:tcPr>
          <w:p w14:paraId="4837095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Pr>
          <w:p w14:paraId="026E670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указано </w:t>
            </w:r>
          </w:p>
        </w:tc>
      </w:tr>
      <w:tr w:rsidR="007122AB" w:rsidRPr="005E779E" w14:paraId="568455DB" w14:textId="77777777">
        <w:tc>
          <w:tcPr>
            <w:tcW w:w="4464" w:type="dxa"/>
          </w:tcPr>
          <w:p w14:paraId="28E7DB1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Практический потолок</w:t>
            </w:r>
          </w:p>
        </w:tc>
        <w:tc>
          <w:tcPr>
            <w:tcW w:w="2732" w:type="dxa"/>
          </w:tcPr>
          <w:p w14:paraId="61CCC62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6000</w:t>
            </w:r>
          </w:p>
        </w:tc>
        <w:tc>
          <w:tcPr>
            <w:tcW w:w="3402" w:type="dxa"/>
          </w:tcPr>
          <w:p w14:paraId="07DA232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не </w:t>
            </w:r>
          </w:p>
        </w:tc>
      </w:tr>
      <w:tr w:rsidR="007122AB" w:rsidRPr="005E779E" w14:paraId="4A2024BA" w14:textId="77777777">
        <w:tc>
          <w:tcPr>
            <w:tcW w:w="4464" w:type="dxa"/>
          </w:tcPr>
          <w:p w14:paraId="2DDE8A9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Продолжительность полета</w:t>
            </w:r>
          </w:p>
        </w:tc>
        <w:tc>
          <w:tcPr>
            <w:tcW w:w="2732" w:type="dxa"/>
          </w:tcPr>
          <w:p w14:paraId="4D77F9D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Pr>
          <w:p w14:paraId="0EB8299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было </w:t>
            </w:r>
          </w:p>
        </w:tc>
      </w:tr>
      <w:tr w:rsidR="007122AB" w:rsidRPr="005E779E" w14:paraId="4A0CF59E" w14:textId="77777777">
        <w:tc>
          <w:tcPr>
            <w:tcW w:w="4464" w:type="dxa"/>
          </w:tcPr>
          <w:p w14:paraId="4E2DC71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w:t>
            </w:r>
          </w:p>
        </w:tc>
        <w:tc>
          <w:tcPr>
            <w:tcW w:w="2732" w:type="dxa"/>
          </w:tcPr>
          <w:p w14:paraId="4D3C91A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w:t>
            </w:r>
          </w:p>
        </w:tc>
        <w:tc>
          <w:tcPr>
            <w:tcW w:w="3402" w:type="dxa"/>
          </w:tcPr>
          <w:p w14:paraId="27AD9A8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4A767038" w14:textId="77777777">
        <w:tc>
          <w:tcPr>
            <w:tcW w:w="4464" w:type="dxa"/>
          </w:tcPr>
          <w:p w14:paraId="6E37956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Экипаж</w:t>
            </w:r>
          </w:p>
        </w:tc>
        <w:tc>
          <w:tcPr>
            <w:tcW w:w="2732" w:type="dxa"/>
          </w:tcPr>
          <w:p w14:paraId="656C471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3402" w:type="dxa"/>
          </w:tcPr>
          <w:p w14:paraId="05EF5AA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10276784" w14:textId="77777777">
        <w:tc>
          <w:tcPr>
            <w:tcW w:w="4464" w:type="dxa"/>
          </w:tcPr>
          <w:p w14:paraId="3CBBF83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2732" w:type="dxa"/>
          </w:tcPr>
          <w:p w14:paraId="122E816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3-4 пулемета</w:t>
            </w:r>
          </w:p>
          <w:p w14:paraId="1D27B02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бомбовая нагрузка 500 кг</w:t>
            </w:r>
          </w:p>
        </w:tc>
        <w:tc>
          <w:tcPr>
            <w:tcW w:w="3402" w:type="dxa"/>
          </w:tcPr>
          <w:p w14:paraId="169C95B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bl>
    <w:p w14:paraId="52BAFFF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Истребитель многоместный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64"/>
        <w:gridCol w:w="2732"/>
        <w:gridCol w:w="3402"/>
      </w:tblGrid>
      <w:tr w:rsidR="007122AB" w:rsidRPr="005E779E" w14:paraId="06A55113" w14:textId="77777777">
        <w:tc>
          <w:tcPr>
            <w:tcW w:w="4464" w:type="dxa"/>
          </w:tcPr>
          <w:p w14:paraId="6AFB0F8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скорость/высота</w:t>
            </w:r>
          </w:p>
        </w:tc>
        <w:tc>
          <w:tcPr>
            <w:tcW w:w="2732" w:type="dxa"/>
          </w:tcPr>
          <w:p w14:paraId="3C8FBBF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300/5000</w:t>
            </w:r>
          </w:p>
        </w:tc>
        <w:tc>
          <w:tcPr>
            <w:tcW w:w="3402" w:type="dxa"/>
          </w:tcPr>
          <w:p w14:paraId="712A810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280-300/5000</w:t>
            </w:r>
          </w:p>
        </w:tc>
      </w:tr>
      <w:tr w:rsidR="007122AB" w:rsidRPr="005E779E" w14:paraId="2163BEF6" w14:textId="77777777">
        <w:tc>
          <w:tcPr>
            <w:tcW w:w="4464" w:type="dxa"/>
          </w:tcPr>
          <w:p w14:paraId="0F2403D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подъема/высота</w:t>
            </w:r>
          </w:p>
        </w:tc>
        <w:tc>
          <w:tcPr>
            <w:tcW w:w="2732" w:type="dxa"/>
          </w:tcPr>
          <w:p w14:paraId="73B53DC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15-18/5000</w:t>
            </w:r>
          </w:p>
        </w:tc>
        <w:tc>
          <w:tcPr>
            <w:tcW w:w="3402" w:type="dxa"/>
          </w:tcPr>
          <w:p w14:paraId="0B10DFB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7E8BFA1D" w14:textId="77777777">
        <w:tc>
          <w:tcPr>
            <w:tcW w:w="4464" w:type="dxa"/>
          </w:tcPr>
          <w:p w14:paraId="0AA1956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Практический потолок</w:t>
            </w:r>
          </w:p>
        </w:tc>
        <w:tc>
          <w:tcPr>
            <w:tcW w:w="2732" w:type="dxa"/>
          </w:tcPr>
          <w:p w14:paraId="73EE109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Pr>
          <w:p w14:paraId="0EFF988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7262E21A" w14:textId="77777777">
        <w:tc>
          <w:tcPr>
            <w:tcW w:w="4464" w:type="dxa"/>
          </w:tcPr>
          <w:p w14:paraId="5B0720C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Продолжительность полета</w:t>
            </w:r>
          </w:p>
        </w:tc>
        <w:tc>
          <w:tcPr>
            <w:tcW w:w="2732" w:type="dxa"/>
          </w:tcPr>
          <w:p w14:paraId="3B8117A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Pr>
          <w:p w14:paraId="6276608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223BAB73" w14:textId="77777777">
        <w:tc>
          <w:tcPr>
            <w:tcW w:w="4464" w:type="dxa"/>
          </w:tcPr>
          <w:p w14:paraId="5688FA5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w:t>
            </w:r>
          </w:p>
        </w:tc>
        <w:tc>
          <w:tcPr>
            <w:tcW w:w="2732" w:type="dxa"/>
          </w:tcPr>
          <w:p w14:paraId="5FF83E2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w:t>
            </w:r>
          </w:p>
        </w:tc>
        <w:tc>
          <w:tcPr>
            <w:tcW w:w="3402" w:type="dxa"/>
          </w:tcPr>
          <w:p w14:paraId="517575F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600-900</w:t>
            </w:r>
          </w:p>
        </w:tc>
      </w:tr>
      <w:tr w:rsidR="007122AB" w:rsidRPr="005E779E" w14:paraId="51B86A7B" w14:textId="77777777">
        <w:tc>
          <w:tcPr>
            <w:tcW w:w="4464" w:type="dxa"/>
          </w:tcPr>
          <w:p w14:paraId="662D140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Экипаж</w:t>
            </w:r>
          </w:p>
        </w:tc>
        <w:tc>
          <w:tcPr>
            <w:tcW w:w="2732" w:type="dxa"/>
          </w:tcPr>
          <w:p w14:paraId="6A65FB5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4-5</w:t>
            </w:r>
          </w:p>
        </w:tc>
        <w:tc>
          <w:tcPr>
            <w:tcW w:w="3402" w:type="dxa"/>
          </w:tcPr>
          <w:p w14:paraId="6567947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w:t>
            </w:r>
          </w:p>
        </w:tc>
      </w:tr>
      <w:tr w:rsidR="007122AB" w:rsidRPr="005E779E" w14:paraId="623F42E4" w14:textId="77777777">
        <w:tc>
          <w:tcPr>
            <w:tcW w:w="4464" w:type="dxa"/>
          </w:tcPr>
          <w:p w14:paraId="2AD9E02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2732" w:type="dxa"/>
          </w:tcPr>
          <w:p w14:paraId="037A02F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6-8 пулеметов</w:t>
            </w:r>
          </w:p>
          <w:p w14:paraId="7AD1087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автоматическая пушка 23-37 мм или ДРП калибра 76,2-150 мм</w:t>
            </w:r>
          </w:p>
          <w:p w14:paraId="403F6AD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бомбовая нагрузка 400 кг за счет горючего</w:t>
            </w:r>
          </w:p>
        </w:tc>
        <w:tc>
          <w:tcPr>
            <w:tcW w:w="3402" w:type="dxa"/>
          </w:tcPr>
          <w:p w14:paraId="5BF1B1C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6-8 пулеметов</w:t>
            </w:r>
          </w:p>
        </w:tc>
      </w:tr>
    </w:tbl>
    <w:p w14:paraId="2FF605D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Истребитель двухместный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64"/>
        <w:gridCol w:w="2732"/>
        <w:gridCol w:w="3402"/>
      </w:tblGrid>
      <w:tr w:rsidR="007122AB" w:rsidRPr="005E779E" w14:paraId="70D0C8B9" w14:textId="77777777">
        <w:tc>
          <w:tcPr>
            <w:tcW w:w="4464" w:type="dxa"/>
          </w:tcPr>
          <w:p w14:paraId="0C4BAB6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скорость/высота</w:t>
            </w:r>
          </w:p>
        </w:tc>
        <w:tc>
          <w:tcPr>
            <w:tcW w:w="2732" w:type="dxa"/>
          </w:tcPr>
          <w:p w14:paraId="4DFA75A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300-320/5000</w:t>
            </w:r>
          </w:p>
        </w:tc>
        <w:tc>
          <w:tcPr>
            <w:tcW w:w="3402" w:type="dxa"/>
          </w:tcPr>
          <w:p w14:paraId="1C7FE06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300-325/5000</w:t>
            </w:r>
          </w:p>
        </w:tc>
      </w:tr>
      <w:tr w:rsidR="007122AB" w:rsidRPr="005E779E" w14:paraId="6476367D" w14:textId="77777777">
        <w:tc>
          <w:tcPr>
            <w:tcW w:w="4464" w:type="dxa"/>
          </w:tcPr>
          <w:p w14:paraId="14B1645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подъема/высота</w:t>
            </w:r>
          </w:p>
        </w:tc>
        <w:tc>
          <w:tcPr>
            <w:tcW w:w="2732" w:type="dxa"/>
          </w:tcPr>
          <w:p w14:paraId="7462E5E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10-12/5000</w:t>
            </w:r>
          </w:p>
        </w:tc>
        <w:tc>
          <w:tcPr>
            <w:tcW w:w="3402" w:type="dxa"/>
          </w:tcPr>
          <w:p w14:paraId="111B6EC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8-10/5000</w:t>
            </w:r>
          </w:p>
        </w:tc>
      </w:tr>
      <w:tr w:rsidR="007122AB" w:rsidRPr="005E779E" w14:paraId="41DB1911" w14:textId="77777777">
        <w:tc>
          <w:tcPr>
            <w:tcW w:w="4464" w:type="dxa"/>
          </w:tcPr>
          <w:p w14:paraId="261543F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Практический потолок</w:t>
            </w:r>
          </w:p>
        </w:tc>
        <w:tc>
          <w:tcPr>
            <w:tcW w:w="2732" w:type="dxa"/>
          </w:tcPr>
          <w:p w14:paraId="18DCF31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8000</w:t>
            </w:r>
          </w:p>
        </w:tc>
        <w:tc>
          <w:tcPr>
            <w:tcW w:w="3402" w:type="dxa"/>
          </w:tcPr>
          <w:p w14:paraId="6F6647B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4A7213B6" w14:textId="77777777">
        <w:tc>
          <w:tcPr>
            <w:tcW w:w="4464" w:type="dxa"/>
          </w:tcPr>
          <w:p w14:paraId="0D5D815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Продолжительность полета</w:t>
            </w:r>
          </w:p>
        </w:tc>
        <w:tc>
          <w:tcPr>
            <w:tcW w:w="2732" w:type="dxa"/>
          </w:tcPr>
          <w:p w14:paraId="57368F4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часов на крейсерской скорости</w:t>
            </w:r>
          </w:p>
        </w:tc>
        <w:tc>
          <w:tcPr>
            <w:tcW w:w="3402" w:type="dxa"/>
          </w:tcPr>
          <w:p w14:paraId="6322D5D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4,5 часа на эксплуатационной скорости</w:t>
            </w:r>
          </w:p>
        </w:tc>
      </w:tr>
      <w:tr w:rsidR="007122AB" w:rsidRPr="005E779E" w14:paraId="12B63E47" w14:textId="77777777">
        <w:tc>
          <w:tcPr>
            <w:tcW w:w="4464" w:type="dxa"/>
          </w:tcPr>
          <w:p w14:paraId="156B03F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w:t>
            </w:r>
          </w:p>
        </w:tc>
        <w:tc>
          <w:tcPr>
            <w:tcW w:w="2732" w:type="dxa"/>
          </w:tcPr>
          <w:p w14:paraId="4583BBD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450-500</w:t>
            </w:r>
          </w:p>
        </w:tc>
        <w:tc>
          <w:tcPr>
            <w:tcW w:w="3402" w:type="dxa"/>
          </w:tcPr>
          <w:p w14:paraId="69CA589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1FF01553" w14:textId="77777777">
        <w:tc>
          <w:tcPr>
            <w:tcW w:w="4464" w:type="dxa"/>
          </w:tcPr>
          <w:p w14:paraId="747FE8F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Экипаж</w:t>
            </w:r>
          </w:p>
        </w:tc>
        <w:tc>
          <w:tcPr>
            <w:tcW w:w="2732" w:type="dxa"/>
          </w:tcPr>
          <w:p w14:paraId="6A18DD9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3402" w:type="dxa"/>
          </w:tcPr>
          <w:p w14:paraId="56F8C02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3EBB0B1F" w14:textId="77777777">
        <w:tc>
          <w:tcPr>
            <w:tcW w:w="4464" w:type="dxa"/>
          </w:tcPr>
          <w:p w14:paraId="586EC86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2732" w:type="dxa"/>
          </w:tcPr>
          <w:p w14:paraId="2D09DFB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пулемета</w:t>
            </w:r>
          </w:p>
          <w:p w14:paraId="6ED77AD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автоматическая пушка 23-37 мм или ДРП калибра 76,2-150 мм</w:t>
            </w:r>
          </w:p>
          <w:p w14:paraId="5B8F84E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бомбовая нагрузка 100 кг за счет перегрузки</w:t>
            </w:r>
          </w:p>
        </w:tc>
        <w:tc>
          <w:tcPr>
            <w:tcW w:w="3402" w:type="dxa"/>
          </w:tcPr>
          <w:p w14:paraId="2BE9ADB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пулемета</w:t>
            </w:r>
          </w:p>
        </w:tc>
      </w:tr>
    </w:tbl>
    <w:p w14:paraId="28A6677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Истребитель одноместный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64"/>
        <w:gridCol w:w="2732"/>
        <w:gridCol w:w="3402"/>
      </w:tblGrid>
      <w:tr w:rsidR="007122AB" w:rsidRPr="005E779E" w14:paraId="3B7FA67D" w14:textId="77777777">
        <w:tc>
          <w:tcPr>
            <w:tcW w:w="4464" w:type="dxa"/>
          </w:tcPr>
          <w:p w14:paraId="12DC642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скорость/высота</w:t>
            </w:r>
          </w:p>
        </w:tc>
        <w:tc>
          <w:tcPr>
            <w:tcW w:w="2732" w:type="dxa"/>
          </w:tcPr>
          <w:p w14:paraId="2BFBD64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300-350/5000</w:t>
            </w:r>
          </w:p>
        </w:tc>
        <w:tc>
          <w:tcPr>
            <w:tcW w:w="3402" w:type="dxa"/>
          </w:tcPr>
          <w:p w14:paraId="775964D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310-325/5000</w:t>
            </w:r>
          </w:p>
        </w:tc>
      </w:tr>
      <w:tr w:rsidR="007122AB" w:rsidRPr="005E779E" w14:paraId="3BE53C1C" w14:textId="77777777">
        <w:tc>
          <w:tcPr>
            <w:tcW w:w="4464" w:type="dxa"/>
          </w:tcPr>
          <w:p w14:paraId="2B22DD6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подъема/высота</w:t>
            </w:r>
          </w:p>
        </w:tc>
        <w:tc>
          <w:tcPr>
            <w:tcW w:w="2732" w:type="dxa"/>
          </w:tcPr>
          <w:p w14:paraId="7394AA0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5-7/5000</w:t>
            </w:r>
          </w:p>
        </w:tc>
        <w:tc>
          <w:tcPr>
            <w:tcW w:w="3402" w:type="dxa"/>
          </w:tcPr>
          <w:p w14:paraId="294AF6A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8/5000</w:t>
            </w:r>
          </w:p>
        </w:tc>
      </w:tr>
      <w:tr w:rsidR="007122AB" w:rsidRPr="005E779E" w14:paraId="2FC7B907" w14:textId="77777777">
        <w:tc>
          <w:tcPr>
            <w:tcW w:w="4464" w:type="dxa"/>
          </w:tcPr>
          <w:p w14:paraId="643FD70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Практический потолок</w:t>
            </w:r>
          </w:p>
        </w:tc>
        <w:tc>
          <w:tcPr>
            <w:tcW w:w="2732" w:type="dxa"/>
          </w:tcPr>
          <w:p w14:paraId="00295E7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8000-10000</w:t>
            </w:r>
          </w:p>
        </w:tc>
        <w:tc>
          <w:tcPr>
            <w:tcW w:w="3402" w:type="dxa"/>
          </w:tcPr>
          <w:p w14:paraId="4E18FDA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6CC63195" w14:textId="77777777">
        <w:tc>
          <w:tcPr>
            <w:tcW w:w="4464" w:type="dxa"/>
          </w:tcPr>
          <w:p w14:paraId="1C11FCB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Продолжительность полета</w:t>
            </w:r>
          </w:p>
        </w:tc>
        <w:tc>
          <w:tcPr>
            <w:tcW w:w="2732" w:type="dxa"/>
          </w:tcPr>
          <w:p w14:paraId="7919A52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Pr>
          <w:p w14:paraId="67E2398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3,5-4 часа на эксплуатационной скорости</w:t>
            </w:r>
          </w:p>
        </w:tc>
      </w:tr>
      <w:tr w:rsidR="007122AB" w:rsidRPr="005E779E" w14:paraId="116138D4" w14:textId="77777777">
        <w:tc>
          <w:tcPr>
            <w:tcW w:w="4464" w:type="dxa"/>
          </w:tcPr>
          <w:p w14:paraId="0A6901C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w:t>
            </w:r>
          </w:p>
        </w:tc>
        <w:tc>
          <w:tcPr>
            <w:tcW w:w="2732" w:type="dxa"/>
          </w:tcPr>
          <w:p w14:paraId="7976622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350-400 на крейсерской скорости</w:t>
            </w:r>
          </w:p>
        </w:tc>
        <w:tc>
          <w:tcPr>
            <w:tcW w:w="3402" w:type="dxa"/>
          </w:tcPr>
          <w:p w14:paraId="4DA0156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420-490</w:t>
            </w:r>
          </w:p>
        </w:tc>
      </w:tr>
      <w:tr w:rsidR="007122AB" w:rsidRPr="005E779E" w14:paraId="7FFCF2CC" w14:textId="77777777">
        <w:tc>
          <w:tcPr>
            <w:tcW w:w="4464" w:type="dxa"/>
          </w:tcPr>
          <w:p w14:paraId="59CDE9E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Экипаж</w:t>
            </w:r>
          </w:p>
        </w:tc>
        <w:tc>
          <w:tcPr>
            <w:tcW w:w="2732" w:type="dxa"/>
          </w:tcPr>
          <w:p w14:paraId="4B92B79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3402" w:type="dxa"/>
          </w:tcPr>
          <w:p w14:paraId="569A7EB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17D0218A" w14:textId="77777777">
        <w:tc>
          <w:tcPr>
            <w:tcW w:w="4464" w:type="dxa"/>
          </w:tcPr>
          <w:p w14:paraId="25FB69A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2732" w:type="dxa"/>
          </w:tcPr>
          <w:p w14:paraId="39111B1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пулемета и 2 за счет перегрузки</w:t>
            </w:r>
          </w:p>
          <w:p w14:paraId="6048F8A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бомбовая нагрузка 80-100 кг за счет перегрузки</w:t>
            </w:r>
          </w:p>
        </w:tc>
        <w:tc>
          <w:tcPr>
            <w:tcW w:w="3402" w:type="dxa"/>
          </w:tcPr>
          <w:p w14:paraId="6A77FA7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пулемета</w:t>
            </w:r>
          </w:p>
        </w:tc>
      </w:tr>
    </w:tbl>
    <w:p w14:paraId="26A3661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Морской ближний разведчик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64"/>
        <w:gridCol w:w="2732"/>
        <w:gridCol w:w="3402"/>
      </w:tblGrid>
      <w:tr w:rsidR="007122AB" w:rsidRPr="005E779E" w14:paraId="3F1970F5" w14:textId="77777777">
        <w:tc>
          <w:tcPr>
            <w:tcW w:w="4464" w:type="dxa"/>
          </w:tcPr>
          <w:p w14:paraId="6590CB6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скорость/высота</w:t>
            </w:r>
          </w:p>
        </w:tc>
        <w:tc>
          <w:tcPr>
            <w:tcW w:w="2732" w:type="dxa"/>
          </w:tcPr>
          <w:p w14:paraId="7ED85E6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200/3000</w:t>
            </w:r>
          </w:p>
        </w:tc>
        <w:tc>
          <w:tcPr>
            <w:tcW w:w="3402" w:type="dxa"/>
          </w:tcPr>
          <w:p w14:paraId="4DAB48E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Развитие МР-5</w:t>
            </w:r>
          </w:p>
        </w:tc>
      </w:tr>
      <w:tr w:rsidR="007122AB" w:rsidRPr="005E779E" w14:paraId="5F22A851" w14:textId="77777777">
        <w:tc>
          <w:tcPr>
            <w:tcW w:w="4464" w:type="dxa"/>
          </w:tcPr>
          <w:p w14:paraId="4E0F3E1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подъема/высота</w:t>
            </w:r>
          </w:p>
        </w:tc>
        <w:tc>
          <w:tcPr>
            <w:tcW w:w="2732" w:type="dxa"/>
          </w:tcPr>
          <w:p w14:paraId="39CD14E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15-20/3000</w:t>
            </w:r>
          </w:p>
        </w:tc>
        <w:tc>
          <w:tcPr>
            <w:tcW w:w="3402" w:type="dxa"/>
          </w:tcPr>
          <w:p w14:paraId="0BA8A08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Данных</w:t>
            </w:r>
          </w:p>
        </w:tc>
      </w:tr>
      <w:tr w:rsidR="007122AB" w:rsidRPr="005E779E" w14:paraId="20EF28F9" w14:textId="77777777">
        <w:tc>
          <w:tcPr>
            <w:tcW w:w="4464" w:type="dxa"/>
          </w:tcPr>
          <w:p w14:paraId="4FA0066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Практический потолок</w:t>
            </w:r>
          </w:p>
        </w:tc>
        <w:tc>
          <w:tcPr>
            <w:tcW w:w="2732" w:type="dxa"/>
          </w:tcPr>
          <w:p w14:paraId="4921F16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3402" w:type="dxa"/>
          </w:tcPr>
          <w:p w14:paraId="363817A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указано </w:t>
            </w:r>
          </w:p>
        </w:tc>
      </w:tr>
      <w:tr w:rsidR="007122AB" w:rsidRPr="005E779E" w14:paraId="2F9BB9D5" w14:textId="77777777">
        <w:tc>
          <w:tcPr>
            <w:tcW w:w="4464" w:type="dxa"/>
          </w:tcPr>
          <w:p w14:paraId="120395C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Продолжительность полета</w:t>
            </w:r>
          </w:p>
        </w:tc>
        <w:tc>
          <w:tcPr>
            <w:tcW w:w="2732" w:type="dxa"/>
          </w:tcPr>
          <w:p w14:paraId="2E94B08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часов на крейсерской скорости</w:t>
            </w:r>
          </w:p>
        </w:tc>
        <w:tc>
          <w:tcPr>
            <w:tcW w:w="3402" w:type="dxa"/>
          </w:tcPr>
          <w:p w14:paraId="19460E3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не </w:t>
            </w:r>
          </w:p>
        </w:tc>
      </w:tr>
      <w:tr w:rsidR="007122AB" w:rsidRPr="005E779E" w14:paraId="13EEE5F1" w14:textId="77777777">
        <w:tc>
          <w:tcPr>
            <w:tcW w:w="4464" w:type="dxa"/>
          </w:tcPr>
          <w:p w14:paraId="0434EB2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w:t>
            </w:r>
          </w:p>
        </w:tc>
        <w:tc>
          <w:tcPr>
            <w:tcW w:w="2732" w:type="dxa"/>
          </w:tcPr>
          <w:p w14:paraId="7D2E420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350</w:t>
            </w:r>
          </w:p>
        </w:tc>
        <w:tc>
          <w:tcPr>
            <w:tcW w:w="3402" w:type="dxa"/>
          </w:tcPr>
          <w:p w14:paraId="72A736D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было </w:t>
            </w:r>
          </w:p>
        </w:tc>
      </w:tr>
      <w:tr w:rsidR="007122AB" w:rsidRPr="005E779E" w14:paraId="337D86A9" w14:textId="77777777">
        <w:tc>
          <w:tcPr>
            <w:tcW w:w="4464" w:type="dxa"/>
          </w:tcPr>
          <w:p w14:paraId="4EF8055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Экипаж</w:t>
            </w:r>
          </w:p>
        </w:tc>
        <w:tc>
          <w:tcPr>
            <w:tcW w:w="2732" w:type="dxa"/>
          </w:tcPr>
          <w:p w14:paraId="1BF1128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3-4</w:t>
            </w:r>
          </w:p>
        </w:tc>
        <w:tc>
          <w:tcPr>
            <w:tcW w:w="3402" w:type="dxa"/>
          </w:tcPr>
          <w:p w14:paraId="0A60829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73AD45B6" w14:textId="77777777">
        <w:tc>
          <w:tcPr>
            <w:tcW w:w="4464" w:type="dxa"/>
          </w:tcPr>
          <w:p w14:paraId="71A3CBA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2732" w:type="dxa"/>
          </w:tcPr>
          <w:p w14:paraId="33C8795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пулемета</w:t>
            </w:r>
          </w:p>
          <w:p w14:paraId="2CE4F1E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бомбы по 250 кг за счет перегрузки</w:t>
            </w:r>
          </w:p>
        </w:tc>
        <w:tc>
          <w:tcPr>
            <w:tcW w:w="3402" w:type="dxa"/>
          </w:tcPr>
          <w:p w14:paraId="661FF95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bl>
    <w:p w14:paraId="59583F6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Морской дальний разведчик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64"/>
        <w:gridCol w:w="2732"/>
        <w:gridCol w:w="3402"/>
      </w:tblGrid>
      <w:tr w:rsidR="007122AB" w:rsidRPr="005E779E" w14:paraId="1D6937F0" w14:textId="77777777">
        <w:tc>
          <w:tcPr>
            <w:tcW w:w="4464" w:type="dxa"/>
          </w:tcPr>
          <w:p w14:paraId="2985BFB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скорость/высота</w:t>
            </w:r>
          </w:p>
        </w:tc>
        <w:tc>
          <w:tcPr>
            <w:tcW w:w="2732" w:type="dxa"/>
          </w:tcPr>
          <w:p w14:paraId="0B18B32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200/3000</w:t>
            </w:r>
          </w:p>
        </w:tc>
        <w:tc>
          <w:tcPr>
            <w:tcW w:w="3402" w:type="dxa"/>
          </w:tcPr>
          <w:p w14:paraId="4D9D0F8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240-250/3000</w:t>
            </w:r>
          </w:p>
        </w:tc>
      </w:tr>
      <w:tr w:rsidR="007122AB" w:rsidRPr="005E779E" w14:paraId="1606857E" w14:textId="77777777">
        <w:tc>
          <w:tcPr>
            <w:tcW w:w="4464" w:type="dxa"/>
          </w:tcPr>
          <w:p w14:paraId="6893A4C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подъема/высота</w:t>
            </w:r>
          </w:p>
        </w:tc>
        <w:tc>
          <w:tcPr>
            <w:tcW w:w="2732" w:type="dxa"/>
          </w:tcPr>
          <w:p w14:paraId="0324BDF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20/3000</w:t>
            </w:r>
          </w:p>
        </w:tc>
        <w:tc>
          <w:tcPr>
            <w:tcW w:w="3402" w:type="dxa"/>
          </w:tcPr>
          <w:p w14:paraId="33992AA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7CF44D85" w14:textId="77777777">
        <w:tc>
          <w:tcPr>
            <w:tcW w:w="4464" w:type="dxa"/>
          </w:tcPr>
          <w:p w14:paraId="133BF31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Практический потолок</w:t>
            </w:r>
          </w:p>
        </w:tc>
        <w:tc>
          <w:tcPr>
            <w:tcW w:w="2732" w:type="dxa"/>
          </w:tcPr>
          <w:p w14:paraId="7DE880C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3402" w:type="dxa"/>
          </w:tcPr>
          <w:p w14:paraId="5BA2506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6000-7000</w:t>
            </w:r>
          </w:p>
        </w:tc>
      </w:tr>
      <w:tr w:rsidR="007122AB" w:rsidRPr="005E779E" w14:paraId="49ED264A" w14:textId="77777777">
        <w:tc>
          <w:tcPr>
            <w:tcW w:w="4464" w:type="dxa"/>
          </w:tcPr>
          <w:p w14:paraId="434EE50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Продолжительность полета</w:t>
            </w:r>
          </w:p>
        </w:tc>
        <w:tc>
          <w:tcPr>
            <w:tcW w:w="2732" w:type="dxa"/>
          </w:tcPr>
          <w:p w14:paraId="44B5CF6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Pr>
          <w:p w14:paraId="0DE29EA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6-7 часов на эксплуатационной скорости</w:t>
            </w:r>
          </w:p>
        </w:tc>
      </w:tr>
      <w:tr w:rsidR="007122AB" w:rsidRPr="005E779E" w14:paraId="117F6C51" w14:textId="77777777">
        <w:tc>
          <w:tcPr>
            <w:tcW w:w="4464" w:type="dxa"/>
          </w:tcPr>
          <w:p w14:paraId="29E2B28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w:t>
            </w:r>
          </w:p>
        </w:tc>
        <w:tc>
          <w:tcPr>
            <w:tcW w:w="2732" w:type="dxa"/>
          </w:tcPr>
          <w:p w14:paraId="78E705F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1000-1200</w:t>
            </w:r>
          </w:p>
        </w:tc>
        <w:tc>
          <w:tcPr>
            <w:tcW w:w="3402" w:type="dxa"/>
          </w:tcPr>
          <w:p w14:paraId="51DC74F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022B7DDC" w14:textId="77777777">
        <w:tc>
          <w:tcPr>
            <w:tcW w:w="4464" w:type="dxa"/>
          </w:tcPr>
          <w:p w14:paraId="606B115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Экипаж</w:t>
            </w:r>
          </w:p>
        </w:tc>
        <w:tc>
          <w:tcPr>
            <w:tcW w:w="2732" w:type="dxa"/>
          </w:tcPr>
          <w:p w14:paraId="06849C4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w:t>
            </w:r>
          </w:p>
        </w:tc>
        <w:tc>
          <w:tcPr>
            <w:tcW w:w="3402" w:type="dxa"/>
          </w:tcPr>
          <w:p w14:paraId="286D3F8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3-4</w:t>
            </w:r>
          </w:p>
        </w:tc>
      </w:tr>
      <w:tr w:rsidR="007122AB" w:rsidRPr="005E779E" w14:paraId="3375B262" w14:textId="77777777">
        <w:tc>
          <w:tcPr>
            <w:tcW w:w="4464" w:type="dxa"/>
          </w:tcPr>
          <w:p w14:paraId="5988038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2732" w:type="dxa"/>
          </w:tcPr>
          <w:p w14:paraId="51FC9BD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пулемета</w:t>
            </w:r>
          </w:p>
          <w:p w14:paraId="62F2E49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бомбовая нагрузка 500 кг</w:t>
            </w:r>
          </w:p>
        </w:tc>
        <w:tc>
          <w:tcPr>
            <w:tcW w:w="3402" w:type="dxa"/>
          </w:tcPr>
          <w:p w14:paraId="1B374C4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4-5 пулеметов</w:t>
            </w:r>
          </w:p>
        </w:tc>
      </w:tr>
    </w:tbl>
    <w:p w14:paraId="45491FB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Морской тяжелый бомбардировщик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64"/>
        <w:gridCol w:w="2160"/>
        <w:gridCol w:w="2160"/>
      </w:tblGrid>
      <w:tr w:rsidR="007122AB" w:rsidRPr="005E779E" w14:paraId="142C82E9" w14:textId="77777777">
        <w:tc>
          <w:tcPr>
            <w:tcW w:w="4464" w:type="dxa"/>
          </w:tcPr>
          <w:p w14:paraId="215349B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скорость/высота</w:t>
            </w:r>
          </w:p>
        </w:tc>
        <w:tc>
          <w:tcPr>
            <w:tcW w:w="2160" w:type="dxa"/>
          </w:tcPr>
          <w:p w14:paraId="1340945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200/3000</w:t>
            </w:r>
          </w:p>
        </w:tc>
        <w:tc>
          <w:tcPr>
            <w:tcW w:w="2160" w:type="dxa"/>
          </w:tcPr>
          <w:p w14:paraId="2F881F7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Данных</w:t>
            </w:r>
          </w:p>
        </w:tc>
      </w:tr>
      <w:tr w:rsidR="007122AB" w:rsidRPr="005E779E" w14:paraId="4E5461A9" w14:textId="77777777">
        <w:tc>
          <w:tcPr>
            <w:tcW w:w="4464" w:type="dxa"/>
          </w:tcPr>
          <w:p w14:paraId="0AA6D43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подъема/высота</w:t>
            </w:r>
          </w:p>
        </w:tc>
        <w:tc>
          <w:tcPr>
            <w:tcW w:w="2160" w:type="dxa"/>
          </w:tcPr>
          <w:p w14:paraId="3D2875A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Pr>
          <w:p w14:paraId="54369DE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указано </w:t>
            </w:r>
          </w:p>
        </w:tc>
      </w:tr>
      <w:tr w:rsidR="007122AB" w:rsidRPr="005E779E" w14:paraId="7DA258F2" w14:textId="77777777">
        <w:tc>
          <w:tcPr>
            <w:tcW w:w="4464" w:type="dxa"/>
          </w:tcPr>
          <w:p w14:paraId="163379D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Практический потолок</w:t>
            </w:r>
          </w:p>
        </w:tc>
        <w:tc>
          <w:tcPr>
            <w:tcW w:w="2160" w:type="dxa"/>
          </w:tcPr>
          <w:p w14:paraId="4FD5369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Pr>
          <w:p w14:paraId="419B4B3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не </w:t>
            </w:r>
          </w:p>
        </w:tc>
      </w:tr>
      <w:tr w:rsidR="007122AB" w:rsidRPr="005E779E" w14:paraId="2EF35260" w14:textId="77777777">
        <w:tc>
          <w:tcPr>
            <w:tcW w:w="4464" w:type="dxa"/>
          </w:tcPr>
          <w:p w14:paraId="583B2A6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Продолжительность полета</w:t>
            </w:r>
          </w:p>
        </w:tc>
        <w:tc>
          <w:tcPr>
            <w:tcW w:w="2160" w:type="dxa"/>
          </w:tcPr>
          <w:p w14:paraId="70D7BB2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Pr>
          <w:p w14:paraId="1F34281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было </w:t>
            </w:r>
          </w:p>
        </w:tc>
      </w:tr>
      <w:tr w:rsidR="007122AB" w:rsidRPr="005E779E" w14:paraId="113C62E9" w14:textId="77777777">
        <w:tc>
          <w:tcPr>
            <w:tcW w:w="4464" w:type="dxa"/>
          </w:tcPr>
          <w:p w14:paraId="47ABFA0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w:t>
            </w:r>
          </w:p>
        </w:tc>
        <w:tc>
          <w:tcPr>
            <w:tcW w:w="2160" w:type="dxa"/>
          </w:tcPr>
          <w:p w14:paraId="2BA4A20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1200</w:t>
            </w:r>
          </w:p>
        </w:tc>
        <w:tc>
          <w:tcPr>
            <w:tcW w:w="2160" w:type="dxa"/>
          </w:tcPr>
          <w:p w14:paraId="65E8060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6E460B69" w14:textId="77777777">
        <w:tc>
          <w:tcPr>
            <w:tcW w:w="4464" w:type="dxa"/>
          </w:tcPr>
          <w:p w14:paraId="54AB3DB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Экипаж</w:t>
            </w:r>
          </w:p>
        </w:tc>
        <w:tc>
          <w:tcPr>
            <w:tcW w:w="2160" w:type="dxa"/>
          </w:tcPr>
          <w:p w14:paraId="486C653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w:t>
            </w:r>
          </w:p>
        </w:tc>
        <w:tc>
          <w:tcPr>
            <w:tcW w:w="2160" w:type="dxa"/>
          </w:tcPr>
          <w:p w14:paraId="0174860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7122AB" w:rsidRPr="005E779E" w14:paraId="07F9CA10" w14:textId="77777777">
        <w:tc>
          <w:tcPr>
            <w:tcW w:w="4464" w:type="dxa"/>
          </w:tcPr>
          <w:p w14:paraId="1030B1A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2160" w:type="dxa"/>
          </w:tcPr>
          <w:p w14:paraId="371D533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4-6 пулеметов</w:t>
            </w:r>
          </w:p>
          <w:p w14:paraId="7B0EAAF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бомбовая нагрузка 3000-4000 кг</w:t>
            </w:r>
          </w:p>
        </w:tc>
        <w:tc>
          <w:tcPr>
            <w:tcW w:w="2160" w:type="dxa"/>
          </w:tcPr>
          <w:p w14:paraId="7CC0B55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bl>
    <w:p w14:paraId="14C97A3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(6274, 502-507).</w:t>
      </w:r>
    </w:p>
    <w:p w14:paraId="1063595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Сводка числа конструкторских групп и самолетов (военных и гражданских), находящихся в стадии проектирования и постройки на 1 июня 1930 года</w:t>
      </w:r>
    </w:p>
    <w:p w14:paraId="4E68318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КБ завода № 25 в Москве</w:t>
      </w:r>
    </w:p>
    <w:p w14:paraId="0E40113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Руководитель – Зоншайн</w:t>
      </w:r>
    </w:p>
    <w:p w14:paraId="4AE0F4F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ТБ-2 – тяжелый бомбардировщик деревянной конструкции под 2 мотора БМВVI – Е-6 общей мощностью 1000 НР</w:t>
      </w:r>
    </w:p>
    <w:p w14:paraId="3321C7D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Р-8 – армейский разведчик (он же легкий бомбардировщик) смешанной конструкции под мотор М-34, 750 НР</w:t>
      </w:r>
    </w:p>
    <w:p w14:paraId="31FBB05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ДИ-2 – двухместный истребитель деревянной конструкции под мотор БМВVI Е-7,3 500 НР</w:t>
      </w:r>
    </w:p>
    <w:p w14:paraId="1FA7AB8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ДИ-4 двухместный истребитель смешанной конструкции под мотор М-34, 750 НР</w:t>
      </w:r>
    </w:p>
    <w:p w14:paraId="7E6D2CC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И-6 – одноместный истребитель деревянной конструкции под мотор М-22 480 НР и Юпитер VII – 480 НР</w:t>
      </w:r>
    </w:p>
    <w:p w14:paraId="3D5C492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И-7 - одноместный истребитель деревянной и смешанной конструкции по одному экземпляру под мотор БМВVI Е-7,3 500 НР</w:t>
      </w:r>
    </w:p>
    <w:p w14:paraId="186F3C1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И-9 - одноместный истребитель деревянной конструкции под мотор М-32 600 НР</w:t>
      </w:r>
    </w:p>
    <w:p w14:paraId="7E61909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МУ-2 – учебный, деревянной конструкции, поплавковый под мотор М-11 100НР (переделка У-2).</w:t>
      </w:r>
    </w:p>
    <w:p w14:paraId="7FF5580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КБ ЦАГИ в Москве</w:t>
      </w:r>
    </w:p>
    <w:p w14:paraId="023E2C8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Руководитель – Туполев</w:t>
      </w:r>
    </w:p>
    <w:p w14:paraId="263E1A5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ТБ-3 - тяжелый бомбардировщик металлической конструкции под 4 мотора Кертис общей мощностью 2400 НР</w:t>
      </w:r>
    </w:p>
    <w:p w14:paraId="3786694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ТБ-4 - тяжелый бомбардировщик металлической конструкции под моторы М-35 общей мощностью 5000 НР с предшествующей установкой заграничных моторов</w:t>
      </w:r>
    </w:p>
    <w:p w14:paraId="3A80E30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ТШ-1 – тяжелый штурмовик, бронированный металлической конструкции под моторы М-34 общей мощностью 1500 НР</w:t>
      </w:r>
    </w:p>
    <w:p w14:paraId="7D92DD3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Р-7- армейский разведчик (он же легкий бомбардировщик) металлической конструкции под моторы БМВVI 500 НР</w:t>
      </w:r>
    </w:p>
    <w:p w14:paraId="063D2DA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МИ-1 – многоместный истребитель металлической конструкции под 2 мотора БМВVI Е-7,3 общей мощностью 1000 НР</w:t>
      </w:r>
    </w:p>
    <w:p w14:paraId="740CE24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ДИ-3 - двухместный истребитель металлической конструкции под мотор М-34 750 НР</w:t>
      </w:r>
    </w:p>
    <w:p w14:paraId="2D52186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И-8 - одноместный истребитель экспериментальный стальной конструкции под мотор Кертис Конкверор 625 НР</w:t>
      </w:r>
    </w:p>
    <w:p w14:paraId="4180355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МДР-2 – дальний разведчик металлической конструкции под 2 мотора БМВVI общей мощностью 1000 НР</w:t>
      </w:r>
    </w:p>
    <w:p w14:paraId="6E8BFED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АНТ-14 - пассажирский самолет (сухопутный) на 32 места металлической конструкции с 5-ю моторами Хорнет или Юпитер</w:t>
      </w:r>
    </w:p>
    <w:p w14:paraId="0BBD221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КБ МОС в Москве</w:t>
      </w:r>
    </w:p>
    <w:p w14:paraId="71D213B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Руководитель – Ришар</w:t>
      </w:r>
    </w:p>
    <w:p w14:paraId="234C20C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МТБ-1 - тяжелый бомбардировщик (он же дальний торпедоносец) металлической конструкции под 2 мотора БМВVI общей мощностью 1000 НР</w:t>
      </w:r>
    </w:p>
    <w:p w14:paraId="3A91B04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КБ ГРОС в Харькове</w:t>
      </w:r>
    </w:p>
    <w:p w14:paraId="0224930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Руководитель – Калинин</w:t>
      </w:r>
    </w:p>
    <w:p w14:paraId="502910F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К-5 – пассажирский 8-ми местный самолет смешанной конструкции с моторами Хорнет и Юпитер</w:t>
      </w:r>
    </w:p>
    <w:p w14:paraId="527DA28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К-6 – почтовый самолет смешанной конструкции с моторами Хорнет или Юпитер</w:t>
      </w:r>
    </w:p>
    <w:p w14:paraId="38D05BF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К-7 – пассажирский самолет 50-ти местный, металлической конструкции с 7 моторами общей мощностью 3500 НР</w:t>
      </w:r>
    </w:p>
    <w:p w14:paraId="2C64436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К-8 – почтово-скоростная одноместная машина смешанной конструкции с мотором Кертис Конкверор</w:t>
      </w:r>
    </w:p>
    <w:p w14:paraId="1D79D2B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К-9 – 2-х местная авиетка</w:t>
      </w:r>
    </w:p>
    <w:p w14:paraId="6596186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К-10 – 2-х местный самолет для агитоблетов. Проект представлен на конкурс.</w:t>
      </w:r>
    </w:p>
    <w:p w14:paraId="4A32809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Конструкторская группа ОПО 3, завод № 22 в Филях</w:t>
      </w:r>
    </w:p>
    <w:p w14:paraId="0E7C90B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Руководитель – Бартини</w:t>
      </w:r>
    </w:p>
    <w:p w14:paraId="5BC80D6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МБР-1 – ближний разведчик деревянной конструкции под мотор БМВ-VI Е-6 500 НР с двумя лодками разных обводов</w:t>
      </w:r>
    </w:p>
    <w:p w14:paraId="24B7E5B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МБР-2 - ближний разведчик деревянной конструкции под мотор М-34 700 НР с предшествующей установкой БМВ-VI Е-7,3</w:t>
      </w:r>
    </w:p>
    <w:p w14:paraId="3DF5670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МДР-1 – дальний разведчик металлической конструкции под 2 мотора БМВ-VI общей мощностью 1000 НР</w:t>
      </w:r>
    </w:p>
    <w:p w14:paraId="0A7DD8C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МДР-3 - дальний разведчик металлической конструкции под 2 мотора М-34 общей мощностью 1500 НР</w:t>
      </w:r>
    </w:p>
    <w:p w14:paraId="18F0FE7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МТБ-2 – тяжелый бомбардировщик металлической конструкции под 2 мотора М-35 общей мощностью 4000-5000 НР с предшествующей установкой заграничных моторов</w:t>
      </w:r>
    </w:p>
    <w:p w14:paraId="705FD8D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МУ-3 – учебный, деревянной конструкции, лодочный под мотор М-11 100 НР</w:t>
      </w:r>
    </w:p>
    <w:p w14:paraId="280EFC1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Специальная группа при заводе № 39 в Москве</w:t>
      </w:r>
    </w:p>
    <w:p w14:paraId="61E8B5C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ВТ-11 – истребитель смешанной конструкции под мотор Ю-VII</w:t>
      </w:r>
    </w:p>
    <w:p w14:paraId="37923D1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МИ-2 – многоместный истребитель смешанной конструкции под 2 мотора М-34 общей мощностью 1500 НР</w:t>
      </w:r>
    </w:p>
    <w:p w14:paraId="003EF5E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КБ завода № 23 в Ленинграде</w:t>
      </w:r>
    </w:p>
    <w:p w14:paraId="0A6D32A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 аэропыл</w:t>
      </w:r>
    </w:p>
    <w:p w14:paraId="1A3D1B4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Конструктор Шавров в Москве. Постройка на заводе № 23 в Ленинграде.</w:t>
      </w:r>
    </w:p>
    <w:p w14:paraId="354CE04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А-1 – легкий амфибия, деревянной конструкции под мотор М-11 100 НР</w:t>
      </w:r>
    </w:p>
    <w:p w14:paraId="6145F9A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аэрофотосъемки – двухмоторная амфибия, 2-х местная смешанной конструкции</w:t>
      </w:r>
    </w:p>
    <w:p w14:paraId="5487275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Конструкторская группа Путилова в Москве</w:t>
      </w:r>
    </w:p>
    <w:p w14:paraId="5FFC0DA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Опытная одномоторная пассажирская машина, 3-4 местная, стальной конструкции</w:t>
      </w:r>
    </w:p>
    <w:p w14:paraId="63A5184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Опытная 3-х моторная машина на 3 пассажира, стальной конструкции</w:t>
      </w:r>
    </w:p>
    <w:p w14:paraId="4FA1871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Конструкторская группа Горелова</w:t>
      </w:r>
    </w:p>
    <w:p w14:paraId="02C7ECF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Маломощный самолет с разрезным крылом</w:t>
      </w:r>
    </w:p>
    <w:p w14:paraId="4AD9E23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12-ти местный самолет с разрезным крылом</w:t>
      </w:r>
    </w:p>
    <w:p w14:paraId="23C8642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Конструкторская группа ОПОЗ завода № 22 в Филях</w:t>
      </w:r>
    </w:p>
    <w:p w14:paraId="59B7D70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Руководитель - Артамонов</w:t>
      </w:r>
    </w:p>
    <w:p w14:paraId="7CC2239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МП1 – 3-х моторный металлический гидросамолет, лодка на 8 пассажиров, 3 мотора Юпитер по 420 НР</w:t>
      </w:r>
    </w:p>
    <w:p w14:paraId="3EDBC96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Конструкторская группа ВВА в Москве</w:t>
      </w:r>
    </w:p>
    <w:p w14:paraId="10C9FF7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Руководитель – Козлов</w:t>
      </w:r>
    </w:p>
    <w:p w14:paraId="305913B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ИП6 – одноместный истребитель с шестью пулеметами стальной</w:t>
      </w:r>
    </w:p>
    <w:p w14:paraId="645593B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Конструктор Черановский в Москве</w:t>
      </w:r>
    </w:p>
    <w:p w14:paraId="4210BD9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БИ4 – парабола</w:t>
      </w:r>
    </w:p>
    <w:p w14:paraId="1745B86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(6274, 513-514).</w:t>
      </w:r>
    </w:p>
    <w:p w14:paraId="68BFEE8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62EAA34" w14:textId="77777777" w:rsidR="00E65C7F" w:rsidRPr="005E779E" w:rsidRDefault="00E65C7F"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Внутренняя политика:</w:t>
      </w:r>
    </w:p>
    <w:p w14:paraId="67445BB7" w14:textId="77777777" w:rsidR="00E65C7F" w:rsidRPr="005E779E" w:rsidRDefault="00E65C7F"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47F589E" w14:textId="77777777" w:rsidR="00E65C7F" w:rsidRPr="005E779E" w:rsidRDefault="00E65C7F"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26 марта 1931 г.</w:t>
      </w:r>
    </w:p>
    <w:p w14:paraId="647776C5" w14:textId="77777777" w:rsidR="00E65C7F" w:rsidRPr="005E779E" w:rsidRDefault="00E65C7F"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Письмо наркома иностранных дел СССР М. М. Литвинова полпреду СССР во Франции В. С. Довгалевскому. 26 марта 1931 г.</w:t>
      </w:r>
    </w:p>
    <w:p w14:paraId="56144772" w14:textId="77777777" w:rsidR="00E65C7F" w:rsidRPr="005E779E" w:rsidRDefault="00E65C7F"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Источник: </w:t>
      </w:r>
    </w:p>
    <w:p w14:paraId="6305BF1F"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E81F8E0" w14:textId="77777777" w:rsidR="00E65C7F" w:rsidRPr="005E779E" w:rsidRDefault="00E65C7F"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Архив: </w:t>
      </w:r>
    </w:p>
    <w:p w14:paraId="0B35A9CE"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АВП РФ. Ф. 010. On. 2. П. 13а. Д. 232. Л. 16</w:t>
      </w:r>
    </w:p>
    <w:p w14:paraId="24C00434" w14:textId="77777777" w:rsidR="00E65C7F" w:rsidRPr="005E779E" w:rsidRDefault="00E65C7F" w:rsidP="000B7A6C">
      <w:pPr>
        <w:pStyle w:val="rteright"/>
        <w:spacing w:before="0" w:after="0"/>
        <w:jc w:val="both"/>
        <w:rPr>
          <w:color w:val="000000" w:themeColor="text1"/>
          <w:sz w:val="16"/>
          <w:szCs w:val="16"/>
        </w:rPr>
      </w:pPr>
      <w:r w:rsidRPr="005E779E">
        <w:rPr>
          <w:color w:val="000000" w:themeColor="text1"/>
          <w:sz w:val="16"/>
          <w:szCs w:val="16"/>
        </w:rPr>
        <w:t>26 марта 1931 г.</w:t>
      </w:r>
    </w:p>
    <w:p w14:paraId="756DF37D" w14:textId="77777777" w:rsidR="00E65C7F" w:rsidRPr="005E779E" w:rsidRDefault="00E65C7F" w:rsidP="000B7A6C">
      <w:pPr>
        <w:pStyle w:val="rteright"/>
        <w:spacing w:before="0" w:after="0"/>
        <w:jc w:val="both"/>
        <w:rPr>
          <w:color w:val="000000" w:themeColor="text1"/>
          <w:sz w:val="16"/>
          <w:szCs w:val="16"/>
        </w:rPr>
      </w:pPr>
      <w:r w:rsidRPr="005E779E">
        <w:rPr>
          <w:color w:val="000000" w:themeColor="text1"/>
          <w:sz w:val="16"/>
          <w:szCs w:val="16"/>
        </w:rPr>
        <w:t>Секретно</w:t>
      </w:r>
    </w:p>
    <w:p w14:paraId="1622EFE2" w14:textId="77777777" w:rsidR="00E65C7F" w:rsidRPr="005E779E" w:rsidRDefault="00E65C7F" w:rsidP="000B7A6C">
      <w:pPr>
        <w:pStyle w:val="ae"/>
        <w:spacing w:before="0" w:after="0"/>
        <w:jc w:val="both"/>
        <w:rPr>
          <w:color w:val="000000" w:themeColor="text1"/>
          <w:sz w:val="16"/>
          <w:szCs w:val="16"/>
        </w:rPr>
      </w:pPr>
      <w:r w:rsidRPr="005E779E">
        <w:rPr>
          <w:color w:val="000000" w:themeColor="text1"/>
          <w:sz w:val="16"/>
          <w:szCs w:val="16"/>
        </w:rPr>
        <w:t>Полномочному Представителю СССР во Франции</w:t>
      </w:r>
    </w:p>
    <w:p w14:paraId="5559731D" w14:textId="77777777" w:rsidR="00E65C7F" w:rsidRPr="005E779E" w:rsidRDefault="00E65C7F" w:rsidP="000B7A6C">
      <w:pPr>
        <w:pStyle w:val="ae"/>
        <w:spacing w:before="0" w:after="0"/>
        <w:jc w:val="both"/>
        <w:rPr>
          <w:color w:val="000000" w:themeColor="text1"/>
          <w:sz w:val="16"/>
          <w:szCs w:val="16"/>
        </w:rPr>
      </w:pPr>
      <w:r w:rsidRPr="005E779E">
        <w:rPr>
          <w:color w:val="000000" w:themeColor="text1"/>
          <w:sz w:val="16"/>
          <w:szCs w:val="16"/>
        </w:rPr>
        <w:t>тов. В. С. Довгалевскому</w:t>
      </w:r>
    </w:p>
    <w:p w14:paraId="63A1FA59" w14:textId="6152032F" w:rsidR="00E65C7F" w:rsidRPr="005E779E" w:rsidRDefault="00E65C7F" w:rsidP="000B7A6C">
      <w:pPr>
        <w:pStyle w:val="rtejustify"/>
        <w:spacing w:before="0" w:after="0"/>
        <w:rPr>
          <w:color w:val="000000" w:themeColor="text1"/>
          <w:sz w:val="16"/>
          <w:szCs w:val="16"/>
        </w:rPr>
      </w:pPr>
      <w:r w:rsidRPr="005E779E">
        <w:rPr>
          <w:color w:val="000000" w:themeColor="text1"/>
          <w:sz w:val="16"/>
          <w:szCs w:val="16"/>
        </w:rPr>
        <w:lastRenderedPageBreak/>
        <w:t>1.</w:t>
      </w:r>
      <w:r w:rsidR="00FE094E">
        <w:rPr>
          <w:color w:val="000000" w:themeColor="text1"/>
          <w:sz w:val="16"/>
          <w:szCs w:val="16"/>
        </w:rPr>
        <w:t xml:space="preserve"> </w:t>
      </w:r>
      <w:r w:rsidRPr="005E779E">
        <w:rPr>
          <w:color w:val="000000" w:themeColor="text1"/>
          <w:sz w:val="16"/>
          <w:szCs w:val="16"/>
        </w:rPr>
        <w:t>К сожалению, вопрос о вручении меморандума до сих пор еще не решен и дело еще находится в «делопроизводстве» сессии, которая не считает нужным спешить с этим делом. Как только будет принято решение, я Вам протелеграфирую.</w:t>
      </w:r>
    </w:p>
    <w:p w14:paraId="580E07DD" w14:textId="18E865A8" w:rsidR="00E65C7F" w:rsidRPr="005E779E" w:rsidRDefault="00E65C7F" w:rsidP="000B7A6C">
      <w:pPr>
        <w:pStyle w:val="rtejustify"/>
        <w:spacing w:before="0" w:after="0"/>
        <w:rPr>
          <w:color w:val="000000" w:themeColor="text1"/>
          <w:sz w:val="16"/>
          <w:szCs w:val="16"/>
        </w:rPr>
      </w:pPr>
      <w:r w:rsidRPr="005E779E">
        <w:rPr>
          <w:color w:val="000000" w:themeColor="text1"/>
          <w:sz w:val="16"/>
          <w:szCs w:val="16"/>
        </w:rPr>
        <w:t>2.</w:t>
      </w:r>
      <w:r w:rsidR="00FE094E">
        <w:rPr>
          <w:color w:val="000000" w:themeColor="text1"/>
          <w:sz w:val="16"/>
          <w:szCs w:val="16"/>
        </w:rPr>
        <w:t xml:space="preserve"> </w:t>
      </w:r>
      <w:r w:rsidRPr="005E779E">
        <w:rPr>
          <w:color w:val="000000" w:themeColor="text1"/>
          <w:sz w:val="16"/>
          <w:szCs w:val="16"/>
        </w:rPr>
        <w:t>Я не думаю, чтобы дело Кифера могло в какой-либо форме вновь ожить. Мы на всякий случай дали знать на границу об аннулировании обратной визы, но я думаю, что вряд ли французское правительство сделает какую-либо попытку вернуть его в Москву. Возможны еще разговоры по поводу списка дипкорпуса, но нами еще не использован такой сильный аргумент, как помещение в парижском списке дипкорпуса грузинской миссии, что, во всяком случае, дает нам более серьезный повод для протеста, чем неупоминание в списке Кифера.</w:t>
      </w:r>
    </w:p>
    <w:p w14:paraId="2D5099D4" w14:textId="13281A08" w:rsidR="00E65C7F" w:rsidRPr="005E779E" w:rsidRDefault="00E65C7F" w:rsidP="000B7A6C">
      <w:pPr>
        <w:pStyle w:val="rtejustify"/>
        <w:spacing w:before="0" w:after="0"/>
        <w:rPr>
          <w:color w:val="000000" w:themeColor="text1"/>
          <w:sz w:val="16"/>
          <w:szCs w:val="16"/>
        </w:rPr>
      </w:pPr>
      <w:r w:rsidRPr="005E779E">
        <w:rPr>
          <w:color w:val="000000" w:themeColor="text1"/>
          <w:sz w:val="16"/>
          <w:szCs w:val="16"/>
        </w:rPr>
        <w:t>3.</w:t>
      </w:r>
      <w:r w:rsidR="00FE094E">
        <w:rPr>
          <w:color w:val="000000" w:themeColor="text1"/>
          <w:sz w:val="16"/>
          <w:szCs w:val="16"/>
        </w:rPr>
        <w:t xml:space="preserve"> </w:t>
      </w:r>
      <w:r w:rsidRPr="005E779E">
        <w:rPr>
          <w:color w:val="000000" w:themeColor="text1"/>
          <w:sz w:val="16"/>
          <w:szCs w:val="16"/>
        </w:rPr>
        <w:t>Относительно Вашего отпуска и пособия Вам пишет Н. Н. Хотя Ваше письмо имело отметку «личное», я счел нужным послать копии его т. Сталину и членам Коллегии, т. к. оно затрагивает весьма острый вопрос о наших кадрах заграницей. Надеюсь, Вы не посетуете на меня за это.</w:t>
      </w:r>
    </w:p>
    <w:p w14:paraId="082A2D1D" w14:textId="0B8752F1" w:rsidR="00E65C7F" w:rsidRPr="005E779E" w:rsidRDefault="00E65C7F" w:rsidP="000B7A6C">
      <w:pPr>
        <w:pStyle w:val="rtejustify"/>
        <w:spacing w:before="0" w:after="0"/>
        <w:rPr>
          <w:color w:val="000000" w:themeColor="text1"/>
          <w:sz w:val="16"/>
          <w:szCs w:val="16"/>
        </w:rPr>
      </w:pPr>
      <w:r w:rsidRPr="005E779E">
        <w:rPr>
          <w:color w:val="000000" w:themeColor="text1"/>
          <w:sz w:val="16"/>
          <w:szCs w:val="16"/>
        </w:rPr>
        <w:t>4.</w:t>
      </w:r>
      <w:r w:rsidR="00FE094E">
        <w:rPr>
          <w:color w:val="000000" w:themeColor="text1"/>
          <w:sz w:val="16"/>
          <w:szCs w:val="16"/>
        </w:rPr>
        <w:t xml:space="preserve"> </w:t>
      </w:r>
      <w:r w:rsidRPr="005E779E">
        <w:rPr>
          <w:color w:val="000000" w:themeColor="text1"/>
          <w:sz w:val="16"/>
          <w:szCs w:val="16"/>
        </w:rPr>
        <w:t>Буду ждать Ваших дальнейших сообщений относительно реорганизации филиалов ВОКС. В Вашем письме № 133, однако, проглядывает тенденция к организации нового общества на узкой базе торговых интересов, типа торговой палаты. Не это я имею в виду. Стремиться нужно, по[-]моему, к созданию такой организации, которая могла бы охватить самую разношерстную публику: интеллигенцию, промышленников, финансистов, политиков, лиц свободных профессий, пацифистов и т. д.</w:t>
      </w:r>
    </w:p>
    <w:p w14:paraId="551175DE" w14:textId="77777777" w:rsidR="00E65C7F" w:rsidRPr="005E779E" w:rsidRDefault="00E65C7F" w:rsidP="000B7A6C">
      <w:pPr>
        <w:pStyle w:val="ae"/>
        <w:spacing w:before="0" w:after="0"/>
        <w:jc w:val="both"/>
        <w:rPr>
          <w:color w:val="000000" w:themeColor="text1"/>
          <w:sz w:val="16"/>
          <w:szCs w:val="16"/>
        </w:rPr>
      </w:pPr>
      <w:r w:rsidRPr="005E779E">
        <w:rPr>
          <w:color w:val="000000" w:themeColor="text1"/>
          <w:sz w:val="16"/>
          <w:szCs w:val="16"/>
        </w:rPr>
        <w:t>ЛИТВИНОВ</w:t>
      </w:r>
    </w:p>
    <w:p w14:paraId="19E3B8AA" w14:textId="77777777" w:rsidR="00E65C7F" w:rsidRPr="005E779E" w:rsidRDefault="00E65C7F" w:rsidP="000B7A6C">
      <w:pPr>
        <w:pStyle w:val="ae"/>
        <w:spacing w:before="0" w:after="0"/>
        <w:jc w:val="both"/>
        <w:rPr>
          <w:color w:val="000000" w:themeColor="text1"/>
          <w:sz w:val="16"/>
          <w:szCs w:val="16"/>
        </w:rPr>
      </w:pPr>
      <w:r w:rsidRPr="005E779E">
        <w:rPr>
          <w:rStyle w:val="af0"/>
          <w:i w:val="0"/>
          <w:color w:val="000000" w:themeColor="text1"/>
          <w:sz w:val="16"/>
          <w:szCs w:val="16"/>
        </w:rPr>
        <w:t>АВП РФ. Ф. 010. On. 2. П. 13а. Д. 232. Л. 16. Машинописная копия того времени. Вверху слева напечатано «экз. 2» (цифра от руки), справа напечатано столбцом — «Секретно», номер «№ л/21595» и дата «26 марта 1931 года». Штамп Секретариата замнаркома НКИД СССР с вписанными от руки номером и датой получения документа «27.III.1931 г.», подпись- росчерк Н. Н. Крестинского «НКр». Внизу слева машинописью делопроизводственная помета о количестве распечатанных экземпляров (4) и адрес рассылки «1 — Адресат, 2 — Кр[естинский], 3 — 3[ападный отдел] III, 4 — дело» (18813).</w:t>
      </w:r>
    </w:p>
    <w:p w14:paraId="503024A1" w14:textId="77777777" w:rsidR="00E65C7F" w:rsidRPr="005E779E" w:rsidRDefault="00E65C7F" w:rsidP="000B7A6C">
      <w:pPr>
        <w:spacing w:after="0" w:line="240" w:lineRule="auto"/>
        <w:jc w:val="both"/>
        <w:rPr>
          <w:rFonts w:ascii="Times New Roman" w:hAnsi="Times New Roman"/>
          <w:color w:val="000000" w:themeColor="text1"/>
          <w:sz w:val="16"/>
          <w:szCs w:val="16"/>
        </w:rPr>
      </w:pPr>
    </w:p>
    <w:p w14:paraId="61FA0A48" w14:textId="77777777" w:rsidR="00E65C7F" w:rsidRPr="005E779E" w:rsidRDefault="00E65C7F"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26 марта 1931 г.</w:t>
      </w:r>
    </w:p>
    <w:p w14:paraId="5069452C" w14:textId="77777777" w:rsidR="00E65C7F" w:rsidRPr="005E779E" w:rsidRDefault="00E65C7F"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Письмо заместителя наркома иностранных дел СССР Н. Н. Крестинского полпреду СССР во Франции В. С. Довгалевскому. 26 марта 1931 г.</w:t>
      </w:r>
    </w:p>
    <w:p w14:paraId="718F7ABA" w14:textId="77777777" w:rsidR="00E65C7F" w:rsidRPr="005E779E" w:rsidRDefault="00E65C7F"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Источник: </w:t>
      </w:r>
    </w:p>
    <w:p w14:paraId="2864384B"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7D05F80" w14:textId="77777777" w:rsidR="00E65C7F" w:rsidRPr="005E779E" w:rsidRDefault="00E65C7F"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Архив: </w:t>
      </w:r>
    </w:p>
    <w:p w14:paraId="7FEC8B8F"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АВП РФ. Ф. 010. On. 2. П. 13а. Д. 232. Л. 17-19</w:t>
      </w:r>
    </w:p>
    <w:p w14:paraId="30B2F9E4" w14:textId="77777777" w:rsidR="00E65C7F" w:rsidRPr="005E779E" w:rsidRDefault="00E65C7F" w:rsidP="000B7A6C">
      <w:pPr>
        <w:pStyle w:val="rteright"/>
        <w:spacing w:before="0" w:after="0"/>
        <w:jc w:val="both"/>
        <w:rPr>
          <w:color w:val="000000" w:themeColor="text1"/>
          <w:sz w:val="16"/>
          <w:szCs w:val="16"/>
        </w:rPr>
      </w:pPr>
      <w:r w:rsidRPr="005E779E">
        <w:rPr>
          <w:color w:val="000000" w:themeColor="text1"/>
          <w:sz w:val="16"/>
          <w:szCs w:val="16"/>
        </w:rPr>
        <w:t>26 марта 1931 г.</w:t>
      </w:r>
    </w:p>
    <w:p w14:paraId="5D296CEE" w14:textId="77777777" w:rsidR="00E65C7F" w:rsidRPr="005E779E" w:rsidRDefault="00E65C7F" w:rsidP="000B7A6C">
      <w:pPr>
        <w:pStyle w:val="rteright"/>
        <w:spacing w:before="0" w:after="0"/>
        <w:jc w:val="both"/>
        <w:rPr>
          <w:color w:val="000000" w:themeColor="text1"/>
          <w:sz w:val="16"/>
          <w:szCs w:val="16"/>
        </w:rPr>
      </w:pPr>
      <w:r w:rsidRPr="005E779E">
        <w:rPr>
          <w:color w:val="000000" w:themeColor="text1"/>
          <w:sz w:val="16"/>
          <w:szCs w:val="16"/>
        </w:rPr>
        <w:t>Секретно</w:t>
      </w:r>
    </w:p>
    <w:p w14:paraId="1944BCC8" w14:textId="77777777" w:rsidR="00E65C7F" w:rsidRPr="005E779E" w:rsidRDefault="00E65C7F" w:rsidP="000B7A6C">
      <w:pPr>
        <w:pStyle w:val="ae"/>
        <w:spacing w:before="0" w:after="0"/>
        <w:jc w:val="both"/>
        <w:rPr>
          <w:color w:val="000000" w:themeColor="text1"/>
          <w:sz w:val="16"/>
          <w:szCs w:val="16"/>
        </w:rPr>
      </w:pPr>
      <w:r w:rsidRPr="005E779E">
        <w:rPr>
          <w:color w:val="000000" w:themeColor="text1"/>
          <w:sz w:val="16"/>
          <w:szCs w:val="16"/>
        </w:rPr>
        <w:t>Тов. ДОВГАЛЕВСКОМУ</w:t>
      </w:r>
    </w:p>
    <w:p w14:paraId="7D0B01B8" w14:textId="77777777" w:rsidR="00E65C7F" w:rsidRPr="005E779E" w:rsidRDefault="00E65C7F" w:rsidP="000B7A6C">
      <w:pPr>
        <w:pStyle w:val="rtejustify"/>
        <w:spacing w:before="0" w:after="0"/>
        <w:rPr>
          <w:color w:val="000000" w:themeColor="text1"/>
          <w:sz w:val="16"/>
          <w:szCs w:val="16"/>
        </w:rPr>
      </w:pPr>
      <w:r w:rsidRPr="005E779E">
        <w:rPr>
          <w:color w:val="000000" w:themeColor="text1"/>
          <w:sz w:val="16"/>
          <w:szCs w:val="16"/>
        </w:rPr>
        <w:t>Многоуважаемый Валериан Савельевич,</w:t>
      </w:r>
    </w:p>
    <w:p w14:paraId="2A4DF179" w14:textId="5C03DF73" w:rsidR="00E65C7F" w:rsidRPr="005E779E" w:rsidRDefault="00E65C7F" w:rsidP="000B7A6C">
      <w:pPr>
        <w:pStyle w:val="rtejustify"/>
        <w:spacing w:before="0" w:after="0"/>
        <w:rPr>
          <w:color w:val="000000" w:themeColor="text1"/>
          <w:sz w:val="16"/>
          <w:szCs w:val="16"/>
        </w:rPr>
      </w:pPr>
      <w:r w:rsidRPr="005E779E">
        <w:rPr>
          <w:color w:val="000000" w:themeColor="text1"/>
          <w:sz w:val="16"/>
          <w:szCs w:val="16"/>
        </w:rPr>
        <w:t>1.</w:t>
      </w:r>
      <w:r w:rsidR="00FE094E">
        <w:rPr>
          <w:color w:val="000000" w:themeColor="text1"/>
          <w:sz w:val="16"/>
          <w:szCs w:val="16"/>
        </w:rPr>
        <w:t xml:space="preserve"> </w:t>
      </w:r>
      <w:r w:rsidRPr="005E779E">
        <w:rPr>
          <w:color w:val="000000" w:themeColor="text1"/>
          <w:sz w:val="16"/>
          <w:szCs w:val="16"/>
        </w:rPr>
        <w:t>Из моих телеграмм Вы уже знаете историю с дипломатическим списком без Кифера и с демаршем, сделанным по этому поводу поверенным в делах Конти.</w:t>
      </w:r>
    </w:p>
    <w:p w14:paraId="0B356BBA" w14:textId="77777777" w:rsidR="00E65C7F" w:rsidRPr="005E779E" w:rsidRDefault="00E65C7F" w:rsidP="000B7A6C">
      <w:pPr>
        <w:pStyle w:val="rtejustify"/>
        <w:spacing w:before="0" w:after="0"/>
        <w:rPr>
          <w:color w:val="000000" w:themeColor="text1"/>
          <w:sz w:val="16"/>
          <w:szCs w:val="16"/>
        </w:rPr>
      </w:pPr>
      <w:r w:rsidRPr="005E779E">
        <w:rPr>
          <w:color w:val="000000" w:themeColor="text1"/>
          <w:sz w:val="16"/>
          <w:szCs w:val="16"/>
        </w:rPr>
        <w:t>Дипломатический список выходит у нас обыкновенно в январе. Он и был и в этом году напечатан в январе, причем Кифер в список сознательно внесен не был. Ввиду происходивших между Вами, Вертело и Брианом переговоров, мы предложили Протокольному Отделу задержать рассылку готового списка. Когда же переговоры закончились и Кифер уехал, запрет был снят.</w:t>
      </w:r>
    </w:p>
    <w:p w14:paraId="1B727DF6" w14:textId="77777777" w:rsidR="00E65C7F" w:rsidRPr="005E779E" w:rsidRDefault="00E65C7F" w:rsidP="000B7A6C">
      <w:pPr>
        <w:pStyle w:val="rtejustify"/>
        <w:spacing w:before="0" w:after="0"/>
        <w:rPr>
          <w:color w:val="000000" w:themeColor="text1"/>
          <w:sz w:val="16"/>
          <w:szCs w:val="16"/>
        </w:rPr>
      </w:pPr>
      <w:r w:rsidRPr="005E779E">
        <w:rPr>
          <w:color w:val="000000" w:themeColor="text1"/>
          <w:sz w:val="16"/>
          <w:szCs w:val="16"/>
        </w:rPr>
        <w:t>Через 3 дня после рассылки списка ко мне явился Конти и заявил, что он и Вертело усматривают в исключении Кифера из списка наш односторонний акт по вопросу о Кифере, нарушающий состоявшееся между Вами и Вертело соглашение. Ввиду этого Конти просит разослать в циркулярном порядке исправление к списку, содержащее ряд мелких исправлений, а также восстанавливающий Кифера в списке членов французского посольства.</w:t>
      </w:r>
    </w:p>
    <w:p w14:paraId="12571379" w14:textId="77777777" w:rsidR="00E65C7F" w:rsidRPr="005E779E" w:rsidRDefault="00E65C7F" w:rsidP="000B7A6C">
      <w:pPr>
        <w:pStyle w:val="rtejustify"/>
        <w:spacing w:before="0" w:after="0"/>
        <w:rPr>
          <w:color w:val="000000" w:themeColor="text1"/>
          <w:sz w:val="16"/>
          <w:szCs w:val="16"/>
        </w:rPr>
      </w:pPr>
      <w:r w:rsidRPr="005E779E">
        <w:rPr>
          <w:color w:val="000000" w:themeColor="text1"/>
          <w:sz w:val="16"/>
          <w:szCs w:val="16"/>
        </w:rPr>
        <w:t>Я ответил Конти, что у Вас с Вертело не было никакого соглашения о том, что Кифер остается членом дипкорпуса до какого[-]то нового соглашения об этом в Париже. Соглашение касалось лишь вопроса о порядке выезда Кифера, именно — предоставления ему не только выездной, но и обратной визы. Но при этом Вертело считался с предшествующим заявлением Довгалевского, что мы не рассматриваем больше Кифера как члена дипкорпуса, и дал Вам письмо, в котором заявлял, что в выдаче Киферу обратной визы францпра не будет рассматривать, как наш отказ от требования отозвать Кифера.</w:t>
      </w:r>
    </w:p>
    <w:p w14:paraId="3192B8EA" w14:textId="77777777" w:rsidR="00E65C7F" w:rsidRPr="005E779E" w:rsidRDefault="00E65C7F" w:rsidP="000B7A6C">
      <w:pPr>
        <w:pStyle w:val="rtejustify"/>
        <w:spacing w:before="0" w:after="0"/>
        <w:rPr>
          <w:color w:val="000000" w:themeColor="text1"/>
          <w:sz w:val="16"/>
          <w:szCs w:val="16"/>
        </w:rPr>
      </w:pPr>
      <w:r w:rsidRPr="005E779E">
        <w:rPr>
          <w:color w:val="000000" w:themeColor="text1"/>
          <w:sz w:val="16"/>
          <w:szCs w:val="16"/>
        </w:rPr>
        <w:t>Поэтому я не вижу никаких оснований для протеста со стороны францпра и не считаю возможным рассылать какие-либо исправления.</w:t>
      </w:r>
    </w:p>
    <w:p w14:paraId="64CCA613" w14:textId="77777777" w:rsidR="00E65C7F" w:rsidRPr="005E779E" w:rsidRDefault="00E65C7F" w:rsidP="000B7A6C">
      <w:pPr>
        <w:pStyle w:val="rtejustify"/>
        <w:spacing w:before="0" w:after="0"/>
        <w:rPr>
          <w:color w:val="000000" w:themeColor="text1"/>
          <w:sz w:val="16"/>
          <w:szCs w:val="16"/>
        </w:rPr>
      </w:pPr>
      <w:r w:rsidRPr="005E779E">
        <w:rPr>
          <w:color w:val="000000" w:themeColor="text1"/>
          <w:sz w:val="16"/>
          <w:szCs w:val="16"/>
        </w:rPr>
        <w:t>Конти просил, однако, меня снестись с Вами, чтобы установить истинный характер Вашего соглашения с Вертело. Он прибавил, что если Вертело не получит просимого удовлетворения, если мы не согласимся исправить ошибки Протокольного Отдела, то Вертело будет считать себя свободным от соглашения с Довгалевским и самостоятельно обсудит, какие шаги ему предпринять.</w:t>
      </w:r>
    </w:p>
    <w:p w14:paraId="1A0C022B" w14:textId="77777777" w:rsidR="00E65C7F" w:rsidRPr="005E779E" w:rsidRDefault="00E65C7F" w:rsidP="000B7A6C">
      <w:pPr>
        <w:pStyle w:val="rtejustify"/>
        <w:spacing w:before="0" w:after="0"/>
        <w:rPr>
          <w:color w:val="000000" w:themeColor="text1"/>
          <w:sz w:val="16"/>
          <w:szCs w:val="16"/>
        </w:rPr>
      </w:pPr>
      <w:r w:rsidRPr="005E779E">
        <w:rPr>
          <w:color w:val="000000" w:themeColor="text1"/>
          <w:sz w:val="16"/>
          <w:szCs w:val="16"/>
        </w:rPr>
        <w:t>Я согласился снестись с Вами.</w:t>
      </w:r>
    </w:p>
    <w:p w14:paraId="59BBE83D" w14:textId="77777777" w:rsidR="00E65C7F" w:rsidRPr="005E779E" w:rsidRDefault="00E65C7F" w:rsidP="000B7A6C">
      <w:pPr>
        <w:pStyle w:val="rtejustify"/>
        <w:spacing w:before="0" w:after="0"/>
        <w:rPr>
          <w:color w:val="000000" w:themeColor="text1"/>
          <w:sz w:val="16"/>
          <w:szCs w:val="16"/>
        </w:rPr>
      </w:pPr>
      <w:r w:rsidRPr="005E779E">
        <w:rPr>
          <w:color w:val="000000" w:themeColor="text1"/>
          <w:sz w:val="16"/>
          <w:szCs w:val="16"/>
        </w:rPr>
        <w:t>Когда мы обсудили вопрос в Коллегии, то решили сказать Конти, что было бы правильнее, если бы Протокольный] Отд[ел] не поторопился разослать список, но что мы не можем исправить этого, потому что рассылка нами исправления обозначала бы, что мы принимаем точку зрения французского правительства и продолжаем считать Кифера членом дипкорпуса. Мы же заявили Вертело обратное, от своей точки зрения не отказались, и заключенный между им и Вами компромисс именно в том и состоял, что каждая сторона осталась в основном при своей точке зрения. Никакого соглашения о том, что Кифер остается членом дипкорпуса между Вами и Вертело нет. Сейчас я привожу наше решение по памяти, но точный текст, который потом Рубинин и передал Конти, был Вам протелеграфирован.</w:t>
      </w:r>
    </w:p>
    <w:p w14:paraId="18C943FB" w14:textId="77777777" w:rsidR="00E65C7F" w:rsidRPr="005E779E" w:rsidRDefault="00E65C7F" w:rsidP="000B7A6C">
      <w:pPr>
        <w:pStyle w:val="rtejustify"/>
        <w:spacing w:before="0" w:after="0"/>
        <w:rPr>
          <w:color w:val="000000" w:themeColor="text1"/>
          <w:sz w:val="16"/>
          <w:szCs w:val="16"/>
        </w:rPr>
      </w:pPr>
      <w:r w:rsidRPr="005E779E">
        <w:rPr>
          <w:color w:val="000000" w:themeColor="text1"/>
          <w:sz w:val="16"/>
          <w:szCs w:val="16"/>
        </w:rPr>
        <w:t>Я не вызывал к себе Конти, он через 2 или 3 дня после заседания Коллегии зашел к Рубинину и справился у него о результатах своего демарша. Рубинин сделал ему то сообщение, которое по решению Коллегии должен был сделать я при ближайшем посещении Конти. Конти просил Рубинина передать мне, что он все[-]таки настаивал бы на рассылке исправления. Рубинин ответил, что он, конечно, передаст мне содержание своего разговора, но что исправления мы не пошлем и считаем вопрос исчерпанным.</w:t>
      </w:r>
    </w:p>
    <w:p w14:paraId="7C41A329" w14:textId="77777777" w:rsidR="00E65C7F" w:rsidRPr="005E779E" w:rsidRDefault="00E65C7F" w:rsidP="000B7A6C">
      <w:pPr>
        <w:pStyle w:val="rtejustify"/>
        <w:spacing w:before="0" w:after="0"/>
        <w:rPr>
          <w:color w:val="000000" w:themeColor="text1"/>
          <w:sz w:val="16"/>
          <w:szCs w:val="16"/>
        </w:rPr>
      </w:pPr>
      <w:r w:rsidRPr="005E779E">
        <w:rPr>
          <w:color w:val="000000" w:themeColor="text1"/>
          <w:sz w:val="16"/>
          <w:szCs w:val="16"/>
        </w:rPr>
        <w:t>Я надеюсь, что французы не будут делать истории из этого вопроса.</w:t>
      </w:r>
    </w:p>
    <w:p w14:paraId="7D1D57D3" w14:textId="68A38E25" w:rsidR="00E65C7F" w:rsidRPr="005E779E" w:rsidRDefault="00E65C7F" w:rsidP="000B7A6C">
      <w:pPr>
        <w:pStyle w:val="rtejustify"/>
        <w:spacing w:before="0" w:after="0"/>
        <w:rPr>
          <w:color w:val="000000" w:themeColor="text1"/>
          <w:sz w:val="16"/>
          <w:szCs w:val="16"/>
        </w:rPr>
      </w:pPr>
      <w:r w:rsidRPr="005E779E">
        <w:rPr>
          <w:color w:val="000000" w:themeColor="text1"/>
          <w:sz w:val="16"/>
          <w:szCs w:val="16"/>
        </w:rPr>
        <w:t>2.</w:t>
      </w:r>
      <w:r w:rsidR="00FE094E">
        <w:rPr>
          <w:color w:val="000000" w:themeColor="text1"/>
          <w:sz w:val="16"/>
          <w:szCs w:val="16"/>
        </w:rPr>
        <w:t xml:space="preserve"> </w:t>
      </w:r>
      <w:r w:rsidRPr="005E779E">
        <w:rPr>
          <w:color w:val="000000" w:themeColor="text1"/>
          <w:sz w:val="16"/>
          <w:szCs w:val="16"/>
        </w:rPr>
        <w:t xml:space="preserve"> Вы предлагаете внести некоторые исправления в меморандум. Весь вопрос находится сейчас в инстанции, редакционные изменения, предлагаемые Вами и не вызывающие у меня возражений, обсудим, когда будет разрешен предварительный принципиальный вопрос.</w:t>
      </w:r>
    </w:p>
    <w:p w14:paraId="69BF2446" w14:textId="0954C4AE" w:rsidR="00E65C7F" w:rsidRPr="005E779E" w:rsidRDefault="00E65C7F" w:rsidP="000B7A6C">
      <w:pPr>
        <w:pStyle w:val="rtejustify"/>
        <w:spacing w:before="0" w:after="0"/>
        <w:rPr>
          <w:color w:val="000000" w:themeColor="text1"/>
          <w:sz w:val="16"/>
          <w:szCs w:val="16"/>
        </w:rPr>
      </w:pPr>
      <w:r w:rsidRPr="005E779E">
        <w:rPr>
          <w:color w:val="000000" w:themeColor="text1"/>
          <w:sz w:val="16"/>
          <w:szCs w:val="16"/>
        </w:rPr>
        <w:t>3.</w:t>
      </w:r>
      <w:r w:rsidR="00FE094E">
        <w:rPr>
          <w:color w:val="000000" w:themeColor="text1"/>
          <w:sz w:val="16"/>
          <w:szCs w:val="16"/>
        </w:rPr>
        <w:t xml:space="preserve"> </w:t>
      </w:r>
      <w:r w:rsidRPr="005E779E">
        <w:rPr>
          <w:color w:val="000000" w:themeColor="text1"/>
          <w:sz w:val="16"/>
          <w:szCs w:val="16"/>
        </w:rPr>
        <w:t xml:space="preserve"> Я против того, чтобы продолжать переписку с МИДом по делу Шаляпина. Если бы у меня существовала уверенность в том, что французы не ответят и что Ваше письмо будет последним словом по этому делу, то я не возражал бы против посылки более короткого, чем Вы предлагаете, письма, со ссылкой на прецедент 1925 года. Но я не сомневаюсь, что Вы получите новый ответ с указанием на изменившиеся обстоятельства и с новой ссылкой на процесс Рамзина. Получится длящаяся неприятная переписка, в которой последнее слово опять-таки останется не за нами. Лучше поэтому ничего не отвечать. Мы не лишены возможности после Вашего возвращения из отпуска, если произойдут какие-либо изменения во взаимоотношениях, вернуться еще раз к этому вопросу. Пока же ничего не пишите.</w:t>
      </w:r>
    </w:p>
    <w:p w14:paraId="64DF7D8D" w14:textId="77777777" w:rsidR="00E65C7F" w:rsidRPr="005E779E" w:rsidRDefault="00E65C7F" w:rsidP="000B7A6C">
      <w:pPr>
        <w:pStyle w:val="ae"/>
        <w:spacing w:before="0" w:after="0"/>
        <w:jc w:val="both"/>
        <w:rPr>
          <w:color w:val="000000" w:themeColor="text1"/>
          <w:sz w:val="16"/>
          <w:szCs w:val="16"/>
        </w:rPr>
      </w:pPr>
      <w:r w:rsidRPr="005E779E">
        <w:rPr>
          <w:color w:val="000000" w:themeColor="text1"/>
          <w:sz w:val="16"/>
          <w:szCs w:val="16"/>
        </w:rPr>
        <w:t>С тов. приветом</w:t>
      </w:r>
    </w:p>
    <w:p w14:paraId="6CE0682E" w14:textId="77777777" w:rsidR="00E65C7F" w:rsidRPr="005E779E" w:rsidRDefault="00E65C7F" w:rsidP="000B7A6C">
      <w:pPr>
        <w:pStyle w:val="ae"/>
        <w:spacing w:before="0" w:after="0"/>
        <w:jc w:val="both"/>
        <w:rPr>
          <w:color w:val="000000" w:themeColor="text1"/>
          <w:sz w:val="16"/>
          <w:szCs w:val="16"/>
        </w:rPr>
      </w:pPr>
      <w:r w:rsidRPr="005E779E">
        <w:rPr>
          <w:color w:val="000000" w:themeColor="text1"/>
          <w:sz w:val="16"/>
          <w:szCs w:val="16"/>
        </w:rPr>
        <w:t>Н. Крестинский</w:t>
      </w:r>
    </w:p>
    <w:p w14:paraId="7809A45E" w14:textId="77777777" w:rsidR="00E65C7F" w:rsidRPr="005E779E" w:rsidRDefault="00E65C7F" w:rsidP="000B7A6C">
      <w:pPr>
        <w:pStyle w:val="ae"/>
        <w:spacing w:before="0" w:after="0"/>
        <w:jc w:val="both"/>
        <w:rPr>
          <w:color w:val="000000" w:themeColor="text1"/>
          <w:sz w:val="16"/>
          <w:szCs w:val="16"/>
        </w:rPr>
      </w:pPr>
      <w:r w:rsidRPr="005E779E">
        <w:rPr>
          <w:rStyle w:val="af0"/>
          <w:i w:val="0"/>
          <w:color w:val="000000" w:themeColor="text1"/>
          <w:sz w:val="16"/>
          <w:szCs w:val="16"/>
        </w:rPr>
        <w:t>АВП РФ. Ф. 010. On. 2. П. 13а. Д. 232. Л. 17-19. Машинописный подлинник, подпись — автограф. На Л. 17 вверху справа напечатаны дата, ниже (от руки) номер «к/22765», «Секретно». На Л. 19 внизу слева — делопроизводственная помета (машинописью) о количестве распечатанных экземпляров (6) и адрес рассылки «Копии: чл[енам] Коллегии, 3-й Зап[адный] Отд[ел]» (18814).</w:t>
      </w:r>
    </w:p>
    <w:p w14:paraId="24F3AD80" w14:textId="77777777" w:rsidR="00E65C7F" w:rsidRPr="005E779E" w:rsidRDefault="00E65C7F" w:rsidP="000B7A6C">
      <w:pPr>
        <w:spacing w:after="0" w:line="240" w:lineRule="auto"/>
        <w:jc w:val="both"/>
        <w:rPr>
          <w:rFonts w:ascii="Times New Roman" w:hAnsi="Times New Roman"/>
          <w:color w:val="000000" w:themeColor="text1"/>
          <w:sz w:val="16"/>
          <w:szCs w:val="16"/>
        </w:rPr>
      </w:pPr>
    </w:p>
    <w:p w14:paraId="3353CB03"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309FFED1"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7A26A16" w14:textId="77777777" w:rsidR="006A088C" w:rsidRPr="005E779E" w:rsidRDefault="006A088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 марта 1931 Ad Astra Aero и Balair объединяются в Swissair (20804).</w:t>
      </w:r>
    </w:p>
    <w:p w14:paraId="5CCCB77D" w14:textId="77777777" w:rsidR="006A088C" w:rsidRPr="005E779E" w:rsidRDefault="006A088C" w:rsidP="000B7A6C">
      <w:pPr>
        <w:spacing w:after="0" w:line="240" w:lineRule="auto"/>
        <w:jc w:val="both"/>
        <w:rPr>
          <w:rFonts w:ascii="Times New Roman" w:hAnsi="Times New Roman"/>
          <w:color w:val="000000" w:themeColor="text1"/>
          <w:sz w:val="16"/>
          <w:szCs w:val="16"/>
        </w:rPr>
      </w:pPr>
    </w:p>
    <w:p w14:paraId="34A82D06" w14:textId="77777777" w:rsidR="006A088C" w:rsidRPr="005E779E" w:rsidRDefault="006A088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 марта 1931 - Путём слияния Ad Astra Aero AG and Basler Luftverkehr была основана национальная швейцарская авиакомпания Swissair. Ряд десятилетий она была одной из крупнейших авиакомпаний мира.</w:t>
      </w:r>
    </w:p>
    <w:p w14:paraId="32D40743" w14:textId="77777777" w:rsidR="006A088C" w:rsidRPr="005E779E" w:rsidRDefault="006A088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Однако серьёзные финансовые проблемы заставили её осенью 2001 прекратить полёты на регулярных линиях. Наступил день 2 октября 2001 года, и ни один самолет компании не поднялся в воздух, они все остались на приколе, а в начале 2002 она прекратила существование. 31 марта 2002 года, после слияния с региональной авиакомпанией Crossair, швейцарский национальный перевозчик вновь начал работу уже под именем Swiss. Федеральный центр и банки профинансировали процесс перестройки компании кредитами на общую сумму в 3 миллиарда франков, из них 1,7 миллиарда были деньгами налогоплательщиков. Однако, несмотря на все усилия, добиться прежних результатов уже не удалось. Экономическая турбулентность, в которую попала компания, были слишком велики, а перспективы – туманны. Когда весной 2005 г. компанию купила германская Lufthansa, рыночная стоимость Swiss составляла всего лишь 340 миллионов франков (22556).</w:t>
      </w:r>
    </w:p>
    <w:p w14:paraId="0B276524" w14:textId="77777777" w:rsidR="006A088C" w:rsidRPr="005E779E" w:rsidRDefault="006A088C" w:rsidP="000B7A6C">
      <w:pPr>
        <w:spacing w:after="0" w:line="240" w:lineRule="auto"/>
        <w:jc w:val="both"/>
        <w:rPr>
          <w:rFonts w:ascii="Times New Roman" w:hAnsi="Times New Roman"/>
          <w:color w:val="000000" w:themeColor="text1"/>
          <w:sz w:val="16"/>
          <w:szCs w:val="16"/>
        </w:rPr>
      </w:pPr>
    </w:p>
    <w:p w14:paraId="04FF71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 марта 1931 Ирак и Трансиордания заключили договор о дружбе (3907,167).</w:t>
      </w:r>
    </w:p>
    <w:p w14:paraId="56BC3D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E9E93C5"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7497946D"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6260B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27 марта 1931 на техническом совещании отдела АГОС обсуждали вопрос о постановке АНТ-9 на поплавки (1077,158).</w:t>
      </w:r>
    </w:p>
    <w:p w14:paraId="2C9C37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00B4456" w14:textId="77777777" w:rsidR="00083CD8" w:rsidRPr="005E779E" w:rsidRDefault="00083CD8" w:rsidP="000B7A6C">
      <w:pPr>
        <w:pStyle w:val="rtejustify"/>
        <w:spacing w:before="0" w:after="0"/>
        <w:rPr>
          <w:color w:val="000000" w:themeColor="text1"/>
          <w:sz w:val="16"/>
          <w:szCs w:val="16"/>
        </w:rPr>
      </w:pPr>
      <w:r w:rsidRPr="005E779E">
        <w:rPr>
          <w:rStyle w:val="af0"/>
          <w:i w:val="0"/>
          <w:color w:val="000000" w:themeColor="text1"/>
          <w:sz w:val="16"/>
          <w:szCs w:val="16"/>
        </w:rPr>
        <w:t>27 марта 1931 г. Протокол Реввоенсовета № 13.</w:t>
      </w:r>
      <w:r w:rsidRPr="005E779E">
        <w:rPr>
          <w:color w:val="000000" w:themeColor="text1"/>
          <w:sz w:val="16"/>
          <w:szCs w:val="16"/>
        </w:rPr>
        <w:t xml:space="preserve"> 4. Состояние работ по плану опытного моторостроения (ИАМ). (Марьямов). 5. О постройке самолета К</w:t>
      </w:r>
      <w:r w:rsidRPr="005E779E">
        <w:rPr>
          <w:color w:val="000000" w:themeColor="text1"/>
          <w:sz w:val="16"/>
          <w:szCs w:val="16"/>
        </w:rPr>
        <w:noBreakHyphen/>
        <w:t>7 (Калинин). (РГВА. Ф. 4. Оп. 18. Д. 20. Л. 157</w:t>
      </w:r>
      <w:r w:rsidRPr="005E779E">
        <w:rPr>
          <w:color w:val="000000" w:themeColor="text1"/>
          <w:sz w:val="16"/>
          <w:szCs w:val="16"/>
        </w:rPr>
        <w:noBreakHyphen/>
        <w:t>158) (12342).</w:t>
      </w:r>
    </w:p>
    <w:p w14:paraId="4B49483F" w14:textId="77777777" w:rsidR="00083CD8" w:rsidRPr="005E779E" w:rsidRDefault="00083CD8" w:rsidP="000B7A6C">
      <w:pPr>
        <w:pStyle w:val="rtejustify"/>
        <w:spacing w:before="0" w:after="0"/>
        <w:rPr>
          <w:color w:val="000000" w:themeColor="text1"/>
          <w:sz w:val="16"/>
          <w:szCs w:val="16"/>
        </w:rPr>
      </w:pPr>
    </w:p>
    <w:p w14:paraId="55656AC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27 марта 1931 г. собрали 15 моторов М-26 1-й серии. Но выпускались М-15 и М-26 недолго. 5 августа 1931 г. вышло постановление Реввоен</w:t>
      </w:r>
      <w:r w:rsidRPr="005E779E">
        <w:rPr>
          <w:rFonts w:ascii="Times New Roman" w:hAnsi="Times New Roman"/>
          <w:color w:val="000000" w:themeColor="text1"/>
          <w:sz w:val="16"/>
          <w:szCs w:val="16"/>
        </w:rPr>
        <w:softHyphen/>
        <w:t>совета СССР о сокращении количества типов авиамоторов, находящихся в серийном производстве. Оставляли только М-11, М-17, М-22 и М-28. Высокая аварийность самолетов АНТ-9 и К-5 с двигателями М-26 и М-15 соответственно нанесла дополнительный удар по их репутации. Моторы сняли с производства, а вскоре и с эксплуатации. Выпущено 406 экз. В военной авиации М-15 был вытеснен (в основном, из-за низкой надежности) мотором М-22. В январе 1932 г. он проиграл сравнительные испытания в НИИ ВВС двигателю М-22. Все построенные М-15 передали для эксплуатации в гражданскую авиацию.</w:t>
      </w:r>
    </w:p>
    <w:p w14:paraId="2EBE769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М-26 разработан под руководством А.А. Бессонова на заводе № 24 для заме</w:t>
      </w:r>
      <w:r w:rsidRPr="005E779E">
        <w:rPr>
          <w:rFonts w:ascii="Times New Roman" w:hAnsi="Times New Roman"/>
          <w:color w:val="000000" w:themeColor="text1"/>
          <w:sz w:val="16"/>
          <w:szCs w:val="16"/>
        </w:rPr>
        <w:softHyphen/>
        <w:t>ны импортных моторов Райт 36 с использованием деталей и узлов мотора М-15. Проектировался с сентября 1928 г. по февраль 1929 г. Первоначаль</w:t>
      </w:r>
      <w:r w:rsidRPr="005E779E">
        <w:rPr>
          <w:rFonts w:ascii="Times New Roman" w:hAnsi="Times New Roman"/>
          <w:color w:val="000000" w:themeColor="text1"/>
          <w:sz w:val="16"/>
          <w:szCs w:val="16"/>
        </w:rPr>
        <w:softHyphen/>
        <w:t>но именовался «переходный по М15», позже появилось название КИМ (Коммунистический интернационал молодежи). Опытные образцы испы</w:t>
      </w:r>
      <w:r w:rsidRPr="005E779E">
        <w:rPr>
          <w:rFonts w:ascii="Times New Roman" w:hAnsi="Times New Roman"/>
          <w:color w:val="000000" w:themeColor="text1"/>
          <w:sz w:val="16"/>
          <w:szCs w:val="16"/>
        </w:rPr>
        <w:softHyphen/>
        <w:t>тывались в 1930 г. М-26 дважды представлялся на госиспытания (в июне 1930 г. и в феврале 1931 г.), во втором случае прошел их успешно. Се</w:t>
      </w:r>
      <w:r w:rsidRPr="005E779E">
        <w:rPr>
          <w:rFonts w:ascii="Times New Roman" w:hAnsi="Times New Roman"/>
          <w:color w:val="000000" w:themeColor="text1"/>
          <w:sz w:val="16"/>
          <w:szCs w:val="16"/>
        </w:rPr>
        <w:softHyphen/>
        <w:t>рийное производство велось на заводе № 24 (Москва) в 1931-1933 гг. Вы</w:t>
      </w:r>
      <w:r w:rsidRPr="005E779E">
        <w:rPr>
          <w:rFonts w:ascii="Times New Roman" w:hAnsi="Times New Roman"/>
          <w:color w:val="000000" w:themeColor="text1"/>
          <w:sz w:val="16"/>
          <w:szCs w:val="16"/>
        </w:rPr>
        <w:softHyphen/>
        <w:t>пущено 445 экз. Мотор эксплуатировался только в гражданской авиации. Снят с производства и с эксплуатации в связи с низкой надежностью.</w:t>
      </w:r>
    </w:p>
    <w:p w14:paraId="5BD842F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Характеристики:</w:t>
      </w:r>
    </w:p>
    <w:p w14:paraId="128DDBD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7-цилиндровый, звездообразный, четырехтактный, воздушного охлаж</w:t>
      </w:r>
      <w:r w:rsidRPr="005E779E">
        <w:rPr>
          <w:rFonts w:ascii="Times New Roman" w:hAnsi="Times New Roman"/>
          <w:color w:val="000000" w:themeColor="text1"/>
          <w:sz w:val="16"/>
          <w:szCs w:val="16"/>
        </w:rPr>
        <w:softHyphen/>
        <w:t>дения;</w:t>
      </w:r>
    </w:p>
    <w:p w14:paraId="6737A65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мощность 270/300 л.с. (по проекту 300/350 л.с.);</w:t>
      </w:r>
    </w:p>
    <w:p w14:paraId="5CF52C4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диаметр цилиндра/ход поршня 150/170 мм;</w:t>
      </w:r>
    </w:p>
    <w:p w14:paraId="44B05D0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объем 21,0 л;</w:t>
      </w:r>
    </w:p>
    <w:p w14:paraId="3CECFEE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степень сжатия 5,4;</w:t>
      </w:r>
    </w:p>
    <w:p w14:paraId="6AFCA4D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безредукторный;</w:t>
      </w:r>
    </w:p>
    <w:p w14:paraId="794C7E4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вес по проекту 300 кг, фактический — 375 кг (без втулки винта);</w:t>
      </w:r>
    </w:p>
    <w:p w14:paraId="06966B2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имел ПЦН.</w:t>
      </w:r>
    </w:p>
    <w:p w14:paraId="5399718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Устанавливался на серийных самолетах АНТ-9, «Сталь-2», автожире А-4 (малая серия). Предлагалось использование в проекте самолета МФС. Существовал мотор 1946 г. под тем же обозначением (11852).</w:t>
      </w:r>
    </w:p>
    <w:p w14:paraId="40A581B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6E275E"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24E90B7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B6A28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марта 1931 г. два Р-1 из 28-й эскадрильи отправили фотографировать сооружения Карельского укрепрайона с целью проверки состояния их маскировки. Но молодые летчики заблудились и сняли укрепления на финской стороне границы, у реки Виисийоки. Полет не остался незамеченным: министерство иностранных дел Финляндии направило ноту протеста. И только тогда выяснилось, что же сфотографировали наши экипажи. Командование ВВС Ленинградского округа долго решало, что делать: то ли наказывать за ошибку, то ли награждать за ценную информацию. В конечном счете приняли «соломоново решение» - не делать ни того, ни другого (11923).</w:t>
      </w:r>
    </w:p>
    <w:p w14:paraId="529AE7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C7F2FEC" w14:textId="77777777" w:rsidR="009539DA" w:rsidRPr="005E779E" w:rsidRDefault="009539DA"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27 марта 1931 Реввоенсовет заслушал доклад Триандафиллова, в котором были объединены два вопроса повестки дня - численность РККА мирного времени, оргмероприятия 1931-1933 гг. и новые формирования 1931 г. К согласию прийти не удалось. "Считая необходимым еще раз самым тщательным образом обсудить представленные Штабом РККА соображения и расчеты о численности и организации армии на конец пятилетки", РВСС поручил специальной комиссии (Ворошилов, Гамарник, Каменев, Баранов, Триандафиллов, Левичев) вновь рассмотреть "весь вопрос" и вынести по нему окончательное решение от имени совета (Протокол № 13 заседания РВС СССР от 27.03.1931 // Там же. Л. 156. Протокол № 13 заседания РВС СССР от 27.03.1931 // Там же. Л. 156.). По итогам этих работ 6 апреля Ворошилов издал постановление "О численности РККА мирного времени на конец пятилетки и о порядке новых формирований" (Согласно протоколу № 14 (п. 13), на заседании 3 апреля РВС принял к сведению это постановление (Там же. Л. 188). Либо Ворошилов подписал постановление с трехдневным запозданием, либо секретарь РВСС Литуновкий при составлении протокола внес в него несуществующий факт оглашения постановления. Оно не было приобщено к оригиналам протоколов, п текст его неизвестен. По всей вероятности, планы по армии мирного времени далеко вышли за пределы 750 тыс. человек на 1933 г. Известно, что численность на 1932 г. была определена в 800 гас. человек (Протокол № 22 заседания РВС СССР от 14.06.1931 // Там же. Л. 311)). Предложения военного ведомства, по всей вероятности, были переданы в Комиссию обороны. Если КО и приняла решение по этому вопросу, то оно было предварительным: состав армии мирного времени не мог быть утвержден прежде параметров мобилизационного развертывания или безотносительно к ним (22725).</w:t>
      </w:r>
    </w:p>
    <w:p w14:paraId="665E60C0" w14:textId="77777777" w:rsidR="009539DA" w:rsidRPr="005E779E" w:rsidRDefault="009539DA" w:rsidP="000B7A6C">
      <w:pPr>
        <w:spacing w:after="0" w:line="240" w:lineRule="auto"/>
        <w:jc w:val="both"/>
        <w:rPr>
          <w:rFonts w:ascii="Times New Roman" w:hAnsi="Times New Roman"/>
          <w:color w:val="000000" w:themeColor="text1"/>
          <w:sz w:val="16"/>
          <w:szCs w:val="16"/>
        </w:rPr>
      </w:pPr>
    </w:p>
    <w:p w14:paraId="1BA29092"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4690FCDE"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341A3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27 марта и 2 апреля 1931. Из протокола заседания Политбюро № 31, 1931 г.</w:t>
      </w:r>
    </w:p>
    <w:p w14:paraId="482DDA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 юбилее тов. М. Горького </w:t>
      </w:r>
    </w:p>
    <w:p w14:paraId="2236A4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 Объявить строгий выговор тт. Савельеву, Попову и Мехлису за то, что они поставили в неловкое положение газеты и юбиляра, не подготовив дела. </w:t>
      </w:r>
    </w:p>
    <w:p w14:paraId="254165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б) Поручить тт. Долецкому и Мехлису организовать для "Правды", "Известий" и провинциальных газет отклики на юбилей М. Горького. </w:t>
      </w:r>
    </w:p>
    <w:p w14:paraId="58DB63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Разрешить редакции "Правды" выпустить два вкладных листа, один — посвященный откликам на юбилей М. Горького и второй — новостройкам и МТС (11652).</w:t>
      </w:r>
    </w:p>
    <w:p w14:paraId="73908B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B3E30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27 марта и 2 апреля 1931. Из протокола заседания Политбюро № 31, 1931 г.</w:t>
      </w:r>
    </w:p>
    <w:p w14:paraId="6BCD97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 "Правде" и "Известиях"</w:t>
      </w:r>
    </w:p>
    <w:p w14:paraId="4945BF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 Для обеспечения своевременного выхода "Правды" и "Известий" редакции этих газет не должны принимать материал для текущего номера от организаций и учреждений позже 10 часов вечера. </w:t>
      </w:r>
    </w:p>
    <w:p w14:paraId="13D0B9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б) Как правило, "Правда" и "Известия" должны выходить на четырех полосах. </w:t>
      </w:r>
    </w:p>
    <w:p w14:paraId="497732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Экономию от сокращения размера центральных газет использовать для укрепления и организации районных газет в промышленных и колхозных районах. </w:t>
      </w:r>
    </w:p>
    <w:p w14:paraId="7CE28C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г) Считать необходимым увеличение тиража "Правды" до 2 млн экземпляров и "Известий" — до 1,5 млн... </w:t>
      </w:r>
    </w:p>
    <w:p w14:paraId="1A38A0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 Поставить в Политбюро вопрос о строительстве новой типографии для "Правды" и закупки для нее оборудования за границей (11652).</w:t>
      </w:r>
    </w:p>
    <w:p w14:paraId="097D9C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2E71E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27 марта и 2 апреля 1931</w:t>
      </w:r>
    </w:p>
    <w:p w14:paraId="6789D5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 письма С. Пучкова Молотову, 1931 год</w:t>
      </w:r>
    </w:p>
    <w:p w14:paraId="2DD4BB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Тов. Молотов, услышал Ваш доклад на 6 съезде советов 8 сего месяца о росте социалистического строительства в свободной стране всего мира. Ответьте через печать или в своем заключительном слове на съезде, в чем заключается социализм: в благополучной ли жизни народа свободной страны или в рабстве, переносящем все лишения жизни (т. е. при полном недостатке всего жизненного, как существует сейчас). Я как рабочий имею связь с крестьянством. За год не получали все рабочие фабрики ни одного метра мануфактуры, так же и обуви с одеждой; кроме счастливчиков, которым выдавали через фабком по распределению. А крестьянство лишено в полном смысле всех нормированных продуктов, даже несмотря на то, что в газетах всегда пестрит только электрификация. Но оно и все население лишено возможности приобрести где-либо керосин: сиди со светом, как 100 лет тому назад при царившей реакции царизма; в социалистическом бы государстве не должно быть этому места, но оно есть. Говорите, что за границей клевещут на Вас. Что у нас нет свободного труда, а есть труд принудительный — это верно, и Вы должны сознаться... РИК'ом даны сельсовету контрольные цифры на контрактацию молока по 50 пудов на корову, а все домохозяева имеют только по одной корове, и население около 800 едоков... Спрашивается: это свобода или рабство?! Вы говорили, что зерновая проблема у нас разрешена в полном смысле, но почему же у нас пролетарии, живущие в деревне, на март месяц в полном смысле лишены хлебного пайка? При фабрике имеется столовая для рабочих, но обеды всем не дают, дают только ударникам; и часто пролетарий и рабочий, связанный с крестьянством, обедов не получают. Разве это страна социализма? И благоприятная проблема зерновая — вовсе нет. Вы говорите, что за границей масса безработных, может быть, и верно, но думаю, в любой столовой за деньги кому угодно дадут обед, а у нас нет. Спрашивается: где лучше — там, где обед дают всем, или там, где дают по выбору? </w:t>
      </w:r>
    </w:p>
    <w:p w14:paraId="553B6A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Еще о социалистическом строительстве и о пятилетке — пятилетка, возможно, будет выполнена, но только не благополучно, а доведете человечество до полной нищеты и рабства. А деревенская молодежь школьного возраста в данное время имеет 75% малокровных от недоедания, и к концу пятилетки 75% будет туберкулезных; и из них на будущий год непосещение школы будет 50%, ввиду отсутствия одежды и обуви. Вы говорите, что экспорт наших товаров всего составляет один миллиард, то почему же ничего не стало? Поэтому надо смело сказать — отсутствие всех предметов явилось следствием убития свободного труда, поэтому и не стало ничего. Возьмите простые вещи — перочинные ножи, ложки-чашки, эмалированная посуда крестьянского обихода — все отсутствует. Недалеко прошло то </w:t>
      </w:r>
      <w:r w:rsidRPr="005E779E">
        <w:rPr>
          <w:rFonts w:ascii="Times New Roman" w:hAnsi="Times New Roman"/>
          <w:color w:val="000000" w:themeColor="text1"/>
          <w:sz w:val="16"/>
          <w:szCs w:val="16"/>
        </w:rPr>
        <w:lastRenderedPageBreak/>
        <w:t xml:space="preserve">время — только 2 года тому назад, когда развивался свободный труд, жизнь дошла до нормальных пределов — чего бы только нужно было купить, все было возможно и дешево. А сейчас — где что можно купить и если можно, то непосильно — ужасно дорого, и можно купить тому, кто получает 200 и более рублей в месяц. </w:t>
      </w:r>
    </w:p>
    <w:p w14:paraId="636878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Так, значит, жизнь — только много получающим, а остальным — нищета и рабство. Это не социализм, а страшный феодализм — как 400 лет тому назад, когда закрепощалось крестьянство, и это не свободная страна, страна рабства (11652).</w:t>
      </w:r>
    </w:p>
    <w:p w14:paraId="39DF44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565406C" w14:textId="77777777" w:rsidR="001707A1"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58654BC5" w14:textId="77777777" w:rsidR="001707A1" w:rsidRPr="005E779E" w:rsidRDefault="001707A1"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118AAEB" w14:textId="77777777" w:rsidR="001707A1" w:rsidRPr="005E779E" w:rsidRDefault="001707A1"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28 марта</w:t>
      </w:r>
      <w:r w:rsidRPr="005E779E">
        <w:rPr>
          <w:rFonts w:ascii="Times New Roman" w:hAnsi="Times New Roman"/>
          <w:color w:val="000000" w:themeColor="text1"/>
          <w:sz w:val="16"/>
          <w:szCs w:val="16"/>
        </w:rPr>
        <w:t xml:space="preserve"> в 1931 году ВМС США заказали фирме «Grumman» один самолёт «G-5» с двигателем воздушного охлаждения «Wright» «R-1820-Е» «Cyclone» мощностью 575 л.с. Военные присвоили машине обозначение «XFF-1». Истребитель предполагалось вооружить тремя пулеметами винтовочного калибра: двумя - для стрельбы вперед сквозь воздушный винт и одним - для защиты задней полусферы. Серийные истребители получили обозначение – </w:t>
      </w:r>
      <w:hyperlink r:id="rId40" w:tgtFrame="_blank" w:history="1">
        <w:r w:rsidRPr="005E779E">
          <w:rPr>
            <w:rFonts w:ascii="Times New Roman" w:hAnsi="Times New Roman"/>
            <w:color w:val="000000" w:themeColor="text1"/>
            <w:sz w:val="16"/>
            <w:szCs w:val="16"/>
          </w:rPr>
          <w:t>«FF-1» «Goblin».</w:t>
        </w:r>
      </w:hyperlink>
    </w:p>
    <w:p w14:paraId="6A61D7DA" w14:textId="77777777" w:rsidR="001707A1" w:rsidRPr="005E779E" w:rsidRDefault="001707A1" w:rsidP="000B7A6C">
      <w:pPr>
        <w:spacing w:after="0" w:line="240" w:lineRule="auto"/>
        <w:jc w:val="both"/>
        <w:rPr>
          <w:rFonts w:ascii="Times New Roman" w:hAnsi="Times New Roman"/>
          <w:color w:val="000000" w:themeColor="text1"/>
          <w:sz w:val="16"/>
          <w:szCs w:val="16"/>
        </w:rPr>
      </w:pPr>
    </w:p>
    <w:p w14:paraId="0ED813F5" w14:textId="77777777" w:rsidR="009539DA" w:rsidRPr="005E779E" w:rsidRDefault="009539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 марта 1931 состоялся первый полет Mitsubishi 2MR8 (20804).</w:t>
      </w:r>
    </w:p>
    <w:p w14:paraId="128258FA" w14:textId="77777777" w:rsidR="009539DA" w:rsidRPr="005E779E" w:rsidRDefault="009539DA" w:rsidP="000B7A6C">
      <w:pPr>
        <w:spacing w:after="0" w:line="240" w:lineRule="auto"/>
        <w:jc w:val="both"/>
        <w:rPr>
          <w:rFonts w:ascii="Times New Roman" w:hAnsi="Times New Roman"/>
          <w:color w:val="000000" w:themeColor="text1"/>
          <w:sz w:val="16"/>
          <w:szCs w:val="16"/>
        </w:rPr>
      </w:pPr>
    </w:p>
    <w:p w14:paraId="2D9C206D" w14:textId="77777777" w:rsidR="009539DA" w:rsidRPr="005E779E" w:rsidRDefault="009539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 марта 1931 года — первый полёт разведывательного самолёта Mitsubishi 2MR8 (он же Type 92).</w:t>
      </w:r>
    </w:p>
    <w:p w14:paraId="5994B283" w14:textId="77777777" w:rsidR="009539DA" w:rsidRPr="005E779E" w:rsidRDefault="009539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Работы над проектом стартовали в 1930 году. Планировалось, что 2MR8 в роли ближнего тактического разведчика дополнит уже стоящий на вооружении дальний тяжёлый разведчик Kawasaki Type 88. Для перестраховки Mitsubishi также запустила ещё и проект 2MR7 — с классической бипланной схемой.</w:t>
      </w:r>
    </w:p>
    <w:p w14:paraId="38913F48" w14:textId="77777777" w:rsidR="009539DA" w:rsidRPr="005E779E" w:rsidRDefault="009539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2MR8 представлял собой двухместный моноплан-парасоль (для работы над этой передовой конструкцией японцы даже пригласили французского инженера Анри Верниса). Крыло и фюзеляж состояли из дюралевого силового набора и полотняной обшивки. Вооружение: 4 × 7,7-мм пулемёта Тип 89 (по 2 впереди и в задней турели) + подвески для лёгких бомб.</w:t>
      </w:r>
    </w:p>
    <w:p w14:paraId="37357204" w14:textId="77777777" w:rsidR="009539DA" w:rsidRPr="005E779E" w:rsidRDefault="009539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успешных испытаний армия приняла самолёт на вооружение под обозначением Type 92. Всего было выпущено 234 единицы Mitsubishi 2MR8, служивших до 1936 года. Один Type 92 переделали в гражданский, а несколько машин было даже продано в Китай. 2MR8 стал первым самолётом с двигателем полностью японской разработки (22300).</w:t>
      </w:r>
    </w:p>
    <w:p w14:paraId="1863DA86" w14:textId="77777777" w:rsidR="009539DA" w:rsidRPr="005E779E" w:rsidRDefault="009539DA" w:rsidP="000B7A6C">
      <w:pPr>
        <w:spacing w:after="0" w:line="240" w:lineRule="auto"/>
        <w:jc w:val="both"/>
        <w:rPr>
          <w:rFonts w:ascii="Times New Roman" w:hAnsi="Times New Roman"/>
          <w:color w:val="000000" w:themeColor="text1"/>
          <w:sz w:val="16"/>
          <w:szCs w:val="16"/>
        </w:rPr>
      </w:pPr>
    </w:p>
    <w:p w14:paraId="538F1B37" w14:textId="4BC3715A" w:rsidR="001D4870" w:rsidRPr="005E779E" w:rsidRDefault="001D487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 марта 1931 Винклер запустил HW-1b, имевшую улучшенную аэродинамическую форму и</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три коротких стабилизатора прямоугольной формы; 7 апреля 1931</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 HW-1c</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 с</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длинными стабилизаторами, закругленными вверху. Оба испытания прошли не вполне удачно (23372).</w:t>
      </w:r>
    </w:p>
    <w:p w14:paraId="3413DCA1" w14:textId="77777777" w:rsidR="001D4870" w:rsidRPr="005E779E" w:rsidRDefault="001D4870" w:rsidP="000B7A6C">
      <w:pPr>
        <w:spacing w:after="0" w:line="240" w:lineRule="auto"/>
        <w:jc w:val="both"/>
        <w:rPr>
          <w:rFonts w:ascii="Times New Roman" w:hAnsi="Times New Roman"/>
          <w:color w:val="000000" w:themeColor="text1"/>
          <w:sz w:val="16"/>
          <w:szCs w:val="16"/>
        </w:rPr>
      </w:pPr>
    </w:p>
    <w:p w14:paraId="46A2C845"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6DE9E57E"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115F8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 марта 1931 г. Северный механический и котельный завод (бывший Тильмана) (Завод № 346 ИМ. В.М. Молотова НКСП, «АО механических заводов для производства арматуры, машин и предметов снабжения армии и флота», Северный механический и котельный завод (бывший Тильмана) ВСНХ, Завод «Знамя труда № 2», Арматурный литейно- механический завод им. Молотова ВСНХ РСФСР, НКТП, НКЧМ /г. Ленинград Васильевский остров, 25 линия 8/) был переименован в арматурный литейно-механический завод им. В.М. Молотова в ведении Государственного республиканского объединения арматурной промышленности ВСНХ РСФСР. С 1932 г.- в ведении НКТП, в 1934 г. из ведения Орударса переподчинен непосредственно ГВМУ НКТП. В 1936 г. вошел в состав ГУВП НКТП." В 1939 г. завод передан в ведение НКСП, получил № 346 и перешел на выпуск судовой арматуры.</w:t>
      </w:r>
    </w:p>
    <w:p w14:paraId="02E0A0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пост. ГКО № 99сс от 11.07.1941 г. Завод им. Молотова НКЧМ подлежал эвакуации на Синарский труболитейный завод и Магнитогорский меткомбинат, в соответствии с пост. ГКО № 540 от 21.08.1941 г. завод (его часть) эвакуирован. Действовал в Ленинграде в 10.1941 г.</w:t>
      </w:r>
      <w:r w:rsidRPr="005E779E">
        <w:rPr>
          <w:rFonts w:ascii="Times New Roman" w:hAnsi="Times New Roman"/>
          <w:color w:val="000000" w:themeColor="text1"/>
          <w:sz w:val="16"/>
          <w:szCs w:val="16"/>
          <w:vertAlign w:val="superscript"/>
        </w:rPr>
        <w:t>65</w:t>
      </w:r>
    </w:p>
    <w:p w14:paraId="7E8619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месте эвакуированного завода № 346 в 1944 г. создан завод № 457.</w:t>
      </w:r>
    </w:p>
    <w:p w14:paraId="799DE5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Численность персонала (1922 г.)- 30 чел., (1931 г.)- около 3000 чел. Чугуно-медно-литейный завод АО механических заводов «Лангензиппен и К</w:t>
      </w:r>
      <w:r w:rsidRPr="005E779E">
        <w:rPr>
          <w:rFonts w:ascii="Times New Roman" w:hAnsi="Times New Roman"/>
          <w:color w:val="000000" w:themeColor="text1"/>
          <w:sz w:val="16"/>
          <w:szCs w:val="16"/>
          <w:vertAlign w:val="superscript"/>
        </w:rPr>
        <w:t>0</w:t>
      </w:r>
      <w:r w:rsidRPr="005E779E">
        <w:rPr>
          <w:rFonts w:ascii="Times New Roman" w:hAnsi="Times New Roman"/>
          <w:color w:val="000000" w:themeColor="text1"/>
          <w:sz w:val="16"/>
          <w:szCs w:val="16"/>
        </w:rPr>
        <w:t>» (11982).</w:t>
      </w:r>
    </w:p>
    <w:p w14:paraId="3988C3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EBFF7F6"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35986DA3"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3B2D4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 марта 1931 Таджикская ССР. Вторжение басмаческих банд Ибрагим-бека (800 сабель) с территории Афганистана, развернувших массовый террор, диверсии и грабеж. ("Поход на Рентгантау"). (Подробнее см. Борьба с басмачеством 1918-1938 гг) (10687).</w:t>
      </w:r>
    </w:p>
    <w:p w14:paraId="6E9B1E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FE0C244"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7C898D88"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4078A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период с 30 марта по 3 апреля 1931 г. Бернар-80, который пилотировали Пелларт и Мермоз, побил мировой рекорд дальности по замкнутому маршруту протяженностью 8960 км. Впрочем, достижения подобного рода считались второсортными. Мировыми рекордсменами 1931 года стали американские пилоты Бордман и Поландо, которые в период 28-30 июля на специально оборудованном высокоплане Белланка пролетели из Нью-Йорка в Стамбул 8055 км. Бернар-80 - также имел деревянную конструкцию, однако обладал наилучшей аэродинамикой. Выполненный по схеме среднеплана, обеспечивающей минимальную интерференцию в районе стыка крыла с фюзеляжем, самолет обладал весьма высоким аэродинамическим качеством 17,5. Свободнонесущее крыло размахом 24,5 метра имело два мощных коробчатых лонжерона, соединенных между собой толстой фанерной обшивкой. В образовавшемся между лонжеронами жестком кессоне размещались 10 топливных баков общей емкостью 7100 л. Конструкция крыла обусловила размещение кабины пилота перед передним лонжероном крыла, а кабины штурмана - за задним лонжероном. Сиденье пилота регулировалось по высоте - в ходе взлета и на посадке он имел достаточный обзор вперед и вниз. Во время полета летчик опускался вниз и обзора вперед не имел. Шасси неубираемое, колеса помещены в обтекатели. Двигатель "Испа- но-Сюиза" 12 Nb мощностью 650 л. с. Что касается самолетов "Бернар", то следующим этапом их развития стали бомбардировщики "81" и "82", построенные в 1933 г. Впрочем, они разделили судьбу всех бомбовозов, созданных на основе сверхдальних рекордных машин, то есть не пригодились (11941).</w:t>
      </w:r>
    </w:p>
    <w:p w14:paraId="705EE0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ТАКТИКО-ТЕХНИЧЕСКИЕ ХАРАКТЕРИСТИКИ ЕВРОПЕЙСКИХ САМОЛЕТОВ ДЛЯ ДАЛЬНИХ ПЕРЕЛЕТОВ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45"/>
        <w:gridCol w:w="1145"/>
        <w:gridCol w:w="1145"/>
        <w:gridCol w:w="1145"/>
        <w:gridCol w:w="1145"/>
        <w:gridCol w:w="1145"/>
        <w:gridCol w:w="1145"/>
        <w:gridCol w:w="1145"/>
        <w:gridCol w:w="1145"/>
      </w:tblGrid>
      <w:tr w:rsidR="001002C3" w:rsidRPr="005E779E" w14:paraId="2C000768" w14:textId="77777777">
        <w:tc>
          <w:tcPr>
            <w:tcW w:w="1145" w:type="dxa"/>
            <w:tcBorders>
              <w:top w:val="single" w:sz="12" w:space="0" w:color="auto"/>
            </w:tcBorders>
          </w:tcPr>
          <w:p w14:paraId="02C5C2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w:t>
            </w:r>
          </w:p>
        </w:tc>
        <w:tc>
          <w:tcPr>
            <w:tcW w:w="1145" w:type="dxa"/>
            <w:tcBorders>
              <w:top w:val="single" w:sz="12" w:space="0" w:color="auto"/>
            </w:tcBorders>
          </w:tcPr>
          <w:p w14:paraId="77BF39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Двигатель(л.с.)</w:t>
            </w:r>
          </w:p>
        </w:tc>
        <w:tc>
          <w:tcPr>
            <w:tcW w:w="1145" w:type="dxa"/>
            <w:tcBorders>
              <w:top w:val="single" w:sz="12" w:space="0" w:color="auto"/>
            </w:tcBorders>
          </w:tcPr>
          <w:p w14:paraId="7E097A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Размах (м)</w:t>
            </w:r>
          </w:p>
        </w:tc>
        <w:tc>
          <w:tcPr>
            <w:tcW w:w="1145" w:type="dxa"/>
            <w:tcBorders>
              <w:top w:val="single" w:sz="12" w:space="0" w:color="auto"/>
            </w:tcBorders>
          </w:tcPr>
          <w:p w14:paraId="4CB195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Площадь крыла (мг)</w:t>
            </w:r>
          </w:p>
        </w:tc>
        <w:tc>
          <w:tcPr>
            <w:tcW w:w="1145" w:type="dxa"/>
            <w:tcBorders>
              <w:top w:val="single" w:sz="12" w:space="0" w:color="auto"/>
            </w:tcBorders>
          </w:tcPr>
          <w:p w14:paraId="53D27F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Удлинение</w:t>
            </w:r>
          </w:p>
        </w:tc>
        <w:tc>
          <w:tcPr>
            <w:tcW w:w="1145" w:type="dxa"/>
            <w:tcBorders>
              <w:top w:val="single" w:sz="12" w:space="0" w:color="auto"/>
            </w:tcBorders>
          </w:tcPr>
          <w:p w14:paraId="4D6094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пустого (кг)</w:t>
            </w:r>
          </w:p>
        </w:tc>
        <w:tc>
          <w:tcPr>
            <w:tcW w:w="1145" w:type="dxa"/>
            <w:tcBorders>
              <w:top w:val="single" w:sz="12" w:space="0" w:color="auto"/>
            </w:tcBorders>
          </w:tcPr>
          <w:p w14:paraId="0D3A35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Полетный вес (кг)</w:t>
            </w:r>
          </w:p>
        </w:tc>
        <w:tc>
          <w:tcPr>
            <w:tcW w:w="1145" w:type="dxa"/>
            <w:tcBorders>
              <w:top w:val="single" w:sz="12" w:space="0" w:color="auto"/>
            </w:tcBorders>
          </w:tcPr>
          <w:p w14:paraId="0D270B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Запас горючего (кг)</w:t>
            </w:r>
          </w:p>
        </w:tc>
        <w:tc>
          <w:tcPr>
            <w:tcW w:w="1145" w:type="dxa"/>
            <w:tcBorders>
              <w:top w:val="single" w:sz="12" w:space="0" w:color="auto"/>
            </w:tcBorders>
          </w:tcPr>
          <w:p w14:paraId="2DEB03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Нагрузка на крыло (кг/м2)</w:t>
            </w:r>
          </w:p>
        </w:tc>
      </w:tr>
      <w:tr w:rsidR="001002C3" w:rsidRPr="005E779E" w14:paraId="0AC2DF6F" w14:textId="77777777">
        <w:tc>
          <w:tcPr>
            <w:tcW w:w="1145" w:type="dxa"/>
          </w:tcPr>
          <w:p w14:paraId="1828FD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779672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61AA42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5BBFE0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6B236A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48AB9C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7A9A08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023A89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1ABE1F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F48F7E7" w14:textId="77777777">
        <w:tc>
          <w:tcPr>
            <w:tcW w:w="1145" w:type="dxa"/>
          </w:tcPr>
          <w:p w14:paraId="71025A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Фэйри LR</w:t>
            </w:r>
          </w:p>
        </w:tc>
        <w:tc>
          <w:tcPr>
            <w:tcW w:w="1145" w:type="dxa"/>
          </w:tcPr>
          <w:p w14:paraId="0251DF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Нэпир XI (530)</w:t>
            </w:r>
          </w:p>
        </w:tc>
        <w:tc>
          <w:tcPr>
            <w:tcW w:w="1145" w:type="dxa"/>
          </w:tcPr>
          <w:p w14:paraId="19F54E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25,0</w:t>
            </w:r>
          </w:p>
        </w:tc>
        <w:tc>
          <w:tcPr>
            <w:tcW w:w="1145" w:type="dxa"/>
          </w:tcPr>
          <w:p w14:paraId="72D593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82,0</w:t>
            </w:r>
          </w:p>
        </w:tc>
        <w:tc>
          <w:tcPr>
            <w:tcW w:w="1145" w:type="dxa"/>
          </w:tcPr>
          <w:p w14:paraId="069174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7,6</w:t>
            </w:r>
          </w:p>
        </w:tc>
        <w:tc>
          <w:tcPr>
            <w:tcW w:w="1145" w:type="dxa"/>
          </w:tcPr>
          <w:p w14:paraId="1536FC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145" w:type="dxa"/>
          </w:tcPr>
          <w:p w14:paraId="797ADB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7800</w:t>
            </w:r>
          </w:p>
        </w:tc>
        <w:tc>
          <w:tcPr>
            <w:tcW w:w="1145" w:type="dxa"/>
          </w:tcPr>
          <w:p w14:paraId="793C59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4500</w:t>
            </w:r>
          </w:p>
        </w:tc>
        <w:tc>
          <w:tcPr>
            <w:tcW w:w="1145" w:type="dxa"/>
          </w:tcPr>
          <w:p w14:paraId="1B4C75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95,0</w:t>
            </w:r>
          </w:p>
        </w:tc>
      </w:tr>
      <w:tr w:rsidR="001002C3" w:rsidRPr="005E779E" w14:paraId="581147D3" w14:textId="77777777">
        <w:tc>
          <w:tcPr>
            <w:tcW w:w="1145" w:type="dxa"/>
          </w:tcPr>
          <w:p w14:paraId="0D5B3A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Савойя S-64</w:t>
            </w:r>
          </w:p>
        </w:tc>
        <w:tc>
          <w:tcPr>
            <w:tcW w:w="1145" w:type="dxa"/>
          </w:tcPr>
          <w:p w14:paraId="7FCDE1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Фиат А-22Т (620)</w:t>
            </w:r>
          </w:p>
        </w:tc>
        <w:tc>
          <w:tcPr>
            <w:tcW w:w="1145" w:type="dxa"/>
          </w:tcPr>
          <w:p w14:paraId="1854C0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21,5</w:t>
            </w:r>
          </w:p>
        </w:tc>
        <w:tc>
          <w:tcPr>
            <w:tcW w:w="1145" w:type="dxa"/>
          </w:tcPr>
          <w:p w14:paraId="066D2D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w:t>
            </w:r>
          </w:p>
        </w:tc>
        <w:tc>
          <w:tcPr>
            <w:tcW w:w="1145" w:type="dxa"/>
          </w:tcPr>
          <w:p w14:paraId="256C27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7,75</w:t>
            </w:r>
          </w:p>
        </w:tc>
        <w:tc>
          <w:tcPr>
            <w:tcW w:w="1145" w:type="dxa"/>
          </w:tcPr>
          <w:p w14:paraId="413898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2670</w:t>
            </w:r>
          </w:p>
        </w:tc>
        <w:tc>
          <w:tcPr>
            <w:tcW w:w="1145" w:type="dxa"/>
          </w:tcPr>
          <w:p w14:paraId="33380C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7200</w:t>
            </w:r>
          </w:p>
        </w:tc>
        <w:tc>
          <w:tcPr>
            <w:tcW w:w="1145" w:type="dxa"/>
          </w:tcPr>
          <w:p w14:paraId="084769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4550</w:t>
            </w:r>
          </w:p>
        </w:tc>
        <w:tc>
          <w:tcPr>
            <w:tcW w:w="1145" w:type="dxa"/>
          </w:tcPr>
          <w:p w14:paraId="36AAF8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120,0</w:t>
            </w:r>
          </w:p>
        </w:tc>
      </w:tr>
      <w:tr w:rsidR="001002C3" w:rsidRPr="005E779E" w14:paraId="694949FB" w14:textId="77777777">
        <w:tc>
          <w:tcPr>
            <w:tcW w:w="1145" w:type="dxa"/>
          </w:tcPr>
          <w:p w14:paraId="29FD55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Блерио-110</w:t>
            </w:r>
          </w:p>
        </w:tc>
        <w:tc>
          <w:tcPr>
            <w:tcW w:w="1145" w:type="dxa"/>
          </w:tcPr>
          <w:p w14:paraId="76D34A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Испано 12МЬг (500)</w:t>
            </w:r>
          </w:p>
        </w:tc>
        <w:tc>
          <w:tcPr>
            <w:tcW w:w="1145" w:type="dxa"/>
          </w:tcPr>
          <w:p w14:paraId="22E7E8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26,5</w:t>
            </w:r>
          </w:p>
        </w:tc>
        <w:tc>
          <w:tcPr>
            <w:tcW w:w="1145" w:type="dxa"/>
          </w:tcPr>
          <w:p w14:paraId="35BCBE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81,0</w:t>
            </w:r>
          </w:p>
        </w:tc>
        <w:tc>
          <w:tcPr>
            <w:tcW w:w="1145" w:type="dxa"/>
          </w:tcPr>
          <w:p w14:paraId="24F3F7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8,65</w:t>
            </w:r>
          </w:p>
        </w:tc>
        <w:tc>
          <w:tcPr>
            <w:tcW w:w="1145" w:type="dxa"/>
          </w:tcPr>
          <w:p w14:paraId="3E72D4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2700</w:t>
            </w:r>
          </w:p>
        </w:tc>
        <w:tc>
          <w:tcPr>
            <w:tcW w:w="1145" w:type="dxa"/>
          </w:tcPr>
          <w:p w14:paraId="564F85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8500</w:t>
            </w:r>
          </w:p>
        </w:tc>
        <w:tc>
          <w:tcPr>
            <w:tcW w:w="1145" w:type="dxa"/>
          </w:tcPr>
          <w:p w14:paraId="43CCC5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5500</w:t>
            </w:r>
          </w:p>
        </w:tc>
        <w:tc>
          <w:tcPr>
            <w:tcW w:w="1145" w:type="dxa"/>
          </w:tcPr>
          <w:p w14:paraId="21C6F8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104,5</w:t>
            </w:r>
          </w:p>
        </w:tc>
      </w:tr>
      <w:tr w:rsidR="001002C3" w:rsidRPr="005E779E" w14:paraId="7A1FF652" w14:textId="77777777">
        <w:tc>
          <w:tcPr>
            <w:tcW w:w="1145" w:type="dxa"/>
          </w:tcPr>
          <w:p w14:paraId="3BA81B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Девуатин D.33</w:t>
            </w:r>
          </w:p>
        </w:tc>
        <w:tc>
          <w:tcPr>
            <w:tcW w:w="1145" w:type="dxa"/>
          </w:tcPr>
          <w:p w14:paraId="3B41EC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Испано 12Nb (650)</w:t>
            </w:r>
          </w:p>
        </w:tc>
        <w:tc>
          <w:tcPr>
            <w:tcW w:w="1145" w:type="dxa"/>
          </w:tcPr>
          <w:p w14:paraId="6B29A7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28,0</w:t>
            </w:r>
          </w:p>
        </w:tc>
        <w:tc>
          <w:tcPr>
            <w:tcW w:w="1145" w:type="dxa"/>
          </w:tcPr>
          <w:p w14:paraId="37FCFD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78,0</w:t>
            </w:r>
          </w:p>
        </w:tc>
        <w:tc>
          <w:tcPr>
            <w:tcW w:w="1145" w:type="dxa"/>
          </w:tcPr>
          <w:p w14:paraId="7FA505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w:t>
            </w:r>
          </w:p>
        </w:tc>
        <w:tc>
          <w:tcPr>
            <w:tcW w:w="1145" w:type="dxa"/>
          </w:tcPr>
          <w:p w14:paraId="78D0A1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3100</w:t>
            </w:r>
          </w:p>
        </w:tc>
        <w:tc>
          <w:tcPr>
            <w:tcW w:w="1145" w:type="dxa"/>
          </w:tcPr>
          <w:p w14:paraId="76D6F0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9200</w:t>
            </w:r>
          </w:p>
        </w:tc>
        <w:tc>
          <w:tcPr>
            <w:tcW w:w="1145" w:type="dxa"/>
          </w:tcPr>
          <w:p w14:paraId="2ED018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5600</w:t>
            </w:r>
          </w:p>
        </w:tc>
        <w:tc>
          <w:tcPr>
            <w:tcW w:w="1145" w:type="dxa"/>
          </w:tcPr>
          <w:p w14:paraId="00488B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117,5</w:t>
            </w:r>
          </w:p>
        </w:tc>
      </w:tr>
      <w:tr w:rsidR="001002C3" w:rsidRPr="005E779E" w14:paraId="4AE9BCD8" w14:textId="77777777">
        <w:tc>
          <w:tcPr>
            <w:tcW w:w="1145" w:type="dxa"/>
            <w:tcBorders>
              <w:bottom w:val="single" w:sz="12" w:space="0" w:color="auto"/>
            </w:tcBorders>
          </w:tcPr>
          <w:p w14:paraId="373999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Бернар-80</w:t>
            </w:r>
          </w:p>
        </w:tc>
        <w:tc>
          <w:tcPr>
            <w:tcW w:w="1145" w:type="dxa"/>
            <w:tcBorders>
              <w:bottom w:val="single" w:sz="12" w:space="0" w:color="auto"/>
            </w:tcBorders>
          </w:tcPr>
          <w:p w14:paraId="37B575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Испано 12Nb (650)</w:t>
            </w:r>
          </w:p>
        </w:tc>
        <w:tc>
          <w:tcPr>
            <w:tcW w:w="1145" w:type="dxa"/>
            <w:tcBorders>
              <w:bottom w:val="single" w:sz="12" w:space="0" w:color="auto"/>
            </w:tcBorders>
          </w:tcPr>
          <w:p w14:paraId="4756D9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24,5</w:t>
            </w:r>
          </w:p>
        </w:tc>
        <w:tc>
          <w:tcPr>
            <w:tcW w:w="1145" w:type="dxa"/>
            <w:tcBorders>
              <w:bottom w:val="single" w:sz="12" w:space="0" w:color="auto"/>
            </w:tcBorders>
          </w:tcPr>
          <w:p w14:paraId="69F5C0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70,0</w:t>
            </w:r>
          </w:p>
        </w:tc>
        <w:tc>
          <w:tcPr>
            <w:tcW w:w="1145" w:type="dxa"/>
            <w:tcBorders>
              <w:bottom w:val="single" w:sz="12" w:space="0" w:color="auto"/>
            </w:tcBorders>
          </w:tcPr>
          <w:p w14:paraId="13DF8B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8,6</w:t>
            </w:r>
          </w:p>
        </w:tc>
        <w:tc>
          <w:tcPr>
            <w:tcW w:w="1145" w:type="dxa"/>
            <w:tcBorders>
              <w:bottom w:val="single" w:sz="12" w:space="0" w:color="auto"/>
            </w:tcBorders>
          </w:tcPr>
          <w:p w14:paraId="01E9A1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3100</w:t>
            </w:r>
          </w:p>
        </w:tc>
        <w:tc>
          <w:tcPr>
            <w:tcW w:w="1145" w:type="dxa"/>
            <w:tcBorders>
              <w:bottom w:val="single" w:sz="12" w:space="0" w:color="auto"/>
            </w:tcBorders>
          </w:tcPr>
          <w:p w14:paraId="7AF4A2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8625</w:t>
            </w:r>
          </w:p>
        </w:tc>
        <w:tc>
          <w:tcPr>
            <w:tcW w:w="1145" w:type="dxa"/>
            <w:tcBorders>
              <w:bottom w:val="single" w:sz="12" w:space="0" w:color="auto"/>
            </w:tcBorders>
          </w:tcPr>
          <w:p w14:paraId="160776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145" w:type="dxa"/>
            <w:tcBorders>
              <w:bottom w:val="single" w:sz="12" w:space="0" w:color="auto"/>
            </w:tcBorders>
          </w:tcPr>
          <w:p w14:paraId="375174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123,0</w:t>
            </w:r>
          </w:p>
        </w:tc>
      </w:tr>
    </w:tbl>
    <w:p w14:paraId="03FE98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Приведенные в таблице данные полетного веса и запаса горючего на самом деле имели разные значения. Так, при установлении мирового рекорда в 1933 г. полетный вес Блерио-110 указывался 9 тонн, а запас горючего составлял 6500 литров (11941).</w:t>
      </w:r>
    </w:p>
    <w:p w14:paraId="593FF8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3CC8E90" w14:textId="77777777" w:rsidR="009539DA" w:rsidRPr="005E779E" w:rsidRDefault="009539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 марта - 2 апреля 1931, управляя Benard 80 GR, французские авиаторы Жан Мармоз и Антуан Пайяр установили новый рекорд дальности полета без дозаправки по замкнутому маршруту, преодолев 8 960 километров (5 569 миль) за 52 часа 44 минуты. В конце концов, из-за потери охлаждающей жидкости полет подошел к концу, хотя во время последней части полета двое мужчин закачивают в радиатор шампанское, воду и кофе, чтобы двигатель охлаждался (20804).</w:t>
      </w:r>
    </w:p>
    <w:p w14:paraId="19860547" w14:textId="77777777" w:rsidR="009539DA" w:rsidRPr="005E779E" w:rsidRDefault="009539DA" w:rsidP="000B7A6C">
      <w:pPr>
        <w:spacing w:after="0" w:line="240" w:lineRule="auto"/>
        <w:jc w:val="both"/>
        <w:rPr>
          <w:rFonts w:ascii="Times New Roman" w:hAnsi="Times New Roman"/>
          <w:color w:val="000000" w:themeColor="text1"/>
          <w:sz w:val="16"/>
          <w:szCs w:val="16"/>
        </w:rPr>
      </w:pPr>
    </w:p>
    <w:p w14:paraId="00799C19" w14:textId="77777777" w:rsidR="00D57D9E" w:rsidRPr="00142305" w:rsidRDefault="00D57D9E" w:rsidP="00D57D9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30 марта 1931 года Bernard 80 GR, названный - «Oiseau Tango» («Оранжевая птица») взлетел с аэродрома Оран- ла-Сенья в Алжире с целью побить новый рекорд (8 822 км), установленный ранее Кодосом и Росси на Bleriot 110. Самолет, загруженный 7 200 литрами топлива, начал нарезать круги над Ораном.</w:t>
      </w:r>
    </w:p>
    <w:p w14:paraId="54661604" w14:textId="77777777" w:rsidR="00D57D9E" w:rsidRPr="00142305" w:rsidRDefault="00D57D9E" w:rsidP="00D57D9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ночь с 1 на 2 апреля 1931 года Жан Мермоз обнаружил утечку в системе охлаж</w:t>
      </w:r>
      <w:r w:rsidRPr="00142305">
        <w:rPr>
          <w:rFonts w:ascii="Times New Roman" w:hAnsi="Times New Roman"/>
          <w:color w:val="0070C0"/>
          <w:sz w:val="16"/>
          <w:szCs w:val="16"/>
        </w:rPr>
        <w:softHyphen/>
        <w:t>дения мотора. Пайар, поддерживаемый за ноги Мермозом, выбрался из кабины, лег сверху на фюзеляж и смог добраться до заливной горловины, в которую с помощью насоса влил все жидкое, что было на борту: шампанское, минеральную воду, кофе.</w:t>
      </w:r>
    </w:p>
    <w:p w14:paraId="6B67745D" w14:textId="77777777" w:rsidR="00D57D9E" w:rsidRPr="00142305" w:rsidRDefault="00D57D9E" w:rsidP="00D57D9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Благодаря залитым 12 литрам всевозмож</w:t>
      </w:r>
      <w:r w:rsidRPr="00142305">
        <w:rPr>
          <w:rFonts w:ascii="Times New Roman" w:hAnsi="Times New Roman"/>
          <w:color w:val="0070C0"/>
          <w:sz w:val="16"/>
          <w:szCs w:val="16"/>
        </w:rPr>
        <w:softHyphen/>
        <w:t>ных жидкостей самолет смог продержаться в воздухе еще 4 часа, которых хватило для установления новых рекордов: дальность 8 960 км и продолжительность полета 59 ча</w:t>
      </w:r>
      <w:r w:rsidRPr="00142305">
        <w:rPr>
          <w:rFonts w:ascii="Times New Roman" w:hAnsi="Times New Roman"/>
          <w:color w:val="0070C0"/>
          <w:sz w:val="16"/>
          <w:szCs w:val="16"/>
        </w:rPr>
        <w:softHyphen/>
        <w:t>сов 13 минут.</w:t>
      </w:r>
    </w:p>
    <w:p w14:paraId="7AE80214" w14:textId="77777777" w:rsidR="00D57D9E" w:rsidRPr="00142305" w:rsidRDefault="00D57D9E" w:rsidP="00D57D9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После возвращения в метрополию Bernard 80 GR был направлен на завод-из</w:t>
      </w:r>
      <w:r w:rsidRPr="00142305">
        <w:rPr>
          <w:rFonts w:ascii="Times New Roman" w:hAnsi="Times New Roman"/>
          <w:color w:val="0070C0"/>
          <w:sz w:val="16"/>
          <w:szCs w:val="16"/>
        </w:rPr>
        <w:softHyphen/>
        <w:t>готовитель для проведения серьезных до</w:t>
      </w:r>
      <w:r w:rsidRPr="00142305">
        <w:rPr>
          <w:rFonts w:ascii="Times New Roman" w:hAnsi="Times New Roman"/>
          <w:color w:val="0070C0"/>
          <w:sz w:val="16"/>
          <w:szCs w:val="16"/>
        </w:rPr>
        <w:softHyphen/>
        <w:t>работок, а именно: замены безредукторного двигателя 12N6 на его редукторный вариант 12Nbr с новым винтом; установки нового радиатора перед передней кромкой крыла; уменьшения обтекателей колес основных стоек шасси; установки закрытого фонаря кабины пилотов; увеличения размаха кры</w:t>
      </w:r>
      <w:r w:rsidRPr="00142305">
        <w:rPr>
          <w:rFonts w:ascii="Times New Roman" w:hAnsi="Times New Roman"/>
          <w:color w:val="0070C0"/>
          <w:sz w:val="16"/>
          <w:szCs w:val="16"/>
        </w:rPr>
        <w:softHyphen/>
        <w:t>ла на 2 м и площади на 10 м2; установки радиооборудования.</w:t>
      </w:r>
    </w:p>
    <w:p w14:paraId="31A4A17E" w14:textId="77777777" w:rsidR="00D57D9E" w:rsidRPr="00142305" w:rsidRDefault="00D57D9E" w:rsidP="00D57D9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Изменения были признаны столь су</w:t>
      </w:r>
      <w:r w:rsidRPr="00142305">
        <w:rPr>
          <w:rFonts w:ascii="Times New Roman" w:hAnsi="Times New Roman"/>
          <w:color w:val="0070C0"/>
          <w:sz w:val="16"/>
          <w:szCs w:val="16"/>
        </w:rPr>
        <w:softHyphen/>
        <w:t>щественными, что самолет получил новое обозначение Bernard 81 GR. Однако осенью 1931 года, после катастрофы Dewoitine 33 при неудачной попытке перелета Париж - Токио, правительство Франции перестало поддерживать и даже на некоторое время запретило дальние перелеты. Жан Мермоз для планируемого им рекордного беспоса</w:t>
      </w:r>
      <w:r w:rsidRPr="00142305">
        <w:rPr>
          <w:rFonts w:ascii="Times New Roman" w:hAnsi="Times New Roman"/>
          <w:color w:val="0070C0"/>
          <w:sz w:val="16"/>
          <w:szCs w:val="16"/>
        </w:rPr>
        <w:softHyphen/>
        <w:t>дочного рейда из Истра в Буэнос-Айрес был вынужден сам искать финансирование, но, так и не дождавшись разрешения, вернулся в Air France (24916).</w:t>
      </w:r>
    </w:p>
    <w:p w14:paraId="13D42BBA" w14:textId="77777777" w:rsidR="00D57D9E" w:rsidRPr="00142305" w:rsidRDefault="00D57D9E" w:rsidP="00D57D9E">
      <w:pPr>
        <w:spacing w:after="0" w:line="240" w:lineRule="auto"/>
        <w:jc w:val="both"/>
        <w:rPr>
          <w:rFonts w:ascii="Times New Roman" w:hAnsi="Times New Roman"/>
          <w:color w:val="0070C0"/>
          <w:sz w:val="16"/>
          <w:szCs w:val="16"/>
        </w:rPr>
      </w:pPr>
    </w:p>
    <w:p w14:paraId="4D9E46F3" w14:textId="77777777" w:rsidR="00D57D9E" w:rsidRPr="00142305" w:rsidRDefault="00D57D9E" w:rsidP="00D57D9E">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В период с 30 марта по 3 апреля 1931 г. самолет «Бер</w:t>
      </w:r>
      <w:r w:rsidRPr="00142305">
        <w:rPr>
          <w:rStyle w:val="aff0"/>
          <w:rFonts w:ascii="Times New Roman" w:hAnsi="Times New Roman" w:cs="Times New Roman"/>
          <w:color w:val="0070C0"/>
          <w:spacing w:val="0"/>
          <w:sz w:val="16"/>
          <w:szCs w:val="16"/>
        </w:rPr>
        <w:softHyphen/>
        <w:t>нар-80», который пилотировали Пелларт и Мермоз, побил ми</w:t>
      </w:r>
      <w:r w:rsidRPr="00142305">
        <w:rPr>
          <w:rStyle w:val="aff0"/>
          <w:rFonts w:ascii="Times New Roman" w:hAnsi="Times New Roman" w:cs="Times New Roman"/>
          <w:color w:val="0070C0"/>
          <w:spacing w:val="0"/>
          <w:sz w:val="16"/>
          <w:szCs w:val="16"/>
        </w:rPr>
        <w:softHyphen/>
        <w:t>ровой рекорд дальности по замкнутому маршруту протяженно</w:t>
      </w:r>
      <w:r w:rsidRPr="00142305">
        <w:rPr>
          <w:rStyle w:val="aff0"/>
          <w:rFonts w:ascii="Times New Roman" w:hAnsi="Times New Roman" w:cs="Times New Roman"/>
          <w:color w:val="0070C0"/>
          <w:spacing w:val="0"/>
          <w:sz w:val="16"/>
          <w:szCs w:val="16"/>
        </w:rPr>
        <w:softHyphen/>
        <w:t>стью 8960 км. Впрочем, достижения подобного рода считались второсортными. Мировыми рекордсменами 1931 г. стали аме</w:t>
      </w:r>
      <w:r w:rsidRPr="00142305">
        <w:rPr>
          <w:rStyle w:val="aff0"/>
          <w:rFonts w:ascii="Times New Roman" w:hAnsi="Times New Roman" w:cs="Times New Roman"/>
          <w:color w:val="0070C0"/>
          <w:spacing w:val="0"/>
          <w:sz w:val="16"/>
          <w:szCs w:val="16"/>
        </w:rPr>
        <w:softHyphen/>
        <w:t>риканские пилоты Р.Н. Бордман и Дж. Поландо, которые в пе</w:t>
      </w:r>
      <w:r w:rsidRPr="00142305">
        <w:rPr>
          <w:rStyle w:val="aff0"/>
          <w:rFonts w:ascii="Times New Roman" w:hAnsi="Times New Roman" w:cs="Times New Roman"/>
          <w:color w:val="0070C0"/>
          <w:spacing w:val="0"/>
          <w:sz w:val="16"/>
          <w:szCs w:val="16"/>
        </w:rPr>
        <w:softHyphen/>
        <w:t xml:space="preserve">риод 28—30 июля на специально оборудованном высокоплане «Белланка </w:t>
      </w:r>
      <w:r w:rsidRPr="00142305">
        <w:rPr>
          <w:rStyle w:val="aff0"/>
          <w:rFonts w:ascii="Times New Roman" w:hAnsi="Times New Roman" w:cs="Times New Roman"/>
          <w:color w:val="0070C0"/>
          <w:spacing w:val="0"/>
          <w:sz w:val="16"/>
          <w:szCs w:val="16"/>
          <w:lang w:val="en-US"/>
        </w:rPr>
        <w:t>J</w:t>
      </w:r>
      <w:r w:rsidRPr="00142305">
        <w:rPr>
          <w:rStyle w:val="aff0"/>
          <w:rFonts w:ascii="Times New Roman" w:hAnsi="Times New Roman" w:cs="Times New Roman"/>
          <w:color w:val="0070C0"/>
          <w:spacing w:val="0"/>
          <w:sz w:val="16"/>
          <w:szCs w:val="16"/>
        </w:rPr>
        <w:t>6» пролетели из Нью-Йорка в Стамбул 8065 км. В 1933 г. на основе рекордных самолетов «Бернар-80» были построены бомбардировщики «81» и «82». Впрочем, они раз</w:t>
      </w:r>
      <w:r w:rsidRPr="00142305">
        <w:rPr>
          <w:rStyle w:val="aff0"/>
          <w:rFonts w:ascii="Times New Roman" w:hAnsi="Times New Roman" w:cs="Times New Roman"/>
          <w:color w:val="0070C0"/>
          <w:spacing w:val="0"/>
          <w:sz w:val="16"/>
          <w:szCs w:val="16"/>
        </w:rPr>
        <w:softHyphen/>
        <w:t>делили судьбу всех бомбардировщиков, созданных на основе сверхдальних рекордных машин, то есть не пригодились (5675).</w:t>
      </w:r>
    </w:p>
    <w:p w14:paraId="4C14C3F3" w14:textId="77777777" w:rsidR="00D57D9E" w:rsidRPr="00142305" w:rsidRDefault="00D57D9E" w:rsidP="00D57D9E">
      <w:pPr>
        <w:spacing w:after="0" w:line="240" w:lineRule="auto"/>
        <w:jc w:val="both"/>
        <w:rPr>
          <w:rFonts w:ascii="Times New Roman" w:hAnsi="Times New Roman"/>
          <w:color w:val="0070C0"/>
          <w:sz w:val="16"/>
          <w:szCs w:val="16"/>
        </w:rPr>
      </w:pPr>
    </w:p>
    <w:p w14:paraId="0633EBBA" w14:textId="77777777" w:rsidR="00083CD8"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10E7011C" w14:textId="77777777" w:rsidR="00083CD8" w:rsidRPr="005E779E" w:rsidRDefault="00083CD8"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9224E0A" w14:textId="77777777" w:rsidR="00083CD8" w:rsidRPr="005E779E" w:rsidRDefault="00083CD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 марта 1931 была окончательно готова первая машина Т-24 из опытной серии, которую опробовали работой на холостом ходу (без гусениц) и под нагрузкой — движением по кабестану на гусеницах. Второй танк изготовили 1 апреля 1931 г. Сборка остальных четырех машин (для которых к этому времени подали корпуса) задерживалась из-за отсутствия ряда деталей и механизмов. При сборке и опробовании двух собранных танков были обнаружены различные дефекты. Основными причинами являлись низкое качество механической обработки деталей, недостатки конструкции самой машины (коробки передач, тормозов, вентиляторов системы охлаждения двигателя и др.), отсутствие необходимого опыта инженерно-технического персонала завода в части механической и термической обработки деталей, а также процессов сборки как механизмов, так и машины в целом. Однако опыт сборки первых машин, несмотря на выявленные дефекты, показал, что при обеспечении скомплектованными и подогнанными механизмами сам процесс постройки Т-24 не представляет каких-либо трудностей. Тем не менее, по решению правительства, заказ на танки Т-24 в апреле 1931 г. был сокращен до 80, а затем и до 24 машин (постановление Комиссии обороны СССР от 23 мая 1931 г.) (12303).</w:t>
      </w:r>
    </w:p>
    <w:p w14:paraId="04189853" w14:textId="77777777" w:rsidR="00083CD8" w:rsidRPr="005E779E" w:rsidRDefault="00083CD8" w:rsidP="000B7A6C">
      <w:pPr>
        <w:spacing w:after="0" w:line="240" w:lineRule="auto"/>
        <w:jc w:val="both"/>
        <w:rPr>
          <w:rFonts w:ascii="Times New Roman" w:hAnsi="Times New Roman"/>
          <w:color w:val="000000" w:themeColor="text1"/>
          <w:sz w:val="16"/>
          <w:szCs w:val="16"/>
        </w:rPr>
      </w:pPr>
    </w:p>
    <w:p w14:paraId="2B0D1B10" w14:textId="77777777" w:rsidR="006B3726" w:rsidRPr="00142305" w:rsidRDefault="006B3726" w:rsidP="006B37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31 марта 1931 г. на ХПЗ была окончательно готова первая машина Т=24 из опытной серии, которую опробовали работой на холостом ходу (без гусениц) и под нагрузкой — движением по кабестану на гусеницах. Второй танк изготовили 1 апреля 1931 г. Сборка остальных четырех машин (для которых к этому времени подали корпуса) задерживалась из-за отсутствия ряда деталей и механизмов.</w:t>
      </w:r>
    </w:p>
    <w:p w14:paraId="30D401D7" w14:textId="77777777" w:rsidR="006B3726" w:rsidRPr="00142305" w:rsidRDefault="006B3726" w:rsidP="006B37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 сборке и опробовании двух собранных танков были обнаружены различные дефекты. Основными причинами являлись низкое качество механической обработки деталей, недостатки конструкции самой машины (коробки передач, тормозов, вентиляторов системы охлаждения двигателя и др.), отсутствие необходимого опыта инженерно-технического персонала завода в части механической и термической обработки деталей, а также процессов сборки как механизмов, так и машины в целом (26479).</w:t>
      </w:r>
    </w:p>
    <w:p w14:paraId="50576474" w14:textId="77777777" w:rsidR="006B3726" w:rsidRPr="00142305" w:rsidRDefault="006B3726" w:rsidP="006B3726">
      <w:pPr>
        <w:spacing w:after="0" w:line="240" w:lineRule="auto"/>
        <w:jc w:val="both"/>
        <w:rPr>
          <w:rFonts w:ascii="Times New Roman" w:hAnsi="Times New Roman"/>
          <w:color w:val="0070C0"/>
          <w:sz w:val="16"/>
          <w:szCs w:val="16"/>
        </w:rPr>
      </w:pPr>
    </w:p>
    <w:p w14:paraId="3E984E97"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740BD7A9"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55D62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 марта 1931 Принято Положении о спецпеpеселенцах, в котором утвеpждался пpинцип "гpупповой и индивидуальной поpуки" спецпеpеселенцев "за точное выполнение существующих пpавил pежима". Здесь же содеpжалось положение о штpафных командах, как фоpме наказания поселенцев (10687).</w:t>
      </w:r>
    </w:p>
    <w:p w14:paraId="6A914A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22E833B" w14:textId="77777777" w:rsidR="009539DA" w:rsidRPr="005E779E" w:rsidRDefault="009539DA"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2D6D6067" w14:textId="77777777" w:rsidR="009539DA" w:rsidRPr="005E779E" w:rsidRDefault="009539DA"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AA77B66" w14:textId="77777777" w:rsidR="009539DA" w:rsidRPr="005E779E" w:rsidRDefault="009539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 марта 1931 Fokker F-10 терпит крушение возле Базара, штат Канзас, убивая всех восемь человеки на борту, включая тренера по американскому футболу Кнута Рокна (20804).</w:t>
      </w:r>
    </w:p>
    <w:p w14:paraId="06360214" w14:textId="77777777" w:rsidR="009539DA" w:rsidRPr="005E779E" w:rsidRDefault="009539DA" w:rsidP="000B7A6C">
      <w:pPr>
        <w:spacing w:after="0" w:line="240" w:lineRule="auto"/>
        <w:jc w:val="both"/>
        <w:rPr>
          <w:rFonts w:ascii="Times New Roman" w:hAnsi="Times New Roman"/>
          <w:color w:val="000000" w:themeColor="text1"/>
          <w:sz w:val="16"/>
          <w:szCs w:val="16"/>
        </w:rPr>
      </w:pPr>
    </w:p>
    <w:p w14:paraId="563600A8" w14:textId="77777777" w:rsidR="007540AE" w:rsidRPr="005E779E" w:rsidRDefault="007540A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70C41DCC" w14:textId="77777777" w:rsidR="007540AE" w:rsidRPr="005E779E" w:rsidRDefault="007540AE"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A3EF755" w14:textId="77777777" w:rsidR="007540AE" w:rsidRPr="005E779E" w:rsidRDefault="007540AE" w:rsidP="000B7A6C">
      <w:pPr>
        <w:spacing w:after="0" w:line="240" w:lineRule="auto"/>
        <w:jc w:val="both"/>
        <w:rPr>
          <w:rFonts w:ascii="Times New Roman" w:hAnsi="Times New Roman"/>
          <w:color w:val="000000" w:themeColor="text1"/>
          <w:sz w:val="16"/>
          <w:szCs w:val="16"/>
          <w:lang w:eastAsia="ru-RU" w:bidi="ru-RU"/>
        </w:rPr>
      </w:pPr>
      <w:r w:rsidRPr="005E779E">
        <w:rPr>
          <w:rFonts w:ascii="Times New Roman" w:hAnsi="Times New Roman"/>
          <w:color w:val="000000" w:themeColor="text1"/>
          <w:sz w:val="16"/>
          <w:szCs w:val="16"/>
          <w:lang w:eastAsia="ru-RU" w:bidi="ru-RU"/>
        </w:rPr>
        <w:t>В конце марта, начале апреля 1931 г. состоялись макетные комиссии по Сталь-2.</w:t>
      </w:r>
    </w:p>
    <w:p w14:paraId="0CA35B89" w14:textId="77777777" w:rsidR="007540AE" w:rsidRPr="005E779E" w:rsidRDefault="007540A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Схема самолета могла считаться традиционной для тех лет — подкосный высокоплан с неубираемым шасси. Пи</w:t>
      </w:r>
      <w:r w:rsidRPr="005E779E">
        <w:rPr>
          <w:rFonts w:ascii="Times New Roman" w:hAnsi="Times New Roman"/>
          <w:color w:val="000000" w:themeColor="text1"/>
          <w:sz w:val="16"/>
          <w:szCs w:val="16"/>
          <w:lang w:eastAsia="ru-RU" w:bidi="ru-RU"/>
        </w:rPr>
        <w:softHyphen/>
        <w:t>лот один в полностью закрытой кабине (для улучшения об</w:t>
      </w:r>
      <w:r w:rsidRPr="005E779E">
        <w:rPr>
          <w:rFonts w:ascii="Times New Roman" w:hAnsi="Times New Roman"/>
          <w:color w:val="000000" w:themeColor="text1"/>
          <w:sz w:val="16"/>
          <w:szCs w:val="16"/>
          <w:lang w:eastAsia="ru-RU" w:bidi="ru-RU"/>
        </w:rPr>
        <w:softHyphen/>
        <w:t>зора смещен к левому борту фюзеляжа), за ним находил</w:t>
      </w:r>
      <w:r w:rsidRPr="005E779E">
        <w:rPr>
          <w:rFonts w:ascii="Times New Roman" w:hAnsi="Times New Roman"/>
          <w:color w:val="000000" w:themeColor="text1"/>
          <w:sz w:val="16"/>
          <w:szCs w:val="16"/>
          <w:lang w:eastAsia="ru-RU" w:bidi="ru-RU"/>
        </w:rPr>
        <w:softHyphen/>
        <w:t>ся пассажирский салон на 4-х человек. Для прохода в ка</w:t>
      </w:r>
      <w:r w:rsidRPr="005E779E">
        <w:rPr>
          <w:rFonts w:ascii="Times New Roman" w:hAnsi="Times New Roman"/>
          <w:color w:val="000000" w:themeColor="text1"/>
          <w:sz w:val="16"/>
          <w:szCs w:val="16"/>
          <w:lang w:eastAsia="ru-RU" w:bidi="ru-RU"/>
        </w:rPr>
        <w:softHyphen/>
        <w:t>бину напротив каждого сидения пассажира имелось четыре входных двери - почти как в автомобиле. Фюзеляж фер</w:t>
      </w:r>
      <w:r w:rsidRPr="005E779E">
        <w:rPr>
          <w:rFonts w:ascii="Times New Roman" w:hAnsi="Times New Roman"/>
          <w:color w:val="000000" w:themeColor="text1"/>
          <w:sz w:val="16"/>
          <w:szCs w:val="16"/>
          <w:lang w:eastAsia="ru-RU" w:bidi="ru-RU"/>
        </w:rPr>
        <w:softHyphen/>
        <w:t>менный, с использованием проволочных расчалок. Стерж</w:t>
      </w:r>
      <w:r w:rsidRPr="005E779E">
        <w:rPr>
          <w:rFonts w:ascii="Times New Roman" w:hAnsi="Times New Roman"/>
          <w:color w:val="000000" w:themeColor="text1"/>
          <w:sz w:val="16"/>
          <w:szCs w:val="16"/>
          <w:lang w:eastAsia="ru-RU" w:bidi="ru-RU"/>
        </w:rPr>
        <w:softHyphen/>
        <w:t>ни упомянутой фермы представляли собой закрытые тон</w:t>
      </w:r>
      <w:r w:rsidRPr="005E779E">
        <w:rPr>
          <w:rFonts w:ascii="Times New Roman" w:hAnsi="Times New Roman"/>
          <w:color w:val="000000" w:themeColor="text1"/>
          <w:sz w:val="16"/>
          <w:szCs w:val="16"/>
          <w:lang w:eastAsia="ru-RU" w:bidi="ru-RU"/>
        </w:rPr>
        <w:softHyphen/>
        <w:t>костенные гофрированные профили из стали «Энерж-6» толщиной от 0,1 до 1,0 мм. Форма стержней различная - от круглых до многогранных. Все стержни и поперечные ра</w:t>
      </w:r>
      <w:r w:rsidRPr="005E779E">
        <w:rPr>
          <w:rFonts w:ascii="Times New Roman" w:hAnsi="Times New Roman"/>
          <w:color w:val="000000" w:themeColor="text1"/>
          <w:sz w:val="16"/>
          <w:szCs w:val="16"/>
          <w:lang w:eastAsia="ru-RU" w:bidi="ru-RU"/>
        </w:rPr>
        <w:softHyphen/>
        <w:t>мы имели концевые узлы, которые на болтах собирались в ферму. Впоследствии указывалось, что в случае по</w:t>
      </w:r>
      <w:r w:rsidRPr="005E779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lang w:eastAsia="ru-RU" w:bidi="ru-RU"/>
        </w:rPr>
        <w:t>вреждения все отдельные части фермы могли быть заме</w:t>
      </w:r>
      <w:r w:rsidRPr="005E779E">
        <w:rPr>
          <w:rFonts w:ascii="Times New Roman" w:hAnsi="Times New Roman"/>
          <w:color w:val="000000" w:themeColor="text1"/>
          <w:sz w:val="16"/>
          <w:szCs w:val="16"/>
          <w:lang w:eastAsia="ru-RU" w:bidi="ru-RU"/>
        </w:rPr>
        <w:softHyphen/>
        <w:t>нены новыми.</w:t>
      </w:r>
    </w:p>
    <w:p w14:paraId="71FB6092" w14:textId="77777777" w:rsidR="007540AE" w:rsidRPr="005E779E" w:rsidRDefault="007540A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Крыло также собиралось из элементов, выполненных из листовой стали, согнутой в особые профили и сваренные точечной и роликовой электросваркой. Сверху все по</w:t>
      </w:r>
      <w:r w:rsidRPr="005E779E">
        <w:rPr>
          <w:rFonts w:ascii="Times New Roman" w:hAnsi="Times New Roman"/>
          <w:color w:val="000000" w:themeColor="text1"/>
          <w:sz w:val="16"/>
          <w:szCs w:val="16"/>
        </w:rPr>
        <w:softHyphen/>
        <w:t>верхности самолета обтягивались полотном.</w:t>
      </w:r>
    </w:p>
    <w:p w14:paraId="53B4BE05" w14:textId="77777777" w:rsidR="007540AE" w:rsidRPr="005E779E" w:rsidRDefault="007540A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Понятно, что по сравнению с ранее известными метода</w:t>
      </w:r>
      <w:r w:rsidRPr="005E779E">
        <w:rPr>
          <w:rFonts w:ascii="Times New Roman" w:hAnsi="Times New Roman"/>
          <w:color w:val="000000" w:themeColor="text1"/>
          <w:sz w:val="16"/>
          <w:szCs w:val="16"/>
          <w:lang w:eastAsia="ru-RU" w:bidi="ru-RU"/>
        </w:rPr>
        <w:softHyphen/>
        <w:t>ми строительства конструкция Сталь-2 получалась более трудоемкая и дорогая. Однако весовое преимущество бы</w:t>
      </w:r>
      <w:r w:rsidRPr="005E779E">
        <w:rPr>
          <w:rFonts w:ascii="Times New Roman" w:hAnsi="Times New Roman"/>
          <w:color w:val="000000" w:themeColor="text1"/>
          <w:sz w:val="16"/>
          <w:szCs w:val="16"/>
          <w:lang w:eastAsia="ru-RU" w:bidi="ru-RU"/>
        </w:rPr>
        <w:softHyphen/>
        <w:t>ло неоспоримым. Весовая отдача составила до 43%, что вполне соответствовало ожиданиям создателей самолета.</w:t>
      </w:r>
    </w:p>
    <w:p w14:paraId="57EA9EC1" w14:textId="77777777" w:rsidR="007540AE" w:rsidRPr="005E779E" w:rsidRDefault="007540A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 xml:space="preserve">Первый образец оснастили американским двигателем «Райт» </w:t>
      </w:r>
      <w:r w:rsidRPr="005E779E">
        <w:rPr>
          <w:rFonts w:ascii="Times New Roman" w:hAnsi="Times New Roman"/>
          <w:color w:val="000000" w:themeColor="text1"/>
          <w:sz w:val="16"/>
          <w:szCs w:val="16"/>
          <w:lang w:val="en-US" w:bidi="en-US"/>
        </w:rPr>
        <w:t>J</w:t>
      </w:r>
      <w:r w:rsidRPr="005E779E">
        <w:rPr>
          <w:rFonts w:ascii="Times New Roman" w:hAnsi="Times New Roman"/>
          <w:color w:val="000000" w:themeColor="text1"/>
          <w:sz w:val="16"/>
          <w:szCs w:val="16"/>
          <w:lang w:bidi="en-US"/>
        </w:rPr>
        <w:t xml:space="preserve">-6 </w:t>
      </w:r>
      <w:r w:rsidRPr="005E779E">
        <w:rPr>
          <w:rFonts w:ascii="Times New Roman" w:hAnsi="Times New Roman"/>
          <w:color w:val="000000" w:themeColor="text1"/>
          <w:sz w:val="16"/>
          <w:szCs w:val="16"/>
          <w:lang w:eastAsia="ru-RU" w:bidi="ru-RU"/>
        </w:rPr>
        <w:t>мощностью 300 л.с. В серии предполагалось ис</w:t>
      </w:r>
      <w:r w:rsidRPr="005E779E">
        <w:rPr>
          <w:rFonts w:ascii="Times New Roman" w:hAnsi="Times New Roman"/>
          <w:color w:val="000000" w:themeColor="text1"/>
          <w:sz w:val="16"/>
          <w:szCs w:val="16"/>
          <w:lang w:eastAsia="ru-RU" w:bidi="ru-RU"/>
        </w:rPr>
        <w:softHyphen/>
        <w:t>пользовать отечественный семицилиндровый двигатель воздушного охлаждения М-26 мощностью 300 л.с.</w:t>
      </w:r>
    </w:p>
    <w:p w14:paraId="5ED94341" w14:textId="77777777" w:rsidR="007540AE" w:rsidRPr="005E779E" w:rsidRDefault="007540AE" w:rsidP="000B7A6C">
      <w:pPr>
        <w:spacing w:after="0" w:line="240" w:lineRule="auto"/>
        <w:jc w:val="both"/>
        <w:rPr>
          <w:rFonts w:ascii="Times New Roman" w:hAnsi="Times New Roman"/>
          <w:color w:val="000000" w:themeColor="text1"/>
          <w:sz w:val="16"/>
          <w:szCs w:val="16"/>
          <w:lang w:eastAsia="ru-RU" w:bidi="ru-RU"/>
        </w:rPr>
      </w:pPr>
      <w:r w:rsidRPr="005E779E">
        <w:rPr>
          <w:rFonts w:ascii="Times New Roman" w:hAnsi="Times New Roman"/>
          <w:color w:val="000000" w:themeColor="text1"/>
          <w:sz w:val="16"/>
          <w:szCs w:val="16"/>
          <w:lang w:eastAsia="ru-RU" w:bidi="ru-RU"/>
        </w:rPr>
        <w:t>Добавим, что практически сразу, еще в процессе созда</w:t>
      </w:r>
      <w:r w:rsidRPr="005E779E">
        <w:rPr>
          <w:rFonts w:ascii="Times New Roman" w:hAnsi="Times New Roman"/>
          <w:color w:val="000000" w:themeColor="text1"/>
          <w:sz w:val="16"/>
          <w:szCs w:val="16"/>
          <w:lang w:eastAsia="ru-RU" w:bidi="ru-RU"/>
        </w:rPr>
        <w:softHyphen/>
        <w:t>ния, новый стальной самолет предполагался к использо</w:t>
      </w:r>
      <w:r w:rsidRPr="005E779E">
        <w:rPr>
          <w:rFonts w:ascii="Times New Roman" w:hAnsi="Times New Roman"/>
          <w:color w:val="000000" w:themeColor="text1"/>
          <w:sz w:val="16"/>
          <w:szCs w:val="16"/>
          <w:lang w:eastAsia="ru-RU" w:bidi="ru-RU"/>
        </w:rPr>
        <w:softHyphen/>
        <w:t>ванию в качестве военного аппарата (20365).</w:t>
      </w:r>
    </w:p>
    <w:p w14:paraId="4FF5F917" w14:textId="77777777" w:rsidR="007540AE" w:rsidRPr="005E779E" w:rsidRDefault="007540AE" w:rsidP="000B7A6C">
      <w:pPr>
        <w:spacing w:after="0" w:line="240" w:lineRule="auto"/>
        <w:jc w:val="both"/>
        <w:rPr>
          <w:rFonts w:ascii="Times New Roman" w:hAnsi="Times New Roman"/>
          <w:color w:val="000000" w:themeColor="text1"/>
          <w:sz w:val="16"/>
          <w:szCs w:val="16"/>
          <w:lang w:eastAsia="ru-RU" w:bidi="ru-RU"/>
        </w:rPr>
      </w:pPr>
    </w:p>
    <w:p w14:paraId="62E561CE"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14E5F53A"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4FD80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конца марта по 16 апреля 1931 многочисленные делегации руководящего состава РККА знакомились с закупленным танком Кристи и впечатление было хорошим (3879,5).</w:t>
      </w:r>
    </w:p>
    <w:p w14:paraId="1C2FAF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9C67DB8" w14:textId="77777777" w:rsidR="006F34FD" w:rsidRPr="00142305" w:rsidRDefault="006F34FD" w:rsidP="006F34F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конца марта и до 16 апреля 1931 г.</w:t>
      </w:r>
      <w:r w:rsidRPr="00142305">
        <w:rPr>
          <w:rFonts w:ascii="Times New Roman" w:hAnsi="Times New Roman"/>
          <w:color w:val="0070C0"/>
          <w:sz w:val="16"/>
          <w:szCs w:val="16"/>
          <w:shd w:val="clear" w:color="auto" w:fill="FFFFFF"/>
        </w:rPr>
        <w:t xml:space="preserve"> м</w:t>
      </w:r>
      <w:r w:rsidRPr="00142305">
        <w:rPr>
          <w:rFonts w:ascii="Times New Roman" w:hAnsi="Times New Roman"/>
          <w:color w:val="0070C0"/>
          <w:sz w:val="16"/>
          <w:szCs w:val="16"/>
        </w:rPr>
        <w:t>ногочисленные делегации руководящего состава РККА знакомились на складе № 127 АБТУ с приобретенной новинкой – танком Кристи, которая в целом произвела на них хорошее впечатление (25184).</w:t>
      </w:r>
    </w:p>
    <w:p w14:paraId="1ED1A79B" w14:textId="77777777" w:rsidR="006F34FD" w:rsidRPr="00142305" w:rsidRDefault="006F34FD" w:rsidP="006F34FD">
      <w:pPr>
        <w:spacing w:after="0" w:line="240" w:lineRule="auto"/>
        <w:jc w:val="both"/>
        <w:rPr>
          <w:rFonts w:ascii="Times New Roman" w:hAnsi="Times New Roman"/>
          <w:color w:val="0070C0"/>
          <w:sz w:val="16"/>
          <w:szCs w:val="16"/>
        </w:rPr>
      </w:pPr>
    </w:p>
    <w:p w14:paraId="6C674EC3"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марта 1931 г. КО приняла постановление по оборон</w:t>
      </w:r>
      <w:r w:rsidRPr="005E779E">
        <w:rPr>
          <w:rFonts w:ascii="Times New Roman" w:hAnsi="Times New Roman"/>
          <w:color w:val="000000" w:themeColor="text1"/>
          <w:sz w:val="16"/>
          <w:szCs w:val="16"/>
        </w:rPr>
        <w:softHyphen/>
        <w:t>ному плану на 1931 г. Хотелось бы обратить на него особое вни</w:t>
      </w:r>
      <w:r w:rsidRPr="005E779E">
        <w:rPr>
          <w:rFonts w:ascii="Times New Roman" w:hAnsi="Times New Roman"/>
          <w:color w:val="000000" w:themeColor="text1"/>
          <w:sz w:val="16"/>
          <w:szCs w:val="16"/>
        </w:rPr>
        <w:softHyphen/>
        <w:t>мание и сравнить его с первоначальными наметками пятилетне</w:t>
      </w:r>
      <w:r w:rsidRPr="005E779E">
        <w:rPr>
          <w:rFonts w:ascii="Times New Roman" w:hAnsi="Times New Roman"/>
          <w:color w:val="000000" w:themeColor="text1"/>
          <w:sz w:val="16"/>
          <w:szCs w:val="16"/>
        </w:rPr>
        <w:softHyphen/>
        <w:t>го плана. Документ дает представление о размахе военных при</w:t>
      </w:r>
      <w:r w:rsidRPr="005E779E">
        <w:rPr>
          <w:rFonts w:ascii="Times New Roman" w:hAnsi="Times New Roman"/>
          <w:color w:val="000000" w:themeColor="text1"/>
          <w:sz w:val="16"/>
          <w:szCs w:val="16"/>
        </w:rPr>
        <w:softHyphen/>
        <w:t>готовлений, хотя, конечно, далеко не всех. Общий объем расхо</w:t>
      </w:r>
      <w:r w:rsidRPr="005E779E">
        <w:rPr>
          <w:rFonts w:ascii="Times New Roman" w:hAnsi="Times New Roman"/>
          <w:color w:val="000000" w:themeColor="text1"/>
          <w:sz w:val="16"/>
          <w:szCs w:val="16"/>
        </w:rPr>
        <w:softHyphen/>
        <w:t>дов на оборону предусматривался в 3145,5 млн руб., из которых НКВМ предназначалось 1810 млн руб. Оборонные расходы ВСНХ определялись в 754 млн руб. по военной промышленности и 178,4 млн - по гражданской. В военную промышленность 535 млн руб. предполагалось направить из госбюджета, осталь</w:t>
      </w:r>
      <w:r w:rsidRPr="005E779E">
        <w:rPr>
          <w:rFonts w:ascii="Times New Roman" w:hAnsi="Times New Roman"/>
          <w:color w:val="000000" w:themeColor="text1"/>
          <w:sz w:val="16"/>
          <w:szCs w:val="16"/>
        </w:rPr>
        <w:softHyphen/>
        <w:t>ные получить за счет собственных источников, режима эконо</w:t>
      </w:r>
      <w:r w:rsidRPr="005E779E">
        <w:rPr>
          <w:rFonts w:ascii="Times New Roman" w:hAnsi="Times New Roman"/>
          <w:color w:val="000000" w:themeColor="text1"/>
          <w:sz w:val="16"/>
          <w:szCs w:val="16"/>
        </w:rPr>
        <w:softHyphen/>
        <w:t>мии и кредитов. Военпром ВСНХ должен был направить на ка</w:t>
      </w:r>
      <w:r w:rsidRPr="005E779E">
        <w:rPr>
          <w:rFonts w:ascii="Times New Roman" w:hAnsi="Times New Roman"/>
          <w:color w:val="000000" w:themeColor="text1"/>
          <w:sz w:val="16"/>
          <w:szCs w:val="16"/>
        </w:rPr>
        <w:softHyphen/>
        <w:t>питальное строительство 498 млн руб., на подготовку рабочих - 69,5 млн руб., на накопления мобзапасов - 29,5 млн руб., на науч</w:t>
      </w:r>
      <w:r w:rsidRPr="005E779E">
        <w:rPr>
          <w:rFonts w:ascii="Times New Roman" w:hAnsi="Times New Roman"/>
          <w:color w:val="000000" w:themeColor="text1"/>
          <w:sz w:val="16"/>
          <w:szCs w:val="16"/>
        </w:rPr>
        <w:softHyphen/>
        <w:t>ные и опытные исследования - 22,1 млн руб., на интехпомощь – 7 млн руб. Гражданская промышленность должна была напра</w:t>
      </w:r>
      <w:r w:rsidRPr="005E779E">
        <w:rPr>
          <w:rFonts w:ascii="Times New Roman" w:hAnsi="Times New Roman"/>
          <w:color w:val="000000" w:themeColor="text1"/>
          <w:sz w:val="16"/>
          <w:szCs w:val="16"/>
        </w:rPr>
        <w:softHyphen/>
        <w:t>вить 140,5 млн руб. на капитальное строительство, т.е. на созда</w:t>
      </w:r>
      <w:r w:rsidRPr="005E779E">
        <w:rPr>
          <w:rFonts w:ascii="Times New Roman" w:hAnsi="Times New Roman"/>
          <w:color w:val="000000" w:themeColor="text1"/>
          <w:sz w:val="16"/>
          <w:szCs w:val="16"/>
        </w:rPr>
        <w:softHyphen/>
        <w:t>ние закрытых цехов и участков, остальные средства - на подго</w:t>
      </w:r>
      <w:r w:rsidRPr="005E779E">
        <w:rPr>
          <w:rFonts w:ascii="Times New Roman" w:hAnsi="Times New Roman"/>
          <w:color w:val="000000" w:themeColor="text1"/>
          <w:sz w:val="16"/>
          <w:szCs w:val="16"/>
        </w:rPr>
        <w:softHyphen/>
        <w:t>товку рабочих, накопление мобзапасов, интехпомощь. Всего по военной промышленности намечалось получить товарной про</w:t>
      </w:r>
      <w:r w:rsidRPr="005E779E">
        <w:rPr>
          <w:rFonts w:ascii="Times New Roman" w:hAnsi="Times New Roman"/>
          <w:color w:val="000000" w:themeColor="text1"/>
          <w:sz w:val="16"/>
          <w:szCs w:val="16"/>
        </w:rPr>
        <w:softHyphen/>
        <w:t>дукции на сумму 1165 млн руб., в том числе по Орудийно-арсе</w:t>
      </w:r>
      <w:r w:rsidRPr="005E779E">
        <w:rPr>
          <w:rFonts w:ascii="Times New Roman" w:hAnsi="Times New Roman"/>
          <w:color w:val="000000" w:themeColor="text1"/>
          <w:sz w:val="16"/>
          <w:szCs w:val="16"/>
        </w:rPr>
        <w:softHyphen/>
        <w:t>нальному объединению (ОАО) - 390,7, Патрубвзрыву - 225,4, Вохимтресту - 265,4, Всесоюзному авиационному объединению (BAO) - 253,4 млн руб. Производительность труда намечалось увеличить на 30-40% по сравнению с 1930 г., снизить себестои</w:t>
      </w:r>
      <w:r w:rsidRPr="005E779E">
        <w:rPr>
          <w:rFonts w:ascii="Times New Roman" w:hAnsi="Times New Roman"/>
          <w:color w:val="000000" w:themeColor="text1"/>
          <w:sz w:val="16"/>
          <w:szCs w:val="16"/>
        </w:rPr>
        <w:softHyphen/>
        <w:t>мость по объединениям и трестам, повысить зарплату. НКПС, согласно документу, отпускалось 212,4 млн руб., Наркомснабу - 237 млн руб. (преимущественно на создание закрытых распреде</w:t>
      </w:r>
      <w:r w:rsidRPr="005E779E">
        <w:rPr>
          <w:rFonts w:ascii="Times New Roman" w:hAnsi="Times New Roman"/>
          <w:color w:val="000000" w:themeColor="text1"/>
          <w:sz w:val="16"/>
          <w:szCs w:val="16"/>
        </w:rPr>
        <w:softHyphen/>
        <w:t>лителей и столовых), ОГПУ - 100 млн руб. Наркомпиту - 35 млн руб., Наркомату труда - 10 млн руб. (преимущественно на плано</w:t>
      </w:r>
      <w:r w:rsidRPr="005E779E">
        <w:rPr>
          <w:rFonts w:ascii="Times New Roman" w:hAnsi="Times New Roman"/>
          <w:color w:val="000000" w:themeColor="text1"/>
          <w:sz w:val="16"/>
          <w:szCs w:val="16"/>
        </w:rPr>
        <w:softHyphen/>
        <w:t>вое распределение рабочей силы на военные заводы). Отдельной строкой финансировалось ЦАГИ - 10 млн руб.</w:t>
      </w:r>
    </w:p>
    <w:p w14:paraId="52456FB9"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Тем не менее итоги 1931 г. по оборонному плану оказались неудовлетворительными как в военной, так и гражданской про</w:t>
      </w:r>
      <w:r w:rsidRPr="005E779E">
        <w:rPr>
          <w:rFonts w:ascii="Times New Roman" w:hAnsi="Times New Roman"/>
          <w:color w:val="000000" w:themeColor="text1"/>
          <w:sz w:val="16"/>
          <w:szCs w:val="16"/>
        </w:rPr>
        <w:softHyphen/>
        <w:t>мышленности, в том числе в военпроме. Об этом говорит следу</w:t>
      </w:r>
      <w:r w:rsidRPr="005E779E">
        <w:rPr>
          <w:rFonts w:ascii="Times New Roman" w:hAnsi="Times New Roman"/>
          <w:color w:val="000000" w:themeColor="text1"/>
          <w:sz w:val="16"/>
          <w:szCs w:val="16"/>
        </w:rPr>
        <w:softHyphen/>
        <w:t>ющая таблица (см. табл.).</w:t>
      </w:r>
    </w:p>
    <w:p w14:paraId="4CDBE0CD"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Валовая продукция военпрома в 1931 г., в том числе военная (млн руб. в ценах 1926/27г.).</w:t>
      </w:r>
    </w:p>
    <w:tbl>
      <w:tblPr>
        <w:tblW w:w="0" w:type="auto"/>
        <w:tblInd w:w="5" w:type="dxa"/>
        <w:shd w:val="clear" w:color="auto" w:fill="FFFFFF"/>
        <w:tblCellMar>
          <w:left w:w="0" w:type="dxa"/>
          <w:right w:w="0" w:type="dxa"/>
        </w:tblCellMar>
        <w:tblLook w:val="04A0" w:firstRow="1" w:lastRow="0" w:firstColumn="1" w:lastColumn="0" w:noHBand="0" w:noVBand="1"/>
      </w:tblPr>
      <w:tblGrid>
        <w:gridCol w:w="1459"/>
        <w:gridCol w:w="595"/>
        <w:gridCol w:w="600"/>
        <w:gridCol w:w="608"/>
        <w:gridCol w:w="600"/>
        <w:gridCol w:w="715"/>
        <w:gridCol w:w="600"/>
        <w:gridCol w:w="608"/>
        <w:gridCol w:w="608"/>
        <w:gridCol w:w="50"/>
      </w:tblGrid>
      <w:tr w:rsidR="001002C3" w:rsidRPr="005E779E" w14:paraId="74FDE4C4" w14:textId="77777777" w:rsidTr="001C3F77">
        <w:trPr>
          <w:trHeight w:val="1085"/>
        </w:trPr>
        <w:tc>
          <w:tcPr>
            <w:tcW w:w="1459" w:type="dxa"/>
            <w:tcBorders>
              <w:top w:val="single" w:sz="8" w:space="0" w:color="auto"/>
              <w:left w:val="single" w:sz="8" w:space="0" w:color="auto"/>
              <w:bottom w:val="nil"/>
              <w:right w:val="nil"/>
            </w:tcBorders>
            <w:shd w:val="clear" w:color="auto" w:fill="FFFFFF"/>
            <w:vAlign w:val="center"/>
            <w:hideMark/>
          </w:tcPr>
          <w:p w14:paraId="2A4BF516"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Объединения и тресты</w:t>
            </w:r>
          </w:p>
        </w:tc>
        <w:tc>
          <w:tcPr>
            <w:tcW w:w="595" w:type="dxa"/>
            <w:tcBorders>
              <w:top w:val="single" w:sz="8" w:space="0" w:color="auto"/>
              <w:left w:val="single" w:sz="8" w:space="0" w:color="auto"/>
              <w:bottom w:val="nil"/>
              <w:right w:val="nil"/>
            </w:tcBorders>
            <w:shd w:val="clear" w:color="auto" w:fill="FFFFFF"/>
            <w:vAlign w:val="center"/>
            <w:hideMark/>
          </w:tcPr>
          <w:p w14:paraId="3F0613F3"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плану</w:t>
            </w:r>
          </w:p>
        </w:tc>
        <w:tc>
          <w:tcPr>
            <w:tcW w:w="600" w:type="dxa"/>
            <w:tcBorders>
              <w:top w:val="single" w:sz="8" w:space="0" w:color="auto"/>
              <w:left w:val="single" w:sz="8" w:space="0" w:color="auto"/>
              <w:bottom w:val="nil"/>
              <w:right w:val="nil"/>
            </w:tcBorders>
            <w:shd w:val="clear" w:color="auto" w:fill="FFFFFF"/>
            <w:vAlign w:val="center"/>
            <w:hideMark/>
          </w:tcPr>
          <w:p w14:paraId="67382BA4"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Факти</w:t>
            </w:r>
            <w:r w:rsidRPr="005E779E">
              <w:rPr>
                <w:rFonts w:ascii="Times New Roman" w:hAnsi="Times New Roman"/>
                <w:color w:val="000000" w:themeColor="text1"/>
                <w:sz w:val="16"/>
                <w:szCs w:val="16"/>
              </w:rPr>
              <w:softHyphen/>
              <w:t>чески</w:t>
            </w:r>
          </w:p>
        </w:tc>
        <w:tc>
          <w:tcPr>
            <w:tcW w:w="605" w:type="dxa"/>
            <w:tcBorders>
              <w:top w:val="single" w:sz="8" w:space="0" w:color="auto"/>
              <w:left w:val="single" w:sz="8" w:space="0" w:color="auto"/>
              <w:bottom w:val="nil"/>
              <w:right w:val="nil"/>
            </w:tcBorders>
            <w:shd w:val="clear" w:color="auto" w:fill="FFFFFF"/>
            <w:vAlign w:val="center"/>
            <w:hideMark/>
          </w:tcPr>
          <w:p w14:paraId="70EF0EAA"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Процент выпол</w:t>
            </w:r>
            <w:r w:rsidRPr="005E779E">
              <w:rPr>
                <w:rFonts w:ascii="Times New Roman" w:hAnsi="Times New Roman"/>
                <w:color w:val="000000" w:themeColor="text1"/>
                <w:sz w:val="16"/>
                <w:szCs w:val="16"/>
              </w:rPr>
              <w:softHyphen/>
              <w:t>нения</w:t>
            </w:r>
          </w:p>
        </w:tc>
        <w:tc>
          <w:tcPr>
            <w:tcW w:w="600" w:type="dxa"/>
            <w:tcBorders>
              <w:top w:val="single" w:sz="8" w:space="0" w:color="auto"/>
              <w:left w:val="single" w:sz="8" w:space="0" w:color="auto"/>
              <w:bottom w:val="nil"/>
              <w:right w:val="nil"/>
            </w:tcBorders>
            <w:shd w:val="clear" w:color="auto" w:fill="FFFFFF"/>
            <w:vAlign w:val="center"/>
            <w:hideMark/>
          </w:tcPr>
          <w:p w14:paraId="1E1272AA"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w:t>
            </w:r>
            <w:r w:rsidRPr="005E779E">
              <w:rPr>
                <w:rFonts w:ascii="Times New Roman" w:hAnsi="Times New Roman"/>
                <w:color w:val="000000" w:themeColor="text1"/>
                <w:sz w:val="16"/>
                <w:szCs w:val="16"/>
              </w:rPr>
              <w:softHyphen/>
              <w:t>цент роста</w:t>
            </w:r>
          </w:p>
        </w:tc>
        <w:tc>
          <w:tcPr>
            <w:tcW w:w="715" w:type="dxa"/>
            <w:tcBorders>
              <w:top w:val="single" w:sz="8" w:space="0" w:color="auto"/>
              <w:left w:val="single" w:sz="8" w:space="0" w:color="auto"/>
              <w:bottom w:val="nil"/>
              <w:right w:val="nil"/>
            </w:tcBorders>
            <w:shd w:val="clear" w:color="auto" w:fill="FFFFFF"/>
            <w:vAlign w:val="center"/>
            <w:hideMark/>
          </w:tcPr>
          <w:p w14:paraId="44C5B49B"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Военная продук</w:t>
            </w:r>
            <w:r w:rsidRPr="005E779E">
              <w:rPr>
                <w:rFonts w:ascii="Times New Roman" w:hAnsi="Times New Roman"/>
                <w:color w:val="000000" w:themeColor="text1"/>
                <w:sz w:val="16"/>
                <w:szCs w:val="16"/>
              </w:rPr>
              <w:softHyphen/>
              <w:t>ция (по плану)</w:t>
            </w:r>
          </w:p>
        </w:tc>
        <w:tc>
          <w:tcPr>
            <w:tcW w:w="600" w:type="dxa"/>
            <w:tcBorders>
              <w:top w:val="single" w:sz="8" w:space="0" w:color="auto"/>
              <w:left w:val="single" w:sz="8" w:space="0" w:color="auto"/>
              <w:bottom w:val="nil"/>
              <w:right w:val="nil"/>
            </w:tcBorders>
            <w:shd w:val="clear" w:color="auto" w:fill="FFFFFF"/>
            <w:vAlign w:val="center"/>
            <w:hideMark/>
          </w:tcPr>
          <w:p w14:paraId="6FAE77C5"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Факти</w:t>
            </w:r>
            <w:r w:rsidRPr="005E779E">
              <w:rPr>
                <w:rFonts w:ascii="Times New Roman" w:hAnsi="Times New Roman"/>
                <w:color w:val="000000" w:themeColor="text1"/>
                <w:sz w:val="16"/>
                <w:szCs w:val="16"/>
              </w:rPr>
              <w:softHyphen/>
              <w:t>чески</w:t>
            </w:r>
          </w:p>
        </w:tc>
        <w:tc>
          <w:tcPr>
            <w:tcW w:w="605" w:type="dxa"/>
            <w:tcBorders>
              <w:top w:val="single" w:sz="8" w:space="0" w:color="auto"/>
              <w:left w:val="single" w:sz="8" w:space="0" w:color="auto"/>
              <w:bottom w:val="nil"/>
              <w:right w:val="nil"/>
            </w:tcBorders>
            <w:shd w:val="clear" w:color="auto" w:fill="FFFFFF"/>
            <w:vAlign w:val="center"/>
            <w:hideMark/>
          </w:tcPr>
          <w:p w14:paraId="1335BC20"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Процент выпол</w:t>
            </w:r>
            <w:r w:rsidRPr="005E779E">
              <w:rPr>
                <w:rFonts w:ascii="Times New Roman" w:hAnsi="Times New Roman"/>
                <w:color w:val="000000" w:themeColor="text1"/>
                <w:sz w:val="16"/>
                <w:szCs w:val="16"/>
              </w:rPr>
              <w:softHyphen/>
              <w:t>нения</w:t>
            </w:r>
          </w:p>
        </w:tc>
        <w:tc>
          <w:tcPr>
            <w:tcW w:w="605" w:type="dxa"/>
            <w:tcBorders>
              <w:top w:val="single" w:sz="8" w:space="0" w:color="auto"/>
              <w:left w:val="single" w:sz="8" w:space="0" w:color="auto"/>
              <w:bottom w:val="nil"/>
              <w:right w:val="single" w:sz="8" w:space="0" w:color="auto"/>
            </w:tcBorders>
            <w:shd w:val="clear" w:color="auto" w:fill="FFFFFF"/>
            <w:vAlign w:val="center"/>
            <w:hideMark/>
          </w:tcPr>
          <w:p w14:paraId="0F7EDF56"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Процент роста</w:t>
            </w:r>
          </w:p>
        </w:tc>
        <w:tc>
          <w:tcPr>
            <w:tcW w:w="6" w:type="dxa"/>
            <w:tcBorders>
              <w:top w:val="nil"/>
              <w:left w:val="nil"/>
              <w:bottom w:val="nil"/>
              <w:right w:val="nil"/>
            </w:tcBorders>
            <w:shd w:val="clear" w:color="auto" w:fill="FFFFFF"/>
            <w:vAlign w:val="center"/>
            <w:hideMark/>
          </w:tcPr>
          <w:p w14:paraId="114A9334"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r>
      <w:tr w:rsidR="001002C3" w:rsidRPr="005E779E" w14:paraId="3204225A" w14:textId="77777777" w:rsidTr="001C3F77">
        <w:trPr>
          <w:trHeight w:val="326"/>
        </w:trPr>
        <w:tc>
          <w:tcPr>
            <w:tcW w:w="1459" w:type="dxa"/>
            <w:tcBorders>
              <w:top w:val="single" w:sz="8" w:space="0" w:color="auto"/>
              <w:left w:val="single" w:sz="8" w:space="0" w:color="auto"/>
              <w:bottom w:val="nil"/>
              <w:right w:val="nil"/>
            </w:tcBorders>
            <w:shd w:val="clear" w:color="auto" w:fill="FFFFFF"/>
            <w:vAlign w:val="center"/>
            <w:hideMark/>
          </w:tcPr>
          <w:p w14:paraId="4B3E19DB"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ОАО</w:t>
            </w:r>
          </w:p>
        </w:tc>
        <w:tc>
          <w:tcPr>
            <w:tcW w:w="595" w:type="dxa"/>
            <w:tcBorders>
              <w:top w:val="single" w:sz="8" w:space="0" w:color="auto"/>
              <w:left w:val="single" w:sz="8" w:space="0" w:color="auto"/>
              <w:bottom w:val="nil"/>
              <w:right w:val="nil"/>
            </w:tcBorders>
            <w:shd w:val="clear" w:color="auto" w:fill="FFFFFF"/>
            <w:vAlign w:val="center"/>
            <w:hideMark/>
          </w:tcPr>
          <w:p w14:paraId="2872BAB4"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281</w:t>
            </w:r>
          </w:p>
        </w:tc>
        <w:tc>
          <w:tcPr>
            <w:tcW w:w="600" w:type="dxa"/>
            <w:tcBorders>
              <w:top w:val="single" w:sz="8" w:space="0" w:color="auto"/>
              <w:left w:val="single" w:sz="8" w:space="0" w:color="auto"/>
              <w:bottom w:val="nil"/>
              <w:right w:val="nil"/>
            </w:tcBorders>
            <w:shd w:val="clear" w:color="auto" w:fill="FFFFFF"/>
            <w:vAlign w:val="center"/>
            <w:hideMark/>
          </w:tcPr>
          <w:p w14:paraId="5471648E"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239</w:t>
            </w:r>
          </w:p>
        </w:tc>
        <w:tc>
          <w:tcPr>
            <w:tcW w:w="605" w:type="dxa"/>
            <w:tcBorders>
              <w:top w:val="single" w:sz="8" w:space="0" w:color="auto"/>
              <w:left w:val="single" w:sz="8" w:space="0" w:color="auto"/>
              <w:bottom w:val="nil"/>
              <w:right w:val="nil"/>
            </w:tcBorders>
            <w:shd w:val="clear" w:color="auto" w:fill="FFFFFF"/>
            <w:vAlign w:val="center"/>
            <w:hideMark/>
          </w:tcPr>
          <w:p w14:paraId="1D2B7B46"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82</w:t>
            </w:r>
          </w:p>
        </w:tc>
        <w:tc>
          <w:tcPr>
            <w:tcW w:w="600" w:type="dxa"/>
            <w:tcBorders>
              <w:top w:val="single" w:sz="8" w:space="0" w:color="auto"/>
              <w:left w:val="single" w:sz="8" w:space="0" w:color="auto"/>
              <w:bottom w:val="nil"/>
              <w:right w:val="nil"/>
            </w:tcBorders>
            <w:shd w:val="clear" w:color="auto" w:fill="FFFFFF"/>
            <w:vAlign w:val="center"/>
            <w:hideMark/>
          </w:tcPr>
          <w:p w14:paraId="2824DE2F"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57</w:t>
            </w:r>
          </w:p>
        </w:tc>
        <w:tc>
          <w:tcPr>
            <w:tcW w:w="715" w:type="dxa"/>
            <w:tcBorders>
              <w:top w:val="single" w:sz="8" w:space="0" w:color="auto"/>
              <w:left w:val="single" w:sz="8" w:space="0" w:color="auto"/>
              <w:bottom w:val="nil"/>
              <w:right w:val="nil"/>
            </w:tcBorders>
            <w:shd w:val="clear" w:color="auto" w:fill="FFFFFF"/>
            <w:vAlign w:val="center"/>
            <w:hideMark/>
          </w:tcPr>
          <w:p w14:paraId="296C7BEE"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141</w:t>
            </w:r>
          </w:p>
        </w:tc>
        <w:tc>
          <w:tcPr>
            <w:tcW w:w="600" w:type="dxa"/>
            <w:tcBorders>
              <w:top w:val="single" w:sz="8" w:space="0" w:color="auto"/>
              <w:left w:val="single" w:sz="8" w:space="0" w:color="auto"/>
              <w:bottom w:val="nil"/>
              <w:right w:val="nil"/>
            </w:tcBorders>
            <w:shd w:val="clear" w:color="auto" w:fill="FFFFFF"/>
            <w:vAlign w:val="center"/>
            <w:hideMark/>
          </w:tcPr>
          <w:p w14:paraId="41DB1E8C"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104</w:t>
            </w:r>
          </w:p>
        </w:tc>
        <w:tc>
          <w:tcPr>
            <w:tcW w:w="605" w:type="dxa"/>
            <w:tcBorders>
              <w:top w:val="single" w:sz="8" w:space="0" w:color="auto"/>
              <w:left w:val="single" w:sz="8" w:space="0" w:color="auto"/>
              <w:bottom w:val="nil"/>
              <w:right w:val="nil"/>
            </w:tcBorders>
            <w:shd w:val="clear" w:color="auto" w:fill="FFFFFF"/>
            <w:vAlign w:val="center"/>
            <w:hideMark/>
          </w:tcPr>
          <w:p w14:paraId="0E2FA679"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74</w:t>
            </w:r>
          </w:p>
        </w:tc>
        <w:tc>
          <w:tcPr>
            <w:tcW w:w="605" w:type="dxa"/>
            <w:tcBorders>
              <w:top w:val="single" w:sz="8" w:space="0" w:color="auto"/>
              <w:left w:val="single" w:sz="8" w:space="0" w:color="auto"/>
              <w:bottom w:val="nil"/>
              <w:right w:val="single" w:sz="8" w:space="0" w:color="auto"/>
            </w:tcBorders>
            <w:shd w:val="clear" w:color="auto" w:fill="FFFFFF"/>
            <w:vAlign w:val="center"/>
            <w:hideMark/>
          </w:tcPr>
          <w:p w14:paraId="5512199E"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59</w:t>
            </w:r>
          </w:p>
        </w:tc>
        <w:tc>
          <w:tcPr>
            <w:tcW w:w="6" w:type="dxa"/>
            <w:tcBorders>
              <w:top w:val="nil"/>
              <w:left w:val="nil"/>
              <w:bottom w:val="nil"/>
              <w:right w:val="nil"/>
            </w:tcBorders>
            <w:shd w:val="clear" w:color="auto" w:fill="FFFFFF"/>
            <w:vAlign w:val="center"/>
            <w:hideMark/>
          </w:tcPr>
          <w:p w14:paraId="326D9BF0"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r>
      <w:tr w:rsidR="001002C3" w:rsidRPr="005E779E" w14:paraId="7D2CC89A" w14:textId="77777777" w:rsidTr="001C3F77">
        <w:trPr>
          <w:trHeight w:val="235"/>
        </w:trPr>
        <w:tc>
          <w:tcPr>
            <w:tcW w:w="1459" w:type="dxa"/>
            <w:tcBorders>
              <w:top w:val="nil"/>
              <w:left w:val="single" w:sz="8" w:space="0" w:color="auto"/>
              <w:bottom w:val="nil"/>
              <w:right w:val="nil"/>
            </w:tcBorders>
            <w:shd w:val="clear" w:color="auto" w:fill="FFFFFF"/>
            <w:vAlign w:val="center"/>
            <w:hideMark/>
          </w:tcPr>
          <w:p w14:paraId="63A69A34"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Оружпул трест*</w:t>
            </w:r>
          </w:p>
        </w:tc>
        <w:tc>
          <w:tcPr>
            <w:tcW w:w="595" w:type="dxa"/>
            <w:tcBorders>
              <w:top w:val="nil"/>
              <w:left w:val="single" w:sz="8" w:space="0" w:color="auto"/>
              <w:bottom w:val="nil"/>
              <w:right w:val="nil"/>
            </w:tcBorders>
            <w:shd w:val="clear" w:color="auto" w:fill="FFFFFF"/>
            <w:vAlign w:val="center"/>
            <w:hideMark/>
          </w:tcPr>
          <w:p w14:paraId="0976AFFC"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294</w:t>
            </w:r>
          </w:p>
        </w:tc>
        <w:tc>
          <w:tcPr>
            <w:tcW w:w="600" w:type="dxa"/>
            <w:tcBorders>
              <w:top w:val="nil"/>
              <w:left w:val="single" w:sz="8" w:space="0" w:color="auto"/>
              <w:bottom w:val="nil"/>
              <w:right w:val="nil"/>
            </w:tcBorders>
            <w:shd w:val="clear" w:color="auto" w:fill="FFFFFF"/>
            <w:vAlign w:val="center"/>
            <w:hideMark/>
          </w:tcPr>
          <w:p w14:paraId="294A0A06"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282</w:t>
            </w:r>
          </w:p>
        </w:tc>
        <w:tc>
          <w:tcPr>
            <w:tcW w:w="605" w:type="dxa"/>
            <w:tcBorders>
              <w:top w:val="nil"/>
              <w:left w:val="single" w:sz="8" w:space="0" w:color="auto"/>
              <w:bottom w:val="nil"/>
              <w:right w:val="nil"/>
            </w:tcBorders>
            <w:shd w:val="clear" w:color="auto" w:fill="FFFFFF"/>
            <w:vAlign w:val="center"/>
            <w:hideMark/>
          </w:tcPr>
          <w:p w14:paraId="186F59DB"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96</w:t>
            </w:r>
          </w:p>
        </w:tc>
        <w:tc>
          <w:tcPr>
            <w:tcW w:w="600" w:type="dxa"/>
            <w:tcBorders>
              <w:top w:val="nil"/>
              <w:left w:val="single" w:sz="8" w:space="0" w:color="auto"/>
              <w:bottom w:val="nil"/>
              <w:right w:val="nil"/>
            </w:tcBorders>
            <w:shd w:val="clear" w:color="auto" w:fill="FFFFFF"/>
            <w:vAlign w:val="center"/>
            <w:hideMark/>
          </w:tcPr>
          <w:p w14:paraId="02D6D997"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92</w:t>
            </w:r>
          </w:p>
        </w:tc>
        <w:tc>
          <w:tcPr>
            <w:tcW w:w="715" w:type="dxa"/>
            <w:tcBorders>
              <w:top w:val="nil"/>
              <w:left w:val="single" w:sz="8" w:space="0" w:color="auto"/>
              <w:bottom w:val="nil"/>
              <w:right w:val="nil"/>
            </w:tcBorders>
            <w:shd w:val="clear" w:color="auto" w:fill="FFFFFF"/>
            <w:vAlign w:val="center"/>
            <w:hideMark/>
          </w:tcPr>
          <w:p w14:paraId="07661DB9"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153</w:t>
            </w:r>
          </w:p>
        </w:tc>
        <w:tc>
          <w:tcPr>
            <w:tcW w:w="600" w:type="dxa"/>
            <w:tcBorders>
              <w:top w:val="nil"/>
              <w:left w:val="single" w:sz="8" w:space="0" w:color="auto"/>
              <w:bottom w:val="nil"/>
              <w:right w:val="nil"/>
            </w:tcBorders>
            <w:shd w:val="clear" w:color="auto" w:fill="FFFFFF"/>
            <w:vAlign w:val="center"/>
            <w:hideMark/>
          </w:tcPr>
          <w:p w14:paraId="738EE799"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143</w:t>
            </w:r>
          </w:p>
        </w:tc>
        <w:tc>
          <w:tcPr>
            <w:tcW w:w="605" w:type="dxa"/>
            <w:tcBorders>
              <w:top w:val="nil"/>
              <w:left w:val="single" w:sz="8" w:space="0" w:color="auto"/>
              <w:bottom w:val="nil"/>
              <w:right w:val="nil"/>
            </w:tcBorders>
            <w:shd w:val="clear" w:color="auto" w:fill="FFFFFF"/>
            <w:vAlign w:val="center"/>
            <w:hideMark/>
          </w:tcPr>
          <w:p w14:paraId="4C57BB8D"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97</w:t>
            </w:r>
          </w:p>
        </w:tc>
        <w:tc>
          <w:tcPr>
            <w:tcW w:w="605" w:type="dxa"/>
            <w:tcBorders>
              <w:top w:val="nil"/>
              <w:left w:val="single" w:sz="8" w:space="0" w:color="auto"/>
              <w:bottom w:val="nil"/>
              <w:right w:val="single" w:sz="8" w:space="0" w:color="auto"/>
            </w:tcBorders>
            <w:shd w:val="clear" w:color="auto" w:fill="FFFFFF"/>
            <w:vAlign w:val="center"/>
            <w:hideMark/>
          </w:tcPr>
          <w:p w14:paraId="5CC2FF31"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137</w:t>
            </w:r>
          </w:p>
        </w:tc>
        <w:tc>
          <w:tcPr>
            <w:tcW w:w="6" w:type="dxa"/>
            <w:tcBorders>
              <w:top w:val="nil"/>
              <w:left w:val="nil"/>
              <w:bottom w:val="nil"/>
              <w:right w:val="nil"/>
            </w:tcBorders>
            <w:shd w:val="clear" w:color="auto" w:fill="FFFFFF"/>
            <w:vAlign w:val="center"/>
            <w:hideMark/>
          </w:tcPr>
          <w:p w14:paraId="3FC4D504"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r>
      <w:tr w:rsidR="001002C3" w:rsidRPr="005E779E" w14:paraId="412D58D1" w14:textId="77777777" w:rsidTr="001C3F77">
        <w:trPr>
          <w:trHeight w:val="216"/>
        </w:trPr>
        <w:tc>
          <w:tcPr>
            <w:tcW w:w="1459" w:type="dxa"/>
            <w:tcBorders>
              <w:top w:val="nil"/>
              <w:left w:val="single" w:sz="8" w:space="0" w:color="auto"/>
              <w:bottom w:val="nil"/>
              <w:right w:val="nil"/>
            </w:tcBorders>
            <w:shd w:val="clear" w:color="auto" w:fill="FFFFFF"/>
            <w:vAlign w:val="center"/>
            <w:hideMark/>
          </w:tcPr>
          <w:p w14:paraId="3A18A718"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Патрубвзрыв</w:t>
            </w:r>
          </w:p>
        </w:tc>
        <w:tc>
          <w:tcPr>
            <w:tcW w:w="595" w:type="dxa"/>
            <w:tcBorders>
              <w:top w:val="nil"/>
              <w:left w:val="single" w:sz="8" w:space="0" w:color="auto"/>
              <w:bottom w:val="nil"/>
              <w:right w:val="nil"/>
            </w:tcBorders>
            <w:shd w:val="clear" w:color="auto" w:fill="FFFFFF"/>
            <w:vAlign w:val="center"/>
            <w:hideMark/>
          </w:tcPr>
          <w:p w14:paraId="5ECF13F7"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263</w:t>
            </w:r>
          </w:p>
        </w:tc>
        <w:tc>
          <w:tcPr>
            <w:tcW w:w="600" w:type="dxa"/>
            <w:tcBorders>
              <w:top w:val="nil"/>
              <w:left w:val="single" w:sz="8" w:space="0" w:color="auto"/>
              <w:bottom w:val="nil"/>
              <w:right w:val="nil"/>
            </w:tcBorders>
            <w:shd w:val="clear" w:color="auto" w:fill="FFFFFF"/>
            <w:vAlign w:val="center"/>
            <w:hideMark/>
          </w:tcPr>
          <w:p w14:paraId="493DD92D"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207</w:t>
            </w:r>
          </w:p>
        </w:tc>
        <w:tc>
          <w:tcPr>
            <w:tcW w:w="605" w:type="dxa"/>
            <w:tcBorders>
              <w:top w:val="nil"/>
              <w:left w:val="single" w:sz="8" w:space="0" w:color="auto"/>
              <w:bottom w:val="nil"/>
              <w:right w:val="nil"/>
            </w:tcBorders>
            <w:shd w:val="clear" w:color="auto" w:fill="FFFFFF"/>
            <w:vAlign w:val="center"/>
            <w:hideMark/>
          </w:tcPr>
          <w:p w14:paraId="64C16325"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79</w:t>
            </w:r>
          </w:p>
        </w:tc>
        <w:tc>
          <w:tcPr>
            <w:tcW w:w="600" w:type="dxa"/>
            <w:tcBorders>
              <w:top w:val="nil"/>
              <w:left w:val="single" w:sz="8" w:space="0" w:color="auto"/>
              <w:bottom w:val="nil"/>
              <w:right w:val="nil"/>
            </w:tcBorders>
            <w:shd w:val="clear" w:color="auto" w:fill="FFFFFF"/>
            <w:vAlign w:val="center"/>
            <w:hideMark/>
          </w:tcPr>
          <w:p w14:paraId="6A056D70"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58</w:t>
            </w:r>
          </w:p>
        </w:tc>
        <w:tc>
          <w:tcPr>
            <w:tcW w:w="715" w:type="dxa"/>
            <w:tcBorders>
              <w:top w:val="nil"/>
              <w:left w:val="single" w:sz="8" w:space="0" w:color="auto"/>
              <w:bottom w:val="nil"/>
              <w:right w:val="nil"/>
            </w:tcBorders>
            <w:shd w:val="clear" w:color="auto" w:fill="FFFFFF"/>
            <w:vAlign w:val="center"/>
            <w:hideMark/>
          </w:tcPr>
          <w:p w14:paraId="6D444A36"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141</w:t>
            </w:r>
          </w:p>
        </w:tc>
        <w:tc>
          <w:tcPr>
            <w:tcW w:w="600" w:type="dxa"/>
            <w:tcBorders>
              <w:top w:val="nil"/>
              <w:left w:val="single" w:sz="8" w:space="0" w:color="auto"/>
              <w:bottom w:val="nil"/>
              <w:right w:val="nil"/>
            </w:tcBorders>
            <w:shd w:val="clear" w:color="auto" w:fill="FFFFFF"/>
            <w:vAlign w:val="center"/>
            <w:hideMark/>
          </w:tcPr>
          <w:p w14:paraId="6FDFE25D"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108</w:t>
            </w:r>
          </w:p>
        </w:tc>
        <w:tc>
          <w:tcPr>
            <w:tcW w:w="605" w:type="dxa"/>
            <w:tcBorders>
              <w:top w:val="nil"/>
              <w:left w:val="single" w:sz="8" w:space="0" w:color="auto"/>
              <w:bottom w:val="nil"/>
              <w:right w:val="nil"/>
            </w:tcBorders>
            <w:shd w:val="clear" w:color="auto" w:fill="FFFFFF"/>
            <w:vAlign w:val="center"/>
            <w:hideMark/>
          </w:tcPr>
          <w:p w14:paraId="7AFC0796"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77</w:t>
            </w:r>
          </w:p>
        </w:tc>
        <w:tc>
          <w:tcPr>
            <w:tcW w:w="605" w:type="dxa"/>
            <w:tcBorders>
              <w:top w:val="nil"/>
              <w:left w:val="single" w:sz="8" w:space="0" w:color="auto"/>
              <w:bottom w:val="nil"/>
              <w:right w:val="single" w:sz="8" w:space="0" w:color="auto"/>
            </w:tcBorders>
            <w:shd w:val="clear" w:color="auto" w:fill="FFFFFF"/>
            <w:vAlign w:val="center"/>
            <w:hideMark/>
          </w:tcPr>
          <w:p w14:paraId="31BC04CC"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59</w:t>
            </w:r>
          </w:p>
        </w:tc>
        <w:tc>
          <w:tcPr>
            <w:tcW w:w="6" w:type="dxa"/>
            <w:tcBorders>
              <w:top w:val="nil"/>
              <w:left w:val="nil"/>
              <w:bottom w:val="nil"/>
              <w:right w:val="nil"/>
            </w:tcBorders>
            <w:shd w:val="clear" w:color="auto" w:fill="FFFFFF"/>
            <w:vAlign w:val="center"/>
            <w:hideMark/>
          </w:tcPr>
          <w:p w14:paraId="1510D0F7"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r>
      <w:tr w:rsidR="001002C3" w:rsidRPr="005E779E" w14:paraId="531A2291" w14:textId="77777777" w:rsidTr="001C3F77">
        <w:trPr>
          <w:trHeight w:val="206"/>
        </w:trPr>
        <w:tc>
          <w:tcPr>
            <w:tcW w:w="1459" w:type="dxa"/>
            <w:tcBorders>
              <w:top w:val="nil"/>
              <w:left w:val="single" w:sz="8" w:space="0" w:color="auto"/>
              <w:bottom w:val="nil"/>
              <w:right w:val="nil"/>
            </w:tcBorders>
            <w:shd w:val="clear" w:color="auto" w:fill="FFFFFF"/>
            <w:vAlign w:val="center"/>
            <w:hideMark/>
          </w:tcPr>
          <w:p w14:paraId="03B50F8A"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w:t>
            </w:r>
          </w:p>
        </w:tc>
        <w:tc>
          <w:tcPr>
            <w:tcW w:w="595" w:type="dxa"/>
            <w:tcBorders>
              <w:top w:val="nil"/>
              <w:left w:val="single" w:sz="8" w:space="0" w:color="auto"/>
              <w:bottom w:val="nil"/>
              <w:right w:val="nil"/>
            </w:tcBorders>
            <w:shd w:val="clear" w:color="auto" w:fill="FFFFFF"/>
            <w:vAlign w:val="center"/>
            <w:hideMark/>
          </w:tcPr>
          <w:p w14:paraId="5421CACB"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190</w:t>
            </w:r>
          </w:p>
        </w:tc>
        <w:tc>
          <w:tcPr>
            <w:tcW w:w="600" w:type="dxa"/>
            <w:tcBorders>
              <w:top w:val="nil"/>
              <w:left w:val="single" w:sz="8" w:space="0" w:color="auto"/>
              <w:bottom w:val="nil"/>
              <w:right w:val="nil"/>
            </w:tcBorders>
            <w:shd w:val="clear" w:color="auto" w:fill="FFFFFF"/>
            <w:vAlign w:val="center"/>
            <w:hideMark/>
          </w:tcPr>
          <w:p w14:paraId="2F6DA749"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154</w:t>
            </w:r>
          </w:p>
        </w:tc>
        <w:tc>
          <w:tcPr>
            <w:tcW w:w="605" w:type="dxa"/>
            <w:tcBorders>
              <w:top w:val="nil"/>
              <w:left w:val="single" w:sz="8" w:space="0" w:color="auto"/>
              <w:bottom w:val="nil"/>
              <w:right w:val="nil"/>
            </w:tcBorders>
            <w:shd w:val="clear" w:color="auto" w:fill="FFFFFF"/>
            <w:vAlign w:val="center"/>
            <w:hideMark/>
          </w:tcPr>
          <w:p w14:paraId="1CB777AF"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81</w:t>
            </w:r>
          </w:p>
        </w:tc>
        <w:tc>
          <w:tcPr>
            <w:tcW w:w="600" w:type="dxa"/>
            <w:tcBorders>
              <w:top w:val="nil"/>
              <w:left w:val="single" w:sz="8" w:space="0" w:color="auto"/>
              <w:bottom w:val="nil"/>
              <w:right w:val="nil"/>
            </w:tcBorders>
            <w:shd w:val="clear" w:color="auto" w:fill="FFFFFF"/>
            <w:vAlign w:val="center"/>
            <w:hideMark/>
          </w:tcPr>
          <w:p w14:paraId="45773816"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44</w:t>
            </w:r>
          </w:p>
        </w:tc>
        <w:tc>
          <w:tcPr>
            <w:tcW w:w="715" w:type="dxa"/>
            <w:tcBorders>
              <w:top w:val="nil"/>
              <w:left w:val="single" w:sz="8" w:space="0" w:color="auto"/>
              <w:bottom w:val="nil"/>
              <w:right w:val="nil"/>
            </w:tcBorders>
            <w:shd w:val="clear" w:color="auto" w:fill="FFFFFF"/>
            <w:vAlign w:val="center"/>
            <w:hideMark/>
          </w:tcPr>
          <w:p w14:paraId="09AF70B9"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132</w:t>
            </w:r>
          </w:p>
        </w:tc>
        <w:tc>
          <w:tcPr>
            <w:tcW w:w="600" w:type="dxa"/>
            <w:tcBorders>
              <w:top w:val="nil"/>
              <w:left w:val="single" w:sz="8" w:space="0" w:color="auto"/>
              <w:bottom w:val="nil"/>
              <w:right w:val="nil"/>
            </w:tcBorders>
            <w:shd w:val="clear" w:color="auto" w:fill="FFFFFF"/>
            <w:vAlign w:val="center"/>
            <w:hideMark/>
          </w:tcPr>
          <w:p w14:paraId="2A841CAF"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73</w:t>
            </w:r>
          </w:p>
        </w:tc>
        <w:tc>
          <w:tcPr>
            <w:tcW w:w="605" w:type="dxa"/>
            <w:tcBorders>
              <w:top w:val="nil"/>
              <w:left w:val="single" w:sz="8" w:space="0" w:color="auto"/>
              <w:bottom w:val="nil"/>
              <w:right w:val="nil"/>
            </w:tcBorders>
            <w:shd w:val="clear" w:color="auto" w:fill="FFFFFF"/>
            <w:vAlign w:val="center"/>
            <w:hideMark/>
          </w:tcPr>
          <w:p w14:paraId="294D373F"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55</w:t>
            </w:r>
          </w:p>
        </w:tc>
        <w:tc>
          <w:tcPr>
            <w:tcW w:w="605" w:type="dxa"/>
            <w:tcBorders>
              <w:top w:val="nil"/>
              <w:left w:val="single" w:sz="8" w:space="0" w:color="auto"/>
              <w:bottom w:val="nil"/>
              <w:right w:val="single" w:sz="8" w:space="0" w:color="auto"/>
            </w:tcBorders>
            <w:shd w:val="clear" w:color="auto" w:fill="FFFFFF"/>
            <w:vAlign w:val="center"/>
            <w:hideMark/>
          </w:tcPr>
          <w:p w14:paraId="124D4547"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46</w:t>
            </w:r>
          </w:p>
        </w:tc>
        <w:tc>
          <w:tcPr>
            <w:tcW w:w="6" w:type="dxa"/>
            <w:tcBorders>
              <w:top w:val="nil"/>
              <w:left w:val="nil"/>
              <w:bottom w:val="nil"/>
              <w:right w:val="nil"/>
            </w:tcBorders>
            <w:shd w:val="clear" w:color="auto" w:fill="FFFFFF"/>
            <w:vAlign w:val="center"/>
            <w:hideMark/>
          </w:tcPr>
          <w:p w14:paraId="39678305"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r>
      <w:tr w:rsidR="001002C3" w:rsidRPr="005E779E" w14:paraId="5E03DC4A" w14:textId="77777777" w:rsidTr="001C3F77">
        <w:trPr>
          <w:trHeight w:val="216"/>
        </w:trPr>
        <w:tc>
          <w:tcPr>
            <w:tcW w:w="1459" w:type="dxa"/>
            <w:tcBorders>
              <w:top w:val="nil"/>
              <w:left w:val="single" w:sz="8" w:space="0" w:color="auto"/>
              <w:bottom w:val="nil"/>
              <w:right w:val="nil"/>
            </w:tcBorders>
            <w:shd w:val="clear" w:color="auto" w:fill="FFFFFF"/>
            <w:vAlign w:val="center"/>
            <w:hideMark/>
          </w:tcPr>
          <w:p w14:paraId="2CAD0705"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ВХО</w:t>
            </w:r>
          </w:p>
        </w:tc>
        <w:tc>
          <w:tcPr>
            <w:tcW w:w="595" w:type="dxa"/>
            <w:tcBorders>
              <w:top w:val="nil"/>
              <w:left w:val="single" w:sz="8" w:space="0" w:color="auto"/>
              <w:bottom w:val="nil"/>
              <w:right w:val="nil"/>
            </w:tcBorders>
            <w:shd w:val="clear" w:color="auto" w:fill="FFFFFF"/>
            <w:vAlign w:val="center"/>
            <w:hideMark/>
          </w:tcPr>
          <w:p w14:paraId="04F30557"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273</w:t>
            </w:r>
          </w:p>
        </w:tc>
        <w:tc>
          <w:tcPr>
            <w:tcW w:w="600" w:type="dxa"/>
            <w:tcBorders>
              <w:top w:val="nil"/>
              <w:left w:val="single" w:sz="8" w:space="0" w:color="auto"/>
              <w:bottom w:val="nil"/>
              <w:right w:val="nil"/>
            </w:tcBorders>
            <w:shd w:val="clear" w:color="auto" w:fill="FFFFFF"/>
            <w:vAlign w:val="center"/>
            <w:hideMark/>
          </w:tcPr>
          <w:p w14:paraId="7A2088C2"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239</w:t>
            </w:r>
          </w:p>
        </w:tc>
        <w:tc>
          <w:tcPr>
            <w:tcW w:w="605" w:type="dxa"/>
            <w:tcBorders>
              <w:top w:val="nil"/>
              <w:left w:val="single" w:sz="8" w:space="0" w:color="auto"/>
              <w:bottom w:val="nil"/>
              <w:right w:val="nil"/>
            </w:tcBorders>
            <w:shd w:val="clear" w:color="auto" w:fill="FFFFFF"/>
            <w:vAlign w:val="center"/>
            <w:hideMark/>
          </w:tcPr>
          <w:p w14:paraId="4D2B767B"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88</w:t>
            </w:r>
          </w:p>
        </w:tc>
        <w:tc>
          <w:tcPr>
            <w:tcW w:w="600" w:type="dxa"/>
            <w:tcBorders>
              <w:top w:val="nil"/>
              <w:left w:val="single" w:sz="8" w:space="0" w:color="auto"/>
              <w:bottom w:val="nil"/>
              <w:right w:val="nil"/>
            </w:tcBorders>
            <w:shd w:val="clear" w:color="auto" w:fill="FFFFFF"/>
            <w:vAlign w:val="center"/>
            <w:hideMark/>
          </w:tcPr>
          <w:p w14:paraId="176D3E34"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53</w:t>
            </w:r>
          </w:p>
        </w:tc>
        <w:tc>
          <w:tcPr>
            <w:tcW w:w="715" w:type="dxa"/>
            <w:tcBorders>
              <w:top w:val="nil"/>
              <w:left w:val="single" w:sz="8" w:space="0" w:color="auto"/>
              <w:bottom w:val="nil"/>
              <w:right w:val="nil"/>
            </w:tcBorders>
            <w:shd w:val="clear" w:color="auto" w:fill="FFFFFF"/>
            <w:vAlign w:val="center"/>
            <w:hideMark/>
          </w:tcPr>
          <w:p w14:paraId="54F80B7C"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125</w:t>
            </w:r>
          </w:p>
        </w:tc>
        <w:tc>
          <w:tcPr>
            <w:tcW w:w="600" w:type="dxa"/>
            <w:tcBorders>
              <w:top w:val="nil"/>
              <w:left w:val="single" w:sz="8" w:space="0" w:color="auto"/>
              <w:bottom w:val="nil"/>
              <w:right w:val="nil"/>
            </w:tcBorders>
            <w:shd w:val="clear" w:color="auto" w:fill="FFFFFF"/>
            <w:vAlign w:val="center"/>
            <w:hideMark/>
          </w:tcPr>
          <w:p w14:paraId="4ADD6F89"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113</w:t>
            </w:r>
          </w:p>
        </w:tc>
        <w:tc>
          <w:tcPr>
            <w:tcW w:w="605" w:type="dxa"/>
            <w:tcBorders>
              <w:top w:val="nil"/>
              <w:left w:val="single" w:sz="8" w:space="0" w:color="auto"/>
              <w:bottom w:val="nil"/>
              <w:right w:val="nil"/>
            </w:tcBorders>
            <w:shd w:val="clear" w:color="auto" w:fill="FFFFFF"/>
            <w:vAlign w:val="center"/>
            <w:hideMark/>
          </w:tcPr>
          <w:p w14:paraId="2C0CAC4B"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90</w:t>
            </w:r>
          </w:p>
        </w:tc>
        <w:tc>
          <w:tcPr>
            <w:tcW w:w="605" w:type="dxa"/>
            <w:tcBorders>
              <w:top w:val="nil"/>
              <w:left w:val="single" w:sz="8" w:space="0" w:color="auto"/>
              <w:bottom w:val="nil"/>
              <w:right w:val="single" w:sz="8" w:space="0" w:color="auto"/>
            </w:tcBorders>
            <w:shd w:val="clear" w:color="auto" w:fill="FFFFFF"/>
            <w:vAlign w:val="center"/>
            <w:hideMark/>
          </w:tcPr>
          <w:p w14:paraId="7D3A84B2"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45</w:t>
            </w:r>
          </w:p>
        </w:tc>
        <w:tc>
          <w:tcPr>
            <w:tcW w:w="6" w:type="dxa"/>
            <w:tcBorders>
              <w:top w:val="nil"/>
              <w:left w:val="nil"/>
              <w:bottom w:val="nil"/>
              <w:right w:val="nil"/>
            </w:tcBorders>
            <w:shd w:val="clear" w:color="auto" w:fill="FFFFFF"/>
            <w:vAlign w:val="center"/>
            <w:hideMark/>
          </w:tcPr>
          <w:p w14:paraId="49019D7F"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r>
      <w:tr w:rsidR="001002C3" w:rsidRPr="005E779E" w14:paraId="05FD7561" w14:textId="77777777" w:rsidTr="001C3F77">
        <w:trPr>
          <w:trHeight w:val="235"/>
        </w:trPr>
        <w:tc>
          <w:tcPr>
            <w:tcW w:w="1459" w:type="dxa"/>
            <w:tcBorders>
              <w:top w:val="nil"/>
              <w:left w:val="single" w:sz="8" w:space="0" w:color="auto"/>
              <w:bottom w:val="nil"/>
              <w:right w:val="nil"/>
            </w:tcBorders>
            <w:shd w:val="clear" w:color="auto" w:fill="FFFFFF"/>
            <w:vAlign w:val="center"/>
            <w:hideMark/>
          </w:tcPr>
          <w:p w14:paraId="5526E3D7"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Снартрест***</w:t>
            </w:r>
          </w:p>
        </w:tc>
        <w:tc>
          <w:tcPr>
            <w:tcW w:w="595" w:type="dxa"/>
            <w:tcBorders>
              <w:top w:val="nil"/>
              <w:left w:val="single" w:sz="8" w:space="0" w:color="auto"/>
              <w:bottom w:val="nil"/>
              <w:right w:val="nil"/>
            </w:tcBorders>
            <w:shd w:val="clear" w:color="auto" w:fill="FFFFFF"/>
            <w:vAlign w:val="center"/>
            <w:hideMark/>
          </w:tcPr>
          <w:p w14:paraId="4FFF8A98"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148</w:t>
            </w:r>
          </w:p>
        </w:tc>
        <w:tc>
          <w:tcPr>
            <w:tcW w:w="600" w:type="dxa"/>
            <w:tcBorders>
              <w:top w:val="nil"/>
              <w:left w:val="single" w:sz="8" w:space="0" w:color="auto"/>
              <w:bottom w:val="nil"/>
              <w:right w:val="nil"/>
            </w:tcBorders>
            <w:shd w:val="clear" w:color="auto" w:fill="FFFFFF"/>
            <w:vAlign w:val="center"/>
            <w:hideMark/>
          </w:tcPr>
          <w:p w14:paraId="1974BABE"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106</w:t>
            </w:r>
          </w:p>
        </w:tc>
        <w:tc>
          <w:tcPr>
            <w:tcW w:w="605" w:type="dxa"/>
            <w:tcBorders>
              <w:top w:val="nil"/>
              <w:left w:val="single" w:sz="8" w:space="0" w:color="auto"/>
              <w:bottom w:val="nil"/>
              <w:right w:val="nil"/>
            </w:tcBorders>
            <w:shd w:val="clear" w:color="auto" w:fill="FFFFFF"/>
            <w:vAlign w:val="center"/>
            <w:hideMark/>
          </w:tcPr>
          <w:p w14:paraId="2E2CD67A"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72</w:t>
            </w:r>
          </w:p>
        </w:tc>
        <w:tc>
          <w:tcPr>
            <w:tcW w:w="600" w:type="dxa"/>
            <w:tcBorders>
              <w:top w:val="nil"/>
              <w:left w:val="single" w:sz="8" w:space="0" w:color="auto"/>
              <w:bottom w:val="nil"/>
              <w:right w:val="nil"/>
            </w:tcBorders>
            <w:shd w:val="clear" w:color="auto" w:fill="FFFFFF"/>
            <w:vAlign w:val="center"/>
            <w:hideMark/>
          </w:tcPr>
          <w:p w14:paraId="092CDCCB"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48</w:t>
            </w:r>
          </w:p>
        </w:tc>
        <w:tc>
          <w:tcPr>
            <w:tcW w:w="715" w:type="dxa"/>
            <w:tcBorders>
              <w:top w:val="nil"/>
              <w:left w:val="single" w:sz="8" w:space="0" w:color="auto"/>
              <w:bottom w:val="nil"/>
              <w:right w:val="nil"/>
            </w:tcBorders>
            <w:shd w:val="clear" w:color="auto" w:fill="FFFFFF"/>
            <w:vAlign w:val="center"/>
            <w:hideMark/>
          </w:tcPr>
          <w:p w14:paraId="191EFC64"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66</w:t>
            </w:r>
          </w:p>
        </w:tc>
        <w:tc>
          <w:tcPr>
            <w:tcW w:w="600" w:type="dxa"/>
            <w:tcBorders>
              <w:top w:val="nil"/>
              <w:left w:val="single" w:sz="8" w:space="0" w:color="auto"/>
              <w:bottom w:val="nil"/>
              <w:right w:val="nil"/>
            </w:tcBorders>
            <w:shd w:val="clear" w:color="auto" w:fill="FFFFFF"/>
            <w:vAlign w:val="center"/>
            <w:hideMark/>
          </w:tcPr>
          <w:p w14:paraId="54C534FC"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w:t>
            </w:r>
          </w:p>
        </w:tc>
        <w:tc>
          <w:tcPr>
            <w:tcW w:w="605" w:type="dxa"/>
            <w:tcBorders>
              <w:top w:val="nil"/>
              <w:left w:val="single" w:sz="8" w:space="0" w:color="auto"/>
              <w:bottom w:val="nil"/>
              <w:right w:val="nil"/>
            </w:tcBorders>
            <w:shd w:val="clear" w:color="auto" w:fill="FFFFFF"/>
            <w:vAlign w:val="center"/>
            <w:hideMark/>
          </w:tcPr>
          <w:p w14:paraId="2C8E8B47"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w:t>
            </w:r>
          </w:p>
        </w:tc>
        <w:tc>
          <w:tcPr>
            <w:tcW w:w="605" w:type="dxa"/>
            <w:tcBorders>
              <w:top w:val="nil"/>
              <w:left w:val="single" w:sz="8" w:space="0" w:color="auto"/>
              <w:bottom w:val="nil"/>
              <w:right w:val="single" w:sz="8" w:space="0" w:color="auto"/>
            </w:tcBorders>
            <w:shd w:val="clear" w:color="auto" w:fill="FFFFFF"/>
            <w:vAlign w:val="center"/>
            <w:hideMark/>
          </w:tcPr>
          <w:p w14:paraId="7381F390"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58</w:t>
            </w:r>
          </w:p>
        </w:tc>
        <w:tc>
          <w:tcPr>
            <w:tcW w:w="6" w:type="dxa"/>
            <w:tcBorders>
              <w:top w:val="nil"/>
              <w:left w:val="nil"/>
              <w:bottom w:val="nil"/>
              <w:right w:val="nil"/>
            </w:tcBorders>
            <w:shd w:val="clear" w:color="auto" w:fill="FFFFFF"/>
            <w:vAlign w:val="center"/>
            <w:hideMark/>
          </w:tcPr>
          <w:p w14:paraId="5B69D42C"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r>
      <w:tr w:rsidR="001002C3" w:rsidRPr="005E779E" w14:paraId="63011F16" w14:textId="77777777" w:rsidTr="001C3F77">
        <w:trPr>
          <w:trHeight w:val="221"/>
        </w:trPr>
        <w:tc>
          <w:tcPr>
            <w:tcW w:w="1459" w:type="dxa"/>
            <w:tcBorders>
              <w:top w:val="nil"/>
              <w:left w:val="single" w:sz="8" w:space="0" w:color="auto"/>
              <w:bottom w:val="nil"/>
              <w:right w:val="nil"/>
            </w:tcBorders>
            <w:shd w:val="clear" w:color="auto" w:fill="FFFFFF"/>
            <w:vAlign w:val="center"/>
            <w:hideMark/>
          </w:tcPr>
          <w:p w14:paraId="678CB219"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Госхимтрест</w:t>
            </w:r>
          </w:p>
        </w:tc>
        <w:tc>
          <w:tcPr>
            <w:tcW w:w="595" w:type="dxa"/>
            <w:tcBorders>
              <w:top w:val="nil"/>
              <w:left w:val="single" w:sz="8" w:space="0" w:color="auto"/>
              <w:bottom w:val="nil"/>
              <w:right w:val="nil"/>
            </w:tcBorders>
            <w:shd w:val="clear" w:color="auto" w:fill="FFFFFF"/>
            <w:vAlign w:val="center"/>
            <w:hideMark/>
          </w:tcPr>
          <w:p w14:paraId="1B995B33"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5,3</w:t>
            </w:r>
          </w:p>
        </w:tc>
        <w:tc>
          <w:tcPr>
            <w:tcW w:w="600" w:type="dxa"/>
            <w:tcBorders>
              <w:top w:val="nil"/>
              <w:left w:val="single" w:sz="8" w:space="0" w:color="auto"/>
              <w:bottom w:val="nil"/>
              <w:right w:val="nil"/>
            </w:tcBorders>
            <w:shd w:val="clear" w:color="auto" w:fill="FFFFFF"/>
            <w:vAlign w:val="center"/>
            <w:hideMark/>
          </w:tcPr>
          <w:p w14:paraId="654C7F81"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5,9</w:t>
            </w:r>
          </w:p>
        </w:tc>
        <w:tc>
          <w:tcPr>
            <w:tcW w:w="605" w:type="dxa"/>
            <w:tcBorders>
              <w:top w:val="nil"/>
              <w:left w:val="single" w:sz="8" w:space="0" w:color="auto"/>
              <w:bottom w:val="nil"/>
              <w:right w:val="nil"/>
            </w:tcBorders>
            <w:shd w:val="clear" w:color="auto" w:fill="FFFFFF"/>
            <w:vAlign w:val="center"/>
            <w:hideMark/>
          </w:tcPr>
          <w:p w14:paraId="42C458BF"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110</w:t>
            </w:r>
          </w:p>
        </w:tc>
        <w:tc>
          <w:tcPr>
            <w:tcW w:w="600" w:type="dxa"/>
            <w:tcBorders>
              <w:top w:val="nil"/>
              <w:left w:val="single" w:sz="8" w:space="0" w:color="auto"/>
              <w:bottom w:val="nil"/>
              <w:right w:val="nil"/>
            </w:tcBorders>
            <w:shd w:val="clear" w:color="auto" w:fill="FFFFFF"/>
            <w:vAlign w:val="center"/>
            <w:hideMark/>
          </w:tcPr>
          <w:p w14:paraId="018D6BE9"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99</w:t>
            </w:r>
          </w:p>
        </w:tc>
        <w:tc>
          <w:tcPr>
            <w:tcW w:w="715" w:type="dxa"/>
            <w:tcBorders>
              <w:top w:val="nil"/>
              <w:left w:val="single" w:sz="8" w:space="0" w:color="auto"/>
              <w:bottom w:val="nil"/>
              <w:right w:val="nil"/>
            </w:tcBorders>
            <w:shd w:val="clear" w:color="auto" w:fill="FFFFFF"/>
            <w:vAlign w:val="center"/>
            <w:hideMark/>
          </w:tcPr>
          <w:p w14:paraId="297178ED"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w:t>
            </w:r>
          </w:p>
        </w:tc>
        <w:tc>
          <w:tcPr>
            <w:tcW w:w="600" w:type="dxa"/>
            <w:tcBorders>
              <w:top w:val="nil"/>
              <w:left w:val="single" w:sz="8" w:space="0" w:color="auto"/>
              <w:bottom w:val="nil"/>
              <w:right w:val="nil"/>
            </w:tcBorders>
            <w:shd w:val="clear" w:color="auto" w:fill="FFFFFF"/>
            <w:vAlign w:val="center"/>
            <w:hideMark/>
          </w:tcPr>
          <w:p w14:paraId="0138E72E"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2,26</w:t>
            </w:r>
          </w:p>
        </w:tc>
        <w:tc>
          <w:tcPr>
            <w:tcW w:w="605" w:type="dxa"/>
            <w:tcBorders>
              <w:top w:val="nil"/>
              <w:left w:val="single" w:sz="8" w:space="0" w:color="auto"/>
              <w:bottom w:val="nil"/>
              <w:right w:val="nil"/>
            </w:tcBorders>
            <w:shd w:val="clear" w:color="auto" w:fill="FFFFFF"/>
            <w:vAlign w:val="center"/>
            <w:hideMark/>
          </w:tcPr>
          <w:p w14:paraId="7F098ED6"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98</w:t>
            </w:r>
          </w:p>
        </w:tc>
        <w:tc>
          <w:tcPr>
            <w:tcW w:w="605" w:type="dxa"/>
            <w:tcBorders>
              <w:top w:val="nil"/>
              <w:left w:val="single" w:sz="8" w:space="0" w:color="auto"/>
              <w:bottom w:val="nil"/>
              <w:right w:val="single" w:sz="8" w:space="0" w:color="auto"/>
            </w:tcBorders>
            <w:shd w:val="clear" w:color="auto" w:fill="FFFFFF"/>
            <w:vAlign w:val="center"/>
            <w:hideMark/>
          </w:tcPr>
          <w:p w14:paraId="2CB99600"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55</w:t>
            </w:r>
          </w:p>
        </w:tc>
        <w:tc>
          <w:tcPr>
            <w:tcW w:w="6" w:type="dxa"/>
            <w:tcBorders>
              <w:top w:val="nil"/>
              <w:left w:val="nil"/>
              <w:bottom w:val="nil"/>
              <w:right w:val="nil"/>
            </w:tcBorders>
            <w:shd w:val="clear" w:color="auto" w:fill="FFFFFF"/>
            <w:vAlign w:val="center"/>
            <w:hideMark/>
          </w:tcPr>
          <w:p w14:paraId="66BC5B22"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r>
      <w:tr w:rsidR="001002C3" w:rsidRPr="005E779E" w14:paraId="5F349055" w14:textId="77777777" w:rsidTr="001C3F77">
        <w:trPr>
          <w:trHeight w:val="245"/>
        </w:trPr>
        <w:tc>
          <w:tcPr>
            <w:tcW w:w="1459" w:type="dxa"/>
            <w:tcBorders>
              <w:top w:val="nil"/>
              <w:left w:val="single" w:sz="8" w:space="0" w:color="auto"/>
              <w:bottom w:val="nil"/>
              <w:right w:val="nil"/>
            </w:tcBorders>
            <w:shd w:val="clear" w:color="auto" w:fill="FFFFFF"/>
            <w:vAlign w:val="center"/>
            <w:hideMark/>
          </w:tcPr>
          <w:p w14:paraId="3D1272DF"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w:t>
            </w:r>
          </w:p>
        </w:tc>
        <w:tc>
          <w:tcPr>
            <w:tcW w:w="595" w:type="dxa"/>
            <w:tcBorders>
              <w:top w:val="nil"/>
              <w:left w:val="single" w:sz="8" w:space="0" w:color="auto"/>
              <w:bottom w:val="nil"/>
              <w:right w:val="nil"/>
            </w:tcBorders>
            <w:shd w:val="clear" w:color="auto" w:fill="FFFFFF"/>
            <w:vAlign w:val="center"/>
            <w:hideMark/>
          </w:tcPr>
          <w:p w14:paraId="07CDB3BA"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1465</w:t>
            </w:r>
          </w:p>
        </w:tc>
        <w:tc>
          <w:tcPr>
            <w:tcW w:w="600" w:type="dxa"/>
            <w:tcBorders>
              <w:top w:val="nil"/>
              <w:left w:val="single" w:sz="8" w:space="0" w:color="auto"/>
              <w:bottom w:val="nil"/>
              <w:right w:val="nil"/>
            </w:tcBorders>
            <w:shd w:val="clear" w:color="auto" w:fill="FFFFFF"/>
            <w:vAlign w:val="center"/>
            <w:hideMark/>
          </w:tcPr>
          <w:p w14:paraId="79748A75"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1234</w:t>
            </w:r>
          </w:p>
        </w:tc>
        <w:tc>
          <w:tcPr>
            <w:tcW w:w="605" w:type="dxa"/>
            <w:tcBorders>
              <w:top w:val="nil"/>
              <w:left w:val="single" w:sz="8" w:space="0" w:color="auto"/>
              <w:bottom w:val="nil"/>
              <w:right w:val="nil"/>
            </w:tcBorders>
            <w:shd w:val="clear" w:color="auto" w:fill="FFFFFF"/>
            <w:vAlign w:val="center"/>
            <w:hideMark/>
          </w:tcPr>
          <w:p w14:paraId="06F0AAEF"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80</w:t>
            </w:r>
          </w:p>
        </w:tc>
        <w:tc>
          <w:tcPr>
            <w:tcW w:w="600" w:type="dxa"/>
            <w:tcBorders>
              <w:top w:val="nil"/>
              <w:left w:val="single" w:sz="8" w:space="0" w:color="auto"/>
              <w:bottom w:val="nil"/>
              <w:right w:val="nil"/>
            </w:tcBorders>
            <w:shd w:val="clear" w:color="auto" w:fill="FFFFFF"/>
            <w:vAlign w:val="center"/>
            <w:hideMark/>
          </w:tcPr>
          <w:p w14:paraId="59DA5330"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w:t>
            </w:r>
          </w:p>
        </w:tc>
        <w:tc>
          <w:tcPr>
            <w:tcW w:w="715" w:type="dxa"/>
            <w:tcBorders>
              <w:top w:val="nil"/>
              <w:left w:val="single" w:sz="8" w:space="0" w:color="auto"/>
              <w:bottom w:val="nil"/>
              <w:right w:val="nil"/>
            </w:tcBorders>
            <w:shd w:val="clear" w:color="auto" w:fill="FFFFFF"/>
            <w:vAlign w:val="center"/>
            <w:hideMark/>
          </w:tcPr>
          <w:p w14:paraId="27B63367"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760</w:t>
            </w:r>
          </w:p>
        </w:tc>
        <w:tc>
          <w:tcPr>
            <w:tcW w:w="600" w:type="dxa"/>
            <w:tcBorders>
              <w:top w:val="nil"/>
              <w:left w:val="single" w:sz="8" w:space="0" w:color="auto"/>
              <w:bottom w:val="nil"/>
              <w:right w:val="nil"/>
            </w:tcBorders>
            <w:shd w:val="clear" w:color="auto" w:fill="FFFFFF"/>
            <w:vAlign w:val="center"/>
            <w:hideMark/>
          </w:tcPr>
          <w:p w14:paraId="13DEBD87"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588</w:t>
            </w:r>
          </w:p>
        </w:tc>
        <w:tc>
          <w:tcPr>
            <w:tcW w:w="605" w:type="dxa"/>
            <w:tcBorders>
              <w:top w:val="nil"/>
              <w:left w:val="single" w:sz="8" w:space="0" w:color="auto"/>
              <w:bottom w:val="nil"/>
              <w:right w:val="nil"/>
            </w:tcBorders>
            <w:shd w:val="clear" w:color="auto" w:fill="FFFFFF"/>
            <w:vAlign w:val="center"/>
            <w:hideMark/>
          </w:tcPr>
          <w:p w14:paraId="6319A5FA"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77</w:t>
            </w:r>
          </w:p>
        </w:tc>
        <w:tc>
          <w:tcPr>
            <w:tcW w:w="605" w:type="dxa"/>
            <w:tcBorders>
              <w:top w:val="nil"/>
              <w:left w:val="single" w:sz="8" w:space="0" w:color="auto"/>
              <w:bottom w:val="nil"/>
              <w:right w:val="single" w:sz="8" w:space="0" w:color="auto"/>
            </w:tcBorders>
            <w:shd w:val="clear" w:color="auto" w:fill="FFFFFF"/>
            <w:vAlign w:val="center"/>
            <w:hideMark/>
          </w:tcPr>
          <w:p w14:paraId="6A016207"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68</w:t>
            </w:r>
          </w:p>
        </w:tc>
        <w:tc>
          <w:tcPr>
            <w:tcW w:w="6" w:type="dxa"/>
            <w:tcBorders>
              <w:top w:val="nil"/>
              <w:left w:val="nil"/>
              <w:bottom w:val="nil"/>
              <w:right w:val="nil"/>
            </w:tcBorders>
            <w:shd w:val="clear" w:color="auto" w:fill="FFFFFF"/>
            <w:vAlign w:val="center"/>
            <w:hideMark/>
          </w:tcPr>
          <w:p w14:paraId="521A8A32"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r>
      <w:tr w:rsidR="001002C3" w:rsidRPr="005E779E" w14:paraId="6D87EFF0" w14:textId="77777777" w:rsidTr="001C3F77">
        <w:trPr>
          <w:trHeight w:val="418"/>
        </w:trPr>
        <w:tc>
          <w:tcPr>
            <w:tcW w:w="6384" w:type="dxa"/>
            <w:gridSpan w:val="9"/>
            <w:vMerge w:val="restart"/>
            <w:tcBorders>
              <w:top w:val="nil"/>
              <w:left w:val="single" w:sz="8" w:space="0" w:color="auto"/>
              <w:bottom w:val="single" w:sz="8" w:space="0" w:color="auto"/>
              <w:right w:val="single" w:sz="8" w:space="0" w:color="auto"/>
            </w:tcBorders>
            <w:shd w:val="clear" w:color="auto" w:fill="FFFFFF"/>
            <w:hideMark/>
          </w:tcPr>
          <w:p w14:paraId="7E91E37E"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В июле 1931 г. трест был передан в состав Орудийно-арсенального объеди</w:t>
            </w:r>
            <w:r w:rsidRPr="005E779E">
              <w:rPr>
                <w:rFonts w:ascii="Times New Roman" w:hAnsi="Times New Roman"/>
                <w:color w:val="000000" w:themeColor="text1"/>
                <w:sz w:val="16"/>
                <w:szCs w:val="16"/>
              </w:rPr>
              <w:softHyphen/>
              <w:t>нения.</w:t>
            </w:r>
          </w:p>
          <w:p w14:paraId="3DD15814"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ВАО 7 декабря 1931 г. было преобразовано в Главное управление авиационной промышленности (ГУАП).</w:t>
            </w:r>
          </w:p>
          <w:p w14:paraId="232CC21F"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Образован 20 марта 1931 г.</w:t>
            </w:r>
          </w:p>
        </w:tc>
        <w:tc>
          <w:tcPr>
            <w:tcW w:w="6" w:type="dxa"/>
            <w:tcBorders>
              <w:top w:val="nil"/>
              <w:left w:val="nil"/>
              <w:bottom w:val="nil"/>
              <w:right w:val="nil"/>
            </w:tcBorders>
            <w:shd w:val="clear" w:color="auto" w:fill="FFFFFF"/>
            <w:vAlign w:val="center"/>
            <w:hideMark/>
          </w:tcPr>
          <w:p w14:paraId="071FE459"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r>
      <w:tr w:rsidR="001002C3" w:rsidRPr="005E779E" w14:paraId="42DF19B6" w14:textId="77777777" w:rsidTr="001C3F77">
        <w:trPr>
          <w:trHeight w:val="706"/>
        </w:trPr>
        <w:tc>
          <w:tcPr>
            <w:tcW w:w="0" w:type="auto"/>
            <w:gridSpan w:val="9"/>
            <w:vMerge/>
            <w:tcBorders>
              <w:top w:val="nil"/>
              <w:left w:val="single" w:sz="8" w:space="0" w:color="auto"/>
              <w:bottom w:val="single" w:sz="8" w:space="0" w:color="auto"/>
              <w:right w:val="single" w:sz="8" w:space="0" w:color="auto"/>
            </w:tcBorders>
            <w:shd w:val="clear" w:color="auto" w:fill="FFFFFF"/>
            <w:vAlign w:val="center"/>
            <w:hideMark/>
          </w:tcPr>
          <w:p w14:paraId="130CC094" w14:textId="77777777" w:rsidR="00E65C7F" w:rsidRPr="005E779E" w:rsidRDefault="00E65C7F" w:rsidP="000B7A6C">
            <w:pPr>
              <w:spacing w:after="0" w:line="240" w:lineRule="auto"/>
              <w:jc w:val="both"/>
              <w:rPr>
                <w:rFonts w:ascii="Times New Roman" w:hAnsi="Times New Roman"/>
                <w:color w:val="000000" w:themeColor="text1"/>
                <w:sz w:val="16"/>
                <w:szCs w:val="16"/>
              </w:rPr>
            </w:pPr>
          </w:p>
        </w:tc>
        <w:tc>
          <w:tcPr>
            <w:tcW w:w="6" w:type="dxa"/>
            <w:tcBorders>
              <w:top w:val="nil"/>
              <w:left w:val="nil"/>
              <w:bottom w:val="nil"/>
              <w:right w:val="nil"/>
            </w:tcBorders>
            <w:shd w:val="clear" w:color="auto" w:fill="FFFFFF"/>
            <w:vAlign w:val="center"/>
            <w:hideMark/>
          </w:tcPr>
          <w:p w14:paraId="6B44A0F0"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r>
    </w:tbl>
    <w:p w14:paraId="03EA4525" w14:textId="77777777" w:rsidR="00E65C7F" w:rsidRPr="005E779E" w:rsidRDefault="00E65C7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Вместо 19,6% снижения себестоимости по плану было достигну</w:t>
      </w:r>
      <w:r w:rsidRPr="005E779E">
        <w:rPr>
          <w:rFonts w:ascii="Times New Roman" w:hAnsi="Times New Roman"/>
          <w:color w:val="000000" w:themeColor="text1"/>
          <w:sz w:val="16"/>
          <w:szCs w:val="16"/>
        </w:rPr>
        <w:softHyphen/>
        <w:t>то только 8,7%. Существенно выросла сумма незавершенного про</w:t>
      </w:r>
      <w:r w:rsidRPr="005E779E">
        <w:rPr>
          <w:rFonts w:ascii="Times New Roman" w:hAnsi="Times New Roman"/>
          <w:color w:val="000000" w:themeColor="text1"/>
          <w:sz w:val="16"/>
          <w:szCs w:val="16"/>
        </w:rPr>
        <w:softHyphen/>
        <w:t>изводства. Если на 1 января 1931 г. она оставляла 309,6 млн руб., то [182] на 1 января 1932 г. - 540,3 млн руб. Долги предприятий граждан</w:t>
      </w:r>
      <w:r w:rsidRPr="005E779E">
        <w:rPr>
          <w:rFonts w:ascii="Times New Roman" w:hAnsi="Times New Roman"/>
          <w:color w:val="000000" w:themeColor="text1"/>
          <w:sz w:val="16"/>
          <w:szCs w:val="16"/>
        </w:rPr>
        <w:softHyphen/>
        <w:t>ской промышленности военным заводам составили 52,5 млн руб., а тех, в свою очередь, - 126,8 млн руб. Это был несомненный при</w:t>
      </w:r>
      <w:r w:rsidRPr="005E779E">
        <w:rPr>
          <w:rFonts w:ascii="Times New Roman" w:hAnsi="Times New Roman"/>
          <w:color w:val="000000" w:themeColor="text1"/>
          <w:sz w:val="16"/>
          <w:szCs w:val="16"/>
        </w:rPr>
        <w:softHyphen/>
        <w:t>знак расстройства, Убыток военной промышленности составил 68,9 млн руб. (18393).</w:t>
      </w:r>
    </w:p>
    <w:p w14:paraId="4D6B50BE" w14:textId="77777777" w:rsidR="00E65C7F" w:rsidRPr="005E779E" w:rsidRDefault="00E65C7F" w:rsidP="000B7A6C">
      <w:pPr>
        <w:spacing w:after="0" w:line="240" w:lineRule="auto"/>
        <w:jc w:val="both"/>
        <w:rPr>
          <w:rFonts w:ascii="Times New Roman" w:hAnsi="Times New Roman"/>
          <w:color w:val="000000" w:themeColor="text1"/>
          <w:sz w:val="16"/>
          <w:szCs w:val="16"/>
        </w:rPr>
      </w:pPr>
    </w:p>
    <w:p w14:paraId="29055A9F"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4D72582F"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6ADD5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марте 1931 г. в Москву прибыли два первых мотора М-22, сделанные в Запорожье. Оказалось, что их габариты и посадочные места не соответствуют французскому оригиналу. На И-5 пришлось переделывать мотораму и капот. Но поставки М-22 до конца года оставались мизерными, большая часть истребителей комплектовалась французскими двигателями (11997).</w:t>
      </w:r>
    </w:p>
    <w:p w14:paraId="45E15B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18465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марте 1931 ЦАГИ в письме УВВС получил требования к одномоторному двухместному истребителю ДИ-3 (АНТ-15) - цельнометаллическому биплану с М-34. Из-за загруженности большими машинами делать не стали и заказ на ДИ-3 передали в ЦКБ и проектировал Д.П.Г. (2072,63).</w:t>
      </w:r>
    </w:p>
    <w:p w14:paraId="7F3807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393AE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марте 1931 по распоряжению Нач. УВВС в план ЦАГИ на 1932 включили создание стального АНТ-16 - ТБ-4бис с уменьшенной несущей поверхностью и в течение года по этой теме была НИР (7388, 10).</w:t>
      </w:r>
    </w:p>
    <w:p w14:paraId="73A72F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FC58B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марте 1931 по инициативе УВВС прошло совещание, на котором четко определили сроки и исполнителей работы по перределки АНТ-9 в бомбардировщик (10542,30).</w:t>
      </w:r>
    </w:p>
    <w:p w14:paraId="088660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62A6F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марте 1931 НИИ ВВС пытался получить на заводе № 22 башни от Р-6 для установки под крыльями ТБ-3, но там отказали - башен не хватало даже на первую серию «крейсеров». Так до июля ни одной и не получили (8887).</w:t>
      </w:r>
    </w:p>
    <w:p w14:paraId="4510CE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0CB8D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марте 1931 ФС передали от Ришара в ЦКБ вместе с В.Б.Шавровым. На техсовете решили унифицировать и в июле утвердили проект 28/29 по плану Морского отдела. Строили в ЗОК НИИ ГВФ (92,445).</w:t>
      </w:r>
    </w:p>
    <w:p w14:paraId="0BFC7A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FF5DC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марте 1931 в НИИ ГВФ прошли гос. испытания К-6 К.А.К. Скорость оказалась 210 км/час по сравнению с заявленной 240 км/час. Малая нагрузка делала машину неэкономичной (70,181).</w:t>
      </w:r>
    </w:p>
    <w:p w14:paraId="462AF1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8108B8F" w14:textId="77777777" w:rsidR="00632EC2" w:rsidRPr="005E779E" w:rsidRDefault="00632EC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В марте 1931 Г.И. Трутко отправляет директору завода № 31 П.С. Лысенкову письмо, в ко</w:t>
      </w:r>
      <w:r w:rsidRPr="005E779E">
        <w:rPr>
          <w:rFonts w:ascii="Times New Roman" w:hAnsi="Times New Roman"/>
          <w:color w:val="000000" w:themeColor="text1"/>
          <w:sz w:val="16"/>
          <w:szCs w:val="16"/>
          <w:lang w:eastAsia="ru-RU" w:bidi="ru-RU"/>
        </w:rPr>
        <w:softHyphen/>
        <w:t xml:space="preserve">тором сообщает о плачевном состоянии дел. Еще через месяц, наконец, высылают из Италии почтой в Таганрог 34 чертежа приспособлений к самолету </w:t>
      </w:r>
      <w:r w:rsidRPr="005E779E">
        <w:rPr>
          <w:rFonts w:ascii="Times New Roman" w:hAnsi="Times New Roman"/>
          <w:color w:val="000000" w:themeColor="text1"/>
          <w:sz w:val="16"/>
          <w:szCs w:val="16"/>
          <w:lang w:val="en-US" w:bidi="en-US"/>
        </w:rPr>
        <w:t>S</w:t>
      </w:r>
      <w:r w:rsidRPr="005E779E">
        <w:rPr>
          <w:rFonts w:ascii="Times New Roman" w:hAnsi="Times New Roman"/>
          <w:color w:val="000000" w:themeColor="text1"/>
          <w:sz w:val="16"/>
          <w:szCs w:val="16"/>
          <w:lang w:bidi="en-US"/>
        </w:rPr>
        <w:t>-62</w:t>
      </w:r>
      <w:r w:rsidRPr="005E779E">
        <w:rPr>
          <w:rFonts w:ascii="Times New Roman" w:hAnsi="Times New Roman"/>
          <w:color w:val="000000" w:themeColor="text1"/>
          <w:sz w:val="16"/>
          <w:szCs w:val="16"/>
          <w:lang w:val="en-US" w:bidi="en-US"/>
        </w:rPr>
        <w:t>bis</w:t>
      </w:r>
      <w:r w:rsidRPr="005E779E">
        <w:rPr>
          <w:rFonts w:ascii="Times New Roman" w:hAnsi="Times New Roman"/>
          <w:color w:val="000000" w:themeColor="text1"/>
          <w:sz w:val="16"/>
          <w:szCs w:val="16"/>
          <w:lang w:bidi="en-US"/>
        </w:rPr>
        <w:t xml:space="preserve"> </w:t>
      </w:r>
      <w:r w:rsidRPr="005E779E">
        <w:rPr>
          <w:rFonts w:ascii="Times New Roman" w:hAnsi="Times New Roman"/>
          <w:color w:val="000000" w:themeColor="text1"/>
          <w:sz w:val="16"/>
          <w:szCs w:val="16"/>
          <w:lang w:eastAsia="ru-RU" w:bidi="ru-RU"/>
        </w:rPr>
        <w:t>и 112 черте</w:t>
      </w:r>
      <w:r w:rsidRPr="005E779E">
        <w:rPr>
          <w:rFonts w:ascii="Times New Roman" w:hAnsi="Times New Roman"/>
          <w:color w:val="000000" w:themeColor="text1"/>
          <w:sz w:val="16"/>
          <w:szCs w:val="16"/>
          <w:lang w:eastAsia="ru-RU" w:bidi="ru-RU"/>
        </w:rPr>
        <w:softHyphen/>
        <w:t>жей лодки самолета. Причем надписи на чертежах и сопро</w:t>
      </w:r>
      <w:r w:rsidRPr="005E779E">
        <w:rPr>
          <w:rFonts w:ascii="Times New Roman" w:hAnsi="Times New Roman"/>
          <w:color w:val="000000" w:themeColor="text1"/>
          <w:sz w:val="16"/>
          <w:szCs w:val="16"/>
          <w:lang w:eastAsia="ru-RU" w:bidi="ru-RU"/>
        </w:rPr>
        <w:softHyphen/>
        <w:t>вождающие документы — на итальянском языке.</w:t>
      </w:r>
    </w:p>
    <w:p w14:paraId="1DC6ACA4" w14:textId="77777777" w:rsidR="00632EC2" w:rsidRPr="005E779E" w:rsidRDefault="00632EC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В своем ответном письме в Италию директор завода за</w:t>
      </w:r>
      <w:r w:rsidRPr="005E779E">
        <w:rPr>
          <w:rFonts w:ascii="Times New Roman" w:hAnsi="Times New Roman"/>
          <w:color w:val="000000" w:themeColor="text1"/>
          <w:sz w:val="16"/>
          <w:szCs w:val="16"/>
          <w:lang w:eastAsia="ru-RU" w:bidi="ru-RU"/>
        </w:rPr>
        <w:softHyphen/>
        <w:t>дает вопросы, ответы на которые желательно знать хотя бы в общих чертах: «А именно, каким порядком производит</w:t>
      </w:r>
      <w:r w:rsidRPr="005E779E">
        <w:rPr>
          <w:rFonts w:ascii="Times New Roman" w:hAnsi="Times New Roman"/>
          <w:color w:val="000000" w:themeColor="text1"/>
          <w:sz w:val="16"/>
          <w:szCs w:val="16"/>
          <w:lang w:eastAsia="ru-RU" w:bidi="ru-RU"/>
        </w:rPr>
        <w:softHyphen/>
        <w:t>ся сборка лодки на стапели — вверх днищем или вниз, хо</w:t>
      </w:r>
      <w:r w:rsidRPr="005E779E">
        <w:rPr>
          <w:rFonts w:ascii="Times New Roman" w:hAnsi="Times New Roman"/>
          <w:color w:val="000000" w:themeColor="text1"/>
          <w:sz w:val="16"/>
          <w:szCs w:val="16"/>
          <w:lang w:eastAsia="ru-RU" w:bidi="ru-RU"/>
        </w:rPr>
        <w:softHyphen/>
        <w:t>тя бы принципиальную конструкцию стапеля лодки, весо</w:t>
      </w:r>
      <w:r w:rsidRPr="005E779E">
        <w:rPr>
          <w:rFonts w:ascii="Times New Roman" w:hAnsi="Times New Roman"/>
          <w:color w:val="000000" w:themeColor="text1"/>
          <w:sz w:val="16"/>
          <w:szCs w:val="16"/>
          <w:lang w:eastAsia="ru-RU" w:bidi="ru-RU"/>
        </w:rPr>
        <w:softHyphen/>
        <w:t>вые данные лодки, техпроцесс сборки шпангоутов носо</w:t>
      </w:r>
      <w:r w:rsidRPr="005E779E">
        <w:rPr>
          <w:rFonts w:ascii="Times New Roman" w:hAnsi="Times New Roman"/>
          <w:color w:val="000000" w:themeColor="text1"/>
          <w:sz w:val="16"/>
          <w:szCs w:val="16"/>
          <w:lang w:eastAsia="ru-RU" w:bidi="ru-RU"/>
        </w:rPr>
        <w:softHyphen/>
        <w:t>вой части, механические свойства дерева, состав клея и порядок склейки полотна на кромки крыла» и т.д. Всего 16 вопросов. Но они остаются без ответа.</w:t>
      </w:r>
    </w:p>
    <w:p w14:paraId="69D9D230" w14:textId="77777777" w:rsidR="00632EC2" w:rsidRPr="005E779E" w:rsidRDefault="00632EC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Однако план висел над заводом дамокловым мечом, и за него придется отчитываться. Поэтому на свой страх и риск директор приказал обмерить образцовую «Савойю», снять с нее чертежи и по ним запустить в производство ус</w:t>
      </w:r>
      <w:r w:rsidRPr="005E779E">
        <w:rPr>
          <w:rFonts w:ascii="Times New Roman" w:hAnsi="Times New Roman"/>
          <w:color w:val="000000" w:themeColor="text1"/>
          <w:sz w:val="16"/>
          <w:szCs w:val="16"/>
          <w:lang w:eastAsia="ru-RU" w:bidi="ru-RU"/>
        </w:rPr>
        <w:softHyphen/>
        <w:t>тановочную серию из пяти самолетов. К апрелю их уже на</w:t>
      </w:r>
      <w:r w:rsidRPr="005E779E">
        <w:rPr>
          <w:rFonts w:ascii="Times New Roman" w:hAnsi="Times New Roman"/>
          <w:color w:val="000000" w:themeColor="text1"/>
          <w:sz w:val="16"/>
          <w:szCs w:val="16"/>
          <w:lang w:eastAsia="ru-RU" w:bidi="ru-RU"/>
        </w:rPr>
        <w:softHyphen/>
        <w:t>чали собирать.</w:t>
      </w:r>
    </w:p>
    <w:p w14:paraId="646167A2" w14:textId="77777777" w:rsidR="00632EC2" w:rsidRPr="005E779E" w:rsidRDefault="00632EC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На первой серии самолетов завода №31 по сравнению с прототипом изменили расположение бензобаков (не попарно в три ряда, а четыре плюс два), аккумуляторов, фотоаппарата, радиостанции и ящика с неприкосновенным запасом. На плоскостях должны были размещаться толь</w:t>
      </w:r>
      <w:r w:rsidRPr="005E779E">
        <w:rPr>
          <w:rFonts w:ascii="Times New Roman" w:hAnsi="Times New Roman"/>
          <w:color w:val="000000" w:themeColor="text1"/>
          <w:sz w:val="16"/>
          <w:szCs w:val="16"/>
          <w:lang w:eastAsia="ru-RU" w:bidi="ru-RU"/>
        </w:rPr>
        <w:softHyphen/>
        <w:t>ко восемь балочных держателей Дер-7.</w:t>
      </w:r>
    </w:p>
    <w:p w14:paraId="07D196C9" w14:textId="77777777" w:rsidR="00632EC2" w:rsidRPr="005E779E" w:rsidRDefault="00632EC2" w:rsidP="000B7A6C">
      <w:pPr>
        <w:spacing w:after="0" w:line="240" w:lineRule="auto"/>
        <w:jc w:val="both"/>
        <w:rPr>
          <w:rFonts w:ascii="Times New Roman" w:hAnsi="Times New Roman"/>
          <w:color w:val="000000" w:themeColor="text1"/>
          <w:sz w:val="16"/>
          <w:szCs w:val="16"/>
          <w:lang w:eastAsia="ru-RU" w:bidi="ru-RU"/>
        </w:rPr>
      </w:pPr>
      <w:r w:rsidRPr="005E779E">
        <w:rPr>
          <w:rFonts w:ascii="Times New Roman" w:hAnsi="Times New Roman"/>
          <w:color w:val="000000" w:themeColor="text1"/>
          <w:sz w:val="16"/>
          <w:szCs w:val="16"/>
          <w:lang w:eastAsia="ru-RU" w:bidi="ru-RU"/>
        </w:rPr>
        <w:t>Однако постройка серии лодок без нормальной докумен</w:t>
      </w:r>
      <w:r w:rsidRPr="005E779E">
        <w:rPr>
          <w:rFonts w:ascii="Times New Roman" w:hAnsi="Times New Roman"/>
          <w:color w:val="000000" w:themeColor="text1"/>
          <w:sz w:val="16"/>
          <w:szCs w:val="16"/>
          <w:lang w:eastAsia="ru-RU" w:bidi="ru-RU"/>
        </w:rPr>
        <w:softHyphen/>
        <w:t>тации, только по образцу, оказалась делом непростым. Многое приходилось подгонять «по месту» и неоднократно переделывать. Положение еще осложнялось тем, что за</w:t>
      </w:r>
      <w:r w:rsidRPr="005E779E">
        <w:rPr>
          <w:rFonts w:ascii="Times New Roman" w:hAnsi="Times New Roman"/>
          <w:color w:val="000000" w:themeColor="text1"/>
          <w:sz w:val="16"/>
          <w:szCs w:val="16"/>
          <w:lang w:eastAsia="ru-RU" w:bidi="ru-RU"/>
        </w:rPr>
        <w:softHyphen/>
        <w:t>казчик пока не совсем четко представлял себе, что же он хочет получить. Так, в июне завод еще не получил ут</w:t>
      </w:r>
      <w:r w:rsidRPr="005E779E">
        <w:rPr>
          <w:rFonts w:ascii="Times New Roman" w:hAnsi="Times New Roman"/>
          <w:color w:val="000000" w:themeColor="text1"/>
          <w:sz w:val="16"/>
          <w:szCs w:val="16"/>
          <w:lang w:eastAsia="ru-RU" w:bidi="ru-RU"/>
        </w:rPr>
        <w:softHyphen/>
        <w:t>вержденной схемы размещения оборудования и вооруже</w:t>
      </w:r>
      <w:r w:rsidRPr="005E779E">
        <w:rPr>
          <w:rFonts w:ascii="Times New Roman" w:hAnsi="Times New Roman"/>
          <w:color w:val="000000" w:themeColor="text1"/>
          <w:sz w:val="16"/>
          <w:szCs w:val="16"/>
          <w:lang w:eastAsia="ru-RU" w:bidi="ru-RU"/>
        </w:rPr>
        <w:softHyphen/>
        <w:t>ния и монтировал его по собственному усмотрению. Да</w:t>
      </w:r>
      <w:r w:rsidRPr="005E779E">
        <w:rPr>
          <w:rFonts w:ascii="Times New Roman" w:hAnsi="Times New Roman"/>
          <w:color w:val="000000" w:themeColor="text1"/>
          <w:sz w:val="16"/>
          <w:szCs w:val="16"/>
          <w:lang w:eastAsia="ru-RU" w:bidi="ru-RU"/>
        </w:rPr>
        <w:softHyphen/>
        <w:t>же через полгода после начала постройки ни одной лета</w:t>
      </w:r>
      <w:r w:rsidRPr="005E779E">
        <w:rPr>
          <w:rFonts w:ascii="Times New Roman" w:hAnsi="Times New Roman"/>
          <w:color w:val="000000" w:themeColor="text1"/>
          <w:sz w:val="16"/>
          <w:szCs w:val="16"/>
          <w:lang w:eastAsia="ru-RU" w:bidi="ru-RU"/>
        </w:rPr>
        <w:softHyphen/>
        <w:t>ющей лодки завершить не удалось (20325).</w:t>
      </w:r>
    </w:p>
    <w:p w14:paraId="0E9243D6" w14:textId="77777777" w:rsidR="00632EC2" w:rsidRPr="005E779E" w:rsidRDefault="00632EC2" w:rsidP="000B7A6C">
      <w:pPr>
        <w:spacing w:after="0" w:line="240" w:lineRule="auto"/>
        <w:jc w:val="both"/>
        <w:rPr>
          <w:rFonts w:ascii="Times New Roman" w:hAnsi="Times New Roman"/>
          <w:color w:val="000000" w:themeColor="text1"/>
          <w:sz w:val="16"/>
          <w:szCs w:val="16"/>
        </w:rPr>
      </w:pPr>
    </w:p>
    <w:p w14:paraId="789112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марте 1931 появилась статья в "Радянски крила" и две заметки о врагах на харьковском заводе (70,185).</w:t>
      </w:r>
    </w:p>
    <w:p w14:paraId="70724D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C0CEC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марте 1931 года согласно Технико-экономическому паспорту на базе Научно-исследовательского бюро ИГВФ (НИБа ИГВФ) и лабораторий Института ГВФ был создан Научно-исследовательский аэроинститут при Ленинградском учебном комбинате ГВФ (Научно-исследовательский аэроинститут УК ГВФ). Научно-исследовательское бюро создано 15 июня 1930 года на базе секции воздушных сообщений НИИ Ленинградского института инженеров путей сообщения, существовавшей с 1928/29 учебного года.</w:t>
      </w:r>
    </w:p>
    <w:p w14:paraId="46E071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Адрес: Ленинград, ул. Плеханова, 7</w:t>
      </w:r>
    </w:p>
    <w:p w14:paraId="2B5C0A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Проектирование и строительство воздушных портов, светооборудование, эксплуатация и изыскание воздушных линий, аэрология и аэронавигация, экономика воздушного транспорта, связь, воздушное право, авиационная медицина, аэродинамика, авиационные двигатели, авиационные материалы, самолетостроение, воздухоплавание (7726, 70-95).</w:t>
      </w:r>
    </w:p>
    <w:p w14:paraId="05005A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9A5C3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марте 1931 состоялся взлет У-1 с пороховыми ускорителями. Разработали инженеры В.И.Дудаков и В.А.Константинов, летчик С.И.Мухин. Время разбега - 1.5 с (62,690). По другим данным работу проводили нач. ГДЛ Б.С.Петропавловский, В.А.Артемьев, Е.С.Петров и И.И.Кулагин. Длина разбега сокращалась в 5-6 раз, иногда включали в полете.</w:t>
      </w:r>
    </w:p>
    <w:p w14:paraId="673995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7295B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марте 1931 были готовы чертежи М-34 (80,72).</w:t>
      </w:r>
    </w:p>
    <w:p w14:paraId="78A3E9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3508C2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 марте 1931 г. проектирование двигате</w:t>
      </w:r>
      <w:r w:rsidRPr="005E779E">
        <w:rPr>
          <w:rFonts w:ascii="Times New Roman" w:hAnsi="Times New Roman"/>
          <w:color w:val="000000" w:themeColor="text1"/>
          <w:sz w:val="16"/>
          <w:szCs w:val="16"/>
        </w:rPr>
        <w:softHyphen/>
        <w:t>ля М-34 закончили. У ИАМ своего опытного про</w:t>
      </w:r>
      <w:r w:rsidRPr="005E779E">
        <w:rPr>
          <w:rFonts w:ascii="Times New Roman" w:hAnsi="Times New Roman"/>
          <w:color w:val="000000" w:themeColor="text1"/>
          <w:sz w:val="16"/>
          <w:szCs w:val="16"/>
        </w:rPr>
        <w:softHyphen/>
        <w:t>изводства тогда еще не име</w:t>
      </w:r>
      <w:r w:rsidRPr="005E779E">
        <w:rPr>
          <w:rFonts w:ascii="Times New Roman" w:hAnsi="Times New Roman"/>
          <w:color w:val="000000" w:themeColor="text1"/>
          <w:sz w:val="16"/>
          <w:szCs w:val="16"/>
        </w:rPr>
        <w:softHyphen/>
        <w:t>лось, поэтому чертежи передавали заводу № 26 в Рыбинске для изготов</w:t>
      </w:r>
      <w:r w:rsidRPr="005E779E">
        <w:rPr>
          <w:rFonts w:ascii="Times New Roman" w:hAnsi="Times New Roman"/>
          <w:color w:val="000000" w:themeColor="text1"/>
          <w:sz w:val="16"/>
          <w:szCs w:val="16"/>
        </w:rPr>
        <w:softHyphen/>
        <w:t>ления трех опытных образ</w:t>
      </w:r>
      <w:r w:rsidRPr="005E779E">
        <w:rPr>
          <w:rFonts w:ascii="Times New Roman" w:hAnsi="Times New Roman"/>
          <w:color w:val="000000" w:themeColor="text1"/>
          <w:sz w:val="16"/>
          <w:szCs w:val="16"/>
        </w:rPr>
        <w:softHyphen/>
        <w:t>цов. Позже дали заказ еще на три. Отдельные детали заказали на за</w:t>
      </w:r>
      <w:r w:rsidRPr="005E779E">
        <w:rPr>
          <w:rFonts w:ascii="Times New Roman" w:hAnsi="Times New Roman"/>
          <w:color w:val="000000" w:themeColor="text1"/>
          <w:sz w:val="16"/>
          <w:szCs w:val="16"/>
        </w:rPr>
        <w:softHyphen/>
        <w:t>водах № 24 в Москве и № 29 в Запорожье. В Рыбинске долго не могли освоить литье блока и карте</w:t>
      </w:r>
      <w:r w:rsidRPr="005E779E">
        <w:rPr>
          <w:rFonts w:ascii="Times New Roman" w:hAnsi="Times New Roman"/>
          <w:color w:val="000000" w:themeColor="text1"/>
          <w:sz w:val="16"/>
          <w:szCs w:val="16"/>
        </w:rPr>
        <w:softHyphen/>
        <w:t>ра. В качестве промежуточного ва</w:t>
      </w:r>
      <w:r w:rsidRPr="005E779E">
        <w:rPr>
          <w:rFonts w:ascii="Times New Roman" w:hAnsi="Times New Roman"/>
          <w:color w:val="000000" w:themeColor="text1"/>
          <w:sz w:val="16"/>
          <w:szCs w:val="16"/>
        </w:rPr>
        <w:softHyphen/>
        <w:t>рианта первый изготовленный блок приспособили к картеру немецкого двигателя Юнкере 15. На этой экс</w:t>
      </w:r>
      <w:r w:rsidRPr="005E779E">
        <w:rPr>
          <w:rFonts w:ascii="Times New Roman" w:hAnsi="Times New Roman"/>
          <w:color w:val="000000" w:themeColor="text1"/>
          <w:sz w:val="16"/>
          <w:szCs w:val="16"/>
        </w:rPr>
        <w:softHyphen/>
        <w:t>периментальной установке собира</w:t>
      </w:r>
      <w:r w:rsidRPr="005E779E">
        <w:rPr>
          <w:rFonts w:ascii="Times New Roman" w:hAnsi="Times New Roman"/>
          <w:color w:val="000000" w:themeColor="text1"/>
          <w:sz w:val="16"/>
          <w:szCs w:val="16"/>
        </w:rPr>
        <w:softHyphen/>
        <w:t>лись опробовать цилиндро-поршневую группу. 28 января 1931 г. ее ус</w:t>
      </w:r>
      <w:r w:rsidRPr="005E779E">
        <w:rPr>
          <w:rFonts w:ascii="Times New Roman" w:hAnsi="Times New Roman"/>
          <w:color w:val="000000" w:themeColor="text1"/>
          <w:sz w:val="16"/>
          <w:szCs w:val="16"/>
        </w:rPr>
        <w:softHyphen/>
        <w:t>тановили на станок и запустили. При степени сжатия 5,3 (в проекте пре</w:t>
      </w:r>
      <w:r w:rsidRPr="005E779E">
        <w:rPr>
          <w:rFonts w:ascii="Times New Roman" w:hAnsi="Times New Roman"/>
          <w:color w:val="000000" w:themeColor="text1"/>
          <w:sz w:val="16"/>
          <w:szCs w:val="16"/>
        </w:rPr>
        <w:softHyphen/>
        <w:t>дусматривались варианты 5,3 и 6,0) с «половинки» М-34 сняли 300 л.с. (11848).</w:t>
      </w:r>
    </w:p>
    <w:p w14:paraId="041D49D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A5EA1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марте 1931 г. было закончено проектирование М-34. Разрабатывался с 1928 г. сначала в НАМИ, затем в ИАМ (ЦИАМ) под руководством А.А. Микулина. Предназначался на смену М-17 (ВМ</w:t>
      </w:r>
      <w:r w:rsidRPr="005E779E">
        <w:rPr>
          <w:rFonts w:ascii="Times New Roman" w:hAnsi="Times New Roman"/>
          <w:color w:val="000000" w:themeColor="text1"/>
          <w:sz w:val="16"/>
          <w:szCs w:val="16"/>
          <w:lang w:val="en-US"/>
        </w:rPr>
        <w:t>W</w:t>
      </w:r>
      <w:r w:rsidRPr="005E779E">
        <w:rPr>
          <w:rFonts w:ascii="Times New Roman" w:hAnsi="Times New Roman"/>
          <w:color w:val="000000" w:themeColor="text1"/>
          <w:sz w:val="16"/>
          <w:szCs w:val="16"/>
        </w:rPr>
        <w:t xml:space="preserve"> VI) под его размеры и посадочные места, но принципиально отличался по конструкции — являлся блочным (причем впервые использовался блок со свободной гильзой, стянутый шпильками) и с центральным сочленением шатунов. Сборка блока М-34 была простой и удобной. В апреле чертежи передали заводу № 26 для изготовления опытных образцов. 21 сентября первый мотор прибыл на испытания в ЦИАМ с импортными карбюраторами и магнето. После наработки на стенде 38 ч в ноябре 1931 г. велись государственные испыта</w:t>
      </w:r>
      <w:r w:rsidRPr="005E779E">
        <w:rPr>
          <w:rFonts w:ascii="Times New Roman" w:hAnsi="Times New Roman"/>
          <w:color w:val="000000" w:themeColor="text1"/>
          <w:sz w:val="16"/>
          <w:szCs w:val="16"/>
        </w:rPr>
        <w:softHyphen/>
        <w:t>ния. В июле 1932 г. опытный образец М-34 установили на доработанный биплан Р-5, на котором провели летные испытания. В октябре — ноябре 1932 г. проводились повторные государственные стендовые испытания с отечественными карбюраторами 92КД-3 (в серии обозначались К-34), в ходе которых выявили ряд дефектов. При этом был взят мотор 1-й серии, которая позже вся была забракована и использована для учебных целей. В третий раз госиспытания на стенде вели в январе 1933 г., и опять неудачно — двигатель разрушился. В октябре того же года М-34 проходил государственные летные испытания на бомбардировщике ТБ-3. В 1932 г. начали серийный выпуск нового двигателя на заводе № 24 (Москва), к концу года ВВС получили 64 мотора 2-й серии, признанной годной для опытной эксплуатации. За следующий, 1933 г., выпущено было уже 790 экз. В 1934 г. М-34 демонстрировался в Париже как одно из достижений советской авиации. М-34 выпускался на заводе № 24 в большом количестве модификаций. Авиационные моторы закончили вы</w:t>
      </w:r>
      <w:r w:rsidRPr="005E779E">
        <w:rPr>
          <w:rFonts w:ascii="Times New Roman" w:hAnsi="Times New Roman"/>
          <w:color w:val="000000" w:themeColor="text1"/>
          <w:sz w:val="16"/>
          <w:szCs w:val="16"/>
        </w:rPr>
        <w:softHyphen/>
        <w:t>пускать в 1940 г., далее в небольших количествах делали катерные до конца 1942 г. Производство двигателей для торпедных катеров неодно</w:t>
      </w:r>
      <w:r w:rsidRPr="005E779E">
        <w:rPr>
          <w:rFonts w:ascii="Times New Roman" w:hAnsi="Times New Roman"/>
          <w:color w:val="000000" w:themeColor="text1"/>
          <w:sz w:val="16"/>
          <w:szCs w:val="16"/>
        </w:rPr>
        <w:softHyphen/>
        <w:t>кратно пытались восстановить вплоть до 1946 г., но этому мешала боль</w:t>
      </w:r>
      <w:r w:rsidRPr="005E779E">
        <w:rPr>
          <w:rFonts w:ascii="Times New Roman" w:hAnsi="Times New Roman"/>
          <w:color w:val="000000" w:themeColor="text1"/>
          <w:sz w:val="16"/>
          <w:szCs w:val="16"/>
        </w:rPr>
        <w:softHyphen/>
        <w:t>шая загрузка заводов заказами ВВС. Всего было изготовлено 10 538 экз. Позднее различными мастерскими производилась сборка двигателей из комплектов запасных частей и восстановленных деталей. С 9 августа 1936 г. в ознаменование заслуг Микулина двигатель был переименован в АМ-34. Однако на практике и далее пользовались как старым, гак и новым обозначением. Специальные модификации двигателя М-34 применялись на танках, са</w:t>
      </w:r>
      <w:r w:rsidRPr="005E779E">
        <w:rPr>
          <w:rFonts w:ascii="Times New Roman" w:hAnsi="Times New Roman"/>
          <w:color w:val="000000" w:themeColor="text1"/>
          <w:sz w:val="16"/>
          <w:szCs w:val="16"/>
        </w:rPr>
        <w:softHyphen/>
        <w:t>моходных артиллерийских установках, торпедных катерах и речных броне</w:t>
      </w:r>
      <w:r w:rsidRPr="005E779E">
        <w:rPr>
          <w:rFonts w:ascii="Times New Roman" w:hAnsi="Times New Roman"/>
          <w:color w:val="000000" w:themeColor="text1"/>
          <w:sz w:val="16"/>
          <w:szCs w:val="16"/>
        </w:rPr>
        <w:softHyphen/>
        <w:t>катерах.</w:t>
      </w:r>
    </w:p>
    <w:p w14:paraId="62121DF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Характеристики:</w:t>
      </w:r>
    </w:p>
    <w:p w14:paraId="6C13793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12-цилиндровый, рядный У-образный, четырехтактный, водяного охлаждения;</w:t>
      </w:r>
    </w:p>
    <w:p w14:paraId="421D5A6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мощность и вес в зависимости от модификации;</w:t>
      </w:r>
    </w:p>
    <w:p w14:paraId="7B227A0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степень сжатия 6,0 (у всех массовых модификаций);</w:t>
      </w:r>
    </w:p>
    <w:p w14:paraId="74B089D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диаметр цилиндра/ход поршня 160/190 (у модификации ФРН и более поздних в цилиндрах с прицепными шатунами — 196,7 мм);</w:t>
      </w:r>
    </w:p>
    <w:p w14:paraId="33A46CD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полный рабочий объем у ранних модификаций 45,82 л, начиная с</w:t>
      </w:r>
    </w:p>
    <w:p w14:paraId="45F08AC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ФРН — 46,66 л. М-34 выпускался в следующих модификациях:</w:t>
      </w:r>
    </w:p>
    <w:p w14:paraId="3809259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М-34, первая серийная модификация двигателя, безредукторная, 750/800 л.с., 608 кг. Первые серии комплектовались импортными карбюраторами «Зенит 90Р», далее отечественными К-34. Эта моди</w:t>
      </w:r>
      <w:r w:rsidRPr="005E779E">
        <w:rPr>
          <w:rFonts w:ascii="Times New Roman" w:hAnsi="Times New Roman"/>
          <w:color w:val="000000" w:themeColor="text1"/>
          <w:sz w:val="16"/>
          <w:szCs w:val="16"/>
        </w:rPr>
        <w:softHyphen/>
        <w:t>фикация выпускалась до конца 1939 г.</w:t>
      </w:r>
    </w:p>
    <w:p w14:paraId="51F3491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Спаренная установка из двух М-34 с работой на один винт, проект для самолета К-7.</w:t>
      </w:r>
    </w:p>
    <w:p w14:paraId="7D4835F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М-34Ф, малая серия М-34 с форсированием по оборотам без вне</w:t>
      </w:r>
      <w:r w:rsidRPr="005E779E">
        <w:rPr>
          <w:rFonts w:ascii="Times New Roman" w:hAnsi="Times New Roman"/>
          <w:color w:val="000000" w:themeColor="text1"/>
          <w:sz w:val="16"/>
          <w:szCs w:val="16"/>
        </w:rPr>
        <w:softHyphen/>
        <w:t>сения конструктивных изменений, только за счет регулировки, июнь 1933 г., 750/830 л.с.</w:t>
      </w:r>
    </w:p>
    <w:p w14:paraId="564B6E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М-34Р. редукторный вариант, вес 677 кг, 750/800 л.с. Опытный об</w:t>
      </w:r>
      <w:r w:rsidRPr="005E779E">
        <w:rPr>
          <w:rFonts w:ascii="Times New Roman" w:hAnsi="Times New Roman"/>
          <w:color w:val="000000" w:themeColor="text1"/>
          <w:sz w:val="16"/>
          <w:szCs w:val="16"/>
        </w:rPr>
        <w:softHyphen/>
        <w:t>разец сделали в ноябре 1932 г. Государственные испытания успешно</w:t>
      </w:r>
    </w:p>
    <w:p w14:paraId="26EA0E2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прошли в марте — мае 1933 г., серийный выпуск начали с конца того же года. 23 мая 1934 г. на повторных стендовых испытаниях получен ресурс в 500 ч. М-34Р в больших количествах выпускался до конца 1939 г.</w:t>
      </w:r>
    </w:p>
    <w:p w14:paraId="7C2DA2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М-34РД (он же М-34РСп), двигатель типа М-34Р специального за</w:t>
      </w:r>
      <w:r w:rsidRPr="005E779E">
        <w:rPr>
          <w:rFonts w:ascii="Times New Roman" w:hAnsi="Times New Roman"/>
          <w:color w:val="000000" w:themeColor="text1"/>
          <w:sz w:val="16"/>
          <w:szCs w:val="16"/>
        </w:rPr>
        <w:softHyphen/>
        <w:t>каза для рекордных самолетов АНТ-25 (РД), выпущенный в 1934 г. Сделали 20 комплектов деталей, из которых собрали 15 моторов, а сдали 10. Они отличались новыми всасывающими патрубками, мас</w:t>
      </w:r>
      <w:r w:rsidRPr="005E779E">
        <w:rPr>
          <w:rFonts w:ascii="Times New Roman" w:hAnsi="Times New Roman"/>
          <w:color w:val="000000" w:themeColor="text1"/>
          <w:sz w:val="16"/>
          <w:szCs w:val="16"/>
        </w:rPr>
        <w:softHyphen/>
        <w:t>ляными и водяными насосами, распредвалами, конструкцией хво</w:t>
      </w:r>
      <w:r w:rsidRPr="005E779E">
        <w:rPr>
          <w:rFonts w:ascii="Times New Roman" w:hAnsi="Times New Roman"/>
          <w:color w:val="000000" w:themeColor="text1"/>
          <w:sz w:val="16"/>
          <w:szCs w:val="16"/>
        </w:rPr>
        <w:softHyphen/>
        <w:t>стовика коленвала, наличием второго бензонасоса, а также более качественным изготовлением деталей (по другой технологии), мень</w:t>
      </w:r>
      <w:r w:rsidRPr="005E779E">
        <w:rPr>
          <w:rFonts w:ascii="Times New Roman" w:hAnsi="Times New Roman"/>
          <w:color w:val="000000" w:themeColor="text1"/>
          <w:sz w:val="16"/>
          <w:szCs w:val="16"/>
        </w:rPr>
        <w:softHyphen/>
        <w:t>шими допусками, применением для уплотнений высококачественной резины, тщательной регулировкой и карбюраторами К-34РД. За счет небольшого форсирования по оборотам максимальную мощность по</w:t>
      </w:r>
      <w:r w:rsidRPr="005E779E">
        <w:rPr>
          <w:rFonts w:ascii="Times New Roman" w:hAnsi="Times New Roman"/>
          <w:color w:val="000000" w:themeColor="text1"/>
          <w:sz w:val="16"/>
          <w:szCs w:val="16"/>
        </w:rPr>
        <w:softHyphen/>
        <w:t>высили до 830 л.с. Делались два варианта: со степенями сжатия 6,0 и 6,7. Первоначально для большей надежности их хотели укомплек</w:t>
      </w:r>
      <w:r w:rsidRPr="005E779E">
        <w:rPr>
          <w:rFonts w:ascii="Times New Roman" w:hAnsi="Times New Roman"/>
          <w:color w:val="000000" w:themeColor="text1"/>
          <w:sz w:val="16"/>
          <w:szCs w:val="16"/>
        </w:rPr>
        <w:softHyphen/>
        <w:t>товать импортными агрегатами, но получили запрет ГУАП. Позднее выпустили еще около 50 таких моторов для «представительских» ТБ-3, на которых наносились визиты в столицы европейских госу</w:t>
      </w:r>
      <w:r w:rsidRPr="005E779E">
        <w:rPr>
          <w:rFonts w:ascii="Times New Roman" w:hAnsi="Times New Roman"/>
          <w:color w:val="000000" w:themeColor="text1"/>
          <w:sz w:val="16"/>
          <w:szCs w:val="16"/>
        </w:rPr>
        <w:softHyphen/>
        <w:t>дарств.</w:t>
      </w:r>
    </w:p>
    <w:p w14:paraId="7DB327B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М-34Н, безредукторный с ПЦН, проектировался с 1931 г., 750/820 л.с. Первоначально планировали, что мотор пройдет госиспытания к 15 июня 1932 г. Но первый, двухскоростной, нагнетатель, спроекти</w:t>
      </w:r>
      <w:r w:rsidRPr="005E779E">
        <w:rPr>
          <w:rFonts w:ascii="Times New Roman" w:hAnsi="Times New Roman"/>
          <w:color w:val="000000" w:themeColor="text1"/>
          <w:sz w:val="16"/>
          <w:szCs w:val="16"/>
        </w:rPr>
        <w:softHyphen/>
        <w:t>рованный П.И. Орловым, А.А. Микулиным и А.Н. Данилевским, ока</w:t>
      </w:r>
      <w:r w:rsidRPr="005E779E">
        <w:rPr>
          <w:rFonts w:ascii="Times New Roman" w:hAnsi="Times New Roman"/>
          <w:color w:val="000000" w:themeColor="text1"/>
          <w:sz w:val="16"/>
          <w:szCs w:val="16"/>
        </w:rPr>
        <w:softHyphen/>
        <w:t>зался недостаточно надежным. Второй вариант ПЦН, односкоростной, создал Данилевский в ЦИАМ. Государственные испытания на двух опытных экземплярах провели в ноябре 1933 г., серия с сентября 1934 г. Нагнетатель выполнялся в виде отдельного съемного узла и мог монтироваться на моторы других модификаций. Введен карбю</w:t>
      </w:r>
      <w:r w:rsidRPr="005E779E">
        <w:rPr>
          <w:rFonts w:ascii="Times New Roman" w:hAnsi="Times New Roman"/>
          <w:color w:val="000000" w:themeColor="text1"/>
          <w:sz w:val="16"/>
          <w:szCs w:val="16"/>
        </w:rPr>
        <w:softHyphen/>
        <w:t>ратор К-34Б, устанавливавшийся впоследствии на все модификации с ПЦН. Проектировался облегченный вариант (560 кг) с картером из магниевого сплава. В дальнейшем ПЦН хотели сделать отключаемым. В 1934 г. вели переговоры с французскими фирмами «Испано-Сюиза» и «Фарман» о проектировании нового ПЦН для М-34Н. Пытались также приобрести нагнетатели «Рато» (М-34РАТО).</w:t>
      </w:r>
    </w:p>
    <w:p w14:paraId="5D072DB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М-34Н с паротурбинным нагнетателем ПТК; нагнетатель ПТК спро</w:t>
      </w:r>
      <w:r w:rsidRPr="005E779E">
        <w:rPr>
          <w:rFonts w:ascii="Times New Roman" w:hAnsi="Times New Roman"/>
          <w:color w:val="000000" w:themeColor="text1"/>
          <w:sz w:val="16"/>
          <w:szCs w:val="16"/>
        </w:rPr>
        <w:softHyphen/>
        <w:t>ектирован в ХАЙ в 1938 г., доводился в Центральном котлотурбин-ном институте с 1939 г., в 1940 г. двигатель проходил стендовые и летные испытания; серийно не выпускался.</w:t>
      </w:r>
    </w:p>
    <w:p w14:paraId="77725D2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 М-34Н с нагнетателем</w:t>
      </w:r>
    </w:p>
    <w:p w14:paraId="796DD6B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М-34РН, редукторный с ПЦН, малая серия, 750/820 л.с., вес 737,5 кг. По плану предполагалось представить опытный образец на госиспытания к 1 декабря 1932 г. Фактически же первый М-34РН начал заводские ис</w:t>
      </w:r>
      <w:r w:rsidRPr="005E779E">
        <w:rPr>
          <w:rFonts w:ascii="Times New Roman" w:hAnsi="Times New Roman"/>
          <w:color w:val="000000" w:themeColor="text1"/>
          <w:sz w:val="16"/>
          <w:szCs w:val="16"/>
        </w:rPr>
        <w:softHyphen/>
        <w:t>пытания 1 мая 1934 г. Его усовершенствованный вариант предъявили на госиспытания в сентябре, но они закончились неудачно — прогорели поршни. Нагнетатель идентичен использовавшемуся в М-34Н. М-34НА, усовершенствованный вариант М-34Н; мелкие изменения отдельных деталей для увеличения ресурса; 750/820 л.с. М-34РА, аналогичный предыдущей модификации вариант М-34Р с редуктором; 750/820 л.с.</w:t>
      </w:r>
    </w:p>
    <w:p w14:paraId="05D455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М-34РНА, редукторный с ПЦН, включал все мелкие усовер</w:t>
      </w:r>
      <w:r w:rsidRPr="005E779E">
        <w:rPr>
          <w:rFonts w:ascii="Times New Roman" w:hAnsi="Times New Roman"/>
          <w:color w:val="000000" w:themeColor="text1"/>
          <w:sz w:val="16"/>
          <w:szCs w:val="16"/>
        </w:rPr>
        <w:softHyphen/>
        <w:t>шенствования, введенные на типах НА и РА, 750/820 л.с., вес 748 кг. Испытывался на ТБ-3 в мае 1935 г., серия с конца 1935 г. У ранних серий М-34РНА клапаны имели масляное охлаждение.</w:t>
      </w:r>
    </w:p>
    <w:p w14:paraId="3DD54A1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М-34НБ, усовершенствованный вариант типа НА с ужесточенным картером, облегченным коленвалом с измененным носком, дорабо</w:t>
      </w:r>
      <w:r w:rsidRPr="005E779E">
        <w:rPr>
          <w:rFonts w:ascii="Times New Roman" w:hAnsi="Times New Roman"/>
          <w:color w:val="000000" w:themeColor="text1"/>
          <w:sz w:val="16"/>
          <w:szCs w:val="16"/>
        </w:rPr>
        <w:softHyphen/>
        <w:t>танным ПЦН, 750/820 л.с., вес 638 кг.</w:t>
      </w:r>
    </w:p>
    <w:p w14:paraId="3A880F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М-34Н2Б с двумя турбонагнетателями ТК-1 и ПЦН от серийного М-34РН. Новые кованые поршни, четыре карбюратора К-4. Степень сжатия 7,0, мощность по документации 760/950 л.с. (реально полу</w:t>
      </w:r>
      <w:r w:rsidRPr="005E779E">
        <w:rPr>
          <w:rFonts w:ascii="Times New Roman" w:hAnsi="Times New Roman"/>
          <w:color w:val="000000" w:themeColor="text1"/>
          <w:sz w:val="16"/>
          <w:szCs w:val="16"/>
        </w:rPr>
        <w:softHyphen/>
        <w:t>чили 789/1033 л.с.), вес сухой без генератора 689 кг. Испытывался в июле — сентябре 1938 г. на опытном самолете РШ; испытания пре</w:t>
      </w:r>
      <w:r w:rsidRPr="005E779E">
        <w:rPr>
          <w:rFonts w:ascii="Times New Roman" w:hAnsi="Times New Roman"/>
          <w:color w:val="000000" w:themeColor="text1"/>
          <w:sz w:val="16"/>
          <w:szCs w:val="16"/>
        </w:rPr>
        <w:softHyphen/>
        <w:t>кращены из-за неоднократного обрыва лопаток турбины. М-34РНБ, аналогичный типу НБ редукторный вариант с облегченным по сравнению с РНА редуктором, 750/820 л.с., вес 725 кг. Существовал также его опытный вариант с двумя турбонагнетателя</w:t>
      </w:r>
      <w:r w:rsidRPr="005E779E">
        <w:rPr>
          <w:rFonts w:ascii="Times New Roman" w:hAnsi="Times New Roman"/>
          <w:color w:val="000000" w:themeColor="text1"/>
          <w:sz w:val="16"/>
          <w:szCs w:val="16"/>
        </w:rPr>
        <w:softHyphen/>
        <w:t>ми ТК-1, спроектированный В.И. Дмитриевским. М-34РНБ серийно выпускался с октября 1935 г. до конца 1939 г. В ноябре 1939 г. ис</w:t>
      </w:r>
      <w:r w:rsidRPr="005E779E">
        <w:rPr>
          <w:rFonts w:ascii="Times New Roman" w:hAnsi="Times New Roman"/>
          <w:color w:val="000000" w:themeColor="text1"/>
          <w:sz w:val="16"/>
          <w:szCs w:val="16"/>
        </w:rPr>
        <w:softHyphen/>
        <w:t>пытывался вариант этого мотора, форсированный до 900/1000 л.с. М-34П, вариант М-34РН с установкой пушки в развале цилиндров со стрельбой через полый вал редуктора. Задание было выдано в августе 1934 г. Информации о постройке опытных образцов нет. Установка из двух М-34, из которых один работал на винт, а вто</w:t>
      </w:r>
      <w:r w:rsidRPr="005E779E">
        <w:rPr>
          <w:rFonts w:ascii="Times New Roman" w:hAnsi="Times New Roman"/>
          <w:color w:val="000000" w:themeColor="text1"/>
          <w:sz w:val="16"/>
          <w:szCs w:val="16"/>
        </w:rPr>
        <w:softHyphen/>
        <w:t>рой вращал мощный нагнетатель. Проектировалась в марте 1934 г. в Военно-воздушной академии для стратосферного самолета. М-34, работавший на топливе с добавкой газообразного водорода, ис</w:t>
      </w:r>
      <w:r w:rsidRPr="005E779E">
        <w:rPr>
          <w:rFonts w:ascii="Times New Roman" w:hAnsi="Times New Roman"/>
          <w:color w:val="000000" w:themeColor="text1"/>
          <w:sz w:val="16"/>
          <w:szCs w:val="16"/>
        </w:rPr>
        <w:softHyphen/>
        <w:t>пытывался в ЦИАМ во второй половине 30-х годов. М-34СО, опытный образец, испытывавшийся в марте 1936 г. со сме</w:t>
      </w:r>
      <w:r w:rsidRPr="005E779E">
        <w:rPr>
          <w:rFonts w:ascii="Times New Roman" w:hAnsi="Times New Roman"/>
          <w:color w:val="000000" w:themeColor="text1"/>
          <w:sz w:val="16"/>
          <w:szCs w:val="16"/>
        </w:rPr>
        <w:softHyphen/>
        <w:t>шанным охлаждением: гильзы — воздухом, головки — этиленглико-лем. На испытаниях получена мощность 1050 л.с. М-34РСО, проект 1937 г., развитие преды</w:t>
      </w:r>
      <w:r w:rsidRPr="005E779E">
        <w:rPr>
          <w:rFonts w:ascii="Times New Roman" w:hAnsi="Times New Roman"/>
          <w:color w:val="000000" w:themeColor="text1"/>
          <w:sz w:val="16"/>
          <w:szCs w:val="16"/>
        </w:rPr>
        <w:softHyphen/>
        <w:t>дущего типа с редуктором, 1050/1200 л.с. М-34НВ, опытный, с непосредственным впрыском топлива, 985 л.с. Система впры</w:t>
      </w:r>
      <w:r w:rsidRPr="005E779E">
        <w:rPr>
          <w:rFonts w:ascii="Times New Roman" w:hAnsi="Times New Roman"/>
          <w:color w:val="000000" w:themeColor="text1"/>
          <w:sz w:val="16"/>
          <w:szCs w:val="16"/>
        </w:rPr>
        <w:softHyphen/>
        <w:t>ска создана С.А. Косбергом и Н.П. Сер-дюковым в ЦИАМ в 1934 г. Двигатель прошел 60-часовые стендовые испытания в 1935 г. и летные испытания на Р-Зет и ТБ-3 в 1937 г. Серийно не выпускался. М-34РНВ, опытный образец, аналогичен предыдущему типу, но оснащался пони</w:t>
      </w:r>
      <w:r w:rsidRPr="005E779E">
        <w:rPr>
          <w:rFonts w:ascii="Times New Roman" w:hAnsi="Times New Roman"/>
          <w:color w:val="000000" w:themeColor="text1"/>
          <w:sz w:val="16"/>
          <w:szCs w:val="16"/>
        </w:rPr>
        <w:softHyphen/>
        <w:t>жающим редуктором. М-34РНВ-ТК (он же М-34НРВ-ТК), опытный, отличался от предыдущего типа установкой турбонагнетателей ТК-1, 700/850 л.с., вес проектный 810 кг, конец 1938 г.</w:t>
      </w:r>
    </w:p>
    <w:p w14:paraId="10C95AB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М-34 для привода агрегата центрального наддува АЦН-1, сконструи</w:t>
      </w:r>
      <w:r w:rsidRPr="005E779E">
        <w:rPr>
          <w:rFonts w:ascii="Times New Roman" w:hAnsi="Times New Roman"/>
          <w:color w:val="000000" w:themeColor="text1"/>
          <w:sz w:val="16"/>
          <w:szCs w:val="16"/>
        </w:rPr>
        <w:softHyphen/>
        <w:t>рованного под руководством С.А. Трескина в 1935 г. Проходил лет</w:t>
      </w:r>
      <w:r w:rsidRPr="005E779E">
        <w:rPr>
          <w:rFonts w:ascii="Times New Roman" w:hAnsi="Times New Roman"/>
          <w:color w:val="000000" w:themeColor="text1"/>
          <w:sz w:val="16"/>
          <w:szCs w:val="16"/>
        </w:rPr>
        <w:softHyphen/>
        <w:t>ные испытания на ТБ-3.</w:t>
      </w:r>
    </w:p>
    <w:p w14:paraId="17AA8ED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М-34ФРН (он же М-34РФН и М-34РНФ), форсированный вариант М-34РН. В январе 1935 г. проходил госиспытания, но был снят из-за неполадок. Выпущена малая серия в 1935 г., доводился до весны 1938 г. По проекту мощность 1050/1200 л.с., фактически 900/1200 л.с. Усилены коленвал, редуктор, картер, введено боковое сочленение ша</w:t>
      </w:r>
      <w:r w:rsidRPr="005E779E">
        <w:rPr>
          <w:rFonts w:ascii="Times New Roman" w:hAnsi="Times New Roman"/>
          <w:color w:val="000000" w:themeColor="text1"/>
          <w:sz w:val="16"/>
          <w:szCs w:val="16"/>
        </w:rPr>
        <w:softHyphen/>
        <w:t>тунов, измененная система смазки, усовершенствованный ПЦН, новый механизм газораспределения, карбюраторы установлены после ПЦН (ранее стоял один карбюратор до ПЦН); рабочий объем 46,66 л, вес 735 кг. В 1937 г. опытный образец М-34ФРН выставлялся на авиаса</w:t>
      </w:r>
      <w:r w:rsidRPr="005E779E">
        <w:rPr>
          <w:rFonts w:ascii="Times New Roman" w:hAnsi="Times New Roman"/>
          <w:color w:val="000000" w:themeColor="text1"/>
          <w:sz w:val="16"/>
          <w:szCs w:val="16"/>
        </w:rPr>
        <w:softHyphen/>
        <w:t>лоне в Париже. В 1938 г. была выпущена небольшая серия М-34ФРН с турбонаддувом (М-34РНФТ, с двумя ТК-1), 1017 л.с./'1200 л.с. (по другим данным — 750/1200 л.с.), вес (проектный) 690 кг (по другим данным — 810 кг). Такие моторы проходили летные испытания на самолете ДБ-А.</w:t>
      </w:r>
    </w:p>
    <w:p w14:paraId="05370FA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М-34ФРНУ, проект форсированного до 900 л.с. М-34РН с удлинен</w:t>
      </w:r>
      <w:r w:rsidRPr="005E779E">
        <w:rPr>
          <w:rFonts w:ascii="Times New Roman" w:hAnsi="Times New Roman"/>
          <w:color w:val="000000" w:themeColor="text1"/>
          <w:sz w:val="16"/>
          <w:szCs w:val="16"/>
        </w:rPr>
        <w:softHyphen/>
        <w:t>ным валом, 1933 г.</w:t>
      </w:r>
    </w:p>
    <w:p w14:paraId="2C600D9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М-34ФРНА, массовая серия на базе типа ФРН с четырьмя карбюра</w:t>
      </w:r>
      <w:r w:rsidRPr="005E779E">
        <w:rPr>
          <w:rFonts w:ascii="Times New Roman" w:hAnsi="Times New Roman"/>
          <w:color w:val="000000" w:themeColor="text1"/>
          <w:sz w:val="16"/>
          <w:szCs w:val="16"/>
        </w:rPr>
        <w:softHyphen/>
        <w:t>торами.</w:t>
      </w:r>
    </w:p>
    <w:p w14:paraId="7BF68C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М-34ФРНБ, массовая серия на базе типа ФРН с шестью карбюрато</w:t>
      </w:r>
      <w:r w:rsidRPr="005E779E">
        <w:rPr>
          <w:rFonts w:ascii="Times New Roman" w:hAnsi="Times New Roman"/>
          <w:color w:val="000000" w:themeColor="text1"/>
          <w:sz w:val="16"/>
          <w:szCs w:val="16"/>
        </w:rPr>
        <w:softHyphen/>
        <w:t>рами. В феврале 1937 г. проходил госиспытания вариант М-34ФРНБ (РФНБ) с карбюратором К-85, усиленным картером и облегченным редуктором, мощностью 1000/1050 л.с. Малой серией также был вы</w:t>
      </w:r>
      <w:r w:rsidRPr="005E779E">
        <w:rPr>
          <w:rFonts w:ascii="Times New Roman" w:hAnsi="Times New Roman"/>
          <w:color w:val="000000" w:themeColor="text1"/>
          <w:sz w:val="16"/>
          <w:szCs w:val="16"/>
        </w:rPr>
        <w:softHyphen/>
        <w:t xml:space="preserve">пущен вариант, рассчитанный на применение агрегата </w:t>
      </w:r>
      <w:r w:rsidRPr="005E779E">
        <w:rPr>
          <w:rFonts w:ascii="Times New Roman" w:hAnsi="Times New Roman"/>
          <w:color w:val="000000" w:themeColor="text1"/>
          <w:sz w:val="16"/>
          <w:szCs w:val="16"/>
        </w:rPr>
        <w:lastRenderedPageBreak/>
        <w:t>центрального наддува АЦН-2, созданного в ЦИАМ под руководством К.В. Минк-нера. АЦН-2 приводился в действие дополнительным мотором М-100 и обеспечивал наддув одновременно четырех М-34ФРНБ; мотоуста</w:t>
      </w:r>
      <w:r w:rsidRPr="005E779E">
        <w:rPr>
          <w:rFonts w:ascii="Times New Roman" w:hAnsi="Times New Roman"/>
          <w:color w:val="000000" w:themeColor="text1"/>
          <w:sz w:val="16"/>
          <w:szCs w:val="16"/>
        </w:rPr>
        <w:softHyphen/>
        <w:t>новка из четырех М-34ФРНБ и АЦН-2 испытывалась на опытном образце бомбардировщика ТБ-7 зимой и весной 1938 г. М-34ФРН с испарительным охлаждением; разрабатывался с начала 1935 г. в ЦИАМ Р.И. Бартошем, в 1936 г. изготовлена небольшая серия для опытного истребителя И-21. Двигатель имел повышающий редуктор и нестандартный нижний картер с герметическим сквозным каналом для прохода трубы лонжерона центроплана. В начале 1937 г. совершено несколько полетов на опытном образце И-21. М-34ФРНВ, дальнейшее развитие М-34ФРНБ, 1050/1200 л.с. Спроек</w:t>
      </w:r>
      <w:r w:rsidRPr="005E779E">
        <w:rPr>
          <w:rFonts w:ascii="Times New Roman" w:hAnsi="Times New Roman"/>
          <w:color w:val="000000" w:themeColor="text1"/>
          <w:sz w:val="16"/>
          <w:szCs w:val="16"/>
        </w:rPr>
        <w:softHyphen/>
        <w:t>тирован с тремя вариантами редуктора и двумя типами ПЦН. Впер</w:t>
      </w:r>
      <w:r w:rsidRPr="005E779E">
        <w:rPr>
          <w:rFonts w:ascii="Times New Roman" w:hAnsi="Times New Roman"/>
          <w:color w:val="000000" w:themeColor="text1"/>
          <w:sz w:val="16"/>
          <w:szCs w:val="16"/>
        </w:rPr>
        <w:softHyphen/>
        <w:t>вые выставлен на госиспытания в декабре 1937 г. (с весом 749 кг), но на испытаниях разрушился. По сравнению с М-34ФРНБ имел</w:t>
      </w:r>
    </w:p>
    <w:p w14:paraId="3C7B2BF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измененный картер, бронзовые (с покрытием свинцовистой бронзой, а не баббитом) вкладыши коренных опор с гиперболической расточкой, кожуха над клапанным механизмом из магниевого сплава, иной комплект агрега</w:t>
      </w:r>
      <w:r w:rsidRPr="005E779E">
        <w:rPr>
          <w:rFonts w:ascii="Times New Roman" w:hAnsi="Times New Roman"/>
          <w:color w:val="000000" w:themeColor="text1"/>
          <w:sz w:val="16"/>
          <w:szCs w:val="16"/>
        </w:rPr>
        <w:softHyphen/>
        <w:t>тов, удлиненный носок редуктора, усиленный коленвал с измененной схе</w:t>
      </w:r>
      <w:r w:rsidRPr="005E779E">
        <w:rPr>
          <w:rFonts w:ascii="Times New Roman" w:hAnsi="Times New Roman"/>
          <w:color w:val="000000" w:themeColor="text1"/>
          <w:sz w:val="16"/>
          <w:szCs w:val="16"/>
        </w:rPr>
        <w:softHyphen/>
        <w:t>мой смазки и четыре карбюратора К-4. В апреле 1938 г. был выставлен повторно с усилением ряда деталей (вес поднялся до 763,5 кг при 740 кг по заданию) и удовлетворительно отработал 100 ч. После этого заказали опытную серию из 50 двигателей. Серийное производство М-34ФРНВ велось в 1939-1940 гг. В мае — июне 1938 г. испытывался вариант М-34ФРНВ с непосредственным впрыском топлива (1050/1200 л.с., вес 810 кг). Последняя крупносерийная модификация М-34.</w:t>
      </w:r>
    </w:p>
    <w:p w14:paraId="5C521FF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М-34НФ, опытный вариант с блоками от модификации ФРНВ, допол</w:t>
      </w:r>
      <w:r w:rsidRPr="005E779E">
        <w:rPr>
          <w:rFonts w:ascii="Times New Roman" w:hAnsi="Times New Roman"/>
          <w:color w:val="000000" w:themeColor="text1"/>
          <w:sz w:val="16"/>
          <w:szCs w:val="16"/>
        </w:rPr>
        <w:softHyphen/>
        <w:t>нительными масло- и бензонасосом, форсирован по "оборотам, имел ПЦН и два турбонагнетателя ТК-1. Карбюраторы К-4 установлены после ПЦН. Мощность 787/985 л.с., степень сжатия 7,0, испытывался в 1938-1939 гг. на самолетах Р-Зет и ТБ-3.</w:t>
      </w:r>
    </w:p>
    <w:p w14:paraId="55A0DE8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М-34ФРНВ-ТК, вариант предыдущего типа. Имел два турбонагнетате</w:t>
      </w:r>
      <w:r w:rsidRPr="005E779E">
        <w:rPr>
          <w:rFonts w:ascii="Times New Roman" w:hAnsi="Times New Roman"/>
          <w:color w:val="000000" w:themeColor="text1"/>
          <w:sz w:val="16"/>
          <w:szCs w:val="16"/>
        </w:rPr>
        <w:softHyphen/>
        <w:t>ля ТК-1. Вес по проекту (с турбонагнетателями) 850 кг, 950/1200 л.с. Испытывался в сентябре 1939 г.</w:t>
      </w:r>
    </w:p>
    <w:p w14:paraId="1786E4A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М-34ФРГН, подробности неизвестны.</w:t>
      </w:r>
    </w:p>
    <w:p w14:paraId="2CFE7FD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М-34РБ, в 1938-1939 гг. переделывались из М-34РНБ путем демон</w:t>
      </w:r>
      <w:r w:rsidRPr="005E779E">
        <w:rPr>
          <w:rFonts w:ascii="Times New Roman" w:hAnsi="Times New Roman"/>
          <w:color w:val="000000" w:themeColor="text1"/>
          <w:sz w:val="16"/>
          <w:szCs w:val="16"/>
        </w:rPr>
        <w:softHyphen/>
        <w:t>тажа ПЦН для повышения надежности и увеличения реечрса.</w:t>
      </w:r>
    </w:p>
    <w:p w14:paraId="3A7AEBD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 М-34РБ</w:t>
      </w:r>
    </w:p>
    <w:p w14:paraId="18B577D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Катерный мотор ГМ-34 (ГАМ-34)</w:t>
      </w:r>
    </w:p>
    <w:p w14:paraId="04C2139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ГМ-34, двигатель для торпедных катеров с реверс-редуктором, муф</w:t>
      </w:r>
      <w:r w:rsidRPr="005E779E">
        <w:rPr>
          <w:rFonts w:ascii="Times New Roman" w:hAnsi="Times New Roman"/>
          <w:color w:val="000000" w:themeColor="text1"/>
          <w:sz w:val="16"/>
          <w:szCs w:val="16"/>
        </w:rPr>
        <w:softHyphen/>
        <w:t>той свободного хода, измененными системами охлаждения (забортной водой) и выхлопной. Разрабатывался В.М. Яковлевым с 1932 г. По плану планировалось представить на госиспытания к 1 октября 1932 г.]</w:t>
      </w:r>
    </w:p>
    <w:p w14:paraId="24768E6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1932 г. пару опытных двигателей установили на торпед</w:t>
      </w:r>
      <w:r w:rsidRPr="005E779E">
        <w:rPr>
          <w:rFonts w:ascii="Times New Roman" w:hAnsi="Times New Roman"/>
          <w:color w:val="000000" w:themeColor="text1"/>
          <w:sz w:val="16"/>
          <w:szCs w:val="16"/>
        </w:rPr>
        <w:softHyphen/>
        <w:t>ный катер. Государственные испытания на нем завершились в августе 1934 г. С того же года мотор выпускался серийно, 750/800 л.с., вес 864 кг (с реверс-муфтой и коллекторами 1000 кг).</w:t>
      </w:r>
    </w:p>
    <w:p w14:paraId="7342CE2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ГМ-34Ф, усовершенствованный вариант предыдущего типа. Имел коренные вкладыши из бронзы, коленвал, головки блоков и часть агрегатов от М-34ФРНВ. Степень сжатия 7,3. Строился серийно, 800/1000 л.с., вес 1080 кг. Работал на бензин-спиртовой .смеси.</w:t>
      </w:r>
    </w:p>
    <w:p w14:paraId="64EA9C5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ГМ-34ФН, вариант ГМ-34Ф с ПЦН ФН-25 и одним карбюратором К-4. Маслосистема по типу ГАМ-34БС. Степень сжатия 6,0, мощ</w:t>
      </w:r>
      <w:r w:rsidRPr="005E779E">
        <w:rPr>
          <w:rFonts w:ascii="Times New Roman" w:hAnsi="Times New Roman"/>
          <w:color w:val="000000" w:themeColor="text1"/>
          <w:sz w:val="16"/>
          <w:szCs w:val="16"/>
        </w:rPr>
        <w:softHyphen/>
        <w:t>ность 1200 л.с., вес 1110 кг. Работал на бензин-спиртовой смеси. Се</w:t>
      </w:r>
      <w:r w:rsidRPr="005E779E">
        <w:rPr>
          <w:rFonts w:ascii="Times New Roman" w:hAnsi="Times New Roman"/>
          <w:color w:val="000000" w:themeColor="text1"/>
          <w:sz w:val="16"/>
          <w:szCs w:val="16"/>
        </w:rPr>
        <w:softHyphen/>
        <w:t>рийно выпускался с августа 1939 г.</w:t>
      </w:r>
    </w:p>
    <w:p w14:paraId="177D3D4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ГМ-34БП, вариант для речных бронекатеров с реверс-редуктором, 800 л.с., выпускался серийно.</w:t>
      </w:r>
    </w:p>
    <w:p w14:paraId="3AA4AE0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ГМ-34БС, усовершенствованный вариант предыдущего типа, 850 л.с., выпускался серийно до 1943 г. Работал на бензин-спиртовой смеси. Вес 1045 кг.</w:t>
      </w:r>
    </w:p>
    <w:p w14:paraId="5AB5F9B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ГМ-34БТ. вариант для танков на базе катерного с измененной си</w:t>
      </w:r>
      <w:r w:rsidRPr="005E779E">
        <w:rPr>
          <w:rFonts w:ascii="Times New Roman" w:hAnsi="Times New Roman"/>
          <w:color w:val="000000" w:themeColor="text1"/>
          <w:sz w:val="16"/>
          <w:szCs w:val="16"/>
        </w:rPr>
        <w:softHyphen/>
        <w:t>стемой охлаждения, вентилятором принудительного обдува, новым редуктором; мощность 850 л.с. Имел электростартер вместо пневмо-пуска. Выпускался малой серией в 1939 г.</w:t>
      </w:r>
    </w:p>
    <w:p w14:paraId="1239EF3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Моторы семейства М-34 (АМ-34) устанавливались на серийных самолетах ТБ-3, КР-6, Р-Зет, АНТ-25 (РД, ДБ-1), МБР-2, МТБ-1, ТБ-7 (Пе-8, первая малая серия), ДБ-А, опытных ЛР, ТШ-3, МИ-ЗД, Т-1 (АНТ-41), ТБ-4, К-7, МГ (АНТ-20), ПС-124, И-21 (ЦКБ-32, с паровым охлаждением), ПИ (не до</w:t>
      </w:r>
      <w:r w:rsidRPr="005E779E">
        <w:rPr>
          <w:rFonts w:ascii="Times New Roman" w:hAnsi="Times New Roman"/>
          <w:color w:val="000000" w:themeColor="text1"/>
          <w:sz w:val="16"/>
          <w:szCs w:val="16"/>
        </w:rPr>
        <w:softHyphen/>
        <w:t>строен), К-13, МК-1, «Сталь-МАИ», МИ-3. Их применение также предусма</w:t>
      </w:r>
      <w:r w:rsidRPr="005E779E">
        <w:rPr>
          <w:rFonts w:ascii="Times New Roman" w:hAnsi="Times New Roman"/>
          <w:color w:val="000000" w:themeColor="text1"/>
          <w:sz w:val="16"/>
          <w:szCs w:val="16"/>
        </w:rPr>
        <w:softHyphen/>
        <w:t>тривалось в проектах ТБ-6, «Сталь-5», АНТ-15, ТШ-Б (АНТ-17 и АНТ-18), ВИТ-2, АНТ-51 (СЗ), бронированного штурмовика Самсонова и Доброволь</w:t>
      </w:r>
      <w:r w:rsidRPr="005E779E">
        <w:rPr>
          <w:rFonts w:ascii="Times New Roman" w:hAnsi="Times New Roman"/>
          <w:color w:val="000000" w:themeColor="text1"/>
          <w:sz w:val="16"/>
          <w:szCs w:val="16"/>
        </w:rPr>
        <w:softHyphen/>
        <w:t>ского на гусеничном ходу (на базе ТШ-2), танка-вертолета Камова.</w:t>
      </w:r>
    </w:p>
    <w:p w14:paraId="539C10D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Моторы типа ГМ-34 (ГАМ-34) монтировались на торпедных катерах Г-5 (серийно строились до 1943 г.), Г-6, Г-8, СМ-4 (построено по одному катеру), закладывались в проекты катеров Г-9 и Г-10, а также на речных бронекатерах проектов 1124 и 1125 (массово строились до 1944 г.).</w:t>
      </w:r>
    </w:p>
    <w:p w14:paraId="253ED07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Танковые моторы ГМ-34БТ (ГАМ-34БТ) устанавливались на опытных танках Т-100 и СМК, проходивших войсковые испытания на фронте во время войны с Финляндией зимой 1940 г., а также опытном самоходном орудии СУ-100у («Игрек», 1940 г.), применявшемся в боях под Москвой зимой 1941 г. (11952)</w:t>
      </w:r>
    </w:p>
    <w:p w14:paraId="75D110B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7B3D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марте 1931 г. начальник ВВС П.И.Баранов констатировал, что моторы М-17, вы</w:t>
      </w:r>
      <w:r w:rsidRPr="005E779E">
        <w:rPr>
          <w:rFonts w:ascii="Times New Roman" w:hAnsi="Times New Roman"/>
          <w:color w:val="000000" w:themeColor="text1"/>
          <w:sz w:val="16"/>
          <w:szCs w:val="16"/>
        </w:rPr>
        <w:softHyphen/>
        <w:t>пускаемые заводами № 24 и № 26, невзаимозаменяемые, хотя и производятся по одной лицензии, отметил их низкое качество (10667).</w:t>
      </w:r>
    </w:p>
    <w:p w14:paraId="42EDB6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5195E20" w14:textId="77777777" w:rsidR="00985A63" w:rsidRPr="00142305" w:rsidRDefault="00985A63" w:rsidP="00985A6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В марте 1931 г. начальник ВВС П. И. Баранов констатировал, что моторы М-17, выпускаемые заводами № 24 и № 26, невзаимозаменяемые, хотя и производятся по одной лицензии, отметил низкое качество выпускаемой продукции. Многие недостатки он объяснял происками «вредителей» («Вредители, не будучи в состоянии отрицать своей вредительской деятельности, осознали свою вину, но вместе с тем, где возможно, продолжают затемнять дело») (25035). </w:t>
      </w:r>
    </w:p>
    <w:p w14:paraId="093C9C56" w14:textId="77777777" w:rsidR="00985A63" w:rsidRPr="00142305" w:rsidRDefault="00985A63" w:rsidP="00985A63">
      <w:pPr>
        <w:spacing w:after="0" w:line="240" w:lineRule="auto"/>
        <w:jc w:val="both"/>
        <w:rPr>
          <w:rFonts w:ascii="Times New Roman" w:hAnsi="Times New Roman"/>
          <w:color w:val="0070C0"/>
          <w:sz w:val="16"/>
          <w:szCs w:val="16"/>
        </w:rPr>
      </w:pPr>
    </w:p>
    <w:p w14:paraId="346F1E5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марте 1931 г. в конструкторском бюро завода № 29 (Запорожье) под руководством А.С. Назарова был разработан двигатель М-50 (3М-11). Использовались узлы и агрегаты мотора М-11В. Сборка первого опытного образца начата в августе 1932 г. Госиспытания проходили с декабря 1932 г. Доводился От</w:t>
      </w:r>
      <w:r w:rsidRPr="005E779E">
        <w:rPr>
          <w:rFonts w:ascii="Times New Roman" w:hAnsi="Times New Roman"/>
          <w:color w:val="000000" w:themeColor="text1"/>
          <w:sz w:val="16"/>
          <w:szCs w:val="16"/>
        </w:rPr>
        <w:softHyphen/>
        <w:t>делом легких двигателей НИИ ГВФ под руководством М.А. Коссова до 1934 г. В серию не запускался из-за отсутствия заказов.</w:t>
      </w:r>
    </w:p>
    <w:p w14:paraId="25ECD4B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Характеристики:</w:t>
      </w:r>
    </w:p>
    <w:p w14:paraId="09A93EC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3-цилиндровый, звездообразный, четырехтактный, воздушного охлаж</w:t>
      </w:r>
      <w:r w:rsidRPr="005E779E">
        <w:rPr>
          <w:rFonts w:ascii="Times New Roman" w:hAnsi="Times New Roman"/>
          <w:color w:val="000000" w:themeColor="text1"/>
          <w:sz w:val="16"/>
          <w:szCs w:val="16"/>
        </w:rPr>
        <w:softHyphen/>
        <w:t>дения;</w:t>
      </w:r>
    </w:p>
    <w:p w14:paraId="3CDA516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мощность 60/65 л.с.;</w:t>
      </w:r>
    </w:p>
    <w:p w14:paraId="1E70BE1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диаметр цилиндра/ход поршня 125/140 мм;</w:t>
      </w:r>
    </w:p>
    <w:p w14:paraId="66397FF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объем 5,16 л;</w:t>
      </w:r>
    </w:p>
    <w:p w14:paraId="46EF6AD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степень сжатия 5,0;</w:t>
      </w:r>
    </w:p>
    <w:p w14:paraId="69E1BB5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безредукторный;</w:t>
      </w:r>
    </w:p>
    <w:p w14:paraId="13DC527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вес 125 кг.</w:t>
      </w:r>
    </w:p>
    <w:p w14:paraId="06548DF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Существовали два варианта М-50:</w:t>
      </w:r>
    </w:p>
    <w:p w14:paraId="74D7752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с цилиндрами от М-И В;</w:t>
      </w:r>
    </w:p>
    <w:p w14:paraId="08B54D8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с оригинальными цилиндрами (но не по типу М-51).</w:t>
      </w:r>
    </w:p>
    <w:p w14:paraId="2E6B118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Известен более поздний судовой дизель под тем же обозначением (он же первоначально МН-1), создававшийся в ЦИАМ на базе авиационного М-40 (11852).</w:t>
      </w:r>
    </w:p>
    <w:p w14:paraId="5C8C1C5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282D9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марте 1931 г. в ИАМ было закончено проектирование М-32. Очевидно, готовность эскизного проекта была достаточно высока, поскольку 1 апреля того же года проект одобрен техническим совещанием ИАМ. В мае 1930 г. руководство проектированием М-32 в ИАМ предлагали поручить АД Швецову. В 1931-1932 гг. из</w:t>
      </w:r>
      <w:r w:rsidRPr="005E779E">
        <w:rPr>
          <w:rFonts w:ascii="Times New Roman" w:hAnsi="Times New Roman"/>
          <w:color w:val="000000" w:themeColor="text1"/>
          <w:sz w:val="16"/>
          <w:szCs w:val="16"/>
        </w:rPr>
        <w:softHyphen/>
        <w:t>готовлено пять (по другим данным — шесть) опытных экземпляров. К 1 января 1932 г. все рабочие чертежи деталей завершили, сделали три четверти моделей для отливок и приступили к литью. 20 октября того же года первый экземпляр М-32 запустили на стенде. В процессе доводки усилили рубашки блоков, затем выявилось растрескивание коренных под</w:t>
      </w:r>
      <w:r w:rsidRPr="005E779E">
        <w:rPr>
          <w:rFonts w:ascii="Times New Roman" w:hAnsi="Times New Roman"/>
          <w:color w:val="000000" w:themeColor="text1"/>
          <w:sz w:val="16"/>
          <w:szCs w:val="16"/>
        </w:rPr>
        <w:softHyphen/>
        <w:t>шипников и головок блоков. Со второго экзем</w:t>
      </w:r>
      <w:r w:rsidRPr="005E779E">
        <w:rPr>
          <w:rFonts w:ascii="Times New Roman" w:hAnsi="Times New Roman"/>
          <w:color w:val="000000" w:themeColor="text1"/>
          <w:sz w:val="16"/>
          <w:szCs w:val="16"/>
        </w:rPr>
        <w:softHyphen/>
        <w:t>пляра применялись усиленные блоки. Основные дефекты так и не были устранены. В 1934 г. появилось новое задание на модификацию М-32РН. За счет введения ПЦН мощность требовалось довести до 650 л.с. В перспективе рассчитывали перейти на охлаждение этиленгликолем или даже на паровое охлаждение. М-32РН был построен и поставлен на стенд. В общей сложности изго</w:t>
      </w:r>
      <w:r w:rsidRPr="005E779E">
        <w:rPr>
          <w:rFonts w:ascii="Times New Roman" w:hAnsi="Times New Roman"/>
          <w:color w:val="000000" w:themeColor="text1"/>
          <w:sz w:val="16"/>
          <w:szCs w:val="16"/>
        </w:rPr>
        <w:softHyphen/>
        <w:t xml:space="preserve">товили пять М-32. Доводка двигателя шла до 1935 г. К этому времени он уже устарел, а требуемого уровня надежности ПЦН добиться не удалось. Работу прекратили. В серийное производство не запускался. </w:t>
      </w:r>
    </w:p>
    <w:p w14:paraId="4E68E61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Известны модификации:</w:t>
      </w:r>
    </w:p>
    <w:p w14:paraId="29501F6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М-32, первоначальный вариант без редук</w:t>
      </w:r>
      <w:r w:rsidRPr="005E779E">
        <w:rPr>
          <w:rFonts w:ascii="Times New Roman" w:hAnsi="Times New Roman"/>
          <w:color w:val="000000" w:themeColor="text1"/>
          <w:sz w:val="16"/>
          <w:szCs w:val="16"/>
        </w:rPr>
        <w:softHyphen/>
        <w:t>тора и ПЦН, изготовлен в одном экзем</w:t>
      </w:r>
      <w:r w:rsidRPr="005E779E">
        <w:rPr>
          <w:rFonts w:ascii="Times New Roman" w:hAnsi="Times New Roman"/>
          <w:color w:val="000000" w:themeColor="text1"/>
          <w:sz w:val="16"/>
          <w:szCs w:val="16"/>
        </w:rPr>
        <w:softHyphen/>
        <w:t>пляре. Вес по заданию 400 кг, фактически 430 кг.</w:t>
      </w:r>
    </w:p>
    <w:p w14:paraId="01D28A5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М-32РН, вариант с редуктором и одно-скоростным ПЦН. В дальнейшем предпо</w:t>
      </w:r>
      <w:r w:rsidRPr="005E779E">
        <w:rPr>
          <w:rFonts w:ascii="Times New Roman" w:hAnsi="Times New Roman"/>
          <w:color w:val="000000" w:themeColor="text1"/>
          <w:sz w:val="16"/>
          <w:szCs w:val="16"/>
        </w:rPr>
        <w:softHyphen/>
        <w:t>лагали опробовать паровое охлаждение и охлаждение этиленгликолем. Вес 460 кг.</w:t>
      </w:r>
    </w:p>
    <w:p w14:paraId="0511FB1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Характеристики:</w:t>
      </w:r>
    </w:p>
    <w:p w14:paraId="1DDB09F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16-цилиндровый, рядный У-образный, че</w:t>
      </w:r>
      <w:r w:rsidRPr="005E779E">
        <w:rPr>
          <w:rFonts w:ascii="Times New Roman" w:hAnsi="Times New Roman"/>
          <w:color w:val="000000" w:themeColor="text1"/>
          <w:sz w:val="16"/>
          <w:szCs w:val="16"/>
        </w:rPr>
        <w:softHyphen/>
        <w:t>тырехтактный, водяного охлаждения;</w:t>
      </w:r>
    </w:p>
    <w:p w14:paraId="7718FF7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мощность 600/750 л.с. (по заданию 650/700 л.с.);</w:t>
      </w:r>
    </w:p>
    <w:p w14:paraId="150D472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диаметр цилиндра/ход поршня 120/120 мм;</w:t>
      </w:r>
    </w:p>
    <w:p w14:paraId="3970111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объем 21,7 л;</w:t>
      </w:r>
    </w:p>
    <w:p w14:paraId="1B4B87D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степень сжатия 6,0;</w:t>
      </w:r>
    </w:p>
    <w:p w14:paraId="3BA7856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безредукторный.</w:t>
      </w:r>
    </w:p>
    <w:p w14:paraId="24B54D4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Предлагался для истребителей И-9, И-13, ДИ-6.</w:t>
      </w:r>
    </w:p>
    <w:p w14:paraId="5A638C7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Единственный сохранившийся до наших дней М-32РН лежит на задворках музея в Монино (11852).</w:t>
      </w:r>
    </w:p>
    <w:p w14:paraId="381096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F7D0E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марта 1931 года директором завода № 29 стал Зотов Г.Т. В конце 1931 года директором завода был назначен Александров С.А. До 1937 года на производстве было два серийных двигателя М-11 и М-22. В 1935 году перед заводом были поставлены задачи по освоению и внедрению в производство новых лицензионных авиационных двигателей К-9 и К-14, получивших впоследствии наименования М-75 и М-85. Эти двигатели в порядке лицензии были куплены во Франции, с тем чтобы уже во втором квартале 1936 года производить их серийный выпуск.</w:t>
      </w:r>
    </w:p>
    <w:p w14:paraId="2BA7CC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Затем заводу было оставлено задание на изготовление одного двигателя М-85 и на свертывание начавшейся подготовки производства М-75.</w:t>
      </w:r>
    </w:p>
    <w:p w14:paraId="5F61D3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 втором квартале 1936 года завод приступил к серийному производству двигателей М-85, а выпуск двигателей старой конструкции М-11 и М-22 был прекращен. До конца 1936 года завод сдал в эксплуатацию 130 М-85, а всего за 2 года заводом выпущено 460 двигателей М-85. В 1936 году ОКБ завода изготовило и провело через заводские испытания эталон двигателя М-86 конструкции завода № 29. В этом же году был изготовлен и успешно сдан госкомиссии еще один новый двигатель завода № 29 – М-87, мощность которого при одинаковых технических данных была на 19% выше, чем мощность двигателя М-86. В 1938 году директором завода был назначен Чернышев В.В., гл. конструктором Туманский С.К.</w:t>
      </w:r>
    </w:p>
    <w:p w14:paraId="46EFDA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Производство завода в 1938 году состояло из двух марок М-86 и М-87. К концу 1938 года М-86 был снят с производства и завод приступил к освоению двигателя М-88 собственной конструкции. Эти двигатели вплоть до 1947 года были основным видом оборонной продукции завода. За весь период их производства завод выпустил 16083 двигателя М-88. С августа 1939 года обязанности директора завода исполнял зам. наркома авиапромышленности Баландин В.П. С ноября 1939 года – директор завода Громов С.А. В начале 1940 года в одном из двигателей М-88, сданных в эксплуатацию был обнаружен дефект – выход из строя муфты первой скорости нагнетателя. Завод приостановил выпуск М-88 и приступил к устранению дефекта. Главным изделием завода снова стал двигатель М-87. В четвертом квартале 940 года дефект был устранен и завод окончательно переключил производство на выпуск уже модифицированных двигателей М-88Б, значительно лучшей конструкции, а изготовление М-87 было прекращено. В конце 1940 года директором завода был назначен Лукин М.М., гл. конструктором Урмин Е.В. В первой половине 1941 года завод кроме двигателя М-88Б освоил и выпустил 110 двигателей М-89, производство которых было прекращенов связи с эвакуацией завода.</w:t>
      </w:r>
    </w:p>
    <w:p w14:paraId="7A8D7A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постановлением ГКО от 11 августа 1941 года за № 457сс и приказом НКАП от 12 августа 1941 года за № 844сс, завод № 29 был эвакуирован в Омск. В ноябре 1941 года в Омске было восстановлено производство двигателей М-88Б. В 1942 году директором завода был назначен Борисов И.Т.</w:t>
      </w:r>
    </w:p>
    <w:p w14:paraId="20AC95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приказом НКАП в начале 1942 года завод должен был перейти на дублирование производства новых поршневых двигателей АШ-82 системы конструктора Швецова, находившихся в производстве завода № 19. Приказом НКАП от 19 марта 1942 года за № 21сс завод временно был освобожден от запускав производство двигателя АШ-82. В январе 1943 года гл. конструктором завода был назначен Нитченко В.С. В 1942 году завод получил задание довести и запустить в производство малую серию опытного двигателя М-90.</w:t>
      </w:r>
    </w:p>
    <w:p w14:paraId="17F28A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Постановлением ГКО от 15 июня 1943 года за № 3587 завод в третий раз был обязан приступить к освоению и серийному производству двигателей АШ-82 уже новой модификации, с форсированным нагнетателем под наименованием АШ-82ФН, а развернувшееся производство М-90 предлагалось прекратить. Машин М-90 завод выпустил всего 13 опытных образцов.</w:t>
      </w:r>
    </w:p>
    <w:p w14:paraId="4EBE24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этого времени производство завода № 29 в значительной мере стало зависимым от того, что вся технология и технические условия создавались и утверждались на заводе № 19, который был ведущим заводом по производству двигателей АШ-82ФН и АШ-21 системы Швецова, вплоть до второй половины 1952 года. В 1944 году завод выпускал два двигателя: М-88Б и АШ-82Н. В 1944 году на старых площадях завода № 29 в Запорожье стал восстанавливаться родственный завод № 478. В 1945 году заводом выпускались те же двигатели М-88Б и АШ-82ФН.</w:t>
      </w:r>
    </w:p>
    <w:p w14:paraId="6F8EEC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Решением СМ и МАП завод со второго квартала 1946 года был освобожден от производства двигателей М-88Б и передал эту машину Запорожскому завода № 478 и начал освоение и выпуск АШ-21. С ноября 1948 года –директор Шехов Б.В. В 1949 году завод по-прежнему выпускал АШ-82ФН и АШ-21. В начале 1953 года гл. конструктором завода был назначен Федичев В.Г. С августа 1953 года – директор Головачев А.М. В 1953 году завод продолжал производство АШ-82ФН и АШ-21</w:t>
      </w:r>
    </w:p>
    <w:p w14:paraId="5902B3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Адрес: Омск, Б. Хмельницкого – 281, п/я 64</w:t>
      </w:r>
    </w:p>
    <w:p w14:paraId="57A164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Производственный профиль – авиационные двигатели системы конструкторов Швецова АШ-82ФН (с форсированным нагнетателем), АШ-82Т – транспортный (и АШ-82В (вертолетный) (9814).</w:t>
      </w:r>
    </w:p>
    <w:p w14:paraId="659571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138A9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марте 1931 в НИИ ГВФ испытывали облегченные лыжи от ТБ-1 для АНТ-9 (522,5).</w:t>
      </w:r>
    </w:p>
    <w:p w14:paraId="65D66D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E28D8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марте 1931 г. на Кунцевском полигоне вели испытания ДРП на ТБ-1.</w:t>
      </w:r>
    </w:p>
    <w:p w14:paraId="2FF676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декабре 1930 г. завод № 39 впервые поставил на ТБ-1 динамореактивную (безоткатную) пушку. Похоже, что ставилась задача просто изучить влияние стрельбы из такого орудия на прочность машины и ее управляемость. 76-мм пушка весом 88 кг стояла вертикально в бомбоотсеке на специальной ферме - "пауке", так что ее ствол выступал на 700 мм вниз, а выходное сопло на 400 мм торчало вверх над обшивкой. Крепление допускало ограниченное перемещение вперед-назад по полету, вбок же ствол не двигался. Какие-либо прицельные приспособления отсутствовали.</w:t>
      </w:r>
    </w:p>
    <w:p w14:paraId="1D212A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Огонь вел пилот, дергавший за шнур. Возле пушки располагался заряжающий, при стрельбе стоявший на маленькой квадратной площадке. Снаряды хранились в ящиках у мест стрелков.</w:t>
      </w:r>
    </w:p>
    <w:p w14:paraId="1C6CA9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 за три дня сделали 18 выстрелов шрапнелью по земле без прицеливания. На пилотирование самолета стрельба не повлияла, но при осмотре выявились деформации обшивки и подкрепляющих профилей. Вылетели некоторые заклепки. Ни летчик, ни заряжающий не видели, куда стреляют. Отсутствие связи между ними вызвало немало нестыковок. Заряжающему приходилось лазать по тесному проходу на четвереньках, таская снаряды и стреляные гильзы. Но этот первый эксперимент показал, что бомбардировщик можно вооружить пушкой.</w:t>
      </w:r>
    </w:p>
    <w:p w14:paraId="0FB6D1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специально для ТБ-1 спроектировали 76-мм нарезную динамореактивную пушку ДРП-76. Два таких орудия собирались установить по бортам снаружи у средней турели. Саму пушку изготовили, но на самолете не испытывали. В плане Особого конструкторского бюро (Осконбюро) ВВС на 1932 г. значится некая ротативная батарея из четырех стволов калибра 76 мм. Как она выглядела, остается загадкой (12001).</w:t>
      </w:r>
    </w:p>
    <w:p w14:paraId="738772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E4BEC6E" w14:textId="77777777" w:rsidR="00824AB6" w:rsidRPr="005E779E" w:rsidRDefault="00824AB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марте 1931 г. на Кунцевском полигоне прошли испытания ДРП на ТБ-1.</w:t>
      </w:r>
    </w:p>
    <w:p w14:paraId="31B9F63A" w14:textId="77777777" w:rsidR="00824AB6" w:rsidRPr="005E779E" w:rsidRDefault="00824AB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декабре 1930 г. московский завод №39 поставил 76-мм ДРП на двухмоторный бомбардировщик ТБ-1. Пушка весом 88 кг стояла вертикально в бомбоотсеке на специальной ферме - «пауке». Ее ствол выступал на 770 мм вниз, а конус выходного сопла на 400 мм торчал вверх над обшивкой. Крепление допускало ограниченное пере</w:t>
      </w:r>
      <w:r w:rsidRPr="005E779E">
        <w:rPr>
          <w:rFonts w:ascii="Times New Roman" w:hAnsi="Times New Roman"/>
          <w:color w:val="000000" w:themeColor="text1"/>
          <w:sz w:val="16"/>
          <w:szCs w:val="16"/>
        </w:rPr>
        <w:softHyphen/>
        <w:t>мещение вперед-назад по полету, вбок же ствол не двигался. Какие-либо прицельные приспособления отсутствовали.</w:t>
      </w:r>
    </w:p>
    <w:p w14:paraId="4627E6BD" w14:textId="77777777" w:rsidR="00824AB6" w:rsidRPr="005E779E" w:rsidRDefault="00824AB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Стрелять собирались по наземным целям с горизонтального полета. Огонь вел пилот, дергавший за шнур. Возле пушки располагался заряжающий, при стрельбе стоявший на маленькой квадратной пло</w:t>
      </w:r>
      <w:r w:rsidRPr="005E779E">
        <w:rPr>
          <w:rFonts w:ascii="Times New Roman" w:hAnsi="Times New Roman"/>
          <w:color w:val="000000" w:themeColor="text1"/>
          <w:sz w:val="16"/>
          <w:szCs w:val="16"/>
        </w:rPr>
        <w:softHyphen/>
        <w:t>щадке. Снаряды хранились в ящиках у мест воздушных стрелков.</w:t>
      </w:r>
    </w:p>
    <w:p w14:paraId="03CBA812" w14:textId="77777777" w:rsidR="00824AB6" w:rsidRPr="005E779E" w:rsidRDefault="00824AB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 за три дня сделали 18 выстрелов шрапнелью по земле без прицеливания. На пилотирование самолета стрельба не повлияла, но при осмотре выявились деформации обшивки и подкрепляющих профилей. Вылетели некоторые заклепки.</w:t>
      </w:r>
    </w:p>
    <w:p w14:paraId="36FB71FD" w14:textId="77777777" w:rsidR="00824AB6" w:rsidRPr="005E779E" w:rsidRDefault="00824AB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Ни летчик, ни заряжающий не видели, куда стреляют. Отсутствие связи между ними вызвало немало нестыковок. Заря</w:t>
      </w:r>
      <w:r w:rsidRPr="005E779E">
        <w:rPr>
          <w:rFonts w:ascii="Times New Roman" w:hAnsi="Times New Roman"/>
          <w:color w:val="000000" w:themeColor="text1"/>
          <w:sz w:val="16"/>
          <w:szCs w:val="16"/>
        </w:rPr>
        <w:softHyphen/>
        <w:t>жающему приходилось лазать по тесному проходу на четвереньках, таская снаряды. Но этот эксперимент доказал, что воору</w:t>
      </w:r>
      <w:r w:rsidRPr="005E779E">
        <w:rPr>
          <w:rFonts w:ascii="Times New Roman" w:hAnsi="Times New Roman"/>
          <w:color w:val="000000" w:themeColor="text1"/>
          <w:sz w:val="16"/>
          <w:szCs w:val="16"/>
        </w:rPr>
        <w:softHyphen/>
        <w:t>жить бомбардировщик ДРП можно, хотя эффективность этого оружия оставалась спорной.</w:t>
      </w:r>
    </w:p>
    <w:p w14:paraId="6750BA45" w14:textId="77777777" w:rsidR="00824AB6" w:rsidRPr="005E779E" w:rsidRDefault="00824AB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специально для ТБ-1 спро</w:t>
      </w:r>
      <w:r w:rsidRPr="005E779E">
        <w:rPr>
          <w:rFonts w:ascii="Times New Roman" w:hAnsi="Times New Roman"/>
          <w:color w:val="000000" w:themeColor="text1"/>
          <w:sz w:val="16"/>
          <w:szCs w:val="16"/>
        </w:rPr>
        <w:softHyphen/>
        <w:t>ектировали 76-мм нарезную «безоткатку» ДРП-76. Два таких орудия собирались установить по бортам снаружи у средней турели, за крылом. Саму пушку изготовили, но на самолете не испытывали. В плане Осо</w:t>
      </w:r>
      <w:r w:rsidRPr="005E779E">
        <w:rPr>
          <w:rFonts w:ascii="Times New Roman" w:hAnsi="Times New Roman"/>
          <w:color w:val="000000" w:themeColor="text1"/>
          <w:sz w:val="16"/>
          <w:szCs w:val="16"/>
        </w:rPr>
        <w:softHyphen/>
        <w:t>бого конструкторского бюро (Осконбюро) ВВС на 1932 г. значилась некая «ротативная батарея» из четырех стволов калибра 76 мм. Как она должна была выглядеть - остается загадкой (12613).</w:t>
      </w:r>
    </w:p>
    <w:p w14:paraId="1F06CE39" w14:textId="77777777" w:rsidR="00824AB6" w:rsidRPr="005E779E" w:rsidRDefault="00824AB6" w:rsidP="000B7A6C">
      <w:pPr>
        <w:spacing w:after="0" w:line="240" w:lineRule="auto"/>
        <w:jc w:val="both"/>
        <w:rPr>
          <w:rFonts w:ascii="Times New Roman" w:hAnsi="Times New Roman"/>
          <w:color w:val="000000" w:themeColor="text1"/>
          <w:sz w:val="16"/>
          <w:szCs w:val="16"/>
        </w:rPr>
      </w:pPr>
    </w:p>
    <w:p w14:paraId="63221C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марте 1931 г. на Кунцевском полигоне велись испытания 76-мм неавтоматической динамореактивной пушки на ТБ-1.</w:t>
      </w:r>
    </w:p>
    <w:p w14:paraId="2EA952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декабре 1930 г. впервые попробовали оснастить тяжелый бомбардировщик артиллерийским орудием крупного калибра для обстрела целей на земле На двухмоторном ТБ-1 поставили. Однако, похоже, что таким образом старались просто изучить влияние стрельбы из такого орудия на прочность машины и ее управляемость. Пушка весом 88 кг стояла вертикально в бомбоотсеке на специальной ферме - "пауке", так что ее ствол выступал на 700 мм вниз, а выходное сопло на 400 мм торчало вверх над обшивкой. Крепление допускало ограниченное перемещение ствола вперед-назад по полету, вбок же он не двигался. Какие-либо прицельные приспособления отсутствовали.</w:t>
      </w:r>
    </w:p>
    <w:p w14:paraId="30CF98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Огонь вел пилот, дергавший за шнур, как у обычного полевого орудия. Возле пушки располагался заряжающий, при стрельбе стоявший на маленькой квадратной площадке. Снаряды хранились в ящиках у мест стрелков.</w:t>
      </w:r>
    </w:p>
    <w:p w14:paraId="2723CE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связи с невозможностью как-либо прицелиться, стреляли шрапнелью, чтобы увеличить вероятность поражения мишеней. Всего за три дня сделали 18 выстрелов. На пилотирование самолета стрельба не повлияла, но при осмотре выявились деформации обшивки и подкрепляющих ее профилей. Вылетели некоторые заклепки. Ни летчик, ни заряжающий не видели, куда стреляют и попали ли хоть во что-нибудь. Отсутствие связи между ними вызвало немало нестыковок. Заряжающему приходилось лазать по тесному проходу на четвереньках, таская к орудию снаряды, а обратно - стреляные гильзы. Но этот первый эксперимент показал, что бомбардировщик можно вооружить пушкой.</w:t>
      </w:r>
    </w:p>
    <w:p w14:paraId="23C23C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 1931 г. специально для ТБ-1 спроектировали 76-мм нарезную динамореактивную пушку ДРП-76. Два таких орудия собирались установить по бортам снаружи у средней турели. Саму пушку изготовили, но на самолете не испытывали. Для ТБ-1 предназначалась и загадочная ротатив- ная батарея из четырех стволов калибра 76 мм, значившаяся в плане Осконбюро ВВС на 1932 г. Скорее всего, это был блок из четырех динамореактивных пушек, который монтировался в бомбоотсеке так, что один ствол выступал наружу. После выстрела батарею проворачивали, устанавливая в это положение заряженный ствол.</w:t>
      </w:r>
    </w:p>
    <w:p w14:paraId="4EA612BE" w14:textId="77777777" w:rsidR="00985A63" w:rsidRPr="00142305" w:rsidRDefault="00985A63" w:rsidP="00985A63">
      <w:pPr>
        <w:pStyle w:val="28"/>
        <w:spacing w:before="0" w:line="240" w:lineRule="auto"/>
        <w:jc w:val="both"/>
        <w:rPr>
          <w:rStyle w:val="aff0"/>
          <w:rFonts w:ascii="Times New Roman" w:hAnsi="Times New Roman" w:cs="Times New Roman"/>
          <w:color w:val="0070C0"/>
          <w:spacing w:val="0"/>
          <w:sz w:val="16"/>
          <w:szCs w:val="16"/>
        </w:rPr>
      </w:pPr>
      <w:r w:rsidRPr="00142305">
        <w:rPr>
          <w:rFonts w:ascii="Times New Roman" w:hAnsi="Times New Roman" w:cs="Times New Roman"/>
          <w:color w:val="0070C0"/>
          <w:sz w:val="16"/>
          <w:szCs w:val="16"/>
        </w:rPr>
        <w:t>В марте 1931 г. на Кунцевском полигоне велись испытания 76 мм ДРП, установленной в ТБ-1 для стрельбы по земле. В связи с невозможностью как-либо при целиться, стреляли шрапнелью, чтобы увеличить вероятность пора</w:t>
      </w:r>
      <w:r w:rsidRPr="00142305">
        <w:rPr>
          <w:rFonts w:ascii="Times New Roman" w:hAnsi="Times New Roman" w:cs="Times New Roman"/>
          <w:color w:val="0070C0"/>
          <w:sz w:val="16"/>
          <w:szCs w:val="16"/>
        </w:rPr>
        <w:softHyphen/>
        <w:t>жения мишеней. Всего за три дня сделали 18 выстрелов. На пилотирование самолета стрельба не повлияла, но при ос</w:t>
      </w:r>
      <w:r w:rsidRPr="00142305">
        <w:rPr>
          <w:rFonts w:ascii="Times New Roman" w:hAnsi="Times New Roman" w:cs="Times New Roman"/>
          <w:color w:val="0070C0"/>
          <w:sz w:val="16"/>
          <w:szCs w:val="16"/>
        </w:rPr>
        <w:softHyphen/>
        <w:t>мотре выявились деформации обшивки и подкрепляющих ее профилей. Вылетели некоторые заклепки. Ни летчик, ни заряжающий не видели, куда стреляют и попали ли хоть во что-нибудь. Отсутствие связи между ними вызвало немало нестыковок. Заряжающему приходилось лазать по тесному проходу на четвереньках, таская к орудию снаряды, а обрат</w:t>
      </w:r>
      <w:r w:rsidRPr="00142305">
        <w:rPr>
          <w:rStyle w:val="aff0"/>
          <w:rFonts w:ascii="Times New Roman" w:hAnsi="Times New Roman" w:cs="Times New Roman"/>
          <w:color w:val="0070C0"/>
          <w:spacing w:val="0"/>
          <w:sz w:val="16"/>
          <w:szCs w:val="16"/>
        </w:rPr>
        <w:t>но - стреляные гильзы. Но этот первый эксперимент пока</w:t>
      </w:r>
      <w:r w:rsidRPr="00142305">
        <w:rPr>
          <w:rStyle w:val="aff0"/>
          <w:rFonts w:ascii="Times New Roman" w:hAnsi="Times New Roman" w:cs="Times New Roman"/>
          <w:color w:val="0070C0"/>
          <w:spacing w:val="0"/>
          <w:sz w:val="16"/>
          <w:szCs w:val="16"/>
        </w:rPr>
        <w:softHyphen/>
        <w:t>зал, что бомбардировщик можно вооружить пушкой.</w:t>
      </w:r>
    </w:p>
    <w:p w14:paraId="5429D033" w14:textId="77777777" w:rsidR="00985A63" w:rsidRPr="00142305" w:rsidRDefault="00985A63" w:rsidP="00985A6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1931 г. специально для ТБ-l спроектировали 76-мм на</w:t>
      </w:r>
      <w:r w:rsidRPr="00142305">
        <w:rPr>
          <w:rFonts w:ascii="Times New Roman" w:hAnsi="Times New Roman"/>
          <w:color w:val="0070C0"/>
          <w:sz w:val="16"/>
          <w:szCs w:val="16"/>
        </w:rPr>
        <w:softHyphen/>
        <w:t>резную динамореактивную пушку ДРП-76. Два таких ору</w:t>
      </w:r>
      <w:r w:rsidRPr="00142305">
        <w:rPr>
          <w:rFonts w:ascii="Times New Roman" w:hAnsi="Times New Roman"/>
          <w:color w:val="0070C0"/>
          <w:sz w:val="16"/>
          <w:szCs w:val="16"/>
        </w:rPr>
        <w:softHyphen/>
        <w:t>дия собирались установить по бортам снаружи у средней турели. Саму пушку изготовили, но на самолете не испы</w:t>
      </w:r>
      <w:r w:rsidRPr="00142305">
        <w:rPr>
          <w:rFonts w:ascii="Times New Roman" w:hAnsi="Times New Roman"/>
          <w:color w:val="0070C0"/>
          <w:sz w:val="16"/>
          <w:szCs w:val="16"/>
        </w:rPr>
        <w:softHyphen/>
        <w:t>тывали. Для ТБ-l предназначалась и загадочная ротатив</w:t>
      </w:r>
      <w:r w:rsidRPr="00142305">
        <w:rPr>
          <w:rFonts w:ascii="Times New Roman" w:hAnsi="Times New Roman"/>
          <w:color w:val="0070C0"/>
          <w:sz w:val="16"/>
          <w:szCs w:val="16"/>
        </w:rPr>
        <w:softHyphen/>
        <w:t>ная батарея из четырех стволов калибра 76 мм, значившая</w:t>
      </w:r>
      <w:r w:rsidRPr="00142305">
        <w:rPr>
          <w:rFonts w:ascii="Times New Roman" w:hAnsi="Times New Roman"/>
          <w:color w:val="0070C0"/>
          <w:sz w:val="16"/>
          <w:szCs w:val="16"/>
        </w:rPr>
        <w:softHyphen/>
        <w:t>ся в плане Осконбюро ВВС на 1932 г. Скорее всего, это был блок из четырех динамореактивных пушек, который монти</w:t>
      </w:r>
      <w:r w:rsidRPr="00142305">
        <w:rPr>
          <w:rFonts w:ascii="Times New Roman" w:hAnsi="Times New Roman"/>
          <w:color w:val="0070C0"/>
          <w:sz w:val="16"/>
          <w:szCs w:val="16"/>
        </w:rPr>
        <w:softHyphen/>
        <w:t xml:space="preserve">ровался в бомбоотсеке так, что один ствол выступал наружу. После выстрела батарею проворачивали, устанавливая в это положение заряженный ствол </w:t>
      </w:r>
      <w:r w:rsidRPr="00142305">
        <w:rPr>
          <w:rStyle w:val="aff0"/>
          <w:rFonts w:ascii="Times New Roman" w:hAnsi="Times New Roman" w:cs="Times New Roman"/>
          <w:color w:val="0070C0"/>
          <w:spacing w:val="0"/>
          <w:sz w:val="16"/>
          <w:szCs w:val="16"/>
        </w:rPr>
        <w:t>(24977).</w:t>
      </w:r>
    </w:p>
    <w:p w14:paraId="632511D0" w14:textId="77777777" w:rsidR="00985A63" w:rsidRPr="00142305" w:rsidRDefault="00985A63" w:rsidP="00985A63">
      <w:pPr>
        <w:spacing w:after="0" w:line="240" w:lineRule="auto"/>
        <w:jc w:val="both"/>
        <w:rPr>
          <w:rFonts w:ascii="Times New Roman" w:hAnsi="Times New Roman"/>
          <w:color w:val="0070C0"/>
          <w:sz w:val="16"/>
          <w:szCs w:val="16"/>
        </w:rPr>
      </w:pPr>
    </w:p>
    <w:p w14:paraId="202937E0" w14:textId="77777777" w:rsidR="00985A63" w:rsidRPr="00142305" w:rsidRDefault="00985A63" w:rsidP="00985A6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марте 1931 г. на Кунцевском полигоне провели испытания АПК 76 мм, установленной в ТБ-1. Всего за три дня сделали 18 выстрелов шрапнелью по земле без прицеливания. На пилотирование самолета стрельба не повлияла, но при осмотре выявились дефор</w:t>
      </w:r>
      <w:r w:rsidRPr="00142305">
        <w:rPr>
          <w:rFonts w:ascii="Times New Roman" w:hAnsi="Times New Roman"/>
          <w:color w:val="0070C0"/>
          <w:sz w:val="16"/>
          <w:szCs w:val="16"/>
        </w:rPr>
        <w:softHyphen/>
        <w:t>мации обшивки и подкрепляющих профилей, вылетели некоторые заклепки. Ни летчик, ни заряжающий не виде</w:t>
      </w:r>
      <w:r w:rsidRPr="00142305">
        <w:rPr>
          <w:rFonts w:ascii="Times New Roman" w:hAnsi="Times New Roman"/>
          <w:color w:val="0070C0"/>
          <w:sz w:val="16"/>
          <w:szCs w:val="16"/>
        </w:rPr>
        <w:softHyphen/>
        <w:t>ли, куда стреляют. Отсутствие связи между ними вызвало немало нестыковок: заряжающему приходилось лазать по тесному проходу на четвереньках, таская снаряды и стре</w:t>
      </w:r>
      <w:r w:rsidRPr="00142305">
        <w:rPr>
          <w:rFonts w:ascii="Times New Roman" w:hAnsi="Times New Roman"/>
          <w:color w:val="0070C0"/>
          <w:sz w:val="16"/>
          <w:szCs w:val="16"/>
        </w:rPr>
        <w:softHyphen/>
        <w:t>ляные гильзы. Но этот первый эксперимент показал, что бомбардировщик можно вооружить пушкой (25004).</w:t>
      </w:r>
    </w:p>
    <w:p w14:paraId="685141A6" w14:textId="77777777" w:rsidR="00985A63" w:rsidRPr="00142305" w:rsidRDefault="00985A63" w:rsidP="00985A63">
      <w:pPr>
        <w:spacing w:after="0" w:line="240" w:lineRule="auto"/>
        <w:jc w:val="both"/>
        <w:rPr>
          <w:rFonts w:ascii="Times New Roman" w:hAnsi="Times New Roman"/>
          <w:color w:val="0070C0"/>
          <w:sz w:val="16"/>
          <w:szCs w:val="16"/>
        </w:rPr>
      </w:pPr>
    </w:p>
    <w:p w14:paraId="6D9DE8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апреле 1932 г. Надашкевичу и Курчевскому дали задание разработать схему размещения динамореактивных пушек на консолях крыла и в хвостовой части ТБ-3. Из сохранившихся документов не ясно, имелась в виду неподвижная или подвижная установка. А вот в отчете НИИ ВВС за первое полугодие 1934 г. довольно подробно описана "полуподвижная" (с ограниченными углами перемещения) установка с батареей из шести автоматических динамореактивных пушек АП К-4. Интересно, что в проекте предусматривалось автоматическое управление поворотом всех стволов от центральной системы управления огнем, как на корабле. Альтернативно предлагался комплект из девяти 20-мм обычных автоматических пушек с той же системой управления огнем "Гром". Но в том же году работу приостановили из-за проблем с финансированием.</w:t>
      </w:r>
    </w:p>
    <w:p w14:paraId="5DE2C1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Позже упор сделали не на динамореактивные, а на классические нарезные пушки. При том же калибре они имели в полтора раза более тяжелый снаряд, выигрывали в начальной скорости, а стало быть, в дальности и точности стрельбы. Минусом являлась отдача, сотрясавшая конструкцию самолета. Поэтому носителем их выбрали большой и тяжелый ТБ-3. Под руководством П.И. Гроховского бомбардировщик Туполева оснастили пушками весьма приличного калибра (12036).</w:t>
      </w:r>
    </w:p>
    <w:p w14:paraId="5F32A3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4C5BB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марта 1931 г. Остехбюро приступило к испытаниям высотной торпеды в рай</w:t>
      </w:r>
      <w:r w:rsidRPr="005E779E">
        <w:rPr>
          <w:rFonts w:ascii="Times New Roman" w:hAnsi="Times New Roman"/>
          <w:color w:val="000000" w:themeColor="text1"/>
          <w:sz w:val="16"/>
          <w:szCs w:val="16"/>
        </w:rPr>
        <w:softHyphen/>
        <w:t>оне Качи (20 км от Севастополя), в ко</w:t>
      </w:r>
      <w:r w:rsidRPr="005E779E">
        <w:rPr>
          <w:rFonts w:ascii="Times New Roman" w:hAnsi="Times New Roman"/>
          <w:color w:val="000000" w:themeColor="text1"/>
          <w:sz w:val="16"/>
          <w:szCs w:val="16"/>
        </w:rPr>
        <w:softHyphen/>
        <w:t>торых принимали участие два само</w:t>
      </w:r>
      <w:r w:rsidRPr="005E779E">
        <w:rPr>
          <w:rFonts w:ascii="Times New Roman" w:hAnsi="Times New Roman"/>
          <w:color w:val="000000" w:themeColor="text1"/>
          <w:sz w:val="16"/>
          <w:szCs w:val="16"/>
        </w:rPr>
        <w:softHyphen/>
        <w:t>лета. Первые сбросы торпед с само</w:t>
      </w:r>
      <w:r w:rsidRPr="005E779E">
        <w:rPr>
          <w:rFonts w:ascii="Times New Roman" w:hAnsi="Times New Roman"/>
          <w:color w:val="000000" w:themeColor="text1"/>
          <w:sz w:val="16"/>
          <w:szCs w:val="16"/>
        </w:rPr>
        <w:softHyphen/>
        <w:t>лета ТБ-1 показали, что система тор</w:t>
      </w:r>
      <w:r w:rsidRPr="005E779E">
        <w:rPr>
          <w:rFonts w:ascii="Times New Roman" w:hAnsi="Times New Roman"/>
          <w:color w:val="000000" w:themeColor="text1"/>
          <w:sz w:val="16"/>
          <w:szCs w:val="16"/>
        </w:rPr>
        <w:softHyphen/>
        <w:t>педометания работает удовлетвори</w:t>
      </w:r>
      <w:r w:rsidRPr="005E779E">
        <w:rPr>
          <w:rFonts w:ascii="Times New Roman" w:hAnsi="Times New Roman"/>
          <w:color w:val="000000" w:themeColor="text1"/>
          <w:sz w:val="16"/>
          <w:szCs w:val="16"/>
        </w:rPr>
        <w:softHyphen/>
        <w:t>тельно. Несмотря на ряд недостатков, ко</w:t>
      </w:r>
      <w:r w:rsidRPr="005E779E">
        <w:rPr>
          <w:rFonts w:ascii="Times New Roman" w:hAnsi="Times New Roman"/>
          <w:color w:val="000000" w:themeColor="text1"/>
          <w:sz w:val="16"/>
          <w:szCs w:val="16"/>
        </w:rPr>
        <w:softHyphen/>
        <w:t>миссия под председательством на</w:t>
      </w:r>
      <w:r w:rsidRPr="005E779E">
        <w:rPr>
          <w:rFonts w:ascii="Times New Roman" w:hAnsi="Times New Roman"/>
          <w:color w:val="000000" w:themeColor="text1"/>
          <w:sz w:val="16"/>
          <w:szCs w:val="16"/>
        </w:rPr>
        <w:softHyphen/>
        <w:t>чальника ВВС ЧМ В.К. Лаврова при</w:t>
      </w:r>
      <w:r w:rsidRPr="005E779E">
        <w:rPr>
          <w:rFonts w:ascii="Times New Roman" w:hAnsi="Times New Roman"/>
          <w:color w:val="000000" w:themeColor="text1"/>
          <w:sz w:val="16"/>
          <w:szCs w:val="16"/>
        </w:rPr>
        <w:softHyphen/>
        <w:t>знала испытания успешными (4144).</w:t>
      </w:r>
    </w:p>
    <w:p w14:paraId="20BB5D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F0ABD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марте 1931 Остехбюро начало серию испытаний высокой торпеды 10/15 в районе Качи в 20 км от Севастополя и в апреле 1931 доложили, что торпеда работает удовлетворительно при высоте сбрасывания 1000-1200 м, а при сбросе с больших высот время снижения превышает норму (1966,10).</w:t>
      </w:r>
    </w:p>
    <w:p w14:paraId="6A2793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B4F10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марте 1931 г. проводилась серия испытаний торпеды ВВС-15 в Крыму, в районе Севастополя. При сбросе с высоты 1000- 1200 м система работала удовлетворительно, выше - время спуска превышало расчетное. Когда попытались увеличить участок свободного падения, торпеда после приводнения работать отказывалась - слишком сильный получался удар. После внесения некоторых усовершенствований торпеду выставили на войсковые испытания. Их собирались проводить в июле, но по различным причинам сперва перенесли на август, а фактически начали лишь 19 сентября. Проводил их временно сформированный отряд 9-й авиабригады, которым командовал летчик Морозов. Состоял отряд из двух ТБ-1.</w:t>
      </w:r>
    </w:p>
    <w:p w14:paraId="73401F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Целью являлся линкор "Парижская Коммуна". Сбрасывали так, чтобы торпеда прошла заведомо мимо корабля. Дело в том, что не имелось "мнущихся" (практических) боевых зарядных отделений. В октябре, во время маневров флота, пара ТБ-1 залпом сбросила торпеды по буксируемому щиту в 15 милях от Херсонесского маяка. Обе промахнулись. Трудно было учесть снос парашютов ветром. Но механизмы торпед отработали исправно. Всего до 14 ноября выполнили девять сбрасываний. Поскольку в первую очередь всех интересовала баллистика системы, то часто сбрасывались "болванки" - габаритно-весовые макеты без "начинки"</w:t>
      </w:r>
    </w:p>
    <w:p w14:paraId="7DFA03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высотного метания сочли наиболее выгодным приспособить тоже 18-дюймовую торпеду образца 1910/15 г. (тип "Л"), Первоначально она предназначалась для подводных лодок. Парашютная система значительно увеличивала продольный габарит, но торпеда образца 1910/15 г. была существенно короче (и легче) торпеды образца 1912 г.</w:t>
      </w:r>
    </w:p>
    <w:p w14:paraId="7B7771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Авиационный вариант, именовавшийся в документах ВВС- 10/15 или просто ВВС-15, отличался от своего прототипа усиленным корпусом боевого отделения, наличием стопорных устройств, автоматически открывавшихся при ударе о воду, и парашютной системой. Последняя находилась в специальной коробке, крепившейся к хвостовой части торпеды.</w:t>
      </w:r>
    </w:p>
    <w:p w14:paraId="30577E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Парашютная система в значительной степени была унифицирована с авиационной миной ВОМИЗА-ЮО, создававшейся в том же ОТБ. В момент отделения от самолета открывались все предохранительные защелки. Сперва все падало как единое целое, затем набегающий воздушный поток откидывал назад козырек колпака, освобождая находившийся под ним самый маленький, стабилизирующий парашют. Через 1,5-2 с рывок от раскрытия купола приводил в действие автоматический затвор, соединявший колпак и парашютную коробку. После этого колпак отделялся вместе с маленьким парашютом. Затем выпускался следующий купол, побольше. Время опускания на нем варьировалось в зависимости от высоты сброса.</w:t>
      </w:r>
    </w:p>
    <w:p w14:paraId="279ED6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Еще в момент отделения от самолета запаливались дистанционные трубки. Назначением их было - через заданный промежуток времени поджечь пороховые заряды в замках между парашютной коробкой и торпедой. После чего под давлением пороховых газов замки автоматически открывались, и коробка, отделившись, опускалась на парашюте. Время горения дистанционных трубок подбиралось так, чтобы главные парашюты срабатывали на высоте 350-400 м. Такое устройство вынуждало пилотов жестко выдерживать высоту сброса торпеды. Если высота оказывалась больше расчетной, то увеличивалось время спуска, а с ним и вероятность уничтожения торпеды зенитным огнем с атакуемого корабля, шансы которого уйти из зоны циркуляции торпеды тоже возрастали. Если же сброс происходил слишком низко, то парашютная система могла попросту не успеть достаточно затормозить торпеду, сильный удар которой о воду мог привести к выходу из строя ее механизмов.</w:t>
      </w:r>
    </w:p>
    <w:p w14:paraId="139D2F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Главных куполов было два. Сначала раскрывался нижний, в 15 м под которым висела на тросах торпеда. Через 10-15 с после него выпускался верхний, тоже соединенный тросом с торпедой. Разделенное по времени раскрытие парашютов позволяло ослабить рывок. Этой же цели служили амортизаторы из резинового шнура, шедшие параллельно тросам. В ненагруженном состоянии их длина составляла примерно половину длины троса, поэтому динамический удар сначала гасился вытяжением амортизаторов.</w:t>
      </w:r>
    </w:p>
    <w:p w14:paraId="102A12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двух парашютах торпеда в наклонном положении снижалась до самой воды. При ударе о поверхность моря бугеля, соединявшие торпеду и тросы парашютной системы, раскрывались и сдергивались с корпуса вспомогательным амортизатором. Система обеспечивала ВВС-15 вход в воду со скоростью 20-25 м/с, что примерно соответствовало свободному падению с высоты 25-30 м, предельной для торпеды образца 1910/15 г.</w:t>
      </w:r>
    </w:p>
    <w:p w14:paraId="3925BB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Поскольку в боевых условиях парашютная система безвозвратно терялась, то, как и у ВОМИЗы, ее выполнили из недефицитных материалов. Купола изготовлялись из парусины, короб делали из кровельного железа, его крышку - из фанеры. На учениях все это поднимали из воды, находя по специальным буйкам, прикрепленным к элементам системы (12002).</w:t>
      </w:r>
    </w:p>
    <w:p w14:paraId="778FA7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A2ABA23" w14:textId="77777777" w:rsidR="0077047B" w:rsidRPr="005E779E" w:rsidRDefault="0077047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марте 1931 г. проводилась серия испытаний авиационных торпед ВВС-15 в Крыму, в районе Севасто</w:t>
      </w:r>
      <w:r w:rsidRPr="005E779E">
        <w:rPr>
          <w:rFonts w:ascii="Times New Roman" w:hAnsi="Times New Roman"/>
          <w:color w:val="000000" w:themeColor="text1"/>
          <w:sz w:val="16"/>
          <w:szCs w:val="16"/>
        </w:rPr>
        <w:softHyphen/>
        <w:t>поля. При сбросе с высот 1000-1200 м система работала удовлетворительно, выше - время спуска превышало расчетное. Когда попытались увеличить участок свободного падения, торпеда после приводнения работать отказывалась - слишком сильный полу</w:t>
      </w:r>
      <w:r w:rsidRPr="005E779E">
        <w:rPr>
          <w:rFonts w:ascii="Times New Roman" w:hAnsi="Times New Roman"/>
          <w:color w:val="000000" w:themeColor="text1"/>
          <w:sz w:val="16"/>
          <w:szCs w:val="16"/>
        </w:rPr>
        <w:softHyphen/>
        <w:t>чался удар. После внесения некоторых усовершенствований торпеду выставили на вой</w:t>
      </w:r>
      <w:r w:rsidRPr="005E779E">
        <w:rPr>
          <w:rFonts w:ascii="Times New Roman" w:hAnsi="Times New Roman"/>
          <w:color w:val="000000" w:themeColor="text1"/>
          <w:sz w:val="16"/>
          <w:szCs w:val="16"/>
        </w:rPr>
        <w:softHyphen/>
        <w:t>сковые испытания. Их собирались проводить в июле, но по различным причинам спер</w:t>
      </w:r>
      <w:r w:rsidRPr="005E779E">
        <w:rPr>
          <w:rFonts w:ascii="Times New Roman" w:hAnsi="Times New Roman"/>
          <w:color w:val="000000" w:themeColor="text1"/>
          <w:sz w:val="16"/>
          <w:szCs w:val="16"/>
        </w:rPr>
        <w:softHyphen/>
        <w:t>ва перенесли на август, а фактически начали лишь 19 сентября. Проводил их временно сформированный отряд 9-й авиабригады, которым командовал летчик Морозов. Со</w:t>
      </w:r>
      <w:r w:rsidRPr="005E779E">
        <w:rPr>
          <w:rFonts w:ascii="Times New Roman" w:hAnsi="Times New Roman"/>
          <w:color w:val="000000" w:themeColor="text1"/>
          <w:sz w:val="16"/>
          <w:szCs w:val="16"/>
        </w:rPr>
        <w:softHyphen/>
        <w:t>стоял отряд из двух ТБ-1.</w:t>
      </w:r>
    </w:p>
    <w:p w14:paraId="5433C7B4" w14:textId="77777777" w:rsidR="0077047B" w:rsidRPr="005E779E" w:rsidRDefault="0077047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Целью являлся линкор «Парижская Коммуна». Сбрасывали так, чтобы торпеда прошла заведомо мимо корабля. Дело в том, что не имелось «мнущихся» (практичес</w:t>
      </w:r>
      <w:r w:rsidRPr="005E779E">
        <w:rPr>
          <w:rFonts w:ascii="Times New Roman" w:hAnsi="Times New Roman"/>
          <w:color w:val="000000" w:themeColor="text1"/>
          <w:sz w:val="16"/>
          <w:szCs w:val="16"/>
        </w:rPr>
        <w:softHyphen/>
        <w:t>ких) боевых зарядных отделений. В октябре во время маневров флота пара ТБ-1 залпом сбросила торпеды по буксируемому щиту в 15 милях от Херсонесского маяка. Обе про</w:t>
      </w:r>
      <w:r w:rsidRPr="005E779E">
        <w:rPr>
          <w:rFonts w:ascii="Times New Roman" w:hAnsi="Times New Roman"/>
          <w:color w:val="000000" w:themeColor="text1"/>
          <w:sz w:val="16"/>
          <w:szCs w:val="16"/>
        </w:rPr>
        <w:softHyphen/>
        <w:t>махнулись. Трудно было учесть снос парашютов ветром. Но механизмы торпед отрабо</w:t>
      </w:r>
      <w:r w:rsidRPr="005E779E">
        <w:rPr>
          <w:rFonts w:ascii="Times New Roman" w:hAnsi="Times New Roman"/>
          <w:color w:val="000000" w:themeColor="text1"/>
          <w:sz w:val="16"/>
          <w:szCs w:val="16"/>
        </w:rPr>
        <w:softHyphen/>
        <w:t>тали исправно. Всего до 14 ноября выполнили девять сбрасываний. Поскольку в пер</w:t>
      </w:r>
      <w:r w:rsidRPr="005E779E">
        <w:rPr>
          <w:rFonts w:ascii="Times New Roman" w:hAnsi="Times New Roman"/>
          <w:color w:val="000000" w:themeColor="text1"/>
          <w:sz w:val="16"/>
          <w:szCs w:val="16"/>
        </w:rPr>
        <w:softHyphen/>
        <w:t>вую очередь всех интересовала баллистика системы, то часто сбрасывались «болван</w:t>
      </w:r>
      <w:r w:rsidRPr="005E779E">
        <w:rPr>
          <w:rFonts w:ascii="Times New Roman" w:hAnsi="Times New Roman"/>
          <w:color w:val="000000" w:themeColor="text1"/>
          <w:sz w:val="16"/>
          <w:szCs w:val="16"/>
        </w:rPr>
        <w:softHyphen/>
        <w:t>ки» - габаритно-весовые макеты без «начинки» (23464).</w:t>
      </w:r>
    </w:p>
    <w:p w14:paraId="6181147D" w14:textId="77777777" w:rsidR="0077047B" w:rsidRPr="005E779E" w:rsidRDefault="0077047B" w:rsidP="000B7A6C">
      <w:pPr>
        <w:spacing w:after="0" w:line="240" w:lineRule="auto"/>
        <w:jc w:val="both"/>
        <w:rPr>
          <w:rFonts w:ascii="Times New Roman" w:hAnsi="Times New Roman"/>
          <w:color w:val="000000" w:themeColor="text1"/>
          <w:sz w:val="16"/>
          <w:szCs w:val="16"/>
        </w:rPr>
      </w:pPr>
    </w:p>
    <w:p w14:paraId="5D6C4511" w14:textId="77777777" w:rsidR="0007328B" w:rsidRPr="005E779E" w:rsidRDefault="0007328B" w:rsidP="0007328B">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 марта 1931 г. Остехбюро приступило к испытаниям высотного варианта торпеды 45—15, получившей обозначение ВВС-10/15 в районе Качи (20 км от Севастополя), в которых принимали участие два самолета. Первые сбросы торпед с самолета ТБ-1 показали, что система торпедометания работает удовлетворительно. Несмотря на </w:t>
      </w:r>
      <w:r w:rsidRPr="005E779E">
        <w:rPr>
          <w:rFonts w:ascii="Times New Roman" w:hAnsi="Times New Roman"/>
          <w:color w:val="000000" w:themeColor="text1"/>
          <w:sz w:val="16"/>
          <w:szCs w:val="16"/>
        </w:rPr>
        <w:lastRenderedPageBreak/>
        <w:t>ряд недостатков, комиссия под председательством начальника ВВС ЧМ В.К. Лаврова признала испытания успешными. От прототипа ее отличал усиленный корпус боевого зарядного отделения (БЗО), более прочное оперение, к которому крепились гуськи парашютной коробки. Система торпедометания включала три парашюта — стабилизирующий и два тормозных. Торпеду снабдили более современными механическими взрывателями с вертушками, приводящими их в боевое состояние после прохождения торпедой определенного расстояния в воде. Снаряженная торпеда весила 1340 кг. Как и ТАН-12, торпеды ВВС-10/15 изготавливались на заводе «Двигатель» в Ленинграде.К январю 1930 г. собрали 60 торпед, в работе находилось еще 30 (15117).</w:t>
      </w:r>
    </w:p>
    <w:p w14:paraId="1DA27FDC" w14:textId="77777777" w:rsidR="0007328B" w:rsidRPr="005E779E" w:rsidRDefault="0007328B" w:rsidP="0007328B">
      <w:pPr>
        <w:spacing w:after="0" w:line="240" w:lineRule="auto"/>
        <w:jc w:val="both"/>
        <w:rPr>
          <w:rFonts w:ascii="Times New Roman" w:hAnsi="Times New Roman"/>
          <w:color w:val="000000" w:themeColor="text1"/>
          <w:sz w:val="16"/>
          <w:szCs w:val="16"/>
        </w:rPr>
      </w:pPr>
    </w:p>
    <w:p w14:paraId="4130C370" w14:textId="77777777" w:rsidR="00985A63" w:rsidRPr="00142305" w:rsidRDefault="00985A63" w:rsidP="00985A6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марте 1931 г. удалось организовать проведение испытаний торпеды ВВС-15 на Черном море, в районе Севастополя. Сбрасывание торпеды выпол</w:t>
      </w:r>
      <w:r w:rsidRPr="00142305">
        <w:rPr>
          <w:rFonts w:ascii="Times New Roman" w:hAnsi="Times New Roman"/>
          <w:color w:val="0070C0"/>
          <w:sz w:val="16"/>
          <w:szCs w:val="16"/>
        </w:rPr>
        <w:softHyphen/>
        <w:t>нялось с двухмоторного бомбардировщика ТБ-1. После выявления и устранения ряда дефектов в сентябре 1931 г. начали войсковые испытания с привлечением самолетов 9-й авиабригады ВВС Черноморского флота. В качестве цели выступал линкор «Парижская Коммуна», но применяли торпеды так, чтобы избежать прямых попаданий. Дело в том, что для ВВС-15 отсут</w:t>
      </w:r>
      <w:r w:rsidRPr="00142305">
        <w:rPr>
          <w:rFonts w:ascii="Times New Roman" w:hAnsi="Times New Roman"/>
          <w:color w:val="0070C0"/>
          <w:sz w:val="16"/>
          <w:szCs w:val="16"/>
        </w:rPr>
        <w:softHyphen/>
        <w:t>ствовали практические (безопасно сминающиеся) учебные БЗО, и в случае прямого соударения с корпусом корабля опасались нежелательных последствий. Позднее осуществили еще несколько сбрасываний по буксируемым щитам и пятнам краски, сформированным с помощью ориентирно-сигнальных бомб (25037).</w:t>
      </w:r>
    </w:p>
    <w:p w14:paraId="06C66BF8" w14:textId="77777777" w:rsidR="00985A63" w:rsidRPr="00142305" w:rsidRDefault="00985A63" w:rsidP="00985A63">
      <w:pPr>
        <w:spacing w:after="0" w:line="240" w:lineRule="auto"/>
        <w:jc w:val="both"/>
        <w:rPr>
          <w:rFonts w:ascii="Times New Roman" w:hAnsi="Times New Roman"/>
          <w:color w:val="0070C0"/>
          <w:sz w:val="16"/>
          <w:szCs w:val="16"/>
        </w:rPr>
      </w:pPr>
    </w:p>
    <w:p w14:paraId="2E99508E" w14:textId="77777777" w:rsidR="00985A63" w:rsidRPr="00142305" w:rsidRDefault="00985A63" w:rsidP="00985A63">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С марта 1931 г. Остехбюро приступило к испытаниям высоких торпед ВВС-10/15 в районе Качи (20 км от Севастополя), в которых принимали участие два самолета. Первые сбросы торпед с самолета ТБ-1 показали, что система торпедометания работает удовлетворительно.</w:t>
      </w:r>
    </w:p>
    <w:p w14:paraId="4AB43386" w14:textId="77777777" w:rsidR="00985A63" w:rsidRPr="00142305" w:rsidRDefault="00985A63" w:rsidP="00985A63">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Несмотря на ряд недостатков, комиссия под председательством начальника ВВС ЧМ В.К. Лаврова признала испытания успешными (25213).</w:t>
      </w:r>
    </w:p>
    <w:p w14:paraId="7E2970A5" w14:textId="77777777" w:rsidR="00985A63" w:rsidRPr="00142305" w:rsidRDefault="00985A63" w:rsidP="00985A63">
      <w:pPr>
        <w:spacing w:after="0" w:line="240" w:lineRule="auto"/>
        <w:jc w:val="both"/>
        <w:rPr>
          <w:rFonts w:ascii="Times New Roman" w:hAnsi="Times New Roman"/>
          <w:color w:val="0070C0"/>
          <w:sz w:val="16"/>
          <w:szCs w:val="16"/>
        </w:rPr>
      </w:pPr>
    </w:p>
    <w:p w14:paraId="603EB201" w14:textId="77777777" w:rsidR="00985A63" w:rsidRPr="00142305" w:rsidRDefault="00985A63" w:rsidP="00985A6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марте 1931 г. под руководством В.И. Дудакова на учебно</w:t>
      </w:r>
      <w:r w:rsidRPr="00142305">
        <w:rPr>
          <w:rFonts w:ascii="Times New Roman" w:hAnsi="Times New Roman"/>
          <w:color w:val="0070C0"/>
          <w:sz w:val="16"/>
          <w:szCs w:val="16"/>
        </w:rPr>
        <w:softHyphen/>
        <w:t>тренировочном самолете У-1 с пороховым ракетным ускорителем с тягой 150 кгс проводились опыты по сокращению длины и времени разбега. Время работы РДТТ составляло 1,5 с. Система работала надежно, но для учебно-тренировочного самолета стартовые ускорители интереса не представляли (25039).</w:t>
      </w:r>
    </w:p>
    <w:p w14:paraId="603FC254" w14:textId="77777777" w:rsidR="00985A63" w:rsidRPr="00142305" w:rsidRDefault="00985A63" w:rsidP="00985A63">
      <w:pPr>
        <w:spacing w:after="0" w:line="240" w:lineRule="auto"/>
        <w:jc w:val="both"/>
        <w:rPr>
          <w:rFonts w:ascii="Times New Roman" w:hAnsi="Times New Roman"/>
          <w:color w:val="0070C0"/>
          <w:sz w:val="16"/>
          <w:szCs w:val="16"/>
        </w:rPr>
      </w:pPr>
    </w:p>
    <w:p w14:paraId="5D07B5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марте 1931 Нач. УВВС РККА П.И.Б. писал в СНК: “...изобретение тов. Майзеля имеет выдающееся значение для ВФ” (8908,36).</w:t>
      </w:r>
    </w:p>
    <w:p w14:paraId="0BD90F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1323D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марте 1931 г. начальник ВВС П. И. Баранов докладывал Совнаркому, что "изобретение тов. Майзеля имеет выдающееся значение для Воздушного флота".</w:t>
      </w:r>
    </w:p>
    <w:p w14:paraId="1F6709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Речь шла о ЗАМ ("защитная авиационная мина") и ПБМ ("планирующая бомба-мина") конструкции инженера А.Е. Майзеля. Трудно даже подобрать для них подходящий термин. С. Резниченко в своей монографии классифицирует эту штуковину как "воздушную инерционно-ротационную планирующую торпеду". Это не крылатая ракета (хотя с крыльями и оперением), не самолет-снаряд (у него нет вообще никакого двигателя), но и не планер, поскольку имеется пропеллер. А вращал пропеллер ротор-маховик, предварительно раскрученный до 18 ООО об/мин - по тем временам очень много. Он же, являясь гироскопом, обеспечивал устойчивость аппарата на курсе. Сам Майзель называл свое детище "прибором". Майзелевскому детищу уделяли очень большое внимание.</w:t>
      </w:r>
    </w:p>
    <w:p w14:paraId="4ED2C2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Отсутствие двигателя и системы управления позволяло сделать аппарат очень легким. На боевую часть приходилось у ЗАМ более двух третей общего веса.</w:t>
      </w:r>
    </w:p>
    <w:p w14:paraId="06887A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Существовало много его разновидностей. Аппарат мог нести взрывчатку, зажигательные средства или отравляющие вещества. Головная часть, которую в будущем хотели сделать сменной, могла быть фугасной, осколочной или осветительной. У варианта ЗАМ-УСП ("увеличенной сферы поражения") на корпусе крепились батареи "мортирок" - гранатометов. Он теоретически предназначался для уничтожения большой группы самолетов противника или аэростатов заграждения. А чтобы сбить дирижабль, намеревались подрывать начиненный взрывчаткой ротор. При этом создавалась плоскость из разлетающихся радиально осколков. Вот только надо было подгадать так, чтобы в этой плоскости дирижабль как раз и оказался. Задача усложнялась полным отсутствием у аппарата какой-либо системы управления. Майзель считал простоту и дешевизну главными достоинствами своего изобретения и категорически отказывался от радиоуправления. Планер "прибора" планировали собирать из частей, изготовленных разными заводами, на конвейере, обеспечивая идентичность изготовленных экземпляров.</w:t>
      </w:r>
    </w:p>
    <w:p w14:paraId="3CDFEB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(или ПБМ) крепился под крылом самолета-носителя. Незадолго перед пуском от ветряка, установленного на носителе, через повышающий редуктор раскручивали ротор. Затем самолет прицеливался в нужном направлении и отцеплял "прибор". Далее он следовал самостоятельно по прямой. Тяги для горизонтального полета не хватало, поэтому аппарат шел со снижением. Разница между легким ЗАМ и тяжелым ПБМ фактически сводилась к траектории движения - более или менее пологой; соответственно менялся и радиус действия. Аппаратами ЗАМ намеревались стрелять по воздушным целям, ПБМ - по наземным. Для первых дальность составляла 500 - 1000 м, а для вторых определялась высотой сброса. При высоте пуска 2000 - 2300 м ПБМ мог пролететь 12-13 км. Дальность еще зависела от степени раскрутки ротора, качества его балансировки и трения в подшипниках.</w:t>
      </w:r>
    </w:p>
    <w:p w14:paraId="7567CE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дальнейшем намеревались создать большие ПБМ с нагрузкой в 200 кг взрывчатки или иприта, запускаемые на дальность 40 - 50 км. Интересно, как это собирались сделать, поскольку тяга, создаваемая пропеллером, присоединенным к ротору, в ходе полета уменьшалась; одновременно ухудшалась устойчивость на курсе, поскольку ослабевал гироскопический эффект. На испытаниях это проявлялось уже после пролета 2000 м.</w:t>
      </w:r>
    </w:p>
    <w:p w14:paraId="2A6264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"ЗАМоносцы" были включены в "Систему вооружения ВВС РККА" на 1932-34 годы. Этим оружием собирались оснастить многие типы боевых самолетов. Так, ТБ-3 должен был нести под крыльями два больших ПБМ весом по 550 кг каждый (боевая часть - 200 кг).</w:t>
      </w:r>
    </w:p>
    <w:p w14:paraId="1BB448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и ПБМ неоднократно проходили летные испытания, на Ногинском полигоне в Подмосковье и в Крыму. Но больших успехов не достигли. Технология самолетостроения того времени, во многом кустарная, не могла обеспечить устойчивое движение аппарата по прямой. Небольшая разница в очертаниях правого и левого крыла или оперения приводила к полету "прибора" по замысловатым траекториям. То, что он самопроизвольно менял высоту, влияло на дальность. На испытаниях "приборы" делали подчас 500- метровые "свечки". А вот изменение направления могло привести вообще к печальным последствиям. В ходе испытаний в Крыму дважды аппараты выходили из границ полигона и падали у населенных пунктов. Один раз "прибор" (без взрывчатки) свалился на окраине Евпатории. ЗАМ- УС П вообще после начала отстрела гранат шел по замысловатой и непредсказуемой ломаной траектории. Как было написано в отчете: "...создается сфера рассеивания, не поддающаяся учету".</w:t>
      </w:r>
    </w:p>
    <w:p w14:paraId="6E53DC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Тем не менее, в 1935 г. нарком К.Е. Ворошилов подписал приказ о сдаче 50 аппаратов ЗАМ-М (модернизированных) и ПБМ в боевом снаряжении на вооружение ВВС. Партию приняли, но вскоре работы приостановили, конструкторское бюро разогнали, а уже готовые изделия уничтожили.</w:t>
      </w:r>
    </w:p>
    <w:p w14:paraId="225120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Однако в 1937 г. Майзелю, свалив все неудачи на происки "врагов народа", удалось добиться формирования нового ОКБ-17 и продолжения разработки своих "приборов". Доводку ЗАМ и ПБМ вели вплоть до июня 1939 г., когда идею Майзеля окончательно похоронили как бесполезную. Но до этого момента на нее успели истратить около 10 миллионов рублей! (12036).</w:t>
      </w:r>
    </w:p>
    <w:p w14:paraId="1D46E2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36DD0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марте 1931 года по приказу начальника Военно-строительного управления РККА в Москве в районе Дангауэровской слободы было приступлено к строительству завода деревянных труб (будущего завода № 383). Площадка под строительство была выбрана в одном из промышленных районов, с учетом производства наименьших капитальных затрат на прокладку водопровода, электролиний, а также устройства подъездных ширококолейных ж/д путей в непосредственной близости от ст. Сортировочная Московско-Рязанской ж/д.</w:t>
      </w:r>
    </w:p>
    <w:p w14:paraId="66D92F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связи с частичной нехваткой металлических труб в стране, связанной с проводившейся в то время экономией металла, завод строился легкого, временного типа, для производства деревянных водопроводных и других труб.</w:t>
      </w:r>
    </w:p>
    <w:p w14:paraId="34F9C4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Отчетных материалов за 1931 год не сохранилось; из материалов последующих лет явствует, что на конец 1931 года завод в основном был построен и стал выпускать продукцию – деревянные трубы. В 1932 году завод вступил в эксплуатацию. В 1933 году, продолжая производство деревянных труб, приступил на имевшихся производственных площадях к производству строительных деталей – оконные переплеты, двери, плинтус и т.п. В 1934 году производство труб было прекращено. В 1935 году развивалось производство стройдеталей и мебели для оборудования санаториев, домов отдыха и военных академий. С началом ВОВ завод перешел на другую систему и переключился на выпуск совершенно новой для него продукции. Согласно распоряжения СНК от 28 июля 1941 года и приказу НКОП № 800с от 6 августа 1941 года, завод № 3 Главвоенстроя был передан в систему НКАП с присвоением ему наименования – завод № 383 НКАП. Начиная с этого момента завод быстро переключается на производство деревянных моноблочных воздушных винтов и лопастей к винтам изменяемого шага, производя для этого реконструкцию, перепланировку цехов и т.д.</w:t>
      </w:r>
    </w:p>
    <w:p w14:paraId="6D043A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Адрес: Москва, Е-24, проезд Энтузиастов, 15</w:t>
      </w:r>
    </w:p>
    <w:p w14:paraId="5647CC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Производственный профиль – завод самолетных винтов, с деревянными лопастями</w:t>
      </w:r>
    </w:p>
    <w:p w14:paraId="1B8305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1942 году основной продукцией завода являлись моноблочные винты и лопасти к ВИШ (9666).</w:t>
      </w:r>
    </w:p>
    <w:p w14:paraId="0C8248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D3213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марте 1931 года Отдел специального назначения (ОСН) был переведен в новое задние Наркомтяжпрома – Китайский проезд. Осенью 1931 года ОСН в полном составе в результате реорганизации Гипромеза выделился в самостоятельную проектную организацию под название Московское отделение Гипроспецмета. Основное производство Гипроспецмета и управление находилось в Ленинграде. В марте 1932 года Гипроспецмет разделился на две независимые проектные организации. За орудийно-арсенальным сектором сохранилось название Гипроспецмет. Самолетный сектор стал ядром проектного института авиапромышленности. Новому институту приказом по ГУАП – НКТП было присвоено название Гипроавиа.</w:t>
      </w:r>
    </w:p>
    <w:p w14:paraId="051E93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Институт Гипроавиа возник в результате слияния двух групп:</w:t>
      </w:r>
    </w:p>
    <w:p w14:paraId="010514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а) самолетной группы Гипроспецмета</w:t>
      </w:r>
    </w:p>
    <w:p w14:paraId="3AF399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группы сотрудников ВАО.</w:t>
      </w:r>
    </w:p>
    <w:p w14:paraId="2E5E64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Новому проектному институту было отведено помещение на ул. Володарского, 20.</w:t>
      </w:r>
    </w:p>
    <w:p w14:paraId="7632CF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Были скомплектованы самолетный и моторный отделы и приступили к организации некоторых других специальных отделов. Июнь 1932 года можно считать началом создания отраслевого проектного института авиапромышленности. В 1935 году приказом по ГУАП-НКТП институту присвоено новое название – 1-й государственный проектный институт (1-й ГПИ), сохранившееся до 1941 года. В начале 1941 года институт получил новое помещение на Верхней Масловке, д. 90, где находится до настоящего времени.</w:t>
      </w:r>
    </w:p>
    <w:p w14:paraId="16625D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целях приближения исполнителей к объектам строительства для наиболее оперативного решения вопросов проектирования на местах институтом создавались проектные бригады на площадках заводов. В 1934 году начали работать Запорожская и Воронежская бригады. Воронежская бригада была в 1937 году реорганизована в Юго-Восточный филиал с местонахождением в Воронеже. В 1940 году филиал института был создан в Ленинграде.</w:t>
      </w:r>
    </w:p>
    <w:p w14:paraId="56A324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 время ВОВ был организован Куйбышевский филиал, который некоторый период времени выполнял функции центрального производства (9893).</w:t>
      </w:r>
    </w:p>
    <w:p w14:paraId="4BB74D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F408B59" w14:textId="77777777" w:rsidR="0093631F" w:rsidRPr="005E779E" w:rsidRDefault="0093631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марте 1931 г. в Ленинграде проводились первые в СССР опыты по применению пороховых ракет в качестве ускорителей взлета самолета. Две ракеты конструкции Артиллерийского НИИ устанавливались под кры</w:t>
      </w:r>
      <w:r w:rsidRPr="005E779E">
        <w:rPr>
          <w:rFonts w:ascii="Times New Roman" w:hAnsi="Times New Roman"/>
          <w:color w:val="000000" w:themeColor="text1"/>
          <w:sz w:val="16"/>
          <w:szCs w:val="16"/>
        </w:rPr>
        <w:softHyphen/>
        <w:t xml:space="preserve">лом самолета У-1 /Авро/, управляемого латчиком Сергеем Ивановичем </w:t>
      </w:r>
    </w:p>
    <w:p w14:paraId="4A2EBFA8" w14:textId="77777777" w:rsidR="0093631F" w:rsidRPr="005E779E" w:rsidRDefault="0093631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Мухиным. Полетами руководил инженер Вячеслав Иванович Дудаков, предложивший эту идею в 1928 году и разработавший конструкцию ракетных установок. Опыты прошли удачно, разбег самолета сокращался в 5-6 раз. В 1932 году опыты были продолжены на самолете ТБ-1.</w:t>
      </w:r>
    </w:p>
    <w:p w14:paraId="7E7B6033" w14:textId="77777777" w:rsidR="0093631F" w:rsidRPr="005E779E" w:rsidRDefault="0093631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/"Ракетная техника", 1936 № 2, материалы В.И.Дудакова/ (23370).</w:t>
      </w:r>
    </w:p>
    <w:p w14:paraId="5E26925D" w14:textId="77777777" w:rsidR="0093631F" w:rsidRPr="005E779E" w:rsidRDefault="0093631F" w:rsidP="000B7A6C">
      <w:pPr>
        <w:spacing w:after="0" w:line="240" w:lineRule="auto"/>
        <w:jc w:val="both"/>
        <w:rPr>
          <w:rFonts w:ascii="Times New Roman" w:hAnsi="Times New Roman"/>
          <w:color w:val="000000" w:themeColor="text1"/>
          <w:sz w:val="16"/>
          <w:szCs w:val="16"/>
        </w:rPr>
      </w:pPr>
    </w:p>
    <w:p w14:paraId="5235F2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марте 1931 года в эллинге на Волковом поле в Ленинграде проводилась сборка дирижабля В-1. 9 апреля 1931 года состоялся первый полет В-1 (командир корабля — В. Л. Нижевский). Испытания показали, что летные характеристики дирижабля соответствовали расчетным. 29 апреля 1932 года В-1 вышел из Ленинграда и 1 мая прибыл в Москву. Дирижабль В-1 неоднократно модернизировали. Последняя, четвертая модернизация была проведена в 1939 году. По чертежам этой модернизации в том же году построили еще два дирижабля: СССР В-1бис и СССР В-12. Первый в 1942-1944 годах по заданию командования выполнил 1473 полета, а дирижабль В-12 прослужил до лета 1945 года (10731).</w:t>
      </w:r>
    </w:p>
    <w:p w14:paraId="7AB5B9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89E2FAC" w14:textId="77777777" w:rsidR="001707A1" w:rsidRPr="005E779E" w:rsidRDefault="001707A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марте 1931 г. конструкторскому отделу Гроховского были переданы опытные мастерские НИИ ВВС. В 1930 в соответствии решением командования Военно-воздушных сил РККА о проведении Научно-исследовательским институтом ВВС исследовательских работ по созданию и испытанию различных типов средств выброски военной техники и боевых грузов с парашютамив НИИ ВВС в 1930 г. был создан конструкторский отдел под руководством военного летчика, участника Гражданской войны, талантливого изобретателя Гроховского Павла Игнатьевича. Главной задачей отдела были разработка, изготовление и испытание новых образцов парашютно-десантной техники. Все работы, возлагаемые на конструкторский отдел, объединялись общей темой - «Воздушная пехота». Несколько позже отдел был преобразован в особое конструкторское бюро (15506).</w:t>
      </w:r>
    </w:p>
    <w:p w14:paraId="5797B485" w14:textId="77777777" w:rsidR="001707A1" w:rsidRPr="005E779E" w:rsidRDefault="001707A1" w:rsidP="000B7A6C">
      <w:pPr>
        <w:spacing w:after="0" w:line="240" w:lineRule="auto"/>
        <w:jc w:val="both"/>
        <w:rPr>
          <w:rFonts w:ascii="Times New Roman" w:hAnsi="Times New Roman"/>
          <w:color w:val="000000" w:themeColor="text1"/>
          <w:sz w:val="16"/>
          <w:szCs w:val="16"/>
        </w:rPr>
      </w:pPr>
    </w:p>
    <w:p w14:paraId="71F546C1" w14:textId="77777777" w:rsidR="001707A1" w:rsidRPr="005E779E" w:rsidRDefault="001707A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марте 1931 г. был сформирован нештатный авиамотодесантный отряд в Ленинградском военном округе (15506).</w:t>
      </w:r>
    </w:p>
    <w:p w14:paraId="69A83E4A" w14:textId="77777777" w:rsidR="001707A1" w:rsidRPr="005E779E" w:rsidRDefault="001707A1" w:rsidP="000B7A6C">
      <w:pPr>
        <w:spacing w:after="0" w:line="240" w:lineRule="auto"/>
        <w:jc w:val="both"/>
        <w:rPr>
          <w:rFonts w:ascii="Times New Roman" w:hAnsi="Times New Roman"/>
          <w:color w:val="000000" w:themeColor="text1"/>
          <w:sz w:val="16"/>
          <w:szCs w:val="16"/>
        </w:rPr>
      </w:pPr>
    </w:p>
    <w:p w14:paraId="766A978A"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7244703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D3813D1" w14:textId="77777777" w:rsidR="00632EC2" w:rsidRPr="005E779E" w:rsidRDefault="00632EC2" w:rsidP="000B7A6C">
      <w:pPr>
        <w:pStyle w:val="ae"/>
        <w:shd w:val="clear" w:color="auto" w:fill="FFFFFF"/>
        <w:spacing w:before="0" w:after="0"/>
        <w:jc w:val="both"/>
        <w:rPr>
          <w:color w:val="000000" w:themeColor="text1"/>
          <w:sz w:val="16"/>
          <w:szCs w:val="16"/>
        </w:rPr>
      </w:pPr>
      <w:r w:rsidRPr="005E779E">
        <w:rPr>
          <w:color w:val="000000" w:themeColor="text1"/>
          <w:sz w:val="16"/>
          <w:szCs w:val="16"/>
        </w:rPr>
        <w:t>В марте 1931 года начальник Артиллерийского научно-исследовательского института (АНИИ) Фавицкий на свой страх и риск обратился лично к начальнику особого отдела ОГПУ Ленинградского военного округа с ходатайством не привлекать сотрудников АНИИ к уголовной ответственности за просчеты в научно-исследовательской деятельности. В своем письме он приводил очень веские аргументы, с которыми трудно не согласиться. Начальник института, в частности, исключительно точно подметил: «Если за неудачный опыт инженеру грозит трибунал, инженер перестает быть инженером и становится чиновником» (20981).</w:t>
      </w:r>
    </w:p>
    <w:p w14:paraId="3B5CF206" w14:textId="77777777" w:rsidR="00632EC2" w:rsidRPr="005E779E" w:rsidRDefault="00632EC2" w:rsidP="000B7A6C">
      <w:pPr>
        <w:pStyle w:val="ae"/>
        <w:shd w:val="clear" w:color="auto" w:fill="FFFFFF"/>
        <w:spacing w:before="0" w:after="0"/>
        <w:jc w:val="both"/>
        <w:rPr>
          <w:color w:val="000000" w:themeColor="text1"/>
          <w:sz w:val="16"/>
          <w:szCs w:val="16"/>
        </w:rPr>
      </w:pPr>
    </w:p>
    <w:p w14:paraId="469285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марте 1931 года работа над проектом ТМ-1-14 была завершена. Изготовление транспортеров этого типа было поручено нескольким заводам. Главные балки и тележки были сделаны на заводе «Красный Путиловец» (бывший Путиловский, позже — Кировский). Отливки — на заводе имени Ленина, поковки — на Обуховском заводе («Большевик»). Вагоны специального назначения были заказаны заводу имени Егорова. Остальные узлы и самое ответственное дело — сборку транспортеров — производил ЛМЗ (Ленинградский металлический завод) (11454).</w:t>
      </w:r>
    </w:p>
    <w:p w14:paraId="7E0E4E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5D706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марте 1931 Э.Гроте предложил УММ РККА два варианта проекта 1000 тонного танка с установкой вооружения в 6 башнях, в т.ч. с 2х304 м, 4х152 мм. Экипаж - 40 чел., броня 250-300 мм, дно и крыша - 60-100 мм, двигатели -24000 нр (9527,152).</w:t>
      </w:r>
    </w:p>
    <w:p w14:paraId="25169D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F9EC3E8" w14:textId="77777777" w:rsidR="00824AB6" w:rsidRPr="005E779E" w:rsidRDefault="00824AB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марте 1931 г. для Т-24 на заводе «Большевик» разработали упрощенный вариант коробки передач с бортовыми фрикционами и с использованием маховика от главного фрикциона, а также сварной корпус с уменьшенной на 400 кг массой. Кроме того, предлагался вариант спаренной установки пушки и пулемета в большой башне. Летом того же года ожидалось проведение испытаний в танке специального двигателя мощностью 180 л.с. конструкции завода «Большевик». Предпринимались попытки модернизации Т-24, которые, впрочем, остались только в проектах. Так, в марте 1931 г. ГКБ предложило проект спаренной установки 45-мм пушки и 7,62-мм пулемета ДТ, расположенной в главной башне, а также сварного корпуса (применение сварки обещало снижение массы машины на 400 кг). В целях проверки возможности обеспечения коллективной защиты экипажа в условиях применения боевых ОВ был изготовлен один корпус танка Т-24 со специальными уплотнениями, для которого ВОХИМУ разработало противодымный фильтр.В ноябре 1931 г. КБ №3 Оружобъединения выполнило проект модернизированного танка Т-24 с использованием трансмиссии танка Т-28. Опытный образец машины планировалось изготовить на заводе «Большевик» к 15 апреля 1932 г., но проект так и не был реализован (12303).</w:t>
      </w:r>
    </w:p>
    <w:p w14:paraId="38CE890D" w14:textId="77777777" w:rsidR="00824AB6" w:rsidRPr="005E779E" w:rsidRDefault="00824AB6" w:rsidP="000B7A6C">
      <w:pPr>
        <w:spacing w:after="0" w:line="240" w:lineRule="auto"/>
        <w:jc w:val="both"/>
        <w:rPr>
          <w:rFonts w:ascii="Times New Roman" w:hAnsi="Times New Roman"/>
          <w:color w:val="000000" w:themeColor="text1"/>
          <w:sz w:val="16"/>
          <w:szCs w:val="16"/>
        </w:rPr>
      </w:pPr>
    </w:p>
    <w:p w14:paraId="5D17F130" w14:textId="77777777" w:rsidR="00FD699B" w:rsidRPr="00142305" w:rsidRDefault="00FD699B" w:rsidP="00FD699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марте 1931 г. для Т-24 на заводе «Большевик» разработали упрощенный вариант коробки передач с бортовыми фрикционами и с использованием маховика от главного фрикциона, а также сварной корпус с уменьшенной на 400 кг массой. Кроме того, предлагался вариант спаренной установки пушки и пулемета в большой башне. Летом того же года ожидалось проведение испытаний в </w:t>
      </w:r>
      <w:hyperlink r:id="rId41" w:history="1">
        <w:r w:rsidRPr="00142305">
          <w:rPr>
            <w:rStyle w:val="a5"/>
            <w:rFonts w:ascii="Times New Roman" w:hAnsi="Times New Roman"/>
            <w:color w:val="0070C0"/>
            <w:sz w:val="16"/>
            <w:szCs w:val="16"/>
          </w:rPr>
          <w:t>танк</w:t>
        </w:r>
      </w:hyperlink>
      <w:r w:rsidRPr="00142305">
        <w:rPr>
          <w:rFonts w:ascii="Times New Roman" w:hAnsi="Times New Roman"/>
          <w:color w:val="0070C0"/>
          <w:sz w:val="16"/>
          <w:szCs w:val="16"/>
        </w:rPr>
        <w:t>е специального двигателя мощностью 180 л.с. конструкции завода «Большевик» (25479).</w:t>
      </w:r>
    </w:p>
    <w:p w14:paraId="7A8C9893" w14:textId="77777777" w:rsidR="00FD699B" w:rsidRPr="00142305" w:rsidRDefault="00FD699B" w:rsidP="00FD699B">
      <w:pPr>
        <w:spacing w:after="0" w:line="240" w:lineRule="auto"/>
        <w:jc w:val="both"/>
        <w:rPr>
          <w:rFonts w:ascii="Times New Roman" w:hAnsi="Times New Roman"/>
          <w:color w:val="0070C0"/>
          <w:sz w:val="16"/>
          <w:szCs w:val="16"/>
        </w:rPr>
      </w:pPr>
    </w:p>
    <w:p w14:paraId="07C7E0A6" w14:textId="77777777" w:rsidR="0007328B" w:rsidRPr="00142305" w:rsidRDefault="0007328B" w:rsidP="0007328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марте 1931 машину Кристи № 2051 доста</w:t>
      </w:r>
      <w:r w:rsidRPr="00142305">
        <w:rPr>
          <w:rFonts w:ascii="Times New Roman" w:hAnsi="Times New Roman"/>
          <w:color w:val="0070C0"/>
          <w:sz w:val="16"/>
          <w:szCs w:val="16"/>
        </w:rPr>
        <w:softHyphen/>
        <w:t>вили на полигон в Кубинку, где ее про</w:t>
      </w:r>
      <w:r w:rsidRPr="00142305">
        <w:rPr>
          <w:rFonts w:ascii="Times New Roman" w:hAnsi="Times New Roman"/>
          <w:color w:val="0070C0"/>
          <w:sz w:val="16"/>
          <w:szCs w:val="16"/>
        </w:rPr>
        <w:softHyphen/>
        <w:t>демонстрировали высшему и старшему командному составу РККА и членам правительства. Различные делегации «высоких гостей» знакомились с замор</w:t>
      </w:r>
      <w:r w:rsidRPr="00142305">
        <w:rPr>
          <w:rFonts w:ascii="Times New Roman" w:hAnsi="Times New Roman"/>
          <w:color w:val="0070C0"/>
          <w:sz w:val="16"/>
          <w:szCs w:val="16"/>
        </w:rPr>
        <w:softHyphen/>
        <w:t>ской диковинкой вплоть до 16 апреля, при этом танк неизменно производил на присутствующих хорошее впечатление (25009).</w:t>
      </w:r>
    </w:p>
    <w:p w14:paraId="1A01E852" w14:textId="77777777" w:rsidR="0007328B" w:rsidRPr="00142305" w:rsidRDefault="0007328B" w:rsidP="0007328B">
      <w:pPr>
        <w:spacing w:after="0" w:line="240" w:lineRule="auto"/>
        <w:jc w:val="both"/>
        <w:rPr>
          <w:rFonts w:ascii="Times New Roman" w:hAnsi="Times New Roman"/>
          <w:color w:val="0070C0"/>
          <w:sz w:val="16"/>
          <w:szCs w:val="16"/>
        </w:rPr>
      </w:pPr>
    </w:p>
    <w:p w14:paraId="666C959B" w14:textId="77777777" w:rsidR="00824AB6" w:rsidRPr="005E779E" w:rsidRDefault="00824AB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марте 1931 г. ГКБ предложило проект спаренной установки 45-мм пушки и 7,62-мм пулемета ДТ, расположенной в главной башне, а также сварного корпуса (применение сварки обещало снижение массы машины на 400 кг). В целях проверки возможности обеспечения коллективной защиты экипажа в условиях применения боевых ОВ был изготовлен один корпус танка Т-24 со специальными уплотнениями, для которого ВОХИМУ разработало противодымный фильтр.В ноябре 1931 г. КБ №3 Оружобъединения выполнило проект модернизированного танка Т-24 с использованием трансмиссии танка Т-28. Опытный образец машины планировалось изготовить на заводе «Большевик» к 15 апреля 1932 г., но проект так и не был реализован (12303).</w:t>
      </w:r>
    </w:p>
    <w:p w14:paraId="6EB44C00" w14:textId="77777777" w:rsidR="00824AB6" w:rsidRPr="005E779E" w:rsidRDefault="00824AB6" w:rsidP="000B7A6C">
      <w:pPr>
        <w:spacing w:after="0" w:line="240" w:lineRule="auto"/>
        <w:jc w:val="both"/>
        <w:rPr>
          <w:rFonts w:ascii="Times New Roman" w:hAnsi="Times New Roman"/>
          <w:color w:val="000000" w:themeColor="text1"/>
          <w:sz w:val="16"/>
          <w:szCs w:val="16"/>
        </w:rPr>
      </w:pPr>
    </w:p>
    <w:p w14:paraId="15D47D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марте 1931 ГКБ разработало проект спаренной установки 45 мм пушки и 7.62 мм пулемета ДТ для Т-24, а также сварного корпуса (9527,117).</w:t>
      </w:r>
    </w:p>
    <w:p w14:paraId="13CD7E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BB4AC71" w14:textId="77777777" w:rsidR="0007328B" w:rsidRPr="00142305" w:rsidRDefault="0007328B" w:rsidP="0007328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марте 1931 г. ГКБ предложило проект спаренной установки 45-мм пушки и 7,62-мм пулемета ДТ, расположенной в главной башне, а также сварного корпуса(применение сварки обещало снижение массы машины на 400 кг). В целях проверки возможности обеспечения коллективной защиты экипажа в условиях применения боевых ОВ был изготовлен один корпус танка Т-24 со специальными уплотнениями, для которого ВОХИМУ разработало противодымный фильтр (25479).</w:t>
      </w:r>
    </w:p>
    <w:p w14:paraId="2D4815FC" w14:textId="77777777" w:rsidR="0007328B" w:rsidRPr="00142305" w:rsidRDefault="0007328B" w:rsidP="0007328B">
      <w:pPr>
        <w:spacing w:after="0" w:line="240" w:lineRule="auto"/>
        <w:jc w:val="both"/>
        <w:rPr>
          <w:rFonts w:ascii="Times New Roman" w:hAnsi="Times New Roman"/>
          <w:color w:val="0070C0"/>
          <w:sz w:val="16"/>
          <w:szCs w:val="16"/>
        </w:rPr>
      </w:pPr>
    </w:p>
    <w:p w14:paraId="4D78630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марте 1931 года После возвращения Н.М.Тоскина из Америки, он вначале консультировал разработку чертежей колесно-гусеничного танка БТ-2, сообразуясь с условиями производства танков на ХПЗ им. Комин</w:t>
      </w:r>
      <w:r w:rsidRPr="005E779E">
        <w:rPr>
          <w:rFonts w:ascii="Times New Roman" w:hAnsi="Times New Roman"/>
          <w:color w:val="000000" w:themeColor="text1"/>
          <w:sz w:val="16"/>
          <w:szCs w:val="16"/>
        </w:rPr>
        <w:softHyphen/>
        <w:t>терна, ставший после завода «Большевик» еще одним центром танкового производства. По сути это было решение начать производство колесно-гусеничного танка БТ на базе танка Кристи.</w:t>
      </w:r>
    </w:p>
    <w:p w14:paraId="1E7CFE2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течение второй половины 1930 года в ГКБ ОАТ велась разработка чертежей этого танка на базе закупленного образца. Из прибывших двух шасси Кристи, как их называли «заокеанских машин», — одно было под</w:t>
      </w:r>
      <w:r w:rsidRPr="005E779E">
        <w:rPr>
          <w:rFonts w:ascii="Times New Roman" w:hAnsi="Times New Roman"/>
          <w:color w:val="000000" w:themeColor="text1"/>
          <w:sz w:val="16"/>
          <w:szCs w:val="16"/>
        </w:rPr>
        <w:softHyphen/>
        <w:t>робно изучено, затем разобрано и детализировано. Второе шасси было подвергнуто всесторонним испытаниям на научно-исследовательском по</w:t>
      </w:r>
      <w:r w:rsidRPr="005E779E">
        <w:rPr>
          <w:rFonts w:ascii="Times New Roman" w:hAnsi="Times New Roman"/>
          <w:color w:val="000000" w:themeColor="text1"/>
          <w:sz w:val="16"/>
          <w:szCs w:val="16"/>
        </w:rPr>
        <w:softHyphen/>
        <w:t>лигоне в Нахабино.</w:t>
      </w:r>
    </w:p>
    <w:p w14:paraId="3C2F17D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 разработке чертежей будущего танка приняли участие А.О. Фирсов, В.Э Клодт и К.И. Цереквицкий. На время разработки в ГКБ был коман</w:t>
      </w:r>
      <w:r w:rsidRPr="005E779E">
        <w:rPr>
          <w:rFonts w:ascii="Times New Roman" w:hAnsi="Times New Roman"/>
          <w:color w:val="000000" w:themeColor="text1"/>
          <w:sz w:val="16"/>
          <w:szCs w:val="16"/>
        </w:rPr>
        <w:softHyphen/>
        <w:t>дирован и И.Н.Алексенко и с ним несколько конструкторов (11504).</w:t>
      </w:r>
    </w:p>
    <w:p w14:paraId="75B2DF6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328B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марте 1931 Д-4 совершил первую пробежку по заводскому двору. Однако сразу стало ясно, что машина "не удалась". Несмотря на то что механизм перехода с гусениц на колеса работал, он оказался настолько громоздким, сложным и ненадежным, что ни о каком серийном производстве речь идти не могла. Масса танка оказалась выше рассчетной (около 15т), поэтому Д-4 с трудом мог передвигаться на колесах даже по бетонному полу заводского цеха. Правда, на гусеницах он двигался не лучше из-за неудачной конструкции трансмисии, которая постоянна ломалась. Из-за всего этого, а также из-за малой мощности двигателей, неудачной системы подвески опорных катков о достижении заявленной Дыренковым скорости - 35 км/ч на гусеницах - приходилось только мечтать. Поняв, что обещанная военным чудо-машина на получилась, горе-изобретатель тут же приступил к постройке нового танка - Д-5. По замыслу Дыренкова, при сохранении колесно-гусенично-железнодорожно-подводного хода Д-5 имел броню до 35 мм, две башни с 76-мм пушками и двигатель М-17. Ориентировочная масса нового танка оставляла 25 т (10291).</w:t>
      </w:r>
    </w:p>
    <w:p w14:paraId="3030C9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AC0E1E5" w14:textId="77777777" w:rsidR="001707A1" w:rsidRPr="005E779E" w:rsidRDefault="001707A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марте 1931 года удалось провести несколько пробежек Д-4 по заводскому двору на колесах. Даже не начав испытательного цикло стало очевидно, что Д-4 как боевая машина перспектив не имеет. Из-за большой сложности и низкой надежности конструкции ходовой части её нормальная эксплуатация была исключена, так как даже по бетонному полу </w:t>
      </w:r>
      <w:hyperlink r:id="rId42"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 двигался с большим трудом. Смена хода проходила нормально, однако на гусеницах </w:t>
      </w:r>
      <w:hyperlink r:id="rId43"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 вёл себя ещё хуже, что в конечном итоге привело к выходу из строя трансмиссии. В качестве причин поломок была указана малая мощность двигателей и неудачная система подвески опорных катков. К тому же масса Д-4 оказалась выше расчетной и составила около 15 тонн, и это при том, что на </w:t>
      </w:r>
      <w:hyperlink r:id="rId44"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е ещё не было установлено вооружение и оборудование подводного хода.</w:t>
      </w:r>
    </w:p>
    <w:p w14:paraId="34A6EDE0" w14:textId="77777777" w:rsidR="001707A1" w:rsidRPr="005E779E" w:rsidRDefault="001707A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После рассмотрения </w:t>
      </w:r>
      <w:hyperlink r:id="rId45"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а Д-4 и неудачной попытки вывести его на испытания Н. Дыренков переключился на работы по созданию нового </w:t>
      </w:r>
      <w:hyperlink r:id="rId46"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а Д-5, в котором он планировал учесть все недостатки предшественника.</w:t>
      </w:r>
    </w:p>
    <w:p w14:paraId="0300827F" w14:textId="77777777" w:rsidR="001707A1" w:rsidRPr="005E779E" w:rsidRDefault="001707A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Но из-за того, что масса нового </w:t>
      </w:r>
      <w:hyperlink r:id="rId47"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а уже составляла 25 т, изобретатель отказался от колесного хода, оставив только железнодорожный и гусеничный движители. Новый </w:t>
      </w:r>
      <w:hyperlink r:id="rId48"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 должен был оборудоваться уже двигателем М-5 с системой питания и охлаждения по типу </w:t>
      </w:r>
      <w:hyperlink r:id="rId49"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а Кристи, системой преодоления глубоких бродов по дну. Вооружение нового </w:t>
      </w:r>
      <w:hyperlink r:id="rId50"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а планировалось мощным – из двух 76,2-мм орудий вместо 45-мм в двух башнях. Особенностью установки орудий было то, что перед преодолением водных рубежей они могли быть втянуты в башню, после чего орудийная амбразура герметично закрывалась крышкой. Обещал также изобретатель и усилить бронирование </w:t>
      </w:r>
      <w:hyperlink r:id="rId51"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а до 30-35 мм, что сделать в условиях и без того плотной компоновки </w:t>
      </w:r>
      <w:hyperlink r:id="rId52"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а было проблематично.</w:t>
      </w:r>
    </w:p>
    <w:p w14:paraId="459AE6A0" w14:textId="77777777" w:rsidR="001707A1" w:rsidRPr="005E779E" w:rsidRDefault="001707A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Но чтобы изготовить этот </w:t>
      </w:r>
      <w:hyperlink r:id="rId53"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требовались средства, а их в условиях финансового дефицита при планируемом «форсированном выпуске броне</w:t>
      </w:r>
      <w:hyperlink r:id="rId54"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овой техники для РККА» требовалось добыть на самом высоком уровне (15618).</w:t>
      </w:r>
    </w:p>
    <w:p w14:paraId="628E7393" w14:textId="77777777" w:rsidR="001707A1" w:rsidRPr="005E779E" w:rsidRDefault="001707A1" w:rsidP="000B7A6C">
      <w:pPr>
        <w:spacing w:after="0" w:line="240" w:lineRule="auto"/>
        <w:jc w:val="both"/>
        <w:rPr>
          <w:rFonts w:ascii="Times New Roman" w:hAnsi="Times New Roman"/>
          <w:color w:val="000000" w:themeColor="text1"/>
          <w:sz w:val="16"/>
          <w:szCs w:val="16"/>
        </w:rPr>
      </w:pPr>
    </w:p>
    <w:p w14:paraId="3FF2C6EC" w14:textId="77777777" w:rsidR="0007328B" w:rsidRPr="00142305" w:rsidRDefault="0007328B" w:rsidP="0007328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марте 1931 г. Д-4 Дыренкова совершил первую про</w:t>
      </w:r>
      <w:r w:rsidRPr="00142305">
        <w:rPr>
          <w:rFonts w:ascii="Times New Roman" w:hAnsi="Times New Roman"/>
          <w:color w:val="0070C0"/>
          <w:sz w:val="16"/>
          <w:szCs w:val="16"/>
        </w:rPr>
        <w:softHyphen/>
        <w:t>бежку по заводскому двору. Однако сра</w:t>
      </w:r>
      <w:r w:rsidRPr="00142305">
        <w:rPr>
          <w:rFonts w:ascii="Times New Roman" w:hAnsi="Times New Roman"/>
          <w:color w:val="0070C0"/>
          <w:sz w:val="16"/>
          <w:szCs w:val="16"/>
        </w:rPr>
        <w:softHyphen/>
        <w:t>зу стало ясно, что машина «не удалась». Несмотря на то, что механизм перехо</w:t>
      </w:r>
      <w:r w:rsidRPr="00142305">
        <w:rPr>
          <w:rFonts w:ascii="Times New Roman" w:hAnsi="Times New Roman"/>
          <w:color w:val="0070C0"/>
          <w:sz w:val="16"/>
          <w:szCs w:val="16"/>
        </w:rPr>
        <w:softHyphen/>
        <w:t>да с гусениц на колеса работал, он ока</w:t>
      </w:r>
      <w:r w:rsidRPr="00142305">
        <w:rPr>
          <w:rFonts w:ascii="Times New Roman" w:hAnsi="Times New Roman"/>
          <w:color w:val="0070C0"/>
          <w:sz w:val="16"/>
          <w:szCs w:val="16"/>
        </w:rPr>
        <w:softHyphen/>
        <w:t>зался настолько громоздким, сложным и ненадежным, что ни о каком серий</w:t>
      </w:r>
      <w:r w:rsidRPr="00142305">
        <w:rPr>
          <w:rFonts w:ascii="Times New Roman" w:hAnsi="Times New Roman"/>
          <w:color w:val="0070C0"/>
          <w:sz w:val="16"/>
          <w:szCs w:val="16"/>
        </w:rPr>
        <w:softHyphen/>
        <w:t>ном производстве речь идти не могла. Масса танка оказалась выше расчетной (около 15 т), поэтому Д-4 с трудом мог передвигаться на колесах даже по бе</w:t>
      </w:r>
      <w:r w:rsidRPr="00142305">
        <w:rPr>
          <w:rFonts w:ascii="Times New Roman" w:hAnsi="Times New Roman"/>
          <w:color w:val="0070C0"/>
          <w:sz w:val="16"/>
          <w:szCs w:val="16"/>
        </w:rPr>
        <w:softHyphen/>
        <w:t>тонному полу заводского цеха. Прав</w:t>
      </w:r>
      <w:r w:rsidRPr="00142305">
        <w:rPr>
          <w:rFonts w:ascii="Times New Roman" w:hAnsi="Times New Roman"/>
          <w:color w:val="0070C0"/>
          <w:sz w:val="16"/>
          <w:szCs w:val="16"/>
        </w:rPr>
        <w:softHyphen/>
        <w:t>да, на гусеницах он двигался не луч</w:t>
      </w:r>
      <w:r w:rsidRPr="00142305">
        <w:rPr>
          <w:rFonts w:ascii="Times New Roman" w:hAnsi="Times New Roman"/>
          <w:color w:val="0070C0"/>
          <w:sz w:val="16"/>
          <w:szCs w:val="16"/>
        </w:rPr>
        <w:softHyphen/>
        <w:t>ше из-за неудачной конструкции транс</w:t>
      </w:r>
      <w:r w:rsidRPr="00142305">
        <w:rPr>
          <w:rFonts w:ascii="Times New Roman" w:hAnsi="Times New Roman"/>
          <w:color w:val="0070C0"/>
          <w:sz w:val="16"/>
          <w:szCs w:val="16"/>
        </w:rPr>
        <w:softHyphen/>
        <w:t>миссии, которая постоянна ломалась. Из-за всего этого, а также из-за малой мощности двигателей, неудачной систе</w:t>
      </w:r>
      <w:r w:rsidRPr="00142305">
        <w:rPr>
          <w:rFonts w:ascii="Times New Roman" w:hAnsi="Times New Roman"/>
          <w:color w:val="0070C0"/>
          <w:sz w:val="16"/>
          <w:szCs w:val="16"/>
        </w:rPr>
        <w:softHyphen/>
        <w:t>мы подвески опорных катков о дости</w:t>
      </w:r>
      <w:r w:rsidRPr="00142305">
        <w:rPr>
          <w:rFonts w:ascii="Times New Roman" w:hAnsi="Times New Roman"/>
          <w:color w:val="0070C0"/>
          <w:sz w:val="16"/>
          <w:szCs w:val="16"/>
        </w:rPr>
        <w:softHyphen/>
        <w:t>жении заявленной Дыренковым скоро</w:t>
      </w:r>
      <w:r w:rsidRPr="00142305">
        <w:rPr>
          <w:rFonts w:ascii="Times New Roman" w:hAnsi="Times New Roman"/>
          <w:color w:val="0070C0"/>
          <w:sz w:val="16"/>
          <w:szCs w:val="16"/>
        </w:rPr>
        <w:softHyphen/>
        <w:t>сти — 35 км/ч на гусеницах — приходи</w:t>
      </w:r>
      <w:r w:rsidRPr="00142305">
        <w:rPr>
          <w:rFonts w:ascii="Times New Roman" w:hAnsi="Times New Roman"/>
          <w:color w:val="0070C0"/>
          <w:sz w:val="16"/>
          <w:szCs w:val="16"/>
        </w:rPr>
        <w:softHyphen/>
        <w:t>лось только мечтать (25010).</w:t>
      </w:r>
    </w:p>
    <w:p w14:paraId="5FC632C2" w14:textId="77777777" w:rsidR="0007328B" w:rsidRPr="00142305" w:rsidRDefault="0007328B" w:rsidP="0007328B">
      <w:pPr>
        <w:spacing w:after="0" w:line="240" w:lineRule="auto"/>
        <w:jc w:val="both"/>
        <w:rPr>
          <w:rFonts w:ascii="Times New Roman" w:hAnsi="Times New Roman"/>
          <w:color w:val="0070C0"/>
          <w:sz w:val="16"/>
          <w:szCs w:val="16"/>
        </w:rPr>
      </w:pPr>
    </w:p>
    <w:p w14:paraId="35A574A1" w14:textId="77777777" w:rsidR="00FD699B" w:rsidRPr="00142305" w:rsidRDefault="00FD699B" w:rsidP="00FD699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В марте 1931 года удалось провести несколько пробежек Д-4 по заводскому двору на колесах. </w:t>
      </w:r>
    </w:p>
    <w:p w14:paraId="277815CA" w14:textId="77777777" w:rsidR="00FD699B" w:rsidRPr="00142305" w:rsidRDefault="00FD699B" w:rsidP="00FD699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это же время Дыренков был назначен руководителем опытно-конструкторское и испытательное бюро находившемся в Москве, поэтому окончательную сборку Д-4 производили на территории Московского железнодорожного ремонтного завода (Можерез, позднее — литейно-механический завод в Люблино).</w:t>
      </w:r>
    </w:p>
    <w:p w14:paraId="44E89CEE" w14:textId="77777777" w:rsidR="00FD699B" w:rsidRPr="00142305" w:rsidRDefault="00FD699B" w:rsidP="00FD699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Даже не начав испытательного цикло стало очевидно, что Д-4 как боевая машина перспектив не имеет. Из-за большой сложности и низкой надежности конструкции ходовой части её нормальная эксплуатация была исключена, так как даже по бетонному полу танк двигался с большим трудом. Смена хода проходила нормально, однако на гусеницах танк вёл себя ещё хуже, что в конечном итоге привело к выходу из строя трансмиссии. В качестве причин поломок была указана малая мощность двигателей и неудачная система подвески опорных катков. К тому же масса Д-4 оказалась выше расчетной и составила около 15 тонн, и это при том, что на танке ещё не было установлено вооружение и оборудование подводного хода (25569).</w:t>
      </w:r>
    </w:p>
    <w:p w14:paraId="2AD9394B" w14:textId="77777777" w:rsidR="00FD699B" w:rsidRPr="00142305" w:rsidRDefault="00FD699B" w:rsidP="00FD699B">
      <w:pPr>
        <w:spacing w:after="0" w:line="240" w:lineRule="auto"/>
        <w:jc w:val="both"/>
        <w:rPr>
          <w:rFonts w:ascii="Times New Roman" w:hAnsi="Times New Roman"/>
          <w:color w:val="0070C0"/>
          <w:sz w:val="16"/>
          <w:szCs w:val="16"/>
        </w:rPr>
      </w:pPr>
    </w:p>
    <w:p w14:paraId="0D11567C" w14:textId="77777777" w:rsidR="00FD699B" w:rsidRPr="00142305" w:rsidRDefault="00FD699B" w:rsidP="00FD699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марте 1931 г. на совещании в Наркомате обороны руководитель военной разведки Я.К. Берзин докладывал: «В виду то</w:t>
      </w:r>
      <w:r w:rsidRPr="00142305">
        <w:rPr>
          <w:rFonts w:ascii="Times New Roman" w:hAnsi="Times New Roman"/>
          <w:color w:val="0070C0"/>
          <w:sz w:val="16"/>
          <w:szCs w:val="16"/>
        </w:rPr>
        <w:softHyphen/>
        <w:t>го что учебно-подготовительная работа немцев для нас интереса не представляет, УВВС было выдвинуто требование на будущее время вести в Липецке преимущественно опытно-исследовательскую ра</w:t>
      </w:r>
      <w:r w:rsidRPr="00142305">
        <w:rPr>
          <w:rFonts w:ascii="Times New Roman" w:hAnsi="Times New Roman"/>
          <w:color w:val="0070C0"/>
          <w:sz w:val="16"/>
          <w:szCs w:val="16"/>
        </w:rPr>
        <w:softHyphen/>
        <w:t>боту с применением новейшей материальной части и агрегатов.</w:t>
      </w:r>
    </w:p>
    <w:p w14:paraId="6D2F78E2" w14:textId="77777777" w:rsidR="00FD699B" w:rsidRPr="00142305" w:rsidRDefault="00FD699B" w:rsidP="00FD699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Немецкая сторона приняла наше предложение и составила на 1931 г. довольно обширную и интересную программу. По этой про</w:t>
      </w:r>
      <w:r w:rsidRPr="00142305">
        <w:rPr>
          <w:rFonts w:ascii="Times New Roman" w:hAnsi="Times New Roman"/>
          <w:color w:val="0070C0"/>
          <w:sz w:val="16"/>
          <w:szCs w:val="16"/>
        </w:rPr>
        <w:softHyphen/>
        <w:t>грамме в Липецк в 1931 г. прибывает 18 самолетов, в том числе 5-6 типов машин совершенно новой конструкции, с которыми мы еще не знакомы.</w:t>
      </w:r>
    </w:p>
    <w:p w14:paraId="513D6BE3" w14:textId="77777777" w:rsidR="00FD699B" w:rsidRPr="00142305" w:rsidRDefault="00FD699B" w:rsidP="00FD699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Между прочим, в Липецк прибудет также новый четы</w:t>
      </w:r>
      <w:r w:rsidRPr="00142305">
        <w:rPr>
          <w:rFonts w:ascii="Times New Roman" w:hAnsi="Times New Roman"/>
          <w:color w:val="0070C0"/>
          <w:sz w:val="16"/>
          <w:szCs w:val="16"/>
        </w:rPr>
        <w:softHyphen/>
        <w:t>рехмоторный самолет. Будут испытываться новые образцы пуле</w:t>
      </w:r>
      <w:r w:rsidRPr="00142305">
        <w:rPr>
          <w:rFonts w:ascii="Times New Roman" w:hAnsi="Times New Roman"/>
          <w:color w:val="0070C0"/>
          <w:sz w:val="16"/>
          <w:szCs w:val="16"/>
        </w:rPr>
        <w:softHyphen/>
        <w:t>метов, орудий и оптики.</w:t>
      </w:r>
    </w:p>
    <w:p w14:paraId="3C60D1FC" w14:textId="77777777" w:rsidR="00FD699B" w:rsidRPr="00142305" w:rsidRDefault="00FD699B" w:rsidP="00FD699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Для осуществления этой программы немцы предложили нам взять на себя часть расходов, связанных с расширением опытно-ис</w:t>
      </w:r>
      <w:r w:rsidRPr="00142305">
        <w:rPr>
          <w:rFonts w:ascii="Times New Roman" w:hAnsi="Times New Roman"/>
          <w:color w:val="0070C0"/>
          <w:sz w:val="16"/>
          <w:szCs w:val="16"/>
        </w:rPr>
        <w:softHyphen/>
        <w:t>следовательской работы. УВВС согласился профинансировать со</w:t>
      </w:r>
      <w:r w:rsidRPr="00142305">
        <w:rPr>
          <w:rFonts w:ascii="Times New Roman" w:hAnsi="Times New Roman"/>
          <w:color w:val="0070C0"/>
          <w:sz w:val="16"/>
          <w:szCs w:val="16"/>
        </w:rPr>
        <w:softHyphen/>
        <w:t>держание части рабсилы, предоставление горючего по себестоимо</w:t>
      </w:r>
      <w:r w:rsidRPr="00142305">
        <w:rPr>
          <w:rFonts w:ascii="Times New Roman" w:hAnsi="Times New Roman"/>
          <w:color w:val="0070C0"/>
          <w:sz w:val="16"/>
          <w:szCs w:val="16"/>
        </w:rPr>
        <w:softHyphen/>
        <w:t>сти и перевозку грузов по военному тарифу». Вместе с тем, «друзьям» отказали в просьбе перегонять самолеты из Германии по маршруту «Дерулюфта» до Великих Лук, а затем прямо в Липецк, минуя Москву (25025).</w:t>
      </w:r>
    </w:p>
    <w:p w14:paraId="69648750" w14:textId="77777777" w:rsidR="00FD699B" w:rsidRPr="00142305" w:rsidRDefault="00FD699B" w:rsidP="00FD699B">
      <w:pPr>
        <w:spacing w:after="0" w:line="240" w:lineRule="auto"/>
        <w:jc w:val="both"/>
        <w:rPr>
          <w:rFonts w:ascii="Times New Roman" w:hAnsi="Times New Roman"/>
          <w:color w:val="0070C0"/>
          <w:sz w:val="16"/>
          <w:szCs w:val="16"/>
        </w:rPr>
      </w:pPr>
    </w:p>
    <w:p w14:paraId="0DF4AB04" w14:textId="77777777" w:rsidR="001F2DE9" w:rsidRPr="005E779E" w:rsidRDefault="001F2DE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марте 1931 г. для ознакомления с делом постановки мотоциклостроения на автосборочном заводе Укрмето в Харьков была направлена бригада Центрального совета общества «Автодор». 26 марта бригада прибыла в Харьков и связалась с городским отделением «Автодора», представившим предварительные материалы для ознакомления с мотоциклостроением на Украине. 27 и 28 марта бригада осмотрела завод, где строилась опытная серия из 6 мотоциклов оригинальной конструкции. Осмотренные бригадой мотоциклы имели «штампованную раму типа БМВ различной конфигурации в каждом из строющихся образцов». По результатам испытаний предполагалось выбрать наиболее удачную конструкцию рамы для серийного производства. В дальнейшем предполагалось получать рамы Черноморского завода, входящего в объединение «Укрмето». Моторная установка была скопирова</w:t>
      </w:r>
      <w:r w:rsidRPr="005E779E">
        <w:rPr>
          <w:rFonts w:ascii="Times New Roman" w:hAnsi="Times New Roman"/>
          <w:color w:val="000000" w:themeColor="text1"/>
          <w:sz w:val="16"/>
          <w:szCs w:val="16"/>
        </w:rPr>
        <w:softHyphen/>
        <w:t xml:space="preserve">на с мотоцикла «Харлей-Дэвидсон» 350 см3 с некоторыми конструктивными изменениями. С получением нового эталона завод предполагал «бесболезненно перейти к постройке мотоцикла той же марки в 500 кб см». Сцепление применили сухое, однодисковое. Коробка передач имела три скорости. Первоначально предполагалось строить мотор кооперированным порядком, получая чугунное и частью алюминиевое литье со стороны. Практика показала, что заводы-кооператоры отнеслись к этому делу не серьезно, срывая поставки, а в лучшем случае — давая колоссальный брак, вернее негодное литье. Завод начал отливать детали сам. Основные детали: поршни, картера моторов, коробок скоростей и цилиндров к марту были отлиты и уже обработаны. Все алюминиевое литье оценивалось как «удовлетворительное». Некоторые проблемы встретились с отливкой цилиндра, но к моменту приезда московской бригады завод уже был «на пути изжития и этого затруднения». Шестерни распределения и коробки скоростей обрабатывались самим заводом на специальном зуборезном станке большой производительности. Передняя вилка имела амортизацию типа «Гендерсон». «По мнению заводских конструкторов, с чем согласна и бригада, Гендерсоновская амортизация сулит машине большую мягкость и плавность хода». Руль мотоцикла состоял из одной цельной трубы, протянутой сквозь два кронштейна на основных перьях передней вилки и заваренной. По сравнению с американским мотоциклом было изменено управление газом и сцеплением. Управление газом было размещено в левой ручке руля, а сцеплением — в правой. Карбюратор типа «Шаблер-Де-Люкс» с воздушным фильтром изготовили на Конотопском заводе. При испытании на мотоцикле «Нортон» карбюратор показал «удовлетворительную работу». Управление карбюратором осуществлялось тросиком от правой ручки руля. Подача горючего из топливного бака к карбюратору производилась самотеком. Производство магнето освоено не было, но на Украине имелось магнето «Дикси» «в большом количестве как неликвидное имущество». Имевшиеся запасы решили перемотать с низкого на высокое напряжение для оборудования первой серии. В дальнейшем предполагалось освоить на одном из предприятий г. Конотоп выпуск магнето типа «Бош». Приборы освещения включали передние фары, задний контрольный фонарь и фонарик на доске с приборами. Электропитание осветительных приборов предусматривалось аккумуляторное «до тех пор, пока выяснится возможность внутрисоюзного производства сложного магнето-динамо». Звуковой сигнал был ручной. Заднее колесо приводилось цепью размером 5/ 8// . Колеса мотоциклов с 40 спицами изготавливались на местном велозаводе. Поковку втулок, шатунов, клапанов и др. завод производил сам в заводской кузнице на неусовершенствованном маломощном оборудовании, «благодаря опытности и настойчивости работников завода». Шины были отечественные выпуска Резинотреста размером 680 х 90. Пуск мотоцикла в ход осуществлялся ножным кик-стартером. Задний тормоз был ленточный, управляемый ножной педалью на правой подножке. Передний колодочный тормоз действовал от рукоятки, помещенной на левой стороне руля. Седло мотоциклиста было штампованное из листового железа толщиной 2 мм с двумя пружинами, работающими на сжатие. По итогам осмотра бригадой центрального совета «Автодора» были оценены производственные возможности завода: а) оборудование имеется, но для разворачивания программы на 1000 шт мотоциклов в 1931 г. недостаточное б) мотобюро завода и треста разработаны все конструктивные и рабочие чертежи с соответствующими допусками по всем деталям машины. Кроме того ими же проведены химические анализы всех материалов потребных для данного производства в) площадями завод обеспечен полностью, имеется специальный 2-х этажный корпус, позволяющий установить в первом этаже до 100 станков, а в верхнем производить окончательную сборку мотоциклов г) рабсилой завод пока обеспечен и надеется для разворачивания производства таковую получить в достаточном количестве, т.к. главным вербовщиком кадров для мотоциклостроения является </w:t>
      </w:r>
      <w:r w:rsidRPr="005E779E">
        <w:rPr>
          <w:rFonts w:ascii="Times New Roman" w:hAnsi="Times New Roman"/>
          <w:color w:val="000000" w:themeColor="text1"/>
          <w:sz w:val="16"/>
          <w:szCs w:val="16"/>
        </w:rPr>
        <w:lastRenderedPageBreak/>
        <w:t>автодоровская общественность д) финансирование постройки опытных моделей пока препятствий не встречает е) завод не ставит вопроса о валютных ассигнованиях, т.к. надеется все места изжить своими силами, базируясь на помощи местной администрации и общественности ж) контрольный отдел завода поставлен хорошо и обеспечивает качество продукции з) имеются два станка: первый — для испытания рам на нагрузку, второй — для обкатки мотора перед постановкой на машину. Таким образом, завод мог успешно осуществлять опытные работы, но для обеспечения массового производства требовалась реконструкция предприятия (19776).</w:t>
      </w:r>
    </w:p>
    <w:p w14:paraId="7E517F68" w14:textId="77777777" w:rsidR="001F2DE9" w:rsidRPr="005E779E" w:rsidRDefault="001F2DE9" w:rsidP="000B7A6C">
      <w:pPr>
        <w:spacing w:after="0" w:line="240" w:lineRule="auto"/>
        <w:jc w:val="both"/>
        <w:rPr>
          <w:rFonts w:ascii="Times New Roman" w:hAnsi="Times New Roman"/>
          <w:color w:val="000000" w:themeColor="text1"/>
          <w:sz w:val="16"/>
          <w:szCs w:val="16"/>
        </w:rPr>
      </w:pPr>
    </w:p>
    <w:p w14:paraId="60C77BB5" w14:textId="77777777" w:rsidR="001707A1" w:rsidRPr="005E779E" w:rsidRDefault="001707A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марте 1931 года начальник Артиллерийского научно-исследовательского института (АНИИ) Фавицкий на свой страх и риск обратился лично к начальнику особого отдела ОГПУ Ленинградского военного округа с ходатайством не привлекать сотрудников АНИИ к уголовной ответственности за просчеты в научно-исследовательской деятельности. В своем письме он приводил очень веские аргументы, с которыми трудно не согласиться. Начальник института, в частности, исключительно точно подметил: «Если за неудачный опыт инженеру грозит трибунал, инженер перестает быть инженером и становится чиновником» (17235).</w:t>
      </w:r>
    </w:p>
    <w:p w14:paraId="5FE1BDB9" w14:textId="77777777" w:rsidR="001707A1" w:rsidRPr="005E779E" w:rsidRDefault="001707A1" w:rsidP="000B7A6C">
      <w:pPr>
        <w:spacing w:after="0" w:line="240" w:lineRule="auto"/>
        <w:jc w:val="both"/>
        <w:rPr>
          <w:rFonts w:ascii="Times New Roman" w:hAnsi="Times New Roman"/>
          <w:color w:val="000000" w:themeColor="text1"/>
          <w:sz w:val="16"/>
          <w:szCs w:val="16"/>
        </w:rPr>
      </w:pPr>
    </w:p>
    <w:p w14:paraId="72383C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марте 1931 г. командир бригады подводных лодок Морских сил Балтийского моря М. Ф. Стороженко требовал отклонить проект пл типа Правда. Он указывал на недостаточный запас торпед при неоправданно тяжелом артвооружении, отсутствие системы беспу</w:t>
      </w:r>
      <w:r w:rsidRPr="005E779E">
        <w:rPr>
          <w:rFonts w:ascii="Times New Roman" w:hAnsi="Times New Roman"/>
          <w:color w:val="000000" w:themeColor="text1"/>
          <w:sz w:val="16"/>
          <w:szCs w:val="16"/>
        </w:rPr>
        <w:softHyphen/>
        <w:t>зырной торпедной стрельбы (БТС) и возможности стрелять зал</w:t>
      </w:r>
      <w:r w:rsidRPr="005E779E">
        <w:rPr>
          <w:rFonts w:ascii="Times New Roman" w:hAnsi="Times New Roman"/>
          <w:color w:val="000000" w:themeColor="text1"/>
          <w:sz w:val="16"/>
          <w:szCs w:val="16"/>
        </w:rPr>
        <w:softHyphen/>
        <w:t>пом из нескольких аппаратов, а также малую глубину погружения. Б. М. Малинин несколько позже выразил серьезное сомнение в правильности расчетов прочности корпуса и остойчивости (3898).</w:t>
      </w:r>
    </w:p>
    <w:p w14:paraId="7272C9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8A49FD3" w14:textId="77777777" w:rsidR="00E04E98" w:rsidRPr="005E779E" w:rsidRDefault="00E04E9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марте 1931 г. командир бригады ПЛ Балтийского моря М.Ф.Стороженко обратился к начальнику ВМС, в РВС МСБМ и в ПТКМ с рапортом "Тактические элементы для эскадренных ПЛ", в котором отметил бесперспективность и недостатки проекта: торпедное вооружение слабое, не предусмотрена беспузырная торпедная стрельба, глубина погружения мала и допускает поражение ПЛ любыми существующими противолодочными средствами, наличие двух 130-мм орудий в башнях, отнимающих 44 т водоизмещения, ничем не оправдано, в то де время отсутствует тройной запасной комплект торпед и не предусмотрена стрельбы торпедным залпом. Рапорт заканчивался категорическим выводом: "ПЛ Асафова ни в коем случае не должна быть принята".</w:t>
      </w:r>
    </w:p>
    <w:p w14:paraId="1E9438CC" w14:textId="77777777" w:rsidR="00E04E98" w:rsidRPr="005E779E" w:rsidRDefault="00E04E9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разработке предшествующих проектов советских ПЛ конструкторы и инженеры-кораблестроители опирались на опыт подводников отечественного флота, внимательно прислушивались к их мнению, что давало в целом положительные результаты. При постройке ПЛ серии IV, однако, от этого принципа, к сожалению, отошли.</w:t>
      </w:r>
    </w:p>
    <w:p w14:paraId="3753A71A" w14:textId="77777777" w:rsidR="00E04E98" w:rsidRPr="005E779E" w:rsidRDefault="00E04E9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Ярким проявлением насаждавшейся в стране административно-командной системы управления, сковывавшей творческие способности народа, была реакция Р.А.Муклевича. Став в 1926 г. начальником ВМС, он начал настойчиво проводить в жизнь план строительства кораблей, среди которых самое большое внимание уделялось ПЛ.</w:t>
      </w:r>
    </w:p>
    <w:p w14:paraId="1F3E64BE" w14:textId="77777777" w:rsidR="00E04E98" w:rsidRPr="005E779E" w:rsidRDefault="00E04E98"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При этом всемерно учитывалось мнение подводников.</w:t>
      </w:r>
    </w:p>
    <w:p w14:paraId="37AB8DC3" w14:textId="77777777" w:rsidR="00E04E98" w:rsidRPr="005E779E" w:rsidRDefault="00E04E9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Теперь же РВС БФ были направлены следующие указания: "…Так выступать, как выступил Стороженко по поводу ПЛ, нельзя, и РВС должен на подобные выступления обратить серьезное внимание и в корне их пресечь. Стороженко еще нужно поучиться самому, а не стремиться поучать других в тех вопросах, в которых он сам еще слабо разбирается… Попутно обращаю внимание, что вновь выдвинутые флагманы обнаруживают прежнее стремление заниматься вопросами большой морской политики. С этими "традициями" прошлого необходимо покончить. Их дело учить подчиненные им соединения использованию своего оружия в бою и учиться самим, а что касается вопросов морской политики, то ее будут решать те органы, в компетенции которых эти вопросы входят".</w:t>
      </w:r>
    </w:p>
    <w:p w14:paraId="4B6A4948" w14:textId="77777777" w:rsidR="00E04E98" w:rsidRPr="005E779E" w:rsidRDefault="00E04E98"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Методы диктата и неограниченного произвола, лишавшие человека инициативы и превращавшие его в безгласного исполнителя чужой воли, через многочисленных приспешников культа в административно-бюрократическом управленческом аппарате возникли, словно раковые метастазы, во все сферы жизни общества. М.Ф.Стороженко - один из первых комиссаров подводных сил балтийского флота, окончивший в 1930 г. Военно-морскую академию, - был снят с должности комбрига, а впоследствии репрессирован (12719).</w:t>
      </w:r>
    </w:p>
    <w:p w14:paraId="478A2805" w14:textId="77777777" w:rsidR="00E04E98" w:rsidRPr="005E779E" w:rsidRDefault="00E04E98" w:rsidP="000B7A6C">
      <w:pPr>
        <w:spacing w:after="0" w:line="240" w:lineRule="auto"/>
        <w:jc w:val="both"/>
        <w:rPr>
          <w:rFonts w:ascii="Times New Roman" w:hAnsi="Times New Roman"/>
          <w:bCs/>
          <w:color w:val="000000" w:themeColor="text1"/>
          <w:sz w:val="16"/>
          <w:szCs w:val="16"/>
        </w:rPr>
      </w:pPr>
    </w:p>
    <w:p w14:paraId="1A2E31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марте 1931 г. было сформулировано первое задание на корабль специальной постройки для поста</w:t>
      </w:r>
      <w:r w:rsidRPr="005E779E">
        <w:rPr>
          <w:rFonts w:ascii="Times New Roman" w:hAnsi="Times New Roman"/>
          <w:color w:val="000000" w:themeColor="text1"/>
          <w:sz w:val="16"/>
          <w:szCs w:val="16"/>
        </w:rPr>
        <w:softHyphen/>
        <w:t>новки сетевых заграждений и предусматривало в качестве дополнительньхх задач постановку мин и контрольное траление фарватеров (3898).</w:t>
      </w:r>
    </w:p>
    <w:p w14:paraId="79409F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F342DF2"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4FD37029"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D82A72A" w14:textId="77777777" w:rsidR="00B03615" w:rsidRPr="005E779E" w:rsidRDefault="00B0361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марте 1931 введена новая форма оплаты труда колхозников - трудодень, т.е. распределение проводится отныне не подушно, а пропорционально трудовому вкладу каждого (12629).</w:t>
      </w:r>
    </w:p>
    <w:p w14:paraId="1853E109" w14:textId="77777777" w:rsidR="00B03615" w:rsidRPr="005E779E" w:rsidRDefault="00B03615" w:rsidP="000B7A6C">
      <w:pPr>
        <w:autoSpaceDE w:val="0"/>
        <w:autoSpaceDN w:val="0"/>
        <w:adjustRightInd w:val="0"/>
        <w:spacing w:after="0" w:line="240" w:lineRule="auto"/>
        <w:jc w:val="both"/>
        <w:rPr>
          <w:rFonts w:ascii="Times New Roman" w:hAnsi="Times New Roman"/>
          <w:color w:val="000000" w:themeColor="text1"/>
          <w:sz w:val="16"/>
          <w:szCs w:val="16"/>
        </w:rPr>
      </w:pPr>
    </w:p>
    <w:p w14:paraId="64ECC3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Март 1931 г. Особым приказом ОГПУ всем сотрудникам госбезопасности в центре и на местах предписывается проводить активные мероприятия по чистке личного состава милиции и уголовного розыска (10303).</w:t>
      </w:r>
    </w:p>
    <w:p w14:paraId="6A18C0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2A40B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марте 1931 года директор столичного универмага N1 Ефрем Владимирович Курлянд обратился с предложением к руководству Наркомата внешней торговли организовать Торгсин. 3 ноября 1931 года Политбюро поручило Наркомвнешторгу СССР организовать в магазинах Торгсина скупку бытового золота в обмен на товары. Специальная комиссия, куда вошли Розенгольц (Наркомвнешторг), Гринько (Наркомфин), Серебровский (Союззолото), Калманович, Дерибас (ОПТУ), должна была определить районы деятельности Торгсина по скупке золотых предметов и методы расчета. В декабре 1931 года универмаг N 1 в Москве с устного разрешения председателя правления Торгсина М. И. Шкляра начал продавать товары советским гражданам в обмен на бытовое золото. 10 декабря 1931 года вышло Постановление СНК СССР "О предоставлении Всесоюзному объединению "Торгсин" права производства операций по покупке драгоценных металлов (золота). Хотя со временем последовали разрешения принимать от населения также и серебро, платину, бриллианты и другие драгоценные камни, именно золото сыграло главную роль в истории Торгсина. Всего за четыре года (1932-1935) люди снесли в него почти 100 тонн чистого золота! (11458).</w:t>
      </w:r>
    </w:p>
    <w:p w14:paraId="7A65B3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AABE060"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1ECB9094"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2763F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марте 1931 был сформирован опытный десантный отряд, на вооружении которого состояли две танкетки Т-27 и три легких ба Д-8 и Д-12 (9650).</w:t>
      </w:r>
    </w:p>
    <w:p w14:paraId="0D5FB1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9F7C4AB" w14:textId="77777777" w:rsidR="0059110F" w:rsidRPr="005E779E" w:rsidRDefault="0059110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марте 1931 года командование РККА приняло решение о создании в ЛенВО опытного воздухо-десантного отряда, которому придавались тяжелая бомбардировочная эскадрилья в составе 12 самолетов ТБ-1 (Ант-4), используемых в качестве военно-транспортных, а также корпусный авиаотряд из 10 самолетов Р-5, переклассифицированных в военно-транспортные самолеты. День формирования этого отряда — 1 июня 1931 года принято считать днем рождения отечественной военно-транспортной авиации (21166).</w:t>
      </w:r>
    </w:p>
    <w:p w14:paraId="0140873A" w14:textId="77777777" w:rsidR="0059110F" w:rsidRPr="005E779E" w:rsidRDefault="0059110F" w:rsidP="000B7A6C">
      <w:pPr>
        <w:spacing w:after="0" w:line="240" w:lineRule="auto"/>
        <w:jc w:val="both"/>
        <w:rPr>
          <w:rFonts w:ascii="Times New Roman" w:hAnsi="Times New Roman"/>
          <w:color w:val="000000" w:themeColor="text1"/>
          <w:sz w:val="16"/>
          <w:szCs w:val="16"/>
        </w:rPr>
      </w:pPr>
    </w:p>
    <w:p w14:paraId="2B2082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марте 1931 г. был сформирован опытный авиадесантный отряд, на вооружении которого, состояли две танкетки Т-27 и три легких бронеавтомобиля Д-8 и Д-12, хотя средства их доставки еще предстояло создать. С появлением новых образцов малых танков и легких бронеавтомобилей они принимались на вооружение воздушно-десантных войск, а средства десантирования разрабатывались уже под них. Поэтому скажем несколько слов о самих объектах, которые, собственно, надо было десантировать.</w:t>
      </w:r>
    </w:p>
    <w:p w14:paraId="1934AE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1930-е гг. советские специалисты рассматривали четыре основных способа десантирования — парашютный, посадочный (второй эшелон десанта после захвата необходимых взлетно-посадочных полос), беспарашютный сброс с бреющего полета («выбрасываемый десант»), планерный. В отношении БТТ до практики доведен был только первый, хотя прорабатывались все четыре направления. Работы по воздушно-десантной тематике сосредоточились тогда в ОКБ под руководством П.И. Гроховского</w:t>
      </w:r>
      <w:r w:rsidRPr="005E779E">
        <w:rPr>
          <w:rFonts w:ascii="Times New Roman" w:hAnsi="Times New Roman"/>
          <w:color w:val="000000" w:themeColor="text1"/>
          <w:sz w:val="16"/>
          <w:szCs w:val="16"/>
          <w:vertAlign w:val="superscript"/>
        </w:rPr>
        <w:t>1</w:t>
      </w:r>
      <w:r w:rsidRPr="005E779E">
        <w:rPr>
          <w:rFonts w:ascii="Times New Roman" w:hAnsi="Times New Roman"/>
          <w:color w:val="000000" w:themeColor="text1"/>
          <w:sz w:val="16"/>
          <w:szCs w:val="16"/>
        </w:rPr>
        <w:t>. В качестве транспортно-десантных использовались штатные самолеты ВВС РККА и Гражданского воздушного флота, и, поскольку транспортных самолетов достаточной вместимости и грузоподъемности еще не существовало, вызвала интерес широко разрекламированная идея Кристи об использовании для этого тяжелого бомбардировщика. Первые попытки подвески танкеток под фюзеляж ТБ-1 делались в 1932 г., а к 1935 г. ОКБ отработало универсальную подвеску ПГ-12 («подвеска грузовая», хотя «Г-12» могло расшифровываться и как «12-й объект Гроховского») для переброски габаритных грузов на штатных внешних бомбодержателях четырехмоторного бомбардировщика ТБ-3 — тем более что ТБ-3 уже переделывался в транспортно-десантный. Наиболее массовыми были бомбардировщики с двигателями М-17Ф по 175 л.с., но для десантов предпочитали ТБ-3 с двигателями М-34 и М-34Р (по 830 л.с.), способный нести 30-35 парашютистов (11915).</w:t>
      </w:r>
    </w:p>
    <w:p w14:paraId="15108F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76C6987"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55194220"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50A96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 марте 1931 года в документах указывается 27 "гарфордов"! Причем предписывается снять эти бронеавтомобили с вооружения и разбронировать. Годную броню и шасси использовать в РККА, а негодные передать в Военнофондобюро. По-видимому, последняя цифра наиболее точная и окончательная. Что же касается разборки и разбронировки, то, судя по всему, этот процесс затронул не все машины, поскольку они запечатлены на немецких трофейных фотографиях 1941 года (9646).</w:t>
      </w:r>
    </w:p>
    <w:p w14:paraId="423E59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CF463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марте 1931 проходил процесс Союзного бюро меньшевиков. Судили плановиков ВСНХ, Госплана, Госбанка, Наркомторга и Центросоюза (70,185).</w:t>
      </w:r>
    </w:p>
    <w:p w14:paraId="769308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1C5430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марте 1931 Постановлением VI съезда Советов вводится новая форма оплаты труда колхозников - трудодень, т.е. распределение проводится отныне не подушно, а пропорционально трудовому вкладу каждого (4962).</w:t>
      </w:r>
    </w:p>
    <w:p w14:paraId="07A8C04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E442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марте 1931 года была образована комиссия под председательством Андреева для координации крупномасштабных операций по депортации "кулаков". В мае она приняла решение о переселении в Казахстан 60 тысяч и на Северный Урал - 50 тысяч семей. Вслед за этим было принято секретное постановление ЦИК и СНК об организации специальных поселков (спецпоселений) для кулацких семей "в местностях, где ощущается недостаток в рабочей силе для лесозаготовительных работ, работ по освоению неиспользованных земель и по разработке недр, для рыбных промыслов и т. п”. В этих поселениях депортированные находились под строгим административным надзором. Управление спецпоселениями было возложено на ГУЛАГ ОГПУ (9492).</w:t>
      </w:r>
    </w:p>
    <w:p w14:paraId="22CE6A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3D4E854"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79E1C277"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4EE5B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марте 1931 года опытный образец самолета специальной морской версии был передан на испытания. Позже он был оснащен посадочным крюком и 27 октября 1931 года впервые состыковался с перекладиной дирижабля «Лос-Анджелес». В середине 1930 года дополнительно закупили 6 учебных бипланов Консолидейтед N2Y-1, оборудованных стыковочным крюком и использовавшихся для обучения летчиков стыковочным и расстыковочным маневрам. Предполагалось, что они будут состоять на вооружении дирижаблей до тех пор, пока не появятся более подходящие самолеты. В конце 1930 года был объявлен прием летчиков для будущей дирижабельной авиации и набран 41 доброволец (11324).</w:t>
      </w:r>
    </w:p>
    <w:p w14:paraId="273052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2A8BEC9" w14:textId="77777777" w:rsidR="00FC14C6" w:rsidRPr="005E779E" w:rsidRDefault="00FC14C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марте 1931 французский авиатор Марсель Гулетт летит на Фармане F.304 Trimotor из Парижа, Франция, в Антананариву , Мадагаскар, и обратно (20804).</w:t>
      </w:r>
    </w:p>
    <w:p w14:paraId="4EAC07D9" w14:textId="77777777" w:rsidR="00FC14C6" w:rsidRPr="005E779E" w:rsidRDefault="00FC14C6" w:rsidP="000B7A6C">
      <w:pPr>
        <w:spacing w:after="0" w:line="240" w:lineRule="auto"/>
        <w:jc w:val="both"/>
        <w:rPr>
          <w:rFonts w:ascii="Times New Roman" w:hAnsi="Times New Roman"/>
          <w:color w:val="000000" w:themeColor="text1"/>
          <w:sz w:val="16"/>
          <w:szCs w:val="16"/>
        </w:rPr>
      </w:pPr>
    </w:p>
    <w:p w14:paraId="03DF18A0"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20C06AB3"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0CA0D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марте-апреле 1931 АНТ-9 поступили в ВВС (522,5). Сначала отличались окраской - вместо серебрянки - зеленый с голубым, но краска облетала и вновь перешли на серебрянку (10542,28).</w:t>
      </w:r>
    </w:p>
    <w:p w14:paraId="328125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6F34DD4" w14:textId="77777777" w:rsidR="00FD699B" w:rsidRPr="00142305" w:rsidRDefault="00FD699B" w:rsidP="00FD699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марте - апреле 1931 г. первые АНТ-9 поступили на вооруже</w:t>
      </w:r>
      <w:r w:rsidRPr="00142305">
        <w:rPr>
          <w:rFonts w:ascii="Times New Roman" w:hAnsi="Times New Roman"/>
          <w:color w:val="0070C0"/>
          <w:sz w:val="16"/>
          <w:szCs w:val="16"/>
        </w:rPr>
        <w:softHyphen/>
        <w:t>ние ВВС РККА Это были обычные пассажирские маши</w:t>
      </w:r>
      <w:r w:rsidRPr="00142305">
        <w:rPr>
          <w:rFonts w:ascii="Times New Roman" w:hAnsi="Times New Roman"/>
          <w:color w:val="0070C0"/>
          <w:sz w:val="16"/>
          <w:szCs w:val="16"/>
        </w:rPr>
        <w:softHyphen/>
        <w:t>ны первой серии с моторами Райт J6-7. От гражданских они не отличались ничем, кроме окраски.</w:t>
      </w:r>
    </w:p>
    <w:p w14:paraId="4EFDA198" w14:textId="77777777" w:rsidR="00FD699B" w:rsidRPr="00142305" w:rsidRDefault="00FD699B" w:rsidP="00FD699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Всего к декабрю 1932 г. в ВВС посту</w:t>
      </w:r>
      <w:r w:rsidRPr="00142305">
        <w:rPr>
          <w:rFonts w:ascii="Times New Roman" w:hAnsi="Times New Roman"/>
          <w:color w:val="0070C0"/>
          <w:sz w:val="16"/>
          <w:szCs w:val="16"/>
        </w:rPr>
        <w:softHyphen/>
        <w:t>пили шесть АНТ-9. По одному самолету получили 3-я, 16-я и 20-я авиабригады, а остальные приняли отряд (позднее раз</w:t>
      </w:r>
      <w:r w:rsidRPr="00142305">
        <w:rPr>
          <w:rFonts w:ascii="Times New Roman" w:hAnsi="Times New Roman"/>
          <w:color w:val="0070C0"/>
          <w:sz w:val="16"/>
          <w:szCs w:val="16"/>
        </w:rPr>
        <w:softHyphen/>
        <w:t>вернутый в эскадрилью) особого назначе</w:t>
      </w:r>
      <w:r w:rsidRPr="00142305">
        <w:rPr>
          <w:rFonts w:ascii="Times New Roman" w:hAnsi="Times New Roman"/>
          <w:color w:val="0070C0"/>
          <w:sz w:val="16"/>
          <w:szCs w:val="16"/>
        </w:rPr>
        <w:softHyphen/>
        <w:t>ния и Военно-воздушная академия.</w:t>
      </w:r>
    </w:p>
    <w:p w14:paraId="732D2D6A" w14:textId="77777777" w:rsidR="00FD699B" w:rsidRPr="00142305" w:rsidRDefault="00FD699B" w:rsidP="00FD699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АНТ-9 активно участвовали в высадке первых воздушных десантов (24949).</w:t>
      </w:r>
    </w:p>
    <w:p w14:paraId="27343C9C" w14:textId="77777777" w:rsidR="00FD699B" w:rsidRPr="00142305" w:rsidRDefault="00FD699B" w:rsidP="00FD699B">
      <w:pPr>
        <w:spacing w:after="0" w:line="240" w:lineRule="auto"/>
        <w:jc w:val="both"/>
        <w:rPr>
          <w:rFonts w:ascii="Times New Roman" w:hAnsi="Times New Roman"/>
          <w:color w:val="0070C0"/>
          <w:sz w:val="16"/>
          <w:szCs w:val="16"/>
        </w:rPr>
      </w:pPr>
    </w:p>
    <w:p w14:paraId="5DECE2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марте — мае 1931 г. двигатель М-48 разрабатывался в КБ завода № 29 (Запорожье) под руководством А.С. Назарова. Использовал часть узлов и агрегатов двигателя М-11 и унифицировался с моторами М-49 и М-51, входившими в то же семейство. Проект завершен в августе 1931 г. Изготовлены и испытаны опытные образцы (с июня 1932 г., 3 экз.). В 1934 г. демон</w:t>
      </w:r>
      <w:r w:rsidRPr="005E779E">
        <w:rPr>
          <w:rFonts w:ascii="Times New Roman" w:hAnsi="Times New Roman"/>
          <w:color w:val="000000" w:themeColor="text1"/>
          <w:sz w:val="16"/>
          <w:szCs w:val="16"/>
        </w:rPr>
        <w:softHyphen/>
        <w:t>стрировался на выставке в Париже как достижение советской авиапромышленности. В 1935 г. проходил летные испытания на самолете У-3. В серийное производство М-48 не запускался. Послужил основой для разработки мотора МГ-21. Характеристики:</w:t>
      </w:r>
    </w:p>
    <w:p w14:paraId="63AF1EF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7-цилиндровый, звездообразный, четырехтактный, воздушного охлаждения, с ПЦН;</w:t>
      </w:r>
    </w:p>
    <w:p w14:paraId="5042B78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мощность 165/210 л.с.;</w:t>
      </w:r>
    </w:p>
    <w:p w14:paraId="2A88785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диаметр цилиндра/ход поршня 125/140 мм;</w:t>
      </w:r>
    </w:p>
    <w:p w14:paraId="507C519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степень сжатия 5,0;</w:t>
      </w:r>
    </w:p>
    <w:p w14:paraId="4C53782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полный рабочий объем 12,0 л;</w:t>
      </w:r>
    </w:p>
    <w:p w14:paraId="39356FF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вес 194 кг.</w:t>
      </w:r>
    </w:p>
    <w:p w14:paraId="52165ED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Использование М-48 предусма</w:t>
      </w:r>
      <w:r w:rsidRPr="005E779E">
        <w:rPr>
          <w:rFonts w:ascii="Times New Roman" w:hAnsi="Times New Roman"/>
          <w:color w:val="000000" w:themeColor="text1"/>
          <w:sz w:val="16"/>
          <w:szCs w:val="16"/>
        </w:rPr>
        <w:softHyphen/>
        <w:t>тривалось в проекте легкого само</w:t>
      </w:r>
      <w:r w:rsidRPr="005E779E">
        <w:rPr>
          <w:rFonts w:ascii="Times New Roman" w:hAnsi="Times New Roman"/>
          <w:color w:val="000000" w:themeColor="text1"/>
          <w:sz w:val="16"/>
          <w:szCs w:val="16"/>
        </w:rPr>
        <w:softHyphen/>
        <w:t>лета связи ЦКБ-9 (11852).</w:t>
      </w:r>
    </w:p>
    <w:p w14:paraId="3F40D903" w14:textId="0DD8AAD2"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1E012C" w14:textId="0699B256" w:rsidR="00FC14C6" w:rsidRPr="005E779E" w:rsidRDefault="00FC14C6" w:rsidP="000B7A6C">
      <w:pPr>
        <w:shd w:val="clear" w:color="auto" w:fill="FFFFFF"/>
        <w:autoSpaceDE w:val="0"/>
        <w:autoSpaceDN w:val="0"/>
        <w:adjustRightInd w:val="0"/>
        <w:spacing w:after="0" w:line="240" w:lineRule="auto"/>
        <w:jc w:val="both"/>
        <w:rPr>
          <w:rFonts w:ascii="Times New Roman" w:hAnsi="Times New Roman"/>
          <w:i/>
          <w:iCs/>
          <w:color w:val="000000" w:themeColor="text1"/>
          <w:sz w:val="16"/>
          <w:szCs w:val="16"/>
        </w:rPr>
      </w:pPr>
      <w:r w:rsidRPr="005E779E">
        <w:rPr>
          <w:rFonts w:ascii="Times New Roman" w:hAnsi="Times New Roman"/>
          <w:i/>
          <w:iCs/>
          <w:color w:val="000000" w:themeColor="text1"/>
          <w:sz w:val="16"/>
          <w:szCs w:val="16"/>
        </w:rPr>
        <w:t>Внешняя политика:</w:t>
      </w:r>
    </w:p>
    <w:p w14:paraId="7C571171" w14:textId="77777777" w:rsidR="00FC14C6" w:rsidRPr="005E779E" w:rsidRDefault="00FC14C6" w:rsidP="000B7A6C">
      <w:pPr>
        <w:shd w:val="clear" w:color="auto" w:fill="FFFFFF"/>
        <w:autoSpaceDE w:val="0"/>
        <w:autoSpaceDN w:val="0"/>
        <w:adjustRightInd w:val="0"/>
        <w:spacing w:after="0" w:line="240" w:lineRule="auto"/>
        <w:jc w:val="both"/>
        <w:rPr>
          <w:rFonts w:ascii="Times New Roman" w:hAnsi="Times New Roman"/>
          <w:i/>
          <w:iCs/>
          <w:color w:val="000000" w:themeColor="text1"/>
          <w:sz w:val="16"/>
          <w:szCs w:val="16"/>
        </w:rPr>
      </w:pPr>
    </w:p>
    <w:p w14:paraId="1805181F" w14:textId="77777777" w:rsidR="00FC14C6" w:rsidRPr="005E779E" w:rsidRDefault="00FC14C6"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В марте-апреле 1931 г. Франция и СССР приступили к нормализации политических п хозяйственных взаимоотношений. Уже 10 августа 1931 г. был парафирован договор о ненападении между СССР и Францией (Подробный анализ см.: Wo</w:t>
      </w:r>
      <w:r w:rsidRPr="005E779E">
        <w:rPr>
          <w:rFonts w:ascii="Times New Roman" w:eastAsia="Times New Roman" w:hAnsi="Times New Roman"/>
          <w:color w:val="000000" w:themeColor="text1"/>
          <w:sz w:val="16"/>
          <w:szCs w:val="16"/>
          <w:lang w:val="en-US" w:eastAsia="ru-RU"/>
        </w:rPr>
        <w:t>l</w:t>
      </w:r>
      <w:r w:rsidRPr="005E779E">
        <w:rPr>
          <w:rFonts w:ascii="Times New Roman" w:eastAsia="Times New Roman" w:hAnsi="Times New Roman"/>
          <w:color w:val="000000" w:themeColor="text1"/>
          <w:sz w:val="16"/>
          <w:szCs w:val="16"/>
          <w:lang w:eastAsia="ru-RU"/>
        </w:rPr>
        <w:t xml:space="preserve">os М. Francja - ZSSR- Stosunki polityczne w latach 1924-1932. Torun, 2004. S. 474-523) (22725). </w:t>
      </w:r>
    </w:p>
    <w:p w14:paraId="167B28CB" w14:textId="77777777" w:rsidR="00FC14C6" w:rsidRPr="005E779E" w:rsidRDefault="00FC14C6" w:rsidP="000B7A6C">
      <w:pPr>
        <w:spacing w:after="0" w:line="240" w:lineRule="auto"/>
        <w:jc w:val="both"/>
        <w:rPr>
          <w:rFonts w:ascii="Times New Roman" w:eastAsia="Times New Roman" w:hAnsi="Times New Roman"/>
          <w:color w:val="000000" w:themeColor="text1"/>
          <w:sz w:val="16"/>
          <w:szCs w:val="16"/>
          <w:lang w:eastAsia="ru-RU"/>
        </w:rPr>
      </w:pPr>
    </w:p>
    <w:p w14:paraId="35D21471" w14:textId="77777777" w:rsidR="00921BBD" w:rsidRPr="005E779E" w:rsidRDefault="00921BBD"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57671069" w14:textId="77777777" w:rsidR="00921BBD" w:rsidRPr="005E779E" w:rsidRDefault="00921BBD"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7ED726C" w14:textId="77777777" w:rsidR="00921BBD" w:rsidRPr="005E779E" w:rsidRDefault="00921B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1-м квартале 1931 г. утвердили эскизный проект, построили и утвердили макет И-12 2М-22 (АНТ-23). Началась постройка опытного образца, обозначенного «заказ 7007» (15823).</w:t>
      </w:r>
    </w:p>
    <w:p w14:paraId="5B4B70C0" w14:textId="77777777" w:rsidR="00921BBD" w:rsidRPr="005E779E" w:rsidRDefault="00921BBD" w:rsidP="000B7A6C">
      <w:pPr>
        <w:spacing w:after="0" w:line="240" w:lineRule="auto"/>
        <w:jc w:val="both"/>
        <w:rPr>
          <w:rFonts w:ascii="Times New Roman" w:hAnsi="Times New Roman"/>
          <w:color w:val="000000" w:themeColor="text1"/>
          <w:sz w:val="16"/>
          <w:szCs w:val="16"/>
        </w:rPr>
      </w:pPr>
    </w:p>
    <w:p w14:paraId="78315595" w14:textId="77777777" w:rsidR="00921BBD" w:rsidRPr="005E779E" w:rsidRDefault="00921BBD" w:rsidP="000B7A6C">
      <w:pPr>
        <w:pStyle w:val="rtejustify"/>
        <w:shd w:val="clear" w:color="auto" w:fill="FFFFFF"/>
        <w:spacing w:before="0" w:after="0"/>
        <w:rPr>
          <w:color w:val="000000" w:themeColor="text1"/>
          <w:sz w:val="16"/>
          <w:szCs w:val="16"/>
        </w:rPr>
      </w:pPr>
      <w:r w:rsidRPr="005E779E">
        <w:rPr>
          <w:color w:val="000000" w:themeColor="text1"/>
          <w:sz w:val="16"/>
          <w:szCs w:val="16"/>
        </w:rPr>
        <w:t>В первом квартале 1931 года был утвержден эскизный проект, построен и утвержден макет самолета И-12 2М-22 (АНТ-23). Началась постройка опытного образца. В производстве самолет получил обозначение заказ 7007 (19172).</w:t>
      </w:r>
    </w:p>
    <w:p w14:paraId="17AD1B2F" w14:textId="77777777" w:rsidR="00921BBD" w:rsidRPr="005E779E" w:rsidRDefault="00921BBD" w:rsidP="000B7A6C">
      <w:pPr>
        <w:pStyle w:val="rtejustify"/>
        <w:shd w:val="clear" w:color="auto" w:fill="FFFFFF"/>
        <w:spacing w:before="0" w:after="0"/>
        <w:rPr>
          <w:color w:val="000000" w:themeColor="text1"/>
          <w:sz w:val="16"/>
          <w:szCs w:val="16"/>
        </w:rPr>
      </w:pPr>
    </w:p>
    <w:p w14:paraId="4448A7F4" w14:textId="77777777" w:rsidR="00FD699B" w:rsidRPr="005E779E" w:rsidRDefault="00FD699B" w:rsidP="00FD699B">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32601ABA" w14:textId="77777777" w:rsidR="00FD699B" w:rsidRPr="005E779E" w:rsidRDefault="00FD699B" w:rsidP="00FD699B">
      <w:pPr>
        <w:autoSpaceDE w:val="0"/>
        <w:autoSpaceDN w:val="0"/>
        <w:adjustRightInd w:val="0"/>
        <w:spacing w:after="0" w:line="240" w:lineRule="auto"/>
        <w:jc w:val="both"/>
        <w:rPr>
          <w:rFonts w:ascii="Times New Roman" w:hAnsi="Times New Roman"/>
          <w:iCs/>
          <w:color w:val="000000" w:themeColor="text1"/>
          <w:sz w:val="16"/>
          <w:szCs w:val="16"/>
        </w:rPr>
      </w:pPr>
    </w:p>
    <w:p w14:paraId="13CFBCF0" w14:textId="77777777" w:rsidR="00FD699B" w:rsidRPr="00142305" w:rsidRDefault="00FD699B" w:rsidP="00FD699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апрелю 1931 г. пришли к выводу, что основным вари</w:t>
      </w:r>
      <w:r w:rsidRPr="00142305">
        <w:rPr>
          <w:rFonts w:ascii="Times New Roman" w:hAnsi="Times New Roman"/>
          <w:color w:val="0070C0"/>
          <w:sz w:val="16"/>
          <w:szCs w:val="16"/>
        </w:rPr>
        <w:softHyphen/>
        <w:t xml:space="preserve">антом </w:t>
      </w:r>
      <w:r w:rsidRPr="00142305">
        <w:rPr>
          <w:rFonts w:ascii="Times New Roman" w:hAnsi="Times New Roman"/>
          <w:smallCaps/>
          <w:color w:val="0070C0"/>
          <w:sz w:val="16"/>
          <w:szCs w:val="16"/>
        </w:rPr>
        <w:t>для</w:t>
      </w:r>
      <w:r w:rsidRPr="00142305">
        <w:rPr>
          <w:rFonts w:ascii="Times New Roman" w:hAnsi="Times New Roman"/>
          <w:color w:val="0070C0"/>
          <w:sz w:val="16"/>
          <w:szCs w:val="16"/>
        </w:rPr>
        <w:t xml:space="preserve"> проектирования АНТ-16 должна стать установка шести двигателей М-34, которые во втором квартале 1932 г. наме</w:t>
      </w:r>
      <w:r w:rsidRPr="00142305">
        <w:rPr>
          <w:rFonts w:ascii="Times New Roman" w:hAnsi="Times New Roman"/>
          <w:color w:val="0070C0"/>
          <w:sz w:val="16"/>
          <w:szCs w:val="16"/>
        </w:rPr>
        <w:softHyphen/>
        <w:t>ревались заменить четырьмя М-35. Но М-34 в наличии тоже не имелось - их производство на заводе № 24 в Москве на</w:t>
      </w:r>
      <w:r w:rsidRPr="00142305">
        <w:rPr>
          <w:rFonts w:ascii="Times New Roman" w:hAnsi="Times New Roman"/>
          <w:color w:val="0070C0"/>
          <w:sz w:val="16"/>
          <w:szCs w:val="16"/>
        </w:rPr>
        <w:softHyphen/>
        <w:t>чали налаживать только с сентября 1931 г. Поэтому для пер</w:t>
      </w:r>
      <w:r w:rsidRPr="00142305">
        <w:rPr>
          <w:rFonts w:ascii="Times New Roman" w:hAnsi="Times New Roman"/>
          <w:color w:val="0070C0"/>
          <w:sz w:val="16"/>
          <w:szCs w:val="16"/>
        </w:rPr>
        <w:softHyphen/>
        <w:t>вого опытного АИТ-16 решили купить моторы по 800 л.с. в Англии. Фирме «Роллс-Ройс» даже успели выдать заказ на них (24977).</w:t>
      </w:r>
    </w:p>
    <w:p w14:paraId="23900982" w14:textId="77777777" w:rsidR="00FD699B" w:rsidRPr="00142305" w:rsidRDefault="00FD699B" w:rsidP="00FD699B">
      <w:pPr>
        <w:spacing w:after="0" w:line="240" w:lineRule="auto"/>
        <w:jc w:val="both"/>
        <w:rPr>
          <w:rFonts w:ascii="Times New Roman" w:hAnsi="Times New Roman"/>
          <w:color w:val="0070C0"/>
          <w:sz w:val="16"/>
          <w:szCs w:val="16"/>
        </w:rPr>
      </w:pPr>
    </w:p>
    <w:p w14:paraId="2E52DE46" w14:textId="77777777" w:rsidR="00FD699B" w:rsidRPr="005E779E" w:rsidRDefault="00FD699B" w:rsidP="00FD699B">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3C25E571" w14:textId="77777777" w:rsidR="00FD699B" w:rsidRPr="005E779E" w:rsidRDefault="00FD699B" w:rsidP="00FD699B">
      <w:pPr>
        <w:autoSpaceDE w:val="0"/>
        <w:autoSpaceDN w:val="0"/>
        <w:adjustRightInd w:val="0"/>
        <w:spacing w:after="0" w:line="240" w:lineRule="auto"/>
        <w:jc w:val="both"/>
        <w:rPr>
          <w:rFonts w:ascii="Times New Roman" w:hAnsi="Times New Roman"/>
          <w:iCs/>
          <w:color w:val="000000" w:themeColor="text1"/>
          <w:sz w:val="16"/>
          <w:szCs w:val="16"/>
        </w:rPr>
      </w:pPr>
    </w:p>
    <w:p w14:paraId="54084468" w14:textId="77777777" w:rsidR="00CC37EB" w:rsidRPr="00142305" w:rsidRDefault="00CC37EB" w:rsidP="00CC37E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апрелю 1931 г. мощности советских заводов по производству иприта достигли 15 800 т в год, и строились заводы еще на 18 000 т иприта. По фосгену к 1 октября 1931 г. плановые мощности должны были составить 10 000 т (25385).</w:t>
      </w:r>
    </w:p>
    <w:p w14:paraId="5C352857" w14:textId="77777777" w:rsidR="00CC37EB" w:rsidRPr="00142305" w:rsidRDefault="00CC37EB" w:rsidP="00CC37EB">
      <w:pPr>
        <w:spacing w:after="0" w:line="240" w:lineRule="auto"/>
        <w:jc w:val="both"/>
        <w:rPr>
          <w:rFonts w:ascii="Times New Roman" w:hAnsi="Times New Roman"/>
          <w:color w:val="0070C0"/>
          <w:sz w:val="16"/>
          <w:szCs w:val="16"/>
        </w:rPr>
      </w:pPr>
    </w:p>
    <w:p w14:paraId="14DFFADE" w14:textId="77777777" w:rsidR="00FD699B" w:rsidRPr="005E779E" w:rsidRDefault="00FD699B" w:rsidP="00FD699B">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К апрелю 1931 года группой инженеров-конструкторов в составе Асафова, Алексеева и Скворцова был спроектирован </w:t>
      </w:r>
      <w:hyperlink r:id="rId55"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 ТА-1 с мощным вооружением.</w:t>
      </w:r>
    </w:p>
    <w:p w14:paraId="6FA7CFD1" w14:textId="77777777" w:rsidR="00FD699B" w:rsidRPr="005E779E" w:rsidRDefault="00FD699B" w:rsidP="00FD699B">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Компоновка машины была выполнена по классической схеме, которая включала в себя три отделения: управления, боевое и моторно-трансмиссионное. Экипаж </w:t>
      </w:r>
      <w:hyperlink r:id="rId56"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а состоял из пяти человек. На </w:t>
      </w:r>
      <w:hyperlink r:id="rId57"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е была примененая двухярусная установка пушечного вооружения калибра 76,2 мм и 37 мм.</w:t>
      </w:r>
    </w:p>
    <w:p w14:paraId="13DC7579" w14:textId="77777777" w:rsidR="00FD699B" w:rsidRPr="005E779E" w:rsidRDefault="00FD699B" w:rsidP="00FD699B">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качестве вспомогательного вооружения использовались четыре 7,62-мм пулемета "Максим", установленные в шаровых опорах - два в отделении управления в два в башне (один пулемет спарен с 76,2-мм пушкой). 76,2-мм пушка А-19 монтировалась в куполообразной вращающейся башне, на которой размещалась малая куполообразная башня с 37-мм пушкой. Поворот малой башни мог производиться независимо от нижней. Максимальный угол вертикального наведения 37-мм пушки составлял 65 град и обеспечивал возможность ведения стрельбы по воздушным целям. Боекомплект пулеметов был рассчитан на 10 мин. непрерывной стрельбы. Для наблюдения за полем боя на малой башне имелся стробоскоп.</w:t>
      </w:r>
    </w:p>
    <w:p w14:paraId="0B934FD8" w14:textId="77777777" w:rsidR="00FD699B" w:rsidRPr="005E779E" w:rsidRDefault="00FD699B" w:rsidP="00FD699B">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Бронирование </w:t>
      </w:r>
      <w:hyperlink r:id="rId58"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а ТА-1 было слабее чем у ТГ. Так, например, основная башня изготовлялась методом штамповки и сварки из 20-мм брони (у </w:t>
      </w:r>
      <w:hyperlink r:id="rId59"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а Гроте – 30 мм), малая башня – из 13 мм брони. Тем не менее, боевая масса </w:t>
      </w:r>
      <w:hyperlink r:id="rId60"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а снизилась до 18000-18500 кг, что было на 50% меньше чем у ТГ.</w:t>
      </w:r>
    </w:p>
    <w:p w14:paraId="2D6ABD61" w14:textId="77777777" w:rsidR="00FD699B" w:rsidRPr="005E779E" w:rsidRDefault="00FD699B" w:rsidP="00FD699B">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силовой установке предполагалось использовать авиационный карбюраторный “Либерти", но поскольку авиапромышленность осваивала лицензионный выпуск BMW-IV мощностью 500 л.с. при 1420 об./мин., проект был скорректирован под него. В состав механической трансмиссии входили: главный фрикцион, коробка </w:t>
      </w:r>
      <w:r w:rsidRPr="005E779E">
        <w:rPr>
          <w:rFonts w:ascii="Times New Roman" w:hAnsi="Times New Roman"/>
          <w:color w:val="000000" w:themeColor="text1"/>
          <w:sz w:val="16"/>
          <w:szCs w:val="16"/>
        </w:rPr>
        <w:lastRenderedPageBreak/>
        <w:t xml:space="preserve">передач, два бортовых фрикциона и два бортовых редуктора. В </w:t>
      </w:r>
      <w:hyperlink r:id="rId61"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е использовались пневматическая система управления трансмиссией и механические приводы непосредственного действия.</w:t>
      </w:r>
    </w:p>
    <w:p w14:paraId="72EFF6A5" w14:textId="77777777" w:rsidR="00FD699B" w:rsidRPr="005E779E" w:rsidRDefault="00FD699B" w:rsidP="00FD699B">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Подвеска </w:t>
      </w:r>
      <w:hyperlink r:id="rId62"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а представляла собой модернизированную подвеску американского </w:t>
      </w:r>
      <w:hyperlink r:id="rId63"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а М.1940 "Кристи" с измененной конструкцией балансиров опорных катков. В ходовой части использовались гусеницы из штампованных траков, которые имели цевочное зацепление с ведущими колесами. Опорные и поддерживающие катки, а также направляющие колеса имели наружную амортизацию. Расчетная максимальная скорость </w:t>
      </w:r>
      <w:hyperlink r:id="rId64"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а боевой массой 18,2 т составляла 50 км/ч.</w:t>
      </w:r>
    </w:p>
    <w:p w14:paraId="7AD611EC" w14:textId="77777777" w:rsidR="00FD699B" w:rsidRPr="005E779E" w:rsidRDefault="00FD699B" w:rsidP="00FD699B">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Первый эскизный проект ТА-1 предполагал, что </w:t>
      </w:r>
      <w:hyperlink r:id="rId65"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 будет иметь только гусеничный ход, но уже на начальном этапе проектирования было получено распоряжение оснастить машину колесно-гусеничным движителем. Это повлекло за собой целую серию доработок в конечном итоге проект был значительно переработан и получил индекс ТА-2.</w:t>
      </w:r>
    </w:p>
    <w:p w14:paraId="017A7FDA" w14:textId="77777777" w:rsidR="00FD699B" w:rsidRPr="005E779E" w:rsidRDefault="00FD699B" w:rsidP="00FD699B">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Главное внимание при проектировании ТА-2 было обращено на конструкцию передних поворотных колес и систему подвески заднего моста (привода ведущих колес колесного хода). Система подрессоривания была спроектирована по типу </w:t>
      </w:r>
      <w:hyperlink r:id="rId66"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а Кристи, но с горизонтальным расположением рессор. Из-за значительных усилий, возникающих в рулевом механизме управляемых колес при повороте на колесном ходу, он был снабжен пневматическим усилителем.</w:t>
      </w:r>
    </w:p>
    <w:p w14:paraId="53877E13" w14:textId="77777777" w:rsidR="00FD699B" w:rsidRPr="005E779E" w:rsidRDefault="00FD699B" w:rsidP="00FD699B">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При движении на колёсном ходу две задние пары опорных катков являлись ведущими. Привод к ним осуществлялся от бортовых редукторов </w:t>
      </w:r>
      <w:hyperlink r:id="rId67"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а через шестеренчатые редукторы (гитары), расположенные по бортам </w:t>
      </w:r>
      <w:hyperlink r:id="rId68"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а. Распределение крутящего момента между колесами производилось с помощью гитар-балансиров. Узлы и агрегаты моторно-трансмиссионного отделения, ведущие колеса гусеничного хода и гусеницы были такими же, как в </w:t>
      </w:r>
      <w:hyperlink r:id="rId69"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е ТА-1. Из-за ограничения внутренних объемов отделений пришлось отказаться от ручных приводов управления и перейти на пневматические.</w:t>
      </w:r>
    </w:p>
    <w:p w14:paraId="0FFC7B5E" w14:textId="77777777" w:rsidR="00FD699B" w:rsidRPr="005E779E" w:rsidRDefault="00FD699B" w:rsidP="00FD699B">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части вооружения было увеличено до пяти число установленных пулеметов - дополнялось бортовыми пулеметами для обеспечения «зачистки окопов». Увеличение мощи вооружения происходило за счет сокращения боекомплекта, рассчитанного на ведение боя в течение 6 минут. Численность экипажа осталась без изменений. Танк должен был иметь массу 27,5 т и развивать максимальную скорость на колесном ходу до 80 км/ч, на гусеничном - до 50 км/ч.</w:t>
      </w:r>
    </w:p>
    <w:p w14:paraId="641589A2" w14:textId="77777777" w:rsidR="00FD699B" w:rsidRPr="005E779E" w:rsidRDefault="00FD699B" w:rsidP="00FD699B">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Эти показатели сочли слишком оптимистичными, да и запас хода ТА-2 не совсем отвечал предъявляемым требованиям к “маневренному” </w:t>
      </w:r>
      <w:hyperlink r:id="rId70"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у. Более того, военная комиссия обнаружила в проекте новые ошибки, что в совокупности с возросшей ценой привело к отказу от работ по этому проекту. Все это побудило конструкторов начать проектирование третьего </w:t>
      </w:r>
      <w:hyperlink r:id="rId71"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а – Т-3, который относился уже к «позиционным», так как имел массу свыше 32 т.</w:t>
      </w:r>
    </w:p>
    <w:p w14:paraId="294DE671" w14:textId="77777777" w:rsidR="00FD699B" w:rsidRPr="005E779E" w:rsidRDefault="00FD699B" w:rsidP="00FD699B">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w:t>
      </w:r>
      <w:hyperlink r:id="rId72"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е Т-3, который относился уже к «позиционным», конструкторы попытались сочетать надежную броневую защиту, мощное вооружение и высокую скорость. Был решен вопрос защиты экипажа от отравляющих веществ за счет создания избыточного давления в обитаемых отделениях и использования специальных воздушных фильтров конструкции Института химобороны. Кроме того, на </w:t>
      </w:r>
      <w:hyperlink r:id="rId73"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 планировалось поставить радиостанцию дальнего действия с тем, чтобы на остановках можно было связываться с корреспондентом, удаленным на 30-50 км.</w:t>
      </w:r>
    </w:p>
    <w:p w14:paraId="2C8E47AE" w14:textId="77777777" w:rsidR="00FD699B" w:rsidRPr="005E779E" w:rsidRDefault="00FD699B" w:rsidP="00FD699B">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Установка вооружения машины была изменена. Вместо двухъярусного расположения 76,2-мм и 37-мм пушек была применена их спаренная установка в одной башне с возможностью независимого наведения каждой пушки в вертикальной плоскости. 7,62-мм пулеметы "Максим" были заменены на 7,62-мм пулеметы ДТ, два из которых размещались в башне, два - по бортам корпуса в боевом отделении и один - в отделении управления у механика-водителя. Боекомплект пулеметов был рассчитан на ведение непрерывной стрельбы в течение 10 мин.</w:t>
      </w:r>
    </w:p>
    <w:p w14:paraId="6960B4C0" w14:textId="77777777" w:rsidR="00FD699B" w:rsidRPr="005E779E" w:rsidRDefault="00FD699B" w:rsidP="00FD699B">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Корпус </w:t>
      </w:r>
      <w:hyperlink r:id="rId74"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а сваривался из стальных броневых листов. Он имел два отделении - боевое, совмещённое с отделением управления, и моторно-трансмиссионное. Экипаж машины состоял из шести человек. Ходовая часть </w:t>
      </w:r>
      <w:hyperlink r:id="rId75"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а была закрыта фальшбортами, причем броневые листы, защищавшие передние управляемые опорные катки, при использовании колесного хода откидывались на борта для обеспечения возможности поворота машины. Для наблюдения за полем боя и управления машиной использовались стробоскопы. Конструкция агрегатов трансмиссии, ходовой части, а также пневмосистемы управления трансмиссией была заимствована у </w:t>
      </w:r>
      <w:hyperlink r:id="rId76"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а ТА-2. Коробка передач имела поперечное расположение в отличие от ее установки вдоль продольной оси корпуса на </w:t>
      </w:r>
      <w:hyperlink r:id="rId77"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е ТА-2. в конструкции ходовой части использовались узлы и детали от проектов </w:t>
      </w:r>
      <w:hyperlink r:id="rId78"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ов ТА-1 и ТА-2.</w:t>
      </w:r>
    </w:p>
    <w:p w14:paraId="3E032216" w14:textId="77777777" w:rsidR="00FD699B" w:rsidRPr="005E779E" w:rsidRDefault="00FD699B" w:rsidP="00FD699B">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Согласно проекту </w:t>
      </w:r>
      <w:hyperlink r:id="rId79"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имевший боевую массу 32,5 т, должен был развивать максимальную скорость движения на колесном ходу 70 км/ч, на гусеничном ходу - 45 км/ч.</w:t>
      </w:r>
    </w:p>
    <w:p w14:paraId="193F74E5" w14:textId="77777777" w:rsidR="00FD699B" w:rsidRPr="005E779E" w:rsidRDefault="00FD699B" w:rsidP="00FD699B">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 три проекта были переданы в УММ РККА, а также в ОКМО завода "Большевик".</w:t>
      </w:r>
    </w:p>
    <w:p w14:paraId="327432EF" w14:textId="77777777" w:rsidR="00FD699B" w:rsidRPr="005E779E" w:rsidRDefault="00FD699B" w:rsidP="00FD699B">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Тактико-технические характеристики </w:t>
      </w:r>
      <w:hyperlink r:id="rId80"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ов Асафова</w:t>
      </w:r>
    </w:p>
    <w:tbl>
      <w:tblPr>
        <w:tblW w:w="5000" w:type="pct"/>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480"/>
        <w:gridCol w:w="1685"/>
        <w:gridCol w:w="2729"/>
        <w:gridCol w:w="2729"/>
        <w:gridCol w:w="2705"/>
      </w:tblGrid>
      <w:tr w:rsidR="00FD699B" w:rsidRPr="005E779E" w14:paraId="4C35254D" w14:textId="77777777" w:rsidTr="00DC550A">
        <w:tc>
          <w:tcPr>
            <w:tcW w:w="2610" w:type="dxa"/>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14:paraId="2ED2C814"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67526528"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Тип </w:t>
            </w:r>
            <w:hyperlink r:id="rId81"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а</w:t>
            </w:r>
          </w:p>
        </w:tc>
        <w:tc>
          <w:tcPr>
            <w:tcW w:w="2250" w:type="dxa"/>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5EFF8AB8"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0C7990DC"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ТА-1</w:t>
            </w:r>
          </w:p>
        </w:tc>
        <w:tc>
          <w:tcPr>
            <w:tcW w:w="2250" w:type="dxa"/>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2EB6FD7F"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3D27C61B"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ТА-2</w:t>
            </w:r>
          </w:p>
        </w:tc>
        <w:tc>
          <w:tcPr>
            <w:tcW w:w="2230" w:type="dxa"/>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39E7D2E6"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0D929A46"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Т-3</w:t>
            </w:r>
          </w:p>
        </w:tc>
      </w:tr>
      <w:tr w:rsidR="00FD699B" w:rsidRPr="005E779E" w14:paraId="423BAF3F" w14:textId="77777777" w:rsidTr="00DC550A">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2DE4EBD1"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42377988"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Боевая масса, т</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53E309E"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1DDC11EA"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18000 - 18500</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EA802CB"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2E7FF5D9"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27500</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E073FF9"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772E31DC"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32500</w:t>
            </w:r>
          </w:p>
        </w:tc>
      </w:tr>
      <w:tr w:rsidR="00FD699B" w:rsidRPr="005E779E" w14:paraId="24605749" w14:textId="77777777" w:rsidTr="00DC550A">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06BED424"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61DD0ACB"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Экипаж, чел</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7F403E8"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6746C647"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1317A52"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022E5E2E"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7DFBBA4"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6D2E4D82"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w:t>
            </w:r>
          </w:p>
        </w:tc>
      </w:tr>
      <w:tr w:rsidR="00FD699B" w:rsidRPr="005E779E" w14:paraId="5F4666A7" w14:textId="77777777" w:rsidTr="00DC550A">
        <w:tc>
          <w:tcPr>
            <w:tcW w:w="9340" w:type="dxa"/>
            <w:gridSpan w:val="5"/>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1F014418"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0E9E0585"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Габаритные размеры, мм</w:t>
            </w:r>
          </w:p>
        </w:tc>
      </w:tr>
      <w:tr w:rsidR="00FD699B" w:rsidRPr="005E779E" w14:paraId="215B0A98" w14:textId="77777777" w:rsidTr="00DC550A">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2ADCFC5F"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7ACA8AF8"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Длина</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74250B7"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561F69CD"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7500*</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E2AB7D7"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17DB68D5"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7450</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7516FEB"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6A3F8194" w14:textId="71AAD833" w:rsidR="00FD699B" w:rsidRPr="005E779E" w:rsidRDefault="00FE094E" w:rsidP="00DC550A">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FD699B" w:rsidRPr="005E779E">
              <w:rPr>
                <w:rFonts w:ascii="Times New Roman" w:hAnsi="Times New Roman"/>
                <w:color w:val="000000" w:themeColor="text1"/>
                <w:sz w:val="16"/>
                <w:szCs w:val="16"/>
              </w:rPr>
              <w:t>≈8300</w:t>
            </w:r>
          </w:p>
        </w:tc>
      </w:tr>
      <w:tr w:rsidR="00FD699B" w:rsidRPr="005E779E" w14:paraId="40BF41AC" w14:textId="77777777" w:rsidTr="00DC550A">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3CB23E6A"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1D113024"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Ширина</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770A16E"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76EDD652"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D43EE12"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5210D9C4"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3200</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B7F1B01"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063BD74C" w14:textId="075A6930" w:rsidR="00FD699B" w:rsidRPr="005E779E" w:rsidRDefault="00FE094E" w:rsidP="00DC550A">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FD699B" w:rsidRPr="005E779E">
              <w:rPr>
                <w:rFonts w:ascii="Times New Roman" w:hAnsi="Times New Roman"/>
                <w:color w:val="000000" w:themeColor="text1"/>
                <w:sz w:val="16"/>
                <w:szCs w:val="16"/>
              </w:rPr>
              <w:t>≈3200</w:t>
            </w:r>
          </w:p>
        </w:tc>
      </w:tr>
      <w:tr w:rsidR="00FD699B" w:rsidRPr="005E779E" w14:paraId="17DFD3AD" w14:textId="77777777" w:rsidTr="00DC550A">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04472CC5"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398D2768"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Высота</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72D9034"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2A020969"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2840*</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B2FD7FD"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657DCC64"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2900</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616FD1C"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5AF8DA69" w14:textId="439D7257" w:rsidR="00FD699B" w:rsidRPr="005E779E" w:rsidRDefault="00FE094E" w:rsidP="00DC550A">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FD699B" w:rsidRPr="005E779E">
              <w:rPr>
                <w:rFonts w:ascii="Times New Roman" w:hAnsi="Times New Roman"/>
                <w:color w:val="000000" w:themeColor="text1"/>
                <w:sz w:val="16"/>
                <w:szCs w:val="16"/>
              </w:rPr>
              <w:t>≈2900</w:t>
            </w:r>
          </w:p>
        </w:tc>
      </w:tr>
      <w:tr w:rsidR="00FD699B" w:rsidRPr="005E779E" w14:paraId="2C86BEB6" w14:textId="77777777" w:rsidTr="00DC550A">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00C84C0C"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1F1A24AE"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Клиренс</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8FDE328"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4F00407F"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340*</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7B72AE4"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28F5561B"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340</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6F50526"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60D37D9C" w14:textId="2E83EEA1" w:rsidR="00FD699B" w:rsidRPr="005E779E" w:rsidRDefault="00FE094E" w:rsidP="00DC550A">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FD699B" w:rsidRPr="005E779E">
              <w:rPr>
                <w:rFonts w:ascii="Times New Roman" w:hAnsi="Times New Roman"/>
                <w:color w:val="000000" w:themeColor="text1"/>
                <w:sz w:val="16"/>
                <w:szCs w:val="16"/>
              </w:rPr>
              <w:t>≈350</w:t>
            </w:r>
          </w:p>
        </w:tc>
      </w:tr>
      <w:tr w:rsidR="00FD699B" w:rsidRPr="005E779E" w14:paraId="7ABB7EC2" w14:textId="77777777" w:rsidTr="00DC550A">
        <w:tc>
          <w:tcPr>
            <w:tcW w:w="9340" w:type="dxa"/>
            <w:gridSpan w:val="5"/>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484F1B51"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1DD7CC0B"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r>
      <w:tr w:rsidR="00FD699B" w:rsidRPr="005E779E" w14:paraId="75EFED8D" w14:textId="77777777" w:rsidTr="00DC550A">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05FAE499"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05206879"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Пушки, мм</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754A7D9"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15B80B06"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 76,2 А-19, 1 × 76,2 ПС-2</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08B9AD4"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16BF92F5"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 76,2 А-19, 1 × 76,2 ПС-2</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E756F9C"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0A478CC4"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 76,2 А-19, 1 × 76,2 ПС-2</w:t>
            </w:r>
          </w:p>
        </w:tc>
      </w:tr>
      <w:tr w:rsidR="00FD699B" w:rsidRPr="005E779E" w14:paraId="5B6C4B51" w14:textId="77777777" w:rsidTr="00DC550A">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10793CD3"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161F3535"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Пулеметы, мм</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64901D4"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79D7F81B"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 7,62 Максим</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D5618B2"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1AFE4C4B"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 7,62 Максим</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8C194D1"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2576D8EA"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 7,62 ДТ</w:t>
            </w:r>
          </w:p>
        </w:tc>
      </w:tr>
      <w:tr w:rsidR="00FD699B" w:rsidRPr="005E779E" w14:paraId="65C5522B" w14:textId="77777777" w:rsidTr="00DC550A">
        <w:tc>
          <w:tcPr>
            <w:tcW w:w="9340" w:type="dxa"/>
            <w:gridSpan w:val="5"/>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6492591C"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5D717C95"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Боекомплект</w:t>
            </w:r>
          </w:p>
        </w:tc>
      </w:tr>
      <w:tr w:rsidR="00FD699B" w:rsidRPr="005E779E" w14:paraId="75138F10" w14:textId="77777777" w:rsidTr="00DC550A">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5DEE26FE"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145AC348"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Пушки, выстрелы</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9024EEF"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689B265A"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 к 76,2 и 80 к 37</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31B2A88"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643B6318"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 к 76,2 и 80 к 37</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55578B1"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4B040A7F"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 к 76,2 и 80 к 37</w:t>
            </w:r>
          </w:p>
        </w:tc>
      </w:tr>
      <w:tr w:rsidR="00FD699B" w:rsidRPr="005E779E" w14:paraId="117785C6" w14:textId="77777777" w:rsidTr="00DC550A">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0A644C5B"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44D1F622"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Пулеметы, патроны</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5DC3D3C"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2D25FA32"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24000</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4FC0A03"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7418D141"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18000</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720A558"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3A740F30"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30000</w:t>
            </w:r>
          </w:p>
        </w:tc>
      </w:tr>
      <w:tr w:rsidR="00FD699B" w:rsidRPr="005E779E" w14:paraId="09E06EC7" w14:textId="77777777" w:rsidTr="00DC550A">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3153AE89"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725B7AAF"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Приборы прицеливания</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A7E7F44"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21E51890"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телескопический ТОП образца 1930 г.</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CEC2360"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3A161CA0"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телескопический ТОП образца 1930 г.</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D54FE9D"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40B8BABB"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телескопический ТОП образца 1930 г.</w:t>
            </w:r>
          </w:p>
        </w:tc>
      </w:tr>
      <w:tr w:rsidR="00FD699B" w:rsidRPr="005E779E" w14:paraId="6AB79C5B" w14:textId="77777777" w:rsidTr="00DC550A">
        <w:tc>
          <w:tcPr>
            <w:tcW w:w="9340" w:type="dxa"/>
            <w:gridSpan w:val="5"/>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02068FC7"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50C683B5"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Бронирование</w:t>
            </w:r>
          </w:p>
        </w:tc>
      </w:tr>
      <w:tr w:rsidR="00FD699B" w:rsidRPr="005E779E" w14:paraId="7D562977" w14:textId="77777777" w:rsidTr="00DC550A">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20F64B97"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23BEB55A"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Лоб корпуса</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63FFAD6"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3F86C5F9"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065C051"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4A8FBB9E"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71D6E39"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0F1A41AC"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w:t>
            </w:r>
          </w:p>
        </w:tc>
      </w:tr>
      <w:tr w:rsidR="00FD699B" w:rsidRPr="005E779E" w14:paraId="359F2514" w14:textId="77777777" w:rsidTr="00DC550A">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6D81AD18"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22DA5D18"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Борт корпуса</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E32206F"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54131D70"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C5D26BA"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1CA3B3FF"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20+10**</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F3CEC04"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6F374000"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20+10**</w:t>
            </w:r>
          </w:p>
        </w:tc>
      </w:tr>
      <w:tr w:rsidR="00FD699B" w:rsidRPr="005E779E" w14:paraId="775D3DD2" w14:textId="77777777" w:rsidTr="00DC550A">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355E4B74"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7D817D26"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Корма корпуса</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BAB1D1A"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1E8869DB"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251B053"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42E66214"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B4D71E9"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0517A68E"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w:t>
            </w:r>
          </w:p>
        </w:tc>
      </w:tr>
      <w:tr w:rsidR="00FD699B" w:rsidRPr="005E779E" w14:paraId="56F2B22D" w14:textId="77777777" w:rsidTr="00DC550A">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4F198FE2"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22B1AED7"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Башня основная</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58D2A80"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63A43369"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D5524DA"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367393A4"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AF3C942"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457C91D0"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w:t>
            </w:r>
          </w:p>
        </w:tc>
      </w:tr>
      <w:tr w:rsidR="00FD699B" w:rsidRPr="005E779E" w14:paraId="37A6338B" w14:textId="77777777" w:rsidTr="00DC550A">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37AA4B7B"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1B1E6D13"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Башня малая</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94B3F00"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56BCDFAE"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6DDF9A5"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2CBEE3D8"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2379216"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18EC2DD0"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FD699B" w:rsidRPr="005E779E" w14:paraId="490C7530" w14:textId="77777777" w:rsidTr="00DC550A">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7E143110"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67AB1D49"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Крыша</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A8F57B5"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58247A97"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A7FE9C5"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6837E828"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3D22C36"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70F6D9BF"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w:t>
            </w:r>
          </w:p>
        </w:tc>
      </w:tr>
      <w:tr w:rsidR="00FD699B" w:rsidRPr="005E779E" w14:paraId="7E91942F" w14:textId="77777777" w:rsidTr="00DC550A">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7DF89590"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448EC16E"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Днище</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39F6637"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052109E0"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F848B33"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7ADCFF89"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B442D13"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5181E095"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w:t>
            </w:r>
          </w:p>
        </w:tc>
      </w:tr>
      <w:tr w:rsidR="00FD699B" w:rsidRPr="005E779E" w14:paraId="3B17A225" w14:textId="77777777" w:rsidTr="00DC550A">
        <w:tc>
          <w:tcPr>
            <w:tcW w:w="9340" w:type="dxa"/>
            <w:gridSpan w:val="5"/>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31EECA08"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30C97198"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Силовая установка</w:t>
            </w:r>
          </w:p>
        </w:tc>
      </w:tr>
      <w:tr w:rsidR="00FD699B" w:rsidRPr="005E779E" w14:paraId="32B48A9D" w14:textId="77777777" w:rsidTr="00DC550A">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14B43BB0"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61628509"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Тип двигателя</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B9689A8"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792BAE45"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карбюраторный BMW-IV</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BC98EC5"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1E76DF3B"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карбюраторный BMW-IV</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15E8EBC"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339693E5"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карбюраторный BMW-IV</w:t>
            </w:r>
          </w:p>
        </w:tc>
      </w:tr>
      <w:tr w:rsidR="00FD699B" w:rsidRPr="005E779E" w14:paraId="25BC926D" w14:textId="77777777" w:rsidTr="00DC550A">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53367B61"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6C2829FA"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Мощность, л.с.</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BDF51AE"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214D75C7"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3AC068C"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6983E5A0"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40D10E2"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044D54D8"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w:t>
            </w:r>
          </w:p>
        </w:tc>
      </w:tr>
      <w:tr w:rsidR="00FD699B" w:rsidRPr="005E779E" w14:paraId="4B1301B3" w14:textId="77777777" w:rsidTr="00DC550A">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4E4A1CAA"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0C3A8106"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Общая мощность, л.с.</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B747FCC"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7F578CEC"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CC63571"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3AFD05B2"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7D048BF"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2C837B04"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w:t>
            </w:r>
          </w:p>
        </w:tc>
      </w:tr>
      <w:tr w:rsidR="00FD699B" w:rsidRPr="005E779E" w14:paraId="28D2085E" w14:textId="77777777" w:rsidTr="00DC550A">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3335012D"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137AEA53"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Трансмиссия</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D7C36DC"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5151856A"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механическая</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F781823"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7D42CE61"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пневмо-механическая</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6F44D03"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653B239C"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пневмо-механическая</w:t>
            </w:r>
          </w:p>
        </w:tc>
      </w:tr>
      <w:tr w:rsidR="00FD699B" w:rsidRPr="005E779E" w14:paraId="17535514" w14:textId="77777777" w:rsidTr="00DC550A">
        <w:trPr>
          <w:trHeight w:val="1150"/>
        </w:trPr>
        <w:tc>
          <w:tcPr>
            <w:tcW w:w="1221" w:type="dxa"/>
            <w:vMerge w:val="restart"/>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1C97B8D2"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039A0C63"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Ходовая часть</w:t>
            </w:r>
          </w:p>
        </w:tc>
        <w:tc>
          <w:tcPr>
            <w:tcW w:w="138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7D9D901"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0B66C732"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гусеницах</w:t>
            </w:r>
          </w:p>
        </w:tc>
        <w:tc>
          <w:tcPr>
            <w:tcW w:w="2250" w:type="dxa"/>
            <w:vMerge w:val="restart"/>
            <w:tcBorders>
              <w:top w:val="single" w:sz="4" w:space="0" w:color="auto"/>
              <w:left w:val="single" w:sz="4" w:space="0" w:color="auto"/>
              <w:bottom w:val="single" w:sz="4" w:space="0" w:color="auto"/>
              <w:right w:val="single" w:sz="4" w:space="0" w:color="auto"/>
            </w:tcBorders>
            <w:shd w:val="clear" w:color="auto" w:fill="FFFFFF"/>
            <w:vAlign w:val="center"/>
            <w:hideMark/>
          </w:tcPr>
          <w:p w14:paraId="00F475C0"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3D55FD26"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опорных катков, 3 поддерживающих ролика, переднее направляющее и заднее ведущее колесо</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6DD6FB4"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1813039E"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обрезиненных опорных катков, 2 поддерживающих ролика, 1 тележка с двумя малыми опорными катками, переднее направляющее и заднее ведущее колесо</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C7E72DB"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0A0906B7"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обрезиненных опорных катков, первый из которых на колесном ходу управляемый, 2 тележки с двумя малыми опорными катками, переднее направляющее и заднее ведущее колесо</w:t>
            </w:r>
          </w:p>
        </w:tc>
      </w:tr>
      <w:tr w:rsidR="00FD699B" w:rsidRPr="005E779E" w14:paraId="34ECBE78" w14:textId="77777777" w:rsidTr="00DC550A">
        <w:trPr>
          <w:trHeight w:val="1150"/>
        </w:trPr>
        <w:tc>
          <w:tcPr>
            <w:tcW w:w="0" w:type="auto"/>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72F39563" w14:textId="77777777" w:rsidR="00FD699B" w:rsidRPr="005E779E" w:rsidRDefault="00FD699B" w:rsidP="00DC550A">
            <w:pPr>
              <w:spacing w:after="0" w:line="240" w:lineRule="auto"/>
              <w:jc w:val="both"/>
              <w:rPr>
                <w:rFonts w:ascii="Times New Roman" w:hAnsi="Times New Roman"/>
                <w:color w:val="000000" w:themeColor="text1"/>
                <w:sz w:val="16"/>
                <w:szCs w:val="16"/>
              </w:rPr>
            </w:pPr>
          </w:p>
        </w:tc>
        <w:tc>
          <w:tcPr>
            <w:tcW w:w="138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5B6EEDB"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55F5ECA6"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колесах</w:t>
            </w:r>
          </w:p>
        </w:tc>
        <w:tc>
          <w:tcPr>
            <w:tcW w:w="0" w:type="auto"/>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568472C5" w14:textId="77777777" w:rsidR="00FD699B" w:rsidRPr="005E779E" w:rsidRDefault="00FD699B" w:rsidP="00DC550A">
            <w:pPr>
              <w:spacing w:after="0" w:line="240" w:lineRule="auto"/>
              <w:jc w:val="both"/>
              <w:rPr>
                <w:rFonts w:ascii="Times New Roman" w:hAnsi="Times New Roman"/>
                <w:color w:val="000000" w:themeColor="text1"/>
                <w:sz w:val="16"/>
                <w:szCs w:val="16"/>
              </w:rPr>
            </w:pP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233E0EF"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0B4903D9"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первый опорный каток управляемый, привод на два задних катка с помощью гитар-балансиров</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B255934"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32DBCA4D"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первый опорный каток управляемый, привод на два задних катка с помощью гитар-балансиров</w:t>
            </w:r>
          </w:p>
        </w:tc>
      </w:tr>
      <w:tr w:rsidR="00FD699B" w:rsidRPr="005E779E" w14:paraId="62301F1E" w14:textId="77777777" w:rsidTr="00DC550A">
        <w:tc>
          <w:tcPr>
            <w:tcW w:w="1221" w:type="dxa"/>
            <w:vMerge w:val="restart"/>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7953DAE8"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2101E3E7"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Скорость </w:t>
            </w:r>
          </w:p>
        </w:tc>
        <w:tc>
          <w:tcPr>
            <w:tcW w:w="138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090E4DD"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31A8EB38"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гусеницах</w:t>
            </w:r>
          </w:p>
        </w:tc>
        <w:tc>
          <w:tcPr>
            <w:tcW w:w="2250" w:type="dxa"/>
            <w:vMerge w:val="restart"/>
            <w:tcBorders>
              <w:top w:val="single" w:sz="4" w:space="0" w:color="auto"/>
              <w:left w:val="single" w:sz="4" w:space="0" w:color="auto"/>
              <w:bottom w:val="single" w:sz="4" w:space="0" w:color="auto"/>
              <w:right w:val="single" w:sz="4" w:space="0" w:color="auto"/>
            </w:tcBorders>
            <w:shd w:val="clear" w:color="auto" w:fill="FFFFFF"/>
            <w:vAlign w:val="center"/>
            <w:hideMark/>
          </w:tcPr>
          <w:p w14:paraId="3854A3A1"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22161AA0"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5083C60"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6800F6F4"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80EE4CE"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3E6C7778"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45</w:t>
            </w:r>
          </w:p>
        </w:tc>
      </w:tr>
      <w:tr w:rsidR="00FD699B" w:rsidRPr="005E779E" w14:paraId="57BA9035" w14:textId="77777777" w:rsidTr="00DC550A">
        <w:tc>
          <w:tcPr>
            <w:tcW w:w="0" w:type="auto"/>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6B26AAA5" w14:textId="77777777" w:rsidR="00FD699B" w:rsidRPr="005E779E" w:rsidRDefault="00FD699B" w:rsidP="00DC550A">
            <w:pPr>
              <w:spacing w:after="0" w:line="240" w:lineRule="auto"/>
              <w:jc w:val="both"/>
              <w:rPr>
                <w:rFonts w:ascii="Times New Roman" w:hAnsi="Times New Roman"/>
                <w:color w:val="000000" w:themeColor="text1"/>
                <w:sz w:val="16"/>
                <w:szCs w:val="16"/>
              </w:rPr>
            </w:pPr>
          </w:p>
        </w:tc>
        <w:tc>
          <w:tcPr>
            <w:tcW w:w="138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56D7999"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13DEAD97"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колесах</w:t>
            </w:r>
          </w:p>
        </w:tc>
        <w:tc>
          <w:tcPr>
            <w:tcW w:w="0" w:type="auto"/>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60B62683" w14:textId="77777777" w:rsidR="00FD699B" w:rsidRPr="005E779E" w:rsidRDefault="00FD699B" w:rsidP="00DC550A">
            <w:pPr>
              <w:spacing w:after="0" w:line="240" w:lineRule="auto"/>
              <w:jc w:val="both"/>
              <w:rPr>
                <w:rFonts w:ascii="Times New Roman" w:hAnsi="Times New Roman"/>
                <w:color w:val="000000" w:themeColor="text1"/>
                <w:sz w:val="16"/>
                <w:szCs w:val="16"/>
              </w:rPr>
            </w:pP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6F05352"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0CB94191"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80</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A1503CF"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533FF583"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w:t>
            </w:r>
          </w:p>
        </w:tc>
      </w:tr>
      <w:tr w:rsidR="00FD699B" w:rsidRPr="005E779E" w14:paraId="79DDF501" w14:textId="77777777" w:rsidTr="00DC550A">
        <w:tc>
          <w:tcPr>
            <w:tcW w:w="1221" w:type="dxa"/>
            <w:vMerge w:val="restart"/>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2B3B377E"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19CCA861"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Запас хода, км</w:t>
            </w:r>
          </w:p>
        </w:tc>
        <w:tc>
          <w:tcPr>
            <w:tcW w:w="138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B644F47"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32423FEB"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гусеницах</w:t>
            </w:r>
          </w:p>
        </w:tc>
        <w:tc>
          <w:tcPr>
            <w:tcW w:w="2250" w:type="dxa"/>
            <w:vMerge w:val="restart"/>
            <w:tcBorders>
              <w:top w:val="single" w:sz="4" w:space="0" w:color="auto"/>
              <w:left w:val="single" w:sz="4" w:space="0" w:color="auto"/>
              <w:bottom w:val="single" w:sz="4" w:space="0" w:color="auto"/>
              <w:right w:val="single" w:sz="4" w:space="0" w:color="auto"/>
            </w:tcBorders>
            <w:shd w:val="clear" w:color="auto" w:fill="FFFFFF"/>
            <w:vAlign w:val="center"/>
            <w:hideMark/>
          </w:tcPr>
          <w:p w14:paraId="329AEE24"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7CAEB7C3"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н/д</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5CCA821"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275AD03C"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н/д</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1F343E5"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4C808793"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н/д</w:t>
            </w:r>
          </w:p>
        </w:tc>
      </w:tr>
      <w:tr w:rsidR="00FD699B" w:rsidRPr="005E779E" w14:paraId="456D9F92" w14:textId="77777777" w:rsidTr="00DC550A">
        <w:tc>
          <w:tcPr>
            <w:tcW w:w="0" w:type="auto"/>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530D2910" w14:textId="77777777" w:rsidR="00FD699B" w:rsidRPr="005E779E" w:rsidRDefault="00FD699B" w:rsidP="00DC550A">
            <w:pPr>
              <w:spacing w:after="0" w:line="240" w:lineRule="auto"/>
              <w:jc w:val="both"/>
              <w:rPr>
                <w:rFonts w:ascii="Times New Roman" w:hAnsi="Times New Roman"/>
                <w:color w:val="000000" w:themeColor="text1"/>
                <w:sz w:val="16"/>
                <w:szCs w:val="16"/>
              </w:rPr>
            </w:pPr>
          </w:p>
        </w:tc>
        <w:tc>
          <w:tcPr>
            <w:tcW w:w="138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AED34D6"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3910D068"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колесах</w:t>
            </w:r>
          </w:p>
        </w:tc>
        <w:tc>
          <w:tcPr>
            <w:tcW w:w="0" w:type="auto"/>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5517F761" w14:textId="77777777" w:rsidR="00FD699B" w:rsidRPr="005E779E" w:rsidRDefault="00FD699B" w:rsidP="00DC550A">
            <w:pPr>
              <w:spacing w:after="0" w:line="240" w:lineRule="auto"/>
              <w:jc w:val="both"/>
              <w:rPr>
                <w:rFonts w:ascii="Times New Roman" w:hAnsi="Times New Roman"/>
                <w:color w:val="000000" w:themeColor="text1"/>
                <w:sz w:val="16"/>
                <w:szCs w:val="16"/>
              </w:rPr>
            </w:pP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37A16AA"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4DC423BD"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н/д</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89BFB66"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13086DEC"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н/д</w:t>
            </w:r>
          </w:p>
        </w:tc>
      </w:tr>
      <w:tr w:rsidR="00FD699B" w:rsidRPr="005E779E" w14:paraId="3AE77F6E" w14:textId="77777777" w:rsidTr="00DC550A">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198F7DA8"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30D452CD"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Преодолеваемые препятствия</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C7941DC"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32E08863"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ADD1448"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3E5FF196"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1C3E2D5"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52E1C8F7"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r>
      <w:tr w:rsidR="00FD699B" w:rsidRPr="005E779E" w14:paraId="103F51EB" w14:textId="77777777" w:rsidTr="00DC550A">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5E106551"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360BC3C5"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Угол подъёма, град.</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C623341"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5E554AE2"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н/д</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926AD20"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2BCC631E"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н/д</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B033C1B"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2625B938"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н/д</w:t>
            </w:r>
          </w:p>
        </w:tc>
      </w:tr>
      <w:tr w:rsidR="00FD699B" w:rsidRPr="005E779E" w14:paraId="658BD78A" w14:textId="77777777" w:rsidTr="00DC550A">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68365D2A"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08A10853"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Высота стенки, м</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4C9197E"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51E3B93C"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н/д</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846110F"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23093342"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н/д</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3003768"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2A5A4EC0"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н/д</w:t>
            </w:r>
          </w:p>
        </w:tc>
      </w:tr>
      <w:tr w:rsidR="00FD699B" w:rsidRPr="005E779E" w14:paraId="1CFD2B61" w14:textId="77777777" w:rsidTr="00DC550A">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40D8C763"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5765FD47"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Ширина рва, м</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EB25E3D"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1BD63503"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н/д</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3BC6878"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6E0075CB"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н/д</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2B3E169"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69DB4BF0"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н/д</w:t>
            </w:r>
          </w:p>
        </w:tc>
      </w:tr>
      <w:tr w:rsidR="00FD699B" w:rsidRPr="005E779E" w14:paraId="58AFC47A" w14:textId="77777777" w:rsidTr="00DC550A">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3775DF03"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3FF94776"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Глубина брода, м</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9375DBF"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3C144719"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н/д</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0F85455"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01C8414F"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н/д</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A7E340F"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56A024C7"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н/д</w:t>
            </w:r>
          </w:p>
        </w:tc>
      </w:tr>
      <w:tr w:rsidR="00FD699B" w:rsidRPr="005E779E" w14:paraId="62CB6897" w14:textId="77777777" w:rsidTr="00DC550A">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6A116285"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37FD7F3A"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Средства связи</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306B807"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03CEA3DD"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отсутствовали</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970F50E"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6D75F486"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отсутствовали</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1329BBC" w14:textId="77777777" w:rsidR="00FD699B" w:rsidRPr="005E779E" w:rsidRDefault="00FD699B" w:rsidP="00DC550A">
            <w:pPr>
              <w:spacing w:after="0" w:line="240" w:lineRule="auto"/>
              <w:jc w:val="both"/>
              <w:rPr>
                <w:rFonts w:ascii="Times New Roman" w:hAnsi="Times New Roman"/>
                <w:color w:val="000000" w:themeColor="text1"/>
                <w:sz w:val="16"/>
                <w:szCs w:val="16"/>
              </w:rPr>
            </w:pPr>
          </w:p>
          <w:p w14:paraId="6D8D5A3B" w14:textId="77777777" w:rsidR="00FD699B" w:rsidRPr="005E779E" w:rsidRDefault="00FD699B" w:rsidP="00DC550A">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радиостанция дальнего действия для связи на расстоянии 30-50 км</w:t>
            </w:r>
          </w:p>
        </w:tc>
      </w:tr>
    </w:tbl>
    <w:p w14:paraId="30785D12" w14:textId="77777777" w:rsidR="00FD699B" w:rsidRPr="005E779E" w:rsidRDefault="00FD699B" w:rsidP="00FD699B">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 данные из статьи Танки ТА,</w:t>
      </w:r>
    </w:p>
    <w:p w14:paraId="14974AD1" w14:textId="6FFC1A33" w:rsidR="00FD699B" w:rsidRPr="005E779E" w:rsidRDefault="00FD699B" w:rsidP="00FD699B">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 данные приблизительные</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(15620).</w:t>
      </w:r>
    </w:p>
    <w:p w14:paraId="0B1DEE26" w14:textId="77777777" w:rsidR="00FD699B" w:rsidRPr="005E779E" w:rsidRDefault="00FD699B" w:rsidP="00FD699B">
      <w:pPr>
        <w:spacing w:after="0" w:line="240" w:lineRule="auto"/>
        <w:jc w:val="both"/>
        <w:rPr>
          <w:rFonts w:ascii="Times New Roman" w:hAnsi="Times New Roman"/>
          <w:color w:val="000000" w:themeColor="text1"/>
          <w:sz w:val="16"/>
          <w:szCs w:val="16"/>
        </w:rPr>
      </w:pPr>
    </w:p>
    <w:p w14:paraId="08A34CA5"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7BC00DD6"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1DFB7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апреля 1931 г. Приказом ОГПУ № 160/96 заместителем начальника ЭКУГ. Е. Прокофьева назначается Л. Г. Миронов. Этим же приказом в составе ЭКУ ОГПУ организуется 5-е Специально-Техническое Отделение по использованию осужденных специалистов. Этот день следует считать днем рождения шарашек. 10 августа 1931 года Политбюро ЦКВКП(б) утверждает Миронова Л. Г. начальником ЭКУ ОГПУ СССР. Возвращенный в центр и назначенный руководителем Центрального ЭКУ НКВД СССР, Миронов направил все усилия по созданию тюрем-шарашек в большинстве крупных промышленных центров России. Его чрезмерное рвение в работе привело к тому, что в правительство стало поступать много жалоб от ученых и специалистов на необоснованность их ареста и помещения в тюрьмы-шарашки (12107).</w:t>
      </w:r>
    </w:p>
    <w:p w14:paraId="4E9F58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1446ADD" w14:textId="77777777" w:rsidR="00FD699B" w:rsidRPr="005E779E" w:rsidRDefault="00FD699B" w:rsidP="00FD699B">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1-му апреля 1931 года Заводом № 39 был построен легкий одномоторный двухместный штурмовик-торпедоносец ШОН (ЦКБ № 23) - штурмовик особого назначения с частичным бронированием снизу двигателя ВМW-6 и кабины пилота и испытывался до начала следующего года. Первые же полеты показали неудовлетворительную работу двигателя: при температуре окружающего воздуха выше 21 градуса закипала вода в радиаторе, перегревалось масло. После устранения этих и других недостатков, ШОН получил положительную оценку летных данных, однако в серию не запускался. К тому времени от создания авианосцев отказались, а для применения с сухопутных аэродромов вполне годились штурмовики-монопланы, имевшие лучшие скоростные качества (18293).</w:t>
      </w:r>
    </w:p>
    <w:p w14:paraId="58C461FF" w14:textId="77777777" w:rsidR="00FD699B" w:rsidRPr="005E779E" w:rsidRDefault="00FD699B" w:rsidP="00FD699B">
      <w:pPr>
        <w:spacing w:after="0" w:line="240" w:lineRule="auto"/>
        <w:jc w:val="both"/>
        <w:rPr>
          <w:rFonts w:ascii="Times New Roman" w:hAnsi="Times New Roman"/>
          <w:color w:val="000000" w:themeColor="text1"/>
          <w:sz w:val="16"/>
          <w:szCs w:val="16"/>
        </w:rPr>
      </w:pPr>
    </w:p>
    <w:p w14:paraId="34F9435D" w14:textId="77777777" w:rsidR="00FD699B" w:rsidRPr="005E779E" w:rsidRDefault="00FD699B" w:rsidP="00FD699B">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апреля 1931 г. выпущен на испытания разработанный ОСС ЦКБ штурмовик особого назначения ШОН (23559).</w:t>
      </w:r>
    </w:p>
    <w:p w14:paraId="599A0A5F" w14:textId="77777777" w:rsidR="00FD699B" w:rsidRPr="005E779E" w:rsidRDefault="00FD699B" w:rsidP="00FD699B">
      <w:pPr>
        <w:spacing w:after="0" w:line="240" w:lineRule="auto"/>
        <w:jc w:val="both"/>
        <w:rPr>
          <w:rFonts w:ascii="Times New Roman" w:hAnsi="Times New Roman"/>
          <w:color w:val="000000" w:themeColor="text1"/>
          <w:sz w:val="16"/>
          <w:szCs w:val="16"/>
        </w:rPr>
      </w:pPr>
    </w:p>
    <w:p w14:paraId="058CB236" w14:textId="77777777" w:rsidR="00FD699B" w:rsidRPr="005E779E" w:rsidRDefault="00FD699B" w:rsidP="00FD699B">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1 апреля 1931 г. был построен и испытывался вплоть до лета 1932 легкий одномоторный (BMW-6) двухместный штурмовик ШОН (штурмовик особого назначения, № 23 по плану ЦКБ) с частичным бронированием (только снизу) мотора и кабины летчика, который был разработан в ЦКБ параллельно работам по ТШ-2 на базе штурмовика ЛШ-1. В создании ШОН, кроме Н. Н. Поликарпова и С. А. Кочеригина, принимал участие Д. П. Григорович.</w:t>
      </w:r>
    </w:p>
    <w:p w14:paraId="019D70FA" w14:textId="77777777" w:rsidR="00FD699B" w:rsidRPr="005E779E" w:rsidRDefault="00FD699B" w:rsidP="00FD699B">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Предполагалось, что этим штурмовиком будут вооружаться также и авиагруппы перспективных советских авианосцев, проектирование которых велось в это время. В частности, проект переоборудования учебного судна «Комсомолец» в учебный авианосец предусматривал базирование на корабле авиагруппы в составе 26 истребителей и 16 штурмовиков.</w:t>
      </w:r>
    </w:p>
    <w:p w14:paraId="1003D282" w14:textId="77777777" w:rsidR="00FD699B" w:rsidRPr="005E779E" w:rsidRDefault="00FD699B" w:rsidP="00FD699B">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 ШОН состояло из счетверенной качающейся установки пулеметов ПВ-1, установленной в полу кабины стрелка, для стрельбы под углом впред-вниз и назад, и 400 кг авиабомб. Оборонительное вооружение включало один пулемет для стрельбы назад.</w:t>
      </w:r>
    </w:p>
    <w:p w14:paraId="7DAF74BB" w14:textId="77777777" w:rsidR="00FD699B" w:rsidRPr="005E779E" w:rsidRDefault="00FD699B" w:rsidP="00FD699B">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Машина получилась довольно простой и дешевой в производстве. Сварная моторама крепилась к фюзеляжу на четырех болтах.</w:t>
      </w:r>
    </w:p>
    <w:p w14:paraId="4F1E156B" w14:textId="77777777" w:rsidR="00FD699B" w:rsidRPr="005E779E" w:rsidRDefault="00FD699B" w:rsidP="00FD699B">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Фюзеляж выполнялся из сварных углеродистых труб с поперечными проволочными растяжками и от кабины до конца фюзеляжа покрывался полотном.</w:t>
      </w:r>
    </w:p>
    <w:p w14:paraId="50288642" w14:textId="77777777" w:rsidR="00FD699B" w:rsidRPr="005E779E" w:rsidRDefault="00FD699B" w:rsidP="00FD699B">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Конструкция крыльев деревянная, двухлонжеронная с полотняной обшивкой. Для удобства транспортировки и размещения самолета на палубе авианосца крылья отворачивались назад. Были внесены изменения и в конструкцию шасси.</w:t>
      </w:r>
    </w:p>
    <w:p w14:paraId="3DB36A64" w14:textId="77777777" w:rsidR="00FD699B" w:rsidRPr="005E779E" w:rsidRDefault="00FD699B" w:rsidP="00FD699B">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Первые же полеты показали, что при температуре окружающего воздуха 21°С вода в системе охлаждения закипала. Завод перешел на этиленгликолевое охлаждение. Температура масла тоже была высокой.</w:t>
      </w:r>
    </w:p>
    <w:p w14:paraId="2705650F" w14:textId="77777777" w:rsidR="00FD699B" w:rsidRPr="005E779E" w:rsidRDefault="00FD699B" w:rsidP="00FD699B">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Общая оценка летных характеристик была положительной, однако в серию ШОН запущен не был, так как надобность в нем уже прошла - от создания авианосцев отказались, а для применения с сухопутных аэродромов вполне годились штурмовики-монопланы, имевшие лучшие скоростные качества (9649).</w:t>
      </w:r>
    </w:p>
    <w:p w14:paraId="1502A50D" w14:textId="77777777" w:rsidR="00FD699B" w:rsidRPr="005E779E" w:rsidRDefault="00FD699B" w:rsidP="00FD699B">
      <w:pPr>
        <w:autoSpaceDE w:val="0"/>
        <w:autoSpaceDN w:val="0"/>
        <w:adjustRightInd w:val="0"/>
        <w:spacing w:after="0" w:line="240" w:lineRule="auto"/>
        <w:jc w:val="both"/>
        <w:rPr>
          <w:rFonts w:ascii="Times New Roman" w:hAnsi="Times New Roman"/>
          <w:color w:val="000000" w:themeColor="text1"/>
          <w:sz w:val="16"/>
          <w:szCs w:val="16"/>
        </w:rPr>
      </w:pPr>
    </w:p>
    <w:p w14:paraId="5F699B47" w14:textId="77777777" w:rsidR="00FD699B" w:rsidRPr="005E779E" w:rsidRDefault="00FD699B" w:rsidP="00FD699B">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ШОН был выпущен в ЦКБ к 1 апреля 1931 (92,420).</w:t>
      </w:r>
    </w:p>
    <w:p w14:paraId="7176CAC2" w14:textId="77777777" w:rsidR="00FD699B" w:rsidRPr="005E779E" w:rsidRDefault="00FD699B" w:rsidP="00FD699B">
      <w:pPr>
        <w:autoSpaceDE w:val="0"/>
        <w:autoSpaceDN w:val="0"/>
        <w:adjustRightInd w:val="0"/>
        <w:spacing w:after="0" w:line="240" w:lineRule="auto"/>
        <w:jc w:val="both"/>
        <w:rPr>
          <w:rFonts w:ascii="Times New Roman" w:hAnsi="Times New Roman"/>
          <w:color w:val="000000" w:themeColor="text1"/>
          <w:sz w:val="16"/>
          <w:szCs w:val="16"/>
        </w:rPr>
      </w:pPr>
    </w:p>
    <w:p w14:paraId="52135E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апрелю 1931 г. в АГОС ЦАГИ пришли к выводу, что основным вариантом для проектирования должна стать установка шести двигателей М-34, которые во втором квартале 1932 г. все- таки намеревались заменить четырьмя М-35. Но М-34 в наличии тоже не имелось - их серийное производство на заводе № 24 начали налаживать только с сентября 1931 г. Поэтому для первого опытного образца АНТ-16 решили купить моторы по 800 л.с. в Англии. Фирме "Роллс-Ройс" через торговое представительство в Лондоне даже успели выдать заказ на них.</w:t>
      </w:r>
    </w:p>
    <w:p w14:paraId="4C1E18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 уже 1 июня заказ отменили. Это было связано с решением правительства прекратить закупку импортных моторов для опытных самолетов. Поскольку М-34Р и ФЭД пока не существовали даже в опытных образцах, а от серийного выпуска М-27Р отказались, то оставалось надеяться только на М-34.</w:t>
      </w:r>
    </w:p>
    <w:p w14:paraId="39A6FC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Опытный самолет к этому времени уже начали строить. По своей компоновке бомбардировщик во многом повторял ТБ-3, но со значительным увеличением размеров всех узлов. Параллельно проектировались два варианта ТБ-4, предусмотренные планом опытных работ. Один должен был строиться целиком из дюраля (кольчугалюминия) и иметь большее по площади крыло (410 м2). Уточненное задание требовало от этого варианта бомбовую нагрузку 6000 кг и вооружение из десяти пулеметов и двух пушек. Второй тип должен был иметь стальной (для экономии дефицитного дюраля) каркас и меньшее по размерам крыло (площадью 340 м2). Он должен был нести меньше бомб (4500 кг) и более слабое стрелково-артиллерийское вооружение - шесть-восемь пулеметов и одну пушку (12024).</w:t>
      </w:r>
    </w:p>
    <w:p w14:paraId="563B04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11C15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К апрелю 1931 г. в АГОС ЦАГИ пришли к выводу, что основным вариантом для проектирования должна стать установка шести двигателей М-34, которые во втором квартале 1932 г. намеревались заменить четырьмя М-35. Но М-34 в наличии тоже не имелось - их производство на заводе № 24 в Москве начали налаживать только с сентября 1931 г. Поэтому для первого опытного АНТ-16 решили купить моторы по 800 л.с. в Англии. Фирме "Роллс-Ройс" даже успели выдать заказ на них.</w:t>
      </w:r>
    </w:p>
    <w:p w14:paraId="1D73AE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 уже 1 июня заказ отменили. Это было связано с решением правительства прекратить закупку импортных моторов для опытных самолетов. Поскольку М-34Р и ФЭД пока не существовали даже в опытных образцах, а от серийного выпуска М-27Р отказались, то оставалось надеяться только на М-34.</w:t>
      </w:r>
    </w:p>
    <w:p w14:paraId="7A0B42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Опытный самолет к этому времени уже начали строить. По своей компоновке бомбардировщик во многом повторял ТБ-3, но со значительным увеличением размеров всех узлов. Параллельно проектировались два варианта ТБ-4, предусмотренные планом опытных работ. Один должен был строиться целиком из дюраля (кольчугалюминия) и иметь большее по площади крыло (410 м2). Уточненное задание требовало от этого варианта бомбовую нагрузку 6000 кг и вооружение из десяти пулеметов и двух пушек. Второй тип должен был иметь стальной (для экономии дефицитного дюраля) каркас и меньшее по размерам крыло (площадью 340 м2). Он должен был нести меньше бомб (4500 кг) и более слабое стрелково-артиллерийское вооружение - шесть - восемь пулеметов и одну пушку (12036).</w:t>
      </w:r>
    </w:p>
    <w:p w14:paraId="1D1221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BAABB1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1 апреля 1931 года установка моторов БМВVI Е=7,3 на ТБ-3 была закончена (6918).</w:t>
      </w:r>
    </w:p>
    <w:p w14:paraId="3FD8089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CF7621" w14:textId="77777777" w:rsidR="005A6DD2" w:rsidRPr="005E779E" w:rsidRDefault="005A6DD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 апреля в 1931 году построен и начались испытания разработанного в ЦКБ лёгкого одномоторного (BMW-VI) двухместного штурмовика </w:t>
      </w:r>
      <w:hyperlink r:id="rId82" w:tgtFrame="_blank" w:history="1">
        <w:r w:rsidRPr="005E779E">
          <w:rPr>
            <w:rFonts w:ascii="Times New Roman" w:hAnsi="Times New Roman"/>
            <w:color w:val="000000" w:themeColor="text1"/>
            <w:sz w:val="16"/>
            <w:szCs w:val="16"/>
          </w:rPr>
          <w:t xml:space="preserve">«ШОН» </w:t>
        </w:r>
      </w:hyperlink>
      <w:r w:rsidRPr="005E779E">
        <w:rPr>
          <w:rFonts w:ascii="Times New Roman" w:hAnsi="Times New Roman"/>
          <w:color w:val="000000" w:themeColor="text1"/>
          <w:sz w:val="16"/>
          <w:szCs w:val="16"/>
        </w:rPr>
        <w:t>(штурмовик особого назначения, № 23 по плану ЦКБ) с частичным бронированием кабины лётчика и мотора (только снизу). Предполагалось, что этим штурмовиком будут вооружаться также и авиагруппы перспективных советских авианосцев, проектирование которых велось в это время. Общая оценка лётных характеристик была положительной, однако в серию «ШОН» запущен не был, так как надобность в нем уже прошла - от создания авианосцев отказались, а для применения с сухопутных аэродромов вполне годились штурмовики-монопланы, имевшие лучшие скоростные качества (15086).</w:t>
      </w:r>
    </w:p>
    <w:p w14:paraId="7AF3BCEE" w14:textId="77777777" w:rsidR="005A6DD2" w:rsidRPr="005E779E" w:rsidRDefault="005A6DD2" w:rsidP="000B7A6C">
      <w:pPr>
        <w:spacing w:after="0" w:line="240" w:lineRule="auto"/>
        <w:jc w:val="both"/>
        <w:rPr>
          <w:rFonts w:ascii="Times New Roman" w:hAnsi="Times New Roman"/>
          <w:color w:val="000000" w:themeColor="text1"/>
          <w:sz w:val="16"/>
          <w:szCs w:val="16"/>
        </w:rPr>
      </w:pPr>
    </w:p>
    <w:p w14:paraId="73A3FAB5" w14:textId="77777777" w:rsidR="005A6DD2" w:rsidRPr="005E779E" w:rsidRDefault="005A6DD2"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1 апреля 1931 года заводом № 39был построен еще один легкий одномоторный двухместный штурмовик-торпедоносец ШОН (ЦКБ № 23) - штурмовик особого назначения с частичным бронированием снизу двигателя ВМW-6 и кабины пилота. В создании ШОН, кроме Н.Н. Поликарпова и С.А. Кочеригина принимал участие и Д.П. Григорович. Предполагалось, что этим штурмовиком будут вооружаться также и авиагруппы перспективных советских авианосцев, проектирование которых также велось в то время. В частности, проект переоборудования учебного судна «Комсомолец» в учебный авианосец предусматривал базирование на корабле авиагруппы в составе 26 истребителей и 16 штурмовиков.</w:t>
      </w:r>
    </w:p>
    <w:p w14:paraId="74D5E285" w14:textId="77777777" w:rsidR="005A6DD2" w:rsidRPr="005E779E" w:rsidRDefault="005A6DD2"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 ШОН предусматривало подвеску торпеды, а в сухопутном варианте - счетверенную качающуюся установку пулеметов ПВ-1, установленную в полу кабины стрелка для стрельбы под углом вперед-вниз и назад, и 400 кг авиабомб. Оборонительное вооружение включало один пулемет для стрельбы назад. Машина получилась довольно простой и дешевой в производстве. Сварная моторама крепилась к фюзеляжу на четырех болтах. Фюзеляж выполнялся из сварных труб с поперечными проволочными расчалками и от кабины до конца фюзеляжа покрывался полотном. Конструкция крыльев деревянная, двухлонжеронная, с полотняной обшивкой. Для удобства транспортировки и размещения самолета на палубе авианосца крылья отворачивали назад. Были внесены изменения и в конструкцию шасси.</w:t>
      </w:r>
    </w:p>
    <w:p w14:paraId="4C5FF064" w14:textId="77777777" w:rsidR="005A6DD2" w:rsidRPr="005E779E" w:rsidRDefault="005A6DD2"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ШОН испытывался до начала следующего года. Первые же полеты показали неудовлетворительную работу двигателя: при температуре окружающего воздуха выше 21 градуса закипала вода в радиаторе, перегревалось масло. После устранения этих и других недостатков, ШОН получил положительную оценку летных данных, однако в серию не запускался. К тому времени от создания авианосцев отказались, а для применения с сухопутных аэродромов вполне годились штурмовики-монопланы, имевшие лучшие скоростные качества (15223).</w:t>
      </w:r>
    </w:p>
    <w:p w14:paraId="179611B5" w14:textId="77777777" w:rsidR="005A6DD2" w:rsidRPr="005E779E" w:rsidRDefault="005A6DD2" w:rsidP="000B7A6C">
      <w:pPr>
        <w:shd w:val="clear" w:color="auto" w:fill="FFFFFF"/>
        <w:spacing w:after="0" w:line="240" w:lineRule="auto"/>
        <w:jc w:val="both"/>
        <w:rPr>
          <w:rFonts w:ascii="Times New Roman" w:hAnsi="Times New Roman"/>
          <w:color w:val="000000" w:themeColor="text1"/>
          <w:sz w:val="16"/>
          <w:szCs w:val="16"/>
        </w:rPr>
      </w:pPr>
    </w:p>
    <w:p w14:paraId="3781DB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апреля 1931 на ТБ-3 4КК были установлено 4 БМВ-6 и были закончены переделки рулей и элеронов с тем, чтобы снизить давление на органы управления. Окончательно проблему не решили, т.к. один из двигателей разрушился, а усилия уменьшились недостаточно (3029,211).</w:t>
      </w:r>
    </w:p>
    <w:p w14:paraId="0BC889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74529C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или 2 апреля 1931 Нач. Администрации ЦАГИ Берг писал письмо № 332,с Пом. Секратаря РВС тов. Орлову:</w:t>
      </w:r>
    </w:p>
    <w:p w14:paraId="2360512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присланному Вами предложению посылаю отзыв, составленный по указанию т. Петренко, Зам. Нач. ЦАГИ проф. А.И.Некрасовы:</w:t>
      </w:r>
    </w:p>
    <w:p w14:paraId="4115C57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РЕВВОЕНСОВЕТ СССР На в № 0490сс.</w:t>
      </w:r>
    </w:p>
    <w:p w14:paraId="7B455BF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Предложение заменить неподвижные части машин, двигающихся в воздухе или в воде, подвижными для уменьшения части сопротив</w:t>
      </w:r>
      <w:r w:rsidRPr="005E779E">
        <w:rPr>
          <w:rFonts w:ascii="Times New Roman" w:hAnsi="Times New Roman"/>
          <w:color w:val="000000" w:themeColor="text1"/>
          <w:sz w:val="16"/>
          <w:szCs w:val="16"/>
        </w:rPr>
        <w:softHyphen/>
        <w:t>ления, приходящейся на трение, не является по своей идее новым. Так, например, в книге проф. Б.Н.Юрьева "Индуктивное сопротивление крыльев аэроплана”. Применяя более сложные устройства, мож</w:t>
      </w:r>
      <w:r w:rsidRPr="005E779E">
        <w:rPr>
          <w:rFonts w:ascii="Times New Roman" w:hAnsi="Times New Roman"/>
          <w:color w:val="000000" w:themeColor="text1"/>
          <w:sz w:val="16"/>
          <w:szCs w:val="16"/>
        </w:rPr>
        <w:softHyphen/>
        <w:t>но, конечно, и далее улучшать крылья. Напр.: если крыло обтя</w:t>
      </w:r>
      <w:r w:rsidRPr="005E779E">
        <w:rPr>
          <w:rFonts w:ascii="Times New Roman" w:hAnsi="Times New Roman"/>
          <w:color w:val="000000" w:themeColor="text1"/>
          <w:sz w:val="16"/>
          <w:szCs w:val="16"/>
        </w:rPr>
        <w:softHyphen/>
        <w:t>нуть подвижным на роликах полотном, как это изображено на фиг. 14 бис, то под влиянием трения это полотно придет в движение, и сила трения значительно уменьшится. Если такие полотна приво</w:t>
      </w:r>
      <w:r w:rsidRPr="005E779E">
        <w:rPr>
          <w:rFonts w:ascii="Times New Roman" w:hAnsi="Times New Roman"/>
          <w:color w:val="000000" w:themeColor="text1"/>
          <w:sz w:val="16"/>
          <w:szCs w:val="16"/>
        </w:rPr>
        <w:softHyphen/>
        <w:t>дить в движение от мотора, то можно будет получить вместо про</w:t>
      </w:r>
      <w:r w:rsidRPr="005E779E">
        <w:rPr>
          <w:rFonts w:ascii="Times New Roman" w:hAnsi="Times New Roman"/>
          <w:color w:val="000000" w:themeColor="text1"/>
          <w:sz w:val="16"/>
          <w:szCs w:val="16"/>
        </w:rPr>
        <w:softHyphen/>
        <w:t>фильного сопротивления даже силу тяги. Давая верхнему полотну большую скорость, чем нижнему, можно будет получить увеличение циркуляции скорости около крыла и, следовательно, увеличить его под"емную силу.</w:t>
      </w:r>
    </w:p>
    <w:p w14:paraId="2EE5141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Однако, такое устройство вряд ли будет целесообразным из-за сложности конструкции.</w:t>
      </w:r>
    </w:p>
    <w:p w14:paraId="2541047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Таким образом, вопрос лежит не в плоскости самой идеи, а в плоскости её технического осуществления.</w:t>
      </w:r>
    </w:p>
    <w:p w14:paraId="4A55D71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Чтобы судить о том, стоит ли этим вопросом заниматься, при</w:t>
      </w:r>
      <w:r w:rsidRPr="005E779E">
        <w:rPr>
          <w:rFonts w:ascii="Times New Roman" w:hAnsi="Times New Roman"/>
          <w:color w:val="000000" w:themeColor="text1"/>
          <w:sz w:val="16"/>
          <w:szCs w:val="16"/>
        </w:rPr>
        <w:softHyphen/>
        <w:t>ведем следующие результаты, вытекающие из работ randtl, Jebers, Gibbson, Sottorn и др.</w:t>
      </w:r>
    </w:p>
    <w:p w14:paraId="5A2AA47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Общее сопротивление слагается из индуктивного сопротивле</w:t>
      </w:r>
      <w:r w:rsidRPr="005E779E">
        <w:rPr>
          <w:rFonts w:ascii="Times New Roman" w:hAnsi="Times New Roman"/>
          <w:color w:val="000000" w:themeColor="text1"/>
          <w:sz w:val="16"/>
          <w:szCs w:val="16"/>
        </w:rPr>
        <w:softHyphen/>
        <w:t>ния, волнового, сопротивления от Кармановских вихрей, сопротив</w:t>
      </w:r>
      <w:r w:rsidRPr="005E779E">
        <w:rPr>
          <w:rFonts w:ascii="Times New Roman" w:hAnsi="Times New Roman"/>
          <w:color w:val="000000" w:themeColor="text1"/>
          <w:sz w:val="16"/>
          <w:szCs w:val="16"/>
        </w:rPr>
        <w:softHyphen/>
        <w:t>ления от трения. Три последних источника сопротивления об"еди-няются общим названием сопротивление формы. Выделить величину</w:t>
      </w:r>
    </w:p>
    <w:p w14:paraId="30F3574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сопротивления каждого рода представляет большие трудности, но всё же возможно.</w:t>
      </w:r>
    </w:p>
    <w:p w14:paraId="0267D23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результатам Прандтля аэроплан с общей поверхностью в 80 кв. м. при скорости 144 км в час испытывает общее сопротивление в 200-250 кг, причем на до</w:t>
      </w:r>
      <w:r w:rsidRPr="005E779E">
        <w:rPr>
          <w:rFonts w:ascii="Times New Roman" w:hAnsi="Times New Roman"/>
          <w:color w:val="000000" w:themeColor="text1"/>
          <w:sz w:val="16"/>
          <w:szCs w:val="16"/>
        </w:rPr>
        <w:softHyphen/>
        <w:t>лю трения падает 28 кг.</w:t>
      </w:r>
    </w:p>
    <w:p w14:paraId="63F7CA1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увеличении размеров и скорости сопротивление растет прямопропорционально ширине крыла, прямопропорционально 0,85 степени от длины и 1,85 степени от скорости.</w:t>
      </w:r>
    </w:p>
    <w:p w14:paraId="3410ACD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Мы видим, что сопротивление от трения составляет, вообще, заметную часть от общего сопротивления.</w:t>
      </w:r>
    </w:p>
    <w:p w14:paraId="7EC3DF2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скольжении по воде пластинки, а эти результаты приме</w:t>
      </w:r>
      <w:r w:rsidRPr="005E779E">
        <w:rPr>
          <w:rFonts w:ascii="Times New Roman" w:hAnsi="Times New Roman"/>
          <w:color w:val="000000" w:themeColor="text1"/>
          <w:sz w:val="16"/>
          <w:szCs w:val="16"/>
        </w:rPr>
        <w:softHyphen/>
        <w:t>нимы к глиссерам, сопротивление от трения при увеличении угла атаки заметно уменьшается, и остальная часть сопротивления за</w:t>
      </w:r>
      <w:r w:rsidRPr="005E779E">
        <w:rPr>
          <w:rFonts w:ascii="Times New Roman" w:hAnsi="Times New Roman"/>
          <w:color w:val="000000" w:themeColor="text1"/>
          <w:sz w:val="16"/>
          <w:szCs w:val="16"/>
        </w:rPr>
        <w:softHyphen/>
        <w:t>метно увеличивается и та и другая части сопротивления растут с увеличением скорости и нагрузки.</w:t>
      </w:r>
    </w:p>
    <w:p w14:paraId="3B55426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Угол атаки для глиссеров лежит в пределах от 4° до 6° 5 при этих углах сопротивление от трения составляет около 25% от общего сопротивления.</w:t>
      </w:r>
    </w:p>
    <w:p w14:paraId="50E10B8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Наконец, при движении водоиамещавщих судов при малых скоростях сопротивление от трения составляет уже очень значи -тельную часть общего сопротивления.</w:t>
      </w:r>
    </w:p>
    <w:p w14:paraId="64836CD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Именно, для легкого крейсера при скорости в 14 узлов со</w:t>
      </w:r>
      <w:r w:rsidRPr="005E779E">
        <w:rPr>
          <w:rFonts w:ascii="Times New Roman" w:hAnsi="Times New Roman"/>
          <w:color w:val="000000" w:themeColor="text1"/>
          <w:sz w:val="16"/>
          <w:szCs w:val="16"/>
        </w:rPr>
        <w:softHyphen/>
        <w:t>противление от трения составляет 80% от общего сопротивления и пш 25 узлах - около 50%.</w:t>
      </w:r>
    </w:p>
    <w:p w14:paraId="20F4570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 этого ясно, что заниматься этим вопросом стоит, но главное значение имеет разработка вопроса об уменьшении сопро</w:t>
      </w:r>
      <w:r w:rsidRPr="005E779E">
        <w:rPr>
          <w:rFonts w:ascii="Times New Roman" w:hAnsi="Times New Roman"/>
          <w:color w:val="000000" w:themeColor="text1"/>
          <w:sz w:val="16"/>
          <w:szCs w:val="16"/>
        </w:rPr>
        <w:softHyphen/>
        <w:t>тивления от трения с точки зрения технического его осуществления.</w:t>
      </w:r>
    </w:p>
    <w:p w14:paraId="58BC050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ЦГАСА. ф. 8. оп. 1, д. 1469, л.л.66 (1026,150).</w:t>
      </w:r>
    </w:p>
    <w:p w14:paraId="4019DB0C"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AF53EB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апреля 1931 года был принят на техсовещании проект мотора М-32, разработанный заводом 24 и потом доработанный ИАМ (6918).</w:t>
      </w:r>
    </w:p>
    <w:p w14:paraId="6D73C6C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9D810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апреля 1931 года проект М-32 был одобрен техническим совещанием ИАМ. В мае 1930 г. руководство проектированием М-32 в ИАМ предлагали поручить АД Швецову. В 1931-1932 гг. из</w:t>
      </w:r>
      <w:r w:rsidRPr="005E779E">
        <w:rPr>
          <w:rFonts w:ascii="Times New Roman" w:hAnsi="Times New Roman"/>
          <w:color w:val="000000" w:themeColor="text1"/>
          <w:sz w:val="16"/>
          <w:szCs w:val="16"/>
        </w:rPr>
        <w:softHyphen/>
        <w:t>готовлено пять (по другим данным — шесть) опытных экземпляров. К 1 января 1932 г. все рабочие чертежи деталей завершили, сделали три четверти моделей для отливок и приступили к литью. 20 октября того же года первый экземпляр М-32 запустили на стенде. В процессе доводки усилили рубашки блоков, затем выявилось растрескивание коренных под</w:t>
      </w:r>
      <w:r w:rsidRPr="005E779E">
        <w:rPr>
          <w:rFonts w:ascii="Times New Roman" w:hAnsi="Times New Roman"/>
          <w:color w:val="000000" w:themeColor="text1"/>
          <w:sz w:val="16"/>
          <w:szCs w:val="16"/>
        </w:rPr>
        <w:softHyphen/>
        <w:t>шипников и головок блоков. Со второго экзем</w:t>
      </w:r>
      <w:r w:rsidRPr="005E779E">
        <w:rPr>
          <w:rFonts w:ascii="Times New Roman" w:hAnsi="Times New Roman"/>
          <w:color w:val="000000" w:themeColor="text1"/>
          <w:sz w:val="16"/>
          <w:szCs w:val="16"/>
        </w:rPr>
        <w:softHyphen/>
        <w:t>пляра применялись усиленные блоки. Основные дефекты так и не были устранены. В 1934 г. появилось новое задание на модификацию М-32РН. За счет введения ПЦН мощность требовалось довести до 650 л.с. В перспективе рассчитывали перейти на охлаждение этиленгликолем или даже на паровое охлаждение. М-32РН был построен и поставлен на стенд. В общей сложности изго</w:t>
      </w:r>
      <w:r w:rsidRPr="005E779E">
        <w:rPr>
          <w:rFonts w:ascii="Times New Roman" w:hAnsi="Times New Roman"/>
          <w:color w:val="000000" w:themeColor="text1"/>
          <w:sz w:val="16"/>
          <w:szCs w:val="16"/>
        </w:rPr>
        <w:softHyphen/>
        <w:t xml:space="preserve">товили пять М-32. Доводка двигателя шла до 1935 г. К этому времени он уже устарел, а требуемого уровня надежности ПЦН добиться не удалось. Работу прекратили. В серийное производство не запускался. </w:t>
      </w:r>
    </w:p>
    <w:p w14:paraId="6E6BE75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Известны модификации:</w:t>
      </w:r>
    </w:p>
    <w:p w14:paraId="3C971A3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М-32, первоначальный вариант без редук</w:t>
      </w:r>
      <w:r w:rsidRPr="005E779E">
        <w:rPr>
          <w:rFonts w:ascii="Times New Roman" w:hAnsi="Times New Roman"/>
          <w:color w:val="000000" w:themeColor="text1"/>
          <w:sz w:val="16"/>
          <w:szCs w:val="16"/>
        </w:rPr>
        <w:softHyphen/>
        <w:t>тора и ПЦН, изготовлен в одном экзем</w:t>
      </w:r>
      <w:r w:rsidRPr="005E779E">
        <w:rPr>
          <w:rFonts w:ascii="Times New Roman" w:hAnsi="Times New Roman"/>
          <w:color w:val="000000" w:themeColor="text1"/>
          <w:sz w:val="16"/>
          <w:szCs w:val="16"/>
        </w:rPr>
        <w:softHyphen/>
        <w:t>пляре. Вес по заданию 400 кг, фактически 430 кг.</w:t>
      </w:r>
    </w:p>
    <w:p w14:paraId="0BD4DA7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М-32РН, вариант с редуктором и односкоростным ПЦН. В дальнейшем предпо</w:t>
      </w:r>
      <w:r w:rsidRPr="005E779E">
        <w:rPr>
          <w:rFonts w:ascii="Times New Roman" w:hAnsi="Times New Roman"/>
          <w:color w:val="000000" w:themeColor="text1"/>
          <w:sz w:val="16"/>
          <w:szCs w:val="16"/>
        </w:rPr>
        <w:softHyphen/>
        <w:t>лагали опробовать паровое охлаждение и охлаждение этиленгликолем. Вес 460 кг.</w:t>
      </w:r>
    </w:p>
    <w:p w14:paraId="7FCEBD9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Характеристики:</w:t>
      </w:r>
    </w:p>
    <w:p w14:paraId="394BE49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16-цилиндровый, рядный У-образный, че</w:t>
      </w:r>
      <w:r w:rsidRPr="005E779E">
        <w:rPr>
          <w:rFonts w:ascii="Times New Roman" w:hAnsi="Times New Roman"/>
          <w:color w:val="000000" w:themeColor="text1"/>
          <w:sz w:val="16"/>
          <w:szCs w:val="16"/>
        </w:rPr>
        <w:softHyphen/>
        <w:t>тырехтактный, водяного охлаждения;</w:t>
      </w:r>
    </w:p>
    <w:p w14:paraId="2F8DE24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мощность 600/750 л.с. (по заданию 650/700 л.с.);</w:t>
      </w:r>
    </w:p>
    <w:p w14:paraId="712F959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диаметр цилиндра/ход поршня 120/120 мм;</w:t>
      </w:r>
    </w:p>
    <w:p w14:paraId="49899D3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объем 21,7 л;</w:t>
      </w:r>
    </w:p>
    <w:p w14:paraId="3F62049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степень сжатия 6,0;</w:t>
      </w:r>
    </w:p>
    <w:p w14:paraId="2E5760D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 безредукторный.</w:t>
      </w:r>
    </w:p>
    <w:p w14:paraId="6929CF5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Предлагался для истребителей И-9, И-13, ДИ-6.</w:t>
      </w:r>
    </w:p>
    <w:p w14:paraId="0405581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Единственный сохранившийся до наших дней М-32РН лежит на задворках музея в Монино (11852).</w:t>
      </w:r>
    </w:p>
    <w:p w14:paraId="5C1219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D781300"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427DB24E"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B2E22DD" w14:textId="77777777" w:rsidR="005F6639" w:rsidRPr="005E779E" w:rsidRDefault="005F66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апреля 1931 г. для выполнения работ по совершенствованию структуры ЭКУ, приказом ОГПУ № 160/96 заместителем начальника ЭКУ Г.Е.Прокофьева назначается Лев Григорьевич Миронов. Этим же приказом в составе ЭКУ ОГПУ организуется 5-е Специально Техническое Отделение по использованию осужденных специалистов. 10 августа 1931 года Политбюро ЦК ВКП(б) утверждает Миронова Л.Г. начальником ЭКУ ОГПУ СССР. Миронов (Коган Лейба Гиршевич) за чрезмерное рвение в работе по организации шарашек, 1.07.37г. был осужден к ВМН и расстрелян 29.08.38 г. (15719).</w:t>
      </w:r>
    </w:p>
    <w:p w14:paraId="63FC71E4" w14:textId="77777777" w:rsidR="005F6639" w:rsidRPr="005E779E" w:rsidRDefault="005F6639" w:rsidP="000B7A6C">
      <w:pPr>
        <w:spacing w:after="0" w:line="240" w:lineRule="auto"/>
        <w:jc w:val="both"/>
        <w:rPr>
          <w:rFonts w:ascii="Times New Roman" w:hAnsi="Times New Roman"/>
          <w:color w:val="000000" w:themeColor="text1"/>
          <w:sz w:val="16"/>
          <w:szCs w:val="16"/>
        </w:rPr>
      </w:pPr>
    </w:p>
    <w:p w14:paraId="66AA30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 апреля 1931 г. приемочная комиссия приняла, а начальник Сельмашстроя Н.П. Глебов-Авилов сдал Ростовский-на-Дону завод сельхозмашиностроения в эксплуатацию. В этом документе (приемочный акт) впервые завод назван «Ростсельмаш». </w:t>
      </w:r>
    </w:p>
    <w:p w14:paraId="2A14E9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После 16 съезда партии в стране начался мощный подъем колхозного движения. По темпам коллективизации Северный Кавказ, Средняя и Нижняя Волга были наиболее подготовленными для перехода к крупному коллективному земледелию. Сюда и направлял Сельмаш свою первую продукцию. По ряду причин реализация этого решения приостановилась. В сентябре 1930 года было принято решение о постройке завода всего на 10 тысяч комбайнов в год, в связи с этим объединили Комбайнстрой с Сельмашем. Для руководства строительством при Управлении Ростсельмаша был организован отдел капитального строительства во главе с Матвеевым М.С. В январе 1931 г., когда Сельмаш уже был в числе действующих предприятий, началось строительство цеха комбайнов площадью 4 га. Это явилось новым поворотом в судьбе Ростсельмаша – ему суждено стать лидером комбайностроения. </w:t>
      </w:r>
    </w:p>
    <w:p w14:paraId="7F4F16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Новый цех готовился к пуску, а тем временем шла напряженная работа над созданием первого советского комбайна. Еще осенью 1929 г. началось его проектирование группой советских инженеров И.И. Зиминым (руководитель), П.И. Гурьяновым и А.А. Яковенко. Первый комбайн по чертежам этих конструкторов был собран на заводе «Красный Аксай». Его назвали «Колхоз». Летом 1930 г. он вышел на испытания. Рядом c ним работало несколько комбайнов американских фирм, и «Колхоз» не без успеха соперничал с «иностранцами». </w:t>
      </w:r>
    </w:p>
    <w:p w14:paraId="180F3F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Летом 1931 г. в опытной мастерской строящегося цеха комбайнов завершилась сборка двух комбайнов более совершенной конструкции, которые получили название Сталинец». На полях совхоза «Хуторок» Краснодарского края наши комбайны проходили испытания вместе с американскими комбайнами «Оливер», «Холт» и «Катерпиллер». Советские машины работали лучше и, в отличие от комбайнов всех зарубежных марок, имели возможность убирать не только хлеб, но и подсолнечник, кукурузу и просо. В январе 1932 г. в строй вступил сборочный цех комбайнов завода «Ростсельмаш», а в мае на поля страны был отправлен первый эшелон комбайнов «Сталинец–1». Построив «Ростсельмаш», страна не только перестала ввозить комбайны из–за границы, но и сама начала их экспортировать. </w:t>
      </w:r>
    </w:p>
    <w:p w14:paraId="1C0324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1937 г. весь мир показывал свои достижения на Всемирной промышленной выставке в Париже, куда «Ростсельмаш» отправил свой комбайн «Сталинец-1». Сложнее всего оказалось организовать его доставку до места проведения выставки – комбайн везли на открытой платформе, возле которой около каждой станции собиралось много желающих посмотреть на невиданную машину. В то время в каждом советском совхозе таких машин было больше, чем во всей Франции. По результатам выставке в Париже комбайну «Сталинец-1» была присуждена высшая награда – диплом «Grand Prix». </w:t>
      </w:r>
    </w:p>
    <w:p w14:paraId="3F9591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Ростсельмашевские комбайны завоевали большую популярность по всей стране. Передовые комбайнеры устанавливали на них мировые рекорды уборки. Например, в Чкаловской области за сезон убрали 6012 га (вместо 378 га), при этом было сэкономлено 16 тонн горючего. На сцепе двух комбайнов «Сталинец–1» было заменено 1637 человек, 373 лошади, 25 жаток, 25 молотилок, 25 веялок, 40 сортировок, а при уборке вручную на эту работу потребовалось бы 3323 человека. </w:t>
      </w:r>
    </w:p>
    <w:p w14:paraId="6805F1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1938 г. в Москве открылась сельскохозяйственная выставка, где «Ростсельмаш» получил диплом первой степени. 14 июня 1940 г. на главном конвейере был собран уже 50–тысячный комбайн «Cталинец–1». </w:t>
      </w:r>
    </w:p>
    <w:p w14:paraId="4711B1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Во время войны тысячи ростсельмашевцев уходили добровольцами на фронт, их места у станков занимали жены, сестры, дети. Цеха предприятия быстро перестраивались на выпуск военной продукции. Станки устанавливались без фундамента, на «лагах», позволявших производить демонтаж и перестановку оборудования в течение нескольких часов. </w:t>
      </w:r>
    </w:p>
    <w:p w14:paraId="0CDCFD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Когда немецкие войска были уже на подступах к Ростову, ростсельмашевцы выпускали продукцию для фронта и одновременно возводили оборонительные сооружения и бомбоубежища. 13 октября 1941 года коллективу Ростсельмаша был дан приказ начать демонтаж оборудования и отправку его в Ташкент. Эвакуация завода стала титанической работой. Вся заводская территория превратилась в сплошной поток движущихся грузов, которых доставляли с помощью лебедок, катков, авиации. Более 3500 вагонов потребовалось для эвакуации завода. 19 октября 1941 г. с завода выехала последняя группа работников во главе с директором Титаренко М.М. </w:t>
      </w:r>
    </w:p>
    <w:p w14:paraId="14FC91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Ташкенте тоже вершился подвиг. Для размещения завода в Ташкенте были предоставлены площадки в разных частях города. Этого было не достаточно и часть оборудования пришлось отправлять в Узбекистан г. Чирчик в 60 км от Ташкента. Таким образом, в Узбекистане образовалось 4 филиала Ростсельмаша – 3 в Ташкенте и один в Чирчике. </w:t>
      </w:r>
    </w:p>
    <w:p w14:paraId="385519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На 33–й день после прибытия оборудования в Ташкент завод снова начал выпускать продукцию для фронта. Монтаж станков и конвейеров шел под открытым небом или в наскоро приспособленных сараях и других помещениях. На 35–й день непрерывной работы был выплавлен первый чугун. За 3 месяца на пустом пространстве площадью 12 тыс. кв. м выросли цеха перебазированного в тыл завода. Ростсельмаш давал фронту мины калибра 82 мм и 120 мм, боеголовки к снарядам РС (катюша), фугасные авиабомбы (ФАБы) 50 кг, 100 кг и 250 кг. </w:t>
      </w:r>
    </w:p>
    <w:p w14:paraId="33C040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14 февраля 1943 года войска Южного фронта освободили Ростов. Город лежал в развалинах. Разрушены были почти все предприятия, в том числе Ростсельмаш и его поселок. Восемь суток перед сдачей немцы планомерно взрывали и жгли завод. В груды развалин превратились все цеха, жилые дома, дворец культуры на ул. Клубная, здание института Сельхозмашиностроения и т.д. Материальный ущерб, нанесенный заводу, составил свыше 180 млн. рублей. </w:t>
      </w:r>
    </w:p>
    <w:p w14:paraId="718207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23 февраля, на 10–й день освобождения стали работать первые 33 станка Ростсельмаша. Одновременно развернулась подготовка и по выпуску военной продукции, организован ремонт танков, тракторов, автомашин. Для восстановления завода пришлось расчистить 150 тысяч кубометров завалов, уложить 21 млн. кирпичей, 37 тысяч кубометров бетона, смонтировать 8 тысяч тонн металлоконструкций, уложить 185 тысяч кубометров кровли. За короткое время было введено в действие 145 тысяч кв. м. производственных площадей. </w:t>
      </w:r>
    </w:p>
    <w:p w14:paraId="245777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Пока шло интенсивное восстановление завода, сельмашевские специалисты Красниченко А.А., В.В. Прошунин и И.И. Попов создали конструкцию комбайна «Сталинец–6». А 30 апреля 1947 года в цехе уборочных машин были собраны новые комбайны «Сталинец–6». Разработчики новой конструкции получили звание Лауреатов Сталинской премии. </w:t>
      </w:r>
    </w:p>
    <w:p w14:paraId="4A8EF6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середине 50-х годов в народном хозяйстве страны наметилась специализация промышленных предприятий. С августа 1955 г. согласно решению июльского Пленума ЦК КПСС «Ростсельмаш» стал специализироваться на выпуске зерноуборочных комбайнов. Были сняты с производства плуги и кукурузоуборочные комбайны, завод постепенно переходит на выпуск только зерноуборочных комбайнов. </w:t>
      </w:r>
    </w:p>
    <w:p w14:paraId="698DF1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конце 1955 г. заводу было предложено начать подготовку выпуска новой уборочной машины – комбайна «РСМ-8». Также как и «Сталенец-1» и «Сталенец-6», этот комбайн был разработан конструкторами завода Ростсельмаш. Он имел большой захват жатки, большую пропускную способность молотилки. Штифтовой барабан был заменен бильным. Эти усовершенствования делали его более производительным. Комбайн «РСМ-8» производился чуть более года (конец 1956 г. – начало 1958 г.) и был выпушен в количестве 50 тысяч. </w:t>
      </w:r>
    </w:p>
    <w:p w14:paraId="056375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марте 1958 г. завод получил новое ответственное задание – в пятимесячный срок перестроиться на выпуск самоходных комбайнов «СК-3». 15 марта в 17.30 с главного конвейера сошел последний комбайн «РСМ-8», а 12 июля, ровно через 100 рабочих дней, приемщик Министерства сельского хозяйства принял первые 27 самоходных комбайнов, изготовленные «Ростсельмашем» по разработкам конструкторов Таганрогского ГСКБ под руководством Изаксона. 24 января 1961 г. выпущен уже 100-тысячный самоходный комбайн СК-3. </w:t>
      </w:r>
    </w:p>
    <w:p w14:paraId="538F3F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феврале 1962 г. «Ростсельмаш» начал выпуск следующей серийной модели – СК-4, которая превосходила предыдущую по производительности на 25%. На международной выставке в Лейпциге в 1963 г. машине был присужден диплом I-ой степени, в Чехословакии (1964 г.) модель завоевала медаль и в том же году в Венгрии получила высшую награду - «Серебряный Кубок». Комбайн СК-4 был признан самой награждаемой моделью среди зерноуборочных машин всего мира. В августе 1969 г. завод «Ростсельмаш» выпустил свой миллионный комбайн. </w:t>
      </w:r>
    </w:p>
    <w:p w14:paraId="39789D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1973 г. завод осуществил переход на выпуск еще более новой модели комбайнов серии СК «Нива», представленной в нескольких модификациях: крутосклонная, рисоуборочная и др., предназначенные для работы в различных природных зонах, а также для уборки незерновых сельскохозяйственных культур. Кроме того, в этот период изготавливались томатоуборочные комбайны, молотилки для обработки льна, приспособления для уборки крупяных культур. В 70-е годы завод «Ростсельмаш» был полностью обновлен. Вследствие реконструкции завод превратился в специализированное предприятие, готовое обеспечить сельское хозяйство страны современной для того времени техникой. </w:t>
      </w:r>
    </w:p>
    <w:p w14:paraId="634EBC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К своему 50-летнему юбилею в 1979 г. завод занимал стабильное лидирующее положение в своей отрасли. В начале 80-х «Ростсельмаш» преступил к разработке и внедрению в производство высокоэффективных зерноуборочных комбайнов семейства «Дон». Это был уже седьмой по счету переход завода на производство новых </w:t>
      </w:r>
      <w:r w:rsidRPr="005E779E">
        <w:rPr>
          <w:rFonts w:ascii="Times New Roman" w:hAnsi="Times New Roman"/>
          <w:color w:val="000000" w:themeColor="text1"/>
          <w:sz w:val="16"/>
          <w:szCs w:val="16"/>
        </w:rPr>
        <w:lastRenderedPageBreak/>
        <w:t>машин. В феврале 1984 г. с главного конвейера «Ростсельмаша» сошел 2-миллионный комбайн, а уже в октябре 1986 г. в серийное производство была запущены первые «Доны» (11220).</w:t>
      </w:r>
    </w:p>
    <w:p w14:paraId="5E9B9D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57C9D99" w14:textId="77777777" w:rsidR="00807746" w:rsidRPr="005E779E" w:rsidRDefault="0080774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апреля 1931 г. приемочная комиссия приняла Ростсельмаш, а начальник Сельмашстроя Н.П. Глебов-Авилов сдал Ростовский-на-Дону завод сельхозмашиностроения в эксплуатацию. В этом документе (приемочный акт) впервые завод назван «Ростсельмаш».</w:t>
      </w:r>
    </w:p>
    <w:p w14:paraId="38B6BAB1" w14:textId="77777777" w:rsidR="00807746" w:rsidRPr="005E779E" w:rsidRDefault="0080774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 июля 1929 завод производит первую продукцию. Страна прекращает закупать технику из-за рубежа, и начинает сама экспортировать свою продукцию. Дело в том, что в июле 1929 г. вошли в эксплуатацию первые 5 из 18 запроектированных цехов, что позволило заводу выдать первую партию крестьянских ходов по государственному акту приемки. Именно этот день считается днем рождения завода. В 1937 году проходит крупнейшая промышленная парижская выставка, куда РСМ отправляет свой комбайн «Сталинец-1». Ему присуждается Высшая награда — диплом GRAND PRIX. «Сталинцы» завоевали славу самой высокопроизводительной машины в мире (21167).</w:t>
      </w:r>
    </w:p>
    <w:p w14:paraId="5524F669" w14:textId="77777777" w:rsidR="00807746" w:rsidRPr="005E779E" w:rsidRDefault="00807746" w:rsidP="000B7A6C">
      <w:pPr>
        <w:spacing w:after="0" w:line="240" w:lineRule="auto"/>
        <w:jc w:val="both"/>
        <w:rPr>
          <w:rFonts w:ascii="Times New Roman" w:hAnsi="Times New Roman"/>
          <w:color w:val="000000" w:themeColor="text1"/>
          <w:sz w:val="16"/>
          <w:szCs w:val="16"/>
        </w:rPr>
      </w:pPr>
    </w:p>
    <w:p w14:paraId="12EFB646" w14:textId="77777777" w:rsidR="009A522B" w:rsidRPr="005E779E" w:rsidRDefault="009A522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апреля 1931 г. второй танк Т-24 изготовили на ХПЗ. Сборка остальных четырех машин (для которых к этому времениподали корпуса) задерживалась из-за отсутствия ряда деталей и механизмов.При сборке и опробовании двух собранных танков были обнаружены различные дефекты. Основными причинами являлись низкое качество механической обработки деталей, недостатки конструкции самой машины (коробки передач, тормозов, вентиляторов системы охлаждения двигателя и др.), отсутствие необходимого опыта инженерно-технического персонала завода в части механической и термической обработки деталей, а также процессов сборки как механизмов, так и машины в целом.Однако опыт сборки первых машин, несмотря на выявленные дефекты, показал, что при обеспечении скомплектованными и подогнанными механизмами сам процесс постройки Т-24 не представляет каких-либо трудностей. Тем не менее, по решению правительства, заказ на танки Т-24 в апреле 1931 г. был сокращен до 80, а затем и до 24 машин (постановление Комиссии обороны СССР от 23 мая 1931 г.) (12303).</w:t>
      </w:r>
    </w:p>
    <w:p w14:paraId="11306097" w14:textId="77777777" w:rsidR="009A522B" w:rsidRPr="005E779E" w:rsidRDefault="009A522B" w:rsidP="000B7A6C">
      <w:pPr>
        <w:spacing w:after="0" w:line="240" w:lineRule="auto"/>
        <w:jc w:val="both"/>
        <w:rPr>
          <w:rFonts w:ascii="Times New Roman" w:hAnsi="Times New Roman"/>
          <w:color w:val="000000" w:themeColor="text1"/>
          <w:sz w:val="16"/>
          <w:szCs w:val="16"/>
        </w:rPr>
      </w:pPr>
    </w:p>
    <w:p w14:paraId="03B5A096" w14:textId="77777777" w:rsidR="007D2415" w:rsidRPr="00142305" w:rsidRDefault="007D2415" w:rsidP="007D241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апреля 1931 г. на ХПЗ изготовили второй танк Т-24. Сборка остальных четырех машин (для которых к этому времени подали корпуса) задерживалась из-за отсутствия ряда деталей и механизмов.</w:t>
      </w:r>
    </w:p>
    <w:p w14:paraId="69DE45CC" w14:textId="77777777" w:rsidR="007D2415" w:rsidRPr="00142305" w:rsidRDefault="007D2415" w:rsidP="007D241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 сборке и опробовании двух собранных танков были обнаружены различные дефекты. Основными причинами являлись низкое качество механической обработки деталей, недостатки конструкции самой машины (коробки передач, тормозов, вентиляторов системы охлаждения двигателя и др.), отсутствие необходимого опыта инженерно-технического персонала завода в части механической и термической обработки деталей, а также процессов сборки как механизмов, так и машины в целом.</w:t>
      </w:r>
    </w:p>
    <w:p w14:paraId="0F28A2DE" w14:textId="77777777" w:rsidR="007D2415" w:rsidRPr="00142305" w:rsidRDefault="007D2415" w:rsidP="007D241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Однако опыт сборки первых машин, несмотря на выявленные дефекты, показал, что при обеспечении скомплектованными и подогнанными механизмами сам процесс постройки Т-24 не представляет каких-либо трудностей. Тем не менее, по решению правительства, заказ на танки Т-24 в апреле 1931 г. был сокращен до 80, а затем и до 24 машин (постановление Комиссии обороны СССР от 23 мая 1931 г.) (26479).</w:t>
      </w:r>
    </w:p>
    <w:p w14:paraId="24FCC683" w14:textId="77777777" w:rsidR="007D2415" w:rsidRPr="00142305" w:rsidRDefault="007D2415" w:rsidP="007D2415">
      <w:pPr>
        <w:spacing w:after="0" w:line="240" w:lineRule="auto"/>
        <w:jc w:val="both"/>
        <w:rPr>
          <w:rFonts w:ascii="Times New Roman" w:hAnsi="Times New Roman"/>
          <w:color w:val="0070C0"/>
          <w:sz w:val="16"/>
          <w:szCs w:val="16"/>
        </w:rPr>
      </w:pPr>
    </w:p>
    <w:p w14:paraId="07F64D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апреля 1931 г. приказом ВСНХ СССР был создан Научно-исследовательский институт искусственного волокна (НИИВ) в г. Москве. В январе 1932 г. переведен в г. Мытищи Московской обл. В 1941 - 1943 гг. находился в эвакуации в г. Намангане Узбекской ССР. В ноябре 1947 г. переименован во Всесоюзный научно-исследовательский институт искусственного волокна (ВНИИВ). Приказом Министерства химической промышленности СССР от 31 августа 1976 г. на базе ВНИИВ и ГИПРОИВ был создан Всесоюзный научно-исследовательский и проектный институт искусственного волокна (ВНИИВпроект) (12102).</w:t>
      </w:r>
    </w:p>
    <w:p w14:paraId="0F05673B" w14:textId="77777777" w:rsidR="009A522B" w:rsidRPr="005E779E" w:rsidRDefault="009A522B"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D55F5FC"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45CA9D30"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8FD0F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апреля 1931 вышло Постановление коллегии Наpкомзема РСФСР настаивает на том, что спецпоселки раскулаченных "должны находиться вне pайона сплошной коллективизации и по возможности между этими pайонами, чтобы последние оказывали идеологическое воздействие на население поселков..." (10687).</w:t>
      </w:r>
    </w:p>
    <w:p w14:paraId="6F5061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9B3A8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 апреля 1931 была существенно упрощена структура ЭКУ. Приказом ОГПУ № 160/96 число его отделений сокращалось до пяти. Новая структура и расстановка кадров ЭКУ выглядели так: </w:t>
      </w:r>
    </w:p>
    <w:p w14:paraId="7C4BFC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начальник ЭКУ (Г.Е.Прокофьев), заместитель начальника ЭКУ (Л.Г.Миронов), начальник секретариата ЭКУ (М.О.Станиславский), </w:t>
      </w:r>
    </w:p>
    <w:p w14:paraId="0A271C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 отделение (промышленное, - М.И.Гай), </w:t>
      </w:r>
    </w:p>
    <w:p w14:paraId="1972CD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 отделение (сельскохозяйственное, - Л.Н.Волленберг), </w:t>
      </w:r>
    </w:p>
    <w:p w14:paraId="643E33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 отделение (торгово-кооперативное, - Д.М.Дмитриев), </w:t>
      </w:r>
    </w:p>
    <w:p w14:paraId="414B46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4 отделение (финансы, частный капитал, борьба с валютчиками и спекулянтами, Я.М.Генкин), </w:t>
      </w:r>
    </w:p>
    <w:p w14:paraId="7FC9D2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отделение (специально-техническое (использование осужденных специалистов), - А.Г.Горянов-Горный) (7557).</w:t>
      </w:r>
    </w:p>
    <w:p w14:paraId="7CAFC4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E16CEB7"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4C054348"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0F304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апреля 1931 состоялась встреча представителей германского VfR и американского AIS (interplanetory society) и в результате в США была принята программа экспериментов (3125).</w:t>
      </w:r>
    </w:p>
    <w:p w14:paraId="05F84A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1462C89"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1C273F39"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8B131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апреля 1931 Зам. нач. ЦАГИ Некрасов написал в Реввоенсовет письмо N 332сс о замене неподвижных крыльев подвижными (с подвижной обшивкой) для снижения сопротивления, но напомнил, что технически трудно осуществимо (1026,151).</w:t>
      </w:r>
    </w:p>
    <w:p w14:paraId="30CF8D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564EC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апреля 1931 в газете "Вечерняя Москва" в рубрике "Новости авиации" опубликована заметка о самолете СК-4: «{...) В конце прошлого года известным инженером С.П. Королевым, автором планера "Красная звезда", на котором в прошлом году в Крыму т. Степанченок впервые сделал "мертвую петлю", сконструирован новый тип двухместного самолета СК-4. Летчик т. Кошиц уже на нем совершил несколько опытных испытательных полетов, которые показали хорошие качества новой машины {...)» (10676).</w:t>
      </w:r>
    </w:p>
    <w:p w14:paraId="2BD3FE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AE73523" w14:textId="77777777" w:rsidR="007D2415" w:rsidRPr="00142305" w:rsidRDefault="007D2415" w:rsidP="007D2415">
      <w:pPr>
        <w:spacing w:after="0" w:line="240" w:lineRule="auto"/>
        <w:jc w:val="both"/>
        <w:rPr>
          <w:rStyle w:val="aff0"/>
          <w:rFonts w:ascii="Times New Roman" w:hAnsi="Times New Roman" w:cs="Times New Roman"/>
          <w:color w:val="0070C0"/>
          <w:spacing w:val="0"/>
          <w:sz w:val="16"/>
          <w:szCs w:val="16"/>
        </w:rPr>
      </w:pPr>
      <w:r w:rsidRPr="00142305">
        <w:rPr>
          <w:rStyle w:val="aff0"/>
          <w:rFonts w:ascii="Times New Roman" w:hAnsi="Times New Roman" w:cs="Times New Roman"/>
          <w:color w:val="0070C0"/>
          <w:spacing w:val="0"/>
          <w:sz w:val="16"/>
          <w:szCs w:val="16"/>
        </w:rPr>
        <w:t>2 апреля 1931 года Гроховский писал руководству ВВС о том, что «аэросани заимствованы из конструкторского отдела» и просил «прекратить патентование». После непродолжительного разбирательства, 12 апреля 1931 года Комитет по делам изобретений вы</w:t>
      </w:r>
      <w:r w:rsidRPr="00142305">
        <w:rPr>
          <w:rStyle w:val="aff0"/>
          <w:rFonts w:ascii="Times New Roman" w:hAnsi="Times New Roman" w:cs="Times New Roman"/>
          <w:color w:val="0070C0"/>
          <w:spacing w:val="0"/>
          <w:sz w:val="16"/>
          <w:szCs w:val="16"/>
        </w:rPr>
        <w:softHyphen/>
        <w:t>дал Бродскому и Соколову-Соколенку секретное заявочное свидетельство на «предполагаемое изобретение Десантные аэро-сани».</w:t>
      </w:r>
    </w:p>
    <w:p w14:paraId="72EE72CD" w14:textId="77777777" w:rsidR="007D2415" w:rsidRPr="00142305" w:rsidRDefault="007D2415" w:rsidP="007D2415">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Автор</w:t>
      </w:r>
      <w:r w:rsidRPr="00142305">
        <w:rPr>
          <w:rStyle w:val="aff0"/>
          <w:rFonts w:ascii="Times New Roman" w:hAnsi="Times New Roman" w:cs="Times New Roman"/>
          <w:color w:val="0070C0"/>
          <w:spacing w:val="0"/>
          <w:sz w:val="16"/>
          <w:szCs w:val="16"/>
        </w:rPr>
        <w:softHyphen/>
        <w:t>ского свидетельства на изобретение никто из участников тяжбы не получил, а тему «десант</w:t>
      </w:r>
      <w:r w:rsidRPr="00142305">
        <w:rPr>
          <w:rStyle w:val="aff0"/>
          <w:rFonts w:ascii="Times New Roman" w:hAnsi="Times New Roman" w:cs="Times New Roman"/>
          <w:color w:val="0070C0"/>
          <w:spacing w:val="0"/>
          <w:sz w:val="16"/>
          <w:szCs w:val="16"/>
        </w:rPr>
        <w:softHyphen/>
        <w:t>ных аэросаней с крылом» из планов коллектива Гроховского исключили.</w:t>
      </w:r>
    </w:p>
    <w:p w14:paraId="40B722AD" w14:textId="77777777" w:rsidR="007D2415" w:rsidRPr="00142305" w:rsidRDefault="007D2415" w:rsidP="007D2415">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Что же касается самой концепции аэроса</w:t>
      </w:r>
      <w:r w:rsidRPr="00142305">
        <w:rPr>
          <w:rStyle w:val="aff0"/>
          <w:rFonts w:ascii="Times New Roman" w:hAnsi="Times New Roman" w:cs="Times New Roman"/>
          <w:color w:val="0070C0"/>
          <w:spacing w:val="0"/>
          <w:sz w:val="16"/>
          <w:szCs w:val="16"/>
        </w:rPr>
        <w:softHyphen/>
        <w:t>ней, оснащенных крылом для аэродинамиче</w:t>
      </w:r>
      <w:r w:rsidRPr="00142305">
        <w:rPr>
          <w:rStyle w:val="aff0"/>
          <w:rFonts w:ascii="Times New Roman" w:hAnsi="Times New Roman" w:cs="Times New Roman"/>
          <w:color w:val="0070C0"/>
          <w:spacing w:val="0"/>
          <w:sz w:val="16"/>
          <w:szCs w:val="16"/>
        </w:rPr>
        <w:softHyphen/>
        <w:t>ской разгрузки, то патент на это решение еще в 1927 году получил изобретатель Я.Е. Афа</w:t>
      </w:r>
      <w:r w:rsidRPr="00142305">
        <w:rPr>
          <w:rStyle w:val="aff0"/>
          <w:rFonts w:ascii="Times New Roman" w:hAnsi="Times New Roman" w:cs="Times New Roman"/>
          <w:color w:val="0070C0"/>
          <w:spacing w:val="0"/>
          <w:sz w:val="16"/>
          <w:szCs w:val="16"/>
        </w:rPr>
        <w:softHyphen/>
        <w:t>насьев. Поскольку подобные машины так и не были изготовлены, объективно оценить</w:t>
      </w:r>
    </w:p>
    <w:p w14:paraId="4CBA1898" w14:textId="77777777" w:rsidR="007D2415" w:rsidRPr="00142305" w:rsidRDefault="007D2415" w:rsidP="007D2415">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их реалистичность не представляется воз</w:t>
      </w:r>
      <w:r w:rsidRPr="00142305">
        <w:rPr>
          <w:rStyle w:val="aff0"/>
          <w:rFonts w:ascii="Times New Roman" w:hAnsi="Times New Roman" w:cs="Times New Roman"/>
          <w:color w:val="0070C0"/>
          <w:spacing w:val="0"/>
          <w:sz w:val="16"/>
          <w:szCs w:val="16"/>
        </w:rPr>
        <w:softHyphen/>
        <w:t>можным (25664).</w:t>
      </w:r>
    </w:p>
    <w:p w14:paraId="1A4E5F94" w14:textId="77777777" w:rsidR="007D2415" w:rsidRPr="00142305" w:rsidRDefault="007D2415" w:rsidP="007D2415">
      <w:pPr>
        <w:spacing w:after="0" w:line="240" w:lineRule="auto"/>
        <w:jc w:val="both"/>
        <w:rPr>
          <w:rFonts w:ascii="Times New Roman" w:hAnsi="Times New Roman"/>
          <w:color w:val="0070C0"/>
          <w:sz w:val="16"/>
          <w:szCs w:val="16"/>
        </w:rPr>
      </w:pPr>
    </w:p>
    <w:p w14:paraId="7ED4A74C"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3F23154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FF4B816" w14:textId="77777777" w:rsidR="005F6639" w:rsidRPr="005E779E" w:rsidRDefault="005F66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 апреля в 1931 году первый полет одномоторного скоростного самолёта </w:t>
      </w:r>
      <w:hyperlink r:id="rId83" w:tgtFrame="_blank" w:history="1">
        <w:r w:rsidRPr="005E779E">
          <w:rPr>
            <w:rFonts w:ascii="Times New Roman" w:hAnsi="Times New Roman"/>
            <w:color w:val="000000" w:themeColor="text1"/>
            <w:sz w:val="16"/>
            <w:szCs w:val="16"/>
          </w:rPr>
          <w:t xml:space="preserve">«Lockheed 9 Orion». </w:t>
        </w:r>
      </w:hyperlink>
      <w:r w:rsidRPr="005E779E">
        <w:rPr>
          <w:rFonts w:ascii="Times New Roman" w:hAnsi="Times New Roman"/>
          <w:color w:val="000000" w:themeColor="text1"/>
          <w:sz w:val="16"/>
          <w:szCs w:val="16"/>
        </w:rPr>
        <w:t>В сентябре компания «Varney Speed Lines» открыла на нём линию Лос-Анджелес - Сан-Франциско (самолет преодолевал это расстояние всего за час). Правда, карьера этого лайнера была недолгой - в 1934 г. власти запретили использовать одномоторные самолёты на магистральных пассажирских линиях. Тем не менее самолет знаменовал наступление новой эпохи в гражданской авиации. На смену неуклюжим монстрам пришли цельнометаллические скоростные лайнеры с убирающимся шасси, продуманной аэродинамикой, автопилотом и радионавигацией (15087).</w:t>
      </w:r>
    </w:p>
    <w:p w14:paraId="2A46F5AA" w14:textId="77777777" w:rsidR="005F6639" w:rsidRPr="005E779E" w:rsidRDefault="005F6639" w:rsidP="000B7A6C">
      <w:pPr>
        <w:spacing w:after="0" w:line="240" w:lineRule="auto"/>
        <w:jc w:val="both"/>
        <w:rPr>
          <w:rFonts w:ascii="Times New Roman" w:hAnsi="Times New Roman"/>
          <w:color w:val="000000" w:themeColor="text1"/>
          <w:sz w:val="16"/>
          <w:szCs w:val="16"/>
        </w:rPr>
      </w:pPr>
    </w:p>
    <w:p w14:paraId="492EA6FA" w14:textId="77777777" w:rsidR="00BB313A" w:rsidRPr="005E779E" w:rsidRDefault="00BB313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апреля 1931 - Первый полет одномоторного скоростного самолёта Lockheed 9 Orion. Самолет знаменовал наступление новой эпохи в гражданской авиации. На смену неуклюжим монстрам пришли цельнометаллические скоростные лайнеры с убирающимся шасси, продуманной аэродинамикой, автопилотом и радионавигацией (22549).</w:t>
      </w:r>
    </w:p>
    <w:p w14:paraId="1DC8978B" w14:textId="77777777" w:rsidR="00BB313A" w:rsidRPr="005E779E" w:rsidRDefault="00BB313A" w:rsidP="000B7A6C">
      <w:pPr>
        <w:spacing w:after="0" w:line="240" w:lineRule="auto"/>
        <w:jc w:val="both"/>
        <w:rPr>
          <w:rFonts w:ascii="Times New Roman" w:hAnsi="Times New Roman"/>
          <w:color w:val="000000" w:themeColor="text1"/>
          <w:sz w:val="16"/>
          <w:szCs w:val="16"/>
        </w:rPr>
      </w:pPr>
    </w:p>
    <w:p w14:paraId="7F4B54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 апреля 1931 г. в Тулузе завершилась постройка второго экземпляра D.33-02. Он был оснащен двигателем "Испано-Сюиза" 12 Nbr с трехлопастным винтом "Ратье". Эта машина также прошла весь цикл испытаний и летом демонстрировалась на различных выставках и шоу. 11 сентября 1931 г. D.33-02 с тем же экипажем повторил </w:t>
      </w:r>
      <w:r w:rsidRPr="005E779E">
        <w:rPr>
          <w:rFonts w:ascii="Times New Roman" w:hAnsi="Times New Roman"/>
          <w:color w:val="000000" w:themeColor="text1"/>
          <w:sz w:val="16"/>
          <w:szCs w:val="16"/>
        </w:rPr>
        <w:lastRenderedPageBreak/>
        <w:t xml:space="preserve">попытку связать воздушным мостом Париж и Токио. 12 сентября, спустя 22 часа с момента взлета, в сложнейших метеоусловиях, летчики потеряли контроль над управлением и приняли решение покинуть самолет. На этот раз парашютом воспользовался Доре. Ле Бри и Месмин погибли под обломками самолета, упавшего недалеко от Уфы (11941). </w:t>
      </w:r>
    </w:p>
    <w:p w14:paraId="07E804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AEF72A8"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7F0E895E"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BB8E28B" w14:textId="77777777" w:rsidR="00824AB6" w:rsidRPr="005E779E" w:rsidRDefault="00824AB6" w:rsidP="000B7A6C">
      <w:pPr>
        <w:pStyle w:val="rtejustify"/>
        <w:spacing w:before="0" w:after="0"/>
        <w:rPr>
          <w:color w:val="000000" w:themeColor="text1"/>
          <w:sz w:val="16"/>
          <w:szCs w:val="16"/>
        </w:rPr>
      </w:pPr>
      <w:r w:rsidRPr="005E779E">
        <w:rPr>
          <w:rStyle w:val="af0"/>
          <w:i w:val="0"/>
          <w:color w:val="000000" w:themeColor="text1"/>
          <w:sz w:val="16"/>
          <w:szCs w:val="16"/>
        </w:rPr>
        <w:t>3 апреля 1931 г. Протокол Реввоенсовета № 14.</w:t>
      </w:r>
      <w:r w:rsidRPr="005E779E">
        <w:rPr>
          <w:color w:val="000000" w:themeColor="text1"/>
          <w:sz w:val="16"/>
          <w:szCs w:val="16"/>
        </w:rPr>
        <w:t xml:space="preserve"> 12. Об утверждении эскизного проекта батареи Протокол Реввоенсовета № 30 (Б. О.). (Муклевич). (РГВА. Ф. 4. Оп. 18. Д. 20. Л. 188) (12342).</w:t>
      </w:r>
    </w:p>
    <w:p w14:paraId="2ED7D107" w14:textId="77777777" w:rsidR="00824AB6" w:rsidRPr="005E779E" w:rsidRDefault="00824AB6" w:rsidP="000B7A6C">
      <w:pPr>
        <w:pStyle w:val="rtejustify"/>
        <w:spacing w:before="0" w:after="0"/>
        <w:rPr>
          <w:color w:val="000000" w:themeColor="text1"/>
          <w:sz w:val="16"/>
          <w:szCs w:val="16"/>
        </w:rPr>
      </w:pPr>
    </w:p>
    <w:p w14:paraId="287ACDFD" w14:textId="77777777" w:rsidR="005F6639" w:rsidRPr="005E779E" w:rsidRDefault="005F6639"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bCs/>
          <w:iCs/>
          <w:color w:val="000000" w:themeColor="text1"/>
          <w:sz w:val="16"/>
          <w:szCs w:val="16"/>
        </w:rPr>
        <w:t>3-6 апреля 1931 г.</w:t>
      </w:r>
      <w:r w:rsidRPr="005E779E">
        <w:rPr>
          <w:rFonts w:ascii="Times New Roman" w:hAnsi="Times New Roman"/>
          <w:color w:val="000000" w:themeColor="text1"/>
          <w:sz w:val="16"/>
          <w:szCs w:val="16"/>
        </w:rPr>
        <w:t xml:space="preserve"> В ВОХИМУ РККА состоялась конференция по иприту, которая подытожила работы по выпуску этого СОВ, снаряжению им снарядов, по вопросам хранения иприта и формированию планов на будущее (17133).</w:t>
      </w:r>
    </w:p>
    <w:p w14:paraId="0A3D3197" w14:textId="77777777" w:rsidR="005F6639" w:rsidRPr="005E779E" w:rsidRDefault="005F6639" w:rsidP="000B7A6C">
      <w:pPr>
        <w:shd w:val="clear" w:color="auto" w:fill="FFFFFF"/>
        <w:spacing w:after="0" w:line="240" w:lineRule="auto"/>
        <w:jc w:val="both"/>
        <w:rPr>
          <w:rFonts w:ascii="Times New Roman" w:hAnsi="Times New Roman"/>
          <w:color w:val="000000" w:themeColor="text1"/>
          <w:sz w:val="16"/>
          <w:szCs w:val="16"/>
        </w:rPr>
      </w:pPr>
    </w:p>
    <w:p w14:paraId="68A416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апреля 1931 г. приказом ВСНХ СССР был создан Научно-исследовательский институт металлорежущих станков (НИСТИ). Приказом Наркомата тяжелой промышленности СССР от 19 мая 1933 г. институт был преобразован в Экспериментальный научно-исследовательский институт металлорежущих станков (ЭНИМС) (12102).</w:t>
      </w:r>
    </w:p>
    <w:p w14:paraId="7A075DE9" w14:textId="77777777" w:rsidR="005F6639" w:rsidRPr="005E779E" w:rsidRDefault="005F663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7AABD24" w14:textId="77777777" w:rsidR="00824AB6"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3C26CD8B" w14:textId="77777777" w:rsidR="00824AB6" w:rsidRPr="005E779E" w:rsidRDefault="00824AB6"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7A82191" w14:textId="77777777" w:rsidR="00824AB6" w:rsidRPr="005E779E" w:rsidRDefault="00824AB6"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3 апреля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Постановление ЦИК и СНК СССР об укомплектовании территориальный частей Рабоче-крестьянской Красной армии лошадьми, обозными повозками и упряжью на время обучения переменного состава (СЗ. 1931. № 22. Ст. 184) (12415).</w:t>
      </w:r>
    </w:p>
    <w:p w14:paraId="481C89DF" w14:textId="77777777" w:rsidR="00824AB6" w:rsidRPr="005E779E" w:rsidRDefault="00824AB6" w:rsidP="000B7A6C">
      <w:pPr>
        <w:spacing w:after="0" w:line="240" w:lineRule="auto"/>
        <w:jc w:val="both"/>
        <w:rPr>
          <w:rFonts w:ascii="Times New Roman" w:hAnsi="Times New Roman"/>
          <w:color w:val="000000" w:themeColor="text1"/>
          <w:sz w:val="16"/>
          <w:szCs w:val="16"/>
          <w:u w:color="002060"/>
        </w:rPr>
      </w:pPr>
    </w:p>
    <w:p w14:paraId="09E213D2"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411F10A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FCF3E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3 и 9 апреля 1931. Из протокола заседания Политбюро № 31, 1931 г.</w:t>
      </w:r>
    </w:p>
    <w:p w14:paraId="2C9D67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Об "Экономической жизни" </w:t>
      </w:r>
    </w:p>
    <w:p w14:paraId="2DA4F3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 Объявить выговор редакции "Экономической жизни" за то, что правильную и нужную критику работы наркоматов она превратила в клевету на советские органы в статьях о Наркомснабе и Госплане, помещенных в номере газеты от 24 марта с. г. </w:t>
      </w:r>
    </w:p>
    <w:p w14:paraId="2C27EE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Возложить на ответственных редакторов газет персональную ответственность за недопущение печатания в газетах статей и материалов, которые хотя бы косвенным образом раскрывали наши планы ввоза и вывоза (11652).</w:t>
      </w:r>
    </w:p>
    <w:p w14:paraId="12F0F3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0AA19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3 и 9 апреля 1931. Из протокола заседания Политбюро № 31, 1931 г.</w:t>
      </w:r>
    </w:p>
    <w:p w14:paraId="589049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Постановление по вопросу об усилении политконтроля за выпускаемой периодической и непериодической печатью </w:t>
      </w:r>
    </w:p>
    <w:p w14:paraId="3265CF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 Ввести предварительный контроль Главлита по следующему кругу вопросов: </w:t>
      </w:r>
    </w:p>
    <w:p w14:paraId="06D081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 материалы, касающиеся обороны страны; </w:t>
      </w:r>
    </w:p>
    <w:p w14:paraId="07F44D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б) материалы, носящие характер официальных правительственных документов, а также материалы отдельных хозорганизаций, опубликование которых прямо или косвенно может относиться к вопросам экономико-политических отношений Сов. Союза с внешним капиталистическим окружением, статистические сведения экспортно-импортного порядка и т. д. </w:t>
      </w:r>
    </w:p>
    <w:p w14:paraId="423CF0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4. Ввести институт политредакторов при всех редакциях. </w:t>
      </w:r>
    </w:p>
    <w:p w14:paraId="36EE8C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5. Поручить ячейкам типографий осуществить общественно-партийный контроль через коммунистов-наборщиков, которые должны будут в сомнительных случаях, не задерживая набора, предупредить руководителя учреждения... </w:t>
      </w:r>
    </w:p>
    <w:p w14:paraId="788BA5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Обязать ОГИЗ связаться с научно-исследовательскими институтами и организовать там просмотр и оценку выходящей литературы в порядке последующего и в особо важных случаях предварительного отзыва (11652).</w:t>
      </w:r>
    </w:p>
    <w:p w14:paraId="20665C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1F3F540"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57144834"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022D6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апреля 1931 стартовал «Желтый рейд» полугусеничных автомобилей «Ситроен-Кегресс» моделей АС-4F и AC-6F по Центральной и Юго-Восточной Азии (11275).</w:t>
      </w:r>
    </w:p>
    <w:p w14:paraId="1384E3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C074CB3" w14:textId="77777777" w:rsidR="00824AB6" w:rsidRPr="005E779E" w:rsidRDefault="00824AB6"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апреля 1931 г. вышел ПРИКАЗ УММ О РЕОРГАНИЗАЦИИ НИАБТ ПОЛИГОНА №22</w:t>
      </w:r>
    </w:p>
    <w:p w14:paraId="6F166D34" w14:textId="77777777" w:rsidR="00824AB6" w:rsidRPr="005E779E" w:rsidRDefault="00824AB6"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Испытательную группу Управления по механизации и моторизации РККА с 1 апреля именовать «Испытательный отдел научно-исследовательского автобронетанкового полигона УММ» согласно штата № 10/41.</w:t>
      </w:r>
    </w:p>
    <w:p w14:paraId="4A685F99" w14:textId="77777777" w:rsidR="00824AB6" w:rsidRPr="005E779E" w:rsidRDefault="00824AB6"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Временно исполняющий должность начальника испытательного отдела НИАБТ полигона Греймов А. П. Допускается к временному исполнению должности начальника НИАБТ полигона с остав</w:t>
      </w:r>
      <w:r w:rsidRPr="005E779E">
        <w:rPr>
          <w:rFonts w:ascii="Times New Roman" w:hAnsi="Times New Roman"/>
          <w:color w:val="000000" w:themeColor="text1"/>
          <w:sz w:val="16"/>
          <w:szCs w:val="16"/>
        </w:rPr>
        <w:softHyphen/>
        <w:t>лением в занимаемой должности, которому немедленно приступить к формированию Полигона согласно штата № 10/41, организации и наблюдению за строительством зданий Полигона.</w:t>
      </w:r>
    </w:p>
    <w:p w14:paraId="2128463A" w14:textId="77777777" w:rsidR="00824AB6" w:rsidRPr="005E779E" w:rsidRDefault="00824AB6"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Ответственность и проверку исполнения хода формирования и строительства Полигона возлагаю на начальника технического управления УММ т. Бокис Г. Г.</w:t>
      </w:r>
    </w:p>
    <w:p w14:paraId="211AEA27" w14:textId="77777777" w:rsidR="00824AB6" w:rsidRPr="005E779E" w:rsidRDefault="00824AB6"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 Управления по механизации и моторизации РККА Халепский</w:t>
      </w:r>
    </w:p>
    <w:p w14:paraId="20958DCC" w14:textId="77777777" w:rsidR="00824AB6" w:rsidRPr="005E779E" w:rsidRDefault="00824AB6"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РГВА. Ф. 31811. Оп. 2. Д. 44. Л. 28. Подлинник (11210).</w:t>
      </w:r>
    </w:p>
    <w:p w14:paraId="246D845B" w14:textId="77777777" w:rsidR="00824AB6" w:rsidRPr="005E779E" w:rsidRDefault="00824AB6"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7B6835"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5159883A"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2CC04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апреля 1931 года начальник отдела требований НИИ ВВС Соколов-Соколенок писал письмо N 368с НИИ ВОГВФ Филипович, пом. нач. НИИ ВВС Коннэрт, нач. 2 отд. 2 упр. Алексеевскому, пом. нач. 1 упр. Хрипину.</w:t>
      </w:r>
    </w:p>
    <w:p w14:paraId="17C7C8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сем возвращаю мной подписанные протоколы N 2 Макетной комиссии ВОГВФ по осмотру макета самолета "Сталь 2".</w:t>
      </w:r>
    </w:p>
    <w:p w14:paraId="66666D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Одновременно посылаю заключение по самолету в отношении его использования на военное время, что следует в вышеупомянутый протокол N 2 включить отдельным параграфом.</w:t>
      </w:r>
    </w:p>
    <w:p w14:paraId="028A10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w:t>
      </w:r>
    </w:p>
    <w:p w14:paraId="05B2DC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самолету "Сталь 2", в части его использования</w:t>
      </w:r>
    </w:p>
    <w:p w14:paraId="39CD0F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военное время.</w:t>
      </w:r>
    </w:p>
    <w:p w14:paraId="0ACCCB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"Сталь 2", на военное время предусматривается к использованию в качестве транспортного самолета авиационных частей или в качестве войскового самолета с расположением наблюдателей нормально, в пассажирской кабине. Наблюдение вперед-назад-вбок через существующие окна для пассажирской кабины; у заднего наблюдателя должен быть обзор и под хвост для чего в полу фюзеляжа за задними сидениями обеспечить устройство специального окна, могущего в некоторых случаях служить и целям стрельбы через него одним пулеметом. У обоих наблюдателей на потолке самолета должны быть предусмотрены люки (отверстия) для установки в них по одному пулемету (облегченная установка на шкворнях). (2993,5-6).</w:t>
      </w:r>
    </w:p>
    <w:p w14:paraId="6DA87A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F0A2C93" w14:textId="77777777" w:rsidR="000534E3" w:rsidRPr="005E779E" w:rsidRDefault="000534E3" w:rsidP="000B7A6C">
      <w:pPr>
        <w:spacing w:after="0" w:line="240" w:lineRule="auto"/>
        <w:jc w:val="both"/>
        <w:rPr>
          <w:rFonts w:ascii="Times New Roman" w:hAnsi="Times New Roman"/>
          <w:color w:val="000000" w:themeColor="text1"/>
          <w:sz w:val="16"/>
          <w:szCs w:val="16"/>
          <w:lang w:eastAsia="ru-RU" w:bidi="ru-RU"/>
        </w:rPr>
      </w:pPr>
      <w:r w:rsidRPr="005E779E">
        <w:rPr>
          <w:rFonts w:ascii="Times New Roman" w:hAnsi="Times New Roman"/>
          <w:color w:val="000000" w:themeColor="text1"/>
          <w:sz w:val="16"/>
          <w:szCs w:val="16"/>
          <w:lang w:eastAsia="ru-RU" w:bidi="ru-RU"/>
        </w:rPr>
        <w:t>5 апреля 1931 г. представитель НТК ВВС Н.А.Соколов- Соколенок при утверждении протокола макетной комиссии ВО ГВФ, приложил дополнительное заключение по возмож</w:t>
      </w:r>
      <w:r w:rsidRPr="005E779E">
        <w:rPr>
          <w:rFonts w:ascii="Times New Roman" w:hAnsi="Times New Roman"/>
          <w:color w:val="000000" w:themeColor="text1"/>
          <w:sz w:val="16"/>
          <w:szCs w:val="16"/>
          <w:lang w:eastAsia="ru-RU" w:bidi="ru-RU"/>
        </w:rPr>
        <w:softHyphen/>
        <w:t>ному использованию самолета в военном варианте: «Сталь- 2 на военное время предусматривается к использованию в качестве транспортного самолета авиационных частей или в качестве войскового самолета с расположением наблюдателей в пассажирской кабине. Наблюдение вперед-назад-вбок через существующие окна пассажирской кабины. У заднего наблюдателя должен быть обзор и под хвост, для чего в полу фюзеляжа за задними сидениями обеспечить устройство специального окна, способного в некоторых случаях служить и целям стрельбы через него одним пулеметом. У обоих наблюдателей на потолке са</w:t>
      </w:r>
      <w:r w:rsidRPr="005E779E">
        <w:rPr>
          <w:rFonts w:ascii="Times New Roman" w:hAnsi="Times New Roman"/>
          <w:color w:val="000000" w:themeColor="text1"/>
          <w:sz w:val="16"/>
          <w:szCs w:val="16"/>
          <w:lang w:eastAsia="ru-RU" w:bidi="ru-RU"/>
        </w:rPr>
        <w:softHyphen/>
        <w:t>молета должны быть предусмотрены люки (отверстия) для установки в них по одному пулемету (облегченная установка на шкворнях)». Ничего удивительного в указан</w:t>
      </w:r>
      <w:r w:rsidRPr="005E779E">
        <w:rPr>
          <w:rFonts w:ascii="Times New Roman" w:hAnsi="Times New Roman"/>
          <w:color w:val="000000" w:themeColor="text1"/>
          <w:sz w:val="16"/>
          <w:szCs w:val="16"/>
          <w:lang w:eastAsia="ru-RU" w:bidi="ru-RU"/>
        </w:rPr>
        <w:softHyphen/>
        <w:t>ных предложениях не было, практика оценки военного применения любого самолета была тогда повсеместной. Между тем Сталь-2 в будущем никогда не подвергался ни</w:t>
      </w:r>
      <w:r w:rsidRPr="005E779E">
        <w:rPr>
          <w:rFonts w:ascii="Times New Roman" w:hAnsi="Times New Roman"/>
          <w:color w:val="000000" w:themeColor="text1"/>
          <w:sz w:val="16"/>
          <w:szCs w:val="16"/>
          <w:lang w:eastAsia="ru-RU" w:bidi="ru-RU"/>
        </w:rPr>
        <w:softHyphen/>
        <w:t>каким военным усовершенствованиям (20365).</w:t>
      </w:r>
    </w:p>
    <w:p w14:paraId="045CDDEC" w14:textId="77777777" w:rsidR="000534E3" w:rsidRPr="005E779E" w:rsidRDefault="000534E3" w:rsidP="000B7A6C">
      <w:pPr>
        <w:spacing w:after="0" w:line="240" w:lineRule="auto"/>
        <w:jc w:val="both"/>
        <w:rPr>
          <w:rFonts w:ascii="Times New Roman" w:hAnsi="Times New Roman"/>
          <w:color w:val="000000" w:themeColor="text1"/>
          <w:sz w:val="16"/>
          <w:szCs w:val="16"/>
        </w:rPr>
      </w:pPr>
    </w:p>
    <w:p w14:paraId="7361B1B4" w14:textId="77777777" w:rsidR="00824AB6"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05EB3A4F" w14:textId="77777777" w:rsidR="00824AB6" w:rsidRPr="005E779E" w:rsidRDefault="00824AB6"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C289C2D" w14:textId="77777777" w:rsidR="00824AB6" w:rsidRPr="005E779E" w:rsidRDefault="00824AB6"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lastRenderedPageBreak/>
        <w:t>5 апреля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Протокол заседания Политбюро ЦК ВКП(б) № 31. 18. О ходе работ на Сталинградском тракторном заводе (ПБ от 10 декабря 1930 г., пр. № 20, п. 4/10). 37. О плане развития производств, обслуживающих автотракторную промышленность в 1932 и 1933 гг. (ПБ от 15 февраля 1931 г., пр. № 26, п. 10, из прил. п. 8) (Орджоникидзе, Харитоненко). Опросом членов ПБ от 5 апреля 1931 г. 36/36. О заказах в Италии. 43/43. О выполнении постановления ПБ о Ленинградском судостроительном тресте (ПБ от 25 июля 1929 г., пр. № 90, п. 5 и ПБ от 15 сентября 1930 г., пр. № 8, п. 22). (Политбюро... Т. 2. С. 146, 149) (12416).</w:t>
      </w:r>
    </w:p>
    <w:p w14:paraId="2CFC3C05" w14:textId="77777777" w:rsidR="00824AB6" w:rsidRPr="005E779E" w:rsidRDefault="00824AB6" w:rsidP="000B7A6C">
      <w:pPr>
        <w:spacing w:after="0" w:line="240" w:lineRule="auto"/>
        <w:jc w:val="both"/>
        <w:rPr>
          <w:rFonts w:ascii="Times New Roman" w:hAnsi="Times New Roman"/>
          <w:color w:val="000000" w:themeColor="text1"/>
          <w:sz w:val="16"/>
          <w:szCs w:val="16"/>
          <w:u w:color="002060"/>
        </w:rPr>
      </w:pPr>
    </w:p>
    <w:p w14:paraId="63976534" w14:textId="77777777" w:rsidR="00824AB6" w:rsidRPr="005E779E" w:rsidRDefault="00824AB6"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5 апреля 1931 </w:t>
      </w:r>
      <w:r w:rsidRPr="005E779E">
        <w:rPr>
          <w:rFonts w:ascii="Times New Roman" w:hAnsi="Times New Roman"/>
          <w:color w:val="000000" w:themeColor="text1"/>
          <w:sz w:val="16"/>
          <w:szCs w:val="16"/>
        </w:rPr>
        <w:t>Политбюро ЦК ВКП(б) одобрило предложения комиссий СНК о финансовом плане на II квартал 1931 г. и план строительства нефтепровода Армавир-Никитовка; предложило комиссии разработать план развития железнодорожного, водного и трубопроводного транспорта для Северо-Кавказского, Эмбинского и Бакинского районов; приняло постановления по докладу Иваново-Вознесенского обкома ВКП (б) и о состоянии и подготовке кадров для обеспечения своевременного пуска Магнитогорского и Кузнецкого заводов (12265).</w:t>
      </w:r>
    </w:p>
    <w:p w14:paraId="4212707B" w14:textId="77777777" w:rsidR="00824AB6" w:rsidRPr="005E779E" w:rsidRDefault="00824AB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5871EA6F" w14:textId="77777777" w:rsidR="001209D1" w:rsidRPr="005E779E" w:rsidRDefault="001209D1" w:rsidP="000B7A6C">
      <w:pPr>
        <w:spacing w:after="0" w:line="240" w:lineRule="auto"/>
        <w:jc w:val="both"/>
        <w:rPr>
          <w:rFonts w:ascii="Times New Roman" w:eastAsia="TimesNewRoman" w:hAnsi="Times New Roman"/>
          <w:color w:val="000000" w:themeColor="text1"/>
          <w:sz w:val="16"/>
          <w:szCs w:val="16"/>
        </w:rPr>
      </w:pPr>
      <w:r w:rsidRPr="005E779E">
        <w:rPr>
          <w:rFonts w:ascii="Times New Roman" w:eastAsia="TimesNewRoman" w:hAnsi="Times New Roman"/>
          <w:color w:val="000000" w:themeColor="text1"/>
          <w:sz w:val="16"/>
          <w:szCs w:val="16"/>
        </w:rPr>
        <w:t>5 апреля 1931 г. вышло Постановление КО СНК «Разрешить вести переговоры о заказе в Италии вооружения (торпед, зенитной артиллерии и приборов управления огнѐ</w:t>
      </w:r>
      <w:r w:rsidRPr="005E779E">
        <w:rPr>
          <w:rFonts w:ascii="Times New Roman" w:eastAsia="MS Mincho" w:hAnsi="Times New Roman"/>
          <w:color w:val="000000" w:themeColor="text1"/>
          <w:sz w:val="16"/>
          <w:szCs w:val="16"/>
        </w:rPr>
        <w:t>м</w:t>
      </w:r>
      <w:r w:rsidRPr="005E779E">
        <w:rPr>
          <w:rFonts w:ascii="Times New Roman" w:eastAsia="TimesNewRoman" w:hAnsi="Times New Roman"/>
          <w:color w:val="000000" w:themeColor="text1"/>
          <w:sz w:val="16"/>
          <w:szCs w:val="16"/>
        </w:rPr>
        <w:t>).</w:t>
      </w:r>
    </w:p>
    <w:p w14:paraId="253B96AB" w14:textId="77777777" w:rsidR="001209D1" w:rsidRPr="005E779E" w:rsidRDefault="001209D1" w:rsidP="000B7A6C">
      <w:pPr>
        <w:spacing w:after="0" w:line="240" w:lineRule="auto"/>
        <w:jc w:val="both"/>
        <w:rPr>
          <w:rFonts w:ascii="Times New Roman" w:eastAsia="TimesNewRoman" w:hAnsi="Times New Roman"/>
          <w:color w:val="000000" w:themeColor="text1"/>
          <w:sz w:val="16"/>
          <w:szCs w:val="16"/>
        </w:rPr>
      </w:pPr>
      <w:r w:rsidRPr="005E779E">
        <w:rPr>
          <w:rFonts w:ascii="Times New Roman" w:eastAsia="TimesNewRoman" w:hAnsi="Times New Roman"/>
          <w:color w:val="000000" w:themeColor="text1"/>
          <w:sz w:val="16"/>
          <w:szCs w:val="16"/>
        </w:rPr>
        <w:t>Сумму определить 4.000.000 руб. сверх существующих контингентов» [Там же, л. 276].</w:t>
      </w:r>
    </w:p>
    <w:p w14:paraId="7A0FD8A3" w14:textId="77777777" w:rsidR="001209D1" w:rsidRPr="005E779E" w:rsidRDefault="001209D1" w:rsidP="000B7A6C">
      <w:pPr>
        <w:spacing w:after="0" w:line="240" w:lineRule="auto"/>
        <w:jc w:val="both"/>
        <w:rPr>
          <w:rFonts w:ascii="Times New Roman" w:eastAsia="TimesNewRoman" w:hAnsi="Times New Roman"/>
          <w:color w:val="000000" w:themeColor="text1"/>
          <w:sz w:val="16"/>
          <w:szCs w:val="16"/>
        </w:rPr>
      </w:pPr>
      <w:r w:rsidRPr="005E779E">
        <w:rPr>
          <w:rFonts w:ascii="Times New Roman" w:eastAsia="TimesNewRoman" w:hAnsi="Times New Roman"/>
          <w:color w:val="000000" w:themeColor="text1"/>
          <w:sz w:val="16"/>
          <w:szCs w:val="16"/>
        </w:rPr>
        <w:t>Таким образом, начались закупки как оптовые, так и опытных экземпляров итальянской морской техники и вооружений Советским Союзом. Контроль за выполнением заказов возлагался на торгпреда СССР в Италии А. А. Васильева и военно-морского атташе Л. В. Анципо-Чикунского. Данные должностные лица, в свою очередь, обратились к НКО и начальнику МС РККА с просьбой оказать помощь в формировании инженерного отдела торгпредства. А также прислать в Италию специалистов (опытных и высококвалифицированных инженеров), наблюдающих за выполнением заказов, которые должны были принимать выпущенную продукцию [Там же, л. 279-283] (</w:t>
      </w:r>
      <w:r w:rsidRPr="005E779E">
        <w:rPr>
          <w:rFonts w:ascii="Times New Roman" w:eastAsia="TimesNewRoman" w:hAnsi="Times New Roman"/>
          <w:iCs/>
          <w:color w:val="000000" w:themeColor="text1"/>
          <w:sz w:val="16"/>
          <w:szCs w:val="16"/>
        </w:rPr>
        <w:t>аналог военпредов на отечественных предприятиях</w:t>
      </w:r>
      <w:r w:rsidRPr="005E779E">
        <w:rPr>
          <w:rFonts w:ascii="Times New Roman" w:eastAsia="TimesNewRoman" w:hAnsi="Times New Roman"/>
          <w:color w:val="000000" w:themeColor="text1"/>
          <w:sz w:val="16"/>
          <w:szCs w:val="16"/>
        </w:rPr>
        <w:t>) (12701).</w:t>
      </w:r>
    </w:p>
    <w:p w14:paraId="4CF6E019" w14:textId="77777777" w:rsidR="001209D1" w:rsidRPr="005E779E" w:rsidRDefault="001209D1" w:rsidP="000B7A6C">
      <w:pPr>
        <w:spacing w:after="0" w:line="240" w:lineRule="auto"/>
        <w:jc w:val="both"/>
        <w:rPr>
          <w:rFonts w:ascii="Times New Roman" w:eastAsia="TimesNewRoman" w:hAnsi="Times New Roman"/>
          <w:color w:val="000000" w:themeColor="text1"/>
          <w:sz w:val="16"/>
          <w:szCs w:val="16"/>
        </w:rPr>
      </w:pPr>
    </w:p>
    <w:p w14:paraId="35FFF4BA" w14:textId="77777777" w:rsidR="001209D1" w:rsidRPr="005E779E" w:rsidRDefault="001209D1" w:rsidP="000B7A6C">
      <w:pPr>
        <w:spacing w:after="0" w:line="240" w:lineRule="auto"/>
        <w:jc w:val="both"/>
        <w:rPr>
          <w:rFonts w:ascii="Times New Roman" w:eastAsia="TimesNewRoman" w:hAnsi="Times New Roman"/>
          <w:color w:val="000000" w:themeColor="text1"/>
          <w:sz w:val="16"/>
          <w:szCs w:val="16"/>
        </w:rPr>
      </w:pPr>
      <w:r w:rsidRPr="005E779E">
        <w:rPr>
          <w:rFonts w:ascii="Times New Roman" w:eastAsia="TimesNewRoman" w:hAnsi="Times New Roman"/>
          <w:color w:val="000000" w:themeColor="text1"/>
          <w:sz w:val="16"/>
          <w:szCs w:val="16"/>
        </w:rPr>
        <w:t>5 апреля 1931 г. вышло Постановление КО СНК СССР, а затем были заключѐ</w:t>
      </w:r>
      <w:r w:rsidRPr="005E779E">
        <w:rPr>
          <w:rFonts w:ascii="Times New Roman" w:eastAsia="MS Mincho" w:hAnsi="Times New Roman"/>
          <w:color w:val="000000" w:themeColor="text1"/>
          <w:sz w:val="16"/>
          <w:szCs w:val="16"/>
        </w:rPr>
        <w:t>ны</w:t>
      </w:r>
      <w:r w:rsidRPr="005E779E">
        <w:rPr>
          <w:rFonts w:ascii="Times New Roman" w:eastAsia="TimesNewRoman" w:hAnsi="Times New Roman"/>
          <w:color w:val="000000" w:themeColor="text1"/>
          <w:sz w:val="16"/>
          <w:szCs w:val="16"/>
        </w:rPr>
        <w:t xml:space="preserve"> договора, в соответствии с которыми Советский Союз получил от итальянских фирм военную продукцию, определѐ</w:t>
      </w:r>
      <w:r w:rsidRPr="005E779E">
        <w:rPr>
          <w:rFonts w:ascii="Times New Roman" w:eastAsia="MS Mincho" w:hAnsi="Times New Roman"/>
          <w:color w:val="000000" w:themeColor="text1"/>
          <w:sz w:val="16"/>
          <w:szCs w:val="16"/>
        </w:rPr>
        <w:t>нную</w:t>
      </w:r>
      <w:r w:rsidRPr="005E779E">
        <w:rPr>
          <w:rFonts w:ascii="Times New Roman" w:eastAsia="TimesNewRoman" w:hAnsi="Times New Roman"/>
          <w:color w:val="000000" w:themeColor="text1"/>
          <w:sz w:val="16"/>
          <w:szCs w:val="16"/>
        </w:rPr>
        <w:t xml:space="preserve"> планом заказов УВМС от 18 марта 1931 г., а именно: морскую зенитную артиллерию, дальномеры, приборы центральной наводки, перископы, мины, торпеды (12701).</w:t>
      </w:r>
    </w:p>
    <w:p w14:paraId="375C4EA6" w14:textId="77777777" w:rsidR="001209D1" w:rsidRPr="005E779E" w:rsidRDefault="001209D1" w:rsidP="000B7A6C">
      <w:pPr>
        <w:spacing w:after="0" w:line="240" w:lineRule="auto"/>
        <w:jc w:val="both"/>
        <w:rPr>
          <w:rFonts w:ascii="Times New Roman" w:eastAsia="TimesNewRoman" w:hAnsi="Times New Roman"/>
          <w:color w:val="000000" w:themeColor="text1"/>
          <w:sz w:val="16"/>
          <w:szCs w:val="16"/>
        </w:rPr>
      </w:pPr>
    </w:p>
    <w:p w14:paraId="6B42104B" w14:textId="77777777" w:rsidR="00921BBD" w:rsidRPr="005E779E" w:rsidRDefault="00921B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апреля 1931 г. вышло Постановление КО СНК «Разрешить вести переговоры о заказе в Италии вооружения (торпед, зенитной артиллерии и приборов управления огнѐм).</w:t>
      </w:r>
    </w:p>
    <w:p w14:paraId="6077ECDA" w14:textId="77777777" w:rsidR="00921BBD" w:rsidRPr="005E779E" w:rsidRDefault="00921B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Сумму определить 4.000.000 руб. сверх существующих контингентов» [Там же, л. 276].</w:t>
      </w:r>
    </w:p>
    <w:p w14:paraId="73C65EB4" w14:textId="77777777" w:rsidR="00921BBD" w:rsidRPr="005E779E" w:rsidRDefault="00921B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Контроль за выполнением заказов возлагался на торгпреда СССР в Италии А. А. Васильева и военно-морского атташе Л. В. Анципо-Чикунского. Данные должностные лица, в свою очередь, обратились к НКО и начальнику МС РККА с просьбой оказать помощь в формировании инженерного отдела торгпредства. А также прислать в Италию специалистов (опытных и высококвалифицированных инженеров), наблюдающих за выполнением заказов, которые должны были принимать выпущенную продукцию [Там же, л. 279-283] (аналог военпредов на отечественных предприятиях). На основании этого ходатайства все необходимые мероприятия были выполнены.</w:t>
      </w:r>
    </w:p>
    <w:p w14:paraId="1C2C14BB" w14:textId="6FC4A80F" w:rsidR="00921BBD" w:rsidRPr="005E779E" w:rsidRDefault="00921B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Постановлением КО СНК СССР от 5 апреля 1931 г. и заключѐнных договоров, Советский Союз получил от итальянских фирм военную продукцию, определѐнную планом заказов УВМС</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от 18 марта 1931 г., а именно: морскую зенитную артиллерию, дальномеры, приборы центральной наводки, перископы, мины, торпеды (18258).</w:t>
      </w:r>
    </w:p>
    <w:p w14:paraId="62240ECA" w14:textId="77777777" w:rsidR="00921BBD" w:rsidRPr="005E779E" w:rsidRDefault="00921BBD" w:rsidP="000B7A6C">
      <w:pPr>
        <w:spacing w:after="0" w:line="240" w:lineRule="auto"/>
        <w:jc w:val="both"/>
        <w:rPr>
          <w:rFonts w:ascii="Times New Roman" w:hAnsi="Times New Roman"/>
          <w:color w:val="000000" w:themeColor="text1"/>
          <w:sz w:val="16"/>
          <w:szCs w:val="16"/>
        </w:rPr>
      </w:pPr>
    </w:p>
    <w:p w14:paraId="6D2B4706" w14:textId="77777777" w:rsidR="00B97584" w:rsidRPr="00142305" w:rsidRDefault="00B97584" w:rsidP="00B9758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5 апреля 1931 г. вышло Постановление КО СНК «Разрешить вести переговоры о заказе в Италии вооружения (торпед, зенитной артиллерии и приборов управления огнѐм).</w:t>
      </w:r>
    </w:p>
    <w:p w14:paraId="3050B4D4" w14:textId="77777777" w:rsidR="00B97584" w:rsidRPr="00142305" w:rsidRDefault="00B97584" w:rsidP="00B9758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Сумму определить 4.000.000 руб. сверх существующих контингентов» [Там же, л. 276].</w:t>
      </w:r>
    </w:p>
    <w:p w14:paraId="23360867" w14:textId="77777777" w:rsidR="00B97584" w:rsidRPr="00142305" w:rsidRDefault="00B97584" w:rsidP="00B9758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Таким образом, начались закупки как оптовые, так и опытных экземпляров итальянской морской техники и вооружений Советским Союзом. Контроль за выполнением заказов возлагался на торгпреда СССР в Италии А. А. Васильева и военно-морского атташе Л. В. Анципо-Чикунского. Данные должностные лица, в свою очередь, обратились к НКО и начальнику МС РККА с просьбой оказать помощь в формировании инженерного отдела торгпредства. А также прислать в Италию специалистов (опытных и высококвалифицированных инженеров), наблюдающих за выполнением заказов, которые должны были принимать выпущенную продукцию [Там же, л. 279-283] (аналог военпредов на отечественных предприятиях). На основании этого ходатайства все необходимые мероприятия были выполнены. Закупки морских вооружений велись в соответствии с заключенными договорами (25366).</w:t>
      </w:r>
    </w:p>
    <w:p w14:paraId="6AED13A8" w14:textId="77777777" w:rsidR="00B97584" w:rsidRPr="00142305" w:rsidRDefault="00B97584" w:rsidP="00B97584">
      <w:pPr>
        <w:spacing w:after="0" w:line="240" w:lineRule="auto"/>
        <w:jc w:val="both"/>
        <w:rPr>
          <w:rFonts w:ascii="Times New Roman" w:hAnsi="Times New Roman"/>
          <w:color w:val="0070C0"/>
          <w:sz w:val="16"/>
          <w:szCs w:val="16"/>
        </w:rPr>
      </w:pPr>
    </w:p>
    <w:p w14:paraId="241815BC" w14:textId="7D45BA4E" w:rsidR="00B97584" w:rsidRPr="00142305" w:rsidRDefault="00B97584" w:rsidP="00B9758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Начиная с 5 апреля 1931 г. в соответствии с Постановлением КО СНК СССР и заключѐнными договорами, Советский Союз получил от итальянских фирм военную продукцию, определѐнную планом заказов УВМС</w:t>
      </w:r>
      <w:r w:rsidR="00FE094E">
        <w:rPr>
          <w:rFonts w:ascii="Times New Roman" w:hAnsi="Times New Roman"/>
          <w:color w:val="0070C0"/>
          <w:sz w:val="16"/>
          <w:szCs w:val="16"/>
        </w:rPr>
        <w:t xml:space="preserve"> </w:t>
      </w:r>
      <w:r w:rsidRPr="00142305">
        <w:rPr>
          <w:rFonts w:ascii="Times New Roman" w:hAnsi="Times New Roman"/>
          <w:color w:val="0070C0"/>
          <w:sz w:val="16"/>
          <w:szCs w:val="16"/>
        </w:rPr>
        <w:t>от 18 марта 1931 г., а именно: морскую зенитную артиллерию, дальномеры, приборы центральной наводки, перископы, мины, торпеды (25366).</w:t>
      </w:r>
    </w:p>
    <w:p w14:paraId="4B0690F5" w14:textId="77777777" w:rsidR="00B97584" w:rsidRPr="00142305" w:rsidRDefault="00B97584" w:rsidP="00B97584">
      <w:pPr>
        <w:spacing w:after="0" w:line="240" w:lineRule="auto"/>
        <w:jc w:val="both"/>
        <w:rPr>
          <w:rFonts w:ascii="Times New Roman" w:hAnsi="Times New Roman"/>
          <w:color w:val="0070C0"/>
          <w:sz w:val="16"/>
          <w:szCs w:val="16"/>
        </w:rPr>
      </w:pPr>
    </w:p>
    <w:p w14:paraId="1C5858D1"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0453FFF4"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58EE5B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апреля 1931 бригада формовщиков харьковского завода «Серп и молот» подписала первый на Украине хозрасчетный договор (4962).</w:t>
      </w:r>
    </w:p>
    <w:p w14:paraId="760E9E0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D14D82"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5D973B7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DD1D3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апреля 1931 года проект 102-мм зенитной пушки с длиной ствола 45 калибров был представлен заводом на утверждение Управления ВМС (3861).</w:t>
      </w:r>
    </w:p>
    <w:p w14:paraId="45BBD0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4584209" w14:textId="77777777" w:rsidR="00B97584" w:rsidRPr="00142305" w:rsidRDefault="00B97584" w:rsidP="00B9758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6 апреля 1931 года заводом «Большевик» был представлен на утверждение Управлению ВМС проект 102-мм зенитной пушки длиной в 45 калибров. Утверждение проекта последовало в мае 1931 года, но при этом угол возвышения был увеличен с +75° до +85°.</w:t>
      </w:r>
    </w:p>
    <w:p w14:paraId="58EA3427" w14:textId="77777777" w:rsidR="00B97584" w:rsidRPr="00142305" w:rsidRDefault="00B97584" w:rsidP="00B9758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16 июня 1931 года Управлением ВМС было внесено вторичное изменение угла возвышения с +85° на +85° – +90°, что потребовало новой переработки проекта.</w:t>
      </w:r>
    </w:p>
    <w:p w14:paraId="2BDF90B0" w14:textId="77777777" w:rsidR="00B97584" w:rsidRPr="00142305" w:rsidRDefault="00B97584" w:rsidP="00B9758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сентябре 1931 года Управление ВМС телеграммой изменило калибр 102 мм на 100 мм (25417).</w:t>
      </w:r>
    </w:p>
    <w:p w14:paraId="2F9E10A0" w14:textId="77777777" w:rsidR="00B97584" w:rsidRDefault="00B97584" w:rsidP="000B7A6C">
      <w:pPr>
        <w:spacing w:after="0" w:line="240" w:lineRule="auto"/>
        <w:jc w:val="both"/>
        <w:rPr>
          <w:rFonts w:ascii="Times New Roman" w:eastAsia="Times New Roman" w:hAnsi="Times New Roman"/>
          <w:color w:val="000000" w:themeColor="text1"/>
          <w:sz w:val="16"/>
          <w:szCs w:val="16"/>
          <w:lang w:eastAsia="ru-RU"/>
        </w:rPr>
      </w:pPr>
    </w:p>
    <w:p w14:paraId="513457A5" w14:textId="3440A8F2" w:rsidR="00C8486C" w:rsidRPr="005E779E" w:rsidRDefault="00C8486C"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6 апреля 1931 год принято Постановление Президиума ВСНХ о строительстве во Владимире завода по производству приборов для отечественной автотракторной промышленности. Уже 1 мая 1932 года завод пущен в эксплуатацию. В 1939 году на «Автоприборе» разработан и внедрен в производство первый советский таксометр (ТК-2), отсчитывающий плату за проезд. Если в 1932-ом году “Автоприбор” выпускал всего пять наименований приборов, то к концу 1940-го года производилось уже 69 наименований (17250).</w:t>
      </w:r>
    </w:p>
    <w:p w14:paraId="60133E10" w14:textId="77777777" w:rsidR="00C8486C" w:rsidRPr="005E779E" w:rsidRDefault="00C8486C" w:rsidP="000B7A6C">
      <w:pPr>
        <w:autoSpaceDE w:val="0"/>
        <w:autoSpaceDN w:val="0"/>
        <w:adjustRightInd w:val="0"/>
        <w:spacing w:after="0" w:line="240" w:lineRule="auto"/>
        <w:jc w:val="both"/>
        <w:rPr>
          <w:rFonts w:ascii="Times New Roman" w:hAnsi="Times New Roman"/>
          <w:color w:val="000000" w:themeColor="text1"/>
          <w:sz w:val="16"/>
          <w:szCs w:val="16"/>
        </w:rPr>
      </w:pPr>
    </w:p>
    <w:p w14:paraId="73F81393" w14:textId="77777777" w:rsidR="000F5416" w:rsidRPr="005E779E" w:rsidRDefault="000F5416"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0F13E4CB" w14:textId="77777777" w:rsidR="000F5416" w:rsidRPr="005E779E" w:rsidRDefault="000F5416"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66239A0" w14:textId="77777777" w:rsidR="000F5416" w:rsidRPr="005E779E" w:rsidRDefault="000F5416"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6 апреля 1931 Ворошилов издал постановление "О численности РККА мирного времени на конец пятилетки и о порядке новых формирований" (Согласно протоколу № 14 (п. 13), на заседании 3 апреля РВС принял к сведению это постановление (Там же. Л. 188). Либо Ворошилов подписал постановление с трехдневным запозданием, либо секретарь РВСС Литуновкий при составлении протокола внес в него несуществующий факт оглашения постановления. Оно не было приобщено к оригиналам протоколов, п текст его неизвестен. По всей вероятности, планы по армии мирного времени далеко вышли за пределы 750 тыс. человек на 1933 г. Известно, что численность на 1932 г. была определена в 800 гас. человек (Протокол № 22 заседания РВС СССР от 14.06.1931 // Там же. Л. 311)). Предложения военного ведомства, по всей вероятности, были переданы в Комиссию обороны. Если КО и приняла решение по этому вопросу, то оно было предварительным: состав армии мирного времени не мог быть утвержден прежде параметров мобилизационного развертывания или безотносительно к ним (22725).</w:t>
      </w:r>
    </w:p>
    <w:p w14:paraId="6149AD9A" w14:textId="77777777" w:rsidR="000F5416" w:rsidRPr="005E779E" w:rsidRDefault="000F5416" w:rsidP="000B7A6C">
      <w:pPr>
        <w:spacing w:after="0" w:line="240" w:lineRule="auto"/>
        <w:jc w:val="both"/>
        <w:rPr>
          <w:rFonts w:ascii="Times New Roman" w:hAnsi="Times New Roman"/>
          <w:color w:val="000000" w:themeColor="text1"/>
          <w:sz w:val="16"/>
          <w:szCs w:val="16"/>
        </w:rPr>
      </w:pPr>
    </w:p>
    <w:p w14:paraId="5D40E5F2" w14:textId="77777777" w:rsidR="00BD6793" w:rsidRPr="005E779E" w:rsidRDefault="00BD6793"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1DC2519A" w14:textId="77777777" w:rsidR="00BD6793" w:rsidRPr="005E779E" w:rsidRDefault="00BD6793"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2C14EDF" w14:textId="77777777" w:rsidR="00BD6793" w:rsidRPr="005E779E" w:rsidRDefault="00BD679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апреля 1931 года был построен еще один легкий одномоторный двухместный штурмовик-торпедоносец ШОН (ЦКБ № 23) - штурмовик особого назначения с частичным бронированием снизу двигателя ВМW-6 и кабины пилота. В создании ШОН, кроме Н.Н. Поликарпова и С.А. Кочеригина принимал участие и Д.П. Григорович. Предполагалось, что этим штурмовиком будут вооружаться также и авиагруппы перспективных советских авианосцев, проектирование которых также велось в то время. В частности, проект переоборудования учебного судна «Комсомолец» в учебный авианосец предусматривал базирование на корабле авиагруппы в составе 26 истребителей и 16 штурмовиков.</w:t>
      </w:r>
    </w:p>
    <w:p w14:paraId="0CFB9742" w14:textId="77777777" w:rsidR="00BD6793" w:rsidRPr="005E779E" w:rsidRDefault="00BD679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Вооружение ШОН предусматривало подвеску торпеды, а в сухопутном варианте - счетверенную качающуюся установку пулеметов ПВ-1, установленную в полу кабины стрелка для стрельбы под углом вперед-вниз и назад, и 400 кг авиабомб. Оборонительное вооружение включало один пулемет для стрельбы назад. Машина получилась довольно простой и дешевой в производстве. Сварная моторама крепилась к фюзеляжу на четырех болтах. Фюзеляж выполнялся из сварных труб с поперечными проволочными расчалками и от кабины до конца фюзеляжа покрывался полотном. Конструкция крыльев деревянная, двухлонжеронная, с полотняной обшивкой. Для удобства транспортировки и размещения самолета на палубе авианосца крылья отворачивали назад. Были внесены изменения и в конструкцию шасси (18293).</w:t>
      </w:r>
    </w:p>
    <w:p w14:paraId="2AE67514" w14:textId="77777777" w:rsidR="00BD6793" w:rsidRPr="005E779E" w:rsidRDefault="00BD6793" w:rsidP="000B7A6C">
      <w:pPr>
        <w:spacing w:after="0" w:line="240" w:lineRule="auto"/>
        <w:jc w:val="both"/>
        <w:rPr>
          <w:rFonts w:ascii="Times New Roman" w:hAnsi="Times New Roman"/>
          <w:color w:val="000000" w:themeColor="text1"/>
          <w:sz w:val="16"/>
          <w:szCs w:val="16"/>
        </w:rPr>
      </w:pPr>
    </w:p>
    <w:p w14:paraId="66263949"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63708820"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F230E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началу апреля 1931 Таджикистане и Туркмении произошла резкая вспышка активности бандитов. Этому способствовал целый ряд обстоятельств - внешних и внутренних. С одной стороны, через афганскую границу ринулись отряды Ибрагимбека. Он уже имел около 2000 всадников, довольно хорошо организованных и вооруженных. К ним добавились местные, недобитые с прошлых лет, группировки Кур-Артыка (более 300 человек) и Али-Мардана (около 500). С другой стороны, сказались последствия коллективизации. Массовые репрессии по отношению к зажиточным крестьянам сразу увеличили контингент потенциальных басмачей. Да и бедняки не высказывали бурного восторга. Зерно накапливалось в ссыпных пунктах, а затем вывозилось. Самим крестьянам оставляли только минимум. Коллективизация полностью нарушила и традиционные торговые связи. Обычно к осени кочевники-туркмены приходили из Каракумов к границам "оседлой полосы" и меняли шкурки и мясо на зерно, муку, соль, чай и многое другое. Теперь они не получали ничего. Неудивительно, что все это вызывало возмущение местного населения.</w:t>
      </w:r>
    </w:p>
    <w:p w14:paraId="2F01DD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Кампания 1931 г. началась в Таджикистане. Против Ибрагим-бека отправили Таджикскую группу войск: 13-й стрелковый корпус, состоявший из стрелковой дивизии и двух кавалерийских бригад, а также артиллерию и моторизованные подразделения. Группу поддерживали самолеты двух отрядов, временно объединенных в Таджикскую авиагруппу. Всего в нее входило 10 Р-ЗЛД.</w:t>
      </w:r>
    </w:p>
    <w:p w14:paraId="759440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Надо сказать, что в этой кампании обе стороны придумали много нового. Например, впервые встретились с координацией действий банд. Авторитет Ибрагим- бека сплотил их и заставил сражаться совместно. Басмачи научились бороться с авиацией. Самолеты их уже не пугали. При появлении опасности с воздуха всадники быстро рассыпались, маскируясь в тени скал, ущельях, среди деревьев и кустарников. Очень распространено стало скрытное перемещение бандитов со стадами. Если басмачей застигали на открытом пространстве, они встречали самолеты плотным винтовочным огнем. Их отряды быстро перемещались, что вынуждало вести почти непрерывную воздушную разведку.</w:t>
      </w:r>
    </w:p>
    <w:p w14:paraId="53727A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другой стороны, войска научились взаимодействовать с авиацией. Сигнальщики выкладывали для летчиков кодовые сообщения полотнищами Попхэма - большими полосами белой ткани. При отсутствии полотнищ в дело шли конские седла или знаки создавали, выстраивая людей определенным образом. Свое местонахождение красноармейцы обозначали цветными ракетами. Срочные донесения с земли подбирали "кошкой"; в горах это часто было небезопасно.</w:t>
      </w:r>
    </w:p>
    <w:p w14:paraId="69DAD5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Летчики, в свою очередь, передавали донесения войскам, сбрасывая вымпелы с записками. Несмотря на всю примитивность такой связи, она оказалась достаточно эффективной. Самолеты стали наводить красных кавалеристов на банды, а затем поддерживать атаку бомбами и пулеметным огнем. Правда, приходилось рассчитывать время, чтобы не начать штурмовку слишком рано. В нескольких случаях при налетах авиации банды сразу рассыпались и уходили в разные стороны еще до подхода кавалеристов или мотострелков. В 40-м ао попробовали выпускать из задней кабины почтовых голубей, возвращавшихся в штабную голубятню. Для оповещения населения стали применять сброс листовок, но вот только подавляющее большинство местных жителей было совершенно неграмотным.</w:t>
      </w:r>
    </w:p>
    <w:p w14:paraId="0B306A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Летчикам Таджикской авиагруппы иногда удавались весьма успешные операции. Так, 14 апреля 1931 г. самолеты обнаружили банду Кур-Артыка на переправе через реку Кызыл-Су. Басмачей атаковали девять машин. Сбросив бомбы, они смогли остановить переправу. Затем летчики разыскали расположение красноармейцев и повели их к реке. Перед двумя эскадронами кавалерии басмачам было не устоять- они бросились врассыпную. На месте боя начитали 101 труп, трех человек взяли в плен; трофеями стали 21 винтовка и 67 лошадей.</w:t>
      </w:r>
    </w:p>
    <w:p w14:paraId="5B708E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Через три дня Кур-Артык попался на глаза авиаторам в 40 км юго-западнее Курган-Тюбе. Его банда, уменьшившаяся втрое, двигалась на запад. С помощью вымпелов на басмачей навели эскадрон конников и отряд мотопехоты на грузовиках с пулеметами. Прикрывая отход, Кур-Артык бросил в смертельную атаку "палочников", практически не имевших огнестрельного оружия. Пока их косили из пулеметов, курбаши с группой приближенных ушел.</w:t>
      </w:r>
    </w:p>
    <w:p w14:paraId="0816A9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 при этом он потерял более 50 человек, красные конники - лишь одного. Фактически банда была разгромлена. Кур-Артык бежал, периодически натыкаясь то на кавалеристов, то на мобильные группы на автомобилях. Жалкие остатки его отряда укрылись в горах Терегли-Тау.</w:t>
      </w:r>
    </w:p>
    <w:p w14:paraId="687EC7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Под мощный удар с воздуха угодила и банда Апи-Мардана. Три группы самолетов, сменяясь, утюжили ее в течение пяти часов. Кончилось тем, что атаман выслал парламентеров и сложил оружие.</w:t>
      </w:r>
    </w:p>
    <w:p w14:paraId="62AF68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Ибрагим-беку тоже досталось. Он рвался в Локайский район, где жили его родственники. Авиация постоянно следила за перемещением банды. Самолет командира звена А. Митрофанова был придан кавалерийскому полку, разместившемуся в Кулябе. В первом же полете летчики обнаружили басмачей на равнине в районе зимовки Ак-Джар. Когда разведчик снизился, чтобы разглядеть происходящее внизу, по нему начали стрелять из винтовок. В ответ летнаб Абдурахманов расстрелял по врагу все патроны. Митрофанов нашел отряд красных конников и сбросил ему вымпел. Потом экипаж совершил еще два вылета, теперь уже с бомбометанием.</w:t>
      </w:r>
    </w:p>
    <w:p w14:paraId="7E5A05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следующий день самолетов стало уже три, а красноармейцы с разных сторон начали наседать на банду. В результате басмачей прижали к реке Вахш. Авиация постоянно вела разведку, что было достаточно сложно в горах. Банда переправилась через реку на бурдюках. Теперь ее погнали по левому берегу; численность все время уменьшалась - летчики продолжали наносить удары с воздуха.</w:t>
      </w:r>
    </w:p>
    <w:p w14:paraId="5E9877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Вот как описывает в своих мемуарах Митрофанов штурмовку у горы Сарса- рак: "В пылу боевого азарта, не обращая внимания на выстрелы басмачей, я снижался все ниже и ниже. Прошло немного времени, и на конях не осталось ни одного всадника - пули разбросали их по оврагу" (11985).</w:t>
      </w:r>
    </w:p>
    <w:p w14:paraId="1A34A3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07DF6BF"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2B6FEB75"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FA8BA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апреля 1931 года начальник НИИ ВВС писал письмо N 46 сс зам. начальника ВВС Алкснис и начальнику УСС Петрожицкому.</w:t>
      </w:r>
    </w:p>
    <w:p w14:paraId="0716E9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Представляю доклад по предписанию зам. Наркомвоенмора Уборевич от 24 марта 1931 года N 05415сс.</w:t>
      </w:r>
    </w:p>
    <w:p w14:paraId="1512C0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Приложение: упомянутое на 7 листах.</w:t>
      </w:r>
    </w:p>
    <w:p w14:paraId="0B6AD0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По опытному строительству</w:t>
      </w:r>
    </w:p>
    <w:p w14:paraId="1BDC35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Работа по ликвидации вредительства и устранению вредительства в морском производстве проведена с точки зрения изучения методов и объектов вредительства, которое еще имеет последствия в виде:</w:t>
      </w:r>
    </w:p>
    <w:p w14:paraId="6A0919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внедрения в производство недоведенных образцов, что вызывает в процессе производства обилие переделок;</w:t>
      </w:r>
    </w:p>
    <w:p w14:paraId="7A24DC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недостаточное участие конструкторских бюро в работе по внедрению в производство образцов;</w:t>
      </w:r>
    </w:p>
    <w:p w14:paraId="732E1A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недостаточное усилие по замене импорта;</w:t>
      </w:r>
    </w:p>
    <w:p w14:paraId="4AB16A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медленности темпов постройки образцов, в частности: гидросамолетостроение, аэростатостроение, особенно лебедки для аэростатов наблюдения и заграждения.</w:t>
      </w:r>
    </w:p>
    <w:p w14:paraId="13480B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Рации выходят с опозданием на 2 - 2.5 года. Производство фотоаппаратуры в состоянии организации. Самопуски для авиационных моторов в стадии чертежей уже больше года.</w:t>
      </w:r>
    </w:p>
    <w:p w14:paraId="4DF0ED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Испытанные и внедряемые в производство образцы.</w:t>
      </w:r>
    </w:p>
    <w:p w14:paraId="2EC306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состоянии внедрения в производство и подготовки к нему состоит 5 самолетов (И5-ЮпIV, Р5-БМВVI, Р6-БМВVI, ТБ3-БМВVI, МДР2-2БМВVI), 4 типа моторов (М19, М15, М26, М27), система аэростата заграждения, 5 стрелковых прицелов, 76 мм самолетная пушка (ДРП), пулемет ДА 7,63 мм (по АУ), ряд турелей и пулеметных установок на самолеты, 2 типа прицелов для бомбо и торпедометания, 10 кг осколочная бомба, 25 и 50 кг фугасные бомбы, несколько образцов взрывателей, воздушная планир. бомба (ПБМ), воздушная мина (ЗАМ), дистанционные взрыватели для авиационных бомб, бомбы типа Гирлянда, приемно-передающая рация (ДСР), 2 типа радио динамо-машины, саморегулирующаяся ветрянка для самолетных динамо, 3 типа фотоаппарата, полуавтоматический, автоматический и приспособленный для перспективной съемки, 2 типа фотообъективов, фотопулемет, 3 типа земных походных фотолабораторий, аэропленки и некоторые фотохимикаты. Ряд приспособлений для ночных полетов (прожектор, маяк и пр.), 4 типа электрооборудования самолетов, магнето. Заказывается серия автоматов для наведения самолетов на цель при бомбометании, внедрено производство парашютов для сбрасывания людей и грузов, вводятся сбрасываемые с самолета торпеды и мины заграждения. Заказана партия отеплителей для самолетов. Введены приспособления для разбрызгивания ОВ с самолета (ВАП-4).</w:t>
      </w:r>
    </w:p>
    <w:p w14:paraId="0ACD1E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В изготовлении состоят следующие опытные образцы: 7 типов самолетов, из которых один (ТБ-46 Р.Р.) является сверхтяжелым типом, 2 типа авиационных моторов (М34, ФЭД), аэростат наблюдения с изменяющимся объемом, лебедка для аэростатов заграждения, около 12 разных вариантов авиационных бомб (фугасные, химические, бронебойные, зажигательные, светящиеся), 2 варианта взрывателей, несколько вариантов бомбодержателей и сбрасывателей (в том числе электрический сбрасыватель), доводятся два типа сверхскорострельного и одного типа крупнокалиберн. пулеметов, 4 типа бомбардировочного прицела, 2 типа стрелковых прицелов, радиомаячная станция, новый тип самолетной станции и аэродромная радиостанция. Кроме того строится 9 образцов коротковолновых и 2 образца ультракоротковолновых самолетных рации и некоторые другие приспособления для радио. По электро производятся образцы вращающегося аэромаяка, потолочный прожектор, оборудование для ночных полетов с гидроаэродромов, авиационные свечи. В постройке образцы для автоматического управления самолетом, с </w:t>
      </w:r>
      <w:r w:rsidRPr="005E779E">
        <w:rPr>
          <w:rFonts w:ascii="Times New Roman" w:hAnsi="Times New Roman"/>
          <w:color w:val="000000" w:themeColor="text1"/>
          <w:sz w:val="16"/>
          <w:szCs w:val="16"/>
        </w:rPr>
        <w:lastRenderedPageBreak/>
        <w:t>доведением до беспилотного управления по радио, акустические взрыватели и некоторые другие работы в области телемеханики. Построен вариант геликоптера (ЦАГТ) и винта с переменным шагом (Вирджили).</w:t>
      </w:r>
    </w:p>
    <w:p w14:paraId="7A259F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Ход реализации тех. помощи по существующим договорам, своей медлительностью обесценивает значение технической помощи. Самолет тип Хейнкель (НД43-БМВVI) до сих пор не вышел и выйдет с опозданием от образца лицензии на 5 лет.</w:t>
      </w:r>
    </w:p>
    <w:p w14:paraId="10642F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 Образцы, находящиеся в стадии расчетов и чертежного конструирования.</w:t>
      </w:r>
    </w:p>
    <w:p w14:paraId="6E7BC7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стадии расчетов находятся: 6 типов самолетов, из которых один является опытом тяжелой морской машины (МТБ3), 5 типов моторов (М19а, М38, М44, М32, М35), в т.ч. под тяжелое топливо, наддув и редуктор. Проект аэростата с баллонетом (вместо изменяющегося объема), лебедка для аэростатов наблюдения (взамен устаревшей), прицелы для ночного бомбометания, для торпедометания, вливания ОВ, прицелы с гироскопической вертикалью, ряд бомбодержателей, в т.ч. несколько кассетных, держатели для химаппаратуры, дымовые бомбы, 20 и 37 мм самолетные пушки, новый вариант крупнокалиберного пулемета, новый тип самолетной рации, противошумные микрофоны, прибор для автоматического корректирования артстрельбы, 3 типа фотоаппаратов, самолетная фотолаборатория, около 15 вариантов приспособлений для ночных полетов, приборы для управления на расстоянии и начало работ по передаче рисунков с самолета на землю.</w:t>
      </w:r>
    </w:p>
    <w:p w14:paraId="1DA368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 Неудачи и невыполнение некоторых поставленных заданий по перевооружению (2969).</w:t>
      </w:r>
    </w:p>
    <w:p w14:paraId="20EB0A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Гидросамолеты свои только что выходят. Опытное моторостроение отстало от современных требований и принятый Реввоенсоветом план выполнением не обеспечен. Отставание уже определилось. Возникли трудно преодолимые затруднения с топливом для моторов современного типа (высокого сжатия). Отстали работы над нефтяными моторами. Построенные оригинальные образцы аэростатов оказались негодными. Изготовление лебедки для аэростатов заграждения опаздывает на несколько месяцев. Не установлено производство троса для аэростатов. Не обеспечено снабжение водородными баллонами. Два типа стрелковых прицелов, построенных ВООМП"ом оказались неудовлетворительными. Скорострельный и крупнокалиберный пулеметы не вышли в сроки. По авиационным бомбам план выполнен на 45-50%. Как правило, промышленность сроков изготовления образцов вооружения не выполняет. По рациям план промышленности ни в опытном строительстве, ни в серии в срок не выполнен. Опытный образец автоматического фотоаппарата запроектирован в 1927 году, поступил 13 марта 1931 года. Задерживается изготовление фотообъективов из-за отсутствия сырья для стекла, хотя это сырье экспортируется.</w:t>
      </w:r>
    </w:p>
    <w:p w14:paraId="73F5FA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ж) Задачи, над решением которых надо сосредоточить все усилия в текущем году (план работ) с учетом достижений и развития техники у вероятных противников.</w:t>
      </w:r>
    </w:p>
    <w:p w14:paraId="3EAABA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Успех самолетостроения (основной элемент вооружения ВВС) полностью зависит от выполнения плана опытного строительства по моторам, поэтому основное - выполнить в сроки М34, М35, М32, М44, закончить винт с переменным шагом, добиться безусловного успеха в наддуве и редукторе, осуществить авиационный мотор под тяжелое топливо.</w:t>
      </w:r>
    </w:p>
    <w:p w14:paraId="36CBB8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Установить антидетонирующее топливо. Осуществить прицел для дальней стрельбы с самолета по самолету. Осуществить намеченные в п. "д" объекты, как безусловный минимум: прицел для штурмовиков, для выливания ОВ, для низкого торпедометания, синхронный прицел для легких бомбовозов, гироскопический прицел, прицел для действия дистанционными бомбами, синхронный прицел для тяжелых самолетов. Осуществить основные типы осколочных, оск. химических бомб, фугасные бомбы (в т.ч. до 1000 кг), бронебойные (до 1000 кг), химические (25 и 100 кг), зажигательные и варианты взрывателей (мгновенные, с переменным замедлением, с замедлением до 24 час.). Довести ВАП 5. Приспособить торпеду 21" для сбрасывания с самолета.</w:t>
      </w:r>
    </w:p>
    <w:p w14:paraId="407616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 Научные силы и технические кадры с точки зрения требования развития вооружения.</w:t>
      </w:r>
    </w:p>
    <w:p w14:paraId="0D4956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Промышленность слабо использует научные институты, даже при содействии военведа. Как правило, специалисты по делу вооружения комплектуются из состава Военведа, что ослабляет технические кадры военведа и не обеспечивает промышленность. Специалистов по вооружению ВВС приходится готовить кустарным способом. ВВА потребность не покрывает и некоторых специалистов не имеет вовсе. В своей работе ВВС опираются на десятки специальных учреждений, что все же не обеспечивает необходимого успеха, вследствие недостатка тех. сил. По фотомеханике специалистов нигде не готовится: это дело в стадии организации.</w:t>
      </w:r>
    </w:p>
    <w:p w14:paraId="5184B8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Предложения.</w:t>
      </w:r>
    </w:p>
    <w:p w14:paraId="6BB78A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Поручить ВСНХ:</w:t>
      </w:r>
    </w:p>
    <w:p w14:paraId="7B58B7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Пересмотреть с приглашением представителей Военведа план развития алюминиевой и стальной промышленности, с целью повышения количества добываемого алюминия до удовлетворения нужд военведа и получения в нужном количестве высокосортной стали и обеспечения производства входящих в сплавы стали ванадия, молибдена, ферросилиция и т.п.</w:t>
      </w:r>
    </w:p>
    <w:p w14:paraId="157926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Обязать ВАО немедленно и полностью обеспечить Институт авиамоторостроения строительством, оборудованием и личным составом, как это было намечено планом развития ИАМ в целях безусловного выполнения утвержденного Реввоенсоветом плана моторостроения в срок.</w:t>
      </w:r>
    </w:p>
    <w:p w14:paraId="63C00F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Обязать объединения промышленности, работающие на оборону, развернуть опытные разделы до размеров, обеспечивающих выполнение плана опытного строительства предметов военного назначения (особенно в области вооружения).</w:t>
      </w:r>
    </w:p>
    <w:p w14:paraId="5A17CB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Обязать органы опытного строительства доводить образец до полной готовности до передачи в серию и принимать непосредственное участие в работе внедрения образца в серию.</w:t>
      </w:r>
    </w:p>
    <w:p w14:paraId="5DF7ED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Обратить особое внимание на работу бюро авиастроительства при Моб. План. Секторе ВСНХ в области освобождения военной промышленности от импортной зависимости.</w:t>
      </w:r>
    </w:p>
    <w:p w14:paraId="0B71CC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Пересмотреть вопрос обеспечения ВВС топливом, в частности развить деятельность по изысканию антидетонаторов и недетонирующих топлив.</w:t>
      </w:r>
    </w:p>
    <w:p w14:paraId="27AD80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Создать базу для изготовления авиационной фотоаппаратуры и фотохимикатов.</w:t>
      </w:r>
    </w:p>
    <w:p w14:paraId="461E62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Обязать ВТО приступить к изготовлению из советского хлопка основ для баллонной материи и изготовления парашютов.</w:t>
      </w:r>
    </w:p>
    <w:p w14:paraId="16A2AE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Обязать ВЭО: а) обеспечить производственной базой изготовление авиационного электрооборудования (самолетного и земного), предметов телемеханики.</w:t>
      </w:r>
    </w:p>
    <w:p w14:paraId="79FF2C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Немедленно приступить к осуществлению электро-энерционного самопуска для авиационных моторов.</w:t>
      </w:r>
    </w:p>
    <w:p w14:paraId="4D4E0A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Обеспечить строительством и оборудованием завод "Авиаприбор".</w:t>
      </w:r>
    </w:p>
    <w:p w14:paraId="45FA34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Пересмотреть с военной точки зрения целесообразность нахождения имеющих для обороны большое значение организаций (ВООМП, Остехбюро и др.) в Ленинграде.(2969,2-8).</w:t>
      </w:r>
    </w:p>
    <w:p w14:paraId="2AC1C7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702D626"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72DE509C"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5C764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апреля 1931 г. Амторг заключил с с компанией Форда рамочного договора о технической помощи договор о поставках режущего, контрольно-измерительного и другого специального оборудования. Станки решено было покупать как фордовские (Ford make), так и полученные этой компанией от других поставщиков, или непосредственно у них, если это обойдётся дешевле. В общей сложности завод получил оборудование от 102 американских фирм, включая Bullard Company, Ingersoll Milling Company и др. Но и это не всё: по решению советского правительства часть заказов Автостроя перенесли в Европу, и к августу 1931 г. из 4650 единиц импортного оборудования 2350 было из США и 2300 из Европы, а 550 единиц поставили советские предприятия.</w:t>
      </w:r>
    </w:p>
    <w:p w14:paraId="5D6AA8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Технологическую и строительную часть проекта крупнейшего в Европе Сталинградского тракторного завода выполнили американские компании International Harvester и Albert Kahn, Inc., и 90% его оборудования поставили более 100 машиностроительных фирм США. Наверное, не многие россияне знают, что завод этот был построен под Чикаго, потом демонтирован и перевезён в Сталинград. В годы Второй мировой войны уже по ленд-лизу в Москву доставили фордовский шинный завод, а в Куйбышеве, Гурьеве, Орске, Красноводске разместились американские нефтеперерабатывающие предприятия.</w:t>
      </w:r>
    </w:p>
    <w:p w14:paraId="5FC896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Архитектурно-строительная фирма Альберта Кана, строившая автомобильные, тракторные и авиационные заводы в США, спроектировала для СССР несколько сот промышленных объектов. Архитектор Кан стал ведущим зарубежным консультантом по промышленному строительству. Несколько фирм занимались проектированием новых шахт, поставляли оборудование для бумажных комбинатов, а одна из компаний рокфеллеровской группы, Standard Oil of New York, участвовала в строительстве предприятий нефтяной промышленности в районе Баку — Грозный — Батуми — Туапсе. Техническая помощь использовалась в области приборостроения, навигационных устройств, телефонной связи и даже постройки часовых заводов.</w:t>
      </w:r>
    </w:p>
    <w:p w14:paraId="2D4478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Иногда заключение договоров о техпомощи с одной и той же хорошо зарекомендовавшей себя фирмой продолжалось, а их роль не сводилась к пересылке технической документации и оборудования. Иностранное участие имело свою социальную сторону, которая заключалась в консультировании и обучении советских рабочих, инженеров и техников как в СССР, так и в самих компаниях. Всё это объединялось советскими заказчиками в понятие «инотехпомощь», так что пресловутый технологический фактор следует понимать достаточно широко (11520).</w:t>
      </w:r>
    </w:p>
    <w:p w14:paraId="36D3ED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B41EF17"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2B7E37B3"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42B88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апреля 1931 первый боевой вылет против туркменских кочевников совершил командир 35-го отряда А.И. Калюжнов утром. Но в ходе разведки удалось обнаружить только пасущийся скот. Позже в тот же день встретили и первых басмачей. Около 20 конников спускались в долину, при появлении самолета они рассеялись.</w:t>
      </w:r>
    </w:p>
    <w:p w14:paraId="3527F7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следующий день сбросили первые бомбы на небольшие группы численностью до 50 человек. 10 апреля у кишлака Шурга обнаружили банду уже в 200 сабель. Ее атаковало звено Р-ЗЛД.</w:t>
      </w:r>
    </w:p>
    <w:p w14:paraId="59402D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13 апреля летчики впервые попали под ответный огонь с земли. Басмачи обстреляли самолеты Мищенко и Недо- секина. На другой день авиаторы смогли выручить из беды красных кавалеристов. Разъезд напоролся на отступавшую банду примерно из 250 всадников. Его быстро бы изрубили, но на помощь пришли самолеты. Пулеметным огнем и бомбами они отогнали противника.</w:t>
      </w:r>
    </w:p>
    <w:p w14:paraId="0E249E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Туркмении успешно применяли ту же тактику, что и в Таджикистане. 29 апреля летчик Митрофанов нашел на горе Хасан-Дог банду, отдыхавшую в тени деревьев. Вымпелами он навел на нее три эскадрона, окруживших врага. Когда наши кавалеристы пошли в атаку, самолет начал бомбить и обстреливать басмачей. Попытка вырваться из кольца не удалась. Лишь полутора десяткам врагов удалось подняться по очень крутому склону, но и их достал огонь с самолета.</w:t>
      </w:r>
    </w:p>
    <w:p w14:paraId="2DE4B3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Надо сказать, что отличить своих от чужих было нелегко. Летчики часто привозили донесения типа: "Из с. Кунги группа конных 9 чел. в цветных халатах двигалась к р. Яван". Часто встречалась формулировка: "Установить, являлась ли группа басмшайкой, не удалось". Нередко действовали "методом проб и ошибок": сбросили бомбу и посмотрели - если открыли ответный огонь, то уж точно басмачи. Не открыли - кто его знает...</w:t>
      </w:r>
    </w:p>
    <w:p w14:paraId="39C4AC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Туркмены-кочевники перемещались с семьями и большими стадами скота. Отличить мирных пастухов от бандитов было практически невозможно. Вот пример: с воздуха насчитали "примерно 200 человек" ("количество всадников трудно поддается учету, при появлении самолета рассредоточиваются и принимают меры маскировки"), а при них - 4000 баранов, 140 - 150 верблюдов и...400 кибиток! Отсюда вывод - считали только тех, кто на виду, а кто из них басмач, кто - нет, оставалось невыясненным.</w:t>
      </w:r>
    </w:p>
    <w:p w14:paraId="49188C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Командование поступило просто. Всех в контролируемых бандами районах решили считать противником (или пособником противника). Авиации выделили зоны "свободного огня", где своих заведомо не было. Там приказали обстреливать и бомбить все подряд. Удары наносились по скоплениям людей, скоту, жилью в любом виде. Уничтожение живности объяснялось, например, желанием лишить басмачей пропитания. Кроме того, бомбометание по стадам в некоторых случаях действительно помогало выявить небольшие банды, маскировавшиеся среди животных. Летчики формулировали это проще: "В песках все кочевники - басмачи" (11985).</w:t>
      </w:r>
    </w:p>
    <w:p w14:paraId="4DD974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A5B3B25" w14:textId="77777777" w:rsidR="00921BBD" w:rsidRPr="005E779E" w:rsidRDefault="00921BBD"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08F8D64F" w14:textId="77777777" w:rsidR="00921BBD" w:rsidRPr="005E779E" w:rsidRDefault="00921BBD"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D423C56" w14:textId="77777777" w:rsidR="00921BBD" w:rsidRPr="005E779E" w:rsidRDefault="00921B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апреля 1931 г. вышла Инструкция Центрального комитета профсоюзов и Наркомата снабжения, согласно которой рабочие-ударники пользовались преимуществом при снабжении продуктами питания и потребительскими товарами, а также при культурном обслуживании и предоставлении жилплощади. Профком предприятия совместно с администрацией обязан был составить список рабочих-ударников. Дополнительно к продовольственной карточке те получали карточку рабочего-ударника, действовавшую в течение месяца. При невыполнении производственного задания или нарушении трудовой дисциплины ее могли досрочно изъять{993}.Таким путем создавали материальный стимул для участия в «социалистическом соревновании», в итоге возник привилегированный слой, чей жизненный уровень заметно выделялся на общем фоне жизни рабочих, и этот слой подходил на роль инструмента повышения производительности труда и стабилизации иерархической системы на внутризаводском уровне{994}.</w:t>
      </w:r>
    </w:p>
    <w:p w14:paraId="01118C75" w14:textId="77777777" w:rsidR="00921BBD" w:rsidRPr="005E779E" w:rsidRDefault="00921B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1931 г. к привилегированным лицам относился также руководящий персонал предприятия, «специалисты». Им предоставлены были преимущественные права как при снабжении товарами, так и при распределении жилого фонда. Особые отделы для специалистов действовали в закрытых распределителях. У них имелись свои столовые и магазины, которые лучше снабжались{995} (18299).</w:t>
      </w:r>
    </w:p>
    <w:p w14:paraId="1946167C" w14:textId="77777777" w:rsidR="00921BBD" w:rsidRPr="005E779E" w:rsidRDefault="00921BBD" w:rsidP="000B7A6C">
      <w:pPr>
        <w:spacing w:after="0" w:line="240" w:lineRule="auto"/>
        <w:jc w:val="both"/>
        <w:rPr>
          <w:rFonts w:ascii="Times New Roman" w:hAnsi="Times New Roman"/>
          <w:color w:val="000000" w:themeColor="text1"/>
          <w:sz w:val="16"/>
          <w:szCs w:val="16"/>
        </w:rPr>
      </w:pPr>
    </w:p>
    <w:p w14:paraId="3BF184E8" w14:textId="699DDA23" w:rsidR="004D3FB2" w:rsidRPr="005E779E" w:rsidRDefault="004D3FB2" w:rsidP="000B7A6C">
      <w:pPr>
        <w:autoSpaceDE w:val="0"/>
        <w:autoSpaceDN w:val="0"/>
        <w:adjustRightInd w:val="0"/>
        <w:spacing w:after="0" w:line="240" w:lineRule="auto"/>
        <w:jc w:val="both"/>
        <w:rPr>
          <w:rFonts w:ascii="Times New Roman" w:hAnsi="Times New Roman"/>
          <w:i/>
          <w:iCs/>
          <w:color w:val="000000" w:themeColor="text1"/>
          <w:sz w:val="16"/>
          <w:szCs w:val="16"/>
        </w:rPr>
      </w:pPr>
      <w:r w:rsidRPr="005E779E">
        <w:rPr>
          <w:rFonts w:ascii="Times New Roman" w:hAnsi="Times New Roman"/>
          <w:i/>
          <w:iCs/>
          <w:color w:val="000000" w:themeColor="text1"/>
          <w:sz w:val="16"/>
          <w:szCs w:val="16"/>
        </w:rPr>
        <w:t>За рубежом:</w:t>
      </w:r>
    </w:p>
    <w:p w14:paraId="67036B26" w14:textId="77777777" w:rsidR="004D3FB2" w:rsidRPr="005E779E" w:rsidRDefault="004D3FB2" w:rsidP="000B7A6C">
      <w:pPr>
        <w:autoSpaceDE w:val="0"/>
        <w:autoSpaceDN w:val="0"/>
        <w:adjustRightInd w:val="0"/>
        <w:spacing w:after="0" w:line="240" w:lineRule="auto"/>
        <w:jc w:val="both"/>
        <w:rPr>
          <w:rFonts w:ascii="Times New Roman" w:hAnsi="Times New Roman"/>
          <w:i/>
          <w:iCs/>
          <w:color w:val="000000" w:themeColor="text1"/>
          <w:sz w:val="16"/>
          <w:szCs w:val="16"/>
        </w:rPr>
      </w:pPr>
    </w:p>
    <w:p w14:paraId="09327CDB" w14:textId="409CDF5C" w:rsidR="004D3FB2" w:rsidRPr="005E779E" w:rsidRDefault="004D3FB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апреля 1931 г.</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Винклер запустил HW-1 — с</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длинными стабилизаторами, закругленными вверху. Оба испытания прошли не вполне удачно (23372).</w:t>
      </w:r>
    </w:p>
    <w:p w14:paraId="70EC8E2F" w14:textId="77777777" w:rsidR="004D3FB2" w:rsidRPr="005E779E" w:rsidRDefault="004D3FB2" w:rsidP="000B7A6C">
      <w:pPr>
        <w:spacing w:after="0" w:line="240" w:lineRule="auto"/>
        <w:jc w:val="both"/>
        <w:rPr>
          <w:rFonts w:ascii="Times New Roman" w:hAnsi="Times New Roman"/>
          <w:color w:val="000000" w:themeColor="text1"/>
          <w:sz w:val="16"/>
          <w:szCs w:val="16"/>
        </w:rPr>
      </w:pPr>
    </w:p>
    <w:p w14:paraId="30D94C72" w14:textId="3B848C34"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1B5675A4"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EEBC3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апреля 1931 г. дата присвоения опознавательного знака с литерой "Н" - СССР-Н1 - Дорнье "Валь", зав. № 130, моторы - 2 BMW-6.Первоначальный владелец воздушного судна - Комсеверпуть. Первоначальное название "Комсеверпуть-1". Самолет итальянской постройки, дата приемки - 14.09.28 г. Полеты в Арктике начал в 1929 г. (11955).</w:t>
      </w:r>
    </w:p>
    <w:p w14:paraId="15BB8A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6BB59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апреля 1931 г. дата присвоения опознавательного знака с литерой "Н" - СССР-Н2 - Дорнье "Валь", зав. № 142, моторы - 2 BMW-6. Первоначальный владелец воздушного судна - Комсеверпуть. Первоначальное название "Комсеверпуть-2". 19 апреля 1933 г. в связи с реорганизацией Ком- северпути в ГУСМП самолет перерегистрирован с тем же опознавательным знаком, но на другого владельца - ГУСМП. Погиб (утонул) 8 сентября 1937 г. во время поисков экипажа С.А.Леваневского. Приказом по ГУСМП № 406 от 25 сентября 1938 г. Дорнье "Валь" СССР-Н2 был списан с баланса Енисейской авиагруппы и исключен из списков самолето-моторного парка УПА.(11955).</w:t>
      </w:r>
    </w:p>
    <w:p w14:paraId="6C61DF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1D16A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апреля 1931 даата присвоения опознавательного знака с литерой "Н" - СССР-Н3 - Дорнье "Валь", зав. № 143, моторы - 2 BMW-6.Первоначальный владелец воздушного судна - Комсеверпуть. Первоначальное название "Комсеверпуть-3". В 1932 г. СССР-НЗ потерпел катастрофу в районе пролива Маточкин Шар. Дорнье "Валь" "Комсеверпуть-1" с развернутой радиоантенной держит связь с ледоколами. Чудовищная свалка на переднем плане не что иное, как обглоданный волнами "плавник", то есть выброшенные на берег обломки бревен, ставшие следствием вырубки и сплава леса (11955).</w:t>
      </w:r>
    </w:p>
    <w:p w14:paraId="59F40D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2A8B41D" w14:textId="77777777" w:rsidR="009459B0" w:rsidRPr="005E779E" w:rsidRDefault="009459B0"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1D127017" w14:textId="77777777" w:rsidR="009459B0" w:rsidRPr="005E779E" w:rsidRDefault="009459B0"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762D4A2" w14:textId="77777777" w:rsidR="009459B0" w:rsidRPr="005E779E" w:rsidRDefault="009459B0"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8 апреля 1931 г.</w:t>
      </w:r>
    </w:p>
    <w:p w14:paraId="5584371F" w14:textId="77777777" w:rsidR="009459B0" w:rsidRPr="005E779E" w:rsidRDefault="009459B0"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О переводе Л. К. Рамзина в одиночную камеру Бутырского изолятора. 8 апреля 1931 г.</w:t>
      </w:r>
    </w:p>
    <w:p w14:paraId="4C438C28" w14:textId="77777777" w:rsidR="009459B0" w:rsidRPr="005E779E" w:rsidRDefault="009459B0"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Источник: </w:t>
      </w:r>
    </w:p>
    <w:p w14:paraId="5664C9F3" w14:textId="77777777" w:rsidR="009459B0" w:rsidRPr="005E779E" w:rsidRDefault="009459B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3A44CEF" w14:textId="77777777" w:rsidR="009459B0" w:rsidRPr="005E779E" w:rsidRDefault="009459B0"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Архив: </w:t>
      </w:r>
    </w:p>
    <w:p w14:paraId="01286EFB" w14:textId="77777777" w:rsidR="009459B0" w:rsidRPr="005E779E" w:rsidRDefault="009459B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РГАЭ. Ф. 38. Oп. 1. Д. 2. Л. 9</w:t>
      </w:r>
    </w:p>
    <w:p w14:paraId="073633EE" w14:textId="77777777" w:rsidR="009459B0" w:rsidRPr="005E779E" w:rsidRDefault="009459B0" w:rsidP="000B7A6C">
      <w:pPr>
        <w:pStyle w:val="rteright"/>
        <w:spacing w:before="0" w:after="0"/>
        <w:jc w:val="both"/>
        <w:rPr>
          <w:color w:val="000000" w:themeColor="text1"/>
          <w:sz w:val="16"/>
          <w:szCs w:val="16"/>
        </w:rPr>
      </w:pPr>
      <w:r w:rsidRPr="005E779E">
        <w:rPr>
          <w:color w:val="000000" w:themeColor="text1"/>
          <w:sz w:val="16"/>
          <w:szCs w:val="16"/>
        </w:rPr>
        <w:t>8 апреля 1931 г.</w:t>
      </w:r>
    </w:p>
    <w:p w14:paraId="4572F366" w14:textId="77777777" w:rsidR="009459B0" w:rsidRPr="005E779E" w:rsidRDefault="009459B0" w:rsidP="000B7A6C">
      <w:pPr>
        <w:pStyle w:val="rtecenter"/>
        <w:spacing w:before="0" w:after="0"/>
        <w:jc w:val="both"/>
        <w:rPr>
          <w:color w:val="000000" w:themeColor="text1"/>
          <w:sz w:val="16"/>
          <w:szCs w:val="16"/>
        </w:rPr>
      </w:pPr>
      <w:r w:rsidRPr="005E779E">
        <w:rPr>
          <w:color w:val="000000" w:themeColor="text1"/>
          <w:sz w:val="16"/>
          <w:szCs w:val="16"/>
        </w:rPr>
        <w:t>НАЧ. ВНУТРЕННЕГО ИЗОЛЯТОРА ОГПУ и в ОЦР ОГПУ</w:t>
      </w:r>
    </w:p>
    <w:p w14:paraId="65F06F66" w14:textId="77777777" w:rsidR="009459B0" w:rsidRPr="005E779E" w:rsidRDefault="009459B0" w:rsidP="000B7A6C">
      <w:pPr>
        <w:pStyle w:val="rtejustify"/>
        <w:spacing w:before="0" w:after="0"/>
        <w:rPr>
          <w:color w:val="000000" w:themeColor="text1"/>
          <w:sz w:val="16"/>
          <w:szCs w:val="16"/>
        </w:rPr>
      </w:pPr>
      <w:r w:rsidRPr="005E779E">
        <w:rPr>
          <w:color w:val="000000" w:themeColor="text1"/>
          <w:sz w:val="16"/>
          <w:szCs w:val="16"/>
        </w:rPr>
        <w:t>ЭКУ ОГПУ просит сделать распоряжение о переводе из Внутреннего изолятора в Бутырский, обязательно в одиночную камеру, осужденного РАМЗИНА Леонида Константиновича.</w:t>
      </w:r>
    </w:p>
    <w:p w14:paraId="53EE8E65" w14:textId="77777777" w:rsidR="009459B0" w:rsidRPr="005E779E" w:rsidRDefault="009459B0" w:rsidP="000B7A6C">
      <w:pPr>
        <w:pStyle w:val="rtejustify"/>
        <w:spacing w:before="0" w:after="0"/>
        <w:rPr>
          <w:color w:val="000000" w:themeColor="text1"/>
          <w:sz w:val="16"/>
          <w:szCs w:val="16"/>
        </w:rPr>
      </w:pPr>
      <w:r w:rsidRPr="005E779E">
        <w:rPr>
          <w:color w:val="000000" w:themeColor="text1"/>
          <w:sz w:val="16"/>
          <w:szCs w:val="16"/>
        </w:rPr>
        <w:t>В Бутырском изоляторе РАМЗИН будет использовываться 5-м отд. ЭКУ ОГПУ в индивидуальном порядке и выводить его в рабочий домик разрешается только в отдельную комнату, изолированную от прочих осужденных и арестованных.</w:t>
      </w:r>
    </w:p>
    <w:p w14:paraId="01D99994" w14:textId="77777777" w:rsidR="009459B0" w:rsidRPr="005E779E" w:rsidRDefault="009459B0" w:rsidP="000B7A6C">
      <w:pPr>
        <w:pStyle w:val="rtejustify"/>
        <w:spacing w:before="0" w:after="0"/>
        <w:rPr>
          <w:color w:val="000000" w:themeColor="text1"/>
          <w:sz w:val="16"/>
          <w:szCs w:val="16"/>
        </w:rPr>
      </w:pPr>
      <w:r w:rsidRPr="005E779E">
        <w:rPr>
          <w:color w:val="000000" w:themeColor="text1"/>
          <w:sz w:val="16"/>
          <w:szCs w:val="16"/>
        </w:rPr>
        <w:t>РАМЗИНУ разрешаются передачи, свидания, прогулки и пользование литературой.</w:t>
      </w:r>
    </w:p>
    <w:p w14:paraId="13E570ED" w14:textId="77777777" w:rsidR="009459B0" w:rsidRPr="005E779E" w:rsidRDefault="009459B0" w:rsidP="000B7A6C">
      <w:pPr>
        <w:pStyle w:val="rtejustify"/>
        <w:spacing w:before="0" w:after="0"/>
        <w:rPr>
          <w:color w:val="000000" w:themeColor="text1"/>
          <w:sz w:val="16"/>
          <w:szCs w:val="16"/>
        </w:rPr>
      </w:pPr>
      <w:r w:rsidRPr="005E779E">
        <w:rPr>
          <w:color w:val="000000" w:themeColor="text1"/>
          <w:sz w:val="16"/>
          <w:szCs w:val="16"/>
        </w:rPr>
        <w:t>Все книги, находящиеся в камере РАМЗИНА во внутреннем изоляторе, просим переслать вместе с ним в Бутырский изолятор и разрешить ему пользоваться этими книгами.</w:t>
      </w:r>
    </w:p>
    <w:p w14:paraId="6429E361" w14:textId="77777777" w:rsidR="009459B0" w:rsidRPr="005E779E" w:rsidRDefault="009459B0" w:rsidP="000B7A6C">
      <w:pPr>
        <w:pStyle w:val="rtejustify"/>
        <w:spacing w:before="0" w:after="0"/>
        <w:rPr>
          <w:color w:val="000000" w:themeColor="text1"/>
          <w:sz w:val="16"/>
          <w:szCs w:val="16"/>
        </w:rPr>
      </w:pPr>
      <w:r w:rsidRPr="005E779E">
        <w:rPr>
          <w:color w:val="000000" w:themeColor="text1"/>
          <w:sz w:val="16"/>
          <w:szCs w:val="16"/>
        </w:rPr>
        <w:t>НАЧ. ЭКУ ОГПУ: (Прокофьев)</w:t>
      </w:r>
    </w:p>
    <w:p w14:paraId="3604E252" w14:textId="77777777" w:rsidR="009459B0" w:rsidRPr="005E779E" w:rsidRDefault="009459B0" w:rsidP="000B7A6C">
      <w:pPr>
        <w:pStyle w:val="rtejustify"/>
        <w:spacing w:before="0" w:after="0"/>
        <w:rPr>
          <w:color w:val="000000" w:themeColor="text1"/>
          <w:sz w:val="16"/>
          <w:szCs w:val="16"/>
        </w:rPr>
      </w:pPr>
      <w:r w:rsidRPr="005E779E">
        <w:rPr>
          <w:color w:val="000000" w:themeColor="text1"/>
          <w:sz w:val="16"/>
          <w:szCs w:val="16"/>
        </w:rPr>
        <w:t>Нач. 1-го отд. ЭКУ: (Ржавский)</w:t>
      </w:r>
    </w:p>
    <w:p w14:paraId="746B34B5" w14:textId="77777777" w:rsidR="009459B0" w:rsidRPr="005E779E" w:rsidRDefault="009459B0" w:rsidP="000B7A6C">
      <w:pPr>
        <w:pStyle w:val="rtejustify"/>
        <w:spacing w:before="0" w:after="0"/>
        <w:rPr>
          <w:color w:val="000000" w:themeColor="text1"/>
          <w:sz w:val="16"/>
          <w:szCs w:val="16"/>
        </w:rPr>
      </w:pPr>
      <w:r w:rsidRPr="005E779E">
        <w:rPr>
          <w:rStyle w:val="af0"/>
          <w:i w:val="0"/>
          <w:color w:val="000000" w:themeColor="text1"/>
          <w:sz w:val="16"/>
          <w:szCs w:val="16"/>
        </w:rPr>
        <w:t>РГАЭ. Ф. 38. Oп. 1. Д. 2. Л. 9. Заверенная машинописная копия того времени. Вверху слева написаны от руки дата «8 апреля 1931 г.» и номер документа «№ 265567», справа машинописью «Срочно». Внизу машинописью «ТОРНУЕВ» (слева), по центру от руки «Верно: Ст. Уп. 1 ЭКУ» (подпись-росчерк, неразборчиво) (19060).</w:t>
      </w:r>
    </w:p>
    <w:p w14:paraId="4FD20A8D" w14:textId="481149D5" w:rsidR="009459B0" w:rsidRPr="005E779E" w:rsidRDefault="009459B0" w:rsidP="000B7A6C">
      <w:pPr>
        <w:spacing w:after="0" w:line="240" w:lineRule="auto"/>
        <w:jc w:val="both"/>
        <w:rPr>
          <w:rFonts w:ascii="Times New Roman" w:hAnsi="Times New Roman"/>
          <w:color w:val="000000" w:themeColor="text1"/>
          <w:sz w:val="16"/>
          <w:szCs w:val="16"/>
        </w:rPr>
      </w:pPr>
    </w:p>
    <w:p w14:paraId="5A4A5681" w14:textId="29141953" w:rsidR="0076645F" w:rsidRPr="005E779E" w:rsidRDefault="0076645F" w:rsidP="000B7A6C">
      <w:pPr>
        <w:spacing w:after="0" w:line="240" w:lineRule="auto"/>
        <w:jc w:val="both"/>
        <w:rPr>
          <w:rFonts w:ascii="Times New Roman" w:hAnsi="Times New Roman"/>
          <w:i/>
          <w:iCs/>
          <w:color w:val="000000" w:themeColor="text1"/>
          <w:sz w:val="16"/>
          <w:szCs w:val="16"/>
        </w:rPr>
      </w:pPr>
      <w:r w:rsidRPr="005E779E">
        <w:rPr>
          <w:rFonts w:ascii="Times New Roman" w:hAnsi="Times New Roman"/>
          <w:i/>
          <w:iCs/>
          <w:color w:val="000000" w:themeColor="text1"/>
          <w:sz w:val="16"/>
          <w:szCs w:val="16"/>
        </w:rPr>
        <w:t>За рубежом:</w:t>
      </w:r>
    </w:p>
    <w:p w14:paraId="2FD800EA" w14:textId="77777777" w:rsidR="0076645F" w:rsidRPr="005E779E" w:rsidRDefault="0076645F" w:rsidP="000B7A6C">
      <w:pPr>
        <w:spacing w:after="0" w:line="240" w:lineRule="auto"/>
        <w:jc w:val="both"/>
        <w:rPr>
          <w:rFonts w:ascii="Times New Roman" w:hAnsi="Times New Roman"/>
          <w:i/>
          <w:iCs/>
          <w:color w:val="000000" w:themeColor="text1"/>
          <w:sz w:val="16"/>
          <w:szCs w:val="16"/>
        </w:rPr>
      </w:pPr>
    </w:p>
    <w:p w14:paraId="04D67223" w14:textId="77777777" w:rsidR="0076645F" w:rsidRPr="005E779E" w:rsidRDefault="0076645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апреля 1931 Амелия Эрхарт, пролетая на Pitcairn PCA-2 над Уиллоу-Гроув, штат Пенсильвания, устанавливает рекорд высоты для автожира, достигнув 18 415 футов (5613 метров) (20804).</w:t>
      </w:r>
    </w:p>
    <w:p w14:paraId="31E562EF" w14:textId="77777777" w:rsidR="0076645F" w:rsidRPr="005E779E" w:rsidRDefault="0076645F" w:rsidP="000B7A6C">
      <w:pPr>
        <w:spacing w:after="0" w:line="240" w:lineRule="auto"/>
        <w:jc w:val="both"/>
        <w:rPr>
          <w:rFonts w:ascii="Times New Roman" w:hAnsi="Times New Roman"/>
          <w:color w:val="000000" w:themeColor="text1"/>
          <w:sz w:val="16"/>
          <w:szCs w:val="16"/>
        </w:rPr>
      </w:pPr>
    </w:p>
    <w:p w14:paraId="47EB945F"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33A7CF7D"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7CFB3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9 апреля 1931 года состоялся первый полет дирижабля В-1 (командир корабля — В. Л. Нижевский). Испытания показали, что летные характеристики дирижабля соответствовали расчетным. 29 апреля 1932 года В-1 вышел из Ленинграда и 1 мая прибыл в Москву. Дирижабль В-1 неоднократно модернизировали. Последняя, </w:t>
      </w:r>
      <w:r w:rsidRPr="005E779E">
        <w:rPr>
          <w:rFonts w:ascii="Times New Roman" w:hAnsi="Times New Roman"/>
          <w:color w:val="000000" w:themeColor="text1"/>
          <w:sz w:val="16"/>
          <w:szCs w:val="16"/>
        </w:rPr>
        <w:lastRenderedPageBreak/>
        <w:t>четвертая модернизация была проведена в 1939 году. По чертежам этой модернизации в том же году построили еще два дирижабля: СССР В-1бис и СССР В-12. Первый в 1942-1944 годах по заданию командования выполнил 1473 полета, а дирижабль В-12 прослужил до лета 1945 года (11324).</w:t>
      </w:r>
    </w:p>
    <w:p w14:paraId="061775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CFF61F5" w14:textId="77777777" w:rsidR="005F6639" w:rsidRPr="005E779E" w:rsidRDefault="005F66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апреля в 1931 году первый полет дирижабля "СССР В-1", прослужившего около 20 лет; Дирижабль получил название «УК-1» (учебный корабль, первый). В 1932 году «УК-1» переименовали в «СССР В-1» (15094).</w:t>
      </w:r>
    </w:p>
    <w:p w14:paraId="7C5DCBAB" w14:textId="77777777" w:rsidR="005F6639" w:rsidRPr="005E779E" w:rsidRDefault="005F6639" w:rsidP="000B7A6C">
      <w:pPr>
        <w:spacing w:after="0" w:line="240" w:lineRule="auto"/>
        <w:jc w:val="both"/>
        <w:rPr>
          <w:rFonts w:ascii="Times New Roman" w:hAnsi="Times New Roman"/>
          <w:color w:val="000000" w:themeColor="text1"/>
          <w:sz w:val="16"/>
          <w:szCs w:val="16"/>
        </w:rPr>
      </w:pPr>
    </w:p>
    <w:p w14:paraId="355B4CE4"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0AA1A4B8"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638CA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апреля 1931 г. Государственный центральный научно-исследовательский институт цветных металлов "Гинцветмет" переименовывается в Московский государственный институт цветных металлов "Мосгинцветмет"; 25 февраля 1932 г. - в Центральный государственный научно-исследовательский институт цветных металлов, золота и платины; 23 апреля 1933 г. - в Государственный центральный научно-исследовательский институт цветных металлов "Цгинцветмет"; 25 марта 1942 г. - в Государственный научно-исследовательский и производственный институт цветных металлов "Гинцветмет"; 21 марта 1946 г. - в Государственный научно-исследовательский институт цветных металлов "Гинцветмет". Приказом Государственного научно-экономического совета Совета Министров СССР от 12 сентября 1960 г. при институте организовано СКВ тяжелых цветных металлов на самостоятельном балансе (12102).</w:t>
      </w:r>
    </w:p>
    <w:p w14:paraId="7BC9483A" w14:textId="77777777" w:rsidR="005F6639" w:rsidRPr="005E779E" w:rsidRDefault="005F6639" w:rsidP="000B7A6C">
      <w:pPr>
        <w:spacing w:after="0" w:line="240" w:lineRule="auto"/>
        <w:jc w:val="both"/>
        <w:rPr>
          <w:rStyle w:val="a7"/>
          <w:rFonts w:ascii="Times New Roman" w:hAnsi="Times New Roman"/>
          <w:b w:val="0"/>
          <w:color w:val="000000" w:themeColor="text1"/>
          <w:sz w:val="16"/>
          <w:szCs w:val="16"/>
        </w:rPr>
      </w:pPr>
    </w:p>
    <w:p w14:paraId="73E4E1F6" w14:textId="77777777" w:rsidR="00824AB6" w:rsidRPr="005E779E" w:rsidRDefault="00824AB6"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9 апреля 1931 </w:t>
      </w:r>
      <w:r w:rsidRPr="005E779E">
        <w:rPr>
          <w:rFonts w:ascii="Times New Roman" w:hAnsi="Times New Roman"/>
          <w:color w:val="000000" w:themeColor="text1"/>
          <w:sz w:val="16"/>
          <w:szCs w:val="16"/>
        </w:rPr>
        <w:t>ЦИК и СНК приняли постановление «О введении в действие положения об изобретениях и технических усовершенствованиях» (12265).</w:t>
      </w:r>
    </w:p>
    <w:p w14:paraId="2EBD952D" w14:textId="77777777" w:rsidR="00824AB6" w:rsidRPr="005E779E" w:rsidRDefault="00824AB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3A10AE19"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2CF3CB40"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FC92BB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10 апреля по 12 июля 1931 года проходили испытания самолета ДИ3 БМВ VI – опытный экземпляр постройки ЦКБ завода № 39 № 17115</w:t>
      </w:r>
    </w:p>
    <w:p w14:paraId="039FFB8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получен на испытания – 10 апреля 1931 года</w:t>
      </w:r>
    </w:p>
    <w:p w14:paraId="2B814C4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Испытания окончены – 12 июля 1931 года</w:t>
      </w:r>
    </w:p>
    <w:p w14:paraId="1A57F84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Общее число дней – 92</w:t>
      </w:r>
    </w:p>
    <w:p w14:paraId="3BDD071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летал – 24 дня</w:t>
      </w:r>
    </w:p>
    <w:p w14:paraId="296535B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 полетов – 36 с налетом 28, 5 часов</w:t>
      </w:r>
    </w:p>
    <w:p w14:paraId="2ACAE18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w:t>
      </w:r>
    </w:p>
    <w:p w14:paraId="443B0AC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Данные самолета ДИ-3 полученные при испытании в НИИ показывают, что самолет полностью не удовлетворяет техническим требованиям, как по скоростям на всех высотах, так и по скороподъемности.</w:t>
      </w:r>
    </w:p>
    <w:p w14:paraId="28185A9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основании полученных данных, считать невозможным рекомендовать самолет на массовое снабжение в ВВС (6932).</w:t>
      </w:r>
    </w:p>
    <w:p w14:paraId="4959245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D3AEE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10 ап</w:t>
      </w:r>
      <w:r w:rsidRPr="005E779E">
        <w:rPr>
          <w:rFonts w:ascii="Times New Roman" w:hAnsi="Times New Roman"/>
          <w:color w:val="000000" w:themeColor="text1"/>
          <w:sz w:val="16"/>
          <w:szCs w:val="16"/>
        </w:rPr>
        <w:softHyphen/>
        <w:t>реля по 12 июля 1931 г. велись Государственные испы</w:t>
      </w:r>
      <w:r w:rsidRPr="005E779E">
        <w:rPr>
          <w:rFonts w:ascii="Times New Roman" w:hAnsi="Times New Roman"/>
          <w:color w:val="000000" w:themeColor="text1"/>
          <w:sz w:val="16"/>
          <w:szCs w:val="16"/>
        </w:rPr>
        <w:softHyphen/>
        <w:t>тания Д-3 в НИИ ВВС. Выяснилось, что самолет не удовлетворяет тактико-техниче</w:t>
      </w:r>
      <w:r w:rsidRPr="005E779E">
        <w:rPr>
          <w:rFonts w:ascii="Times New Roman" w:hAnsi="Times New Roman"/>
          <w:color w:val="000000" w:themeColor="text1"/>
          <w:sz w:val="16"/>
          <w:szCs w:val="16"/>
        </w:rPr>
        <w:softHyphen/>
        <w:t>ским требованиям как по максимальным скоростям на всех высотах, так и по скоро</w:t>
      </w:r>
      <w:r w:rsidRPr="005E779E">
        <w:rPr>
          <w:rFonts w:ascii="Times New Roman" w:hAnsi="Times New Roman"/>
          <w:color w:val="000000" w:themeColor="text1"/>
          <w:sz w:val="16"/>
          <w:szCs w:val="16"/>
        </w:rPr>
        <w:softHyphen/>
        <w:t>подъемности, и вообще практически по всем летным характеристикам уступает самолету Д-2. В управлении ДИ-3 оказался строгой машиной, не позволял полет с бро</w:t>
      </w:r>
      <w:r w:rsidRPr="005E779E">
        <w:rPr>
          <w:rFonts w:ascii="Times New Roman" w:hAnsi="Times New Roman"/>
          <w:color w:val="000000" w:themeColor="text1"/>
          <w:sz w:val="16"/>
          <w:szCs w:val="16"/>
        </w:rPr>
        <w:softHyphen/>
        <w:t>шенной ручкой. Оборонительная турель ЦКБ была признана неудачной.</w:t>
      </w:r>
    </w:p>
    <w:p w14:paraId="02EA1F4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итоге ДИ-3 не рекомендовали к мас</w:t>
      </w:r>
      <w:r w:rsidRPr="005E779E">
        <w:rPr>
          <w:rFonts w:ascii="Times New Roman" w:hAnsi="Times New Roman"/>
          <w:color w:val="000000" w:themeColor="text1"/>
          <w:sz w:val="16"/>
          <w:szCs w:val="16"/>
        </w:rPr>
        <w:softHyphen/>
        <w:t>совому производству, однако посчитали возможным построить небольшую серию для тренировки и обучения. В конечном счете серийное производство так и не было налажено; известно лишь, что позже опыт</w:t>
      </w:r>
      <w:r w:rsidRPr="005E779E">
        <w:rPr>
          <w:rFonts w:ascii="Times New Roman" w:hAnsi="Times New Roman"/>
          <w:color w:val="000000" w:themeColor="text1"/>
          <w:sz w:val="16"/>
          <w:szCs w:val="16"/>
        </w:rPr>
        <w:softHyphen/>
        <w:t>ный ДИ-3 был оборудован застекленной кабиной и использовался как связной са</w:t>
      </w:r>
      <w:r w:rsidRPr="005E779E">
        <w:rPr>
          <w:rFonts w:ascii="Times New Roman" w:hAnsi="Times New Roman"/>
          <w:color w:val="000000" w:themeColor="text1"/>
          <w:sz w:val="16"/>
          <w:szCs w:val="16"/>
        </w:rPr>
        <w:softHyphen/>
        <w:t>молет.</w:t>
      </w:r>
    </w:p>
    <w:p w14:paraId="6ABE995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Летные и технические характеристики самолета ДИ-3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1002C3" w:rsidRPr="005E779E" w14:paraId="1329DCD1" w14:textId="77777777">
        <w:tc>
          <w:tcPr>
            <w:tcW w:w="4788" w:type="dxa"/>
            <w:tcBorders>
              <w:top w:val="single" w:sz="12" w:space="0" w:color="auto"/>
            </w:tcBorders>
            <w:shd w:val="clear" w:color="auto" w:fill="FFFFFF"/>
          </w:tcPr>
          <w:p w14:paraId="2D0E9C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Длина в линии полета (м)</w:t>
            </w:r>
          </w:p>
        </w:tc>
        <w:tc>
          <w:tcPr>
            <w:tcW w:w="4788" w:type="dxa"/>
            <w:tcBorders>
              <w:top w:val="single" w:sz="12" w:space="0" w:color="auto"/>
            </w:tcBorders>
            <w:shd w:val="clear" w:color="auto" w:fill="FFFFFF"/>
          </w:tcPr>
          <w:p w14:paraId="248EBE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 7,8</w:t>
            </w:r>
          </w:p>
        </w:tc>
      </w:tr>
      <w:tr w:rsidR="001002C3" w:rsidRPr="005E779E" w14:paraId="458A6D69" w14:textId="77777777">
        <w:tc>
          <w:tcPr>
            <w:tcW w:w="4788" w:type="dxa"/>
            <w:shd w:val="clear" w:color="auto" w:fill="FFFFFF"/>
          </w:tcPr>
          <w:p w14:paraId="4808E8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Размах верхнего крыла (м)</w:t>
            </w:r>
          </w:p>
        </w:tc>
        <w:tc>
          <w:tcPr>
            <w:tcW w:w="4788" w:type="dxa"/>
            <w:shd w:val="clear" w:color="auto" w:fill="FFFFFF"/>
          </w:tcPr>
          <w:p w14:paraId="18BA7E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 11,8</w:t>
            </w:r>
          </w:p>
        </w:tc>
      </w:tr>
      <w:tr w:rsidR="001002C3" w:rsidRPr="005E779E" w14:paraId="7FFE6A0D" w14:textId="77777777">
        <w:tc>
          <w:tcPr>
            <w:tcW w:w="4788" w:type="dxa"/>
            <w:shd w:val="clear" w:color="auto" w:fill="FFFFFF"/>
          </w:tcPr>
          <w:p w14:paraId="6A9441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Размах нижнего крыла (м)</w:t>
            </w:r>
          </w:p>
        </w:tc>
        <w:tc>
          <w:tcPr>
            <w:tcW w:w="4788" w:type="dxa"/>
            <w:shd w:val="clear" w:color="auto" w:fill="FFFFFF"/>
          </w:tcPr>
          <w:p w14:paraId="5498AB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 5,55</w:t>
            </w:r>
          </w:p>
        </w:tc>
      </w:tr>
      <w:tr w:rsidR="001002C3" w:rsidRPr="005E779E" w14:paraId="47CC4979" w14:textId="77777777">
        <w:tc>
          <w:tcPr>
            <w:tcW w:w="4788" w:type="dxa"/>
            <w:shd w:val="clear" w:color="auto" w:fill="FFFFFF"/>
          </w:tcPr>
          <w:p w14:paraId="5E3777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Площадь крыльев (м</w:t>
            </w:r>
            <w:r w:rsidRPr="005E779E">
              <w:rPr>
                <w:rFonts w:ascii="Times New Roman" w:hAnsi="Times New Roman"/>
                <w:color w:val="000000" w:themeColor="text1"/>
                <w:sz w:val="16"/>
                <w:szCs w:val="16"/>
                <w:vertAlign w:val="superscript"/>
              </w:rPr>
              <w:t>2</w:t>
            </w:r>
            <w:r w:rsidRPr="005E779E">
              <w:rPr>
                <w:rFonts w:ascii="Times New Roman" w:hAnsi="Times New Roman"/>
                <w:color w:val="000000" w:themeColor="text1"/>
                <w:sz w:val="16"/>
                <w:szCs w:val="16"/>
              </w:rPr>
              <w:t>)</w:t>
            </w:r>
          </w:p>
        </w:tc>
        <w:tc>
          <w:tcPr>
            <w:tcW w:w="4788" w:type="dxa"/>
            <w:shd w:val="clear" w:color="auto" w:fill="FFFFFF"/>
          </w:tcPr>
          <w:p w14:paraId="110354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 30,1</w:t>
            </w:r>
          </w:p>
        </w:tc>
      </w:tr>
      <w:tr w:rsidR="001002C3" w:rsidRPr="005E779E" w14:paraId="0F07F796" w14:textId="77777777">
        <w:tc>
          <w:tcPr>
            <w:tcW w:w="4788" w:type="dxa"/>
            <w:shd w:val="clear" w:color="auto" w:fill="FFFFFF"/>
          </w:tcPr>
          <w:p w14:paraId="032B84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пустого (кг)</w:t>
            </w:r>
          </w:p>
        </w:tc>
        <w:tc>
          <w:tcPr>
            <w:tcW w:w="4788" w:type="dxa"/>
            <w:shd w:val="clear" w:color="auto" w:fill="FFFFFF"/>
          </w:tcPr>
          <w:p w14:paraId="37889D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 1487</w:t>
            </w:r>
          </w:p>
        </w:tc>
      </w:tr>
      <w:tr w:rsidR="001002C3" w:rsidRPr="005E779E" w14:paraId="784A0F9E" w14:textId="77777777">
        <w:tc>
          <w:tcPr>
            <w:tcW w:w="4788" w:type="dxa"/>
            <w:shd w:val="clear" w:color="auto" w:fill="FFFFFF"/>
          </w:tcPr>
          <w:p w14:paraId="3FB1E0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полетный (кг)</w:t>
            </w:r>
          </w:p>
        </w:tc>
        <w:tc>
          <w:tcPr>
            <w:tcW w:w="4788" w:type="dxa"/>
            <w:shd w:val="clear" w:color="auto" w:fill="FFFFFF"/>
          </w:tcPr>
          <w:p w14:paraId="260711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 2122</w:t>
            </w:r>
          </w:p>
        </w:tc>
      </w:tr>
      <w:tr w:rsidR="001002C3" w:rsidRPr="005E779E" w14:paraId="30CBC2A2" w14:textId="77777777">
        <w:tc>
          <w:tcPr>
            <w:tcW w:w="4788" w:type="dxa"/>
            <w:shd w:val="clear" w:color="auto" w:fill="FFFFFF"/>
          </w:tcPr>
          <w:p w14:paraId="4C4612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Нагрузка на крыло (м</w:t>
            </w:r>
            <w:r w:rsidRPr="005E779E">
              <w:rPr>
                <w:rFonts w:ascii="Times New Roman" w:hAnsi="Times New Roman"/>
                <w:color w:val="000000" w:themeColor="text1"/>
                <w:sz w:val="16"/>
                <w:szCs w:val="16"/>
                <w:vertAlign w:val="superscript"/>
              </w:rPr>
              <w:t>2</w:t>
            </w:r>
            <w:r w:rsidRPr="005E779E">
              <w:rPr>
                <w:rFonts w:ascii="Times New Roman" w:hAnsi="Times New Roman"/>
                <w:color w:val="000000" w:themeColor="text1"/>
                <w:sz w:val="16"/>
                <w:szCs w:val="16"/>
              </w:rPr>
              <w:t>)</w:t>
            </w:r>
          </w:p>
        </w:tc>
        <w:tc>
          <w:tcPr>
            <w:tcW w:w="4788" w:type="dxa"/>
            <w:shd w:val="clear" w:color="auto" w:fill="FFFFFF"/>
          </w:tcPr>
          <w:p w14:paraId="3732BE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 70,5</w:t>
            </w:r>
          </w:p>
        </w:tc>
      </w:tr>
      <w:tr w:rsidR="001002C3" w:rsidRPr="005E779E" w14:paraId="350E795F" w14:textId="77777777">
        <w:tc>
          <w:tcPr>
            <w:tcW w:w="4788" w:type="dxa"/>
            <w:shd w:val="clear" w:color="auto" w:fill="FFFFFF"/>
          </w:tcPr>
          <w:p w14:paraId="13F68B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Скорость максимальная у земли (км/час)</w:t>
            </w:r>
          </w:p>
        </w:tc>
        <w:tc>
          <w:tcPr>
            <w:tcW w:w="4788" w:type="dxa"/>
            <w:shd w:val="clear" w:color="auto" w:fill="FFFFFF"/>
          </w:tcPr>
          <w:p w14:paraId="744924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 256</w:t>
            </w:r>
          </w:p>
        </w:tc>
      </w:tr>
      <w:tr w:rsidR="001002C3" w:rsidRPr="005E779E" w14:paraId="338DBA08" w14:textId="77777777">
        <w:tc>
          <w:tcPr>
            <w:tcW w:w="4788" w:type="dxa"/>
            <w:shd w:val="clear" w:color="auto" w:fill="FFFFFF"/>
          </w:tcPr>
          <w:p w14:paraId="0752FF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Скорость максимальная на 3000 м (км/час)</w:t>
            </w:r>
          </w:p>
        </w:tc>
        <w:tc>
          <w:tcPr>
            <w:tcW w:w="4788" w:type="dxa"/>
            <w:shd w:val="clear" w:color="auto" w:fill="FFFFFF"/>
          </w:tcPr>
          <w:p w14:paraId="161B62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 243</w:t>
            </w:r>
          </w:p>
        </w:tc>
      </w:tr>
      <w:tr w:rsidR="001002C3" w:rsidRPr="005E779E" w14:paraId="72D5BE4B" w14:textId="77777777">
        <w:tc>
          <w:tcPr>
            <w:tcW w:w="4788" w:type="dxa"/>
            <w:shd w:val="clear" w:color="auto" w:fill="FFFFFF"/>
          </w:tcPr>
          <w:p w14:paraId="5F26A3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Скорость максимальная на 5000м(км/час)</w:t>
            </w:r>
          </w:p>
        </w:tc>
        <w:tc>
          <w:tcPr>
            <w:tcW w:w="4788" w:type="dxa"/>
            <w:shd w:val="clear" w:color="auto" w:fill="FFFFFF"/>
          </w:tcPr>
          <w:p w14:paraId="686B2E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 212</w:t>
            </w:r>
          </w:p>
        </w:tc>
      </w:tr>
      <w:tr w:rsidR="001002C3" w:rsidRPr="005E779E" w14:paraId="3916183F" w14:textId="77777777">
        <w:tc>
          <w:tcPr>
            <w:tcW w:w="4788" w:type="dxa"/>
            <w:shd w:val="clear" w:color="auto" w:fill="FFFFFF"/>
          </w:tcPr>
          <w:p w14:paraId="0CF22B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набора высоты 5000 м (мин)</w:t>
            </w:r>
          </w:p>
        </w:tc>
        <w:tc>
          <w:tcPr>
            <w:tcW w:w="4788" w:type="dxa"/>
            <w:shd w:val="clear" w:color="auto" w:fill="FFFFFF"/>
          </w:tcPr>
          <w:p w14:paraId="4174CE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 17,5</w:t>
            </w:r>
          </w:p>
        </w:tc>
      </w:tr>
      <w:tr w:rsidR="001002C3" w:rsidRPr="005E779E" w14:paraId="445789F7" w14:textId="77777777">
        <w:tc>
          <w:tcPr>
            <w:tcW w:w="4788" w:type="dxa"/>
            <w:shd w:val="clear" w:color="auto" w:fill="FFFFFF"/>
          </w:tcPr>
          <w:p w14:paraId="1FACED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Практический потолок (м)</w:t>
            </w:r>
          </w:p>
        </w:tc>
        <w:tc>
          <w:tcPr>
            <w:tcW w:w="4788" w:type="dxa"/>
            <w:shd w:val="clear" w:color="auto" w:fill="FFFFFF"/>
          </w:tcPr>
          <w:p w14:paraId="481E0F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 6300</w:t>
            </w:r>
          </w:p>
        </w:tc>
      </w:tr>
      <w:tr w:rsidR="001002C3" w:rsidRPr="005E779E" w14:paraId="0181D9DA" w14:textId="77777777">
        <w:tc>
          <w:tcPr>
            <w:tcW w:w="4788" w:type="dxa"/>
            <w:tcBorders>
              <w:bottom w:val="single" w:sz="12" w:space="0" w:color="auto"/>
            </w:tcBorders>
            <w:shd w:val="clear" w:color="auto" w:fill="FFFFFF"/>
          </w:tcPr>
          <w:p w14:paraId="6D549F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виража на 1000 м (сек)</w:t>
            </w:r>
          </w:p>
        </w:tc>
        <w:tc>
          <w:tcPr>
            <w:tcW w:w="4788" w:type="dxa"/>
            <w:tcBorders>
              <w:bottom w:val="single" w:sz="12" w:space="0" w:color="auto"/>
            </w:tcBorders>
            <w:shd w:val="clear" w:color="auto" w:fill="FFFFFF"/>
          </w:tcPr>
          <w:p w14:paraId="627D71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 13,1 (11134).</w:t>
            </w:r>
          </w:p>
        </w:tc>
      </w:tr>
    </w:tbl>
    <w:p w14:paraId="6D8F206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DB6065" w14:textId="77777777" w:rsidR="00824AB6" w:rsidRPr="005E779E" w:rsidRDefault="00824AB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10 апреля по 12 июля 1931 г. велись Государственные испытания ДИ-3 в НИИ ВВС.</w:t>
      </w:r>
    </w:p>
    <w:p w14:paraId="490DD8A2" w14:textId="77777777" w:rsidR="00824AB6" w:rsidRPr="005E779E" w:rsidRDefault="00824AB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Признавалось, что самолет не удовлетво</w:t>
      </w:r>
      <w:r w:rsidRPr="005E779E">
        <w:rPr>
          <w:rFonts w:ascii="Times New Roman" w:hAnsi="Times New Roman"/>
          <w:color w:val="000000" w:themeColor="text1"/>
          <w:sz w:val="16"/>
          <w:szCs w:val="16"/>
        </w:rPr>
        <w:softHyphen/>
        <w:t>ряет тактико-техническим требованиям: как по максимальным скоростям на всех высо</w:t>
      </w:r>
      <w:r w:rsidRPr="005E779E">
        <w:rPr>
          <w:rFonts w:ascii="Times New Roman" w:hAnsi="Times New Roman"/>
          <w:color w:val="000000" w:themeColor="text1"/>
          <w:sz w:val="16"/>
          <w:szCs w:val="16"/>
        </w:rPr>
        <w:softHyphen/>
        <w:t>тах, так и по скороподъемности. Практиче</w:t>
      </w:r>
      <w:r w:rsidRPr="005E779E">
        <w:rPr>
          <w:rFonts w:ascii="Times New Roman" w:hAnsi="Times New Roman"/>
          <w:color w:val="000000" w:themeColor="text1"/>
          <w:sz w:val="16"/>
          <w:szCs w:val="16"/>
        </w:rPr>
        <w:softHyphen/>
        <w:t>ски по всем летным характеристикам уступа-</w:t>
      </w:r>
      <w:r w:rsidRPr="005E779E">
        <w:rPr>
          <w:rStyle w:val="MicrosoftSansSerif"/>
          <w:rFonts w:ascii="Times New Roman" w:hAnsi="Times New Roman"/>
          <w:i w:val="0"/>
          <w:color w:val="000000" w:themeColor="text1"/>
          <w:spacing w:val="0"/>
          <w:sz w:val="16"/>
          <w:szCs w:val="16"/>
        </w:rPr>
        <w:t xml:space="preserve"> Опытный двухмест- </w:t>
      </w:r>
      <w:r w:rsidRPr="005E779E">
        <w:rPr>
          <w:rFonts w:ascii="Times New Roman" w:hAnsi="Times New Roman"/>
          <w:color w:val="000000" w:themeColor="text1"/>
          <w:sz w:val="16"/>
          <w:szCs w:val="16"/>
        </w:rPr>
        <w:t>ет самолету Д-2. В управлении ДИ-3 оказалсястрогой машиной, самолет не позволял вы-</w:t>
      </w:r>
      <w:r w:rsidRPr="005E779E">
        <w:rPr>
          <w:rStyle w:val="MicrosoftSansSerif"/>
          <w:rFonts w:ascii="Times New Roman" w:hAnsi="Times New Roman"/>
          <w:i w:val="0"/>
          <w:color w:val="000000" w:themeColor="text1"/>
          <w:spacing w:val="0"/>
          <w:sz w:val="16"/>
          <w:szCs w:val="16"/>
        </w:rPr>
        <w:t xml:space="preserve"> ДИ-3 на испытаниях </w:t>
      </w:r>
      <w:r w:rsidRPr="005E779E">
        <w:rPr>
          <w:rFonts w:ascii="Times New Roman" w:hAnsi="Times New Roman"/>
          <w:color w:val="000000" w:themeColor="text1"/>
          <w:sz w:val="16"/>
          <w:szCs w:val="16"/>
        </w:rPr>
        <w:t>полнять полет с «брошенной ручкой». Оборонительная турель ЦКБ признавалась неу</w:t>
      </w:r>
      <w:r w:rsidRPr="005E779E">
        <w:rPr>
          <w:rFonts w:ascii="Times New Roman" w:hAnsi="Times New Roman"/>
          <w:color w:val="000000" w:themeColor="text1"/>
          <w:sz w:val="16"/>
          <w:szCs w:val="16"/>
        </w:rPr>
        <w:softHyphen/>
        <w:t>дачной.</w:t>
      </w:r>
    </w:p>
    <w:p w14:paraId="333CA5CE" w14:textId="77777777" w:rsidR="00824AB6" w:rsidRPr="005E779E" w:rsidRDefault="00824AB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результате, ДИ-3 не рекомендовали к массовому производству, однако считалось возможным построить небольшую серию для тренировки и обучения. Впрочем, серийное производство налажено не было. Известно, что впоследствии опытный ДИ-3 был обо</w:t>
      </w:r>
      <w:r w:rsidRPr="005E779E">
        <w:rPr>
          <w:rFonts w:ascii="Times New Roman" w:hAnsi="Times New Roman"/>
          <w:color w:val="000000" w:themeColor="text1"/>
          <w:sz w:val="16"/>
          <w:szCs w:val="16"/>
        </w:rPr>
        <w:softHyphen/>
        <w:t>рудован прозрачным фонарем кабины лет</w:t>
      </w:r>
      <w:r w:rsidRPr="005E779E">
        <w:rPr>
          <w:rFonts w:ascii="Times New Roman" w:hAnsi="Times New Roman"/>
          <w:color w:val="000000" w:themeColor="text1"/>
          <w:sz w:val="16"/>
          <w:szCs w:val="16"/>
        </w:rPr>
        <w:softHyphen/>
        <w:t>чиков и использовался как связной самолет (12295).</w:t>
      </w:r>
    </w:p>
    <w:p w14:paraId="38B19957" w14:textId="77777777" w:rsidR="00824AB6" w:rsidRPr="005E779E" w:rsidRDefault="00824AB6" w:rsidP="000B7A6C">
      <w:pPr>
        <w:pStyle w:val="59"/>
        <w:shd w:val="clear" w:color="auto" w:fill="auto"/>
        <w:spacing w:line="240" w:lineRule="auto"/>
        <w:jc w:val="both"/>
        <w:rPr>
          <w:color w:val="000000" w:themeColor="text1"/>
          <w:szCs w:val="16"/>
        </w:rPr>
      </w:pPr>
      <w:r w:rsidRPr="005E779E">
        <w:rPr>
          <w:rStyle w:val="50pt"/>
          <w:color w:val="000000" w:themeColor="text1"/>
          <w:spacing w:val="0"/>
          <w:szCs w:val="16"/>
        </w:rPr>
        <w:t>Основные технические и летные характеристики ДИ-3</w:t>
      </w:r>
    </w:p>
    <w:tbl>
      <w:tblPr>
        <w:tblW w:w="0" w:type="auto"/>
        <w:tblLayout w:type="fixed"/>
        <w:tblCellMar>
          <w:left w:w="10" w:type="dxa"/>
          <w:right w:w="10" w:type="dxa"/>
        </w:tblCellMar>
        <w:tblLook w:val="0000" w:firstRow="0" w:lastRow="0" w:firstColumn="0" w:lastColumn="0" w:noHBand="0" w:noVBand="0"/>
      </w:tblPr>
      <w:tblGrid>
        <w:gridCol w:w="3942"/>
        <w:gridCol w:w="1825"/>
      </w:tblGrid>
      <w:tr w:rsidR="001002C3" w:rsidRPr="005E779E" w14:paraId="64CF67C6" w14:textId="77777777" w:rsidTr="00BB323F">
        <w:trPr>
          <w:trHeight w:val="252"/>
        </w:trPr>
        <w:tc>
          <w:tcPr>
            <w:tcW w:w="3942" w:type="dxa"/>
            <w:tcBorders>
              <w:top w:val="single" w:sz="6" w:space="0" w:color="auto"/>
              <w:left w:val="single" w:sz="6" w:space="0" w:color="auto"/>
              <w:bottom w:val="single" w:sz="6" w:space="0" w:color="auto"/>
              <w:right w:val="single" w:sz="6" w:space="0" w:color="auto"/>
            </w:tcBorders>
            <w:shd w:val="clear" w:color="auto" w:fill="FFFFFF"/>
          </w:tcPr>
          <w:p w14:paraId="10547FB7" w14:textId="77777777" w:rsidR="00824AB6" w:rsidRPr="005E779E" w:rsidRDefault="00824AB6" w:rsidP="000B7A6C">
            <w:pPr>
              <w:pStyle w:val="113"/>
              <w:shd w:val="clear" w:color="auto" w:fill="auto"/>
              <w:spacing w:line="240" w:lineRule="auto"/>
              <w:jc w:val="both"/>
              <w:rPr>
                <w:rFonts w:ascii="Times New Roman" w:hAnsi="Times New Roman" w:cs="Times New Roman"/>
                <w:b w:val="0"/>
                <w:color w:val="000000" w:themeColor="text1"/>
                <w:sz w:val="16"/>
                <w:szCs w:val="16"/>
              </w:rPr>
            </w:pPr>
            <w:r w:rsidRPr="005E779E">
              <w:rPr>
                <w:rFonts w:ascii="Times New Roman" w:hAnsi="Times New Roman" w:cs="Times New Roman"/>
                <w:b w:val="0"/>
                <w:color w:val="000000" w:themeColor="text1"/>
                <w:sz w:val="16"/>
                <w:szCs w:val="16"/>
              </w:rPr>
              <w:t>Длина в линии полета (м)</w:t>
            </w:r>
          </w:p>
        </w:tc>
        <w:tc>
          <w:tcPr>
            <w:tcW w:w="1825" w:type="dxa"/>
            <w:tcBorders>
              <w:top w:val="single" w:sz="6" w:space="0" w:color="auto"/>
              <w:left w:val="single" w:sz="6" w:space="0" w:color="auto"/>
              <w:bottom w:val="single" w:sz="6" w:space="0" w:color="auto"/>
              <w:right w:val="single" w:sz="6" w:space="0" w:color="auto"/>
            </w:tcBorders>
            <w:shd w:val="clear" w:color="auto" w:fill="FFFFFF"/>
          </w:tcPr>
          <w:p w14:paraId="14B4528B" w14:textId="77777777" w:rsidR="00824AB6" w:rsidRPr="005E779E" w:rsidRDefault="00824AB6" w:rsidP="000B7A6C">
            <w:pPr>
              <w:pStyle w:val="113"/>
              <w:shd w:val="clear" w:color="auto" w:fill="auto"/>
              <w:spacing w:line="240" w:lineRule="auto"/>
              <w:jc w:val="both"/>
              <w:rPr>
                <w:rFonts w:ascii="Times New Roman" w:hAnsi="Times New Roman" w:cs="Times New Roman"/>
                <w:b w:val="0"/>
                <w:color w:val="000000" w:themeColor="text1"/>
                <w:sz w:val="16"/>
                <w:szCs w:val="16"/>
              </w:rPr>
            </w:pPr>
            <w:r w:rsidRPr="005E779E">
              <w:rPr>
                <w:rFonts w:ascii="Times New Roman" w:hAnsi="Times New Roman" w:cs="Times New Roman"/>
                <w:b w:val="0"/>
                <w:color w:val="000000" w:themeColor="text1"/>
                <w:sz w:val="16"/>
                <w:szCs w:val="16"/>
              </w:rPr>
              <w:t>7,8</w:t>
            </w:r>
          </w:p>
        </w:tc>
      </w:tr>
      <w:tr w:rsidR="001002C3" w:rsidRPr="005E779E" w14:paraId="423E8878" w14:textId="77777777" w:rsidTr="00BB323F">
        <w:trPr>
          <w:trHeight w:val="245"/>
        </w:trPr>
        <w:tc>
          <w:tcPr>
            <w:tcW w:w="3942" w:type="dxa"/>
            <w:tcBorders>
              <w:top w:val="single" w:sz="6" w:space="0" w:color="auto"/>
              <w:left w:val="single" w:sz="6" w:space="0" w:color="auto"/>
              <w:bottom w:val="single" w:sz="6" w:space="0" w:color="auto"/>
              <w:right w:val="single" w:sz="6" w:space="0" w:color="auto"/>
            </w:tcBorders>
            <w:shd w:val="clear" w:color="auto" w:fill="FFFFFF"/>
          </w:tcPr>
          <w:p w14:paraId="03CD0980" w14:textId="77777777" w:rsidR="00824AB6" w:rsidRPr="005E779E" w:rsidRDefault="00824AB6" w:rsidP="000B7A6C">
            <w:pPr>
              <w:pStyle w:val="113"/>
              <w:shd w:val="clear" w:color="auto" w:fill="auto"/>
              <w:spacing w:line="240" w:lineRule="auto"/>
              <w:jc w:val="both"/>
              <w:rPr>
                <w:rFonts w:ascii="Times New Roman" w:hAnsi="Times New Roman" w:cs="Times New Roman"/>
                <w:b w:val="0"/>
                <w:color w:val="000000" w:themeColor="text1"/>
                <w:sz w:val="16"/>
                <w:szCs w:val="16"/>
              </w:rPr>
            </w:pPr>
            <w:r w:rsidRPr="005E779E">
              <w:rPr>
                <w:rFonts w:ascii="Times New Roman" w:hAnsi="Times New Roman" w:cs="Times New Roman"/>
                <w:b w:val="0"/>
                <w:color w:val="000000" w:themeColor="text1"/>
                <w:sz w:val="16"/>
                <w:szCs w:val="16"/>
              </w:rPr>
              <w:t>Размах верхнего крыла (м)</w:t>
            </w:r>
          </w:p>
        </w:tc>
        <w:tc>
          <w:tcPr>
            <w:tcW w:w="1825" w:type="dxa"/>
            <w:tcBorders>
              <w:top w:val="single" w:sz="6" w:space="0" w:color="auto"/>
              <w:left w:val="single" w:sz="6" w:space="0" w:color="auto"/>
              <w:bottom w:val="single" w:sz="6" w:space="0" w:color="auto"/>
              <w:right w:val="single" w:sz="6" w:space="0" w:color="auto"/>
            </w:tcBorders>
            <w:shd w:val="clear" w:color="auto" w:fill="FFFFFF"/>
          </w:tcPr>
          <w:p w14:paraId="6BF21C8F" w14:textId="77777777" w:rsidR="00824AB6" w:rsidRPr="005E779E" w:rsidRDefault="00824AB6" w:rsidP="000B7A6C">
            <w:pPr>
              <w:pStyle w:val="113"/>
              <w:shd w:val="clear" w:color="auto" w:fill="auto"/>
              <w:spacing w:line="240" w:lineRule="auto"/>
              <w:jc w:val="both"/>
              <w:rPr>
                <w:rFonts w:ascii="Times New Roman" w:hAnsi="Times New Roman" w:cs="Times New Roman"/>
                <w:b w:val="0"/>
                <w:color w:val="000000" w:themeColor="text1"/>
                <w:sz w:val="16"/>
                <w:szCs w:val="16"/>
              </w:rPr>
            </w:pPr>
            <w:r w:rsidRPr="005E779E">
              <w:rPr>
                <w:rFonts w:ascii="Times New Roman" w:hAnsi="Times New Roman" w:cs="Times New Roman"/>
                <w:b w:val="0"/>
                <w:color w:val="000000" w:themeColor="text1"/>
                <w:sz w:val="16"/>
                <w:szCs w:val="16"/>
              </w:rPr>
              <w:t>11,8</w:t>
            </w:r>
          </w:p>
        </w:tc>
      </w:tr>
      <w:tr w:rsidR="001002C3" w:rsidRPr="005E779E" w14:paraId="4FE6308D" w14:textId="77777777" w:rsidTr="00BB323F">
        <w:trPr>
          <w:trHeight w:val="234"/>
        </w:trPr>
        <w:tc>
          <w:tcPr>
            <w:tcW w:w="3942" w:type="dxa"/>
            <w:tcBorders>
              <w:top w:val="single" w:sz="6" w:space="0" w:color="auto"/>
              <w:left w:val="single" w:sz="6" w:space="0" w:color="auto"/>
              <w:bottom w:val="single" w:sz="6" w:space="0" w:color="auto"/>
              <w:right w:val="single" w:sz="6" w:space="0" w:color="auto"/>
            </w:tcBorders>
            <w:shd w:val="clear" w:color="auto" w:fill="FFFFFF"/>
          </w:tcPr>
          <w:p w14:paraId="74063A6F" w14:textId="77777777" w:rsidR="00824AB6" w:rsidRPr="005E779E" w:rsidRDefault="00824AB6" w:rsidP="000B7A6C">
            <w:pPr>
              <w:pStyle w:val="113"/>
              <w:shd w:val="clear" w:color="auto" w:fill="auto"/>
              <w:spacing w:line="240" w:lineRule="auto"/>
              <w:jc w:val="both"/>
              <w:rPr>
                <w:rFonts w:ascii="Times New Roman" w:hAnsi="Times New Roman" w:cs="Times New Roman"/>
                <w:b w:val="0"/>
                <w:color w:val="000000" w:themeColor="text1"/>
                <w:sz w:val="16"/>
                <w:szCs w:val="16"/>
              </w:rPr>
            </w:pPr>
            <w:r w:rsidRPr="005E779E">
              <w:rPr>
                <w:rFonts w:ascii="Times New Roman" w:hAnsi="Times New Roman" w:cs="Times New Roman"/>
                <w:b w:val="0"/>
                <w:color w:val="000000" w:themeColor="text1"/>
                <w:sz w:val="16"/>
                <w:szCs w:val="16"/>
              </w:rPr>
              <w:t>Размах нижнего крыла (м)</w:t>
            </w:r>
          </w:p>
        </w:tc>
        <w:tc>
          <w:tcPr>
            <w:tcW w:w="1825" w:type="dxa"/>
            <w:tcBorders>
              <w:top w:val="single" w:sz="6" w:space="0" w:color="auto"/>
              <w:left w:val="single" w:sz="6" w:space="0" w:color="auto"/>
              <w:bottom w:val="single" w:sz="6" w:space="0" w:color="auto"/>
              <w:right w:val="single" w:sz="6" w:space="0" w:color="auto"/>
            </w:tcBorders>
            <w:shd w:val="clear" w:color="auto" w:fill="FFFFFF"/>
          </w:tcPr>
          <w:p w14:paraId="2DFCA22C" w14:textId="77777777" w:rsidR="00824AB6" w:rsidRPr="005E779E" w:rsidRDefault="00824AB6" w:rsidP="000B7A6C">
            <w:pPr>
              <w:pStyle w:val="113"/>
              <w:shd w:val="clear" w:color="auto" w:fill="auto"/>
              <w:spacing w:line="240" w:lineRule="auto"/>
              <w:jc w:val="both"/>
              <w:rPr>
                <w:rFonts w:ascii="Times New Roman" w:hAnsi="Times New Roman" w:cs="Times New Roman"/>
                <w:b w:val="0"/>
                <w:color w:val="000000" w:themeColor="text1"/>
                <w:sz w:val="16"/>
                <w:szCs w:val="16"/>
              </w:rPr>
            </w:pPr>
            <w:r w:rsidRPr="005E779E">
              <w:rPr>
                <w:rFonts w:ascii="Times New Roman" w:hAnsi="Times New Roman" w:cs="Times New Roman"/>
                <w:b w:val="0"/>
                <w:color w:val="000000" w:themeColor="text1"/>
                <w:sz w:val="16"/>
                <w:szCs w:val="16"/>
              </w:rPr>
              <w:t>5,55</w:t>
            </w:r>
          </w:p>
        </w:tc>
      </w:tr>
      <w:tr w:rsidR="001002C3" w:rsidRPr="005E779E" w14:paraId="035084EB" w14:textId="77777777" w:rsidTr="00BB323F">
        <w:trPr>
          <w:trHeight w:val="245"/>
        </w:trPr>
        <w:tc>
          <w:tcPr>
            <w:tcW w:w="3942" w:type="dxa"/>
            <w:tcBorders>
              <w:top w:val="single" w:sz="6" w:space="0" w:color="auto"/>
              <w:left w:val="single" w:sz="6" w:space="0" w:color="auto"/>
              <w:bottom w:val="single" w:sz="6" w:space="0" w:color="auto"/>
              <w:right w:val="single" w:sz="6" w:space="0" w:color="auto"/>
            </w:tcBorders>
            <w:shd w:val="clear" w:color="auto" w:fill="FFFFFF"/>
          </w:tcPr>
          <w:p w14:paraId="4CE15E66" w14:textId="77777777" w:rsidR="00824AB6" w:rsidRPr="005E779E" w:rsidRDefault="00824AB6" w:rsidP="000B7A6C">
            <w:pPr>
              <w:pStyle w:val="113"/>
              <w:shd w:val="clear" w:color="auto" w:fill="auto"/>
              <w:spacing w:line="240" w:lineRule="auto"/>
              <w:jc w:val="both"/>
              <w:rPr>
                <w:rFonts w:ascii="Times New Roman" w:hAnsi="Times New Roman" w:cs="Times New Roman"/>
                <w:b w:val="0"/>
                <w:color w:val="000000" w:themeColor="text1"/>
                <w:sz w:val="16"/>
                <w:szCs w:val="16"/>
              </w:rPr>
            </w:pPr>
            <w:r w:rsidRPr="005E779E">
              <w:rPr>
                <w:rFonts w:ascii="Times New Roman" w:hAnsi="Times New Roman" w:cs="Times New Roman"/>
                <w:b w:val="0"/>
                <w:color w:val="000000" w:themeColor="text1"/>
                <w:sz w:val="16"/>
                <w:szCs w:val="16"/>
              </w:rPr>
              <w:t>Площадь крыльев (м</w:t>
            </w:r>
            <w:r w:rsidRPr="005E779E">
              <w:rPr>
                <w:rFonts w:ascii="Times New Roman" w:hAnsi="Times New Roman" w:cs="Times New Roman"/>
                <w:b w:val="0"/>
                <w:color w:val="000000" w:themeColor="text1"/>
                <w:sz w:val="16"/>
                <w:szCs w:val="16"/>
                <w:vertAlign w:val="superscript"/>
              </w:rPr>
              <w:t>:</w:t>
            </w:r>
            <w:r w:rsidRPr="005E779E">
              <w:rPr>
                <w:rFonts w:ascii="Times New Roman" w:hAnsi="Times New Roman" w:cs="Times New Roman"/>
                <w:b w:val="0"/>
                <w:color w:val="000000" w:themeColor="text1"/>
                <w:sz w:val="16"/>
                <w:szCs w:val="16"/>
              </w:rPr>
              <w:t>)</w:t>
            </w:r>
          </w:p>
        </w:tc>
        <w:tc>
          <w:tcPr>
            <w:tcW w:w="1825" w:type="dxa"/>
            <w:tcBorders>
              <w:top w:val="single" w:sz="6" w:space="0" w:color="auto"/>
              <w:left w:val="single" w:sz="6" w:space="0" w:color="auto"/>
              <w:bottom w:val="single" w:sz="6" w:space="0" w:color="auto"/>
              <w:right w:val="single" w:sz="6" w:space="0" w:color="auto"/>
            </w:tcBorders>
            <w:shd w:val="clear" w:color="auto" w:fill="FFFFFF"/>
          </w:tcPr>
          <w:p w14:paraId="7CEF4C56" w14:textId="77777777" w:rsidR="00824AB6" w:rsidRPr="005E779E" w:rsidRDefault="00824AB6" w:rsidP="000B7A6C">
            <w:pPr>
              <w:pStyle w:val="113"/>
              <w:shd w:val="clear" w:color="auto" w:fill="auto"/>
              <w:spacing w:line="240" w:lineRule="auto"/>
              <w:jc w:val="both"/>
              <w:rPr>
                <w:rFonts w:ascii="Times New Roman" w:hAnsi="Times New Roman" w:cs="Times New Roman"/>
                <w:b w:val="0"/>
                <w:color w:val="000000" w:themeColor="text1"/>
                <w:sz w:val="16"/>
                <w:szCs w:val="16"/>
              </w:rPr>
            </w:pPr>
            <w:r w:rsidRPr="005E779E">
              <w:rPr>
                <w:rFonts w:ascii="Times New Roman" w:hAnsi="Times New Roman" w:cs="Times New Roman"/>
                <w:b w:val="0"/>
                <w:color w:val="000000" w:themeColor="text1"/>
                <w:sz w:val="16"/>
                <w:szCs w:val="16"/>
              </w:rPr>
              <w:t>30,1</w:t>
            </w:r>
          </w:p>
        </w:tc>
      </w:tr>
      <w:tr w:rsidR="001002C3" w:rsidRPr="005E779E" w14:paraId="1E09BEA2" w14:textId="77777777" w:rsidTr="00BB323F">
        <w:trPr>
          <w:trHeight w:val="248"/>
        </w:trPr>
        <w:tc>
          <w:tcPr>
            <w:tcW w:w="3942" w:type="dxa"/>
            <w:tcBorders>
              <w:top w:val="single" w:sz="6" w:space="0" w:color="auto"/>
              <w:left w:val="single" w:sz="6" w:space="0" w:color="auto"/>
              <w:bottom w:val="single" w:sz="6" w:space="0" w:color="auto"/>
              <w:right w:val="single" w:sz="6" w:space="0" w:color="auto"/>
            </w:tcBorders>
            <w:shd w:val="clear" w:color="auto" w:fill="FFFFFF"/>
          </w:tcPr>
          <w:p w14:paraId="4307E0A5" w14:textId="77777777" w:rsidR="00824AB6" w:rsidRPr="005E779E" w:rsidRDefault="00824AB6" w:rsidP="000B7A6C">
            <w:pPr>
              <w:pStyle w:val="113"/>
              <w:shd w:val="clear" w:color="auto" w:fill="auto"/>
              <w:spacing w:line="240" w:lineRule="auto"/>
              <w:jc w:val="both"/>
              <w:rPr>
                <w:rFonts w:ascii="Times New Roman" w:hAnsi="Times New Roman" w:cs="Times New Roman"/>
                <w:b w:val="0"/>
                <w:color w:val="000000" w:themeColor="text1"/>
                <w:sz w:val="16"/>
                <w:szCs w:val="16"/>
              </w:rPr>
            </w:pPr>
            <w:r w:rsidRPr="005E779E">
              <w:rPr>
                <w:rFonts w:ascii="Times New Roman" w:hAnsi="Times New Roman" w:cs="Times New Roman"/>
                <w:b w:val="0"/>
                <w:color w:val="000000" w:themeColor="text1"/>
                <w:sz w:val="16"/>
                <w:szCs w:val="16"/>
              </w:rPr>
              <w:t>Вес пустого (кг)</w:t>
            </w:r>
          </w:p>
        </w:tc>
        <w:tc>
          <w:tcPr>
            <w:tcW w:w="1825" w:type="dxa"/>
            <w:tcBorders>
              <w:top w:val="single" w:sz="6" w:space="0" w:color="auto"/>
              <w:left w:val="single" w:sz="6" w:space="0" w:color="auto"/>
              <w:bottom w:val="single" w:sz="6" w:space="0" w:color="auto"/>
              <w:right w:val="single" w:sz="6" w:space="0" w:color="auto"/>
            </w:tcBorders>
            <w:shd w:val="clear" w:color="auto" w:fill="FFFFFF"/>
          </w:tcPr>
          <w:p w14:paraId="2041F968" w14:textId="77777777" w:rsidR="00824AB6" w:rsidRPr="005E779E" w:rsidRDefault="00824AB6" w:rsidP="000B7A6C">
            <w:pPr>
              <w:pStyle w:val="113"/>
              <w:shd w:val="clear" w:color="auto" w:fill="auto"/>
              <w:spacing w:line="240" w:lineRule="auto"/>
              <w:jc w:val="both"/>
              <w:rPr>
                <w:rFonts w:ascii="Times New Roman" w:hAnsi="Times New Roman" w:cs="Times New Roman"/>
                <w:b w:val="0"/>
                <w:color w:val="000000" w:themeColor="text1"/>
                <w:sz w:val="16"/>
                <w:szCs w:val="16"/>
              </w:rPr>
            </w:pPr>
            <w:r w:rsidRPr="005E779E">
              <w:rPr>
                <w:rFonts w:ascii="Times New Roman" w:hAnsi="Times New Roman" w:cs="Times New Roman"/>
                <w:b w:val="0"/>
                <w:color w:val="000000" w:themeColor="text1"/>
                <w:sz w:val="16"/>
                <w:szCs w:val="16"/>
              </w:rPr>
              <w:t>1487</w:t>
            </w:r>
          </w:p>
        </w:tc>
      </w:tr>
      <w:tr w:rsidR="001002C3" w:rsidRPr="005E779E" w14:paraId="01E5140F" w14:textId="77777777" w:rsidTr="00BB323F">
        <w:trPr>
          <w:trHeight w:val="245"/>
        </w:trPr>
        <w:tc>
          <w:tcPr>
            <w:tcW w:w="3942" w:type="dxa"/>
            <w:tcBorders>
              <w:top w:val="single" w:sz="6" w:space="0" w:color="auto"/>
              <w:left w:val="single" w:sz="6" w:space="0" w:color="auto"/>
              <w:bottom w:val="single" w:sz="6" w:space="0" w:color="auto"/>
              <w:right w:val="single" w:sz="6" w:space="0" w:color="auto"/>
            </w:tcBorders>
            <w:shd w:val="clear" w:color="auto" w:fill="FFFFFF"/>
          </w:tcPr>
          <w:p w14:paraId="76E31B00" w14:textId="77777777" w:rsidR="00824AB6" w:rsidRPr="005E779E" w:rsidRDefault="00824AB6" w:rsidP="000B7A6C">
            <w:pPr>
              <w:pStyle w:val="113"/>
              <w:shd w:val="clear" w:color="auto" w:fill="auto"/>
              <w:spacing w:line="240" w:lineRule="auto"/>
              <w:jc w:val="both"/>
              <w:rPr>
                <w:rFonts w:ascii="Times New Roman" w:hAnsi="Times New Roman" w:cs="Times New Roman"/>
                <w:b w:val="0"/>
                <w:color w:val="000000" w:themeColor="text1"/>
                <w:sz w:val="16"/>
                <w:szCs w:val="16"/>
              </w:rPr>
            </w:pPr>
            <w:r w:rsidRPr="005E779E">
              <w:rPr>
                <w:rFonts w:ascii="Times New Roman" w:hAnsi="Times New Roman" w:cs="Times New Roman"/>
                <w:b w:val="0"/>
                <w:color w:val="000000" w:themeColor="text1"/>
                <w:sz w:val="16"/>
                <w:szCs w:val="16"/>
              </w:rPr>
              <w:t>Полетный вес (кг)</w:t>
            </w:r>
          </w:p>
        </w:tc>
        <w:tc>
          <w:tcPr>
            <w:tcW w:w="1825" w:type="dxa"/>
            <w:tcBorders>
              <w:top w:val="single" w:sz="6" w:space="0" w:color="auto"/>
              <w:left w:val="single" w:sz="6" w:space="0" w:color="auto"/>
              <w:bottom w:val="single" w:sz="6" w:space="0" w:color="auto"/>
              <w:right w:val="single" w:sz="6" w:space="0" w:color="auto"/>
            </w:tcBorders>
            <w:shd w:val="clear" w:color="auto" w:fill="FFFFFF"/>
          </w:tcPr>
          <w:p w14:paraId="018FBA27" w14:textId="77777777" w:rsidR="00824AB6" w:rsidRPr="005E779E" w:rsidRDefault="00824AB6" w:rsidP="000B7A6C">
            <w:pPr>
              <w:pStyle w:val="113"/>
              <w:shd w:val="clear" w:color="auto" w:fill="auto"/>
              <w:spacing w:line="240" w:lineRule="auto"/>
              <w:jc w:val="both"/>
              <w:rPr>
                <w:rFonts w:ascii="Times New Roman" w:hAnsi="Times New Roman" w:cs="Times New Roman"/>
                <w:b w:val="0"/>
                <w:color w:val="000000" w:themeColor="text1"/>
                <w:sz w:val="16"/>
                <w:szCs w:val="16"/>
              </w:rPr>
            </w:pPr>
            <w:r w:rsidRPr="005E779E">
              <w:rPr>
                <w:rFonts w:ascii="Times New Roman" w:hAnsi="Times New Roman" w:cs="Times New Roman"/>
                <w:b w:val="0"/>
                <w:color w:val="000000" w:themeColor="text1"/>
                <w:sz w:val="16"/>
                <w:szCs w:val="16"/>
              </w:rPr>
              <w:t>2122</w:t>
            </w:r>
          </w:p>
        </w:tc>
      </w:tr>
      <w:tr w:rsidR="001002C3" w:rsidRPr="005E779E" w14:paraId="655FC30D" w14:textId="77777777" w:rsidTr="00BB323F">
        <w:trPr>
          <w:trHeight w:val="241"/>
        </w:trPr>
        <w:tc>
          <w:tcPr>
            <w:tcW w:w="3942" w:type="dxa"/>
            <w:tcBorders>
              <w:top w:val="single" w:sz="6" w:space="0" w:color="auto"/>
              <w:left w:val="single" w:sz="6" w:space="0" w:color="auto"/>
              <w:bottom w:val="single" w:sz="6" w:space="0" w:color="auto"/>
              <w:right w:val="single" w:sz="6" w:space="0" w:color="auto"/>
            </w:tcBorders>
            <w:shd w:val="clear" w:color="auto" w:fill="FFFFFF"/>
          </w:tcPr>
          <w:p w14:paraId="4C3F252B" w14:textId="77777777" w:rsidR="00824AB6" w:rsidRPr="005E779E" w:rsidRDefault="00824AB6" w:rsidP="000B7A6C">
            <w:pPr>
              <w:pStyle w:val="113"/>
              <w:shd w:val="clear" w:color="auto" w:fill="auto"/>
              <w:spacing w:line="240" w:lineRule="auto"/>
              <w:jc w:val="both"/>
              <w:rPr>
                <w:rFonts w:ascii="Times New Roman" w:hAnsi="Times New Roman" w:cs="Times New Roman"/>
                <w:b w:val="0"/>
                <w:color w:val="000000" w:themeColor="text1"/>
                <w:sz w:val="16"/>
                <w:szCs w:val="16"/>
              </w:rPr>
            </w:pPr>
            <w:r w:rsidRPr="005E779E">
              <w:rPr>
                <w:rFonts w:ascii="Times New Roman" w:hAnsi="Times New Roman" w:cs="Times New Roman"/>
                <w:b w:val="0"/>
                <w:color w:val="000000" w:themeColor="text1"/>
                <w:sz w:val="16"/>
                <w:szCs w:val="16"/>
              </w:rPr>
              <w:t>Нагрузка на крыло (кг/м</w:t>
            </w:r>
            <w:r w:rsidRPr="005E779E">
              <w:rPr>
                <w:rFonts w:ascii="Times New Roman" w:hAnsi="Times New Roman" w:cs="Times New Roman"/>
                <w:b w:val="0"/>
                <w:color w:val="000000" w:themeColor="text1"/>
                <w:sz w:val="16"/>
                <w:szCs w:val="16"/>
                <w:vertAlign w:val="superscript"/>
              </w:rPr>
              <w:t>2</w:t>
            </w:r>
            <w:r w:rsidRPr="005E779E">
              <w:rPr>
                <w:rFonts w:ascii="Times New Roman" w:hAnsi="Times New Roman" w:cs="Times New Roman"/>
                <w:b w:val="0"/>
                <w:color w:val="000000" w:themeColor="text1"/>
                <w:sz w:val="16"/>
                <w:szCs w:val="16"/>
              </w:rPr>
              <w:t>)</w:t>
            </w:r>
          </w:p>
        </w:tc>
        <w:tc>
          <w:tcPr>
            <w:tcW w:w="1825" w:type="dxa"/>
            <w:tcBorders>
              <w:top w:val="single" w:sz="6" w:space="0" w:color="auto"/>
              <w:left w:val="single" w:sz="6" w:space="0" w:color="auto"/>
              <w:bottom w:val="single" w:sz="6" w:space="0" w:color="auto"/>
              <w:right w:val="single" w:sz="6" w:space="0" w:color="auto"/>
            </w:tcBorders>
            <w:shd w:val="clear" w:color="auto" w:fill="FFFFFF"/>
          </w:tcPr>
          <w:p w14:paraId="2D81BDEC" w14:textId="77777777" w:rsidR="00824AB6" w:rsidRPr="005E779E" w:rsidRDefault="00824AB6" w:rsidP="000B7A6C">
            <w:pPr>
              <w:pStyle w:val="113"/>
              <w:shd w:val="clear" w:color="auto" w:fill="auto"/>
              <w:spacing w:line="240" w:lineRule="auto"/>
              <w:jc w:val="both"/>
              <w:rPr>
                <w:rFonts w:ascii="Times New Roman" w:hAnsi="Times New Roman" w:cs="Times New Roman"/>
                <w:b w:val="0"/>
                <w:color w:val="000000" w:themeColor="text1"/>
                <w:sz w:val="16"/>
                <w:szCs w:val="16"/>
              </w:rPr>
            </w:pPr>
            <w:r w:rsidRPr="005E779E">
              <w:rPr>
                <w:rFonts w:ascii="Times New Roman" w:hAnsi="Times New Roman" w:cs="Times New Roman"/>
                <w:b w:val="0"/>
                <w:color w:val="000000" w:themeColor="text1"/>
                <w:sz w:val="16"/>
                <w:szCs w:val="16"/>
              </w:rPr>
              <w:t>70,5</w:t>
            </w:r>
          </w:p>
        </w:tc>
      </w:tr>
      <w:tr w:rsidR="001002C3" w:rsidRPr="005E779E" w14:paraId="22350695" w14:textId="77777777" w:rsidTr="00BB323F">
        <w:trPr>
          <w:trHeight w:val="245"/>
        </w:trPr>
        <w:tc>
          <w:tcPr>
            <w:tcW w:w="3942" w:type="dxa"/>
            <w:tcBorders>
              <w:top w:val="single" w:sz="6" w:space="0" w:color="auto"/>
              <w:left w:val="single" w:sz="6" w:space="0" w:color="auto"/>
              <w:bottom w:val="single" w:sz="6" w:space="0" w:color="auto"/>
              <w:right w:val="single" w:sz="6" w:space="0" w:color="auto"/>
            </w:tcBorders>
            <w:shd w:val="clear" w:color="auto" w:fill="FFFFFF"/>
          </w:tcPr>
          <w:p w14:paraId="25CAAC08" w14:textId="77777777" w:rsidR="00824AB6" w:rsidRPr="005E779E" w:rsidRDefault="00824AB6" w:rsidP="000B7A6C">
            <w:pPr>
              <w:pStyle w:val="113"/>
              <w:shd w:val="clear" w:color="auto" w:fill="auto"/>
              <w:spacing w:line="240" w:lineRule="auto"/>
              <w:jc w:val="both"/>
              <w:rPr>
                <w:rFonts w:ascii="Times New Roman" w:hAnsi="Times New Roman" w:cs="Times New Roman"/>
                <w:b w:val="0"/>
                <w:color w:val="000000" w:themeColor="text1"/>
                <w:sz w:val="16"/>
                <w:szCs w:val="16"/>
              </w:rPr>
            </w:pPr>
            <w:r w:rsidRPr="005E779E">
              <w:rPr>
                <w:rFonts w:ascii="Times New Roman" w:hAnsi="Times New Roman" w:cs="Times New Roman"/>
                <w:b w:val="0"/>
                <w:color w:val="000000" w:themeColor="text1"/>
                <w:sz w:val="16"/>
                <w:szCs w:val="16"/>
              </w:rPr>
              <w:t>Скорость макс, у земли (км/ч)</w:t>
            </w:r>
          </w:p>
        </w:tc>
        <w:tc>
          <w:tcPr>
            <w:tcW w:w="1825" w:type="dxa"/>
            <w:tcBorders>
              <w:top w:val="single" w:sz="6" w:space="0" w:color="auto"/>
              <w:left w:val="single" w:sz="6" w:space="0" w:color="auto"/>
              <w:bottom w:val="single" w:sz="6" w:space="0" w:color="auto"/>
              <w:right w:val="single" w:sz="6" w:space="0" w:color="auto"/>
            </w:tcBorders>
            <w:shd w:val="clear" w:color="auto" w:fill="FFFFFF"/>
          </w:tcPr>
          <w:p w14:paraId="6B366E5E" w14:textId="77777777" w:rsidR="00824AB6" w:rsidRPr="005E779E" w:rsidRDefault="00824AB6" w:rsidP="000B7A6C">
            <w:pPr>
              <w:pStyle w:val="113"/>
              <w:shd w:val="clear" w:color="auto" w:fill="auto"/>
              <w:spacing w:line="240" w:lineRule="auto"/>
              <w:jc w:val="both"/>
              <w:rPr>
                <w:rFonts w:ascii="Times New Roman" w:hAnsi="Times New Roman" w:cs="Times New Roman"/>
                <w:b w:val="0"/>
                <w:color w:val="000000" w:themeColor="text1"/>
                <w:sz w:val="16"/>
                <w:szCs w:val="16"/>
              </w:rPr>
            </w:pPr>
            <w:r w:rsidRPr="005E779E">
              <w:rPr>
                <w:rFonts w:ascii="Times New Roman" w:hAnsi="Times New Roman" w:cs="Times New Roman"/>
                <w:b w:val="0"/>
                <w:color w:val="000000" w:themeColor="text1"/>
                <w:sz w:val="16"/>
                <w:szCs w:val="16"/>
              </w:rPr>
              <w:t>256</w:t>
            </w:r>
          </w:p>
        </w:tc>
      </w:tr>
      <w:tr w:rsidR="001002C3" w:rsidRPr="005E779E" w14:paraId="37A37D87" w14:textId="77777777" w:rsidTr="00BB323F">
        <w:trPr>
          <w:trHeight w:val="245"/>
        </w:trPr>
        <w:tc>
          <w:tcPr>
            <w:tcW w:w="3942" w:type="dxa"/>
            <w:tcBorders>
              <w:top w:val="single" w:sz="6" w:space="0" w:color="auto"/>
              <w:left w:val="single" w:sz="6" w:space="0" w:color="auto"/>
              <w:bottom w:val="single" w:sz="6" w:space="0" w:color="auto"/>
              <w:right w:val="single" w:sz="6" w:space="0" w:color="auto"/>
            </w:tcBorders>
            <w:shd w:val="clear" w:color="auto" w:fill="FFFFFF"/>
          </w:tcPr>
          <w:p w14:paraId="674A5479" w14:textId="77777777" w:rsidR="00824AB6" w:rsidRPr="005E779E" w:rsidRDefault="00824AB6" w:rsidP="000B7A6C">
            <w:pPr>
              <w:pStyle w:val="113"/>
              <w:shd w:val="clear" w:color="auto" w:fill="auto"/>
              <w:spacing w:line="240" w:lineRule="auto"/>
              <w:jc w:val="both"/>
              <w:rPr>
                <w:rFonts w:ascii="Times New Roman" w:hAnsi="Times New Roman" w:cs="Times New Roman"/>
                <w:b w:val="0"/>
                <w:color w:val="000000" w:themeColor="text1"/>
                <w:sz w:val="16"/>
                <w:szCs w:val="16"/>
              </w:rPr>
            </w:pPr>
            <w:r w:rsidRPr="005E779E">
              <w:rPr>
                <w:rFonts w:ascii="Times New Roman" w:hAnsi="Times New Roman" w:cs="Times New Roman"/>
                <w:b w:val="0"/>
                <w:color w:val="000000" w:themeColor="text1"/>
                <w:sz w:val="16"/>
                <w:szCs w:val="16"/>
              </w:rPr>
              <w:t>Скорость макс, на 3000 м (км/ч)</w:t>
            </w:r>
          </w:p>
        </w:tc>
        <w:tc>
          <w:tcPr>
            <w:tcW w:w="1825" w:type="dxa"/>
            <w:tcBorders>
              <w:top w:val="single" w:sz="6" w:space="0" w:color="auto"/>
              <w:left w:val="single" w:sz="6" w:space="0" w:color="auto"/>
              <w:bottom w:val="single" w:sz="6" w:space="0" w:color="auto"/>
              <w:right w:val="single" w:sz="6" w:space="0" w:color="auto"/>
            </w:tcBorders>
            <w:shd w:val="clear" w:color="auto" w:fill="FFFFFF"/>
          </w:tcPr>
          <w:p w14:paraId="299797B3" w14:textId="77777777" w:rsidR="00824AB6" w:rsidRPr="005E779E" w:rsidRDefault="00824AB6" w:rsidP="000B7A6C">
            <w:pPr>
              <w:pStyle w:val="113"/>
              <w:shd w:val="clear" w:color="auto" w:fill="auto"/>
              <w:spacing w:line="240" w:lineRule="auto"/>
              <w:jc w:val="both"/>
              <w:rPr>
                <w:rFonts w:ascii="Times New Roman" w:hAnsi="Times New Roman" w:cs="Times New Roman"/>
                <w:b w:val="0"/>
                <w:color w:val="000000" w:themeColor="text1"/>
                <w:sz w:val="16"/>
                <w:szCs w:val="16"/>
              </w:rPr>
            </w:pPr>
            <w:r w:rsidRPr="005E779E">
              <w:rPr>
                <w:rFonts w:ascii="Times New Roman" w:hAnsi="Times New Roman" w:cs="Times New Roman"/>
                <w:b w:val="0"/>
                <w:color w:val="000000" w:themeColor="text1"/>
                <w:sz w:val="16"/>
                <w:szCs w:val="16"/>
              </w:rPr>
              <w:t>243</w:t>
            </w:r>
          </w:p>
        </w:tc>
      </w:tr>
      <w:tr w:rsidR="001002C3" w:rsidRPr="005E779E" w14:paraId="4B5B16F4" w14:textId="77777777" w:rsidTr="00BB323F">
        <w:trPr>
          <w:trHeight w:val="245"/>
        </w:trPr>
        <w:tc>
          <w:tcPr>
            <w:tcW w:w="3942" w:type="dxa"/>
            <w:tcBorders>
              <w:top w:val="single" w:sz="6" w:space="0" w:color="auto"/>
              <w:left w:val="single" w:sz="6" w:space="0" w:color="auto"/>
              <w:bottom w:val="single" w:sz="6" w:space="0" w:color="auto"/>
              <w:right w:val="single" w:sz="6" w:space="0" w:color="auto"/>
            </w:tcBorders>
            <w:shd w:val="clear" w:color="auto" w:fill="FFFFFF"/>
          </w:tcPr>
          <w:p w14:paraId="1613732C" w14:textId="77777777" w:rsidR="00824AB6" w:rsidRPr="005E779E" w:rsidRDefault="00824AB6" w:rsidP="000B7A6C">
            <w:pPr>
              <w:pStyle w:val="113"/>
              <w:shd w:val="clear" w:color="auto" w:fill="auto"/>
              <w:spacing w:line="240" w:lineRule="auto"/>
              <w:jc w:val="both"/>
              <w:rPr>
                <w:rFonts w:ascii="Times New Roman" w:hAnsi="Times New Roman" w:cs="Times New Roman"/>
                <w:b w:val="0"/>
                <w:color w:val="000000" w:themeColor="text1"/>
                <w:sz w:val="16"/>
                <w:szCs w:val="16"/>
              </w:rPr>
            </w:pPr>
            <w:r w:rsidRPr="005E779E">
              <w:rPr>
                <w:rFonts w:ascii="Times New Roman" w:hAnsi="Times New Roman" w:cs="Times New Roman"/>
                <w:b w:val="0"/>
                <w:color w:val="000000" w:themeColor="text1"/>
                <w:sz w:val="16"/>
                <w:szCs w:val="16"/>
              </w:rPr>
              <w:t>Скорость макс, на 5000 м (км/ч)</w:t>
            </w:r>
          </w:p>
        </w:tc>
        <w:tc>
          <w:tcPr>
            <w:tcW w:w="1825" w:type="dxa"/>
            <w:tcBorders>
              <w:top w:val="single" w:sz="6" w:space="0" w:color="auto"/>
              <w:left w:val="single" w:sz="6" w:space="0" w:color="auto"/>
              <w:bottom w:val="single" w:sz="6" w:space="0" w:color="auto"/>
              <w:right w:val="single" w:sz="6" w:space="0" w:color="auto"/>
            </w:tcBorders>
            <w:shd w:val="clear" w:color="auto" w:fill="FFFFFF"/>
          </w:tcPr>
          <w:p w14:paraId="03360B45" w14:textId="77777777" w:rsidR="00824AB6" w:rsidRPr="005E779E" w:rsidRDefault="00824AB6" w:rsidP="000B7A6C">
            <w:pPr>
              <w:pStyle w:val="113"/>
              <w:shd w:val="clear" w:color="auto" w:fill="auto"/>
              <w:spacing w:line="240" w:lineRule="auto"/>
              <w:jc w:val="both"/>
              <w:rPr>
                <w:rFonts w:ascii="Times New Roman" w:hAnsi="Times New Roman" w:cs="Times New Roman"/>
                <w:b w:val="0"/>
                <w:color w:val="000000" w:themeColor="text1"/>
                <w:sz w:val="16"/>
                <w:szCs w:val="16"/>
              </w:rPr>
            </w:pPr>
            <w:r w:rsidRPr="005E779E">
              <w:rPr>
                <w:rFonts w:ascii="Times New Roman" w:hAnsi="Times New Roman" w:cs="Times New Roman"/>
                <w:b w:val="0"/>
                <w:color w:val="000000" w:themeColor="text1"/>
                <w:sz w:val="16"/>
                <w:szCs w:val="16"/>
              </w:rPr>
              <w:t>212</w:t>
            </w:r>
          </w:p>
        </w:tc>
      </w:tr>
      <w:tr w:rsidR="001002C3" w:rsidRPr="005E779E" w14:paraId="21C88FE9" w14:textId="77777777" w:rsidTr="00BB323F">
        <w:trPr>
          <w:trHeight w:val="245"/>
        </w:trPr>
        <w:tc>
          <w:tcPr>
            <w:tcW w:w="3942" w:type="dxa"/>
            <w:tcBorders>
              <w:top w:val="single" w:sz="6" w:space="0" w:color="auto"/>
              <w:left w:val="single" w:sz="6" w:space="0" w:color="auto"/>
              <w:bottom w:val="single" w:sz="6" w:space="0" w:color="auto"/>
              <w:right w:val="single" w:sz="6" w:space="0" w:color="auto"/>
            </w:tcBorders>
            <w:shd w:val="clear" w:color="auto" w:fill="FFFFFF"/>
          </w:tcPr>
          <w:p w14:paraId="008C7406" w14:textId="77777777" w:rsidR="00824AB6" w:rsidRPr="005E779E" w:rsidRDefault="00824AB6" w:rsidP="000B7A6C">
            <w:pPr>
              <w:pStyle w:val="113"/>
              <w:shd w:val="clear" w:color="auto" w:fill="auto"/>
              <w:spacing w:line="240" w:lineRule="auto"/>
              <w:jc w:val="both"/>
              <w:rPr>
                <w:rFonts w:ascii="Times New Roman" w:hAnsi="Times New Roman" w:cs="Times New Roman"/>
                <w:b w:val="0"/>
                <w:color w:val="000000" w:themeColor="text1"/>
                <w:sz w:val="16"/>
                <w:szCs w:val="16"/>
              </w:rPr>
            </w:pPr>
            <w:r w:rsidRPr="005E779E">
              <w:rPr>
                <w:rFonts w:ascii="Times New Roman" w:hAnsi="Times New Roman" w:cs="Times New Roman"/>
                <w:b w:val="0"/>
                <w:color w:val="000000" w:themeColor="text1"/>
                <w:sz w:val="16"/>
                <w:szCs w:val="16"/>
              </w:rPr>
              <w:t>Время набора 5000 м (мин.)</w:t>
            </w:r>
          </w:p>
        </w:tc>
        <w:tc>
          <w:tcPr>
            <w:tcW w:w="1825" w:type="dxa"/>
            <w:tcBorders>
              <w:top w:val="single" w:sz="6" w:space="0" w:color="auto"/>
              <w:left w:val="single" w:sz="6" w:space="0" w:color="auto"/>
              <w:bottom w:val="single" w:sz="6" w:space="0" w:color="auto"/>
              <w:right w:val="single" w:sz="6" w:space="0" w:color="auto"/>
            </w:tcBorders>
            <w:shd w:val="clear" w:color="auto" w:fill="FFFFFF"/>
          </w:tcPr>
          <w:p w14:paraId="274BCB72" w14:textId="77777777" w:rsidR="00824AB6" w:rsidRPr="005E779E" w:rsidRDefault="00824AB6" w:rsidP="000B7A6C">
            <w:pPr>
              <w:pStyle w:val="113"/>
              <w:shd w:val="clear" w:color="auto" w:fill="auto"/>
              <w:spacing w:line="240" w:lineRule="auto"/>
              <w:jc w:val="both"/>
              <w:rPr>
                <w:rFonts w:ascii="Times New Roman" w:hAnsi="Times New Roman" w:cs="Times New Roman"/>
                <w:b w:val="0"/>
                <w:color w:val="000000" w:themeColor="text1"/>
                <w:sz w:val="16"/>
                <w:szCs w:val="16"/>
              </w:rPr>
            </w:pPr>
            <w:r w:rsidRPr="005E779E">
              <w:rPr>
                <w:rFonts w:ascii="Times New Roman" w:hAnsi="Times New Roman" w:cs="Times New Roman"/>
                <w:b w:val="0"/>
                <w:color w:val="000000" w:themeColor="text1"/>
                <w:sz w:val="16"/>
                <w:szCs w:val="16"/>
              </w:rPr>
              <w:t>17,5</w:t>
            </w:r>
          </w:p>
        </w:tc>
      </w:tr>
      <w:tr w:rsidR="001002C3" w:rsidRPr="005E779E" w14:paraId="5A4C06F7" w14:textId="77777777" w:rsidTr="00BB323F">
        <w:trPr>
          <w:trHeight w:val="245"/>
        </w:trPr>
        <w:tc>
          <w:tcPr>
            <w:tcW w:w="3942" w:type="dxa"/>
            <w:tcBorders>
              <w:top w:val="single" w:sz="6" w:space="0" w:color="auto"/>
              <w:left w:val="single" w:sz="6" w:space="0" w:color="auto"/>
              <w:bottom w:val="single" w:sz="6" w:space="0" w:color="auto"/>
              <w:right w:val="single" w:sz="6" w:space="0" w:color="auto"/>
            </w:tcBorders>
            <w:shd w:val="clear" w:color="auto" w:fill="FFFFFF"/>
          </w:tcPr>
          <w:p w14:paraId="2645A52A" w14:textId="77777777" w:rsidR="00824AB6" w:rsidRPr="005E779E" w:rsidRDefault="00824AB6" w:rsidP="000B7A6C">
            <w:pPr>
              <w:pStyle w:val="113"/>
              <w:shd w:val="clear" w:color="auto" w:fill="auto"/>
              <w:spacing w:line="240" w:lineRule="auto"/>
              <w:jc w:val="both"/>
              <w:rPr>
                <w:rFonts w:ascii="Times New Roman" w:hAnsi="Times New Roman" w:cs="Times New Roman"/>
                <w:b w:val="0"/>
                <w:color w:val="000000" w:themeColor="text1"/>
                <w:sz w:val="16"/>
                <w:szCs w:val="16"/>
              </w:rPr>
            </w:pPr>
            <w:r w:rsidRPr="005E779E">
              <w:rPr>
                <w:rFonts w:ascii="Times New Roman" w:hAnsi="Times New Roman" w:cs="Times New Roman"/>
                <w:b w:val="0"/>
                <w:color w:val="000000" w:themeColor="text1"/>
                <w:sz w:val="16"/>
                <w:szCs w:val="16"/>
              </w:rPr>
              <w:t>Практический потолок (м)</w:t>
            </w:r>
          </w:p>
        </w:tc>
        <w:tc>
          <w:tcPr>
            <w:tcW w:w="1825" w:type="dxa"/>
            <w:tcBorders>
              <w:top w:val="single" w:sz="6" w:space="0" w:color="auto"/>
              <w:left w:val="single" w:sz="6" w:space="0" w:color="auto"/>
              <w:bottom w:val="single" w:sz="6" w:space="0" w:color="auto"/>
              <w:right w:val="single" w:sz="6" w:space="0" w:color="auto"/>
            </w:tcBorders>
            <w:shd w:val="clear" w:color="auto" w:fill="FFFFFF"/>
          </w:tcPr>
          <w:p w14:paraId="58DE1156" w14:textId="77777777" w:rsidR="00824AB6" w:rsidRPr="005E779E" w:rsidRDefault="00824AB6" w:rsidP="000B7A6C">
            <w:pPr>
              <w:pStyle w:val="113"/>
              <w:shd w:val="clear" w:color="auto" w:fill="auto"/>
              <w:spacing w:line="240" w:lineRule="auto"/>
              <w:jc w:val="both"/>
              <w:rPr>
                <w:rFonts w:ascii="Times New Roman" w:hAnsi="Times New Roman" w:cs="Times New Roman"/>
                <w:b w:val="0"/>
                <w:color w:val="000000" w:themeColor="text1"/>
                <w:sz w:val="16"/>
                <w:szCs w:val="16"/>
              </w:rPr>
            </w:pPr>
            <w:r w:rsidRPr="005E779E">
              <w:rPr>
                <w:rFonts w:ascii="Times New Roman" w:hAnsi="Times New Roman" w:cs="Times New Roman"/>
                <w:b w:val="0"/>
                <w:color w:val="000000" w:themeColor="text1"/>
                <w:sz w:val="16"/>
                <w:szCs w:val="16"/>
              </w:rPr>
              <w:t>300</w:t>
            </w:r>
          </w:p>
        </w:tc>
      </w:tr>
      <w:tr w:rsidR="001002C3" w:rsidRPr="005E779E" w14:paraId="4266311F" w14:textId="77777777" w:rsidTr="00BB323F">
        <w:trPr>
          <w:trHeight w:val="252"/>
        </w:trPr>
        <w:tc>
          <w:tcPr>
            <w:tcW w:w="3942" w:type="dxa"/>
            <w:tcBorders>
              <w:top w:val="single" w:sz="6" w:space="0" w:color="auto"/>
              <w:left w:val="single" w:sz="6" w:space="0" w:color="auto"/>
              <w:bottom w:val="single" w:sz="6" w:space="0" w:color="auto"/>
              <w:right w:val="single" w:sz="6" w:space="0" w:color="auto"/>
            </w:tcBorders>
            <w:shd w:val="clear" w:color="auto" w:fill="FFFFFF"/>
          </w:tcPr>
          <w:p w14:paraId="31B4177C" w14:textId="77777777" w:rsidR="00824AB6" w:rsidRPr="005E779E" w:rsidRDefault="00824AB6" w:rsidP="000B7A6C">
            <w:pPr>
              <w:pStyle w:val="113"/>
              <w:shd w:val="clear" w:color="auto" w:fill="auto"/>
              <w:spacing w:line="240" w:lineRule="auto"/>
              <w:jc w:val="both"/>
              <w:rPr>
                <w:rFonts w:ascii="Times New Roman" w:hAnsi="Times New Roman" w:cs="Times New Roman"/>
                <w:b w:val="0"/>
                <w:color w:val="000000" w:themeColor="text1"/>
                <w:sz w:val="16"/>
                <w:szCs w:val="16"/>
              </w:rPr>
            </w:pPr>
            <w:r w:rsidRPr="005E779E">
              <w:rPr>
                <w:rFonts w:ascii="Times New Roman" w:hAnsi="Times New Roman" w:cs="Times New Roman"/>
                <w:b w:val="0"/>
                <w:color w:val="000000" w:themeColor="text1"/>
                <w:sz w:val="16"/>
                <w:szCs w:val="16"/>
              </w:rPr>
              <w:t>Время виража на 1000 м (сек.)</w:t>
            </w:r>
          </w:p>
        </w:tc>
        <w:tc>
          <w:tcPr>
            <w:tcW w:w="1825" w:type="dxa"/>
            <w:tcBorders>
              <w:top w:val="single" w:sz="6" w:space="0" w:color="auto"/>
              <w:left w:val="single" w:sz="6" w:space="0" w:color="auto"/>
              <w:bottom w:val="single" w:sz="6" w:space="0" w:color="auto"/>
              <w:right w:val="single" w:sz="6" w:space="0" w:color="auto"/>
            </w:tcBorders>
            <w:shd w:val="clear" w:color="auto" w:fill="FFFFFF"/>
          </w:tcPr>
          <w:p w14:paraId="64F5BD25" w14:textId="77777777" w:rsidR="00824AB6" w:rsidRPr="005E779E" w:rsidRDefault="00824AB6" w:rsidP="000B7A6C">
            <w:pPr>
              <w:pStyle w:val="113"/>
              <w:shd w:val="clear" w:color="auto" w:fill="auto"/>
              <w:spacing w:line="240" w:lineRule="auto"/>
              <w:jc w:val="both"/>
              <w:rPr>
                <w:rFonts w:ascii="Times New Roman" w:hAnsi="Times New Roman" w:cs="Times New Roman"/>
                <w:b w:val="0"/>
                <w:color w:val="000000" w:themeColor="text1"/>
                <w:sz w:val="16"/>
                <w:szCs w:val="16"/>
              </w:rPr>
            </w:pPr>
            <w:r w:rsidRPr="005E779E">
              <w:rPr>
                <w:rFonts w:ascii="Times New Roman" w:hAnsi="Times New Roman" w:cs="Times New Roman"/>
                <w:b w:val="0"/>
                <w:color w:val="000000" w:themeColor="text1"/>
                <w:sz w:val="16"/>
                <w:szCs w:val="16"/>
              </w:rPr>
              <w:t>13,1</w:t>
            </w:r>
          </w:p>
        </w:tc>
      </w:tr>
    </w:tbl>
    <w:p w14:paraId="657755B1" w14:textId="77777777" w:rsidR="00824AB6" w:rsidRPr="005E779E" w:rsidRDefault="00824AB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(12295).</w:t>
      </w:r>
    </w:p>
    <w:p w14:paraId="2E1F4291" w14:textId="77777777" w:rsidR="00824AB6" w:rsidRPr="005E779E" w:rsidRDefault="00824AB6" w:rsidP="000B7A6C">
      <w:pPr>
        <w:spacing w:after="0" w:line="240" w:lineRule="auto"/>
        <w:jc w:val="both"/>
        <w:rPr>
          <w:rFonts w:ascii="Times New Roman" w:hAnsi="Times New Roman"/>
          <w:color w:val="000000" w:themeColor="text1"/>
          <w:sz w:val="16"/>
          <w:szCs w:val="16"/>
        </w:rPr>
      </w:pPr>
    </w:p>
    <w:p w14:paraId="0049714C" w14:textId="77777777" w:rsidR="005F6639" w:rsidRPr="005E779E" w:rsidRDefault="005F66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10 апреля в 1931 году в НИИ ВВС начались государственные испытания (по 12 июля) двухместного истребителя «ДИ-3», выяснилось, что самолет не удовлетворяет тактико-техническим требованиям как по максимальным скоростям на всех высотах, так и по скороподъемности, и вообще практически по всем летным характеристикам уступает самолету «Д-2». В управлении «ДИ-3» оказался строгой машиной, не позволял полет с брошенной ручкой. Оборонительная турель ЦКБ была признана неудачной. В итоге «ДИ-3» не рекомендовали к массовому производству, однако посчитали возможным построить небольшую серию для тренировки </w:t>
      </w:r>
      <w:r w:rsidRPr="005E779E">
        <w:rPr>
          <w:rFonts w:ascii="Times New Roman" w:hAnsi="Times New Roman"/>
          <w:color w:val="000000" w:themeColor="text1"/>
          <w:sz w:val="16"/>
          <w:szCs w:val="16"/>
        </w:rPr>
        <w:lastRenderedPageBreak/>
        <w:t>и обучения. В конечном счете серийное производство так и не было налажено; известно лишь, что позже опытный «ДИ-3» был оборудован застекленной кабиной и использовался как связной самолет (15095).</w:t>
      </w:r>
    </w:p>
    <w:p w14:paraId="1C8C2211" w14:textId="77777777" w:rsidR="005F6639" w:rsidRPr="005E779E" w:rsidRDefault="005F6639" w:rsidP="000B7A6C">
      <w:pPr>
        <w:spacing w:after="0" w:line="240" w:lineRule="auto"/>
        <w:jc w:val="both"/>
        <w:rPr>
          <w:rFonts w:ascii="Times New Roman" w:hAnsi="Times New Roman"/>
          <w:color w:val="000000" w:themeColor="text1"/>
          <w:sz w:val="16"/>
          <w:szCs w:val="16"/>
        </w:rPr>
      </w:pPr>
    </w:p>
    <w:p w14:paraId="2C42999F" w14:textId="77777777" w:rsidR="004D3FB2" w:rsidRPr="005E779E" w:rsidRDefault="004D3FB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10 апреля по 12 июля 1931 г. на базе НОА ВВС РККА прошли Государственные испытания двухместного истребителя ДИ-3 БМВ-VI разработки ЦКБ-39 – самолет, как и предшествующие этого класса, был забракован, но заинтересованность в таких машинах осталась. Считалось, что их недостатки можно исправить, поскольку они – следствие ошибок при проектировании (23559).</w:t>
      </w:r>
    </w:p>
    <w:p w14:paraId="120C399D" w14:textId="77777777" w:rsidR="004D3FB2" w:rsidRPr="005E779E" w:rsidRDefault="004D3FB2" w:rsidP="000B7A6C">
      <w:pPr>
        <w:spacing w:after="0" w:line="240" w:lineRule="auto"/>
        <w:jc w:val="both"/>
        <w:rPr>
          <w:rFonts w:ascii="Times New Roman" w:hAnsi="Times New Roman"/>
          <w:color w:val="000000" w:themeColor="text1"/>
          <w:sz w:val="16"/>
          <w:szCs w:val="16"/>
        </w:rPr>
      </w:pPr>
    </w:p>
    <w:p w14:paraId="470395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апреля 1931 года на Центральном аэродроме закончились дополнительные испытаниях лыж к самолету ТБ-1 2М-17, которые проходили с 13 января 1938.</w:t>
      </w:r>
    </w:p>
    <w:p w14:paraId="6F7E03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Дополнительным испытаниям были подвергнуты лыжи постройки завода N 28 двух образцов:</w:t>
      </w:r>
    </w:p>
    <w:p w14:paraId="505891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Лыжи облегченные, конструкции завода N 28.</w:t>
      </w:r>
    </w:p>
    <w:p w14:paraId="70DB52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Лыжи не облегченные конструкции завода N 25.</w:t>
      </w:r>
    </w:p>
    <w:p w14:paraId="29037D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Испытания произведены с целью:</w:t>
      </w:r>
    </w:p>
    <w:p w14:paraId="05FA1A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уточнения результатов</w:t>
      </w:r>
      <w:r w:rsidR="00824AB6"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rPr>
        <w:t xml:space="preserve"> полученных при испытании в зимний период 1929-30 г.г.</w:t>
      </w:r>
    </w:p>
    <w:p w14:paraId="66E92E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Изыскания мероприятий, облегчающих сдвиг самолета с места и рулежку.</w:t>
      </w:r>
    </w:p>
    <w:p w14:paraId="1AAABE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Примечание:</w:t>
      </w:r>
    </w:p>
    <w:p w14:paraId="236466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 период испытания Центральный аэродром имел твердый укатанный снежный покров, поэтому поведение лыж на глубоком рыхлом снегу не выявлено.</w:t>
      </w:r>
    </w:p>
    <w:p w14:paraId="5DC5B0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w:t>
      </w:r>
    </w:p>
    <w:p w14:paraId="03FF01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основании произведенных испытаний НИИ считает, что:</w:t>
      </w:r>
    </w:p>
    <w:p w14:paraId="68DC95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Лыжи конструкции зав. 25 и зав. 28 не могут быть признаны вполне удовлетворительными для самолетов ТБ1, так как по своим формам и удельной нагрузке не достаточно обеспечивают возможность эксплуатации их на глубоком рыхлом снежном покрове (3260,45-50).</w:t>
      </w:r>
    </w:p>
    <w:p w14:paraId="715D69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7A0DF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апреля 1931 года начальник технического штаба НВ РККА Янсон писал письмо N 11/22сс Меженинову.</w:t>
      </w:r>
    </w:p>
    <w:p w14:paraId="61A322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настоящее время для ВВС инж. Курчевский производит следующие работы:</w:t>
      </w:r>
    </w:p>
    <w:p w14:paraId="4A6E81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67 мм самозарядн. пушки ДРП для И-4 - 2 шт.</w:t>
      </w:r>
    </w:p>
    <w:p w14:paraId="0C5E99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76 мм автоматическ. пушки ДРП для И-12 - 2 шт.</w:t>
      </w:r>
    </w:p>
    <w:p w14:paraId="244304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продолжение работ над пушками ТБ-1 и Р-3 (3505,32).</w:t>
      </w:r>
    </w:p>
    <w:p w14:paraId="3A19AD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63488E6" w14:textId="77777777" w:rsidR="00824AB6"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287485B2" w14:textId="77777777" w:rsidR="00824AB6" w:rsidRPr="005E779E" w:rsidRDefault="00824AB6"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939C29A" w14:textId="77777777" w:rsidR="00824AB6" w:rsidRPr="005E779E" w:rsidRDefault="00824AB6"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10 апреля 1931 </w:t>
      </w:r>
      <w:r w:rsidRPr="005E779E">
        <w:rPr>
          <w:rFonts w:ascii="Times New Roman" w:hAnsi="Times New Roman"/>
          <w:color w:val="000000" w:themeColor="text1"/>
          <w:sz w:val="16"/>
          <w:szCs w:val="16"/>
        </w:rPr>
        <w:t>Политбюро ЦК ВКП (б) приняло предложения комиссии о мерах по улучшению качества продукции заводов ВОРЗ; рекомендовало ЦИК наградить «Электрозавод» орденом Ленина за выполнение пятилетки в два с половиной года; обратило внимание Госплана и всех ведомств на необходимость представления в СНК отчетов о работе по составлению планов подготовки кадров на пятилетие и 1931-4932 гг.; предложило Госплану вопрос о разработке пятилетней программы подготовки кадров поставить в связи со второй пятилеткой (12265).</w:t>
      </w:r>
    </w:p>
    <w:p w14:paraId="57EB459E" w14:textId="77777777" w:rsidR="00824AB6" w:rsidRPr="005E779E" w:rsidRDefault="00824AB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77DA96A9"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17D2D08D"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D976E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10 и 16 апреля 1931. Из протокола заседания Политбюро № 33 1931 г.</w:t>
      </w:r>
    </w:p>
    <w:p w14:paraId="056928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 порядке выдачи орденов</w:t>
      </w:r>
    </w:p>
    <w:p w14:paraId="2E3FE2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Установить как правило, не допускающее никаких исключений, что все ордена (как-то: "Ленина", "Красной Звезды", "Красного Знамени", "Трудового Знамени" и др.), выдаваемые отдельным лицам, вручаются им председателем ЦИК СССР лично в Москве, с одновременным вручением специальной грамоты и документов о льготах. В случае выдачи коллективных наград (заводам и пр.) выдача эта производится на торжественных собраниях, митингах и т. п. (11652).</w:t>
      </w:r>
    </w:p>
    <w:p w14:paraId="63E684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D7B8A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10 и 16 апреля 1931. Из протокола заседания Политбюро № 33 1931 г.</w:t>
      </w:r>
    </w:p>
    <w:p w14:paraId="277690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 первомайском параде</w:t>
      </w:r>
    </w:p>
    <w:p w14:paraId="0AA2E1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Организовать в составе парада три колонны: 1) колонну вооруженных рабочих, 2) колонну комсомольцев в форме юнгштурма и 3) колонну пионеров... (11652).</w:t>
      </w:r>
    </w:p>
    <w:p w14:paraId="25A5C9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42C3B86"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0FF46BFC"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EDF50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апреля 1931 у кишлака Шурга обнаружили банду уже в 200 сабель. Ее атаковало звено Р-ЗЛД.</w:t>
      </w:r>
    </w:p>
    <w:p w14:paraId="480E00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апреля летчики впервые попали под ответный огонь с земли. Басмачи обстреляли самолеты Мищенко и Недо- секина. На другой день авиаторы смогли выручить из беды красных кавалеристов. Разъезд напоролся на отступавшую банду примерно из 250 всадников. Его быстро бы изрубили, но на помощь пришли самолеты. Пулеметным огнем и бомбами они отогнали противника.</w:t>
      </w:r>
    </w:p>
    <w:p w14:paraId="5C2A6E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Туркмении успешно применяли ту же тактику, что и в Таджикистане. 29 апреля летчик Митрофанов нашел на горе Хасан-Дог банду, отдыхавшую в тени деревьев. Вымпелами он навел на нее три эскадрона, окруживших врага. Когда наши кавалеристы пошли в атаку, самолет начал бомбить и обстреливать басмачей. Попытка вырваться из кольца не удалась. Лишь полутора десяткам врагов удалось подняться по очень крутому склону, но и их достал огонь с самолета.</w:t>
      </w:r>
    </w:p>
    <w:p w14:paraId="62D789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Надо сказать, что отличить своих от чужих было нелегко. Летчики часто привозили донесения типа: "Из с. Кунги группа конных 9 чел. в цветных халатах двигалась к р. Яван". Часто встречалась формулировка: "Установить, являлась ли группа басмшайкой, не удалось". Нередко действовали "методом проб и ошибок": сбросили бомбу и посмотрели - если открыли ответный огонь, то уж точно басмачи. Не открыли - кто его знает...</w:t>
      </w:r>
    </w:p>
    <w:p w14:paraId="01C2A6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Туркмены-кочевники перемещались с семьями и большими стадами скота. Отличить мирных пастухов от бандитов было практически невозможно. Вот пример: с воздуха насчитали "примерно 200 человек" ("количество всадников трудно поддается учету, при появлении самолета рассредоточиваются и принимают меры маскировки"), а при них - 4000 баранов, 140 - 150 верблюдов и...400 кибиток! Отсюда вывод - считали только тех, кто на виду, а кто из них басмач, кто - нет, оставалось невыясненным.</w:t>
      </w:r>
    </w:p>
    <w:p w14:paraId="236A18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Командование поступило просто. Всех в контролируемых бандами районах решили считать противником (или пособником противника). Авиации выделили зоны "свободного огня", где своих заведомо не было. Там приказали обстреливать и бомбить все подряд. Удары наносились по скоплениям людей, скоту, жилью в любом виде. Уничтожение живности объяснялось, например, желанием лишить басмачей пропитания. Кроме того, бомбометание по стадам в некоторых случаях действительно помогало выявить небольшие банды, маскировавшиеся среди животных. Летчики формулировали это проще: "В песках все кочевники - басмачи" (11985).</w:t>
      </w:r>
    </w:p>
    <w:p w14:paraId="382942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1E8230E"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Внешняя политика:</w:t>
      </w:r>
    </w:p>
    <w:p w14:paraId="619596A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2C1FC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10 и 16 апреля 1931. Из протокола заседания Политбюро № 33 1931 г.</w:t>
      </w:r>
    </w:p>
    <w:p w14:paraId="26EDA3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 корреспонденте "Нейе Фрейе Пресс" </w:t>
      </w:r>
    </w:p>
    <w:p w14:paraId="059531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 заведомо клеветническое сообщение за границу в "Нейе Фрейе Пресс" о том, что заключенные уголовные преступники якобы работали на лесозаготовках на севере, а потом в связи с кампанией в заграничной печати были якобы переведены с севера в другие места, имеющее целью дать новый "материал" для антисоветской кампании, корреспондента "Нейе Фрейе Пресс" Бассехеса выслать из СССР (11652).</w:t>
      </w:r>
    </w:p>
    <w:p w14:paraId="478A2E5B" w14:textId="05CBC818"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5C8044D" w14:textId="3E60B8D3" w:rsidR="0076645F" w:rsidRPr="005E779E" w:rsidRDefault="0076645F" w:rsidP="000B7A6C">
      <w:pPr>
        <w:autoSpaceDE w:val="0"/>
        <w:autoSpaceDN w:val="0"/>
        <w:adjustRightInd w:val="0"/>
        <w:spacing w:after="0" w:line="240" w:lineRule="auto"/>
        <w:jc w:val="both"/>
        <w:rPr>
          <w:rFonts w:ascii="Times New Roman" w:hAnsi="Times New Roman"/>
          <w:i/>
          <w:iCs/>
          <w:color w:val="000000" w:themeColor="text1"/>
          <w:sz w:val="16"/>
          <w:szCs w:val="16"/>
        </w:rPr>
      </w:pPr>
      <w:r w:rsidRPr="005E779E">
        <w:rPr>
          <w:rFonts w:ascii="Times New Roman" w:hAnsi="Times New Roman"/>
          <w:i/>
          <w:iCs/>
          <w:color w:val="000000" w:themeColor="text1"/>
          <w:sz w:val="16"/>
          <w:szCs w:val="16"/>
        </w:rPr>
        <w:t>За рубежом:</w:t>
      </w:r>
    </w:p>
    <w:p w14:paraId="378D20B3" w14:textId="77777777" w:rsidR="0076645F" w:rsidRPr="005E779E" w:rsidRDefault="0076645F" w:rsidP="000B7A6C">
      <w:pPr>
        <w:autoSpaceDE w:val="0"/>
        <w:autoSpaceDN w:val="0"/>
        <w:adjustRightInd w:val="0"/>
        <w:spacing w:after="0" w:line="240" w:lineRule="auto"/>
        <w:jc w:val="both"/>
        <w:rPr>
          <w:rFonts w:ascii="Times New Roman" w:hAnsi="Times New Roman"/>
          <w:i/>
          <w:iCs/>
          <w:color w:val="000000" w:themeColor="text1"/>
          <w:sz w:val="16"/>
          <w:szCs w:val="16"/>
        </w:rPr>
      </w:pPr>
    </w:p>
    <w:p w14:paraId="00CFCB07" w14:textId="77777777" w:rsidR="0076645F" w:rsidRPr="005E779E" w:rsidRDefault="0076645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апреля 1931 CWA Scott побивает рекорд самого быстрого индивидуального перелета из Англии в Австралию, совершив перелет с 1 по 10 апреля за 9 дней 4 часа 11 минут (20804).</w:t>
      </w:r>
    </w:p>
    <w:p w14:paraId="3EAC6C36" w14:textId="77777777" w:rsidR="0076645F" w:rsidRPr="005E779E" w:rsidRDefault="0076645F" w:rsidP="000B7A6C">
      <w:pPr>
        <w:spacing w:after="0" w:line="240" w:lineRule="auto"/>
        <w:jc w:val="both"/>
        <w:rPr>
          <w:rFonts w:ascii="Times New Roman" w:hAnsi="Times New Roman"/>
          <w:color w:val="000000" w:themeColor="text1"/>
          <w:sz w:val="16"/>
          <w:szCs w:val="16"/>
        </w:rPr>
      </w:pPr>
    </w:p>
    <w:p w14:paraId="77C034F2" w14:textId="77777777" w:rsidR="0076645F" w:rsidRPr="005E779E" w:rsidRDefault="0076645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апреля 1931 - (вылет 1 апреля) британский летчик Чарльз Скотт на самолете DH.60 Gipsy Moth побил рекорд самого быстрого одиночного перелета из Англии в Австралию. Скотт приземлился в Дарвине через 9 дней 4 часа 11 минут после вылета из Англии (22539).</w:t>
      </w:r>
    </w:p>
    <w:p w14:paraId="23BC31B6" w14:textId="77777777" w:rsidR="0076645F" w:rsidRPr="005E779E" w:rsidRDefault="0076645F" w:rsidP="000B7A6C">
      <w:pPr>
        <w:spacing w:after="0" w:line="240" w:lineRule="auto"/>
        <w:jc w:val="both"/>
        <w:rPr>
          <w:rFonts w:ascii="Times New Roman" w:hAnsi="Times New Roman"/>
          <w:color w:val="000000" w:themeColor="text1"/>
          <w:sz w:val="16"/>
          <w:szCs w:val="16"/>
        </w:rPr>
      </w:pPr>
    </w:p>
    <w:p w14:paraId="1B212676" w14:textId="77777777" w:rsidR="00824AB6"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61CD48B1" w14:textId="77777777" w:rsidR="00824AB6" w:rsidRPr="005E779E" w:rsidRDefault="00824AB6"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B6AA79D" w14:textId="77777777" w:rsidR="00824AB6" w:rsidRPr="005E779E" w:rsidRDefault="00824AB6"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11 апреля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Постановление СТО СССР № 52с о расчетах по перевозкам, совершаемым в военное время (ГА РФ. Ф. Р?8418. Оп. 28. Д. 1а. Л. 7?8) (12415).</w:t>
      </w:r>
    </w:p>
    <w:p w14:paraId="65ACE86E" w14:textId="77777777" w:rsidR="00824AB6" w:rsidRPr="005E779E" w:rsidRDefault="00824AB6" w:rsidP="000B7A6C">
      <w:pPr>
        <w:spacing w:after="0" w:line="240" w:lineRule="auto"/>
        <w:jc w:val="both"/>
        <w:rPr>
          <w:rFonts w:ascii="Times New Roman" w:hAnsi="Times New Roman"/>
          <w:color w:val="000000" w:themeColor="text1"/>
          <w:sz w:val="16"/>
          <w:szCs w:val="16"/>
          <w:u w:color="002060"/>
        </w:rPr>
      </w:pPr>
    </w:p>
    <w:p w14:paraId="6BFF29E4" w14:textId="77777777" w:rsidR="0076645F" w:rsidRPr="005E779E" w:rsidRDefault="0076645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апреля 1931 на первой Конференции по планированию НИР В.М.М. сказал: «В ближайшее время должны быть проведены определенные организационные меры, способствующие развитию НИР в стране при обеспечении известного единства плана и в этой области. Однако ясно, что, когда мы говорим о необходимости планирования в НИР в целом, мы должны избежать бюрократизации дела». «Бюрократизация дела» предполагала, в том числе, автоматический перенос принципов промышленного планирования на фундаментальные научные исследования (22685).</w:t>
      </w:r>
    </w:p>
    <w:p w14:paraId="36F70F0F" w14:textId="77777777" w:rsidR="0076645F" w:rsidRPr="005E779E" w:rsidRDefault="0076645F" w:rsidP="000B7A6C">
      <w:pPr>
        <w:spacing w:after="0" w:line="240" w:lineRule="auto"/>
        <w:jc w:val="both"/>
        <w:rPr>
          <w:rFonts w:ascii="Times New Roman" w:hAnsi="Times New Roman"/>
          <w:color w:val="000000" w:themeColor="text1"/>
          <w:sz w:val="16"/>
          <w:szCs w:val="16"/>
        </w:rPr>
      </w:pPr>
    </w:p>
    <w:p w14:paraId="4CD9B6E5" w14:textId="3E6A3942" w:rsidR="001D074B" w:rsidRPr="005E779E" w:rsidRDefault="001D074B" w:rsidP="000B7A6C">
      <w:pPr>
        <w:autoSpaceDE w:val="0"/>
        <w:autoSpaceDN w:val="0"/>
        <w:adjustRightInd w:val="0"/>
        <w:spacing w:after="0" w:line="240" w:lineRule="auto"/>
        <w:jc w:val="both"/>
        <w:rPr>
          <w:rFonts w:ascii="Times New Roman" w:hAnsi="Times New Roman"/>
          <w:i/>
          <w:iCs/>
          <w:color w:val="000000" w:themeColor="text1"/>
          <w:sz w:val="16"/>
          <w:szCs w:val="16"/>
        </w:rPr>
      </w:pPr>
      <w:r w:rsidRPr="005E779E">
        <w:rPr>
          <w:rFonts w:ascii="Times New Roman" w:hAnsi="Times New Roman"/>
          <w:i/>
          <w:iCs/>
          <w:color w:val="000000" w:themeColor="text1"/>
          <w:sz w:val="16"/>
          <w:szCs w:val="16"/>
        </w:rPr>
        <w:t>Армия:</w:t>
      </w:r>
    </w:p>
    <w:p w14:paraId="573F90D2" w14:textId="77777777" w:rsidR="001D074B" w:rsidRPr="005E779E" w:rsidRDefault="001D074B" w:rsidP="000B7A6C">
      <w:pPr>
        <w:autoSpaceDE w:val="0"/>
        <w:autoSpaceDN w:val="0"/>
        <w:adjustRightInd w:val="0"/>
        <w:spacing w:after="0" w:line="240" w:lineRule="auto"/>
        <w:jc w:val="both"/>
        <w:rPr>
          <w:rFonts w:ascii="Times New Roman" w:hAnsi="Times New Roman"/>
          <w:i/>
          <w:iCs/>
          <w:color w:val="000000" w:themeColor="text1"/>
          <w:sz w:val="16"/>
          <w:szCs w:val="16"/>
        </w:rPr>
      </w:pPr>
    </w:p>
    <w:p w14:paraId="0C237E0F" w14:textId="77777777" w:rsidR="001D074B" w:rsidRPr="005E779E" w:rsidRDefault="001D074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апреля 1931 г. летчик 40-го отдельного разведывательного отряда Михаил Андреевич Плавельский вылетел на самолете Р-3 из Дюшанбе на поиск басмачей Ибрагим-бека, совершивших нападение на мирные кишлаки и в полете был подбит и вынужденно сел на перевале. Отправив штурмана с донесением к пограничникам, сам стал прикрывать его отход. Бандиты обнаружили летчика и хотели взять его живым, но он отбивался до последнего патрона. Приведенные штурманом пограничники поймали бандитов, но снасти Плавельского уже не могли. Перевал, где погиб Плавельский, назван его именемю</w:t>
      </w:r>
    </w:p>
    <w:p w14:paraId="48A7BA33" w14:textId="77777777" w:rsidR="001D074B" w:rsidRPr="005E779E" w:rsidRDefault="001D074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/«Советская авиация» 7.12.57/ (23370).</w:t>
      </w:r>
    </w:p>
    <w:p w14:paraId="659F0B92" w14:textId="77777777" w:rsidR="001D074B" w:rsidRPr="005E779E" w:rsidRDefault="001D074B" w:rsidP="000B7A6C">
      <w:pPr>
        <w:spacing w:after="0" w:line="240" w:lineRule="auto"/>
        <w:jc w:val="both"/>
        <w:rPr>
          <w:rFonts w:ascii="Times New Roman" w:hAnsi="Times New Roman"/>
          <w:color w:val="000000" w:themeColor="text1"/>
          <w:sz w:val="16"/>
          <w:szCs w:val="16"/>
        </w:rPr>
      </w:pPr>
    </w:p>
    <w:p w14:paraId="355DBF38" w14:textId="574A44D5"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687D9977"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57547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апреля 1931 г. начальник ЦАГИ писал письмо N 372 начальнику УВВС П.И. Баранову.</w:t>
      </w:r>
    </w:p>
    <w:p w14:paraId="6F3433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сем препровождается материал об испытаниях самолета "Морской экспериментальный разведчик" МДР-2 (АНТ-8).</w:t>
      </w:r>
    </w:p>
    <w:p w14:paraId="4096D4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Докладная записка</w:t>
      </w:r>
    </w:p>
    <w:p w14:paraId="756828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30.01.1931 г. Самолет АНТ-8 после испытаний на рулежку пошел первый раз в воздух. Заводские испытания продолжались всего 3 час. 47 мин., после чего самолет был предъявлен на гос. испытания.</w:t>
      </w:r>
    </w:p>
    <w:p w14:paraId="37D8A6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Гос. испытания были произведены для двух нагрузок:</w:t>
      </w:r>
    </w:p>
    <w:p w14:paraId="0D660F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Нагрузка согласно ТУ в 2105 кг и</w:t>
      </w:r>
    </w:p>
    <w:p w14:paraId="1F79A4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нагрузка увеличенная в 2360 кг.</w:t>
      </w:r>
    </w:p>
    <w:p w14:paraId="18A42D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 гос. испытания удалось провести в 11 полетных дней.</w:t>
      </w:r>
    </w:p>
    <w:p w14:paraId="6D65EE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 о самолете МДР-2</w:t>
      </w:r>
    </w:p>
    <w:p w14:paraId="7A7DF4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основании приказа НВВС N 6/1 произведены испытания самолета МДР-2.</w:t>
      </w:r>
    </w:p>
    <w:p w14:paraId="4D1EE1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Вывод</w:t>
      </w:r>
    </w:p>
    <w:p w14:paraId="34BC5A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полученным летным данным самолет МДР-2 примерно равен самолету ДВ с данной нагрузкой.</w:t>
      </w:r>
    </w:p>
    <w:p w14:paraId="38E45E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Размещение вооружения, снаряжения и действие ими лучше, нежели на самолете ДВ (3278).</w:t>
      </w:r>
    </w:p>
    <w:p w14:paraId="2C1312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2C578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апреля 1931 г. С.П. Королев завершил проектные проработки летательного аппарата, которому он присвоил индекс СК-7 и дал название "тренировочный паритель для фигурных полетов, двухместный". Одноместный планер СК-3 подобного типа был разработан С.П. Королевым в 1930 г. Специалисты высоко оценили эту конструкцию и высказали мнение, что нужен двухместный фигурный планер для внедрения фигур высшего пилотажа в учебную практику пилотов-планеристов. Поэтому у С.П. Королева были все основания продолжить работы в этом направлении. Для СК-7 С.П. Королев применил двухбалочную схему, которая до этого встречалась только в проекте планера-парителя. Приступая к разработке нового планера, С.П. Королев ставил перед собой задачу создать специализированный аппарат, предназначенный только для фигурных полетов. Такая концепция в тот период была оправданной и нашла обоснование в ряде теоретических исследований крупных специалистов планерного дела. Принятая С.П. Королевым концепция позволила сделать планер очень компактным. Вес СК-7 в полете был меньше веса одноместного планера СК-3 (230 кг против 260 кг). С.П. Королев уменьшил размах СК-7 до 10 м против 12,2 м у СК-3 и уменьшил длину до 5,45 м против 6,79 м у СК-3. Кроме того, он увеличил несущую поверхность до 17м</w:t>
      </w:r>
      <w:r w:rsidRPr="005E779E">
        <w:rPr>
          <w:rFonts w:ascii="Times New Roman" w:hAnsi="Times New Roman"/>
          <w:color w:val="000000" w:themeColor="text1"/>
          <w:sz w:val="16"/>
          <w:szCs w:val="16"/>
          <w:vertAlign w:val="superscript"/>
        </w:rPr>
        <w:t>2</w:t>
      </w:r>
      <w:r w:rsidRPr="005E779E">
        <w:rPr>
          <w:rFonts w:ascii="Times New Roman" w:hAnsi="Times New Roman"/>
          <w:color w:val="000000" w:themeColor="text1"/>
          <w:sz w:val="16"/>
          <w:szCs w:val="16"/>
        </w:rPr>
        <w:t xml:space="preserve"> против 12,2 м</w:t>
      </w:r>
      <w:r w:rsidRPr="005E779E">
        <w:rPr>
          <w:rFonts w:ascii="Times New Roman" w:hAnsi="Times New Roman"/>
          <w:color w:val="000000" w:themeColor="text1"/>
          <w:sz w:val="16"/>
          <w:szCs w:val="16"/>
          <w:vertAlign w:val="superscript"/>
        </w:rPr>
        <w:t>2</w:t>
      </w:r>
      <w:r w:rsidRPr="005E779E">
        <w:rPr>
          <w:rFonts w:ascii="Times New Roman" w:hAnsi="Times New Roman"/>
          <w:color w:val="000000" w:themeColor="text1"/>
          <w:sz w:val="16"/>
          <w:szCs w:val="16"/>
        </w:rPr>
        <w:t xml:space="preserve"> у СК-3. В результате существенно уменьшилась нагрузка на крыло -до 13,5 кг/м</w:t>
      </w:r>
      <w:r w:rsidRPr="005E779E">
        <w:rPr>
          <w:rFonts w:ascii="Times New Roman" w:hAnsi="Times New Roman"/>
          <w:color w:val="000000" w:themeColor="text1"/>
          <w:sz w:val="16"/>
          <w:szCs w:val="16"/>
          <w:vertAlign w:val="superscript"/>
        </w:rPr>
        <w:t>2</w:t>
      </w:r>
      <w:r w:rsidRPr="005E779E">
        <w:rPr>
          <w:rFonts w:ascii="Times New Roman" w:hAnsi="Times New Roman"/>
          <w:color w:val="000000" w:themeColor="text1"/>
          <w:sz w:val="16"/>
          <w:szCs w:val="16"/>
        </w:rPr>
        <w:t xml:space="preserve"> против 21 кг/м</w:t>
      </w:r>
      <w:r w:rsidRPr="005E779E">
        <w:rPr>
          <w:rFonts w:ascii="Times New Roman" w:hAnsi="Times New Roman"/>
          <w:color w:val="000000" w:themeColor="text1"/>
          <w:sz w:val="16"/>
          <w:szCs w:val="16"/>
          <w:vertAlign w:val="superscript"/>
        </w:rPr>
        <w:t>2</w:t>
      </w:r>
      <w:r w:rsidRPr="005E779E">
        <w:rPr>
          <w:rFonts w:ascii="Times New Roman" w:hAnsi="Times New Roman"/>
          <w:color w:val="000000" w:themeColor="text1"/>
          <w:sz w:val="16"/>
          <w:szCs w:val="16"/>
        </w:rPr>
        <w:t xml:space="preserve"> у СК-3, что позволило снизить требования к прочности крыла. Снижение этой нагрузки делало также планер менее зависимым от погодных условий и поэтому более подходящим для практических целей. Стремясь уменьшить нагрузку на крыло, С.П. Королев вынужден был пойти на уменьшение удлинения (6 против 12 у СК-3), т. е. на увеличение хорды крыла, к тому же при относительно меньшем размахе. Это неизбежно привело к снижению аэродинамического качества до 15 против 20 у СК-3. Однако в сочетании с остальными характеристиками скорость снижения нового планера была такой же, как у СК-3, — 0,9 м/с. Проект СК-7 не был реализован, но использованные в нем конструкторские идеи получили дальнейшее развитие в проектах самолета СК8-9, планера СК-6 и самолета "Электрон-1" СК-7 (10676).</w:t>
      </w:r>
    </w:p>
    <w:p w14:paraId="1C9D3C50" w14:textId="642BCD33"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F6BF770" w14:textId="380BB9B6" w:rsidR="0076645F" w:rsidRPr="005E779E" w:rsidRDefault="0076645F" w:rsidP="000B7A6C">
      <w:pPr>
        <w:autoSpaceDE w:val="0"/>
        <w:autoSpaceDN w:val="0"/>
        <w:adjustRightInd w:val="0"/>
        <w:spacing w:after="0" w:line="240" w:lineRule="auto"/>
        <w:jc w:val="both"/>
        <w:rPr>
          <w:rFonts w:ascii="Times New Roman" w:hAnsi="Times New Roman"/>
          <w:i/>
          <w:iCs/>
          <w:color w:val="000000" w:themeColor="text1"/>
          <w:sz w:val="16"/>
          <w:szCs w:val="16"/>
        </w:rPr>
      </w:pPr>
      <w:r w:rsidRPr="005E779E">
        <w:rPr>
          <w:rFonts w:ascii="Times New Roman" w:hAnsi="Times New Roman"/>
          <w:i/>
          <w:iCs/>
          <w:color w:val="000000" w:themeColor="text1"/>
          <w:sz w:val="16"/>
          <w:szCs w:val="16"/>
        </w:rPr>
        <w:t>Армия:</w:t>
      </w:r>
    </w:p>
    <w:p w14:paraId="77AA3591" w14:textId="77777777" w:rsidR="0076645F" w:rsidRPr="005E779E" w:rsidRDefault="0076645F" w:rsidP="000B7A6C">
      <w:pPr>
        <w:autoSpaceDE w:val="0"/>
        <w:autoSpaceDN w:val="0"/>
        <w:adjustRightInd w:val="0"/>
        <w:spacing w:after="0" w:line="240" w:lineRule="auto"/>
        <w:jc w:val="both"/>
        <w:rPr>
          <w:rFonts w:ascii="Times New Roman" w:hAnsi="Times New Roman"/>
          <w:i/>
          <w:iCs/>
          <w:color w:val="000000" w:themeColor="text1"/>
          <w:sz w:val="16"/>
          <w:szCs w:val="16"/>
        </w:rPr>
      </w:pPr>
    </w:p>
    <w:p w14:paraId="479517A9" w14:textId="77777777" w:rsidR="0076645F" w:rsidRPr="005E779E" w:rsidRDefault="0076645F"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30" w:name="_Hlk90144669"/>
      <w:r w:rsidRPr="005E779E">
        <w:rPr>
          <w:rFonts w:ascii="Times New Roman" w:eastAsia="Times New Roman" w:hAnsi="Times New Roman"/>
          <w:color w:val="000000" w:themeColor="text1"/>
          <w:sz w:val="16"/>
          <w:szCs w:val="16"/>
          <w:lang w:eastAsia="ru-RU"/>
        </w:rPr>
        <w:t>12 апреля 1931 накануне заседания РВС СССР, у начальника Штаба состоялось совещание комвойсками трех западных округов и СКВО (из них лишь Тухачевский н Егоров являлись членами РВС СССР) для рассмотрения проекта Штаба по составу и структуре армии военного времени. Ход и результаты обсуждения были подытожены в составленном Штабом (вероятно, начальником II Управления) "перечне основных вопросов", по которым высказались приглашенные. Он включал 24 вопроса, причем по четырем из них отмечены высказывания комвойсками УВО Якира, по двум - комвойсками ВВП Егорова, по одному вопросу - Базилевича и Хаханьяна, тогда как Тухачевский представил свои соображения по 19 пунктам (Перечень основных вопросов, затронутых Командующими войсками на совещании у Начальника Штаба РККА, 12.04.1930 // РГВА. Ф. 7. Оп. 10. Д. 994. Л. 90-91. (Позиции Каменева. Белова, Н. Куйбышева и других участников совещания в документе не отражены.)</w:t>
      </w:r>
    </w:p>
    <w:p w14:paraId="3DB97820" w14:textId="77777777" w:rsidR="0076645F" w:rsidRPr="005E779E" w:rsidRDefault="0076645F"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Тухачевский, очевидно, решил использовать представившуюся возможность перейти от индивидуальных апелляций к наркому к мобилизации потенциальных сторонников в высшем армейском руководстве. К тому времени ему оставалось только догадываться о судьбе его записки от 11 января и реакции на нее Сталина. В июньском письме Генеральному секретарю Тухачевский объяснял, что не обратился к нему ранее, поскольку не был осведомлен о содержании "Заключения" Шапошникова. Можно предположить, что полный текст "Заключения" вместе с приложениями Тухачевский получил лишь в середине июня, во время пребывания в Москве для участия в заседании РВС СССР. По воспоминаниям Иссерсона, "не получая ответа, Тухачевский в апреле написал письмо Сталшгу с просьбой рассмотреть его предложения" (ИССЕРСОН Г. С Записки современника о Тухачевском // ВИЖ 1963. № 4. С. 67). Сведения об обращении Тухачевского к Сталину в апреле 1930 г. пока ничем не подтверждены).</w:t>
      </w:r>
    </w:p>
    <w:p w14:paraId="0F423347" w14:textId="77777777" w:rsidR="0076645F" w:rsidRPr="005E779E" w:rsidRDefault="0076645F"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Высказывания комвойсками ЛВО образовывали относительно законченную систему, рассчитанную прежде всего на обеспечение одновременных операций четырех ударных армий и включавшую в себя: 1) увеличение числа дивизий по мобилизации до 140 за счет добавления 30 дивизий по сокращенным штатам (п. 19);</w:t>
      </w:r>
    </w:p>
    <w:p w14:paraId="79B5E17D" w14:textId="77777777" w:rsidR="0076645F" w:rsidRPr="005E779E" w:rsidRDefault="0076645F"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2) увеличение числа танков на первый год войны не менее чем до 7 тыс. (п. 8,20); </w:t>
      </w:r>
    </w:p>
    <w:p w14:paraId="5198692D" w14:textId="77777777" w:rsidR="0076645F" w:rsidRPr="005E779E" w:rsidRDefault="0076645F"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3) двухлетний сдвиг в плане роста боевой авиации на первый год войны (перенос соответствующих показателей мобплана № 12 в мобплан № 10, т.е.с 1932/33г.на 1930/31 г.) (п.21);</w:t>
      </w:r>
    </w:p>
    <w:p w14:paraId="5F07CB6C" w14:textId="77777777" w:rsidR="0076645F" w:rsidRPr="005E779E" w:rsidRDefault="0076645F"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4) развитие военно-транспортной авиации (п. 9); </w:t>
      </w:r>
    </w:p>
    <w:p w14:paraId="4913D38A" w14:textId="77777777" w:rsidR="0076645F" w:rsidRPr="005E779E" w:rsidRDefault="0076645F"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5) увеличение численности саперных средств (п. 6); 6) широкое использование средств гражданских ведомств (НКПС, ГУ ГТВФ) для подготовки военных сообщений по мобразвертыванию (п. 10, 13, 16).</w:t>
      </w:r>
    </w:p>
    <w:p w14:paraId="18A71ECA" w14:textId="77777777" w:rsidR="0076645F" w:rsidRPr="005E779E" w:rsidRDefault="0076645F"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Эти предложения охватывали примерно те же области мобилизационной подготовки, что и рассмотренные в записках Тухачевского октября 1929 - марта 1930 г. Сходство прослеживается и в общих установках на обеспечение сокрушающей стратегии, в убежденности, что экономическое развитие страны должно быть подчиненo военным задачам. Для этого и "почтово-транспортное дело необходимо реконструировать коренным образом. Нужно упразднить багажные вагоны и целиком перейти на автотранспорт. Между пунктами с дальним расстоянием, например Москва-Ташкент и т. д., сообщение совершать только по воздуху. Мы должны явиться толкачом перед гражданскими наркоматами. Дело авиационного развития мы не сдвинем в том случае, если решительно не нажмем на гражданские наркоматы (Тухачевский)" (Перечень основных вопросов, затронутых Командующими войсками на Совещании у Начальника Штаба РККА, 12.04.1930 // Там же. Л. 90 об. В конце 1929 г. Тухачевский направил секретарю Северного крайкома ВКП(б) С. А. Бергавинову предложения, которые адресат охарактеризовал как "сверхграндиозный план развития гражданской авиации на Севере". Согласно этому плану, число самолетов в Северном крае должно было в 1931 г. возрасти до 151. а в 1933 г. - до 1384 машин. Одновременно Бергавинов "слезно просил" НКВМ выделить "хотя бы один самолет для края в непосредственное наше распоряжение" (См.: Письмо Бергавинова Ворошилову, 7.01.1930 // РГА СПИ. Ф. 74. Оп. 2. Д. 40. Л. 6 (цит. по: Соколов Б. В. Тухачевский: Жизнь и смерть красного маршала. М., 2003. С. 408). Столюгув-шись с откровенным скепсисом руководителей Северного края, Тухачевский, таким образом, мысленно обратился к другому региону со слабой системой </w:t>
      </w:r>
      <w:r w:rsidRPr="005E779E">
        <w:rPr>
          <w:rFonts w:ascii="Times New Roman" w:eastAsia="Times New Roman" w:hAnsi="Times New Roman"/>
          <w:color w:val="000000" w:themeColor="text1"/>
          <w:sz w:val="16"/>
          <w:szCs w:val="16"/>
          <w:lang w:eastAsia="ru-RU"/>
        </w:rPr>
        <w:lastRenderedPageBreak/>
        <w:t>наземных сообщений - Средней Азии.). Наконец, как и в меморандумах, внимание фокусировалось на количественных параметрах реконструируемой армии - численности личного состава и технических средств.</w:t>
      </w:r>
    </w:p>
    <w:p w14:paraId="5E54F410" w14:textId="77777777" w:rsidR="0076645F" w:rsidRPr="005E779E" w:rsidRDefault="0076645F"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Однако на совещании Тухачевскому пришлось умерить размах притязаний и придать критике проекта Штаба более конкретную и деловую окраску. Эта тактика принесла свои плоды.</w:t>
      </w:r>
    </w:p>
    <w:p w14:paraId="7C23EAFE" w14:textId="77777777" w:rsidR="0076645F" w:rsidRPr="005E779E" w:rsidRDefault="0076645F"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При отсутствии на совещании его сторонников в Штабе (в частности, В. К Триандафиллова), Тухачевскому удалось заручиться публичной поддержкой со стороны И. Э. Якира (Прежде это у Тухачевского не получалось. На заседании РВС, обсуждавшем больной вопрос о группировках командного и комиссарского состава в РККА в 1928 г., Якир свидетельствовал: "Делал мне предложения и тов. Тухачевский. Но я сказал ему, что в комбинациях участвовать не буду и никаких записок подписывать не стану" (Стенограмма расширенного заседания РВС СССР, 25-27.06.1928 // РГВА. Ф. 4. Оп. 18. Д. 14. Л. 68)). Комвойсками Украинского военного округа поддержал идею увеличения развертываемых стрелковых дивизий со 130 до 140 даже ценой сокращения их численности (Егоров и Корк возражали) и присоединился к предложению увеличить масштабы авиационной программы, в том числе путем "закупки в ближайшее время необходимого числа самолетов за валюту" (Перечень основных вопросов, затронутых Командующими войсками на совещании у начальника Штаба РККА, 12.04.1930 //Там же. Л. 91. Несколько командующих также согласились с предложениями Тухачевского по изменению оснащенности и структуре инженерных частей). Заявления Якира в поддержку ускоренной реконструкции РККА были фактором первостепенной важности для изменения расклада сил в военном руководстве. Приняв у Фрунзе самый крупный военный окрут, Якир бессменно командовал им с 1924 г. Его репутация большевика и командира ставила его выше всех остальных военных руководителей (за исключением, возможно, лишь Ворошилова (За два дня до казни И. Э. Якира нарком обороны публично давал ему следующую характеристику: "Якир - человек, который всеми нами считался за самого уважаемого военного работника среди нас. Человек, который умел проникать не только в различные слои командного, начальствующего состава, но человек, который снискал себе очень большие симпатии среди красноармейских масс, человек, который служил для меня образцом в смысле умения подходить к людям, в смысле его умения распознавать, научать окружающих его людей. Я много раз многим товарищам говорил: учитесь у Якира, как нужно" (Стенограмма доклада и заключительного слова К Е. Ворошилова на активе работников НКО СССР, 9.06.1937 // Там же. Л. 9) Несколькими днями ранее, реагируя на слова Щаденко, что он и другие командиры "видели совершенно ясно": недавно арестованные руководители РККА были "облечены доверием" ЦК партии, Сталин внес уточнение: "Особенно Якир и Гамарник" (Стенограмма заседания Военного Совета при НКО СССР, 1-4.06.1937// РГА СПИ. Ф. 17. On. 165. Д. 59 Л. 102). Об отношении наркома к комвойсками УВО ("Клим любит Якира") см. также ДУБИНСКИЙ И. В. Особый счет. М., 1989; о доверии Сталина: Минаков С. Т. Советская военная элита 20-х годов: (Состав, эволюция, социокультурные особенности и политическая роль). Орел, 2000. С. 436.). Командировка в Германию прибавила к ней ореол профессионального признания со стороны лучшей армии современности (Решение о "командировании на учебу на один год за границу" Якира было принято Политбюро в ноябре 1928 г. (Протокол № 52 заседания Политбюро ЦК ВКП(б) от 29.11.1928 // Там же. Оп. 3. Д 714. Л. 4). Если указанный срок был выдержан, зимой 1929/30 г. командующий УВО оказался загружен делами округа и поэтому с опозданием мог включиться в дебаты о планировании РККА на конец пятилетки.</w:t>
      </w:r>
    </w:p>
    <w:p w14:paraId="08FB02AB" w14:textId="77777777" w:rsidR="0076645F" w:rsidRPr="005E779E" w:rsidRDefault="0076645F"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В среде старшего комсостава УВО бытовало представление, что Гиндеибург даже назвал Якира "советским Мольтке" (ДУБИНСКИЙ И. В. Указ. соч. С. 59).). В мае 1930 г. Якир был награжден третьим орденом Боевого Красного Знамени, и несколькими неделями позже избран кандидатом в члены ЦК ВKП(6), оставаясь с 1927 г. членом Политбюро ЦК КП(б)У.</w:t>
      </w:r>
    </w:p>
    <w:p w14:paraId="20A21F48" w14:textId="77777777" w:rsidR="0076645F" w:rsidRPr="005E779E" w:rsidRDefault="0076645F"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В то же время деловое предложение о запрете наземного сообщения между Москвой и Ташкентом для мобилизационного обеспечения транспортной авиацией ясно указывало, на каких масштабах милитаризации страны настаивает комвойсками ЛВО. По всей вероятности, итоги совещания 12 апреля подтолкнули Ворошилова к оглашению сталинского письма на заседании РВС СССР, состоявшемся 13 апреля, тем более что и само заседание протекало в отнюдь не благостной атмосфере (22725).</w:t>
      </w:r>
    </w:p>
    <w:p w14:paraId="0696D9BD" w14:textId="77777777" w:rsidR="0076645F" w:rsidRPr="005E779E" w:rsidRDefault="0076645F" w:rsidP="000B7A6C">
      <w:pPr>
        <w:spacing w:after="0" w:line="240" w:lineRule="auto"/>
        <w:jc w:val="both"/>
        <w:rPr>
          <w:rFonts w:ascii="Times New Roman" w:hAnsi="Times New Roman"/>
          <w:color w:val="000000" w:themeColor="text1"/>
          <w:sz w:val="16"/>
          <w:szCs w:val="16"/>
        </w:rPr>
      </w:pPr>
    </w:p>
    <w:bookmarkEnd w:id="30"/>
    <w:p w14:paraId="571F8BD3"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7043F16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99198EB" w14:textId="77777777" w:rsidR="005F6639" w:rsidRPr="005E779E" w:rsidRDefault="005F66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апреля в 1931 году поднялся в воздух «Amiot 140» - бомбардировщик-разведчик, разработанный французской фирмой «Avions Amiot». Компания «Amiot», основанная Феликсом Амиотом в 1916 г., была одним из участников конкурса на четырёхместный самолёт в так называемой категории многоместных военных самолётов, который мог бы использоваться в качестве дневного или ночного бомбардировщика, а также сопровождающего самолёта с большим радиусом действия и самолёта-разведчика. В конкурсе кроме бомбардировщика «Amiot 140» участвовали «Bleriot 137», «Breguet 410» и «SPCA 30». После проведения испытаний выбор был сделан в пользу самолета «Avions Amiot». Однажды было высказано мнение, что самолёт «Amiot 140» был выбран для серийного производства, потому что оказался самым уродливым из них. Это, без сомнения, выдумка. Пусть он был некрасив внешне, но так или иначе обладал хорошими эксплуатационными качествами. За штурвалом был летчик-испытатель фирмы Фикинже. На самолёте были установлены 12-цилиндровые V-образные моторы водяного охлаждения «Испано-Сюиза» «12Nbr» с редуктором «Фарман2. В дальнейшем установленные первоначально двухлопастные винты "Ратье" заменили трёхлопастными, чтобы уменьшить вибрацию в редукторе (15097).</w:t>
      </w:r>
    </w:p>
    <w:p w14:paraId="61A463BC" w14:textId="77777777" w:rsidR="005F6639" w:rsidRPr="005E779E" w:rsidRDefault="005F6639" w:rsidP="000B7A6C">
      <w:pPr>
        <w:spacing w:after="0" w:line="240" w:lineRule="auto"/>
        <w:jc w:val="both"/>
        <w:rPr>
          <w:rFonts w:ascii="Times New Roman" w:hAnsi="Times New Roman"/>
          <w:color w:val="000000" w:themeColor="text1"/>
          <w:sz w:val="16"/>
          <w:szCs w:val="16"/>
        </w:rPr>
      </w:pPr>
    </w:p>
    <w:p w14:paraId="4E6206A7" w14:textId="77777777" w:rsidR="0076645F" w:rsidRPr="005E779E" w:rsidRDefault="0076645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апреля 1931 года — первый полёт среднего бомбардировщика Amiot 140M.</w:t>
      </w:r>
    </w:p>
    <w:p w14:paraId="21A61674" w14:textId="77777777" w:rsidR="0076645F" w:rsidRPr="005E779E" w:rsidRDefault="0076645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1928 году Министерство авиации Франции объявило конкурс на дневной/ночной бомбардировщик, разведчик и самолёт сопровождения в одном лице. Фирма Avions Amiot представила на конкурс проект 140M от команды инженеров под руководством Андре Дутартра.</w:t>
      </w:r>
    </w:p>
    <w:p w14:paraId="7BB82C31" w14:textId="77777777" w:rsidR="0076645F" w:rsidRPr="005E779E" w:rsidRDefault="0076645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140M представлял собой двухмоторный высокоплан с двухпалубным фюзеляжем прямоугольного сечения. Типичный представитель неуклюжих и порой уродливых бомбардировщиков начала 1930-х годов. Примечательна «подбородочная» кабина. Экипаж — 4 человека. Вооружение — 5 × 7,5-мм пулемётов МАС + 912 кг бомб.</w:t>
      </w:r>
    </w:p>
    <w:p w14:paraId="63843BA6" w14:textId="77777777" w:rsidR="0076645F" w:rsidRPr="005E779E" w:rsidRDefault="0076645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Построили лишь 2 прототипа Amiot 140M, один из которых демонстрировали на авиационной выставке Ле-Бурже. В серию самолёт не пошёл, т.к. военные предпочли более совершенный Amiot 143, созданный на базе 140-го (22300).</w:t>
      </w:r>
    </w:p>
    <w:p w14:paraId="62F14637" w14:textId="77777777" w:rsidR="0076645F" w:rsidRPr="005E779E" w:rsidRDefault="0076645F" w:rsidP="000B7A6C">
      <w:pPr>
        <w:spacing w:after="0" w:line="240" w:lineRule="auto"/>
        <w:jc w:val="both"/>
        <w:rPr>
          <w:rFonts w:ascii="Times New Roman" w:hAnsi="Times New Roman"/>
          <w:color w:val="000000" w:themeColor="text1"/>
          <w:sz w:val="16"/>
          <w:szCs w:val="16"/>
        </w:rPr>
      </w:pPr>
    </w:p>
    <w:p w14:paraId="5D1F8FEF" w14:textId="77777777" w:rsidR="0076645F" w:rsidRPr="005E779E" w:rsidRDefault="0076645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апреля 1931 - Поднялся в воздух Amiot 140 - бомбардировщик-разведчик, разработанный французской фирмой Avions Amiot. Компания Amiot, основанная Феликсом Амиотом в 1916г., была одним из участников конкурса на четырёхместный самолёт в так называемой категории многоместных военных самолётов, который мог бы использоваться в качестве дневного или ночного бомбардировщика, а также сопровождающего самолёта с большим радиусом действия и самолёта-разведчика. В конкурсе кроме бомбардировщика Amiot 140 участвовали Bleriot 137, Breguet 410 и SPCA 30. После проведения испытаний выбор был сделан в пользу самолета Avions Amiot. Однажды было высказано мнение, что самолёт Amiot 140 был выбран для серийного производства, потому что оказался самым уродливым из них. Это, без сомнения, выдумка. Пусть он был некрасив внешне, но так или иначе обладал хорошими эксплуатационными качествами. За штурвалом был летчик-испытатель фирмы Фикинже. На самолёте были установлены 12-цилиндровые V-образные моторы водяного охлаждения Испано-Сюиза 12Nbr с редуктором "Фарман". В дальнейшем установленные первоначально двухлопастные винты "Ратье" заменили трёхлопастными, чтобы уменьшить вибрацию в редукторе. На его базе сконструированы самолёты Аmiot 142 и Аmiot 143 (22537).</w:t>
      </w:r>
    </w:p>
    <w:p w14:paraId="1EE1A981" w14:textId="77777777" w:rsidR="0076645F" w:rsidRPr="005E779E" w:rsidRDefault="0076645F" w:rsidP="000B7A6C">
      <w:pPr>
        <w:spacing w:after="0" w:line="240" w:lineRule="auto"/>
        <w:jc w:val="both"/>
        <w:rPr>
          <w:rFonts w:ascii="Times New Roman" w:hAnsi="Times New Roman"/>
          <w:color w:val="000000" w:themeColor="text1"/>
          <w:sz w:val="16"/>
          <w:szCs w:val="16"/>
        </w:rPr>
      </w:pPr>
    </w:p>
    <w:p w14:paraId="7A9300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апреля 1931 в ходе муниципальных выборов в Испании победу в сельских районах одержали монархисты, а в большинстве городов - республиканские партии (3186) и Н.А.Замора потребовал отречения короля (3907,167).</w:t>
      </w:r>
    </w:p>
    <w:p w14:paraId="748A33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4E42B52"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705EEEAF"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8162640" w14:textId="77777777" w:rsidR="0076645F" w:rsidRPr="005E779E" w:rsidRDefault="0076645F"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13 апреля 1931, судя по решениям Реввоенсовета, наступление на руководство НКВМ со стороны комвойсками ЛВО и УВО и, вероятно, начальника вооружений РККА было продолжено (Официально заседание РВС СССР 13 апреля не было "расширенным", однако в письме к Сталину Тухачевский назвал его именно так. Это противоречие, вероятно, объясняется тем, что в заседании приняли участие командующие войсками военных округов, совещавшиеся накануне у Шапошникова. По свидетельству Тухачевского, он с характерной для него логикой заявил на заседании, что "для организации нового типа глубокого сражения, необходимо по мобилизации развернуть 8-12 тысяч танков" (Письмо Тухачевского в Политбюро ЦК ВКП Сталину, 19-06.1930. С. 7)). Штабу РККА поручалось внести уточнения в пятилетний план строительства вооруженных сил в соответствии со следующими указаниями РВС:</w:t>
      </w:r>
    </w:p>
    <w:p w14:paraId="64C64C33" w14:textId="77777777" w:rsidR="0076645F" w:rsidRPr="005E779E" w:rsidRDefault="0076645F"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"1. Численность армии военного времени не должна превышать утвержденной Правительством нормы, допуская изменения в сторону увеличения лишь в крайнем случае и в незначительных размерах</w:t>
      </w:r>
    </w:p>
    <w:p w14:paraId="26663066" w14:textId="77777777" w:rsidR="0076645F" w:rsidRPr="005E779E" w:rsidRDefault="0076645F"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2. Артиллерийская программа должна в основном исходить из утвержденного Правительством количества орудий, допуская увеличение лишь по отдельным системам.</w:t>
      </w:r>
    </w:p>
    <w:p w14:paraId="395B73CD" w14:textId="77777777" w:rsidR="0076645F" w:rsidRPr="005E779E" w:rsidRDefault="0076645F"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3. Пересмотреть программу авиации в сторону возможного ее увеличения" (Указания РВС состояли из пяти пунктов. Постановление РВСС цитируется по: Доклад Начальника Штаба РККА Шапошникова в РВС СССР, 18.05.1930// РГВА. Ф. 7. Оп. 10. Д. 1057. Л. 10.) (22725).</w:t>
      </w:r>
    </w:p>
    <w:p w14:paraId="0476428A" w14:textId="77777777" w:rsidR="0076645F" w:rsidRPr="005E779E" w:rsidRDefault="0076645F" w:rsidP="000B7A6C">
      <w:pPr>
        <w:spacing w:after="0" w:line="240" w:lineRule="auto"/>
        <w:jc w:val="both"/>
        <w:rPr>
          <w:rFonts w:ascii="Times New Roman" w:hAnsi="Times New Roman"/>
          <w:color w:val="000000" w:themeColor="text1"/>
          <w:sz w:val="16"/>
          <w:szCs w:val="16"/>
        </w:rPr>
      </w:pPr>
    </w:p>
    <w:p w14:paraId="04F7A0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апреля 1931 летчики на Р-3ЛД впервые попали под ответный огонь с земли. Басмачи обстреляли самолеты Мищенко и Недосекина. На другой день авиаторы смогли выручить из беды красных кавалеристов. Разъезд напоролся на отступавшую банду примерно из 250 всадников. Его быстро бы изрубили, но на помощь пришли самолеты. Пулеметным огнем и бомбами они отогнали противника.</w:t>
      </w:r>
    </w:p>
    <w:p w14:paraId="2AC951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 Туркмении успешно применяли ту же тактику, что и в Таджикистане. 29 апреля летчик Митрофанов нашел на горе Хасан-Дог банду, отдыхавшую в тени деревьев. Вымпелами он навел на нее три эскадрона, окруживших врага. Когда наши кавалеристы пошли в атаку, самолет начал бомбить и обстреливать басмачей. Попытка вырваться из кольца не удалась. Лишь полутора десяткам врагов удалось подняться по очень крутому склону, но и их достал огонь с самолета.</w:t>
      </w:r>
    </w:p>
    <w:p w14:paraId="085951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Надо сказать, что отличить своих от чужих было нелегко. Летчики часто привозили донесения типа: "Из с. Кунги группа конных 9 чел. в цветных халатах двигалась к р. Яван". Часто встречалась формулировка: "Установить, являлась ли группа басмшайкой, не удалось". Нередко действовали "методом проб и ошибок": сбросили бомбу и посмотрели - если открыли ответный огонь, то уж точно басмачи. Не открыли - кто его знает...</w:t>
      </w:r>
    </w:p>
    <w:p w14:paraId="65A162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Туркмены-кочевники перемещались с семьями и большими стадами скота. Отличить мирных пастухов от бандитов было практически невозможно. Вот пример: с воздуха насчитали "примерно 200 человек" ("количество всадников трудно поддается учету, при появлении самолета рассредоточиваются и принимают меры маскировки"), а при них - 4000 баранов, 140 - 150 верблюдов и...400 кибиток! Отсюда вывод - считали только тех, кто на виду, а кто из них басмач, кто - нет, оставалось невыясненным.</w:t>
      </w:r>
    </w:p>
    <w:p w14:paraId="7B4134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Командование поступило просто. Всех в контролируемых бандами районах решили считать противником (или пособником противника). Авиации выделили зоны "свободного огня", где своих заведомо не было. Там приказали обстреливать и бомбить все подряд. Удары наносились по скоплениям людей, скоту, жилью в любом виде. Уничтожение живности объяснялось, например, желанием лишить басмачей пропитания. Кроме того, бомбометание по стадам в некоторых случаях действительно помогало выявить небольшие банды, маскировавшиеся среди животных. Летчики формулировали это проще: "В песках все кочевники - басмачи" (11985).</w:t>
      </w:r>
    </w:p>
    <w:p w14:paraId="0F8C4F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4C20589"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725B21BF"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D2A9972" w14:textId="77777777" w:rsidR="005F6639" w:rsidRPr="005E779E" w:rsidRDefault="005F66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апреля в 1931 году поднялся в воздух опытный экземпляр бомбардировщика «Boeing» «Model 215», оснащенный двумя звездообразными двигателями «Pratt &amp; Whitney» «Hornet» «R- 1860-13» мощностью 575 л. с. Он испытывался под первоначальным обозначением «XB-901». Удовлетворительное заключение по результатам испытаний привело к его закупке под обозначением «YB-9». Опытные образцы бомбардировщика, созданных в рамках проекта самолета «Model 200» «Monomail» имели два двигателя, установленные в гондолах на передней кромке крыла и тонкий фюзеляж для размещения экипажа и вооружения. Оператор бомбометания - стрелок был размещен в носовой части, сразу за ним было место радиста. Позади радиста находились две открытые кабины командира и второго пилота, расположенные тандемно. Четвертая открытая кабина предназначалась для заднего стрелка. Бомбовая нагрузка в 1025 кг размещалась во внутреннем бомбовом отсеке и на подкрыльных бомбодержателях (15098).</w:t>
      </w:r>
    </w:p>
    <w:p w14:paraId="564D6408" w14:textId="77777777" w:rsidR="005F6639" w:rsidRPr="005E779E" w:rsidRDefault="005F6639" w:rsidP="000B7A6C">
      <w:pPr>
        <w:spacing w:after="0" w:line="240" w:lineRule="auto"/>
        <w:jc w:val="both"/>
        <w:rPr>
          <w:rFonts w:ascii="Times New Roman" w:hAnsi="Times New Roman"/>
          <w:color w:val="000000" w:themeColor="text1"/>
          <w:sz w:val="16"/>
          <w:szCs w:val="16"/>
        </w:rPr>
      </w:pPr>
    </w:p>
    <w:p w14:paraId="72037A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апреля 1931 первый полет выполнил Боинг Модель-215, потом получивший обозначение В-9 и ставший первым бомбардировщиком Боинга (2274).</w:t>
      </w:r>
    </w:p>
    <w:p w14:paraId="0A8E83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0C5F2D5" w14:textId="77777777" w:rsidR="00976655" w:rsidRPr="005E779E" w:rsidRDefault="0097665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апреля 1931 - Американская летчица Рут Николс установила мировой рекорд скорости - 338,99 километров в час на 3-километровой базе в Карлтоне, штат Миннесота. Самолет Lockheed Vega 5 (22536).</w:t>
      </w:r>
    </w:p>
    <w:p w14:paraId="0501B4B1" w14:textId="77777777" w:rsidR="00976655" w:rsidRPr="005E779E" w:rsidRDefault="00976655" w:rsidP="000B7A6C">
      <w:pPr>
        <w:spacing w:after="0" w:line="240" w:lineRule="auto"/>
        <w:jc w:val="both"/>
        <w:rPr>
          <w:rFonts w:ascii="Times New Roman" w:hAnsi="Times New Roman"/>
          <w:color w:val="000000" w:themeColor="text1"/>
          <w:sz w:val="16"/>
          <w:szCs w:val="16"/>
        </w:rPr>
      </w:pPr>
    </w:p>
    <w:p w14:paraId="1867E1C2"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644C8DF7"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7EF29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апреля 1931 ЦС Осоавиахима принял обращение построить эскадру дирижаблей им. Ленина (61,66).</w:t>
      </w:r>
    </w:p>
    <w:p w14:paraId="5D1050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065EB8C" w14:textId="77777777" w:rsidR="00030B11" w:rsidRPr="005E779E" w:rsidRDefault="00030B1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апреля 1931 г. ЦС Союза Осоавиахима СССР, «основываясь на инициативе и почи</w:t>
      </w:r>
      <w:r w:rsidRPr="005E779E">
        <w:rPr>
          <w:rFonts w:ascii="Times New Roman" w:hAnsi="Times New Roman"/>
          <w:color w:val="000000" w:themeColor="text1"/>
          <w:sz w:val="16"/>
          <w:szCs w:val="16"/>
        </w:rPr>
        <w:softHyphen/>
        <w:t>не рабочих красной столицы», принял решение о создании эскадры дирижаблей имени Ленина в составе кораблей: «Ленин», «Сталин», «Ста</w:t>
      </w:r>
      <w:r w:rsidRPr="005E779E">
        <w:rPr>
          <w:rFonts w:ascii="Times New Roman" w:hAnsi="Times New Roman"/>
          <w:color w:val="000000" w:themeColor="text1"/>
          <w:sz w:val="16"/>
          <w:szCs w:val="16"/>
        </w:rPr>
        <w:softHyphen/>
        <w:t>рый большевик», «Правда», «Клим Вороши</w:t>
      </w:r>
      <w:r w:rsidRPr="005E779E">
        <w:rPr>
          <w:rFonts w:ascii="Times New Roman" w:hAnsi="Times New Roman"/>
          <w:color w:val="000000" w:themeColor="text1"/>
          <w:sz w:val="16"/>
          <w:szCs w:val="16"/>
        </w:rPr>
        <w:softHyphen/>
        <w:t>лов», «Осоавиахим» и «Колхозник» с головным дирижаблем «Ленин», «объединяя под этим ло</w:t>
      </w:r>
      <w:r w:rsidRPr="005E779E">
        <w:rPr>
          <w:rFonts w:ascii="Times New Roman" w:hAnsi="Times New Roman"/>
          <w:color w:val="000000" w:themeColor="text1"/>
          <w:sz w:val="16"/>
          <w:szCs w:val="16"/>
        </w:rPr>
        <w:softHyphen/>
        <w:t>зунгом всю проводимую до сего времени все</w:t>
      </w:r>
      <w:r w:rsidRPr="005E779E">
        <w:rPr>
          <w:rFonts w:ascii="Times New Roman" w:hAnsi="Times New Roman"/>
          <w:color w:val="000000" w:themeColor="text1"/>
          <w:sz w:val="16"/>
          <w:szCs w:val="16"/>
        </w:rPr>
        <w:softHyphen/>
        <w:t>ми организациями работу по созданию и сбору средств на советское дирижаблестроение». При этом фраза В.И. Ленина «Подождём, пока у нас будут свои дирижабли» толковалась как призыв к развитию дирижаблестроения в СССР. Проис</w:t>
      </w:r>
      <w:r w:rsidRPr="005E779E">
        <w:rPr>
          <w:rFonts w:ascii="Times New Roman" w:hAnsi="Times New Roman"/>
          <w:color w:val="000000" w:themeColor="text1"/>
          <w:sz w:val="16"/>
          <w:szCs w:val="16"/>
        </w:rPr>
        <w:softHyphen/>
        <w:t>хождение этой фразы следующее. По свидетель</w:t>
      </w:r>
      <w:r w:rsidRPr="005E779E">
        <w:rPr>
          <w:rFonts w:ascii="Times New Roman" w:hAnsi="Times New Roman"/>
          <w:color w:val="000000" w:themeColor="text1"/>
          <w:sz w:val="16"/>
          <w:szCs w:val="16"/>
        </w:rPr>
        <w:softHyphen/>
        <w:t>ству большевика Ф.Н. Ильина при обсуждении в сентябре 1914 г. группой интернационалистов в Берне тезисов Ленина «Задачи революцион</w:t>
      </w:r>
      <w:r w:rsidRPr="005E779E">
        <w:rPr>
          <w:rFonts w:ascii="Times New Roman" w:hAnsi="Times New Roman"/>
          <w:color w:val="000000" w:themeColor="text1"/>
          <w:sz w:val="16"/>
          <w:szCs w:val="16"/>
        </w:rPr>
        <w:softHyphen/>
        <w:t>ной социал-демократии в европейской войне», он счёл невыполнимым седьмой пункт тезисов, в котором говорилось о распространении анти</w:t>
      </w:r>
      <w:r w:rsidRPr="005E779E">
        <w:rPr>
          <w:rFonts w:ascii="Times New Roman" w:hAnsi="Times New Roman"/>
          <w:color w:val="000000" w:themeColor="text1"/>
          <w:sz w:val="16"/>
          <w:szCs w:val="16"/>
        </w:rPr>
        <w:softHyphen/>
        <w:t>военных листовок в окопах всех воюющих ар</w:t>
      </w:r>
      <w:r w:rsidRPr="005E779E">
        <w:rPr>
          <w:rFonts w:ascii="Times New Roman" w:hAnsi="Times New Roman"/>
          <w:color w:val="000000" w:themeColor="text1"/>
          <w:sz w:val="16"/>
          <w:szCs w:val="16"/>
        </w:rPr>
        <w:softHyphen/>
        <w:t>мий: «Вот если бы у нас были свои дирижабли, как у немцев, тогда мы наводнили бы окопы сво</w:t>
      </w:r>
      <w:r w:rsidRPr="005E779E">
        <w:rPr>
          <w:rFonts w:ascii="Times New Roman" w:hAnsi="Times New Roman"/>
          <w:color w:val="000000" w:themeColor="text1"/>
          <w:sz w:val="16"/>
          <w:szCs w:val="16"/>
        </w:rPr>
        <w:softHyphen/>
        <w:t>ими листовками. Иначе это — одна фантазия». При следующей встрече с Ильиным Ленин ска</w:t>
      </w:r>
      <w:r w:rsidRPr="005E779E">
        <w:rPr>
          <w:rFonts w:ascii="Times New Roman" w:hAnsi="Times New Roman"/>
          <w:color w:val="000000" w:themeColor="text1"/>
          <w:sz w:val="16"/>
          <w:szCs w:val="16"/>
        </w:rPr>
        <w:softHyphen/>
        <w:t>зал, что это положение он вычеркнул, и добавил: «Действительно, подождём, пока у нас будут свои дирижабли». Имеется, однако, одно бесспорное свидетельство интереса Ленина к дирижаблям. Завершая в 1916 г. свой труд «Империализм, как высшая стадия капитализма», он сделал выписку в рабочую тетрадь из книги германского правого социал-демократа Павла Ленча «Социал-демо</w:t>
      </w:r>
      <w:r w:rsidRPr="005E779E">
        <w:rPr>
          <w:rFonts w:ascii="Times New Roman" w:hAnsi="Times New Roman"/>
          <w:color w:val="000000" w:themeColor="text1"/>
          <w:sz w:val="16"/>
          <w:szCs w:val="16"/>
        </w:rPr>
        <w:softHyphen/>
        <w:t>кратия, её конец и её успехи»: «подводные лодки и цеппелины &lt;...&gt; «начало конца» английского господствующего положения» и добавил от себя в скобках: «их роль ещё сильнее будет потом, по</w:t>
      </w:r>
      <w:r w:rsidRPr="005E779E">
        <w:rPr>
          <w:rFonts w:ascii="Times New Roman" w:hAnsi="Times New Roman"/>
          <w:color w:val="000000" w:themeColor="text1"/>
          <w:sz w:val="16"/>
          <w:szCs w:val="16"/>
        </w:rPr>
        <w:softHyphen/>
        <w:t>сле войны» (20120).</w:t>
      </w:r>
    </w:p>
    <w:p w14:paraId="710A3B30" w14:textId="77777777" w:rsidR="00030B11" w:rsidRPr="005E779E" w:rsidRDefault="00030B11" w:rsidP="000B7A6C">
      <w:pPr>
        <w:spacing w:after="0" w:line="240" w:lineRule="auto"/>
        <w:jc w:val="both"/>
        <w:rPr>
          <w:rFonts w:ascii="Times New Roman" w:hAnsi="Times New Roman"/>
          <w:color w:val="000000" w:themeColor="text1"/>
          <w:sz w:val="16"/>
          <w:szCs w:val="16"/>
        </w:rPr>
      </w:pPr>
    </w:p>
    <w:p w14:paraId="308D9EC5" w14:textId="77777777" w:rsidR="00030B11" w:rsidRPr="005E779E" w:rsidRDefault="00030B1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апреля 1931 г. ЦС Осоавиахима принял обращение "Ко всем рабочим, колхозникам и трудящимся СССР, ко всем организациям и членам Осоавиахима".</w:t>
      </w:r>
    </w:p>
    <w:p w14:paraId="4410A8A2" w14:textId="77777777" w:rsidR="00030B11" w:rsidRPr="005E779E" w:rsidRDefault="00030B1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нем говорилось, что рабочие московских заводов "Серп и молот", "Каучук", "Динамо", "Ильича" "...бросили лозунг построить эскадру дирижаблей имени Ленина". Основываясь на этой инициативе, ЦС "...принял решение о создании эскадры имени Ленина в составе дирижаблей: "Ленин", "Сталин", "Старый большевик", "Правда", "Клим Ворошилов", "Осоавиахим" и "Колхозник"...".</w:t>
      </w:r>
    </w:p>
    <w:p w14:paraId="4E222A1D" w14:textId="77777777" w:rsidR="00030B11" w:rsidRPr="005E779E" w:rsidRDefault="00030B1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Далее в обращении предлагалось развертывать соцсоревнование по сбору средств на эскадру среди всех слоев населения. В том числе и между "...заводами, колхозами, селами и деревнями.. " Сбор средств шел под лозунгом претворения в жизнь "исторических слов Ленина: "У нас будут свои дирижабли! ""</w:t>
      </w:r>
    </w:p>
    <w:p w14:paraId="0FB67D85" w14:textId="77777777" w:rsidR="00030B11" w:rsidRPr="005E779E" w:rsidRDefault="00030B1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Интересны обстоятельства, при которых В. И. Ленин вспомнил о дирижаблях. По рассказу старого большевика Ф. И. Ильина, эти события развертывались следующим образом. Шла первая мировая война. Лидеры большевиков, находясь в эмиграции в нейтральной Швейцарии, были озабочены задачей быстрейшего развала фронта русской армии. На одном из совещаний Ленин выступил с предложением начать по всему фронту массовое распространение листовок, призывающих солдат повернуть оружие против своего правительства. Один из его соратников заметил, что громадная протяженность фронта делает эту задачу практически невыполнимой и что ее можно было бы решить, имей большевики в своем распоряжении такую технику, как немецкие цеппелины. Ленин согласился с этим, снял свое предложение и сказал: "Подождем, пока у нас будут свои дирижабли" (21379)</w:t>
      </w:r>
      <w:r w:rsidRPr="005E779E">
        <w:rPr>
          <w:rFonts w:ascii="Times New Roman" w:hAnsi="Times New Roman"/>
          <w:bCs/>
          <w:color w:val="000000" w:themeColor="text1"/>
          <w:sz w:val="16"/>
          <w:szCs w:val="16"/>
        </w:rPr>
        <w:t>.</w:t>
      </w:r>
    </w:p>
    <w:p w14:paraId="66FA08C4" w14:textId="77777777" w:rsidR="00030B11" w:rsidRPr="005E779E" w:rsidRDefault="00030B11" w:rsidP="000B7A6C">
      <w:pPr>
        <w:spacing w:after="0" w:line="240" w:lineRule="auto"/>
        <w:jc w:val="both"/>
        <w:rPr>
          <w:rFonts w:ascii="Times New Roman" w:hAnsi="Times New Roman"/>
          <w:color w:val="000000" w:themeColor="text1"/>
          <w:sz w:val="16"/>
          <w:szCs w:val="16"/>
        </w:rPr>
      </w:pPr>
    </w:p>
    <w:p w14:paraId="55E8782C" w14:textId="77777777" w:rsidR="00824AB6"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52570F24" w14:textId="77777777" w:rsidR="00824AB6" w:rsidRPr="005E779E" w:rsidRDefault="00824AB6"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0ECCC24" w14:textId="77777777" w:rsidR="00824AB6" w:rsidRPr="005E779E" w:rsidRDefault="00824AB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апреля 1931 г. Постановление Президиума ВСНХ СССР о дровоснабжении Ижевского завода Оружобъединения (РГАЭ. Ф. 3429. Оп. 1. Д. 5244. Л. 55?56) (12417).</w:t>
      </w:r>
    </w:p>
    <w:p w14:paraId="476068C7" w14:textId="77777777" w:rsidR="00824AB6" w:rsidRPr="005E779E" w:rsidRDefault="00824AB6" w:rsidP="000B7A6C">
      <w:pPr>
        <w:spacing w:after="0" w:line="240" w:lineRule="auto"/>
        <w:jc w:val="both"/>
        <w:rPr>
          <w:rFonts w:ascii="Times New Roman" w:hAnsi="Times New Roman"/>
          <w:color w:val="000000" w:themeColor="text1"/>
          <w:sz w:val="16"/>
          <w:szCs w:val="16"/>
        </w:rPr>
      </w:pPr>
    </w:p>
    <w:p w14:paraId="58A0831E"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20D2F429"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7ED8F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апреля 1931 г. самолеты Р-3ЛД обнаружили банду Кур-Артыка на переправе через реку Кызыл-Су. Басмачей атаковали девять машин. Сбросив бомбы, они смогли остановить переправу. Затем летчики разыскали расположение красноармейцев и повели их к реке. Перед двумя эскадронами кавалерии басмачам было не устоять- они бросились врассыпную. На месте боя начитали 101 труп, трех человек взяли в плен; трофеями стали 21 винтовка и 67 лошадей.</w:t>
      </w:r>
    </w:p>
    <w:p w14:paraId="4FAEB8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Через три дня Кур-Артык попался на глаза авиаторам в 40 км юго-западнее Курган-Тюбе. Его банда, уменьшившаяся втрое, двигалась на запад. С помощью вымпелов на басмачей навели эскадрон конников и отряд мотопехоты на грузовиках с пулеметами. Прикрывая отход, Кур-Артык бросил в смертельную атаку "палочников", практически не имевших огнестрельного оружия. Пока их косили из пулеметов, курбаши с группой приближенных ушел.</w:t>
      </w:r>
    </w:p>
    <w:p w14:paraId="7CF50E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 при этом он потерял более 50 человек, красные конники - лишь одного. Фактически банда была разгромлена. Кур-Артык бежал, периодически натыкаясь то на кавалеристов, то на мобильные группы на автомобилях. Жалкие остатки его отряда укрылись в горах Терегли-Тау.</w:t>
      </w:r>
    </w:p>
    <w:p w14:paraId="6030B5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Под мощный удар с воздуха угодила и банда Апи-Мардана. Три группы самолетов, сменяясь, утюжили ее в течение пяти часов. Кончилось тем, что атаман выслал парламентеров и сложил оружие.</w:t>
      </w:r>
    </w:p>
    <w:p w14:paraId="47BA1E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Ибрагим-беку тоже досталось. Он рвался в Локайский район, где жили его родственники. Авиация постоянно следила за перемещением банды. Самолет командира звена А. Митрофанова был придан кавалерийскому полку, разместившемуся в Кулябе. В первом же полете летчики обнаружили басмачей на равнине в районе зимовки Ак-Джар. Когда разведчик снизился, чтобы разглядеть происходящее внизу, по нему начали стрелять из винтовок. В ответ летнаб Абдурахманов расстрелял по врагу все патроны. Митрофанов нашел отряд красных конников и сбросил ему вымпел. Потом экипаж совершил еще два вылета, теперь уже с бомбометанием.</w:t>
      </w:r>
    </w:p>
    <w:p w14:paraId="4A350A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следующий день самолетов стало уже три, а красноармейцы с разных сторон начали наседать на банду. В результате басмачей прижали к реке Вахш. Авиация постоянно вела разведку, что было достаточно сложно в горах. Банда переправилась через реку на бурдюках. Теперь ее погнали по левому берегу; численность все время уменьшалась - летчики продолжали наносить удары с воздуха.</w:t>
      </w:r>
    </w:p>
    <w:p w14:paraId="6FE2D9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Вот как описывает в своих мемуарах Митрофанов штурмовку у горы Сарса- рак: "В пылу боевого азарта, не обращая внимания на выстрелы басмачей, я снижался все ниже и ниже. Прошло немного времени, и на конях не осталось ни одного всадника - пули разбросали их по оврагу" (11985).</w:t>
      </w:r>
    </w:p>
    <w:p w14:paraId="6CB198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43E6ABF"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Внешняя политика:</w:t>
      </w:r>
    </w:p>
    <w:p w14:paraId="19920F9C"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36D8E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апреля 1931 г. в ходе визита в Берлин заместителя председателя ВСНХ Ю. Л. Пятакова. в Берлине было оформлено соглашение между ВСНХ и представителями германской промышленности о предоставлении СССР кредита в 300 млн. марок («соглашение Пятакова»). На эту сумму СССР обязался с 15 апреля по 31 августа 1931 г. разместить дополнительные заказы (ДВП СССР, т. XIV, с. 118, с. 778-781.). Очевидно, что, как и ранее, часть, — возможно, большая, — данного кредита была использована под военно-промышленные заказы. Известно, что в середине 1931 г. еще одна советская военная делегация вела в Берлине переговоры с управлением вооружений райхсвера и установила контакты с некоторыми военно-промышленными фирмами. По вопросам технического сотрудничества и поставок систем управления велись переговоры с «Сименсом». Сделка должна была реализовываться через дочернее предприятие «Сименса» в Англии (Rolf-Dieter Muller. Op. cit.. S. 231). С учетом заказов под данный кредит общая сумма советских заказов в Германии в 1931 г. составила 919,3 млн. м., превзойдя аналогичный показатель 1930 г. на 62,3%. «Советский Союз был в 1931 г. лучшим покупателем наших машин», — свидетельствовала тогда германская пресса (11784).</w:t>
      </w:r>
    </w:p>
    <w:p w14:paraId="6D0601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A7614C7" w14:textId="77777777" w:rsidR="009459B0" w:rsidRPr="005E779E" w:rsidRDefault="009459B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апреля 1931 г. после визита в Берлин заместителя председателя ВСНХ Ю. Л. Пятакова в Берлине было оформлено соглашение между ВСНХ и представителями германской промышленности о предоставлении СССР кредита в 300 млн. марок («соглашение Пятакова»). На эту сумму СССР обязался с 15 апреля по 31 августа 1931 г. разместить дополнительные заказы. Очевидно, что, как и ранее, часть, — возможно, большая, — данного кредита была использована под военно-промышленные заказы. Известно, что в середине 1931 г. еще одна советская военная делегация вела в Берлине переговоры с управлением вооружений райхсвера и установила контакты с некоторыми военно-промышленными фирмами. По вопросам технического сотрудничества и поставок систем управления велись переговоры с «Сименсом». Сделка должна была реализовываться через дочернее предприятие «Сименса» в Англии. С учетом заказов под данный кредит общая сумма советских заказов в Германии в 1931 г. составила 919,3 млн. м., превзойдя аналогичный показатель 1930 г. на 62,3 %. «Советский Союз был в 1931 г. лучшим покупателем наших машин», — свидетельствовала тогда германская пресса (18265).</w:t>
      </w:r>
    </w:p>
    <w:p w14:paraId="3F07E3B2" w14:textId="77777777" w:rsidR="009459B0" w:rsidRPr="005E779E" w:rsidRDefault="009459B0" w:rsidP="000B7A6C">
      <w:pPr>
        <w:spacing w:after="0" w:line="240" w:lineRule="auto"/>
        <w:jc w:val="both"/>
        <w:rPr>
          <w:rFonts w:ascii="Times New Roman" w:hAnsi="Times New Roman"/>
          <w:color w:val="000000" w:themeColor="text1"/>
          <w:sz w:val="16"/>
          <w:szCs w:val="16"/>
        </w:rPr>
      </w:pPr>
    </w:p>
    <w:p w14:paraId="2CB6EF7E"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010E87B9"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3A07822" w14:textId="77777777" w:rsidR="00C260B7" w:rsidRPr="005E779E" w:rsidRDefault="00C260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апреля 1931 Гондурас основывает Национальную авиационную школу. Это предшественник ВВС Гондураса (20804).</w:t>
      </w:r>
    </w:p>
    <w:p w14:paraId="6E2D998C" w14:textId="77777777" w:rsidR="00C260B7" w:rsidRPr="005E779E" w:rsidRDefault="00C260B7" w:rsidP="000B7A6C">
      <w:pPr>
        <w:spacing w:after="0" w:line="240" w:lineRule="auto"/>
        <w:jc w:val="both"/>
        <w:rPr>
          <w:rFonts w:ascii="Times New Roman" w:hAnsi="Times New Roman"/>
          <w:color w:val="000000" w:themeColor="text1"/>
          <w:sz w:val="16"/>
          <w:szCs w:val="16"/>
        </w:rPr>
      </w:pPr>
    </w:p>
    <w:p w14:paraId="25797A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апреля 1931 в Англии был опубликован первый дорожный кодекс (3481).</w:t>
      </w:r>
    </w:p>
    <w:p w14:paraId="406161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2DAE5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апреля 1931 был низложен король Испании Алонсо 13 (2100).</w:t>
      </w:r>
    </w:p>
    <w:p w14:paraId="52A3BE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EBE4B6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апреля 1931 в Испании свергнут король и провозглашена республика (4962).</w:t>
      </w:r>
    </w:p>
    <w:p w14:paraId="155F194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59FD54"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23586A5E"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1F54C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апреля 1931 28 завод сдал первый комплект лыж для АНТ-7 (Р-6) и их сразу поставили на опытную машину. Испытывали и укороченные лыжи от АНТ-9 (2671,14).</w:t>
      </w:r>
    </w:p>
    <w:p w14:paraId="0A8589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FEF0430" w14:textId="77777777" w:rsidR="00824AB6" w:rsidRPr="005E779E" w:rsidRDefault="00824AB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апреля 1931 завод № 28 сдал первый пробный комплект лыж для Р-6. Их сразу, пока ещё лежал снег, поставили на Р-6; на нём опробовали также укороченные лыжи от АНТ-9 (12264).</w:t>
      </w:r>
    </w:p>
    <w:p w14:paraId="4F807828" w14:textId="77777777" w:rsidR="00824AB6" w:rsidRPr="005E779E" w:rsidRDefault="00824AB6" w:rsidP="000B7A6C">
      <w:pPr>
        <w:spacing w:after="0" w:line="240" w:lineRule="auto"/>
        <w:jc w:val="both"/>
        <w:rPr>
          <w:rFonts w:ascii="Times New Roman" w:hAnsi="Times New Roman"/>
          <w:color w:val="000000" w:themeColor="text1"/>
          <w:sz w:val="16"/>
          <w:szCs w:val="16"/>
        </w:rPr>
      </w:pPr>
    </w:p>
    <w:p w14:paraId="0E8E84C1"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0C879B03"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9526CB9" w14:textId="77777777" w:rsidR="00824AB6" w:rsidRPr="005E779E" w:rsidRDefault="00824AB6"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15 апреля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Протокол заседания Политбюро ЦК ВКП(б) № 34. 8. Об импорте оборудования для Нижегородского автозавода (12416).</w:t>
      </w:r>
    </w:p>
    <w:p w14:paraId="7A21DC9B" w14:textId="77777777" w:rsidR="00824AB6" w:rsidRPr="005E779E" w:rsidRDefault="00824AB6"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9. О ходе работ на Сталинградском тракторном заводе (ПБ от 10 декабря 1930 г., пр. № 20, п. 4/10) (Михайлов, Орджоникидзе, Озерский, Шершов). 31. О кадрах командного состава НКВМора (ПБ от 25 февраля 1931 г., пр. № 21, п. 27). (Политбюро... Т. 2. С. 152, 153) (12416).</w:t>
      </w:r>
    </w:p>
    <w:p w14:paraId="001919A1" w14:textId="77777777" w:rsidR="00824AB6" w:rsidRPr="005E779E" w:rsidRDefault="00824AB6" w:rsidP="000B7A6C">
      <w:pPr>
        <w:spacing w:after="0" w:line="240" w:lineRule="auto"/>
        <w:jc w:val="both"/>
        <w:rPr>
          <w:rFonts w:ascii="Times New Roman" w:hAnsi="Times New Roman"/>
          <w:color w:val="000000" w:themeColor="text1"/>
          <w:sz w:val="16"/>
          <w:szCs w:val="16"/>
          <w:u w:color="002060"/>
        </w:rPr>
      </w:pPr>
    </w:p>
    <w:p w14:paraId="5DF8D794" w14:textId="77777777" w:rsidR="00824AB6" w:rsidRPr="005E779E" w:rsidRDefault="00824AB6"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15 апреля 1931 </w:t>
      </w:r>
      <w:r w:rsidRPr="005E779E">
        <w:rPr>
          <w:rFonts w:ascii="Times New Roman" w:hAnsi="Times New Roman"/>
          <w:color w:val="000000" w:themeColor="text1"/>
          <w:sz w:val="16"/>
          <w:szCs w:val="16"/>
        </w:rPr>
        <w:t>Политбюро ЦК ВКП (б) одобрило предложение СНК о порядке отчисления прибылей промышленности в бюджет; обратило внимание Комиссии исполнения при СНК на необходимость добиться полного выполнения решений ЦК ВКП (б) и СНК о своевременном снабжении оборудованием Нижегородского автомобильного завода; признало неудовлетворительным состояние работ на Сталинградском тракторном заводе и предложило ВСНХ принять меры по устранению недостатков; признало необходимым организовать разработки угольных залежей Печорского бассейна в 1931 г. и форсировать разведки нефти на Ухте (12265).</w:t>
      </w:r>
    </w:p>
    <w:p w14:paraId="2E733B69" w14:textId="77777777" w:rsidR="00824AB6" w:rsidRPr="005E779E" w:rsidRDefault="00824AB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15BAE8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апреля 1931 Нач. МС РККА Р.А.Муклевич обратился с письмом к Пред. РВС К.Е.В. с предложением создать НИИ военного кораблестроения (10346,21).</w:t>
      </w:r>
    </w:p>
    <w:p w14:paraId="3E8239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4F1FBD9"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72576847"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E4871B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апреля 1931 в ресторане Нью-Йорка убит глава американской мафии Джузеппе Массериа (4962).</w:t>
      </w:r>
    </w:p>
    <w:p w14:paraId="5C3E5D8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97EAA6"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6211C8E1"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F54532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середины апреля 1931 года ЦАГИ совместно с НИИ начали полеты на специально оборудованном самолете И-5 для снятия характеристики штопора (6918).</w:t>
      </w:r>
    </w:p>
    <w:p w14:paraId="4105E85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AF12CC"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4970D0A2"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800BD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 апреля 1931 года было подготовлено Заключение по испытанию лыж на самолете Р-5.</w:t>
      </w:r>
    </w:p>
    <w:p w14:paraId="1F6D12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испытание были присланы с завода N 28 лыжи за N 8118 серии 3.</w:t>
      </w:r>
    </w:p>
    <w:p w14:paraId="365CDC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Испытание состояло в том, что прочно ли будет держать обшивку оцинкованные гвозди при жестких посадках?</w:t>
      </w:r>
    </w:p>
    <w:p w14:paraId="237EE9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Испытание производилось на сам. Р-5 N 4316.</w:t>
      </w:r>
    </w:p>
    <w:p w14:paraId="56C9F3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испытания было сделано 8 полетов продолжительностью 3 часа 25 мин. Из них специальных - 6 с парашютом в 0,5 м.</w:t>
      </w:r>
    </w:p>
    <w:p w14:paraId="1C91B0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результате испытаний оказалось, что никаких намеков на выскакивание гвоздей из обшивки не наблюдается.</w:t>
      </w:r>
    </w:p>
    <w:p w14:paraId="1C1BF3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Вывод</w:t>
      </w:r>
    </w:p>
    <w:p w14:paraId="775E72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Лыжи нормальные, обшитые по борту гвоздями оцинкованными, вместо шурупов, пригодны к эксплуатации (3237,33).</w:t>
      </w:r>
    </w:p>
    <w:p w14:paraId="7D6BEF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0D2AF7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 апреля 1931 года после ремонта вновь было приступлено к проведению испытаний геликоптера СОК ЭАО ЦАГИ. После испытаний на привязи было приступлено вновь к свободным испытаниям (6926, 5).</w:t>
      </w:r>
    </w:p>
    <w:p w14:paraId="1DA1888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003E6C" w14:textId="77777777" w:rsidR="00F67F51" w:rsidRPr="005E779E" w:rsidRDefault="00F67F5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 апреля 1931 года на заседании Бюро партколлектива ячейки ЦАГИ при об</w:t>
      </w:r>
      <w:r w:rsidRPr="005E779E">
        <w:rPr>
          <w:rFonts w:ascii="Times New Roman" w:hAnsi="Times New Roman"/>
          <w:color w:val="000000" w:themeColor="text1"/>
          <w:sz w:val="16"/>
          <w:szCs w:val="16"/>
        </w:rPr>
        <w:softHyphen/>
        <w:t>суждении результатов обследования ОИАМ комиссией УВВС было отмечено, что ОИАМ перерос «свои прежние рамки» ввиду охвата им большого круга решаемых за</w:t>
      </w:r>
      <w:r w:rsidRPr="005E779E">
        <w:rPr>
          <w:rFonts w:ascii="Times New Roman" w:hAnsi="Times New Roman"/>
          <w:color w:val="000000" w:themeColor="text1"/>
          <w:sz w:val="16"/>
          <w:szCs w:val="16"/>
        </w:rPr>
        <w:softHyphen/>
        <w:t>дач. Но, в то же время, некоторые недостатки в его работе позволили характеризовать отдел «как не отвечающий полностью задачам обороны сегодняшнего дня». Таким об</w:t>
      </w:r>
      <w:r w:rsidRPr="005E779E">
        <w:rPr>
          <w:rFonts w:ascii="Times New Roman" w:hAnsi="Times New Roman"/>
          <w:color w:val="000000" w:themeColor="text1"/>
          <w:sz w:val="16"/>
          <w:szCs w:val="16"/>
        </w:rPr>
        <w:softHyphen/>
        <w:t>разом, выделение ОИАМ из ЦАГИ сочли преждевременным (19096).</w:t>
      </w:r>
    </w:p>
    <w:p w14:paraId="79678DB9" w14:textId="77777777" w:rsidR="00F67F51" w:rsidRPr="005E779E" w:rsidRDefault="00F67F51" w:rsidP="000B7A6C">
      <w:pPr>
        <w:spacing w:after="0" w:line="240" w:lineRule="auto"/>
        <w:jc w:val="both"/>
        <w:rPr>
          <w:rFonts w:ascii="Times New Roman" w:hAnsi="Times New Roman"/>
          <w:color w:val="000000" w:themeColor="text1"/>
          <w:sz w:val="16"/>
          <w:szCs w:val="16"/>
        </w:rPr>
      </w:pPr>
    </w:p>
    <w:p w14:paraId="4B0817B4" w14:textId="77777777" w:rsidR="00B97584" w:rsidRPr="00142305" w:rsidRDefault="00B97584" w:rsidP="00B9758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16 апреля 1931 года, Совет труда и обороны при СНК СССР рассмотрел, а Политбюро ЦК ВКП(б) утвердило постановление «О плане гражданского воздушного флота на 1931 год», в котором говорилось:</w:t>
      </w:r>
    </w:p>
    <w:p w14:paraId="10823D5E" w14:textId="77777777" w:rsidR="00B97584" w:rsidRPr="00142305" w:rsidRDefault="00B97584" w:rsidP="00B9758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Союз ССР имеет в настоящее время полную возможность приступить к выполнению широкой программы аэрофикации</w:t>
      </w:r>
    </w:p>
    <w:p w14:paraId="6F7904FB" w14:textId="77777777" w:rsidR="00B97584" w:rsidRPr="00142305" w:rsidRDefault="00B97584" w:rsidP="00B9758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плане устанавливались конкретные цели, которые нужно было достигнуть. В первую очередь это касалось расширения маршрутной сети:</w:t>
      </w:r>
    </w:p>
    <w:p w14:paraId="10C0F61D" w14:textId="77777777" w:rsidR="00B97584" w:rsidRPr="00142305" w:rsidRDefault="00B97584" w:rsidP="00B9758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«Утвердить открытие в 1931 г. сети новых воздушных путей сообщения… в объеме 10.970 км, а за счет местных средств 3.549 км, что составит вместе с действующей на 1 января 1931 года сетью в 26.487 км сеть воздушных путей СССР 37.457 км, а с линиями, организуемыми за счет местных средств — 41.006 км».</w:t>
      </w:r>
    </w:p>
    <w:p w14:paraId="55AE83C9" w14:textId="77777777" w:rsidR="00B97584" w:rsidRPr="00142305" w:rsidRDefault="00B97584" w:rsidP="00B9758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Для обеспечения полетов планировалось построить и достроить 55 аэродромов, 2 аэровокзала, 21 ангар и 11 авиаремонтных мастерских. А также оснастить наземным световым, метеорологическим и радиооборудованием существующие и открываемые линии. Гражданскую авиацию предписывалось полностью обеспечить горюче-смазочными материалами и обеспечить многомиллионное финансирование ее работ:</w:t>
      </w:r>
    </w:p>
    <w:p w14:paraId="23029A47" w14:textId="77777777" w:rsidR="00B97584" w:rsidRPr="00142305" w:rsidRDefault="00B97584" w:rsidP="00B9758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«Утвердить объем капитальных вложений в гражданский воздушный флот в 1931 г. в размере 120.621 тыс. руб. по союзному бюджету и 19.400 тыс. руб. по средствам советских хозяйственных и общественных организаций, всего на 140.021 тыс. руб. и финансирование оперативно-эксплуатационных расходов по союзному бюджету 4.000 тыс. руб. по линиям и на подготовку кадров 24.149 тыс. рублей».</w:t>
      </w:r>
    </w:p>
    <w:p w14:paraId="35E54A9E" w14:textId="77777777" w:rsidR="00B97584" w:rsidRPr="00142305" w:rsidRDefault="00B97584" w:rsidP="00B9758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План школьного строительства гражданского воздушного флота на 1931 г. утвердить на контингент 1931 г. 13.055 чел.</w:t>
      </w:r>
    </w:p>
    <w:p w14:paraId="386C6B69" w14:textId="77777777" w:rsidR="00B97584" w:rsidRPr="00142305" w:rsidRDefault="00B97584" w:rsidP="00B9758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Кроме того, предложить ВСНХ СССР, НКПиТ, НКПС разместить в своих втузах и техникумах контингент 528 инженеров и 950 техников. Одобрить план обучения в школах Осоавиахима в 1931 г. 2.000 пилотов III класса и техников».</w:t>
      </w:r>
    </w:p>
    <w:p w14:paraId="32617715" w14:textId="77777777" w:rsidR="00B97584" w:rsidRPr="00142305" w:rsidRDefault="00B97584" w:rsidP="00B9758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системе гражданского воздушного флота (ГВФ), как предусматривал план, должно было полноценно работать три вуза, высшие академические курсы, пять авиатехникумов и три объединенные школы пилотов и авиатехников.</w:t>
      </w:r>
    </w:p>
    <w:p w14:paraId="60223599" w14:textId="51D30BE5" w:rsidR="00B97584" w:rsidRPr="00142305" w:rsidRDefault="00B97584" w:rsidP="00B9758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Единственный пункт плана, который не утвердило Политбюро, описывал количество техники, которое должен был получить ГВФ за год — «907 самолетов и 1.429 моторов с запчастями к ним». Программу мото- и самолетостроения высшее руководство страны поручило еще раз проверить и просчитать</w:t>
      </w:r>
      <w:r w:rsidR="00FE094E">
        <w:rPr>
          <w:rFonts w:ascii="Times New Roman" w:hAnsi="Times New Roman"/>
          <w:color w:val="0070C0"/>
          <w:sz w:val="16"/>
          <w:szCs w:val="16"/>
        </w:rPr>
        <w:t xml:space="preserve"> </w:t>
      </w:r>
      <w:r w:rsidRPr="00142305">
        <w:rPr>
          <w:rFonts w:ascii="Times New Roman" w:hAnsi="Times New Roman"/>
          <w:color w:val="0070C0"/>
          <w:sz w:val="16"/>
          <w:szCs w:val="16"/>
        </w:rPr>
        <w:t>(25172).</w:t>
      </w:r>
    </w:p>
    <w:p w14:paraId="1B6F07AD" w14:textId="77777777" w:rsidR="00B97584" w:rsidRPr="00142305" w:rsidRDefault="00B97584" w:rsidP="00B97584">
      <w:pPr>
        <w:spacing w:after="0" w:line="240" w:lineRule="auto"/>
        <w:jc w:val="both"/>
        <w:rPr>
          <w:rFonts w:ascii="Times New Roman" w:hAnsi="Times New Roman"/>
          <w:color w:val="0070C0"/>
          <w:sz w:val="16"/>
          <w:szCs w:val="16"/>
        </w:rPr>
      </w:pPr>
    </w:p>
    <w:p w14:paraId="14B4DFE8" w14:textId="77777777" w:rsidR="00824AB6"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79FE77C2" w14:textId="77777777" w:rsidR="00824AB6" w:rsidRPr="005E779E" w:rsidRDefault="00824AB6"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2453B53" w14:textId="77777777" w:rsidR="00824AB6" w:rsidRPr="005E779E" w:rsidRDefault="00824AB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 апреля 1931 г. Постановление Президиума ВСНХ СССР о реконструкции Ижевского завода (ГА РФ. Ф. Р-8418. Оп. 5. Д. 39. Л. 3) (12417).</w:t>
      </w:r>
    </w:p>
    <w:p w14:paraId="25019DB8" w14:textId="77777777" w:rsidR="00824AB6" w:rsidRPr="005E779E" w:rsidRDefault="00824AB6" w:rsidP="000B7A6C">
      <w:pPr>
        <w:spacing w:after="0" w:line="240" w:lineRule="auto"/>
        <w:jc w:val="both"/>
        <w:rPr>
          <w:rFonts w:ascii="Times New Roman" w:hAnsi="Times New Roman"/>
          <w:color w:val="000000" w:themeColor="text1"/>
          <w:sz w:val="16"/>
          <w:szCs w:val="16"/>
        </w:rPr>
      </w:pPr>
    </w:p>
    <w:p w14:paraId="6CE00CCD" w14:textId="77777777" w:rsidR="00B97584" w:rsidRPr="00142305" w:rsidRDefault="00B97584" w:rsidP="00B97584">
      <w:pPr>
        <w:spacing w:after="0" w:line="240" w:lineRule="auto"/>
        <w:jc w:val="both"/>
        <w:rPr>
          <w:rStyle w:val="aff0"/>
          <w:rFonts w:ascii="Times New Roman" w:hAnsi="Times New Roman" w:cs="Times New Roman"/>
          <w:color w:val="0070C0"/>
          <w:spacing w:val="0"/>
          <w:sz w:val="16"/>
          <w:szCs w:val="16"/>
        </w:rPr>
      </w:pPr>
      <w:r w:rsidRPr="00142305">
        <w:rPr>
          <w:rStyle w:val="aff0"/>
          <w:rFonts w:ascii="Times New Roman" w:hAnsi="Times New Roman" w:cs="Times New Roman"/>
          <w:color w:val="0070C0"/>
          <w:spacing w:val="0"/>
          <w:sz w:val="16"/>
          <w:szCs w:val="16"/>
        </w:rPr>
        <w:t>16 апреля 1931 года Г.С.Бродский получил заявочное свидетельство на «Дистанционный электрический взрыватель для железнодорожной торпеды».</w:t>
      </w:r>
    </w:p>
    <w:p w14:paraId="6A580C6E" w14:textId="77777777" w:rsidR="00B97584" w:rsidRPr="00142305" w:rsidRDefault="00B97584" w:rsidP="00B97584">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Находясь в творческом поиске, изобретатель постоянно пытался усовершенствовать свое де</w:t>
      </w:r>
      <w:r w:rsidRPr="00142305">
        <w:rPr>
          <w:rStyle w:val="aff0"/>
          <w:rFonts w:ascii="Times New Roman" w:hAnsi="Times New Roman" w:cs="Times New Roman"/>
          <w:color w:val="0070C0"/>
          <w:spacing w:val="0"/>
          <w:sz w:val="16"/>
          <w:szCs w:val="16"/>
        </w:rPr>
        <w:softHyphen/>
        <w:t>тище. Проект то и дело дорабатывался, поэтому заявка на изобретение «Железнодорожная тор</w:t>
      </w:r>
      <w:r w:rsidRPr="00142305">
        <w:rPr>
          <w:rStyle w:val="aff0"/>
          <w:rFonts w:ascii="Times New Roman" w:hAnsi="Times New Roman" w:cs="Times New Roman"/>
          <w:color w:val="0070C0"/>
          <w:spacing w:val="0"/>
          <w:sz w:val="16"/>
          <w:szCs w:val="16"/>
        </w:rPr>
        <w:softHyphen/>
        <w:t>педа» была подана только 15 сентября 1931 года (заявочное свидетельство от 26 сентября 1931 года). Но и эта работа осталась на стадии эскизной прорисовки, не получив дальнейшего развития, поскольку к тому времени Бродский уже переключился на более простую по конструкции «Железнодорожную торпеду крупного калибра».</w:t>
      </w:r>
    </w:p>
    <w:p w14:paraId="4EE1D0D2" w14:textId="77777777" w:rsidR="00B97584" w:rsidRPr="00142305" w:rsidRDefault="00B97584" w:rsidP="00B97584">
      <w:pPr>
        <w:spacing w:after="0" w:line="240" w:lineRule="auto"/>
        <w:jc w:val="both"/>
        <w:rPr>
          <w:rStyle w:val="aff0"/>
          <w:rFonts w:ascii="Times New Roman" w:hAnsi="Times New Roman" w:cs="Times New Roman"/>
          <w:color w:val="0070C0"/>
          <w:spacing w:val="0"/>
          <w:sz w:val="16"/>
          <w:szCs w:val="16"/>
        </w:rPr>
      </w:pPr>
      <w:r w:rsidRPr="00142305">
        <w:rPr>
          <w:rStyle w:val="aff0"/>
          <w:rFonts w:ascii="Times New Roman" w:hAnsi="Times New Roman" w:cs="Times New Roman"/>
          <w:color w:val="0070C0"/>
          <w:spacing w:val="0"/>
          <w:sz w:val="16"/>
          <w:szCs w:val="16"/>
        </w:rPr>
        <w:t>Новая версия торпеды имела обтекаемый сигарообразный корпус, закрепленный по оси симметрии на двухколейной четырехколесной тележке. Двигаться установка должна была не с помощью ракетного двигателя, а с использованием электромоторов. Для вращения задней пары колес предполагалось оборудовать тележку питавшимися от аккумуляторов электрическими двигателями (автомобильными стартерами). Как и ранее, для подрыва применялись дистанционный либо кон</w:t>
      </w:r>
      <w:r w:rsidRPr="00142305">
        <w:rPr>
          <w:rStyle w:val="aff0"/>
          <w:rFonts w:ascii="Times New Roman" w:hAnsi="Times New Roman" w:cs="Times New Roman"/>
          <w:color w:val="0070C0"/>
          <w:spacing w:val="0"/>
          <w:sz w:val="16"/>
          <w:szCs w:val="16"/>
        </w:rPr>
        <w:softHyphen/>
        <w:t>тактный взрыватели.</w:t>
      </w:r>
    </w:p>
    <w:p w14:paraId="4814E19A" w14:textId="77777777" w:rsidR="00B97584" w:rsidRPr="00142305" w:rsidRDefault="00B97584" w:rsidP="00B97584">
      <w:pPr>
        <w:spacing w:after="0" w:line="240" w:lineRule="auto"/>
        <w:jc w:val="both"/>
        <w:rPr>
          <w:rStyle w:val="aff0"/>
          <w:rFonts w:ascii="Times New Roman" w:hAnsi="Times New Roman" w:cs="Times New Roman"/>
          <w:color w:val="0070C0"/>
          <w:spacing w:val="0"/>
          <w:sz w:val="16"/>
          <w:szCs w:val="16"/>
        </w:rPr>
      </w:pPr>
      <w:r w:rsidRPr="00142305">
        <w:rPr>
          <w:rStyle w:val="aff0"/>
          <w:rFonts w:ascii="Times New Roman" w:hAnsi="Times New Roman" w:cs="Times New Roman"/>
          <w:color w:val="0070C0"/>
          <w:spacing w:val="0"/>
          <w:sz w:val="16"/>
          <w:szCs w:val="16"/>
        </w:rPr>
        <w:t>Транспортировка должна была осуществляться на внешней подвеске бомбардировщика ТБ-1. По плану это выглядело следующим образом. Самолет доставляет торпеду в район действий и сбрасывает ее на парашюте. Команда десантников-подрывников ставит тележку на рельсы, подключает контактный или дистанци</w:t>
      </w:r>
      <w:r w:rsidRPr="00142305">
        <w:rPr>
          <w:rStyle w:val="aff0"/>
          <w:rFonts w:ascii="Times New Roman" w:hAnsi="Times New Roman" w:cs="Times New Roman"/>
          <w:color w:val="0070C0"/>
          <w:spacing w:val="0"/>
          <w:sz w:val="16"/>
          <w:szCs w:val="16"/>
        </w:rPr>
        <w:softHyphen/>
        <w:t>онный взрыватель и направляет на цель. Также указывалось, что в зависимости от задачи корпус торпеды мог снаряжаться не только обычной взрыв</w:t>
      </w:r>
      <w:r w:rsidRPr="00142305">
        <w:rPr>
          <w:rStyle w:val="aff0"/>
          <w:rFonts w:ascii="Times New Roman" w:hAnsi="Times New Roman" w:cs="Times New Roman"/>
          <w:color w:val="0070C0"/>
          <w:spacing w:val="0"/>
          <w:sz w:val="16"/>
          <w:szCs w:val="16"/>
        </w:rPr>
        <w:softHyphen/>
        <w:t>чаткой, но и «специальным» боеприпасом.</w:t>
      </w:r>
    </w:p>
    <w:p w14:paraId="641FBE90" w14:textId="77777777" w:rsidR="00B97584" w:rsidRPr="00142305" w:rsidRDefault="00B97584" w:rsidP="00B97584">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В общей сложности в период с 1930 по 1933 год Бродский подал более 40 заявок на изобретения, 15 из которых были внедрены (25695).</w:t>
      </w:r>
    </w:p>
    <w:p w14:paraId="30DE908D" w14:textId="77777777" w:rsidR="00B97584" w:rsidRPr="00142305" w:rsidRDefault="00B97584" w:rsidP="00B97584">
      <w:pPr>
        <w:spacing w:after="0" w:line="240" w:lineRule="auto"/>
        <w:jc w:val="both"/>
        <w:rPr>
          <w:rFonts w:ascii="Times New Roman" w:hAnsi="Times New Roman"/>
          <w:color w:val="0070C0"/>
          <w:sz w:val="16"/>
          <w:szCs w:val="16"/>
        </w:rPr>
      </w:pPr>
    </w:p>
    <w:p w14:paraId="4A0C6905"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5925C21A"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8943E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 апреля 1931 банда Кур-Артыка попалась на глаза авиаторам в 40 км юго-западнее Курган-Тюбе. Его банда, уменьшившаяся втрое, двигалась на запад. С помощью вымпелов на басмачей навели эскадрон конников и отряд мотопехоты на грузовиках с пулеметами. Прикрывая отход, Кур-Артык бросил в смертельную атаку "палочников", практически не имевших огнестрельного оружия. Пока их косили из пулеметов, курбаши с группой приближенных ушел.</w:t>
      </w:r>
    </w:p>
    <w:p w14:paraId="0A384D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 при этом он потерял более 50 человек, красные конники - лишь одного. Фактически банда была разгромлена. Кур-Артык бежал, периодически натыкаясь то на кавалеристов, то на мобильные группы на автомобилях. Жалкие остатки его отряда укрылись в горах Терегли-Тау.</w:t>
      </w:r>
    </w:p>
    <w:p w14:paraId="2D0B9E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Под мощный удар с воздуха угодила и банда Апи-Мардана. Три группы самолетов, сменяясь, утюжили ее в течение пяти часов. Кончилось тем, что атаман выслал парламентеров и сложил оружие.</w:t>
      </w:r>
    </w:p>
    <w:p w14:paraId="31C140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Ибрагим-беку тоже досталось. Он рвался в Локайский район, где жили его родственники. Авиация постоянно следила за перемещением банды. Самолет командира звена А. Митрофанова был придан кавалерийскому полку, разместившемуся в Кулябе. В первом же полете летчики обнаружили басмачей на равнине в районе зимовки Ак-Джар. Когда разведчик снизился, чтобы разглядеть происходящее внизу, по нему начали стрелять из винтовок. В ответ летнаб Абдурахманов расстрелял по врагу все патроны. Митрофанов нашел отряд красных конников и сбросил ему вымпел. Потом экипаж совершил еще два вылета, теперь уже с бомбометанием.</w:t>
      </w:r>
    </w:p>
    <w:p w14:paraId="5DE0DC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следующий день самолетов стало уже три, а красноармейцы с разных сторон начали наседать на банду. В результате басмачей прижали к реке Вахш. Авиация постоянно вела разведку, что было достаточно сложно в горах. Банда переправилась через реку на бурдюках. Теперь ее погнали по левому берегу; численность все время уменьшалась - летчики продолжали наносить удары с воздуха.</w:t>
      </w:r>
    </w:p>
    <w:p w14:paraId="166DAD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Вот как описывает в своих мемуарах Митрофанов штурмовку у горы Сарса- рак: "В пылу боевого азарта, не обращая внимания на выстрелы басмачей, я снижался все ниже и ниже. Прошло немного времени, и на конях не осталось ни одного всадника - пули разбросали их по оврагу" (11985).</w:t>
      </w:r>
    </w:p>
    <w:p w14:paraId="08AFBB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8BEB6C8"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2776EA94"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811F4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17 и 23 апреля 1931. Из протокола заседания Политбюро № 33 1931 г.</w:t>
      </w:r>
    </w:p>
    <w:p w14:paraId="03CB76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 заметке "Контрреволюционная вылазка кулаков"</w:t>
      </w:r>
    </w:p>
    <w:p w14:paraId="2F8366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 Признать вынесение приговора с высшей мерой наказания по делу кулаков Ефремовского района Московской области грубо ошибочным, по существу, со стороны Московского областного суда, а помещение в "Правде" заметки об этом приговоре — недопустимым. </w:t>
      </w:r>
    </w:p>
    <w:p w14:paraId="5EEF49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б) Предложить Верховному Суду РСФСР отменить решение Московского областного суда о расстреле шести кулаков как неправильное и обязать областной суд вновь рассмотреть это дело. Решение опубликовать в печати в отделе хроники. </w:t>
      </w:r>
    </w:p>
    <w:p w14:paraId="1CD938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Категорически подтвердить прежнее решение ЦК о том, что приговоры по политическим делам с высшей мерой наказания не должны выноситься без санкции ЦК, и указать Верхсуду и Верховной Прокуратуре на их обязанность строго соблюдать этот порядок. </w:t>
      </w:r>
    </w:p>
    <w:p w14:paraId="546B68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Заметка "Контрреволюционная вылазка кулаков"</w:t>
      </w:r>
    </w:p>
    <w:p w14:paraId="3792BB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1930 г. кулаки с. Тормосово провели в председатели сельсовета своих людей: подкулачника Стародубцева и секретарем — пьяницу Лазарева. Эти кулацкие ставленники дали полную волю кулакам. Кулаки настолько распоясались, что не выполняли заданий по хлебозаготовкам, не платили налогов, получали фиктивные справки о том, что они бедняки, и т. д. Кулаки оказывали бешеное сопротивление коллективизации и всем мероприятиям советской власти... Дело по обвинению 16 человек кулаков и подкулачников в контрреволюционных действиях против советской власти было рассмотрено выездной сессией Московского областного суда в гор. Ефремове... </w:t>
      </w:r>
    </w:p>
    <w:p w14:paraId="133F42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Процесс проходил при неослабном внимании всего окрестного населения. Больше ста депутаций явилось в суд с приговорами сельских обществ о том, чтобы суд применил к тормосовским кулакам высшую меру социальной защиты. В ответ на кулацкие вылазки молодежь повсеместно вступала в ряды ВЛКСМ. За пять дней процесса число колхозников по району увеличилось на 10 процентов. Суд приговорил кулаков к высшей мере социальной защиты — расстрелу... Приговор был встречен овацией по адресу суда и советской власти. </w:t>
      </w:r>
    </w:p>
    <w:p w14:paraId="7CDE11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"Правда" за 19 апреля 1931 г. № 108 (4913) (11652). </w:t>
      </w:r>
    </w:p>
    <w:p w14:paraId="6E4404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26B3A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17 и 23 апреля 1931. Из протокола заседания Политбюро № 33 1931 г.</w:t>
      </w:r>
    </w:p>
    <w:p w14:paraId="26BB4C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 тов. Бадаеве </w:t>
      </w:r>
    </w:p>
    <w:p w14:paraId="7A66FA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 Принять к сведению сообщение тов. Калинина о том, что в опубликованном списке членов ЦИКа Союза ССР имя тов. Бадаева не включено по ошибке. </w:t>
      </w:r>
    </w:p>
    <w:p w14:paraId="5BB130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Предложить тов. Калинину опубликовать сообщение, что тов. Бадаев является членом ЦИКа (11652).</w:t>
      </w:r>
    </w:p>
    <w:p w14:paraId="379582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DC729F0"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5CA0E2F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330AE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апреля 1931 начались испытания головного С-62бис из 54 затем поступивших в СССР (1085,105).</w:t>
      </w:r>
    </w:p>
    <w:p w14:paraId="1DAAB1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9D67477" w14:textId="77777777" w:rsidR="00B97584" w:rsidRPr="00142305" w:rsidRDefault="00B97584" w:rsidP="00B9758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18 апреля 1931 г. в Сесто-Календе в Италии уже приступили к испытаниям головной серийной машины S.62bis. В некоторых италь</w:t>
      </w:r>
      <w:r w:rsidRPr="00142305">
        <w:rPr>
          <w:rFonts w:ascii="Times New Roman" w:hAnsi="Times New Roman"/>
          <w:color w:val="0070C0"/>
          <w:sz w:val="16"/>
          <w:szCs w:val="16"/>
        </w:rPr>
        <w:softHyphen/>
        <w:t xml:space="preserve">янских документах летающие лодки для СССР именовались не S.62bis, а S.62RUSSIA. Весь заказ разделили на две серии - первую из 40 и вторую из десяти машин. В качестве образцовых выделили </w:t>
      </w:r>
      <w:r w:rsidRPr="00142305">
        <w:rPr>
          <w:rFonts w:ascii="Times New Roman" w:hAnsi="Times New Roman"/>
          <w:color w:val="0070C0"/>
          <w:sz w:val="16"/>
          <w:szCs w:val="16"/>
        </w:rPr>
        <w:lastRenderedPageBreak/>
        <w:t>самолеты № 6 и № 41, на кото</w:t>
      </w:r>
      <w:r w:rsidRPr="00142305">
        <w:rPr>
          <w:rFonts w:ascii="Times New Roman" w:hAnsi="Times New Roman"/>
          <w:color w:val="0070C0"/>
          <w:sz w:val="16"/>
          <w:szCs w:val="16"/>
        </w:rPr>
        <w:softHyphen/>
        <w:t>рых отработали новинки, предложенные итальянскими конструкторами и одоб</w:t>
      </w:r>
      <w:r w:rsidRPr="00142305">
        <w:rPr>
          <w:rFonts w:ascii="Times New Roman" w:hAnsi="Times New Roman"/>
          <w:color w:val="0070C0"/>
          <w:sz w:val="16"/>
          <w:szCs w:val="16"/>
        </w:rPr>
        <w:softHyphen/>
        <w:t>ренные советской приемочной комисси</w:t>
      </w:r>
      <w:r w:rsidRPr="00142305">
        <w:rPr>
          <w:rFonts w:ascii="Times New Roman" w:hAnsi="Times New Roman"/>
          <w:color w:val="0070C0"/>
          <w:sz w:val="16"/>
          <w:szCs w:val="16"/>
        </w:rPr>
        <w:softHyphen/>
        <w:t>ей: центральные бензобаки с выпуклой стенкой, более жесткие и герметичные, чем прежние, измененное управление стабилизатором, штурвалы иного вида и дополнительное разборное сиденье в пилотской кабине.</w:t>
      </w:r>
    </w:p>
    <w:p w14:paraId="533EA6A3" w14:textId="77777777" w:rsidR="00B97584" w:rsidRPr="00142305" w:rsidRDefault="00B97584" w:rsidP="00B9758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Судьба самолета № 6 оказалась пе</w:t>
      </w:r>
      <w:r w:rsidRPr="00142305">
        <w:rPr>
          <w:rFonts w:ascii="Times New Roman" w:hAnsi="Times New Roman"/>
          <w:color w:val="0070C0"/>
          <w:sz w:val="16"/>
          <w:szCs w:val="16"/>
        </w:rPr>
        <w:softHyphen/>
        <w:t>чальной. Как уже говорилось, «савойя» упорно сопротивлялась попыткам ввести ее в штопор. Один из членов советской комиссии, летчик и инженер Митрофан Коровкин (в итальянских документах его именуют Крофкиным), выпускник Воен</w:t>
      </w:r>
      <w:r w:rsidRPr="00142305">
        <w:rPr>
          <w:rFonts w:ascii="Times New Roman" w:hAnsi="Times New Roman"/>
          <w:color w:val="0070C0"/>
          <w:sz w:val="16"/>
          <w:szCs w:val="16"/>
        </w:rPr>
        <w:softHyphen/>
        <w:t>но-воздушной академии, тем не менее, потребовал проведения испытаний на выход из штопора. Но как провести вы</w:t>
      </w:r>
      <w:r w:rsidRPr="00142305">
        <w:rPr>
          <w:rFonts w:ascii="Times New Roman" w:hAnsi="Times New Roman"/>
          <w:color w:val="0070C0"/>
          <w:sz w:val="16"/>
          <w:szCs w:val="16"/>
        </w:rPr>
        <w:softHyphen/>
        <w:t>вод из штопора, если самолет входить в него отказывается? Коровкин предло</w:t>
      </w:r>
      <w:r w:rsidRPr="00142305">
        <w:rPr>
          <w:rFonts w:ascii="Times New Roman" w:hAnsi="Times New Roman"/>
          <w:color w:val="0070C0"/>
          <w:sz w:val="16"/>
          <w:szCs w:val="16"/>
        </w:rPr>
        <w:softHyphen/>
        <w:t>жил искусственно спровоцировать срыв, создав опасную центровку размещени</w:t>
      </w:r>
      <w:r w:rsidRPr="00142305">
        <w:rPr>
          <w:rFonts w:ascii="Times New Roman" w:hAnsi="Times New Roman"/>
          <w:color w:val="0070C0"/>
          <w:sz w:val="16"/>
          <w:szCs w:val="16"/>
        </w:rPr>
        <w:softHyphen/>
        <w:t>ем балласта. Итальянцы отвечали, что подобное положение центра тяжести в реальном боевом полете невозможно. Но инженер настаивал. Наконец, один из заводских испытателей согласился вы</w:t>
      </w:r>
      <w:r w:rsidRPr="00142305">
        <w:rPr>
          <w:rFonts w:ascii="Times New Roman" w:hAnsi="Times New Roman"/>
          <w:color w:val="0070C0"/>
          <w:sz w:val="16"/>
          <w:szCs w:val="16"/>
        </w:rPr>
        <w:softHyphen/>
        <w:t>полнить программу, расписанную Коров</w:t>
      </w:r>
      <w:r w:rsidRPr="00142305">
        <w:rPr>
          <w:rFonts w:ascii="Times New Roman" w:hAnsi="Times New Roman"/>
          <w:color w:val="0070C0"/>
          <w:sz w:val="16"/>
          <w:szCs w:val="16"/>
        </w:rPr>
        <w:softHyphen/>
        <w:t>киным. Но самолет в штопор не вошел. Тогда советский приемщик решил лететь сам, пилотируя лодку предельно грубо. Пассалева его отговаривал, так же как и руководители завода, но только до тех пор, пока не получили документ о полной ответственности советского приемщика за результат эксперимента. 3 июня Ко</w:t>
      </w:r>
      <w:r w:rsidRPr="00142305">
        <w:rPr>
          <w:rFonts w:ascii="Times New Roman" w:hAnsi="Times New Roman"/>
          <w:color w:val="0070C0"/>
          <w:sz w:val="16"/>
          <w:szCs w:val="16"/>
        </w:rPr>
        <w:softHyphen/>
        <w:t>ровкин вошел в штопор и не вышел из него...</w:t>
      </w:r>
    </w:p>
    <w:p w14:paraId="258B97E7" w14:textId="77777777" w:rsidR="00B97584" w:rsidRPr="00142305" w:rsidRDefault="00B97584" w:rsidP="00B9758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Приемку приостановили до решения комиссии по расследованию катастро</w:t>
      </w:r>
      <w:r w:rsidRPr="00142305">
        <w:rPr>
          <w:rFonts w:ascii="Times New Roman" w:hAnsi="Times New Roman"/>
          <w:color w:val="0070C0"/>
          <w:sz w:val="16"/>
          <w:szCs w:val="16"/>
        </w:rPr>
        <w:softHyphen/>
        <w:t>фы. В итоге дотошные юристы выявили расхождение русского и итальянского текстов договора. В русском говорилось о возможности испытания самолета на штопор в любом режиме, а в итальян</w:t>
      </w:r>
      <w:r w:rsidRPr="00142305">
        <w:rPr>
          <w:rFonts w:ascii="Times New Roman" w:hAnsi="Times New Roman"/>
          <w:color w:val="0070C0"/>
          <w:sz w:val="16"/>
          <w:szCs w:val="16"/>
        </w:rPr>
        <w:softHyphen/>
        <w:t>ском - об испытании тенденции к входу в штопор, что не одно и то же. Так что вро</w:t>
      </w:r>
      <w:r w:rsidRPr="00142305">
        <w:rPr>
          <w:rFonts w:ascii="Times New Roman" w:hAnsi="Times New Roman"/>
          <w:color w:val="0070C0"/>
          <w:sz w:val="16"/>
          <w:szCs w:val="16"/>
        </w:rPr>
        <w:softHyphen/>
        <w:t>де обе стороны оказались правы, никто не виноват, а прах Коровкина перевезли в урне на родину. Самолет же подняли, восстановили и отправили морем в СССР в декабре 1931 г. Еще в Италии на борту лодки нанесли надпись «Митрофан Ко</w:t>
      </w:r>
      <w:r w:rsidRPr="00142305">
        <w:rPr>
          <w:rFonts w:ascii="Times New Roman" w:hAnsi="Times New Roman"/>
          <w:color w:val="0070C0"/>
          <w:sz w:val="16"/>
          <w:szCs w:val="16"/>
        </w:rPr>
        <w:softHyphen/>
        <w:t>ровкин» кириллицей.</w:t>
      </w:r>
    </w:p>
    <w:p w14:paraId="774F46D7" w14:textId="77777777" w:rsidR="00B97584" w:rsidRPr="00142305" w:rsidRDefault="00B97584" w:rsidP="00B9758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Фирма предложила назначить семье приемщика пенсию, как сделала бы по отношению к итальянскому летчику-ис</w:t>
      </w:r>
      <w:r w:rsidRPr="00142305">
        <w:rPr>
          <w:rFonts w:ascii="Times New Roman" w:hAnsi="Times New Roman"/>
          <w:color w:val="0070C0"/>
          <w:sz w:val="16"/>
          <w:szCs w:val="16"/>
        </w:rPr>
        <w:softHyphen/>
        <w:t>пытателю, но советское посольство гордо отказалось. Похоже, родные Коровкина вообще ничего не получили. Через не</w:t>
      </w:r>
      <w:r w:rsidRPr="00142305">
        <w:rPr>
          <w:rFonts w:ascii="Times New Roman" w:hAnsi="Times New Roman"/>
          <w:color w:val="0070C0"/>
          <w:sz w:val="16"/>
          <w:szCs w:val="16"/>
        </w:rPr>
        <w:softHyphen/>
        <w:t>сколько лет его друзья написали в УВВС прошение о назначении пенсии вдове, которая по болезни не могла работать и жила в подвале. Было ли оно удовлетво</w:t>
      </w:r>
      <w:r w:rsidRPr="00142305">
        <w:rPr>
          <w:rFonts w:ascii="Times New Roman" w:hAnsi="Times New Roman"/>
          <w:color w:val="0070C0"/>
          <w:sz w:val="16"/>
          <w:szCs w:val="16"/>
        </w:rPr>
        <w:softHyphen/>
        <w:t>рено, установить не удалось.</w:t>
      </w:r>
    </w:p>
    <w:p w14:paraId="375DA2B6" w14:textId="77777777" w:rsidR="00B97584" w:rsidRPr="00142305" w:rsidRDefault="00B97584" w:rsidP="00B9758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После завершения работы аварийной комиссии приемку самолетов в Сесто-Ка- ленде возобновили. Скороподъемность серийных машин оказалась в большинст</w:t>
      </w:r>
      <w:r w:rsidRPr="00142305">
        <w:rPr>
          <w:rFonts w:ascii="Times New Roman" w:hAnsi="Times New Roman"/>
          <w:color w:val="0070C0"/>
          <w:sz w:val="16"/>
          <w:szCs w:val="16"/>
        </w:rPr>
        <w:softHyphen/>
        <w:t>ве ниже определенной в задании. Поло</w:t>
      </w:r>
      <w:r w:rsidRPr="00142305">
        <w:rPr>
          <w:rFonts w:ascii="Times New Roman" w:hAnsi="Times New Roman"/>
          <w:color w:val="0070C0"/>
          <w:sz w:val="16"/>
          <w:szCs w:val="16"/>
        </w:rPr>
        <w:softHyphen/>
        <w:t>жение исправили подбором винтов. На некоторых лодках сменили до пяти про</w:t>
      </w:r>
      <w:r w:rsidRPr="00142305">
        <w:rPr>
          <w:rFonts w:ascii="Times New Roman" w:hAnsi="Times New Roman"/>
          <w:color w:val="0070C0"/>
          <w:sz w:val="16"/>
          <w:szCs w:val="16"/>
        </w:rPr>
        <w:softHyphen/>
        <w:t>пеллеров, прежде чем пришли к требуе</w:t>
      </w:r>
      <w:r w:rsidRPr="00142305">
        <w:rPr>
          <w:rFonts w:ascii="Times New Roman" w:hAnsi="Times New Roman"/>
          <w:color w:val="0070C0"/>
          <w:sz w:val="16"/>
          <w:szCs w:val="16"/>
        </w:rPr>
        <w:softHyphen/>
        <w:t>мым показателям.</w:t>
      </w:r>
    </w:p>
    <w:p w14:paraId="1E37FCA8" w14:textId="77777777" w:rsidR="00B97584" w:rsidRPr="00142305" w:rsidRDefault="00B97584" w:rsidP="00B9758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Темпы сборки несколько снизились по вине советской стороны, не успевавшей поставлять комплектующие, закупав</w:t>
      </w:r>
      <w:r w:rsidRPr="00142305">
        <w:rPr>
          <w:rFonts w:ascii="Times New Roman" w:hAnsi="Times New Roman"/>
          <w:color w:val="0070C0"/>
          <w:sz w:val="16"/>
          <w:szCs w:val="16"/>
        </w:rPr>
        <w:softHyphen/>
        <w:t>шиеся отдельно. Так, партия приборов (частично ставили советские) опоздала на 20 дней, мотокомпрессоры «Гарелли» - на 50 дней. Советские масляные манометры оказались непригодны - дав</w:t>
      </w:r>
      <w:r w:rsidRPr="00142305">
        <w:rPr>
          <w:rFonts w:ascii="Times New Roman" w:hAnsi="Times New Roman"/>
          <w:color w:val="0070C0"/>
          <w:sz w:val="16"/>
          <w:szCs w:val="16"/>
        </w:rPr>
        <w:softHyphen/>
        <w:t>ление выходило за пределы их диапазона измерений.</w:t>
      </w:r>
    </w:p>
    <w:p w14:paraId="64E47905" w14:textId="77777777" w:rsidR="00B97584" w:rsidRPr="00142305" w:rsidRDefault="00B97584" w:rsidP="00B9758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концу срока сдачи первой партии на заводе скопилось много готовых самоле</w:t>
      </w:r>
      <w:r w:rsidRPr="00142305">
        <w:rPr>
          <w:rFonts w:ascii="Times New Roman" w:hAnsi="Times New Roman"/>
          <w:color w:val="0070C0"/>
          <w:sz w:val="16"/>
          <w:szCs w:val="16"/>
        </w:rPr>
        <w:softHyphen/>
        <w:t>тов, не полностью прошедших программу испытаний. Заводские пилоты не успева</w:t>
      </w:r>
      <w:r w:rsidRPr="00142305">
        <w:rPr>
          <w:rFonts w:ascii="Times New Roman" w:hAnsi="Times New Roman"/>
          <w:color w:val="0070C0"/>
          <w:sz w:val="16"/>
          <w:szCs w:val="16"/>
        </w:rPr>
        <w:softHyphen/>
        <w:t>ли их облетывать. На одном из диплома</w:t>
      </w:r>
      <w:r w:rsidRPr="00142305">
        <w:rPr>
          <w:rFonts w:ascii="Times New Roman" w:hAnsi="Times New Roman"/>
          <w:color w:val="0070C0"/>
          <w:sz w:val="16"/>
          <w:szCs w:val="16"/>
        </w:rPr>
        <w:softHyphen/>
        <w:t>тических приемов в Риме советский во</w:t>
      </w:r>
      <w:r w:rsidRPr="00142305">
        <w:rPr>
          <w:rFonts w:ascii="Times New Roman" w:hAnsi="Times New Roman"/>
          <w:color w:val="0070C0"/>
          <w:sz w:val="16"/>
          <w:szCs w:val="16"/>
        </w:rPr>
        <w:softHyphen/>
        <w:t>енно-воздушный атташе пожаловался на это генералу И. Бальбо, курировавшему авиацию Муссолини. Реакция оказалась практически мгновенной. Вернувшись с приема, атташе сел в ночной поезд и ут</w:t>
      </w:r>
      <w:r w:rsidRPr="00142305">
        <w:rPr>
          <w:rFonts w:ascii="Times New Roman" w:hAnsi="Times New Roman"/>
          <w:color w:val="0070C0"/>
          <w:sz w:val="16"/>
          <w:szCs w:val="16"/>
        </w:rPr>
        <w:softHyphen/>
        <w:t>ром вышел на вокзале в Сесто-Календе. Когда он явился на завод, секретарша доложила, что его дожидается полковник итальянских ВВС. Полковника тут же по</w:t>
      </w:r>
      <w:r w:rsidRPr="00142305">
        <w:rPr>
          <w:rFonts w:ascii="Times New Roman" w:hAnsi="Times New Roman"/>
          <w:color w:val="0070C0"/>
          <w:sz w:val="16"/>
          <w:szCs w:val="16"/>
        </w:rPr>
        <w:softHyphen/>
        <w:t>звали в кабинет, где он отрапортовал, что с двумя экипажами испытателей прибыл для облета летающих лодок советского заказа. Летчиков ночью подняли по тре</w:t>
      </w:r>
      <w:r w:rsidRPr="00142305">
        <w:rPr>
          <w:rFonts w:ascii="Times New Roman" w:hAnsi="Times New Roman"/>
          <w:color w:val="0070C0"/>
          <w:sz w:val="16"/>
          <w:szCs w:val="16"/>
        </w:rPr>
        <w:softHyphen/>
        <w:t>воге, Бальбо лично провел краткий инс</w:t>
      </w:r>
      <w:r w:rsidRPr="00142305">
        <w:rPr>
          <w:rFonts w:ascii="Times New Roman" w:hAnsi="Times New Roman"/>
          <w:color w:val="0070C0"/>
          <w:sz w:val="16"/>
          <w:szCs w:val="16"/>
        </w:rPr>
        <w:softHyphen/>
        <w:t>труктаж, а затем отправил самолетом, так что они обогнали атташе. Полковник со</w:t>
      </w:r>
      <w:r w:rsidRPr="00142305">
        <w:rPr>
          <w:rFonts w:ascii="Times New Roman" w:hAnsi="Times New Roman"/>
          <w:color w:val="0070C0"/>
          <w:sz w:val="16"/>
          <w:szCs w:val="16"/>
        </w:rPr>
        <w:softHyphen/>
        <w:t>общил, что на следующий день прибудут еще три экипажа, отобранные в строевых частях. Еще он сказал, что Бальбо четко указал, что военные летчики приданы не заводу, а советской приемочной комис</w:t>
      </w:r>
      <w:r w:rsidRPr="00142305">
        <w:rPr>
          <w:rFonts w:ascii="Times New Roman" w:hAnsi="Times New Roman"/>
          <w:color w:val="0070C0"/>
          <w:sz w:val="16"/>
          <w:szCs w:val="16"/>
        </w:rPr>
        <w:softHyphen/>
        <w:t>сии, в связи с чем командир попросил прочитать летному составу лекцию об особенностях проведения испытаний в ВВС РККА.</w:t>
      </w:r>
    </w:p>
    <w:p w14:paraId="2C03934D" w14:textId="77777777" w:rsidR="00B97584" w:rsidRPr="00142305" w:rsidRDefault="00B97584" w:rsidP="00B9758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помощью итальянских военных поло</w:t>
      </w:r>
      <w:r w:rsidRPr="00142305">
        <w:rPr>
          <w:rFonts w:ascii="Times New Roman" w:hAnsi="Times New Roman"/>
          <w:color w:val="0070C0"/>
          <w:sz w:val="16"/>
          <w:szCs w:val="16"/>
        </w:rPr>
        <w:softHyphen/>
        <w:t>жение удалось выправить. Позднее они помогли и с перегонкой части самолетов в СССР (24948).</w:t>
      </w:r>
    </w:p>
    <w:p w14:paraId="2036CCB0" w14:textId="77777777" w:rsidR="00B97584" w:rsidRPr="00142305" w:rsidRDefault="00B97584" w:rsidP="00B97584">
      <w:pPr>
        <w:spacing w:after="0" w:line="240" w:lineRule="auto"/>
        <w:jc w:val="both"/>
        <w:rPr>
          <w:rFonts w:ascii="Times New Roman" w:hAnsi="Times New Roman"/>
          <w:color w:val="0070C0"/>
          <w:sz w:val="16"/>
          <w:szCs w:val="16"/>
        </w:rPr>
      </w:pPr>
    </w:p>
    <w:p w14:paraId="386DA54A" w14:textId="77777777" w:rsidR="00F67F51" w:rsidRPr="005E779E" w:rsidRDefault="00F67F51"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616AD103" w14:textId="77777777" w:rsidR="00F67F51" w:rsidRPr="005E779E" w:rsidRDefault="00F67F51"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9E144B8" w14:textId="77777777" w:rsidR="00F67F51" w:rsidRPr="005E779E" w:rsidRDefault="00F67F5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апреля 1931 г. вышла Директива Штаба РККА за № 1/013295, согласно которой командование РККА приняло решение о создании в ЛВО нештатного Опытного воздухо-десантного отряда в составе тяжелой бомбардировочной эскадрильи (12 самолетов ТБ-1) и корпусного авиаотряда (10 самолетов Р-5). Командиром этого отряда стал Е.Д. Лукин. Дату завершения формирования отряда – 1 июня 1931 г. – впоследствии официально утвердили как День создания Военнотранспортной авиации (ВТА) (19566).</w:t>
      </w:r>
    </w:p>
    <w:p w14:paraId="32161E83" w14:textId="77777777" w:rsidR="00F67F51" w:rsidRPr="005E779E" w:rsidRDefault="00F67F51" w:rsidP="000B7A6C">
      <w:pPr>
        <w:spacing w:after="0" w:line="240" w:lineRule="auto"/>
        <w:jc w:val="both"/>
        <w:rPr>
          <w:rFonts w:ascii="Times New Roman" w:hAnsi="Times New Roman"/>
          <w:color w:val="000000" w:themeColor="text1"/>
          <w:sz w:val="16"/>
          <w:szCs w:val="16"/>
        </w:rPr>
      </w:pPr>
    </w:p>
    <w:p w14:paraId="19D53201" w14:textId="77777777" w:rsidR="00873B41" w:rsidRPr="00142305" w:rsidRDefault="00873B41" w:rsidP="00873B4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18 апреля 1931 г. по Директиве Штаба РККА за № 1/013295, командование РККА приняло решение о создании в ЛВО нештатного Опытного воздухо-десантного отряда в составе тяжелой бомбардиро</w:t>
      </w:r>
      <w:r w:rsidRPr="00142305">
        <w:rPr>
          <w:rFonts w:ascii="Times New Roman" w:hAnsi="Times New Roman"/>
          <w:color w:val="0070C0"/>
          <w:sz w:val="16"/>
          <w:szCs w:val="16"/>
        </w:rPr>
        <w:softHyphen/>
        <w:t>вочной эскадрильи (12 самолетов ТБ-1) и корпусного авиаотряда (10 самолетов Р-5) (РГВА. Ф. 29. Оп. 50. Д. 86. Л. 1, 2). Командиром этого отряда стал Е. Д. Лукин. Дату завершения формиро</w:t>
      </w:r>
      <w:r w:rsidRPr="00142305">
        <w:rPr>
          <w:rFonts w:ascii="Times New Roman" w:hAnsi="Times New Roman"/>
          <w:color w:val="0070C0"/>
          <w:sz w:val="16"/>
          <w:szCs w:val="16"/>
        </w:rPr>
        <w:softHyphen/>
        <w:t>вания отряда - 1 июня 1931 г. - впоследствии официально утвердили, как День создания Военно-транспортной авиации (ВТА) (Материалы штаба ВТА Д. № 27/орг. По описи 1995 г. - Директива ГШ ВС СССР от 27.05.1981 г. № 315/2/5474) (24967).</w:t>
      </w:r>
    </w:p>
    <w:p w14:paraId="22EC1D3E" w14:textId="77777777" w:rsidR="00873B41" w:rsidRPr="00142305" w:rsidRDefault="00873B41" w:rsidP="00873B41">
      <w:pPr>
        <w:spacing w:after="0" w:line="240" w:lineRule="auto"/>
        <w:jc w:val="both"/>
        <w:rPr>
          <w:rFonts w:ascii="Times New Roman" w:hAnsi="Times New Roman"/>
          <w:color w:val="0070C0"/>
          <w:sz w:val="16"/>
          <w:szCs w:val="16"/>
        </w:rPr>
      </w:pPr>
    </w:p>
    <w:p w14:paraId="159D4F00" w14:textId="77777777" w:rsidR="00F67F51" w:rsidRPr="005E779E" w:rsidRDefault="00F67F51"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4EEC6A72" w14:textId="77777777" w:rsidR="00F67F51" w:rsidRPr="005E779E" w:rsidRDefault="00F67F51"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042EF1A" w14:textId="77777777" w:rsidR="008819CE" w:rsidRPr="005E779E" w:rsidRDefault="008819CE"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18 апреля 1931 года - комиссия Политбюро ВКП (б) с участием И.В.Сталина обсудила вопросы освоения Севера, в том числе связанные с поисками гелиеносных газов.</w:t>
      </w:r>
    </w:p>
    <w:p w14:paraId="22DB748A" w14:textId="77777777" w:rsidR="008819CE" w:rsidRPr="005E779E" w:rsidRDefault="008819CE"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В 1932 год начальник Ухтокомбината Я.М.Мороз докладывал в Коми обком ВКП (б): «При бурении на нефть в 1932 году в районе верхней Чути скважиной №25 в нефтеносном пласте было вскрыто мощное скопление природного газа с содержанием гелия до 0.45%...оно оказалось, однако, незначительным по площади и запасам. Тогда газовая разведка была перенесена в район Верхней Ижмы». Находка гелия дала основание руководству Коми заявить о необходимости организовать в районе Ухты его добычу и частичную переработку (21449).</w:t>
      </w:r>
    </w:p>
    <w:p w14:paraId="58129F89" w14:textId="77777777" w:rsidR="008819CE" w:rsidRPr="005E779E" w:rsidRDefault="008819CE"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EBC8123" w14:textId="77777777" w:rsidR="00F67F51" w:rsidRPr="005E779E" w:rsidRDefault="00F67F5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апреля 1931. Введена новая форма московской милиции. Все работники московской милиции стали носить светло-серую шинель реглан и твердые кепи с большим козырьком. Зимой кепи заменял головной убор, сделанный по типу шлема (18724).</w:t>
      </w:r>
    </w:p>
    <w:p w14:paraId="00B300DF" w14:textId="7133CDDA" w:rsidR="00F67F51" w:rsidRPr="005E779E" w:rsidRDefault="00F67F51" w:rsidP="000B7A6C">
      <w:pPr>
        <w:spacing w:after="0" w:line="240" w:lineRule="auto"/>
        <w:jc w:val="both"/>
        <w:rPr>
          <w:rFonts w:ascii="Times New Roman" w:hAnsi="Times New Roman"/>
          <w:color w:val="000000" w:themeColor="text1"/>
          <w:sz w:val="16"/>
          <w:szCs w:val="16"/>
        </w:rPr>
      </w:pPr>
    </w:p>
    <w:p w14:paraId="6B6D27D8" w14:textId="05884ECC" w:rsidR="000C2E8E" w:rsidRPr="005E779E" w:rsidRDefault="000C2E8E" w:rsidP="000B7A6C">
      <w:pPr>
        <w:spacing w:after="0" w:line="240" w:lineRule="auto"/>
        <w:jc w:val="both"/>
        <w:rPr>
          <w:rFonts w:ascii="Times New Roman" w:hAnsi="Times New Roman"/>
          <w:i/>
          <w:iCs/>
          <w:color w:val="000000" w:themeColor="text1"/>
          <w:sz w:val="16"/>
          <w:szCs w:val="16"/>
        </w:rPr>
      </w:pPr>
      <w:r w:rsidRPr="005E779E">
        <w:rPr>
          <w:rFonts w:ascii="Times New Roman" w:hAnsi="Times New Roman"/>
          <w:i/>
          <w:iCs/>
          <w:color w:val="000000" w:themeColor="text1"/>
          <w:sz w:val="16"/>
          <w:szCs w:val="16"/>
        </w:rPr>
        <w:t>За рубежом:</w:t>
      </w:r>
    </w:p>
    <w:p w14:paraId="392955E0" w14:textId="77777777" w:rsidR="000C2E8E" w:rsidRPr="005E779E" w:rsidRDefault="000C2E8E" w:rsidP="000B7A6C">
      <w:pPr>
        <w:spacing w:after="0" w:line="240" w:lineRule="auto"/>
        <w:jc w:val="both"/>
        <w:rPr>
          <w:rFonts w:ascii="Times New Roman" w:hAnsi="Times New Roman"/>
          <w:i/>
          <w:iCs/>
          <w:color w:val="000000" w:themeColor="text1"/>
          <w:sz w:val="16"/>
          <w:szCs w:val="16"/>
        </w:rPr>
      </w:pPr>
    </w:p>
    <w:p w14:paraId="1C952C79" w14:textId="77777777" w:rsidR="000C2E8E" w:rsidRPr="005E779E" w:rsidRDefault="000C2E8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апреля 1931 г. в Сесто Календе приступили к испытаниям головной серийной машины S.62bis. Весь заказ разделили на две серии: первую из 40 и вторую из 10 машин. В качестве образцовых выделили самолеты № 6 и № 41, на которых отработали внесенные советской стороной изменения (21410).</w:t>
      </w:r>
    </w:p>
    <w:p w14:paraId="21D7DC86" w14:textId="77777777" w:rsidR="000C2E8E" w:rsidRPr="005E779E" w:rsidRDefault="000C2E8E" w:rsidP="000B7A6C">
      <w:pPr>
        <w:spacing w:after="0" w:line="240" w:lineRule="auto"/>
        <w:jc w:val="both"/>
        <w:rPr>
          <w:rFonts w:ascii="Times New Roman" w:hAnsi="Times New Roman"/>
          <w:color w:val="000000" w:themeColor="text1"/>
          <w:sz w:val="16"/>
          <w:szCs w:val="16"/>
        </w:rPr>
      </w:pPr>
    </w:p>
    <w:p w14:paraId="6E3526BA"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081BA4DC"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79051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 апреля 1931 года по договору от 1 марта 1931 года, заключенному с ВСУ РККА, с разрешения зам. НКВМ и председателя РВС, и согласия НКО от 6 марта 1931 года завод № 16 был передан ВАО НКТП с оставлением части зданий в эксплуатации 11-й авиабригады. На основании приказа НКО за № 3403с от 22 апреля 1938 года занимаемая площадь авибригадой была освобождена и передана заводу в июле 1938 года (9224).</w:t>
      </w:r>
    </w:p>
    <w:p w14:paraId="66949E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8F990B3" w14:textId="77777777" w:rsidR="004D3FB2" w:rsidRPr="005E779E" w:rsidRDefault="004D3FB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 апреля 1931 года по договору от 1 марта 1931 года, заключенному с военно-строительным управлением РККА, и с согласия НКО от 6 марта 1931 года завод № 16 был передан ВАО с оставлением части зданий в эксплуатации 11-й авиабригады. Первым директором назначен С. П. Галкин. По утверждению ряда исследователей, официальным днем рождения завода следует считать 10 августа 1931 года.</w:t>
      </w:r>
    </w:p>
    <w:p w14:paraId="0930E6D7" w14:textId="77777777" w:rsidR="004D3FB2" w:rsidRPr="005E779E" w:rsidRDefault="004D3FB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управлении военно-воздушных сил страны на новый завод возлагали особые надежды, причем, с изменением его статуса (24153).</w:t>
      </w:r>
    </w:p>
    <w:p w14:paraId="34148858" w14:textId="77777777" w:rsidR="004D3FB2" w:rsidRPr="005E779E" w:rsidRDefault="004D3FB2" w:rsidP="000B7A6C">
      <w:pPr>
        <w:spacing w:after="0" w:line="240" w:lineRule="auto"/>
        <w:jc w:val="both"/>
        <w:rPr>
          <w:rFonts w:ascii="Times New Roman" w:hAnsi="Times New Roman"/>
          <w:color w:val="000000" w:themeColor="text1"/>
          <w:sz w:val="16"/>
          <w:szCs w:val="16"/>
        </w:rPr>
      </w:pPr>
    </w:p>
    <w:p w14:paraId="6E8EBB7F" w14:textId="77777777" w:rsidR="009D708C"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74BBF9A9" w14:textId="77777777" w:rsidR="009D708C" w:rsidRPr="005E779E" w:rsidRDefault="009D708C"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A65B26A" w14:textId="77777777" w:rsidR="009D708C" w:rsidRPr="005E779E" w:rsidRDefault="009D708C"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19 апреля 1931 г. басмачество: Ибрагим-Бек вторгся в Локайскую долину, у Красноводска погибли бойцы 85-го дивизиона ОГПУ (</w:t>
      </w:r>
      <w:r w:rsidRPr="005E779E">
        <w:rPr>
          <w:rFonts w:ascii="Times New Roman" w:eastAsia="Times New Roman" w:hAnsi="Times New Roman"/>
          <w:bCs/>
          <w:iCs/>
          <w:color w:val="000000" w:themeColor="text1"/>
          <w:sz w:val="16"/>
          <w:szCs w:val="16"/>
          <w:lang w:eastAsia="ru-RU"/>
        </w:rPr>
        <w:t>По Ю.Поляков, А.Чугунов «Конец басмачества», М., «Наука», 1976):</w:t>
      </w:r>
    </w:p>
    <w:p w14:paraId="5A7A8D9C" w14:textId="77777777" w:rsidR="009D708C" w:rsidRPr="005E779E" w:rsidRDefault="009D708C"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19 апреля 1931 г.крупнейший полевой командир Узбекистана Ибрагим-Бек вторгся в Локайскую долину и попытался поднять общее восстание. Крестьяне Локая его не поддержали, он отступил за левый берег Вахша. В это же день 19 апреля 1931 г. в районе Красноводска крупный отряд басмачей (400 человек) напал на 85-й дивизион ОГПУ – полурота и 3 пулемета. Бой шел 3 суток – все чекисты погибли смертью храбрых (17325).</w:t>
      </w:r>
    </w:p>
    <w:p w14:paraId="2A97723D" w14:textId="77777777" w:rsidR="009D708C" w:rsidRPr="005E779E" w:rsidRDefault="009D708C" w:rsidP="000B7A6C">
      <w:pPr>
        <w:autoSpaceDE w:val="0"/>
        <w:autoSpaceDN w:val="0"/>
        <w:adjustRightInd w:val="0"/>
        <w:spacing w:after="0" w:line="240" w:lineRule="auto"/>
        <w:jc w:val="both"/>
        <w:rPr>
          <w:rFonts w:ascii="Times New Roman" w:hAnsi="Times New Roman"/>
          <w:color w:val="000000" w:themeColor="text1"/>
          <w:sz w:val="16"/>
          <w:szCs w:val="16"/>
        </w:rPr>
      </w:pPr>
    </w:p>
    <w:p w14:paraId="0F065C77"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0215ED98"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E4881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апреля 1931 года и.о. начальника 2-го отдела НИИ ВВС Горощенко писал письмо N 273 в 3-ий отдел УСС.</w:t>
      </w:r>
    </w:p>
    <w:p w14:paraId="5EA504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При сем препровождается отчет о дополнительных испытаниях лыж к самолету ТБ-1 2М-17.</w:t>
      </w:r>
    </w:p>
    <w:p w14:paraId="7BA5BE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Дополнительным испытаниям были подвергнуты лыжи постройки завода N 28 двух образцов:</w:t>
      </w:r>
    </w:p>
    <w:p w14:paraId="209875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Лыжи облегченные, конструкции завода N 28.</w:t>
      </w:r>
    </w:p>
    <w:p w14:paraId="13E894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Лыжи не облегченные конструкции завода N 25.</w:t>
      </w:r>
    </w:p>
    <w:p w14:paraId="5CA7BD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Испытания произведены с целью:</w:t>
      </w:r>
    </w:p>
    <w:p w14:paraId="2A189F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уточнения результатов полученных при испытании в зимний период 1929-30 г.г.</w:t>
      </w:r>
    </w:p>
    <w:p w14:paraId="0DB4A7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Изыскания мероприятий, облегчающих сдвиг самолета с места и рулежку.</w:t>
      </w:r>
    </w:p>
    <w:p w14:paraId="669BAE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Примечание:</w:t>
      </w:r>
    </w:p>
    <w:p w14:paraId="7D8912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 период испытания, т.е. с 13 января по 10 апреля 1931 года Центральный аэродром имел твердый укатанный снежный покров, поэтому поведение лыж на глубоком рыхлом снегу не выявлено.</w:t>
      </w:r>
    </w:p>
    <w:p w14:paraId="0EA2B7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w:t>
      </w:r>
    </w:p>
    <w:p w14:paraId="1364E8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основании произведенных испытаний НИИ считает, что:</w:t>
      </w:r>
    </w:p>
    <w:p w14:paraId="2146F6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Лыжи конструкции зав. 25 и зав. 28 не могут быть признаны вполне удовлетворительными для самолетов ТБ1, так как по своим формам и удельной нагрузке не достаточно обеспечивают возможность эксплуатации их на глубоком рыхлом снежном покрове (3260,45-50).</w:t>
      </w:r>
    </w:p>
    <w:p w14:paraId="3A7402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F828D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апреля 1931 года и.о. начальника 2-го отдела Горощенко писал письмо N 272 в 3-й отдел УСС.</w:t>
      </w:r>
    </w:p>
    <w:p w14:paraId="1E7CFA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сем препровождается протокол совещания по вопросам самолетных лыж.</w:t>
      </w:r>
    </w:p>
    <w:p w14:paraId="3B9DBF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Протокол совещания по вопросам самолетных лыж (3217).</w:t>
      </w:r>
    </w:p>
    <w:p w14:paraId="2DB7BD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апреля 1931 года</w:t>
      </w:r>
    </w:p>
    <w:p w14:paraId="7CF283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О ведущей организации в области опытного строительства лыж.</w:t>
      </w:r>
    </w:p>
    <w:p w14:paraId="7EB675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Считать, что опытное строительство лыж должно быть сосредоточено на 28 заводе осуществляющем, как непосредственно проектирование и постройку лыж, так и изучение всех лыжных вопросов на основе которых опытное строительство могло бы протекать наиболее продуктивно.</w:t>
      </w:r>
    </w:p>
    <w:p w14:paraId="38CBA9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II. Об опытном строительстве лыж в 1931 году.</w:t>
      </w:r>
    </w:p>
    <w:p w14:paraId="784306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Считать необходимым отразить в плане опытного строительства лыж на 1931 год следующие вопросы:</w:t>
      </w:r>
    </w:p>
    <w:p w14:paraId="3E698D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Унификация типов лыж.</w:t>
      </w:r>
    </w:p>
    <w:p w14:paraId="726D8C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Изыскание рациональных размеров лыж.</w:t>
      </w:r>
    </w:p>
    <w:p w14:paraId="6FAA61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Необходимость снабжения лыжами морских самолетов.</w:t>
      </w:r>
    </w:p>
    <w:p w14:paraId="767E39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Удобство эксплуатации лыж.</w:t>
      </w:r>
    </w:p>
    <w:p w14:paraId="636136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 Уменьшение лобового сопротивления лыж (скрытая амортизация).</w:t>
      </w:r>
    </w:p>
    <w:p w14:paraId="236AD1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 Усилия эксплуатации лыж на глубоком рыхлом снегу.</w:t>
      </w:r>
    </w:p>
    <w:p w14:paraId="53EE21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ж) Ввиду того, что применяемые в настоящее время лыжи к самолету ТБ1-2М17 не являются вполне удовлетворительными, обратить в плане опытного строительства особое внимание на лыжи к этому самолету (3217,42-45).</w:t>
      </w:r>
    </w:p>
    <w:p w14:paraId="718B8B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16157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апреля 1931 в Ленинграде на Комендантском аэродроме состоялось последнее испытание перед отлетом в Москву первой ленинградской авиетки конструкции М.В.Смирнова и Я.Л.Зархи ЛАКМ-1 (Ленинградский аэроклуб - музей, Осоавиахим). Полет состоялся в 11 утра и продолжался 2.5 час. Мотор конструкции Л.Я.Пальмен. Потом хотели без посадки лететь в Москву (вырезка из газеты).</w:t>
      </w:r>
    </w:p>
    <w:p w14:paraId="5E78A9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608766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 20 апреля 1931 года 5-м отделом НИИ ВВС велись работы по переливке горючего в воздухе, с 20 апреля эта работа была передана конструкторскому отделу Гроховского со сроком окончания к 15 июня. В качестве конкретного задания было поставлено задание – оборудование самолета ТБ-1 в качестве принимающего и самолет Р-5 – бензиноносец. Установка баков и испытание в воздухе затянулось вследствие несовершенства системы, баки текли и самолет в течение лета 1931 года не годился для эксплуатации. С 1 января 1933 года оборудование баками для переливки горючего переслано заводу № 39, куда передан самолет Тб-1. Работа производилась под наблюдением конструктора Запанованного (6770).</w:t>
      </w:r>
    </w:p>
    <w:p w14:paraId="1DB2B23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D92B32" w14:textId="77777777" w:rsidR="000C2E8E" w:rsidRPr="005E779E" w:rsidRDefault="000C2E8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shd w:val="clear" w:color="auto" w:fill="FFFFFF"/>
        </w:rPr>
        <w:t>20 апреля 1931 года Политбюро приняло окончательное постановление: «О дирижаблестроении»: «Исходя из необходимости максимально использовать 1931 год как этап выявления гелиевых запасов и их опытного производства, с одной стороны, и овладения проектировочными, опытно-производственными и эксплуатационными процессами управления воздухоплавания — с другой, с тем, чтобы в 1932 году начать развертывание большого советского дирижаблестроения на базе опытных достижений 1931 года, Политбюро постановляет: 1. Одобрить план развертывания гелиевых работ «Стройгаза» (Всехимпром) в 1931 году. Установить как минимум производство в 1931 году 3000 кубометров гелия… 2. Утвердить объем ассигнований на эти работы в сумме 2800 тысяч рублей… 4. Одобрить программу работ ВО ГВФ в 1931 году по «малому» дирижаблестроению и научно-исследовательским и проектным работам на базе временной Ленинградской верфи (завод имени Марти) и изысканию и проектированию постоянной верфи на Нижней Волге (ориентировочно в районе Саратова)… Объем ассигнований на эти работы утвердить в сумме 5172 тысячи рублей. 5…Разрешить т. Гольцману вступить в переговоры с соответствующими иностранными воздухоплавательными фирмами об организации в СССР смешанного консультационно-конструкторского бюро по дирижаблестроению порядка не менее 150 000 кубометров (объем дирижабля. — </w:t>
      </w:r>
      <w:r w:rsidRPr="005E779E">
        <w:rPr>
          <w:rFonts w:ascii="Times New Roman" w:hAnsi="Times New Roman"/>
          <w:i/>
          <w:iCs/>
          <w:color w:val="000000" w:themeColor="text1"/>
          <w:sz w:val="16"/>
          <w:szCs w:val="16"/>
          <w:shd w:val="clear" w:color="auto" w:fill="FFFFFF"/>
        </w:rPr>
        <w:t>Прим. авт.</w:t>
      </w:r>
      <w:r w:rsidRPr="005E779E">
        <w:rPr>
          <w:rFonts w:ascii="Times New Roman" w:hAnsi="Times New Roman"/>
          <w:color w:val="000000" w:themeColor="text1"/>
          <w:sz w:val="16"/>
          <w:szCs w:val="16"/>
          <w:shd w:val="clear" w:color="auto" w:fill="FFFFFF"/>
        </w:rPr>
        <w:t>), для чего забронировать в резерве ВО ГВФ 1 млн. рублей на эту цель в соввалюте и поручить тт. Гольцману и Розенгольцу (наркому внешней торговли СССР) определить в зависимости от условий реализации техпомощи инвалютную сторону этого вопроса» (20467).</w:t>
      </w:r>
    </w:p>
    <w:p w14:paraId="315AE219" w14:textId="77777777" w:rsidR="000C2E8E" w:rsidRPr="005E779E" w:rsidRDefault="000C2E8E" w:rsidP="000B7A6C">
      <w:pPr>
        <w:spacing w:after="0" w:line="240" w:lineRule="auto"/>
        <w:jc w:val="both"/>
        <w:rPr>
          <w:rFonts w:ascii="Times New Roman" w:hAnsi="Times New Roman"/>
          <w:color w:val="000000" w:themeColor="text1"/>
          <w:sz w:val="16"/>
          <w:szCs w:val="16"/>
        </w:rPr>
      </w:pPr>
    </w:p>
    <w:p w14:paraId="6B6BEAA7" w14:textId="77777777" w:rsidR="005F6639" w:rsidRPr="005E779E" w:rsidRDefault="005F66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20 апреля 1931 г </w:t>
      </w:r>
      <w:r w:rsidRPr="005E779E">
        <w:rPr>
          <w:rStyle w:val="af0"/>
          <w:rFonts w:ascii="Times New Roman" w:hAnsi="Times New Roman"/>
          <w:i w:val="0"/>
          <w:color w:val="000000" w:themeColor="text1"/>
          <w:sz w:val="16"/>
          <w:szCs w:val="16"/>
        </w:rPr>
        <w:t>Приложение № 3</w:t>
      </w:r>
      <w:r w:rsidRPr="005E779E">
        <w:rPr>
          <w:rStyle w:val="af0"/>
          <w:rFonts w:ascii="Times New Roman" w:hAnsi="Times New Roman"/>
          <w:i w:val="0"/>
          <w:color w:val="000000" w:themeColor="text1"/>
          <w:sz w:val="16"/>
          <w:szCs w:val="16"/>
        </w:rPr>
        <w:noBreakHyphen/>
        <w:t>ОП к п. 31/37 (о. п.) пр. ПБ № 35.</w:t>
      </w:r>
    </w:p>
    <w:p w14:paraId="2616007B" w14:textId="77777777" w:rsidR="005F6639" w:rsidRPr="005E779E" w:rsidRDefault="005F6639" w:rsidP="000B7A6C">
      <w:pPr>
        <w:pStyle w:val="rtejustify"/>
        <w:spacing w:before="0" w:after="0"/>
        <w:rPr>
          <w:color w:val="000000" w:themeColor="text1"/>
          <w:sz w:val="16"/>
          <w:szCs w:val="16"/>
        </w:rPr>
      </w:pPr>
      <w:r w:rsidRPr="005E779E">
        <w:rPr>
          <w:color w:val="000000" w:themeColor="text1"/>
          <w:sz w:val="16"/>
          <w:szCs w:val="16"/>
        </w:rPr>
        <w:t>Постановление Политбюро ЦК ВКП(б) от 20 апреля 1931 г по вопросу о дирижаблестроении.</w:t>
      </w:r>
    </w:p>
    <w:p w14:paraId="351D333E" w14:textId="77777777" w:rsidR="005F6639" w:rsidRPr="005E779E" w:rsidRDefault="005F6639" w:rsidP="000B7A6C">
      <w:pPr>
        <w:pStyle w:val="rtejustify"/>
        <w:spacing w:before="0" w:after="0"/>
        <w:rPr>
          <w:color w:val="000000" w:themeColor="text1"/>
          <w:sz w:val="16"/>
          <w:szCs w:val="16"/>
        </w:rPr>
      </w:pPr>
      <w:r w:rsidRPr="005E779E">
        <w:rPr>
          <w:color w:val="000000" w:themeColor="text1"/>
          <w:sz w:val="16"/>
          <w:szCs w:val="16"/>
        </w:rPr>
        <w:t>Исходя из необходимости максимально использовать 1931 г., как этап выявления гелиевых запасов и их опытного производства с одной стороны, и овладения проектировочными, опытно-производственными и эксплуатационными процессами управляемого воздухоплавания — с другой, с тем, чтобы в 1932 г. начать развертывание большого советского дирижаблестроения на базе опытных достижений 1931 года.</w:t>
      </w:r>
    </w:p>
    <w:p w14:paraId="3C43B315" w14:textId="77777777" w:rsidR="005F6639" w:rsidRPr="005E779E" w:rsidRDefault="005F6639" w:rsidP="000B7A6C">
      <w:pPr>
        <w:pStyle w:val="rtejustify"/>
        <w:spacing w:before="0" w:after="0"/>
        <w:rPr>
          <w:color w:val="000000" w:themeColor="text1"/>
          <w:sz w:val="16"/>
          <w:szCs w:val="16"/>
        </w:rPr>
      </w:pPr>
      <w:r w:rsidRPr="005E779E">
        <w:rPr>
          <w:color w:val="000000" w:themeColor="text1"/>
          <w:sz w:val="16"/>
          <w:szCs w:val="16"/>
        </w:rPr>
        <w:t>Политбюро постановляет:</w:t>
      </w:r>
    </w:p>
    <w:p w14:paraId="0C39F324" w14:textId="77777777" w:rsidR="005F6639" w:rsidRPr="005E779E" w:rsidRDefault="005F6639" w:rsidP="000B7A6C">
      <w:pPr>
        <w:pStyle w:val="rtejustify"/>
        <w:spacing w:before="0" w:after="0"/>
        <w:rPr>
          <w:color w:val="000000" w:themeColor="text1"/>
          <w:sz w:val="16"/>
          <w:szCs w:val="16"/>
        </w:rPr>
      </w:pPr>
      <w:r w:rsidRPr="005E779E">
        <w:rPr>
          <w:rStyle w:val="a7"/>
          <w:b w:val="0"/>
          <w:color w:val="000000" w:themeColor="text1"/>
          <w:sz w:val="16"/>
          <w:szCs w:val="16"/>
        </w:rPr>
        <w:t>1</w:t>
      </w:r>
      <w:r w:rsidRPr="005E779E">
        <w:rPr>
          <w:color w:val="000000" w:themeColor="text1"/>
          <w:sz w:val="16"/>
          <w:szCs w:val="16"/>
        </w:rPr>
        <w:t>. Одобрить план разведывательных гелиевых работ “Стройгаза” (Всехимпром) в 1931 г., имея в виду полное и точное выявление наличных ресурсов гелия и исчерпывающее изучение процессов добычи, очищения, хранения, перевозки и опытной эксплуатации его с тем, чтобы окончательно разведать все известные крупные источники гелия и овладеть процессом его производства и эксплуатации. Установить как минимум производства в 1931 г. .000 куб. м гелия.</w:t>
      </w:r>
    </w:p>
    <w:p w14:paraId="26315CA2" w14:textId="77777777" w:rsidR="005F6639" w:rsidRPr="005E779E" w:rsidRDefault="005F6639" w:rsidP="000B7A6C">
      <w:pPr>
        <w:pStyle w:val="rtejustify"/>
        <w:spacing w:before="0" w:after="0"/>
        <w:rPr>
          <w:color w:val="000000" w:themeColor="text1"/>
          <w:sz w:val="16"/>
          <w:szCs w:val="16"/>
        </w:rPr>
      </w:pPr>
      <w:r w:rsidRPr="005E779E">
        <w:rPr>
          <w:color w:val="000000" w:themeColor="text1"/>
          <w:sz w:val="16"/>
          <w:szCs w:val="16"/>
        </w:rPr>
        <w:t>Распространить льготы ВОГВФ на все работы по гелию. В частности, обязать ГГРУ и Союзнефть обеспечить выполнение поисково-разведочного плана по гелию специальными разведывательными партиями.</w:t>
      </w:r>
    </w:p>
    <w:p w14:paraId="4EBB814D" w14:textId="77777777" w:rsidR="005F6639" w:rsidRPr="005E779E" w:rsidRDefault="005F6639" w:rsidP="000B7A6C">
      <w:pPr>
        <w:pStyle w:val="rtejustify"/>
        <w:spacing w:before="0" w:after="0"/>
        <w:rPr>
          <w:color w:val="000000" w:themeColor="text1"/>
          <w:sz w:val="16"/>
          <w:szCs w:val="16"/>
        </w:rPr>
      </w:pPr>
      <w:r w:rsidRPr="005E779E">
        <w:rPr>
          <w:rStyle w:val="a7"/>
          <w:b w:val="0"/>
          <w:color w:val="000000" w:themeColor="text1"/>
          <w:sz w:val="16"/>
          <w:szCs w:val="16"/>
        </w:rPr>
        <w:t>2</w:t>
      </w:r>
      <w:r w:rsidRPr="005E779E">
        <w:rPr>
          <w:color w:val="000000" w:themeColor="text1"/>
          <w:sz w:val="16"/>
          <w:szCs w:val="16"/>
        </w:rPr>
        <w:t>. Утвердить объем ассигнований на эти работы в сумме 2.800 тыс. руб., из них 1.200 тыс. руб. по смете Всехимпрома и 1.600 тыс. руб. по смете ВОГВФ. Поручить НКВнешторгу выделить из резерва контингент инвалюты на эти работы 50.000 руб.</w:t>
      </w:r>
    </w:p>
    <w:p w14:paraId="0A5C47A2" w14:textId="77777777" w:rsidR="005F6639" w:rsidRPr="005E779E" w:rsidRDefault="005F6639" w:rsidP="000B7A6C">
      <w:pPr>
        <w:pStyle w:val="rtejustify"/>
        <w:spacing w:before="0" w:after="0"/>
        <w:rPr>
          <w:color w:val="000000" w:themeColor="text1"/>
          <w:sz w:val="16"/>
          <w:szCs w:val="16"/>
        </w:rPr>
      </w:pPr>
      <w:r w:rsidRPr="005E779E">
        <w:rPr>
          <w:rStyle w:val="a7"/>
          <w:b w:val="0"/>
          <w:color w:val="000000" w:themeColor="text1"/>
          <w:sz w:val="16"/>
          <w:szCs w:val="16"/>
        </w:rPr>
        <w:t>3</w:t>
      </w:r>
      <w:r w:rsidRPr="005E779E">
        <w:rPr>
          <w:color w:val="000000" w:themeColor="text1"/>
          <w:sz w:val="16"/>
          <w:szCs w:val="16"/>
        </w:rPr>
        <w:t>. Обязать ВСНХ СССР (ГГРУ и Союзнефть) и ВОГВФ оказать полное и исчерпывающее содействие “Стройгазу” в осуществлении этой программы.</w:t>
      </w:r>
    </w:p>
    <w:p w14:paraId="1134D178" w14:textId="77777777" w:rsidR="005F6639" w:rsidRPr="005E779E" w:rsidRDefault="005F6639" w:rsidP="000B7A6C">
      <w:pPr>
        <w:pStyle w:val="rtejustify"/>
        <w:spacing w:before="0" w:after="0"/>
        <w:rPr>
          <w:color w:val="000000" w:themeColor="text1"/>
          <w:sz w:val="16"/>
          <w:szCs w:val="16"/>
        </w:rPr>
      </w:pPr>
      <w:r w:rsidRPr="005E779E">
        <w:rPr>
          <w:rStyle w:val="a7"/>
          <w:b w:val="0"/>
          <w:color w:val="000000" w:themeColor="text1"/>
          <w:sz w:val="16"/>
          <w:szCs w:val="16"/>
        </w:rPr>
        <w:t>4</w:t>
      </w:r>
      <w:r w:rsidRPr="005E779E">
        <w:rPr>
          <w:color w:val="000000" w:themeColor="text1"/>
          <w:sz w:val="16"/>
          <w:szCs w:val="16"/>
        </w:rPr>
        <w:t>. Одобрить программу работ ВОГВФ в 1931 г. по “малому” дирижаблестроению и научно-исследовательским и проектировочным работам на базе временной Ленинградской верфи (завод им. Марти) и изысканию и проектирования постоянной верфи в Нижней Волге (ориентировочно в районе Саратова) с тем, чтобы получить возможность уже в 1932 г. приступить к строительству, связанному с большой дирижабельной программой.</w:t>
      </w:r>
    </w:p>
    <w:p w14:paraId="3254A43D" w14:textId="77777777" w:rsidR="005F6639" w:rsidRPr="005E779E" w:rsidRDefault="005F6639" w:rsidP="000B7A6C">
      <w:pPr>
        <w:pStyle w:val="rtejustify"/>
        <w:spacing w:before="0" w:after="0"/>
        <w:rPr>
          <w:color w:val="000000" w:themeColor="text1"/>
          <w:sz w:val="16"/>
          <w:szCs w:val="16"/>
        </w:rPr>
      </w:pPr>
      <w:r w:rsidRPr="005E779E">
        <w:rPr>
          <w:color w:val="000000" w:themeColor="text1"/>
          <w:sz w:val="16"/>
          <w:szCs w:val="16"/>
        </w:rPr>
        <w:t>Объем ассигнований на эти работы утвердить в сумме 1.172 тыс. руб.</w:t>
      </w:r>
    </w:p>
    <w:p w14:paraId="742D821D" w14:textId="77777777" w:rsidR="005F6639" w:rsidRPr="005E779E" w:rsidRDefault="005F6639" w:rsidP="000B7A6C">
      <w:pPr>
        <w:pStyle w:val="rtejustify"/>
        <w:spacing w:before="0" w:after="0"/>
        <w:rPr>
          <w:color w:val="000000" w:themeColor="text1"/>
          <w:sz w:val="16"/>
          <w:szCs w:val="16"/>
        </w:rPr>
      </w:pPr>
      <w:r w:rsidRPr="005E779E">
        <w:rPr>
          <w:rStyle w:val="a7"/>
          <w:b w:val="0"/>
          <w:color w:val="000000" w:themeColor="text1"/>
          <w:sz w:val="16"/>
          <w:szCs w:val="16"/>
        </w:rPr>
        <w:t>5</w:t>
      </w:r>
      <w:r w:rsidRPr="005E779E">
        <w:rPr>
          <w:color w:val="000000" w:themeColor="text1"/>
          <w:sz w:val="16"/>
          <w:szCs w:val="16"/>
        </w:rPr>
        <w:t>. Исходя из целесообразности привлечения иностранной техпомощи как к разрешению вопросов “малого” дирижаблестроения, так и к постановке проектирования больших современных дирижаблей, разрешить т. Гольцману вступить в переговоры с соответствующими иностранными воздухоплавательными фирмами об организации в СССР смешанного консультационно-конструкторского бюро по дирижаблестроению порядка не менее 150.000 куб. м, для чего забронировать в резерве ВОГВФ 1 млн. руб. на эту цель в соввалюте и поручить т.т. Гольцману и Розенгольцу определить в зависимости от условий реализации техпомощи инвалютную сторону этого вопроса (17132).</w:t>
      </w:r>
    </w:p>
    <w:p w14:paraId="10E57718" w14:textId="77777777" w:rsidR="005F6639" w:rsidRPr="005E779E" w:rsidRDefault="005F6639" w:rsidP="000B7A6C">
      <w:pPr>
        <w:spacing w:after="0" w:line="240" w:lineRule="auto"/>
        <w:jc w:val="both"/>
        <w:rPr>
          <w:rFonts w:ascii="Times New Roman" w:hAnsi="Times New Roman"/>
          <w:bCs/>
          <w:color w:val="000000" w:themeColor="text1"/>
          <w:sz w:val="16"/>
          <w:szCs w:val="16"/>
        </w:rPr>
      </w:pPr>
    </w:p>
    <w:p w14:paraId="7049FE25" w14:textId="2516935D" w:rsidR="009949F5" w:rsidRPr="005E779E" w:rsidRDefault="009949F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апреля 1931 года Политбюро одобрило предложения НИИСЭД, доложенные Гольцманом. Вопреки его возражениям главную базу (постоянную верфь) решили строить в низовьях Волги - ориентировочно в районе Саратова.</w:t>
      </w:r>
    </w:p>
    <w:p w14:paraId="61A7D05E" w14:textId="77777777" w:rsidR="009949F5" w:rsidRPr="005E779E" w:rsidRDefault="009949F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Торжество «ленинградской партии», добившейся переноса начального этапа дирижаблестроения в город на Неве, было недолгим: оправившиеся «москвичи» переубедили Гольцмана, и уже в мае он распорядился ликвидировать НИИСЭД и учредить в столице БОСЭД-II. Вопрос был окончательно закрыт в июле, когда комиссия из Москвы проверила ход проектирования малого полужёсткого дирижабля конструкторским бюро ЛИГВФ. Оказалось, что законченного проекта даже в основных его частях не имеется, конструктивное решение балочек килевой фермы выбрано самое неудачное, а по качеству проект представляет собой «скорее </w:t>
      </w:r>
      <w:r w:rsidRPr="005E779E">
        <w:rPr>
          <w:rFonts w:ascii="Times New Roman" w:hAnsi="Times New Roman"/>
          <w:color w:val="000000" w:themeColor="text1"/>
          <w:sz w:val="16"/>
          <w:szCs w:val="16"/>
        </w:rPr>
        <w:lastRenderedPageBreak/>
        <w:t>учебную разработку отдельных вариантов, чем подготовляемый к постройке комплект чертежей». Справедливости ради надо сказать, что у ленинградских проектировщиков было совсем немного времени - каких-нибудь два-три месяца, но выводы комиссии не предполагали обжалования. Впрочем, сохранять в Ленинграде конструкторское бюро, оторванное от опытного производства, в любом случае не было смысла.</w:t>
      </w:r>
    </w:p>
    <w:p w14:paraId="7DF19AF5" w14:textId="73395130" w:rsidR="009949F5" w:rsidRPr="005E779E" w:rsidRDefault="009949F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Всё, что делалось в колыбели революции в течение четырёх месяцев, оказалось ненужным, а время, потраченное в борьбе столиц, - потерянным для дирижаблестроения. Настоящая работа началась лишь в середине 1931 года (23192).</w:t>
      </w:r>
    </w:p>
    <w:p w14:paraId="055D887E" w14:textId="77777777" w:rsidR="009949F5" w:rsidRPr="005E779E" w:rsidRDefault="009949F5" w:rsidP="000B7A6C">
      <w:pPr>
        <w:spacing w:after="0" w:line="240" w:lineRule="auto"/>
        <w:jc w:val="both"/>
        <w:rPr>
          <w:rFonts w:ascii="Times New Roman" w:hAnsi="Times New Roman"/>
          <w:color w:val="000000" w:themeColor="text1"/>
          <w:sz w:val="16"/>
          <w:szCs w:val="16"/>
        </w:rPr>
      </w:pPr>
    </w:p>
    <w:p w14:paraId="273AAF91" w14:textId="3F28BDC9" w:rsidR="00873B41" w:rsidRPr="00142305" w:rsidRDefault="00873B41" w:rsidP="00873B41">
      <w:pPr>
        <w:spacing w:after="0" w:line="240" w:lineRule="auto"/>
        <w:jc w:val="both"/>
        <w:rPr>
          <w:rStyle w:val="aff0"/>
          <w:rFonts w:ascii="Times New Roman" w:hAnsi="Times New Roman" w:cs="Times New Roman"/>
          <w:color w:val="0070C0"/>
          <w:spacing w:val="0"/>
          <w:sz w:val="16"/>
          <w:szCs w:val="16"/>
        </w:rPr>
      </w:pPr>
      <w:r w:rsidRPr="00142305">
        <w:rPr>
          <w:rStyle w:val="aff0"/>
          <w:rFonts w:ascii="Times New Roman" w:hAnsi="Times New Roman" w:cs="Times New Roman"/>
          <w:color w:val="0070C0"/>
          <w:spacing w:val="0"/>
          <w:sz w:val="16"/>
          <w:szCs w:val="16"/>
        </w:rPr>
        <w:t>20 апреля 1931 г. было принято постановление По</w:t>
      </w:r>
      <w:r w:rsidRPr="00142305">
        <w:rPr>
          <w:rStyle w:val="aff0"/>
          <w:rFonts w:ascii="Times New Roman" w:hAnsi="Times New Roman" w:cs="Times New Roman"/>
          <w:color w:val="0070C0"/>
          <w:spacing w:val="0"/>
          <w:sz w:val="16"/>
          <w:szCs w:val="16"/>
        </w:rPr>
        <w:softHyphen/>
        <w:t xml:space="preserve">литбюро ЦК </w:t>
      </w:r>
      <w:r w:rsidRPr="00142305">
        <w:rPr>
          <w:rStyle w:val="aff0"/>
          <w:rFonts w:ascii="Times New Roman" w:hAnsi="Times New Roman" w:cs="Times New Roman"/>
          <w:color w:val="0070C0"/>
          <w:spacing w:val="0"/>
          <w:sz w:val="16"/>
          <w:szCs w:val="16"/>
          <w:lang w:val="en-US"/>
        </w:rPr>
        <w:t>BK</w:t>
      </w:r>
      <w:r w:rsidRPr="00142305">
        <w:rPr>
          <w:rStyle w:val="aff0"/>
          <w:rFonts w:ascii="Times New Roman" w:hAnsi="Times New Roman" w:cs="Times New Roman"/>
          <w:color w:val="0070C0"/>
          <w:spacing w:val="0"/>
          <w:sz w:val="16"/>
          <w:szCs w:val="16"/>
        </w:rPr>
        <w:t>П(6)</w:t>
      </w:r>
      <w:r w:rsidR="00FE094E">
        <w:rPr>
          <w:rStyle w:val="aff0"/>
          <w:rFonts w:ascii="Times New Roman" w:hAnsi="Times New Roman" w:cs="Times New Roman"/>
          <w:color w:val="0070C0"/>
          <w:spacing w:val="0"/>
          <w:sz w:val="16"/>
          <w:szCs w:val="16"/>
        </w:rPr>
        <w:t xml:space="preserve"> </w:t>
      </w:r>
      <w:r w:rsidRPr="00142305">
        <w:rPr>
          <w:rStyle w:val="aff0"/>
          <w:rFonts w:ascii="Times New Roman" w:hAnsi="Times New Roman" w:cs="Times New Roman"/>
          <w:color w:val="0070C0"/>
          <w:spacing w:val="0"/>
          <w:sz w:val="16"/>
          <w:szCs w:val="16"/>
        </w:rPr>
        <w:t>«О дирижаблестрое</w:t>
      </w:r>
      <w:r w:rsidRPr="00142305">
        <w:rPr>
          <w:rStyle w:val="aff0"/>
          <w:rFonts w:ascii="Times New Roman" w:hAnsi="Times New Roman" w:cs="Times New Roman"/>
          <w:color w:val="0070C0"/>
          <w:spacing w:val="0"/>
          <w:sz w:val="16"/>
          <w:szCs w:val="16"/>
        </w:rPr>
        <w:softHyphen/>
        <w:t>нии»:</w:t>
      </w:r>
    </w:p>
    <w:p w14:paraId="116E19C5" w14:textId="77777777" w:rsidR="00873B41" w:rsidRPr="00142305" w:rsidRDefault="00873B41" w:rsidP="00873B41">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«Исходя из необходимости максимально использовать 1931 /од как этап выявления гелиевых запасов и их опытного производства, с одной стороны, и овладения проектировоч</w:t>
      </w:r>
      <w:r w:rsidRPr="00142305">
        <w:rPr>
          <w:rStyle w:val="aff0"/>
          <w:rFonts w:ascii="Times New Roman" w:hAnsi="Times New Roman" w:cs="Times New Roman"/>
          <w:color w:val="0070C0"/>
          <w:spacing w:val="0"/>
          <w:sz w:val="16"/>
          <w:szCs w:val="16"/>
        </w:rPr>
        <w:softHyphen/>
        <w:t>ными, опытно-производственным и и эксплуатационными процессами управления воздухоплавания с другой, с тем, чтобы в 1932 году начать развёртывание большого советско</w:t>
      </w:r>
      <w:r w:rsidRPr="00142305">
        <w:rPr>
          <w:rStyle w:val="aff0"/>
          <w:rFonts w:ascii="Times New Roman" w:hAnsi="Times New Roman" w:cs="Times New Roman"/>
          <w:color w:val="0070C0"/>
          <w:spacing w:val="0"/>
          <w:sz w:val="16"/>
          <w:szCs w:val="16"/>
        </w:rPr>
        <w:softHyphen/>
        <w:t>го дирижаблестроения на базе опытных достижений 1931 года, Политбюро постановляет:</w:t>
      </w:r>
    </w:p>
    <w:p w14:paraId="47DF4C5B" w14:textId="77777777" w:rsidR="00873B41" w:rsidRPr="00142305" w:rsidRDefault="00873B41" w:rsidP="00873B41">
      <w:pPr>
        <w:widowControl w:val="0"/>
        <w:tabs>
          <w:tab w:val="left" w:pos="543"/>
        </w:tabs>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1. Одобрить план развёртывания гелиевых работ «Стройгаза» (Всехимпром) в 1931 году. Установить как минимум производство в 1931 году 3000 кубометров гелия...</w:t>
      </w:r>
    </w:p>
    <w:p w14:paraId="5C812094" w14:textId="77777777" w:rsidR="00873B41" w:rsidRPr="00142305" w:rsidRDefault="00873B41" w:rsidP="00873B41">
      <w:pPr>
        <w:widowControl w:val="0"/>
        <w:tabs>
          <w:tab w:val="left" w:pos="562"/>
        </w:tabs>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2. Утвердить объём ассигнований на эти работы в сумме 2800 тысяч рублей...</w:t>
      </w:r>
    </w:p>
    <w:p w14:paraId="60CBA3EE" w14:textId="77777777" w:rsidR="00873B41" w:rsidRPr="00142305" w:rsidRDefault="00873B41" w:rsidP="00873B41">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4. Одобрить программу работ ВО ГВФ в 1931 году по «малому» дирижаблестроению, научно-исследовательскими проектным работам на базе временной Ленинградской верфи (завод имени Марти), изысканию и проектированию постоянной верфи на Нижней Волге (ориентировочно в районе Саратова )... Объём ассигнований на эти работы утвердить в сумме 5172 тысячи рублей...</w:t>
      </w:r>
    </w:p>
    <w:p w14:paraId="7F5CDD50" w14:textId="77777777" w:rsidR="00873B41" w:rsidRPr="00142305" w:rsidRDefault="00873B41" w:rsidP="00873B41">
      <w:pPr>
        <w:widowControl w:val="0"/>
        <w:tabs>
          <w:tab w:val="left" w:pos="548"/>
        </w:tabs>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5. Разрешить т. Гольцману вступить в переговоры с соот</w:t>
      </w:r>
      <w:r w:rsidRPr="00142305">
        <w:rPr>
          <w:rStyle w:val="aff0"/>
          <w:rFonts w:ascii="Times New Roman" w:hAnsi="Times New Roman" w:cs="Times New Roman"/>
          <w:color w:val="0070C0"/>
          <w:spacing w:val="0"/>
          <w:sz w:val="16"/>
          <w:szCs w:val="16"/>
        </w:rPr>
        <w:softHyphen/>
        <w:t>ветствующими иностранными воздухоплавательными фир</w:t>
      </w:r>
      <w:r w:rsidRPr="00142305">
        <w:rPr>
          <w:rStyle w:val="aff0"/>
          <w:rFonts w:ascii="Times New Roman" w:hAnsi="Times New Roman" w:cs="Times New Roman"/>
          <w:color w:val="0070C0"/>
          <w:spacing w:val="0"/>
          <w:sz w:val="16"/>
          <w:szCs w:val="16"/>
        </w:rPr>
        <w:softHyphen/>
        <w:t>мами об организации в СССР смешанного консультативно</w:t>
      </w:r>
      <w:r w:rsidRPr="00142305">
        <w:rPr>
          <w:rStyle w:val="aff0"/>
          <w:rFonts w:ascii="Times New Roman" w:hAnsi="Times New Roman" w:cs="Times New Roman"/>
          <w:color w:val="0070C0"/>
          <w:spacing w:val="0"/>
          <w:sz w:val="16"/>
          <w:szCs w:val="16"/>
        </w:rPr>
        <w:softHyphen/>
        <w:t>конструкторского бюро по дирижаблестроению порядка не менее 150000 кубометров, для чего забронировать в резерве ВО ГВФ 1 млн. рублей на эту цель в соввалюте и поручить тгп. Гольцману и Розенгольцу (нарком внешней торговли СССР) определить в зависимости от условий реали</w:t>
      </w:r>
      <w:r w:rsidRPr="00142305">
        <w:rPr>
          <w:rStyle w:val="aff0"/>
          <w:rFonts w:ascii="Times New Roman" w:hAnsi="Times New Roman" w:cs="Times New Roman"/>
          <w:color w:val="0070C0"/>
          <w:spacing w:val="0"/>
          <w:sz w:val="16"/>
          <w:szCs w:val="16"/>
        </w:rPr>
        <w:softHyphen/>
        <w:t>зации техпомощи инвалютную сторону этого вопроса.»</w:t>
      </w:r>
    </w:p>
    <w:p w14:paraId="28A34FEF" w14:textId="77777777" w:rsidR="00873B41" w:rsidRPr="00142305" w:rsidRDefault="00873B41" w:rsidP="00873B41">
      <w:pPr>
        <w:spacing w:after="0" w:line="240" w:lineRule="auto"/>
        <w:jc w:val="both"/>
        <w:rPr>
          <w:rStyle w:val="aff0"/>
          <w:rFonts w:ascii="Times New Roman" w:hAnsi="Times New Roman" w:cs="Times New Roman"/>
          <w:color w:val="0070C0"/>
          <w:spacing w:val="0"/>
          <w:sz w:val="16"/>
          <w:szCs w:val="16"/>
        </w:rPr>
      </w:pPr>
      <w:r w:rsidRPr="00142305">
        <w:rPr>
          <w:rStyle w:val="aff0"/>
          <w:rFonts w:ascii="Times New Roman" w:hAnsi="Times New Roman" w:cs="Times New Roman"/>
          <w:color w:val="0070C0"/>
          <w:spacing w:val="0"/>
          <w:sz w:val="16"/>
          <w:szCs w:val="16"/>
        </w:rPr>
        <w:t>Кроме того, в документе предусматривалось и «при</w:t>
      </w:r>
      <w:r w:rsidRPr="00142305">
        <w:rPr>
          <w:rStyle w:val="aff0"/>
          <w:rFonts w:ascii="Times New Roman" w:hAnsi="Times New Roman" w:cs="Times New Roman"/>
          <w:color w:val="0070C0"/>
          <w:spacing w:val="0"/>
          <w:sz w:val="16"/>
          <w:szCs w:val="16"/>
        </w:rPr>
        <w:softHyphen/>
        <w:t>обретение технической помощи для строительства соот</w:t>
      </w:r>
      <w:r w:rsidRPr="00142305">
        <w:rPr>
          <w:rStyle w:val="aff0"/>
          <w:rFonts w:ascii="Times New Roman" w:hAnsi="Times New Roman" w:cs="Times New Roman"/>
          <w:color w:val="0070C0"/>
          <w:spacing w:val="0"/>
          <w:sz w:val="16"/>
          <w:szCs w:val="16"/>
        </w:rPr>
        <w:softHyphen/>
        <w:t>ветствующих типов дирижаблей и наземных сооружений» в Италии, США и в Германии.</w:t>
      </w:r>
    </w:p>
    <w:p w14:paraId="1C3E3FB2" w14:textId="77777777" w:rsidR="00873B41" w:rsidRPr="00142305" w:rsidRDefault="00873B41" w:rsidP="00873B41">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После принятия постановления А.З. Гольцман отпра</w:t>
      </w:r>
      <w:r w:rsidRPr="00142305">
        <w:rPr>
          <w:rStyle w:val="aff0"/>
          <w:rFonts w:ascii="Times New Roman" w:hAnsi="Times New Roman" w:cs="Times New Roman"/>
          <w:color w:val="0070C0"/>
          <w:spacing w:val="0"/>
          <w:sz w:val="16"/>
          <w:szCs w:val="16"/>
        </w:rPr>
        <w:softHyphen/>
        <w:t>вился в Берлин для разработки с X. Эккенером условий соглашения по оказанию технической помощи в дирижабле</w:t>
      </w:r>
      <w:r w:rsidRPr="00142305">
        <w:rPr>
          <w:rStyle w:val="aff0"/>
          <w:rFonts w:ascii="Times New Roman" w:hAnsi="Times New Roman" w:cs="Times New Roman"/>
          <w:color w:val="0070C0"/>
          <w:spacing w:val="0"/>
          <w:sz w:val="16"/>
          <w:szCs w:val="16"/>
        </w:rPr>
        <w:softHyphen/>
        <w:t>строении. В рамках программы капитального строительства но дирижаблестроению в 1931 г. советское правительство решило заказать у фирмы «Цеппелин» один жёсткий дири</w:t>
      </w:r>
      <w:r w:rsidRPr="00142305">
        <w:rPr>
          <w:rStyle w:val="aff0"/>
          <w:rFonts w:ascii="Times New Roman" w:hAnsi="Times New Roman" w:cs="Times New Roman"/>
          <w:color w:val="0070C0"/>
          <w:spacing w:val="0"/>
          <w:sz w:val="16"/>
          <w:szCs w:val="16"/>
        </w:rPr>
        <w:softHyphen/>
        <w:t>жабль (150 тысяч кубических метров), а второй построить в СССР. Чувствуя конкуренцию со стороны итальянцев, немецкая сторона сразу предложила техническую помощь в сооружении верфи для строительства дирижаблей с уча</w:t>
      </w:r>
      <w:r w:rsidRPr="00142305">
        <w:rPr>
          <w:rStyle w:val="aff0"/>
          <w:rFonts w:ascii="Times New Roman" w:hAnsi="Times New Roman" w:cs="Times New Roman"/>
          <w:color w:val="0070C0"/>
          <w:spacing w:val="0"/>
          <w:sz w:val="16"/>
          <w:szCs w:val="16"/>
        </w:rPr>
        <w:softHyphen/>
        <w:t>стием своих специалистов и возможность обучения совет</w:t>
      </w:r>
      <w:r w:rsidRPr="00142305">
        <w:rPr>
          <w:rStyle w:val="aff0"/>
          <w:rFonts w:ascii="Times New Roman" w:hAnsi="Times New Roman" w:cs="Times New Roman"/>
          <w:color w:val="0070C0"/>
          <w:spacing w:val="0"/>
          <w:sz w:val="16"/>
          <w:szCs w:val="16"/>
        </w:rPr>
        <w:softHyphen/>
        <w:t xml:space="preserve">ских конструкторов в КБ фирмы «Цеппелин» в Германии. Но самое главное, немцы заявили о готовности предоставить в ближайшее время </w:t>
      </w:r>
      <w:r w:rsidRPr="00142305">
        <w:rPr>
          <w:rStyle w:val="aff0"/>
          <w:rFonts w:ascii="Times New Roman" w:hAnsi="Times New Roman" w:cs="Times New Roman"/>
          <w:color w:val="0070C0"/>
          <w:spacing w:val="0"/>
          <w:sz w:val="16"/>
          <w:szCs w:val="16"/>
          <w:lang w:val="en-US"/>
        </w:rPr>
        <w:t>LZ</w:t>
      </w:r>
      <w:r w:rsidRPr="00142305">
        <w:rPr>
          <w:rStyle w:val="aff0"/>
          <w:rFonts w:ascii="Times New Roman" w:hAnsi="Times New Roman" w:cs="Times New Roman"/>
          <w:color w:val="0070C0"/>
          <w:spacing w:val="0"/>
          <w:sz w:val="16"/>
          <w:szCs w:val="16"/>
        </w:rPr>
        <w:t>-127 для полёта в советском секторе Арктики (25653).</w:t>
      </w:r>
    </w:p>
    <w:p w14:paraId="1B1E482A" w14:textId="77777777" w:rsidR="00873B41" w:rsidRPr="00142305" w:rsidRDefault="00873B41" w:rsidP="00873B41">
      <w:pPr>
        <w:spacing w:after="0" w:line="240" w:lineRule="auto"/>
        <w:jc w:val="both"/>
        <w:rPr>
          <w:rFonts w:ascii="Times New Roman" w:hAnsi="Times New Roman"/>
          <w:color w:val="0070C0"/>
          <w:sz w:val="16"/>
          <w:szCs w:val="16"/>
        </w:rPr>
      </w:pPr>
    </w:p>
    <w:p w14:paraId="73C32515" w14:textId="4E17A314" w:rsidR="00873B41" w:rsidRPr="00142305" w:rsidRDefault="00873B41" w:rsidP="00873B41">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20 апреля 1931 г. По</w:t>
      </w:r>
      <w:r w:rsidRPr="00142305">
        <w:rPr>
          <w:rStyle w:val="aff0"/>
          <w:rFonts w:ascii="Times New Roman" w:hAnsi="Times New Roman" w:cs="Times New Roman"/>
          <w:color w:val="0070C0"/>
          <w:spacing w:val="0"/>
          <w:sz w:val="16"/>
          <w:szCs w:val="16"/>
        </w:rPr>
        <w:softHyphen/>
        <w:t xml:space="preserve">литбюро ЦК </w:t>
      </w:r>
      <w:r w:rsidRPr="00142305">
        <w:rPr>
          <w:rStyle w:val="aff0"/>
          <w:rFonts w:ascii="Times New Roman" w:hAnsi="Times New Roman" w:cs="Times New Roman"/>
          <w:color w:val="0070C0"/>
          <w:spacing w:val="0"/>
          <w:sz w:val="16"/>
          <w:szCs w:val="16"/>
          <w:lang w:val="en-US"/>
        </w:rPr>
        <w:t>BK</w:t>
      </w:r>
      <w:r w:rsidRPr="00142305">
        <w:rPr>
          <w:rStyle w:val="aff0"/>
          <w:rFonts w:ascii="Times New Roman" w:hAnsi="Times New Roman" w:cs="Times New Roman"/>
          <w:color w:val="0070C0"/>
          <w:spacing w:val="0"/>
          <w:sz w:val="16"/>
          <w:szCs w:val="16"/>
        </w:rPr>
        <w:t>П(6) приняло постановление «Об экспедиции Экенера в Арктику»:</w:t>
      </w:r>
    </w:p>
    <w:p w14:paraId="20728ED1" w14:textId="77777777" w:rsidR="00873B41" w:rsidRPr="00142305" w:rsidRDefault="00873B41" w:rsidP="00873B41">
      <w:pPr>
        <w:widowControl w:val="0"/>
        <w:tabs>
          <w:tab w:val="left" w:pos="596"/>
        </w:tabs>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6) Разрешить международному обществу «Аэроарктик » научную экспедицию на дирижабле с остановками на терри</w:t>
      </w:r>
      <w:r w:rsidRPr="00142305">
        <w:rPr>
          <w:rStyle w:val="aff0"/>
          <w:rFonts w:ascii="Times New Roman" w:hAnsi="Times New Roman" w:cs="Times New Roman"/>
          <w:color w:val="0070C0"/>
          <w:spacing w:val="0"/>
          <w:sz w:val="16"/>
          <w:szCs w:val="16"/>
        </w:rPr>
        <w:softHyphen/>
        <w:t>тории СССР по маршруту Германия -Ленинград-советский сектор Арктики Москва (Ленинград) Германия;</w:t>
      </w:r>
    </w:p>
    <w:p w14:paraId="65DDA8E3" w14:textId="77777777" w:rsidR="00873B41" w:rsidRPr="00142305" w:rsidRDefault="00873B41" w:rsidP="00873B41">
      <w:pPr>
        <w:widowControl w:val="0"/>
        <w:tabs>
          <w:tab w:val="left" w:pos="606"/>
        </w:tabs>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б) Разрешить участие в этой экспедиции в качестве её начальника профессора Самойловича и других советских ис</w:t>
      </w:r>
      <w:r w:rsidRPr="00142305">
        <w:rPr>
          <w:rStyle w:val="aff0"/>
          <w:rFonts w:ascii="Times New Roman" w:hAnsi="Times New Roman" w:cs="Times New Roman"/>
          <w:color w:val="0070C0"/>
          <w:spacing w:val="0"/>
          <w:sz w:val="16"/>
          <w:szCs w:val="16"/>
        </w:rPr>
        <w:softHyphen/>
        <w:t>следователей;</w:t>
      </w:r>
    </w:p>
    <w:p w14:paraId="03A4F8D1" w14:textId="77777777" w:rsidR="00873B41" w:rsidRPr="00142305" w:rsidRDefault="00873B41" w:rsidP="00873B41">
      <w:pPr>
        <w:widowControl w:val="0"/>
        <w:tabs>
          <w:tab w:val="left" w:pos="586"/>
        </w:tabs>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в) валютные расходы не долж ны превышать 17 тысяч долларов и покрываться из резервного фонда СНК СССР (25653).</w:t>
      </w:r>
    </w:p>
    <w:p w14:paraId="6AEA1010" w14:textId="77777777" w:rsidR="00873B41" w:rsidRPr="00142305" w:rsidRDefault="00873B41" w:rsidP="00873B41">
      <w:pPr>
        <w:spacing w:after="0" w:line="240" w:lineRule="auto"/>
        <w:jc w:val="both"/>
        <w:rPr>
          <w:rFonts w:ascii="Times New Roman" w:hAnsi="Times New Roman"/>
          <w:color w:val="0070C0"/>
          <w:sz w:val="16"/>
          <w:szCs w:val="16"/>
        </w:rPr>
      </w:pPr>
    </w:p>
    <w:p w14:paraId="67946E0C" w14:textId="2B69653C" w:rsidR="000C2E8E" w:rsidRPr="005E779E" w:rsidRDefault="000C2E8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shd w:val="clear" w:color="auto" w:fill="FFFFFF"/>
        </w:rPr>
        <w:t>20 апреля 1931 ПБ приняло решение «Об экспедиции Эккенера в Арктику»: «а) разрешить международному обществу «Аэроарктик» научную арктическую экспедицию на дирижабле с остановками на территории СССР по маршруту Германия — Ленинград — советский сектор Арктики — Москва (Ленинград) — Германия; б) разрешить участие в этой экспедиции в качестве ее начальника профессора Самойловича и других советских исследователей; в) валютные расходы не должны превышать 17 тысяч долларов и покрываться из резервного фонда СНК СССР» (20467).</w:t>
      </w:r>
    </w:p>
    <w:p w14:paraId="444EA591" w14:textId="77777777" w:rsidR="000C2E8E" w:rsidRPr="005E779E" w:rsidRDefault="000C2E8E" w:rsidP="000B7A6C">
      <w:pPr>
        <w:spacing w:after="0" w:line="240" w:lineRule="auto"/>
        <w:jc w:val="both"/>
        <w:rPr>
          <w:rFonts w:ascii="Times New Roman" w:hAnsi="Times New Roman"/>
          <w:color w:val="000000" w:themeColor="text1"/>
          <w:sz w:val="16"/>
          <w:szCs w:val="16"/>
        </w:rPr>
      </w:pPr>
    </w:p>
    <w:p w14:paraId="4E167E34"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Внешняя политика:</w:t>
      </w:r>
    </w:p>
    <w:p w14:paraId="4FF46A5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EA0FA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апреля 1931 г. французы предложили Москве заключить пакт о ненападении. Но когда 10 августа 1931 г. Бриан и советский полпред В. С. Довгалевский парафировали текст пакта, французы выдвинули условием подписания пакта заключение СССР аналогичного пакта с Польшей. Спустя два месяца, 14 октября 1931 г. Литвинов предложил польскому поверенному в Москве подписать советско-польский пакт о ненападении. 25 июля 1932 г. он был подписан, а 29 ноября 1932 г. состоялось подписание и советско-французского пакта о ненападении. При этом Париж пытался представить дело таким образом, что переговоры о пакте были начаты по инициативе Москвы, и Париж пошел на них лишь после того, как поверил, что аналогичные переговоры ведутся также между Москвой и Варшавой. За всеми этими французскими шагами стоял замысел рассорить Германию с СССР и в конечном счете перетянуть Берлин на свою сторону, продемонстрировав ему сначала ненадежность Москвы как стратегического союзника. Ведь, действительно, получалось, что СССР заключил пакты с двумя злейшими противниками Германии, против которых в Берлине были обращены взоры практически всех политических партий страны, жившей идеей пересмотра границ. Однако Москва, сыграв «парижскую партию», сумела доказать Берлину тщетность всех усилий французов. И не случайно тогдашний канцлер Германии Брюнинг в своих мемуарах по этому поводу писал: «С весны 1931 года французы то и дело безрезультатно пытались отколоть от нас Россию» (Heinrich Bruning. Memoiren. Stuttgart, 1970. S. 616.). Симптоматичны в этой связи следующие слова Брюнинга: «Мы отпустим мизинец России, за который держимся сейчас, только тогда, когда будем твердо держать в своих руках руку Франции». Но этой-то «руки Франции» как раз и не было. Не случайно Брюнинг, сожалея впоследствии о начавшихся портиться тогда советско-германских отношениях, отметил: «Основа для полного отхода от России была заложена без какой-либо выгоды для нас взамен» (Ахтамзян А. А. Указ, соч, с. 277—278.). Таким образом, Парижу таки удалось добиться одной из своих целей — между Москвой и Берлином пролегла тень недоверия, а германская пресса истолковала переговоры СССР с Францией и Польшей и последующее заключение соответствующих пактов о ненападении как «взрыв» Рапалло. Москва свою «податливость» Франции объясняла реализацией политики безопасности, выражавшейся в заключении ряда двусторонних пактов о ненападении со своими соседями Турцией, Ираном, Афганистаном, той же Германией (11784).</w:t>
      </w:r>
    </w:p>
    <w:p w14:paraId="30AD57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4F8D83E" w14:textId="77777777" w:rsidR="00F67F51" w:rsidRPr="005E779E" w:rsidRDefault="00F67F51"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598C7985" w14:textId="77777777" w:rsidR="00F67F51" w:rsidRPr="005E779E" w:rsidRDefault="00F67F51"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D1EC997" w14:textId="77777777" w:rsidR="00F67F51" w:rsidRPr="005E779E" w:rsidRDefault="00F67F5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апреля 1931 г. франция предложила СССР заключить пакт о ненападении. Но когда 10 августа 1931 г. Бриан и советский полпред В. С. Довгалевский парафировали текст пакта, французы выдвинули условием подписания пакта заключение СССР аналогичного пакта с Польшей. Спустя два месяца, 14 октября 1931 г. Литвинов предложил польскому поверенному в Москве подписать советско-польский пакт о ненападении. 25 июля 1932 г. он был подписан, а 29 ноября 1932 г. состоялось подписание и советско-французского пакта о ненападении. При этом Париж пытался представить дело таким образом, что переговоры о пакте были начаты по инициативе Москвы, и Париж пошел на них лишь после того, как поверил, что аналогичные переговоры ведутся также между Москвой и Варшавой. За всеми этими французскими шагами стоял замысел рассорить Германию с СССР и в конечном счете перетянуть Берлин на свою сторону, продемонстрировав ему сначала ненадежность Москвы как стратегического союзника. Ведь, действительно, получалось, что СССР заключил пакты с двумя злейшими противниками Германии, против которых в Берлине были обращены взоры практически всех политических партий страны, жившей идеей пересмотра границ.</w:t>
      </w:r>
    </w:p>
    <w:p w14:paraId="2128A3BD" w14:textId="77777777" w:rsidR="00F67F51" w:rsidRPr="005E779E" w:rsidRDefault="00F67F5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Однако Москва, сыграв «парижскую партию», сумела доказать Берлину тщетность всех усилий французов (18265).</w:t>
      </w:r>
    </w:p>
    <w:p w14:paraId="2F1E4322" w14:textId="77777777" w:rsidR="00F67F51" w:rsidRPr="005E779E" w:rsidRDefault="00F67F51" w:rsidP="000B7A6C">
      <w:pPr>
        <w:spacing w:after="0" w:line="240" w:lineRule="auto"/>
        <w:jc w:val="both"/>
        <w:rPr>
          <w:rFonts w:ascii="Times New Roman" w:hAnsi="Times New Roman"/>
          <w:color w:val="000000" w:themeColor="text1"/>
          <w:sz w:val="16"/>
          <w:szCs w:val="16"/>
        </w:rPr>
      </w:pPr>
    </w:p>
    <w:p w14:paraId="37022F0B"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69D37B9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139D5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 апреля 1931 был утвержден Отчет по испытанию стрелкового вооружения на серийном самолете И-5 Ю-6 зав. N 1 и 2-м опытном сам. И-5 зав. N 39.</w:t>
      </w:r>
    </w:p>
    <w:p w14:paraId="52C09A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Испытание стрелкового вооружения производилось в НИИ ВВС на 2-х самолетах И-5 - Ю-6:</w:t>
      </w:r>
    </w:p>
    <w:p w14:paraId="41FF2A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2-ом опытном N 5 завода N 39 со 2 декабря 1930 г. по 13 января 1931 г.</w:t>
      </w:r>
    </w:p>
    <w:p w14:paraId="75215C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1-м серийном самолете N 4273 завода N 1 с 1 февраля 1931 г. по 26 февраля 1931 г.</w:t>
      </w:r>
    </w:p>
    <w:p w14:paraId="1BF572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Заключения.</w:t>
      </w:r>
    </w:p>
    <w:p w14:paraId="3223DF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Установки вооружения на самолете И-5 испытания выдержали (3208,103-125).</w:t>
      </w:r>
    </w:p>
    <w:p w14:paraId="254394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C93147B"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21858C26"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B5E6300" w14:textId="77777777" w:rsidR="00EF2E51" w:rsidRPr="005E779E" w:rsidRDefault="00EF2E5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 апреля 1931 г. Постановление Президиума ВСНХ СССР об утверждении устава Государственного снарядного треста (РГАЭ. Ф. 3429. Оп. 1. Д. 5244. Л. 130) (12417).</w:t>
      </w:r>
    </w:p>
    <w:p w14:paraId="0F08BEA2" w14:textId="77777777" w:rsidR="00EF2E51" w:rsidRPr="005E779E" w:rsidRDefault="00EF2E51" w:rsidP="000B7A6C">
      <w:pPr>
        <w:spacing w:after="0" w:line="240" w:lineRule="auto"/>
        <w:jc w:val="both"/>
        <w:rPr>
          <w:rFonts w:ascii="Times New Roman" w:hAnsi="Times New Roman"/>
          <w:color w:val="000000" w:themeColor="text1"/>
          <w:sz w:val="16"/>
          <w:szCs w:val="16"/>
        </w:rPr>
      </w:pPr>
    </w:p>
    <w:p w14:paraId="5D861934" w14:textId="77777777" w:rsidR="00EF2E51" w:rsidRPr="005E779E" w:rsidRDefault="00EF2E51"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lastRenderedPageBreak/>
        <w:t>21 апреля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Постановление СТО СССР № бЗсс об обеспечении строительства типовых оборонных сооружений рабочей силой (ГА РФ. Ф. Р?8418. Оп. 28. Д. 1а. Л. 10) (12415).</w:t>
      </w:r>
    </w:p>
    <w:p w14:paraId="7C81BD3F" w14:textId="77777777" w:rsidR="00EF2E51" w:rsidRPr="005E779E" w:rsidRDefault="00EF2E51" w:rsidP="000B7A6C">
      <w:pPr>
        <w:spacing w:after="0" w:line="240" w:lineRule="auto"/>
        <w:jc w:val="both"/>
        <w:rPr>
          <w:rFonts w:ascii="Times New Roman" w:hAnsi="Times New Roman"/>
          <w:color w:val="000000" w:themeColor="text1"/>
          <w:sz w:val="16"/>
          <w:szCs w:val="16"/>
          <w:u w:color="002060"/>
        </w:rPr>
      </w:pPr>
    </w:p>
    <w:p w14:paraId="18462688" w14:textId="77777777" w:rsidR="00EF2E51" w:rsidRPr="005E779E" w:rsidRDefault="00EF2E51"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21 апреля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Постановление СТО СССР № 64сс об обеспечении строительства типовых оборонных сооружений продовольствием, фуражом и промтоварами (ГА РФ. Ф. Р?8418. Оп. 28. Д. 1а. Л. 11) (12415).</w:t>
      </w:r>
    </w:p>
    <w:p w14:paraId="5640E0A2" w14:textId="77777777" w:rsidR="00EF2E51" w:rsidRPr="005E779E" w:rsidRDefault="00EF2E51" w:rsidP="000B7A6C">
      <w:pPr>
        <w:spacing w:after="0" w:line="240" w:lineRule="auto"/>
        <w:jc w:val="both"/>
        <w:rPr>
          <w:rFonts w:ascii="Times New Roman" w:hAnsi="Times New Roman"/>
          <w:color w:val="000000" w:themeColor="text1"/>
          <w:sz w:val="16"/>
          <w:szCs w:val="16"/>
          <w:u w:color="002060"/>
        </w:rPr>
      </w:pPr>
    </w:p>
    <w:p w14:paraId="11F68DA8" w14:textId="77777777" w:rsidR="005F6639" w:rsidRPr="005E779E" w:rsidRDefault="005F66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 апреля в 1931 году выпущен первый экскаватор «Ковровец» на Ковровском экскаваторном заводе (Владимирская область) (15106).</w:t>
      </w:r>
    </w:p>
    <w:p w14:paraId="3AA5219A" w14:textId="77777777" w:rsidR="005F6639" w:rsidRPr="005E779E" w:rsidRDefault="005F6639" w:rsidP="000B7A6C">
      <w:pPr>
        <w:spacing w:after="0" w:line="240" w:lineRule="auto"/>
        <w:jc w:val="both"/>
        <w:rPr>
          <w:rFonts w:ascii="Times New Roman" w:hAnsi="Times New Roman"/>
          <w:color w:val="000000" w:themeColor="text1"/>
          <w:sz w:val="16"/>
          <w:szCs w:val="16"/>
        </w:rPr>
      </w:pPr>
    </w:p>
    <w:p w14:paraId="1815A33E" w14:textId="77777777" w:rsidR="000929C3" w:rsidRPr="005E779E" w:rsidRDefault="000929C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 апреля 1931 года на Ковровском экскаваторном заводе (Владимирская область) был выпущен первый советский экскаватор.</w:t>
      </w:r>
    </w:p>
    <w:p w14:paraId="11244B1B" w14:textId="77777777" w:rsidR="000929C3" w:rsidRPr="005E779E" w:rsidRDefault="000929C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 апреля 1931 г. новый экскаватор, названный "Ковровцем", прошел испытания. После приемки Государственной комиссией "Ковровец" был отправлен в г.Горький для использования при расширении местного железнодорожного узла. Позже "Ковровец-1" работал на строительстве "Беломорканала", близ г.Мурманска, на Балхашстрое, в карьерах Казанской железной дороги.</w:t>
      </w:r>
    </w:p>
    <w:p w14:paraId="38620C86" w14:textId="77777777" w:rsidR="000929C3" w:rsidRPr="005E779E" w:rsidRDefault="000929C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Следующую машину, "Ковровец-2", построенную по новым, исправленным чертежам, завод изготовил в октябре 1931 г. Эти два первых экскаватора "Ковровец" положили начало развитию советского экскаваторостроения.</w:t>
      </w:r>
    </w:p>
    <w:p w14:paraId="24872F9F" w14:textId="77777777" w:rsidR="000929C3" w:rsidRPr="005E779E" w:rsidRDefault="000929C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1932 г. началось серийное производство экскаваторов "Ковровец", а всего к концу 1934 г. было изготовленно 177 подобных землеройных машин.</w:t>
      </w:r>
    </w:p>
    <w:p w14:paraId="713AB06A" w14:textId="77777777" w:rsidR="000929C3" w:rsidRPr="005E779E" w:rsidRDefault="000929C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Экскаватор "Ковровец" смонтирован на 4-осной платформе железнодорожного типа. Для устойчивости снабжен 4-мя боковыми домкратами. Экскаватор имеет одно рабочее оборудование - прямую лопату; для подъема ковша применена цепь; угол поворота стрелы - 180°. Для питания силовой установки экскаватора служит котел типа Бельпера. Для питания котла водой на экскаваторе установлены инжектор №7 системы Рестартинг и паровой насос Вортингтон. Топливом для котла служит каменный уголь, дрова, возможно применение нефти. В качестве двигателей экскаватор имеет 3 паровых машины: подъемную, поворотную и напорную, общей мощностью 245 л.с.</w:t>
      </w:r>
    </w:p>
    <w:p w14:paraId="738EC18C" w14:textId="77777777" w:rsidR="000929C3" w:rsidRPr="005E779E" w:rsidRDefault="000929C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Управление экскаватором сосредоточено в двух местах: на поворотной платформе и на стреле экскаватора. Обслуживали машину две бригады: верхняя и нижняя. В состав верхней входили машинист, стреловой, слесарь-смазчик и кочегар; в состав нижней - бригадир и 6 человек рабочих. Внутри экскаватора предусматривалось керосиновое освещение. Экскаватор снабжен деревянным кузовом, а рабочее место на стреле - тентом. Вес экскаватора - 85 т (21166).</w:t>
      </w:r>
    </w:p>
    <w:p w14:paraId="46A41F8E" w14:textId="77777777" w:rsidR="000929C3" w:rsidRPr="005E779E" w:rsidRDefault="000929C3" w:rsidP="000B7A6C">
      <w:pPr>
        <w:spacing w:after="0" w:line="240" w:lineRule="auto"/>
        <w:jc w:val="both"/>
        <w:rPr>
          <w:rFonts w:ascii="Times New Roman" w:hAnsi="Times New Roman"/>
          <w:color w:val="000000" w:themeColor="text1"/>
          <w:sz w:val="16"/>
          <w:szCs w:val="16"/>
        </w:rPr>
      </w:pPr>
    </w:p>
    <w:p w14:paraId="6C06D3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 апреля 1931 г. новый экскаватор, названный "Ковровцем", прошел испытания. Своей работой он был способен заменить тысячу рабочих. После приемки Государственной комиссией "Ковровец" был отправлен в город Горький (Нижний Новгород) для использования при расширении местного железнодорожного узла. Позже "Ковровец № 1" работал на строительстве "Беломорканала", близ города Мурманска, на Балхашстрое, в карьерах Казанской железной дороги. Следующую машину, "Ковровец № 2", построенную по новым, исправленным чертежам, завод смог изготовить только в октябре того же 1931 г. Однако, ввод в строй новых цехов и коренная перестройка всего предприятия позволили перейти к массовому выпуску "Ковровцев". Всего к концу 1934 г. экскаваторный завод произвел 177 подобных землеройных машин. По имеющимся сведениям, первые ковровские экскаваторы эксплуатировались десятки лет. Некоторые из них использовались по назначению еще в конце 1980-х гг. Начиная с того времени и по сегодняшний день, всего в Коврове было изготовлено около 90 тысяч экскаваторов различных марок. Но начиналось все в далеком 1931 г. с кажущегося сегодня таким неуклюжим и старомодным надежного и добротного первого "Ковровца", ставшего родоначальником большой семьи ковровских экскаваторов.</w:t>
      </w:r>
    </w:p>
    <w:p w14:paraId="5CFD3A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Рождение экскаваторостроения в Коврове проходило далеко не гладко. Руководство Наркомата путей сообщения (НКПС), которому подчинялся вагоноремонтный завод, противилось переходу предприятия на выпуск экскаваторов. Секретарь Ковровского райкома ВКП (б) Мертешев 21 апреля 1931 г. писал директору экскаваторного завода Черняку: "По имеющимся в райкоме сведениям вам поступило распоряжение от треста, в систему которого входит ваш завод, о переименовании завода из Экскаваторного в Ремонтный. Райком предлагает вам впредь до решения на этот счет Бюро райкома никаких переименований завода не производить".</w:t>
      </w:r>
    </w:p>
    <w:p w14:paraId="79AC21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Дело о судьбе завода тянулось достаточно долго. "Развертывание нового экскаваторостроения на Ковровском заводе стоит под угрозой срыва. С тех пор, как завод перешел на экскаваторостроение, он лишился настоящего хозяина и фактически предоставлен сам себе", - писала еще 4 марта 1932 г. центральная газета советских железнодорожников "Гудок".</w:t>
      </w:r>
    </w:p>
    <w:p w14:paraId="5B7F2B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Благодаря твердой позиции райкома, поддержанной в Ивановском обкоме и Центральном Комитете партии, вагоноремонтный завод окончательно стал экскаваторным, и была начата его коренная реконструкция. В 1931 г. был выстроен новый сталелитейный цех, а в 1932 г. - сборочный. С 1933 г. началась серийное производство экскаваторов. В 1934 г. закончилось строительство нового кузнечного цеха, электростанции, трансформаторной подстанции, компрессорной и автогаража. В 1934 г. начался выпуск паровых гусеничных землеройных машин марки "ППГ-1,5". В 1935-1936 гг. таких экскаваторов было выпущено 360 таких машин. Большинство ковровских экскаваторов направлялись на стройки, состоявшие в ведении Наркомата внутренних дел и печально знаменитого ГУЛАГа. Поэтому в 1934 г. для более ритмичной работы и прямой связи со стройками страны экскаваторный завод сроком на два года был передан в ведение НКВД. Помимо гражданского руководства предприятия на среднем и высшем уровне управления завода были назначены сотрудники НКВД. В этот же период на экскаваторном заводе работала группа специалистов, осужденных по процессу "Промпартии". Во время нахождения в составе НКВД завод работал как никогда ритмично и с перевыполнением плана. После истечения двухлетнего срока экскаваторный завод вновь перешел в состав НКПС. В 1936 г. начался выпуск дизельного экскаватора на гусеничном ходу "ЛК-0,5". Его марка расшифровывалась как "Лазарь Каганович" - в честь тогдашнего наркома НКПС Л. М. Кагановича. Однако план производства этих машин вплоть до начала Великой Отечественной войны завод выполнить так и не смог из-за более сложной конструкции по сравнению с предыдущими экскаваторами (9698).</w:t>
      </w:r>
    </w:p>
    <w:p w14:paraId="38B6AE25" w14:textId="7E64F5D4"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237B43D" w14:textId="77B6E3F1" w:rsidR="000929C3" w:rsidRPr="005E779E" w:rsidRDefault="000929C3" w:rsidP="000B7A6C">
      <w:pPr>
        <w:autoSpaceDE w:val="0"/>
        <w:autoSpaceDN w:val="0"/>
        <w:adjustRightInd w:val="0"/>
        <w:spacing w:after="0" w:line="240" w:lineRule="auto"/>
        <w:jc w:val="both"/>
        <w:rPr>
          <w:rFonts w:ascii="Times New Roman" w:hAnsi="Times New Roman"/>
          <w:i/>
          <w:iCs/>
          <w:color w:val="000000" w:themeColor="text1"/>
          <w:sz w:val="16"/>
          <w:szCs w:val="16"/>
        </w:rPr>
      </w:pPr>
      <w:r w:rsidRPr="005E779E">
        <w:rPr>
          <w:rFonts w:ascii="Times New Roman" w:hAnsi="Times New Roman"/>
          <w:i/>
          <w:iCs/>
          <w:color w:val="000000" w:themeColor="text1"/>
          <w:sz w:val="16"/>
          <w:szCs w:val="16"/>
        </w:rPr>
        <w:t>За рубежом:</w:t>
      </w:r>
    </w:p>
    <w:p w14:paraId="5ABE20F5" w14:textId="77777777" w:rsidR="000929C3" w:rsidRPr="005E779E" w:rsidRDefault="000929C3" w:rsidP="000B7A6C">
      <w:pPr>
        <w:autoSpaceDE w:val="0"/>
        <w:autoSpaceDN w:val="0"/>
        <w:adjustRightInd w:val="0"/>
        <w:spacing w:after="0" w:line="240" w:lineRule="auto"/>
        <w:jc w:val="both"/>
        <w:rPr>
          <w:rFonts w:ascii="Times New Roman" w:hAnsi="Times New Roman"/>
          <w:i/>
          <w:iCs/>
          <w:color w:val="000000" w:themeColor="text1"/>
          <w:sz w:val="16"/>
          <w:szCs w:val="16"/>
        </w:rPr>
      </w:pPr>
    </w:p>
    <w:p w14:paraId="3773F215" w14:textId="77777777" w:rsidR="000929C3" w:rsidRPr="005E779E" w:rsidRDefault="000929C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 апреля 1931 пилот компании Pitcairn-Cierva Autogiro Company Джим Рэй приземляет автожир Pitcairn PCA-2 на лужайке Белого дома в Вашингтоне, округ Колумбия, для церемонии, на которой президент США Герберт Гувер вручает трофей Collier Trophy производителю автожиров Гарольду Питкэрну. После церемонии Рэй снова взлетает на PCA-2 (20804).</w:t>
      </w:r>
    </w:p>
    <w:p w14:paraId="761AD4DC" w14:textId="77777777" w:rsidR="000929C3" w:rsidRPr="005E779E" w:rsidRDefault="000929C3" w:rsidP="000B7A6C">
      <w:pPr>
        <w:spacing w:after="0" w:line="240" w:lineRule="auto"/>
        <w:jc w:val="both"/>
        <w:rPr>
          <w:rFonts w:ascii="Times New Roman" w:hAnsi="Times New Roman"/>
          <w:color w:val="000000" w:themeColor="text1"/>
          <w:sz w:val="16"/>
          <w:szCs w:val="16"/>
        </w:rPr>
      </w:pPr>
    </w:p>
    <w:p w14:paraId="534386D3"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60982E22"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92EB4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 апреля 1931 был утвержден Отчет по испытанию спаренной установки ДАС завода ИНЗ-2. 6-й вариант.</w:t>
      </w:r>
    </w:p>
    <w:p w14:paraId="1FC5FC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w:t>
      </w:r>
    </w:p>
    <w:p w14:paraId="097A60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Спарка может быть принята на вооружение ВВС (3208,130-135).</w:t>
      </w:r>
    </w:p>
    <w:p w14:paraId="36DE3D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6DEC8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 апреля 1931 года был утвержден Отчет по испытанию спаренной установки ДАС завода ИНЗ-2 6-й вариант</w:t>
      </w:r>
    </w:p>
    <w:p w14:paraId="2BAFBA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w:t>
      </w:r>
    </w:p>
    <w:p w14:paraId="0F8B1D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Спаренная установка пулеметов ДАС завода ИНЗ-2 6-й вариант по весу (17,6 кг), по простоте устройства, удобству обращения и обслуживания является вполне удовлетворительным образцом и может быть принята на вооружение ВВС (3217,32-36).</w:t>
      </w:r>
    </w:p>
    <w:p w14:paraId="6706D9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CC168B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 апреля 1931 на расширенном заседании ЦС АВТОДОР заслу</w:t>
      </w:r>
      <w:r w:rsidRPr="005E779E">
        <w:rPr>
          <w:rFonts w:ascii="Times New Roman" w:hAnsi="Times New Roman"/>
          <w:color w:val="000000" w:themeColor="text1"/>
          <w:sz w:val="16"/>
          <w:szCs w:val="16"/>
        </w:rPr>
        <w:softHyphen/>
        <w:t>шали выступление заместителя председателя ВСНХ СССР А.П. Медведева. Он сообщил, что, несмотря на предусмотренность в пятилетнем плане выпуска 25 тыс. мотоциклов, к строительству завода и даже его проектированию еще не приступали. Удачный опыт постройки мотоциклов в Ижевске, хотя и не вы</w:t>
      </w:r>
      <w:r w:rsidRPr="005E779E">
        <w:rPr>
          <w:rFonts w:ascii="Times New Roman" w:hAnsi="Times New Roman"/>
          <w:color w:val="000000" w:themeColor="text1"/>
          <w:sz w:val="16"/>
          <w:szCs w:val="16"/>
        </w:rPr>
        <w:softHyphen/>
        <w:t>явил предпочтительный тип серийной машины, всё же способст</w:t>
      </w:r>
      <w:r w:rsidRPr="005E779E">
        <w:rPr>
          <w:rFonts w:ascii="Times New Roman" w:hAnsi="Times New Roman"/>
          <w:color w:val="000000" w:themeColor="text1"/>
          <w:sz w:val="16"/>
          <w:szCs w:val="16"/>
        </w:rPr>
        <w:softHyphen/>
        <w:t>вовал созданию экспериментальных образцов в Харькове. Важ</w:t>
      </w:r>
      <w:r w:rsidRPr="005E779E">
        <w:rPr>
          <w:rFonts w:ascii="Times New Roman" w:hAnsi="Times New Roman"/>
          <w:color w:val="000000" w:themeColor="text1"/>
          <w:sz w:val="16"/>
          <w:szCs w:val="16"/>
        </w:rPr>
        <w:softHyphen/>
        <w:t>ным стало заявление А.П. Медведева: «Для финансирования мотоциклостроения, имеются реальные возможности в виде сбора средств по предварительной запродаже (оплаты ещё не сделан</w:t>
      </w:r>
      <w:r w:rsidRPr="005E779E">
        <w:rPr>
          <w:rFonts w:ascii="Times New Roman" w:hAnsi="Times New Roman"/>
          <w:color w:val="000000" w:themeColor="text1"/>
          <w:sz w:val="16"/>
          <w:szCs w:val="16"/>
        </w:rPr>
        <w:softHyphen/>
        <w:t>ных изделий, позже называемой предоплатой) мотопродукции широким массам трудящихся...» [4.43]. Это был отказ ВСНХ от финансирования постройки мотоциклетного завода из госбюдже</w:t>
      </w:r>
      <w:r w:rsidRPr="005E779E">
        <w:rPr>
          <w:rFonts w:ascii="Times New Roman" w:hAnsi="Times New Roman"/>
          <w:color w:val="000000" w:themeColor="text1"/>
          <w:sz w:val="16"/>
          <w:szCs w:val="16"/>
        </w:rPr>
        <w:softHyphen/>
        <w:t>та. Стремясь воспрепятствовать столь нежелательным переме</w:t>
      </w:r>
      <w:r w:rsidRPr="005E779E">
        <w:rPr>
          <w:rFonts w:ascii="Times New Roman" w:hAnsi="Times New Roman"/>
          <w:color w:val="000000" w:themeColor="text1"/>
          <w:sz w:val="16"/>
          <w:szCs w:val="16"/>
        </w:rPr>
        <w:softHyphen/>
        <w:t>нам в отечественном мотоциклостроении, ЦС АВТОДОРа от имени автодоровской общественности просил ВСНХ СССР не</w:t>
      </w:r>
      <w:r w:rsidRPr="005E779E">
        <w:rPr>
          <w:rFonts w:ascii="Times New Roman" w:hAnsi="Times New Roman"/>
          <w:color w:val="000000" w:themeColor="text1"/>
          <w:sz w:val="16"/>
          <w:szCs w:val="16"/>
        </w:rPr>
        <w:softHyphen/>
        <w:t>медленно выделить необходимые средства, включить постройку мотозавода в контрольные цифры на 1932 г. и организовать в 1931 г. на заводе «Красный Октябрь» выпуск хотя бы небольшой партии мотоциклов Л-300 с последующим наращиванием их вы</w:t>
      </w:r>
      <w:r w:rsidRPr="005E779E">
        <w:rPr>
          <w:rFonts w:ascii="Times New Roman" w:hAnsi="Times New Roman"/>
          <w:color w:val="000000" w:themeColor="text1"/>
          <w:sz w:val="16"/>
          <w:szCs w:val="16"/>
        </w:rPr>
        <w:softHyphen/>
        <w:t>пуска: в 1931 г. - до 1000 машин, в 1932 г. - до 3500, а в 1933 г. -до 10 тыс. Были и другие предложения, например, организовать привлечение общественных средств к финансированию мотоци</w:t>
      </w:r>
      <w:r w:rsidRPr="005E779E">
        <w:rPr>
          <w:rFonts w:ascii="Times New Roman" w:hAnsi="Times New Roman"/>
          <w:color w:val="000000" w:themeColor="text1"/>
          <w:sz w:val="16"/>
          <w:szCs w:val="16"/>
        </w:rPr>
        <w:softHyphen/>
        <w:t>клетного производства посредством предоплаты выпуска пар</w:t>
      </w:r>
      <w:r w:rsidRPr="005E779E">
        <w:rPr>
          <w:rFonts w:ascii="Times New Roman" w:hAnsi="Times New Roman"/>
          <w:color w:val="000000" w:themeColor="text1"/>
          <w:sz w:val="16"/>
          <w:szCs w:val="16"/>
        </w:rPr>
        <w:softHyphen/>
        <w:t>тий мотоциклов. ЦС АВТОДОРа направил предложения пред</w:t>
      </w:r>
      <w:r w:rsidRPr="005E779E">
        <w:rPr>
          <w:rFonts w:ascii="Times New Roman" w:hAnsi="Times New Roman"/>
          <w:color w:val="000000" w:themeColor="text1"/>
          <w:sz w:val="16"/>
          <w:szCs w:val="16"/>
        </w:rPr>
        <w:softHyphen/>
        <w:t>седателю комиссии при Совнаркоме СССР В.М. Молотову и другим ответственным работникам центрального аппарата СССР, РСФСР, УССР [4.45]. На что заместитель председателя ВСНХ СССР А.П. Медведев официально представил расчётные потребности страны в мотоциклах к середине 2-й пятилетки (1935): в государственном секторе - 170 тыс., всего - 290 тыс. и утверждал, что в 1931 г. на заводах «Красный Октябрь», на Мос</w:t>
      </w:r>
      <w:r w:rsidRPr="005E779E">
        <w:rPr>
          <w:rFonts w:ascii="Times New Roman" w:hAnsi="Times New Roman"/>
          <w:color w:val="000000" w:themeColor="text1"/>
          <w:sz w:val="16"/>
          <w:szCs w:val="16"/>
        </w:rPr>
        <w:softHyphen/>
        <w:t>ковском велозаводе и ХАЗе сделают 2 тыс. мотоциклов, а в 1932 г. - ещё 10 тыс. [4.46]. Эти сведения передали журналу «Мотор» в мае, к тому мо</w:t>
      </w:r>
      <w:r w:rsidRPr="005E779E">
        <w:rPr>
          <w:rFonts w:ascii="Times New Roman" w:hAnsi="Times New Roman"/>
          <w:color w:val="000000" w:themeColor="text1"/>
          <w:sz w:val="16"/>
          <w:szCs w:val="16"/>
        </w:rPr>
        <w:softHyphen/>
        <w:t>менту изготовили лишь несколько десятков мотоциклов [4.47]. При этом на заводе «Красный Октябрь» выпуск мотоциклов пре</w:t>
      </w:r>
      <w:r w:rsidRPr="005E779E">
        <w:rPr>
          <w:rFonts w:ascii="Times New Roman" w:hAnsi="Times New Roman"/>
          <w:color w:val="000000" w:themeColor="text1"/>
          <w:sz w:val="16"/>
          <w:szCs w:val="16"/>
        </w:rPr>
        <w:softHyphen/>
        <w:t xml:space="preserve">кратили из-за развёртывания производства оборонной продукции [4.22], на ХАЗе </w:t>
      </w:r>
      <w:r w:rsidRPr="005E779E">
        <w:rPr>
          <w:rFonts w:ascii="Times New Roman" w:hAnsi="Times New Roman"/>
          <w:color w:val="000000" w:themeColor="text1"/>
          <w:sz w:val="16"/>
          <w:szCs w:val="16"/>
        </w:rPr>
        <w:lastRenderedPageBreak/>
        <w:t>изготовление мотоциклов даже не планирова</w:t>
      </w:r>
      <w:r w:rsidRPr="005E779E">
        <w:rPr>
          <w:rFonts w:ascii="Times New Roman" w:hAnsi="Times New Roman"/>
          <w:color w:val="000000" w:themeColor="text1"/>
          <w:sz w:val="16"/>
          <w:szCs w:val="16"/>
        </w:rPr>
        <w:softHyphen/>
        <w:t>лось, а Московский велозавод ещё не вступил в строй. 8 июня 1931 г., чтобы помочь заводу «Красный Октябрь», ВАТО разре</w:t>
      </w:r>
      <w:r w:rsidRPr="005E779E">
        <w:rPr>
          <w:rFonts w:ascii="Times New Roman" w:hAnsi="Times New Roman"/>
          <w:color w:val="000000" w:themeColor="text1"/>
          <w:sz w:val="16"/>
          <w:szCs w:val="16"/>
        </w:rPr>
        <w:softHyphen/>
        <w:t>шило АВТОДОРу сделать предоплату мотоциклов [4.48]. ВСНХ ещё раз заверил автодоровскую общественность в том, что «...к концу 1-й пятилетки у нас будет четыре завода, выпуска</w:t>
      </w:r>
      <w:r w:rsidRPr="005E779E">
        <w:rPr>
          <w:rFonts w:ascii="Times New Roman" w:hAnsi="Times New Roman"/>
          <w:color w:val="000000" w:themeColor="text1"/>
          <w:sz w:val="16"/>
          <w:szCs w:val="16"/>
        </w:rPr>
        <w:softHyphen/>
        <w:t>ющих мотоциклы», при этом А.П. Медведев официально сослал</w:t>
      </w:r>
      <w:r w:rsidRPr="005E779E">
        <w:rPr>
          <w:rFonts w:ascii="Times New Roman" w:hAnsi="Times New Roman"/>
          <w:color w:val="000000" w:themeColor="text1"/>
          <w:sz w:val="16"/>
          <w:szCs w:val="16"/>
        </w:rPr>
        <w:softHyphen/>
        <w:t>ся на якобы «неудачный опыт постройки Ижевским заводом пробных мотоциклов, которые в результате недостаточно умелого и вдумчивого отношения при проектировании затормозили развитие нашего мотоциклостроения...» [4.49]. Это обещание так и не выполнили, а высказывание о мотоциклах, сделанных в Ижевске, перечёркивало положительные отзывы о них А.П. Медведева [4.45]. И всё же, АВТОДОР сумел заключить и утвердить договор с заводом «Красный Октябрь» на поставку в 1932 г. 1000 мотоциклов Л-300, а в 1933 г. - 3 тыс. [4.50], а затем распределил ожидаемые мотоциклы между низовыми автодоров-скими организациями [4.51]. Казалось, договор удастся выпол</w:t>
      </w:r>
      <w:r w:rsidRPr="005E779E">
        <w:rPr>
          <w:rFonts w:ascii="Times New Roman" w:hAnsi="Times New Roman"/>
          <w:color w:val="000000" w:themeColor="text1"/>
          <w:sz w:val="16"/>
          <w:szCs w:val="16"/>
        </w:rPr>
        <w:softHyphen/>
        <w:t>нить, поскольку ВСНХ установил выпуск мотоциклов в СССР на 1932 г. в количестве 7 тыс. экземпляров [4.47]. Для выполнения этой задачи предлагалось включить в состав ВАТО мотозаводы страны «Красный Октябрь» и ХАЗ [4.52], на котором предпола</w:t>
      </w:r>
      <w:r w:rsidRPr="005E779E">
        <w:rPr>
          <w:rFonts w:ascii="Times New Roman" w:hAnsi="Times New Roman"/>
          <w:color w:val="000000" w:themeColor="text1"/>
          <w:sz w:val="16"/>
          <w:szCs w:val="16"/>
        </w:rPr>
        <w:softHyphen/>
        <w:t>галось освоить серийный выпуск мотоциклов.</w:t>
      </w:r>
    </w:p>
    <w:p w14:paraId="72DA252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Важным итогом 1931 г. стало распоряжение НАТИ о проек</w:t>
      </w:r>
      <w:r w:rsidRPr="005E779E">
        <w:rPr>
          <w:rFonts w:ascii="Times New Roman" w:hAnsi="Times New Roman"/>
          <w:color w:val="000000" w:themeColor="text1"/>
          <w:sz w:val="16"/>
          <w:szCs w:val="16"/>
        </w:rPr>
        <w:softHyphen/>
        <w:t>тировании армейских мотоциклов, принятое на расширенном за</w:t>
      </w:r>
      <w:r w:rsidRPr="005E779E">
        <w:rPr>
          <w:rFonts w:ascii="Times New Roman" w:hAnsi="Times New Roman"/>
          <w:color w:val="000000" w:themeColor="text1"/>
          <w:sz w:val="16"/>
          <w:szCs w:val="16"/>
        </w:rPr>
        <w:softHyphen/>
        <w:t>седании ведомств и организаций, созванном 5 октября 1931 г. в Главмашпроме ВСНХ СССР [4.47]. Эту работу поручили П.В. Можарову [4.53] (11429).</w:t>
      </w:r>
    </w:p>
    <w:p w14:paraId="35CFC3E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9C19A9" w14:textId="77777777" w:rsidR="005C4849" w:rsidRPr="005E779E" w:rsidRDefault="00874B1E" w:rsidP="000B7A6C">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45915BE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7480BD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 апреля 1931 года Управление морских сил РККА (Рабоче-крестьянской Красной Армии) рассмотрело и одобрило аванпроект 180-мм железнодорожной артустановки и поручило конструкторскому бюро Ленинградского Металлического завода (директор — И. Н. Пенкин) изготовить технический проект.</w:t>
      </w:r>
    </w:p>
    <w:p w14:paraId="09E97A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Работы по созданию как железнодорожных, так и башенных берего­ вых 180-мм артустановок проводились под руководством А. А. Флоренского и Н. В. Богданова. Одним из ведущих разработчиков транспортеров этого типа был и В. С. Петрикевич. Благодаря его предложениям удалось на 25 процентов повысить скорострельность установки и упростить уп­ равление стрельбой. Над этими проектами трудились также конструкторы Р. А. Оя, П. М. Дедов, Н. А. Леонтьев, В. И. Сясин, Г. И. Апокин, А. И. Арефьев, С. А. Армосов, В. В. Чернецкий и другие.</w:t>
      </w:r>
    </w:p>
    <w:p w14:paraId="5D02B0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Изготовление 180-мм железнодорожных транспортеров было поручено Государственному судостроительному заводу имени Марти в городе Николаеве. В содружестве с ним завод «Большевик» был определен ответственным за работы по орудию, а завод «Красный путиловец» — по ходовой части.</w:t>
      </w:r>
    </w:p>
    <w:p w14:paraId="4B3075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Основу конструкции железнодорожной артустановки ТМ-1-180 составляет главная балка, опирающаяся на две четырехосные железнодорожные тележки. На передней смонтирована силовая станция типа «Коммунар», оснащенная двумя дизелями и генератором, которые позволяют при необходимости обеспечивать самопередвижение транспортера со скоростью 14 км/ч. На задней тележке размещена компрессорная станция. Посредине главной балки укреплена вращающаяся (башенная) часть артустановки. Она практически повторяет башню стационарной береговой артустановки МО-1-180. В башне установлено орудие Б-1-П длиной 57 калибров.</w:t>
      </w:r>
    </w:p>
    <w:p w14:paraId="1D147D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Батарея ТМ -1-180 состояла из четырех транспортеров. За каждым из них было закреплено по 2 вагона-погреба вместимостью по 102 заряда в одном и 204 полузаряда в другом.</w:t>
      </w:r>
    </w:p>
    <w:p w14:paraId="3631DB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Боекомплект ТМ-1-180 включал в себя бронебойные, полубронебойные, осколочно-фугасные снаряды и дистанционные гранаты. Все снаряды имели одинаковую массу — 97,5 кг. Вес взрывчатого вещества у бронебойных снарядов составлял 1,8—1,9 кг, у полубронебойных — 6,9—7,0 кг, у осколочно-фугасных — около 8 кг.</w:t>
      </w:r>
    </w:p>
    <w:p w14:paraId="31B700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Система подачи снарядов была заимствована у линкора «Андрей Первозванный». Из вагона-погреба снаряды по одному желобу, а полузаряды — по другому поступают к тележке заряжания, на которой комплектуется боеприпас для производства выстрела. В тележку (всего их четыре) загружается один снаряд и два полузаряда. Затем она вручную перемещается по кольцевому погону вокруг башни и доставляет боеприпасы к досылателю орудия. Освободившись от груза, тележка продолжает свой круговой путь и вновь оказывается у желобов вагона-погреба для получения очередного боекомплекта.</w:t>
      </w:r>
    </w:p>
    <w:p w14:paraId="5487D0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Лейнированное орудие Б-1-П обеспечивает снаряду начальную скорость 920 м/с и максимальную дальность стрельбы 37,7 км. Скорострельность орудия исключительно высокая — 3,1—4,1 выстрела в минуту.</w:t>
      </w:r>
    </w:p>
    <w:p w14:paraId="79558E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Стволы для первых транспортеров ТМ-1-180 изготавливал завод «Большевик», а затем эта работа была поручена сталинградскому заводу «Баррикады».</w:t>
      </w:r>
    </w:p>
    <w:p w14:paraId="62599D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356-мм и 305-мм железнодорожные транспортеры не имели защитных приспособлений от огня противника. 180-мм транспортер ТМ-1-180 обладал такой защитой. Башня артустановки, оснащенная 39-мм лобовой броней и 20-мм — по бокам и сверху — достаточно надежно предохраняла боевую прислугу и основные орудийные механизмы от осколочно-пулеметного поражения.</w:t>
      </w:r>
    </w:p>
    <w:p w14:paraId="22F64B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производстве стрельбы вкруговую для большей остойчивости ТМ-1-180 опирался на восемь опорных ног, которые переводились в этом случае из транспортного положения в рабочее (11454).</w:t>
      </w:r>
    </w:p>
    <w:p w14:paraId="5DB97F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04DD9BE"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35A72AEF"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926F5A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 апреля 1931 Совнарком СССР принял постановление о советском гражданстве (4962).</w:t>
      </w:r>
    </w:p>
    <w:p w14:paraId="16AAF7E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F5833B"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60B84340"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7F8DFC5" w14:textId="77777777" w:rsidR="005F6639" w:rsidRPr="005E779E" w:rsidRDefault="005F66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 апреля в 1931 году на лужайке перед Белым домом приземлился автожир. Прежде чем охрана успела выхватить оружие, президент Герберт Гувер разрешил назревавший конфликт, пожав руку пилоту Джеймсу Рею и вручив ему памятный приз (15107).</w:t>
      </w:r>
    </w:p>
    <w:p w14:paraId="41AD4329" w14:textId="77777777" w:rsidR="005F6639" w:rsidRPr="005E779E" w:rsidRDefault="005F6639" w:rsidP="000B7A6C">
      <w:pPr>
        <w:spacing w:after="0" w:line="240" w:lineRule="auto"/>
        <w:jc w:val="both"/>
        <w:rPr>
          <w:rFonts w:ascii="Times New Roman" w:hAnsi="Times New Roman"/>
          <w:color w:val="000000" w:themeColor="text1"/>
          <w:sz w:val="16"/>
          <w:szCs w:val="16"/>
        </w:rPr>
      </w:pPr>
    </w:p>
    <w:p w14:paraId="2EF657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 апреля 1931 Египет подписал договор о дружбе с Ираком (2100).</w:t>
      </w:r>
    </w:p>
    <w:p w14:paraId="3B831C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FDAC314"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767AACB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B4173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апреля 1931 по согласованию с Начальником УВВС КА Я. И. Алкснисом было принято решение временно ограничить постройку войсковой серии 10 самолетами ТШ-2 М-17 с таким расчетом, чтобы за время их постройки ЦАГИ и НИИ ВВС успели дать окончательное заключение по результатам испытаний ТШ-2 М-17 (9649).</w:t>
      </w:r>
    </w:p>
    <w:p w14:paraId="78F124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6018ADF"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14398008"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CF15F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апреля 1931 года на НИАП для предварительного испытания первый раз прибыла 45-мм противотанковая пушка обр. 1931 г.. Затем система несколько раз возвращалась на завод и вновь на полигон. При проектировании 45-мм противотанковой пушки завода "Красный Путиловец" за основу была взята конструкция 45-мм неразборной батальонной гаубицы обр. 1929 г. Основные отличия:</w:t>
      </w:r>
    </w:p>
    <w:p w14:paraId="52E63B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Увеличились габариты: тела орудия, станин, бугеля, уравновешивающего механизма и тормоза отката.</w:t>
      </w:r>
    </w:p>
    <w:p w14:paraId="657DD2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Введен поворотный механизм новой конструкции.</w:t>
      </w:r>
    </w:p>
    <w:p w14:paraId="26F088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Поставлен новый подвижный щит.</w:t>
      </w:r>
    </w:p>
    <w:p w14:paraId="74B27F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Введены новая ось и крепление по-походному.</w:t>
      </w:r>
    </w:p>
    <w:p w14:paraId="7EC9B7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 Колеса металлические штампованные с каучуковыми шинами.</w:t>
      </w:r>
    </w:p>
    <w:p w14:paraId="1B96B0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 Введена полуавтоматика, основанная на энергии конца наката.</w:t>
      </w:r>
    </w:p>
    <w:p w14:paraId="7F1002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Затвор пушки вертикальный клиновой. Тело пушки состояло из трубы и кожуха с казенником, помещенных (за исключением казенника) в цилиндрической люльке, которая служила и цилиндром казенника.</w:t>
      </w:r>
    </w:p>
    <w:p w14:paraId="2435D0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Гидравлический компрессор расположен сверху люльки. Накатник пружинный. Качающаяся часть закреплена в бугеле, имея в нем вращение в горизонтальной плоскости, а сам бугель вместе с качающейся частью закреплен с помощью цапф на станке и имел возможность вращаться в вертикальной плоскости.</w:t>
      </w:r>
    </w:p>
    <w:p w14:paraId="3F92F1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Так как цапфы приближены к казенной части, был введен пружинный уравновешивающий механизм.</w:t>
      </w:r>
    </w:p>
    <w:p w14:paraId="034E9D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горизонтальном наведении щит перемещался вместе с качающейся частью, перекатываясь по роликам.</w:t>
      </w:r>
    </w:p>
    <w:p w14:paraId="7A0DF8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Боевая ось пустотелая (3861).</w:t>
      </w:r>
    </w:p>
    <w:p w14:paraId="05011B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690EE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апреля 1931 г. был готов первый вариант эскиз</w:t>
      </w:r>
      <w:r w:rsidRPr="005E779E">
        <w:rPr>
          <w:rFonts w:ascii="Times New Roman" w:hAnsi="Times New Roman"/>
          <w:color w:val="000000" w:themeColor="text1"/>
          <w:sz w:val="16"/>
          <w:szCs w:val="16"/>
        </w:rPr>
        <w:softHyphen/>
        <w:t>ного проекта “торпедоноски”. В 1933 г. после длитель</w:t>
      </w:r>
      <w:r w:rsidRPr="005E779E">
        <w:rPr>
          <w:rFonts w:ascii="Times New Roman" w:hAnsi="Times New Roman"/>
          <w:color w:val="000000" w:themeColor="text1"/>
          <w:sz w:val="16"/>
          <w:szCs w:val="16"/>
        </w:rPr>
        <w:softHyphen/>
        <w:t>ных согласовании системы двигателей и состава вооружения, а так</w:t>
      </w:r>
      <w:r w:rsidRPr="005E779E">
        <w:rPr>
          <w:rFonts w:ascii="Times New Roman" w:hAnsi="Times New Roman"/>
          <w:color w:val="000000" w:themeColor="text1"/>
          <w:sz w:val="16"/>
          <w:szCs w:val="16"/>
        </w:rPr>
        <w:softHyphen/>
        <w:t>же решения проблемы финансирования и отклонения варианта "двухлодочного ТКА" (очевидно, катамаран) Некрасов начал по</w:t>
      </w:r>
      <w:r w:rsidRPr="005E779E">
        <w:rPr>
          <w:rFonts w:ascii="Times New Roman" w:hAnsi="Times New Roman"/>
          <w:color w:val="000000" w:themeColor="text1"/>
          <w:sz w:val="16"/>
          <w:szCs w:val="16"/>
        </w:rPr>
        <w:softHyphen/>
        <w:t>стройку катера АНТ-6 (Г-6) в Москве. Она заняла более двух лет. Конструкторам ЦАГИ удалось практически разрешить проблемы создания сравнительно крупного дюралевого корпуса и размеще</w:t>
      </w:r>
      <w:r w:rsidRPr="005E779E">
        <w:rPr>
          <w:rFonts w:ascii="Times New Roman" w:hAnsi="Times New Roman"/>
          <w:color w:val="000000" w:themeColor="text1"/>
          <w:sz w:val="16"/>
          <w:szCs w:val="16"/>
        </w:rPr>
        <w:softHyphen/>
        <w:t>ния в этом корпусе восьми моторов ГАМ-34, работавших на два винта (3898).</w:t>
      </w:r>
    </w:p>
    <w:p w14:paraId="510980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A1CABAC" w14:textId="77777777" w:rsidR="00C356D8" w:rsidRPr="00951B40" w:rsidRDefault="00C356D8" w:rsidP="00C356D8">
      <w:pPr>
        <w:spacing w:after="0" w:line="240" w:lineRule="auto"/>
        <w:jc w:val="both"/>
        <w:rPr>
          <w:rStyle w:val="aff0"/>
          <w:rFonts w:ascii="Times New Roman" w:hAnsi="Times New Roman" w:cs="Times New Roman"/>
          <w:color w:val="0070C0"/>
          <w:spacing w:val="0"/>
          <w:sz w:val="16"/>
          <w:szCs w:val="16"/>
        </w:rPr>
      </w:pPr>
      <w:r w:rsidRPr="00951B40">
        <w:rPr>
          <w:rStyle w:val="aff0"/>
          <w:rFonts w:ascii="Times New Roman" w:hAnsi="Times New Roman" w:cs="Times New Roman"/>
          <w:color w:val="0070C0"/>
          <w:spacing w:val="0"/>
          <w:sz w:val="16"/>
          <w:szCs w:val="16"/>
        </w:rPr>
        <w:lastRenderedPageBreak/>
        <w:t>23 апреля 1931 г. был готов первый вариант эскизного проекта лидера ТК. Проектирование, начиная с эскизного, осуществлял коллектив катер</w:t>
      </w:r>
      <w:r w:rsidRPr="00951B40">
        <w:rPr>
          <w:rStyle w:val="aff0"/>
          <w:rFonts w:ascii="Times New Roman" w:hAnsi="Times New Roman" w:cs="Times New Roman"/>
          <w:color w:val="0070C0"/>
          <w:spacing w:val="0"/>
          <w:sz w:val="16"/>
          <w:szCs w:val="16"/>
        </w:rPr>
        <w:softHyphen/>
        <w:t>ного конструкторского бюро ЦАГИ под руководством Н.С. Некрасова.</w:t>
      </w:r>
    </w:p>
    <w:p w14:paraId="78F2ACBD" w14:textId="77777777" w:rsidR="00C356D8" w:rsidRPr="00951B40" w:rsidRDefault="00C356D8" w:rsidP="00C356D8">
      <w:pPr>
        <w:spacing w:after="0" w:line="240" w:lineRule="auto"/>
        <w:jc w:val="both"/>
        <w:rPr>
          <w:rFonts w:ascii="Times New Roman" w:hAnsi="Times New Roman"/>
          <w:color w:val="0070C0"/>
          <w:sz w:val="16"/>
          <w:szCs w:val="16"/>
        </w:rPr>
      </w:pPr>
      <w:r w:rsidRPr="00951B40">
        <w:rPr>
          <w:rStyle w:val="aff0"/>
          <w:rFonts w:ascii="Times New Roman" w:hAnsi="Times New Roman" w:cs="Times New Roman"/>
          <w:color w:val="0070C0"/>
          <w:spacing w:val="0"/>
          <w:sz w:val="16"/>
          <w:szCs w:val="16"/>
        </w:rPr>
        <w:t>В сентябре началось строительство макета. Созда</w:t>
      </w:r>
      <w:r w:rsidRPr="00951B40">
        <w:rPr>
          <w:rStyle w:val="aff0"/>
          <w:rFonts w:ascii="Times New Roman" w:hAnsi="Times New Roman" w:cs="Times New Roman"/>
          <w:color w:val="0070C0"/>
          <w:spacing w:val="0"/>
          <w:sz w:val="16"/>
          <w:szCs w:val="16"/>
        </w:rPr>
        <w:softHyphen/>
        <w:t>вался катер почти четыре года, в ходе которых шло согласование вариантов вооружения и энергетической установки, которая в конечном итоге оказалась вось</w:t>
      </w:r>
      <w:r w:rsidRPr="00951B40">
        <w:rPr>
          <w:rStyle w:val="aff0"/>
          <w:rFonts w:ascii="Times New Roman" w:hAnsi="Times New Roman" w:cs="Times New Roman"/>
          <w:color w:val="0070C0"/>
          <w:spacing w:val="0"/>
          <w:sz w:val="16"/>
          <w:szCs w:val="16"/>
        </w:rPr>
        <w:softHyphen/>
        <w:t>мимоторной при наличии всего двух ли</w:t>
      </w:r>
      <w:r w:rsidRPr="00951B40">
        <w:rPr>
          <w:rStyle w:val="aff0"/>
          <w:rFonts w:ascii="Times New Roman" w:hAnsi="Times New Roman" w:cs="Times New Roman"/>
          <w:color w:val="0070C0"/>
          <w:spacing w:val="0"/>
          <w:sz w:val="16"/>
          <w:szCs w:val="16"/>
        </w:rPr>
        <w:softHyphen/>
        <w:t>ний вала. Моторы - по четыре для левого и правого валопроводов - соединялись с валами при помощи редукторов и могли индивидуально отключаться от них. Та</w:t>
      </w:r>
      <w:r w:rsidRPr="00951B40">
        <w:rPr>
          <w:rStyle w:val="aff0"/>
          <w:rFonts w:ascii="Times New Roman" w:hAnsi="Times New Roman" w:cs="Times New Roman"/>
          <w:color w:val="0070C0"/>
          <w:spacing w:val="0"/>
          <w:sz w:val="16"/>
          <w:szCs w:val="16"/>
        </w:rPr>
        <w:softHyphen/>
        <w:t>кая конструкция, безусловно, обладала дополнительным весом и сложностью, а значит, меньшей надежностью. Вооруже</w:t>
      </w:r>
      <w:r w:rsidRPr="00951B40">
        <w:rPr>
          <w:rStyle w:val="aff0"/>
          <w:rFonts w:ascii="Times New Roman" w:hAnsi="Times New Roman" w:cs="Times New Roman"/>
          <w:color w:val="0070C0"/>
          <w:spacing w:val="0"/>
          <w:sz w:val="16"/>
          <w:szCs w:val="16"/>
        </w:rPr>
        <w:softHyphen/>
        <w:t>ние в конечном итоге должны были соста</w:t>
      </w:r>
      <w:r w:rsidRPr="00951B40">
        <w:rPr>
          <w:rStyle w:val="aff0"/>
          <w:rFonts w:ascii="Times New Roman" w:hAnsi="Times New Roman" w:cs="Times New Roman"/>
          <w:color w:val="0070C0"/>
          <w:spacing w:val="0"/>
          <w:sz w:val="16"/>
          <w:szCs w:val="16"/>
        </w:rPr>
        <w:softHyphen/>
        <w:t>вить 45-мм полуавтомат 21-К перед руб</w:t>
      </w:r>
      <w:r w:rsidRPr="00951B40">
        <w:rPr>
          <w:rStyle w:val="aff0"/>
          <w:rFonts w:ascii="Times New Roman" w:hAnsi="Times New Roman" w:cs="Times New Roman"/>
          <w:color w:val="0070C0"/>
          <w:spacing w:val="0"/>
          <w:sz w:val="16"/>
          <w:szCs w:val="16"/>
        </w:rPr>
        <w:softHyphen/>
        <w:t>кой и четыре пулеметные установки: две крупнокалиберных пулеметов в палубных турелях по бортам чуть позади орудия и две турели в кормовой части рубки одна над другой, причем в верхней планиро</w:t>
      </w:r>
      <w:r w:rsidRPr="00951B40">
        <w:rPr>
          <w:rStyle w:val="aff0"/>
          <w:rFonts w:ascii="Times New Roman" w:hAnsi="Times New Roman" w:cs="Times New Roman"/>
          <w:color w:val="0070C0"/>
          <w:spacing w:val="0"/>
          <w:sz w:val="16"/>
          <w:szCs w:val="16"/>
        </w:rPr>
        <w:softHyphen/>
        <w:t>валось установить пулемет винтовочного калибра, а в нижней - крупнокалиберный. На момент проектирования точные си</w:t>
      </w:r>
      <w:r w:rsidRPr="00951B40">
        <w:rPr>
          <w:rStyle w:val="aff0"/>
          <w:rFonts w:ascii="Times New Roman" w:hAnsi="Times New Roman" w:cs="Times New Roman"/>
          <w:color w:val="0070C0"/>
          <w:spacing w:val="0"/>
          <w:sz w:val="16"/>
          <w:szCs w:val="16"/>
        </w:rPr>
        <w:softHyphen/>
        <w:t>стемы пулеметов определены не были, но конструкторы верили, что к моменту испытаний этот вопрос легко разрешится, как и вопрос создания спаренных турель</w:t>
      </w:r>
      <w:r w:rsidRPr="00951B40">
        <w:rPr>
          <w:rStyle w:val="aff0"/>
          <w:rFonts w:ascii="Times New Roman" w:hAnsi="Times New Roman" w:cs="Times New Roman"/>
          <w:color w:val="0070C0"/>
          <w:spacing w:val="0"/>
          <w:sz w:val="16"/>
          <w:szCs w:val="16"/>
        </w:rPr>
        <w:softHyphen/>
        <w:t>ных установок. Само строительство шло неспешно (25781).</w:t>
      </w:r>
    </w:p>
    <w:p w14:paraId="10D9C4E6" w14:textId="77777777" w:rsidR="00C356D8" w:rsidRPr="00951B40" w:rsidRDefault="00C356D8" w:rsidP="00C356D8">
      <w:pPr>
        <w:spacing w:after="0" w:line="240" w:lineRule="auto"/>
        <w:jc w:val="both"/>
        <w:rPr>
          <w:rFonts w:ascii="Times New Roman" w:hAnsi="Times New Roman"/>
          <w:color w:val="0070C0"/>
          <w:sz w:val="16"/>
          <w:szCs w:val="16"/>
        </w:rPr>
      </w:pPr>
    </w:p>
    <w:p w14:paraId="7489158C"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4A0C8BF4"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E61DF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 апреля 1931 был подготовлен эскиз экспериментального самолета СК8-9 (см. Приложение 1). Соавтор — Н. Юрьев (АМЖ, ф. 5300, № 8) (10676).</w:t>
      </w:r>
    </w:p>
    <w:p w14:paraId="6BBFF6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E716C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 апреля 1931 г. С.П. Королев вместе с Н. Юрьевым закончил проектные проработки по самолету СК8-9. Он был выполнен по двухбалочной схеме, с толкающим винтом, с шасси на высоких стойках, снабженных обтекателем. Есть предположение, что двойной индекс самолета указывал на двойное его назначение: полеты с поршневым двигателем или с ЖРД. Проект СК8-9 не был завершен, но использованные в нем идеи С.П. Королев применил в проекте самолета "Электрон-1" СК-7. Из конструктивных данных самолета СК8-9 известен лишь размах — 14 м (10676).</w:t>
      </w:r>
    </w:p>
    <w:p w14:paraId="205547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2A4DECF"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0A044E7E"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24400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 апреля 1931 на заводе Большевик состоялось совместное совещание О танковой программе на заводе на 1931. Участвовали К.Е.В., М.Тухачевский, Славин, Карпенко (ОГПУ), И.А.Халепский, Литуновский, Лебедев (УММ), Сальников (директор завода), К.К.Сиркин, Забржевский (техдиректора завода), и др. В третьем пункте постановления записали: “Завод принимает заказ на изготовление в текущем (1931) году на 100 танков БТ (модель Кристи) при условии снабжения его прокатной цементированной броней, причем для разработки рабочих чертежей переключается с 1 мая на эту работу специальное танковое КБ, заканчивающее в данный момент рабочие чертежи Т-26... В связи с производством БТ дальнейший выпуск т-18 прекратить.” (3879,5).</w:t>
      </w:r>
    </w:p>
    <w:p w14:paraId="65D25A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51FDFFD" w14:textId="77777777" w:rsidR="00F30952" w:rsidRPr="00142305" w:rsidRDefault="00F30952" w:rsidP="00F3095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24 ап</w:t>
      </w:r>
      <w:r w:rsidRPr="00142305">
        <w:rPr>
          <w:rFonts w:ascii="Times New Roman" w:hAnsi="Times New Roman"/>
          <w:color w:val="0070C0"/>
          <w:sz w:val="16"/>
          <w:szCs w:val="16"/>
        </w:rPr>
        <w:softHyphen/>
        <w:t>реля 1931 года на заводе Большевик прошло совещание «О танковой программе на заводе на 1931 год», на котором приняли решение о выпуске до конца года 100 БТ, при ус</w:t>
      </w:r>
      <w:r w:rsidRPr="00142305">
        <w:rPr>
          <w:rFonts w:ascii="Times New Roman" w:hAnsi="Times New Roman"/>
          <w:color w:val="0070C0"/>
          <w:sz w:val="16"/>
          <w:szCs w:val="16"/>
        </w:rPr>
        <w:softHyphen/>
        <w:t>ловии снабжения предприятия «про</w:t>
      </w:r>
      <w:r w:rsidRPr="00142305">
        <w:rPr>
          <w:rFonts w:ascii="Times New Roman" w:hAnsi="Times New Roman"/>
          <w:color w:val="0070C0"/>
          <w:sz w:val="16"/>
          <w:szCs w:val="16"/>
        </w:rPr>
        <w:softHyphen/>
        <w:t>катной цементованной броней». Одна</w:t>
      </w:r>
      <w:r w:rsidRPr="00142305">
        <w:rPr>
          <w:rFonts w:ascii="Times New Roman" w:hAnsi="Times New Roman"/>
          <w:color w:val="0070C0"/>
          <w:sz w:val="16"/>
          <w:szCs w:val="16"/>
        </w:rPr>
        <w:softHyphen/>
        <w:t>ко из-за того, что изготовление танков Т-24 с Харьковского паровозострои</w:t>
      </w:r>
      <w:r w:rsidRPr="00142305">
        <w:rPr>
          <w:rFonts w:ascii="Times New Roman" w:hAnsi="Times New Roman"/>
          <w:color w:val="0070C0"/>
          <w:sz w:val="16"/>
          <w:szCs w:val="16"/>
        </w:rPr>
        <w:softHyphen/>
        <w:t>тельного завода было снято, выпуск БТ передали из Ленинграда на ХПЗ. При этом производственная база Харь</w:t>
      </w:r>
      <w:r w:rsidRPr="00142305">
        <w:rPr>
          <w:rFonts w:ascii="Times New Roman" w:hAnsi="Times New Roman"/>
          <w:color w:val="0070C0"/>
          <w:sz w:val="16"/>
          <w:szCs w:val="16"/>
        </w:rPr>
        <w:softHyphen/>
        <w:t>кова позволяла без особого труда нала</w:t>
      </w:r>
      <w:r w:rsidRPr="00142305">
        <w:rPr>
          <w:rFonts w:ascii="Times New Roman" w:hAnsi="Times New Roman"/>
          <w:color w:val="0070C0"/>
          <w:sz w:val="16"/>
          <w:szCs w:val="16"/>
        </w:rPr>
        <w:softHyphen/>
        <w:t>дить сборку БТ — на ХПЗ имелось необ</w:t>
      </w:r>
      <w:r w:rsidRPr="00142305">
        <w:rPr>
          <w:rFonts w:ascii="Times New Roman" w:hAnsi="Times New Roman"/>
          <w:color w:val="0070C0"/>
          <w:sz w:val="16"/>
          <w:szCs w:val="16"/>
        </w:rPr>
        <w:softHyphen/>
        <w:t>ходимое оборудование и участок сборки танков (созданный для Т-24),а также специальное танко-конструкторское бюро. Кроме того, в это время на заводе велось строительство цехов производст</w:t>
      </w:r>
      <w:r w:rsidRPr="00142305">
        <w:rPr>
          <w:rFonts w:ascii="Times New Roman" w:hAnsi="Times New Roman"/>
          <w:color w:val="0070C0"/>
          <w:sz w:val="16"/>
          <w:szCs w:val="16"/>
        </w:rPr>
        <w:softHyphen/>
        <w:t>ва танков, а также был организован тан</w:t>
      </w:r>
      <w:r w:rsidRPr="00142305">
        <w:rPr>
          <w:rFonts w:ascii="Times New Roman" w:hAnsi="Times New Roman"/>
          <w:color w:val="0070C0"/>
          <w:sz w:val="16"/>
          <w:szCs w:val="16"/>
        </w:rPr>
        <w:softHyphen/>
        <w:t>ковый отдел Т2, в состав которого вклю</w:t>
      </w:r>
      <w:r w:rsidRPr="00142305">
        <w:rPr>
          <w:rFonts w:ascii="Times New Roman" w:hAnsi="Times New Roman"/>
          <w:color w:val="0070C0"/>
          <w:sz w:val="16"/>
          <w:szCs w:val="16"/>
        </w:rPr>
        <w:softHyphen/>
        <w:t>чили несколько цехов (танковый, сбо</w:t>
      </w:r>
      <w:r w:rsidRPr="00142305">
        <w:rPr>
          <w:rFonts w:ascii="Times New Roman" w:hAnsi="Times New Roman"/>
          <w:color w:val="0070C0"/>
          <w:sz w:val="16"/>
          <w:szCs w:val="16"/>
        </w:rPr>
        <w:softHyphen/>
        <w:t>рочный ит.п.), конструкторское бюро, бюро подготовки производства и т.п. (25009).</w:t>
      </w:r>
    </w:p>
    <w:p w14:paraId="02E0A184" w14:textId="77777777" w:rsidR="00F30952" w:rsidRPr="00142305" w:rsidRDefault="00F30952" w:rsidP="00F30952">
      <w:pPr>
        <w:spacing w:after="0" w:line="240" w:lineRule="auto"/>
        <w:jc w:val="both"/>
        <w:rPr>
          <w:rFonts w:ascii="Times New Roman" w:hAnsi="Times New Roman"/>
          <w:color w:val="0070C0"/>
          <w:sz w:val="16"/>
          <w:szCs w:val="16"/>
        </w:rPr>
      </w:pPr>
    </w:p>
    <w:p w14:paraId="51DFAD7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 апреля 1931 г. с участием К. Ворошилова, М. Тухачевского, И. Халепского на заводе «Большевик» со</w:t>
      </w:r>
      <w:r w:rsidRPr="005E779E">
        <w:rPr>
          <w:rFonts w:ascii="Times New Roman" w:hAnsi="Times New Roman"/>
          <w:color w:val="000000" w:themeColor="text1"/>
          <w:sz w:val="16"/>
          <w:szCs w:val="16"/>
        </w:rPr>
        <w:softHyphen/>
        <w:t>стоялось совещание «О танковой программе на заводе на 1931 г.», на котором было принято решение, что «завод при</w:t>
      </w:r>
      <w:r w:rsidRPr="005E779E">
        <w:rPr>
          <w:rFonts w:ascii="Times New Roman" w:hAnsi="Times New Roman"/>
          <w:color w:val="000000" w:themeColor="text1"/>
          <w:sz w:val="16"/>
          <w:szCs w:val="16"/>
        </w:rPr>
        <w:softHyphen/>
        <w:t>нимает заказ на изготовление в текущем году на 100 танков «БТ» (модель «Кристи») при условии снабжения его прокат</w:t>
      </w:r>
      <w:r w:rsidRPr="005E779E">
        <w:rPr>
          <w:rFonts w:ascii="Times New Roman" w:hAnsi="Times New Roman"/>
          <w:color w:val="000000" w:themeColor="text1"/>
          <w:sz w:val="16"/>
          <w:szCs w:val="16"/>
        </w:rPr>
        <w:softHyphen/>
        <w:t>ной цементированной броней..., в связи с производством «БТ» дальнейший выпуск Т-18 прекратить». Но ввиду того, что планировавшийся прежде заказ на 200 танков Т-24 был отменен, то Харьковский завод им. Коминтерна внезапно оказался свободен, тогда как про</w:t>
      </w:r>
      <w:r w:rsidRPr="005E779E">
        <w:rPr>
          <w:rFonts w:ascii="Times New Roman" w:hAnsi="Times New Roman"/>
          <w:color w:val="000000" w:themeColor="text1"/>
          <w:sz w:val="16"/>
          <w:szCs w:val="16"/>
        </w:rPr>
        <w:softHyphen/>
        <w:t>грамма выпуска Т-26 находилась под угрозой (10733,194).</w:t>
      </w:r>
    </w:p>
    <w:p w14:paraId="0D0E987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FC6FE4" w14:textId="77777777" w:rsidR="00D65F90" w:rsidRPr="005E779E" w:rsidRDefault="00D65F9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 апреля 1931 состоялось совещание "О танковой программе на заводе на 1931 год". О важности рассматриваемого вопроса свидетельствует состав участников совещания: К.Е. Ворошилов, Тухачевский, Славин (РВС ЛВО), Карпенко (ОГПУ), Литуновский, Халепский, Лебедев (УММ), Сальников (директор завода), К.К.Сиркин, Забржевский (технические директора завода), а также другие представители завода и цехов. В принятом постановлении завод обязали приступить к изготовлению рабочих чертежей с 1 мая 1931 г. и до конца года поставить 100 серийных танков. Ещё раньше, решением АБТУ от 11 января 1931 года было определено название танка:</w:t>
      </w:r>
    </w:p>
    <w:p w14:paraId="065D4311" w14:textId="77777777" w:rsidR="00D65F90" w:rsidRPr="005E779E" w:rsidRDefault="00D65F9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"Поскольку американский танк Кристи не отвечает требованиям системы танко-тракторно-автоброневооружения и на вооружение не принимался, сквозного индекса Т ему не присваивать... Более разумным представляется предложение о присвоении ему индекса "СТ" - скороходный танк, или "БТ" - быстроходный танк..."</w:t>
      </w:r>
    </w:p>
    <w:p w14:paraId="42E2905C" w14:textId="77777777" w:rsidR="00D65F90" w:rsidRPr="005E779E" w:rsidRDefault="00D65F9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ведь испытания танков Кристи ещё даже не начинались…</w:t>
      </w:r>
    </w:p>
    <w:p w14:paraId="08C8E135" w14:textId="77777777" w:rsidR="00D65F90" w:rsidRPr="005E779E" w:rsidRDefault="00D65F9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Поставленные из США танки М1931 отличались от образца, который был передан американской армии, наличием 800-кг балласта (заменявшем отсутствующую башню), опорными катками диаметром 813 мм и 400-сильным двигателем Liberty. Толщина бронирования составляла от 5,5 мм (днище) до 20 мм (лоб корпуса и башни). На взвешивании 16 мая масса танка определялась в 9360 кг.</w:t>
      </w:r>
    </w:p>
    <w:p w14:paraId="1D74622F" w14:textId="77777777" w:rsidR="00D65F90" w:rsidRPr="005E779E" w:rsidRDefault="00D65F9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Испытания пробегом начались в этот же день, однако уже 17 мая, во время поворота на травяном грунте сломался кронштейн правого ленивца. На ремонт ушло двое суток, но сварки хватило лишь на 500 метров движения на гусеницах. После второй поломки (23 мая) танк вновь отправили на ремонт, который продолжался ещё трое суток (17214).</w:t>
      </w:r>
    </w:p>
    <w:p w14:paraId="14E753D5" w14:textId="77777777" w:rsidR="00D65F90" w:rsidRPr="005E779E" w:rsidRDefault="00D65F90"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87D30C"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3AB81D78"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44F61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25 апреля 1931 на первый ТБ-3 (АНТ-6) вместо Кертис Конкверор поставили БМВ 6Е (1017,168) и увеличили оперение и поставили деревянные винты (1854,7).</w:t>
      </w:r>
    </w:p>
    <w:p w14:paraId="345F54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83C04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апреля 1931 г. ЦАГИ выставил на испытания доработанный АНТ-6 с моторами BMW VIE7.3 (730 л.с.). На нем нарастили вверх киль. изменили конструкцию элеронов, переделали костыль, немного увеличили рули высоты. При этом удалось устранить ряд ранее выявленных недостатков. Например, прикрыли полом шедшие ранее открыто через кабину бортмеханика тросы управления и бензинопроводы, усовершенствовали глушители. А пожарную сигнализацию просто сняли (что вызвало протест представителей ВВС). Переделки подняли вес пустого самолета на 340 кг Винты теперь были деревянные типа ЦАГИ вместо стоявших ранее стальных американских, но тоже двухлопастные (8887).</w:t>
      </w:r>
    </w:p>
    <w:p w14:paraId="4182F4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EDA0F73" w14:textId="77777777" w:rsidR="00F30952" w:rsidRPr="00142305" w:rsidRDefault="00F30952" w:rsidP="00F3095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25 апреля 1931 г. ЦАГИ выставил на испытания доработанный АНТ-6 с двига</w:t>
      </w:r>
      <w:r w:rsidRPr="00142305">
        <w:rPr>
          <w:rFonts w:ascii="Times New Roman" w:hAnsi="Times New Roman"/>
          <w:color w:val="0070C0"/>
          <w:sz w:val="16"/>
          <w:szCs w:val="16"/>
        </w:rPr>
        <w:softHyphen/>
        <w:t>телями BMW VIE7.3 (730 л.с.). На нем на</w:t>
      </w:r>
      <w:r w:rsidRPr="00142305">
        <w:rPr>
          <w:rFonts w:ascii="Times New Roman" w:hAnsi="Times New Roman"/>
          <w:color w:val="0070C0"/>
          <w:sz w:val="16"/>
          <w:szCs w:val="16"/>
        </w:rPr>
        <w:softHyphen/>
        <w:t>растили вверх киль, изменили конструкцию элеронов, переделали костыль, немного увеличили рули высоты. При этом удалось устранить ряд ранее выявленных недостат</w:t>
      </w:r>
      <w:r w:rsidRPr="00142305">
        <w:rPr>
          <w:rFonts w:ascii="Times New Roman" w:hAnsi="Times New Roman"/>
          <w:color w:val="0070C0"/>
          <w:sz w:val="16"/>
          <w:szCs w:val="16"/>
        </w:rPr>
        <w:softHyphen/>
        <w:t>ков. Например, прикрыли полом шедшие ранее открыто через кабину бортмеханика тросы управления и бензинопроводы, усо</w:t>
      </w:r>
      <w:r w:rsidRPr="00142305">
        <w:rPr>
          <w:rFonts w:ascii="Times New Roman" w:hAnsi="Times New Roman"/>
          <w:color w:val="0070C0"/>
          <w:sz w:val="16"/>
          <w:szCs w:val="16"/>
        </w:rPr>
        <w:softHyphen/>
        <w:t>вершенствовали глушители. А пожарную сигнализацию просто сняли (что вызвало протест представителей ВВС). Переделки подняли вес пустого самолета на 340 кг. Винты вместо стальных американских теперь стояли деревянные типа ЦАРИ, но тоже двухлопастные. С 29 апреля машина испытывалась в НИИ ВВС. Уже 1 мая ее гордо продемонстрировали в воздухе над Красной площадью, а 22 мая состоялся официальный показ бомбардировщика членам правительства. Они осмотрели его на Центральном аэродроме, а затем поглядели на короткий полет. За последний пилотов Козлова и Залевского начальник НИИ наградил «заграничными часами «Мо</w:t>
      </w:r>
      <w:r w:rsidRPr="00142305">
        <w:rPr>
          <w:rFonts w:ascii="Times New Roman" w:hAnsi="Times New Roman"/>
          <w:color w:val="0070C0"/>
          <w:sz w:val="16"/>
          <w:szCs w:val="16"/>
        </w:rPr>
        <w:softHyphen/>
        <w:t>зер» с секундомером» - очевидно, самолет произвел должное впечатление.</w:t>
      </w:r>
    </w:p>
    <w:p w14:paraId="2E8F8416" w14:textId="77777777" w:rsidR="00F30952" w:rsidRPr="00142305" w:rsidRDefault="00F30952" w:rsidP="00F3095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Действительно, машина явно получи</w:t>
      </w:r>
      <w:r w:rsidRPr="00142305">
        <w:rPr>
          <w:rFonts w:ascii="Times New Roman" w:hAnsi="Times New Roman"/>
          <w:color w:val="0070C0"/>
          <w:sz w:val="16"/>
          <w:szCs w:val="16"/>
        </w:rPr>
        <w:softHyphen/>
        <w:t>лась удачной. Хотя замена двигателей незначительно ухудшила летные данные, максимальная скорость оставалась выше требований технического задания - 213 км/ч. Вызвали одобрение и взлетно- посадочные характеристики. В отчете запи</w:t>
      </w:r>
      <w:r w:rsidRPr="00142305">
        <w:rPr>
          <w:rFonts w:ascii="Times New Roman" w:hAnsi="Times New Roman"/>
          <w:color w:val="0070C0"/>
          <w:sz w:val="16"/>
          <w:szCs w:val="16"/>
        </w:rPr>
        <w:softHyphen/>
        <w:t>сали: «На разбеге самолет прост, устойчив, тенденций к заворотам и прыжкам нет... Посадка проста и никаких особенностей не имеет». В горизонтальном полете бомбар</w:t>
      </w:r>
      <w:r w:rsidRPr="00142305">
        <w:rPr>
          <w:rFonts w:ascii="Times New Roman" w:hAnsi="Times New Roman"/>
          <w:color w:val="0070C0"/>
          <w:sz w:val="16"/>
          <w:szCs w:val="16"/>
        </w:rPr>
        <w:softHyphen/>
        <w:t>дировщик держался устойчиво, пилот мог бросить на время штурвал.</w:t>
      </w:r>
    </w:p>
    <w:p w14:paraId="52CAFEE5" w14:textId="77777777" w:rsidR="00F30952" w:rsidRPr="00142305" w:rsidRDefault="00F30952" w:rsidP="00F3095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ТБ-3, пожалуй, даже чрезмерно устой</w:t>
      </w:r>
      <w:r w:rsidRPr="00142305">
        <w:rPr>
          <w:rFonts w:ascii="Times New Roman" w:hAnsi="Times New Roman"/>
          <w:color w:val="0070C0"/>
          <w:sz w:val="16"/>
          <w:szCs w:val="16"/>
        </w:rPr>
        <w:softHyphen/>
        <w:t>чиво держался на курсе. Чтобы ввести его в вираж, от пилота требовались значитель</w:t>
      </w:r>
      <w:r w:rsidRPr="00142305">
        <w:rPr>
          <w:rFonts w:ascii="Times New Roman" w:hAnsi="Times New Roman"/>
          <w:color w:val="0070C0"/>
          <w:sz w:val="16"/>
          <w:szCs w:val="16"/>
        </w:rPr>
        <w:softHyphen/>
        <w:t>ные усилия. «Вообще управление само</w:t>
      </w:r>
      <w:r w:rsidRPr="00142305">
        <w:rPr>
          <w:rFonts w:ascii="Times New Roman" w:hAnsi="Times New Roman"/>
          <w:color w:val="0070C0"/>
          <w:sz w:val="16"/>
          <w:szCs w:val="16"/>
        </w:rPr>
        <w:softHyphen/>
        <w:t>лета ненормально тяжело, в особенности управление элеронами», - говорил отчет НИИ ВВС.</w:t>
      </w:r>
    </w:p>
    <w:p w14:paraId="50A1708B" w14:textId="77777777" w:rsidR="00F30952" w:rsidRPr="00142305" w:rsidRDefault="00F30952" w:rsidP="00F3095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Испытания не довели до конца - заму</w:t>
      </w:r>
      <w:r w:rsidRPr="00142305">
        <w:rPr>
          <w:rFonts w:ascii="Times New Roman" w:hAnsi="Times New Roman"/>
          <w:color w:val="0070C0"/>
          <w:sz w:val="16"/>
          <w:szCs w:val="16"/>
        </w:rPr>
        <w:softHyphen/>
        <w:t>чались с покрышками. Резины на огром</w:t>
      </w:r>
      <w:r w:rsidRPr="00142305">
        <w:rPr>
          <w:rFonts w:ascii="Times New Roman" w:hAnsi="Times New Roman"/>
          <w:color w:val="0070C0"/>
          <w:sz w:val="16"/>
          <w:szCs w:val="16"/>
        </w:rPr>
        <w:softHyphen/>
        <w:t>ные колеса ТБ-3 в СССР не нашлось - купили в Англии, у фирмы «Палмер» (24937).</w:t>
      </w:r>
    </w:p>
    <w:p w14:paraId="5C676274" w14:textId="77777777" w:rsidR="00F30952" w:rsidRPr="00142305" w:rsidRDefault="00F30952" w:rsidP="00F30952">
      <w:pPr>
        <w:spacing w:after="0" w:line="240" w:lineRule="auto"/>
        <w:jc w:val="both"/>
        <w:rPr>
          <w:rFonts w:ascii="Times New Roman" w:hAnsi="Times New Roman"/>
          <w:color w:val="0070C0"/>
          <w:sz w:val="16"/>
          <w:szCs w:val="16"/>
        </w:rPr>
      </w:pPr>
    </w:p>
    <w:p w14:paraId="57E265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апреля 1931 Постановлением СТО “О создании базы опытного строительства и эксплуатации дирижаблей”и при Всесоюзном объединении ГФВ была создана база опытного строительства и эксплуатации дирижаблей (БОСЭД). В Ленинграде действует КБ НИИ СЭД (61).</w:t>
      </w:r>
    </w:p>
    <w:p w14:paraId="2368DF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95FF794" w14:textId="77777777" w:rsidR="00EF2E51" w:rsidRPr="005E779E" w:rsidRDefault="00EF2E51"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lastRenderedPageBreak/>
        <w:t>25 апреля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Протокол заседания Политбюро ЦК ВКП(б) № 35. Решения ПБ от 20 апреля 1931 г. 31/37. О дирижаблестроении. П. 33/39. О танкостроении (ПБ от 20 февраля 1931 г., пр. № 27, п. 35/51). — ОП. (Политбюро... Т. 2. С. 157) (12416).</w:t>
      </w:r>
    </w:p>
    <w:p w14:paraId="41A98C48" w14:textId="77777777" w:rsidR="00EF2E51" w:rsidRPr="005E779E" w:rsidRDefault="00EF2E51" w:rsidP="000B7A6C">
      <w:pPr>
        <w:spacing w:after="0" w:line="240" w:lineRule="auto"/>
        <w:jc w:val="both"/>
        <w:rPr>
          <w:rFonts w:ascii="Times New Roman" w:hAnsi="Times New Roman"/>
          <w:color w:val="000000" w:themeColor="text1"/>
          <w:sz w:val="16"/>
          <w:szCs w:val="16"/>
          <w:u w:color="002060"/>
        </w:rPr>
      </w:pPr>
    </w:p>
    <w:p w14:paraId="207783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апреля 1931 года Совет Труда и Обороны при СНК СССР принимают "Постановление о создании "Базы опытного строительства и эксплуатации дирижаблей" - (БОСЭД) в Гражданском воздушном флоте. Такая база была основана в Москве 18 августа 1931 года в системе ГВФ. Первым ее начальником был назначен Павел Мартынович Пурмаль. Уже в декабре 1931 года БОСЭД была переименована в "Дирижаблестрой", задачей которого являлось проектирование дирижаблей, организация портов и воздушных линий, подготовка кадров по строительству и эксплуатации дирижаблей. Когда 25 февраля 1932 года ВОГВФ преобразовали в Главное управление ГВФ (ГУГВФ), "Дирижаблестрой" стал называться "Научно-исследовательский комбинат по опытному строительству и эксплуатации дирижаблей". В 1932 году произошло слияние Воздухоплавательной базы Осоавиахима и "Дирижаблестроя" в Долгопрудной. В 1933 г. база частично введена в эксплуатацию. В .3.1934 г. территория была увеличена еще более чем вдвое. Строился аэродром. Один из цехов размещался на ул. Б.Никитской (на 1933 г.) (10777).</w:t>
      </w:r>
    </w:p>
    <w:p w14:paraId="2405E4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128FDA0" w14:textId="5BC6840C"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апреля 1931 г. по решению СТО в Москве при ВО ГВФ создана База опытного строительства и эксплуатации дирижаблей (БОСЭД) (Завод № 207 НКОП, НКАП, База опытного строительства и эксплуатации дирижаблей (БОСЭД), Комбинат «Дирижаблестрой» ГВФ, НКТП /пос. Дирижаблестрой, ст. Долгопрудная Северных ж/д,</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Долгопрудный Московской обл. ст. Водники/). По приказу начальника ВО ГВФ № 462 от 7.12.1931 г. БОСЭД преобразована в Научно- исследовательский комбинат «Дирижаблестрой». Перед ним поставлена задача координации всех работ в стране по дирижаблестроению. Ему были подчинены завод по проектированию и строительству дирижаблей, учеЬн^ опытная эскадра по эксплуатации дирижаблей, газовый завод. В 1932 г. ему также передана территория Центральной воздухоплавательной базы Осоавиахима в</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Долгопрудный, куда и был переведен «Дирижаблестрой». Строительство базы начато в 1930-31 г. в 18 км от Москвы с помощью итальянцев (с 05.1932 г. работал У. Нобиле). Для этого в 05.1931 г. был отведен пустующий участок земли. В 05.1931 г. началось строительство дирижаблестроительной верфи, Газового завода и поселка Дирижаблестрой. 5.05.1932 г. база частично введена в строй, а уже к 7.11.1932 г. построен первый дирижабль. В 03.1934 г. территория была увеличена еще более чем вдвое. Строился аэродром. Один из цехов предприятия (№ 5) размещался на ул. Б. Никитской (1933 г.).</w:t>
      </w:r>
    </w:p>
    <w:p w14:paraId="6C969DB7" w14:textId="394206D5"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от 31.05.1933 г. членами НТС «Дирижаблестроя» утверждены: А.Н. Туполев (председатель расчетно-конструкторской секции),</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Г.А. Озеров (председатель научно-исследовательской секции), И.И. Погосский.</w:t>
      </w:r>
    </w:p>
    <w:p w14:paraId="692D77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пост. СТО от 10.08.1936 г. и приказом НКТП № 287сс от 21.08.1936 г. производственная часть «Дирижаблестроя» со всеми сооружениями и личным составом передана из ГВФ в ГУАП НКТП, в 12.1936 г. - в 1ГУ НКОП. По пр. НКОП № Обсс от 30.12.1936 г. «Дирижаблестрой» переименован в завод № 207 по производству дирижаблей. Эксплуатационная часть базы осталась в ГВФ как Управление Воздухоплавания. Акт разделения юридически не оформлялся. В 02.1937 г. завод № 207 - в ведении 1ГУ НКОП, пр. № 22 от 24.01.1938 г. утвержден Устав завода, в 12.1938 г. - в ведении 1ГУ.</w:t>
      </w:r>
    </w:p>
    <w:p w14:paraId="1047C9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1ГУ НКОП № 05 от 17.01.1937 г. гл. инженером завода № 207 назначен А.И. Путилов, переведенный с завода № 81. В НИО и КБ-4 завода № 207 (КБ-207 гл. конструктора А.И. Путилова) в 1938-39 г. разработаны и испытаны 3 типа аэростатов «АСН» (АСН-П02 - в 1939 г.). Построено 9 опытных дирижаблей.</w:t>
      </w:r>
    </w:p>
    <w:p w14:paraId="2D091F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09.1937 г. был пущен в эксплуатацию Газовый завод для заправки дирижаблей.</w:t>
      </w:r>
    </w:p>
    <w:p w14:paraId="52138E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осени 1938 г. завод стал производственной базой коллектива Боровкова и Флорова, переведённого с завода № 21 и получившего название ОКБ завода № 207. В 07.1941 г. ОКБ закрыто.</w:t>
      </w:r>
    </w:p>
    <w:p w14:paraId="53499D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НКАП № 304с от 11.09.1939 г. профиль завода изменен - начались работы по истребителю И-207. В связи с этим началась реконструкция завода и новая застройка. На территории по ул. Б. Никитской с 08.1939 г. образованы экспериментальные сварочные мастерские Треста «Оборонпром», преобразованные затем в завод № 6 ОАП НКАП.</w:t>
      </w:r>
    </w:p>
    <w:p w14:paraId="4A3B03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1939 г. проектная мощность завода составляла 1000 двухмоторных истребителей. План производства на 1941 г.: 235 Су-2.</w:t>
      </w:r>
    </w:p>
    <w:p w14:paraId="54FB7C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решению СНК № 68сс от 8.02.1940 г. работы по дирижаблестроению окончательно свернуты, матчасть законсервирована. По приказу № 353с от 18.07.1940 г. на базе НИО, аэростатного КБ и части дирижабельно- конструкторского отдела (ДКО) завода была образована Научно-исследовательская лаборатория воздухоплавания (НИЛВ) при ЦАГИ. На завод возложено освоение производства ББ-1. Основная часть ДКО передана СКО завода № 207 для участия в работах по подготовке серии ББ-1. Вновь проведена полная реконструкция цехов.</w:t>
      </w:r>
    </w:p>
    <w:p w14:paraId="4EE972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1940 г. на заводе было оборудовано несколько групп самолетов в «звено Вахмистрова» с СПБ.</w:t>
      </w:r>
    </w:p>
    <w:p w14:paraId="6CCFDB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08.1941 г. на завод № 207 с завода № 156 НКАП переведена конструкторская группа С.А. Кочеригина.</w:t>
      </w:r>
    </w:p>
    <w:p w14:paraId="7D362B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 1053сс от 9.10.1941 г. завод № 207 1ГУ НКАП эвакуирован в Молотов и с 10.1941 г. выбыл из числа действующих в результате объединения с эвакуированным сюда же заводом № 135 НКАП. По приказу № 1168с от 16.12.1941 г. часть личного состава с завода № 207 переведена на завод № 156 НКАП.</w:t>
      </w:r>
    </w:p>
    <w:p w14:paraId="222B1F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приказам № 1073с от 20.10.1941 г. и № 93с от 2.02.1942 г. на площадке эвакуированного завода № 207 с 10.1941 г. образовались самолетные Ремонтные мастерские при Ремотделе, далее- при Главремуправлении НКАП. Начальник с 01.1942 г.- М.П. Озимков (с завода № 487). Сюда возвращены кадры, ранее отправленные на завод № 156. Ремонт ЛаГГ-1, Ла-5, МиГ-3, Як-3, Як-9, Ил-2.</w:t>
      </w:r>
    </w:p>
    <w:p w14:paraId="6B5C98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04.1942 г. на площадке завода № 207 образован завод № 462 НКАП. С 1957 г. здесь же - ОКБ-424 (ДКБА).</w:t>
      </w:r>
    </w:p>
    <w:p w14:paraId="5A5623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Количество оборудования: (11.1940 г.)- 198 металлорежущих станков.</w:t>
      </w:r>
    </w:p>
    <w:p w14:paraId="35A87E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(1932 г.)- П. Пурмаль,</w:t>
      </w:r>
      <w:r w:rsidRPr="005E779E">
        <w:rPr>
          <w:rFonts w:ascii="Times New Roman" w:hAnsi="Times New Roman"/>
          <w:color w:val="000000" w:themeColor="text1"/>
          <w:sz w:val="16"/>
          <w:szCs w:val="16"/>
          <w:vertAlign w:val="superscript"/>
        </w:rPr>
        <w:t>104</w:t>
      </w:r>
      <w:r w:rsidRPr="005E779E">
        <w:rPr>
          <w:rFonts w:ascii="Times New Roman" w:hAnsi="Times New Roman"/>
          <w:color w:val="000000" w:themeColor="text1"/>
          <w:sz w:val="16"/>
          <w:szCs w:val="16"/>
        </w:rPr>
        <w:t xml:space="preserve"> (1932 г.)- И. Фильдман, (-06.193 7-11.04.193 8 г.)- С. Г. Хорьков (арестован), (19.06-09.1938 г.-)- С.В. Житенев, (1938-05.1941 г.-)- </w:t>
      </w:r>
      <w:r w:rsidRPr="005E779E">
        <w:rPr>
          <w:rFonts w:ascii="Times New Roman" w:hAnsi="Times New Roman"/>
          <w:color w:val="000000" w:themeColor="text1"/>
          <w:sz w:val="16"/>
          <w:szCs w:val="16"/>
          <w:lang w:val="en-US"/>
        </w:rPr>
        <w:t>B</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II</w:t>
      </w:r>
      <w:r w:rsidRPr="005E779E">
        <w:rPr>
          <w:rFonts w:ascii="Times New Roman" w:hAnsi="Times New Roman"/>
          <w:color w:val="000000" w:themeColor="text1"/>
          <w:sz w:val="16"/>
          <w:szCs w:val="16"/>
        </w:rPr>
        <w:t>. Горин.</w:t>
      </w:r>
    </w:p>
    <w:p w14:paraId="1C1B77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директора: (-06-20.12.1937 г.)- П.Б. Рудини (снят); по строительству (28.02.1937 г.-)- И.П. Афанасьев.</w:t>
      </w:r>
    </w:p>
    <w:p w14:paraId="64B656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инженер (01.1937-39 г.)- А.И. Путилов (репрессирован), (-06-20.12.1937 г.)- П.Б. Рудини,</w:t>
      </w:r>
      <w:r w:rsidRPr="005E779E">
        <w:rPr>
          <w:rFonts w:ascii="Times New Roman" w:hAnsi="Times New Roman"/>
          <w:color w:val="000000" w:themeColor="text1"/>
          <w:sz w:val="16"/>
          <w:szCs w:val="16"/>
          <w:vertAlign w:val="superscript"/>
        </w:rPr>
        <w:t>139</w:t>
      </w:r>
      <w:r w:rsidRPr="005E779E">
        <w:rPr>
          <w:rFonts w:ascii="Times New Roman" w:hAnsi="Times New Roman"/>
          <w:color w:val="000000" w:themeColor="text1"/>
          <w:sz w:val="16"/>
          <w:szCs w:val="16"/>
        </w:rPr>
        <w:t xml:space="preserve"> (10.1941 г.)- В.К. Таиров.</w:t>
      </w:r>
    </w:p>
    <w:p w14:paraId="421D7B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конструктор (1932 г.-)- Умберто Нобиле.</w:t>
      </w:r>
      <w:r w:rsidRPr="005E779E">
        <w:rPr>
          <w:rFonts w:ascii="Times New Roman" w:hAnsi="Times New Roman"/>
          <w:color w:val="000000" w:themeColor="text1"/>
          <w:sz w:val="16"/>
          <w:szCs w:val="16"/>
          <w:vertAlign w:val="superscript"/>
        </w:rPr>
        <w:t>104</w:t>
      </w:r>
    </w:p>
    <w:p w14:paraId="0011B5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 КБ «Дирижаблестроя» (1938-46 г.)- Умберто Нобиле.</w:t>
      </w:r>
    </w:p>
    <w:p w14:paraId="4261B5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Производство: дирижабли: В-2, В-3 (1932), В-5, В-6, В-8 (1936)- 1, ДП-9, В-12, ДП-16 (1938), ДС-8, Д-100; самолеты: И-207 (1939-41)- 4, Су-2 (1940-41)- 92.</w:t>
      </w:r>
    </w:p>
    <w:p w14:paraId="396C9F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ОКБ завода № 207 НКАП гл. конструкторов А.А. Боровкова и И.Ф. Флорова</w:t>
      </w:r>
    </w:p>
    <w:p w14:paraId="173593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Образовалось на заводе № 207 после перехода сюда осенью 1938 г. с завода № 21 конструкторской группы А.А. Боровкова и И.Ф. Флорова. Работы по истребителю И-207; проект экспериментального истребителя «Д» с комбинированной двигательной установкой (М-71 и ПВРД, 2х ДМ-12). В 1941 г. работы по «Д» прекращены из-за эвакуации.</w:t>
      </w:r>
    </w:p>
    <w:p w14:paraId="7D6A3F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07.1941 г. ОКБ было расформировано. По приказу № 792сс от 3/4.08.1941 г. Боровков и Флоров с группой сотрудников откомандированы в ОКБ-293 Болховитинова.</w:t>
      </w:r>
    </w:p>
    <w:p w14:paraId="7010CD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СЖБ-207 НКАП гл. конструктора С.А. Кочеригина</w:t>
      </w:r>
    </w:p>
    <w:p w14:paraId="4F9E41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08.1941 г. конструкторская группа С.А. Кочеригина из 28 чел. переведена с завода № 156 НКАП на площадку завода № 207 для доделки ОПБ и подготовки его к испытаниям. Здесь группа получила обозначение ОКБ-207 НКАП. Однако, из-за эвакуации завода достроить самолет не удалось. В 10.1941 г. планер ОПБ направлен на завод № 135, а Кочеригин назначен гл. редактором БНТ НКАП (11982).</w:t>
      </w:r>
    </w:p>
    <w:p w14:paraId="0554E8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5610128" w14:textId="77777777" w:rsidR="005F6639" w:rsidRPr="005E779E" w:rsidRDefault="005F66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апреля 1931 г. Протокол ПБ № 35 п.24/29: Об экспедиции Экенера в Арктику (ПБ от 10-4-1931 г., протокол № 33, п.17/22) (Рудзутак, Литвинов) - ОП. Решено: а) разрешить международному обществу «Аэроарктик» научную арктическую экспедицию на дирижабле с остановками на территории СССР по маршруту Германия - Ленинград - Советский сектор Арктики - Москва (Ленинград) - Германия; б) разрешить участие в этой экспедиции в качестве ее начальника профессора Самойловича и других советских представителей; в) валютные расходы не должны превышать 17 тысяч долларов и покрываются из резервного фонда СНК СССР; г) ответственность за подробный маршрут, организацию полета и остановок на территории СССР возложить на Гольцмана, Каменева С.С. (председатель), Мессинга и Самойловича, которые определяют также и персональный состав советских участников экспедиции (15952).</w:t>
      </w:r>
    </w:p>
    <w:p w14:paraId="157628EF" w14:textId="77777777" w:rsidR="005F6639" w:rsidRPr="005E779E" w:rsidRDefault="005F6639" w:rsidP="000B7A6C">
      <w:pPr>
        <w:spacing w:after="0" w:line="240" w:lineRule="auto"/>
        <w:jc w:val="both"/>
        <w:rPr>
          <w:rFonts w:ascii="Times New Roman" w:hAnsi="Times New Roman"/>
          <w:color w:val="000000" w:themeColor="text1"/>
          <w:sz w:val="16"/>
          <w:szCs w:val="16"/>
        </w:rPr>
      </w:pPr>
    </w:p>
    <w:p w14:paraId="710D24A6" w14:textId="77777777" w:rsidR="005F6639" w:rsidRPr="005E779E" w:rsidRDefault="005F66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апреля 1931 г. Протокол ПБ № 35 п.15: О плане гражданского воздушного флота на 1931 г. (Молотов, Ворошилов, Куйбышев, Павлуновский, Гольцман, Акулов). Решено: а) утвердить постановление СНК «О плане гражданского воздушного флота на 1931 г.» от 16-4-1931; б) считать необходимым усилить освещение работы гражданской авиации в печати, для чего обязать «Правду» и республиканские, краевые, областные партийные органы помещать материал о работе гражданского воздушного флота, а также организовать в них рабкоровские группы и т.д.; в) поставить на ближайшем заседании Политбюро доклад РКИ о ходе выполнения постановления СНК от 11-1-1931 «О приравнении гражданского воздушного флота к важнейшим внеочередным объектам капитального строительства» (15895).</w:t>
      </w:r>
    </w:p>
    <w:p w14:paraId="2043ED9E" w14:textId="77777777" w:rsidR="005F6639" w:rsidRPr="005E779E" w:rsidRDefault="005F6639" w:rsidP="000B7A6C">
      <w:pPr>
        <w:spacing w:after="0" w:line="240" w:lineRule="auto"/>
        <w:jc w:val="both"/>
        <w:rPr>
          <w:rFonts w:ascii="Times New Roman" w:hAnsi="Times New Roman"/>
          <w:color w:val="000000" w:themeColor="text1"/>
          <w:sz w:val="16"/>
          <w:szCs w:val="16"/>
        </w:rPr>
      </w:pPr>
    </w:p>
    <w:p w14:paraId="68FF7CDE" w14:textId="77777777" w:rsidR="005F6639" w:rsidRPr="005E779E" w:rsidRDefault="005F663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апреля 1931 г. в присутствии всего Евпаторийского гарнизона Мошковский Я. благополучно приземлился на парашюте Журавлева. Разъяснительная работа и отважные прыжки дал отличные результаты - добровольцев прыгнуть с парашютом записалось около двух десятков и среди них две женщины - жены летчиков. На базе первого парашюта были созданы новые конструкции спасательных парашютов ПЛ-1 для летчиков и ПН-1 для летчиков-наблюдателей (штурманов). По конструкции Савицкого М.А. был создан первый советский парашют ПТ-1 для совершения учебно-тренировочных прыжков летно-подъемным составом ВВС, десантниками и спортсменами-парашютистами. Он состоял на снабжении в Красной Армии до 1940 г. С помощью ПТ-1 было установлено 22 рекорда страны, в том числе и прыжок с минимальной высоты 80 м (15506).</w:t>
      </w:r>
    </w:p>
    <w:p w14:paraId="2C6652E0" w14:textId="77777777" w:rsidR="005F6639" w:rsidRPr="005E779E" w:rsidRDefault="005F6639" w:rsidP="000B7A6C">
      <w:pPr>
        <w:spacing w:after="0" w:line="240" w:lineRule="auto"/>
        <w:jc w:val="both"/>
        <w:rPr>
          <w:rFonts w:ascii="Times New Roman" w:hAnsi="Times New Roman"/>
          <w:color w:val="000000" w:themeColor="text1"/>
          <w:sz w:val="16"/>
          <w:szCs w:val="16"/>
        </w:rPr>
      </w:pPr>
    </w:p>
    <w:p w14:paraId="6C86295F"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апреля 1931</w:t>
      </w:r>
    </w:p>
    <w:p w14:paraId="71EE2515"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 15: О плане гражданского воздушного флота на 1931 г.</w:t>
      </w:r>
    </w:p>
    <w:p w14:paraId="58119555"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(Молотов, Ворошилов, Куйбышев, Павлуновский, Гольцман, Акулов).</w:t>
      </w:r>
    </w:p>
    <w:p w14:paraId="359ABDB7"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Утвердить постановление Совета Народных Комиссаров “О плане гражданского воздушного флота на 1931 г.” от 16.IV.31 г. (</w:t>
      </w:r>
      <w:hyperlink r:id="rId84" w:history="1">
        <w:r w:rsidRPr="005E779E">
          <w:rPr>
            <w:rStyle w:val="a5"/>
            <w:rFonts w:ascii="Times New Roman" w:hAnsi="Times New Roman"/>
            <w:color w:val="000000" w:themeColor="text1"/>
            <w:sz w:val="16"/>
            <w:szCs w:val="16"/>
          </w:rPr>
          <w:t>см. приложение № 8</w:t>
        </w:r>
      </w:hyperlink>
      <w:r w:rsidRPr="005E779E">
        <w:rPr>
          <w:rFonts w:ascii="Times New Roman" w:hAnsi="Times New Roman"/>
          <w:color w:val="000000" w:themeColor="text1"/>
          <w:sz w:val="16"/>
          <w:szCs w:val="16"/>
        </w:rPr>
        <w:t>).</w:t>
      </w:r>
    </w:p>
    <w:p w14:paraId="0C6CD52C"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Считать необходимым усилить освещение работы гражданской авиации в печати, для чего обязать “Правду” и республиканские, краевые, областные партийные органы помещать материал о работе гражданского воздушного флота, а также организовать в них рабкоровские группы и т. д.</w:t>
      </w:r>
    </w:p>
    <w:p w14:paraId="463ABB98"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Поставить на ближайшем заседании Политбюро доклад РКИ о ходе выполнения постановления СНК от 11</w:t>
      </w:r>
      <w:r w:rsidRPr="005E779E">
        <w:rPr>
          <w:rFonts w:ascii="Times New Roman" w:hAnsi="Times New Roman"/>
          <w:color w:val="000000" w:themeColor="text1"/>
          <w:sz w:val="16"/>
          <w:szCs w:val="16"/>
        </w:rPr>
        <w:noBreakHyphen/>
        <w:t>го января 1931 г. “О приравнении гражданского воздушного флота к важнейшим внеочередным объектам капитального строительства”.</w:t>
      </w:r>
    </w:p>
    <w:p w14:paraId="563BA26A"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Приложение № 8</w:t>
      </w:r>
    </w:p>
    <w:p w14:paraId="48D2A170"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п. 15, пр. ПБ № 35.</w:t>
      </w:r>
    </w:p>
    <w:p w14:paraId="538812DD"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 плане гражданского воздушного флота на 1931 г. Постановление СТО от 16.IV.1931 г. СНК СССР с приложениями.</w:t>
      </w:r>
    </w:p>
    <w:p w14:paraId="26488593"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Секретно.</w:t>
      </w:r>
    </w:p>
    <w:p w14:paraId="47391159"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Выписка из протокола № 10 заседания Совета Труда и Обороны 16 апреля 1931 года.</w:t>
      </w:r>
    </w:p>
    <w:p w14:paraId="735B5EF7"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 16: О плане гражданского воздушного флота на 1931 год.</w:t>
      </w:r>
    </w:p>
    <w:p w14:paraId="13572F8E"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(Гольцман, Близниченко, Акулов, Ворошилов, Павлуновский, Метло, Куйбышев).</w:t>
      </w:r>
    </w:p>
    <w:p w14:paraId="12C81DF3"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Представленный комиссией т. Куйбышева проект постановления за исключением пункта 2</w:t>
      </w:r>
      <w:r w:rsidRPr="005E779E">
        <w:rPr>
          <w:rFonts w:ascii="Times New Roman" w:hAnsi="Times New Roman"/>
          <w:color w:val="000000" w:themeColor="text1"/>
          <w:sz w:val="16"/>
          <w:szCs w:val="16"/>
        </w:rPr>
        <w:noBreakHyphen/>
        <w:t>го (о программе моторо и самолетостроения) — утвердить.</w:t>
      </w:r>
    </w:p>
    <w:p w14:paraId="2231B212"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Поручить комиссии под председательством т. Акулова в составе т.т. Гольцмана, Близниченко, Мартиновича и Баранова, в 5</w:t>
      </w:r>
      <w:r w:rsidRPr="005E779E">
        <w:rPr>
          <w:rFonts w:ascii="Times New Roman" w:hAnsi="Times New Roman"/>
          <w:color w:val="000000" w:themeColor="text1"/>
          <w:sz w:val="16"/>
          <w:szCs w:val="16"/>
        </w:rPr>
        <w:noBreakHyphen/>
        <w:t>ти дневный срок рассмотреть программу моторо- и самолетостроения и распределение этой программы по кварталам.</w:t>
      </w:r>
    </w:p>
    <w:p w14:paraId="67891841"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Не задерживая проведения в жизнь принятых решений о плане гражданского воздушного флота на 1931 год (п. “а” постановления) внести эти решения на утверждение ПБ.</w:t>
      </w:r>
    </w:p>
    <w:p w14:paraId="11746CE7"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16.IV.1931 г.</w:t>
      </w:r>
    </w:p>
    <w:p w14:paraId="3A8293FD"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Постановление Совета Народных Комиссаров Союза СССР.</w:t>
      </w:r>
    </w:p>
    <w:p w14:paraId="3E7421FC"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вопросу:</w:t>
      </w:r>
    </w:p>
    <w:p w14:paraId="0848888F"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 плане гражданского воздушного флота на 1931 г.</w:t>
      </w:r>
    </w:p>
    <w:p w14:paraId="61AB786A"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Союз ССР имеет в настоящее время полную возможность приступить к выполнению широкой программы аэрофикации, долженствующей содействовать ускорению темпов строительства социализма, экономии энергии при передвижении и усилению живой, почтовой и грузовой связи в СССР, обеспечивая одновременно повышение эффективности строительства в ряде важнейших областей народного хозяйства (картография, землеустройство, лесоустройство, борьба с вредителями сельского, лесного, садового и огородного хозяйства, применение авиации на службе связи и наблюдения в крупнейших сельских и лесных хозяйствах социалистического сектора, а также в рыболовстве, зверобойном промысле и в экспедициях).</w:t>
      </w:r>
    </w:p>
    <w:p w14:paraId="0A3769A1"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Рассматривая 1931 год, как первый год широкого развертывания авиационного и воздухоплавательного строительства в СССР, Совет Народных Комиссаров Союза ССР постановляет:</w:t>
      </w:r>
    </w:p>
    <w:p w14:paraId="0ADC0747"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Утвердить открытие в 1931 г. сети новых воздушных путей сообщения, согласно прилагаемому титульному списку (см. приложение № 1), в объеме 10.970 км, а за счет местных средств 3.549 км, что составит вместе с действующей на 1 января 1931 года сетью в 26.487 км сеть воздушных путей СССР 37.457 км, а с линиями, организуемыми за счет местных средств — 41.006 км.</w:t>
      </w:r>
    </w:p>
    <w:p w14:paraId="360FF4B4"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Утвердить план снабжения гражданского воздушного флота СССР самолетами и моторами советского производства ВАО 1931 г. в количестве 907 самолетов и 1.429 моторов с запчастями к ним (см. приложение № 2).</w:t>
      </w:r>
    </w:p>
    <w:p w14:paraId="1D2B62ED"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Поручить ВСНХ СССР расширить в 1931 г. производство запасных частей к самолетам и моторам для гражданского воздушного флота, войдя по этому вопросу со специальным докладом в Совет Труда и Обороны не позднее 15</w:t>
      </w:r>
      <w:r w:rsidRPr="005E779E">
        <w:rPr>
          <w:rFonts w:ascii="Times New Roman" w:hAnsi="Times New Roman"/>
          <w:color w:val="000000" w:themeColor="text1"/>
          <w:sz w:val="16"/>
          <w:szCs w:val="16"/>
        </w:rPr>
        <w:noBreakHyphen/>
        <w:t>го мая 1931 года.</w:t>
      </w:r>
    </w:p>
    <w:p w14:paraId="247EE728"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Утвердить план строительства земного оборудования на 1931 год в объеме, обеспечивающем нормальные условия работы, существующих и вновь открываемых линий воздушного сообщения, в том числе:</w:t>
      </w:r>
    </w:p>
    <w:p w14:paraId="3376A0D4"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аэровокзалов .... 2, в т. ч. достройка — 1</w:t>
      </w:r>
    </w:p>
    <w:p w14:paraId="6904C0CD"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ангаров ........ 21, в т. ч. достройка - 3</w:t>
      </w:r>
    </w:p>
    <w:p w14:paraId="766565DD"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аэродромов ..... 55, в т. ч. достройка -12</w:t>
      </w:r>
    </w:p>
    <w:p w14:paraId="2B01D6FB"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мастерских ..... 11, в т. ч. достройка - 2</w:t>
      </w:r>
    </w:p>
    <w:p w14:paraId="00A1333B"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Поручить Госплану СССР с привлечением ВАО, ВОГВФ и Управления Военных Воздушных сил проработать не позднее 1</w:t>
      </w:r>
      <w:r w:rsidRPr="005E779E">
        <w:rPr>
          <w:rFonts w:ascii="Times New Roman" w:hAnsi="Times New Roman"/>
          <w:color w:val="000000" w:themeColor="text1"/>
          <w:sz w:val="16"/>
          <w:szCs w:val="16"/>
        </w:rPr>
        <w:noBreakHyphen/>
        <w:t>го июня с. г. синтетический план на 1931 год и последующие годы единой ремонтной снабженческой системы для воздушного флота СССР, а также план единой системы снабжения горюче-смазочными материалами.</w:t>
      </w:r>
    </w:p>
    <w:p w14:paraId="4336FBF5"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Поручить Госплану предусмотреть в контрольных цифрах гражданской авиации 1932 года мероприятия по свето-радио- и метео- оборудованию воздушных линий, полностью обеспечивающие интересы воздушного флота.</w:t>
      </w:r>
    </w:p>
    <w:p w14:paraId="2F6CAF36"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План школьного строительства гражданского воздушного флота на 1931 г. утвердить на контингент 1931 г. 13.055 чел. (см. приложение № 3). Кроме того, предложить ВСНХ СССР, НКПиТ, НКПС разместить в своих втузах и техникумах контингент 528 инженеров и 950 техников. Одобрить план обучения в школах Осоавиахима в 1931 г. 2.000 пилотов III класса и техников.</w:t>
      </w:r>
    </w:p>
    <w:p w14:paraId="778A7B50"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Утвердить прилагаемый план работ по воздухоплаванию в общей сумме 7.400 руб. (см. приложение № 4).</w:t>
      </w:r>
    </w:p>
    <w:p w14:paraId="16A99DF5"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Утвердить производственно-эксплуатационный план ВОГВФ на 1931 г. в объеме определенного километража — 10.200.000 км., 130.000 кг почты, 31.000 пассажиров и 850.000 кг грузов.</w:t>
      </w:r>
    </w:p>
    <w:p w14:paraId="041D7715"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Утвердить объем капитальных вложений в гражданский воздушный флот в 1931 г. в размере 120.621 тыс. руб. по союзному бюджету и 19.400 тыс. руб, по средствам советских хозяйственных и общественных организаций, всего на 140.021 тыс. руб. и финансирование оперативно-эксплуатационных расходов по союзному бюджету 4.000 тыс. руб. по линиям и на подготовку кадров 24.149 тыс. рублей.</w:t>
      </w:r>
    </w:p>
    <w:p w14:paraId="796E0125"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Поручить Госплану СССР не позднее 1</w:t>
      </w:r>
      <w:r w:rsidRPr="005E779E">
        <w:rPr>
          <w:rFonts w:ascii="Times New Roman" w:hAnsi="Times New Roman"/>
          <w:color w:val="000000" w:themeColor="text1"/>
          <w:sz w:val="16"/>
          <w:szCs w:val="16"/>
        </w:rPr>
        <w:noBreakHyphen/>
        <w:t>го мая пересмотреть нормы материального снабжения строительства и эксплуатации гражданского воздушного флота на 1931 год с тем, чтобы утвержденный производственно-финансовый план и план строительства мог быть полностью выполнен.</w:t>
      </w:r>
    </w:p>
    <w:p w14:paraId="0C2EE234"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Поручить Госплану СССР рассмотреть не позднее 15</w:t>
      </w:r>
      <w:r w:rsidRPr="005E779E">
        <w:rPr>
          <w:rFonts w:ascii="Times New Roman" w:hAnsi="Times New Roman"/>
          <w:color w:val="000000" w:themeColor="text1"/>
          <w:sz w:val="16"/>
          <w:szCs w:val="16"/>
        </w:rPr>
        <w:noBreakHyphen/>
        <w:t>го мая план подготовки ВОГВФ к зимней кампании 1931/32 г. и представить в Совет Труда и Обороны проект постановления о необходимых мероприятиях.</w:t>
      </w:r>
    </w:p>
    <w:p w14:paraId="7DA89ECF"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Поручить ВОГВФ вступить в переговоры с иностранными фирмами о привлечении технической помощи как в области эксплуатации воздушных линий, так и в области дирижаблестроения, а также командировать заграницу в 1931 г. лучших инженеров, техников и рабочих для изучения иностранных технических достижений.</w:t>
      </w:r>
    </w:p>
    <w:p w14:paraId="48E154B3"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Поручить ВСНХ СССР организовать не позднее 3</w:t>
      </w:r>
      <w:r w:rsidRPr="005E779E">
        <w:rPr>
          <w:rFonts w:ascii="Times New Roman" w:hAnsi="Times New Roman"/>
          <w:color w:val="000000" w:themeColor="text1"/>
          <w:sz w:val="16"/>
          <w:szCs w:val="16"/>
        </w:rPr>
        <w:noBreakHyphen/>
        <w:t>го квартала производство оборудования для освещения ночных воздушных линий с привлечением необходимой иностранной технической помощи.</w:t>
      </w:r>
    </w:p>
    <w:p w14:paraId="077B2748"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Разрешить ВОГВФ произвести выпуск обязательств для сбора средств от различных советских, общественных и хозяйственных организаций на организацию воздушных сообщений хозяйственного и местного значения.</w:t>
      </w:r>
    </w:p>
    <w:p w14:paraId="1A9E96E0"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Поручить Совету Труда и Обороны издать в месячный срок постановление, регулирующее размеры и сроки погашения этих обязательств.</w:t>
      </w:r>
    </w:p>
    <w:p w14:paraId="510EDF2C"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Приложения:</w:t>
      </w:r>
    </w:p>
    <w:p w14:paraId="429485FB"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Сеть новых воздушных путей сообщения, открываемых в 1931 году.</w:t>
      </w:r>
    </w:p>
    <w:p w14:paraId="56E4D6B5"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План снабжения гражданского воздушного флота самолето-моторным парком.</w:t>
      </w:r>
    </w:p>
    <w:p w14:paraId="240DC681"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Титульный перечень и контингент учащихся школ гражданского воздушного флота в 1931 году.</w:t>
      </w:r>
    </w:p>
    <w:p w14:paraId="3F851A28"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План работы по воздухоплаванию.</w:t>
      </w:r>
    </w:p>
    <w:p w14:paraId="70493B75"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16.IV.1931 г.</w:t>
      </w:r>
    </w:p>
    <w:p w14:paraId="447AE9EB"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Гольцман.</w:t>
      </w:r>
    </w:p>
    <w:p w14:paraId="3A6CC44C"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Приложение № 1.</w:t>
      </w:r>
    </w:p>
    <w:p w14:paraId="79B36EF9"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Список воздушных линий ВОГВФ на 1931 год.</w:t>
      </w:r>
    </w:p>
    <w:tbl>
      <w:tblPr>
        <w:tblW w:w="5000" w:type="pct"/>
        <w:shd w:val="clear" w:color="auto" w:fill="F2EEE1"/>
        <w:tblCellMar>
          <w:left w:w="0" w:type="dxa"/>
          <w:right w:w="0" w:type="dxa"/>
        </w:tblCellMar>
        <w:tblLook w:val="04A0" w:firstRow="1" w:lastRow="0" w:firstColumn="1" w:lastColumn="0" w:noHBand="0" w:noVBand="1"/>
      </w:tblPr>
      <w:tblGrid>
        <w:gridCol w:w="3802"/>
        <w:gridCol w:w="765"/>
        <w:gridCol w:w="6006"/>
        <w:gridCol w:w="765"/>
      </w:tblGrid>
      <w:tr w:rsidR="001002C3" w:rsidRPr="005E779E" w14:paraId="0B33E0DA" w14:textId="77777777" w:rsidTr="001C3F77">
        <w:tc>
          <w:tcPr>
            <w:tcW w:w="0" w:type="auto"/>
            <w:gridSpan w:val="4"/>
            <w:vAlign w:val="center"/>
            <w:hideMark/>
          </w:tcPr>
          <w:p w14:paraId="73B53EB7"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Московское управление</w:t>
            </w:r>
          </w:p>
        </w:tc>
      </w:tr>
      <w:tr w:rsidR="001002C3" w:rsidRPr="005E779E" w14:paraId="7C2FA885" w14:textId="77777777" w:rsidTr="001C3F77">
        <w:tc>
          <w:tcPr>
            <w:tcW w:w="0" w:type="auto"/>
            <w:vAlign w:val="center"/>
            <w:hideMark/>
          </w:tcPr>
          <w:p w14:paraId="6045D419"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существующие</w:t>
            </w:r>
          </w:p>
        </w:tc>
        <w:tc>
          <w:tcPr>
            <w:tcW w:w="0" w:type="auto"/>
            <w:vAlign w:val="center"/>
            <w:hideMark/>
          </w:tcPr>
          <w:p w14:paraId="71E6B92B"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c>
          <w:tcPr>
            <w:tcW w:w="0" w:type="auto"/>
            <w:vAlign w:val="center"/>
            <w:hideMark/>
          </w:tcPr>
          <w:p w14:paraId="3B5A8AA7"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новые</w:t>
            </w:r>
          </w:p>
        </w:tc>
        <w:tc>
          <w:tcPr>
            <w:tcW w:w="0" w:type="auto"/>
            <w:vAlign w:val="center"/>
            <w:hideMark/>
          </w:tcPr>
          <w:p w14:paraId="1B85EF07"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r>
      <w:tr w:rsidR="001002C3" w:rsidRPr="005E779E" w14:paraId="25B60EFD" w14:textId="77777777" w:rsidTr="001C3F77">
        <w:tc>
          <w:tcPr>
            <w:tcW w:w="0" w:type="auto"/>
            <w:vAlign w:val="center"/>
            <w:hideMark/>
          </w:tcPr>
          <w:p w14:paraId="4B60F35F"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Москва — Харьков</w:t>
            </w:r>
          </w:p>
        </w:tc>
        <w:tc>
          <w:tcPr>
            <w:tcW w:w="0" w:type="auto"/>
            <w:vAlign w:val="center"/>
            <w:hideMark/>
          </w:tcPr>
          <w:p w14:paraId="6165637E"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700</w:t>
            </w:r>
          </w:p>
        </w:tc>
        <w:tc>
          <w:tcPr>
            <w:tcW w:w="0" w:type="auto"/>
            <w:vAlign w:val="center"/>
            <w:hideMark/>
          </w:tcPr>
          <w:p w14:paraId="09A6CCC4"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Москва — Смоленск —Минск</w:t>
            </w:r>
          </w:p>
        </w:tc>
        <w:tc>
          <w:tcPr>
            <w:tcW w:w="0" w:type="auto"/>
            <w:vAlign w:val="center"/>
            <w:hideMark/>
          </w:tcPr>
          <w:p w14:paraId="5F0A3592"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657</w:t>
            </w:r>
          </w:p>
        </w:tc>
      </w:tr>
      <w:tr w:rsidR="001002C3" w:rsidRPr="005E779E" w14:paraId="5D9CE551" w14:textId="77777777" w:rsidTr="001C3F77">
        <w:tc>
          <w:tcPr>
            <w:tcW w:w="0" w:type="auto"/>
            <w:vAlign w:val="center"/>
            <w:hideMark/>
          </w:tcPr>
          <w:p w14:paraId="5469B76E"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Москва — Оренбург</w:t>
            </w:r>
          </w:p>
        </w:tc>
        <w:tc>
          <w:tcPr>
            <w:tcW w:w="0" w:type="auto"/>
            <w:vAlign w:val="center"/>
            <w:hideMark/>
          </w:tcPr>
          <w:p w14:paraId="76AEE7A6"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1300</w:t>
            </w:r>
          </w:p>
        </w:tc>
        <w:tc>
          <w:tcPr>
            <w:tcW w:w="0" w:type="auto"/>
            <w:vAlign w:val="center"/>
            <w:hideMark/>
          </w:tcPr>
          <w:p w14:paraId="2EF9D2B4"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Москва — Бобрик Донской</w:t>
            </w:r>
          </w:p>
        </w:tc>
        <w:tc>
          <w:tcPr>
            <w:tcW w:w="0" w:type="auto"/>
            <w:vAlign w:val="center"/>
            <w:hideMark/>
          </w:tcPr>
          <w:p w14:paraId="4114FF8F"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w:t>
            </w:r>
          </w:p>
        </w:tc>
      </w:tr>
      <w:tr w:rsidR="001002C3" w:rsidRPr="005E779E" w14:paraId="7E3095D7" w14:textId="77777777" w:rsidTr="001C3F77">
        <w:tc>
          <w:tcPr>
            <w:tcW w:w="0" w:type="auto"/>
            <w:vAlign w:val="center"/>
            <w:hideMark/>
          </w:tcPr>
          <w:p w14:paraId="6716427E"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 Москва — Свердловск</w:t>
            </w:r>
          </w:p>
        </w:tc>
        <w:tc>
          <w:tcPr>
            <w:tcW w:w="0" w:type="auto"/>
            <w:vAlign w:val="center"/>
            <w:hideMark/>
          </w:tcPr>
          <w:p w14:paraId="5C01D575"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1485</w:t>
            </w:r>
          </w:p>
        </w:tc>
        <w:tc>
          <w:tcPr>
            <w:tcW w:w="0" w:type="auto"/>
            <w:vAlign w:val="center"/>
            <w:hideMark/>
          </w:tcPr>
          <w:p w14:paraId="4D66C2BE"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Москва — Воронеж — Сталинград</w:t>
            </w:r>
          </w:p>
        </w:tc>
        <w:tc>
          <w:tcPr>
            <w:tcW w:w="0" w:type="auto"/>
            <w:vAlign w:val="center"/>
            <w:hideMark/>
          </w:tcPr>
          <w:p w14:paraId="7A49D9AC"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945</w:t>
            </w:r>
          </w:p>
        </w:tc>
      </w:tr>
      <w:tr w:rsidR="001002C3" w:rsidRPr="005E779E" w14:paraId="5F161BCF" w14:textId="77777777" w:rsidTr="001C3F77">
        <w:tc>
          <w:tcPr>
            <w:tcW w:w="0" w:type="auto"/>
            <w:vAlign w:val="center"/>
            <w:hideMark/>
          </w:tcPr>
          <w:p w14:paraId="28F14AC6"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Свердловск — Магнитогорск</w:t>
            </w:r>
          </w:p>
        </w:tc>
        <w:tc>
          <w:tcPr>
            <w:tcW w:w="0" w:type="auto"/>
            <w:vAlign w:val="center"/>
            <w:hideMark/>
          </w:tcPr>
          <w:p w14:paraId="4BCE5689"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485</w:t>
            </w:r>
          </w:p>
        </w:tc>
        <w:tc>
          <w:tcPr>
            <w:tcW w:w="0" w:type="auto"/>
            <w:vAlign w:val="center"/>
            <w:hideMark/>
          </w:tcPr>
          <w:p w14:paraId="45DA9FFC"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c>
          <w:tcPr>
            <w:tcW w:w="0" w:type="auto"/>
            <w:vAlign w:val="center"/>
            <w:hideMark/>
          </w:tcPr>
          <w:p w14:paraId="6F3854B2"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r>
      <w:tr w:rsidR="001002C3" w:rsidRPr="005E779E" w14:paraId="373D4C7D" w14:textId="77777777" w:rsidTr="001C3F77">
        <w:tc>
          <w:tcPr>
            <w:tcW w:w="0" w:type="auto"/>
            <w:vAlign w:val="center"/>
            <w:hideMark/>
          </w:tcPr>
          <w:p w14:paraId="6E35CACF"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Итого</w:t>
            </w:r>
          </w:p>
        </w:tc>
        <w:tc>
          <w:tcPr>
            <w:tcW w:w="0" w:type="auto"/>
            <w:vAlign w:val="center"/>
            <w:hideMark/>
          </w:tcPr>
          <w:p w14:paraId="20B255A5"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3970</w:t>
            </w:r>
          </w:p>
        </w:tc>
        <w:tc>
          <w:tcPr>
            <w:tcW w:w="0" w:type="auto"/>
            <w:vAlign w:val="center"/>
            <w:hideMark/>
          </w:tcPr>
          <w:p w14:paraId="748C6AE3"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w:t>
            </w:r>
          </w:p>
        </w:tc>
        <w:tc>
          <w:tcPr>
            <w:tcW w:w="0" w:type="auto"/>
            <w:vAlign w:val="center"/>
            <w:hideMark/>
          </w:tcPr>
          <w:p w14:paraId="49ED7F66"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1702</w:t>
            </w:r>
          </w:p>
        </w:tc>
      </w:tr>
      <w:tr w:rsidR="001002C3" w:rsidRPr="005E779E" w14:paraId="7899E50D" w14:textId="77777777" w:rsidTr="001C3F77">
        <w:tc>
          <w:tcPr>
            <w:tcW w:w="0" w:type="auto"/>
            <w:gridSpan w:val="4"/>
            <w:vAlign w:val="center"/>
            <w:hideMark/>
          </w:tcPr>
          <w:p w14:paraId="45AC287C"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 по Московскому Управлению — 4.827 км</w:t>
            </w:r>
          </w:p>
        </w:tc>
      </w:tr>
      <w:tr w:rsidR="001002C3" w:rsidRPr="005E779E" w14:paraId="4EE38A20" w14:textId="77777777" w:rsidTr="001C3F77">
        <w:tc>
          <w:tcPr>
            <w:tcW w:w="0" w:type="auto"/>
            <w:gridSpan w:val="4"/>
            <w:vAlign w:val="center"/>
            <w:hideMark/>
          </w:tcPr>
          <w:p w14:paraId="42F512EB"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Ленинградский узел</w:t>
            </w:r>
          </w:p>
        </w:tc>
      </w:tr>
      <w:tr w:rsidR="001002C3" w:rsidRPr="005E779E" w14:paraId="45AEB754" w14:textId="77777777" w:rsidTr="001C3F77">
        <w:tc>
          <w:tcPr>
            <w:tcW w:w="0" w:type="auto"/>
            <w:vAlign w:val="center"/>
            <w:hideMark/>
          </w:tcPr>
          <w:p w14:paraId="0A36D5C7"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существующие</w:t>
            </w:r>
          </w:p>
        </w:tc>
        <w:tc>
          <w:tcPr>
            <w:tcW w:w="0" w:type="auto"/>
            <w:vAlign w:val="center"/>
            <w:hideMark/>
          </w:tcPr>
          <w:p w14:paraId="74B3F933"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c>
          <w:tcPr>
            <w:tcW w:w="0" w:type="auto"/>
            <w:vAlign w:val="center"/>
            <w:hideMark/>
          </w:tcPr>
          <w:p w14:paraId="376C056D"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новые</w:t>
            </w:r>
          </w:p>
        </w:tc>
        <w:tc>
          <w:tcPr>
            <w:tcW w:w="0" w:type="auto"/>
            <w:vAlign w:val="center"/>
            <w:hideMark/>
          </w:tcPr>
          <w:p w14:paraId="4618EFA7"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r>
      <w:tr w:rsidR="001002C3" w:rsidRPr="005E779E" w14:paraId="1CA9D075" w14:textId="77777777" w:rsidTr="001C3F77">
        <w:tc>
          <w:tcPr>
            <w:tcW w:w="0" w:type="auto"/>
            <w:vAlign w:val="center"/>
            <w:hideMark/>
          </w:tcPr>
          <w:p w14:paraId="5ABBED4D"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c>
          <w:tcPr>
            <w:tcW w:w="0" w:type="auto"/>
            <w:vAlign w:val="center"/>
            <w:hideMark/>
          </w:tcPr>
          <w:p w14:paraId="768B905D"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c>
          <w:tcPr>
            <w:tcW w:w="0" w:type="auto"/>
            <w:vAlign w:val="center"/>
            <w:hideMark/>
          </w:tcPr>
          <w:p w14:paraId="632E477A"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Ленинград — Петрозаводск</w:t>
            </w:r>
          </w:p>
        </w:tc>
        <w:tc>
          <w:tcPr>
            <w:tcW w:w="0" w:type="auto"/>
            <w:vAlign w:val="center"/>
            <w:hideMark/>
          </w:tcPr>
          <w:p w14:paraId="017911BA"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365</w:t>
            </w:r>
          </w:p>
        </w:tc>
      </w:tr>
      <w:tr w:rsidR="001002C3" w:rsidRPr="005E779E" w14:paraId="164DAECF" w14:textId="77777777" w:rsidTr="001C3F77">
        <w:tc>
          <w:tcPr>
            <w:tcW w:w="0" w:type="auto"/>
            <w:vAlign w:val="center"/>
            <w:hideMark/>
          </w:tcPr>
          <w:p w14:paraId="39AEE1B6"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c>
          <w:tcPr>
            <w:tcW w:w="0" w:type="auto"/>
            <w:vAlign w:val="center"/>
            <w:hideMark/>
          </w:tcPr>
          <w:p w14:paraId="0515D3DB"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c>
          <w:tcPr>
            <w:tcW w:w="0" w:type="auto"/>
            <w:vAlign w:val="center"/>
            <w:hideMark/>
          </w:tcPr>
          <w:p w14:paraId="316D345A"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w:t>
            </w:r>
          </w:p>
        </w:tc>
        <w:tc>
          <w:tcPr>
            <w:tcW w:w="0" w:type="auto"/>
            <w:vAlign w:val="center"/>
            <w:hideMark/>
          </w:tcPr>
          <w:p w14:paraId="457E3896"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365</w:t>
            </w:r>
          </w:p>
        </w:tc>
      </w:tr>
      <w:tr w:rsidR="001002C3" w:rsidRPr="005E779E" w14:paraId="248A4302" w14:textId="77777777" w:rsidTr="001C3F77">
        <w:tc>
          <w:tcPr>
            <w:tcW w:w="0" w:type="auto"/>
            <w:gridSpan w:val="4"/>
            <w:vAlign w:val="center"/>
            <w:hideMark/>
          </w:tcPr>
          <w:p w14:paraId="3D37E649"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Северное управление</w:t>
            </w:r>
          </w:p>
        </w:tc>
      </w:tr>
      <w:tr w:rsidR="001002C3" w:rsidRPr="005E779E" w14:paraId="1B02D5D8" w14:textId="77777777" w:rsidTr="001C3F77">
        <w:tc>
          <w:tcPr>
            <w:tcW w:w="0" w:type="auto"/>
            <w:vAlign w:val="center"/>
            <w:hideMark/>
          </w:tcPr>
          <w:p w14:paraId="673957F3"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существующие</w:t>
            </w:r>
          </w:p>
        </w:tc>
        <w:tc>
          <w:tcPr>
            <w:tcW w:w="0" w:type="auto"/>
            <w:vAlign w:val="center"/>
            <w:hideMark/>
          </w:tcPr>
          <w:p w14:paraId="1DEFF646"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c>
          <w:tcPr>
            <w:tcW w:w="0" w:type="auto"/>
            <w:vAlign w:val="center"/>
            <w:hideMark/>
          </w:tcPr>
          <w:p w14:paraId="19C78B9C"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новые</w:t>
            </w:r>
          </w:p>
        </w:tc>
        <w:tc>
          <w:tcPr>
            <w:tcW w:w="0" w:type="auto"/>
            <w:vAlign w:val="center"/>
            <w:hideMark/>
          </w:tcPr>
          <w:p w14:paraId="1743B1A5"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r>
      <w:tr w:rsidR="001002C3" w:rsidRPr="005E779E" w14:paraId="41B6C5D2" w14:textId="77777777" w:rsidTr="001C3F77">
        <w:tc>
          <w:tcPr>
            <w:tcW w:w="0" w:type="auto"/>
            <w:vAlign w:val="center"/>
            <w:hideMark/>
          </w:tcPr>
          <w:p w14:paraId="56D27D35"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Архангельск — Сыктывкар</w:t>
            </w:r>
          </w:p>
        </w:tc>
        <w:tc>
          <w:tcPr>
            <w:tcW w:w="0" w:type="auto"/>
            <w:vAlign w:val="center"/>
            <w:hideMark/>
          </w:tcPr>
          <w:p w14:paraId="641A4DDE"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w:t>
            </w:r>
          </w:p>
        </w:tc>
        <w:tc>
          <w:tcPr>
            <w:tcW w:w="0" w:type="auto"/>
            <w:vAlign w:val="center"/>
            <w:hideMark/>
          </w:tcPr>
          <w:p w14:paraId="602A21E7"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Архангельск — Онега</w:t>
            </w:r>
          </w:p>
        </w:tc>
        <w:tc>
          <w:tcPr>
            <w:tcW w:w="0" w:type="auto"/>
            <w:vAlign w:val="center"/>
            <w:hideMark/>
          </w:tcPr>
          <w:p w14:paraId="4B63761B"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140</w:t>
            </w:r>
          </w:p>
        </w:tc>
      </w:tr>
      <w:tr w:rsidR="001002C3" w:rsidRPr="005E779E" w14:paraId="3FA691F9" w14:textId="77777777" w:rsidTr="001C3F77">
        <w:tc>
          <w:tcPr>
            <w:tcW w:w="0" w:type="auto"/>
            <w:vAlign w:val="center"/>
            <w:hideMark/>
          </w:tcPr>
          <w:p w14:paraId="1BCFE53B"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w:t>
            </w:r>
          </w:p>
        </w:tc>
        <w:tc>
          <w:tcPr>
            <w:tcW w:w="0" w:type="auto"/>
            <w:vAlign w:val="center"/>
            <w:hideMark/>
          </w:tcPr>
          <w:p w14:paraId="1199B70B"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w:t>
            </w:r>
          </w:p>
        </w:tc>
        <w:tc>
          <w:tcPr>
            <w:tcW w:w="0" w:type="auto"/>
            <w:vAlign w:val="center"/>
            <w:hideMark/>
          </w:tcPr>
          <w:p w14:paraId="510FD3B9"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w:t>
            </w:r>
          </w:p>
        </w:tc>
        <w:tc>
          <w:tcPr>
            <w:tcW w:w="0" w:type="auto"/>
            <w:vAlign w:val="center"/>
            <w:hideMark/>
          </w:tcPr>
          <w:p w14:paraId="673A38EC"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140</w:t>
            </w:r>
          </w:p>
        </w:tc>
      </w:tr>
      <w:tr w:rsidR="001002C3" w:rsidRPr="005E779E" w14:paraId="0E150ACC" w14:textId="77777777" w:rsidTr="001C3F77">
        <w:tc>
          <w:tcPr>
            <w:tcW w:w="0" w:type="auto"/>
            <w:gridSpan w:val="4"/>
            <w:vAlign w:val="center"/>
            <w:hideMark/>
          </w:tcPr>
          <w:p w14:paraId="743AC7EF"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 по Северному управлению — 1.140 км</w:t>
            </w:r>
          </w:p>
        </w:tc>
      </w:tr>
      <w:tr w:rsidR="001002C3" w:rsidRPr="005E779E" w14:paraId="73117663" w14:textId="77777777" w:rsidTr="001C3F77">
        <w:tc>
          <w:tcPr>
            <w:tcW w:w="0" w:type="auto"/>
            <w:gridSpan w:val="4"/>
            <w:vAlign w:val="center"/>
            <w:hideMark/>
          </w:tcPr>
          <w:p w14:paraId="584BE809"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Среднеазиатское управление</w:t>
            </w:r>
          </w:p>
        </w:tc>
      </w:tr>
      <w:tr w:rsidR="001002C3" w:rsidRPr="005E779E" w14:paraId="2463C0EB" w14:textId="77777777" w:rsidTr="001C3F77">
        <w:tc>
          <w:tcPr>
            <w:tcW w:w="0" w:type="auto"/>
            <w:vAlign w:val="center"/>
            <w:hideMark/>
          </w:tcPr>
          <w:p w14:paraId="7FF79AFD"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существующие</w:t>
            </w:r>
          </w:p>
        </w:tc>
        <w:tc>
          <w:tcPr>
            <w:tcW w:w="0" w:type="auto"/>
            <w:vAlign w:val="center"/>
            <w:hideMark/>
          </w:tcPr>
          <w:p w14:paraId="5901D2D2"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c>
          <w:tcPr>
            <w:tcW w:w="0" w:type="auto"/>
            <w:vAlign w:val="center"/>
            <w:hideMark/>
          </w:tcPr>
          <w:p w14:paraId="3601A652"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новые</w:t>
            </w:r>
          </w:p>
        </w:tc>
        <w:tc>
          <w:tcPr>
            <w:tcW w:w="0" w:type="auto"/>
            <w:vAlign w:val="center"/>
            <w:hideMark/>
          </w:tcPr>
          <w:p w14:paraId="78565E12"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r>
      <w:tr w:rsidR="001002C3" w:rsidRPr="005E779E" w14:paraId="07B4E02D" w14:textId="77777777" w:rsidTr="001C3F77">
        <w:tc>
          <w:tcPr>
            <w:tcW w:w="0" w:type="auto"/>
            <w:vAlign w:val="center"/>
            <w:hideMark/>
          </w:tcPr>
          <w:p w14:paraId="21ECABE6"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Оренбург — Ташкент</w:t>
            </w:r>
          </w:p>
        </w:tc>
        <w:tc>
          <w:tcPr>
            <w:tcW w:w="0" w:type="auto"/>
            <w:vAlign w:val="center"/>
            <w:hideMark/>
          </w:tcPr>
          <w:p w14:paraId="0F8B56B2"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1700</w:t>
            </w:r>
          </w:p>
        </w:tc>
        <w:tc>
          <w:tcPr>
            <w:tcW w:w="0" w:type="auto"/>
            <w:vAlign w:val="center"/>
            <w:hideMark/>
          </w:tcPr>
          <w:p w14:paraId="6F89B0B8"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c>
          <w:tcPr>
            <w:tcW w:w="0" w:type="auto"/>
            <w:vAlign w:val="center"/>
            <w:hideMark/>
          </w:tcPr>
          <w:p w14:paraId="104D7CAE"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r>
      <w:tr w:rsidR="001002C3" w:rsidRPr="005E779E" w14:paraId="16034D2E" w14:textId="77777777" w:rsidTr="001C3F77">
        <w:tc>
          <w:tcPr>
            <w:tcW w:w="0" w:type="auto"/>
            <w:vAlign w:val="center"/>
            <w:hideMark/>
          </w:tcPr>
          <w:p w14:paraId="4108E455"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Ташкент — Сталинабад</w:t>
            </w:r>
          </w:p>
        </w:tc>
        <w:tc>
          <w:tcPr>
            <w:tcW w:w="0" w:type="auto"/>
            <w:vAlign w:val="center"/>
            <w:hideMark/>
          </w:tcPr>
          <w:p w14:paraId="0D2C5D62"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963</w:t>
            </w:r>
          </w:p>
        </w:tc>
        <w:tc>
          <w:tcPr>
            <w:tcW w:w="0" w:type="auto"/>
            <w:vAlign w:val="center"/>
            <w:hideMark/>
          </w:tcPr>
          <w:p w14:paraId="7A073D88"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c>
          <w:tcPr>
            <w:tcW w:w="0" w:type="auto"/>
            <w:vAlign w:val="center"/>
            <w:hideMark/>
          </w:tcPr>
          <w:p w14:paraId="02D08ECF"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r>
      <w:tr w:rsidR="001002C3" w:rsidRPr="005E779E" w14:paraId="5F4FCB49" w14:textId="77777777" w:rsidTr="001C3F77">
        <w:tc>
          <w:tcPr>
            <w:tcW w:w="0" w:type="auto"/>
            <w:vAlign w:val="center"/>
            <w:hideMark/>
          </w:tcPr>
          <w:p w14:paraId="17B4971C"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Ташкент — Кабул</w:t>
            </w:r>
          </w:p>
        </w:tc>
        <w:tc>
          <w:tcPr>
            <w:tcW w:w="0" w:type="auto"/>
            <w:vAlign w:val="center"/>
            <w:hideMark/>
          </w:tcPr>
          <w:p w14:paraId="0615DCE6"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387</w:t>
            </w:r>
          </w:p>
        </w:tc>
        <w:tc>
          <w:tcPr>
            <w:tcW w:w="0" w:type="auto"/>
            <w:vAlign w:val="center"/>
            <w:hideMark/>
          </w:tcPr>
          <w:p w14:paraId="0FC82139"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c>
          <w:tcPr>
            <w:tcW w:w="0" w:type="auto"/>
            <w:vAlign w:val="center"/>
            <w:hideMark/>
          </w:tcPr>
          <w:p w14:paraId="0BAF4DFE"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r>
      <w:tr w:rsidR="001002C3" w:rsidRPr="005E779E" w14:paraId="10C9669B" w14:textId="77777777" w:rsidTr="001C3F77">
        <w:tc>
          <w:tcPr>
            <w:tcW w:w="0" w:type="auto"/>
            <w:vAlign w:val="center"/>
            <w:hideMark/>
          </w:tcPr>
          <w:p w14:paraId="13368A56"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Ташкент — Фрунзе</w:t>
            </w:r>
          </w:p>
        </w:tc>
        <w:tc>
          <w:tcPr>
            <w:tcW w:w="0" w:type="auto"/>
            <w:vAlign w:val="center"/>
            <w:hideMark/>
          </w:tcPr>
          <w:p w14:paraId="2E65BE6A"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540</w:t>
            </w:r>
          </w:p>
        </w:tc>
        <w:tc>
          <w:tcPr>
            <w:tcW w:w="0" w:type="auto"/>
            <w:vAlign w:val="center"/>
            <w:hideMark/>
          </w:tcPr>
          <w:p w14:paraId="1046B2B1"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c>
          <w:tcPr>
            <w:tcW w:w="0" w:type="auto"/>
            <w:vAlign w:val="center"/>
            <w:hideMark/>
          </w:tcPr>
          <w:p w14:paraId="0341DD09"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r>
      <w:tr w:rsidR="001002C3" w:rsidRPr="005E779E" w14:paraId="1FEF971B" w14:textId="77777777" w:rsidTr="001C3F77">
        <w:tc>
          <w:tcPr>
            <w:tcW w:w="0" w:type="auto"/>
            <w:vAlign w:val="center"/>
            <w:hideMark/>
          </w:tcPr>
          <w:p w14:paraId="197214F7"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Ташкент — Андижан — Ош</w:t>
            </w:r>
          </w:p>
        </w:tc>
        <w:tc>
          <w:tcPr>
            <w:tcW w:w="0" w:type="auto"/>
            <w:vAlign w:val="center"/>
            <w:hideMark/>
          </w:tcPr>
          <w:p w14:paraId="489B0B3E"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448</w:t>
            </w:r>
          </w:p>
        </w:tc>
        <w:tc>
          <w:tcPr>
            <w:tcW w:w="0" w:type="auto"/>
            <w:vAlign w:val="center"/>
            <w:hideMark/>
          </w:tcPr>
          <w:p w14:paraId="7F0B163F"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c>
          <w:tcPr>
            <w:tcW w:w="0" w:type="auto"/>
            <w:vAlign w:val="center"/>
            <w:hideMark/>
          </w:tcPr>
          <w:p w14:paraId="67616F16"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r>
      <w:tr w:rsidR="001002C3" w:rsidRPr="005E779E" w14:paraId="41F2D466" w14:textId="77777777" w:rsidTr="001C3F77">
        <w:tc>
          <w:tcPr>
            <w:tcW w:w="0" w:type="auto"/>
            <w:vAlign w:val="center"/>
            <w:hideMark/>
          </w:tcPr>
          <w:p w14:paraId="4584A0CE"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Ташкент — Чарджуй</w:t>
            </w:r>
          </w:p>
        </w:tc>
        <w:tc>
          <w:tcPr>
            <w:tcW w:w="0" w:type="auto"/>
            <w:vAlign w:val="center"/>
            <w:hideMark/>
          </w:tcPr>
          <w:p w14:paraId="0C19C8F2"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630</w:t>
            </w:r>
          </w:p>
        </w:tc>
        <w:tc>
          <w:tcPr>
            <w:tcW w:w="0" w:type="auto"/>
            <w:vAlign w:val="center"/>
            <w:hideMark/>
          </w:tcPr>
          <w:p w14:paraId="543E91AD"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c>
          <w:tcPr>
            <w:tcW w:w="0" w:type="auto"/>
            <w:vAlign w:val="center"/>
            <w:hideMark/>
          </w:tcPr>
          <w:p w14:paraId="7F6788AA"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r>
      <w:tr w:rsidR="001002C3" w:rsidRPr="005E779E" w14:paraId="31502E6C" w14:textId="77777777" w:rsidTr="001C3F77">
        <w:tc>
          <w:tcPr>
            <w:tcW w:w="0" w:type="auto"/>
            <w:vAlign w:val="center"/>
            <w:hideMark/>
          </w:tcPr>
          <w:p w14:paraId="1BCB2399"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Сталинабад — Куляб</w:t>
            </w:r>
          </w:p>
        </w:tc>
        <w:tc>
          <w:tcPr>
            <w:tcW w:w="0" w:type="auto"/>
            <w:vAlign w:val="center"/>
            <w:hideMark/>
          </w:tcPr>
          <w:p w14:paraId="5B21768D"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180</w:t>
            </w:r>
          </w:p>
        </w:tc>
        <w:tc>
          <w:tcPr>
            <w:tcW w:w="0" w:type="auto"/>
            <w:vAlign w:val="center"/>
            <w:hideMark/>
          </w:tcPr>
          <w:p w14:paraId="2DCDF47D"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c>
          <w:tcPr>
            <w:tcW w:w="0" w:type="auto"/>
            <w:vAlign w:val="center"/>
            <w:hideMark/>
          </w:tcPr>
          <w:p w14:paraId="51291D26"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r>
      <w:tr w:rsidR="001002C3" w:rsidRPr="005E779E" w14:paraId="78816F55" w14:textId="77777777" w:rsidTr="001C3F77">
        <w:tc>
          <w:tcPr>
            <w:tcW w:w="0" w:type="auto"/>
            <w:vAlign w:val="center"/>
            <w:hideMark/>
          </w:tcPr>
          <w:p w14:paraId="6C11A31F"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Сталинабад — Гарм</w:t>
            </w:r>
          </w:p>
        </w:tc>
        <w:tc>
          <w:tcPr>
            <w:tcW w:w="0" w:type="auto"/>
            <w:vAlign w:val="center"/>
            <w:hideMark/>
          </w:tcPr>
          <w:p w14:paraId="7BABDDCF"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170</w:t>
            </w:r>
          </w:p>
        </w:tc>
        <w:tc>
          <w:tcPr>
            <w:tcW w:w="0" w:type="auto"/>
            <w:vAlign w:val="center"/>
            <w:hideMark/>
          </w:tcPr>
          <w:p w14:paraId="0B6950A7"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c>
          <w:tcPr>
            <w:tcW w:w="0" w:type="auto"/>
            <w:vAlign w:val="center"/>
            <w:hideMark/>
          </w:tcPr>
          <w:p w14:paraId="6247D348"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r>
      <w:tr w:rsidR="001002C3" w:rsidRPr="005E779E" w14:paraId="457CB8E8" w14:textId="77777777" w:rsidTr="001C3F77">
        <w:tc>
          <w:tcPr>
            <w:tcW w:w="0" w:type="auto"/>
            <w:vAlign w:val="center"/>
            <w:hideMark/>
          </w:tcPr>
          <w:p w14:paraId="18990B97"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Сталинабад — Хорог</w:t>
            </w:r>
          </w:p>
        </w:tc>
        <w:tc>
          <w:tcPr>
            <w:tcW w:w="0" w:type="auto"/>
            <w:vAlign w:val="center"/>
            <w:hideMark/>
          </w:tcPr>
          <w:p w14:paraId="425E4F23"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330</w:t>
            </w:r>
          </w:p>
        </w:tc>
        <w:tc>
          <w:tcPr>
            <w:tcW w:w="0" w:type="auto"/>
            <w:vAlign w:val="center"/>
            <w:hideMark/>
          </w:tcPr>
          <w:p w14:paraId="370EBCCB"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c>
          <w:tcPr>
            <w:tcW w:w="0" w:type="auto"/>
            <w:vAlign w:val="center"/>
            <w:hideMark/>
          </w:tcPr>
          <w:p w14:paraId="4B6D91BC"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r>
      <w:tr w:rsidR="001002C3" w:rsidRPr="005E779E" w14:paraId="30EA8013" w14:textId="77777777" w:rsidTr="001C3F77">
        <w:tc>
          <w:tcPr>
            <w:tcW w:w="0" w:type="auto"/>
            <w:vAlign w:val="center"/>
            <w:hideMark/>
          </w:tcPr>
          <w:p w14:paraId="5CCE6D6D"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Чарджуй — Ташаус</w:t>
            </w:r>
          </w:p>
        </w:tc>
        <w:tc>
          <w:tcPr>
            <w:tcW w:w="0" w:type="auto"/>
            <w:vAlign w:val="center"/>
            <w:hideMark/>
          </w:tcPr>
          <w:p w14:paraId="7648E3EF"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469</w:t>
            </w:r>
          </w:p>
        </w:tc>
        <w:tc>
          <w:tcPr>
            <w:tcW w:w="0" w:type="auto"/>
            <w:vAlign w:val="center"/>
            <w:hideMark/>
          </w:tcPr>
          <w:p w14:paraId="655D32E5"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c>
          <w:tcPr>
            <w:tcW w:w="0" w:type="auto"/>
            <w:vAlign w:val="center"/>
            <w:hideMark/>
          </w:tcPr>
          <w:p w14:paraId="43766AC2"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r>
      <w:tr w:rsidR="001002C3" w:rsidRPr="005E779E" w14:paraId="622182D1" w14:textId="77777777" w:rsidTr="001C3F77">
        <w:tc>
          <w:tcPr>
            <w:tcW w:w="0" w:type="auto"/>
            <w:vAlign w:val="center"/>
            <w:hideMark/>
          </w:tcPr>
          <w:p w14:paraId="2F402C73"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Чарджуй — Турт-Куль</w:t>
            </w:r>
          </w:p>
        </w:tc>
        <w:tc>
          <w:tcPr>
            <w:tcW w:w="0" w:type="auto"/>
            <w:vAlign w:val="center"/>
            <w:hideMark/>
          </w:tcPr>
          <w:p w14:paraId="4BF5FF8F"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74</w:t>
            </w:r>
          </w:p>
        </w:tc>
        <w:tc>
          <w:tcPr>
            <w:tcW w:w="0" w:type="auto"/>
            <w:vAlign w:val="center"/>
            <w:hideMark/>
          </w:tcPr>
          <w:p w14:paraId="3759EB3D"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c>
          <w:tcPr>
            <w:tcW w:w="0" w:type="auto"/>
            <w:vAlign w:val="center"/>
            <w:hideMark/>
          </w:tcPr>
          <w:p w14:paraId="0FA25848"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r>
      <w:tr w:rsidR="001002C3" w:rsidRPr="005E779E" w14:paraId="2522D384" w14:textId="77777777" w:rsidTr="001C3F77">
        <w:tc>
          <w:tcPr>
            <w:tcW w:w="0" w:type="auto"/>
            <w:vAlign w:val="center"/>
            <w:hideMark/>
          </w:tcPr>
          <w:p w14:paraId="3AA482C3"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w:t>
            </w:r>
          </w:p>
        </w:tc>
        <w:tc>
          <w:tcPr>
            <w:tcW w:w="0" w:type="auto"/>
            <w:vAlign w:val="center"/>
            <w:hideMark/>
          </w:tcPr>
          <w:p w14:paraId="54394FD3"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5891</w:t>
            </w:r>
          </w:p>
        </w:tc>
        <w:tc>
          <w:tcPr>
            <w:tcW w:w="0" w:type="auto"/>
            <w:vAlign w:val="center"/>
            <w:hideMark/>
          </w:tcPr>
          <w:p w14:paraId="35B83B74"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c>
          <w:tcPr>
            <w:tcW w:w="0" w:type="auto"/>
            <w:vAlign w:val="center"/>
            <w:hideMark/>
          </w:tcPr>
          <w:p w14:paraId="77CD96E5"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r>
      <w:tr w:rsidR="001002C3" w:rsidRPr="005E779E" w14:paraId="17C873E8" w14:textId="77777777" w:rsidTr="001C3F77">
        <w:tc>
          <w:tcPr>
            <w:tcW w:w="0" w:type="auto"/>
            <w:gridSpan w:val="4"/>
            <w:vAlign w:val="center"/>
            <w:hideMark/>
          </w:tcPr>
          <w:p w14:paraId="44194066"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 по Среднеазиатскому управлению — 5891 км</w:t>
            </w:r>
          </w:p>
        </w:tc>
      </w:tr>
      <w:tr w:rsidR="001002C3" w:rsidRPr="005E779E" w14:paraId="7D7828DA" w14:textId="77777777" w:rsidTr="001C3F77">
        <w:tc>
          <w:tcPr>
            <w:tcW w:w="0" w:type="auto"/>
            <w:gridSpan w:val="4"/>
            <w:vAlign w:val="center"/>
            <w:hideMark/>
          </w:tcPr>
          <w:p w14:paraId="00133F83"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Казахское управление</w:t>
            </w:r>
          </w:p>
        </w:tc>
      </w:tr>
      <w:tr w:rsidR="001002C3" w:rsidRPr="005E779E" w14:paraId="2DD89FD8" w14:textId="77777777" w:rsidTr="001C3F77">
        <w:tc>
          <w:tcPr>
            <w:tcW w:w="0" w:type="auto"/>
            <w:vAlign w:val="center"/>
            <w:hideMark/>
          </w:tcPr>
          <w:p w14:paraId="05C4301B"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существующие</w:t>
            </w:r>
          </w:p>
        </w:tc>
        <w:tc>
          <w:tcPr>
            <w:tcW w:w="0" w:type="auto"/>
            <w:vAlign w:val="center"/>
            <w:hideMark/>
          </w:tcPr>
          <w:p w14:paraId="52763521"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c>
          <w:tcPr>
            <w:tcW w:w="0" w:type="auto"/>
            <w:vAlign w:val="center"/>
            <w:hideMark/>
          </w:tcPr>
          <w:p w14:paraId="1BE10B1B"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новые</w:t>
            </w:r>
          </w:p>
        </w:tc>
        <w:tc>
          <w:tcPr>
            <w:tcW w:w="0" w:type="auto"/>
            <w:vAlign w:val="center"/>
            <w:hideMark/>
          </w:tcPr>
          <w:p w14:paraId="2373D5AA"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r>
      <w:tr w:rsidR="001002C3" w:rsidRPr="005E779E" w14:paraId="35F31DB7" w14:textId="77777777" w:rsidTr="001C3F77">
        <w:tc>
          <w:tcPr>
            <w:tcW w:w="0" w:type="auto"/>
            <w:vAlign w:val="center"/>
            <w:hideMark/>
          </w:tcPr>
          <w:p w14:paraId="6A78E713"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Алма-Ата — Семипалатинск</w:t>
            </w:r>
          </w:p>
        </w:tc>
        <w:tc>
          <w:tcPr>
            <w:tcW w:w="0" w:type="auto"/>
            <w:vAlign w:val="center"/>
            <w:hideMark/>
          </w:tcPr>
          <w:p w14:paraId="3B45BA4A"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1100</w:t>
            </w:r>
          </w:p>
        </w:tc>
        <w:tc>
          <w:tcPr>
            <w:tcW w:w="0" w:type="auto"/>
            <w:vAlign w:val="center"/>
            <w:hideMark/>
          </w:tcPr>
          <w:p w14:paraId="7D08826B"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Семипалатинск — Риддер</w:t>
            </w:r>
          </w:p>
        </w:tc>
        <w:tc>
          <w:tcPr>
            <w:tcW w:w="0" w:type="auto"/>
            <w:vAlign w:val="center"/>
            <w:hideMark/>
          </w:tcPr>
          <w:p w14:paraId="4A804565"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r>
      <w:tr w:rsidR="001002C3" w:rsidRPr="005E779E" w14:paraId="1E07CFB4" w14:textId="77777777" w:rsidTr="001C3F77">
        <w:tc>
          <w:tcPr>
            <w:tcW w:w="0" w:type="auto"/>
            <w:vAlign w:val="center"/>
            <w:hideMark/>
          </w:tcPr>
          <w:p w14:paraId="4AC7D025"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Алма-Ата — Джаркент</w:t>
            </w:r>
          </w:p>
        </w:tc>
        <w:tc>
          <w:tcPr>
            <w:tcW w:w="0" w:type="auto"/>
            <w:vAlign w:val="center"/>
            <w:hideMark/>
          </w:tcPr>
          <w:p w14:paraId="6E88ED09"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w:t>
            </w:r>
          </w:p>
        </w:tc>
        <w:tc>
          <w:tcPr>
            <w:tcW w:w="0" w:type="auto"/>
            <w:vAlign w:val="center"/>
            <w:hideMark/>
          </w:tcPr>
          <w:p w14:paraId="15FA6B0F"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Караганда — Коунрад</w:t>
            </w:r>
          </w:p>
        </w:tc>
        <w:tc>
          <w:tcPr>
            <w:tcW w:w="0" w:type="auto"/>
            <w:vAlign w:val="center"/>
            <w:hideMark/>
          </w:tcPr>
          <w:p w14:paraId="42E9CA6F"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w:t>
            </w:r>
          </w:p>
        </w:tc>
      </w:tr>
      <w:tr w:rsidR="001002C3" w:rsidRPr="005E779E" w14:paraId="073F08F3" w14:textId="77777777" w:rsidTr="001C3F77">
        <w:tc>
          <w:tcPr>
            <w:tcW w:w="0" w:type="auto"/>
            <w:vAlign w:val="center"/>
            <w:hideMark/>
          </w:tcPr>
          <w:p w14:paraId="2CB7FBE4"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Фрунзе — Алма-Ата</w:t>
            </w:r>
          </w:p>
        </w:tc>
        <w:tc>
          <w:tcPr>
            <w:tcW w:w="0" w:type="auto"/>
            <w:vAlign w:val="center"/>
            <w:hideMark/>
          </w:tcPr>
          <w:p w14:paraId="294728F4"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273</w:t>
            </w:r>
          </w:p>
        </w:tc>
        <w:tc>
          <w:tcPr>
            <w:tcW w:w="0" w:type="auto"/>
            <w:vAlign w:val="center"/>
            <w:hideMark/>
          </w:tcPr>
          <w:p w14:paraId="29FAEB4A"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c>
          <w:tcPr>
            <w:tcW w:w="0" w:type="auto"/>
            <w:vAlign w:val="center"/>
            <w:hideMark/>
          </w:tcPr>
          <w:p w14:paraId="1A2136C6"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r>
      <w:tr w:rsidR="001002C3" w:rsidRPr="005E779E" w14:paraId="06FEED9F" w14:textId="77777777" w:rsidTr="001C3F77">
        <w:tc>
          <w:tcPr>
            <w:tcW w:w="0" w:type="auto"/>
            <w:vAlign w:val="center"/>
            <w:hideMark/>
          </w:tcPr>
          <w:p w14:paraId="1846FC8A"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Сергиополь — Кустанай</w:t>
            </w:r>
          </w:p>
        </w:tc>
        <w:tc>
          <w:tcPr>
            <w:tcW w:w="0" w:type="auto"/>
            <w:vAlign w:val="center"/>
            <w:hideMark/>
          </w:tcPr>
          <w:p w14:paraId="7652FEB0"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1400</w:t>
            </w:r>
          </w:p>
        </w:tc>
        <w:tc>
          <w:tcPr>
            <w:tcW w:w="0" w:type="auto"/>
            <w:vAlign w:val="center"/>
            <w:hideMark/>
          </w:tcPr>
          <w:p w14:paraId="6901ADDB"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c>
          <w:tcPr>
            <w:tcW w:w="0" w:type="auto"/>
            <w:vAlign w:val="center"/>
            <w:hideMark/>
          </w:tcPr>
          <w:p w14:paraId="00779795"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r>
      <w:tr w:rsidR="001002C3" w:rsidRPr="005E779E" w14:paraId="6A3829B0" w14:textId="77777777" w:rsidTr="001C3F77">
        <w:tc>
          <w:tcPr>
            <w:tcW w:w="0" w:type="auto"/>
            <w:vAlign w:val="center"/>
            <w:hideMark/>
          </w:tcPr>
          <w:p w14:paraId="7CEEB2F8"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Сергиополь — Бахты</w:t>
            </w:r>
          </w:p>
        </w:tc>
        <w:tc>
          <w:tcPr>
            <w:tcW w:w="0" w:type="auto"/>
            <w:vAlign w:val="center"/>
            <w:hideMark/>
          </w:tcPr>
          <w:p w14:paraId="6C54C100"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254</w:t>
            </w:r>
          </w:p>
        </w:tc>
        <w:tc>
          <w:tcPr>
            <w:tcW w:w="0" w:type="auto"/>
            <w:vAlign w:val="center"/>
            <w:hideMark/>
          </w:tcPr>
          <w:p w14:paraId="0A7D0AA0"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c>
          <w:tcPr>
            <w:tcW w:w="0" w:type="auto"/>
            <w:vAlign w:val="center"/>
            <w:hideMark/>
          </w:tcPr>
          <w:p w14:paraId="7A0D45B5"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r>
      <w:tr w:rsidR="001002C3" w:rsidRPr="005E779E" w14:paraId="115D88A3" w14:textId="77777777" w:rsidTr="001C3F77">
        <w:tc>
          <w:tcPr>
            <w:tcW w:w="0" w:type="auto"/>
            <w:vAlign w:val="center"/>
            <w:hideMark/>
          </w:tcPr>
          <w:p w14:paraId="07A42560"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w:t>
            </w:r>
          </w:p>
        </w:tc>
        <w:tc>
          <w:tcPr>
            <w:tcW w:w="0" w:type="auto"/>
            <w:vAlign w:val="center"/>
            <w:hideMark/>
          </w:tcPr>
          <w:p w14:paraId="3F3A7E96"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3324</w:t>
            </w:r>
          </w:p>
        </w:tc>
        <w:tc>
          <w:tcPr>
            <w:tcW w:w="0" w:type="auto"/>
            <w:vAlign w:val="center"/>
            <w:hideMark/>
          </w:tcPr>
          <w:p w14:paraId="42170880"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w:t>
            </w:r>
          </w:p>
        </w:tc>
        <w:tc>
          <w:tcPr>
            <w:tcW w:w="0" w:type="auto"/>
            <w:vAlign w:val="center"/>
            <w:hideMark/>
          </w:tcPr>
          <w:p w14:paraId="08ADDF56"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w:t>
            </w:r>
          </w:p>
        </w:tc>
      </w:tr>
      <w:tr w:rsidR="001002C3" w:rsidRPr="005E779E" w14:paraId="2460C746" w14:textId="77777777" w:rsidTr="001C3F77">
        <w:tc>
          <w:tcPr>
            <w:tcW w:w="0" w:type="auto"/>
            <w:gridSpan w:val="4"/>
            <w:vAlign w:val="center"/>
            <w:hideMark/>
          </w:tcPr>
          <w:p w14:paraId="4C4F9700"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 по Казахскому управлению — 3.827 км</w:t>
            </w:r>
          </w:p>
        </w:tc>
      </w:tr>
      <w:tr w:rsidR="001002C3" w:rsidRPr="005E779E" w14:paraId="625805C9" w14:textId="77777777" w:rsidTr="001C3F77">
        <w:tc>
          <w:tcPr>
            <w:tcW w:w="0" w:type="auto"/>
            <w:gridSpan w:val="4"/>
            <w:vAlign w:val="center"/>
            <w:hideMark/>
          </w:tcPr>
          <w:p w14:paraId="2FC98DF7"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Сибирское управление</w:t>
            </w:r>
          </w:p>
        </w:tc>
      </w:tr>
      <w:tr w:rsidR="001002C3" w:rsidRPr="005E779E" w14:paraId="293D8721" w14:textId="77777777" w:rsidTr="001C3F77">
        <w:tc>
          <w:tcPr>
            <w:tcW w:w="0" w:type="auto"/>
            <w:vAlign w:val="center"/>
            <w:hideMark/>
          </w:tcPr>
          <w:p w14:paraId="65E2CDAE"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существующие</w:t>
            </w:r>
          </w:p>
        </w:tc>
        <w:tc>
          <w:tcPr>
            <w:tcW w:w="0" w:type="auto"/>
            <w:vAlign w:val="center"/>
            <w:hideMark/>
          </w:tcPr>
          <w:p w14:paraId="48F967FF"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c>
          <w:tcPr>
            <w:tcW w:w="0" w:type="auto"/>
            <w:vAlign w:val="center"/>
            <w:hideMark/>
          </w:tcPr>
          <w:p w14:paraId="23178F09"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новые</w:t>
            </w:r>
          </w:p>
        </w:tc>
        <w:tc>
          <w:tcPr>
            <w:tcW w:w="0" w:type="auto"/>
            <w:vAlign w:val="center"/>
            <w:hideMark/>
          </w:tcPr>
          <w:p w14:paraId="59D7073D"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r>
      <w:tr w:rsidR="001002C3" w:rsidRPr="005E779E" w14:paraId="47F34158" w14:textId="77777777" w:rsidTr="001C3F77">
        <w:tc>
          <w:tcPr>
            <w:tcW w:w="0" w:type="auto"/>
            <w:vAlign w:val="center"/>
            <w:hideMark/>
          </w:tcPr>
          <w:p w14:paraId="3875B9E8"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Свердловск — Красноярск</w:t>
            </w:r>
          </w:p>
        </w:tc>
        <w:tc>
          <w:tcPr>
            <w:tcW w:w="0" w:type="auto"/>
            <w:vAlign w:val="center"/>
            <w:hideMark/>
          </w:tcPr>
          <w:p w14:paraId="1769C69C"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2220</w:t>
            </w:r>
          </w:p>
        </w:tc>
        <w:tc>
          <w:tcPr>
            <w:tcW w:w="0" w:type="auto"/>
            <w:vAlign w:val="center"/>
            <w:hideMark/>
          </w:tcPr>
          <w:p w14:paraId="4FF51388"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c>
          <w:tcPr>
            <w:tcW w:w="0" w:type="auto"/>
            <w:vAlign w:val="center"/>
            <w:hideMark/>
          </w:tcPr>
          <w:p w14:paraId="07FB1F7A"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r>
      <w:tr w:rsidR="001002C3" w:rsidRPr="005E779E" w14:paraId="33E7CAAF" w14:textId="77777777" w:rsidTr="001C3F77">
        <w:tc>
          <w:tcPr>
            <w:tcW w:w="0" w:type="auto"/>
            <w:vAlign w:val="center"/>
            <w:hideMark/>
          </w:tcPr>
          <w:p w14:paraId="5A1EA562"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Новосибирск — Кузнецк</w:t>
            </w:r>
          </w:p>
        </w:tc>
        <w:tc>
          <w:tcPr>
            <w:tcW w:w="0" w:type="auto"/>
            <w:vAlign w:val="center"/>
            <w:hideMark/>
          </w:tcPr>
          <w:p w14:paraId="64BB8754"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450</w:t>
            </w:r>
          </w:p>
        </w:tc>
        <w:tc>
          <w:tcPr>
            <w:tcW w:w="0" w:type="auto"/>
            <w:vAlign w:val="center"/>
            <w:hideMark/>
          </w:tcPr>
          <w:p w14:paraId="09437C7B"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c>
          <w:tcPr>
            <w:tcW w:w="0" w:type="auto"/>
            <w:vAlign w:val="center"/>
            <w:hideMark/>
          </w:tcPr>
          <w:p w14:paraId="7D0B41CA"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r>
      <w:tr w:rsidR="001002C3" w:rsidRPr="005E779E" w14:paraId="15F582B8" w14:textId="77777777" w:rsidTr="001C3F77">
        <w:tc>
          <w:tcPr>
            <w:tcW w:w="0" w:type="auto"/>
            <w:vAlign w:val="center"/>
            <w:hideMark/>
          </w:tcPr>
          <w:p w14:paraId="5E576F6B"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w:t>
            </w:r>
          </w:p>
        </w:tc>
        <w:tc>
          <w:tcPr>
            <w:tcW w:w="0" w:type="auto"/>
            <w:vAlign w:val="center"/>
            <w:hideMark/>
          </w:tcPr>
          <w:p w14:paraId="5B5A3F86"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2670</w:t>
            </w:r>
          </w:p>
        </w:tc>
        <w:tc>
          <w:tcPr>
            <w:tcW w:w="0" w:type="auto"/>
            <w:vAlign w:val="center"/>
            <w:hideMark/>
          </w:tcPr>
          <w:p w14:paraId="3043E7D9"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c>
          <w:tcPr>
            <w:tcW w:w="0" w:type="auto"/>
            <w:vAlign w:val="center"/>
            <w:hideMark/>
          </w:tcPr>
          <w:p w14:paraId="38224673"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r>
      <w:tr w:rsidR="001002C3" w:rsidRPr="005E779E" w14:paraId="7359933D" w14:textId="77777777" w:rsidTr="001C3F77">
        <w:tc>
          <w:tcPr>
            <w:tcW w:w="0" w:type="auto"/>
            <w:gridSpan w:val="4"/>
            <w:vAlign w:val="center"/>
            <w:hideMark/>
          </w:tcPr>
          <w:p w14:paraId="06A497A0"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 по Сибирскому Управлению — 2.670 км</w:t>
            </w:r>
          </w:p>
        </w:tc>
      </w:tr>
      <w:tr w:rsidR="001002C3" w:rsidRPr="005E779E" w14:paraId="18EF3C44" w14:textId="77777777" w:rsidTr="001C3F77">
        <w:tc>
          <w:tcPr>
            <w:tcW w:w="0" w:type="auto"/>
            <w:gridSpan w:val="4"/>
            <w:vAlign w:val="center"/>
            <w:hideMark/>
          </w:tcPr>
          <w:p w14:paraId="4E727B41"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Восточно-Сибирское Управление</w:t>
            </w:r>
          </w:p>
        </w:tc>
      </w:tr>
      <w:tr w:rsidR="001002C3" w:rsidRPr="005E779E" w14:paraId="0B21D320" w14:textId="77777777" w:rsidTr="001C3F77">
        <w:tc>
          <w:tcPr>
            <w:tcW w:w="0" w:type="auto"/>
            <w:vAlign w:val="center"/>
            <w:hideMark/>
          </w:tcPr>
          <w:p w14:paraId="2CE7B367"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существующие</w:t>
            </w:r>
          </w:p>
        </w:tc>
        <w:tc>
          <w:tcPr>
            <w:tcW w:w="0" w:type="auto"/>
            <w:vAlign w:val="center"/>
            <w:hideMark/>
          </w:tcPr>
          <w:p w14:paraId="4FDA40D2"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c>
          <w:tcPr>
            <w:tcW w:w="0" w:type="auto"/>
            <w:vAlign w:val="center"/>
            <w:hideMark/>
          </w:tcPr>
          <w:p w14:paraId="02F5A04B"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новые</w:t>
            </w:r>
          </w:p>
        </w:tc>
        <w:tc>
          <w:tcPr>
            <w:tcW w:w="0" w:type="auto"/>
            <w:vAlign w:val="center"/>
            <w:hideMark/>
          </w:tcPr>
          <w:p w14:paraId="24131538"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r>
      <w:tr w:rsidR="001002C3" w:rsidRPr="005E779E" w14:paraId="172249DD" w14:textId="77777777" w:rsidTr="001C3F77">
        <w:tc>
          <w:tcPr>
            <w:tcW w:w="0" w:type="auto"/>
            <w:vAlign w:val="center"/>
            <w:hideMark/>
          </w:tcPr>
          <w:p w14:paraId="2BAD2B92"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Красноярск — Иркутск</w:t>
            </w:r>
          </w:p>
        </w:tc>
        <w:tc>
          <w:tcPr>
            <w:tcW w:w="0" w:type="auto"/>
            <w:vAlign w:val="center"/>
            <w:hideMark/>
          </w:tcPr>
          <w:p w14:paraId="2D6D5BAE"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995</w:t>
            </w:r>
          </w:p>
        </w:tc>
        <w:tc>
          <w:tcPr>
            <w:tcW w:w="0" w:type="auto"/>
            <w:vAlign w:val="center"/>
            <w:hideMark/>
          </w:tcPr>
          <w:p w14:paraId="5762DB4E"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Иркутск — Рухлово</w:t>
            </w:r>
          </w:p>
        </w:tc>
        <w:tc>
          <w:tcPr>
            <w:tcW w:w="0" w:type="auto"/>
            <w:vAlign w:val="center"/>
            <w:hideMark/>
          </w:tcPr>
          <w:p w14:paraId="068428EA"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1590</w:t>
            </w:r>
          </w:p>
        </w:tc>
      </w:tr>
      <w:tr w:rsidR="001002C3" w:rsidRPr="005E779E" w14:paraId="0A94AE14" w14:textId="77777777" w:rsidTr="001C3F77">
        <w:tc>
          <w:tcPr>
            <w:tcW w:w="0" w:type="auto"/>
            <w:vAlign w:val="center"/>
            <w:hideMark/>
          </w:tcPr>
          <w:p w14:paraId="1978673F"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Иркутск — Якутск</w:t>
            </w:r>
          </w:p>
        </w:tc>
        <w:tc>
          <w:tcPr>
            <w:tcW w:w="0" w:type="auto"/>
            <w:vAlign w:val="center"/>
            <w:hideMark/>
          </w:tcPr>
          <w:p w14:paraId="3B1DAC10"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2706</w:t>
            </w:r>
          </w:p>
        </w:tc>
        <w:tc>
          <w:tcPr>
            <w:tcW w:w="0" w:type="auto"/>
            <w:vAlign w:val="center"/>
            <w:hideMark/>
          </w:tcPr>
          <w:p w14:paraId="7C5EA2EC"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c>
          <w:tcPr>
            <w:tcW w:w="0" w:type="auto"/>
            <w:vAlign w:val="center"/>
            <w:hideMark/>
          </w:tcPr>
          <w:p w14:paraId="559D3204"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r>
      <w:tr w:rsidR="001002C3" w:rsidRPr="005E779E" w14:paraId="19E9327C" w14:textId="77777777" w:rsidTr="001C3F77">
        <w:tc>
          <w:tcPr>
            <w:tcW w:w="0" w:type="auto"/>
            <w:vAlign w:val="center"/>
            <w:hideMark/>
          </w:tcPr>
          <w:p w14:paraId="04E6FAF4"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Иркутск — Бодайбо</w:t>
            </w:r>
          </w:p>
        </w:tc>
        <w:tc>
          <w:tcPr>
            <w:tcW w:w="0" w:type="auto"/>
            <w:vAlign w:val="center"/>
            <w:hideMark/>
          </w:tcPr>
          <w:p w14:paraId="2C361345"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288</w:t>
            </w:r>
          </w:p>
        </w:tc>
        <w:tc>
          <w:tcPr>
            <w:tcW w:w="0" w:type="auto"/>
            <w:vAlign w:val="center"/>
            <w:hideMark/>
          </w:tcPr>
          <w:p w14:paraId="318E137C"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c>
          <w:tcPr>
            <w:tcW w:w="0" w:type="auto"/>
            <w:vAlign w:val="center"/>
            <w:hideMark/>
          </w:tcPr>
          <w:p w14:paraId="328E5896"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r>
      <w:tr w:rsidR="001002C3" w:rsidRPr="005E779E" w14:paraId="135EC0D9" w14:textId="77777777" w:rsidTr="001C3F77">
        <w:tc>
          <w:tcPr>
            <w:tcW w:w="0" w:type="auto"/>
            <w:vAlign w:val="center"/>
            <w:hideMark/>
          </w:tcPr>
          <w:p w14:paraId="2242772C"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В. Удинск — Улан-Батор</w:t>
            </w:r>
          </w:p>
        </w:tc>
        <w:tc>
          <w:tcPr>
            <w:tcW w:w="0" w:type="auto"/>
            <w:vAlign w:val="center"/>
            <w:hideMark/>
          </w:tcPr>
          <w:p w14:paraId="6AE28855"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540</w:t>
            </w:r>
          </w:p>
        </w:tc>
        <w:tc>
          <w:tcPr>
            <w:tcW w:w="0" w:type="auto"/>
            <w:vAlign w:val="center"/>
            <w:hideMark/>
          </w:tcPr>
          <w:p w14:paraId="0F950B4F"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c>
          <w:tcPr>
            <w:tcW w:w="0" w:type="auto"/>
            <w:vAlign w:val="center"/>
            <w:hideMark/>
          </w:tcPr>
          <w:p w14:paraId="63DF94DD"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r>
      <w:tr w:rsidR="001002C3" w:rsidRPr="005E779E" w14:paraId="2D2215BD" w14:textId="77777777" w:rsidTr="001C3F77">
        <w:tc>
          <w:tcPr>
            <w:tcW w:w="0" w:type="auto"/>
            <w:vAlign w:val="center"/>
            <w:hideMark/>
          </w:tcPr>
          <w:p w14:paraId="35190126"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w:t>
            </w:r>
          </w:p>
        </w:tc>
        <w:tc>
          <w:tcPr>
            <w:tcW w:w="0" w:type="auto"/>
            <w:vAlign w:val="center"/>
            <w:hideMark/>
          </w:tcPr>
          <w:p w14:paraId="1B4DF11D"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4529</w:t>
            </w:r>
          </w:p>
        </w:tc>
        <w:tc>
          <w:tcPr>
            <w:tcW w:w="0" w:type="auto"/>
            <w:vAlign w:val="center"/>
            <w:hideMark/>
          </w:tcPr>
          <w:p w14:paraId="1827A501"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w:t>
            </w:r>
          </w:p>
        </w:tc>
        <w:tc>
          <w:tcPr>
            <w:tcW w:w="0" w:type="auto"/>
            <w:vAlign w:val="center"/>
            <w:hideMark/>
          </w:tcPr>
          <w:p w14:paraId="43F1C512"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1590</w:t>
            </w:r>
          </w:p>
        </w:tc>
      </w:tr>
      <w:tr w:rsidR="001002C3" w:rsidRPr="005E779E" w14:paraId="559F0A2F" w14:textId="77777777" w:rsidTr="001C3F77">
        <w:tc>
          <w:tcPr>
            <w:tcW w:w="0" w:type="auto"/>
            <w:gridSpan w:val="4"/>
            <w:vAlign w:val="center"/>
            <w:hideMark/>
          </w:tcPr>
          <w:p w14:paraId="0FA8B11B"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 по В.-Сибирскому Управлению — 6.119 км</w:t>
            </w:r>
          </w:p>
        </w:tc>
      </w:tr>
      <w:tr w:rsidR="001002C3" w:rsidRPr="005E779E" w14:paraId="038A8241" w14:textId="77777777" w:rsidTr="001C3F77">
        <w:tc>
          <w:tcPr>
            <w:tcW w:w="0" w:type="auto"/>
            <w:gridSpan w:val="4"/>
            <w:vAlign w:val="center"/>
            <w:hideMark/>
          </w:tcPr>
          <w:p w14:paraId="5156A1D0"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Дальне-Восточное Управление</w:t>
            </w:r>
          </w:p>
        </w:tc>
      </w:tr>
      <w:tr w:rsidR="001002C3" w:rsidRPr="005E779E" w14:paraId="02D63671" w14:textId="77777777" w:rsidTr="001C3F77">
        <w:tc>
          <w:tcPr>
            <w:tcW w:w="0" w:type="auto"/>
            <w:vAlign w:val="center"/>
            <w:hideMark/>
          </w:tcPr>
          <w:p w14:paraId="73B3BB58"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существующие</w:t>
            </w:r>
          </w:p>
        </w:tc>
        <w:tc>
          <w:tcPr>
            <w:tcW w:w="0" w:type="auto"/>
            <w:vAlign w:val="center"/>
            <w:hideMark/>
          </w:tcPr>
          <w:p w14:paraId="512726F6"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c>
          <w:tcPr>
            <w:tcW w:w="0" w:type="auto"/>
            <w:vAlign w:val="center"/>
            <w:hideMark/>
          </w:tcPr>
          <w:p w14:paraId="660E9F47"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новые</w:t>
            </w:r>
          </w:p>
        </w:tc>
        <w:tc>
          <w:tcPr>
            <w:tcW w:w="0" w:type="auto"/>
            <w:vAlign w:val="center"/>
            <w:hideMark/>
          </w:tcPr>
          <w:p w14:paraId="5A0166EB"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r>
      <w:tr w:rsidR="001002C3" w:rsidRPr="005E779E" w14:paraId="137C836E" w14:textId="77777777" w:rsidTr="001C3F77">
        <w:tc>
          <w:tcPr>
            <w:tcW w:w="0" w:type="auto"/>
            <w:vAlign w:val="center"/>
            <w:hideMark/>
          </w:tcPr>
          <w:p w14:paraId="6EF34432"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Хабаровск — Оха</w:t>
            </w:r>
          </w:p>
        </w:tc>
        <w:tc>
          <w:tcPr>
            <w:tcW w:w="0" w:type="auto"/>
            <w:vAlign w:val="center"/>
            <w:hideMark/>
          </w:tcPr>
          <w:p w14:paraId="058C2662"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1180</w:t>
            </w:r>
          </w:p>
        </w:tc>
        <w:tc>
          <w:tcPr>
            <w:tcW w:w="0" w:type="auto"/>
            <w:vAlign w:val="center"/>
            <w:hideMark/>
          </w:tcPr>
          <w:p w14:paraId="6CA93D83"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Рухлово — Владивосток</w:t>
            </w:r>
          </w:p>
        </w:tc>
        <w:tc>
          <w:tcPr>
            <w:tcW w:w="0" w:type="auto"/>
            <w:vAlign w:val="center"/>
            <w:hideMark/>
          </w:tcPr>
          <w:p w14:paraId="33A9C878"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1819</w:t>
            </w:r>
          </w:p>
        </w:tc>
      </w:tr>
      <w:tr w:rsidR="001002C3" w:rsidRPr="005E779E" w14:paraId="64208148" w14:textId="77777777" w:rsidTr="001C3F77">
        <w:tc>
          <w:tcPr>
            <w:tcW w:w="0" w:type="auto"/>
            <w:vAlign w:val="center"/>
            <w:hideMark/>
          </w:tcPr>
          <w:p w14:paraId="2ACAD2A7"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Хабаровск — Александровск</w:t>
            </w:r>
          </w:p>
        </w:tc>
        <w:tc>
          <w:tcPr>
            <w:tcW w:w="0" w:type="auto"/>
            <w:vAlign w:val="center"/>
            <w:hideMark/>
          </w:tcPr>
          <w:p w14:paraId="42001348"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280</w:t>
            </w:r>
          </w:p>
        </w:tc>
        <w:tc>
          <w:tcPr>
            <w:tcW w:w="0" w:type="auto"/>
            <w:vAlign w:val="center"/>
            <w:hideMark/>
          </w:tcPr>
          <w:p w14:paraId="17F076FE"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Николаевск — Петропавловск</w:t>
            </w:r>
          </w:p>
        </w:tc>
        <w:tc>
          <w:tcPr>
            <w:tcW w:w="0" w:type="auto"/>
            <w:vAlign w:val="center"/>
            <w:hideMark/>
          </w:tcPr>
          <w:p w14:paraId="7F11ACD6"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2971</w:t>
            </w:r>
          </w:p>
        </w:tc>
      </w:tr>
      <w:tr w:rsidR="001002C3" w:rsidRPr="005E779E" w14:paraId="25F89998" w14:textId="77777777" w:rsidTr="001C3F77">
        <w:tc>
          <w:tcPr>
            <w:tcW w:w="0" w:type="auto"/>
            <w:vAlign w:val="center"/>
            <w:hideMark/>
          </w:tcPr>
          <w:p w14:paraId="4E0C8497"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w:t>
            </w:r>
          </w:p>
        </w:tc>
        <w:tc>
          <w:tcPr>
            <w:tcW w:w="0" w:type="auto"/>
            <w:vAlign w:val="center"/>
            <w:hideMark/>
          </w:tcPr>
          <w:p w14:paraId="5147821A"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1460</w:t>
            </w:r>
          </w:p>
        </w:tc>
        <w:tc>
          <w:tcPr>
            <w:tcW w:w="0" w:type="auto"/>
            <w:vAlign w:val="center"/>
            <w:hideMark/>
          </w:tcPr>
          <w:p w14:paraId="3F56F2D7"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w:t>
            </w:r>
          </w:p>
        </w:tc>
        <w:tc>
          <w:tcPr>
            <w:tcW w:w="0" w:type="auto"/>
            <w:vAlign w:val="center"/>
            <w:hideMark/>
          </w:tcPr>
          <w:p w14:paraId="05AF0251"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4790</w:t>
            </w:r>
          </w:p>
        </w:tc>
      </w:tr>
      <w:tr w:rsidR="001002C3" w:rsidRPr="005E779E" w14:paraId="4039D890" w14:textId="77777777" w:rsidTr="001C3F77">
        <w:tc>
          <w:tcPr>
            <w:tcW w:w="0" w:type="auto"/>
            <w:gridSpan w:val="4"/>
            <w:vAlign w:val="center"/>
            <w:hideMark/>
          </w:tcPr>
          <w:p w14:paraId="4D293096"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 по Дальне-Восточному Управлению — 6.250 км</w:t>
            </w:r>
          </w:p>
        </w:tc>
      </w:tr>
      <w:tr w:rsidR="001002C3" w:rsidRPr="005E779E" w14:paraId="5BD12317" w14:textId="77777777" w:rsidTr="001C3F77">
        <w:tc>
          <w:tcPr>
            <w:tcW w:w="0" w:type="auto"/>
            <w:gridSpan w:val="4"/>
            <w:vAlign w:val="center"/>
            <w:hideMark/>
          </w:tcPr>
          <w:p w14:paraId="0635DFA3"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Украинское Управление</w:t>
            </w:r>
          </w:p>
        </w:tc>
      </w:tr>
      <w:tr w:rsidR="001002C3" w:rsidRPr="005E779E" w14:paraId="660690B3" w14:textId="77777777" w:rsidTr="001C3F77">
        <w:tc>
          <w:tcPr>
            <w:tcW w:w="0" w:type="auto"/>
            <w:vAlign w:val="center"/>
            <w:hideMark/>
          </w:tcPr>
          <w:p w14:paraId="013C1003"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существующие</w:t>
            </w:r>
          </w:p>
        </w:tc>
        <w:tc>
          <w:tcPr>
            <w:tcW w:w="0" w:type="auto"/>
            <w:vAlign w:val="center"/>
            <w:hideMark/>
          </w:tcPr>
          <w:p w14:paraId="783EF0B8"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c>
          <w:tcPr>
            <w:tcW w:w="0" w:type="auto"/>
            <w:vAlign w:val="center"/>
            <w:hideMark/>
          </w:tcPr>
          <w:p w14:paraId="21A5B470"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новые</w:t>
            </w:r>
          </w:p>
        </w:tc>
        <w:tc>
          <w:tcPr>
            <w:tcW w:w="0" w:type="auto"/>
            <w:vAlign w:val="center"/>
            <w:hideMark/>
          </w:tcPr>
          <w:p w14:paraId="6D07F9C9"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r>
      <w:tr w:rsidR="001002C3" w:rsidRPr="005E779E" w14:paraId="1344C12D" w14:textId="77777777" w:rsidTr="001C3F77">
        <w:tc>
          <w:tcPr>
            <w:tcW w:w="0" w:type="auto"/>
            <w:vAlign w:val="center"/>
            <w:hideMark/>
          </w:tcPr>
          <w:p w14:paraId="24EA0676"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Харьков — Сочи</w:t>
            </w:r>
          </w:p>
        </w:tc>
        <w:tc>
          <w:tcPr>
            <w:tcW w:w="0" w:type="auto"/>
            <w:vAlign w:val="center"/>
            <w:hideMark/>
          </w:tcPr>
          <w:p w14:paraId="410691C4"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855</w:t>
            </w:r>
          </w:p>
        </w:tc>
        <w:tc>
          <w:tcPr>
            <w:tcW w:w="0" w:type="auto"/>
            <w:vAlign w:val="center"/>
            <w:hideMark/>
          </w:tcPr>
          <w:p w14:paraId="3412EF2F"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Харьков — Одесса</w:t>
            </w:r>
          </w:p>
        </w:tc>
        <w:tc>
          <w:tcPr>
            <w:tcW w:w="0" w:type="auto"/>
            <w:vAlign w:val="center"/>
            <w:hideMark/>
          </w:tcPr>
          <w:p w14:paraId="556EB5E4"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625</w:t>
            </w:r>
          </w:p>
        </w:tc>
      </w:tr>
      <w:tr w:rsidR="001002C3" w:rsidRPr="005E779E" w14:paraId="0272D9EE" w14:textId="77777777" w:rsidTr="001C3F77">
        <w:tc>
          <w:tcPr>
            <w:tcW w:w="0" w:type="auto"/>
            <w:vAlign w:val="center"/>
            <w:hideMark/>
          </w:tcPr>
          <w:p w14:paraId="4FB38A8D"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Ростов — Минводы</w:t>
            </w:r>
          </w:p>
        </w:tc>
        <w:tc>
          <w:tcPr>
            <w:tcW w:w="0" w:type="auto"/>
            <w:vAlign w:val="center"/>
            <w:hideMark/>
          </w:tcPr>
          <w:p w14:paraId="35D72DB2"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w:t>
            </w:r>
          </w:p>
        </w:tc>
        <w:tc>
          <w:tcPr>
            <w:tcW w:w="0" w:type="auto"/>
            <w:vAlign w:val="center"/>
            <w:hideMark/>
          </w:tcPr>
          <w:p w14:paraId="1B00E3C7"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Харьков — Симферополь</w:t>
            </w:r>
          </w:p>
        </w:tc>
        <w:tc>
          <w:tcPr>
            <w:tcW w:w="0" w:type="auto"/>
            <w:vAlign w:val="center"/>
            <w:hideMark/>
          </w:tcPr>
          <w:p w14:paraId="0C2F022B"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388</w:t>
            </w:r>
          </w:p>
        </w:tc>
      </w:tr>
      <w:tr w:rsidR="001002C3" w:rsidRPr="005E779E" w14:paraId="269FEDDA" w14:textId="77777777" w:rsidTr="001C3F77">
        <w:tc>
          <w:tcPr>
            <w:tcW w:w="0" w:type="auto"/>
            <w:vAlign w:val="center"/>
            <w:hideMark/>
          </w:tcPr>
          <w:p w14:paraId="0B1F3CAE"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c>
          <w:tcPr>
            <w:tcW w:w="0" w:type="auto"/>
            <w:vAlign w:val="center"/>
            <w:hideMark/>
          </w:tcPr>
          <w:p w14:paraId="4867A20D"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c>
          <w:tcPr>
            <w:tcW w:w="0" w:type="auto"/>
            <w:vAlign w:val="center"/>
            <w:hideMark/>
          </w:tcPr>
          <w:p w14:paraId="4AC09817"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 Артемовск — Луганск — Шахты</w:t>
            </w:r>
          </w:p>
        </w:tc>
        <w:tc>
          <w:tcPr>
            <w:tcW w:w="0" w:type="auto"/>
            <w:vAlign w:val="center"/>
            <w:hideMark/>
          </w:tcPr>
          <w:p w14:paraId="599790EE"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220</w:t>
            </w:r>
          </w:p>
        </w:tc>
      </w:tr>
      <w:tr w:rsidR="001002C3" w:rsidRPr="005E779E" w14:paraId="48CC0B55" w14:textId="77777777" w:rsidTr="001C3F77">
        <w:tc>
          <w:tcPr>
            <w:tcW w:w="0" w:type="auto"/>
            <w:vAlign w:val="center"/>
            <w:hideMark/>
          </w:tcPr>
          <w:p w14:paraId="6074938B"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c>
          <w:tcPr>
            <w:tcW w:w="0" w:type="auto"/>
            <w:vAlign w:val="center"/>
            <w:hideMark/>
          </w:tcPr>
          <w:p w14:paraId="734D230B"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c>
          <w:tcPr>
            <w:tcW w:w="0" w:type="auto"/>
            <w:vAlign w:val="center"/>
            <w:hideMark/>
          </w:tcPr>
          <w:p w14:paraId="71465E3F"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Харьков — Сталино — Мариуполь — Бердянск</w:t>
            </w:r>
          </w:p>
        </w:tc>
        <w:tc>
          <w:tcPr>
            <w:tcW w:w="0" w:type="auto"/>
            <w:vAlign w:val="center"/>
            <w:hideMark/>
          </w:tcPr>
          <w:p w14:paraId="339A7D77"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550</w:t>
            </w:r>
          </w:p>
        </w:tc>
      </w:tr>
      <w:tr w:rsidR="001002C3" w:rsidRPr="005E779E" w14:paraId="7E4F0792" w14:textId="77777777" w:rsidTr="001C3F77">
        <w:tc>
          <w:tcPr>
            <w:tcW w:w="0" w:type="auto"/>
            <w:vAlign w:val="center"/>
            <w:hideMark/>
          </w:tcPr>
          <w:p w14:paraId="56DB9232"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w:t>
            </w:r>
          </w:p>
        </w:tc>
        <w:tc>
          <w:tcPr>
            <w:tcW w:w="0" w:type="auto"/>
            <w:vAlign w:val="center"/>
            <w:hideMark/>
          </w:tcPr>
          <w:p w14:paraId="40846B98"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1355</w:t>
            </w:r>
          </w:p>
        </w:tc>
        <w:tc>
          <w:tcPr>
            <w:tcW w:w="0" w:type="auto"/>
            <w:vAlign w:val="center"/>
            <w:hideMark/>
          </w:tcPr>
          <w:p w14:paraId="3320817C"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w:t>
            </w:r>
          </w:p>
        </w:tc>
        <w:tc>
          <w:tcPr>
            <w:tcW w:w="0" w:type="auto"/>
            <w:vAlign w:val="center"/>
            <w:hideMark/>
          </w:tcPr>
          <w:p w14:paraId="01142EAB"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1783</w:t>
            </w:r>
          </w:p>
        </w:tc>
      </w:tr>
      <w:tr w:rsidR="001002C3" w:rsidRPr="005E779E" w14:paraId="60B2EB91" w14:textId="77777777" w:rsidTr="001C3F77">
        <w:tc>
          <w:tcPr>
            <w:tcW w:w="0" w:type="auto"/>
            <w:gridSpan w:val="4"/>
            <w:vAlign w:val="center"/>
            <w:hideMark/>
          </w:tcPr>
          <w:p w14:paraId="38E267BF"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 по Украинскому Управлению — 3.188 км</w:t>
            </w:r>
          </w:p>
        </w:tc>
      </w:tr>
      <w:tr w:rsidR="001002C3" w:rsidRPr="005E779E" w14:paraId="750319B2" w14:textId="77777777" w:rsidTr="001C3F77">
        <w:tc>
          <w:tcPr>
            <w:tcW w:w="0" w:type="auto"/>
            <w:gridSpan w:val="4"/>
            <w:vAlign w:val="center"/>
            <w:hideMark/>
          </w:tcPr>
          <w:p w14:paraId="4B040A11"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Закавказское Управление</w:t>
            </w:r>
          </w:p>
        </w:tc>
      </w:tr>
      <w:tr w:rsidR="001002C3" w:rsidRPr="005E779E" w14:paraId="26A39F09" w14:textId="77777777" w:rsidTr="001C3F77">
        <w:tc>
          <w:tcPr>
            <w:tcW w:w="0" w:type="auto"/>
            <w:vAlign w:val="center"/>
            <w:hideMark/>
          </w:tcPr>
          <w:p w14:paraId="12FDB49B"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существующие</w:t>
            </w:r>
          </w:p>
        </w:tc>
        <w:tc>
          <w:tcPr>
            <w:tcW w:w="0" w:type="auto"/>
            <w:vAlign w:val="center"/>
            <w:hideMark/>
          </w:tcPr>
          <w:p w14:paraId="2A066A5D"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c>
          <w:tcPr>
            <w:tcW w:w="0" w:type="auto"/>
            <w:vAlign w:val="center"/>
            <w:hideMark/>
          </w:tcPr>
          <w:p w14:paraId="532B3346"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новые</w:t>
            </w:r>
          </w:p>
        </w:tc>
        <w:tc>
          <w:tcPr>
            <w:tcW w:w="0" w:type="auto"/>
            <w:vAlign w:val="center"/>
            <w:hideMark/>
          </w:tcPr>
          <w:p w14:paraId="3B5AD4D4"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r>
      <w:tr w:rsidR="001002C3" w:rsidRPr="005E779E" w14:paraId="0A7A0D4F" w14:textId="77777777" w:rsidTr="001C3F77">
        <w:tc>
          <w:tcPr>
            <w:tcW w:w="0" w:type="auto"/>
            <w:vAlign w:val="center"/>
            <w:hideMark/>
          </w:tcPr>
          <w:p w14:paraId="6E18E3D3"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Минводы — Баку</w:t>
            </w:r>
          </w:p>
        </w:tc>
        <w:tc>
          <w:tcPr>
            <w:tcW w:w="0" w:type="auto"/>
            <w:vAlign w:val="center"/>
            <w:hideMark/>
          </w:tcPr>
          <w:p w14:paraId="4BE90166"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900</w:t>
            </w:r>
          </w:p>
        </w:tc>
        <w:tc>
          <w:tcPr>
            <w:tcW w:w="0" w:type="auto"/>
            <w:vAlign w:val="center"/>
            <w:hideMark/>
          </w:tcPr>
          <w:p w14:paraId="44E787B0"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c>
          <w:tcPr>
            <w:tcW w:w="0" w:type="auto"/>
            <w:vAlign w:val="center"/>
            <w:hideMark/>
          </w:tcPr>
          <w:p w14:paraId="014D386B"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r>
      <w:tr w:rsidR="001002C3" w:rsidRPr="005E779E" w14:paraId="4985AD51" w14:textId="77777777" w:rsidTr="001C3F77">
        <w:tc>
          <w:tcPr>
            <w:tcW w:w="0" w:type="auto"/>
            <w:vAlign w:val="center"/>
            <w:hideMark/>
          </w:tcPr>
          <w:p w14:paraId="075D382A"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Баку — Тифлис</w:t>
            </w:r>
          </w:p>
        </w:tc>
        <w:tc>
          <w:tcPr>
            <w:tcW w:w="0" w:type="auto"/>
            <w:vAlign w:val="center"/>
            <w:hideMark/>
          </w:tcPr>
          <w:p w14:paraId="1E406589"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525</w:t>
            </w:r>
          </w:p>
        </w:tc>
        <w:tc>
          <w:tcPr>
            <w:tcW w:w="0" w:type="auto"/>
            <w:vAlign w:val="center"/>
            <w:hideMark/>
          </w:tcPr>
          <w:p w14:paraId="2783F26E"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c>
          <w:tcPr>
            <w:tcW w:w="0" w:type="auto"/>
            <w:vAlign w:val="center"/>
            <w:hideMark/>
          </w:tcPr>
          <w:p w14:paraId="0BF823E5"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r>
      <w:tr w:rsidR="001002C3" w:rsidRPr="005E779E" w14:paraId="365D61D5" w14:textId="77777777" w:rsidTr="001C3F77">
        <w:tc>
          <w:tcPr>
            <w:tcW w:w="0" w:type="auto"/>
            <w:vAlign w:val="center"/>
            <w:hideMark/>
          </w:tcPr>
          <w:p w14:paraId="2856E990"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Баку — Пехлеви</w:t>
            </w:r>
          </w:p>
        </w:tc>
        <w:tc>
          <w:tcPr>
            <w:tcW w:w="0" w:type="auto"/>
            <w:vAlign w:val="center"/>
            <w:hideMark/>
          </w:tcPr>
          <w:p w14:paraId="294AEF1D"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390</w:t>
            </w:r>
          </w:p>
        </w:tc>
        <w:tc>
          <w:tcPr>
            <w:tcW w:w="0" w:type="auto"/>
            <w:vAlign w:val="center"/>
            <w:hideMark/>
          </w:tcPr>
          <w:p w14:paraId="3AC3EF0C"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c>
          <w:tcPr>
            <w:tcW w:w="0" w:type="auto"/>
            <w:vAlign w:val="center"/>
            <w:hideMark/>
          </w:tcPr>
          <w:p w14:paraId="09B66C17"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r>
      <w:tr w:rsidR="001002C3" w:rsidRPr="005E779E" w14:paraId="596DF345" w14:textId="77777777" w:rsidTr="001C3F77">
        <w:tc>
          <w:tcPr>
            <w:tcW w:w="0" w:type="auto"/>
            <w:vAlign w:val="center"/>
            <w:hideMark/>
          </w:tcPr>
          <w:p w14:paraId="377EFA0D"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Сочи — Сухум — Тифлис</w:t>
            </w:r>
          </w:p>
        </w:tc>
        <w:tc>
          <w:tcPr>
            <w:tcW w:w="0" w:type="auto"/>
            <w:vAlign w:val="center"/>
            <w:hideMark/>
          </w:tcPr>
          <w:p w14:paraId="1D4B9E1D"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470</w:t>
            </w:r>
          </w:p>
        </w:tc>
        <w:tc>
          <w:tcPr>
            <w:tcW w:w="0" w:type="auto"/>
            <w:vAlign w:val="center"/>
            <w:hideMark/>
          </w:tcPr>
          <w:p w14:paraId="78FD8CC2"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c>
          <w:tcPr>
            <w:tcW w:w="0" w:type="auto"/>
            <w:vAlign w:val="center"/>
            <w:hideMark/>
          </w:tcPr>
          <w:p w14:paraId="320DE098"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r>
      <w:tr w:rsidR="001002C3" w:rsidRPr="005E779E" w14:paraId="6EABDD1B" w14:textId="77777777" w:rsidTr="001C3F77">
        <w:tc>
          <w:tcPr>
            <w:tcW w:w="0" w:type="auto"/>
            <w:vAlign w:val="center"/>
            <w:hideMark/>
          </w:tcPr>
          <w:p w14:paraId="6A1A85EA"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w:t>
            </w:r>
          </w:p>
        </w:tc>
        <w:tc>
          <w:tcPr>
            <w:tcW w:w="0" w:type="auto"/>
            <w:vAlign w:val="center"/>
            <w:hideMark/>
          </w:tcPr>
          <w:p w14:paraId="169058C6"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2285</w:t>
            </w:r>
          </w:p>
        </w:tc>
        <w:tc>
          <w:tcPr>
            <w:tcW w:w="0" w:type="auto"/>
            <w:vAlign w:val="center"/>
            <w:hideMark/>
          </w:tcPr>
          <w:p w14:paraId="3AAA5396"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c>
          <w:tcPr>
            <w:tcW w:w="0" w:type="auto"/>
            <w:vAlign w:val="center"/>
            <w:hideMark/>
          </w:tcPr>
          <w:p w14:paraId="3355690D"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r>
      <w:tr w:rsidR="001002C3" w:rsidRPr="005E779E" w14:paraId="1D859ADD" w14:textId="77777777" w:rsidTr="001C3F77">
        <w:tc>
          <w:tcPr>
            <w:tcW w:w="0" w:type="auto"/>
            <w:gridSpan w:val="4"/>
            <w:vAlign w:val="center"/>
            <w:hideMark/>
          </w:tcPr>
          <w:p w14:paraId="524E364A"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 по Закавказскому Управлению — 2.285 км</w:t>
            </w:r>
          </w:p>
        </w:tc>
      </w:tr>
      <w:tr w:rsidR="001002C3" w:rsidRPr="005E779E" w14:paraId="7FA63369" w14:textId="77777777" w:rsidTr="001C3F77">
        <w:tc>
          <w:tcPr>
            <w:tcW w:w="0" w:type="auto"/>
            <w:gridSpan w:val="4"/>
            <w:vAlign w:val="center"/>
            <w:hideMark/>
          </w:tcPr>
          <w:p w14:paraId="2992CBEE"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В.О.Г.В.Ф.</w:t>
            </w:r>
          </w:p>
        </w:tc>
      </w:tr>
      <w:tr w:rsidR="001002C3" w:rsidRPr="005E779E" w14:paraId="00F40789" w14:textId="77777777" w:rsidTr="001C3F77">
        <w:tc>
          <w:tcPr>
            <w:tcW w:w="0" w:type="auto"/>
            <w:vAlign w:val="center"/>
            <w:hideMark/>
          </w:tcPr>
          <w:p w14:paraId="260F4E10"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существующие</w:t>
            </w:r>
          </w:p>
        </w:tc>
        <w:tc>
          <w:tcPr>
            <w:tcW w:w="0" w:type="auto"/>
            <w:vAlign w:val="center"/>
            <w:hideMark/>
          </w:tcPr>
          <w:p w14:paraId="34328CA9"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26.487</w:t>
            </w:r>
          </w:p>
        </w:tc>
        <w:tc>
          <w:tcPr>
            <w:tcW w:w="0" w:type="auto"/>
            <w:vAlign w:val="center"/>
            <w:hideMark/>
          </w:tcPr>
          <w:p w14:paraId="124B08DD"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новые</w:t>
            </w:r>
          </w:p>
        </w:tc>
        <w:tc>
          <w:tcPr>
            <w:tcW w:w="0" w:type="auto"/>
            <w:vAlign w:val="center"/>
            <w:hideMark/>
          </w:tcPr>
          <w:p w14:paraId="639FB51D"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10.970</w:t>
            </w:r>
          </w:p>
        </w:tc>
      </w:tr>
      <w:tr w:rsidR="001002C3" w:rsidRPr="005E779E" w14:paraId="04A9C7D8" w14:textId="77777777" w:rsidTr="001C3F77">
        <w:tc>
          <w:tcPr>
            <w:tcW w:w="0" w:type="auto"/>
            <w:gridSpan w:val="4"/>
            <w:vAlign w:val="center"/>
            <w:hideMark/>
          </w:tcPr>
          <w:p w14:paraId="2CD1B8C2"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 37.457 км</w:t>
            </w:r>
          </w:p>
        </w:tc>
      </w:tr>
    </w:tbl>
    <w:p w14:paraId="00644E86"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Кроме того, совершить в течение 1931 г. не менее 4 рейсов по линии Петропавловск-на-Камчатке — Уэллен и завести туда бензин и прочие материалы, необходимые для организации регулярного сообщения в 1932 г.</w:t>
      </w:r>
    </w:p>
    <w:p w14:paraId="23252A7C"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Приложение № 1-а.</w:t>
      </w:r>
    </w:p>
    <w:p w14:paraId="63DB90EE"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Список линий, строящихся при условии получения местных средств.</w:t>
      </w:r>
    </w:p>
    <w:tbl>
      <w:tblPr>
        <w:tblW w:w="5000" w:type="pct"/>
        <w:tblBorders>
          <w:top w:val="outset" w:sz="6" w:space="0" w:color="auto"/>
          <w:left w:val="outset" w:sz="6" w:space="0" w:color="auto"/>
          <w:bottom w:val="outset" w:sz="6" w:space="0" w:color="auto"/>
          <w:right w:val="outset" w:sz="6" w:space="0" w:color="auto"/>
        </w:tblBorders>
        <w:shd w:val="clear" w:color="auto" w:fill="F2EEE1"/>
        <w:tblCellMar>
          <w:left w:w="0" w:type="dxa"/>
          <w:right w:w="0" w:type="dxa"/>
        </w:tblCellMar>
        <w:tblLook w:val="04A0" w:firstRow="1" w:lastRow="0" w:firstColumn="1" w:lastColumn="0" w:noHBand="0" w:noVBand="1"/>
      </w:tblPr>
      <w:tblGrid>
        <w:gridCol w:w="1036"/>
        <w:gridCol w:w="8842"/>
        <w:gridCol w:w="1444"/>
      </w:tblGrid>
      <w:tr w:rsidR="001002C3" w:rsidRPr="005E779E" w14:paraId="78192616"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7953DBAD"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211F82DF"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п/п</w:t>
            </w:r>
          </w:p>
        </w:tc>
        <w:tc>
          <w:tcPr>
            <w:tcW w:w="0" w:type="auto"/>
            <w:tcBorders>
              <w:top w:val="outset" w:sz="6" w:space="0" w:color="auto"/>
              <w:left w:val="outset" w:sz="6" w:space="0" w:color="auto"/>
              <w:bottom w:val="outset" w:sz="6" w:space="0" w:color="auto"/>
              <w:right w:val="outset" w:sz="6" w:space="0" w:color="auto"/>
            </w:tcBorders>
            <w:vAlign w:val="center"/>
            <w:hideMark/>
          </w:tcPr>
          <w:p w14:paraId="50EC64C6"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линий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7E2EFE0"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Длина</w:t>
            </w:r>
          </w:p>
        </w:tc>
      </w:tr>
      <w:tr w:rsidR="001002C3" w:rsidRPr="005E779E" w14:paraId="090C35A8"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77D6FF4B"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E0CD044"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Якутск — Рухлово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C9E8976"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1.200</w:t>
            </w:r>
          </w:p>
        </w:tc>
      </w:tr>
      <w:tr w:rsidR="001002C3" w:rsidRPr="005E779E" w14:paraId="30158505"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347333F1"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29C6A16"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 Новгород — Йошкар-Ола — Ижевск</w:t>
            </w:r>
          </w:p>
        </w:tc>
        <w:tc>
          <w:tcPr>
            <w:tcW w:w="0" w:type="auto"/>
            <w:tcBorders>
              <w:top w:val="outset" w:sz="6" w:space="0" w:color="auto"/>
              <w:left w:val="outset" w:sz="6" w:space="0" w:color="auto"/>
              <w:bottom w:val="outset" w:sz="6" w:space="0" w:color="auto"/>
              <w:right w:val="outset" w:sz="6" w:space="0" w:color="auto"/>
            </w:tcBorders>
            <w:vAlign w:val="center"/>
            <w:hideMark/>
          </w:tcPr>
          <w:p w14:paraId="059E970D"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555</w:t>
            </w:r>
          </w:p>
        </w:tc>
      </w:tr>
      <w:tr w:rsidR="001002C3" w:rsidRPr="005E779E" w14:paraId="62C93627"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449CEC9B"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532DBD57"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Сталинабад —-Ура-Тюбе — Ташкент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CC593F1"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320</w:t>
            </w:r>
          </w:p>
        </w:tc>
      </w:tr>
      <w:tr w:rsidR="001002C3" w:rsidRPr="005E779E" w14:paraId="42D0D530"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5C2F5972"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F875E1B"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Армавир — Элиста — Астрахань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731F6AB"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580</w:t>
            </w:r>
          </w:p>
        </w:tc>
      </w:tr>
      <w:tr w:rsidR="001002C3" w:rsidRPr="005E779E" w14:paraId="483977F5"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608F6ED3"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799B6D11"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Ашхабад — Серный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5AB40BE7"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250</w:t>
            </w:r>
          </w:p>
        </w:tc>
      </w:tr>
      <w:tr w:rsidR="001002C3" w:rsidRPr="005E779E" w14:paraId="0953C6FD"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5FBBC014"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40C4A372"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Москва — Ленинград</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F20A2"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644</w:t>
            </w:r>
          </w:p>
        </w:tc>
      </w:tr>
      <w:tr w:rsidR="001002C3" w:rsidRPr="005E779E" w14:paraId="23A56112"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6E058D1B"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60343A9"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647982B"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3.549</w:t>
            </w:r>
          </w:p>
        </w:tc>
      </w:tr>
    </w:tbl>
    <w:p w14:paraId="1A89B2E7"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Приложение № 2</w:t>
      </w:r>
    </w:p>
    <w:p w14:paraId="2FA106B6"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План снабжения гражданского воздушного флота самолетами и моторами советского производства (ВАО) в 1931 г.</w:t>
      </w:r>
    </w:p>
    <w:tbl>
      <w:tblPr>
        <w:tblW w:w="5000" w:type="pct"/>
        <w:tblBorders>
          <w:top w:val="outset" w:sz="6" w:space="0" w:color="auto"/>
          <w:left w:val="outset" w:sz="6" w:space="0" w:color="auto"/>
          <w:bottom w:val="outset" w:sz="6" w:space="0" w:color="auto"/>
          <w:right w:val="outset" w:sz="6" w:space="0" w:color="auto"/>
        </w:tblBorders>
        <w:shd w:val="clear" w:color="auto" w:fill="F2EEE1"/>
        <w:tblCellMar>
          <w:left w:w="0" w:type="dxa"/>
          <w:right w:w="0" w:type="dxa"/>
        </w:tblCellMar>
        <w:tblLook w:val="04A0" w:firstRow="1" w:lastRow="0" w:firstColumn="1" w:lastColumn="0" w:noHBand="0" w:noVBand="1"/>
      </w:tblPr>
      <w:tblGrid>
        <w:gridCol w:w="3171"/>
        <w:gridCol w:w="1408"/>
        <w:gridCol w:w="1926"/>
        <w:gridCol w:w="1441"/>
        <w:gridCol w:w="994"/>
        <w:gridCol w:w="794"/>
        <w:gridCol w:w="794"/>
        <w:gridCol w:w="794"/>
      </w:tblGrid>
      <w:tr w:rsidR="001002C3" w:rsidRPr="005E779E" w14:paraId="3CE742D2" w14:textId="77777777" w:rsidTr="001C3F77">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F8B2FD6"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9B6F5AB"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Оста</w:t>
            </w:r>
            <w:r w:rsidRPr="005E779E">
              <w:rPr>
                <w:rFonts w:ascii="Times New Roman" w:hAnsi="Times New Roman"/>
                <w:color w:val="000000" w:themeColor="text1"/>
                <w:sz w:val="16"/>
                <w:szCs w:val="16"/>
              </w:rPr>
              <w:softHyphen/>
              <w:t>ток</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AFB5B30"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w:t>
            </w:r>
            <w:r w:rsidRPr="005E779E">
              <w:rPr>
                <w:rFonts w:ascii="Times New Roman" w:hAnsi="Times New Roman"/>
                <w:color w:val="000000" w:themeColor="text1"/>
                <w:sz w:val="16"/>
                <w:szCs w:val="16"/>
              </w:rPr>
              <w:softHyphen/>
              <w:t>грамма</w:t>
            </w:r>
          </w:p>
          <w:p w14:paraId="47E637E0"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 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5FA5487"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 за</w:t>
            </w:r>
          </w:p>
          <w:p w14:paraId="4F89BC2C"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 г.</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7204CADC"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Сдача по кварталам</w:t>
            </w:r>
          </w:p>
        </w:tc>
      </w:tr>
      <w:tr w:rsidR="001002C3" w:rsidRPr="005E779E" w14:paraId="4FF2EE73" w14:textId="77777777" w:rsidTr="001C3F77">
        <w:tc>
          <w:tcPr>
            <w:tcW w:w="0" w:type="auto"/>
            <w:vMerge/>
            <w:tcBorders>
              <w:top w:val="outset" w:sz="6" w:space="0" w:color="auto"/>
              <w:left w:val="outset" w:sz="6" w:space="0" w:color="auto"/>
              <w:bottom w:val="outset" w:sz="6" w:space="0" w:color="auto"/>
              <w:right w:val="outset" w:sz="6" w:space="0" w:color="auto"/>
            </w:tcBorders>
            <w:vAlign w:val="center"/>
            <w:hideMark/>
          </w:tcPr>
          <w:p w14:paraId="0EFB5785" w14:textId="77777777" w:rsidR="00C4563B" w:rsidRPr="005E779E" w:rsidRDefault="00C4563B" w:rsidP="000B7A6C">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B594C00" w14:textId="77777777" w:rsidR="00C4563B" w:rsidRPr="005E779E" w:rsidRDefault="00C4563B" w:rsidP="000B7A6C">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BC58F2B" w14:textId="77777777" w:rsidR="00C4563B" w:rsidRPr="005E779E" w:rsidRDefault="00C4563B" w:rsidP="000B7A6C">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5121F11" w14:textId="77777777" w:rsidR="00C4563B" w:rsidRPr="005E779E" w:rsidRDefault="00C4563B" w:rsidP="000B7A6C">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3E9CBB"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I</w:t>
            </w:r>
          </w:p>
        </w:tc>
        <w:tc>
          <w:tcPr>
            <w:tcW w:w="0" w:type="auto"/>
            <w:tcBorders>
              <w:top w:val="outset" w:sz="6" w:space="0" w:color="auto"/>
              <w:left w:val="outset" w:sz="6" w:space="0" w:color="auto"/>
              <w:bottom w:val="outset" w:sz="6" w:space="0" w:color="auto"/>
              <w:right w:val="outset" w:sz="6" w:space="0" w:color="auto"/>
            </w:tcBorders>
            <w:vAlign w:val="center"/>
            <w:hideMark/>
          </w:tcPr>
          <w:p w14:paraId="640F6555"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II</w:t>
            </w:r>
          </w:p>
        </w:tc>
        <w:tc>
          <w:tcPr>
            <w:tcW w:w="0" w:type="auto"/>
            <w:tcBorders>
              <w:top w:val="outset" w:sz="6" w:space="0" w:color="auto"/>
              <w:left w:val="outset" w:sz="6" w:space="0" w:color="auto"/>
              <w:bottom w:val="outset" w:sz="6" w:space="0" w:color="auto"/>
              <w:right w:val="outset" w:sz="6" w:space="0" w:color="auto"/>
            </w:tcBorders>
            <w:vAlign w:val="center"/>
            <w:hideMark/>
          </w:tcPr>
          <w:p w14:paraId="3DAF5EF2"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III</w:t>
            </w:r>
          </w:p>
        </w:tc>
        <w:tc>
          <w:tcPr>
            <w:tcW w:w="0" w:type="auto"/>
            <w:tcBorders>
              <w:top w:val="outset" w:sz="6" w:space="0" w:color="auto"/>
              <w:left w:val="outset" w:sz="6" w:space="0" w:color="auto"/>
              <w:bottom w:val="outset" w:sz="6" w:space="0" w:color="auto"/>
              <w:right w:val="outset" w:sz="6" w:space="0" w:color="auto"/>
            </w:tcBorders>
            <w:vAlign w:val="center"/>
            <w:hideMark/>
          </w:tcPr>
          <w:p w14:paraId="0BDA476E"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IV</w:t>
            </w:r>
          </w:p>
        </w:tc>
      </w:tr>
      <w:tr w:rsidR="001002C3" w:rsidRPr="005E779E" w14:paraId="4C28E39D"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35B2810D"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Самолеты:</w:t>
            </w:r>
          </w:p>
          <w:p w14:paraId="1C0DB04F"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АНТ9 –М</w:t>
            </w:r>
            <w:r w:rsidRPr="005E779E">
              <w:rPr>
                <w:rFonts w:ascii="Times New Roman" w:hAnsi="Times New Roman"/>
                <w:color w:val="000000" w:themeColor="text1"/>
                <w:sz w:val="16"/>
                <w:szCs w:val="16"/>
              </w:rPr>
              <w:noBreakHyphen/>
              <w:t>26</w:t>
            </w:r>
          </w:p>
          <w:p w14:paraId="54317F58"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w:t>
            </w:r>
            <w:r w:rsidRPr="005E779E">
              <w:rPr>
                <w:rFonts w:ascii="Times New Roman" w:hAnsi="Times New Roman"/>
                <w:color w:val="000000" w:themeColor="text1"/>
                <w:sz w:val="16"/>
                <w:szCs w:val="16"/>
              </w:rPr>
              <w:noBreakHyphen/>
              <w:t>5</w:t>
            </w:r>
            <w:r w:rsidRPr="005E779E">
              <w:rPr>
                <w:rFonts w:ascii="Times New Roman" w:hAnsi="Times New Roman"/>
                <w:color w:val="000000" w:themeColor="text1"/>
                <w:sz w:val="16"/>
                <w:szCs w:val="16"/>
              </w:rPr>
              <w:noBreakHyphen/>
              <w:t>М</w:t>
            </w:r>
            <w:r w:rsidRPr="005E779E">
              <w:rPr>
                <w:rFonts w:ascii="Times New Roman" w:hAnsi="Times New Roman"/>
                <w:color w:val="000000" w:themeColor="text1"/>
                <w:sz w:val="16"/>
                <w:szCs w:val="16"/>
              </w:rPr>
              <w:noBreakHyphen/>
              <w:t>15</w:t>
            </w:r>
          </w:p>
          <w:p w14:paraId="09EF391A"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АП</w:t>
            </w:r>
            <w:r w:rsidRPr="005E779E">
              <w:rPr>
                <w:rFonts w:ascii="Times New Roman" w:hAnsi="Times New Roman"/>
                <w:color w:val="000000" w:themeColor="text1"/>
                <w:sz w:val="16"/>
                <w:szCs w:val="16"/>
              </w:rPr>
              <w:noBreakHyphen/>
              <w:t>М</w:t>
            </w:r>
            <w:r w:rsidRPr="005E779E">
              <w:rPr>
                <w:rFonts w:ascii="Times New Roman" w:hAnsi="Times New Roman"/>
                <w:color w:val="000000" w:themeColor="text1"/>
                <w:sz w:val="16"/>
                <w:szCs w:val="16"/>
              </w:rPr>
              <w:noBreakHyphen/>
              <w:t>11</w:t>
            </w:r>
          </w:p>
          <w:p w14:paraId="396E3DAA"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w:t>
            </w:r>
            <w:r w:rsidRPr="005E779E">
              <w:rPr>
                <w:rFonts w:ascii="Times New Roman" w:hAnsi="Times New Roman"/>
                <w:color w:val="000000" w:themeColor="text1"/>
                <w:sz w:val="16"/>
                <w:szCs w:val="16"/>
              </w:rPr>
              <w:noBreakHyphen/>
              <w:t>1</w:t>
            </w:r>
            <w:r w:rsidRPr="005E779E">
              <w:rPr>
                <w:rFonts w:ascii="Times New Roman" w:hAnsi="Times New Roman"/>
                <w:color w:val="000000" w:themeColor="text1"/>
                <w:sz w:val="16"/>
                <w:szCs w:val="16"/>
              </w:rPr>
              <w:noBreakHyphen/>
              <w:t xml:space="preserve"> М</w:t>
            </w:r>
            <w:r w:rsidRPr="005E779E">
              <w:rPr>
                <w:rFonts w:ascii="Times New Roman" w:hAnsi="Times New Roman"/>
                <w:color w:val="000000" w:themeColor="text1"/>
                <w:sz w:val="16"/>
                <w:szCs w:val="16"/>
              </w:rPr>
              <w:noBreakHyphen/>
              <w:t>2</w:t>
            </w:r>
          </w:p>
          <w:p w14:paraId="55406478"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w:t>
            </w:r>
            <w:r w:rsidRPr="005E779E">
              <w:rPr>
                <w:rFonts w:ascii="Times New Roman" w:hAnsi="Times New Roman"/>
                <w:color w:val="000000" w:themeColor="text1"/>
                <w:sz w:val="16"/>
                <w:szCs w:val="16"/>
              </w:rPr>
              <w:noBreakHyphen/>
              <w:t>2</w:t>
            </w:r>
            <w:r w:rsidRPr="005E779E">
              <w:rPr>
                <w:rFonts w:ascii="Times New Roman" w:hAnsi="Times New Roman"/>
                <w:color w:val="000000" w:themeColor="text1"/>
                <w:sz w:val="16"/>
                <w:szCs w:val="16"/>
              </w:rPr>
              <w:noBreakHyphen/>
              <w:t xml:space="preserve"> М</w:t>
            </w:r>
            <w:r w:rsidRPr="005E779E">
              <w:rPr>
                <w:rFonts w:ascii="Times New Roman" w:hAnsi="Times New Roman"/>
                <w:color w:val="000000" w:themeColor="text1"/>
                <w:sz w:val="16"/>
                <w:szCs w:val="16"/>
              </w:rPr>
              <w:noBreakHyphen/>
              <w:t>11</w:t>
            </w:r>
          </w:p>
          <w:p w14:paraId="225B34E6"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w:t>
            </w:r>
            <w:r w:rsidRPr="005E779E">
              <w:rPr>
                <w:rFonts w:ascii="Times New Roman" w:hAnsi="Times New Roman"/>
                <w:color w:val="000000" w:themeColor="text1"/>
                <w:sz w:val="16"/>
                <w:szCs w:val="16"/>
              </w:rPr>
              <w:noBreakHyphen/>
              <w:t>1</w:t>
            </w:r>
            <w:r w:rsidRPr="005E779E">
              <w:rPr>
                <w:rFonts w:ascii="Times New Roman" w:hAnsi="Times New Roman"/>
                <w:color w:val="000000" w:themeColor="text1"/>
                <w:sz w:val="16"/>
                <w:szCs w:val="16"/>
              </w:rPr>
              <w:noBreakHyphen/>
              <w:t>М</w:t>
            </w:r>
            <w:r w:rsidRPr="005E779E">
              <w:rPr>
                <w:rFonts w:ascii="Times New Roman" w:hAnsi="Times New Roman"/>
                <w:color w:val="000000" w:themeColor="text1"/>
                <w:sz w:val="16"/>
                <w:szCs w:val="16"/>
              </w:rPr>
              <w:noBreakHyphen/>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20092536"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19E5514D"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w:t>
            </w:r>
          </w:p>
          <w:p w14:paraId="0D6CB1CB"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w:t>
            </w:r>
          </w:p>
          <w:p w14:paraId="1DED82C7"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3BBED174"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52</w:t>
            </w:r>
          </w:p>
          <w:p w14:paraId="22761BB8"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28122DBF"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71D24D"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159DAC9E"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w:t>
            </w:r>
          </w:p>
          <w:p w14:paraId="5CF3D84D"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194</w:t>
            </w:r>
          </w:p>
          <w:p w14:paraId="11BDF6F0"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55</w:t>
            </w:r>
          </w:p>
          <w:p w14:paraId="3FB71D6B"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6EF06F9B"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480</w:t>
            </w:r>
          </w:p>
          <w:p w14:paraId="18F67011"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135FF3D"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4F8D9070"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106</w:t>
            </w:r>
          </w:p>
          <w:p w14:paraId="04EB0B42"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199</w:t>
            </w:r>
          </w:p>
          <w:p w14:paraId="481B8C09"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55</w:t>
            </w:r>
          </w:p>
          <w:p w14:paraId="63D823C9"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52</w:t>
            </w:r>
          </w:p>
          <w:p w14:paraId="75E1D326"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480</w:t>
            </w:r>
          </w:p>
          <w:p w14:paraId="736E3FAE"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78DDF2F"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48B7FA58"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w:t>
            </w:r>
          </w:p>
          <w:p w14:paraId="550BEDDD"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p w14:paraId="45B126B4"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w:t>
            </w:r>
          </w:p>
          <w:p w14:paraId="3826A50D"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52</w:t>
            </w:r>
          </w:p>
          <w:p w14:paraId="3D96BF83"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5B3DCB9F"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B97417"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21A794B0"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w:t>
            </w:r>
          </w:p>
          <w:p w14:paraId="34FFE101"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w:t>
            </w:r>
          </w:p>
          <w:p w14:paraId="5767BEA0"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w:t>
            </w:r>
          </w:p>
          <w:p w14:paraId="4208E31B"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69FD5A9F"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120</w:t>
            </w:r>
          </w:p>
          <w:p w14:paraId="378A8178"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95AE29"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2447455F"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w:t>
            </w:r>
          </w:p>
          <w:p w14:paraId="5D3D0542"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75</w:t>
            </w:r>
          </w:p>
          <w:p w14:paraId="08FF9437"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4FE5B049"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39A8C41A"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180</w:t>
            </w:r>
          </w:p>
          <w:p w14:paraId="1A77DC49"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4A90E6"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5EA579C1"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47</w:t>
            </w:r>
          </w:p>
          <w:p w14:paraId="0D3CD5C8"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8З</w:t>
            </w:r>
          </w:p>
          <w:p w14:paraId="71E21D04"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0A80079C"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6CB0A78A"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180</w:t>
            </w:r>
          </w:p>
          <w:p w14:paraId="501837FE"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w:t>
            </w:r>
          </w:p>
        </w:tc>
      </w:tr>
      <w:tr w:rsidR="001002C3" w:rsidRPr="005E779E" w14:paraId="7BF27253"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57B0DDCB"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73993D5"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63</w:t>
            </w:r>
          </w:p>
        </w:tc>
        <w:tc>
          <w:tcPr>
            <w:tcW w:w="0" w:type="auto"/>
            <w:tcBorders>
              <w:top w:val="outset" w:sz="6" w:space="0" w:color="auto"/>
              <w:left w:val="outset" w:sz="6" w:space="0" w:color="auto"/>
              <w:bottom w:val="outset" w:sz="6" w:space="0" w:color="auto"/>
              <w:right w:val="outset" w:sz="6" w:space="0" w:color="auto"/>
            </w:tcBorders>
            <w:vAlign w:val="center"/>
            <w:hideMark/>
          </w:tcPr>
          <w:p w14:paraId="36E9191D"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844</w:t>
            </w:r>
          </w:p>
        </w:tc>
        <w:tc>
          <w:tcPr>
            <w:tcW w:w="0" w:type="auto"/>
            <w:tcBorders>
              <w:top w:val="outset" w:sz="6" w:space="0" w:color="auto"/>
              <w:left w:val="outset" w:sz="6" w:space="0" w:color="auto"/>
              <w:bottom w:val="outset" w:sz="6" w:space="0" w:color="auto"/>
              <w:right w:val="outset" w:sz="6" w:space="0" w:color="auto"/>
            </w:tcBorders>
            <w:vAlign w:val="center"/>
            <w:hideMark/>
          </w:tcPr>
          <w:p w14:paraId="277532FF"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907</w:t>
            </w:r>
          </w:p>
        </w:tc>
        <w:tc>
          <w:tcPr>
            <w:tcW w:w="0" w:type="auto"/>
            <w:tcBorders>
              <w:top w:val="outset" w:sz="6" w:space="0" w:color="auto"/>
              <w:left w:val="outset" w:sz="6" w:space="0" w:color="auto"/>
              <w:bottom w:val="outset" w:sz="6" w:space="0" w:color="auto"/>
              <w:right w:val="outset" w:sz="6" w:space="0" w:color="auto"/>
            </w:tcBorders>
            <w:vAlign w:val="center"/>
            <w:hideMark/>
          </w:tcPr>
          <w:p w14:paraId="563222B9"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84</w:t>
            </w:r>
          </w:p>
        </w:tc>
        <w:tc>
          <w:tcPr>
            <w:tcW w:w="0" w:type="auto"/>
            <w:tcBorders>
              <w:top w:val="outset" w:sz="6" w:space="0" w:color="auto"/>
              <w:left w:val="outset" w:sz="6" w:space="0" w:color="auto"/>
              <w:bottom w:val="outset" w:sz="6" w:space="0" w:color="auto"/>
              <w:right w:val="outset" w:sz="6" w:space="0" w:color="auto"/>
            </w:tcBorders>
            <w:vAlign w:val="center"/>
            <w:hideMark/>
          </w:tcPr>
          <w:p w14:paraId="5C6AF4FD"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203</w:t>
            </w:r>
          </w:p>
        </w:tc>
        <w:tc>
          <w:tcPr>
            <w:tcW w:w="0" w:type="auto"/>
            <w:tcBorders>
              <w:top w:val="outset" w:sz="6" w:space="0" w:color="auto"/>
              <w:left w:val="outset" w:sz="6" w:space="0" w:color="auto"/>
              <w:bottom w:val="outset" w:sz="6" w:space="0" w:color="auto"/>
              <w:right w:val="outset" w:sz="6" w:space="0" w:color="auto"/>
            </w:tcBorders>
            <w:vAlign w:val="center"/>
            <w:hideMark/>
          </w:tcPr>
          <w:p w14:paraId="0E456953"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295</w:t>
            </w:r>
          </w:p>
        </w:tc>
        <w:tc>
          <w:tcPr>
            <w:tcW w:w="0" w:type="auto"/>
            <w:tcBorders>
              <w:top w:val="outset" w:sz="6" w:space="0" w:color="auto"/>
              <w:left w:val="outset" w:sz="6" w:space="0" w:color="auto"/>
              <w:bottom w:val="outset" w:sz="6" w:space="0" w:color="auto"/>
              <w:right w:val="outset" w:sz="6" w:space="0" w:color="auto"/>
            </w:tcBorders>
            <w:vAlign w:val="center"/>
            <w:hideMark/>
          </w:tcPr>
          <w:p w14:paraId="17E65FB5"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325</w:t>
            </w:r>
          </w:p>
        </w:tc>
      </w:tr>
      <w:tr w:rsidR="001002C3" w:rsidRPr="005E779E" w14:paraId="484793F3"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1F18D69C"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Моторы:</w:t>
            </w:r>
          </w:p>
          <w:p w14:paraId="16EDED46"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w:t>
            </w:r>
            <w:r w:rsidRPr="005E779E">
              <w:rPr>
                <w:rFonts w:ascii="Times New Roman" w:hAnsi="Times New Roman"/>
                <w:color w:val="000000" w:themeColor="text1"/>
                <w:sz w:val="16"/>
                <w:szCs w:val="16"/>
              </w:rPr>
              <w:noBreakHyphen/>
              <w:t>26 </w:t>
            </w:r>
            <w:r w:rsidRPr="005E779E">
              <w:rPr>
                <w:rFonts w:ascii="Times New Roman" w:hAnsi="Times New Roman"/>
                <w:color w:val="000000" w:themeColor="text1"/>
                <w:sz w:val="16"/>
                <w:szCs w:val="16"/>
              </w:rPr>
              <w:noBreakHyphen/>
              <w:t> на самолет.</w:t>
            </w:r>
          </w:p>
          <w:p w14:paraId="40B45EA9"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w:t>
            </w:r>
            <w:r w:rsidRPr="005E779E">
              <w:rPr>
                <w:rFonts w:ascii="Times New Roman" w:hAnsi="Times New Roman"/>
                <w:color w:val="000000" w:themeColor="text1"/>
                <w:sz w:val="16"/>
                <w:szCs w:val="16"/>
              </w:rPr>
              <w:noBreakHyphen/>
              <w:t>26 </w:t>
            </w:r>
            <w:r w:rsidRPr="005E779E">
              <w:rPr>
                <w:rFonts w:ascii="Times New Roman" w:hAnsi="Times New Roman"/>
                <w:color w:val="000000" w:themeColor="text1"/>
                <w:sz w:val="16"/>
                <w:szCs w:val="16"/>
              </w:rPr>
              <w:noBreakHyphen/>
              <w:t> запасных</w:t>
            </w:r>
          </w:p>
          <w:p w14:paraId="62A05721"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w:t>
            </w:r>
            <w:r w:rsidRPr="005E779E">
              <w:rPr>
                <w:rFonts w:ascii="Times New Roman" w:hAnsi="Times New Roman"/>
                <w:color w:val="000000" w:themeColor="text1"/>
                <w:sz w:val="16"/>
                <w:szCs w:val="16"/>
              </w:rPr>
              <w:noBreakHyphen/>
              <w:t>15 </w:t>
            </w:r>
            <w:r w:rsidRPr="005E779E">
              <w:rPr>
                <w:rFonts w:ascii="Times New Roman" w:hAnsi="Times New Roman"/>
                <w:color w:val="000000" w:themeColor="text1"/>
                <w:sz w:val="16"/>
                <w:szCs w:val="16"/>
              </w:rPr>
              <w:noBreakHyphen/>
              <w:t> на самолет.</w:t>
            </w:r>
          </w:p>
          <w:p w14:paraId="3C3B6FBF"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w:t>
            </w:r>
            <w:r w:rsidRPr="005E779E">
              <w:rPr>
                <w:rFonts w:ascii="Times New Roman" w:hAnsi="Times New Roman"/>
                <w:color w:val="000000" w:themeColor="text1"/>
                <w:sz w:val="16"/>
                <w:szCs w:val="16"/>
              </w:rPr>
              <w:noBreakHyphen/>
              <w:t>15 </w:t>
            </w:r>
            <w:r w:rsidRPr="005E779E">
              <w:rPr>
                <w:rFonts w:ascii="Times New Roman" w:hAnsi="Times New Roman"/>
                <w:color w:val="000000" w:themeColor="text1"/>
                <w:sz w:val="16"/>
                <w:szCs w:val="16"/>
              </w:rPr>
              <w:noBreakHyphen/>
              <w:t> запасных</w:t>
            </w:r>
          </w:p>
          <w:p w14:paraId="4F3AB54C"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w:t>
            </w:r>
            <w:r w:rsidRPr="005E779E">
              <w:rPr>
                <w:rFonts w:ascii="Times New Roman" w:hAnsi="Times New Roman"/>
                <w:color w:val="000000" w:themeColor="text1"/>
                <w:sz w:val="16"/>
                <w:szCs w:val="16"/>
              </w:rPr>
              <w:noBreakHyphen/>
              <w:t>11 </w:t>
            </w:r>
            <w:r w:rsidRPr="005E779E">
              <w:rPr>
                <w:rFonts w:ascii="Times New Roman" w:hAnsi="Times New Roman"/>
                <w:color w:val="000000" w:themeColor="text1"/>
                <w:sz w:val="16"/>
                <w:szCs w:val="16"/>
              </w:rPr>
              <w:noBreakHyphen/>
              <w:t> на самолет.</w:t>
            </w:r>
          </w:p>
          <w:p w14:paraId="1A4A0652"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w:t>
            </w:r>
            <w:r w:rsidRPr="005E779E">
              <w:rPr>
                <w:rFonts w:ascii="Times New Roman" w:hAnsi="Times New Roman"/>
                <w:color w:val="000000" w:themeColor="text1"/>
                <w:sz w:val="16"/>
                <w:szCs w:val="16"/>
              </w:rPr>
              <w:noBreakHyphen/>
              <w:t>11 </w:t>
            </w:r>
            <w:r w:rsidRPr="005E779E">
              <w:rPr>
                <w:rFonts w:ascii="Times New Roman" w:hAnsi="Times New Roman"/>
                <w:color w:val="000000" w:themeColor="text1"/>
                <w:sz w:val="16"/>
                <w:szCs w:val="16"/>
              </w:rPr>
              <w:noBreakHyphen/>
              <w:t> запасных</w:t>
            </w:r>
          </w:p>
          <w:p w14:paraId="24E125DF"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w:t>
            </w:r>
            <w:r w:rsidRPr="005E779E">
              <w:rPr>
                <w:rFonts w:ascii="Times New Roman" w:hAnsi="Times New Roman"/>
                <w:color w:val="000000" w:themeColor="text1"/>
                <w:sz w:val="16"/>
                <w:szCs w:val="16"/>
              </w:rPr>
              <w:noBreakHyphen/>
              <w:t>2 – на самолет.</w:t>
            </w:r>
          </w:p>
          <w:p w14:paraId="6C76AAAF"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w:t>
            </w:r>
            <w:r w:rsidRPr="005E779E">
              <w:rPr>
                <w:rFonts w:ascii="Times New Roman" w:hAnsi="Times New Roman"/>
                <w:color w:val="000000" w:themeColor="text1"/>
                <w:sz w:val="16"/>
                <w:szCs w:val="16"/>
              </w:rPr>
              <w:noBreakHyphen/>
              <w:t>2 – запасных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F7EF124"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63F5A567"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61D74A84"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1B528B96"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48C1C6F8"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4CFAEAE4"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5111FBA7"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39F012CE"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4A0E3A35"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DBE723"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753EE20F"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08734A12"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49ED4850"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2EFC129C"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1762B394"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4090047D"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70091370"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273B9C56"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E95168"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75E4C52A"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318</w:t>
            </w:r>
          </w:p>
          <w:p w14:paraId="646CD9E9"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w:t>
            </w:r>
          </w:p>
          <w:p w14:paraId="3EF0B103"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199</w:t>
            </w:r>
          </w:p>
          <w:p w14:paraId="32C3931D"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w:t>
            </w:r>
          </w:p>
          <w:p w14:paraId="13EF7CE8"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550</w:t>
            </w:r>
          </w:p>
          <w:p w14:paraId="65977AB0"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110</w:t>
            </w:r>
          </w:p>
          <w:p w14:paraId="7F4AAACB"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52</w:t>
            </w:r>
          </w:p>
          <w:p w14:paraId="6E872D6C"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E675DB"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6E442281"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w:t>
            </w:r>
          </w:p>
          <w:p w14:paraId="46ECA7CC"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7FEE1D8A"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p w14:paraId="6CF02E91"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p w14:paraId="55375F32"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w:t>
            </w:r>
          </w:p>
          <w:p w14:paraId="484BD801"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20AA8C36"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52</w:t>
            </w:r>
          </w:p>
          <w:p w14:paraId="49D1B208"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A7C283"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1ADDDAC2"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39</w:t>
            </w:r>
          </w:p>
          <w:p w14:paraId="4C1DFCAC"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w:t>
            </w:r>
          </w:p>
          <w:p w14:paraId="3573352A"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w:t>
            </w:r>
          </w:p>
          <w:p w14:paraId="1FCB6E91"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w:t>
            </w:r>
          </w:p>
          <w:p w14:paraId="5A5D7024"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w:t>
            </w:r>
          </w:p>
          <w:p w14:paraId="4DA3E926"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24342901"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0015C8CF"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C55E93"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54CA2224"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120</w:t>
            </w:r>
          </w:p>
          <w:p w14:paraId="698CA667"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w:t>
            </w:r>
          </w:p>
          <w:p w14:paraId="53D8A9C3"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75</w:t>
            </w:r>
          </w:p>
          <w:p w14:paraId="39F590B5"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38</w:t>
            </w:r>
          </w:p>
          <w:p w14:paraId="1CBD34B1"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180</w:t>
            </w:r>
          </w:p>
          <w:p w14:paraId="219B21FA"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55</w:t>
            </w:r>
          </w:p>
          <w:p w14:paraId="577325B9"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777B02FE"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2ED3D7"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3081CBD4"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141</w:t>
            </w:r>
          </w:p>
          <w:p w14:paraId="7E754CFE"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w:t>
            </w:r>
          </w:p>
          <w:p w14:paraId="7517A953"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83</w:t>
            </w:r>
          </w:p>
          <w:p w14:paraId="27C7DB80"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w:t>
            </w:r>
          </w:p>
          <w:p w14:paraId="393C8B34"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195</w:t>
            </w:r>
          </w:p>
          <w:p w14:paraId="62B50B3A"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55</w:t>
            </w:r>
          </w:p>
          <w:p w14:paraId="567C98E5"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05026775"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1002C3" w:rsidRPr="005E779E" w14:paraId="5753E60E"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7D039DB3"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 моторов:</w:t>
            </w:r>
          </w:p>
          <w:p w14:paraId="0EC5E6B9"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самолетах</w:t>
            </w:r>
          </w:p>
          <w:p w14:paraId="59310313"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запасных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84FCEC3"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38BBE708"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1B9AEFBB"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EB99E6"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667BD289"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3748C4A3"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AC6625"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59D79DD7"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1119</w:t>
            </w:r>
          </w:p>
          <w:p w14:paraId="3FCF1972"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100A2D"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0D631912"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96</w:t>
            </w:r>
          </w:p>
          <w:p w14:paraId="2DC58E46"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0EEFD8E4"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226064EB"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229</w:t>
            </w:r>
          </w:p>
          <w:p w14:paraId="670C46CA"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39</w:t>
            </w:r>
          </w:p>
        </w:tc>
        <w:tc>
          <w:tcPr>
            <w:tcW w:w="0" w:type="auto"/>
            <w:tcBorders>
              <w:top w:val="outset" w:sz="6" w:space="0" w:color="auto"/>
              <w:left w:val="outset" w:sz="6" w:space="0" w:color="auto"/>
              <w:bottom w:val="outset" w:sz="6" w:space="0" w:color="auto"/>
              <w:right w:val="outset" w:sz="6" w:space="0" w:color="auto"/>
            </w:tcBorders>
            <w:vAlign w:val="center"/>
            <w:hideMark/>
          </w:tcPr>
          <w:p w14:paraId="5D048ECB"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12E6F2AB"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375</w:t>
            </w:r>
          </w:p>
          <w:p w14:paraId="40F83355"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133</w:t>
            </w:r>
          </w:p>
        </w:tc>
        <w:tc>
          <w:tcPr>
            <w:tcW w:w="0" w:type="auto"/>
            <w:tcBorders>
              <w:top w:val="outset" w:sz="6" w:space="0" w:color="auto"/>
              <w:left w:val="outset" w:sz="6" w:space="0" w:color="auto"/>
              <w:bottom w:val="outset" w:sz="6" w:space="0" w:color="auto"/>
              <w:right w:val="outset" w:sz="6" w:space="0" w:color="auto"/>
            </w:tcBorders>
            <w:vAlign w:val="center"/>
            <w:hideMark/>
          </w:tcPr>
          <w:p w14:paraId="0CD619FA"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0CAF33FC"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419</w:t>
            </w:r>
          </w:p>
          <w:p w14:paraId="386A0BCF"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135</w:t>
            </w:r>
          </w:p>
        </w:tc>
      </w:tr>
      <w:tr w:rsidR="001002C3" w:rsidRPr="005E779E" w14:paraId="73F5D52A"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48AD8977"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F8707"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6BE77D"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9C9F59"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1429</w:t>
            </w:r>
          </w:p>
        </w:tc>
        <w:tc>
          <w:tcPr>
            <w:tcW w:w="0" w:type="auto"/>
            <w:tcBorders>
              <w:top w:val="outset" w:sz="6" w:space="0" w:color="auto"/>
              <w:left w:val="outset" w:sz="6" w:space="0" w:color="auto"/>
              <w:bottom w:val="outset" w:sz="6" w:space="0" w:color="auto"/>
              <w:right w:val="outset" w:sz="6" w:space="0" w:color="auto"/>
            </w:tcBorders>
            <w:vAlign w:val="center"/>
            <w:hideMark/>
          </w:tcPr>
          <w:p w14:paraId="0499D368"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99</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FE77E"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268</w:t>
            </w:r>
          </w:p>
        </w:tc>
        <w:tc>
          <w:tcPr>
            <w:tcW w:w="0" w:type="auto"/>
            <w:tcBorders>
              <w:top w:val="outset" w:sz="6" w:space="0" w:color="auto"/>
              <w:left w:val="outset" w:sz="6" w:space="0" w:color="auto"/>
              <w:bottom w:val="outset" w:sz="6" w:space="0" w:color="auto"/>
              <w:right w:val="outset" w:sz="6" w:space="0" w:color="auto"/>
            </w:tcBorders>
            <w:vAlign w:val="center"/>
            <w:hideMark/>
          </w:tcPr>
          <w:p w14:paraId="407094C8"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508</w:t>
            </w:r>
          </w:p>
        </w:tc>
        <w:tc>
          <w:tcPr>
            <w:tcW w:w="0" w:type="auto"/>
            <w:tcBorders>
              <w:top w:val="outset" w:sz="6" w:space="0" w:color="auto"/>
              <w:left w:val="outset" w:sz="6" w:space="0" w:color="auto"/>
              <w:bottom w:val="outset" w:sz="6" w:space="0" w:color="auto"/>
              <w:right w:val="outset" w:sz="6" w:space="0" w:color="auto"/>
            </w:tcBorders>
            <w:vAlign w:val="center"/>
            <w:hideMark/>
          </w:tcPr>
          <w:p w14:paraId="3A08857D"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554</w:t>
            </w:r>
          </w:p>
        </w:tc>
      </w:tr>
    </w:tbl>
    <w:p w14:paraId="38FF9469"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Примечание:</w:t>
      </w:r>
    </w:p>
    <w:p w14:paraId="3FED4634"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в т. ч. Райт — 6 штук.</w:t>
      </w:r>
    </w:p>
    <w:p w14:paraId="0CAB0C5D"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Приложение № 3.</w:t>
      </w:r>
    </w:p>
    <w:p w14:paraId="19060C9A"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Титульный перечень и контингенты школ гражданского воздушного флота.</w:t>
      </w:r>
    </w:p>
    <w:tbl>
      <w:tblPr>
        <w:tblW w:w="5000" w:type="pct"/>
        <w:tblBorders>
          <w:top w:val="outset" w:sz="6" w:space="0" w:color="auto"/>
          <w:left w:val="outset" w:sz="6" w:space="0" w:color="auto"/>
          <w:bottom w:val="outset" w:sz="6" w:space="0" w:color="auto"/>
          <w:right w:val="outset" w:sz="6" w:space="0" w:color="auto"/>
        </w:tblBorders>
        <w:shd w:val="clear" w:color="auto" w:fill="F2EEE1"/>
        <w:tblCellMar>
          <w:left w:w="0" w:type="dxa"/>
          <w:right w:w="0" w:type="dxa"/>
        </w:tblCellMar>
        <w:tblLook w:val="04A0" w:firstRow="1" w:lastRow="0" w:firstColumn="1" w:lastColumn="0" w:noHBand="0" w:noVBand="1"/>
      </w:tblPr>
      <w:tblGrid>
        <w:gridCol w:w="9671"/>
        <w:gridCol w:w="1651"/>
      </w:tblGrid>
      <w:tr w:rsidR="001002C3" w:rsidRPr="005E779E" w14:paraId="56005400"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181E27FF"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Школы гражданского воздушного флота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7F11004"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Слушателей</w:t>
            </w:r>
          </w:p>
        </w:tc>
      </w:tr>
      <w:tr w:rsidR="001002C3" w:rsidRPr="005E779E" w14:paraId="4E9A0737"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65A36914"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Институт Г.В.Ф. с рабфаком при нем в Ленинграде с контингентом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902FF61"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1.875</w:t>
            </w:r>
          </w:p>
          <w:p w14:paraId="130C0149"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 (рабфак)</w:t>
            </w:r>
          </w:p>
        </w:tc>
      </w:tr>
      <w:tr w:rsidR="001002C3" w:rsidRPr="005E779E" w14:paraId="07E1796A"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06139D94"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Институт Г.В.Ф. в Н. Новгороде (или Сталинграде) на контингент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990ED04"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 в 1932 г.</w:t>
            </w:r>
          </w:p>
        </w:tc>
      </w:tr>
      <w:tr w:rsidR="001002C3" w:rsidRPr="005E779E" w14:paraId="19E19E0C"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6FFB8B81"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Авиационный факультет Машиностроительного института в Киеве с контингентом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023D651"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w:t>
            </w:r>
          </w:p>
        </w:tc>
      </w:tr>
      <w:tr w:rsidR="001002C3" w:rsidRPr="005E779E" w14:paraId="34ACD4ED"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7F78E3CF"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Учебно-строительный комбинат в Воронеже с контингентом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BC877E8"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750</w:t>
            </w:r>
          </w:p>
        </w:tc>
      </w:tr>
      <w:tr w:rsidR="001002C3" w:rsidRPr="005E779E" w14:paraId="170925DA"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6571532D"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Высшие академические курсы Г.В.Ф. в Москве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790BF56"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w:t>
            </w:r>
          </w:p>
        </w:tc>
      </w:tr>
      <w:tr w:rsidR="001002C3" w:rsidRPr="005E779E" w14:paraId="55AE639F"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54FDED57"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6. 1</w:t>
            </w:r>
            <w:r w:rsidRPr="005E779E">
              <w:rPr>
                <w:rFonts w:ascii="Times New Roman" w:hAnsi="Times New Roman"/>
                <w:color w:val="000000" w:themeColor="text1"/>
                <w:sz w:val="16"/>
                <w:szCs w:val="16"/>
              </w:rPr>
              <w:noBreakHyphen/>
              <w:t>ая Объединенная школа пилотов и авиатехников в Батайске с контингентом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C8717F2"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2.000</w:t>
            </w:r>
          </w:p>
        </w:tc>
      </w:tr>
      <w:tr w:rsidR="001002C3" w:rsidRPr="005E779E" w14:paraId="41EF0631"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1E30BA42"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7. 2</w:t>
            </w:r>
            <w:r w:rsidRPr="005E779E">
              <w:rPr>
                <w:rFonts w:ascii="Times New Roman" w:hAnsi="Times New Roman"/>
                <w:color w:val="000000" w:themeColor="text1"/>
                <w:sz w:val="16"/>
                <w:szCs w:val="16"/>
              </w:rPr>
              <w:noBreakHyphen/>
              <w:t>я Объединенная школа пилотов и авиатехников в Тамбове с контингентом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E66343E"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1.200</w:t>
            </w:r>
          </w:p>
        </w:tc>
      </w:tr>
      <w:tr w:rsidR="001002C3" w:rsidRPr="005E779E" w14:paraId="3F62F789"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09CD4D36"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8. 3</w:t>
            </w:r>
            <w:r w:rsidRPr="005E779E">
              <w:rPr>
                <w:rFonts w:ascii="Times New Roman" w:hAnsi="Times New Roman"/>
                <w:color w:val="000000" w:themeColor="text1"/>
                <w:sz w:val="16"/>
                <w:szCs w:val="16"/>
              </w:rPr>
              <w:noBreakHyphen/>
              <w:t>я Объединенная школа пилотов и авиатехников в Балашове с контингентом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417C811"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1.200</w:t>
            </w:r>
          </w:p>
        </w:tc>
      </w:tr>
      <w:tr w:rsidR="001002C3" w:rsidRPr="005E779E" w14:paraId="55EDA4D9"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52BF27EC"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Авиатехникум в Москве с контингентом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A6B6AD2"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1.252</w:t>
            </w:r>
          </w:p>
        </w:tc>
      </w:tr>
      <w:tr w:rsidR="001002C3" w:rsidRPr="005E779E" w14:paraId="13A5784D"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18D9F944"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Техникум спецслужб в Москве с контингентом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D3C76C6"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800</w:t>
            </w:r>
          </w:p>
        </w:tc>
      </w:tr>
      <w:tr w:rsidR="001002C3" w:rsidRPr="005E779E" w14:paraId="5BAD57E5"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4E04EAE1"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Авиатехникум в Ленинграде с контингентом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DB38977"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878</w:t>
            </w:r>
          </w:p>
        </w:tc>
      </w:tr>
      <w:tr w:rsidR="001002C3" w:rsidRPr="005E779E" w14:paraId="4DFEC3B6"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2411D8D7"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Авиатехникум в Киеве с контингентом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BB8721E"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w:t>
            </w:r>
          </w:p>
        </w:tc>
      </w:tr>
      <w:tr w:rsidR="001002C3" w:rsidRPr="005E779E" w14:paraId="6CF1C3ED"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41A6FCA7"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Авиатехникум в Н. Новгороде с контингентом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E375CD9"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w:t>
            </w:r>
          </w:p>
        </w:tc>
      </w:tr>
      <w:tr w:rsidR="001002C3" w:rsidRPr="005E779E" w14:paraId="502C5EB6"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11F645CC"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06FC3"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13.055</w:t>
            </w:r>
          </w:p>
        </w:tc>
      </w:tr>
    </w:tbl>
    <w:p w14:paraId="513A41E9"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Примечание:</w:t>
      </w:r>
    </w:p>
    <w:p w14:paraId="42FF60A9"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Кроме того 700 человек проходят курсы повышения квалификации.</w:t>
      </w:r>
    </w:p>
    <w:p w14:paraId="5A2C0524"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 С. Уншлихт</w:t>
      </w:r>
    </w:p>
    <w:p w14:paraId="65CE166F"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Приложение № 4.</w:t>
      </w:r>
    </w:p>
    <w:p w14:paraId="2E3F90CB"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План работ по воздухоплаванию.</w:t>
      </w:r>
    </w:p>
    <w:tbl>
      <w:tblPr>
        <w:tblW w:w="5000" w:type="pct"/>
        <w:shd w:val="clear" w:color="auto" w:fill="F2EEE1"/>
        <w:tblCellMar>
          <w:left w:w="0" w:type="dxa"/>
          <w:right w:w="0" w:type="dxa"/>
        </w:tblCellMar>
        <w:tblLook w:val="04A0" w:firstRow="1" w:lastRow="0" w:firstColumn="1" w:lastColumn="0" w:noHBand="0" w:noVBand="1"/>
      </w:tblPr>
      <w:tblGrid>
        <w:gridCol w:w="9700"/>
        <w:gridCol w:w="1638"/>
      </w:tblGrid>
      <w:tr w:rsidR="001002C3" w:rsidRPr="005E779E" w14:paraId="61800BA7" w14:textId="77777777" w:rsidTr="001C3F77">
        <w:tc>
          <w:tcPr>
            <w:tcW w:w="0" w:type="auto"/>
            <w:vAlign w:val="center"/>
            <w:hideMark/>
          </w:tcPr>
          <w:p w14:paraId="57A287DF"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Ленинградская временная база:</w:t>
            </w:r>
          </w:p>
        </w:tc>
        <w:tc>
          <w:tcPr>
            <w:tcW w:w="0" w:type="auto"/>
            <w:vAlign w:val="center"/>
            <w:hideMark/>
          </w:tcPr>
          <w:p w14:paraId="114364D5"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r>
      <w:tr w:rsidR="001002C3" w:rsidRPr="005E779E" w14:paraId="6594C4FE" w14:textId="77777777" w:rsidTr="001C3F77">
        <w:tc>
          <w:tcPr>
            <w:tcW w:w="0" w:type="auto"/>
            <w:vAlign w:val="center"/>
            <w:hideMark/>
          </w:tcPr>
          <w:p w14:paraId="084C026D"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Ремонт эллингов на заводе Марти</w:t>
            </w:r>
          </w:p>
        </w:tc>
        <w:tc>
          <w:tcPr>
            <w:tcW w:w="0" w:type="auto"/>
            <w:vAlign w:val="center"/>
            <w:hideMark/>
          </w:tcPr>
          <w:p w14:paraId="6705D3A1"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400,0</w:t>
            </w:r>
          </w:p>
        </w:tc>
      </w:tr>
      <w:tr w:rsidR="001002C3" w:rsidRPr="005E779E" w14:paraId="7A3F22C1" w14:textId="77777777" w:rsidTr="001C3F77">
        <w:tc>
          <w:tcPr>
            <w:tcW w:w="0" w:type="auto"/>
            <w:vAlign w:val="center"/>
            <w:hideMark/>
          </w:tcPr>
          <w:p w14:paraId="175627A2"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Склад газовых труб</w:t>
            </w:r>
          </w:p>
        </w:tc>
        <w:tc>
          <w:tcPr>
            <w:tcW w:w="0" w:type="auto"/>
            <w:vAlign w:val="center"/>
            <w:hideMark/>
          </w:tcPr>
          <w:p w14:paraId="5F3B1FC8"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180,0</w:t>
            </w:r>
          </w:p>
        </w:tc>
      </w:tr>
      <w:tr w:rsidR="001002C3" w:rsidRPr="005E779E" w14:paraId="75A732D7" w14:textId="77777777" w:rsidTr="001C3F77">
        <w:tc>
          <w:tcPr>
            <w:tcW w:w="0" w:type="auto"/>
            <w:vAlign w:val="center"/>
            <w:hideMark/>
          </w:tcPr>
          <w:p w14:paraId="632543EB"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Проектирование и строительство дирижаблей:</w:t>
            </w:r>
          </w:p>
        </w:tc>
        <w:tc>
          <w:tcPr>
            <w:tcW w:w="0" w:type="auto"/>
            <w:vAlign w:val="center"/>
            <w:hideMark/>
          </w:tcPr>
          <w:p w14:paraId="27AB6750"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r>
      <w:tr w:rsidR="001002C3" w:rsidRPr="005E779E" w14:paraId="5C6AE43A" w14:textId="77777777" w:rsidTr="001C3F77">
        <w:tc>
          <w:tcPr>
            <w:tcW w:w="0" w:type="auto"/>
            <w:vAlign w:val="center"/>
            <w:hideMark/>
          </w:tcPr>
          <w:p w14:paraId="2A564696"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Проектирование и строительство полужестского дирижабля объемом 7.500 куб. м</w:t>
            </w:r>
          </w:p>
        </w:tc>
        <w:tc>
          <w:tcPr>
            <w:tcW w:w="0" w:type="auto"/>
            <w:vAlign w:val="center"/>
            <w:hideMark/>
          </w:tcPr>
          <w:p w14:paraId="4ADEB24C"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r>
      <w:tr w:rsidR="001002C3" w:rsidRPr="005E779E" w14:paraId="430D2021" w14:textId="77777777" w:rsidTr="001C3F77">
        <w:tc>
          <w:tcPr>
            <w:tcW w:w="0" w:type="auto"/>
            <w:vAlign w:val="center"/>
            <w:hideMark/>
          </w:tcPr>
          <w:p w14:paraId="0BC25E04"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Проектирование и строительство дирижабля типа “Гудиир” объемом 2.200 куб. м</w:t>
            </w:r>
          </w:p>
        </w:tc>
        <w:tc>
          <w:tcPr>
            <w:tcW w:w="0" w:type="auto"/>
            <w:vAlign w:val="center"/>
            <w:hideMark/>
          </w:tcPr>
          <w:p w14:paraId="3A9D63DE"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80,0</w:t>
            </w:r>
          </w:p>
        </w:tc>
      </w:tr>
      <w:tr w:rsidR="001002C3" w:rsidRPr="005E779E" w14:paraId="4493CBD6" w14:textId="77777777" w:rsidTr="001C3F77">
        <w:tc>
          <w:tcPr>
            <w:tcW w:w="0" w:type="auto"/>
            <w:vAlign w:val="center"/>
            <w:hideMark/>
          </w:tcPr>
          <w:p w14:paraId="69965BB7"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Проектирование и строительство полужесткого дирижабля объемом 20.000 куб. м</w:t>
            </w:r>
          </w:p>
        </w:tc>
        <w:tc>
          <w:tcPr>
            <w:tcW w:w="0" w:type="auto"/>
            <w:vAlign w:val="center"/>
            <w:hideMark/>
          </w:tcPr>
          <w:p w14:paraId="4849717E"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r>
      <w:tr w:rsidR="001002C3" w:rsidRPr="005E779E" w14:paraId="65034762" w14:textId="77777777" w:rsidTr="001C3F77">
        <w:tc>
          <w:tcPr>
            <w:tcW w:w="0" w:type="auto"/>
            <w:vAlign w:val="center"/>
            <w:hideMark/>
          </w:tcPr>
          <w:p w14:paraId="74FF9B25"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Проектирование и строительство жесткого дирижабля объемом не менее 20.000 куб. м</w:t>
            </w:r>
          </w:p>
        </w:tc>
        <w:tc>
          <w:tcPr>
            <w:tcW w:w="0" w:type="auto"/>
            <w:vAlign w:val="center"/>
            <w:hideMark/>
          </w:tcPr>
          <w:p w14:paraId="0CEFC272"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150,0</w:t>
            </w:r>
          </w:p>
        </w:tc>
      </w:tr>
      <w:tr w:rsidR="001002C3" w:rsidRPr="005E779E" w14:paraId="734E7637" w14:textId="77777777" w:rsidTr="001C3F77">
        <w:tc>
          <w:tcPr>
            <w:tcW w:w="0" w:type="auto"/>
            <w:vAlign w:val="center"/>
            <w:hideMark/>
          </w:tcPr>
          <w:p w14:paraId="49D66EBD"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Опытные работы по цельнометаллическим кораблям:</w:t>
            </w:r>
          </w:p>
        </w:tc>
        <w:tc>
          <w:tcPr>
            <w:tcW w:w="0" w:type="auto"/>
            <w:vAlign w:val="center"/>
            <w:hideMark/>
          </w:tcPr>
          <w:p w14:paraId="42633754"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r>
      <w:tr w:rsidR="001002C3" w:rsidRPr="005E779E" w14:paraId="78D1B9A5" w14:textId="77777777" w:rsidTr="001C3F77">
        <w:tc>
          <w:tcPr>
            <w:tcW w:w="0" w:type="auto"/>
            <w:vAlign w:val="center"/>
            <w:hideMark/>
          </w:tcPr>
          <w:p w14:paraId="241A20FB"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безкаркасному (Циолковского)</w:t>
            </w:r>
          </w:p>
        </w:tc>
        <w:tc>
          <w:tcPr>
            <w:tcW w:w="0" w:type="auto"/>
            <w:vAlign w:val="center"/>
            <w:hideMark/>
          </w:tcPr>
          <w:p w14:paraId="1970008C"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75,0</w:t>
            </w:r>
          </w:p>
        </w:tc>
      </w:tr>
      <w:tr w:rsidR="001002C3" w:rsidRPr="005E779E" w14:paraId="2D6101C5" w14:textId="77777777" w:rsidTr="001C3F77">
        <w:tc>
          <w:tcPr>
            <w:tcW w:w="0" w:type="auto"/>
            <w:vAlign w:val="center"/>
            <w:hideMark/>
          </w:tcPr>
          <w:p w14:paraId="20CBF763"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каркасированному</w:t>
            </w:r>
          </w:p>
        </w:tc>
        <w:tc>
          <w:tcPr>
            <w:tcW w:w="0" w:type="auto"/>
            <w:vAlign w:val="center"/>
            <w:hideMark/>
          </w:tcPr>
          <w:p w14:paraId="4BDE61F6"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25,0</w:t>
            </w:r>
          </w:p>
        </w:tc>
      </w:tr>
      <w:tr w:rsidR="001002C3" w:rsidRPr="005E779E" w14:paraId="107F1D7D" w14:textId="77777777" w:rsidTr="001C3F77">
        <w:tc>
          <w:tcPr>
            <w:tcW w:w="0" w:type="auto"/>
            <w:vAlign w:val="center"/>
            <w:hideMark/>
          </w:tcPr>
          <w:p w14:paraId="7D8DAF84"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Сферические аэростаты</w:t>
            </w:r>
          </w:p>
        </w:tc>
        <w:tc>
          <w:tcPr>
            <w:tcW w:w="0" w:type="auto"/>
            <w:vAlign w:val="center"/>
            <w:hideMark/>
          </w:tcPr>
          <w:p w14:paraId="3F9349B3"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24,0</w:t>
            </w:r>
          </w:p>
        </w:tc>
      </w:tr>
      <w:tr w:rsidR="001002C3" w:rsidRPr="005E779E" w14:paraId="08836DDD" w14:textId="77777777" w:rsidTr="001C3F77">
        <w:tc>
          <w:tcPr>
            <w:tcW w:w="0" w:type="auto"/>
            <w:vAlign w:val="center"/>
            <w:hideMark/>
          </w:tcPr>
          <w:p w14:paraId="779B067E"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w:t>
            </w:r>
          </w:p>
        </w:tc>
        <w:tc>
          <w:tcPr>
            <w:tcW w:w="0" w:type="auto"/>
            <w:vAlign w:val="center"/>
            <w:hideMark/>
          </w:tcPr>
          <w:p w14:paraId="115517EC"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1.734,0 тыс. руб.</w:t>
            </w:r>
          </w:p>
        </w:tc>
      </w:tr>
      <w:tr w:rsidR="001002C3" w:rsidRPr="005E779E" w14:paraId="2E596D1E" w14:textId="77777777" w:rsidTr="001C3F77">
        <w:tc>
          <w:tcPr>
            <w:tcW w:w="0" w:type="auto"/>
            <w:vAlign w:val="center"/>
            <w:hideMark/>
          </w:tcPr>
          <w:p w14:paraId="351A6272"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Изыскания по Саратовской базе:</w:t>
            </w:r>
          </w:p>
        </w:tc>
        <w:tc>
          <w:tcPr>
            <w:tcW w:w="0" w:type="auto"/>
            <w:vAlign w:val="center"/>
            <w:hideMark/>
          </w:tcPr>
          <w:p w14:paraId="503F7ADE"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r>
      <w:tr w:rsidR="001002C3" w:rsidRPr="005E779E" w14:paraId="1C6AFCEB" w14:textId="77777777" w:rsidTr="001C3F77">
        <w:tc>
          <w:tcPr>
            <w:tcW w:w="0" w:type="auto"/>
            <w:vAlign w:val="center"/>
            <w:hideMark/>
          </w:tcPr>
          <w:p w14:paraId="37BBE2E7"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Изыскания места воздухбазы</w:t>
            </w:r>
          </w:p>
        </w:tc>
        <w:tc>
          <w:tcPr>
            <w:tcW w:w="0" w:type="auto"/>
            <w:vAlign w:val="center"/>
            <w:hideMark/>
          </w:tcPr>
          <w:p w14:paraId="3DFC8AF0"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65,0</w:t>
            </w:r>
          </w:p>
        </w:tc>
      </w:tr>
      <w:tr w:rsidR="001002C3" w:rsidRPr="005E779E" w14:paraId="483FCD80" w14:textId="77777777" w:rsidTr="001C3F77">
        <w:tc>
          <w:tcPr>
            <w:tcW w:w="0" w:type="auto"/>
            <w:vAlign w:val="center"/>
            <w:hideMark/>
          </w:tcPr>
          <w:p w14:paraId="4F759425"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Организация временной метеостанции</w:t>
            </w:r>
          </w:p>
        </w:tc>
        <w:tc>
          <w:tcPr>
            <w:tcW w:w="0" w:type="auto"/>
            <w:vAlign w:val="center"/>
            <w:hideMark/>
          </w:tcPr>
          <w:p w14:paraId="6CC121EF"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35,0</w:t>
            </w:r>
          </w:p>
        </w:tc>
      </w:tr>
      <w:tr w:rsidR="001002C3" w:rsidRPr="005E779E" w14:paraId="25108852" w14:textId="77777777" w:rsidTr="001C3F77">
        <w:tc>
          <w:tcPr>
            <w:tcW w:w="0" w:type="auto"/>
            <w:vAlign w:val="center"/>
            <w:hideMark/>
          </w:tcPr>
          <w:p w14:paraId="52BB951F"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Разработка строительных проектов Саратовской базы</w:t>
            </w:r>
          </w:p>
        </w:tc>
        <w:tc>
          <w:tcPr>
            <w:tcW w:w="0" w:type="auto"/>
            <w:vAlign w:val="center"/>
            <w:hideMark/>
          </w:tcPr>
          <w:p w14:paraId="01549624"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180,0</w:t>
            </w:r>
          </w:p>
        </w:tc>
      </w:tr>
      <w:tr w:rsidR="001002C3" w:rsidRPr="005E779E" w14:paraId="533ED1FF" w14:textId="77777777" w:rsidTr="001C3F77">
        <w:tc>
          <w:tcPr>
            <w:tcW w:w="0" w:type="auto"/>
            <w:vAlign w:val="center"/>
            <w:hideMark/>
          </w:tcPr>
          <w:p w14:paraId="064A6FD6"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w:t>
            </w:r>
          </w:p>
        </w:tc>
        <w:tc>
          <w:tcPr>
            <w:tcW w:w="0" w:type="auto"/>
            <w:vAlign w:val="center"/>
            <w:hideMark/>
          </w:tcPr>
          <w:p w14:paraId="70B10CA4"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280,0 тыс. руб.</w:t>
            </w:r>
          </w:p>
        </w:tc>
      </w:tr>
      <w:tr w:rsidR="001002C3" w:rsidRPr="005E779E" w14:paraId="7BB8D6D9" w14:textId="77777777" w:rsidTr="001C3F77">
        <w:tc>
          <w:tcPr>
            <w:tcW w:w="0" w:type="auto"/>
            <w:vAlign w:val="center"/>
            <w:hideMark/>
          </w:tcPr>
          <w:p w14:paraId="2C0B00C6"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Проектирование типового оборудования:</w:t>
            </w:r>
          </w:p>
        </w:tc>
        <w:tc>
          <w:tcPr>
            <w:tcW w:w="0" w:type="auto"/>
            <w:vAlign w:val="center"/>
            <w:hideMark/>
          </w:tcPr>
          <w:p w14:paraId="3D297D4D"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r>
      <w:tr w:rsidR="001002C3" w:rsidRPr="005E779E" w14:paraId="6A2DB6E8" w14:textId="77777777" w:rsidTr="001C3F77">
        <w:tc>
          <w:tcPr>
            <w:tcW w:w="0" w:type="auto"/>
            <w:vAlign w:val="center"/>
            <w:hideMark/>
          </w:tcPr>
          <w:p w14:paraId="7D1747E7"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Эксплуатационной воздухбазы</w:t>
            </w:r>
          </w:p>
        </w:tc>
        <w:tc>
          <w:tcPr>
            <w:tcW w:w="0" w:type="auto"/>
            <w:vAlign w:val="center"/>
            <w:hideMark/>
          </w:tcPr>
          <w:p w14:paraId="012E598A"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80,0</w:t>
            </w:r>
          </w:p>
        </w:tc>
      </w:tr>
      <w:tr w:rsidR="001002C3" w:rsidRPr="005E779E" w14:paraId="0138B9D3" w14:textId="77777777" w:rsidTr="001C3F77">
        <w:tc>
          <w:tcPr>
            <w:tcW w:w="0" w:type="auto"/>
            <w:vAlign w:val="center"/>
            <w:hideMark/>
          </w:tcPr>
          <w:p w14:paraId="76CECFD3"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Швартовой точки</w:t>
            </w:r>
          </w:p>
        </w:tc>
        <w:tc>
          <w:tcPr>
            <w:tcW w:w="0" w:type="auto"/>
            <w:vAlign w:val="center"/>
            <w:hideMark/>
          </w:tcPr>
          <w:p w14:paraId="7707CC62"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26,0</w:t>
            </w:r>
          </w:p>
        </w:tc>
      </w:tr>
      <w:tr w:rsidR="001002C3" w:rsidRPr="005E779E" w14:paraId="35076B64" w14:textId="77777777" w:rsidTr="001C3F77">
        <w:tc>
          <w:tcPr>
            <w:tcW w:w="0" w:type="auto"/>
            <w:vAlign w:val="center"/>
            <w:hideMark/>
          </w:tcPr>
          <w:p w14:paraId="783D8E9E"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Исследовательские работы по земному оборудованию</w:t>
            </w:r>
          </w:p>
        </w:tc>
        <w:tc>
          <w:tcPr>
            <w:tcW w:w="0" w:type="auto"/>
            <w:vAlign w:val="center"/>
            <w:hideMark/>
          </w:tcPr>
          <w:p w14:paraId="6C9541BA"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w:t>
            </w:r>
          </w:p>
        </w:tc>
      </w:tr>
      <w:tr w:rsidR="001002C3" w:rsidRPr="005E779E" w14:paraId="491D1677" w14:textId="77777777" w:rsidTr="001C3F77">
        <w:tc>
          <w:tcPr>
            <w:tcW w:w="0" w:type="auto"/>
            <w:vAlign w:val="center"/>
            <w:hideMark/>
          </w:tcPr>
          <w:p w14:paraId="78AFA7AD"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w:t>
            </w:r>
          </w:p>
        </w:tc>
        <w:tc>
          <w:tcPr>
            <w:tcW w:w="0" w:type="auto"/>
            <w:vAlign w:val="center"/>
            <w:hideMark/>
          </w:tcPr>
          <w:p w14:paraId="05C09B93"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116,0 тыс.руб.</w:t>
            </w:r>
          </w:p>
        </w:tc>
      </w:tr>
      <w:tr w:rsidR="001002C3" w:rsidRPr="005E779E" w14:paraId="4DFDD722" w14:textId="77777777" w:rsidTr="001C3F77">
        <w:tc>
          <w:tcPr>
            <w:tcW w:w="0" w:type="auto"/>
            <w:vAlign w:val="center"/>
            <w:hideMark/>
          </w:tcPr>
          <w:p w14:paraId="7BF3B8AE"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Научно-исследовательские работы:</w:t>
            </w:r>
          </w:p>
        </w:tc>
        <w:tc>
          <w:tcPr>
            <w:tcW w:w="0" w:type="auto"/>
            <w:vAlign w:val="center"/>
            <w:hideMark/>
          </w:tcPr>
          <w:p w14:paraId="5000E92A"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r>
      <w:tr w:rsidR="001002C3" w:rsidRPr="005E779E" w14:paraId="1E7F395F" w14:textId="77777777" w:rsidTr="001C3F77">
        <w:tc>
          <w:tcPr>
            <w:tcW w:w="0" w:type="auto"/>
            <w:vAlign w:val="center"/>
            <w:hideMark/>
          </w:tcPr>
          <w:p w14:paraId="1E331C41"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Работы по флегматизации водорода</w:t>
            </w:r>
          </w:p>
        </w:tc>
        <w:tc>
          <w:tcPr>
            <w:tcW w:w="0" w:type="auto"/>
            <w:vAlign w:val="center"/>
            <w:hideMark/>
          </w:tcPr>
          <w:p w14:paraId="29CFA87B"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200,0</w:t>
            </w:r>
          </w:p>
        </w:tc>
      </w:tr>
      <w:tr w:rsidR="001002C3" w:rsidRPr="005E779E" w14:paraId="10E7AF91" w14:textId="77777777" w:rsidTr="001C3F77">
        <w:tc>
          <w:tcPr>
            <w:tcW w:w="0" w:type="auto"/>
            <w:vAlign w:val="center"/>
            <w:hideMark/>
          </w:tcPr>
          <w:p w14:paraId="11C8BE51"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 Разработка методов очистки “постаревшего” водорода и гелия</w:t>
            </w:r>
          </w:p>
        </w:tc>
        <w:tc>
          <w:tcPr>
            <w:tcW w:w="0" w:type="auto"/>
            <w:vAlign w:val="center"/>
            <w:hideMark/>
          </w:tcPr>
          <w:p w14:paraId="5D39E3DE"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w:t>
            </w:r>
          </w:p>
        </w:tc>
      </w:tr>
      <w:tr w:rsidR="001002C3" w:rsidRPr="005E779E" w14:paraId="2540D59B" w14:textId="77777777" w:rsidTr="001C3F77">
        <w:tc>
          <w:tcPr>
            <w:tcW w:w="0" w:type="auto"/>
            <w:vAlign w:val="center"/>
            <w:hideMark/>
          </w:tcPr>
          <w:p w14:paraId="23470114"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 Работы по газопроницаемости водорода и гелия</w:t>
            </w:r>
          </w:p>
        </w:tc>
        <w:tc>
          <w:tcPr>
            <w:tcW w:w="0" w:type="auto"/>
            <w:vAlign w:val="center"/>
            <w:hideMark/>
          </w:tcPr>
          <w:p w14:paraId="760126F7"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w:t>
            </w:r>
          </w:p>
        </w:tc>
      </w:tr>
      <w:tr w:rsidR="001002C3" w:rsidRPr="005E779E" w14:paraId="120C6735" w14:textId="77777777" w:rsidTr="001C3F77">
        <w:tc>
          <w:tcPr>
            <w:tcW w:w="0" w:type="auto"/>
            <w:vAlign w:val="center"/>
            <w:hideMark/>
          </w:tcPr>
          <w:p w14:paraId="434F6929"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Работы по изучению обледенения воздушных судов</w:t>
            </w:r>
          </w:p>
        </w:tc>
        <w:tc>
          <w:tcPr>
            <w:tcW w:w="0" w:type="auto"/>
            <w:vAlign w:val="center"/>
            <w:hideMark/>
          </w:tcPr>
          <w:p w14:paraId="5882192B"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w:t>
            </w:r>
          </w:p>
        </w:tc>
      </w:tr>
      <w:tr w:rsidR="001002C3" w:rsidRPr="005E779E" w14:paraId="0DDD8029" w14:textId="77777777" w:rsidTr="001C3F77">
        <w:tc>
          <w:tcPr>
            <w:tcW w:w="0" w:type="auto"/>
            <w:vAlign w:val="center"/>
            <w:hideMark/>
          </w:tcPr>
          <w:p w14:paraId="00E014E7"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 Работы по динамическим перегрузкам и высотам воздушных судов</w:t>
            </w:r>
          </w:p>
        </w:tc>
        <w:tc>
          <w:tcPr>
            <w:tcW w:w="0" w:type="auto"/>
            <w:vAlign w:val="center"/>
            <w:hideMark/>
          </w:tcPr>
          <w:p w14:paraId="2F8EA1AF"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w:t>
            </w:r>
          </w:p>
        </w:tc>
      </w:tr>
      <w:tr w:rsidR="001002C3" w:rsidRPr="005E779E" w14:paraId="073A5FE4" w14:textId="77777777" w:rsidTr="001C3F77">
        <w:tc>
          <w:tcPr>
            <w:tcW w:w="0" w:type="auto"/>
            <w:vAlign w:val="center"/>
            <w:hideMark/>
          </w:tcPr>
          <w:p w14:paraId="058A4BC0"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Опытные работы по воздухоплавательному мотору “МД” на тяжелом и газовом топливе</w:t>
            </w:r>
          </w:p>
        </w:tc>
        <w:tc>
          <w:tcPr>
            <w:tcW w:w="0" w:type="auto"/>
            <w:vAlign w:val="center"/>
            <w:hideMark/>
          </w:tcPr>
          <w:p w14:paraId="2588ABFA"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w:t>
            </w:r>
          </w:p>
        </w:tc>
      </w:tr>
      <w:tr w:rsidR="001002C3" w:rsidRPr="005E779E" w14:paraId="1F987F42" w14:textId="77777777" w:rsidTr="001C3F77">
        <w:tc>
          <w:tcPr>
            <w:tcW w:w="0" w:type="auto"/>
            <w:vAlign w:val="center"/>
            <w:hideMark/>
          </w:tcPr>
          <w:p w14:paraId="657D634A"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21. Работы по конденсаторам балласта</w:t>
            </w:r>
          </w:p>
        </w:tc>
        <w:tc>
          <w:tcPr>
            <w:tcW w:w="0" w:type="auto"/>
            <w:vAlign w:val="center"/>
            <w:hideMark/>
          </w:tcPr>
          <w:p w14:paraId="1656EB95"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w:t>
            </w:r>
          </w:p>
        </w:tc>
      </w:tr>
      <w:tr w:rsidR="001002C3" w:rsidRPr="005E779E" w14:paraId="17246757" w14:textId="77777777" w:rsidTr="001C3F77">
        <w:tc>
          <w:tcPr>
            <w:tcW w:w="0" w:type="auto"/>
            <w:vAlign w:val="center"/>
            <w:hideMark/>
          </w:tcPr>
          <w:p w14:paraId="3856CF6F"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 Работы по аэродинамике и устойчивости воздушных судов</w:t>
            </w:r>
          </w:p>
        </w:tc>
        <w:tc>
          <w:tcPr>
            <w:tcW w:w="0" w:type="auto"/>
            <w:vAlign w:val="center"/>
            <w:hideMark/>
          </w:tcPr>
          <w:p w14:paraId="7560A199"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w:t>
            </w:r>
          </w:p>
        </w:tc>
      </w:tr>
      <w:tr w:rsidR="001002C3" w:rsidRPr="005E779E" w14:paraId="038B5A18" w14:textId="77777777" w:rsidTr="001C3F77">
        <w:tc>
          <w:tcPr>
            <w:tcW w:w="0" w:type="auto"/>
            <w:vAlign w:val="center"/>
            <w:hideMark/>
          </w:tcPr>
          <w:p w14:paraId="6A9D38B7"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Разработка методики гидростатических испытаний моделей воздушных судов</w:t>
            </w:r>
          </w:p>
        </w:tc>
        <w:tc>
          <w:tcPr>
            <w:tcW w:w="0" w:type="auto"/>
            <w:vAlign w:val="center"/>
            <w:hideMark/>
          </w:tcPr>
          <w:p w14:paraId="2C95A298"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25,0</w:t>
            </w:r>
          </w:p>
        </w:tc>
      </w:tr>
      <w:tr w:rsidR="001002C3" w:rsidRPr="005E779E" w14:paraId="563D81AD" w14:textId="77777777" w:rsidTr="001C3F77">
        <w:tc>
          <w:tcPr>
            <w:tcW w:w="0" w:type="auto"/>
            <w:vAlign w:val="center"/>
            <w:hideMark/>
          </w:tcPr>
          <w:p w14:paraId="140BF907"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 Работы по изучению термических и динамических напряжений в каркасах воздушных судов</w:t>
            </w:r>
          </w:p>
        </w:tc>
        <w:tc>
          <w:tcPr>
            <w:tcW w:w="0" w:type="auto"/>
            <w:vAlign w:val="center"/>
            <w:hideMark/>
          </w:tcPr>
          <w:p w14:paraId="2A5D3EC3"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w:t>
            </w:r>
          </w:p>
        </w:tc>
      </w:tr>
      <w:tr w:rsidR="001002C3" w:rsidRPr="005E779E" w14:paraId="2F8EF8C0" w14:textId="77777777" w:rsidTr="001C3F77">
        <w:tc>
          <w:tcPr>
            <w:tcW w:w="0" w:type="auto"/>
            <w:vAlign w:val="center"/>
            <w:hideMark/>
          </w:tcPr>
          <w:p w14:paraId="10A4A497"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Разработка технологии производства воздухоплавательных тканей и оболочек из них</w:t>
            </w:r>
          </w:p>
        </w:tc>
        <w:tc>
          <w:tcPr>
            <w:tcW w:w="0" w:type="auto"/>
            <w:vAlign w:val="center"/>
            <w:hideMark/>
          </w:tcPr>
          <w:p w14:paraId="174AE70F"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35,0</w:t>
            </w:r>
          </w:p>
        </w:tc>
      </w:tr>
      <w:tr w:rsidR="001002C3" w:rsidRPr="005E779E" w14:paraId="0467E1D3" w14:textId="77777777" w:rsidTr="001C3F77">
        <w:tc>
          <w:tcPr>
            <w:tcW w:w="0" w:type="auto"/>
            <w:vAlign w:val="center"/>
            <w:hideMark/>
          </w:tcPr>
          <w:p w14:paraId="1AE9B079"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w:t>
            </w:r>
          </w:p>
        </w:tc>
        <w:tc>
          <w:tcPr>
            <w:tcW w:w="0" w:type="auto"/>
            <w:vAlign w:val="center"/>
            <w:hideMark/>
          </w:tcPr>
          <w:p w14:paraId="1223D9D1"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530,0 тыс. руб.</w:t>
            </w:r>
          </w:p>
        </w:tc>
      </w:tr>
      <w:tr w:rsidR="001002C3" w:rsidRPr="005E779E" w14:paraId="2C3CFBB0" w14:textId="77777777" w:rsidTr="001C3F77">
        <w:tc>
          <w:tcPr>
            <w:tcW w:w="0" w:type="auto"/>
            <w:vAlign w:val="center"/>
            <w:hideMark/>
          </w:tcPr>
          <w:p w14:paraId="204F064A"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Подготовка кадров:</w:t>
            </w:r>
          </w:p>
        </w:tc>
        <w:tc>
          <w:tcPr>
            <w:tcW w:w="0" w:type="auto"/>
            <w:vAlign w:val="center"/>
            <w:hideMark/>
          </w:tcPr>
          <w:p w14:paraId="12B105EC"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r>
      <w:tr w:rsidR="001002C3" w:rsidRPr="005E779E" w14:paraId="1FF45B99" w14:textId="77777777" w:rsidTr="001C3F77">
        <w:tc>
          <w:tcPr>
            <w:tcW w:w="0" w:type="auto"/>
            <w:vAlign w:val="center"/>
            <w:hideMark/>
          </w:tcPr>
          <w:p w14:paraId="3A905752"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 Подготовка во ВТУЗ'е студентов</w:t>
            </w:r>
          </w:p>
        </w:tc>
        <w:tc>
          <w:tcPr>
            <w:tcW w:w="0" w:type="auto"/>
            <w:vAlign w:val="center"/>
            <w:hideMark/>
          </w:tcPr>
          <w:p w14:paraId="4E72AA19"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1.000,0</w:t>
            </w:r>
          </w:p>
        </w:tc>
      </w:tr>
      <w:tr w:rsidR="001002C3" w:rsidRPr="005E779E" w14:paraId="7B2E342E" w14:textId="77777777" w:rsidTr="001C3F77">
        <w:tc>
          <w:tcPr>
            <w:tcW w:w="0" w:type="auto"/>
            <w:vAlign w:val="center"/>
            <w:hideMark/>
          </w:tcPr>
          <w:p w14:paraId="7C6AC03D"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Подготовка на заводе Марти рабочих</w:t>
            </w:r>
          </w:p>
        </w:tc>
        <w:tc>
          <w:tcPr>
            <w:tcW w:w="0" w:type="auto"/>
            <w:vAlign w:val="center"/>
            <w:hideMark/>
          </w:tcPr>
          <w:p w14:paraId="265DE530"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w:t>
            </w:r>
          </w:p>
        </w:tc>
      </w:tr>
      <w:tr w:rsidR="001002C3" w:rsidRPr="005E779E" w14:paraId="7B84CAD3" w14:textId="77777777" w:rsidTr="001C3F77">
        <w:tc>
          <w:tcPr>
            <w:tcW w:w="0" w:type="auto"/>
            <w:vAlign w:val="center"/>
            <w:hideMark/>
          </w:tcPr>
          <w:p w14:paraId="3694CF6F"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 Подготовка летне-подъемного состава</w:t>
            </w:r>
          </w:p>
        </w:tc>
        <w:tc>
          <w:tcPr>
            <w:tcW w:w="0" w:type="auto"/>
            <w:vAlign w:val="center"/>
            <w:hideMark/>
          </w:tcPr>
          <w:p w14:paraId="05E69F95"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w:t>
            </w:r>
          </w:p>
        </w:tc>
      </w:tr>
      <w:tr w:rsidR="001002C3" w:rsidRPr="005E779E" w14:paraId="49B7191B" w14:textId="77777777" w:rsidTr="001C3F77">
        <w:tc>
          <w:tcPr>
            <w:tcW w:w="0" w:type="auto"/>
            <w:vAlign w:val="center"/>
            <w:hideMark/>
          </w:tcPr>
          <w:p w14:paraId="30660D98"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 Оборудование лабораторий</w:t>
            </w:r>
          </w:p>
        </w:tc>
        <w:tc>
          <w:tcPr>
            <w:tcW w:w="0" w:type="auto"/>
            <w:vAlign w:val="center"/>
            <w:hideMark/>
          </w:tcPr>
          <w:p w14:paraId="56244D52"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400,0</w:t>
            </w:r>
          </w:p>
        </w:tc>
      </w:tr>
      <w:tr w:rsidR="001002C3" w:rsidRPr="005E779E" w14:paraId="5ECED937" w14:textId="77777777" w:rsidTr="001C3F77">
        <w:tc>
          <w:tcPr>
            <w:tcW w:w="0" w:type="auto"/>
            <w:vAlign w:val="center"/>
            <w:hideMark/>
          </w:tcPr>
          <w:p w14:paraId="104B043E"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w:t>
            </w:r>
          </w:p>
        </w:tc>
        <w:tc>
          <w:tcPr>
            <w:tcW w:w="0" w:type="auto"/>
            <w:vAlign w:val="center"/>
            <w:hideMark/>
          </w:tcPr>
          <w:p w14:paraId="28EE736D"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1.480,0 тыс. руб.</w:t>
            </w:r>
          </w:p>
        </w:tc>
      </w:tr>
      <w:tr w:rsidR="001002C3" w:rsidRPr="005E779E" w14:paraId="38CD5CB6" w14:textId="77777777" w:rsidTr="001C3F77">
        <w:tc>
          <w:tcPr>
            <w:tcW w:w="0" w:type="auto"/>
            <w:vAlign w:val="center"/>
            <w:hideMark/>
          </w:tcPr>
          <w:p w14:paraId="406FEACC"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 Гелиевые работы:</w:t>
            </w:r>
          </w:p>
        </w:tc>
        <w:tc>
          <w:tcPr>
            <w:tcW w:w="0" w:type="auto"/>
            <w:vAlign w:val="center"/>
            <w:hideMark/>
          </w:tcPr>
          <w:p w14:paraId="208F6974"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1.840,0 тыс. руб.</w:t>
            </w:r>
          </w:p>
        </w:tc>
      </w:tr>
      <w:tr w:rsidR="001002C3" w:rsidRPr="005E779E" w14:paraId="5CD75CF2" w14:textId="77777777" w:rsidTr="001C3F77">
        <w:tc>
          <w:tcPr>
            <w:tcW w:w="0" w:type="auto"/>
            <w:vAlign w:val="center"/>
            <w:hideMark/>
          </w:tcPr>
          <w:p w14:paraId="396A763A"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Опытная эксплуатация кораблей:</w:t>
            </w:r>
          </w:p>
        </w:tc>
        <w:tc>
          <w:tcPr>
            <w:tcW w:w="0" w:type="auto"/>
            <w:vAlign w:val="center"/>
            <w:hideMark/>
          </w:tcPr>
          <w:p w14:paraId="44466D2E"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r>
      <w:tr w:rsidR="001002C3" w:rsidRPr="005E779E" w14:paraId="1575A7F5" w14:textId="77777777" w:rsidTr="001C3F77">
        <w:tc>
          <w:tcPr>
            <w:tcW w:w="0" w:type="auto"/>
            <w:vAlign w:val="center"/>
            <w:hideMark/>
          </w:tcPr>
          <w:p w14:paraId="4D158495"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 Расходы по эксплуатации кораблей в 2.200 куб. м</w:t>
            </w:r>
          </w:p>
        </w:tc>
        <w:tc>
          <w:tcPr>
            <w:tcW w:w="0" w:type="auto"/>
            <w:vAlign w:val="center"/>
            <w:hideMark/>
          </w:tcPr>
          <w:p w14:paraId="4D8C2BB5"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45,0</w:t>
            </w:r>
          </w:p>
        </w:tc>
      </w:tr>
      <w:tr w:rsidR="001002C3" w:rsidRPr="005E779E" w14:paraId="2A143023" w14:textId="77777777" w:rsidTr="001C3F77">
        <w:tc>
          <w:tcPr>
            <w:tcW w:w="0" w:type="auto"/>
            <w:vAlign w:val="center"/>
            <w:hideMark/>
          </w:tcPr>
          <w:p w14:paraId="5DB91661"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32. Расходы по эксплуатации кораблей в 7.500 куб. м</w:t>
            </w:r>
          </w:p>
        </w:tc>
        <w:tc>
          <w:tcPr>
            <w:tcW w:w="0" w:type="auto"/>
            <w:vAlign w:val="center"/>
            <w:hideMark/>
          </w:tcPr>
          <w:p w14:paraId="209C5FCE"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63,0</w:t>
            </w:r>
          </w:p>
        </w:tc>
      </w:tr>
      <w:tr w:rsidR="001002C3" w:rsidRPr="005E779E" w14:paraId="46E04EC1" w14:textId="77777777" w:rsidTr="001C3F77">
        <w:tc>
          <w:tcPr>
            <w:tcW w:w="0" w:type="auto"/>
            <w:vAlign w:val="center"/>
            <w:hideMark/>
          </w:tcPr>
          <w:p w14:paraId="6387816F"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w:t>
            </w:r>
          </w:p>
        </w:tc>
        <w:tc>
          <w:tcPr>
            <w:tcW w:w="0" w:type="auto"/>
            <w:vAlign w:val="center"/>
            <w:hideMark/>
          </w:tcPr>
          <w:p w14:paraId="607D6D8B"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108,0 тыс. руб.</w:t>
            </w:r>
          </w:p>
        </w:tc>
      </w:tr>
      <w:tr w:rsidR="001002C3" w:rsidRPr="005E779E" w14:paraId="0AAED45B" w14:textId="77777777" w:rsidTr="001C3F77">
        <w:tc>
          <w:tcPr>
            <w:tcW w:w="0" w:type="auto"/>
            <w:vAlign w:val="center"/>
            <w:hideMark/>
          </w:tcPr>
          <w:p w14:paraId="263A131D"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Административно-хозяйственные расходы:</w:t>
            </w:r>
          </w:p>
        </w:tc>
        <w:tc>
          <w:tcPr>
            <w:tcW w:w="0" w:type="auto"/>
            <w:vAlign w:val="center"/>
            <w:hideMark/>
          </w:tcPr>
          <w:p w14:paraId="1CFC0093"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r>
      <w:tr w:rsidR="001002C3" w:rsidRPr="005E779E" w14:paraId="02642F04" w14:textId="77777777" w:rsidTr="001C3F77">
        <w:tc>
          <w:tcPr>
            <w:tcW w:w="0" w:type="auto"/>
            <w:vAlign w:val="center"/>
            <w:hideMark/>
          </w:tcPr>
          <w:p w14:paraId="70156F70"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33. Содержание НИИСЭД</w:t>
            </w:r>
          </w:p>
        </w:tc>
        <w:tc>
          <w:tcPr>
            <w:tcW w:w="0" w:type="auto"/>
            <w:vAlign w:val="center"/>
            <w:hideMark/>
          </w:tcPr>
          <w:p w14:paraId="0161075D"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112,0</w:t>
            </w:r>
          </w:p>
        </w:tc>
      </w:tr>
      <w:tr w:rsidR="001002C3" w:rsidRPr="005E779E" w14:paraId="0E33C21F" w14:textId="77777777" w:rsidTr="001C3F77">
        <w:tc>
          <w:tcPr>
            <w:tcW w:w="0" w:type="auto"/>
            <w:vAlign w:val="center"/>
            <w:hideMark/>
          </w:tcPr>
          <w:p w14:paraId="586C50B8"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34. Ремонт (или приобретение; зданий для Института и его работников (ориентировочно)</w:t>
            </w:r>
          </w:p>
        </w:tc>
        <w:tc>
          <w:tcPr>
            <w:tcW w:w="0" w:type="auto"/>
            <w:vAlign w:val="center"/>
            <w:hideMark/>
          </w:tcPr>
          <w:p w14:paraId="4E6184E2"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200,0</w:t>
            </w:r>
          </w:p>
        </w:tc>
      </w:tr>
      <w:tr w:rsidR="001002C3" w:rsidRPr="005E779E" w14:paraId="4F639B66" w14:textId="77777777" w:rsidTr="001C3F77">
        <w:tc>
          <w:tcPr>
            <w:tcW w:w="0" w:type="auto"/>
            <w:vAlign w:val="center"/>
            <w:hideMark/>
          </w:tcPr>
          <w:p w14:paraId="72AAE7F0"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w:t>
            </w:r>
          </w:p>
        </w:tc>
        <w:tc>
          <w:tcPr>
            <w:tcW w:w="0" w:type="auto"/>
            <w:vAlign w:val="center"/>
            <w:hideMark/>
          </w:tcPr>
          <w:p w14:paraId="2190E9BC"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312,0 тыс. руб.</w:t>
            </w:r>
          </w:p>
        </w:tc>
      </w:tr>
      <w:tr w:rsidR="001002C3" w:rsidRPr="005E779E" w14:paraId="3E1220B4" w14:textId="77777777" w:rsidTr="001C3F77">
        <w:tc>
          <w:tcPr>
            <w:tcW w:w="0" w:type="auto"/>
            <w:vAlign w:val="center"/>
            <w:hideMark/>
          </w:tcPr>
          <w:p w14:paraId="3B4D8A8C"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w:t>
            </w:r>
          </w:p>
        </w:tc>
        <w:tc>
          <w:tcPr>
            <w:tcW w:w="0" w:type="auto"/>
            <w:vAlign w:val="center"/>
            <w:hideMark/>
          </w:tcPr>
          <w:p w14:paraId="28C8E551"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6.400,0 тыс. руб.</w:t>
            </w:r>
          </w:p>
        </w:tc>
      </w:tr>
      <w:tr w:rsidR="001002C3" w:rsidRPr="005E779E" w14:paraId="3DC48E3A" w14:textId="77777777" w:rsidTr="001C3F77">
        <w:tc>
          <w:tcPr>
            <w:tcW w:w="0" w:type="auto"/>
            <w:vAlign w:val="center"/>
            <w:hideMark/>
          </w:tcPr>
          <w:p w14:paraId="587D6FC8"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Кроме того резерв и на организационно-конструкторское бюро по крупному дирижаблестроению</w:t>
            </w:r>
          </w:p>
        </w:tc>
        <w:tc>
          <w:tcPr>
            <w:tcW w:w="0" w:type="auto"/>
            <w:vAlign w:val="center"/>
            <w:hideMark/>
          </w:tcPr>
          <w:p w14:paraId="5F36360E"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-1.000,0</w:t>
            </w:r>
          </w:p>
        </w:tc>
      </w:tr>
      <w:tr w:rsidR="001002C3" w:rsidRPr="005E779E" w14:paraId="34D8F0EE" w14:textId="77777777" w:rsidTr="001C3F77">
        <w:tc>
          <w:tcPr>
            <w:tcW w:w="0" w:type="auto"/>
            <w:vAlign w:val="center"/>
            <w:hideMark/>
          </w:tcPr>
          <w:p w14:paraId="38912A6D"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w:t>
            </w:r>
          </w:p>
        </w:tc>
        <w:tc>
          <w:tcPr>
            <w:tcW w:w="0" w:type="auto"/>
            <w:vAlign w:val="center"/>
            <w:hideMark/>
          </w:tcPr>
          <w:p w14:paraId="34156BE5"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1.000,0 тыс. руб.</w:t>
            </w:r>
          </w:p>
        </w:tc>
      </w:tr>
    </w:tbl>
    <w:p w14:paraId="019FB1E8" w14:textId="4E6DEAE9"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 С.</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Уншлихт</w:t>
      </w:r>
    </w:p>
    <w:p w14:paraId="6678C3C8" w14:textId="77777777" w:rsidR="00C4563B" w:rsidRPr="005E779E" w:rsidRDefault="00C456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(18121).</w:t>
      </w:r>
    </w:p>
    <w:p w14:paraId="41FBB9D5" w14:textId="77777777" w:rsidR="00C4563B" w:rsidRPr="005E779E" w:rsidRDefault="00C4563B" w:rsidP="000B7A6C">
      <w:pPr>
        <w:spacing w:after="0" w:line="240" w:lineRule="auto"/>
        <w:jc w:val="both"/>
        <w:rPr>
          <w:rFonts w:ascii="Times New Roman" w:hAnsi="Times New Roman"/>
          <w:color w:val="000000" w:themeColor="text1"/>
          <w:sz w:val="16"/>
          <w:szCs w:val="16"/>
        </w:rPr>
      </w:pPr>
    </w:p>
    <w:p w14:paraId="113F9DC1" w14:textId="77777777" w:rsidR="00941306" w:rsidRPr="005E779E" w:rsidRDefault="009413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апреля 1931 г. Постановлением СТО в ВО ГВФ воссоздали в Москве Базу опытного строи</w:t>
      </w:r>
      <w:r w:rsidRPr="005E779E">
        <w:rPr>
          <w:rFonts w:ascii="Times New Roman" w:hAnsi="Times New Roman"/>
          <w:color w:val="000000" w:themeColor="text1"/>
          <w:sz w:val="16"/>
          <w:szCs w:val="16"/>
        </w:rPr>
        <w:softHyphen/>
        <w:t>тельства и эксплуатации дирижаблей (БОСЭД) (20120).</w:t>
      </w:r>
    </w:p>
    <w:p w14:paraId="5093A66A" w14:textId="77777777" w:rsidR="00941306" w:rsidRPr="005E779E" w:rsidRDefault="00941306" w:rsidP="000B7A6C">
      <w:pPr>
        <w:spacing w:after="0" w:line="240" w:lineRule="auto"/>
        <w:jc w:val="both"/>
        <w:rPr>
          <w:rFonts w:ascii="Times New Roman" w:hAnsi="Times New Roman"/>
          <w:color w:val="000000" w:themeColor="text1"/>
          <w:sz w:val="16"/>
          <w:szCs w:val="16"/>
        </w:rPr>
      </w:pPr>
    </w:p>
    <w:p w14:paraId="7114EE14"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4AFE5CF7"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B4158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апреля 1931 года Постановлением Совета Народных Комиссаров СССР в системе Гражданского воздушного флота создали специальное подразделение - Базу опытного строительства и эксплуатации дирижаблей, которая располагалась в Москве. Вскоре БОСЭД переименовали в Научно-исследовательский комбинат по опытному строительству и эксплуатации дирижаблей - Дирижаблестрой. Таким образом, в Москве началось создание государственного центра, в ведение которого переподчинялись все организации, связанные со строительством и использованием дирижаблей. Дирижаблестрой стал центром притяжения наиболее опытных кадров в этой сфере покорения воздушного пространства (11269).</w:t>
      </w:r>
    </w:p>
    <w:p w14:paraId="34EF1D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458D4A3" w14:textId="77777777" w:rsidR="00EF2E51" w:rsidRPr="005E779E" w:rsidRDefault="00EF2E51"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25 апреля 1931 </w:t>
      </w:r>
      <w:r w:rsidRPr="005E779E">
        <w:rPr>
          <w:rFonts w:ascii="Times New Roman" w:hAnsi="Times New Roman"/>
          <w:color w:val="000000" w:themeColor="text1"/>
          <w:sz w:val="16"/>
          <w:szCs w:val="16"/>
        </w:rPr>
        <w:t>Политбюро ЦК ВКП (б) признало первоочередным строительство комбайновых заводов в Саратове, Новосибирске, Ростове-на-Дону и Запорожье и предложило ВСНХ обеспечить эти заводы агрегатами и деталями; утвердило предложение комиссии о сырье для хлопчатобумажной промышленности на 1931 г (12265).</w:t>
      </w:r>
    </w:p>
    <w:p w14:paraId="6EE26401" w14:textId="77777777" w:rsidR="00EF2E51" w:rsidRPr="005E779E" w:rsidRDefault="00EF2E5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7E235E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апреля 1931 года эскизный проект быстроходного траль</w:t>
      </w:r>
      <w:r w:rsidRPr="005E779E">
        <w:rPr>
          <w:rFonts w:ascii="Times New Roman" w:hAnsi="Times New Roman"/>
          <w:color w:val="000000" w:themeColor="text1"/>
          <w:sz w:val="16"/>
          <w:szCs w:val="16"/>
        </w:rPr>
        <w:softHyphen/>
        <w:t>щика стандартным водоизмещением 360 т был утвержден Реввоен</w:t>
      </w:r>
      <w:r w:rsidRPr="005E779E">
        <w:rPr>
          <w:rFonts w:ascii="Times New Roman" w:hAnsi="Times New Roman"/>
          <w:color w:val="000000" w:themeColor="text1"/>
          <w:sz w:val="16"/>
          <w:szCs w:val="16"/>
        </w:rPr>
        <w:softHyphen/>
        <w:t>советом.</w:t>
      </w:r>
    </w:p>
    <w:p w14:paraId="2DF48E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Составление общего проекта поручили ЦКБС , где его возгла</w:t>
      </w:r>
      <w:r w:rsidRPr="005E779E">
        <w:rPr>
          <w:rFonts w:ascii="Times New Roman" w:hAnsi="Times New Roman"/>
          <w:color w:val="000000" w:themeColor="text1"/>
          <w:sz w:val="16"/>
          <w:szCs w:val="16"/>
        </w:rPr>
        <w:softHyphen/>
        <w:t>вил Л. В. Дикович, ближайшими помощниками которого стали Ф. П. Мурагин и Г. М. Вераксо (3898).</w:t>
      </w:r>
    </w:p>
    <w:p w14:paraId="1A0CD6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987A6C3"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64157AE7"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718D7B2" w14:textId="77777777" w:rsidR="00EF2E51" w:rsidRPr="005E779E" w:rsidRDefault="00EF2E5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 апреля 1931 г. представители НИИ ВВС инженеры Б.Т. Горощенко и В.С. Вах</w:t>
      </w:r>
      <w:r w:rsidRPr="005E779E">
        <w:rPr>
          <w:rFonts w:ascii="Times New Roman" w:hAnsi="Times New Roman"/>
          <w:color w:val="000000" w:themeColor="text1"/>
          <w:sz w:val="16"/>
          <w:szCs w:val="16"/>
        </w:rPr>
        <w:softHyphen/>
        <w:t>мистров подписали ТТТ к тяжелому сухо</w:t>
      </w:r>
      <w:r w:rsidRPr="005E779E">
        <w:rPr>
          <w:rFonts w:ascii="Times New Roman" w:hAnsi="Times New Roman"/>
          <w:color w:val="000000" w:themeColor="text1"/>
          <w:sz w:val="16"/>
          <w:szCs w:val="16"/>
        </w:rPr>
        <w:softHyphen/>
        <w:t>путному бомбардировщику ТБ-5. Самолет с четырьмя двигателями «Юпитер» IV мощностью по 480 л.с. каждый, должен был обладать следующими характери</w:t>
      </w:r>
      <w:r w:rsidRPr="005E779E">
        <w:rPr>
          <w:rFonts w:ascii="Times New Roman" w:hAnsi="Times New Roman"/>
          <w:color w:val="000000" w:themeColor="text1"/>
          <w:sz w:val="16"/>
          <w:szCs w:val="16"/>
        </w:rPr>
        <w:softHyphen/>
        <w:t>стиками:</w:t>
      </w:r>
    </w:p>
    <w:p w14:paraId="7F179117" w14:textId="77777777" w:rsidR="00EF2E51" w:rsidRPr="005E779E" w:rsidRDefault="00EF2E51" w:rsidP="000B7A6C">
      <w:pPr>
        <w:numPr>
          <w:ilvl w:val="0"/>
          <w:numId w:val="1"/>
        </w:numPr>
        <w:tabs>
          <w:tab w:val="left" w:pos="390"/>
        </w:tabs>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дальность полета с полезной нагруз</w:t>
      </w:r>
      <w:r w:rsidRPr="005E779E">
        <w:rPr>
          <w:rFonts w:ascii="Times New Roman" w:hAnsi="Times New Roman"/>
          <w:color w:val="000000" w:themeColor="text1"/>
          <w:sz w:val="16"/>
          <w:szCs w:val="16"/>
        </w:rPr>
        <w:softHyphen/>
        <w:t>кой 2800 кг на высоте 3000 м - 1200 км;</w:t>
      </w:r>
    </w:p>
    <w:p w14:paraId="46261FDC" w14:textId="77777777" w:rsidR="00EF2E51" w:rsidRPr="005E779E" w:rsidRDefault="00EF2E51" w:rsidP="000B7A6C">
      <w:pPr>
        <w:numPr>
          <w:ilvl w:val="0"/>
          <w:numId w:val="1"/>
        </w:numPr>
        <w:tabs>
          <w:tab w:val="left" w:pos="396"/>
        </w:tabs>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скорость — 210 км/ч;</w:t>
      </w:r>
    </w:p>
    <w:p w14:paraId="3FA1022E" w14:textId="77777777" w:rsidR="00EF2E51" w:rsidRPr="005E779E" w:rsidRDefault="00EF2E51" w:rsidP="000B7A6C">
      <w:pPr>
        <w:numPr>
          <w:ilvl w:val="0"/>
          <w:numId w:val="1"/>
        </w:numPr>
        <w:tabs>
          <w:tab w:val="left" w:pos="401"/>
        </w:tabs>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практический потолок — 5000 м;</w:t>
      </w:r>
    </w:p>
    <w:p w14:paraId="1EDD6E96" w14:textId="77777777" w:rsidR="00EF2E51" w:rsidRPr="005E779E" w:rsidRDefault="00EF2E5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rPr>
        <w:tab/>
        <w:t>экипаж —6 чел.;</w:t>
      </w:r>
    </w:p>
    <w:p w14:paraId="2FE83C19" w14:textId="77777777" w:rsidR="00EF2E51" w:rsidRPr="005E779E" w:rsidRDefault="00EF2E51" w:rsidP="000B7A6C">
      <w:pPr>
        <w:numPr>
          <w:ilvl w:val="0"/>
          <w:numId w:val="1"/>
        </w:numPr>
        <w:tabs>
          <w:tab w:val="left" w:pos="399"/>
        </w:tabs>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бомбовая нагрузка — 1500 кг (с пере</w:t>
      </w:r>
      <w:r w:rsidRPr="005E779E">
        <w:rPr>
          <w:rFonts w:ascii="Times New Roman" w:hAnsi="Times New Roman"/>
          <w:color w:val="000000" w:themeColor="text1"/>
          <w:sz w:val="16"/>
          <w:szCs w:val="16"/>
        </w:rPr>
        <w:softHyphen/>
        <w:t>грузкой до 3200 кг).</w:t>
      </w:r>
    </w:p>
    <w:p w14:paraId="7B56491F" w14:textId="77777777" w:rsidR="00EF2E51" w:rsidRPr="005E779E" w:rsidRDefault="00EF2E5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скорейшего создания ТБ-5 моби</w:t>
      </w:r>
      <w:r w:rsidRPr="005E779E">
        <w:rPr>
          <w:rFonts w:ascii="Times New Roman" w:hAnsi="Times New Roman"/>
          <w:color w:val="000000" w:themeColor="text1"/>
          <w:sz w:val="16"/>
          <w:szCs w:val="16"/>
        </w:rPr>
        <w:softHyphen/>
        <w:t>лизовали практически весь состав ЦКБ и большинство технического персонала завода №39. Самолет №8 спроектировали и построили всего за год, что, несо</w:t>
      </w:r>
      <w:r w:rsidRPr="005E779E">
        <w:rPr>
          <w:rFonts w:ascii="Times New Roman" w:hAnsi="Times New Roman"/>
          <w:color w:val="000000" w:themeColor="text1"/>
          <w:sz w:val="16"/>
          <w:szCs w:val="16"/>
        </w:rPr>
        <w:softHyphen/>
        <w:t>мненно, являлось рекордным сроком для такой крупной и трудоемкой машины. Не следует забывать, что в этот же период Григорович получил задание на проекти</w:t>
      </w:r>
      <w:r w:rsidRPr="005E779E">
        <w:rPr>
          <w:rFonts w:ascii="Times New Roman" w:hAnsi="Times New Roman"/>
          <w:color w:val="000000" w:themeColor="text1"/>
          <w:sz w:val="16"/>
          <w:szCs w:val="16"/>
        </w:rPr>
        <w:softHyphen/>
        <w:t>рование пушечного истребителя И-2 — обе машины строились и были закончены почти в одно время. Очевидно, готовность обоих аппаратов была определена в мае 1931 г. — именно тогда конструктор Григо</w:t>
      </w:r>
      <w:r w:rsidRPr="005E779E">
        <w:rPr>
          <w:rFonts w:ascii="Times New Roman" w:hAnsi="Times New Roman"/>
          <w:color w:val="000000" w:themeColor="text1"/>
          <w:sz w:val="16"/>
          <w:szCs w:val="16"/>
        </w:rPr>
        <w:softHyphen/>
        <w:t>рович советской властью был амнистиро</w:t>
      </w:r>
      <w:r w:rsidRPr="005E779E">
        <w:rPr>
          <w:rFonts w:ascii="Times New Roman" w:hAnsi="Times New Roman"/>
          <w:color w:val="000000" w:themeColor="text1"/>
          <w:sz w:val="16"/>
          <w:szCs w:val="16"/>
        </w:rPr>
        <w:softHyphen/>
        <w:t>ван и далее работал как вольнонаемный человек и гражданин.</w:t>
      </w:r>
    </w:p>
    <w:p w14:paraId="38401363" w14:textId="77777777" w:rsidR="00EF2E51" w:rsidRPr="005E779E" w:rsidRDefault="00EF2E5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схеме ТБ-5 представлял собой высокоплан с разнесенным вертикальным оперением. Горизонтальное оперение имело дополнительную узкую плоскость с изменяемым в полете углом установки, которую называли стабилирон. Назначе</w:t>
      </w:r>
      <w:r w:rsidRPr="005E779E">
        <w:rPr>
          <w:rFonts w:ascii="Times New Roman" w:hAnsi="Times New Roman"/>
          <w:color w:val="000000" w:themeColor="text1"/>
          <w:sz w:val="16"/>
          <w:szCs w:val="16"/>
        </w:rPr>
        <w:softHyphen/>
        <w:t>ние стабилирона — облегчить усилия на рулях во время посадки и при изменении центровки.</w:t>
      </w:r>
    </w:p>
    <w:p w14:paraId="0D3490D0" w14:textId="77777777" w:rsidR="00EF2E51" w:rsidRPr="005E779E" w:rsidRDefault="00EF2E5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Конструкция самолета из металла с полотняной обшивкой. Фюзеляж фер</w:t>
      </w:r>
      <w:r w:rsidRPr="005E779E">
        <w:rPr>
          <w:rFonts w:ascii="Times New Roman" w:hAnsi="Times New Roman"/>
          <w:color w:val="000000" w:themeColor="text1"/>
          <w:sz w:val="16"/>
          <w:szCs w:val="16"/>
        </w:rPr>
        <w:softHyphen/>
        <w:t>менной конструкции, из труб, достаточно объемный. Бомбы крепились внутри по его бортам, на балках ДЕР-18 (в варианте с двигателями ФЭД до 2500 кг), поэтому члены экипажа могли свободно передви</w:t>
      </w:r>
      <w:r w:rsidRPr="005E779E">
        <w:rPr>
          <w:rFonts w:ascii="Times New Roman" w:hAnsi="Times New Roman"/>
          <w:color w:val="000000" w:themeColor="text1"/>
          <w:sz w:val="16"/>
          <w:szCs w:val="16"/>
        </w:rPr>
        <w:softHyphen/>
        <w:t>гаться по самолету от носа до хвоста. Для обеспечения транспортировки по железной дороге фюзеляж состоял из трех разъем</w:t>
      </w:r>
      <w:r w:rsidRPr="005E779E">
        <w:rPr>
          <w:rFonts w:ascii="Times New Roman" w:hAnsi="Times New Roman"/>
          <w:color w:val="000000" w:themeColor="text1"/>
          <w:sz w:val="16"/>
          <w:szCs w:val="16"/>
        </w:rPr>
        <w:softHyphen/>
        <w:t>ных частей: носовой — до задней кромки крыла, средней — до передней кромки стабилизатора, и хвостовой. Добавим, что согласно проекту, в длительных полетах летчики могли пользоваться туалетной комнатой и четырьмя подвесными гама</w:t>
      </w:r>
      <w:r w:rsidRPr="005E779E">
        <w:rPr>
          <w:rFonts w:ascii="Times New Roman" w:hAnsi="Times New Roman"/>
          <w:color w:val="000000" w:themeColor="text1"/>
          <w:sz w:val="16"/>
          <w:szCs w:val="16"/>
        </w:rPr>
        <w:softHyphen/>
        <w:t>ками для отдыха.</w:t>
      </w:r>
    </w:p>
    <w:p w14:paraId="34A438DB" w14:textId="77777777" w:rsidR="00EF2E51" w:rsidRPr="005E779E" w:rsidRDefault="00EF2E5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Оборонительное вооружение ТБ-5 состояло из трех турелей ТУ Р-5 со спарен</w:t>
      </w:r>
      <w:r w:rsidRPr="005E779E">
        <w:rPr>
          <w:rFonts w:ascii="Times New Roman" w:hAnsi="Times New Roman"/>
          <w:color w:val="000000" w:themeColor="text1"/>
          <w:sz w:val="16"/>
          <w:szCs w:val="16"/>
        </w:rPr>
        <w:softHyphen/>
        <w:t>ными пулеметами ДА. Одна турель нахо</w:t>
      </w:r>
      <w:r w:rsidRPr="005E779E">
        <w:rPr>
          <w:rFonts w:ascii="Times New Roman" w:hAnsi="Times New Roman"/>
          <w:color w:val="000000" w:themeColor="text1"/>
          <w:sz w:val="16"/>
          <w:szCs w:val="16"/>
        </w:rPr>
        <w:softHyphen/>
        <w:t>дилась над штурманской кабиной, перед фонарем пилотов. Кроме этого имелась одна центральная ТУР-5 сразу за крылом и еще одна турель в самом хвосте.</w:t>
      </w:r>
    </w:p>
    <w:p w14:paraId="1B25F35E" w14:textId="77777777" w:rsidR="00EF2E51" w:rsidRPr="005E779E" w:rsidRDefault="00EF2E5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Особое место в носовой части фюзе</w:t>
      </w:r>
      <w:r w:rsidRPr="005E779E">
        <w:rPr>
          <w:rFonts w:ascii="Times New Roman" w:hAnsi="Times New Roman"/>
          <w:color w:val="000000" w:themeColor="text1"/>
          <w:sz w:val="16"/>
          <w:szCs w:val="16"/>
        </w:rPr>
        <w:softHyphen/>
        <w:t>ляжа отводилось подвижной стрелковой башне, разработанной в секции вооруже</w:t>
      </w:r>
      <w:r w:rsidRPr="005E779E">
        <w:rPr>
          <w:rFonts w:ascii="Times New Roman" w:hAnsi="Times New Roman"/>
          <w:color w:val="000000" w:themeColor="text1"/>
          <w:sz w:val="16"/>
          <w:szCs w:val="16"/>
        </w:rPr>
        <w:softHyphen/>
        <w:t>ния под руководством А.В. Надашкевича. Практически это была первая в стране заявка на серьезную механизированную и электрифицированную оборонитель</w:t>
      </w:r>
      <w:r w:rsidRPr="005E779E">
        <w:rPr>
          <w:rFonts w:ascii="Times New Roman" w:hAnsi="Times New Roman"/>
          <w:color w:val="000000" w:themeColor="text1"/>
          <w:sz w:val="16"/>
          <w:szCs w:val="16"/>
        </w:rPr>
        <w:softHyphen/>
        <w:t>ную установку. Конструктор вооружения Г.М. Можаровский, который принимал участие в этой работе, впоследствии вспоминал: «Башня представляла собой цилиндрической формы стакан, вра</w:t>
      </w:r>
      <w:r w:rsidRPr="005E779E">
        <w:rPr>
          <w:rFonts w:ascii="Times New Roman" w:hAnsi="Times New Roman"/>
          <w:color w:val="000000" w:themeColor="text1"/>
          <w:sz w:val="16"/>
          <w:szCs w:val="16"/>
        </w:rPr>
        <w:softHyphen/>
        <w:t>щающийся вокруг вертикальной оси, имела узкую щель для движения двух пулеметов в вертикальной плоскости. Перемещение пулеметов в горизонтальной плоскости производилось одновременно с поворотом башни. Стрелок размещался внутри этого стакана и, в случае необходимости, мог выброситься через большую дверь, рас</w:t>
      </w:r>
      <w:r w:rsidRPr="005E779E">
        <w:rPr>
          <w:rFonts w:ascii="Times New Roman" w:hAnsi="Times New Roman"/>
          <w:color w:val="000000" w:themeColor="text1"/>
          <w:sz w:val="16"/>
          <w:szCs w:val="16"/>
        </w:rPr>
        <w:softHyphen/>
        <w:t>положенную за его спиной.</w:t>
      </w:r>
    </w:p>
    <w:p w14:paraId="19F60D68" w14:textId="77777777" w:rsidR="00EF2E51" w:rsidRPr="005E779E" w:rsidRDefault="00EF2E5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Эта носовая башня должна была заключать в себе ряд новинок. В ней впервые предстояло установить два спаренных станковых пулемета ПВ-1, сделанных на базе пехотных «максимов», у которых вместо водяного применялось воздушное охлаждение. Башня, являв</w:t>
      </w:r>
      <w:r w:rsidRPr="005E779E">
        <w:rPr>
          <w:rFonts w:ascii="Times New Roman" w:hAnsi="Times New Roman"/>
          <w:color w:val="000000" w:themeColor="text1"/>
          <w:sz w:val="16"/>
          <w:szCs w:val="16"/>
        </w:rPr>
        <w:softHyphen/>
        <w:t>шаяся подвижной установкой, впервые вооружалась пулеметами с непрерывным ленточным питанием. Поворот башни в горизонтальной плоскости происходил от электропривода, а в вертикальной плоско</w:t>
      </w:r>
      <w:r w:rsidRPr="005E779E">
        <w:rPr>
          <w:rFonts w:ascii="Times New Roman" w:hAnsi="Times New Roman"/>
          <w:color w:val="000000" w:themeColor="text1"/>
          <w:sz w:val="16"/>
          <w:szCs w:val="16"/>
        </w:rPr>
        <w:softHyphen/>
        <w:t>сти его производил сам стрелок, сидевший на сиденье и своим весом уравновеши</w:t>
      </w:r>
      <w:r w:rsidRPr="005E779E">
        <w:rPr>
          <w:rFonts w:ascii="Times New Roman" w:hAnsi="Times New Roman"/>
          <w:color w:val="000000" w:themeColor="text1"/>
          <w:sz w:val="16"/>
          <w:szCs w:val="16"/>
        </w:rPr>
        <w:softHyphen/>
        <w:t>вающий вес оружия. Чтобы осуществлять наводку оружия в вертикальной плоскости, достаточно было стрелку легко упереться ногами в пол».</w:t>
      </w:r>
    </w:p>
    <w:p w14:paraId="0F6D015C" w14:textId="77777777" w:rsidR="00EF2E51" w:rsidRPr="005E779E" w:rsidRDefault="00EF2E5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Крыло ТБ-5 трехлонжеронное, с частым шагом нервюр (поэтому и очень трудоем</w:t>
      </w:r>
      <w:r w:rsidRPr="005E779E">
        <w:rPr>
          <w:rFonts w:ascii="Times New Roman" w:hAnsi="Times New Roman"/>
          <w:color w:val="000000" w:themeColor="text1"/>
          <w:sz w:val="16"/>
          <w:szCs w:val="16"/>
        </w:rPr>
        <w:softHyphen/>
        <w:t>кое, особенно но части крепления полотня</w:t>
      </w:r>
      <w:r w:rsidRPr="005E779E">
        <w:rPr>
          <w:rFonts w:ascii="Times New Roman" w:hAnsi="Times New Roman"/>
          <w:color w:val="000000" w:themeColor="text1"/>
          <w:sz w:val="16"/>
          <w:szCs w:val="16"/>
        </w:rPr>
        <w:softHyphen/>
        <w:t>ной обшивки), имело небольшие подкосы к фюзеляжу. Дополнительным назначением подкосов было получение более жесткой конструкции крепления двигателей.</w:t>
      </w:r>
    </w:p>
    <w:p w14:paraId="63D9F133" w14:textId="77777777" w:rsidR="00EF2E51" w:rsidRPr="005E779E" w:rsidRDefault="00EF2E5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самолете с каждой стороны фюзеляжа под крылом устанавливались по два двига</w:t>
      </w:r>
      <w:r w:rsidRPr="005E779E">
        <w:rPr>
          <w:rFonts w:ascii="Times New Roman" w:hAnsi="Times New Roman"/>
          <w:color w:val="000000" w:themeColor="text1"/>
          <w:sz w:val="16"/>
          <w:szCs w:val="16"/>
        </w:rPr>
        <w:softHyphen/>
        <w:t>теля Гном Рон «Юпитер» мощностью 480 л.с. (у нас впоследствии его обозначали как М-22), один за другим, причем задний двигатель был снабжен для улучшения охлаждения головок цилиндров кольцом Тауненда. Воздушные винты деревянные, передний — тянущий, задний — толкающий (12611).</w:t>
      </w:r>
    </w:p>
    <w:p w14:paraId="3B071602" w14:textId="77777777" w:rsidR="00EF2E51" w:rsidRPr="005E779E" w:rsidRDefault="00EF2E51" w:rsidP="000B7A6C">
      <w:pPr>
        <w:spacing w:after="0" w:line="240" w:lineRule="auto"/>
        <w:jc w:val="both"/>
        <w:rPr>
          <w:rFonts w:ascii="Times New Roman" w:hAnsi="Times New Roman"/>
          <w:color w:val="000000" w:themeColor="text1"/>
          <w:sz w:val="16"/>
          <w:szCs w:val="16"/>
          <w:u w:color="002060"/>
        </w:rPr>
      </w:pPr>
    </w:p>
    <w:p w14:paraId="19E4147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 апреля 1931 года Гроховский писал письмо наркому по военным и морским делам и председателю РВС Ворошилову:</w:t>
      </w:r>
    </w:p>
    <w:p w14:paraId="5DF19C2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Работая с 1923 года в Воздушном флоте мне часто приходилось сталкиваться с недочетами в организации воздушного флота.</w:t>
      </w:r>
    </w:p>
    <w:p w14:paraId="1900613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назначением на должность начальника ВС Баранова ожидалось повышение и укрепление боеспособности воздушного флота, что же мы видим во время командования Баранова:</w:t>
      </w:r>
    </w:p>
    <w:p w14:paraId="3E9EDED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(недостатки по пунктам).</w:t>
      </w:r>
    </w:p>
    <w:p w14:paraId="6FD79FB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 время командования Баранова не было выпущено ни одного хорошего самолета, все они были связаны с вредительством и только после вмешательства ГПУ в ВФ стали появляться хорошие самолеты ……………………………….</w:t>
      </w:r>
    </w:p>
    <w:p w14:paraId="3E181A5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результате всего этого мы на сегодняшний день не имеем технических боевых средств, как получение приборов дымзавес, дистанционных, зажигательных и химических бомб, ампульных приборов, газовых приборов и т.д. и только благодаря начальнику вооружений Уборевичу авиатехнические средства создавались непосредственно при техническом Штабе НВ РККА и передавались готовыми в ВФ (Ругает руководителей научно института Дубенского и Фроловского, жалуется на то, что ему не дают работать).</w:t>
      </w:r>
    </w:p>
    <w:p w14:paraId="3DB8094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4891B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730A86F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Предложение</w:t>
      </w:r>
    </w:p>
    <w:p w14:paraId="75E8DD7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Чтобы провести в этот год воздушную пехоту желательно настоящее конструкторское бюро сделать самостоятельным с подчинением его техническому Штабу НВ, поручив ему объединить более ценных изобретателей одиночек и подвести базу к организации Экспериментального института с заводом, на который возложить обслуживание опытными экземплярами все рода войск (6769, 26-28).</w:t>
      </w:r>
    </w:p>
    <w:p w14:paraId="0185045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050713" w14:textId="77777777" w:rsidR="00EF2E51"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46ED52F2" w14:textId="77777777" w:rsidR="00EF2E51" w:rsidRPr="005E779E" w:rsidRDefault="00EF2E51"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993FA90" w14:textId="77777777" w:rsidR="00EF2E51" w:rsidRPr="005E779E" w:rsidRDefault="00EF2E51"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26 апреля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Постановление СТО СССР № 74сс об образовании мобилизационного фонда банкнот, казначейских билетов и монет (ГА РФ. Ф. Р?8418. Оп. 28. Д. 1а. Л. 14) (12415).</w:t>
      </w:r>
    </w:p>
    <w:p w14:paraId="5D002853" w14:textId="77777777" w:rsidR="00EF2E51" w:rsidRPr="005E779E" w:rsidRDefault="00EF2E51" w:rsidP="000B7A6C">
      <w:pPr>
        <w:spacing w:after="0" w:line="240" w:lineRule="auto"/>
        <w:jc w:val="both"/>
        <w:rPr>
          <w:rFonts w:ascii="Times New Roman" w:hAnsi="Times New Roman"/>
          <w:color w:val="000000" w:themeColor="text1"/>
          <w:sz w:val="16"/>
          <w:szCs w:val="16"/>
          <w:u w:color="002060"/>
        </w:rPr>
      </w:pPr>
    </w:p>
    <w:p w14:paraId="6A17D2F7" w14:textId="77777777" w:rsidR="00562A83" w:rsidRPr="005E779E" w:rsidRDefault="00EF2E51"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26 апреля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xml:space="preserve">. Постановление СНК СССР № 77с о составлении расходных смет по государственному и местному бюджету на первый месяц войны (ГА РФ. Ф. Р-8418. </w:t>
      </w:r>
      <w:r w:rsidR="00562A83" w:rsidRPr="005E779E">
        <w:rPr>
          <w:rFonts w:ascii="Times New Roman" w:hAnsi="Times New Roman"/>
          <w:color w:val="000000" w:themeColor="text1"/>
          <w:sz w:val="16"/>
          <w:szCs w:val="16"/>
          <w:u w:color="002060"/>
        </w:rPr>
        <w:t>Оп. 28. Д. 14а. Л. 15) (12415).</w:t>
      </w:r>
    </w:p>
    <w:p w14:paraId="2F052D44" w14:textId="77777777" w:rsidR="00562A83" w:rsidRPr="005E779E" w:rsidRDefault="00562A83"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4A653E1"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2BECD833"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82EE0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апреля 1931 был подписан Отчет по испытанию машинки для набивки магазинов к пулемету Д-А сист. Алексеева.</w:t>
      </w:r>
    </w:p>
    <w:p w14:paraId="79782A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w:t>
      </w:r>
    </w:p>
    <w:p w14:paraId="120F15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Предложенная машинка конструктивно не доработана и на вооружение принята быть не может (3208,138-141).</w:t>
      </w:r>
    </w:p>
    <w:p w14:paraId="67C9E1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6DD87C7"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3BAEBCAD"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80BB935" w14:textId="77777777" w:rsidR="00F30952" w:rsidRPr="00142305" w:rsidRDefault="00F30952" w:rsidP="00F3095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27 апреля 1931 г. первый опытный трактор, собранный на Челябинском опытном заводе, отправили в Москву для показа правительству. Следующий трактор был отправлен в Москву к лету, где он подвергся кратковременным испытаниям совместно с американским прототипом – «Sixty» (25588).</w:t>
      </w:r>
    </w:p>
    <w:p w14:paraId="04CCEE90" w14:textId="77777777" w:rsidR="00F30952" w:rsidRPr="00142305" w:rsidRDefault="00F30952" w:rsidP="00F30952">
      <w:pPr>
        <w:spacing w:after="0" w:line="240" w:lineRule="auto"/>
        <w:jc w:val="both"/>
        <w:rPr>
          <w:rFonts w:ascii="Times New Roman" w:hAnsi="Times New Roman"/>
          <w:color w:val="0070C0"/>
          <w:sz w:val="16"/>
          <w:szCs w:val="16"/>
        </w:rPr>
      </w:pPr>
    </w:p>
    <w:p w14:paraId="39891B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апреля 1931 Ижорский завод выпустил первый советский блюминг (3960, 164).</w:t>
      </w:r>
    </w:p>
    <w:p w14:paraId="5BEF0C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CBE8E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апреля 1931 г. на три дня раньше взятого обязательства, был сдан первый Советский блюминг, положивший начало новому направлению в металлургической промышленности. Это был 13-й по счету блюминг на земном шаре. (Установленный на Макеевском металлургическом комбинате, он был восстановлен ижори,ами после освобождения Украины от фашистских захватчиков, а в 60-е годы реконструирован. Блюминг № 1 и сегодня в строю!)</w:t>
      </w:r>
    </w:p>
    <w:p w14:paraId="3564C0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543CEA1" w14:textId="77777777" w:rsidR="00EF2E51"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455AF5DE" w14:textId="77777777" w:rsidR="00EF2E51" w:rsidRPr="005E779E" w:rsidRDefault="00EF2E51"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D971765" w14:textId="77777777" w:rsidR="00EF2E51" w:rsidRPr="005E779E" w:rsidRDefault="00EF2E51"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27 апреля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Постановление СТО СССР № 75сс об израсходовании Наркомземом СССР 20 тыс. руб., отпущенных на аспирантуру, на организацию и проведение краткосрочных курсов подготовки работников военных секторов Гидрометеокомитета и военных бюро научно-исследовательских учреждений гидрометеослужбы (ГА РФ. Ф. Р?8418. Оп. 28. Д. 1а. Л. 16) (12415).</w:t>
      </w:r>
    </w:p>
    <w:p w14:paraId="38695E0D" w14:textId="77777777" w:rsidR="00EF2E51" w:rsidRPr="005E779E" w:rsidRDefault="00EF2E51" w:rsidP="000B7A6C">
      <w:pPr>
        <w:spacing w:after="0" w:line="240" w:lineRule="auto"/>
        <w:jc w:val="both"/>
        <w:rPr>
          <w:rFonts w:ascii="Times New Roman" w:hAnsi="Times New Roman"/>
          <w:color w:val="000000" w:themeColor="text1"/>
          <w:sz w:val="16"/>
          <w:szCs w:val="16"/>
          <w:u w:color="002060"/>
        </w:rPr>
      </w:pPr>
    </w:p>
    <w:p w14:paraId="3D49E2D4" w14:textId="77777777" w:rsidR="00EF2E51"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568FAB24" w14:textId="77777777" w:rsidR="00EF2E51" w:rsidRPr="005E779E" w:rsidRDefault="00EF2E51"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0A572E5" w14:textId="77777777" w:rsidR="00EF2E51" w:rsidRPr="005E779E" w:rsidRDefault="00EF2E51" w:rsidP="000B7A6C">
      <w:pPr>
        <w:pStyle w:val="rtejustify"/>
        <w:spacing w:before="0" w:after="0"/>
        <w:rPr>
          <w:color w:val="000000" w:themeColor="text1"/>
          <w:sz w:val="16"/>
          <w:szCs w:val="16"/>
        </w:rPr>
      </w:pPr>
      <w:r w:rsidRPr="005E779E">
        <w:rPr>
          <w:rStyle w:val="af0"/>
          <w:i w:val="0"/>
          <w:color w:val="000000" w:themeColor="text1"/>
          <w:sz w:val="16"/>
          <w:szCs w:val="16"/>
        </w:rPr>
        <w:t>28 апреля 1931 г. Протокол Реввоенсовета № 15.</w:t>
      </w:r>
      <w:r w:rsidRPr="005E779E">
        <w:rPr>
          <w:color w:val="000000" w:themeColor="text1"/>
          <w:sz w:val="16"/>
          <w:szCs w:val="16"/>
        </w:rPr>
        <w:t xml:space="preserve"> 1. О танковой программе. (Халепский). 16. О введении на вооружение РККАиФ, БО и железнодорожной артиллерии 180</w:t>
      </w:r>
      <w:r w:rsidRPr="005E779E">
        <w:rPr>
          <w:color w:val="000000" w:themeColor="text1"/>
          <w:sz w:val="16"/>
          <w:szCs w:val="16"/>
        </w:rPr>
        <w:noBreakHyphen/>
        <w:t>мм систем. (Сивков). 18. Система вооружения военно-морских сил РККА по минам, тралам и временная по торпедам (Сивков). 19. Об обеспечении ВМС РККА тральщиками (Сивков). (РГВА. Ф. 4. Оп. 18. Д. 20. Л. 232, 235, 236) (12342).</w:t>
      </w:r>
    </w:p>
    <w:p w14:paraId="4635ADD5" w14:textId="77777777" w:rsidR="00EF2E51" w:rsidRPr="005E779E" w:rsidRDefault="00EF2E51" w:rsidP="000B7A6C">
      <w:pPr>
        <w:pStyle w:val="rtejustify"/>
        <w:spacing w:before="0" w:after="0"/>
        <w:rPr>
          <w:color w:val="000000" w:themeColor="text1"/>
          <w:sz w:val="16"/>
          <w:szCs w:val="16"/>
        </w:rPr>
      </w:pPr>
    </w:p>
    <w:p w14:paraId="145A9AC6"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72F061F6"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AEB17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29 апреля по 23 августа 1931 в НИИ ВВС проходили гос. испытания АНТ-6 (ТБ-3) с БМВ-6, а заводских вообще не было. Вооружения также не было (1017,169). Закончить испытания не успели, так как износились покрышки Пальмер (1854,7).</w:t>
      </w:r>
    </w:p>
    <w:p w14:paraId="77FFA9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6142F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апреля (с 29 - 346,26) 1931 по август (23 - 346,26) испытывался АНТ-6 (ТБ-3) с М-17 (БМВ 6). Прекратили из-за плохих покрышек. Новые колеса установили только к январю 1932 - тандем (156,17).</w:t>
      </w:r>
    </w:p>
    <w:p w14:paraId="6F67F3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1E984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 апреля 1931 года был выпущен в воздух после перестановки моторов и переделок самолет ТБ3 с 4-мя моторами БМВ VI Е-7,3. 500/730 НР.</w:t>
      </w:r>
    </w:p>
    <w:p w14:paraId="768F08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 произведено - 18 полетов</w:t>
      </w:r>
    </w:p>
    <w:p w14:paraId="6852DD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Общей продолжительностью - 11 час. 49 мин.</w:t>
      </w:r>
    </w:p>
    <w:p w14:paraId="4E1B71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Полеты были прекращены 23 августа 1931 года вследствие непригодности колес (3214).</w:t>
      </w:r>
    </w:p>
    <w:p w14:paraId="0DED84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C0DB8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29 апреля 1931 доработанный ТБ-3 (АНТ-6) с BMW испытывался в НИИ ВВС (8887).</w:t>
      </w:r>
    </w:p>
    <w:p w14:paraId="65596D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7DDD380" w14:textId="77777777" w:rsidR="004D3FB2" w:rsidRPr="005E779E" w:rsidRDefault="004D3FB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29 апреля 1931 г. начался новый этап испытаний госиспытаний опытной машины АНТ-6 с че</w:t>
      </w:r>
      <w:r w:rsidRPr="005E779E">
        <w:rPr>
          <w:rFonts w:ascii="Times New Roman" w:hAnsi="Times New Roman"/>
          <w:color w:val="000000" w:themeColor="text1"/>
          <w:sz w:val="16"/>
          <w:szCs w:val="16"/>
        </w:rPr>
        <w:softHyphen/>
        <w:t>тырьмя моторами BMW VI. Кроме новых моторов, в самолет внесли ряд существен</w:t>
      </w:r>
      <w:r w:rsidRPr="005E779E">
        <w:rPr>
          <w:rFonts w:ascii="Times New Roman" w:hAnsi="Times New Roman"/>
          <w:color w:val="000000" w:themeColor="text1"/>
          <w:sz w:val="16"/>
          <w:szCs w:val="16"/>
        </w:rPr>
        <w:softHyphen/>
        <w:t>ных изменений:</w:t>
      </w:r>
    </w:p>
    <w:p w14:paraId="34079AA9" w14:textId="77777777" w:rsidR="004D3FB2" w:rsidRPr="005E779E" w:rsidRDefault="004D3FB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металлические винты фирмы Standart-Stil заменили деревянными вин</w:t>
      </w:r>
      <w:r w:rsidRPr="005E779E">
        <w:rPr>
          <w:rFonts w:ascii="Times New Roman" w:hAnsi="Times New Roman"/>
          <w:color w:val="000000" w:themeColor="text1"/>
          <w:sz w:val="16"/>
          <w:szCs w:val="16"/>
        </w:rPr>
        <w:softHyphen/>
        <w:t>тами ЦАГИ диаметром 3,5 метра;</w:t>
      </w:r>
    </w:p>
    <w:p w14:paraId="22C511F9" w14:textId="77777777" w:rsidR="004D3FB2" w:rsidRPr="005E779E" w:rsidRDefault="004D3FB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увеличили площадь руля высоты и киля;</w:t>
      </w:r>
    </w:p>
    <w:p w14:paraId="7D4F495B" w14:textId="77777777" w:rsidR="004D3FB2" w:rsidRPr="005E779E" w:rsidRDefault="004D3FB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элеронах, рулях высоты и на</w:t>
      </w:r>
      <w:r w:rsidRPr="005E779E">
        <w:rPr>
          <w:rFonts w:ascii="Times New Roman" w:hAnsi="Times New Roman"/>
          <w:color w:val="000000" w:themeColor="text1"/>
          <w:sz w:val="16"/>
          <w:szCs w:val="16"/>
        </w:rPr>
        <w:softHyphen/>
        <w:t>правления, кроме имевшейся роговой компенсации, добавили щелевую.</w:t>
      </w:r>
    </w:p>
    <w:p w14:paraId="65BE2855" w14:textId="77777777" w:rsidR="004D3FB2" w:rsidRPr="005E779E" w:rsidRDefault="004D3FB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результатам испытаний самолет с моторами BMW VI получил хорошую оценку по всем летно-эксплуатацион</w:t>
      </w:r>
      <w:r w:rsidRPr="005E779E">
        <w:rPr>
          <w:rFonts w:ascii="Times New Roman" w:hAnsi="Times New Roman"/>
          <w:color w:val="000000" w:themeColor="text1"/>
          <w:sz w:val="16"/>
          <w:szCs w:val="16"/>
        </w:rPr>
        <w:softHyphen/>
        <w:t>ным параметрам. Отсутствовали повы</w:t>
      </w:r>
      <w:r w:rsidRPr="005E779E">
        <w:rPr>
          <w:rFonts w:ascii="Times New Roman" w:hAnsi="Times New Roman"/>
          <w:color w:val="000000" w:themeColor="text1"/>
          <w:sz w:val="16"/>
          <w:szCs w:val="16"/>
        </w:rPr>
        <w:softHyphen/>
        <w:t>шенные вибрации, маневренность на рулежке была вполне удовлетворитель</w:t>
      </w:r>
      <w:r w:rsidRPr="005E779E">
        <w:rPr>
          <w:rFonts w:ascii="Times New Roman" w:hAnsi="Times New Roman"/>
          <w:color w:val="000000" w:themeColor="text1"/>
          <w:sz w:val="16"/>
          <w:szCs w:val="16"/>
        </w:rPr>
        <w:softHyphen/>
        <w:t>ной, амортизация шасси — достаточно мягкой. Самолет был устойчив на всех режимах полета и при планировании, прост на взлете и при посадке.</w:t>
      </w:r>
    </w:p>
    <w:p w14:paraId="4B1E43E2" w14:textId="77777777" w:rsidR="004D3FB2" w:rsidRPr="005E779E" w:rsidRDefault="004D3FB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результатам испытаний самолет с моторами BMW VI получил хорошую оценку по всем летно-эксплуатацион</w:t>
      </w:r>
      <w:r w:rsidRPr="005E779E">
        <w:rPr>
          <w:rFonts w:ascii="Times New Roman" w:hAnsi="Times New Roman"/>
          <w:color w:val="000000" w:themeColor="text1"/>
          <w:sz w:val="16"/>
          <w:szCs w:val="16"/>
        </w:rPr>
        <w:softHyphen/>
        <w:t>ным параметрам. Отсутствовали повы</w:t>
      </w:r>
      <w:r w:rsidRPr="005E779E">
        <w:rPr>
          <w:rFonts w:ascii="Times New Roman" w:hAnsi="Times New Roman"/>
          <w:color w:val="000000" w:themeColor="text1"/>
          <w:sz w:val="16"/>
          <w:szCs w:val="16"/>
        </w:rPr>
        <w:softHyphen/>
        <w:t>шенные вибрации, маневренность на рулежке была вполне удовлетворитель</w:t>
      </w:r>
      <w:r w:rsidRPr="005E779E">
        <w:rPr>
          <w:rFonts w:ascii="Times New Roman" w:hAnsi="Times New Roman"/>
          <w:color w:val="000000" w:themeColor="text1"/>
          <w:sz w:val="16"/>
          <w:szCs w:val="16"/>
        </w:rPr>
        <w:softHyphen/>
        <w:t>ной, амортизация шасси — достаточно мягкой. Самолет был устойчив на всех режимах полета и при планировании, прост на взлете и при посадке.</w:t>
      </w:r>
    </w:p>
    <w:p w14:paraId="631F0A5E" w14:textId="77777777" w:rsidR="004D3FB2" w:rsidRPr="005E779E" w:rsidRDefault="004D3FB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Испытания не были доведены до кон</w:t>
      </w:r>
      <w:r w:rsidRPr="005E779E">
        <w:rPr>
          <w:rFonts w:ascii="Times New Roman" w:hAnsi="Times New Roman"/>
          <w:color w:val="000000" w:themeColor="text1"/>
          <w:sz w:val="16"/>
          <w:szCs w:val="16"/>
        </w:rPr>
        <w:softHyphen/>
        <w:t>ца. Их пришлось прекратить 23 августа из-за плохого качества покрышек колес фирмы Palmer. НИИ ВВС обратился в ЦАГИ с просьбой разработать новую конструкцию шасси под сдвоенные оте</w:t>
      </w:r>
      <w:r w:rsidRPr="005E779E">
        <w:rPr>
          <w:rFonts w:ascii="Times New Roman" w:hAnsi="Times New Roman"/>
          <w:color w:val="000000" w:themeColor="text1"/>
          <w:sz w:val="16"/>
          <w:szCs w:val="16"/>
        </w:rPr>
        <w:softHyphen/>
        <w:t>чественные колеса меньшего диаметра. В выводах по результатам испытаний от</w:t>
      </w:r>
      <w:r w:rsidRPr="005E779E">
        <w:rPr>
          <w:rFonts w:ascii="Times New Roman" w:hAnsi="Times New Roman"/>
          <w:color w:val="000000" w:themeColor="text1"/>
          <w:sz w:val="16"/>
          <w:szCs w:val="16"/>
        </w:rPr>
        <w:softHyphen/>
        <w:t>мечалось, что «при установке нового шасси, моторов М—17 и полного ком</w:t>
      </w:r>
      <w:r w:rsidRPr="005E779E">
        <w:rPr>
          <w:rFonts w:ascii="Times New Roman" w:hAnsi="Times New Roman"/>
          <w:color w:val="000000" w:themeColor="text1"/>
          <w:sz w:val="16"/>
          <w:szCs w:val="16"/>
        </w:rPr>
        <w:softHyphen/>
        <w:t>плекта вооружения ТБ—3 может быть ре</w:t>
      </w:r>
      <w:r w:rsidRPr="005E779E">
        <w:rPr>
          <w:rFonts w:ascii="Times New Roman" w:hAnsi="Times New Roman"/>
          <w:color w:val="000000" w:themeColor="text1"/>
          <w:sz w:val="16"/>
          <w:szCs w:val="16"/>
        </w:rPr>
        <w:softHyphen/>
        <w:t>комендован ВВС в качестве тяжелого бомбардировщика». После выполнения требуемых доработок государственные испытания головного АНТ—6 с моторами BMW VI были продолжены (23474).</w:t>
      </w:r>
    </w:p>
    <w:p w14:paraId="38DDAD1D" w14:textId="77777777" w:rsidR="004D3FB2" w:rsidRPr="005E779E" w:rsidRDefault="004D3FB2" w:rsidP="000B7A6C">
      <w:pPr>
        <w:spacing w:after="0" w:line="240" w:lineRule="auto"/>
        <w:jc w:val="both"/>
        <w:rPr>
          <w:rFonts w:ascii="Times New Roman" w:hAnsi="Times New Roman"/>
          <w:color w:val="000000" w:themeColor="text1"/>
          <w:sz w:val="16"/>
          <w:szCs w:val="16"/>
        </w:rPr>
      </w:pPr>
    </w:p>
    <w:p w14:paraId="3E45E47B" w14:textId="77777777" w:rsidR="00F30952" w:rsidRPr="00142305" w:rsidRDefault="00F30952" w:rsidP="00F3095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С 29 апреля 1931 доработанная машина ТБ-3 испытывалась в НИИ ВВС. Уже 1 мая ее гордо продемонстрировали в воздухе над Красной площадью, а 22 мая состоялся официальный показ бомбардировщика членам правительства. Они осмотрели его на Центральном аэродроме, а затем поглядели на короткий полет. За последний пилотов Козлова и Залевского начальник НИИ наградил «заграничными часами «Мо</w:t>
      </w:r>
      <w:r w:rsidRPr="00142305">
        <w:rPr>
          <w:rFonts w:ascii="Times New Roman" w:hAnsi="Times New Roman"/>
          <w:color w:val="0070C0"/>
          <w:sz w:val="16"/>
          <w:szCs w:val="16"/>
        </w:rPr>
        <w:softHyphen/>
        <w:t>зер» с секундомером» - очевидно, самолет произвел должное впечатление.</w:t>
      </w:r>
    </w:p>
    <w:p w14:paraId="1A5B290A" w14:textId="77777777" w:rsidR="00F30952" w:rsidRPr="00142305" w:rsidRDefault="00F30952" w:rsidP="00F3095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Действительно, машина явно получи</w:t>
      </w:r>
      <w:r w:rsidRPr="00142305">
        <w:rPr>
          <w:rFonts w:ascii="Times New Roman" w:hAnsi="Times New Roman"/>
          <w:color w:val="0070C0"/>
          <w:sz w:val="16"/>
          <w:szCs w:val="16"/>
        </w:rPr>
        <w:softHyphen/>
        <w:t>лась удачной. Хотя замена двигателей незначительно ухудшила летные данные, максимальная скорость оставалась выше требований технического задания - 213 км/ч. Вызвали одобрение и взлетно- посадочные характеристики. В отчете запи</w:t>
      </w:r>
      <w:r w:rsidRPr="00142305">
        <w:rPr>
          <w:rFonts w:ascii="Times New Roman" w:hAnsi="Times New Roman"/>
          <w:color w:val="0070C0"/>
          <w:sz w:val="16"/>
          <w:szCs w:val="16"/>
        </w:rPr>
        <w:softHyphen/>
        <w:t>сали: «На разбеге самолет прост, устойчив, тенденций к заворотам и прыжкам нет... Посадка проста и никаких особенностей не имеет». В горизонтальном полете бомбар</w:t>
      </w:r>
      <w:r w:rsidRPr="00142305">
        <w:rPr>
          <w:rFonts w:ascii="Times New Roman" w:hAnsi="Times New Roman"/>
          <w:color w:val="0070C0"/>
          <w:sz w:val="16"/>
          <w:szCs w:val="16"/>
        </w:rPr>
        <w:softHyphen/>
        <w:t>дировщик держался устойчиво, пилот мог бросить на время штурвал.</w:t>
      </w:r>
    </w:p>
    <w:p w14:paraId="36421CC1" w14:textId="77777777" w:rsidR="00F30952" w:rsidRPr="00142305" w:rsidRDefault="00F30952" w:rsidP="00F3095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ТБ-3, пожалуй, даже чрезмерно устой</w:t>
      </w:r>
      <w:r w:rsidRPr="00142305">
        <w:rPr>
          <w:rFonts w:ascii="Times New Roman" w:hAnsi="Times New Roman"/>
          <w:color w:val="0070C0"/>
          <w:sz w:val="16"/>
          <w:szCs w:val="16"/>
        </w:rPr>
        <w:softHyphen/>
        <w:t>чиво держался на курсе. Чтобы ввести его в вираж, от пилота требовались значитель</w:t>
      </w:r>
      <w:r w:rsidRPr="00142305">
        <w:rPr>
          <w:rFonts w:ascii="Times New Roman" w:hAnsi="Times New Roman"/>
          <w:color w:val="0070C0"/>
          <w:sz w:val="16"/>
          <w:szCs w:val="16"/>
        </w:rPr>
        <w:softHyphen/>
        <w:t>ные усилия. «Вообще управление само</w:t>
      </w:r>
      <w:r w:rsidRPr="00142305">
        <w:rPr>
          <w:rFonts w:ascii="Times New Roman" w:hAnsi="Times New Roman"/>
          <w:color w:val="0070C0"/>
          <w:sz w:val="16"/>
          <w:szCs w:val="16"/>
        </w:rPr>
        <w:softHyphen/>
        <w:t>лета ненормально тяжело, в особенности управление элеронами», - говорил отчет НИИ ВВС.</w:t>
      </w:r>
    </w:p>
    <w:p w14:paraId="2155F3D4" w14:textId="77777777" w:rsidR="00F30952" w:rsidRPr="00142305" w:rsidRDefault="00F30952" w:rsidP="00F3095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Испытания не довели до конца - заму</w:t>
      </w:r>
      <w:r w:rsidRPr="00142305">
        <w:rPr>
          <w:rFonts w:ascii="Times New Roman" w:hAnsi="Times New Roman"/>
          <w:color w:val="0070C0"/>
          <w:sz w:val="16"/>
          <w:szCs w:val="16"/>
        </w:rPr>
        <w:softHyphen/>
        <w:t>чались с покрышками. Резины на огром</w:t>
      </w:r>
      <w:r w:rsidRPr="00142305">
        <w:rPr>
          <w:rFonts w:ascii="Times New Roman" w:hAnsi="Times New Roman"/>
          <w:color w:val="0070C0"/>
          <w:sz w:val="16"/>
          <w:szCs w:val="16"/>
        </w:rPr>
        <w:softHyphen/>
        <w:t>ные колеса ТБ-3 в СССР не нашлось - купили в Англии, у фирмы «Палмер» (24937).</w:t>
      </w:r>
    </w:p>
    <w:p w14:paraId="7977CC13" w14:textId="77777777" w:rsidR="00F30952" w:rsidRPr="00142305" w:rsidRDefault="00F30952" w:rsidP="00F30952">
      <w:pPr>
        <w:spacing w:after="0" w:line="240" w:lineRule="auto"/>
        <w:jc w:val="both"/>
        <w:rPr>
          <w:rFonts w:ascii="Times New Roman" w:hAnsi="Times New Roman"/>
          <w:color w:val="0070C0"/>
          <w:sz w:val="16"/>
          <w:szCs w:val="16"/>
        </w:rPr>
      </w:pPr>
    </w:p>
    <w:p w14:paraId="73D8A64D"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5970C451"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6284A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 апреля 1931 в Туркмении, применяя ту же тактику, что и в Таджикистане, летчик Митрофанов нашел на горе Хасан-Дог банду, отдыхавшую в тени деревьев. Вымпелами он навел на нее три эскадрона, окруживших врага. Когда наши кавалеристы пошли в атаку, самолет начал бомбить и обстреливать басмачей. Попытка вырваться из кольца не удалась. Лишь полутора десяткам врагов удалось подняться по очень крутому склону, но и их достал огонь с самолета.</w:t>
      </w:r>
    </w:p>
    <w:p w14:paraId="62BCA3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Надо сказать, что отличить своих от чужих было нелегко. Летчики часто привозили донесения типа: "Из с. Кунги группа конных 9 чел. в цветных халатах двигалась к р. Яван". Часто встречалась формулировка: "Установить, являлась ли группа басмшайкой, не удалось". Нередко действовали "методом проб и ошибок": сбросили бомбу и посмотрели - если открыли ответный огонь, то уж точно басмачи. Не открыли - кто его знает...</w:t>
      </w:r>
    </w:p>
    <w:p w14:paraId="79E96A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Туркмены-кочевники перемещались с семьями и большими стадами скота. Отличить мирных пастухов от бандитов было практически невозможно. Вот пример: с воздуха насчитали "примерно 200 человек" ("количество всадников трудно поддается учету, при появлении самолета рассредоточиваются и принимают меры маскировки"), а при них - 4000 баранов, 140 - 150 верблюдов и...400 кибиток! Отсюда вывод - считали только тех, кто на виду, а кто из них басмач, кто - нет, оставалось невыясненным.</w:t>
      </w:r>
    </w:p>
    <w:p w14:paraId="0AA896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Командование поступило просто. Всех в контролируемых бандами районах решили считать противником (или пособником противника). Авиации выделили зоны "свободного огня", где своих заведомо не было. Там приказали обстреливать и бомбить все подряд. Удары наносились по скоплениям людей, скоту, жилью в любом виде. Уничтожение живности объяснялось, например, желанием лишить басмачей пропитания. Кроме того, бомбометание по стадам в некоторых случаях действительно помогало выявить небольшие банды, маскировавшиеся среди животных. Летчики формулировали это проще: "В песках все кочевники - басмачи" (11985).</w:t>
      </w:r>
    </w:p>
    <w:p w14:paraId="00918F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0DEDAD2" w14:textId="77777777" w:rsidR="009417DD" w:rsidRPr="005E779E" w:rsidRDefault="009417DD"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407D754B" w14:textId="77777777" w:rsidR="009417DD" w:rsidRPr="005E779E" w:rsidRDefault="009417DD"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8099CBC" w14:textId="77777777" w:rsidR="009417DD" w:rsidRPr="005E779E" w:rsidRDefault="009417DD"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 апреля 1931 в СССР была проведена первая опытная телепередача (3263,204).</w:t>
      </w:r>
    </w:p>
    <w:p w14:paraId="13CE8DA6" w14:textId="77777777" w:rsidR="009417DD" w:rsidRPr="005E779E" w:rsidRDefault="009417DD" w:rsidP="000B7A6C">
      <w:pPr>
        <w:autoSpaceDE w:val="0"/>
        <w:autoSpaceDN w:val="0"/>
        <w:adjustRightInd w:val="0"/>
        <w:spacing w:after="0" w:line="240" w:lineRule="auto"/>
        <w:jc w:val="both"/>
        <w:rPr>
          <w:rFonts w:ascii="Times New Roman" w:hAnsi="Times New Roman"/>
          <w:color w:val="000000" w:themeColor="text1"/>
          <w:sz w:val="16"/>
          <w:szCs w:val="16"/>
        </w:rPr>
      </w:pPr>
    </w:p>
    <w:p w14:paraId="761CD95E" w14:textId="77777777" w:rsidR="009417DD" w:rsidRPr="005E779E" w:rsidRDefault="009417D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 апреля 1931 года в Советском Союзе началась эра телевидения. "Внимание! Показывает Москва. Начинаем первую телевизионную передачу"- такими простыми словами. Регулярные телепередачи начались 1 октября 1931 года в СССР. Начало отечественного телевидения. А 1 октября 1967 г. Центральное телевидение СССР начало трансляцию программ в цветном изображении (21166).</w:t>
      </w:r>
    </w:p>
    <w:p w14:paraId="4BCBD09A" w14:textId="77777777" w:rsidR="009417DD" w:rsidRPr="005E779E" w:rsidRDefault="009417DD" w:rsidP="000B7A6C">
      <w:pPr>
        <w:spacing w:after="0" w:line="240" w:lineRule="auto"/>
        <w:jc w:val="both"/>
        <w:rPr>
          <w:rFonts w:ascii="Times New Roman" w:hAnsi="Times New Roman"/>
          <w:color w:val="000000" w:themeColor="text1"/>
          <w:sz w:val="16"/>
          <w:szCs w:val="16"/>
        </w:rPr>
      </w:pPr>
    </w:p>
    <w:p w14:paraId="650E7BAF" w14:textId="77777777" w:rsidR="009417DD" w:rsidRPr="005E779E" w:rsidRDefault="009417DD"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 апреля 1931 г. Первая опытная передача в СССР по оптико-механической системе (30 строк, 12,5 кадр/с) из Москвы из ВЭИ через «свой» (опытный) радиопередатчик на волне 56,6 м (11482).</w:t>
      </w:r>
    </w:p>
    <w:p w14:paraId="77ABDD4F" w14:textId="77777777" w:rsidR="009417DD" w:rsidRPr="005E779E" w:rsidRDefault="009417DD" w:rsidP="000B7A6C">
      <w:pPr>
        <w:autoSpaceDE w:val="0"/>
        <w:autoSpaceDN w:val="0"/>
        <w:adjustRightInd w:val="0"/>
        <w:spacing w:after="0" w:line="240" w:lineRule="auto"/>
        <w:jc w:val="both"/>
        <w:rPr>
          <w:rFonts w:ascii="Times New Roman" w:hAnsi="Times New Roman"/>
          <w:color w:val="000000" w:themeColor="text1"/>
          <w:sz w:val="16"/>
          <w:szCs w:val="16"/>
        </w:rPr>
      </w:pPr>
    </w:p>
    <w:p w14:paraId="17561FC1" w14:textId="77777777" w:rsidR="009417DD" w:rsidRPr="005E779E" w:rsidRDefault="009417DD"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 апреля 1931 Надежинский район. Восстание спецпеpеселенцев Петpопавловского леспpомхоза, где бpигадиpы, десятники, коменданты и их помощники пpи полном одобpении секpетаpя pайкома ВКП(б) Маслова устpоили настоящий геноцид пpотив пеpеселенцев с Кубани под лозунгом: "Мы кубанцев всех уничтожим, живыми никто не веpнется". Восстание охватило около 300 семей спецпеpеселенцев западных областей с участков Усть-Калье и Усть-Канда. Восставшие намеpевались пpодвинуться по железной доpоге до станции Сама и г.Надеждинск (10687).</w:t>
      </w:r>
    </w:p>
    <w:p w14:paraId="5E0CF2EC" w14:textId="77777777" w:rsidR="009417DD" w:rsidRPr="005E779E" w:rsidRDefault="009417DD" w:rsidP="000B7A6C">
      <w:pPr>
        <w:autoSpaceDE w:val="0"/>
        <w:autoSpaceDN w:val="0"/>
        <w:adjustRightInd w:val="0"/>
        <w:spacing w:after="0" w:line="240" w:lineRule="auto"/>
        <w:jc w:val="both"/>
        <w:rPr>
          <w:rFonts w:ascii="Times New Roman" w:hAnsi="Times New Roman"/>
          <w:color w:val="000000" w:themeColor="text1"/>
          <w:sz w:val="16"/>
          <w:szCs w:val="16"/>
        </w:rPr>
      </w:pPr>
    </w:p>
    <w:p w14:paraId="6B2F5185"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11574BCA"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D0335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 апреля 1931 был подписан Отчет по испытанию прицела ПН-42-11 ВООМП.</w:t>
      </w:r>
    </w:p>
    <w:p w14:paraId="5F3248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w:t>
      </w:r>
    </w:p>
    <w:p w14:paraId="27093F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Способ освещения сетки, примененный в прицеле ПН-42-11 считается пригодным для введения на вооружение (3208,144-148).</w:t>
      </w:r>
    </w:p>
    <w:p w14:paraId="28DC6D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B56DE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 апреля 1931 в Рыбинске на обкат</w:t>
      </w:r>
      <w:r w:rsidRPr="005E779E">
        <w:rPr>
          <w:rFonts w:ascii="Times New Roman" w:hAnsi="Times New Roman"/>
          <w:color w:val="000000" w:themeColor="text1"/>
          <w:sz w:val="16"/>
          <w:szCs w:val="16"/>
        </w:rPr>
        <w:softHyphen/>
        <w:t>ку поставили уже «настоящий» М-34 с импортным карбюратором и маг</w:t>
      </w:r>
      <w:r w:rsidRPr="005E779E">
        <w:rPr>
          <w:rFonts w:ascii="Times New Roman" w:hAnsi="Times New Roman"/>
          <w:color w:val="000000" w:themeColor="text1"/>
          <w:sz w:val="16"/>
          <w:szCs w:val="16"/>
        </w:rPr>
        <w:softHyphen/>
        <w:t>нето. За ним последовал второй экземпляр, начались заводские испы</w:t>
      </w:r>
      <w:r w:rsidRPr="005E779E">
        <w:rPr>
          <w:rFonts w:ascii="Times New Roman" w:hAnsi="Times New Roman"/>
          <w:color w:val="000000" w:themeColor="text1"/>
          <w:sz w:val="16"/>
          <w:szCs w:val="16"/>
        </w:rPr>
        <w:softHyphen/>
        <w:t>тания. Долго боролись с подтекани-ем масла и воды через уплотнения (11848).</w:t>
      </w:r>
    </w:p>
    <w:p w14:paraId="3EB4EA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D8D38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 апреля 1931 года На окраине Новосибирска была произведена закладка завода горного оборудования (ЗГО) проектировавшегося в то время для выпуска локомобилей, экскаваторов, компрессоров и других машин.</w:t>
      </w:r>
    </w:p>
    <w:p w14:paraId="6DB9BC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1933 году, в процессе продолжающегося строительства, завод изменил свой профиль, стал именоваться заводом «СИБМАШСТРОЙ», входя в объединение ВОМТ НКТП и начал выполнять госзаказы по изготовлению запасных частей для тракторов и комбайнов, а также мелкого инструмента.</w:t>
      </w:r>
    </w:p>
    <w:p w14:paraId="098563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Позднее завод был передан в ведение Главгормаша НКТП и начал выпускать простейшие с/х машины (льнотрепалки) и наряду с этим приступил к освоению и развертыванию массового производства насосов типа «Комсомолец».</w:t>
      </w:r>
    </w:p>
    <w:p w14:paraId="5D44DD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 мая 1936 года решением СТО за № 127сс и приказом НКТП от 20 июня 1936 года за № 206сс строительная площадка завода «СИБМАШСТРОЙ» была передана ГУАП при НКТП с профилем самолетостроения.</w:t>
      </w:r>
    </w:p>
    <w:p w14:paraId="36002B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Этим же приказом НКТП строительству Новосибирского самолетостроительного завода был присвоен номер 153.</w:t>
      </w:r>
    </w:p>
    <w:p w14:paraId="3F9BFF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 время существования завода директорами завода № 153 и гл. конструкторами ОКБ были:</w:t>
      </w:r>
    </w:p>
    <w:p w14:paraId="5E986C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Директора:</w:t>
      </w:r>
    </w:p>
    <w:p w14:paraId="187A37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Богуславский, Бернштейн, Данишевский – с 1936 года по 17 декабря 1938 года</w:t>
      </w:r>
    </w:p>
    <w:p w14:paraId="23AD95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17 декабря 1938 года по 3 апреля 1940 года - Митянишев А.В.</w:t>
      </w:r>
    </w:p>
    <w:p w14:paraId="555343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3 апреля 1940 года по 27 августа 1941 года – Маланьин М.И.</w:t>
      </w:r>
    </w:p>
    <w:p w14:paraId="764978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27 августа 1941 года по 17 мая 1943 года – Романов П.С.</w:t>
      </w:r>
    </w:p>
    <w:p w14:paraId="7B9AE1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17 мая 1943 года по 29 августа 1950 года – Лисицын В.Н.</w:t>
      </w:r>
    </w:p>
    <w:p w14:paraId="7FDAE5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29 августа 1950 года по 19 октября 1953 года – Смирнов П.П.</w:t>
      </w:r>
    </w:p>
    <w:p w14:paraId="0B995D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19 октября 1953 года – Салащенко И.А.</w:t>
      </w:r>
    </w:p>
    <w:p w14:paraId="15AE94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конструкторы:</w:t>
      </w:r>
    </w:p>
    <w:p w14:paraId="65726F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начала 1938 года по май 1940 года – ОКБ гл. конструктора Сильванского А.В. работало над скоростным истребителем с мотором М-38.</w:t>
      </w:r>
    </w:p>
    <w:p w14:paraId="722D0F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1941 году с прибытием эвакуированного завода № 115 на заводе было организовано ОКБ гл. конструктора Яковлева А.С., которое работало до 1945 года над различными модификациями истребителя «Як».</w:t>
      </w:r>
    </w:p>
    <w:p w14:paraId="45A5F4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НКАП за № 269с от 29 июня 1945 года начальником ОКБ-153 назначается гл. конструктор Антонов О.К., который занимался с/х машиной АН-2. В 1952 году по приказу МАП за № 1369 от 2 декабря 1952 года ОКБ Антонова было переведено на завод № 473 в Киев.</w:t>
      </w:r>
    </w:p>
    <w:p w14:paraId="0A9464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настоящее время на заводе ОКБ не существует.</w:t>
      </w:r>
    </w:p>
    <w:p w14:paraId="79F342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Территория завода расположена в Северо-восточной части Новосибирска, с правой стороны ж/д Москва-Владивосток, на расстоянии 6 км от центра города.</w:t>
      </w:r>
    </w:p>
    <w:p w14:paraId="044C48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Кроме основной площадки, завод имеет дополнительную производственную площадь на бывш. мебельной фабрике «Стандарт», где организован цех подвесных баков. Расстояние от цеха до завода – 13 км.</w:t>
      </w:r>
    </w:p>
    <w:p w14:paraId="7D8922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Распоряжением ГУАП заводу была установлена программа выпуска на 1937 год – 300 самолетов И-16 и дано задание начальнику Гипроавиа на проектирование завода на выпуск самолетов И-16 – 1200 и СБ – 1500 единиц в год.</w:t>
      </w:r>
    </w:p>
    <w:p w14:paraId="10F476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Позднее, по заданию ПГУ НКОП от 29 января 1937 года за № 1075/00546 было предложено переработать первоначальный технический проект реконструкции завода на выпуск 1500 самолетов И-16 и 3000 самолетов «Х», который и был утвержден НКОП 16 декабря 1937 года.</w:t>
      </w:r>
    </w:p>
    <w:p w14:paraId="0D5FBC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концу 1937 года заводом было выпущено первых 5 годовых машин И-16, а затем еще 22 машины, гл. образом из задела завода № 21.</w:t>
      </w:r>
    </w:p>
    <w:p w14:paraId="2CBD7D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1938 году завод перешел на серийное производство самолета-истребителя типа И-16 с размером серии в 20 машин. Всего за год было выпущено 104 машины и 9 групповых комплектов к ним.</w:t>
      </w:r>
    </w:p>
    <w:p w14:paraId="7C85C9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марте 1938 года заводу было присвоено имя Чкалова.</w:t>
      </w:r>
    </w:p>
    <w:p w14:paraId="339256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1940 году было выпущено 503 машины с 1/10 групповых комплектов.</w:t>
      </w:r>
    </w:p>
    <w:p w14:paraId="100002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концу 1940 года завод находился в стадии завершения строительных работ второй очереди.</w:t>
      </w:r>
    </w:p>
    <w:p w14:paraId="6B7BAD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1941 года. за счет свертывания производства самолета И-16 завод приступил к выпуску учебно-тренировочных самолетов УТИ-4 и одновременно развернул подготовку производства боевого истребителя ЛАГГ-3 и уже на второй квартал заводу было спущено ЕГУ задание на выпуск 10 штук самолетов ЛАГГ_3 и 150 штук УТИ-4.</w:t>
      </w:r>
    </w:p>
    <w:p w14:paraId="02C7B4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 период с июля 1941 года по январь 1942 года были эвакуированы и влились в завод № 153 следующие авиационные заводы запада: №№ 23, 43, 115, 165, 301 и 388 с общим количеством оборудования 2043 единицы и 8774 человека работающих.</w:t>
      </w:r>
    </w:p>
    <w:p w14:paraId="42736E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прибытием завода № 301 в конце 1941 года развертывается в широких масштабах подготовка производства боевого самолета Як-7 с одновременным свертыванием выпуска машин ЛАГГ-3 и уже за последние месяцы 1941 года завод сумел выпустить 21 самолет Як-7Б, а в 1942 году, по мере расширения производственной базы, стал быстро набирать темпы по выпуску самолета Як-7 с его модификациями и продолжал выпуск их до конца 1943 года.</w:t>
      </w:r>
    </w:p>
    <w:p w14:paraId="616EEF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Кроме того, в конце 1941 года заводу были переданы бывш. мебельная фабрика»Стандарт» и «ДОК».</w:t>
      </w:r>
    </w:p>
    <w:p w14:paraId="77DAFC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1948 году «ДОК» был вновь возвращен СибВО.</w:t>
      </w:r>
    </w:p>
    <w:p w14:paraId="270907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Летные испытания выпускаемых заводом самолетов производились на аэродроме ГВФ в 14 км от завода, которые трактором возили через всю центральную часть города. И только в 1941 году было начато строительство заводского аэродрома на территории, непосредственно примыкающей к заводу.</w:t>
      </w:r>
    </w:p>
    <w:p w14:paraId="207F88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Наряду с серийным выпуском самолетов Як-7, завод в 1942 году осваивает и организует производство самолетных лыж, фибровых бензобаков, деталей из пластмасс и карбида.</w:t>
      </w:r>
    </w:p>
    <w:p w14:paraId="5793EB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1943 года завод полностью перешел на производство самолетов Як-9 и было выпущено 828 боевых единиц этой модификации.</w:t>
      </w:r>
    </w:p>
    <w:p w14:paraId="60C86D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1944 году основными машинами в производстве завода были Як-9М, Як-9-37 и с конца 1944 года внедряется машина Як-9У.</w:t>
      </w:r>
    </w:p>
    <w:p w14:paraId="042878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этом же году было выпущено наибольшее количество (5700 шт.) боевых истребителей типа «ЯК» в различных его модификациях.</w:t>
      </w:r>
    </w:p>
    <w:p w14:paraId="1FA7C2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 годы ВОВ завод выпустил свыше 15000 боевых самолетов.</w:t>
      </w:r>
    </w:p>
    <w:p w14:paraId="01D119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1945 году завод продолжал выпуск самолетов Як-9 типа «М», «Т» и «Ю», а с апреля 1945 года перешел на крупносерийный выпуск самолетов Як-9у, одновременно сокращая выпуск самолетов типа «М», «Т» и «Ю».</w:t>
      </w:r>
    </w:p>
    <w:p w14:paraId="4DCA60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1945 года завод начал серийный выпуск самолета Як-9В и в то же время вел подготовку к внедрению в производство нового самолета Як-9П с металлическим крылом.</w:t>
      </w:r>
    </w:p>
    <w:p w14:paraId="67E763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1945 году с сокращением выпуска самолетов Наркомат предложил заводу организовать производство велосипедов и впервые утвердил большую номенклатуру ширпотреба.</w:t>
      </w:r>
    </w:p>
    <w:p w14:paraId="32F291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декабре 1945 года завод получил задание Наркомата о перестройке и полной реконструкции завода под крупно-серийный выпуск зерновых комбайнов.</w:t>
      </w:r>
    </w:p>
    <w:p w14:paraId="1EB98A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1946 году завод, готовясь к организации производства зерновых комбайнов, свертывал производство учебных самолетов. И только после того, как стало известно, что завод не будет организовывать производство комбайнов и останется самолетостроительным заводом – вновь приступил к выпуску учебных самолетов Як-9в.</w:t>
      </w:r>
    </w:p>
    <w:p w14:paraId="4F1561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связи в Постановлением Правительства о создании эталона учебного самолета, выпуск последних с марта по август был прекращен.</w:t>
      </w:r>
    </w:p>
    <w:p w14:paraId="0255CC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августа 1946 года с большим количеством доработок завод приступил к выпуску учебных самолетов Як-9в, которых было выпущено всего лишь 216.</w:t>
      </w:r>
    </w:p>
    <w:p w14:paraId="308647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Одновременно завод создавал эталон и боевого самолета и с августа, после получения эталона, началось освоение и внедрение в серию цельнометаллического самолета Як-9П, которых до конца года было собрано 80 машин при плане выпуска 245.</w:t>
      </w:r>
    </w:p>
    <w:p w14:paraId="2A6503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Годовой план по сдаче самолетов заказчику по всем типам был выполнен только на 52,5%.</w:t>
      </w:r>
    </w:p>
    <w:p w14:paraId="003BB6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1947 году завод осуществил переход на выпуск цельнометаллического самолета Як-9П, одновременно продолжая выпуск учебных самолетов Як-9В. Но в связи с тем, что к началу года завод не имел утвержденного к серийному выпуску эталону боевого самолета, заводу до 15 апреля не было разрешено сдавать самолеты заказчику.</w:t>
      </w:r>
    </w:p>
    <w:p w14:paraId="0DDAE1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1948 году по оборонной продукции завод продолжал выпуск самолетов Як-9П и одновременно заводу было дано задание освоить и поставить на производство самолет Як-23 с РД-500.</w:t>
      </w:r>
    </w:p>
    <w:p w14:paraId="2115A4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течение 1948 года было выпущено 249 самолетов Як-9П и освоено производство реактивного истребителя Як-23, задел которого выражался в 18 сложных единицах.</w:t>
      </w:r>
    </w:p>
    <w:p w14:paraId="5651FD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октябре 1948 года самолеты Як-9П и Як-23 были сняты с производства и завод приступил к подготовке производства реактивного самолета Миг-15 с РД-45.</w:t>
      </w:r>
    </w:p>
    <w:p w14:paraId="226AF5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1949 году выпущено самолетов Миг-15 с РД-45 144 штуки.</w:t>
      </w:r>
    </w:p>
    <w:p w14:paraId="7C60B7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Миг-15 с РД-45 с июня 1950 года был снят с производства и завод должен был перейти на серийный выпуск новой модернизации реактивного истребителя Миг-15 с Вк-1.</w:t>
      </w:r>
    </w:p>
    <w:p w14:paraId="25599F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концу 1949 года было выпущено 360 самолетов Миг-15 с Вк-1.</w:t>
      </w:r>
    </w:p>
    <w:p w14:paraId="7A4A6C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Освоено одновременно три модификации самолета:</w:t>
      </w:r>
    </w:p>
    <w:p w14:paraId="143E49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СДП без бустерного управления и оборудования слепой посадки</w:t>
      </w:r>
    </w:p>
    <w:p w14:paraId="349D36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СД – с бустерным управлением элеронами</w:t>
      </w:r>
    </w:p>
    <w:p w14:paraId="0E3195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СА – с бустерным управлением элеронами и оборудованием слепой посадки </w:t>
      </w:r>
    </w:p>
    <w:p w14:paraId="1F4EC9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1952 году при постепенном сходе с производства самолета Миг-15 завод со второго квартала в нарастающем итоге начал серийный выпуск самолета Миг-17 и начиная с третьего квартала, приступил к выпуску самолетов Миг-17 с Вк-1Ф.</w:t>
      </w:r>
    </w:p>
    <w:p w14:paraId="2C96FB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Кроме трех выпускаемых типов самолетов, завод имел задание с декабря 1952 года начать выпуск самолетов Миг-17 с установкой «Радаль».</w:t>
      </w:r>
    </w:p>
    <w:p w14:paraId="37409F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 1952 года заводом оборудовано пять самолетов системой буксировки в полете («Бурлаки») и в мае два самолета для ЛИИ системой заправки горючим в воздухе.</w:t>
      </w:r>
    </w:p>
    <w:p w14:paraId="452501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1952 году было выпущено 1260 самолетов против 1196 в 1951 году.</w:t>
      </w:r>
    </w:p>
    <w:p w14:paraId="37C63F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Наряду с выпуском основного типа самолета Миг-17, в первом квартале завод закончил выпуск самолетов Миг-17СФ и со второго квартала начал освоение и поставил на производство учебно-тренировочный самолет Миг-15УТИ, а с конца октября приступил к постановке производства нового типа самолета Миг-15Ф.</w:t>
      </w:r>
    </w:p>
    <w:p w14:paraId="4B9028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Таким образом, в конце третьего квартала в производстве идут параллельно три типа самолетов Миг-17, Миг-15УТИ и Миг-17Ф.</w:t>
      </w:r>
    </w:p>
    <w:p w14:paraId="748158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Кроме того, в течение года на партии самолетов производилась установка «Сирена» и «Радаль».</w:t>
      </w:r>
    </w:p>
    <w:p w14:paraId="2126C0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1954 год был годом дальнейшего усовершенствования технологии выпускаемых самолетов Миг-15УТИ и Миг-17Ф, а с ноября приступил к работам по установке на производство нового реактивного самолета Миг-19.</w:t>
      </w:r>
    </w:p>
    <w:p w14:paraId="66BB44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третьем квартале 1955 года самолет Миг-17Ф был снят с производства.</w:t>
      </w:r>
    </w:p>
    <w:p w14:paraId="393C18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начала 1955 года завод приступил к освоению реактивного истребителя Миг-19 и в течении всего 1955 года занимался его освоением и крупными неоднократными доработками, не выпустив ни одной готовой машины по-бою.</w:t>
      </w:r>
    </w:p>
    <w:p w14:paraId="517790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Параллельно с освоением самолета Миг-19 завод со второго полугодия приступил к постановке на производство самолета Миг-19 с управляемым стабилизатором (СМ 9/3), выпуск которых намечался на четвертый квартал 1955 года.</w:t>
      </w:r>
    </w:p>
    <w:p w14:paraId="72E49E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то же время по решению Правительства в конце года завод получил задание и вынужден был приступить к подготовке производства новой опытной машины конструктора Сухого.</w:t>
      </w:r>
    </w:p>
    <w:p w14:paraId="479F36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 1955 год было выпущено:</w:t>
      </w:r>
    </w:p>
    <w:p w14:paraId="4201A5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самолетов Миг-17Ф – 364 при плане 364</w:t>
      </w:r>
    </w:p>
    <w:p w14:paraId="542896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самолетов Миг-19 – 0 при плане 175</w:t>
      </w:r>
    </w:p>
    <w:p w14:paraId="341E45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самолетов Миг-19СМ 8/3 – 0 при плане 30</w:t>
      </w:r>
    </w:p>
    <w:p w14:paraId="084B21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1956 году был освоен и начат выпуск сверхзвукового реактивного самолета Миг-19.</w:t>
      </w:r>
    </w:p>
    <w:p w14:paraId="454DD3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1956 году завод отработал и поставил на производство новую модификацию самолета с управляемым стабилизатором – высотного самолета Миг-19СМ9/3.</w:t>
      </w:r>
    </w:p>
    <w:p w14:paraId="55C02F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Параллельно, в течение года осваивается новый тип истребителя-перехватчика конструктора Сухого – «Т-3».</w:t>
      </w:r>
    </w:p>
    <w:p w14:paraId="48EA62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1956 году завод перешел на серийный выпуск самолета Миг-19С и выпустил без двигателя первый самолет-перехватчик Т-3.</w:t>
      </w:r>
    </w:p>
    <w:p w14:paraId="62C8A9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 1956 год было выпущено:</w:t>
      </w:r>
    </w:p>
    <w:p w14:paraId="472391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самолетов Миг-19 – 287 единиц при плане 285 единиц</w:t>
      </w:r>
    </w:p>
    <w:p w14:paraId="3A87E7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 них:</w:t>
      </w:r>
    </w:p>
    <w:p w14:paraId="0AC7A8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без управляемого стабилизатора – 139</w:t>
      </w:r>
    </w:p>
    <w:p w14:paraId="28909D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управляемым стабилизатором – 148</w:t>
      </w:r>
    </w:p>
    <w:p w14:paraId="4EFC66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Сданный в серийное производство самолет Миг-19С образца 01-02 в январе 1957 года был отклонен ВВС и заводу пришлось осваивать выпуск самолета по новым ТУ.</w:t>
      </w:r>
    </w:p>
    <w:p w14:paraId="43EAD4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Фактически выпуск самолетов Миг-19С начался только с августа 1957 года.</w:t>
      </w:r>
    </w:p>
    <w:p w14:paraId="22E62D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 за 1957 год было сдано:</w:t>
      </w:r>
    </w:p>
    <w:p w14:paraId="736C77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самолетов Миг-19С – 283 при плане 405</w:t>
      </w:r>
    </w:p>
    <w:p w14:paraId="234051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самолетов Т-3 – 7 при плане 12</w:t>
      </w:r>
    </w:p>
    <w:p w14:paraId="757DB6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 за 1958 год было сдано:</w:t>
      </w:r>
    </w:p>
    <w:p w14:paraId="72C947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самолетов Миг-19С – 175 при плане 190</w:t>
      </w:r>
    </w:p>
    <w:p w14:paraId="2EBD6B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 них учебных - 3</w:t>
      </w:r>
    </w:p>
    <w:p w14:paraId="33DEB1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самолетов Т-3 – 40 при плане 40</w:t>
      </w:r>
    </w:p>
    <w:p w14:paraId="0148B3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Выпуск основной продукции по годам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07"/>
        <w:gridCol w:w="619"/>
        <w:gridCol w:w="563"/>
        <w:gridCol w:w="563"/>
        <w:gridCol w:w="540"/>
        <w:gridCol w:w="565"/>
        <w:gridCol w:w="545"/>
        <w:gridCol w:w="555"/>
        <w:gridCol w:w="555"/>
        <w:gridCol w:w="555"/>
        <w:gridCol w:w="555"/>
        <w:gridCol w:w="555"/>
        <w:gridCol w:w="555"/>
        <w:gridCol w:w="555"/>
      </w:tblGrid>
      <w:tr w:rsidR="001002C3" w:rsidRPr="005E779E" w14:paraId="5DAA6D85" w14:textId="77777777">
        <w:tc>
          <w:tcPr>
            <w:tcW w:w="907" w:type="dxa"/>
          </w:tcPr>
          <w:p w14:paraId="5D11A1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w:t>
            </w:r>
          </w:p>
        </w:tc>
        <w:tc>
          <w:tcPr>
            <w:tcW w:w="619" w:type="dxa"/>
          </w:tcPr>
          <w:p w14:paraId="087154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1937</w:t>
            </w:r>
          </w:p>
        </w:tc>
        <w:tc>
          <w:tcPr>
            <w:tcW w:w="563" w:type="dxa"/>
          </w:tcPr>
          <w:p w14:paraId="7EBF04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1938</w:t>
            </w:r>
          </w:p>
        </w:tc>
        <w:tc>
          <w:tcPr>
            <w:tcW w:w="563" w:type="dxa"/>
          </w:tcPr>
          <w:p w14:paraId="0128E8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1939</w:t>
            </w:r>
          </w:p>
        </w:tc>
        <w:tc>
          <w:tcPr>
            <w:tcW w:w="540" w:type="dxa"/>
          </w:tcPr>
          <w:p w14:paraId="196FF6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1940</w:t>
            </w:r>
          </w:p>
        </w:tc>
        <w:tc>
          <w:tcPr>
            <w:tcW w:w="565" w:type="dxa"/>
          </w:tcPr>
          <w:p w14:paraId="77469F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1941</w:t>
            </w:r>
          </w:p>
        </w:tc>
        <w:tc>
          <w:tcPr>
            <w:tcW w:w="545" w:type="dxa"/>
          </w:tcPr>
          <w:p w14:paraId="6B5C74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1942</w:t>
            </w:r>
          </w:p>
        </w:tc>
        <w:tc>
          <w:tcPr>
            <w:tcW w:w="555" w:type="dxa"/>
          </w:tcPr>
          <w:p w14:paraId="54FDE0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1943</w:t>
            </w:r>
          </w:p>
        </w:tc>
        <w:tc>
          <w:tcPr>
            <w:tcW w:w="555" w:type="dxa"/>
          </w:tcPr>
          <w:p w14:paraId="2AA77B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1944</w:t>
            </w:r>
          </w:p>
        </w:tc>
        <w:tc>
          <w:tcPr>
            <w:tcW w:w="555" w:type="dxa"/>
          </w:tcPr>
          <w:p w14:paraId="764C51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1945</w:t>
            </w:r>
          </w:p>
        </w:tc>
        <w:tc>
          <w:tcPr>
            <w:tcW w:w="555" w:type="dxa"/>
          </w:tcPr>
          <w:p w14:paraId="68D61B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1946</w:t>
            </w:r>
          </w:p>
        </w:tc>
        <w:tc>
          <w:tcPr>
            <w:tcW w:w="555" w:type="dxa"/>
          </w:tcPr>
          <w:p w14:paraId="78DF80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1947</w:t>
            </w:r>
          </w:p>
        </w:tc>
        <w:tc>
          <w:tcPr>
            <w:tcW w:w="555" w:type="dxa"/>
          </w:tcPr>
          <w:p w14:paraId="31544E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1948</w:t>
            </w:r>
          </w:p>
        </w:tc>
        <w:tc>
          <w:tcPr>
            <w:tcW w:w="555" w:type="dxa"/>
          </w:tcPr>
          <w:p w14:paraId="0A5799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w:t>
            </w:r>
          </w:p>
        </w:tc>
      </w:tr>
      <w:tr w:rsidR="001002C3" w:rsidRPr="005E779E" w14:paraId="125133C2" w14:textId="77777777">
        <w:tc>
          <w:tcPr>
            <w:tcW w:w="907" w:type="dxa"/>
          </w:tcPr>
          <w:p w14:paraId="6E3863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Самолеты готовые к бою</w:t>
            </w:r>
          </w:p>
        </w:tc>
        <w:tc>
          <w:tcPr>
            <w:tcW w:w="619" w:type="dxa"/>
          </w:tcPr>
          <w:p w14:paraId="043EC9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3" w:type="dxa"/>
          </w:tcPr>
          <w:p w14:paraId="77D21E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3" w:type="dxa"/>
          </w:tcPr>
          <w:p w14:paraId="52E686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40" w:type="dxa"/>
          </w:tcPr>
          <w:p w14:paraId="70C898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5" w:type="dxa"/>
          </w:tcPr>
          <w:p w14:paraId="5A7FD2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45" w:type="dxa"/>
          </w:tcPr>
          <w:p w14:paraId="74B55D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55" w:type="dxa"/>
          </w:tcPr>
          <w:p w14:paraId="6CC16D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55" w:type="dxa"/>
          </w:tcPr>
          <w:p w14:paraId="539F77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55" w:type="dxa"/>
          </w:tcPr>
          <w:p w14:paraId="27CB2F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55" w:type="dxa"/>
          </w:tcPr>
          <w:p w14:paraId="38EE09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55" w:type="dxa"/>
          </w:tcPr>
          <w:p w14:paraId="1EE002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55" w:type="dxa"/>
          </w:tcPr>
          <w:p w14:paraId="12C679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55" w:type="dxa"/>
          </w:tcPr>
          <w:p w14:paraId="63320E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8ED69B8" w14:textId="77777777">
        <w:tc>
          <w:tcPr>
            <w:tcW w:w="907" w:type="dxa"/>
          </w:tcPr>
          <w:p w14:paraId="503B4D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И-16</w:t>
            </w:r>
          </w:p>
        </w:tc>
        <w:tc>
          <w:tcPr>
            <w:tcW w:w="619" w:type="dxa"/>
          </w:tcPr>
          <w:p w14:paraId="0E20BD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w:t>
            </w:r>
          </w:p>
        </w:tc>
        <w:tc>
          <w:tcPr>
            <w:tcW w:w="563" w:type="dxa"/>
          </w:tcPr>
          <w:p w14:paraId="19003F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104</w:t>
            </w:r>
          </w:p>
        </w:tc>
        <w:tc>
          <w:tcPr>
            <w:tcW w:w="563" w:type="dxa"/>
          </w:tcPr>
          <w:p w14:paraId="398B7E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264</w:t>
            </w:r>
          </w:p>
        </w:tc>
        <w:tc>
          <w:tcPr>
            <w:tcW w:w="540" w:type="dxa"/>
          </w:tcPr>
          <w:p w14:paraId="377CB7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503</w:t>
            </w:r>
          </w:p>
        </w:tc>
        <w:tc>
          <w:tcPr>
            <w:tcW w:w="565" w:type="dxa"/>
          </w:tcPr>
          <w:p w14:paraId="469BFF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w:t>
            </w:r>
          </w:p>
        </w:tc>
        <w:tc>
          <w:tcPr>
            <w:tcW w:w="545" w:type="dxa"/>
          </w:tcPr>
          <w:p w14:paraId="69B74D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55" w:type="dxa"/>
          </w:tcPr>
          <w:p w14:paraId="38298A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55" w:type="dxa"/>
          </w:tcPr>
          <w:p w14:paraId="2CB903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55" w:type="dxa"/>
          </w:tcPr>
          <w:p w14:paraId="50D5C4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55" w:type="dxa"/>
          </w:tcPr>
          <w:p w14:paraId="33E2F0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55" w:type="dxa"/>
          </w:tcPr>
          <w:p w14:paraId="24437B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55" w:type="dxa"/>
          </w:tcPr>
          <w:p w14:paraId="4BF0CD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55" w:type="dxa"/>
          </w:tcPr>
          <w:p w14:paraId="700773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917</w:t>
            </w:r>
          </w:p>
        </w:tc>
      </w:tr>
      <w:tr w:rsidR="001002C3" w:rsidRPr="005E779E" w14:paraId="142604D0" w14:textId="77777777">
        <w:tc>
          <w:tcPr>
            <w:tcW w:w="907" w:type="dxa"/>
          </w:tcPr>
          <w:p w14:paraId="76FDA8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УТИ-4</w:t>
            </w:r>
          </w:p>
        </w:tc>
        <w:tc>
          <w:tcPr>
            <w:tcW w:w="619" w:type="dxa"/>
          </w:tcPr>
          <w:p w14:paraId="7C4010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3" w:type="dxa"/>
          </w:tcPr>
          <w:p w14:paraId="40C288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3" w:type="dxa"/>
          </w:tcPr>
          <w:p w14:paraId="02050A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40" w:type="dxa"/>
          </w:tcPr>
          <w:p w14:paraId="166878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5" w:type="dxa"/>
          </w:tcPr>
          <w:p w14:paraId="40F1E1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404</w:t>
            </w:r>
          </w:p>
        </w:tc>
        <w:tc>
          <w:tcPr>
            <w:tcW w:w="545" w:type="dxa"/>
          </w:tcPr>
          <w:p w14:paraId="1A64B7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55" w:type="dxa"/>
          </w:tcPr>
          <w:p w14:paraId="24EE03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55" w:type="dxa"/>
          </w:tcPr>
          <w:p w14:paraId="5A0B44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55" w:type="dxa"/>
          </w:tcPr>
          <w:p w14:paraId="7D5DA9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55" w:type="dxa"/>
          </w:tcPr>
          <w:p w14:paraId="0D47FD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55" w:type="dxa"/>
          </w:tcPr>
          <w:p w14:paraId="1DCD7F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55" w:type="dxa"/>
          </w:tcPr>
          <w:p w14:paraId="6F9FC1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55" w:type="dxa"/>
          </w:tcPr>
          <w:p w14:paraId="5EDB0A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404</w:t>
            </w:r>
          </w:p>
        </w:tc>
      </w:tr>
      <w:tr w:rsidR="001002C3" w:rsidRPr="005E779E" w14:paraId="5BDA9F6E" w14:textId="77777777">
        <w:tc>
          <w:tcPr>
            <w:tcW w:w="907" w:type="dxa"/>
          </w:tcPr>
          <w:p w14:paraId="119349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ЛАГГ-3</w:t>
            </w:r>
          </w:p>
        </w:tc>
        <w:tc>
          <w:tcPr>
            <w:tcW w:w="619" w:type="dxa"/>
          </w:tcPr>
          <w:p w14:paraId="5A83E8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3" w:type="dxa"/>
          </w:tcPr>
          <w:p w14:paraId="117041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3" w:type="dxa"/>
          </w:tcPr>
          <w:p w14:paraId="1A8121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40" w:type="dxa"/>
          </w:tcPr>
          <w:p w14:paraId="66FCA5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5" w:type="dxa"/>
          </w:tcPr>
          <w:p w14:paraId="056507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265</w:t>
            </w:r>
          </w:p>
        </w:tc>
        <w:tc>
          <w:tcPr>
            <w:tcW w:w="545" w:type="dxa"/>
          </w:tcPr>
          <w:p w14:paraId="0FE7F1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64</w:t>
            </w:r>
          </w:p>
        </w:tc>
        <w:tc>
          <w:tcPr>
            <w:tcW w:w="555" w:type="dxa"/>
          </w:tcPr>
          <w:p w14:paraId="501DFD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55" w:type="dxa"/>
          </w:tcPr>
          <w:p w14:paraId="299A04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55" w:type="dxa"/>
          </w:tcPr>
          <w:p w14:paraId="14AE92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55" w:type="dxa"/>
          </w:tcPr>
          <w:p w14:paraId="082714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55" w:type="dxa"/>
          </w:tcPr>
          <w:p w14:paraId="5E3E1F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55" w:type="dxa"/>
          </w:tcPr>
          <w:p w14:paraId="1055BA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55" w:type="dxa"/>
          </w:tcPr>
          <w:p w14:paraId="43DEF7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329</w:t>
            </w:r>
          </w:p>
        </w:tc>
      </w:tr>
      <w:tr w:rsidR="001002C3" w:rsidRPr="005E779E" w14:paraId="77222F3F" w14:textId="77777777">
        <w:tc>
          <w:tcPr>
            <w:tcW w:w="907" w:type="dxa"/>
          </w:tcPr>
          <w:p w14:paraId="6D2338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Як-7Б</w:t>
            </w:r>
          </w:p>
        </w:tc>
        <w:tc>
          <w:tcPr>
            <w:tcW w:w="619" w:type="dxa"/>
          </w:tcPr>
          <w:p w14:paraId="7B43CB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3" w:type="dxa"/>
          </w:tcPr>
          <w:p w14:paraId="72D194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3" w:type="dxa"/>
          </w:tcPr>
          <w:p w14:paraId="6D3156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40" w:type="dxa"/>
          </w:tcPr>
          <w:p w14:paraId="18BF4C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5" w:type="dxa"/>
          </w:tcPr>
          <w:p w14:paraId="7DDB16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w:t>
            </w:r>
          </w:p>
        </w:tc>
        <w:tc>
          <w:tcPr>
            <w:tcW w:w="545" w:type="dxa"/>
          </w:tcPr>
          <w:p w14:paraId="590560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1993</w:t>
            </w:r>
          </w:p>
        </w:tc>
        <w:tc>
          <w:tcPr>
            <w:tcW w:w="555" w:type="dxa"/>
          </w:tcPr>
          <w:p w14:paraId="3E41CC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2488</w:t>
            </w:r>
          </w:p>
        </w:tc>
        <w:tc>
          <w:tcPr>
            <w:tcW w:w="555" w:type="dxa"/>
          </w:tcPr>
          <w:p w14:paraId="7D3EE5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33</w:t>
            </w:r>
          </w:p>
        </w:tc>
        <w:tc>
          <w:tcPr>
            <w:tcW w:w="555" w:type="dxa"/>
          </w:tcPr>
          <w:p w14:paraId="70F519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55" w:type="dxa"/>
          </w:tcPr>
          <w:p w14:paraId="05E07B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55" w:type="dxa"/>
          </w:tcPr>
          <w:p w14:paraId="0FDB82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55" w:type="dxa"/>
          </w:tcPr>
          <w:p w14:paraId="7331BC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55" w:type="dxa"/>
          </w:tcPr>
          <w:p w14:paraId="5614CD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4535</w:t>
            </w:r>
          </w:p>
        </w:tc>
      </w:tr>
      <w:tr w:rsidR="001002C3" w:rsidRPr="005E779E" w14:paraId="2A829EE6" w14:textId="77777777">
        <w:tc>
          <w:tcPr>
            <w:tcW w:w="907" w:type="dxa"/>
          </w:tcPr>
          <w:p w14:paraId="757B6A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Як-9М</w:t>
            </w:r>
          </w:p>
        </w:tc>
        <w:tc>
          <w:tcPr>
            <w:tcW w:w="619" w:type="dxa"/>
          </w:tcPr>
          <w:p w14:paraId="1ABE83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3" w:type="dxa"/>
          </w:tcPr>
          <w:p w14:paraId="19D198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3" w:type="dxa"/>
          </w:tcPr>
          <w:p w14:paraId="18D7E7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40" w:type="dxa"/>
          </w:tcPr>
          <w:p w14:paraId="2DD3ED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5" w:type="dxa"/>
          </w:tcPr>
          <w:p w14:paraId="36480D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45" w:type="dxa"/>
          </w:tcPr>
          <w:p w14:paraId="054507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w:t>
            </w:r>
          </w:p>
        </w:tc>
        <w:tc>
          <w:tcPr>
            <w:tcW w:w="555" w:type="dxa"/>
          </w:tcPr>
          <w:p w14:paraId="44423C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828</w:t>
            </w:r>
          </w:p>
        </w:tc>
        <w:tc>
          <w:tcPr>
            <w:tcW w:w="555" w:type="dxa"/>
          </w:tcPr>
          <w:p w14:paraId="3C14D7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4459</w:t>
            </w:r>
          </w:p>
        </w:tc>
        <w:tc>
          <w:tcPr>
            <w:tcW w:w="555" w:type="dxa"/>
          </w:tcPr>
          <w:p w14:paraId="0689C8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1649</w:t>
            </w:r>
          </w:p>
        </w:tc>
        <w:tc>
          <w:tcPr>
            <w:tcW w:w="555" w:type="dxa"/>
          </w:tcPr>
          <w:p w14:paraId="6ED2A0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55" w:type="dxa"/>
          </w:tcPr>
          <w:p w14:paraId="217562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55" w:type="dxa"/>
          </w:tcPr>
          <w:p w14:paraId="2F46C7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55" w:type="dxa"/>
          </w:tcPr>
          <w:p w14:paraId="4971B6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6961</w:t>
            </w:r>
          </w:p>
        </w:tc>
      </w:tr>
      <w:tr w:rsidR="001002C3" w:rsidRPr="005E779E" w14:paraId="7B33E52A" w14:textId="77777777">
        <w:tc>
          <w:tcPr>
            <w:tcW w:w="907" w:type="dxa"/>
          </w:tcPr>
          <w:p w14:paraId="7016B5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Як-9-37</w:t>
            </w:r>
          </w:p>
        </w:tc>
        <w:tc>
          <w:tcPr>
            <w:tcW w:w="619" w:type="dxa"/>
          </w:tcPr>
          <w:p w14:paraId="3238D2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3" w:type="dxa"/>
          </w:tcPr>
          <w:p w14:paraId="48FDF1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3" w:type="dxa"/>
          </w:tcPr>
          <w:p w14:paraId="511B22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40" w:type="dxa"/>
          </w:tcPr>
          <w:p w14:paraId="19195E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5" w:type="dxa"/>
          </w:tcPr>
          <w:p w14:paraId="7D3B2B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45" w:type="dxa"/>
          </w:tcPr>
          <w:p w14:paraId="61F694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55" w:type="dxa"/>
          </w:tcPr>
          <w:p w14:paraId="4BA469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894</w:t>
            </w:r>
          </w:p>
        </w:tc>
        <w:tc>
          <w:tcPr>
            <w:tcW w:w="555" w:type="dxa"/>
          </w:tcPr>
          <w:p w14:paraId="7D79B6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1206</w:t>
            </w:r>
          </w:p>
        </w:tc>
        <w:tc>
          <w:tcPr>
            <w:tcW w:w="555" w:type="dxa"/>
          </w:tcPr>
          <w:p w14:paraId="41585E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55" w:type="dxa"/>
          </w:tcPr>
          <w:p w14:paraId="764035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55" w:type="dxa"/>
          </w:tcPr>
          <w:p w14:paraId="1844B4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55" w:type="dxa"/>
          </w:tcPr>
          <w:p w14:paraId="1EBDF8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55" w:type="dxa"/>
          </w:tcPr>
          <w:p w14:paraId="78E4C3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2100</w:t>
            </w:r>
          </w:p>
        </w:tc>
      </w:tr>
      <w:tr w:rsidR="001002C3" w:rsidRPr="005E779E" w14:paraId="228A2FF5" w14:textId="77777777">
        <w:tc>
          <w:tcPr>
            <w:tcW w:w="907" w:type="dxa"/>
          </w:tcPr>
          <w:p w14:paraId="10EB7F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Як-7В</w:t>
            </w:r>
          </w:p>
        </w:tc>
        <w:tc>
          <w:tcPr>
            <w:tcW w:w="619" w:type="dxa"/>
          </w:tcPr>
          <w:p w14:paraId="357FC7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3" w:type="dxa"/>
          </w:tcPr>
          <w:p w14:paraId="021CFB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3" w:type="dxa"/>
          </w:tcPr>
          <w:p w14:paraId="2CDF2B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40" w:type="dxa"/>
          </w:tcPr>
          <w:p w14:paraId="0894AD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5" w:type="dxa"/>
          </w:tcPr>
          <w:p w14:paraId="4AC7B3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45" w:type="dxa"/>
          </w:tcPr>
          <w:p w14:paraId="6A2D50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186</w:t>
            </w:r>
          </w:p>
        </w:tc>
        <w:tc>
          <w:tcPr>
            <w:tcW w:w="555" w:type="dxa"/>
          </w:tcPr>
          <w:p w14:paraId="678334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322</w:t>
            </w:r>
          </w:p>
        </w:tc>
        <w:tc>
          <w:tcPr>
            <w:tcW w:w="555" w:type="dxa"/>
          </w:tcPr>
          <w:p w14:paraId="2F8B92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55" w:type="dxa"/>
          </w:tcPr>
          <w:p w14:paraId="1871B0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55" w:type="dxa"/>
          </w:tcPr>
          <w:p w14:paraId="5C8A98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55" w:type="dxa"/>
          </w:tcPr>
          <w:p w14:paraId="4BFE8C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55" w:type="dxa"/>
          </w:tcPr>
          <w:p w14:paraId="7F6FB3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55" w:type="dxa"/>
          </w:tcPr>
          <w:p w14:paraId="7B485F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508</w:t>
            </w:r>
          </w:p>
        </w:tc>
      </w:tr>
      <w:tr w:rsidR="001002C3" w:rsidRPr="005E779E" w14:paraId="291D7156" w14:textId="77777777">
        <w:tc>
          <w:tcPr>
            <w:tcW w:w="907" w:type="dxa"/>
          </w:tcPr>
          <w:p w14:paraId="2A5E9C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Як-9У</w:t>
            </w:r>
          </w:p>
        </w:tc>
        <w:tc>
          <w:tcPr>
            <w:tcW w:w="619" w:type="dxa"/>
          </w:tcPr>
          <w:p w14:paraId="0AB7F3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3" w:type="dxa"/>
          </w:tcPr>
          <w:p w14:paraId="4DF39B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3" w:type="dxa"/>
          </w:tcPr>
          <w:p w14:paraId="15A25C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40" w:type="dxa"/>
          </w:tcPr>
          <w:p w14:paraId="10B694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5" w:type="dxa"/>
          </w:tcPr>
          <w:p w14:paraId="475C38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45" w:type="dxa"/>
          </w:tcPr>
          <w:p w14:paraId="37F37A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55" w:type="dxa"/>
          </w:tcPr>
          <w:p w14:paraId="12A121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55" w:type="dxa"/>
          </w:tcPr>
          <w:p w14:paraId="4A8379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555" w:type="dxa"/>
          </w:tcPr>
          <w:p w14:paraId="30E719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561</w:t>
            </w:r>
          </w:p>
        </w:tc>
        <w:tc>
          <w:tcPr>
            <w:tcW w:w="555" w:type="dxa"/>
          </w:tcPr>
          <w:p w14:paraId="2CC689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555" w:type="dxa"/>
          </w:tcPr>
          <w:p w14:paraId="57A3D0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55" w:type="dxa"/>
          </w:tcPr>
          <w:p w14:paraId="427E05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55" w:type="dxa"/>
          </w:tcPr>
          <w:p w14:paraId="7794F8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565</w:t>
            </w:r>
          </w:p>
        </w:tc>
      </w:tr>
      <w:tr w:rsidR="001002C3" w:rsidRPr="005E779E" w14:paraId="2198004B" w14:textId="77777777">
        <w:tc>
          <w:tcPr>
            <w:tcW w:w="907" w:type="dxa"/>
          </w:tcPr>
          <w:p w14:paraId="6991CB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Як-9Т</w:t>
            </w:r>
          </w:p>
        </w:tc>
        <w:tc>
          <w:tcPr>
            <w:tcW w:w="619" w:type="dxa"/>
          </w:tcPr>
          <w:p w14:paraId="194196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3" w:type="dxa"/>
          </w:tcPr>
          <w:p w14:paraId="0435D1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3" w:type="dxa"/>
          </w:tcPr>
          <w:p w14:paraId="1FC47A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40" w:type="dxa"/>
          </w:tcPr>
          <w:p w14:paraId="4F9B3E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5" w:type="dxa"/>
          </w:tcPr>
          <w:p w14:paraId="11CB36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45" w:type="dxa"/>
          </w:tcPr>
          <w:p w14:paraId="3BF257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55" w:type="dxa"/>
          </w:tcPr>
          <w:p w14:paraId="5B1B18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55" w:type="dxa"/>
          </w:tcPr>
          <w:p w14:paraId="398553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55" w:type="dxa"/>
          </w:tcPr>
          <w:p w14:paraId="4AD50B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641</w:t>
            </w:r>
          </w:p>
        </w:tc>
        <w:tc>
          <w:tcPr>
            <w:tcW w:w="555" w:type="dxa"/>
          </w:tcPr>
          <w:p w14:paraId="6A22C2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55" w:type="dxa"/>
          </w:tcPr>
          <w:p w14:paraId="528FC4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55" w:type="dxa"/>
          </w:tcPr>
          <w:p w14:paraId="706D15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55" w:type="dxa"/>
          </w:tcPr>
          <w:p w14:paraId="23E84B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641</w:t>
            </w:r>
          </w:p>
        </w:tc>
      </w:tr>
      <w:tr w:rsidR="001002C3" w:rsidRPr="005E779E" w14:paraId="2EF3514E" w14:textId="77777777">
        <w:tc>
          <w:tcPr>
            <w:tcW w:w="907" w:type="dxa"/>
          </w:tcPr>
          <w:p w14:paraId="5F5011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Як-9Ю</w:t>
            </w:r>
          </w:p>
        </w:tc>
        <w:tc>
          <w:tcPr>
            <w:tcW w:w="619" w:type="dxa"/>
          </w:tcPr>
          <w:p w14:paraId="1DA9A3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3" w:type="dxa"/>
          </w:tcPr>
          <w:p w14:paraId="0FE46A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3" w:type="dxa"/>
          </w:tcPr>
          <w:p w14:paraId="48C37E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40" w:type="dxa"/>
          </w:tcPr>
          <w:p w14:paraId="0EDCDC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5" w:type="dxa"/>
          </w:tcPr>
          <w:p w14:paraId="4A0E50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45" w:type="dxa"/>
          </w:tcPr>
          <w:p w14:paraId="22445C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55" w:type="dxa"/>
          </w:tcPr>
          <w:p w14:paraId="33AC25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55" w:type="dxa"/>
          </w:tcPr>
          <w:p w14:paraId="6E2523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55" w:type="dxa"/>
          </w:tcPr>
          <w:p w14:paraId="21D4F7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426</w:t>
            </w:r>
          </w:p>
        </w:tc>
        <w:tc>
          <w:tcPr>
            <w:tcW w:w="555" w:type="dxa"/>
          </w:tcPr>
          <w:p w14:paraId="02377B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w:t>
            </w:r>
          </w:p>
        </w:tc>
        <w:tc>
          <w:tcPr>
            <w:tcW w:w="555" w:type="dxa"/>
          </w:tcPr>
          <w:p w14:paraId="258750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55" w:type="dxa"/>
          </w:tcPr>
          <w:p w14:paraId="532FDB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55" w:type="dxa"/>
          </w:tcPr>
          <w:p w14:paraId="6DF6C5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466</w:t>
            </w:r>
          </w:p>
        </w:tc>
      </w:tr>
      <w:tr w:rsidR="001002C3" w:rsidRPr="005E779E" w14:paraId="3430E91C" w14:textId="77777777">
        <w:tc>
          <w:tcPr>
            <w:tcW w:w="907" w:type="dxa"/>
          </w:tcPr>
          <w:p w14:paraId="4782EA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Як-9В</w:t>
            </w:r>
          </w:p>
        </w:tc>
        <w:tc>
          <w:tcPr>
            <w:tcW w:w="619" w:type="dxa"/>
          </w:tcPr>
          <w:p w14:paraId="0462E1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3" w:type="dxa"/>
          </w:tcPr>
          <w:p w14:paraId="6068B3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3" w:type="dxa"/>
          </w:tcPr>
          <w:p w14:paraId="2BA854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40" w:type="dxa"/>
          </w:tcPr>
          <w:p w14:paraId="73C281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5" w:type="dxa"/>
          </w:tcPr>
          <w:p w14:paraId="0800E1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45" w:type="dxa"/>
          </w:tcPr>
          <w:p w14:paraId="24E1A1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55" w:type="dxa"/>
          </w:tcPr>
          <w:p w14:paraId="7EF2E8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55" w:type="dxa"/>
          </w:tcPr>
          <w:p w14:paraId="47BD9E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55" w:type="dxa"/>
          </w:tcPr>
          <w:p w14:paraId="506DFC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w:t>
            </w:r>
          </w:p>
        </w:tc>
        <w:tc>
          <w:tcPr>
            <w:tcW w:w="555" w:type="dxa"/>
          </w:tcPr>
          <w:p w14:paraId="267724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282</w:t>
            </w:r>
          </w:p>
        </w:tc>
        <w:tc>
          <w:tcPr>
            <w:tcW w:w="555" w:type="dxa"/>
          </w:tcPr>
          <w:p w14:paraId="43CD60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175</w:t>
            </w:r>
          </w:p>
        </w:tc>
        <w:tc>
          <w:tcPr>
            <w:tcW w:w="555" w:type="dxa"/>
          </w:tcPr>
          <w:p w14:paraId="390EA0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55" w:type="dxa"/>
          </w:tcPr>
          <w:p w14:paraId="0136F3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472</w:t>
            </w:r>
          </w:p>
        </w:tc>
      </w:tr>
      <w:tr w:rsidR="001002C3" w:rsidRPr="005E779E" w14:paraId="2941A00D" w14:textId="77777777">
        <w:tc>
          <w:tcPr>
            <w:tcW w:w="907" w:type="dxa"/>
          </w:tcPr>
          <w:p w14:paraId="536B96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Як-9П</w:t>
            </w:r>
          </w:p>
        </w:tc>
        <w:tc>
          <w:tcPr>
            <w:tcW w:w="619" w:type="dxa"/>
          </w:tcPr>
          <w:p w14:paraId="6167CB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3" w:type="dxa"/>
          </w:tcPr>
          <w:p w14:paraId="660312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3" w:type="dxa"/>
          </w:tcPr>
          <w:p w14:paraId="1EF14D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40" w:type="dxa"/>
          </w:tcPr>
          <w:p w14:paraId="2A480C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5" w:type="dxa"/>
          </w:tcPr>
          <w:p w14:paraId="2913ED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45" w:type="dxa"/>
          </w:tcPr>
          <w:p w14:paraId="7C8B3C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55" w:type="dxa"/>
          </w:tcPr>
          <w:p w14:paraId="049889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55" w:type="dxa"/>
          </w:tcPr>
          <w:p w14:paraId="6AE347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55" w:type="dxa"/>
          </w:tcPr>
          <w:p w14:paraId="2C45D3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55" w:type="dxa"/>
          </w:tcPr>
          <w:p w14:paraId="0DCAA5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w:t>
            </w:r>
          </w:p>
        </w:tc>
        <w:tc>
          <w:tcPr>
            <w:tcW w:w="555" w:type="dxa"/>
          </w:tcPr>
          <w:p w14:paraId="324E1F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522</w:t>
            </w:r>
          </w:p>
        </w:tc>
        <w:tc>
          <w:tcPr>
            <w:tcW w:w="555" w:type="dxa"/>
          </w:tcPr>
          <w:p w14:paraId="7A239C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249</w:t>
            </w:r>
          </w:p>
        </w:tc>
        <w:tc>
          <w:tcPr>
            <w:tcW w:w="555" w:type="dxa"/>
          </w:tcPr>
          <w:p w14:paraId="433D7F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801</w:t>
            </w:r>
          </w:p>
        </w:tc>
      </w:tr>
      <w:tr w:rsidR="001002C3" w:rsidRPr="005E779E" w14:paraId="03851E11" w14:textId="77777777">
        <w:tc>
          <w:tcPr>
            <w:tcW w:w="907" w:type="dxa"/>
          </w:tcPr>
          <w:p w14:paraId="55A5CE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 по годам</w:t>
            </w:r>
          </w:p>
        </w:tc>
        <w:tc>
          <w:tcPr>
            <w:tcW w:w="619" w:type="dxa"/>
          </w:tcPr>
          <w:p w14:paraId="54F075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w:t>
            </w:r>
          </w:p>
        </w:tc>
        <w:tc>
          <w:tcPr>
            <w:tcW w:w="563" w:type="dxa"/>
          </w:tcPr>
          <w:p w14:paraId="27E5BB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104</w:t>
            </w:r>
          </w:p>
        </w:tc>
        <w:tc>
          <w:tcPr>
            <w:tcW w:w="563" w:type="dxa"/>
          </w:tcPr>
          <w:p w14:paraId="3361B9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264</w:t>
            </w:r>
          </w:p>
        </w:tc>
        <w:tc>
          <w:tcPr>
            <w:tcW w:w="540" w:type="dxa"/>
          </w:tcPr>
          <w:p w14:paraId="470705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503</w:t>
            </w:r>
          </w:p>
        </w:tc>
        <w:tc>
          <w:tcPr>
            <w:tcW w:w="565" w:type="dxa"/>
          </w:tcPr>
          <w:p w14:paraId="7362E8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709</w:t>
            </w:r>
          </w:p>
        </w:tc>
        <w:tc>
          <w:tcPr>
            <w:tcW w:w="545" w:type="dxa"/>
          </w:tcPr>
          <w:p w14:paraId="348B24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2268</w:t>
            </w:r>
          </w:p>
        </w:tc>
        <w:tc>
          <w:tcPr>
            <w:tcW w:w="555" w:type="dxa"/>
          </w:tcPr>
          <w:p w14:paraId="58FF27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4532</w:t>
            </w:r>
          </w:p>
        </w:tc>
        <w:tc>
          <w:tcPr>
            <w:tcW w:w="555" w:type="dxa"/>
          </w:tcPr>
          <w:p w14:paraId="4F8A16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5700</w:t>
            </w:r>
          </w:p>
        </w:tc>
        <w:tc>
          <w:tcPr>
            <w:tcW w:w="555" w:type="dxa"/>
          </w:tcPr>
          <w:p w14:paraId="7F7D0C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3292</w:t>
            </w:r>
          </w:p>
        </w:tc>
        <w:tc>
          <w:tcPr>
            <w:tcW w:w="555" w:type="dxa"/>
          </w:tcPr>
          <w:p w14:paraId="7B4F96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354</w:t>
            </w:r>
          </w:p>
        </w:tc>
        <w:tc>
          <w:tcPr>
            <w:tcW w:w="555" w:type="dxa"/>
          </w:tcPr>
          <w:p w14:paraId="374B13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697</w:t>
            </w:r>
          </w:p>
        </w:tc>
        <w:tc>
          <w:tcPr>
            <w:tcW w:w="555" w:type="dxa"/>
          </w:tcPr>
          <w:p w14:paraId="5648C2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249</w:t>
            </w:r>
          </w:p>
        </w:tc>
        <w:tc>
          <w:tcPr>
            <w:tcW w:w="555" w:type="dxa"/>
          </w:tcPr>
          <w:p w14:paraId="405B24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bl>
    <w:p w14:paraId="24DF28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(9503)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688"/>
        <w:gridCol w:w="723"/>
        <w:gridCol w:w="722"/>
        <w:gridCol w:w="723"/>
        <w:gridCol w:w="546"/>
        <w:gridCol w:w="567"/>
        <w:gridCol w:w="567"/>
        <w:gridCol w:w="567"/>
        <w:gridCol w:w="567"/>
        <w:gridCol w:w="567"/>
        <w:gridCol w:w="709"/>
      </w:tblGrid>
      <w:tr w:rsidR="001002C3" w:rsidRPr="005E779E" w14:paraId="61267063" w14:textId="77777777">
        <w:tc>
          <w:tcPr>
            <w:tcW w:w="1809" w:type="dxa"/>
          </w:tcPr>
          <w:p w14:paraId="201325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w:t>
            </w:r>
          </w:p>
        </w:tc>
        <w:tc>
          <w:tcPr>
            <w:tcW w:w="688" w:type="dxa"/>
          </w:tcPr>
          <w:p w14:paraId="19820E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1949</w:t>
            </w:r>
          </w:p>
        </w:tc>
        <w:tc>
          <w:tcPr>
            <w:tcW w:w="723" w:type="dxa"/>
          </w:tcPr>
          <w:p w14:paraId="2D6EC6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1950</w:t>
            </w:r>
          </w:p>
        </w:tc>
        <w:tc>
          <w:tcPr>
            <w:tcW w:w="722" w:type="dxa"/>
          </w:tcPr>
          <w:p w14:paraId="0DC400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1951</w:t>
            </w:r>
          </w:p>
        </w:tc>
        <w:tc>
          <w:tcPr>
            <w:tcW w:w="723" w:type="dxa"/>
          </w:tcPr>
          <w:p w14:paraId="334914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1952</w:t>
            </w:r>
          </w:p>
        </w:tc>
        <w:tc>
          <w:tcPr>
            <w:tcW w:w="546" w:type="dxa"/>
          </w:tcPr>
          <w:p w14:paraId="15A52A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1953</w:t>
            </w:r>
          </w:p>
        </w:tc>
        <w:tc>
          <w:tcPr>
            <w:tcW w:w="567" w:type="dxa"/>
          </w:tcPr>
          <w:p w14:paraId="7C6217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1954</w:t>
            </w:r>
          </w:p>
        </w:tc>
        <w:tc>
          <w:tcPr>
            <w:tcW w:w="567" w:type="dxa"/>
          </w:tcPr>
          <w:p w14:paraId="5A2EF9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1955</w:t>
            </w:r>
          </w:p>
        </w:tc>
        <w:tc>
          <w:tcPr>
            <w:tcW w:w="567" w:type="dxa"/>
          </w:tcPr>
          <w:p w14:paraId="57313A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1956</w:t>
            </w:r>
          </w:p>
        </w:tc>
        <w:tc>
          <w:tcPr>
            <w:tcW w:w="567" w:type="dxa"/>
          </w:tcPr>
          <w:p w14:paraId="16ADBA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1957</w:t>
            </w:r>
          </w:p>
        </w:tc>
        <w:tc>
          <w:tcPr>
            <w:tcW w:w="567" w:type="dxa"/>
          </w:tcPr>
          <w:p w14:paraId="21D9F4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1958</w:t>
            </w:r>
          </w:p>
        </w:tc>
        <w:tc>
          <w:tcPr>
            <w:tcW w:w="709" w:type="dxa"/>
          </w:tcPr>
          <w:p w14:paraId="419737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w:t>
            </w:r>
          </w:p>
        </w:tc>
      </w:tr>
      <w:tr w:rsidR="001002C3" w:rsidRPr="005E779E" w14:paraId="5610E5BC" w14:textId="77777777">
        <w:tc>
          <w:tcPr>
            <w:tcW w:w="1809" w:type="dxa"/>
          </w:tcPr>
          <w:p w14:paraId="1AB281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Миг-19 с РД-45</w:t>
            </w:r>
          </w:p>
        </w:tc>
        <w:tc>
          <w:tcPr>
            <w:tcW w:w="688" w:type="dxa"/>
          </w:tcPr>
          <w:p w14:paraId="4D1719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144</w:t>
            </w:r>
          </w:p>
        </w:tc>
        <w:tc>
          <w:tcPr>
            <w:tcW w:w="723" w:type="dxa"/>
          </w:tcPr>
          <w:p w14:paraId="0A41C0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307</w:t>
            </w:r>
          </w:p>
        </w:tc>
        <w:tc>
          <w:tcPr>
            <w:tcW w:w="722" w:type="dxa"/>
          </w:tcPr>
          <w:p w14:paraId="178C15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23" w:type="dxa"/>
          </w:tcPr>
          <w:p w14:paraId="741875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46" w:type="dxa"/>
          </w:tcPr>
          <w:p w14:paraId="696CC1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7" w:type="dxa"/>
          </w:tcPr>
          <w:p w14:paraId="0C5748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7" w:type="dxa"/>
          </w:tcPr>
          <w:p w14:paraId="0B846B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7" w:type="dxa"/>
          </w:tcPr>
          <w:p w14:paraId="72287E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7" w:type="dxa"/>
          </w:tcPr>
          <w:p w14:paraId="1689C4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7" w:type="dxa"/>
          </w:tcPr>
          <w:p w14:paraId="3E5661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09" w:type="dxa"/>
          </w:tcPr>
          <w:p w14:paraId="12EAD5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451</w:t>
            </w:r>
          </w:p>
        </w:tc>
      </w:tr>
      <w:tr w:rsidR="001002C3" w:rsidRPr="005E779E" w14:paraId="5E151C44" w14:textId="77777777">
        <w:tc>
          <w:tcPr>
            <w:tcW w:w="1809" w:type="dxa"/>
          </w:tcPr>
          <w:p w14:paraId="614A3C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Миг-15 бис</w:t>
            </w:r>
          </w:p>
        </w:tc>
        <w:tc>
          <w:tcPr>
            <w:tcW w:w="688" w:type="dxa"/>
          </w:tcPr>
          <w:p w14:paraId="77ECE2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23" w:type="dxa"/>
          </w:tcPr>
          <w:p w14:paraId="55CC91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360</w:t>
            </w:r>
          </w:p>
        </w:tc>
        <w:tc>
          <w:tcPr>
            <w:tcW w:w="722" w:type="dxa"/>
          </w:tcPr>
          <w:p w14:paraId="23ED04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1197</w:t>
            </w:r>
          </w:p>
        </w:tc>
        <w:tc>
          <w:tcPr>
            <w:tcW w:w="723" w:type="dxa"/>
          </w:tcPr>
          <w:p w14:paraId="56D6D5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863</w:t>
            </w:r>
          </w:p>
        </w:tc>
        <w:tc>
          <w:tcPr>
            <w:tcW w:w="546" w:type="dxa"/>
          </w:tcPr>
          <w:p w14:paraId="0ADC85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567" w:type="dxa"/>
          </w:tcPr>
          <w:p w14:paraId="48EB45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7" w:type="dxa"/>
          </w:tcPr>
          <w:p w14:paraId="04C717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7" w:type="dxa"/>
          </w:tcPr>
          <w:p w14:paraId="64CAD8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7" w:type="dxa"/>
          </w:tcPr>
          <w:p w14:paraId="54D173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7" w:type="dxa"/>
          </w:tcPr>
          <w:p w14:paraId="025B14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09" w:type="dxa"/>
          </w:tcPr>
          <w:p w14:paraId="7B2BE5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2421</w:t>
            </w:r>
          </w:p>
        </w:tc>
      </w:tr>
      <w:tr w:rsidR="001002C3" w:rsidRPr="005E779E" w14:paraId="208BCEB7" w14:textId="77777777">
        <w:tc>
          <w:tcPr>
            <w:tcW w:w="1809" w:type="dxa"/>
          </w:tcPr>
          <w:p w14:paraId="6AEA58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Миг-17</w:t>
            </w:r>
          </w:p>
        </w:tc>
        <w:tc>
          <w:tcPr>
            <w:tcW w:w="688" w:type="dxa"/>
          </w:tcPr>
          <w:p w14:paraId="3B48C9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23" w:type="dxa"/>
          </w:tcPr>
          <w:p w14:paraId="727921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22" w:type="dxa"/>
          </w:tcPr>
          <w:p w14:paraId="2C12DF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23" w:type="dxa"/>
          </w:tcPr>
          <w:p w14:paraId="6B1757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385</w:t>
            </w:r>
          </w:p>
        </w:tc>
        <w:tc>
          <w:tcPr>
            <w:tcW w:w="546" w:type="dxa"/>
          </w:tcPr>
          <w:p w14:paraId="797FE3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973</w:t>
            </w:r>
          </w:p>
        </w:tc>
        <w:tc>
          <w:tcPr>
            <w:tcW w:w="567" w:type="dxa"/>
          </w:tcPr>
          <w:p w14:paraId="3A40E5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w:t>
            </w:r>
          </w:p>
        </w:tc>
        <w:tc>
          <w:tcPr>
            <w:tcW w:w="567" w:type="dxa"/>
          </w:tcPr>
          <w:p w14:paraId="66A7E3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7" w:type="dxa"/>
          </w:tcPr>
          <w:p w14:paraId="51CCAD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7" w:type="dxa"/>
          </w:tcPr>
          <w:p w14:paraId="341F7C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7" w:type="dxa"/>
          </w:tcPr>
          <w:p w14:paraId="36FB8E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09" w:type="dxa"/>
          </w:tcPr>
          <w:p w14:paraId="6BA47E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1398</w:t>
            </w:r>
          </w:p>
        </w:tc>
      </w:tr>
      <w:tr w:rsidR="001002C3" w:rsidRPr="005E779E" w14:paraId="2EA28DCA" w14:textId="77777777">
        <w:tc>
          <w:tcPr>
            <w:tcW w:w="1809" w:type="dxa"/>
          </w:tcPr>
          <w:p w14:paraId="2E8613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УТИ Миг-15</w:t>
            </w:r>
          </w:p>
        </w:tc>
        <w:tc>
          <w:tcPr>
            <w:tcW w:w="688" w:type="dxa"/>
          </w:tcPr>
          <w:p w14:paraId="68A056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23" w:type="dxa"/>
          </w:tcPr>
          <w:p w14:paraId="6A35B0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22" w:type="dxa"/>
          </w:tcPr>
          <w:p w14:paraId="28BC40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23" w:type="dxa"/>
          </w:tcPr>
          <w:p w14:paraId="591177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46" w:type="dxa"/>
          </w:tcPr>
          <w:p w14:paraId="0E1D08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209</w:t>
            </w:r>
          </w:p>
        </w:tc>
        <w:tc>
          <w:tcPr>
            <w:tcW w:w="567" w:type="dxa"/>
          </w:tcPr>
          <w:p w14:paraId="0ACE59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715</w:t>
            </w:r>
          </w:p>
        </w:tc>
        <w:tc>
          <w:tcPr>
            <w:tcW w:w="567" w:type="dxa"/>
          </w:tcPr>
          <w:p w14:paraId="2954BF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7" w:type="dxa"/>
          </w:tcPr>
          <w:p w14:paraId="333E0C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7" w:type="dxa"/>
          </w:tcPr>
          <w:p w14:paraId="6E68FF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7" w:type="dxa"/>
          </w:tcPr>
          <w:p w14:paraId="4D2505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09" w:type="dxa"/>
          </w:tcPr>
          <w:p w14:paraId="2059C3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924</w:t>
            </w:r>
          </w:p>
        </w:tc>
      </w:tr>
      <w:tr w:rsidR="001002C3" w:rsidRPr="005E779E" w14:paraId="1612EA24" w14:textId="77777777">
        <w:tc>
          <w:tcPr>
            <w:tcW w:w="1809" w:type="dxa"/>
          </w:tcPr>
          <w:p w14:paraId="2D2647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Миг-17Ф</w:t>
            </w:r>
          </w:p>
        </w:tc>
        <w:tc>
          <w:tcPr>
            <w:tcW w:w="688" w:type="dxa"/>
          </w:tcPr>
          <w:p w14:paraId="308F71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23" w:type="dxa"/>
          </w:tcPr>
          <w:p w14:paraId="09FC3F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22" w:type="dxa"/>
          </w:tcPr>
          <w:p w14:paraId="2D0E4F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23" w:type="dxa"/>
          </w:tcPr>
          <w:p w14:paraId="1904D1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w:t>
            </w:r>
          </w:p>
        </w:tc>
        <w:tc>
          <w:tcPr>
            <w:tcW w:w="546" w:type="dxa"/>
          </w:tcPr>
          <w:p w14:paraId="68E8F2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w:t>
            </w:r>
          </w:p>
        </w:tc>
        <w:tc>
          <w:tcPr>
            <w:tcW w:w="567" w:type="dxa"/>
          </w:tcPr>
          <w:p w14:paraId="4BB4D3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375</w:t>
            </w:r>
          </w:p>
        </w:tc>
        <w:tc>
          <w:tcPr>
            <w:tcW w:w="567" w:type="dxa"/>
          </w:tcPr>
          <w:p w14:paraId="7317B2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364</w:t>
            </w:r>
          </w:p>
        </w:tc>
        <w:tc>
          <w:tcPr>
            <w:tcW w:w="567" w:type="dxa"/>
          </w:tcPr>
          <w:p w14:paraId="6F2045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7" w:type="dxa"/>
          </w:tcPr>
          <w:p w14:paraId="441956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7" w:type="dxa"/>
          </w:tcPr>
          <w:p w14:paraId="1B0893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09" w:type="dxa"/>
          </w:tcPr>
          <w:p w14:paraId="331A61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769</w:t>
            </w:r>
          </w:p>
        </w:tc>
      </w:tr>
      <w:tr w:rsidR="001002C3" w:rsidRPr="005E779E" w14:paraId="78911D2D" w14:textId="77777777">
        <w:tc>
          <w:tcPr>
            <w:tcW w:w="1809" w:type="dxa"/>
          </w:tcPr>
          <w:p w14:paraId="6EAD18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Миг-19</w:t>
            </w:r>
          </w:p>
        </w:tc>
        <w:tc>
          <w:tcPr>
            <w:tcW w:w="688" w:type="dxa"/>
          </w:tcPr>
          <w:p w14:paraId="0192EE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23" w:type="dxa"/>
          </w:tcPr>
          <w:p w14:paraId="7CDE11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22" w:type="dxa"/>
          </w:tcPr>
          <w:p w14:paraId="6E4E1A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23" w:type="dxa"/>
          </w:tcPr>
          <w:p w14:paraId="4565DD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46" w:type="dxa"/>
          </w:tcPr>
          <w:p w14:paraId="6FDFC0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7" w:type="dxa"/>
          </w:tcPr>
          <w:p w14:paraId="75E326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7" w:type="dxa"/>
          </w:tcPr>
          <w:p w14:paraId="2642DC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7" w:type="dxa"/>
          </w:tcPr>
          <w:p w14:paraId="6E0A6A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139</w:t>
            </w:r>
          </w:p>
        </w:tc>
        <w:tc>
          <w:tcPr>
            <w:tcW w:w="567" w:type="dxa"/>
          </w:tcPr>
          <w:p w14:paraId="209882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7" w:type="dxa"/>
          </w:tcPr>
          <w:p w14:paraId="15DB60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09" w:type="dxa"/>
          </w:tcPr>
          <w:p w14:paraId="1C1F51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139</w:t>
            </w:r>
          </w:p>
        </w:tc>
      </w:tr>
      <w:tr w:rsidR="001002C3" w:rsidRPr="005E779E" w14:paraId="0B969F9E" w14:textId="77777777">
        <w:tc>
          <w:tcPr>
            <w:tcW w:w="1809" w:type="dxa"/>
          </w:tcPr>
          <w:p w14:paraId="721938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Миг-19С с управляемым стабилизатором</w:t>
            </w:r>
          </w:p>
        </w:tc>
        <w:tc>
          <w:tcPr>
            <w:tcW w:w="688" w:type="dxa"/>
          </w:tcPr>
          <w:p w14:paraId="4C87B8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23" w:type="dxa"/>
          </w:tcPr>
          <w:p w14:paraId="0DC434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22" w:type="dxa"/>
          </w:tcPr>
          <w:p w14:paraId="3B16CF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23" w:type="dxa"/>
          </w:tcPr>
          <w:p w14:paraId="7519B8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46" w:type="dxa"/>
          </w:tcPr>
          <w:p w14:paraId="76C0F5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7" w:type="dxa"/>
          </w:tcPr>
          <w:p w14:paraId="63880C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7" w:type="dxa"/>
          </w:tcPr>
          <w:p w14:paraId="7550FE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7" w:type="dxa"/>
          </w:tcPr>
          <w:p w14:paraId="3F4E8B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148</w:t>
            </w:r>
          </w:p>
        </w:tc>
        <w:tc>
          <w:tcPr>
            <w:tcW w:w="567" w:type="dxa"/>
          </w:tcPr>
          <w:p w14:paraId="435CBD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283</w:t>
            </w:r>
          </w:p>
        </w:tc>
        <w:tc>
          <w:tcPr>
            <w:tcW w:w="567" w:type="dxa"/>
          </w:tcPr>
          <w:p w14:paraId="57CE78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175</w:t>
            </w:r>
          </w:p>
        </w:tc>
        <w:tc>
          <w:tcPr>
            <w:tcW w:w="709" w:type="dxa"/>
          </w:tcPr>
          <w:p w14:paraId="26E3C8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606</w:t>
            </w:r>
          </w:p>
        </w:tc>
      </w:tr>
      <w:tr w:rsidR="001002C3" w:rsidRPr="005E779E" w14:paraId="794840B1" w14:textId="77777777">
        <w:tc>
          <w:tcPr>
            <w:tcW w:w="1809" w:type="dxa"/>
          </w:tcPr>
          <w:p w14:paraId="2C7633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Т-3</w:t>
            </w:r>
          </w:p>
        </w:tc>
        <w:tc>
          <w:tcPr>
            <w:tcW w:w="688" w:type="dxa"/>
          </w:tcPr>
          <w:p w14:paraId="4D957F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23" w:type="dxa"/>
          </w:tcPr>
          <w:p w14:paraId="7B4F79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22" w:type="dxa"/>
          </w:tcPr>
          <w:p w14:paraId="32F2D8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23" w:type="dxa"/>
          </w:tcPr>
          <w:p w14:paraId="296257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46" w:type="dxa"/>
          </w:tcPr>
          <w:p w14:paraId="3CD0FC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7" w:type="dxa"/>
          </w:tcPr>
          <w:p w14:paraId="386BA8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7" w:type="dxa"/>
          </w:tcPr>
          <w:p w14:paraId="15310B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7" w:type="dxa"/>
          </w:tcPr>
          <w:p w14:paraId="158373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7" w:type="dxa"/>
          </w:tcPr>
          <w:p w14:paraId="6EE1CA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w:t>
            </w:r>
          </w:p>
        </w:tc>
        <w:tc>
          <w:tcPr>
            <w:tcW w:w="567" w:type="dxa"/>
          </w:tcPr>
          <w:p w14:paraId="67108E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09" w:type="dxa"/>
          </w:tcPr>
          <w:p w14:paraId="01496F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w:t>
            </w:r>
          </w:p>
        </w:tc>
      </w:tr>
      <w:tr w:rsidR="001002C3" w:rsidRPr="005E779E" w14:paraId="141FB18E" w14:textId="77777777">
        <w:tc>
          <w:tcPr>
            <w:tcW w:w="1809" w:type="dxa"/>
          </w:tcPr>
          <w:p w14:paraId="63E6BE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Т-3-51</w:t>
            </w:r>
          </w:p>
        </w:tc>
        <w:tc>
          <w:tcPr>
            <w:tcW w:w="688" w:type="dxa"/>
          </w:tcPr>
          <w:p w14:paraId="2623AE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23" w:type="dxa"/>
          </w:tcPr>
          <w:p w14:paraId="41DB84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22" w:type="dxa"/>
          </w:tcPr>
          <w:p w14:paraId="1D872B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23" w:type="dxa"/>
          </w:tcPr>
          <w:p w14:paraId="6593F8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46" w:type="dxa"/>
          </w:tcPr>
          <w:p w14:paraId="78B4A2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7" w:type="dxa"/>
          </w:tcPr>
          <w:p w14:paraId="44D3AC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7" w:type="dxa"/>
          </w:tcPr>
          <w:p w14:paraId="0793A9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7" w:type="dxa"/>
          </w:tcPr>
          <w:p w14:paraId="46D034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7" w:type="dxa"/>
          </w:tcPr>
          <w:p w14:paraId="3C79B8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7" w:type="dxa"/>
          </w:tcPr>
          <w:p w14:paraId="24BA69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09" w:type="dxa"/>
          </w:tcPr>
          <w:p w14:paraId="1E789C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w:t>
            </w:r>
          </w:p>
        </w:tc>
      </w:tr>
      <w:tr w:rsidR="001002C3" w:rsidRPr="005E779E" w14:paraId="7C8F8493" w14:textId="77777777">
        <w:tc>
          <w:tcPr>
            <w:tcW w:w="1809" w:type="dxa"/>
          </w:tcPr>
          <w:p w14:paraId="1EEB4F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 по годам</w:t>
            </w:r>
          </w:p>
        </w:tc>
        <w:tc>
          <w:tcPr>
            <w:tcW w:w="688" w:type="dxa"/>
          </w:tcPr>
          <w:p w14:paraId="444693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144</w:t>
            </w:r>
          </w:p>
        </w:tc>
        <w:tc>
          <w:tcPr>
            <w:tcW w:w="723" w:type="dxa"/>
          </w:tcPr>
          <w:p w14:paraId="628ED3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667</w:t>
            </w:r>
          </w:p>
        </w:tc>
        <w:tc>
          <w:tcPr>
            <w:tcW w:w="722" w:type="dxa"/>
          </w:tcPr>
          <w:p w14:paraId="1C4796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1197</w:t>
            </w:r>
          </w:p>
        </w:tc>
        <w:tc>
          <w:tcPr>
            <w:tcW w:w="723" w:type="dxa"/>
          </w:tcPr>
          <w:p w14:paraId="0177A8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1260</w:t>
            </w:r>
          </w:p>
        </w:tc>
        <w:tc>
          <w:tcPr>
            <w:tcW w:w="546" w:type="dxa"/>
          </w:tcPr>
          <w:p w14:paraId="6685FD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1201</w:t>
            </w:r>
          </w:p>
        </w:tc>
        <w:tc>
          <w:tcPr>
            <w:tcW w:w="567" w:type="dxa"/>
          </w:tcPr>
          <w:p w14:paraId="3D48A0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1130</w:t>
            </w:r>
          </w:p>
        </w:tc>
        <w:tc>
          <w:tcPr>
            <w:tcW w:w="567" w:type="dxa"/>
          </w:tcPr>
          <w:p w14:paraId="263B90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364</w:t>
            </w:r>
          </w:p>
        </w:tc>
        <w:tc>
          <w:tcPr>
            <w:tcW w:w="567" w:type="dxa"/>
          </w:tcPr>
          <w:p w14:paraId="5634C3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287</w:t>
            </w:r>
          </w:p>
        </w:tc>
        <w:tc>
          <w:tcPr>
            <w:tcW w:w="567" w:type="dxa"/>
          </w:tcPr>
          <w:p w14:paraId="414462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290</w:t>
            </w:r>
          </w:p>
        </w:tc>
        <w:tc>
          <w:tcPr>
            <w:tcW w:w="567" w:type="dxa"/>
          </w:tcPr>
          <w:p w14:paraId="7781A6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215</w:t>
            </w:r>
          </w:p>
        </w:tc>
        <w:tc>
          <w:tcPr>
            <w:tcW w:w="709" w:type="dxa"/>
          </w:tcPr>
          <w:p w14:paraId="43F080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bl>
    <w:p w14:paraId="28DDF2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 выпущено штук самолетов всех типов с 1937 года по 1958 год включительно</w:t>
      </w:r>
    </w:p>
    <w:p w14:paraId="65A2EB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в том числе 32 машины авансированы – подлежат окончательной сдаче в 1959 году вне плана (9503).</w:t>
      </w:r>
    </w:p>
    <w:p w14:paraId="362993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8E1C18D" w14:textId="77777777" w:rsidR="001D074B" w:rsidRPr="005E779E" w:rsidRDefault="001D074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 апреля 1930 г. по данным ЦК Осоавиахима в фонд эскадры дирижаблей имени «В.И.Ленина» поступило 10,5 миллионов рублей добровольных пожертвований трудящихся СССР.</w:t>
      </w:r>
    </w:p>
    <w:p w14:paraId="47CB0A80" w14:textId="77777777" w:rsidR="001D074B" w:rsidRPr="005E779E" w:rsidRDefault="001D074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/"Красная звезда" за 8 мая 1931 г./ (23370).</w:t>
      </w:r>
    </w:p>
    <w:p w14:paraId="535EA6E4" w14:textId="77777777" w:rsidR="001D074B" w:rsidRPr="005E779E" w:rsidRDefault="001D074B" w:rsidP="000B7A6C">
      <w:pPr>
        <w:spacing w:after="0" w:line="240" w:lineRule="auto"/>
        <w:jc w:val="both"/>
        <w:rPr>
          <w:rFonts w:ascii="Times New Roman" w:hAnsi="Times New Roman"/>
          <w:color w:val="000000" w:themeColor="text1"/>
          <w:sz w:val="16"/>
          <w:szCs w:val="16"/>
        </w:rPr>
      </w:pPr>
    </w:p>
    <w:p w14:paraId="741EE80F"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60B98C85"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950BAEF" w14:textId="77777777" w:rsidR="00EF2E51" w:rsidRPr="005E779E" w:rsidRDefault="00EF2E51"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30 апреля 1931 </w:t>
      </w:r>
      <w:r w:rsidRPr="005E779E">
        <w:rPr>
          <w:rFonts w:ascii="Times New Roman" w:hAnsi="Times New Roman"/>
          <w:color w:val="000000" w:themeColor="text1"/>
          <w:sz w:val="16"/>
          <w:szCs w:val="16"/>
        </w:rPr>
        <w:t>Политбюро ЦК ВКП(б) утвердило проект постановления ЦК ВКП (б) «О ходе строительства Челябинского тракторного завода»; приняло к сведению сообщение Г. К. Орджоникидзе о работе Сталинградского тракторного завода (12265).</w:t>
      </w:r>
    </w:p>
    <w:p w14:paraId="39203CE4" w14:textId="77777777" w:rsidR="00EF2E51" w:rsidRPr="005E779E" w:rsidRDefault="00EF2E5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24CCB7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30 апреля 1931 г. Центральный комитет партии принял специальное постановление "О ходе строительства Челябинского тракторного завода", где отмечалось, что своевременное окончание стройки и пуск ЧТЗ являются одной из главных задач, стоящих перед народным хозяйством страны10. ЦК партии выявил причины невыполнения строительных работ и потребовал сосредоточить основное внимание на сооружении главных корпусов завода. Были разработаны конкретные мероприятия по обеспечению ЧТС кадрами, стройматериалами. Решался вопрос о сырьевой базе завода, принимались меры по своевременной доставке грузов, особенно металлоконструкций. Контроль за выполнением этого постановления возлагался на члена ЦК ВКП(б) Н.М.Шверника. Выделялись дополнительные ассигнования на строительство городского водопровода и канализации. Заместитель председателя ВСНХ СССР т. Павлуновский должен был каждые два месяца докладывать Центральному комитету о ходе строительства ЧТЗ. В постановлении особо подчеркивалось, что работа всех партийных, советских и профсоюзных организаций Урала будет оцениваться по степени их активного содействия успешному окончанию строительства и пуска ЧТЗ. </w:t>
      </w:r>
    </w:p>
    <w:p w14:paraId="5C96EE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Под лозунгом "Лицом к промплощадке" развернулось движение за ударные темпы строительства тракторного завода. На сооружении основных объектов вводился 10-часовой рабочий день и двухсменная работа. Начальником промышленного строительства был назначен один из лучших руководителей ЧТС Л.Б.Сафразьян. Вот одно из характерных заявлений того времени: "Довожу до вашего сведения, – сообщает один из строителей в профсоюзную организацию, – что за преподнесённую мне премию (поездка на курорт) я благодарю вас как за высокую оценку моей работы. Но, учитывая важное значение в союзном масштабе пуска ЧТЗ, я от неё отказываюсь, а все деньги по командировке на курорт жертвую в фонд современной авиации". А бетонщики бригады В.Подшивалова, работавшие на строительстве инструментального цеха, заявили: "Закрепляемся до конца строительства завода. Вводим строжайший режим экономии стройматериалов".</w:t>
      </w:r>
    </w:p>
    <w:p w14:paraId="25362B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сентябре 1931 г. по инициативе Н.Самохина комсомольцы промышленного строительства, а затем и всей стройки взяли шефство над сооружением механосборочного цеха. Здесь же молодые рабочие организовали и так называемые "бетонные вечера", когда после работы, под звуки оркестра строители возводили стены корпусов будущего завода. Многие рабочие из других смен часто оставались, чтобы посмотреть на работу энтузиастов, нередко охваченные общим подъемом, сами брались за лопаты. Случалось так, что в "бетонные вечера" укладывали бетона больше, чем в обычные дни. На одних лишь субботниках комсомольцы возвели свыше 3 тыс. кв.м. стен. За самоотверженный труд на лесах ЧТЗ комсомол стройки был награждён Почётной грамотой Ударника пятилетки. </w:t>
      </w:r>
    </w:p>
    <w:p w14:paraId="2A30C1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Творческая активность рабочего класса в 30-е гг. наиболее ярко проявилась в развитии различных форм соцсоревнования: ударные бригады, общественный буксир, встречный промфинплан, стахановское движение и т.д. Основной формой соцсоревнования в первой пятилетке стало ударничество. На ЧТС пионером этого движения выступила бригада плотников С.Фролова. Трудно было вначале 25 деревенским рабочим, многие из которых впервые попали на стройку. Члены бригады ликвидировали неграмотность, изжили прогулы и постоянно перевыполняли норму. </w:t>
      </w:r>
    </w:p>
    <w:p w14:paraId="2B7FBF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Наивысших результатов в соревновании бетонщиков достигли бригады И.Монахова и Ф.Капралова, дававшие по 300–800 замесов за смену, в то время как по техническому паспортy бетономешалки "Кайзер" предусматривалось не более 100 замесов. Мировой рекорд по укладке бетона поставил бригадир строителей ММК </w:t>
      </w:r>
      <w:r w:rsidRPr="005E779E">
        <w:rPr>
          <w:rFonts w:ascii="Times New Roman" w:hAnsi="Times New Roman"/>
          <w:color w:val="000000" w:themeColor="text1"/>
          <w:sz w:val="16"/>
          <w:szCs w:val="16"/>
        </w:rPr>
        <w:lastRenderedPageBreak/>
        <w:t xml:space="preserve">Хабибула Галиуллин, давший 1196 замесов {214} в смену. Оценивая заслуги передовиков соцсоревнования И.Монахова, А.Першина, Б.Фельдмана и др., IV конференция Челябинской окружной партийной организации отмечала, что их имена будут записаны в историю Челябинска как образцы беззаветной преданности делу рабочего класса. В 1931 г. на ЧТС ударники составляли 57% к общему числу рабочих, а накануне пуска завода – почти 90%11. </w:t>
      </w:r>
    </w:p>
    <w:p w14:paraId="5ED355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Однако подлинный энтузиазм и самодеятельность рабочих использовались существующей системой для ликвидации прорывов и обеспечения форсированных темпов индустриализации, что нашло отражение в призывах и обязательствах со страниц газет и журналов о досрочном выполнении пятилетних планов. Об этом свидетельствуют и документы тех лет. Из протокола слёта ударников-энтузиастов в сентябре 1930 г.: "Каждый энтузиаст должен по первому приказу штаба являться для работы в какое угодно время (дня и ночи) для ликвидации прорывов; каждый энтузиаст подписывается на месячный заработок на заём "пятилетка в 4 года" и обязуется завербовать по 2–3 человека; каждый энтузиаст берёт на буксир по 2 новых рабочих, чтобы обучить их в кратчайшее время работать хорошо".</w:t>
      </w:r>
    </w:p>
    <w:p w14:paraId="6C7CA4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На ЧТС, как и других новостройках первых пятилеток, использовался и принудительный труд. Так, в отчёте начальника Управления НКВД по Челябинской области А.А.Минаева Главному Управлению лагерями и трудпоселениями НКВД СССР о состоянии спецссылки за 1934 г., под грифом "совершенно секретно", содержатся сведения о 34 спецпоселениях на Южном Урале – более 14,5 тыс. семей, а всего – 52256 человек, из них два – в посёлке Шершни (ИСО УНКВД) – 906 семей, 1922 человека. В конце 1933 г. на сооружении завода крупного станкостроения работало более 1500 человек из трудколоний12. </w:t>
      </w:r>
    </w:p>
    <w:p w14:paraId="04B10C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Высокие темпы строительных работ позволили в 1932 г. перейти к развёрнутому монтажу производственного оборудования. Проект ЧТЗ и технологический процесс были разработаны с учётом только американского оборудования. Но позднее выяснилось, что все агрегаты в США закупить невозможно: приходилось часть заказов переносить в Европу, причём многие заграничные фирмы совсем не выпускали некоторые типы станков и механизмов, необходимые для предприятия. Поэтому по заказу ЧТЗ впервые на европейских заводах изготовлялись тяжёлые молоты, ковочные машины, конвейеры. В оснащении ЧТЗ оборудованием принимали участие 307 иностранных фирм Германии, США, Франции, Англии. </w:t>
      </w:r>
    </w:p>
    <w:p w14:paraId="174249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И всё же иностранные фирмы предпочитали продавать готовые изделия, а не оборудование. В 1931 г. группа советских специалистов, в составе которой был молодой инженер Н.А.Межевич, находилась в Германии. Он вспоминал, как их пригласил к себе руководитель компании. После обмена первыми фразами о заводе, заказах он заявил: "Вы, уважаемые господа, строите большой завод, заказываете много оборудования. Вам потребуется много инструмента, не проще ли купить этот инструмент у меня?" Советские специалисты ответили ему: "Для того мы и строим инструментальный цех, чтобы делать самим инструменты, а не быть в зависимости от заграницы". </w:t>
      </w:r>
    </w:p>
    <w:p w14:paraId="650155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Большую роль в укомплектовании ЧТЗ оборудованием сыграли отечественные предприятия. Более 120 заводов изготовляли станки и механизмы для Челябинского тракторного. Только в Ленинграде над его заказами трудились рабочие 52-х предприятий. Электроды и трансформаторы поставляла Москва, регулирующую аппаратуру – Харьков; ковши – подольские заводы, "Красный путиловец" и Уралмаш; 20-тонные вагранки готовили дебальцевские предприятия. Удельный вес отечественного оборудования на ЧТЗ в целом составил более 40%13. Рабочие отечественных предприятий считали большой честью выполнять заказы челябинцев. "За пуск ЧТЗ отвечает весь рабочий класс СССР и в особенности заводы – поставщики оборудования!" – под таким девизом развернулось всесоюзное соревнование за досрочное выполнение заказов для завода (11557).</w:t>
      </w:r>
    </w:p>
    <w:p w14:paraId="7F331D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7057AF7" w14:textId="77777777" w:rsidR="00354892" w:rsidRPr="005E779E" w:rsidRDefault="00354892"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30 апреля 1931 г.</w:t>
      </w:r>
    </w:p>
    <w:p w14:paraId="584B33C4" w14:textId="77777777" w:rsidR="00354892" w:rsidRPr="005E779E" w:rsidRDefault="00354892" w:rsidP="000B7A6C">
      <w:pPr>
        <w:spacing w:after="0" w:line="240" w:lineRule="auto"/>
        <w:jc w:val="both"/>
        <w:rPr>
          <w:rFonts w:ascii="Times New Roman" w:hAnsi="Times New Roman"/>
          <w:color w:val="000000" w:themeColor="text1"/>
          <w:sz w:val="16"/>
          <w:szCs w:val="16"/>
        </w:rPr>
      </w:pPr>
      <w:r w:rsidRPr="005E779E">
        <w:rPr>
          <w:rStyle w:val="af0"/>
          <w:rFonts w:ascii="Times New Roman" w:hAnsi="Times New Roman"/>
          <w:i w:val="0"/>
          <w:color w:val="000000" w:themeColor="text1"/>
          <w:sz w:val="16"/>
          <w:szCs w:val="16"/>
        </w:rPr>
        <w:t>Приложение № 2</w:t>
      </w:r>
    </w:p>
    <w:p w14:paraId="580DBE78" w14:textId="77777777" w:rsidR="00354892" w:rsidRPr="005E779E" w:rsidRDefault="00354892" w:rsidP="000B7A6C">
      <w:pPr>
        <w:spacing w:after="0" w:line="240" w:lineRule="auto"/>
        <w:jc w:val="both"/>
        <w:rPr>
          <w:rFonts w:ascii="Times New Roman" w:hAnsi="Times New Roman"/>
          <w:color w:val="000000" w:themeColor="text1"/>
          <w:sz w:val="16"/>
          <w:szCs w:val="16"/>
        </w:rPr>
      </w:pPr>
      <w:r w:rsidRPr="005E779E">
        <w:rPr>
          <w:rStyle w:val="af0"/>
          <w:rFonts w:ascii="Times New Roman" w:hAnsi="Times New Roman"/>
          <w:i w:val="0"/>
          <w:color w:val="000000" w:themeColor="text1"/>
          <w:sz w:val="16"/>
          <w:szCs w:val="16"/>
        </w:rPr>
        <w:t>к п. 31/33 пр. ПБ № 36.</w:t>
      </w:r>
    </w:p>
    <w:p w14:paraId="2250DA63" w14:textId="77777777" w:rsidR="00354892" w:rsidRPr="005E779E" w:rsidRDefault="00354892" w:rsidP="000B7A6C">
      <w:pPr>
        <w:pStyle w:val="ae"/>
        <w:spacing w:before="0" w:after="0"/>
        <w:jc w:val="both"/>
        <w:rPr>
          <w:color w:val="000000" w:themeColor="text1"/>
          <w:sz w:val="16"/>
          <w:szCs w:val="16"/>
        </w:rPr>
      </w:pPr>
      <w:r w:rsidRPr="005E779E">
        <w:rPr>
          <w:rStyle w:val="a7"/>
          <w:b w:val="0"/>
          <w:color w:val="000000" w:themeColor="text1"/>
          <w:sz w:val="16"/>
          <w:szCs w:val="16"/>
        </w:rPr>
        <w:t>Постановление ЦК ВКП(б) от 30 апреля 1931 г.</w:t>
      </w:r>
    </w:p>
    <w:p w14:paraId="12D6C4CF" w14:textId="77777777" w:rsidR="00354892" w:rsidRPr="005E779E" w:rsidRDefault="00354892" w:rsidP="000B7A6C">
      <w:pPr>
        <w:pStyle w:val="rtejustify"/>
        <w:spacing w:before="0" w:after="0"/>
        <w:rPr>
          <w:color w:val="000000" w:themeColor="text1"/>
          <w:sz w:val="16"/>
          <w:szCs w:val="16"/>
        </w:rPr>
      </w:pPr>
      <w:r w:rsidRPr="005E779E">
        <w:rPr>
          <w:color w:val="000000" w:themeColor="text1"/>
          <w:sz w:val="16"/>
          <w:szCs w:val="16"/>
        </w:rPr>
        <w:t>О ходе строительства Челябинского тракторного завода.</w:t>
      </w:r>
    </w:p>
    <w:p w14:paraId="5448FF8E" w14:textId="77777777" w:rsidR="00354892" w:rsidRPr="005E779E" w:rsidRDefault="00354892" w:rsidP="000B7A6C">
      <w:pPr>
        <w:pStyle w:val="rtejustify"/>
        <w:spacing w:before="0" w:after="0"/>
        <w:rPr>
          <w:color w:val="000000" w:themeColor="text1"/>
          <w:sz w:val="16"/>
          <w:szCs w:val="16"/>
        </w:rPr>
      </w:pPr>
      <w:r w:rsidRPr="005E779E">
        <w:rPr>
          <w:color w:val="000000" w:themeColor="text1"/>
          <w:sz w:val="16"/>
          <w:szCs w:val="16"/>
        </w:rPr>
        <w:t>Своевременное окончание постройки и пуск Челябинского тракторного завода является одной из важнейших задач, стоящих перед народным хозяйством СССР.</w:t>
      </w:r>
    </w:p>
    <w:p w14:paraId="0F80D9EF" w14:textId="77777777" w:rsidR="00354892" w:rsidRPr="005E779E" w:rsidRDefault="00354892" w:rsidP="000B7A6C">
      <w:pPr>
        <w:pStyle w:val="rtejustify"/>
        <w:spacing w:before="0" w:after="0"/>
        <w:rPr>
          <w:color w:val="000000" w:themeColor="text1"/>
          <w:sz w:val="16"/>
          <w:szCs w:val="16"/>
        </w:rPr>
      </w:pPr>
      <w:r w:rsidRPr="005E779E">
        <w:rPr>
          <w:color w:val="000000" w:themeColor="text1"/>
          <w:sz w:val="16"/>
          <w:szCs w:val="16"/>
        </w:rPr>
        <w:t>Челябинский тракторный завод, рассчитанный на ежегодный выпуск 40 тыс. 60</w:t>
      </w:r>
      <w:r w:rsidRPr="005E779E">
        <w:rPr>
          <w:color w:val="000000" w:themeColor="text1"/>
          <w:sz w:val="16"/>
          <w:szCs w:val="16"/>
        </w:rPr>
        <w:noBreakHyphen/>
        <w:t>ти сильных тракторов типа “Катерпиллер”, что составляет 2.400.000 лошадиных сил в год, явится важнейшей технической базой коллективизированного социалистического сельского хозяйства.</w:t>
      </w:r>
    </w:p>
    <w:p w14:paraId="5D355627" w14:textId="77777777" w:rsidR="00354892" w:rsidRPr="005E779E" w:rsidRDefault="00354892" w:rsidP="000B7A6C">
      <w:pPr>
        <w:pStyle w:val="rtejustify"/>
        <w:spacing w:before="0" w:after="0"/>
        <w:rPr>
          <w:color w:val="000000" w:themeColor="text1"/>
          <w:sz w:val="16"/>
          <w:szCs w:val="16"/>
        </w:rPr>
      </w:pPr>
      <w:r w:rsidRPr="005E779E">
        <w:rPr>
          <w:color w:val="000000" w:themeColor="text1"/>
          <w:sz w:val="16"/>
          <w:szCs w:val="16"/>
        </w:rPr>
        <w:t>Строительство Челябинского тракторного завода должно стать, наряду с Магнитостроем, Автостроем и другими первостепенными стройками, в центре внимания всех партийных, хозяйственных и профессиональных организаций.</w:t>
      </w:r>
    </w:p>
    <w:p w14:paraId="6236F613" w14:textId="77777777" w:rsidR="00354892" w:rsidRPr="005E779E" w:rsidRDefault="00354892" w:rsidP="000B7A6C">
      <w:pPr>
        <w:pStyle w:val="rtejustify"/>
        <w:spacing w:before="0" w:after="0"/>
        <w:rPr>
          <w:color w:val="000000" w:themeColor="text1"/>
          <w:sz w:val="16"/>
          <w:szCs w:val="16"/>
        </w:rPr>
      </w:pPr>
      <w:r w:rsidRPr="005E779E">
        <w:rPr>
          <w:color w:val="000000" w:themeColor="text1"/>
          <w:sz w:val="16"/>
          <w:szCs w:val="16"/>
        </w:rPr>
        <w:t>Заслушав доклад начальника Челябтракторостроя т. Ловина о ходе строительства завода, ЦК отмечает следующие основные и наиболее крупные недостатки в организации работы и ходе самого строительства:</w:t>
      </w:r>
    </w:p>
    <w:p w14:paraId="718B23EC" w14:textId="77777777" w:rsidR="00354892" w:rsidRPr="005E779E" w:rsidRDefault="00354892" w:rsidP="000B7A6C">
      <w:pPr>
        <w:pStyle w:val="rtejustify"/>
        <w:spacing w:before="0" w:after="0"/>
        <w:rPr>
          <w:color w:val="000000" w:themeColor="text1"/>
          <w:sz w:val="16"/>
          <w:szCs w:val="16"/>
        </w:rPr>
      </w:pPr>
      <w:r w:rsidRPr="005E779E">
        <w:rPr>
          <w:color w:val="000000" w:themeColor="text1"/>
          <w:sz w:val="16"/>
          <w:szCs w:val="16"/>
        </w:rPr>
        <w:t>а) развертывание строительства завода пошло не по линии максимального форсирования постройки производственных цехов; так, с конца 1929 г. по 1.IV.1931 г. из общей суммы затрат в 50 млн. руб. на строительство производственных цехов основного тракторного завода и строительство и оборудование опытного завода израсходовано всего 5,3 млн. рублей;</w:t>
      </w:r>
    </w:p>
    <w:p w14:paraId="01EDF998" w14:textId="77777777" w:rsidR="00354892" w:rsidRPr="005E779E" w:rsidRDefault="00354892" w:rsidP="000B7A6C">
      <w:pPr>
        <w:pStyle w:val="rtejustify"/>
        <w:spacing w:before="0" w:after="0"/>
        <w:rPr>
          <w:color w:val="000000" w:themeColor="text1"/>
          <w:sz w:val="16"/>
          <w:szCs w:val="16"/>
        </w:rPr>
      </w:pPr>
      <w:r w:rsidRPr="005E779E">
        <w:rPr>
          <w:color w:val="000000" w:themeColor="text1"/>
          <w:sz w:val="16"/>
          <w:szCs w:val="16"/>
        </w:rPr>
        <w:t>б) стоимость выполненных работ чрезвычайно высока, между тем, при наличии имеющихся на строительстве достаточного количества строительных механизмов и разнообразных местных строительных материалов, стоимость чистого строительства может и должна была быть значительно снижена;</w:t>
      </w:r>
    </w:p>
    <w:p w14:paraId="218CDC37" w14:textId="77777777" w:rsidR="00354892" w:rsidRPr="005E779E" w:rsidRDefault="00354892" w:rsidP="000B7A6C">
      <w:pPr>
        <w:pStyle w:val="rtejustify"/>
        <w:spacing w:before="0" w:after="0"/>
        <w:rPr>
          <w:color w:val="000000" w:themeColor="text1"/>
          <w:sz w:val="16"/>
          <w:szCs w:val="16"/>
        </w:rPr>
      </w:pPr>
      <w:r w:rsidRPr="005E779E">
        <w:rPr>
          <w:color w:val="000000" w:themeColor="text1"/>
          <w:sz w:val="16"/>
          <w:szCs w:val="16"/>
        </w:rPr>
        <w:t>в) директива партии об упрощении строительных конструкций и удешевлении строительства не нашла должного отражения в работе по сооружению завода. Проекты и строительство отличаются излишествами и ничем не вызываемым повышенным запросом прочности. Наблюдается расходование остродефицитных материалов (металл-цемент и пр.) в жилищном строительстве и при постройке ряда других сооружений, не требующих их применения;</w:t>
      </w:r>
    </w:p>
    <w:p w14:paraId="33E8F2F7" w14:textId="77777777" w:rsidR="00354892" w:rsidRPr="005E779E" w:rsidRDefault="00354892" w:rsidP="000B7A6C">
      <w:pPr>
        <w:pStyle w:val="rtejustify"/>
        <w:spacing w:before="0" w:after="0"/>
        <w:rPr>
          <w:color w:val="000000" w:themeColor="text1"/>
          <w:sz w:val="16"/>
          <w:szCs w:val="16"/>
        </w:rPr>
      </w:pPr>
      <w:r w:rsidRPr="005E779E">
        <w:rPr>
          <w:color w:val="000000" w:themeColor="text1"/>
          <w:sz w:val="16"/>
          <w:szCs w:val="16"/>
        </w:rPr>
        <w:t>г) управление ВАТО и управление строительством не приняли необходимых мер к своевременной реализации предложений о замене железобетонных металлических конструкций основных цехов, что явилось одной из причин замедления темпов строительства;</w:t>
      </w:r>
    </w:p>
    <w:p w14:paraId="0ABDB511" w14:textId="77777777" w:rsidR="00354892" w:rsidRPr="005E779E" w:rsidRDefault="00354892" w:rsidP="000B7A6C">
      <w:pPr>
        <w:pStyle w:val="rtejustify"/>
        <w:spacing w:before="0" w:after="0"/>
        <w:rPr>
          <w:color w:val="000000" w:themeColor="text1"/>
          <w:sz w:val="16"/>
          <w:szCs w:val="16"/>
        </w:rPr>
      </w:pPr>
      <w:r w:rsidRPr="005E779E">
        <w:rPr>
          <w:color w:val="000000" w:themeColor="text1"/>
          <w:sz w:val="16"/>
          <w:szCs w:val="16"/>
        </w:rPr>
        <w:t>д) строительство отягощено громоздким штатом служащих, накладные расходы чрезмерно высоки, отсутствуют элементарно-поставленные учет и отчетность, что не дает возможности правильно планировать и вести действительный хозяйственный расчет.</w:t>
      </w:r>
    </w:p>
    <w:p w14:paraId="2AD7FDA8" w14:textId="77777777" w:rsidR="00354892" w:rsidRPr="005E779E" w:rsidRDefault="00354892" w:rsidP="000B7A6C">
      <w:pPr>
        <w:pStyle w:val="rtejustify"/>
        <w:spacing w:before="0" w:after="0"/>
        <w:rPr>
          <w:color w:val="000000" w:themeColor="text1"/>
          <w:sz w:val="16"/>
          <w:szCs w:val="16"/>
        </w:rPr>
      </w:pPr>
      <w:r w:rsidRPr="005E779E">
        <w:rPr>
          <w:color w:val="000000" w:themeColor="text1"/>
          <w:sz w:val="16"/>
          <w:szCs w:val="16"/>
        </w:rPr>
        <w:t>ЦК констатирует, что наряду с указанными недочетами в строительстве Челябинского тракторного завода имеются и следующие положительные моменты:</w:t>
      </w:r>
    </w:p>
    <w:p w14:paraId="3B2ADD83" w14:textId="77777777" w:rsidR="00354892" w:rsidRPr="005E779E" w:rsidRDefault="00354892" w:rsidP="000B7A6C">
      <w:pPr>
        <w:pStyle w:val="rtejustify"/>
        <w:spacing w:before="0" w:after="0"/>
        <w:rPr>
          <w:color w:val="000000" w:themeColor="text1"/>
          <w:sz w:val="16"/>
          <w:szCs w:val="16"/>
        </w:rPr>
      </w:pPr>
      <w:r w:rsidRPr="005E779E">
        <w:rPr>
          <w:color w:val="000000" w:themeColor="text1"/>
          <w:sz w:val="16"/>
          <w:szCs w:val="16"/>
        </w:rPr>
        <w:t>а) построен опытный завод с выпуском в течение 1931 г. 100 тракторов и в 1932 г. — 300 тракторов, что даст возможность на практике изучить и проверить технологические процессы производства основного завода; в то же время опытный завод явится одним из источников подготовки квалифицированных кадров будущего завода;</w:t>
      </w:r>
    </w:p>
    <w:p w14:paraId="7680CF5E" w14:textId="77777777" w:rsidR="00354892" w:rsidRPr="005E779E" w:rsidRDefault="00354892" w:rsidP="000B7A6C">
      <w:pPr>
        <w:pStyle w:val="rtejustify"/>
        <w:spacing w:before="0" w:after="0"/>
        <w:rPr>
          <w:color w:val="000000" w:themeColor="text1"/>
          <w:sz w:val="16"/>
          <w:szCs w:val="16"/>
        </w:rPr>
      </w:pPr>
      <w:r w:rsidRPr="005E779E">
        <w:rPr>
          <w:color w:val="000000" w:themeColor="text1"/>
          <w:sz w:val="16"/>
          <w:szCs w:val="16"/>
        </w:rPr>
        <w:t>б) проведены мероприятия подготовительного характера по организации собственной разработки местных строительных материалов;</w:t>
      </w:r>
    </w:p>
    <w:p w14:paraId="46A02EC0" w14:textId="77777777" w:rsidR="00354892" w:rsidRPr="005E779E" w:rsidRDefault="00354892" w:rsidP="000B7A6C">
      <w:pPr>
        <w:pStyle w:val="rtejustify"/>
        <w:spacing w:before="0" w:after="0"/>
        <w:rPr>
          <w:color w:val="000000" w:themeColor="text1"/>
          <w:sz w:val="16"/>
          <w:szCs w:val="16"/>
        </w:rPr>
      </w:pPr>
      <w:r w:rsidRPr="005E779E">
        <w:rPr>
          <w:color w:val="000000" w:themeColor="text1"/>
          <w:sz w:val="16"/>
          <w:szCs w:val="16"/>
        </w:rPr>
        <w:t>в) построен лесопильный завод и механические мастерские.</w:t>
      </w:r>
    </w:p>
    <w:p w14:paraId="0A2E6148" w14:textId="77777777" w:rsidR="00354892" w:rsidRPr="005E779E" w:rsidRDefault="00354892" w:rsidP="000B7A6C">
      <w:pPr>
        <w:pStyle w:val="rtejustify"/>
        <w:spacing w:before="0" w:after="0"/>
        <w:rPr>
          <w:color w:val="000000" w:themeColor="text1"/>
          <w:sz w:val="16"/>
          <w:szCs w:val="16"/>
        </w:rPr>
      </w:pPr>
      <w:r w:rsidRPr="005E779E">
        <w:rPr>
          <w:color w:val="000000" w:themeColor="text1"/>
          <w:sz w:val="16"/>
          <w:szCs w:val="16"/>
        </w:rPr>
        <w:t>1. ЦК предлагает ВСНХ СССР организовать работу по строительству так, чтобы окончание постройки, монтаж оборудования и пуск завода на его полную мощность было обеспечено к 1</w:t>
      </w:r>
      <w:r w:rsidRPr="005E779E">
        <w:rPr>
          <w:color w:val="000000" w:themeColor="text1"/>
          <w:sz w:val="16"/>
          <w:szCs w:val="16"/>
        </w:rPr>
        <w:noBreakHyphen/>
        <w:t>му ноября 1932 года.</w:t>
      </w:r>
    </w:p>
    <w:p w14:paraId="3056BF5B" w14:textId="77777777" w:rsidR="00354892" w:rsidRPr="005E779E" w:rsidRDefault="00354892" w:rsidP="000B7A6C">
      <w:pPr>
        <w:pStyle w:val="rtejustify"/>
        <w:spacing w:before="0" w:after="0"/>
        <w:rPr>
          <w:color w:val="000000" w:themeColor="text1"/>
          <w:sz w:val="16"/>
          <w:szCs w:val="16"/>
        </w:rPr>
      </w:pPr>
      <w:r w:rsidRPr="005E779E">
        <w:rPr>
          <w:color w:val="000000" w:themeColor="text1"/>
          <w:sz w:val="16"/>
          <w:szCs w:val="16"/>
        </w:rPr>
        <w:t>Сроки пуска отдельных цехов установить:</w:t>
      </w:r>
    </w:p>
    <w:p w14:paraId="0AF7C261" w14:textId="77777777" w:rsidR="00354892" w:rsidRPr="005E779E" w:rsidRDefault="00354892" w:rsidP="000B7A6C">
      <w:pPr>
        <w:pStyle w:val="HTML"/>
        <w:jc w:val="both"/>
        <w:rPr>
          <w:rFonts w:ascii="Times New Roman" w:hAnsi="Times New Roman" w:cs="Times New Roman"/>
          <w:color w:val="000000" w:themeColor="text1"/>
          <w:sz w:val="16"/>
          <w:szCs w:val="16"/>
        </w:rPr>
      </w:pPr>
      <w:r w:rsidRPr="005E779E">
        <w:rPr>
          <w:rFonts w:ascii="Times New Roman" w:hAnsi="Times New Roman" w:cs="Times New Roman"/>
          <w:color w:val="000000" w:themeColor="text1"/>
          <w:sz w:val="16"/>
          <w:szCs w:val="16"/>
        </w:rPr>
        <w:t>инструментальный — 1 февраля 1932 г.</w:t>
      </w:r>
    </w:p>
    <w:p w14:paraId="5DE8BF2E" w14:textId="37762994" w:rsidR="00354892" w:rsidRPr="005E779E" w:rsidRDefault="00354892" w:rsidP="000B7A6C">
      <w:pPr>
        <w:pStyle w:val="HTML"/>
        <w:jc w:val="both"/>
        <w:rPr>
          <w:rFonts w:ascii="Times New Roman" w:hAnsi="Times New Roman" w:cs="Times New Roman"/>
          <w:color w:val="000000" w:themeColor="text1"/>
          <w:sz w:val="16"/>
          <w:szCs w:val="16"/>
        </w:rPr>
      </w:pPr>
      <w:r w:rsidRPr="005E779E">
        <w:rPr>
          <w:rFonts w:ascii="Times New Roman" w:hAnsi="Times New Roman" w:cs="Times New Roman"/>
          <w:color w:val="000000" w:themeColor="text1"/>
          <w:sz w:val="16"/>
          <w:szCs w:val="16"/>
        </w:rPr>
        <w:t>литейный</w:t>
      </w:r>
      <w:r w:rsidR="00FE094E">
        <w:rPr>
          <w:rFonts w:ascii="Times New Roman" w:hAnsi="Times New Roman" w:cs="Times New Roman"/>
          <w:color w:val="000000" w:themeColor="text1"/>
          <w:sz w:val="16"/>
          <w:szCs w:val="16"/>
        </w:rPr>
        <w:t xml:space="preserve">    </w:t>
      </w:r>
      <w:r w:rsidRPr="005E779E">
        <w:rPr>
          <w:rFonts w:ascii="Times New Roman" w:hAnsi="Times New Roman" w:cs="Times New Roman"/>
          <w:color w:val="000000" w:themeColor="text1"/>
          <w:sz w:val="16"/>
          <w:szCs w:val="16"/>
        </w:rPr>
        <w:t xml:space="preserve"> — 1 августа 1932 г.</w:t>
      </w:r>
    </w:p>
    <w:p w14:paraId="44FB2D8A" w14:textId="71B5159E" w:rsidR="00354892" w:rsidRPr="005E779E" w:rsidRDefault="00354892" w:rsidP="000B7A6C">
      <w:pPr>
        <w:pStyle w:val="HTML"/>
        <w:jc w:val="both"/>
        <w:rPr>
          <w:rFonts w:ascii="Times New Roman" w:hAnsi="Times New Roman" w:cs="Times New Roman"/>
          <w:color w:val="000000" w:themeColor="text1"/>
          <w:sz w:val="16"/>
          <w:szCs w:val="16"/>
        </w:rPr>
      </w:pPr>
      <w:r w:rsidRPr="005E779E">
        <w:rPr>
          <w:rFonts w:ascii="Times New Roman" w:hAnsi="Times New Roman" w:cs="Times New Roman"/>
          <w:color w:val="000000" w:themeColor="text1"/>
          <w:sz w:val="16"/>
          <w:szCs w:val="16"/>
        </w:rPr>
        <w:t>кузнечный</w:t>
      </w:r>
      <w:r w:rsidR="00FE094E">
        <w:rPr>
          <w:rFonts w:ascii="Times New Roman" w:hAnsi="Times New Roman" w:cs="Times New Roman"/>
          <w:color w:val="000000" w:themeColor="text1"/>
          <w:sz w:val="16"/>
          <w:szCs w:val="16"/>
        </w:rPr>
        <w:t xml:space="preserve">    </w:t>
      </w:r>
      <w:r w:rsidRPr="005E779E">
        <w:rPr>
          <w:rFonts w:ascii="Times New Roman" w:hAnsi="Times New Roman" w:cs="Times New Roman"/>
          <w:color w:val="000000" w:themeColor="text1"/>
          <w:sz w:val="16"/>
          <w:szCs w:val="16"/>
        </w:rPr>
        <w:t>— 1 августа 1932 г.</w:t>
      </w:r>
    </w:p>
    <w:p w14:paraId="730EDB33" w14:textId="77777777" w:rsidR="00354892" w:rsidRPr="005E779E" w:rsidRDefault="00354892" w:rsidP="000B7A6C">
      <w:pPr>
        <w:pStyle w:val="HTML"/>
        <w:jc w:val="both"/>
        <w:rPr>
          <w:rFonts w:ascii="Times New Roman" w:hAnsi="Times New Roman" w:cs="Times New Roman"/>
          <w:color w:val="000000" w:themeColor="text1"/>
          <w:sz w:val="16"/>
          <w:szCs w:val="16"/>
        </w:rPr>
      </w:pPr>
      <w:r w:rsidRPr="005E779E">
        <w:rPr>
          <w:rFonts w:ascii="Times New Roman" w:hAnsi="Times New Roman" w:cs="Times New Roman"/>
          <w:color w:val="000000" w:themeColor="text1"/>
          <w:sz w:val="16"/>
          <w:szCs w:val="16"/>
        </w:rPr>
        <w:t>механо-сборочный — 1 октября 1932 г.</w:t>
      </w:r>
    </w:p>
    <w:p w14:paraId="1BFC2C17" w14:textId="77777777" w:rsidR="00354892" w:rsidRPr="005E779E" w:rsidRDefault="00354892" w:rsidP="000B7A6C">
      <w:pPr>
        <w:pStyle w:val="rtejustify"/>
        <w:spacing w:before="0" w:after="0"/>
        <w:rPr>
          <w:color w:val="000000" w:themeColor="text1"/>
          <w:sz w:val="16"/>
          <w:szCs w:val="16"/>
        </w:rPr>
      </w:pPr>
      <w:r w:rsidRPr="005E779E">
        <w:rPr>
          <w:color w:val="000000" w:themeColor="text1"/>
          <w:sz w:val="16"/>
          <w:szCs w:val="16"/>
        </w:rPr>
        <w:t>2. В целях выполнения в срок намеченной программы строительства предложить ВСНХ СССР:</w:t>
      </w:r>
    </w:p>
    <w:p w14:paraId="34342BDF" w14:textId="77777777" w:rsidR="00354892" w:rsidRPr="005E779E" w:rsidRDefault="00354892" w:rsidP="000B7A6C">
      <w:pPr>
        <w:pStyle w:val="rtejustify"/>
        <w:spacing w:before="0" w:after="0"/>
        <w:rPr>
          <w:color w:val="000000" w:themeColor="text1"/>
          <w:sz w:val="16"/>
          <w:szCs w:val="16"/>
        </w:rPr>
      </w:pPr>
      <w:r w:rsidRPr="005E779E">
        <w:rPr>
          <w:color w:val="000000" w:themeColor="text1"/>
          <w:sz w:val="16"/>
          <w:szCs w:val="16"/>
        </w:rPr>
        <w:t>а) немедленно выделить ныне существующее строительство в самостоятельное Строительное управление на положении треста, передав ему все имеющиеся на строительстве подсобные предприятия, транспорт и строймеханизмы, с оставлением во главе Строительного управления т. Ловина и с обязательством назначить в пятидневный срок главного инженера Строительного управления;</w:t>
      </w:r>
    </w:p>
    <w:p w14:paraId="5083E8B8" w14:textId="77777777" w:rsidR="00354892" w:rsidRPr="005E779E" w:rsidRDefault="00354892" w:rsidP="000B7A6C">
      <w:pPr>
        <w:pStyle w:val="rtejustify"/>
        <w:spacing w:before="0" w:after="0"/>
        <w:rPr>
          <w:color w:val="000000" w:themeColor="text1"/>
          <w:sz w:val="16"/>
          <w:szCs w:val="16"/>
        </w:rPr>
      </w:pPr>
      <w:r w:rsidRPr="005E779E">
        <w:rPr>
          <w:color w:val="000000" w:themeColor="text1"/>
          <w:sz w:val="16"/>
          <w:szCs w:val="16"/>
        </w:rPr>
        <w:t>б) назначить в пятидневный срок директора завода и главного инженера завода, возложив на директора завода: эксплуатацию существующего опытного завода подготовку кадров для производства основного завода; разработку плана пуска завода, снабжение топливом, сырьем и полуфабрикатами; выбор, заказ и монтаж оборудования, наблюдение за сроками строительства и приемку в эксплуатацию законченных сооружений;</w:t>
      </w:r>
    </w:p>
    <w:p w14:paraId="6F83CB75" w14:textId="77777777" w:rsidR="00354892" w:rsidRPr="005E779E" w:rsidRDefault="00354892" w:rsidP="000B7A6C">
      <w:pPr>
        <w:pStyle w:val="rtejustify"/>
        <w:spacing w:before="0" w:after="0"/>
        <w:rPr>
          <w:color w:val="000000" w:themeColor="text1"/>
          <w:sz w:val="16"/>
          <w:szCs w:val="16"/>
        </w:rPr>
      </w:pPr>
      <w:r w:rsidRPr="005E779E">
        <w:rPr>
          <w:color w:val="000000" w:themeColor="text1"/>
          <w:sz w:val="16"/>
          <w:szCs w:val="16"/>
        </w:rPr>
        <w:t>в) обеспечить своевременный пуск литейной, для чего заказать готовые металлические конструкции;</w:t>
      </w:r>
    </w:p>
    <w:p w14:paraId="2E2147EF" w14:textId="77777777" w:rsidR="00354892" w:rsidRPr="005E779E" w:rsidRDefault="00354892" w:rsidP="000B7A6C">
      <w:pPr>
        <w:pStyle w:val="rtejustify"/>
        <w:spacing w:before="0" w:after="0"/>
        <w:rPr>
          <w:color w:val="000000" w:themeColor="text1"/>
          <w:sz w:val="16"/>
          <w:szCs w:val="16"/>
        </w:rPr>
      </w:pPr>
      <w:r w:rsidRPr="005E779E">
        <w:rPr>
          <w:color w:val="000000" w:themeColor="text1"/>
          <w:sz w:val="16"/>
          <w:szCs w:val="16"/>
        </w:rPr>
        <w:t>г) установить в двухмесячный срок действительную сметную стоимость завода;</w:t>
      </w:r>
    </w:p>
    <w:p w14:paraId="4DD15C30" w14:textId="77777777" w:rsidR="00354892" w:rsidRPr="005E779E" w:rsidRDefault="00354892" w:rsidP="000B7A6C">
      <w:pPr>
        <w:pStyle w:val="rtejustify"/>
        <w:spacing w:before="0" w:after="0"/>
        <w:rPr>
          <w:color w:val="000000" w:themeColor="text1"/>
          <w:sz w:val="16"/>
          <w:szCs w:val="16"/>
        </w:rPr>
      </w:pPr>
      <w:r w:rsidRPr="005E779E">
        <w:rPr>
          <w:color w:val="000000" w:themeColor="text1"/>
          <w:sz w:val="16"/>
          <w:szCs w:val="16"/>
        </w:rPr>
        <w:t>д) решение — особая папка;</w:t>
      </w:r>
    </w:p>
    <w:p w14:paraId="73CA7866" w14:textId="77777777" w:rsidR="00354892" w:rsidRPr="005E779E" w:rsidRDefault="00354892" w:rsidP="000B7A6C">
      <w:pPr>
        <w:pStyle w:val="rtejustify"/>
        <w:spacing w:before="0" w:after="0"/>
        <w:rPr>
          <w:color w:val="000000" w:themeColor="text1"/>
          <w:sz w:val="16"/>
          <w:szCs w:val="16"/>
        </w:rPr>
      </w:pPr>
      <w:r w:rsidRPr="005E779E">
        <w:rPr>
          <w:color w:val="000000" w:themeColor="text1"/>
          <w:sz w:val="16"/>
          <w:szCs w:val="16"/>
        </w:rPr>
        <w:t>е) принять меры, обеспечивающие бесперебойное снабжение завода стройматериалами, при чем снабжение цементом, сортовым железом и лесоматериалами на весь строительный период производить с определенных и заранее установленных пунктов;</w:t>
      </w:r>
    </w:p>
    <w:p w14:paraId="3979CE87" w14:textId="77777777" w:rsidR="00354892" w:rsidRPr="005E779E" w:rsidRDefault="00354892" w:rsidP="000B7A6C">
      <w:pPr>
        <w:pStyle w:val="rtejustify"/>
        <w:spacing w:before="0" w:after="0"/>
        <w:rPr>
          <w:color w:val="000000" w:themeColor="text1"/>
          <w:sz w:val="16"/>
          <w:szCs w:val="16"/>
        </w:rPr>
      </w:pPr>
      <w:r w:rsidRPr="005E779E">
        <w:rPr>
          <w:color w:val="000000" w:themeColor="text1"/>
          <w:sz w:val="16"/>
          <w:szCs w:val="16"/>
        </w:rPr>
        <w:t>ж) немедленно определить для будущего производства завода на его полную мощность базы снабжения необходимым сырьем, исходными материалами, в особенности высококачественными сталями и полуфабрикатами с тем, чтобы управление завода в двухмесячный срок заключило договора со всеми заводами-поставщиками будущего производства Челябинского тракторного завода;</w:t>
      </w:r>
    </w:p>
    <w:p w14:paraId="10F4D30F" w14:textId="77777777" w:rsidR="00354892" w:rsidRPr="005E779E" w:rsidRDefault="00354892" w:rsidP="000B7A6C">
      <w:pPr>
        <w:pStyle w:val="rtejustify"/>
        <w:spacing w:before="0" w:after="0"/>
        <w:rPr>
          <w:color w:val="000000" w:themeColor="text1"/>
          <w:sz w:val="16"/>
          <w:szCs w:val="16"/>
        </w:rPr>
      </w:pPr>
      <w:r w:rsidRPr="005E779E">
        <w:rPr>
          <w:color w:val="000000" w:themeColor="text1"/>
          <w:sz w:val="16"/>
          <w:szCs w:val="16"/>
        </w:rPr>
        <w:t>з) расширить практику подготовки кадров на опытном заводе, программу производства которого определить на 1931 г. в 100 тракторов и на 1932 г. — 300 тракторов;</w:t>
      </w:r>
    </w:p>
    <w:p w14:paraId="1B519AE7" w14:textId="77777777" w:rsidR="00354892" w:rsidRPr="005E779E" w:rsidRDefault="00354892" w:rsidP="000B7A6C">
      <w:pPr>
        <w:pStyle w:val="rtejustify"/>
        <w:spacing w:before="0" w:after="0"/>
        <w:rPr>
          <w:color w:val="000000" w:themeColor="text1"/>
          <w:sz w:val="16"/>
          <w:szCs w:val="16"/>
        </w:rPr>
      </w:pPr>
      <w:r w:rsidRPr="005E779E">
        <w:rPr>
          <w:color w:val="000000" w:themeColor="text1"/>
          <w:sz w:val="16"/>
          <w:szCs w:val="16"/>
        </w:rPr>
        <w:t>3. Поручить НКПС:</w:t>
      </w:r>
    </w:p>
    <w:p w14:paraId="24B04917" w14:textId="77777777" w:rsidR="00354892" w:rsidRPr="005E779E" w:rsidRDefault="00354892" w:rsidP="000B7A6C">
      <w:pPr>
        <w:pStyle w:val="rtejustify"/>
        <w:spacing w:before="0" w:after="0"/>
        <w:rPr>
          <w:color w:val="000000" w:themeColor="text1"/>
          <w:sz w:val="16"/>
          <w:szCs w:val="16"/>
        </w:rPr>
      </w:pPr>
      <w:r w:rsidRPr="005E779E">
        <w:rPr>
          <w:color w:val="000000" w:themeColor="text1"/>
          <w:sz w:val="16"/>
          <w:szCs w:val="16"/>
        </w:rPr>
        <w:lastRenderedPageBreak/>
        <w:t>а) обеспечить своевременную перевозку всех грузов, направляемых в адрес строительства Челябинского тракторного завода; немедленно вывезти из Мурманска и других портов металл для конструкций цехов, доставку готовых конструкций с заводов их изготовляющих — на площадку строительства производить маршрутами; контроль за выполнением возложить на т. Шверника с обязательством немедленного выезда на место;</w:t>
      </w:r>
    </w:p>
    <w:p w14:paraId="19F0C18A" w14:textId="77777777" w:rsidR="00354892" w:rsidRPr="005E779E" w:rsidRDefault="00354892" w:rsidP="000B7A6C">
      <w:pPr>
        <w:pStyle w:val="rtejustify"/>
        <w:spacing w:before="0" w:after="0"/>
        <w:rPr>
          <w:color w:val="000000" w:themeColor="text1"/>
          <w:sz w:val="16"/>
          <w:szCs w:val="16"/>
        </w:rPr>
      </w:pPr>
      <w:r w:rsidRPr="005E779E">
        <w:rPr>
          <w:color w:val="000000" w:themeColor="text1"/>
          <w:sz w:val="16"/>
          <w:szCs w:val="16"/>
        </w:rPr>
        <w:t>б) немедленно приступить к реконструкции Челябинского железнодорожного узла в целях своевременного и полного приспособления его как в части путей, так и подвижного состава к грузообороту тракторного и других заводов, строящихся в этом районе; НКПС‘у план реконструкции в двухдекадный срок представить на рассмотрение в СТО.</w:t>
      </w:r>
    </w:p>
    <w:p w14:paraId="443D77DD" w14:textId="77777777" w:rsidR="00354892" w:rsidRPr="005E779E" w:rsidRDefault="00354892" w:rsidP="000B7A6C">
      <w:pPr>
        <w:pStyle w:val="rtejustify"/>
        <w:spacing w:before="0" w:after="0"/>
        <w:rPr>
          <w:color w:val="000000" w:themeColor="text1"/>
          <w:sz w:val="16"/>
          <w:szCs w:val="16"/>
        </w:rPr>
      </w:pPr>
      <w:r w:rsidRPr="005E779E">
        <w:rPr>
          <w:color w:val="000000" w:themeColor="text1"/>
          <w:sz w:val="16"/>
          <w:szCs w:val="16"/>
        </w:rPr>
        <w:t>4. Для финансирования постройки городского водопровода и канализации ВСНХ Союза выделить за счет соответствующих строительств промышленности, осуществляемых в районе г. Челябинска в 1931 г., на водопровод 1 млн. рублей и на канализацию 1,5 млн. руб.</w:t>
      </w:r>
    </w:p>
    <w:p w14:paraId="052C43FD" w14:textId="77777777" w:rsidR="00354892" w:rsidRPr="005E779E" w:rsidRDefault="00354892" w:rsidP="000B7A6C">
      <w:pPr>
        <w:pStyle w:val="rtejustify"/>
        <w:spacing w:before="0" w:after="0"/>
        <w:rPr>
          <w:color w:val="000000" w:themeColor="text1"/>
          <w:sz w:val="16"/>
          <w:szCs w:val="16"/>
        </w:rPr>
      </w:pPr>
      <w:r w:rsidRPr="005E779E">
        <w:rPr>
          <w:color w:val="000000" w:themeColor="text1"/>
          <w:sz w:val="16"/>
          <w:szCs w:val="16"/>
        </w:rPr>
        <w:t>Обязать начальника ГУКХ'а РСФСР т. Васкулова и председателя Уральского облисполкома т. Ошвинцева провести работы по сооружению магистралей водопровода и канализации г. Челябинска в ударном порядке, в сроки, обеспечивающие своевременное присоединение к ним водопроводной и канализационной сетей Челябинского тракторного завода. Контроль за выполнением в срок по проведению водоснабжения и канализации возложить на т. Сулимова с выездом на место не позднее 10 мая.</w:t>
      </w:r>
    </w:p>
    <w:p w14:paraId="0E38E734" w14:textId="77777777" w:rsidR="00354892" w:rsidRPr="005E779E" w:rsidRDefault="00354892" w:rsidP="000B7A6C">
      <w:pPr>
        <w:pStyle w:val="rtejustify"/>
        <w:spacing w:before="0" w:after="0"/>
        <w:rPr>
          <w:color w:val="000000" w:themeColor="text1"/>
          <w:sz w:val="16"/>
          <w:szCs w:val="16"/>
        </w:rPr>
      </w:pPr>
      <w:r w:rsidRPr="005E779E">
        <w:rPr>
          <w:color w:val="000000" w:themeColor="text1"/>
          <w:sz w:val="16"/>
          <w:szCs w:val="16"/>
        </w:rPr>
        <w:t>5. Обязать НКСнаб и Центросоюз обеспечить регулярное снабжение рабочих Челябинского тракторного строительства промышленными и продовольственными товарами. Центросоюзу в декадный срок перебросить на Челябинский тракторный завод пять опытных кооперативных работников для организации рабочего снабжения. Контроль за выполнением этого пункта возложить на тов. Волкова (зам. Наркомснаб) с выездом на место.</w:t>
      </w:r>
    </w:p>
    <w:p w14:paraId="380A6266" w14:textId="77777777" w:rsidR="00354892" w:rsidRPr="005E779E" w:rsidRDefault="00354892" w:rsidP="000B7A6C">
      <w:pPr>
        <w:pStyle w:val="rtejustify"/>
        <w:spacing w:before="0" w:after="0"/>
        <w:rPr>
          <w:color w:val="000000" w:themeColor="text1"/>
          <w:sz w:val="16"/>
          <w:szCs w:val="16"/>
        </w:rPr>
      </w:pPr>
      <w:r w:rsidRPr="005E779E">
        <w:rPr>
          <w:color w:val="000000" w:themeColor="text1"/>
          <w:sz w:val="16"/>
          <w:szCs w:val="16"/>
        </w:rPr>
        <w:t>6. Обязать НКПиТ в месячный срок провести необходимые мероприятия, обеспечивающие правильную к быструю работу органов связи в Челябинске, выделив на это дело специальное лицо с выездом на место.</w:t>
      </w:r>
    </w:p>
    <w:p w14:paraId="016DB8DA" w14:textId="77777777" w:rsidR="00354892" w:rsidRPr="005E779E" w:rsidRDefault="00354892" w:rsidP="000B7A6C">
      <w:pPr>
        <w:pStyle w:val="rtejustify"/>
        <w:spacing w:before="0" w:after="0"/>
        <w:rPr>
          <w:color w:val="000000" w:themeColor="text1"/>
          <w:sz w:val="16"/>
          <w:szCs w:val="16"/>
        </w:rPr>
      </w:pPr>
      <w:r w:rsidRPr="005E779E">
        <w:rPr>
          <w:color w:val="000000" w:themeColor="text1"/>
          <w:sz w:val="16"/>
          <w:szCs w:val="16"/>
        </w:rPr>
        <w:t>7. Выполнение возложенных на Строительное управление задач по постройке завода и своевременному пуску его требует максимального вовлечения широких рабочих масс и в первую очередь рабочих самого строительства, в борьбу за достижения большевистских темпов стройки, экономного расходования средств и стройматериалов и полного выполнения объема работ в намеченные сроки. В связи с этим, Уральскому обкому и Челябинскому горкому оказывать максимальную помощь строительству Челябинского тракторного завода в борьбе за выполнение плана.</w:t>
      </w:r>
    </w:p>
    <w:p w14:paraId="695935D8" w14:textId="77777777" w:rsidR="00354892" w:rsidRPr="005E779E" w:rsidRDefault="00354892" w:rsidP="000B7A6C">
      <w:pPr>
        <w:pStyle w:val="rtejustify"/>
        <w:spacing w:before="0" w:after="0"/>
        <w:rPr>
          <w:color w:val="000000" w:themeColor="text1"/>
          <w:sz w:val="16"/>
          <w:szCs w:val="16"/>
        </w:rPr>
      </w:pPr>
      <w:r w:rsidRPr="005E779E">
        <w:rPr>
          <w:color w:val="000000" w:themeColor="text1"/>
          <w:sz w:val="16"/>
          <w:szCs w:val="16"/>
        </w:rPr>
        <w:t>ЦК будет расценивать работу партийных, советских и профессиональных организаций Уральской области по степени их активного содействия успешному окончанию строительства и пуска завода.</w:t>
      </w:r>
    </w:p>
    <w:p w14:paraId="1E739795" w14:textId="77777777" w:rsidR="00354892" w:rsidRPr="005E779E" w:rsidRDefault="00354892" w:rsidP="000B7A6C">
      <w:pPr>
        <w:pStyle w:val="rtejustify"/>
        <w:spacing w:before="0" w:after="0"/>
        <w:rPr>
          <w:color w:val="000000" w:themeColor="text1"/>
          <w:sz w:val="16"/>
          <w:szCs w:val="16"/>
        </w:rPr>
      </w:pPr>
      <w:r w:rsidRPr="005E779E">
        <w:rPr>
          <w:color w:val="000000" w:themeColor="text1"/>
          <w:sz w:val="16"/>
          <w:szCs w:val="16"/>
        </w:rPr>
        <w:t>8. Поручить Оргбюро в месячный срок обеспечить строительство завода и его своевременный пуск кадрами и в декадный срок перебросить на строительство 10 коммунистов-хозяйственников и 10 человек квалифицированных партийных к профсоюзных работников.</w:t>
      </w:r>
    </w:p>
    <w:p w14:paraId="538AF496" w14:textId="77777777" w:rsidR="00354892" w:rsidRPr="005E779E" w:rsidRDefault="00354892" w:rsidP="000B7A6C">
      <w:pPr>
        <w:pStyle w:val="rtejustify"/>
        <w:spacing w:before="0" w:after="0"/>
        <w:rPr>
          <w:color w:val="000000" w:themeColor="text1"/>
          <w:sz w:val="16"/>
          <w:szCs w:val="16"/>
        </w:rPr>
      </w:pPr>
      <w:r w:rsidRPr="005E779E">
        <w:rPr>
          <w:color w:val="000000" w:themeColor="text1"/>
          <w:sz w:val="16"/>
          <w:szCs w:val="16"/>
        </w:rPr>
        <w:t>9. Принять к сведению, что президиум ВСНХ СССР выделил т. Павлуновского для специального наблюдения за выполнением настоящего постановления.</w:t>
      </w:r>
    </w:p>
    <w:p w14:paraId="14D606F2" w14:textId="77777777" w:rsidR="00354892" w:rsidRPr="005E779E" w:rsidRDefault="00354892" w:rsidP="000B7A6C">
      <w:pPr>
        <w:pStyle w:val="rtejustify"/>
        <w:spacing w:before="0" w:after="0"/>
        <w:rPr>
          <w:color w:val="000000" w:themeColor="text1"/>
          <w:sz w:val="16"/>
          <w:szCs w:val="16"/>
        </w:rPr>
      </w:pPr>
      <w:r w:rsidRPr="005E779E">
        <w:rPr>
          <w:color w:val="000000" w:themeColor="text1"/>
          <w:sz w:val="16"/>
          <w:szCs w:val="16"/>
        </w:rPr>
        <w:t>Обязать т. Павлуновского через каждые два месяца докладывать ЦК ВКП(б) о ходе строительства Челябинского тракторного завода.</w:t>
      </w:r>
    </w:p>
    <w:p w14:paraId="71D52D54" w14:textId="77777777" w:rsidR="00354892" w:rsidRPr="005E779E" w:rsidRDefault="00354892" w:rsidP="000B7A6C">
      <w:pPr>
        <w:pStyle w:val="rtejustify"/>
        <w:spacing w:before="0" w:after="0"/>
        <w:rPr>
          <w:color w:val="000000" w:themeColor="text1"/>
          <w:sz w:val="16"/>
          <w:szCs w:val="16"/>
        </w:rPr>
      </w:pPr>
      <w:r w:rsidRPr="005E779E">
        <w:rPr>
          <w:color w:val="000000" w:themeColor="text1"/>
          <w:sz w:val="16"/>
          <w:szCs w:val="16"/>
        </w:rPr>
        <w:t>10. Предложить ЦКК-РКИ взять на себя проверку исполнения настоящего постановления (17149).</w:t>
      </w:r>
    </w:p>
    <w:p w14:paraId="1A38F14B" w14:textId="77777777" w:rsidR="00354892" w:rsidRPr="005E779E" w:rsidRDefault="00354892" w:rsidP="000B7A6C">
      <w:pPr>
        <w:spacing w:after="0" w:line="240" w:lineRule="auto"/>
        <w:jc w:val="both"/>
        <w:rPr>
          <w:rFonts w:ascii="Times New Roman" w:hAnsi="Times New Roman"/>
          <w:color w:val="000000" w:themeColor="text1"/>
          <w:sz w:val="16"/>
          <w:szCs w:val="16"/>
        </w:rPr>
      </w:pPr>
    </w:p>
    <w:p w14:paraId="158D94CD"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 апреля 1931 мотоциклы ХАСЗ обкатывались во дворе завода, а 1 мая они были продемонстрированы трудящимся столицы Украины. 2 мая состоялся пробный мотопробег Харьков - Мерефа - Харьков. Пройдя маршрут со средней скоростью 35 км/час, мотоциклы в полной исправнос-ти вернулись в гараж. Разборка двух из них подтвердила полную пригодность изготовленных де-талей для дальнейшего производ-ства. Завод получил задание го-товить мотоциклы для более се-рьезного испытания - 3500-кило-метрового пробега.</w:t>
      </w:r>
    </w:p>
    <w:p w14:paraId="73924C0B"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процессе подготовки в КБ сделали мелкие конструктивные изменения, а также начали готовить выпуск чертежей для будущего серийного производства (11602).</w:t>
      </w:r>
    </w:p>
    <w:p w14:paraId="4E7C3E74"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5B736C" w14:textId="77777777" w:rsidR="009417DD" w:rsidRPr="005E779E" w:rsidRDefault="009417D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 апреля 1931 Бриллинг получил три года ИТЛ, заведовал ОКБ по проектированию автотанковых и авиационных двигателей НКВД (21442).</w:t>
      </w:r>
    </w:p>
    <w:p w14:paraId="66679866" w14:textId="08CDFE8F" w:rsidR="009417DD" w:rsidRPr="005E779E" w:rsidRDefault="009417DD" w:rsidP="000B7A6C">
      <w:pPr>
        <w:spacing w:after="0" w:line="240" w:lineRule="auto"/>
        <w:jc w:val="both"/>
        <w:rPr>
          <w:rFonts w:ascii="Times New Roman" w:hAnsi="Times New Roman"/>
          <w:color w:val="000000" w:themeColor="text1"/>
          <w:sz w:val="16"/>
          <w:szCs w:val="16"/>
        </w:rPr>
      </w:pPr>
      <w:bookmarkStart w:id="31" w:name="_Hlk79594368"/>
      <w:r w:rsidRPr="005E779E">
        <w:rPr>
          <w:rFonts w:ascii="Times New Roman" w:hAnsi="Times New Roman"/>
          <w:color w:val="000000" w:themeColor="text1"/>
          <w:sz w:val="16"/>
          <w:szCs w:val="16"/>
          <w:shd w:val="clear" w:color="auto" w:fill="FFFFFF"/>
        </w:rPr>
        <w:t>Особое конструкторское бюро помещалось на Никольской- между аптекой и кукольным театром. Здесь Стечкин и профессор Брилинг, тоже осужденный по делу Промпартии, проектировали ФЭД-8, тысячесильный авиационный двигатель с 24 цилиндрами. А. А. Добрынин тоже принимал участие в этой работе</w:t>
      </w:r>
      <w:r w:rsidR="00FE094E">
        <w:rPr>
          <w:rFonts w:ascii="Times New Roman" w:hAnsi="Times New Roman"/>
          <w:color w:val="000000" w:themeColor="text1"/>
          <w:sz w:val="16"/>
          <w:szCs w:val="16"/>
          <w:shd w:val="clear" w:color="auto" w:fill="FFFFFF"/>
        </w:rPr>
        <w:t xml:space="preserve"> </w:t>
      </w:r>
      <w:r w:rsidRPr="005E779E">
        <w:rPr>
          <w:rFonts w:ascii="Times New Roman" w:hAnsi="Times New Roman"/>
          <w:color w:val="000000" w:themeColor="text1"/>
          <w:sz w:val="16"/>
          <w:szCs w:val="16"/>
          <w:shd w:val="clear" w:color="auto" w:fill="FFFFFF"/>
        </w:rPr>
        <w:t>(21443).</w:t>
      </w:r>
    </w:p>
    <w:p w14:paraId="2F4E7AAA" w14:textId="77777777" w:rsidR="009417DD" w:rsidRPr="005E779E" w:rsidRDefault="009417DD" w:rsidP="000B7A6C">
      <w:pPr>
        <w:pStyle w:val="article-renderblock"/>
        <w:shd w:val="clear" w:color="auto" w:fill="FFFFFF"/>
        <w:spacing w:before="0" w:beforeAutospacing="0" w:after="0" w:afterAutospacing="0"/>
        <w:jc w:val="both"/>
        <w:rPr>
          <w:color w:val="000000" w:themeColor="text1"/>
          <w:sz w:val="16"/>
          <w:szCs w:val="16"/>
        </w:rPr>
      </w:pPr>
    </w:p>
    <w:bookmarkEnd w:id="31"/>
    <w:p w14:paraId="0F74B6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 апреля 1931 г. вышло Постановление СТО о повышении цен на промышленные товары во втором квартале 1931 г.</w:t>
      </w:r>
    </w:p>
    <w:p w14:paraId="0B935F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Секретно</w:t>
      </w:r>
    </w:p>
    <w:p w14:paraId="2FBA1E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Принять предложение НКСнаба Союза о повышении во II-м квартале 1931 года цен на промтовары, указанные в прилагаемой таблице, на 156 млн. рублей для пополнения государственного резерва.</w:t>
      </w:r>
    </w:p>
    <w:p w14:paraId="122B1F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Предложить:</w:t>
      </w:r>
    </w:p>
    <w:p w14:paraId="1B5478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НКСнабу обеспечить срочное выделение указанных товаров в распоряжение кооперации;</w:t>
      </w:r>
    </w:p>
    <w:p w14:paraId="1296AA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кооперации обеспечить реализацию этих товаров во II-м квартале;</w:t>
      </w:r>
    </w:p>
    <w:p w14:paraId="391452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НКФину СССР по согласованию с НКСнабом СССР и Центросоюзом установить порядок, твердо обеспечивающий свое¬временное поступление в бюджет 156 млн. рублей полностью во П-м квартале 1931 года.</w:t>
      </w:r>
    </w:p>
    <w:p w14:paraId="5BB139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Председатель</w:t>
      </w:r>
    </w:p>
    <w:p w14:paraId="38F8E5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Совета Труда и Обороны В.Молотов (Скрябин)</w:t>
      </w:r>
    </w:p>
    <w:p w14:paraId="3F8D44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Секретарь Совета Труда и Обороны И.Мирошников</w:t>
      </w:r>
    </w:p>
    <w:p w14:paraId="2999F4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Одежда, обувь, мыло, чай, керосин стоят в деревне значительно дороже, чем в городе. Единственное, что дешевле у крестьян - это папиросы, тогда как махорка дороже. На государственном уровне выкачивание средств из деревни можно отследить и на примере соотношения между закупочными ценами на сельхозпродукцию у крестьян и ценами в розничной государственной торговле на продукты, произведенными из этого сырья:</w:t>
      </w:r>
    </w:p>
    <w:p w14:paraId="1253A8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Лучше всего транспарентность социалистической торговли отображают молоко и масло, цены на которые в государственной коммерческой торговле превышали закупочные в 10-12 раз. Цены по карточкам отличаются, конечно, меньше, но сами карточки необходимо было еще отоварить. </w:t>
      </w:r>
    </w:p>
    <w:p w14:paraId="2E6254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ГАРФ. Ф. Р-5446. Ом. 7. Д. 198. Л. 9 (11554).</w:t>
      </w:r>
    </w:p>
    <w:p w14:paraId="0D5986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E8E1877" w14:textId="77777777" w:rsidR="00354892"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6C4D687E" w14:textId="77777777" w:rsidR="00354892" w:rsidRPr="005E779E" w:rsidRDefault="00354892"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0AE8CC0" w14:textId="77777777" w:rsidR="00354892" w:rsidRPr="005E779E" w:rsidRDefault="003548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 апреля в 1931 году в Нью-Йорке заканчивается строительствон Эмпайр-Стейт-билдинг, на тот момент самого большого здания в мире. Официальное открытие произойдет на следующий день (15115).</w:t>
      </w:r>
    </w:p>
    <w:p w14:paraId="735AA000" w14:textId="77777777" w:rsidR="00354892" w:rsidRPr="005E779E" w:rsidRDefault="00354892" w:rsidP="000B7A6C">
      <w:pPr>
        <w:spacing w:after="0" w:line="240" w:lineRule="auto"/>
        <w:jc w:val="both"/>
        <w:rPr>
          <w:rFonts w:ascii="Times New Roman" w:hAnsi="Times New Roman"/>
          <w:color w:val="000000" w:themeColor="text1"/>
          <w:sz w:val="16"/>
          <w:szCs w:val="16"/>
        </w:rPr>
      </w:pPr>
    </w:p>
    <w:p w14:paraId="76B922BF"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3776F83E"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A1E29E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последних числах апреля 1931 года с запозданием против срока по плану на 3 месяца самолет МИ3-М17 передан на гос. испытания в НИИ ВВС (6918).</w:t>
      </w:r>
    </w:p>
    <w:p w14:paraId="223B6D4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DBD9C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апреля и начале мая 1931 года самолет ТБ-3 с моторами БМВ VI совершил ряд полетов, которые показали, что при значительном уменьшении давлений на ручку необходимы все же дальнейшие незначительные переделки рулей (6918).</w:t>
      </w:r>
    </w:p>
    <w:p w14:paraId="793EFF8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DE0C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последние дни апреля 1931-го бомбардировщик ТБ-3 4М-17 поступил на заводские испытания. Их итоги не радовали. Достаточно сказать, что максимальная скорость снизилась на 19 км/ч, а время набора высоты 3000 м возросло в три раза. Характеристики устойчивости и управляемости, а они оценивались по докладам летчиков, остались без изменения, но отмечалась одна любопытная деталь. На посадке на помощь пилоту приходил бортмеханик, устанавливавший с помощью штурвального колеса необходимый угол отклонения стабилизатора. Несмотря на наличие полиспастов в проводке управлением элеронами, отмечались чрезмерные нагрузки. Впоследствии их снизили, введя щелевую компенсацию элеронов (5740,6).</w:t>
      </w:r>
    </w:p>
    <w:p w14:paraId="619FD8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29236B2" w14:textId="77777777" w:rsidR="003C2BD8" w:rsidRPr="00142305" w:rsidRDefault="003C2BD8" w:rsidP="003C2BD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последние дни апреля 1931 года начались заводские испытания АНТ-6 с М-17 (советское обозначение лицензионных BMW-V1) и машина была доработана с учетом результатов госиспытаний. Установили бомбардировочное вооружение, крылье</w:t>
      </w:r>
      <w:r w:rsidRPr="00142305">
        <w:rPr>
          <w:rFonts w:ascii="Times New Roman" w:hAnsi="Times New Roman"/>
          <w:color w:val="0070C0"/>
          <w:sz w:val="16"/>
          <w:szCs w:val="16"/>
        </w:rPr>
        <w:softHyphen/>
        <w:t>вые опускаемые пулеметные башни. Оборудование машины было весьма скудно. Кроме приборов контроля работы двигателя, имелись магнитный компас, указатель скорости, высо</w:t>
      </w:r>
      <w:r w:rsidRPr="00142305">
        <w:rPr>
          <w:rFonts w:ascii="Times New Roman" w:hAnsi="Times New Roman"/>
          <w:color w:val="0070C0"/>
          <w:sz w:val="16"/>
          <w:szCs w:val="16"/>
        </w:rPr>
        <w:softHyphen/>
        <w:t>томер, часы, воздушные термометры, ветрочет, «аэронавигатор», прицел «Герц» для бомбо</w:t>
      </w:r>
      <w:r w:rsidRPr="00142305">
        <w:rPr>
          <w:rFonts w:ascii="Times New Roman" w:hAnsi="Times New Roman"/>
          <w:color w:val="0070C0"/>
          <w:sz w:val="16"/>
          <w:szCs w:val="16"/>
        </w:rPr>
        <w:softHyphen/>
        <w:t>метания у штурмана и, видимо, радиотелеграфное оборудование.</w:t>
      </w:r>
    </w:p>
    <w:p w14:paraId="0E48F4DA" w14:textId="77777777" w:rsidR="003C2BD8" w:rsidRPr="00142305" w:rsidRDefault="003C2BD8" w:rsidP="003C2BD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Итоги испытаний не радовали. Достаточно сказать, что максимальная скорость снизилась на 19 км/ч, а время набора высоты 3000 метров возросло в три раза. Характери</w:t>
      </w:r>
      <w:r w:rsidRPr="00142305">
        <w:rPr>
          <w:rFonts w:ascii="Times New Roman" w:hAnsi="Times New Roman"/>
          <w:color w:val="0070C0"/>
          <w:sz w:val="16"/>
          <w:szCs w:val="16"/>
        </w:rPr>
        <w:softHyphen/>
        <w:t>стики устойчивости и управляемости, а они оценивались по докладам летчиков, остались без изменения, но отмечалась одна любопытная деталь. На посадке на помощь пилоту при</w:t>
      </w:r>
      <w:r w:rsidRPr="00142305">
        <w:rPr>
          <w:rFonts w:ascii="Times New Roman" w:hAnsi="Times New Roman"/>
          <w:color w:val="0070C0"/>
          <w:sz w:val="16"/>
          <w:szCs w:val="16"/>
        </w:rPr>
        <w:softHyphen/>
        <w:t>ходил бортмеханик, устанавливавший штурвальным колесом необходимый угол отклонения стабилизатора. Несмотря на наличие полиспастов в проводке управления от штурвала к эле</w:t>
      </w:r>
      <w:r w:rsidRPr="00142305">
        <w:rPr>
          <w:rFonts w:ascii="Times New Roman" w:hAnsi="Times New Roman"/>
          <w:color w:val="0070C0"/>
          <w:sz w:val="16"/>
          <w:szCs w:val="16"/>
        </w:rPr>
        <w:softHyphen/>
        <w:t>ронам, отмечались чрезмерные нагрузки. Впоследствие их снизили, введя щелевую компен</w:t>
      </w:r>
      <w:r w:rsidRPr="00142305">
        <w:rPr>
          <w:rFonts w:ascii="Times New Roman" w:hAnsi="Times New Roman"/>
          <w:color w:val="0070C0"/>
          <w:sz w:val="16"/>
          <w:szCs w:val="16"/>
        </w:rPr>
        <w:softHyphen/>
        <w:t>сацию элеронов (24991).</w:t>
      </w:r>
    </w:p>
    <w:p w14:paraId="1FE60CCA" w14:textId="77777777" w:rsidR="003C2BD8" w:rsidRPr="00142305" w:rsidRDefault="003C2BD8" w:rsidP="003C2BD8">
      <w:pPr>
        <w:spacing w:after="0" w:line="240" w:lineRule="auto"/>
        <w:jc w:val="both"/>
        <w:rPr>
          <w:rFonts w:ascii="Times New Roman" w:hAnsi="Times New Roman"/>
          <w:color w:val="0070C0"/>
          <w:sz w:val="16"/>
          <w:szCs w:val="16"/>
        </w:rPr>
      </w:pPr>
    </w:p>
    <w:p w14:paraId="4C35B734"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lastRenderedPageBreak/>
        <w:t>Авиапромышленность:</w:t>
      </w:r>
    </w:p>
    <w:p w14:paraId="43C21E4E"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9117D1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апреле 1931 г. построили ШОН. В целом он показал удовле</w:t>
      </w:r>
      <w:r w:rsidRPr="005E779E">
        <w:rPr>
          <w:rFonts w:ascii="Times New Roman" w:hAnsi="Times New Roman"/>
          <w:color w:val="000000" w:themeColor="text1"/>
          <w:sz w:val="16"/>
          <w:szCs w:val="16"/>
        </w:rPr>
        <w:softHyphen/>
        <w:t>творительные характеристики, но серийно не выпускал</w:t>
      </w:r>
      <w:r w:rsidRPr="005E779E">
        <w:rPr>
          <w:rFonts w:ascii="Times New Roman" w:hAnsi="Times New Roman"/>
          <w:color w:val="000000" w:themeColor="text1"/>
          <w:sz w:val="16"/>
          <w:szCs w:val="16"/>
        </w:rPr>
        <w:softHyphen/>
        <w:t>ся, так как авианосец решили не строить и надобность в подобном самолете отпала (10667).</w:t>
      </w:r>
    </w:p>
    <w:p w14:paraId="7EF7A9C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38FE65" w14:textId="77777777" w:rsidR="00EF2E51" w:rsidRPr="005E779E" w:rsidRDefault="00EF2E5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апреле 1931 г. ЦКБ был выпущен штурмовик особого назначения (ШОН). Штурмовик ШОН планировалось исполь</w:t>
      </w:r>
      <w:r w:rsidRPr="005E779E">
        <w:rPr>
          <w:rFonts w:ascii="Times New Roman" w:hAnsi="Times New Roman"/>
          <w:color w:val="000000" w:themeColor="text1"/>
          <w:sz w:val="16"/>
          <w:szCs w:val="16"/>
        </w:rPr>
        <w:softHyphen/>
        <w:t>зовать в качестве палубного самолета для предполагаемого к постройке авианосца. В частности, существовал проект переобо</w:t>
      </w:r>
      <w:r w:rsidRPr="005E779E">
        <w:rPr>
          <w:rFonts w:ascii="Times New Roman" w:hAnsi="Times New Roman"/>
          <w:color w:val="000000" w:themeColor="text1"/>
          <w:sz w:val="16"/>
          <w:szCs w:val="16"/>
        </w:rPr>
        <w:softHyphen/>
        <w:t>рудования учебного судна «Комсомолец» в учебный авианосец с базированием на нем 26 истребителей и 16 штурмовиков. Шла подготовка к серийному производству с двигателем М-27 или М-34. Однако в 1933 г. предпочтение отдавалось более перспективному моноплану ТШ-3 и работы по доводке ТШ-2 прекратили.</w:t>
      </w:r>
    </w:p>
    <w:p w14:paraId="6B84776D" w14:textId="77777777" w:rsidR="00EF2E51" w:rsidRPr="005E779E" w:rsidRDefault="00EF2E5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ШОН отличался складываемой с пово</w:t>
      </w:r>
      <w:r w:rsidRPr="005E779E">
        <w:rPr>
          <w:rFonts w:ascii="Times New Roman" w:hAnsi="Times New Roman"/>
          <w:color w:val="000000" w:themeColor="text1"/>
          <w:sz w:val="16"/>
          <w:szCs w:val="16"/>
        </w:rPr>
        <w:softHyphen/>
        <w:t>ротом назад бипланной коробкой крыльев для удобства хранения и транспортировки, а его шасси было выполнено в виде раз</w:t>
      </w:r>
      <w:r w:rsidRPr="005E779E">
        <w:rPr>
          <w:rFonts w:ascii="Times New Roman" w:hAnsi="Times New Roman"/>
          <w:color w:val="000000" w:themeColor="text1"/>
          <w:sz w:val="16"/>
          <w:szCs w:val="16"/>
        </w:rPr>
        <w:softHyphen/>
        <w:t>несенной пирамиды без поперечной оси для возможной подвески торпеды. Брони</w:t>
      </w:r>
      <w:r w:rsidRPr="005E779E">
        <w:rPr>
          <w:rFonts w:ascii="Times New Roman" w:hAnsi="Times New Roman"/>
          <w:color w:val="000000" w:themeColor="text1"/>
          <w:sz w:val="16"/>
          <w:szCs w:val="16"/>
        </w:rPr>
        <w:softHyphen/>
        <w:t>рование только снизу, вооружение состояло из восьми пулеметов ПВ-1, установленных в полу второй кабины. Пулеметы монти</w:t>
      </w:r>
      <w:r w:rsidRPr="005E779E">
        <w:rPr>
          <w:rFonts w:ascii="Times New Roman" w:hAnsi="Times New Roman"/>
          <w:color w:val="000000" w:themeColor="text1"/>
          <w:sz w:val="16"/>
          <w:szCs w:val="16"/>
        </w:rPr>
        <w:softHyphen/>
        <w:t>ровались на особой поворачивающейся установке для стрельбы вперед, вниз и назад. Палубный штурмовик испытывался в 1932 г., однако от создания авианосцев отказались, поэтому ШОН дальнейшего продолжения не имел (12612).</w:t>
      </w:r>
    </w:p>
    <w:p w14:paraId="53E691D9" w14:textId="77777777" w:rsidR="00EF2E51" w:rsidRPr="005E779E" w:rsidRDefault="00EF2E51" w:rsidP="000B7A6C">
      <w:pPr>
        <w:spacing w:after="0" w:line="240" w:lineRule="auto"/>
        <w:jc w:val="both"/>
        <w:rPr>
          <w:rFonts w:ascii="Times New Roman" w:hAnsi="Times New Roman"/>
          <w:color w:val="000000" w:themeColor="text1"/>
          <w:sz w:val="16"/>
          <w:szCs w:val="16"/>
        </w:rPr>
      </w:pPr>
    </w:p>
    <w:p w14:paraId="4F761869" w14:textId="77777777" w:rsidR="00EF2E51" w:rsidRPr="005E779E" w:rsidRDefault="00EF2E5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апреле 1931 г. был выпущен штурмовик осо</w:t>
      </w:r>
      <w:r w:rsidRPr="005E779E">
        <w:rPr>
          <w:rFonts w:ascii="Times New Roman" w:hAnsi="Times New Roman"/>
          <w:color w:val="000000" w:themeColor="text1"/>
          <w:sz w:val="16"/>
          <w:szCs w:val="16"/>
        </w:rPr>
        <w:softHyphen/>
        <w:t>бого назначения ШОН. Он создавался в Цен</w:t>
      </w:r>
      <w:r w:rsidRPr="005E779E">
        <w:rPr>
          <w:rFonts w:ascii="Times New Roman" w:hAnsi="Times New Roman"/>
          <w:color w:val="000000" w:themeColor="text1"/>
          <w:sz w:val="16"/>
          <w:szCs w:val="16"/>
        </w:rPr>
        <w:softHyphen/>
        <w:t>тральном конструкторском бюро (отсюда еще одно его название - ЦКБ №23). ШОН отличался складываемой с поворо</w:t>
      </w:r>
      <w:r w:rsidRPr="005E779E">
        <w:rPr>
          <w:rFonts w:ascii="Times New Roman" w:hAnsi="Times New Roman"/>
          <w:color w:val="000000" w:themeColor="text1"/>
          <w:sz w:val="16"/>
          <w:szCs w:val="16"/>
        </w:rPr>
        <w:softHyphen/>
        <w:t>том назад бипланной коробкой крыльев для удобства хранения и транспортировки, а его шасси было выполнено в виде разнесенной пирамиды без поперечной оси для возмож</w:t>
      </w:r>
      <w:r w:rsidRPr="005E779E">
        <w:rPr>
          <w:rFonts w:ascii="Times New Roman" w:hAnsi="Times New Roman"/>
          <w:color w:val="000000" w:themeColor="text1"/>
          <w:sz w:val="16"/>
          <w:szCs w:val="16"/>
        </w:rPr>
        <w:softHyphen/>
        <w:t>ной подвески торпеды (последнее предполо</w:t>
      </w:r>
      <w:r w:rsidRPr="005E779E">
        <w:rPr>
          <w:rFonts w:ascii="Times New Roman" w:hAnsi="Times New Roman"/>
          <w:color w:val="000000" w:themeColor="text1"/>
          <w:sz w:val="16"/>
          <w:szCs w:val="16"/>
        </w:rPr>
        <w:softHyphen/>
        <w:t>жение также маловероятно). Бронирование только снизу, вооружение состояло из 8 пу</w:t>
      </w:r>
      <w:r w:rsidRPr="005E779E">
        <w:rPr>
          <w:rFonts w:ascii="Times New Roman" w:hAnsi="Times New Roman"/>
          <w:color w:val="000000" w:themeColor="text1"/>
          <w:sz w:val="16"/>
          <w:szCs w:val="16"/>
        </w:rPr>
        <w:softHyphen/>
        <w:t>леметов ПВ-1, установленных в полу второй кабины. Пулеметы монтировались на особой поворачивающейся установке для стрельбы вперед, вниз и назад. Оригинальный штур</w:t>
      </w:r>
      <w:r w:rsidRPr="005E779E">
        <w:rPr>
          <w:rFonts w:ascii="Times New Roman" w:hAnsi="Times New Roman"/>
          <w:color w:val="000000" w:themeColor="text1"/>
          <w:sz w:val="16"/>
          <w:szCs w:val="16"/>
        </w:rPr>
        <w:softHyphen/>
        <w:t>мовик испытывался в 1932 г., однако даль</w:t>
      </w:r>
      <w:r w:rsidRPr="005E779E">
        <w:rPr>
          <w:rFonts w:ascii="Times New Roman" w:hAnsi="Times New Roman"/>
          <w:color w:val="000000" w:themeColor="text1"/>
          <w:sz w:val="16"/>
          <w:szCs w:val="16"/>
        </w:rPr>
        <w:softHyphen/>
        <w:t>нейшего продолжения не имел. Какую-либо дополнительную информацию по нему обна</w:t>
      </w:r>
      <w:r w:rsidRPr="005E779E">
        <w:rPr>
          <w:rFonts w:ascii="Times New Roman" w:hAnsi="Times New Roman"/>
          <w:color w:val="000000" w:themeColor="text1"/>
          <w:sz w:val="16"/>
          <w:szCs w:val="16"/>
        </w:rPr>
        <w:softHyphen/>
        <w:t xml:space="preserve">ружить непросто. ЦКБ находилось в ту пору под патронажем ОГПУ, поэтому сведения о большинстве разработанных там самолетов </w:t>
      </w:r>
      <w:r w:rsidRPr="005E779E">
        <w:rPr>
          <w:rStyle w:val="478pt"/>
          <w:color w:val="000000" w:themeColor="text1"/>
          <w:szCs w:val="16"/>
        </w:rPr>
        <w:t>периода</w:t>
      </w:r>
      <w:r w:rsidRPr="005E779E">
        <w:rPr>
          <w:rFonts w:ascii="Times New Roman" w:hAnsi="Times New Roman"/>
          <w:color w:val="000000" w:themeColor="text1"/>
          <w:sz w:val="16"/>
          <w:szCs w:val="16"/>
        </w:rPr>
        <w:t xml:space="preserve"> 1930—33</w:t>
      </w:r>
      <w:r w:rsidRPr="005E779E">
        <w:rPr>
          <w:rStyle w:val="47BookmanOldStyle"/>
          <w:rFonts w:ascii="Times New Roman" w:hAnsi="Times New Roman"/>
          <w:color w:val="000000" w:themeColor="text1"/>
          <w:sz w:val="16"/>
          <w:szCs w:val="16"/>
        </w:rPr>
        <w:t xml:space="preserve"> ГГ. до</w:t>
      </w:r>
      <w:r w:rsidRPr="005E779E">
        <w:rPr>
          <w:rFonts w:ascii="Times New Roman" w:hAnsi="Times New Roman"/>
          <w:color w:val="000000" w:themeColor="text1"/>
          <w:sz w:val="16"/>
          <w:szCs w:val="16"/>
        </w:rPr>
        <w:t xml:space="preserve"> сих пор являются не</w:t>
      </w:r>
      <w:r w:rsidRPr="005E779E">
        <w:rPr>
          <w:rFonts w:ascii="Times New Roman" w:hAnsi="Times New Roman"/>
          <w:color w:val="000000" w:themeColor="text1"/>
          <w:sz w:val="16"/>
          <w:szCs w:val="16"/>
        </w:rPr>
        <w:softHyphen/>
        <w:t>полными. (12301).</w:t>
      </w:r>
    </w:p>
    <w:p w14:paraId="0093412D" w14:textId="77777777" w:rsidR="00EF2E51" w:rsidRPr="005E779E" w:rsidRDefault="00EF2E51" w:rsidP="000B7A6C">
      <w:pPr>
        <w:spacing w:after="0" w:line="240" w:lineRule="auto"/>
        <w:jc w:val="both"/>
        <w:rPr>
          <w:rFonts w:ascii="Times New Roman" w:hAnsi="Times New Roman"/>
          <w:color w:val="000000" w:themeColor="text1"/>
          <w:sz w:val="16"/>
          <w:szCs w:val="16"/>
        </w:rPr>
      </w:pPr>
    </w:p>
    <w:p w14:paraId="2C3804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апреле 1931 Военно-санитарное управление РККА предложило ЦАГИ разработать вариант использования АНТ-9 для перевозки раненых. Предполагали 6 носилок + 3 кресла для сидения (346,44). Срок был - 10 сентября (522,5).</w:t>
      </w:r>
    </w:p>
    <w:p w14:paraId="7C0B18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0B51A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апреле 1931 ЦАГИ переделал один из И-4 АНТ-5 в моноплан (1017,162).</w:t>
      </w:r>
    </w:p>
    <w:p w14:paraId="4EC0BD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3365452" w14:textId="77777777" w:rsidR="002D39AF" w:rsidRPr="005E779E" w:rsidRDefault="002D39AF" w:rsidP="000B7A6C">
      <w:pPr>
        <w:pStyle w:val="a8"/>
        <w:jc w:val="both"/>
        <w:rPr>
          <w:rFonts w:ascii="Times New Roman" w:hAnsi="Times New Roman" w:cs="Times New Roman"/>
          <w:color w:val="000000" w:themeColor="text1"/>
        </w:rPr>
      </w:pPr>
      <w:r w:rsidRPr="005E779E">
        <w:rPr>
          <w:rFonts w:ascii="Times New Roman" w:hAnsi="Times New Roman" w:cs="Times New Roman"/>
          <w:color w:val="000000" w:themeColor="text1"/>
        </w:rPr>
        <w:t>В апреле 1931 г. построили самолет, иногда именовавшийся И-4бис - так же, как второй опытный образец. Это был моноплан-парасоль без нижнего крыла и с новым капотом, включавшим кольцо Тауненда над головками цилиндров. Крыло имело предкрылки - впервые в СССР. Эти предкрылки выпускались и убирались вручную летчиком. Оборудование и вооружение соответствовало серийному истребителю. По неизвестным причинам самолет долго не поднимался в воздух. И-4бис испыты- вался в НИИ ВВС лишь 11 - 23 сентября 1931 г. Констатировали небольшое улучшение поперечной устойчивости. Скорость, по сравнению с обычным И-4, увеличилась незначительно (примерно на 10 км/ч), скороподъемность практически не изменилась, а маневренность ухудшилась. Кроме того, в новом капоте мотор перегревался. Выводом стала фраза - «считать переделку нерациональной» (19100).</w:t>
      </w:r>
    </w:p>
    <w:p w14:paraId="664DC167" w14:textId="77777777" w:rsidR="002D39AF" w:rsidRPr="005E779E" w:rsidRDefault="002D39AF" w:rsidP="000B7A6C">
      <w:pPr>
        <w:pStyle w:val="a8"/>
        <w:jc w:val="both"/>
        <w:rPr>
          <w:rFonts w:ascii="Times New Roman" w:hAnsi="Times New Roman" w:cs="Times New Roman"/>
          <w:color w:val="000000" w:themeColor="text1"/>
        </w:rPr>
      </w:pPr>
    </w:p>
    <w:p w14:paraId="500170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апреле 1931 один из серийных АНТ-4 2хМ-17 привезли в Таганрог, поставили на поплавки и провели гос. испытания (1046,141).</w:t>
      </w:r>
    </w:p>
    <w:p w14:paraId="624C51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ABCCDE1" w14:textId="77777777" w:rsidR="003261DE" w:rsidRPr="005E779E" w:rsidRDefault="003261DE" w:rsidP="000B7A6C">
      <w:pPr>
        <w:spacing w:after="0" w:line="240" w:lineRule="auto"/>
        <w:jc w:val="both"/>
        <w:rPr>
          <w:rFonts w:ascii="Times New Roman" w:hAnsi="Times New Roman"/>
          <w:color w:val="000000" w:themeColor="text1"/>
          <w:sz w:val="16"/>
          <w:szCs w:val="16"/>
          <w:lang w:eastAsia="ru-RU" w:bidi="ru-RU"/>
        </w:rPr>
      </w:pPr>
      <w:r w:rsidRPr="005E779E">
        <w:rPr>
          <w:rFonts w:ascii="Times New Roman" w:hAnsi="Times New Roman"/>
          <w:color w:val="000000" w:themeColor="text1"/>
          <w:sz w:val="16"/>
          <w:szCs w:val="16"/>
          <w:lang w:eastAsia="ru-RU" w:bidi="ru-RU"/>
        </w:rPr>
        <w:t>В апреле 1931 г. в Таганрог перегнали один из серийных ТБ-1 (заводской №649). Три месяца за</w:t>
      </w:r>
      <w:r w:rsidRPr="005E779E">
        <w:rPr>
          <w:rFonts w:ascii="Times New Roman" w:hAnsi="Times New Roman"/>
          <w:color w:val="000000" w:themeColor="text1"/>
          <w:sz w:val="16"/>
          <w:szCs w:val="16"/>
          <w:lang w:eastAsia="ru-RU" w:bidi="ru-RU"/>
        </w:rPr>
        <w:softHyphen/>
        <w:t>няли его доработка и установка на поплавки. 15 июня машину передали морскому отделу НИИ ВВС для госис- пытаний. Их проводили в Севастополе до конца августа. Поплавковый вариант в АГОС назвали ТБ-1а («а» — от «аква», «вода») (20325).</w:t>
      </w:r>
    </w:p>
    <w:p w14:paraId="0832F155" w14:textId="77777777" w:rsidR="003261DE" w:rsidRPr="005E779E" w:rsidRDefault="003261DE" w:rsidP="000B7A6C">
      <w:pPr>
        <w:spacing w:after="0" w:line="240" w:lineRule="auto"/>
        <w:jc w:val="both"/>
        <w:rPr>
          <w:rFonts w:ascii="Times New Roman" w:hAnsi="Times New Roman"/>
          <w:color w:val="000000" w:themeColor="text1"/>
          <w:sz w:val="16"/>
          <w:szCs w:val="16"/>
          <w:lang w:eastAsia="ru-RU" w:bidi="ru-RU"/>
        </w:rPr>
      </w:pPr>
    </w:p>
    <w:p w14:paraId="24E60F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апреле 1931 г. в Таганрог перегнали один из серийных ТБ-1. Три месяца заняли его сборка и установка на поплавки. 15 июня машину передали морскому отделу НИИ ВВС для госиспытаний. Их проводили в Севастополе до конца августа. Поплавковый вариант в АГОС назвали ТБ-1 а ("а" - от "аква" - "вода").</w:t>
      </w:r>
    </w:p>
    <w:p w14:paraId="28ED57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Увеличение веса пустого самолета и дополнительное аэродинамическое сопротивление от поплавков, разумеется, снизили данные машины. Максимальная скорость не превышала 185 км/ч, потолок - 3620 м. Существенно ухудшились маневренность и скороподъемность. Тем не менее, результаты признали удовлетворительными. По сравнению с имевшимися в морских эскадрильях поплавковыми ЮГ-1 и летающими лодками "Валь", ТБ-1а выгодно отличался возможностью несения боеприпасов крупных калибров, необходимых для поражения боевых кораблей. Машину приняли на вооружение ВВС РККА.</w:t>
      </w:r>
    </w:p>
    <w:p w14:paraId="343248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Начали готовиться к серийному производству поплавков. Английский образец обмерили и выполнили чертежи. Серию хотели поручить заводу № 22, но он был перегружен другими заказами. В результате документацию и поплавок-образец перевезли в Таганрог. Там их стали производить под названием "тип Ж" и устанавливать на самолеты, прибывавшие из Москвы.</w:t>
      </w:r>
    </w:p>
    <w:p w14:paraId="08226C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Монтаж поплавков велся уже после прекращения производства ТБ-1. Всего доработке подверглись 66 самолетов. Серийные поплавковые бомбардировщики именовали ТБ-1П или иногда МТБ-1.</w:t>
      </w:r>
    </w:p>
    <w:p w14:paraId="2B99FA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Принятие на вооружение ТБ-1П сделало ненужным серийное производство другой машины, ТОМ-1. Этот самолет разрабатывался с августа 1928 г. в конструкторском бюро при заводе № 28 под руководством приглашенного из Франции конструктора П. Ришара. По схеме он был близок к ТБ-1П, но получился больше, тяжелее и имел гладкую, а не гофрированную обшивку. Опытный образец ТОМ-1 изготовили в декабре 1931 г. Хотя эта машина значительно превосходила ТБ-1 а по летным данным, от ее запуска в серию отказались из-за технологической сложности и дороговизны конструкции (12001).</w:t>
      </w:r>
    </w:p>
    <w:p w14:paraId="4D1ED3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625C455" w14:textId="77777777" w:rsidR="00030986" w:rsidRPr="00142305" w:rsidRDefault="00030986" w:rsidP="0003098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апреле 1931 года завершились летные испытания бомбардировщика ТБ-1 с верти</w:t>
      </w:r>
      <w:r w:rsidRPr="00142305">
        <w:rPr>
          <w:rFonts w:ascii="Times New Roman" w:hAnsi="Times New Roman"/>
          <w:color w:val="0070C0"/>
          <w:sz w:val="16"/>
          <w:szCs w:val="16"/>
        </w:rPr>
        <w:softHyphen/>
        <w:t>кально установленной в его бомбовом отсеке трехдюймовой динамореактивной пушкой (ДРП). Предназначенная для стрельбы по наземным целям, пушка могла поворачиваться в вертикальной плоскости, обеспечивая большее поражающее действие орудия.</w:t>
      </w:r>
    </w:p>
    <w:p w14:paraId="41E9A7BA" w14:textId="77777777" w:rsidR="00030986" w:rsidRPr="00142305" w:rsidRDefault="00030986" w:rsidP="0003098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Испытания велись на полигоне в подмосковном Кунцеве в марте 1931 года. За три дня сделали 18 выстрелов шрапнелью по земле без прицеливания. На пилотирование самолета стрельба не повлияла, но при осмотре выявилась деформация обшивки и элементов кар</w:t>
      </w:r>
      <w:r w:rsidRPr="00142305">
        <w:rPr>
          <w:rFonts w:ascii="Times New Roman" w:hAnsi="Times New Roman"/>
          <w:color w:val="0070C0"/>
          <w:sz w:val="16"/>
          <w:szCs w:val="16"/>
        </w:rPr>
        <w:softHyphen/>
        <w:t>каса. Вылетели некоторые заклепки. Были выявлены и другие недостатки. Несмотря на это, специалисты Научно-испытательного института ВВС отметили: «При условии выполнения всех указанных требований 3-й отдел НИИ ВВС считает, что установка данной системы на самолет является весьма целесообразной и может представлять интерес для ВВС РККА».</w:t>
      </w:r>
    </w:p>
    <w:p w14:paraId="3BD462E9" w14:textId="77777777" w:rsidR="00030986" w:rsidRPr="00142305" w:rsidRDefault="00030986" w:rsidP="0003098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Интерес для ВВС ДРП представляла большой, но после этих испытаний на ТБ-1 не устанавливалась, хотя прорабатывался вариант самолета с несколькими ДРП, расположен</w:t>
      </w:r>
      <w:r w:rsidRPr="00142305">
        <w:rPr>
          <w:rFonts w:ascii="Times New Roman" w:hAnsi="Times New Roman"/>
          <w:color w:val="0070C0"/>
          <w:sz w:val="16"/>
          <w:szCs w:val="16"/>
        </w:rPr>
        <w:softHyphen/>
        <w:t>ными вдоль фюзеляжа для стрельбы вперед. Остались на бумаге и варианты бомбардиров</w:t>
      </w:r>
      <w:r w:rsidRPr="00142305">
        <w:rPr>
          <w:rFonts w:ascii="Times New Roman" w:hAnsi="Times New Roman"/>
          <w:color w:val="0070C0"/>
          <w:sz w:val="16"/>
          <w:szCs w:val="16"/>
        </w:rPr>
        <w:softHyphen/>
        <w:t>щика с химическим вооружением - выливными авиационными приборами и постановщи</w:t>
      </w:r>
      <w:r w:rsidRPr="00142305">
        <w:rPr>
          <w:rFonts w:ascii="Times New Roman" w:hAnsi="Times New Roman"/>
          <w:color w:val="0070C0"/>
          <w:sz w:val="16"/>
          <w:szCs w:val="16"/>
        </w:rPr>
        <w:softHyphen/>
        <w:t>ками дымовых завес (24991).</w:t>
      </w:r>
    </w:p>
    <w:p w14:paraId="5DE36467" w14:textId="77777777" w:rsidR="00030986" w:rsidRPr="00142305" w:rsidRDefault="00030986" w:rsidP="00030986">
      <w:pPr>
        <w:spacing w:after="0" w:line="240" w:lineRule="auto"/>
        <w:jc w:val="both"/>
        <w:rPr>
          <w:rFonts w:ascii="Times New Roman" w:hAnsi="Times New Roman"/>
          <w:color w:val="0070C0"/>
          <w:sz w:val="16"/>
          <w:szCs w:val="16"/>
        </w:rPr>
      </w:pPr>
    </w:p>
    <w:p w14:paraId="778FA280" w14:textId="77777777" w:rsidR="00030986" w:rsidRPr="00142305" w:rsidRDefault="00030986" w:rsidP="0003098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апреле 1931 г. в Таганрог перегнали один из серийных ТБ-1. Три месяца заняли его сборка и установка на поплавки.</w:t>
      </w:r>
    </w:p>
    <w:p w14:paraId="5C59F598" w14:textId="77777777" w:rsidR="00030986" w:rsidRPr="00142305" w:rsidRDefault="00030986" w:rsidP="0003098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15 июня машину передали морскому отделу НИИ ВВС на государственные испытания. Их проводили в Севастополе до конца августа. Поплавковый вариант в АТОС назвали ТБ-1А («А» - от «аква» - «вода»),</w:t>
      </w:r>
    </w:p>
    <w:p w14:paraId="022FB40B" w14:textId="77777777" w:rsidR="00030986" w:rsidRPr="00142305" w:rsidRDefault="00030986" w:rsidP="0003098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целом увеличение веса пустого самолета и до</w:t>
      </w:r>
      <w:r w:rsidRPr="00142305">
        <w:rPr>
          <w:rFonts w:ascii="Times New Roman" w:hAnsi="Times New Roman"/>
          <w:color w:val="0070C0"/>
          <w:sz w:val="16"/>
          <w:szCs w:val="16"/>
        </w:rPr>
        <w:softHyphen/>
        <w:t>полнительное аэродинамическое сопротивление от поплавков, разумеется, снизили данные машины. Максимальная скорость не превышала 185 км/ч, по</w:t>
      </w:r>
      <w:r w:rsidRPr="00142305">
        <w:rPr>
          <w:rFonts w:ascii="Times New Roman" w:hAnsi="Times New Roman"/>
          <w:color w:val="0070C0"/>
          <w:sz w:val="16"/>
          <w:szCs w:val="16"/>
        </w:rPr>
        <w:softHyphen/>
        <w:t>толок - 3620 м. Существенно ухудшились маневрен</w:t>
      </w:r>
      <w:r w:rsidRPr="00142305">
        <w:rPr>
          <w:rFonts w:ascii="Times New Roman" w:hAnsi="Times New Roman"/>
          <w:color w:val="0070C0"/>
          <w:sz w:val="16"/>
          <w:szCs w:val="16"/>
        </w:rPr>
        <w:softHyphen/>
        <w:t>ность и скороподъемность. Тем не менее, результаты признали удовлетворительными. По сравнению с имев</w:t>
      </w:r>
      <w:r w:rsidRPr="00142305">
        <w:rPr>
          <w:rFonts w:ascii="Times New Roman" w:hAnsi="Times New Roman"/>
          <w:color w:val="0070C0"/>
          <w:sz w:val="16"/>
          <w:szCs w:val="16"/>
        </w:rPr>
        <w:softHyphen/>
        <w:t>шимися в морских эскадрильях поплавковыми ЮГ-1 и летающими лодками Дорнье «Валь», ТБ-1 А выгодно отличался возможностью несения боеприпасов круп</w:t>
      </w:r>
      <w:r w:rsidRPr="00142305">
        <w:rPr>
          <w:rFonts w:ascii="Times New Roman" w:hAnsi="Times New Roman"/>
          <w:color w:val="0070C0"/>
          <w:sz w:val="16"/>
          <w:szCs w:val="16"/>
        </w:rPr>
        <w:softHyphen/>
        <w:t>ных калибров, необходимых для поражения боевых ко</w:t>
      </w:r>
      <w:r w:rsidRPr="00142305">
        <w:rPr>
          <w:rFonts w:ascii="Times New Roman" w:hAnsi="Times New Roman"/>
          <w:color w:val="0070C0"/>
          <w:sz w:val="16"/>
          <w:szCs w:val="16"/>
        </w:rPr>
        <w:softHyphen/>
        <w:t>раблей. Машину приняли на вооружение ВВС РККА (25004).</w:t>
      </w:r>
    </w:p>
    <w:p w14:paraId="7B1ACC14" w14:textId="77777777" w:rsidR="00030986" w:rsidRPr="00142305" w:rsidRDefault="00030986" w:rsidP="00030986">
      <w:pPr>
        <w:spacing w:after="0" w:line="240" w:lineRule="auto"/>
        <w:jc w:val="both"/>
        <w:rPr>
          <w:rFonts w:ascii="Times New Roman" w:hAnsi="Times New Roman"/>
          <w:color w:val="0070C0"/>
          <w:sz w:val="16"/>
          <w:szCs w:val="16"/>
        </w:rPr>
      </w:pPr>
    </w:p>
    <w:p w14:paraId="329689D5" w14:textId="77777777" w:rsidR="00EF2E51" w:rsidRPr="005E779E" w:rsidRDefault="00EF2E5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апреле 1931 г. первые серийные И-5 решили в пер</w:t>
      </w:r>
      <w:r w:rsidRPr="005E779E">
        <w:rPr>
          <w:rFonts w:ascii="Times New Roman" w:hAnsi="Times New Roman"/>
          <w:color w:val="000000" w:themeColor="text1"/>
          <w:sz w:val="16"/>
          <w:szCs w:val="16"/>
        </w:rPr>
        <w:softHyphen/>
        <w:t>вую очередь направить в Ленинградский во</w:t>
      </w:r>
      <w:r w:rsidRPr="005E779E">
        <w:rPr>
          <w:rFonts w:ascii="Times New Roman" w:hAnsi="Times New Roman"/>
          <w:color w:val="000000" w:themeColor="text1"/>
          <w:sz w:val="16"/>
          <w:szCs w:val="16"/>
        </w:rPr>
        <w:softHyphen/>
        <w:t>енный округ (Л ВО), во вторую очередь - в Украинский военный округ (УВО), в третью очередь — в ВВС ОКДВА. Уже в начале ок</w:t>
      </w:r>
      <w:r w:rsidRPr="005E779E">
        <w:rPr>
          <w:rFonts w:ascii="Times New Roman" w:hAnsi="Times New Roman"/>
          <w:color w:val="000000" w:themeColor="text1"/>
          <w:sz w:val="16"/>
          <w:szCs w:val="16"/>
        </w:rPr>
        <w:softHyphen/>
        <w:t>тября большая часть построенных самолетов (54 И-5) находилась в строю. По состоянию на I января 1932 года в частях значились 58 И-5, из них около 20 самолетов в 11-й истре</w:t>
      </w:r>
      <w:r w:rsidRPr="005E779E">
        <w:rPr>
          <w:rFonts w:ascii="Times New Roman" w:hAnsi="Times New Roman"/>
          <w:color w:val="000000" w:themeColor="text1"/>
          <w:sz w:val="16"/>
          <w:szCs w:val="16"/>
        </w:rPr>
        <w:softHyphen/>
        <w:t>бительной эскадрилье 3-й авиабригады Л ВО, в Киевской авиабригаде на аэродроме Киев- Пост-Волы не кий (20-й авиапарк) 14 И-5, на Дальнем Востоке (ОКДВА) 11 И-5 базирова</w:t>
      </w:r>
      <w:r w:rsidRPr="005E779E">
        <w:rPr>
          <w:rFonts w:ascii="Times New Roman" w:hAnsi="Times New Roman"/>
          <w:color w:val="000000" w:themeColor="text1"/>
          <w:sz w:val="16"/>
          <w:szCs w:val="16"/>
        </w:rPr>
        <w:softHyphen/>
        <w:t>лись в Спасске-Дальнем (12295).</w:t>
      </w:r>
    </w:p>
    <w:p w14:paraId="543278FC" w14:textId="77777777" w:rsidR="00EF2E51" w:rsidRPr="005E779E" w:rsidRDefault="00EF2E51" w:rsidP="000B7A6C">
      <w:pPr>
        <w:spacing w:after="0" w:line="240" w:lineRule="auto"/>
        <w:jc w:val="both"/>
        <w:rPr>
          <w:rFonts w:ascii="Times New Roman" w:hAnsi="Times New Roman"/>
          <w:color w:val="000000" w:themeColor="text1"/>
          <w:sz w:val="16"/>
          <w:szCs w:val="16"/>
        </w:rPr>
      </w:pPr>
    </w:p>
    <w:p w14:paraId="156B952E" w14:textId="77777777" w:rsidR="007F4ADC" w:rsidRPr="00142305" w:rsidRDefault="007F4ADC" w:rsidP="007F4AD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апреле 1931 г. УВВС предложило ЦАГИ прора</w:t>
      </w:r>
      <w:r w:rsidRPr="00142305">
        <w:rPr>
          <w:rFonts w:ascii="Times New Roman" w:hAnsi="Times New Roman"/>
          <w:color w:val="0070C0"/>
          <w:sz w:val="16"/>
          <w:szCs w:val="16"/>
        </w:rPr>
        <w:softHyphen/>
        <w:t>ботать санитарный вариант самолета АНТ-9 на шесть носилок для раненых (едва яруса) и три (по другому документу - два) сидячих места. Для этого собирались снять шесть кресел и смонтировать устройства для крепления носилок. Предусматривались два шкафа для медицинских инструмен</w:t>
      </w:r>
      <w:r w:rsidRPr="00142305">
        <w:rPr>
          <w:rFonts w:ascii="Times New Roman" w:hAnsi="Times New Roman"/>
          <w:color w:val="0070C0"/>
          <w:sz w:val="16"/>
          <w:szCs w:val="16"/>
        </w:rPr>
        <w:softHyphen/>
        <w:t>тов, лекарств и белья. Опытную машину требовалось предъявить к 10 сентября 1931 г., но лишь 11 января следующего года состоялся осмотр готового оборудо</w:t>
      </w:r>
      <w:r w:rsidRPr="00142305">
        <w:rPr>
          <w:rFonts w:ascii="Times New Roman" w:hAnsi="Times New Roman"/>
          <w:color w:val="0070C0"/>
          <w:sz w:val="16"/>
          <w:szCs w:val="16"/>
        </w:rPr>
        <w:softHyphen/>
        <w:t>вания салона. На этом и застряли, вер</w:t>
      </w:r>
      <w:r w:rsidRPr="00142305">
        <w:rPr>
          <w:rFonts w:ascii="Times New Roman" w:hAnsi="Times New Roman"/>
          <w:color w:val="0070C0"/>
          <w:sz w:val="16"/>
          <w:szCs w:val="16"/>
        </w:rPr>
        <w:softHyphen/>
        <w:t>нувшись к санитарному варианту машины только зимой 1939 г. Тогда в ходе войны с Финляндией доработали, по крайней мере, две машины (24949).</w:t>
      </w:r>
    </w:p>
    <w:p w14:paraId="5B46C3C0" w14:textId="77777777" w:rsidR="007F4ADC" w:rsidRPr="00142305" w:rsidRDefault="007F4ADC" w:rsidP="007F4ADC">
      <w:pPr>
        <w:spacing w:after="0" w:line="240" w:lineRule="auto"/>
        <w:jc w:val="both"/>
        <w:rPr>
          <w:rFonts w:ascii="Times New Roman" w:hAnsi="Times New Roman"/>
          <w:color w:val="0070C0"/>
          <w:sz w:val="16"/>
          <w:szCs w:val="16"/>
        </w:rPr>
      </w:pPr>
    </w:p>
    <w:p w14:paraId="5E4B37B2" w14:textId="77777777" w:rsidR="00024A7A" w:rsidRPr="00142305" w:rsidRDefault="00024A7A" w:rsidP="00024A7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апреле 1931 г. на S.62, которую на заводе № 31 использовали для опытов, заднюю турель Тур-6 потребовали за</w:t>
      </w:r>
      <w:r w:rsidRPr="00142305">
        <w:rPr>
          <w:rFonts w:ascii="Times New Roman" w:hAnsi="Times New Roman"/>
          <w:color w:val="0070C0"/>
          <w:sz w:val="16"/>
          <w:szCs w:val="16"/>
        </w:rPr>
        <w:softHyphen/>
        <w:t>менить на перекатывающуюся поперек лодки Тур-5 (как на «Вале»). Но сделали это уже на одной из ранних серийных лодок советской постройки.</w:t>
      </w:r>
    </w:p>
    <w:p w14:paraId="06A49A15" w14:textId="77777777" w:rsidR="00024A7A" w:rsidRPr="00142305" w:rsidRDefault="00024A7A" w:rsidP="00024A7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первой серии самолетов завода № 31 расположение бензобаков решили изменить по сравнению с оригиналом - не попарно в три ряда, а четыре плюс два. В других местах располагались аккумуля</w:t>
      </w:r>
      <w:r w:rsidRPr="00142305">
        <w:rPr>
          <w:rFonts w:ascii="Times New Roman" w:hAnsi="Times New Roman"/>
          <w:color w:val="0070C0"/>
          <w:sz w:val="16"/>
          <w:szCs w:val="16"/>
        </w:rPr>
        <w:softHyphen/>
        <w:t>торы, фотоаппарат, радиостанция и ящик с неприкосновенным запасом продоволь</w:t>
      </w:r>
      <w:r w:rsidRPr="00142305">
        <w:rPr>
          <w:rFonts w:ascii="Times New Roman" w:hAnsi="Times New Roman"/>
          <w:color w:val="0070C0"/>
          <w:sz w:val="16"/>
          <w:szCs w:val="16"/>
        </w:rPr>
        <w:softHyphen/>
        <w:t>ствия. Для подвески бомб предусматри</w:t>
      </w:r>
      <w:r w:rsidRPr="00142305">
        <w:rPr>
          <w:rFonts w:ascii="Times New Roman" w:hAnsi="Times New Roman"/>
          <w:color w:val="0070C0"/>
          <w:sz w:val="16"/>
          <w:szCs w:val="16"/>
        </w:rPr>
        <w:softHyphen/>
        <w:t>вались восемь балок Дер-7 (24948).</w:t>
      </w:r>
    </w:p>
    <w:p w14:paraId="73B7D91D" w14:textId="77777777" w:rsidR="00024A7A" w:rsidRPr="00142305" w:rsidRDefault="00024A7A" w:rsidP="00024A7A">
      <w:pPr>
        <w:spacing w:after="0" w:line="240" w:lineRule="auto"/>
        <w:jc w:val="both"/>
        <w:rPr>
          <w:rFonts w:ascii="Times New Roman" w:hAnsi="Times New Roman"/>
          <w:color w:val="0070C0"/>
          <w:sz w:val="16"/>
          <w:szCs w:val="16"/>
        </w:rPr>
      </w:pPr>
    </w:p>
    <w:p w14:paraId="2F5835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апреле 1931 г. завод № 1 получил заказ на подготовку трех Р-5 для участия в персидском конкурсе с однотипными машинами европейских стран (5016).</w:t>
      </w:r>
    </w:p>
    <w:p w14:paraId="661347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CBDA0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апреле 1931 заложили фундамент 18 завода (557,13). Проектировал Гипроцветмет и проект был утвержден тоже только в 1931. A.К.Орджоникидзе в задании заводу поручил запустить в серию АНТ-6 (ТБ-3) и готовиться к МГ (557,19).</w:t>
      </w:r>
    </w:p>
    <w:p w14:paraId="61B22F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67B1C28" w14:textId="77777777" w:rsidR="00BD132E" w:rsidRPr="005E779E" w:rsidRDefault="00BD132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апреле 1931 г. Военно-санитарное управление РККА предложило ЦАГИ проработать вариант использования АНТ—9 для перевозки раненых. По зада</w:t>
      </w:r>
      <w:r w:rsidRPr="005E779E">
        <w:rPr>
          <w:rFonts w:ascii="Times New Roman" w:hAnsi="Times New Roman"/>
          <w:color w:val="000000" w:themeColor="text1"/>
          <w:sz w:val="16"/>
          <w:szCs w:val="16"/>
        </w:rPr>
        <w:softHyphen/>
        <w:t>нию, машина должна была иметь 6 мест для крепления носилок, 3 кресла для си</w:t>
      </w:r>
      <w:r w:rsidRPr="005E779E">
        <w:rPr>
          <w:rFonts w:ascii="Times New Roman" w:hAnsi="Times New Roman"/>
          <w:color w:val="000000" w:themeColor="text1"/>
          <w:sz w:val="16"/>
          <w:szCs w:val="16"/>
        </w:rPr>
        <w:softHyphen/>
        <w:t>дения и место для установки необходи</w:t>
      </w:r>
      <w:r w:rsidRPr="005E779E">
        <w:rPr>
          <w:rFonts w:ascii="Times New Roman" w:hAnsi="Times New Roman"/>
          <w:color w:val="000000" w:themeColor="text1"/>
          <w:sz w:val="16"/>
          <w:szCs w:val="16"/>
        </w:rPr>
        <w:softHyphen/>
        <w:t>мого санитарного оборудования. По этой работе известно только то, что 11 января 1932 г. состоялся осмотр готового сани</w:t>
      </w:r>
      <w:r w:rsidRPr="005E779E">
        <w:rPr>
          <w:rFonts w:ascii="Times New Roman" w:hAnsi="Times New Roman"/>
          <w:color w:val="000000" w:themeColor="text1"/>
          <w:sz w:val="16"/>
          <w:szCs w:val="16"/>
        </w:rPr>
        <w:softHyphen/>
        <w:t>тарного оборудования (23474).</w:t>
      </w:r>
    </w:p>
    <w:p w14:paraId="4BF419E0" w14:textId="77777777" w:rsidR="00BD132E" w:rsidRPr="005E779E" w:rsidRDefault="00BD132E" w:rsidP="000B7A6C">
      <w:pPr>
        <w:spacing w:after="0" w:line="240" w:lineRule="auto"/>
        <w:jc w:val="both"/>
        <w:rPr>
          <w:rFonts w:ascii="Times New Roman" w:hAnsi="Times New Roman"/>
          <w:color w:val="000000" w:themeColor="text1"/>
          <w:sz w:val="16"/>
          <w:szCs w:val="16"/>
        </w:rPr>
      </w:pPr>
    </w:p>
    <w:p w14:paraId="0BD6EE5F" w14:textId="77777777" w:rsidR="008F5899" w:rsidRPr="005E779E" w:rsidRDefault="008F5899" w:rsidP="000B7A6C">
      <w:pPr>
        <w:pStyle w:val="affb"/>
        <w:shd w:val="clear" w:color="auto" w:fill="FFFFFF"/>
        <w:spacing w:before="0" w:beforeAutospacing="0" w:after="0" w:afterAutospacing="0"/>
        <w:jc w:val="both"/>
        <w:rPr>
          <w:color w:val="000000" w:themeColor="text1"/>
          <w:sz w:val="16"/>
          <w:szCs w:val="16"/>
        </w:rPr>
      </w:pPr>
      <w:r w:rsidRPr="005E779E">
        <w:rPr>
          <w:color w:val="000000" w:themeColor="text1"/>
          <w:sz w:val="16"/>
          <w:szCs w:val="16"/>
        </w:rPr>
        <w:t>В апреле 1931 года заложен фундамент первого заводского корпуса. Об этом заводчанам напоминает мемориальная доска на фасаде цеха №20, ныне ООО «Авиаспецинструмент» (19822).</w:t>
      </w:r>
    </w:p>
    <w:p w14:paraId="4F836430" w14:textId="77777777" w:rsidR="008F5899" w:rsidRPr="005E779E" w:rsidRDefault="008F5899" w:rsidP="000B7A6C">
      <w:pPr>
        <w:pStyle w:val="affb"/>
        <w:shd w:val="clear" w:color="auto" w:fill="FFFFFF"/>
        <w:spacing w:before="0" w:beforeAutospacing="0" w:after="0" w:afterAutospacing="0"/>
        <w:jc w:val="both"/>
        <w:rPr>
          <w:color w:val="000000" w:themeColor="text1"/>
          <w:sz w:val="16"/>
          <w:szCs w:val="16"/>
        </w:rPr>
      </w:pPr>
    </w:p>
    <w:p w14:paraId="7EA76FAF" w14:textId="77777777" w:rsidR="008F5899" w:rsidRPr="005E779E" w:rsidRDefault="008F589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апреле 1931 года началась закладка первых крупных зданий и сооружений. В апреле 1932 года был сдан в эксплуатацию первый производственный корпус и начато производство первых деталей самолета ТБ-3 гл. конструктора Туполева (19829).</w:t>
      </w:r>
    </w:p>
    <w:p w14:paraId="78747C24" w14:textId="77777777" w:rsidR="008F5899" w:rsidRPr="005E779E" w:rsidRDefault="008F5899" w:rsidP="000B7A6C">
      <w:pPr>
        <w:spacing w:after="0" w:line="240" w:lineRule="auto"/>
        <w:jc w:val="both"/>
        <w:rPr>
          <w:rFonts w:ascii="Times New Roman" w:hAnsi="Times New Roman"/>
          <w:color w:val="000000" w:themeColor="text1"/>
          <w:sz w:val="16"/>
          <w:szCs w:val="16"/>
        </w:rPr>
      </w:pPr>
    </w:p>
    <w:p w14:paraId="27CB5CC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апреле 1931 чертежи М-34 передали заводу № 26 для изготовления опытных образцов. 21 сентября первый мотор прибыл на испытания в ЦИАМ с импортными карбюраторами и магнето. После наработки на стенде 38 ч в ноябре 1931 г. велись государственные испыта</w:t>
      </w:r>
      <w:r w:rsidRPr="005E779E">
        <w:rPr>
          <w:rFonts w:ascii="Times New Roman" w:hAnsi="Times New Roman"/>
          <w:color w:val="000000" w:themeColor="text1"/>
          <w:sz w:val="16"/>
          <w:szCs w:val="16"/>
        </w:rPr>
        <w:softHyphen/>
        <w:t>ния. В июле 1932 г. опытный образец М-34 установили на доработанный биплан Р-5, на котором провели летные испытания. В октябре — ноябре 1932 г. проводились повторные государственные стендовые испытания с отечественными карбюраторами 92КД-3 (в серии обозначались К-34), в ходе которых выявили ряд дефектов. При этом был взят мотор 1-й серии, которая позже вся была забракована и использована для учебных целей. В третий раз госиспытания на стенде вели в январе 1933 г., и опять неудачно — двигатель разрушился. В октябре того же года М-34 проходил государственные летные испытания на бомбардировщике ТБ-3. В 1932 г. начали серийный выпуск нового двигателя на заводе № 24 (Москва), к концу года ВВС получили 64 мотора 2-й серии, признанной годной для опытной эксплуатации. За следующий, 1933 г., выпущено было уже 790 экз. В 1934 г. М-34 демонстрировался в Париже как одно из достижений советской авиации. М-34 выпускался на заводе № 24 в большом количестве модификаций. Авиационные моторы закончили вы</w:t>
      </w:r>
      <w:r w:rsidRPr="005E779E">
        <w:rPr>
          <w:rFonts w:ascii="Times New Roman" w:hAnsi="Times New Roman"/>
          <w:color w:val="000000" w:themeColor="text1"/>
          <w:sz w:val="16"/>
          <w:szCs w:val="16"/>
        </w:rPr>
        <w:softHyphen/>
        <w:t>пускать в 1940 г., далее в небольших количествах делали катерные до конца 1942 г. Производство двигателей для торпедных катеров неодно</w:t>
      </w:r>
      <w:r w:rsidRPr="005E779E">
        <w:rPr>
          <w:rFonts w:ascii="Times New Roman" w:hAnsi="Times New Roman"/>
          <w:color w:val="000000" w:themeColor="text1"/>
          <w:sz w:val="16"/>
          <w:szCs w:val="16"/>
        </w:rPr>
        <w:softHyphen/>
        <w:t>кратно пытались восстановить вплоть до 1946 г., но этому мешала боль</w:t>
      </w:r>
      <w:r w:rsidRPr="005E779E">
        <w:rPr>
          <w:rFonts w:ascii="Times New Roman" w:hAnsi="Times New Roman"/>
          <w:color w:val="000000" w:themeColor="text1"/>
          <w:sz w:val="16"/>
          <w:szCs w:val="16"/>
        </w:rPr>
        <w:softHyphen/>
        <w:t>шая загрузка заводов заказами ВВС. Всего было изготовлено 10 538 экз. Позднее различными мастерскими производилась сборка двигателей из комплектов запасных частей и восстановленных деталей. С 9 августа 1936 г. в ознаменование заслуг Микулина двигатель был переименован в АМ-34. Однако на практике и далее пользовались как старым, гак и новым обозначением. Специальные модификации двигателя М-34 применялись на танках, са</w:t>
      </w:r>
      <w:r w:rsidRPr="005E779E">
        <w:rPr>
          <w:rFonts w:ascii="Times New Roman" w:hAnsi="Times New Roman"/>
          <w:color w:val="000000" w:themeColor="text1"/>
          <w:sz w:val="16"/>
          <w:szCs w:val="16"/>
        </w:rPr>
        <w:softHyphen/>
        <w:t>моходных артиллерийских установках, торпедных катерах и речных броне</w:t>
      </w:r>
      <w:r w:rsidRPr="005E779E">
        <w:rPr>
          <w:rFonts w:ascii="Times New Roman" w:hAnsi="Times New Roman"/>
          <w:color w:val="000000" w:themeColor="text1"/>
          <w:sz w:val="16"/>
          <w:szCs w:val="16"/>
        </w:rPr>
        <w:softHyphen/>
        <w:t>катерах.</w:t>
      </w:r>
    </w:p>
    <w:p w14:paraId="3FB20C5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Характеристики:</w:t>
      </w:r>
    </w:p>
    <w:p w14:paraId="2C90303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12-цилиндровый, рядный У-образный, четырехтактный, водяного охлаждения;</w:t>
      </w:r>
    </w:p>
    <w:p w14:paraId="3297445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мощность и вес в зависимости от модификации;</w:t>
      </w:r>
    </w:p>
    <w:p w14:paraId="70258F9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степень сжатия 6,0 (у всех массовых модификаций);</w:t>
      </w:r>
    </w:p>
    <w:p w14:paraId="6C01EFA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диаметр цилиндра/ход поршня 160/190 (у модификации ФРН и более поздних в цилиндрах с прицепными шатунами — 196,7 мм);</w:t>
      </w:r>
    </w:p>
    <w:p w14:paraId="215430F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полный рабочий объем у ранних модификаций 45,82 л, начиная с</w:t>
      </w:r>
    </w:p>
    <w:p w14:paraId="35E63B7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ФРН — 46,66 л. М-34 выпускался в следующих модификациях:</w:t>
      </w:r>
    </w:p>
    <w:p w14:paraId="5C84C4C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М-34, первая серийная модификация двигателя, безредукторная, 750/800 л.с., 608 кг. Первые серии комплектовались импортными карбюраторами «Зенит 90Р», далее отечественными К-34. Эта моди</w:t>
      </w:r>
      <w:r w:rsidRPr="005E779E">
        <w:rPr>
          <w:rFonts w:ascii="Times New Roman" w:hAnsi="Times New Roman"/>
          <w:color w:val="000000" w:themeColor="text1"/>
          <w:sz w:val="16"/>
          <w:szCs w:val="16"/>
        </w:rPr>
        <w:softHyphen/>
        <w:t>фикация выпускалась до конца 1939 г.</w:t>
      </w:r>
    </w:p>
    <w:p w14:paraId="6C7E2A7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Спаренная установка из двух М-34 с работой на один винт, проект для самолета К-7.</w:t>
      </w:r>
    </w:p>
    <w:p w14:paraId="3F2FC9B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М-34Ф, малая серия М-34 с форсированием по оборотам без вне</w:t>
      </w:r>
      <w:r w:rsidRPr="005E779E">
        <w:rPr>
          <w:rFonts w:ascii="Times New Roman" w:hAnsi="Times New Roman"/>
          <w:color w:val="000000" w:themeColor="text1"/>
          <w:sz w:val="16"/>
          <w:szCs w:val="16"/>
        </w:rPr>
        <w:softHyphen/>
        <w:t>сения конструктивных изменений, только за счет регулировки, июнь 1933 г., 750/830 л.с.</w:t>
      </w:r>
    </w:p>
    <w:p w14:paraId="275AF5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М-34Р. редукторный вариант, вес 677 кг, 750/800 л.с. Опытный об</w:t>
      </w:r>
      <w:r w:rsidRPr="005E779E">
        <w:rPr>
          <w:rFonts w:ascii="Times New Roman" w:hAnsi="Times New Roman"/>
          <w:color w:val="000000" w:themeColor="text1"/>
          <w:sz w:val="16"/>
          <w:szCs w:val="16"/>
        </w:rPr>
        <w:softHyphen/>
        <w:t>разец сделали в ноябре 1932 г. Государственные испытания успешно</w:t>
      </w:r>
    </w:p>
    <w:p w14:paraId="677FB52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прошли в марте — мае 1933 г., серийный выпуск начали с конца того же года. 23 мая 1934 г. на повторных стендовых испытаниях получен ресурс в 500 ч. М-34Р в больших количествах выпускался до конца 1939 г.</w:t>
      </w:r>
    </w:p>
    <w:p w14:paraId="29555A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М-34РД (он же М-34РСп), двигатель типа М-34Р специального за</w:t>
      </w:r>
      <w:r w:rsidRPr="005E779E">
        <w:rPr>
          <w:rFonts w:ascii="Times New Roman" w:hAnsi="Times New Roman"/>
          <w:color w:val="000000" w:themeColor="text1"/>
          <w:sz w:val="16"/>
          <w:szCs w:val="16"/>
        </w:rPr>
        <w:softHyphen/>
        <w:t>каза для рекордных самолетов АНТ-25 (РД), выпущенный в 1934 г. Сделали 20 комплектов деталей, из которых собрали 15 моторов, а сдали 10. Они отличались новыми всасывающими патрубками, мас</w:t>
      </w:r>
      <w:r w:rsidRPr="005E779E">
        <w:rPr>
          <w:rFonts w:ascii="Times New Roman" w:hAnsi="Times New Roman"/>
          <w:color w:val="000000" w:themeColor="text1"/>
          <w:sz w:val="16"/>
          <w:szCs w:val="16"/>
        </w:rPr>
        <w:softHyphen/>
        <w:t>ляными и водяными насосами, распредвалами, конструкцией хво</w:t>
      </w:r>
      <w:r w:rsidRPr="005E779E">
        <w:rPr>
          <w:rFonts w:ascii="Times New Roman" w:hAnsi="Times New Roman"/>
          <w:color w:val="000000" w:themeColor="text1"/>
          <w:sz w:val="16"/>
          <w:szCs w:val="16"/>
        </w:rPr>
        <w:softHyphen/>
        <w:t>стовика коленвала, наличием второго бензонасоса, а также более качественным изготовлением деталей (по другой технологии), мень</w:t>
      </w:r>
      <w:r w:rsidRPr="005E779E">
        <w:rPr>
          <w:rFonts w:ascii="Times New Roman" w:hAnsi="Times New Roman"/>
          <w:color w:val="000000" w:themeColor="text1"/>
          <w:sz w:val="16"/>
          <w:szCs w:val="16"/>
        </w:rPr>
        <w:softHyphen/>
        <w:t>шими допусками, применением для уплотнений высококачественной резины, тщательной регулировкой и карбюраторами К-34РД. За счет небольшого форсирования по оборотам максимальную мощность по</w:t>
      </w:r>
      <w:r w:rsidRPr="005E779E">
        <w:rPr>
          <w:rFonts w:ascii="Times New Roman" w:hAnsi="Times New Roman"/>
          <w:color w:val="000000" w:themeColor="text1"/>
          <w:sz w:val="16"/>
          <w:szCs w:val="16"/>
        </w:rPr>
        <w:softHyphen/>
        <w:t>высили до 830 л.с. Делались два варианта: со степенями сжатия 6,0 и 6,7. Первоначально для большей надежности их хотели укомплек</w:t>
      </w:r>
      <w:r w:rsidRPr="005E779E">
        <w:rPr>
          <w:rFonts w:ascii="Times New Roman" w:hAnsi="Times New Roman"/>
          <w:color w:val="000000" w:themeColor="text1"/>
          <w:sz w:val="16"/>
          <w:szCs w:val="16"/>
        </w:rPr>
        <w:softHyphen/>
        <w:t>товать импортными агрегатами, но получили запрет ГУАП. Позднее выпустили еще около 50 таких моторов для «представительских» ТБ-3, на которых наносились визиты в столицы европейских госу</w:t>
      </w:r>
      <w:r w:rsidRPr="005E779E">
        <w:rPr>
          <w:rFonts w:ascii="Times New Roman" w:hAnsi="Times New Roman"/>
          <w:color w:val="000000" w:themeColor="text1"/>
          <w:sz w:val="16"/>
          <w:szCs w:val="16"/>
        </w:rPr>
        <w:softHyphen/>
        <w:t>дарств.</w:t>
      </w:r>
    </w:p>
    <w:p w14:paraId="4A75501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М-34Н, безредукторный с ПЦН, проектировался с 1931 г., 750/820 л.с. Первоначально планировали, что мотор пройдет госиспытания к 15 июня 1932 г. Но первый, двухскоростной, нагнетатель, спроекти</w:t>
      </w:r>
      <w:r w:rsidRPr="005E779E">
        <w:rPr>
          <w:rFonts w:ascii="Times New Roman" w:hAnsi="Times New Roman"/>
          <w:color w:val="000000" w:themeColor="text1"/>
          <w:sz w:val="16"/>
          <w:szCs w:val="16"/>
        </w:rPr>
        <w:softHyphen/>
        <w:t>рованный П.И. Орловым, А.А. Микулиным и А.Н. Данилевским, ока</w:t>
      </w:r>
      <w:r w:rsidRPr="005E779E">
        <w:rPr>
          <w:rFonts w:ascii="Times New Roman" w:hAnsi="Times New Roman"/>
          <w:color w:val="000000" w:themeColor="text1"/>
          <w:sz w:val="16"/>
          <w:szCs w:val="16"/>
        </w:rPr>
        <w:softHyphen/>
        <w:t>зался недостаточно надежным. Второй вариант ПЦН, односкоростной, создал Данилевский в ЦИАМ. Государственные испытания на двух опытных экземплярах провели в ноябре 1933 г., серия с сентября 1934 г. Нагнетатель выполнялся в виде отдельного съемного узла и мог монтироваться на моторы других модификаций. Введен карбю</w:t>
      </w:r>
      <w:r w:rsidRPr="005E779E">
        <w:rPr>
          <w:rFonts w:ascii="Times New Roman" w:hAnsi="Times New Roman"/>
          <w:color w:val="000000" w:themeColor="text1"/>
          <w:sz w:val="16"/>
          <w:szCs w:val="16"/>
        </w:rPr>
        <w:softHyphen/>
        <w:t>ратор К-34Б, устанавливавшийся впоследствии на все модификации с ПЦН. Проектировался облегченный вариант (560 кг) с картером из магниевого сплава. В дальнейшем ПЦН хотели сделать отключаемым. В 1934 г. вели переговоры с французскими фирмами «Испано-Сюиза» и «Фарман» о проектировании нового ПЦН для М-34Н. Пытались также приобрести нагнетатели «Рато» (М-34РАТО).</w:t>
      </w:r>
    </w:p>
    <w:p w14:paraId="118DD38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М-34Н с паротурбинным нагнетателем ПТК; нагнетатель ПТК спро</w:t>
      </w:r>
      <w:r w:rsidRPr="005E779E">
        <w:rPr>
          <w:rFonts w:ascii="Times New Roman" w:hAnsi="Times New Roman"/>
          <w:color w:val="000000" w:themeColor="text1"/>
          <w:sz w:val="16"/>
          <w:szCs w:val="16"/>
        </w:rPr>
        <w:softHyphen/>
        <w:t>ектирован в ХАЙ в 1938 г., доводился в Центральном котлотурбин-ном институте с 1939 г., в 1940 г. двигатель проходил стендовые и летные испытания; серийно не выпускался.</w:t>
      </w:r>
    </w:p>
    <w:p w14:paraId="08F8A7B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 М-34Н с нагнетателем</w:t>
      </w:r>
    </w:p>
    <w:p w14:paraId="4647619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М-34РН, редукторный с ПЦН, малая серия, 750/820 л.с., вес 737,5 кг. По плану предполагалось представить опытный образец на госиспытания к 1 декабря 1932 г. Фактически же первый М-34РН начал заводские ис</w:t>
      </w:r>
      <w:r w:rsidRPr="005E779E">
        <w:rPr>
          <w:rFonts w:ascii="Times New Roman" w:hAnsi="Times New Roman"/>
          <w:color w:val="000000" w:themeColor="text1"/>
          <w:sz w:val="16"/>
          <w:szCs w:val="16"/>
        </w:rPr>
        <w:softHyphen/>
        <w:t>пытания 1 мая 1934 г. Его усовершенствованный вариант предъявили на госиспытания в сентябре, но они закончились неудачно — прогорели поршни. Нагнетатель идентичен использовавшемуся в М-34Н. М-34НА, усовершенствованный вариант М-34Н; мелкие изменения отдельных деталей для увеличения ресурса; 750/820 л.с. М-34РА, аналогичный предыдущей модификации вариант М-34Р с редуктором; 750/820 л.с.</w:t>
      </w:r>
    </w:p>
    <w:p w14:paraId="3B76A6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М-34РНА, редукторный с ПЦН, включал все мелкие усовер</w:t>
      </w:r>
      <w:r w:rsidRPr="005E779E">
        <w:rPr>
          <w:rFonts w:ascii="Times New Roman" w:hAnsi="Times New Roman"/>
          <w:color w:val="000000" w:themeColor="text1"/>
          <w:sz w:val="16"/>
          <w:szCs w:val="16"/>
        </w:rPr>
        <w:softHyphen/>
        <w:t>шенствования, введенные на типах НА и РА, 750/820 л.с., вес 748 кг. Испытывался на ТБ-3 в мае 1935 г., серия с конца 1935 г. У ранних серий М-34РНА клапаны имели масляное охлаждение.</w:t>
      </w:r>
    </w:p>
    <w:p w14:paraId="51E7307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М-34НБ, усовершенствованный вариант типа НА с ужесточенным картером, облегченным коленвалом с измененным носком, дорабо</w:t>
      </w:r>
      <w:r w:rsidRPr="005E779E">
        <w:rPr>
          <w:rFonts w:ascii="Times New Roman" w:hAnsi="Times New Roman"/>
          <w:color w:val="000000" w:themeColor="text1"/>
          <w:sz w:val="16"/>
          <w:szCs w:val="16"/>
        </w:rPr>
        <w:softHyphen/>
        <w:t>танным ПЦН, 750/820 л.с., вес 638 кг.</w:t>
      </w:r>
    </w:p>
    <w:p w14:paraId="2D3B51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М-34Н2Б с двумя турбонагнетателями ТК-1 и ПЦН от серийного М-34РН. Новые кованые поршни, четыре карбюратора К-4. Степень сжатия 7,0, мощность по документации 760/950 л.с. (реально полу</w:t>
      </w:r>
      <w:r w:rsidRPr="005E779E">
        <w:rPr>
          <w:rFonts w:ascii="Times New Roman" w:hAnsi="Times New Roman"/>
          <w:color w:val="000000" w:themeColor="text1"/>
          <w:sz w:val="16"/>
          <w:szCs w:val="16"/>
        </w:rPr>
        <w:softHyphen/>
        <w:t>чили 789/1033 л.с.), вес сухой без генератора 689 кг. Испытывался в июле — сентябре 1938 г. на опытном самолете РШ; испытания пре</w:t>
      </w:r>
      <w:r w:rsidRPr="005E779E">
        <w:rPr>
          <w:rFonts w:ascii="Times New Roman" w:hAnsi="Times New Roman"/>
          <w:color w:val="000000" w:themeColor="text1"/>
          <w:sz w:val="16"/>
          <w:szCs w:val="16"/>
        </w:rPr>
        <w:softHyphen/>
        <w:t>кращены из-за неоднократного обрыва лопаток турбины. М-34РНБ, аналогичный типу НБ редукторный вариант с облегченным по сравнению с РНА редуктором, 750/820 л.с., вес 725 кг. Существовал также его опытный вариант с двумя турбонагнетателя</w:t>
      </w:r>
      <w:r w:rsidRPr="005E779E">
        <w:rPr>
          <w:rFonts w:ascii="Times New Roman" w:hAnsi="Times New Roman"/>
          <w:color w:val="000000" w:themeColor="text1"/>
          <w:sz w:val="16"/>
          <w:szCs w:val="16"/>
        </w:rPr>
        <w:softHyphen/>
        <w:t>ми ТК-1, спроектированный В.И. Дмитриевским. М-34РНБ серийно выпускался с октября 1935 г. до конца 1939 г. В ноябре 1939 г. ис</w:t>
      </w:r>
      <w:r w:rsidRPr="005E779E">
        <w:rPr>
          <w:rFonts w:ascii="Times New Roman" w:hAnsi="Times New Roman"/>
          <w:color w:val="000000" w:themeColor="text1"/>
          <w:sz w:val="16"/>
          <w:szCs w:val="16"/>
        </w:rPr>
        <w:softHyphen/>
        <w:t>пытывался вариант этого мотора, форсированный до 900/1000 л.с. М-34П, вариант М-34РН с установкой пушки в развале цилиндров со стрельбой через полый вал редуктора. Задание было выдано в августе 1934 г. Информации о постройке опытных образцов нет. Установка из двух М-34, из которых один работал на винт, а вто</w:t>
      </w:r>
      <w:r w:rsidRPr="005E779E">
        <w:rPr>
          <w:rFonts w:ascii="Times New Roman" w:hAnsi="Times New Roman"/>
          <w:color w:val="000000" w:themeColor="text1"/>
          <w:sz w:val="16"/>
          <w:szCs w:val="16"/>
        </w:rPr>
        <w:softHyphen/>
        <w:t>рой вращал мощный нагнетатель. Проектировалась в марте 1934 г. в Военно-воздушной академии для стратосферного самолета. М-34, работавший на топливе с добавкой газообразного водорода, ис</w:t>
      </w:r>
      <w:r w:rsidRPr="005E779E">
        <w:rPr>
          <w:rFonts w:ascii="Times New Roman" w:hAnsi="Times New Roman"/>
          <w:color w:val="000000" w:themeColor="text1"/>
          <w:sz w:val="16"/>
          <w:szCs w:val="16"/>
        </w:rPr>
        <w:softHyphen/>
        <w:t>пытывался в ЦИАМ во второй половине 30-х годов. М-34СО, опытный образец, испытывавшийся в марте 1936 г. со сме</w:t>
      </w:r>
      <w:r w:rsidRPr="005E779E">
        <w:rPr>
          <w:rFonts w:ascii="Times New Roman" w:hAnsi="Times New Roman"/>
          <w:color w:val="000000" w:themeColor="text1"/>
          <w:sz w:val="16"/>
          <w:szCs w:val="16"/>
        </w:rPr>
        <w:softHyphen/>
        <w:t>шанным охлаждением: гильзы — воздухом, головки — этиленглико-лем. На испытаниях получена мощность 1050 л.с. М-34РСО, проект 1937 г., развитие преды</w:t>
      </w:r>
      <w:r w:rsidRPr="005E779E">
        <w:rPr>
          <w:rFonts w:ascii="Times New Roman" w:hAnsi="Times New Roman"/>
          <w:color w:val="000000" w:themeColor="text1"/>
          <w:sz w:val="16"/>
          <w:szCs w:val="16"/>
        </w:rPr>
        <w:softHyphen/>
        <w:t>дущего типа с редуктором, 1050/1200 л.с. М-34НВ, опытный, с непосредственным впрыском топлива, 985 л.с. Система впры</w:t>
      </w:r>
      <w:r w:rsidRPr="005E779E">
        <w:rPr>
          <w:rFonts w:ascii="Times New Roman" w:hAnsi="Times New Roman"/>
          <w:color w:val="000000" w:themeColor="text1"/>
          <w:sz w:val="16"/>
          <w:szCs w:val="16"/>
        </w:rPr>
        <w:softHyphen/>
        <w:t xml:space="preserve">ска создана С.А. Косбергом и Н.П. Сер-дюковым в ЦИАМ в 1934 г. Двигатель прошел 60-часовые стендовые испытания в 1935 г. и летные испытания </w:t>
      </w:r>
      <w:r w:rsidRPr="005E779E">
        <w:rPr>
          <w:rFonts w:ascii="Times New Roman" w:hAnsi="Times New Roman"/>
          <w:color w:val="000000" w:themeColor="text1"/>
          <w:sz w:val="16"/>
          <w:szCs w:val="16"/>
        </w:rPr>
        <w:lastRenderedPageBreak/>
        <w:t>на Р-Зет и ТБ-3 в 1937 г. Серийно не выпускался. М-34РНВ, опытный образец, аналогичен предыдущему типу, но оснащался пони</w:t>
      </w:r>
      <w:r w:rsidRPr="005E779E">
        <w:rPr>
          <w:rFonts w:ascii="Times New Roman" w:hAnsi="Times New Roman"/>
          <w:color w:val="000000" w:themeColor="text1"/>
          <w:sz w:val="16"/>
          <w:szCs w:val="16"/>
        </w:rPr>
        <w:softHyphen/>
        <w:t>жающим редуктором. М-34РНВ-ТК (он же М-34НРВ-ТК), опытный, отличался от предыдущего типа установкой турбонагнетателей ТК-1, 700/850 л.с., вес проектный 810 кг, конец 1938 г.</w:t>
      </w:r>
    </w:p>
    <w:p w14:paraId="57C38F6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М-34 для привода агрегата центрального наддува АЦН-1, сконструи</w:t>
      </w:r>
      <w:r w:rsidRPr="005E779E">
        <w:rPr>
          <w:rFonts w:ascii="Times New Roman" w:hAnsi="Times New Roman"/>
          <w:color w:val="000000" w:themeColor="text1"/>
          <w:sz w:val="16"/>
          <w:szCs w:val="16"/>
        </w:rPr>
        <w:softHyphen/>
        <w:t>рованного под руководством С.А. Трескина в 1935 г. Проходил лет</w:t>
      </w:r>
      <w:r w:rsidRPr="005E779E">
        <w:rPr>
          <w:rFonts w:ascii="Times New Roman" w:hAnsi="Times New Roman"/>
          <w:color w:val="000000" w:themeColor="text1"/>
          <w:sz w:val="16"/>
          <w:szCs w:val="16"/>
        </w:rPr>
        <w:softHyphen/>
        <w:t>ные испытания на ТБ-3.</w:t>
      </w:r>
    </w:p>
    <w:p w14:paraId="046117C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М-34ФРН (он же М-34РФН и М-34РНФ), форсированный вариант М-34РН. В январе 1935 г. проходил госиспытания, но был снят из-за неполадок. Выпущена малая серия в 1935 г., доводился до весны 1938 г. По проекту мощность 1050/1200 л.с., фактически 900/1200 л.с. Усилены коленвал, редуктор, картер, введено боковое сочленение ша</w:t>
      </w:r>
      <w:r w:rsidRPr="005E779E">
        <w:rPr>
          <w:rFonts w:ascii="Times New Roman" w:hAnsi="Times New Roman"/>
          <w:color w:val="000000" w:themeColor="text1"/>
          <w:sz w:val="16"/>
          <w:szCs w:val="16"/>
        </w:rPr>
        <w:softHyphen/>
        <w:t>тунов, измененная система смазки, усовершенствованный ПЦН, новый механизм газораспределения, карбюраторы установлены после ПЦН (ранее стоял один карбюратор до ПЦН); рабочий объем 46,66 л, вес 735 кг. В 1937 г. опытный образец М-34ФРН выставлялся на авиаса</w:t>
      </w:r>
      <w:r w:rsidRPr="005E779E">
        <w:rPr>
          <w:rFonts w:ascii="Times New Roman" w:hAnsi="Times New Roman"/>
          <w:color w:val="000000" w:themeColor="text1"/>
          <w:sz w:val="16"/>
          <w:szCs w:val="16"/>
        </w:rPr>
        <w:softHyphen/>
        <w:t>лоне в Париже. В 1938 г. была выпущена небольшая серия М-34ФРН с турбонаддувом (М-34РНФТ, с двумя ТК-1), 1017 л.с./'1200 л.с. (по другим данным — 750/1200 л.с.), вес (проектный) 690 кг (по другим данным — 810 кг). Такие моторы проходили летные испытания на самолете ДБ-А.</w:t>
      </w:r>
    </w:p>
    <w:p w14:paraId="1BD9A0A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М-34ФРНУ, проект форсированного до 900 л.с. М-34РН с удлинен</w:t>
      </w:r>
      <w:r w:rsidRPr="005E779E">
        <w:rPr>
          <w:rFonts w:ascii="Times New Roman" w:hAnsi="Times New Roman"/>
          <w:color w:val="000000" w:themeColor="text1"/>
          <w:sz w:val="16"/>
          <w:szCs w:val="16"/>
        </w:rPr>
        <w:softHyphen/>
        <w:t>ным валом, 1933 г.</w:t>
      </w:r>
    </w:p>
    <w:p w14:paraId="06F425F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М-34ФРНА, массовая серия на базе типа ФРН с четырьмя карбюра</w:t>
      </w:r>
      <w:r w:rsidRPr="005E779E">
        <w:rPr>
          <w:rFonts w:ascii="Times New Roman" w:hAnsi="Times New Roman"/>
          <w:color w:val="000000" w:themeColor="text1"/>
          <w:sz w:val="16"/>
          <w:szCs w:val="16"/>
        </w:rPr>
        <w:softHyphen/>
        <w:t>торами.</w:t>
      </w:r>
    </w:p>
    <w:p w14:paraId="5F6066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М-34ФРНБ, массовая серия на базе типа ФРН с шестью карбюрато</w:t>
      </w:r>
      <w:r w:rsidRPr="005E779E">
        <w:rPr>
          <w:rFonts w:ascii="Times New Roman" w:hAnsi="Times New Roman"/>
          <w:color w:val="000000" w:themeColor="text1"/>
          <w:sz w:val="16"/>
          <w:szCs w:val="16"/>
        </w:rPr>
        <w:softHyphen/>
        <w:t>рами. В феврале 1937 г. проходил госиспытания вариант М-34ФРНБ (РФНБ) с карбюратором К-85, усиленным картером и облегченным редуктором, мощностью 1000/1050 л.с. Малой серией также был вы</w:t>
      </w:r>
      <w:r w:rsidRPr="005E779E">
        <w:rPr>
          <w:rFonts w:ascii="Times New Roman" w:hAnsi="Times New Roman"/>
          <w:color w:val="000000" w:themeColor="text1"/>
          <w:sz w:val="16"/>
          <w:szCs w:val="16"/>
        </w:rPr>
        <w:softHyphen/>
        <w:t>пущен вариант, рассчитанный на применение агрегата центрального наддува АЦН-2, созданного в ЦИАМ под руководством К.В. Минк-нера. АЦН-2 приводился в действие дополнительным мотором М-100 и обеспечивал наддув одновременно четырех М-34ФРНБ; мотоуста</w:t>
      </w:r>
      <w:r w:rsidRPr="005E779E">
        <w:rPr>
          <w:rFonts w:ascii="Times New Roman" w:hAnsi="Times New Roman"/>
          <w:color w:val="000000" w:themeColor="text1"/>
          <w:sz w:val="16"/>
          <w:szCs w:val="16"/>
        </w:rPr>
        <w:softHyphen/>
        <w:t>новка из четырех М-34ФРНБ и АЦН-2 испытывалась на опытном образце бомбардировщика ТБ-7 зимой и весной 1938 г. М-34ФРН с испарительным охлаждением; разрабатывался с начала 1935 г. в ЦИАМ Р.И. Бартошем, в 1936 г. изготовлена небольшая серия для опытного истребителя И-21. Двигатель имел повышающий редуктор и нестандартный нижний картер с герметическим сквозным каналом для прохода трубы лонжерона центроплана. В начале 1937 г. совершено несколько полетов на опытном образце И-21. М-34ФРНВ, дальнейшее развитие М-34ФРНБ, 1050/1200 л.с. Спроек</w:t>
      </w:r>
      <w:r w:rsidRPr="005E779E">
        <w:rPr>
          <w:rFonts w:ascii="Times New Roman" w:hAnsi="Times New Roman"/>
          <w:color w:val="000000" w:themeColor="text1"/>
          <w:sz w:val="16"/>
          <w:szCs w:val="16"/>
        </w:rPr>
        <w:softHyphen/>
        <w:t>тирован с тремя вариантами редуктора и двумя типами ПЦН. Впер</w:t>
      </w:r>
      <w:r w:rsidRPr="005E779E">
        <w:rPr>
          <w:rFonts w:ascii="Times New Roman" w:hAnsi="Times New Roman"/>
          <w:color w:val="000000" w:themeColor="text1"/>
          <w:sz w:val="16"/>
          <w:szCs w:val="16"/>
        </w:rPr>
        <w:softHyphen/>
        <w:t>вые выставлен на госиспытания в декабре 1937 г. (с весом 749 кг), но на испытаниях разрушился. По сравнению с М-34ФРНБ имел</w:t>
      </w:r>
    </w:p>
    <w:p w14:paraId="103B59E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измененный картер, бронзовые (с покрытием свинцовистой бронзой, а не баббитом) вкладыши коренных опор с гиперболической расточкой, кожуха над клапанным механизмом из магниевого сплава, иной комплект агрега</w:t>
      </w:r>
      <w:r w:rsidRPr="005E779E">
        <w:rPr>
          <w:rFonts w:ascii="Times New Roman" w:hAnsi="Times New Roman"/>
          <w:color w:val="000000" w:themeColor="text1"/>
          <w:sz w:val="16"/>
          <w:szCs w:val="16"/>
        </w:rPr>
        <w:softHyphen/>
        <w:t>тов, удлиненный носок редуктора, усиленный коленвал с измененной схе</w:t>
      </w:r>
      <w:r w:rsidRPr="005E779E">
        <w:rPr>
          <w:rFonts w:ascii="Times New Roman" w:hAnsi="Times New Roman"/>
          <w:color w:val="000000" w:themeColor="text1"/>
          <w:sz w:val="16"/>
          <w:szCs w:val="16"/>
        </w:rPr>
        <w:softHyphen/>
        <w:t>мой смазки и четыре карбюратора К-4. В апреле 1938 г. был выставлен повторно с усилением ряда деталей (вес поднялся до 763,5 кг при 740 кг по заданию) и удовлетворительно отработал 100 ч. После этого заказали опытную серию из 50 двигателей. Серийное производство М-34ФРНВ велось в 1939-1940 гг. В мае — июне 1938 г. испытывался вариант М-34ФРНВ с непосредственным впрыском топлива (1050/1200 л.с., вес 810 кг). Последняя крупносерийная модификация М-34.</w:t>
      </w:r>
    </w:p>
    <w:p w14:paraId="4FF3EEA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М-34НФ, опытный вариант с блоками от модификации ФРНВ, допол</w:t>
      </w:r>
      <w:r w:rsidRPr="005E779E">
        <w:rPr>
          <w:rFonts w:ascii="Times New Roman" w:hAnsi="Times New Roman"/>
          <w:color w:val="000000" w:themeColor="text1"/>
          <w:sz w:val="16"/>
          <w:szCs w:val="16"/>
        </w:rPr>
        <w:softHyphen/>
        <w:t>нительными масло- и бензонасосом, форсирован по "оборотам, имел ПЦН и два турбонагнетателя ТК-1. Карбюраторы К-4 установлены после ПЦН. Мощность 787/985 л.с., степень сжатия 7,0, испытывался в 1938-1939 гг. на самолетах Р-Зет и ТБ-3.</w:t>
      </w:r>
    </w:p>
    <w:p w14:paraId="5C17FF7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М-34ФРНВ-ТК, вариант предыдущего типа. Имел два турбонагнетате</w:t>
      </w:r>
      <w:r w:rsidRPr="005E779E">
        <w:rPr>
          <w:rFonts w:ascii="Times New Roman" w:hAnsi="Times New Roman"/>
          <w:color w:val="000000" w:themeColor="text1"/>
          <w:sz w:val="16"/>
          <w:szCs w:val="16"/>
        </w:rPr>
        <w:softHyphen/>
        <w:t>ля ТК-1. Вес по проекту (с турбонагнетателями) 850 кг, 950/1200 л.с. Испытывался в сентябре 1939 г.</w:t>
      </w:r>
    </w:p>
    <w:p w14:paraId="1FB0874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М-34ФРГН, подробности неизвестны.</w:t>
      </w:r>
    </w:p>
    <w:p w14:paraId="5242326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М-34РБ, в 1938-1939 гг. переделывались из М-34РНБ путем демон</w:t>
      </w:r>
      <w:r w:rsidRPr="005E779E">
        <w:rPr>
          <w:rFonts w:ascii="Times New Roman" w:hAnsi="Times New Roman"/>
          <w:color w:val="000000" w:themeColor="text1"/>
          <w:sz w:val="16"/>
          <w:szCs w:val="16"/>
        </w:rPr>
        <w:softHyphen/>
        <w:t>тажа ПЦН для повышения надежности и увеличения реечрса.</w:t>
      </w:r>
    </w:p>
    <w:p w14:paraId="5093F56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 М-34РБ</w:t>
      </w:r>
    </w:p>
    <w:p w14:paraId="573955E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Катерный мотор ГМ-34 (ГАМ-34)</w:t>
      </w:r>
    </w:p>
    <w:p w14:paraId="4DA1DD6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ГМ-34, двигатель для торпедных катеров с реверс-редуктором, муф</w:t>
      </w:r>
      <w:r w:rsidRPr="005E779E">
        <w:rPr>
          <w:rFonts w:ascii="Times New Roman" w:hAnsi="Times New Roman"/>
          <w:color w:val="000000" w:themeColor="text1"/>
          <w:sz w:val="16"/>
          <w:szCs w:val="16"/>
        </w:rPr>
        <w:softHyphen/>
        <w:t>той свободного хода, измененными системами охлаждения (забортной водой) и выхлопной. Разрабатывался В.М. Яковлевым с 1932 г. По плану планировалось представить на госиспытания к 1 октября 1932 г.]</w:t>
      </w:r>
    </w:p>
    <w:p w14:paraId="55B6B73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1932 г. пару опытных двигателей установили на торпед</w:t>
      </w:r>
      <w:r w:rsidRPr="005E779E">
        <w:rPr>
          <w:rFonts w:ascii="Times New Roman" w:hAnsi="Times New Roman"/>
          <w:color w:val="000000" w:themeColor="text1"/>
          <w:sz w:val="16"/>
          <w:szCs w:val="16"/>
        </w:rPr>
        <w:softHyphen/>
        <w:t>ный катер. Государственные испытания на нем завершились в августе 1934 г. С того же года мотор выпускался серийно, 750/800 л.с., вес 864 кг (с реверс-муфтой и коллекторами 1000 кг).</w:t>
      </w:r>
    </w:p>
    <w:p w14:paraId="5DA099A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ГМ-34Ф, усовершенствованный вариант предыдущего типа. Имел коренные вкладыши из бронзы, коленвал, головки блоков и часть агрегатов от М-34ФРНВ. Степень сжатия 7,3. Строился серийно, 800/1000 л.с., вес 1080 кг. Работал на бензин-спиртовой .смеси.</w:t>
      </w:r>
    </w:p>
    <w:p w14:paraId="75340E4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ГМ-34ФН, вариант ГМ-34Ф с ПЦН ФН-25 и одним карбюратором К-4. Маслосистема по типу ГАМ-34БС. Степень сжатия 6,0, мощ</w:t>
      </w:r>
      <w:r w:rsidRPr="005E779E">
        <w:rPr>
          <w:rFonts w:ascii="Times New Roman" w:hAnsi="Times New Roman"/>
          <w:color w:val="000000" w:themeColor="text1"/>
          <w:sz w:val="16"/>
          <w:szCs w:val="16"/>
        </w:rPr>
        <w:softHyphen/>
        <w:t>ность 1200 л.с., вес 1110 кг. Работал на бензин-спиртовой смеси. Се</w:t>
      </w:r>
      <w:r w:rsidRPr="005E779E">
        <w:rPr>
          <w:rFonts w:ascii="Times New Roman" w:hAnsi="Times New Roman"/>
          <w:color w:val="000000" w:themeColor="text1"/>
          <w:sz w:val="16"/>
          <w:szCs w:val="16"/>
        </w:rPr>
        <w:softHyphen/>
        <w:t>рийно выпускался с августа 1939 г.</w:t>
      </w:r>
    </w:p>
    <w:p w14:paraId="6914E63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ГМ-34БП, вариант для речных бронекатеров с реверс-редуктором, 800 л.с., выпускался серийно.</w:t>
      </w:r>
    </w:p>
    <w:p w14:paraId="61D0311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ГМ-34БС, усовершенствованный вариант предыдущего типа, 850 л.с., выпускался серийно до 1943 г. Работал на бензин-спиртовой смеси. Вес 1045 кг.</w:t>
      </w:r>
    </w:p>
    <w:p w14:paraId="0AF7C47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ГМ-34БТ. вариант для танков на базе катерного с измененной си</w:t>
      </w:r>
      <w:r w:rsidRPr="005E779E">
        <w:rPr>
          <w:rFonts w:ascii="Times New Roman" w:hAnsi="Times New Roman"/>
          <w:color w:val="000000" w:themeColor="text1"/>
          <w:sz w:val="16"/>
          <w:szCs w:val="16"/>
        </w:rPr>
        <w:softHyphen/>
        <w:t>стемой охлаждения, вентилятором принудительного обдува, новым редуктором; мощность 850 л.с. Имел электростартер вместо пневмо-пуска. Выпускался малой серией в 1939 г.</w:t>
      </w:r>
    </w:p>
    <w:p w14:paraId="5E38571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Моторы семейства М-34 (АМ-34) устанавливались на серийных самолетах ТБ-3, КР-6, Р-Зет, АНТ-25 (РД, ДБ-1), МБР-2, МТБ-1, ТБ-7 (Пе-8, первая малая серия), ДБ-А, опытных ЛР, ТШ-3, МИ-ЗД, Т-1 (АНТ-41), ТБ-4, К-7, МГ (АНТ-20), ПС-124, И-21 (ЦКБ-32, с паровым охлаждением), ПИ (не до</w:t>
      </w:r>
      <w:r w:rsidRPr="005E779E">
        <w:rPr>
          <w:rFonts w:ascii="Times New Roman" w:hAnsi="Times New Roman"/>
          <w:color w:val="000000" w:themeColor="text1"/>
          <w:sz w:val="16"/>
          <w:szCs w:val="16"/>
        </w:rPr>
        <w:softHyphen/>
        <w:t>строен), К-13, МК-1, «Сталь-МАИ», МИ-3. Их применение также предусма</w:t>
      </w:r>
      <w:r w:rsidRPr="005E779E">
        <w:rPr>
          <w:rFonts w:ascii="Times New Roman" w:hAnsi="Times New Roman"/>
          <w:color w:val="000000" w:themeColor="text1"/>
          <w:sz w:val="16"/>
          <w:szCs w:val="16"/>
        </w:rPr>
        <w:softHyphen/>
        <w:t>тривалось в проектах ТБ-6, «Сталь-5», АНТ-15, ТШ-Б (АНТ-17 и АНТ-18), ВИТ-2, АНТ-51 (СЗ), бронированного штурмовика Самсонова и Доброволь</w:t>
      </w:r>
      <w:r w:rsidRPr="005E779E">
        <w:rPr>
          <w:rFonts w:ascii="Times New Roman" w:hAnsi="Times New Roman"/>
          <w:color w:val="000000" w:themeColor="text1"/>
          <w:sz w:val="16"/>
          <w:szCs w:val="16"/>
        </w:rPr>
        <w:softHyphen/>
        <w:t>ского на гусеничном ходу (на базе ТШ-2), танка-вертолета Камова.</w:t>
      </w:r>
    </w:p>
    <w:p w14:paraId="32726CC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Моторы типа ГМ-34 (ГАМ-34) монтировались на торпедных катерах Г-5 (серийно строились до 1943 г.), Г-6, Г-8, СМ-4 (построено по одному катеру), закладывались в проекты катеров Г-9 и Г-10, а также на речных бронекатерах проектов 1124 и 1125 (массово строились до 1944 г.).</w:t>
      </w:r>
    </w:p>
    <w:p w14:paraId="6AC4743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Танковые моторы ГМ-34БТ (ГАМ-34БТ) устанавливались на опытных танках Т-100 и СМК, проходивших войсковые испытания на фронте во время войны с Финляндией зимой 1940 г., а также опытном самоходном орудии СУ-100у («Игрек», 1940 г.), применявшемся в боях под Москвой зимой 1941 г. (11952)</w:t>
      </w:r>
    </w:p>
    <w:p w14:paraId="0DAC803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BE69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апреле 1931 был закончен проектированием нагнетатель для М-34Н (2281,66).</w:t>
      </w:r>
    </w:p>
    <w:p w14:paraId="7CD32F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CCFB4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апреле 1931 закончились 50 час. гос. испытания мотора ФЭД-3 (2356).</w:t>
      </w:r>
    </w:p>
    <w:p w14:paraId="574B8F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FF8F8D9" w14:textId="77777777" w:rsidR="00831B45" w:rsidRPr="005E779E" w:rsidRDefault="00831B45" w:rsidP="00831B4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апреле 1931 г. ФЭД-3, оснащенный односкоростным ПЦН, после двух заводских испытаний, во время которых на одном экзем</w:t>
      </w:r>
      <w:r w:rsidRPr="005E779E">
        <w:rPr>
          <w:rFonts w:ascii="Times New Roman" w:hAnsi="Times New Roman"/>
          <w:color w:val="000000" w:themeColor="text1"/>
          <w:sz w:val="16"/>
          <w:szCs w:val="16"/>
        </w:rPr>
        <w:softHyphen/>
        <w:t>пляре оборвался главный шатун, предъявили на государственные испытания, которые проходили до июня 1931. Их проводили на стенде 6-го отделения НИИ ВВС. Хотя максимальная мощность оказалась выше расчетной, номинальная не до</w:t>
      </w:r>
      <w:r w:rsidRPr="005E779E">
        <w:rPr>
          <w:rFonts w:ascii="Times New Roman" w:hAnsi="Times New Roman"/>
          <w:color w:val="000000" w:themeColor="text1"/>
          <w:sz w:val="16"/>
          <w:szCs w:val="16"/>
        </w:rPr>
        <w:softHyphen/>
        <w:t>ходила до заданного уровня почти на 100 л.с. Через 25 часов пришлось заменить все шатунные вкладыши. Двигатель признали неудовлетвори</w:t>
      </w:r>
      <w:r w:rsidRPr="005E779E">
        <w:rPr>
          <w:rFonts w:ascii="Times New Roman" w:hAnsi="Times New Roman"/>
          <w:color w:val="000000" w:themeColor="text1"/>
          <w:sz w:val="16"/>
          <w:szCs w:val="16"/>
        </w:rPr>
        <w:softHyphen/>
        <w:t>тельным. После передачи задания по ФЭД в ИАМ там долго не могли подобрать специалиста, который взялся бы за его доводку. Фактически больше им по-настоящему не занимались. Вскоре интерес к мотору пропал, и его исключили из плановых документов.</w:t>
      </w:r>
    </w:p>
    <w:p w14:paraId="0D6F86AC" w14:textId="77777777" w:rsidR="00831B45" w:rsidRPr="005E779E" w:rsidRDefault="00831B45" w:rsidP="00831B4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Характеристики ФЭД-3:</w:t>
      </w:r>
    </w:p>
    <w:p w14:paraId="0A8E2AA9" w14:textId="77777777" w:rsidR="00831B45" w:rsidRPr="005E779E" w:rsidRDefault="00831B45" w:rsidP="00831B4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24-цилиндровый, рядный Х-образ</w:t>
      </w:r>
      <w:r w:rsidRPr="005E779E">
        <w:rPr>
          <w:rFonts w:ascii="Times New Roman" w:hAnsi="Times New Roman"/>
          <w:color w:val="000000" w:themeColor="text1"/>
          <w:sz w:val="16"/>
          <w:szCs w:val="16"/>
        </w:rPr>
        <w:softHyphen/>
        <w:t>ный, четырехтактный, водяно</w:t>
      </w:r>
      <w:r w:rsidRPr="005E779E">
        <w:rPr>
          <w:rFonts w:ascii="Times New Roman" w:hAnsi="Times New Roman"/>
          <w:color w:val="000000" w:themeColor="text1"/>
          <w:sz w:val="16"/>
          <w:szCs w:val="16"/>
        </w:rPr>
        <w:softHyphen/>
        <w:t>го охлаждения;</w:t>
      </w:r>
    </w:p>
    <w:p w14:paraId="0B075563" w14:textId="77777777" w:rsidR="00831B45" w:rsidRPr="005E779E" w:rsidRDefault="00831B45" w:rsidP="00831B4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безредукторный;</w:t>
      </w:r>
    </w:p>
    <w:p w14:paraId="33636F16" w14:textId="77777777" w:rsidR="00831B45" w:rsidRPr="005E779E" w:rsidRDefault="00831B45" w:rsidP="00831B4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с односкоростным ПЦН;</w:t>
      </w:r>
    </w:p>
    <w:p w14:paraId="08A97AB5" w14:textId="77777777" w:rsidR="00831B45" w:rsidRPr="005E779E" w:rsidRDefault="00831B45" w:rsidP="00831B45">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диаметр цилиндра/ход поршня 135/160 мм;</w:t>
      </w:r>
    </w:p>
    <w:p w14:paraId="68D531D1" w14:textId="77777777" w:rsidR="00831B45" w:rsidRPr="005E779E" w:rsidRDefault="00831B45" w:rsidP="00831B4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объем 55,0 л;</w:t>
      </w:r>
    </w:p>
    <w:p w14:paraId="55E50461" w14:textId="77777777" w:rsidR="00831B45" w:rsidRPr="005E779E" w:rsidRDefault="00831B45" w:rsidP="00831B4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мощность по проекту 900/1050 л.с., фактически 813/1170 л.с.;</w:t>
      </w:r>
    </w:p>
    <w:p w14:paraId="4DE5D4D4" w14:textId="77777777" w:rsidR="00831B45" w:rsidRPr="005E779E" w:rsidRDefault="00831B45" w:rsidP="00831B4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степень сжатия 6,8;</w:t>
      </w:r>
    </w:p>
    <w:p w14:paraId="0522AFD2" w14:textId="77777777" w:rsidR="00831B45" w:rsidRPr="005E779E" w:rsidRDefault="00831B45" w:rsidP="00831B4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вес 851 кг (с втулкой винта), по проекту вес 830 кг.</w:t>
      </w:r>
    </w:p>
    <w:p w14:paraId="1EBFC6DC" w14:textId="77777777" w:rsidR="00831B45" w:rsidRPr="005E779E" w:rsidRDefault="00831B45" w:rsidP="00831B4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самолетах не устанавливался, но его использование предусматрива</w:t>
      </w:r>
      <w:r w:rsidRPr="005E779E">
        <w:rPr>
          <w:rFonts w:ascii="Times New Roman" w:hAnsi="Times New Roman"/>
          <w:color w:val="000000" w:themeColor="text1"/>
          <w:sz w:val="16"/>
          <w:szCs w:val="16"/>
        </w:rPr>
        <w:softHyphen/>
        <w:t>лось заданиями на тяжелые бомбардировщики ТБ-4 и ТБ-7 (не Пе-8) и истребитель И-13 (11852).</w:t>
      </w:r>
    </w:p>
    <w:p w14:paraId="3E3CA8E9" w14:textId="77777777" w:rsidR="00831B45" w:rsidRPr="005E779E" w:rsidRDefault="00831B45" w:rsidP="00831B4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28B4F5" w14:textId="77777777" w:rsidR="00831B45" w:rsidRPr="005E779E" w:rsidRDefault="00831B45" w:rsidP="00831B45">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апреле 1931 г. ФЭД-3, оснащенный приводным центробежным нагнетателем, проходил государственные испытания, показав максимальную мощность 1170 л.с. при номинальной - 800 л.с. Названию ФЭД ("Феликс Эдмундович Дзержинский") двигатель был обязан тому, что разработка велась в Особом техническом бюро ОГПУ при заводе № 24, где трудились инженеры-заключенные. Их тогда называли еще не "врагами народа", а "вредителями". Вот эти "вредители" с учетом требований задания М-28 спроектировали Х-образный двигатель, частично использовавший узлы отвергнутого М-27. Руководил работой известный моторостроитель А.А. Бессонов, до ареста - начальник заводского конструкторского бюро. Существовало несколько модификаций двигателя ФЭД. Но бюро ОГПУ расформировали, а доводку двигателя передали ИAM. Там им заниматься оказалось некому. Через некоторое время соответствующий пункт из плана института попросту изъяли. Сохранились два экземпляра мотора ФЭД: один - в запаснике в Монино, второй - в музее завода "Салют" (12036).</w:t>
      </w:r>
    </w:p>
    <w:p w14:paraId="0CB2EB55" w14:textId="77777777" w:rsidR="00831B45" w:rsidRPr="005E779E" w:rsidRDefault="00831B45" w:rsidP="00831B45">
      <w:pPr>
        <w:autoSpaceDE w:val="0"/>
        <w:autoSpaceDN w:val="0"/>
        <w:adjustRightInd w:val="0"/>
        <w:spacing w:after="0" w:line="240" w:lineRule="auto"/>
        <w:jc w:val="both"/>
        <w:rPr>
          <w:rFonts w:ascii="Times New Roman" w:hAnsi="Times New Roman"/>
          <w:color w:val="000000" w:themeColor="text1"/>
          <w:sz w:val="16"/>
          <w:szCs w:val="16"/>
        </w:rPr>
      </w:pPr>
    </w:p>
    <w:p w14:paraId="7430FF22" w14:textId="77777777" w:rsidR="005F1B74" w:rsidRPr="00142305" w:rsidRDefault="005F1B74" w:rsidP="005F1B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апреле 1931 г. наиболее удачная модификация ФЭД-3, оснащенная приводным центробежным нагнетателем, проходила государственные испытания, показав максимальную мощ</w:t>
      </w:r>
      <w:r w:rsidRPr="00142305">
        <w:rPr>
          <w:rFonts w:ascii="Times New Roman" w:hAnsi="Times New Roman"/>
          <w:color w:val="0070C0"/>
          <w:sz w:val="16"/>
          <w:szCs w:val="16"/>
        </w:rPr>
        <w:softHyphen/>
        <w:t xml:space="preserve">ность 1170 л.с. при номинальной — 800 л.с. Но бюро ОГПУ расформировали, а доводку двигателя передали ИАМ. Там им заниматься оказалось </w:t>
      </w:r>
      <w:r w:rsidRPr="00142305">
        <w:rPr>
          <w:rFonts w:ascii="Times New Roman" w:hAnsi="Times New Roman"/>
          <w:color w:val="0070C0"/>
          <w:sz w:val="16"/>
          <w:szCs w:val="16"/>
        </w:rPr>
        <w:lastRenderedPageBreak/>
        <w:t>некому. Через некоторое время соответствующий пункт из плана института попросту изъ</w:t>
      </w:r>
      <w:r w:rsidRPr="00142305">
        <w:rPr>
          <w:rFonts w:ascii="Times New Roman" w:hAnsi="Times New Roman"/>
          <w:color w:val="0070C0"/>
          <w:sz w:val="16"/>
          <w:szCs w:val="16"/>
        </w:rPr>
        <w:softHyphen/>
        <w:t>яли. Сохранились два экземпляра мотора ФЭД: один - в за</w:t>
      </w:r>
      <w:r w:rsidRPr="00142305">
        <w:rPr>
          <w:rFonts w:ascii="Times New Roman" w:hAnsi="Times New Roman"/>
          <w:color w:val="0070C0"/>
          <w:sz w:val="16"/>
          <w:szCs w:val="16"/>
        </w:rPr>
        <w:softHyphen/>
        <w:t xml:space="preserve">паснике в Монино, второй — </w:t>
      </w:r>
      <w:r w:rsidRPr="00142305">
        <w:rPr>
          <w:rFonts w:ascii="Times New Roman" w:hAnsi="Times New Roman"/>
          <w:smallCaps/>
          <w:color w:val="0070C0"/>
          <w:sz w:val="16"/>
          <w:szCs w:val="16"/>
        </w:rPr>
        <w:t>в</w:t>
      </w:r>
      <w:r w:rsidRPr="00142305">
        <w:rPr>
          <w:rFonts w:ascii="Times New Roman" w:hAnsi="Times New Roman"/>
          <w:color w:val="0070C0"/>
          <w:sz w:val="16"/>
          <w:szCs w:val="16"/>
        </w:rPr>
        <w:t xml:space="preserve"> музее завода «Салют» (24977).</w:t>
      </w:r>
    </w:p>
    <w:p w14:paraId="16B8B244" w14:textId="77777777" w:rsidR="005F1B74" w:rsidRPr="00142305" w:rsidRDefault="005F1B74" w:rsidP="005F1B74">
      <w:pPr>
        <w:spacing w:after="0" w:line="240" w:lineRule="auto"/>
        <w:jc w:val="both"/>
        <w:rPr>
          <w:rFonts w:ascii="Times New Roman" w:hAnsi="Times New Roman"/>
          <w:color w:val="0070C0"/>
          <w:sz w:val="16"/>
          <w:szCs w:val="16"/>
        </w:rPr>
      </w:pPr>
    </w:p>
    <w:p w14:paraId="08D0D44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апреле 1931 г. на ГАЗ-9 стали устанавливать коленвал М-11 на подшипники скольже</w:t>
      </w:r>
      <w:r w:rsidRPr="005E779E">
        <w:rPr>
          <w:rFonts w:ascii="Times New Roman" w:hAnsi="Times New Roman"/>
          <w:color w:val="000000" w:themeColor="text1"/>
          <w:sz w:val="16"/>
          <w:szCs w:val="16"/>
        </w:rPr>
        <w:softHyphen/>
        <w:t>ния, что избавило от необходимости закупать качественные шарикопод</w:t>
      </w:r>
      <w:r w:rsidRPr="005E779E">
        <w:rPr>
          <w:rFonts w:ascii="Times New Roman" w:hAnsi="Times New Roman"/>
          <w:color w:val="000000" w:themeColor="text1"/>
          <w:sz w:val="16"/>
          <w:szCs w:val="16"/>
        </w:rPr>
        <w:softHyphen/>
        <w:t>шипники за границей. Уже в 1931 г. конструкторы завода № 29 наметили создание целого семейства двигателей на базе М-11. В него должен был войти М-50 (3-цилиндровый), М-51 (5-цилиндровый, модернизированный М-11), М-48 (7-цилиндровый) и М-49 (9-цилиндровый). Проектирование вел Опытно-конструкторский отдел завода под руководством А.С. Назаро</w:t>
      </w:r>
      <w:r w:rsidRPr="005E779E">
        <w:rPr>
          <w:rFonts w:ascii="Times New Roman" w:hAnsi="Times New Roman"/>
          <w:color w:val="000000" w:themeColor="text1"/>
          <w:sz w:val="16"/>
          <w:szCs w:val="16"/>
        </w:rPr>
        <w:softHyphen/>
        <w:t>ва. Фактически работу по двигателям малой мощности вела группа М.А. Коссова. Она начала с М-51. Он имел иной механизм газораспределения и был форсирован по оборотам по отношению к М-11. Опытный образец из</w:t>
      </w:r>
      <w:r w:rsidRPr="005E779E">
        <w:rPr>
          <w:rFonts w:ascii="Times New Roman" w:hAnsi="Times New Roman"/>
          <w:color w:val="000000" w:themeColor="text1"/>
          <w:sz w:val="16"/>
          <w:szCs w:val="16"/>
        </w:rPr>
        <w:softHyphen/>
        <w:t>готовили в феврале 1932 г. и с марта начали его обкатку, а затем ис</w:t>
      </w:r>
      <w:r w:rsidRPr="005E779E">
        <w:rPr>
          <w:rFonts w:ascii="Times New Roman" w:hAnsi="Times New Roman"/>
          <w:color w:val="000000" w:themeColor="text1"/>
          <w:sz w:val="16"/>
          <w:szCs w:val="16"/>
        </w:rPr>
        <w:softHyphen/>
        <w:t>пытания. В мае — июне М-51 уже поставили на госиспытания (правда, пока с цилиндрами от М-11). В октябре он уже прошел госиспытания со своими собственными цилиндрами. В июне 1933 г. М-51 испытали в полете на самолете У-2 (11852).</w:t>
      </w:r>
    </w:p>
    <w:p w14:paraId="4E6C464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C30645" w14:textId="77777777" w:rsidR="00BD132E" w:rsidRPr="005E779E" w:rsidRDefault="00BD132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апреле 1931 г. сданы 10 двигателей М-22 серии «Б», на которых был достигнут межремонтный ресурс 50 ч после доработок и, главное, ограничения на использование полной мощности 570 л.с. (24115).</w:t>
      </w:r>
    </w:p>
    <w:p w14:paraId="3CD43997" w14:textId="77777777" w:rsidR="00BD132E" w:rsidRPr="005E779E" w:rsidRDefault="00BD132E" w:rsidP="000B7A6C">
      <w:pPr>
        <w:spacing w:after="0" w:line="240" w:lineRule="auto"/>
        <w:jc w:val="both"/>
        <w:rPr>
          <w:rFonts w:ascii="Times New Roman" w:hAnsi="Times New Roman"/>
          <w:color w:val="000000" w:themeColor="text1"/>
          <w:sz w:val="16"/>
          <w:szCs w:val="16"/>
        </w:rPr>
      </w:pPr>
    </w:p>
    <w:p w14:paraId="44ACB834" w14:textId="77777777" w:rsidR="005F1B74" w:rsidRPr="00142305" w:rsidRDefault="005F1B74" w:rsidP="005F1B74">
      <w:pPr>
        <w:spacing w:after="0" w:line="240" w:lineRule="auto"/>
        <w:jc w:val="both"/>
        <w:rPr>
          <w:rStyle w:val="aff0"/>
          <w:rFonts w:ascii="Times New Roman" w:hAnsi="Times New Roman" w:cs="Times New Roman"/>
          <w:color w:val="0070C0"/>
          <w:spacing w:val="0"/>
          <w:sz w:val="16"/>
          <w:szCs w:val="16"/>
        </w:rPr>
      </w:pPr>
      <w:r w:rsidRPr="00142305">
        <w:rPr>
          <w:rStyle w:val="aff0"/>
          <w:rFonts w:ascii="Times New Roman" w:hAnsi="Times New Roman" w:cs="Times New Roman"/>
          <w:color w:val="0070C0"/>
          <w:spacing w:val="0"/>
          <w:sz w:val="16"/>
          <w:szCs w:val="16"/>
        </w:rPr>
        <w:t>В апреле 1931 г. заводом № 29 сдавалась вторая серия (серия «Б») моторов М-22, тоже из 10 моторов, Все отливки были отечественными. Поначалу много отливок браковали из-за трещин. В серии «Б» изменили материалы некоторых деталей. Межремонтный ресурс для моторов определили в 50 часов.</w:t>
      </w:r>
    </w:p>
    <w:p w14:paraId="31236D5F" w14:textId="77777777" w:rsidR="005F1B74" w:rsidRPr="00142305" w:rsidRDefault="005F1B74" w:rsidP="005F1B74">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Только на третьей серии (серии «В») из 40 двигателей удалось достичь ресурса 100 часов. У этой серии все детали моторов выполнялись из советских материалов, но импорт некоторых агрегатов продолжался. Серию «В» сдали в сентябре 1931 г. За этот год изготовили всего 68 М-22, поэтому пришлось продолжать импорт готовых «Юпитеров» из Франции. Далее в почти неизменном виде М-22 изготовлялся до конца 1935 г. Всего выпустили 2717 советских «Юпитеров» (25145).</w:t>
      </w:r>
    </w:p>
    <w:p w14:paraId="37279E1E" w14:textId="77777777" w:rsidR="005F1B74" w:rsidRPr="00142305" w:rsidRDefault="005F1B74" w:rsidP="005F1B74">
      <w:pPr>
        <w:spacing w:after="0" w:line="240" w:lineRule="auto"/>
        <w:jc w:val="both"/>
        <w:rPr>
          <w:rFonts w:ascii="Times New Roman" w:hAnsi="Times New Roman"/>
          <w:color w:val="0070C0"/>
          <w:sz w:val="16"/>
          <w:szCs w:val="16"/>
        </w:rPr>
      </w:pPr>
    </w:p>
    <w:p w14:paraId="2AD15BF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апреле 1931 г. впервые испытали на М-17 советский карбюратор К-17, соз</w:t>
      </w:r>
      <w:r w:rsidRPr="005E779E">
        <w:rPr>
          <w:rFonts w:ascii="Times New Roman" w:hAnsi="Times New Roman"/>
          <w:color w:val="000000" w:themeColor="text1"/>
          <w:sz w:val="16"/>
          <w:szCs w:val="16"/>
        </w:rPr>
        <w:softHyphen/>
        <w:t>данный на заводе № 24. Серийные моторы в 1930 г. выпускались только со степенью сжатия 6,0. Первые опытные высотные М-17 со степенью сжатия 7,3 изготовили в ноябре 1930 г. Далее серии включали двигатели с обеими степенями сжатия в разном соотношении. Первой такой серией стала серия «3» в феврале 1931 г., в которую вошли 20 моторов М-17Е7,3. Позднее появи</w:t>
      </w:r>
      <w:r w:rsidRPr="005E779E">
        <w:rPr>
          <w:rFonts w:ascii="Times New Roman" w:hAnsi="Times New Roman"/>
          <w:color w:val="000000" w:themeColor="text1"/>
          <w:sz w:val="16"/>
          <w:szCs w:val="16"/>
        </w:rPr>
        <w:softHyphen/>
        <w:t>лись целые серии высотных двигателей. Например, все моторы, входив</w:t>
      </w:r>
      <w:r w:rsidRPr="005E779E">
        <w:rPr>
          <w:rFonts w:ascii="Times New Roman" w:hAnsi="Times New Roman"/>
          <w:color w:val="000000" w:themeColor="text1"/>
          <w:sz w:val="16"/>
          <w:szCs w:val="16"/>
        </w:rPr>
        <w:softHyphen/>
        <w:t>шие в серию «Л», имели степень сжатия 7,3. Практически с самого начала освоения производства М-17 формирова</w:t>
      </w:r>
      <w:r w:rsidRPr="005E779E">
        <w:rPr>
          <w:rFonts w:ascii="Times New Roman" w:hAnsi="Times New Roman"/>
          <w:color w:val="000000" w:themeColor="text1"/>
          <w:sz w:val="16"/>
          <w:szCs w:val="16"/>
        </w:rPr>
        <w:softHyphen/>
        <w:t>лись планы его последующей модернизации. При этом не только следова</w:t>
      </w:r>
      <w:r w:rsidRPr="005E779E">
        <w:rPr>
          <w:rFonts w:ascii="Times New Roman" w:hAnsi="Times New Roman"/>
          <w:color w:val="000000" w:themeColor="text1"/>
          <w:sz w:val="16"/>
          <w:szCs w:val="16"/>
        </w:rPr>
        <w:softHyphen/>
        <w:t>ли путями, уже проторенными немецкими конструкторами, но и пытались внести нечто свое. В частности, в план опытных работ, утвержденный Реввоенсоветом 1 октября 1930 г., вошел «М-17 с 4-х клапанной голов</w:t>
      </w:r>
      <w:r w:rsidRPr="005E779E">
        <w:rPr>
          <w:rFonts w:ascii="Times New Roman" w:hAnsi="Times New Roman"/>
          <w:color w:val="000000" w:themeColor="text1"/>
          <w:sz w:val="16"/>
          <w:szCs w:val="16"/>
        </w:rPr>
        <w:softHyphen/>
        <w:t>кой», который хотели выставить на госиспытания к 1 июня 1931 г. Никаких материалов об этой работе найти не удалось. Но в 1933-1934 гг. под руководством военпреда Рогова М-17 форсировали по оборотам до 800 л.с. Испытания усовершенствованного двигателя проходили в апреле 1934 г. Изготовили не менее трех экземпляров, один из которых установили на персональный Р-5 начальника ВВС Я.И. Алксниса. Однако на серийное производство эти работы, в сущности, не повлияли. Это было связано с появлением отечественного двигателя М-34, соз</w:t>
      </w:r>
      <w:r w:rsidRPr="005E779E">
        <w:rPr>
          <w:rFonts w:ascii="Times New Roman" w:hAnsi="Times New Roman"/>
          <w:color w:val="000000" w:themeColor="text1"/>
          <w:sz w:val="16"/>
          <w:szCs w:val="16"/>
        </w:rPr>
        <w:softHyphen/>
        <w:t>данного под руководством А.А. Микулина. Его специально делали, чтобы заменить М-17, под те же габариты и посадочные места. Этот мотор был, безусловно, перспективнее, чем устаревающий «БМВ» с его рубашками отдельных цилиндров. Внедрение М-34 в производство в 1933 г. сразу снизило интерес к созданию новых модификаций немецкого двигателя. Предполагалось, что мотор Микулина полностью вытеснит М-17 из за</w:t>
      </w:r>
      <w:r w:rsidRPr="005E779E">
        <w:rPr>
          <w:rFonts w:ascii="Times New Roman" w:hAnsi="Times New Roman"/>
          <w:color w:val="000000" w:themeColor="text1"/>
          <w:sz w:val="16"/>
          <w:szCs w:val="16"/>
        </w:rPr>
        <w:softHyphen/>
        <w:t>водских цехов. И действительно, выпуск М-17 рос до 1934 г., когда достигли пика — 5662 мотора в год. При этом завод № 26 тогда обеспечивал около полови</w:t>
      </w:r>
      <w:r w:rsidRPr="005E779E">
        <w:rPr>
          <w:rFonts w:ascii="Times New Roman" w:hAnsi="Times New Roman"/>
          <w:color w:val="000000" w:themeColor="text1"/>
          <w:sz w:val="16"/>
          <w:szCs w:val="16"/>
        </w:rPr>
        <w:softHyphen/>
        <w:t>ны всего производства авиадвигателей в стране. Далее же начался спад (11852).</w:t>
      </w:r>
    </w:p>
    <w:p w14:paraId="3CC155A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00332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апреле 1931 г. на заводе № 29 сдавалась вторая серия М-22 (серия «Б»), тоже из 10 моторов. Все отливки уже были отечественными. Советское литье имело худшее качество, чем импортное. В Запорожье лили из другого сплава, более мягкого, и не сразу подобрали подходящую технологию. Поначалу много отливок браковали из-за трещин. На серии «Б» ввели стальные заглушки коленвала, изменили материалы некоторых деталей. Моторы серий «А» и «Б» отличались повышенной степенью сжатия (6,55-6,58). Межремонтный ресурс для них определили в 50 часов. Только на третьей серии (серии «В») из 40 двигателей удалось достичь ресурса 100 часов. На этой серии ввели фиксированные вкладыши глав</w:t>
      </w:r>
      <w:r w:rsidRPr="005E779E">
        <w:rPr>
          <w:rFonts w:ascii="Times New Roman" w:hAnsi="Times New Roman"/>
          <w:color w:val="000000" w:themeColor="text1"/>
          <w:sz w:val="16"/>
          <w:szCs w:val="16"/>
        </w:rPr>
        <w:softHyphen/>
        <w:t>ных шатунов вместо плавающих. Уже все детали моторов выполнялись из советских материалов, но импорт некоторых агрегатов продолжался. Серию «В» завершили в августе 1931 г., а сдавали в сентябре. Фактически весь 1931 г. ушел на доводку конструкции и развертывание производства. За год сделали всего 68 М-22. Это вынуждало продолжать импорт готовых «Юпитеров» из Франции. Существенный рост поставки двигателей из Запорожья начался с 1932 г., когда выпустили 357 штук. Далее в почти неизменном виде М-22 изготовлялся до конца 1935 г. Освоение выпуска М-22 в 1933-1934 гг. планировалось и на новом за</w:t>
      </w:r>
      <w:r w:rsidRPr="005E779E">
        <w:rPr>
          <w:rFonts w:ascii="Times New Roman" w:hAnsi="Times New Roman"/>
          <w:color w:val="000000" w:themeColor="text1"/>
          <w:sz w:val="16"/>
          <w:szCs w:val="16"/>
        </w:rPr>
        <w:softHyphen/>
        <w:t>воде № 19 в Перми. Но реально ни одного мотора этого типа там не собрали, в связи с тем, что это предприятие переоснастили под произ</w:t>
      </w:r>
      <w:r w:rsidRPr="005E779E">
        <w:rPr>
          <w:rFonts w:ascii="Times New Roman" w:hAnsi="Times New Roman"/>
          <w:color w:val="000000" w:themeColor="text1"/>
          <w:sz w:val="16"/>
          <w:szCs w:val="16"/>
        </w:rPr>
        <w:softHyphen/>
        <w:t>водство М-25 (советской копии американского Райт «Циклон»). Всего выпустили более 2500 советских «Юпитеров». Этот двигатель являлся основным в истребительной авиации ВВС РККА в первой по</w:t>
      </w:r>
      <w:r w:rsidRPr="005E779E">
        <w:rPr>
          <w:rFonts w:ascii="Times New Roman" w:hAnsi="Times New Roman"/>
          <w:color w:val="000000" w:themeColor="text1"/>
          <w:sz w:val="16"/>
          <w:szCs w:val="16"/>
        </w:rPr>
        <w:softHyphen/>
        <w:t>ловине 30-х годов (11852).</w:t>
      </w:r>
    </w:p>
    <w:p w14:paraId="02B805B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6209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апреле 1931 Остехбюро после серии испытаний в марте 1931 высокой торпеды 10/15 в районе Качи в 20 км от Севастополя доложило, что торпеда работает удовлетворительно при высоте сбрасывания 1000-1200 м, а при сбросе с больших высот время снижения превышает норму. Потом были войсковые и сдаточные испытания и нач. УВВС Я.Алкснис образовал комиссию во главе с нач. Воздушных сил ЧМ В.К.Лавровым (1966,10).</w:t>
      </w:r>
    </w:p>
    <w:p w14:paraId="722327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9A4D8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апреле 1931 года началась закладка первых крупных зданий и сооружений завода № 18. В апреле 1932 года был сдан в эксплуатацию первый производственный корпус и начато производство первых деталей самолета ТБ-3 гл. конструктора Туполева. К концу 1934 года завод выпустил первые пять самолетов ТБ-3. С этого года начался выпуск боевых самолетов. С 1935 по 1941 гг. продолжалось интенсивное строительство завода. В первых числах октября 1941 года завод № 18 вместе с коллективом был эвакуирован в Куйбышев. В ноябре 1941 года эвакуация была закончена. За период с 1934 по ноябрь 1941 года завод выпускал: 1934 год – ТБ-3, 5 самолетов гл. конструктора Туполева 1935 год – подготовка производства к новому изделию 1936 год – РД, 14 самолетов гл. конструктора Туполева 1937 год – ДБ-3А, 12 самолетов гл. конструктора С.В.И. 1938 год - ДБ-3А, 204 самолета гл. конструктора С.В.И. 1939 год - ДБ-3А, 155 самолетов гл. конструктора С.В.И. 1940 год - ДБ-3Ф, 808 самолетов гл. конструктора С.В.И. 1941 год - ДБ-3Ф, 329 самолетов гл. конструктора С.В.И. 1941 год – ИЛ-2, 1510 самолетов гл. конструктора С.В.И. 1941 год – «Н» ЕР-2, 70 самолетов гл. конструктора Ермолаева</w:t>
      </w:r>
    </w:p>
    <w:p w14:paraId="540DC1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эвакуации завода № 18 им. Ворошилова в Куйбышев в декабре 1941 года на бывш. площадке завода № 18 в Воронеже был организован филиал завода № 18 по ремонту фронтовых самолетов ИЛ-2 и У-2. В январе 1942 года по приказу КО Юго-западного фронта на площадке базы филиала завода № 18 в Воронеже была организована ремонтная база по ремонту фронтовых самолетов ИЛ-2 и У-2 подчиняющаяся Юго-западному фронту, а также Юго-западным фронтом на площадке бывш. завода № 18 был организован авторемонтный завод № 45. В феврале 1942 года в филиал завода № 18 влился эшелон рабочих и ИТР завода № 135 из Харькова.</w:t>
      </w:r>
    </w:p>
    <w:p w14:paraId="2ED48B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МАП на базе площадки завода № 18 в Воронеже был организован ремонтный завод № 450 по ремонту фронтовых самолетов всех типов и марок, который существовал до 5 июля 1942 года, до дня занятия правобережного Воронежа немцами.</w:t>
      </w:r>
    </w:p>
    <w:p w14:paraId="2AF458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ГКО завод № 450 (коллектив и оборудование) был эвакуирован в Пензу и влился в коллектив завода № 163. 12 апреля 1943 года согласно приказа МАП за № 209 на базе бывш. завода № 18 и на его территории был организован завод № 64, расположенный в Воронеже по ул. Циолковского, как самолеторемонтный завод. В 1943 году завод № 64 имел задачу восстановления и ремонта всех типов самолетов, как на заводе, так и в воинских частях, действующих на ближних фронтах.</w:t>
      </w:r>
    </w:p>
    <w:p w14:paraId="7AECDE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Согласно приказа МАП за № 121 от 21 февраля 1944 года завод № 64 переведен в ведение 10 гл. управления и получил задание изготовлять (крылья) агрегаты самолета ИЛ-2, этим же приказом завод № 64 переведен в разряд агрегатных заводов второй категории. Оснастка была получена с завода № 18 на крыло старой конструкции самолета ИЛ-2.</w:t>
      </w:r>
    </w:p>
    <w:p w14:paraId="6C2E8A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Приказом МАП за № 30 от 9 января 1945 года заводу № 64 была утверждена программа по выпуску крыльев самолета ИЛ-2, изготовление которых производилось в 1944 и 1945 гг. Кроме того, в соответствии с договором № 1219 от 13 марта 1945 года с ВВС завод во втором квартале 1945 года приступил к сборке самолета Ил-4 из готовых агрегатов, получаемых с завода № 126. В 1946 году по приказу МАП за № 15с от 24 января 1946 года заводу было дано задание получить оснастку и техническую документацию самолета ИЛ-10 с завода № 1 им. Сталина и запустить в производство агрегаты самолета Ил-10 с тем, чтобы к концу 1946 года обеспчеить освоение сборки этого самолета. В течение 1946 и 1947 гг. заводом освоены следующие агрегаты:</w:t>
      </w:r>
    </w:p>
    <w:p w14:paraId="5072A6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хвостовая часть фюзеляжа;</w:t>
      </w:r>
    </w:p>
    <w:p w14:paraId="595859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оперение;</w:t>
      </w:r>
    </w:p>
    <w:p w14:paraId="2D64A5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шасси.</w:t>
      </w:r>
    </w:p>
    <w:p w14:paraId="09338A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течение 1948 года была произведена крупная модернизация самолета Ил-10 с переходом на 4-х пушечный вариант, а также освоено изготовление учебного варианта самолета УИЛ-10 с изготовлением всей необходимой оснастки своими силами.</w:t>
      </w:r>
    </w:p>
    <w:p w14:paraId="1942F5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Постановлением СМ за № 1890-700сс от 14 мая 1949 года и приказом министра авиапромышленности за № 374сс/ов от 19 мая 1949 года завод был освобожден от производства самолетов Ил-10 и переключен на переоборудование и капитальный ремонт пассажирского самолета Ил-12 и по подготовке производства к выпуску самолетов Ил-28.</w:t>
      </w:r>
    </w:p>
    <w:p w14:paraId="38C86A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Постановлением СМ за № 5223-1994сс от 14 ноября 1949 года и приказа МАП за № 913сс от 17 ноября 1949 года завод был переведен на производство самолетов Ил-28. Этим же приказом МАП завод № 64 переведен в разряд самолетостроительных заводов первой категории.</w:t>
      </w:r>
    </w:p>
    <w:p w14:paraId="7BA101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Приказом МАП за № 33сс от 24 мая 1954 года со второго полугодия 1954 года завод переведен на подготовку производства по выпуску самолетов ТУ-16. Чертежи и технология на самолет ТУ-16 были получены с завода № 22. За период с 1943 года по 1958 год коллектив завода № 64 развивал свое производство и набирал мощность по следующим видам работ: 1943 год – ремонт фронтовых самолетов Ил-2 – 218 штук 1943 год – ремонт фронтовых самолетов У-2 – 25 штук 1943 год – ремонт фронтовых самолетов ЯК-1 – 30 штук 1943 год – ремонт фронтовых самолетов ЛА-5 – 14 штук 1943 год – ремонт фронтовых самолетов ПЕ-2 – 4 штуки 1943 год – ремонт фронтовых самолетов Ли-2 – 1 штука 1943 год – ремонт фронтовых самолетов ЯК-6 – 2 штуки 1943 год – ремонт фронтовых самолетов ЯК-9 – 4 штуки 1943 год – ремонт фронтовых самолетов УТ-2 – 1 штука 1944 год – ремонт фронтовых самолетов Ил-2 183 штуки 1944 год – ремонт фронтовых самолетов У-2 – 17 штук 1944 год – ремонт фронтовых самолетов ЯК-1 – 5 штук 1944 год – ремонт фронтовых самолетов ЛА-5 – 14 штук 1944 год – ремонт фронтовых самолетов ЯК-6 – 3 штуки 1944 год – ремонт фронтовых самолетов ЯК-9 – 17 штук 1944 год – ремонт фронтовых самолетов ЛА-7 – 1 штука 1944 год – ремонт фронтовых самолетов Б-25 – 66 штук 1945 год – ремонт штурмовиков разных марок – 110 штук 1945 год – ремонт истребителей разных марок – 34 штуки 1945 год – сборка самолета завода № 126 ИЛ-4 – 151 штука 1945 года – сборка крыла самолета ИЛ-2 – 81 пара 1946 год – ремонт фронтовых самолетов ЯК-9 – 102 штуки 1946 год – ремонт фронтовых самолетов ЛА-7- 11 штук 1946 год – ремонт фронтовых самолетов ЯК-3 – 24 штуки 1946 год – сборка самолета завода № 126 ИЛ-4 – 28 штук 1946 год – сборка крыла самолета ИЛ-2 – 19 штук 1947 год – производство самолета ИЛ-10 – 12 штук 1948 год – производство самолета ИЛ-10 – 155 штук 1949 год – производство самолета ИЛ-10 – 78 штук 1949 год – производство самолета УИЛ-10 – 100 штук 1950 год – производство самолета ИЛ-28 – 4 штуки 1950 год – переоборудование самолета ИЛ-12 – 114 штук 1951 год – производство самолета ИЛ-28 – 75 штук 1952 год – производство самолета ИЛ-28 – 170 штук 1953 год – производство самолета ИЛ-28 – 370 штук 1954 год – производство самолета ИЛ-28 – 303 штук 1954 год – подготовка производства к выпуску самолета ТУ-16 1955 год – производство самолета ТУ-16 – 25 штук 1956 год – производство самолета ТУ-16 – 78 штук 1957 год – производство самолета ТУ-16 – 62 штуки 1957 год – подготовка и выпуск самолета АН-10 – 3 штуки 1958 год - производство самолета АН-10 – 16 штук 1958 год – начата подготовка производства к выпуску самолета ТУ-28</w:t>
      </w:r>
    </w:p>
    <w:p w14:paraId="6ACB11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 Белявский</w:t>
      </w:r>
    </w:p>
    <w:p w14:paraId="0B770D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Производственный профиль – самолет Ан-10 конструкции Антонова</w:t>
      </w:r>
    </w:p>
    <w:p w14:paraId="7154EA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Характеристика аэродрома завода</w:t>
      </w:r>
    </w:p>
    <w:p w14:paraId="61B65C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Аэродром расположен в 4-х км от центра восточнее Воронежа на левом берегу реки Воронеж. Аэродром с юга граничит с промплощадкой завода (9836).</w:t>
      </w:r>
    </w:p>
    <w:p w14:paraId="2BFB96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DBBFB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апреле 1931 г. при заводе №39 имени В.Р. Менжинского была создана группа легкой авиации (КБ Осоавиахима). Начальником группы был назначен Яковлев. В августе 1932 г. группа получила свое первое помещение – часть деревообделочного цеха филиала завода №39. Ее состав был расширен до 13 конструкторов и 5 рабочих.</w:t>
      </w:r>
    </w:p>
    <w:p w14:paraId="5FA009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 1934 г. группа была выделена в самостоятельную конструкторско-производственную единицу и получила название КПБ (Конструкторско-производственное бюро) с одновременным переходом из Осоавиахима в подчинение Спецавиатресту под эгидой Главного управления авиационной промышленности НКТП. В марте 1934 г. КПБ было переведено на территорию филиала завода № 132 Спецавиатреста, представлявшего собой кроватную мастерскую. На ее основе создается Завод легких самолетов. Заводское оборудование включало один токарный станок, несколько столярных и слесарных верстаков, а также набор инструментов и чертежные принадлежности. Штат завода составлял 30 человек. Ближайшими помощниками Яковлева в то время были конструкторы К.А. Вигант, К.В. Синельщиков, Е.А. Адлер, Л.М. Шехтер, чертежник В. Алексеев, токарь Максимов, столяры Хромов и Панкратов, слесари Жиров и Поздняков.</w:t>
      </w:r>
    </w:p>
    <w:p w14:paraId="199C1B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июне 1935 г. он преобразуется в Государственный союзный завод № 115. Яковлев назначается директором и главным конструктором завода. В 1939 г. в штате числилось 45 конструкторов и чертежников и 152 рабочих, вся производственная база состояла из 44-х станков (11650).</w:t>
      </w:r>
    </w:p>
    <w:p w14:paraId="14DBBC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CDD9D14" w14:textId="39FE4D7B"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апреле 1931 г. заложили фундамент завода № 18 (Завод № 18 ВСНХ, НКТП, ГС ордена Ленина завод № 18 НКОП, Завод № 18 им. К.Е. Ворошилова НКАП, Куйбышевский авиационный завод (КуАЗ), Куйбышевское авиационное ПО, Самарское авиационное ПО «Авиакор», АООТ, ОАО «Авиакор-Авиационный завод» / г. Воронеж;</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Куйбышев ст. Безымянка/ /443052</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Самара ул. Псковская, 32 к. 106 тел. 267-35-35/), 17 мая 1932 г. началось строительство, введен в строй в 1934 г. В 02.1937 г. ГС ордена Ленина завод № 18 - в ведении 1ГУ НКОП (и на 12.1938 г.). По приказу № 262сс от 22.03.1941 г. завод передан в ЮГУ НКАП.</w:t>
      </w:r>
    </w:p>
    <w:p w14:paraId="6CDFEE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Строящийся завод был ориентирован на выпуск тяжелых бомбардировщиков ТБ-3 (а в перспективе - ТБ-4 и ТБ-5)</w:t>
      </w:r>
    </w:p>
    <w:p w14:paraId="65BB02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1932 г. на заводе работал авиаконструктор А.С. Москалев, затем организовал собственное ОКБ-31, располагавшееся в Воронежском авиатехникуме. В 1936-41 г. завод № 18 являлся его производственной базой.</w:t>
      </w:r>
    </w:p>
    <w:p w14:paraId="526BC7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07.1934-07.1936 г. на заводе работало КБ К.А. Калинина.</w:t>
      </w:r>
    </w:p>
    <w:p w14:paraId="0BDB6E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1936 г. на заводе шло освоение производства ДБ-3. Производственная программа завода на 1937 г.: 500 ДБ-3. В 1936-37 г. шло также освоение производства ДБ-2. Решением СТО от 02.1938 г. выпуск ДБ-2 прекращен в пользу производства ДБ-3.</w:t>
      </w:r>
    </w:p>
    <w:p w14:paraId="7C20F1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1937 г. была начата реконструкция завода. Приказом № 0032 от 8.02.1937 г. заводу предписано к 1.04.1937 г. сдать в эксплуатацию 3 пролета главного корпуса, в 3-м квартале - еще три, из них термический цех - к 1.06.1937 г.; в 4-м квартале сдать конвейерный коридор. По пр. № 6с от 8/11.101.1937 г. был создан Центральный технологический отдел в составе секторов: штамповки, механической технологии, сварочного, термического. По пр. № 299с от 7.08.1938 г. требовалось сдать в эксплуатацию цехи: термический - к 1.08.1938 г., покрытий и сварочный-к 15.08.1938 г.</w:t>
      </w:r>
    </w:p>
    <w:p w14:paraId="16D5FA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составе завода цехи (1938 г.): № 1 механический, № 2 мелких сварных узлов, № 5 крупных сварных узлов, № 6 крыла, механо-сборочный, бако-медницкий, № 11 штамповочный (6500 м</w:t>
      </w:r>
      <w:r w:rsidRPr="005E779E">
        <w:rPr>
          <w:rFonts w:ascii="Times New Roman" w:hAnsi="Times New Roman"/>
          <w:color w:val="000000" w:themeColor="text1"/>
          <w:sz w:val="16"/>
          <w:szCs w:val="16"/>
          <w:vertAlign w:val="superscript"/>
        </w:rPr>
        <w:t>2</w:t>
      </w:r>
      <w:r w:rsidRPr="005E779E">
        <w:rPr>
          <w:rFonts w:ascii="Times New Roman" w:hAnsi="Times New Roman"/>
          <w:color w:val="000000" w:themeColor="text1"/>
          <w:sz w:val="16"/>
          <w:szCs w:val="16"/>
        </w:rPr>
        <w:t>), нормалей, шасси, инструментальный. По пр. № 115 от 21.03.1938 г. организовано представительство завода в Москве. В 1939 г. действовал цех № 7- сборочный по ДБ-3.</w:t>
      </w:r>
    </w:p>
    <w:p w14:paraId="29F13C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 № 218 от 1.06.1938 г. при аэродинамической лаборатории завода организован 1-й филиал ЦАГИ.</w:t>
      </w:r>
    </w:p>
    <w:p w14:paraId="26BC78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Для осуществления проекта нового </w:t>
      </w:r>
      <w:r w:rsidRPr="005E779E">
        <w:rPr>
          <w:rFonts w:ascii="Times New Roman" w:hAnsi="Times New Roman"/>
          <w:color w:val="000000" w:themeColor="text1"/>
          <w:sz w:val="16"/>
          <w:szCs w:val="16"/>
          <w:lang w:val="en-US"/>
        </w:rPr>
        <w:t>JIA</w:t>
      </w:r>
      <w:r w:rsidRPr="005E779E">
        <w:rPr>
          <w:rFonts w:ascii="Times New Roman" w:hAnsi="Times New Roman"/>
          <w:color w:val="000000" w:themeColor="text1"/>
          <w:sz w:val="16"/>
          <w:szCs w:val="16"/>
        </w:rPr>
        <w:t xml:space="preserve"> «Ротоплан» с 6-лопастным ротором на горизонтальной оси (типа коловратного колеса) М.Ф. Кортикова пр. № 460с от 14/19.12.1938 г. заводу поручено изготовить продувочную модель «Ротоплана» и провести продувки к 1.05.1939 г. По результатам продувок Б.Н. Юрьевым был сделан вывод о бесперспективности подобных конструкций.</w:t>
      </w:r>
    </w:p>
    <w:p w14:paraId="27560D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1939 г. проектная мощность завода составляла 2500 ДБ-3 в год, годовой план составлял 550 самолетов. В соответствии с пост. КО № 532 от 31.05.1939 г. необходимо было с </w:t>
      </w:r>
      <w:r w:rsidRPr="005E779E">
        <w:rPr>
          <w:rFonts w:ascii="Times New Roman" w:hAnsi="Times New Roman"/>
          <w:color w:val="000000" w:themeColor="text1"/>
          <w:sz w:val="16"/>
          <w:szCs w:val="16"/>
          <w:lang w:val="en-US"/>
        </w:rPr>
        <w:t>IV</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ro</w:t>
      </w:r>
      <w:r w:rsidRPr="005E779E">
        <w:rPr>
          <w:rFonts w:ascii="Times New Roman" w:hAnsi="Times New Roman"/>
          <w:color w:val="000000" w:themeColor="text1"/>
          <w:sz w:val="16"/>
          <w:szCs w:val="16"/>
        </w:rPr>
        <w:t xml:space="preserve"> квартала 1939 г. начать выпуск ДБ-ЗФ.</w:t>
      </w:r>
    </w:p>
    <w:p w14:paraId="2B4510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пост. Комитета обороны № 236 от 29.05.1940 г. началось освоение производства Ер-2 (предписывалось в этом году выпустить 70 машин). 23.08.1941 г. вышло постановление ГКО № 568 о прекращении производства Ер-2 с М-40Ф. 5.12.1940 г. вышло постановление правительства о прекращении производства ДБ-240 с М-105. А пост. СНК от 10.12.1940 г. поручалось в 1941 г. построить 90 машин с двигателями М-40Ф с поставкой, начиная с Ш-го квартала. Приказом НКАП № 278сс от 10.06.1940 г. заводу № 18 предписали выпустить в текущем году первые 70 Ер-2, а приказом № 330 от 12.04.1941 г. завод обязали прекратить производство ДБ-ЗФ и сосредоточить все внимание на Ер-2.</w:t>
      </w:r>
    </w:p>
    <w:p w14:paraId="13A185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НКАП № 739 от 14.12.1940 г. был запущен в серию одноместный Ил-2 с АМ-35А и организовано представительство ОКБ Ильюшина на заводе. Производство было необходимо начать с 15.02.1941 г., а всего в 1941 г. построить 1200 машин. Приказами НКАП от 7.01.1941 г. и от 14.02.1941 г. запущен в серию Ил-2 с АМ-38. Завод № 18 определен головным по производству штурмовика (остальные заводы должны были строить Ил-2 по его чертежам). 27.08.1941 г. вышло постановление ГКО № 591 об увеличении выпуска Ил-2. 7.02.1942 г. вышло постановление ГКО № 1254сс о начале выпуска на заводе Ил-2 с двойным управлением с 15.02.1942 г. по 20 самолетов в месяц. Пост. ГКО № 1376сс от 3.03.1942 г. заводу утвержден суточный план на 03.1942 г. по выпуску Ил-2: с 1 по 5 марта - 35 машин, в остальные дни - по 45 машин. В соответствии с пост. ГКО № 2374 от 5.10.1942 г. запущен в серию двухместный Ил-2 с АМ-38. К концу октября завод должен был выпустить 70 машин.</w:t>
      </w:r>
    </w:p>
    <w:p w14:paraId="368865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План производства на 1941 г.: 1200 Ил-2,400 ДБ-ЗФ и 100 Ер-2.</w:t>
      </w:r>
      <w:r w:rsidRPr="005E779E">
        <w:rPr>
          <w:rFonts w:ascii="Times New Roman" w:hAnsi="Times New Roman"/>
          <w:color w:val="000000" w:themeColor="text1"/>
          <w:sz w:val="16"/>
          <w:szCs w:val="16"/>
          <w:vertAlign w:val="superscript"/>
        </w:rPr>
        <w:t>144</w:t>
      </w:r>
    </w:p>
    <w:p w14:paraId="29BD68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НКАП № 533 от 17.06.1941 г. начата подготовка к производству «103» (Ту-2) с планом на 1942 г. 1000 машин, но начало войны помешало осуществлению плана.</w:t>
      </w:r>
    </w:p>
    <w:p w14:paraId="624C1168" w14:textId="5192674E"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пост. ГКО № 751 от 9.10.1941 г. и приказом НКАП № 1056сс от 10.10.1941 г. в течение октября-ноября 1941 г. завод эвакуирован в</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Куйбышев, ст. Безьмянка на площадку строящегося завода № 295 НКАП. В результате слияния образован единый завод № 18 НКАП.</w:t>
      </w:r>
    </w:p>
    <w:p w14:paraId="1B44A6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эвакуации здесь с 10.1941 по 04.1942 г. ОКБ-39 С.В. Ильюшина. После перебазирования ОКБ в Москву его представителем на заводе остался В.А. Борог, затем- А .Я. Левин.</w:t>
      </w:r>
    </w:p>
    <w:p w14:paraId="33A940E2" w14:textId="119D1ADA"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12.1941 г. на площадке эвакуированного завода организованы самолетные Ремонтные мастерские. Начальник мастерских-</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Г.Л. Волощенко. Осуществлялся ремонт самолетов Юго-Западного фронта. По приказу № 239с от 30.03.1942 г. на базе мастерских образован Ремонтный завод при Главремуправлении НКАП. Далее он преобразован в филиал завода № 18 НКАП, начальник филиала- Сердюк. В 04.1942 г. филиал реорганизован в ГСЗ№ 450 НКАП.</w:t>
      </w:r>
    </w:p>
    <w:p w14:paraId="7F2ADA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Также на старой площадке по приказу № 174с от 27.03.1943 г. создан ремонтный завод № 18 при 6ГУ НКАП. Для формирования нового завода часть кадров завода № 18 возвращена из Куйбышева. Затем по приказам № 185с от 2.04.1943 г. и № 209с от 12.04.1943 г. сформирован ремонтно-сборочный завод № 64 НКАП.</w:t>
      </w:r>
    </w:p>
    <w:p w14:paraId="2A159C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03.1943 г. на завод № 18 передана часть оборудования завода № 381 НКАП, реэвакуированного из Нижнего Тагила.</w:t>
      </w:r>
    </w:p>
    <w:p w14:paraId="1A27D4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23.07.1944 г. вышло постановление ГКО № 6246 о производстве Ил-10 на заводе.</w:t>
      </w:r>
    </w:p>
    <w:p w14:paraId="05192C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 соответствии с ПСМ № 4764-2062 от 28.11.1950 г. и приказом МАП № 240 начата подготовка к серийному выпуску самолета Ту-85, но самолет не строился, оснастка законсервирована.</w:t>
      </w:r>
    </w:p>
    <w:p w14:paraId="31C297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1956 г. на заводе образован филиал ОКБ-156, начальник- А.И. Путилов. Впоследствии филиал преобразован в ОКБ.</w:t>
      </w:r>
    </w:p>
    <w:p w14:paraId="113C8D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пост. СМ СССР № 713-342 от 26.06.1957 г. передан в ведение СНХ РСФСР.</w:t>
      </w:r>
    </w:p>
    <w:p w14:paraId="5B11528B" w14:textId="6E071DCF"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1970-е</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построен малярный ангар с пролетом 100 м.</w:t>
      </w:r>
    </w:p>
    <w:p w14:paraId="4298732A" w14:textId="465BBF41"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1983 г. с Таганрогского авиазавода передано производство Ту-95МС. Мощности по его производству свернуты в 1995 г. В 1980-е</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велась подготовка к выпуску Ту-204, но производство передали в УАПК. В 1997 г. началось освоение производства Ан-140 (1-я машина построена 25.12.2003 г.).</w:t>
      </w:r>
    </w:p>
    <w:p w14:paraId="6D86F5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1989 г. на базе Куйбышевского авиационного завода создано Куйбышевское авиационное ПО. В 2000 г.- ЗАО, в 2002 г.- ОАО «Авиакор-Авиационный завод». С 04.1999 г. завод контролировался компанией «Сибирский алюминий» (затем- «Базовый элемент», и в 2009 г.). В 09.2005 г. вошел в ОАО «Русские машины». В состав ЗАО «Авиакор-Авиационный завод» входили (2000 г.) дочерние предприятия: «Авиакор-мебель», «Микрон», «Авиакор-сервис», «Авиакор-ремонт».</w:t>
      </w:r>
    </w:p>
    <w:p w14:paraId="6D91FB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По решению правительства № 22-р от 9.01.2004 г. вошло в перечень стратегических предприятий. В 2009 г. планировалось вхождение предприятия в </w:t>
      </w:r>
      <w:r w:rsidRPr="005E779E">
        <w:rPr>
          <w:rFonts w:ascii="Times New Roman" w:hAnsi="Times New Roman"/>
          <w:color w:val="000000" w:themeColor="text1"/>
          <w:sz w:val="16"/>
          <w:szCs w:val="16"/>
          <w:lang w:val="en-US"/>
        </w:rPr>
        <w:t>OAK</w:t>
      </w:r>
      <w:r w:rsidRPr="005E779E">
        <w:rPr>
          <w:rFonts w:ascii="Times New Roman" w:hAnsi="Times New Roman"/>
          <w:color w:val="000000" w:themeColor="text1"/>
          <w:sz w:val="16"/>
          <w:szCs w:val="16"/>
        </w:rPr>
        <w:t>, в связи с этим для оптимизации издержек планировалось сокращение 1500 чел. из 2600 работающих.</w:t>
      </w:r>
    </w:p>
    <w:p w14:paraId="147B27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Планировалось освоение капремонта и модернизации Ту-95МС (2002 г.). На 2004 г. в производстве находились два Ан-140. Велась подготовка к производству Ту-334, Ан-70. Освоение производства штампов и пресс-форм всех видов сложности для автомобилестроения. С 1997 по 2004 г. завод не выпустил ни одного самолета;</w:t>
      </w:r>
      <w:r w:rsidRPr="005E779E">
        <w:rPr>
          <w:rFonts w:ascii="Times New Roman" w:hAnsi="Times New Roman"/>
          <w:color w:val="000000" w:themeColor="text1"/>
          <w:sz w:val="16"/>
          <w:szCs w:val="16"/>
          <w:vertAlign w:val="superscript"/>
        </w:rPr>
        <w:t>1</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vertAlign w:val="superscript"/>
        </w:rPr>
        <w:t>22 09 04</w:t>
      </w:r>
      <w:r w:rsidRPr="005E779E">
        <w:rPr>
          <w:rFonts w:ascii="Times New Roman" w:hAnsi="Times New Roman"/>
          <w:color w:val="000000" w:themeColor="text1"/>
          <w:sz w:val="16"/>
          <w:szCs w:val="16"/>
        </w:rPr>
        <w:t xml:space="preserve"> в 2006 г. - 3 (2 Ту-154М, 1 Ан-140) и 6 отремонтировано, в 2007 г. - 1 Ан-140. На 2008 г. в заделе оставалось 4 планера Ту-154М, в 2008 г. планировалась достройка последнего, третьего Ан-140.</w:t>
      </w:r>
    </w:p>
    <w:p w14:paraId="539F1A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Количество оборудования: (11.1940 г.)- 1247 металлорежущих станков.</w:t>
      </w:r>
    </w:p>
    <w:p w14:paraId="19C95B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Численность персонала (12.1936 г.)- 1400 рабочих, (1940 г.)- 24.510 чел., (1980-е)~ 30.000 чел., (1.01.2003 г.)- 5072 чел., (2009 г.)- 2600 чел.</w:t>
      </w:r>
    </w:p>
    <w:p w14:paraId="5CD947E0" w14:textId="4A7DC6A5"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(-06-28.10.1937 г.)- С.М. Шабашвшш (снят), (22.10.1937-22.02.1938 г.)- Н.И. Горьковенко, (22.02.1938-42 г.)- М.Б. Шенкман (погиб); и.о. (03.1941 г.)- А.А. Белянский; (06.1942-05.1946 г.-)- А.А. Белянский, Белеловский. Гендиректор (1980-е)- В. Земец, (2000 г.)- А. Карклин, (-2002-04 г.)- В.П. Белогуб, (04.2004 г.)-</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 xml:space="preserve">Г.Н. Плотников, (-09.2005-0 / г.-)- С.К. Лихарев, (2010 г.)- А. Гусев. Арбитражный управляющий (1994 г.-)- </w:t>
      </w:r>
      <w:r w:rsidRPr="005E779E">
        <w:rPr>
          <w:rFonts w:ascii="Times New Roman" w:hAnsi="Times New Roman"/>
          <w:color w:val="000000" w:themeColor="text1"/>
          <w:sz w:val="16"/>
          <w:szCs w:val="16"/>
          <w:lang w:val="en-US"/>
        </w:rPr>
        <w:t>JI</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A</w:t>
      </w:r>
      <w:r w:rsidRPr="005E779E">
        <w:rPr>
          <w:rFonts w:ascii="Times New Roman" w:hAnsi="Times New Roman"/>
          <w:color w:val="000000" w:themeColor="text1"/>
          <w:sz w:val="16"/>
          <w:szCs w:val="16"/>
        </w:rPr>
        <w:t>. Хасис.</w:t>
      </w:r>
    </w:p>
    <w:p w14:paraId="16A74A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1-й зам. гендиректора (-2006-07 г.-)- Е.В. Цыбанов. Зам. директора (22.10.1937 г.-)- М.Н. Корнеев, (15.12.1937 г.- )- И.Н. Мартынов; по ПВО и охране (29.11.1938 г.-)- Н.Д. Гусев. Помощник директора по найму и увольнению (14.05.1938 г.-)- И.Т. Измалков. Зам. гендиректора: начальник авиационного производства (2000 г.)- А. Кириллов; (2000 г.)- В. Петрищев.</w:t>
      </w:r>
    </w:p>
    <w:p w14:paraId="2AF3E9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Исполнительный директор (2005 г.)- С.К. Лихарев.</w:t>
      </w:r>
    </w:p>
    <w:p w14:paraId="6A5E4C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инженер (22.10.1937-01.1938 г.-)- М.Н. Корнеев, (03.1941 г.)- Н.Д. Востров.</w:t>
      </w:r>
    </w:p>
    <w:p w14:paraId="3EB40A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конструктор (07.1934-07.1936 г.)- К.А. Калинин, (08.1936-08.1938 г.)- А.А. Сеньков.</w:t>
      </w:r>
    </w:p>
    <w:p w14:paraId="1C10BB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технолог (2000 г.)- В. Антонюк.</w:t>
      </w:r>
    </w:p>
    <w:p w14:paraId="4901EF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 Серийного КБ (05.1941 г.)- В.К. Золотухин, (04.1942 г.-)- В.Н. Бугайский. Гл. конструктор СКВ (1938 г.)- М.Н. Корнеев. Начальник ЛИС (1938 г.)- А.А. Сеньков,</w:t>
      </w:r>
      <w:r w:rsidRPr="005E779E">
        <w:rPr>
          <w:rFonts w:ascii="Times New Roman" w:hAnsi="Times New Roman"/>
          <w:color w:val="000000" w:themeColor="text1"/>
          <w:sz w:val="16"/>
          <w:szCs w:val="16"/>
          <w:vertAlign w:val="superscript"/>
        </w:rPr>
        <w:t>84</w:t>
      </w:r>
      <w:r w:rsidRPr="005E779E">
        <w:rPr>
          <w:rFonts w:ascii="Times New Roman" w:hAnsi="Times New Roman"/>
          <w:color w:val="000000" w:themeColor="text1"/>
          <w:sz w:val="16"/>
          <w:szCs w:val="16"/>
        </w:rPr>
        <w:t xml:space="preserve"> (1941 г.)- м К.К. Рыков. Руководитель проекта Ан-140 (2004 г.)- С. Кузнецов.</w:t>
      </w:r>
    </w:p>
    <w:p w14:paraId="6A3AEE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Летчики-испытатели: (1942 г.)- Е.Н. Ломакин, (1941 г.)- К.К. Рыков.</w:t>
      </w:r>
    </w:p>
    <w:p w14:paraId="71D8B4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Производство: самолеты: САМ-5, АНТ-25, К-12, К-13, ТБ-3 (1934; 1937)- 6, ДБ-1 (1936-37)- 13, ДБ-3 (1937- 39), ДБ-ЗФ (1939-41)- всего 1907, Ер-2 (1940-41)- 71, Ил-2 (03.1941-45)- 15.099, Ил-10 (1944-45)- 1435, Ил-10УТ (1945-47), Ту-4 (1947-52)- 847 (всего на 3 заводах), Ил-28 (1953)- 50, Ту-16, Ту-95 (1955-58)- 31, Ту-95К (1958-65), Ту-95МС (1983-92)- 88 (вместе с заводом № 86),</w:t>
      </w:r>
      <w:r w:rsidRPr="005E779E">
        <w:rPr>
          <w:rFonts w:ascii="Times New Roman" w:hAnsi="Times New Roman"/>
          <w:color w:val="000000" w:themeColor="text1"/>
          <w:sz w:val="16"/>
          <w:szCs w:val="16"/>
          <w:vertAlign w:val="superscript"/>
        </w:rPr>
        <w:t>30</w:t>
      </w:r>
      <w:r w:rsidRPr="005E779E">
        <w:rPr>
          <w:rFonts w:ascii="Times New Roman" w:hAnsi="Times New Roman"/>
          <w:color w:val="000000" w:themeColor="text1"/>
          <w:sz w:val="16"/>
          <w:szCs w:val="16"/>
        </w:rPr>
        <w:t xml:space="preserve"> Ту-114 (1958-), Ту-116 (1957)- 2, Ту-126 (1962-), Ту-142 (1972), Ту-154, Ту-154М (-2004-07-), Ту-160, Ан-140 (2003-08-)- 2, «Аист-2» (2004), «Аист-4» (2004), «Молния-012» (2004); капремонт Ту-154, -М (-2003-10-); МКР «Буря» (1957 г.)- 19 (вместе с заводом № 301), ЗУР «Даль (1961)- 5; агрегаты РКТ, наземных станций космической связи, ВКС «Буран»;</w:t>
      </w:r>
      <w:r w:rsidRPr="005E779E">
        <w:rPr>
          <w:rFonts w:ascii="Times New Roman" w:hAnsi="Times New Roman"/>
          <w:color w:val="000000" w:themeColor="text1"/>
          <w:sz w:val="16"/>
          <w:szCs w:val="16"/>
          <w:vertAlign w:val="superscript"/>
        </w:rPr>
        <w:t>69</w:t>
      </w:r>
      <w:r w:rsidRPr="005E779E">
        <w:rPr>
          <w:rFonts w:ascii="Times New Roman" w:hAnsi="Times New Roman"/>
          <w:color w:val="000000" w:themeColor="text1"/>
          <w:sz w:val="16"/>
          <w:szCs w:val="16"/>
        </w:rPr>
        <w:t xml:space="preserve"> кузовые детали автомобилей и с/х оборудование.</w:t>
      </w:r>
    </w:p>
    <w:p w14:paraId="2195EB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Заводские номера: Ер-2 № 1851906 - (18 -№ завода, 5 - тип машины, 19 -№ самолета в серии, Об - № серии). ДБ-3 № 3018002; Ил-2 1872932 (11982).</w:t>
      </w:r>
    </w:p>
    <w:p w14:paraId="0F65B5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BE60B19"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53448B2F"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BC4ACFD" w14:textId="77777777" w:rsidR="00EF12BA" w:rsidRPr="00142305" w:rsidRDefault="00EF12BA" w:rsidP="00EF12B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апреле 1931 г. докладе «О ходе работ на ХПЗ за I квартал 1932 г.» сообщалось:</w:t>
      </w:r>
    </w:p>
    <w:p w14:paraId="132D19EA" w14:textId="77777777" w:rsidR="00EF12BA" w:rsidRPr="00142305" w:rsidRDefault="00EF12BA" w:rsidP="00EF12B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«Собранные и отправленные в распо</w:t>
      </w:r>
      <w:r w:rsidRPr="00142305">
        <w:rPr>
          <w:rFonts w:ascii="Times New Roman" w:hAnsi="Times New Roman"/>
          <w:color w:val="0070C0"/>
          <w:sz w:val="16"/>
          <w:szCs w:val="16"/>
        </w:rPr>
        <w:softHyphen/>
        <w:t>ряжение УММ РККА 6 машин не при</w:t>
      </w:r>
      <w:r w:rsidRPr="00142305">
        <w:rPr>
          <w:rFonts w:ascii="Times New Roman" w:hAnsi="Times New Roman"/>
          <w:color w:val="0070C0"/>
          <w:sz w:val="16"/>
          <w:szCs w:val="16"/>
        </w:rPr>
        <w:softHyphen/>
        <w:t>няты ни военной приемкой УММ, ни техконтролем завода. Эти машины не могут быть боевыми и даже не могут быть использованы как учебные, вслед</w:t>
      </w:r>
      <w:r w:rsidRPr="00142305">
        <w:rPr>
          <w:rFonts w:ascii="Times New Roman" w:hAnsi="Times New Roman"/>
          <w:color w:val="0070C0"/>
          <w:sz w:val="16"/>
          <w:szCs w:val="16"/>
        </w:rPr>
        <w:softHyphen/>
        <w:t>ствие низкого качества сборки.</w:t>
      </w:r>
    </w:p>
    <w:p w14:paraId="4447DBBB" w14:textId="77777777" w:rsidR="00EF12BA" w:rsidRPr="00142305" w:rsidRDefault="00EF12BA" w:rsidP="00EF12B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результате, несмотря на мобилиза</w:t>
      </w:r>
      <w:r w:rsidRPr="00142305">
        <w:rPr>
          <w:rFonts w:ascii="Times New Roman" w:hAnsi="Times New Roman"/>
          <w:color w:val="0070C0"/>
          <w:sz w:val="16"/>
          <w:szCs w:val="16"/>
        </w:rPr>
        <w:softHyphen/>
        <w:t>цию колоссальных средств и сил, чрез</w:t>
      </w:r>
      <w:r w:rsidRPr="00142305">
        <w:rPr>
          <w:rFonts w:ascii="Times New Roman" w:hAnsi="Times New Roman"/>
          <w:color w:val="0070C0"/>
          <w:sz w:val="16"/>
          <w:szCs w:val="16"/>
        </w:rPr>
        <w:softHyphen/>
        <w:t>вычайные мероприятия высших инстан</w:t>
      </w:r>
      <w:r w:rsidRPr="00142305">
        <w:rPr>
          <w:rFonts w:ascii="Times New Roman" w:hAnsi="Times New Roman"/>
          <w:color w:val="0070C0"/>
          <w:sz w:val="16"/>
          <w:szCs w:val="16"/>
        </w:rPr>
        <w:softHyphen/>
        <w:t>ций, на лицо фактический срыв по БТ...</w:t>
      </w:r>
    </w:p>
    <w:p w14:paraId="13C577D8" w14:textId="77777777" w:rsidR="00EF12BA" w:rsidRPr="00142305" w:rsidRDefault="00EF12BA" w:rsidP="00EF12B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итоге 6-месячной работы (фактичес</w:t>
      </w:r>
      <w:r w:rsidRPr="00142305">
        <w:rPr>
          <w:rFonts w:ascii="Times New Roman" w:hAnsi="Times New Roman"/>
          <w:color w:val="0070C0"/>
          <w:sz w:val="16"/>
          <w:szCs w:val="16"/>
        </w:rPr>
        <w:softHyphen/>
        <w:t>ки можно считать от начала 10 месяцев работы) — сведены к нулю, так как за все время собрано 6 негодных машин».</w:t>
      </w:r>
    </w:p>
    <w:p w14:paraId="199343F5" w14:textId="77777777" w:rsidR="00EF12BA" w:rsidRPr="00142305" w:rsidRDefault="00EF12BA" w:rsidP="00EF12B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силу всех вышеизложенных причин план производства на 1932 год, предус</w:t>
      </w:r>
      <w:r w:rsidRPr="00142305">
        <w:rPr>
          <w:rFonts w:ascii="Times New Roman" w:hAnsi="Times New Roman"/>
          <w:color w:val="0070C0"/>
          <w:sz w:val="16"/>
          <w:szCs w:val="16"/>
        </w:rPr>
        <w:softHyphen/>
        <w:t>матривавший изготовление 600 танков БТ, был сорван. Завод смог предъявить к сдаче только 434 машины, из которых военной приемкой были приняты 396, причем большая часть без вооружения (25009).</w:t>
      </w:r>
    </w:p>
    <w:p w14:paraId="41A2C11B" w14:textId="77777777" w:rsidR="00EF12BA" w:rsidRPr="00142305" w:rsidRDefault="00EF12BA" w:rsidP="00EF12BA">
      <w:pPr>
        <w:spacing w:after="0" w:line="240" w:lineRule="auto"/>
        <w:jc w:val="both"/>
        <w:rPr>
          <w:rFonts w:ascii="Times New Roman" w:hAnsi="Times New Roman"/>
          <w:color w:val="0070C0"/>
          <w:sz w:val="16"/>
          <w:szCs w:val="16"/>
        </w:rPr>
      </w:pPr>
    </w:p>
    <w:p w14:paraId="079C60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апреле 1931 из-за неполадок с двигателем воздушного охлаждения конструкции Гротте на ТГ решили для проведения первого цикла испытаний поставить М-6 (4402).</w:t>
      </w:r>
    </w:p>
    <w:p w14:paraId="152ABF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40B50B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апреле 1931 г. было принято решение для проведения первого цикла испытаний временно устано</w:t>
      </w:r>
      <w:r w:rsidRPr="005E779E">
        <w:rPr>
          <w:rFonts w:ascii="Times New Roman" w:hAnsi="Times New Roman"/>
          <w:color w:val="000000" w:themeColor="text1"/>
          <w:sz w:val="16"/>
          <w:szCs w:val="16"/>
        </w:rPr>
        <w:softHyphen/>
        <w:t>вить на танке ТГ авиационный двигатель М-6-300, что по</w:t>
      </w:r>
      <w:r w:rsidRPr="005E779E">
        <w:rPr>
          <w:rFonts w:ascii="Times New Roman" w:hAnsi="Times New Roman"/>
          <w:color w:val="000000" w:themeColor="text1"/>
          <w:sz w:val="16"/>
          <w:szCs w:val="16"/>
        </w:rPr>
        <w:softHyphen/>
        <w:t>требовало некоторых переделок агрегатов танка, посколь</w:t>
      </w:r>
      <w:r w:rsidRPr="005E779E">
        <w:rPr>
          <w:rFonts w:ascii="Times New Roman" w:hAnsi="Times New Roman"/>
          <w:color w:val="000000" w:themeColor="text1"/>
          <w:sz w:val="16"/>
          <w:szCs w:val="16"/>
        </w:rPr>
        <w:softHyphen/>
        <w:t>ку габариты и характеристики М-6 оказались несколько иными, чем у запланированного двигателя Гроте (работы над двигателем Гроте были продолжены осенью 1931 г.) (10733,248).</w:t>
      </w:r>
    </w:p>
    <w:p w14:paraId="612545A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ED7C64" w14:textId="77777777" w:rsidR="002D39AF" w:rsidRPr="005E779E" w:rsidRDefault="002D39A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апреле 1931 г. было принято решение для проведения испытаний временно установить на танке ТГ авиационный двигатель М-6. К началу июля танк был готов к испытаниям. ТГ отличался от других отечественных и зарубежных машин не только внешним видом, но и технологией изготовления. Он имел полностью сварной корпус. Вооружение размещалось в два яруса. В верхней вращающейся башне была установлена 37-мм пушка конструкции Сячентова (Б-3) с возможностью стрельбы по воздушным целям. В нижней неподвижной боевой рубке размещалось 76-мм танковое орудие конструкции Гроте-Сячентова и три пулемета «Максим» (18975).</w:t>
      </w:r>
    </w:p>
    <w:p w14:paraId="4ACA0409" w14:textId="77777777" w:rsidR="002D39AF" w:rsidRPr="005E779E" w:rsidRDefault="002D39AF" w:rsidP="000B7A6C">
      <w:pPr>
        <w:spacing w:after="0" w:line="240" w:lineRule="auto"/>
        <w:jc w:val="both"/>
        <w:rPr>
          <w:rFonts w:ascii="Times New Roman" w:hAnsi="Times New Roman"/>
          <w:color w:val="000000" w:themeColor="text1"/>
          <w:sz w:val="16"/>
          <w:szCs w:val="16"/>
        </w:rPr>
      </w:pPr>
    </w:p>
    <w:p w14:paraId="0F76A4B2" w14:textId="77777777" w:rsidR="00EF12BA" w:rsidRPr="00142305" w:rsidRDefault="00EF12BA" w:rsidP="00EF12B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апреле 1931 года начались рабо</w:t>
      </w:r>
      <w:r w:rsidRPr="00142305">
        <w:rPr>
          <w:rFonts w:ascii="Times New Roman" w:hAnsi="Times New Roman"/>
          <w:color w:val="0070C0"/>
          <w:sz w:val="16"/>
          <w:szCs w:val="16"/>
        </w:rPr>
        <w:softHyphen/>
        <w:t>ты по установке М-6 мощностью 300 л.с. в ТГ, но тут же воз</w:t>
      </w:r>
      <w:r w:rsidRPr="00142305">
        <w:rPr>
          <w:rFonts w:ascii="Times New Roman" w:hAnsi="Times New Roman"/>
          <w:color w:val="0070C0"/>
          <w:sz w:val="16"/>
          <w:szCs w:val="16"/>
        </w:rPr>
        <w:softHyphen/>
        <w:t>ник ряд проблем. Пришлось переделать часть агрегатов танка, поскольку габари</w:t>
      </w:r>
      <w:r w:rsidRPr="00142305">
        <w:rPr>
          <w:rFonts w:ascii="Times New Roman" w:hAnsi="Times New Roman"/>
          <w:color w:val="0070C0"/>
          <w:sz w:val="16"/>
          <w:szCs w:val="16"/>
        </w:rPr>
        <w:softHyphen/>
        <w:t>ты М-6 оказались несколько большими, чем у двигателя Гроте. Кроме того, по</w:t>
      </w:r>
      <w:r w:rsidRPr="00142305">
        <w:rPr>
          <w:rFonts w:ascii="Times New Roman" w:hAnsi="Times New Roman"/>
          <w:color w:val="0070C0"/>
          <w:sz w:val="16"/>
          <w:szCs w:val="16"/>
        </w:rPr>
        <w:softHyphen/>
        <w:t>требовалось внести изменения в короб</w:t>
      </w:r>
      <w:r w:rsidRPr="00142305">
        <w:rPr>
          <w:rFonts w:ascii="Times New Roman" w:hAnsi="Times New Roman"/>
          <w:color w:val="0070C0"/>
          <w:sz w:val="16"/>
          <w:szCs w:val="16"/>
        </w:rPr>
        <w:softHyphen/>
        <w:t>ку перемены передач и некоторые агре</w:t>
      </w:r>
      <w:r w:rsidRPr="00142305">
        <w:rPr>
          <w:rFonts w:ascii="Times New Roman" w:hAnsi="Times New Roman"/>
          <w:color w:val="0070C0"/>
          <w:sz w:val="16"/>
          <w:szCs w:val="16"/>
        </w:rPr>
        <w:softHyphen/>
        <w:t>гаты трансмиссии. Все это требовало не</w:t>
      </w:r>
      <w:r w:rsidRPr="00142305">
        <w:rPr>
          <w:rFonts w:ascii="Times New Roman" w:hAnsi="Times New Roman"/>
          <w:color w:val="0070C0"/>
          <w:sz w:val="16"/>
          <w:szCs w:val="16"/>
        </w:rPr>
        <w:softHyphen/>
        <w:t>малого времени, и только к началу июля машина была готова к испытаниям (25010).</w:t>
      </w:r>
    </w:p>
    <w:p w14:paraId="5598F543" w14:textId="77777777" w:rsidR="00EF12BA" w:rsidRPr="00142305" w:rsidRDefault="00EF12BA" w:rsidP="00EF12BA">
      <w:pPr>
        <w:spacing w:after="0" w:line="240" w:lineRule="auto"/>
        <w:jc w:val="both"/>
        <w:rPr>
          <w:rFonts w:ascii="Times New Roman" w:hAnsi="Times New Roman"/>
          <w:color w:val="0070C0"/>
          <w:sz w:val="16"/>
          <w:szCs w:val="16"/>
        </w:rPr>
      </w:pPr>
    </w:p>
    <w:p w14:paraId="6805F8CF" w14:textId="77777777" w:rsidR="00EF12BA" w:rsidRPr="00142305" w:rsidRDefault="00EF12BA" w:rsidP="00EF12B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апреле 1931 г. для проведения первого цикла испытаний на танке ТГ временно установили авиационный двигатель М-6. Поскольку габариты М-6 были несколько больше габаритов двигателя Гротте, потребовалась переделка некоторых агрегатов танка. Только к началу июля 1931 г. танк более-менее был готов к испытаниям (25184).</w:t>
      </w:r>
    </w:p>
    <w:p w14:paraId="48270580" w14:textId="77777777" w:rsidR="00EF12BA" w:rsidRPr="00142305" w:rsidRDefault="00EF12BA" w:rsidP="00EF12BA">
      <w:pPr>
        <w:spacing w:after="0" w:line="240" w:lineRule="auto"/>
        <w:jc w:val="both"/>
        <w:rPr>
          <w:rFonts w:ascii="Times New Roman" w:hAnsi="Times New Roman"/>
          <w:color w:val="0070C0"/>
          <w:sz w:val="16"/>
          <w:szCs w:val="16"/>
        </w:rPr>
      </w:pPr>
    </w:p>
    <w:p w14:paraId="4309A2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апреле 1931 на испытания подали 76.2 мм орудие для танка ТГ ПС-19 (А-19), разработанного П.Сячентовым на основе зенитной пушки 1914/15 Тарновского и Лендера. Отдача - сильнее, чем требовалась (4658, 22).</w:t>
      </w:r>
    </w:p>
    <w:p w14:paraId="63BBB6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34543F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апреле 1931 г. подоспело и 76,2-мм орудие А-19 (ПС-19) для ТГ. Это было для своего времени самое мощное тан</w:t>
      </w:r>
      <w:r w:rsidRPr="005E779E">
        <w:rPr>
          <w:rFonts w:ascii="Times New Roman" w:hAnsi="Times New Roman"/>
          <w:color w:val="000000" w:themeColor="text1"/>
          <w:sz w:val="16"/>
          <w:szCs w:val="16"/>
        </w:rPr>
        <w:softHyphen/>
        <w:t>ковое орудие в мире. Создавая его, П.Сячинтов использо</w:t>
      </w:r>
      <w:r w:rsidRPr="005E779E">
        <w:rPr>
          <w:rFonts w:ascii="Times New Roman" w:hAnsi="Times New Roman"/>
          <w:color w:val="000000" w:themeColor="text1"/>
          <w:sz w:val="16"/>
          <w:szCs w:val="16"/>
        </w:rPr>
        <w:softHyphen/>
        <w:t>вал зенитную пушку обр. 1914/15 гг., более известную по именам ее создателей — Тарновского и Лендера. Но впи</w:t>
      </w:r>
      <w:r w:rsidRPr="005E779E">
        <w:rPr>
          <w:rFonts w:ascii="Times New Roman" w:hAnsi="Times New Roman"/>
          <w:color w:val="000000" w:themeColor="text1"/>
          <w:sz w:val="16"/>
          <w:szCs w:val="16"/>
        </w:rPr>
        <w:softHyphen/>
        <w:t>саться в жестко заданные габариты с этим орудием оказа</w:t>
      </w:r>
      <w:r w:rsidRPr="005E779E">
        <w:rPr>
          <w:rFonts w:ascii="Times New Roman" w:hAnsi="Times New Roman"/>
          <w:color w:val="000000" w:themeColor="text1"/>
          <w:sz w:val="16"/>
          <w:szCs w:val="16"/>
        </w:rPr>
        <w:softHyphen/>
        <w:t>лось непросто. По предложению Э. Гроте конструктор ра</w:t>
      </w:r>
      <w:r w:rsidRPr="005E779E">
        <w:rPr>
          <w:rFonts w:ascii="Times New Roman" w:hAnsi="Times New Roman"/>
          <w:color w:val="000000" w:themeColor="text1"/>
          <w:sz w:val="16"/>
          <w:szCs w:val="16"/>
        </w:rPr>
        <w:softHyphen/>
        <w:t>дикально переработал орудие. В частности, он убрал тор</w:t>
      </w:r>
      <w:r w:rsidRPr="005E779E">
        <w:rPr>
          <w:rFonts w:ascii="Times New Roman" w:hAnsi="Times New Roman"/>
          <w:color w:val="000000" w:themeColor="text1"/>
          <w:sz w:val="16"/>
          <w:szCs w:val="16"/>
        </w:rPr>
        <w:softHyphen/>
        <w:t>моз отката и накатник из-под ствола, поместив их справа и слева, изменил конструкцию люльки, ввел специальный гильзоулавливатель и дульный тормоз. Но первый отстрел орудия, произведенный с полевого лафета, показал увели</w:t>
      </w:r>
      <w:r w:rsidRPr="005E779E">
        <w:rPr>
          <w:rFonts w:ascii="Times New Roman" w:hAnsi="Times New Roman"/>
          <w:color w:val="000000" w:themeColor="text1"/>
          <w:sz w:val="16"/>
          <w:szCs w:val="16"/>
        </w:rPr>
        <w:softHyphen/>
        <w:t>ченную реакцию отдачи на лафет. Для устранения этого яв</w:t>
      </w:r>
      <w:r w:rsidRPr="005E779E">
        <w:rPr>
          <w:rFonts w:ascii="Times New Roman" w:hAnsi="Times New Roman"/>
          <w:color w:val="000000" w:themeColor="text1"/>
          <w:sz w:val="16"/>
          <w:szCs w:val="16"/>
        </w:rPr>
        <w:softHyphen/>
        <w:t>ления на пушке установили новый дульный тормоз конст</w:t>
      </w:r>
      <w:r w:rsidRPr="005E779E">
        <w:rPr>
          <w:rFonts w:ascii="Times New Roman" w:hAnsi="Times New Roman"/>
          <w:color w:val="000000" w:themeColor="text1"/>
          <w:sz w:val="16"/>
          <w:szCs w:val="16"/>
        </w:rPr>
        <w:softHyphen/>
        <w:t>рукции Иванова. Доработанная пушка получила индекс ПС-19 и во время отстрела вела себя неплохо, но при веде</w:t>
      </w:r>
      <w:r w:rsidRPr="005E779E">
        <w:rPr>
          <w:rFonts w:ascii="Times New Roman" w:hAnsi="Times New Roman"/>
          <w:color w:val="000000" w:themeColor="text1"/>
          <w:sz w:val="16"/>
          <w:szCs w:val="16"/>
        </w:rPr>
        <w:softHyphen/>
        <w:t>нии непрерывной стрельбы предусмотренная в проекте по</w:t>
      </w:r>
      <w:r w:rsidRPr="005E779E">
        <w:rPr>
          <w:rFonts w:ascii="Times New Roman" w:hAnsi="Times New Roman"/>
          <w:color w:val="000000" w:themeColor="text1"/>
          <w:sz w:val="16"/>
          <w:szCs w:val="16"/>
        </w:rPr>
        <w:softHyphen/>
        <w:t>луавтоматика часто отказывала, что приводило к необходи</w:t>
      </w:r>
      <w:r w:rsidRPr="005E779E">
        <w:rPr>
          <w:rFonts w:ascii="Times New Roman" w:hAnsi="Times New Roman"/>
          <w:color w:val="000000" w:themeColor="text1"/>
          <w:sz w:val="16"/>
          <w:szCs w:val="16"/>
        </w:rPr>
        <w:softHyphen/>
        <w:t>мости ручного разряжания. В верхнюю башенку была установлена 37-мм пушка большой мощности ПС-2, также разработанная П. Сячинтовым. Особенностью установки этого орудия была возмож</w:t>
      </w:r>
      <w:r w:rsidRPr="005E779E">
        <w:rPr>
          <w:rFonts w:ascii="Times New Roman" w:hAnsi="Times New Roman"/>
          <w:color w:val="000000" w:themeColor="text1"/>
          <w:sz w:val="16"/>
          <w:szCs w:val="16"/>
        </w:rPr>
        <w:softHyphen/>
        <w:t>ность ведения из него наземно-зенитной стрельбы. Кстати, от своих собратьев, установленных позднее на опытные тан</w:t>
      </w:r>
      <w:r w:rsidRPr="005E779E">
        <w:rPr>
          <w:rFonts w:ascii="Times New Roman" w:hAnsi="Times New Roman"/>
          <w:color w:val="000000" w:themeColor="text1"/>
          <w:sz w:val="16"/>
          <w:szCs w:val="16"/>
        </w:rPr>
        <w:softHyphen/>
        <w:t>ки Т-26 и прототипы Т-35, первый образец ПС-2, смонтиро</w:t>
      </w:r>
      <w:r w:rsidRPr="005E779E">
        <w:rPr>
          <w:rFonts w:ascii="Times New Roman" w:hAnsi="Times New Roman"/>
          <w:color w:val="000000" w:themeColor="text1"/>
          <w:sz w:val="16"/>
          <w:szCs w:val="16"/>
        </w:rPr>
        <w:softHyphen/>
        <w:t>ванный в ТГ, отличался большей длиной ствола (10733,249).</w:t>
      </w:r>
    </w:p>
    <w:p w14:paraId="034DD3C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C2E3E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апреле 1931 г. был предложен проект манев</w:t>
      </w:r>
      <w:r w:rsidRPr="005E779E">
        <w:rPr>
          <w:rFonts w:ascii="Times New Roman" w:hAnsi="Times New Roman"/>
          <w:color w:val="000000" w:themeColor="text1"/>
          <w:sz w:val="16"/>
          <w:szCs w:val="16"/>
        </w:rPr>
        <w:softHyphen/>
        <w:t>ренного (среднего) танка под индексом Т-1001, или ТА-1 (некоторые расшифровывают его как «танк Асафова»). Танк должен был позаимствовать вооружение от ТГ (76-мм пушка А-19, 37-мм пушка ПС-2, 5 пулеметов). Но ходовая часть и трансмиссия должны были стать проще и надежнее. Конструкторами была выбрана индивидуальная пру</w:t>
      </w:r>
      <w:r w:rsidRPr="005E779E">
        <w:rPr>
          <w:rFonts w:ascii="Times New Roman" w:hAnsi="Times New Roman"/>
          <w:color w:val="000000" w:themeColor="text1"/>
          <w:sz w:val="16"/>
          <w:szCs w:val="16"/>
        </w:rPr>
        <w:softHyphen/>
        <w:t xml:space="preserve">жинная подвеска Кристи на пяти парах катков, а также гусеница гребневого зацепления по типу Кристи. </w:t>
      </w:r>
      <w:r w:rsidRPr="005E779E">
        <w:rPr>
          <w:rFonts w:ascii="Times New Roman" w:hAnsi="Times New Roman"/>
          <w:color w:val="000000" w:themeColor="text1"/>
          <w:sz w:val="16"/>
          <w:szCs w:val="16"/>
        </w:rPr>
        <w:lastRenderedPageBreak/>
        <w:t>В качес</w:t>
      </w:r>
      <w:r w:rsidRPr="005E779E">
        <w:rPr>
          <w:rFonts w:ascii="Times New Roman" w:hAnsi="Times New Roman"/>
          <w:color w:val="000000" w:themeColor="text1"/>
          <w:sz w:val="16"/>
          <w:szCs w:val="16"/>
        </w:rPr>
        <w:softHyphen/>
        <w:t>тве силового агрегата первоначально думали применить мотор «Либерти», но поскольку авиапромышленность осваивала лицензионный выпуск BMW-IV, проект был скорректирован под него. Внешне танк напоминал машину Гроте, и его вооруже</w:t>
      </w:r>
      <w:r w:rsidRPr="005E779E">
        <w:rPr>
          <w:rFonts w:ascii="Times New Roman" w:hAnsi="Times New Roman"/>
          <w:color w:val="000000" w:themeColor="text1"/>
          <w:sz w:val="16"/>
          <w:szCs w:val="16"/>
        </w:rPr>
        <w:softHyphen/>
        <w:t>ние также располагалось в три яруса, но в виду того, что бое</w:t>
      </w:r>
      <w:r w:rsidRPr="005E779E">
        <w:rPr>
          <w:rFonts w:ascii="Times New Roman" w:hAnsi="Times New Roman"/>
          <w:color w:val="000000" w:themeColor="text1"/>
          <w:sz w:val="16"/>
          <w:szCs w:val="16"/>
        </w:rPr>
        <w:softHyphen/>
        <w:t>комплект в башнях был размещен вдоль стенок стоймя, а индивидуальная пружинная подвеска имела большой ход опорных катков, установить два бортовых пулемета не пред</w:t>
      </w:r>
      <w:r w:rsidRPr="005E779E">
        <w:rPr>
          <w:rFonts w:ascii="Times New Roman" w:hAnsi="Times New Roman"/>
          <w:color w:val="000000" w:themeColor="text1"/>
          <w:sz w:val="16"/>
          <w:szCs w:val="16"/>
        </w:rPr>
        <w:softHyphen/>
        <w:t>ставлялось возможным. Поэтому зачетная версия Т-1001 имела лишь три пулемета (курсовой и кормовые башенные). Куполообразные (полусферические) башни танка, защи</w:t>
      </w:r>
      <w:r w:rsidRPr="005E779E">
        <w:rPr>
          <w:rFonts w:ascii="Times New Roman" w:hAnsi="Times New Roman"/>
          <w:color w:val="000000" w:themeColor="text1"/>
          <w:sz w:val="16"/>
          <w:szCs w:val="16"/>
        </w:rPr>
        <w:softHyphen/>
        <w:t>щенные броней 13 (малая) и 20 мм (большая), предлагалось изготавливать штамповкой и сваркой. Командир и механик-водитель имели стробоскопические приборы наблюдения. Боевой вес танка должен был составить 18—18,5 т и иметь максимальную скорость движения по шоссе не менее Проект Т-3 рассматривался в начале 1932 г. в качестве возможного кандидата на серийное производство, но по целому ряду критериев победил пятибашенный Т-35 (10733,255).</w:t>
      </w:r>
    </w:p>
    <w:p w14:paraId="5EAD972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8D28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апреле 1931 КГ в составе Асафова, Алексеева и Скворцова, созданная весной 1931 по заданию ЭКО ОГПУ ЛВО, разработала проект среднего танка с мощным вооружением ТА-1 - первый из трех, разработанных до осени (9527,117).</w:t>
      </w:r>
    </w:p>
    <w:p w14:paraId="76512B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2F734CA" w14:textId="77777777" w:rsidR="00354892" w:rsidRPr="005E779E" w:rsidRDefault="003548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апреле 1931 г. было принято решение для проведения испытаний временно установить на танке ТГ авиационный двигатель М-6. К началу июля танк был готов к испытаниям. ТГ отличался от других отечественных и зарубежных машин не только внешним видом, но и технологией изготовления. Он имел полностью свар ной корпус. Вооружение размещалось в два яруса. В верхней вращающейся башне была установлена 37-мм пушка конструкции Сячентова, с возможностью стрельбы по воздушным целям. В нижней неподвижной боевой рубке размещалось 76-мм танковое орудие конструкции Гроте-Сячентова и три пулемёта «максим». Главное орудие танка по тому времени являлось самым мощным из существующих подобных пушек. Как показали испытания, по кучности боя и разрывному действию боеприпасов орудие оказалось превосходным. В бортах ТГ были размещены ещё два пулемёта ДТ. Танк имел много оригинальных решений ходовой части. Находясь на полу цеха без гусениц, он свободно перекатывался с места на место усилием 2-3 человек. Экипаж танка состоял из 5 человек: механика-водителя, командира (он же наводчик 37-мм орудия), пулемётчика и двух человек, обслуживающих 76-мм орудие (15132).</w:t>
      </w:r>
    </w:p>
    <w:p w14:paraId="00B10121" w14:textId="77777777" w:rsidR="00354892" w:rsidRPr="005E779E" w:rsidRDefault="00354892" w:rsidP="000B7A6C">
      <w:pPr>
        <w:spacing w:after="0" w:line="240" w:lineRule="auto"/>
        <w:jc w:val="both"/>
        <w:rPr>
          <w:rFonts w:ascii="Times New Roman" w:hAnsi="Times New Roman"/>
          <w:color w:val="000000" w:themeColor="text1"/>
          <w:sz w:val="16"/>
          <w:szCs w:val="16"/>
        </w:rPr>
      </w:pPr>
    </w:p>
    <w:p w14:paraId="2184F7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апреле 1931 завод № 2 ВАТО изготовил малый трактор на базе легкого танка Т-18 и в июне он прошел испытания на научном инженерно-техническом полигоне РККА. Из-за малого хода, маломощного двигателя и сложности в эксплуатации работы по машине прекратили (9527,211)</w:t>
      </w:r>
    </w:p>
    <w:p w14:paraId="050494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апрель 1931 года реальных производственных мощностей по иприту было уже на 15 800 тонн и строились заводы еще на 18 000 тонн иприта (9633).</w:t>
      </w:r>
    </w:p>
    <w:p w14:paraId="1BC919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CE58D0E" w14:textId="77777777" w:rsidR="00EF2E51" w:rsidRPr="005E779E" w:rsidRDefault="00EF2E5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апреле 1931 г. заказ на танки Т-24 был сокращен до 80, а затем и до 24 машин (постановление Комиссии обороны СССР от 23 мая 1931 г.) (12303).</w:t>
      </w:r>
    </w:p>
    <w:p w14:paraId="5D60F99C" w14:textId="77777777" w:rsidR="00EF2E51" w:rsidRPr="005E779E" w:rsidRDefault="00EF2E51" w:rsidP="000B7A6C">
      <w:pPr>
        <w:spacing w:after="0" w:line="240" w:lineRule="auto"/>
        <w:jc w:val="both"/>
        <w:rPr>
          <w:rFonts w:ascii="Times New Roman" w:hAnsi="Times New Roman"/>
          <w:color w:val="000000" w:themeColor="text1"/>
          <w:sz w:val="16"/>
          <w:szCs w:val="16"/>
        </w:rPr>
      </w:pPr>
    </w:p>
    <w:p w14:paraId="6C54BB9C" w14:textId="77777777" w:rsidR="00EF2E51" w:rsidRPr="005E779E" w:rsidRDefault="00EF2E5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течение апреля—июня 1931 г. представители УММ РККА П.С. Озеров и В.И. Заславский внесли в конструкцию Т-24 около 200 различных изменений.9 июля 1931 г. завод провел «большое испытание» танка Т-24 пробегом на 60 км, в ходе которого проверялась работа радиатора и вентилятора системы охлаждения двигателя, тормозов, определялись тяговые качества и предельные скорости, а также управляемость машины. При этом танк показал прекрасные тяговые качества (на второй передаче скорость движения составляла до 6 км/ч, на третьей — до 16 км/ч и на четвертой — до 27 км/ч). Радиатор и вентилятор системы охлаждения двигателя функционировали без замечаний (температура воды и масла не превышала допустимых значений). Не имелось замечаний и по работе тормозов: обеспечивалась хорошая пово-рачиваемость машины на месте на третьей и даже на четвертой скоростях.В августе 1931 г. ХПЗ сдал заказчику всего три танка Т-24, окончательную сборку еще трех машин завод не смог завершить из-за отсутствия башен, которые к этому времени не поставил Ижорский завод. Недостающие башни на завод поступили только в сентябре. Всего до 15 октября 1931 г. Ижорский завод отправил на ХПЗ 25 больших и 25 малых башен (12303).</w:t>
      </w:r>
    </w:p>
    <w:p w14:paraId="09AE416B" w14:textId="77777777" w:rsidR="00EF2E51" w:rsidRPr="005E779E" w:rsidRDefault="00EF2E51" w:rsidP="000B7A6C">
      <w:pPr>
        <w:spacing w:after="0" w:line="240" w:lineRule="auto"/>
        <w:jc w:val="both"/>
        <w:rPr>
          <w:rFonts w:ascii="Times New Roman" w:hAnsi="Times New Roman"/>
          <w:color w:val="000000" w:themeColor="text1"/>
          <w:sz w:val="16"/>
          <w:szCs w:val="16"/>
        </w:rPr>
      </w:pPr>
    </w:p>
    <w:p w14:paraId="7D104F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апреле 1931 был готов малый (легковой) трактор РККА с использованием узлов Т-16, спроектированный ГКБ ГАУ и изготовленный 2-м автозаводом ВАТО (4243,31).</w:t>
      </w:r>
    </w:p>
    <w:p w14:paraId="75B98E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05632E1" w14:textId="77777777" w:rsidR="00F61E05" w:rsidRPr="005E779E" w:rsidRDefault="00F61E0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апреле 1931 г. по постановлению Особого совещания при коллегии ОГПУ на основании ст. 58-10 УК РСФСР ученого приговорили «к заключению сроком на 3 года с отбыванием заключения в концлагере – ИТЛ».</w:t>
      </w:r>
    </w:p>
    <w:p w14:paraId="25EAB237" w14:textId="77777777" w:rsidR="00F61E05" w:rsidRPr="005E779E" w:rsidRDefault="00F61E0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Брилинг заведовал бюро по проектированию автотанковых и авиационных двигателей. ОГПУ организовало бюро в самом центре Москвы, на Никольской улице. В нем при заводе № 24 в Москве создавался двухтактный дизель Н-5 (Н – нефтяной) мощностью 2000 л.с., массой 3000 кг. Другое название, данное двигателю заключенными, – ФЭД-8 (Феликс Эдмундович Дзержинский). Также в ОКБ были спроектированы и прошли испытания дизельные двигатели ЯГГ (Г.Г. Ягода). В «традициях» шарашки было и название «Коджу» – Коба Джугашвили.</w:t>
      </w:r>
    </w:p>
    <w:p w14:paraId="37C39E9B" w14:textId="77777777" w:rsidR="00F61E05" w:rsidRPr="005E779E" w:rsidRDefault="00F61E0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Ученый заведовал ОПБ НКВД до 1933 г., когда были освобождены другие двигателисты. Провести конкурсные испытания дизельных автомобилей и дать рекомендации для внедрения их в отечественную промышленность НАТИ (НАМИ) обязывалось постановлением ВСНХ еще в октябре 1930 г. (21328).</w:t>
      </w:r>
    </w:p>
    <w:p w14:paraId="66A863BE" w14:textId="77777777" w:rsidR="00F61E05" w:rsidRPr="005E779E" w:rsidRDefault="00F61E05" w:rsidP="000B7A6C">
      <w:pPr>
        <w:spacing w:after="0" w:line="240" w:lineRule="auto"/>
        <w:jc w:val="both"/>
        <w:rPr>
          <w:rFonts w:ascii="Times New Roman" w:hAnsi="Times New Roman"/>
          <w:color w:val="000000" w:themeColor="text1"/>
          <w:sz w:val="16"/>
          <w:szCs w:val="16"/>
        </w:rPr>
      </w:pPr>
    </w:p>
    <w:p w14:paraId="6AA027C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апреле 1931 года доработать бронемашину «Форд-А» с башней или «Форд-А» Рож</w:t>
      </w:r>
      <w:r w:rsidRPr="005E779E">
        <w:rPr>
          <w:rFonts w:ascii="Times New Roman" w:hAnsi="Times New Roman"/>
          <w:color w:val="000000" w:themeColor="text1"/>
          <w:sz w:val="16"/>
          <w:szCs w:val="16"/>
        </w:rPr>
        <w:softHyphen/>
        <w:t>кова поручили все тому же Дыренкову. Однако конструктор не был за</w:t>
      </w:r>
      <w:r w:rsidRPr="005E779E">
        <w:rPr>
          <w:rFonts w:ascii="Times New Roman" w:hAnsi="Times New Roman"/>
          <w:color w:val="000000" w:themeColor="text1"/>
          <w:sz w:val="16"/>
          <w:szCs w:val="16"/>
        </w:rPr>
        <w:softHyphen/>
        <w:t>интересован в доводке «чужой» машины — он всеми силами «проталкивал» производство своих бронемашин Д-8 и Д-12, а также другие свои проекты. Поэтому вплоть до весны 1932 года работы по усовершенствованию *Форда-А» с башней не проводились (11284).</w:t>
      </w:r>
    </w:p>
    <w:p w14:paraId="1D22A69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5D58D3" w14:textId="6666D566"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Апрель 1931 стал месяцем настоящего штурма: не имея никакого опыта, работники ХАСЗ раскрывали одну за другой тайны производства мотоциклов.</w:t>
      </w:r>
    </w:p>
    <w:p w14:paraId="7925876B" w14:textId="4124F484"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Заводу явно не хватало ква-лифицированных специалистов. Не в последнюю очередь это было вызвано неудобным расположе-нием предприятия: сойдя с трам-вая на конечной остановке, надо было идти километра два Ивановкой, потом еще километр бе-регом Лопани. Летом - куда ни шло, а в остальные поры года, да еще по ночам... В общем - небезопасно. Да еще горсовет отме-нил автобусный маршрут. Поэтому и работали на заводе в основном проживающие по-соседству.</w:t>
      </w:r>
    </w:p>
    <w:p w14:paraId="2FC8FBDF" w14:textId="120767C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Никто не помог заводчанам получить ни грамотную техническую документацию, ни консультацию. Решили обойтись своими силами. Долго не ладилось с отливкой цилиндров и картеров - научились, в конце концов. Сказался-таки 35-летний стаж бригадира литейщиков Лапина, сумел он настроить коллектив, пошло качество.</w:t>
      </w:r>
    </w:p>
    <w:p w14:paraId="4C737859" w14:textId="4752B715"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Рабочие Майборода, Радионов, Зозуля, Антипенко, Попов, конструктор мотоциклов Солдатенко, руководитель выпуска Юсфин, главный инженер Куд-рявцев - все они в условиях нехватки стали, инструментов, литья - работали последние полтора месяца по 20-23 часа в сутки и обеспечили-таки выпуск мото-циклов "ХМЗ" в срок. За 25 дней сделали 6 моделей ПЕРВЫХ советских мотоциклов ПОЛНОС-ТЬЮ ИЗ ОТЕЧЕСТВЕННЫХ МАТЕРИАЛОВ (11602).</w:t>
      </w:r>
    </w:p>
    <w:p w14:paraId="04DCBC1D"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41CCA3" w14:textId="77777777" w:rsidR="003E2874" w:rsidRPr="005E779E" w:rsidRDefault="003E2874" w:rsidP="000B7A6C">
      <w:pPr>
        <w:spacing w:after="0" w:line="240" w:lineRule="auto"/>
        <w:jc w:val="both"/>
        <w:rPr>
          <w:rFonts w:ascii="Times New Roman" w:hAnsi="Times New Roman"/>
          <w:color w:val="000000" w:themeColor="text1"/>
          <w:sz w:val="16"/>
          <w:szCs w:val="16"/>
          <w:shd w:val="clear" w:color="auto" w:fill="FFFFFF"/>
        </w:rPr>
      </w:pPr>
      <w:r w:rsidRPr="005E779E">
        <w:rPr>
          <w:rFonts w:ascii="Times New Roman" w:hAnsi="Times New Roman"/>
          <w:color w:val="000000" w:themeColor="text1"/>
          <w:sz w:val="16"/>
          <w:szCs w:val="16"/>
          <w:shd w:val="clear" w:color="auto" w:fill="FFFFFF"/>
        </w:rPr>
        <w:t>В апреле 1931 г. в Москве, в Пассаже на Петровке, открылась выставка, на которой демонстрировались девять самых разных глиссеров с воздушными винтами и один реданный глиссер под подвесной мотор. Проходила выставка под лозунгами: «Поставим новейшие виды моторного транспорта на службу пролетариату! Даешь серийный выпуск глиссеров!» Об экспонатах этой выставки подробно рассказывается в статье Г. С. Малиновского «Глиссеры тридцатых годов» (</w:t>
      </w:r>
      <w:hyperlink r:id="rId85" w:history="1">
        <w:r w:rsidRPr="005E779E">
          <w:rPr>
            <w:rStyle w:val="a5"/>
            <w:rFonts w:ascii="Times New Roman" w:hAnsi="Times New Roman"/>
            <w:color w:val="000000" w:themeColor="text1"/>
            <w:sz w:val="16"/>
            <w:szCs w:val="16"/>
            <w:shd w:val="clear" w:color="auto" w:fill="FFFFFF"/>
          </w:rPr>
          <w:t>сборник №11</w:t>
        </w:r>
      </w:hyperlink>
      <w:r w:rsidRPr="005E779E">
        <w:rPr>
          <w:rFonts w:ascii="Times New Roman" w:hAnsi="Times New Roman"/>
          <w:color w:val="000000" w:themeColor="text1"/>
          <w:sz w:val="16"/>
          <w:szCs w:val="16"/>
          <w:shd w:val="clear" w:color="auto" w:fill="FFFFFF"/>
        </w:rPr>
        <w:t>), к которой мы и отсылаем читателя. Отметим только, что глиссеров, равных 40-местному «Автодору-16», не имелось тогда нигде в мире! (21503).</w:t>
      </w:r>
    </w:p>
    <w:p w14:paraId="15546CF3" w14:textId="77777777" w:rsidR="003E2874" w:rsidRPr="005E779E" w:rsidRDefault="003E2874" w:rsidP="000B7A6C">
      <w:pPr>
        <w:spacing w:after="0" w:line="240" w:lineRule="auto"/>
        <w:jc w:val="both"/>
        <w:rPr>
          <w:rFonts w:ascii="Times New Roman" w:hAnsi="Times New Roman"/>
          <w:color w:val="000000" w:themeColor="text1"/>
          <w:sz w:val="16"/>
          <w:szCs w:val="16"/>
          <w:shd w:val="clear" w:color="auto" w:fill="FFFFFF"/>
        </w:rPr>
      </w:pPr>
    </w:p>
    <w:p w14:paraId="2329467B"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01819B07"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42513D0" w14:textId="77777777" w:rsidR="002D39AF" w:rsidRPr="005E779E" w:rsidRDefault="002D39AF" w:rsidP="000B7A6C">
      <w:pPr>
        <w:pStyle w:val="a8"/>
        <w:jc w:val="both"/>
        <w:rPr>
          <w:rFonts w:ascii="Times New Roman" w:hAnsi="Times New Roman" w:cs="Times New Roman"/>
          <w:color w:val="000000" w:themeColor="text1"/>
        </w:rPr>
      </w:pPr>
      <w:r w:rsidRPr="005E779E">
        <w:rPr>
          <w:rFonts w:ascii="Times New Roman" w:hAnsi="Times New Roman" w:cs="Times New Roman"/>
          <w:color w:val="000000" w:themeColor="text1"/>
        </w:rPr>
        <w:t>В апреле 1931 г. инструкторы Л.Г. Минов и Я.Д. Мошковский прибыли в Евпаторию для обучения личного состава 29-й эскадрильи с тремя тренировочными парашютами «Ирвин». Летчики прыгали с самолетов Р-1 и Фоккер. 23 апреля, совершая учебный прыжок, погиб командир отряда Журавлев. В свободном падении он перевернулся и вытяжной парашютик зацепился за голову, а потом оторвался. Купол раскрылся не полностью и не симметрично. Журавлев попытался открыть запасной парашют, но это имело место уже в 10 - 12 м над землей. Летчик умер от сотрясения мозга. Через два дня Мошковский демонстративно прыгнул с парашютом покойного Журавлева и благополучно приземлился. Обучение дало свои результаты: 6 июня летчик Ямпольский успешно выпрыгнул из истребителя И-4, у которого на выходе из пикирования оторвалось верхнее крыло.</w:t>
      </w:r>
    </w:p>
    <w:p w14:paraId="7D75FC36" w14:textId="77777777" w:rsidR="002D39AF" w:rsidRPr="005E779E" w:rsidRDefault="002D39AF" w:rsidP="000B7A6C">
      <w:pPr>
        <w:pStyle w:val="a8"/>
        <w:jc w:val="both"/>
        <w:rPr>
          <w:rFonts w:ascii="Times New Roman" w:hAnsi="Times New Roman" w:cs="Times New Roman"/>
          <w:color w:val="000000" w:themeColor="text1"/>
        </w:rPr>
      </w:pPr>
      <w:r w:rsidRPr="005E779E">
        <w:rPr>
          <w:rFonts w:ascii="Times New Roman" w:hAnsi="Times New Roman" w:cs="Times New Roman"/>
          <w:color w:val="000000" w:themeColor="text1"/>
        </w:rPr>
        <w:t>Парашюты еще не раз спасали жизни летчикам. 16 сентября 1931 г. командир отряда Батрак при сборе группы истребителей в воздухе столкнулся с командиром другого отряда Цыбулько. Оба И-4 перешли в беспорядочное падение. На высоте около 900 м летчики воспользовались парашютами. Батрак, при столкновении получивший серьезное ранение головы, во время спуска потерял сознание, но приземлились оба пилота благополучно (19100).</w:t>
      </w:r>
    </w:p>
    <w:p w14:paraId="32598D44" w14:textId="77777777" w:rsidR="002D39AF" w:rsidRPr="005E779E" w:rsidRDefault="002D39AF" w:rsidP="000B7A6C">
      <w:pPr>
        <w:pStyle w:val="a8"/>
        <w:jc w:val="both"/>
        <w:rPr>
          <w:rFonts w:ascii="Times New Roman" w:hAnsi="Times New Roman" w:cs="Times New Roman"/>
          <w:color w:val="000000" w:themeColor="text1"/>
        </w:rPr>
      </w:pPr>
    </w:p>
    <w:p w14:paraId="308D48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апреля 1931 против туркменских кочевников, кочевавших в пустыне Каракумы бросили Туркменскую авиагруппу.</w:t>
      </w:r>
    </w:p>
    <w:p w14:paraId="371175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Кочевники грабили небольшие населенные пункты, имели место столкновения с милицией и воинскими подразделениями. Туркмены показали себя хорошими бойцами, дисциплинированными, стойкими, владеющими тактикой партизанской войны. Посланные против них отряды частенько попадали в засады.</w:t>
      </w:r>
    </w:p>
    <w:p w14:paraId="33D205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Вначале Туркменская авиагруппа состояла из одного усиленного отряда 37-й эскадрильи и включала 15 самолетов. Семь машин разместили в Кызыл-Арвате, пять - в Ташаузе и три - в Кушке. Первый боевой вылет совершил командир 35-го отряда А.И. Калюжнов утром 7 апреля. Но в ходе разведки удалось обнаружить только пасущийся скот. Позже в тот же день встретили и первых басмачей. Около 20 конников спускались в долину, при появлении самолета они рассеялись.</w:t>
      </w:r>
    </w:p>
    <w:p w14:paraId="1B27F1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На следующий день сбросили первые бомбы на небольшие группы численностью до 50 человек. 10 апреля у кишлака Шурга обнаружили банду уже в 200 сабель. Ее атаковало звено Р-ЗЛД.</w:t>
      </w:r>
    </w:p>
    <w:p w14:paraId="6667DA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апреля летчики впервые попали под ответный огонь с земли. Басмачи обстреляли самолеты Мищенко и Недо- секина. На другой день авиаторы смогли выручить из беды красных кавалеристов. Разъезд напоролся на отступавшую банду примерно из 250 всадников. Его быстро бы изрубили, но на помощь пришли самолеты. Пулеметным огнем и бомбами они отогнали противника.</w:t>
      </w:r>
    </w:p>
    <w:p w14:paraId="392F3F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Туркмении успешно применяли ту же тактику, что и в Таджикистане. 29 апреля летчик Митрофанов нашел на горе Хасан-Дог банду, отдыхавшую в тени деревьев. Вымпелами он навел на нее три эскадрона, окруживших врага. Когда наши кавалеристы пошли в атаку, самолет начал бомбить и обстреливать басмачей. Попытка вырваться из кольца не удалась. Лишь полутора десяткам врагов удалось подняться по очень крутому склону, но и их достал огонь с самолета.</w:t>
      </w:r>
    </w:p>
    <w:p w14:paraId="64939A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Надо сказать, что отличить своих от чужих было нелегко. Летчики часто привозили донесения типа: "Из с. Кунги группа конных 9 чел. в цветных халатах двигалась к р. Яван". Часто встречалась формулировка: "Установить, являлась ли группа басмшайкой, не удалось". Нередко действовали "методом проб и ошибок": сбросили бомбу и посмотрели - если открыли ответный огонь, то уж точно басмачи. Не открыли - кто его знает...</w:t>
      </w:r>
    </w:p>
    <w:p w14:paraId="0D8B24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Туркмены-кочевники перемещались с семьями и большими стадами скота. Отличить мирных пастухов от бандитов было практически невозможно. Вот пример: с воздуха насчитали "примерно 200 человек" ("количество всадников трудно поддается учету, при появлении самолета рассредоточиваются и принимают меры маскировки"), а при них - 4000 баранов, 140 - 150 верблюдов и...400 кибиток! Отсюда вывод - считали только тех, кто на виду, а кто из них басмач, кто - нет, оставалось невыясненным.</w:t>
      </w:r>
    </w:p>
    <w:p w14:paraId="2DF862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Командование поступило просто. Всех в контролируемых бандами районах решили считать противником (или пособником противника). Авиации выделили зоны "свободного огня", где своих заведомо не было. Там приказали обстреливать и бомбить все подряд. Удары наносились по скоплениям людей, скоту, жилью в любом виде. Уничтожение живности объяснялось, например, желанием лишить басмачей пропитания. Кроме того, бомбометание по стадам в некоторых случаях действительно помогало выявить небольшие банды, маскировавшиеся среди животных. Летчики формулировали это проще: "В песках все кочевники - басмачи" (11985).</w:t>
      </w:r>
    </w:p>
    <w:p w14:paraId="2CEFC4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541CC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апреле 1931 Б.М.Шапошников был наказан за конфликт с Тухачевским и назначен командующим ПриВВО (9089,137).</w:t>
      </w:r>
    </w:p>
    <w:p w14:paraId="484446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E79C41D" w14:textId="77777777" w:rsidR="003E2874" w:rsidRPr="005E779E" w:rsidRDefault="003E2874"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32" w:name="_Hlk80697084"/>
      <w:r w:rsidRPr="005E779E">
        <w:rPr>
          <w:rFonts w:ascii="Times New Roman" w:eastAsia="Times New Roman" w:hAnsi="Times New Roman"/>
          <w:color w:val="000000" w:themeColor="text1"/>
          <w:sz w:val="16"/>
          <w:szCs w:val="16"/>
          <w:lang w:eastAsia="ru-RU"/>
        </w:rPr>
        <w:t>Апрель 1931 г.</w:t>
      </w:r>
    </w:p>
    <w:p w14:paraId="30657E21" w14:textId="77777777" w:rsidR="003E2874" w:rsidRPr="005E779E" w:rsidRDefault="003E2874"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bdr w:val="none" w:sz="0" w:space="0" w:color="auto" w:frame="1"/>
          <w:lang w:eastAsia="ru-RU"/>
        </w:rPr>
        <w:t>ДОКЛАДНАЯ ЗАПИСКА ОГПУ В ЦК ВКП(б) (т. СТАЛИНУ) И РВС СССР (т. ВОРОШИЛОВУ)</w:t>
      </w:r>
    </w:p>
    <w:p w14:paraId="40A4798D" w14:textId="77777777" w:rsidR="003E2874" w:rsidRPr="005E779E" w:rsidRDefault="003E2874"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bdr w:val="none" w:sz="0" w:space="0" w:color="auto" w:frame="1"/>
          <w:lang w:eastAsia="ru-RU"/>
        </w:rPr>
        <w:t>О состоянии ПВО страны ПВО тыла страны</w:t>
      </w:r>
    </w:p>
    <w:p w14:paraId="00D7ED98" w14:textId="77777777" w:rsidR="003E2874" w:rsidRPr="005E779E" w:rsidRDefault="003E2874"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Развитие вооруженных сил в сопредельных и зап. европейских государствах характеризуется значительным ростом бомбардировочной авиации и ее вооружения (включая применение OB), с расчетом использования не только для мощных ударов по войскам, но и по тыловым объектам.</w:t>
      </w:r>
    </w:p>
    <w:p w14:paraId="76C28BC0" w14:textId="77777777" w:rsidR="003E2874" w:rsidRPr="005E779E" w:rsidRDefault="003E2874"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Состояние противовоздушной обороны в настоящее время находится не на надлежащей высоте — как в отношении вооружения и постановки научно-исследовательской работы, так и в отношении организации руководства.</w:t>
      </w:r>
    </w:p>
    <w:p w14:paraId="2078330C" w14:textId="77777777" w:rsidR="003E2874" w:rsidRPr="005E779E" w:rsidRDefault="003E2874"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bdr w:val="none" w:sz="0" w:space="0" w:color="auto" w:frame="1"/>
          <w:lang w:eastAsia="ru-RU"/>
        </w:rPr>
        <w:t>Руководство ПВО</w:t>
      </w:r>
    </w:p>
    <w:p w14:paraId="3E4B20C3" w14:textId="77777777" w:rsidR="003E2874" w:rsidRPr="005E779E" w:rsidRDefault="003E2874"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Руководство ПВО страны до сих пор отсутствует. Нет единого руководящего органа по ПВО. НКВМ подходит к вопросам ПВО в основном с точки зрения узких интересов действующей армии, не руководя всем комплексом вопросов обороны страны.</w:t>
      </w:r>
    </w:p>
    <w:p w14:paraId="6334A4AA" w14:textId="77777777" w:rsidR="003E2874" w:rsidRPr="005E779E" w:rsidRDefault="003E2874"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В наркоматах, в особенности в ВСНХ, в руководстве ПВО — хаос, установки местам не даются, система пассивной обороны различных по характеру объектов не выработана, плана ПВО нет.</w:t>
      </w:r>
    </w:p>
    <w:p w14:paraId="759E0710" w14:textId="77777777" w:rsidR="003E2874" w:rsidRPr="005E779E" w:rsidRDefault="003E2874"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Точных положений, кто за что отвечает в этом деле — нет.</w:t>
      </w:r>
    </w:p>
    <w:p w14:paraId="4A81F3F0" w14:textId="77777777" w:rsidR="003E2874" w:rsidRPr="005E779E" w:rsidRDefault="003E2874"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В РСФСР работа по ПВО тормозится из-за неурегулированности вопросов руководства ПВО (не ясна роль милиции, исполкомов, органов Военведа). Вопрос упирается в отсутствие утвержденного положения об организации ПВО.</w:t>
      </w:r>
    </w:p>
    <w:p w14:paraId="7678133A" w14:textId="77777777" w:rsidR="003E2874" w:rsidRPr="005E779E" w:rsidRDefault="003E2874"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bdr w:val="none" w:sz="0" w:space="0" w:color="auto" w:frame="1"/>
          <w:lang w:eastAsia="ru-RU"/>
        </w:rPr>
        <w:t>План ПВО</w:t>
      </w:r>
    </w:p>
    <w:p w14:paraId="77869E7D" w14:textId="77777777" w:rsidR="003E2874" w:rsidRPr="005E779E" w:rsidRDefault="003E2874"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План ПВО, составленный штабом и принятый РВС С не выполняется. Намеченные РВС С на 1931-32 гг. формирования частей ПВО в составе РККА отнесены в последующих планах на 1933–1934 гг.</w:t>
      </w:r>
    </w:p>
    <w:p w14:paraId="027B1C85" w14:textId="77777777" w:rsidR="003E2874" w:rsidRPr="005E779E" w:rsidRDefault="003E2874"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Формирования, намеченные по линии в/охраны ВСНХ и НКПС, не создаются, т. к. план ПВО не утвержден правительством и для этих формирований не выделены кредиты.</w:t>
      </w:r>
    </w:p>
    <w:p w14:paraId="4801DE93" w14:textId="77777777" w:rsidR="003E2874" w:rsidRPr="005E779E" w:rsidRDefault="003E2874"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bdr w:val="none" w:sz="0" w:space="0" w:color="auto" w:frame="1"/>
          <w:lang w:eastAsia="ru-RU"/>
        </w:rPr>
        <w:t>Состояние средств ПВО в Союзе</w:t>
      </w:r>
    </w:p>
    <w:p w14:paraId="0AC49974" w14:textId="77777777" w:rsidR="003E2874" w:rsidRPr="005E779E" w:rsidRDefault="003E2874"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1. Средства активной обороны: истребит. авиация, зенитная артиллерия, специальная зенитные пулеметы недостаточны в количественном и качественном отношении.</w:t>
      </w:r>
    </w:p>
    <w:p w14:paraId="333FBEC6" w14:textId="77777777" w:rsidR="003E2874" w:rsidRPr="005E779E" w:rsidRDefault="003E2874"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Наше зенитное вооружение отстает от Запада на 8-10 лет. Число попаданий у нас и в Америке относится как 3,5:17.</w:t>
      </w:r>
    </w:p>
    <w:p w14:paraId="2F867E48" w14:textId="77777777" w:rsidR="003E2874" w:rsidRPr="005E779E" w:rsidRDefault="003E2874"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Темпы выработки новых образцов зенитных орудий безобразно медленные: с 1927 г. поставлен вопрос о мелкокалиберной 37-мм зенитной пушке, но до сих пор она имеется только в опытных образцах. Зенитных пушек калибра 105 мм и 120 мм, которые имеются сейчас во Франции и в Англии, даже нет в проекте.</w:t>
      </w:r>
    </w:p>
    <w:p w14:paraId="55A76D84" w14:textId="77777777" w:rsidR="003E2874" w:rsidRPr="005E779E" w:rsidRDefault="003E2874"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2. Средства пассивной обороны — аэростаты заграждения и лебедки к ним до сих пор УВВС окончательно не выработаны и заказ промышленности не сдан.</w:t>
      </w:r>
    </w:p>
    <w:p w14:paraId="1321473C" w14:textId="77777777" w:rsidR="003E2874" w:rsidRPr="005E779E" w:rsidRDefault="003E2874"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Мощные дымовые приборы для маскировки стационарных объектов ВОХИМУ не выработаны, несмотря на неоднократные постановления РВС С.</w:t>
      </w:r>
    </w:p>
    <w:p w14:paraId="7EB679F2" w14:textId="77777777" w:rsidR="003E2874" w:rsidRPr="005E779E" w:rsidRDefault="003E2874"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bdr w:val="none" w:sz="0" w:space="0" w:color="auto" w:frame="1"/>
          <w:lang w:eastAsia="ru-RU"/>
        </w:rPr>
        <w:t>Состояние ПВО важнейших политических и экономических центров</w:t>
      </w:r>
    </w:p>
    <w:p w14:paraId="39713F1D" w14:textId="77777777" w:rsidR="003E2874" w:rsidRPr="005E779E" w:rsidRDefault="003E2874"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ЛЕНИНГРАД. Минимальная оперативная потребность в средствах активной ПВО (включая внешнее и внутреннее кольцо обороны) для Ленинграда выражается в 5 эскадрилий, 16 зен. дивизионов, 21 прожекторная рота.</w:t>
      </w:r>
    </w:p>
    <w:p w14:paraId="488EFB4D" w14:textId="77777777" w:rsidR="003E2874" w:rsidRPr="005E779E" w:rsidRDefault="003E2874"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В 1928 г. имелось: 1 эскадрилья, 4 дивизиона, 2 прожекторных роты; в 1931 г. имеется — 5 дивизионов, 2 прожекторные роты, 2 эскадрильи (темп роста медленный).</w:t>
      </w:r>
    </w:p>
    <w:p w14:paraId="304B828E" w14:textId="77777777" w:rsidR="003E2874" w:rsidRPr="005E779E" w:rsidRDefault="003E2874"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Готовность ПВО Ленинграда недостаточная: связь работает плохо, позиции не оборудованы, взаимодействие средств ПВО не налажено, служба ВНОС — неудовлетворительна.</w:t>
      </w:r>
    </w:p>
    <w:p w14:paraId="5BDC434C" w14:textId="77777777" w:rsidR="003E2874" w:rsidRPr="005E779E" w:rsidRDefault="003E2874"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МОСКВА. Оперативная потребность — 16 дивизионов и 5–8 эскадрилий. В 1928 г. имелось: 1 зен. дивизион и 1 прожекторная рота; сейчас — 2 дивизиона и 2 прож. роты, на днях намечено 2 эскадрильи.</w:t>
      </w:r>
    </w:p>
    <w:p w14:paraId="2C0E9FEA" w14:textId="77777777" w:rsidR="003E2874" w:rsidRPr="005E779E" w:rsidRDefault="003E2874"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Готовность ПВО Москвы такая же, как и в Ленинграде.</w:t>
      </w:r>
    </w:p>
    <w:p w14:paraId="48199DAA" w14:textId="77777777" w:rsidR="003E2874" w:rsidRPr="005E779E" w:rsidRDefault="003E2874"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БАКУ. Оперативная потребность — 5 зен. дивизионов и 5 прожектор, рот, 2 эскадрильи истребителей и 1 эскадр, бомбардировщиков.</w:t>
      </w:r>
    </w:p>
    <w:p w14:paraId="19C24B71" w14:textId="77777777" w:rsidR="003E2874" w:rsidRPr="005E779E" w:rsidRDefault="003E2874"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В 1928 г. — 1 зен. дивизион и 1 отряд истребителей, сейчас — 3 зенит. дивизиона и 1 эскадрилья.</w:t>
      </w:r>
    </w:p>
    <w:p w14:paraId="4DD4E8DE" w14:textId="77777777" w:rsidR="003E2874" w:rsidRPr="005E779E" w:rsidRDefault="003E2874"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Чтобы судить об обеспеченности наших пунктов средствами ПВО, необходимо сделать сравнение с ПВО Лондона в 1918 г. при значительно меньших тогдашних средствах нападения. Там имелось: зен. орудий — 286, истребителей — 220, прожекторов — 387, аэростатов заграждения — 30.</w:t>
      </w:r>
    </w:p>
    <w:p w14:paraId="7BF67D0A" w14:textId="77777777" w:rsidR="003E2874" w:rsidRPr="005E779E" w:rsidRDefault="003E2874"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bdr w:val="none" w:sz="0" w:space="0" w:color="auto" w:frame="1"/>
          <w:lang w:eastAsia="ru-RU"/>
        </w:rPr>
        <w:t>Мобготовность</w:t>
      </w:r>
    </w:p>
    <w:p w14:paraId="3A27D428" w14:textId="77777777" w:rsidR="003E2874" w:rsidRPr="005E779E" w:rsidRDefault="003E2874"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Отмобилизование частей намечено на 3, 7 и более поздние дни мобилизации, тогда как готовность ПВО должна быть с первого дня и ранее, так как готовность авиации противника будет исчисляться не днями, а часами. Кроме того, реальна возможность нападения противника в предмобилизационный период.</w:t>
      </w:r>
    </w:p>
    <w:p w14:paraId="2502CF2F" w14:textId="77777777" w:rsidR="003E2874" w:rsidRPr="005E779E" w:rsidRDefault="003E2874"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bdr w:val="none" w:sz="0" w:space="0" w:color="auto" w:frame="1"/>
          <w:lang w:eastAsia="ru-RU"/>
        </w:rPr>
        <w:t>Выводы</w:t>
      </w:r>
    </w:p>
    <w:p w14:paraId="77D310F1" w14:textId="77777777" w:rsidR="003E2874" w:rsidRPr="005E779E" w:rsidRDefault="003E2874"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1. Опасность воздушных нападений на экономические и политические центры и транспорт вполне реальна.</w:t>
      </w:r>
    </w:p>
    <w:p w14:paraId="773DE9B4" w14:textId="77777777" w:rsidR="003E2874" w:rsidRPr="005E779E" w:rsidRDefault="003E2874"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2. Страна к ПВО подготовлена абсолютно недостаточно. Средства, выделяемые для этой цели, недостаточны и технически отсталые.</w:t>
      </w:r>
    </w:p>
    <w:p w14:paraId="1D3B9DD9" w14:textId="77777777" w:rsidR="003E2874" w:rsidRPr="005E779E" w:rsidRDefault="003E2874"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3. Надлежащего руководства тыла страны со стороны НКВМ нет.</w:t>
      </w:r>
    </w:p>
    <w:p w14:paraId="13234043" w14:textId="77777777" w:rsidR="003E2874" w:rsidRPr="005E779E" w:rsidRDefault="003E2874"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ЦА ФСБ РФ. Ф. 2. Оп. 9. Д. 103. Л. 816–819 (20258).</w:t>
      </w:r>
    </w:p>
    <w:p w14:paraId="4A65072E" w14:textId="77777777" w:rsidR="003E2874" w:rsidRPr="005E779E" w:rsidRDefault="003E2874" w:rsidP="000B7A6C">
      <w:pPr>
        <w:spacing w:after="0" w:line="240" w:lineRule="auto"/>
        <w:jc w:val="both"/>
        <w:rPr>
          <w:rFonts w:ascii="Times New Roman" w:hAnsi="Times New Roman"/>
          <w:color w:val="000000" w:themeColor="text1"/>
          <w:sz w:val="16"/>
          <w:szCs w:val="16"/>
        </w:rPr>
      </w:pPr>
    </w:p>
    <w:p w14:paraId="2E1975A4" w14:textId="77777777" w:rsidR="003E2874" w:rsidRPr="005E779E" w:rsidRDefault="003E287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shd w:val="clear" w:color="auto" w:fill="FFFFFF"/>
        </w:rPr>
        <w:t>В апреле 1931 г. Минов и Мошковский прибыли в Евпаторию для обучения личного состава 29-й эскадрильи с тремя тренировочными «Ирвинами». Летчики прыгали с самолетов Р-1 и Фоккер С.IV. 23 апреля погиб командир отряда Журавлев. В свободном падении он перевернулся и вытяжной парашютик зацепился за голову, а потом оторвался. Купол раскрылся не полностью и не симметрично. Журавлев попытался открыть запасной парашют, но это имело место уже в 10 – 12 м над землей. Летчик умер от сотрясения мозга. Через два дня Мошковский демонстративно прыгнул с парашютом покойного Журавлева и благополучно приземлился (21505).</w:t>
      </w:r>
    </w:p>
    <w:p w14:paraId="21C2DBD6" w14:textId="77777777" w:rsidR="003E2874" w:rsidRPr="005E779E" w:rsidRDefault="003E2874" w:rsidP="000B7A6C">
      <w:pPr>
        <w:spacing w:after="0" w:line="240" w:lineRule="auto"/>
        <w:jc w:val="both"/>
        <w:rPr>
          <w:rFonts w:ascii="Times New Roman" w:hAnsi="Times New Roman"/>
          <w:color w:val="000000" w:themeColor="text1"/>
          <w:sz w:val="16"/>
          <w:szCs w:val="16"/>
        </w:rPr>
      </w:pPr>
    </w:p>
    <w:bookmarkEnd w:id="32"/>
    <w:p w14:paraId="1D866ADF" w14:textId="77777777" w:rsidR="008342C9" w:rsidRPr="00142305" w:rsidRDefault="008342C9" w:rsidP="008342C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апреле 1931 года вновь активизировался один из лидеров басмачей Ибрагим-бек. Для борьбы с ним была организована Таджикская группа войск, которую поддерживали 10 легких бомбардировщиков Р-3ЛД (25029).</w:t>
      </w:r>
    </w:p>
    <w:p w14:paraId="48BEA5CF" w14:textId="77777777" w:rsidR="008342C9" w:rsidRPr="00142305" w:rsidRDefault="008342C9" w:rsidP="008342C9">
      <w:pPr>
        <w:spacing w:after="0" w:line="240" w:lineRule="auto"/>
        <w:jc w:val="both"/>
        <w:rPr>
          <w:rFonts w:ascii="Times New Roman" w:hAnsi="Times New Roman"/>
          <w:color w:val="0070C0"/>
          <w:sz w:val="16"/>
          <w:szCs w:val="16"/>
        </w:rPr>
      </w:pPr>
    </w:p>
    <w:p w14:paraId="7E5090C1"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Внешняя политика:</w:t>
      </w:r>
    </w:p>
    <w:p w14:paraId="73CE4587"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B4E51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апреле 1931 было подписано германо-советское торговое соглашение. Германия предоставила кредит в 1 млрд. Марок для закупки машин и оборудования в обмен на золото и с/х продукцию (3908,335).</w:t>
      </w:r>
    </w:p>
    <w:p w14:paraId="169355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D50ED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 xml:space="preserve">В апреле 1931 года во Франции был арестован П. В. Стучевский. Прибыв в Париж в 1927 году, П. В. Стучевский сознательно свел до минимума количество контактов с местными коммунистами, справедливо полагая, что данный контингент отличает низкая дисциплина и большинство находится под надзором полиции. За короткий срок ему удалось восстановить агентурную сеть и добиться значительных успехов в сборе сведений о военно-морском флоте и военно-воздушных силах Франции. Так, он организовал сеть информаторов в портах Марселя, Тулона и др., </w:t>
      </w:r>
      <w:r w:rsidRPr="005E779E">
        <w:rPr>
          <w:rFonts w:ascii="Times New Roman" w:hAnsi="Times New Roman"/>
          <w:iCs/>
          <w:color w:val="000000" w:themeColor="text1"/>
          <w:sz w:val="16"/>
          <w:szCs w:val="16"/>
        </w:rPr>
        <w:t>с</w:t>
      </w:r>
      <w:r w:rsidRPr="005E779E">
        <w:rPr>
          <w:rFonts w:ascii="Times New Roman" w:hAnsi="Times New Roman"/>
          <w:color w:val="000000" w:themeColor="text1"/>
          <w:sz w:val="16"/>
          <w:szCs w:val="16"/>
        </w:rPr>
        <w:t xml:space="preserve"> ее помощью регулярно получал информацию о подводных лодках и торпедном вооружении.</w:t>
      </w:r>
    </w:p>
    <w:p w14:paraId="14BEA8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суде П. В. Стучевский утверждал, что собирал материалы для написания книги о Франции. Будучи осужденным на три года, он отсидел срок в тюрьме Луисси и после освобождения в 1934 году вернулся в СССР (Колпакиди А., Прохоров Д. Империя ГРУ: Очерки истории российской военной разведки. Кн. 1. — М., 2000, с. 155— 156.).</w:t>
      </w:r>
    </w:p>
    <w:p w14:paraId="71536C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20-х годов во Франции начала работать сеть «рабкоров». Их работой руководил К. Лиожье (Филипп), бывший рабочий из департамента Луара, автор романа «Сталь». За его спиной стоял Й. Вир, польский коммунист, координирующий взаимодействие «рабкоров» и советской военной разведки.</w:t>
      </w:r>
    </w:p>
    <w:p w14:paraId="28736C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Схема организации их работы была проста и эффективна. Газета «Юманите» (центральный орган французской компартии) обратилась ко всем своим читателям с просьбой присылать заметки и очерки о том, что происходит на их заводах и фабриках. Особо рекомендовалось обращать внимание на факты тайной подготовки к войне с СССР. Наиболее интересные материалы редакция обещала опубликовать. Все присланные материалы внимательно изучались и на их основе готовились обзоры для Москвы. Сотрудник советской поенной разведки С. Маркович отвечал за этот участок работы (Пятницкий В. И. Заговор против Сталина. — М., 1998, с. 224-225.).</w:t>
      </w:r>
    </w:p>
    <w:p w14:paraId="6F0FF7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 Вир занимался не только аналитической работой, он регулярно переправлял в Москву образцы новейшего вооружения. Однажды он прибыл в Париж как агент по торговле бельем. В его чемодане среди кружевных панталон лежала французская мина, недавно принятая на вооружение (Фалиго Р., Коффер Р. Всемирная история разведывательных служб. Т. 1. 1870-1939. — М., 1997, с. 206.).</w:t>
      </w:r>
    </w:p>
    <w:p w14:paraId="52A56E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утверждению французской полиции, между 1928 и 1933 годами в стране действовала сеть, которая состояла более чем из 250 агентов. Это только те люди, кого удалось идентифицировать. На самом деле их было значительно больше.</w:t>
      </w:r>
    </w:p>
    <w:p w14:paraId="2F8801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Среди них был отставной полковник О. Дюмулен, сотрудничающий с советской разведкой с 1923 года. Он издавал журнал «Армия и демократия» и везде представлялся, как независимый военный эксперт. Одна из задач, стоявших перед ним, — сбор информации об определенных военных заводах и выпускаемой ими продукции.</w:t>
      </w:r>
    </w:p>
    <w:p w14:paraId="0FA53D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Инженер Обри из военного министерства и его жена специализировались на поставке секретных данных о взрывчатых веществах. Сотрудник химико-биологической лаборатории В. Райх регулярно информировал Москву об отравляющих газах и бактериологическом оружии (Даллин Д. Шпионаж по-советски. — М., 2001, с. 59—61.) (11765).</w:t>
      </w:r>
    </w:p>
    <w:p w14:paraId="513579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B8B6B5A"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7EA2178F"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B6ECE2C" w14:textId="77777777" w:rsidR="002D39AF" w:rsidRPr="005E779E" w:rsidRDefault="002D39A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апреле 1931 года поднялся в воздух первый трехмоторный Ju 52/3m, созданный на базе самолета 4007 с моторами Pratt and Whitney Hornet мощностью 600 л.с. Безопасность и высокая тяговооруженность трехдвигательного варианта придавали самолету большую потенциальную коммерческую ценность, и вероятность его продажи была выше, чем у однодвигательного. Заказы не заставили себя долго ждать. Один из первых поступил из Колумбии, где два немца основали авиакомпанию “Кондор”. Кроме этого, в транспортном самолете нуждалась колумбийская армия, для нее Юнкерс предложил поплавковый трехдвигательный вариант. Пока официальные лица Колумбии решали, покупать им самолеты или нет, Юнкерс продал два трехдвигательных самолета в Боливию, воевавшую с Парагваем. Этими самолетами оказались переделанные в кратчайшие сроки машины 4008 и 4009 с моторами Hornet. На них не успели поставить капоты двигателей и обтекатели колес шасси. Самолетам присвоили собственные имена “Juan Valle” и “Huanuni”. В 1932 году машины официально передали в боливийскую авиакомпанию “Lloyd Aero Boliviano”. На самом деле их использовала боливийская армия для доставки грузов в труднодоступные места и нанесения бомбовых (через боковую грузовую дверь) ударов по противнику. В ходе войны были закуплены еще два самолета “Chorolque” и “Bolivar”. После окончания войны Ju 52 начали возить пассажиров на боливийских авиалиниях. Успешное использование самолетов Юнкерса в Боливии убедило колумбийское правительство в необходимости их закупки. Сначала купили три машины с заводскими номерами 4010, 4011 и 4012, а в марте 1934 года еще три. Два самолета потеряли в процессе эксплуатации, оставшиеся самолеты продолжали летать до 1943 года. По некоторым источникам, один самолет продолжали использовать до 1966 года. Основные конструктивные отличия трехдвигательного Ju 52/3m от Ju 52/1m состояли в дополнительных двух двигателях на крыле, которые располагались под углом к строительной оси самолета, что позволяло компенсировать несимметричность тяги при отказе одного из моторов. Девять цилиндров каждого из двигателей на первых экземплярах самолета не закрывались капотами. Правда, для Колумбии на крыльевые моторы установили кольца Тауненда, что привело к увеличению скорости на 40 км/ч (19012).</w:t>
      </w:r>
    </w:p>
    <w:p w14:paraId="54E84653" w14:textId="77777777" w:rsidR="002D39AF" w:rsidRPr="005E779E" w:rsidRDefault="002D39AF" w:rsidP="000B7A6C">
      <w:pPr>
        <w:spacing w:after="0" w:line="240" w:lineRule="auto"/>
        <w:jc w:val="both"/>
        <w:rPr>
          <w:rFonts w:ascii="Times New Roman" w:hAnsi="Times New Roman"/>
          <w:color w:val="000000" w:themeColor="text1"/>
          <w:sz w:val="16"/>
          <w:szCs w:val="16"/>
        </w:rPr>
      </w:pPr>
    </w:p>
    <w:p w14:paraId="26B6CDD0" w14:textId="77777777" w:rsidR="00F7760E" w:rsidRPr="005E779E" w:rsidRDefault="00F7760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апреле 1931 состоялся первый полет Амиот 140 (20804).</w:t>
      </w:r>
    </w:p>
    <w:p w14:paraId="4E025B7C" w14:textId="77777777" w:rsidR="00F7760E" w:rsidRPr="005E779E" w:rsidRDefault="00F7760E" w:rsidP="000B7A6C">
      <w:pPr>
        <w:spacing w:after="0" w:line="240" w:lineRule="auto"/>
        <w:jc w:val="both"/>
        <w:rPr>
          <w:rFonts w:ascii="Times New Roman" w:hAnsi="Times New Roman"/>
          <w:color w:val="000000" w:themeColor="text1"/>
          <w:sz w:val="16"/>
          <w:szCs w:val="16"/>
        </w:rPr>
      </w:pPr>
    </w:p>
    <w:p w14:paraId="6DDEBD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апреле 1931 года, когда Эдуард Пендри из «Американского межпланетного общества» посетил «Ракетенфлюгплатц», новый двигатель </w:t>
      </w:r>
      <w:r w:rsidRPr="005E779E">
        <w:rPr>
          <w:rFonts w:ascii="Times New Roman" w:hAnsi="Times New Roman"/>
          <w:color w:val="000000" w:themeColor="text1"/>
          <w:sz w:val="16"/>
          <w:szCs w:val="16"/>
          <w:lang w:val="en-US"/>
        </w:rPr>
        <w:t>Ei</w:t>
      </w:r>
      <w:r w:rsidRPr="005E779E">
        <w:rPr>
          <w:rFonts w:ascii="Times New Roman" w:hAnsi="Times New Roman"/>
          <w:color w:val="000000" w:themeColor="text1"/>
          <w:sz w:val="16"/>
          <w:szCs w:val="16"/>
        </w:rPr>
        <w:t xml:space="preserve"> который весил около 85 г и хорошо работал, поглощая 160 г жидкого кислорода и бензина за 1 секунду и обеспечивая при этом тягу в 32 кг, был почти доведен. Его даже демонстрировали в действии. Кстати сказать, такие запуски-демонстрации способствовали не только дальнейшей разработке двигателя, но и увеличению доходов «Общества». У инициативного Небеля возникла мысль установить плату за публичный показ испытаний, что периодически и делалось. В результате того, что много времени уходило на эту «показуху», авторы ракеты «Mirak» упустили время и инициативу. Приоритет в запуске европейской ракеты с жидкостным двигателем достался Иоганну Винклеру (11688).</w:t>
      </w:r>
    </w:p>
    <w:p w14:paraId="152872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BC636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апреле 1931 года была единственная значительная неудача за все время существования «Ракетенфлюгплатц». Это произошло при испытании большого двигателя, спроектированного и названного в отличие от “яйца” «яйцом эпиорниса». Предполагалось, что этот двигатель обеспечит тягу в 64 кг, а фактически он дал только 50 кг. Во время съемки компанией «УФА» киножурнала «Ракеты», посвященного работам «Общества межпланетных сообщений», один такой «Repulsor» порвал свой парашют, ударился в крышу соседнего сарая и последними каплями горючего поджег его. Сарай был старым, и ничего ценного в нем не хранилось, однако он принадлежал полицейскому участку, находившемуся напротив. Полиция нагрянула в «Ракетенфлюгплатц», и дальнейшие полеты было тут же запрещены. Началось долгое разбирательство дела, закончившееся показательным запуском ракеты (только для полиции), после чего запрещение было снято (11688).</w:t>
      </w:r>
    </w:p>
    <w:p w14:paraId="0E2EE3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7D897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апреле 1931 в Испании была объявлена республика и король Альфонс 13 отправился в изгнание (2283).</w:t>
      </w:r>
    </w:p>
    <w:p w14:paraId="0B29C8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D0F83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апреле 1931 в Испании состоялись муниципальные выборы, на которых сторонники монархии потерпели поражение. Победившие республиканцы призвали Альфонсо ХIII отречься от престола. В ответ король покинул страну, но отказался от формального отречения. К власти пришло коалиционное правительство социалистов, либералов и республиканцев при участии нескольких монархистов. Испания была провозглашена республикой. Была намечена программа умеренных преобразований, проведение которых, однако, было сразу же осложнено конфликтами нового режима с католической церковью, с одной стороны, и оппозицией анархистов и коммунистов, с другой (3871).</w:t>
      </w:r>
    </w:p>
    <w:p w14:paraId="373947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B68755A" w14:textId="77777777" w:rsidR="00354892" w:rsidRPr="005E779E" w:rsidRDefault="003548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апреле 1931 г. в районе Хами, Турфана, Баркуля вспыхнуло восстание под антики</w:t>
      </w:r>
      <w:r w:rsidRPr="005E779E">
        <w:rPr>
          <w:rFonts w:ascii="Times New Roman" w:hAnsi="Times New Roman"/>
          <w:color w:val="000000" w:themeColor="text1"/>
          <w:sz w:val="16"/>
          <w:szCs w:val="16"/>
        </w:rPr>
        <w:softHyphen/>
        <w:t>тайскими лозунгами с участием уйгуров, дунган, казахов, монголов и других народно</w:t>
      </w:r>
      <w:r w:rsidRPr="005E779E">
        <w:rPr>
          <w:rFonts w:ascii="Times New Roman" w:hAnsi="Times New Roman"/>
          <w:color w:val="000000" w:themeColor="text1"/>
          <w:sz w:val="16"/>
          <w:szCs w:val="16"/>
        </w:rPr>
        <w:softHyphen/>
        <w:t>стей Синьцзяна. В нём активно участвовали самые широкие слои населения — от феодалов, духовенства и купечества до ремесленников и крестьян. Из соседней провин</w:t>
      </w:r>
      <w:r w:rsidRPr="005E779E">
        <w:rPr>
          <w:rFonts w:ascii="Times New Roman" w:hAnsi="Times New Roman"/>
          <w:color w:val="000000" w:themeColor="text1"/>
          <w:sz w:val="16"/>
          <w:szCs w:val="16"/>
        </w:rPr>
        <w:softHyphen/>
        <w:t>ции Ганьсу повстанцев активно поддерживал генерал Ма Чжунин, его армия состояла в основном из дунган. Политическую поддержку оказали Япония и Великобритания (15802).</w:t>
      </w:r>
    </w:p>
    <w:p w14:paraId="616AC22E" w14:textId="77777777" w:rsidR="00354892" w:rsidRPr="005E779E" w:rsidRDefault="00354892" w:rsidP="000B7A6C">
      <w:pPr>
        <w:spacing w:after="0" w:line="240" w:lineRule="auto"/>
        <w:jc w:val="both"/>
        <w:rPr>
          <w:rFonts w:ascii="Times New Roman" w:hAnsi="Times New Roman"/>
          <w:color w:val="000000" w:themeColor="text1"/>
          <w:sz w:val="16"/>
          <w:szCs w:val="16"/>
        </w:rPr>
      </w:pPr>
    </w:p>
    <w:p w14:paraId="57A8394C"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6BAB0999"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F6A2D72" w14:textId="77777777" w:rsidR="008342C9" w:rsidRPr="00142305" w:rsidRDefault="008342C9" w:rsidP="008342C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течение апреля—июня 1931 г. представители УММ РККА П.С. Озеров и В.И. Заславский внесли в конструкцию Т-24 около 200 различных изменений (25479).</w:t>
      </w:r>
    </w:p>
    <w:p w14:paraId="075E675A" w14:textId="77777777" w:rsidR="008342C9" w:rsidRPr="00142305" w:rsidRDefault="008342C9" w:rsidP="008342C9">
      <w:pPr>
        <w:spacing w:after="0" w:line="240" w:lineRule="auto"/>
        <w:jc w:val="both"/>
        <w:rPr>
          <w:rFonts w:ascii="Times New Roman" w:hAnsi="Times New Roman"/>
          <w:color w:val="0070C0"/>
          <w:sz w:val="16"/>
          <w:szCs w:val="16"/>
        </w:rPr>
      </w:pPr>
    </w:p>
    <w:p w14:paraId="1B9C2F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апреле—июне 1931 года на нико</w:t>
      </w:r>
      <w:r w:rsidRPr="005E779E">
        <w:rPr>
          <w:rFonts w:ascii="Times New Roman" w:hAnsi="Times New Roman"/>
          <w:color w:val="000000" w:themeColor="text1"/>
          <w:sz w:val="16"/>
          <w:szCs w:val="16"/>
        </w:rPr>
        <w:softHyphen/>
        <w:t>лаевском заводе им. А. Марти заложили два сторожевых — "Гром" и "Бурун" (пр. 4). Усовершенствование их по сравнению с прототипом выразилось в попытке повысить паропроизводитель-ность котлов и избежать перегрузки. И то, и другое не удалось. Ко</w:t>
      </w:r>
      <w:r w:rsidRPr="005E779E">
        <w:rPr>
          <w:rFonts w:ascii="Times New Roman" w:hAnsi="Times New Roman"/>
          <w:color w:val="000000" w:themeColor="text1"/>
          <w:sz w:val="16"/>
          <w:szCs w:val="16"/>
        </w:rPr>
        <w:softHyphen/>
        <w:t>рабли II серии были в разобранном виде перевезены по железной дороге во Владивосток, собраны на Дальзаводе, спущены на воду в июне—сентябре 1934 г. и к ноябрю 1935 г. вступили в строй (3898).</w:t>
      </w:r>
    </w:p>
    <w:p w14:paraId="51D6A0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1D67E5F"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0CBAE280"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88FEF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маю 1931 было закончено строительство ТБ-5 (556,28).</w:t>
      </w:r>
    </w:p>
    <w:p w14:paraId="44EDEC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6998A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К маю 1931 г. отказались от решения сохранить на морсков Р-5а большую часть колесного шасси, пропустив поперечную трубу рамы через гнезда для полуосей. Поскольку заданием требовалась эксплуатация машины при волнении до 0,8 м, понадобилось произвести усиление первой рамы фюзеляжа, переднего лонжерона нижнего крыла и ряд местных подкреплений. Поскольку передние подкосы от поплавков через башмак крепились к мотораме, ее тоже усилили. Уложиться при этом в поставленный 10%-ный лимит оказалось невозможно. Учитывая увеличение боковой поверхности самолета площадь киля нарастили почти в два раза. Ненужный на воде костыль заменили причальным кольцом. А вот требование об установке нового пропеллера проигнорировали - он остался таким же, как у сухопутного разведчика.</w:t>
      </w:r>
    </w:p>
    <w:p w14:paraId="7B5246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Бомбовое вооружение было значительно слабее, чем у колесного варианта. По первоначальному заданию требовали подвеску бомбы весом 250 кг по оси фюзеляжа, но ее креплению мешала рама поплавков. Потом ограничились шестью бомбодержателями под 100-кг бомбу каждый: четыре под нижним крылом, два - под фюзеляжем. Но и этот вес оказался для Р-5а чрезмерным. В результате компоновку сохранили - поставили четыре балки Дер-6 под крыльями и две Дер-7 под фюзеляжем, но вес бомб ограничили. Максимальная нагрузка составляла 492 кг - шесть АФ-82. Бомб крупных калибров морской разведчик нести не мог. Стрелковое вооружение соответствовало Р-5 (12034).</w:t>
      </w:r>
    </w:p>
    <w:p w14:paraId="1E5FE4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FD549B8"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1479F582"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5CC31A7" w14:textId="77777777" w:rsidR="00D10B4F" w:rsidRPr="005E779E" w:rsidRDefault="00D10B4F"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1-му мая 1931 года бомбардировщик ТБ-5 выкатили на аэродром. После проверок и доводок было решено выпустить машину в воздух. 30-го июня летчик–испытатель Б.Л. Бухгольц совершил первый пробный полет вблизи Центрального аэродрома. Перед полетом высказывались опасения в отношении управляемости такой тяжелой машины. Всех интересовало, в частности, как поведет себя «стабилирон». Бухгольц после приземления развеял все сомнения, заявив следующее:</w:t>
      </w:r>
    </w:p>
    <w:p w14:paraId="25999AB4" w14:textId="77777777" w:rsidR="00D10B4F" w:rsidRPr="005E779E" w:rsidRDefault="00D10B4F" w:rsidP="000B7A6C">
      <w:pPr>
        <w:pStyle w:val="rteindent11"/>
        <w:shd w:val="clear" w:color="auto" w:fill="FFFFFF"/>
        <w:spacing w:before="0" w:beforeAutospacing="0" w:after="0"/>
        <w:ind w:left="0" w:firstLine="0"/>
        <w:rPr>
          <w:color w:val="000000" w:themeColor="text1"/>
          <w:sz w:val="16"/>
          <w:szCs w:val="16"/>
        </w:rPr>
      </w:pPr>
      <w:r w:rsidRPr="005E779E">
        <w:rPr>
          <w:rStyle w:val="af0"/>
          <w:i w:val="0"/>
          <w:color w:val="000000" w:themeColor="text1"/>
          <w:sz w:val="16"/>
          <w:szCs w:val="16"/>
        </w:rPr>
        <w:t>Устойчивость в воздухе хорошая. Легкость управления машиной невиданная. Очень малы нагрузки на рули.</w:t>
      </w:r>
    </w:p>
    <w:p w14:paraId="10D0A65D" w14:textId="77777777" w:rsidR="00D10B4F" w:rsidRPr="005E779E" w:rsidRDefault="00D10B4F"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20-му июля самолет совершил несколько успешных полетов. Максимальная дальность при полной загрузке составила 2100 км. Полетная масса при этом равнялась 12060 кг, из них топливо - 2410 кг, бомбовая нагрузка - 500 кг. Максимальная скорость составила 180 км/час у земли, практический потолок 3500 м, разбег при взлете 400-420 м.</w:t>
      </w:r>
    </w:p>
    <w:p w14:paraId="2F8AEF64" w14:textId="77777777" w:rsidR="00D10B4F" w:rsidRPr="005E779E" w:rsidRDefault="00D10B4F"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Однако полученные на испытаниях летные характеристики ТБ-5 оценивались как невысокие в сравнении с уже летавшим в течение полугода бомбардировщиком ТБ-3, опытный экземпляр которого был поднят летчиком М.М. Громовым 22-го декабря 1930 года. Причиной тому являлась не вполне удачная мотоустановка ТБ-5. Двигатели были оснащены воздушными винтами, более подходящими для истребителей. Кроме того, винты задних «Юпитеров» пришлось значительно уменьшить в диаметре из-за невозможности размещения их под крылом.</w:t>
      </w:r>
    </w:p>
    <w:p w14:paraId="000E8C40" w14:textId="77777777" w:rsidR="00D10B4F" w:rsidRPr="005E779E" w:rsidRDefault="00D10B4F"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Вместе с тем в сравнении с ТБ-3 у бомбардировщика Григоровича имелись и преимущества. ТБ-5 имел более совершенную схему размещения оборонительных установок, внутреннюю подвеску всего ассортимента бомб, обладал меньшими геометрическими размерами. Главным его достоинством считалась меньшая стоимость и меньшие трудозатраты при производстве. Улучшение летно–технических характеристик самолета связывали с установкой двигателей ФЭД. Летом 1931 года на моторном заводе № 24 находилось 12 ФЭДов, и еще на 10 имелся задел деталей (15223).</w:t>
      </w:r>
    </w:p>
    <w:p w14:paraId="49271A36" w14:textId="77777777" w:rsidR="00D10B4F" w:rsidRPr="005E779E" w:rsidRDefault="00D10B4F" w:rsidP="000B7A6C">
      <w:pPr>
        <w:shd w:val="clear" w:color="auto" w:fill="FFFFFF"/>
        <w:spacing w:after="0" w:line="240" w:lineRule="auto"/>
        <w:jc w:val="both"/>
        <w:rPr>
          <w:rFonts w:ascii="Times New Roman" w:hAnsi="Times New Roman"/>
          <w:color w:val="000000" w:themeColor="text1"/>
          <w:sz w:val="16"/>
          <w:szCs w:val="16"/>
        </w:rPr>
      </w:pPr>
    </w:p>
    <w:p w14:paraId="1A3182E7" w14:textId="77777777" w:rsidR="008342C9" w:rsidRPr="00142305" w:rsidRDefault="008342C9" w:rsidP="008342C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мая 1931 г. ТБ-3 гордо продемонстрировали в воздухе над Красной площадью, а 22 мая состоялся официальный показ бомбардировщика членам правительства. Они осмотрели его на Центральном аэродроме, а затем поглядели на короткий полет. За последний пилотов Козлова и Залевского начальник НИИ наградил «заграничными часами «Мо</w:t>
      </w:r>
      <w:r w:rsidRPr="00142305">
        <w:rPr>
          <w:rFonts w:ascii="Times New Roman" w:hAnsi="Times New Roman"/>
          <w:color w:val="0070C0"/>
          <w:sz w:val="16"/>
          <w:szCs w:val="16"/>
        </w:rPr>
        <w:softHyphen/>
        <w:t>зер» с секундомером» - очевидно, самолет произвел должное впечатление.</w:t>
      </w:r>
    </w:p>
    <w:p w14:paraId="7877A6BD" w14:textId="77777777" w:rsidR="008342C9" w:rsidRPr="00142305" w:rsidRDefault="008342C9" w:rsidP="008342C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Действительно, машина явно получи</w:t>
      </w:r>
      <w:r w:rsidRPr="00142305">
        <w:rPr>
          <w:rFonts w:ascii="Times New Roman" w:hAnsi="Times New Roman"/>
          <w:color w:val="0070C0"/>
          <w:sz w:val="16"/>
          <w:szCs w:val="16"/>
        </w:rPr>
        <w:softHyphen/>
        <w:t>лась удачной. Хотя замена двигателей незначительно ухудшила летные данные, максимальная скорость оставалась выше требований технического задания - 213 км/ч. Вызвали одобрение и взлетно- посадочные характеристики. В отчете запи</w:t>
      </w:r>
      <w:r w:rsidRPr="00142305">
        <w:rPr>
          <w:rFonts w:ascii="Times New Roman" w:hAnsi="Times New Roman"/>
          <w:color w:val="0070C0"/>
          <w:sz w:val="16"/>
          <w:szCs w:val="16"/>
        </w:rPr>
        <w:softHyphen/>
        <w:t>сали: «На разбеге самолет прост, устойчив, тенденций к заворотам и прыжкам нет... Посадка проста и никаких особенностей не имеет». В горизонтальном полете бомбар</w:t>
      </w:r>
      <w:r w:rsidRPr="00142305">
        <w:rPr>
          <w:rFonts w:ascii="Times New Roman" w:hAnsi="Times New Roman"/>
          <w:color w:val="0070C0"/>
          <w:sz w:val="16"/>
          <w:szCs w:val="16"/>
        </w:rPr>
        <w:softHyphen/>
        <w:t>дировщик держался устойчиво, пилот мог бросить на время штурвал.</w:t>
      </w:r>
    </w:p>
    <w:p w14:paraId="2144A429" w14:textId="77777777" w:rsidR="008342C9" w:rsidRPr="00142305" w:rsidRDefault="008342C9" w:rsidP="008342C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ТБ-3, пожалуй, даже чрезмерно устой</w:t>
      </w:r>
      <w:r w:rsidRPr="00142305">
        <w:rPr>
          <w:rFonts w:ascii="Times New Roman" w:hAnsi="Times New Roman"/>
          <w:color w:val="0070C0"/>
          <w:sz w:val="16"/>
          <w:szCs w:val="16"/>
        </w:rPr>
        <w:softHyphen/>
        <w:t>чиво держался на курсе. Чтобы ввести его в вираж, от пилота требовались значитель</w:t>
      </w:r>
      <w:r w:rsidRPr="00142305">
        <w:rPr>
          <w:rFonts w:ascii="Times New Roman" w:hAnsi="Times New Roman"/>
          <w:color w:val="0070C0"/>
          <w:sz w:val="16"/>
          <w:szCs w:val="16"/>
        </w:rPr>
        <w:softHyphen/>
        <w:t>ные усилия. «Вообще управление само</w:t>
      </w:r>
      <w:r w:rsidRPr="00142305">
        <w:rPr>
          <w:rFonts w:ascii="Times New Roman" w:hAnsi="Times New Roman"/>
          <w:color w:val="0070C0"/>
          <w:sz w:val="16"/>
          <w:szCs w:val="16"/>
        </w:rPr>
        <w:softHyphen/>
        <w:t>лета ненормально тяжело, в особенности управление элеронами», - говорил отчет НИИ ВВС.</w:t>
      </w:r>
    </w:p>
    <w:p w14:paraId="615A8A57" w14:textId="77777777" w:rsidR="008342C9" w:rsidRPr="00142305" w:rsidRDefault="008342C9" w:rsidP="008342C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Испытания не довели до конца - заму</w:t>
      </w:r>
      <w:r w:rsidRPr="00142305">
        <w:rPr>
          <w:rFonts w:ascii="Times New Roman" w:hAnsi="Times New Roman"/>
          <w:color w:val="0070C0"/>
          <w:sz w:val="16"/>
          <w:szCs w:val="16"/>
        </w:rPr>
        <w:softHyphen/>
        <w:t>чались с покрышками. Резины на огром</w:t>
      </w:r>
      <w:r w:rsidRPr="00142305">
        <w:rPr>
          <w:rFonts w:ascii="Times New Roman" w:hAnsi="Times New Roman"/>
          <w:color w:val="0070C0"/>
          <w:sz w:val="16"/>
          <w:szCs w:val="16"/>
        </w:rPr>
        <w:softHyphen/>
        <w:t>ные колеса ТБ-3 в СССР не нашлось - купили в Англии, у фирмы «Палмер» (24937).</w:t>
      </w:r>
    </w:p>
    <w:p w14:paraId="697A1673" w14:textId="77777777" w:rsidR="008342C9" w:rsidRPr="00142305" w:rsidRDefault="008342C9" w:rsidP="008342C9">
      <w:pPr>
        <w:spacing w:after="0" w:line="240" w:lineRule="auto"/>
        <w:jc w:val="both"/>
        <w:rPr>
          <w:rFonts w:ascii="Times New Roman" w:hAnsi="Times New Roman"/>
          <w:color w:val="0070C0"/>
          <w:sz w:val="16"/>
          <w:szCs w:val="16"/>
        </w:rPr>
      </w:pPr>
    </w:p>
    <w:p w14:paraId="31C649B8" w14:textId="77777777" w:rsidR="008342C9" w:rsidRPr="005E779E" w:rsidRDefault="008342C9" w:rsidP="008342C9">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мая 1931 доработанный ТБ-3 (АНТ-6) с BMW продемонстрировали в воздухе над Красной площадью (8887).</w:t>
      </w:r>
    </w:p>
    <w:p w14:paraId="1F06EF4A" w14:textId="77777777" w:rsidR="008342C9" w:rsidRPr="005E779E" w:rsidRDefault="008342C9" w:rsidP="008342C9">
      <w:pPr>
        <w:autoSpaceDE w:val="0"/>
        <w:autoSpaceDN w:val="0"/>
        <w:adjustRightInd w:val="0"/>
        <w:spacing w:after="0" w:line="240" w:lineRule="auto"/>
        <w:jc w:val="both"/>
        <w:rPr>
          <w:rFonts w:ascii="Times New Roman" w:hAnsi="Times New Roman"/>
          <w:color w:val="000000" w:themeColor="text1"/>
          <w:sz w:val="16"/>
          <w:szCs w:val="16"/>
        </w:rPr>
      </w:pPr>
    </w:p>
    <w:p w14:paraId="68169C62" w14:textId="77777777" w:rsidR="008342C9" w:rsidRPr="005E779E" w:rsidRDefault="008342C9" w:rsidP="008342C9">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1 мая</w:t>
      </w:r>
      <w:r w:rsidRPr="005E779E">
        <w:rPr>
          <w:rFonts w:ascii="Times New Roman" w:hAnsi="Times New Roman"/>
          <w:color w:val="000000" w:themeColor="text1"/>
          <w:sz w:val="16"/>
          <w:szCs w:val="16"/>
        </w:rPr>
        <w:t xml:space="preserve"> в 1931 году истребители «И-5» впервые были показаны на воздушном параде над Москвой. Над Красной площадью летали, демонстрируя высший пилотаж, А.Б.Юмашев и А.Ф.Анисимов. Возглавлял группу И-5 начальник ВВС РККА Я.И.Алкснис на ярко-красном "Климе Ворошилове", который стал его личным самолетом (14878).</w:t>
      </w:r>
    </w:p>
    <w:p w14:paraId="467A45C6" w14:textId="77777777" w:rsidR="008342C9" w:rsidRPr="005E779E" w:rsidRDefault="008342C9" w:rsidP="008342C9">
      <w:pPr>
        <w:spacing w:after="0" w:line="240" w:lineRule="auto"/>
        <w:jc w:val="both"/>
        <w:rPr>
          <w:rFonts w:ascii="Times New Roman" w:hAnsi="Times New Roman"/>
          <w:color w:val="000000" w:themeColor="text1"/>
          <w:sz w:val="16"/>
          <w:szCs w:val="16"/>
        </w:rPr>
      </w:pPr>
    </w:p>
    <w:p w14:paraId="5BD3A587" w14:textId="77777777" w:rsidR="008342C9" w:rsidRPr="005E779E" w:rsidRDefault="008342C9" w:rsidP="008342C9">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мая 1931 г. в воздушном параде над Красной пло</w:t>
      </w:r>
      <w:r w:rsidRPr="005E779E">
        <w:rPr>
          <w:rFonts w:ascii="Times New Roman" w:hAnsi="Times New Roman"/>
          <w:color w:val="000000" w:themeColor="text1"/>
          <w:sz w:val="16"/>
          <w:szCs w:val="16"/>
        </w:rPr>
        <w:softHyphen/>
        <w:t>щадью пролетели на И-5, демонстрируя высший пило</w:t>
      </w:r>
      <w:r w:rsidRPr="005E779E">
        <w:rPr>
          <w:rFonts w:ascii="Times New Roman" w:hAnsi="Times New Roman"/>
          <w:color w:val="000000" w:themeColor="text1"/>
          <w:sz w:val="16"/>
          <w:szCs w:val="16"/>
        </w:rPr>
        <w:softHyphen/>
        <w:t>таж, А.Б.Юмашев и А.Ф.Анисимов. В руках опытных пилотов машина безупречно вы</w:t>
      </w:r>
      <w:r w:rsidRPr="005E779E">
        <w:rPr>
          <w:rFonts w:ascii="Times New Roman" w:hAnsi="Times New Roman"/>
          <w:color w:val="000000" w:themeColor="text1"/>
          <w:sz w:val="16"/>
          <w:szCs w:val="16"/>
        </w:rPr>
        <w:softHyphen/>
        <w:t>полняла все фигуры высшего пилотажа. Великолепный летчик Анисимов часто пилотировал самолет на пре</w:t>
      </w:r>
      <w:r w:rsidRPr="005E779E">
        <w:rPr>
          <w:rFonts w:ascii="Times New Roman" w:hAnsi="Times New Roman"/>
          <w:color w:val="000000" w:themeColor="text1"/>
          <w:sz w:val="16"/>
          <w:szCs w:val="16"/>
        </w:rPr>
        <w:softHyphen/>
        <w:t>дельно малой высоте. Он погиб в августе 1934 г., выполняя подряд три петли с выходом у самой земли. Завер</w:t>
      </w:r>
      <w:r w:rsidRPr="005E779E">
        <w:rPr>
          <w:rFonts w:ascii="Times New Roman" w:hAnsi="Times New Roman"/>
          <w:color w:val="000000" w:themeColor="text1"/>
          <w:sz w:val="16"/>
          <w:szCs w:val="16"/>
        </w:rPr>
        <w:softHyphen/>
        <w:t>шая последнюю, он увидел пересекающий ему путь раз</w:t>
      </w:r>
      <w:r w:rsidRPr="005E779E">
        <w:rPr>
          <w:rFonts w:ascii="Times New Roman" w:hAnsi="Times New Roman"/>
          <w:color w:val="000000" w:themeColor="text1"/>
          <w:sz w:val="16"/>
          <w:szCs w:val="16"/>
        </w:rPr>
        <w:softHyphen/>
        <w:t>ведчик Р-5. Уклониться от самолета на малой высоте летчику не удалось...(10667).</w:t>
      </w:r>
    </w:p>
    <w:p w14:paraId="61821BC2" w14:textId="77777777" w:rsidR="008342C9" w:rsidRPr="005E779E" w:rsidRDefault="008342C9" w:rsidP="008342C9">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6FDB02" w14:textId="77777777" w:rsidR="008342C9" w:rsidRPr="005E779E" w:rsidRDefault="008342C9" w:rsidP="008342C9">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мая 1931 И-5 впервые показали на параде над Красной площадью. Группу вёл на ярко-красном самолёте с надписью "Клим Ворошилов" Я.И. Алкснис. Лётчики А.Б. Юмашев и А.Ф. Анисимов выполнили несколько фигур высшего пилотажа. Но машины и пилоты были не из строевой части - их взяли из НИИ ВВС. С тех пор это стало традицией на несколько лет: авиационные парады открывала пятёрка красных И-5, которые вели лучшие лётчики страны. Возглавлял группу А.Ф. Анисимов, признанный мастер высшего пилотажа (11997).</w:t>
      </w:r>
    </w:p>
    <w:p w14:paraId="7931CD64" w14:textId="77777777" w:rsidR="008342C9" w:rsidRPr="005E779E" w:rsidRDefault="008342C9" w:rsidP="008342C9">
      <w:pPr>
        <w:autoSpaceDE w:val="0"/>
        <w:autoSpaceDN w:val="0"/>
        <w:adjustRightInd w:val="0"/>
        <w:spacing w:after="0" w:line="240" w:lineRule="auto"/>
        <w:jc w:val="both"/>
        <w:rPr>
          <w:rFonts w:ascii="Times New Roman" w:hAnsi="Times New Roman"/>
          <w:color w:val="000000" w:themeColor="text1"/>
          <w:sz w:val="16"/>
          <w:szCs w:val="16"/>
        </w:rPr>
      </w:pPr>
    </w:p>
    <w:p w14:paraId="3A52643C" w14:textId="77777777" w:rsidR="008342C9" w:rsidRPr="005E779E" w:rsidRDefault="008342C9" w:rsidP="008342C9">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мая 1931 на параде над КП прошли серийные И-5. Группу возглавлял Я.И.Алкснис на красном "КВ" (191,22).</w:t>
      </w:r>
    </w:p>
    <w:p w14:paraId="05DC184F" w14:textId="77777777" w:rsidR="008342C9" w:rsidRPr="005E779E" w:rsidRDefault="008342C9" w:rsidP="008342C9">
      <w:pPr>
        <w:autoSpaceDE w:val="0"/>
        <w:autoSpaceDN w:val="0"/>
        <w:adjustRightInd w:val="0"/>
        <w:spacing w:after="0" w:line="240" w:lineRule="auto"/>
        <w:jc w:val="both"/>
        <w:rPr>
          <w:rFonts w:ascii="Times New Roman" w:hAnsi="Times New Roman"/>
          <w:color w:val="000000" w:themeColor="text1"/>
          <w:sz w:val="16"/>
          <w:szCs w:val="16"/>
        </w:rPr>
      </w:pPr>
    </w:p>
    <w:p w14:paraId="679D3F40" w14:textId="77777777" w:rsidR="008342C9" w:rsidRPr="005E779E" w:rsidRDefault="008342C9" w:rsidP="008342C9">
      <w:pPr>
        <w:pStyle w:val="ae"/>
        <w:shd w:val="clear" w:color="auto" w:fill="FFFFFF"/>
        <w:spacing w:before="0" w:after="0"/>
        <w:jc w:val="both"/>
        <w:textAlignment w:val="baseline"/>
        <w:rPr>
          <w:color w:val="000000" w:themeColor="text1"/>
          <w:sz w:val="16"/>
          <w:szCs w:val="16"/>
        </w:rPr>
      </w:pPr>
      <w:r w:rsidRPr="005E779E">
        <w:rPr>
          <w:color w:val="000000" w:themeColor="text1"/>
          <w:sz w:val="16"/>
          <w:szCs w:val="16"/>
        </w:rPr>
        <w:t>1 мая 1931 г. И-5 впервые показали на воздушном параде в Москве. Высший пилотаж над Красной площадью продемонстрировала группа во главе с начальником (по-современному главкомом) ВВС Я. Алкснисом, летавшем на выкрашенном в красный цвет истребителе с надписью «Клим Ворошилов» (это был второй опытный экземпляр). «Ворошилов» с тех пор стал его личным само</w:t>
      </w:r>
      <w:r w:rsidRPr="005E779E">
        <w:rPr>
          <w:color w:val="000000" w:themeColor="text1"/>
          <w:sz w:val="16"/>
          <w:szCs w:val="16"/>
        </w:rPr>
        <w:softHyphen/>
        <w:t>летом (19176).</w:t>
      </w:r>
    </w:p>
    <w:p w14:paraId="16906F11" w14:textId="77777777" w:rsidR="008342C9" w:rsidRPr="005E779E" w:rsidRDefault="008342C9" w:rsidP="008342C9">
      <w:pPr>
        <w:pStyle w:val="ae"/>
        <w:shd w:val="clear" w:color="auto" w:fill="FFFFFF"/>
        <w:spacing w:before="0" w:after="0"/>
        <w:jc w:val="both"/>
        <w:textAlignment w:val="baseline"/>
        <w:rPr>
          <w:color w:val="000000" w:themeColor="text1"/>
          <w:sz w:val="16"/>
          <w:szCs w:val="16"/>
        </w:rPr>
      </w:pPr>
    </w:p>
    <w:p w14:paraId="0BBC3ABC" w14:textId="77777777" w:rsidR="008342C9" w:rsidRPr="00142305" w:rsidRDefault="008342C9" w:rsidP="008342C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мая 1931 г. в воздушном параде над Красной площадью пролетели на И-5, демонстрируя высший пилотаж, А. Б. Юмашев и А. Ф. Анисимов.</w:t>
      </w:r>
    </w:p>
    <w:p w14:paraId="4F25E290" w14:textId="77777777" w:rsidR="008342C9" w:rsidRPr="00142305" w:rsidRDefault="008342C9" w:rsidP="008342C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руках опытных пилотов машина безупречно выполняла все фигуры высшего пилотажа. Великолепный летчик А. Ф. Анисимов часто пилотировал самолет на предельно малой высоте. Он погиб в августе 1934 г., выполняя подряд три петли с выходом у самой травы. Завершая последнюю, он увидел пересекающий ему путь разведчик Р-5. Уклониться от самолета на малой высоте летчику не удалось…</w:t>
      </w:r>
    </w:p>
    <w:p w14:paraId="7B7184DA" w14:textId="77777777" w:rsidR="008342C9" w:rsidRPr="00142305" w:rsidRDefault="008342C9" w:rsidP="008342C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И-5 летала первая в нашей стране пилотажная группа, организованная летчиком-испытателем В. Степанченком )25035).</w:t>
      </w:r>
    </w:p>
    <w:p w14:paraId="4D029788" w14:textId="77777777" w:rsidR="008342C9" w:rsidRPr="00142305" w:rsidRDefault="008342C9" w:rsidP="008342C9">
      <w:pPr>
        <w:spacing w:after="0" w:line="240" w:lineRule="auto"/>
        <w:jc w:val="both"/>
        <w:rPr>
          <w:rFonts w:ascii="Times New Roman" w:hAnsi="Times New Roman"/>
          <w:color w:val="0070C0"/>
          <w:sz w:val="16"/>
          <w:szCs w:val="16"/>
        </w:rPr>
      </w:pPr>
    </w:p>
    <w:p w14:paraId="7C2574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мая 1931 на аэродром вывели ТБ-5 (8 по плану ЦКБ) (92,435). Испытывал Б.Л.Бухгольц (2433,175).</w:t>
      </w:r>
    </w:p>
    <w:p w14:paraId="440040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0A36D84" w14:textId="77777777" w:rsidR="00A24023" w:rsidRPr="005E779E" w:rsidRDefault="00A2402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мая 1931 г. точно по плану начались испытания тяжелого бомбардировщика ТБ-5 разработки ЦКБ-39 (ответственный конструктор Д.П. Григорович). Но самолет оказался неудачен и на вооружение его не приняли (23559).</w:t>
      </w:r>
    </w:p>
    <w:p w14:paraId="28AD517F" w14:textId="77777777" w:rsidR="00A24023" w:rsidRPr="005E779E" w:rsidRDefault="00A24023" w:rsidP="000B7A6C">
      <w:pPr>
        <w:spacing w:after="0" w:line="240" w:lineRule="auto"/>
        <w:jc w:val="both"/>
        <w:rPr>
          <w:rFonts w:ascii="Times New Roman" w:hAnsi="Times New Roman"/>
          <w:color w:val="000000" w:themeColor="text1"/>
          <w:sz w:val="16"/>
          <w:szCs w:val="16"/>
        </w:rPr>
      </w:pPr>
    </w:p>
    <w:p w14:paraId="73411B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мая 1931 на параде был ТБ-5 (ЦКБ N 8) Д.П.Г. под управлением л Б.Л.Бухгольца. Потом разбил М.М.Г. (1022,22).</w:t>
      </w:r>
    </w:p>
    <w:p w14:paraId="23D442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105C118" w14:textId="77777777" w:rsidR="002D39AF" w:rsidRPr="005E779E" w:rsidRDefault="002D39A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К 1-му мая 1931 года бомбардировщик ТБ-5 выкатили на аэродром. После проверок и доводок было решено выпустить машину в воздух (18293). </w:t>
      </w:r>
    </w:p>
    <w:p w14:paraId="74CD799A" w14:textId="77777777" w:rsidR="002D39AF" w:rsidRPr="005E779E" w:rsidRDefault="002D39AF" w:rsidP="000B7A6C">
      <w:pPr>
        <w:spacing w:after="0" w:line="240" w:lineRule="auto"/>
        <w:jc w:val="both"/>
        <w:rPr>
          <w:rFonts w:ascii="Times New Roman" w:hAnsi="Times New Roman"/>
          <w:color w:val="000000" w:themeColor="text1"/>
          <w:sz w:val="16"/>
          <w:szCs w:val="16"/>
        </w:rPr>
      </w:pPr>
    </w:p>
    <w:p w14:paraId="7D8A9D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мая 1931 ГРОСС был закончен исполкомовский К-10 К.А.К. (70,188).</w:t>
      </w:r>
    </w:p>
    <w:p w14:paraId="49B907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A55D7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мая 1931 был закончен производством первый М-34 750 нр и поставлен на станок (2281,67).</w:t>
      </w:r>
    </w:p>
    <w:p w14:paraId="2A3D82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4CBA648"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 1 мая 1931 года харьковская Лаборатория двигателей внутреннего сгорания Украинского научно-исследовательского института промэнергетики, организованная 29 ноября 1929 года, стала филиалом Украинского научно-исследовательского института промэнергетики. С 1 января 1932 года - Украинский научно-исследовательский институт двигателей внутреннего сгорания в системе ВСНХ УССР, затем Наркомтяжпрома. С 15 марта 1932 года - Научно-исследовательский </w:t>
      </w:r>
      <w:r w:rsidRPr="005E779E">
        <w:rPr>
          <w:rFonts w:ascii="Times New Roman" w:hAnsi="Times New Roman"/>
          <w:color w:val="000000" w:themeColor="text1"/>
          <w:sz w:val="16"/>
          <w:szCs w:val="16"/>
        </w:rPr>
        <w:lastRenderedPageBreak/>
        <w:t>институт двигателей внутреннего сгорания (Харьковский филиал НИИ ГВФ). С 3 августа 1932 года Украинский научно-исследовательский авиадизельный институт Харьковский филиал НИИ авиационных двигателей ГВФ "Аэрофлота" (7726, 31-47).</w:t>
      </w:r>
    </w:p>
    <w:p w14:paraId="63B6D3CC"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77E8296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 мая по 1 августа 1931 г. была проведена обкатка и пред</w:t>
      </w:r>
      <w:r w:rsidRPr="005E779E">
        <w:rPr>
          <w:rFonts w:ascii="Times New Roman" w:hAnsi="Times New Roman"/>
          <w:color w:val="000000" w:themeColor="text1"/>
          <w:sz w:val="16"/>
          <w:szCs w:val="16"/>
        </w:rPr>
        <w:softHyphen/>
        <w:t>варительное испытание «полномасштабного» мотора. С 2 августа по 7 ноября М-34 успешно прошел 100-часовые госиспытания и в нача</w:t>
      </w:r>
      <w:r w:rsidRPr="005E779E">
        <w:rPr>
          <w:rFonts w:ascii="Times New Roman" w:hAnsi="Times New Roman"/>
          <w:color w:val="000000" w:themeColor="text1"/>
          <w:sz w:val="16"/>
          <w:szCs w:val="16"/>
        </w:rPr>
        <w:softHyphen/>
        <w:t>ле 1932 г. был передан в серийное производство на завод № 24 (Москва). Разработка мощного авиамотора, ставшего первым отече</w:t>
      </w:r>
      <w:r w:rsidRPr="005E779E">
        <w:rPr>
          <w:rFonts w:ascii="Times New Roman" w:hAnsi="Times New Roman"/>
          <w:color w:val="000000" w:themeColor="text1"/>
          <w:sz w:val="16"/>
          <w:szCs w:val="16"/>
        </w:rPr>
        <w:softHyphen/>
        <w:t>ственным серийным, совпала с созданием и становлением Централь</w:t>
      </w:r>
      <w:r w:rsidRPr="005E779E">
        <w:rPr>
          <w:rFonts w:ascii="Times New Roman" w:hAnsi="Times New Roman"/>
          <w:color w:val="000000" w:themeColor="text1"/>
          <w:sz w:val="16"/>
          <w:szCs w:val="16"/>
        </w:rPr>
        <w:softHyphen/>
        <w:t>ного института авиационного моторостроения (ЦИАМ), куда Микулин был назначен главным конструктором. М-34 обладал вы</w:t>
      </w:r>
      <w:r w:rsidRPr="005E779E">
        <w:rPr>
          <w:rFonts w:ascii="Times New Roman" w:hAnsi="Times New Roman"/>
          <w:color w:val="000000" w:themeColor="text1"/>
          <w:sz w:val="16"/>
          <w:szCs w:val="16"/>
        </w:rPr>
        <w:softHyphen/>
        <w:t>дающимися для своего времени техническими данными и превосхо</w:t>
      </w:r>
      <w:r w:rsidRPr="005E779E">
        <w:rPr>
          <w:rFonts w:ascii="Times New Roman" w:hAnsi="Times New Roman"/>
          <w:color w:val="000000" w:themeColor="text1"/>
          <w:sz w:val="16"/>
          <w:szCs w:val="16"/>
        </w:rPr>
        <w:softHyphen/>
        <w:t>дил лучшие зарубежные образцы. Его номинальная мощность составила 750 л. с., а взлетная — 850 л. с. при сухой массе 535 кг. На</w:t>
      </w:r>
      <w:r w:rsidRPr="005E779E">
        <w:rPr>
          <w:rFonts w:ascii="Times New Roman" w:hAnsi="Times New Roman"/>
          <w:color w:val="000000" w:themeColor="text1"/>
          <w:sz w:val="16"/>
          <w:szCs w:val="16"/>
        </w:rPr>
        <w:softHyphen/>
        <w:t>ша страна получила мощный мотор, являвшийся выдающимся достижени</w:t>
      </w:r>
      <w:r w:rsidRPr="005E779E">
        <w:rPr>
          <w:rFonts w:ascii="Times New Roman" w:hAnsi="Times New Roman"/>
          <w:color w:val="000000" w:themeColor="text1"/>
          <w:sz w:val="16"/>
          <w:szCs w:val="16"/>
        </w:rPr>
        <w:softHyphen/>
        <w:t>ем мирового моторостроения. В конструкции М-34 имелся целый ряд нововведений. Одним из них явля</w:t>
      </w:r>
      <w:r w:rsidRPr="005E779E">
        <w:rPr>
          <w:rFonts w:ascii="Times New Roman" w:hAnsi="Times New Roman"/>
          <w:color w:val="000000" w:themeColor="text1"/>
          <w:sz w:val="16"/>
          <w:szCs w:val="16"/>
        </w:rPr>
        <w:softHyphen/>
        <w:t>лась силовая схема блока, так называе</w:t>
      </w:r>
      <w:r w:rsidRPr="005E779E">
        <w:rPr>
          <w:rFonts w:ascii="Times New Roman" w:hAnsi="Times New Roman"/>
          <w:color w:val="000000" w:themeColor="text1"/>
          <w:sz w:val="16"/>
          <w:szCs w:val="16"/>
        </w:rPr>
        <w:softHyphen/>
        <w:t>мая схема «сжатой рубашки и свободной гильзы&gt;&gt;, которая обеспечи</w:t>
      </w:r>
      <w:r w:rsidRPr="005E779E">
        <w:rPr>
          <w:rFonts w:ascii="Times New Roman" w:hAnsi="Times New Roman"/>
          <w:color w:val="000000" w:themeColor="text1"/>
          <w:sz w:val="16"/>
          <w:szCs w:val="16"/>
        </w:rPr>
        <w:softHyphen/>
        <w:t>ла исключительно высокую жесткость системы и позволила в дальнейшем значительно форсировать мотор. Ци</w:t>
      </w:r>
      <w:r w:rsidRPr="005E779E">
        <w:rPr>
          <w:rFonts w:ascii="Times New Roman" w:hAnsi="Times New Roman"/>
          <w:color w:val="000000" w:themeColor="text1"/>
          <w:sz w:val="16"/>
          <w:szCs w:val="16"/>
        </w:rPr>
        <w:softHyphen/>
        <w:t>линдровый блок, включающий шесть цилиндров одного ряда, состоит из от</w:t>
      </w:r>
      <w:r w:rsidRPr="005E779E">
        <w:rPr>
          <w:rFonts w:ascii="Times New Roman" w:hAnsi="Times New Roman"/>
          <w:color w:val="000000" w:themeColor="text1"/>
          <w:sz w:val="16"/>
          <w:szCs w:val="16"/>
        </w:rPr>
        <w:softHyphen/>
        <w:t>дельной головки, отдельной рубашки, выполненных из алюминиевого сплаизготовить буквально с «белка») (с кальки) первые двигатели. После 38 часов заводских испытаний моторы предъявили на стендовые го</w:t>
      </w:r>
      <w:r w:rsidRPr="005E779E">
        <w:rPr>
          <w:rFonts w:ascii="Times New Roman" w:hAnsi="Times New Roman"/>
          <w:color w:val="000000" w:themeColor="text1"/>
          <w:sz w:val="16"/>
          <w:szCs w:val="16"/>
        </w:rPr>
        <w:softHyphen/>
        <w:t>сударственные испытания, которые успешно завершились в ноябре 1931 г. Конечно, многие узлы и детали потребовали доводки. Этот самый тяжелый период в создании любого мотора лег на плечи заво</w:t>
      </w:r>
      <w:r w:rsidRPr="005E779E">
        <w:rPr>
          <w:rFonts w:ascii="Times New Roman" w:hAnsi="Times New Roman"/>
          <w:color w:val="000000" w:themeColor="text1"/>
          <w:sz w:val="16"/>
          <w:szCs w:val="16"/>
        </w:rPr>
        <w:softHyphen/>
        <w:t>да № 26. Именно он дал путевку в жизнь уникальному мотору М-34. Первые М-34 проходили испытания с импортным карбюратором, однако в ЦИАМе конструкторы К.А. Стариков и А.М. Добротвор-ский разработали свой, отечественный, с которым в 1932 г. двигатель был предъявлен на повторные государственные испытания. В октя</w:t>
      </w:r>
      <w:r w:rsidRPr="005E779E">
        <w:rPr>
          <w:rFonts w:ascii="Times New Roman" w:hAnsi="Times New Roman"/>
          <w:color w:val="000000" w:themeColor="text1"/>
          <w:sz w:val="16"/>
          <w:szCs w:val="16"/>
        </w:rPr>
        <w:softHyphen/>
        <w:t>бре 1933 г. самолет ТБ-3 с мотором М-34 прошел летные госиспыта</w:t>
      </w:r>
      <w:r w:rsidRPr="005E779E">
        <w:rPr>
          <w:rFonts w:ascii="Times New Roman" w:hAnsi="Times New Roman"/>
          <w:color w:val="000000" w:themeColor="text1"/>
          <w:sz w:val="16"/>
          <w:szCs w:val="16"/>
        </w:rPr>
        <w:softHyphen/>
        <w:t>ния, и двигатель был запущен в серию, но уже на заводе № 24 в Москве (Рыбинские производственные мощности были задейство</w:t>
      </w:r>
      <w:r w:rsidRPr="005E779E">
        <w:rPr>
          <w:rFonts w:ascii="Times New Roman" w:hAnsi="Times New Roman"/>
          <w:color w:val="000000" w:themeColor="text1"/>
          <w:sz w:val="16"/>
          <w:szCs w:val="16"/>
        </w:rPr>
        <w:softHyphen/>
        <w:t>ваны на выпуск моторов М-17). Тогда же, в конце 1931 г., было решено назначить Марьямова ди</w:t>
      </w:r>
      <w:r w:rsidRPr="005E779E">
        <w:rPr>
          <w:rFonts w:ascii="Times New Roman" w:hAnsi="Times New Roman"/>
          <w:color w:val="000000" w:themeColor="text1"/>
          <w:sz w:val="16"/>
          <w:szCs w:val="16"/>
        </w:rPr>
        <w:softHyphen/>
        <w:t>ректором завода имени Фрунзе. Умещался тогда завод на крохотной площадке. Прямо перед входом тянулась дорога. Сзади — кладбище с церковью у входа, поч</w:t>
      </w:r>
      <w:r w:rsidRPr="005E779E">
        <w:rPr>
          <w:rFonts w:ascii="Times New Roman" w:hAnsi="Times New Roman"/>
          <w:color w:val="000000" w:themeColor="text1"/>
          <w:sz w:val="16"/>
          <w:szCs w:val="16"/>
        </w:rPr>
        <w:softHyphen/>
        <w:t>ти напротив — застава с биржей извозчиков. А дальше за заводом тя</w:t>
      </w:r>
      <w:r w:rsidRPr="005E779E">
        <w:rPr>
          <w:rFonts w:ascii="Times New Roman" w:hAnsi="Times New Roman"/>
          <w:color w:val="000000" w:themeColor="text1"/>
          <w:sz w:val="16"/>
          <w:szCs w:val="16"/>
        </w:rPr>
        <w:softHyphen/>
        <w:t>нулись плантации цветов. Территория предприятия была обнесена дощатым забором. Для расширения производства потребовалась ко</w:t>
      </w:r>
      <w:r w:rsidRPr="005E779E">
        <w:rPr>
          <w:rFonts w:ascii="Times New Roman" w:hAnsi="Times New Roman"/>
          <w:color w:val="000000" w:themeColor="text1"/>
          <w:sz w:val="16"/>
          <w:szCs w:val="16"/>
        </w:rPr>
        <w:softHyphen/>
        <w:t>ренная реконструкция. На стройке многие тысячи людей работали в три смены. Одновре</w:t>
      </w:r>
      <w:r w:rsidRPr="005E779E">
        <w:rPr>
          <w:rFonts w:ascii="Times New Roman" w:hAnsi="Times New Roman"/>
          <w:color w:val="000000" w:themeColor="text1"/>
          <w:sz w:val="16"/>
          <w:szCs w:val="16"/>
        </w:rPr>
        <w:softHyphen/>
        <w:t>менно строились три корпуса, в том числе корпус механических це</w:t>
      </w:r>
      <w:r w:rsidRPr="005E779E">
        <w:rPr>
          <w:rFonts w:ascii="Times New Roman" w:hAnsi="Times New Roman"/>
          <w:color w:val="000000" w:themeColor="text1"/>
          <w:sz w:val="16"/>
          <w:szCs w:val="16"/>
        </w:rPr>
        <w:softHyphen/>
        <w:t>хов, который и сегодня самый крупный на заводе. Рядом возводился кузнечно-термический цех, а с другой стороны — инструментальный корпус. Все работы велись исключительно вручную. Лопата, кирка, носилки, конная подвода — вот и вся «механизация». Если до реконструкции завода на обеих территориях от силы ра</w:t>
      </w:r>
      <w:r w:rsidRPr="005E779E">
        <w:rPr>
          <w:rFonts w:ascii="Times New Roman" w:hAnsi="Times New Roman"/>
          <w:color w:val="000000" w:themeColor="text1"/>
          <w:sz w:val="16"/>
          <w:szCs w:val="16"/>
        </w:rPr>
        <w:softHyphen/>
        <w:t>ботало около тысячи человек, то после реконструкции численность предполагалось довести до 10 000 работников. Конечно, освоение серийного выпуска нового мощного советского мотора было задачей очень непростой (10781).</w:t>
      </w:r>
    </w:p>
    <w:p w14:paraId="208A1F2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D9EC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мая 1931 в составе Объединения ГВФ создали специальное предприятие Дирижаблестрой (2771,125).</w:t>
      </w:r>
    </w:p>
    <w:p w14:paraId="5C402E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554C2B7"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3FBEBC0D"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34102D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1 мая 1931 все рабочие чертежи танка Т-26 в основном были закончены (10733,175).</w:t>
      </w:r>
    </w:p>
    <w:p w14:paraId="4016837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BF31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1 мая 1931 на ленинградском заводе «Большевик»были закончены основные чертежи Т-26, а 16 июня одобрен техпроцесс и завод начал изготовление приспособлений и инструментов для массового производства. С первых дней все попытки заводчан хоть как то упростить технологию изготовления, разбивались о запреты. Требовалось точное копирование заморской «штуковины». Поначалу камнем преткновения стал двигатель, нормой брака по моторам считалось 65%! Ижорский завод подавал отвратительного качества бронекорпуса, они неизменно имели большое количество сквозных трещин. Бронелисты толщиной 10 мм в первый год пробивались винтовочной бронебойной пулей со 150–200 м, хотя это считалось невозможным, тем более, что спешка с освоением танка привела к появлению кустарщины, которая процветала до 1934 года. К тому же стоимость первых Т-26 в два раза превышала стоимость «Виккерсов». Первые Т-26 были собраны с точнейшим следованием английским чертежам, с широким использованием импортных деталей, но двигатели на них работать отказались. Следующие 15 танков тоже не могли двигаться своим ходом и обретали прыть только при перекидке в них мотора с эталонного «Виккерса». Только осенью наши Т-26 стали выползать с территории завода самостоятельно.</w:t>
      </w:r>
    </w:p>
    <w:p w14:paraId="53E05B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Еще в то время, когда «наверху» решались судьбы танка сопровождения, закупленные «шеститонники» начали расползаться по стране. Танк 216 поступил в ВАММ - военная академия механизации и моторизации имени И.В.Сталина, где был разобран для изучения, а танк 215 был для тех же целей отправлен в Сталинград, где предполагалось развернуть его производство. Там новинку разобрали, но собрать, в отличии от ВАММовцев не смогли, поскольку ряд деталей по многолетней традиции были не то утеряны, не то украдены в пути. Кроме того еще два танка (номера не установлены) были отправлены для ознакомления в Харьков и в Ленинград. Уже в ходе работ по сборке первых Т-26, корпус одного из «Виккерсов» был отправлен на завод им. Орджоникидзе для изучения его брони. В ходе исследований отдельные детали корпуса подвергались обстрелу простой остроконечной пулей и бронебойной пулей типа АУ-30 из винтовки и пулемета с дистанции 50 м. Обстрел танк выдержал на «отлично» После химического анализа и исследований микроструктуры брони специалистами отмечалось «что цементованная броня очень высокого качества». Сравнение с поданными образцами брони Ижорского завода показало худшее качество отечественных листов, что было связано с отсутствием в СССР современного металлургического оборудования. Ввиду неготовности Ижорского завода к выпуску брони требуемого качества, решено было первые 15 танков выполнить с корпусами из неброневой стали. В связи с тем, что СТЗ еще не был достроен, то заказ на постройку первых 500 машин был спущен ленинградскому заводу «Большевик». Уже через месяц план был скорректирован до 300 шт., но и это количество оказалось нереальным (11809). </w:t>
      </w:r>
    </w:p>
    <w:p w14:paraId="612753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27FC6A0" w14:textId="77777777" w:rsidR="002B6BEE" w:rsidRPr="005E779E" w:rsidRDefault="002B6BE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мая 1931 г. в праздничной колонне демон</w:t>
      </w:r>
      <w:r w:rsidRPr="005E779E">
        <w:rPr>
          <w:rFonts w:ascii="Times New Roman" w:hAnsi="Times New Roman"/>
          <w:color w:val="000000" w:themeColor="text1"/>
          <w:sz w:val="16"/>
          <w:szCs w:val="16"/>
        </w:rPr>
        <w:softHyphen/>
        <w:t>странтов по Красной площади Москвы прошел трактор CT3-15/30 Сталинградского завода с газогенератором НАТИ-1, изготовленный в мастерских HATИ на базе разработанной конструктором Т.Т. Семеновым-Жуковым газогене</w:t>
      </w:r>
      <w:r w:rsidRPr="005E779E">
        <w:rPr>
          <w:rFonts w:ascii="Times New Roman" w:hAnsi="Times New Roman"/>
          <w:color w:val="000000" w:themeColor="text1"/>
          <w:sz w:val="16"/>
          <w:szCs w:val="16"/>
        </w:rPr>
        <w:softHyphen/>
        <w:t>раторной установки СЖ-2 (22518).</w:t>
      </w:r>
    </w:p>
    <w:p w14:paraId="3AF3B214" w14:textId="77777777" w:rsidR="002B6BEE" w:rsidRPr="005E779E" w:rsidRDefault="002B6BEE" w:rsidP="000B7A6C">
      <w:pPr>
        <w:spacing w:after="0" w:line="240" w:lineRule="auto"/>
        <w:jc w:val="both"/>
        <w:rPr>
          <w:rFonts w:ascii="Times New Roman" w:hAnsi="Times New Roman"/>
          <w:color w:val="000000" w:themeColor="text1"/>
          <w:sz w:val="16"/>
          <w:szCs w:val="16"/>
        </w:rPr>
      </w:pPr>
    </w:p>
    <w:p w14:paraId="3CB1A773"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1 мая 1931 года специалисты ХАЗ собрали первую шестерку мотоциклов, каждый 135 кг весом. Одному из них предстояло послужить прототипом серийной. Головная (№ 1) машина имела четырехтактный одноцилиндровый двигатель рабочим объемом 350 см3 с максимальной частотой вращения коленвала 4000 об/мин. Передачи к трехступенчатой коробке скоростей и заднему колесу были цепными, предусматривались батарейная система зажигания с аккумулятором и генератором постоянного тока, тормоза на оба колеса и две фары. Раму штамповали из двух частей из листовой стали толщиной 2,5 мм и соединяли сваркой, внутри ее расположили бензобак, также сварной. Рама оказалась настолько прочной, что не деформировалась даже при серьезных авариях. Интересно, что придумал ее не профессиональный конструктор, а рабочий Солдатенко. Ему в 20-е годы довелось немало поездить по украинским шляхам и трактам на разных мотоциклах, но больше всего на американском «Харлей-Давидсоне». И пришел к выводу, что у этой хорошей, мощной машины есть существенный недостаток — слабоватая рама. Солдатенко заменил ее своей и модернизированную таким образом машину с успехом опробовал во Всеукраинском мотопробеге. Тогда-то раму и заприметили инженеры из Харькова.</w:t>
      </w:r>
    </w:p>
    <w:p w14:paraId="0671C185"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сравнения на мотоцикле № 2 поставили другую раму, из швеллера, но она оказалась хуже. На № 3 установили тяжелый четырехтактный двухцилиндровый двигатель объемом 1200 см3. Узлы машины № 4 монтировали на стальной раме из труб, подобной той, что на немецком мотоцикле БМВ образца 1929/30 года, однако она вышла недостаточно прочной. Тогда ее усилили и опробовали на машине № 5, но дело кончилось тем, что харьковчане прекратили бесперспективные эксперименты с трубчатыми рамами, по достоинству оценив солдатенковскую разработку. Что же касается № 6, то он был повторением головной машины (11396).</w:t>
      </w:r>
    </w:p>
    <w:p w14:paraId="5519BD84"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88659E"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мая 1931 мотоциклы ХАСЗ были продемонстрированы трудящимся столицы Украины. 2 мая состоялся пробный мотопробег Харьков - Мерефа - Харьков. Пройдя маршрут со средней скоростью 35 км/час, мотоциклы в полной исправнос-ти вернулись в гараж. Разборка двух из них подтвердила полную пригодность изготовленных де-талей для дальнейшего производ-ства. Завод получил задание го-товить мотоциклы для более се-рьезного испытания - 3500-кило-метрового пробега. В процессе подготовки в КБ сделали мелкие конструктивные изменения, а также начали готовить выпуск чертежей для будущего серийного производства (11602).</w:t>
      </w:r>
    </w:p>
    <w:p w14:paraId="26AF311F"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FC3A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 мая 1931 года на строительной площадке Каменско-Синарского металлургического комбината заложили первый кирпич. После митинга, посвященного началу строительства, секретарь Каменского райкома ВКП(б) М. С. Смирнов взялся за лопату. Сотни землекопов начали лопатами перекидывать грунт на деревянные полки, а с них - в конные таратайки, грабарки, тачки... </w:t>
      </w:r>
    </w:p>
    <w:p w14:paraId="4C4E72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Только что назначенный начальник Синарстроя Леон Оттович Траутман говорил в тот день корреспонденту газеты "За большой Урал": "На сегодняшний день по заводу не имеется еще ни промышленного задания, ни проекта. Жесткие и короткие сроки пуска завода требуют сверхамериканских темпов, но я не сомневаюсь, что мы с задачей строительства такими темпами справимся и уже в конце мая, начале июня приступим к активной работе". </w:t>
      </w:r>
    </w:p>
    <w:p w14:paraId="787E39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Завод будет крупнейшим гигантом в мире, выплавляющим литейный чугун. Рядом с Каменско-Синарским заводом построится одновременно с ним целый ряд заводов, которые используют его жидкий чугун для передела. Одним из таких заводов станет радиаторный, мощностью первой очереди в 100 тысяч тонн, затем труболитейный с мощностью первой очереди в 150 тысяч тонн, завод изложниц мощностью в 100 тысяч тонн, завод колес "Графика", обеспечивающий вагоностроение всего Востока, завод прокатных валков и другие предприятия, изготовляющие свои изделия в массовом масштабе. </w:t>
      </w:r>
    </w:p>
    <w:p w14:paraId="1D71D7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 xml:space="preserve">Проектирование этих заводов должно идти одновременно с проектированием металлургического завода" (11515). </w:t>
      </w:r>
    </w:p>
    <w:p w14:paraId="3362FD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79EC787" w14:textId="77777777" w:rsidR="002D39AF" w:rsidRPr="005E779E" w:rsidRDefault="002D39A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мая 1931 г. была выпущена первая партия синтетического каучука на опытном заводе «Литер А» В августе 1931 г. Президиум ЦИК СССР наградил С.В. Лебедева и его ближайшего помощника В.П. Краузе орденами Ленина «За особо выдающиеся заслуги по разрешению проблемы получения синтетического каучука, имеющей исключительное значение для социалистического строительства Союза ССР». Еще в период строительства опытного завода «Литер Б» ВСНХ принял решение о подготовке к строительству промышленных заводов синтетического каучука по методу С.В. Лебедева (18298).</w:t>
      </w:r>
    </w:p>
    <w:p w14:paraId="215971B8" w14:textId="77777777" w:rsidR="002D39AF" w:rsidRPr="005E779E" w:rsidRDefault="002D39AF" w:rsidP="000B7A6C">
      <w:pPr>
        <w:spacing w:after="0" w:line="240" w:lineRule="auto"/>
        <w:jc w:val="both"/>
        <w:rPr>
          <w:rFonts w:ascii="Times New Roman" w:hAnsi="Times New Roman"/>
          <w:color w:val="000000" w:themeColor="text1"/>
          <w:sz w:val="16"/>
          <w:szCs w:val="16"/>
        </w:rPr>
      </w:pPr>
    </w:p>
    <w:p w14:paraId="7F6C5411" w14:textId="77777777" w:rsidR="005C4849" w:rsidRPr="005E779E" w:rsidRDefault="00874B1E" w:rsidP="000B7A6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79E2012A"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53A52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мая 1931 году Тухачевский по-новому организовал первомайский парад на Дворцовой площади в Ленинграде. Участвовавшие в параде войска прошли по площади на мобилизованных автомобилях. На машинах также следовали авиадесантники из осоавиахимовцев. Это была своего рода демонстрация перспектив технического перевооружения армии, ее перехода к мобильным формам ведения боя. Тем самым утверждалась мысль о снижении роли кавалерии в будущей войне (11504).</w:t>
      </w:r>
    </w:p>
    <w:p w14:paraId="19F40E4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D59C47" w14:textId="77777777" w:rsidR="00D10B4F" w:rsidRPr="005E779E" w:rsidRDefault="00874B1E" w:rsidP="000B7A6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17D936BF" w14:textId="77777777" w:rsidR="00D10B4F" w:rsidRPr="005E779E" w:rsidRDefault="00D10B4F" w:rsidP="000B7A6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1606E5" w14:textId="77777777" w:rsidR="00D10B4F" w:rsidRPr="005E779E" w:rsidRDefault="00D10B4F"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1 мая</w:t>
      </w:r>
      <w:r w:rsidRPr="005E779E">
        <w:rPr>
          <w:rFonts w:ascii="Times New Roman" w:hAnsi="Times New Roman"/>
          <w:color w:val="000000" w:themeColor="text1"/>
          <w:sz w:val="16"/>
          <w:szCs w:val="16"/>
        </w:rPr>
        <w:t xml:space="preserve"> в 1931 году Ленинград признан первым в стране городом сплошной грамотности. В ходе кампании ликбеза обучены 34 273 неграмотных и 112 724 малограмотных (14878).</w:t>
      </w:r>
    </w:p>
    <w:p w14:paraId="7F1339EF" w14:textId="77777777" w:rsidR="00D10B4F" w:rsidRPr="005E779E" w:rsidRDefault="00D10B4F" w:rsidP="000B7A6C">
      <w:pPr>
        <w:spacing w:after="0" w:line="240" w:lineRule="auto"/>
        <w:jc w:val="both"/>
        <w:rPr>
          <w:rFonts w:ascii="Times New Roman" w:hAnsi="Times New Roman"/>
          <w:color w:val="000000" w:themeColor="text1"/>
          <w:sz w:val="16"/>
          <w:szCs w:val="16"/>
        </w:rPr>
      </w:pPr>
    </w:p>
    <w:p w14:paraId="1FA26F41"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3592CA89"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B70AC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мая 1931 в Нью Йорке был открыт Эмпайр Стейт билдинг (2100).</w:t>
      </w:r>
    </w:p>
    <w:p w14:paraId="0CA610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9D4F97C" w14:textId="77777777" w:rsidR="00D10B4F" w:rsidRPr="005E779E" w:rsidRDefault="00D10B4F"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1 мая</w:t>
      </w:r>
      <w:r w:rsidRPr="005E779E">
        <w:rPr>
          <w:rFonts w:ascii="Times New Roman" w:hAnsi="Times New Roman"/>
          <w:color w:val="000000" w:themeColor="text1"/>
          <w:sz w:val="16"/>
          <w:szCs w:val="16"/>
        </w:rPr>
        <w:t xml:space="preserve"> в 1931 году в Нью-Йорке проходит официальная церемония открытия самого высокого здания в мире - 102-этажного «Эмпайр Стейт Билдинг». Здание сооружено по проекту архитектора Уильяма Фредерика Лэма в разгар Великой депрессии всего за один год. Его постройка обошлась в 41 миллионов долларов. Свет в здании зажигает президент Герберт Гувер, нажимающий кнопку, находясь в Вашингтоне. Лишь в 1972 здание лишится титула самого высокого в мире, но по-прежнему «Эмпайр Стейт Билдинг» будет оставаться местом паломничества туристов (14878).</w:t>
      </w:r>
    </w:p>
    <w:p w14:paraId="5A740035" w14:textId="77777777" w:rsidR="00D10B4F" w:rsidRPr="005E779E" w:rsidRDefault="00D10B4F" w:rsidP="000B7A6C">
      <w:pPr>
        <w:spacing w:after="0" w:line="240" w:lineRule="auto"/>
        <w:jc w:val="both"/>
        <w:rPr>
          <w:rFonts w:ascii="Times New Roman" w:hAnsi="Times New Roman"/>
          <w:color w:val="000000" w:themeColor="text1"/>
          <w:sz w:val="16"/>
          <w:szCs w:val="16"/>
        </w:rPr>
      </w:pPr>
    </w:p>
    <w:p w14:paraId="2F38DC41"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33666BC7"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B4173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мая 1931 г. после спуска на воду корпус "Комсо</w:t>
      </w:r>
      <w:r w:rsidRPr="005E779E">
        <w:rPr>
          <w:rFonts w:ascii="Times New Roman" w:hAnsi="Times New Roman"/>
          <w:color w:val="000000" w:themeColor="text1"/>
          <w:sz w:val="16"/>
          <w:szCs w:val="16"/>
        </w:rPr>
        <w:softHyphen/>
        <w:t>мольца" в плавучем доке бьш доставлен из Горького в Ленинград по внутренним водным путям. Лодка достраивалась на Балтийском заводе и вступила в строй в августе 1934 г. Опыт создания лодки, строителем которой бьш П. М. Макаркин, впоследствии пригодил</w:t>
      </w:r>
      <w:r w:rsidRPr="005E779E">
        <w:rPr>
          <w:rFonts w:ascii="Times New Roman" w:hAnsi="Times New Roman"/>
          <w:color w:val="000000" w:themeColor="text1"/>
          <w:sz w:val="16"/>
          <w:szCs w:val="16"/>
        </w:rPr>
        <w:softHyphen/>
        <w:t>ся при серийной постройке подводных лодок в Горьком (3898).</w:t>
      </w:r>
    </w:p>
    <w:p w14:paraId="18FFB1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4496CDE"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Внешняя политика:</w:t>
      </w:r>
    </w:p>
    <w:p w14:paraId="2FE253AC"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8B0AA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мая 1931 г. в письме шефа военно-морского управления адмирала В. Гладиша генштабу райхсвера вновь был отмечен повышенный интерес «райхсмарине» к Финляндии, связями с которой штаб ВМС не мог и не хотел пожертвовать ради отношений с СССР. К этому примешивались большие опасения относительно разлагающего воздействия на дисциплину в германском флоте со стороны советских моряков в случае установления постоянной практики взаимных визитов боевых кораблей в порты обеих стран. Поэтому максимум, на что могло бы пойти руководство германского флота — это оказание советской стороне консультационной помощи в строительстве подводных лодок и торпед (M. Цайдлер указывает, что автором письма был Э. Рэдер. (Manfred Zeidler Op. cit.. S. 245)). С опасениями, что контакты с командами советских кораблей могли бы-де подвергнуть «превосходный» личный состав германского флота дурному коммунистическому влиянию, на совещании офицеров контрразведки 4 июня 1931 г. выступил все тот же Лицман (Francis L. Garsten. Op. cit.. S. 409—410.) (11784).</w:t>
      </w:r>
    </w:p>
    <w:p w14:paraId="4C973D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1312597" w14:textId="77777777" w:rsidR="002D39AF" w:rsidRPr="005E779E" w:rsidRDefault="002D39A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мая 1931 г. в письме шефа военно-морского управления адмирала В. Гладиша генштабу райхсвера от вновь был отмечен повышенный интерес «райхсмарине» к Финляндии, связями с которой штаб ВМС не мог и не хотел пожертвовать ради отношений с СССР. К этому примешивались большие опасения относительно разлагающего воздействия на дисциплину в германском флоте со стороны советских моряков в случае установления постоянной практики взаимных визитов боевых кораблей в порты обеих стран. Поэтому максимум, на что могло бы пойти руководство германского флота — это оказание советской стороне консультационной помощи в строительстве подводных лодок и торпед. С опасениями, что контакты с командами советских кораблей могли бы-де подвергнуть «превосходный» личный состав германского флота дурному коммунистическому влиянию, на совещании офицеров контрразведки 4 июня 1931 г. выступил все тот же Лицман.</w:t>
      </w:r>
    </w:p>
    <w:p w14:paraId="357BEB2C" w14:textId="77777777" w:rsidR="002D39AF" w:rsidRPr="005E779E" w:rsidRDefault="002D39A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Постепенно командование германских ВМС стало склоняться к отказу от сотрудничества с советским флотом вообще (18265).</w:t>
      </w:r>
    </w:p>
    <w:p w14:paraId="6DF9BE3D" w14:textId="77777777" w:rsidR="002D39AF" w:rsidRPr="005E779E" w:rsidRDefault="002D39AF" w:rsidP="000B7A6C">
      <w:pPr>
        <w:spacing w:after="0" w:line="240" w:lineRule="auto"/>
        <w:jc w:val="both"/>
        <w:rPr>
          <w:rFonts w:ascii="Times New Roman" w:hAnsi="Times New Roman"/>
          <w:color w:val="000000" w:themeColor="text1"/>
          <w:sz w:val="16"/>
          <w:szCs w:val="16"/>
        </w:rPr>
      </w:pPr>
    </w:p>
    <w:p w14:paraId="21042066"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365BB4CF"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73435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мая 1931 состоялись первые практические полеты планера за самолетом. Кружок Качинской школы. Жар-птица за У-1 (94,5). Планером управлял М.А.Нюхтиков, а У-1 - Г.Грибакин. Первый опыт был выполнен в Германии еще в 1927 (438,622).</w:t>
      </w:r>
    </w:p>
    <w:p w14:paraId="28E8E0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3CE36B8" w14:textId="77777777" w:rsidR="001D074B" w:rsidRPr="005E779E" w:rsidRDefault="001D074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мая 1931 г. в Севастопольской военной входе летчиков состоялся первый в СССР буксировочный полет на планере. Планером «Жар-птица» управлял М.А.Нюхтиков, самолетом-буксировщиком /У-1/ - Г.В.Грибалин. Первый опыт буксировки планера был проведем в 1927 г. в Германии. Советские планеристы превратили этот полет в особый вид спорта и вскоре превзошли все достижения зарубежных планеристов.</w:t>
      </w:r>
    </w:p>
    <w:p w14:paraId="6915EF55" w14:textId="77777777" w:rsidR="001D074B" w:rsidRPr="005E779E" w:rsidRDefault="001D074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1931, № 8/ (23370).</w:t>
      </w:r>
    </w:p>
    <w:p w14:paraId="098B7C74" w14:textId="77777777" w:rsidR="001D074B" w:rsidRPr="005E779E" w:rsidRDefault="001D074B" w:rsidP="000B7A6C">
      <w:pPr>
        <w:spacing w:after="0" w:line="240" w:lineRule="auto"/>
        <w:jc w:val="both"/>
        <w:rPr>
          <w:rFonts w:ascii="Times New Roman" w:hAnsi="Times New Roman"/>
          <w:color w:val="000000" w:themeColor="text1"/>
          <w:sz w:val="16"/>
          <w:szCs w:val="16"/>
        </w:rPr>
      </w:pPr>
    </w:p>
    <w:p w14:paraId="08EF0C08" w14:textId="77777777" w:rsidR="00293FAB" w:rsidRPr="005E779E" w:rsidRDefault="00293FAB"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55AD4527" w14:textId="77777777" w:rsidR="00293FAB" w:rsidRPr="005E779E" w:rsidRDefault="00293FAB"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342D67C" w14:textId="77777777" w:rsidR="00293FAB" w:rsidRPr="005E779E" w:rsidRDefault="00293FA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мая 1931 г. постановлением ВЦИК и СНК СССР был образован Государственный арбитраж. Он представлял собой смешанный орган, совмещающий управленческие и судебные функции, занимался разрешением споров, осуществлением надзора за законностью и обоснованностью их решений, исполнением решений и предупреждением хозяйственных правонарушений. Госарбитраж существовал в двух формах — ведомственной и государственной. В Государственном арбитраже рассматривались споры организаций и предприятий административного подчинения, в ведомственном — подчинения конкретным ведомствам. 6 декабря 1931 г. СНК СССР принял постановление, которым расширил компетенцию Госарбитража при Совете народных комиссаров СССР, возложив на него инструктирование арбитражей, состоящих при СНК союзных республик и ведомствах СССР, а также поручил последним возложить на соответствующие государственные арбитражи инструктирование местных и ведомственных арбитражей союзных республик. Постановлением СНК от 19 декабря 1933 г. “О заключении договоров на 1934 г.” к функциям Госарбитража была добавлена еще одна: рассмотрение споров, возникающих при заключении договоров между органами различных ведомств и кооперативных систем. 5 декабря 1939 г. СНК СССР принял постановление “О заключении договоров на 1940 год”, по которому в ведение Госарбитража перешло и рассмотрение споров, возникающих при согласовании основных условий поставки товаров (17776).</w:t>
      </w:r>
    </w:p>
    <w:p w14:paraId="662B53C6" w14:textId="77777777" w:rsidR="00293FAB" w:rsidRPr="005E779E" w:rsidRDefault="00293FAB" w:rsidP="000B7A6C">
      <w:pPr>
        <w:spacing w:after="0" w:line="240" w:lineRule="auto"/>
        <w:jc w:val="both"/>
        <w:rPr>
          <w:rFonts w:ascii="Times New Roman" w:eastAsia="Times New Roman" w:hAnsi="Times New Roman"/>
          <w:color w:val="000000" w:themeColor="text1"/>
          <w:sz w:val="16"/>
          <w:szCs w:val="16"/>
          <w:lang w:eastAsia="ru-RU"/>
        </w:rPr>
      </w:pPr>
    </w:p>
    <w:p w14:paraId="2739AF2B" w14:textId="77777777" w:rsidR="002D39AF" w:rsidRPr="005E779E" w:rsidRDefault="002D39AF"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6B01CF19" w14:textId="77777777" w:rsidR="002D39AF" w:rsidRPr="005E779E" w:rsidRDefault="002D39AF"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F72E10D" w14:textId="77777777" w:rsidR="002D39AF" w:rsidRPr="005E779E" w:rsidRDefault="002D39AF"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3 мая 1931 г.</w:t>
      </w:r>
    </w:p>
    <w:p w14:paraId="35308A03" w14:textId="77777777" w:rsidR="002D39AF" w:rsidRPr="005E779E" w:rsidRDefault="002D39AF"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Об использовании Л. К. Рамзина в разработке «парового трактора». 3 мая 1931 г.</w:t>
      </w:r>
    </w:p>
    <w:p w14:paraId="222B6A36" w14:textId="77777777" w:rsidR="002D39AF" w:rsidRPr="005E779E" w:rsidRDefault="002D39AF"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Источник: </w:t>
      </w:r>
    </w:p>
    <w:p w14:paraId="76965A47" w14:textId="77777777" w:rsidR="002D39AF" w:rsidRPr="005E779E" w:rsidRDefault="002D39A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1124CA2" w14:textId="77777777" w:rsidR="002D39AF" w:rsidRPr="005E779E" w:rsidRDefault="002D39AF"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Архив: </w:t>
      </w:r>
    </w:p>
    <w:p w14:paraId="361299A0" w14:textId="77777777" w:rsidR="002D39AF" w:rsidRPr="005E779E" w:rsidRDefault="002D39A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РГАЭ. Ф. 38. Oп. 1.Д. 2. Л. 10</w:t>
      </w:r>
    </w:p>
    <w:p w14:paraId="029C6081" w14:textId="77777777" w:rsidR="002D39AF" w:rsidRPr="005E779E" w:rsidRDefault="002D39AF" w:rsidP="000B7A6C">
      <w:pPr>
        <w:pStyle w:val="rteright"/>
        <w:spacing w:before="0" w:after="0"/>
        <w:jc w:val="both"/>
        <w:rPr>
          <w:color w:val="000000" w:themeColor="text1"/>
          <w:sz w:val="16"/>
          <w:szCs w:val="16"/>
        </w:rPr>
      </w:pPr>
      <w:r w:rsidRPr="005E779E">
        <w:rPr>
          <w:color w:val="000000" w:themeColor="text1"/>
          <w:sz w:val="16"/>
          <w:szCs w:val="16"/>
        </w:rPr>
        <w:t>3 мая 1931 г.</w:t>
      </w:r>
    </w:p>
    <w:p w14:paraId="442ED77B" w14:textId="77777777" w:rsidR="002D39AF" w:rsidRPr="005E779E" w:rsidRDefault="002D39AF" w:rsidP="000B7A6C">
      <w:pPr>
        <w:pStyle w:val="rteright"/>
        <w:spacing w:before="0" w:after="0"/>
        <w:jc w:val="both"/>
        <w:rPr>
          <w:color w:val="000000" w:themeColor="text1"/>
          <w:sz w:val="16"/>
          <w:szCs w:val="16"/>
        </w:rPr>
      </w:pPr>
      <w:r w:rsidRPr="005E779E">
        <w:rPr>
          <w:color w:val="000000" w:themeColor="text1"/>
          <w:sz w:val="16"/>
          <w:szCs w:val="16"/>
        </w:rPr>
        <w:t>Совершенно секретно</w:t>
      </w:r>
    </w:p>
    <w:p w14:paraId="540D6061" w14:textId="77777777" w:rsidR="002D39AF" w:rsidRPr="005E779E" w:rsidRDefault="002D39AF" w:rsidP="000B7A6C">
      <w:pPr>
        <w:pStyle w:val="ae"/>
        <w:spacing w:before="0" w:after="0"/>
        <w:jc w:val="both"/>
        <w:rPr>
          <w:color w:val="000000" w:themeColor="text1"/>
          <w:sz w:val="16"/>
          <w:szCs w:val="16"/>
        </w:rPr>
      </w:pPr>
      <w:r w:rsidRPr="005E779E">
        <w:rPr>
          <w:color w:val="000000" w:themeColor="text1"/>
          <w:sz w:val="16"/>
          <w:szCs w:val="16"/>
        </w:rPr>
        <w:lastRenderedPageBreak/>
        <w:t>ТЕХНИЧЕСКОЕ] ОТДЕЛ[ЕНИЕ] ЭКУ ОГПУ</w:t>
      </w:r>
    </w:p>
    <w:p w14:paraId="203739CA" w14:textId="77777777" w:rsidR="002D39AF" w:rsidRPr="005E779E" w:rsidRDefault="002D39AF" w:rsidP="000B7A6C">
      <w:pPr>
        <w:pStyle w:val="ae"/>
        <w:spacing w:before="0" w:after="0"/>
        <w:jc w:val="both"/>
        <w:rPr>
          <w:color w:val="000000" w:themeColor="text1"/>
          <w:sz w:val="16"/>
          <w:szCs w:val="16"/>
        </w:rPr>
      </w:pPr>
      <w:r w:rsidRPr="005E779E">
        <w:rPr>
          <w:color w:val="000000" w:themeColor="text1"/>
          <w:sz w:val="16"/>
          <w:szCs w:val="16"/>
        </w:rPr>
        <w:t>тов. ГОРЯНОВУ.</w:t>
      </w:r>
    </w:p>
    <w:p w14:paraId="01B0B7FA" w14:textId="77777777" w:rsidR="002D39AF" w:rsidRPr="005E779E" w:rsidRDefault="002D39AF" w:rsidP="000B7A6C">
      <w:pPr>
        <w:pStyle w:val="rtejustify"/>
        <w:spacing w:before="0" w:after="0"/>
        <w:rPr>
          <w:color w:val="000000" w:themeColor="text1"/>
          <w:sz w:val="16"/>
          <w:szCs w:val="16"/>
        </w:rPr>
      </w:pPr>
      <w:r w:rsidRPr="005E779E">
        <w:rPr>
          <w:color w:val="000000" w:themeColor="text1"/>
          <w:sz w:val="16"/>
          <w:szCs w:val="16"/>
        </w:rPr>
        <w:t>Согласно распоряжения т. ПРОКОФЬЕВА прошу дать срочное задание РАМЗИНУ на проектировку парового трактора с конденсацией пара.</w:t>
      </w:r>
    </w:p>
    <w:p w14:paraId="738EB122" w14:textId="77777777" w:rsidR="002D39AF" w:rsidRPr="005E779E" w:rsidRDefault="002D39AF" w:rsidP="000B7A6C">
      <w:pPr>
        <w:pStyle w:val="rtejustify"/>
        <w:spacing w:before="0" w:after="0"/>
        <w:rPr>
          <w:color w:val="000000" w:themeColor="text1"/>
          <w:sz w:val="16"/>
          <w:szCs w:val="16"/>
        </w:rPr>
      </w:pPr>
      <w:r w:rsidRPr="005E779E">
        <w:rPr>
          <w:color w:val="000000" w:themeColor="text1"/>
          <w:sz w:val="16"/>
          <w:szCs w:val="16"/>
        </w:rPr>
        <w:t>О возможном сроке выполнения задания прошу сообщить.</w:t>
      </w:r>
    </w:p>
    <w:p w14:paraId="442E51DA" w14:textId="77777777" w:rsidR="002D39AF" w:rsidRPr="005E779E" w:rsidRDefault="002D39AF" w:rsidP="000B7A6C">
      <w:pPr>
        <w:pStyle w:val="ae"/>
        <w:spacing w:before="0" w:after="0"/>
        <w:jc w:val="both"/>
        <w:rPr>
          <w:color w:val="000000" w:themeColor="text1"/>
          <w:sz w:val="16"/>
          <w:szCs w:val="16"/>
        </w:rPr>
      </w:pPr>
      <w:r w:rsidRPr="005E779E">
        <w:rPr>
          <w:color w:val="000000" w:themeColor="text1"/>
          <w:sz w:val="16"/>
          <w:szCs w:val="16"/>
        </w:rPr>
        <w:t>Пом. Нач. Группы Л. П. В.</w:t>
      </w:r>
    </w:p>
    <w:p w14:paraId="4006E359" w14:textId="77777777" w:rsidR="002D39AF" w:rsidRPr="005E779E" w:rsidRDefault="002D39AF" w:rsidP="000B7A6C">
      <w:pPr>
        <w:pStyle w:val="ae"/>
        <w:spacing w:before="0" w:after="0"/>
        <w:jc w:val="both"/>
        <w:rPr>
          <w:color w:val="000000" w:themeColor="text1"/>
          <w:sz w:val="16"/>
          <w:szCs w:val="16"/>
        </w:rPr>
      </w:pPr>
      <w:r w:rsidRPr="005E779E">
        <w:rPr>
          <w:color w:val="000000" w:themeColor="text1"/>
          <w:sz w:val="16"/>
          <w:szCs w:val="16"/>
        </w:rPr>
        <w:t>При Президиуме ВСНХ СССР Зибрак</w:t>
      </w:r>
    </w:p>
    <w:p w14:paraId="634CAE4A" w14:textId="77777777" w:rsidR="002D39AF" w:rsidRPr="005E779E" w:rsidRDefault="002D39AF" w:rsidP="000B7A6C">
      <w:pPr>
        <w:pStyle w:val="ae"/>
        <w:spacing w:before="0" w:after="0"/>
        <w:jc w:val="both"/>
        <w:rPr>
          <w:color w:val="000000" w:themeColor="text1"/>
          <w:sz w:val="16"/>
          <w:szCs w:val="16"/>
        </w:rPr>
      </w:pPr>
      <w:r w:rsidRPr="005E779E">
        <w:rPr>
          <w:color w:val="000000" w:themeColor="text1"/>
          <w:sz w:val="16"/>
          <w:szCs w:val="16"/>
        </w:rPr>
        <w:t>«3» Мая 1931 г.</w:t>
      </w:r>
    </w:p>
    <w:p w14:paraId="0FC72860" w14:textId="77777777" w:rsidR="002D39AF" w:rsidRPr="005E779E" w:rsidRDefault="002D39AF" w:rsidP="000B7A6C">
      <w:pPr>
        <w:pStyle w:val="ae"/>
        <w:spacing w:before="0" w:after="0"/>
        <w:jc w:val="both"/>
        <w:rPr>
          <w:color w:val="000000" w:themeColor="text1"/>
          <w:sz w:val="16"/>
          <w:szCs w:val="16"/>
        </w:rPr>
      </w:pPr>
      <w:r w:rsidRPr="005E779E">
        <w:rPr>
          <w:rStyle w:val="af0"/>
          <w:i w:val="0"/>
          <w:color w:val="000000" w:themeColor="text1"/>
          <w:sz w:val="16"/>
          <w:szCs w:val="16"/>
        </w:rPr>
        <w:t>РГАЭ. Ф. 38. Oп. 1.Д. 2. Л. 10. Машинописный подлинник, подпись — автограф. Гриф секретности машинописью. Число в дате написано от руки. Рукописные пометы на Л. 10: вверху слева «&lt;1. Сейчас &gt; нельзя загружать Рамзина 2) Беднякову перегов[орить] с Прокофьевым» (простым карандашом); внизу справа и на обороте листа (синим карандашом): «т. Бедняков Горянов пору&lt;чил&gt; тебе переговорить с тов. Прокофьевым о том, что Рамзин загружен сейчас не менее важной работой и что в части парового трактора он не является специалистом. 10/V» (подпись неразборчива, возможно: М. Соколов) (19059).</w:t>
      </w:r>
    </w:p>
    <w:p w14:paraId="66649608" w14:textId="77777777" w:rsidR="002D39AF" w:rsidRPr="005E779E" w:rsidRDefault="002D39AF" w:rsidP="000B7A6C">
      <w:pPr>
        <w:spacing w:after="0" w:line="240" w:lineRule="auto"/>
        <w:jc w:val="both"/>
        <w:rPr>
          <w:rFonts w:ascii="Times New Roman" w:hAnsi="Times New Roman"/>
          <w:color w:val="000000" w:themeColor="text1"/>
          <w:sz w:val="16"/>
          <w:szCs w:val="16"/>
        </w:rPr>
      </w:pPr>
    </w:p>
    <w:p w14:paraId="3BDCA2B9" w14:textId="77777777" w:rsidR="00EF2E51"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1A5B69AD" w14:textId="77777777" w:rsidR="00EF2E51" w:rsidRPr="005E779E" w:rsidRDefault="00EF2E51"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FF1DCDA" w14:textId="77777777" w:rsidR="00EF2E51" w:rsidRPr="005E779E" w:rsidRDefault="00EF2E5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мая 1931, в связи с назначением В.Н. Чернышева на вышестоящую должность, произошло объединение бригад № 3 и № 4 ЦКБ ЦАГИ в одну бригаду № 3, с передачей ей производственных заданий обеих бригад. Объединенную бригаду №3 возглавил П.О. Сухой, а его заместителями стали Н.Н. Поликарпов и Г.О. Бертош (12230).</w:t>
      </w:r>
    </w:p>
    <w:p w14:paraId="3CB26A37" w14:textId="77777777" w:rsidR="00EF2E51" w:rsidRPr="005E779E" w:rsidRDefault="00EF2E51" w:rsidP="000B7A6C">
      <w:pPr>
        <w:spacing w:after="0" w:line="240" w:lineRule="auto"/>
        <w:jc w:val="both"/>
        <w:rPr>
          <w:rFonts w:ascii="Times New Roman" w:hAnsi="Times New Roman"/>
          <w:color w:val="000000" w:themeColor="text1"/>
          <w:sz w:val="16"/>
          <w:szCs w:val="16"/>
        </w:rPr>
      </w:pPr>
    </w:p>
    <w:p w14:paraId="23A1A3B6"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0B124DE5"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842F6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мая 1931 на секретариате РАПП было принято решение немедленно заняться художественным показом героев пятилетки (3481).</w:t>
      </w:r>
    </w:p>
    <w:p w14:paraId="1BF0A7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A556DD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мая 1931 советские писатели постановили немедленно заняться «художественным показом героев пятилеток» (4962).</w:t>
      </w:r>
    </w:p>
    <w:p w14:paraId="3A64141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C62C24B" w14:textId="77777777" w:rsidR="002D39AF" w:rsidRPr="005E779E" w:rsidRDefault="002D39AF"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4 мая 1931 г.</w:t>
      </w:r>
    </w:p>
    <w:p w14:paraId="63C48339" w14:textId="77777777" w:rsidR="002D39AF" w:rsidRPr="005E779E" w:rsidRDefault="002D39AF"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Записка Л. К. Рамзина помощнику начальника Технического отделения ЭКУ ОГПУ В. А. Беднякову с просьбой о доставке книг и рукописей. 4 мая 1931 г.</w:t>
      </w:r>
    </w:p>
    <w:p w14:paraId="04EB0298" w14:textId="77777777" w:rsidR="002D39AF" w:rsidRPr="005E779E" w:rsidRDefault="002D39AF"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Источник: </w:t>
      </w:r>
    </w:p>
    <w:p w14:paraId="46CF2F60" w14:textId="77777777" w:rsidR="002D39AF" w:rsidRPr="005E779E" w:rsidRDefault="002D39A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5594B85" w14:textId="77777777" w:rsidR="002D39AF" w:rsidRPr="005E779E" w:rsidRDefault="002D39AF"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Архив: </w:t>
      </w:r>
    </w:p>
    <w:p w14:paraId="1DB2F866" w14:textId="77777777" w:rsidR="002D39AF" w:rsidRPr="005E779E" w:rsidRDefault="002D39A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РГАЭ. Ф. 38. Oп. 1. Д. 69. Л. 69</w:t>
      </w:r>
    </w:p>
    <w:p w14:paraId="75F014AD" w14:textId="77777777" w:rsidR="002D39AF" w:rsidRPr="005E779E" w:rsidRDefault="002D39AF" w:rsidP="000B7A6C">
      <w:pPr>
        <w:pStyle w:val="rteright"/>
        <w:spacing w:before="0" w:after="0"/>
        <w:jc w:val="both"/>
        <w:rPr>
          <w:color w:val="000000" w:themeColor="text1"/>
          <w:sz w:val="16"/>
          <w:szCs w:val="16"/>
        </w:rPr>
      </w:pPr>
      <w:r w:rsidRPr="005E779E">
        <w:rPr>
          <w:color w:val="000000" w:themeColor="text1"/>
          <w:sz w:val="16"/>
          <w:szCs w:val="16"/>
        </w:rPr>
        <w:t>4 мая 1931 г.</w:t>
      </w:r>
    </w:p>
    <w:p w14:paraId="165636D3" w14:textId="77777777" w:rsidR="002D39AF" w:rsidRPr="005E779E" w:rsidRDefault="002D39AF" w:rsidP="000B7A6C">
      <w:pPr>
        <w:pStyle w:val="ae"/>
        <w:spacing w:before="0" w:after="0"/>
        <w:jc w:val="both"/>
        <w:rPr>
          <w:color w:val="000000" w:themeColor="text1"/>
          <w:sz w:val="16"/>
          <w:szCs w:val="16"/>
        </w:rPr>
      </w:pPr>
      <w:r w:rsidRPr="005E779E">
        <w:rPr>
          <w:color w:val="000000" w:themeColor="text1"/>
          <w:sz w:val="16"/>
          <w:szCs w:val="16"/>
        </w:rPr>
        <w:t>ЭКУ ОГПУ</w:t>
      </w:r>
    </w:p>
    <w:p w14:paraId="0481E771" w14:textId="77777777" w:rsidR="002D39AF" w:rsidRPr="005E779E" w:rsidRDefault="002D39AF" w:rsidP="000B7A6C">
      <w:pPr>
        <w:pStyle w:val="ae"/>
        <w:spacing w:before="0" w:after="0"/>
        <w:jc w:val="both"/>
        <w:rPr>
          <w:color w:val="000000" w:themeColor="text1"/>
          <w:sz w:val="16"/>
          <w:szCs w:val="16"/>
        </w:rPr>
      </w:pPr>
      <w:r w:rsidRPr="005E779E">
        <w:rPr>
          <w:color w:val="000000" w:themeColor="text1"/>
          <w:sz w:val="16"/>
          <w:szCs w:val="16"/>
        </w:rPr>
        <w:t>V отделение</w:t>
      </w:r>
    </w:p>
    <w:p w14:paraId="069882AA" w14:textId="77777777" w:rsidR="002D39AF" w:rsidRPr="005E779E" w:rsidRDefault="002D39AF" w:rsidP="000B7A6C">
      <w:pPr>
        <w:pStyle w:val="ae"/>
        <w:spacing w:before="0" w:after="0"/>
        <w:jc w:val="both"/>
        <w:rPr>
          <w:color w:val="000000" w:themeColor="text1"/>
          <w:sz w:val="16"/>
          <w:szCs w:val="16"/>
        </w:rPr>
      </w:pPr>
      <w:r w:rsidRPr="005E779E">
        <w:rPr>
          <w:color w:val="000000" w:themeColor="text1"/>
          <w:sz w:val="16"/>
          <w:szCs w:val="16"/>
        </w:rPr>
        <w:t>В. А. Беднякову</w:t>
      </w:r>
    </w:p>
    <w:p w14:paraId="23D97878" w14:textId="77777777" w:rsidR="002D39AF" w:rsidRPr="005E779E" w:rsidRDefault="002D39AF" w:rsidP="000B7A6C">
      <w:pPr>
        <w:pStyle w:val="rtejustify"/>
        <w:spacing w:before="0" w:after="0"/>
        <w:rPr>
          <w:color w:val="000000" w:themeColor="text1"/>
          <w:sz w:val="16"/>
          <w:szCs w:val="16"/>
        </w:rPr>
      </w:pPr>
      <w:r w:rsidRPr="005E779E">
        <w:rPr>
          <w:color w:val="000000" w:themeColor="text1"/>
          <w:sz w:val="16"/>
          <w:szCs w:val="16"/>
        </w:rPr>
        <w:t>Посылаю Вам список книг из моей библиотеки, которые желательно получить в 1[-ую] очередь до вывоза моих книг.</w:t>
      </w:r>
    </w:p>
    <w:p w14:paraId="68EF5CB9" w14:textId="77777777" w:rsidR="002D39AF" w:rsidRPr="005E779E" w:rsidRDefault="002D39AF" w:rsidP="000B7A6C">
      <w:pPr>
        <w:pStyle w:val="rtejustify"/>
        <w:spacing w:before="0" w:after="0"/>
        <w:rPr>
          <w:color w:val="000000" w:themeColor="text1"/>
          <w:sz w:val="16"/>
          <w:szCs w:val="16"/>
        </w:rPr>
      </w:pPr>
      <w:r w:rsidRPr="005E779E">
        <w:rPr>
          <w:color w:val="000000" w:themeColor="text1"/>
          <w:sz w:val="16"/>
          <w:szCs w:val="16"/>
        </w:rPr>
        <w:t>Не откажите в распоряжении задержать вывоз библиотеки до моего свидания с женою, чтобы я мог дать ей указания относительно книг и рукописей, которые желательно отложить и отправить через Вас отдельно, в 1[-ую] очередь, во избежание задержки и путаницы.</w:t>
      </w:r>
    </w:p>
    <w:p w14:paraId="41C509D6" w14:textId="77777777" w:rsidR="002D39AF" w:rsidRPr="005E779E" w:rsidRDefault="002D39AF" w:rsidP="000B7A6C">
      <w:pPr>
        <w:pStyle w:val="rtejustify"/>
        <w:spacing w:before="0" w:after="0"/>
        <w:rPr>
          <w:color w:val="000000" w:themeColor="text1"/>
          <w:sz w:val="16"/>
          <w:szCs w:val="16"/>
        </w:rPr>
      </w:pPr>
      <w:r w:rsidRPr="005E779E">
        <w:rPr>
          <w:color w:val="000000" w:themeColor="text1"/>
          <w:sz w:val="16"/>
          <w:szCs w:val="16"/>
        </w:rPr>
        <w:t>Очень прошу Вас дать мне для этого свидание с женою.</w:t>
      </w:r>
    </w:p>
    <w:p w14:paraId="3F172E69" w14:textId="77777777" w:rsidR="002D39AF" w:rsidRPr="005E779E" w:rsidRDefault="002D39AF" w:rsidP="000B7A6C">
      <w:pPr>
        <w:pStyle w:val="rtejustify"/>
        <w:spacing w:before="0" w:after="0"/>
        <w:rPr>
          <w:color w:val="000000" w:themeColor="text1"/>
          <w:sz w:val="16"/>
          <w:szCs w:val="16"/>
        </w:rPr>
      </w:pPr>
      <w:r w:rsidRPr="005E779E">
        <w:rPr>
          <w:color w:val="000000" w:themeColor="text1"/>
          <w:sz w:val="16"/>
          <w:szCs w:val="16"/>
        </w:rPr>
        <w:t>Кроме того, убедительно прошу Вас дать указание в тюрьму, чтобы мне предоставляли &lt;очные&gt; свидания с женою по 2-3 часа, ибо Ваша бумага по этому вопросу здесь еще не получена.</w:t>
      </w:r>
    </w:p>
    <w:p w14:paraId="775C398C" w14:textId="77777777" w:rsidR="002D39AF" w:rsidRPr="005E779E" w:rsidRDefault="002D39AF" w:rsidP="000B7A6C">
      <w:pPr>
        <w:pStyle w:val="rtejustify"/>
        <w:spacing w:before="0" w:after="0"/>
        <w:rPr>
          <w:color w:val="000000" w:themeColor="text1"/>
          <w:sz w:val="16"/>
          <w:szCs w:val="16"/>
        </w:rPr>
      </w:pPr>
      <w:r w:rsidRPr="005E779E">
        <w:rPr>
          <w:color w:val="000000" w:themeColor="text1"/>
          <w:sz w:val="16"/>
          <w:szCs w:val="16"/>
        </w:rPr>
        <w:t>&lt;Смету&gt; я приготовил и прошу Вас переговорить со мною.</w:t>
      </w:r>
    </w:p>
    <w:p w14:paraId="2818B409" w14:textId="77777777" w:rsidR="002D39AF" w:rsidRPr="005E779E" w:rsidRDefault="002D39AF" w:rsidP="000B7A6C">
      <w:pPr>
        <w:pStyle w:val="rtejustify"/>
        <w:spacing w:before="0" w:after="0"/>
        <w:rPr>
          <w:color w:val="000000" w:themeColor="text1"/>
          <w:sz w:val="16"/>
          <w:szCs w:val="16"/>
        </w:rPr>
      </w:pPr>
      <w:r w:rsidRPr="005E779E">
        <w:rPr>
          <w:color w:val="000000" w:themeColor="text1"/>
          <w:sz w:val="16"/>
          <w:szCs w:val="16"/>
        </w:rPr>
        <w:t>4.V.1931</w:t>
      </w:r>
    </w:p>
    <w:p w14:paraId="56BF80A1" w14:textId="77777777" w:rsidR="002D39AF" w:rsidRPr="005E779E" w:rsidRDefault="002D39AF" w:rsidP="000B7A6C">
      <w:pPr>
        <w:pStyle w:val="rtejustify"/>
        <w:spacing w:before="0" w:after="0"/>
        <w:rPr>
          <w:color w:val="000000" w:themeColor="text1"/>
          <w:sz w:val="16"/>
          <w:szCs w:val="16"/>
        </w:rPr>
      </w:pPr>
      <w:r w:rsidRPr="005E779E">
        <w:rPr>
          <w:color w:val="000000" w:themeColor="text1"/>
          <w:sz w:val="16"/>
          <w:szCs w:val="16"/>
        </w:rPr>
        <w:t>Л. Рамзин</w:t>
      </w:r>
    </w:p>
    <w:p w14:paraId="0BB685A5" w14:textId="77777777" w:rsidR="002D39AF" w:rsidRPr="005E779E" w:rsidRDefault="002D39AF" w:rsidP="000B7A6C">
      <w:pPr>
        <w:pStyle w:val="ae"/>
        <w:spacing w:before="0" w:after="0"/>
        <w:jc w:val="both"/>
        <w:rPr>
          <w:color w:val="000000" w:themeColor="text1"/>
          <w:sz w:val="16"/>
          <w:szCs w:val="16"/>
        </w:rPr>
      </w:pPr>
      <w:r w:rsidRPr="005E779E">
        <w:rPr>
          <w:rStyle w:val="af0"/>
          <w:i w:val="0"/>
          <w:color w:val="000000" w:themeColor="text1"/>
          <w:sz w:val="16"/>
          <w:szCs w:val="16"/>
        </w:rPr>
        <w:t>РГАЭ. Ф. 38. Oп. 1. Д. 69. Л. 69. Рукописный подлинник, автограф Л. К. Рамзина (написано карандашом). Вверху слева написано от руки чернилами «№ 10784», выше проставлена буква «С» (синим карандашом). На Л. 70-71 об. — «Ориентировочная смета стоимости работ по группе проф. Л. К. Рамзина», датированная 3.V.1931 г. (Рукописный подлинник, автограф Л. К. Рамзина. Написано карандашом.) (19058).</w:t>
      </w:r>
    </w:p>
    <w:p w14:paraId="7431C6A8" w14:textId="77777777" w:rsidR="002D39AF" w:rsidRPr="005E779E" w:rsidRDefault="002D39AF" w:rsidP="000B7A6C">
      <w:pPr>
        <w:spacing w:after="0" w:line="240" w:lineRule="auto"/>
        <w:jc w:val="both"/>
        <w:rPr>
          <w:rFonts w:ascii="Times New Roman" w:hAnsi="Times New Roman"/>
          <w:color w:val="000000" w:themeColor="text1"/>
          <w:sz w:val="16"/>
          <w:szCs w:val="16"/>
        </w:rPr>
      </w:pPr>
    </w:p>
    <w:p w14:paraId="349F1251" w14:textId="77777777" w:rsidR="002D39AF" w:rsidRPr="005E779E" w:rsidRDefault="002D39AF"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Внешняя политика:</w:t>
      </w:r>
    </w:p>
    <w:p w14:paraId="558E8DDC" w14:textId="77777777" w:rsidR="002D39AF" w:rsidRPr="005E779E" w:rsidRDefault="002D39AF"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8E501FE" w14:textId="77777777" w:rsidR="002D39AF" w:rsidRPr="005E779E" w:rsidRDefault="002D39AF"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4 мая 1931 г.</w:t>
      </w:r>
    </w:p>
    <w:p w14:paraId="648A5BA4" w14:textId="77777777" w:rsidR="002D39AF" w:rsidRPr="005E779E" w:rsidRDefault="002D39AF"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Письмо В. Н. Баркова Ж. Л. Аренсу о необходимости увеличения затрат на издание стенограммы процесса «Промпартии» и работе среди просоветски настроенных франкмасонов. 4 мая 1931 г.</w:t>
      </w:r>
    </w:p>
    <w:p w14:paraId="2AEA91C6" w14:textId="77777777" w:rsidR="002D39AF" w:rsidRPr="005E779E" w:rsidRDefault="002D39AF"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Источник: </w:t>
      </w:r>
    </w:p>
    <w:p w14:paraId="03E721B0" w14:textId="77777777" w:rsidR="002D39AF" w:rsidRPr="005E779E" w:rsidRDefault="002D39A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5041EB9" w14:textId="77777777" w:rsidR="002D39AF" w:rsidRPr="005E779E" w:rsidRDefault="002D39AF"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Архив: </w:t>
      </w:r>
    </w:p>
    <w:p w14:paraId="1A1B8B7B" w14:textId="77777777" w:rsidR="002D39AF" w:rsidRPr="005E779E" w:rsidRDefault="002D39A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АВП РФ. Ф. 056. On. 16. П. 34. Д. 14. Л. 76</w:t>
      </w:r>
    </w:p>
    <w:p w14:paraId="2DC2B338" w14:textId="77777777" w:rsidR="002D39AF" w:rsidRPr="005E779E" w:rsidRDefault="002D39AF" w:rsidP="000B7A6C">
      <w:pPr>
        <w:pStyle w:val="rteright"/>
        <w:spacing w:before="0" w:after="0"/>
        <w:jc w:val="both"/>
        <w:rPr>
          <w:color w:val="000000" w:themeColor="text1"/>
          <w:sz w:val="16"/>
          <w:szCs w:val="16"/>
        </w:rPr>
      </w:pPr>
      <w:r w:rsidRPr="005E779E">
        <w:rPr>
          <w:color w:val="000000" w:themeColor="text1"/>
          <w:sz w:val="16"/>
          <w:szCs w:val="16"/>
        </w:rPr>
        <w:t>4 мая 1931 г.</w:t>
      </w:r>
    </w:p>
    <w:p w14:paraId="21623467" w14:textId="77777777" w:rsidR="002D39AF" w:rsidRPr="005E779E" w:rsidRDefault="002D39AF" w:rsidP="000B7A6C">
      <w:pPr>
        <w:pStyle w:val="rteright"/>
        <w:spacing w:before="0" w:after="0"/>
        <w:jc w:val="both"/>
        <w:rPr>
          <w:color w:val="000000" w:themeColor="text1"/>
          <w:sz w:val="16"/>
          <w:szCs w:val="16"/>
        </w:rPr>
      </w:pPr>
      <w:r w:rsidRPr="005E779E">
        <w:rPr>
          <w:color w:val="000000" w:themeColor="text1"/>
          <w:sz w:val="16"/>
          <w:szCs w:val="16"/>
        </w:rPr>
        <w:t>Секретно</w:t>
      </w:r>
    </w:p>
    <w:p w14:paraId="4F810AB7" w14:textId="77777777" w:rsidR="002D39AF" w:rsidRPr="005E779E" w:rsidRDefault="002D39AF" w:rsidP="000B7A6C">
      <w:pPr>
        <w:pStyle w:val="ae"/>
        <w:spacing w:before="0" w:after="0"/>
        <w:jc w:val="both"/>
        <w:rPr>
          <w:color w:val="000000" w:themeColor="text1"/>
          <w:sz w:val="16"/>
          <w:szCs w:val="16"/>
        </w:rPr>
      </w:pPr>
      <w:r w:rsidRPr="005E779E">
        <w:rPr>
          <w:color w:val="000000" w:themeColor="text1"/>
          <w:sz w:val="16"/>
          <w:szCs w:val="16"/>
        </w:rPr>
        <w:t>НАРКОМИНДЕЛ</w:t>
      </w:r>
    </w:p>
    <w:p w14:paraId="2484EA45" w14:textId="77777777" w:rsidR="002D39AF" w:rsidRPr="005E779E" w:rsidRDefault="002D39AF" w:rsidP="000B7A6C">
      <w:pPr>
        <w:pStyle w:val="ae"/>
        <w:spacing w:before="0" w:after="0"/>
        <w:jc w:val="both"/>
        <w:rPr>
          <w:color w:val="000000" w:themeColor="text1"/>
          <w:sz w:val="16"/>
          <w:szCs w:val="16"/>
        </w:rPr>
      </w:pPr>
      <w:r w:rsidRPr="005E779E">
        <w:rPr>
          <w:color w:val="000000" w:themeColor="text1"/>
          <w:sz w:val="16"/>
          <w:szCs w:val="16"/>
        </w:rPr>
        <w:t>Отдел Печати тов. АРЕНСУ</w:t>
      </w:r>
    </w:p>
    <w:p w14:paraId="1A1C201A" w14:textId="77777777" w:rsidR="002D39AF" w:rsidRPr="005E779E" w:rsidRDefault="002D39AF" w:rsidP="000B7A6C">
      <w:pPr>
        <w:pStyle w:val="ae"/>
        <w:spacing w:before="0" w:after="0"/>
        <w:jc w:val="both"/>
        <w:rPr>
          <w:color w:val="000000" w:themeColor="text1"/>
          <w:sz w:val="16"/>
          <w:szCs w:val="16"/>
        </w:rPr>
      </w:pPr>
      <w:r w:rsidRPr="005E779E">
        <w:rPr>
          <w:color w:val="000000" w:themeColor="text1"/>
          <w:sz w:val="16"/>
          <w:szCs w:val="16"/>
        </w:rPr>
        <w:t>Уважаемый товарищ,</w:t>
      </w:r>
    </w:p>
    <w:p w14:paraId="4408406A" w14:textId="77777777" w:rsidR="002D39AF" w:rsidRPr="005E779E" w:rsidRDefault="002D39AF" w:rsidP="000B7A6C">
      <w:pPr>
        <w:numPr>
          <w:ilvl w:val="0"/>
          <w:numId w:val="10"/>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Издательство Валуа, через Игнатьева, сообщило, что стенограмма заключает в себе три с половиной миллиона печатных знаков. Цифра очень внушительная. Между прочим, я сомневаюсь в точности их подсчетов. Несмотря на это, издательство никак не реагировало на такое нарушение договора с нашей стороны (в договоре был оговорен листаж 35 печатных листов). Стенограмма набирается, вскоре получим гранки. При расплате с переводчиками мы исходили из 52 авторских листов. Поэтому принимая в расчет увеличение расходов на перевод (оплата переводчикам, издержки редактирования, машинистка), а также необходимость приобретения по соглашению не 400 экз., как мы предполагали, а 500 экз. по 50 фр., — просим ассигновать дополнительно 10.000 фр. на расходы, которым мы ведем согласно директиве, отдельный счет.</w:t>
      </w:r>
    </w:p>
    <w:p w14:paraId="0B9BFA7A" w14:textId="77777777" w:rsidR="002D39AF" w:rsidRPr="005E779E" w:rsidRDefault="002D39AF" w:rsidP="000B7A6C">
      <w:pPr>
        <w:numPr>
          <w:ilvl w:val="0"/>
          <w:numId w:val="11"/>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Вышел первый номер «Кри Эропеен», где нам посвящены две странички, заполненные нашим материалом. Журнал будет выходить раз в месяц. Посылаем несколько номеров для ознакомления. Издатель обратился к нам с предложением подписаться на некоторое количество экз., осведомив, что немецкое посольство подписалось на 400 экз. Считая наше сотрудничество с этим журналом желательным, мы думаем, что было бы целесообразно подписаться на 100-150 экз. (экземпляр стоит 30 фр.). Просим поставить этот вопрос и срочно сообщить решение.</w:t>
      </w:r>
    </w:p>
    <w:p w14:paraId="79E4D73C" w14:textId="77777777" w:rsidR="002D39AF" w:rsidRPr="005E779E" w:rsidRDefault="002D39AF" w:rsidP="000B7A6C">
      <w:pPr>
        <w:numPr>
          <w:ilvl w:val="0"/>
          <w:numId w:val="12"/>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Роже Франк информировал меня о намерении некоторых франк-массонов организовать «Группу Друзей СССР», работающую исключительно в недрах франкмассонских лож. Надо сказать, что некоторые франкмассонские ложи (напр., АГНИ) занимаются этой работой: ставят доклады об СССР, устраивают просмотры советских фильм для членов франкмассонских лож. Роже Франк точно еще не может сказать, какие окончательные формы примет эта организация, но думает, что организация такого объединения была бы желательна, принимая во внимание замкнутый характер этих лож и невозможность поэтому вести там работу, в частности, «Русси Нев». Постараюсь в ближайшее время собрать кой-какой дополнительный материал по этому поводу, прошу все-же обсудить это предложение и вынести принципиальное решение.</w:t>
      </w:r>
    </w:p>
    <w:p w14:paraId="5B220C7C" w14:textId="77777777" w:rsidR="002D39AF" w:rsidRPr="005E779E" w:rsidRDefault="002D39AF" w:rsidP="000B7A6C">
      <w:pPr>
        <w:numPr>
          <w:ilvl w:val="0"/>
          <w:numId w:val="13"/>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Автор «второй и третьей статьи» нашего предпоследнего бюллетеня тов. Мерле.</w:t>
      </w:r>
    </w:p>
    <w:p w14:paraId="4445DC45" w14:textId="77777777" w:rsidR="002D39AF" w:rsidRPr="005E779E" w:rsidRDefault="002D39AF" w:rsidP="000B7A6C">
      <w:pPr>
        <w:numPr>
          <w:ilvl w:val="0"/>
          <w:numId w:val="14"/>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«Чикаго Трибюн» со статьями Вэлса вышлем обычной почтой.</w:t>
      </w:r>
    </w:p>
    <w:p w14:paraId="47201A22" w14:textId="77777777" w:rsidR="002D39AF" w:rsidRPr="005E779E" w:rsidRDefault="002D39AF" w:rsidP="000B7A6C">
      <w:pPr>
        <w:pStyle w:val="ae"/>
        <w:spacing w:before="0" w:after="0"/>
        <w:jc w:val="both"/>
        <w:rPr>
          <w:color w:val="000000" w:themeColor="text1"/>
          <w:sz w:val="16"/>
          <w:szCs w:val="16"/>
        </w:rPr>
      </w:pPr>
      <w:r w:rsidRPr="005E779E">
        <w:rPr>
          <w:color w:val="000000" w:themeColor="text1"/>
          <w:sz w:val="16"/>
          <w:szCs w:val="16"/>
        </w:rPr>
        <w:t>В. Барков</w:t>
      </w:r>
    </w:p>
    <w:p w14:paraId="359766BD" w14:textId="77777777" w:rsidR="002D39AF" w:rsidRPr="005E779E" w:rsidRDefault="002D39AF" w:rsidP="000B7A6C">
      <w:pPr>
        <w:pStyle w:val="ae"/>
        <w:spacing w:before="0" w:after="0"/>
        <w:jc w:val="both"/>
        <w:rPr>
          <w:color w:val="000000" w:themeColor="text1"/>
          <w:sz w:val="16"/>
          <w:szCs w:val="16"/>
        </w:rPr>
      </w:pPr>
      <w:r w:rsidRPr="005E779E">
        <w:rPr>
          <w:rStyle w:val="af0"/>
          <w:i w:val="0"/>
          <w:color w:val="000000" w:themeColor="text1"/>
          <w:sz w:val="16"/>
          <w:szCs w:val="16"/>
        </w:rPr>
        <w:t>АВП РФ. Ф. 056. On. 16. П. 34. Д. 14. Л. 76. Машинописный подлинник, подпись Баркова — автограф. Вверху справа написаны от руки исходящий номер «№ 267/с» и дата «4/V-31». Гриф секретности машинописью. Вверху слева написаны от руки входящий номер и дата получения документа «9/V-31 г.», рядом также от руки «т. Аренсу». Внизу слева делопроизводственная помета машинописью (столбцом) «4 экз.: 1 — Аренсу 1 — Рубинину 1 — Крестинскому, 1 — в дело» (18835).</w:t>
      </w:r>
    </w:p>
    <w:p w14:paraId="0C4D3914" w14:textId="77777777" w:rsidR="002D39AF" w:rsidRPr="005E779E" w:rsidRDefault="002D39AF" w:rsidP="000B7A6C">
      <w:pPr>
        <w:spacing w:after="0" w:line="240" w:lineRule="auto"/>
        <w:jc w:val="both"/>
        <w:rPr>
          <w:rFonts w:ascii="Times New Roman" w:hAnsi="Times New Roman"/>
          <w:color w:val="000000" w:themeColor="text1"/>
          <w:sz w:val="16"/>
          <w:szCs w:val="16"/>
        </w:rPr>
      </w:pPr>
    </w:p>
    <w:p w14:paraId="099374A2" w14:textId="77777777" w:rsidR="00EF2E51"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78EE1F73" w14:textId="77777777" w:rsidR="00EF2E51" w:rsidRPr="005E779E" w:rsidRDefault="00EF2E51"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2396C3F" w14:textId="77777777" w:rsidR="00EF2E51" w:rsidRPr="005E779E" w:rsidRDefault="00EF2E51"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5 мая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Постановление СТО СССР № 8Осс о реконструкции Ижевского завода (ГА РФ. Ф. Р?8418. Оп. 28. Д. 1а. Л. 18) (12415).</w:t>
      </w:r>
    </w:p>
    <w:p w14:paraId="4FFA9543" w14:textId="77777777" w:rsidR="00EF2E51" w:rsidRPr="005E779E" w:rsidRDefault="00EF2E51" w:rsidP="000B7A6C">
      <w:pPr>
        <w:spacing w:after="0" w:line="240" w:lineRule="auto"/>
        <w:jc w:val="both"/>
        <w:rPr>
          <w:rFonts w:ascii="Times New Roman" w:hAnsi="Times New Roman"/>
          <w:color w:val="000000" w:themeColor="text1"/>
          <w:sz w:val="16"/>
          <w:szCs w:val="16"/>
          <w:u w:color="002060"/>
        </w:rPr>
      </w:pPr>
    </w:p>
    <w:p w14:paraId="5B3D0627" w14:textId="77777777" w:rsidR="000E0163" w:rsidRPr="005E779E" w:rsidRDefault="000E016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мая 1931 г. Протокол ПБ № 36 п.16: О пересмотре договоров по техпомощи и о порядке их заключения (ПБ от 15-4-1931 г., протокол № 34, п.14) (Акулов, Межлаук, Гринько, Розенгольц) - ОП. Решено: а) утвердить представленный комиссией проект постановления о пересмотре договоров по техпомощи, в котором констатировалось крайне неудовлетворительное положение и полнейшая неорганизованность всей системы промышленности в деле использования договоров технической помощи, заключенных с иностранными фирмами и предлагалось: ВСНХ СССР и другим наркоматам в месячный срок перестроить всю систему руководства и постановку дела использования техпомощи, путем передачи оперативного руководства, наблюдения и организации обмена опытом отраслевым секторам ВСНХ и других наркоматов и отделам производства, рационализации и капитального строительства объединений; обязательно привлекать к использованию договоров технической помощи научно-исследовательские институты и заводские лаборатории в целях изучения достижений капиталистической техники; категорически запретить сепаратные переговоры по договорам техпомощи руководителями хозяйственных объединений и предприятий вне утвержденного президиумом ВСНХ СССР или коллегиями наркоматов планов инотехпомощи и без особого на то разрешения председателя ВСНХ СССР или соответствующего наркома; обеспечить контроль и наблюдение за инотехпомощью низовых общественно-производственных организаций предприятий и актива инженерно-технического персонала; б) утвердить список фирм, с которыми договора расторгаются, на общую сумму 2710 тысяч рублей; в) утвердить список фирм, договора с которыми пересматриваются, на общую сумму 11700 тысяч руб., предложив ВСНХ добиваться валютной экономии по пересматриваемым договорам не менее, как на 50% (15965).</w:t>
      </w:r>
    </w:p>
    <w:p w14:paraId="4F21E5B3" w14:textId="77777777" w:rsidR="000E0163" w:rsidRPr="005E779E" w:rsidRDefault="000E0163" w:rsidP="000B7A6C">
      <w:pPr>
        <w:spacing w:after="0" w:line="240" w:lineRule="auto"/>
        <w:jc w:val="both"/>
        <w:rPr>
          <w:rFonts w:ascii="Times New Roman" w:hAnsi="Times New Roman"/>
          <w:color w:val="000000" w:themeColor="text1"/>
          <w:sz w:val="16"/>
          <w:szCs w:val="16"/>
        </w:rPr>
      </w:pPr>
    </w:p>
    <w:p w14:paraId="6275F491"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мая 1931</w:t>
      </w:r>
    </w:p>
    <w:p w14:paraId="62345822"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 16: О пересмотре договоров по техпомощи и о порядке их заключения</w:t>
      </w:r>
    </w:p>
    <w:p w14:paraId="0D25FB0E"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(ПБ от 15.IV.31 г., пр. № 34, п. 14).</w:t>
      </w:r>
    </w:p>
    <w:p w14:paraId="051CEE61"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(Акулов, Межлаук, Гринько, Розенгольц).</w:t>
      </w:r>
    </w:p>
    <w:p w14:paraId="41F1ABBF"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Решение — особая папка.</w:t>
      </w:r>
    </w:p>
    <w:p w14:paraId="6F56942D"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Утвердить представленный комиссией проект постановления о пересмотре договоров по техпомощи (</w:t>
      </w:r>
      <w:hyperlink r:id="rId86" w:history="1">
        <w:r w:rsidRPr="005E779E">
          <w:rPr>
            <w:rStyle w:val="a5"/>
            <w:rFonts w:ascii="Times New Roman" w:hAnsi="Times New Roman"/>
            <w:color w:val="000000" w:themeColor="text1"/>
            <w:sz w:val="16"/>
            <w:szCs w:val="16"/>
          </w:rPr>
          <w:t>см. приложение № 1</w:t>
        </w:r>
        <w:r w:rsidRPr="005E779E">
          <w:rPr>
            <w:rStyle w:val="a5"/>
            <w:rFonts w:ascii="Times New Roman" w:hAnsi="Times New Roman"/>
            <w:color w:val="000000" w:themeColor="text1"/>
            <w:sz w:val="16"/>
            <w:szCs w:val="16"/>
          </w:rPr>
          <w:noBreakHyphen/>
          <w:t>ОП</w:t>
        </w:r>
      </w:hyperlink>
      <w:r w:rsidRPr="005E779E">
        <w:rPr>
          <w:rFonts w:ascii="Times New Roman" w:hAnsi="Times New Roman"/>
          <w:color w:val="000000" w:themeColor="text1"/>
          <w:sz w:val="16"/>
          <w:szCs w:val="16"/>
        </w:rPr>
        <w:t>).</w:t>
      </w:r>
    </w:p>
    <w:p w14:paraId="677F81B9"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Утвердить список фирм, с которыми договора расторгаются, на общую сумму 2.710 тысяч рублей.</w:t>
      </w:r>
    </w:p>
    <w:p w14:paraId="21A08E52"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Утвердить список фирм, договора с которыми пересматриваются, на общую сумму 11.700 тысяч руб., предложив ВСНХ добиваться валютной экономии по пересматриваемым договорам не менее, как на 50%.</w:t>
      </w:r>
    </w:p>
    <w:p w14:paraId="278099C9"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Выписки посланы:</w:t>
      </w:r>
    </w:p>
    <w:p w14:paraId="0B987E21"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Орджоникидзе, Рухимовичу, Акулову, Микояну, Ягоде.</w:t>
      </w:r>
    </w:p>
    <w:p w14:paraId="742B5DC0"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Приложение № 1</w:t>
      </w:r>
      <w:r w:rsidRPr="005E779E">
        <w:rPr>
          <w:rFonts w:ascii="Times New Roman" w:hAnsi="Times New Roman"/>
          <w:color w:val="000000" w:themeColor="text1"/>
          <w:sz w:val="16"/>
          <w:szCs w:val="16"/>
        </w:rPr>
        <w:noBreakHyphen/>
        <w:t>ОП</w:t>
      </w:r>
    </w:p>
    <w:p w14:paraId="3EB87D92"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п. 16 (о. п.) пр. ПБ № 36</w:t>
      </w:r>
    </w:p>
    <w:p w14:paraId="46B61664"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 пересмотре договоров по техпомощи и о порядке их заключения.</w:t>
      </w:r>
    </w:p>
    <w:p w14:paraId="5285D7B0"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(Утверждено Политбюро ЦК ВКП(б) 5.V.1931 г.)</w:t>
      </w:r>
    </w:p>
    <w:p w14:paraId="73B06136"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Констатировать:</w:t>
      </w:r>
    </w:p>
    <w:p w14:paraId="508E527F"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Крайне неудовлетворительное положение и полнейшую неорганизованность всей системы промышленности в деле использования договоров технической помощи, заключенных с иностранными фирмами.</w:t>
      </w:r>
    </w:p>
    <w:p w14:paraId="7EFFB1F7" w14:textId="1E2440BC"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При крупнейших валютных затратах (уплачено до 1931 г. 26 млн. руб., платеж 1931 г. составляет 18,6 млн. руб.) органы ВСНХ вплоть до 1931 г. недоучитывали необходимости борьбы за овладение передовым техническим опытом и подменяли фактическое выполнение имеющихся директив заключением договоров без одновременной работы по их использованию, что привело в значительном количестве случаев</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к простому обогащение иностранных фирм.</w:t>
      </w:r>
    </w:p>
    <w:p w14:paraId="325B5D26"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Предложить ВСНХ и другим наркоматам:</w:t>
      </w:r>
    </w:p>
    <w:p w14:paraId="76113D90"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В месячный срок перестроить всю систему руководства и постановку дела использования техпомощи, путем:</w:t>
      </w:r>
    </w:p>
    <w:p w14:paraId="0E73B773"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передачи оперативного руководства, наблюдения и организации обмена опытом отраслевым секторам ВСНХ и других наркоматов и отделам производства, рационализации и капитального строительства объединений — по принадлежности, обязав ВСНХ, другие наркоматы и их объединения выделить специальных лиц, ответственных за действительное исполнение договоров технической помощи. Фамилии выделенных в декадный срок сообщить НК РКИ СССР;</w:t>
      </w:r>
    </w:p>
    <w:p w14:paraId="08516D41"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оставления за иносекторами ВСНХ и наркоматов и иностранными отделами объединений общего руководства и наблюдения, увязки договоров техпомощи с внешне-торговыми операциями, правовой обработке договора, разрешения конфликтов и общей отчетности;</w:t>
      </w:r>
    </w:p>
    <w:p w14:paraId="36D90C1D"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обязательного привлечения к использованию договоров технической помощи научно-исследовательских институтов и заводских лабораторий в целях изучения достижений капиталистической техники и дальнейших усовершенствований методов производства и конструкций промышленного оборудования.</w:t>
      </w:r>
    </w:p>
    <w:p w14:paraId="3FB28289"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Категорически запретить сепаратные переговоры по договорам техпомощи руководителями хозяйственных объединений и предприятий вне утвержденного президиумом ВСНХ СССР или коллегиями наркоматов планов инотехпомощи и без особого на то разрешения председателя ВСНХ СССР или соответствующего наркома. Заключение договоров в каждом отдельном случае производить с разрешения СТО.</w:t>
      </w:r>
    </w:p>
    <w:p w14:paraId="3E469EFB"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Обеспечить контроль и наблюдение за инотехпомощью низовых общественно-производственных организаций предприятий и актива инженерно-технического персонала.</w:t>
      </w:r>
    </w:p>
    <w:p w14:paraId="364DDB86"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Запретить заключение договоров с оплатой инофирмами отчислений с выпусков и выходов продукции. Наиболее целесообразной формой оплаты считать точно фиксированную в договоре сумму платежа, расчлененную по срокам в соответствии с ходом оказания и реализации техпомощи.</w:t>
      </w:r>
    </w:p>
    <w:p w14:paraId="63EB8370"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этим пересмотреть условия договоров и добиться их изменения по договорам, где предусмотрены лицензионные начисления (Зульцер, Метрополитен-Виккерс, Казале и др.)«</w:t>
      </w:r>
    </w:p>
    <w:p w14:paraId="5D1E3EC5"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Запретить также без специального согласия Наркомвнешторга заключение договоров на инотехпомощь с наличием обязательств по покупке оборудования и материалов.</w:t>
      </w:r>
    </w:p>
    <w:p w14:paraId="6C5AF8A9"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Прекратить заключение договоров на разработку заграницей объектов строительств, а также запретить практикующуюся ныне обработку заграницей данных разведывательных партий, перенеся эту работу в СССР (Шлюмберже — Азербайджан и Грозный).</w:t>
      </w:r>
    </w:p>
    <w:p w14:paraId="79025737"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В трехмесячный срок изучить возможность расторжения договоров или сокращения платежей по дублирующим объектам техпомощи.</w:t>
      </w:r>
    </w:p>
    <w:p w14:paraId="69D8C181"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Принять к сведению сообщение президиума ВСНХ СССР о состоявшемся расторжении договора с фирмой Фрелих и Клюпфель в части приглашения иностранных специалистов и рабочих и запретить впредь заключение договоров с фирмами на посредничество по вербовке инженерно-технического персонала и рабочих.</w:t>
      </w:r>
    </w:p>
    <w:p w14:paraId="3B845AB0"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В 2</w:t>
      </w:r>
      <w:r w:rsidRPr="005E779E">
        <w:rPr>
          <w:rFonts w:ascii="Times New Roman" w:hAnsi="Times New Roman"/>
          <w:color w:val="000000" w:themeColor="text1"/>
          <w:sz w:val="16"/>
          <w:szCs w:val="16"/>
        </w:rPr>
        <w:noBreakHyphen/>
        <w:t>х месячный срок:</w:t>
      </w:r>
    </w:p>
    <w:p w14:paraId="5F97F032"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произвести проверку технической квалификации иноспециалистов, используемых как по остающимся, так и по расторгаемым договорам в целях отказа от малоквалифицированного персонала;</w:t>
      </w:r>
    </w:p>
    <w:p w14:paraId="62E69B55"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провести работу по резкому сокращению валютной части оплаты иноспециалистов и перевода их на индивидуальную оплату по расторгаемым и пересматриваемым договорам.</w:t>
      </w:r>
    </w:p>
    <w:p w14:paraId="43E1FEAB"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В целях полной и своевременной реализации инотехпомощи взять под особое наблюдение строительства, осуществляемые по договорам техпомощи, обеспечив при этом снабжение материалами и пуск предприятий в сроки, установленные договорами.</w:t>
      </w:r>
    </w:p>
    <w:p w14:paraId="4FF3CA73"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При реализации плана заграничных командировок обеспечить в первую очередь командировки по договорам техпомощи. Произвести учет как вернувшихся, так и вновь командированных, в целях прекращения их перебросок и максимального использования полученного ими опыта.</w:t>
      </w:r>
    </w:p>
    <w:p w14:paraId="56AA7FEF"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Обязать торгпредства и банковскую систему вести систематический учет финансового положения фирм, с которыми заключены договора техпомощи.</w:t>
      </w:r>
    </w:p>
    <w:p w14:paraId="65FACBB7"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Приступить и закончить в 1931 г. расторжение договоров с фирмами: Рюкайзер, Суари де Страсбург, Стик, Ирвинг, Ман-Ридингер, Фрелих и Клюпфель, Робертс и Шефер, Ален-Гарсиа, Клейнлогель, Кебер, ДАЦ</w:t>
      </w:r>
    </w:p>
    <w:p w14:paraId="616607CA"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Принять к сведению сообщение президиума ВСНХ СССР о состоявшемся расторжении договоров с фирмами Брандт, Мак-Дональд, Пуппе.</w:t>
      </w:r>
    </w:p>
    <w:p w14:paraId="2245C832"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Расторжение договоров техпомощи с инофирмами производить постепенно в течение 1931 года.</w:t>
      </w:r>
    </w:p>
    <w:p w14:paraId="6A1DEAA5"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Предложить ВСНХ и НКСнабу обеспечить в пределах сроков договора (к 19.XII.31 г.) полное использование техпомощи фирмой Борзиг.</w:t>
      </w:r>
    </w:p>
    <w:p w14:paraId="18BFBCE5"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Поручить ОГПУ в 2</w:t>
      </w:r>
      <w:r w:rsidRPr="005E779E">
        <w:rPr>
          <w:rFonts w:ascii="Times New Roman" w:hAnsi="Times New Roman"/>
          <w:color w:val="000000" w:themeColor="text1"/>
          <w:sz w:val="16"/>
          <w:szCs w:val="16"/>
        </w:rPr>
        <w:noBreakHyphen/>
        <w:t>х месячный срок проверить использование договоров техпомощи хозяйственными организациями и представить доклад по этому вопросу в ЦК и правительству.</w:t>
      </w:r>
    </w:p>
    <w:p w14:paraId="0EBE67D3"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(18111).</w:t>
      </w:r>
    </w:p>
    <w:p w14:paraId="39A1B9D5" w14:textId="77777777" w:rsidR="005B2673" w:rsidRPr="005E779E" w:rsidRDefault="005B2673" w:rsidP="000B7A6C">
      <w:pPr>
        <w:spacing w:after="0" w:line="240" w:lineRule="auto"/>
        <w:jc w:val="both"/>
        <w:rPr>
          <w:rFonts w:ascii="Times New Roman" w:hAnsi="Times New Roman"/>
          <w:color w:val="000000" w:themeColor="text1"/>
          <w:sz w:val="16"/>
          <w:szCs w:val="16"/>
        </w:rPr>
      </w:pPr>
    </w:p>
    <w:p w14:paraId="0C62F25B" w14:textId="77777777" w:rsidR="000E0163" w:rsidRPr="005E779E" w:rsidRDefault="000E016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мая 1931</w:t>
      </w:r>
    </w:p>
    <w:p w14:paraId="4AF83598" w14:textId="77777777" w:rsidR="000E0163" w:rsidRPr="005E779E" w:rsidRDefault="000E0163" w:rsidP="000B7A6C">
      <w:pPr>
        <w:spacing w:after="0" w:line="240" w:lineRule="auto"/>
        <w:jc w:val="both"/>
        <w:rPr>
          <w:rFonts w:ascii="Times New Roman" w:hAnsi="Times New Roman"/>
          <w:color w:val="000000" w:themeColor="text1"/>
          <w:sz w:val="16"/>
          <w:szCs w:val="16"/>
        </w:rPr>
      </w:pPr>
      <w:r w:rsidRPr="005E779E">
        <w:rPr>
          <w:rStyle w:val="af0"/>
          <w:rFonts w:ascii="Times New Roman" w:hAnsi="Times New Roman"/>
          <w:i w:val="0"/>
          <w:color w:val="000000" w:themeColor="text1"/>
          <w:sz w:val="16"/>
          <w:szCs w:val="16"/>
        </w:rPr>
        <w:lastRenderedPageBreak/>
        <w:t>Приложение № 1</w:t>
      </w:r>
      <w:r w:rsidRPr="005E779E">
        <w:rPr>
          <w:rStyle w:val="af0"/>
          <w:rFonts w:ascii="Times New Roman" w:hAnsi="Times New Roman"/>
          <w:i w:val="0"/>
          <w:color w:val="000000" w:themeColor="text1"/>
          <w:sz w:val="16"/>
          <w:szCs w:val="16"/>
        </w:rPr>
        <w:noBreakHyphen/>
        <w:t>ОП</w:t>
      </w:r>
    </w:p>
    <w:p w14:paraId="2F2CEC53" w14:textId="77777777" w:rsidR="000E0163" w:rsidRPr="005E779E" w:rsidRDefault="000E0163" w:rsidP="000B7A6C">
      <w:pPr>
        <w:spacing w:after="0" w:line="240" w:lineRule="auto"/>
        <w:jc w:val="both"/>
        <w:rPr>
          <w:rFonts w:ascii="Times New Roman" w:hAnsi="Times New Roman"/>
          <w:color w:val="000000" w:themeColor="text1"/>
          <w:sz w:val="16"/>
          <w:szCs w:val="16"/>
        </w:rPr>
      </w:pPr>
      <w:r w:rsidRPr="005E779E">
        <w:rPr>
          <w:rStyle w:val="af0"/>
          <w:rFonts w:ascii="Times New Roman" w:hAnsi="Times New Roman"/>
          <w:i w:val="0"/>
          <w:color w:val="000000" w:themeColor="text1"/>
          <w:sz w:val="16"/>
          <w:szCs w:val="16"/>
        </w:rPr>
        <w:t>к п. 16 (о. п.) пр. ПБ № 36</w:t>
      </w:r>
    </w:p>
    <w:p w14:paraId="6972F967" w14:textId="77777777" w:rsidR="000E0163" w:rsidRPr="005E779E" w:rsidRDefault="000E0163" w:rsidP="000B7A6C">
      <w:pPr>
        <w:pStyle w:val="ae"/>
        <w:spacing w:before="0" w:after="0"/>
        <w:jc w:val="both"/>
        <w:rPr>
          <w:color w:val="000000" w:themeColor="text1"/>
          <w:sz w:val="16"/>
          <w:szCs w:val="16"/>
        </w:rPr>
      </w:pPr>
      <w:r w:rsidRPr="005E779E">
        <w:rPr>
          <w:color w:val="000000" w:themeColor="text1"/>
          <w:sz w:val="16"/>
          <w:szCs w:val="16"/>
        </w:rPr>
        <w:t>О пересмотре договоров по техпомощи и о порядке их заключения.</w:t>
      </w:r>
    </w:p>
    <w:p w14:paraId="7AD6C8AB" w14:textId="77777777" w:rsidR="000E0163" w:rsidRPr="005E779E" w:rsidRDefault="000E0163" w:rsidP="000B7A6C">
      <w:pPr>
        <w:pStyle w:val="ae"/>
        <w:spacing w:before="0" w:after="0"/>
        <w:jc w:val="both"/>
        <w:rPr>
          <w:color w:val="000000" w:themeColor="text1"/>
          <w:sz w:val="16"/>
          <w:szCs w:val="16"/>
        </w:rPr>
      </w:pPr>
      <w:r w:rsidRPr="005E779E">
        <w:rPr>
          <w:color w:val="000000" w:themeColor="text1"/>
          <w:sz w:val="16"/>
          <w:szCs w:val="16"/>
        </w:rPr>
        <w:t>(Утверждено Политбюро ЦК ВКП(б) 5.V.1931 г.)</w:t>
      </w:r>
    </w:p>
    <w:p w14:paraId="1CDD49AD" w14:textId="77777777" w:rsidR="000E0163" w:rsidRPr="005E779E" w:rsidRDefault="000E0163" w:rsidP="000B7A6C">
      <w:pPr>
        <w:pStyle w:val="rtejustify"/>
        <w:spacing w:before="0" w:after="0"/>
        <w:rPr>
          <w:color w:val="000000" w:themeColor="text1"/>
          <w:sz w:val="16"/>
          <w:szCs w:val="16"/>
        </w:rPr>
      </w:pPr>
      <w:r w:rsidRPr="005E779E">
        <w:rPr>
          <w:color w:val="000000" w:themeColor="text1"/>
          <w:sz w:val="16"/>
          <w:szCs w:val="16"/>
          <w:u w:val="single"/>
        </w:rPr>
        <w:t>Констатировать:</w:t>
      </w:r>
    </w:p>
    <w:p w14:paraId="70602792" w14:textId="77777777" w:rsidR="000E0163" w:rsidRPr="005E779E" w:rsidRDefault="000E0163" w:rsidP="000B7A6C">
      <w:pPr>
        <w:pStyle w:val="rtejustify"/>
        <w:spacing w:before="0" w:after="0"/>
        <w:rPr>
          <w:color w:val="000000" w:themeColor="text1"/>
          <w:sz w:val="16"/>
          <w:szCs w:val="16"/>
        </w:rPr>
      </w:pPr>
      <w:r w:rsidRPr="005E779E">
        <w:rPr>
          <w:color w:val="000000" w:themeColor="text1"/>
          <w:sz w:val="16"/>
          <w:szCs w:val="16"/>
        </w:rPr>
        <w:t>1. Крайне неудовлетворительное положение и полнейшую неорганизованность всей системы промышленности в деле использования договоров технической помощи, заключенных с иностранными фирмами.</w:t>
      </w:r>
    </w:p>
    <w:p w14:paraId="33DAEEF2" w14:textId="3AC1FED9" w:rsidR="000E0163" w:rsidRPr="005E779E" w:rsidRDefault="000E0163" w:rsidP="000B7A6C">
      <w:pPr>
        <w:pStyle w:val="rtejustify"/>
        <w:spacing w:before="0" w:after="0"/>
        <w:rPr>
          <w:color w:val="000000" w:themeColor="text1"/>
          <w:sz w:val="16"/>
          <w:szCs w:val="16"/>
        </w:rPr>
      </w:pPr>
      <w:r w:rsidRPr="005E779E">
        <w:rPr>
          <w:color w:val="000000" w:themeColor="text1"/>
          <w:sz w:val="16"/>
          <w:szCs w:val="16"/>
        </w:rPr>
        <w:t>2. При крупнейших валютных затратах (уплачено до 1931 г. 26 млн. руб., платеж 1931 г. составляет 18,6 млн. руб.) органы ВСНХ вплоть до 1931 г. недоучитывали необходимости борьбы за овладение передовым техническим опытом и подменяли фактическое выполнение имеющихся директив заключением договоров без одновременной работы по их использованию, что привело в значительном количестве случаев</w:t>
      </w:r>
      <w:r w:rsidR="00FE094E">
        <w:rPr>
          <w:color w:val="000000" w:themeColor="text1"/>
          <w:sz w:val="16"/>
          <w:szCs w:val="16"/>
        </w:rPr>
        <w:t xml:space="preserve"> </w:t>
      </w:r>
      <w:r w:rsidRPr="005E779E">
        <w:rPr>
          <w:color w:val="000000" w:themeColor="text1"/>
          <w:sz w:val="16"/>
          <w:szCs w:val="16"/>
        </w:rPr>
        <w:t>к простому обогащение иностранных фирм.</w:t>
      </w:r>
    </w:p>
    <w:p w14:paraId="710D8AC2" w14:textId="77777777" w:rsidR="000E0163" w:rsidRPr="005E779E" w:rsidRDefault="000E0163" w:rsidP="000B7A6C">
      <w:pPr>
        <w:pStyle w:val="rtejustify"/>
        <w:spacing w:before="0" w:after="0"/>
        <w:rPr>
          <w:color w:val="000000" w:themeColor="text1"/>
          <w:sz w:val="16"/>
          <w:szCs w:val="16"/>
        </w:rPr>
      </w:pPr>
      <w:r w:rsidRPr="005E779E">
        <w:rPr>
          <w:color w:val="000000" w:themeColor="text1"/>
          <w:sz w:val="16"/>
          <w:szCs w:val="16"/>
          <w:u w:val="single"/>
        </w:rPr>
        <w:t>Предложить ВСНХ и другим наркоматам:</w:t>
      </w:r>
    </w:p>
    <w:p w14:paraId="2F91344E" w14:textId="77777777" w:rsidR="000E0163" w:rsidRPr="005E779E" w:rsidRDefault="000E0163" w:rsidP="000B7A6C">
      <w:pPr>
        <w:pStyle w:val="rtejustify"/>
        <w:spacing w:before="0" w:after="0"/>
        <w:rPr>
          <w:color w:val="000000" w:themeColor="text1"/>
          <w:sz w:val="16"/>
          <w:szCs w:val="16"/>
        </w:rPr>
      </w:pPr>
      <w:r w:rsidRPr="005E779E">
        <w:rPr>
          <w:color w:val="000000" w:themeColor="text1"/>
          <w:sz w:val="16"/>
          <w:szCs w:val="16"/>
        </w:rPr>
        <w:t>1. В месячный срок перестроить всю систему руководства и постановку дела использования техпомощи, путем:</w:t>
      </w:r>
    </w:p>
    <w:p w14:paraId="709069AD" w14:textId="77777777" w:rsidR="000E0163" w:rsidRPr="005E779E" w:rsidRDefault="000E0163" w:rsidP="000B7A6C">
      <w:pPr>
        <w:pStyle w:val="rtejustify"/>
        <w:spacing w:before="0" w:after="0"/>
        <w:rPr>
          <w:color w:val="000000" w:themeColor="text1"/>
          <w:sz w:val="16"/>
          <w:szCs w:val="16"/>
        </w:rPr>
      </w:pPr>
      <w:r w:rsidRPr="005E779E">
        <w:rPr>
          <w:color w:val="000000" w:themeColor="text1"/>
          <w:sz w:val="16"/>
          <w:szCs w:val="16"/>
        </w:rPr>
        <w:t>а) передачи оперативного руководства, наблюдения и организации обмена опытом отраслевым секторам ВСНХ и других наркоматов и отделам производства, рационализации и капитального строительства объединений — по принадлежности, обязав ВСНХ, другие наркоматы и их объединения выделить специальных лиц, ответственных за действительное исполнение договоров технической помощи. Фамилии выделенных в декадный срок сообщить НК РКИ СССР;</w:t>
      </w:r>
    </w:p>
    <w:p w14:paraId="6F330DC7" w14:textId="77777777" w:rsidR="000E0163" w:rsidRPr="005E779E" w:rsidRDefault="000E0163" w:rsidP="000B7A6C">
      <w:pPr>
        <w:pStyle w:val="rtejustify"/>
        <w:spacing w:before="0" w:after="0"/>
        <w:rPr>
          <w:color w:val="000000" w:themeColor="text1"/>
          <w:sz w:val="16"/>
          <w:szCs w:val="16"/>
        </w:rPr>
      </w:pPr>
      <w:r w:rsidRPr="005E779E">
        <w:rPr>
          <w:color w:val="000000" w:themeColor="text1"/>
          <w:sz w:val="16"/>
          <w:szCs w:val="16"/>
        </w:rPr>
        <w:t>б) оставления за иносекторами ВСНХ и наркоматов и иностранными отделами объединений общего руководства и наблюдения, увязки договоров техпомощи с внешне-торговыми операциями, правовой обработке договора, разрешения конфликтов и общей отчетности;</w:t>
      </w:r>
    </w:p>
    <w:p w14:paraId="14A475EB" w14:textId="77777777" w:rsidR="000E0163" w:rsidRPr="005E779E" w:rsidRDefault="000E0163" w:rsidP="000B7A6C">
      <w:pPr>
        <w:pStyle w:val="rtejustify"/>
        <w:spacing w:before="0" w:after="0"/>
        <w:rPr>
          <w:color w:val="000000" w:themeColor="text1"/>
          <w:sz w:val="16"/>
          <w:szCs w:val="16"/>
        </w:rPr>
      </w:pPr>
      <w:r w:rsidRPr="005E779E">
        <w:rPr>
          <w:color w:val="000000" w:themeColor="text1"/>
          <w:sz w:val="16"/>
          <w:szCs w:val="16"/>
        </w:rPr>
        <w:t>в) обязательного привлечения к использованию договоров технической помощи научно-исследовательских институтов и заводских лабораторий в целях изучения достижений капиталистической техники и дальнейших усовершенствований методов производства и конструкций промышленного оборудования.</w:t>
      </w:r>
    </w:p>
    <w:p w14:paraId="044C7E22" w14:textId="77777777" w:rsidR="000E0163" w:rsidRPr="005E779E" w:rsidRDefault="000E0163" w:rsidP="000B7A6C">
      <w:pPr>
        <w:pStyle w:val="rtejustify"/>
        <w:spacing w:before="0" w:after="0"/>
        <w:rPr>
          <w:color w:val="000000" w:themeColor="text1"/>
          <w:sz w:val="16"/>
          <w:szCs w:val="16"/>
        </w:rPr>
      </w:pPr>
      <w:r w:rsidRPr="005E779E">
        <w:rPr>
          <w:color w:val="000000" w:themeColor="text1"/>
          <w:sz w:val="16"/>
          <w:szCs w:val="16"/>
        </w:rPr>
        <w:t>2. Категорически запретить сепаратные переговоры по договорам техпомощи руководителями хозяйственных объединений и предприятий вне утвержденного президиумом ВСНХ СССР или коллегиями наркоматов планов инотехпомощи и без особого на то разрешения председателя ВСНХ СССР или соответствующего наркома. Заключение договоров в каждом отдельном случае производить с разрешения СТО.</w:t>
      </w:r>
    </w:p>
    <w:p w14:paraId="058F95F4" w14:textId="77777777" w:rsidR="000E0163" w:rsidRPr="005E779E" w:rsidRDefault="000E0163" w:rsidP="000B7A6C">
      <w:pPr>
        <w:pStyle w:val="rtejustify"/>
        <w:spacing w:before="0" w:after="0"/>
        <w:rPr>
          <w:color w:val="000000" w:themeColor="text1"/>
          <w:sz w:val="16"/>
          <w:szCs w:val="16"/>
        </w:rPr>
      </w:pPr>
      <w:r w:rsidRPr="005E779E">
        <w:rPr>
          <w:color w:val="000000" w:themeColor="text1"/>
          <w:sz w:val="16"/>
          <w:szCs w:val="16"/>
        </w:rPr>
        <w:t>3. Обеспечить контроль и наблюдение за инотехпомощью низовых общественно-производственных организаций предприятий и актива инженерно-технического персонала.</w:t>
      </w:r>
    </w:p>
    <w:p w14:paraId="70785C92" w14:textId="77777777" w:rsidR="000E0163" w:rsidRPr="005E779E" w:rsidRDefault="000E0163" w:rsidP="000B7A6C">
      <w:pPr>
        <w:pStyle w:val="rtejustify"/>
        <w:spacing w:before="0" w:after="0"/>
        <w:rPr>
          <w:color w:val="000000" w:themeColor="text1"/>
          <w:sz w:val="16"/>
          <w:szCs w:val="16"/>
        </w:rPr>
      </w:pPr>
      <w:r w:rsidRPr="005E779E">
        <w:rPr>
          <w:color w:val="000000" w:themeColor="text1"/>
          <w:sz w:val="16"/>
          <w:szCs w:val="16"/>
        </w:rPr>
        <w:t>4. Запретить заключение договоров с оплатой инофирмами отчислений с выпусков и выходов продукции. Наиболее целесообразной формой оплаты считать точно фиксированную в договоре сумму платежа, расчлененную по срокам в соответствии с ходом оказания и реализации техпомощи.</w:t>
      </w:r>
    </w:p>
    <w:p w14:paraId="54845050" w14:textId="77777777" w:rsidR="000E0163" w:rsidRPr="005E779E" w:rsidRDefault="000E0163" w:rsidP="000B7A6C">
      <w:pPr>
        <w:pStyle w:val="rtejustify"/>
        <w:spacing w:before="0" w:after="0"/>
        <w:rPr>
          <w:color w:val="000000" w:themeColor="text1"/>
          <w:sz w:val="16"/>
          <w:szCs w:val="16"/>
        </w:rPr>
      </w:pPr>
      <w:r w:rsidRPr="005E779E">
        <w:rPr>
          <w:color w:val="000000" w:themeColor="text1"/>
          <w:sz w:val="16"/>
          <w:szCs w:val="16"/>
        </w:rPr>
        <w:t>В соответствии с этим пересмотреть условия договоров и добиться их изменения по договорам, где предусмотрены лицензионные начисления (Зульцер, Метрополитен-Виккерс, Казале и др.).</w:t>
      </w:r>
    </w:p>
    <w:p w14:paraId="7309EFE4" w14:textId="77777777" w:rsidR="000E0163" w:rsidRPr="005E779E" w:rsidRDefault="000E0163" w:rsidP="000B7A6C">
      <w:pPr>
        <w:pStyle w:val="rtejustify"/>
        <w:spacing w:before="0" w:after="0"/>
        <w:rPr>
          <w:color w:val="000000" w:themeColor="text1"/>
          <w:sz w:val="16"/>
          <w:szCs w:val="16"/>
        </w:rPr>
      </w:pPr>
      <w:r w:rsidRPr="005E779E">
        <w:rPr>
          <w:color w:val="000000" w:themeColor="text1"/>
          <w:sz w:val="16"/>
          <w:szCs w:val="16"/>
        </w:rPr>
        <w:t>Запретить также без специального согласия Наркомвнешторга заключение договоров на инотехпомощь с наличием обязательств по покупке оборудования и материалов.</w:t>
      </w:r>
    </w:p>
    <w:p w14:paraId="5F44EE12" w14:textId="77777777" w:rsidR="000E0163" w:rsidRPr="005E779E" w:rsidRDefault="000E0163" w:rsidP="000B7A6C">
      <w:pPr>
        <w:pStyle w:val="rtejustify"/>
        <w:spacing w:before="0" w:after="0"/>
        <w:rPr>
          <w:color w:val="000000" w:themeColor="text1"/>
          <w:sz w:val="16"/>
          <w:szCs w:val="16"/>
        </w:rPr>
      </w:pPr>
      <w:r w:rsidRPr="005E779E">
        <w:rPr>
          <w:color w:val="000000" w:themeColor="text1"/>
          <w:sz w:val="16"/>
          <w:szCs w:val="16"/>
        </w:rPr>
        <w:t>5. Прекратить заключение договоров на разработку заграницей объектов строительств, а также запретить практикующуюся ныне обработку заграницей данных разведывательных партий, перенеся эту работу в СССР (Шлюмберже — Азербайджан и Грозный).</w:t>
      </w:r>
    </w:p>
    <w:p w14:paraId="726E0646" w14:textId="77777777" w:rsidR="000E0163" w:rsidRPr="005E779E" w:rsidRDefault="000E0163" w:rsidP="000B7A6C">
      <w:pPr>
        <w:pStyle w:val="rtejustify"/>
        <w:spacing w:before="0" w:after="0"/>
        <w:rPr>
          <w:color w:val="000000" w:themeColor="text1"/>
          <w:sz w:val="16"/>
          <w:szCs w:val="16"/>
        </w:rPr>
      </w:pPr>
      <w:r w:rsidRPr="005E779E">
        <w:rPr>
          <w:color w:val="000000" w:themeColor="text1"/>
          <w:sz w:val="16"/>
          <w:szCs w:val="16"/>
        </w:rPr>
        <w:t>6. В трехмесячный срок изучить возможность расторжения договоров или сокращения платежей по дублирующим объектам техпомощи.</w:t>
      </w:r>
    </w:p>
    <w:p w14:paraId="01F38E30" w14:textId="77777777" w:rsidR="000E0163" w:rsidRPr="005E779E" w:rsidRDefault="000E0163" w:rsidP="000B7A6C">
      <w:pPr>
        <w:pStyle w:val="rtejustify"/>
        <w:spacing w:before="0" w:after="0"/>
        <w:rPr>
          <w:color w:val="000000" w:themeColor="text1"/>
          <w:sz w:val="16"/>
          <w:szCs w:val="16"/>
        </w:rPr>
      </w:pPr>
      <w:r w:rsidRPr="005E779E">
        <w:rPr>
          <w:color w:val="000000" w:themeColor="text1"/>
          <w:sz w:val="16"/>
          <w:szCs w:val="16"/>
        </w:rPr>
        <w:t>7. Принять к сведению сообщение президиума ВСНХ СССР о состоявшемся расторжении договора с фирмой Фрелих и Клюпфель в части приглашения иностранных специалистов и рабочих и запретить впредь заключение договоров с фирмами на посредничество по вербовке инженерно-технического персонала и рабочих.</w:t>
      </w:r>
    </w:p>
    <w:p w14:paraId="77A28A7F" w14:textId="77777777" w:rsidR="000E0163" w:rsidRPr="005E779E" w:rsidRDefault="000E0163" w:rsidP="000B7A6C">
      <w:pPr>
        <w:pStyle w:val="rtejustify"/>
        <w:spacing w:before="0" w:after="0"/>
        <w:rPr>
          <w:color w:val="000000" w:themeColor="text1"/>
          <w:sz w:val="16"/>
          <w:szCs w:val="16"/>
        </w:rPr>
      </w:pPr>
      <w:r w:rsidRPr="005E779E">
        <w:rPr>
          <w:color w:val="000000" w:themeColor="text1"/>
          <w:sz w:val="16"/>
          <w:szCs w:val="16"/>
        </w:rPr>
        <w:t>8. В 2</w:t>
      </w:r>
      <w:r w:rsidRPr="005E779E">
        <w:rPr>
          <w:color w:val="000000" w:themeColor="text1"/>
          <w:sz w:val="16"/>
          <w:szCs w:val="16"/>
        </w:rPr>
        <w:noBreakHyphen/>
        <w:t>х месячный срок:</w:t>
      </w:r>
    </w:p>
    <w:p w14:paraId="31A819C9" w14:textId="77777777" w:rsidR="000E0163" w:rsidRPr="005E779E" w:rsidRDefault="000E0163" w:rsidP="000B7A6C">
      <w:pPr>
        <w:pStyle w:val="rtejustify"/>
        <w:spacing w:before="0" w:after="0"/>
        <w:rPr>
          <w:color w:val="000000" w:themeColor="text1"/>
          <w:sz w:val="16"/>
          <w:szCs w:val="16"/>
        </w:rPr>
      </w:pPr>
      <w:r w:rsidRPr="005E779E">
        <w:rPr>
          <w:color w:val="000000" w:themeColor="text1"/>
          <w:sz w:val="16"/>
          <w:szCs w:val="16"/>
        </w:rPr>
        <w:t>а) произвести проверку технической квалификации иноспециалистов, используемых как по остающимся, так и по расторгаемым договорам в целях отказа от малоквалифицированного персонала;</w:t>
      </w:r>
    </w:p>
    <w:p w14:paraId="18F1F0F0" w14:textId="77777777" w:rsidR="000E0163" w:rsidRPr="005E779E" w:rsidRDefault="000E0163" w:rsidP="000B7A6C">
      <w:pPr>
        <w:pStyle w:val="rtejustify"/>
        <w:spacing w:before="0" w:after="0"/>
        <w:rPr>
          <w:color w:val="000000" w:themeColor="text1"/>
          <w:sz w:val="16"/>
          <w:szCs w:val="16"/>
        </w:rPr>
      </w:pPr>
      <w:r w:rsidRPr="005E779E">
        <w:rPr>
          <w:color w:val="000000" w:themeColor="text1"/>
          <w:sz w:val="16"/>
          <w:szCs w:val="16"/>
        </w:rPr>
        <w:t>б) провести работу по резкому сокращению валютной части оплаты иноспециалистов и перевода их на индивидуальную оплату по расторгаемым и пересматриваемым договорам.</w:t>
      </w:r>
    </w:p>
    <w:p w14:paraId="14B4F484" w14:textId="77777777" w:rsidR="000E0163" w:rsidRPr="005E779E" w:rsidRDefault="000E0163" w:rsidP="000B7A6C">
      <w:pPr>
        <w:pStyle w:val="rtejustify"/>
        <w:spacing w:before="0" w:after="0"/>
        <w:rPr>
          <w:color w:val="000000" w:themeColor="text1"/>
          <w:sz w:val="16"/>
          <w:szCs w:val="16"/>
        </w:rPr>
      </w:pPr>
      <w:r w:rsidRPr="005E779E">
        <w:rPr>
          <w:color w:val="000000" w:themeColor="text1"/>
          <w:sz w:val="16"/>
          <w:szCs w:val="16"/>
        </w:rPr>
        <w:t>9. В целях полной и своевременной реализации инотехпомощи взять под особое наблюдение строительства, осуществляемые по договорам техпомощи, обеспечив при этом снабжение материалами и пуск предприятий в сроки, установленные договорами.</w:t>
      </w:r>
    </w:p>
    <w:p w14:paraId="7D1530CF" w14:textId="77777777" w:rsidR="000E0163" w:rsidRPr="005E779E" w:rsidRDefault="000E0163" w:rsidP="000B7A6C">
      <w:pPr>
        <w:pStyle w:val="rtejustify"/>
        <w:spacing w:before="0" w:after="0"/>
        <w:rPr>
          <w:color w:val="000000" w:themeColor="text1"/>
          <w:sz w:val="16"/>
          <w:szCs w:val="16"/>
        </w:rPr>
      </w:pPr>
      <w:r w:rsidRPr="005E779E">
        <w:rPr>
          <w:color w:val="000000" w:themeColor="text1"/>
          <w:sz w:val="16"/>
          <w:szCs w:val="16"/>
        </w:rPr>
        <w:t>10. При реализации плана заграничных командировок обеспечить в первую очередь командировки по договорам техпомощи. Произвести учет как вернувшихся, так и вновь командированных, в целях прекращения их перебросок и максимального использования полученного ими опыта.</w:t>
      </w:r>
    </w:p>
    <w:p w14:paraId="30FE72A1" w14:textId="77777777" w:rsidR="000E0163" w:rsidRPr="005E779E" w:rsidRDefault="000E0163" w:rsidP="000B7A6C">
      <w:pPr>
        <w:pStyle w:val="rtejustify"/>
        <w:spacing w:before="0" w:after="0"/>
        <w:rPr>
          <w:color w:val="000000" w:themeColor="text1"/>
          <w:sz w:val="16"/>
          <w:szCs w:val="16"/>
        </w:rPr>
      </w:pPr>
      <w:r w:rsidRPr="005E779E">
        <w:rPr>
          <w:color w:val="000000" w:themeColor="text1"/>
          <w:sz w:val="16"/>
          <w:szCs w:val="16"/>
        </w:rPr>
        <w:t>11. Обязать торгпредства и банковскую систему вести систематический учет финансового положения фирм, с которыми заключены договора техпомощи.</w:t>
      </w:r>
    </w:p>
    <w:p w14:paraId="2C806707" w14:textId="77777777" w:rsidR="000E0163" w:rsidRPr="005E779E" w:rsidRDefault="000E0163" w:rsidP="000B7A6C">
      <w:pPr>
        <w:pStyle w:val="rtejustify"/>
        <w:spacing w:before="0" w:after="0"/>
        <w:rPr>
          <w:color w:val="000000" w:themeColor="text1"/>
          <w:sz w:val="16"/>
          <w:szCs w:val="16"/>
        </w:rPr>
      </w:pPr>
      <w:r w:rsidRPr="005E779E">
        <w:rPr>
          <w:color w:val="000000" w:themeColor="text1"/>
          <w:sz w:val="16"/>
          <w:szCs w:val="16"/>
        </w:rPr>
        <w:t>12. Приступить и закончить в 1931 г. расторжение договоров с фирмами: Рюкайзер, Суари де Страсбург, Стик, Ирвинг, Ман-Ридингер, Фрелих и Клюпфель, Робертс и Шефер, Ален-Гарсиа, Клейнлогель, Кебер, ДАЦ</w:t>
      </w:r>
    </w:p>
    <w:p w14:paraId="54FD3788" w14:textId="77777777" w:rsidR="000E0163" w:rsidRPr="005E779E" w:rsidRDefault="000E0163" w:rsidP="000B7A6C">
      <w:pPr>
        <w:pStyle w:val="rtejustify"/>
        <w:spacing w:before="0" w:after="0"/>
        <w:rPr>
          <w:color w:val="000000" w:themeColor="text1"/>
          <w:sz w:val="16"/>
          <w:szCs w:val="16"/>
        </w:rPr>
      </w:pPr>
      <w:r w:rsidRPr="005E779E">
        <w:rPr>
          <w:color w:val="000000" w:themeColor="text1"/>
          <w:sz w:val="16"/>
          <w:szCs w:val="16"/>
        </w:rPr>
        <w:t>Принять к сведению сообщение президиума ВСНХ СССР о состоявшемся расторжении договоров с фирмами Брандт, Мак-Дональд, Пуппе.</w:t>
      </w:r>
    </w:p>
    <w:p w14:paraId="11483AE5" w14:textId="77777777" w:rsidR="000E0163" w:rsidRPr="005E779E" w:rsidRDefault="000E0163" w:rsidP="000B7A6C">
      <w:pPr>
        <w:pStyle w:val="rtejustify"/>
        <w:spacing w:before="0" w:after="0"/>
        <w:rPr>
          <w:color w:val="000000" w:themeColor="text1"/>
          <w:sz w:val="16"/>
          <w:szCs w:val="16"/>
        </w:rPr>
      </w:pPr>
      <w:r w:rsidRPr="005E779E">
        <w:rPr>
          <w:color w:val="000000" w:themeColor="text1"/>
          <w:sz w:val="16"/>
          <w:szCs w:val="16"/>
        </w:rPr>
        <w:t>Расторжение договоров техпомощи с инофирмами производить постепенно в течение 1931 года.</w:t>
      </w:r>
    </w:p>
    <w:p w14:paraId="1B08188B" w14:textId="77777777" w:rsidR="000E0163" w:rsidRPr="005E779E" w:rsidRDefault="000E0163" w:rsidP="000B7A6C">
      <w:pPr>
        <w:pStyle w:val="rtejustify"/>
        <w:spacing w:before="0" w:after="0"/>
        <w:rPr>
          <w:color w:val="000000" w:themeColor="text1"/>
          <w:sz w:val="16"/>
          <w:szCs w:val="16"/>
        </w:rPr>
      </w:pPr>
      <w:r w:rsidRPr="005E779E">
        <w:rPr>
          <w:color w:val="000000" w:themeColor="text1"/>
          <w:sz w:val="16"/>
          <w:szCs w:val="16"/>
        </w:rPr>
        <w:t>13. Предложить ВСНХ и НКСнабу обеспечить в пределах сроков договора (к 19.XII.31 г.) полное использование техпомощи фирмой Борзиг.</w:t>
      </w:r>
    </w:p>
    <w:p w14:paraId="20A24C90" w14:textId="77777777" w:rsidR="000E0163" w:rsidRPr="005E779E" w:rsidRDefault="000E0163" w:rsidP="000B7A6C">
      <w:pPr>
        <w:pStyle w:val="rtejustify"/>
        <w:spacing w:before="0" w:after="0"/>
        <w:rPr>
          <w:color w:val="000000" w:themeColor="text1"/>
          <w:sz w:val="16"/>
          <w:szCs w:val="16"/>
        </w:rPr>
      </w:pPr>
      <w:r w:rsidRPr="005E779E">
        <w:rPr>
          <w:color w:val="000000" w:themeColor="text1"/>
          <w:sz w:val="16"/>
          <w:szCs w:val="16"/>
        </w:rPr>
        <w:t>14. Поручить ОГПУ в 2</w:t>
      </w:r>
      <w:r w:rsidRPr="005E779E">
        <w:rPr>
          <w:color w:val="000000" w:themeColor="text1"/>
          <w:sz w:val="16"/>
          <w:szCs w:val="16"/>
        </w:rPr>
        <w:noBreakHyphen/>
        <w:t>х месячный срок проверить использование договоров техпомощи хозяйственными организациями и представить доклад по этому вопросу в ЦК и правительству (17148).</w:t>
      </w:r>
    </w:p>
    <w:p w14:paraId="0D5FEF68" w14:textId="77777777" w:rsidR="000E0163" w:rsidRPr="005E779E" w:rsidRDefault="000E0163" w:rsidP="000B7A6C">
      <w:pPr>
        <w:spacing w:after="0" w:line="240" w:lineRule="auto"/>
        <w:jc w:val="both"/>
        <w:rPr>
          <w:rFonts w:ascii="Times New Roman" w:hAnsi="Times New Roman"/>
          <w:color w:val="000000" w:themeColor="text1"/>
          <w:sz w:val="16"/>
          <w:szCs w:val="16"/>
        </w:rPr>
      </w:pPr>
    </w:p>
    <w:p w14:paraId="34701A03" w14:textId="77777777" w:rsidR="00D10B4F" w:rsidRPr="005E779E" w:rsidRDefault="00D10B4F" w:rsidP="000B7A6C">
      <w:pPr>
        <w:pStyle w:val="rtejustify"/>
        <w:spacing w:before="0" w:after="0"/>
        <w:rPr>
          <w:color w:val="000000" w:themeColor="text1"/>
          <w:sz w:val="16"/>
          <w:szCs w:val="16"/>
        </w:rPr>
      </w:pPr>
      <w:r w:rsidRPr="005E779E">
        <w:rPr>
          <w:color w:val="000000" w:themeColor="text1"/>
          <w:sz w:val="16"/>
          <w:szCs w:val="16"/>
        </w:rPr>
        <w:t>5 мая 1931 г. — Из доклада заместителя председателя Госплана СССР И. Т. Смилги на заседании военной секции Коммунистической академии «Оборонная работа в промышленности»</w:t>
      </w:r>
    </w:p>
    <w:p w14:paraId="4BA2A587" w14:textId="77777777" w:rsidR="00EF2E51" w:rsidRPr="005E779E" w:rsidRDefault="00EF2E51" w:rsidP="000B7A6C">
      <w:pPr>
        <w:pStyle w:val="rtejustify"/>
        <w:spacing w:before="0" w:after="0"/>
        <w:rPr>
          <w:color w:val="000000" w:themeColor="text1"/>
          <w:sz w:val="16"/>
          <w:szCs w:val="16"/>
        </w:rPr>
      </w:pPr>
      <w:r w:rsidRPr="005E779E">
        <w:rPr>
          <w:color w:val="000000" w:themeColor="text1"/>
          <w:sz w:val="16"/>
          <w:szCs w:val="16"/>
        </w:rPr>
        <w:t>...³*Два факта должны быть отмечены для уяснения той конкретной исторической обстановки, в которой приходится решать оборонные задачи в нашей стране. Эти два факта следующие: во-первых, наша пятилетка, которую мы успешно осуществляем в четыре года. Осуществление пятилетки меняет лицо страны. Если мы были страной, хотя и с относительно развитой индустрией, но в основном аграрной страной, то с окончанием пятилетки мы сразу занимаем почетное место среди самых развитых в промышленном отношении стран мира. По ряду позиций становимся самой передовой страной, по ряду позиций приближаемся к самым передовым промышленным странам. Вывод: Союз превращается в мощную индустриальную страну.</w:t>
      </w:r>
    </w:p>
    <w:p w14:paraId="39B50DFA" w14:textId="77777777" w:rsidR="00EF2E51" w:rsidRPr="005E779E" w:rsidRDefault="00EF2E51" w:rsidP="000B7A6C">
      <w:pPr>
        <w:pStyle w:val="rtejustify"/>
        <w:spacing w:before="0" w:after="0"/>
        <w:rPr>
          <w:color w:val="000000" w:themeColor="text1"/>
          <w:sz w:val="16"/>
          <w:szCs w:val="16"/>
        </w:rPr>
      </w:pPr>
      <w:r w:rsidRPr="005E779E">
        <w:rPr>
          <w:color w:val="000000" w:themeColor="text1"/>
          <w:sz w:val="16"/>
          <w:szCs w:val="16"/>
        </w:rPr>
        <w:t>Другое обстоятельство — это наше плановое хозяйство, которое, как опыт нашего строительства показал, позволяет гигантски убыстрить темпы нашего хозяйственного развития и позволяет рабочему государству наиболее целесообразно распределить ресурсы страны. Эти два факта, взятые в совокупности, и образовывают то специфическое, то конкретное, на основе которого надо искать и находить решение для вопросов нашей оборонной способности.</w:t>
      </w:r>
    </w:p>
    <w:p w14:paraId="71E5F2CE" w14:textId="77777777" w:rsidR="00EF2E51" w:rsidRPr="005E779E" w:rsidRDefault="00EF2E51" w:rsidP="000B7A6C">
      <w:pPr>
        <w:pStyle w:val="rtejustify"/>
        <w:spacing w:before="0" w:after="0"/>
        <w:rPr>
          <w:color w:val="000000" w:themeColor="text1"/>
          <w:sz w:val="16"/>
          <w:szCs w:val="16"/>
        </w:rPr>
      </w:pPr>
      <w:r w:rsidRPr="005E779E">
        <w:rPr>
          <w:color w:val="000000" w:themeColor="text1"/>
          <w:sz w:val="16"/>
          <w:szCs w:val="16"/>
        </w:rPr>
        <w:t>Как обстоит положение у нас в данное время? Мы получили в наследство от царской России, как я уже говорил, мощную военную промышленность. Это есть исторический факт, с которым надо считаться, факт, который налагает серьезную печать на нашу оборонную политику. Первая задача, которую нам приходится решать в отношении военной промышленности, которая в настоящее время еще занимает гигантский удельный вес в нашей оборонной программе, сводится к тому, чтобы привести эти предприятия в надлежащий порядок.</w:t>
      </w:r>
    </w:p>
    <w:p w14:paraId="1DA0B183" w14:textId="77777777" w:rsidR="00EF2E51" w:rsidRPr="005E779E" w:rsidRDefault="00EF2E51" w:rsidP="000B7A6C">
      <w:pPr>
        <w:pStyle w:val="rtejustify"/>
        <w:spacing w:before="0" w:after="0"/>
        <w:rPr>
          <w:color w:val="000000" w:themeColor="text1"/>
          <w:sz w:val="16"/>
          <w:szCs w:val="16"/>
        </w:rPr>
      </w:pPr>
      <w:r w:rsidRPr="005E779E">
        <w:rPr>
          <w:color w:val="000000" w:themeColor="text1"/>
          <w:sz w:val="16"/>
          <w:szCs w:val="16"/>
        </w:rPr>
        <w:t>Что это значит? Это значит, что к этим предприятиям должен быть применен тот же подход, который применяется к любому предприятию гражданской промышленности. Предприятие должно быть просчитано, рассчитано, производственные ресурсы предприятия должны быть приведены в соответствие между собой, должны быть устранены несоответствия и диспропорции, и тем самым строительство и реконструкция такого завода должны быть закончены. Предприятия должны иметь свое окончательное производственное лицо. Это наша первейшая и важнейшая обязанность. Надо взять с военной промышленности максимум того, что она может дать. А для этого нужно привести ее в порядок и закончить реконструкцию военных заводов.</w:t>
      </w:r>
    </w:p>
    <w:p w14:paraId="38C6BEFD" w14:textId="77777777" w:rsidR="00EF2E51" w:rsidRPr="005E779E" w:rsidRDefault="00EF2E51" w:rsidP="000B7A6C">
      <w:pPr>
        <w:pStyle w:val="rtejustify"/>
        <w:spacing w:before="0" w:after="0"/>
        <w:rPr>
          <w:color w:val="000000" w:themeColor="text1"/>
          <w:sz w:val="16"/>
          <w:szCs w:val="16"/>
        </w:rPr>
      </w:pPr>
      <w:r w:rsidRPr="005E779E">
        <w:rPr>
          <w:color w:val="000000" w:themeColor="text1"/>
          <w:sz w:val="16"/>
          <w:szCs w:val="16"/>
        </w:rPr>
        <w:t>Но, утверждая сказанное в отношении военной промышленности, я здесь же и хочу разделаться с одной идеей, которая в кругу наших оборонных работников до последнего времени имела довольно широкое хождение, — идеей так называемого погодичного наращивания мощностей на военных заводах. Эта идея вредная и противоречит основным понятиям правильной политики промышленного строительства. Пора, наконец, сказать, что завод может дать только то, что он может дать и требовать с него нужно в пределах его возможностей улучшения работы, отказываясь от перманентного строительства и реконструкции, которые ничего, кроме вреда делу, не приносят, ибо если завод спроектирован на одну мощность, то дальнейшее увеличение его мощности приводит к таким переменам и изменениям во всей структуре завода, что уже хорошего предприятия с увеличенной мощностью получить нельзя. Мы добьемся гораздо больших успехов, если сосредоточим все силы на правильной эксплуатации завода, чем если будем заниматься вечной реконструкцией. Хороший завод нас никогда не подведет и даст гораздо больше, чем мы теоретически считаем. Надо сказать, что при возникновении новых потребностей надо искать, как правило, новые возможности для их удовлетворения. Завершая наши военные заводы на определенную мощность и в дальнейшем концентрируя работу по улучшению и эксплуатационных коэффициентов производственной работы, перед нами встает задача: что делать на этих заводах в мирное время, как использовать существующие военные заводы в интересах индустриализации страны. И на этот вопрос я отвечаю не колеблясь: мы должны стать на путь максимальной загрузки заводов военной промышленности мирной продукцией, должны идти по тому же пути, по которому пошли другие страны, и искать выхода на том же пути, на котором нашел его «Виккерс», на котором нашел его «Шкода», нашел «Шнейдер-</w:t>
      </w:r>
      <w:r w:rsidRPr="005E779E">
        <w:rPr>
          <w:color w:val="000000" w:themeColor="text1"/>
          <w:sz w:val="16"/>
          <w:szCs w:val="16"/>
        </w:rPr>
        <w:lastRenderedPageBreak/>
        <w:t>Крезо». На этом же пути — это мое категорическое убеждение — мы достигнем, если выразиться старым термином, наиболее рентабельного и целесообразного использования основного капитала этой промышленности. Это раз.</w:t>
      </w:r>
    </w:p>
    <w:p w14:paraId="3B99C5EE" w14:textId="77777777" w:rsidR="00EF2E51" w:rsidRPr="005E779E" w:rsidRDefault="00EF2E51" w:rsidP="000B7A6C">
      <w:pPr>
        <w:pStyle w:val="rtejustify"/>
        <w:spacing w:before="0" w:after="0"/>
        <w:rPr>
          <w:color w:val="000000" w:themeColor="text1"/>
          <w:sz w:val="16"/>
          <w:szCs w:val="16"/>
        </w:rPr>
      </w:pPr>
      <w:r w:rsidRPr="005E779E">
        <w:rPr>
          <w:color w:val="000000" w:themeColor="text1"/>
          <w:sz w:val="16"/>
          <w:szCs w:val="16"/>
        </w:rPr>
        <w:t>Во-вторых, самая мобилизационная готовность предприятия колоссально увеличивается, на нем создаются в мирное время кадры рабочих, а вы знаете, как напряжено у нас положение с этим вопросом сейчас в связи с гигантским ростом количества новых предприятий и необходимостью освоения новых производств. Это дело верное с обеих точек зрения — и с экономической, и с оборонной. Мы идем по этому пути из года в год, увеличиваем эту загрузку как в абсолютных величинах, так и относительно в структуре всей продукции нашей военной промышленности. Эта та перспектива, которую мы имеем в отношении этих заводов сегодня. Совершенно очевидно, что при наличии одинаковых посылок, вероятно, в конце концов, получатся и одинаковые выводы. Но если взять нашу военную промышленность в более длительной перспективе, скажем, к концу второй пятилетки, то я прихожу к такому выводу, что к этому времени она в основном будет трансформирована, и предприятия ее превратятся в предприятия типа больших европейский предприятий, если, разумеется, не произойдет какого-нибудь форс-мажора, который наметившиеся линии развития совершенно переиначит.</w:t>
      </w:r>
    </w:p>
    <w:p w14:paraId="154B0305" w14:textId="77777777" w:rsidR="00EF2E51" w:rsidRPr="005E779E" w:rsidRDefault="00EF2E51" w:rsidP="000B7A6C">
      <w:pPr>
        <w:pStyle w:val="rtejustify"/>
        <w:spacing w:before="0" w:after="0"/>
        <w:rPr>
          <w:color w:val="000000" w:themeColor="text1"/>
          <w:sz w:val="16"/>
          <w:szCs w:val="16"/>
        </w:rPr>
      </w:pPr>
      <w:r w:rsidRPr="005E779E">
        <w:rPr>
          <w:color w:val="000000" w:themeColor="text1"/>
          <w:sz w:val="16"/>
          <w:szCs w:val="16"/>
        </w:rPr>
        <w:t>Таким образом, в отношении нашей военной промышленности мы должны сегодня решить задачу перехода от первой стадии, если будем этой стадией называть положение царской России, ко второй, если под второй будем понимать предприятия типа «Виккерса» и «Круппа».</w:t>
      </w:r>
    </w:p>
    <w:p w14:paraId="79BF9C32" w14:textId="77777777" w:rsidR="00EF2E51" w:rsidRPr="005E779E" w:rsidRDefault="00EF2E51" w:rsidP="000B7A6C">
      <w:pPr>
        <w:pStyle w:val="rtejustify"/>
        <w:spacing w:before="0" w:after="0"/>
        <w:rPr>
          <w:color w:val="000000" w:themeColor="text1"/>
          <w:sz w:val="16"/>
          <w:szCs w:val="16"/>
        </w:rPr>
      </w:pPr>
      <w:r w:rsidRPr="005E779E">
        <w:rPr>
          <w:color w:val="000000" w:themeColor="text1"/>
          <w:sz w:val="16"/>
          <w:szCs w:val="16"/>
        </w:rPr>
        <w:t>Но положение обязывает: если мы говорим, что надо завершать строительство и реконструкцию военных заводов на такую-то мощность, на такую-то выпускную способность, то перед нами сразу встает с неизбежностью другой центральный вопрос — каким же путем идти дальше. Если мы не хотим отставать и ослаблять обороноспособность нашей страны, а обстановка не позволяет это сделать ни в малейшей степени, то надо дать себе ответ, по какому же пути должен идти дальнейший рост обороноспособности нашей страны. Ответ может быть двоякого порядка. Он может быть таким: надо идти по пути дальнейшего нового специального строительства, надо идти по старой традиции России. Но можно ответить иначе. Можно сказать, что надо идти по пути решительной американизации ряда серьезных позиций в оборонной работе. Я лично стою обеими ногами на втором пути и считаю, что косность и традиционные решения были бы для нас сейчас величайшими врагами, потому что процесс, происходящий на наших глазах, создает все объективные посылки для того, чтобы решить вопрос для будущего не «по-рассейски», а по-американски.</w:t>
      </w:r>
    </w:p>
    <w:p w14:paraId="46D83202" w14:textId="77777777" w:rsidR="00EF2E51" w:rsidRPr="005E779E" w:rsidRDefault="00EF2E51" w:rsidP="000B7A6C">
      <w:pPr>
        <w:pStyle w:val="rtejustify"/>
        <w:spacing w:before="0" w:after="0"/>
        <w:rPr>
          <w:color w:val="000000" w:themeColor="text1"/>
          <w:sz w:val="16"/>
          <w:szCs w:val="16"/>
        </w:rPr>
      </w:pPr>
      <w:r w:rsidRPr="005E779E">
        <w:rPr>
          <w:color w:val="000000" w:themeColor="text1"/>
          <w:sz w:val="16"/>
          <w:szCs w:val="16"/>
        </w:rPr>
        <w:t>Вы, товарищи, прекрасно знаете, что общее развитие промышленности выносило на своих плечах военную технику. За исключением частностей, когда военные потребности создавали новые промышленные отрасли, общее правило, однако, таково. Сейчас мы присутствуем при гигантском росте нашей промышленности. Являемся свидетелями, участниками массового нового строительства. На наших глазах возникают новые отрасли промышленности, не известные, неведомые старой России. Мы знаем, что целый ряд предметов, вырабатываемых гражданской промышленностью, есть потенцированные предметы боевого снабжения. Я уже говорил, что машина есть пушка и пушка есть машина. Трактор с небольшим дополнением есть бронированный танк. Возьмем химию. Кислоты служат многообразным целям, в том числе и целям обороны. Самолет возит почту, возит пассажиров, в случае необходимости бросает бомбу. Это относится к очень большому количеству позиций в оборонном плане. Нужно сказать, что рост обороноспособности Союза лежит на путях широчайшего применения принципов ассимиляции и кооперирования. Для того чтобы это утверждение или пожелание не осталось голой фразой, нужно наполнить его совершенно конкретным деловым содержанием. Это содержание в основном сводится к тому, что, внедряя интересы обороны в народное хозяйство и, в частности, в промышленные предприятия, мы должны думать о них при самом зачатии и зарождении нового промышленного предприятия. Начиная с проекта, с рождения замысла, новое предприятие должно знать, что, помимо своей основной мирной функции, оно выполняет известную оборонную функцию в случае войны. Интересы обороны должны быть внедрены в промышленность практически на деле.</w:t>
      </w:r>
    </w:p>
    <w:p w14:paraId="6F035CB4" w14:textId="77777777" w:rsidR="00EF2E51" w:rsidRPr="005E779E" w:rsidRDefault="00EF2E51" w:rsidP="000B7A6C">
      <w:pPr>
        <w:pStyle w:val="rtejustify"/>
        <w:spacing w:before="0" w:after="0"/>
        <w:rPr>
          <w:color w:val="000000" w:themeColor="text1"/>
          <w:sz w:val="16"/>
          <w:szCs w:val="16"/>
        </w:rPr>
      </w:pPr>
      <w:r w:rsidRPr="005E779E">
        <w:rPr>
          <w:color w:val="000000" w:themeColor="text1"/>
          <w:sz w:val="16"/>
          <w:szCs w:val="16"/>
        </w:rPr>
        <w:t>Другими словами, план промышленного развития, план развития всего народного хозяйства должен включать в себя и оборонный план. Совершенно было бы бессмысленно и нелепо допустить такое положение, при котором интересы общей индустриализации страны и интересы обороны выступали бы в качестве конкурентов. Это положение самое бессмысленное. Нет никакой конкуренции. Оборона вырастает на базе промышленного развития общего, и только на плечах этого развития она может иметь действительный и серьезный успех. Мы сейчас растем не только количественно, но на наших глазах меняется качественно весь производственный процесс.</w:t>
      </w:r>
    </w:p>
    <w:p w14:paraId="6F084765" w14:textId="77777777" w:rsidR="00EF2E51" w:rsidRPr="005E779E" w:rsidRDefault="00EF2E51" w:rsidP="000B7A6C">
      <w:pPr>
        <w:pStyle w:val="rtejustify"/>
        <w:spacing w:before="0" w:after="0"/>
        <w:rPr>
          <w:color w:val="000000" w:themeColor="text1"/>
          <w:sz w:val="16"/>
          <w:szCs w:val="16"/>
        </w:rPr>
      </w:pPr>
      <w:r w:rsidRPr="005E779E">
        <w:rPr>
          <w:color w:val="000000" w:themeColor="text1"/>
          <w:sz w:val="16"/>
          <w:szCs w:val="16"/>
        </w:rPr>
        <w:t>В каком направлении? В сторону освоения методов передовой техники. У нас имеются предприятия, построенные на поточном принципе, которое осваивают и в ближайший год освоят, в этом не может быть никакого сомнения, достижения передовых стран в этом смысле. Соответственно этому перестраивается все подсобное хозяйство, обслуживающее эти наши громадные промышленные гиганты. Все движется именно в американскую сторону. Все это, еще раз повторяю, создает необходимую и достаточную объективную базу для того, чтобы правильно и разумно рассчитанный план повышения нашей обороноспособности на будущее время был бы построен именно на этом пути, а никоим образом не на пути дальнейшего чисто специального строительства.</w:t>
      </w:r>
    </w:p>
    <w:p w14:paraId="2BA7DE03" w14:textId="77777777" w:rsidR="00EF2E51" w:rsidRPr="005E779E" w:rsidRDefault="00EF2E51" w:rsidP="000B7A6C">
      <w:pPr>
        <w:pStyle w:val="rtejustify"/>
        <w:spacing w:before="0" w:after="0"/>
        <w:rPr>
          <w:color w:val="000000" w:themeColor="text1"/>
          <w:sz w:val="16"/>
          <w:szCs w:val="16"/>
        </w:rPr>
      </w:pPr>
      <w:r w:rsidRPr="005E779E">
        <w:rPr>
          <w:color w:val="000000" w:themeColor="text1"/>
          <w:sz w:val="16"/>
          <w:szCs w:val="16"/>
        </w:rPr>
        <w:t>Всегда из правила бывают исключения. На известный период времени останутся предприятия со специфическими чертами военных заводов. Но речь идет не об этих частностях, а о больших стратегических линиях нашего дальнейшего поведения. Мне эти линии рисуются в этом направлении, и я готов отстаивать эти взгляды и здесь в общих контурах и в более узких и ответственных, в смысле решения, коллегиях по каждому конкретному вопросу. Коли дело обстоит так, то учет в общей промышленности интересов обороны приобретает исключительно большое значение. Если мы ставим одной из центральных задач нашей пятилетки освобождение нас в максимальной степени от импортной зависимости, то вы помните, что это требование в отношении нашей оборонной программы приобретает тройное, пятерное значение, ибо наиболее будут страдать от разрыва мировых связей, от блокады и изоляции нашей страны те отрасли в военное время, которые должны будут работать полным ходом, удовлетворяя армию и нужды войны. Разумеется, что эмансипация этих отраслей от импортной зависимости, создание внутри страны необходимой базы, питающей военную промышленность сырьем и необходимыми фабрикатами, является тем самым одним из центральных пунктов нашей промышленной политики в дальнейшем. Прежде, чем перейти к дальнейшему, должен сказать, что и в этой перспективе роль заводов военной промышленности будет чрезвычайно велика. Она сведется, помимо своей функции производства военных изделий, еще к роли организаторов и головных заводов.</w:t>
      </w:r>
    </w:p>
    <w:p w14:paraId="61FCD75A" w14:textId="77777777" w:rsidR="00EF2E51" w:rsidRPr="005E779E" w:rsidRDefault="00EF2E51" w:rsidP="000B7A6C">
      <w:pPr>
        <w:pStyle w:val="rtejustify"/>
        <w:spacing w:before="0" w:after="0"/>
        <w:rPr>
          <w:color w:val="000000" w:themeColor="text1"/>
          <w:sz w:val="16"/>
          <w:szCs w:val="16"/>
        </w:rPr>
      </w:pPr>
      <w:r w:rsidRPr="005E779E">
        <w:rPr>
          <w:color w:val="000000" w:themeColor="text1"/>
          <w:sz w:val="16"/>
          <w:szCs w:val="16"/>
        </w:rPr>
        <w:t>Перехожу к основным выводам в смысле конкретного методологического подхода к решению практических задач обороны нашей страны. Под углом зрения обороны я делю предприятия, обслуживающие оборону, на 3 пояса. К первому поясу я отношу все те предприятия, которые согласно плану должны в случае войны поставлять вооруженному фронту необходимые предметы вооружения и снабжения, причем к этой первой группе предприятий я отношу предприятия, вырабатывающие как артиллерийское имущество, так и военно-хозяйственное, не делая никакой разницы между предприятием, изготовляющим пушки, и предприятием, изготовляющим портянки, если эти предприятия должны в военное время перестраивать свой производственный процесс.</w:t>
      </w:r>
    </w:p>
    <w:p w14:paraId="3BDE95BA" w14:textId="77777777" w:rsidR="00EF2E51" w:rsidRPr="005E779E" w:rsidRDefault="00EF2E51" w:rsidP="000B7A6C">
      <w:pPr>
        <w:pStyle w:val="rtejustify"/>
        <w:spacing w:before="0" w:after="0"/>
        <w:rPr>
          <w:color w:val="000000" w:themeColor="text1"/>
          <w:sz w:val="16"/>
          <w:szCs w:val="16"/>
        </w:rPr>
      </w:pPr>
      <w:r w:rsidRPr="005E779E">
        <w:rPr>
          <w:color w:val="000000" w:themeColor="text1"/>
          <w:sz w:val="16"/>
          <w:szCs w:val="16"/>
        </w:rPr>
        <w:t>Делая это утверждение в поисках объективного критерия для деления предприятия, я считаю совершенно правильным положение, когда делят предприятия по степени важности. На войне одинаково важны как винтовка, пушки, так и портянки и шинель. Объективное положение этих предприятий диктует отнесение их к одной категории, т. е. к предприятиям, поставляющим вооруженному фронту готовую продукцию.</w:t>
      </w:r>
    </w:p>
    <w:p w14:paraId="6522C7FA" w14:textId="77777777" w:rsidR="00EF2E51" w:rsidRPr="005E779E" w:rsidRDefault="00EF2E51" w:rsidP="000B7A6C">
      <w:pPr>
        <w:pStyle w:val="rtejustify"/>
        <w:spacing w:before="0" w:after="0"/>
        <w:rPr>
          <w:color w:val="000000" w:themeColor="text1"/>
          <w:sz w:val="16"/>
          <w:szCs w:val="16"/>
        </w:rPr>
      </w:pPr>
      <w:r w:rsidRPr="005E779E">
        <w:rPr>
          <w:color w:val="000000" w:themeColor="text1"/>
          <w:sz w:val="16"/>
          <w:szCs w:val="16"/>
        </w:rPr>
        <w:t>Ко второму поясу предприятий я отношу предприятия, поставляющие первому поясу необходимые полуфабрикаты и необходимое оборудование и сырье. И, наконец, к третьей категории я отношу предприятия, продукция которых не претерпевает изменения во время войны, — это предприятия бумажной промышленности, табачной промышленности, сахарной промышленности и тому подобные и некоторые предприятия текстильной промышленности.</w:t>
      </w:r>
    </w:p>
    <w:p w14:paraId="025E9FA2" w14:textId="77777777" w:rsidR="00EF2E51" w:rsidRPr="005E779E" w:rsidRDefault="00EF2E51" w:rsidP="000B7A6C">
      <w:pPr>
        <w:pStyle w:val="rtejustify"/>
        <w:spacing w:before="0" w:after="0"/>
        <w:rPr>
          <w:color w:val="000000" w:themeColor="text1"/>
          <w:sz w:val="16"/>
          <w:szCs w:val="16"/>
        </w:rPr>
      </w:pPr>
      <w:r w:rsidRPr="005E779E">
        <w:rPr>
          <w:color w:val="000000" w:themeColor="text1"/>
          <w:sz w:val="16"/>
          <w:szCs w:val="16"/>
        </w:rPr>
        <w:t>В чем смысл такого деления предприятий? Оно имеет очень большой деловой смысл. Он состоит в том, что, развивая их на основе объективного критерия, мы достигаем ясности в смысле мобилизационного режима каждого предприятия в мирное время. Работа над подготовкой к войне предприятий первой группы — одна, работа по подготовке предприятий второй группы существенно отличается от первой, и, наконец, подготовка предприятий третьей группы, в свою очередь, весьма существенно отличается от методов подготовки второй группы. Отнесение предприятий к тому или иному поясу, к той или иной группе ни в малой степени не означает суждения о важности данного предприятия. А в смысле практической работы такое деление, повторяю, имеет большой деловой смысл. В результате работы в мирное время мы создаем план обеспечения вооруженных сил во время войны. Вооруженные силы знают, что в случае возникновения войны они могут рассчитывать получить такое же количество необходимого им вооружения и снабжения. Однако мы таким образом получим только план подачи, только такого плана совершенно недостаточно. Для того чтобы иметь представление, насколько действительно такой план подачи является реальным и обеспеченным, мы должны иметь хотя бы в основных, но достаточно обязательных и ощутимых чертах, представление о том, как будет работать все хозяйство в условиях военного времени.</w:t>
      </w:r>
    </w:p>
    <w:p w14:paraId="031ECD37" w14:textId="77777777" w:rsidR="00EF2E51" w:rsidRPr="005E779E" w:rsidRDefault="00EF2E51" w:rsidP="000B7A6C">
      <w:pPr>
        <w:pStyle w:val="rtejustify"/>
        <w:spacing w:before="0" w:after="0"/>
        <w:rPr>
          <w:color w:val="000000" w:themeColor="text1"/>
          <w:sz w:val="16"/>
          <w:szCs w:val="16"/>
        </w:rPr>
      </w:pPr>
      <w:r w:rsidRPr="005E779E">
        <w:rPr>
          <w:color w:val="000000" w:themeColor="text1"/>
          <w:sz w:val="16"/>
          <w:szCs w:val="16"/>
        </w:rPr>
        <w:t>Эта работа очень большая и трудная. Она в нашей стране своеобразно решается. С одной стороны, мы имеем такое громадное преимущество перед другими странами, как плановое хозяйство, большое упрощение всего хозяйственного механизма в целом. С другой стороны, мы живем в такой динамичный период, с такой колоссальной сменой вчерашнего и сегодняшнего дня завтрашним, что учет и приспособление нашей работы к этой калейдоскопической картине нашего общего развития представляет весьма и весьма значительные трудности. Однако над этим делом нужно думать, над ним надо работать. К этому делу должны быть привлечены не только человеческие ресурсы узкого круга наших мобилизационных работников, а гораздо более широкие круги коммунистических и советских экономистов. Работа тут может быть определенным образом организована, известное разделение труда, полезное для дела, достигнуто. Но только общими усилиями мы можем эту задачу продвинуть вперед и удовлетворительно решить.</w:t>
      </w:r>
    </w:p>
    <w:p w14:paraId="4FB375C6" w14:textId="77777777" w:rsidR="00EF2E51" w:rsidRPr="005E779E" w:rsidRDefault="00EF2E51" w:rsidP="000B7A6C">
      <w:pPr>
        <w:pStyle w:val="rtejustify"/>
        <w:spacing w:before="0" w:after="0"/>
        <w:rPr>
          <w:color w:val="000000" w:themeColor="text1"/>
          <w:sz w:val="16"/>
          <w:szCs w:val="16"/>
        </w:rPr>
      </w:pPr>
      <w:r w:rsidRPr="005E779E">
        <w:rPr>
          <w:color w:val="000000" w:themeColor="text1"/>
          <w:sz w:val="16"/>
          <w:szCs w:val="16"/>
        </w:rPr>
        <w:t>Заканчивая свое сообщение, я хочу остановить ваше внимание на тех извращениях в оборонной работе, которые с полным правом могут быть квалифицированы политическими терминами, как «правый» и «левый» уклон в оборонной работе.</w:t>
      </w:r>
    </w:p>
    <w:p w14:paraId="32B9FFA6" w14:textId="77777777" w:rsidR="00EF2E51" w:rsidRPr="005E779E" w:rsidRDefault="00EF2E51" w:rsidP="000B7A6C">
      <w:pPr>
        <w:pStyle w:val="rtejustify"/>
        <w:spacing w:before="0" w:after="0"/>
        <w:rPr>
          <w:color w:val="000000" w:themeColor="text1"/>
          <w:sz w:val="16"/>
          <w:szCs w:val="16"/>
        </w:rPr>
      </w:pPr>
      <w:r w:rsidRPr="005E779E">
        <w:rPr>
          <w:color w:val="000000" w:themeColor="text1"/>
          <w:sz w:val="16"/>
          <w:szCs w:val="16"/>
        </w:rPr>
        <w:t xml:space="preserve">Под «правым» уклоном в оборонной работе я понимаю такие настроения, весьма широко распространенные среди наших советских и хозяйственных деятелей, что процессы индустриализации, развития промышленности сами по себе есть лучшие усиления обороноспособности страны. Другими словами — провозглашение теории самотека в этом деле. Само собой разумеется, что значительная доля правды в этом утверждении имеется. Оно все-таки в целом совершенно неверно. Конечно, развитие нашей промышленности и хозяйства в целом, новые заводы и фабрики являются лучшими носителями нашей оборонной мощности, ее усиления. Но неправда </w:t>
      </w:r>
      <w:r w:rsidRPr="005E779E">
        <w:rPr>
          <w:color w:val="000000" w:themeColor="text1"/>
          <w:sz w:val="16"/>
          <w:szCs w:val="16"/>
        </w:rPr>
        <w:lastRenderedPageBreak/>
        <w:t>этого утверждения состоит в том, что без подготовки предприятия в мирное время мы не сумеем использовать его во время войны. Или, в лучшем случае, используем его в совершенно недостаточных размерах. Кроме того, самотек крайне опасен под углом зрения того, о чем мы говорили.</w:t>
      </w:r>
    </w:p>
    <w:p w14:paraId="24914385" w14:textId="77777777" w:rsidR="00EF2E51" w:rsidRPr="005E779E" w:rsidRDefault="00EF2E51" w:rsidP="000B7A6C">
      <w:pPr>
        <w:pStyle w:val="rtejustify"/>
        <w:spacing w:before="0" w:after="0"/>
        <w:rPr>
          <w:color w:val="000000" w:themeColor="text1"/>
          <w:sz w:val="16"/>
          <w:szCs w:val="16"/>
        </w:rPr>
      </w:pPr>
      <w:r w:rsidRPr="005E779E">
        <w:rPr>
          <w:color w:val="000000" w:themeColor="text1"/>
          <w:sz w:val="16"/>
          <w:szCs w:val="16"/>
        </w:rPr>
        <w:t>Составлять мобилизационный план промышленности и усиливать обороноспособность страны, идя по пути ассимиляции, отнюдь не значит, что мы идем по легкому и простому пути. Нет, я считаю, что, с точки зрения простоты, старинные методы строительства специальных заводов легче, думать над ними надо меньше, но за отсутствие мыслей надо расплачиваться золотом в этом вопросе. А этот путь требует гигантского напряжения мысли и всех организационных и творческих сил страны. Теория самотека в этом смысле является злейшим врагом правильного решения оборонных вопросов. Само предприятие, не будучи в мирное время подготовлено к решению определенной оборонной задачи, будет решать эту задачу в военное время с гигантской потерей темпов в сроках своего развертывания и может не решить задачи и вовсе. А что может дать кооперация, свидетельствует всем нам известный пример с немецкими винтовками в прошлую войну. Германия начала войну с продукцией в 50 или сколько-то тысяч винтовок в месяц. Вскоре оказалось, что винтовок не хватает. В результате долгих споров решили производство винтовок кооперировать. Вскоре выпуск их дошел до 200</w:t>
      </w:r>
      <w:r w:rsidRPr="005E779E">
        <w:rPr>
          <w:color w:val="000000" w:themeColor="text1"/>
          <w:sz w:val="16"/>
          <w:szCs w:val="16"/>
        </w:rPr>
        <w:noBreakHyphen/>
        <w:t>250 тыс. шт. в месяц. И, конечно, никакая специальная промышленность таких скачков дать не в состоянии. Следовательно, «правый» уклон, самотек в нашей работе абсолютно вреден, с ним нужно бороться решительным образом, особенно считаясь с тем, что именно в общей промышленности должны быть обеспечены и организованы интересы обороны.</w:t>
      </w:r>
    </w:p>
    <w:p w14:paraId="73D81257" w14:textId="77777777" w:rsidR="00EF2E51" w:rsidRPr="005E779E" w:rsidRDefault="00EF2E51" w:rsidP="000B7A6C">
      <w:pPr>
        <w:pStyle w:val="rtejustify"/>
        <w:spacing w:before="0" w:after="0"/>
        <w:rPr>
          <w:color w:val="000000" w:themeColor="text1"/>
          <w:sz w:val="16"/>
          <w:szCs w:val="16"/>
        </w:rPr>
      </w:pPr>
      <w:r w:rsidRPr="005E779E">
        <w:rPr>
          <w:color w:val="000000" w:themeColor="text1"/>
          <w:sz w:val="16"/>
          <w:szCs w:val="16"/>
        </w:rPr>
        <w:t>Что я называю «левым» уклоном? «Левым» уклоном я называю такое увлечение искусством полевой стратегии, увлечение расчетами, которые на карте и по ведомостям дают превосходную картину преимуществ наших армий над армиями противников, чрезвычайно симпатичные перспективы больших побед и быстрое завершение войны. Дефектом этого прекрасного бумажного плана является то, что он не имеет под собой реалистической базы, он не приведен в соответствие с реальными возможностями страны, с ее промышленностью и ее транспортными средствами, с ее способностями к развертыванию и к военно-промышленному и военно-хозяйственному маневру. Увеличение полевой стратегией и отрыв от реалистической базы в военное время привело бы к очень большому разочарованию, ибо эти прекрасные теории приходилось бы переделывать в обстановке, весьма неблагоприятной для переделывания планов, а весьма требовательной в смысле проведения реалистического плана в жизнь.</w:t>
      </w:r>
    </w:p>
    <w:p w14:paraId="43448951" w14:textId="77777777" w:rsidR="00EF2E51" w:rsidRPr="005E779E" w:rsidRDefault="00EF2E51" w:rsidP="000B7A6C">
      <w:pPr>
        <w:pStyle w:val="rtejustify"/>
        <w:spacing w:before="0" w:after="0"/>
        <w:rPr>
          <w:color w:val="000000" w:themeColor="text1"/>
          <w:sz w:val="16"/>
          <w:szCs w:val="16"/>
        </w:rPr>
      </w:pPr>
      <w:r w:rsidRPr="005E779E">
        <w:rPr>
          <w:color w:val="000000" w:themeColor="text1"/>
          <w:sz w:val="16"/>
          <w:szCs w:val="16"/>
        </w:rPr>
        <w:t>А как же формулировать правильно марксистско-ленинскую установку в этом вопросе? Я ее формулирую таким образом, прочно опираясь на достигнутый уровень нашей техники и экономики, используя каждое новое предприятие, каждый новый успех в области индустриализации для нужд обороны, мы строим план обороны в целом, на реалистической основе, с максимальным напряжением всех сил и средств для войны.</w:t>
      </w:r>
    </w:p>
    <w:p w14:paraId="3754D00D" w14:textId="77777777" w:rsidR="00EF2E51" w:rsidRPr="005E779E" w:rsidRDefault="00EF2E51" w:rsidP="000B7A6C">
      <w:pPr>
        <w:pStyle w:val="rtejustify"/>
        <w:spacing w:before="0" w:after="0"/>
        <w:rPr>
          <w:color w:val="000000" w:themeColor="text1"/>
          <w:sz w:val="16"/>
          <w:szCs w:val="16"/>
        </w:rPr>
      </w:pPr>
      <w:r w:rsidRPr="005E779E">
        <w:rPr>
          <w:color w:val="000000" w:themeColor="text1"/>
          <w:sz w:val="16"/>
          <w:szCs w:val="16"/>
        </w:rPr>
        <w:t>Вот, товарищи, в сжатой, конспективной, тезуальной форме та совокупность мыслей, с которыми я хотел поделиться с вами. Ни время, ни само существо темы не дает мне возможности заниматься приведением необходимых примеров. Однако мне кажется, что при всей конспективности и краткости изложения я известный материал для дискуссии и для размышления вам дал.</w:t>
      </w:r>
    </w:p>
    <w:p w14:paraId="4BBE6494" w14:textId="77777777" w:rsidR="00EF2E51" w:rsidRPr="005E779E" w:rsidRDefault="00EF2E51" w:rsidP="000B7A6C">
      <w:pPr>
        <w:pStyle w:val="rtejustify"/>
        <w:spacing w:before="0" w:after="0"/>
        <w:rPr>
          <w:color w:val="000000" w:themeColor="text1"/>
          <w:sz w:val="16"/>
          <w:szCs w:val="16"/>
        </w:rPr>
      </w:pPr>
      <w:r w:rsidRPr="005E779E">
        <w:rPr>
          <w:color w:val="000000" w:themeColor="text1"/>
          <w:sz w:val="16"/>
          <w:szCs w:val="16"/>
        </w:rPr>
        <w:t>Закончу я свое сообщение тем, с чего я начал. Мы должны вести объединенными усилиями дело к тому, что если бы нам пришлось социалистическое строительство и нашу пятилетку защищать в поле, если бы наши враги решили бы прервать насильственной рукой процесс нашего социалистического строительства, то мы должны быть готовыми к тому, чтобы эту попытку пресечь самым решительным образом и нанести врагу сокрушительный отпор и разгром, обеспечив тем самым окончательную победу социализма во всем мире, (</w:t>
      </w:r>
      <w:r w:rsidRPr="005E779E">
        <w:rPr>
          <w:rStyle w:val="af0"/>
          <w:i w:val="0"/>
          <w:color w:val="000000" w:themeColor="text1"/>
          <w:sz w:val="16"/>
          <w:szCs w:val="16"/>
        </w:rPr>
        <w:t>Аплодисменты</w:t>
      </w:r>
      <w:r w:rsidRPr="005E779E">
        <w:rPr>
          <w:color w:val="000000" w:themeColor="text1"/>
          <w:sz w:val="16"/>
          <w:szCs w:val="16"/>
        </w:rPr>
        <w:t>).</w:t>
      </w:r>
    </w:p>
    <w:p w14:paraId="62256425" w14:textId="77777777" w:rsidR="00EF2E51" w:rsidRPr="005E779E" w:rsidRDefault="00EF2E51" w:rsidP="000B7A6C">
      <w:pPr>
        <w:pStyle w:val="ae"/>
        <w:spacing w:before="0" w:after="0"/>
        <w:jc w:val="both"/>
        <w:rPr>
          <w:color w:val="000000" w:themeColor="text1"/>
          <w:sz w:val="16"/>
          <w:szCs w:val="16"/>
        </w:rPr>
      </w:pPr>
      <w:r w:rsidRPr="005E779E">
        <w:rPr>
          <w:rStyle w:val="af0"/>
          <w:i w:val="0"/>
          <w:color w:val="000000" w:themeColor="text1"/>
          <w:sz w:val="16"/>
          <w:szCs w:val="16"/>
        </w:rPr>
        <w:t>Примечания</w:t>
      </w:r>
      <w:r w:rsidRPr="005E779E">
        <w:rPr>
          <w:color w:val="000000" w:themeColor="text1"/>
          <w:sz w:val="16"/>
          <w:szCs w:val="16"/>
        </w:rPr>
        <w:t>:</w:t>
      </w:r>
    </w:p>
    <w:p w14:paraId="4F7FCC3D" w14:textId="77777777" w:rsidR="00EF2E51" w:rsidRPr="005E779E" w:rsidRDefault="00EF2E51" w:rsidP="000B7A6C">
      <w:pPr>
        <w:pStyle w:val="rtejustify"/>
        <w:spacing w:before="0" w:after="0"/>
        <w:rPr>
          <w:color w:val="000000" w:themeColor="text1"/>
          <w:sz w:val="16"/>
          <w:szCs w:val="16"/>
        </w:rPr>
      </w:pPr>
      <w:r w:rsidRPr="005E779E">
        <w:rPr>
          <w:color w:val="000000" w:themeColor="text1"/>
          <w:sz w:val="16"/>
          <w:szCs w:val="16"/>
          <w:vertAlign w:val="superscript"/>
        </w:rPr>
        <w:t>1</w:t>
      </w:r>
      <w:r w:rsidRPr="005E779E">
        <w:rPr>
          <w:color w:val="000000" w:themeColor="text1"/>
          <w:sz w:val="16"/>
          <w:szCs w:val="16"/>
        </w:rPr>
        <w:t>* </w:t>
      </w:r>
      <w:r w:rsidRPr="005E779E">
        <w:rPr>
          <w:rStyle w:val="af0"/>
          <w:i w:val="0"/>
          <w:color w:val="000000" w:themeColor="text1"/>
          <w:sz w:val="16"/>
          <w:szCs w:val="16"/>
        </w:rPr>
        <w:t>Коммунистическая академия</w:t>
      </w:r>
      <w:r w:rsidRPr="005E779E">
        <w:rPr>
          <w:color w:val="000000" w:themeColor="text1"/>
          <w:sz w:val="16"/>
          <w:szCs w:val="16"/>
        </w:rPr>
        <w:t> — учебное и научно-исследовательское учреждение, создана декретом ВЦИК РСФСР 25 июня 1918 г., до 1919 г. называлась Социалистической академией общественных наук, до 17 апреля 1924 г. — Социалистической академией. В состав академии входили научные институты: философии, истории, советского строительства и права, мирового хозяйства и мировой политики, экономики и др., а также ряд секций и комиссий по специальным проблемам и вопросам. В декабре 1929 г. образовано Ленинградское отделение Коммунистической академии. В 1936 г. Коммунистическая академия объединена с АН СССР.</w:t>
      </w:r>
    </w:p>
    <w:p w14:paraId="74CB101B" w14:textId="77777777" w:rsidR="00EF2E51" w:rsidRPr="005E779E" w:rsidRDefault="00EF2E51" w:rsidP="000B7A6C">
      <w:pPr>
        <w:pStyle w:val="rtejustify"/>
        <w:spacing w:before="0" w:after="0"/>
        <w:rPr>
          <w:color w:val="000000" w:themeColor="text1"/>
          <w:sz w:val="16"/>
          <w:szCs w:val="16"/>
        </w:rPr>
      </w:pPr>
      <w:r w:rsidRPr="005E779E">
        <w:rPr>
          <w:color w:val="000000" w:themeColor="text1"/>
          <w:sz w:val="16"/>
          <w:szCs w:val="16"/>
          <w:vertAlign w:val="superscript"/>
        </w:rPr>
        <w:t>2</w:t>
      </w:r>
      <w:r w:rsidRPr="005E779E">
        <w:rPr>
          <w:color w:val="000000" w:themeColor="text1"/>
          <w:sz w:val="16"/>
          <w:szCs w:val="16"/>
        </w:rPr>
        <w:t>* Из стенограммы заседания, направлен в Госплан СССР.</w:t>
      </w:r>
    </w:p>
    <w:p w14:paraId="2D35D4BF" w14:textId="77777777" w:rsidR="00EF2E51" w:rsidRPr="005E779E" w:rsidRDefault="00EF2E51" w:rsidP="000B7A6C">
      <w:pPr>
        <w:pStyle w:val="rtejustify"/>
        <w:spacing w:before="0" w:after="0"/>
        <w:rPr>
          <w:color w:val="000000" w:themeColor="text1"/>
          <w:sz w:val="16"/>
          <w:szCs w:val="16"/>
        </w:rPr>
      </w:pPr>
      <w:r w:rsidRPr="005E779E">
        <w:rPr>
          <w:color w:val="000000" w:themeColor="text1"/>
          <w:sz w:val="16"/>
          <w:szCs w:val="16"/>
          <w:vertAlign w:val="superscript"/>
        </w:rPr>
        <w:t>3</w:t>
      </w:r>
      <w:r w:rsidRPr="005E779E">
        <w:rPr>
          <w:color w:val="000000" w:themeColor="text1"/>
          <w:sz w:val="16"/>
          <w:szCs w:val="16"/>
        </w:rPr>
        <w:t>* Опущена вступительная часть доклада, посвященная сравнительному анализу организации военной промышленности в США и царской России.</w:t>
      </w:r>
    </w:p>
    <w:p w14:paraId="052F5D76" w14:textId="77777777" w:rsidR="00EF2E51" w:rsidRPr="005E779E" w:rsidRDefault="00EF2E51" w:rsidP="000B7A6C">
      <w:pPr>
        <w:pStyle w:val="rtejustify"/>
        <w:spacing w:before="0" w:after="0"/>
        <w:rPr>
          <w:color w:val="000000" w:themeColor="text1"/>
          <w:sz w:val="16"/>
          <w:szCs w:val="16"/>
        </w:rPr>
      </w:pPr>
      <w:r w:rsidRPr="005E779E">
        <w:rPr>
          <w:color w:val="000000" w:themeColor="text1"/>
          <w:sz w:val="16"/>
          <w:szCs w:val="16"/>
        </w:rPr>
        <w:t>РГАЭ. Ф. 4372. Оп. 91. Д. 567. Л. 125—114. Стенограмма. Копия.</w:t>
      </w:r>
    </w:p>
    <w:p w14:paraId="05212295" w14:textId="77777777" w:rsidR="00EF2E51" w:rsidRPr="005E779E" w:rsidRDefault="00EF2E5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Архив: РГАЭ. Ф. 4372. Оп. 91. Д. 567. Л. 125—114. Стенограмма. Копия. </w:t>
      </w:r>
    </w:p>
    <w:p w14:paraId="63384FC5" w14:textId="77777777" w:rsidR="00EF2E51" w:rsidRPr="005E779E" w:rsidRDefault="00EF2E5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Источник: Становление оборонно-промышленного комплекса СССР (1927-1932). М. 2008, стр. 539-545 (12527).</w:t>
      </w:r>
    </w:p>
    <w:p w14:paraId="025927C4" w14:textId="77777777" w:rsidR="00EF2E51" w:rsidRPr="005E779E" w:rsidRDefault="00EF2E51" w:rsidP="000B7A6C">
      <w:pPr>
        <w:spacing w:after="0" w:line="240" w:lineRule="auto"/>
        <w:jc w:val="both"/>
        <w:rPr>
          <w:rFonts w:ascii="Times New Roman" w:hAnsi="Times New Roman"/>
          <w:color w:val="000000" w:themeColor="text1"/>
          <w:sz w:val="16"/>
          <w:szCs w:val="16"/>
        </w:rPr>
      </w:pPr>
    </w:p>
    <w:p w14:paraId="31572C99" w14:textId="77777777" w:rsidR="00EF2E51" w:rsidRPr="005E779E" w:rsidRDefault="00EF2E51"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5 мая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Протокол заседания Политбюро ЦК ВКП(б) № 36. Решения ПБ от 30 апреля 1931 г. 40/42. Сообщение Орджоникидзе о Сталинградском тракторном заводе (ПБ от 30 апреля 1931 г., пр. № 36, п. 40/42). (Политбюро... Т. 2. С. 164) (12416).</w:t>
      </w:r>
    </w:p>
    <w:p w14:paraId="7856AB5E" w14:textId="77777777" w:rsidR="00EF2E51" w:rsidRPr="005E779E" w:rsidRDefault="00EF2E51" w:rsidP="000B7A6C">
      <w:pPr>
        <w:spacing w:after="0" w:line="240" w:lineRule="auto"/>
        <w:jc w:val="both"/>
        <w:rPr>
          <w:rFonts w:ascii="Times New Roman" w:hAnsi="Times New Roman"/>
          <w:color w:val="000000" w:themeColor="text1"/>
          <w:sz w:val="16"/>
          <w:szCs w:val="16"/>
          <w:u w:color="002060"/>
        </w:rPr>
      </w:pPr>
    </w:p>
    <w:p w14:paraId="2FF9386D" w14:textId="77777777" w:rsidR="000E0163" w:rsidRPr="005E779E" w:rsidRDefault="000E016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мая в 1931 году состоялся пуск Ирбитского стекольного завода (ныне - ОАО "ИСЗ", Свердловская область), основной поставщик оконного стекла в Уральском регионе России (14882).</w:t>
      </w:r>
    </w:p>
    <w:p w14:paraId="06F66A12" w14:textId="77777777" w:rsidR="000E0163" w:rsidRPr="005E779E" w:rsidRDefault="000E0163" w:rsidP="000B7A6C">
      <w:pPr>
        <w:spacing w:after="0" w:line="240" w:lineRule="auto"/>
        <w:jc w:val="both"/>
        <w:rPr>
          <w:rFonts w:ascii="Times New Roman" w:hAnsi="Times New Roman"/>
          <w:color w:val="000000" w:themeColor="text1"/>
          <w:sz w:val="16"/>
          <w:szCs w:val="16"/>
        </w:rPr>
      </w:pPr>
    </w:p>
    <w:p w14:paraId="364FD80E" w14:textId="77777777" w:rsidR="00E454FF" w:rsidRPr="005E779E" w:rsidRDefault="00E454FF"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5 мая 1931 </w:t>
      </w:r>
      <w:r w:rsidRPr="005E779E">
        <w:rPr>
          <w:rFonts w:ascii="Times New Roman" w:hAnsi="Times New Roman"/>
          <w:color w:val="000000" w:themeColor="text1"/>
          <w:sz w:val="16"/>
          <w:szCs w:val="16"/>
        </w:rPr>
        <w:t>Политбюро ЦК ВКП (б) предложило ВСНХ организовать в Средней Азии разработку калийных удобрений (12265).</w:t>
      </w:r>
    </w:p>
    <w:p w14:paraId="30206EAC" w14:textId="77777777" w:rsidR="00E454FF" w:rsidRPr="005E779E" w:rsidRDefault="00E454F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6742914D"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мая 1931</w:t>
      </w:r>
    </w:p>
    <w:p w14:paraId="7FCD287C"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 16: О пересмотре договоров по техпомощи и о порядке их заключения</w:t>
      </w:r>
    </w:p>
    <w:p w14:paraId="7C97245D"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(ПБ от 15.IV.31 г., пр. № 34, п. 14).</w:t>
      </w:r>
    </w:p>
    <w:p w14:paraId="4D5B05C9"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(Акулов, Межлаук, Гринько, Розенгольц).</w:t>
      </w:r>
    </w:p>
    <w:p w14:paraId="37F9CF8E"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Решение — особая папка.</w:t>
      </w:r>
    </w:p>
    <w:p w14:paraId="059C44C5"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Утвердить представленный комиссией проект постановления о пересмотре договоров по техпомощи (</w:t>
      </w:r>
      <w:hyperlink r:id="rId87" w:history="1">
        <w:r w:rsidRPr="005E779E">
          <w:rPr>
            <w:rStyle w:val="a5"/>
            <w:rFonts w:ascii="Times New Roman" w:hAnsi="Times New Roman"/>
            <w:color w:val="000000" w:themeColor="text1"/>
            <w:sz w:val="16"/>
            <w:szCs w:val="16"/>
          </w:rPr>
          <w:t>см. приложение № 1</w:t>
        </w:r>
        <w:r w:rsidRPr="005E779E">
          <w:rPr>
            <w:rStyle w:val="a5"/>
            <w:rFonts w:ascii="Times New Roman" w:hAnsi="Times New Roman"/>
            <w:color w:val="000000" w:themeColor="text1"/>
            <w:sz w:val="16"/>
            <w:szCs w:val="16"/>
          </w:rPr>
          <w:noBreakHyphen/>
          <w:t>ОП</w:t>
        </w:r>
      </w:hyperlink>
      <w:r w:rsidRPr="005E779E">
        <w:rPr>
          <w:rFonts w:ascii="Times New Roman" w:hAnsi="Times New Roman"/>
          <w:color w:val="000000" w:themeColor="text1"/>
          <w:sz w:val="16"/>
          <w:szCs w:val="16"/>
        </w:rPr>
        <w:t>).</w:t>
      </w:r>
    </w:p>
    <w:p w14:paraId="5706E64C"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Утвердить список фирм, с которыми договора расторгаются, на общую сумму 2.710 тысяч рублей.</w:t>
      </w:r>
    </w:p>
    <w:p w14:paraId="3EBDDC4F"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Утвердить список фирм, договора с которыми пересматриваются, на общую сумму 11.700 тысяч руб., предложив ВСНХ добиваться валютной экономии по пересматриваемым договорам не менее, как на 50%.</w:t>
      </w:r>
    </w:p>
    <w:p w14:paraId="14B98F5B"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Выписки посланы:</w:t>
      </w:r>
    </w:p>
    <w:p w14:paraId="2DBD4291"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Орджоникидзе, Рухимовичу, Акулову, Микояну, Ягоде.</w:t>
      </w:r>
    </w:p>
    <w:p w14:paraId="50AF8A78"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Приложение № 1</w:t>
      </w:r>
      <w:r w:rsidRPr="005E779E">
        <w:rPr>
          <w:rFonts w:ascii="Times New Roman" w:hAnsi="Times New Roman"/>
          <w:color w:val="000000" w:themeColor="text1"/>
          <w:sz w:val="16"/>
          <w:szCs w:val="16"/>
        </w:rPr>
        <w:noBreakHyphen/>
        <w:t>ОП</w:t>
      </w:r>
    </w:p>
    <w:p w14:paraId="795FF69B"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п. 16 (о. п.) пр. ПБ № 36</w:t>
      </w:r>
    </w:p>
    <w:p w14:paraId="7184906A"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 пересмотре договоров по техпомощи и о порядке их заключения.</w:t>
      </w:r>
    </w:p>
    <w:p w14:paraId="05A5394F"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(Утверждено Политбюро ЦК ВКП(б) 5.V.1931 г.)</w:t>
      </w:r>
    </w:p>
    <w:p w14:paraId="2E94367C"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Констатировать:</w:t>
      </w:r>
    </w:p>
    <w:p w14:paraId="06FB0206"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Крайне неудовлетворительное положение и полнейшую неорганизованность всей системы промышленности в деле использования договоров технической помощи, заключенных с иностранными фирмами.</w:t>
      </w:r>
    </w:p>
    <w:p w14:paraId="668964E3" w14:textId="13272F43"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При крупнейших валютных затратах (уплачено до 1931 г. 26 млн. руб., платеж 1931 г. составляет 18,6 млн. руб.) органы ВСНХ вплоть до 1931 г. недоучитывали необходимости борьбы за овладение передовым техническим опытом и подменяли фактическое выполнение имеющихся директив заключением договоров без одновременной работы по их использованию, что привело в значительном количестве случаев</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к простому обогащение иностранных фирм.</w:t>
      </w:r>
    </w:p>
    <w:p w14:paraId="3FF047F5"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Предложить ВСНХ и другим наркоматам:</w:t>
      </w:r>
    </w:p>
    <w:p w14:paraId="000566A3"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В месячный срок перестроить всю систему руководства и постановку дела использования техпомощи, путем:</w:t>
      </w:r>
    </w:p>
    <w:p w14:paraId="6A3F2C84"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передачи оперативного руководства, наблюдения и организации обмена опытом отраслевым секторам ВСНХ и других наркоматов и отделам производства, рационализации и капитального строительства объединений — по принадлежности, обязав ВСНХ, другие наркоматы и их объединения выделить специальных лиц, ответственных за действительное исполнение договоров технической помощи. Фамилии выделенных в декадный срок сообщить НК РКИ СССР;</w:t>
      </w:r>
    </w:p>
    <w:p w14:paraId="149BB1BA"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оставления за иносекторами ВСНХ и наркоматов и иностранными отделами объединений общего руководства и наблюдения, увязки договоров техпомощи с внешне-торговыми операциями, правовой обработке договора, разрешения конфликтов и общей отчетности;</w:t>
      </w:r>
    </w:p>
    <w:p w14:paraId="33FDF1E1"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обязательного привлечения к использованию договоров технической помощи научно-исследовательских институтов и заводских лабораторий в целях изучения достижений капиталистической техники и дальнейших усовершенствований методов производства и конструкций промышленного оборудования.</w:t>
      </w:r>
    </w:p>
    <w:p w14:paraId="30351F41"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Категорически запретить сепаратные переговоры по договорам техпомощи руководителями хозяйственных объединений и предприятий вне утвержденного президиумом ВСНХ СССР или коллегиями наркоматов планов инотехпомощи и без особого на то разрешения председателя ВСНХ СССР или соответствующего наркома. Заключение договоров в каждом отдельном случае производить с разрешения СТО.</w:t>
      </w:r>
    </w:p>
    <w:p w14:paraId="00FCC447"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Обеспечить контроль и наблюдение за инотехпомощью низовых общественно-производственных организаций предприятий и актива инженерно-технического персонала.</w:t>
      </w:r>
    </w:p>
    <w:p w14:paraId="7C028C17"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Запретить заключение договоров с оплатой инофирмами отчислений с выпусков и выходов продукции. Наиболее целесообразной формой оплаты считать точно фиксированную в договоре сумму платежа, расчлененную по срокам в соответствии с ходом оказания и реализации техпомощи.</w:t>
      </w:r>
    </w:p>
    <w:p w14:paraId="08C54652"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 соответствии с этим пересмотреть условия договоров и добиться их изменения по договорам, где предусмотрены лицензионные начисления (Зульцер, Метрополитен-Виккерс, Казале и др.)«</w:t>
      </w:r>
    </w:p>
    <w:p w14:paraId="13276F77"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Запретить также без специального согласия Наркомвнешторга заключение договоров на инотехпомощь с наличием обязательств по покупке оборудования и материалов.</w:t>
      </w:r>
    </w:p>
    <w:p w14:paraId="6AEBDA21"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Прекратить заключение договоров на разработку заграницей объектов строительств, а также запретить практикующуюся ныне обработку заграницей данных разведывательных партий, перенеся эту работу в СССР (Шлюмберже — Азербайджан и Грозный).</w:t>
      </w:r>
    </w:p>
    <w:p w14:paraId="751C2324"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В трехмесячный срок изучить возможность расторжения договоров или сокращения платежей по дублирующим объектам техпомощи.</w:t>
      </w:r>
    </w:p>
    <w:p w14:paraId="537CFF5B"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Принять к сведению сообщение президиума ВСНХ СССР о состоявшемся расторжении договора с фирмой Фрелих и Клюпфель в части приглашения иностранных специалистов и рабочих и запретить впредь заключение договоров с фирмами на посредничество по вербовке инженерно-технического персонала и рабочих.</w:t>
      </w:r>
    </w:p>
    <w:p w14:paraId="7D5D39D2"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В 2</w:t>
      </w:r>
      <w:r w:rsidRPr="005E779E">
        <w:rPr>
          <w:rFonts w:ascii="Times New Roman" w:hAnsi="Times New Roman"/>
          <w:color w:val="000000" w:themeColor="text1"/>
          <w:sz w:val="16"/>
          <w:szCs w:val="16"/>
        </w:rPr>
        <w:noBreakHyphen/>
        <w:t>х месячный срок:</w:t>
      </w:r>
    </w:p>
    <w:p w14:paraId="7C801F7A"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произвести проверку технической квалификации иноспециалистов, используемых как по остающимся, так и по расторгаемым договорам в целях отказа от малоквалифицированного персонала;</w:t>
      </w:r>
    </w:p>
    <w:p w14:paraId="5A4484A1"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провести работу по резкому сокращению валютной части оплаты иноспециалистов и перевода их на индивидуальную оплату по расторгаемым и пересматриваемым договорам.</w:t>
      </w:r>
    </w:p>
    <w:p w14:paraId="11A0F154"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В целях полной и своевременной реализации инотехпомощи взять под особое наблюдение строительства, осуществляемые по договорам техпомощи, обеспечив при этом снабжение материалами и пуск предприятий в сроки, установленные договорами.</w:t>
      </w:r>
    </w:p>
    <w:p w14:paraId="6656D903"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При реализации плана заграничных командировок обеспечить в первую очередь командировки по договорам техпомощи. Произвести учет как вернувшихся, так и вновь командированных, в целях прекращения их перебросок и максимального использования полученного ими опыта.</w:t>
      </w:r>
    </w:p>
    <w:p w14:paraId="2CD03C74"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Обязать торгпредства и банковскую систему вести систематический учет финансового положения фирм, с которыми заключены договора техпомощи.</w:t>
      </w:r>
    </w:p>
    <w:p w14:paraId="4BAC0B5A"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Приступить и закончить в 1931 г. расторжение договоров с фирмами: Рюкайзер, Суари де Страсбург, Стик, Ирвинг, Ман-Ридингер, Фрелих и Клюпфель, Робертс и Шефер, Ален-Гарсиа, Клейнлогель, Кебер, ДАЦ</w:t>
      </w:r>
    </w:p>
    <w:p w14:paraId="223C540A"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Принять к сведению сообщение президиума ВСНХ СССР о состоявшемся расторжении договоров с фирмами Брандт, Мак-Дональд, Пуппе.</w:t>
      </w:r>
    </w:p>
    <w:p w14:paraId="7F70BD06"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Расторжение договоров техпомощи с инофирмами производить постепенно в течение 1931 года.</w:t>
      </w:r>
    </w:p>
    <w:p w14:paraId="231094A1"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Предложить ВСНХ и НКСнабу обеспечить в пределах сроков договора (к 19.XII.31 г.) полное использование техпомощи фирмой Борзиг.</w:t>
      </w:r>
    </w:p>
    <w:p w14:paraId="4E22AB4C"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Поручить ОГПУ в 2</w:t>
      </w:r>
      <w:r w:rsidRPr="005E779E">
        <w:rPr>
          <w:rFonts w:ascii="Times New Roman" w:hAnsi="Times New Roman"/>
          <w:color w:val="000000" w:themeColor="text1"/>
          <w:sz w:val="16"/>
          <w:szCs w:val="16"/>
        </w:rPr>
        <w:noBreakHyphen/>
        <w:t>х месячный срок проверить использование договоров техпомощи хозяйственными организациями и представить доклад по этому вопросу в ЦК и правительству.</w:t>
      </w:r>
    </w:p>
    <w:p w14:paraId="23124F0A" w14:textId="77777777" w:rsidR="005B2673" w:rsidRPr="005E779E" w:rsidRDefault="005B26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(18111).</w:t>
      </w:r>
    </w:p>
    <w:p w14:paraId="106EF09A" w14:textId="77777777" w:rsidR="005B2673" w:rsidRPr="005E779E" w:rsidRDefault="005B2673" w:rsidP="000B7A6C">
      <w:pPr>
        <w:spacing w:after="0" w:line="240" w:lineRule="auto"/>
        <w:jc w:val="both"/>
        <w:rPr>
          <w:rFonts w:ascii="Times New Roman" w:hAnsi="Times New Roman"/>
          <w:color w:val="000000" w:themeColor="text1"/>
          <w:sz w:val="16"/>
          <w:szCs w:val="16"/>
        </w:rPr>
      </w:pPr>
    </w:p>
    <w:p w14:paraId="0B10FFBE" w14:textId="77777777" w:rsidR="005C5785" w:rsidRPr="005E779E" w:rsidRDefault="005C5785"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262FCD8E" w14:textId="77777777" w:rsidR="005C5785" w:rsidRPr="005E779E" w:rsidRDefault="005C5785"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2ED768A" w14:textId="77777777" w:rsidR="005C5785" w:rsidRPr="005E779E" w:rsidRDefault="005C578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мая 1931 г. Каганович и Булганин доложили в Политбюро о плане мероприятий. Политбюро образовало собственную комиссию для подготовки решения на основе этого плана. В состав комиссии под председательством Кагановича наряду с функционерами московской парторганизации и городской администрации вошли такие представители правящей верхушки, как Сталин, Молотов, Ворошилов, Ягода и Киров{313}.На своем втором заседании 14 мая 1931 г. комиссия Политбюро постановила внести в план мероприятий новый пункт в следующей редакции: «Поручить Моссовету и МК образовать комиссию для рассмотрения всех существующих проектов различных средств сообщения и разработать проект метрополитена. Срок: 3 месяца»{314} (18299).</w:t>
      </w:r>
    </w:p>
    <w:p w14:paraId="3AE93738" w14:textId="77777777" w:rsidR="005C5785" w:rsidRPr="005E779E" w:rsidRDefault="005C5785" w:rsidP="000B7A6C">
      <w:pPr>
        <w:spacing w:after="0" w:line="240" w:lineRule="auto"/>
        <w:jc w:val="both"/>
        <w:rPr>
          <w:rFonts w:ascii="Times New Roman" w:hAnsi="Times New Roman"/>
          <w:color w:val="000000" w:themeColor="text1"/>
          <w:sz w:val="16"/>
          <w:szCs w:val="16"/>
        </w:rPr>
      </w:pPr>
    </w:p>
    <w:p w14:paraId="1FF823D5"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0D83569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29E42F1" w14:textId="77777777" w:rsidR="000E0163" w:rsidRPr="005E779E" w:rsidRDefault="000E016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5 мая в 1931 году английская транспортная летающая лодка </w:t>
      </w:r>
      <w:hyperlink r:id="rId88" w:tgtFrame="_blank" w:history="1">
        <w:r w:rsidRPr="005E779E">
          <w:rPr>
            <w:rFonts w:ascii="Times New Roman" w:hAnsi="Times New Roman"/>
            <w:color w:val="000000" w:themeColor="text1"/>
            <w:sz w:val="16"/>
            <w:szCs w:val="16"/>
          </w:rPr>
          <w:t xml:space="preserve">«Short» «S.17» «Kent» </w:t>
        </w:r>
      </w:hyperlink>
      <w:r w:rsidRPr="005E779E">
        <w:rPr>
          <w:rFonts w:ascii="Times New Roman" w:hAnsi="Times New Roman"/>
          <w:color w:val="000000" w:themeColor="text1"/>
          <w:sz w:val="16"/>
          <w:szCs w:val="16"/>
        </w:rPr>
        <w:t>впервые вышла на линию. Машина использовалась на трассе Бриндизи - Афины - Александрия. По пути из Афин в Александрию выполнялась техническая посадка на Крите для дозаправки. У нового самолёта были увеличены размеры фюзеляжа и размах крыльев, установлены четыре более мощных двигателя «Bristol» «Jupiter XFBM». Пилотская кабина стала закрытой, повысился комфорт пассажирского салона. Были проведены мероприятия по защите от коррозии, вызываемой морской водой (14882).</w:t>
      </w:r>
    </w:p>
    <w:p w14:paraId="0C7AC7BC" w14:textId="77777777" w:rsidR="000E0163" w:rsidRPr="005E779E" w:rsidRDefault="000E0163" w:rsidP="000B7A6C">
      <w:pPr>
        <w:spacing w:after="0" w:line="240" w:lineRule="auto"/>
        <w:jc w:val="both"/>
        <w:rPr>
          <w:rFonts w:ascii="Times New Roman" w:hAnsi="Times New Roman"/>
          <w:color w:val="000000" w:themeColor="text1"/>
          <w:sz w:val="16"/>
          <w:szCs w:val="16"/>
        </w:rPr>
      </w:pPr>
    </w:p>
    <w:p w14:paraId="4A4F1BF8" w14:textId="77777777" w:rsidR="00DB398D" w:rsidRPr="005E779E" w:rsidRDefault="00DB398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мая 1931 польский пилот Станислав Скаржиньски завершает тур длиной 25050 километров (15560 миль) вокруг Африки на PZL Z.2. Он начал турне 1 февраля (20804).</w:t>
      </w:r>
    </w:p>
    <w:p w14:paraId="57F0DBA0" w14:textId="77777777" w:rsidR="00DB398D" w:rsidRPr="005E779E" w:rsidRDefault="00DB398D" w:rsidP="000B7A6C">
      <w:pPr>
        <w:spacing w:after="0" w:line="240" w:lineRule="auto"/>
        <w:jc w:val="both"/>
        <w:rPr>
          <w:rFonts w:ascii="Times New Roman" w:hAnsi="Times New Roman"/>
          <w:color w:val="000000" w:themeColor="text1"/>
          <w:sz w:val="16"/>
          <w:szCs w:val="16"/>
        </w:rPr>
      </w:pPr>
    </w:p>
    <w:p w14:paraId="5D4D22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мая 1931 в Нанцьзине было созвано Народное собрание и 12 мая оно приняло Конституцию, которая вступила в силу 1 июня (3907,167).</w:t>
      </w:r>
    </w:p>
    <w:p w14:paraId="734104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049FE1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мая 1931 в Лондоне состоялся первый концерт английского Королевского балета (4962).</w:t>
      </w:r>
    </w:p>
    <w:p w14:paraId="51A5F77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14AAFC"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1EF07C50"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ADDB8B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6 мая по 15 июня 1931 в НИИ ВВС вновь проходил испытания И5 № 3 с мотором М15.</w:t>
      </w:r>
    </w:p>
    <w:p w14:paraId="7704326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Результаты испытания (образца для серии) самолета И5 № 18 с мотором М15</w:t>
      </w:r>
    </w:p>
    <w:p w14:paraId="770E5EC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Выводы были сделаны на основании двух разновременных испытаний одного и того же самолета.</w:t>
      </w:r>
    </w:p>
    <w:p w14:paraId="7D57C01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Первый раз испытывался самолет И5 № 18 с мотором М15 № 6. Испытание было начато 30 июля 1931 года и прервано 15 августа 1931 года из-за поломки рамы моторной установки. Самолет И5 № 18 после ремонта вторично был предъявлен для испытания 10 октября 1931 года с другим мотором М15 № 24109 и с тем же винтом.</w:t>
      </w:r>
    </w:p>
    <w:p w14:paraId="2A71995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И5 № 18 построен по типу серийных самолетов, т.е. отдельные части самолета изготовлялись на заводах №№ 39, 1 и 22, а вся сборка самолета произведена заводом № 39.</w:t>
      </w:r>
    </w:p>
    <w:p w14:paraId="6315384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сообщению завода № 39 данный самолет в сравнении с И5 Юп VI усилен ………….</w:t>
      </w:r>
    </w:p>
    <w:p w14:paraId="401C340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Цель испытаний</w:t>
      </w:r>
    </w:p>
    <w:p w14:paraId="1504307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 период с 12 декабря 1930 года по 1 февраля 1931 года и с 6 мая 1931 года по 15 июня 1931 года испытывался самолет И5 № 3 с мотором М15. Этот самолет не имел целого ряда деталей, требующихся для установки вооружения и оборудования и имел конструкцию (капотаж, моторы, установка пулеметов) отличную от предполагаемой в серийной постройке, поэтому полученные летные данные не могли быть показаны для серийных самолетов И5-М15. Установка вооружения на самолете И5 № 3 носила макетный характер, вследствие чего вооружение не могло быть испытано. Поэтому заводом № 39 был дан на испытание в НИИ ВВС другой самолет И5 № 18 с мотором М15, который должен быть принят как образец для серии. Данный самолет мог быть испытан только в отношении летных данных, так как вооружение его не было отлажено (при заводских испытаниях был отмечен перегрев верхних пулеметов и трещины у трубы нижних пулеметов) и правые пулеметы не имели левых приемников.</w:t>
      </w:r>
    </w:p>
    <w:p w14:paraId="5CC4ACE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 самолета И5-М15 отличается от вооружения самолета И5-ЮпVI тем, что верхние пулеметы разнесены на 40 мм больше и у нижних пулеметов поставлены трубы.</w:t>
      </w:r>
    </w:p>
    <w:p w14:paraId="002A326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Ход испытания</w:t>
      </w:r>
    </w:p>
    <w:p w14:paraId="6DDC3F0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 период первого испытания самолет И5 № 18 произвел следующие полеты:</w:t>
      </w:r>
    </w:p>
    <w:p w14:paraId="356AF6C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 июля 1931 года – полет на определение скороподъемности и горизонтальных скоростей на высотах 5000, 4000, 2000, 1000 м –45 минут</w:t>
      </w:r>
    </w:p>
    <w:p w14:paraId="638A865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августа 1931 года – полет с целью определения скороподъемности, потолка и горизонтальных скоростей на высотах 7000, 6000, 5000 м. Определение расхода горючего на высоте 5000 м – 2 часа 5 минут</w:t>
      </w:r>
    </w:p>
    <w:p w14:paraId="5451759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августа 1931 года – полет на управляемость на 5000 и 3000 м. Определение расхода горючего на высоте 3000 м – 2 часа 20 минут</w:t>
      </w:r>
    </w:p>
    <w:p w14:paraId="54196A4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 время второго испытания произведены следующие полеты:</w:t>
      </w:r>
    </w:p>
    <w:p w14:paraId="6E0F6E7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октября 1931 года - полет на управляемость и фигуры на высоте 1000 м. Полет с целью определения горизонтальных скоростей на высоте 100 м – 1 час 30 минут</w:t>
      </w:r>
    </w:p>
    <w:p w14:paraId="610D1C4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Испытание прервано из-за поломки самолета при вынужденной посадке. Вынужденная посадка произошла вследствие прекращения подачи бензина.</w:t>
      </w:r>
    </w:p>
    <w:p w14:paraId="4F01A16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w:t>
      </w:r>
    </w:p>
    <w:p w14:paraId="0C9B058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основании произведенных испытаний можно установить, что самолет И5 при постановке на него мотора М15 в серийной постройке будет иметь как худшие летные данные, так и меньший радиус действия, чем с мотором ЮпVI (6964, 32-40).</w:t>
      </w:r>
    </w:p>
    <w:p w14:paraId="322FDC9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2E70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6 мая 1931 продолжились прерванные 1 февраля 1931 г. из-за неисправности мотора гос. испытания самолета И5-М15, которые шли с 12 декабря 1930 г. Испытывался в первый раз самолет И5 N 3 (XVI съезд) постройки ЦКБ, с мотором 2М15 N 2, постройки завода N 24. При вторичном испытании тот же самолет имел мотор М15 N 18, постройки завода N 24.</w:t>
      </w:r>
    </w:p>
    <w:p w14:paraId="1DAA9A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w:t>
      </w:r>
    </w:p>
    <w:p w14:paraId="35046F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Поскольку самолет И5-М15 N 3 не является по своей конструкции идентичным тому, который предположен к серийной постройке, не мог быть испытан на стрельбу считать, что на основе его испытания нельзя дать заключения о самолете И5-М15, предназначенного к серийной постройке (3290,42-58).</w:t>
      </w:r>
    </w:p>
    <w:p w14:paraId="064778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EDFC0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период 6 мая - 15 июня 1931 г. последовал второй этап испытаний И-5 №3 с двигателем М-15. Однако этот самолет по-прежнему не имел вооружения и обладал множеством отличий от серийных об</w:t>
      </w:r>
      <w:r w:rsidRPr="005E779E">
        <w:rPr>
          <w:rFonts w:ascii="Times New Roman" w:hAnsi="Times New Roman"/>
          <w:color w:val="000000" w:themeColor="text1"/>
          <w:sz w:val="16"/>
          <w:szCs w:val="16"/>
        </w:rPr>
        <w:softHyphen/>
        <w:t>разцов с индивидуальными обтекателями цилиндров двигателя. Поэтому заводом № 39 был изготовлен еще один самолет с двигате</w:t>
      </w:r>
      <w:r w:rsidRPr="005E779E">
        <w:rPr>
          <w:rFonts w:ascii="Times New Roman" w:hAnsi="Times New Roman"/>
          <w:color w:val="000000" w:themeColor="text1"/>
          <w:sz w:val="16"/>
          <w:szCs w:val="16"/>
        </w:rPr>
        <w:softHyphen/>
        <w:t>лем М-15, который в основном повторял серийные И-5 завода № 1. Фотографий этого самолета видеть не приходилось, однако в ряде документов указывалось, что «данный экземпляр отличается измененной головной частью». Возможно, на этом И-5 впервые использовали кольцо Тауненда. Другим отличи</w:t>
      </w:r>
      <w:r w:rsidRPr="005E779E">
        <w:rPr>
          <w:rFonts w:ascii="Times New Roman" w:hAnsi="Times New Roman"/>
          <w:color w:val="000000" w:themeColor="text1"/>
          <w:sz w:val="16"/>
          <w:szCs w:val="16"/>
        </w:rPr>
        <w:softHyphen/>
        <w:t>ем этого образца, известного как И-5 №18, стало вооружение: верхние пулеметы были разнесены шире на 40 мм, а нижние заключе</w:t>
      </w:r>
      <w:r w:rsidRPr="005E779E">
        <w:rPr>
          <w:rFonts w:ascii="Times New Roman" w:hAnsi="Times New Roman"/>
          <w:color w:val="000000" w:themeColor="text1"/>
          <w:sz w:val="16"/>
          <w:szCs w:val="16"/>
        </w:rPr>
        <w:softHyphen/>
        <w:t>на в трубы. Испытания в НИИ ВВС И-5 № 18 с двигателем М-15 № 6 начались 30 июля и были прерваны 15 августа 1931 г. по причине по</w:t>
      </w:r>
      <w:r w:rsidRPr="005E779E">
        <w:rPr>
          <w:rFonts w:ascii="Times New Roman" w:hAnsi="Times New Roman"/>
          <w:color w:val="000000" w:themeColor="text1"/>
          <w:sz w:val="16"/>
          <w:szCs w:val="16"/>
        </w:rPr>
        <w:softHyphen/>
        <w:t>ломки моторамы. После ремонта самолет предъявили к тестированию с новым двигате</w:t>
      </w:r>
      <w:r w:rsidRPr="005E779E">
        <w:rPr>
          <w:rFonts w:ascii="Times New Roman" w:hAnsi="Times New Roman"/>
          <w:color w:val="000000" w:themeColor="text1"/>
          <w:sz w:val="16"/>
          <w:szCs w:val="16"/>
        </w:rPr>
        <w:softHyphen/>
        <w:t>лем - М-15 № 24109. Полеты начались 10 ок</w:t>
      </w:r>
      <w:r w:rsidRPr="005E779E">
        <w:rPr>
          <w:rFonts w:ascii="Times New Roman" w:hAnsi="Times New Roman"/>
          <w:color w:val="000000" w:themeColor="text1"/>
          <w:sz w:val="16"/>
          <w:szCs w:val="16"/>
        </w:rPr>
        <w:softHyphen/>
        <w:t>тября, а через несколько дней самолет потерпел аварию при выполнении вынужденной по</w:t>
      </w:r>
      <w:r w:rsidRPr="005E779E">
        <w:rPr>
          <w:rFonts w:ascii="Times New Roman" w:hAnsi="Times New Roman"/>
          <w:color w:val="000000" w:themeColor="text1"/>
          <w:sz w:val="16"/>
          <w:szCs w:val="16"/>
        </w:rPr>
        <w:softHyphen/>
        <w:t>садки. Дальнейшая судьба машины не просле живется, однако из переписки завода №39 известно, что какой-то И-5 с М-15 потерпел аварию и не восстанавливался (вероятно это был И-5 №18).</w:t>
      </w:r>
    </w:p>
    <w:p w14:paraId="68F158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 смотря на аварию, основные выводы в отношении испытывавшегося самолета были, получены. В частности, указывалось, что се</w:t>
      </w:r>
      <w:r w:rsidRPr="005E779E">
        <w:rPr>
          <w:rFonts w:ascii="Times New Roman" w:hAnsi="Times New Roman"/>
          <w:color w:val="000000" w:themeColor="text1"/>
          <w:sz w:val="16"/>
          <w:szCs w:val="16"/>
        </w:rPr>
        <w:softHyphen/>
        <w:t>рийные И-5 с М-15 будут обладать худшими летными данными и меньшим радиусом дей</w:t>
      </w:r>
      <w:r w:rsidRPr="005E779E">
        <w:rPr>
          <w:rFonts w:ascii="Times New Roman" w:hAnsi="Times New Roman"/>
          <w:color w:val="000000" w:themeColor="text1"/>
          <w:sz w:val="16"/>
          <w:szCs w:val="16"/>
        </w:rPr>
        <w:softHyphen/>
        <w:t>ствия, чем И-5 с двигателем «Юпитер» VI. Максимальная полетная скорость самолета с М-15 оказалась немного выше, а скороподъем</w:t>
      </w:r>
      <w:r w:rsidRPr="005E779E">
        <w:rPr>
          <w:rFonts w:ascii="Times New Roman" w:hAnsi="Times New Roman"/>
          <w:color w:val="000000" w:themeColor="text1"/>
          <w:sz w:val="16"/>
          <w:szCs w:val="16"/>
        </w:rPr>
        <w:softHyphen/>
        <w:t>ность чуть ниже, чем у второго опытного эк</w:t>
      </w:r>
      <w:r w:rsidRPr="005E779E">
        <w:rPr>
          <w:rFonts w:ascii="Times New Roman" w:hAnsi="Times New Roman"/>
          <w:color w:val="000000" w:themeColor="text1"/>
          <w:sz w:val="16"/>
          <w:szCs w:val="16"/>
        </w:rPr>
        <w:softHyphen/>
        <w:t>земпляра.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1002C3" w:rsidRPr="005E779E" w14:paraId="4A774B19" w14:textId="77777777">
        <w:tc>
          <w:tcPr>
            <w:tcW w:w="3736" w:type="dxa"/>
            <w:tcBorders>
              <w:top w:val="single" w:sz="12" w:space="0" w:color="auto"/>
            </w:tcBorders>
          </w:tcPr>
          <w:p w14:paraId="0DD7DC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736" w:type="dxa"/>
            <w:tcBorders>
              <w:top w:val="single" w:sz="12" w:space="0" w:color="auto"/>
            </w:tcBorders>
          </w:tcPr>
          <w:p w14:paraId="2D1FBB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 М-15</w:t>
            </w:r>
          </w:p>
        </w:tc>
        <w:tc>
          <w:tcPr>
            <w:tcW w:w="3736" w:type="dxa"/>
            <w:tcBorders>
              <w:top w:val="single" w:sz="12" w:space="0" w:color="auto"/>
            </w:tcBorders>
          </w:tcPr>
          <w:p w14:paraId="35604D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 Ю</w:t>
            </w:r>
            <w:r w:rsidRPr="005E779E">
              <w:rPr>
                <w:rFonts w:ascii="Times New Roman" w:hAnsi="Times New Roman"/>
                <w:color w:val="000000" w:themeColor="text1"/>
                <w:sz w:val="16"/>
                <w:szCs w:val="16"/>
                <w:lang w:val="en-US"/>
              </w:rPr>
              <w:t>-VI</w:t>
            </w:r>
          </w:p>
        </w:tc>
      </w:tr>
      <w:tr w:rsidR="001002C3" w:rsidRPr="005E779E" w14:paraId="36F13477" w14:textId="77777777">
        <w:tc>
          <w:tcPr>
            <w:tcW w:w="3736" w:type="dxa"/>
          </w:tcPr>
          <w:p w14:paraId="5D88E4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Скорость максимальная на 1000 м (км/ч)</w:t>
            </w:r>
          </w:p>
        </w:tc>
        <w:tc>
          <w:tcPr>
            <w:tcW w:w="3736" w:type="dxa"/>
          </w:tcPr>
          <w:p w14:paraId="67A7B5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266</w:t>
            </w:r>
          </w:p>
        </w:tc>
        <w:tc>
          <w:tcPr>
            <w:tcW w:w="3736" w:type="dxa"/>
          </w:tcPr>
          <w:p w14:paraId="27DF27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258</w:t>
            </w:r>
          </w:p>
        </w:tc>
      </w:tr>
      <w:tr w:rsidR="001002C3" w:rsidRPr="005E779E" w14:paraId="18D67F28" w14:textId="77777777">
        <w:tc>
          <w:tcPr>
            <w:tcW w:w="3736" w:type="dxa"/>
            <w:tcBorders>
              <w:bottom w:val="single" w:sz="12" w:space="0" w:color="auto"/>
            </w:tcBorders>
          </w:tcPr>
          <w:p w14:paraId="5E7682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набора 3000 м (мин.)</w:t>
            </w:r>
          </w:p>
        </w:tc>
        <w:tc>
          <w:tcPr>
            <w:tcW w:w="3736" w:type="dxa"/>
            <w:tcBorders>
              <w:bottom w:val="single" w:sz="12" w:space="0" w:color="auto"/>
            </w:tcBorders>
          </w:tcPr>
          <w:p w14:paraId="038807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4,75</w:t>
            </w:r>
          </w:p>
        </w:tc>
        <w:tc>
          <w:tcPr>
            <w:tcW w:w="3736" w:type="dxa"/>
            <w:tcBorders>
              <w:bottom w:val="single" w:sz="12" w:space="0" w:color="auto"/>
            </w:tcBorders>
          </w:tcPr>
          <w:p w14:paraId="1486F7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4,68</w:t>
            </w:r>
          </w:p>
        </w:tc>
      </w:tr>
    </w:tbl>
    <w:p w14:paraId="77D8E6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тем, значительные усилия, потра</w:t>
      </w:r>
      <w:r w:rsidRPr="005E779E">
        <w:rPr>
          <w:rFonts w:ascii="Times New Roman" w:hAnsi="Times New Roman"/>
          <w:color w:val="000000" w:themeColor="text1"/>
          <w:sz w:val="16"/>
          <w:szCs w:val="16"/>
        </w:rPr>
        <w:softHyphen/>
        <w:t>ченные на внедрение М-15 в производство, и большие на него надежды обусловили про</w:t>
      </w:r>
      <w:r w:rsidRPr="005E779E">
        <w:rPr>
          <w:rFonts w:ascii="Times New Roman" w:hAnsi="Times New Roman"/>
          <w:color w:val="000000" w:themeColor="text1"/>
          <w:sz w:val="16"/>
          <w:szCs w:val="16"/>
        </w:rPr>
        <w:softHyphen/>
        <w:t>должение работ по его внедрению. Было ре</w:t>
      </w:r>
      <w:r w:rsidRPr="005E779E">
        <w:rPr>
          <w:rFonts w:ascii="Times New Roman" w:hAnsi="Times New Roman"/>
          <w:color w:val="000000" w:themeColor="text1"/>
          <w:sz w:val="16"/>
          <w:szCs w:val="16"/>
        </w:rPr>
        <w:softHyphen/>
        <w:t>шено, что в числе первой сотни серийных истребителей должны быть 10 машин с М-15, поэтому еще один самолет оснастили таким двигателем. Он прибыл на аэродром 25 но</w:t>
      </w:r>
      <w:r w:rsidRPr="005E779E">
        <w:rPr>
          <w:rFonts w:ascii="Times New Roman" w:hAnsi="Times New Roman"/>
          <w:color w:val="000000" w:themeColor="text1"/>
          <w:sz w:val="16"/>
          <w:szCs w:val="16"/>
        </w:rPr>
        <w:softHyphen/>
        <w:t>ября 1931 г., далее доводился в бригаде С.А. Кочеригина, в которой готовили чертежи для серийного производства. Впрочем, уже в конце 1931 г. от использования М-15 отказа</w:t>
      </w:r>
      <w:r w:rsidRPr="005E779E">
        <w:rPr>
          <w:rFonts w:ascii="Times New Roman" w:hAnsi="Times New Roman"/>
          <w:color w:val="000000" w:themeColor="text1"/>
          <w:sz w:val="16"/>
          <w:szCs w:val="16"/>
        </w:rPr>
        <w:softHyphen/>
        <w:t>лись и более И-5 с этими двигателями не строились (11974).</w:t>
      </w:r>
    </w:p>
    <w:p w14:paraId="5716E0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3BDE3CB" w14:textId="77777777" w:rsidR="00E454FF" w:rsidRPr="005E779E" w:rsidRDefault="00E454F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период 6 мая - 15 июня 1931 года Далее последовал второй этап испытаний И-5 №3 с двигателем М-15. Од</w:t>
      </w:r>
      <w:r w:rsidRPr="005E779E">
        <w:rPr>
          <w:rFonts w:ascii="Times New Roman" w:hAnsi="Times New Roman"/>
          <w:color w:val="000000" w:themeColor="text1"/>
          <w:sz w:val="16"/>
          <w:szCs w:val="16"/>
        </w:rPr>
        <w:softHyphen/>
        <w:t>нако этот самолет по-прежнему не имел во</w:t>
      </w:r>
      <w:r w:rsidRPr="005E779E">
        <w:rPr>
          <w:rFonts w:ascii="Times New Roman" w:hAnsi="Times New Roman"/>
          <w:color w:val="000000" w:themeColor="text1"/>
          <w:sz w:val="16"/>
          <w:szCs w:val="16"/>
        </w:rPr>
        <w:softHyphen/>
        <w:t>оружения и обладал множеством отличий от серийных образцов с индивидуальными об</w:t>
      </w:r>
      <w:r w:rsidRPr="005E779E">
        <w:rPr>
          <w:rFonts w:ascii="Times New Roman" w:hAnsi="Times New Roman"/>
          <w:color w:val="000000" w:themeColor="text1"/>
          <w:sz w:val="16"/>
          <w:szCs w:val="16"/>
        </w:rPr>
        <w:softHyphen/>
        <w:t>текателями цилиндров двигателя. Поэтому заводом № 39 был изготовлен еще один И-5 с двигателем М-15, который в основном по</w:t>
      </w:r>
      <w:r w:rsidRPr="005E779E">
        <w:rPr>
          <w:rFonts w:ascii="Times New Roman" w:hAnsi="Times New Roman"/>
          <w:color w:val="000000" w:themeColor="text1"/>
          <w:sz w:val="16"/>
          <w:szCs w:val="16"/>
        </w:rPr>
        <w:softHyphen/>
        <w:t>вторял серийные машины завода №1. Фо</w:t>
      </w:r>
      <w:r w:rsidRPr="005E779E">
        <w:rPr>
          <w:rFonts w:ascii="Times New Roman" w:hAnsi="Times New Roman"/>
          <w:color w:val="000000" w:themeColor="text1"/>
          <w:sz w:val="16"/>
          <w:szCs w:val="16"/>
        </w:rPr>
        <w:softHyphen/>
        <w:t>тографий этого самолета видеть не прихо</w:t>
      </w:r>
      <w:r w:rsidRPr="005E779E">
        <w:rPr>
          <w:rFonts w:ascii="Times New Roman" w:hAnsi="Times New Roman"/>
          <w:color w:val="000000" w:themeColor="text1"/>
          <w:sz w:val="16"/>
          <w:szCs w:val="16"/>
        </w:rPr>
        <w:softHyphen/>
        <w:t>дилось, однако в ряде документов указыва</w:t>
      </w:r>
      <w:r w:rsidRPr="005E779E">
        <w:rPr>
          <w:rFonts w:ascii="Times New Roman" w:hAnsi="Times New Roman"/>
          <w:color w:val="000000" w:themeColor="text1"/>
          <w:sz w:val="16"/>
          <w:szCs w:val="16"/>
        </w:rPr>
        <w:softHyphen/>
        <w:t>лось, что «данный экземпляр отличается из</w:t>
      </w:r>
      <w:r w:rsidRPr="005E779E">
        <w:rPr>
          <w:rFonts w:ascii="Times New Roman" w:hAnsi="Times New Roman"/>
          <w:color w:val="000000" w:themeColor="text1"/>
          <w:sz w:val="16"/>
          <w:szCs w:val="16"/>
        </w:rPr>
        <w:softHyphen/>
        <w:t>мененной головной частью». Возможно, на этом И-5 впервые использовали кольцо Тауненда. Другим отличием этого образца, из</w:t>
      </w:r>
      <w:r w:rsidRPr="005E779E">
        <w:rPr>
          <w:rFonts w:ascii="Times New Roman" w:hAnsi="Times New Roman"/>
          <w:color w:val="000000" w:themeColor="text1"/>
          <w:sz w:val="16"/>
          <w:szCs w:val="16"/>
        </w:rPr>
        <w:softHyphen/>
        <w:t>вестного как И-5 №18, стало вооружение: верхние пулеметы были разнесены шире на 40 мм, а нижние заключены в трубы. Испы</w:t>
      </w:r>
      <w:r w:rsidRPr="005E779E">
        <w:rPr>
          <w:rFonts w:ascii="Times New Roman" w:hAnsi="Times New Roman"/>
          <w:color w:val="000000" w:themeColor="text1"/>
          <w:sz w:val="16"/>
          <w:szCs w:val="16"/>
        </w:rPr>
        <w:softHyphen/>
        <w:t>тания в НИИ ВВС И-5 № 18 с двигателем М-15 №6 начались 30 июля и были прерваны 15 августа 1931 года по причине поломки мо</w:t>
      </w:r>
      <w:r w:rsidRPr="005E779E">
        <w:rPr>
          <w:rFonts w:ascii="Times New Roman" w:hAnsi="Times New Roman"/>
          <w:color w:val="000000" w:themeColor="text1"/>
          <w:sz w:val="16"/>
          <w:szCs w:val="16"/>
        </w:rPr>
        <w:softHyphen/>
        <w:t>торамы. После ремонта самолет предъявили к тестированию с новым двигателем - М-15 №24109. Полеты начались 10 октября, а че</w:t>
      </w:r>
      <w:r w:rsidRPr="005E779E">
        <w:rPr>
          <w:rFonts w:ascii="Times New Roman" w:hAnsi="Times New Roman"/>
          <w:color w:val="000000" w:themeColor="text1"/>
          <w:sz w:val="16"/>
          <w:szCs w:val="16"/>
        </w:rPr>
        <w:softHyphen/>
        <w:t>рез несколько дней самолет потерпел аварию при выполнении вынужденной посад</w:t>
      </w:r>
      <w:r w:rsidRPr="005E779E">
        <w:rPr>
          <w:rFonts w:ascii="Times New Roman" w:hAnsi="Times New Roman"/>
          <w:color w:val="000000" w:themeColor="text1"/>
          <w:sz w:val="16"/>
          <w:szCs w:val="16"/>
        </w:rPr>
        <w:softHyphen/>
        <w:t>ки. Дальнейшая судьба машины не просле</w:t>
      </w:r>
      <w:r w:rsidRPr="005E779E">
        <w:rPr>
          <w:rFonts w:ascii="Times New Roman" w:hAnsi="Times New Roman"/>
          <w:color w:val="000000" w:themeColor="text1"/>
          <w:sz w:val="16"/>
          <w:szCs w:val="16"/>
        </w:rPr>
        <w:softHyphen/>
        <w:t>живается, однако из переписки завода №39 известно, что какой-то И-5 с М-15 потерпел аварию и не восстанавливался (вероятно это был И-5 №18) (12295).</w:t>
      </w:r>
    </w:p>
    <w:p w14:paraId="46D8A43C" w14:textId="77777777" w:rsidR="00E454FF" w:rsidRPr="005E779E" w:rsidRDefault="00E454FF" w:rsidP="000B7A6C">
      <w:pPr>
        <w:spacing w:after="0" w:line="240" w:lineRule="auto"/>
        <w:jc w:val="both"/>
        <w:rPr>
          <w:rFonts w:ascii="Times New Roman" w:hAnsi="Times New Roman"/>
          <w:color w:val="000000" w:themeColor="text1"/>
          <w:sz w:val="16"/>
          <w:szCs w:val="16"/>
        </w:rPr>
      </w:pPr>
    </w:p>
    <w:p w14:paraId="002162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мая 1931 осуществлен первый в СССР испытательный спуск человека (Л.Г.Минов) на парашюте в море (237,161).</w:t>
      </w:r>
    </w:p>
    <w:p w14:paraId="1BC0EE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03FD8BB" w14:textId="77777777" w:rsidR="001D074B" w:rsidRPr="005E779E" w:rsidRDefault="001D074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мая 1931 г. летчик-парашютист Л.Г.Минов совершил первый в СССР спуск на парашюте в море /Одесса/ с целью изучения способа приводнения с парашютом и освобождения от него. Опыт приводнения показал пригодность</w:t>
      </w:r>
    </w:p>
    <w:p w14:paraId="3C6A4B43" w14:textId="77777777" w:rsidR="001D074B" w:rsidRPr="005E779E" w:rsidRDefault="001D074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 парашюта в случае вынужденного спуска на воду и был использован при разработке методики парашютных прыжков на воду.</w:t>
      </w:r>
    </w:p>
    <w:p w14:paraId="54D60E33" w14:textId="77777777" w:rsidR="001D074B" w:rsidRPr="005E779E" w:rsidRDefault="001D074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 лет», 1934 № 7, статья Л.Г.Минова/ (23370).</w:t>
      </w:r>
    </w:p>
    <w:p w14:paraId="32EB9198" w14:textId="77777777" w:rsidR="001D074B" w:rsidRPr="005E779E" w:rsidRDefault="001D074B" w:rsidP="000B7A6C">
      <w:pPr>
        <w:spacing w:after="0" w:line="240" w:lineRule="auto"/>
        <w:jc w:val="both"/>
        <w:rPr>
          <w:rFonts w:ascii="Times New Roman" w:hAnsi="Times New Roman"/>
          <w:color w:val="000000" w:themeColor="text1"/>
          <w:sz w:val="16"/>
          <w:szCs w:val="16"/>
        </w:rPr>
      </w:pPr>
    </w:p>
    <w:p w14:paraId="537E48A2" w14:textId="77777777" w:rsidR="00E454FF"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2EB5429F" w14:textId="77777777" w:rsidR="00E454FF" w:rsidRPr="005E779E" w:rsidRDefault="00E454FF"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AC9AA72" w14:textId="77777777" w:rsidR="00E454FF" w:rsidRPr="005E779E" w:rsidRDefault="00E454FF"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6 мая 1931 </w:t>
      </w:r>
      <w:r w:rsidRPr="005E779E">
        <w:rPr>
          <w:rFonts w:ascii="Times New Roman" w:hAnsi="Times New Roman"/>
          <w:color w:val="000000" w:themeColor="text1"/>
          <w:sz w:val="16"/>
          <w:szCs w:val="16"/>
        </w:rPr>
        <w:t>Политбюро ЦК ВКП (б) одобрило проект приказа ВСНХ о мерах по упорядочению производства на Сталинградском тракторном заводе; приняло постановление о снабжении Москвы и Ленинграда топливом на 1931 г (12265).</w:t>
      </w:r>
    </w:p>
    <w:p w14:paraId="259CCBB4" w14:textId="77777777" w:rsidR="00E454FF" w:rsidRPr="005E779E" w:rsidRDefault="00E454F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0B3F8EA3"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Внешняя политика:</w:t>
      </w:r>
    </w:p>
    <w:p w14:paraId="204FB951"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D85117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мая 1931 был возобновлен советско-литовский договор о ненападении (3908,335), заключенного 28 сент. 1926 на 5 лет.</w:t>
      </w:r>
    </w:p>
    <w:p w14:paraId="64FB2505"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1C80C28" w14:textId="77777777" w:rsidR="00B03615" w:rsidRPr="005E779E" w:rsidRDefault="00B0361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мая 1931 возобновление советско-литовского договора о ненападении, заключенного 28 сентября 1926 года на 5 лет (12629).</w:t>
      </w:r>
    </w:p>
    <w:p w14:paraId="42871E1E" w14:textId="77777777" w:rsidR="00B03615" w:rsidRPr="005E779E" w:rsidRDefault="00B03615"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49B3898"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61D6F4EF"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E7F6D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мая 1931 года Комиссия Обороны СССР проанализировала ситуацию вокруг ГХПЗ и рассмотрела вопрос о возможном производстве на заводе танков БТ ("Кристи") (10278).</w:t>
      </w:r>
    </w:p>
    <w:p w14:paraId="498E6C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7EB95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мая 1931 года Комиссия Обороны СССР проанализировала ситуацию вокруг ГХПЗ и рассмотрела вопрос о возможном производстве на заводе танков БТ ("Кристи"). По приказу Народного комиссара военных и морских дел 17 мая 1931 года начальником УММ РККА был утвержденный план организации серийного производства танков БТ на ГХПЗ. Этот план стал основанием для Приказа ВСНХ СССР № 37 от 21 мая 1931 года об обеспечении организации производства танков БТ на ГХПЗ и создание специального конструкторского бюро БТ на базе конструкторского бюро Т2К (10710).</w:t>
      </w:r>
    </w:p>
    <w:p w14:paraId="23DC67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9812C09"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4B834237"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59015DF" w14:textId="77777777" w:rsidR="00E454FF" w:rsidRPr="005E779E" w:rsidRDefault="00E454FF"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7 мая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Постановление СТО СССР № 82сс о перевозке грузов по железным дорогам в военное время (ГА РФ. Ф. Р?8418. Оп. 28, Д. 1а. Л. 19?23) (12415).</w:t>
      </w:r>
    </w:p>
    <w:p w14:paraId="03A3AFFB" w14:textId="77777777" w:rsidR="00E454FF" w:rsidRPr="005E779E" w:rsidRDefault="00E454FF"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Постановление СТО СССР № 93сс о выделении строительных материалов для укрепрайонов, казарм, строительства ОГПУ (ГА РФ, Ф. Р?8418. Оп. 28. Д. 1а. Л. 24?29) (12415).</w:t>
      </w:r>
    </w:p>
    <w:p w14:paraId="39A2EADA" w14:textId="77777777" w:rsidR="00E454FF" w:rsidRPr="005E779E" w:rsidRDefault="00E454FF" w:rsidP="000B7A6C">
      <w:pPr>
        <w:spacing w:after="0" w:line="240" w:lineRule="auto"/>
        <w:jc w:val="both"/>
        <w:rPr>
          <w:rFonts w:ascii="Times New Roman" w:hAnsi="Times New Roman"/>
          <w:color w:val="000000" w:themeColor="text1"/>
          <w:sz w:val="16"/>
          <w:szCs w:val="16"/>
          <w:u w:color="002060"/>
        </w:rPr>
      </w:pPr>
    </w:p>
    <w:p w14:paraId="3A188F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мая 1931 г. Приказом ВСНХ СССР в составе объединения «Союзнефть» был образован трест нефтяного бурового и эксплуатационного оборудования «Нефтемаштрест». Еще одним трестом стал «Трест по разведкам и бурению» (11522).</w:t>
      </w:r>
    </w:p>
    <w:p w14:paraId="5B4BC7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C50385D" w14:textId="77777777" w:rsidR="00A24023" w:rsidRPr="005E779E" w:rsidRDefault="00A24023" w:rsidP="000B7A6C">
      <w:pPr>
        <w:autoSpaceDE w:val="0"/>
        <w:autoSpaceDN w:val="0"/>
        <w:adjustRightInd w:val="0"/>
        <w:spacing w:after="0" w:line="240" w:lineRule="auto"/>
        <w:jc w:val="both"/>
        <w:rPr>
          <w:rFonts w:ascii="Times New Roman" w:hAnsi="Times New Roman"/>
          <w:i/>
          <w:iCs/>
          <w:color w:val="000000" w:themeColor="text1"/>
          <w:sz w:val="16"/>
          <w:szCs w:val="16"/>
        </w:rPr>
      </w:pPr>
    </w:p>
    <w:p w14:paraId="7133F53A" w14:textId="77777777" w:rsidR="00A24023" w:rsidRPr="005E779E" w:rsidRDefault="00A24023"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71539739" w14:textId="77777777" w:rsidR="00A24023" w:rsidRPr="005E779E" w:rsidRDefault="00A24023"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C8F35A1" w14:textId="6BE48E11" w:rsidR="00A24023" w:rsidRPr="005E779E" w:rsidRDefault="00A2402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первых числах мая 1931 г. в Персии состоялся второй этап персидского конкурса на самолет-разведчик. Несмотря на участие в конкурсе новых конкурентов, он был выигран советской машиной. Однако заказа не последовало – иранская сторона была не согласна с тем, что в качестве аванса ей придется выплачивать две трети его стоимости, а также ожидала результатов переговоров, которые велись во Франции. В беседе с А.И. Бенедиктовым в декабре 1931 г. министр двора заявил: «Ваш самолет нам нравится и мы думаем его купить, но мы должны еще посоветоваться…». Лишь полтора года спустя после конкурса – осенью 1932 г. – военное министерство заключило с СССР контракт на поставку 10 Р-5, а также партии зенитных орудий. Предложение организовать производство самолетов на месте иранская сторона отклонила. Все экспортные машины для Ирана оснащались немецкими двигателями BMW VI и пулеметами «Льюис» в задней кабине. На первом самолете </w:t>
      </w:r>
      <w:r w:rsidRPr="005E779E">
        <w:rPr>
          <w:rFonts w:ascii="Times New Roman" w:hAnsi="Times New Roman"/>
          <w:color w:val="000000" w:themeColor="text1"/>
          <w:sz w:val="16"/>
          <w:szCs w:val="16"/>
        </w:rPr>
        <w:lastRenderedPageBreak/>
        <w:t>28 мая 1933 г. успешно завершил перелет Москва-Тегеран иранский летчик А. Макуи, выпускник Качинской летной школы, остальные машины перевозились в разобранном виде по железной дороге, а затем – через Каспийское море в порт Пехлеви. В качестве боевых они использовались в ВВС Ирана до конца 1934 г. (24334).</w:t>
      </w:r>
    </w:p>
    <w:p w14:paraId="7D09466A" w14:textId="77777777" w:rsidR="00A24023" w:rsidRPr="005E779E" w:rsidRDefault="00A24023" w:rsidP="000B7A6C">
      <w:pPr>
        <w:spacing w:after="0" w:line="240" w:lineRule="auto"/>
        <w:jc w:val="both"/>
        <w:rPr>
          <w:rFonts w:ascii="Times New Roman" w:hAnsi="Times New Roman"/>
          <w:color w:val="000000" w:themeColor="text1"/>
          <w:sz w:val="16"/>
          <w:szCs w:val="16"/>
        </w:rPr>
      </w:pPr>
    </w:p>
    <w:p w14:paraId="0520C95F" w14:textId="1973033F"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55D9EE18"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48FEB7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мая 1931 в Италии издан закон, по которому в военное время все подданные обязаны участвовать в национальной обороне (4963 ).</w:t>
      </w:r>
    </w:p>
    <w:p w14:paraId="4049A29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EED9E3" w14:textId="77777777" w:rsidR="007E669C"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5D29B64D" w14:textId="77777777" w:rsidR="007E669C" w:rsidRPr="005E779E" w:rsidRDefault="007E669C"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44383D6" w14:textId="77777777" w:rsidR="00E454FF" w:rsidRPr="005E779E" w:rsidRDefault="00E454FF" w:rsidP="000B7A6C">
      <w:pPr>
        <w:pStyle w:val="rtejustify"/>
        <w:spacing w:before="0" w:after="0"/>
        <w:rPr>
          <w:color w:val="000000" w:themeColor="text1"/>
          <w:sz w:val="16"/>
          <w:szCs w:val="16"/>
        </w:rPr>
      </w:pPr>
      <w:r w:rsidRPr="005E779E">
        <w:rPr>
          <w:rStyle w:val="af0"/>
          <w:i w:val="0"/>
          <w:color w:val="000000" w:themeColor="text1"/>
          <w:sz w:val="16"/>
          <w:szCs w:val="16"/>
        </w:rPr>
        <w:t>8 мая 1931 г. Протокол Реввоенсовета № 16.</w:t>
      </w:r>
      <w:r w:rsidRPr="005E779E">
        <w:rPr>
          <w:color w:val="000000" w:themeColor="text1"/>
          <w:sz w:val="16"/>
          <w:szCs w:val="16"/>
        </w:rPr>
        <w:t xml:space="preserve"> 1. О танковой программе 1931 года (Ворошилов). 6. Накопление запасов авиабомб (Триандафилов). 13. Об автоматической винтовке (Уборевич). 14. О 100</w:t>
      </w:r>
      <w:r w:rsidRPr="005E779E">
        <w:rPr>
          <w:color w:val="000000" w:themeColor="text1"/>
          <w:sz w:val="16"/>
          <w:szCs w:val="16"/>
        </w:rPr>
        <w:noBreakHyphen/>
        <w:t>мм зенитной пушке. (Леонов). (РГВА. Ф. 4. Оп. 18. Д. 20. Л. 254, 255, 256) (12342).</w:t>
      </w:r>
    </w:p>
    <w:p w14:paraId="4D2576BE" w14:textId="77777777" w:rsidR="00E454FF" w:rsidRPr="005E779E" w:rsidRDefault="00E454FF" w:rsidP="000B7A6C">
      <w:pPr>
        <w:pStyle w:val="rtejustify"/>
        <w:spacing w:before="0" w:after="0"/>
        <w:rPr>
          <w:color w:val="000000" w:themeColor="text1"/>
          <w:sz w:val="16"/>
          <w:szCs w:val="16"/>
        </w:rPr>
      </w:pPr>
    </w:p>
    <w:p w14:paraId="3149343C" w14:textId="77777777" w:rsidR="007E669C"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6065BA23" w14:textId="77777777" w:rsidR="007E669C" w:rsidRPr="005E779E" w:rsidRDefault="007E669C"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9A2B079" w14:textId="77777777" w:rsidR="007E669C" w:rsidRPr="005E779E" w:rsidRDefault="007E669C" w:rsidP="000B7A6C">
      <w:pPr>
        <w:pStyle w:val="1010"/>
        <w:shd w:val="clear" w:color="auto" w:fill="auto"/>
        <w:spacing w:line="240" w:lineRule="auto"/>
        <w:ind w:firstLine="0"/>
        <w:rPr>
          <w:rFonts w:ascii="Times New Roman" w:hAnsi="Times New Roman" w:cs="Times New Roman"/>
          <w:i w:val="0"/>
          <w:color w:val="000000" w:themeColor="text1"/>
          <w:sz w:val="16"/>
          <w:szCs w:val="16"/>
        </w:rPr>
      </w:pPr>
      <w:r w:rsidRPr="005E779E">
        <w:rPr>
          <w:rStyle w:val="1030"/>
          <w:rFonts w:ascii="Times New Roman" w:eastAsia="Arial Unicode MS" w:hAnsi="Times New Roman" w:cs="Times New Roman"/>
          <w:i w:val="0"/>
          <w:iCs w:val="0"/>
          <w:color w:val="000000" w:themeColor="text1"/>
          <w:sz w:val="16"/>
          <w:szCs w:val="16"/>
        </w:rPr>
        <w:t>8 мая 1931 г. в протоколе совещания в Реввоенсовете об изменении танковой программы от по вопросу о среднем тан</w:t>
      </w:r>
      <w:r w:rsidRPr="005E779E">
        <w:rPr>
          <w:rStyle w:val="1030"/>
          <w:rFonts w:ascii="Times New Roman" w:eastAsia="Arial Unicode MS" w:hAnsi="Times New Roman" w:cs="Times New Roman"/>
          <w:i w:val="0"/>
          <w:iCs w:val="0"/>
          <w:color w:val="000000" w:themeColor="text1"/>
          <w:sz w:val="16"/>
          <w:szCs w:val="16"/>
        </w:rPr>
        <w:softHyphen/>
        <w:t>ке указывалось:</w:t>
      </w:r>
      <w:r w:rsidRPr="005E779E">
        <w:rPr>
          <w:rFonts w:ascii="Times New Roman" w:hAnsi="Times New Roman" w:cs="Times New Roman"/>
          <w:i w:val="0"/>
          <w:color w:val="000000" w:themeColor="text1"/>
          <w:sz w:val="16"/>
          <w:szCs w:val="16"/>
        </w:rPr>
        <w:t xml:space="preserve"> «Средний 12-тонный танк Виккерса, приобретенный нами, предназначенный, очевидно, специально для колониальных войск (слабое бронирование и вооружение), по своим боевым качествам не подходит к нашей системе танкового вооружения».</w:t>
      </w:r>
      <w:r w:rsidRPr="005E779E">
        <w:rPr>
          <w:rStyle w:val="1030"/>
          <w:rFonts w:ascii="Times New Roman" w:eastAsia="Arial Unicode MS" w:hAnsi="Times New Roman" w:cs="Times New Roman"/>
          <w:i w:val="0"/>
          <w:iCs w:val="0"/>
          <w:color w:val="000000" w:themeColor="text1"/>
          <w:sz w:val="16"/>
          <w:szCs w:val="16"/>
        </w:rPr>
        <w:t xml:space="preserve"> Далее предлагалось</w:t>
      </w:r>
      <w:r w:rsidRPr="005E779E">
        <w:rPr>
          <w:rFonts w:ascii="Times New Roman" w:hAnsi="Times New Roman" w:cs="Times New Roman"/>
          <w:i w:val="0"/>
          <w:color w:val="000000" w:themeColor="text1"/>
          <w:sz w:val="16"/>
          <w:szCs w:val="16"/>
        </w:rPr>
        <w:t xml:space="preserve"> «просить пра</w:t>
      </w:r>
      <w:r w:rsidRPr="005E779E">
        <w:rPr>
          <w:rFonts w:ascii="Times New Roman" w:hAnsi="Times New Roman" w:cs="Times New Roman"/>
          <w:i w:val="0"/>
          <w:color w:val="000000" w:themeColor="text1"/>
          <w:sz w:val="16"/>
          <w:szCs w:val="16"/>
        </w:rPr>
        <w:softHyphen/>
        <w:t>вительство разрешить приобрести новый 16-тонный средний танк Виккер</w:t>
      </w:r>
      <w:r w:rsidRPr="005E779E">
        <w:rPr>
          <w:rFonts w:ascii="Times New Roman" w:hAnsi="Times New Roman" w:cs="Times New Roman"/>
          <w:i w:val="0"/>
          <w:color w:val="000000" w:themeColor="text1"/>
          <w:sz w:val="16"/>
          <w:szCs w:val="16"/>
        </w:rPr>
        <w:softHyphen/>
        <w:t>са, о котором только теперь наметало известно, приближающийся по бро</w:t>
      </w:r>
      <w:r w:rsidRPr="005E779E">
        <w:rPr>
          <w:rFonts w:ascii="Times New Roman" w:hAnsi="Times New Roman" w:cs="Times New Roman"/>
          <w:i w:val="0"/>
          <w:color w:val="000000" w:themeColor="text1"/>
          <w:sz w:val="16"/>
          <w:szCs w:val="16"/>
        </w:rPr>
        <w:softHyphen/>
        <w:t>не, скороходности и вооружению к нашим требованиям» (15744).</w:t>
      </w:r>
    </w:p>
    <w:p w14:paraId="3158F10B" w14:textId="77777777" w:rsidR="007E669C" w:rsidRPr="005E779E" w:rsidRDefault="007E669C" w:rsidP="000B7A6C">
      <w:pPr>
        <w:pStyle w:val="1010"/>
        <w:shd w:val="clear" w:color="auto" w:fill="auto"/>
        <w:spacing w:line="240" w:lineRule="auto"/>
        <w:ind w:firstLine="0"/>
        <w:rPr>
          <w:rFonts w:ascii="Times New Roman" w:hAnsi="Times New Roman" w:cs="Times New Roman"/>
          <w:i w:val="0"/>
          <w:color w:val="000000" w:themeColor="text1"/>
          <w:sz w:val="16"/>
          <w:szCs w:val="16"/>
        </w:rPr>
      </w:pPr>
    </w:p>
    <w:p w14:paraId="3C23F9BB" w14:textId="77777777" w:rsidR="007503C7" w:rsidRPr="005E779E" w:rsidRDefault="007503C7" w:rsidP="000B7A6C">
      <w:pPr>
        <w:pStyle w:val="ae"/>
        <w:shd w:val="clear" w:color="auto" w:fill="FFFFFF"/>
        <w:spacing w:before="0" w:after="0"/>
        <w:jc w:val="both"/>
        <w:rPr>
          <w:color w:val="000000" w:themeColor="text1"/>
          <w:sz w:val="16"/>
          <w:szCs w:val="16"/>
        </w:rPr>
      </w:pPr>
      <w:r w:rsidRPr="005E779E">
        <w:rPr>
          <w:color w:val="000000" w:themeColor="text1"/>
          <w:sz w:val="16"/>
          <w:szCs w:val="16"/>
        </w:rPr>
        <w:t>8 мая 1931 года состоялось заседание Реввоенсовета СССР, посвящённое изменениям в танковой программе. На нём было принято решение оставить за Мотовилихинским заводом доделку 10 танков и более танковых заказов ему не давать. На Мотовилихинском машиностроительном заводе было построено 12 танков третьей серии и 15 танков четвёртой серии. То, что нормальных темпов танкового производства здесь достичь не удастся, стало ясно весной 1931 года.</w:t>
      </w:r>
    </w:p>
    <w:p w14:paraId="4B304064" w14:textId="77777777" w:rsidR="007503C7" w:rsidRPr="005E779E" w:rsidRDefault="007503C7" w:rsidP="000B7A6C">
      <w:pPr>
        <w:pStyle w:val="ae"/>
        <w:shd w:val="clear" w:color="auto" w:fill="FFFFFF"/>
        <w:spacing w:before="0" w:after="0"/>
        <w:jc w:val="both"/>
        <w:rPr>
          <w:color w:val="000000" w:themeColor="text1"/>
          <w:sz w:val="16"/>
          <w:szCs w:val="16"/>
        </w:rPr>
      </w:pPr>
      <w:r w:rsidRPr="005E779E">
        <w:rPr>
          <w:color w:val="000000" w:themeColor="text1"/>
          <w:sz w:val="16"/>
          <w:szCs w:val="16"/>
        </w:rPr>
        <w:t>В общей сложности оба завода построили, включая опытный Т-16, 961 танк. Не без проблем, но советская танковая промышленность смогла сделать даже не шаг, а прыжок. Такого количества танков в этот период не строила ни одна страна мира. СССР вошёл в число ведущих танкостроительных держав (17724).</w:t>
      </w:r>
    </w:p>
    <w:p w14:paraId="152324C8" w14:textId="77777777" w:rsidR="007503C7" w:rsidRPr="005E779E" w:rsidRDefault="007503C7" w:rsidP="000B7A6C">
      <w:pPr>
        <w:spacing w:after="0" w:line="240" w:lineRule="auto"/>
        <w:jc w:val="both"/>
        <w:rPr>
          <w:rFonts w:ascii="Times New Roman" w:eastAsia="Times New Roman" w:hAnsi="Times New Roman"/>
          <w:color w:val="000000" w:themeColor="text1"/>
          <w:sz w:val="16"/>
          <w:szCs w:val="16"/>
          <w:lang w:eastAsia="ru-RU"/>
        </w:rPr>
      </w:pPr>
    </w:p>
    <w:p w14:paraId="0046C814" w14:textId="77777777" w:rsidR="00E454FF" w:rsidRPr="005E779E" w:rsidRDefault="00E454F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мая 1931 г. — Протокол совещания в Реввоенсовете СССР об изменениях в танковой программе 1931 г.</w:t>
      </w:r>
    </w:p>
    <w:p w14:paraId="36765C51" w14:textId="77777777" w:rsidR="00E454FF" w:rsidRPr="005E779E" w:rsidRDefault="00E454F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Совершенно секретно.</w:t>
      </w:r>
    </w:p>
    <w:p w14:paraId="75C059FA" w14:textId="77777777" w:rsidR="00E454FF" w:rsidRPr="005E779E" w:rsidRDefault="00E454F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Присутствовали: т. </w:t>
      </w:r>
      <w:hyperlink r:id="rId89" w:history="1">
        <w:r w:rsidRPr="005E779E">
          <w:rPr>
            <w:rStyle w:val="a5"/>
            <w:rFonts w:ascii="Times New Roman" w:hAnsi="Times New Roman"/>
            <w:color w:val="000000" w:themeColor="text1"/>
            <w:sz w:val="16"/>
            <w:szCs w:val="16"/>
            <w:u w:val="none"/>
          </w:rPr>
          <w:t>Ворошилов</w:t>
        </w:r>
      </w:hyperlink>
      <w:r w:rsidRPr="005E779E">
        <w:rPr>
          <w:rFonts w:ascii="Times New Roman" w:hAnsi="Times New Roman"/>
          <w:color w:val="000000" w:themeColor="text1"/>
          <w:sz w:val="16"/>
          <w:szCs w:val="16"/>
        </w:rPr>
        <w:t xml:space="preserve">, </w:t>
      </w:r>
      <w:hyperlink r:id="rId90" w:history="1">
        <w:r w:rsidRPr="005E779E">
          <w:rPr>
            <w:rStyle w:val="a5"/>
            <w:rFonts w:ascii="Times New Roman" w:hAnsi="Times New Roman"/>
            <w:color w:val="000000" w:themeColor="text1"/>
            <w:sz w:val="16"/>
            <w:szCs w:val="16"/>
            <w:u w:val="none"/>
          </w:rPr>
          <w:t>Уборевич</w:t>
        </w:r>
      </w:hyperlink>
      <w:r w:rsidRPr="005E779E">
        <w:rPr>
          <w:rFonts w:ascii="Times New Roman" w:hAnsi="Times New Roman"/>
          <w:color w:val="000000" w:themeColor="text1"/>
          <w:sz w:val="16"/>
          <w:szCs w:val="16"/>
        </w:rPr>
        <w:t xml:space="preserve">, </w:t>
      </w:r>
      <w:hyperlink r:id="rId91" w:history="1">
        <w:r w:rsidRPr="005E779E">
          <w:rPr>
            <w:rStyle w:val="a5"/>
            <w:rFonts w:ascii="Times New Roman" w:hAnsi="Times New Roman"/>
            <w:color w:val="000000" w:themeColor="text1"/>
            <w:sz w:val="16"/>
            <w:szCs w:val="16"/>
            <w:u w:val="none"/>
          </w:rPr>
          <w:t>Триандафилов</w:t>
        </w:r>
      </w:hyperlink>
      <w:r w:rsidRPr="005E779E">
        <w:rPr>
          <w:rFonts w:ascii="Times New Roman" w:hAnsi="Times New Roman"/>
          <w:color w:val="000000" w:themeColor="text1"/>
          <w:sz w:val="16"/>
          <w:szCs w:val="16"/>
        </w:rPr>
        <w:t xml:space="preserve">, </w:t>
      </w:r>
      <w:hyperlink r:id="rId92" w:history="1">
        <w:r w:rsidRPr="005E779E">
          <w:rPr>
            <w:rStyle w:val="a5"/>
            <w:rFonts w:ascii="Times New Roman" w:hAnsi="Times New Roman"/>
            <w:color w:val="000000" w:themeColor="text1"/>
            <w:sz w:val="16"/>
            <w:szCs w:val="16"/>
            <w:u w:val="none"/>
          </w:rPr>
          <w:t>Мартинович</w:t>
        </w:r>
      </w:hyperlink>
      <w:r w:rsidRPr="005E779E">
        <w:rPr>
          <w:rFonts w:ascii="Times New Roman" w:hAnsi="Times New Roman"/>
          <w:color w:val="000000" w:themeColor="text1"/>
          <w:sz w:val="16"/>
          <w:szCs w:val="16"/>
        </w:rPr>
        <w:t xml:space="preserve">, </w:t>
      </w:r>
      <w:hyperlink r:id="rId93" w:history="1">
        <w:r w:rsidRPr="005E779E">
          <w:rPr>
            <w:rStyle w:val="a5"/>
            <w:rFonts w:ascii="Times New Roman" w:hAnsi="Times New Roman"/>
            <w:color w:val="000000" w:themeColor="text1"/>
            <w:sz w:val="16"/>
            <w:szCs w:val="16"/>
            <w:u w:val="none"/>
          </w:rPr>
          <w:t>Халепский</w:t>
        </w:r>
      </w:hyperlink>
      <w:r w:rsidRPr="005E779E">
        <w:rPr>
          <w:rFonts w:ascii="Times New Roman" w:hAnsi="Times New Roman"/>
          <w:color w:val="000000" w:themeColor="text1"/>
          <w:sz w:val="16"/>
          <w:szCs w:val="16"/>
        </w:rPr>
        <w:t>.</w:t>
      </w:r>
    </w:p>
    <w:p w14:paraId="6F48D024" w14:textId="77777777" w:rsidR="00E454FF" w:rsidRPr="005E779E" w:rsidRDefault="00E454F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Секретарь — т. Литуновский</w:t>
      </w:r>
    </w:p>
    <w:p w14:paraId="5765ECE3" w14:textId="77777777" w:rsidR="00E454FF" w:rsidRPr="005E779E" w:rsidRDefault="00E454F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I. Танкетки Т-27</w:t>
      </w:r>
    </w:p>
    <w:p w14:paraId="7C3DAB62" w14:textId="77777777" w:rsidR="00E454FF" w:rsidRPr="005E779E" w:rsidRDefault="00E454F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Вследствие удачного освоения Т</w:t>
      </w:r>
      <w:r w:rsidRPr="005E779E">
        <w:rPr>
          <w:rFonts w:ascii="Times New Roman" w:hAnsi="Times New Roman"/>
          <w:color w:val="000000" w:themeColor="text1"/>
          <w:sz w:val="16"/>
          <w:szCs w:val="16"/>
        </w:rPr>
        <w:noBreakHyphen/>
        <w:t>27 в массовом производстве и выявившихся хороших боевых качеств танкетки (подвижность, проходимость, возможность установки 37</w:t>
      </w:r>
      <w:r w:rsidRPr="005E779E">
        <w:rPr>
          <w:rFonts w:ascii="Times New Roman" w:hAnsi="Times New Roman"/>
          <w:color w:val="000000" w:themeColor="text1"/>
          <w:sz w:val="16"/>
          <w:szCs w:val="16"/>
        </w:rPr>
        <w:noBreakHyphen/>
        <w:t>мм пушки и т. п.), а также ввиду перехода с Т</w:t>
      </w:r>
      <w:r w:rsidRPr="005E779E">
        <w:rPr>
          <w:rFonts w:ascii="Times New Roman" w:hAnsi="Times New Roman"/>
          <w:color w:val="000000" w:themeColor="text1"/>
          <w:sz w:val="16"/>
          <w:szCs w:val="16"/>
        </w:rPr>
        <w:noBreakHyphen/>
        <w:t>18 на Т</w:t>
      </w:r>
      <w:r w:rsidRPr="005E779E">
        <w:rPr>
          <w:rFonts w:ascii="Times New Roman" w:hAnsi="Times New Roman"/>
          <w:color w:val="000000" w:themeColor="text1"/>
          <w:sz w:val="16"/>
          <w:szCs w:val="16"/>
        </w:rPr>
        <w:noBreakHyphen/>
        <w:t>26, что сокращает программу 1931 г. по малым танкам на 65 машин, и отсутствия пока установленного образца среднего танка считать крайне необходимым увеличение заказа 1931 г. на 200 шт. танкеток. Принять предложение т. Мартиновича о том, что вопрос о возможности принятия промышленностью дополнительного заказа на танкетки может быть решен в конце июня с. г. после окончательного выяснения положения с внедрением в производство на «Большевике» Т</w:t>
      </w:r>
      <w:r w:rsidRPr="005E779E">
        <w:rPr>
          <w:rFonts w:ascii="Times New Roman" w:hAnsi="Times New Roman"/>
          <w:color w:val="000000" w:themeColor="text1"/>
          <w:sz w:val="16"/>
          <w:szCs w:val="16"/>
        </w:rPr>
        <w:noBreakHyphen/>
        <w:t>26 и с постановкой производства броневых корпусов на Подольском заводе. К этому времени МПС ВСНХ проработать этот вопрос и доложить РВСС.</w:t>
      </w:r>
    </w:p>
    <w:p w14:paraId="64E4D685" w14:textId="77777777" w:rsidR="00E454FF" w:rsidRPr="005E779E" w:rsidRDefault="00E454F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Принять к сведению заявление т. Мартиновича, что в исполнение решения правительства от 20 февраля 1931 г.¹* ВСНХ уже теперь подготовляет выпуск в военное время с Нижегородского и 2</w:t>
      </w:r>
      <w:r w:rsidRPr="005E779E">
        <w:rPr>
          <w:rFonts w:ascii="Times New Roman" w:hAnsi="Times New Roman"/>
          <w:color w:val="000000" w:themeColor="text1"/>
          <w:sz w:val="16"/>
          <w:szCs w:val="16"/>
        </w:rPr>
        <w:noBreakHyphen/>
        <w:t>го автозаводов не менее 15 тыс. Т</w:t>
      </w:r>
      <w:r w:rsidRPr="005E779E">
        <w:rPr>
          <w:rFonts w:ascii="Times New Roman" w:hAnsi="Times New Roman"/>
          <w:color w:val="000000" w:themeColor="text1"/>
          <w:sz w:val="16"/>
          <w:szCs w:val="16"/>
        </w:rPr>
        <w:noBreakHyphen/>
        <w:t>27.</w:t>
      </w:r>
    </w:p>
    <w:p w14:paraId="3A069956" w14:textId="77777777" w:rsidR="00E454FF" w:rsidRPr="005E779E" w:rsidRDefault="00E454F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II. Т</w:t>
      </w:r>
      <w:r w:rsidRPr="005E779E">
        <w:rPr>
          <w:rFonts w:ascii="Times New Roman" w:hAnsi="Times New Roman"/>
          <w:color w:val="000000" w:themeColor="text1"/>
          <w:sz w:val="16"/>
          <w:szCs w:val="16"/>
        </w:rPr>
        <w:noBreakHyphen/>
        <w:t>26</w:t>
      </w:r>
    </w:p>
    <w:p w14:paraId="2A355D19" w14:textId="77777777" w:rsidR="00E454FF" w:rsidRPr="005E779E" w:rsidRDefault="00E454F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Признать, что подготовительные работы по установке производства Т</w:t>
      </w:r>
      <w:r w:rsidRPr="005E779E">
        <w:rPr>
          <w:rFonts w:ascii="Times New Roman" w:hAnsi="Times New Roman"/>
          <w:color w:val="000000" w:themeColor="text1"/>
          <w:sz w:val="16"/>
          <w:szCs w:val="16"/>
        </w:rPr>
        <w:noBreakHyphen/>
        <w:t>26 идут вполне нормально и в срок. Заказ оставить прежний (300 машин).</w:t>
      </w:r>
    </w:p>
    <w:p w14:paraId="5C414E4A" w14:textId="77777777" w:rsidR="00E454FF" w:rsidRPr="005E779E" w:rsidRDefault="00E454F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Напомнить МПС ВСНХ, что, по заявлению дирекции завода «Большевик», самым «узким» местом в производстве Т</w:t>
      </w:r>
      <w:r w:rsidRPr="005E779E">
        <w:rPr>
          <w:rFonts w:ascii="Times New Roman" w:hAnsi="Times New Roman"/>
          <w:color w:val="000000" w:themeColor="text1"/>
          <w:sz w:val="16"/>
          <w:szCs w:val="16"/>
        </w:rPr>
        <w:noBreakHyphen/>
        <w:t>26 является ковкий чугун и что вопрос о его получении до сих пор не разрешен. Это создает прямую угрозу своевременного выполнения программы по Т</w:t>
      </w:r>
      <w:r w:rsidRPr="005E779E">
        <w:rPr>
          <w:rFonts w:ascii="Times New Roman" w:hAnsi="Times New Roman"/>
          <w:color w:val="000000" w:themeColor="text1"/>
          <w:sz w:val="16"/>
          <w:szCs w:val="16"/>
        </w:rPr>
        <w:noBreakHyphen/>
        <w:t>26.</w:t>
      </w:r>
    </w:p>
    <w:p w14:paraId="50654E4A" w14:textId="77777777" w:rsidR="00E454FF" w:rsidRPr="005E779E" w:rsidRDefault="00E454F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III. Т-18</w:t>
      </w:r>
    </w:p>
    <w:p w14:paraId="59794BD1" w14:textId="77777777" w:rsidR="00E454FF" w:rsidRPr="005E779E" w:rsidRDefault="00E454F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Ввиду того что Мотовилихинский завод до сих пор не освоил производства танков, а также потому, что танковая программа в 75 машин Т</w:t>
      </w:r>
      <w:r w:rsidRPr="005E779E">
        <w:rPr>
          <w:rFonts w:ascii="Times New Roman" w:hAnsi="Times New Roman"/>
          <w:color w:val="000000" w:themeColor="text1"/>
          <w:sz w:val="16"/>
          <w:szCs w:val="16"/>
        </w:rPr>
        <w:noBreakHyphen/>
        <w:t>18 затрудняет выполнение важнейших артиллерийских заказов, снять с Мотовилихинского завода 65 машин, оставив только 10 шт., по которым уже имеется на заводе задел. Больше танковых заказов на Мотовилиху не давать.</w:t>
      </w:r>
    </w:p>
    <w:p w14:paraId="1D5E7016" w14:textId="77777777" w:rsidR="00E454FF" w:rsidRPr="005E779E" w:rsidRDefault="00E454F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IV. Средний танк</w:t>
      </w:r>
    </w:p>
    <w:p w14:paraId="4AFEC9B1" w14:textId="77777777" w:rsidR="00E454FF" w:rsidRPr="005E779E" w:rsidRDefault="00E454F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Т</w:t>
      </w:r>
      <w:r w:rsidRPr="005E779E">
        <w:rPr>
          <w:rFonts w:ascii="Times New Roman" w:hAnsi="Times New Roman"/>
          <w:color w:val="000000" w:themeColor="text1"/>
          <w:sz w:val="16"/>
          <w:szCs w:val="16"/>
        </w:rPr>
        <w:noBreakHyphen/>
        <w:t>24. А. оставить на 1931 г. заказ по Т</w:t>
      </w:r>
      <w:r w:rsidRPr="005E779E">
        <w:rPr>
          <w:rFonts w:ascii="Times New Roman" w:hAnsi="Times New Roman"/>
          <w:color w:val="000000" w:themeColor="text1"/>
          <w:sz w:val="16"/>
          <w:szCs w:val="16"/>
        </w:rPr>
        <w:noBreakHyphen/>
        <w:t>24 на 80 машин с соответствующим количеством запасных частей (обязательно).</w:t>
      </w:r>
    </w:p>
    <w:p w14:paraId="2B8C7301" w14:textId="77777777" w:rsidR="00E454FF" w:rsidRPr="005E779E" w:rsidRDefault="00E454F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Тов. Мартиновичу немедленно дать ХПЗ точное распоряжение в пределах этого заказа и проследить, чтобы не было лишнего задела, так как больше этих машин производить не будем.</w:t>
      </w:r>
    </w:p>
    <w:p w14:paraId="4624AFD3" w14:textId="77777777" w:rsidR="00E454FF" w:rsidRPr="005E779E" w:rsidRDefault="00E454F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ТГ. А. Доложить КО, что принятое по предложению комиссии по танкам решение о среднем танке ТГ не может быть реализовано в 1931 г., так как до сих пор еще не закончен опытный образец ТГ и пока не представляется возможным определить срок его изготовления. Ввиду этого в 1931 г. не будет стандартного типа среднего танка, который можно было бы поставить на производство.</w:t>
      </w:r>
    </w:p>
    <w:p w14:paraId="087A0FEA" w14:textId="77777777" w:rsidR="00E454FF" w:rsidRPr="005E779E" w:rsidRDefault="00E454F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Средний 12</w:t>
      </w:r>
      <w:r w:rsidRPr="005E779E">
        <w:rPr>
          <w:rFonts w:ascii="Times New Roman" w:hAnsi="Times New Roman"/>
          <w:color w:val="000000" w:themeColor="text1"/>
          <w:sz w:val="16"/>
          <w:szCs w:val="16"/>
        </w:rPr>
        <w:noBreakHyphen/>
        <w:t>тонный танк Виккерса, приобретенный нами, предназначенный, очевидно, специально для колониальных войск (слабое бронирование и вооружение), по своим боевым качествам не подходит к нашей системе танкового вооружения.</w:t>
      </w:r>
    </w:p>
    <w:p w14:paraId="4DC14AD1" w14:textId="77777777" w:rsidR="00E454FF" w:rsidRPr="005E779E" w:rsidRDefault="00E454F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Продолжать форсированными темпами дальнейшую работу над окончанием опытного образца танка ТГ. Принять к сведению график работы, предложенный ПП ОГПУ Ленинградской области.</w:t>
      </w:r>
    </w:p>
    <w:p w14:paraId="0B60005B" w14:textId="77777777" w:rsidR="00E454FF" w:rsidRPr="005E779E" w:rsidRDefault="00E454F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Просить правительство разрешить приобрести новый 16</w:t>
      </w:r>
      <w:r w:rsidRPr="005E779E">
        <w:rPr>
          <w:rFonts w:ascii="Times New Roman" w:hAnsi="Times New Roman"/>
          <w:color w:val="000000" w:themeColor="text1"/>
          <w:sz w:val="16"/>
          <w:szCs w:val="16"/>
        </w:rPr>
        <w:noBreakHyphen/>
        <w:t>тонный средний танк Виккерса, о котором только теперь нам стало известно, приближающийся по броне, скороходности и вооружению к нашим требованиям,</w:t>
      </w:r>
    </w:p>
    <w:p w14:paraId="7CFA6105" w14:textId="77777777" w:rsidR="00E454FF" w:rsidRPr="005E779E" w:rsidRDefault="00E454F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Танк «Кристи». А. Просить разрешения правительства ввести танк «Кристи» в систему авто-броне-танко-тракторного вооружения РККА в качестве быстроходного истребителя (БТ).</w:t>
      </w:r>
    </w:p>
    <w:p w14:paraId="2C690556" w14:textId="77777777" w:rsidR="00E454FF" w:rsidRPr="005E779E" w:rsidRDefault="00E454F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Поручить т. Мартиновичу и Халепскому немедленно проработать вопрос: какое максимальное количество БТ (в имеющемся образце, без всяких изменений) может быть изготовлено уже в текущем году на ХПЗ, имея в виду уменьшение заказа для этого завода по Т</w:t>
      </w:r>
      <w:r w:rsidRPr="005E779E">
        <w:rPr>
          <w:rFonts w:ascii="Times New Roman" w:hAnsi="Times New Roman"/>
          <w:color w:val="000000" w:themeColor="text1"/>
          <w:sz w:val="16"/>
          <w:szCs w:val="16"/>
        </w:rPr>
        <w:noBreakHyphen/>
        <w:t>24 на 220 машин.</w:t>
      </w:r>
    </w:p>
    <w:p w14:paraId="53FE8C48" w14:textId="77777777" w:rsidR="00E454FF" w:rsidRPr="005E779E" w:rsidRDefault="00E454F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Одновременно обязать УММ возможно форсировать работы по модернизации танка «Кристи».</w:t>
      </w:r>
    </w:p>
    <w:p w14:paraId="67589067" w14:textId="77777777" w:rsidR="00E454FF" w:rsidRPr="005E779E" w:rsidRDefault="00E454F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V. О тяжелом танке</w:t>
      </w:r>
    </w:p>
    <w:p w14:paraId="4BA8AEFC" w14:textId="77777777" w:rsidR="00E454FF" w:rsidRPr="005E779E" w:rsidRDefault="00E454F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A. Признать необходимым иметь на вооружении РККА, хотя бы в ограниченном количестве тяжелые танки.</w:t>
      </w:r>
    </w:p>
    <w:p w14:paraId="214DE525" w14:textId="77777777" w:rsidR="00E454FF" w:rsidRPr="005E779E" w:rsidRDefault="00E454F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Обязать УММ уже в текущем году обязательно достать сведения о тяжелом танке в Италии, Англии и, если возможно, во Франции, поставив задачей закупить образец этого танка или хотя бы чертежи.</w:t>
      </w:r>
    </w:p>
    <w:p w14:paraId="445C8FFD" w14:textId="77777777" w:rsidR="00E454FF" w:rsidRPr="005E779E" w:rsidRDefault="00E454F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B. Одновременно вести самостоятельные работы по конструкции тяжелого танка.</w:t>
      </w:r>
    </w:p>
    <w:p w14:paraId="2E0CA4B1" w14:textId="77777777" w:rsidR="00E454FF" w:rsidRPr="005E779E" w:rsidRDefault="00E454F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VI. О моторном заводе для средних танков</w:t>
      </w:r>
    </w:p>
    <w:p w14:paraId="3616F497" w14:textId="77777777" w:rsidR="00E454FF" w:rsidRPr="005E779E" w:rsidRDefault="00E454F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Просить правительство изменить свое решение от 20 февраля 1931 г. и разрешить проектировать моторный завод под мотор М</w:t>
      </w:r>
      <w:r w:rsidRPr="005E779E">
        <w:rPr>
          <w:rFonts w:ascii="Times New Roman" w:hAnsi="Times New Roman"/>
          <w:color w:val="000000" w:themeColor="text1"/>
          <w:sz w:val="16"/>
          <w:szCs w:val="16"/>
        </w:rPr>
        <w:noBreakHyphen/>
        <w:t>5 («Либерти») вместо ранее принятого мотора М</w:t>
      </w:r>
      <w:r w:rsidRPr="005E779E">
        <w:rPr>
          <w:rFonts w:ascii="Times New Roman" w:hAnsi="Times New Roman"/>
          <w:color w:val="000000" w:themeColor="text1"/>
          <w:sz w:val="16"/>
          <w:szCs w:val="16"/>
        </w:rPr>
        <w:noBreakHyphen/>
        <w:t>6 («Испано-Сюисс»).</w:t>
      </w:r>
    </w:p>
    <w:p w14:paraId="29B219FA" w14:textId="77777777" w:rsidR="00E454FF" w:rsidRPr="005E779E" w:rsidRDefault="00E454F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Обязать начальника УВВС т. </w:t>
      </w:r>
      <w:hyperlink r:id="rId94" w:history="1">
        <w:r w:rsidRPr="005E779E">
          <w:rPr>
            <w:rStyle w:val="a5"/>
            <w:rFonts w:ascii="Times New Roman" w:hAnsi="Times New Roman"/>
            <w:color w:val="000000" w:themeColor="text1"/>
            <w:sz w:val="16"/>
            <w:szCs w:val="16"/>
            <w:u w:val="none"/>
          </w:rPr>
          <w:t>Баранова П. И</w:t>
        </w:r>
      </w:hyperlink>
      <w:r w:rsidRPr="005E779E">
        <w:rPr>
          <w:rFonts w:ascii="Times New Roman" w:hAnsi="Times New Roman"/>
          <w:color w:val="000000" w:themeColor="text1"/>
          <w:sz w:val="16"/>
          <w:szCs w:val="16"/>
        </w:rPr>
        <w:t>. выделить из своих запасов для танковой программы 1931 г. 150 новых моторов М</w:t>
      </w:r>
      <w:r w:rsidRPr="005E779E">
        <w:rPr>
          <w:rFonts w:ascii="Times New Roman" w:hAnsi="Times New Roman"/>
          <w:color w:val="000000" w:themeColor="text1"/>
          <w:sz w:val="16"/>
          <w:szCs w:val="16"/>
        </w:rPr>
        <w:noBreakHyphen/>
        <w:t>5 и передать их в ведение т. Халепского.</w:t>
      </w:r>
    </w:p>
    <w:p w14:paraId="309B4C7C" w14:textId="77777777" w:rsidR="00E454FF" w:rsidRPr="005E779E" w:rsidRDefault="00E454F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VII. О броне</w:t>
      </w:r>
    </w:p>
    <w:p w14:paraId="50D20185" w14:textId="77777777" w:rsidR="00E454FF" w:rsidRPr="005E779E" w:rsidRDefault="00E454FF" w:rsidP="000B7A6C">
      <w:pPr>
        <w:pStyle w:val="rtejustify"/>
        <w:spacing w:before="0" w:after="0"/>
        <w:rPr>
          <w:color w:val="000000" w:themeColor="text1"/>
          <w:sz w:val="16"/>
          <w:szCs w:val="16"/>
        </w:rPr>
      </w:pPr>
      <w:r w:rsidRPr="005E779E">
        <w:rPr>
          <w:color w:val="000000" w:themeColor="text1"/>
          <w:sz w:val="16"/>
          <w:szCs w:val="16"/>
        </w:rPr>
        <w:t xml:space="preserve">Доложить правительству, что задание о цементации железа против бронебойных пуль выполнено. Также выполнено задание правительства по получению брони </w:t>
      </w:r>
      <w:r w:rsidRPr="005E779E">
        <w:rPr>
          <w:rStyle w:val="af0"/>
          <w:i w:val="0"/>
          <w:color w:val="000000" w:themeColor="text1"/>
          <w:sz w:val="16"/>
          <w:szCs w:val="16"/>
        </w:rPr>
        <w:t>с</w:t>
      </w:r>
      <w:r w:rsidRPr="005E779E">
        <w:rPr>
          <w:color w:val="000000" w:themeColor="text1"/>
          <w:sz w:val="16"/>
          <w:szCs w:val="16"/>
        </w:rPr>
        <w:t xml:space="preserve"> пониженным содержанием ферросплавов. Работы по цементации сталистого железа для защиты от бронебойных мелкокалиберных снарядов продолжаются. По заявлению т. Мартиновича, полный переход на массовое изготовление брони из цементированного железа и цементированной брони с ферросплавами (марки «Вибрак») будет произведен с июля 1931 г.</w:t>
      </w:r>
    </w:p>
    <w:p w14:paraId="2391284E" w14:textId="77777777" w:rsidR="00E454FF" w:rsidRPr="005E779E" w:rsidRDefault="00E454FF" w:rsidP="000B7A6C">
      <w:pPr>
        <w:pStyle w:val="rtejustify"/>
        <w:spacing w:before="0" w:after="0"/>
        <w:rPr>
          <w:color w:val="000000" w:themeColor="text1"/>
          <w:sz w:val="16"/>
          <w:szCs w:val="16"/>
        </w:rPr>
      </w:pPr>
      <w:r w:rsidRPr="005E779E">
        <w:rPr>
          <w:color w:val="000000" w:themeColor="text1"/>
          <w:sz w:val="16"/>
          <w:szCs w:val="16"/>
        </w:rPr>
        <w:t>Принять к сведению заявление т. Мартиновича, что потребное количество шамотного кирпича для постройки дополнительно 8 термических печей на Ижорском заводе (для производства цементированной брони) заказано 29 апреля 1931 г. за границей.</w:t>
      </w:r>
    </w:p>
    <w:p w14:paraId="12C3FBC6" w14:textId="77777777" w:rsidR="00E454FF" w:rsidRPr="005E779E" w:rsidRDefault="00E454FF" w:rsidP="000B7A6C">
      <w:pPr>
        <w:pStyle w:val="rtejustify"/>
        <w:spacing w:before="0" w:after="0"/>
        <w:rPr>
          <w:color w:val="000000" w:themeColor="text1"/>
          <w:sz w:val="16"/>
          <w:szCs w:val="16"/>
        </w:rPr>
      </w:pPr>
      <w:r w:rsidRPr="005E779E">
        <w:rPr>
          <w:color w:val="000000" w:themeColor="text1"/>
          <w:sz w:val="16"/>
          <w:szCs w:val="16"/>
        </w:rPr>
        <w:t>Тов. Мартиновичу и Халепскому проследить за возможно быстрой реализацией за границей заказа на шамотный кирпич.</w:t>
      </w:r>
    </w:p>
    <w:p w14:paraId="039EA0B1" w14:textId="77777777" w:rsidR="00E454FF" w:rsidRPr="005E779E" w:rsidRDefault="00E454FF" w:rsidP="000B7A6C">
      <w:pPr>
        <w:pStyle w:val="ae"/>
        <w:spacing w:before="0" w:after="0"/>
        <w:jc w:val="both"/>
        <w:rPr>
          <w:color w:val="000000" w:themeColor="text1"/>
          <w:sz w:val="16"/>
          <w:szCs w:val="16"/>
        </w:rPr>
      </w:pPr>
      <w:r w:rsidRPr="005E779E">
        <w:rPr>
          <w:rStyle w:val="af0"/>
          <w:i w:val="0"/>
          <w:color w:val="000000" w:themeColor="text1"/>
          <w:sz w:val="16"/>
          <w:szCs w:val="16"/>
        </w:rPr>
        <w:t>Председатель Ворошилов</w:t>
      </w:r>
    </w:p>
    <w:p w14:paraId="77875DE5" w14:textId="77777777" w:rsidR="00E454FF" w:rsidRPr="005E779E" w:rsidRDefault="00E454FF" w:rsidP="000B7A6C">
      <w:pPr>
        <w:pStyle w:val="ae"/>
        <w:spacing w:before="0" w:after="0"/>
        <w:jc w:val="both"/>
        <w:rPr>
          <w:color w:val="000000" w:themeColor="text1"/>
          <w:sz w:val="16"/>
          <w:szCs w:val="16"/>
        </w:rPr>
      </w:pPr>
      <w:r w:rsidRPr="005E779E">
        <w:rPr>
          <w:rStyle w:val="af0"/>
          <w:i w:val="0"/>
          <w:color w:val="000000" w:themeColor="text1"/>
          <w:sz w:val="16"/>
          <w:szCs w:val="16"/>
        </w:rPr>
        <w:t>Секретарь Литуновский</w:t>
      </w:r>
    </w:p>
    <w:p w14:paraId="1F2A11DB" w14:textId="77777777" w:rsidR="00E454FF" w:rsidRPr="005E779E" w:rsidRDefault="00E454FF" w:rsidP="000B7A6C">
      <w:pPr>
        <w:pStyle w:val="ae"/>
        <w:spacing w:before="0" w:after="0"/>
        <w:jc w:val="both"/>
        <w:rPr>
          <w:color w:val="000000" w:themeColor="text1"/>
          <w:sz w:val="16"/>
          <w:szCs w:val="16"/>
        </w:rPr>
      </w:pPr>
      <w:r w:rsidRPr="005E779E">
        <w:rPr>
          <w:rStyle w:val="af0"/>
          <w:i w:val="0"/>
          <w:color w:val="000000" w:themeColor="text1"/>
          <w:sz w:val="16"/>
          <w:szCs w:val="16"/>
        </w:rPr>
        <w:t>Примечание</w:t>
      </w:r>
      <w:r w:rsidRPr="005E779E">
        <w:rPr>
          <w:color w:val="000000" w:themeColor="text1"/>
          <w:sz w:val="16"/>
          <w:szCs w:val="16"/>
        </w:rPr>
        <w:t>:</w:t>
      </w:r>
    </w:p>
    <w:p w14:paraId="2BFBB52F" w14:textId="77777777" w:rsidR="00E454FF" w:rsidRPr="005E779E" w:rsidRDefault="00E454FF" w:rsidP="000B7A6C">
      <w:pPr>
        <w:pStyle w:val="rtejustify"/>
        <w:spacing w:before="0" w:after="0"/>
        <w:rPr>
          <w:color w:val="000000" w:themeColor="text1"/>
          <w:sz w:val="16"/>
          <w:szCs w:val="16"/>
        </w:rPr>
      </w:pPr>
      <w:r w:rsidRPr="005E779E">
        <w:rPr>
          <w:color w:val="000000" w:themeColor="text1"/>
          <w:sz w:val="16"/>
          <w:szCs w:val="16"/>
          <w:vertAlign w:val="superscript"/>
        </w:rPr>
        <w:t>1</w:t>
      </w:r>
      <w:r w:rsidRPr="005E779E">
        <w:rPr>
          <w:color w:val="000000" w:themeColor="text1"/>
          <w:sz w:val="16"/>
          <w:szCs w:val="16"/>
        </w:rPr>
        <w:t xml:space="preserve">* См. Документ от </w:t>
      </w:r>
      <w:r w:rsidRPr="005E779E">
        <w:rPr>
          <w:rStyle w:val="af0"/>
          <w:i w:val="0"/>
          <w:color w:val="000000" w:themeColor="text1"/>
          <w:sz w:val="16"/>
          <w:szCs w:val="16"/>
        </w:rPr>
        <w:t>20 февраля 1931 г.</w:t>
      </w:r>
      <w:r w:rsidRPr="005E779E">
        <w:rPr>
          <w:color w:val="000000" w:themeColor="text1"/>
          <w:sz w:val="16"/>
          <w:szCs w:val="16"/>
        </w:rPr>
        <w:t xml:space="preserve"> — </w:t>
      </w:r>
      <w:hyperlink r:id="rId95" w:history="1">
        <w:r w:rsidRPr="005E779E">
          <w:rPr>
            <w:color w:val="000000" w:themeColor="text1"/>
            <w:sz w:val="16"/>
            <w:szCs w:val="16"/>
          </w:rPr>
          <w:t>Постановление Политбюро ЦК ВКП(б) «О танковой программе»</w:t>
        </w:r>
      </w:hyperlink>
    </w:p>
    <w:p w14:paraId="72628F82" w14:textId="77777777" w:rsidR="00E454FF" w:rsidRPr="005E779E" w:rsidRDefault="00E454FF" w:rsidP="000B7A6C">
      <w:pPr>
        <w:pStyle w:val="ae"/>
        <w:spacing w:before="0" w:after="0"/>
        <w:jc w:val="both"/>
        <w:rPr>
          <w:color w:val="000000" w:themeColor="text1"/>
          <w:sz w:val="16"/>
          <w:szCs w:val="16"/>
        </w:rPr>
      </w:pPr>
      <w:r w:rsidRPr="005E779E">
        <w:rPr>
          <w:color w:val="000000" w:themeColor="text1"/>
          <w:sz w:val="16"/>
          <w:szCs w:val="16"/>
        </w:rPr>
        <w:lastRenderedPageBreak/>
        <w:t>РГВА. Ф. 4. Оп. 14. Д. 414. Л. 20—22. Заверенная копия.</w:t>
      </w:r>
    </w:p>
    <w:p w14:paraId="4A285A59" w14:textId="77777777" w:rsidR="00E454FF" w:rsidRPr="005E779E" w:rsidRDefault="00E454F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Архив: РГВА. Ф. 4. Оп. 14. Д. 414. Л. 20—22. Заверенная копия. </w:t>
      </w:r>
    </w:p>
    <w:p w14:paraId="091EE65F" w14:textId="77777777" w:rsidR="00E454FF" w:rsidRPr="005E779E" w:rsidRDefault="00E454F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Источник: Становление оборонно-промышленного комплекса СССР (1927-1932). М. 2008, стр. 545-547 (12528).</w:t>
      </w:r>
    </w:p>
    <w:p w14:paraId="01787C6B" w14:textId="77777777" w:rsidR="00E454FF" w:rsidRPr="005E779E" w:rsidRDefault="00E454FF" w:rsidP="000B7A6C">
      <w:pPr>
        <w:spacing w:after="0" w:line="240" w:lineRule="auto"/>
        <w:jc w:val="both"/>
        <w:rPr>
          <w:rFonts w:ascii="Times New Roman" w:hAnsi="Times New Roman"/>
          <w:color w:val="000000" w:themeColor="text1"/>
          <w:sz w:val="16"/>
          <w:szCs w:val="16"/>
        </w:rPr>
      </w:pPr>
    </w:p>
    <w:p w14:paraId="0649C74D" w14:textId="77777777" w:rsidR="00CC487C"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576F91D1" w14:textId="77777777" w:rsidR="00CC487C" w:rsidRPr="005E779E" w:rsidRDefault="00CC487C"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E39D0C7" w14:textId="77777777" w:rsidR="00CC487C" w:rsidRPr="005E779E" w:rsidRDefault="00CC487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мая в 1931 году в Италии издан закон, по которому в военное время все подданные обязаны участвовать в национальной обороне (14885).</w:t>
      </w:r>
    </w:p>
    <w:p w14:paraId="3B0B58AE" w14:textId="77777777" w:rsidR="00CC487C" w:rsidRPr="005E779E" w:rsidRDefault="00CC487C" w:rsidP="000B7A6C">
      <w:pPr>
        <w:spacing w:after="0" w:line="240" w:lineRule="auto"/>
        <w:jc w:val="both"/>
        <w:rPr>
          <w:rFonts w:ascii="Times New Roman" w:hAnsi="Times New Roman"/>
          <w:color w:val="000000" w:themeColor="text1"/>
          <w:sz w:val="16"/>
          <w:szCs w:val="16"/>
        </w:rPr>
      </w:pPr>
    </w:p>
    <w:p w14:paraId="3D55E4C0" w14:textId="77777777" w:rsidR="003562F3"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233575EA" w14:textId="77777777" w:rsidR="003562F3" w:rsidRPr="005E779E" w:rsidRDefault="003562F3"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4F95584" w14:textId="77777777" w:rsidR="003562F3" w:rsidRPr="005E779E" w:rsidRDefault="003562F3" w:rsidP="000B7A6C">
      <w:pPr>
        <w:pStyle w:val="a3"/>
        <w:autoSpaceDE/>
        <w:autoSpaceDN/>
        <w:adjustRightInd/>
        <w:rPr>
          <w:rStyle w:val="66"/>
          <w:rFonts w:ascii="Times New Roman" w:eastAsia="Calibri" w:hAnsi="Times New Roman"/>
          <w:color w:val="000000" w:themeColor="text1"/>
          <w:sz w:val="16"/>
          <w:szCs w:val="16"/>
          <w:lang w:val="ru-RU"/>
        </w:rPr>
      </w:pPr>
      <w:r w:rsidRPr="005E779E">
        <w:rPr>
          <w:color w:val="000000" w:themeColor="text1"/>
          <w:lang w:val="ru-RU"/>
        </w:rPr>
        <w:t>9 мая 1931 Смотровая комиссия оста</w:t>
      </w:r>
      <w:r w:rsidRPr="005E779E">
        <w:rPr>
          <w:color w:val="000000" w:themeColor="text1"/>
          <w:lang w:val="ru-RU"/>
        </w:rPr>
        <w:softHyphen/>
        <w:t>новила свой выбор на земельном участке в 187 га к западу от платформы «Долгопруд</w:t>
      </w:r>
      <w:r w:rsidRPr="005E779E">
        <w:rPr>
          <w:color w:val="000000" w:themeColor="text1"/>
          <w:lang w:val="ru-RU"/>
        </w:rPr>
        <w:softHyphen/>
        <w:t>ная» Савеловской ж/дороги. База начала строиться с деревянного эллинга и летного поля, судя по первому акту инспекторского осмотра хода работ представителями «Аэро</w:t>
      </w:r>
      <w:r w:rsidRPr="005E779E">
        <w:rPr>
          <w:color w:val="000000" w:themeColor="text1"/>
          <w:lang w:val="ru-RU"/>
        </w:rPr>
        <w:softHyphen/>
        <w:t>флота» от 27 июля 1931 г. В Москве и Ле</w:t>
      </w:r>
      <w:r w:rsidRPr="005E779E">
        <w:rPr>
          <w:color w:val="000000" w:themeColor="text1"/>
          <w:lang w:val="ru-RU"/>
        </w:rPr>
        <w:softHyphen/>
        <w:t>нинграде был спешно издан сборник статей «Строим эскадру дирижаблей им. Ленина» с предисловием еще одного «воздухопла</w:t>
      </w:r>
      <w:r w:rsidRPr="005E779E">
        <w:rPr>
          <w:color w:val="000000" w:themeColor="text1"/>
          <w:lang w:val="ru-RU"/>
        </w:rPr>
        <w:softHyphen/>
        <w:t>вателя» - врача Н.А. Семашко. Профессор МГУ с пафосом оратора-большевика вещал на всю голодающую Россию: «Ни секунды нельзя сомневаться, что идея об эскадре дирижаблей будет реализована и уже от себя предложил включить в нее седьмой корабль - «Сталин». Ему вторили строки автора статьи «Дирижабль и Воздухопла</w:t>
      </w:r>
      <w:r w:rsidRPr="005E779E">
        <w:rPr>
          <w:color w:val="000000" w:themeColor="text1"/>
          <w:lang w:val="ru-RU"/>
        </w:rPr>
        <w:softHyphen/>
        <w:t>вание» в Большой советской энциклопедии под редакцией О.Ю. Шмидта: «...</w:t>
      </w:r>
      <w:r w:rsidRPr="005E779E">
        <w:rPr>
          <w:rStyle w:val="66"/>
          <w:rFonts w:ascii="Times New Roman" w:eastAsia="Calibri" w:hAnsi="Times New Roman"/>
          <w:color w:val="000000" w:themeColor="text1"/>
          <w:sz w:val="16"/>
          <w:szCs w:val="16"/>
          <w:lang w:val="ru-RU"/>
        </w:rPr>
        <w:t>Несмотря на большие трудности освоения технологии строительства и эксплуатации цеппелинов, в Советском Союзе имеются все предпосылки для овладения этой вершиной капиталисти</w:t>
      </w:r>
      <w:r w:rsidRPr="005E779E">
        <w:rPr>
          <w:rStyle w:val="66"/>
          <w:rFonts w:ascii="Times New Roman" w:eastAsia="Calibri" w:hAnsi="Times New Roman"/>
          <w:color w:val="000000" w:themeColor="text1"/>
          <w:sz w:val="16"/>
          <w:szCs w:val="16"/>
          <w:lang w:val="ru-RU"/>
        </w:rPr>
        <w:softHyphen/>
        <w:t>ческой промышленности. И можно с полной уверенностью сказать, что в недалеком бу</w:t>
      </w:r>
      <w:r w:rsidRPr="005E779E">
        <w:rPr>
          <w:rStyle w:val="66"/>
          <w:rFonts w:ascii="Times New Roman" w:eastAsia="Calibri" w:hAnsi="Times New Roman"/>
          <w:color w:val="000000" w:themeColor="text1"/>
          <w:sz w:val="16"/>
          <w:szCs w:val="16"/>
          <w:lang w:val="ru-RU"/>
        </w:rPr>
        <w:softHyphen/>
        <w:t>дущем и у нас появятся советские цеппелины в эскадре им. Ленина» (12732).</w:t>
      </w:r>
    </w:p>
    <w:p w14:paraId="7C529C0A" w14:textId="77777777" w:rsidR="003562F3" w:rsidRPr="005E779E" w:rsidRDefault="003562F3" w:rsidP="000B7A6C">
      <w:pPr>
        <w:pStyle w:val="a3"/>
        <w:rPr>
          <w:color w:val="000000" w:themeColor="text1"/>
          <w:lang w:val="ru-RU"/>
        </w:rPr>
      </w:pPr>
    </w:p>
    <w:p w14:paraId="08392BD7" w14:textId="77777777" w:rsidR="00CC487C"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1453827E" w14:textId="77777777" w:rsidR="00CC487C" w:rsidRPr="005E779E" w:rsidRDefault="00CC487C"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2C1D5C4" w14:textId="77777777" w:rsidR="00CC487C" w:rsidRPr="005E779E" w:rsidRDefault="00CC487C" w:rsidP="000B7A6C">
      <w:pPr>
        <w:pStyle w:val="rtejustify"/>
        <w:spacing w:before="0" w:after="0"/>
        <w:rPr>
          <w:color w:val="000000" w:themeColor="text1"/>
          <w:sz w:val="16"/>
          <w:szCs w:val="16"/>
        </w:rPr>
      </w:pPr>
      <w:r w:rsidRPr="005E779E">
        <w:rPr>
          <w:color w:val="000000" w:themeColor="text1"/>
          <w:sz w:val="16"/>
          <w:szCs w:val="16"/>
        </w:rPr>
        <w:t xml:space="preserve">9 мая 1931 г. постановлением СНК СССР «Об организации учетно-статистических работ» в составе Госплана СССР был организован на правах самостоятельного управления Сектор народнохозяйственного учета в качестве центрального руководящего органа в деле учета и статистики. Постановлением ЦИК и СНК СССР от 17 декабря 1931 г. «Об организации Центрального управления народнохозяйственного учета СССР при Госплане СССР» этот сектор был преобразован в </w:t>
      </w:r>
      <w:r w:rsidRPr="005E779E">
        <w:rPr>
          <w:rStyle w:val="af0"/>
          <w:bCs/>
          <w:i w:val="0"/>
          <w:color w:val="000000" w:themeColor="text1"/>
          <w:sz w:val="16"/>
          <w:szCs w:val="16"/>
        </w:rPr>
        <w:t>Центральное управление народнохозяйственного учета (ЦУНХУ) СССР</w:t>
      </w:r>
      <w:r w:rsidRPr="005E779E">
        <w:rPr>
          <w:color w:val="000000" w:themeColor="text1"/>
          <w:sz w:val="16"/>
          <w:szCs w:val="16"/>
        </w:rPr>
        <w:t xml:space="preserve"> при Госплане СССР. Согласно положению, утвержденному 10 марта 1932 г. постановлением СНК СССР № 312, ЦУНХУ при Госплане СССР являлось самостоятельной общесоюзной организацией, централизованно руководящей всем делом статистики и учета в СССР. Вместе с республиканскими и местными статистическими управлениями ЦУНХУ составляло единую систему. Во главе его стоял начальник, утверждаемый ЦИК СССР и являющийся одновременно заместителем председателя Госплана СССР, при начальнике состояли заместители и коллегия из членов, назначаемых СНК СССР. Задачами ЦУНХУ являлись: централизованное руководство в области методологии и организации учетно-статистических работ в СССР, руководство и проведение работ по организации первичного учета и отчетности в соответствии с задачами хозяйственного руководства, систематическое наблюдение за ходом выполнения народно-хозяйственных задач, выполнение статистико-экономических работ и др. Постановлением от 21 мая 1933 г. СНК СССР внес ряд изменений в Положение о ЦУНХУ и его местных органах, полностью подчинив его Госплану СССР. Согласно этому постановлению ЦУНХУ при Госплане СССР было переименовано в ЦУНХУ Госплана СССР. В его составе были следующие секторы: планово-методологический, центральной учетной инспекции, баланса народного хозяйства, текущего учета, учета капитальных работ, учета промышленности, учета сельского хозяйства, учета транспорта и связи, учета труда, учета кадров, культуры и науки, учета населения и здравоохранения, учета городского хозяйства, учета советской торговли, учета финансов. Вопросами статистики военной промышленности занимался сектор спецучета или спецсектор. 2 февраля 1938 г. ЦУНХУ снова было преобразовано в самостоятельное учреждение, которое находилось при Госплане СССР. (СЗ. 1931 1937 вышел приказ НКОП № 28. Ст. 221; № 73. Ст. 488; РГАЭ. Ф. 1562. Оп. 1.Д. 651. Л. 167</w:t>
      </w:r>
      <w:r w:rsidRPr="005E779E">
        <w:rPr>
          <w:color w:val="000000" w:themeColor="text1"/>
          <w:sz w:val="16"/>
          <w:szCs w:val="16"/>
        </w:rPr>
        <w:noBreakHyphen/>
        <w:t>162.) (15342).</w:t>
      </w:r>
    </w:p>
    <w:p w14:paraId="4132B0AC" w14:textId="77777777" w:rsidR="00CC487C" w:rsidRPr="005E779E" w:rsidRDefault="00CC487C"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0B0829C"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1E8F897E"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39A730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мая 1931 был установлен срок сдачи ЦАГИ рабочих чертежей АНТ-8 на завод 31 для военной и пассажирской модификаций - с 1 августа 1931 по 1 января 1932 (7610, 34).</w:t>
      </w:r>
    </w:p>
    <w:p w14:paraId="573C901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7192EF" w14:textId="77777777" w:rsidR="00E454FF"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251EB1F8" w14:textId="77777777" w:rsidR="00E454FF" w:rsidRPr="005E779E" w:rsidRDefault="00E454FF"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59E3416" w14:textId="77777777" w:rsidR="00E454FF" w:rsidRPr="005E779E" w:rsidRDefault="00E454FF"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10 мая 1931. Протокол заседания Политбюро ЦК ВКП(б) № 37. Опросом членов ПБ от 6 мая 1931 г. 45/2. О Сталинградском тракторном заводе. (Политбюро... Т. 2. С. 164) (12416).</w:t>
      </w:r>
    </w:p>
    <w:p w14:paraId="41410449" w14:textId="77777777" w:rsidR="00E454FF" w:rsidRPr="005E779E" w:rsidRDefault="00E454FF" w:rsidP="000B7A6C">
      <w:pPr>
        <w:spacing w:after="0" w:line="240" w:lineRule="auto"/>
        <w:jc w:val="both"/>
        <w:rPr>
          <w:rFonts w:ascii="Times New Roman" w:hAnsi="Times New Roman"/>
          <w:color w:val="000000" w:themeColor="text1"/>
          <w:sz w:val="16"/>
          <w:szCs w:val="16"/>
          <w:u w:color="002060"/>
        </w:rPr>
      </w:pPr>
    </w:p>
    <w:p w14:paraId="764E4B9E" w14:textId="77777777" w:rsidR="00CC487C" w:rsidRPr="005E779E" w:rsidRDefault="00CC487C" w:rsidP="000B7A6C">
      <w:pPr>
        <w:widowControl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 10 мая по 10 июня </w:t>
      </w:r>
      <w:smartTag w:uri="urn:schemas-microsoft-com:office:smarttags" w:element="metricconverter">
        <w:smartTagPr>
          <w:attr w:name="ProductID" w:val="1945 г"/>
        </w:smartTagPr>
        <w:r w:rsidRPr="005E779E">
          <w:rPr>
            <w:rFonts w:ascii="Times New Roman" w:hAnsi="Times New Roman"/>
            <w:color w:val="000000" w:themeColor="text1"/>
            <w:sz w:val="16"/>
            <w:szCs w:val="16"/>
          </w:rPr>
          <w:t>1931 г</w:t>
        </w:r>
      </w:smartTag>
      <w:r w:rsidRPr="005E779E">
        <w:rPr>
          <w:rFonts w:ascii="Times New Roman" w:hAnsi="Times New Roman"/>
          <w:color w:val="000000" w:themeColor="text1"/>
          <w:sz w:val="16"/>
          <w:szCs w:val="16"/>
        </w:rPr>
        <w:t xml:space="preserve">. Крайком партии организует проведение месячника помощи Автострою. Всего в месячник на стройке работало 57 428 рабочих и служащих города и колхозники ряда районов края. Новостройки прислали в порядке помощи Автострою механизмы: балахнинский Бумстрой – подъемный кран, окский Мостострой – 10 транспортеров. Но стройка по-прежнему испытывала недостаток рабочей силы. Партком и управление Автостроя направили в районы края уполномоченных для вербовки строителей в колхозах и среди единоличников. Из Арзамасского района приехали 500 человек, из Сергачского – 100, из Починковского – 800 колхозников и 400 единоличников. Если к октябрю </w:t>
      </w:r>
      <w:smartTag w:uri="urn:schemas-microsoft-com:office:smarttags" w:element="metricconverter">
        <w:smartTagPr>
          <w:attr w:name="ProductID" w:val="1945 г"/>
        </w:smartTagPr>
        <w:r w:rsidRPr="005E779E">
          <w:rPr>
            <w:rFonts w:ascii="Times New Roman" w:hAnsi="Times New Roman"/>
            <w:color w:val="000000" w:themeColor="text1"/>
            <w:sz w:val="16"/>
            <w:szCs w:val="16"/>
          </w:rPr>
          <w:t>1930 г</w:t>
        </w:r>
      </w:smartTag>
      <w:r w:rsidRPr="005E779E">
        <w:rPr>
          <w:rFonts w:ascii="Times New Roman" w:hAnsi="Times New Roman"/>
          <w:color w:val="000000" w:themeColor="text1"/>
          <w:sz w:val="16"/>
          <w:szCs w:val="16"/>
        </w:rPr>
        <w:t xml:space="preserve">. с колхозами было заключено 14 договоров на отпуск рабочей силы Автострою, то к октябрю </w:t>
      </w:r>
      <w:smartTag w:uri="urn:schemas-microsoft-com:office:smarttags" w:element="metricconverter">
        <w:smartTagPr>
          <w:attr w:name="ProductID" w:val="1945 г"/>
        </w:smartTagPr>
        <w:r w:rsidRPr="005E779E">
          <w:rPr>
            <w:rFonts w:ascii="Times New Roman" w:hAnsi="Times New Roman"/>
            <w:color w:val="000000" w:themeColor="text1"/>
            <w:sz w:val="16"/>
            <w:szCs w:val="16"/>
          </w:rPr>
          <w:t>1931 г</w:t>
        </w:r>
      </w:smartTag>
      <w:r w:rsidRPr="005E779E">
        <w:rPr>
          <w:rFonts w:ascii="Times New Roman" w:hAnsi="Times New Roman"/>
          <w:color w:val="000000" w:themeColor="text1"/>
          <w:sz w:val="16"/>
          <w:szCs w:val="16"/>
        </w:rPr>
        <w:t xml:space="preserve">. имелось 93 договора. Механовооруженность на Автострое по-прежнему была низкой. В самый разгар стройки, в </w:t>
      </w:r>
      <w:smartTag w:uri="urn:schemas-microsoft-com:office:smarttags" w:element="metricconverter">
        <w:smartTagPr>
          <w:attr w:name="ProductID" w:val="1945 г"/>
        </w:smartTagPr>
        <w:r w:rsidRPr="005E779E">
          <w:rPr>
            <w:rFonts w:ascii="Times New Roman" w:hAnsi="Times New Roman"/>
            <w:color w:val="000000" w:themeColor="text1"/>
            <w:sz w:val="16"/>
            <w:szCs w:val="16"/>
          </w:rPr>
          <w:t>1931 г</w:t>
        </w:r>
      </w:smartTag>
      <w:r w:rsidRPr="005E779E">
        <w:rPr>
          <w:rFonts w:ascii="Times New Roman" w:hAnsi="Times New Roman"/>
          <w:color w:val="000000" w:themeColor="text1"/>
          <w:sz w:val="16"/>
          <w:szCs w:val="16"/>
        </w:rPr>
        <w:t>., насчитывалось всего лишь 102 автомобиля, 7 тракторов, 8 экскаваторов, 4 железнодорожных крана. Слабая вооруженность машинами и механизмами предопределяла значительный численный состав строителей. К концу года на площадке Автостроя насчитывалось до 30 тыс. рабочих, инженерно-технических работников и служащих, подавляющее большинство из них – молодежь (около 70%). Среди строителей было 2 тыс. чувашей, 700 мордвинов, 60 татар, 250 марийцев, около 100 удмуртов (15218).</w:t>
      </w:r>
    </w:p>
    <w:p w14:paraId="34B7EA34" w14:textId="7CF2D39A" w:rsidR="00CC487C" w:rsidRPr="005E779E" w:rsidRDefault="00CC487C" w:rsidP="000B7A6C">
      <w:pPr>
        <w:widowControl w:val="0"/>
        <w:spacing w:after="0" w:line="240" w:lineRule="auto"/>
        <w:jc w:val="both"/>
        <w:rPr>
          <w:rFonts w:ascii="Times New Roman" w:hAnsi="Times New Roman"/>
          <w:color w:val="000000" w:themeColor="text1"/>
          <w:sz w:val="16"/>
          <w:szCs w:val="16"/>
        </w:rPr>
      </w:pPr>
    </w:p>
    <w:p w14:paraId="0AACA6B2" w14:textId="43957144" w:rsidR="003C0F10" w:rsidRPr="005E779E" w:rsidRDefault="003C0F10" w:rsidP="000B7A6C">
      <w:pPr>
        <w:widowControl w:val="0"/>
        <w:spacing w:after="0" w:line="240" w:lineRule="auto"/>
        <w:jc w:val="both"/>
        <w:rPr>
          <w:rFonts w:ascii="Times New Roman" w:hAnsi="Times New Roman"/>
          <w:i/>
          <w:iCs/>
          <w:color w:val="000000" w:themeColor="text1"/>
          <w:sz w:val="16"/>
          <w:szCs w:val="16"/>
        </w:rPr>
      </w:pPr>
      <w:r w:rsidRPr="005E779E">
        <w:rPr>
          <w:rFonts w:ascii="Times New Roman" w:hAnsi="Times New Roman"/>
          <w:i/>
          <w:iCs/>
          <w:color w:val="000000" w:themeColor="text1"/>
          <w:sz w:val="16"/>
          <w:szCs w:val="16"/>
        </w:rPr>
        <w:t>Внешняя политика:</w:t>
      </w:r>
    </w:p>
    <w:p w14:paraId="03E75F4E" w14:textId="77777777" w:rsidR="003C0F10" w:rsidRPr="005E779E" w:rsidRDefault="003C0F10" w:rsidP="000B7A6C">
      <w:pPr>
        <w:widowControl w:val="0"/>
        <w:spacing w:after="0" w:line="240" w:lineRule="auto"/>
        <w:jc w:val="both"/>
        <w:rPr>
          <w:rFonts w:ascii="Times New Roman" w:hAnsi="Times New Roman"/>
          <w:i/>
          <w:iCs/>
          <w:color w:val="000000" w:themeColor="text1"/>
          <w:sz w:val="16"/>
          <w:szCs w:val="16"/>
        </w:rPr>
      </w:pPr>
    </w:p>
    <w:p w14:paraId="6E4ABC04" w14:textId="77777777" w:rsidR="003C0F10" w:rsidRPr="005E779E" w:rsidRDefault="003C0F1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shd w:val="clear" w:color="auto" w:fill="FFFFFF"/>
        </w:rPr>
        <w:t>10 мая 1931 Политбюро согласилось с предложением первого секретаря Северного крайкома С.А. Бергавинова выплатить за акции «Англо-Грумант» 10 тысяч фунтов стерлингов наличными и 45 тысяч — с рассрочкой на десять лет при 8 % годовых54. Окончательно же Советский Союз сумел прочно и обстоятельно обосноваться на Шпицбергене несколько позже. После того, как Политбюро 8 апреля 1932 года дало согласие на покупку второго на этом полярном архипелаге рудника «Грин-Харбор» нидерландской компании «Неспико». За полтора миллиона золотых рублей или сто пятьдесят тысяч фунтов стерлингов, которые предстояло выплачивать на протяжении десяти лет. А незадолго перед тем, 5 сентября 1931 года, добычу угля на Шпицбергене изъяли из ведения всесоюзного объединения Союзлеспром, занимавшегося весьма далекими от горного дела заготовкой, сбытом внутри страны и за рубежом древесины и пиломатериалов. Передали в топливно-энергетический сектор ВСНХ СССР, образовав для того трест «Арктикуголь» (20467).</w:t>
      </w:r>
    </w:p>
    <w:p w14:paraId="441BE37C" w14:textId="77777777" w:rsidR="003C0F10" w:rsidRPr="005E779E" w:rsidRDefault="003C0F10" w:rsidP="000B7A6C">
      <w:pPr>
        <w:spacing w:after="0" w:line="240" w:lineRule="auto"/>
        <w:jc w:val="both"/>
        <w:rPr>
          <w:rFonts w:ascii="Times New Roman" w:hAnsi="Times New Roman"/>
          <w:color w:val="000000" w:themeColor="text1"/>
          <w:sz w:val="16"/>
          <w:szCs w:val="16"/>
        </w:rPr>
      </w:pPr>
    </w:p>
    <w:p w14:paraId="0EA0A5D5"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4406A728"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E478E02" w14:textId="77777777" w:rsidR="00CC487C" w:rsidRPr="005E779E" w:rsidRDefault="00CC487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мая в 1931 году разбился второй прототип французского истребителя «S.91» «Leger». Первый прототип «S.91» «Leger», оснащенный двигателем «Hispano-Suiza» 12НЬ мощностью 500 л.с. (373 кВт), поднялся в воздух 23 августа 1927 года. Второй прототип «S.91/1» отличался в основном фронтальным расположением радиатора. Позднее его оснастили двигателем «Hispano-Suiza» 12Gb, и под обозначением «S.91/2» он поднялся в воздух 31 августа 1928 года. «S.91/2» продемонстрировали в Греции и Румынии, а затем переделали в «S.91/3», установив мотор воздушного охлаждения «Gnome-Rhone» («Bristol») 9As Jupiter мощностью 420 л. с. (313 кВт). В 1931 году самолет превратили в «S.91/5», установив двигатель «Gnome-Rhone» «9Ае» «Jupiter» мощностью 480 л.с. (358 кВт). Подозреваю, что утомленный многочисленными переделками, прототип ушел из такой летной жизни сам (14887).</w:t>
      </w:r>
    </w:p>
    <w:p w14:paraId="2A1FD2D2" w14:textId="77777777" w:rsidR="00CC487C" w:rsidRPr="005E779E" w:rsidRDefault="00CC487C" w:rsidP="000B7A6C">
      <w:pPr>
        <w:spacing w:after="0" w:line="240" w:lineRule="auto"/>
        <w:jc w:val="both"/>
        <w:rPr>
          <w:rFonts w:ascii="Times New Roman" w:hAnsi="Times New Roman"/>
          <w:color w:val="000000" w:themeColor="text1"/>
          <w:sz w:val="16"/>
          <w:szCs w:val="16"/>
        </w:rPr>
      </w:pPr>
    </w:p>
    <w:p w14:paraId="21E791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мая 1931 года во время испытаний, проводившихся Риделем на «Ракетенфлюгплатц» с двигателем для замера тяги, произошел непредвиденный взлет всего устройства, которое медленно поднялось на 18 м, а затем упало, повредив топливный трубопровод (11688).</w:t>
      </w:r>
    </w:p>
    <w:p w14:paraId="4BD681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14 мая ракета была отремонтирована, несколько облегчена и готова для первого экспериментального запуска. В назначенный час «летающий испытательный стенд», получивший название «Repulsor-1» («Репульсор-1»), с диким ревом стартовал. Он ударился о крышу соседнего здания, около двух секунд летел косо вверх под углом в 70°, после чего сделал мертвую петлю, поднялся еще немного, и, спикировав, упал на землю с работающим двигателем. Во время пикирования стенка камеры сгорания в одном месте прогорела, и здесь образовалось новое «сопло», за счет чего система получила вращательное движение. Ракета не развалилась только потому, что закончилось топливо. Достигнутая высота составила не более 60 м (11688).</w:t>
      </w:r>
    </w:p>
    <w:p w14:paraId="7F293E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C5574AB" w14:textId="77777777" w:rsidR="005C5785" w:rsidRPr="005E779E" w:rsidRDefault="005C5785"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lastRenderedPageBreak/>
        <w:t>Другие оборонные отрасли:</w:t>
      </w:r>
    </w:p>
    <w:p w14:paraId="2569A275" w14:textId="77777777" w:rsidR="005C5785" w:rsidRPr="005E779E" w:rsidRDefault="005C5785"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08A305A" w14:textId="77777777" w:rsidR="005C5785" w:rsidRPr="005E779E" w:rsidRDefault="005C578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мая 1931 г. Лаборатория ДВС стала самостоятельной единицей, а 1 января 1932 г. была преобразована в УкрНИИ ДВС, который 21 марта того же года получил наименование Украинский научно-исследовательский авиадизельный институт (УНИАДИ), подчиненный Главному управлению Гражданского воздушного флота (ГУ ГВФ). Первоначально Лаборатория насчитывала 45 сотрудников и имела всего шесть станков. Ввиду важности поученного задания и численность сотрудников, и материальная база быстро росли. В 1932 г. в УНИАДИ работало уже около 220 человек. Институту необходима была опытная база, и по решению СНК УССР ему были переданы производственные площади завода им. Лозовского, на которых разместились механический, литейный и сборочный цехи, испытательная станция, конструкторское бюро, технологическая группа, лаборатория. На 1 января 1934 г. коллектив УНИАДИ составлял уже 399 человек (19149).</w:t>
      </w:r>
    </w:p>
    <w:p w14:paraId="306DE256" w14:textId="77777777" w:rsidR="005C5785" w:rsidRPr="005E779E" w:rsidRDefault="005C5785" w:rsidP="000B7A6C">
      <w:pPr>
        <w:spacing w:after="0" w:line="240" w:lineRule="auto"/>
        <w:jc w:val="both"/>
        <w:rPr>
          <w:rFonts w:ascii="Times New Roman" w:hAnsi="Times New Roman"/>
          <w:color w:val="000000" w:themeColor="text1"/>
          <w:sz w:val="16"/>
          <w:szCs w:val="16"/>
        </w:rPr>
      </w:pPr>
    </w:p>
    <w:p w14:paraId="0290B777" w14:textId="77777777" w:rsidR="00974187" w:rsidRPr="005E779E" w:rsidRDefault="00974187" w:rsidP="000B7A6C">
      <w:pPr>
        <w:autoSpaceDE w:val="0"/>
        <w:autoSpaceDN w:val="0"/>
        <w:adjustRightInd w:val="0"/>
        <w:spacing w:after="0" w:line="240" w:lineRule="auto"/>
        <w:jc w:val="both"/>
        <w:rPr>
          <w:rFonts w:ascii="Times New Roman" w:hAnsi="Times New Roman"/>
          <w:i/>
          <w:iCs/>
          <w:color w:val="000000" w:themeColor="text1"/>
          <w:sz w:val="16"/>
          <w:szCs w:val="16"/>
        </w:rPr>
      </w:pPr>
      <w:r w:rsidRPr="005E779E">
        <w:rPr>
          <w:rFonts w:ascii="Times New Roman" w:hAnsi="Times New Roman"/>
          <w:i/>
          <w:iCs/>
          <w:color w:val="000000" w:themeColor="text1"/>
          <w:sz w:val="16"/>
          <w:szCs w:val="16"/>
        </w:rPr>
        <w:t>Жизнь и внутре</w:t>
      </w:r>
      <w:r w:rsidR="005C5785" w:rsidRPr="005E779E">
        <w:rPr>
          <w:rFonts w:ascii="Times New Roman" w:hAnsi="Times New Roman"/>
          <w:i/>
          <w:iCs/>
          <w:color w:val="000000" w:themeColor="text1"/>
          <w:sz w:val="16"/>
          <w:szCs w:val="16"/>
        </w:rPr>
        <w:t>н</w:t>
      </w:r>
      <w:r w:rsidRPr="005E779E">
        <w:rPr>
          <w:rFonts w:ascii="Times New Roman" w:hAnsi="Times New Roman"/>
          <w:i/>
          <w:iCs/>
          <w:color w:val="000000" w:themeColor="text1"/>
          <w:sz w:val="16"/>
          <w:szCs w:val="16"/>
        </w:rPr>
        <w:t>няя политика:</w:t>
      </w:r>
    </w:p>
    <w:p w14:paraId="04DB08E1" w14:textId="77777777" w:rsidR="00974187" w:rsidRPr="005E779E" w:rsidRDefault="00974187" w:rsidP="000B7A6C">
      <w:pPr>
        <w:autoSpaceDE w:val="0"/>
        <w:autoSpaceDN w:val="0"/>
        <w:adjustRightInd w:val="0"/>
        <w:spacing w:after="0" w:line="240" w:lineRule="auto"/>
        <w:jc w:val="both"/>
        <w:rPr>
          <w:rFonts w:ascii="Times New Roman" w:hAnsi="Times New Roman"/>
          <w:i/>
          <w:iCs/>
          <w:color w:val="000000" w:themeColor="text1"/>
          <w:sz w:val="16"/>
          <w:szCs w:val="16"/>
        </w:rPr>
      </w:pPr>
    </w:p>
    <w:p w14:paraId="61F05F81" w14:textId="77777777" w:rsidR="00974187" w:rsidRPr="005E779E" w:rsidRDefault="009741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мая в 1931 году в Ленинграде основан Институт по проектированию горнорудных предприятий (ныне АО «Гипроруда») (14888).</w:t>
      </w:r>
    </w:p>
    <w:p w14:paraId="5D8CB86F" w14:textId="77777777" w:rsidR="00974187" w:rsidRPr="005E779E" w:rsidRDefault="00974187" w:rsidP="000B7A6C">
      <w:pPr>
        <w:spacing w:after="0" w:line="240" w:lineRule="auto"/>
        <w:jc w:val="both"/>
        <w:rPr>
          <w:rFonts w:ascii="Times New Roman" w:hAnsi="Times New Roman"/>
          <w:color w:val="000000" w:themeColor="text1"/>
          <w:sz w:val="16"/>
          <w:szCs w:val="16"/>
        </w:rPr>
      </w:pPr>
    </w:p>
    <w:p w14:paraId="7A8C7068"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78C1502C"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B2D94B5" w14:textId="77777777" w:rsidR="00974187" w:rsidRPr="005E779E" w:rsidRDefault="009741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мая в 1931 году швейцарский физик Огюст Пикар совершил полет в стратосферу, взлетев в герметической капсуле на высоту 15 281 м. В следующем году он перекрыл собственный рекорд, поднявшись на 16 201 м. Побит этот рекорд был три года спустя американцами капитанами Орвилом Андерсеном и Альбертом Стивенсоном, которые в небе над южной Дакотой достигли высоты 22 066 м (14888).</w:t>
      </w:r>
    </w:p>
    <w:p w14:paraId="0EAEACD0" w14:textId="77777777" w:rsidR="00974187" w:rsidRPr="005E779E" w:rsidRDefault="00974187" w:rsidP="000B7A6C">
      <w:pPr>
        <w:spacing w:after="0" w:line="240" w:lineRule="auto"/>
        <w:jc w:val="both"/>
        <w:rPr>
          <w:rFonts w:ascii="Times New Roman" w:hAnsi="Times New Roman"/>
          <w:color w:val="000000" w:themeColor="text1"/>
          <w:sz w:val="16"/>
          <w:szCs w:val="16"/>
        </w:rPr>
      </w:pPr>
    </w:p>
    <w:p w14:paraId="5E285E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мая 1931 в Австрии произошел крах банка Кредит Анштальт (3186) и начался кризис в Европе (3907,167).</w:t>
      </w:r>
    </w:p>
    <w:p w14:paraId="4DCBF9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53782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мая 1931 Банкротством австрийского банка "Кредит-Анштальт". начинается финансовый кризис в Центральной Европе (7444).</w:t>
      </w:r>
    </w:p>
    <w:p w14:paraId="5D88CD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4328FAE"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02BEE97F"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11054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мая 1931 года Петрожицкий писал письмо N ПТО/14сс зам. начальника ВВС.</w:t>
      </w:r>
    </w:p>
    <w:p w14:paraId="1A772E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Протокол</w:t>
      </w:r>
    </w:p>
    <w:p w14:paraId="693854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совещания по внедрению новых типов самолетов плана</w:t>
      </w:r>
    </w:p>
    <w:p w14:paraId="310AED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опытного строительства в серийное производство и</w:t>
      </w:r>
    </w:p>
    <w:p w14:paraId="0B36D7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распределение их по заводам ВАО на 1932 и 1933 годы.</w:t>
      </w:r>
    </w:p>
    <w:p w14:paraId="51FD3B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Присутствовали:</w:t>
      </w:r>
    </w:p>
    <w:p w14:paraId="7AD5F4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 УВВС - Петрожицкий, Горелиц, С.В.И.</w:t>
      </w:r>
    </w:p>
    <w:p w14:paraId="7D00FB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 ВАО - Оловянников, Бурмистров, Мельницын, Дементьев.</w:t>
      </w:r>
    </w:p>
    <w:p w14:paraId="29B986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Постановили: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09"/>
        <w:gridCol w:w="1409"/>
        <w:gridCol w:w="2535"/>
        <w:gridCol w:w="5245"/>
      </w:tblGrid>
      <w:tr w:rsidR="001002C3" w:rsidRPr="005E779E" w14:paraId="62F6BBE2" w14:textId="77777777">
        <w:tc>
          <w:tcPr>
            <w:tcW w:w="1409" w:type="dxa"/>
          </w:tcPr>
          <w:p w14:paraId="4D63B5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Принять следующее распределение типов самолетов по заводам:</w:t>
            </w:r>
          </w:p>
        </w:tc>
        <w:tc>
          <w:tcPr>
            <w:tcW w:w="1409" w:type="dxa"/>
          </w:tcPr>
          <w:p w14:paraId="053356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535" w:type="dxa"/>
          </w:tcPr>
          <w:p w14:paraId="1D7774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ACC84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99D6D8A" w14:textId="77777777">
        <w:tc>
          <w:tcPr>
            <w:tcW w:w="1409" w:type="dxa"/>
          </w:tcPr>
          <w:p w14:paraId="2E92C6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NN заводов</w:t>
            </w:r>
          </w:p>
        </w:tc>
        <w:tc>
          <w:tcPr>
            <w:tcW w:w="1409" w:type="dxa"/>
          </w:tcPr>
          <w:p w14:paraId="4FDB26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1932 год</w:t>
            </w:r>
          </w:p>
        </w:tc>
        <w:tc>
          <w:tcPr>
            <w:tcW w:w="2535" w:type="dxa"/>
          </w:tcPr>
          <w:p w14:paraId="256184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1933 год</w:t>
            </w:r>
          </w:p>
        </w:tc>
        <w:tc>
          <w:tcPr>
            <w:tcW w:w="5245" w:type="dxa"/>
          </w:tcPr>
          <w:p w14:paraId="29324C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Примечание</w:t>
            </w:r>
          </w:p>
        </w:tc>
      </w:tr>
      <w:tr w:rsidR="001002C3" w:rsidRPr="005E779E" w14:paraId="4922CD73" w14:textId="77777777">
        <w:tc>
          <w:tcPr>
            <w:tcW w:w="1409" w:type="dxa"/>
          </w:tcPr>
          <w:p w14:paraId="77800B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1409" w:type="dxa"/>
          </w:tcPr>
          <w:p w14:paraId="0647A7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Р-5, И-5,</w:t>
            </w:r>
          </w:p>
        </w:tc>
        <w:tc>
          <w:tcPr>
            <w:tcW w:w="2535" w:type="dxa"/>
          </w:tcPr>
          <w:p w14:paraId="05E2F8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Р5, И5, (И-13),</w:t>
            </w:r>
          </w:p>
        </w:tc>
        <w:tc>
          <w:tcPr>
            <w:tcW w:w="5245" w:type="dxa"/>
          </w:tcPr>
          <w:p w14:paraId="6F69CE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При загруженности завода первыми</w:t>
            </w:r>
          </w:p>
        </w:tc>
      </w:tr>
      <w:tr w:rsidR="001002C3" w:rsidRPr="005E779E" w14:paraId="28CA8D88" w14:textId="77777777">
        <w:tc>
          <w:tcPr>
            <w:tcW w:w="1409" w:type="dxa"/>
          </w:tcPr>
          <w:p w14:paraId="573098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E51C4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ТШ-2, (И-7)*</w:t>
            </w:r>
          </w:p>
        </w:tc>
        <w:tc>
          <w:tcPr>
            <w:tcW w:w="2535" w:type="dxa"/>
          </w:tcPr>
          <w:p w14:paraId="21E2F2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ЛБШ-3 (ТШ-2)**</w:t>
            </w:r>
          </w:p>
        </w:tc>
        <w:tc>
          <w:tcPr>
            <w:tcW w:w="5245" w:type="dxa"/>
          </w:tcPr>
          <w:p w14:paraId="1A862F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тремя типами сам. И-7 переносится</w:t>
            </w:r>
          </w:p>
        </w:tc>
      </w:tr>
      <w:tr w:rsidR="001002C3" w:rsidRPr="005E779E" w14:paraId="0B7E5DC9" w14:textId="77777777">
        <w:tc>
          <w:tcPr>
            <w:tcW w:w="1409" w:type="dxa"/>
          </w:tcPr>
          <w:p w14:paraId="7DA469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275D39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535" w:type="dxa"/>
          </w:tcPr>
          <w:p w14:paraId="3E8549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A6ABA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21-й завод.</w:t>
            </w:r>
          </w:p>
        </w:tc>
      </w:tr>
      <w:tr w:rsidR="001002C3" w:rsidRPr="005E779E" w14:paraId="5E9BB020" w14:textId="77777777">
        <w:tc>
          <w:tcPr>
            <w:tcW w:w="1409" w:type="dxa"/>
          </w:tcPr>
          <w:p w14:paraId="09E0A3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9E7FB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535" w:type="dxa"/>
          </w:tcPr>
          <w:p w14:paraId="239DD5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90562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И-13и ЛБШ-3 идут на смену И5 и</w:t>
            </w:r>
          </w:p>
        </w:tc>
      </w:tr>
      <w:tr w:rsidR="001002C3" w:rsidRPr="005E779E" w14:paraId="26F9879C" w14:textId="77777777">
        <w:tc>
          <w:tcPr>
            <w:tcW w:w="1409" w:type="dxa"/>
          </w:tcPr>
          <w:p w14:paraId="15C09E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99737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535" w:type="dxa"/>
          </w:tcPr>
          <w:p w14:paraId="59470C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ТШ-2.</w:t>
            </w:r>
          </w:p>
        </w:tc>
        <w:tc>
          <w:tcPr>
            <w:tcW w:w="5245" w:type="dxa"/>
          </w:tcPr>
          <w:p w14:paraId="15C0F8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8BA02BC" w14:textId="77777777">
        <w:tc>
          <w:tcPr>
            <w:tcW w:w="1409" w:type="dxa"/>
          </w:tcPr>
          <w:p w14:paraId="4DD420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w:t>
            </w:r>
          </w:p>
        </w:tc>
        <w:tc>
          <w:tcPr>
            <w:tcW w:w="1409" w:type="dxa"/>
          </w:tcPr>
          <w:p w14:paraId="5DF264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ТБ-3, Р-6,</w:t>
            </w:r>
          </w:p>
        </w:tc>
        <w:tc>
          <w:tcPr>
            <w:tcW w:w="2535" w:type="dxa"/>
          </w:tcPr>
          <w:p w14:paraId="36F3EB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ТБ-3, И-12, </w:t>
            </w:r>
          </w:p>
        </w:tc>
        <w:tc>
          <w:tcPr>
            <w:tcW w:w="5245" w:type="dxa"/>
          </w:tcPr>
          <w:p w14:paraId="46A37B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Ввиду перегруженности завода</w:t>
            </w:r>
          </w:p>
        </w:tc>
      </w:tr>
      <w:tr w:rsidR="001002C3" w:rsidRPr="005E779E" w14:paraId="73A24769" w14:textId="77777777">
        <w:tc>
          <w:tcPr>
            <w:tcW w:w="1409" w:type="dxa"/>
          </w:tcPr>
          <w:p w14:paraId="6307AA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382135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АНТ-9, И-12,</w:t>
            </w:r>
          </w:p>
        </w:tc>
        <w:tc>
          <w:tcPr>
            <w:tcW w:w="2535" w:type="dxa"/>
          </w:tcPr>
          <w:p w14:paraId="6D1D4B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МИ-3 (Р6)**,</w:t>
            </w:r>
          </w:p>
        </w:tc>
        <w:tc>
          <w:tcPr>
            <w:tcW w:w="5245" w:type="dxa"/>
          </w:tcPr>
          <w:p w14:paraId="17D579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производством первых 4-х типов</w:t>
            </w:r>
          </w:p>
        </w:tc>
      </w:tr>
      <w:tr w:rsidR="001002C3" w:rsidRPr="005E779E" w14:paraId="4224721D" w14:textId="77777777">
        <w:tc>
          <w:tcPr>
            <w:tcW w:w="1409" w:type="dxa"/>
          </w:tcPr>
          <w:p w14:paraId="339A7E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48EB62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(АНТ-14)*</w:t>
            </w:r>
          </w:p>
        </w:tc>
        <w:tc>
          <w:tcPr>
            <w:tcW w:w="2535" w:type="dxa"/>
          </w:tcPr>
          <w:p w14:paraId="093A39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АНТ-9</w:t>
            </w:r>
          </w:p>
        </w:tc>
        <w:tc>
          <w:tcPr>
            <w:tcW w:w="5245" w:type="dxa"/>
          </w:tcPr>
          <w:p w14:paraId="19C553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 АНТ-14 он строить не сможет.</w:t>
            </w:r>
          </w:p>
        </w:tc>
      </w:tr>
      <w:tr w:rsidR="001002C3" w:rsidRPr="005E779E" w14:paraId="03586935" w14:textId="77777777">
        <w:tc>
          <w:tcPr>
            <w:tcW w:w="1409" w:type="dxa"/>
          </w:tcPr>
          <w:p w14:paraId="0B3AAD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651D43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535" w:type="dxa"/>
          </w:tcPr>
          <w:p w14:paraId="2EA283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B94B7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МИ-3 вытесняет Р-6.</w:t>
            </w:r>
          </w:p>
        </w:tc>
      </w:tr>
      <w:tr w:rsidR="001002C3" w:rsidRPr="005E779E" w14:paraId="34BE35D6" w14:textId="77777777">
        <w:tc>
          <w:tcPr>
            <w:tcW w:w="1409" w:type="dxa"/>
          </w:tcPr>
          <w:p w14:paraId="71C8D0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w:t>
            </w:r>
          </w:p>
        </w:tc>
        <w:tc>
          <w:tcPr>
            <w:tcW w:w="1409" w:type="dxa"/>
          </w:tcPr>
          <w:p w14:paraId="3FF570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У-2, МУ-3,</w:t>
            </w:r>
          </w:p>
        </w:tc>
        <w:tc>
          <w:tcPr>
            <w:tcW w:w="2535" w:type="dxa"/>
          </w:tcPr>
          <w:p w14:paraId="45F6A3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У-2, МУ-3,</w:t>
            </w:r>
          </w:p>
        </w:tc>
        <w:tc>
          <w:tcPr>
            <w:tcW w:w="5245" w:type="dxa"/>
          </w:tcPr>
          <w:p w14:paraId="21F7A6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B919666" w14:textId="77777777">
        <w:tc>
          <w:tcPr>
            <w:tcW w:w="1409" w:type="dxa"/>
          </w:tcPr>
          <w:p w14:paraId="002423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57ED0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амфибия</w:t>
            </w:r>
          </w:p>
        </w:tc>
        <w:tc>
          <w:tcPr>
            <w:tcW w:w="2535" w:type="dxa"/>
          </w:tcPr>
          <w:p w14:paraId="6D2229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2A4E9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амфибия </w:t>
            </w:r>
          </w:p>
        </w:tc>
      </w:tr>
      <w:tr w:rsidR="001002C3" w:rsidRPr="005E779E" w14:paraId="061C14B5" w14:textId="77777777">
        <w:tc>
          <w:tcPr>
            <w:tcW w:w="1409" w:type="dxa"/>
          </w:tcPr>
          <w:p w14:paraId="3B438B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295E46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Шаврова,</w:t>
            </w:r>
          </w:p>
        </w:tc>
        <w:tc>
          <w:tcPr>
            <w:tcW w:w="2535" w:type="dxa"/>
          </w:tcPr>
          <w:p w14:paraId="20D48A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4C5DF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Шаврова,</w:t>
            </w:r>
          </w:p>
        </w:tc>
      </w:tr>
      <w:tr w:rsidR="001002C3" w:rsidRPr="005E779E" w14:paraId="2043D7A3" w14:textId="77777777">
        <w:tc>
          <w:tcPr>
            <w:tcW w:w="1409" w:type="dxa"/>
          </w:tcPr>
          <w:p w14:paraId="7E532A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78363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фотосъемщик</w:t>
            </w:r>
          </w:p>
        </w:tc>
        <w:tc>
          <w:tcPr>
            <w:tcW w:w="2535" w:type="dxa"/>
          </w:tcPr>
          <w:p w14:paraId="668D95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фотосъемщик</w:t>
            </w:r>
          </w:p>
        </w:tc>
        <w:tc>
          <w:tcPr>
            <w:tcW w:w="5245" w:type="dxa"/>
          </w:tcPr>
          <w:p w14:paraId="60B87A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3C15623" w14:textId="77777777">
        <w:tc>
          <w:tcPr>
            <w:tcW w:w="1409" w:type="dxa"/>
          </w:tcPr>
          <w:p w14:paraId="65B447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w:t>
            </w:r>
          </w:p>
        </w:tc>
        <w:tc>
          <w:tcPr>
            <w:tcW w:w="1409" w:type="dxa"/>
          </w:tcPr>
          <w:p w14:paraId="502612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С-62, МДР-3*,</w:t>
            </w:r>
          </w:p>
        </w:tc>
        <w:tc>
          <w:tcPr>
            <w:tcW w:w="2535" w:type="dxa"/>
          </w:tcPr>
          <w:p w14:paraId="5FA708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С-62, МДР-3,</w:t>
            </w:r>
          </w:p>
        </w:tc>
        <w:tc>
          <w:tcPr>
            <w:tcW w:w="5245" w:type="dxa"/>
          </w:tcPr>
          <w:p w14:paraId="2604DD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Для ВВС и для гражданск. авиации</w:t>
            </w:r>
          </w:p>
        </w:tc>
      </w:tr>
      <w:tr w:rsidR="001002C3" w:rsidRPr="005E779E" w14:paraId="16B7F8BE" w14:textId="77777777">
        <w:tc>
          <w:tcPr>
            <w:tcW w:w="1409" w:type="dxa"/>
          </w:tcPr>
          <w:p w14:paraId="4B123C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59B84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Р5, ТШ-1</w:t>
            </w:r>
          </w:p>
        </w:tc>
        <w:tc>
          <w:tcPr>
            <w:tcW w:w="2535" w:type="dxa"/>
          </w:tcPr>
          <w:p w14:paraId="0A41BE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Р5, ТШ-1,</w:t>
            </w:r>
          </w:p>
        </w:tc>
        <w:tc>
          <w:tcPr>
            <w:tcW w:w="5245" w:type="dxa"/>
          </w:tcPr>
          <w:p w14:paraId="174395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переделанный.</w:t>
            </w:r>
          </w:p>
        </w:tc>
      </w:tr>
      <w:tr w:rsidR="001002C3" w:rsidRPr="005E779E" w14:paraId="2BD7C0BE" w14:textId="77777777">
        <w:tc>
          <w:tcPr>
            <w:tcW w:w="1409" w:type="dxa"/>
          </w:tcPr>
          <w:p w14:paraId="2ACE5F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4A2EA5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535" w:type="dxa"/>
          </w:tcPr>
          <w:p w14:paraId="7A9954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(МТБ-3)**</w:t>
            </w:r>
          </w:p>
        </w:tc>
        <w:tc>
          <w:tcPr>
            <w:tcW w:w="5245" w:type="dxa"/>
          </w:tcPr>
          <w:p w14:paraId="673D0A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Без громадного увеличения</w:t>
            </w:r>
          </w:p>
        </w:tc>
      </w:tr>
      <w:tr w:rsidR="001002C3" w:rsidRPr="005E779E" w14:paraId="70A3C8C1" w14:textId="77777777">
        <w:tc>
          <w:tcPr>
            <w:tcW w:w="1409" w:type="dxa"/>
          </w:tcPr>
          <w:p w14:paraId="0F0A12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07F9A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535" w:type="dxa"/>
          </w:tcPr>
          <w:p w14:paraId="0A471B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4F6F1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самолетостроения на 31 заводе - МТБ-3</w:t>
            </w:r>
          </w:p>
        </w:tc>
      </w:tr>
      <w:tr w:rsidR="001002C3" w:rsidRPr="005E779E" w14:paraId="0AEC4651" w14:textId="77777777">
        <w:tc>
          <w:tcPr>
            <w:tcW w:w="1409" w:type="dxa"/>
          </w:tcPr>
          <w:p w14:paraId="565974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40DEAF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535" w:type="dxa"/>
          </w:tcPr>
          <w:p w14:paraId="3A091F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B099D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строиться не сможет.</w:t>
            </w:r>
          </w:p>
        </w:tc>
      </w:tr>
      <w:tr w:rsidR="001002C3" w:rsidRPr="005E779E" w14:paraId="2930AD8E" w14:textId="77777777">
        <w:tc>
          <w:tcPr>
            <w:tcW w:w="1409" w:type="dxa"/>
          </w:tcPr>
          <w:p w14:paraId="25524C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w:t>
            </w:r>
          </w:p>
        </w:tc>
        <w:tc>
          <w:tcPr>
            <w:tcW w:w="1409" w:type="dxa"/>
          </w:tcPr>
          <w:p w14:paraId="615AD5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ДИ-3, Р-8,</w:t>
            </w:r>
          </w:p>
        </w:tc>
        <w:tc>
          <w:tcPr>
            <w:tcW w:w="2535" w:type="dxa"/>
          </w:tcPr>
          <w:p w14:paraId="74CC09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ДИ-3, (ДИ-6)**,</w:t>
            </w:r>
          </w:p>
        </w:tc>
        <w:tc>
          <w:tcPr>
            <w:tcW w:w="5245" w:type="dxa"/>
          </w:tcPr>
          <w:p w14:paraId="529B41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При загруженности завода N 1.</w:t>
            </w:r>
          </w:p>
        </w:tc>
      </w:tr>
      <w:tr w:rsidR="001002C3" w:rsidRPr="005E779E" w14:paraId="3C2F51AD" w14:textId="77777777">
        <w:tc>
          <w:tcPr>
            <w:tcW w:w="1409" w:type="dxa"/>
          </w:tcPr>
          <w:p w14:paraId="4B7ED6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BFED6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(И-7)*</w:t>
            </w:r>
          </w:p>
        </w:tc>
        <w:tc>
          <w:tcPr>
            <w:tcW w:w="2535" w:type="dxa"/>
          </w:tcPr>
          <w:p w14:paraId="5A8957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Р-8, И-7, (И-9)***,</w:t>
            </w:r>
          </w:p>
        </w:tc>
        <w:tc>
          <w:tcPr>
            <w:tcW w:w="5245" w:type="dxa"/>
          </w:tcPr>
          <w:p w14:paraId="61F2D7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ДИ-6 вытесняет ДИ-3.</w:t>
            </w:r>
          </w:p>
        </w:tc>
      </w:tr>
      <w:tr w:rsidR="001002C3" w:rsidRPr="005E779E" w14:paraId="78B25520" w14:textId="77777777">
        <w:tc>
          <w:tcPr>
            <w:tcW w:w="1409" w:type="dxa"/>
          </w:tcPr>
          <w:p w14:paraId="7E5D2D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7A903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535" w:type="dxa"/>
          </w:tcPr>
          <w:p w14:paraId="09ED27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ПБ</w:t>
            </w:r>
          </w:p>
        </w:tc>
        <w:tc>
          <w:tcPr>
            <w:tcW w:w="5245" w:type="dxa"/>
          </w:tcPr>
          <w:p w14:paraId="69FF0D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И-9 вытесняет И-7.</w:t>
            </w:r>
          </w:p>
        </w:tc>
      </w:tr>
      <w:tr w:rsidR="001002C3" w:rsidRPr="005E779E" w14:paraId="56BFFCAB" w14:textId="77777777">
        <w:tc>
          <w:tcPr>
            <w:tcW w:w="1409" w:type="dxa"/>
          </w:tcPr>
          <w:p w14:paraId="6C78A0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ХАЗ</w:t>
            </w:r>
          </w:p>
        </w:tc>
        <w:tc>
          <w:tcPr>
            <w:tcW w:w="1409" w:type="dxa"/>
          </w:tcPr>
          <w:p w14:paraId="6AB687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Р-9, АП-2,</w:t>
            </w:r>
          </w:p>
        </w:tc>
        <w:tc>
          <w:tcPr>
            <w:tcW w:w="2535" w:type="dxa"/>
          </w:tcPr>
          <w:p w14:paraId="778357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Р-9, АП-2,</w:t>
            </w:r>
          </w:p>
        </w:tc>
        <w:tc>
          <w:tcPr>
            <w:tcW w:w="5245" w:type="dxa"/>
          </w:tcPr>
          <w:p w14:paraId="04B60A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2AD9970" w14:textId="77777777">
        <w:tc>
          <w:tcPr>
            <w:tcW w:w="1409" w:type="dxa"/>
          </w:tcPr>
          <w:p w14:paraId="1E4D1B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F237A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4-х местн.</w:t>
            </w:r>
          </w:p>
        </w:tc>
        <w:tc>
          <w:tcPr>
            <w:tcW w:w="2535" w:type="dxa"/>
          </w:tcPr>
          <w:p w14:paraId="5F2F8F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4-х местн.</w:t>
            </w:r>
          </w:p>
        </w:tc>
        <w:tc>
          <w:tcPr>
            <w:tcW w:w="5245" w:type="dxa"/>
          </w:tcPr>
          <w:p w14:paraId="3EA673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8C08A3C" w14:textId="77777777">
        <w:tc>
          <w:tcPr>
            <w:tcW w:w="1409" w:type="dxa"/>
          </w:tcPr>
          <w:p w14:paraId="28E423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341E9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Яковлева,</w:t>
            </w:r>
          </w:p>
        </w:tc>
        <w:tc>
          <w:tcPr>
            <w:tcW w:w="2535" w:type="dxa"/>
          </w:tcPr>
          <w:p w14:paraId="22AB71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Яковлева,</w:t>
            </w:r>
          </w:p>
        </w:tc>
        <w:tc>
          <w:tcPr>
            <w:tcW w:w="5245" w:type="dxa"/>
          </w:tcPr>
          <w:p w14:paraId="262EB4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A9F550A" w14:textId="77777777">
        <w:tc>
          <w:tcPr>
            <w:tcW w:w="1409" w:type="dxa"/>
          </w:tcPr>
          <w:p w14:paraId="3D8407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D207B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4-х местн.</w:t>
            </w:r>
          </w:p>
        </w:tc>
        <w:tc>
          <w:tcPr>
            <w:tcW w:w="2535" w:type="dxa"/>
          </w:tcPr>
          <w:p w14:paraId="32406A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4-х местн.</w:t>
            </w:r>
          </w:p>
        </w:tc>
        <w:tc>
          <w:tcPr>
            <w:tcW w:w="5245" w:type="dxa"/>
          </w:tcPr>
          <w:p w14:paraId="6C4769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CE2A516" w14:textId="77777777">
        <w:tc>
          <w:tcPr>
            <w:tcW w:w="1409" w:type="dxa"/>
          </w:tcPr>
          <w:p w14:paraId="1D8E1E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038B5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стальн.</w:t>
            </w:r>
          </w:p>
        </w:tc>
        <w:tc>
          <w:tcPr>
            <w:tcW w:w="2535" w:type="dxa"/>
          </w:tcPr>
          <w:p w14:paraId="4AA0EB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стальн.</w:t>
            </w:r>
          </w:p>
        </w:tc>
        <w:tc>
          <w:tcPr>
            <w:tcW w:w="5245" w:type="dxa"/>
          </w:tcPr>
          <w:p w14:paraId="1A795C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DEB590F" w14:textId="77777777">
        <w:tc>
          <w:tcPr>
            <w:tcW w:w="1409" w:type="dxa"/>
          </w:tcPr>
          <w:p w14:paraId="5DE423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w:t>
            </w:r>
          </w:p>
        </w:tc>
        <w:tc>
          <w:tcPr>
            <w:tcW w:w="1409" w:type="dxa"/>
          </w:tcPr>
          <w:p w14:paraId="143B24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535" w:type="dxa"/>
          </w:tcPr>
          <w:p w14:paraId="3BFFE0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ТБ-4, АНТ-14</w:t>
            </w:r>
          </w:p>
        </w:tc>
        <w:tc>
          <w:tcPr>
            <w:tcW w:w="5245" w:type="dxa"/>
          </w:tcPr>
          <w:p w14:paraId="624CF8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3A05474" w14:textId="77777777">
        <w:tc>
          <w:tcPr>
            <w:tcW w:w="1409" w:type="dxa"/>
          </w:tcPr>
          <w:p w14:paraId="08C478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Воронеж</w:t>
            </w:r>
          </w:p>
        </w:tc>
        <w:tc>
          <w:tcPr>
            <w:tcW w:w="1409" w:type="dxa"/>
          </w:tcPr>
          <w:p w14:paraId="74406D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535" w:type="dxa"/>
          </w:tcPr>
          <w:p w14:paraId="66B9F6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7383D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bl>
    <w:p w14:paraId="08D4A4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Примечание:</w:t>
      </w:r>
    </w:p>
    <w:p w14:paraId="60AE41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Самолеты ДИ-4 и ДИ-5 на 32-й год строить опытными сериями для войсковых испытаний;</w:t>
      </w:r>
    </w:p>
    <w:p w14:paraId="181B8C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 по усмотрению ВАО. В зависимости от результатов испытаний, решить вопрос о серийном строительстве в 33 году.</w:t>
      </w:r>
    </w:p>
    <w:p w14:paraId="73E628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Самолеты ТБ-5 и МДР-2, ввиду заказа значительного количества ТБ-3 и МДР-3 и перегруженности заводов металлического самолетостроения строительством большого количества новых типов самолетов в серийное производство не пускаются.</w:t>
      </w:r>
    </w:p>
    <w:p w14:paraId="5FABC1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Ввиду внедрения в серийное производство в ближайшие годы значительного количества новых типов самолетов, как воен. так гражданск., гл. образом металлич. конструкций (в т.ч. стальных) и нецелесообразности строить на одном заводе одновременно больше 4-х типов, необходимо, помимо обязательного введения в строй к началу 33-го года завода Б (Воронежского) построить к тому времени минимум. еще один завод металлического самолетостроения.</w:t>
      </w:r>
    </w:p>
    <w:p w14:paraId="5B1B51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Внедрение в серийное производство новых типов самолетов на 34-й год не рассматривалось, ввиду необходимости уточнения и утверждения нового плана опытного строительства и не проработки его со стороны ВАО.</w:t>
      </w:r>
    </w:p>
    <w:p w14:paraId="4201DE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Ввиду перегруженности заводов металлического самолетостроения - целый ряд новых типов металлических самолетов гр. авиации на 33 год остались не размещенными по заводам. (2969,11).</w:t>
      </w:r>
    </w:p>
    <w:p w14:paraId="5CC0DE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E1E784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12 мая 1931 года – геликоптер СОК ЭАО ЦАГИ поднялся на максимальную высоту примерно 7-8 метров, совершив после этого достаточно плавную посадку (6926, 5).</w:t>
      </w:r>
    </w:p>
    <w:p w14:paraId="21F969B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58E87E"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05DC1C45"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83525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мая 1931 на испытания на научно-инженерно-технический полигон РККА поступил изготовленный в апреле 1931 малый (легковой) трактор РККА с использованием узлов Т-16, спроектированный ГКБ ГАУ и изготовленный 2-м автозаводом ВАТО. Вес - 3920, мощность 35 нр. Не пошел (4243,31).</w:t>
      </w:r>
    </w:p>
    <w:p w14:paraId="59DF62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9C6086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мая 1931 г. ДОКЛАД НАЧАЛЬНИКА УММ О СИСТЕМЕ ОРГАНИЗАЦИ И РЕМОНТА АВТОБРОНЕТАНКОТРАКТОРНОГО ИМУЩЕСТВА</w:t>
      </w:r>
    </w:p>
    <w:p w14:paraId="6D3C35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Система ремонта распределяется на две основные части: а) Ремонт в мирное время.</w:t>
      </w:r>
    </w:p>
    <w:p w14:paraId="39D4959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Ремонт в мирное время</w:t>
      </w:r>
    </w:p>
    <w:p w14:paraId="2B7AE57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К 1 января 1932 г. в РККА будет 9.073 машины разных типов, которые при существующих нормах эксплуатации потребуют производства 9.073 средних и 5.727 капитальных ремонтов.</w:t>
      </w:r>
    </w:p>
    <w:p w14:paraId="24C207D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1 января 1933 г. число машин по ориентировочной наметке плана заказов УММ на 1932 г. увеличитсябольше чем на 200%, следовательно, увеличится и количество ремонтов машин.</w:t>
      </w:r>
    </w:p>
    <w:p w14:paraId="42B43F8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Для обеспечения своевременного ремонта и содержания на ходу всей этой ценной материальной части, организация ремонта должна строиться по системе профилактических ремонтов. Классификацию и характеристику этих ремонтов см. в приложении</w:t>
      </w:r>
    </w:p>
    <w:p w14:paraId="17F668F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p w14:paraId="6325079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Ремонт №1 (повседневный ремонт) и №2 (периодический осмотр и мелкий ремонт машин) производится в гараже силами подразделения части. В полевых условиях - в месте стоянки машин.</w:t>
      </w:r>
    </w:p>
    <w:p w14:paraId="1EA2345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Ремонт №3 (средний ремонт) производится в войсковых мастерских, которые организуются в частях с числом машин свыше 50. Части и учреждения, имеющие меньшее количество машин, средний ремонт самостоятельно не производят, а сдают его в гарнизонные или окружные мастерские.</w:t>
      </w:r>
    </w:p>
    <w:p w14:paraId="4FBE64F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Ремонт №4 (капитальный) производится в гарнизонных или окружных мастерских и на заводах промышленности.</w:t>
      </w:r>
    </w:p>
    <w:p w14:paraId="56351C0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Необходимые для ремонта запасные части, войсковые части и мастерские получают готовы</w:t>
      </w:r>
      <w:r w:rsidRPr="005E779E">
        <w:rPr>
          <w:rFonts w:ascii="Times New Roman" w:hAnsi="Times New Roman"/>
          <w:color w:val="000000" w:themeColor="text1"/>
          <w:sz w:val="16"/>
          <w:szCs w:val="16"/>
        </w:rPr>
        <w:softHyphen/>
        <w:t>ми от заводов промышленности, но оборудование мастерских должно быть рассчитано на возмож</w:t>
      </w:r>
      <w:r w:rsidRPr="005E779E">
        <w:rPr>
          <w:rFonts w:ascii="Times New Roman" w:hAnsi="Times New Roman"/>
          <w:color w:val="000000" w:themeColor="text1"/>
          <w:sz w:val="16"/>
          <w:szCs w:val="16"/>
        </w:rPr>
        <w:softHyphen/>
        <w:t>ность в случае необходимости самостоятельного изготовления и ремонта несложных деталей.</w:t>
      </w:r>
    </w:p>
    <w:p w14:paraId="4E80CB0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При правильной и планомерной организации ремонта и подаче промышленностью готовых запчастей, время простоя машин в ремонте может быть доведено для среднего до 4-5, для капиталь</w:t>
      </w:r>
      <w:r w:rsidRPr="005E779E">
        <w:rPr>
          <w:rFonts w:ascii="Times New Roman" w:hAnsi="Times New Roman"/>
          <w:color w:val="000000" w:themeColor="text1"/>
          <w:sz w:val="16"/>
          <w:szCs w:val="16"/>
        </w:rPr>
        <w:softHyphen/>
        <w:t>ного до 10-14 дней. Поэтому в целях сокращения времени отрыва машины от части для ремонта, це</w:t>
      </w:r>
      <w:r w:rsidRPr="005E779E">
        <w:rPr>
          <w:rFonts w:ascii="Times New Roman" w:hAnsi="Times New Roman"/>
          <w:color w:val="000000" w:themeColor="text1"/>
          <w:sz w:val="16"/>
          <w:szCs w:val="16"/>
        </w:rPr>
        <w:softHyphen/>
        <w:t>лесообразно на заводы промышленности возложить обязанность изготовления и своевременной по</w:t>
      </w:r>
      <w:r w:rsidRPr="005E779E">
        <w:rPr>
          <w:rFonts w:ascii="Times New Roman" w:hAnsi="Times New Roman"/>
          <w:color w:val="000000" w:themeColor="text1"/>
          <w:sz w:val="16"/>
          <w:szCs w:val="16"/>
        </w:rPr>
        <w:softHyphen/>
        <w:t>дачи запчастей, а непосредственный монтаж производить в войсковых и окружных мастерских.</w:t>
      </w:r>
    </w:p>
    <w:p w14:paraId="3DFA866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Намечаемые к постройке в 1931 г. мастерские на складах №60 и 37 не удовлетворяют потреб</w:t>
      </w:r>
      <w:r w:rsidRPr="005E779E">
        <w:rPr>
          <w:rFonts w:ascii="Times New Roman" w:hAnsi="Times New Roman"/>
          <w:color w:val="000000" w:themeColor="text1"/>
          <w:sz w:val="16"/>
          <w:szCs w:val="16"/>
        </w:rPr>
        <w:softHyphen/>
        <w:t>ность в ремонте машин РККА, поэтому является настоятельно необходимым форсировать и обяза</w:t>
      </w:r>
      <w:r w:rsidRPr="005E779E">
        <w:rPr>
          <w:rFonts w:ascii="Times New Roman" w:hAnsi="Times New Roman"/>
          <w:color w:val="000000" w:themeColor="text1"/>
          <w:sz w:val="16"/>
          <w:szCs w:val="16"/>
        </w:rPr>
        <w:softHyphen/>
        <w:t>тельно закончить в 1931 г. постройку этих мастерских, а также постройку мастерских для существу</w:t>
      </w:r>
      <w:r w:rsidRPr="005E779E">
        <w:rPr>
          <w:rFonts w:ascii="Times New Roman" w:hAnsi="Times New Roman"/>
          <w:color w:val="000000" w:themeColor="text1"/>
          <w:sz w:val="16"/>
          <w:szCs w:val="16"/>
        </w:rPr>
        <w:softHyphen/>
        <w:t>ющих и развертываемых по оргмероприятиям войсковых частей, а именно:</w:t>
      </w:r>
    </w:p>
    <w:tbl>
      <w:tblPr>
        <w:tblW w:w="0" w:type="auto"/>
        <w:tblInd w:w="40" w:type="dxa"/>
        <w:tblLayout w:type="fixed"/>
        <w:tblCellMar>
          <w:left w:w="40" w:type="dxa"/>
          <w:right w:w="40" w:type="dxa"/>
        </w:tblCellMar>
        <w:tblLook w:val="0000" w:firstRow="0" w:lastRow="0" w:firstColumn="0" w:lastColumn="0" w:noHBand="0" w:noVBand="0"/>
      </w:tblPr>
      <w:tblGrid>
        <w:gridCol w:w="442"/>
        <w:gridCol w:w="3859"/>
        <w:gridCol w:w="19"/>
        <w:gridCol w:w="855"/>
        <w:gridCol w:w="19"/>
        <w:gridCol w:w="1719"/>
        <w:gridCol w:w="9"/>
        <w:gridCol w:w="797"/>
        <w:gridCol w:w="9"/>
      </w:tblGrid>
      <w:tr w:rsidR="001002C3" w:rsidRPr="005E779E" w14:paraId="1DE2F9F8" w14:textId="77777777">
        <w:trPr>
          <w:gridAfter w:val="1"/>
          <w:wAfter w:w="9" w:type="dxa"/>
          <w:trHeight w:val="461"/>
        </w:trPr>
        <w:tc>
          <w:tcPr>
            <w:tcW w:w="442" w:type="dxa"/>
            <w:tcBorders>
              <w:top w:val="single" w:sz="6" w:space="0" w:color="auto"/>
              <w:left w:val="single" w:sz="6" w:space="0" w:color="auto"/>
              <w:bottom w:val="single" w:sz="6" w:space="0" w:color="auto"/>
              <w:right w:val="single" w:sz="6" w:space="0" w:color="auto"/>
            </w:tcBorders>
          </w:tcPr>
          <w:p w14:paraId="4F028DE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300AE67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п/п</w:t>
            </w:r>
          </w:p>
          <w:p w14:paraId="2D38D76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59" w:type="dxa"/>
            <w:tcBorders>
              <w:top w:val="single" w:sz="6" w:space="0" w:color="auto"/>
              <w:left w:val="single" w:sz="6" w:space="0" w:color="auto"/>
              <w:bottom w:val="single" w:sz="6" w:space="0" w:color="auto"/>
              <w:right w:val="single" w:sz="6" w:space="0" w:color="auto"/>
            </w:tcBorders>
          </w:tcPr>
          <w:p w14:paraId="78AD22C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частей</w:t>
            </w:r>
          </w:p>
          <w:p w14:paraId="251CE0C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5FE7DEB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Округ</w:t>
            </w:r>
          </w:p>
          <w:p w14:paraId="5D58546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gridSpan w:val="2"/>
            <w:tcBorders>
              <w:top w:val="single" w:sz="6" w:space="0" w:color="auto"/>
              <w:left w:val="single" w:sz="6" w:space="0" w:color="auto"/>
              <w:bottom w:val="single" w:sz="6" w:space="0" w:color="auto"/>
              <w:right w:val="single" w:sz="6" w:space="0" w:color="auto"/>
            </w:tcBorders>
          </w:tcPr>
          <w:p w14:paraId="20AA83D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Местоположение</w:t>
            </w:r>
          </w:p>
          <w:p w14:paraId="48902D6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single" w:sz="6" w:space="0" w:color="auto"/>
              <w:left w:val="single" w:sz="6" w:space="0" w:color="auto"/>
              <w:bottom w:val="single" w:sz="6" w:space="0" w:color="auto"/>
              <w:right w:val="single" w:sz="6" w:space="0" w:color="auto"/>
            </w:tcBorders>
          </w:tcPr>
          <w:p w14:paraId="5E2A12D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Тип</w:t>
            </w:r>
          </w:p>
          <w:p w14:paraId="0F21C72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848692E" w14:textId="77777777">
        <w:trPr>
          <w:gridAfter w:val="1"/>
          <w:wAfter w:w="9" w:type="dxa"/>
          <w:trHeight w:val="221"/>
        </w:trPr>
        <w:tc>
          <w:tcPr>
            <w:tcW w:w="7719" w:type="dxa"/>
            <w:gridSpan w:val="8"/>
            <w:tcBorders>
              <w:top w:val="single" w:sz="6" w:space="0" w:color="auto"/>
              <w:left w:val="single" w:sz="6" w:space="0" w:color="auto"/>
              <w:bottom w:val="single" w:sz="6" w:space="0" w:color="auto"/>
              <w:right w:val="single" w:sz="6" w:space="0" w:color="auto"/>
            </w:tcBorders>
          </w:tcPr>
          <w:p w14:paraId="279C52C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очередь</w:t>
            </w:r>
          </w:p>
          <w:p w14:paraId="33211C5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1F1C9D0" w14:textId="77777777">
        <w:trPr>
          <w:gridAfter w:val="1"/>
          <w:wAfter w:w="9" w:type="dxa"/>
          <w:trHeight w:val="230"/>
        </w:trPr>
        <w:tc>
          <w:tcPr>
            <w:tcW w:w="442" w:type="dxa"/>
            <w:tcBorders>
              <w:top w:val="single" w:sz="6" w:space="0" w:color="auto"/>
              <w:left w:val="single" w:sz="6" w:space="0" w:color="auto"/>
              <w:bottom w:val="single" w:sz="6" w:space="0" w:color="auto"/>
              <w:right w:val="single" w:sz="6" w:space="0" w:color="auto"/>
            </w:tcBorders>
          </w:tcPr>
          <w:p w14:paraId="2CF7D91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p w14:paraId="3B4EFC0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59" w:type="dxa"/>
            <w:tcBorders>
              <w:top w:val="single" w:sz="6" w:space="0" w:color="auto"/>
              <w:left w:val="single" w:sz="6" w:space="0" w:color="auto"/>
              <w:bottom w:val="single" w:sz="6" w:space="0" w:color="auto"/>
              <w:right w:val="single" w:sz="6" w:space="0" w:color="auto"/>
            </w:tcBorders>
          </w:tcPr>
          <w:p w14:paraId="602666E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Мехбригада</w:t>
            </w:r>
          </w:p>
          <w:p w14:paraId="3C45F8F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636D082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МВО</w:t>
            </w:r>
          </w:p>
          <w:p w14:paraId="68DE93A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gridSpan w:val="2"/>
            <w:tcBorders>
              <w:top w:val="single" w:sz="6" w:space="0" w:color="auto"/>
              <w:left w:val="single" w:sz="6" w:space="0" w:color="auto"/>
              <w:bottom w:val="single" w:sz="6" w:space="0" w:color="auto"/>
              <w:right w:val="single" w:sz="6" w:space="0" w:color="auto"/>
            </w:tcBorders>
          </w:tcPr>
          <w:p w14:paraId="3DD2BB6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Наро-Фоминск</w:t>
            </w:r>
          </w:p>
          <w:p w14:paraId="586BC9B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single" w:sz="6" w:space="0" w:color="auto"/>
              <w:left w:val="single" w:sz="6" w:space="0" w:color="auto"/>
              <w:bottom w:val="nil"/>
              <w:right w:val="single" w:sz="6" w:space="0" w:color="auto"/>
            </w:tcBorders>
          </w:tcPr>
          <w:p w14:paraId="3A272C6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типо</w:t>
            </w:r>
            <w:r w:rsidRPr="005E779E">
              <w:rPr>
                <w:rFonts w:ascii="Times New Roman" w:hAnsi="Times New Roman"/>
                <w:color w:val="000000" w:themeColor="text1"/>
                <w:sz w:val="16"/>
                <w:szCs w:val="16"/>
              </w:rPr>
              <w:softHyphen/>
              <w:t>вым проек</w:t>
            </w:r>
            <w:r w:rsidRPr="005E779E">
              <w:rPr>
                <w:rFonts w:ascii="Times New Roman" w:hAnsi="Times New Roman"/>
                <w:color w:val="000000" w:themeColor="text1"/>
                <w:sz w:val="16"/>
                <w:szCs w:val="16"/>
              </w:rPr>
              <w:softHyphen/>
              <w:t>там УММ согла</w:t>
            </w:r>
            <w:r w:rsidRPr="005E779E">
              <w:rPr>
                <w:rFonts w:ascii="Times New Roman" w:hAnsi="Times New Roman"/>
                <w:color w:val="000000" w:themeColor="text1"/>
                <w:sz w:val="16"/>
                <w:szCs w:val="16"/>
              </w:rPr>
              <w:softHyphen/>
              <w:t>сован</w:t>
            </w:r>
            <w:r w:rsidRPr="005E779E">
              <w:rPr>
                <w:rFonts w:ascii="Times New Roman" w:hAnsi="Times New Roman"/>
                <w:color w:val="000000" w:themeColor="text1"/>
                <w:sz w:val="16"/>
                <w:szCs w:val="16"/>
              </w:rPr>
              <w:softHyphen/>
              <w:t>ным с ВСУ</w:t>
            </w:r>
          </w:p>
          <w:p w14:paraId="0BDF55F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3FE3A0C" w14:textId="77777777">
        <w:trPr>
          <w:gridAfter w:val="1"/>
          <w:wAfter w:w="9" w:type="dxa"/>
          <w:trHeight w:val="230"/>
        </w:trPr>
        <w:tc>
          <w:tcPr>
            <w:tcW w:w="442" w:type="dxa"/>
            <w:tcBorders>
              <w:top w:val="single" w:sz="6" w:space="0" w:color="auto"/>
              <w:left w:val="single" w:sz="6" w:space="0" w:color="auto"/>
              <w:bottom w:val="single" w:sz="6" w:space="0" w:color="auto"/>
              <w:right w:val="single" w:sz="6" w:space="0" w:color="auto"/>
            </w:tcBorders>
          </w:tcPr>
          <w:p w14:paraId="03D7E55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p w14:paraId="0C85031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59" w:type="dxa"/>
            <w:tcBorders>
              <w:top w:val="single" w:sz="6" w:space="0" w:color="auto"/>
              <w:left w:val="single" w:sz="6" w:space="0" w:color="auto"/>
              <w:bottom w:val="single" w:sz="6" w:space="0" w:color="auto"/>
              <w:right w:val="single" w:sz="6" w:space="0" w:color="auto"/>
            </w:tcBorders>
          </w:tcPr>
          <w:p w14:paraId="65D502D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6-й мехполк</w:t>
            </w:r>
          </w:p>
          <w:p w14:paraId="37DBD33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0743CE2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БВО</w:t>
            </w:r>
          </w:p>
          <w:p w14:paraId="4F47DBA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gridSpan w:val="2"/>
            <w:tcBorders>
              <w:top w:val="single" w:sz="6" w:space="0" w:color="auto"/>
              <w:left w:val="single" w:sz="6" w:space="0" w:color="auto"/>
              <w:bottom w:val="single" w:sz="6" w:space="0" w:color="auto"/>
              <w:right w:val="single" w:sz="6" w:space="0" w:color="auto"/>
            </w:tcBorders>
          </w:tcPr>
          <w:p w14:paraId="12C32FD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Гомель</w:t>
            </w:r>
          </w:p>
          <w:p w14:paraId="650F73E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nil"/>
              <w:left w:val="single" w:sz="6" w:space="0" w:color="auto"/>
              <w:bottom w:val="nil"/>
              <w:right w:val="single" w:sz="6" w:space="0" w:color="auto"/>
            </w:tcBorders>
          </w:tcPr>
          <w:p w14:paraId="1CDEE14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7531A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16D2788" w14:textId="77777777">
        <w:trPr>
          <w:gridAfter w:val="1"/>
          <w:wAfter w:w="9" w:type="dxa"/>
          <w:trHeight w:val="221"/>
        </w:trPr>
        <w:tc>
          <w:tcPr>
            <w:tcW w:w="442" w:type="dxa"/>
            <w:tcBorders>
              <w:top w:val="single" w:sz="6" w:space="0" w:color="auto"/>
              <w:left w:val="single" w:sz="6" w:space="0" w:color="auto"/>
              <w:bottom w:val="single" w:sz="6" w:space="0" w:color="auto"/>
              <w:right w:val="single" w:sz="6" w:space="0" w:color="auto"/>
            </w:tcBorders>
          </w:tcPr>
          <w:p w14:paraId="4B058D3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p w14:paraId="2F06586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59" w:type="dxa"/>
            <w:tcBorders>
              <w:top w:val="single" w:sz="6" w:space="0" w:color="auto"/>
              <w:left w:val="single" w:sz="6" w:space="0" w:color="auto"/>
              <w:bottom w:val="single" w:sz="6" w:space="0" w:color="auto"/>
              <w:right w:val="single" w:sz="6" w:space="0" w:color="auto"/>
            </w:tcBorders>
          </w:tcPr>
          <w:p w14:paraId="217B66A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7-й мехполк</w:t>
            </w:r>
          </w:p>
          <w:p w14:paraId="161ED83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38594F8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БВО</w:t>
            </w:r>
          </w:p>
          <w:p w14:paraId="554CEBE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gridSpan w:val="2"/>
            <w:tcBorders>
              <w:top w:val="single" w:sz="6" w:space="0" w:color="auto"/>
              <w:left w:val="single" w:sz="6" w:space="0" w:color="auto"/>
              <w:bottom w:val="single" w:sz="6" w:space="0" w:color="auto"/>
              <w:right w:val="single" w:sz="6" w:space="0" w:color="auto"/>
            </w:tcBorders>
          </w:tcPr>
          <w:p w14:paraId="03039C9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Минск</w:t>
            </w:r>
          </w:p>
          <w:p w14:paraId="3C9A4CB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nil"/>
              <w:left w:val="single" w:sz="6" w:space="0" w:color="auto"/>
              <w:bottom w:val="nil"/>
              <w:right w:val="single" w:sz="6" w:space="0" w:color="auto"/>
            </w:tcBorders>
          </w:tcPr>
          <w:p w14:paraId="067E648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E42BB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3C26FB1" w14:textId="77777777">
        <w:trPr>
          <w:gridAfter w:val="1"/>
          <w:wAfter w:w="9" w:type="dxa"/>
          <w:trHeight w:val="230"/>
        </w:trPr>
        <w:tc>
          <w:tcPr>
            <w:tcW w:w="442" w:type="dxa"/>
            <w:tcBorders>
              <w:top w:val="single" w:sz="6" w:space="0" w:color="auto"/>
              <w:left w:val="single" w:sz="6" w:space="0" w:color="auto"/>
              <w:bottom w:val="single" w:sz="6" w:space="0" w:color="auto"/>
              <w:right w:val="single" w:sz="6" w:space="0" w:color="auto"/>
            </w:tcBorders>
          </w:tcPr>
          <w:p w14:paraId="5392340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w:t>
            </w:r>
          </w:p>
          <w:p w14:paraId="2AE3673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59" w:type="dxa"/>
            <w:tcBorders>
              <w:top w:val="single" w:sz="6" w:space="0" w:color="auto"/>
              <w:left w:val="single" w:sz="6" w:space="0" w:color="auto"/>
              <w:bottom w:val="single" w:sz="6" w:space="0" w:color="auto"/>
              <w:right w:val="single" w:sz="6" w:space="0" w:color="auto"/>
            </w:tcBorders>
          </w:tcPr>
          <w:p w14:paraId="70FB400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1-й танковый полк</w:t>
            </w:r>
          </w:p>
          <w:p w14:paraId="71D5573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207EC14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БВО</w:t>
            </w:r>
          </w:p>
          <w:p w14:paraId="39C894F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gridSpan w:val="2"/>
            <w:tcBorders>
              <w:top w:val="single" w:sz="6" w:space="0" w:color="auto"/>
              <w:left w:val="single" w:sz="6" w:space="0" w:color="auto"/>
              <w:bottom w:val="single" w:sz="6" w:space="0" w:color="auto"/>
              <w:right w:val="single" w:sz="6" w:space="0" w:color="auto"/>
            </w:tcBorders>
          </w:tcPr>
          <w:p w14:paraId="5F084E2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Смоленск</w:t>
            </w:r>
          </w:p>
          <w:p w14:paraId="5CAA25D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nil"/>
              <w:left w:val="single" w:sz="6" w:space="0" w:color="auto"/>
              <w:bottom w:val="nil"/>
              <w:right w:val="single" w:sz="6" w:space="0" w:color="auto"/>
            </w:tcBorders>
          </w:tcPr>
          <w:p w14:paraId="067BCCB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68F66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CB399C4" w14:textId="77777777">
        <w:trPr>
          <w:gridAfter w:val="1"/>
          <w:wAfter w:w="9" w:type="dxa"/>
          <w:trHeight w:val="230"/>
        </w:trPr>
        <w:tc>
          <w:tcPr>
            <w:tcW w:w="442" w:type="dxa"/>
            <w:tcBorders>
              <w:top w:val="single" w:sz="6" w:space="0" w:color="auto"/>
              <w:left w:val="single" w:sz="6" w:space="0" w:color="auto"/>
              <w:bottom w:val="single" w:sz="6" w:space="0" w:color="auto"/>
              <w:right w:val="single" w:sz="6" w:space="0" w:color="auto"/>
            </w:tcBorders>
          </w:tcPr>
          <w:p w14:paraId="2543A6B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w:t>
            </w:r>
          </w:p>
          <w:p w14:paraId="2F5F133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59" w:type="dxa"/>
            <w:tcBorders>
              <w:top w:val="single" w:sz="6" w:space="0" w:color="auto"/>
              <w:left w:val="single" w:sz="6" w:space="0" w:color="auto"/>
              <w:bottom w:val="single" w:sz="6" w:space="0" w:color="auto"/>
              <w:right w:val="single" w:sz="6" w:space="0" w:color="auto"/>
            </w:tcBorders>
          </w:tcPr>
          <w:p w14:paraId="6D711E4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4-й танковый полк</w:t>
            </w:r>
          </w:p>
          <w:p w14:paraId="27A3D9A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53E163F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УВО</w:t>
            </w:r>
          </w:p>
          <w:p w14:paraId="08C59A9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gridSpan w:val="2"/>
            <w:tcBorders>
              <w:top w:val="single" w:sz="6" w:space="0" w:color="auto"/>
              <w:left w:val="single" w:sz="6" w:space="0" w:color="auto"/>
              <w:bottom w:val="single" w:sz="6" w:space="0" w:color="auto"/>
              <w:right w:val="single" w:sz="6" w:space="0" w:color="auto"/>
            </w:tcBorders>
          </w:tcPr>
          <w:p w14:paraId="1FC900E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Харьков</w:t>
            </w:r>
          </w:p>
          <w:p w14:paraId="7D347A8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nil"/>
              <w:left w:val="single" w:sz="6" w:space="0" w:color="auto"/>
              <w:bottom w:val="nil"/>
              <w:right w:val="single" w:sz="6" w:space="0" w:color="auto"/>
            </w:tcBorders>
          </w:tcPr>
          <w:p w14:paraId="614D7A5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5C1C3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1638C9E" w14:textId="77777777">
        <w:trPr>
          <w:gridAfter w:val="1"/>
          <w:wAfter w:w="9" w:type="dxa"/>
          <w:trHeight w:val="221"/>
        </w:trPr>
        <w:tc>
          <w:tcPr>
            <w:tcW w:w="442" w:type="dxa"/>
            <w:tcBorders>
              <w:top w:val="single" w:sz="6" w:space="0" w:color="auto"/>
              <w:left w:val="single" w:sz="6" w:space="0" w:color="auto"/>
              <w:bottom w:val="single" w:sz="6" w:space="0" w:color="auto"/>
              <w:right w:val="single" w:sz="6" w:space="0" w:color="auto"/>
            </w:tcBorders>
          </w:tcPr>
          <w:p w14:paraId="611EACC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w:t>
            </w:r>
          </w:p>
          <w:p w14:paraId="70D7071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59" w:type="dxa"/>
            <w:tcBorders>
              <w:top w:val="single" w:sz="6" w:space="0" w:color="auto"/>
              <w:left w:val="single" w:sz="6" w:space="0" w:color="auto"/>
              <w:bottom w:val="single" w:sz="6" w:space="0" w:color="auto"/>
              <w:right w:val="single" w:sz="6" w:space="0" w:color="auto"/>
            </w:tcBorders>
          </w:tcPr>
          <w:p w14:paraId="0437CB0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4-я стрелковая дивизия</w:t>
            </w:r>
          </w:p>
          <w:p w14:paraId="6B75BFD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1F4E4AB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БВО</w:t>
            </w:r>
          </w:p>
          <w:p w14:paraId="1995289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gridSpan w:val="2"/>
            <w:tcBorders>
              <w:top w:val="single" w:sz="6" w:space="0" w:color="auto"/>
              <w:left w:val="single" w:sz="6" w:space="0" w:color="auto"/>
              <w:bottom w:val="single" w:sz="6" w:space="0" w:color="auto"/>
              <w:right w:val="single" w:sz="6" w:space="0" w:color="auto"/>
            </w:tcBorders>
          </w:tcPr>
          <w:p w14:paraId="0A4422F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Слуцк</w:t>
            </w:r>
          </w:p>
          <w:p w14:paraId="72FD66D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nil"/>
              <w:left w:val="single" w:sz="6" w:space="0" w:color="auto"/>
              <w:bottom w:val="nil"/>
              <w:right w:val="single" w:sz="6" w:space="0" w:color="auto"/>
            </w:tcBorders>
          </w:tcPr>
          <w:p w14:paraId="7E5E560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16952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0CBB176" w14:textId="77777777">
        <w:trPr>
          <w:gridAfter w:val="1"/>
          <w:wAfter w:w="9" w:type="dxa"/>
          <w:trHeight w:val="230"/>
        </w:trPr>
        <w:tc>
          <w:tcPr>
            <w:tcW w:w="442" w:type="dxa"/>
            <w:tcBorders>
              <w:top w:val="single" w:sz="6" w:space="0" w:color="auto"/>
              <w:left w:val="single" w:sz="6" w:space="0" w:color="auto"/>
              <w:bottom w:val="single" w:sz="6" w:space="0" w:color="auto"/>
              <w:right w:val="single" w:sz="6" w:space="0" w:color="auto"/>
            </w:tcBorders>
          </w:tcPr>
          <w:p w14:paraId="131678B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w:t>
            </w:r>
          </w:p>
          <w:p w14:paraId="6022E7D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59" w:type="dxa"/>
            <w:tcBorders>
              <w:top w:val="single" w:sz="6" w:space="0" w:color="auto"/>
              <w:left w:val="single" w:sz="6" w:space="0" w:color="auto"/>
              <w:bottom w:val="single" w:sz="6" w:space="0" w:color="auto"/>
              <w:right w:val="single" w:sz="6" w:space="0" w:color="auto"/>
            </w:tcBorders>
          </w:tcPr>
          <w:p w14:paraId="3625F72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9-й корпусный артполк</w:t>
            </w:r>
          </w:p>
          <w:p w14:paraId="698691C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6A92F1C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СКВО</w:t>
            </w:r>
          </w:p>
          <w:p w14:paraId="2253515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gridSpan w:val="2"/>
            <w:tcBorders>
              <w:top w:val="single" w:sz="6" w:space="0" w:color="auto"/>
              <w:left w:val="single" w:sz="6" w:space="0" w:color="auto"/>
              <w:bottom w:val="single" w:sz="6" w:space="0" w:color="auto"/>
              <w:right w:val="single" w:sz="6" w:space="0" w:color="auto"/>
            </w:tcBorders>
          </w:tcPr>
          <w:p w14:paraId="71653B5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Каменск</w:t>
            </w:r>
          </w:p>
          <w:p w14:paraId="53A281A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nil"/>
              <w:left w:val="single" w:sz="6" w:space="0" w:color="auto"/>
              <w:bottom w:val="nil"/>
              <w:right w:val="single" w:sz="6" w:space="0" w:color="auto"/>
            </w:tcBorders>
          </w:tcPr>
          <w:p w14:paraId="1C549FB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7EE95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84F5C81" w14:textId="77777777">
        <w:trPr>
          <w:gridAfter w:val="1"/>
          <w:wAfter w:w="9" w:type="dxa"/>
          <w:trHeight w:val="221"/>
        </w:trPr>
        <w:tc>
          <w:tcPr>
            <w:tcW w:w="442" w:type="dxa"/>
            <w:tcBorders>
              <w:top w:val="single" w:sz="6" w:space="0" w:color="auto"/>
              <w:left w:val="single" w:sz="6" w:space="0" w:color="auto"/>
              <w:bottom w:val="single" w:sz="6" w:space="0" w:color="auto"/>
              <w:right w:val="single" w:sz="6" w:space="0" w:color="auto"/>
            </w:tcBorders>
          </w:tcPr>
          <w:p w14:paraId="4163CE8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w:t>
            </w:r>
          </w:p>
          <w:p w14:paraId="2CF65ED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59" w:type="dxa"/>
            <w:tcBorders>
              <w:top w:val="single" w:sz="6" w:space="0" w:color="auto"/>
              <w:left w:val="single" w:sz="6" w:space="0" w:color="auto"/>
              <w:bottom w:val="single" w:sz="6" w:space="0" w:color="auto"/>
              <w:right w:val="single" w:sz="6" w:space="0" w:color="auto"/>
            </w:tcBorders>
          </w:tcPr>
          <w:p w14:paraId="02A1437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1-й корпусный артполк</w:t>
            </w:r>
          </w:p>
          <w:p w14:paraId="7FA6BCA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3AA0D70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ЛВО</w:t>
            </w:r>
          </w:p>
          <w:p w14:paraId="4766B98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gridSpan w:val="2"/>
            <w:tcBorders>
              <w:top w:val="single" w:sz="6" w:space="0" w:color="auto"/>
              <w:left w:val="single" w:sz="6" w:space="0" w:color="auto"/>
              <w:bottom w:val="single" w:sz="6" w:space="0" w:color="auto"/>
              <w:right w:val="single" w:sz="6" w:space="0" w:color="auto"/>
            </w:tcBorders>
          </w:tcPr>
          <w:p w14:paraId="4AE9606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Луга</w:t>
            </w:r>
          </w:p>
          <w:p w14:paraId="7623B41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nil"/>
              <w:left w:val="single" w:sz="6" w:space="0" w:color="auto"/>
              <w:bottom w:val="nil"/>
              <w:right w:val="single" w:sz="6" w:space="0" w:color="auto"/>
            </w:tcBorders>
          </w:tcPr>
          <w:p w14:paraId="52BFE4E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BDBED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E6384A1" w14:textId="77777777">
        <w:trPr>
          <w:gridAfter w:val="1"/>
          <w:wAfter w:w="9" w:type="dxa"/>
          <w:trHeight w:val="230"/>
        </w:trPr>
        <w:tc>
          <w:tcPr>
            <w:tcW w:w="442" w:type="dxa"/>
            <w:tcBorders>
              <w:top w:val="single" w:sz="6" w:space="0" w:color="auto"/>
              <w:left w:val="single" w:sz="6" w:space="0" w:color="auto"/>
              <w:bottom w:val="single" w:sz="6" w:space="0" w:color="auto"/>
              <w:right w:val="single" w:sz="6" w:space="0" w:color="auto"/>
            </w:tcBorders>
          </w:tcPr>
          <w:p w14:paraId="779C9A4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w:t>
            </w:r>
          </w:p>
          <w:p w14:paraId="4DD67DD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59" w:type="dxa"/>
            <w:tcBorders>
              <w:top w:val="single" w:sz="6" w:space="0" w:color="auto"/>
              <w:left w:val="single" w:sz="6" w:space="0" w:color="auto"/>
              <w:bottom w:val="single" w:sz="6" w:space="0" w:color="auto"/>
              <w:right w:val="single" w:sz="6" w:space="0" w:color="auto"/>
            </w:tcBorders>
          </w:tcPr>
          <w:p w14:paraId="38A66CD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Гаубичный полк АРГК на мехтяге</w:t>
            </w:r>
          </w:p>
          <w:p w14:paraId="63AAFFE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3227FB7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УВО</w:t>
            </w:r>
          </w:p>
          <w:p w14:paraId="42E5CC3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gridSpan w:val="2"/>
            <w:tcBorders>
              <w:top w:val="single" w:sz="6" w:space="0" w:color="auto"/>
              <w:left w:val="single" w:sz="6" w:space="0" w:color="auto"/>
              <w:bottom w:val="single" w:sz="6" w:space="0" w:color="auto"/>
              <w:right w:val="single" w:sz="6" w:space="0" w:color="auto"/>
            </w:tcBorders>
          </w:tcPr>
          <w:p w14:paraId="04D7E2E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Волчанок</w:t>
            </w:r>
          </w:p>
          <w:p w14:paraId="69285CA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nil"/>
              <w:left w:val="single" w:sz="6" w:space="0" w:color="auto"/>
              <w:bottom w:val="nil"/>
              <w:right w:val="single" w:sz="6" w:space="0" w:color="auto"/>
            </w:tcBorders>
          </w:tcPr>
          <w:p w14:paraId="4C768CD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05F3B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4DBE4A7" w14:textId="77777777">
        <w:trPr>
          <w:gridAfter w:val="1"/>
          <w:wAfter w:w="9" w:type="dxa"/>
          <w:trHeight w:val="230"/>
        </w:trPr>
        <w:tc>
          <w:tcPr>
            <w:tcW w:w="442" w:type="dxa"/>
            <w:tcBorders>
              <w:top w:val="single" w:sz="6" w:space="0" w:color="auto"/>
              <w:left w:val="single" w:sz="6" w:space="0" w:color="auto"/>
              <w:bottom w:val="single" w:sz="6" w:space="0" w:color="auto"/>
              <w:right w:val="single" w:sz="6" w:space="0" w:color="auto"/>
            </w:tcBorders>
          </w:tcPr>
          <w:p w14:paraId="3AE3E38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w:t>
            </w:r>
          </w:p>
          <w:p w14:paraId="539CF0C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59" w:type="dxa"/>
            <w:tcBorders>
              <w:top w:val="single" w:sz="6" w:space="0" w:color="auto"/>
              <w:left w:val="single" w:sz="6" w:space="0" w:color="auto"/>
              <w:bottom w:val="single" w:sz="6" w:space="0" w:color="auto"/>
              <w:right w:val="single" w:sz="6" w:space="0" w:color="auto"/>
            </w:tcBorders>
          </w:tcPr>
          <w:p w14:paraId="46CF209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Гаубичный полк АРГК на мехтяге</w:t>
            </w:r>
          </w:p>
          <w:p w14:paraId="1321660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0354882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УВО</w:t>
            </w:r>
          </w:p>
          <w:p w14:paraId="5CF7A63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gridSpan w:val="2"/>
            <w:tcBorders>
              <w:top w:val="single" w:sz="6" w:space="0" w:color="auto"/>
              <w:left w:val="single" w:sz="6" w:space="0" w:color="auto"/>
              <w:bottom w:val="single" w:sz="6" w:space="0" w:color="auto"/>
              <w:right w:val="single" w:sz="6" w:space="0" w:color="auto"/>
            </w:tcBorders>
          </w:tcPr>
          <w:p w14:paraId="23B1783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Глухов</w:t>
            </w:r>
          </w:p>
          <w:p w14:paraId="6A5D785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nil"/>
              <w:left w:val="single" w:sz="6" w:space="0" w:color="auto"/>
              <w:bottom w:val="nil"/>
              <w:right w:val="single" w:sz="6" w:space="0" w:color="auto"/>
            </w:tcBorders>
          </w:tcPr>
          <w:p w14:paraId="1EDFBCA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558BA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04BCB07" w14:textId="77777777">
        <w:trPr>
          <w:gridAfter w:val="1"/>
          <w:wAfter w:w="9" w:type="dxa"/>
          <w:trHeight w:val="221"/>
        </w:trPr>
        <w:tc>
          <w:tcPr>
            <w:tcW w:w="442" w:type="dxa"/>
            <w:tcBorders>
              <w:top w:val="single" w:sz="6" w:space="0" w:color="auto"/>
              <w:left w:val="single" w:sz="6" w:space="0" w:color="auto"/>
              <w:bottom w:val="single" w:sz="6" w:space="0" w:color="auto"/>
              <w:right w:val="single" w:sz="6" w:space="0" w:color="auto"/>
            </w:tcBorders>
          </w:tcPr>
          <w:p w14:paraId="12DFCA1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w:t>
            </w:r>
          </w:p>
          <w:p w14:paraId="2E588BA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59" w:type="dxa"/>
            <w:tcBorders>
              <w:top w:val="single" w:sz="6" w:space="0" w:color="auto"/>
              <w:left w:val="single" w:sz="6" w:space="0" w:color="auto"/>
              <w:bottom w:val="single" w:sz="6" w:space="0" w:color="auto"/>
              <w:right w:val="single" w:sz="6" w:space="0" w:color="auto"/>
            </w:tcBorders>
          </w:tcPr>
          <w:p w14:paraId="15F2617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Полк Б. мощности АРГК</w:t>
            </w:r>
          </w:p>
          <w:p w14:paraId="0E918C8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00C9451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УВО</w:t>
            </w:r>
          </w:p>
          <w:p w14:paraId="446CCE6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gridSpan w:val="2"/>
            <w:tcBorders>
              <w:top w:val="single" w:sz="6" w:space="0" w:color="auto"/>
              <w:left w:val="single" w:sz="6" w:space="0" w:color="auto"/>
              <w:bottom w:val="single" w:sz="6" w:space="0" w:color="auto"/>
              <w:right w:val="single" w:sz="6" w:space="0" w:color="auto"/>
            </w:tcBorders>
          </w:tcPr>
          <w:p w14:paraId="1D37756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Чугуев</w:t>
            </w:r>
          </w:p>
          <w:p w14:paraId="73A0AF6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nil"/>
              <w:left w:val="single" w:sz="6" w:space="0" w:color="auto"/>
              <w:bottom w:val="nil"/>
              <w:right w:val="single" w:sz="6" w:space="0" w:color="auto"/>
            </w:tcBorders>
          </w:tcPr>
          <w:p w14:paraId="76754C2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F7FA5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3E32320" w14:textId="77777777">
        <w:trPr>
          <w:gridAfter w:val="1"/>
          <w:wAfter w:w="9" w:type="dxa"/>
          <w:trHeight w:val="250"/>
        </w:trPr>
        <w:tc>
          <w:tcPr>
            <w:tcW w:w="442" w:type="dxa"/>
            <w:tcBorders>
              <w:top w:val="single" w:sz="6" w:space="0" w:color="auto"/>
              <w:left w:val="single" w:sz="6" w:space="0" w:color="auto"/>
              <w:bottom w:val="single" w:sz="6" w:space="0" w:color="auto"/>
              <w:right w:val="single" w:sz="6" w:space="0" w:color="auto"/>
            </w:tcBorders>
          </w:tcPr>
          <w:p w14:paraId="16B882D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w:t>
            </w:r>
          </w:p>
          <w:p w14:paraId="3F804DE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59" w:type="dxa"/>
            <w:tcBorders>
              <w:top w:val="single" w:sz="6" w:space="0" w:color="auto"/>
              <w:left w:val="single" w:sz="6" w:space="0" w:color="auto"/>
              <w:bottom w:val="single" w:sz="6" w:space="0" w:color="auto"/>
              <w:right w:val="single" w:sz="6" w:space="0" w:color="auto"/>
            </w:tcBorders>
          </w:tcPr>
          <w:p w14:paraId="3839113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Саратовская бронетанковая школа</w:t>
            </w:r>
          </w:p>
          <w:p w14:paraId="0056990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1539EC9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ПРИВО</w:t>
            </w:r>
          </w:p>
          <w:p w14:paraId="6A368CD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gridSpan w:val="2"/>
            <w:tcBorders>
              <w:top w:val="single" w:sz="6" w:space="0" w:color="auto"/>
              <w:left w:val="single" w:sz="6" w:space="0" w:color="auto"/>
              <w:bottom w:val="single" w:sz="6" w:space="0" w:color="auto"/>
              <w:right w:val="single" w:sz="6" w:space="0" w:color="auto"/>
            </w:tcBorders>
          </w:tcPr>
          <w:p w14:paraId="49C6D5F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Саратов</w:t>
            </w:r>
          </w:p>
          <w:p w14:paraId="6C0BC61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nil"/>
              <w:left w:val="single" w:sz="6" w:space="0" w:color="auto"/>
              <w:bottom w:val="single" w:sz="6" w:space="0" w:color="auto"/>
              <w:right w:val="single" w:sz="6" w:space="0" w:color="auto"/>
            </w:tcBorders>
          </w:tcPr>
          <w:p w14:paraId="1ABC2EC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5ABBC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9E2533A" w14:textId="77777777">
        <w:trPr>
          <w:trHeight w:val="221"/>
        </w:trPr>
        <w:tc>
          <w:tcPr>
            <w:tcW w:w="7728" w:type="dxa"/>
            <w:gridSpan w:val="9"/>
            <w:tcBorders>
              <w:top w:val="single" w:sz="6" w:space="0" w:color="auto"/>
              <w:left w:val="single" w:sz="6" w:space="0" w:color="auto"/>
              <w:bottom w:val="single" w:sz="6" w:space="0" w:color="auto"/>
              <w:right w:val="single" w:sz="6" w:space="0" w:color="auto"/>
            </w:tcBorders>
          </w:tcPr>
          <w:p w14:paraId="6BC76E4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очередь</w:t>
            </w:r>
          </w:p>
          <w:p w14:paraId="5CDF343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2A98FB1" w14:textId="77777777">
        <w:trPr>
          <w:trHeight w:val="230"/>
        </w:trPr>
        <w:tc>
          <w:tcPr>
            <w:tcW w:w="442" w:type="dxa"/>
            <w:tcBorders>
              <w:top w:val="single" w:sz="6" w:space="0" w:color="auto"/>
              <w:left w:val="single" w:sz="6" w:space="0" w:color="auto"/>
              <w:bottom w:val="single" w:sz="6" w:space="0" w:color="auto"/>
              <w:right w:val="single" w:sz="6" w:space="0" w:color="auto"/>
            </w:tcBorders>
          </w:tcPr>
          <w:p w14:paraId="7A9FDBF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p w14:paraId="61C5A0C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78" w:type="dxa"/>
            <w:gridSpan w:val="2"/>
            <w:tcBorders>
              <w:top w:val="single" w:sz="6" w:space="0" w:color="auto"/>
              <w:left w:val="single" w:sz="6" w:space="0" w:color="auto"/>
              <w:bottom w:val="single" w:sz="6" w:space="0" w:color="auto"/>
              <w:right w:val="single" w:sz="6" w:space="0" w:color="auto"/>
            </w:tcBorders>
          </w:tcPr>
          <w:p w14:paraId="75B54E8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Мехдивизион 1 кавдивизии</w:t>
            </w:r>
          </w:p>
          <w:p w14:paraId="47935EC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7BA7ACF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УВО</w:t>
            </w:r>
          </w:p>
          <w:p w14:paraId="6AA3742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28" w:type="dxa"/>
            <w:gridSpan w:val="2"/>
            <w:tcBorders>
              <w:top w:val="single" w:sz="6" w:space="0" w:color="auto"/>
              <w:left w:val="single" w:sz="6" w:space="0" w:color="auto"/>
              <w:bottom w:val="single" w:sz="6" w:space="0" w:color="auto"/>
              <w:right w:val="single" w:sz="6" w:space="0" w:color="auto"/>
            </w:tcBorders>
          </w:tcPr>
          <w:p w14:paraId="1BAC79F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Проскуров</w:t>
            </w:r>
          </w:p>
          <w:p w14:paraId="42CF416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single" w:sz="6" w:space="0" w:color="auto"/>
              <w:left w:val="single" w:sz="6" w:space="0" w:color="auto"/>
              <w:bottom w:val="nil"/>
              <w:right w:val="single" w:sz="6" w:space="0" w:color="auto"/>
            </w:tcBorders>
          </w:tcPr>
          <w:p w14:paraId="240E173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типо</w:t>
            </w:r>
            <w:r w:rsidRPr="005E779E">
              <w:rPr>
                <w:rFonts w:ascii="Times New Roman" w:hAnsi="Times New Roman"/>
                <w:color w:val="000000" w:themeColor="text1"/>
                <w:sz w:val="16"/>
                <w:szCs w:val="16"/>
              </w:rPr>
              <w:softHyphen/>
              <w:t>вым проек</w:t>
            </w:r>
            <w:r w:rsidRPr="005E779E">
              <w:rPr>
                <w:rFonts w:ascii="Times New Roman" w:hAnsi="Times New Roman"/>
                <w:color w:val="000000" w:themeColor="text1"/>
                <w:sz w:val="16"/>
                <w:szCs w:val="16"/>
              </w:rPr>
              <w:softHyphen/>
              <w:t>там УММ согла</w:t>
            </w:r>
            <w:r w:rsidRPr="005E779E">
              <w:rPr>
                <w:rFonts w:ascii="Times New Roman" w:hAnsi="Times New Roman"/>
                <w:color w:val="000000" w:themeColor="text1"/>
                <w:sz w:val="16"/>
                <w:szCs w:val="16"/>
              </w:rPr>
              <w:softHyphen/>
              <w:t>сован</w:t>
            </w:r>
            <w:r w:rsidRPr="005E779E">
              <w:rPr>
                <w:rFonts w:ascii="Times New Roman" w:hAnsi="Times New Roman"/>
                <w:color w:val="000000" w:themeColor="text1"/>
                <w:sz w:val="16"/>
                <w:szCs w:val="16"/>
              </w:rPr>
              <w:softHyphen/>
              <w:t>ным с ВСУ</w:t>
            </w:r>
          </w:p>
          <w:p w14:paraId="4B9D754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D320910" w14:textId="77777777">
        <w:trPr>
          <w:trHeight w:val="230"/>
        </w:trPr>
        <w:tc>
          <w:tcPr>
            <w:tcW w:w="442" w:type="dxa"/>
            <w:tcBorders>
              <w:top w:val="single" w:sz="6" w:space="0" w:color="auto"/>
              <w:left w:val="single" w:sz="6" w:space="0" w:color="auto"/>
              <w:bottom w:val="single" w:sz="6" w:space="0" w:color="auto"/>
              <w:right w:val="single" w:sz="6" w:space="0" w:color="auto"/>
            </w:tcBorders>
          </w:tcPr>
          <w:p w14:paraId="6DFA642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p w14:paraId="39E0E08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78" w:type="dxa"/>
            <w:gridSpan w:val="2"/>
            <w:tcBorders>
              <w:top w:val="single" w:sz="6" w:space="0" w:color="auto"/>
              <w:left w:val="single" w:sz="6" w:space="0" w:color="auto"/>
              <w:bottom w:val="single" w:sz="6" w:space="0" w:color="auto"/>
              <w:right w:val="single" w:sz="6" w:space="0" w:color="auto"/>
            </w:tcBorders>
          </w:tcPr>
          <w:p w14:paraId="03130D2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Мехдивизион 3 кавдивизии</w:t>
            </w:r>
          </w:p>
          <w:p w14:paraId="0CEBCCF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4D23AE2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УВО</w:t>
            </w:r>
          </w:p>
          <w:p w14:paraId="6CDCC70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28" w:type="dxa"/>
            <w:gridSpan w:val="2"/>
            <w:tcBorders>
              <w:top w:val="single" w:sz="6" w:space="0" w:color="auto"/>
              <w:left w:val="single" w:sz="6" w:space="0" w:color="auto"/>
              <w:bottom w:val="single" w:sz="6" w:space="0" w:color="auto"/>
              <w:right w:val="single" w:sz="6" w:space="0" w:color="auto"/>
            </w:tcBorders>
          </w:tcPr>
          <w:p w14:paraId="6CCC434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Бердичев</w:t>
            </w:r>
          </w:p>
          <w:p w14:paraId="733E4F8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nil"/>
              <w:left w:val="single" w:sz="6" w:space="0" w:color="auto"/>
              <w:bottom w:val="nil"/>
              <w:right w:val="single" w:sz="6" w:space="0" w:color="auto"/>
            </w:tcBorders>
          </w:tcPr>
          <w:p w14:paraId="387D488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5356B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24ABD98" w14:textId="77777777">
        <w:trPr>
          <w:trHeight w:val="230"/>
        </w:trPr>
        <w:tc>
          <w:tcPr>
            <w:tcW w:w="442" w:type="dxa"/>
            <w:tcBorders>
              <w:top w:val="single" w:sz="6" w:space="0" w:color="auto"/>
              <w:left w:val="single" w:sz="6" w:space="0" w:color="auto"/>
              <w:bottom w:val="single" w:sz="6" w:space="0" w:color="auto"/>
              <w:right w:val="single" w:sz="6" w:space="0" w:color="auto"/>
            </w:tcBorders>
          </w:tcPr>
          <w:p w14:paraId="1392843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p w14:paraId="76E68D1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78" w:type="dxa"/>
            <w:gridSpan w:val="2"/>
            <w:tcBorders>
              <w:top w:val="single" w:sz="6" w:space="0" w:color="auto"/>
              <w:left w:val="single" w:sz="6" w:space="0" w:color="auto"/>
              <w:bottom w:val="single" w:sz="6" w:space="0" w:color="auto"/>
              <w:right w:val="single" w:sz="6" w:space="0" w:color="auto"/>
            </w:tcBorders>
          </w:tcPr>
          <w:p w14:paraId="05C083A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террит. танковый батальон</w:t>
            </w:r>
          </w:p>
          <w:p w14:paraId="458769B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76EF9FB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УВО</w:t>
            </w:r>
          </w:p>
          <w:p w14:paraId="61CE400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28" w:type="dxa"/>
            <w:gridSpan w:val="2"/>
            <w:tcBorders>
              <w:top w:val="single" w:sz="6" w:space="0" w:color="auto"/>
              <w:left w:val="single" w:sz="6" w:space="0" w:color="auto"/>
              <w:bottom w:val="single" w:sz="6" w:space="0" w:color="auto"/>
              <w:right w:val="single" w:sz="6" w:space="0" w:color="auto"/>
            </w:tcBorders>
          </w:tcPr>
          <w:p w14:paraId="407C7BE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Запорожье</w:t>
            </w:r>
          </w:p>
          <w:p w14:paraId="02AA41C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nil"/>
              <w:left w:val="single" w:sz="6" w:space="0" w:color="auto"/>
              <w:bottom w:val="nil"/>
              <w:right w:val="single" w:sz="6" w:space="0" w:color="auto"/>
            </w:tcBorders>
          </w:tcPr>
          <w:p w14:paraId="58AB637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1387B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9D3BFA8" w14:textId="77777777">
        <w:trPr>
          <w:trHeight w:val="221"/>
        </w:trPr>
        <w:tc>
          <w:tcPr>
            <w:tcW w:w="442" w:type="dxa"/>
            <w:tcBorders>
              <w:top w:val="single" w:sz="6" w:space="0" w:color="auto"/>
              <w:left w:val="single" w:sz="6" w:space="0" w:color="auto"/>
              <w:bottom w:val="single" w:sz="6" w:space="0" w:color="auto"/>
              <w:right w:val="single" w:sz="6" w:space="0" w:color="auto"/>
            </w:tcBorders>
          </w:tcPr>
          <w:p w14:paraId="08582D9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w:t>
            </w:r>
          </w:p>
          <w:p w14:paraId="39D9A44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78" w:type="dxa"/>
            <w:gridSpan w:val="2"/>
            <w:tcBorders>
              <w:top w:val="single" w:sz="6" w:space="0" w:color="auto"/>
              <w:left w:val="single" w:sz="6" w:space="0" w:color="auto"/>
              <w:bottom w:val="single" w:sz="6" w:space="0" w:color="auto"/>
              <w:right w:val="single" w:sz="6" w:space="0" w:color="auto"/>
            </w:tcBorders>
          </w:tcPr>
          <w:p w14:paraId="6D7FAE3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террит. танковый батальон</w:t>
            </w:r>
          </w:p>
          <w:p w14:paraId="564A752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017C390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ПРИВО</w:t>
            </w:r>
          </w:p>
          <w:p w14:paraId="15A554D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28" w:type="dxa"/>
            <w:gridSpan w:val="2"/>
            <w:tcBorders>
              <w:top w:val="single" w:sz="6" w:space="0" w:color="auto"/>
              <w:left w:val="single" w:sz="6" w:space="0" w:color="auto"/>
              <w:bottom w:val="single" w:sz="6" w:space="0" w:color="auto"/>
              <w:right w:val="single" w:sz="6" w:space="0" w:color="auto"/>
            </w:tcBorders>
          </w:tcPr>
          <w:p w14:paraId="02B4303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Челябинск</w:t>
            </w:r>
          </w:p>
          <w:p w14:paraId="55A9B1B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nil"/>
              <w:left w:val="single" w:sz="6" w:space="0" w:color="auto"/>
              <w:bottom w:val="nil"/>
              <w:right w:val="single" w:sz="6" w:space="0" w:color="auto"/>
            </w:tcBorders>
          </w:tcPr>
          <w:p w14:paraId="6A13768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B65B2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E2886EF" w14:textId="77777777">
        <w:trPr>
          <w:trHeight w:val="230"/>
        </w:trPr>
        <w:tc>
          <w:tcPr>
            <w:tcW w:w="442" w:type="dxa"/>
            <w:tcBorders>
              <w:top w:val="single" w:sz="6" w:space="0" w:color="auto"/>
              <w:left w:val="single" w:sz="6" w:space="0" w:color="auto"/>
              <w:bottom w:val="single" w:sz="6" w:space="0" w:color="auto"/>
              <w:right w:val="single" w:sz="6" w:space="0" w:color="auto"/>
            </w:tcBorders>
          </w:tcPr>
          <w:p w14:paraId="4B6C7DB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5.</w:t>
            </w:r>
          </w:p>
          <w:p w14:paraId="1C201F6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78" w:type="dxa"/>
            <w:gridSpan w:val="2"/>
            <w:tcBorders>
              <w:top w:val="single" w:sz="6" w:space="0" w:color="auto"/>
              <w:left w:val="single" w:sz="6" w:space="0" w:color="auto"/>
              <w:bottom w:val="single" w:sz="6" w:space="0" w:color="auto"/>
              <w:right w:val="single" w:sz="6" w:space="0" w:color="auto"/>
            </w:tcBorders>
          </w:tcPr>
          <w:p w14:paraId="1761ECF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Террит. гаубичный полк АРГК на мехтяге</w:t>
            </w:r>
          </w:p>
          <w:p w14:paraId="22CD8AB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424E678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МВО</w:t>
            </w:r>
          </w:p>
          <w:p w14:paraId="54E6FEA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28" w:type="dxa"/>
            <w:gridSpan w:val="2"/>
            <w:tcBorders>
              <w:top w:val="single" w:sz="6" w:space="0" w:color="auto"/>
              <w:left w:val="single" w:sz="6" w:space="0" w:color="auto"/>
              <w:bottom w:val="single" w:sz="6" w:space="0" w:color="auto"/>
              <w:right w:val="single" w:sz="6" w:space="0" w:color="auto"/>
            </w:tcBorders>
          </w:tcPr>
          <w:p w14:paraId="3CC477F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Курск</w:t>
            </w:r>
          </w:p>
          <w:p w14:paraId="583AAE5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nil"/>
              <w:left w:val="single" w:sz="6" w:space="0" w:color="auto"/>
              <w:bottom w:val="nil"/>
              <w:right w:val="single" w:sz="6" w:space="0" w:color="auto"/>
            </w:tcBorders>
          </w:tcPr>
          <w:p w14:paraId="5E3E621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46188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95B6093" w14:textId="77777777">
        <w:trPr>
          <w:trHeight w:val="230"/>
        </w:trPr>
        <w:tc>
          <w:tcPr>
            <w:tcW w:w="442" w:type="dxa"/>
            <w:tcBorders>
              <w:top w:val="single" w:sz="6" w:space="0" w:color="auto"/>
              <w:left w:val="single" w:sz="6" w:space="0" w:color="auto"/>
              <w:bottom w:val="single" w:sz="6" w:space="0" w:color="auto"/>
              <w:right w:val="single" w:sz="6" w:space="0" w:color="auto"/>
            </w:tcBorders>
          </w:tcPr>
          <w:p w14:paraId="43CD2AA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w:t>
            </w:r>
          </w:p>
          <w:p w14:paraId="30EA52D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78" w:type="dxa"/>
            <w:gridSpan w:val="2"/>
            <w:tcBorders>
              <w:top w:val="single" w:sz="6" w:space="0" w:color="auto"/>
              <w:left w:val="single" w:sz="6" w:space="0" w:color="auto"/>
              <w:bottom w:val="single" w:sz="6" w:space="0" w:color="auto"/>
              <w:right w:val="single" w:sz="6" w:space="0" w:color="auto"/>
            </w:tcBorders>
          </w:tcPr>
          <w:p w14:paraId="2878B37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Террит. гаубичный полк АРГК на мехтяге</w:t>
            </w:r>
          </w:p>
          <w:p w14:paraId="398A6A6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0E218AE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СКВО</w:t>
            </w:r>
          </w:p>
          <w:p w14:paraId="37DB69D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28" w:type="dxa"/>
            <w:gridSpan w:val="2"/>
            <w:tcBorders>
              <w:top w:val="single" w:sz="6" w:space="0" w:color="auto"/>
              <w:left w:val="single" w:sz="6" w:space="0" w:color="auto"/>
              <w:bottom w:val="single" w:sz="6" w:space="0" w:color="auto"/>
              <w:right w:val="single" w:sz="6" w:space="0" w:color="auto"/>
            </w:tcBorders>
          </w:tcPr>
          <w:p w14:paraId="7777F20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Ростов-на-Дону</w:t>
            </w:r>
          </w:p>
          <w:p w14:paraId="4F8C2A9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nil"/>
              <w:left w:val="single" w:sz="6" w:space="0" w:color="auto"/>
              <w:bottom w:val="nil"/>
              <w:right w:val="single" w:sz="6" w:space="0" w:color="auto"/>
            </w:tcBorders>
          </w:tcPr>
          <w:p w14:paraId="4F49CF9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AEE38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F3B97A2" w14:textId="77777777">
        <w:trPr>
          <w:trHeight w:val="230"/>
        </w:trPr>
        <w:tc>
          <w:tcPr>
            <w:tcW w:w="442" w:type="dxa"/>
            <w:tcBorders>
              <w:top w:val="single" w:sz="6" w:space="0" w:color="auto"/>
              <w:left w:val="single" w:sz="6" w:space="0" w:color="auto"/>
              <w:bottom w:val="single" w:sz="6" w:space="0" w:color="auto"/>
              <w:right w:val="single" w:sz="6" w:space="0" w:color="auto"/>
            </w:tcBorders>
          </w:tcPr>
          <w:p w14:paraId="6194B98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w:t>
            </w:r>
          </w:p>
          <w:p w14:paraId="219E268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78" w:type="dxa"/>
            <w:gridSpan w:val="2"/>
            <w:tcBorders>
              <w:top w:val="single" w:sz="6" w:space="0" w:color="auto"/>
              <w:left w:val="single" w:sz="6" w:space="0" w:color="auto"/>
              <w:bottom w:val="single" w:sz="6" w:space="0" w:color="auto"/>
              <w:right w:val="single" w:sz="6" w:space="0" w:color="auto"/>
            </w:tcBorders>
          </w:tcPr>
          <w:p w14:paraId="4B3871D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5-я артбригада</w:t>
            </w:r>
          </w:p>
          <w:p w14:paraId="4F732CE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108F5D5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БВО</w:t>
            </w:r>
          </w:p>
          <w:p w14:paraId="66FB780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28" w:type="dxa"/>
            <w:gridSpan w:val="2"/>
            <w:tcBorders>
              <w:top w:val="single" w:sz="6" w:space="0" w:color="auto"/>
              <w:left w:val="single" w:sz="6" w:space="0" w:color="auto"/>
              <w:bottom w:val="single" w:sz="6" w:space="0" w:color="auto"/>
              <w:right w:val="single" w:sz="6" w:space="0" w:color="auto"/>
            </w:tcBorders>
          </w:tcPr>
          <w:p w14:paraId="5838F76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Полоцк</w:t>
            </w:r>
          </w:p>
          <w:p w14:paraId="1C77966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nil"/>
              <w:left w:val="single" w:sz="6" w:space="0" w:color="auto"/>
              <w:bottom w:val="nil"/>
              <w:right w:val="single" w:sz="6" w:space="0" w:color="auto"/>
            </w:tcBorders>
          </w:tcPr>
          <w:p w14:paraId="32D2273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383AF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2CBEFDB" w14:textId="77777777">
        <w:trPr>
          <w:trHeight w:val="221"/>
        </w:trPr>
        <w:tc>
          <w:tcPr>
            <w:tcW w:w="442" w:type="dxa"/>
            <w:tcBorders>
              <w:top w:val="single" w:sz="6" w:space="0" w:color="auto"/>
              <w:left w:val="single" w:sz="6" w:space="0" w:color="auto"/>
              <w:bottom w:val="single" w:sz="6" w:space="0" w:color="auto"/>
              <w:right w:val="single" w:sz="6" w:space="0" w:color="auto"/>
            </w:tcBorders>
          </w:tcPr>
          <w:p w14:paraId="0C3503A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w:t>
            </w:r>
          </w:p>
          <w:p w14:paraId="68D9394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78" w:type="dxa"/>
            <w:gridSpan w:val="2"/>
            <w:tcBorders>
              <w:top w:val="single" w:sz="6" w:space="0" w:color="auto"/>
              <w:left w:val="single" w:sz="6" w:space="0" w:color="auto"/>
              <w:bottom w:val="single" w:sz="6" w:space="0" w:color="auto"/>
              <w:right w:val="single" w:sz="6" w:space="0" w:color="auto"/>
            </w:tcBorders>
          </w:tcPr>
          <w:p w14:paraId="7076B04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Опытный понтонный полк</w:t>
            </w:r>
          </w:p>
          <w:p w14:paraId="1454A38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0E132E7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УВО</w:t>
            </w:r>
          </w:p>
          <w:p w14:paraId="10EA67B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28" w:type="dxa"/>
            <w:gridSpan w:val="2"/>
            <w:tcBorders>
              <w:top w:val="single" w:sz="6" w:space="0" w:color="auto"/>
              <w:left w:val="single" w:sz="6" w:space="0" w:color="auto"/>
              <w:bottom w:val="single" w:sz="6" w:space="0" w:color="auto"/>
              <w:right w:val="single" w:sz="6" w:space="0" w:color="auto"/>
            </w:tcBorders>
          </w:tcPr>
          <w:p w14:paraId="0B98D0B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Харьков</w:t>
            </w:r>
          </w:p>
          <w:p w14:paraId="008AAC2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nil"/>
              <w:left w:val="single" w:sz="6" w:space="0" w:color="auto"/>
              <w:bottom w:val="nil"/>
              <w:right w:val="single" w:sz="6" w:space="0" w:color="auto"/>
            </w:tcBorders>
          </w:tcPr>
          <w:p w14:paraId="62FC3C0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98825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2D4BF5C" w14:textId="77777777">
        <w:trPr>
          <w:trHeight w:val="250"/>
        </w:trPr>
        <w:tc>
          <w:tcPr>
            <w:tcW w:w="442" w:type="dxa"/>
            <w:tcBorders>
              <w:top w:val="single" w:sz="6" w:space="0" w:color="auto"/>
              <w:left w:val="single" w:sz="6" w:space="0" w:color="auto"/>
              <w:bottom w:val="single" w:sz="6" w:space="0" w:color="auto"/>
              <w:right w:val="single" w:sz="6" w:space="0" w:color="auto"/>
            </w:tcBorders>
          </w:tcPr>
          <w:p w14:paraId="74BD989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w:t>
            </w:r>
          </w:p>
          <w:p w14:paraId="2894FEE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78" w:type="dxa"/>
            <w:gridSpan w:val="2"/>
            <w:tcBorders>
              <w:top w:val="single" w:sz="6" w:space="0" w:color="auto"/>
              <w:left w:val="single" w:sz="6" w:space="0" w:color="auto"/>
              <w:bottom w:val="single" w:sz="6" w:space="0" w:color="auto"/>
              <w:right w:val="single" w:sz="6" w:space="0" w:color="auto"/>
            </w:tcBorders>
          </w:tcPr>
          <w:p w14:paraId="7704AAF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Части ПВО.</w:t>
            </w:r>
          </w:p>
          <w:p w14:paraId="092033B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336C560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2D625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28" w:type="dxa"/>
            <w:gridSpan w:val="2"/>
            <w:tcBorders>
              <w:top w:val="single" w:sz="6" w:space="0" w:color="auto"/>
              <w:left w:val="single" w:sz="6" w:space="0" w:color="auto"/>
              <w:bottom w:val="single" w:sz="6" w:space="0" w:color="auto"/>
              <w:right w:val="single" w:sz="6" w:space="0" w:color="auto"/>
            </w:tcBorders>
          </w:tcPr>
          <w:p w14:paraId="0E22CA5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B88B6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nil"/>
              <w:left w:val="single" w:sz="6" w:space="0" w:color="auto"/>
              <w:bottom w:val="single" w:sz="6" w:space="0" w:color="auto"/>
              <w:right w:val="single" w:sz="6" w:space="0" w:color="auto"/>
            </w:tcBorders>
          </w:tcPr>
          <w:p w14:paraId="2DC8993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AA2ED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6BDF58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В план 1932 г. необходимо включить постройку окружных мастерских для УВО и ЛВО, ат№| же мастерские для частей, развертываемых по оргмероприятиям.</w:t>
      </w:r>
    </w:p>
    <w:p w14:paraId="608206D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Параллельно со строительством войсковых и окружных мастерских необходимо форсир вать строительство по линии ВСНХ заводов по ремонту автотракторного имущества и изготов нию запчастей.</w:t>
      </w:r>
    </w:p>
    <w:p w14:paraId="774DB0D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ВСНХ по линии ВАТО намечено к постройке в 1931 г. и согласовано с НКВМ 16 ремонтных! терских типа «А» - для капитального, «Б» - для среднего и «В» - для профилактического ремонта в с дующих пунктах:</w:t>
      </w:r>
    </w:p>
    <w:tbl>
      <w:tblPr>
        <w:tblW w:w="0" w:type="auto"/>
        <w:tblInd w:w="40" w:type="dxa"/>
        <w:tblLayout w:type="fixed"/>
        <w:tblCellMar>
          <w:left w:w="40" w:type="dxa"/>
          <w:right w:w="40" w:type="dxa"/>
        </w:tblCellMar>
        <w:tblLook w:val="0000" w:firstRow="0" w:lastRow="0" w:firstColumn="0" w:lastColumn="0" w:noHBand="0" w:noVBand="0"/>
      </w:tblPr>
      <w:tblGrid>
        <w:gridCol w:w="403"/>
        <w:gridCol w:w="1939"/>
        <w:gridCol w:w="442"/>
        <w:gridCol w:w="442"/>
        <w:gridCol w:w="442"/>
        <w:gridCol w:w="4042"/>
      </w:tblGrid>
      <w:tr w:rsidR="001002C3" w:rsidRPr="005E779E" w14:paraId="40BD5B5C" w14:textId="77777777">
        <w:trPr>
          <w:trHeight w:val="230"/>
        </w:trPr>
        <w:tc>
          <w:tcPr>
            <w:tcW w:w="403" w:type="dxa"/>
            <w:tcBorders>
              <w:top w:val="single" w:sz="6" w:space="0" w:color="auto"/>
              <w:left w:val="single" w:sz="6" w:space="0" w:color="auto"/>
              <w:bottom w:val="nil"/>
              <w:right w:val="single" w:sz="6" w:space="0" w:color="auto"/>
            </w:tcBorders>
          </w:tcPr>
          <w:p w14:paraId="7A86D5B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п/п</w:t>
            </w:r>
          </w:p>
          <w:p w14:paraId="21C0C53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9" w:type="dxa"/>
            <w:tcBorders>
              <w:top w:val="single" w:sz="6" w:space="0" w:color="auto"/>
              <w:left w:val="single" w:sz="6" w:space="0" w:color="auto"/>
              <w:bottom w:val="nil"/>
              <w:right w:val="single" w:sz="6" w:space="0" w:color="auto"/>
            </w:tcBorders>
          </w:tcPr>
          <w:p w14:paraId="7B598CD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Пункты постройки</w:t>
            </w:r>
          </w:p>
          <w:p w14:paraId="357CFC1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6" w:type="dxa"/>
            <w:gridSpan w:val="3"/>
            <w:tcBorders>
              <w:top w:val="single" w:sz="6" w:space="0" w:color="auto"/>
              <w:left w:val="single" w:sz="6" w:space="0" w:color="auto"/>
              <w:bottom w:val="single" w:sz="6" w:space="0" w:color="auto"/>
              <w:right w:val="single" w:sz="6" w:space="0" w:color="auto"/>
            </w:tcBorders>
          </w:tcPr>
          <w:p w14:paraId="16E0762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Мощность</w:t>
            </w:r>
          </w:p>
          <w:p w14:paraId="3C21373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42" w:type="dxa"/>
            <w:tcBorders>
              <w:top w:val="single" w:sz="6" w:space="0" w:color="auto"/>
              <w:left w:val="single" w:sz="6" w:space="0" w:color="auto"/>
              <w:bottom w:val="nil"/>
              <w:right w:val="single" w:sz="6" w:space="0" w:color="auto"/>
            </w:tcBorders>
          </w:tcPr>
          <w:p w14:paraId="615027A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Примечание</w:t>
            </w:r>
          </w:p>
          <w:p w14:paraId="5B0DF00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E80B491" w14:textId="77777777">
        <w:trPr>
          <w:trHeight w:val="230"/>
        </w:trPr>
        <w:tc>
          <w:tcPr>
            <w:tcW w:w="403" w:type="dxa"/>
            <w:tcBorders>
              <w:top w:val="nil"/>
              <w:left w:val="single" w:sz="6" w:space="0" w:color="auto"/>
              <w:bottom w:val="single" w:sz="6" w:space="0" w:color="auto"/>
              <w:right w:val="single" w:sz="6" w:space="0" w:color="auto"/>
            </w:tcBorders>
          </w:tcPr>
          <w:p w14:paraId="3B66C2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0300A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939" w:type="dxa"/>
            <w:tcBorders>
              <w:top w:val="nil"/>
              <w:left w:val="single" w:sz="6" w:space="0" w:color="auto"/>
              <w:bottom w:val="single" w:sz="6" w:space="0" w:color="auto"/>
              <w:right w:val="single" w:sz="6" w:space="0" w:color="auto"/>
            </w:tcBorders>
          </w:tcPr>
          <w:p w14:paraId="7E1841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39229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19564F5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w:t>
            </w:r>
          </w:p>
          <w:p w14:paraId="1F2E362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4AE0AB4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w:t>
            </w:r>
          </w:p>
          <w:p w14:paraId="281750E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2186A74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w:t>
            </w:r>
          </w:p>
          <w:p w14:paraId="45CBF29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42" w:type="dxa"/>
            <w:tcBorders>
              <w:top w:val="nil"/>
              <w:left w:val="single" w:sz="6" w:space="0" w:color="auto"/>
              <w:bottom w:val="single" w:sz="6" w:space="0" w:color="auto"/>
              <w:right w:val="single" w:sz="6" w:space="0" w:color="auto"/>
            </w:tcBorders>
          </w:tcPr>
          <w:p w14:paraId="3C271DC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ADD2E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1B73592" w14:textId="77777777">
        <w:trPr>
          <w:trHeight w:val="230"/>
        </w:trPr>
        <w:tc>
          <w:tcPr>
            <w:tcW w:w="403" w:type="dxa"/>
            <w:tcBorders>
              <w:top w:val="single" w:sz="6" w:space="0" w:color="auto"/>
              <w:left w:val="single" w:sz="6" w:space="0" w:color="auto"/>
              <w:bottom w:val="single" w:sz="6" w:space="0" w:color="auto"/>
              <w:right w:val="single" w:sz="6" w:space="0" w:color="auto"/>
            </w:tcBorders>
          </w:tcPr>
          <w:p w14:paraId="2A9C17E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p w14:paraId="414E1B9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6C85307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Бологое</w:t>
            </w:r>
          </w:p>
          <w:p w14:paraId="4CA04EE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3D006E8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549E079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4D96FD8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p w14:paraId="348A238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3281BDF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3660C6D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42" w:type="dxa"/>
            <w:tcBorders>
              <w:top w:val="single" w:sz="6" w:space="0" w:color="auto"/>
              <w:left w:val="single" w:sz="6" w:space="0" w:color="auto"/>
              <w:bottom w:val="single" w:sz="6" w:space="0" w:color="auto"/>
              <w:right w:val="single" w:sz="6" w:space="0" w:color="auto"/>
            </w:tcBorders>
          </w:tcPr>
          <w:p w14:paraId="39B88BA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Строит. Наркомзем</w:t>
            </w:r>
          </w:p>
          <w:p w14:paraId="77D2814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CA40D7A" w14:textId="77777777">
        <w:trPr>
          <w:trHeight w:val="221"/>
        </w:trPr>
        <w:tc>
          <w:tcPr>
            <w:tcW w:w="403" w:type="dxa"/>
            <w:tcBorders>
              <w:top w:val="single" w:sz="6" w:space="0" w:color="auto"/>
              <w:left w:val="single" w:sz="6" w:space="0" w:color="auto"/>
              <w:bottom w:val="single" w:sz="6" w:space="0" w:color="auto"/>
              <w:right w:val="single" w:sz="6" w:space="0" w:color="auto"/>
            </w:tcBorders>
          </w:tcPr>
          <w:p w14:paraId="4C8F10B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p w14:paraId="2780D47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14636B2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Брянск</w:t>
            </w:r>
          </w:p>
          <w:p w14:paraId="4512075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5FB158F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p w14:paraId="31AF084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22DE1C2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3DEB0E7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7D9790B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3A97F5B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42" w:type="dxa"/>
            <w:tcBorders>
              <w:top w:val="single" w:sz="6" w:space="0" w:color="auto"/>
              <w:left w:val="single" w:sz="6" w:space="0" w:color="auto"/>
              <w:bottom w:val="single" w:sz="6" w:space="0" w:color="auto"/>
              <w:right w:val="single" w:sz="6" w:space="0" w:color="auto"/>
            </w:tcBorders>
          </w:tcPr>
          <w:p w14:paraId="72B9D4D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26AC1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3160246" w14:textId="77777777">
        <w:trPr>
          <w:trHeight w:val="230"/>
        </w:trPr>
        <w:tc>
          <w:tcPr>
            <w:tcW w:w="403" w:type="dxa"/>
            <w:tcBorders>
              <w:top w:val="single" w:sz="6" w:space="0" w:color="auto"/>
              <w:left w:val="single" w:sz="6" w:space="0" w:color="auto"/>
              <w:bottom w:val="single" w:sz="6" w:space="0" w:color="auto"/>
              <w:right w:val="single" w:sz="6" w:space="0" w:color="auto"/>
            </w:tcBorders>
          </w:tcPr>
          <w:p w14:paraId="0CA5BA1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p w14:paraId="4CE1DE9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10257B4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Смоленск</w:t>
            </w:r>
          </w:p>
          <w:p w14:paraId="08F761F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1576B87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068EB43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2BA4BB2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p w14:paraId="69ABEBA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037D545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7A1A720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42" w:type="dxa"/>
            <w:tcBorders>
              <w:top w:val="single" w:sz="6" w:space="0" w:color="auto"/>
              <w:left w:val="single" w:sz="6" w:space="0" w:color="auto"/>
              <w:bottom w:val="single" w:sz="6" w:space="0" w:color="auto"/>
              <w:right w:val="single" w:sz="6" w:space="0" w:color="auto"/>
            </w:tcBorders>
          </w:tcPr>
          <w:p w14:paraId="6395C5F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Должно идти строит, с учетом развития по типу «А»</w:t>
            </w:r>
          </w:p>
          <w:p w14:paraId="03D7A65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6E97C95" w14:textId="77777777">
        <w:trPr>
          <w:trHeight w:val="221"/>
        </w:trPr>
        <w:tc>
          <w:tcPr>
            <w:tcW w:w="403" w:type="dxa"/>
            <w:tcBorders>
              <w:top w:val="single" w:sz="6" w:space="0" w:color="auto"/>
              <w:left w:val="single" w:sz="6" w:space="0" w:color="auto"/>
              <w:bottom w:val="single" w:sz="6" w:space="0" w:color="auto"/>
              <w:right w:val="single" w:sz="6" w:space="0" w:color="auto"/>
            </w:tcBorders>
          </w:tcPr>
          <w:p w14:paraId="7E61EBA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w:t>
            </w:r>
          </w:p>
          <w:p w14:paraId="0D9A56A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74FB7F0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Свердловск</w:t>
            </w:r>
          </w:p>
          <w:p w14:paraId="6F448C5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33C83E4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2409A91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21A9CBC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p w14:paraId="09FA552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63A168D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423F2E3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42" w:type="dxa"/>
            <w:tcBorders>
              <w:top w:val="single" w:sz="6" w:space="0" w:color="auto"/>
              <w:left w:val="single" w:sz="6" w:space="0" w:color="auto"/>
              <w:bottom w:val="single" w:sz="6" w:space="0" w:color="auto"/>
              <w:right w:val="single" w:sz="6" w:space="0" w:color="auto"/>
            </w:tcBorders>
          </w:tcPr>
          <w:p w14:paraId="0CDC930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00487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76C8986" w14:textId="77777777">
        <w:trPr>
          <w:trHeight w:val="230"/>
        </w:trPr>
        <w:tc>
          <w:tcPr>
            <w:tcW w:w="403" w:type="dxa"/>
            <w:tcBorders>
              <w:top w:val="single" w:sz="6" w:space="0" w:color="auto"/>
              <w:left w:val="single" w:sz="6" w:space="0" w:color="auto"/>
              <w:bottom w:val="single" w:sz="6" w:space="0" w:color="auto"/>
              <w:right w:val="single" w:sz="6" w:space="0" w:color="auto"/>
            </w:tcBorders>
          </w:tcPr>
          <w:p w14:paraId="765D618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w:t>
            </w:r>
          </w:p>
          <w:p w14:paraId="77736C8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22186EC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Ростов на Дону</w:t>
            </w:r>
          </w:p>
          <w:p w14:paraId="1E5FD25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5D1536F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11EA4FA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64FEED7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p w14:paraId="22E9F89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04F21EA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p w14:paraId="578DF0A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42" w:type="dxa"/>
            <w:tcBorders>
              <w:top w:val="single" w:sz="6" w:space="0" w:color="auto"/>
              <w:left w:val="single" w:sz="6" w:space="0" w:color="auto"/>
              <w:bottom w:val="single" w:sz="6" w:space="0" w:color="auto"/>
              <w:right w:val="single" w:sz="6" w:space="0" w:color="auto"/>
            </w:tcBorders>
          </w:tcPr>
          <w:p w14:paraId="7B566BF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79DEF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CE8A1BE" w14:textId="77777777">
        <w:trPr>
          <w:trHeight w:val="221"/>
        </w:trPr>
        <w:tc>
          <w:tcPr>
            <w:tcW w:w="403" w:type="dxa"/>
            <w:tcBorders>
              <w:top w:val="single" w:sz="6" w:space="0" w:color="auto"/>
              <w:left w:val="single" w:sz="6" w:space="0" w:color="auto"/>
              <w:bottom w:val="single" w:sz="6" w:space="0" w:color="auto"/>
              <w:right w:val="single" w:sz="6" w:space="0" w:color="auto"/>
            </w:tcBorders>
          </w:tcPr>
          <w:p w14:paraId="69E4859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w:t>
            </w:r>
          </w:p>
          <w:p w14:paraId="7EE5B64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4D8E225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Самара</w:t>
            </w:r>
          </w:p>
          <w:p w14:paraId="60C798E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6441AC1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46739D7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5C6D818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p w14:paraId="700FE07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2C22A10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4787555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42" w:type="dxa"/>
            <w:tcBorders>
              <w:top w:val="single" w:sz="6" w:space="0" w:color="auto"/>
              <w:left w:val="single" w:sz="6" w:space="0" w:color="auto"/>
              <w:bottom w:val="single" w:sz="6" w:space="0" w:color="auto"/>
              <w:right w:val="single" w:sz="6" w:space="0" w:color="auto"/>
            </w:tcBorders>
          </w:tcPr>
          <w:p w14:paraId="2DE1CA5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1D30D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A8404FC" w14:textId="77777777">
        <w:trPr>
          <w:trHeight w:val="374"/>
        </w:trPr>
        <w:tc>
          <w:tcPr>
            <w:tcW w:w="403" w:type="dxa"/>
            <w:tcBorders>
              <w:top w:val="single" w:sz="6" w:space="0" w:color="auto"/>
              <w:left w:val="single" w:sz="6" w:space="0" w:color="auto"/>
              <w:bottom w:val="single" w:sz="6" w:space="0" w:color="auto"/>
              <w:right w:val="single" w:sz="6" w:space="0" w:color="auto"/>
            </w:tcBorders>
          </w:tcPr>
          <w:p w14:paraId="6391E1D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w:t>
            </w:r>
          </w:p>
          <w:p w14:paraId="6E9203E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72AD302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Нижний Новгород</w:t>
            </w:r>
          </w:p>
          <w:p w14:paraId="791D23A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6DEDB5A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535DB3F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4CCEA3F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2E73FC6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32A73A4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5472E85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42" w:type="dxa"/>
            <w:tcBorders>
              <w:top w:val="single" w:sz="6" w:space="0" w:color="auto"/>
              <w:left w:val="single" w:sz="6" w:space="0" w:color="auto"/>
              <w:bottom w:val="single" w:sz="6" w:space="0" w:color="auto"/>
              <w:right w:val="single" w:sz="6" w:space="0" w:color="auto"/>
            </w:tcBorders>
          </w:tcPr>
          <w:p w14:paraId="57474C4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НКВМ не заинтересован в первоочередности строительства</w:t>
            </w:r>
          </w:p>
          <w:p w14:paraId="6547473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091312B" w14:textId="77777777">
        <w:trPr>
          <w:trHeight w:val="221"/>
        </w:trPr>
        <w:tc>
          <w:tcPr>
            <w:tcW w:w="403" w:type="dxa"/>
            <w:tcBorders>
              <w:top w:val="single" w:sz="6" w:space="0" w:color="auto"/>
              <w:left w:val="single" w:sz="6" w:space="0" w:color="auto"/>
              <w:bottom w:val="single" w:sz="6" w:space="0" w:color="auto"/>
              <w:right w:val="single" w:sz="6" w:space="0" w:color="auto"/>
            </w:tcBorders>
          </w:tcPr>
          <w:p w14:paraId="35C028F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w:t>
            </w:r>
          </w:p>
          <w:p w14:paraId="27F14C0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6EFF55E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Новосибирск</w:t>
            </w:r>
          </w:p>
          <w:p w14:paraId="548F6E3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1D82F73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4453A3C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57BF8B4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6A4EBED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69FB2F3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p w14:paraId="644F424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42" w:type="dxa"/>
            <w:tcBorders>
              <w:top w:val="single" w:sz="6" w:space="0" w:color="auto"/>
              <w:left w:val="single" w:sz="6" w:space="0" w:color="auto"/>
              <w:bottom w:val="single" w:sz="6" w:space="0" w:color="auto"/>
              <w:right w:val="single" w:sz="6" w:space="0" w:color="auto"/>
            </w:tcBorders>
          </w:tcPr>
          <w:p w14:paraId="4FAE437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5FAD8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E09FE7D" w14:textId="77777777">
        <w:trPr>
          <w:trHeight w:val="230"/>
        </w:trPr>
        <w:tc>
          <w:tcPr>
            <w:tcW w:w="403" w:type="dxa"/>
            <w:tcBorders>
              <w:top w:val="single" w:sz="6" w:space="0" w:color="auto"/>
              <w:left w:val="single" w:sz="6" w:space="0" w:color="auto"/>
              <w:bottom w:val="single" w:sz="6" w:space="0" w:color="auto"/>
              <w:right w:val="single" w:sz="6" w:space="0" w:color="auto"/>
            </w:tcBorders>
          </w:tcPr>
          <w:p w14:paraId="6D1814B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w:t>
            </w:r>
          </w:p>
          <w:p w14:paraId="4FDF7F0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4C1830F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Сталинград</w:t>
            </w:r>
          </w:p>
          <w:p w14:paraId="571C3BC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712DB09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00DC30E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1A4DC40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3466D2E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67B6E03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p w14:paraId="6DC5A2A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42" w:type="dxa"/>
            <w:tcBorders>
              <w:top w:val="single" w:sz="6" w:space="0" w:color="auto"/>
              <w:left w:val="single" w:sz="6" w:space="0" w:color="auto"/>
              <w:bottom w:val="single" w:sz="6" w:space="0" w:color="auto"/>
              <w:right w:val="single" w:sz="6" w:space="0" w:color="auto"/>
            </w:tcBorders>
          </w:tcPr>
          <w:p w14:paraId="51FE711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4603B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8948B99" w14:textId="77777777">
        <w:trPr>
          <w:trHeight w:val="230"/>
        </w:trPr>
        <w:tc>
          <w:tcPr>
            <w:tcW w:w="403" w:type="dxa"/>
            <w:tcBorders>
              <w:top w:val="single" w:sz="6" w:space="0" w:color="auto"/>
              <w:left w:val="single" w:sz="6" w:space="0" w:color="auto"/>
              <w:bottom w:val="single" w:sz="6" w:space="0" w:color="auto"/>
              <w:right w:val="single" w:sz="6" w:space="0" w:color="auto"/>
            </w:tcBorders>
          </w:tcPr>
          <w:p w14:paraId="6074EE4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w:t>
            </w:r>
          </w:p>
          <w:p w14:paraId="00E6172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1612E23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Иркутск</w:t>
            </w:r>
          </w:p>
          <w:p w14:paraId="6D7D813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02D4196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1DDE650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77D749C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p w14:paraId="19369F5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5F8C18E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1CA56F7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42" w:type="dxa"/>
            <w:tcBorders>
              <w:top w:val="single" w:sz="6" w:space="0" w:color="auto"/>
              <w:left w:val="single" w:sz="6" w:space="0" w:color="auto"/>
              <w:bottom w:val="single" w:sz="6" w:space="0" w:color="auto"/>
              <w:right w:val="single" w:sz="6" w:space="0" w:color="auto"/>
            </w:tcBorders>
          </w:tcPr>
          <w:p w14:paraId="11B26F5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6541A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570FDD9" w14:textId="77777777">
        <w:trPr>
          <w:trHeight w:val="221"/>
        </w:trPr>
        <w:tc>
          <w:tcPr>
            <w:tcW w:w="403" w:type="dxa"/>
            <w:tcBorders>
              <w:top w:val="single" w:sz="6" w:space="0" w:color="auto"/>
              <w:left w:val="single" w:sz="6" w:space="0" w:color="auto"/>
              <w:bottom w:val="single" w:sz="6" w:space="0" w:color="auto"/>
              <w:right w:val="single" w:sz="6" w:space="0" w:color="auto"/>
            </w:tcBorders>
          </w:tcPr>
          <w:p w14:paraId="15BC1D9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w:t>
            </w:r>
          </w:p>
          <w:p w14:paraId="6CC7D56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4952254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Харьков</w:t>
            </w:r>
          </w:p>
          <w:p w14:paraId="6F6C3D3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2674C0C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p w14:paraId="6814072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6362545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p w14:paraId="4E4AF8F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2D3D96F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2ED4370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42" w:type="dxa"/>
            <w:tcBorders>
              <w:top w:val="single" w:sz="6" w:space="0" w:color="auto"/>
              <w:left w:val="single" w:sz="6" w:space="0" w:color="auto"/>
              <w:bottom w:val="single" w:sz="6" w:space="0" w:color="auto"/>
              <w:right w:val="single" w:sz="6" w:space="0" w:color="auto"/>
            </w:tcBorders>
          </w:tcPr>
          <w:p w14:paraId="1E50BA9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первую очередь «Б» с вариантом «А»</w:t>
            </w:r>
          </w:p>
          <w:p w14:paraId="1A13675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7499799" w14:textId="77777777">
        <w:trPr>
          <w:trHeight w:val="230"/>
        </w:trPr>
        <w:tc>
          <w:tcPr>
            <w:tcW w:w="403" w:type="dxa"/>
            <w:tcBorders>
              <w:top w:val="single" w:sz="6" w:space="0" w:color="auto"/>
              <w:left w:val="single" w:sz="6" w:space="0" w:color="auto"/>
              <w:bottom w:val="single" w:sz="6" w:space="0" w:color="auto"/>
              <w:right w:val="single" w:sz="6" w:space="0" w:color="auto"/>
            </w:tcBorders>
          </w:tcPr>
          <w:p w14:paraId="0AC76E5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w:t>
            </w:r>
          </w:p>
          <w:p w14:paraId="1FE0A08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077A1E6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Кременчуг</w:t>
            </w:r>
          </w:p>
          <w:p w14:paraId="72EC147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65DA70B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0823525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4E1A5AA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p w14:paraId="64146EF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7EF2D43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44C37EC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42" w:type="dxa"/>
            <w:tcBorders>
              <w:top w:val="single" w:sz="6" w:space="0" w:color="auto"/>
              <w:left w:val="single" w:sz="6" w:space="0" w:color="auto"/>
              <w:bottom w:val="single" w:sz="6" w:space="0" w:color="auto"/>
              <w:right w:val="single" w:sz="6" w:space="0" w:color="auto"/>
            </w:tcBorders>
          </w:tcPr>
          <w:p w14:paraId="1AE3281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Через Наркомзем.</w:t>
            </w:r>
          </w:p>
          <w:p w14:paraId="178653C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E6AFDA5" w14:textId="77777777">
        <w:trPr>
          <w:trHeight w:val="365"/>
        </w:trPr>
        <w:tc>
          <w:tcPr>
            <w:tcW w:w="403" w:type="dxa"/>
            <w:tcBorders>
              <w:top w:val="single" w:sz="6" w:space="0" w:color="auto"/>
              <w:left w:val="single" w:sz="6" w:space="0" w:color="auto"/>
              <w:bottom w:val="single" w:sz="6" w:space="0" w:color="auto"/>
              <w:right w:val="single" w:sz="6" w:space="0" w:color="auto"/>
            </w:tcBorders>
          </w:tcPr>
          <w:p w14:paraId="7D497DE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w:t>
            </w:r>
          </w:p>
          <w:p w14:paraId="0770F9E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142F5EF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Тифлис</w:t>
            </w:r>
          </w:p>
          <w:p w14:paraId="785C14D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7F98120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p w14:paraId="07F9ABD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1041D0E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47F76B6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79DF5D0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p w14:paraId="09019C6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42" w:type="dxa"/>
            <w:tcBorders>
              <w:top w:val="single" w:sz="6" w:space="0" w:color="auto"/>
              <w:left w:val="single" w:sz="6" w:space="0" w:color="auto"/>
              <w:bottom w:val="single" w:sz="6" w:space="0" w:color="auto"/>
              <w:right w:val="single" w:sz="6" w:space="0" w:color="auto"/>
            </w:tcBorders>
          </w:tcPr>
          <w:p w14:paraId="1DD91B5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включены на 1932 г. по заявлению Авторемснаба.</w:t>
            </w:r>
          </w:p>
          <w:p w14:paraId="2CFBAEB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B7592B5" w14:textId="77777777">
        <w:trPr>
          <w:trHeight w:val="240"/>
        </w:trPr>
        <w:tc>
          <w:tcPr>
            <w:tcW w:w="403" w:type="dxa"/>
            <w:tcBorders>
              <w:top w:val="single" w:sz="6" w:space="0" w:color="auto"/>
              <w:left w:val="single" w:sz="6" w:space="0" w:color="auto"/>
              <w:bottom w:val="single" w:sz="6" w:space="0" w:color="auto"/>
              <w:right w:val="single" w:sz="6" w:space="0" w:color="auto"/>
            </w:tcBorders>
          </w:tcPr>
          <w:p w14:paraId="7991883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w:t>
            </w:r>
          </w:p>
          <w:p w14:paraId="5F24A28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1B7C774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Ташкент</w:t>
            </w:r>
          </w:p>
          <w:p w14:paraId="10F7BA6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0AB6C75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2109A70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0A5A66C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p w14:paraId="4925BDF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47F5156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2043E3F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42" w:type="dxa"/>
            <w:tcBorders>
              <w:top w:val="single" w:sz="6" w:space="0" w:color="auto"/>
              <w:left w:val="single" w:sz="6" w:space="0" w:color="auto"/>
              <w:bottom w:val="single" w:sz="6" w:space="0" w:color="auto"/>
              <w:right w:val="single" w:sz="6" w:space="0" w:color="auto"/>
            </w:tcBorders>
          </w:tcPr>
          <w:p w14:paraId="678E689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4FDA4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88A1D7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 настоящего времени это мероприятие не реализовано, до сих пор ничего не сделано, как! линии разработки проектов мастерских, так и по линии отпуска средств на постройку их и оборудо вание.</w:t>
      </w:r>
    </w:p>
    <w:p w14:paraId="7598634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Госплан СССР представил доклад в Правительство об отпуске 10 миллионов рублей на пос ку этих мастерских, но до настоящего времени Правительством вопрос не разрешен.</w:t>
      </w:r>
    </w:p>
    <w:p w14:paraId="72254B7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Президиум ВСНХ предусмотренные финансовым планом ВАТО ассигнования для этой цели! ключил.</w:t>
      </w:r>
    </w:p>
    <w:p w14:paraId="1BCE23A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Ремонт в военное время</w:t>
      </w:r>
    </w:p>
    <w:p w14:paraId="4E3B63E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Потребность Наркомвоенмора в капитальном ремонте выражается в следующих цифрах:</w:t>
      </w:r>
    </w:p>
    <w:tbl>
      <w:tblPr>
        <w:tblW w:w="0" w:type="auto"/>
        <w:tblInd w:w="40" w:type="dxa"/>
        <w:tblLayout w:type="fixed"/>
        <w:tblCellMar>
          <w:left w:w="40" w:type="dxa"/>
          <w:right w:w="40" w:type="dxa"/>
        </w:tblCellMar>
        <w:tblLook w:val="0000" w:firstRow="0" w:lastRow="0" w:firstColumn="0" w:lastColumn="0" w:noHBand="0" w:noVBand="0"/>
      </w:tblPr>
      <w:tblGrid>
        <w:gridCol w:w="490"/>
        <w:gridCol w:w="2573"/>
        <w:gridCol w:w="1526"/>
        <w:gridCol w:w="1555"/>
        <w:gridCol w:w="1546"/>
      </w:tblGrid>
      <w:tr w:rsidR="001002C3" w:rsidRPr="005E779E" w14:paraId="3B31C8A6" w14:textId="77777777">
        <w:trPr>
          <w:trHeight w:val="230"/>
        </w:trPr>
        <w:tc>
          <w:tcPr>
            <w:tcW w:w="490" w:type="dxa"/>
            <w:tcBorders>
              <w:top w:val="single" w:sz="6" w:space="0" w:color="auto"/>
              <w:left w:val="single" w:sz="6" w:space="0" w:color="auto"/>
              <w:bottom w:val="single" w:sz="6" w:space="0" w:color="auto"/>
              <w:right w:val="single" w:sz="6" w:space="0" w:color="auto"/>
            </w:tcBorders>
          </w:tcPr>
          <w:p w14:paraId="5774C71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06E1A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73" w:type="dxa"/>
            <w:tcBorders>
              <w:top w:val="single" w:sz="6" w:space="0" w:color="auto"/>
              <w:left w:val="single" w:sz="6" w:space="0" w:color="auto"/>
              <w:bottom w:val="single" w:sz="6" w:space="0" w:color="auto"/>
              <w:right w:val="single" w:sz="6" w:space="0" w:color="auto"/>
            </w:tcBorders>
          </w:tcPr>
          <w:p w14:paraId="410C6A4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56547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4EF2A92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 г.</w:t>
            </w:r>
          </w:p>
          <w:p w14:paraId="4E4F194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4B8A6F4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 г.</w:t>
            </w:r>
          </w:p>
          <w:p w14:paraId="18DC85A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5F00701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1933г.</w:t>
            </w:r>
          </w:p>
          <w:p w14:paraId="2ED84DE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94E50EE" w14:textId="77777777">
        <w:trPr>
          <w:trHeight w:val="221"/>
        </w:trPr>
        <w:tc>
          <w:tcPr>
            <w:tcW w:w="490" w:type="dxa"/>
            <w:tcBorders>
              <w:top w:val="single" w:sz="6" w:space="0" w:color="auto"/>
              <w:left w:val="single" w:sz="6" w:space="0" w:color="auto"/>
              <w:bottom w:val="single" w:sz="6" w:space="0" w:color="auto"/>
              <w:right w:val="single" w:sz="6" w:space="0" w:color="auto"/>
            </w:tcBorders>
          </w:tcPr>
          <w:p w14:paraId="7FEB5C7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p w14:paraId="034680F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73" w:type="dxa"/>
            <w:tcBorders>
              <w:top w:val="single" w:sz="6" w:space="0" w:color="auto"/>
              <w:left w:val="single" w:sz="6" w:space="0" w:color="auto"/>
              <w:bottom w:val="single" w:sz="6" w:space="0" w:color="auto"/>
              <w:right w:val="single" w:sz="6" w:space="0" w:color="auto"/>
            </w:tcBorders>
          </w:tcPr>
          <w:p w14:paraId="42CD7D6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Танки малые</w:t>
            </w:r>
          </w:p>
          <w:p w14:paraId="604FFEA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77E94CA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3.120</w:t>
            </w:r>
          </w:p>
          <w:p w14:paraId="4C2E391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24504D5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8.200</w:t>
            </w:r>
          </w:p>
          <w:p w14:paraId="37B4E33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317DAD8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11.600</w:t>
            </w:r>
          </w:p>
          <w:p w14:paraId="3D776AF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F68037B" w14:textId="77777777">
        <w:trPr>
          <w:trHeight w:val="221"/>
        </w:trPr>
        <w:tc>
          <w:tcPr>
            <w:tcW w:w="490" w:type="dxa"/>
            <w:tcBorders>
              <w:top w:val="single" w:sz="6" w:space="0" w:color="auto"/>
              <w:left w:val="single" w:sz="6" w:space="0" w:color="auto"/>
              <w:bottom w:val="single" w:sz="6" w:space="0" w:color="auto"/>
              <w:right w:val="single" w:sz="6" w:space="0" w:color="auto"/>
            </w:tcBorders>
          </w:tcPr>
          <w:p w14:paraId="3C8388D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p w14:paraId="1D25536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73" w:type="dxa"/>
            <w:tcBorders>
              <w:top w:val="single" w:sz="6" w:space="0" w:color="auto"/>
              <w:left w:val="single" w:sz="6" w:space="0" w:color="auto"/>
              <w:bottom w:val="single" w:sz="6" w:space="0" w:color="auto"/>
              <w:right w:val="single" w:sz="6" w:space="0" w:color="auto"/>
            </w:tcBorders>
          </w:tcPr>
          <w:p w14:paraId="3BFE8D0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Танки средние</w:t>
            </w:r>
          </w:p>
          <w:p w14:paraId="2F765A1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6A6AA51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w:t>
            </w:r>
          </w:p>
          <w:p w14:paraId="184CCF9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55C53C2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1.620</w:t>
            </w:r>
          </w:p>
          <w:p w14:paraId="0AA0C17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542BA9C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4.000</w:t>
            </w:r>
          </w:p>
          <w:p w14:paraId="2A1D418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006DC31" w14:textId="77777777">
        <w:trPr>
          <w:trHeight w:val="230"/>
        </w:trPr>
        <w:tc>
          <w:tcPr>
            <w:tcW w:w="490" w:type="dxa"/>
            <w:tcBorders>
              <w:top w:val="single" w:sz="6" w:space="0" w:color="auto"/>
              <w:left w:val="single" w:sz="6" w:space="0" w:color="auto"/>
              <w:bottom w:val="single" w:sz="6" w:space="0" w:color="auto"/>
              <w:right w:val="single" w:sz="6" w:space="0" w:color="auto"/>
            </w:tcBorders>
          </w:tcPr>
          <w:p w14:paraId="145A4FF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p w14:paraId="67B9844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73" w:type="dxa"/>
            <w:tcBorders>
              <w:top w:val="single" w:sz="6" w:space="0" w:color="auto"/>
              <w:left w:val="single" w:sz="6" w:space="0" w:color="auto"/>
              <w:bottom w:val="single" w:sz="6" w:space="0" w:color="auto"/>
              <w:right w:val="single" w:sz="6" w:space="0" w:color="auto"/>
            </w:tcBorders>
          </w:tcPr>
          <w:p w14:paraId="531371D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Танкетки</w:t>
            </w:r>
          </w:p>
          <w:p w14:paraId="2C029F0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7B9C385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800</w:t>
            </w:r>
          </w:p>
          <w:p w14:paraId="332A6F8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7E051C5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2.200</w:t>
            </w:r>
          </w:p>
          <w:p w14:paraId="251D9D2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7C2205A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6.574</w:t>
            </w:r>
          </w:p>
          <w:p w14:paraId="4040C65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5185459" w14:textId="77777777">
        <w:trPr>
          <w:trHeight w:val="221"/>
        </w:trPr>
        <w:tc>
          <w:tcPr>
            <w:tcW w:w="490" w:type="dxa"/>
            <w:tcBorders>
              <w:top w:val="single" w:sz="6" w:space="0" w:color="auto"/>
              <w:left w:val="single" w:sz="6" w:space="0" w:color="auto"/>
              <w:bottom w:val="single" w:sz="6" w:space="0" w:color="auto"/>
              <w:right w:val="single" w:sz="6" w:space="0" w:color="auto"/>
            </w:tcBorders>
          </w:tcPr>
          <w:p w14:paraId="723A07A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w:t>
            </w:r>
          </w:p>
          <w:p w14:paraId="3745B42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73" w:type="dxa"/>
            <w:tcBorders>
              <w:top w:val="single" w:sz="6" w:space="0" w:color="auto"/>
              <w:left w:val="single" w:sz="6" w:space="0" w:color="auto"/>
              <w:bottom w:val="single" w:sz="6" w:space="0" w:color="auto"/>
              <w:right w:val="single" w:sz="6" w:space="0" w:color="auto"/>
            </w:tcBorders>
          </w:tcPr>
          <w:p w14:paraId="081CB4C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Трактора</w:t>
            </w:r>
          </w:p>
          <w:p w14:paraId="504F044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0263685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2.507</w:t>
            </w:r>
          </w:p>
          <w:p w14:paraId="3AA7927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49AA176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7.300</w:t>
            </w:r>
          </w:p>
          <w:p w14:paraId="1D4FA74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13D1FE4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40.800</w:t>
            </w:r>
          </w:p>
          <w:p w14:paraId="7A13CFD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E36F914" w14:textId="77777777">
        <w:trPr>
          <w:trHeight w:val="221"/>
        </w:trPr>
        <w:tc>
          <w:tcPr>
            <w:tcW w:w="490" w:type="dxa"/>
            <w:tcBorders>
              <w:top w:val="single" w:sz="6" w:space="0" w:color="auto"/>
              <w:left w:val="single" w:sz="6" w:space="0" w:color="auto"/>
              <w:bottom w:val="single" w:sz="6" w:space="0" w:color="auto"/>
              <w:right w:val="single" w:sz="6" w:space="0" w:color="auto"/>
            </w:tcBorders>
          </w:tcPr>
          <w:p w14:paraId="7168C8D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w:t>
            </w:r>
          </w:p>
          <w:p w14:paraId="5BEE29F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73" w:type="dxa"/>
            <w:tcBorders>
              <w:top w:val="single" w:sz="6" w:space="0" w:color="auto"/>
              <w:left w:val="single" w:sz="6" w:space="0" w:color="auto"/>
              <w:bottom w:val="single" w:sz="6" w:space="0" w:color="auto"/>
              <w:right w:val="single" w:sz="6" w:space="0" w:color="auto"/>
            </w:tcBorders>
          </w:tcPr>
          <w:p w14:paraId="5ACCA96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Автолегковые</w:t>
            </w:r>
          </w:p>
          <w:p w14:paraId="788B582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14C2203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2.800</w:t>
            </w:r>
          </w:p>
          <w:p w14:paraId="765BD46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3BF019C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5.500</w:t>
            </w:r>
          </w:p>
          <w:p w14:paraId="0519E78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4DD2C4C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15.000</w:t>
            </w:r>
          </w:p>
          <w:p w14:paraId="29D5129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28E07C8" w14:textId="77777777">
        <w:trPr>
          <w:trHeight w:val="221"/>
        </w:trPr>
        <w:tc>
          <w:tcPr>
            <w:tcW w:w="490" w:type="dxa"/>
            <w:tcBorders>
              <w:top w:val="single" w:sz="6" w:space="0" w:color="auto"/>
              <w:left w:val="single" w:sz="6" w:space="0" w:color="auto"/>
              <w:bottom w:val="single" w:sz="6" w:space="0" w:color="auto"/>
              <w:right w:val="single" w:sz="6" w:space="0" w:color="auto"/>
            </w:tcBorders>
          </w:tcPr>
          <w:p w14:paraId="4DFE666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w:t>
            </w:r>
          </w:p>
          <w:p w14:paraId="33AA89A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73" w:type="dxa"/>
            <w:tcBorders>
              <w:top w:val="single" w:sz="6" w:space="0" w:color="auto"/>
              <w:left w:val="single" w:sz="6" w:space="0" w:color="auto"/>
              <w:bottom w:val="single" w:sz="6" w:space="0" w:color="auto"/>
              <w:right w:val="single" w:sz="6" w:space="0" w:color="auto"/>
            </w:tcBorders>
          </w:tcPr>
          <w:p w14:paraId="306FB38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Автогрузовые</w:t>
            </w:r>
          </w:p>
          <w:p w14:paraId="4846C5B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5E1BD37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8.400</w:t>
            </w:r>
          </w:p>
          <w:p w14:paraId="6C8D9D0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0FCF0DD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30.240</w:t>
            </w:r>
          </w:p>
          <w:p w14:paraId="1552860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19EBEE9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60.000</w:t>
            </w:r>
          </w:p>
          <w:p w14:paraId="0B2C037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1F85F74" w14:textId="77777777">
        <w:trPr>
          <w:trHeight w:val="250"/>
        </w:trPr>
        <w:tc>
          <w:tcPr>
            <w:tcW w:w="490" w:type="dxa"/>
            <w:tcBorders>
              <w:top w:val="single" w:sz="6" w:space="0" w:color="auto"/>
              <w:left w:val="single" w:sz="6" w:space="0" w:color="auto"/>
              <w:bottom w:val="single" w:sz="6" w:space="0" w:color="auto"/>
              <w:right w:val="single" w:sz="6" w:space="0" w:color="auto"/>
            </w:tcBorders>
          </w:tcPr>
          <w:p w14:paraId="0DCD60C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w:t>
            </w:r>
          </w:p>
          <w:p w14:paraId="1B071D1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73" w:type="dxa"/>
            <w:tcBorders>
              <w:top w:val="single" w:sz="6" w:space="0" w:color="auto"/>
              <w:left w:val="single" w:sz="6" w:space="0" w:color="auto"/>
              <w:bottom w:val="single" w:sz="6" w:space="0" w:color="auto"/>
              <w:right w:val="single" w:sz="6" w:space="0" w:color="auto"/>
            </w:tcBorders>
          </w:tcPr>
          <w:p w14:paraId="7AF4EBC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Бронемашины</w:t>
            </w:r>
          </w:p>
          <w:p w14:paraId="2106100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00A0C09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404</w:t>
            </w:r>
          </w:p>
          <w:p w14:paraId="320A477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4F64607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560</w:t>
            </w:r>
          </w:p>
          <w:p w14:paraId="58D4CDF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76ED748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1.200</w:t>
            </w:r>
          </w:p>
          <w:p w14:paraId="0E9B96E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3072A89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постановлением Правительства от 6 января 1930 г. капитальный ремонт будет костью производиться на заводах промышленности, кроме того, к производству капитального ионта привлекаются мастерские машинотракторных станций НКЗ СССР.</w:t>
      </w:r>
    </w:p>
    <w:p w14:paraId="39B9FB8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Средний ремонт намечается производить в подвижных железнодорожных мастерских, орга-уемых из расчета 1-2 мастерских на Армию. Пропускная способность этих мастерских спроектирована в количестве до 10.000 средних ре-</w:t>
      </w:r>
    </w:p>
    <w:p w14:paraId="2EF338A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ов в год. В случае перегрузки этих мастерских часть ремонта будет передаваться на заводы промышлен-</w:t>
      </w:r>
    </w:p>
    <w:p w14:paraId="43D0DA2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I и мастерские НКЗ СССР.</w:t>
      </w:r>
    </w:p>
    <w:p w14:paraId="3E4EA7B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Мелкий ремонт намечается производить в походных войсковых мастерских; эти мастерские друются на прицепных повозках или автомашинах и возятся непосредственно войсковой ча-о, потребность в мастерских из расчета одна мастерская на 25 машин выражается: на 1931 г. — 500 мастерских на 1932 г. - 2.000 мастерских на 1933 г. — 5.000 мастерских</w:t>
      </w:r>
    </w:p>
    <w:p w14:paraId="6A85209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4. Весь ремонт (капитальный, средний и мелкий) основан на замене изношенных отдельных ча</w:t>
      </w:r>
      <w:r w:rsidRPr="005E779E">
        <w:rPr>
          <w:rFonts w:ascii="Times New Roman" w:hAnsi="Times New Roman"/>
          <w:color w:val="000000" w:themeColor="text1"/>
          <w:sz w:val="16"/>
          <w:szCs w:val="16"/>
        </w:rPr>
        <w:softHyphen/>
        <w:t>дили целых агрегатов. Однако каждая мастерская снабжается необходимым оборудованием для</w:t>
      </w:r>
    </w:p>
    <w:p w14:paraId="104076D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оизводства простейших деталей; на заводы же промышленности, производящие капитальный ремонт, возлагается задача производить более сложные детали.</w:t>
      </w:r>
    </w:p>
    <w:p w14:paraId="141C914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Для организаций производства ремонта в пределах каждого фронта организуется при Началь-: механизированных и моторизированных войск особое управление по производству капиталь-</w:t>
      </w:r>
    </w:p>
    <w:p w14:paraId="26FDB22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|яого и среднего ремонта. Это Управление в технико-производственном отношении подчиняется со-ветствующим органам промышленности, а в оперативном отношении - Начальнику механизиро-</w:t>
      </w:r>
    </w:p>
    <w:p w14:paraId="6DA82A7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|ванных и моторизированных войск фронта.</w:t>
      </w:r>
    </w:p>
    <w:p w14:paraId="67727FE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Промышленность через это Управление организует ремонт, обеспечивает его всем снабжением и несет ответственность за своевременный и качественный ремонт машин.</w:t>
      </w:r>
    </w:p>
    <w:p w14:paraId="2EA0DAC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Обеспеченность РККА всеми видами ремонта автобронетанкотракторного имущества характеризуется следующими моментами:</w:t>
      </w:r>
    </w:p>
    <w:p w14:paraId="6BF6617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в части мелкого ремонта - вместо 500 походных войсковых мастерских на 1931 г. имеется в настоящее время лишь 20 мастерских;</w:t>
      </w:r>
    </w:p>
    <w:p w14:paraId="66068D5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в части среднего ремонта - представленная промышленности заявка на оборудование 10 железнодорожных мастерских к исполнению не принята. Обеспеченность средним ремонтом машин , РККА на время войны равна нулю.</w:t>
      </w:r>
    </w:p>
    <w:p w14:paraId="246829F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в части капитального ремонта — ВСНХ СССР и НКЗ СССР дано мобзадание на производство ремонта.</w:t>
      </w:r>
    </w:p>
    <w:p w14:paraId="4B1F359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настоящее время это задание прорабатывается; однако до сего времени еще не выяснен воп</w:t>
      </w:r>
      <w:r w:rsidRPr="005E779E">
        <w:rPr>
          <w:rFonts w:ascii="Times New Roman" w:hAnsi="Times New Roman"/>
          <w:color w:val="000000" w:themeColor="text1"/>
          <w:sz w:val="16"/>
          <w:szCs w:val="16"/>
        </w:rPr>
        <w:softHyphen/>
        <w:t>рос, какие заводы и в каком размере будут выполнять ремонт.</w:t>
      </w:r>
    </w:p>
    <w:p w14:paraId="0757863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ВРИД начальника УММ РККА Калиновский</w:t>
      </w:r>
    </w:p>
    <w:p w14:paraId="43C409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РГВА. Ф. 31811. Оп. 2. Д. 58. Л. 50 - 52. Копия (11210).</w:t>
      </w:r>
    </w:p>
    <w:p w14:paraId="52B3FF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E65454D" w14:textId="77777777" w:rsidR="00974187" w:rsidRPr="005E779E" w:rsidRDefault="00974187"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bCs/>
          <w:iCs/>
          <w:color w:val="000000" w:themeColor="text1"/>
          <w:sz w:val="16"/>
          <w:szCs w:val="16"/>
        </w:rPr>
        <w:t>12-16 мая 1931 г.</w:t>
      </w:r>
      <w:r w:rsidRPr="005E779E">
        <w:rPr>
          <w:rFonts w:ascii="Times New Roman" w:hAnsi="Times New Roman"/>
          <w:color w:val="000000" w:themeColor="text1"/>
          <w:sz w:val="16"/>
          <w:szCs w:val="16"/>
        </w:rPr>
        <w:t xml:space="preserve"> В ВОХИМУ РККА была проведена конференция по ядовитым дымам — производству, боевому применению, токсикологии (17133).</w:t>
      </w:r>
    </w:p>
    <w:p w14:paraId="6E207B8D" w14:textId="77777777" w:rsidR="00974187" w:rsidRPr="005E779E" w:rsidRDefault="00974187" w:rsidP="000B7A6C">
      <w:pPr>
        <w:shd w:val="clear" w:color="auto" w:fill="FFFFFF"/>
        <w:spacing w:after="0" w:line="240" w:lineRule="auto"/>
        <w:jc w:val="both"/>
        <w:rPr>
          <w:rFonts w:ascii="Times New Roman" w:hAnsi="Times New Roman"/>
          <w:color w:val="000000" w:themeColor="text1"/>
          <w:sz w:val="16"/>
          <w:szCs w:val="16"/>
        </w:rPr>
      </w:pPr>
    </w:p>
    <w:p w14:paraId="6F30D598"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3F7F0E59"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85635F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мая 1931 года – максимальная достигнутая высота полета геликоптера СОК ЭАО ЦАГИ была уже 11-12 м, причем в воздухе был осуществлен поворот направо и налево (6926, 5).</w:t>
      </w:r>
    </w:p>
    <w:p w14:paraId="6E61F39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CAC90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мая 1931 года на КАСКР-2 было выполнено 4 полета про</w:t>
      </w:r>
      <w:r w:rsidRPr="005E779E">
        <w:rPr>
          <w:rFonts w:ascii="Times New Roman" w:hAnsi="Times New Roman"/>
          <w:color w:val="000000" w:themeColor="text1"/>
          <w:sz w:val="16"/>
          <w:szCs w:val="16"/>
        </w:rPr>
        <w:softHyphen/>
        <w:t>должительностью до 7 минут на высоте до 250 метров (10224,35).</w:t>
      </w:r>
    </w:p>
    <w:p w14:paraId="048F4EB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CC74CA" w14:textId="77777777" w:rsidR="00E454FF"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26A931D7" w14:textId="77777777" w:rsidR="00E454FF" w:rsidRPr="005E779E" w:rsidRDefault="00E454FF"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3E9D162" w14:textId="77777777" w:rsidR="00E454FF" w:rsidRPr="005E779E" w:rsidRDefault="00E454FF" w:rsidP="000B7A6C">
      <w:pPr>
        <w:pStyle w:val="rtejustify"/>
        <w:spacing w:before="0" w:after="0"/>
        <w:rPr>
          <w:color w:val="000000" w:themeColor="text1"/>
          <w:sz w:val="16"/>
          <w:szCs w:val="16"/>
        </w:rPr>
      </w:pPr>
      <w:r w:rsidRPr="005E779E">
        <w:rPr>
          <w:rStyle w:val="af0"/>
          <w:i w:val="0"/>
          <w:color w:val="000000" w:themeColor="text1"/>
          <w:sz w:val="16"/>
          <w:szCs w:val="16"/>
        </w:rPr>
        <w:t>13 мая 1931 г. Протокол Реввоенсовета № 17.</w:t>
      </w:r>
      <w:r w:rsidRPr="005E779E">
        <w:rPr>
          <w:color w:val="000000" w:themeColor="text1"/>
          <w:sz w:val="16"/>
          <w:szCs w:val="16"/>
        </w:rPr>
        <w:t xml:space="preserve"> 14. О заключении договоров на выполнение заказов (Хрулев). 16. 180</w:t>
      </w:r>
      <w:r w:rsidRPr="005E779E">
        <w:rPr>
          <w:color w:val="000000" w:themeColor="text1"/>
          <w:sz w:val="16"/>
          <w:szCs w:val="16"/>
        </w:rPr>
        <w:noBreakHyphen/>
        <w:t>мм пушки для вооружения судов, БО, ТАК и железнодорожных транспортеров (Коноплев). (РГВА. Ф. 4. Оп. 18. Д. 20. Л. 270, 271) (12342).</w:t>
      </w:r>
    </w:p>
    <w:p w14:paraId="7C1272FE" w14:textId="77777777" w:rsidR="00E454FF" w:rsidRPr="005E779E" w:rsidRDefault="00E454FF" w:rsidP="000B7A6C">
      <w:pPr>
        <w:pStyle w:val="rtejustify"/>
        <w:spacing w:before="0" w:after="0"/>
        <w:rPr>
          <w:color w:val="000000" w:themeColor="text1"/>
          <w:sz w:val="16"/>
          <w:szCs w:val="16"/>
        </w:rPr>
      </w:pPr>
    </w:p>
    <w:p w14:paraId="6AD264AB" w14:textId="77777777" w:rsidR="00E454FF" w:rsidRPr="005E779E" w:rsidRDefault="00E454FF"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13 мая 1931 </w:t>
      </w:r>
      <w:r w:rsidRPr="005E779E">
        <w:rPr>
          <w:rFonts w:ascii="Times New Roman" w:hAnsi="Times New Roman"/>
          <w:color w:val="000000" w:themeColor="text1"/>
          <w:sz w:val="16"/>
          <w:szCs w:val="16"/>
        </w:rPr>
        <w:t>Комиссия исполнения при СНК приняла постановление «О выполнении постановления СТО о работе ленинградских судостроительных заводов» (12265).</w:t>
      </w:r>
    </w:p>
    <w:p w14:paraId="246CF1A1" w14:textId="77777777" w:rsidR="00E454FF" w:rsidRPr="005E779E" w:rsidRDefault="00E454F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027E6A8F" w14:textId="77777777" w:rsidR="00E454FF" w:rsidRPr="005E779E" w:rsidRDefault="00E454FF"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13 мая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Постановление ЦИК и СНК СССР № 85сс о привлечении местного населения к охране электроэнергетических линий в военное время (ГА РФ. Ф. Р?8418. Оп. 28. Д. 14а. Л. 17) (12415).</w:t>
      </w:r>
    </w:p>
    <w:p w14:paraId="46CAA4D9" w14:textId="77777777" w:rsidR="00E454FF" w:rsidRPr="005E779E" w:rsidRDefault="00E454FF"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Постановление Комиссии исполнения при СНК СССР о выполнении постановления СТО о работе ленинградских судостроительных заводов (СЗ. 1931. № 30. Ст. 235) (12415).</w:t>
      </w:r>
    </w:p>
    <w:p w14:paraId="6722FBD0" w14:textId="77777777" w:rsidR="00E454FF" w:rsidRPr="005E779E" w:rsidRDefault="00E454FF" w:rsidP="000B7A6C">
      <w:pPr>
        <w:spacing w:after="0" w:line="240" w:lineRule="auto"/>
        <w:jc w:val="both"/>
        <w:rPr>
          <w:rFonts w:ascii="Times New Roman" w:hAnsi="Times New Roman"/>
          <w:color w:val="000000" w:themeColor="text1"/>
          <w:sz w:val="16"/>
          <w:szCs w:val="16"/>
          <w:u w:color="002060"/>
        </w:rPr>
      </w:pPr>
    </w:p>
    <w:p w14:paraId="44234962"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18C300E2"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C058E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мая 1931 президентом Франции стал П.Думер (3907,167).</w:t>
      </w:r>
    </w:p>
    <w:p w14:paraId="4C2A72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373171C"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414A4A2A"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A0C01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1931 (14 мая - 79,129) Д.П.Г. освободили, но вместе с ним не всех (97,22).</w:t>
      </w:r>
    </w:p>
    <w:p w14:paraId="19A465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 Д.П.Г. пришел домой без сопровождающего (значит раньше приходил с ним) (79,128).</w:t>
      </w:r>
    </w:p>
    <w:p w14:paraId="52CFF8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F80B816" w14:textId="77777777" w:rsidR="000C5254" w:rsidRPr="005E779E" w:rsidRDefault="000C5254"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5822E7CD" w14:textId="77777777" w:rsidR="000C5254" w:rsidRPr="005E779E" w:rsidRDefault="000C5254"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E238C12" w14:textId="77777777" w:rsidR="000C5254" w:rsidRPr="005E779E" w:rsidRDefault="000C525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мая 1931 г. комиссия Политбюро постановила внести в план мероприятий новый пункт в следующей редакции: «Поручить Моссовету и МК образовать комиссию для рассмотрения всех существующих проектов различных средств сообщения и разработать проект метрополитена. Срок: 3 месяца»{314}.</w:t>
      </w:r>
    </w:p>
    <w:p w14:paraId="44C17E42" w14:textId="77777777" w:rsidR="000C5254" w:rsidRPr="005E779E" w:rsidRDefault="000C525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Здесь отчетливо шла речь о метрополитене. Что имел в виду Сталин, от которого исходила инициатива включен ия этого пункта, метро ли для внутригородского сообщения, городской транспорт типа железной дороги или то и другое вместе, из текста постановления и стенограммы обсуждения остается не вполне ясным:</w:t>
      </w:r>
    </w:p>
    <w:p w14:paraId="4E157D25" w14:textId="77777777" w:rsidR="000C5254" w:rsidRPr="005E779E" w:rsidRDefault="000C525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«Сталин: Нужно образовать особую комиссию по метрополитену и решить, что необходимо, срок, за который она это сделает, и сколько это стоит. Нужно постановить, что метрополитен необходим и что это дело следует форсировать. Рассматривая метрополитен в качестве основного средства сообщения, немедленно начать ориентировать на него все наземные линии.</w:t>
      </w:r>
    </w:p>
    <w:p w14:paraId="296EE61C" w14:textId="77777777" w:rsidR="000C5254" w:rsidRPr="005E779E" w:rsidRDefault="000C525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Молотов: И для осуществления пригласить иностранных специалистов из Берлина, Парижа и Лондона.</w:t>
      </w:r>
    </w:p>
    <w:p w14:paraId="1E7E88B4" w14:textId="77777777" w:rsidR="000C5254" w:rsidRPr="005E779E" w:rsidRDefault="000C525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Сталин: Хватит немцев.</w:t>
      </w:r>
    </w:p>
    <w:p w14:paraId="774F34A2" w14:textId="77777777" w:rsidR="000C5254" w:rsidRPr="005E779E" w:rsidRDefault="000C525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Каганович: Разработать проект метрополитена в связи с экспертизой всех существующих проектов различных средств сообщения. Срок 3 месяца. Для этого создать особую комиссию при Моссовете»{315} (18299).</w:t>
      </w:r>
    </w:p>
    <w:p w14:paraId="34A3237D" w14:textId="77777777" w:rsidR="000C5254" w:rsidRPr="005E779E" w:rsidRDefault="000C5254" w:rsidP="000B7A6C">
      <w:pPr>
        <w:spacing w:after="0" w:line="240" w:lineRule="auto"/>
        <w:jc w:val="both"/>
        <w:rPr>
          <w:rFonts w:ascii="Times New Roman" w:hAnsi="Times New Roman"/>
          <w:color w:val="000000" w:themeColor="text1"/>
          <w:sz w:val="16"/>
          <w:szCs w:val="16"/>
        </w:rPr>
      </w:pPr>
    </w:p>
    <w:p w14:paraId="719536F8" w14:textId="77777777" w:rsidR="000C5254" w:rsidRPr="005E779E" w:rsidRDefault="000C525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мая 1931 г. в правительственном официозе, газете «Известия» появилась статья Н. Осинского[34]под заголовком «Нужен ли Москве метрополитен?», в которой излагались два главных возражения против городских железных дорог: первое было направлено против тех дезурбанистов, кто придерживался взгляда, что в ходе развития в «социалистический» город Москва будет децентрализована, и клеветал на сторонников городских железных дорог как «уклонистов» от социалистических принципов. Децентрализация, отмечал Осинский, сохраняет необходимость над- и подземных дорог. Второе возражение касалось тезиса о том, что у Москвыесть более насущные нужды.</w:t>
      </w:r>
    </w:p>
    <w:p w14:paraId="046AA9A8" w14:textId="77777777" w:rsidR="000C5254" w:rsidRPr="005E779E" w:rsidRDefault="000C525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Осинский отверг оба эти аргумента как не соответствующие истине: в Москве, столице государства, и в будущем разместится промышленность, а в центре города останутся административные и культурные учреждения. Население в центральной части еще более сконцентрируется, поскольку надстройка одно- и двухэтажных домов обойдется дешевле, чем новое строительство на окраинах. Планы децентрализации Осинский назвал нереальными. Ввиду крайней нужды в средствах сообщения городская железная дорога не роскошь, а необходимость, поскольку трамвай безнадежно отстал от потребностей города: «Сейчас доходит до того, что большинство москвичей вынуждены передвигаться пешком, тротуары переполнены, и трамваи движутся одной непрерывной змеей, причем крайне медленно, закупоривая улицы»{316}.</w:t>
      </w:r>
    </w:p>
    <w:p w14:paraId="0AFB3254" w14:textId="77777777" w:rsidR="000C5254" w:rsidRPr="005E779E" w:rsidRDefault="000C525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зарубежной практике, напоминал Осинский, трамваи исчезают с центральных городских улиц. В Лондоне, Нью-Йорке, Париже в центре курсируют только автобусы и метро. Сростом числа автомобилей трамваи превращаются в помеху уличному движению. Они слишком медлительны, не могут быстро ускориться или уступить дорогу, перекрывают уличное движение, на каждой остановке создают пробку, поскольку входящие и выходящие пассажиры трамвая должны пересечь проезжую часть улицы.</w:t>
      </w:r>
    </w:p>
    <w:p w14:paraId="61C67F01" w14:textId="77777777" w:rsidR="000C5254" w:rsidRPr="005E779E" w:rsidRDefault="000C525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Через несколько лет, утверждал Осинский, на улицах Москвы появятся десятки тысяч личных автомобилей. Тогда трамвайное движение надо будет переместить за пределы Садового кольца. Следует построить метрополитен, внедрить в крупном масштабе автобусное сообщение и такси и как предпосылку для этого улучшить состояние проезжей части на улицах и укрепить дисциплину на улицах. Сейчас пешеходы в Москве ведут себя как в деревне, массами выходят на проезжую часть и останавливаются прямо на перекрестках, чтобы поболтать{317}.</w:t>
      </w:r>
    </w:p>
    <w:p w14:paraId="170335F0" w14:textId="77777777" w:rsidR="000C5254" w:rsidRPr="005E779E" w:rsidRDefault="000C525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Статья вызвала большой резонанс. В дополнение к ней Эмиль Цейтлин из областного планового отдела и инженер Катцен из МГЖД, которые в марте-апреле 1931 г. разработали в комиссии МК и Моссовета концепцию развития городского транспорта, опубликовали 23 мая 1931 г. в «Известиях» свою статью. Подписана она была </w:t>
      </w:r>
      <w:r w:rsidRPr="005E779E">
        <w:rPr>
          <w:rFonts w:ascii="Times New Roman" w:hAnsi="Times New Roman"/>
          <w:color w:val="000000" w:themeColor="text1"/>
          <w:sz w:val="16"/>
          <w:szCs w:val="16"/>
        </w:rPr>
        <w:lastRenderedPageBreak/>
        <w:t>Цейтлиным, так как Катцен опасался открыто поставить свою подпись{318}.Ведь всего лишь несколько месяцев назад были арестованы его коллеги из проектного бюро МГЖД.</w:t>
      </w:r>
    </w:p>
    <w:p w14:paraId="7138F33A" w14:textId="77777777" w:rsidR="000C5254" w:rsidRPr="005E779E" w:rsidRDefault="000C525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Цейтлин и Катцен привели статистические сведения о развитии городского транспорта в Москве и констатировали предельную загрузку трамвайной сети. К противоречивым тенденциям градостроительной мысли они относили идеи радикальной перепланировки Москвы или децентрализации города, неосуществимые в ближайшие 10 лет. Но даже если окраинные районы получат большую самостоятельность, связь с центром и другими районами останется весьма оживленной. При ожидаемом расширении города до 70 км в диаметре (дезурбанистическая версия) автобусы и трамваи окажутся слишком медленным видом транспорта. Международный опыт свидетельствует о прямой зависимости между расширением города и необходимостью городской железной дороги. Средняя скорость трамвая составляет 14 км/ч, автобуса — 16, а городской железной дороги — 35 км/ч. Затраты на перевозку одного пассажира по железной дороге существенно ниже. При расчете инвестиционных затрат именно этот вид городского транспорта является основным{319}. [Картинка: i_021.png] Рис. 17. Проект комиссии МК и Моссовета, апрель 1931 г., а также проект Наркомата путей сообщения железнодорожной диаметральной линии, 1930/31 г. (Катцен.Проект. 1931. С. 21).Проект предусматривал прокладку следующих линий: трех пригородных от Царицыно до Крестьянской заставы, от Ивановского через шоссе Энтузиастов до площади Ильича, от Измайлово через Садовое кольцо на Ховрино; двух соединительных веток от Крестьянской заставы к пл. Ильича и от Крестьянской заставы до Таганской пл.; диаметральной линии от Триумфальной пл. до первой пригородной линии (южнее Крестьянской заставы). Всего к 1935 г. должны быть построены линии первой очереди протяженностью 65 км, из них 18 км в тоннелях, 21 км на эстакадах и 26 км по насыпям. Во вторую очередь сеть линий должна была достигнуть 89 км.</w:t>
      </w:r>
    </w:p>
    <w:p w14:paraId="30D7FD5E" w14:textId="77777777" w:rsidR="000C5254" w:rsidRPr="005E779E" w:rsidRDefault="000C525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Авторы статьи отвергли проект МГЖД, поскольку он ограничивался пределами существующей городской черты и не принимал в расчет разрастание Москвы. Они представили новую схему линий, а именно концепцию городской железной дороги пригородного типа, разработанную комиссией МК и Моссовета{320},[35] (18299).</w:t>
      </w:r>
    </w:p>
    <w:p w14:paraId="691FDE61" w14:textId="77777777" w:rsidR="000C5254" w:rsidRPr="005E779E" w:rsidRDefault="000C5254" w:rsidP="000B7A6C">
      <w:pPr>
        <w:spacing w:after="0" w:line="240" w:lineRule="auto"/>
        <w:jc w:val="both"/>
        <w:rPr>
          <w:rFonts w:ascii="Times New Roman" w:hAnsi="Times New Roman"/>
          <w:color w:val="000000" w:themeColor="text1"/>
          <w:sz w:val="16"/>
          <w:szCs w:val="16"/>
        </w:rPr>
      </w:pPr>
    </w:p>
    <w:p w14:paraId="06A32A46"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3C997CA6"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42CFC65" w14:textId="77777777" w:rsidR="003C0F10" w:rsidRPr="005E779E" w:rsidRDefault="003C0F1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мая 1931 Джипси Мот de Havilland, пилотируемый профессиональным охотником Денисом Финчем Хаттоном и несущий также слугу Кокёё Камау, взлетает с аэродрома в Вои, Кения, дважды кружит над полем, останавливается и разбивается, убивая обоих мужчин (20804).</w:t>
      </w:r>
    </w:p>
    <w:p w14:paraId="5CDB8322" w14:textId="77777777" w:rsidR="003C0F10" w:rsidRPr="005E779E" w:rsidRDefault="003C0F10" w:rsidP="000B7A6C">
      <w:pPr>
        <w:spacing w:after="0" w:line="240" w:lineRule="auto"/>
        <w:jc w:val="both"/>
        <w:rPr>
          <w:rFonts w:ascii="Times New Roman" w:hAnsi="Times New Roman"/>
          <w:color w:val="000000" w:themeColor="text1"/>
          <w:sz w:val="16"/>
          <w:szCs w:val="16"/>
        </w:rPr>
      </w:pPr>
    </w:p>
    <w:p w14:paraId="6C42A463" w14:textId="77777777" w:rsidR="003C0F10" w:rsidRPr="005E779E" w:rsidRDefault="003C0F1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мая 1931 - Начало трансконтинентального перелёта автожира из Филадельфии в Сан-Диего. Пилот Джон М. Миллер (22502).</w:t>
      </w:r>
    </w:p>
    <w:p w14:paraId="53A95F87" w14:textId="77777777" w:rsidR="003C0F10" w:rsidRPr="005E779E" w:rsidRDefault="003C0F10" w:rsidP="000B7A6C">
      <w:pPr>
        <w:spacing w:after="0" w:line="240" w:lineRule="auto"/>
        <w:jc w:val="both"/>
        <w:rPr>
          <w:rFonts w:ascii="Times New Roman" w:hAnsi="Times New Roman"/>
          <w:color w:val="000000" w:themeColor="text1"/>
          <w:sz w:val="16"/>
          <w:szCs w:val="16"/>
        </w:rPr>
      </w:pPr>
    </w:p>
    <w:p w14:paraId="674FAF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мая 1931 с полигона близ Берлина был осуществлен запуск ракеты Repulsor-1 немецкого Общества межпланетных сообщений конструкции Karl Riddel. Достигла высоты 60 м (2990).</w:t>
      </w:r>
    </w:p>
    <w:p w14:paraId="76FED2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8EA74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14 мая 1931 ракета была отремонтирована, несколько облегчена и готова для первого экспериментального запуска. В назначенный час «летающий испытательный стенд», получивший название «Repulsor-1» («Репульсор-1»), с диким ревом стартовал. Он ударился о крышу соседнего здания, около двух секунд летел косо вверх под углом в 70°, после чего сделал мертвую петлю, поднялся еще немного, и, спикировав, упал на землю с работающим двигателем. Во время пикирования стенка камеры сгорания в одном месте прогорела, и здесь образовалось новое «сопло», за счет чего система получила вращательное движение. Ракета не развалилась только потому, что закончилось топливо. Достигнутая высота составила не более 60 м (11688).</w:t>
      </w:r>
    </w:p>
    <w:p w14:paraId="4583D4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D716F5D"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33CA28C3"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D8AA2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состоянию на 15 мая 1931 г. Завод опытных конструкций (ЗОК) ЦАГИ уже вел сборку хвостовой части фюзеляжа, ферм лонжеронов и клепал оперение ТБ-4. К 1 января 1932 г. фюзеляж почти закончили, оперение тоже. Крылья были собраны и обшиты гофрированным дюралем, кроме носка. Шасси находилось в изготовлении. Проблема была в отсутствии моторов М-34. Завод № 24 только разворачивал их производство. двигателей не хватало даже для опытных самолетов. В ЦАГИ рассчитывали, что если моторы прибудут вовремя, то удастся выдержать плановые сроки и выставить машину на аэродром к 1 мая (12024).</w:t>
      </w:r>
    </w:p>
    <w:p w14:paraId="7A9908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BEDF5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состоянию на 15 мая 1931 г. Завод опытных конструкций (ЗОК) ЦАГИ уже вел сборку хвостовой части фюзеляжа, ферм лонжеронов и клепал оперение ТБ-4. К 1 января 1932 г. фюзеляж почти закончили, оперение тоже. Крылья были собраны и обшиты гофрированным дюралем, кроме носка. Шасси находилось в изготовлении. Проблема была в отсутствии моторов М-34. Завод № 24 только разворачивал их производство, двигателей не хватало даже для опытных самолетов. В ЦАГИ рассчитывали, что если моторы прибудут вовремя, то удастся выдержать плановые сроки и выставить машину на аэродром к 1 мая.</w:t>
      </w:r>
    </w:p>
    <w:p w14:paraId="52EEA7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 просчитались. М-34 продолжали мучительно доводить, более мощные двигатели ФЭД в октябре 1931 г. только начали делать в опытных образцах. Все сроки прошли. 4 июля 1932 г. постановлением СТО постройка ТБ-4 была объявлена первоочередной. Срок готовности сдвинули на 1 ноября. Главное управление авиационной промышленности (ГУАП) Наркомтяжпрома возражало, говоря, что этот срок нереален. Оно заявляло о возможности выставить самолет на испытания к 1 января 1933 г. Но и эта дата оказалась неосуществимой - лишь в декабре 1932 г. на завод пришли долгожданные моторы.</w:t>
      </w:r>
    </w:p>
    <w:p w14:paraId="289803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 тут конструкторов постигло новое разочарование. Серийные М-34 по габаритам и посадочным местам существенно отличались от опытного образца, по чертежам которого проектировали мотоустановку самолета. Последовал очередной этап переделки чертежей, а кое-где и уже готовых узлов.</w:t>
      </w:r>
    </w:p>
    <w:p w14:paraId="6AC019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ВВС рассчитывали уже с 1933 г. получать серийные ТБ-4. На этот год планировали заказать 15 бомбардировщиков, позже количество уменьшили до 10. Самолеты собирались строить на заводе № 22 в Филях, там. где делали ТБ-3. Затем из-за задержки с опытной машиной сроки сдвинули, а заказ передали заводу № 18 в Воронеже. ЦАГИ должен был сдать туда полный комплект чертежей к июлю 1934 г. Первую серию из 40 - 50 бомбовозов намечали собрать в 1935 г. В конце 1934 г. появилось предложение загрузить их производством также принадлежавший тогда ГВФ завод № 84 в Химках.</w:t>
      </w:r>
    </w:p>
    <w:p w14:paraId="66A664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Первую эскадрилью гигантов хотели разместить на Щелковском аэродроме, где в проект реконструкции заложили стоянки и полосу соответствующих размеров. Толщина бетона должна была выдержать вес гиганта с полной заправкой и предельной бомбовой нагрузкой. Эту длинную и широкую полосу потом неоднократно использовали для различных рекордных полетов. Именно с нее улетали в Америку Чкалов и Громов.</w:t>
      </w:r>
    </w:p>
    <w:p w14:paraId="1867B4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Серийное производство ТБ-4 намеревались вести до 1937 г. Предполагалось, что к этому времени эти "линкоры 1-го класса" составят 40% парка тяжелобомбардировочной авиации. К 1 января 1938 г. в строю ВВС РККА предполагали иметь 288 ТБ-4 (12036).</w:t>
      </w:r>
    </w:p>
    <w:p w14:paraId="5D87DC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59EB1D0" w14:textId="77777777" w:rsidR="00A57513" w:rsidRPr="00142305" w:rsidRDefault="00A57513" w:rsidP="00A5751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состо</w:t>
      </w:r>
      <w:r w:rsidRPr="00142305">
        <w:rPr>
          <w:rFonts w:ascii="Times New Roman" w:hAnsi="Times New Roman"/>
          <w:color w:val="0070C0"/>
          <w:sz w:val="16"/>
          <w:szCs w:val="16"/>
        </w:rPr>
        <w:softHyphen/>
        <w:t>янию на 15 мая 1931 г. Завод опытных конструкций (ЗОК) ЦАГИ уже вел сборку хвостовой части фюзеляжа АНТ-16, ферм лонжеронов и клепал оперение. К 1 января 1932 г. фюзеляж почти закончили, оперение тоже. Крылья были собраны и обшиты гофрированным дюралем, кроме носка. Шасси находилось в изготовлении. Проблема была в отсутствии мо</w:t>
      </w:r>
      <w:r w:rsidRPr="00142305">
        <w:rPr>
          <w:rFonts w:ascii="Times New Roman" w:hAnsi="Times New Roman"/>
          <w:color w:val="0070C0"/>
          <w:sz w:val="16"/>
          <w:szCs w:val="16"/>
        </w:rPr>
        <w:softHyphen/>
        <w:t>торов М-34. Завод № 24 только разворачивал их производство, двигателей не хватало даже для опытных самолетов. В ЦАГИ рассчитывали, что если моторы прибудут вовремя, то удастся выдержать плановые сроки и выставить машину на аэродром к 1 мая.</w:t>
      </w:r>
    </w:p>
    <w:p w14:paraId="541845F6" w14:textId="77777777" w:rsidR="00A57513" w:rsidRPr="00142305" w:rsidRDefault="00A57513" w:rsidP="00A5751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Но просчитались. М-34 продолжали мучительно дово</w:t>
      </w:r>
      <w:r w:rsidRPr="00142305">
        <w:rPr>
          <w:rFonts w:ascii="Times New Roman" w:hAnsi="Times New Roman"/>
          <w:color w:val="0070C0"/>
          <w:sz w:val="16"/>
          <w:szCs w:val="16"/>
        </w:rPr>
        <w:softHyphen/>
        <w:t>дить, более мощные двигатели ФЭД в октябре 1931 г. толь</w:t>
      </w:r>
      <w:r w:rsidRPr="00142305">
        <w:rPr>
          <w:rFonts w:ascii="Times New Roman" w:hAnsi="Times New Roman"/>
          <w:color w:val="0070C0"/>
          <w:sz w:val="16"/>
          <w:szCs w:val="16"/>
        </w:rPr>
        <w:softHyphen/>
        <w:t>ко начали делать в опытных образцах. Все сроки прошли. 4 июля 1932 г. постановлением СТО постройка ТБ-4 была объявлена первоочередной. Срок готовности сдвинули на 1 ноября. Главное управление авиационной промышленнос</w:t>
      </w:r>
      <w:r w:rsidRPr="00142305">
        <w:rPr>
          <w:rFonts w:ascii="Times New Roman" w:hAnsi="Times New Roman"/>
          <w:color w:val="0070C0"/>
          <w:sz w:val="16"/>
          <w:szCs w:val="16"/>
        </w:rPr>
        <w:softHyphen/>
        <w:t>ти (ГУАП) Наркомтяжпрома возр^ажало, говоря, что этот срок нереален. Оно заявляло о возможности выставить са</w:t>
      </w:r>
      <w:r w:rsidRPr="00142305">
        <w:rPr>
          <w:rFonts w:ascii="Times New Roman" w:hAnsi="Times New Roman"/>
          <w:color w:val="0070C0"/>
          <w:sz w:val="16"/>
          <w:szCs w:val="16"/>
        </w:rPr>
        <w:softHyphen/>
        <w:t>молет на испытания к 1 января 1933 г. Но и эта дата оказа</w:t>
      </w:r>
      <w:r w:rsidRPr="00142305">
        <w:rPr>
          <w:rFonts w:ascii="Times New Roman" w:hAnsi="Times New Roman"/>
          <w:color w:val="0070C0"/>
          <w:sz w:val="16"/>
          <w:szCs w:val="16"/>
        </w:rPr>
        <w:softHyphen/>
        <w:t>лась неосуществимой - лишь в декабре 1932 г. на завод при</w:t>
      </w:r>
      <w:r w:rsidRPr="00142305">
        <w:rPr>
          <w:rFonts w:ascii="Times New Roman" w:hAnsi="Times New Roman"/>
          <w:color w:val="0070C0"/>
          <w:sz w:val="16"/>
          <w:szCs w:val="16"/>
        </w:rPr>
        <w:softHyphen/>
        <w:t>шли долгожданные моторы.</w:t>
      </w:r>
    </w:p>
    <w:p w14:paraId="4240E08F" w14:textId="77777777" w:rsidR="00A57513" w:rsidRPr="00142305" w:rsidRDefault="00A57513" w:rsidP="00A5751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 тут конструкторов постигло новое разочарование. Се</w:t>
      </w:r>
      <w:r w:rsidRPr="00142305">
        <w:rPr>
          <w:rFonts w:ascii="Times New Roman" w:hAnsi="Times New Roman"/>
          <w:color w:val="0070C0"/>
          <w:sz w:val="16"/>
          <w:szCs w:val="16"/>
        </w:rPr>
        <w:softHyphen/>
        <w:t>рийные М-34 по габаритам и посадочным местам сущест</w:t>
      </w:r>
      <w:r w:rsidRPr="00142305">
        <w:rPr>
          <w:rFonts w:ascii="Times New Roman" w:hAnsi="Times New Roman"/>
          <w:color w:val="0070C0"/>
          <w:sz w:val="16"/>
          <w:szCs w:val="16"/>
        </w:rPr>
        <w:softHyphen/>
        <w:t>венно отличались от опытного образца, по чертежам кото</w:t>
      </w:r>
      <w:r w:rsidRPr="00142305">
        <w:rPr>
          <w:rFonts w:ascii="Times New Roman" w:hAnsi="Times New Roman"/>
          <w:color w:val="0070C0"/>
          <w:sz w:val="16"/>
          <w:szCs w:val="16"/>
        </w:rPr>
        <w:softHyphen/>
        <w:t>рого проектировали мотоустановку самолета. Последовал очередной этап переделки чертежей, а кое-где и уже гото</w:t>
      </w:r>
      <w:r w:rsidRPr="00142305">
        <w:rPr>
          <w:rFonts w:ascii="Times New Roman" w:hAnsi="Times New Roman"/>
          <w:color w:val="0070C0"/>
          <w:sz w:val="16"/>
          <w:szCs w:val="16"/>
        </w:rPr>
        <w:softHyphen/>
        <w:t>вых узлов (24977).</w:t>
      </w:r>
    </w:p>
    <w:p w14:paraId="4DF3A0E5" w14:textId="77777777" w:rsidR="00A57513" w:rsidRPr="00142305" w:rsidRDefault="00A57513" w:rsidP="00A57513">
      <w:pPr>
        <w:spacing w:after="0" w:line="240" w:lineRule="auto"/>
        <w:jc w:val="both"/>
        <w:rPr>
          <w:rFonts w:ascii="Times New Roman" w:hAnsi="Times New Roman"/>
          <w:color w:val="0070C0"/>
          <w:sz w:val="16"/>
          <w:szCs w:val="16"/>
        </w:rPr>
      </w:pPr>
    </w:p>
    <w:p w14:paraId="4023C8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мая 1931 г. вышел приказ начальника ВВС, согласно которому гражданской авиации должны были передать 55 Р-1 с моторами BMW IV, но не все из них уже могли летать. Реально, по-видимому, если и отдали, то не более десятка машин. Последние упоминания о гражданских Р-1 относятся к 1932 г.</w:t>
      </w:r>
    </w:p>
    <w:p w14:paraId="37BFD1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ДАННЫЕ САМОЛЕТОВ СЕМЕЙСТВА Р-1</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817"/>
        <w:gridCol w:w="838"/>
        <w:gridCol w:w="838"/>
        <w:gridCol w:w="887"/>
        <w:gridCol w:w="1230"/>
        <w:gridCol w:w="1230"/>
        <w:gridCol w:w="887"/>
        <w:gridCol w:w="936"/>
        <w:gridCol w:w="691"/>
      </w:tblGrid>
      <w:tr w:rsidR="001002C3" w:rsidRPr="005E779E" w14:paraId="61C95386" w14:textId="77777777">
        <w:tc>
          <w:tcPr>
            <w:tcW w:w="1817" w:type="dxa"/>
            <w:tcBorders>
              <w:top w:val="single" w:sz="12" w:space="0" w:color="auto"/>
            </w:tcBorders>
          </w:tcPr>
          <w:p w14:paraId="54E08F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Borders>
              <w:top w:val="single" w:sz="12" w:space="0" w:color="auto"/>
            </w:tcBorders>
          </w:tcPr>
          <w:p w14:paraId="45E256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Р-1 ГАЗ-1 сер.1</w:t>
            </w:r>
          </w:p>
        </w:tc>
        <w:tc>
          <w:tcPr>
            <w:tcW w:w="838" w:type="dxa"/>
            <w:tcBorders>
              <w:top w:val="single" w:sz="12" w:space="0" w:color="auto"/>
            </w:tcBorders>
          </w:tcPr>
          <w:p w14:paraId="171643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Р-1 ГАЗ-1 сер.2</w:t>
            </w:r>
          </w:p>
        </w:tc>
        <w:tc>
          <w:tcPr>
            <w:tcW w:w="887" w:type="dxa"/>
            <w:tcBorders>
              <w:top w:val="single" w:sz="12" w:space="0" w:color="auto"/>
            </w:tcBorders>
          </w:tcPr>
          <w:p w14:paraId="4C28A3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Р-1 ГАЗ-10 сер.1</w:t>
            </w:r>
          </w:p>
        </w:tc>
        <w:tc>
          <w:tcPr>
            <w:tcW w:w="1230" w:type="dxa"/>
            <w:tcBorders>
              <w:top w:val="single" w:sz="12" w:space="0" w:color="auto"/>
            </w:tcBorders>
          </w:tcPr>
          <w:p w14:paraId="4E07C9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Р-1 ГАЗ-10 сер.2</w:t>
            </w:r>
          </w:p>
        </w:tc>
        <w:tc>
          <w:tcPr>
            <w:tcW w:w="1230" w:type="dxa"/>
            <w:tcBorders>
              <w:top w:val="single" w:sz="12" w:space="0" w:color="auto"/>
            </w:tcBorders>
          </w:tcPr>
          <w:p w14:paraId="1BBFFA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Р-1 ГАЗ-10 сер.6</w:t>
            </w:r>
          </w:p>
        </w:tc>
        <w:tc>
          <w:tcPr>
            <w:tcW w:w="887" w:type="dxa"/>
            <w:tcBorders>
              <w:top w:val="single" w:sz="12" w:space="0" w:color="auto"/>
            </w:tcBorders>
          </w:tcPr>
          <w:p w14:paraId="2EEF97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Р-1 ГАЗ-1 сер.11</w:t>
            </w:r>
          </w:p>
        </w:tc>
        <w:tc>
          <w:tcPr>
            <w:tcW w:w="936" w:type="dxa"/>
            <w:tcBorders>
              <w:top w:val="single" w:sz="12" w:space="0" w:color="auto"/>
            </w:tcBorders>
          </w:tcPr>
          <w:p w14:paraId="389F82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Р-1 ГАЗ-10 сер.11</w:t>
            </w:r>
          </w:p>
        </w:tc>
        <w:tc>
          <w:tcPr>
            <w:tcW w:w="691" w:type="dxa"/>
            <w:tcBorders>
              <w:top w:val="single" w:sz="12" w:space="0" w:color="auto"/>
            </w:tcBorders>
          </w:tcPr>
          <w:p w14:paraId="5A64A2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Р-1 № 3458</w:t>
            </w:r>
          </w:p>
        </w:tc>
      </w:tr>
      <w:tr w:rsidR="001002C3" w:rsidRPr="005E779E" w14:paraId="2DDB4B92" w14:textId="77777777">
        <w:tc>
          <w:tcPr>
            <w:tcW w:w="1817" w:type="dxa"/>
          </w:tcPr>
          <w:p w14:paraId="039627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Размах крыльев, м</w:t>
            </w:r>
          </w:p>
        </w:tc>
        <w:tc>
          <w:tcPr>
            <w:tcW w:w="838" w:type="dxa"/>
          </w:tcPr>
          <w:p w14:paraId="328781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14,0</w:t>
            </w:r>
          </w:p>
        </w:tc>
        <w:tc>
          <w:tcPr>
            <w:tcW w:w="838" w:type="dxa"/>
          </w:tcPr>
          <w:p w14:paraId="137364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14,0</w:t>
            </w:r>
          </w:p>
        </w:tc>
        <w:tc>
          <w:tcPr>
            <w:tcW w:w="887" w:type="dxa"/>
          </w:tcPr>
          <w:p w14:paraId="4CDFA1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14,0</w:t>
            </w:r>
          </w:p>
        </w:tc>
        <w:tc>
          <w:tcPr>
            <w:tcW w:w="1230" w:type="dxa"/>
          </w:tcPr>
          <w:p w14:paraId="3A3358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14,0</w:t>
            </w:r>
          </w:p>
        </w:tc>
        <w:tc>
          <w:tcPr>
            <w:tcW w:w="1230" w:type="dxa"/>
          </w:tcPr>
          <w:p w14:paraId="5EC5D8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14,0</w:t>
            </w:r>
          </w:p>
        </w:tc>
        <w:tc>
          <w:tcPr>
            <w:tcW w:w="887" w:type="dxa"/>
          </w:tcPr>
          <w:p w14:paraId="6700D8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14,0</w:t>
            </w:r>
          </w:p>
        </w:tc>
        <w:tc>
          <w:tcPr>
            <w:tcW w:w="936" w:type="dxa"/>
          </w:tcPr>
          <w:p w14:paraId="267427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14,0</w:t>
            </w:r>
          </w:p>
        </w:tc>
        <w:tc>
          <w:tcPr>
            <w:tcW w:w="691" w:type="dxa"/>
          </w:tcPr>
          <w:p w14:paraId="511857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14,0</w:t>
            </w:r>
          </w:p>
        </w:tc>
      </w:tr>
      <w:tr w:rsidR="001002C3" w:rsidRPr="005E779E" w14:paraId="0E80050B" w14:textId="77777777">
        <w:tc>
          <w:tcPr>
            <w:tcW w:w="1817" w:type="dxa"/>
          </w:tcPr>
          <w:p w14:paraId="50EEE4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Длина, м</w:t>
            </w:r>
          </w:p>
        </w:tc>
        <w:tc>
          <w:tcPr>
            <w:tcW w:w="838" w:type="dxa"/>
          </w:tcPr>
          <w:p w14:paraId="77D022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9,2</w:t>
            </w:r>
          </w:p>
        </w:tc>
        <w:tc>
          <w:tcPr>
            <w:tcW w:w="838" w:type="dxa"/>
          </w:tcPr>
          <w:p w14:paraId="06CD0A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9,2</w:t>
            </w:r>
          </w:p>
        </w:tc>
        <w:tc>
          <w:tcPr>
            <w:tcW w:w="887" w:type="dxa"/>
          </w:tcPr>
          <w:p w14:paraId="030B2C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9,2</w:t>
            </w:r>
          </w:p>
        </w:tc>
        <w:tc>
          <w:tcPr>
            <w:tcW w:w="1230" w:type="dxa"/>
          </w:tcPr>
          <w:p w14:paraId="5EAF26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9,2</w:t>
            </w:r>
          </w:p>
        </w:tc>
        <w:tc>
          <w:tcPr>
            <w:tcW w:w="1230" w:type="dxa"/>
          </w:tcPr>
          <w:p w14:paraId="0075C2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9,2</w:t>
            </w:r>
          </w:p>
        </w:tc>
        <w:tc>
          <w:tcPr>
            <w:tcW w:w="887" w:type="dxa"/>
          </w:tcPr>
          <w:p w14:paraId="40AF7B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9,2</w:t>
            </w:r>
          </w:p>
        </w:tc>
        <w:tc>
          <w:tcPr>
            <w:tcW w:w="936" w:type="dxa"/>
          </w:tcPr>
          <w:p w14:paraId="271549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9,5</w:t>
            </w:r>
          </w:p>
        </w:tc>
        <w:tc>
          <w:tcPr>
            <w:tcW w:w="691" w:type="dxa"/>
          </w:tcPr>
          <w:p w14:paraId="76A0B6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9,5</w:t>
            </w:r>
          </w:p>
        </w:tc>
      </w:tr>
      <w:tr w:rsidR="001002C3" w:rsidRPr="005E779E" w14:paraId="27AF955E" w14:textId="77777777">
        <w:tc>
          <w:tcPr>
            <w:tcW w:w="1817" w:type="dxa"/>
          </w:tcPr>
          <w:p w14:paraId="604E3D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Высота, м</w:t>
            </w:r>
          </w:p>
        </w:tc>
        <w:tc>
          <w:tcPr>
            <w:tcW w:w="838" w:type="dxa"/>
          </w:tcPr>
          <w:p w14:paraId="34AB94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w:t>
            </w:r>
          </w:p>
        </w:tc>
        <w:tc>
          <w:tcPr>
            <w:tcW w:w="838" w:type="dxa"/>
          </w:tcPr>
          <w:p w14:paraId="3559C6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w:t>
            </w:r>
          </w:p>
        </w:tc>
        <w:tc>
          <w:tcPr>
            <w:tcW w:w="887" w:type="dxa"/>
          </w:tcPr>
          <w:p w14:paraId="501F0C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w:t>
            </w:r>
          </w:p>
        </w:tc>
        <w:tc>
          <w:tcPr>
            <w:tcW w:w="1230" w:type="dxa"/>
          </w:tcPr>
          <w:p w14:paraId="523666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w:t>
            </w:r>
          </w:p>
        </w:tc>
        <w:tc>
          <w:tcPr>
            <w:tcW w:w="1230" w:type="dxa"/>
          </w:tcPr>
          <w:p w14:paraId="0C0416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w:t>
            </w:r>
          </w:p>
        </w:tc>
        <w:tc>
          <w:tcPr>
            <w:tcW w:w="887" w:type="dxa"/>
          </w:tcPr>
          <w:p w14:paraId="13E7A6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w:t>
            </w:r>
          </w:p>
        </w:tc>
        <w:tc>
          <w:tcPr>
            <w:tcW w:w="936" w:type="dxa"/>
          </w:tcPr>
          <w:p w14:paraId="38E0A0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w:t>
            </w:r>
          </w:p>
        </w:tc>
        <w:tc>
          <w:tcPr>
            <w:tcW w:w="691" w:type="dxa"/>
          </w:tcPr>
          <w:p w14:paraId="1C73F5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w:t>
            </w:r>
          </w:p>
        </w:tc>
      </w:tr>
      <w:tr w:rsidR="001002C3" w:rsidRPr="005E779E" w14:paraId="7DC37BB7" w14:textId="77777777">
        <w:tc>
          <w:tcPr>
            <w:tcW w:w="1817" w:type="dxa"/>
          </w:tcPr>
          <w:p w14:paraId="1601F7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кг</w:t>
            </w:r>
          </w:p>
        </w:tc>
        <w:tc>
          <w:tcPr>
            <w:tcW w:w="838" w:type="dxa"/>
          </w:tcPr>
          <w:p w14:paraId="646FF8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36968E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87" w:type="dxa"/>
          </w:tcPr>
          <w:p w14:paraId="48DFD2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230" w:type="dxa"/>
          </w:tcPr>
          <w:p w14:paraId="4D96E2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230" w:type="dxa"/>
          </w:tcPr>
          <w:p w14:paraId="307F0D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87" w:type="dxa"/>
          </w:tcPr>
          <w:p w14:paraId="15398B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6" w:type="dxa"/>
          </w:tcPr>
          <w:p w14:paraId="5BA9ED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211355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70ED255" w14:textId="77777777">
        <w:tc>
          <w:tcPr>
            <w:tcW w:w="1817" w:type="dxa"/>
          </w:tcPr>
          <w:p w14:paraId="4F6E1D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пустого</w:t>
            </w:r>
          </w:p>
        </w:tc>
        <w:tc>
          <w:tcPr>
            <w:tcW w:w="838" w:type="dxa"/>
          </w:tcPr>
          <w:p w14:paraId="4E6DD7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1386</w:t>
            </w:r>
          </w:p>
        </w:tc>
        <w:tc>
          <w:tcPr>
            <w:tcW w:w="838" w:type="dxa"/>
          </w:tcPr>
          <w:p w14:paraId="66E649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1323</w:t>
            </w:r>
          </w:p>
        </w:tc>
        <w:tc>
          <w:tcPr>
            <w:tcW w:w="887" w:type="dxa"/>
          </w:tcPr>
          <w:p w14:paraId="2B9F6C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1324</w:t>
            </w:r>
          </w:p>
        </w:tc>
        <w:tc>
          <w:tcPr>
            <w:tcW w:w="1230" w:type="dxa"/>
          </w:tcPr>
          <w:p w14:paraId="1E1CD2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1360</w:t>
            </w:r>
          </w:p>
        </w:tc>
        <w:tc>
          <w:tcPr>
            <w:tcW w:w="1230" w:type="dxa"/>
          </w:tcPr>
          <w:p w14:paraId="52C937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1357</w:t>
            </w:r>
          </w:p>
        </w:tc>
        <w:tc>
          <w:tcPr>
            <w:tcW w:w="887" w:type="dxa"/>
          </w:tcPr>
          <w:p w14:paraId="0C5532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1441</w:t>
            </w:r>
          </w:p>
        </w:tc>
        <w:tc>
          <w:tcPr>
            <w:tcW w:w="936" w:type="dxa"/>
          </w:tcPr>
          <w:p w14:paraId="3B906A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691" w:type="dxa"/>
          </w:tcPr>
          <w:p w14:paraId="2E420D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1430</w:t>
            </w:r>
          </w:p>
        </w:tc>
      </w:tr>
      <w:tr w:rsidR="001002C3" w:rsidRPr="005E779E" w14:paraId="2A635A7E" w14:textId="77777777">
        <w:tc>
          <w:tcPr>
            <w:tcW w:w="1817" w:type="dxa"/>
          </w:tcPr>
          <w:p w14:paraId="4EA7E7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полетный</w:t>
            </w:r>
          </w:p>
        </w:tc>
        <w:tc>
          <w:tcPr>
            <w:tcW w:w="838" w:type="dxa"/>
          </w:tcPr>
          <w:p w14:paraId="1A5ED9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2154</w:t>
            </w:r>
          </w:p>
        </w:tc>
        <w:tc>
          <w:tcPr>
            <w:tcW w:w="838" w:type="dxa"/>
          </w:tcPr>
          <w:p w14:paraId="43C1D1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2073</w:t>
            </w:r>
          </w:p>
        </w:tc>
        <w:tc>
          <w:tcPr>
            <w:tcW w:w="887" w:type="dxa"/>
          </w:tcPr>
          <w:p w14:paraId="7D9BA0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2071</w:t>
            </w:r>
          </w:p>
        </w:tc>
        <w:tc>
          <w:tcPr>
            <w:tcW w:w="1230" w:type="dxa"/>
          </w:tcPr>
          <w:p w14:paraId="5675FE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2110</w:t>
            </w:r>
          </w:p>
        </w:tc>
        <w:tc>
          <w:tcPr>
            <w:tcW w:w="1230" w:type="dxa"/>
          </w:tcPr>
          <w:p w14:paraId="079EDC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87" w:type="dxa"/>
          </w:tcPr>
          <w:p w14:paraId="747887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2191</w:t>
            </w:r>
          </w:p>
        </w:tc>
        <w:tc>
          <w:tcPr>
            <w:tcW w:w="936" w:type="dxa"/>
          </w:tcPr>
          <w:p w14:paraId="4EEEFC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691" w:type="dxa"/>
          </w:tcPr>
          <w:p w14:paraId="415D11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2180</w:t>
            </w:r>
          </w:p>
        </w:tc>
      </w:tr>
      <w:tr w:rsidR="001002C3" w:rsidRPr="005E779E" w14:paraId="2749F704" w14:textId="77777777">
        <w:tc>
          <w:tcPr>
            <w:tcW w:w="1817" w:type="dxa"/>
          </w:tcPr>
          <w:p w14:paraId="40934D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Скорость максимальная у земли, км/ч</w:t>
            </w:r>
          </w:p>
        </w:tc>
        <w:tc>
          <w:tcPr>
            <w:tcW w:w="838" w:type="dxa"/>
          </w:tcPr>
          <w:p w14:paraId="6E12A9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194</w:t>
            </w:r>
          </w:p>
        </w:tc>
        <w:tc>
          <w:tcPr>
            <w:tcW w:w="838" w:type="dxa"/>
          </w:tcPr>
          <w:p w14:paraId="5CEC7C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202</w:t>
            </w:r>
          </w:p>
        </w:tc>
        <w:tc>
          <w:tcPr>
            <w:tcW w:w="887" w:type="dxa"/>
          </w:tcPr>
          <w:p w14:paraId="7781F0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205</w:t>
            </w:r>
          </w:p>
        </w:tc>
        <w:tc>
          <w:tcPr>
            <w:tcW w:w="1230" w:type="dxa"/>
          </w:tcPr>
          <w:p w14:paraId="4F05C4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204</w:t>
            </w:r>
          </w:p>
        </w:tc>
        <w:tc>
          <w:tcPr>
            <w:tcW w:w="1230" w:type="dxa"/>
          </w:tcPr>
          <w:p w14:paraId="2B5C49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190</w:t>
            </w:r>
          </w:p>
        </w:tc>
        <w:tc>
          <w:tcPr>
            <w:tcW w:w="887" w:type="dxa"/>
          </w:tcPr>
          <w:p w14:paraId="0E745A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202</w:t>
            </w:r>
          </w:p>
        </w:tc>
        <w:tc>
          <w:tcPr>
            <w:tcW w:w="936" w:type="dxa"/>
          </w:tcPr>
          <w:p w14:paraId="20C75A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691" w:type="dxa"/>
          </w:tcPr>
          <w:p w14:paraId="1AEA3D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191</w:t>
            </w:r>
          </w:p>
        </w:tc>
      </w:tr>
      <w:tr w:rsidR="001002C3" w:rsidRPr="005E779E" w14:paraId="16F403AD" w14:textId="77777777">
        <w:tc>
          <w:tcPr>
            <w:tcW w:w="1817" w:type="dxa"/>
          </w:tcPr>
          <w:p w14:paraId="5B9625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Потолок практический, м</w:t>
            </w:r>
          </w:p>
        </w:tc>
        <w:tc>
          <w:tcPr>
            <w:tcW w:w="838" w:type="dxa"/>
          </w:tcPr>
          <w:p w14:paraId="2A2A74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5360</w:t>
            </w:r>
          </w:p>
        </w:tc>
        <w:tc>
          <w:tcPr>
            <w:tcW w:w="838" w:type="dxa"/>
          </w:tcPr>
          <w:p w14:paraId="39B2DF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5940</w:t>
            </w:r>
          </w:p>
        </w:tc>
        <w:tc>
          <w:tcPr>
            <w:tcW w:w="887" w:type="dxa"/>
          </w:tcPr>
          <w:p w14:paraId="1E3713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5500</w:t>
            </w:r>
          </w:p>
        </w:tc>
        <w:tc>
          <w:tcPr>
            <w:tcW w:w="1230" w:type="dxa"/>
          </w:tcPr>
          <w:p w14:paraId="41EDD8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5500</w:t>
            </w:r>
          </w:p>
        </w:tc>
        <w:tc>
          <w:tcPr>
            <w:tcW w:w="1230" w:type="dxa"/>
          </w:tcPr>
          <w:p w14:paraId="5CA150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5200</w:t>
            </w:r>
          </w:p>
        </w:tc>
        <w:tc>
          <w:tcPr>
            <w:tcW w:w="887" w:type="dxa"/>
          </w:tcPr>
          <w:p w14:paraId="3395AB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4800</w:t>
            </w:r>
          </w:p>
        </w:tc>
        <w:tc>
          <w:tcPr>
            <w:tcW w:w="936" w:type="dxa"/>
          </w:tcPr>
          <w:p w14:paraId="0FE116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5250</w:t>
            </w:r>
          </w:p>
        </w:tc>
        <w:tc>
          <w:tcPr>
            <w:tcW w:w="691" w:type="dxa"/>
          </w:tcPr>
          <w:p w14:paraId="492B23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5030</w:t>
            </w:r>
          </w:p>
        </w:tc>
      </w:tr>
      <w:tr w:rsidR="001002C3" w:rsidRPr="005E779E" w14:paraId="5C029849" w14:textId="77777777">
        <w:tc>
          <w:tcPr>
            <w:tcW w:w="1817" w:type="dxa"/>
          </w:tcPr>
          <w:p w14:paraId="2A3DCA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Набор высоты, мин</w:t>
            </w:r>
          </w:p>
        </w:tc>
        <w:tc>
          <w:tcPr>
            <w:tcW w:w="838" w:type="dxa"/>
          </w:tcPr>
          <w:p w14:paraId="1F9CFB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6458B9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87" w:type="dxa"/>
          </w:tcPr>
          <w:p w14:paraId="3AD16D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230" w:type="dxa"/>
          </w:tcPr>
          <w:p w14:paraId="0F54F1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230" w:type="dxa"/>
          </w:tcPr>
          <w:p w14:paraId="48CBD7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87" w:type="dxa"/>
          </w:tcPr>
          <w:p w14:paraId="4F1447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6" w:type="dxa"/>
          </w:tcPr>
          <w:p w14:paraId="580E21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311A60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91016BC" w14:textId="77777777">
        <w:tc>
          <w:tcPr>
            <w:tcW w:w="1817" w:type="dxa"/>
          </w:tcPr>
          <w:p w14:paraId="6A9903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 м</w:t>
            </w:r>
          </w:p>
        </w:tc>
        <w:tc>
          <w:tcPr>
            <w:tcW w:w="838" w:type="dxa"/>
          </w:tcPr>
          <w:p w14:paraId="0B2773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w:t>
            </w:r>
          </w:p>
        </w:tc>
        <w:tc>
          <w:tcPr>
            <w:tcW w:w="838" w:type="dxa"/>
          </w:tcPr>
          <w:p w14:paraId="037987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w:t>
            </w:r>
          </w:p>
        </w:tc>
        <w:tc>
          <w:tcPr>
            <w:tcW w:w="887" w:type="dxa"/>
          </w:tcPr>
          <w:p w14:paraId="684EDA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w:t>
            </w:r>
          </w:p>
        </w:tc>
        <w:tc>
          <w:tcPr>
            <w:tcW w:w="1230" w:type="dxa"/>
          </w:tcPr>
          <w:p w14:paraId="341EDE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3,9</w:t>
            </w:r>
          </w:p>
        </w:tc>
        <w:tc>
          <w:tcPr>
            <w:tcW w:w="1230" w:type="dxa"/>
          </w:tcPr>
          <w:p w14:paraId="1F449F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w:t>
            </w:r>
          </w:p>
        </w:tc>
        <w:tc>
          <w:tcPr>
            <w:tcW w:w="887" w:type="dxa"/>
          </w:tcPr>
          <w:p w14:paraId="26B245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4,4</w:t>
            </w:r>
          </w:p>
        </w:tc>
        <w:tc>
          <w:tcPr>
            <w:tcW w:w="936" w:type="dxa"/>
          </w:tcPr>
          <w:p w14:paraId="2022E4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3,3</w:t>
            </w:r>
          </w:p>
        </w:tc>
        <w:tc>
          <w:tcPr>
            <w:tcW w:w="691" w:type="dxa"/>
          </w:tcPr>
          <w:p w14:paraId="75B057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4,04</w:t>
            </w:r>
          </w:p>
        </w:tc>
      </w:tr>
      <w:tr w:rsidR="001002C3" w:rsidRPr="005E779E" w14:paraId="4BC600EC" w14:textId="77777777">
        <w:tc>
          <w:tcPr>
            <w:tcW w:w="1817" w:type="dxa"/>
          </w:tcPr>
          <w:p w14:paraId="4944CD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2000 м</w:t>
            </w:r>
          </w:p>
        </w:tc>
        <w:tc>
          <w:tcPr>
            <w:tcW w:w="838" w:type="dxa"/>
          </w:tcPr>
          <w:p w14:paraId="6F95A2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13,9</w:t>
            </w:r>
          </w:p>
        </w:tc>
        <w:tc>
          <w:tcPr>
            <w:tcW w:w="838" w:type="dxa"/>
          </w:tcPr>
          <w:p w14:paraId="5A7F56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9,25</w:t>
            </w:r>
          </w:p>
        </w:tc>
        <w:tc>
          <w:tcPr>
            <w:tcW w:w="887" w:type="dxa"/>
          </w:tcPr>
          <w:p w14:paraId="622F35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7,5</w:t>
            </w:r>
          </w:p>
        </w:tc>
        <w:tc>
          <w:tcPr>
            <w:tcW w:w="1230" w:type="dxa"/>
          </w:tcPr>
          <w:p w14:paraId="4816DE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8,15</w:t>
            </w:r>
          </w:p>
        </w:tc>
        <w:tc>
          <w:tcPr>
            <w:tcW w:w="1230" w:type="dxa"/>
          </w:tcPr>
          <w:p w14:paraId="305929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87" w:type="dxa"/>
          </w:tcPr>
          <w:p w14:paraId="678F3F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18,0</w:t>
            </w:r>
          </w:p>
        </w:tc>
        <w:tc>
          <w:tcPr>
            <w:tcW w:w="936" w:type="dxa"/>
          </w:tcPr>
          <w:p w14:paraId="7D8CC2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14,0</w:t>
            </w:r>
          </w:p>
        </w:tc>
        <w:tc>
          <w:tcPr>
            <w:tcW w:w="691" w:type="dxa"/>
          </w:tcPr>
          <w:p w14:paraId="1C0D78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9,28</w:t>
            </w:r>
          </w:p>
        </w:tc>
      </w:tr>
      <w:tr w:rsidR="001002C3" w:rsidRPr="005E779E" w14:paraId="72E188AE" w14:textId="77777777">
        <w:tc>
          <w:tcPr>
            <w:tcW w:w="1817" w:type="dxa"/>
          </w:tcPr>
          <w:p w14:paraId="061E38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 м</w:t>
            </w:r>
          </w:p>
        </w:tc>
        <w:tc>
          <w:tcPr>
            <w:tcW w:w="838" w:type="dxa"/>
          </w:tcPr>
          <w:p w14:paraId="506672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71,0</w:t>
            </w:r>
          </w:p>
        </w:tc>
        <w:tc>
          <w:tcPr>
            <w:tcW w:w="838" w:type="dxa"/>
          </w:tcPr>
          <w:p w14:paraId="054943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33,5</w:t>
            </w:r>
          </w:p>
        </w:tc>
        <w:tc>
          <w:tcPr>
            <w:tcW w:w="887" w:type="dxa"/>
          </w:tcPr>
          <w:p w14:paraId="669F9B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32,0</w:t>
            </w:r>
          </w:p>
        </w:tc>
        <w:tc>
          <w:tcPr>
            <w:tcW w:w="1230" w:type="dxa"/>
          </w:tcPr>
          <w:p w14:paraId="142513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37,1</w:t>
            </w:r>
          </w:p>
        </w:tc>
        <w:tc>
          <w:tcPr>
            <w:tcW w:w="1230" w:type="dxa"/>
          </w:tcPr>
          <w:p w14:paraId="6D743C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36,0</w:t>
            </w:r>
          </w:p>
        </w:tc>
        <w:tc>
          <w:tcPr>
            <w:tcW w:w="887" w:type="dxa"/>
          </w:tcPr>
          <w:p w14:paraId="1F3127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936" w:type="dxa"/>
          </w:tcPr>
          <w:p w14:paraId="3BBD87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691" w:type="dxa"/>
          </w:tcPr>
          <w:p w14:paraId="71089F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47,4</w:t>
            </w:r>
          </w:p>
        </w:tc>
      </w:tr>
      <w:tr w:rsidR="001002C3" w:rsidRPr="005E779E" w14:paraId="16FDFB3C" w14:textId="77777777">
        <w:tc>
          <w:tcPr>
            <w:tcW w:w="1817" w:type="dxa"/>
          </w:tcPr>
          <w:p w14:paraId="514572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Разбег, м </w:t>
            </w:r>
          </w:p>
        </w:tc>
        <w:tc>
          <w:tcPr>
            <w:tcW w:w="838" w:type="dxa"/>
          </w:tcPr>
          <w:p w14:paraId="703DB3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120</w:t>
            </w:r>
          </w:p>
        </w:tc>
        <w:tc>
          <w:tcPr>
            <w:tcW w:w="838" w:type="dxa"/>
          </w:tcPr>
          <w:p w14:paraId="0A0A1E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87" w:type="dxa"/>
          </w:tcPr>
          <w:p w14:paraId="4139A5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230" w:type="dxa"/>
          </w:tcPr>
          <w:p w14:paraId="5B9B63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140</w:t>
            </w:r>
          </w:p>
        </w:tc>
        <w:tc>
          <w:tcPr>
            <w:tcW w:w="1230" w:type="dxa"/>
          </w:tcPr>
          <w:p w14:paraId="734202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95-110</w:t>
            </w:r>
          </w:p>
        </w:tc>
        <w:tc>
          <w:tcPr>
            <w:tcW w:w="887" w:type="dxa"/>
          </w:tcPr>
          <w:p w14:paraId="4676E5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936" w:type="dxa"/>
          </w:tcPr>
          <w:p w14:paraId="5A555A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120</w:t>
            </w:r>
          </w:p>
        </w:tc>
        <w:tc>
          <w:tcPr>
            <w:tcW w:w="691" w:type="dxa"/>
          </w:tcPr>
          <w:p w14:paraId="1782FB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1002C3" w:rsidRPr="005E779E" w14:paraId="2D0D0884" w14:textId="77777777">
        <w:tc>
          <w:tcPr>
            <w:tcW w:w="1817" w:type="dxa"/>
          </w:tcPr>
          <w:p w14:paraId="289BE9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Пробег, м</w:t>
            </w:r>
          </w:p>
        </w:tc>
        <w:tc>
          <w:tcPr>
            <w:tcW w:w="838" w:type="dxa"/>
          </w:tcPr>
          <w:p w14:paraId="0047FF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210</w:t>
            </w:r>
          </w:p>
        </w:tc>
        <w:tc>
          <w:tcPr>
            <w:tcW w:w="838" w:type="dxa"/>
          </w:tcPr>
          <w:p w14:paraId="6533B7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87" w:type="dxa"/>
          </w:tcPr>
          <w:p w14:paraId="0C01F4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230" w:type="dxa"/>
          </w:tcPr>
          <w:p w14:paraId="42150E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230" w:type="dxa"/>
          </w:tcPr>
          <w:p w14:paraId="3CD679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120-130</w:t>
            </w:r>
          </w:p>
        </w:tc>
        <w:tc>
          <w:tcPr>
            <w:tcW w:w="887" w:type="dxa"/>
          </w:tcPr>
          <w:p w14:paraId="0AEE0C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936" w:type="dxa"/>
          </w:tcPr>
          <w:p w14:paraId="69555C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w:t>
            </w:r>
          </w:p>
        </w:tc>
        <w:tc>
          <w:tcPr>
            <w:tcW w:w="691" w:type="dxa"/>
          </w:tcPr>
          <w:p w14:paraId="0ABA6D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1002C3" w:rsidRPr="005E779E" w14:paraId="4A3839E5" w14:textId="77777777">
        <w:tc>
          <w:tcPr>
            <w:tcW w:w="1817" w:type="dxa"/>
          </w:tcPr>
          <w:p w14:paraId="680C84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Продолжительность полета, ч</w:t>
            </w:r>
          </w:p>
        </w:tc>
        <w:tc>
          <w:tcPr>
            <w:tcW w:w="838" w:type="dxa"/>
          </w:tcPr>
          <w:p w14:paraId="43542A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w:t>
            </w:r>
          </w:p>
        </w:tc>
        <w:tc>
          <w:tcPr>
            <w:tcW w:w="838" w:type="dxa"/>
          </w:tcPr>
          <w:p w14:paraId="0EFBB9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w:t>
            </w:r>
          </w:p>
        </w:tc>
        <w:tc>
          <w:tcPr>
            <w:tcW w:w="887" w:type="dxa"/>
          </w:tcPr>
          <w:p w14:paraId="6A0327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w:t>
            </w:r>
          </w:p>
        </w:tc>
        <w:tc>
          <w:tcPr>
            <w:tcW w:w="1230" w:type="dxa"/>
          </w:tcPr>
          <w:p w14:paraId="160ACB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w:t>
            </w:r>
          </w:p>
        </w:tc>
        <w:tc>
          <w:tcPr>
            <w:tcW w:w="1230" w:type="dxa"/>
          </w:tcPr>
          <w:p w14:paraId="372B9D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w:t>
            </w:r>
          </w:p>
        </w:tc>
        <w:tc>
          <w:tcPr>
            <w:tcW w:w="887" w:type="dxa"/>
          </w:tcPr>
          <w:p w14:paraId="1F33A3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w:t>
            </w:r>
          </w:p>
        </w:tc>
        <w:tc>
          <w:tcPr>
            <w:tcW w:w="936" w:type="dxa"/>
          </w:tcPr>
          <w:p w14:paraId="1B0238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691" w:type="dxa"/>
          </w:tcPr>
          <w:p w14:paraId="3F2D5C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405D1E0" w14:textId="77777777">
        <w:tc>
          <w:tcPr>
            <w:tcW w:w="1817" w:type="dxa"/>
          </w:tcPr>
          <w:p w14:paraId="6A11E6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4BCC39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Р-1 СП</w:t>
            </w:r>
          </w:p>
        </w:tc>
        <w:tc>
          <w:tcPr>
            <w:tcW w:w="838" w:type="dxa"/>
          </w:tcPr>
          <w:p w14:paraId="74B62B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Р-1ЛД</w:t>
            </w:r>
          </w:p>
        </w:tc>
        <w:tc>
          <w:tcPr>
            <w:tcW w:w="887" w:type="dxa"/>
          </w:tcPr>
          <w:p w14:paraId="0BACBD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Р-1 БМВ</w:t>
            </w:r>
          </w:p>
        </w:tc>
        <w:tc>
          <w:tcPr>
            <w:tcW w:w="1230" w:type="dxa"/>
          </w:tcPr>
          <w:p w14:paraId="7CFA4D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МР-1 опыт. дерев. попл.</w:t>
            </w:r>
          </w:p>
        </w:tc>
        <w:tc>
          <w:tcPr>
            <w:tcW w:w="1230" w:type="dxa"/>
          </w:tcPr>
          <w:p w14:paraId="296E5E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МР-1 опыт. метал. попл.</w:t>
            </w:r>
          </w:p>
        </w:tc>
        <w:tc>
          <w:tcPr>
            <w:tcW w:w="887" w:type="dxa"/>
          </w:tcPr>
          <w:p w14:paraId="0A3DA0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МР-1 Сер. 16 </w:t>
            </w:r>
          </w:p>
        </w:tc>
        <w:tc>
          <w:tcPr>
            <w:tcW w:w="936" w:type="dxa"/>
          </w:tcPr>
          <w:p w14:paraId="794974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МР-1 Сер. 18</w:t>
            </w:r>
          </w:p>
        </w:tc>
        <w:tc>
          <w:tcPr>
            <w:tcW w:w="691" w:type="dxa"/>
          </w:tcPr>
          <w:p w14:paraId="120424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МР-1 Сер. 19</w:t>
            </w:r>
          </w:p>
        </w:tc>
      </w:tr>
      <w:tr w:rsidR="001002C3" w:rsidRPr="005E779E" w14:paraId="18FFD5D0" w14:textId="77777777">
        <w:tc>
          <w:tcPr>
            <w:tcW w:w="1817" w:type="dxa"/>
          </w:tcPr>
          <w:p w14:paraId="2E5157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Размах крыльев, м</w:t>
            </w:r>
          </w:p>
        </w:tc>
        <w:tc>
          <w:tcPr>
            <w:tcW w:w="838" w:type="dxa"/>
          </w:tcPr>
          <w:p w14:paraId="019DE8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14,0</w:t>
            </w:r>
          </w:p>
        </w:tc>
        <w:tc>
          <w:tcPr>
            <w:tcW w:w="838" w:type="dxa"/>
          </w:tcPr>
          <w:p w14:paraId="21EF85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14,0</w:t>
            </w:r>
          </w:p>
        </w:tc>
        <w:tc>
          <w:tcPr>
            <w:tcW w:w="887" w:type="dxa"/>
          </w:tcPr>
          <w:p w14:paraId="7CEDBB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12,1</w:t>
            </w:r>
          </w:p>
        </w:tc>
        <w:tc>
          <w:tcPr>
            <w:tcW w:w="1230" w:type="dxa"/>
          </w:tcPr>
          <w:p w14:paraId="47359C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14,0</w:t>
            </w:r>
          </w:p>
        </w:tc>
        <w:tc>
          <w:tcPr>
            <w:tcW w:w="1230" w:type="dxa"/>
          </w:tcPr>
          <w:p w14:paraId="6EC26B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14,0</w:t>
            </w:r>
          </w:p>
        </w:tc>
        <w:tc>
          <w:tcPr>
            <w:tcW w:w="887" w:type="dxa"/>
          </w:tcPr>
          <w:p w14:paraId="33AD02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14,0</w:t>
            </w:r>
          </w:p>
        </w:tc>
        <w:tc>
          <w:tcPr>
            <w:tcW w:w="936" w:type="dxa"/>
          </w:tcPr>
          <w:p w14:paraId="0F4CF4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14,0</w:t>
            </w:r>
          </w:p>
        </w:tc>
        <w:tc>
          <w:tcPr>
            <w:tcW w:w="691" w:type="dxa"/>
          </w:tcPr>
          <w:p w14:paraId="165369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14,0</w:t>
            </w:r>
          </w:p>
        </w:tc>
      </w:tr>
      <w:tr w:rsidR="001002C3" w:rsidRPr="005E779E" w14:paraId="33FF7C2D" w14:textId="77777777">
        <w:tc>
          <w:tcPr>
            <w:tcW w:w="1817" w:type="dxa"/>
          </w:tcPr>
          <w:p w14:paraId="29BA38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Длина, м</w:t>
            </w:r>
          </w:p>
        </w:tc>
        <w:tc>
          <w:tcPr>
            <w:tcW w:w="838" w:type="dxa"/>
          </w:tcPr>
          <w:p w14:paraId="68267D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9,2</w:t>
            </w:r>
          </w:p>
        </w:tc>
        <w:tc>
          <w:tcPr>
            <w:tcW w:w="838" w:type="dxa"/>
          </w:tcPr>
          <w:p w14:paraId="27ACEB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8,85</w:t>
            </w:r>
          </w:p>
        </w:tc>
        <w:tc>
          <w:tcPr>
            <w:tcW w:w="887" w:type="dxa"/>
          </w:tcPr>
          <w:p w14:paraId="2FC488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9,5</w:t>
            </w:r>
          </w:p>
        </w:tc>
        <w:tc>
          <w:tcPr>
            <w:tcW w:w="1230" w:type="dxa"/>
          </w:tcPr>
          <w:p w14:paraId="21B6B0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230" w:type="dxa"/>
          </w:tcPr>
          <w:p w14:paraId="78A9C2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87" w:type="dxa"/>
          </w:tcPr>
          <w:p w14:paraId="238A1A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936" w:type="dxa"/>
          </w:tcPr>
          <w:p w14:paraId="042958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691" w:type="dxa"/>
          </w:tcPr>
          <w:p w14:paraId="413BF3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1002C3" w:rsidRPr="005E779E" w14:paraId="07F7DCEA" w14:textId="77777777">
        <w:tc>
          <w:tcPr>
            <w:tcW w:w="1817" w:type="dxa"/>
          </w:tcPr>
          <w:p w14:paraId="6B4BA5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Высота, м</w:t>
            </w:r>
          </w:p>
        </w:tc>
        <w:tc>
          <w:tcPr>
            <w:tcW w:w="838" w:type="dxa"/>
          </w:tcPr>
          <w:p w14:paraId="5022F4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w:t>
            </w:r>
          </w:p>
        </w:tc>
        <w:tc>
          <w:tcPr>
            <w:tcW w:w="838" w:type="dxa"/>
          </w:tcPr>
          <w:p w14:paraId="680696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3,46</w:t>
            </w:r>
          </w:p>
        </w:tc>
        <w:tc>
          <w:tcPr>
            <w:tcW w:w="887" w:type="dxa"/>
          </w:tcPr>
          <w:p w14:paraId="5FC264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230" w:type="dxa"/>
          </w:tcPr>
          <w:p w14:paraId="3F9CBE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230" w:type="dxa"/>
          </w:tcPr>
          <w:p w14:paraId="7B4602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87" w:type="dxa"/>
          </w:tcPr>
          <w:p w14:paraId="47E1AB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936" w:type="dxa"/>
          </w:tcPr>
          <w:p w14:paraId="377EE7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691" w:type="dxa"/>
          </w:tcPr>
          <w:p w14:paraId="1A8C00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653BE57" w14:textId="77777777">
        <w:tc>
          <w:tcPr>
            <w:tcW w:w="1817" w:type="dxa"/>
          </w:tcPr>
          <w:p w14:paraId="4AE2B5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кг</w:t>
            </w:r>
          </w:p>
        </w:tc>
        <w:tc>
          <w:tcPr>
            <w:tcW w:w="838" w:type="dxa"/>
          </w:tcPr>
          <w:p w14:paraId="765FAD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4F9B34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87" w:type="dxa"/>
          </w:tcPr>
          <w:p w14:paraId="10412C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230" w:type="dxa"/>
          </w:tcPr>
          <w:p w14:paraId="2F4814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230" w:type="dxa"/>
          </w:tcPr>
          <w:p w14:paraId="7B3944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87" w:type="dxa"/>
          </w:tcPr>
          <w:p w14:paraId="5EF76F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6" w:type="dxa"/>
          </w:tcPr>
          <w:p w14:paraId="557A36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4C76D8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B6539C0" w14:textId="77777777">
        <w:tc>
          <w:tcPr>
            <w:tcW w:w="1817" w:type="dxa"/>
          </w:tcPr>
          <w:p w14:paraId="55B9B8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пустого</w:t>
            </w:r>
          </w:p>
        </w:tc>
        <w:tc>
          <w:tcPr>
            <w:tcW w:w="838" w:type="dxa"/>
          </w:tcPr>
          <w:p w14:paraId="50F9BF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1235</w:t>
            </w:r>
          </w:p>
        </w:tc>
        <w:tc>
          <w:tcPr>
            <w:tcW w:w="838" w:type="dxa"/>
          </w:tcPr>
          <w:p w14:paraId="183E62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1414</w:t>
            </w:r>
          </w:p>
        </w:tc>
        <w:tc>
          <w:tcPr>
            <w:tcW w:w="887" w:type="dxa"/>
          </w:tcPr>
          <w:p w14:paraId="2C4727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1275</w:t>
            </w:r>
          </w:p>
        </w:tc>
        <w:tc>
          <w:tcPr>
            <w:tcW w:w="1230" w:type="dxa"/>
          </w:tcPr>
          <w:p w14:paraId="40C873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1925</w:t>
            </w:r>
          </w:p>
        </w:tc>
        <w:tc>
          <w:tcPr>
            <w:tcW w:w="1230" w:type="dxa"/>
          </w:tcPr>
          <w:p w14:paraId="64F1B3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1798</w:t>
            </w:r>
          </w:p>
        </w:tc>
        <w:tc>
          <w:tcPr>
            <w:tcW w:w="887" w:type="dxa"/>
          </w:tcPr>
          <w:p w14:paraId="276FD0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1900</w:t>
            </w:r>
          </w:p>
        </w:tc>
        <w:tc>
          <w:tcPr>
            <w:tcW w:w="936" w:type="dxa"/>
          </w:tcPr>
          <w:p w14:paraId="079C78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1935</w:t>
            </w:r>
          </w:p>
        </w:tc>
        <w:tc>
          <w:tcPr>
            <w:tcW w:w="691" w:type="dxa"/>
          </w:tcPr>
          <w:p w14:paraId="18C7FD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1955</w:t>
            </w:r>
          </w:p>
        </w:tc>
      </w:tr>
      <w:tr w:rsidR="001002C3" w:rsidRPr="005E779E" w14:paraId="2A025266" w14:textId="77777777">
        <w:tc>
          <w:tcPr>
            <w:tcW w:w="1817" w:type="dxa"/>
          </w:tcPr>
          <w:p w14:paraId="05654D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полетный</w:t>
            </w:r>
          </w:p>
        </w:tc>
        <w:tc>
          <w:tcPr>
            <w:tcW w:w="838" w:type="dxa"/>
          </w:tcPr>
          <w:p w14:paraId="1A5FA2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1640</w:t>
            </w:r>
          </w:p>
        </w:tc>
        <w:tc>
          <w:tcPr>
            <w:tcW w:w="838" w:type="dxa"/>
          </w:tcPr>
          <w:p w14:paraId="61EBFA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2105</w:t>
            </w:r>
          </w:p>
        </w:tc>
        <w:tc>
          <w:tcPr>
            <w:tcW w:w="887" w:type="dxa"/>
          </w:tcPr>
          <w:p w14:paraId="34F9B7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1775</w:t>
            </w:r>
          </w:p>
        </w:tc>
        <w:tc>
          <w:tcPr>
            <w:tcW w:w="1230" w:type="dxa"/>
          </w:tcPr>
          <w:p w14:paraId="6B08E1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2575</w:t>
            </w:r>
          </w:p>
        </w:tc>
        <w:tc>
          <w:tcPr>
            <w:tcW w:w="1230" w:type="dxa"/>
          </w:tcPr>
          <w:p w14:paraId="4EC5DA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87" w:type="dxa"/>
          </w:tcPr>
          <w:p w14:paraId="175C2C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2550</w:t>
            </w:r>
          </w:p>
        </w:tc>
        <w:tc>
          <w:tcPr>
            <w:tcW w:w="936" w:type="dxa"/>
          </w:tcPr>
          <w:p w14:paraId="462BC4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2565</w:t>
            </w:r>
          </w:p>
        </w:tc>
        <w:tc>
          <w:tcPr>
            <w:tcW w:w="691" w:type="dxa"/>
          </w:tcPr>
          <w:p w14:paraId="182A4E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2605</w:t>
            </w:r>
          </w:p>
        </w:tc>
      </w:tr>
      <w:tr w:rsidR="001002C3" w:rsidRPr="005E779E" w14:paraId="08AC08AA" w14:textId="77777777">
        <w:tc>
          <w:tcPr>
            <w:tcW w:w="1817" w:type="dxa"/>
          </w:tcPr>
          <w:p w14:paraId="361FD3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Скорость максимальная у земли, км/ч</w:t>
            </w:r>
          </w:p>
        </w:tc>
        <w:tc>
          <w:tcPr>
            <w:tcW w:w="838" w:type="dxa"/>
          </w:tcPr>
          <w:p w14:paraId="7E044A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170</w:t>
            </w:r>
          </w:p>
        </w:tc>
        <w:tc>
          <w:tcPr>
            <w:tcW w:w="838" w:type="dxa"/>
          </w:tcPr>
          <w:p w14:paraId="05ADCE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192</w:t>
            </w:r>
          </w:p>
        </w:tc>
        <w:tc>
          <w:tcPr>
            <w:tcW w:w="887" w:type="dxa"/>
          </w:tcPr>
          <w:p w14:paraId="77DCDF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173</w:t>
            </w:r>
          </w:p>
        </w:tc>
        <w:tc>
          <w:tcPr>
            <w:tcW w:w="1230" w:type="dxa"/>
          </w:tcPr>
          <w:p w14:paraId="6F7B5D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183</w:t>
            </w:r>
          </w:p>
        </w:tc>
        <w:tc>
          <w:tcPr>
            <w:tcW w:w="1230" w:type="dxa"/>
          </w:tcPr>
          <w:p w14:paraId="6ACA84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87" w:type="dxa"/>
          </w:tcPr>
          <w:p w14:paraId="765096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182</w:t>
            </w:r>
          </w:p>
        </w:tc>
        <w:tc>
          <w:tcPr>
            <w:tcW w:w="936" w:type="dxa"/>
          </w:tcPr>
          <w:p w14:paraId="0CA782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176</w:t>
            </w:r>
          </w:p>
        </w:tc>
        <w:tc>
          <w:tcPr>
            <w:tcW w:w="691" w:type="dxa"/>
          </w:tcPr>
          <w:p w14:paraId="113DBD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179</w:t>
            </w:r>
          </w:p>
        </w:tc>
      </w:tr>
      <w:tr w:rsidR="001002C3" w:rsidRPr="005E779E" w14:paraId="64F9B291" w14:textId="77777777">
        <w:tc>
          <w:tcPr>
            <w:tcW w:w="1817" w:type="dxa"/>
          </w:tcPr>
          <w:p w14:paraId="4AD513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Потолок практический, м</w:t>
            </w:r>
          </w:p>
        </w:tc>
        <w:tc>
          <w:tcPr>
            <w:tcW w:w="838" w:type="dxa"/>
          </w:tcPr>
          <w:p w14:paraId="6B68B2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4700</w:t>
            </w:r>
          </w:p>
        </w:tc>
        <w:tc>
          <w:tcPr>
            <w:tcW w:w="838" w:type="dxa"/>
          </w:tcPr>
          <w:p w14:paraId="2AA012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4600</w:t>
            </w:r>
          </w:p>
        </w:tc>
        <w:tc>
          <w:tcPr>
            <w:tcW w:w="887" w:type="dxa"/>
          </w:tcPr>
          <w:p w14:paraId="5A03E2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5440</w:t>
            </w:r>
          </w:p>
        </w:tc>
        <w:tc>
          <w:tcPr>
            <w:tcW w:w="1230" w:type="dxa"/>
          </w:tcPr>
          <w:p w14:paraId="620983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3575</w:t>
            </w:r>
          </w:p>
        </w:tc>
        <w:tc>
          <w:tcPr>
            <w:tcW w:w="1230" w:type="dxa"/>
          </w:tcPr>
          <w:p w14:paraId="221663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3680</w:t>
            </w:r>
          </w:p>
        </w:tc>
        <w:tc>
          <w:tcPr>
            <w:tcW w:w="887" w:type="dxa"/>
          </w:tcPr>
          <w:p w14:paraId="4FE5A8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3680</w:t>
            </w:r>
          </w:p>
        </w:tc>
        <w:tc>
          <w:tcPr>
            <w:tcW w:w="936" w:type="dxa"/>
          </w:tcPr>
          <w:p w14:paraId="387F1E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3650</w:t>
            </w:r>
          </w:p>
        </w:tc>
        <w:tc>
          <w:tcPr>
            <w:tcW w:w="691" w:type="dxa"/>
          </w:tcPr>
          <w:p w14:paraId="7FB1D9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3515</w:t>
            </w:r>
          </w:p>
        </w:tc>
      </w:tr>
      <w:tr w:rsidR="001002C3" w:rsidRPr="005E779E" w14:paraId="165E0311" w14:textId="77777777">
        <w:tc>
          <w:tcPr>
            <w:tcW w:w="1817" w:type="dxa"/>
          </w:tcPr>
          <w:p w14:paraId="5A445F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Набор высоты, мин</w:t>
            </w:r>
          </w:p>
        </w:tc>
        <w:tc>
          <w:tcPr>
            <w:tcW w:w="838" w:type="dxa"/>
          </w:tcPr>
          <w:p w14:paraId="0C0A26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7C8642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87" w:type="dxa"/>
          </w:tcPr>
          <w:p w14:paraId="45B6CC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230" w:type="dxa"/>
          </w:tcPr>
          <w:p w14:paraId="10E2F0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230" w:type="dxa"/>
          </w:tcPr>
          <w:p w14:paraId="6D26FD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87" w:type="dxa"/>
          </w:tcPr>
          <w:p w14:paraId="0BE9FA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6" w:type="dxa"/>
          </w:tcPr>
          <w:p w14:paraId="2A3E87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3BCF2F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CDB7088" w14:textId="77777777">
        <w:tc>
          <w:tcPr>
            <w:tcW w:w="1817" w:type="dxa"/>
          </w:tcPr>
          <w:p w14:paraId="2FA854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 м</w:t>
            </w:r>
          </w:p>
        </w:tc>
        <w:tc>
          <w:tcPr>
            <w:tcW w:w="838" w:type="dxa"/>
          </w:tcPr>
          <w:p w14:paraId="67B23A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w:t>
            </w:r>
          </w:p>
        </w:tc>
        <w:tc>
          <w:tcPr>
            <w:tcW w:w="838" w:type="dxa"/>
          </w:tcPr>
          <w:p w14:paraId="3B7F3A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4,75</w:t>
            </w:r>
          </w:p>
        </w:tc>
        <w:tc>
          <w:tcPr>
            <w:tcW w:w="887" w:type="dxa"/>
          </w:tcPr>
          <w:p w14:paraId="1AF80E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230" w:type="dxa"/>
          </w:tcPr>
          <w:p w14:paraId="39447A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w:t>
            </w:r>
          </w:p>
        </w:tc>
        <w:tc>
          <w:tcPr>
            <w:tcW w:w="1230" w:type="dxa"/>
          </w:tcPr>
          <w:p w14:paraId="132A31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6,3</w:t>
            </w:r>
          </w:p>
        </w:tc>
        <w:tc>
          <w:tcPr>
            <w:tcW w:w="887" w:type="dxa"/>
          </w:tcPr>
          <w:p w14:paraId="54C169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5,8</w:t>
            </w:r>
          </w:p>
        </w:tc>
        <w:tc>
          <w:tcPr>
            <w:tcW w:w="936" w:type="dxa"/>
          </w:tcPr>
          <w:p w14:paraId="1AF787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8,33</w:t>
            </w:r>
          </w:p>
        </w:tc>
        <w:tc>
          <w:tcPr>
            <w:tcW w:w="691" w:type="dxa"/>
          </w:tcPr>
          <w:p w14:paraId="251B8C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6,77</w:t>
            </w:r>
          </w:p>
        </w:tc>
      </w:tr>
      <w:tr w:rsidR="001002C3" w:rsidRPr="005E779E" w14:paraId="3DF2732E" w14:textId="77777777">
        <w:tc>
          <w:tcPr>
            <w:tcW w:w="1817" w:type="dxa"/>
          </w:tcPr>
          <w:p w14:paraId="7978E1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2000 м</w:t>
            </w:r>
          </w:p>
        </w:tc>
        <w:tc>
          <w:tcPr>
            <w:tcW w:w="838" w:type="dxa"/>
          </w:tcPr>
          <w:p w14:paraId="2D6193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11,3</w:t>
            </w:r>
          </w:p>
        </w:tc>
        <w:tc>
          <w:tcPr>
            <w:tcW w:w="838" w:type="dxa"/>
          </w:tcPr>
          <w:p w14:paraId="1351ED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11,0</w:t>
            </w:r>
          </w:p>
        </w:tc>
        <w:tc>
          <w:tcPr>
            <w:tcW w:w="887" w:type="dxa"/>
          </w:tcPr>
          <w:p w14:paraId="4904A0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230" w:type="dxa"/>
          </w:tcPr>
          <w:p w14:paraId="51878D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14,6</w:t>
            </w:r>
          </w:p>
        </w:tc>
        <w:tc>
          <w:tcPr>
            <w:tcW w:w="1230" w:type="dxa"/>
          </w:tcPr>
          <w:p w14:paraId="58410A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14,3</w:t>
            </w:r>
          </w:p>
        </w:tc>
        <w:tc>
          <w:tcPr>
            <w:tcW w:w="887" w:type="dxa"/>
          </w:tcPr>
          <w:p w14:paraId="522FB3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14,2</w:t>
            </w:r>
          </w:p>
        </w:tc>
        <w:tc>
          <w:tcPr>
            <w:tcW w:w="936" w:type="dxa"/>
          </w:tcPr>
          <w:p w14:paraId="0B15FC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691" w:type="dxa"/>
          </w:tcPr>
          <w:p w14:paraId="659270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16,68</w:t>
            </w:r>
          </w:p>
        </w:tc>
      </w:tr>
      <w:tr w:rsidR="001002C3" w:rsidRPr="005E779E" w14:paraId="78B192EC" w14:textId="77777777">
        <w:tc>
          <w:tcPr>
            <w:tcW w:w="1817" w:type="dxa"/>
          </w:tcPr>
          <w:p w14:paraId="19398A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 м</w:t>
            </w:r>
          </w:p>
        </w:tc>
        <w:tc>
          <w:tcPr>
            <w:tcW w:w="838" w:type="dxa"/>
          </w:tcPr>
          <w:p w14:paraId="4F88BB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38" w:type="dxa"/>
          </w:tcPr>
          <w:p w14:paraId="4B7EA2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87" w:type="dxa"/>
          </w:tcPr>
          <w:p w14:paraId="541F4D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230" w:type="dxa"/>
          </w:tcPr>
          <w:p w14:paraId="4FDF46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230" w:type="dxa"/>
          </w:tcPr>
          <w:p w14:paraId="43AFEA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87" w:type="dxa"/>
          </w:tcPr>
          <w:p w14:paraId="4EB7AD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936" w:type="dxa"/>
          </w:tcPr>
          <w:p w14:paraId="778893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4D98C4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1002C3" w:rsidRPr="005E779E" w14:paraId="2A0DA787" w14:textId="77777777">
        <w:tc>
          <w:tcPr>
            <w:tcW w:w="1817" w:type="dxa"/>
          </w:tcPr>
          <w:p w14:paraId="4F5E6C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Разбег, м</w:t>
            </w:r>
          </w:p>
        </w:tc>
        <w:tc>
          <w:tcPr>
            <w:tcW w:w="838" w:type="dxa"/>
          </w:tcPr>
          <w:p w14:paraId="7486CB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7233CE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130</w:t>
            </w:r>
          </w:p>
        </w:tc>
        <w:tc>
          <w:tcPr>
            <w:tcW w:w="887" w:type="dxa"/>
          </w:tcPr>
          <w:p w14:paraId="488E94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100-130</w:t>
            </w:r>
          </w:p>
        </w:tc>
        <w:tc>
          <w:tcPr>
            <w:tcW w:w="1230" w:type="dxa"/>
          </w:tcPr>
          <w:p w14:paraId="20EF77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230" w:type="dxa"/>
          </w:tcPr>
          <w:p w14:paraId="1DCB53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87" w:type="dxa"/>
          </w:tcPr>
          <w:p w14:paraId="1C4809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936" w:type="dxa"/>
          </w:tcPr>
          <w:p w14:paraId="129385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691" w:type="dxa"/>
          </w:tcPr>
          <w:p w14:paraId="40697D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300-400</w:t>
            </w:r>
          </w:p>
        </w:tc>
      </w:tr>
      <w:tr w:rsidR="001002C3" w:rsidRPr="005E779E" w14:paraId="01E64CD4" w14:textId="77777777">
        <w:tc>
          <w:tcPr>
            <w:tcW w:w="1817" w:type="dxa"/>
          </w:tcPr>
          <w:p w14:paraId="68E0BA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Пробег, м</w:t>
            </w:r>
          </w:p>
        </w:tc>
        <w:tc>
          <w:tcPr>
            <w:tcW w:w="838" w:type="dxa"/>
          </w:tcPr>
          <w:p w14:paraId="1064DB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38" w:type="dxa"/>
          </w:tcPr>
          <w:p w14:paraId="08521A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80</w:t>
            </w:r>
          </w:p>
        </w:tc>
        <w:tc>
          <w:tcPr>
            <w:tcW w:w="887" w:type="dxa"/>
          </w:tcPr>
          <w:p w14:paraId="50E19C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230" w:type="dxa"/>
          </w:tcPr>
          <w:p w14:paraId="7A4A00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230" w:type="dxa"/>
          </w:tcPr>
          <w:p w14:paraId="03FD45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87" w:type="dxa"/>
          </w:tcPr>
          <w:p w14:paraId="266ADA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936" w:type="dxa"/>
          </w:tcPr>
          <w:p w14:paraId="6C4D60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691" w:type="dxa"/>
          </w:tcPr>
          <w:p w14:paraId="6F754B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100-150</w:t>
            </w:r>
          </w:p>
        </w:tc>
      </w:tr>
      <w:tr w:rsidR="001002C3" w:rsidRPr="005E779E" w14:paraId="41B14051" w14:textId="77777777">
        <w:tc>
          <w:tcPr>
            <w:tcW w:w="1817" w:type="dxa"/>
            <w:tcBorders>
              <w:bottom w:val="single" w:sz="12" w:space="0" w:color="auto"/>
            </w:tcBorders>
          </w:tcPr>
          <w:p w14:paraId="7B1E0E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Продолжительность полета, ч</w:t>
            </w:r>
          </w:p>
        </w:tc>
        <w:tc>
          <w:tcPr>
            <w:tcW w:w="838" w:type="dxa"/>
            <w:tcBorders>
              <w:bottom w:val="single" w:sz="12" w:space="0" w:color="auto"/>
            </w:tcBorders>
          </w:tcPr>
          <w:p w14:paraId="4B0DC2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w:t>
            </w:r>
          </w:p>
        </w:tc>
        <w:tc>
          <w:tcPr>
            <w:tcW w:w="838" w:type="dxa"/>
            <w:tcBorders>
              <w:bottom w:val="single" w:sz="12" w:space="0" w:color="auto"/>
            </w:tcBorders>
          </w:tcPr>
          <w:p w14:paraId="69EE2E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w:t>
            </w:r>
          </w:p>
        </w:tc>
        <w:tc>
          <w:tcPr>
            <w:tcW w:w="887" w:type="dxa"/>
            <w:tcBorders>
              <w:bottom w:val="single" w:sz="12" w:space="0" w:color="auto"/>
            </w:tcBorders>
          </w:tcPr>
          <w:p w14:paraId="717278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230" w:type="dxa"/>
            <w:tcBorders>
              <w:bottom w:val="single" w:sz="12" w:space="0" w:color="auto"/>
            </w:tcBorders>
          </w:tcPr>
          <w:p w14:paraId="4F90C8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230" w:type="dxa"/>
            <w:tcBorders>
              <w:bottom w:val="single" w:sz="12" w:space="0" w:color="auto"/>
            </w:tcBorders>
          </w:tcPr>
          <w:p w14:paraId="005B7A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87" w:type="dxa"/>
            <w:tcBorders>
              <w:bottom w:val="single" w:sz="12" w:space="0" w:color="auto"/>
            </w:tcBorders>
          </w:tcPr>
          <w:p w14:paraId="506CD8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936" w:type="dxa"/>
            <w:tcBorders>
              <w:bottom w:val="single" w:sz="12" w:space="0" w:color="auto"/>
            </w:tcBorders>
          </w:tcPr>
          <w:p w14:paraId="7AC58F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691" w:type="dxa"/>
            <w:tcBorders>
              <w:bottom w:val="single" w:sz="12" w:space="0" w:color="auto"/>
            </w:tcBorders>
          </w:tcPr>
          <w:p w14:paraId="081C53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bl>
    <w:p w14:paraId="47FD4D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(11923).</w:t>
      </w:r>
    </w:p>
    <w:p w14:paraId="5B8E2F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8C3C9C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мая 1931 на КАСКР-2 было выполнено три контрольных полета перед показом новой авиационной техники советскому правительству (10224,35).</w:t>
      </w:r>
    </w:p>
    <w:p w14:paraId="0A1FE98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4E8F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мая 1931 открылись Авиационные высшие академические курсы ГВФ (АвиаВАК) для подготовки руководящих кадров (442,77).</w:t>
      </w:r>
    </w:p>
    <w:p w14:paraId="31E8AD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7013F1D" w14:textId="071823E6" w:rsidR="002E2960" w:rsidRPr="005E779E" w:rsidRDefault="002E296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мая 1931 г. при военно-воздушной академии имени Н.Е.Жуковского открылись Авиационные высшие академические курсы /АВИАВАК/ для подготовки высшего, руководящего состава гражданского воздушного флота. Курсы имели три отделения: воздушных сообщений, производственно-ремонтвый и строительный. Первый набор привлек 100 человек.</w:t>
      </w:r>
    </w:p>
    <w:p w14:paraId="45DF0B2F" w14:textId="77777777" w:rsidR="002E2960" w:rsidRPr="005E779E" w:rsidRDefault="002E296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/"Гражданская авиация", 1931 № 2/ (23370).</w:t>
      </w:r>
    </w:p>
    <w:p w14:paraId="18BCE723" w14:textId="77777777" w:rsidR="002E2960" w:rsidRPr="005E779E" w:rsidRDefault="002E2960" w:rsidP="000B7A6C">
      <w:pPr>
        <w:spacing w:after="0" w:line="240" w:lineRule="auto"/>
        <w:jc w:val="both"/>
        <w:rPr>
          <w:rFonts w:ascii="Times New Roman" w:hAnsi="Times New Roman"/>
          <w:color w:val="000000" w:themeColor="text1"/>
          <w:sz w:val="16"/>
          <w:szCs w:val="16"/>
        </w:rPr>
      </w:pPr>
    </w:p>
    <w:p w14:paraId="465D0EFC" w14:textId="77777777" w:rsidR="00E454FF"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7B14BAA7" w14:textId="77777777" w:rsidR="00E454FF" w:rsidRPr="005E779E" w:rsidRDefault="00E454FF"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5498217" w14:textId="77777777" w:rsidR="00E454FF" w:rsidRPr="005E779E" w:rsidRDefault="00E454FF"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15 мая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Протокол заседания Политбюро ЦК ВКП(б) № 38. 9. О ходе работ на Сталинградском тракторном заводе (ПБ от 10 декабря 1930 г., пр. № 20, п. 4/10) (Ильичев, Орджоникидзе). 32 а) об изменении закона об обязательной военной службе в части, касающейся льгот по семейно-имущественному положению; б) об изменении закона об обязательной военной службе в части, касающейся категорий годности к военной службе (Ворошилов). (Политбюро... Т. 2. С. 165, 166) (12416).</w:t>
      </w:r>
    </w:p>
    <w:p w14:paraId="50109C13" w14:textId="77777777" w:rsidR="00E454FF" w:rsidRPr="005E779E" w:rsidRDefault="00E454FF" w:rsidP="000B7A6C">
      <w:pPr>
        <w:spacing w:after="0" w:line="240" w:lineRule="auto"/>
        <w:jc w:val="both"/>
        <w:rPr>
          <w:rFonts w:ascii="Times New Roman" w:hAnsi="Times New Roman"/>
          <w:color w:val="000000" w:themeColor="text1"/>
          <w:sz w:val="16"/>
          <w:szCs w:val="16"/>
          <w:u w:color="002060"/>
        </w:rPr>
      </w:pPr>
    </w:p>
    <w:p w14:paraId="28405813" w14:textId="77777777" w:rsidR="00E454FF" w:rsidRPr="005E779E" w:rsidRDefault="00E454FF"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15 мая 1931 </w:t>
      </w:r>
      <w:r w:rsidRPr="005E779E">
        <w:rPr>
          <w:rFonts w:ascii="Times New Roman" w:hAnsi="Times New Roman"/>
          <w:color w:val="000000" w:themeColor="text1"/>
          <w:sz w:val="16"/>
          <w:szCs w:val="16"/>
        </w:rPr>
        <w:t>Политбюро ЦК ВКП (б) предложило ВСНХ поставить в 1931 г. серийное производство экскаваторов, землечерпалок и оборудования для хлебозаводов, обеспечить лесозаготовки узкоколейными паровозами за счет внутреннего производства; приняло к сведению доклад Г. К. Орджоникидзе о положении на Сталинградском тракторном заводе и доклад ВСНХ об угольных залежах в районах ЦЧО и Нижней Волги; разрешило отсрочку от призыва в Красную Армию рабочим и служащим Донбасса при условии работы в Донбассе в течение года; одобрило проект постановления СНК об укреплении производственного режима на предприятиях и в учреждениях (12265).</w:t>
      </w:r>
    </w:p>
    <w:p w14:paraId="477F9C35" w14:textId="77777777" w:rsidR="00E454FF" w:rsidRPr="005E779E" w:rsidRDefault="00E454F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Комиссия исполнения при СНК приняла постановление «О выполнении директив СТО о Курской магнитной аномалии» (12265).</w:t>
      </w:r>
    </w:p>
    <w:p w14:paraId="059865CA" w14:textId="77777777" w:rsidR="00E454FF" w:rsidRPr="005E779E" w:rsidRDefault="00E454F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4285A344" w14:textId="77777777" w:rsidR="000C5254" w:rsidRPr="005E779E" w:rsidRDefault="000C525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15 мая 1931 г. проектная группа выполнила эскизный проект завода СК мощностью 10 тыс. тонн в год.</w:t>
      </w:r>
    </w:p>
    <w:p w14:paraId="1BD539FA" w14:textId="77777777" w:rsidR="000C5254" w:rsidRPr="005E779E" w:rsidRDefault="000C525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Управление СК немедленно организовало экспертную комиссию под председательством Н.П. Горбунова. Экспертная комиссия дала положительное заключение по проекту, в основном приняв его.</w:t>
      </w:r>
    </w:p>
    <w:p w14:paraId="5E1DF03A" w14:textId="77777777" w:rsidR="000C5254" w:rsidRPr="005E779E" w:rsidRDefault="000C525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Учитывая большой объем проектных работ, Управление СК организовало специальную проектную организацию, которая стала в дальнейшем ведущим проектный институтом промышленности синтетического каучука – «Гипрокаучук» (18298).</w:t>
      </w:r>
    </w:p>
    <w:p w14:paraId="3D95DB0E" w14:textId="77777777" w:rsidR="000C5254" w:rsidRPr="005E779E" w:rsidRDefault="000C5254" w:rsidP="000B7A6C">
      <w:pPr>
        <w:spacing w:after="0" w:line="240" w:lineRule="auto"/>
        <w:jc w:val="both"/>
        <w:rPr>
          <w:rFonts w:ascii="Times New Roman" w:hAnsi="Times New Roman"/>
          <w:color w:val="000000" w:themeColor="text1"/>
          <w:sz w:val="16"/>
          <w:szCs w:val="16"/>
        </w:rPr>
      </w:pPr>
    </w:p>
    <w:p w14:paraId="50FC95CD" w14:textId="77777777" w:rsidR="00C356D8" w:rsidRPr="00951B40" w:rsidRDefault="00C356D8" w:rsidP="00C356D8">
      <w:pPr>
        <w:spacing w:after="0" w:line="240" w:lineRule="auto"/>
        <w:jc w:val="both"/>
        <w:rPr>
          <w:rFonts w:ascii="Times New Roman" w:hAnsi="Times New Roman"/>
          <w:color w:val="0070C0"/>
          <w:sz w:val="16"/>
          <w:szCs w:val="16"/>
        </w:rPr>
      </w:pPr>
      <w:r w:rsidRPr="00951B40">
        <w:rPr>
          <w:rStyle w:val="aff0"/>
          <w:rFonts w:ascii="Times New Roman" w:hAnsi="Times New Roman" w:cs="Times New Roman"/>
          <w:color w:val="0070C0"/>
          <w:spacing w:val="0"/>
          <w:sz w:val="16"/>
          <w:szCs w:val="16"/>
        </w:rPr>
        <w:t>15 мая 1931 г. катера типа «Стальной» были спу</w:t>
      </w:r>
      <w:r w:rsidRPr="00951B40">
        <w:rPr>
          <w:rStyle w:val="aff0"/>
          <w:rFonts w:ascii="Times New Roman" w:hAnsi="Times New Roman" w:cs="Times New Roman"/>
          <w:color w:val="0070C0"/>
          <w:spacing w:val="0"/>
          <w:sz w:val="16"/>
          <w:szCs w:val="16"/>
        </w:rPr>
        <w:softHyphen/>
        <w:t>щены на воду, и 27 мая головной С-1 вы</w:t>
      </w:r>
      <w:r w:rsidRPr="00951B40">
        <w:rPr>
          <w:rStyle w:val="aff0"/>
          <w:rFonts w:ascii="Times New Roman" w:hAnsi="Times New Roman" w:cs="Times New Roman"/>
          <w:color w:val="0070C0"/>
          <w:spacing w:val="0"/>
          <w:sz w:val="16"/>
          <w:szCs w:val="16"/>
        </w:rPr>
        <w:softHyphen/>
        <w:t>шел на испытания. 16 июня к нему присо</w:t>
      </w:r>
      <w:r w:rsidRPr="00951B40">
        <w:rPr>
          <w:rStyle w:val="aff0"/>
          <w:rFonts w:ascii="Times New Roman" w:hAnsi="Times New Roman" w:cs="Times New Roman"/>
          <w:color w:val="0070C0"/>
          <w:spacing w:val="0"/>
          <w:sz w:val="16"/>
          <w:szCs w:val="16"/>
        </w:rPr>
        <w:softHyphen/>
        <w:t>единился С-2. В традициях того времени катера сдавались с не установленным полностью торпедным вооружением (на катерах устанавливались весовые эквива</w:t>
      </w:r>
      <w:r w:rsidRPr="00951B40">
        <w:rPr>
          <w:rStyle w:val="aff0"/>
          <w:rFonts w:ascii="Times New Roman" w:hAnsi="Times New Roman" w:cs="Times New Roman"/>
          <w:color w:val="0070C0"/>
          <w:spacing w:val="0"/>
          <w:sz w:val="16"/>
          <w:szCs w:val="16"/>
        </w:rPr>
        <w:softHyphen/>
        <w:t>ленты торпед), без радиосредств, аппара</w:t>
      </w:r>
      <w:r w:rsidRPr="00951B40">
        <w:rPr>
          <w:rStyle w:val="aff0"/>
          <w:rFonts w:ascii="Times New Roman" w:hAnsi="Times New Roman" w:cs="Times New Roman"/>
          <w:color w:val="0070C0"/>
          <w:spacing w:val="0"/>
          <w:sz w:val="16"/>
          <w:szCs w:val="16"/>
        </w:rPr>
        <w:softHyphen/>
        <w:t>туры ВУ, артиллерийского и химического (аппаратура для постановки дымзавес) вооружения. Несмотря на это, на катере зафиксировали строительную перегрузку в 1100 кг, которая ухудшила и без того не блестящие скоростные данные. В макси</w:t>
      </w:r>
      <w:r w:rsidRPr="00951B40">
        <w:rPr>
          <w:rStyle w:val="aff0"/>
          <w:rFonts w:ascii="Times New Roman" w:hAnsi="Times New Roman" w:cs="Times New Roman"/>
          <w:color w:val="0070C0"/>
          <w:spacing w:val="0"/>
          <w:sz w:val="16"/>
          <w:szCs w:val="16"/>
        </w:rPr>
        <w:softHyphen/>
        <w:t>мально облегченном виде при водоизме</w:t>
      </w:r>
      <w:r w:rsidRPr="00951B40">
        <w:rPr>
          <w:rStyle w:val="aff0"/>
          <w:rFonts w:ascii="Times New Roman" w:hAnsi="Times New Roman" w:cs="Times New Roman"/>
          <w:color w:val="0070C0"/>
          <w:spacing w:val="0"/>
          <w:sz w:val="16"/>
          <w:szCs w:val="16"/>
        </w:rPr>
        <w:softHyphen/>
        <w:t>щении 22 тонны и форсировании моторов (2050 оборотов в минуту) катер смог выжать всего 30,3 узла. При нормальном водоизмещении в 24,5 тонны с весовыми эквивалентами торпед и при 1800 обо</w:t>
      </w:r>
      <w:r w:rsidRPr="00951B40">
        <w:rPr>
          <w:rStyle w:val="aff0"/>
          <w:rFonts w:ascii="Times New Roman" w:hAnsi="Times New Roman" w:cs="Times New Roman"/>
          <w:color w:val="0070C0"/>
          <w:spacing w:val="0"/>
          <w:sz w:val="16"/>
          <w:szCs w:val="16"/>
        </w:rPr>
        <w:softHyphen/>
        <w:t>ротах катер развивал 28,6 уз, на полном газу (1875 оборотов) - 30 уз. Все это де</w:t>
      </w:r>
      <w:r w:rsidRPr="00951B40">
        <w:rPr>
          <w:rStyle w:val="aff0"/>
          <w:rFonts w:ascii="Times New Roman" w:hAnsi="Times New Roman" w:cs="Times New Roman"/>
          <w:color w:val="0070C0"/>
          <w:spacing w:val="0"/>
          <w:sz w:val="16"/>
          <w:szCs w:val="16"/>
        </w:rPr>
        <w:softHyphen/>
        <w:t>лалось с винтами, изготовленными по ре</w:t>
      </w:r>
      <w:r w:rsidRPr="00951B40">
        <w:rPr>
          <w:rStyle w:val="aff0"/>
          <w:rFonts w:ascii="Times New Roman" w:hAnsi="Times New Roman" w:cs="Times New Roman"/>
          <w:color w:val="0070C0"/>
          <w:spacing w:val="0"/>
          <w:sz w:val="16"/>
          <w:szCs w:val="16"/>
        </w:rPr>
        <w:softHyphen/>
        <w:t>комендациям специалистов вступившего в строй в мае 1930 г. Опытового бассейна, поскольку с винтами конструкции ЦАГИ моторы не развивали полной мощности и катер мог выжать максимально всего 28,6 узлов. Несмотря на все указанные недостатки, а также выявленную в ходе испытаний вибрацию валов, приемные акты на оба катера были подписаны 6 июля 1931 г. (25781).</w:t>
      </w:r>
    </w:p>
    <w:p w14:paraId="050BC1B4" w14:textId="77777777" w:rsidR="00C356D8" w:rsidRPr="00951B40" w:rsidRDefault="00C356D8" w:rsidP="00C356D8">
      <w:pPr>
        <w:spacing w:after="0" w:line="240" w:lineRule="auto"/>
        <w:jc w:val="both"/>
        <w:rPr>
          <w:rFonts w:ascii="Times New Roman" w:hAnsi="Times New Roman"/>
          <w:color w:val="0070C0"/>
          <w:sz w:val="16"/>
          <w:szCs w:val="16"/>
        </w:rPr>
      </w:pPr>
    </w:p>
    <w:p w14:paraId="390176D6"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0838C5EA"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50D51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мая 1931 г. Приказом начальника УВВС предусматривалась передача 14 Р-ЗМ5, из них семи - исправных. Однако это распоряжение вряд ли выполнили, поскольку на 1 августа того же года в ГВФ числятся всего четыре АНТ-3 - три в Сибирском управлении и один в отряде им. "Правды". В 1-м квартале 1932 г. разбились еще два П-3. К середине года во всем Гражданском воздушном флоте осталось лишь семь самолетов этого типа, три из них - в 3-й объединенной авиашколе. С начала 1933 г. упоминания об этих машинах в документах вообще исчезают (11985).</w:t>
      </w:r>
    </w:p>
    <w:p w14:paraId="6AEE8F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CF93993"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60229B56"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AAE11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15 и 29 мая 1931. Из протокола заседания Политбюро № 38 1931 г.</w:t>
      </w:r>
    </w:p>
    <w:p w14:paraId="72DE6A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 помощи пострадавшим от землетрясения </w:t>
      </w:r>
    </w:p>
    <w:p w14:paraId="5999E8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 Предложить "Комсомольской правде" и др. газетам прекратить шум в печати в связи с оказанием помощи пострадавшим от землетрясения в Закавказье. </w:t>
      </w:r>
    </w:p>
    <w:p w14:paraId="007D1E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б) Созданный для сбора средств комитет ликвидировать. </w:t>
      </w:r>
    </w:p>
    <w:p w14:paraId="5B045A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Собранные уже и поступающие в редакции газет суммы направить в Заксовнарком без сообщений об этом в печати (11652).</w:t>
      </w:r>
    </w:p>
    <w:p w14:paraId="50FF1E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64D9C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Между 15 и 29 мая 1931. Из протокола заседания Политбюро № 38 1931 г.</w:t>
      </w:r>
    </w:p>
    <w:p w14:paraId="4A8267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 некоторых изменениях трудового законодательства</w:t>
      </w:r>
    </w:p>
    <w:p w14:paraId="07D81A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 В случаях производственной необходимости администрация может перевести работников на срок до одного месяца на другую работу... </w:t>
      </w:r>
    </w:p>
    <w:p w14:paraId="087F57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 Заработная плата выплачивается в нерабочее время. </w:t>
      </w:r>
    </w:p>
    <w:p w14:paraId="185495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Работник несет материальную ответственность за выданное ему в пользование имущество предприятия или учреждения (спецодежду, инструменты, измерительные приборы и т. п.) (11652).</w:t>
      </w:r>
    </w:p>
    <w:p w14:paraId="7FF21B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61993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15 и 29 мая 1931. Из протокола заседания Политбюро № 38 1931 г.</w:t>
      </w:r>
    </w:p>
    <w:p w14:paraId="1E2E04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Вопрос о водке</w:t>
      </w:r>
    </w:p>
    <w:p w14:paraId="667610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 Отклонить проект предложения о прекращении повсеместно торговли вином и водочными изделиями на время мобилизации и на время войны (речь идет о возможной войне). </w:t>
      </w:r>
    </w:p>
    <w:p w14:paraId="5A5E2C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Общий вопрос о нашей экономической политике на время войны снять (11652).</w:t>
      </w:r>
    </w:p>
    <w:p w14:paraId="69E4DC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BF8DE7A" w14:textId="77777777" w:rsidR="00974187"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657BB4E7" w14:textId="77777777" w:rsidR="00974187" w:rsidRPr="005E779E" w:rsidRDefault="00974187"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5D7DFCD" w14:textId="77777777" w:rsidR="00974187" w:rsidRPr="005E779E" w:rsidRDefault="009741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15 мая в 1931 году второй экземпляр </w:t>
      </w:r>
      <w:hyperlink r:id="rId96" w:tgtFrame="_blank" w:history="1">
        <w:r w:rsidRPr="005E779E">
          <w:rPr>
            <w:rFonts w:ascii="Times New Roman" w:hAnsi="Times New Roman"/>
            <w:color w:val="000000" w:themeColor="text1"/>
            <w:sz w:val="16"/>
            <w:szCs w:val="16"/>
          </w:rPr>
          <w:t xml:space="preserve">«Short» «S.17» «Kent» </w:t>
        </w:r>
      </w:hyperlink>
      <w:r w:rsidRPr="005E779E">
        <w:rPr>
          <w:rFonts w:ascii="Times New Roman" w:hAnsi="Times New Roman"/>
          <w:color w:val="000000" w:themeColor="text1"/>
          <w:sz w:val="16"/>
          <w:szCs w:val="16"/>
        </w:rPr>
        <w:t>(«G-ABFB» "Sylvanus"), а 26 мая третий («G-AFBC» "Satyrus"), вышел на трассу Бриндизи - Афины - Александрия. По пути из Афин в Александрию выполнялась техническая посадка на Крите для дозаправки. С 16 апреля 1932 полёты также выполнялись по маршруту Бриндизи - Лимассол - Хайфа - Александрия. В том же 1932 году «Short» «S.17» полностью заменили «Short» «S.8» «Calcutta» на средиземноморской линии (14892).</w:t>
      </w:r>
    </w:p>
    <w:p w14:paraId="55B1AC2A" w14:textId="77777777" w:rsidR="00974187" w:rsidRPr="005E779E" w:rsidRDefault="00974187" w:rsidP="000B7A6C">
      <w:pPr>
        <w:spacing w:after="0" w:line="240" w:lineRule="auto"/>
        <w:jc w:val="both"/>
        <w:rPr>
          <w:rFonts w:ascii="Times New Roman" w:hAnsi="Times New Roman"/>
          <w:color w:val="000000" w:themeColor="text1"/>
          <w:sz w:val="16"/>
          <w:szCs w:val="16"/>
        </w:rPr>
      </w:pPr>
    </w:p>
    <w:p w14:paraId="1C26A84B"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12130157"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E273401" w14:textId="77777777" w:rsidR="00974187" w:rsidRPr="005E779E" w:rsidRDefault="009741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середине мая 1931 г. первый экземпляр И-12 практически находился в заверша</w:t>
      </w:r>
      <w:r w:rsidRPr="005E779E">
        <w:rPr>
          <w:rFonts w:ascii="Times New Roman" w:hAnsi="Times New Roman"/>
          <w:color w:val="000000" w:themeColor="text1"/>
          <w:sz w:val="16"/>
          <w:szCs w:val="16"/>
        </w:rPr>
        <w:softHyphen/>
        <w:t>ющей стадии сборки. Основная задержка была связана с затянувшимися доводками пушек ДРП, входивших в конструкцию самолёта. Надо отметить, что к этому времени опытные образцы этих пушек были установлены и некоторые испытаны на самолётах: ТБ-1 — 76 мм для стрельбы по наземным целям; Р-3 — 76 мм для стрельбы по само</w:t>
      </w:r>
      <w:r w:rsidRPr="005E779E">
        <w:rPr>
          <w:rFonts w:ascii="Times New Roman" w:hAnsi="Times New Roman"/>
          <w:color w:val="000000" w:themeColor="text1"/>
          <w:sz w:val="16"/>
          <w:szCs w:val="16"/>
        </w:rPr>
        <w:softHyphen/>
        <w:t>лётам; И-4 — 67 мм для стрельбы по самолётам, 18 декабря 1931 г. на полигоне при стрельбе произошел разрыв пушки. В 1933 г. на И-4 установили 65-мм пушку (15823).</w:t>
      </w:r>
    </w:p>
    <w:p w14:paraId="4102FC8E" w14:textId="77777777" w:rsidR="00974187" w:rsidRPr="005E779E" w:rsidRDefault="00974187" w:rsidP="000B7A6C">
      <w:pPr>
        <w:spacing w:after="0" w:line="240" w:lineRule="auto"/>
        <w:jc w:val="both"/>
        <w:rPr>
          <w:rFonts w:ascii="Times New Roman" w:hAnsi="Times New Roman"/>
          <w:color w:val="000000" w:themeColor="text1"/>
          <w:sz w:val="16"/>
          <w:szCs w:val="16"/>
        </w:rPr>
      </w:pPr>
    </w:p>
    <w:p w14:paraId="2A9FA688" w14:textId="77777777" w:rsidR="00C21566" w:rsidRPr="005E779E" w:rsidRDefault="00C21566" w:rsidP="000B7A6C">
      <w:pPr>
        <w:pStyle w:val="rtejustify"/>
        <w:shd w:val="clear" w:color="auto" w:fill="FFFFFF"/>
        <w:spacing w:before="0" w:after="0"/>
        <w:rPr>
          <w:color w:val="000000" w:themeColor="text1"/>
          <w:sz w:val="16"/>
          <w:szCs w:val="16"/>
        </w:rPr>
      </w:pPr>
      <w:r w:rsidRPr="005E779E">
        <w:rPr>
          <w:color w:val="000000" w:themeColor="text1"/>
          <w:sz w:val="16"/>
          <w:szCs w:val="16"/>
        </w:rPr>
        <w:t>К середине мая 1931 года первый экземпляр самолета И-12, практически, находился в завершающей стадии сборки. Основная задержка была связана с затянувшимися доводками пушек ДРП, входивших в конструкцию самолета. Надо отметить, что испытания макетных образцов динамо-реактивных пушек начались еще в конце 1929 года. Первоначально для этих целей использовались самолеты Р-3ЛД, а затем – ТБ-1 (19172).</w:t>
      </w:r>
    </w:p>
    <w:p w14:paraId="49C48C2B" w14:textId="77777777" w:rsidR="00C21566" w:rsidRPr="005E779E" w:rsidRDefault="00C21566" w:rsidP="000B7A6C">
      <w:pPr>
        <w:pStyle w:val="ae"/>
        <w:shd w:val="clear" w:color="auto" w:fill="FFFFFF"/>
        <w:spacing w:before="0" w:after="0"/>
        <w:jc w:val="both"/>
        <w:textAlignment w:val="baseline"/>
        <w:rPr>
          <w:color w:val="000000" w:themeColor="text1"/>
          <w:sz w:val="16"/>
          <w:szCs w:val="16"/>
        </w:rPr>
      </w:pPr>
    </w:p>
    <w:p w14:paraId="144222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середине мая 1931 г. на заводе № 1 скопилось 67 истребителей И-5, ждущих двигателей. Машины отправляли в части без прицелов и ракетниц, обещая дослать их после получения.</w:t>
      </w:r>
    </w:p>
    <w:p w14:paraId="4832F4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Серийные истребители, собранные на заводе № 1, внешне практически не отличались от малой серии завода № 39, но многие узлы машин оказались невзаимозаменяемы. Отличались хвостовое оперение, центроплан, нижние крылья, элероны. На первых 15 самолётах подкосы капота мотора изготовлялись из дюралюминия, позже - из стали. Вооружение состояло из четырёх пулемётов ПВ-1 с боезапасом по 250 патронов на каждый. Примитивный коллиматорный прицел (кольцо и мушка) стоял на капоте перед ветровым козырьком. Под нижним крылом монтировались две балки Дер-5 под бомбы весом до 10 кг. Механический сбрасыватель оригинальной конструкции (в документах он именуется "СБР-спец.") монтировался в пилотской кабине.</w:t>
      </w:r>
    </w:p>
    <w:p w14:paraId="65CA59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Завод постоянно лихорадило от недостатка комплектующих. Запаздывали импортные дюралюминиевые трубы, не хватало прицелов, резины для колёс. Пулемёты ПВ-1 поступали только с левыми приёмниками ленты. Правые пулемёты на самолёты ставили, но они представляли собой фактически лишь декорацию, поскольку стрелять не могли. Стабильно шли перебои с поставками французских моторов Гном-Рон 9Aq. </w:t>
      </w:r>
    </w:p>
    <w:p w14:paraId="1EE183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Серийные истребители оказались примерно на 73 кг тяжелее, чем требовали технические условия. Соответственно упали лётные данные. Подъём на высоту 5000 м вместо 8 - 9 мин занимал от 11,5 до 14 мин. Ухудшились показатели по потолку и времени разворота (11997).</w:t>
      </w:r>
    </w:p>
    <w:p w14:paraId="4C7F79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16BE56C"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334D3893"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4803F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 мая 1931 состоялась первая Всесоюзная конференция по аэродинамике (274) и шла до 21 мая (271,126).</w:t>
      </w:r>
    </w:p>
    <w:p w14:paraId="3703E6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BC0F1EB"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240D89D5"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66D72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 мая 1931 г. ЛМЗ было получено предварительно задание на проектирование 180-мм двухорудийной башенной установки. Установка должна была проектироваться под 180-мм пушку с клиновым затвором (3861).</w:t>
      </w:r>
    </w:p>
    <w:p w14:paraId="1FCD21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B784B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 мая 1931 состоялось взвешивание танка Кристи без экипажа и вес был 9360 кг. В этот день начались и пробеговые испытания машины. За 10 дней прошли 150 км и 17 мая сломался кронштейн правого ленивца на повороте на травяном грунте (3879,7).</w:t>
      </w:r>
    </w:p>
    <w:p w14:paraId="70F55E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033FE7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 мая 1931 г. танк Кристи взвесили. Его масса без башни составила 9360 кг (585 пу</w:t>
      </w:r>
      <w:r w:rsidRPr="005E779E">
        <w:rPr>
          <w:rFonts w:ascii="Times New Roman" w:hAnsi="Times New Roman"/>
          <w:color w:val="000000" w:themeColor="text1"/>
          <w:sz w:val="16"/>
          <w:szCs w:val="16"/>
        </w:rPr>
        <w:softHyphen/>
        <w:t>дов). Так как башен не было, то вместо них в корпус танков был положен балласт в 800 кг. Для входа-выхода экипажа предусматривались распашные дверцы люка механика-во</w:t>
      </w:r>
      <w:r w:rsidRPr="005E779E">
        <w:rPr>
          <w:rFonts w:ascii="Times New Roman" w:hAnsi="Times New Roman"/>
          <w:color w:val="000000" w:themeColor="text1"/>
          <w:sz w:val="16"/>
          <w:szCs w:val="16"/>
        </w:rPr>
        <w:softHyphen/>
        <w:t>дителя, однако размер их был чрезмерно мал, и они не име</w:t>
      </w:r>
      <w:r w:rsidRPr="005E779E">
        <w:rPr>
          <w:rFonts w:ascii="Times New Roman" w:hAnsi="Times New Roman"/>
          <w:color w:val="000000" w:themeColor="text1"/>
          <w:sz w:val="16"/>
          <w:szCs w:val="16"/>
        </w:rPr>
        <w:softHyphen/>
        <w:t>ли никакой прорези для осмотра дороги в закрытом состо</w:t>
      </w:r>
      <w:r w:rsidRPr="005E779E">
        <w:rPr>
          <w:rFonts w:ascii="Times New Roman" w:hAnsi="Times New Roman"/>
          <w:color w:val="000000" w:themeColor="text1"/>
          <w:sz w:val="16"/>
          <w:szCs w:val="16"/>
        </w:rPr>
        <w:softHyphen/>
        <w:t>янии. Поэтому при испытаниях экипаж занимал свои мес</w:t>
      </w:r>
      <w:r w:rsidRPr="005E779E">
        <w:rPr>
          <w:rFonts w:ascii="Times New Roman" w:hAnsi="Times New Roman"/>
          <w:color w:val="000000" w:themeColor="text1"/>
          <w:sz w:val="16"/>
          <w:szCs w:val="16"/>
        </w:rPr>
        <w:softHyphen/>
        <w:t>та только через отверстие для башни и держал в движении двери механика-водителя открытыми. Также еще до начала испытаний было установлено, что для доступа к моторно-трансмиссионному отделению необходимо разобрать его крышу, так как никаких люков для доступа к механизмам танка предусмотрено не было. Особенностью танков «М. 1928» и «М. 1940» было то, что для перехода с гусениц на колеса с них надо было всего лишь снять гусеничные цепи, затем закрепить их на надгусенич-ных полках при помощи ремней и установить рулевое коле</w:t>
      </w:r>
      <w:r w:rsidRPr="005E779E">
        <w:rPr>
          <w:rFonts w:ascii="Times New Roman" w:hAnsi="Times New Roman"/>
          <w:color w:val="000000" w:themeColor="text1"/>
          <w:sz w:val="16"/>
          <w:szCs w:val="16"/>
        </w:rPr>
        <w:softHyphen/>
        <w:t>со для поворота передней пары катков, ослабляя усилие прижима второго опорного катка, вывернув головки соот</w:t>
      </w:r>
      <w:r w:rsidRPr="005E779E">
        <w:rPr>
          <w:rFonts w:ascii="Times New Roman" w:hAnsi="Times New Roman"/>
          <w:color w:val="000000" w:themeColor="text1"/>
          <w:sz w:val="16"/>
          <w:szCs w:val="16"/>
        </w:rPr>
        <w:softHyphen/>
        <w:t>ветствующих свечей. Все это даже слабо подготовленный экипаж мог проделать всего за полчаса - три четверти часа. Со стороны каждого борта располагалось по четыре алюминиевых обрезиненных опорных катка диаметром 813 мм. Направляющие и ведущие колеса гусеничного дви</w:t>
      </w:r>
      <w:r w:rsidRPr="005E779E">
        <w:rPr>
          <w:rFonts w:ascii="Times New Roman" w:hAnsi="Times New Roman"/>
          <w:color w:val="000000" w:themeColor="text1"/>
          <w:sz w:val="16"/>
          <w:szCs w:val="16"/>
        </w:rPr>
        <w:softHyphen/>
        <w:t>жителя имели наружную резиновую амортизацию. Круп-нозвенчатая гусеница, состоящая из 46 траков, имела греб</w:t>
      </w:r>
      <w:r w:rsidRPr="005E779E">
        <w:rPr>
          <w:rFonts w:ascii="Times New Roman" w:hAnsi="Times New Roman"/>
          <w:color w:val="000000" w:themeColor="text1"/>
          <w:sz w:val="16"/>
          <w:szCs w:val="16"/>
        </w:rPr>
        <w:softHyphen/>
        <w:t>невое зацепление с ведущим колесом. Первый день испытаний не принес ничего особенного. На второй день испытаний произошла внезапная поломка кронштейна правого направляющего колеса. Танк встал на два дня. По окончании ремонта танк прошел еще 500 км, после чего кронштейн сломался вновь. И опять ремонт. За</w:t>
      </w:r>
      <w:r w:rsidRPr="005E779E">
        <w:rPr>
          <w:rFonts w:ascii="Times New Roman" w:hAnsi="Times New Roman"/>
          <w:color w:val="000000" w:themeColor="text1"/>
          <w:sz w:val="16"/>
          <w:szCs w:val="16"/>
        </w:rPr>
        <w:softHyphen/>
        <w:t>тем более 10 дней танк испытывался только на колесном ходу, причем при прохождении песчаных участков даже на дороге танк буксовал (10733,196).</w:t>
      </w:r>
    </w:p>
    <w:p w14:paraId="35B531A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94A0C4" w14:textId="77777777" w:rsidR="003C0F10" w:rsidRPr="005E779E" w:rsidRDefault="003C0F10" w:rsidP="000B7A6C">
      <w:pPr>
        <w:shd w:val="clear" w:color="auto" w:fill="FFFFFF"/>
        <w:spacing w:after="0" w:line="240" w:lineRule="auto"/>
        <w:jc w:val="both"/>
        <w:rPr>
          <w:rFonts w:ascii="Times New Roman" w:hAnsi="Times New Roman"/>
          <w:color w:val="000000" w:themeColor="text1"/>
          <w:sz w:val="16"/>
          <w:szCs w:val="16"/>
          <w:shd w:val="clear" w:color="auto" w:fill="FFFFFF"/>
        </w:rPr>
      </w:pPr>
      <w:r w:rsidRPr="005E779E">
        <w:rPr>
          <w:rFonts w:ascii="Times New Roman" w:hAnsi="Times New Roman"/>
          <w:color w:val="000000" w:themeColor="text1"/>
          <w:sz w:val="16"/>
          <w:szCs w:val="16"/>
          <w:shd w:val="clear" w:color="auto" w:fill="FFFFFF"/>
        </w:rPr>
        <w:t>Вплоть до 16 мая 1931 полноценных испытаний танк Кристи не проходил. Как следует из отчета по испытаниям, два месяца танк, имевший серийный номер 2051, использовался как объект изучения, также его демонстрировали начсоставу Красной Армии. Собственно говоря, уже на этом этапе было понятно, что в имеющемся виде танк Кристи для производства не подходит. Для начала, носовая часть выступала за габариты ходовой части, что забраковали еще на этапе приёмки в США. Далее, люк механика-водителя предназначался исключительно для обзора местности. Для вылезания из него механика-водителя проём был маловат. Часть операций по обслуживанию машины было выполнить невозможно без демонтажа надмоторной плиты или других элементов. Новостью это не стало, по крайней мере для КБ-3 ВОАО (Всесоюзное орудийно-арсенальное объединение), которое возглавлял С.А. Гинзбург. Когда дело дошло до "адаптации" БТ, машина стала отличаться по ряду элементов.</w:t>
      </w:r>
    </w:p>
    <w:p w14:paraId="41E85EBD" w14:textId="77777777" w:rsidR="003C0F10" w:rsidRPr="005E779E" w:rsidRDefault="003C0F10" w:rsidP="000B7A6C">
      <w:pPr>
        <w:shd w:val="clear" w:color="auto" w:fill="FFFFFF"/>
        <w:spacing w:after="0" w:line="240" w:lineRule="auto"/>
        <w:jc w:val="both"/>
        <w:rPr>
          <w:rFonts w:ascii="Times New Roman" w:hAnsi="Times New Roman"/>
          <w:color w:val="000000" w:themeColor="text1"/>
          <w:sz w:val="16"/>
          <w:szCs w:val="16"/>
          <w:shd w:val="clear" w:color="auto" w:fill="FFFFFF"/>
        </w:rPr>
      </w:pPr>
      <w:r w:rsidRPr="005E779E">
        <w:rPr>
          <w:rFonts w:ascii="Times New Roman" w:hAnsi="Times New Roman"/>
          <w:color w:val="000000" w:themeColor="text1"/>
          <w:sz w:val="16"/>
          <w:szCs w:val="16"/>
          <w:shd w:val="clear" w:color="auto" w:fill="FFFFFF"/>
        </w:rPr>
        <w:t>16 мая 1931 года испытания танка начались. Произошло это буквально за неделю до того, как было принято решение об организации производства БТ на ХПЗ. В одних источниках говорится, что испытания проходили на полигоне под Воронежем, другие говорят про испытательный полигон на Кубинке. На самом деле ни то, ни другое не верно. Действительно, испытания проходили в Подмосковье, но до Кубинки оттуда было далековато. Например, испытания на максимальную скорость проходили на Ленинградском шоссе, которое слегка так в другой стороне, нежели Минское шоссе. Да и официально полигон ведет свой отсчет с 10 июля 1931 года, когда было начато его строительство.</w:t>
      </w:r>
    </w:p>
    <w:p w14:paraId="0A8742D8" w14:textId="77777777" w:rsidR="003C0F10" w:rsidRPr="005E779E" w:rsidRDefault="003C0F10" w:rsidP="000B7A6C">
      <w:pPr>
        <w:shd w:val="clear" w:color="auto" w:fill="FFFFFF"/>
        <w:spacing w:after="0" w:line="240" w:lineRule="auto"/>
        <w:jc w:val="both"/>
        <w:rPr>
          <w:rFonts w:ascii="Times New Roman" w:hAnsi="Times New Roman"/>
          <w:color w:val="000000" w:themeColor="text1"/>
          <w:sz w:val="16"/>
          <w:szCs w:val="16"/>
          <w:shd w:val="clear" w:color="auto" w:fill="FFFFFF"/>
        </w:rPr>
      </w:pPr>
      <w:r w:rsidRPr="005E779E">
        <w:rPr>
          <w:rFonts w:ascii="Times New Roman" w:hAnsi="Times New Roman"/>
          <w:color w:val="000000" w:themeColor="text1"/>
          <w:sz w:val="16"/>
          <w:szCs w:val="16"/>
          <w:shd w:val="clear" w:color="auto" w:fill="FFFFFF"/>
        </w:rPr>
        <w:t xml:space="preserve">При движении по Ленинградскому шоссе максимальная скорость не превышала 65-70 км/ч. Можно, конечно, списать это на менее качественную дорогу, но скорее связано снижение скорости с двумя факторами. Во-первых, машина была нагружена до боевой массы 9500 кг, дабы понимать, каковы окажутся скоростные характеристики с башней и вооружением. Во-вторых, испытания в США проводил Лео Андерсон, а фактор заводского водителя являлся весьма важным. Особенно </w:t>
      </w:r>
      <w:r w:rsidRPr="005E779E">
        <w:rPr>
          <w:rFonts w:ascii="Times New Roman" w:hAnsi="Times New Roman"/>
          <w:color w:val="000000" w:themeColor="text1"/>
          <w:sz w:val="16"/>
          <w:szCs w:val="16"/>
          <w:shd w:val="clear" w:color="auto" w:fill="FFFFFF"/>
        </w:rPr>
        <w:lastRenderedPageBreak/>
        <w:t>это проявилось во время езды на высокой скорости. Водители сильно жаловались на то, что при скорости выше 60 км/ч происходил занос кормовой части машины. Еще сильнее он ощущался на влажной от дождя дороге. Это с завидной регулярностью приводило к ситуации, когда машина вставала поперек шоссе.</w:t>
      </w:r>
    </w:p>
    <w:p w14:paraId="021C0534" w14:textId="77777777" w:rsidR="003C0F10" w:rsidRPr="005E779E" w:rsidRDefault="003C0F10" w:rsidP="000B7A6C">
      <w:pPr>
        <w:shd w:val="clear" w:color="auto" w:fill="FFFFFF"/>
        <w:spacing w:after="0" w:line="240" w:lineRule="auto"/>
        <w:jc w:val="both"/>
        <w:rPr>
          <w:rFonts w:ascii="Times New Roman" w:hAnsi="Times New Roman"/>
          <w:color w:val="000000" w:themeColor="text1"/>
          <w:sz w:val="16"/>
          <w:szCs w:val="16"/>
          <w:shd w:val="clear" w:color="auto" w:fill="FFFFFF"/>
        </w:rPr>
      </w:pPr>
      <w:r w:rsidRPr="005E779E">
        <w:rPr>
          <w:rFonts w:ascii="Times New Roman" w:hAnsi="Times New Roman"/>
          <w:color w:val="000000" w:themeColor="text1"/>
          <w:sz w:val="16"/>
          <w:szCs w:val="16"/>
          <w:shd w:val="clear" w:color="auto" w:fill="FFFFFF"/>
        </w:rPr>
        <w:t>Еще одной причиной для жалоб стали толчки на неровностях, которые хорошо передавались на руль. Это приводило к тому, что после 4-4,5 часов езды водитель сильно уставал. Также при езде приходилось машину постоянно подруливать. Дополнительной проблемой было, что на большой скорости радиус поворота оказывался слишком большим. В результате на резких поворотах приходилось сбрасывать скорость, дабы в них вписаться. По итогам средняя скорость движения оказалась сравнительно небольшой - 30-35 км/ч. Безусловно, на фоне других танков того периода это очень высокая скорость, но как-то ждали более высоких результатов. А еще довольно регулярно приходилось пользоваться помощью эвакуатора, поскольку машина оказывалась в кювете.</w:t>
      </w:r>
    </w:p>
    <w:p w14:paraId="0800603B" w14:textId="77777777" w:rsidR="003C0F10" w:rsidRPr="005E779E" w:rsidRDefault="003C0F10" w:rsidP="000B7A6C">
      <w:pPr>
        <w:shd w:val="clear" w:color="auto" w:fill="FFFFFF"/>
        <w:spacing w:after="0" w:line="240" w:lineRule="auto"/>
        <w:jc w:val="both"/>
        <w:rPr>
          <w:rFonts w:ascii="Times New Roman" w:hAnsi="Times New Roman"/>
          <w:color w:val="000000" w:themeColor="text1"/>
          <w:sz w:val="16"/>
          <w:szCs w:val="16"/>
          <w:shd w:val="clear" w:color="auto" w:fill="FFFFFF"/>
        </w:rPr>
      </w:pPr>
      <w:r w:rsidRPr="005E779E">
        <w:rPr>
          <w:rFonts w:ascii="Times New Roman" w:hAnsi="Times New Roman"/>
          <w:color w:val="000000" w:themeColor="text1"/>
          <w:sz w:val="16"/>
          <w:szCs w:val="16"/>
          <w:shd w:val="clear" w:color="auto" w:fill="FFFFFF"/>
        </w:rPr>
        <w:t>Езда по шоссе на гусеничном ходу показала, что танк может развивать скорость до 50 км/ч. Управляемость при этом была удовлетворительной, но именно такая езда и привела к самой большой поломке в ходе испытаний. После прохождения одного из резких поворотов вырвало кривошип правого ленивца. На этом, собственно говоря, испытания на гусеничном ходу закончились. Далее езда была возможна только на колесном ходу. Надо сказать, что еще до начала испытаний, при демонстрации командованию РККА, танк вполне преодолел окоп шириной 2 метра и проволочные заграждения в 5 рядов. А вот окоп шириной 2,5 метра преодолеть не удалось - танк уперся носом в стенку и застрял.</w:t>
      </w:r>
    </w:p>
    <w:p w14:paraId="11785DBA" w14:textId="77777777" w:rsidR="003C0F10" w:rsidRPr="005E779E" w:rsidRDefault="003C0F10"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shd w:val="clear" w:color="auto" w:fill="FFFFFF"/>
        </w:rPr>
        <w:t>В результате ЧП с кривошипом правого ленивца дальнейшие ходовые испытания больше напоминали шоу "чем круче джип, тем дальше трактор". Как указывалось в отчете по испытаниям, езда по проселку была возможно только при наличии твердой, укатанной поверхности. В противном случае очень быстро становился нужен эвакуатор. Особенно запущенной выглядела ситуация при попытке ехать по песку. Настоящая битва с бездорожьем развернулась на лесной дороге между деревнями Бузланово и Поздняково (ныне они находятся в районе Новорижского шоссе). Сначала американский танк штурмовал песок в районе речки Липка, а затем ее километр тащили на буксире по лесной дороге от Бузланово в Поздняково. На ровной поверхности, но на сырой траве, машина не смогла стронуться с места. Испытания были закончены 21 июля 1931 года. (20339).</w:t>
      </w:r>
    </w:p>
    <w:p w14:paraId="51B06C12" w14:textId="77777777" w:rsidR="003C0F10" w:rsidRPr="005E779E" w:rsidRDefault="003C0F10" w:rsidP="000B7A6C">
      <w:pPr>
        <w:shd w:val="clear" w:color="auto" w:fill="FFFFFF"/>
        <w:spacing w:after="0" w:line="240" w:lineRule="auto"/>
        <w:jc w:val="both"/>
        <w:rPr>
          <w:rFonts w:ascii="Times New Roman" w:hAnsi="Times New Roman"/>
          <w:color w:val="000000" w:themeColor="text1"/>
          <w:sz w:val="16"/>
          <w:szCs w:val="16"/>
        </w:rPr>
      </w:pPr>
    </w:p>
    <w:p w14:paraId="39C7570B" w14:textId="77777777" w:rsidR="00456790" w:rsidRPr="00142305" w:rsidRDefault="00456790" w:rsidP="0045679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16 мая до 21 июня 1931 года один из танков Кристи испытывался на НИБТ полигоне. Так как машина не имела башни, ее догрузили, уложив внутрь 800 кг балласта (при этом масса составила 9360 кг без экипажа из двух человек). Общий пробег составил 863 на колесах и 43 км на гусеницах. Не</w:t>
      </w:r>
      <w:r w:rsidRPr="00142305">
        <w:rPr>
          <w:rFonts w:ascii="Times New Roman" w:hAnsi="Times New Roman"/>
          <w:color w:val="0070C0"/>
          <w:sz w:val="16"/>
          <w:szCs w:val="16"/>
        </w:rPr>
        <w:softHyphen/>
        <w:t>большой объем испытаний на гусеницах объяснялся тем, что уже на второй день сломался кронштейн правого направля</w:t>
      </w:r>
      <w:r w:rsidRPr="00142305">
        <w:rPr>
          <w:rFonts w:ascii="Times New Roman" w:hAnsi="Times New Roman"/>
          <w:color w:val="0070C0"/>
          <w:sz w:val="16"/>
          <w:szCs w:val="16"/>
        </w:rPr>
        <w:softHyphen/>
        <w:t>ющего колеса. Несколько попыток при</w:t>
      </w:r>
      <w:r w:rsidRPr="00142305">
        <w:rPr>
          <w:rFonts w:ascii="Times New Roman" w:hAnsi="Times New Roman"/>
          <w:color w:val="0070C0"/>
          <w:sz w:val="16"/>
          <w:szCs w:val="16"/>
        </w:rPr>
        <w:softHyphen/>
        <w:t>варить его не увенчались успехом, в ре</w:t>
      </w:r>
      <w:r w:rsidRPr="00142305">
        <w:rPr>
          <w:rFonts w:ascii="Times New Roman" w:hAnsi="Times New Roman"/>
          <w:color w:val="0070C0"/>
          <w:sz w:val="16"/>
          <w:szCs w:val="16"/>
        </w:rPr>
        <w:softHyphen/>
        <w:t>зультате чего большую часть испытаний танк двигался на колесах. При этом от</w:t>
      </w:r>
      <w:r w:rsidRPr="00142305">
        <w:rPr>
          <w:rFonts w:ascii="Times New Roman" w:hAnsi="Times New Roman"/>
          <w:color w:val="0070C0"/>
          <w:sz w:val="16"/>
          <w:szCs w:val="16"/>
        </w:rPr>
        <w:softHyphen/>
        <w:t>мечалось, что «скорость не превышает 65 — 70 км/ч, а при движении по песку машина застревает из-за значительного погружения колес в грунт».</w:t>
      </w:r>
    </w:p>
    <w:p w14:paraId="2F6310DF" w14:textId="77777777" w:rsidR="00456790" w:rsidRPr="00142305" w:rsidRDefault="00456790" w:rsidP="0045679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заключение отчета об испытании го</w:t>
      </w:r>
      <w:r w:rsidRPr="00142305">
        <w:rPr>
          <w:rFonts w:ascii="Times New Roman" w:hAnsi="Times New Roman"/>
          <w:color w:val="0070C0"/>
          <w:sz w:val="16"/>
          <w:szCs w:val="16"/>
        </w:rPr>
        <w:softHyphen/>
        <w:t>ворилось следующее:</w:t>
      </w:r>
    </w:p>
    <w:p w14:paraId="068B1215" w14:textId="77777777" w:rsidR="00456790" w:rsidRPr="00142305" w:rsidRDefault="00456790" w:rsidP="0045679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«Танк Кристи в том виде, в котором он был представлен на испытаниях, являет</w:t>
      </w:r>
      <w:r w:rsidRPr="00142305">
        <w:rPr>
          <w:rFonts w:ascii="Times New Roman" w:hAnsi="Times New Roman"/>
          <w:color w:val="0070C0"/>
          <w:sz w:val="16"/>
          <w:szCs w:val="16"/>
        </w:rPr>
        <w:softHyphen/>
        <w:t>ся исключительно интересной машиной с универсальным движением, требует, как боевая машина, большой доработки и внесения ряда конструктивных усовер</w:t>
      </w:r>
      <w:r w:rsidRPr="00142305">
        <w:rPr>
          <w:rFonts w:ascii="Times New Roman" w:hAnsi="Times New Roman"/>
          <w:color w:val="0070C0"/>
          <w:sz w:val="16"/>
          <w:szCs w:val="16"/>
        </w:rPr>
        <w:softHyphen/>
        <w:t>шенствований и изменений» (25009).</w:t>
      </w:r>
    </w:p>
    <w:p w14:paraId="204165A8" w14:textId="77777777" w:rsidR="00456790" w:rsidRPr="00142305" w:rsidRDefault="00456790" w:rsidP="00456790">
      <w:pPr>
        <w:spacing w:after="0" w:line="240" w:lineRule="auto"/>
        <w:jc w:val="both"/>
        <w:rPr>
          <w:rFonts w:ascii="Times New Roman" w:hAnsi="Times New Roman"/>
          <w:color w:val="0070C0"/>
          <w:sz w:val="16"/>
          <w:szCs w:val="16"/>
        </w:rPr>
      </w:pPr>
    </w:p>
    <w:p w14:paraId="033ED6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 мая 1931 года в Московском авиационном институте была проведена реорганизация воздухоплавательного факультета в дирижаблестроительный. Начальником дирижаблестроительного факультета МАИ стал начальник кафедры эксплуатации воздушных судов в воздухе профессор М.Н. Канищев (11269).</w:t>
      </w:r>
    </w:p>
    <w:p w14:paraId="1CB77F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6960424"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0429A50F"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CADEAF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 мая 1931 папа римский Пий XI заявил о несовместимости социализма с католицизмом (4962).</w:t>
      </w:r>
    </w:p>
    <w:p w14:paraId="471C009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505CAE"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5E004A4A"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C2ED2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 мая 1931 по приказу НКВМД был составлен план по выполнению решений правительства по организации производства БТ (танка Кристи) на ХПЗ. Завод не был занят, т.к. планировавшееся производство танков ТГ Э.Гроте и Т-24 - задерживалось (3879,6):</w:t>
      </w:r>
    </w:p>
    <w:p w14:paraId="3B5C94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Изготовление рабочих чертежей к 15.07.31 СКБ под руководством Нач. КБ оружейного объединения С.А.Гинзбурга и в составе 20 и и к от ГКВ N 8 оружейного объединения, 15 и и к от НАТИ ВАТО, от Ижорского завода два конструктора по корпусу, от УММ Тоскин в качестве зам. Нач. КБ и Рожкова в качестве ГК по укладке боеприпасов в башне. От ХПЗ - танковое КБ Алексеенко в полном составе. Кроме того, с 16.06 директор ХПЗ обеспечивает КБ 30-ю копировщиками.</w:t>
      </w:r>
    </w:p>
    <w:p w14:paraId="69BE68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Для разработки техпроцесса производства танка привлечь 5 высококвалифицированных специалистов Укргипромаша.</w:t>
      </w:r>
    </w:p>
    <w:p w14:paraId="48CB81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Собрать спецбюро БТ ХПЗ к 25 мая 1931</w:t>
      </w:r>
    </w:p>
    <w:p w14:paraId="423875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Изготовить опытные образцы в количестве 3-х шт. К 15 сентября 1931, два образца изготавливает ХПЗ, один - опытный цех завода Большевик с подачей отливок и поковок с ХПЗ.</w:t>
      </w:r>
    </w:p>
    <w:p w14:paraId="0AFF6C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Изготовление первой партии 100 шт. 2 машины к 1 ноября 1931, 30 шт. К 30 декабря 1931, 50 шт. К 1 января 1932 (4240).</w:t>
      </w:r>
    </w:p>
    <w:p w14:paraId="03E26C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06DE7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 мая 1931 года По приказу Народного комиссара военных и морских дел начальником УММ РККА был утвержденный план организации серийного производства танков БТ на ГХПЗ. Этот план стал основанием для Приказа ВСНХ СССР № 37 от 21 мая 1931 года об обеспечении организации производства танков БТ на ГХПЗ и создание специального конструкторского бюро БТ на базе конструкторского бюро Т2К (10278).</w:t>
      </w:r>
    </w:p>
    <w:p w14:paraId="33542E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F83A9F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 мая 1931 был подготовлен подробный план организации производства танков БТ на ХПЗ, в котором, в частности, го</w:t>
      </w:r>
      <w:r w:rsidRPr="005E779E">
        <w:rPr>
          <w:rFonts w:ascii="Times New Roman" w:hAnsi="Times New Roman"/>
          <w:color w:val="000000" w:themeColor="text1"/>
          <w:sz w:val="16"/>
          <w:szCs w:val="16"/>
        </w:rPr>
        <w:softHyphen/>
        <w:t>ворилось:</w:t>
      </w:r>
    </w:p>
    <w:p w14:paraId="391C05B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Изготовление рабочих чертежей к 15.07.31 г. (один месяц) СКБ под руководством начальника конструкторского бюро оружейного объединения СЛ.Гинзбург и в составе 20 ин</w:t>
      </w:r>
      <w:r w:rsidRPr="005E779E">
        <w:rPr>
          <w:rFonts w:ascii="Times New Roman" w:hAnsi="Times New Roman"/>
          <w:color w:val="000000" w:themeColor="text1"/>
          <w:sz w:val="16"/>
          <w:szCs w:val="16"/>
        </w:rPr>
        <w:softHyphen/>
        <w:t>женеров и конструкторов от Г.К.В. N 8 оружейного объедине</w:t>
      </w:r>
      <w:r w:rsidRPr="005E779E">
        <w:rPr>
          <w:rFonts w:ascii="Times New Roman" w:hAnsi="Times New Roman"/>
          <w:color w:val="000000" w:themeColor="text1"/>
          <w:sz w:val="16"/>
          <w:szCs w:val="16"/>
        </w:rPr>
        <w:softHyphen/>
        <w:t>ния, 15 инженеров и конструкторов от НАГИ, ВАТО, от Ижорского завода 2 конструтора по корпусу, от УММ Тоскин в качестве заместителя начальника Конструкторского Бюро и Рожков в качестве конструктора по укладке боепри</w:t>
      </w:r>
      <w:r w:rsidRPr="005E779E">
        <w:rPr>
          <w:rFonts w:ascii="Times New Roman" w:hAnsi="Times New Roman"/>
          <w:color w:val="000000" w:themeColor="text1"/>
          <w:sz w:val="16"/>
          <w:szCs w:val="16"/>
        </w:rPr>
        <w:softHyphen/>
        <w:t>пасов и башне. От ХПЗ танковое КБ Алексенко в полном со</w:t>
      </w:r>
      <w:r w:rsidRPr="005E779E">
        <w:rPr>
          <w:rFonts w:ascii="Times New Roman" w:hAnsi="Times New Roman"/>
          <w:color w:val="000000" w:themeColor="text1"/>
          <w:sz w:val="16"/>
          <w:szCs w:val="16"/>
        </w:rPr>
        <w:softHyphen/>
        <w:t>ставе. Кроме того, с 10.06 директор ХПЗ обеспечивает бюро тридцатью копировщиками.</w:t>
      </w:r>
    </w:p>
    <w:p w14:paraId="031495B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Для разработки техпроцесса производства танка при</w:t>
      </w:r>
      <w:r w:rsidRPr="005E779E">
        <w:rPr>
          <w:rFonts w:ascii="Times New Roman" w:hAnsi="Times New Roman"/>
          <w:color w:val="000000" w:themeColor="text1"/>
          <w:sz w:val="16"/>
          <w:szCs w:val="16"/>
        </w:rPr>
        <w:softHyphen/>
        <w:t>влечь пять высококвалифицированных специалистов от Укргипромаша.</w:t>
      </w:r>
    </w:p>
    <w:p w14:paraId="47C0BC4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Собрать спецбюро БТХПЗ к 25.05.31 г. 4. Изготовить | опытные образцы в количестве 3-х штук к 15.09.31 г. 2образца изготавливает ХПЗ и один - опытный цех завода «Большевик» с подачей отливок и поковок с ХПЗ.</w:t>
      </w:r>
    </w:p>
    <w:p w14:paraId="480433C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Изготовление первой партии 100 штук. 2 машин — к 1.Х1.31 г. 30 штук - к ЗО.ХП.31 г. 50 штук - к 1.1.32 г.» (10733,195).</w:t>
      </w:r>
    </w:p>
    <w:p w14:paraId="64445D4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C671AA" w14:textId="77777777" w:rsidR="00971F0A" w:rsidRPr="005E779E" w:rsidRDefault="00971F0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 мая 1931 во время пово</w:t>
      </w:r>
      <w:r w:rsidRPr="005E779E">
        <w:rPr>
          <w:rFonts w:ascii="Times New Roman" w:hAnsi="Times New Roman"/>
          <w:color w:val="000000" w:themeColor="text1"/>
          <w:sz w:val="16"/>
          <w:szCs w:val="16"/>
        </w:rPr>
        <w:softHyphen/>
        <w:t>рота на травяном грунте сломался кронштейн правого ленивца БТ-2. Бро</w:t>
      </w:r>
      <w:r w:rsidRPr="005E779E">
        <w:rPr>
          <w:rFonts w:ascii="Times New Roman" w:hAnsi="Times New Roman"/>
          <w:color w:val="000000" w:themeColor="text1"/>
          <w:sz w:val="16"/>
          <w:szCs w:val="16"/>
        </w:rPr>
        <w:softHyphen/>
        <w:t>невая защита машины была про- тивопульной: клепаный корпус тан</w:t>
      </w:r>
      <w:r w:rsidRPr="005E779E">
        <w:rPr>
          <w:rFonts w:ascii="Times New Roman" w:hAnsi="Times New Roman"/>
          <w:color w:val="000000" w:themeColor="text1"/>
          <w:sz w:val="16"/>
          <w:szCs w:val="16"/>
        </w:rPr>
        <w:softHyphen/>
        <w:t>ка был выполнен из броневых лис</w:t>
      </w:r>
      <w:r w:rsidRPr="005E779E">
        <w:rPr>
          <w:rFonts w:ascii="Times New Roman" w:hAnsi="Times New Roman"/>
          <w:color w:val="000000" w:themeColor="text1"/>
          <w:sz w:val="16"/>
          <w:szCs w:val="16"/>
        </w:rPr>
        <w:softHyphen/>
        <w:t>тов толщиной от 5,5 до 14 мм. Поэ</w:t>
      </w:r>
      <w:r w:rsidRPr="005E779E">
        <w:rPr>
          <w:rFonts w:ascii="Times New Roman" w:hAnsi="Times New Roman"/>
          <w:color w:val="000000" w:themeColor="text1"/>
          <w:sz w:val="16"/>
          <w:szCs w:val="16"/>
        </w:rPr>
        <w:softHyphen/>
        <w:t>тому по заданию УММ РККА бое</w:t>
      </w:r>
      <w:r w:rsidRPr="005E779E">
        <w:rPr>
          <w:rFonts w:ascii="Times New Roman" w:hAnsi="Times New Roman"/>
          <w:color w:val="000000" w:themeColor="text1"/>
          <w:sz w:val="16"/>
          <w:szCs w:val="16"/>
        </w:rPr>
        <w:softHyphen/>
        <w:t>вую массу танка предполагалось поднять с 10,5 до 14 тонн (22518).</w:t>
      </w:r>
    </w:p>
    <w:p w14:paraId="1E0390DA" w14:textId="77777777" w:rsidR="00971F0A" w:rsidRPr="005E779E" w:rsidRDefault="00971F0A" w:rsidP="000B7A6C">
      <w:pPr>
        <w:spacing w:after="0" w:line="240" w:lineRule="auto"/>
        <w:jc w:val="both"/>
        <w:rPr>
          <w:rFonts w:ascii="Times New Roman" w:hAnsi="Times New Roman"/>
          <w:color w:val="000000" w:themeColor="text1"/>
          <w:sz w:val="16"/>
          <w:szCs w:val="16"/>
        </w:rPr>
      </w:pPr>
    </w:p>
    <w:p w14:paraId="09D8CC0C" w14:textId="77777777" w:rsidR="00971F0A" w:rsidRPr="005E779E" w:rsidRDefault="00971F0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 мая 1931 начальник УММ РККА со</w:t>
      </w:r>
      <w:r w:rsidRPr="005E779E">
        <w:rPr>
          <w:rFonts w:ascii="Times New Roman" w:hAnsi="Times New Roman"/>
          <w:color w:val="000000" w:themeColor="text1"/>
          <w:sz w:val="16"/>
          <w:szCs w:val="16"/>
        </w:rPr>
        <w:softHyphen/>
        <w:t>ставил план выполнения решений пра</w:t>
      </w:r>
      <w:r w:rsidRPr="005E779E">
        <w:rPr>
          <w:rFonts w:ascii="Times New Roman" w:hAnsi="Times New Roman"/>
          <w:color w:val="000000" w:themeColor="text1"/>
          <w:sz w:val="16"/>
          <w:szCs w:val="16"/>
        </w:rPr>
        <w:softHyphen/>
        <w:t>вительства по организации производ</w:t>
      </w:r>
      <w:r w:rsidRPr="005E779E">
        <w:rPr>
          <w:rFonts w:ascii="Times New Roman" w:hAnsi="Times New Roman"/>
          <w:color w:val="000000" w:themeColor="text1"/>
          <w:sz w:val="16"/>
          <w:szCs w:val="16"/>
        </w:rPr>
        <w:softHyphen/>
        <w:t>ства танка БТ (танк «Кристи») на Харьковском паровозостроитель</w:t>
      </w:r>
      <w:r w:rsidRPr="005E779E">
        <w:rPr>
          <w:rFonts w:ascii="Times New Roman" w:hAnsi="Times New Roman"/>
          <w:color w:val="000000" w:themeColor="text1"/>
          <w:sz w:val="16"/>
          <w:szCs w:val="16"/>
        </w:rPr>
        <w:softHyphen/>
        <w:t>ном заводе. Этим планом предус</w:t>
      </w:r>
      <w:r w:rsidRPr="005E779E">
        <w:rPr>
          <w:rFonts w:ascii="Times New Roman" w:hAnsi="Times New Roman"/>
          <w:color w:val="000000" w:themeColor="text1"/>
          <w:sz w:val="16"/>
          <w:szCs w:val="16"/>
        </w:rPr>
        <w:softHyphen/>
        <w:t>матривалось изготовление в тече</w:t>
      </w:r>
      <w:r w:rsidRPr="005E779E">
        <w:rPr>
          <w:rFonts w:ascii="Times New Roman" w:hAnsi="Times New Roman"/>
          <w:color w:val="000000" w:themeColor="text1"/>
          <w:sz w:val="16"/>
          <w:szCs w:val="16"/>
        </w:rPr>
        <w:softHyphen/>
        <w:t>ние месяца рабочих чертежей груп</w:t>
      </w:r>
      <w:r w:rsidRPr="005E779E">
        <w:rPr>
          <w:rFonts w:ascii="Times New Roman" w:hAnsi="Times New Roman"/>
          <w:color w:val="000000" w:themeColor="text1"/>
          <w:sz w:val="16"/>
          <w:szCs w:val="16"/>
        </w:rPr>
        <w:softHyphen/>
        <w:t>пой разработчиков, в состав кото</w:t>
      </w:r>
      <w:r w:rsidRPr="005E779E">
        <w:rPr>
          <w:rFonts w:ascii="Times New Roman" w:hAnsi="Times New Roman"/>
          <w:color w:val="000000" w:themeColor="text1"/>
          <w:sz w:val="16"/>
          <w:szCs w:val="16"/>
        </w:rPr>
        <w:softHyphen/>
        <w:t>рой включалось 15 инженеров и конструкторов от НАМИ (22518).</w:t>
      </w:r>
    </w:p>
    <w:p w14:paraId="5D189B76" w14:textId="77777777" w:rsidR="00971F0A" w:rsidRPr="005E779E" w:rsidRDefault="00971F0A" w:rsidP="000B7A6C">
      <w:pPr>
        <w:spacing w:after="0" w:line="240" w:lineRule="auto"/>
        <w:jc w:val="both"/>
        <w:rPr>
          <w:rFonts w:ascii="Times New Roman" w:hAnsi="Times New Roman"/>
          <w:color w:val="000000" w:themeColor="text1"/>
          <w:sz w:val="16"/>
          <w:szCs w:val="16"/>
        </w:rPr>
      </w:pPr>
    </w:p>
    <w:p w14:paraId="2DBB0E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 мая 1931 г. Ремонтные мастерские Треста точной механики, созданные 9 августа 1930 г., были преобразованы в Ремонтный завод счетных и пишущих машин. В 1932 г. он был преобразован в Московский механический завод точного машиностроения., в 1933 г. переименованный в Первый Государственный Союзный завод счетных и счетно-аналитических машин, 3 января 1935 г. - в Первый Государственный завод счетно-аналитических машин, а в том же году - в Завод счетно-аналитических машин. В 1942 г. переименован в Завод № 28. В 1946 г. награжден орденом Отечественной войны первой степени и переименован в Ордена Отечественной войны первой степени Завод счетно-аналитических пишущих машин, а 1 октября 1961 г. - в Ордена Отечественной войны первой степени Опытный завод счетно-аналитических машин. В 1963 г. переименован в Московский опытный завод счетно-аналитических машин. В 1985 г. заводу присвоено имя первого министра радиопромышленности В.Д. Калмыкова. 30 июня 1994 г. завод был преобразован в Открытое акционерное общество "Московский завод счетно-аналитических машин имени В.Д. Калмыкова" (12100).</w:t>
      </w:r>
    </w:p>
    <w:p w14:paraId="7C25A7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B986212"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2FF734C4"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9B010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 мая 1931 г. Приказом РВС СССР No.033 ВТУ РККА было переформировано в два самостоятельных центральных управления - Военно-инженерное управление РККА и Управление связи РККА.</w:t>
      </w:r>
    </w:p>
    <w:p w14:paraId="3265B7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Постановлением РВС СССР от 4 января 1932 г. была учреждена должность начальника инженеров РККА, а по приказу РВС СССР No.07 от 10 февраля 1932 г. Военно-инженерное управление преобразовано в Управление начальника инженеров РККА. Оно ведало инженерно-оперативной подготовкой будущих театров военных </w:t>
      </w:r>
      <w:r w:rsidRPr="005E779E">
        <w:rPr>
          <w:rFonts w:ascii="Times New Roman" w:hAnsi="Times New Roman"/>
          <w:color w:val="000000" w:themeColor="text1"/>
          <w:sz w:val="16"/>
          <w:szCs w:val="16"/>
        </w:rPr>
        <w:lastRenderedPageBreak/>
        <w:t>действий, инженерной подготовкой войск РККА, выполнением в мирное время оборонительных работ по сухопутной и береговой обороне и строительных работ по ПВО (11226).</w:t>
      </w:r>
    </w:p>
    <w:p w14:paraId="032BEA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положению об НКО СССР от 22 ноября 1934 г. Управление получило наименование Инженерного управления РККА во главе с начальником Управления (11226).</w:t>
      </w:r>
    </w:p>
    <w:p w14:paraId="46CD31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8F9E6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 мая 1931 г. Приказом РВС СССР No.033 ВТУ РККА было переформировано в два самостоятельных центральных управления - Управление связи РККА и Военно-инженерное управление РККА (11226).</w:t>
      </w:r>
    </w:p>
    <w:p w14:paraId="3619CC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6C26BE6" w14:textId="77777777" w:rsidR="0004566E" w:rsidRPr="005E779E" w:rsidRDefault="0004566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 мая 1931 г. приказом РВС СССР № 033 было образовано Управление связи (УС) РККА. По положению о Наркомате обороны СССР от 22 ноября 1934 г. на Управление связи РККА, как на центральный орган наркомата, возлагалось обеспечение армии всеми средствами связи. Во главе управления стоял начальник. На него возлагались следующие функции: а) развитие и техническое усовершенствование средств связи РККА; б) заготовка и вооружение РККА всеми средствами и видами связи по всем родам войск, кроме корабельной связи флотов; в) инспектирование частей связи РККА, с объявлением результатов инспектирования в приказах наркома обороны; г) разработка на основе директив начальника Штаба РККА инструкции, программ, методических указаний по тактической и технической подготовке частей связи и службы связи в РККА; д) руководство боевой подготовкой Электротехнической академии и Академии связи им. В. Н. Подбельского и курсов усовершенствования связи; е) разработка, по указаниям начальника Штаба РККА, вопросов оборонного строительства связи, мероприятий и заданий по оперативному использованию средств связи страны; ж) участие в разработке под руководством начальника Административно-мобилизационного управления РККА расчетов по комплектованию частей связи личным составом; з) руководство вневойсковой подготовкой в гражданских высших учебных заведениях по связи. Управление связи РККА состояло из отделов: 1) учебно-строевого, 2) мобилизационного, 3) радио, 4) телеграфа, телефона и оптики и 5) финансового отделения. Приказом НКО № 0114 от 26 июля 1937 г. оно было объединено с Техническим управлением РККА в Управление связи Красной армии, которое ведало обеспечением армии всеми средствами связи и телемеханики, а также руководило службой связи и телемеханики. С июля 1940 г. в состав УС Красной армии входили следующие отделы: боевой подготовки; оперативно-технический; мобилизационно-плановый; телефонно-телеграфного вооружения; радиовооружения; особой техники; складов и мастерских; кадров; финансовый, а также научно-технический комитет и общая и секретная часть. Приказом НКО № 0238 от 20 сентября 1940 г. на Управление связи дополнительно возлагалось техническое руководство, планирование и финансирование строительства связи.</w:t>
      </w:r>
    </w:p>
    <w:p w14:paraId="3BB2150C" w14:textId="77777777" w:rsidR="0004566E" w:rsidRPr="005E779E" w:rsidRDefault="0004566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РГВА. Ф. 51. Оп. 2. Д. 445. Л. 57-61 об., 64 об.-65 об. Подлинник (17776).</w:t>
      </w:r>
    </w:p>
    <w:p w14:paraId="39DE3391" w14:textId="77777777" w:rsidR="0004566E" w:rsidRPr="005E779E" w:rsidRDefault="0004566E" w:rsidP="000B7A6C">
      <w:pPr>
        <w:spacing w:after="0" w:line="240" w:lineRule="auto"/>
        <w:jc w:val="both"/>
        <w:rPr>
          <w:rFonts w:ascii="Times New Roman" w:hAnsi="Times New Roman"/>
          <w:color w:val="000000" w:themeColor="text1"/>
          <w:sz w:val="16"/>
          <w:szCs w:val="16"/>
        </w:rPr>
      </w:pPr>
    </w:p>
    <w:p w14:paraId="1C6D2316"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21E7BB91"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21362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мая 1931 на Москве-реке близ Филей был испытан АИР-2 на поплавках. Поплавки смонтировали тут же за 1 ч. 10 мин. Б.Л.Бухгольц летал с В.Б.Ш. 10 мин. по кругу, а потом Ю.И.Пионтковский с А.С.Я. и опять Б.Л.Бухгольц с женой и двумя детьми (1076,822).</w:t>
      </w:r>
    </w:p>
    <w:p w14:paraId="4CB589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B6ED9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мая 1931 года за 1 час 10 минут колеса на АИР-2 были заменены поплавками и состоялся первый полет с Москвы-реки летчика Б. JI. Бухгольца с В. Б. Шавровым. Потом летали Ю. И. Пионтковский с А. С. Яковлевым. Самолет базировался на водной станции "Динамо" вблизи ЦПКиО, и однажды Бухгольц пролетел на нем под старым Крымским мостом. Зимой АИР-2 летал на лыжах (11891).</w:t>
      </w:r>
    </w:p>
    <w:p w14:paraId="16A3C3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399C7D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мая 1931 года – максимальная достигнутая высота полета геликоптера СОК ЭАО ЦАГИ была 25-30 метров с осуществлением плавного почти вертикального взлета и столь же спокойной посадки. Аппарат в воздухе совершил поворот почти на месте на 360 градусов (6926, 5).</w:t>
      </w:r>
    </w:p>
    <w:p w14:paraId="5D93445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B185E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мая 1931 года после полета при одном из повторных испытаний снова на высоте 25-30 метров при посадке геликоптер СОК ЭАО ЦАГИ ударился о землю и потерпел аварию (6926, 4а-5).</w:t>
      </w:r>
    </w:p>
    <w:p w14:paraId="366B205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C4D4F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мая 1931 г. произошла авария ЦАГИ-1ЭА в свободном полете при небольшом по</w:t>
      </w:r>
      <w:r w:rsidRPr="005E779E">
        <w:rPr>
          <w:rFonts w:ascii="Times New Roman" w:hAnsi="Times New Roman"/>
          <w:color w:val="000000" w:themeColor="text1"/>
          <w:sz w:val="16"/>
          <w:szCs w:val="16"/>
        </w:rPr>
        <w:softHyphen/>
        <w:t>рывистом ветре на высоте 15 — 30 м. При приземлении, как отме</w:t>
      </w:r>
      <w:r w:rsidRPr="005E779E">
        <w:rPr>
          <w:rFonts w:ascii="Times New Roman" w:hAnsi="Times New Roman"/>
          <w:color w:val="000000" w:themeColor="text1"/>
          <w:sz w:val="16"/>
          <w:szCs w:val="16"/>
        </w:rPr>
        <w:softHyphen/>
        <w:t>чал А. М. Изаксон, «аппарат ударился хвостом и левым колесом, подпрыгнул на высоту 1 м, после чего, коснувшись земли вторич</w:t>
      </w:r>
      <w:r w:rsidRPr="005E779E">
        <w:rPr>
          <w:rFonts w:ascii="Times New Roman" w:hAnsi="Times New Roman"/>
          <w:color w:val="000000" w:themeColor="text1"/>
          <w:sz w:val="16"/>
          <w:szCs w:val="16"/>
        </w:rPr>
        <w:softHyphen/>
        <w:t>но, завалился на хвост и левую сторону. В результате сломана зад</w:t>
      </w:r>
      <w:r w:rsidRPr="005E779E">
        <w:rPr>
          <w:rFonts w:ascii="Times New Roman" w:hAnsi="Times New Roman"/>
          <w:color w:val="000000" w:themeColor="text1"/>
          <w:sz w:val="16"/>
          <w:szCs w:val="16"/>
        </w:rPr>
        <w:softHyphen/>
        <w:t>няя часть фюзеляжа, приведены в негодность все лопасти несуще</w:t>
      </w:r>
      <w:r w:rsidRPr="005E779E">
        <w:rPr>
          <w:rFonts w:ascii="Times New Roman" w:hAnsi="Times New Roman"/>
          <w:color w:val="000000" w:themeColor="text1"/>
          <w:sz w:val="16"/>
          <w:szCs w:val="16"/>
        </w:rPr>
        <w:softHyphen/>
        <w:t>го винта, втулка несущего винта, два задних рулевых винта...» После ремонта испытания были продолжены (10736).</w:t>
      </w:r>
    </w:p>
    <w:p w14:paraId="082AF16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7AF46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мая 1931 года при при</w:t>
      </w:r>
      <w:r w:rsidRPr="005E779E">
        <w:rPr>
          <w:rFonts w:ascii="Times New Roman" w:hAnsi="Times New Roman"/>
          <w:color w:val="000000" w:themeColor="text1"/>
          <w:sz w:val="16"/>
          <w:szCs w:val="16"/>
        </w:rPr>
        <w:softHyphen/>
        <w:t>землении вертолета ЦАГИ 1-ЭА (полет проходил на высоте 15-30 м при небольшом порывистом ветре) произошла авария. Аппарат ударился хвостом и левым ко</w:t>
      </w:r>
      <w:r w:rsidRPr="005E779E">
        <w:rPr>
          <w:rFonts w:ascii="Times New Roman" w:hAnsi="Times New Roman"/>
          <w:color w:val="000000" w:themeColor="text1"/>
          <w:sz w:val="16"/>
          <w:szCs w:val="16"/>
        </w:rPr>
        <w:softHyphen/>
        <w:t>лесом, подпрыгнул на 1 м, после чего, коснувшись земли вторично, завалил</w:t>
      </w:r>
      <w:r w:rsidRPr="005E779E">
        <w:rPr>
          <w:rFonts w:ascii="Times New Roman" w:hAnsi="Times New Roman"/>
          <w:color w:val="000000" w:themeColor="text1"/>
          <w:sz w:val="16"/>
          <w:szCs w:val="16"/>
        </w:rPr>
        <w:softHyphen/>
        <w:t>ся на хвост и левую сторону. В резуль</w:t>
      </w:r>
      <w:r w:rsidRPr="005E779E">
        <w:rPr>
          <w:rFonts w:ascii="Times New Roman" w:hAnsi="Times New Roman"/>
          <w:color w:val="000000" w:themeColor="text1"/>
          <w:sz w:val="16"/>
          <w:szCs w:val="16"/>
        </w:rPr>
        <w:softHyphen/>
        <w:t>тате была сломана задняя часть фю</w:t>
      </w:r>
      <w:r w:rsidRPr="005E779E">
        <w:rPr>
          <w:rFonts w:ascii="Times New Roman" w:hAnsi="Times New Roman"/>
          <w:color w:val="000000" w:themeColor="text1"/>
          <w:sz w:val="16"/>
          <w:szCs w:val="16"/>
        </w:rPr>
        <w:softHyphen/>
        <w:t>зеляжа, пришли в негодность все ло</w:t>
      </w:r>
      <w:r w:rsidRPr="005E779E">
        <w:rPr>
          <w:rFonts w:ascii="Times New Roman" w:hAnsi="Times New Roman"/>
          <w:color w:val="000000" w:themeColor="text1"/>
          <w:sz w:val="16"/>
          <w:szCs w:val="16"/>
        </w:rPr>
        <w:softHyphen/>
        <w:t>пасти и втулка несущего винта, два задних рулевых винта. После ремонта вертолета испытания были продолжены (11401).</w:t>
      </w:r>
    </w:p>
    <w:p w14:paraId="71FFB96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79CE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мая 1931 была серьезная авария вертолета ЭА-1 с 2 ротативными Рон, когда пробовали полет при небольшом прерывистом ветре и упали с 1 м, когда спускались с 15-30 м (2666,86).</w:t>
      </w:r>
    </w:p>
    <w:p w14:paraId="2DE9B7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A3E065F" w14:textId="77777777" w:rsidR="00E454FF"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388759DB" w14:textId="77777777" w:rsidR="00E454FF" w:rsidRPr="005E779E" w:rsidRDefault="00E454FF"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B8EFD67" w14:textId="77777777" w:rsidR="00E454FF" w:rsidRPr="005E779E" w:rsidRDefault="00E454FF"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18 мая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Постановление СНК СССР № 9Осс об обеспечении оборонного строительства местными строительными материалами (ГА РФ. Ф. Р?8418. Оп. 28. Д. 14а. Л. 18) (12415).</w:t>
      </w:r>
    </w:p>
    <w:p w14:paraId="779C1FE6" w14:textId="77777777" w:rsidR="00E454FF" w:rsidRPr="005E779E" w:rsidRDefault="00E454FF" w:rsidP="000B7A6C">
      <w:pPr>
        <w:spacing w:after="0" w:line="240" w:lineRule="auto"/>
        <w:jc w:val="both"/>
        <w:rPr>
          <w:rFonts w:ascii="Times New Roman" w:hAnsi="Times New Roman"/>
          <w:color w:val="000000" w:themeColor="text1"/>
          <w:sz w:val="16"/>
          <w:szCs w:val="16"/>
          <w:u w:color="002060"/>
        </w:rPr>
      </w:pPr>
    </w:p>
    <w:p w14:paraId="3B809F55" w14:textId="77777777" w:rsidR="008C3DDC"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Внешняя политика:</w:t>
      </w:r>
    </w:p>
    <w:p w14:paraId="506D658E" w14:textId="77777777" w:rsidR="008C3DDC" w:rsidRPr="005E779E" w:rsidRDefault="008C3DDC"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FDDE516" w14:textId="77777777" w:rsidR="008C3DDC" w:rsidRPr="005E779E" w:rsidRDefault="008C3DDC"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18 мая 1931 г. Европа: СССР обсуждает план пан-Европы в Лиге Наций и предлагает заключить договор об экономическом ненападении (</w:t>
      </w:r>
      <w:r w:rsidRPr="005E779E">
        <w:rPr>
          <w:rFonts w:ascii="Times New Roman" w:eastAsia="Times New Roman" w:hAnsi="Times New Roman"/>
          <w:bCs/>
          <w:iCs/>
          <w:color w:val="000000" w:themeColor="text1"/>
          <w:sz w:val="16"/>
          <w:szCs w:val="16"/>
          <w:lang w:eastAsia="ru-RU"/>
        </w:rPr>
        <w:t>«История дипломатии» под ред. Потемкина, М., ОГИЗ, (1941-1945):</w:t>
      </w:r>
    </w:p>
    <w:p w14:paraId="4EAA3111" w14:textId="77777777" w:rsidR="008C3DDC" w:rsidRPr="005E779E" w:rsidRDefault="008C3DDC"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bCs/>
          <w:color w:val="000000" w:themeColor="text1"/>
          <w:sz w:val="16"/>
          <w:szCs w:val="16"/>
          <w:lang w:eastAsia="ru-RU"/>
        </w:rPr>
        <w:t xml:space="preserve">«План пан-Европы был передан на обсуждение так называемой европейской комиссии Лиги нации. Под давлением общественного мнения, встревоженного новыми антисоветскими планами, на заседание этой комиссии была приглашена и советская делегация. Однако по настоянию Бриана и его сторонников, участие СССР ограничивалось только экономической комиссией.» «Советская делегация могла принять участие в заседаниях комиссии лишь </w:t>
      </w:r>
      <w:r w:rsidRPr="005E779E">
        <w:rPr>
          <w:rFonts w:ascii="Times New Roman" w:eastAsia="Times New Roman" w:hAnsi="Times New Roman"/>
          <w:color w:val="000000" w:themeColor="text1"/>
          <w:sz w:val="16"/>
          <w:szCs w:val="16"/>
          <w:lang w:eastAsia="ru-RU"/>
        </w:rPr>
        <w:t>18 мая 1931 г.</w:t>
      </w:r>
      <w:r w:rsidRPr="005E779E">
        <w:rPr>
          <w:rFonts w:ascii="Times New Roman" w:eastAsia="Times New Roman" w:hAnsi="Times New Roman"/>
          <w:bCs/>
          <w:color w:val="000000" w:themeColor="text1"/>
          <w:sz w:val="16"/>
          <w:szCs w:val="16"/>
          <w:lang w:eastAsia="ru-RU"/>
        </w:rPr>
        <w:t xml:space="preserve"> Разоблачив в своём первом же выступлении несостоятельность и недобросовестность попыток представить экономическую политику Советского государства, в частности советский экспорт, как одни из факторов мирового экономического кризиса, она внесла в комиссию предложение заключить международный договор об экономическом ненападении.» (17325).</w:t>
      </w:r>
    </w:p>
    <w:p w14:paraId="72293C3A" w14:textId="77777777" w:rsidR="008C3DDC" w:rsidRPr="005E779E" w:rsidRDefault="008C3DDC" w:rsidP="000B7A6C">
      <w:pPr>
        <w:spacing w:after="0" w:line="240" w:lineRule="auto"/>
        <w:jc w:val="both"/>
        <w:rPr>
          <w:rFonts w:ascii="Times New Roman" w:hAnsi="Times New Roman"/>
          <w:color w:val="000000" w:themeColor="text1"/>
          <w:sz w:val="16"/>
          <w:szCs w:val="16"/>
        </w:rPr>
      </w:pPr>
    </w:p>
    <w:p w14:paraId="32F88238" w14:textId="77777777" w:rsidR="00C21566" w:rsidRPr="005E779E" w:rsidRDefault="00C21566"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02A86FA5" w14:textId="77777777" w:rsidR="00C21566" w:rsidRPr="005E779E" w:rsidRDefault="00C21566"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2CFC37E" w14:textId="77777777" w:rsidR="00C21566" w:rsidRPr="005E779E" w:rsidRDefault="00C21566"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19 мая 1931 г.</w:t>
      </w:r>
    </w:p>
    <w:p w14:paraId="478B753E" w14:textId="77777777" w:rsidR="00C21566" w:rsidRPr="005E779E" w:rsidRDefault="00C21566"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О выдаче единовременных пособий Л. К. Рамзину «для поддержки его семьи». 19 мая 1931 г.</w:t>
      </w:r>
    </w:p>
    <w:p w14:paraId="4C1DAC68" w14:textId="77777777" w:rsidR="00C21566" w:rsidRPr="005E779E" w:rsidRDefault="00C21566"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Источник: </w:t>
      </w:r>
    </w:p>
    <w:p w14:paraId="296BE64D" w14:textId="77777777" w:rsidR="00C21566" w:rsidRPr="005E779E" w:rsidRDefault="00C2156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B6EED9E" w14:textId="77777777" w:rsidR="00C21566" w:rsidRPr="005E779E" w:rsidRDefault="00C21566"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Архив: </w:t>
      </w:r>
    </w:p>
    <w:p w14:paraId="599E917A" w14:textId="77777777" w:rsidR="00C21566" w:rsidRPr="005E779E" w:rsidRDefault="00C2156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РГАЭ. Ф. 38. Oп. 1. Д. 2. Л. 11</w:t>
      </w:r>
    </w:p>
    <w:p w14:paraId="333FCF4F" w14:textId="77777777" w:rsidR="00C21566" w:rsidRPr="005E779E" w:rsidRDefault="00C21566" w:rsidP="000B7A6C">
      <w:pPr>
        <w:pStyle w:val="rteright"/>
        <w:spacing w:before="0" w:after="0"/>
        <w:jc w:val="both"/>
        <w:rPr>
          <w:color w:val="000000" w:themeColor="text1"/>
          <w:sz w:val="16"/>
          <w:szCs w:val="16"/>
        </w:rPr>
      </w:pPr>
      <w:r w:rsidRPr="005E779E">
        <w:rPr>
          <w:color w:val="000000" w:themeColor="text1"/>
          <w:sz w:val="16"/>
          <w:szCs w:val="16"/>
        </w:rPr>
        <w:t>19 мая 1931 г.</w:t>
      </w:r>
    </w:p>
    <w:p w14:paraId="3200E94F" w14:textId="77777777" w:rsidR="00C21566" w:rsidRPr="005E779E" w:rsidRDefault="00C21566" w:rsidP="000B7A6C">
      <w:pPr>
        <w:pStyle w:val="ae"/>
        <w:spacing w:before="0" w:after="0"/>
        <w:jc w:val="both"/>
        <w:rPr>
          <w:color w:val="000000" w:themeColor="text1"/>
          <w:sz w:val="16"/>
          <w:szCs w:val="16"/>
        </w:rPr>
      </w:pPr>
      <w:r w:rsidRPr="005E779E">
        <w:rPr>
          <w:color w:val="000000" w:themeColor="text1"/>
          <w:sz w:val="16"/>
          <w:szCs w:val="16"/>
        </w:rPr>
        <w:t>НАЧ. ЭКУ ОГПУ</w:t>
      </w:r>
    </w:p>
    <w:p w14:paraId="68034CD8" w14:textId="77777777" w:rsidR="00C21566" w:rsidRPr="005E779E" w:rsidRDefault="00C21566" w:rsidP="000B7A6C">
      <w:pPr>
        <w:pStyle w:val="ae"/>
        <w:spacing w:before="0" w:after="0"/>
        <w:jc w:val="both"/>
        <w:rPr>
          <w:color w:val="000000" w:themeColor="text1"/>
          <w:sz w:val="16"/>
          <w:szCs w:val="16"/>
        </w:rPr>
      </w:pPr>
      <w:r w:rsidRPr="005E779E">
        <w:rPr>
          <w:color w:val="000000" w:themeColor="text1"/>
          <w:sz w:val="16"/>
          <w:szCs w:val="16"/>
        </w:rPr>
        <w:t>РАПОРТ</w:t>
      </w:r>
    </w:p>
    <w:p w14:paraId="61A7EFCE" w14:textId="77777777" w:rsidR="00C21566" w:rsidRPr="005E779E" w:rsidRDefault="00C21566" w:rsidP="000B7A6C">
      <w:pPr>
        <w:pStyle w:val="rtejustify"/>
        <w:spacing w:before="0" w:after="0"/>
        <w:rPr>
          <w:color w:val="000000" w:themeColor="text1"/>
          <w:sz w:val="16"/>
          <w:szCs w:val="16"/>
        </w:rPr>
      </w:pPr>
      <w:r w:rsidRPr="005E779E">
        <w:rPr>
          <w:color w:val="000000" w:themeColor="text1"/>
          <w:sz w:val="16"/>
          <w:szCs w:val="16"/>
        </w:rPr>
        <w:t>Прошу Вашего разрешения на выдачи осужден[ному] РАМЗИНУ Л. К. единовременных пособий для поддержки его семьи ежемесячно по Вашему усмотрению.</w:t>
      </w:r>
    </w:p>
    <w:p w14:paraId="02A79CEA" w14:textId="77777777" w:rsidR="00C21566" w:rsidRPr="005E779E" w:rsidRDefault="00C21566" w:rsidP="000B7A6C">
      <w:pPr>
        <w:pStyle w:val="rtejustify"/>
        <w:spacing w:before="0" w:after="0"/>
        <w:rPr>
          <w:color w:val="000000" w:themeColor="text1"/>
          <w:sz w:val="16"/>
          <w:szCs w:val="16"/>
        </w:rPr>
      </w:pPr>
      <w:r w:rsidRPr="005E779E">
        <w:rPr>
          <w:color w:val="000000" w:themeColor="text1"/>
          <w:sz w:val="16"/>
          <w:szCs w:val="16"/>
        </w:rPr>
        <w:t>РАМЗИН в настоящее время используется в Техн. Отд. ЭКУ ОГПУ на работе по специальности.</w:t>
      </w:r>
    </w:p>
    <w:p w14:paraId="733B5FC6" w14:textId="77777777" w:rsidR="00C21566" w:rsidRPr="005E779E" w:rsidRDefault="00C21566" w:rsidP="000B7A6C">
      <w:pPr>
        <w:pStyle w:val="rtejustify"/>
        <w:spacing w:before="0" w:after="0"/>
        <w:rPr>
          <w:color w:val="000000" w:themeColor="text1"/>
          <w:sz w:val="16"/>
          <w:szCs w:val="16"/>
        </w:rPr>
      </w:pPr>
      <w:r w:rsidRPr="005E779E">
        <w:rPr>
          <w:color w:val="000000" w:themeColor="text1"/>
          <w:sz w:val="16"/>
          <w:szCs w:val="16"/>
        </w:rPr>
        <w:t>Пом. Нач. ТЕХН. ОТД. ЭКУ &lt;М. Соколов&gt;</w:t>
      </w:r>
    </w:p>
    <w:p w14:paraId="47D61390" w14:textId="77777777" w:rsidR="00C21566" w:rsidRPr="005E779E" w:rsidRDefault="00C21566" w:rsidP="000B7A6C">
      <w:pPr>
        <w:pStyle w:val="rtejustify"/>
        <w:spacing w:before="0" w:after="0"/>
        <w:rPr>
          <w:color w:val="000000" w:themeColor="text1"/>
          <w:sz w:val="16"/>
          <w:szCs w:val="16"/>
        </w:rPr>
      </w:pPr>
      <w:r w:rsidRPr="005E779E">
        <w:rPr>
          <w:color w:val="000000" w:themeColor="text1"/>
          <w:sz w:val="16"/>
          <w:szCs w:val="16"/>
        </w:rPr>
        <w:t>«19» Мая 1931 г.</w:t>
      </w:r>
    </w:p>
    <w:p w14:paraId="7AB9439D" w14:textId="77777777" w:rsidR="00C21566" w:rsidRPr="005E779E" w:rsidRDefault="00C21566" w:rsidP="000B7A6C">
      <w:pPr>
        <w:pStyle w:val="ae"/>
        <w:spacing w:before="0" w:after="0"/>
        <w:jc w:val="both"/>
        <w:rPr>
          <w:color w:val="000000" w:themeColor="text1"/>
          <w:sz w:val="16"/>
          <w:szCs w:val="16"/>
        </w:rPr>
      </w:pPr>
      <w:r w:rsidRPr="005E779E">
        <w:rPr>
          <w:rStyle w:val="af0"/>
          <w:i w:val="0"/>
          <w:color w:val="000000" w:themeColor="text1"/>
          <w:sz w:val="16"/>
          <w:szCs w:val="16"/>
        </w:rPr>
        <w:t>РГАЭ. Ф. 38. Oп. 1. Д. 2. Л. 11. Машинописный подлинник, подпись — автограф. Вверху слева рукописная помета «т. Бедняков. Зайди ко мне 21/V» (подпись неразборчива, возможно: Миронов) (19057).</w:t>
      </w:r>
    </w:p>
    <w:p w14:paraId="3063E91A" w14:textId="77777777" w:rsidR="00C21566" w:rsidRPr="005E779E" w:rsidRDefault="00C21566" w:rsidP="000B7A6C">
      <w:pPr>
        <w:spacing w:after="0" w:line="240" w:lineRule="auto"/>
        <w:jc w:val="both"/>
        <w:rPr>
          <w:rFonts w:ascii="Times New Roman" w:hAnsi="Times New Roman"/>
          <w:color w:val="000000" w:themeColor="text1"/>
          <w:sz w:val="16"/>
          <w:szCs w:val="16"/>
        </w:rPr>
      </w:pPr>
    </w:p>
    <w:p w14:paraId="03F26915" w14:textId="77777777" w:rsidR="00974187"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05B60DEB" w14:textId="77777777" w:rsidR="00974187" w:rsidRPr="005E779E" w:rsidRDefault="00974187"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440A832" w14:textId="77777777" w:rsidR="00974187" w:rsidRPr="005E779E" w:rsidRDefault="009741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19 мая</w:t>
      </w:r>
      <w:r w:rsidRPr="005E779E">
        <w:rPr>
          <w:rFonts w:ascii="Times New Roman" w:hAnsi="Times New Roman"/>
          <w:color w:val="000000" w:themeColor="text1"/>
          <w:sz w:val="16"/>
          <w:szCs w:val="16"/>
        </w:rPr>
        <w:t xml:space="preserve"> в 1931 году, взлетел первый прототип литовского учебно-тренировочного самолета </w:t>
      </w:r>
      <w:hyperlink r:id="rId97" w:tgtFrame="_blank" w:history="1">
        <w:r w:rsidRPr="005E779E">
          <w:rPr>
            <w:rFonts w:ascii="Times New Roman" w:hAnsi="Times New Roman"/>
            <w:color w:val="000000" w:themeColor="text1"/>
            <w:sz w:val="16"/>
            <w:szCs w:val="16"/>
          </w:rPr>
          <w:t xml:space="preserve">«ANBO» V </w:t>
        </w:r>
      </w:hyperlink>
      <w:r w:rsidRPr="005E779E">
        <w:rPr>
          <w:rFonts w:ascii="Times New Roman" w:hAnsi="Times New Roman"/>
          <w:color w:val="000000" w:themeColor="text1"/>
          <w:sz w:val="16"/>
          <w:szCs w:val="16"/>
        </w:rPr>
        <w:t>с двигателем «Walter Vega» I. Остальные четыре серийные машины имели более мощные «Walter Venus» или «Armstrong Siddeley» «Genet Major» мощностью 110 л.с.. «ANBO» V - учебно-тренировочный самолет, разработанный литовской фирмой «ANBO». До 1929 года летчики литовских ВВС обучались на старых немецких машинах, и поэтому остро ощущалась нехватка новых учебных самолетов. Антанас Густайтис на время оставил работы по ANBO-IV и стал конструировать учебный «ANBO-V». «ANBO» V использовали как самолет первоначального обучения (14896).</w:t>
      </w:r>
    </w:p>
    <w:p w14:paraId="2F814601" w14:textId="77777777" w:rsidR="00974187" w:rsidRPr="005E779E" w:rsidRDefault="00974187" w:rsidP="000B7A6C">
      <w:pPr>
        <w:spacing w:after="0" w:line="240" w:lineRule="auto"/>
        <w:jc w:val="both"/>
        <w:rPr>
          <w:rFonts w:ascii="Times New Roman" w:hAnsi="Times New Roman"/>
          <w:color w:val="000000" w:themeColor="text1"/>
          <w:sz w:val="16"/>
          <w:szCs w:val="16"/>
        </w:rPr>
      </w:pPr>
    </w:p>
    <w:p w14:paraId="0D6764EA" w14:textId="77777777" w:rsidR="00E9344B" w:rsidRPr="005E779E" w:rsidRDefault="00E9344B"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19 мая 1931 г. Германия построила линкор «Дойчланд» (</w:t>
      </w:r>
      <w:r w:rsidRPr="005E779E">
        <w:rPr>
          <w:rFonts w:ascii="Times New Roman" w:eastAsia="Times New Roman" w:hAnsi="Times New Roman"/>
          <w:bCs/>
          <w:iCs/>
          <w:color w:val="000000" w:themeColor="text1"/>
          <w:sz w:val="16"/>
          <w:szCs w:val="16"/>
          <w:lang w:eastAsia="ru-RU"/>
        </w:rPr>
        <w:t>Э.Редер «Гросс-адмирал. Воспоминания ком-го ВМФ Тр.рейха.1935-1943», 1957):</w:t>
      </w:r>
    </w:p>
    <w:p w14:paraId="52972299" w14:textId="77777777" w:rsidR="00E9344B" w:rsidRPr="005E779E" w:rsidRDefault="00E9344B"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bCs/>
          <w:color w:val="000000" w:themeColor="text1"/>
          <w:sz w:val="16"/>
          <w:szCs w:val="16"/>
          <w:lang w:eastAsia="ru-RU"/>
        </w:rPr>
        <w:t xml:space="preserve">День </w:t>
      </w:r>
      <w:r w:rsidRPr="005E779E">
        <w:rPr>
          <w:rFonts w:ascii="Times New Roman" w:eastAsia="Times New Roman" w:hAnsi="Times New Roman"/>
          <w:color w:val="000000" w:themeColor="text1"/>
          <w:sz w:val="16"/>
          <w:szCs w:val="16"/>
          <w:lang w:eastAsia="ru-RU"/>
        </w:rPr>
        <w:t>19 мая 1931 года</w:t>
      </w:r>
      <w:r w:rsidRPr="005E779E">
        <w:rPr>
          <w:rFonts w:ascii="Times New Roman" w:eastAsia="Times New Roman" w:hAnsi="Times New Roman"/>
          <w:bCs/>
          <w:color w:val="000000" w:themeColor="text1"/>
          <w:sz w:val="16"/>
          <w:szCs w:val="16"/>
          <w:lang w:eastAsia="ru-RU"/>
        </w:rPr>
        <w:t>, когда на верфи в Киле был спущен на воду «карманный» линкор «А», получивший название «Дойчланд», стал праздником для военно-морского флота. Канцлер Брюнинг в своей речи по поводу наречения линкора сказал: «Этой церемонией, за ходом которой следит весь мир, германский народ демонстрирует, что, даже будучи закованным в кандалы и при всех своих экономических проблемах он сохранил в себе способность защищать свое мирное существование и хранить свою честь… Мы добросовестно разоружились и ожидаем таких же действий от других стран, если договоры должны содержать в себе какую-либо надежду на гуманизм… Но мир не может быть достигнут принятием двух стандартов на справедливость и установлением двух уровней безопасности в сообществе наций. Мы сможем забыть о долгом периоде нашего унижения, если другие нации дадут свое согласие нам на тот же уровень национальной гордости и ту же любовь к своей стране, на которую они сами претендуют». Президент фон Гинденбург лично нарек корабль именем «Дойчланд» и после спуска его на воду вышел в море на борту крейсера «Кенигсберг» для наблюдения за его артиллерийскими и торпедными стрельбами. На следующий день флот участвовал в больших маневрах, после которых в Киле состоялся большой парад всех кораблей флота, включая торпедные катера, минные тральщики и вспомогательные суда. В офицерской кают-компании я имел возможность от имени флота поблагодарить находящегося в почтенном возрасте президента за его визит. В своем ответном слове он в свойственной ему краткой и выразительной военной манере напомнил офицерам об их долге перед страной. Это было последнее посещение флота президентом Гинденбургом (17325).</w:t>
      </w:r>
    </w:p>
    <w:p w14:paraId="0B172D43" w14:textId="77777777" w:rsidR="00E9344B" w:rsidRPr="005E779E" w:rsidRDefault="00E9344B" w:rsidP="000B7A6C">
      <w:pPr>
        <w:spacing w:after="0" w:line="240" w:lineRule="auto"/>
        <w:jc w:val="both"/>
        <w:rPr>
          <w:rFonts w:ascii="Times New Roman" w:hAnsi="Times New Roman"/>
          <w:color w:val="000000" w:themeColor="text1"/>
          <w:sz w:val="16"/>
          <w:szCs w:val="16"/>
        </w:rPr>
      </w:pPr>
    </w:p>
    <w:p w14:paraId="1330297A"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39B3E165"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4DAC2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мая 1931 Политбюро ЦК ВКП(б) рассмотрело выводы комиссии А.А.Андреева о работах ЦАГИ и признало их "совершенно неудовлетворительными как по срокам конструирования и опытной проработки образцов боевых самолетов, так и по их качеству" (1566,78).</w:t>
      </w:r>
    </w:p>
    <w:p w14:paraId="176DF8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0D68134" w14:textId="77777777" w:rsidR="00F80904" w:rsidRPr="005E779E" w:rsidRDefault="00F80904" w:rsidP="000B7A6C">
      <w:pPr>
        <w:pStyle w:val="ae"/>
        <w:spacing w:before="0" w:after="0"/>
        <w:jc w:val="both"/>
        <w:rPr>
          <w:color w:val="000000" w:themeColor="text1"/>
          <w:sz w:val="16"/>
          <w:szCs w:val="16"/>
        </w:rPr>
      </w:pPr>
      <w:r w:rsidRPr="005E779E">
        <w:rPr>
          <w:color w:val="000000" w:themeColor="text1"/>
          <w:sz w:val="16"/>
          <w:szCs w:val="16"/>
        </w:rPr>
        <w:t>20 мая 1931 Предложения комиссии т. Андреева О ЦАГИ, утвержденные Политбюро 20 мая 1931 г. (РГАСПИ. Ф. 17. Оп. 162. Д. 10. Л. 48-50.</w:t>
      </w:r>
    </w:p>
    <w:p w14:paraId="7027A432" w14:textId="77777777" w:rsidR="00F80904" w:rsidRPr="005E779E" w:rsidRDefault="00F80904" w:rsidP="000B7A6C">
      <w:pPr>
        <w:spacing w:after="0" w:line="240" w:lineRule="auto"/>
        <w:jc w:val="both"/>
        <w:rPr>
          <w:rFonts w:ascii="Times New Roman" w:hAnsi="Times New Roman"/>
          <w:color w:val="000000" w:themeColor="text1"/>
          <w:sz w:val="16"/>
          <w:szCs w:val="16"/>
        </w:rPr>
      </w:pPr>
      <w:r w:rsidRPr="005E779E">
        <w:rPr>
          <w:rStyle w:val="af0"/>
          <w:rFonts w:ascii="Times New Roman" w:hAnsi="Times New Roman"/>
          <w:i w:val="0"/>
          <w:color w:val="000000" w:themeColor="text1"/>
          <w:sz w:val="16"/>
          <w:szCs w:val="16"/>
        </w:rPr>
        <w:t>Приложение № 1</w:t>
      </w:r>
      <w:r w:rsidRPr="005E779E">
        <w:rPr>
          <w:rStyle w:val="af0"/>
          <w:rFonts w:ascii="Times New Roman" w:hAnsi="Times New Roman"/>
          <w:i w:val="0"/>
          <w:color w:val="000000" w:themeColor="text1"/>
          <w:sz w:val="16"/>
          <w:szCs w:val="16"/>
        </w:rPr>
        <w:noBreakHyphen/>
        <w:t>ОП к п. 30/33 (о. п.) пр. ПБ № 39</w:t>
      </w:r>
      <w:r w:rsidRPr="005E779E">
        <w:rPr>
          <w:rFonts w:ascii="Times New Roman" w:hAnsi="Times New Roman"/>
          <w:color w:val="000000" w:themeColor="text1"/>
          <w:sz w:val="16"/>
          <w:szCs w:val="16"/>
        </w:rPr>
        <w:t>) (17241).</w:t>
      </w:r>
    </w:p>
    <w:p w14:paraId="3BD2F931" w14:textId="77777777" w:rsidR="00F80904" w:rsidRPr="005E779E" w:rsidRDefault="00F80904" w:rsidP="000B7A6C">
      <w:pPr>
        <w:autoSpaceDE w:val="0"/>
        <w:autoSpaceDN w:val="0"/>
        <w:adjustRightInd w:val="0"/>
        <w:spacing w:after="0" w:line="240" w:lineRule="auto"/>
        <w:jc w:val="both"/>
        <w:rPr>
          <w:rFonts w:ascii="Times New Roman" w:hAnsi="Times New Roman"/>
          <w:color w:val="000000" w:themeColor="text1"/>
          <w:sz w:val="16"/>
          <w:szCs w:val="16"/>
        </w:rPr>
      </w:pPr>
    </w:p>
    <w:p w14:paraId="27AE9D5A" w14:textId="77777777" w:rsidR="00E454FF" w:rsidRPr="005E779E" w:rsidRDefault="00E454FF"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20 мая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Протокол заседания Политбюро ЦК ВКП(б) № 39. Решения ПБ от 20 мая 1931 г. 30/33. О ЦАГИ (ПБ от 10 мая 1931 г., пр. № 37, п. 3/16) (Андреев, Каганович, Межлаук, Павлуновский, Близниченко, Прокофьев, Баранов). — ОП. Постановили: а) утвердить проект постановления, представленный комиссией т. Андреева (см. приложение); б) поручить секретариату ЦК срочно подыскать кандидатуру на пост директора ЦАГИ. (Политбюро... Т. 2. С. 169; РГАСПИ. Ф. 17. Оп. 162. Д. 10. Л. 45) (12416).</w:t>
      </w:r>
    </w:p>
    <w:p w14:paraId="70D74349" w14:textId="77777777" w:rsidR="00E454FF" w:rsidRPr="005E779E" w:rsidRDefault="00E454FF" w:rsidP="000B7A6C">
      <w:pPr>
        <w:spacing w:after="0" w:line="240" w:lineRule="auto"/>
        <w:jc w:val="both"/>
        <w:rPr>
          <w:rFonts w:ascii="Times New Roman" w:hAnsi="Times New Roman"/>
          <w:color w:val="000000" w:themeColor="text1"/>
          <w:sz w:val="16"/>
          <w:szCs w:val="16"/>
          <w:u w:color="002060"/>
        </w:rPr>
      </w:pPr>
    </w:p>
    <w:p w14:paraId="0D3D2D33" w14:textId="77777777" w:rsidR="00C21566" w:rsidRPr="005E779E" w:rsidRDefault="00C2156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мая 1931 г. благодаря активным действиям начальника ЦАГИ Н. М. Харламова и главного конструктора А. Н. Туполева правительство приняло решение о строительстве нового авиационного центра. После предварительных проработок был установлен масштаб сооружений, эти соображения рассмотрел ЦК ВКП(б) вынес решение о выводе ЦАГИ из Москвы. Необходимо было составить задание, смету и подыскать площадку под новые сооружения. При поиске площадки требовалось учитывать размещение научно-исследовательских лабораторий (больших и малых аэродинамических труб, лабораторий по изучению статической и динамической прочности авиаконструкций, высотной лаборатории, лаборатории вооружения и т.д.), завода опытных конструкций, летного сектора с аэродромом и гидродромом (на что обращалось особое внимание), производственных и вспомогательных сооружений, жилого и бытового сектора. Количество работников после ввода в эксплуатацию всех сооружений в то время ориен - тировочно определялось в 15 000 человек, городок рассчитывался на проживание 40—50 тыс. человек (учитывая членов семей работников). Начиная с 1931 г. для уточнения основных элементов контуров новых аэродинамических труб (АДТ) и схем оборудования строились их модели и проводились систематические научно-исследовательские работы. Изучались материалы по расчету потерь в АДТ, определялись допустимая степень расширения, потери и распределение давлений к коленах трубы, исследовалась эффективность поворотных лопаток, их число и расположение, влияние форкамер на качество потока, влияние формы сопла на распределение скоростей, скосов и давлений, разрабатывались мероприятия по борьбе с пульсациями давления потока и т.д. Кроме постройки отдельных элементов труб и их моделей, были созданы специальные приборы и аппаратура, что позволило в дальнейшем существенно сократить сроки исследования и наладки потоков в трубах Т-101 и Т-104. Для разработки проекта в начале 1933 г. было создано Бюро реконструкции ЦАГИ, начальником которого назначили Б. Я. Кузнецова. Разработку зданий и проектов консультировал Б. Н. Юрьев. Наблю - дение за строительством и проектирование специального оборудования возложили на соответствующие организации, созданные в отделах института. Требовалось все оборудование изготовить в Совет - ском Союзе, надо было не только разработать технические задания проектным организациям, но и в значительной мере выполнить ряд проектов установок, изготовить и смонтировать их. Все эти работы сосредоточили в Бюро технологического проектирования, куда перевели некоторых руководящих работников института. Аэродинамические контуры труб, расчеты и наладку выполняли Г. Н. Абрамович, К. К. Баулин, И. Е. Идельчик и А. Т. Стрельцов. Во - про сами вибраций труб занималась бригада под руководством С. П. Стрелкова, аэродинамические весы для всех труб проектировали Г. М. Мусинянц, Г. В. Ми клашевский, М. В. Глазер, К. А. Колмаков, В. В. Бе ло стоцкий, Б. А. Талалай. Вентиляторные установки труб спроектировали и смонтировали К. А. Ушаков, А. Н. Глюске, Л. М. Кокорев. В радиусе 150—250 км обследовали районы, окружающие Москву: Сенежское озеро, Тростинское озеро, Подольск, Дубровицы, Пушкино, Щелково, Плещеево озеро, Раменское и Иваньково. Район Раменское между станциями Ильинское — Кратово Ленинской железной дороги признали наилучшим и летом 1933 г. здесь приступили к строительству временного жилья, дорог, аэродрома и плотины (19727).</w:t>
      </w:r>
    </w:p>
    <w:p w14:paraId="7EFBC3BB" w14:textId="77777777" w:rsidR="00C21566" w:rsidRPr="005E779E" w:rsidRDefault="00C21566" w:rsidP="000B7A6C">
      <w:pPr>
        <w:spacing w:after="0" w:line="240" w:lineRule="auto"/>
        <w:jc w:val="both"/>
        <w:rPr>
          <w:rFonts w:ascii="Times New Roman" w:hAnsi="Times New Roman"/>
          <w:color w:val="000000" w:themeColor="text1"/>
          <w:sz w:val="16"/>
          <w:szCs w:val="16"/>
        </w:rPr>
      </w:pPr>
    </w:p>
    <w:p w14:paraId="1B90E4B5" w14:textId="77777777" w:rsidR="00E454FF" w:rsidRPr="005E779E" w:rsidRDefault="00E454F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мая 1931 г. — Постановление Политбюро ЦК ВКП(б) «О ЦАГИ»</w:t>
      </w:r>
    </w:p>
    <w:p w14:paraId="20A2AC54" w14:textId="77777777" w:rsidR="00E454FF" w:rsidRPr="005E779E" w:rsidRDefault="00E454FF" w:rsidP="000B7A6C">
      <w:pPr>
        <w:pStyle w:val="rtejustify"/>
        <w:spacing w:before="0" w:after="0"/>
        <w:rPr>
          <w:color w:val="000000" w:themeColor="text1"/>
          <w:sz w:val="16"/>
          <w:szCs w:val="16"/>
        </w:rPr>
      </w:pPr>
      <w:r w:rsidRPr="005E779E">
        <w:rPr>
          <w:color w:val="000000" w:themeColor="text1"/>
          <w:sz w:val="16"/>
          <w:szCs w:val="16"/>
        </w:rPr>
        <w:t>1. Несмотря на то что за последние годы достигнуты значительные успехи по превращению маленькой исследовательской ячейки ЦАГИ, зародившейся в 1923 г., в крупный, серьезный, оборудованный по последнему слову техники исследовательский институт, что поставило его в ряды первых мест среди научно-исследовательских институтов мира, однако результаты опытных работ ЦАГИ являются крайне неудовлетворительными, что выражается в медленных темпах конструирования и строительства опытных машин, в отсутствии системы связи между конструированием машин и их вооружением, в результате чего сконструированные машины зачастую оказываются мало удовлетворительными для оборонных целей, в недостаточной проработке сырьевых баз и возможностей суррогатирования авиаматериалов.</w:t>
      </w:r>
    </w:p>
    <w:p w14:paraId="1BB9CB50" w14:textId="77777777" w:rsidR="00E454FF" w:rsidRPr="005E779E" w:rsidRDefault="00E454FF" w:rsidP="000B7A6C">
      <w:pPr>
        <w:pStyle w:val="rtejustify"/>
        <w:spacing w:before="0" w:after="0"/>
        <w:rPr>
          <w:color w:val="000000" w:themeColor="text1"/>
          <w:sz w:val="16"/>
          <w:szCs w:val="16"/>
        </w:rPr>
      </w:pPr>
      <w:r w:rsidRPr="005E779E">
        <w:rPr>
          <w:color w:val="000000" w:themeColor="text1"/>
          <w:sz w:val="16"/>
          <w:szCs w:val="16"/>
        </w:rPr>
        <w:t>2. Общим недостатком работ ЦАГИ считать чрезвычайно медленные темпы конструирования и постройки опытных самолетов. Постройка самолетов затягивается на 2</w:t>
      </w:r>
      <w:r w:rsidRPr="005E779E">
        <w:rPr>
          <w:color w:val="000000" w:themeColor="text1"/>
          <w:sz w:val="16"/>
          <w:szCs w:val="16"/>
        </w:rPr>
        <w:noBreakHyphen/>
        <w:t>3 года. Медленные темпы приводят к тому, что конструирование и постройка дают уже устаревающие машины.</w:t>
      </w:r>
    </w:p>
    <w:p w14:paraId="41B989C3" w14:textId="77777777" w:rsidR="00E454FF" w:rsidRPr="005E779E" w:rsidRDefault="00E454FF" w:rsidP="000B7A6C">
      <w:pPr>
        <w:pStyle w:val="rtejustify"/>
        <w:spacing w:before="0" w:after="0"/>
        <w:rPr>
          <w:color w:val="000000" w:themeColor="text1"/>
          <w:sz w:val="16"/>
          <w:szCs w:val="16"/>
        </w:rPr>
      </w:pPr>
      <w:r w:rsidRPr="005E779E">
        <w:rPr>
          <w:color w:val="000000" w:themeColor="text1"/>
          <w:sz w:val="16"/>
          <w:szCs w:val="16"/>
        </w:rPr>
        <w:t>3. Центральным недостатком в работе ЦАГИ является неправильный подход к конструированию самолетов, когда основной упор берется на создание хорошей летной машины без достаточного учета необходимых качеств самолета как боевой машины, что приводит к тому, что в построенных самолетах и бомбовозах не оказывается достаточных условий для вооружения и быстрого маневрирования в боевой обстановке.</w:t>
      </w:r>
    </w:p>
    <w:p w14:paraId="05E6E58B" w14:textId="77777777" w:rsidR="00E454FF" w:rsidRPr="005E779E" w:rsidRDefault="00E454FF" w:rsidP="000B7A6C">
      <w:pPr>
        <w:pStyle w:val="rtejustify"/>
        <w:spacing w:before="0" w:after="0"/>
        <w:rPr>
          <w:color w:val="000000" w:themeColor="text1"/>
          <w:sz w:val="16"/>
          <w:szCs w:val="16"/>
        </w:rPr>
      </w:pPr>
      <w:r w:rsidRPr="005E779E">
        <w:rPr>
          <w:color w:val="000000" w:themeColor="text1"/>
          <w:sz w:val="16"/>
          <w:szCs w:val="16"/>
        </w:rPr>
        <w:t>4. Констатировать, что на опытном заводе наряду с работой по строительству самолетов из лучших материалов, из которых они строятся за границей, не изыскивались достаточно способы суррогатирования материалов для постройки наших самолетов другими материалами.</w:t>
      </w:r>
    </w:p>
    <w:p w14:paraId="0600C7F6" w14:textId="77777777" w:rsidR="00E454FF" w:rsidRPr="005E779E" w:rsidRDefault="00E454FF" w:rsidP="000B7A6C">
      <w:pPr>
        <w:pStyle w:val="rtejustify"/>
        <w:spacing w:before="0" w:after="0"/>
        <w:rPr>
          <w:color w:val="000000" w:themeColor="text1"/>
          <w:sz w:val="16"/>
          <w:szCs w:val="16"/>
        </w:rPr>
      </w:pPr>
      <w:r w:rsidRPr="005E779E">
        <w:rPr>
          <w:color w:val="000000" w:themeColor="text1"/>
          <w:sz w:val="16"/>
          <w:szCs w:val="16"/>
        </w:rPr>
        <w:t>5. Слабое руководство и недостаточное внимание руководящих организаций к ЦАГИ привело к тому, что при подборе кадров институт оказался засорен чуждыми, а зачастую прямо враждебными элементами.</w:t>
      </w:r>
    </w:p>
    <w:p w14:paraId="6703E043" w14:textId="77777777" w:rsidR="00E454FF" w:rsidRPr="005E779E" w:rsidRDefault="00E454FF" w:rsidP="000B7A6C">
      <w:pPr>
        <w:pStyle w:val="rtejustify"/>
        <w:spacing w:before="0" w:after="0"/>
        <w:rPr>
          <w:color w:val="000000" w:themeColor="text1"/>
          <w:sz w:val="16"/>
          <w:szCs w:val="16"/>
        </w:rPr>
      </w:pPr>
      <w:r w:rsidRPr="005E779E">
        <w:rPr>
          <w:color w:val="000000" w:themeColor="text1"/>
          <w:sz w:val="16"/>
          <w:szCs w:val="16"/>
        </w:rPr>
        <w:t>6. В целях быстрого устранения имеющихся недостатков, улучшения работы ЦАГИ и превращения ЦАГИ в действительно ведущий научно-исследовательский институт в области самолетостроения считать необходимым:</w:t>
      </w:r>
    </w:p>
    <w:p w14:paraId="1ABF5783" w14:textId="77777777" w:rsidR="00E454FF" w:rsidRPr="005E779E" w:rsidRDefault="00E454FF" w:rsidP="000B7A6C">
      <w:pPr>
        <w:pStyle w:val="rtejustify"/>
        <w:spacing w:before="0" w:after="0"/>
        <w:rPr>
          <w:color w:val="000000" w:themeColor="text1"/>
          <w:sz w:val="16"/>
          <w:szCs w:val="16"/>
        </w:rPr>
      </w:pPr>
      <w:r w:rsidRPr="005E779E">
        <w:rPr>
          <w:color w:val="000000" w:themeColor="text1"/>
          <w:sz w:val="16"/>
          <w:szCs w:val="16"/>
        </w:rPr>
        <w:t>а) решительно сократить срок конструирования и ускорить темпы выпуска опытных и серийных машин, перестроив работу конструкторского бюро с тем, чтобы максимально использовать имеющихся в ЦАГИ 300 инженеров, обеспечивая их инициативу и самодеятельность на конструкторской работе, тем самым рост конструкторских кадров;</w:t>
      </w:r>
    </w:p>
    <w:p w14:paraId="398D0904" w14:textId="77777777" w:rsidR="00E454FF" w:rsidRPr="005E779E" w:rsidRDefault="00E454FF" w:rsidP="000B7A6C">
      <w:pPr>
        <w:pStyle w:val="rtejustify"/>
        <w:spacing w:before="0" w:after="0"/>
        <w:rPr>
          <w:color w:val="000000" w:themeColor="text1"/>
          <w:sz w:val="16"/>
          <w:szCs w:val="16"/>
        </w:rPr>
      </w:pPr>
      <w:r w:rsidRPr="005E779E">
        <w:rPr>
          <w:color w:val="000000" w:themeColor="text1"/>
          <w:sz w:val="16"/>
          <w:szCs w:val="16"/>
        </w:rPr>
        <w:t>б) каждый проект конструкции должен иметь строго установленный календарный план продолжительности работ как конструирования опытных самолетов, так и переход их в серийное производство, причем необходимо добиться действительного осуществления ранее данной Политбюро директивы о сроке, не превышающего 6</w:t>
      </w:r>
      <w:r w:rsidRPr="005E779E">
        <w:rPr>
          <w:color w:val="000000" w:themeColor="text1"/>
          <w:sz w:val="16"/>
          <w:szCs w:val="16"/>
        </w:rPr>
        <w:noBreakHyphen/>
        <w:t>8 месяцев от начала проектирования до окончания постройки опытного образца самолета;</w:t>
      </w:r>
    </w:p>
    <w:p w14:paraId="729FC2C8" w14:textId="77777777" w:rsidR="00E454FF" w:rsidRPr="005E779E" w:rsidRDefault="00E454FF" w:rsidP="000B7A6C">
      <w:pPr>
        <w:pStyle w:val="rtejustify"/>
        <w:spacing w:before="0" w:after="0"/>
        <w:rPr>
          <w:color w:val="000000" w:themeColor="text1"/>
          <w:sz w:val="16"/>
          <w:szCs w:val="16"/>
        </w:rPr>
      </w:pPr>
      <w:r w:rsidRPr="005E779E">
        <w:rPr>
          <w:color w:val="000000" w:themeColor="text1"/>
          <w:sz w:val="16"/>
          <w:szCs w:val="16"/>
        </w:rPr>
        <w:t>в) в своей опытно-конструкторской работе ЦАГИ должен исходить из создания боевой машины, вполне отвечающей требованиям современной военной техники;</w:t>
      </w:r>
    </w:p>
    <w:p w14:paraId="760054CF" w14:textId="77777777" w:rsidR="00E454FF" w:rsidRPr="005E779E" w:rsidRDefault="00E454FF" w:rsidP="000B7A6C">
      <w:pPr>
        <w:pStyle w:val="rtejustify"/>
        <w:spacing w:before="0" w:after="0"/>
        <w:rPr>
          <w:color w:val="000000" w:themeColor="text1"/>
          <w:sz w:val="16"/>
          <w:szCs w:val="16"/>
        </w:rPr>
      </w:pPr>
      <w:r w:rsidRPr="005E779E">
        <w:rPr>
          <w:color w:val="000000" w:themeColor="text1"/>
          <w:sz w:val="16"/>
          <w:szCs w:val="16"/>
        </w:rPr>
        <w:lastRenderedPageBreak/>
        <w:t>г) сохранить полностью порядок предварительного утверждения всех проектов УВЭС и моделей Реввоенсоветом, усилив роль секции вооружения ЦАГИ как при разработке проектов, так и при постройке самолетов;</w:t>
      </w:r>
    </w:p>
    <w:p w14:paraId="05C2879B" w14:textId="77777777" w:rsidR="00E454FF" w:rsidRPr="005E779E" w:rsidRDefault="00E454FF" w:rsidP="000B7A6C">
      <w:pPr>
        <w:pStyle w:val="rtejustify"/>
        <w:spacing w:before="0" w:after="0"/>
        <w:rPr>
          <w:color w:val="000000" w:themeColor="text1"/>
          <w:sz w:val="16"/>
          <w:szCs w:val="16"/>
        </w:rPr>
      </w:pPr>
      <w:r w:rsidRPr="005E779E">
        <w:rPr>
          <w:color w:val="000000" w:themeColor="text1"/>
          <w:sz w:val="16"/>
          <w:szCs w:val="16"/>
        </w:rPr>
        <w:t>д) секция вооружения ЦАГИ существует как самостоятельная ячейка, не подчиняющаяся конструкторскому бюро. На секцию вооружения возложить обязанность участия во всех конструкторских работах с первого момента разработки проектов с задачей обеспечения такой конструкции, которая целиком обеспечила бы наиболее совершенное вооружение машины.</w:t>
      </w:r>
    </w:p>
    <w:p w14:paraId="12D90946" w14:textId="77777777" w:rsidR="00E454FF" w:rsidRPr="005E779E" w:rsidRDefault="00E454FF" w:rsidP="000B7A6C">
      <w:pPr>
        <w:pStyle w:val="rtejustify"/>
        <w:spacing w:before="0" w:after="0"/>
        <w:rPr>
          <w:color w:val="000000" w:themeColor="text1"/>
          <w:sz w:val="16"/>
          <w:szCs w:val="16"/>
        </w:rPr>
      </w:pPr>
      <w:r w:rsidRPr="005E779E">
        <w:rPr>
          <w:color w:val="000000" w:themeColor="text1"/>
          <w:sz w:val="16"/>
          <w:szCs w:val="16"/>
        </w:rPr>
        <w:t>В случае разногласий секция вооружения должна своевременно без задержки темпов конструкции ставить вопрос перед директором.</w:t>
      </w:r>
    </w:p>
    <w:p w14:paraId="2B456C3E" w14:textId="77777777" w:rsidR="00E454FF" w:rsidRPr="005E779E" w:rsidRDefault="00E454FF" w:rsidP="000B7A6C">
      <w:pPr>
        <w:pStyle w:val="rtejustify"/>
        <w:spacing w:before="0" w:after="0"/>
        <w:rPr>
          <w:color w:val="000000" w:themeColor="text1"/>
          <w:sz w:val="16"/>
          <w:szCs w:val="16"/>
        </w:rPr>
      </w:pPr>
      <w:r w:rsidRPr="005E779E">
        <w:rPr>
          <w:color w:val="000000" w:themeColor="text1"/>
          <w:sz w:val="16"/>
          <w:szCs w:val="16"/>
        </w:rPr>
        <w:t>7. Развернуть внутри ЦАГИ дело опытного применения новых авиаматериалов, поставив задачей ЦАГИ в кратчайший срок добиться опытным путем замены целого ряда импортных материалов материалами советского производства (нержавеющая сталь, колеса, оси, шасси), а также всемерное развертывание работы по суррогатированию материалов в максимальных размерах и применению их в промышленности. Обязать директора ЦАГИ через 3 месяца доложить о результатах.</w:t>
      </w:r>
    </w:p>
    <w:p w14:paraId="215647A3" w14:textId="77777777" w:rsidR="00E454FF" w:rsidRPr="005E779E" w:rsidRDefault="00E454FF" w:rsidP="000B7A6C">
      <w:pPr>
        <w:pStyle w:val="rtejustify"/>
        <w:spacing w:before="0" w:after="0"/>
        <w:rPr>
          <w:color w:val="000000" w:themeColor="text1"/>
          <w:sz w:val="16"/>
          <w:szCs w:val="16"/>
        </w:rPr>
      </w:pPr>
      <w:r w:rsidRPr="005E779E">
        <w:rPr>
          <w:color w:val="000000" w:themeColor="text1"/>
          <w:sz w:val="16"/>
          <w:szCs w:val="16"/>
        </w:rPr>
        <w:t>8. Обязать ЦАГИ ввести в опытную постройку самолетов, 2</w:t>
      </w:r>
      <w:r w:rsidRPr="005E779E">
        <w:rPr>
          <w:color w:val="000000" w:themeColor="text1"/>
          <w:sz w:val="16"/>
          <w:szCs w:val="16"/>
        </w:rPr>
        <w:noBreakHyphen/>
        <w:t>3 машин, одновременно из материалов, которые применяются за границей, и из материалов советского производства.</w:t>
      </w:r>
    </w:p>
    <w:p w14:paraId="06070C23" w14:textId="77777777" w:rsidR="00E454FF" w:rsidRPr="005E779E" w:rsidRDefault="00E454FF" w:rsidP="000B7A6C">
      <w:pPr>
        <w:pStyle w:val="rtejustify"/>
        <w:spacing w:before="0" w:after="0"/>
        <w:rPr>
          <w:color w:val="000000" w:themeColor="text1"/>
          <w:sz w:val="16"/>
          <w:szCs w:val="16"/>
        </w:rPr>
      </w:pPr>
      <w:r w:rsidRPr="005E779E">
        <w:rPr>
          <w:color w:val="000000" w:themeColor="text1"/>
          <w:sz w:val="16"/>
          <w:szCs w:val="16"/>
        </w:rPr>
        <w:t>9. ВСНХ в месячный срок разработать и доложить в СТО вопрос о создании специального завода авиастали.</w:t>
      </w:r>
    </w:p>
    <w:p w14:paraId="57695EF9" w14:textId="77777777" w:rsidR="00E454FF" w:rsidRPr="005E779E" w:rsidRDefault="00E454FF" w:rsidP="000B7A6C">
      <w:pPr>
        <w:pStyle w:val="rtejustify"/>
        <w:spacing w:before="0" w:after="0"/>
        <w:rPr>
          <w:color w:val="000000" w:themeColor="text1"/>
          <w:sz w:val="16"/>
          <w:szCs w:val="16"/>
        </w:rPr>
      </w:pPr>
      <w:r w:rsidRPr="005E779E">
        <w:rPr>
          <w:color w:val="000000" w:themeColor="text1"/>
          <w:sz w:val="16"/>
          <w:szCs w:val="16"/>
        </w:rPr>
        <w:t>10. Для обеспечения непосредственной связи ЦАГИ с авиапромышленностью передать ЦАГИ из ведения Наркомвоенмора в ведение ВСНХ СССР. Установить, что начальник ЦАГИ одновременно является помощником директора ВАО.</w:t>
      </w:r>
    </w:p>
    <w:p w14:paraId="006D6282" w14:textId="77777777" w:rsidR="00E454FF" w:rsidRPr="005E779E" w:rsidRDefault="00E454FF" w:rsidP="000B7A6C">
      <w:pPr>
        <w:pStyle w:val="rtejustify"/>
        <w:spacing w:before="0" w:after="0"/>
        <w:rPr>
          <w:color w:val="000000" w:themeColor="text1"/>
          <w:sz w:val="16"/>
          <w:szCs w:val="16"/>
        </w:rPr>
      </w:pPr>
      <w:r w:rsidRPr="005E779E">
        <w:rPr>
          <w:color w:val="000000" w:themeColor="text1"/>
          <w:sz w:val="16"/>
          <w:szCs w:val="16"/>
        </w:rPr>
        <w:t>11. Ввиду особой важности ЦАГИ считать необходимым в течение ближайших 3</w:t>
      </w:r>
      <w:r w:rsidRPr="005E779E">
        <w:rPr>
          <w:color w:val="000000" w:themeColor="text1"/>
          <w:sz w:val="16"/>
          <w:szCs w:val="16"/>
        </w:rPr>
        <w:noBreakHyphen/>
        <w:t>х месяцев укрепить руководящий и весь остальной состав ЦАГИ за счет удаления из ЦАГИ негодных как по деловым, так и по политическим качествам сотрудников, а также за счет укрепления ЦАГИ новыми работниками.</w:t>
      </w:r>
    </w:p>
    <w:p w14:paraId="7F68C5DA" w14:textId="77777777" w:rsidR="00E454FF" w:rsidRPr="005E779E" w:rsidRDefault="00E454FF" w:rsidP="000B7A6C">
      <w:pPr>
        <w:pStyle w:val="rtejustify"/>
        <w:spacing w:before="0" w:after="0"/>
        <w:rPr>
          <w:color w:val="000000" w:themeColor="text1"/>
          <w:sz w:val="16"/>
          <w:szCs w:val="16"/>
        </w:rPr>
      </w:pPr>
      <w:r w:rsidRPr="005E779E">
        <w:rPr>
          <w:color w:val="000000" w:themeColor="text1"/>
          <w:sz w:val="16"/>
          <w:szCs w:val="16"/>
        </w:rPr>
        <w:t>Поручить директору ЦАГИ совместно с т. </w:t>
      </w:r>
      <w:hyperlink r:id="rId98" w:history="1">
        <w:r w:rsidRPr="005E779E">
          <w:rPr>
            <w:color w:val="000000" w:themeColor="text1"/>
            <w:sz w:val="16"/>
            <w:szCs w:val="16"/>
          </w:rPr>
          <w:t>Прокофьевым</w:t>
        </w:r>
      </w:hyperlink>
      <w:r w:rsidRPr="005E779E">
        <w:rPr>
          <w:color w:val="000000" w:themeColor="text1"/>
          <w:sz w:val="16"/>
          <w:szCs w:val="16"/>
        </w:rPr>
        <w:t xml:space="preserve">, </w:t>
      </w:r>
      <w:hyperlink r:id="rId99" w:history="1">
        <w:r w:rsidRPr="005E779E">
          <w:rPr>
            <w:color w:val="000000" w:themeColor="text1"/>
            <w:sz w:val="16"/>
            <w:szCs w:val="16"/>
          </w:rPr>
          <w:t>Александровым</w:t>
        </w:r>
      </w:hyperlink>
      <w:r w:rsidRPr="005E779E">
        <w:rPr>
          <w:color w:val="000000" w:themeColor="text1"/>
          <w:sz w:val="16"/>
          <w:szCs w:val="16"/>
        </w:rPr>
        <w:t xml:space="preserve">, </w:t>
      </w:r>
      <w:hyperlink r:id="rId100" w:history="1">
        <w:r w:rsidRPr="005E779E">
          <w:rPr>
            <w:color w:val="000000" w:themeColor="text1"/>
            <w:sz w:val="16"/>
            <w:szCs w:val="16"/>
          </w:rPr>
          <w:t>Гай</w:t>
        </w:r>
      </w:hyperlink>
      <w:r w:rsidRPr="005E779E">
        <w:rPr>
          <w:color w:val="000000" w:themeColor="text1"/>
          <w:sz w:val="16"/>
          <w:szCs w:val="16"/>
        </w:rPr>
        <w:t xml:space="preserve">, </w:t>
      </w:r>
      <w:hyperlink r:id="rId101" w:history="1">
        <w:r w:rsidRPr="005E779E">
          <w:rPr>
            <w:color w:val="000000" w:themeColor="text1"/>
            <w:sz w:val="16"/>
            <w:szCs w:val="16"/>
          </w:rPr>
          <w:t>Близниченко</w:t>
        </w:r>
      </w:hyperlink>
      <w:r w:rsidRPr="005E779E">
        <w:rPr>
          <w:color w:val="000000" w:themeColor="text1"/>
          <w:sz w:val="16"/>
          <w:szCs w:val="16"/>
        </w:rPr>
        <w:t xml:space="preserve"> и </w:t>
      </w:r>
      <w:hyperlink r:id="rId102" w:history="1">
        <w:r w:rsidRPr="005E779E">
          <w:rPr>
            <w:color w:val="000000" w:themeColor="text1"/>
            <w:sz w:val="16"/>
            <w:szCs w:val="16"/>
          </w:rPr>
          <w:t>Хрущевым</w:t>
        </w:r>
      </w:hyperlink>
      <w:r w:rsidRPr="005E779E">
        <w:rPr>
          <w:color w:val="000000" w:themeColor="text1"/>
          <w:sz w:val="16"/>
          <w:szCs w:val="16"/>
        </w:rPr>
        <w:t xml:space="preserve"> провести эту работу в течение 3 месяцев, проводя ее в порядке органической работы, без объявления чистки.</w:t>
      </w:r>
    </w:p>
    <w:p w14:paraId="717B37FA" w14:textId="77777777" w:rsidR="00E454FF" w:rsidRPr="005E779E" w:rsidRDefault="00E454FF" w:rsidP="000B7A6C">
      <w:pPr>
        <w:pStyle w:val="rtejustify"/>
        <w:spacing w:before="0" w:after="0"/>
        <w:rPr>
          <w:color w:val="000000" w:themeColor="text1"/>
          <w:sz w:val="16"/>
          <w:szCs w:val="16"/>
        </w:rPr>
      </w:pPr>
      <w:r w:rsidRPr="005E779E">
        <w:rPr>
          <w:color w:val="000000" w:themeColor="text1"/>
          <w:sz w:val="16"/>
          <w:szCs w:val="16"/>
        </w:rPr>
        <w:t>12. Обязать ВСНХ и Наркомвоенмор разработать вопрос о подготовке Военно-воздушной академией кадров для авиапромышленности.</w:t>
      </w:r>
    </w:p>
    <w:p w14:paraId="1F1F59E6" w14:textId="77777777" w:rsidR="00E454FF" w:rsidRPr="005E779E" w:rsidRDefault="00E454FF" w:rsidP="000B7A6C">
      <w:pPr>
        <w:pStyle w:val="rtejustify"/>
        <w:spacing w:before="0" w:after="0"/>
        <w:rPr>
          <w:color w:val="000000" w:themeColor="text1"/>
          <w:sz w:val="16"/>
          <w:szCs w:val="16"/>
        </w:rPr>
      </w:pPr>
      <w:r w:rsidRPr="005E779E">
        <w:rPr>
          <w:color w:val="000000" w:themeColor="text1"/>
          <w:sz w:val="16"/>
          <w:szCs w:val="16"/>
        </w:rPr>
        <w:t>13. Особенно обратить внимание на укрепление важнейших отраслей работы ЦАГИ инженерно-коммунистическими силами (в АГОСе в моторной группе, в глиссерной группе и т. д.), выдвигая их в качестве зам. руководителей, а в отдельных случаях в качестве руководителей. В АГОСе назначить немедленно двух заместителей-коммунистов.</w:t>
      </w:r>
    </w:p>
    <w:p w14:paraId="10C88B93" w14:textId="77777777" w:rsidR="00E454FF" w:rsidRPr="005E779E" w:rsidRDefault="00E454FF" w:rsidP="000B7A6C">
      <w:pPr>
        <w:pStyle w:val="rtejustify"/>
        <w:spacing w:before="0" w:after="0"/>
        <w:rPr>
          <w:color w:val="000000" w:themeColor="text1"/>
          <w:sz w:val="16"/>
          <w:szCs w:val="16"/>
        </w:rPr>
      </w:pPr>
      <w:r w:rsidRPr="005E779E">
        <w:rPr>
          <w:color w:val="000000" w:themeColor="text1"/>
          <w:sz w:val="16"/>
          <w:szCs w:val="16"/>
        </w:rPr>
        <w:t>14. Наладить постоянную связь ЦАГИ с авиазаводами, строящими серии самолетов по конструкции ЦАГИ, путем созыва производственных совещаний для обмена опытом между конструкторами, проектировавшими машину, и персоналом, строившим таковые.</w:t>
      </w:r>
    </w:p>
    <w:p w14:paraId="789F30A9" w14:textId="77777777" w:rsidR="00E454FF" w:rsidRPr="005E779E" w:rsidRDefault="00E454FF" w:rsidP="000B7A6C">
      <w:pPr>
        <w:pStyle w:val="rtejustify"/>
        <w:spacing w:before="0" w:after="0"/>
        <w:rPr>
          <w:color w:val="000000" w:themeColor="text1"/>
          <w:sz w:val="16"/>
          <w:szCs w:val="16"/>
        </w:rPr>
      </w:pPr>
      <w:r w:rsidRPr="005E779E">
        <w:rPr>
          <w:color w:val="000000" w:themeColor="text1"/>
          <w:sz w:val="16"/>
          <w:szCs w:val="16"/>
        </w:rPr>
        <w:t>Разработка рабочих чертежей должна быть теснейшим образом увязана с работой опытного завода, с тем чтобы уже при постройке опытных самолетов учитывались условия постановки серийного производства (стандарты, нормали, инструменты и т. д.). Заводы, которым предназначается производить данную систему самолетов, должны выделять своих работников для участия в опытных работах на опытном заводе ЦАГИ.</w:t>
      </w:r>
    </w:p>
    <w:p w14:paraId="0E1AAE52" w14:textId="77777777" w:rsidR="00E454FF" w:rsidRPr="005E779E" w:rsidRDefault="00E454FF" w:rsidP="000B7A6C">
      <w:pPr>
        <w:pStyle w:val="rtejustify"/>
        <w:spacing w:before="0" w:after="0"/>
        <w:rPr>
          <w:color w:val="000000" w:themeColor="text1"/>
          <w:sz w:val="16"/>
          <w:szCs w:val="16"/>
        </w:rPr>
      </w:pPr>
      <w:r w:rsidRPr="005E779E">
        <w:rPr>
          <w:color w:val="000000" w:themeColor="text1"/>
          <w:sz w:val="16"/>
          <w:szCs w:val="16"/>
        </w:rPr>
        <w:t>15. Считать необходимым, что ВСНХ приступил уже в текущем году к постепенному переводу части работ института, особенно опытного завода, в другое место, за пределы города, в более подходящее для устройства разнообразных опытов и испытаний с точки зрения площадки и воды.</w:t>
      </w:r>
    </w:p>
    <w:p w14:paraId="309E3B0F" w14:textId="77777777" w:rsidR="00E454FF" w:rsidRPr="005E779E" w:rsidRDefault="00E454FF" w:rsidP="000B7A6C">
      <w:pPr>
        <w:pStyle w:val="rtejustify"/>
        <w:spacing w:before="0" w:after="0"/>
        <w:rPr>
          <w:color w:val="000000" w:themeColor="text1"/>
          <w:sz w:val="16"/>
          <w:szCs w:val="16"/>
        </w:rPr>
      </w:pPr>
      <w:r w:rsidRPr="005E779E">
        <w:rPr>
          <w:color w:val="000000" w:themeColor="text1"/>
          <w:sz w:val="16"/>
          <w:szCs w:val="16"/>
        </w:rPr>
        <w:t>16. Организовать при ВАО научно-технический отдел для объединения научно-исследовательской работы всех институтов в авиапромышленности, для наблюдения и руководства ими.</w:t>
      </w:r>
    </w:p>
    <w:p w14:paraId="414C7BED" w14:textId="77777777" w:rsidR="00E454FF" w:rsidRPr="005E779E" w:rsidRDefault="00E454FF" w:rsidP="000B7A6C">
      <w:pPr>
        <w:pStyle w:val="rtejustify"/>
        <w:spacing w:before="0" w:after="0"/>
        <w:rPr>
          <w:color w:val="000000" w:themeColor="text1"/>
          <w:sz w:val="16"/>
          <w:szCs w:val="16"/>
        </w:rPr>
      </w:pPr>
      <w:r w:rsidRPr="005E779E">
        <w:rPr>
          <w:color w:val="000000" w:themeColor="text1"/>
          <w:sz w:val="16"/>
          <w:szCs w:val="16"/>
        </w:rPr>
        <w:t>На этот же отдел возложить обязанность учета всех научно-технических достижений в области авиапромышленности за границей, тщательное изучение по печатным материалам (журналы, книги и т. д.) новейших достижений техники в области самолетостроения и моторостроения. Научно-технический отдел должен объединять научно-изобретательские работы в области самолетостроения и издавать научно-технический журнал в области самолетостроения и моторостроения. Начальник научно-технического отдела должен быть зам. директора ЦАГИ.</w:t>
      </w:r>
    </w:p>
    <w:p w14:paraId="2E3B05E5" w14:textId="77777777" w:rsidR="00E454FF" w:rsidRPr="005E779E" w:rsidRDefault="00E454FF" w:rsidP="000B7A6C">
      <w:pPr>
        <w:pStyle w:val="rtejustify"/>
        <w:spacing w:before="0" w:after="0"/>
        <w:rPr>
          <w:color w:val="000000" w:themeColor="text1"/>
          <w:sz w:val="16"/>
          <w:szCs w:val="16"/>
        </w:rPr>
      </w:pPr>
      <w:r w:rsidRPr="005E779E">
        <w:rPr>
          <w:color w:val="000000" w:themeColor="text1"/>
          <w:sz w:val="16"/>
          <w:szCs w:val="16"/>
        </w:rPr>
        <w:t>17. Предложить ВСНХ выделить из ЦАГИ отдел ветряных двигателей и гидравлический отдел.</w:t>
      </w:r>
    </w:p>
    <w:p w14:paraId="295DF105" w14:textId="77777777" w:rsidR="00E454FF" w:rsidRPr="005E779E" w:rsidRDefault="00E454FF" w:rsidP="000B7A6C">
      <w:pPr>
        <w:pStyle w:val="rtejustify"/>
        <w:spacing w:before="0" w:after="0"/>
        <w:rPr>
          <w:color w:val="000000" w:themeColor="text1"/>
          <w:sz w:val="16"/>
          <w:szCs w:val="16"/>
        </w:rPr>
      </w:pPr>
      <w:r w:rsidRPr="005E779E">
        <w:rPr>
          <w:color w:val="000000" w:themeColor="text1"/>
          <w:sz w:val="16"/>
          <w:szCs w:val="16"/>
        </w:rPr>
        <w:t>18. Констатировать, что работа опытного завода ЦАГИ носит в большой своей части полукустарный характер, поручить ВСНХ разработать проект технического вооружения этого завода для проведения более серьезных конструктивных работ.</w:t>
      </w:r>
    </w:p>
    <w:p w14:paraId="13F40398" w14:textId="77777777" w:rsidR="00E454FF" w:rsidRPr="005E779E" w:rsidRDefault="00E454FF" w:rsidP="000B7A6C">
      <w:pPr>
        <w:pStyle w:val="rtejustify"/>
        <w:spacing w:before="0" w:after="0"/>
        <w:rPr>
          <w:color w:val="000000" w:themeColor="text1"/>
          <w:sz w:val="16"/>
          <w:szCs w:val="16"/>
        </w:rPr>
      </w:pPr>
      <w:r w:rsidRPr="005E779E">
        <w:rPr>
          <w:color w:val="000000" w:themeColor="text1"/>
          <w:sz w:val="16"/>
          <w:szCs w:val="16"/>
        </w:rPr>
        <w:t>19. Ввиду наличия в ЦАГИ солидной группы инженеров-коммунистов (35 чел.) считать, что эта группа должна быть целиком использована исключительно на технической и конструкторской работе, с освобождением их от всех других обязанностей (секретарей ячеек, месткомов и т. д.). Одновременно с этим поручить ВАО вместе с райкомом создать наиболее благоприятные условия для максимального использования технической инициативы коммунистов.</w:t>
      </w:r>
    </w:p>
    <w:p w14:paraId="133A893B" w14:textId="77777777" w:rsidR="00E454FF" w:rsidRPr="005E779E" w:rsidRDefault="00E454FF" w:rsidP="000B7A6C">
      <w:pPr>
        <w:pStyle w:val="rtejustify"/>
        <w:spacing w:before="0" w:after="0"/>
        <w:rPr>
          <w:color w:val="000000" w:themeColor="text1"/>
          <w:sz w:val="16"/>
          <w:szCs w:val="16"/>
        </w:rPr>
      </w:pPr>
      <w:r w:rsidRPr="005E779E">
        <w:rPr>
          <w:color w:val="000000" w:themeColor="text1"/>
          <w:sz w:val="16"/>
          <w:szCs w:val="16"/>
        </w:rPr>
        <w:t>20. Обязать директора ЦАГИ и ВАО развернуть широкую работу в ЦАГИ по подготовке как научно-исследовательских кадров, так и кадров для заводов авиапромышленности (техникум, вечерний вуз и др.).</w:t>
      </w:r>
    </w:p>
    <w:p w14:paraId="47AF59F3" w14:textId="77777777" w:rsidR="00E454FF" w:rsidRPr="005E779E" w:rsidRDefault="00E454FF" w:rsidP="000B7A6C">
      <w:pPr>
        <w:pStyle w:val="rtejustify"/>
        <w:spacing w:before="0" w:after="0"/>
        <w:rPr>
          <w:color w:val="000000" w:themeColor="text1"/>
          <w:sz w:val="16"/>
          <w:szCs w:val="16"/>
        </w:rPr>
      </w:pPr>
      <w:r w:rsidRPr="005E779E">
        <w:rPr>
          <w:color w:val="000000" w:themeColor="text1"/>
          <w:sz w:val="16"/>
          <w:szCs w:val="16"/>
        </w:rPr>
        <w:t>21. Поручить комиссии в составе т. </w:t>
      </w:r>
      <w:hyperlink r:id="rId103" w:history="1">
        <w:r w:rsidRPr="005E779E">
          <w:rPr>
            <w:color w:val="000000" w:themeColor="text1"/>
            <w:sz w:val="16"/>
            <w:szCs w:val="16"/>
          </w:rPr>
          <w:t>Павлуновского</w:t>
        </w:r>
      </w:hyperlink>
      <w:r w:rsidRPr="005E779E">
        <w:rPr>
          <w:color w:val="000000" w:themeColor="text1"/>
          <w:sz w:val="16"/>
          <w:szCs w:val="16"/>
        </w:rPr>
        <w:t xml:space="preserve"> (председатель), Близниченко, </w:t>
      </w:r>
      <w:hyperlink r:id="rId104" w:history="1">
        <w:r w:rsidRPr="005E779E">
          <w:rPr>
            <w:color w:val="000000" w:themeColor="text1"/>
            <w:sz w:val="16"/>
            <w:szCs w:val="16"/>
          </w:rPr>
          <w:t>Куйбышева Н. В.</w:t>
        </w:r>
      </w:hyperlink>
      <w:r w:rsidRPr="005E779E">
        <w:rPr>
          <w:color w:val="000000" w:themeColor="text1"/>
          <w:sz w:val="16"/>
          <w:szCs w:val="16"/>
        </w:rPr>
        <w:t xml:space="preserve">, </w:t>
      </w:r>
      <w:hyperlink r:id="rId105" w:history="1">
        <w:r w:rsidRPr="005E779E">
          <w:rPr>
            <w:color w:val="000000" w:themeColor="text1"/>
            <w:sz w:val="16"/>
            <w:szCs w:val="16"/>
          </w:rPr>
          <w:t>Баранова</w:t>
        </w:r>
      </w:hyperlink>
      <w:r w:rsidRPr="005E779E">
        <w:rPr>
          <w:color w:val="000000" w:themeColor="text1"/>
          <w:sz w:val="16"/>
          <w:szCs w:val="16"/>
        </w:rPr>
        <w:t>, Прокофьева в месячный срок, с привлечением необходимого количества коммунистов-инженеров, специально разработать вопрос о технических качествах самолетов с точки зрения скорости движения, радиуса действия, продолжительности пребывания в воздухе и разработать практические меры поднятия боеспособности и мощности, продолжительности пребывания в воздухе, скорости движения наших самолетов.</w:t>
      </w:r>
    </w:p>
    <w:p w14:paraId="2D1A9DFD" w14:textId="77777777" w:rsidR="00E454FF" w:rsidRPr="005E779E" w:rsidRDefault="00E454FF" w:rsidP="000B7A6C">
      <w:pPr>
        <w:pStyle w:val="rtejustify"/>
        <w:spacing w:before="0" w:after="0"/>
        <w:rPr>
          <w:color w:val="000000" w:themeColor="text1"/>
          <w:sz w:val="16"/>
          <w:szCs w:val="16"/>
        </w:rPr>
      </w:pPr>
      <w:r w:rsidRPr="005E779E">
        <w:rPr>
          <w:color w:val="000000" w:themeColor="text1"/>
          <w:sz w:val="16"/>
          <w:szCs w:val="16"/>
        </w:rPr>
        <w:t>РГАСПИ. Ф. 17. Оп. 162. Д. 10. Л. 48—50. Заверенная копия.</w:t>
      </w:r>
    </w:p>
    <w:p w14:paraId="712BBD29" w14:textId="77777777" w:rsidR="00E454FF" w:rsidRPr="005E779E" w:rsidRDefault="00E454F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Архив: РГАСПИ. Ф. 17. Оп. 162. Д. 10. Л. 48—50. Заверенная копия. </w:t>
      </w:r>
    </w:p>
    <w:p w14:paraId="3604CE53" w14:textId="77777777" w:rsidR="00E454FF" w:rsidRPr="005E779E" w:rsidRDefault="00E454F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Источник: Становление оборонно-промышленного комплекса СССР (1927-1932). М. 2008, стр. 547-550 (12529).</w:t>
      </w:r>
    </w:p>
    <w:p w14:paraId="716C0683" w14:textId="77777777" w:rsidR="00E454FF" w:rsidRPr="005E779E" w:rsidRDefault="00E454FF" w:rsidP="000B7A6C">
      <w:pPr>
        <w:spacing w:after="0" w:line="240" w:lineRule="auto"/>
        <w:jc w:val="both"/>
        <w:rPr>
          <w:rFonts w:ascii="Times New Roman" w:hAnsi="Times New Roman"/>
          <w:color w:val="000000" w:themeColor="text1"/>
          <w:sz w:val="16"/>
          <w:szCs w:val="16"/>
        </w:rPr>
      </w:pPr>
    </w:p>
    <w:p w14:paraId="5842D0EA" w14:textId="77777777" w:rsidR="00974187" w:rsidRPr="005E779E" w:rsidRDefault="009741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мая 1931 г. был заключен предварительный договор о сотрудничестве между Аэрофлотом и германской фирмой «Люфтшифбау Цеппелин» (LZ), но дело далее не продвинулось [Российский государственный архив экономики. Ф. 9574. Оп. 1. Ед. хр. 12, л. 19-26]. После изменения политического строя в Германии в 1933 г. для советско-германского сотрудничества возникли серьёзные препятствия [Российский государственный архив экономики. Ф. 9574. Оп. 1. Ед. хр. 12, л. 160] (15234).</w:t>
      </w:r>
    </w:p>
    <w:p w14:paraId="16558EA1" w14:textId="77777777" w:rsidR="00974187" w:rsidRPr="005E779E" w:rsidRDefault="00974187" w:rsidP="000B7A6C">
      <w:pPr>
        <w:spacing w:after="0" w:line="240" w:lineRule="auto"/>
        <w:jc w:val="both"/>
        <w:rPr>
          <w:rFonts w:ascii="Times New Roman" w:hAnsi="Times New Roman"/>
          <w:color w:val="000000" w:themeColor="text1"/>
          <w:sz w:val="16"/>
          <w:szCs w:val="16"/>
        </w:rPr>
      </w:pPr>
    </w:p>
    <w:p w14:paraId="3FFDF5DA" w14:textId="77777777" w:rsidR="004B5CB9" w:rsidRPr="005E779E" w:rsidRDefault="004B5CB9"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мая 1931 г. был заключен предварительный договор о сотрудничестве между Аэрофлотом и германской фирмой «Люфтшифбау Цеппелин» (LZ) по строимтельству жестких дирижаблей, но дело далее не продвинулось [Российский государственный архив экономики. Ф. 9574. Оп. 1. Ед. хр. 12, л. 19-26]. После изменения политического строя в Германии в 1933 г. для советско-германского сотрудничества возникли серьёзные препятствия [Российский государственный военный архив. Ф. 29. Оп. 76. Ед. хр. 673, л. 160] (22295).</w:t>
      </w:r>
    </w:p>
    <w:p w14:paraId="0CCD8BA8" w14:textId="77777777" w:rsidR="004B5CB9" w:rsidRPr="005E779E" w:rsidRDefault="004B5CB9" w:rsidP="000B7A6C">
      <w:pPr>
        <w:shd w:val="clear" w:color="auto" w:fill="FFFFFF"/>
        <w:spacing w:after="0" w:line="240" w:lineRule="auto"/>
        <w:jc w:val="both"/>
        <w:rPr>
          <w:rFonts w:ascii="Times New Roman" w:hAnsi="Times New Roman"/>
          <w:color w:val="000000" w:themeColor="text1"/>
          <w:sz w:val="16"/>
          <w:szCs w:val="16"/>
        </w:rPr>
      </w:pPr>
    </w:p>
    <w:p w14:paraId="6B4D865C" w14:textId="77777777" w:rsidR="00974187"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18286964" w14:textId="77777777" w:rsidR="00974187" w:rsidRPr="005E779E" w:rsidRDefault="00974187"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15FDF71" w14:textId="77777777" w:rsidR="00974187" w:rsidRPr="005E779E" w:rsidRDefault="009741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20 мая</w:t>
      </w:r>
      <w:r w:rsidRPr="005E779E">
        <w:rPr>
          <w:rFonts w:ascii="Times New Roman" w:hAnsi="Times New Roman"/>
          <w:color w:val="000000" w:themeColor="text1"/>
          <w:sz w:val="16"/>
          <w:szCs w:val="16"/>
        </w:rPr>
        <w:t xml:space="preserve"> в 1931 году в центре Нью-Йорка состоялось торжественное открытие самого высокого на тот момент здания на планете — «Эмпайр Стейт Билдинг» (Empire State Building) высотой 381 м. Названием башне послужило прозвище штата Нью-Йорк — Эмпайр Стейт. В 1950-х годах на макушке небоскреба выросла мачта, и тогда общая высота сооружения достигла 449 м. Холл 102-этажного здания украшают панно с изображениями восьми чудес света — восьмым предстает сам «Эмпайр Стейт Билдинг» (14897).</w:t>
      </w:r>
    </w:p>
    <w:p w14:paraId="360BE225" w14:textId="77777777" w:rsidR="00974187" w:rsidRPr="005E779E" w:rsidRDefault="00974187" w:rsidP="000B7A6C">
      <w:pPr>
        <w:spacing w:after="0" w:line="240" w:lineRule="auto"/>
        <w:jc w:val="both"/>
        <w:rPr>
          <w:rFonts w:ascii="Times New Roman" w:hAnsi="Times New Roman"/>
          <w:color w:val="000000" w:themeColor="text1"/>
          <w:sz w:val="16"/>
          <w:szCs w:val="16"/>
        </w:rPr>
      </w:pPr>
    </w:p>
    <w:p w14:paraId="00EF7518"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7D6BD06A"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C2763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 мая 1931 В.М.П. в письме в ВАО сообщил данные Ми-3 и И-12 для проектирования и постройки лыж (1077,246).</w:t>
      </w:r>
    </w:p>
    <w:p w14:paraId="7E1868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95C52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 мая 1931 на подмосковном аэродроме руководителям партии и правительства была показана новая техника. В том числе И-5 Н.Н.П. и Д.П.Григоровича, ТБ-3 (АНТ-6) А.Н.Т. и автожира КАСКР-2 "Красный инженер" (256,26).</w:t>
      </w:r>
    </w:p>
    <w:p w14:paraId="35CC3C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другим данным - 31 мая 1931 - на Ходынке - был И-5, ТБ-3 (АНТ-6) и др., в т.ч. КАСКР-2, который заинтересовал И.В.Сталина возможностью вертикальной посадки. Отправил Н.И.Камова и И.К.Скржинского из Осоавиахима в ЦАГИ, где была СОК А.М.Черемухина (93,121).</w:t>
      </w:r>
    </w:p>
    <w:p w14:paraId="773D30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СОК пришел и М.Л.Миль, который только что кончил институт. СОК с конца года стал возглавлять А.М.Изаксон, а А.М.Черемухин стал заместителем (64,19).</w:t>
      </w:r>
    </w:p>
    <w:p w14:paraId="017832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Имеются сведения, что на упомянутых демонстрациях показывали и Z в отдаленном ангаре (самолет еще не летал). Вел лично начальник ЦКБ (79,128) - тут то и отказала перезярядка ДРП, когда И.В.С. сев в кабину попробовал (97,22).</w:t>
      </w:r>
    </w:p>
    <w:p w14:paraId="7B3F9F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Есть байка, что А.А. (скорее ли Б.А.Туржанский) Туржанский не разрешил И.В.С. курить у самолетов, тот обиделся, к А.Ф.Анисимову и В.П.Ч. не подошел и ругал П.И.Б., что на истребителях нет радио. Потом потребовал показать первый ТБ-3 (АНТ-6) в полете, а могли только М.М.Г. и М.А.Волковойнов, которого не было в Москве. Послали И.Ф.Козлова и Залевского, но те пока летали только на ТБ-1. И.В.С. тоже просился в полет. Еле-еле уговорили. Когда ТБ-3 (АНТ-6) сел - вновь хотел. В.П.Ч. и А.Ф.Анисимов пофигуряли. Тут И.В.С увидел ТБ-1 с авиабусом и отцепку. И.В.С. сначала не понравилось, П.И.Гроховский вылез и когда узнал, что П.И.Гроховский и Титов пробовали сами - похвалил. Однако, комбриг Молодков написал рапорт о всех промашках П.И.Б. и его освободили, заменив Я.И.Алкснисом. Г.К.Орджоникидзе пригласил к себе в ВАО (1101,82).</w:t>
      </w:r>
    </w:p>
    <w:p w14:paraId="52CA80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6F71060" w14:textId="77777777" w:rsidR="008707F5" w:rsidRPr="005E779E" w:rsidRDefault="008707F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21 мая 1931 г. КАСКР-2 наряду с другими летательны</w:t>
      </w:r>
      <w:r w:rsidRPr="005E779E">
        <w:rPr>
          <w:rFonts w:ascii="Times New Roman" w:hAnsi="Times New Roman"/>
          <w:color w:val="000000" w:themeColor="text1"/>
          <w:sz w:val="16"/>
          <w:szCs w:val="16"/>
        </w:rPr>
        <w:softHyphen/>
        <w:t>ми аппаратами советской постройки демонстрировался на Центральном аэродроме правительству во главе с И.В. Сталиным. На одной линейке с автожиром стояли ТБ-3, Р-5, Р-ЗЕТ, И-5 и другие самолеты. При осмотре ав</w:t>
      </w:r>
      <w:r w:rsidRPr="005E779E">
        <w:rPr>
          <w:rFonts w:ascii="Times New Roman" w:hAnsi="Times New Roman"/>
          <w:color w:val="000000" w:themeColor="text1"/>
          <w:sz w:val="16"/>
          <w:szCs w:val="16"/>
        </w:rPr>
        <w:softHyphen/>
        <w:t>тожира Сталиным, Молотовым и Ворошиловым пояснения давал лично Камов.</w:t>
      </w:r>
    </w:p>
    <w:p w14:paraId="7F3C39BE" w14:textId="77777777" w:rsidR="008707F5" w:rsidRPr="005E779E" w:rsidRDefault="008707F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осмотра начались показательные полеты. Комен</w:t>
      </w:r>
      <w:r w:rsidRPr="005E779E">
        <w:rPr>
          <w:rFonts w:ascii="Times New Roman" w:hAnsi="Times New Roman"/>
          <w:color w:val="000000" w:themeColor="text1"/>
          <w:sz w:val="16"/>
          <w:szCs w:val="16"/>
        </w:rPr>
        <w:softHyphen/>
        <w:t>дант аэродрома, с тревогой наблюдавший приготовле</w:t>
      </w:r>
      <w:r w:rsidRPr="005E779E">
        <w:rPr>
          <w:rFonts w:ascii="Times New Roman" w:hAnsi="Times New Roman"/>
          <w:color w:val="000000" w:themeColor="text1"/>
          <w:sz w:val="16"/>
          <w:szCs w:val="16"/>
        </w:rPr>
        <w:softHyphen/>
        <w:t>ния создателей КАСКР к старту, в последний момент за</w:t>
      </w:r>
      <w:r w:rsidRPr="005E779E">
        <w:rPr>
          <w:rFonts w:ascii="Times New Roman" w:hAnsi="Times New Roman"/>
          <w:color w:val="000000" w:themeColor="text1"/>
          <w:sz w:val="16"/>
          <w:szCs w:val="16"/>
        </w:rPr>
        <w:softHyphen/>
        <w:t>претил вылет. Однако Кошиц все-таки взлетел, набрал вы</w:t>
      </w:r>
      <w:r w:rsidRPr="005E779E">
        <w:rPr>
          <w:rFonts w:ascii="Times New Roman" w:hAnsi="Times New Roman"/>
          <w:color w:val="000000" w:themeColor="text1"/>
          <w:sz w:val="16"/>
          <w:szCs w:val="16"/>
        </w:rPr>
        <w:softHyphen/>
        <w:t>соту триста метров и по периметру три раза облетел весь Центральный аэродром. Затем он круто спланировал и с пробегом всего несколько метров посадил автожир вбли</w:t>
      </w:r>
      <w:r w:rsidRPr="005E779E">
        <w:rPr>
          <w:rFonts w:ascii="Times New Roman" w:hAnsi="Times New Roman"/>
          <w:color w:val="000000" w:themeColor="text1"/>
          <w:sz w:val="16"/>
          <w:szCs w:val="16"/>
        </w:rPr>
        <w:softHyphen/>
        <w:t>зи правительственной делегации. Все присутствующие были в восторге от увиденного, особо отмечалось, что КАСКР произвел хорошее впечатление на И. Сталина.</w:t>
      </w:r>
    </w:p>
    <w:p w14:paraId="44802C6D" w14:textId="77777777" w:rsidR="008707F5" w:rsidRPr="005E779E" w:rsidRDefault="008707F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Данные и характеристики КАСКР-2</w:t>
      </w:r>
    </w:p>
    <w:tbl>
      <w:tblPr>
        <w:tblOverlap w:val="never"/>
        <w:tblW w:w="0" w:type="auto"/>
        <w:jc w:val="center"/>
        <w:tblLayout w:type="fixed"/>
        <w:tblCellMar>
          <w:left w:w="10" w:type="dxa"/>
          <w:right w:w="10" w:type="dxa"/>
        </w:tblCellMar>
        <w:tblLook w:val="04A0" w:firstRow="1" w:lastRow="0" w:firstColumn="1" w:lastColumn="0" w:noHBand="0" w:noVBand="1"/>
      </w:tblPr>
      <w:tblGrid>
        <w:gridCol w:w="3806"/>
        <w:gridCol w:w="1277"/>
      </w:tblGrid>
      <w:tr w:rsidR="001002C3" w:rsidRPr="005E779E" w14:paraId="41B857C2" w14:textId="77777777" w:rsidTr="00027DFA">
        <w:trPr>
          <w:trHeight w:hRule="exact" w:val="293"/>
          <w:jc w:val="center"/>
        </w:trPr>
        <w:tc>
          <w:tcPr>
            <w:tcW w:w="3806" w:type="dxa"/>
            <w:tcBorders>
              <w:top w:val="single" w:sz="4" w:space="0" w:color="auto"/>
              <w:left w:val="single" w:sz="4" w:space="0" w:color="auto"/>
              <w:bottom w:val="nil"/>
              <w:right w:val="nil"/>
            </w:tcBorders>
            <w:vAlign w:val="bottom"/>
            <w:hideMark/>
          </w:tcPr>
          <w:p w14:paraId="04353BED" w14:textId="77777777" w:rsidR="008707F5" w:rsidRPr="005E779E" w:rsidRDefault="008707F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Длина без ротора (м)</w:t>
            </w:r>
          </w:p>
        </w:tc>
        <w:tc>
          <w:tcPr>
            <w:tcW w:w="1277" w:type="dxa"/>
            <w:tcBorders>
              <w:top w:val="single" w:sz="4" w:space="0" w:color="auto"/>
              <w:left w:val="nil"/>
              <w:bottom w:val="nil"/>
              <w:right w:val="single" w:sz="4" w:space="0" w:color="auto"/>
            </w:tcBorders>
            <w:vAlign w:val="bottom"/>
            <w:hideMark/>
          </w:tcPr>
          <w:p w14:paraId="09489CE9" w14:textId="77777777" w:rsidR="008707F5" w:rsidRPr="005E779E" w:rsidRDefault="008707F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9,30</w:t>
            </w:r>
          </w:p>
        </w:tc>
      </w:tr>
      <w:tr w:rsidR="001002C3" w:rsidRPr="005E779E" w14:paraId="7C7CEB1B" w14:textId="77777777" w:rsidTr="00027DFA">
        <w:trPr>
          <w:trHeight w:hRule="exact" w:val="202"/>
          <w:jc w:val="center"/>
        </w:trPr>
        <w:tc>
          <w:tcPr>
            <w:tcW w:w="3806" w:type="dxa"/>
            <w:tcBorders>
              <w:top w:val="nil"/>
              <w:left w:val="single" w:sz="4" w:space="0" w:color="auto"/>
              <w:bottom w:val="nil"/>
              <w:right w:val="nil"/>
            </w:tcBorders>
            <w:hideMark/>
          </w:tcPr>
          <w:p w14:paraId="580B8165" w14:textId="77777777" w:rsidR="008707F5" w:rsidRPr="005E779E" w:rsidRDefault="008707F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Диаметр ротора (м)</w:t>
            </w:r>
          </w:p>
        </w:tc>
        <w:tc>
          <w:tcPr>
            <w:tcW w:w="1277" w:type="dxa"/>
            <w:tcBorders>
              <w:top w:val="nil"/>
              <w:left w:val="nil"/>
              <w:bottom w:val="nil"/>
              <w:right w:val="single" w:sz="4" w:space="0" w:color="auto"/>
            </w:tcBorders>
            <w:hideMark/>
          </w:tcPr>
          <w:p w14:paraId="4C6FEA50" w14:textId="77777777" w:rsidR="008707F5" w:rsidRPr="005E779E" w:rsidRDefault="008707F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12,0</w:t>
            </w:r>
          </w:p>
        </w:tc>
      </w:tr>
      <w:tr w:rsidR="001002C3" w:rsidRPr="005E779E" w14:paraId="09E9F142" w14:textId="77777777" w:rsidTr="00027DFA">
        <w:trPr>
          <w:trHeight w:hRule="exact" w:val="187"/>
          <w:jc w:val="center"/>
        </w:trPr>
        <w:tc>
          <w:tcPr>
            <w:tcW w:w="3806" w:type="dxa"/>
            <w:tcBorders>
              <w:top w:val="nil"/>
              <w:left w:val="single" w:sz="4" w:space="0" w:color="auto"/>
              <w:bottom w:val="nil"/>
              <w:right w:val="nil"/>
            </w:tcBorders>
            <w:vAlign w:val="bottom"/>
            <w:hideMark/>
          </w:tcPr>
          <w:p w14:paraId="5F546829" w14:textId="77777777" w:rsidR="008707F5" w:rsidRPr="005E779E" w:rsidRDefault="008707F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Высота в линии полета (м)</w:t>
            </w:r>
          </w:p>
        </w:tc>
        <w:tc>
          <w:tcPr>
            <w:tcW w:w="1277" w:type="dxa"/>
            <w:tcBorders>
              <w:top w:val="nil"/>
              <w:left w:val="nil"/>
              <w:bottom w:val="nil"/>
              <w:right w:val="single" w:sz="4" w:space="0" w:color="auto"/>
            </w:tcBorders>
            <w:vAlign w:val="bottom"/>
            <w:hideMark/>
          </w:tcPr>
          <w:p w14:paraId="442CE8C0" w14:textId="77777777" w:rsidR="008707F5" w:rsidRPr="005E779E" w:rsidRDefault="008707F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4,60</w:t>
            </w:r>
          </w:p>
        </w:tc>
      </w:tr>
      <w:tr w:rsidR="001002C3" w:rsidRPr="005E779E" w14:paraId="639623DB" w14:textId="77777777" w:rsidTr="00027DFA">
        <w:trPr>
          <w:trHeight w:hRule="exact" w:val="211"/>
          <w:jc w:val="center"/>
        </w:trPr>
        <w:tc>
          <w:tcPr>
            <w:tcW w:w="3806" w:type="dxa"/>
            <w:tcBorders>
              <w:top w:val="nil"/>
              <w:left w:val="single" w:sz="4" w:space="0" w:color="auto"/>
              <w:bottom w:val="nil"/>
              <w:right w:val="nil"/>
            </w:tcBorders>
            <w:vAlign w:val="bottom"/>
            <w:hideMark/>
          </w:tcPr>
          <w:p w14:paraId="6ED92CD7" w14:textId="77777777" w:rsidR="008707F5" w:rsidRPr="005E779E" w:rsidRDefault="008707F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Размах крыльев (м)</w:t>
            </w:r>
          </w:p>
        </w:tc>
        <w:tc>
          <w:tcPr>
            <w:tcW w:w="1277" w:type="dxa"/>
            <w:tcBorders>
              <w:top w:val="nil"/>
              <w:left w:val="nil"/>
              <w:bottom w:val="nil"/>
              <w:right w:val="single" w:sz="4" w:space="0" w:color="auto"/>
            </w:tcBorders>
            <w:vAlign w:val="bottom"/>
            <w:hideMark/>
          </w:tcPr>
          <w:p w14:paraId="1C9A3955" w14:textId="77777777" w:rsidR="008707F5" w:rsidRPr="005E779E" w:rsidRDefault="008707F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8,0</w:t>
            </w:r>
          </w:p>
        </w:tc>
      </w:tr>
      <w:tr w:rsidR="001002C3" w:rsidRPr="005E779E" w14:paraId="6155CA52" w14:textId="77777777" w:rsidTr="00027DFA">
        <w:trPr>
          <w:trHeight w:hRule="exact" w:val="192"/>
          <w:jc w:val="center"/>
        </w:trPr>
        <w:tc>
          <w:tcPr>
            <w:tcW w:w="3806" w:type="dxa"/>
            <w:tcBorders>
              <w:top w:val="nil"/>
              <w:left w:val="single" w:sz="4" w:space="0" w:color="auto"/>
              <w:bottom w:val="nil"/>
              <w:right w:val="nil"/>
            </w:tcBorders>
            <w:hideMark/>
          </w:tcPr>
          <w:p w14:paraId="11EA6852" w14:textId="77777777" w:rsidR="008707F5" w:rsidRPr="005E779E" w:rsidRDefault="008707F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Полетный вес (кг)</w:t>
            </w:r>
          </w:p>
        </w:tc>
        <w:tc>
          <w:tcPr>
            <w:tcW w:w="1277" w:type="dxa"/>
            <w:tcBorders>
              <w:top w:val="nil"/>
              <w:left w:val="nil"/>
              <w:bottom w:val="nil"/>
              <w:right w:val="single" w:sz="4" w:space="0" w:color="auto"/>
            </w:tcBorders>
            <w:hideMark/>
          </w:tcPr>
          <w:p w14:paraId="68B0CA82" w14:textId="77777777" w:rsidR="008707F5" w:rsidRPr="005E779E" w:rsidRDefault="008707F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876</w:t>
            </w:r>
          </w:p>
        </w:tc>
      </w:tr>
      <w:tr w:rsidR="001002C3" w:rsidRPr="005E779E" w14:paraId="327E9B0B" w14:textId="77777777" w:rsidTr="00027DFA">
        <w:trPr>
          <w:trHeight w:hRule="exact" w:val="269"/>
          <w:jc w:val="center"/>
        </w:trPr>
        <w:tc>
          <w:tcPr>
            <w:tcW w:w="3806" w:type="dxa"/>
            <w:tcBorders>
              <w:top w:val="nil"/>
              <w:left w:val="single" w:sz="4" w:space="0" w:color="auto"/>
              <w:bottom w:val="single" w:sz="4" w:space="0" w:color="auto"/>
              <w:right w:val="nil"/>
            </w:tcBorders>
            <w:hideMark/>
          </w:tcPr>
          <w:p w14:paraId="333F979D" w14:textId="77777777" w:rsidR="008707F5" w:rsidRPr="005E779E" w:rsidRDefault="008707F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высота полета (м)</w:t>
            </w:r>
          </w:p>
        </w:tc>
        <w:tc>
          <w:tcPr>
            <w:tcW w:w="1277" w:type="dxa"/>
            <w:tcBorders>
              <w:top w:val="nil"/>
              <w:left w:val="nil"/>
              <w:bottom w:val="single" w:sz="4" w:space="0" w:color="auto"/>
              <w:right w:val="single" w:sz="4" w:space="0" w:color="auto"/>
            </w:tcBorders>
            <w:hideMark/>
          </w:tcPr>
          <w:p w14:paraId="29A82420" w14:textId="77777777" w:rsidR="008707F5" w:rsidRPr="005E779E" w:rsidRDefault="008707F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450</w:t>
            </w:r>
          </w:p>
        </w:tc>
      </w:tr>
    </w:tbl>
    <w:p w14:paraId="3E0ED069" w14:textId="77777777" w:rsidR="008707F5" w:rsidRPr="005E779E" w:rsidRDefault="008707F5"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демонстрации членам правительства испытания ав</w:t>
      </w:r>
      <w:r w:rsidRPr="005E779E">
        <w:rPr>
          <w:rFonts w:ascii="Times New Roman" w:hAnsi="Times New Roman"/>
          <w:color w:val="000000" w:themeColor="text1"/>
          <w:sz w:val="16"/>
          <w:szCs w:val="16"/>
        </w:rPr>
        <w:softHyphen/>
        <w:t>тожира продолжились (20361).</w:t>
      </w:r>
    </w:p>
    <w:p w14:paraId="595E16B2" w14:textId="77777777" w:rsidR="008707F5" w:rsidRPr="005E779E" w:rsidRDefault="008707F5" w:rsidP="000B7A6C">
      <w:pPr>
        <w:shd w:val="clear" w:color="auto" w:fill="FFFFFF"/>
        <w:spacing w:after="0" w:line="240" w:lineRule="auto"/>
        <w:jc w:val="both"/>
        <w:rPr>
          <w:rFonts w:ascii="Times New Roman" w:hAnsi="Times New Roman"/>
          <w:color w:val="000000" w:themeColor="text1"/>
          <w:sz w:val="16"/>
          <w:szCs w:val="16"/>
        </w:rPr>
      </w:pPr>
    </w:p>
    <w:p w14:paraId="3DB93C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 мая 1931 г. на Центральном аэродроме в Тушино автожир Камова и Скрижинского участвовал в показе новейшей авиационной техники руководству страны. Сталин, Ворошилов и Молотов обходили длинную шеренгу истребителей и бомбардировщиков, а замыкал «парад» необычный винтокрылый аппарат. Камов сам доложил Сталину о машине, и «лучший друг советских авиаторов» очень заинтересовался КАСКРом. Поддержал конструктора эффектным полетом и Кошиц. Сделав три круга над аэродромом, летчик красиво спланировал и посадил КАСКР-2 вблизи трибуны с членами правительства, совершив пробег на посадке всего в несколько метров. Позже Баранов рассказывал, что автожир очень понравился высокому руководству и, в первую очередь, Сталину (11860).</w:t>
      </w:r>
    </w:p>
    <w:p w14:paraId="06607C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EA32C49" w14:textId="77777777" w:rsidR="00974187" w:rsidRPr="005E779E" w:rsidRDefault="009741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21 мая</w:t>
      </w:r>
      <w:r w:rsidRPr="005E779E">
        <w:rPr>
          <w:rFonts w:ascii="Times New Roman" w:hAnsi="Times New Roman"/>
          <w:color w:val="000000" w:themeColor="text1"/>
          <w:sz w:val="16"/>
          <w:szCs w:val="16"/>
        </w:rPr>
        <w:t xml:space="preserve"> в 1931 году автожир </w:t>
      </w:r>
      <w:hyperlink r:id="rId106" w:tgtFrame="_blank" w:history="1">
        <w:r w:rsidRPr="005E779E">
          <w:rPr>
            <w:rFonts w:ascii="Times New Roman" w:hAnsi="Times New Roman"/>
            <w:color w:val="000000" w:themeColor="text1"/>
            <w:sz w:val="16"/>
            <w:szCs w:val="16"/>
          </w:rPr>
          <w:t xml:space="preserve">«КАСКР-II» </w:t>
        </w:r>
      </w:hyperlink>
      <w:r w:rsidRPr="005E779E">
        <w:rPr>
          <w:rFonts w:ascii="Times New Roman" w:hAnsi="Times New Roman"/>
          <w:color w:val="000000" w:themeColor="text1"/>
          <w:sz w:val="16"/>
          <w:szCs w:val="16"/>
        </w:rPr>
        <w:t>(«Красный инженер») был показан на смотре авиационной техники руководителям партии. Имел двигатель Гном-Рон «Титан» в 225 л.с. Было выполнено 90 испытательных полетов с наибольшей продолжительностью 28 мин (летчик Д.А.Кошиц).. В группе КАСКР проходил стажировку и студент Новочеркасского политехнического института М.Л.Миль (14898).</w:t>
      </w:r>
    </w:p>
    <w:p w14:paraId="14E6CBFB" w14:textId="77777777" w:rsidR="00974187" w:rsidRPr="005E779E" w:rsidRDefault="00974187" w:rsidP="000B7A6C">
      <w:pPr>
        <w:spacing w:after="0" w:line="240" w:lineRule="auto"/>
        <w:jc w:val="both"/>
        <w:rPr>
          <w:rFonts w:ascii="Times New Roman" w:hAnsi="Times New Roman"/>
          <w:color w:val="000000" w:themeColor="text1"/>
          <w:sz w:val="16"/>
          <w:szCs w:val="16"/>
        </w:rPr>
      </w:pPr>
    </w:p>
    <w:p w14:paraId="06C402AA" w14:textId="0A8FB138" w:rsidR="00E95682" w:rsidRPr="005E779E" w:rsidRDefault="00E95682" w:rsidP="000B7A6C">
      <w:pPr>
        <w:pStyle w:val="5b"/>
        <w:spacing w:line="240" w:lineRule="auto"/>
        <w:jc w:val="both"/>
        <w:rPr>
          <w:color w:val="000000" w:themeColor="text1"/>
          <w:sz w:val="16"/>
          <w:szCs w:val="16"/>
        </w:rPr>
      </w:pPr>
      <w:r w:rsidRPr="005E779E">
        <w:rPr>
          <w:color w:val="000000" w:themeColor="text1"/>
          <w:sz w:val="16"/>
          <w:szCs w:val="16"/>
          <w:lang w:bidi="ru-RU"/>
        </w:rPr>
        <w:t>20 мая 1931 года Эккенер и Гольцман, специально приехавший в Берлин, заключили предварительный договор, подлежавший ратификации правительствами Германии и СССР. Его условия несколько отличались от изложенных в письме Эккенера. За вознаграждение в общей сумме 5 млн марок «Люфтшиффбау Цеппелин» бралась решить две задачи:</w:t>
      </w:r>
    </w:p>
    <w:p w14:paraId="28A6F8EB" w14:textId="77777777" w:rsidR="00E95682" w:rsidRPr="005E779E" w:rsidRDefault="00E95682" w:rsidP="000B7A6C">
      <w:pPr>
        <w:pStyle w:val="5b"/>
        <w:spacing w:line="240" w:lineRule="auto"/>
        <w:jc w:val="both"/>
        <w:rPr>
          <w:color w:val="000000" w:themeColor="text1"/>
          <w:sz w:val="16"/>
          <w:szCs w:val="16"/>
        </w:rPr>
      </w:pPr>
      <w:r w:rsidRPr="005E779E">
        <w:rPr>
          <w:color w:val="000000" w:themeColor="text1"/>
          <w:sz w:val="16"/>
          <w:szCs w:val="16"/>
          <w:lang w:bidi="ru-RU"/>
        </w:rPr>
        <w:t>1) за 3,5 млн марок построить в Германии для СССР дирижабль объёмом около 30 тыс. кубометров и</w:t>
      </w:r>
    </w:p>
    <w:p w14:paraId="6386DC9D" w14:textId="77777777" w:rsidR="0099054C" w:rsidRPr="005E779E" w:rsidRDefault="00E95682" w:rsidP="000B7A6C">
      <w:pPr>
        <w:pStyle w:val="5b"/>
        <w:spacing w:line="240" w:lineRule="auto"/>
        <w:jc w:val="both"/>
        <w:rPr>
          <w:color w:val="000000" w:themeColor="text1"/>
          <w:sz w:val="16"/>
          <w:szCs w:val="16"/>
          <w:lang w:bidi="ru-RU"/>
        </w:rPr>
      </w:pPr>
      <w:r w:rsidRPr="005E779E">
        <w:rPr>
          <w:color w:val="000000" w:themeColor="text1"/>
          <w:sz w:val="16"/>
          <w:szCs w:val="16"/>
          <w:lang w:bidi="ru-RU"/>
        </w:rPr>
        <w:t>2) оказать советской стороне помощь в налаживании выпуска большого корабля в 150-200 тыс. кубометров за вознаграждение в размере 1,5 млн марок</w:t>
      </w:r>
      <w:r w:rsidR="0099054C" w:rsidRPr="005E779E">
        <w:rPr>
          <w:color w:val="000000" w:themeColor="text1"/>
          <w:sz w:val="16"/>
          <w:szCs w:val="16"/>
          <w:lang w:bidi="ru-RU"/>
        </w:rPr>
        <w:t>.</w:t>
      </w:r>
    </w:p>
    <w:p w14:paraId="47CA514B" w14:textId="77777777" w:rsidR="0099054C" w:rsidRPr="005E779E" w:rsidRDefault="0099054C" w:rsidP="000B7A6C">
      <w:pPr>
        <w:pStyle w:val="5b"/>
        <w:spacing w:line="240" w:lineRule="auto"/>
        <w:jc w:val="both"/>
        <w:rPr>
          <w:color w:val="000000" w:themeColor="text1"/>
          <w:sz w:val="16"/>
          <w:szCs w:val="16"/>
        </w:rPr>
      </w:pPr>
      <w:r w:rsidRPr="005E779E">
        <w:rPr>
          <w:color w:val="000000" w:themeColor="text1"/>
          <w:sz w:val="16"/>
          <w:szCs w:val="16"/>
          <w:lang w:bidi="ru-RU"/>
        </w:rPr>
        <w:t>Гольцман, вернувшись в Москву, представил проект договора с Эккенером в Политбюро, которое в начале июня передало его на предварительное рассмотрение Молотова, а ещё через месяц - в комиссию под его же председательством с участием Ворошилова, В. Куйбышева и Гольцмана, дав поручение при отсутствии разногласий утвердить договор от имени Политбюро.</w:t>
      </w:r>
    </w:p>
    <w:p w14:paraId="28A81BF3" w14:textId="78ADD6E7" w:rsidR="00E95682" w:rsidRPr="005E779E" w:rsidRDefault="0099054C" w:rsidP="000B7A6C">
      <w:pPr>
        <w:pStyle w:val="5b"/>
        <w:spacing w:line="240" w:lineRule="auto"/>
        <w:jc w:val="both"/>
        <w:rPr>
          <w:color w:val="000000" w:themeColor="text1"/>
          <w:sz w:val="16"/>
          <w:szCs w:val="16"/>
        </w:rPr>
      </w:pPr>
      <w:r w:rsidRPr="005E779E">
        <w:rPr>
          <w:color w:val="000000" w:themeColor="text1"/>
          <w:sz w:val="16"/>
          <w:szCs w:val="16"/>
          <w:lang w:bidi="ru-RU"/>
        </w:rPr>
        <w:t xml:space="preserve">Если только намерения Эккенера были действительно серьёзными, этот момент стал развилкой, на которой советское дирижаблестроение могло свернуть на «цеппелиновский» путь больших жёстких кораблей, и вся его история сложилась бы иначе </w:t>
      </w:r>
      <w:r w:rsidR="00E95682" w:rsidRPr="005E779E">
        <w:rPr>
          <w:color w:val="000000" w:themeColor="text1"/>
          <w:sz w:val="16"/>
          <w:szCs w:val="16"/>
          <w:lang w:bidi="ru-RU"/>
        </w:rPr>
        <w:t>(23192).</w:t>
      </w:r>
    </w:p>
    <w:p w14:paraId="6B751C1A" w14:textId="77777777" w:rsidR="00E95682" w:rsidRPr="005E779E" w:rsidRDefault="00E95682" w:rsidP="000B7A6C">
      <w:pPr>
        <w:autoSpaceDE w:val="0"/>
        <w:autoSpaceDN w:val="0"/>
        <w:adjustRightInd w:val="0"/>
        <w:spacing w:after="0" w:line="240" w:lineRule="auto"/>
        <w:jc w:val="both"/>
        <w:rPr>
          <w:rFonts w:ascii="Times New Roman" w:hAnsi="Times New Roman"/>
          <w:i/>
          <w:iCs/>
          <w:color w:val="000000" w:themeColor="text1"/>
          <w:sz w:val="16"/>
          <w:szCs w:val="16"/>
        </w:rPr>
      </w:pPr>
    </w:p>
    <w:p w14:paraId="752C1F64" w14:textId="78839842"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38BD3CE9"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ED67A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 мая 1931 вышел приказ ВСНХ СССР N 73 об обеспечении организации производства БТ на ХПЗ и создании (3879,6).</w:t>
      </w:r>
    </w:p>
    <w:p w14:paraId="152A5C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52AC2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 мая 1931 года вышел Приказ ВСНХ СССР № 37 об обеспечении организации производства танков БТ на ГХПЗ и создание специального конструкторского бюро БТ на базе конструкторского бюро Т2К. Дирекция завода до последней попытки отстаивала проект собственного танка Т-24. Директор ГХПЗ Бондаренко с целью дискредитации танка "Кристи" открыто назвал его "вредительским" (10278).</w:t>
      </w:r>
    </w:p>
    <w:p w14:paraId="246772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FAC80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 мая 1931 года вышел Приказа ВСНХ СССР № 37 об обеспечении организации производства танков БТ на ГХПЗ и создание специального конструкторского бюро БТ на базе конструкторского бюро Т2К. Правда дирекция завода до последней попытки отстаивала проект собственного танка Т-24. Директор ГХПЗ Бондаренко с целью дискредитации танка "Кристи" открыто назвал его "вредительским". Окончательное решение о свертывании производства маневренного танка Т-24 и организацию серийного производства танка БТ было закреплено в Протоколе № 6 Комиссии Обороны СССР от 23 мая 1931 года (10710).</w:t>
      </w:r>
    </w:p>
    <w:p w14:paraId="07BE77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0ECB741" w14:textId="77777777" w:rsidR="0034735B" w:rsidRPr="005E779E" w:rsidRDefault="0034735B"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21 Мая 1931 г. вышел приказ:</w:t>
      </w:r>
    </w:p>
    <w:p w14:paraId="043F0E09" w14:textId="77777777" w:rsidR="0034735B" w:rsidRPr="005E779E" w:rsidRDefault="0034735B"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ВЫПИСКА ИЗ ПРИКАЗА</w:t>
      </w:r>
    </w:p>
    <w:p w14:paraId="020A2572" w14:textId="77777777" w:rsidR="0034735B" w:rsidRPr="005E779E" w:rsidRDefault="0034735B"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По Высшему Совету Народного Хозяйства № 73 сс Москва, 21 Мая 31 г.</w:t>
      </w:r>
    </w:p>
    <w:p w14:paraId="5A4B4667" w14:textId="77777777" w:rsidR="0034735B" w:rsidRPr="005E779E" w:rsidRDefault="0034735B"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В целях обеспечения организации на Харьковском Паровозостроительном Заводе производства танков Б-Т (танка Кристи) и выполнения программы строительства таковых в 1931 г. НАДЛЕЖИТ: </w:t>
      </w:r>
    </w:p>
    <w:p w14:paraId="14D8BBE8" w14:textId="77777777" w:rsidR="0034735B" w:rsidRPr="005E779E" w:rsidRDefault="0034735B"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1. ПАРВАГДИЗу немедленно организовать на ХПЗ Конструкторское Бюро в составе: а) 11 инженеров и 4 чертежников-конструкторов от Главного Конструкторского Бюро ОРПО, б) 15 инженеров и конструкторов от НАТИ ВАТО, в) от Ижорского завода ВОМТа 2 конструкторов тт. Кульмина и Мицкевича, г) от УММ РККА тт. Тоскина и Рожкова, д) от ХПЗ – танко-конструкторское бюро в полном составе; кроме того с 10 Июня директор ХПЗ обеспечивает Бюро 30-ю копировщиками. </w:t>
      </w:r>
    </w:p>
    <w:p w14:paraId="59AD7FA2" w14:textId="77777777" w:rsidR="0034735B" w:rsidRPr="005E779E" w:rsidRDefault="0034735B"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Руководство организацией этого конструкторского бюро и налаживание конструкторских работ возложить на Н-ка Гл. Конструкторского Бюро ОРПО т. Гинзбурга, который командируется для этой цели на ХПЗ на 10 дней с последующими поездками для руководства. Заместителем т. Гинсбурга назначается Председатель танковой Техкома УММ РККА т. Тоскин. </w:t>
      </w:r>
    </w:p>
    <w:p w14:paraId="70064736" w14:textId="77777777" w:rsidR="0034735B" w:rsidRPr="005E779E" w:rsidRDefault="0034735B"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ОРПО, ВАТО и ВОМТу принять меры к немедленному командированию на ХПЗ перечисленных работников. </w:t>
      </w:r>
    </w:p>
    <w:p w14:paraId="3BE6C8E5" w14:textId="77777777" w:rsidR="0034735B" w:rsidRPr="005E779E" w:rsidRDefault="0034735B"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2. Конструкторское Бюро ХПЗ в указанном составе изготовляет рабочие чертежи и спецификации танка Б-Т в 1½ месячный срок (к 15 Июля с.г.). </w:t>
      </w:r>
    </w:p>
    <w:p w14:paraId="1FB5D0C9" w14:textId="77777777" w:rsidR="0034735B" w:rsidRPr="005E779E" w:rsidRDefault="0034735B"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3. Для разработки технологического процесса производства танков Б-Т директор ХПЗ организует Техническое Бюро; в помощь работникам завода выделяется: от Укргипромаша 5 высококвалифицированных инженеров. Проектирование технологического процесса, приспособлений, инструмента, штампов и пр. должно быть закончено не позднее 15-го Августа с.г. </w:t>
      </w:r>
    </w:p>
    <w:p w14:paraId="1D176F76" w14:textId="77777777" w:rsidR="0034735B" w:rsidRPr="005E779E" w:rsidRDefault="0034735B"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п.п. Зам. Пред. ВСНХ СССР – Павлуновский</w:t>
      </w:r>
    </w:p>
    <w:p w14:paraId="271BBD70" w14:textId="77777777" w:rsidR="0034735B" w:rsidRPr="005E779E" w:rsidRDefault="0034735B"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Верно: Пом. секретаря СШО ВСНХ СССР – Сидорова</w:t>
      </w:r>
    </w:p>
    <w:p w14:paraId="6E3F34AC" w14:textId="77777777" w:rsidR="0034735B" w:rsidRPr="005E779E" w:rsidRDefault="0034735B"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Выписка отпечатана в 3 экз. </w:t>
      </w:r>
    </w:p>
    <w:p w14:paraId="09D4932A" w14:textId="77777777" w:rsidR="0034735B" w:rsidRPr="005E779E" w:rsidRDefault="0034735B"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"22" Мая 1931 г. </w:t>
      </w:r>
    </w:p>
    <w:p w14:paraId="3B1E5C4B" w14:textId="77777777" w:rsidR="0034735B" w:rsidRPr="005E779E" w:rsidRDefault="0034735B"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Выписка верна: Управделами НТК УММ РККА подпись</w:t>
      </w:r>
    </w:p>
    <w:p w14:paraId="16C77F44" w14:textId="77777777" w:rsidR="0034735B" w:rsidRPr="005E779E" w:rsidRDefault="0034735B"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bCs/>
          <w:iCs/>
          <w:color w:val="000000" w:themeColor="text1"/>
          <w:sz w:val="16"/>
          <w:szCs w:val="16"/>
          <w:lang w:eastAsia="ru-RU"/>
        </w:rPr>
        <w:t>РГВА Фонд 31811 Опись 3 Дело 88 лист 1</w:t>
      </w:r>
      <w:r w:rsidRPr="005E779E">
        <w:rPr>
          <w:rFonts w:ascii="Times New Roman" w:eastAsia="Times New Roman" w:hAnsi="Times New Roman"/>
          <w:color w:val="000000" w:themeColor="text1"/>
          <w:sz w:val="16"/>
          <w:szCs w:val="16"/>
          <w:lang w:eastAsia="ru-RU"/>
        </w:rPr>
        <w:t xml:space="preserve"> (17508).</w:t>
      </w:r>
    </w:p>
    <w:p w14:paraId="7E6A1B42" w14:textId="77777777" w:rsidR="0034735B" w:rsidRPr="005E779E" w:rsidRDefault="0034735B" w:rsidP="000B7A6C">
      <w:pPr>
        <w:spacing w:after="0" w:line="240" w:lineRule="auto"/>
        <w:jc w:val="both"/>
        <w:rPr>
          <w:rFonts w:ascii="Times New Roman" w:eastAsia="Times New Roman" w:hAnsi="Times New Roman"/>
          <w:color w:val="000000" w:themeColor="text1"/>
          <w:sz w:val="16"/>
          <w:szCs w:val="16"/>
          <w:lang w:eastAsia="ru-RU"/>
        </w:rPr>
      </w:pPr>
    </w:p>
    <w:p w14:paraId="47A49EB9" w14:textId="77777777" w:rsidR="0034735B" w:rsidRPr="005E779E" w:rsidRDefault="0034735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 Мая 1931 г.</w:t>
      </w:r>
    </w:p>
    <w:p w14:paraId="116A00D7" w14:textId="77777777" w:rsidR="0034735B" w:rsidRPr="005E779E" w:rsidRDefault="0034735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Копия. </w:t>
      </w:r>
    </w:p>
    <w:p w14:paraId="2AAF0595" w14:textId="77777777" w:rsidR="0034735B" w:rsidRPr="005E779E" w:rsidRDefault="0034735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Сов. Секретно </w:t>
      </w:r>
    </w:p>
    <w:p w14:paraId="1775F7ED" w14:textId="77777777" w:rsidR="0034735B" w:rsidRPr="005E779E" w:rsidRDefault="0034735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Экз. № 3 </w:t>
      </w:r>
    </w:p>
    <w:p w14:paraId="23B50DED" w14:textId="77777777" w:rsidR="0034735B" w:rsidRPr="005E779E" w:rsidRDefault="0034735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ВЫПИСКА ИЗ ПРИКАЗА</w:t>
      </w:r>
    </w:p>
    <w:p w14:paraId="73E3F3DE" w14:textId="77777777" w:rsidR="0034735B" w:rsidRPr="005E779E" w:rsidRDefault="0034735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Высшему Совету Народного Хозяйства № 73 сс Москва, 21 Мая 31 г.</w:t>
      </w:r>
    </w:p>
    <w:p w14:paraId="0B0F8363" w14:textId="77777777" w:rsidR="0034735B" w:rsidRPr="005E779E" w:rsidRDefault="0034735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целях обеспечения организации на Харьковском Паровозостроительном Заводе производства танков Б-Т (танка Кристи) и выполнения программы строительства таковых в 1931 г. НАДЛЕЖИТ: </w:t>
      </w:r>
    </w:p>
    <w:p w14:paraId="6D302AA1" w14:textId="77777777" w:rsidR="0034735B" w:rsidRPr="005E779E" w:rsidRDefault="0034735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 xml:space="preserve">1. ПАРВАГДИЗу немедленно организовать на ХПЗ Конструкторское Бюро в составе: а) 11 инженеров и 4 чертежников-конструкторов от Главного Конструкторского Бюро ОРПО, б) 15 инженеров и конструкторов от НАТИ ВАТО, в) от Ижорского завода ВОМТа 2 конструкторов тт. Кульмина и Мицкевича, г) от УММ РККА тт. Тоскина и Рожкова, д) от ХПЗ – танко-конструкторское бюро в полном составе; кроме того с 10 Июня директор ХПЗ обеспечивает Бюро 30-ю копировщиками. </w:t>
      </w:r>
    </w:p>
    <w:p w14:paraId="6BE04F22" w14:textId="77777777" w:rsidR="0034735B" w:rsidRPr="005E779E" w:rsidRDefault="0034735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Руководство организацией этого конструкторского бюро и налаживание конструкторских работ возложить на Н-ка Гл. Конструкторского Бюро ОРПО т. Гинзбурга, который командируется для этой цели на ХПЗ на 10 дней с последующими поездками для руководства. Заместителем т. Гинсбурга назначается Председатель танковой Техкома УММ РККА т. Тоскин. </w:t>
      </w:r>
    </w:p>
    <w:p w14:paraId="1748B3E1" w14:textId="77777777" w:rsidR="0034735B" w:rsidRPr="005E779E" w:rsidRDefault="0034735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ОРПО, ВАТО и ВОМТу принять меры к немедленному командированию на ХПЗ перечисленных работников. </w:t>
      </w:r>
    </w:p>
    <w:p w14:paraId="5B298133" w14:textId="77777777" w:rsidR="0034735B" w:rsidRPr="005E779E" w:rsidRDefault="0034735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 Конструкторское Бюро ХПЗ в указанном составе изготовляет рабочие чертежи и спецификации танка Б-Т в 1½ месячный срок (к 15 Июля с.г.). </w:t>
      </w:r>
    </w:p>
    <w:p w14:paraId="624E5FC9" w14:textId="77777777" w:rsidR="0034735B" w:rsidRPr="005E779E" w:rsidRDefault="0034735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 Для разработки технологического процесса производства танков Б-Т директор ХПЗ организует Техническое Бюро; в помощь работникам завода выделяется: от Укргипромаша 5 высококвалифицированных инженеров. Проектирование технологического процесса, приспособлений, инструмента, штампов и пр. должно быть закончено не позднее 15-го Августа с.г. </w:t>
      </w:r>
    </w:p>
    <w:p w14:paraId="73BD8F30" w14:textId="77777777" w:rsidR="0034735B" w:rsidRPr="005E779E" w:rsidRDefault="0034735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п.п. Зам. Пред. ВСНХ СССР – Павлуновский</w:t>
      </w:r>
    </w:p>
    <w:p w14:paraId="4A2B173A" w14:textId="77777777" w:rsidR="0034735B" w:rsidRPr="005E779E" w:rsidRDefault="0034735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Верно: Пом. секретаря СШО ВСНХ СССР – Сидорова</w:t>
      </w:r>
    </w:p>
    <w:p w14:paraId="7226F066" w14:textId="77777777" w:rsidR="0034735B" w:rsidRPr="005E779E" w:rsidRDefault="0034735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Выписка отпечатана в 3 экз. </w:t>
      </w:r>
    </w:p>
    <w:p w14:paraId="5AE15B36" w14:textId="77777777" w:rsidR="0034735B" w:rsidRPr="005E779E" w:rsidRDefault="0034735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"22" Мая 1931 г. </w:t>
      </w:r>
    </w:p>
    <w:p w14:paraId="1274FEA9" w14:textId="77777777" w:rsidR="0034735B" w:rsidRPr="005E779E" w:rsidRDefault="0034735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Выписка верна: Управделами НТК УММ РККА подпись</w:t>
      </w:r>
    </w:p>
    <w:p w14:paraId="2D5A5D48" w14:textId="77777777" w:rsidR="0034735B" w:rsidRPr="005E779E" w:rsidRDefault="0034735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РГВА Фонд 31811 Опись 3 Дело 88 лист 1 (17931).</w:t>
      </w:r>
    </w:p>
    <w:p w14:paraId="7EB95C5C" w14:textId="77777777" w:rsidR="0034735B" w:rsidRPr="005E779E" w:rsidRDefault="0034735B" w:rsidP="000B7A6C">
      <w:pPr>
        <w:spacing w:after="0" w:line="240" w:lineRule="auto"/>
        <w:jc w:val="both"/>
        <w:rPr>
          <w:rFonts w:ascii="Times New Roman" w:hAnsi="Times New Roman"/>
          <w:color w:val="000000" w:themeColor="text1"/>
          <w:sz w:val="16"/>
          <w:szCs w:val="16"/>
        </w:rPr>
      </w:pPr>
    </w:p>
    <w:p w14:paraId="39C7D7AB" w14:textId="77777777" w:rsidR="00AD40B7" w:rsidRPr="00142305" w:rsidRDefault="00AD40B7" w:rsidP="00AD40B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21 мая 1931 года заместитель председа</w:t>
      </w:r>
      <w:r w:rsidRPr="00142305">
        <w:rPr>
          <w:rFonts w:ascii="Times New Roman" w:hAnsi="Times New Roman"/>
          <w:color w:val="0070C0"/>
          <w:sz w:val="16"/>
          <w:szCs w:val="16"/>
        </w:rPr>
        <w:softHyphen/>
        <w:t>теля Высшего совета народного хозяйст</w:t>
      </w:r>
      <w:r w:rsidRPr="00142305">
        <w:rPr>
          <w:rFonts w:ascii="Times New Roman" w:hAnsi="Times New Roman"/>
          <w:color w:val="0070C0"/>
          <w:sz w:val="16"/>
          <w:szCs w:val="16"/>
        </w:rPr>
        <w:softHyphen/>
        <w:t>ва СССР (ВСНХ) Павлуновский подпи</w:t>
      </w:r>
      <w:r w:rsidRPr="00142305">
        <w:rPr>
          <w:rFonts w:ascii="Times New Roman" w:hAnsi="Times New Roman"/>
          <w:color w:val="0070C0"/>
          <w:sz w:val="16"/>
          <w:szCs w:val="16"/>
        </w:rPr>
        <w:softHyphen/>
        <w:t>сал приказ № 73, в котором говорилось:</w:t>
      </w:r>
    </w:p>
    <w:p w14:paraId="42A995C9" w14:textId="77777777" w:rsidR="00AD40B7" w:rsidRPr="00142305" w:rsidRDefault="00AD40B7" w:rsidP="00AD40B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целях обеспечения организации на ХПЗ производства танков БТ (Кристи) и выполнения программы строительства таковых на 1931 год надлежит:</w:t>
      </w:r>
    </w:p>
    <w:p w14:paraId="7EE4119D" w14:textId="77777777" w:rsidR="00AD40B7" w:rsidRPr="00142305" w:rsidRDefault="00AD40B7" w:rsidP="00AD40B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Парвагдизу немедленно организо</w:t>
      </w:r>
      <w:r w:rsidRPr="00142305">
        <w:rPr>
          <w:rFonts w:ascii="Times New Roman" w:hAnsi="Times New Roman"/>
          <w:color w:val="0070C0"/>
          <w:sz w:val="16"/>
          <w:szCs w:val="16"/>
        </w:rPr>
        <w:softHyphen/>
        <w:t>вать на ХПЗ конструкторское бюро в со</w:t>
      </w:r>
      <w:r w:rsidRPr="00142305">
        <w:rPr>
          <w:rFonts w:ascii="Times New Roman" w:hAnsi="Times New Roman"/>
          <w:color w:val="0070C0"/>
          <w:sz w:val="16"/>
          <w:szCs w:val="16"/>
        </w:rPr>
        <w:softHyphen/>
        <w:t>ставе:</w:t>
      </w:r>
    </w:p>
    <w:p w14:paraId="0E84ACD3" w14:textId="77777777" w:rsidR="00AD40B7" w:rsidRPr="00142305" w:rsidRDefault="00AD40B7" w:rsidP="00AD40B7">
      <w:pPr>
        <w:tabs>
          <w:tab w:val="left" w:pos="462"/>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а). 11 инженеров и 4 чертежника-кон</w:t>
      </w:r>
      <w:r w:rsidRPr="00142305">
        <w:rPr>
          <w:rFonts w:ascii="Times New Roman" w:hAnsi="Times New Roman"/>
          <w:color w:val="0070C0"/>
          <w:sz w:val="16"/>
          <w:szCs w:val="16"/>
        </w:rPr>
        <w:softHyphen/>
        <w:t>структора от главного конструкторского бюро ОРПО;</w:t>
      </w:r>
    </w:p>
    <w:p w14:paraId="12E6C6A3" w14:textId="77777777" w:rsidR="00AD40B7" w:rsidRPr="00142305" w:rsidRDefault="00AD40B7" w:rsidP="00AD40B7">
      <w:pPr>
        <w:tabs>
          <w:tab w:val="left" w:pos="486"/>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б). От Ижорского завода ВОМТа — двух конструкторов тт. Кузьмина и Миц</w:t>
      </w:r>
      <w:r w:rsidRPr="00142305">
        <w:rPr>
          <w:rFonts w:ascii="Times New Roman" w:hAnsi="Times New Roman"/>
          <w:color w:val="0070C0"/>
          <w:sz w:val="16"/>
          <w:szCs w:val="16"/>
        </w:rPr>
        <w:softHyphen/>
        <w:t>кевича;</w:t>
      </w:r>
    </w:p>
    <w:p w14:paraId="3A5F2698" w14:textId="77777777" w:rsidR="00AD40B7" w:rsidRPr="00142305" w:rsidRDefault="00AD40B7" w:rsidP="00AD40B7">
      <w:pPr>
        <w:tabs>
          <w:tab w:val="left" w:pos="466"/>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15 инженеров и конструкторов от НАТИ ВОАО;</w:t>
      </w:r>
    </w:p>
    <w:p w14:paraId="6F5864B7" w14:textId="77777777" w:rsidR="00AD40B7" w:rsidRPr="00142305" w:rsidRDefault="00AD40B7" w:rsidP="00AD40B7">
      <w:pPr>
        <w:tabs>
          <w:tab w:val="left" w:pos="471"/>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г). От УММ РККА — тт. Тоскина и Рожкова;</w:t>
      </w:r>
    </w:p>
    <w:p w14:paraId="2D1CB5F8" w14:textId="77777777" w:rsidR="00AD40B7" w:rsidRPr="00142305" w:rsidRDefault="00AD40B7" w:rsidP="00AD40B7">
      <w:pPr>
        <w:tabs>
          <w:tab w:val="left" w:pos="476"/>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 От ХПЗ — танко-конструкторское бюро в полном составе, кроме того, ди</w:t>
      </w:r>
      <w:r w:rsidRPr="00142305">
        <w:rPr>
          <w:rFonts w:ascii="Times New Roman" w:hAnsi="Times New Roman"/>
          <w:color w:val="0070C0"/>
          <w:sz w:val="16"/>
          <w:szCs w:val="16"/>
        </w:rPr>
        <w:softHyphen/>
        <w:t>ректор ХПЗ обеспечивает бюро 30 копи</w:t>
      </w:r>
      <w:r w:rsidRPr="00142305">
        <w:rPr>
          <w:rFonts w:ascii="Times New Roman" w:hAnsi="Times New Roman"/>
          <w:color w:val="0070C0"/>
          <w:sz w:val="16"/>
          <w:szCs w:val="16"/>
        </w:rPr>
        <w:softHyphen/>
        <w:t>ровщиками.</w:t>
      </w:r>
    </w:p>
    <w:p w14:paraId="417DBDBD" w14:textId="77777777" w:rsidR="00AD40B7" w:rsidRPr="00142305" w:rsidRDefault="00AD40B7" w:rsidP="00AD40B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Руководство организацией этого КБ и налаживание конструкторских работ возложить на Начальника Главного кон</w:t>
      </w:r>
      <w:r w:rsidRPr="00142305">
        <w:rPr>
          <w:rFonts w:ascii="Times New Roman" w:hAnsi="Times New Roman"/>
          <w:color w:val="0070C0"/>
          <w:sz w:val="16"/>
          <w:szCs w:val="16"/>
        </w:rPr>
        <w:softHyphen/>
        <w:t>структорского бюро ОРПО т. Гинзбурга, который командируется для этой цели на ХПЗ на 10 дней с последующими по</w:t>
      </w:r>
      <w:r w:rsidRPr="00142305">
        <w:rPr>
          <w:rFonts w:ascii="Times New Roman" w:hAnsi="Times New Roman"/>
          <w:color w:val="0070C0"/>
          <w:sz w:val="16"/>
          <w:szCs w:val="16"/>
        </w:rPr>
        <w:softHyphen/>
        <w:t>ездками для руководства. Заместителем Гинзбурга назначается председатель тан</w:t>
      </w:r>
      <w:r w:rsidRPr="00142305">
        <w:rPr>
          <w:rFonts w:ascii="Times New Roman" w:hAnsi="Times New Roman"/>
          <w:color w:val="0070C0"/>
          <w:sz w:val="16"/>
          <w:szCs w:val="16"/>
        </w:rPr>
        <w:softHyphen/>
        <w:t>ковой секции технического комитета УММ РККА т. Тоскин. ОРПО, ВАТО и ВОМТу принять меры к немедленному командированию на ХПЗ перечислен</w:t>
      </w:r>
      <w:r w:rsidRPr="00142305">
        <w:rPr>
          <w:rFonts w:ascii="Times New Roman" w:hAnsi="Times New Roman"/>
          <w:color w:val="0070C0"/>
          <w:sz w:val="16"/>
          <w:szCs w:val="16"/>
        </w:rPr>
        <w:softHyphen/>
        <w:t>ных работников.</w:t>
      </w:r>
    </w:p>
    <w:p w14:paraId="0FE4E2EA" w14:textId="77777777" w:rsidR="00AD40B7" w:rsidRPr="00142305" w:rsidRDefault="00AD40B7" w:rsidP="00AD40B7">
      <w:pPr>
        <w:widowControl w:val="0"/>
        <w:tabs>
          <w:tab w:val="left" w:pos="447"/>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КБ ХПЗ в указанном составе изго</w:t>
      </w:r>
      <w:r w:rsidRPr="00142305">
        <w:rPr>
          <w:rFonts w:ascii="Times New Roman" w:hAnsi="Times New Roman"/>
          <w:color w:val="0070C0"/>
          <w:sz w:val="16"/>
          <w:szCs w:val="16"/>
        </w:rPr>
        <w:softHyphen/>
        <w:t>товляет рабочие чертежи и специфика</w:t>
      </w:r>
      <w:r w:rsidRPr="00142305">
        <w:rPr>
          <w:rFonts w:ascii="Times New Roman" w:hAnsi="Times New Roman"/>
          <w:color w:val="0070C0"/>
          <w:sz w:val="16"/>
          <w:szCs w:val="16"/>
        </w:rPr>
        <w:softHyphen/>
        <w:t>ции танка БТ в 1,5 месячный срок (к 15.07.1931 г.).</w:t>
      </w:r>
    </w:p>
    <w:p w14:paraId="5AE1EA05" w14:textId="77777777" w:rsidR="00AD40B7" w:rsidRPr="00142305" w:rsidRDefault="00AD40B7" w:rsidP="00AD40B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Для разработки техпроцесса произ</w:t>
      </w:r>
      <w:r w:rsidRPr="00142305">
        <w:rPr>
          <w:rFonts w:ascii="Times New Roman" w:hAnsi="Times New Roman"/>
          <w:color w:val="0070C0"/>
          <w:sz w:val="16"/>
          <w:szCs w:val="16"/>
        </w:rPr>
        <w:softHyphen/>
        <w:t>водства БТ директор ХПЗ организует Тех</w:t>
      </w:r>
      <w:r w:rsidRPr="00142305">
        <w:rPr>
          <w:rFonts w:ascii="Times New Roman" w:hAnsi="Times New Roman"/>
          <w:color w:val="0070C0"/>
          <w:sz w:val="16"/>
          <w:szCs w:val="16"/>
        </w:rPr>
        <w:softHyphen/>
        <w:t>ническое бюро, в помощь которому от Укргипромаша выделяется 5 высококва</w:t>
      </w:r>
      <w:r w:rsidRPr="00142305">
        <w:rPr>
          <w:rFonts w:ascii="Times New Roman" w:hAnsi="Times New Roman"/>
          <w:color w:val="0070C0"/>
          <w:sz w:val="16"/>
          <w:szCs w:val="16"/>
        </w:rPr>
        <w:softHyphen/>
        <w:t>лифицированных специалистов. Проек</w:t>
      </w:r>
      <w:r w:rsidRPr="00142305">
        <w:rPr>
          <w:rFonts w:ascii="Times New Roman" w:hAnsi="Times New Roman"/>
          <w:color w:val="0070C0"/>
          <w:sz w:val="16"/>
          <w:szCs w:val="16"/>
        </w:rPr>
        <w:softHyphen/>
        <w:t>тирование техпроцесса, приспособлений, инструментов и штампов должно быть закончено к 5.08.1931 г.» (25009).</w:t>
      </w:r>
    </w:p>
    <w:p w14:paraId="27DBB8CE" w14:textId="77777777" w:rsidR="00AD40B7" w:rsidRPr="00142305" w:rsidRDefault="00AD40B7" w:rsidP="00AD40B7">
      <w:pPr>
        <w:spacing w:after="0" w:line="240" w:lineRule="auto"/>
        <w:jc w:val="both"/>
        <w:rPr>
          <w:rFonts w:ascii="Times New Roman" w:hAnsi="Times New Roman"/>
          <w:color w:val="0070C0"/>
          <w:sz w:val="16"/>
          <w:szCs w:val="16"/>
        </w:rPr>
      </w:pPr>
    </w:p>
    <w:p w14:paraId="334D7B65" w14:textId="77777777" w:rsidR="00AD40B7" w:rsidRPr="00142305" w:rsidRDefault="00AD40B7" w:rsidP="00AD40B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21 мая 1931 г. состоялось совещание по вопросу обеспечения Механизированной бригады инженерными средствами, средствами связи и химическими средствами. На совещании от УММ присутствовали Бокис и Мизонов, от ВТУ — Чистяков и от ВОХИМУ — Жигур. В итоге было принято постановление об укомплектовании бригады техникой, в том числе рекомендовалось:</w:t>
      </w:r>
    </w:p>
    <w:p w14:paraId="3E83B340" w14:textId="77777777" w:rsidR="00AD40B7" w:rsidRPr="00142305" w:rsidRDefault="00AD40B7" w:rsidP="00AD40B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От Вохиму выделить</w:t>
      </w:r>
    </w:p>
    <w:p w14:paraId="5D8064C2" w14:textId="77777777" w:rsidR="00AD40B7" w:rsidRPr="00142305" w:rsidRDefault="00AD40B7" w:rsidP="00AD40B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Химические авто-машины — 4.</w:t>
      </w:r>
    </w:p>
    <w:p w14:paraId="21A63D65" w14:textId="77777777" w:rsidR="00AD40B7" w:rsidRPr="00142305" w:rsidRDefault="00AD40B7" w:rsidP="00AD40B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 Танковые дымприборы — 30.</w:t>
      </w:r>
    </w:p>
    <w:p w14:paraId="018E1A25" w14:textId="77777777" w:rsidR="00AD40B7" w:rsidRPr="00142305" w:rsidRDefault="00AD40B7" w:rsidP="00AD40B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 Огнеметы ранцевые — по потребности.</w:t>
      </w:r>
    </w:p>
    <w:p w14:paraId="438DB7BC" w14:textId="77777777" w:rsidR="00AD40B7" w:rsidRPr="00142305" w:rsidRDefault="00AD40B7" w:rsidP="00AD40B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4. Накидки защитные против поливания ОВ с воздуха, индивидуальные — 30.</w:t>
      </w:r>
    </w:p>
    <w:p w14:paraId="2ECE8D47" w14:textId="77777777" w:rsidR="00AD40B7" w:rsidRPr="00142305" w:rsidRDefault="00AD40B7" w:rsidP="00AD40B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5. Накидки защитные против поливания ОВ с воздуха, групповые — 30.</w:t>
      </w:r>
    </w:p>
    <w:p w14:paraId="450EA3E6" w14:textId="77777777" w:rsidR="00AD40B7" w:rsidRPr="00142305" w:rsidRDefault="00AD40B7" w:rsidP="00AD40B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Для приспособлений огнеметов к танкеткам выделить от УММ из Майской продукции 1 танкетку на Московский Химический полигон».</w:t>
      </w:r>
    </w:p>
    <w:p w14:paraId="5DB296DA" w14:textId="77777777" w:rsidR="00AD40B7" w:rsidRPr="00142305" w:rsidRDefault="00AD40B7" w:rsidP="00AD40B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Оборудование танкетки Т-27 огнеметами поручалось конструкторскому бюро склада №136. При этом председатели НТК ВОХИМУ и 4-й секции подчеркивали, что «…необходимо это дело поручить т. Кратирову которому срочно представить свои соображения и эскизы, а также ориентировочные требования для такого вида вооружения танкеток. Консультацию по этим вопросам тов. Кратиров должен получить в 4 секции НТК Вохиму и в НТК УММ».</w:t>
      </w:r>
    </w:p>
    <w:p w14:paraId="27522368" w14:textId="77777777" w:rsidR="00AD40B7" w:rsidRPr="00142305" w:rsidRDefault="00AD40B7" w:rsidP="00AD40B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Т-27 для переоборудования в так называемую «химизированную» следовало подать на склад №136 20-25 июня 1931 г. В отличие от первоначального предложения автора проекта, машина должна была не только осуществлять огнеметание, но и обеспечивать постановку дымовых завес, а также решать другие задачи химической обороны.</w:t>
      </w:r>
    </w:p>
    <w:p w14:paraId="15250A13" w14:textId="5E354E17" w:rsidR="00AD40B7" w:rsidRPr="00142305" w:rsidRDefault="00AD40B7" w:rsidP="00AD40B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Поступившая Т-27 оказалась далеко не новой, поэтому на ней пришлось заменить катки. Предварительные испытания химизированной танкетки прошли в районе станции Очаково, после чего ее передали для официальных испытаний на ЦВХП</w:t>
      </w:r>
      <w:r w:rsidR="00FE094E">
        <w:rPr>
          <w:rFonts w:ascii="Times New Roman" w:hAnsi="Times New Roman"/>
          <w:color w:val="0070C0"/>
          <w:sz w:val="16"/>
          <w:szCs w:val="16"/>
        </w:rPr>
        <w:t xml:space="preserve"> </w:t>
      </w:r>
      <w:r w:rsidRPr="00142305">
        <w:rPr>
          <w:rFonts w:ascii="Times New Roman" w:hAnsi="Times New Roman"/>
          <w:color w:val="0070C0"/>
          <w:sz w:val="16"/>
          <w:szCs w:val="16"/>
        </w:rPr>
        <w:t>(25556).</w:t>
      </w:r>
    </w:p>
    <w:p w14:paraId="490044B5" w14:textId="77777777" w:rsidR="00AD40B7" w:rsidRPr="00142305" w:rsidRDefault="00AD40B7" w:rsidP="00AD40B7">
      <w:pPr>
        <w:spacing w:after="0" w:line="240" w:lineRule="auto"/>
        <w:jc w:val="both"/>
        <w:rPr>
          <w:rFonts w:ascii="Times New Roman" w:hAnsi="Times New Roman"/>
          <w:color w:val="0070C0"/>
          <w:sz w:val="16"/>
          <w:szCs w:val="16"/>
        </w:rPr>
      </w:pPr>
    </w:p>
    <w:p w14:paraId="28192105" w14:textId="77777777" w:rsidR="00756F6A" w:rsidRPr="005E779E" w:rsidRDefault="00756F6A"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21 мая 1931 г.</w:t>
      </w:r>
    </w:p>
    <w:p w14:paraId="6714905C" w14:textId="77777777" w:rsidR="00756F6A" w:rsidRPr="005E779E" w:rsidRDefault="00756F6A"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О формировании рабочей группы по разработке и постройке котла «безбарабанного типа». 21 мая 1931 г.</w:t>
      </w:r>
    </w:p>
    <w:p w14:paraId="1AF30792" w14:textId="77777777" w:rsidR="00756F6A" w:rsidRPr="005E779E" w:rsidRDefault="00756F6A"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Источник: </w:t>
      </w:r>
    </w:p>
    <w:p w14:paraId="78761FF6" w14:textId="77777777" w:rsidR="00756F6A" w:rsidRPr="005E779E" w:rsidRDefault="00756F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6B51BD9" w14:textId="77777777" w:rsidR="00756F6A" w:rsidRPr="005E779E" w:rsidRDefault="00756F6A"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Архив: </w:t>
      </w:r>
    </w:p>
    <w:p w14:paraId="4CFA3ADC" w14:textId="77777777" w:rsidR="00756F6A" w:rsidRPr="005E779E" w:rsidRDefault="00756F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РГАЭ. Ф. 38. Oп. 1. Д. 2. Л. 12</w:t>
      </w:r>
    </w:p>
    <w:p w14:paraId="36B0DA65" w14:textId="77777777" w:rsidR="00756F6A" w:rsidRPr="005E779E" w:rsidRDefault="00756F6A" w:rsidP="000B7A6C">
      <w:pPr>
        <w:pStyle w:val="rteright"/>
        <w:spacing w:before="0" w:after="0"/>
        <w:jc w:val="both"/>
        <w:rPr>
          <w:color w:val="000000" w:themeColor="text1"/>
          <w:sz w:val="16"/>
          <w:szCs w:val="16"/>
        </w:rPr>
      </w:pPr>
      <w:r w:rsidRPr="005E779E">
        <w:rPr>
          <w:color w:val="000000" w:themeColor="text1"/>
          <w:sz w:val="16"/>
          <w:szCs w:val="16"/>
        </w:rPr>
        <w:t>Не позднее 21 мая 1931 г.</w:t>
      </w:r>
    </w:p>
    <w:p w14:paraId="39B731AE" w14:textId="77777777" w:rsidR="00756F6A" w:rsidRPr="005E779E" w:rsidRDefault="00756F6A" w:rsidP="000B7A6C">
      <w:pPr>
        <w:pStyle w:val="ae"/>
        <w:spacing w:before="0" w:after="0"/>
        <w:jc w:val="both"/>
        <w:rPr>
          <w:color w:val="000000" w:themeColor="text1"/>
          <w:sz w:val="16"/>
          <w:szCs w:val="16"/>
        </w:rPr>
      </w:pPr>
      <w:r w:rsidRPr="005E779E">
        <w:rPr>
          <w:color w:val="000000" w:themeColor="text1"/>
          <w:sz w:val="16"/>
          <w:szCs w:val="16"/>
        </w:rPr>
        <w:t>НАЧАЛЬНИКУ ЭКУ ОГПУ тов. ПРОКОФЬЕВУ</w:t>
      </w:r>
    </w:p>
    <w:p w14:paraId="43F9A3A6" w14:textId="77777777" w:rsidR="00756F6A" w:rsidRPr="005E779E" w:rsidRDefault="00756F6A" w:rsidP="000B7A6C">
      <w:pPr>
        <w:pStyle w:val="ae"/>
        <w:spacing w:before="0" w:after="0"/>
        <w:jc w:val="both"/>
        <w:rPr>
          <w:color w:val="000000" w:themeColor="text1"/>
          <w:sz w:val="16"/>
          <w:szCs w:val="16"/>
        </w:rPr>
      </w:pPr>
      <w:r w:rsidRPr="005E779E">
        <w:rPr>
          <w:color w:val="000000" w:themeColor="text1"/>
          <w:sz w:val="16"/>
          <w:szCs w:val="16"/>
        </w:rPr>
        <w:t>РАПОРТ</w:t>
      </w:r>
    </w:p>
    <w:p w14:paraId="5B07DD10" w14:textId="77777777" w:rsidR="00756F6A" w:rsidRPr="005E779E" w:rsidRDefault="00756F6A" w:rsidP="000B7A6C">
      <w:pPr>
        <w:pStyle w:val="rtejustify"/>
        <w:spacing w:before="0" w:after="0"/>
        <w:rPr>
          <w:color w:val="000000" w:themeColor="text1"/>
          <w:sz w:val="16"/>
          <w:szCs w:val="16"/>
        </w:rPr>
      </w:pPr>
      <w:r w:rsidRPr="005E779E">
        <w:rPr>
          <w:color w:val="000000" w:themeColor="text1"/>
          <w:sz w:val="16"/>
          <w:szCs w:val="16"/>
        </w:rPr>
        <w:t>Доношу, что заключенным РАМЗИНЫМ Л. К. закончен теоретический &lt;проект&gt; котла оригинальной конструкции без барабанного типа. В настоящее время необходимо приступить к его конструированию, составлению чертежей и постройке, — для этой цели прошу придать к РАМЗИНУ нижеследующих инженеров теплотехников:</w:t>
      </w:r>
    </w:p>
    <w:tbl>
      <w:tblPr>
        <w:tblW w:w="0" w:type="auto"/>
        <w:tblCellMar>
          <w:top w:w="15" w:type="dxa"/>
          <w:left w:w="15" w:type="dxa"/>
          <w:bottom w:w="15" w:type="dxa"/>
          <w:right w:w="15" w:type="dxa"/>
        </w:tblCellMar>
        <w:tblLook w:val="04A0" w:firstRow="1" w:lastRow="0" w:firstColumn="1" w:lastColumn="0" w:noHBand="0" w:noVBand="1"/>
      </w:tblPr>
      <w:tblGrid>
        <w:gridCol w:w="2653"/>
        <w:gridCol w:w="70"/>
        <w:gridCol w:w="2582"/>
      </w:tblGrid>
      <w:tr w:rsidR="001002C3" w:rsidRPr="005E779E" w14:paraId="19237217" w14:textId="77777777" w:rsidTr="001C3F77">
        <w:tc>
          <w:tcPr>
            <w:tcW w:w="0" w:type="auto"/>
            <w:vAlign w:val="center"/>
            <w:hideMark/>
          </w:tcPr>
          <w:p w14:paraId="57B88CC5" w14:textId="77777777" w:rsidR="00756F6A" w:rsidRPr="005E779E" w:rsidRDefault="00756F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ЦЕЙЦ Николай Валентинович</w:t>
            </w:r>
          </w:p>
          <w:p w14:paraId="5DFD593A" w14:textId="77777777" w:rsidR="00756F6A" w:rsidRPr="005E779E" w:rsidRDefault="00756F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РЕВАКАТОВ Николай Николаевич</w:t>
            </w:r>
          </w:p>
          <w:p w14:paraId="5B54E2FB" w14:textId="77777777" w:rsidR="00756F6A" w:rsidRPr="005E779E" w:rsidRDefault="00756F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МИЛЛЕР Антон Николаевич</w:t>
            </w:r>
          </w:p>
          <w:p w14:paraId="62949A03" w14:textId="77777777" w:rsidR="00756F6A" w:rsidRPr="005E779E" w:rsidRDefault="00756F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ЩЕГОЛЕВ Михаил Михайлович</w:t>
            </w:r>
          </w:p>
          <w:p w14:paraId="79E55554" w14:textId="77777777" w:rsidR="00756F6A" w:rsidRPr="005E779E" w:rsidRDefault="00756F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ТИТОВ Иван Сергеевич</w:t>
            </w:r>
          </w:p>
          <w:p w14:paraId="6E077B76" w14:textId="77777777" w:rsidR="00756F6A" w:rsidRPr="005E779E" w:rsidRDefault="00756F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ДАВЫДОВ Николай Андреевич</w:t>
            </w:r>
          </w:p>
          <w:p w14:paraId="30185920" w14:textId="77777777" w:rsidR="00756F6A" w:rsidRPr="005E779E" w:rsidRDefault="00756F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НОВИ Юлий Осипович</w:t>
            </w:r>
          </w:p>
        </w:tc>
        <w:tc>
          <w:tcPr>
            <w:tcW w:w="0" w:type="auto"/>
            <w:vAlign w:val="center"/>
            <w:hideMark/>
          </w:tcPr>
          <w:p w14:paraId="311FF2D3" w14:textId="77777777" w:rsidR="00756F6A" w:rsidRPr="005E779E" w:rsidRDefault="00756F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c>
          <w:tcPr>
            <w:tcW w:w="0" w:type="auto"/>
            <w:vAlign w:val="center"/>
            <w:hideMark/>
          </w:tcPr>
          <w:p w14:paraId="31B34618" w14:textId="77777777" w:rsidR="00756F6A" w:rsidRPr="005E779E" w:rsidRDefault="00756F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БУЛАШЕВИЧ Николай Фролович</w:t>
            </w:r>
          </w:p>
          <w:p w14:paraId="4594DE76" w14:textId="77777777" w:rsidR="00756F6A" w:rsidRPr="005E779E" w:rsidRDefault="00756F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СБРОДОВ Владимир Алексеевич</w:t>
            </w:r>
          </w:p>
          <w:p w14:paraId="7B27233D" w14:textId="77777777" w:rsidR="00756F6A" w:rsidRPr="005E779E" w:rsidRDefault="00756F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ПРОСОЛОВ Борис Николаевич</w:t>
            </w:r>
          </w:p>
          <w:p w14:paraId="277FDB37" w14:textId="77777777" w:rsidR="00756F6A" w:rsidRPr="005E779E" w:rsidRDefault="00756F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ДЕДЕНЕВ</w:t>
            </w:r>
          </w:p>
          <w:p w14:paraId="6F0990CA" w14:textId="77777777" w:rsidR="00756F6A" w:rsidRPr="005E779E" w:rsidRDefault="00756F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КУТАРКИН</w:t>
            </w:r>
          </w:p>
          <w:p w14:paraId="5D047DFB" w14:textId="77777777" w:rsidR="00756F6A" w:rsidRPr="005E779E" w:rsidRDefault="00756F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БИМАН</w:t>
            </w:r>
          </w:p>
          <w:p w14:paraId="1061F5E8" w14:textId="77777777" w:rsidR="00756F6A" w:rsidRPr="005E779E" w:rsidRDefault="00756F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САФОНОВ</w:t>
            </w:r>
          </w:p>
        </w:tc>
      </w:tr>
    </w:tbl>
    <w:p w14:paraId="7FDCA7A8" w14:textId="77777777" w:rsidR="00756F6A" w:rsidRPr="005E779E" w:rsidRDefault="00756F6A" w:rsidP="000B7A6C">
      <w:pPr>
        <w:pStyle w:val="rtejustify"/>
        <w:spacing w:before="0" w:after="0"/>
        <w:rPr>
          <w:color w:val="000000" w:themeColor="text1"/>
          <w:sz w:val="16"/>
          <w:szCs w:val="16"/>
        </w:rPr>
      </w:pPr>
      <w:r w:rsidRPr="005E779E">
        <w:rPr>
          <w:color w:val="000000" w:themeColor="text1"/>
          <w:sz w:val="16"/>
          <w:szCs w:val="16"/>
        </w:rPr>
        <w:t>Означенные инженеры переданы в 5 ЭКУ из СПО на использование.</w:t>
      </w:r>
    </w:p>
    <w:p w14:paraId="4F18C6ED" w14:textId="77777777" w:rsidR="00756F6A" w:rsidRPr="005E779E" w:rsidRDefault="00756F6A" w:rsidP="000B7A6C">
      <w:pPr>
        <w:pStyle w:val="rtejustify"/>
        <w:spacing w:before="0" w:after="0"/>
        <w:rPr>
          <w:color w:val="000000" w:themeColor="text1"/>
          <w:sz w:val="16"/>
          <w:szCs w:val="16"/>
        </w:rPr>
      </w:pPr>
      <w:r w:rsidRPr="005E779E">
        <w:rPr>
          <w:color w:val="000000" w:themeColor="text1"/>
          <w:sz w:val="16"/>
          <w:szCs w:val="16"/>
        </w:rPr>
        <w:t>Кроме изложенного прошу Вашего разрешения вывести всю группу в ОКБ или же в Тепло-Институт или на Электрозавод по Вашему усмотрению.</w:t>
      </w:r>
    </w:p>
    <w:p w14:paraId="04944559" w14:textId="77777777" w:rsidR="00756F6A" w:rsidRPr="005E779E" w:rsidRDefault="00756F6A" w:rsidP="000B7A6C">
      <w:pPr>
        <w:pStyle w:val="ae"/>
        <w:spacing w:before="0" w:after="0"/>
        <w:jc w:val="both"/>
        <w:rPr>
          <w:color w:val="000000" w:themeColor="text1"/>
          <w:sz w:val="16"/>
          <w:szCs w:val="16"/>
        </w:rPr>
      </w:pPr>
      <w:r w:rsidRPr="005E779E">
        <w:rPr>
          <w:color w:val="000000" w:themeColor="text1"/>
          <w:sz w:val="16"/>
          <w:szCs w:val="16"/>
        </w:rPr>
        <w:t>П/Нач. Тех. Отд. ЭКУ ОГПУ Бедняков</w:t>
      </w:r>
    </w:p>
    <w:p w14:paraId="4735133D" w14:textId="77777777" w:rsidR="00756F6A" w:rsidRPr="005E779E" w:rsidRDefault="00756F6A" w:rsidP="000B7A6C">
      <w:pPr>
        <w:pStyle w:val="ae"/>
        <w:spacing w:before="0" w:after="0"/>
        <w:jc w:val="both"/>
        <w:rPr>
          <w:color w:val="000000" w:themeColor="text1"/>
          <w:sz w:val="16"/>
          <w:szCs w:val="16"/>
        </w:rPr>
      </w:pPr>
      <w:r w:rsidRPr="005E779E">
        <w:rPr>
          <w:color w:val="000000" w:themeColor="text1"/>
          <w:sz w:val="16"/>
          <w:szCs w:val="16"/>
        </w:rPr>
        <w:t>«...» мая 1931 года</w:t>
      </w:r>
    </w:p>
    <w:p w14:paraId="5A2FF5EF" w14:textId="77777777" w:rsidR="00756F6A" w:rsidRPr="005E779E" w:rsidRDefault="00756F6A" w:rsidP="000B7A6C">
      <w:pPr>
        <w:pStyle w:val="ae"/>
        <w:spacing w:before="0" w:after="0"/>
        <w:jc w:val="both"/>
        <w:rPr>
          <w:color w:val="000000" w:themeColor="text1"/>
          <w:sz w:val="16"/>
          <w:szCs w:val="16"/>
        </w:rPr>
      </w:pPr>
      <w:r w:rsidRPr="005E779E">
        <w:rPr>
          <w:rStyle w:val="af0"/>
          <w:i w:val="0"/>
          <w:color w:val="000000" w:themeColor="text1"/>
          <w:sz w:val="16"/>
          <w:szCs w:val="16"/>
        </w:rPr>
        <w:t>РГАЭ. Ф. 38. Oп. 1. Д. 2. Л. 12. Машинописный подлинник, подпись — автограф. Число в дате отсутствует. Внизу справа написано от руки: «т. Бедняков Тов. Прокофьев категорически приказал не спаривать. Переговори со мной. 21/V &lt;М. Соколов&gt;» (датируется по этой помете) (19110).</w:t>
      </w:r>
    </w:p>
    <w:p w14:paraId="7CFAA571" w14:textId="77777777" w:rsidR="00756F6A" w:rsidRPr="005E779E" w:rsidRDefault="00756F6A" w:rsidP="000B7A6C">
      <w:pPr>
        <w:spacing w:after="0" w:line="240" w:lineRule="auto"/>
        <w:jc w:val="both"/>
        <w:rPr>
          <w:rFonts w:ascii="Times New Roman" w:hAnsi="Times New Roman"/>
          <w:color w:val="000000" w:themeColor="text1"/>
          <w:sz w:val="16"/>
          <w:szCs w:val="16"/>
        </w:rPr>
      </w:pPr>
    </w:p>
    <w:p w14:paraId="36A9D5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 мая 1931 г. на Балтийском заводе в Ленинграде заложили головную лодку, получив</w:t>
      </w:r>
      <w:r w:rsidRPr="005E779E">
        <w:rPr>
          <w:rFonts w:ascii="Times New Roman" w:hAnsi="Times New Roman"/>
          <w:color w:val="000000" w:themeColor="text1"/>
          <w:sz w:val="16"/>
          <w:szCs w:val="16"/>
        </w:rPr>
        <w:softHyphen/>
        <w:t>шую название "Правда" (3898).</w:t>
      </w:r>
    </w:p>
    <w:p w14:paraId="2C6382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09244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 мая 1931 заложили головную лодку, получившую наименование "Правда" (тип "П" IV серии), и 19 декабря еще два корпуса (10672).</w:t>
      </w:r>
    </w:p>
    <w:p w14:paraId="066C70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92E585C" w14:textId="77777777" w:rsidR="00323FFD" w:rsidRPr="005E779E" w:rsidRDefault="00323FF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 мая 1931 года на Балтийском заводе в Ленинграде заложили головной подводный крейсер, а 19 декабря—еще два. Они получили названия в честь центральных газет: “Правда”, “Звезда” и “Искра”. Впоследствии к ним добавили и буквенно-цифровые обозначения: П-1, П-2, П-3 соответственно.</w:t>
      </w:r>
    </w:p>
    <w:p w14:paraId="520081E4" w14:textId="77777777" w:rsidR="00323FFD" w:rsidRPr="005E779E" w:rsidRDefault="00323FF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Уже в ходе строительства лодок с критикой проекта выступила группа опытных инженеров-кораблестроителей, в том числе конструктор первых трех серий советских субмарин Б. М. Малинин. Компетентная комиссия выявила многочисленные недостатки, вызвавшие необходимость переработки проекта. Так, ценой огромных усилий глубину погружения удалось довести до 60 м, сняв при атом 800-сильный вспомогательный дизель-генератор. Главный калибр орудий уменьшили со 130 мм до 100 мм. Но наибольших затрат потребовала переделка носовой части корпуса, так как его чрезмерное удлинение при выстреле торпедой вызывало риск удара ее хвостовой части о волнорез (12718).</w:t>
      </w:r>
    </w:p>
    <w:p w14:paraId="7883F8CC" w14:textId="77777777" w:rsidR="00323FFD" w:rsidRPr="005E779E" w:rsidRDefault="00323FFD" w:rsidP="000B7A6C">
      <w:pPr>
        <w:spacing w:after="0" w:line="240" w:lineRule="auto"/>
        <w:jc w:val="both"/>
        <w:rPr>
          <w:rFonts w:ascii="Times New Roman" w:hAnsi="Times New Roman"/>
          <w:color w:val="000000" w:themeColor="text1"/>
          <w:sz w:val="16"/>
          <w:szCs w:val="16"/>
        </w:rPr>
      </w:pPr>
    </w:p>
    <w:p w14:paraId="79ECAEE1" w14:textId="77777777" w:rsidR="00E04E98" w:rsidRPr="005E779E" w:rsidRDefault="00E04E9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 мая 1931 года на заводе № 189 (Балтийский завод) в Ленинграде была заложена ПЛ "П-3" ("Искра") Заложена. Строительный номер 218.</w:t>
      </w:r>
    </w:p>
    <w:p w14:paraId="07FDE8D9" w14:textId="77777777" w:rsidR="00E04E98" w:rsidRPr="005E779E" w:rsidRDefault="00E04E9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 января 1934 года подводная лодка спущена на воду, 9 июня 1936 года вступила в строй, и 23 июля 1936 года вошла в состав Краснознаменного Балтийского флота.</w:t>
      </w:r>
    </w:p>
    <w:p w14:paraId="32DA9118" w14:textId="77777777" w:rsidR="00E04E98" w:rsidRPr="005E779E" w:rsidRDefault="00E04E9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Уже в ходе строительства выявлена масса недостатков лодок этого проекта, которые исключали их боевое использование, поэтому субмарина служила в качестве учебного корабля, готовя кадры для подводного флота.</w:t>
      </w:r>
    </w:p>
    <w:p w14:paraId="05FD0B68" w14:textId="77777777" w:rsidR="00E04E98" w:rsidRPr="005E779E" w:rsidRDefault="00E04E9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декабря 1937 по 6 ноября 1939 года субмарина прошла капремонт.</w:t>
      </w:r>
    </w:p>
    <w:p w14:paraId="57AB4569" w14:textId="77777777" w:rsidR="00E04E98" w:rsidRPr="005E779E" w:rsidRDefault="00E04E9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1940 года «Правда» вместе со своими систершипами «П-2» и «П-3» совершила групповое плавание по Балтийскому морю, с заходом в Таллин, Ригу, Либаву.</w:t>
      </w:r>
    </w:p>
    <w:p w14:paraId="6092A290" w14:textId="77777777" w:rsidR="00E04E98" w:rsidRPr="005E779E" w:rsidRDefault="00E04E9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 июня 1941 года встретила под командованием капитан-лейтенанта Логинова Ивана Андреевича в составе Отдельного учебного дивизиона ПЛ в Ораниенбауме.</w:t>
      </w:r>
    </w:p>
    <w:p w14:paraId="74734AD9" w14:textId="77777777" w:rsidR="00E04E98" w:rsidRPr="005E779E" w:rsidRDefault="00E04E9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сентябре 1941 года субмарину решили привлечь для снабжения гарнизона Ханко. Мостик, рубочный люк; Имя корабля; фрагмент верхней палубы; 45-мм орудие 21-К с мемориальной табличкой (12719).</w:t>
      </w:r>
    </w:p>
    <w:p w14:paraId="060B4D30" w14:textId="77777777" w:rsidR="00E04E98" w:rsidRPr="005E779E" w:rsidRDefault="00E04E98" w:rsidP="000B7A6C">
      <w:pPr>
        <w:spacing w:after="0" w:line="240" w:lineRule="auto"/>
        <w:jc w:val="both"/>
        <w:rPr>
          <w:rFonts w:ascii="Times New Roman" w:hAnsi="Times New Roman"/>
          <w:color w:val="000000" w:themeColor="text1"/>
          <w:sz w:val="16"/>
          <w:szCs w:val="16"/>
        </w:rPr>
      </w:pPr>
    </w:p>
    <w:p w14:paraId="5948B7E1" w14:textId="180791CF" w:rsidR="00AD40B7" w:rsidRPr="005E779E" w:rsidRDefault="00AD40B7" w:rsidP="00AD40B7">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Армия</w:t>
      </w:r>
      <w:r w:rsidRPr="005E779E">
        <w:rPr>
          <w:rFonts w:ascii="Times New Roman" w:hAnsi="Times New Roman"/>
          <w:i/>
          <w:iCs/>
          <w:color w:val="000000" w:themeColor="text1"/>
          <w:sz w:val="16"/>
          <w:szCs w:val="16"/>
        </w:rPr>
        <w:t>:</w:t>
      </w:r>
    </w:p>
    <w:p w14:paraId="55C313FF" w14:textId="77777777" w:rsidR="00AD40B7" w:rsidRPr="005E779E" w:rsidRDefault="00AD40B7" w:rsidP="00AD40B7">
      <w:pPr>
        <w:autoSpaceDE w:val="0"/>
        <w:autoSpaceDN w:val="0"/>
        <w:adjustRightInd w:val="0"/>
        <w:spacing w:after="0" w:line="240" w:lineRule="auto"/>
        <w:jc w:val="both"/>
        <w:rPr>
          <w:rFonts w:ascii="Times New Roman" w:hAnsi="Times New Roman"/>
          <w:iCs/>
          <w:color w:val="000000" w:themeColor="text1"/>
          <w:sz w:val="16"/>
          <w:szCs w:val="16"/>
        </w:rPr>
      </w:pPr>
    </w:p>
    <w:p w14:paraId="6845C2B3" w14:textId="77777777" w:rsidR="00AD40B7" w:rsidRPr="00142305" w:rsidRDefault="00AD40B7" w:rsidP="00AD40B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21 мая 1931 г. состоялась передача ВВС новому их Начальнику на Центральном аэродроме в присутствии членов ЦК ВКП (б) и Правительства, а 28 июня 1931 г. переход власти был закреплен законодательно. В ВВС РККА начиналась «эпоха Алксниса» и одновременно стартовала реконструкция ВВС РККА (24968).</w:t>
      </w:r>
    </w:p>
    <w:p w14:paraId="574B45BC" w14:textId="77777777" w:rsidR="00AD40B7" w:rsidRPr="00142305" w:rsidRDefault="00AD40B7" w:rsidP="00AD40B7">
      <w:pPr>
        <w:spacing w:after="0" w:line="240" w:lineRule="auto"/>
        <w:jc w:val="both"/>
        <w:rPr>
          <w:rFonts w:ascii="Times New Roman" w:hAnsi="Times New Roman"/>
          <w:color w:val="0070C0"/>
          <w:sz w:val="16"/>
          <w:szCs w:val="16"/>
        </w:rPr>
      </w:pPr>
    </w:p>
    <w:p w14:paraId="7DBF2F09" w14:textId="77777777" w:rsidR="00AD40B7" w:rsidRPr="00142305" w:rsidRDefault="00AD40B7" w:rsidP="00AD40B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21 мая 1931 г. на показе авиационной техники, организованном на Центральном аэродроме, И. В. Сталин неодно</w:t>
      </w:r>
      <w:r w:rsidRPr="00142305">
        <w:rPr>
          <w:rFonts w:ascii="Times New Roman" w:hAnsi="Times New Roman"/>
          <w:color w:val="0070C0"/>
          <w:sz w:val="16"/>
          <w:szCs w:val="16"/>
        </w:rPr>
        <w:softHyphen/>
        <w:t>кратно задавал вопросы. Его интересовало, имеется ли на том или ином самолете радио для управления авиацией в воздухе и с земли. Ответы звучали в том смысле, что на тяжелых самолетах радио будет, а на истребителях оно как бы и не требуется. Ссылались на то, что и на иностранных небольших самолетах ра</w:t>
      </w:r>
      <w:r w:rsidRPr="00142305">
        <w:rPr>
          <w:rFonts w:ascii="Times New Roman" w:hAnsi="Times New Roman"/>
          <w:color w:val="0070C0"/>
          <w:sz w:val="16"/>
          <w:szCs w:val="16"/>
        </w:rPr>
        <w:softHyphen/>
        <w:t>дио пока тоже нет (24968).</w:t>
      </w:r>
    </w:p>
    <w:p w14:paraId="2A7C6222" w14:textId="77777777" w:rsidR="00AD40B7" w:rsidRPr="00142305" w:rsidRDefault="00AD40B7" w:rsidP="00AD40B7">
      <w:pPr>
        <w:spacing w:after="0" w:line="240" w:lineRule="auto"/>
        <w:jc w:val="both"/>
        <w:rPr>
          <w:rFonts w:ascii="Times New Roman" w:hAnsi="Times New Roman"/>
          <w:color w:val="0070C0"/>
          <w:sz w:val="16"/>
          <w:szCs w:val="16"/>
        </w:rPr>
      </w:pPr>
    </w:p>
    <w:p w14:paraId="7A9CE2B5" w14:textId="77777777" w:rsidR="00974187"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6FB22366" w14:textId="77777777" w:rsidR="00974187" w:rsidRPr="005E779E" w:rsidRDefault="00974187"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00504C1" w14:textId="77777777" w:rsidR="00974187" w:rsidRPr="005E779E" w:rsidRDefault="009741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21 мая</w:t>
      </w:r>
      <w:r w:rsidRPr="005E779E">
        <w:rPr>
          <w:rFonts w:ascii="Times New Roman" w:hAnsi="Times New Roman"/>
          <w:color w:val="000000" w:themeColor="text1"/>
          <w:sz w:val="16"/>
          <w:szCs w:val="16"/>
        </w:rPr>
        <w:t xml:space="preserve"> в 1931 году совершил первый полет пассажирский транспортный самолет </w:t>
      </w:r>
      <w:hyperlink r:id="rId107" w:tgtFrame="_blank" w:history="1">
        <w:r w:rsidRPr="005E779E">
          <w:rPr>
            <w:rFonts w:ascii="Times New Roman" w:hAnsi="Times New Roman"/>
            <w:color w:val="000000" w:themeColor="text1"/>
            <w:sz w:val="16"/>
            <w:szCs w:val="16"/>
          </w:rPr>
          <w:t xml:space="preserve">«Dewoitine» «D.30». </w:t>
        </w:r>
      </w:hyperlink>
      <w:r w:rsidRPr="005E779E">
        <w:rPr>
          <w:rFonts w:ascii="Times New Roman" w:hAnsi="Times New Roman"/>
          <w:color w:val="000000" w:themeColor="text1"/>
          <w:sz w:val="16"/>
          <w:szCs w:val="16"/>
        </w:rPr>
        <w:t>«D.30» - транспортный самолет, цельнометаллический высокоплан разработанный французской компанией Dewoitine. Самолет был оборудован одним двигателем «Hispano-Suiza» «12Nbr» мощностью 650 л.с., позволявшем перевозить восемь пассажиров на расстояние до 900 километров (14898).</w:t>
      </w:r>
    </w:p>
    <w:p w14:paraId="7B942DF6" w14:textId="77777777" w:rsidR="00974187" w:rsidRPr="005E779E" w:rsidRDefault="00974187" w:rsidP="000B7A6C">
      <w:pPr>
        <w:spacing w:after="0" w:line="240" w:lineRule="auto"/>
        <w:jc w:val="both"/>
        <w:rPr>
          <w:rFonts w:ascii="Times New Roman" w:hAnsi="Times New Roman"/>
          <w:color w:val="000000" w:themeColor="text1"/>
          <w:sz w:val="16"/>
          <w:szCs w:val="16"/>
        </w:rPr>
      </w:pPr>
    </w:p>
    <w:p w14:paraId="7EB42C00"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61090318"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1C89C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 мая 1931 в комиссию обороны СССР поступил проект предложений по перевооружению авиации, разработанный Я.И.А. по требованию П.И.Б. и Р-5 занимал одно из главных мест. Хотели создать 12 лб эскадрилий по 30 машин, 9 разведывательных э и 4 корпусных отряда (1366,13).</w:t>
      </w:r>
    </w:p>
    <w:p w14:paraId="7831E3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CF205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 мая 1931 года в комиссию обороны СССР поступил проект предложений по перевооружению авиации, разработанный под руководством Якова Алксниса по требованию начальника ВВС Павла Баранова. Самолет Р-5 в новом плане занимал главенствующее место. Предполагалось создать 12 легкобомбардировочных эскадрилий (эскадрилья тогда состояла из трех отрядов общей численностью порядка 30 самолетов), 9 разведывательных эскадрилий и 4 корпусных отряда, вооруженных самолетами Р-5. В значительной степени этот план удалось реализовать - общее количество построенных в 1931 г. поликарповских разведчиков составило 336 единиц (5016).</w:t>
      </w:r>
    </w:p>
    <w:p w14:paraId="5BBCD7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69F63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 мая 1931 состоялся официальный показ бомбардировщика ТБ-3 членам правительства. Они осмотрели его на Центральном аэродроме, а затем поглядели на короткий полет. За последний пилотов Козлова и Залевского начальник НИИ наградил «заграничными часами «Мозер» с секундомером» - очевидно, самолет произвел должное впечатление (8887).</w:t>
      </w:r>
    </w:p>
    <w:p w14:paraId="5BC3A4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17A8F85" w14:textId="77777777" w:rsidR="00EE1118" w:rsidRPr="00142305" w:rsidRDefault="00EE1118" w:rsidP="00EE111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22 мая 1931 г. состоялся официальный показ бомбардировщика ТБ-3 членам правительства. Они осмотрели его на Центральном аэродроме, а затем поглядели на короткий полет. За последний пилотов Козлова и Залевского начальник НИИ наградил «заграничными часами «Мо</w:t>
      </w:r>
      <w:r w:rsidRPr="00142305">
        <w:rPr>
          <w:rFonts w:ascii="Times New Roman" w:hAnsi="Times New Roman"/>
          <w:color w:val="0070C0"/>
          <w:sz w:val="16"/>
          <w:szCs w:val="16"/>
        </w:rPr>
        <w:softHyphen/>
        <w:t>зер» с секундомером» - очевидно, самолет произвел должное впечатление.</w:t>
      </w:r>
    </w:p>
    <w:p w14:paraId="75E099F6" w14:textId="77777777" w:rsidR="00EE1118" w:rsidRPr="00142305" w:rsidRDefault="00EE1118" w:rsidP="00EE111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Действительно, машина явно получи</w:t>
      </w:r>
      <w:r w:rsidRPr="00142305">
        <w:rPr>
          <w:rFonts w:ascii="Times New Roman" w:hAnsi="Times New Roman"/>
          <w:color w:val="0070C0"/>
          <w:sz w:val="16"/>
          <w:szCs w:val="16"/>
        </w:rPr>
        <w:softHyphen/>
        <w:t>лась удачной. Хотя замена двигателей незначительно ухудшила летные данные, максимальная скорость оставалась выше требований технического задания - 213 км/ч. Вызвали одобрение и взлетно- посадочные характеристики. В отчете запи</w:t>
      </w:r>
      <w:r w:rsidRPr="00142305">
        <w:rPr>
          <w:rFonts w:ascii="Times New Roman" w:hAnsi="Times New Roman"/>
          <w:color w:val="0070C0"/>
          <w:sz w:val="16"/>
          <w:szCs w:val="16"/>
        </w:rPr>
        <w:softHyphen/>
        <w:t>сали: «На разбеге самолет прост, устойчив, тенденций к заворотам и прыжкам нет... Посадка проста и никаких особенностей не имеет». В горизонтальном полете бомбар</w:t>
      </w:r>
      <w:r w:rsidRPr="00142305">
        <w:rPr>
          <w:rFonts w:ascii="Times New Roman" w:hAnsi="Times New Roman"/>
          <w:color w:val="0070C0"/>
          <w:sz w:val="16"/>
          <w:szCs w:val="16"/>
        </w:rPr>
        <w:softHyphen/>
        <w:t>дировщик держался устойчиво, пилот мог бросить на время штурвал.</w:t>
      </w:r>
    </w:p>
    <w:p w14:paraId="447F587F" w14:textId="77777777" w:rsidR="00EE1118" w:rsidRPr="00142305" w:rsidRDefault="00EE1118" w:rsidP="00EE111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ТБ-3, пожалуй, даже чрезмерно устой</w:t>
      </w:r>
      <w:r w:rsidRPr="00142305">
        <w:rPr>
          <w:rFonts w:ascii="Times New Roman" w:hAnsi="Times New Roman"/>
          <w:color w:val="0070C0"/>
          <w:sz w:val="16"/>
          <w:szCs w:val="16"/>
        </w:rPr>
        <w:softHyphen/>
        <w:t>чиво держался на курсе. Чтобы ввести его в вираж, от пилота требовались значитель</w:t>
      </w:r>
      <w:r w:rsidRPr="00142305">
        <w:rPr>
          <w:rFonts w:ascii="Times New Roman" w:hAnsi="Times New Roman"/>
          <w:color w:val="0070C0"/>
          <w:sz w:val="16"/>
          <w:szCs w:val="16"/>
        </w:rPr>
        <w:softHyphen/>
        <w:t>ные усилия. «Вообще управление само</w:t>
      </w:r>
      <w:r w:rsidRPr="00142305">
        <w:rPr>
          <w:rFonts w:ascii="Times New Roman" w:hAnsi="Times New Roman"/>
          <w:color w:val="0070C0"/>
          <w:sz w:val="16"/>
          <w:szCs w:val="16"/>
        </w:rPr>
        <w:softHyphen/>
        <w:t>лета ненормально тяжело, в особенности управление элеронами», - говорил отчет НИИ ВВС.</w:t>
      </w:r>
    </w:p>
    <w:p w14:paraId="6472C9CA" w14:textId="77777777" w:rsidR="00EE1118" w:rsidRPr="00142305" w:rsidRDefault="00EE1118" w:rsidP="00EE111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Испытания не довели до конца - заму</w:t>
      </w:r>
      <w:r w:rsidRPr="00142305">
        <w:rPr>
          <w:rFonts w:ascii="Times New Roman" w:hAnsi="Times New Roman"/>
          <w:color w:val="0070C0"/>
          <w:sz w:val="16"/>
          <w:szCs w:val="16"/>
        </w:rPr>
        <w:softHyphen/>
        <w:t>чались с покрышками. Резины на огром</w:t>
      </w:r>
      <w:r w:rsidRPr="00142305">
        <w:rPr>
          <w:rFonts w:ascii="Times New Roman" w:hAnsi="Times New Roman"/>
          <w:color w:val="0070C0"/>
          <w:sz w:val="16"/>
          <w:szCs w:val="16"/>
        </w:rPr>
        <w:softHyphen/>
        <w:t>ные колеса ТБ-3 в СССР не нашлось - купили в Англии, у фирмы «Палмер».</w:t>
      </w:r>
    </w:p>
    <w:p w14:paraId="22B4396E" w14:textId="77777777" w:rsidR="00EE1118" w:rsidRPr="00142305" w:rsidRDefault="00EE1118" w:rsidP="00EE111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«Палмеровские» покрышки по нынешним временам выглядели совершенно необыч</w:t>
      </w:r>
      <w:r w:rsidRPr="00142305">
        <w:rPr>
          <w:rFonts w:ascii="Times New Roman" w:hAnsi="Times New Roman"/>
          <w:color w:val="0070C0"/>
          <w:sz w:val="16"/>
          <w:szCs w:val="16"/>
        </w:rPr>
        <w:softHyphen/>
        <w:t>но: каждая из них состояла из трех час</w:t>
      </w:r>
      <w:r w:rsidRPr="00142305">
        <w:rPr>
          <w:rFonts w:ascii="Times New Roman" w:hAnsi="Times New Roman"/>
          <w:color w:val="0070C0"/>
          <w:sz w:val="16"/>
          <w:szCs w:val="16"/>
        </w:rPr>
        <w:softHyphen/>
        <w:t>тей - середины и боковин, стягивавшихся металлическими крючками, а сверху на все это натягивалось прорезиненное по</w:t>
      </w:r>
      <w:r w:rsidRPr="00142305">
        <w:rPr>
          <w:rFonts w:ascii="Times New Roman" w:hAnsi="Times New Roman"/>
          <w:color w:val="0070C0"/>
          <w:sz w:val="16"/>
          <w:szCs w:val="16"/>
        </w:rPr>
        <w:softHyphen/>
        <w:t>лотно. Сначала решили, что покрышки подрезаются ободом. Обод обшили тонкой хромовой кожей. Не помогло. К 23 августа покрышки изодрали совсем, и полеты при</w:t>
      </w:r>
      <w:r w:rsidRPr="00142305">
        <w:rPr>
          <w:rFonts w:ascii="Times New Roman" w:hAnsi="Times New Roman"/>
          <w:color w:val="0070C0"/>
          <w:sz w:val="16"/>
          <w:szCs w:val="16"/>
        </w:rPr>
        <w:softHyphen/>
        <w:t>шлось прекратить..</w:t>
      </w:r>
    </w:p>
    <w:p w14:paraId="770BEBC7" w14:textId="77777777" w:rsidR="00EE1118" w:rsidRPr="00142305" w:rsidRDefault="00EE1118" w:rsidP="00EE111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Тем не менее, в целом испытатели опять дали высокую оценку работе туполевцев: «Анализ полученных летных дан</w:t>
      </w:r>
      <w:r w:rsidRPr="00142305">
        <w:rPr>
          <w:rFonts w:ascii="Times New Roman" w:hAnsi="Times New Roman"/>
          <w:color w:val="0070C0"/>
          <w:sz w:val="16"/>
          <w:szCs w:val="16"/>
        </w:rPr>
        <w:softHyphen/>
        <w:t>ных и грузоподъемности ТБЗ-4БМВ\/1Е-7,3 позволяет отнести его к лучшим мировым самолетам». Машину рекомендовали принять на вооружение ВВС РККА. Но до</w:t>
      </w:r>
      <w:r w:rsidRPr="00142305">
        <w:rPr>
          <w:rFonts w:ascii="Times New Roman" w:hAnsi="Times New Roman"/>
          <w:color w:val="0070C0"/>
          <w:sz w:val="16"/>
          <w:szCs w:val="16"/>
        </w:rPr>
        <w:softHyphen/>
        <w:t>бавили и «ложку дегтя»: «Приходится констатировать, что самолет... обладает совершенно недоделанным вооружением и по существу в таком виде тяжелым бом</w:t>
      </w:r>
      <w:r w:rsidRPr="00142305">
        <w:rPr>
          <w:rFonts w:ascii="Times New Roman" w:hAnsi="Times New Roman"/>
          <w:color w:val="0070C0"/>
          <w:sz w:val="16"/>
          <w:szCs w:val="16"/>
        </w:rPr>
        <w:softHyphen/>
        <w:t>бовозом не является».</w:t>
      </w:r>
    </w:p>
    <w:p w14:paraId="1F6121B0" w14:textId="77777777" w:rsidR="00EE1118" w:rsidRPr="00142305" w:rsidRDefault="00EE1118" w:rsidP="00EE111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Вооружения на самолете действительно почти не имелось. Но здесь вина не только ЦАГИ, но и УВВС, и заводов-смежников (24937).</w:t>
      </w:r>
    </w:p>
    <w:p w14:paraId="6C562218" w14:textId="77777777" w:rsidR="00EE1118" w:rsidRPr="00142305" w:rsidRDefault="00EE1118" w:rsidP="00EE1118">
      <w:pPr>
        <w:spacing w:after="0" w:line="240" w:lineRule="auto"/>
        <w:jc w:val="both"/>
        <w:rPr>
          <w:rFonts w:ascii="Times New Roman" w:hAnsi="Times New Roman"/>
          <w:color w:val="0070C0"/>
          <w:sz w:val="16"/>
          <w:szCs w:val="16"/>
        </w:rPr>
      </w:pPr>
    </w:p>
    <w:p w14:paraId="7B841F07"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16A73AB1"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883688D" w14:textId="77777777" w:rsidR="00E454FF" w:rsidRPr="005E779E" w:rsidRDefault="00E454F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 мая 1931 г. Постановление Президиума ВСНХ СССР о состоянии военного судостроения на заводах Союзверфи (РГАЭ. Ф. 3429. Оп. 16. Д. 189. Л. 173?170. Ф. 3429, Оп. 6. Д. 671. Л. 4?7) (12417).</w:t>
      </w:r>
    </w:p>
    <w:p w14:paraId="544EB14E" w14:textId="77777777" w:rsidR="00E454FF" w:rsidRPr="005E779E" w:rsidRDefault="00E454FF" w:rsidP="000B7A6C">
      <w:pPr>
        <w:spacing w:after="0" w:line="240" w:lineRule="auto"/>
        <w:jc w:val="both"/>
        <w:rPr>
          <w:rFonts w:ascii="Times New Roman" w:hAnsi="Times New Roman"/>
          <w:color w:val="000000" w:themeColor="text1"/>
          <w:sz w:val="16"/>
          <w:szCs w:val="16"/>
        </w:rPr>
      </w:pPr>
    </w:p>
    <w:p w14:paraId="69F4CD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 мая 1931 г. подводный Минный заградитель "Рабочий" в походе был протаранен лодкой "Красноармеец" и получил пробоину в кор</w:t>
      </w:r>
      <w:r w:rsidRPr="005E779E">
        <w:rPr>
          <w:rFonts w:ascii="Times New Roman" w:hAnsi="Times New Roman"/>
          <w:color w:val="000000" w:themeColor="text1"/>
          <w:sz w:val="16"/>
          <w:szCs w:val="16"/>
        </w:rPr>
        <w:softHyphen/>
        <w:t>мовой части. Несмотря на сравнительно небольшие размеры про</w:t>
      </w:r>
      <w:r w:rsidRPr="005E779E">
        <w:rPr>
          <w:rFonts w:ascii="Times New Roman" w:hAnsi="Times New Roman"/>
          <w:color w:val="000000" w:themeColor="text1"/>
          <w:sz w:val="16"/>
          <w:szCs w:val="16"/>
        </w:rPr>
        <w:softHyphen/>
        <w:t>боины, личный состав не смог предотвратить затопление лодки, не имевшей водонепроницаемых переборок. Минный заградитель по</w:t>
      </w:r>
      <w:r w:rsidRPr="005E779E">
        <w:rPr>
          <w:rFonts w:ascii="Times New Roman" w:hAnsi="Times New Roman"/>
          <w:color w:val="000000" w:themeColor="text1"/>
          <w:sz w:val="16"/>
          <w:szCs w:val="16"/>
        </w:rPr>
        <w:softHyphen/>
        <w:t>гиб через 5 мин. после таранного удара со всем личным составом (45 чел.).</w:t>
      </w:r>
    </w:p>
    <w:p w14:paraId="6F6E7C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Гибель "Рабочего" привлекла внимание руководства УВМС к проблеме "спасения подлодок". В частности, были возобновлены тренировки спасательного судна "Коммуна" по подъему затоплен</w:t>
      </w:r>
      <w:r w:rsidRPr="005E779E">
        <w:rPr>
          <w:rFonts w:ascii="Times New Roman" w:hAnsi="Times New Roman"/>
          <w:color w:val="000000" w:themeColor="text1"/>
          <w:sz w:val="16"/>
          <w:szCs w:val="16"/>
        </w:rPr>
        <w:softHyphen/>
        <w:t>ного корпуса недостроенной лодки "Форель" (3898).</w:t>
      </w:r>
    </w:p>
    <w:p w14:paraId="7CA54A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C359C62" w14:textId="77777777" w:rsidR="00974187" w:rsidRPr="005E779E" w:rsidRDefault="009741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22 мая</w:t>
      </w:r>
      <w:r w:rsidRPr="005E779E">
        <w:rPr>
          <w:rFonts w:ascii="Times New Roman" w:hAnsi="Times New Roman"/>
          <w:color w:val="000000" w:themeColor="text1"/>
          <w:sz w:val="16"/>
          <w:szCs w:val="16"/>
        </w:rPr>
        <w:t xml:space="preserve"> в 1931 году советская подводная лодка "Рабочий" затонула после столкновения с лодкой "Красноармеец". 39 человек погибли (14899).</w:t>
      </w:r>
    </w:p>
    <w:p w14:paraId="5FBD39EF" w14:textId="77777777" w:rsidR="00974187" w:rsidRPr="005E779E" w:rsidRDefault="00974187" w:rsidP="000B7A6C">
      <w:pPr>
        <w:spacing w:after="0" w:line="240" w:lineRule="auto"/>
        <w:jc w:val="both"/>
        <w:rPr>
          <w:rFonts w:ascii="Times New Roman" w:hAnsi="Times New Roman"/>
          <w:color w:val="000000" w:themeColor="text1"/>
          <w:sz w:val="16"/>
          <w:szCs w:val="16"/>
        </w:rPr>
      </w:pPr>
    </w:p>
    <w:p w14:paraId="5D407EE6" w14:textId="77777777" w:rsidR="008707F5" w:rsidRPr="005E779E" w:rsidRDefault="008707F5"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0E512602" w14:textId="77777777" w:rsidR="008707F5" w:rsidRPr="005E779E" w:rsidRDefault="008707F5"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B4AA908" w14:textId="77777777" w:rsidR="008707F5" w:rsidRPr="005E779E" w:rsidRDefault="008707F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 мая 1931 состоялся первый полет Berliner-Joyce XFJ-2 (20804).</w:t>
      </w:r>
    </w:p>
    <w:p w14:paraId="3A435A4B" w14:textId="77777777" w:rsidR="008707F5" w:rsidRPr="005E779E" w:rsidRDefault="008707F5" w:rsidP="000B7A6C">
      <w:pPr>
        <w:spacing w:after="0" w:line="240" w:lineRule="auto"/>
        <w:jc w:val="both"/>
        <w:rPr>
          <w:rFonts w:ascii="Times New Roman" w:hAnsi="Times New Roman"/>
          <w:color w:val="000000" w:themeColor="text1"/>
          <w:sz w:val="16"/>
          <w:szCs w:val="16"/>
        </w:rPr>
      </w:pPr>
    </w:p>
    <w:p w14:paraId="44EBC68A" w14:textId="77777777" w:rsidR="008707F5" w:rsidRPr="005E779E" w:rsidRDefault="008707F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 мая 1931 года — первый полёт палубного истребителя Berliner-Joyce XFJ-2. /США/</w:t>
      </w:r>
    </w:p>
    <w:p w14:paraId="242C6710" w14:textId="77777777" w:rsidR="008707F5" w:rsidRPr="005E779E" w:rsidRDefault="008707F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Компания Berliner-Joyce Aircraft, основанная в 1929 году, почти сразу получила правительственный заказ на разработку палубного истребителя для ВМФ США. Конструкторы компании справились за 1 год. Но прототип XFJ-1 сильно повредили при посадке во время испытаний, и он нуждался в ремонте. На восстановление и доработки ушёл ещё год, и самолёт получил новое обозначение — XFJ-2.</w:t>
      </w:r>
    </w:p>
    <w:p w14:paraId="567A9CDD" w14:textId="77777777" w:rsidR="008707F5" w:rsidRPr="005E779E" w:rsidRDefault="008707F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Это был одноместный биплан с неубирающимся шасси. Нижнее крыло располагалось нетипично — ниже фюзеляжа. Устанавливался двигатель Pratt &amp; Whitney R-1340-92 Wasp (500 л.с.) Максимальная скорость — 310 км/ч, дальность полёта — 837 км. Вооружение — 2 × 7,62-мм пулемёта.</w:t>
      </w:r>
    </w:p>
    <w:p w14:paraId="38E0B223" w14:textId="77777777" w:rsidR="008707F5" w:rsidRPr="005E779E" w:rsidRDefault="008707F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XFJ-2 страдал от той же проблемы, что и предыдущий прототип. Из-за такого расположения нижнего крыла самолёт имел тенденцию к заваливанию при посадке. К тому же, был не очень устойчив в полёте. ВМФ США заказывать серийное производство не стали и в 1931 году проект закрыли (22300).</w:t>
      </w:r>
    </w:p>
    <w:p w14:paraId="1F1EB91E" w14:textId="77777777" w:rsidR="008707F5" w:rsidRPr="005E779E" w:rsidRDefault="008707F5" w:rsidP="000B7A6C">
      <w:pPr>
        <w:spacing w:after="0" w:line="240" w:lineRule="auto"/>
        <w:jc w:val="both"/>
        <w:rPr>
          <w:rFonts w:ascii="Times New Roman" w:hAnsi="Times New Roman"/>
          <w:color w:val="000000" w:themeColor="text1"/>
          <w:sz w:val="16"/>
          <w:szCs w:val="16"/>
        </w:rPr>
      </w:pPr>
    </w:p>
    <w:p w14:paraId="79647A09"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1EAAA0E9"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2EBC5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мая 1931 ЦАГИ вновь был передан в ВСНХ (71,243).</w:t>
      </w:r>
    </w:p>
    <w:p w14:paraId="79F1F1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1B8C4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мая 1931 состоялось Заседание КО (прот. 6) и слушали "Об авиации". Докладывали П.И.Б., Близниченко, Анвельт. Образовали комиссию для разработки проектов постановлений по ВВС и поручили ей вскрыть все недостатки и внести конкретные предложения (1028,112).</w:t>
      </w:r>
    </w:p>
    <w:p w14:paraId="3849FC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97944D4"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0C5230FE"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82E27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мая 1931 вышло постановление КО О танкостроении (протокол 6) и в пятом пункте было написано: “Разрешить РВС СССР ввести танк Кристи в систему авто-броне-танко-тракторного вооружения РККА в качестве быстроходного истребителя БТ.</w:t>
      </w:r>
    </w:p>
    <w:p w14:paraId="2DB553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Ворошилову и Орджоникидзе в декадный срок окончательно договориться, какое максимальное количество БТ (в имеющемся образце, без всяких изменений, может быть изготовлен на ХПЗ, имея в виду полное снятие заказа на Т-24. Всего сделали 24 Т-24 (28 шасси, 25 бронекорпусов, 26 башен), хотя заказ был на 200, а потом встречный - на 300 (4243,23).</w:t>
      </w:r>
    </w:p>
    <w:p w14:paraId="204756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Одновременно обязать РВС форсировать работы по модернизации танка Кристи.” (4241).</w:t>
      </w:r>
    </w:p>
    <w:p w14:paraId="6BC3CD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18F110E" w14:textId="77777777" w:rsidR="00EE1118" w:rsidRPr="00142305" w:rsidRDefault="00EE1118" w:rsidP="00EE111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23 мая 1931 года прошло заседание Комитета Обороны СССР. В протоко</w:t>
      </w:r>
      <w:r w:rsidRPr="00142305">
        <w:rPr>
          <w:rFonts w:ascii="Times New Roman" w:hAnsi="Times New Roman"/>
          <w:color w:val="0070C0"/>
          <w:sz w:val="16"/>
          <w:szCs w:val="16"/>
        </w:rPr>
        <w:softHyphen/>
        <w:t>ле по его итогам, озаглавленном кратко «О танкостроении», среди прочего за</w:t>
      </w:r>
      <w:r w:rsidRPr="00142305">
        <w:rPr>
          <w:rFonts w:ascii="Times New Roman" w:hAnsi="Times New Roman"/>
          <w:color w:val="0070C0"/>
          <w:sz w:val="16"/>
          <w:szCs w:val="16"/>
        </w:rPr>
        <w:softHyphen/>
        <w:t>писано: « Выработать задел по среднему тан</w:t>
      </w:r>
      <w:r w:rsidRPr="00142305">
        <w:rPr>
          <w:rFonts w:ascii="Times New Roman" w:hAnsi="Times New Roman"/>
          <w:color w:val="0070C0"/>
          <w:sz w:val="16"/>
          <w:szCs w:val="16"/>
        </w:rPr>
        <w:softHyphen/>
        <w:t>ку Т-24 и больше этих машин не произ</w:t>
      </w:r>
      <w:r w:rsidRPr="00142305">
        <w:rPr>
          <w:rFonts w:ascii="Times New Roman" w:hAnsi="Times New Roman"/>
          <w:color w:val="0070C0"/>
          <w:sz w:val="16"/>
          <w:szCs w:val="16"/>
        </w:rPr>
        <w:softHyphen/>
        <w:t>водить» (25010).</w:t>
      </w:r>
    </w:p>
    <w:p w14:paraId="188E417F" w14:textId="77777777" w:rsidR="00EE1118" w:rsidRPr="00142305" w:rsidRDefault="00EE1118" w:rsidP="00EE1118">
      <w:pPr>
        <w:spacing w:after="0" w:line="240" w:lineRule="auto"/>
        <w:jc w:val="both"/>
        <w:rPr>
          <w:rFonts w:ascii="Times New Roman" w:hAnsi="Times New Roman"/>
          <w:color w:val="0070C0"/>
          <w:sz w:val="16"/>
          <w:szCs w:val="16"/>
        </w:rPr>
      </w:pPr>
    </w:p>
    <w:p w14:paraId="24735EE9" w14:textId="77777777" w:rsidR="00EE1118" w:rsidRPr="00142305" w:rsidRDefault="00EE1118" w:rsidP="00EE111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23 мая 1931 г. постановление Комиссии обороны СССР заказ на танки Т-24, сокращенный в апреле 1931 г. до 80, был снижен до 24 машин (26479).</w:t>
      </w:r>
    </w:p>
    <w:p w14:paraId="790CC5D7" w14:textId="77777777" w:rsidR="00EE1118" w:rsidRPr="00142305" w:rsidRDefault="00EE1118" w:rsidP="00EE1118">
      <w:pPr>
        <w:spacing w:after="0" w:line="240" w:lineRule="auto"/>
        <w:jc w:val="both"/>
        <w:rPr>
          <w:rFonts w:ascii="Times New Roman" w:hAnsi="Times New Roman"/>
          <w:color w:val="0070C0"/>
          <w:sz w:val="16"/>
          <w:szCs w:val="16"/>
        </w:rPr>
      </w:pPr>
    </w:p>
    <w:p w14:paraId="7A0EC7F5" w14:textId="77777777" w:rsidR="00EE1118" w:rsidRPr="00142305" w:rsidRDefault="00EE1118" w:rsidP="00EE111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23 мая 1931 г. вышел приказ Высшего Совета народного хозяйства СССР, в котором танк Кристи разрешалось ввести в «Систему танко-тракторно-авто-броневооружения РККА» в качестве танка-истребителя (25184).</w:t>
      </w:r>
    </w:p>
    <w:p w14:paraId="2419EFC7" w14:textId="77777777" w:rsidR="00EE1118" w:rsidRPr="00142305" w:rsidRDefault="00EE1118" w:rsidP="00EE1118">
      <w:pPr>
        <w:spacing w:after="0" w:line="240" w:lineRule="auto"/>
        <w:jc w:val="both"/>
        <w:rPr>
          <w:rFonts w:ascii="Times New Roman" w:hAnsi="Times New Roman"/>
          <w:color w:val="0070C0"/>
          <w:sz w:val="16"/>
          <w:szCs w:val="16"/>
        </w:rPr>
      </w:pPr>
    </w:p>
    <w:p w14:paraId="12105CD1" w14:textId="77777777" w:rsidR="00EE1118" w:rsidRPr="00142305" w:rsidRDefault="00EE1118" w:rsidP="00EE111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23 мая 1931 года было принято окончательное решение о выпуске танков на ХПЗ протоко</w:t>
      </w:r>
      <w:r w:rsidRPr="00142305">
        <w:rPr>
          <w:rFonts w:ascii="Times New Roman" w:hAnsi="Times New Roman"/>
          <w:color w:val="0070C0"/>
          <w:sz w:val="16"/>
          <w:szCs w:val="16"/>
        </w:rPr>
        <w:softHyphen/>
        <w:t>лом № 6 «О танкостроении» Комитета обороны СССР от О БТ там говорилось следующее:</w:t>
      </w:r>
    </w:p>
    <w:p w14:paraId="18C58842" w14:textId="77777777" w:rsidR="00EE1118" w:rsidRPr="00142305" w:rsidRDefault="00EE1118" w:rsidP="00EE111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«Разрешить РВС СССР ввести танк Кристи в «Систему танко-тракторно-автоброневого вооружения РККА» в каче</w:t>
      </w:r>
      <w:r w:rsidRPr="00142305">
        <w:rPr>
          <w:rFonts w:ascii="Times New Roman" w:hAnsi="Times New Roman"/>
          <w:color w:val="0070C0"/>
          <w:sz w:val="16"/>
          <w:szCs w:val="16"/>
        </w:rPr>
        <w:softHyphen/>
        <w:t>стве быстроходного истребителя (БТ).</w:t>
      </w:r>
    </w:p>
    <w:p w14:paraId="6D0906A5" w14:textId="77777777" w:rsidR="00EE1118" w:rsidRPr="00142305" w:rsidRDefault="00EE1118" w:rsidP="00EE111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 Ворошилову и т. Орджоникидзе в декадный срок окончательно догово</w:t>
      </w:r>
      <w:r w:rsidRPr="00142305">
        <w:rPr>
          <w:rFonts w:ascii="Times New Roman" w:hAnsi="Times New Roman"/>
          <w:color w:val="0070C0"/>
          <w:sz w:val="16"/>
          <w:szCs w:val="16"/>
        </w:rPr>
        <w:softHyphen/>
        <w:t>риться, какое максимальное количест</w:t>
      </w:r>
      <w:r w:rsidRPr="00142305">
        <w:rPr>
          <w:rFonts w:ascii="Times New Roman" w:hAnsi="Times New Roman"/>
          <w:color w:val="0070C0"/>
          <w:sz w:val="16"/>
          <w:szCs w:val="16"/>
        </w:rPr>
        <w:softHyphen/>
        <w:t>во БТ (в имеющемся образце, безо вся</w:t>
      </w:r>
      <w:r w:rsidRPr="00142305">
        <w:rPr>
          <w:rFonts w:ascii="Times New Roman" w:hAnsi="Times New Roman"/>
          <w:color w:val="0070C0"/>
          <w:sz w:val="16"/>
          <w:szCs w:val="16"/>
        </w:rPr>
        <w:softHyphen/>
        <w:t>ких изменений) может быть изготовле</w:t>
      </w:r>
      <w:r w:rsidRPr="00142305">
        <w:rPr>
          <w:rFonts w:ascii="Times New Roman" w:hAnsi="Times New Roman"/>
          <w:color w:val="0070C0"/>
          <w:sz w:val="16"/>
          <w:szCs w:val="16"/>
        </w:rPr>
        <w:softHyphen/>
        <w:t>но в 1931 году на ХПЗ, имея ввиду полное снятие заказа на Т-24. Одно</w:t>
      </w:r>
      <w:r w:rsidRPr="00142305">
        <w:rPr>
          <w:rFonts w:ascii="Times New Roman" w:hAnsi="Times New Roman"/>
          <w:color w:val="0070C0"/>
          <w:sz w:val="16"/>
          <w:szCs w:val="16"/>
        </w:rPr>
        <w:softHyphen/>
        <w:t>временно обязать РВС СССР форсиро</w:t>
      </w:r>
      <w:r w:rsidRPr="00142305">
        <w:rPr>
          <w:rFonts w:ascii="Times New Roman" w:hAnsi="Times New Roman"/>
          <w:color w:val="0070C0"/>
          <w:sz w:val="16"/>
          <w:szCs w:val="16"/>
        </w:rPr>
        <w:softHyphen/>
        <w:t>вать работы по модернизации танка Кристи» (25009).</w:t>
      </w:r>
    </w:p>
    <w:p w14:paraId="0E50CA67" w14:textId="77777777" w:rsidR="00EE1118" w:rsidRPr="00142305" w:rsidRDefault="00EE1118" w:rsidP="00EE1118">
      <w:pPr>
        <w:spacing w:after="0" w:line="240" w:lineRule="auto"/>
        <w:jc w:val="both"/>
        <w:rPr>
          <w:rFonts w:ascii="Times New Roman" w:hAnsi="Times New Roman"/>
          <w:color w:val="0070C0"/>
          <w:sz w:val="16"/>
          <w:szCs w:val="16"/>
        </w:rPr>
      </w:pPr>
    </w:p>
    <w:p w14:paraId="4C71789B" w14:textId="77777777" w:rsidR="00EE1118" w:rsidRPr="00142305" w:rsidRDefault="00EE1118" w:rsidP="00EE111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23 мая 1931 года на заседании Комиссии Обороны СССР было решено ввести колесно-гусеничный танк Кристи М19140 в систему автобронетанкового вооружения РККА, как быстроходный танк-истребитель. Так появился танк Б-Т. В качестве площадки для выпуска данного танка был выбран ХПЗ, куда направили группу из 14 конструкторов КБ-3 ВОАО во главе с С.А. Гинзбургом. Работы над документацией по Б-Т завершились 26 июля 1931 года. В августе 1931 года Гинзбург и другие инженеры КБ вернулись в Москву, а руководство танковым КБ (Т-2) ХПЗ временно принял Н.М. Тоскин (25678).</w:t>
      </w:r>
    </w:p>
    <w:p w14:paraId="382CAC13" w14:textId="77777777" w:rsidR="00EE1118" w:rsidRPr="00142305" w:rsidRDefault="00EE1118" w:rsidP="00EE1118">
      <w:pPr>
        <w:spacing w:after="0" w:line="240" w:lineRule="auto"/>
        <w:jc w:val="both"/>
        <w:rPr>
          <w:rFonts w:ascii="Times New Roman" w:hAnsi="Times New Roman"/>
          <w:color w:val="0070C0"/>
          <w:sz w:val="16"/>
          <w:szCs w:val="16"/>
        </w:rPr>
      </w:pPr>
    </w:p>
    <w:p w14:paraId="51B75C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мая 1931 на вооружение приняли танк БТ (176,26), а по другим данным - по постановлению РВС началось его серийное производство на Харьковском паровозостроительном заводе им. Коминтерна (3398,191).</w:t>
      </w:r>
    </w:p>
    <w:p w14:paraId="0252C9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D1AFCDF" w14:textId="77777777" w:rsidR="00974187" w:rsidRPr="005E779E" w:rsidRDefault="009741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23 мая</w:t>
      </w:r>
      <w:r w:rsidRPr="005E779E">
        <w:rPr>
          <w:rFonts w:ascii="Times New Roman" w:hAnsi="Times New Roman"/>
          <w:color w:val="000000" w:themeColor="text1"/>
          <w:sz w:val="16"/>
          <w:szCs w:val="16"/>
        </w:rPr>
        <w:t xml:space="preserve"> в 1931 году по постановлению Реввоенсовета СССР начато серийное производство танка «БТ-2» на Харьковском паровозостроительном заводе имени Коминтерна. Всего было выпущено более 8 тысяч танков «БТ-2», «БТ-5», «БТ-7» (14900).</w:t>
      </w:r>
    </w:p>
    <w:p w14:paraId="4F63BF52" w14:textId="77777777" w:rsidR="00974187" w:rsidRPr="005E779E" w:rsidRDefault="00974187" w:rsidP="000B7A6C">
      <w:pPr>
        <w:spacing w:after="0" w:line="240" w:lineRule="auto"/>
        <w:jc w:val="both"/>
        <w:rPr>
          <w:rFonts w:ascii="Times New Roman" w:hAnsi="Times New Roman"/>
          <w:color w:val="000000" w:themeColor="text1"/>
          <w:sz w:val="16"/>
          <w:szCs w:val="16"/>
        </w:rPr>
      </w:pPr>
    </w:p>
    <w:p w14:paraId="40AF822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мая 1931 70 лет назад - в 1931 году - по постановлению Реввоенсовета СССР начато серийное производство танка БТ-2 на Харьковском паровозостроительном заводе имени Коминтерна. Всего было выпущено более 8 тысяч танков БТ-2, БТ-5, БТ-7 (4963 ).</w:t>
      </w:r>
    </w:p>
    <w:p w14:paraId="282027E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A84C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мая 1931 года РВС не дожидаясь постройки и испытаний советских прототипов, принял танк Кристи на вооружение Красной Армии и рекомендовал машину к серийному выпуску под обозначением БТ (быстроходный танк). Иногда в литературе танки БТ называют Танк А или "Танк-истребитель малой мощности". В танке БТ видели идеальное средство для воплощения теоретических принципов военной доктрины - выполнения самостоятельных (или во взаимодействии с кавалерией) дальних рейдов по тылам противника. Первоначально план предусматривал, что танки БТ будет выпускаться на Ярославском автомобильном Заводе (ЯАЗ). Но затем планы изменились и выпуск наладили на Харьковском Паровозостроительном Заводе им. Коминтерна (ХПЗ), а точнее на заводе № 183, представлявшим собой подразделение ХПЗ, специализирующееся по танкам. На ХПЗ имелось специальное КБ, которое возглавляли И.Алексеенко, затем Н.М.Тоскин, а с 1932 года - А.О.Кучеренко (3862).</w:t>
      </w:r>
    </w:p>
    <w:p w14:paraId="7798D8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7157B53" w14:textId="77777777" w:rsidR="008707F5" w:rsidRPr="005E779E" w:rsidRDefault="008707F5" w:rsidP="000B7A6C">
      <w:pPr>
        <w:spacing w:after="0" w:line="240" w:lineRule="auto"/>
        <w:jc w:val="both"/>
        <w:rPr>
          <w:rFonts w:ascii="Times New Roman" w:hAnsi="Times New Roman"/>
          <w:color w:val="000000" w:themeColor="text1"/>
          <w:sz w:val="16"/>
          <w:szCs w:val="16"/>
          <w:shd w:val="clear" w:color="auto" w:fill="FFFFFF"/>
        </w:rPr>
      </w:pPr>
      <w:r w:rsidRPr="005E779E">
        <w:rPr>
          <w:rFonts w:ascii="Times New Roman" w:hAnsi="Times New Roman"/>
          <w:color w:val="000000" w:themeColor="text1"/>
          <w:sz w:val="16"/>
          <w:szCs w:val="16"/>
          <w:shd w:val="clear" w:color="auto" w:fill="FFFFFF"/>
        </w:rPr>
        <w:t>23 мая 1931 года на заседании Комиссии Обороны СССР было решено ввести танк Кристи в систему автобронетанкового вооружения РККА как быстроходный танк-истребитель. В этот день. Производство данной машины, получившей обозначение БТ, было решено организовать на ХПЗ. По этому поводу идет масса споров насчет того, было ли верным такое решение. Некоторые исследователи называют данное решение чуть ли не ошибкой, приводя примеры возможной модернизации Т-24. Приводится также информация о том, что Т-24 якобы сдавался и с броней 30 мм, о чем Ижорский завод может только развести руками. У них по Т-24 фигурируют толщины 8,5 и 20 мм, так что информация про "утолщенные" Т-24 занятная, но не имеющая под собой никаких оснований. Самое же главное, сравнивая БТ и Т-24, исследователи делают одну принципиальную ошибку. Дело в том, что БТ был последней, но отнюдь не единственной заменой Т-24. Фактически вопрос стоял не в том, заменит ли на БТ данный танк, а на какой именно танк заменяют Т-24 (20204).</w:t>
      </w:r>
    </w:p>
    <w:p w14:paraId="7E28D8C5" w14:textId="77777777" w:rsidR="008707F5" w:rsidRPr="005E779E" w:rsidRDefault="008707F5" w:rsidP="000B7A6C">
      <w:pPr>
        <w:spacing w:after="0" w:line="240" w:lineRule="auto"/>
        <w:jc w:val="both"/>
        <w:rPr>
          <w:rFonts w:ascii="Times New Roman" w:hAnsi="Times New Roman"/>
          <w:color w:val="000000" w:themeColor="text1"/>
          <w:sz w:val="16"/>
          <w:szCs w:val="16"/>
        </w:rPr>
      </w:pPr>
    </w:p>
    <w:p w14:paraId="00110890" w14:textId="77777777" w:rsidR="008707F5" w:rsidRPr="005E779E" w:rsidRDefault="008707F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23 мая 1931 г. на очередном заседа</w:t>
      </w:r>
      <w:r w:rsidRPr="005E779E">
        <w:rPr>
          <w:rFonts w:ascii="Times New Roman" w:hAnsi="Times New Roman"/>
          <w:color w:val="000000" w:themeColor="text1"/>
          <w:sz w:val="16"/>
          <w:szCs w:val="16"/>
          <w:lang w:eastAsia="ru-RU" w:bidi="ru-RU"/>
        </w:rPr>
        <w:softHyphen/>
        <w:t>нии Комиссии Обороны при СНК СССР было принято решение создать специаль</w:t>
      </w:r>
      <w:r w:rsidRPr="005E779E">
        <w:rPr>
          <w:rFonts w:ascii="Times New Roman" w:hAnsi="Times New Roman"/>
          <w:color w:val="000000" w:themeColor="text1"/>
          <w:sz w:val="16"/>
          <w:szCs w:val="16"/>
          <w:lang w:eastAsia="ru-RU" w:bidi="ru-RU"/>
        </w:rPr>
        <w:softHyphen/>
        <w:t>ную комиссию, которая должна была де</w:t>
      </w:r>
      <w:r w:rsidRPr="005E779E">
        <w:rPr>
          <w:rFonts w:ascii="Times New Roman" w:hAnsi="Times New Roman"/>
          <w:color w:val="000000" w:themeColor="text1"/>
          <w:sz w:val="16"/>
          <w:szCs w:val="16"/>
          <w:lang w:eastAsia="ru-RU" w:bidi="ru-RU"/>
        </w:rPr>
        <w:softHyphen/>
        <w:t>тально разобраться с причинами невы</w:t>
      </w:r>
      <w:r w:rsidRPr="005E779E">
        <w:rPr>
          <w:rFonts w:ascii="Times New Roman" w:hAnsi="Times New Roman"/>
          <w:color w:val="000000" w:themeColor="text1"/>
          <w:sz w:val="16"/>
          <w:szCs w:val="16"/>
          <w:lang w:eastAsia="ru-RU" w:bidi="ru-RU"/>
        </w:rPr>
        <w:softHyphen/>
        <w:t>полнения авиапромом плановых заданий по выпуску самолетов и опытному стро</w:t>
      </w:r>
      <w:r w:rsidRPr="005E779E">
        <w:rPr>
          <w:rFonts w:ascii="Times New Roman" w:hAnsi="Times New Roman"/>
          <w:color w:val="000000" w:themeColor="text1"/>
          <w:sz w:val="16"/>
          <w:szCs w:val="16"/>
          <w:lang w:eastAsia="ru-RU" w:bidi="ru-RU"/>
        </w:rPr>
        <w:softHyphen/>
        <w:t>ительству и на основании этого внести в правительство конкретные предложения по коренному улучшению ситуации.</w:t>
      </w:r>
    </w:p>
    <w:p w14:paraId="28822DB1" w14:textId="77777777" w:rsidR="008707F5" w:rsidRPr="005E779E" w:rsidRDefault="008707F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Первые выводы из работы комиссии были доложены 25 июля на заседании Совета Труда и Обороны. По итогам обсу</w:t>
      </w:r>
      <w:r w:rsidRPr="005E779E">
        <w:rPr>
          <w:rFonts w:ascii="Times New Roman" w:hAnsi="Times New Roman"/>
          <w:color w:val="000000" w:themeColor="text1"/>
          <w:sz w:val="16"/>
          <w:szCs w:val="16"/>
          <w:lang w:eastAsia="ru-RU" w:bidi="ru-RU"/>
        </w:rPr>
        <w:softHyphen/>
        <w:t>ждения вышло постановление №158сс.</w:t>
      </w:r>
    </w:p>
    <w:p w14:paraId="251FADAE" w14:textId="77777777" w:rsidR="008707F5" w:rsidRPr="005E779E" w:rsidRDefault="008707F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В ряду первоочередных мероприя</w:t>
      </w:r>
      <w:r w:rsidRPr="005E779E">
        <w:rPr>
          <w:rFonts w:ascii="Times New Roman" w:hAnsi="Times New Roman"/>
          <w:color w:val="000000" w:themeColor="text1"/>
          <w:sz w:val="16"/>
          <w:szCs w:val="16"/>
          <w:lang w:eastAsia="ru-RU" w:bidi="ru-RU"/>
        </w:rPr>
        <w:softHyphen/>
        <w:t>тий, направленных на ликвидацию про</w:t>
      </w:r>
      <w:r w:rsidRPr="005E779E">
        <w:rPr>
          <w:rFonts w:ascii="Times New Roman" w:hAnsi="Times New Roman"/>
          <w:color w:val="000000" w:themeColor="text1"/>
          <w:sz w:val="16"/>
          <w:szCs w:val="16"/>
          <w:lang w:eastAsia="ru-RU" w:bidi="ru-RU"/>
        </w:rPr>
        <w:softHyphen/>
        <w:t>рыва в авиапромышленности, предла</w:t>
      </w:r>
      <w:r w:rsidRPr="005E779E">
        <w:rPr>
          <w:rFonts w:ascii="Times New Roman" w:hAnsi="Times New Roman"/>
          <w:color w:val="000000" w:themeColor="text1"/>
          <w:sz w:val="16"/>
          <w:szCs w:val="16"/>
          <w:lang w:eastAsia="ru-RU" w:bidi="ru-RU"/>
        </w:rPr>
        <w:softHyphen/>
        <w:t>галось «ВАО поставить себе главной за</w:t>
      </w:r>
      <w:r w:rsidRPr="005E779E">
        <w:rPr>
          <w:rFonts w:ascii="Times New Roman" w:hAnsi="Times New Roman"/>
          <w:color w:val="000000" w:themeColor="text1"/>
          <w:sz w:val="16"/>
          <w:szCs w:val="16"/>
          <w:lang w:eastAsia="ru-RU" w:bidi="ru-RU"/>
        </w:rPr>
        <w:softHyphen/>
        <w:t>дачей переход в кратчайший срок на механизированное производство, при</w:t>
      </w:r>
      <w:r w:rsidRPr="005E779E">
        <w:rPr>
          <w:rFonts w:ascii="Times New Roman" w:hAnsi="Times New Roman"/>
          <w:color w:val="000000" w:themeColor="text1"/>
          <w:sz w:val="16"/>
          <w:szCs w:val="16"/>
          <w:lang w:eastAsia="ru-RU" w:bidi="ru-RU"/>
        </w:rPr>
        <w:softHyphen/>
        <w:t>менение штамповки, сварки и прочих способов массового изготовления дета</w:t>
      </w:r>
      <w:r w:rsidRPr="005E779E">
        <w:rPr>
          <w:rFonts w:ascii="Times New Roman" w:hAnsi="Times New Roman"/>
          <w:color w:val="000000" w:themeColor="text1"/>
          <w:sz w:val="16"/>
          <w:szCs w:val="16"/>
          <w:lang w:eastAsia="ru-RU" w:bidi="ru-RU"/>
        </w:rPr>
        <w:softHyphen/>
        <w:t>лей и их сборки».</w:t>
      </w:r>
    </w:p>
    <w:p w14:paraId="4B56AD2C" w14:textId="77777777" w:rsidR="008707F5" w:rsidRPr="005E779E" w:rsidRDefault="008707F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Требовалось «обязать ВАО, реши</w:t>
      </w:r>
      <w:r w:rsidRPr="005E779E">
        <w:rPr>
          <w:rFonts w:ascii="Times New Roman" w:hAnsi="Times New Roman"/>
          <w:color w:val="000000" w:themeColor="text1"/>
          <w:sz w:val="16"/>
          <w:szCs w:val="16"/>
          <w:lang w:eastAsia="ru-RU" w:bidi="ru-RU"/>
        </w:rPr>
        <w:softHyphen/>
        <w:t>тельно пресекая попытки отдельных това</w:t>
      </w:r>
      <w:r w:rsidRPr="005E779E">
        <w:rPr>
          <w:rFonts w:ascii="Times New Roman" w:hAnsi="Times New Roman"/>
          <w:color w:val="000000" w:themeColor="text1"/>
          <w:sz w:val="16"/>
          <w:szCs w:val="16"/>
          <w:lang w:eastAsia="ru-RU" w:bidi="ru-RU"/>
        </w:rPr>
        <w:softHyphen/>
        <w:t>рищей превратить опытное производство в самоцель, взять основную установку на скорейшее внедрение в серийное про</w:t>
      </w:r>
      <w:r w:rsidRPr="005E779E">
        <w:rPr>
          <w:rFonts w:ascii="Times New Roman" w:hAnsi="Times New Roman"/>
          <w:color w:val="000000" w:themeColor="text1"/>
          <w:sz w:val="16"/>
          <w:szCs w:val="16"/>
          <w:lang w:eastAsia="ru-RU" w:bidi="ru-RU"/>
        </w:rPr>
        <w:softHyphen/>
        <w:t>изводство построенных и испытанных образцов самолетов и моторов, как пер</w:t>
      </w:r>
      <w:r w:rsidRPr="005E779E">
        <w:rPr>
          <w:rFonts w:ascii="Times New Roman" w:hAnsi="Times New Roman"/>
          <w:color w:val="000000" w:themeColor="text1"/>
          <w:sz w:val="16"/>
          <w:szCs w:val="16"/>
          <w:lang w:eastAsia="ru-RU" w:bidi="ru-RU"/>
        </w:rPr>
        <w:softHyphen/>
        <w:t>воочередную свою задачу (в сроки не бо</w:t>
      </w:r>
      <w:r w:rsidRPr="005E779E">
        <w:rPr>
          <w:rFonts w:ascii="Times New Roman" w:hAnsi="Times New Roman"/>
          <w:color w:val="000000" w:themeColor="text1"/>
          <w:sz w:val="16"/>
          <w:szCs w:val="16"/>
          <w:lang w:eastAsia="ru-RU" w:bidi="ru-RU"/>
        </w:rPr>
        <w:softHyphen/>
        <w:t>лее как 6-8 месяцев)».</w:t>
      </w:r>
    </w:p>
    <w:p w14:paraId="573E5D54" w14:textId="77777777" w:rsidR="008707F5" w:rsidRPr="005E779E" w:rsidRDefault="008707F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С целью экономии дефицитного дюра</w:t>
      </w:r>
      <w:r w:rsidRPr="005E779E">
        <w:rPr>
          <w:rFonts w:ascii="Times New Roman" w:hAnsi="Times New Roman"/>
          <w:color w:val="000000" w:themeColor="text1"/>
          <w:sz w:val="16"/>
          <w:szCs w:val="16"/>
          <w:lang w:eastAsia="ru-RU" w:bidi="ru-RU"/>
        </w:rPr>
        <w:softHyphen/>
        <w:t>люминия считалось необходимым «проек</w:t>
      </w:r>
      <w:r w:rsidRPr="005E779E">
        <w:rPr>
          <w:rFonts w:ascii="Times New Roman" w:hAnsi="Times New Roman"/>
          <w:color w:val="000000" w:themeColor="text1"/>
          <w:sz w:val="16"/>
          <w:szCs w:val="16"/>
          <w:lang w:eastAsia="ru-RU" w:bidi="ru-RU"/>
        </w:rPr>
        <w:softHyphen/>
        <w:t>тировать и производить тяжелые и сверх</w:t>
      </w:r>
      <w:r w:rsidRPr="005E779E">
        <w:rPr>
          <w:rFonts w:ascii="Times New Roman" w:hAnsi="Times New Roman"/>
          <w:color w:val="000000" w:themeColor="text1"/>
          <w:sz w:val="16"/>
          <w:szCs w:val="16"/>
          <w:lang w:eastAsia="ru-RU" w:bidi="ru-RU"/>
        </w:rPr>
        <w:softHyphen/>
        <w:t>тяжелые самолеты из металла с возможно большим применением стали и уменьше</w:t>
      </w:r>
      <w:r w:rsidRPr="005E779E">
        <w:rPr>
          <w:rFonts w:ascii="Times New Roman" w:hAnsi="Times New Roman"/>
          <w:color w:val="000000" w:themeColor="text1"/>
          <w:sz w:val="16"/>
          <w:szCs w:val="16"/>
          <w:lang w:eastAsia="ru-RU" w:bidi="ru-RU"/>
        </w:rPr>
        <w:softHyphen/>
        <w:t>нием алюминия, а самолетов легкого типа по преимуществу смешанной конструкции (сталь, дерево, полотно)».</w:t>
      </w:r>
    </w:p>
    <w:p w14:paraId="0E8F5262" w14:textId="77777777" w:rsidR="008707F5" w:rsidRPr="005E779E" w:rsidRDefault="008707F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Предлагалось закупить лицензии и ос</w:t>
      </w:r>
      <w:r w:rsidRPr="005E779E">
        <w:rPr>
          <w:rFonts w:ascii="Times New Roman" w:hAnsi="Times New Roman"/>
          <w:color w:val="000000" w:themeColor="text1"/>
          <w:sz w:val="16"/>
          <w:szCs w:val="16"/>
          <w:lang w:eastAsia="ru-RU" w:bidi="ru-RU"/>
        </w:rPr>
        <w:softHyphen/>
        <w:t>воить технологии и зарубежный опыт на производство разрезных крыльев, совре</w:t>
      </w:r>
      <w:r w:rsidRPr="005E779E">
        <w:rPr>
          <w:rFonts w:ascii="Times New Roman" w:hAnsi="Times New Roman"/>
          <w:color w:val="000000" w:themeColor="text1"/>
          <w:sz w:val="16"/>
          <w:szCs w:val="16"/>
          <w:lang w:eastAsia="ru-RU" w:bidi="ru-RU"/>
        </w:rPr>
        <w:softHyphen/>
        <w:t>менных моторов жидкостного и воздуш</w:t>
      </w:r>
      <w:r w:rsidRPr="005E779E">
        <w:rPr>
          <w:rFonts w:ascii="Times New Roman" w:hAnsi="Times New Roman"/>
          <w:color w:val="000000" w:themeColor="text1"/>
          <w:sz w:val="16"/>
          <w:szCs w:val="16"/>
          <w:lang w:eastAsia="ru-RU" w:bidi="ru-RU"/>
        </w:rPr>
        <w:softHyphen/>
        <w:t>ного охлаждения, хромомолибденовых труб, по литью, ковке, штамповке и термо</w:t>
      </w:r>
      <w:r w:rsidRPr="005E779E">
        <w:rPr>
          <w:rFonts w:ascii="Times New Roman" w:hAnsi="Times New Roman"/>
          <w:color w:val="000000" w:themeColor="text1"/>
          <w:sz w:val="16"/>
          <w:szCs w:val="16"/>
          <w:lang w:eastAsia="ru-RU" w:bidi="ru-RU"/>
        </w:rPr>
        <w:softHyphen/>
        <w:t>обработке алюминиевых сплавов, изго</w:t>
      </w:r>
      <w:r w:rsidRPr="005E779E">
        <w:rPr>
          <w:rFonts w:ascii="Times New Roman" w:hAnsi="Times New Roman"/>
          <w:color w:val="000000" w:themeColor="text1"/>
          <w:sz w:val="16"/>
          <w:szCs w:val="16"/>
          <w:lang w:eastAsia="ru-RU" w:bidi="ru-RU"/>
        </w:rPr>
        <w:softHyphen/>
        <w:t>товления металлических винтов, самопу</w:t>
      </w:r>
      <w:r w:rsidRPr="005E779E">
        <w:rPr>
          <w:rFonts w:ascii="Times New Roman" w:hAnsi="Times New Roman"/>
          <w:color w:val="000000" w:themeColor="text1"/>
          <w:sz w:val="16"/>
          <w:szCs w:val="16"/>
          <w:lang w:eastAsia="ru-RU" w:bidi="ru-RU"/>
        </w:rPr>
        <w:softHyphen/>
        <w:t>сков, тормозных колес и т.д.</w:t>
      </w:r>
    </w:p>
    <w:p w14:paraId="2B583E8A" w14:textId="77777777" w:rsidR="008707F5" w:rsidRPr="005E779E" w:rsidRDefault="008707F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Управление ВВС и ВАО обязывались «в месячный срок разработать и предста</w:t>
      </w:r>
      <w:r w:rsidRPr="005E779E">
        <w:rPr>
          <w:rFonts w:ascii="Times New Roman" w:hAnsi="Times New Roman"/>
          <w:color w:val="000000" w:themeColor="text1"/>
          <w:sz w:val="16"/>
          <w:szCs w:val="16"/>
          <w:lang w:eastAsia="ru-RU" w:bidi="ru-RU"/>
        </w:rPr>
        <w:softHyphen/>
        <w:t>вить на утверждение СТО план опытного строительства самолетов и моторов, имея в виду «сокращение типов моторов и са</w:t>
      </w:r>
      <w:r w:rsidRPr="005E779E">
        <w:rPr>
          <w:rFonts w:ascii="Times New Roman" w:hAnsi="Times New Roman"/>
          <w:color w:val="000000" w:themeColor="text1"/>
          <w:sz w:val="16"/>
          <w:szCs w:val="16"/>
          <w:lang w:eastAsia="ru-RU" w:bidi="ru-RU"/>
        </w:rPr>
        <w:softHyphen/>
        <w:t>молетов ВВС и унификацию военных и гражданских моторов и самолетов».</w:t>
      </w:r>
    </w:p>
    <w:p w14:paraId="7363EBCD" w14:textId="77777777" w:rsidR="008707F5" w:rsidRPr="005E779E" w:rsidRDefault="008707F5" w:rsidP="000B7A6C">
      <w:pPr>
        <w:spacing w:after="0" w:line="240" w:lineRule="auto"/>
        <w:jc w:val="both"/>
        <w:rPr>
          <w:rFonts w:ascii="Times New Roman" w:hAnsi="Times New Roman"/>
          <w:color w:val="000000" w:themeColor="text1"/>
          <w:sz w:val="16"/>
          <w:szCs w:val="16"/>
          <w:lang w:eastAsia="ru-RU" w:bidi="ru-RU"/>
        </w:rPr>
      </w:pPr>
      <w:r w:rsidRPr="005E779E">
        <w:rPr>
          <w:rFonts w:ascii="Times New Roman" w:hAnsi="Times New Roman"/>
          <w:color w:val="000000" w:themeColor="text1"/>
          <w:sz w:val="16"/>
          <w:szCs w:val="16"/>
          <w:lang w:eastAsia="ru-RU" w:bidi="ru-RU"/>
        </w:rPr>
        <w:t>Одновременно по инициативе ВАО была принята сокращенная программа производства боевых самолетов в 1931 г., согласно которой к концу года советский авиапром, помимо других машин, должен выпустить 10 бронированных штурмови</w:t>
      </w:r>
      <w:r w:rsidRPr="005E779E">
        <w:rPr>
          <w:rFonts w:ascii="Times New Roman" w:hAnsi="Times New Roman"/>
          <w:color w:val="000000" w:themeColor="text1"/>
          <w:sz w:val="16"/>
          <w:szCs w:val="16"/>
          <w:lang w:eastAsia="ru-RU" w:bidi="ru-RU"/>
        </w:rPr>
        <w:softHyphen/>
        <w:t>ков ТШ-2 М-17 войсковой серии (21062).</w:t>
      </w:r>
    </w:p>
    <w:p w14:paraId="5B5A161A" w14:textId="77777777" w:rsidR="008707F5" w:rsidRPr="005E779E" w:rsidRDefault="008707F5" w:rsidP="000B7A6C">
      <w:pPr>
        <w:spacing w:after="0" w:line="240" w:lineRule="auto"/>
        <w:jc w:val="both"/>
        <w:rPr>
          <w:rFonts w:ascii="Times New Roman" w:hAnsi="Times New Roman"/>
          <w:color w:val="000000" w:themeColor="text1"/>
          <w:sz w:val="16"/>
          <w:szCs w:val="16"/>
        </w:rPr>
      </w:pPr>
    </w:p>
    <w:p w14:paraId="2A0EBC63" w14:textId="77777777" w:rsidR="008707F5" w:rsidRPr="005E779E" w:rsidRDefault="008707F5"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shd w:val="clear" w:color="auto" w:fill="FFFFFF"/>
        </w:rPr>
        <w:lastRenderedPageBreak/>
        <w:t>23 мая 1931 года на заседании Комиссии Обороны СССР было решено организовать на ХПЗ выпуск танков Б-Т. Это стало итогом изучения образцов танка Кристи, которые были закуплены для Советского Союза (20375).</w:t>
      </w:r>
    </w:p>
    <w:p w14:paraId="125DECBF" w14:textId="77777777" w:rsidR="008707F5" w:rsidRPr="005E779E" w:rsidRDefault="008707F5" w:rsidP="000B7A6C">
      <w:pPr>
        <w:shd w:val="clear" w:color="auto" w:fill="FFFFFF"/>
        <w:spacing w:after="0" w:line="240" w:lineRule="auto"/>
        <w:jc w:val="both"/>
        <w:rPr>
          <w:rFonts w:ascii="Times New Roman" w:hAnsi="Times New Roman"/>
          <w:color w:val="000000" w:themeColor="text1"/>
          <w:sz w:val="16"/>
          <w:szCs w:val="16"/>
        </w:rPr>
      </w:pPr>
    </w:p>
    <w:p w14:paraId="3DB9850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мая 1931 г. в протоколе КО «О танкостроении» было принято окончательное решение о производстве танка «БТ-Кристи» на ХПЗ, где особо оговаривалось: «Разрешить РВСССР ввести танк Кристи в систему авто-броне-танко-тракторного вооружения РККА в качестве быстро</w:t>
      </w:r>
      <w:r w:rsidRPr="005E779E">
        <w:rPr>
          <w:rFonts w:ascii="Times New Roman" w:hAnsi="Times New Roman"/>
          <w:color w:val="000000" w:themeColor="text1"/>
          <w:sz w:val="16"/>
          <w:szCs w:val="16"/>
        </w:rPr>
        <w:softHyphen/>
        <w:t>ходного истребителя (Б-Т).» (10733,195).</w:t>
      </w:r>
    </w:p>
    <w:p w14:paraId="113025B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24D4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мая 1931 года в Протоколе № 6 Комиссии Обороны СССР было принято окончательное решение о производстве БТ на ХПЗ и о свертывании производства маневренного танка Т-24. Правда дирекция завода до последней попытки отстаивала проект собственного танка Т-24. Директор ГХПЗ Бондаренко с целью дискредитации танка "Кристи" открыто назвал его "вредительским". Не смотря на снятие с серийного производства танка Т-24, тракторный отдел технической конторы ГХПЗ в 1930-1935 году разработал на базе танка средний артиллерийский тягач, принятый на вооружение РККА под маркой "Коминтерн". Артиллерийский тягач "Коминтерн" серийно изготовлялся до 1940 года. Этот тягач стал классическим образцом компоновки специализированного артиллерийского тягача. За время производства было собрано 1798 тягачей, которые широко использовались как в армии, так и в народном хозяйстве. Танкам Т-24 не посчастливилось со службой в войсках. Первоначально 24 изготовленных танка Т-24 предусматривалось использовать в качестве танков усиления. Однако со временем их перевели в разряд учебных машин. Небольшое количество изготовленных танков определила их локальное расположение. 18 танков Т-24 остались в Харьковском военном округе в составе учебного танкового полка. Один танк Т-24 был приписан к Московскому военному округу в составе Военной Академии механизации и моторизации РККА. Пять танков Т-24 остались в распоряжении НИАП и НИИБТ полигона. Однако их служба была довольно недолгой. В начале 1938 года 22 танка Т-24 было передано на склады НЗ. Состояние танков было ужасным. Большинство из них имели неисправные двигатели, трансмиссию и вооружение. Некоторые танки были совсем разоружены (10278).</w:t>
      </w:r>
    </w:p>
    <w:p w14:paraId="42FBCA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085BC1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мая 1931 года было принято решение начать на ХПЗ произ</w:t>
      </w:r>
      <w:r w:rsidRPr="005E779E">
        <w:rPr>
          <w:rFonts w:ascii="Times New Roman" w:hAnsi="Times New Roman"/>
          <w:color w:val="000000" w:themeColor="text1"/>
          <w:sz w:val="16"/>
          <w:szCs w:val="16"/>
        </w:rPr>
        <w:softHyphen/>
        <w:t>водство танка БТ на базе шасси танка «Кристи» и тогдашний главный ин</w:t>
      </w:r>
      <w:r w:rsidRPr="005E779E">
        <w:rPr>
          <w:rFonts w:ascii="Times New Roman" w:hAnsi="Times New Roman"/>
          <w:color w:val="000000" w:themeColor="text1"/>
          <w:sz w:val="16"/>
          <w:szCs w:val="16"/>
        </w:rPr>
        <w:softHyphen/>
        <w:t>женер завода И.П.Бондаренко в разговоре с Председателей Совнаркома Украины Власом Яковлевичем Чубарем посетовал, что для организации такого важного и крупного дела на заводе почти нет грамотных инжене</w:t>
      </w:r>
      <w:r w:rsidRPr="005E779E">
        <w:rPr>
          <w:rFonts w:ascii="Times New Roman" w:hAnsi="Times New Roman"/>
          <w:color w:val="000000" w:themeColor="text1"/>
          <w:sz w:val="16"/>
          <w:szCs w:val="16"/>
        </w:rPr>
        <w:softHyphen/>
        <w:t>ров-машиностроителей, способных не только организовать производство, но и тут же приняться за его совершенствование.</w:t>
      </w:r>
    </w:p>
    <w:p w14:paraId="358D740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Хотя это и говорит о доверии к танкостроителям, об уверенности в безошибочности конструктивных решений, — сказал Бондаренко Чуба-рю, но из практики известно, что с танком еще придется повозиться.</w:t>
      </w:r>
    </w:p>
    <w:p w14:paraId="0EA8264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Где же их взять, грамотных инженеров-машиностроителей? — спро</w:t>
      </w:r>
      <w:r w:rsidRPr="005E779E">
        <w:rPr>
          <w:rFonts w:ascii="Times New Roman" w:hAnsi="Times New Roman"/>
          <w:color w:val="000000" w:themeColor="text1"/>
          <w:sz w:val="16"/>
          <w:szCs w:val="16"/>
        </w:rPr>
        <w:softHyphen/>
        <w:t>сил Чубарь.</w:t>
      </w:r>
    </w:p>
    <w:p w14:paraId="63D22CF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Слышал я, Влас Яковлевич, летом прошлого года в Николаеве суди</w:t>
      </w:r>
      <w:r w:rsidRPr="005E779E">
        <w:rPr>
          <w:rFonts w:ascii="Times New Roman" w:hAnsi="Times New Roman"/>
          <w:color w:val="000000" w:themeColor="text1"/>
          <w:sz w:val="16"/>
          <w:szCs w:val="16"/>
        </w:rPr>
        <w:softHyphen/>
        <w:t>ли «старых спецов». Не знаю, виноваты ли они, но говорили, что грамот</w:t>
      </w:r>
      <w:r w:rsidRPr="005E779E">
        <w:rPr>
          <w:rFonts w:ascii="Times New Roman" w:hAnsi="Times New Roman"/>
          <w:color w:val="000000" w:themeColor="text1"/>
          <w:sz w:val="16"/>
          <w:szCs w:val="16"/>
        </w:rPr>
        <w:softHyphen/>
        <w:t>ные и толковые, причем дизелисты. А нам ведь на танк нужен тоже дизель — так поговаривают военные, рассказывал Бондаренко Чубарю.</w:t>
      </w:r>
    </w:p>
    <w:p w14:paraId="1112F2A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Поговорите с начальником ОГПУ Балицким и с Серго Орджони</w:t>
      </w:r>
      <w:r w:rsidRPr="005E779E">
        <w:rPr>
          <w:rFonts w:ascii="Times New Roman" w:hAnsi="Times New Roman"/>
          <w:color w:val="000000" w:themeColor="text1"/>
          <w:sz w:val="16"/>
          <w:szCs w:val="16"/>
        </w:rPr>
        <w:softHyphen/>
        <w:t>кидзе, может быть они помогут?</w:t>
      </w:r>
    </w:p>
    <w:p w14:paraId="1EF3564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следующий день Чубарь позвонил председателю ОГПУ Украины Балицкому и председателю ВСНХ Серго Орджоникидзе. Через несколь</w:t>
      </w:r>
      <w:r w:rsidRPr="005E779E">
        <w:rPr>
          <w:rFonts w:ascii="Times New Roman" w:hAnsi="Times New Roman"/>
          <w:color w:val="000000" w:themeColor="text1"/>
          <w:sz w:val="16"/>
          <w:szCs w:val="16"/>
        </w:rPr>
        <w:softHyphen/>
        <w:t>ко дней Иван Петрович Бондаренко, сидя в одном из кабинетов на Со</w:t>
      </w:r>
      <w:r w:rsidRPr="005E779E">
        <w:rPr>
          <w:rFonts w:ascii="Times New Roman" w:hAnsi="Times New Roman"/>
          <w:color w:val="000000" w:themeColor="text1"/>
          <w:sz w:val="16"/>
          <w:szCs w:val="16"/>
        </w:rPr>
        <w:softHyphen/>
        <w:t>внаркомовской, просматривал анкетные данные инженеров по дизелест-роению на Николаевских государственных судостроительных заводах им. А. Марти, осужденных коллегией ОГПУ 23 июня 1930 года по ст. 54-7 УК УССР (вредительство) к 5 годам лишения свободы, с отбыванием наказа</w:t>
      </w:r>
      <w:r w:rsidRPr="005E779E">
        <w:rPr>
          <w:rFonts w:ascii="Times New Roman" w:hAnsi="Times New Roman"/>
          <w:color w:val="000000" w:themeColor="text1"/>
          <w:sz w:val="16"/>
          <w:szCs w:val="16"/>
        </w:rPr>
        <w:softHyphen/>
        <w:t>ния в концлагере.</w:t>
      </w:r>
    </w:p>
    <w:p w14:paraId="7842577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Внимание Бондаренко привлекли четыре фамилии: А.С.Куприянов, А.О.Фирсов, В.Э.Клодт и К.И.Цареквицкий.</w:t>
      </w:r>
    </w:p>
    <w:p w14:paraId="2422FA8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«Подайте ходатайство на имя председателя ОГПУ В.Р.Менжинского о пересмотре дел и освобождении выбранных Вами инженеров хотя бы ус</w:t>
      </w:r>
      <w:r w:rsidRPr="005E779E">
        <w:rPr>
          <w:rFonts w:ascii="Times New Roman" w:hAnsi="Times New Roman"/>
          <w:color w:val="000000" w:themeColor="text1"/>
          <w:sz w:val="16"/>
          <w:szCs w:val="16"/>
        </w:rPr>
        <w:softHyphen/>
        <w:t>ловно и просите на оставшийся срок выслать их в распоряжение ХПЗ, сказал Балицкий Бондаренко. — Пусть ходатайство поддержит Предсов-наркома Украины Чубарь и председатель ВСНХ СССР Орджоникидзе».</w:t>
      </w:r>
    </w:p>
    <w:p w14:paraId="6CF1D5C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Так Иван Петрович Бондаренко сыграл роль в судьбе четырех инжене</w:t>
      </w:r>
      <w:r w:rsidRPr="005E779E">
        <w:rPr>
          <w:rFonts w:ascii="Times New Roman" w:hAnsi="Times New Roman"/>
          <w:color w:val="000000" w:themeColor="text1"/>
          <w:sz w:val="16"/>
          <w:szCs w:val="16"/>
        </w:rPr>
        <w:softHyphen/>
        <w:t>ров, которых видел только на фотографиях их уголовных дел. А те, кого выбрал в свои помощники главный инженер ХПЗ, находились в это время в Николаевской тюрьме и ждали этапа «для отбытия наказания в Соло</w:t>
      </w:r>
      <w:r w:rsidRPr="005E779E">
        <w:rPr>
          <w:rFonts w:ascii="Times New Roman" w:hAnsi="Times New Roman"/>
          <w:color w:val="000000" w:themeColor="text1"/>
          <w:sz w:val="16"/>
          <w:szCs w:val="16"/>
        </w:rPr>
        <w:softHyphen/>
        <w:t>вецкие лагеря особого назначения». Указание об этом поступило 30 июня 1931 года уже от начальника ОЦР (отдела центральной регистратуры). ОГПУ. Это указание хранится в архивном уголовном деле А.О.Фирсова. Больше трех месяцев решалась «в верхах» судьба четырех «старых спе</w:t>
      </w:r>
      <w:r w:rsidRPr="005E779E">
        <w:rPr>
          <w:rFonts w:ascii="Times New Roman" w:hAnsi="Times New Roman"/>
          <w:color w:val="000000" w:themeColor="text1"/>
          <w:sz w:val="16"/>
          <w:szCs w:val="16"/>
        </w:rPr>
        <w:softHyphen/>
        <w:t>цов» с Николаевских судостроительных заводов, о чем и не ведали сами осужденные, сидя в переполненной камере тюрьмы вместе с уголовника</w:t>
      </w:r>
      <w:r w:rsidRPr="005E779E">
        <w:rPr>
          <w:rFonts w:ascii="Times New Roman" w:hAnsi="Times New Roman"/>
          <w:color w:val="000000" w:themeColor="text1"/>
          <w:sz w:val="16"/>
          <w:szCs w:val="16"/>
        </w:rPr>
        <w:softHyphen/>
        <w:t>ми. И вот, недоумевающие и гадающие: «Куда и зачем везут?», Фирсов, Клод, Куприянов и Цереквицкий ехали с небольшим этапом в Москву, а не тем же путем, которым обычно шли этапы из Николаева в Соловки, и не тем, которым проследовал в Москву из Соловецких лагерей нэпман инженер Френкель для осуществления своего «гениального плана» о «ра</w:t>
      </w:r>
      <w:r w:rsidRPr="005E779E">
        <w:rPr>
          <w:rFonts w:ascii="Times New Roman" w:hAnsi="Times New Roman"/>
          <w:color w:val="000000" w:themeColor="text1"/>
          <w:sz w:val="16"/>
          <w:szCs w:val="16"/>
        </w:rPr>
        <w:softHyphen/>
        <w:t>циональном» использовании огромных масс заключенных.</w:t>
      </w:r>
    </w:p>
    <w:p w14:paraId="14A3DB4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Однако Фирсов, Клодт и Цереквицкий не сразу попали на ХПЗ, сначала они оказались во внутренней тюрьме на Лубянке. Заключенные недоумева</w:t>
      </w:r>
      <w:r w:rsidRPr="005E779E">
        <w:rPr>
          <w:rFonts w:ascii="Times New Roman" w:hAnsi="Times New Roman"/>
          <w:color w:val="000000" w:themeColor="text1"/>
          <w:sz w:val="16"/>
          <w:szCs w:val="16"/>
        </w:rPr>
        <w:softHyphen/>
        <w:t>ли, зачем их привезли на Лубянку, ожидая, естественно самого худшего... (11504).</w:t>
      </w:r>
    </w:p>
    <w:p w14:paraId="6D1F5F6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9B9F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мая 1931 года Окончательное решение о свертывании производства маневренного танка Т-24 и организацию серийного производства танка БТ было закреплено в Протоколе № 6 Комиссии Обороны СССР (10710).</w:t>
      </w:r>
    </w:p>
    <w:p w14:paraId="5843BF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A0375B6" w14:textId="77777777" w:rsidR="00E454FF" w:rsidRPr="005E779E" w:rsidRDefault="00E454F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мая 1931 г. постановление Комиссии обороны СССР заказ на танки Т-24 был сокращен до 24 машин (12303).</w:t>
      </w:r>
    </w:p>
    <w:p w14:paraId="31C7939F" w14:textId="77777777" w:rsidR="00E454FF" w:rsidRPr="005E779E" w:rsidRDefault="00E454FF" w:rsidP="000B7A6C">
      <w:pPr>
        <w:spacing w:after="0" w:line="240" w:lineRule="auto"/>
        <w:jc w:val="both"/>
        <w:rPr>
          <w:rFonts w:ascii="Times New Roman" w:hAnsi="Times New Roman"/>
          <w:color w:val="000000" w:themeColor="text1"/>
          <w:sz w:val="16"/>
          <w:szCs w:val="16"/>
        </w:rPr>
      </w:pPr>
    </w:p>
    <w:p w14:paraId="5076FF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мая 1931 у танка Кристи на испытаниях вновь сломался кронштейн ленивца и машину отправили на ремонт, занявший трое суток (3879,7).</w:t>
      </w:r>
    </w:p>
    <w:p w14:paraId="003C2D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FB2044C" w14:textId="6486727C"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мая 1931 г. на заводе (Ордена Ленина завод № 183 им. Коминтерна НКОП, НКСМ, НКТП, Харьковский паровозостроительный завод (ХПЗ) им. Коминтерна НКТП, Государственный ХПЗ (ГХПЗ), Уральский танковый завод (УТЗ) № 183 им. Коминтерна НКТП, УТЗ им. Сталина НКТП, «Уралвагонзавод» (УВЗ) НКТП, Минтрансмаша, ПО «УВЗ» им. Ф.Э. Дзержинского», ФГУП «ПО «УВЗ им. Ф.Э. Дзержинского» ФАП, ОАО «Научно-производственная корпорация (НПК) «УВЗ» / г. Харьков п/я 61 «Коминтернзавод» (1938 г.);</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Нижний Тагил/ /622007(51) начато освоение производства танка БТ. Требовалось изготовить два опытных танка к 15.09.1931 г., первые 20 серийных машин - к 1.11.1931 г., ак 1.01.1932 г.-100 машин.</w:t>
      </w:r>
    </w:p>
    <w:p w14:paraId="0B5B8A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 СНК заводу во втором полугодии 1933 г. было поручено начать серийный выпуск танка Т-35А, для этого в 06.1933 г. на завод передан опытный Т-35-2. Первый танк собран в 11.1933 г. Пост. Главного Военного Совета СССР о 8.06.1939 г. производство Т-35 было прекращено.</w:t>
      </w:r>
    </w:p>
    <w:p w14:paraId="51CB6C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1931-33 г. на заводе был спроектирован и построен опытный танковый дизель БД-1, затем - БД-2. Приказом № 00156 от 14.07.1937 г. на завод командировано 10 специалистов по дизелям. По распоряжению СНК № 2358сс от 27.07.1937 г. и пр. НКОП № 00174 от 9.08.1937 г. заводу передан из ведения ГУ ГВФ Харьковский НИ авиадизельный институт в качестве научно-исследовательской базы Отдела «400» по доводке дизеля БД-2. Во исполнение решения правительства № 168сс от 1.11.1937 г. приказом № 45сс от 5/7.02.1938 г. заводу предписано вести подготовку производства в 1938 г. дизелей: авиационного АН-1РТК, морского МН-1 и танкового БД-2. Для этого сюда должны были быть командированы специалисты по дизелям (29 чел.) из ЦИАМ и к 15.03.1938 г. передана тематика по дизелям со всем оборудованием и кадрами из ХАИ. Приказом № 381сс от 29.09.1938 г. завод определен базой крупносерийного производства дизелей АН-1РТК, АН-1А и БД-2. Моторный цех завода в 1938 г. выделен в самостоятельный моторостроительный завод № 75.</w:t>
      </w:r>
    </w:p>
    <w:p w14:paraId="041C1B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решению СНК № 94сс от 15.08.1937 г. на заводе создано отдельное КБ для разработки танка БТ-20.</w:t>
      </w:r>
    </w:p>
    <w:p w14:paraId="45652B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связи с неудовлетворительными темпами работ» 13/20.01.1938 г. вышел приказ № Юс провести обследование реконструкции завода. Пр. № 291с от 7.08.1938 г. требовалось: обеспечить в 1938 г. окончание строительства и монтаж оборудования отделов: моторного, цветного литья, кузнечно-штамповочного, инструментального; цехов: медницкого (отдела 100), малярно-сдаточного; к 1.05.1939 г. закончить строительство ново-инструментального цеха; ГПИ-8 разработать проекты опытного и радиаторного цехов отдела 100 и электроремонтной мастерской для обеспечения их строительства в 1939 г., для этого организовать на заводе филиал ГПИ-8.</w:t>
      </w:r>
    </w:p>
    <w:p w14:paraId="553715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Приказом № 50сс от 4/9.02.1938 г. заводу поручено в 1,5-месячный срок разработать конструкцию деталей из экранированной брони для БТ-7, в 1,5- месячный срок после получения деталей изготовить 5 машин.</w:t>
      </w:r>
    </w:p>
    <w:p w14:paraId="3D3DBE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Приказом № 121с от 3.04.1938 г. заводу требовалось к 15.04.1938 г. сдать мторы КИН для катеров крейсера «Киров».</w:t>
      </w:r>
    </w:p>
    <w:p w14:paraId="04C329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1939 г. планировался выпуск танков: БТ-8: усовершенствованный, химтанк, арттанк с 76-мм пушкой Л-10, с оборудованием для подводного хождения; усовершенствованный Т-35.</w:t>
      </w:r>
    </w:p>
    <w:p w14:paraId="4E1308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пост. КО № 443 от 19.12.1939 г. начато производство Т-34. Требовалось изготовить 2 опытные машины к 15.01.1940 г. и 03.1940 г., до конца года - 200 машин. В 01-02.1940 г. изготовлены два опытных А-34. Строился новый мощный конвейер для крупносерийного производства Т-34. В соответствии с пост. Политбюро ЦК ВКП (б) от 01.1940 г. и пост. СНК № 967-368сс от 06.1940 г. в 1940 г. заводу необходимо было выпустить 500 Т-34 (было выпущено 115). Пост. СНК № 1216-502сс/оп от 5.05.1941 г. заводу утвержден план выпуска Т-34 на 1941 г. 1800 танков с выпуском 140 шт. в мае и 175 шт. в августе.</w:t>
      </w:r>
      <w:r w:rsidRPr="005E779E">
        <w:rPr>
          <w:rFonts w:ascii="Times New Roman" w:hAnsi="Times New Roman"/>
          <w:color w:val="000000" w:themeColor="text1"/>
          <w:sz w:val="16"/>
          <w:szCs w:val="16"/>
          <w:vertAlign w:val="superscript"/>
        </w:rPr>
        <w:t>128</w:t>
      </w:r>
    </w:p>
    <w:p w14:paraId="4B4AED53" w14:textId="5DB88D5C"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1930-е</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завод выпускал также паровозы, тракторы, мощные дизели. В 1936 г. построено 264 паровоза.</w:t>
      </w:r>
    </w:p>
    <w:p w14:paraId="147F78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составе завода отделы (1938 г.): 100,200, 300, дизельный 400, 500, 630, 700.</w:t>
      </w:r>
    </w:p>
    <w:p w14:paraId="794FB6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С образованием НКТП завод № 183 передан в его подчинение. В соответствии с пост.ениями ГКО № 667с от 12.09.1941 г. (1-я очередь) и № 731 от 4.10.1941 г. (2-я очередь) завод эвакуирован в период 17.09-19.10.1941 г. на площадку Нижнетагильского вагонзавода, эшелоны прибыли на место 27.11-1.12.1941 г. В Нижний Тагил так же эвакуирован Мариупольский завод им. Ильича и Московский станкостроительный завод им. Орджоникидзе. По приказу НКТП № 32с от 25.09.1941 г. производство танков с завода № 183 и деталей к ним с Мариупольского завода переведено на Уралвагонзавод и образован единый Уральский танковый завод № 183. Этим же приказом назначено руководство завода. В 1943-44 г. назывался также УТЗ им. Сталина.</w:t>
      </w:r>
      <w:r w:rsidRPr="005E779E">
        <w:rPr>
          <w:rFonts w:ascii="Times New Roman" w:hAnsi="Times New Roman"/>
          <w:color w:val="000000" w:themeColor="text1"/>
          <w:sz w:val="16"/>
          <w:szCs w:val="16"/>
          <w:vertAlign w:val="superscript"/>
        </w:rPr>
        <w:t>128</w:t>
      </w:r>
    </w:p>
    <w:p w14:paraId="0207FE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Приказом НКТП № 15сс от 18.09.1941 г. заводу поручено в 5-дневный срок отработать установку на Т-34 авиационного двигателя М-17, но работа не была выполнена. Пост. ГКО № 695сс от 20.09.1941 г. заводу № 183 установлены суточные планы по выпуску Т-34: в период 1-25.10.1941 г. - по 3 шт.; 26-31.10.1941 г. - по 4 шт. Затем, в связи с эвакуацией завода, вышло новое распоряжение ГКО о начале выпуска танков на новом месте с 15.11.1941 г. Реально первые 25 машин были сданы 20.12.1941 г. 7.07.1942 г. вышло постановление ГКО № 2000 об обеспечении выпуска танков на заводе. В 1941 г. выпущено 1585 Т-34, в 1942 г. - 5654, в 1943 г. - 8466, в 1944 г. - 8429, в 1945 г.-7362.</w:t>
      </w:r>
      <w:r w:rsidRPr="005E779E">
        <w:rPr>
          <w:rFonts w:ascii="Times New Roman" w:hAnsi="Times New Roman"/>
          <w:color w:val="000000" w:themeColor="text1"/>
          <w:sz w:val="16"/>
          <w:szCs w:val="16"/>
          <w:vertAlign w:val="superscript"/>
        </w:rPr>
        <w:t>128</w:t>
      </w:r>
    </w:p>
    <w:p w14:paraId="07B26620" w14:textId="72EFB13F"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02.1942 г. на заводе организован опытный участок, представлявший собой часть пролета между корпусным и сборочным цехами, накрытый навесом. Имелся также испытательный участок (размещавшийся под открытым небом до 1950-х</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Впервые в мире на заводе была внедрена полуавтоматическая сварка броневой стали под флюсом (к 11.1942 г. работало 6 полуавтоматов), поточно-конвейерная сборка танков. В 05.1942 г. организован второй конвейер по сборке Т-34 (в начале 1944 г. он ликвидирован, а на его месте организовано башенное производство для Т-34-85). В составе завода (1943 г.)- цех № 130 по сборке Т-34 с конвейером, сдаточный цех № 150; отделы 520, 540. В 07.1944 г. отделу 520 поручена разработка 100-мм танковой пушки для Т-34.</w:t>
      </w:r>
    </w:p>
    <w:p w14:paraId="620490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9.11.1942 г. вышло постановление ГКО № 2491сс о восстановлении на УВЗ производства колес Гриффина, пост. ГКО № 2622 от 13.12.1942 г. оно отменено. 5.09.1943 г. вновь вышло постановление ГКО № 4048 об организации производства колес Гриффина и переносе производства ФАБ-100 на завод № 4. В соответствии с пост. ГКО № 4078 от 9.09.1943 г. завод освобожден от выпуска бронекорпусов самолетов. 20.08.1944 г. - постановление ГКО № 6408 о плане выпуска и поставок заводом колес Гриффина.</w:t>
      </w:r>
    </w:p>
    <w:p w14:paraId="6438A0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03.1943 г. часть личного состава и оборудования по выпуску М-13 переданы заводу № 183. В соответствии с распоряжением ГКО № 5498 от 28.03.1944 г. на завод в металлургические цеха временно переведено 1000 рабочих из Харькова и Мариуполя.</w:t>
      </w:r>
    </w:p>
    <w:p w14:paraId="6B72BC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годы войны на заводе № 183 им. Коминтерна действовало Главное КБ-34 - центр по работе над Т-34 и модификациям.</w:t>
      </w:r>
    </w:p>
    <w:p w14:paraId="2BC962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 за годы войны выпущено более 30 тыс. единиц бронетанковой техники.</w:t>
      </w:r>
    </w:p>
    <w:p w14:paraId="67DC1B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 435с от 12.11.1945 г. в распоряжение завода № 183 НКТП ( г. Нижний Тагил) передана территория ликвидированного завода № 120 НКАП.</w:t>
      </w:r>
    </w:p>
    <w:p w14:paraId="02144F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войны оборудование завода № 183 было реэвакуировано на старое место в Харьков, и вновь организован завод № 75, далее- Харьковский машиностроительный завод им. В.А. Малышева.</w:t>
      </w:r>
    </w:p>
    <w:p w14:paraId="60342E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войны возобновлено производство вагонов.</w:t>
      </w:r>
    </w:p>
    <w:p w14:paraId="4CEC58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05.1947 г. выпущены первые 20 Т-54 («объект 137»), в 1949 г. их производство остановлено из-за доработок конструкции. Цена Т-54 (1947 г.)- 326 тыс. руб. В 1954 г. выпущены первые 25 Т-54А.</w:t>
      </w:r>
    </w:p>
    <w:p w14:paraId="2205A0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28.10.1963 г. вышло распоряжение правительства № 2233-рс о выпуске с 10.1963 г. танков Т-62 с пушкой У5ТС.</w:t>
      </w:r>
    </w:p>
    <w:p w14:paraId="4CFB7B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принимал участие в разработке и изготовлении систем и оборудования для запуска КА и РН, в т.ч. «Энергия-Буран», проекте «Морской старт».</w:t>
      </w:r>
    </w:p>
    <w:p w14:paraId="66ADF6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Единственный в России производитель танков (2004 г.). Крупнейший в России производитель вагонов (в 2004 г. выпустил 21.168 вагонов, более 60%). Всего на 2006 г. выпущено более 900 тыс. вагонов.</w:t>
      </w:r>
    </w:p>
    <w:p w14:paraId="3AE0E6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60F649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составе предприятия (2004-06 г.): металлургический завод; механосборочный завод (27 цехов); вагоносборочный завод (И цехов, в т.ч. механообрабатывающий, сборочно-сварочный, котельный, малярно- сдаточный цех; инструментальный завод; завод нестадартизованного оборудования; экспериментальный цех вагоностроения; проектно-строительный комплекс. Имеется литейный цех № 4, кузнечный цех, корпус инженерных машин; криогенное производство.</w:t>
      </w:r>
    </w:p>
    <w:p w14:paraId="6371B7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заводе действовали (2006 г.): Уральское КБ вагоностроения, Уральский научно-технологический комплекс, КБ сельскохозяйственной техники, Центр исследований и испытаний материалов.</w:t>
      </w:r>
    </w:p>
    <w:p w14:paraId="1C9DDD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базе УВЗ в 2006 г. планировалось создание бронетанкового холдинга ОАО «НПО «Бронетанковая техника и артиллерия», в который должны войти 20 предприятий: УВЗ, ООО «ЧТЗ-Уралтрак», Завод № 9, Уралтрансмаш, УКБТМ, ОАО «Уральский научно-технологический комплекс», ОАО «Уралкриомаш», ОАО «УралНИТИ», КУЛЗ, ОАО «НПО «Электромашина», КБ транспортного машиностроения (Омск), НИИД, ЦНИИ материалов, ЦНИИ «Буревестник», ОАО «Муромское СКБ», Рубцовский машиностроительный завод, ОАО «Внедрение научных и инженерно-технических инноваций», ОАО «Спецмаш», ВНИИтрансмаш, Мотовилихинские заводы. В 08.2007 г. Указом Президента РФ ФГУП «ПО «УВЗ» преобразовано в ОАО «Научно-производственная корпорация (НПК) «УВЗ», в состав которой вошли 19 предприятий.</w:t>
      </w:r>
    </w:p>
    <w:p w14:paraId="6F50CE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контракту с Индией завод строил 300 танков Т-90 (на 06.2009 г. выбущено более 100) и 1000 комплектов для сборки в Индии.</w:t>
      </w:r>
    </w:p>
    <w:p w14:paraId="0A1AE7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2006 г. выпущено около 17 тыс. единиц подвижного состава для ж/д, в 2008 г. - около 20 тыс. В 02.2009 г. приостановлено вагонное производство завода.</w:t>
      </w:r>
    </w:p>
    <w:p w14:paraId="451D5C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Общая производственная площадь (ВОВ)- 312 тыс. м</w:t>
      </w:r>
      <w:r w:rsidRPr="005E779E">
        <w:rPr>
          <w:rFonts w:ascii="Times New Roman" w:hAnsi="Times New Roman"/>
          <w:color w:val="000000" w:themeColor="text1"/>
          <w:sz w:val="16"/>
          <w:szCs w:val="16"/>
          <w:vertAlign w:val="superscript"/>
        </w:rPr>
        <w:t>2</w:t>
      </w:r>
      <w:r w:rsidRPr="005E779E">
        <w:rPr>
          <w:rFonts w:ascii="Times New Roman" w:hAnsi="Times New Roman"/>
          <w:color w:val="000000" w:themeColor="text1"/>
          <w:sz w:val="16"/>
          <w:szCs w:val="16"/>
        </w:rPr>
        <w:t>.</w:t>
      </w:r>
    </w:p>
    <w:p w14:paraId="1266B8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Численность персонала (2006 г.)- более 30 тыс. чел.</w:t>
      </w:r>
    </w:p>
    <w:p w14:paraId="09C25F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(1914 г.)- С. Палашковский, (09.1933-03.1937; 11.01-26.07.1938 г.)- И.П. Бондаренко (снят); и.о. (07.1937 г.-)- Лящ, (08.1938 г.)- Парфенов; (27.10.1938-41 г.-)- Ю.Е. Максарев, С.А. Скачков. Гендиректор (07.1997- 10.04.2009 г.)- Н.А. Малых, (16.04.2009 г.-)- О.В. Сиенко.</w:t>
      </w:r>
    </w:p>
    <w:p w14:paraId="00E2E5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 строительства (11.1937 г.)- Лобойченко. Зам. директора (8.05.1937-11.04.1938 г.)- Ф.И. Лящ (снят), (25.09.1941 г.-)- М. Кривич. Зам. гендиректора: по маркетингу и сбыту (-2006-07 г.-)- С.П. Колосок; (2007 г.)- Б. Минеев, (2009 г.)- В. Щелоков. Помощник директора: (1920-е)- Гордиенко; по найму и увольнению (8.10.1937 г.-)- А.Д. Фирсов, (-27.03.1938 г.)- Я.Л. Лазарев-Мильдон.</w:t>
      </w:r>
    </w:p>
    <w:p w14:paraId="1B86E8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Коммерческий директор (2010 г.)- А. Шленский.</w:t>
      </w:r>
    </w:p>
    <w:p w14:paraId="219603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инженер (8.05.1937-11.04.1938 г.)- Ф.И. Лящ, (25.09.1941 г.-)- В. Ниценко, (2003 г.)- В. Шишков.</w:t>
      </w:r>
    </w:p>
    <w:p w14:paraId="130034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гл. инженера (1928 г.)- М. Андриянов.</w:t>
      </w:r>
    </w:p>
    <w:p w14:paraId="09F460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конструктор (-1939-09.1940 г.)- М.И. Кошкин, (1940 г.-)- А.А. Морозов.</w:t>
      </w:r>
    </w:p>
    <w:p w14:paraId="7F34B5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технолог (1932 г.-)- К. Церевицкий. Гл. энергетик (1937-44 г.)- А.И. Чурин.</w:t>
      </w:r>
    </w:p>
    <w:p w14:paraId="2422A1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Руководитель управления по связям с общественностью (2006 г.)- Б. Минеев.</w:t>
      </w:r>
    </w:p>
    <w:p w14:paraId="5F8B8F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Начальники цехов: механического (03.1937 г.)- П.А. Бобров.</w:t>
      </w:r>
    </w:p>
    <w:p w14:paraId="0810FE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начальника цеха: тракторного (1928 г.)- В. Дудка.</w:t>
      </w:r>
    </w:p>
    <w:p w14:paraId="0EFBBD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Начальники отделов: Т2 (1931 г.)- Тоскин, (1932-03.1937 г.-)- Л. Зайчик; 400 (14.07.1937-02.1938 г.-)- Т.П. Чупахин; опытного (1932 г.-)- А. Кулик; ОТК (1932 г.-)- С, Махонин; снабжения (-1937 г.)- Л. Г. Гольденфарб (репрессирован), (1938 г.)- Шульман; бюро финансового управления (2006 г.)- М. Курашова.</w:t>
      </w:r>
    </w:p>
    <w:p w14:paraId="6AA5D2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конструктор дизельного отдела (14.07.1937 г.-)- К.Ф. Челпан; зам. гл. технолога дизельного отдела (07.1937 г.-)- Поддубный.</w:t>
      </w:r>
    </w:p>
    <w:p w14:paraId="768967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Заведующие бюро: курортным (-1937 г.)- Барков.</w:t>
      </w:r>
    </w:p>
    <w:p w14:paraId="105900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Производство: паровые котлы: для линкора «Императрица Мария» (1913), Ярроу для крейсеров (1914)- 14; паровые шпили, лебедки и рулевые машины для 20 десантных кораблей типа «эльпидифор» (1917); дизели типа Зульцер 715 л.с. для грузопассажирских теплоходов типа «Дельфин» (1928), для сухогрузов типа «Ногин» (1930- е), мотор КИН для катеров (1938); танки: Т-24 (1930-31)- 25, Т-35 (1933-39)- 4; БТ-2 (1931-33-)- 396 (1932), 224 (1933), БТ-5 (1933-), БТ-7 (1936-38)- всего более 8000; БТ-7М (А-8, 12.1939-09.1940), БТ-8 (1938), БТ-20 (1938), Т- 34 (1940-45)- 31.496,</w:t>
      </w:r>
      <w:r w:rsidRPr="005E779E">
        <w:rPr>
          <w:rFonts w:ascii="Times New Roman" w:hAnsi="Times New Roman"/>
          <w:color w:val="000000" w:themeColor="text1"/>
          <w:sz w:val="16"/>
          <w:szCs w:val="16"/>
          <w:vertAlign w:val="superscript"/>
        </w:rPr>
        <w:t>128</w:t>
      </w:r>
      <w:r w:rsidRPr="005E779E">
        <w:rPr>
          <w:rFonts w:ascii="Times New Roman" w:hAnsi="Times New Roman"/>
          <w:color w:val="000000" w:themeColor="text1"/>
          <w:sz w:val="16"/>
          <w:szCs w:val="16"/>
        </w:rPr>
        <w:t xml:space="preserve"> Т-44 (1944-45)- 8, Т-54 («объект 137», 1947-49)- 54 (1949), Т-54А (1954-)- 25 (1954), Т-55, Т-62 (1963), Т-72 (-1985-)- всего 7000, Т-90 (1993-), Т-90С (2004); машины: «А», «Е» (1938), мостоукладчики МТУ-1, МТУ-72 (2005), разграждения ИМР-2, БМР-3, ремонтно-эвакуационная БРЭМ-1, траншейная БТМ-4М (2004), БМПТ; цилиндры авиационного мотора М-85 (1937); коленвалы и муфты «Бамаг» для судовых дизелей (1937); бронекорпуса для Ил-2, корпуса авиабомб, детали для </w:t>
      </w:r>
      <w:r w:rsidRPr="005E779E">
        <w:rPr>
          <w:rFonts w:ascii="Times New Roman" w:hAnsi="Times New Roman"/>
          <w:color w:val="000000" w:themeColor="text1"/>
          <w:sz w:val="16"/>
          <w:szCs w:val="16"/>
          <w:lang w:val="en-US"/>
        </w:rPr>
        <w:t>PC</w:t>
      </w:r>
      <w:r w:rsidRPr="005E779E">
        <w:rPr>
          <w:rFonts w:ascii="Times New Roman" w:hAnsi="Times New Roman"/>
          <w:color w:val="000000" w:themeColor="text1"/>
          <w:sz w:val="16"/>
          <w:szCs w:val="16"/>
        </w:rPr>
        <w:t xml:space="preserve"> М-8, М-13 (1942); паровозы (1938); вагоны (полувагоны, хопперы, платформы, цистерны) (2004); криогенные железнодорожные системы и цистерны, пожарная автоцистерна АЦ-40; тракторы: «Коммунар» (1930-е), универсально-пропашной РТМ-160 (2006) (11982).</w:t>
      </w:r>
    </w:p>
    <w:p w14:paraId="4176E7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99388A1"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7BED494C"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921ED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мая 1931 утвердили первое общесоюзное Положение о РК милиции (3398,191).</w:t>
      </w:r>
    </w:p>
    <w:p w14:paraId="059C9D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44D2384"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7E586407"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0026205" w14:textId="0A5504AD"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23 мая 1931 года ракета «Repulsor-2» была готова к запуску. На этот раз «Repulsor» поднялся с земли, сначала медленно, а затем быстро набирая скорость. Он достиг высоты около 60 метров, затем перешел на горизонтальный полет и в таком положении, сохраняя скорость, перелетел через территорию «Ракетенфлюгплатц». Самодеятельные ракетчики нашли его висящим на ветвях большого дерева на высоте 9 м над землей, и он был совершенно разбит. Расстояние от места старта до </w:t>
      </w:r>
      <w:r w:rsidRPr="005E779E">
        <w:rPr>
          <w:rFonts w:ascii="Times New Roman" w:hAnsi="Times New Roman"/>
          <w:color w:val="000000" w:themeColor="text1"/>
          <w:sz w:val="16"/>
          <w:szCs w:val="16"/>
        </w:rPr>
        <w:lastRenderedPageBreak/>
        <w:t>дерева составило 600 м. Работа над «Repulsor-2» началась в ночь неудачи с</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«Repulsor-1». В ходе работ был модернизирован двигатель. Кроме того, к ракете были приделаны опоры-стабилизаторы, благодаря которым отпала необходимость в пусковой направляющей (11688).</w:t>
      </w:r>
    </w:p>
    <w:p w14:paraId="16772E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54D8DFA"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3B4CAAC7"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74070F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мая 1931 г. на совещании в НИИ ВВС обсуждались идеи, проекты и предложения в области десантного снаряжения, предложенные группами Гроховского и Благина, которые работали в конст</w:t>
      </w:r>
      <w:r w:rsidRPr="005E779E">
        <w:rPr>
          <w:rFonts w:ascii="Times New Roman" w:hAnsi="Times New Roman"/>
          <w:color w:val="000000" w:themeColor="text1"/>
          <w:sz w:val="16"/>
          <w:szCs w:val="16"/>
        </w:rPr>
        <w:softHyphen/>
        <w:t>рукторском отделе НИИ ВВС (10690).</w:t>
      </w:r>
    </w:p>
    <w:p w14:paraId="4E3B1B1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5B6FD5" w14:textId="77777777" w:rsidR="00655073" w:rsidRPr="00142305" w:rsidRDefault="00655073" w:rsidP="0065507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25 мая 1931 г. идеи групп Гроховского и Благина в области десанта подверглись обсуждению на совещании в НИИ ВВС и в большинстве своем были одобрены. Десантников требовалось оснастить всем необходимым (25356).</w:t>
      </w:r>
    </w:p>
    <w:p w14:paraId="04DE1021" w14:textId="77777777" w:rsidR="00655073" w:rsidRPr="00142305" w:rsidRDefault="00655073" w:rsidP="00655073">
      <w:pPr>
        <w:spacing w:after="0" w:line="240" w:lineRule="auto"/>
        <w:jc w:val="both"/>
        <w:rPr>
          <w:rFonts w:ascii="Times New Roman" w:hAnsi="Times New Roman"/>
          <w:color w:val="0070C0"/>
          <w:sz w:val="16"/>
          <w:szCs w:val="16"/>
        </w:rPr>
      </w:pPr>
    </w:p>
    <w:p w14:paraId="4C8BD76A"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2BD3D9F9"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95DDE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мая 1931 года РВС страны по предложению начальника Управления механизации и моторизации И.А. Халепского принял постановление о постановке в производство танка БТ-2 (3861).</w:t>
      </w:r>
    </w:p>
    <w:p w14:paraId="212CD0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F57EF6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мая 1931 для доводки танка и организа</w:t>
      </w:r>
      <w:r w:rsidRPr="005E779E">
        <w:rPr>
          <w:rFonts w:ascii="Times New Roman" w:hAnsi="Times New Roman"/>
          <w:color w:val="000000" w:themeColor="text1"/>
          <w:sz w:val="16"/>
          <w:szCs w:val="16"/>
        </w:rPr>
        <w:softHyphen/>
        <w:t>ции его производства было сформировано специ</w:t>
      </w:r>
      <w:r w:rsidRPr="005E779E">
        <w:rPr>
          <w:rFonts w:ascii="Times New Roman" w:hAnsi="Times New Roman"/>
          <w:color w:val="000000" w:themeColor="text1"/>
          <w:sz w:val="16"/>
          <w:szCs w:val="16"/>
        </w:rPr>
        <w:softHyphen/>
        <w:t>альное конструкторское бюро (СКВ). Возглавил его воен-инженер 2-го ранга Н. Тоскин, который был откомандиро</w:t>
      </w:r>
      <w:r w:rsidRPr="005E779E">
        <w:rPr>
          <w:rFonts w:ascii="Times New Roman" w:hAnsi="Times New Roman"/>
          <w:color w:val="000000" w:themeColor="text1"/>
          <w:sz w:val="16"/>
          <w:szCs w:val="16"/>
        </w:rPr>
        <w:softHyphen/>
        <w:t>ван УММ РККА на ХПЗ из Москвы. В СКВ было занято 22 конструктора, большинство из которых не имело высшего образования. Всего было сформировано три конструкторские груп</w:t>
      </w:r>
      <w:r w:rsidRPr="005E779E">
        <w:rPr>
          <w:rFonts w:ascii="Times New Roman" w:hAnsi="Times New Roman"/>
          <w:color w:val="000000" w:themeColor="text1"/>
          <w:sz w:val="16"/>
          <w:szCs w:val="16"/>
        </w:rPr>
        <w:softHyphen/>
        <w:t>пы. Сопровождением силовой установки занимались кон</w:t>
      </w:r>
      <w:r w:rsidRPr="005E779E">
        <w:rPr>
          <w:rFonts w:ascii="Times New Roman" w:hAnsi="Times New Roman"/>
          <w:color w:val="000000" w:themeColor="text1"/>
          <w:sz w:val="16"/>
          <w:szCs w:val="16"/>
        </w:rPr>
        <w:softHyphen/>
        <w:t>структоры Давыденко, Михайлов, Флеров и Андрыхевич. Трансмиссию доводила группа в составе Куприна, Дави-денко и Серковского. Ходовая часть адаптировалась Каш</w:t>
      </w:r>
      <w:r w:rsidRPr="005E779E">
        <w:rPr>
          <w:rFonts w:ascii="Times New Roman" w:hAnsi="Times New Roman"/>
          <w:color w:val="000000" w:themeColor="text1"/>
          <w:sz w:val="16"/>
          <w:szCs w:val="16"/>
        </w:rPr>
        <w:softHyphen/>
        <w:t>тановым, Мариным, Дорошенко и Гуревичем. За чертежи общего вида машины отвечал Скворцов. Однако сначала не все силы ХПЗ были брошены на освоение БТ. Завод все еще ждал заказа на знакомый Т-24. Даже директор завода Бондаренко больше склонялся к среднему танку, называя танк Кристи «вредительским». Поэтому руководству УММ и даже правительству СССР пришлось применять ряд крутых мер, чтобы в текущем, 1931 г. первый опытный БТ увидел свет. После ноябрьского парада Н. Тоскин был отозван в Москву для про</w:t>
      </w:r>
      <w:r w:rsidRPr="005E779E">
        <w:rPr>
          <w:rFonts w:ascii="Times New Roman" w:hAnsi="Times New Roman"/>
          <w:color w:val="000000" w:themeColor="text1"/>
          <w:sz w:val="16"/>
          <w:szCs w:val="16"/>
        </w:rPr>
        <w:softHyphen/>
        <w:t>хождения дальнейшей службы в УММ, а начальником тан</w:t>
      </w:r>
      <w:r w:rsidRPr="005E779E">
        <w:rPr>
          <w:rFonts w:ascii="Times New Roman" w:hAnsi="Times New Roman"/>
          <w:color w:val="000000" w:themeColor="text1"/>
          <w:sz w:val="16"/>
          <w:szCs w:val="16"/>
        </w:rPr>
        <w:softHyphen/>
        <w:t>кового СКВ ХПЗ был назначен инженер А. Фирсов. (10733,198).</w:t>
      </w:r>
    </w:p>
    <w:p w14:paraId="7B895F4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18D41F" w14:textId="0EA15C55"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мая 1931 г. решением КО на базе КБ (КБ ХПЗ, Специальное КБ (СКБ) ХПЗ, Т2К) ХПЗ (Ордена Ленина завод № 183 им. Коминтерна НКОП, НКСМ, НКТП, Харьковский паровозостроительный завод (ХПЗ) им. Коминтерна НКТП, Государственный ХПЗ (ГХПЗ), Уральский танковый завод (УТЗ) № 183 им. Коминтерна НКТП, УТЗ им. Сталина НКТП, «Уралвагонзавод» (УВЗ) НКТП, Минтрансмаша, ПО «УВЗ» им. Ф.Э. Дзержинского», ФГУП «ПО «УВЗ им. Ф.Э. Дзержинского» ФАП, ОАО «Научно-производственная корпорация (НПК) «УВЗ» / г. Харьков п/я 61 «Коминтернзавод» (1938 г.);</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Нижний Тагил/ /622007(51) было организовано СКБ для разработки чертежей (к 15.07.1931 г.) и внедрения в серию танка БТ («быстроходный танк») по образцу американского «Кристи». Для усиления коллектива в СКБ переведены 20 специалистов от ГКВ № 8, 15 чел. из НАТИ, ВАТО, 2 конструктора с Ижорского завода, 5 специалистов из Укргипромаша и 2 чел. из УММ КА. С ХПЗ переведено 30 копировщиков. Требовалось изготовить два опытных танка к 15.09.1931 г. Всего работало 22 конструктора в трех группах - силовой установки, ходовой части и трансмиссии. В 1932 г. СКБ, вошедшее в состав танкового отдела завода Т2, получило индекс Т2К. В нем была создана группа совершенствования серийных танков.</w:t>
      </w:r>
    </w:p>
    <w:p w14:paraId="338EA5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1933 г. БТ переименован в БТ-2. Разработаны дальнейшие модификации: БТ-4 (07.1932 г.), БТ-5, БТ-6. В 1934 г. велись работы по модификации БТ-7 с 76-мм пушкой, опытный построен к 1.05.1934 г. В конце 1936 г. создан БТ-7М (А-8), в 1938 г. - проект БТ-7-ИС. Возможно, к 1939 г. КБ объединено с ОКБ по танку А-20.</w:t>
      </w:r>
    </w:p>
    <w:p w14:paraId="026CD2E4" w14:textId="79BDF5F0"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1933</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был разработан улучшенный вариант танка Т-35Б (не строился).</w:t>
      </w:r>
    </w:p>
    <w:p w14:paraId="23E320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Имелся двигательный отдел КБ. В 1936 г. здесь спроектирован и построен опытный дизель БД-2 мощностью 700 л.с. для танка Т-35. Здесь же проведены работы по форсированию двигателя М-17 до 580л.с.</w:t>
      </w:r>
    </w:p>
    <w:p w14:paraId="5B5797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 (-05.1931 г.)- И. Алексеенко, (25.05-11.1931 г.)- Н. Тоскин, (11.1931-37 г.)- А. Фирсов (арестован), (1937 г.-)- М.И. Кошкин.</w:t>
      </w:r>
    </w:p>
    <w:p w14:paraId="4A6E32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начальника (1931 г.-)- Тоскин.</w:t>
      </w:r>
    </w:p>
    <w:p w14:paraId="00A497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Руководитель группы: (193 8</w:t>
      </w:r>
      <w:r w:rsidRPr="005E779E">
        <w:rPr>
          <w:rFonts w:ascii="Times New Roman" w:hAnsi="Times New Roman"/>
          <w:color w:val="000000" w:themeColor="text1"/>
          <w:sz w:val="16"/>
          <w:szCs w:val="16"/>
          <w:lang w:val="en-US"/>
        </w:rPr>
        <w:t>r</w:t>
      </w:r>
      <w:r w:rsidRPr="005E779E">
        <w:rPr>
          <w:rFonts w:ascii="Times New Roman" w:hAnsi="Times New Roman"/>
          <w:color w:val="000000" w:themeColor="text1"/>
          <w:sz w:val="16"/>
          <w:szCs w:val="16"/>
        </w:rPr>
        <w:t>.)- Е. Дикалов (11982).</w:t>
      </w:r>
    </w:p>
    <w:p w14:paraId="4555B8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9D649F1" w14:textId="77777777" w:rsidR="00655073" w:rsidRPr="00142305" w:rsidRDefault="00655073" w:rsidP="0065507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25 мая 1931 года на ХПЗ приступило к работе конструкторское бюро под руководст</w:t>
      </w:r>
      <w:r w:rsidRPr="00142305">
        <w:rPr>
          <w:rFonts w:ascii="Times New Roman" w:hAnsi="Times New Roman"/>
          <w:color w:val="0070C0"/>
          <w:sz w:val="16"/>
          <w:szCs w:val="16"/>
        </w:rPr>
        <w:softHyphen/>
        <w:t>вом Гинзбурга, а к 26 июля была в основ</w:t>
      </w:r>
      <w:r w:rsidRPr="00142305">
        <w:rPr>
          <w:rFonts w:ascii="Times New Roman" w:hAnsi="Times New Roman"/>
          <w:color w:val="0070C0"/>
          <w:sz w:val="16"/>
          <w:szCs w:val="16"/>
        </w:rPr>
        <w:softHyphen/>
        <w:t>ном завершена работа над чертежами и технологической документацией. Оп</w:t>
      </w:r>
      <w:r w:rsidRPr="00142305">
        <w:rPr>
          <w:rFonts w:ascii="Times New Roman" w:hAnsi="Times New Roman"/>
          <w:color w:val="0070C0"/>
          <w:sz w:val="16"/>
          <w:szCs w:val="16"/>
        </w:rPr>
        <w:softHyphen/>
        <w:t>ределился и круг заводов-смежников. Изготовителем корпусов, траков гусе</w:t>
      </w:r>
      <w:r w:rsidRPr="00142305">
        <w:rPr>
          <w:rFonts w:ascii="Times New Roman" w:hAnsi="Times New Roman"/>
          <w:color w:val="0070C0"/>
          <w:sz w:val="16"/>
          <w:szCs w:val="16"/>
        </w:rPr>
        <w:softHyphen/>
        <w:t>ниц, поковок, стального и цветного ли</w:t>
      </w:r>
      <w:r w:rsidRPr="00142305">
        <w:rPr>
          <w:rFonts w:ascii="Times New Roman" w:hAnsi="Times New Roman"/>
          <w:color w:val="0070C0"/>
          <w:sz w:val="16"/>
          <w:szCs w:val="16"/>
        </w:rPr>
        <w:softHyphen/>
        <w:t>тья назначался ХПЗ. Поставщиком бро</w:t>
      </w:r>
      <w:r w:rsidRPr="00142305">
        <w:rPr>
          <w:rFonts w:ascii="Times New Roman" w:hAnsi="Times New Roman"/>
          <w:color w:val="0070C0"/>
          <w:sz w:val="16"/>
          <w:szCs w:val="16"/>
        </w:rPr>
        <w:softHyphen/>
        <w:t>ни для корпусов и башен и стальных цельнотянутых труб — Ижорский завод. Пружины подвески должны были посту</w:t>
      </w:r>
      <w:r w:rsidRPr="00142305">
        <w:rPr>
          <w:rFonts w:ascii="Times New Roman" w:hAnsi="Times New Roman"/>
          <w:color w:val="0070C0"/>
          <w:sz w:val="16"/>
          <w:szCs w:val="16"/>
        </w:rPr>
        <w:softHyphen/>
        <w:t>пать с завода «Большевик» или с завода имени С.М. Буденного, радиаторы — с радиаторного завода в Москве.</w:t>
      </w:r>
    </w:p>
    <w:p w14:paraId="0CDF7C8B" w14:textId="77777777" w:rsidR="00655073" w:rsidRPr="00142305" w:rsidRDefault="00655073" w:rsidP="0065507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Любопытно отметить, что разработка документации велась на основе черте</w:t>
      </w:r>
      <w:r w:rsidRPr="00142305">
        <w:rPr>
          <w:rFonts w:ascii="Times New Roman" w:hAnsi="Times New Roman"/>
          <w:color w:val="0070C0"/>
          <w:sz w:val="16"/>
          <w:szCs w:val="16"/>
        </w:rPr>
        <w:softHyphen/>
        <w:t>жей, полученных от Кристи, тогда как сами танки М.1931 прибыли на завод только в январе 1932 года. В бумагах за</w:t>
      </w:r>
      <w:r w:rsidRPr="00142305">
        <w:rPr>
          <w:rFonts w:ascii="Times New Roman" w:hAnsi="Times New Roman"/>
          <w:color w:val="0070C0"/>
          <w:sz w:val="16"/>
          <w:szCs w:val="16"/>
        </w:rPr>
        <w:softHyphen/>
        <w:t>вода они фигурировали под названиями «Оригинал I» и «Оригинал II», причем на ходу была лишь первая машина.</w:t>
      </w:r>
    </w:p>
    <w:p w14:paraId="74B999BD" w14:textId="77777777" w:rsidR="00655073" w:rsidRPr="00142305" w:rsidRDefault="00655073" w:rsidP="0065507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изготовлению первых шести проб</w:t>
      </w:r>
      <w:r w:rsidRPr="00142305">
        <w:rPr>
          <w:rFonts w:ascii="Times New Roman" w:hAnsi="Times New Roman"/>
          <w:color w:val="0070C0"/>
          <w:sz w:val="16"/>
          <w:szCs w:val="16"/>
        </w:rPr>
        <w:softHyphen/>
        <w:t>ных машин БТ-2 планировалось присту</w:t>
      </w:r>
      <w:r w:rsidRPr="00142305">
        <w:rPr>
          <w:rFonts w:ascii="Times New Roman" w:hAnsi="Times New Roman"/>
          <w:color w:val="0070C0"/>
          <w:sz w:val="16"/>
          <w:szCs w:val="16"/>
        </w:rPr>
        <w:softHyphen/>
        <w:t>пить 15 июня с таким расчетом, чтобы сдать их к 1 ноября. Но к указанному сроку были выпущены всего три БТ, ко</w:t>
      </w:r>
      <w:r w:rsidRPr="00142305">
        <w:rPr>
          <w:rFonts w:ascii="Times New Roman" w:hAnsi="Times New Roman"/>
          <w:color w:val="0070C0"/>
          <w:sz w:val="16"/>
          <w:szCs w:val="16"/>
        </w:rPr>
        <w:softHyphen/>
        <w:t>торые и были показаны на параде 7 ноя</w:t>
      </w:r>
      <w:r w:rsidRPr="00142305">
        <w:rPr>
          <w:rFonts w:ascii="Times New Roman" w:hAnsi="Times New Roman"/>
          <w:color w:val="0070C0"/>
          <w:sz w:val="16"/>
          <w:szCs w:val="16"/>
        </w:rPr>
        <w:softHyphen/>
        <w:t>бря 1931 года. Причем все эти танки имели корпуса и башни из обычной ста</w:t>
      </w:r>
      <w:r w:rsidRPr="00142305">
        <w:rPr>
          <w:rFonts w:ascii="Times New Roman" w:hAnsi="Times New Roman"/>
          <w:color w:val="0070C0"/>
          <w:sz w:val="16"/>
          <w:szCs w:val="16"/>
        </w:rPr>
        <w:softHyphen/>
        <w:t>ли. (Всего изготовили 13 таких корпусов и 66 башен, так как завод не сумел сразу освоить их производство из брони. В по</w:t>
      </w:r>
      <w:r w:rsidRPr="00142305">
        <w:rPr>
          <w:rFonts w:ascii="Times New Roman" w:hAnsi="Times New Roman"/>
          <w:color w:val="0070C0"/>
          <w:sz w:val="16"/>
          <w:szCs w:val="16"/>
        </w:rPr>
        <w:softHyphen/>
        <w:t>следующем часть из них заменили на броневые.) Планом на 1931 год предусматривался выпуск 50 БТ-2, но реально построили только три вышеупомянутых машины, которые к тому же не были приняты военной приемкой.</w:t>
      </w:r>
    </w:p>
    <w:p w14:paraId="0F4BDF2D" w14:textId="77777777" w:rsidR="00655073" w:rsidRPr="00142305" w:rsidRDefault="00655073" w:rsidP="0065507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 освоении серийного производст</w:t>
      </w:r>
      <w:r w:rsidRPr="00142305">
        <w:rPr>
          <w:rFonts w:ascii="Times New Roman" w:hAnsi="Times New Roman"/>
          <w:color w:val="0070C0"/>
          <w:sz w:val="16"/>
          <w:szCs w:val="16"/>
        </w:rPr>
        <w:softHyphen/>
        <w:t>ва на заводе столкнулись со значитель</w:t>
      </w:r>
      <w:r w:rsidRPr="00142305">
        <w:rPr>
          <w:rFonts w:ascii="Times New Roman" w:hAnsi="Times New Roman"/>
          <w:color w:val="0070C0"/>
          <w:sz w:val="16"/>
          <w:szCs w:val="16"/>
        </w:rPr>
        <w:softHyphen/>
        <w:t>ными трудностями, которых никто не ждал. Прежде всего, имевшаяся произ</w:t>
      </w:r>
      <w:r w:rsidRPr="00142305">
        <w:rPr>
          <w:rFonts w:ascii="Times New Roman" w:hAnsi="Times New Roman"/>
          <w:color w:val="0070C0"/>
          <w:sz w:val="16"/>
          <w:szCs w:val="16"/>
        </w:rPr>
        <w:softHyphen/>
        <w:t>водственная база ХПЗ не была рассчи</w:t>
      </w:r>
      <w:r w:rsidRPr="00142305">
        <w:rPr>
          <w:rFonts w:ascii="Times New Roman" w:hAnsi="Times New Roman"/>
          <w:color w:val="0070C0"/>
          <w:sz w:val="16"/>
          <w:szCs w:val="16"/>
        </w:rPr>
        <w:softHyphen/>
        <w:t>тана на изготовление столь большого количества танков, а ввод в строй но</w:t>
      </w:r>
      <w:r w:rsidRPr="00142305">
        <w:rPr>
          <w:rFonts w:ascii="Times New Roman" w:hAnsi="Times New Roman"/>
          <w:color w:val="0070C0"/>
          <w:sz w:val="16"/>
          <w:szCs w:val="16"/>
        </w:rPr>
        <w:softHyphen/>
        <w:t>вых цехов задерживался не только из-за отсутствия необходимого оборудова</w:t>
      </w:r>
      <w:r w:rsidRPr="00142305">
        <w:rPr>
          <w:rFonts w:ascii="Times New Roman" w:hAnsi="Times New Roman"/>
          <w:color w:val="0070C0"/>
          <w:sz w:val="16"/>
          <w:szCs w:val="16"/>
        </w:rPr>
        <w:softHyphen/>
        <w:t>ния (которое в основном закупалось за границей), но и стройматериалов — на</w:t>
      </w:r>
      <w:r w:rsidRPr="00142305">
        <w:rPr>
          <w:rFonts w:ascii="Times New Roman" w:hAnsi="Times New Roman"/>
          <w:color w:val="0070C0"/>
          <w:sz w:val="16"/>
          <w:szCs w:val="16"/>
        </w:rPr>
        <w:softHyphen/>
        <w:t>пример цемента, кстати, тоже импорт</w:t>
      </w:r>
      <w:r w:rsidRPr="00142305">
        <w:rPr>
          <w:rFonts w:ascii="Times New Roman" w:hAnsi="Times New Roman"/>
          <w:color w:val="0070C0"/>
          <w:sz w:val="16"/>
          <w:szCs w:val="16"/>
        </w:rPr>
        <w:softHyphen/>
        <w:t>ного. Возникли проблемы с разработ</w:t>
      </w:r>
      <w:r w:rsidRPr="00142305">
        <w:rPr>
          <w:rFonts w:ascii="Times New Roman" w:hAnsi="Times New Roman"/>
          <w:color w:val="0070C0"/>
          <w:sz w:val="16"/>
          <w:szCs w:val="16"/>
        </w:rPr>
        <w:softHyphen/>
        <w:t>кой и внедрением техпроцесса — танки Кристи не были рассчитаны на массо</w:t>
      </w:r>
      <w:r w:rsidRPr="00142305">
        <w:rPr>
          <w:rFonts w:ascii="Times New Roman" w:hAnsi="Times New Roman"/>
          <w:color w:val="0070C0"/>
          <w:sz w:val="16"/>
          <w:szCs w:val="16"/>
        </w:rPr>
        <w:softHyphen/>
        <w:t>вый выпуск, фактически это были опытные образцы, к тому же изготов</w:t>
      </w:r>
      <w:r w:rsidRPr="00142305">
        <w:rPr>
          <w:rFonts w:ascii="Times New Roman" w:hAnsi="Times New Roman"/>
          <w:color w:val="0070C0"/>
          <w:sz w:val="16"/>
          <w:szCs w:val="16"/>
        </w:rPr>
        <w:softHyphen/>
        <w:t>ленные высококвалифицированными рабочими (25009).</w:t>
      </w:r>
    </w:p>
    <w:p w14:paraId="6CBD6A08" w14:textId="77777777" w:rsidR="00655073" w:rsidRPr="00142305" w:rsidRDefault="00655073" w:rsidP="00655073">
      <w:pPr>
        <w:spacing w:after="0" w:line="240" w:lineRule="auto"/>
        <w:jc w:val="both"/>
        <w:rPr>
          <w:rFonts w:ascii="Times New Roman" w:hAnsi="Times New Roman"/>
          <w:color w:val="0070C0"/>
          <w:sz w:val="16"/>
          <w:szCs w:val="16"/>
        </w:rPr>
      </w:pPr>
    </w:p>
    <w:p w14:paraId="555DB1C7" w14:textId="77777777" w:rsidR="009A6BD4" w:rsidRPr="005E779E" w:rsidRDefault="009A6BD4"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shd w:val="clear" w:color="auto" w:fill="FFFFFF"/>
        </w:rPr>
        <w:t>В период с 25 мая по 26 июля 1931 года Гизбурга, вместе с 14 инженерами-конструкторами, перебросили в Харьков. Поскольку отчасти танк Кристи выглядел как набор "сделай сам", конструкцию машины пришлось дорабатывать, выкидывая откровенно спорные и дорогостоящие решения. Башню и вовсе пришлось делать с нуля. Следует отметить, что башня изначально имела спаренную установку 37-мм пушки и пулемета, а серийный БТ-2 имел установку попроще (20375).</w:t>
      </w:r>
    </w:p>
    <w:p w14:paraId="067A0EA4" w14:textId="77777777" w:rsidR="009A6BD4" w:rsidRPr="005E779E" w:rsidRDefault="009A6BD4" w:rsidP="000B7A6C">
      <w:pPr>
        <w:shd w:val="clear" w:color="auto" w:fill="FFFFFF"/>
        <w:spacing w:after="0" w:line="240" w:lineRule="auto"/>
        <w:jc w:val="both"/>
        <w:rPr>
          <w:rFonts w:ascii="Times New Roman" w:hAnsi="Times New Roman"/>
          <w:color w:val="000000" w:themeColor="text1"/>
          <w:sz w:val="16"/>
          <w:szCs w:val="16"/>
        </w:rPr>
      </w:pPr>
    </w:p>
    <w:p w14:paraId="04A58193"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5C6898ED"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3BFA2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мая 1931 Алкснис утвердил предложение НИИ ВВС организовать в составе 9-й авиабригады на Черном море "торпедную ячейку". Сюда решили передать один ТБ-1, имевшийся в Остехбюро, и такую же машину, наряженную для Воздушных сил Черного моря. В тот же день черноморцам выделили новенький самолет на колесах. В июле "ячейку" переименовали в торпедный отряд, который занимался испытаниями нового оружия. Командовал отрядом летчик Морозов. Машины базировались на аэродроме в Каче.</w:t>
      </w:r>
    </w:p>
    <w:p w14:paraId="59CDB4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ТБ-1 оснащались универсальным под- фюзеляжным мостом ОТБ, позволявшим подвеску высотной торпеды ВВС-15 и мины ВОМИЗА-ЮО, обладавших очень схожими парашютными системами с несколькими куполами, постепенно гасившими скорость падения, а также торпеды ВВС-12 для сбрасывания с бреющего полета.</w:t>
      </w:r>
    </w:p>
    <w:p w14:paraId="437F5D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Испытания мин и торпед проводились с марта 1932 г., а в сентябре перешли в стадию войсковых, когда торпедами попробовали поражать различные цели. Главной целью являлся линкор "Парижская Коммуна". Сбрасывали так, чтобы торпеда прошла заведомо мимо корабля. Дело в том, что не имелось "мнущихся" (учебных) боевых отделений. В октябре во время маневров флота пара ТБ-1 залпом сбросила торпеды по буксируемому щиту в 15 милях от Херсонесского маяка. Обе торпеды промахнулись. Трудно было учесть снос парашютов ветром. Но механизмы торпед отработали исправно. Всего до 14 ноября выполнили девять сбрасываний. Поскольку в первую очередь всех интересовала баллистика системы, то часто сбрасывались "болванки" - габаритно-весовые макеты без "начинки".</w:t>
      </w:r>
    </w:p>
    <w:p w14:paraId="083F9B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Параллельно с колесными морским летчикам начали поставлять самолеты на поплавках. К концу сентября 1931 г. в 62-й эскадрилье 4-й авиабригады на Балтике уже имелись три ЮГ-1 и три ТБ-1 П. Последние использовали для испытаний торпеды ВВС-12. После доработки ее приняли на вооружение как ТАН-12, а ВВС-15 - как ТАВ-15. Мина ВОМИЗА-1СЮ получила новое обозначение МАВ-1, в 1933 г. ее модернизировали, несколько облегчив и упростив.</w:t>
      </w:r>
    </w:p>
    <w:p w14:paraId="0B3F75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1933 г. арсенал морской авиации пополнился более мощной торпедой ТАВ-12. Она была прочнее, чем ТАВ-15 и позволяла сброс на скорости до 180 км/ч. Кроме того, у нее была выше скорость и втрое большая дальность хода. Парашютная система у торпед обоих типов была унифицирована. В 1934 - 1936 гг. под руководством В.И. Алферова доработали ТАН-12, получив модификацию ТАН-12А. Количество парашютов уменьшили с четырех до двух, а жесткий короб заменили мягкой упаковкой, при этом вес парашютной системы уменьшился с 450 до 120 кг, а время спуска с высоты 2000 м - с 55 до 45 с. Той же парашютной системой оснастили ТАВ-15, получив ТАВ-15А. Эти мины и торпеды стали основным вооружением советской минно-торпедной авиации в 1930-х гг.</w:t>
      </w:r>
    </w:p>
    <w:p w14:paraId="1C782F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 1932 г. по постановлению Реввоенсовета приступили к формированию первых боевых частей минно-торпедной авиации. В их число вошли 121-я эскадрилья на Балтике, отряд в составе 124-й эскадрильи на Черном море и 1-я эскадрилья в составе Морских сил Дальнего Востока. По штату торпедной эскадрилье полагалось 12 машин. Эскадрилья делилась на три отряда. Все эти части создавались на базе уже существующих, но имевших другое назначение. Например, чтобы усилить морскую авиацию на Дальнем Востоке, которому придавалось особое значение, в марте 1932 г. в Хабаровск перебросили 51-ю эскадрилью из Воронежа, переименованную в 1-ю.</w:t>
      </w:r>
    </w:p>
    <w:p w14:paraId="49BE86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 процесс сдерживался медленным поступлением мостов, мин и торпед. Реально к декабрю 1932 г. ВВС РККА имели в общей сложности лишь десять самолетов, оснащенных надлежащим образом: четыре на Черном море, столько же на Балтике и три на Дальнем Востоке. Для них на складах лежали 27 боевых торпед и всего четыре мины. Соответственно, задержалась и специальная подготовка экипажей. Так, освоение высотного торпедометания в 1-й эскадрилье первым начал отряд П.И. Сучко весной 1933 г. (12001).</w:t>
      </w:r>
    </w:p>
    <w:p w14:paraId="2D45B2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5CE44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мая 1931 создание торпедной ячейки (два торпедоносца ТБ-1а) в составе 9-й авиабригады ВВС МСЧМ - первого реального подраз деления минно-торпедной авиации РККФ (12002).</w:t>
      </w:r>
    </w:p>
    <w:p w14:paraId="351B07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5E46FF1" w14:textId="77777777" w:rsidR="00A24023" w:rsidRPr="005E779E" w:rsidRDefault="00A2402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мая 1931 г. была создана торпедная ячейка (два торпедоносца ТБ-1 а) в составе 9-й авиабригады ВВС МСЧМ - первого реального подразделения минно</w:t>
      </w:r>
      <w:r w:rsidRPr="005E779E">
        <w:rPr>
          <w:rFonts w:ascii="Times New Roman" w:hAnsi="Times New Roman"/>
          <w:color w:val="000000" w:themeColor="text1"/>
          <w:sz w:val="16"/>
          <w:szCs w:val="16"/>
        </w:rPr>
        <w:softHyphen/>
        <w:t>торпедной авиации РККФ (23464).</w:t>
      </w:r>
    </w:p>
    <w:p w14:paraId="37A7606B" w14:textId="77777777" w:rsidR="00A24023" w:rsidRPr="005E779E" w:rsidRDefault="00A24023" w:rsidP="000B7A6C">
      <w:pPr>
        <w:spacing w:after="0" w:line="240" w:lineRule="auto"/>
        <w:jc w:val="both"/>
        <w:rPr>
          <w:rFonts w:ascii="Times New Roman" w:hAnsi="Times New Roman"/>
          <w:color w:val="000000" w:themeColor="text1"/>
          <w:sz w:val="16"/>
          <w:szCs w:val="16"/>
        </w:rPr>
      </w:pPr>
    </w:p>
    <w:p w14:paraId="68F05C4F"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68123DA8"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ED432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мая 1931 г. СНК СССР утверждает первое общесоюзное "Положение о рабоче-крестьянской милиции" (действовавшее до 1962 г.), которое установило статус милиции как единой централизованной жестко вертикальной структуры (10303).</w:t>
      </w:r>
    </w:p>
    <w:p w14:paraId="4DA7AA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45413EB" w14:textId="77777777" w:rsidR="00647D80" w:rsidRPr="005E779E" w:rsidRDefault="00647D8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мая 1931 года принято специальное постановление ЦК ВКП(б) «О постановке производственно-технической пропаганды», в котором были определены средства пропаганды достижений отечественной технической мысли и передового опыта. Особое внимание уделялось изданию технической литературы через Объединение государственных издательств (ОГИЗ), а также изданию научнотехнических журналов и специальных трудов европейских и отечественных деятелей науки и техники (19546).</w:t>
      </w:r>
    </w:p>
    <w:p w14:paraId="188CFA76" w14:textId="77777777" w:rsidR="00647D80" w:rsidRPr="005E779E" w:rsidRDefault="00647D80" w:rsidP="000B7A6C">
      <w:pPr>
        <w:spacing w:after="0" w:line="240" w:lineRule="auto"/>
        <w:jc w:val="both"/>
        <w:rPr>
          <w:rFonts w:ascii="Times New Roman" w:hAnsi="Times New Roman"/>
          <w:color w:val="000000" w:themeColor="text1"/>
          <w:sz w:val="16"/>
          <w:szCs w:val="16"/>
        </w:rPr>
      </w:pPr>
    </w:p>
    <w:p w14:paraId="73713D68" w14:textId="77777777" w:rsidR="006966DD" w:rsidRPr="005E779E" w:rsidRDefault="006966DD"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Внешня политика:</w:t>
      </w:r>
    </w:p>
    <w:p w14:paraId="5A4DB5FE" w14:textId="77777777" w:rsidR="006966DD" w:rsidRPr="005E779E" w:rsidRDefault="006966DD"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24BAACF" w14:textId="77777777" w:rsidR="006966DD" w:rsidRPr="005E779E" w:rsidRDefault="006966DD"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25 мая 1931 г.</w:t>
      </w:r>
    </w:p>
    <w:p w14:paraId="5BE4C9B9" w14:textId="77777777" w:rsidR="006966DD" w:rsidRPr="005E779E" w:rsidRDefault="006966DD"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Письмо из редакционно-издательского отдела Коминтерна в отдел печати НКИД СССР по поводу издания сокращенной версии стенограммы процесса «Промпартии» на французском языке. 25 мая 1931 г.</w:t>
      </w:r>
    </w:p>
    <w:p w14:paraId="731BA83A" w14:textId="77777777" w:rsidR="006966DD" w:rsidRPr="005E779E" w:rsidRDefault="006966DD"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Источник: </w:t>
      </w:r>
    </w:p>
    <w:p w14:paraId="0711BA1A" w14:textId="77777777" w:rsidR="006966DD" w:rsidRPr="005E779E" w:rsidRDefault="006966D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E1D22D4" w14:textId="77777777" w:rsidR="006966DD" w:rsidRPr="005E779E" w:rsidRDefault="006966DD"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Архив: </w:t>
      </w:r>
    </w:p>
    <w:p w14:paraId="4ECDFF5F" w14:textId="77777777" w:rsidR="006966DD" w:rsidRPr="005E779E" w:rsidRDefault="006966D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АВП РФ. Ф. 056. On. 16. П. 34. Д. 14. Л. 92</w:t>
      </w:r>
    </w:p>
    <w:p w14:paraId="4FCACFFA" w14:textId="77777777" w:rsidR="006966DD" w:rsidRPr="005E779E" w:rsidRDefault="006966DD" w:rsidP="000B7A6C">
      <w:pPr>
        <w:pStyle w:val="ae"/>
        <w:spacing w:before="0" w:after="0"/>
        <w:jc w:val="both"/>
        <w:rPr>
          <w:color w:val="000000" w:themeColor="text1"/>
          <w:sz w:val="16"/>
          <w:szCs w:val="16"/>
        </w:rPr>
      </w:pPr>
      <w:r w:rsidRPr="005E779E">
        <w:rPr>
          <w:color w:val="000000" w:themeColor="text1"/>
          <w:sz w:val="16"/>
          <w:szCs w:val="16"/>
        </w:rPr>
        <w:t>25 мая 1931 г.</w:t>
      </w:r>
    </w:p>
    <w:p w14:paraId="32999C50" w14:textId="77777777" w:rsidR="006966DD" w:rsidRPr="005E779E" w:rsidRDefault="006966DD" w:rsidP="000B7A6C">
      <w:pPr>
        <w:pStyle w:val="ae"/>
        <w:spacing w:before="0" w:after="0"/>
        <w:jc w:val="both"/>
        <w:rPr>
          <w:color w:val="000000" w:themeColor="text1"/>
          <w:sz w:val="16"/>
          <w:szCs w:val="16"/>
        </w:rPr>
      </w:pPr>
      <w:r w:rsidRPr="005E779E">
        <w:rPr>
          <w:color w:val="000000" w:themeColor="text1"/>
          <w:sz w:val="16"/>
          <w:szCs w:val="16"/>
        </w:rPr>
        <w:t>Секретно</w:t>
      </w:r>
    </w:p>
    <w:p w14:paraId="4A0E7185" w14:textId="77777777" w:rsidR="006966DD" w:rsidRPr="005E779E" w:rsidRDefault="006966DD" w:rsidP="000B7A6C">
      <w:pPr>
        <w:pStyle w:val="ae"/>
        <w:spacing w:before="0" w:after="0"/>
        <w:jc w:val="both"/>
        <w:rPr>
          <w:color w:val="000000" w:themeColor="text1"/>
          <w:sz w:val="16"/>
          <w:szCs w:val="16"/>
        </w:rPr>
      </w:pPr>
      <w:r w:rsidRPr="005E779E">
        <w:rPr>
          <w:color w:val="000000" w:themeColor="text1"/>
          <w:sz w:val="16"/>
          <w:szCs w:val="16"/>
        </w:rPr>
        <w:t>Тов. АРЕНС</w:t>
      </w:r>
    </w:p>
    <w:p w14:paraId="2725C798" w14:textId="77777777" w:rsidR="006966DD" w:rsidRPr="005E779E" w:rsidRDefault="006966DD" w:rsidP="000B7A6C">
      <w:pPr>
        <w:pStyle w:val="rtejustify"/>
        <w:spacing w:before="0" w:after="0"/>
        <w:rPr>
          <w:color w:val="000000" w:themeColor="text1"/>
          <w:sz w:val="16"/>
          <w:szCs w:val="16"/>
        </w:rPr>
      </w:pPr>
      <w:r w:rsidRPr="005E779E">
        <w:rPr>
          <w:color w:val="000000" w:themeColor="text1"/>
          <w:sz w:val="16"/>
          <w:szCs w:val="16"/>
        </w:rPr>
        <w:t>Посылаем изданный нами на французском языке сжатый протокол ПРОЦЕССА ПРОМПАРТИИ с предисловием ПЬЕРА ДОМИНИКА, известного французского писателя, радикала по политическим связям, автора нашумевшей в прошлом году дружественной Советскому Союзу книги «Да, но Москва...». Книге предпослано введение от издателей, углубляющее предисловие Доминика.</w:t>
      </w:r>
    </w:p>
    <w:p w14:paraId="6F66E89C" w14:textId="77777777" w:rsidR="006966DD" w:rsidRPr="005E779E" w:rsidRDefault="006966DD" w:rsidP="000B7A6C">
      <w:pPr>
        <w:pStyle w:val="rtejustify"/>
        <w:spacing w:before="0" w:after="0"/>
        <w:rPr>
          <w:color w:val="000000" w:themeColor="text1"/>
          <w:sz w:val="16"/>
          <w:szCs w:val="16"/>
        </w:rPr>
      </w:pPr>
      <w:r w:rsidRPr="005E779E">
        <w:rPr>
          <w:color w:val="000000" w:themeColor="text1"/>
          <w:sz w:val="16"/>
          <w:szCs w:val="16"/>
        </w:rPr>
        <w:t>В таком виде и иллюстрированная рядом рисунков и фотографиями документов, а также при проводимой издательством ШИРОКОЙ РЕКЛАМЕ ЧЕРЕЗ БУРЖУАЗНУЮ ПРЕССУ и при цене в 12 фр. (около одного рубля), книга эта сыграет значительную роль в деле популяризации процесса и разоблачения интервенционистских планов.</w:t>
      </w:r>
    </w:p>
    <w:p w14:paraId="59F69312" w14:textId="77777777" w:rsidR="006966DD" w:rsidRPr="005E779E" w:rsidRDefault="006966DD" w:rsidP="000B7A6C">
      <w:pPr>
        <w:pStyle w:val="rtejustify"/>
        <w:spacing w:before="0" w:after="0"/>
        <w:rPr>
          <w:color w:val="000000" w:themeColor="text1"/>
          <w:sz w:val="16"/>
          <w:szCs w:val="16"/>
        </w:rPr>
      </w:pPr>
      <w:r w:rsidRPr="005E779E">
        <w:rPr>
          <w:color w:val="000000" w:themeColor="text1"/>
          <w:sz w:val="16"/>
          <w:szCs w:val="16"/>
        </w:rPr>
        <w:t>25.5.1931 г.</w:t>
      </w:r>
    </w:p>
    <w:p w14:paraId="6374F0AE" w14:textId="77777777" w:rsidR="006966DD" w:rsidRPr="005E779E" w:rsidRDefault="006966DD" w:rsidP="000B7A6C">
      <w:pPr>
        <w:pStyle w:val="ae"/>
        <w:spacing w:before="0" w:after="0"/>
        <w:jc w:val="both"/>
        <w:rPr>
          <w:color w:val="000000" w:themeColor="text1"/>
          <w:sz w:val="16"/>
          <w:szCs w:val="16"/>
        </w:rPr>
      </w:pPr>
      <w:r w:rsidRPr="005E779E">
        <w:rPr>
          <w:color w:val="000000" w:themeColor="text1"/>
          <w:sz w:val="16"/>
          <w:szCs w:val="16"/>
        </w:rPr>
        <w:t>РЕДИЗДАТ ИККИ.</w:t>
      </w:r>
    </w:p>
    <w:p w14:paraId="18422692" w14:textId="77777777" w:rsidR="006966DD" w:rsidRPr="005E779E" w:rsidRDefault="006966DD" w:rsidP="000B7A6C">
      <w:pPr>
        <w:pStyle w:val="ae"/>
        <w:spacing w:before="0" w:after="0"/>
        <w:jc w:val="both"/>
        <w:rPr>
          <w:color w:val="000000" w:themeColor="text1"/>
          <w:sz w:val="16"/>
          <w:szCs w:val="16"/>
        </w:rPr>
      </w:pPr>
      <w:r w:rsidRPr="005E779E">
        <w:rPr>
          <w:rStyle w:val="af0"/>
          <w:i w:val="0"/>
          <w:color w:val="000000" w:themeColor="text1"/>
          <w:sz w:val="16"/>
          <w:szCs w:val="16"/>
        </w:rPr>
        <w:t>АВП РФ. Ф. 056. On. 16. П. 34. Д. 14. Л. 92. Машинописная копия того времени. Гриф секретности машинописью. Вверху справа исходящий номер и дата «25.5.31» (штампом). Вверху слева написаны от руки входящий номер и дата получения документа «26/V-31 г.» (18836).</w:t>
      </w:r>
    </w:p>
    <w:p w14:paraId="3CCE5CF8" w14:textId="77777777" w:rsidR="006966DD" w:rsidRPr="005E779E" w:rsidRDefault="006966DD" w:rsidP="000B7A6C">
      <w:pPr>
        <w:spacing w:after="0" w:line="240" w:lineRule="auto"/>
        <w:jc w:val="both"/>
        <w:rPr>
          <w:rFonts w:ascii="Times New Roman" w:hAnsi="Times New Roman"/>
          <w:color w:val="000000" w:themeColor="text1"/>
          <w:sz w:val="16"/>
          <w:szCs w:val="16"/>
        </w:rPr>
      </w:pPr>
    </w:p>
    <w:p w14:paraId="53D17D32"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26BCBE9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1E919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 мая 1931 СНК принял постановление о расширении работ ГВФ (271,126). "Союз ССР имеет в настоящее время полную возможность приступить к выполнению широкой программы аэрофикации, долженствующей содействовать ускорению темпов строительства социализма, экономии энергии при передвижении и усилению живой, почтовой и грузовой связи в СССР" (438,623).</w:t>
      </w:r>
    </w:p>
    <w:p w14:paraId="567797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20571D5" w14:textId="77777777" w:rsidR="002E2960" w:rsidRPr="005E779E" w:rsidRDefault="002E296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 мая 1931 г. СНК СССР вынес постановление об аэрофикации страны. В нем говорилось: "Союз ССР имеет в настоящее время полную возможность приступить к выполнению широкой программы аэрофикации, долженствующей содействовать ускорению темпов строительства социализма, экономил энергии при передвижении и усилению живой, почтовой и грузовой связи в СССР". Индустриализация страны, начатая в годы первой пятилетки, способствовала осуществлению плана аэрофикации.</w:t>
      </w:r>
    </w:p>
    <w:p w14:paraId="75ECC5C7" w14:textId="77777777" w:rsidR="002E2960" w:rsidRPr="005E779E" w:rsidRDefault="002E296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лет гражданского воздушного флота", 1938, стр.79/ (23370).</w:t>
      </w:r>
    </w:p>
    <w:p w14:paraId="176C557D" w14:textId="77777777" w:rsidR="002E2960" w:rsidRPr="005E779E" w:rsidRDefault="002E2960" w:rsidP="000B7A6C">
      <w:pPr>
        <w:spacing w:after="0" w:line="240" w:lineRule="auto"/>
        <w:jc w:val="both"/>
        <w:rPr>
          <w:rFonts w:ascii="Times New Roman" w:hAnsi="Times New Roman"/>
          <w:color w:val="000000" w:themeColor="text1"/>
          <w:sz w:val="16"/>
          <w:szCs w:val="16"/>
        </w:rPr>
      </w:pPr>
    </w:p>
    <w:p w14:paraId="2F65F820" w14:textId="77777777" w:rsidR="00C450B6" w:rsidRPr="005E779E" w:rsidRDefault="00C450B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 мая 1931 года «СНК СССР при утверждении транспортно-финансового плана Гражданского воздушного флота принял историческое постановление, в котором констатировал, что СССР имеет в настоящее время полную возможность приступить к выполнению широкой программы аэрофикации для ускорения темпов строительства социализма, усиления живой, почтовой и грузовой связи в СССР» (Гагин В.В. Авиастроение и аэрофикация страны как главные факторы развития парашютизма в СССР в предвоенные годы // Вестник НИИ гуманитарных наук при Правительстве Республики Мордовия. 2019. № 4 (52). С. 100-102). Тем самым самолет ставился на службу хозяйственного и культурного строительства, что позволяло рекрутировать в авиацию и парашютизм тысячи юношей и девушек (21402).</w:t>
      </w:r>
    </w:p>
    <w:p w14:paraId="75ECC2DB" w14:textId="77777777" w:rsidR="00C450B6" w:rsidRPr="005E779E" w:rsidRDefault="00C450B6" w:rsidP="000B7A6C">
      <w:pPr>
        <w:spacing w:after="0" w:line="240" w:lineRule="auto"/>
        <w:jc w:val="both"/>
        <w:rPr>
          <w:rFonts w:ascii="Times New Roman" w:hAnsi="Times New Roman"/>
          <w:color w:val="000000" w:themeColor="text1"/>
          <w:sz w:val="16"/>
          <w:szCs w:val="16"/>
        </w:rPr>
      </w:pPr>
    </w:p>
    <w:p w14:paraId="44EEC222" w14:textId="77777777" w:rsidR="001A7FA6"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169A5BB6" w14:textId="77777777" w:rsidR="001A7FA6" w:rsidRPr="005E779E" w:rsidRDefault="001A7FA6"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ABD01ED" w14:textId="77777777" w:rsidR="001A7FA6" w:rsidRPr="005E779E" w:rsidRDefault="001A7FA6"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26 мая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Постановление СТО СССР № 104сс об объявлении Севастопольского порта военно-морским портом (ГА РФ. Ф. Р?8418. Оп. 28. Д. 1а. Л. 31) (12415).</w:t>
      </w:r>
    </w:p>
    <w:p w14:paraId="7FFFAC66" w14:textId="77777777" w:rsidR="001A7FA6" w:rsidRPr="005E779E" w:rsidRDefault="001A7FA6" w:rsidP="000B7A6C">
      <w:pPr>
        <w:spacing w:after="0" w:line="240" w:lineRule="auto"/>
        <w:jc w:val="both"/>
        <w:rPr>
          <w:rFonts w:ascii="Times New Roman" w:hAnsi="Times New Roman"/>
          <w:color w:val="000000" w:themeColor="text1"/>
          <w:sz w:val="16"/>
          <w:szCs w:val="16"/>
          <w:u w:color="002060"/>
        </w:rPr>
      </w:pPr>
    </w:p>
    <w:p w14:paraId="0E85B3F4" w14:textId="77777777" w:rsidR="00974187"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3A554486" w14:textId="77777777" w:rsidR="00974187" w:rsidRPr="005E779E" w:rsidRDefault="00974187"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4329AF3" w14:textId="77777777" w:rsidR="00974187" w:rsidRPr="005E779E" w:rsidRDefault="009741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26 мая</w:t>
      </w:r>
      <w:r w:rsidRPr="005E779E">
        <w:rPr>
          <w:rFonts w:ascii="Times New Roman" w:hAnsi="Times New Roman"/>
          <w:color w:val="000000" w:themeColor="text1"/>
          <w:sz w:val="16"/>
          <w:szCs w:val="16"/>
        </w:rPr>
        <w:t xml:space="preserve"> в 1931 году ВМС США выдали фирме Консолидейтед заказ на рабочее проектирование и постройку одного прототипа летающей лодки </w:t>
      </w:r>
      <w:hyperlink r:id="rId108" w:tgtFrame="_blank" w:history="1">
        <w:r w:rsidRPr="005E779E">
          <w:rPr>
            <w:rFonts w:ascii="Times New Roman" w:hAnsi="Times New Roman"/>
            <w:color w:val="000000" w:themeColor="text1"/>
            <w:sz w:val="16"/>
            <w:szCs w:val="16"/>
          </w:rPr>
          <w:t xml:space="preserve">«P2Y» «Ranger» </w:t>
        </w:r>
      </w:hyperlink>
      <w:r w:rsidRPr="005E779E">
        <w:rPr>
          <w:rFonts w:ascii="Times New Roman" w:hAnsi="Times New Roman"/>
          <w:color w:val="000000" w:themeColor="text1"/>
          <w:sz w:val="16"/>
          <w:szCs w:val="16"/>
        </w:rPr>
        <w:t>с расчетной дальностью полета 4828 км - почти вдвое больше, чем у «XPY-1» (14903).</w:t>
      </w:r>
    </w:p>
    <w:p w14:paraId="546F470D" w14:textId="77777777" w:rsidR="00974187" w:rsidRPr="005E779E" w:rsidRDefault="00974187" w:rsidP="000B7A6C">
      <w:pPr>
        <w:spacing w:after="0" w:line="240" w:lineRule="auto"/>
        <w:jc w:val="both"/>
        <w:rPr>
          <w:rFonts w:ascii="Times New Roman" w:hAnsi="Times New Roman"/>
          <w:color w:val="000000" w:themeColor="text1"/>
          <w:sz w:val="16"/>
          <w:szCs w:val="16"/>
        </w:rPr>
      </w:pPr>
    </w:p>
    <w:p w14:paraId="4C05916B"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0CA88B98"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8FFF1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мая 1931 был первый полет АНТ-31 (И-14) (2989).</w:t>
      </w:r>
    </w:p>
    <w:p w14:paraId="4DF000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B5AFF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27 мая 1931 года Приказом начальника НИИ ВВС №145 структура Института была приведена в соответствие с возложенными на него задачами. В институте было образовано 19 отделов, сектор рационализации и изобретательства, авиапарк в составе 130 человек, Центральный авиационный полигон в составе 32 человек и авиагруппа в составе 221 человека. В последствии авиагруппа была переименована в авиабригаду, которой в тот период командовали А.А.Туржанский, затем Скробук и А.И.Залевский. Комиссаром авиабригады был назначен Киль, начальником штаба Н.И.Шауров (затем Петров). В бригаде работали летчики А.Б.Юмашев, </w:t>
      </w:r>
      <w:r w:rsidRPr="005E779E">
        <w:rPr>
          <w:rFonts w:ascii="Times New Roman" w:hAnsi="Times New Roman"/>
          <w:color w:val="000000" w:themeColor="text1"/>
          <w:sz w:val="16"/>
          <w:szCs w:val="16"/>
        </w:rPr>
        <w:lastRenderedPageBreak/>
        <w:t>М.М.Громов, С.М.Иванов, А.Ф.Анисимов, П.М .Стефановский, В.А.Степанченок, И.Ф.Петров, И.Ф.Козлов, Ж.В.Паунтас,В.О.Писаренко, В.Г.Рахов, А.Г.Растригин, В.И.Фортинский, В.М.Жарновский, М.Каверин, Благонадежин, Нольдс, борттехник Ткачев и другие (11017).</w:t>
      </w:r>
    </w:p>
    <w:p w14:paraId="3CF596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4AE48A5"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1D25A887"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8BEFA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27 мая по 13 июня 1931 танк Кристи испытывался пробегом по шоссе и грунтовым дорогам на колесном ходу. Максимальная скорость не превышала 65-70 км/час. На колесах нельзя было двигаться по песку (3879,7).</w:t>
      </w:r>
    </w:p>
    <w:p w14:paraId="619F57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8D9A265" w14:textId="77777777" w:rsidR="00E00206" w:rsidRPr="005E779E" w:rsidRDefault="00E002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 27 мая и до 13 июня 1931 танк БТ испытывался пробегом по шоссе и грунтовым дорогам только на колесном ходу. Максимальная скорость не превышала 65-70 км/час. Существенным недостатком оказалась полная невозможность движения на колесах по песку из-за значительного их погружения в грунт. Было также отмечено, что посадка в танк может производиться только через верхний люк, поскольку водительский люк слишком узок, непригоден для эвакуации и не оборудован приборами бокового обзора. Доступ к агрегатам моторно-трансмиссионного отделения был возможен лишь после полной разборки крыши. Недостатком признали отсутствие башни и установку только пулеметного вооружения в корпусе. Общий “набег” М1931 за 10 дней составил 200 км на колесах, но 50 из них танк прошел ещё в США. </w:t>
      </w:r>
    </w:p>
    <w:p w14:paraId="1037DF27" w14:textId="77777777" w:rsidR="00E00206" w:rsidRPr="005E779E" w:rsidRDefault="00E002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Впрочем, во время демонстрации М1931 членам правительства машина, даже с поломанным кронштейном, показала себя хорошо. На колесном ходу танк свободно прошел 5 рядов проволочных заграждений, а затем преодолел двухметровый окоп. Экипаж машины за 44 минуты установил гусеничные ленты, а после 10-минутного перерыва за 35 минут снял и уложил их на надгусеничные полки. </w:t>
      </w:r>
    </w:p>
    <w:p w14:paraId="4A788235" w14:textId="77777777" w:rsidR="00E00206" w:rsidRPr="005E779E" w:rsidRDefault="00E002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Последняя попытка провести испытания М1931 на гусеничном ходу была предпринята 13 июня, но после того как танк прошел всего 1 км, злополучный кронштейн снова сломался. Тремя днями позже начала заедать коробка передач на 2-й и 3-й скорости. Всего с 16 мая по 21 июня танк прошел на гусеницах 43,5 км и 863 км на колесах. По результатам испытаний был составлен подробный отчет на 15 листах. В нем, в частности, отмечалось, что танк не прошел полных испытаний из-за поломки кронштейна ленивца:</w:t>
      </w:r>
    </w:p>
    <w:p w14:paraId="0C27F716" w14:textId="77777777" w:rsidR="00E00206" w:rsidRPr="005E779E" w:rsidRDefault="00E002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"...Танк испытывался только на колесах, причем испытания показали, что средние скорости по шоссе не превышают 30-35 км/час. Водитель после 4-5 часов сильно устает (благодаря трудности управления и неравномерности хода требовалось все время выравнивать машину). ...Двигатель работал хорошо, но необходима частая регулировка клапанов. АКБ недостаточны для запуска двигателя (холодный двигатель запускался, как правило, с буксира). В коробке передач после 600-650 км выскакивают 2-я и 3-я передачи при большой нагрузке двигателя. Течь смазки из-под уплотнений, затруднено включение всех передач. Через 2-3 часа движения значительно нагревается КПП до 85-88°С при температуре окружающего воздуха +35-40°С.</w:t>
      </w:r>
    </w:p>
    <w:p w14:paraId="743EB392" w14:textId="77777777" w:rsidR="00E00206" w:rsidRPr="005E779E" w:rsidRDefault="00E002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Гусеницы. После 40,5 км сломано 8 пальцев. </w:t>
      </w:r>
    </w:p>
    <w:p w14:paraId="247BEB2A" w14:textId="77777777" w:rsidR="00E00206" w:rsidRPr="005E779E" w:rsidRDefault="00E002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Ведущие колеса. После 150-200 км наблюдается развал в наружную сторону на 1,5-2 см. </w:t>
      </w:r>
    </w:p>
    <w:p w14:paraId="40F97F4D" w14:textId="77777777" w:rsidR="00E00206" w:rsidRPr="005E779E" w:rsidRDefault="00E002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Управление танком - удовлетворительное. На грунтовых дорогах "отказывается слушаться руля", а при езде по неровностям толчки выбивают руль у водителя из рук. На скоростях 55-60 км/час управление затруднительно...</w:t>
      </w:r>
    </w:p>
    <w:p w14:paraId="3E958D08" w14:textId="77777777" w:rsidR="00E00206" w:rsidRPr="005E779E" w:rsidRDefault="00E002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w:t>
      </w:r>
    </w:p>
    <w:p w14:paraId="0A504081" w14:textId="77777777" w:rsidR="00E00206" w:rsidRPr="005E779E" w:rsidRDefault="00E002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...Танк Кристи в том виде, в котором он был представлен на испытаниях, является исключительно интересной машиной с универсальным движением, требует как боевая машина большой разработки и введения ряда конструктивных усовершенствований и изменений" (17214).</w:t>
      </w:r>
    </w:p>
    <w:p w14:paraId="43C74B1D" w14:textId="77777777" w:rsidR="00E00206" w:rsidRPr="005E779E" w:rsidRDefault="00E00206" w:rsidP="000B7A6C">
      <w:pPr>
        <w:spacing w:after="0" w:line="240" w:lineRule="auto"/>
        <w:jc w:val="both"/>
        <w:rPr>
          <w:rFonts w:ascii="Times New Roman" w:hAnsi="Times New Roman"/>
          <w:color w:val="000000" w:themeColor="text1"/>
          <w:sz w:val="16"/>
          <w:szCs w:val="16"/>
        </w:rPr>
      </w:pPr>
    </w:p>
    <w:p w14:paraId="4F995E7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мая 1931 года был составлен отчет об осмотре машин Дыренкова, в котором говорилось: «Д-13 («Форд-АА» шестиколесный). Расположение боковых пулеметных установок про</w:t>
      </w:r>
      <w:r w:rsidRPr="005E779E">
        <w:rPr>
          <w:rFonts w:ascii="Times New Roman" w:hAnsi="Times New Roman"/>
          <w:color w:val="000000" w:themeColor="text1"/>
          <w:sz w:val="16"/>
          <w:szCs w:val="16"/>
        </w:rPr>
        <w:softHyphen/>
        <w:t>изведено без учета возможности их целесообразного ис</w:t>
      </w:r>
      <w:r w:rsidRPr="005E779E">
        <w:rPr>
          <w:rFonts w:ascii="Times New Roman" w:hAnsi="Times New Roman"/>
          <w:color w:val="000000" w:themeColor="text1"/>
          <w:sz w:val="16"/>
          <w:szCs w:val="16"/>
        </w:rPr>
        <w:softHyphen/>
        <w:t>пользования. Поэтому целесообразно оставить лишь одну установку спереди и одну сзади, а боковые убрать, так как они стесняют командира башни. Условия наблюдения из машины при наличии башни с круговым вращением и от{срываемого в ней вверху люка в общем удовлетворитель</w:t>
      </w:r>
      <w:r w:rsidRPr="005E779E">
        <w:rPr>
          <w:rFonts w:ascii="Times New Roman" w:hAnsi="Times New Roman"/>
          <w:color w:val="000000" w:themeColor="text1"/>
          <w:sz w:val="16"/>
          <w:szCs w:val="16"/>
        </w:rPr>
        <w:softHyphen/>
        <w:t>ные. Турельная установка не оправдывает своего назначе</w:t>
      </w:r>
      <w:r w:rsidRPr="005E779E">
        <w:rPr>
          <w:rFonts w:ascii="Times New Roman" w:hAnsi="Times New Roman"/>
          <w:color w:val="000000" w:themeColor="text1"/>
          <w:sz w:val="16"/>
          <w:szCs w:val="16"/>
        </w:rPr>
        <w:softHyphen/>
        <w:t>ния, так как она имеет недостаточный угол возвышения и не защищает стрелка от поражения с воздуха (турель авиационного типа).</w:t>
      </w:r>
    </w:p>
    <w:p w14:paraId="49CAE22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«Мореланд». Артиллерийское вооружение — 37-мм пушка — не оправдано тяжестью и громоздкостью самой машины. Проходимость и поворотливость «Мореланда», по сравнению с шестиколесным «Форд-АА», более ограни</w:t>
      </w:r>
      <w:r w:rsidRPr="005E779E">
        <w:rPr>
          <w:rFonts w:ascii="Times New Roman" w:hAnsi="Times New Roman"/>
          <w:color w:val="000000" w:themeColor="text1"/>
          <w:sz w:val="16"/>
          <w:szCs w:val="16"/>
        </w:rPr>
        <w:softHyphen/>
        <w:t>чена вследствие большого веса («Мореланд» 7 т, Д-13 4,25 т) и большей длины («Мореланд» 6,23 м, Д-13 4,75 м). «Море</w:t>
      </w:r>
      <w:r w:rsidRPr="005E779E">
        <w:rPr>
          <w:rFonts w:ascii="Times New Roman" w:hAnsi="Times New Roman"/>
          <w:color w:val="000000" w:themeColor="text1"/>
          <w:sz w:val="16"/>
          <w:szCs w:val="16"/>
        </w:rPr>
        <w:softHyphen/>
        <w:t>ланд» ничем положительным по сравнению с «Форд-АА» шестиколесным или БА-27 отличиться не может, но изоби</w:t>
      </w:r>
      <w:r w:rsidRPr="005E779E">
        <w:rPr>
          <w:rFonts w:ascii="Times New Roman" w:hAnsi="Times New Roman"/>
          <w:color w:val="000000" w:themeColor="text1"/>
          <w:sz w:val="16"/>
          <w:szCs w:val="16"/>
        </w:rPr>
        <w:softHyphen/>
        <w:t>лует отрицательными качествами (тихоходность, большие габаритные размеры)».</w:t>
      </w:r>
    </w:p>
    <w:p w14:paraId="075234C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Кроме того, по Д-13 отмечалась высокая трудоемкость изготовления - корпус бронемашины имел 55 броневых де</w:t>
      </w:r>
      <w:r w:rsidRPr="005E779E">
        <w:rPr>
          <w:rFonts w:ascii="Times New Roman" w:hAnsi="Times New Roman"/>
          <w:color w:val="000000" w:themeColor="text1"/>
          <w:sz w:val="16"/>
          <w:szCs w:val="16"/>
        </w:rPr>
        <w:softHyphen/>
        <w:t>талей разнообразной формы, а протяженность сварного шва составляла 122 м — и высокая стоимость — 15696 руб. 74 коп. Поэтому Дыренкову рекомендовали доработать конструкцию бронеавтомобилей (11284).</w:t>
      </w:r>
    </w:p>
    <w:p w14:paraId="77C07F6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E37D1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мая 1931 года комиссия НТК УММ РККА в своем за</w:t>
      </w:r>
      <w:r w:rsidRPr="005E779E">
        <w:rPr>
          <w:rFonts w:ascii="Times New Roman" w:hAnsi="Times New Roman"/>
          <w:color w:val="000000" w:themeColor="text1"/>
          <w:sz w:val="16"/>
          <w:szCs w:val="16"/>
        </w:rPr>
        <w:softHyphen/>
        <w:t>ключении от сообщала:</w:t>
      </w:r>
    </w:p>
    <w:p w14:paraId="68428E8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«Форд-А» (Д-8, Д-12).</w:t>
      </w:r>
    </w:p>
    <w:p w14:paraId="5C62D39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Имеющиеся на машинах установки для ДТ расположе</w:t>
      </w:r>
      <w:r w:rsidRPr="005E779E">
        <w:rPr>
          <w:rFonts w:ascii="Times New Roman" w:hAnsi="Times New Roman"/>
          <w:color w:val="000000" w:themeColor="text1"/>
          <w:sz w:val="16"/>
          <w:szCs w:val="16"/>
        </w:rPr>
        <w:softHyphen/>
        <w:t>ны без учета возможности ведения из них огня. Установка пулемета у водителя вследствие невозможности приведе</w:t>
      </w:r>
      <w:r w:rsidRPr="005E779E">
        <w:rPr>
          <w:rFonts w:ascii="Times New Roman" w:hAnsi="Times New Roman"/>
          <w:color w:val="000000" w:themeColor="text1"/>
          <w:sz w:val="16"/>
          <w:szCs w:val="16"/>
        </w:rPr>
        <w:softHyphen/>
        <w:t>ния пулемета до горизонтального положения, так как голо</w:t>
      </w:r>
      <w:r w:rsidRPr="005E779E">
        <w:rPr>
          <w:rFonts w:ascii="Times New Roman" w:hAnsi="Times New Roman"/>
          <w:color w:val="000000" w:themeColor="text1"/>
          <w:sz w:val="16"/>
          <w:szCs w:val="16"/>
        </w:rPr>
        <w:softHyphen/>
        <w:t>ва стрелка упирается в крышу и отсутствие угла снижения допускает возможность ведения пулеметного огня только по высоким целям.</w:t>
      </w:r>
    </w:p>
    <w:p w14:paraId="565B4B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Стрельба из боковых установок также невозможна вви</w:t>
      </w:r>
      <w:r w:rsidRPr="005E779E">
        <w:rPr>
          <w:rFonts w:ascii="Times New Roman" w:hAnsi="Times New Roman"/>
          <w:color w:val="000000" w:themeColor="text1"/>
          <w:sz w:val="16"/>
          <w:szCs w:val="16"/>
        </w:rPr>
        <w:softHyphen/>
        <w:t>ду трудности приспособления стрелка к этим установкам. Если стрелять с левой установки, то мешает задняя стенка машины и спина водителя. При стрельбе из правой уста</w:t>
      </w:r>
      <w:r w:rsidRPr="005E779E">
        <w:rPr>
          <w:rFonts w:ascii="Times New Roman" w:hAnsi="Times New Roman"/>
          <w:color w:val="000000" w:themeColor="text1"/>
          <w:sz w:val="16"/>
          <w:szCs w:val="16"/>
        </w:rPr>
        <w:softHyphen/>
        <w:t>новки можно стрелять прямо перед собой. При этом стрел</w:t>
      </w:r>
      <w:r w:rsidRPr="005E779E">
        <w:rPr>
          <w:rFonts w:ascii="Times New Roman" w:hAnsi="Times New Roman"/>
          <w:color w:val="000000" w:themeColor="text1"/>
          <w:sz w:val="16"/>
          <w:szCs w:val="16"/>
        </w:rPr>
        <w:softHyphen/>
        <w:t>ку приходится втискиваться между водителем и задней стенкой корпуса. Сектора обстрела при стрельбе из правой и левой установок совершенно отсутствуют. Такое же поло</w:t>
      </w:r>
      <w:r w:rsidRPr="005E779E">
        <w:rPr>
          <w:rFonts w:ascii="Times New Roman" w:hAnsi="Times New Roman"/>
          <w:color w:val="000000" w:themeColor="text1"/>
          <w:sz w:val="16"/>
          <w:szCs w:val="16"/>
        </w:rPr>
        <w:softHyphen/>
        <w:t>жение и при стрельбе из задней установки, имеющей те же недостатки, что и бортовые.</w:t>
      </w:r>
    </w:p>
    <w:p w14:paraId="076E2CF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Установка турели на Д-12 не оправдывает своего на</w:t>
      </w:r>
      <w:r w:rsidRPr="005E779E">
        <w:rPr>
          <w:rFonts w:ascii="Times New Roman" w:hAnsi="Times New Roman"/>
          <w:color w:val="000000" w:themeColor="text1"/>
          <w:sz w:val="16"/>
          <w:szCs w:val="16"/>
        </w:rPr>
        <w:softHyphen/>
        <w:t>значения, так как она имеет недостаточный угол воз</w:t>
      </w:r>
      <w:r w:rsidRPr="005E779E">
        <w:rPr>
          <w:rFonts w:ascii="Times New Roman" w:hAnsi="Times New Roman"/>
          <w:color w:val="000000" w:themeColor="text1"/>
          <w:sz w:val="16"/>
          <w:szCs w:val="16"/>
        </w:rPr>
        <w:softHyphen/>
        <w:t>вышения и не защищает стрелка от поражения с возду</w:t>
      </w:r>
      <w:r w:rsidRPr="005E779E">
        <w:rPr>
          <w:rFonts w:ascii="Times New Roman" w:hAnsi="Times New Roman"/>
          <w:color w:val="000000" w:themeColor="text1"/>
          <w:sz w:val="16"/>
          <w:szCs w:val="16"/>
        </w:rPr>
        <w:softHyphen/>
        <w:t>ха (турель авиационного типа). Перестановка пулемета из одного гнезда в другое в бою на ходу совершенно не</w:t>
      </w:r>
      <w:r w:rsidRPr="005E779E">
        <w:rPr>
          <w:rFonts w:ascii="Times New Roman" w:hAnsi="Times New Roman"/>
          <w:color w:val="000000" w:themeColor="text1"/>
          <w:sz w:val="16"/>
          <w:szCs w:val="16"/>
        </w:rPr>
        <w:softHyphen/>
        <w:t>возможна, так как пулемет после стрельбы сильно пере</w:t>
      </w:r>
      <w:r w:rsidRPr="005E779E">
        <w:rPr>
          <w:rFonts w:ascii="Times New Roman" w:hAnsi="Times New Roman"/>
          <w:color w:val="000000" w:themeColor="text1"/>
          <w:sz w:val="16"/>
          <w:szCs w:val="16"/>
        </w:rPr>
        <w:softHyphen/>
        <w:t>гревается и взять его голыми руками совершенно невоз</w:t>
      </w:r>
      <w:r w:rsidRPr="005E779E">
        <w:rPr>
          <w:rFonts w:ascii="Times New Roman" w:hAnsi="Times New Roman"/>
          <w:color w:val="000000" w:themeColor="text1"/>
          <w:sz w:val="16"/>
          <w:szCs w:val="16"/>
        </w:rPr>
        <w:softHyphen/>
        <w:t>можно.</w:t>
      </w:r>
    </w:p>
    <w:p w14:paraId="28BF401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Если иметь не один, а 2—3 пулемета, установленных в имеющихся установках, то они делают совершенно невоз</w:t>
      </w:r>
      <w:r w:rsidRPr="005E779E">
        <w:rPr>
          <w:rFonts w:ascii="Times New Roman" w:hAnsi="Times New Roman"/>
          <w:color w:val="000000" w:themeColor="text1"/>
          <w:sz w:val="16"/>
          <w:szCs w:val="16"/>
        </w:rPr>
        <w:softHyphen/>
        <w:t>можным ведение огня из машины вследствие стесненности стрелка. Условия наблюдения для командира машины (он же стрелок) совершенно не отвечают тактическим требова</w:t>
      </w:r>
      <w:r w:rsidRPr="005E779E">
        <w:rPr>
          <w:rFonts w:ascii="Times New Roman" w:hAnsi="Times New Roman"/>
          <w:color w:val="000000" w:themeColor="text1"/>
          <w:sz w:val="16"/>
          <w:szCs w:val="16"/>
        </w:rPr>
        <w:softHyphen/>
        <w:t>ниям».</w:t>
      </w:r>
    </w:p>
    <w:p w14:paraId="4C0B909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Тем не менее, после небольших доработок эти бронеав</w:t>
      </w:r>
      <w:r w:rsidRPr="005E779E">
        <w:rPr>
          <w:rFonts w:ascii="Times New Roman" w:hAnsi="Times New Roman"/>
          <w:color w:val="000000" w:themeColor="text1"/>
          <w:sz w:val="16"/>
          <w:szCs w:val="16"/>
        </w:rPr>
        <w:softHyphen/>
        <w:t>томобили были рекомендованы для серийного производства — ведь ничего другого просто не было, а Красная Армия нуждалась в новой технике. Кроме того, конструктор ма</w:t>
      </w:r>
      <w:r w:rsidRPr="005E779E">
        <w:rPr>
          <w:rFonts w:ascii="Times New Roman" w:hAnsi="Times New Roman"/>
          <w:color w:val="000000" w:themeColor="text1"/>
          <w:sz w:val="16"/>
          <w:szCs w:val="16"/>
        </w:rPr>
        <w:softHyphen/>
        <w:t>шин Н. Дыренков всеми правдами и неправдами «протал</w:t>
      </w:r>
      <w:r w:rsidRPr="005E779E">
        <w:rPr>
          <w:rFonts w:ascii="Times New Roman" w:hAnsi="Times New Roman"/>
          <w:color w:val="000000" w:themeColor="text1"/>
          <w:sz w:val="16"/>
          <w:szCs w:val="16"/>
        </w:rPr>
        <w:softHyphen/>
        <w:t>кивал» свои конструкции, пользуясь хорошим к нему рас</w:t>
      </w:r>
      <w:r w:rsidRPr="005E779E">
        <w:rPr>
          <w:rFonts w:ascii="Times New Roman" w:hAnsi="Times New Roman"/>
          <w:color w:val="000000" w:themeColor="text1"/>
          <w:sz w:val="16"/>
          <w:szCs w:val="16"/>
        </w:rPr>
        <w:softHyphen/>
        <w:t>положением руководства УММ и Красной Армии. Правда, в самом начале серийного производства военные высказы</w:t>
      </w:r>
      <w:r w:rsidRPr="005E779E">
        <w:rPr>
          <w:rFonts w:ascii="Times New Roman" w:hAnsi="Times New Roman"/>
          <w:color w:val="000000" w:themeColor="text1"/>
          <w:sz w:val="16"/>
          <w:szCs w:val="16"/>
        </w:rPr>
        <w:softHyphen/>
        <w:t>вали ряд предложений об улучшении конструкции броне</w:t>
      </w:r>
      <w:r w:rsidRPr="005E779E">
        <w:rPr>
          <w:rFonts w:ascii="Times New Roman" w:hAnsi="Times New Roman"/>
          <w:color w:val="000000" w:themeColor="text1"/>
          <w:sz w:val="16"/>
          <w:szCs w:val="16"/>
        </w:rPr>
        <w:softHyphen/>
        <w:t>виков (11284).</w:t>
      </w:r>
    </w:p>
    <w:p w14:paraId="72B60A6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BAEC30" w14:textId="77777777" w:rsidR="00647D80" w:rsidRPr="005E779E" w:rsidRDefault="00647D8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мая 1931 г. в помещении законсервированной махорочной Фабрики начало свою деятельность управление строительства завода СК-1, состоящее из 4-х человек. 14 июня 1931 г. в котлован, вырытый под здание печного цеха, лег первый кирпич (18298).</w:t>
      </w:r>
    </w:p>
    <w:p w14:paraId="3A03B931" w14:textId="77777777" w:rsidR="00647D80" w:rsidRPr="005E779E" w:rsidRDefault="00647D80" w:rsidP="000B7A6C">
      <w:pPr>
        <w:spacing w:after="0" w:line="240" w:lineRule="auto"/>
        <w:jc w:val="both"/>
        <w:rPr>
          <w:rFonts w:ascii="Times New Roman" w:hAnsi="Times New Roman"/>
          <w:color w:val="000000" w:themeColor="text1"/>
          <w:sz w:val="16"/>
          <w:szCs w:val="16"/>
        </w:rPr>
      </w:pPr>
    </w:p>
    <w:p w14:paraId="0A814C0F" w14:textId="77777777" w:rsidR="00C356D8" w:rsidRPr="00951B40" w:rsidRDefault="00C356D8" w:rsidP="00C356D8">
      <w:pPr>
        <w:spacing w:after="0" w:line="240" w:lineRule="auto"/>
        <w:jc w:val="both"/>
        <w:rPr>
          <w:rFonts w:ascii="Times New Roman" w:hAnsi="Times New Roman"/>
          <w:color w:val="0070C0"/>
          <w:sz w:val="16"/>
          <w:szCs w:val="16"/>
        </w:rPr>
      </w:pPr>
      <w:r w:rsidRPr="00951B40">
        <w:rPr>
          <w:rStyle w:val="aff0"/>
          <w:rFonts w:ascii="Times New Roman" w:hAnsi="Times New Roman" w:cs="Times New Roman"/>
          <w:color w:val="0070C0"/>
          <w:spacing w:val="0"/>
          <w:sz w:val="16"/>
          <w:szCs w:val="16"/>
        </w:rPr>
        <w:t>27 мая 1931 г. головной катер типа «Стальной» С-1 вы</w:t>
      </w:r>
      <w:r w:rsidRPr="00951B40">
        <w:rPr>
          <w:rStyle w:val="aff0"/>
          <w:rFonts w:ascii="Times New Roman" w:hAnsi="Times New Roman" w:cs="Times New Roman"/>
          <w:color w:val="0070C0"/>
          <w:spacing w:val="0"/>
          <w:sz w:val="16"/>
          <w:szCs w:val="16"/>
        </w:rPr>
        <w:softHyphen/>
        <w:t>шел на испытания. 16 июня к нему присо</w:t>
      </w:r>
      <w:r w:rsidRPr="00951B40">
        <w:rPr>
          <w:rStyle w:val="aff0"/>
          <w:rFonts w:ascii="Times New Roman" w:hAnsi="Times New Roman" w:cs="Times New Roman"/>
          <w:color w:val="0070C0"/>
          <w:spacing w:val="0"/>
          <w:sz w:val="16"/>
          <w:szCs w:val="16"/>
        </w:rPr>
        <w:softHyphen/>
        <w:t>единился С-2. В традициях того времени катера сдавались с не установленным полностью торпедным вооружением (на катерах устанавливались весовые эквива</w:t>
      </w:r>
      <w:r w:rsidRPr="00951B40">
        <w:rPr>
          <w:rStyle w:val="aff0"/>
          <w:rFonts w:ascii="Times New Roman" w:hAnsi="Times New Roman" w:cs="Times New Roman"/>
          <w:color w:val="0070C0"/>
          <w:spacing w:val="0"/>
          <w:sz w:val="16"/>
          <w:szCs w:val="16"/>
        </w:rPr>
        <w:softHyphen/>
        <w:t>ленты торпед), без радиосредств, аппара</w:t>
      </w:r>
      <w:r w:rsidRPr="00951B40">
        <w:rPr>
          <w:rStyle w:val="aff0"/>
          <w:rFonts w:ascii="Times New Roman" w:hAnsi="Times New Roman" w:cs="Times New Roman"/>
          <w:color w:val="0070C0"/>
          <w:spacing w:val="0"/>
          <w:sz w:val="16"/>
          <w:szCs w:val="16"/>
        </w:rPr>
        <w:softHyphen/>
        <w:t>туры ВУ, артиллерийского и химического (аппаратура для постановки дымзавес) вооружения. Несмотря на это, на катере зафиксировали строительную перегрузку в 1100 кг, которая ухудшила и без того не блестящие скоростные данные. В макси</w:t>
      </w:r>
      <w:r w:rsidRPr="00951B40">
        <w:rPr>
          <w:rStyle w:val="aff0"/>
          <w:rFonts w:ascii="Times New Roman" w:hAnsi="Times New Roman" w:cs="Times New Roman"/>
          <w:color w:val="0070C0"/>
          <w:spacing w:val="0"/>
          <w:sz w:val="16"/>
          <w:szCs w:val="16"/>
        </w:rPr>
        <w:softHyphen/>
        <w:t>мально облегченном виде при водоизме</w:t>
      </w:r>
      <w:r w:rsidRPr="00951B40">
        <w:rPr>
          <w:rStyle w:val="aff0"/>
          <w:rFonts w:ascii="Times New Roman" w:hAnsi="Times New Roman" w:cs="Times New Roman"/>
          <w:color w:val="0070C0"/>
          <w:spacing w:val="0"/>
          <w:sz w:val="16"/>
          <w:szCs w:val="16"/>
        </w:rPr>
        <w:softHyphen/>
        <w:t>щении 22 тонны и форсировании моторов (2050 оборотов в минуту) катер смог выжать всего 30,3 узла. При нормальном водоизмещении в 24,5 тонны с весовыми эквивалентами торпед и при 1800 обо</w:t>
      </w:r>
      <w:r w:rsidRPr="00951B40">
        <w:rPr>
          <w:rStyle w:val="aff0"/>
          <w:rFonts w:ascii="Times New Roman" w:hAnsi="Times New Roman" w:cs="Times New Roman"/>
          <w:color w:val="0070C0"/>
          <w:spacing w:val="0"/>
          <w:sz w:val="16"/>
          <w:szCs w:val="16"/>
        </w:rPr>
        <w:softHyphen/>
        <w:t>ротах катер развивал 28,6 уз, на полном газу (1875 оборотов) - 30 уз. Все это де</w:t>
      </w:r>
      <w:r w:rsidRPr="00951B40">
        <w:rPr>
          <w:rStyle w:val="aff0"/>
          <w:rFonts w:ascii="Times New Roman" w:hAnsi="Times New Roman" w:cs="Times New Roman"/>
          <w:color w:val="0070C0"/>
          <w:spacing w:val="0"/>
          <w:sz w:val="16"/>
          <w:szCs w:val="16"/>
        </w:rPr>
        <w:softHyphen/>
        <w:t>лалось с винтами, изготовленными по ре</w:t>
      </w:r>
      <w:r w:rsidRPr="00951B40">
        <w:rPr>
          <w:rStyle w:val="aff0"/>
          <w:rFonts w:ascii="Times New Roman" w:hAnsi="Times New Roman" w:cs="Times New Roman"/>
          <w:color w:val="0070C0"/>
          <w:spacing w:val="0"/>
          <w:sz w:val="16"/>
          <w:szCs w:val="16"/>
        </w:rPr>
        <w:softHyphen/>
        <w:t>комендациям специалистов вступившего в строй в мае 1930 г. Опытового бассейна, поскольку с винтами конструкции ЦАГИ моторы не развивали полной мощности и катер мог выжать максимально всего 28,6 узлов. Несмотря на все указанные недостатки, а также выявленную в ходе испытаний вибрацию валов, приемные акты на оба катера были подписаны 6 июля 1931 г. (25781).</w:t>
      </w:r>
    </w:p>
    <w:p w14:paraId="1D4F8590" w14:textId="77777777" w:rsidR="00C356D8" w:rsidRPr="00951B40" w:rsidRDefault="00C356D8" w:rsidP="00C356D8">
      <w:pPr>
        <w:spacing w:after="0" w:line="240" w:lineRule="auto"/>
        <w:jc w:val="both"/>
        <w:rPr>
          <w:rFonts w:ascii="Times New Roman" w:hAnsi="Times New Roman"/>
          <w:color w:val="0070C0"/>
          <w:sz w:val="16"/>
          <w:szCs w:val="16"/>
        </w:rPr>
      </w:pPr>
    </w:p>
    <w:p w14:paraId="3BE458C7"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422EAB2D"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369B1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мая 1931 швейцарцы О.Пикар и П.Кипфер (Книпфер - 2100) совершили первый полет на стратостате в стратосферу и стартовав в Аусбурге (Германия) достигли высоты 15781 м (237,161).</w:t>
      </w:r>
    </w:p>
    <w:p w14:paraId="58D967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75C735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мая 1931 г. состоялся первый полет в стратосферу швейцарского физика О.Пиккара и конструктора стратостата Кипфера на высоту 15780 м - абсолютный мировой рекорд (6395).</w:t>
      </w:r>
    </w:p>
    <w:p w14:paraId="20C1112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BB71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27 мая 1931 г. - Швейцарский физик Огюст Пиккар (Piccard) (1884-1962) и его ассистент Пауль Кипфер впервые в мире осуществили подъем на стратостате в стратосферу (высота 15781 м) и пробыли в воздухе 16 часов. Финансировал работы Пиккара Бельгийский национальный фонд научных исследований (ФНРС). В знак признательности О. Пиккар назвал воздушный шар в его честь: ФНРС-1 (11013).</w:t>
      </w:r>
    </w:p>
    <w:p w14:paraId="17053E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F2BA0F8" w14:textId="77777777" w:rsidR="005C1E16" w:rsidRPr="005E779E" w:rsidRDefault="005C1E16"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27 мая</w:t>
      </w:r>
      <w:r w:rsidRPr="005E779E">
        <w:rPr>
          <w:rFonts w:ascii="Times New Roman" w:hAnsi="Times New Roman"/>
          <w:color w:val="000000" w:themeColor="text1"/>
          <w:sz w:val="16"/>
          <w:szCs w:val="16"/>
        </w:rPr>
        <w:t xml:space="preserve"> в 1931 году первый полет в стратосферу на стратостате </w:t>
      </w:r>
      <w:hyperlink r:id="rId109" w:tgtFrame="_blank" w:history="1">
        <w:r w:rsidRPr="005E779E">
          <w:rPr>
            <w:rFonts w:ascii="Times New Roman" w:hAnsi="Times New Roman"/>
            <w:color w:val="000000" w:themeColor="text1"/>
            <w:sz w:val="16"/>
            <w:szCs w:val="16"/>
          </w:rPr>
          <w:t xml:space="preserve">«FNRS» </w:t>
        </w:r>
      </w:hyperlink>
      <w:r w:rsidRPr="005E779E">
        <w:rPr>
          <w:rFonts w:ascii="Times New Roman" w:hAnsi="Times New Roman"/>
          <w:color w:val="000000" w:themeColor="text1"/>
          <w:sz w:val="16"/>
          <w:szCs w:val="16"/>
        </w:rPr>
        <w:t>швейцарского физика О.Пиккара и конструктора стратостата И.Кипфера на высоту 15787 м - абсолютный мировой рекорд. Стратостат был с водородным наполнением и алюминиевой герметичной гондолой. Это был первый в истории человечества полет в стратосферу (14904).</w:t>
      </w:r>
    </w:p>
    <w:p w14:paraId="07CB0ECF" w14:textId="77777777" w:rsidR="005C1E16" w:rsidRPr="005E779E" w:rsidRDefault="005C1E16" w:rsidP="000B7A6C">
      <w:pPr>
        <w:spacing w:after="0" w:line="240" w:lineRule="auto"/>
        <w:jc w:val="both"/>
        <w:rPr>
          <w:rFonts w:ascii="Times New Roman" w:hAnsi="Times New Roman"/>
          <w:color w:val="000000" w:themeColor="text1"/>
          <w:sz w:val="16"/>
          <w:szCs w:val="16"/>
        </w:rPr>
      </w:pPr>
    </w:p>
    <w:p w14:paraId="1403BDF8" w14:textId="77777777" w:rsidR="00647D80" w:rsidRPr="005E779E" w:rsidRDefault="00647D8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shd w:val="clear" w:color="auto" w:fill="FFFFFF"/>
        </w:rPr>
        <w:t>27 мая 1931 года Пиккар и Кипфер в герметической гондоле благополучно достигли высоты 15 871 м (19611).</w:t>
      </w:r>
    </w:p>
    <w:p w14:paraId="6E9B915B" w14:textId="77777777" w:rsidR="00647D80" w:rsidRPr="005E779E" w:rsidRDefault="00647D80" w:rsidP="000B7A6C">
      <w:pPr>
        <w:spacing w:after="0" w:line="240" w:lineRule="auto"/>
        <w:jc w:val="both"/>
        <w:rPr>
          <w:rFonts w:ascii="Times New Roman" w:hAnsi="Times New Roman"/>
          <w:color w:val="000000" w:themeColor="text1"/>
          <w:sz w:val="16"/>
          <w:szCs w:val="16"/>
        </w:rPr>
      </w:pPr>
    </w:p>
    <w:p w14:paraId="61244E16" w14:textId="77777777" w:rsidR="00647D80" w:rsidRPr="005E779E" w:rsidRDefault="00647D8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shd w:val="clear" w:color="auto" w:fill="FFFFFF"/>
        </w:rPr>
        <w:t xml:space="preserve">27 мая 1931 года, бельгийский экипаж в составе О.Пикара и П.Кипфера впервые достиг стратосферы. Покоренная стратонавтами высота оказалась рекордной — она составила 15781 м. </w:t>
      </w:r>
      <w:r w:rsidRPr="005E779E">
        <w:rPr>
          <w:rFonts w:ascii="Times New Roman" w:hAnsi="Times New Roman"/>
          <w:color w:val="000000" w:themeColor="text1"/>
          <w:sz w:val="16"/>
          <w:szCs w:val="16"/>
        </w:rPr>
        <w:t>Первый высотный полет Огюста Пикара в 1931 году на высоту 15781 м проходил в труднейших условиях — наблюдалась деформация гондолы, произошел обрыв управления, одним словом, экипаж чудом остался жив. Следующий полет бельгийца 18 августа 1932 года закончился аварией. В 1934 году Пикар построил стратостат с объемом оболочки 112000 м3, на котором надеялся достичь высоты 30 км. Известно, что 23 ноября 1934 года на этом стратостате поднимался брат профессора Жак Пикар, который добраться до желаемых 30 км не смог, достигнув высоты 17672 м.</w:t>
      </w:r>
      <w:r w:rsidRPr="005E779E">
        <w:rPr>
          <w:rFonts w:ascii="Times New Roman" w:hAnsi="Times New Roman"/>
          <w:color w:val="000000" w:themeColor="text1"/>
          <w:sz w:val="16"/>
          <w:szCs w:val="16"/>
          <w:shd w:val="clear" w:color="auto" w:fill="FFFFFF"/>
        </w:rPr>
        <w:t xml:space="preserve"> (19614).</w:t>
      </w:r>
    </w:p>
    <w:p w14:paraId="48D48FE9" w14:textId="77777777" w:rsidR="00647D80" w:rsidRPr="005E779E" w:rsidRDefault="00647D80" w:rsidP="000B7A6C">
      <w:pPr>
        <w:spacing w:after="0" w:line="240" w:lineRule="auto"/>
        <w:jc w:val="both"/>
        <w:rPr>
          <w:rFonts w:ascii="Times New Roman" w:hAnsi="Times New Roman"/>
          <w:color w:val="000000" w:themeColor="text1"/>
          <w:sz w:val="16"/>
          <w:szCs w:val="16"/>
        </w:rPr>
      </w:pPr>
    </w:p>
    <w:p w14:paraId="6F73762A" w14:textId="77777777" w:rsidR="00C450B6" w:rsidRPr="005E779E" w:rsidRDefault="00C450B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мая 1931 г. Пиккар и Кипфер стартовали из Аугсбурга. Полёт сопровождался рядом непо</w:t>
      </w:r>
      <w:r w:rsidRPr="005E779E">
        <w:rPr>
          <w:rFonts w:ascii="Times New Roman" w:hAnsi="Times New Roman"/>
          <w:color w:val="000000" w:themeColor="text1"/>
          <w:sz w:val="16"/>
          <w:szCs w:val="16"/>
        </w:rPr>
        <w:softHyphen/>
        <w:t>ладок (утечка воздуха из гондолы, обрыв клапан</w:t>
      </w:r>
      <w:r w:rsidRPr="005E779E">
        <w:rPr>
          <w:rFonts w:ascii="Times New Roman" w:hAnsi="Times New Roman"/>
          <w:color w:val="000000" w:themeColor="text1"/>
          <w:sz w:val="16"/>
          <w:szCs w:val="16"/>
        </w:rPr>
        <w:softHyphen/>
        <w:t>ной верёвки, поломка электромотора пропелле</w:t>
      </w:r>
      <w:r w:rsidRPr="005E779E">
        <w:rPr>
          <w:rFonts w:ascii="Times New Roman" w:hAnsi="Times New Roman"/>
          <w:color w:val="000000" w:themeColor="text1"/>
          <w:sz w:val="16"/>
          <w:szCs w:val="16"/>
        </w:rPr>
        <w:softHyphen/>
        <w:t>ра и ряда приборов и т. д.), но всё же позволил установить, что ионизация на высоте 16 000 м в 2,5 раза больше, чем на высоте 9000 м. «FNRS» достиг рекордной высоты 15 781 м (по барогра</w:t>
      </w:r>
      <w:r w:rsidRPr="005E779E">
        <w:rPr>
          <w:rFonts w:ascii="Times New Roman" w:hAnsi="Times New Roman"/>
          <w:color w:val="000000" w:themeColor="text1"/>
          <w:sz w:val="16"/>
          <w:szCs w:val="16"/>
        </w:rPr>
        <w:softHyphen/>
        <w:t>фу). Из-за обрыва клапанной верёвки учёные на</w:t>
      </w:r>
      <w:r w:rsidRPr="005E779E">
        <w:rPr>
          <w:rFonts w:ascii="Times New Roman" w:hAnsi="Times New Roman"/>
          <w:color w:val="000000" w:themeColor="text1"/>
          <w:sz w:val="16"/>
          <w:szCs w:val="16"/>
        </w:rPr>
        <w:softHyphen/>
        <w:t>ходились в стратосфере до захода солнца, когда стратостат начал спуск вследствие охлаждения газа в оболочке. После 17 часов полёта «FNRS» благополучно спустился в итальянском Тироле.</w:t>
      </w:r>
    </w:p>
    <w:p w14:paraId="3B891B99" w14:textId="77777777" w:rsidR="00C450B6" w:rsidRPr="005E779E" w:rsidRDefault="00C450B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Стратостат Пиккара «FNRS», названный в честь Бельгийского национального фонда для научных исследований (Fonds Nationale de la Recherche Scientifique), выдавшего учёному кредит на исследования, имел оболочку объё</w:t>
      </w:r>
      <w:r w:rsidRPr="005E779E">
        <w:rPr>
          <w:rFonts w:ascii="Times New Roman" w:hAnsi="Times New Roman"/>
          <w:color w:val="000000" w:themeColor="text1"/>
          <w:sz w:val="16"/>
          <w:szCs w:val="16"/>
        </w:rPr>
        <w:softHyphen/>
        <w:t>мом 14 130 м3 и алюминиевую гондолу диа</w:t>
      </w:r>
      <w:r w:rsidRPr="005E779E">
        <w:rPr>
          <w:rFonts w:ascii="Times New Roman" w:hAnsi="Times New Roman"/>
          <w:color w:val="000000" w:themeColor="text1"/>
          <w:sz w:val="16"/>
          <w:szCs w:val="16"/>
        </w:rPr>
        <w:softHyphen/>
        <w:t>метром 2,1 м с толщиной стенок 3,5 мм. Одну сторону гондолы выкрасили в чёрный цвет, а другую — оставили блестящей. Пропеллер с электромотором позволял поворачивать гон</w:t>
      </w:r>
      <w:r w:rsidRPr="005E779E">
        <w:rPr>
          <w:rFonts w:ascii="Times New Roman" w:hAnsi="Times New Roman"/>
          <w:color w:val="000000" w:themeColor="text1"/>
          <w:sz w:val="16"/>
          <w:szCs w:val="16"/>
        </w:rPr>
        <w:softHyphen/>
        <w:t>долу той или иной стороной к солнцу для по</w:t>
      </w:r>
      <w:r w:rsidRPr="005E779E">
        <w:rPr>
          <w:rFonts w:ascii="Times New Roman" w:hAnsi="Times New Roman"/>
          <w:color w:val="000000" w:themeColor="text1"/>
          <w:sz w:val="16"/>
          <w:szCs w:val="16"/>
        </w:rPr>
        <w:softHyphen/>
        <w:t>вышения или понижения температуры внутри неё. К стропам, прикреплённым к подвесному обручу, подвешивался парашют диаметром 4 м, который препятствовал переворачиванию гондолы при падении и, тормозя его, позволял стратонавтам воспользоваться индивидуаль</w:t>
      </w:r>
      <w:r w:rsidRPr="005E779E">
        <w:rPr>
          <w:rFonts w:ascii="Times New Roman" w:hAnsi="Times New Roman"/>
          <w:color w:val="000000" w:themeColor="text1"/>
          <w:sz w:val="16"/>
          <w:szCs w:val="16"/>
        </w:rPr>
        <w:softHyphen/>
        <w:t>ными парашютами (20120).</w:t>
      </w:r>
    </w:p>
    <w:p w14:paraId="15F49D9E" w14:textId="77777777" w:rsidR="00C450B6" w:rsidRPr="005E779E" w:rsidRDefault="00C450B6" w:rsidP="000B7A6C">
      <w:pPr>
        <w:spacing w:after="0" w:line="240" w:lineRule="auto"/>
        <w:jc w:val="both"/>
        <w:rPr>
          <w:rFonts w:ascii="Times New Roman" w:hAnsi="Times New Roman"/>
          <w:color w:val="000000" w:themeColor="text1"/>
          <w:sz w:val="16"/>
          <w:szCs w:val="16"/>
        </w:rPr>
      </w:pPr>
    </w:p>
    <w:p w14:paraId="644F727D" w14:textId="1F039E02" w:rsidR="00C450B6" w:rsidRPr="005E779E" w:rsidRDefault="00C450B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мая 1931 выдлетев из Аугсбурга, Германия, швейцарский профессор Огюст Пикар и его помощник Пол Кипфер поднимаются на воздушном шаре на высоту 15 781 метр (51 774 фута), устанавливая новый мировой рекорд высоты полета человека и собирая существенные данные о верхних слоях атмосферы. и космические лучи перед посадкой на ледник в Австрии (20804).</w:t>
      </w:r>
    </w:p>
    <w:p w14:paraId="56E8192C" w14:textId="77777777" w:rsidR="00C450B6" w:rsidRPr="005E779E" w:rsidRDefault="00C450B6" w:rsidP="000B7A6C">
      <w:pPr>
        <w:spacing w:after="0" w:line="240" w:lineRule="auto"/>
        <w:jc w:val="both"/>
        <w:rPr>
          <w:rFonts w:ascii="Times New Roman" w:hAnsi="Times New Roman"/>
          <w:color w:val="000000" w:themeColor="text1"/>
          <w:sz w:val="16"/>
          <w:szCs w:val="16"/>
        </w:rPr>
      </w:pPr>
    </w:p>
    <w:p w14:paraId="211A9F2D" w14:textId="77777777" w:rsidR="00C450B6" w:rsidRPr="005E779E" w:rsidRDefault="00C450B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мая 1931 - Запуск в эксплуатацию полномасштабной аэродинамической трубы Национального консультативного комитета по аэронавтике (NACA) лаборатории в Лэнгли Филд, штат Вирджиния (22488).</w:t>
      </w:r>
    </w:p>
    <w:p w14:paraId="1559544C" w14:textId="77777777" w:rsidR="00C450B6" w:rsidRPr="005E779E" w:rsidRDefault="00C450B6" w:rsidP="000B7A6C">
      <w:pPr>
        <w:spacing w:after="0" w:line="240" w:lineRule="auto"/>
        <w:jc w:val="both"/>
        <w:rPr>
          <w:rFonts w:ascii="Times New Roman" w:hAnsi="Times New Roman"/>
          <w:color w:val="000000" w:themeColor="text1"/>
          <w:sz w:val="16"/>
          <w:szCs w:val="16"/>
        </w:rPr>
      </w:pPr>
    </w:p>
    <w:p w14:paraId="1DA1C965"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62B7E2CF"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38505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 мая 1931 состоялось заседание рабочей п/комиссии (по заданию СНК) под председательством начальника ВВС Баранова:</w:t>
      </w:r>
    </w:p>
    <w:p w14:paraId="612191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Повестка дня:</w:t>
      </w:r>
    </w:p>
    <w:p w14:paraId="5FD710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Вопросы кап. строительства существующих и вновь строящихся самолетостроительных и вспомогательных заводов.</w:t>
      </w:r>
    </w:p>
    <w:p w14:paraId="589259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Программа заказов 1931 г. по ВВС и ВОГВФ.</w:t>
      </w:r>
    </w:p>
    <w:p w14:paraId="017E18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Опытное строительство. (3065,13-17).</w:t>
      </w:r>
    </w:p>
    <w:p w14:paraId="5D75EF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06653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 мая 1931 СТО принял решение об изменении профиля ЦАГИ и из его компетенции изымались практические работы по созданию самолетов и моторов. ЦАГИ должен был превратиться в НИ и экспериментальный институт, основной задачей которого стало обеспечение авиации проверенными теоретическими данными, позволяющими КБ и заводам создавать и производить опыт технически совершенных аппаратов (66,148).</w:t>
      </w:r>
    </w:p>
    <w:p w14:paraId="408E7D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56A2561" w14:textId="77777777" w:rsidR="001209D1"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4428C05F" w14:textId="77777777" w:rsidR="001209D1" w:rsidRPr="005E779E" w:rsidRDefault="001209D1"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A68D6F3" w14:textId="77777777" w:rsidR="001209D1" w:rsidRPr="005E779E" w:rsidRDefault="001209D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 мая 1931 г. в письме заместителя начальника Артуправления Роговского говорилось:</w:t>
      </w:r>
    </w:p>
    <w:p w14:paraId="530B0B55" w14:textId="77777777" w:rsidR="001209D1" w:rsidRPr="005E779E" w:rsidRDefault="001209D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«Тов. Ильин Н.Я. назначен распоряжением зампреда РВС СССР т. Уборевичем - уполномоченным представителя нач-ка Вооружений РККА для наблюдения за ходом работ по внедрению в производство новых артиллерийских систем, изготавливаемых на з-дах Ленинградской области «Большевик», «Красный Путиловец», з-д № 7 и на заводах, изготавливающих снаряды.</w:t>
      </w:r>
    </w:p>
    <w:p w14:paraId="69BE9AA9" w14:textId="77777777" w:rsidR="001209D1" w:rsidRPr="005E779E" w:rsidRDefault="001209D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силу этого предлагаю оказывать Ильину Н.Я. всяческое содействие и помощь в случае его обращения в АНИИ за выяснением или уточнением каких-либо вопросов по конструкции артсистем, снарядов и др. вопросов.</w:t>
      </w:r>
    </w:p>
    <w:p w14:paraId="50403CFB" w14:textId="77777777" w:rsidR="001209D1" w:rsidRPr="005E779E" w:rsidRDefault="001209D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 Ильин Н.Я. подчинен нач-ку Вооружений РККА и нач-ку АУРККА…»</w:t>
      </w:r>
    </w:p>
    <w:p w14:paraId="4B703F20" w14:textId="77777777" w:rsidR="001209D1" w:rsidRPr="005E779E" w:rsidRDefault="001209D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Согласно Положения об уполномоченном на него возлагалось:</w:t>
      </w:r>
    </w:p>
    <w:p w14:paraId="2C329594" w14:textId="77777777" w:rsidR="001209D1" w:rsidRPr="005E779E" w:rsidRDefault="001209D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общее наблюдение за реализацией в назначенные сроки военных изобретений и научно-исследовательских работ, проводимых ленинградскими научно-исследовательскими институтами, лабораториями, конструкторскими бюро и экспериментальными мастерскими, как военных, так и граждан, работавших на оборону;</w:t>
      </w:r>
    </w:p>
    <w:p w14:paraId="2BA11846" w14:textId="77777777" w:rsidR="001209D1" w:rsidRPr="005E779E" w:rsidRDefault="001209D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участие в заводских и полигонных испытаниях опытных образцов…»</w:t>
      </w:r>
    </w:p>
    <w:p w14:paraId="5E2CF02C" w14:textId="77777777" w:rsidR="001209D1" w:rsidRPr="005E779E" w:rsidRDefault="001209D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Подчиняясь начальнику Вооружений РККА, уполномоченный выполнял и распоряжения начальника Отдела военных изобретений (12702).</w:t>
      </w:r>
    </w:p>
    <w:p w14:paraId="7D06B168" w14:textId="77777777" w:rsidR="001209D1" w:rsidRPr="005E779E" w:rsidRDefault="001209D1" w:rsidP="000B7A6C">
      <w:pPr>
        <w:spacing w:after="0" w:line="240" w:lineRule="auto"/>
        <w:jc w:val="both"/>
        <w:rPr>
          <w:rFonts w:ascii="Times New Roman" w:hAnsi="Times New Roman"/>
          <w:color w:val="000000" w:themeColor="text1"/>
          <w:sz w:val="16"/>
          <w:szCs w:val="16"/>
        </w:rPr>
      </w:pPr>
    </w:p>
    <w:p w14:paraId="24EFE037" w14:textId="77777777" w:rsidR="00655073" w:rsidRPr="00142305" w:rsidRDefault="00655073" w:rsidP="0065507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28 мая 1931 года в «Соображениях об организации производства танка БТ» отмечалось:</w:t>
      </w:r>
    </w:p>
    <w:p w14:paraId="217965B0" w14:textId="77777777" w:rsidR="00655073" w:rsidRPr="00142305" w:rsidRDefault="00655073" w:rsidP="0065507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«Опыт организации производства Т-24 показал, что внедрение в промышлен</w:t>
      </w:r>
      <w:r w:rsidRPr="00142305">
        <w:rPr>
          <w:rFonts w:ascii="Times New Roman" w:hAnsi="Times New Roman"/>
          <w:color w:val="0070C0"/>
          <w:sz w:val="16"/>
          <w:szCs w:val="16"/>
        </w:rPr>
        <w:softHyphen/>
        <w:t>ность и организация производства ма</w:t>
      </w:r>
      <w:r w:rsidRPr="00142305">
        <w:rPr>
          <w:rFonts w:ascii="Times New Roman" w:hAnsi="Times New Roman"/>
          <w:color w:val="0070C0"/>
          <w:sz w:val="16"/>
          <w:szCs w:val="16"/>
        </w:rPr>
        <w:softHyphen/>
        <w:t>шины, конструктивно незаконченной, или же модернизация и внесение конст</w:t>
      </w:r>
      <w:r w:rsidRPr="00142305">
        <w:rPr>
          <w:rFonts w:ascii="Times New Roman" w:hAnsi="Times New Roman"/>
          <w:color w:val="0070C0"/>
          <w:sz w:val="16"/>
          <w:szCs w:val="16"/>
        </w:rPr>
        <w:softHyphen/>
        <w:t>руктивных изменений в процессе освое</w:t>
      </w:r>
      <w:r w:rsidRPr="00142305">
        <w:rPr>
          <w:rFonts w:ascii="Times New Roman" w:hAnsi="Times New Roman"/>
          <w:color w:val="0070C0"/>
          <w:sz w:val="16"/>
          <w:szCs w:val="16"/>
        </w:rPr>
        <w:softHyphen/>
        <w:t>ния производства приводит фактически к дезорганизации и срыву. Поэтому БТ должен быть поставлен в производство в точной копии с имеющимся образцом. Это значительно упростит организацию производства и, что особенно важно в производственном отношении — ли</w:t>
      </w:r>
      <w:r w:rsidRPr="00142305">
        <w:rPr>
          <w:rFonts w:ascii="Times New Roman" w:hAnsi="Times New Roman"/>
          <w:color w:val="0070C0"/>
          <w:sz w:val="16"/>
          <w:szCs w:val="16"/>
        </w:rPr>
        <w:softHyphen/>
        <w:t>шит повода кого бы то ни было ссылать</w:t>
      </w:r>
      <w:r w:rsidRPr="00142305">
        <w:rPr>
          <w:rFonts w:ascii="Times New Roman" w:hAnsi="Times New Roman"/>
          <w:color w:val="0070C0"/>
          <w:sz w:val="16"/>
          <w:szCs w:val="16"/>
        </w:rPr>
        <w:softHyphen/>
        <w:t>ся на недоработанность конструкции, как мы это имеет с Т-24» (25009).</w:t>
      </w:r>
    </w:p>
    <w:p w14:paraId="493EE442" w14:textId="77777777" w:rsidR="00655073" w:rsidRPr="00142305" w:rsidRDefault="00655073" w:rsidP="00655073">
      <w:pPr>
        <w:spacing w:after="0" w:line="240" w:lineRule="auto"/>
        <w:jc w:val="both"/>
        <w:rPr>
          <w:rFonts w:ascii="Times New Roman" w:hAnsi="Times New Roman"/>
          <w:color w:val="0070C0"/>
          <w:sz w:val="16"/>
          <w:szCs w:val="16"/>
        </w:rPr>
      </w:pPr>
    </w:p>
    <w:p w14:paraId="0CC79138" w14:textId="77777777" w:rsidR="00655073" w:rsidRPr="00142305" w:rsidRDefault="00655073" w:rsidP="0065507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28 мая 1931 года, для того, чтобы побыстрее обеспечить выпуск бетешек, в документе, озаглавленном «Соображения об орга</w:t>
      </w:r>
      <w:r w:rsidRPr="00142305">
        <w:rPr>
          <w:rFonts w:ascii="Times New Roman" w:hAnsi="Times New Roman"/>
          <w:color w:val="0070C0"/>
          <w:sz w:val="16"/>
          <w:szCs w:val="16"/>
        </w:rPr>
        <w:softHyphen/>
        <w:t>низации производства танка БТ», гово</w:t>
      </w:r>
      <w:r w:rsidRPr="00142305">
        <w:rPr>
          <w:rFonts w:ascii="Times New Roman" w:hAnsi="Times New Roman"/>
          <w:color w:val="0070C0"/>
          <w:sz w:val="16"/>
          <w:szCs w:val="16"/>
        </w:rPr>
        <w:softHyphen/>
        <w:t>рилось следующее:</w:t>
      </w:r>
    </w:p>
    <w:p w14:paraId="5F1AD1A1" w14:textId="77777777" w:rsidR="00655073" w:rsidRPr="00142305" w:rsidRDefault="00655073" w:rsidP="0065507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«Опыт организации производства Т-24 показал, что внедрение в промыш</w:t>
      </w:r>
      <w:r w:rsidRPr="00142305">
        <w:rPr>
          <w:rFonts w:ascii="Times New Roman" w:hAnsi="Times New Roman"/>
          <w:color w:val="0070C0"/>
          <w:sz w:val="16"/>
          <w:szCs w:val="16"/>
        </w:rPr>
        <w:softHyphen/>
        <w:t>ленность и организация производства машины, конструктивно незакончен</w:t>
      </w:r>
      <w:r w:rsidRPr="00142305">
        <w:rPr>
          <w:rFonts w:ascii="Times New Roman" w:hAnsi="Times New Roman"/>
          <w:color w:val="0070C0"/>
          <w:sz w:val="16"/>
          <w:szCs w:val="16"/>
        </w:rPr>
        <w:softHyphen/>
        <w:t>ной, или же модернизация и внесение конструктивных изменений в процессе освоения производства приводит фак</w:t>
      </w:r>
      <w:r w:rsidRPr="00142305">
        <w:rPr>
          <w:rFonts w:ascii="Times New Roman" w:hAnsi="Times New Roman"/>
          <w:color w:val="0070C0"/>
          <w:sz w:val="16"/>
          <w:szCs w:val="16"/>
        </w:rPr>
        <w:softHyphen/>
        <w:t>тически к дезорганизации и срыву. По</w:t>
      </w:r>
      <w:r w:rsidRPr="00142305">
        <w:rPr>
          <w:rFonts w:ascii="Times New Roman" w:hAnsi="Times New Roman"/>
          <w:color w:val="0070C0"/>
          <w:sz w:val="16"/>
          <w:szCs w:val="16"/>
        </w:rPr>
        <w:softHyphen/>
        <w:t>этому БТ должен быть поставлен в про</w:t>
      </w:r>
      <w:r w:rsidRPr="00142305">
        <w:rPr>
          <w:rFonts w:ascii="Times New Roman" w:hAnsi="Times New Roman"/>
          <w:color w:val="0070C0"/>
          <w:sz w:val="16"/>
          <w:szCs w:val="16"/>
        </w:rPr>
        <w:softHyphen/>
        <w:t>изводство в точной копии с имеющим</w:t>
      </w:r>
      <w:r w:rsidRPr="00142305">
        <w:rPr>
          <w:rFonts w:ascii="Times New Roman" w:hAnsi="Times New Roman"/>
          <w:color w:val="0070C0"/>
          <w:sz w:val="16"/>
          <w:szCs w:val="16"/>
        </w:rPr>
        <w:softHyphen/>
        <w:t>ся образцом. Это значительно упростит организацию производства, и что осо</w:t>
      </w:r>
      <w:r w:rsidRPr="00142305">
        <w:rPr>
          <w:rFonts w:ascii="Times New Roman" w:hAnsi="Times New Roman"/>
          <w:color w:val="0070C0"/>
          <w:sz w:val="16"/>
          <w:szCs w:val="16"/>
        </w:rPr>
        <w:softHyphen/>
        <w:t>бенно важно в производственном от</w:t>
      </w:r>
      <w:r w:rsidRPr="00142305">
        <w:rPr>
          <w:rFonts w:ascii="Times New Roman" w:hAnsi="Times New Roman"/>
          <w:color w:val="0070C0"/>
          <w:sz w:val="16"/>
          <w:szCs w:val="16"/>
        </w:rPr>
        <w:softHyphen/>
        <w:t>ношении — лишит повода кого бы то ни было ссылаться на недоработанность конструкции, как мы это имеем с Т-24».</w:t>
      </w:r>
    </w:p>
    <w:p w14:paraId="22E907D9" w14:textId="77777777" w:rsidR="00655073" w:rsidRPr="00142305" w:rsidRDefault="00655073" w:rsidP="00655073">
      <w:pPr>
        <w:spacing w:after="0" w:line="240" w:lineRule="auto"/>
        <w:jc w:val="both"/>
        <w:rPr>
          <w:rFonts w:ascii="Times New Roman" w:hAnsi="Times New Roman"/>
          <w:color w:val="0070C0"/>
          <w:sz w:val="16"/>
          <w:szCs w:val="16"/>
        </w:rPr>
      </w:pPr>
    </w:p>
    <w:p w14:paraId="04D0D26E"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5A256BF3"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27B0837" w14:textId="77777777" w:rsidR="00C450B6" w:rsidRPr="005E779E" w:rsidRDefault="00C450B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 мая 1931 Уолтер Э. Лиз и Фредерик Бросси установили новый рекорд выносливости для полета без дозаправки, приземлившись на дизельном самолете Bellanca J2 в Джексонвилл-Бич, Флорида после непрерывного пребывания в воздухе в течение 84 часов 32 минут. Рекорд продержится до июля 1986 года (20804).</w:t>
      </w:r>
    </w:p>
    <w:p w14:paraId="44F6DF73" w14:textId="77777777" w:rsidR="00C450B6" w:rsidRPr="005E779E" w:rsidRDefault="00C450B6" w:rsidP="000B7A6C">
      <w:pPr>
        <w:spacing w:after="0" w:line="240" w:lineRule="auto"/>
        <w:jc w:val="both"/>
        <w:rPr>
          <w:rFonts w:ascii="Times New Roman" w:hAnsi="Times New Roman"/>
          <w:color w:val="000000" w:themeColor="text1"/>
          <w:sz w:val="16"/>
          <w:szCs w:val="16"/>
        </w:rPr>
      </w:pPr>
    </w:p>
    <w:p w14:paraId="4DE724D5" w14:textId="77777777" w:rsidR="00C450B6" w:rsidRPr="005E779E" w:rsidRDefault="00C450B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 мая 1931 - Bellanca CH-200, оснащенный дизельным двигателем Packard DR-980, пилотируемый Уолтером Эдвином Лисом и Фредериком Бросси, установил рекорд пребывания в воздухе 84 часа 32 минуты без дозаправки. Побив предыдущий рекорд на 9 часов 10 минут. Всего было заправлено 1820 л (481 галлон) топлива, но не известно, сколько топлива осталось в конце полета. Этот рекорд был побит только 55 лет спустя, во время кругосветного полёта "Рутан Вояджер" (22487).</w:t>
      </w:r>
    </w:p>
    <w:p w14:paraId="377CD8FE" w14:textId="77777777" w:rsidR="00C450B6" w:rsidRPr="005E779E" w:rsidRDefault="00C450B6" w:rsidP="000B7A6C">
      <w:pPr>
        <w:spacing w:after="0" w:line="240" w:lineRule="auto"/>
        <w:jc w:val="both"/>
        <w:rPr>
          <w:rFonts w:ascii="Times New Roman" w:hAnsi="Times New Roman"/>
          <w:color w:val="000000" w:themeColor="text1"/>
          <w:sz w:val="16"/>
          <w:szCs w:val="16"/>
        </w:rPr>
      </w:pPr>
    </w:p>
    <w:p w14:paraId="4B9D6B67" w14:textId="77777777" w:rsidR="00C450B6" w:rsidRPr="005E779E" w:rsidRDefault="00C450B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 мая 1931 Джон М. Миллер на автожире Питкэрн PCA-2 Missing Link завершает первый полет через США на винтокрылых летательных аппаратах (20804).</w:t>
      </w:r>
    </w:p>
    <w:p w14:paraId="712E342B" w14:textId="77777777" w:rsidR="00C450B6" w:rsidRPr="005E779E" w:rsidRDefault="00C450B6" w:rsidP="000B7A6C">
      <w:pPr>
        <w:spacing w:after="0" w:line="240" w:lineRule="auto"/>
        <w:jc w:val="both"/>
        <w:rPr>
          <w:rFonts w:ascii="Times New Roman" w:hAnsi="Times New Roman"/>
          <w:color w:val="000000" w:themeColor="text1"/>
          <w:sz w:val="16"/>
          <w:szCs w:val="16"/>
        </w:rPr>
      </w:pPr>
    </w:p>
    <w:p w14:paraId="68AB26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 мая 1931 в Китае члены оппозиции в рядах Гоминдана сформировали в Гуаньчжоу еще одно правительство (3907,167).</w:t>
      </w:r>
    </w:p>
    <w:p w14:paraId="08F621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56FB64A"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09B114B8"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97496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 мая 1931 состоялось заседание рабочей п/комиссии (по заданию СНК) под председательством начальника ВВС Баранова от 30.05.1931 г.</w:t>
      </w:r>
    </w:p>
    <w:p w14:paraId="38BFC8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Повестка дня:</w:t>
      </w:r>
    </w:p>
    <w:p w14:paraId="30771D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Продолжение проработки вопросов по заданию зампреда СНК от 25.05.31 г.</w:t>
      </w:r>
    </w:p>
    <w:p w14:paraId="64B110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Программа заказов 1931 г. по ВВС и ВОГВФ.</w:t>
      </w:r>
    </w:p>
    <w:p w14:paraId="77C95A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Рассмотрение вопросов по заводам ремонтными и подсобными - специального производства (3065,4-7).</w:t>
      </w:r>
    </w:p>
    <w:p w14:paraId="02ACD4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B6783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30 мая 1931 Все самолеты десантного отряда были переоборудованы в десантные и 1 июня доложили РВС о готовности к войсковым экспериментам - иногда считают днем ВДВ. Я.И.Алкснис оказался менее восторженным и более скептическим, чем П.И.Б. (1101,91).</w:t>
      </w:r>
    </w:p>
    <w:p w14:paraId="0D2CCE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AF9C3F0" w14:textId="77777777" w:rsidR="00647D80" w:rsidRPr="005E779E" w:rsidRDefault="00647D80"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2ADE88B5" w14:textId="77777777" w:rsidR="00647D80" w:rsidRPr="005E779E" w:rsidRDefault="00647D80"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62F5C46" w14:textId="77777777" w:rsidR="00647D80" w:rsidRPr="005E779E" w:rsidRDefault="00647D8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 мая 1931 г. руководитель МГЖД Генде-Роте также поместил статью в «Известиях», приведя аргументацию, аналогичную позиции Цейтлина и Катцена. Он описал меры, предпринятые в последние месяцы для того, чтобы сделать трамвайное движение более эффективным. Одновременно автор подчеркивал, что следует все же пустить больше автобусов и подумать о строительстве ряда линий на собственном железнодорожном полотне, прежде всего диаметральной железнодорожной линии, которая помогла бы разгрузить Каланчевскую пл. от пригородного сообщения{321} (18299).</w:t>
      </w:r>
    </w:p>
    <w:p w14:paraId="51F3BF12" w14:textId="77777777" w:rsidR="00647D80" w:rsidRPr="005E779E" w:rsidRDefault="00647D80" w:rsidP="000B7A6C">
      <w:pPr>
        <w:spacing w:after="0" w:line="240" w:lineRule="auto"/>
        <w:jc w:val="both"/>
        <w:rPr>
          <w:rFonts w:ascii="Times New Roman" w:hAnsi="Times New Roman"/>
          <w:color w:val="000000" w:themeColor="text1"/>
          <w:sz w:val="16"/>
          <w:szCs w:val="16"/>
        </w:rPr>
      </w:pPr>
    </w:p>
    <w:p w14:paraId="0EF606FC"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0F76A52D"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5AB68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 мая 1931 согласно записке УММ РККА были подготовлены:</w:t>
      </w:r>
    </w:p>
    <w:p w14:paraId="2BD860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Производственные показатели и план МВ-10</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192"/>
        <w:gridCol w:w="1275"/>
        <w:gridCol w:w="1418"/>
        <w:gridCol w:w="1276"/>
        <w:gridCol w:w="1205"/>
        <w:gridCol w:w="1204"/>
      </w:tblGrid>
      <w:tr w:rsidR="001002C3" w:rsidRPr="005E779E" w14:paraId="66E85E4F" w14:textId="77777777">
        <w:tc>
          <w:tcPr>
            <w:tcW w:w="1610" w:type="dxa"/>
          </w:tcPr>
          <w:p w14:paraId="26F5C5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92" w:type="dxa"/>
          </w:tcPr>
          <w:p w14:paraId="3D9821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наличии на 01.01.32</w:t>
            </w:r>
          </w:p>
        </w:tc>
        <w:tc>
          <w:tcPr>
            <w:tcW w:w="1275" w:type="dxa"/>
          </w:tcPr>
          <w:p w14:paraId="1043A9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План на 1932</w:t>
            </w:r>
          </w:p>
        </w:tc>
        <w:tc>
          <w:tcPr>
            <w:tcW w:w="1418" w:type="dxa"/>
          </w:tcPr>
          <w:p w14:paraId="0EC586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наличии на 01.05.33</w:t>
            </w:r>
          </w:p>
        </w:tc>
        <w:tc>
          <w:tcPr>
            <w:tcW w:w="1276" w:type="dxa"/>
          </w:tcPr>
          <w:p w14:paraId="4AB7EA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наличии по МВ-10</w:t>
            </w:r>
          </w:p>
        </w:tc>
        <w:tc>
          <w:tcPr>
            <w:tcW w:w="1205" w:type="dxa"/>
          </w:tcPr>
          <w:p w14:paraId="0CB568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т.ч. резерв</w:t>
            </w:r>
          </w:p>
        </w:tc>
        <w:tc>
          <w:tcPr>
            <w:tcW w:w="1204" w:type="dxa"/>
          </w:tcPr>
          <w:p w14:paraId="268211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Дефицит</w:t>
            </w:r>
          </w:p>
        </w:tc>
      </w:tr>
      <w:tr w:rsidR="001002C3" w:rsidRPr="005E779E" w14:paraId="14899F06" w14:textId="77777777">
        <w:tc>
          <w:tcPr>
            <w:tcW w:w="1610" w:type="dxa"/>
          </w:tcPr>
          <w:p w14:paraId="7B76E1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Малые танки</w:t>
            </w:r>
          </w:p>
        </w:tc>
        <w:tc>
          <w:tcPr>
            <w:tcW w:w="1192" w:type="dxa"/>
          </w:tcPr>
          <w:p w14:paraId="1AC34A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1259</w:t>
            </w:r>
          </w:p>
        </w:tc>
        <w:tc>
          <w:tcPr>
            <w:tcW w:w="1275" w:type="dxa"/>
          </w:tcPr>
          <w:p w14:paraId="510556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470</w:t>
            </w:r>
          </w:p>
        </w:tc>
        <w:tc>
          <w:tcPr>
            <w:tcW w:w="1418" w:type="dxa"/>
          </w:tcPr>
          <w:p w14:paraId="54DF6A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1729</w:t>
            </w:r>
          </w:p>
        </w:tc>
        <w:tc>
          <w:tcPr>
            <w:tcW w:w="1276" w:type="dxa"/>
          </w:tcPr>
          <w:p w14:paraId="1A106D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2512</w:t>
            </w:r>
          </w:p>
        </w:tc>
        <w:tc>
          <w:tcPr>
            <w:tcW w:w="1205" w:type="dxa"/>
          </w:tcPr>
          <w:p w14:paraId="0357B1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865</w:t>
            </w:r>
          </w:p>
        </w:tc>
        <w:tc>
          <w:tcPr>
            <w:tcW w:w="1204" w:type="dxa"/>
          </w:tcPr>
          <w:p w14:paraId="564E4A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783</w:t>
            </w:r>
          </w:p>
        </w:tc>
      </w:tr>
      <w:tr w:rsidR="001002C3" w:rsidRPr="005E779E" w14:paraId="36340C64" w14:textId="77777777">
        <w:tc>
          <w:tcPr>
            <w:tcW w:w="1610" w:type="dxa"/>
          </w:tcPr>
          <w:p w14:paraId="7EA66C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Средние танки</w:t>
            </w:r>
          </w:p>
        </w:tc>
        <w:tc>
          <w:tcPr>
            <w:tcW w:w="1192" w:type="dxa"/>
          </w:tcPr>
          <w:p w14:paraId="51AA4E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125</w:t>
            </w:r>
          </w:p>
        </w:tc>
        <w:tc>
          <w:tcPr>
            <w:tcW w:w="1275" w:type="dxa"/>
          </w:tcPr>
          <w:p w14:paraId="0D9CAD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250</w:t>
            </w:r>
          </w:p>
        </w:tc>
        <w:tc>
          <w:tcPr>
            <w:tcW w:w="1418" w:type="dxa"/>
          </w:tcPr>
          <w:p w14:paraId="4EB1B6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385</w:t>
            </w:r>
          </w:p>
        </w:tc>
        <w:tc>
          <w:tcPr>
            <w:tcW w:w="1276" w:type="dxa"/>
          </w:tcPr>
          <w:p w14:paraId="12B017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736</w:t>
            </w:r>
          </w:p>
        </w:tc>
        <w:tc>
          <w:tcPr>
            <w:tcW w:w="1205" w:type="dxa"/>
          </w:tcPr>
          <w:p w14:paraId="087C30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196</w:t>
            </w:r>
          </w:p>
        </w:tc>
        <w:tc>
          <w:tcPr>
            <w:tcW w:w="1204" w:type="dxa"/>
          </w:tcPr>
          <w:p w14:paraId="1F6664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351</w:t>
            </w:r>
          </w:p>
        </w:tc>
      </w:tr>
      <w:tr w:rsidR="001002C3" w:rsidRPr="005E779E" w14:paraId="52DA7D78" w14:textId="77777777">
        <w:tc>
          <w:tcPr>
            <w:tcW w:w="1610" w:type="dxa"/>
          </w:tcPr>
          <w:p w14:paraId="05CC2E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танкетки</w:t>
            </w:r>
          </w:p>
        </w:tc>
        <w:tc>
          <w:tcPr>
            <w:tcW w:w="1192" w:type="dxa"/>
          </w:tcPr>
          <w:p w14:paraId="052933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430</w:t>
            </w:r>
          </w:p>
        </w:tc>
        <w:tc>
          <w:tcPr>
            <w:tcW w:w="1275" w:type="dxa"/>
          </w:tcPr>
          <w:p w14:paraId="189FA8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540</w:t>
            </w:r>
          </w:p>
        </w:tc>
        <w:tc>
          <w:tcPr>
            <w:tcW w:w="1418" w:type="dxa"/>
          </w:tcPr>
          <w:p w14:paraId="401665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970</w:t>
            </w:r>
          </w:p>
        </w:tc>
        <w:tc>
          <w:tcPr>
            <w:tcW w:w="1276" w:type="dxa"/>
          </w:tcPr>
          <w:p w14:paraId="3631DD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755</w:t>
            </w:r>
          </w:p>
        </w:tc>
        <w:tc>
          <w:tcPr>
            <w:tcW w:w="1205" w:type="dxa"/>
          </w:tcPr>
          <w:p w14:paraId="3217F5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255</w:t>
            </w:r>
          </w:p>
        </w:tc>
        <w:tc>
          <w:tcPr>
            <w:tcW w:w="1204" w:type="dxa"/>
          </w:tcPr>
          <w:p w14:paraId="5C2357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+215</w:t>
            </w:r>
          </w:p>
        </w:tc>
      </w:tr>
      <w:tr w:rsidR="001002C3" w:rsidRPr="005E779E" w14:paraId="6B0ECEBF" w14:textId="77777777">
        <w:tc>
          <w:tcPr>
            <w:tcW w:w="1610" w:type="dxa"/>
          </w:tcPr>
          <w:p w14:paraId="230C4E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w:t>
            </w:r>
          </w:p>
        </w:tc>
        <w:tc>
          <w:tcPr>
            <w:tcW w:w="1192" w:type="dxa"/>
          </w:tcPr>
          <w:p w14:paraId="2A369D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1260</w:t>
            </w:r>
          </w:p>
        </w:tc>
        <w:tc>
          <w:tcPr>
            <w:tcW w:w="1275" w:type="dxa"/>
          </w:tcPr>
          <w:p w14:paraId="0C50B1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0EAA77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CC956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205" w:type="dxa"/>
          </w:tcPr>
          <w:p w14:paraId="13123F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204" w:type="dxa"/>
          </w:tcPr>
          <w:p w14:paraId="3E15F2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bl>
    <w:p w14:paraId="321E60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Производственные показатели и план МВ-12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192"/>
        <w:gridCol w:w="1275"/>
        <w:gridCol w:w="1418"/>
        <w:gridCol w:w="1276"/>
        <w:gridCol w:w="1205"/>
        <w:gridCol w:w="1204"/>
      </w:tblGrid>
      <w:tr w:rsidR="001002C3" w:rsidRPr="005E779E" w14:paraId="64301322" w14:textId="77777777">
        <w:tc>
          <w:tcPr>
            <w:tcW w:w="1610" w:type="dxa"/>
          </w:tcPr>
          <w:p w14:paraId="525BD8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92" w:type="dxa"/>
          </w:tcPr>
          <w:p w14:paraId="2890EE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наличии на 01.01.32</w:t>
            </w:r>
          </w:p>
        </w:tc>
        <w:tc>
          <w:tcPr>
            <w:tcW w:w="1275" w:type="dxa"/>
          </w:tcPr>
          <w:p w14:paraId="5B1D4F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План на 1932</w:t>
            </w:r>
          </w:p>
        </w:tc>
        <w:tc>
          <w:tcPr>
            <w:tcW w:w="1418" w:type="dxa"/>
          </w:tcPr>
          <w:p w14:paraId="0E7DC4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наличии на 01.05.33</w:t>
            </w:r>
          </w:p>
        </w:tc>
        <w:tc>
          <w:tcPr>
            <w:tcW w:w="1276" w:type="dxa"/>
          </w:tcPr>
          <w:p w14:paraId="09EDCD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наличии по МВ-12</w:t>
            </w:r>
          </w:p>
        </w:tc>
        <w:tc>
          <w:tcPr>
            <w:tcW w:w="1205" w:type="dxa"/>
          </w:tcPr>
          <w:p w14:paraId="0301CA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т.ч. резерв</w:t>
            </w:r>
          </w:p>
        </w:tc>
        <w:tc>
          <w:tcPr>
            <w:tcW w:w="1204" w:type="dxa"/>
          </w:tcPr>
          <w:p w14:paraId="76CAFB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Дефицит</w:t>
            </w:r>
          </w:p>
        </w:tc>
      </w:tr>
      <w:tr w:rsidR="001002C3" w:rsidRPr="005E779E" w14:paraId="42424EBD" w14:textId="77777777">
        <w:tc>
          <w:tcPr>
            <w:tcW w:w="1610" w:type="dxa"/>
          </w:tcPr>
          <w:p w14:paraId="235AF4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Малые танки</w:t>
            </w:r>
          </w:p>
        </w:tc>
        <w:tc>
          <w:tcPr>
            <w:tcW w:w="1192" w:type="dxa"/>
          </w:tcPr>
          <w:p w14:paraId="735B8F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1259</w:t>
            </w:r>
          </w:p>
        </w:tc>
        <w:tc>
          <w:tcPr>
            <w:tcW w:w="1275" w:type="dxa"/>
          </w:tcPr>
          <w:p w14:paraId="1AA2FD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1500</w:t>
            </w:r>
          </w:p>
        </w:tc>
        <w:tc>
          <w:tcPr>
            <w:tcW w:w="1418" w:type="dxa"/>
          </w:tcPr>
          <w:p w14:paraId="79EE2B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2759</w:t>
            </w:r>
          </w:p>
        </w:tc>
        <w:tc>
          <w:tcPr>
            <w:tcW w:w="1276" w:type="dxa"/>
          </w:tcPr>
          <w:p w14:paraId="40F5C2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4905</w:t>
            </w:r>
          </w:p>
        </w:tc>
        <w:tc>
          <w:tcPr>
            <w:tcW w:w="1205" w:type="dxa"/>
          </w:tcPr>
          <w:p w14:paraId="2F2609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1700</w:t>
            </w:r>
          </w:p>
        </w:tc>
        <w:tc>
          <w:tcPr>
            <w:tcW w:w="1204" w:type="dxa"/>
          </w:tcPr>
          <w:p w14:paraId="6148D5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2146</w:t>
            </w:r>
          </w:p>
        </w:tc>
      </w:tr>
      <w:tr w:rsidR="001002C3" w:rsidRPr="005E779E" w14:paraId="0E002EB5" w14:textId="77777777">
        <w:tc>
          <w:tcPr>
            <w:tcW w:w="1610" w:type="dxa"/>
          </w:tcPr>
          <w:p w14:paraId="04D38A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Средние танки</w:t>
            </w:r>
          </w:p>
        </w:tc>
        <w:tc>
          <w:tcPr>
            <w:tcW w:w="1192" w:type="dxa"/>
          </w:tcPr>
          <w:p w14:paraId="42700C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125</w:t>
            </w:r>
          </w:p>
        </w:tc>
        <w:tc>
          <w:tcPr>
            <w:tcW w:w="1275" w:type="dxa"/>
          </w:tcPr>
          <w:p w14:paraId="5F9FF1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w:t>
            </w:r>
          </w:p>
        </w:tc>
        <w:tc>
          <w:tcPr>
            <w:tcW w:w="1418" w:type="dxa"/>
          </w:tcPr>
          <w:p w14:paraId="160FAD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1250</w:t>
            </w:r>
          </w:p>
        </w:tc>
        <w:tc>
          <w:tcPr>
            <w:tcW w:w="1276" w:type="dxa"/>
          </w:tcPr>
          <w:p w14:paraId="727BAE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1920</w:t>
            </w:r>
          </w:p>
        </w:tc>
        <w:tc>
          <w:tcPr>
            <w:tcW w:w="1205" w:type="dxa"/>
          </w:tcPr>
          <w:p w14:paraId="0DF336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640</w:t>
            </w:r>
          </w:p>
        </w:tc>
        <w:tc>
          <w:tcPr>
            <w:tcW w:w="1204" w:type="dxa"/>
          </w:tcPr>
          <w:p w14:paraId="468597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670</w:t>
            </w:r>
          </w:p>
        </w:tc>
      </w:tr>
      <w:tr w:rsidR="001002C3" w:rsidRPr="005E779E" w14:paraId="7991BE16" w14:textId="77777777">
        <w:tc>
          <w:tcPr>
            <w:tcW w:w="1610" w:type="dxa"/>
          </w:tcPr>
          <w:p w14:paraId="380C81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танкетки</w:t>
            </w:r>
          </w:p>
        </w:tc>
        <w:tc>
          <w:tcPr>
            <w:tcW w:w="1192" w:type="dxa"/>
          </w:tcPr>
          <w:p w14:paraId="52D43B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430</w:t>
            </w:r>
          </w:p>
        </w:tc>
        <w:tc>
          <w:tcPr>
            <w:tcW w:w="1275" w:type="dxa"/>
          </w:tcPr>
          <w:p w14:paraId="32F3AA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1920</w:t>
            </w:r>
          </w:p>
        </w:tc>
        <w:tc>
          <w:tcPr>
            <w:tcW w:w="1418" w:type="dxa"/>
          </w:tcPr>
          <w:p w14:paraId="48DB0D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2350</w:t>
            </w:r>
          </w:p>
        </w:tc>
        <w:tc>
          <w:tcPr>
            <w:tcW w:w="1276" w:type="dxa"/>
          </w:tcPr>
          <w:p w14:paraId="169145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3200</w:t>
            </w:r>
          </w:p>
        </w:tc>
        <w:tc>
          <w:tcPr>
            <w:tcW w:w="1205" w:type="dxa"/>
          </w:tcPr>
          <w:p w14:paraId="5E19AC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1200</w:t>
            </w:r>
          </w:p>
        </w:tc>
        <w:tc>
          <w:tcPr>
            <w:tcW w:w="1204" w:type="dxa"/>
          </w:tcPr>
          <w:p w14:paraId="19EECF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850</w:t>
            </w:r>
          </w:p>
        </w:tc>
      </w:tr>
      <w:tr w:rsidR="001002C3" w:rsidRPr="005E779E" w14:paraId="1B159AE5" w14:textId="77777777">
        <w:tc>
          <w:tcPr>
            <w:tcW w:w="1610" w:type="dxa"/>
          </w:tcPr>
          <w:p w14:paraId="67364B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w:t>
            </w:r>
          </w:p>
        </w:tc>
        <w:tc>
          <w:tcPr>
            <w:tcW w:w="1192" w:type="dxa"/>
          </w:tcPr>
          <w:p w14:paraId="28EDE6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4420</w:t>
            </w:r>
          </w:p>
        </w:tc>
        <w:tc>
          <w:tcPr>
            <w:tcW w:w="1275" w:type="dxa"/>
          </w:tcPr>
          <w:p w14:paraId="499FFE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9EADD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23CC3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205" w:type="dxa"/>
          </w:tcPr>
          <w:p w14:paraId="50130B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204" w:type="dxa"/>
          </w:tcPr>
          <w:p w14:paraId="05AB63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3666</w:t>
            </w:r>
          </w:p>
        </w:tc>
      </w:tr>
    </w:tbl>
    <w:p w14:paraId="26E3F1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(9443)</w:t>
      </w:r>
    </w:p>
    <w:p w14:paraId="11BFF8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CA195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 мая 1931 Зам. Пред. РВС Я.Г.Гамарник утвердил штат НИИ военного кораблестроения (НИИВК) (10346,21).</w:t>
      </w:r>
    </w:p>
    <w:p w14:paraId="2DE747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CB8CE52" w14:textId="77777777" w:rsidR="001A7FA6" w:rsidRPr="005E779E" w:rsidRDefault="001A7FA6"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31 мая 1931 </w:t>
      </w:r>
      <w:r w:rsidRPr="005E779E">
        <w:rPr>
          <w:rFonts w:ascii="Times New Roman" w:hAnsi="Times New Roman"/>
          <w:color w:val="000000" w:themeColor="text1"/>
          <w:sz w:val="16"/>
          <w:szCs w:val="16"/>
        </w:rPr>
        <w:t>Политбюро ЦК ВКП (б) предложило ВСНХ приступить к строительству Криворожского металлургического завода (12265).</w:t>
      </w:r>
    </w:p>
    <w:p w14:paraId="78CFE864" w14:textId="77777777" w:rsidR="001A7FA6" w:rsidRPr="005E779E" w:rsidRDefault="001A7F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5B1344E7"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lang w:val="en-US"/>
        </w:rPr>
      </w:pPr>
      <w:r w:rsidRPr="005E779E">
        <w:rPr>
          <w:rFonts w:ascii="Times New Roman" w:hAnsi="Times New Roman"/>
          <w:i/>
          <w:iCs/>
          <w:color w:val="000000" w:themeColor="text1"/>
          <w:sz w:val="16"/>
          <w:szCs w:val="16"/>
        </w:rPr>
        <w:t>За</w:t>
      </w:r>
      <w:r w:rsidRPr="005E779E">
        <w:rPr>
          <w:rFonts w:ascii="Times New Roman" w:hAnsi="Times New Roman"/>
          <w:i/>
          <w:iCs/>
          <w:color w:val="000000" w:themeColor="text1"/>
          <w:sz w:val="16"/>
          <w:szCs w:val="16"/>
          <w:lang w:val="en-US"/>
        </w:rPr>
        <w:t xml:space="preserve"> </w:t>
      </w:r>
      <w:r w:rsidRPr="005E779E">
        <w:rPr>
          <w:rFonts w:ascii="Times New Roman" w:hAnsi="Times New Roman"/>
          <w:i/>
          <w:iCs/>
          <w:color w:val="000000" w:themeColor="text1"/>
          <w:sz w:val="16"/>
          <w:szCs w:val="16"/>
        </w:rPr>
        <w:t>рубежом</w:t>
      </w:r>
      <w:r w:rsidRPr="005E779E">
        <w:rPr>
          <w:rFonts w:ascii="Times New Roman" w:hAnsi="Times New Roman"/>
          <w:i/>
          <w:iCs/>
          <w:color w:val="000000" w:themeColor="text1"/>
          <w:sz w:val="16"/>
          <w:szCs w:val="16"/>
          <w:lang w:val="en-US"/>
        </w:rPr>
        <w:t>:</w:t>
      </w:r>
    </w:p>
    <w:p w14:paraId="0D47466F"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0265D5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val="en-US"/>
        </w:rPr>
        <w:t xml:space="preserve">May 31 1931 A pilotless airplane was successfully flown by radio control from another plane at Houston, Tex. </w:t>
      </w:r>
      <w:r w:rsidRPr="005E779E">
        <w:rPr>
          <w:rFonts w:ascii="Times New Roman" w:hAnsi="Times New Roman"/>
          <w:color w:val="000000" w:themeColor="text1"/>
          <w:sz w:val="16"/>
          <w:szCs w:val="16"/>
        </w:rPr>
        <w:t>(1038).</w:t>
      </w:r>
    </w:p>
    <w:p w14:paraId="17AD63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1C62E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 мая 1931 состоялся полет беспилотного самолета, управляемого по радио с другого самолета (3908,335).</w:t>
      </w:r>
    </w:p>
    <w:p w14:paraId="5AF5AC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DE572C0"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066FE15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D251CF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мая 1931 за неделю до последних полетов КАСКР-2 познакомиться с машиной приехали А.М.Черемухин, И.П.Братухин, В.А.Кузнецов, А.М.Изаксон и другие сотрудники ЦАГИ, занятые разработкой первого советского вертолета. Устойчивые полеты автожира произвели на специалистов благоприятное впечатление.</w:t>
      </w:r>
    </w:p>
    <w:p w14:paraId="63D5702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Руководство Всесоюзного Авиаобъединения и Авиасекции ЦК ОСО-АВИАХИМа пришло к выводу, что энтузиастам-любителям нужно со</w:t>
      </w:r>
      <w:r w:rsidRPr="005E779E">
        <w:rPr>
          <w:rFonts w:ascii="Times New Roman" w:hAnsi="Times New Roman"/>
          <w:color w:val="000000" w:themeColor="text1"/>
          <w:sz w:val="16"/>
          <w:szCs w:val="16"/>
        </w:rPr>
        <w:softHyphen/>
        <w:t>здать более благоприятные условия для работы над винтокрылой техни</w:t>
      </w:r>
      <w:r w:rsidRPr="005E779E">
        <w:rPr>
          <w:rFonts w:ascii="Times New Roman" w:hAnsi="Times New Roman"/>
          <w:color w:val="000000" w:themeColor="text1"/>
          <w:sz w:val="16"/>
          <w:szCs w:val="16"/>
        </w:rPr>
        <w:softHyphen/>
        <w:t>кой (10224,36).</w:t>
      </w:r>
    </w:p>
    <w:p w14:paraId="0E3C26A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A41ED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мая 1931 был подготовлен Доклад о состоянии работ по опытному моторо и самолетостроению на 15 мая 1931 года (6918).</w:t>
      </w:r>
    </w:p>
    <w:p w14:paraId="173F610B"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моторам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7432"/>
      </w:tblGrid>
      <w:tr w:rsidR="001002C3" w:rsidRPr="005E779E" w14:paraId="06392B09" w14:textId="77777777">
        <w:tc>
          <w:tcPr>
            <w:tcW w:w="3024" w:type="dxa"/>
          </w:tcPr>
          <w:p w14:paraId="757A950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мотора</w:t>
            </w:r>
          </w:p>
        </w:tc>
        <w:tc>
          <w:tcPr>
            <w:tcW w:w="7432" w:type="dxa"/>
          </w:tcPr>
          <w:p w14:paraId="7AB4D41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истребителей М-15</w:t>
            </w:r>
          </w:p>
        </w:tc>
      </w:tr>
      <w:tr w:rsidR="001002C3" w:rsidRPr="005E779E" w14:paraId="3793E1E5" w14:textId="77777777">
        <w:tc>
          <w:tcPr>
            <w:tcW w:w="3024" w:type="dxa"/>
          </w:tcPr>
          <w:p w14:paraId="5A34A00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Кто строит</w:t>
            </w:r>
          </w:p>
        </w:tc>
        <w:tc>
          <w:tcPr>
            <w:tcW w:w="7432" w:type="dxa"/>
          </w:tcPr>
          <w:p w14:paraId="2FED243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w:t>
            </w:r>
          </w:p>
        </w:tc>
      </w:tr>
      <w:tr w:rsidR="001002C3" w:rsidRPr="005E779E" w14:paraId="2AC0736D" w14:textId="77777777">
        <w:tc>
          <w:tcPr>
            <w:tcW w:w="3024" w:type="dxa"/>
          </w:tcPr>
          <w:p w14:paraId="3F4DEEB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Охлаждение</w:t>
            </w:r>
          </w:p>
        </w:tc>
        <w:tc>
          <w:tcPr>
            <w:tcW w:w="7432" w:type="dxa"/>
          </w:tcPr>
          <w:p w14:paraId="2BCB211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Воздушное</w:t>
            </w:r>
          </w:p>
        </w:tc>
      </w:tr>
      <w:tr w:rsidR="001002C3" w:rsidRPr="005E779E" w14:paraId="17DEE716" w14:textId="77777777">
        <w:tc>
          <w:tcPr>
            <w:tcW w:w="3024" w:type="dxa"/>
          </w:tcPr>
          <w:p w14:paraId="3418E5C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Мощность</w:t>
            </w:r>
          </w:p>
        </w:tc>
        <w:tc>
          <w:tcPr>
            <w:tcW w:w="7432" w:type="dxa"/>
          </w:tcPr>
          <w:p w14:paraId="3A34D51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450</w:t>
            </w:r>
          </w:p>
        </w:tc>
      </w:tr>
      <w:tr w:rsidR="001002C3" w:rsidRPr="005E779E" w14:paraId="14E45577" w14:textId="77777777">
        <w:tc>
          <w:tcPr>
            <w:tcW w:w="3024" w:type="dxa"/>
          </w:tcPr>
          <w:p w14:paraId="5D53FEC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Новый срок представления на гос. испытания</w:t>
            </w:r>
          </w:p>
        </w:tc>
        <w:tc>
          <w:tcPr>
            <w:tcW w:w="7432" w:type="dxa"/>
          </w:tcPr>
          <w:p w14:paraId="7A61CC3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февраля 1931 года</w:t>
            </w:r>
          </w:p>
        </w:tc>
      </w:tr>
      <w:tr w:rsidR="001002C3" w:rsidRPr="005E779E" w14:paraId="5E0CF9BE" w14:textId="77777777">
        <w:tc>
          <w:tcPr>
            <w:tcW w:w="3024" w:type="dxa"/>
          </w:tcPr>
          <w:p w14:paraId="16AF76E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15 мая 1931 года</w:t>
            </w:r>
          </w:p>
        </w:tc>
        <w:tc>
          <w:tcPr>
            <w:tcW w:w="7432" w:type="dxa"/>
          </w:tcPr>
          <w:p w14:paraId="6470FFA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отчетный период мотор был в третий раз предъявлен на гос. испытания. На 41 часу испытаний потерпел аварию. Другой мотор установленный на И-5 также потерпел аварию на 11 часу работы. В связи с этой аварией летные качества самолета с этим мотором не выявлены полностью. В конце апреля 1931 года предположительно летные испытания продлить: мотор пущен в серийную постройку с условием сдачи его по техническим требованиям на серийную поставку моторов и дополнительного проведения 100 часовых гос. испытаний. Предъявлен на гос. испытания 17 января 1931 года. Прошел неудовлетворительно. Срок последующего предъявления истек 1 мая 1931 года.</w:t>
            </w:r>
          </w:p>
        </w:tc>
      </w:tr>
      <w:tr w:rsidR="001002C3" w:rsidRPr="005E779E" w14:paraId="43B5BD1B" w14:textId="77777777">
        <w:tc>
          <w:tcPr>
            <w:tcW w:w="3024" w:type="dxa"/>
          </w:tcPr>
          <w:p w14:paraId="32D5D7D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мотора</w:t>
            </w:r>
          </w:p>
        </w:tc>
        <w:tc>
          <w:tcPr>
            <w:tcW w:w="7432" w:type="dxa"/>
          </w:tcPr>
          <w:p w14:paraId="50C57F6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истребителей М-19а</w:t>
            </w:r>
          </w:p>
        </w:tc>
      </w:tr>
      <w:tr w:rsidR="001002C3" w:rsidRPr="005E779E" w14:paraId="1E57F3AD" w14:textId="77777777">
        <w:tc>
          <w:tcPr>
            <w:tcW w:w="3024" w:type="dxa"/>
          </w:tcPr>
          <w:p w14:paraId="2E24861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Кто строит</w:t>
            </w:r>
          </w:p>
        </w:tc>
        <w:tc>
          <w:tcPr>
            <w:tcW w:w="7432" w:type="dxa"/>
          </w:tcPr>
          <w:p w14:paraId="4A3996B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ИАМ</w:t>
            </w:r>
          </w:p>
        </w:tc>
      </w:tr>
      <w:tr w:rsidR="001002C3" w:rsidRPr="005E779E" w14:paraId="4B40215A" w14:textId="77777777">
        <w:tc>
          <w:tcPr>
            <w:tcW w:w="3024" w:type="dxa"/>
          </w:tcPr>
          <w:p w14:paraId="2F2BFDB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Охлаждение</w:t>
            </w:r>
          </w:p>
        </w:tc>
        <w:tc>
          <w:tcPr>
            <w:tcW w:w="7432" w:type="dxa"/>
          </w:tcPr>
          <w:p w14:paraId="45B1A62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Водяное</w:t>
            </w:r>
          </w:p>
        </w:tc>
      </w:tr>
      <w:tr w:rsidR="001002C3" w:rsidRPr="005E779E" w14:paraId="23BC3606" w14:textId="77777777">
        <w:tc>
          <w:tcPr>
            <w:tcW w:w="3024" w:type="dxa"/>
          </w:tcPr>
          <w:p w14:paraId="764C44D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Мощность</w:t>
            </w:r>
          </w:p>
        </w:tc>
        <w:tc>
          <w:tcPr>
            <w:tcW w:w="7432" w:type="dxa"/>
          </w:tcPr>
          <w:p w14:paraId="66FA19C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550</w:t>
            </w:r>
          </w:p>
        </w:tc>
      </w:tr>
      <w:tr w:rsidR="001002C3" w:rsidRPr="005E779E" w14:paraId="17C94D95" w14:textId="77777777">
        <w:tc>
          <w:tcPr>
            <w:tcW w:w="3024" w:type="dxa"/>
          </w:tcPr>
          <w:p w14:paraId="06713D4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Новый срок представления на гос. испытания</w:t>
            </w:r>
          </w:p>
        </w:tc>
        <w:tc>
          <w:tcPr>
            <w:tcW w:w="7432" w:type="dxa"/>
          </w:tcPr>
          <w:p w14:paraId="4148900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марта 1932 года</w:t>
            </w:r>
          </w:p>
        </w:tc>
      </w:tr>
      <w:tr w:rsidR="001002C3" w:rsidRPr="005E779E" w14:paraId="2B317585" w14:textId="77777777">
        <w:tc>
          <w:tcPr>
            <w:tcW w:w="3024" w:type="dxa"/>
          </w:tcPr>
          <w:p w14:paraId="20B2111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15 мая 1931 года</w:t>
            </w:r>
          </w:p>
        </w:tc>
        <w:tc>
          <w:tcPr>
            <w:tcW w:w="7432" w:type="dxa"/>
          </w:tcPr>
          <w:p w14:paraId="6A466F8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Принят к исполнению ИАМом с использованием проектировочной работы, проделанной на заводе № 24. Проект мотора окончен. Подготавливаются рабочие чертежи.</w:t>
            </w:r>
          </w:p>
        </w:tc>
      </w:tr>
      <w:tr w:rsidR="001002C3" w:rsidRPr="005E779E" w14:paraId="56D3D7EB" w14:textId="77777777">
        <w:tc>
          <w:tcPr>
            <w:tcW w:w="3024" w:type="dxa"/>
          </w:tcPr>
          <w:p w14:paraId="2376433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мотора</w:t>
            </w:r>
          </w:p>
        </w:tc>
        <w:tc>
          <w:tcPr>
            <w:tcW w:w="7432" w:type="dxa"/>
          </w:tcPr>
          <w:p w14:paraId="0AFE3F6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разведчика М-34 (должен быть построен в 6 экземплярах для ВВС и к 1 августа 1931 года – 3 экземпляра для ВМС)</w:t>
            </w:r>
          </w:p>
        </w:tc>
      </w:tr>
      <w:tr w:rsidR="001002C3" w:rsidRPr="005E779E" w14:paraId="1938696E" w14:textId="77777777">
        <w:tc>
          <w:tcPr>
            <w:tcW w:w="3024" w:type="dxa"/>
          </w:tcPr>
          <w:p w14:paraId="180F295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Кто строит</w:t>
            </w:r>
          </w:p>
        </w:tc>
        <w:tc>
          <w:tcPr>
            <w:tcW w:w="7432" w:type="dxa"/>
          </w:tcPr>
          <w:p w14:paraId="18B2AA3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ИАМ</w:t>
            </w:r>
          </w:p>
        </w:tc>
      </w:tr>
      <w:tr w:rsidR="001002C3" w:rsidRPr="005E779E" w14:paraId="4B659C8D" w14:textId="77777777">
        <w:tc>
          <w:tcPr>
            <w:tcW w:w="3024" w:type="dxa"/>
          </w:tcPr>
          <w:p w14:paraId="243160F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Охлаждение</w:t>
            </w:r>
          </w:p>
        </w:tc>
        <w:tc>
          <w:tcPr>
            <w:tcW w:w="7432" w:type="dxa"/>
          </w:tcPr>
          <w:p w14:paraId="156128C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Водяное</w:t>
            </w:r>
          </w:p>
        </w:tc>
      </w:tr>
      <w:tr w:rsidR="001002C3" w:rsidRPr="005E779E" w14:paraId="27DF0612" w14:textId="77777777">
        <w:tc>
          <w:tcPr>
            <w:tcW w:w="3024" w:type="dxa"/>
          </w:tcPr>
          <w:p w14:paraId="1433B3A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Мощность</w:t>
            </w:r>
          </w:p>
        </w:tc>
        <w:tc>
          <w:tcPr>
            <w:tcW w:w="7432" w:type="dxa"/>
          </w:tcPr>
          <w:p w14:paraId="1E7FCCC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750-900</w:t>
            </w:r>
          </w:p>
        </w:tc>
      </w:tr>
      <w:tr w:rsidR="001002C3" w:rsidRPr="005E779E" w14:paraId="1FD9471A" w14:textId="77777777">
        <w:tc>
          <w:tcPr>
            <w:tcW w:w="3024" w:type="dxa"/>
          </w:tcPr>
          <w:p w14:paraId="31F8A0F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Новый срок представления на гос. испытания</w:t>
            </w:r>
          </w:p>
        </w:tc>
        <w:tc>
          <w:tcPr>
            <w:tcW w:w="7432" w:type="dxa"/>
          </w:tcPr>
          <w:p w14:paraId="2A4478C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июля 1931 года</w:t>
            </w:r>
          </w:p>
        </w:tc>
      </w:tr>
      <w:tr w:rsidR="001002C3" w:rsidRPr="005E779E" w14:paraId="39032386" w14:textId="77777777">
        <w:tc>
          <w:tcPr>
            <w:tcW w:w="3024" w:type="dxa"/>
          </w:tcPr>
          <w:p w14:paraId="6D8972C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15 мая 1931 года</w:t>
            </w:r>
          </w:p>
        </w:tc>
        <w:tc>
          <w:tcPr>
            <w:tcW w:w="7432" w:type="dxa"/>
          </w:tcPr>
          <w:p w14:paraId="4D044CC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 отчетный период проведены экспериментальные испытания блока этого мотора на картере мотора Л-5. Мотор собран, прошел притирку. Пущен на заводские испытания.</w:t>
            </w:r>
          </w:p>
        </w:tc>
      </w:tr>
      <w:tr w:rsidR="001002C3" w:rsidRPr="005E779E" w14:paraId="006E85F8" w14:textId="77777777">
        <w:tc>
          <w:tcPr>
            <w:tcW w:w="3024" w:type="dxa"/>
          </w:tcPr>
          <w:p w14:paraId="4876975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мотора</w:t>
            </w:r>
          </w:p>
        </w:tc>
        <w:tc>
          <w:tcPr>
            <w:tcW w:w="7432" w:type="dxa"/>
          </w:tcPr>
          <w:p w14:paraId="0899696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разведчика М-27</w:t>
            </w:r>
          </w:p>
        </w:tc>
      </w:tr>
      <w:tr w:rsidR="001002C3" w:rsidRPr="005E779E" w14:paraId="66A78351" w14:textId="77777777">
        <w:tc>
          <w:tcPr>
            <w:tcW w:w="3024" w:type="dxa"/>
          </w:tcPr>
          <w:p w14:paraId="2B1628E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Кто строит</w:t>
            </w:r>
          </w:p>
        </w:tc>
        <w:tc>
          <w:tcPr>
            <w:tcW w:w="7432" w:type="dxa"/>
          </w:tcPr>
          <w:p w14:paraId="0C2AF28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w:t>
            </w:r>
          </w:p>
        </w:tc>
      </w:tr>
      <w:tr w:rsidR="001002C3" w:rsidRPr="005E779E" w14:paraId="00391479" w14:textId="77777777">
        <w:tc>
          <w:tcPr>
            <w:tcW w:w="3024" w:type="dxa"/>
          </w:tcPr>
          <w:p w14:paraId="4365A13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Охлаждение</w:t>
            </w:r>
          </w:p>
        </w:tc>
        <w:tc>
          <w:tcPr>
            <w:tcW w:w="7432" w:type="dxa"/>
          </w:tcPr>
          <w:p w14:paraId="2CE5A00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Водяное</w:t>
            </w:r>
          </w:p>
        </w:tc>
      </w:tr>
      <w:tr w:rsidR="001002C3" w:rsidRPr="005E779E" w14:paraId="2B17E006" w14:textId="77777777">
        <w:tc>
          <w:tcPr>
            <w:tcW w:w="3024" w:type="dxa"/>
          </w:tcPr>
          <w:p w14:paraId="28D316F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Мощность</w:t>
            </w:r>
          </w:p>
        </w:tc>
        <w:tc>
          <w:tcPr>
            <w:tcW w:w="7432" w:type="dxa"/>
          </w:tcPr>
          <w:p w14:paraId="4524AD4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750-850</w:t>
            </w:r>
          </w:p>
        </w:tc>
      </w:tr>
      <w:tr w:rsidR="001002C3" w:rsidRPr="005E779E" w14:paraId="4BF78BC9" w14:textId="77777777">
        <w:tc>
          <w:tcPr>
            <w:tcW w:w="3024" w:type="dxa"/>
          </w:tcPr>
          <w:p w14:paraId="4DFA033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Новый срок представления на гос. испытания</w:t>
            </w:r>
          </w:p>
        </w:tc>
        <w:tc>
          <w:tcPr>
            <w:tcW w:w="7432" w:type="dxa"/>
          </w:tcPr>
          <w:p w14:paraId="0B5B632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января 1931 года</w:t>
            </w:r>
          </w:p>
        </w:tc>
      </w:tr>
      <w:tr w:rsidR="001002C3" w:rsidRPr="005E779E" w14:paraId="2C70E9A3" w14:textId="77777777">
        <w:tc>
          <w:tcPr>
            <w:tcW w:w="3024" w:type="dxa"/>
          </w:tcPr>
          <w:p w14:paraId="72BA75D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15 мая 1931 года</w:t>
            </w:r>
          </w:p>
        </w:tc>
        <w:tc>
          <w:tcPr>
            <w:tcW w:w="7432" w:type="dxa"/>
          </w:tcPr>
          <w:p w14:paraId="7647681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 прошел 100 часовые гос. испытания удовлетворительно. Прорабатывается вопрос об установке его на самолеты. Ввиду многооборотности мотора ИАМу поставлено было задание спроектировать и изготовить редуктор к этому мотору. Проектирование редуктора заканчивается, однако производство его еще не обеспечено. Предъявление редуктора 1 октября 1931 года.</w:t>
            </w:r>
          </w:p>
        </w:tc>
      </w:tr>
      <w:tr w:rsidR="001002C3" w:rsidRPr="005E779E" w14:paraId="2654274D" w14:textId="77777777">
        <w:tc>
          <w:tcPr>
            <w:tcW w:w="3024" w:type="dxa"/>
          </w:tcPr>
          <w:p w14:paraId="02BFDD5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мотора</w:t>
            </w:r>
          </w:p>
        </w:tc>
        <w:tc>
          <w:tcPr>
            <w:tcW w:w="7432" w:type="dxa"/>
          </w:tcPr>
          <w:p w14:paraId="159C401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тяжелых бомбардировщиков ФЭД-3</w:t>
            </w:r>
          </w:p>
        </w:tc>
      </w:tr>
      <w:tr w:rsidR="001002C3" w:rsidRPr="005E779E" w14:paraId="2A0D88BD" w14:textId="77777777">
        <w:tc>
          <w:tcPr>
            <w:tcW w:w="3024" w:type="dxa"/>
          </w:tcPr>
          <w:p w14:paraId="0574772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Кто строит</w:t>
            </w:r>
          </w:p>
        </w:tc>
        <w:tc>
          <w:tcPr>
            <w:tcW w:w="7432" w:type="dxa"/>
          </w:tcPr>
          <w:p w14:paraId="600B3C1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w:t>
            </w:r>
          </w:p>
        </w:tc>
      </w:tr>
      <w:tr w:rsidR="001002C3" w:rsidRPr="005E779E" w14:paraId="064A5523" w14:textId="77777777">
        <w:tc>
          <w:tcPr>
            <w:tcW w:w="3024" w:type="dxa"/>
          </w:tcPr>
          <w:p w14:paraId="6443859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Охлаждение</w:t>
            </w:r>
          </w:p>
        </w:tc>
        <w:tc>
          <w:tcPr>
            <w:tcW w:w="7432" w:type="dxa"/>
          </w:tcPr>
          <w:p w14:paraId="0D68BDE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Водяное</w:t>
            </w:r>
          </w:p>
        </w:tc>
      </w:tr>
      <w:tr w:rsidR="001002C3" w:rsidRPr="005E779E" w14:paraId="787C6D1F" w14:textId="77777777">
        <w:tc>
          <w:tcPr>
            <w:tcW w:w="3024" w:type="dxa"/>
          </w:tcPr>
          <w:p w14:paraId="6CB0C9B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Мощность</w:t>
            </w:r>
          </w:p>
        </w:tc>
        <w:tc>
          <w:tcPr>
            <w:tcW w:w="7432" w:type="dxa"/>
          </w:tcPr>
          <w:p w14:paraId="5538A0C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w:t>
            </w:r>
          </w:p>
        </w:tc>
      </w:tr>
      <w:tr w:rsidR="001002C3" w:rsidRPr="005E779E" w14:paraId="322646E6" w14:textId="77777777">
        <w:tc>
          <w:tcPr>
            <w:tcW w:w="3024" w:type="dxa"/>
          </w:tcPr>
          <w:p w14:paraId="58732A0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Новый срок представления на гос. испытания</w:t>
            </w:r>
          </w:p>
        </w:tc>
        <w:tc>
          <w:tcPr>
            <w:tcW w:w="7432" w:type="dxa"/>
          </w:tcPr>
          <w:p w14:paraId="551F705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мая 1931 года</w:t>
            </w:r>
          </w:p>
        </w:tc>
      </w:tr>
      <w:tr w:rsidR="001002C3" w:rsidRPr="005E779E" w14:paraId="66028274" w14:textId="77777777">
        <w:tc>
          <w:tcPr>
            <w:tcW w:w="3024" w:type="dxa"/>
          </w:tcPr>
          <w:p w14:paraId="017AB85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15 мая 1931 года</w:t>
            </w:r>
          </w:p>
        </w:tc>
        <w:tc>
          <w:tcPr>
            <w:tcW w:w="7432" w:type="dxa"/>
          </w:tcPr>
          <w:p w14:paraId="5BFF238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 отчетный период мотор после капитальных переделок был дважды на заводских испытаниях. Первый раз на 19 часу работы потерпел аварию. Мотор был вторично поставлен на заводские испытания, которые прошел в количестве 20 часов. Мотор прошел 46 часов заводских испытаний. Предъявление ожидается 20 мая 1931 года.</w:t>
            </w:r>
          </w:p>
        </w:tc>
      </w:tr>
      <w:tr w:rsidR="001002C3" w:rsidRPr="005E779E" w14:paraId="6EBC0992" w14:textId="77777777">
        <w:tc>
          <w:tcPr>
            <w:tcW w:w="3024" w:type="dxa"/>
          </w:tcPr>
          <w:p w14:paraId="095378F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мотора</w:t>
            </w:r>
          </w:p>
        </w:tc>
        <w:tc>
          <w:tcPr>
            <w:tcW w:w="7432" w:type="dxa"/>
          </w:tcPr>
          <w:p w14:paraId="6254EAA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истребителей М-38</w:t>
            </w:r>
          </w:p>
        </w:tc>
      </w:tr>
      <w:tr w:rsidR="001002C3" w:rsidRPr="005E779E" w14:paraId="05D8F6A3" w14:textId="77777777">
        <w:tc>
          <w:tcPr>
            <w:tcW w:w="3024" w:type="dxa"/>
          </w:tcPr>
          <w:p w14:paraId="3EC8299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Кто строит</w:t>
            </w:r>
          </w:p>
        </w:tc>
        <w:tc>
          <w:tcPr>
            <w:tcW w:w="7432" w:type="dxa"/>
          </w:tcPr>
          <w:p w14:paraId="1FF1446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ИАМ</w:t>
            </w:r>
          </w:p>
        </w:tc>
      </w:tr>
      <w:tr w:rsidR="001002C3" w:rsidRPr="005E779E" w14:paraId="6EDAA731" w14:textId="77777777">
        <w:tc>
          <w:tcPr>
            <w:tcW w:w="3024" w:type="dxa"/>
          </w:tcPr>
          <w:p w14:paraId="6F7A83E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Охлаждение</w:t>
            </w:r>
          </w:p>
        </w:tc>
        <w:tc>
          <w:tcPr>
            <w:tcW w:w="7432" w:type="dxa"/>
          </w:tcPr>
          <w:p w14:paraId="4A2454E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Воздушное</w:t>
            </w:r>
          </w:p>
        </w:tc>
      </w:tr>
      <w:tr w:rsidR="001002C3" w:rsidRPr="005E779E" w14:paraId="6017460F" w14:textId="77777777">
        <w:tc>
          <w:tcPr>
            <w:tcW w:w="3024" w:type="dxa"/>
          </w:tcPr>
          <w:p w14:paraId="554CEB4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Мощность</w:t>
            </w:r>
          </w:p>
        </w:tc>
        <w:tc>
          <w:tcPr>
            <w:tcW w:w="7432" w:type="dxa"/>
          </w:tcPr>
          <w:p w14:paraId="02E9D82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w:t>
            </w:r>
          </w:p>
        </w:tc>
      </w:tr>
      <w:tr w:rsidR="001002C3" w:rsidRPr="005E779E" w14:paraId="199DC6B4" w14:textId="77777777">
        <w:tc>
          <w:tcPr>
            <w:tcW w:w="3024" w:type="dxa"/>
          </w:tcPr>
          <w:p w14:paraId="77E7962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Новый срок представления на гос. испытания</w:t>
            </w:r>
          </w:p>
        </w:tc>
        <w:tc>
          <w:tcPr>
            <w:tcW w:w="7432" w:type="dxa"/>
          </w:tcPr>
          <w:p w14:paraId="0A7730F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марта 1932 года</w:t>
            </w:r>
          </w:p>
        </w:tc>
      </w:tr>
      <w:tr w:rsidR="001002C3" w:rsidRPr="005E779E" w14:paraId="19A0E27A" w14:textId="77777777">
        <w:tc>
          <w:tcPr>
            <w:tcW w:w="3024" w:type="dxa"/>
          </w:tcPr>
          <w:p w14:paraId="54DC947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15 мая 1931 года</w:t>
            </w:r>
          </w:p>
        </w:tc>
        <w:tc>
          <w:tcPr>
            <w:tcW w:w="7432" w:type="dxa"/>
          </w:tcPr>
          <w:p w14:paraId="2D39B35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 принят к исполнению ИАМом с использованием работ, проделанных на заводе № 24. Проект мотора окончен. Идет разработка чертежей.</w:t>
            </w:r>
          </w:p>
        </w:tc>
      </w:tr>
      <w:tr w:rsidR="001002C3" w:rsidRPr="005E779E" w14:paraId="0642257C" w14:textId="77777777">
        <w:tc>
          <w:tcPr>
            <w:tcW w:w="3024" w:type="dxa"/>
          </w:tcPr>
          <w:p w14:paraId="4C1D10B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мотора</w:t>
            </w:r>
          </w:p>
        </w:tc>
        <w:tc>
          <w:tcPr>
            <w:tcW w:w="7432" w:type="dxa"/>
          </w:tcPr>
          <w:p w14:paraId="12168D9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тяжелых бомбардировщиков М-44</w:t>
            </w:r>
          </w:p>
        </w:tc>
      </w:tr>
      <w:tr w:rsidR="001002C3" w:rsidRPr="005E779E" w14:paraId="11C92D3B" w14:textId="77777777">
        <w:tc>
          <w:tcPr>
            <w:tcW w:w="3024" w:type="dxa"/>
          </w:tcPr>
          <w:p w14:paraId="32A4BAC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Кто строит</w:t>
            </w:r>
          </w:p>
        </w:tc>
        <w:tc>
          <w:tcPr>
            <w:tcW w:w="7432" w:type="dxa"/>
          </w:tcPr>
          <w:p w14:paraId="749EF92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ИАМ</w:t>
            </w:r>
          </w:p>
        </w:tc>
      </w:tr>
      <w:tr w:rsidR="001002C3" w:rsidRPr="005E779E" w14:paraId="02856367" w14:textId="77777777">
        <w:tc>
          <w:tcPr>
            <w:tcW w:w="3024" w:type="dxa"/>
          </w:tcPr>
          <w:p w14:paraId="6DD8DED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Охлаждение</w:t>
            </w:r>
          </w:p>
        </w:tc>
        <w:tc>
          <w:tcPr>
            <w:tcW w:w="7432" w:type="dxa"/>
          </w:tcPr>
          <w:p w14:paraId="33E8BC1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Водяное</w:t>
            </w:r>
          </w:p>
        </w:tc>
      </w:tr>
      <w:tr w:rsidR="001002C3" w:rsidRPr="005E779E" w14:paraId="3353017C" w14:textId="77777777">
        <w:tc>
          <w:tcPr>
            <w:tcW w:w="3024" w:type="dxa"/>
          </w:tcPr>
          <w:p w14:paraId="5243291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Мощность</w:t>
            </w:r>
          </w:p>
        </w:tc>
        <w:tc>
          <w:tcPr>
            <w:tcW w:w="7432" w:type="dxa"/>
          </w:tcPr>
          <w:p w14:paraId="758CBD9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2000</w:t>
            </w:r>
          </w:p>
        </w:tc>
      </w:tr>
      <w:tr w:rsidR="001002C3" w:rsidRPr="005E779E" w14:paraId="5706C028" w14:textId="77777777">
        <w:tc>
          <w:tcPr>
            <w:tcW w:w="3024" w:type="dxa"/>
          </w:tcPr>
          <w:p w14:paraId="126CB69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Новый срок представления на гос. испытания</w:t>
            </w:r>
          </w:p>
        </w:tc>
        <w:tc>
          <w:tcPr>
            <w:tcW w:w="7432" w:type="dxa"/>
          </w:tcPr>
          <w:p w14:paraId="6FA639D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июля 1932 года</w:t>
            </w:r>
          </w:p>
        </w:tc>
      </w:tr>
      <w:tr w:rsidR="001002C3" w:rsidRPr="005E779E" w14:paraId="25ED9A9F" w14:textId="77777777">
        <w:tc>
          <w:tcPr>
            <w:tcW w:w="3024" w:type="dxa"/>
          </w:tcPr>
          <w:p w14:paraId="3906958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15 мая 1931 года</w:t>
            </w:r>
          </w:p>
        </w:tc>
        <w:tc>
          <w:tcPr>
            <w:tcW w:w="7432" w:type="dxa"/>
          </w:tcPr>
          <w:p w14:paraId="4CA30B1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Проект мотора выполнен ИАМом. В настоящее время идет его деталировка и подготовка поковочных чертежей. Одновременно ведутся экспериментальные испытания на моторе с цилиндром большого диаметра.</w:t>
            </w:r>
          </w:p>
        </w:tc>
      </w:tr>
      <w:tr w:rsidR="001002C3" w:rsidRPr="005E779E" w14:paraId="70C0DA82" w14:textId="77777777">
        <w:tc>
          <w:tcPr>
            <w:tcW w:w="3024" w:type="dxa"/>
          </w:tcPr>
          <w:p w14:paraId="275185C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мотора</w:t>
            </w:r>
          </w:p>
        </w:tc>
        <w:tc>
          <w:tcPr>
            <w:tcW w:w="7432" w:type="dxa"/>
          </w:tcPr>
          <w:p w14:paraId="7D84F53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истребителей М-32</w:t>
            </w:r>
          </w:p>
        </w:tc>
      </w:tr>
      <w:tr w:rsidR="001002C3" w:rsidRPr="005E779E" w14:paraId="380083B9" w14:textId="77777777">
        <w:tc>
          <w:tcPr>
            <w:tcW w:w="3024" w:type="dxa"/>
          </w:tcPr>
          <w:p w14:paraId="318B93A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Кто строит</w:t>
            </w:r>
          </w:p>
        </w:tc>
        <w:tc>
          <w:tcPr>
            <w:tcW w:w="7432" w:type="dxa"/>
          </w:tcPr>
          <w:p w14:paraId="52AC533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ИАМ</w:t>
            </w:r>
          </w:p>
        </w:tc>
      </w:tr>
      <w:tr w:rsidR="001002C3" w:rsidRPr="005E779E" w14:paraId="5B033B65" w14:textId="77777777">
        <w:tc>
          <w:tcPr>
            <w:tcW w:w="3024" w:type="dxa"/>
          </w:tcPr>
          <w:p w14:paraId="06CA32E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Охлаждение</w:t>
            </w:r>
          </w:p>
        </w:tc>
        <w:tc>
          <w:tcPr>
            <w:tcW w:w="7432" w:type="dxa"/>
          </w:tcPr>
          <w:p w14:paraId="160F10C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Водяное</w:t>
            </w:r>
          </w:p>
        </w:tc>
      </w:tr>
      <w:tr w:rsidR="001002C3" w:rsidRPr="005E779E" w14:paraId="1CB08914" w14:textId="77777777">
        <w:tc>
          <w:tcPr>
            <w:tcW w:w="3024" w:type="dxa"/>
          </w:tcPr>
          <w:p w14:paraId="260A65C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Мощность</w:t>
            </w:r>
          </w:p>
        </w:tc>
        <w:tc>
          <w:tcPr>
            <w:tcW w:w="7432" w:type="dxa"/>
          </w:tcPr>
          <w:p w14:paraId="77EEBC0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w:t>
            </w:r>
          </w:p>
        </w:tc>
      </w:tr>
      <w:tr w:rsidR="001002C3" w:rsidRPr="005E779E" w14:paraId="13A7421E" w14:textId="77777777">
        <w:tc>
          <w:tcPr>
            <w:tcW w:w="3024" w:type="dxa"/>
          </w:tcPr>
          <w:p w14:paraId="3B8775A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Новый срок представления на гос. испытания</w:t>
            </w:r>
          </w:p>
        </w:tc>
        <w:tc>
          <w:tcPr>
            <w:tcW w:w="7432" w:type="dxa"/>
          </w:tcPr>
          <w:p w14:paraId="56B9095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мая 1932 года</w:t>
            </w:r>
          </w:p>
        </w:tc>
      </w:tr>
      <w:tr w:rsidR="001002C3" w:rsidRPr="005E779E" w14:paraId="2BAA0686" w14:textId="77777777">
        <w:tc>
          <w:tcPr>
            <w:tcW w:w="3024" w:type="dxa"/>
          </w:tcPr>
          <w:p w14:paraId="12A03CA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15 мая 1931 года</w:t>
            </w:r>
          </w:p>
        </w:tc>
        <w:tc>
          <w:tcPr>
            <w:tcW w:w="7432" w:type="dxa"/>
          </w:tcPr>
          <w:p w14:paraId="2842F47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 принят к исполнению ИАМом с использованием работы, проделанной по этому мотору на заводе № 24. Проект мотора окончен и принят на техсовещании 1 апреля 1931 года. Проводятся опыты с цилиндром большого диаметра.</w:t>
            </w:r>
          </w:p>
        </w:tc>
      </w:tr>
      <w:tr w:rsidR="001002C3" w:rsidRPr="005E779E" w14:paraId="242A4094" w14:textId="77777777">
        <w:tc>
          <w:tcPr>
            <w:tcW w:w="3024" w:type="dxa"/>
          </w:tcPr>
          <w:p w14:paraId="34C9157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мотора</w:t>
            </w:r>
          </w:p>
        </w:tc>
        <w:tc>
          <w:tcPr>
            <w:tcW w:w="7432" w:type="dxa"/>
          </w:tcPr>
          <w:p w14:paraId="2149B82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Модернизация М-43</w:t>
            </w:r>
          </w:p>
        </w:tc>
      </w:tr>
      <w:tr w:rsidR="001002C3" w:rsidRPr="005E779E" w14:paraId="7E5676ED" w14:textId="77777777">
        <w:tc>
          <w:tcPr>
            <w:tcW w:w="3024" w:type="dxa"/>
          </w:tcPr>
          <w:p w14:paraId="03FC3F2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Кто строит</w:t>
            </w:r>
          </w:p>
        </w:tc>
        <w:tc>
          <w:tcPr>
            <w:tcW w:w="7432" w:type="dxa"/>
          </w:tcPr>
          <w:p w14:paraId="7F0F059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ИАМ</w:t>
            </w:r>
          </w:p>
        </w:tc>
      </w:tr>
      <w:tr w:rsidR="001002C3" w:rsidRPr="005E779E" w14:paraId="63B96AF1" w14:textId="77777777">
        <w:tc>
          <w:tcPr>
            <w:tcW w:w="3024" w:type="dxa"/>
          </w:tcPr>
          <w:p w14:paraId="561D52B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Охлаждение</w:t>
            </w:r>
          </w:p>
        </w:tc>
        <w:tc>
          <w:tcPr>
            <w:tcW w:w="7432" w:type="dxa"/>
          </w:tcPr>
          <w:p w14:paraId="3DFB109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Водяное</w:t>
            </w:r>
          </w:p>
        </w:tc>
      </w:tr>
      <w:tr w:rsidR="001002C3" w:rsidRPr="005E779E" w14:paraId="3BA0FD1F" w14:textId="77777777">
        <w:tc>
          <w:tcPr>
            <w:tcW w:w="3024" w:type="dxa"/>
          </w:tcPr>
          <w:p w14:paraId="5B488ED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Мощность</w:t>
            </w:r>
          </w:p>
        </w:tc>
        <w:tc>
          <w:tcPr>
            <w:tcW w:w="7432" w:type="dxa"/>
          </w:tcPr>
          <w:p w14:paraId="099BDE0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700-1000</w:t>
            </w:r>
          </w:p>
        </w:tc>
      </w:tr>
      <w:tr w:rsidR="001002C3" w:rsidRPr="005E779E" w14:paraId="60D085D3" w14:textId="77777777">
        <w:tc>
          <w:tcPr>
            <w:tcW w:w="3024" w:type="dxa"/>
          </w:tcPr>
          <w:p w14:paraId="2A1B548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Новый срок представления на гос. испытания</w:t>
            </w:r>
          </w:p>
        </w:tc>
        <w:tc>
          <w:tcPr>
            <w:tcW w:w="7432" w:type="dxa"/>
          </w:tcPr>
          <w:p w14:paraId="758740D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января 1932 года</w:t>
            </w:r>
          </w:p>
        </w:tc>
      </w:tr>
      <w:tr w:rsidR="001002C3" w:rsidRPr="005E779E" w14:paraId="0498367F" w14:textId="77777777">
        <w:tc>
          <w:tcPr>
            <w:tcW w:w="3024" w:type="dxa"/>
          </w:tcPr>
          <w:p w14:paraId="3AAACF3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15 мая 1931 года</w:t>
            </w:r>
          </w:p>
        </w:tc>
        <w:tc>
          <w:tcPr>
            <w:tcW w:w="7432" w:type="dxa"/>
          </w:tcPr>
          <w:p w14:paraId="45DB2E9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Работы не ведутся, так как мотор снят с плана.</w:t>
            </w:r>
          </w:p>
        </w:tc>
      </w:tr>
      <w:tr w:rsidR="001002C3" w:rsidRPr="005E779E" w14:paraId="0970E38C" w14:textId="77777777">
        <w:tc>
          <w:tcPr>
            <w:tcW w:w="3024" w:type="dxa"/>
          </w:tcPr>
          <w:p w14:paraId="5E6F6A7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мотора</w:t>
            </w:r>
          </w:p>
        </w:tc>
        <w:tc>
          <w:tcPr>
            <w:tcW w:w="7432" w:type="dxa"/>
          </w:tcPr>
          <w:p w14:paraId="7354709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Нефтяной М-42</w:t>
            </w:r>
          </w:p>
        </w:tc>
      </w:tr>
      <w:tr w:rsidR="001002C3" w:rsidRPr="005E779E" w14:paraId="5464D915" w14:textId="77777777">
        <w:tc>
          <w:tcPr>
            <w:tcW w:w="3024" w:type="dxa"/>
          </w:tcPr>
          <w:p w14:paraId="4AD6217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Кто строит</w:t>
            </w:r>
          </w:p>
        </w:tc>
        <w:tc>
          <w:tcPr>
            <w:tcW w:w="7432" w:type="dxa"/>
          </w:tcPr>
          <w:p w14:paraId="13CDACA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ИАМ</w:t>
            </w:r>
          </w:p>
        </w:tc>
      </w:tr>
      <w:tr w:rsidR="001002C3" w:rsidRPr="005E779E" w14:paraId="6AB6167C" w14:textId="77777777">
        <w:tc>
          <w:tcPr>
            <w:tcW w:w="3024" w:type="dxa"/>
          </w:tcPr>
          <w:p w14:paraId="3BE8DBB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Охлаждение</w:t>
            </w:r>
          </w:p>
        </w:tc>
        <w:tc>
          <w:tcPr>
            <w:tcW w:w="7432" w:type="dxa"/>
          </w:tcPr>
          <w:p w14:paraId="6F42A4B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CCCF5CD" w14:textId="77777777">
        <w:tc>
          <w:tcPr>
            <w:tcW w:w="3024" w:type="dxa"/>
          </w:tcPr>
          <w:p w14:paraId="668985C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Мощность</w:t>
            </w:r>
          </w:p>
        </w:tc>
        <w:tc>
          <w:tcPr>
            <w:tcW w:w="7432" w:type="dxa"/>
          </w:tcPr>
          <w:p w14:paraId="44DD673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w:t>
            </w:r>
          </w:p>
        </w:tc>
      </w:tr>
      <w:tr w:rsidR="001002C3" w:rsidRPr="005E779E" w14:paraId="40753C18" w14:textId="77777777">
        <w:tc>
          <w:tcPr>
            <w:tcW w:w="3024" w:type="dxa"/>
          </w:tcPr>
          <w:p w14:paraId="5DFEB75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Новый срок представления на гос. испытания</w:t>
            </w:r>
          </w:p>
        </w:tc>
        <w:tc>
          <w:tcPr>
            <w:tcW w:w="7432" w:type="dxa"/>
          </w:tcPr>
          <w:p w14:paraId="0FCCD78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октября 1932 года</w:t>
            </w:r>
          </w:p>
        </w:tc>
      </w:tr>
      <w:tr w:rsidR="001002C3" w:rsidRPr="005E779E" w14:paraId="4EBCCC11" w14:textId="77777777">
        <w:tc>
          <w:tcPr>
            <w:tcW w:w="3024" w:type="dxa"/>
          </w:tcPr>
          <w:p w14:paraId="6C8F4DB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15 мая 1931 года</w:t>
            </w:r>
          </w:p>
        </w:tc>
        <w:tc>
          <w:tcPr>
            <w:tcW w:w="7432" w:type="dxa"/>
          </w:tcPr>
          <w:p w14:paraId="50A46B7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Работы не ведутся, так как мотор снят с плана.</w:t>
            </w:r>
          </w:p>
        </w:tc>
      </w:tr>
      <w:tr w:rsidR="001002C3" w:rsidRPr="005E779E" w14:paraId="04CCAE7F" w14:textId="77777777">
        <w:tc>
          <w:tcPr>
            <w:tcW w:w="3024" w:type="dxa"/>
          </w:tcPr>
          <w:p w14:paraId="3BED755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мотора</w:t>
            </w:r>
          </w:p>
        </w:tc>
        <w:tc>
          <w:tcPr>
            <w:tcW w:w="7432" w:type="dxa"/>
          </w:tcPr>
          <w:p w14:paraId="1FBBDAF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Нефтяной ЭН-1</w:t>
            </w:r>
          </w:p>
        </w:tc>
      </w:tr>
      <w:tr w:rsidR="001002C3" w:rsidRPr="005E779E" w14:paraId="5AEE1785" w14:textId="77777777">
        <w:tc>
          <w:tcPr>
            <w:tcW w:w="3024" w:type="dxa"/>
          </w:tcPr>
          <w:p w14:paraId="3B4EF36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Кто строит</w:t>
            </w:r>
          </w:p>
        </w:tc>
        <w:tc>
          <w:tcPr>
            <w:tcW w:w="7432" w:type="dxa"/>
          </w:tcPr>
          <w:p w14:paraId="5EDCE29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ИАМ</w:t>
            </w:r>
          </w:p>
        </w:tc>
      </w:tr>
      <w:tr w:rsidR="001002C3" w:rsidRPr="005E779E" w14:paraId="1E2D352F" w14:textId="77777777">
        <w:tc>
          <w:tcPr>
            <w:tcW w:w="3024" w:type="dxa"/>
          </w:tcPr>
          <w:p w14:paraId="7B09208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Охлаждение</w:t>
            </w:r>
          </w:p>
        </w:tc>
        <w:tc>
          <w:tcPr>
            <w:tcW w:w="7432" w:type="dxa"/>
          </w:tcPr>
          <w:p w14:paraId="2831EBB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5240B84" w14:textId="77777777">
        <w:tc>
          <w:tcPr>
            <w:tcW w:w="3024" w:type="dxa"/>
          </w:tcPr>
          <w:p w14:paraId="475E142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Мощность</w:t>
            </w:r>
          </w:p>
        </w:tc>
        <w:tc>
          <w:tcPr>
            <w:tcW w:w="7432" w:type="dxa"/>
          </w:tcPr>
          <w:p w14:paraId="7F38125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w:t>
            </w:r>
          </w:p>
        </w:tc>
      </w:tr>
      <w:tr w:rsidR="001002C3" w:rsidRPr="005E779E" w14:paraId="3BBCF5F6" w14:textId="77777777">
        <w:tc>
          <w:tcPr>
            <w:tcW w:w="3024" w:type="dxa"/>
          </w:tcPr>
          <w:p w14:paraId="72DA891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Новый срок представления на гос. испытания</w:t>
            </w:r>
          </w:p>
        </w:tc>
        <w:tc>
          <w:tcPr>
            <w:tcW w:w="7432" w:type="dxa"/>
          </w:tcPr>
          <w:p w14:paraId="44CB064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апреля 1931 года</w:t>
            </w:r>
          </w:p>
        </w:tc>
      </w:tr>
      <w:tr w:rsidR="001002C3" w:rsidRPr="005E779E" w14:paraId="3D2FEEE9" w14:textId="77777777">
        <w:tc>
          <w:tcPr>
            <w:tcW w:w="3024" w:type="dxa"/>
          </w:tcPr>
          <w:p w14:paraId="5B34B73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15 мая 1931 года</w:t>
            </w:r>
          </w:p>
        </w:tc>
        <w:tc>
          <w:tcPr>
            <w:tcW w:w="7432" w:type="dxa"/>
          </w:tcPr>
          <w:p w14:paraId="10663C9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Работы не ведутся, так как мотор снят с плана. ИАМ ведет экспериментальные испытания на одноцилиндровых установках.</w:t>
            </w:r>
          </w:p>
        </w:tc>
      </w:tr>
      <w:tr w:rsidR="001002C3" w:rsidRPr="005E779E" w14:paraId="00460471" w14:textId="77777777">
        <w:tc>
          <w:tcPr>
            <w:tcW w:w="3024" w:type="dxa"/>
          </w:tcPr>
          <w:p w14:paraId="72ED29F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мотора</w:t>
            </w:r>
          </w:p>
        </w:tc>
        <w:tc>
          <w:tcPr>
            <w:tcW w:w="7432" w:type="dxa"/>
          </w:tcPr>
          <w:p w14:paraId="0F71152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М-19</w:t>
            </w:r>
          </w:p>
        </w:tc>
      </w:tr>
      <w:tr w:rsidR="001002C3" w:rsidRPr="005E779E" w14:paraId="04ED5929" w14:textId="77777777">
        <w:tc>
          <w:tcPr>
            <w:tcW w:w="3024" w:type="dxa"/>
          </w:tcPr>
          <w:p w14:paraId="1925132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Кто строит</w:t>
            </w:r>
          </w:p>
        </w:tc>
        <w:tc>
          <w:tcPr>
            <w:tcW w:w="7432" w:type="dxa"/>
          </w:tcPr>
          <w:p w14:paraId="3E5CB08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1FFDE8D" w14:textId="77777777">
        <w:tc>
          <w:tcPr>
            <w:tcW w:w="3024" w:type="dxa"/>
          </w:tcPr>
          <w:p w14:paraId="20823A5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Охлаждение</w:t>
            </w:r>
          </w:p>
        </w:tc>
        <w:tc>
          <w:tcPr>
            <w:tcW w:w="7432" w:type="dxa"/>
          </w:tcPr>
          <w:p w14:paraId="3F04B0D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1DEF0C4" w14:textId="77777777">
        <w:tc>
          <w:tcPr>
            <w:tcW w:w="3024" w:type="dxa"/>
          </w:tcPr>
          <w:p w14:paraId="4009898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Мощность</w:t>
            </w:r>
          </w:p>
        </w:tc>
        <w:tc>
          <w:tcPr>
            <w:tcW w:w="7432" w:type="dxa"/>
          </w:tcPr>
          <w:p w14:paraId="48EE1D1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525</w:t>
            </w:r>
          </w:p>
        </w:tc>
      </w:tr>
      <w:tr w:rsidR="001002C3" w:rsidRPr="005E779E" w14:paraId="74057FEF" w14:textId="77777777">
        <w:tc>
          <w:tcPr>
            <w:tcW w:w="3024" w:type="dxa"/>
          </w:tcPr>
          <w:p w14:paraId="10C7813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Новый срок представления на гос. испытания</w:t>
            </w:r>
          </w:p>
        </w:tc>
        <w:tc>
          <w:tcPr>
            <w:tcW w:w="7432" w:type="dxa"/>
          </w:tcPr>
          <w:p w14:paraId="50B6130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июня 1930 года</w:t>
            </w:r>
          </w:p>
        </w:tc>
      </w:tr>
      <w:tr w:rsidR="001002C3" w:rsidRPr="005E779E" w14:paraId="6DE14193" w14:textId="77777777">
        <w:tc>
          <w:tcPr>
            <w:tcW w:w="3024" w:type="dxa"/>
          </w:tcPr>
          <w:p w14:paraId="1209E61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Степень выполнения на 15 мая 1931 года</w:t>
            </w:r>
          </w:p>
        </w:tc>
        <w:tc>
          <w:tcPr>
            <w:tcW w:w="7432" w:type="dxa"/>
          </w:tcPr>
          <w:p w14:paraId="20CCDA5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 прошел 100 часовые гос. испытания, причем в части передачи к импеллеру неудовлетворительно. Мотор передан для установки на самолет Р-5 и проведения летных испытаний. Ориентировочный срок летных испытаний – май 1931 года. Проводятся летные заводские испытания.</w:t>
            </w:r>
          </w:p>
        </w:tc>
      </w:tr>
      <w:tr w:rsidR="001002C3" w:rsidRPr="005E779E" w14:paraId="6FE11E33" w14:textId="77777777">
        <w:tc>
          <w:tcPr>
            <w:tcW w:w="3024" w:type="dxa"/>
          </w:tcPr>
          <w:p w14:paraId="759D9BE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мотора</w:t>
            </w:r>
          </w:p>
        </w:tc>
        <w:tc>
          <w:tcPr>
            <w:tcW w:w="7432" w:type="dxa"/>
          </w:tcPr>
          <w:p w14:paraId="3A732F0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гражданской авиации М-26</w:t>
            </w:r>
          </w:p>
        </w:tc>
      </w:tr>
      <w:tr w:rsidR="001002C3" w:rsidRPr="005E779E" w14:paraId="7D25C2AA" w14:textId="77777777">
        <w:tc>
          <w:tcPr>
            <w:tcW w:w="3024" w:type="dxa"/>
          </w:tcPr>
          <w:p w14:paraId="2A507CD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Кто строит</w:t>
            </w:r>
          </w:p>
        </w:tc>
        <w:tc>
          <w:tcPr>
            <w:tcW w:w="7432" w:type="dxa"/>
          </w:tcPr>
          <w:p w14:paraId="6CD331A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w:t>
            </w:r>
          </w:p>
        </w:tc>
      </w:tr>
      <w:tr w:rsidR="001002C3" w:rsidRPr="005E779E" w14:paraId="0DD2C0D4" w14:textId="77777777">
        <w:tc>
          <w:tcPr>
            <w:tcW w:w="3024" w:type="dxa"/>
          </w:tcPr>
          <w:p w14:paraId="2CA9E7A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Охлаждение</w:t>
            </w:r>
          </w:p>
        </w:tc>
        <w:tc>
          <w:tcPr>
            <w:tcW w:w="7432" w:type="dxa"/>
          </w:tcPr>
          <w:p w14:paraId="0D298B5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Воздушное</w:t>
            </w:r>
          </w:p>
        </w:tc>
      </w:tr>
      <w:tr w:rsidR="001002C3" w:rsidRPr="005E779E" w14:paraId="722D7275" w14:textId="77777777">
        <w:tc>
          <w:tcPr>
            <w:tcW w:w="3024" w:type="dxa"/>
          </w:tcPr>
          <w:p w14:paraId="693C380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Мощность</w:t>
            </w:r>
          </w:p>
        </w:tc>
        <w:tc>
          <w:tcPr>
            <w:tcW w:w="7432" w:type="dxa"/>
          </w:tcPr>
          <w:p w14:paraId="463ECC3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w:t>
            </w:r>
          </w:p>
        </w:tc>
      </w:tr>
      <w:tr w:rsidR="001002C3" w:rsidRPr="005E779E" w14:paraId="34DCF7F5" w14:textId="77777777">
        <w:tc>
          <w:tcPr>
            <w:tcW w:w="3024" w:type="dxa"/>
          </w:tcPr>
          <w:p w14:paraId="548CE4D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Новый срок представления на гос. испытания</w:t>
            </w:r>
          </w:p>
        </w:tc>
        <w:tc>
          <w:tcPr>
            <w:tcW w:w="7432" w:type="dxa"/>
          </w:tcPr>
          <w:p w14:paraId="3C34138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октября 1930 года</w:t>
            </w:r>
          </w:p>
        </w:tc>
      </w:tr>
      <w:tr w:rsidR="001002C3" w:rsidRPr="005E779E" w14:paraId="4D76E79E" w14:textId="77777777">
        <w:tc>
          <w:tcPr>
            <w:tcW w:w="3024" w:type="dxa"/>
          </w:tcPr>
          <w:p w14:paraId="1C213F6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15 мая 1931 года</w:t>
            </w:r>
          </w:p>
        </w:tc>
        <w:tc>
          <w:tcPr>
            <w:tcW w:w="7432" w:type="dxa"/>
          </w:tcPr>
          <w:p w14:paraId="428A449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 прошел 50 часовые гос. испытания удовлетворительно 20 февраля 1931 года. Предъявляется на вооружение.</w:t>
            </w:r>
          </w:p>
        </w:tc>
      </w:tr>
      <w:tr w:rsidR="001002C3" w:rsidRPr="005E779E" w14:paraId="4E626981" w14:textId="77777777">
        <w:tc>
          <w:tcPr>
            <w:tcW w:w="3024" w:type="dxa"/>
          </w:tcPr>
          <w:p w14:paraId="65A0752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мотора</w:t>
            </w:r>
          </w:p>
        </w:tc>
        <w:tc>
          <w:tcPr>
            <w:tcW w:w="7432" w:type="dxa"/>
          </w:tcPr>
          <w:p w14:paraId="57BB7AC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истребителей М-15а</w:t>
            </w:r>
          </w:p>
        </w:tc>
      </w:tr>
      <w:tr w:rsidR="001002C3" w:rsidRPr="005E779E" w14:paraId="70D4B4D3" w14:textId="77777777">
        <w:tc>
          <w:tcPr>
            <w:tcW w:w="3024" w:type="dxa"/>
          </w:tcPr>
          <w:p w14:paraId="307656B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Кто строит</w:t>
            </w:r>
          </w:p>
        </w:tc>
        <w:tc>
          <w:tcPr>
            <w:tcW w:w="7432" w:type="dxa"/>
          </w:tcPr>
          <w:p w14:paraId="46E8ECE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w:t>
            </w:r>
          </w:p>
        </w:tc>
      </w:tr>
      <w:tr w:rsidR="001002C3" w:rsidRPr="005E779E" w14:paraId="08B216E8" w14:textId="77777777">
        <w:tc>
          <w:tcPr>
            <w:tcW w:w="3024" w:type="dxa"/>
          </w:tcPr>
          <w:p w14:paraId="2B2A063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Охлаждение</w:t>
            </w:r>
          </w:p>
        </w:tc>
        <w:tc>
          <w:tcPr>
            <w:tcW w:w="7432" w:type="dxa"/>
          </w:tcPr>
          <w:p w14:paraId="063DB76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Воздушное</w:t>
            </w:r>
          </w:p>
        </w:tc>
      </w:tr>
      <w:tr w:rsidR="001002C3" w:rsidRPr="005E779E" w14:paraId="732D308A" w14:textId="77777777">
        <w:tc>
          <w:tcPr>
            <w:tcW w:w="3024" w:type="dxa"/>
          </w:tcPr>
          <w:p w14:paraId="33257B0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Мощность</w:t>
            </w:r>
          </w:p>
        </w:tc>
        <w:tc>
          <w:tcPr>
            <w:tcW w:w="7432" w:type="dxa"/>
          </w:tcPr>
          <w:p w14:paraId="3FEC9C1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w:t>
            </w:r>
          </w:p>
        </w:tc>
      </w:tr>
      <w:tr w:rsidR="001002C3" w:rsidRPr="005E779E" w14:paraId="515C7CCC" w14:textId="77777777">
        <w:tc>
          <w:tcPr>
            <w:tcW w:w="3024" w:type="dxa"/>
          </w:tcPr>
          <w:p w14:paraId="27AC069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Новый срок представления на гос. испытания</w:t>
            </w:r>
          </w:p>
        </w:tc>
        <w:tc>
          <w:tcPr>
            <w:tcW w:w="7432" w:type="dxa"/>
          </w:tcPr>
          <w:p w14:paraId="0D85641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мая 1931 года</w:t>
            </w:r>
          </w:p>
        </w:tc>
      </w:tr>
      <w:tr w:rsidR="001002C3" w:rsidRPr="005E779E" w14:paraId="59100804" w14:textId="77777777">
        <w:tc>
          <w:tcPr>
            <w:tcW w:w="3024" w:type="dxa"/>
          </w:tcPr>
          <w:p w14:paraId="642C86C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15 мая 1931 года</w:t>
            </w:r>
          </w:p>
        </w:tc>
        <w:tc>
          <w:tcPr>
            <w:tcW w:w="7432" w:type="dxa"/>
          </w:tcPr>
          <w:p w14:paraId="1B3B9D5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исполнению не принят.</w:t>
            </w:r>
          </w:p>
        </w:tc>
      </w:tr>
      <w:tr w:rsidR="001002C3" w:rsidRPr="005E779E" w14:paraId="7BDF3471" w14:textId="77777777">
        <w:tc>
          <w:tcPr>
            <w:tcW w:w="3024" w:type="dxa"/>
          </w:tcPr>
          <w:p w14:paraId="5710737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мотора</w:t>
            </w:r>
          </w:p>
        </w:tc>
        <w:tc>
          <w:tcPr>
            <w:tcW w:w="7432" w:type="dxa"/>
          </w:tcPr>
          <w:p w14:paraId="2D2B942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тяжелых бомбардировщиков М-35</w:t>
            </w:r>
          </w:p>
        </w:tc>
      </w:tr>
      <w:tr w:rsidR="001002C3" w:rsidRPr="005E779E" w14:paraId="6B8ED816" w14:textId="77777777">
        <w:tc>
          <w:tcPr>
            <w:tcW w:w="3024" w:type="dxa"/>
          </w:tcPr>
          <w:p w14:paraId="3CEBCD8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Кто строит</w:t>
            </w:r>
          </w:p>
        </w:tc>
        <w:tc>
          <w:tcPr>
            <w:tcW w:w="7432" w:type="dxa"/>
          </w:tcPr>
          <w:p w14:paraId="3D39C03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ИАМ</w:t>
            </w:r>
          </w:p>
        </w:tc>
      </w:tr>
      <w:tr w:rsidR="001002C3" w:rsidRPr="005E779E" w14:paraId="12481E89" w14:textId="77777777">
        <w:tc>
          <w:tcPr>
            <w:tcW w:w="3024" w:type="dxa"/>
          </w:tcPr>
          <w:p w14:paraId="6204BE5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Охлаждение</w:t>
            </w:r>
          </w:p>
        </w:tc>
        <w:tc>
          <w:tcPr>
            <w:tcW w:w="7432" w:type="dxa"/>
          </w:tcPr>
          <w:p w14:paraId="6B074DF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Водяное</w:t>
            </w:r>
          </w:p>
        </w:tc>
      </w:tr>
      <w:tr w:rsidR="001002C3" w:rsidRPr="005E779E" w14:paraId="1F4EC41D" w14:textId="77777777">
        <w:tc>
          <w:tcPr>
            <w:tcW w:w="3024" w:type="dxa"/>
          </w:tcPr>
          <w:p w14:paraId="73C81AA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Мощность</w:t>
            </w:r>
          </w:p>
        </w:tc>
        <w:tc>
          <w:tcPr>
            <w:tcW w:w="7432" w:type="dxa"/>
          </w:tcPr>
          <w:p w14:paraId="5EB34AF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1250-1500</w:t>
            </w:r>
          </w:p>
        </w:tc>
      </w:tr>
      <w:tr w:rsidR="001002C3" w:rsidRPr="005E779E" w14:paraId="4150A0F8" w14:textId="77777777">
        <w:tc>
          <w:tcPr>
            <w:tcW w:w="3024" w:type="dxa"/>
          </w:tcPr>
          <w:p w14:paraId="2BC647B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Новый срок представления на гос. испытания</w:t>
            </w:r>
          </w:p>
        </w:tc>
        <w:tc>
          <w:tcPr>
            <w:tcW w:w="7432" w:type="dxa"/>
          </w:tcPr>
          <w:p w14:paraId="70BA977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мая 1932 года</w:t>
            </w:r>
          </w:p>
        </w:tc>
      </w:tr>
      <w:tr w:rsidR="001002C3" w:rsidRPr="005E779E" w14:paraId="61165725" w14:textId="77777777">
        <w:tc>
          <w:tcPr>
            <w:tcW w:w="3024" w:type="dxa"/>
          </w:tcPr>
          <w:p w14:paraId="4D3C188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15 мая 1931 года</w:t>
            </w:r>
          </w:p>
        </w:tc>
        <w:tc>
          <w:tcPr>
            <w:tcW w:w="7432" w:type="dxa"/>
          </w:tcPr>
          <w:p w14:paraId="15866D2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 будет развитием М-34. Работы по этому мотору будут вестись в зависимости от удачи с мотором М-34.</w:t>
            </w:r>
          </w:p>
        </w:tc>
      </w:tr>
      <w:tr w:rsidR="001002C3" w:rsidRPr="005E779E" w14:paraId="2727037D" w14:textId="77777777">
        <w:tc>
          <w:tcPr>
            <w:tcW w:w="3024" w:type="dxa"/>
          </w:tcPr>
          <w:p w14:paraId="311A087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мотора</w:t>
            </w:r>
          </w:p>
        </w:tc>
        <w:tc>
          <w:tcPr>
            <w:tcW w:w="7432" w:type="dxa"/>
          </w:tcPr>
          <w:p w14:paraId="4EC2EDB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Нефтяные моторы</w:t>
            </w:r>
          </w:p>
        </w:tc>
      </w:tr>
      <w:tr w:rsidR="001002C3" w:rsidRPr="005E779E" w14:paraId="20F597DB" w14:textId="77777777">
        <w:tc>
          <w:tcPr>
            <w:tcW w:w="3024" w:type="dxa"/>
          </w:tcPr>
          <w:p w14:paraId="1EBDA31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15 мая 1931 года</w:t>
            </w:r>
          </w:p>
        </w:tc>
        <w:tc>
          <w:tcPr>
            <w:tcW w:w="7432" w:type="dxa"/>
          </w:tcPr>
          <w:p w14:paraId="6C2734B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ИАМом в 1932 году будут проектироваться три нефтяных двигателя:</w:t>
            </w:r>
          </w:p>
          <w:p w14:paraId="371D947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 л.с. для ГВФ</w:t>
            </w:r>
          </w:p>
          <w:p w14:paraId="04D5603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500-600 л.с. для ВВС</w:t>
            </w:r>
          </w:p>
          <w:p w14:paraId="08D7EBC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600-800 л.с. для дирижаблей</w:t>
            </w:r>
          </w:p>
          <w:p w14:paraId="5E7DF38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Технические требования еще не разработаны и срок предъявления не проработан.</w:t>
            </w:r>
          </w:p>
        </w:tc>
      </w:tr>
    </w:tbl>
    <w:p w14:paraId="08CF7D6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По самолетам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7432"/>
      </w:tblGrid>
      <w:tr w:rsidR="001002C3" w:rsidRPr="005E779E" w14:paraId="2586F343" w14:textId="77777777">
        <w:tc>
          <w:tcPr>
            <w:tcW w:w="3024" w:type="dxa"/>
          </w:tcPr>
          <w:p w14:paraId="1B0AD84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432" w:type="dxa"/>
          </w:tcPr>
          <w:p w14:paraId="0A16BE1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ТБ-4</w:t>
            </w:r>
          </w:p>
        </w:tc>
      </w:tr>
      <w:tr w:rsidR="001002C3" w:rsidRPr="005E779E" w14:paraId="0E8DF5AD" w14:textId="77777777">
        <w:tc>
          <w:tcPr>
            <w:tcW w:w="3024" w:type="dxa"/>
          </w:tcPr>
          <w:p w14:paraId="452F1DB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Кто строит</w:t>
            </w:r>
          </w:p>
        </w:tc>
        <w:tc>
          <w:tcPr>
            <w:tcW w:w="7432" w:type="dxa"/>
          </w:tcPr>
          <w:p w14:paraId="3B92ECA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w:t>
            </w:r>
          </w:p>
        </w:tc>
      </w:tr>
      <w:tr w:rsidR="001002C3" w:rsidRPr="005E779E" w14:paraId="2D19AB82" w14:textId="77777777">
        <w:tc>
          <w:tcPr>
            <w:tcW w:w="3024" w:type="dxa"/>
          </w:tcPr>
          <w:p w14:paraId="77169EF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горизонтальная скорость/на высоте</w:t>
            </w:r>
          </w:p>
        </w:tc>
        <w:tc>
          <w:tcPr>
            <w:tcW w:w="7432" w:type="dxa"/>
          </w:tcPr>
          <w:p w14:paraId="39DEA2D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1002C3" w:rsidRPr="005E779E" w14:paraId="341C78F3" w14:textId="77777777">
        <w:tc>
          <w:tcPr>
            <w:tcW w:w="3024" w:type="dxa"/>
          </w:tcPr>
          <w:p w14:paraId="4CD563C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Скороподъемность/на высоту</w:t>
            </w:r>
          </w:p>
        </w:tc>
        <w:tc>
          <w:tcPr>
            <w:tcW w:w="7432" w:type="dxa"/>
          </w:tcPr>
          <w:p w14:paraId="3162BDE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1002C3" w:rsidRPr="005E779E" w14:paraId="16142E0C" w14:textId="77777777">
        <w:tc>
          <w:tcPr>
            <w:tcW w:w="3024" w:type="dxa"/>
          </w:tcPr>
          <w:p w14:paraId="4358CBE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Потолок</w:t>
            </w:r>
          </w:p>
        </w:tc>
        <w:tc>
          <w:tcPr>
            <w:tcW w:w="7432" w:type="dxa"/>
          </w:tcPr>
          <w:p w14:paraId="4094588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1002C3" w:rsidRPr="005E779E" w14:paraId="53ED967A" w14:textId="77777777">
        <w:tc>
          <w:tcPr>
            <w:tcW w:w="3024" w:type="dxa"/>
          </w:tcPr>
          <w:p w14:paraId="1F374C6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7432" w:type="dxa"/>
          </w:tcPr>
          <w:p w14:paraId="277A5D7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пулеметов</w:t>
            </w:r>
          </w:p>
          <w:p w14:paraId="1C6150F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пушки</w:t>
            </w:r>
          </w:p>
          <w:p w14:paraId="5C6CC5D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перегрузкой 25% 6000 кг бомб</w:t>
            </w:r>
          </w:p>
        </w:tc>
      </w:tr>
      <w:tr w:rsidR="001002C3" w:rsidRPr="005E779E" w14:paraId="6582F3D0" w14:textId="77777777">
        <w:tc>
          <w:tcPr>
            <w:tcW w:w="3024" w:type="dxa"/>
          </w:tcPr>
          <w:p w14:paraId="5CB29EF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w:t>
            </w:r>
          </w:p>
        </w:tc>
        <w:tc>
          <w:tcPr>
            <w:tcW w:w="7432" w:type="dxa"/>
          </w:tcPr>
          <w:p w14:paraId="4B8918A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w:t>
            </w:r>
          </w:p>
        </w:tc>
      </w:tr>
      <w:tr w:rsidR="001002C3" w:rsidRPr="005E779E" w14:paraId="1AD22889" w14:textId="77777777">
        <w:tc>
          <w:tcPr>
            <w:tcW w:w="3024" w:type="dxa"/>
          </w:tcPr>
          <w:p w14:paraId="6BD0612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предъявления на гос. испытания</w:t>
            </w:r>
          </w:p>
        </w:tc>
        <w:tc>
          <w:tcPr>
            <w:tcW w:w="7432" w:type="dxa"/>
          </w:tcPr>
          <w:p w14:paraId="342C194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декабря 1931 года</w:t>
            </w:r>
          </w:p>
        </w:tc>
      </w:tr>
      <w:tr w:rsidR="001002C3" w:rsidRPr="005E779E" w14:paraId="2C769976" w14:textId="77777777">
        <w:tc>
          <w:tcPr>
            <w:tcW w:w="3024" w:type="dxa"/>
          </w:tcPr>
          <w:p w14:paraId="0B69D9A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15 мая 1931 года</w:t>
            </w:r>
          </w:p>
        </w:tc>
        <w:tc>
          <w:tcPr>
            <w:tcW w:w="7432" w:type="dxa"/>
          </w:tcPr>
          <w:p w14:paraId="76CF92E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Постановлением РВС от 3 февраля 1931 года утверждены основные данные нагрузок самолета, принято решение о проектировании самолета под 4хМ35 или 6хМ34 с установкой на опытный самолет 6 моторов Роллс Ройс с НХII и о постройке двух вариантов первого дюр алюминиевого с площадью крыльев 410 м кв. и второго стального с площадью крыльев 340 м кв.</w:t>
            </w:r>
          </w:p>
          <w:p w14:paraId="144309A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Утверждены схемы самолета ТБ4 (с площадью крыльев 410 м кв.) и макет в части кабин летчиков и командира. В ЦАГИ развернуты работы по постройке самолета. Происходит сборка хвостовой части фюзеляжа. Дан в Англию заказ на моторы Роллс Ройс с НХII.</w:t>
            </w:r>
          </w:p>
          <w:p w14:paraId="6AD5F07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Наблюдающий инженер Межак.</w:t>
            </w:r>
          </w:p>
        </w:tc>
      </w:tr>
      <w:tr w:rsidR="001002C3" w:rsidRPr="005E779E" w14:paraId="2B396E5D" w14:textId="77777777">
        <w:tc>
          <w:tcPr>
            <w:tcW w:w="3024" w:type="dxa"/>
          </w:tcPr>
          <w:p w14:paraId="5CEA1F8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432" w:type="dxa"/>
          </w:tcPr>
          <w:p w14:paraId="1CC7775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ТБ5-4ЮVI</w:t>
            </w:r>
          </w:p>
        </w:tc>
      </w:tr>
      <w:tr w:rsidR="001002C3" w:rsidRPr="005E779E" w14:paraId="3F86A753" w14:textId="77777777">
        <w:tc>
          <w:tcPr>
            <w:tcW w:w="3024" w:type="dxa"/>
          </w:tcPr>
          <w:p w14:paraId="554BBD0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Кто строит</w:t>
            </w:r>
          </w:p>
        </w:tc>
        <w:tc>
          <w:tcPr>
            <w:tcW w:w="7432" w:type="dxa"/>
          </w:tcPr>
          <w:p w14:paraId="559E935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w:t>
            </w:r>
          </w:p>
        </w:tc>
      </w:tr>
      <w:tr w:rsidR="001002C3" w:rsidRPr="005E779E" w14:paraId="6DFAB667" w14:textId="77777777">
        <w:tc>
          <w:tcPr>
            <w:tcW w:w="3024" w:type="dxa"/>
          </w:tcPr>
          <w:p w14:paraId="2BCE02A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горизонтальная скорость/на высоте</w:t>
            </w:r>
          </w:p>
        </w:tc>
        <w:tc>
          <w:tcPr>
            <w:tcW w:w="7432" w:type="dxa"/>
          </w:tcPr>
          <w:p w14:paraId="1947AE6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208/3000</w:t>
            </w:r>
          </w:p>
        </w:tc>
      </w:tr>
      <w:tr w:rsidR="001002C3" w:rsidRPr="005E779E" w14:paraId="264F9CDE" w14:textId="77777777">
        <w:tc>
          <w:tcPr>
            <w:tcW w:w="3024" w:type="dxa"/>
          </w:tcPr>
          <w:p w14:paraId="4634797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Скороподъемность/на высоту</w:t>
            </w:r>
          </w:p>
        </w:tc>
        <w:tc>
          <w:tcPr>
            <w:tcW w:w="7432" w:type="dxa"/>
          </w:tcPr>
          <w:p w14:paraId="6624A15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19/3000</w:t>
            </w:r>
          </w:p>
        </w:tc>
      </w:tr>
      <w:tr w:rsidR="001002C3" w:rsidRPr="005E779E" w14:paraId="0EE3361D" w14:textId="77777777">
        <w:tc>
          <w:tcPr>
            <w:tcW w:w="3024" w:type="dxa"/>
          </w:tcPr>
          <w:p w14:paraId="5741C4F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Потолок</w:t>
            </w:r>
          </w:p>
        </w:tc>
        <w:tc>
          <w:tcPr>
            <w:tcW w:w="7432" w:type="dxa"/>
          </w:tcPr>
          <w:p w14:paraId="112D38A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r>
      <w:tr w:rsidR="001002C3" w:rsidRPr="005E779E" w14:paraId="60CA6059" w14:textId="77777777">
        <w:tc>
          <w:tcPr>
            <w:tcW w:w="3024" w:type="dxa"/>
          </w:tcPr>
          <w:p w14:paraId="3D9FA90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7432" w:type="dxa"/>
          </w:tcPr>
          <w:p w14:paraId="3124A87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6-10 пулеметов</w:t>
            </w:r>
          </w:p>
          <w:p w14:paraId="665EDFA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1500 кг бомб</w:t>
            </w:r>
          </w:p>
          <w:p w14:paraId="60B6D30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перегрузкой и за счет горючего 4000 кг бомб</w:t>
            </w:r>
          </w:p>
        </w:tc>
      </w:tr>
      <w:tr w:rsidR="001002C3" w:rsidRPr="005E779E" w14:paraId="5A3444A6" w14:textId="77777777">
        <w:tc>
          <w:tcPr>
            <w:tcW w:w="3024" w:type="dxa"/>
          </w:tcPr>
          <w:p w14:paraId="4EDF27F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w:t>
            </w:r>
          </w:p>
        </w:tc>
        <w:tc>
          <w:tcPr>
            <w:tcW w:w="7432" w:type="dxa"/>
          </w:tcPr>
          <w:p w14:paraId="620E508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w:t>
            </w:r>
          </w:p>
        </w:tc>
      </w:tr>
      <w:tr w:rsidR="001002C3" w:rsidRPr="005E779E" w14:paraId="4AAD59FD" w14:textId="77777777">
        <w:tc>
          <w:tcPr>
            <w:tcW w:w="3024" w:type="dxa"/>
          </w:tcPr>
          <w:p w14:paraId="223A8CF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предъявления на гос. испытания</w:t>
            </w:r>
          </w:p>
        </w:tc>
        <w:tc>
          <w:tcPr>
            <w:tcW w:w="7432" w:type="dxa"/>
          </w:tcPr>
          <w:p w14:paraId="3B3DBDF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мая 1931 года</w:t>
            </w:r>
          </w:p>
        </w:tc>
      </w:tr>
      <w:tr w:rsidR="001002C3" w:rsidRPr="005E779E" w14:paraId="4C951915" w14:textId="77777777">
        <w:tc>
          <w:tcPr>
            <w:tcW w:w="3024" w:type="dxa"/>
          </w:tcPr>
          <w:p w14:paraId="77620DA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15 мая 1931 года</w:t>
            </w:r>
          </w:p>
        </w:tc>
        <w:tc>
          <w:tcPr>
            <w:tcW w:w="7432" w:type="dxa"/>
          </w:tcPr>
          <w:p w14:paraId="07B2E29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Проектирование самолета закончено. Ведется постройка. Ввиду недостатка квалифицированной рабочей силы на заводе № 39 самолет постройкой задерживается. Заводом предложена передача его на гос. испытания в первой половине июля 1931 года с запозданием против срока по плану на 2 месяца.</w:t>
            </w:r>
          </w:p>
          <w:p w14:paraId="74AA83F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Наблюдающий инженер Вахмистров.</w:t>
            </w:r>
          </w:p>
        </w:tc>
      </w:tr>
      <w:tr w:rsidR="001002C3" w:rsidRPr="005E779E" w14:paraId="2612DEA8" w14:textId="77777777">
        <w:tc>
          <w:tcPr>
            <w:tcW w:w="3024" w:type="dxa"/>
          </w:tcPr>
          <w:p w14:paraId="0EF014C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432" w:type="dxa"/>
          </w:tcPr>
          <w:p w14:paraId="2B5990C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МИ3-М17</w:t>
            </w:r>
          </w:p>
        </w:tc>
      </w:tr>
      <w:tr w:rsidR="001002C3" w:rsidRPr="005E779E" w14:paraId="03D013BA" w14:textId="77777777">
        <w:tc>
          <w:tcPr>
            <w:tcW w:w="3024" w:type="dxa"/>
          </w:tcPr>
          <w:p w14:paraId="3CF4A2C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Кто строит</w:t>
            </w:r>
          </w:p>
        </w:tc>
        <w:tc>
          <w:tcPr>
            <w:tcW w:w="7432" w:type="dxa"/>
          </w:tcPr>
          <w:p w14:paraId="1014AA2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w:t>
            </w:r>
          </w:p>
        </w:tc>
      </w:tr>
      <w:tr w:rsidR="001002C3" w:rsidRPr="005E779E" w14:paraId="6B787B15" w14:textId="77777777">
        <w:tc>
          <w:tcPr>
            <w:tcW w:w="3024" w:type="dxa"/>
          </w:tcPr>
          <w:p w14:paraId="6091889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горизонтальная скорость/на высоте</w:t>
            </w:r>
          </w:p>
        </w:tc>
        <w:tc>
          <w:tcPr>
            <w:tcW w:w="7432" w:type="dxa"/>
          </w:tcPr>
          <w:p w14:paraId="4A3196F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260/5000</w:t>
            </w:r>
          </w:p>
        </w:tc>
      </w:tr>
      <w:tr w:rsidR="001002C3" w:rsidRPr="005E779E" w14:paraId="775735B4" w14:textId="77777777">
        <w:tc>
          <w:tcPr>
            <w:tcW w:w="3024" w:type="dxa"/>
          </w:tcPr>
          <w:p w14:paraId="0816C52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Скороподъемность/на высоту</w:t>
            </w:r>
          </w:p>
        </w:tc>
        <w:tc>
          <w:tcPr>
            <w:tcW w:w="7432" w:type="dxa"/>
          </w:tcPr>
          <w:p w14:paraId="6C96FC3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10,5/13,5/5000</w:t>
            </w:r>
          </w:p>
        </w:tc>
      </w:tr>
      <w:tr w:rsidR="001002C3" w:rsidRPr="005E779E" w14:paraId="2AE62D24" w14:textId="77777777">
        <w:tc>
          <w:tcPr>
            <w:tcW w:w="3024" w:type="dxa"/>
          </w:tcPr>
          <w:p w14:paraId="67B4255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Потолок</w:t>
            </w:r>
          </w:p>
        </w:tc>
        <w:tc>
          <w:tcPr>
            <w:tcW w:w="7432" w:type="dxa"/>
          </w:tcPr>
          <w:p w14:paraId="05084FB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ABC71A9" w14:textId="77777777">
        <w:tc>
          <w:tcPr>
            <w:tcW w:w="3024" w:type="dxa"/>
          </w:tcPr>
          <w:p w14:paraId="5B5E90D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7432" w:type="dxa"/>
          </w:tcPr>
          <w:p w14:paraId="55E8B03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пулемета</w:t>
            </w:r>
          </w:p>
        </w:tc>
      </w:tr>
      <w:tr w:rsidR="001002C3" w:rsidRPr="005E779E" w14:paraId="42AC9C5C" w14:textId="77777777">
        <w:tc>
          <w:tcPr>
            <w:tcW w:w="3024" w:type="dxa"/>
          </w:tcPr>
          <w:p w14:paraId="0A61582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w:t>
            </w:r>
          </w:p>
        </w:tc>
        <w:tc>
          <w:tcPr>
            <w:tcW w:w="7432" w:type="dxa"/>
          </w:tcPr>
          <w:p w14:paraId="537ECDD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250-275</w:t>
            </w:r>
          </w:p>
        </w:tc>
      </w:tr>
      <w:tr w:rsidR="001002C3" w:rsidRPr="005E779E" w14:paraId="084D3660" w14:textId="77777777">
        <w:tc>
          <w:tcPr>
            <w:tcW w:w="3024" w:type="dxa"/>
          </w:tcPr>
          <w:p w14:paraId="72F73FA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предъявления на гос. испытания</w:t>
            </w:r>
          </w:p>
        </w:tc>
        <w:tc>
          <w:tcPr>
            <w:tcW w:w="7432" w:type="dxa"/>
          </w:tcPr>
          <w:p w14:paraId="1252A9E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февраля 1931 года</w:t>
            </w:r>
          </w:p>
        </w:tc>
      </w:tr>
      <w:tr w:rsidR="001002C3" w:rsidRPr="005E779E" w14:paraId="7494C466" w14:textId="77777777">
        <w:tc>
          <w:tcPr>
            <w:tcW w:w="3024" w:type="dxa"/>
          </w:tcPr>
          <w:p w14:paraId="152BB57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 мая 1931 года</w:t>
            </w:r>
          </w:p>
        </w:tc>
        <w:tc>
          <w:tcPr>
            <w:tcW w:w="7432" w:type="dxa"/>
          </w:tcPr>
          <w:p w14:paraId="48DDD06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Первые заводские полеты самолет сделал в начале января 1931 года. В течение квартала ЦКБ завода № 39 вело заводские испытания, подбор винтов и устранение ряда выявленных дефектов. Самолет передан на гос. испытания в последних числах апреля 1931 года с запозданием против срока по плану на 3 месяца. Ведущиеся гос. испытания показывают невыполнение техтребований в части скорости и скороподъемности.</w:t>
            </w:r>
          </w:p>
          <w:p w14:paraId="0091CDE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Наблюдающий инженер Межак.</w:t>
            </w:r>
          </w:p>
        </w:tc>
      </w:tr>
      <w:tr w:rsidR="001002C3" w:rsidRPr="005E779E" w14:paraId="6254B36F" w14:textId="77777777">
        <w:tc>
          <w:tcPr>
            <w:tcW w:w="3024" w:type="dxa"/>
          </w:tcPr>
          <w:p w14:paraId="0A3F60B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Наименование самолета</w:t>
            </w:r>
          </w:p>
        </w:tc>
        <w:tc>
          <w:tcPr>
            <w:tcW w:w="7432" w:type="dxa"/>
          </w:tcPr>
          <w:p w14:paraId="3C6DFB7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МИ3-2хМ34</w:t>
            </w:r>
          </w:p>
        </w:tc>
      </w:tr>
      <w:tr w:rsidR="001002C3" w:rsidRPr="005E779E" w14:paraId="1B8B5E95" w14:textId="77777777">
        <w:tc>
          <w:tcPr>
            <w:tcW w:w="3024" w:type="dxa"/>
          </w:tcPr>
          <w:p w14:paraId="667493C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Кто строит</w:t>
            </w:r>
          </w:p>
        </w:tc>
        <w:tc>
          <w:tcPr>
            <w:tcW w:w="7432" w:type="dxa"/>
          </w:tcPr>
          <w:p w14:paraId="2156D73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w:t>
            </w:r>
          </w:p>
        </w:tc>
      </w:tr>
      <w:tr w:rsidR="001002C3" w:rsidRPr="005E779E" w14:paraId="60C6401E" w14:textId="77777777">
        <w:tc>
          <w:tcPr>
            <w:tcW w:w="3024" w:type="dxa"/>
          </w:tcPr>
          <w:p w14:paraId="4CB8286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горизонтальная скорость/на высоте</w:t>
            </w:r>
          </w:p>
        </w:tc>
        <w:tc>
          <w:tcPr>
            <w:tcW w:w="7432" w:type="dxa"/>
          </w:tcPr>
          <w:p w14:paraId="4FF40DE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300/3000-6000</w:t>
            </w:r>
          </w:p>
        </w:tc>
      </w:tr>
      <w:tr w:rsidR="001002C3" w:rsidRPr="005E779E" w14:paraId="7C25F8F4" w14:textId="77777777">
        <w:tc>
          <w:tcPr>
            <w:tcW w:w="3024" w:type="dxa"/>
          </w:tcPr>
          <w:p w14:paraId="309699A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Скороподъемность/на высоту</w:t>
            </w:r>
          </w:p>
        </w:tc>
        <w:tc>
          <w:tcPr>
            <w:tcW w:w="7432" w:type="dxa"/>
          </w:tcPr>
          <w:p w14:paraId="1C90DAC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13/5000</w:t>
            </w:r>
          </w:p>
        </w:tc>
      </w:tr>
      <w:tr w:rsidR="001002C3" w:rsidRPr="005E779E" w14:paraId="23334ADB" w14:textId="77777777">
        <w:tc>
          <w:tcPr>
            <w:tcW w:w="3024" w:type="dxa"/>
          </w:tcPr>
          <w:p w14:paraId="57CCA1B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Потолок</w:t>
            </w:r>
          </w:p>
        </w:tc>
        <w:tc>
          <w:tcPr>
            <w:tcW w:w="7432" w:type="dxa"/>
          </w:tcPr>
          <w:p w14:paraId="6065246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7000-8000</w:t>
            </w:r>
          </w:p>
        </w:tc>
      </w:tr>
      <w:tr w:rsidR="001002C3" w:rsidRPr="005E779E" w14:paraId="3383CDAC" w14:textId="77777777">
        <w:tc>
          <w:tcPr>
            <w:tcW w:w="3024" w:type="dxa"/>
          </w:tcPr>
          <w:p w14:paraId="01CB848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7432" w:type="dxa"/>
          </w:tcPr>
          <w:p w14:paraId="77A922F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тяжелых пулемета</w:t>
            </w:r>
          </w:p>
          <w:p w14:paraId="2EB010D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легкий пулемет</w:t>
            </w:r>
          </w:p>
        </w:tc>
      </w:tr>
      <w:tr w:rsidR="001002C3" w:rsidRPr="005E779E" w14:paraId="3288533B" w14:textId="77777777">
        <w:tc>
          <w:tcPr>
            <w:tcW w:w="3024" w:type="dxa"/>
          </w:tcPr>
          <w:p w14:paraId="6275FBB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w:t>
            </w:r>
          </w:p>
        </w:tc>
        <w:tc>
          <w:tcPr>
            <w:tcW w:w="7432" w:type="dxa"/>
          </w:tcPr>
          <w:p w14:paraId="6346E9E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w:t>
            </w:r>
          </w:p>
        </w:tc>
      </w:tr>
      <w:tr w:rsidR="001002C3" w:rsidRPr="005E779E" w14:paraId="52EB1ECD" w14:textId="77777777">
        <w:tc>
          <w:tcPr>
            <w:tcW w:w="3024" w:type="dxa"/>
          </w:tcPr>
          <w:p w14:paraId="32EDD22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предъявления на гос. испытания</w:t>
            </w:r>
          </w:p>
        </w:tc>
        <w:tc>
          <w:tcPr>
            <w:tcW w:w="7432" w:type="dxa"/>
          </w:tcPr>
          <w:p w14:paraId="68A311B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января 1932 года</w:t>
            </w:r>
          </w:p>
        </w:tc>
      </w:tr>
      <w:tr w:rsidR="001002C3" w:rsidRPr="005E779E" w14:paraId="1C7E7A6C" w14:textId="77777777">
        <w:tc>
          <w:tcPr>
            <w:tcW w:w="3024" w:type="dxa"/>
          </w:tcPr>
          <w:p w14:paraId="2109745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15 мая 1931 года</w:t>
            </w:r>
          </w:p>
        </w:tc>
        <w:tc>
          <w:tcPr>
            <w:tcW w:w="7432" w:type="dxa"/>
          </w:tcPr>
          <w:p w14:paraId="02C10D9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Утверждена схема самолета. Разработаны и представлены ЦАГИ техтребования. Начато проектирование самолета.</w:t>
            </w:r>
          </w:p>
          <w:p w14:paraId="4333277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Наблюдающий инженер Межак.</w:t>
            </w:r>
          </w:p>
        </w:tc>
      </w:tr>
      <w:tr w:rsidR="001002C3" w:rsidRPr="005E779E" w14:paraId="1C35FC4F" w14:textId="77777777">
        <w:tc>
          <w:tcPr>
            <w:tcW w:w="3024" w:type="dxa"/>
          </w:tcPr>
          <w:p w14:paraId="3B2B387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432" w:type="dxa"/>
          </w:tcPr>
          <w:p w14:paraId="0421B55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Р8-М27</w:t>
            </w:r>
          </w:p>
        </w:tc>
      </w:tr>
      <w:tr w:rsidR="001002C3" w:rsidRPr="005E779E" w14:paraId="0CBE7AD3" w14:textId="77777777">
        <w:tc>
          <w:tcPr>
            <w:tcW w:w="3024" w:type="dxa"/>
          </w:tcPr>
          <w:p w14:paraId="5E1D1D4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Кто строит</w:t>
            </w:r>
          </w:p>
        </w:tc>
        <w:tc>
          <w:tcPr>
            <w:tcW w:w="7432" w:type="dxa"/>
          </w:tcPr>
          <w:p w14:paraId="1DF9A1B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w:t>
            </w:r>
          </w:p>
        </w:tc>
      </w:tr>
      <w:tr w:rsidR="001002C3" w:rsidRPr="005E779E" w14:paraId="381B5CC8" w14:textId="77777777">
        <w:tc>
          <w:tcPr>
            <w:tcW w:w="3024" w:type="dxa"/>
          </w:tcPr>
          <w:p w14:paraId="027A95B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горизонтальная скорость/на высоте</w:t>
            </w:r>
          </w:p>
        </w:tc>
        <w:tc>
          <w:tcPr>
            <w:tcW w:w="7432" w:type="dxa"/>
          </w:tcPr>
          <w:p w14:paraId="33CF707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245/3000</w:t>
            </w:r>
          </w:p>
        </w:tc>
      </w:tr>
      <w:tr w:rsidR="001002C3" w:rsidRPr="005E779E" w14:paraId="1A9AF1F4" w14:textId="77777777">
        <w:tc>
          <w:tcPr>
            <w:tcW w:w="3024" w:type="dxa"/>
          </w:tcPr>
          <w:p w14:paraId="0CC3285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Скороподъемность/на высоту</w:t>
            </w:r>
          </w:p>
        </w:tc>
        <w:tc>
          <w:tcPr>
            <w:tcW w:w="7432" w:type="dxa"/>
          </w:tcPr>
          <w:p w14:paraId="35EE861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10/3000</w:t>
            </w:r>
          </w:p>
        </w:tc>
      </w:tr>
      <w:tr w:rsidR="001002C3" w:rsidRPr="005E779E" w14:paraId="1316B847" w14:textId="77777777">
        <w:tc>
          <w:tcPr>
            <w:tcW w:w="3024" w:type="dxa"/>
          </w:tcPr>
          <w:p w14:paraId="4540F01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Потолок</w:t>
            </w:r>
          </w:p>
        </w:tc>
        <w:tc>
          <w:tcPr>
            <w:tcW w:w="7432" w:type="dxa"/>
          </w:tcPr>
          <w:p w14:paraId="6746682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7000</w:t>
            </w:r>
          </w:p>
        </w:tc>
      </w:tr>
      <w:tr w:rsidR="001002C3" w:rsidRPr="005E779E" w14:paraId="214D8624" w14:textId="77777777">
        <w:tc>
          <w:tcPr>
            <w:tcW w:w="3024" w:type="dxa"/>
          </w:tcPr>
          <w:p w14:paraId="69A824E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7432" w:type="dxa"/>
          </w:tcPr>
          <w:p w14:paraId="729D8D9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пулемета</w:t>
            </w:r>
          </w:p>
        </w:tc>
      </w:tr>
      <w:tr w:rsidR="001002C3" w:rsidRPr="005E779E" w14:paraId="3DD2BCB0" w14:textId="77777777">
        <w:tc>
          <w:tcPr>
            <w:tcW w:w="3024" w:type="dxa"/>
          </w:tcPr>
          <w:p w14:paraId="361FD40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w:t>
            </w:r>
          </w:p>
        </w:tc>
        <w:tc>
          <w:tcPr>
            <w:tcW w:w="7432" w:type="dxa"/>
          </w:tcPr>
          <w:p w14:paraId="7E166FF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1002C3" w:rsidRPr="005E779E" w14:paraId="27488384" w14:textId="77777777">
        <w:tc>
          <w:tcPr>
            <w:tcW w:w="3024" w:type="dxa"/>
          </w:tcPr>
          <w:p w14:paraId="589D70F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предъявления на гос. испытания</w:t>
            </w:r>
          </w:p>
        </w:tc>
        <w:tc>
          <w:tcPr>
            <w:tcW w:w="7432" w:type="dxa"/>
          </w:tcPr>
          <w:p w14:paraId="2B02D8E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мая 1931 года</w:t>
            </w:r>
          </w:p>
        </w:tc>
      </w:tr>
      <w:tr w:rsidR="001002C3" w:rsidRPr="005E779E" w14:paraId="3BC11DBE" w14:textId="77777777">
        <w:tc>
          <w:tcPr>
            <w:tcW w:w="3024" w:type="dxa"/>
          </w:tcPr>
          <w:p w14:paraId="23EA381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15 мая 1931 года</w:t>
            </w:r>
          </w:p>
        </w:tc>
        <w:tc>
          <w:tcPr>
            <w:tcW w:w="7432" w:type="dxa"/>
          </w:tcPr>
          <w:p w14:paraId="6B77B69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Переработаны и представлены ЦКБ завода № 39 в окончательном виде техтребования на самолет. Завод остановился на схеме моноплана двухвостки с кольчугалюминиевыми крыльями взамен разработанного ранее полутораплана с деревянными крыльями. Решение принятое заводом опротестовывается ввиду недопустимости базирования на кольчугалюминий для самолетов среднего веса. Завод № 39 (ЦКБ) предполагает передать самолет на гос. испытания в августе с запозданием против срока по плану более чем на три месяца.</w:t>
            </w:r>
          </w:p>
          <w:p w14:paraId="6AA44A3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Наблюдающий инженер Полехин.</w:t>
            </w:r>
          </w:p>
        </w:tc>
      </w:tr>
      <w:tr w:rsidR="001002C3" w:rsidRPr="005E779E" w14:paraId="6D93C2C1" w14:textId="77777777">
        <w:tc>
          <w:tcPr>
            <w:tcW w:w="3024" w:type="dxa"/>
          </w:tcPr>
          <w:p w14:paraId="7A9EC71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432" w:type="dxa"/>
          </w:tcPr>
          <w:p w14:paraId="384942C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Р8-М34</w:t>
            </w:r>
          </w:p>
        </w:tc>
      </w:tr>
      <w:tr w:rsidR="001002C3" w:rsidRPr="005E779E" w14:paraId="45BFB7B9" w14:textId="77777777">
        <w:tc>
          <w:tcPr>
            <w:tcW w:w="3024" w:type="dxa"/>
          </w:tcPr>
          <w:p w14:paraId="58A3469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Кто строит</w:t>
            </w:r>
          </w:p>
        </w:tc>
        <w:tc>
          <w:tcPr>
            <w:tcW w:w="7432" w:type="dxa"/>
          </w:tcPr>
          <w:p w14:paraId="0AD919C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w:t>
            </w:r>
          </w:p>
        </w:tc>
      </w:tr>
      <w:tr w:rsidR="001002C3" w:rsidRPr="005E779E" w14:paraId="66DA9C91" w14:textId="77777777">
        <w:tc>
          <w:tcPr>
            <w:tcW w:w="3024" w:type="dxa"/>
          </w:tcPr>
          <w:p w14:paraId="66F7FD6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горизонтальная скорость/на высоте</w:t>
            </w:r>
          </w:p>
        </w:tc>
        <w:tc>
          <w:tcPr>
            <w:tcW w:w="7432" w:type="dxa"/>
          </w:tcPr>
          <w:p w14:paraId="52C190B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250/3000</w:t>
            </w:r>
          </w:p>
        </w:tc>
      </w:tr>
      <w:tr w:rsidR="001002C3" w:rsidRPr="005E779E" w14:paraId="2ACBC0F6" w14:textId="77777777">
        <w:tc>
          <w:tcPr>
            <w:tcW w:w="3024" w:type="dxa"/>
          </w:tcPr>
          <w:p w14:paraId="6BB554D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Скороподъемность/на высоту</w:t>
            </w:r>
          </w:p>
        </w:tc>
        <w:tc>
          <w:tcPr>
            <w:tcW w:w="7432" w:type="dxa"/>
          </w:tcPr>
          <w:p w14:paraId="2683D69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8/10/3000</w:t>
            </w:r>
          </w:p>
        </w:tc>
      </w:tr>
      <w:tr w:rsidR="001002C3" w:rsidRPr="005E779E" w14:paraId="34CEC30F" w14:textId="77777777">
        <w:tc>
          <w:tcPr>
            <w:tcW w:w="3024" w:type="dxa"/>
          </w:tcPr>
          <w:p w14:paraId="65B664F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Потолок</w:t>
            </w:r>
          </w:p>
        </w:tc>
        <w:tc>
          <w:tcPr>
            <w:tcW w:w="7432" w:type="dxa"/>
          </w:tcPr>
          <w:p w14:paraId="214D7D5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7000-7500</w:t>
            </w:r>
          </w:p>
        </w:tc>
      </w:tr>
      <w:tr w:rsidR="001002C3" w:rsidRPr="005E779E" w14:paraId="48C7BACE" w14:textId="77777777">
        <w:tc>
          <w:tcPr>
            <w:tcW w:w="3024" w:type="dxa"/>
          </w:tcPr>
          <w:p w14:paraId="7B1DD65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7432" w:type="dxa"/>
          </w:tcPr>
          <w:p w14:paraId="42B5854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пулемета</w:t>
            </w:r>
          </w:p>
        </w:tc>
      </w:tr>
      <w:tr w:rsidR="001002C3" w:rsidRPr="005E779E" w14:paraId="169F53E3" w14:textId="77777777">
        <w:tc>
          <w:tcPr>
            <w:tcW w:w="3024" w:type="dxa"/>
          </w:tcPr>
          <w:p w14:paraId="315656E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w:t>
            </w:r>
          </w:p>
        </w:tc>
        <w:tc>
          <w:tcPr>
            <w:tcW w:w="7432" w:type="dxa"/>
          </w:tcPr>
          <w:p w14:paraId="58502B7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650-750</w:t>
            </w:r>
          </w:p>
        </w:tc>
      </w:tr>
      <w:tr w:rsidR="001002C3" w:rsidRPr="005E779E" w14:paraId="30C8BD11" w14:textId="77777777">
        <w:tc>
          <w:tcPr>
            <w:tcW w:w="3024" w:type="dxa"/>
          </w:tcPr>
          <w:p w14:paraId="7961EA0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предъявления на гос. испытания</w:t>
            </w:r>
          </w:p>
        </w:tc>
        <w:tc>
          <w:tcPr>
            <w:tcW w:w="7432" w:type="dxa"/>
          </w:tcPr>
          <w:p w14:paraId="3C5C021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октября 1931 года</w:t>
            </w:r>
          </w:p>
        </w:tc>
      </w:tr>
      <w:tr w:rsidR="001002C3" w:rsidRPr="005E779E" w14:paraId="3735A4AD" w14:textId="77777777">
        <w:tc>
          <w:tcPr>
            <w:tcW w:w="3024" w:type="dxa"/>
          </w:tcPr>
          <w:p w14:paraId="2009FC0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15 мая 1931 года</w:t>
            </w:r>
          </w:p>
        </w:tc>
        <w:tc>
          <w:tcPr>
            <w:tcW w:w="7432" w:type="dxa"/>
          </w:tcPr>
          <w:p w14:paraId="3A179ED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Работа не начата.</w:t>
            </w:r>
          </w:p>
        </w:tc>
      </w:tr>
      <w:tr w:rsidR="001002C3" w:rsidRPr="005E779E" w14:paraId="155AAC62" w14:textId="77777777">
        <w:tc>
          <w:tcPr>
            <w:tcW w:w="3024" w:type="dxa"/>
          </w:tcPr>
          <w:p w14:paraId="1FFB636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432" w:type="dxa"/>
          </w:tcPr>
          <w:p w14:paraId="0A20549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МДР3-4ЮП6</w:t>
            </w:r>
          </w:p>
        </w:tc>
      </w:tr>
      <w:tr w:rsidR="001002C3" w:rsidRPr="005E779E" w14:paraId="319E7B17" w14:textId="77777777">
        <w:tc>
          <w:tcPr>
            <w:tcW w:w="3024" w:type="dxa"/>
          </w:tcPr>
          <w:p w14:paraId="5293D88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горизонтальная скорость/на высоте</w:t>
            </w:r>
          </w:p>
        </w:tc>
        <w:tc>
          <w:tcPr>
            <w:tcW w:w="7432" w:type="dxa"/>
          </w:tcPr>
          <w:p w14:paraId="0CE7BF3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200/3000</w:t>
            </w:r>
          </w:p>
        </w:tc>
      </w:tr>
      <w:tr w:rsidR="001002C3" w:rsidRPr="005E779E" w14:paraId="00EB6DAA" w14:textId="77777777">
        <w:tc>
          <w:tcPr>
            <w:tcW w:w="3024" w:type="dxa"/>
          </w:tcPr>
          <w:p w14:paraId="27E4F55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Скороподъемность/на высоту</w:t>
            </w:r>
          </w:p>
        </w:tc>
        <w:tc>
          <w:tcPr>
            <w:tcW w:w="7432" w:type="dxa"/>
          </w:tcPr>
          <w:p w14:paraId="15A548E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20/3000</w:t>
            </w:r>
          </w:p>
        </w:tc>
      </w:tr>
      <w:tr w:rsidR="001002C3" w:rsidRPr="005E779E" w14:paraId="53A4E30E" w14:textId="77777777">
        <w:tc>
          <w:tcPr>
            <w:tcW w:w="3024" w:type="dxa"/>
          </w:tcPr>
          <w:p w14:paraId="62DAC3C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Потолок</w:t>
            </w:r>
          </w:p>
        </w:tc>
        <w:tc>
          <w:tcPr>
            <w:tcW w:w="7432" w:type="dxa"/>
          </w:tcPr>
          <w:p w14:paraId="7D94E1B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r>
      <w:tr w:rsidR="001002C3" w:rsidRPr="005E779E" w14:paraId="51CB5DCA" w14:textId="77777777">
        <w:tc>
          <w:tcPr>
            <w:tcW w:w="3024" w:type="dxa"/>
          </w:tcPr>
          <w:p w14:paraId="77A7705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7432" w:type="dxa"/>
          </w:tcPr>
          <w:p w14:paraId="6D8EAFA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пулемета</w:t>
            </w:r>
          </w:p>
          <w:p w14:paraId="15F5438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автоматическая пушка</w:t>
            </w:r>
          </w:p>
          <w:p w14:paraId="7D2D66B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 кг бомб</w:t>
            </w:r>
          </w:p>
        </w:tc>
      </w:tr>
      <w:tr w:rsidR="001002C3" w:rsidRPr="005E779E" w14:paraId="5A4DC363" w14:textId="77777777">
        <w:tc>
          <w:tcPr>
            <w:tcW w:w="3024" w:type="dxa"/>
          </w:tcPr>
          <w:p w14:paraId="01D9F56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w:t>
            </w:r>
          </w:p>
        </w:tc>
        <w:tc>
          <w:tcPr>
            <w:tcW w:w="7432" w:type="dxa"/>
          </w:tcPr>
          <w:p w14:paraId="21A88D9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1000-1200</w:t>
            </w:r>
          </w:p>
        </w:tc>
      </w:tr>
      <w:tr w:rsidR="001002C3" w:rsidRPr="005E779E" w14:paraId="6F1EC9E3" w14:textId="77777777">
        <w:tc>
          <w:tcPr>
            <w:tcW w:w="3024" w:type="dxa"/>
          </w:tcPr>
          <w:p w14:paraId="744D876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предъявления на гос. испытания</w:t>
            </w:r>
          </w:p>
        </w:tc>
        <w:tc>
          <w:tcPr>
            <w:tcW w:w="7432" w:type="dxa"/>
          </w:tcPr>
          <w:p w14:paraId="5D505D7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июня 1931 года</w:t>
            </w:r>
          </w:p>
        </w:tc>
      </w:tr>
      <w:tr w:rsidR="001002C3" w:rsidRPr="005E779E" w14:paraId="2FF5811E" w14:textId="77777777">
        <w:tc>
          <w:tcPr>
            <w:tcW w:w="3024" w:type="dxa"/>
          </w:tcPr>
          <w:p w14:paraId="0B340EF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15 мая 1931 года</w:t>
            </w:r>
          </w:p>
        </w:tc>
        <w:tc>
          <w:tcPr>
            <w:tcW w:w="7432" w:type="dxa"/>
          </w:tcPr>
          <w:p w14:paraId="672FCDC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Работы велись с опозданием. Самолет к сроку 1 июня 1931 года не будет. Строится лодка. Концевые части крыла строятся по типу ТБ5-4ЮVI. Впервые для гидросамолета использован гидроканал ЦАГИ, протаски которого дали весьма ценные результаты. МДР3-4ЮVI является во всем плане гидросамолетостроения единственным первой очереди. Пробная установка двух моторов тандем до сих пор не выполнена – ВАО задерживает моторы. Опоздание предъявления на типовые испытания примерно на 3 месяца.</w:t>
            </w:r>
          </w:p>
        </w:tc>
      </w:tr>
    </w:tbl>
    <w:p w14:paraId="7867161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Вторая очередь (основные типы по системе вооружения)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7432"/>
      </w:tblGrid>
      <w:tr w:rsidR="001002C3" w:rsidRPr="005E779E" w14:paraId="0927BABA" w14:textId="77777777">
        <w:tc>
          <w:tcPr>
            <w:tcW w:w="3024" w:type="dxa"/>
          </w:tcPr>
          <w:p w14:paraId="25C85BE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432" w:type="dxa"/>
          </w:tcPr>
          <w:p w14:paraId="127AB96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ДИ4-М19</w:t>
            </w:r>
          </w:p>
        </w:tc>
      </w:tr>
      <w:tr w:rsidR="001002C3" w:rsidRPr="005E779E" w14:paraId="6C8D1685" w14:textId="77777777">
        <w:tc>
          <w:tcPr>
            <w:tcW w:w="3024" w:type="dxa"/>
          </w:tcPr>
          <w:p w14:paraId="5433334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Кто строит</w:t>
            </w:r>
          </w:p>
        </w:tc>
        <w:tc>
          <w:tcPr>
            <w:tcW w:w="7432" w:type="dxa"/>
          </w:tcPr>
          <w:p w14:paraId="4B43367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w:t>
            </w:r>
          </w:p>
        </w:tc>
      </w:tr>
      <w:tr w:rsidR="001002C3" w:rsidRPr="005E779E" w14:paraId="55FD7927" w14:textId="77777777">
        <w:tc>
          <w:tcPr>
            <w:tcW w:w="3024" w:type="dxa"/>
          </w:tcPr>
          <w:p w14:paraId="7BA5DB5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горизонтальная скорость/на высоте</w:t>
            </w:r>
          </w:p>
        </w:tc>
        <w:tc>
          <w:tcPr>
            <w:tcW w:w="7432" w:type="dxa"/>
          </w:tcPr>
          <w:p w14:paraId="24DD39C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280/5000</w:t>
            </w:r>
          </w:p>
        </w:tc>
      </w:tr>
      <w:tr w:rsidR="001002C3" w:rsidRPr="005E779E" w14:paraId="0423BD94" w14:textId="77777777">
        <w:tc>
          <w:tcPr>
            <w:tcW w:w="3024" w:type="dxa"/>
          </w:tcPr>
          <w:p w14:paraId="781DB76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Скороподъемность/на высоту</w:t>
            </w:r>
          </w:p>
        </w:tc>
        <w:tc>
          <w:tcPr>
            <w:tcW w:w="7432" w:type="dxa"/>
          </w:tcPr>
          <w:p w14:paraId="27124D1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8,5/5000</w:t>
            </w:r>
          </w:p>
        </w:tc>
      </w:tr>
      <w:tr w:rsidR="001002C3" w:rsidRPr="005E779E" w14:paraId="4F989692" w14:textId="77777777">
        <w:tc>
          <w:tcPr>
            <w:tcW w:w="3024" w:type="dxa"/>
          </w:tcPr>
          <w:p w14:paraId="6A2C8AE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Потолок</w:t>
            </w:r>
          </w:p>
        </w:tc>
        <w:tc>
          <w:tcPr>
            <w:tcW w:w="7432" w:type="dxa"/>
          </w:tcPr>
          <w:p w14:paraId="49DA1D0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8000</w:t>
            </w:r>
          </w:p>
        </w:tc>
      </w:tr>
      <w:tr w:rsidR="001002C3" w:rsidRPr="005E779E" w14:paraId="1DD9D290" w14:textId="77777777">
        <w:tc>
          <w:tcPr>
            <w:tcW w:w="3024" w:type="dxa"/>
          </w:tcPr>
          <w:p w14:paraId="2BD530A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7432" w:type="dxa"/>
          </w:tcPr>
          <w:p w14:paraId="2CB7AFA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пулемета</w:t>
            </w:r>
          </w:p>
        </w:tc>
      </w:tr>
      <w:tr w:rsidR="001002C3" w:rsidRPr="005E779E" w14:paraId="35841999" w14:textId="77777777">
        <w:tc>
          <w:tcPr>
            <w:tcW w:w="3024" w:type="dxa"/>
          </w:tcPr>
          <w:p w14:paraId="486FA9B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w:t>
            </w:r>
          </w:p>
        </w:tc>
        <w:tc>
          <w:tcPr>
            <w:tcW w:w="7432" w:type="dxa"/>
          </w:tcPr>
          <w:p w14:paraId="7ECDBAC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450-500</w:t>
            </w:r>
          </w:p>
        </w:tc>
      </w:tr>
      <w:tr w:rsidR="001002C3" w:rsidRPr="005E779E" w14:paraId="746FA42A" w14:textId="77777777">
        <w:tc>
          <w:tcPr>
            <w:tcW w:w="3024" w:type="dxa"/>
          </w:tcPr>
          <w:p w14:paraId="27D6D53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предъявления на гос. испытания</w:t>
            </w:r>
          </w:p>
        </w:tc>
        <w:tc>
          <w:tcPr>
            <w:tcW w:w="7432" w:type="dxa"/>
          </w:tcPr>
          <w:p w14:paraId="77BEF95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сентября 1931 года</w:t>
            </w:r>
          </w:p>
        </w:tc>
      </w:tr>
      <w:tr w:rsidR="001002C3" w:rsidRPr="005E779E" w14:paraId="00CFD9EF" w14:textId="77777777">
        <w:tc>
          <w:tcPr>
            <w:tcW w:w="3024" w:type="dxa"/>
          </w:tcPr>
          <w:p w14:paraId="79F9D65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15 мая 1931 года</w:t>
            </w:r>
          </w:p>
        </w:tc>
        <w:tc>
          <w:tcPr>
            <w:tcW w:w="7432" w:type="dxa"/>
          </w:tcPr>
          <w:p w14:paraId="009FD36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 приняло решение проектировать и строить самолет не под Кертис Конкверор (высотный) как было раньше намечено, а под М19а. С указанным мотором самолет будет обладать более низкими летно-тактическими данными, которые могут быть улучшены при замене мотора М19 более высотным мотором М19а (со специальным импеллером). Макет самолета утвержден. Проектирование и постройка ведутся группой французского инженера Лавиля.</w:t>
            </w:r>
          </w:p>
          <w:p w14:paraId="0E7D87C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Наблюдающий инженер Гребенев.</w:t>
            </w:r>
          </w:p>
        </w:tc>
      </w:tr>
      <w:tr w:rsidR="001002C3" w:rsidRPr="005E779E" w14:paraId="0173CBEC" w14:textId="77777777">
        <w:tc>
          <w:tcPr>
            <w:tcW w:w="3024" w:type="dxa"/>
          </w:tcPr>
          <w:p w14:paraId="40E85A9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432" w:type="dxa"/>
          </w:tcPr>
          <w:p w14:paraId="2CE8FE6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ДИ5-ФЭД</w:t>
            </w:r>
          </w:p>
        </w:tc>
      </w:tr>
      <w:tr w:rsidR="001002C3" w:rsidRPr="005E779E" w14:paraId="02A0E2BF" w14:textId="77777777">
        <w:tc>
          <w:tcPr>
            <w:tcW w:w="3024" w:type="dxa"/>
          </w:tcPr>
          <w:p w14:paraId="5262D9C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Кто строит</w:t>
            </w:r>
          </w:p>
        </w:tc>
        <w:tc>
          <w:tcPr>
            <w:tcW w:w="7432" w:type="dxa"/>
          </w:tcPr>
          <w:p w14:paraId="354A68B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w:t>
            </w:r>
          </w:p>
        </w:tc>
      </w:tr>
      <w:tr w:rsidR="001002C3" w:rsidRPr="005E779E" w14:paraId="1A2FD920" w14:textId="77777777">
        <w:tc>
          <w:tcPr>
            <w:tcW w:w="3024" w:type="dxa"/>
          </w:tcPr>
          <w:p w14:paraId="712762D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горизонтальная скорость/на высоте</w:t>
            </w:r>
          </w:p>
        </w:tc>
        <w:tc>
          <w:tcPr>
            <w:tcW w:w="7432" w:type="dxa"/>
          </w:tcPr>
          <w:p w14:paraId="0F06FD4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270/3000</w:t>
            </w:r>
          </w:p>
        </w:tc>
      </w:tr>
      <w:tr w:rsidR="001002C3" w:rsidRPr="005E779E" w14:paraId="404D8297" w14:textId="77777777">
        <w:tc>
          <w:tcPr>
            <w:tcW w:w="3024" w:type="dxa"/>
          </w:tcPr>
          <w:p w14:paraId="38A960E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Скороподъемность/на высоту</w:t>
            </w:r>
          </w:p>
        </w:tc>
        <w:tc>
          <w:tcPr>
            <w:tcW w:w="7432" w:type="dxa"/>
          </w:tcPr>
          <w:p w14:paraId="54F7C50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7,6/3000</w:t>
            </w:r>
          </w:p>
        </w:tc>
      </w:tr>
      <w:tr w:rsidR="001002C3" w:rsidRPr="005E779E" w14:paraId="4BDC9A3A" w14:textId="77777777">
        <w:tc>
          <w:tcPr>
            <w:tcW w:w="3024" w:type="dxa"/>
          </w:tcPr>
          <w:p w14:paraId="7897C2C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Потолок</w:t>
            </w:r>
          </w:p>
        </w:tc>
        <w:tc>
          <w:tcPr>
            <w:tcW w:w="7432" w:type="dxa"/>
          </w:tcPr>
          <w:p w14:paraId="71184A0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8000</w:t>
            </w:r>
          </w:p>
        </w:tc>
      </w:tr>
      <w:tr w:rsidR="001002C3" w:rsidRPr="005E779E" w14:paraId="61B969AE" w14:textId="77777777">
        <w:tc>
          <w:tcPr>
            <w:tcW w:w="3024" w:type="dxa"/>
          </w:tcPr>
          <w:p w14:paraId="6915790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7432" w:type="dxa"/>
          </w:tcPr>
          <w:p w14:paraId="77D04F0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пулемета</w:t>
            </w:r>
          </w:p>
          <w:p w14:paraId="0D75228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автоматическая пушка</w:t>
            </w:r>
          </w:p>
        </w:tc>
      </w:tr>
      <w:tr w:rsidR="001002C3" w:rsidRPr="005E779E" w14:paraId="788BD32B" w14:textId="77777777">
        <w:tc>
          <w:tcPr>
            <w:tcW w:w="3024" w:type="dxa"/>
          </w:tcPr>
          <w:p w14:paraId="2118289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w:t>
            </w:r>
          </w:p>
        </w:tc>
        <w:tc>
          <w:tcPr>
            <w:tcW w:w="7432" w:type="dxa"/>
          </w:tcPr>
          <w:p w14:paraId="36DA877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FFBC1BF" w14:textId="77777777">
        <w:tc>
          <w:tcPr>
            <w:tcW w:w="3024" w:type="dxa"/>
          </w:tcPr>
          <w:p w14:paraId="27310AE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Время предъявления на гос. испытания</w:t>
            </w:r>
          </w:p>
        </w:tc>
        <w:tc>
          <w:tcPr>
            <w:tcW w:w="7432" w:type="dxa"/>
          </w:tcPr>
          <w:p w14:paraId="1F7B807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июня 1931 года</w:t>
            </w:r>
          </w:p>
        </w:tc>
      </w:tr>
      <w:tr w:rsidR="001002C3" w:rsidRPr="005E779E" w14:paraId="48BB8B07" w14:textId="77777777">
        <w:tc>
          <w:tcPr>
            <w:tcW w:w="3024" w:type="dxa"/>
          </w:tcPr>
          <w:p w14:paraId="5844B3E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15 мая 1931 года</w:t>
            </w:r>
          </w:p>
        </w:tc>
        <w:tc>
          <w:tcPr>
            <w:tcW w:w="7432" w:type="dxa"/>
          </w:tcPr>
          <w:p w14:paraId="5EB64D8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Работы не ведутся ввиду неясности вопроса с успешным выпуском мотора ФЭД.</w:t>
            </w:r>
          </w:p>
          <w:p w14:paraId="12C91F1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Наблюдающий инженер Полехин.</w:t>
            </w:r>
          </w:p>
        </w:tc>
      </w:tr>
      <w:tr w:rsidR="001002C3" w:rsidRPr="005E779E" w14:paraId="2CD01113" w14:textId="77777777">
        <w:tc>
          <w:tcPr>
            <w:tcW w:w="3024" w:type="dxa"/>
          </w:tcPr>
          <w:p w14:paraId="5DD1702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432" w:type="dxa"/>
          </w:tcPr>
          <w:p w14:paraId="46C91FA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ТШ1-2М34</w:t>
            </w:r>
          </w:p>
        </w:tc>
      </w:tr>
      <w:tr w:rsidR="001002C3" w:rsidRPr="005E779E" w14:paraId="02CC6B43" w14:textId="77777777">
        <w:tc>
          <w:tcPr>
            <w:tcW w:w="3024" w:type="dxa"/>
          </w:tcPr>
          <w:p w14:paraId="452BE3B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Кто строит</w:t>
            </w:r>
          </w:p>
        </w:tc>
        <w:tc>
          <w:tcPr>
            <w:tcW w:w="7432" w:type="dxa"/>
          </w:tcPr>
          <w:p w14:paraId="3FCBA6D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w:t>
            </w:r>
          </w:p>
        </w:tc>
      </w:tr>
      <w:tr w:rsidR="001002C3" w:rsidRPr="005E779E" w14:paraId="6D999105" w14:textId="77777777">
        <w:tc>
          <w:tcPr>
            <w:tcW w:w="3024" w:type="dxa"/>
          </w:tcPr>
          <w:p w14:paraId="773BA50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горизонтальная скорость/на высоте</w:t>
            </w:r>
          </w:p>
        </w:tc>
        <w:tc>
          <w:tcPr>
            <w:tcW w:w="7432" w:type="dxa"/>
          </w:tcPr>
          <w:p w14:paraId="4638016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18A9C65" w14:textId="77777777">
        <w:tc>
          <w:tcPr>
            <w:tcW w:w="3024" w:type="dxa"/>
          </w:tcPr>
          <w:p w14:paraId="375D622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Скороподъемность/на высоту</w:t>
            </w:r>
          </w:p>
        </w:tc>
        <w:tc>
          <w:tcPr>
            <w:tcW w:w="7432" w:type="dxa"/>
          </w:tcPr>
          <w:p w14:paraId="148B5D6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4A557F1" w14:textId="77777777">
        <w:tc>
          <w:tcPr>
            <w:tcW w:w="3024" w:type="dxa"/>
          </w:tcPr>
          <w:p w14:paraId="7D9EAB1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Потолок</w:t>
            </w:r>
          </w:p>
        </w:tc>
        <w:tc>
          <w:tcPr>
            <w:tcW w:w="7432" w:type="dxa"/>
          </w:tcPr>
          <w:p w14:paraId="4B15F6A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05439B6" w14:textId="77777777">
        <w:tc>
          <w:tcPr>
            <w:tcW w:w="3024" w:type="dxa"/>
          </w:tcPr>
          <w:p w14:paraId="762B6D2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7432" w:type="dxa"/>
          </w:tcPr>
          <w:p w14:paraId="7B07384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4-6 пулеметов</w:t>
            </w:r>
          </w:p>
          <w:p w14:paraId="5F06BDC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автоматическая пушка</w:t>
            </w:r>
          </w:p>
          <w:p w14:paraId="20AC62B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800 кг бомб</w:t>
            </w:r>
          </w:p>
        </w:tc>
      </w:tr>
      <w:tr w:rsidR="001002C3" w:rsidRPr="005E779E" w14:paraId="49486F1A" w14:textId="77777777">
        <w:tc>
          <w:tcPr>
            <w:tcW w:w="3024" w:type="dxa"/>
          </w:tcPr>
          <w:p w14:paraId="0A36C12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w:t>
            </w:r>
          </w:p>
        </w:tc>
        <w:tc>
          <w:tcPr>
            <w:tcW w:w="7432" w:type="dxa"/>
          </w:tcPr>
          <w:p w14:paraId="719DAED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w:t>
            </w:r>
          </w:p>
        </w:tc>
      </w:tr>
      <w:tr w:rsidR="001002C3" w:rsidRPr="005E779E" w14:paraId="4EDA7269" w14:textId="77777777">
        <w:tc>
          <w:tcPr>
            <w:tcW w:w="3024" w:type="dxa"/>
          </w:tcPr>
          <w:p w14:paraId="7ADB16E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предъявления на гос. испытания</w:t>
            </w:r>
          </w:p>
        </w:tc>
        <w:tc>
          <w:tcPr>
            <w:tcW w:w="7432" w:type="dxa"/>
          </w:tcPr>
          <w:p w14:paraId="420B842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января 1932 года</w:t>
            </w:r>
          </w:p>
        </w:tc>
      </w:tr>
      <w:tr w:rsidR="001002C3" w:rsidRPr="005E779E" w14:paraId="7AFBB2C8" w14:textId="77777777">
        <w:tc>
          <w:tcPr>
            <w:tcW w:w="3024" w:type="dxa"/>
          </w:tcPr>
          <w:p w14:paraId="2D640B9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15 мая 1931 года</w:t>
            </w:r>
          </w:p>
        </w:tc>
        <w:tc>
          <w:tcPr>
            <w:tcW w:w="7432" w:type="dxa"/>
          </w:tcPr>
          <w:p w14:paraId="721DC42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Работы не ведутся ввиду невыясненности останется ли самолет в системе вооружения.</w:t>
            </w:r>
          </w:p>
        </w:tc>
      </w:tr>
      <w:tr w:rsidR="001002C3" w:rsidRPr="005E779E" w14:paraId="222263AC" w14:textId="77777777">
        <w:tc>
          <w:tcPr>
            <w:tcW w:w="3024" w:type="dxa"/>
          </w:tcPr>
          <w:p w14:paraId="2506AAF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432" w:type="dxa"/>
          </w:tcPr>
          <w:p w14:paraId="0BD915B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МТБ3-4М34</w:t>
            </w:r>
          </w:p>
        </w:tc>
      </w:tr>
      <w:tr w:rsidR="001002C3" w:rsidRPr="005E779E" w14:paraId="23675BF1" w14:textId="77777777">
        <w:tc>
          <w:tcPr>
            <w:tcW w:w="3024" w:type="dxa"/>
          </w:tcPr>
          <w:p w14:paraId="1C5689B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Кто строит</w:t>
            </w:r>
          </w:p>
        </w:tc>
        <w:tc>
          <w:tcPr>
            <w:tcW w:w="7432" w:type="dxa"/>
          </w:tcPr>
          <w:p w14:paraId="3EECF45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w:t>
            </w:r>
          </w:p>
        </w:tc>
      </w:tr>
      <w:tr w:rsidR="001002C3" w:rsidRPr="005E779E" w14:paraId="255D6FE0" w14:textId="77777777">
        <w:tc>
          <w:tcPr>
            <w:tcW w:w="3024" w:type="dxa"/>
          </w:tcPr>
          <w:p w14:paraId="4F3F035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горизонтальная скорость/на высоте</w:t>
            </w:r>
          </w:p>
        </w:tc>
        <w:tc>
          <w:tcPr>
            <w:tcW w:w="7432" w:type="dxa"/>
          </w:tcPr>
          <w:p w14:paraId="3F6F214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200/3000</w:t>
            </w:r>
          </w:p>
        </w:tc>
      </w:tr>
      <w:tr w:rsidR="001002C3" w:rsidRPr="005E779E" w14:paraId="26FD986C" w14:textId="77777777">
        <w:tc>
          <w:tcPr>
            <w:tcW w:w="3024" w:type="dxa"/>
          </w:tcPr>
          <w:p w14:paraId="0C99A33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Скороподъемность/на высоту</w:t>
            </w:r>
          </w:p>
        </w:tc>
        <w:tc>
          <w:tcPr>
            <w:tcW w:w="7432" w:type="dxa"/>
          </w:tcPr>
          <w:p w14:paraId="7D18443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E3BC57E" w14:textId="77777777">
        <w:tc>
          <w:tcPr>
            <w:tcW w:w="3024" w:type="dxa"/>
          </w:tcPr>
          <w:p w14:paraId="69CD21C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Потолок</w:t>
            </w:r>
          </w:p>
        </w:tc>
        <w:tc>
          <w:tcPr>
            <w:tcW w:w="7432" w:type="dxa"/>
          </w:tcPr>
          <w:p w14:paraId="7D94BDA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4500-5000</w:t>
            </w:r>
          </w:p>
        </w:tc>
      </w:tr>
      <w:tr w:rsidR="001002C3" w:rsidRPr="005E779E" w14:paraId="6A63DE79" w14:textId="77777777">
        <w:tc>
          <w:tcPr>
            <w:tcW w:w="3024" w:type="dxa"/>
          </w:tcPr>
          <w:p w14:paraId="6614644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7432" w:type="dxa"/>
          </w:tcPr>
          <w:p w14:paraId="37584BD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4-6 пулеметов</w:t>
            </w:r>
          </w:p>
          <w:p w14:paraId="5162529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автоматическая пушка</w:t>
            </w:r>
          </w:p>
          <w:p w14:paraId="440762B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3200-4000 кг бомб</w:t>
            </w:r>
          </w:p>
        </w:tc>
      </w:tr>
      <w:tr w:rsidR="001002C3" w:rsidRPr="005E779E" w14:paraId="18185CFD" w14:textId="77777777">
        <w:tc>
          <w:tcPr>
            <w:tcW w:w="3024" w:type="dxa"/>
          </w:tcPr>
          <w:p w14:paraId="145AC4C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w:t>
            </w:r>
          </w:p>
        </w:tc>
        <w:tc>
          <w:tcPr>
            <w:tcW w:w="7432" w:type="dxa"/>
          </w:tcPr>
          <w:p w14:paraId="793C446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w:t>
            </w:r>
          </w:p>
        </w:tc>
      </w:tr>
      <w:tr w:rsidR="001002C3" w:rsidRPr="005E779E" w14:paraId="1B499C53" w14:textId="77777777">
        <w:tc>
          <w:tcPr>
            <w:tcW w:w="3024" w:type="dxa"/>
          </w:tcPr>
          <w:p w14:paraId="79B4134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предъявления на гос. испытания</w:t>
            </w:r>
          </w:p>
        </w:tc>
        <w:tc>
          <w:tcPr>
            <w:tcW w:w="7432" w:type="dxa"/>
          </w:tcPr>
          <w:p w14:paraId="0C545B9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октября 1932 года</w:t>
            </w:r>
          </w:p>
        </w:tc>
      </w:tr>
      <w:tr w:rsidR="001002C3" w:rsidRPr="005E779E" w14:paraId="1F8A79CA" w14:textId="77777777">
        <w:tc>
          <w:tcPr>
            <w:tcW w:w="3024" w:type="dxa"/>
          </w:tcPr>
          <w:p w14:paraId="71FEDD0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15 мая 1931 года</w:t>
            </w:r>
          </w:p>
        </w:tc>
        <w:tc>
          <w:tcPr>
            <w:tcW w:w="7432" w:type="dxa"/>
          </w:tcPr>
          <w:p w14:paraId="5972AE0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Первоначально разработка схемы велась для выполнения требований штаба РККА, затем ЦАГИ, считая для себя необходимым построить в виде этапа промежуточного тоннажа самолет, разработал второй эскизный проект, используя крыло ТБ3-4М17. Данные этого эскизного проекта требованиям штаба не удовлетворяют. По своей схеме двухлодки самолет может быть задан как «К» крейсер, для чего потребуется повысить скорость с 200 км/час на 275-300 км/час и рабочую высоту с 3000 м на 4500-5000 м. Однако, ЦАГИ остается на той позиции, что переходный самолет будет с теми данными, какие получаются у ЦАГИ. Вопрос окончательного решения не имеет. Мнение ВВС – переходный самолет должен быть построен по требованиям к самолету «К1». Задание и срок на МТБ3 должен быть оставлен без изменений.</w:t>
            </w:r>
          </w:p>
        </w:tc>
      </w:tr>
    </w:tbl>
    <w:p w14:paraId="1E6F05E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Экспериментальные конструкции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7432"/>
      </w:tblGrid>
      <w:tr w:rsidR="001002C3" w:rsidRPr="005E779E" w14:paraId="173051FD" w14:textId="77777777">
        <w:tc>
          <w:tcPr>
            <w:tcW w:w="3024" w:type="dxa"/>
          </w:tcPr>
          <w:p w14:paraId="2442991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432" w:type="dxa"/>
          </w:tcPr>
          <w:p w14:paraId="29F7818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ВС1-2М26 (Р9-2М26)</w:t>
            </w:r>
          </w:p>
        </w:tc>
      </w:tr>
      <w:tr w:rsidR="001002C3" w:rsidRPr="005E779E" w14:paraId="7E3BF44F" w14:textId="77777777">
        <w:tc>
          <w:tcPr>
            <w:tcW w:w="3024" w:type="dxa"/>
          </w:tcPr>
          <w:p w14:paraId="33C610C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Кто строит</w:t>
            </w:r>
          </w:p>
        </w:tc>
        <w:tc>
          <w:tcPr>
            <w:tcW w:w="7432" w:type="dxa"/>
          </w:tcPr>
          <w:p w14:paraId="507D9EA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w:t>
            </w:r>
          </w:p>
        </w:tc>
      </w:tr>
      <w:tr w:rsidR="001002C3" w:rsidRPr="005E779E" w14:paraId="77955D92" w14:textId="77777777">
        <w:tc>
          <w:tcPr>
            <w:tcW w:w="3024" w:type="dxa"/>
          </w:tcPr>
          <w:p w14:paraId="5D1868C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горизонтальная скорость/на высоте</w:t>
            </w:r>
          </w:p>
        </w:tc>
        <w:tc>
          <w:tcPr>
            <w:tcW w:w="7432" w:type="dxa"/>
          </w:tcPr>
          <w:p w14:paraId="0C7820F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200/3000</w:t>
            </w:r>
          </w:p>
        </w:tc>
      </w:tr>
      <w:tr w:rsidR="001002C3" w:rsidRPr="005E779E" w14:paraId="4D41D8BE" w14:textId="77777777">
        <w:tc>
          <w:tcPr>
            <w:tcW w:w="3024" w:type="dxa"/>
          </w:tcPr>
          <w:p w14:paraId="3833B2E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Скороподъемность/на высоту</w:t>
            </w:r>
          </w:p>
        </w:tc>
        <w:tc>
          <w:tcPr>
            <w:tcW w:w="7432" w:type="dxa"/>
          </w:tcPr>
          <w:p w14:paraId="32644F4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12/3000</w:t>
            </w:r>
          </w:p>
        </w:tc>
      </w:tr>
      <w:tr w:rsidR="001002C3" w:rsidRPr="005E779E" w14:paraId="1F5140EC" w14:textId="77777777">
        <w:tc>
          <w:tcPr>
            <w:tcW w:w="3024" w:type="dxa"/>
          </w:tcPr>
          <w:p w14:paraId="7224C03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Потолок</w:t>
            </w:r>
          </w:p>
        </w:tc>
        <w:tc>
          <w:tcPr>
            <w:tcW w:w="7432" w:type="dxa"/>
          </w:tcPr>
          <w:p w14:paraId="06EF245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4E2F2E3" w14:textId="77777777">
        <w:tc>
          <w:tcPr>
            <w:tcW w:w="3024" w:type="dxa"/>
          </w:tcPr>
          <w:p w14:paraId="0B345D2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7432" w:type="dxa"/>
          </w:tcPr>
          <w:p w14:paraId="72E561B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пулемета</w:t>
            </w:r>
          </w:p>
        </w:tc>
      </w:tr>
      <w:tr w:rsidR="001002C3" w:rsidRPr="005E779E" w14:paraId="08A65A46" w14:textId="77777777">
        <w:tc>
          <w:tcPr>
            <w:tcW w:w="3024" w:type="dxa"/>
          </w:tcPr>
          <w:p w14:paraId="718CD1E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w:t>
            </w:r>
          </w:p>
        </w:tc>
        <w:tc>
          <w:tcPr>
            <w:tcW w:w="7432" w:type="dxa"/>
          </w:tcPr>
          <w:p w14:paraId="425D197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часа на мощности 0,9 от номинальной</w:t>
            </w:r>
          </w:p>
        </w:tc>
      </w:tr>
      <w:tr w:rsidR="001002C3" w:rsidRPr="005E779E" w14:paraId="0C88C1B9" w14:textId="77777777">
        <w:tc>
          <w:tcPr>
            <w:tcW w:w="3024" w:type="dxa"/>
          </w:tcPr>
          <w:p w14:paraId="70E1EED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предъявления на гос. испытания</w:t>
            </w:r>
          </w:p>
        </w:tc>
        <w:tc>
          <w:tcPr>
            <w:tcW w:w="7432" w:type="dxa"/>
          </w:tcPr>
          <w:p w14:paraId="2693BB6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марта 1932 года</w:t>
            </w:r>
          </w:p>
        </w:tc>
      </w:tr>
      <w:tr w:rsidR="001002C3" w:rsidRPr="005E779E" w14:paraId="754DC0B2" w14:textId="77777777">
        <w:tc>
          <w:tcPr>
            <w:tcW w:w="3024" w:type="dxa"/>
          </w:tcPr>
          <w:p w14:paraId="757C9A3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15 мая 1931 года</w:t>
            </w:r>
          </w:p>
        </w:tc>
        <w:tc>
          <w:tcPr>
            <w:tcW w:w="7432" w:type="dxa"/>
          </w:tcPr>
          <w:p w14:paraId="483613A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Проектирование и постройку самолета ВАО передало в ГРОС. Разработаны и представлены в ВАО техтребования.</w:t>
            </w:r>
          </w:p>
          <w:p w14:paraId="5D9D443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Наблюдающий инженер Полехин.</w:t>
            </w:r>
          </w:p>
        </w:tc>
      </w:tr>
      <w:tr w:rsidR="001002C3" w:rsidRPr="005E779E" w14:paraId="185343B6" w14:textId="77777777">
        <w:tc>
          <w:tcPr>
            <w:tcW w:w="3024" w:type="dxa"/>
          </w:tcPr>
          <w:p w14:paraId="42E6760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432" w:type="dxa"/>
          </w:tcPr>
          <w:p w14:paraId="1E4A029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ТШ2-М17 (ТШ2-М27)</w:t>
            </w:r>
          </w:p>
        </w:tc>
      </w:tr>
      <w:tr w:rsidR="001002C3" w:rsidRPr="005E779E" w14:paraId="68E2807B" w14:textId="77777777">
        <w:tc>
          <w:tcPr>
            <w:tcW w:w="3024" w:type="dxa"/>
          </w:tcPr>
          <w:p w14:paraId="4D596E9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Кто строит</w:t>
            </w:r>
          </w:p>
        </w:tc>
        <w:tc>
          <w:tcPr>
            <w:tcW w:w="7432" w:type="dxa"/>
          </w:tcPr>
          <w:p w14:paraId="7AF3752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w:t>
            </w:r>
          </w:p>
        </w:tc>
      </w:tr>
      <w:tr w:rsidR="001002C3" w:rsidRPr="005E779E" w14:paraId="7D9A2630" w14:textId="77777777">
        <w:tc>
          <w:tcPr>
            <w:tcW w:w="3024" w:type="dxa"/>
          </w:tcPr>
          <w:p w14:paraId="5467DFC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горизонтальная скорость/на высоте</w:t>
            </w:r>
          </w:p>
        </w:tc>
        <w:tc>
          <w:tcPr>
            <w:tcW w:w="7432" w:type="dxa"/>
          </w:tcPr>
          <w:p w14:paraId="2FFFA64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200/0</w:t>
            </w:r>
          </w:p>
        </w:tc>
      </w:tr>
      <w:tr w:rsidR="001002C3" w:rsidRPr="005E779E" w14:paraId="35A1C5CC" w14:textId="77777777">
        <w:tc>
          <w:tcPr>
            <w:tcW w:w="3024" w:type="dxa"/>
          </w:tcPr>
          <w:p w14:paraId="1DB7F51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Скороподъемность/на высоту</w:t>
            </w:r>
          </w:p>
        </w:tc>
        <w:tc>
          <w:tcPr>
            <w:tcW w:w="7432" w:type="dxa"/>
          </w:tcPr>
          <w:p w14:paraId="3541BAA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11,6/3000</w:t>
            </w:r>
          </w:p>
        </w:tc>
      </w:tr>
      <w:tr w:rsidR="001002C3" w:rsidRPr="005E779E" w14:paraId="12D6E4C4" w14:textId="77777777">
        <w:tc>
          <w:tcPr>
            <w:tcW w:w="3024" w:type="dxa"/>
          </w:tcPr>
          <w:p w14:paraId="1A2E00F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Потолок</w:t>
            </w:r>
          </w:p>
        </w:tc>
        <w:tc>
          <w:tcPr>
            <w:tcW w:w="7432" w:type="dxa"/>
          </w:tcPr>
          <w:p w14:paraId="71E900F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5860</w:t>
            </w:r>
          </w:p>
        </w:tc>
      </w:tr>
      <w:tr w:rsidR="001002C3" w:rsidRPr="005E779E" w14:paraId="33B41CCF" w14:textId="77777777">
        <w:tc>
          <w:tcPr>
            <w:tcW w:w="3024" w:type="dxa"/>
          </w:tcPr>
          <w:p w14:paraId="5912EF5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7432" w:type="dxa"/>
          </w:tcPr>
          <w:p w14:paraId="4675E3E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пулеметов</w:t>
            </w:r>
          </w:p>
        </w:tc>
      </w:tr>
      <w:tr w:rsidR="001002C3" w:rsidRPr="005E779E" w14:paraId="7BDD9D3C" w14:textId="77777777">
        <w:tc>
          <w:tcPr>
            <w:tcW w:w="3024" w:type="dxa"/>
          </w:tcPr>
          <w:p w14:paraId="1FC2048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w:t>
            </w:r>
          </w:p>
        </w:tc>
        <w:tc>
          <w:tcPr>
            <w:tcW w:w="7432" w:type="dxa"/>
          </w:tcPr>
          <w:p w14:paraId="71343B8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0B67C22" w14:textId="77777777">
        <w:tc>
          <w:tcPr>
            <w:tcW w:w="3024" w:type="dxa"/>
          </w:tcPr>
          <w:p w14:paraId="7FE6014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предъявления на гос. испытания</w:t>
            </w:r>
          </w:p>
        </w:tc>
        <w:tc>
          <w:tcPr>
            <w:tcW w:w="7432" w:type="dxa"/>
          </w:tcPr>
          <w:p w14:paraId="35CCE69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декабря 1930 года</w:t>
            </w:r>
          </w:p>
        </w:tc>
      </w:tr>
      <w:tr w:rsidR="001002C3" w:rsidRPr="005E779E" w14:paraId="76D7C5C7" w14:textId="77777777">
        <w:tc>
          <w:tcPr>
            <w:tcW w:w="3024" w:type="dxa"/>
          </w:tcPr>
          <w:p w14:paraId="43C4D8F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15 мая 1931 года</w:t>
            </w:r>
          </w:p>
        </w:tc>
        <w:tc>
          <w:tcPr>
            <w:tcW w:w="7432" w:type="dxa"/>
          </w:tcPr>
          <w:p w14:paraId="71C3CFB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результате испытаний ТШ2-БМВ VI Е=7,3 выявлена недостаточная мощность мотора, почему принято решение отказаться от постройки серии ТШ2-М17 для войсковых испытаний. ВАО дало задание ЦКБ при заводе № 39 построить 3 экземпляра самолета ТШ-2 с мотором М27. На гос. испытания самолет ТШ2-М27 должен поступить в начале июня 1931 года.</w:t>
            </w:r>
          </w:p>
          <w:p w14:paraId="0005BAB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Наблюдающий инженер Полехин.</w:t>
            </w:r>
          </w:p>
        </w:tc>
      </w:tr>
      <w:tr w:rsidR="001002C3" w:rsidRPr="005E779E" w14:paraId="02DA4637" w14:textId="77777777">
        <w:tc>
          <w:tcPr>
            <w:tcW w:w="3024" w:type="dxa"/>
          </w:tcPr>
          <w:p w14:paraId="4ECB6D5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432" w:type="dxa"/>
          </w:tcPr>
          <w:p w14:paraId="6D2D6DC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МДР1-2М17</w:t>
            </w:r>
          </w:p>
        </w:tc>
      </w:tr>
      <w:tr w:rsidR="001002C3" w:rsidRPr="005E779E" w14:paraId="45C7F7BB" w14:textId="77777777">
        <w:tc>
          <w:tcPr>
            <w:tcW w:w="3024" w:type="dxa"/>
          </w:tcPr>
          <w:p w14:paraId="0AC45F7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Кто строит</w:t>
            </w:r>
          </w:p>
        </w:tc>
        <w:tc>
          <w:tcPr>
            <w:tcW w:w="7432" w:type="dxa"/>
          </w:tcPr>
          <w:p w14:paraId="2A8EDD2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w:t>
            </w:r>
          </w:p>
        </w:tc>
      </w:tr>
      <w:tr w:rsidR="001002C3" w:rsidRPr="005E779E" w14:paraId="53AA41D8" w14:textId="77777777">
        <w:tc>
          <w:tcPr>
            <w:tcW w:w="3024" w:type="dxa"/>
          </w:tcPr>
          <w:p w14:paraId="23779D3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горизонтальная скорость/на высоте</w:t>
            </w:r>
          </w:p>
        </w:tc>
        <w:tc>
          <w:tcPr>
            <w:tcW w:w="7432" w:type="dxa"/>
          </w:tcPr>
          <w:p w14:paraId="3ED6DB5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32/3000</w:t>
            </w:r>
          </w:p>
        </w:tc>
      </w:tr>
      <w:tr w:rsidR="001002C3" w:rsidRPr="005E779E" w14:paraId="2EFEB916" w14:textId="77777777">
        <w:tc>
          <w:tcPr>
            <w:tcW w:w="3024" w:type="dxa"/>
          </w:tcPr>
          <w:p w14:paraId="45ACEB1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Скороподъемность/на высоту</w:t>
            </w:r>
          </w:p>
        </w:tc>
        <w:tc>
          <w:tcPr>
            <w:tcW w:w="7432" w:type="dxa"/>
          </w:tcPr>
          <w:p w14:paraId="15C483B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32/3000</w:t>
            </w:r>
          </w:p>
        </w:tc>
      </w:tr>
      <w:tr w:rsidR="001002C3" w:rsidRPr="005E779E" w14:paraId="21F38111" w14:textId="77777777">
        <w:tc>
          <w:tcPr>
            <w:tcW w:w="3024" w:type="dxa"/>
          </w:tcPr>
          <w:p w14:paraId="7D0F492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Потолок</w:t>
            </w:r>
          </w:p>
        </w:tc>
        <w:tc>
          <w:tcPr>
            <w:tcW w:w="7432" w:type="dxa"/>
          </w:tcPr>
          <w:p w14:paraId="4E760D9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4500</w:t>
            </w:r>
          </w:p>
        </w:tc>
      </w:tr>
      <w:tr w:rsidR="001002C3" w:rsidRPr="005E779E" w14:paraId="05606AAF" w14:textId="77777777">
        <w:tc>
          <w:tcPr>
            <w:tcW w:w="3024" w:type="dxa"/>
          </w:tcPr>
          <w:p w14:paraId="15AB39A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7432" w:type="dxa"/>
          </w:tcPr>
          <w:p w14:paraId="64CF724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Отсутствует</w:t>
            </w:r>
          </w:p>
        </w:tc>
      </w:tr>
      <w:tr w:rsidR="001002C3" w:rsidRPr="005E779E" w14:paraId="68E94467" w14:textId="77777777">
        <w:tc>
          <w:tcPr>
            <w:tcW w:w="3024" w:type="dxa"/>
          </w:tcPr>
          <w:p w14:paraId="5EE9815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w:t>
            </w:r>
          </w:p>
        </w:tc>
        <w:tc>
          <w:tcPr>
            <w:tcW w:w="7432" w:type="dxa"/>
          </w:tcPr>
          <w:p w14:paraId="3F1377D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400</w:t>
            </w:r>
          </w:p>
        </w:tc>
      </w:tr>
      <w:tr w:rsidR="001002C3" w:rsidRPr="005E779E" w14:paraId="72531535" w14:textId="77777777">
        <w:tc>
          <w:tcPr>
            <w:tcW w:w="3024" w:type="dxa"/>
          </w:tcPr>
          <w:p w14:paraId="57F2005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предъявления на гос. испытания</w:t>
            </w:r>
          </w:p>
        </w:tc>
        <w:tc>
          <w:tcPr>
            <w:tcW w:w="7432" w:type="dxa"/>
          </w:tcPr>
          <w:p w14:paraId="7A03795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июня 1931 года</w:t>
            </w:r>
          </w:p>
        </w:tc>
      </w:tr>
      <w:tr w:rsidR="001002C3" w:rsidRPr="005E779E" w14:paraId="36B91431" w14:textId="77777777">
        <w:tc>
          <w:tcPr>
            <w:tcW w:w="3024" w:type="dxa"/>
          </w:tcPr>
          <w:p w14:paraId="7861965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15 мая 1931 года</w:t>
            </w:r>
          </w:p>
        </w:tc>
        <w:tc>
          <w:tcPr>
            <w:tcW w:w="7432" w:type="dxa"/>
          </w:tcPr>
          <w:p w14:paraId="52D1DD8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Переделка из неудавшегося типа. Работы по постройке крыльев самолета и незначительной переделке лодки протекают между делом. Лодка по своим взлетным свойствам показала себя при испытаниях, проводившихся в 1929 году (с другими крыльями) с самой лучшей стороны.</w:t>
            </w:r>
          </w:p>
          <w:p w14:paraId="582C4DF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Как эксперимент постройка оправдает себя лишь в том случае, если даст опыт раньше выхода МДР3-4ЮVI, ход производственной работы показывает, что даже твердых сроков для этого самолета не имеется.</w:t>
            </w:r>
          </w:p>
        </w:tc>
      </w:tr>
      <w:tr w:rsidR="001002C3" w:rsidRPr="005E779E" w14:paraId="566087FA" w14:textId="77777777">
        <w:tc>
          <w:tcPr>
            <w:tcW w:w="3024" w:type="dxa"/>
          </w:tcPr>
          <w:p w14:paraId="75486C7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432" w:type="dxa"/>
          </w:tcPr>
          <w:p w14:paraId="7677360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И12-2ЮVI</w:t>
            </w:r>
          </w:p>
        </w:tc>
      </w:tr>
      <w:tr w:rsidR="001002C3" w:rsidRPr="005E779E" w14:paraId="2ED7D524" w14:textId="77777777">
        <w:tc>
          <w:tcPr>
            <w:tcW w:w="3024" w:type="dxa"/>
          </w:tcPr>
          <w:p w14:paraId="504D6F2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Кто строит</w:t>
            </w:r>
          </w:p>
        </w:tc>
        <w:tc>
          <w:tcPr>
            <w:tcW w:w="7432" w:type="dxa"/>
          </w:tcPr>
          <w:p w14:paraId="45AD927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203E023" w14:textId="77777777">
        <w:tc>
          <w:tcPr>
            <w:tcW w:w="3024" w:type="dxa"/>
          </w:tcPr>
          <w:p w14:paraId="2918829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горизонтальная скорость/на высоте</w:t>
            </w:r>
          </w:p>
        </w:tc>
        <w:tc>
          <w:tcPr>
            <w:tcW w:w="7432" w:type="dxa"/>
          </w:tcPr>
          <w:p w14:paraId="2C57DE9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300/5000</w:t>
            </w:r>
          </w:p>
        </w:tc>
      </w:tr>
      <w:tr w:rsidR="001002C3" w:rsidRPr="005E779E" w14:paraId="47226525" w14:textId="77777777">
        <w:tc>
          <w:tcPr>
            <w:tcW w:w="3024" w:type="dxa"/>
          </w:tcPr>
          <w:p w14:paraId="29BA73E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Скороподъемность/на высоту</w:t>
            </w:r>
          </w:p>
        </w:tc>
        <w:tc>
          <w:tcPr>
            <w:tcW w:w="7432" w:type="dxa"/>
          </w:tcPr>
          <w:p w14:paraId="70FD794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10/5000</w:t>
            </w:r>
          </w:p>
        </w:tc>
      </w:tr>
      <w:tr w:rsidR="001002C3" w:rsidRPr="005E779E" w14:paraId="538C0E28" w14:textId="77777777">
        <w:tc>
          <w:tcPr>
            <w:tcW w:w="3024" w:type="dxa"/>
          </w:tcPr>
          <w:p w14:paraId="0D8F19E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Потолок</w:t>
            </w:r>
          </w:p>
        </w:tc>
        <w:tc>
          <w:tcPr>
            <w:tcW w:w="7432" w:type="dxa"/>
          </w:tcPr>
          <w:p w14:paraId="45E0939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1002C3" w:rsidRPr="005E779E" w14:paraId="7F4D012B" w14:textId="77777777">
        <w:tc>
          <w:tcPr>
            <w:tcW w:w="3024" w:type="dxa"/>
          </w:tcPr>
          <w:p w14:paraId="3F07F4B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7432" w:type="dxa"/>
          </w:tcPr>
          <w:p w14:paraId="2F44D93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пушки ДРП</w:t>
            </w:r>
          </w:p>
        </w:tc>
      </w:tr>
      <w:tr w:rsidR="001002C3" w:rsidRPr="005E779E" w14:paraId="384A7DDF" w14:textId="77777777">
        <w:tc>
          <w:tcPr>
            <w:tcW w:w="3024" w:type="dxa"/>
          </w:tcPr>
          <w:p w14:paraId="4832BCB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w:t>
            </w:r>
          </w:p>
        </w:tc>
        <w:tc>
          <w:tcPr>
            <w:tcW w:w="7432" w:type="dxa"/>
          </w:tcPr>
          <w:p w14:paraId="5D7DA5B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1002C3" w:rsidRPr="005E779E" w14:paraId="40A7FA5B" w14:textId="77777777">
        <w:tc>
          <w:tcPr>
            <w:tcW w:w="3024" w:type="dxa"/>
          </w:tcPr>
          <w:p w14:paraId="1CCBB68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предъявления на гос. испытания</w:t>
            </w:r>
          </w:p>
        </w:tc>
        <w:tc>
          <w:tcPr>
            <w:tcW w:w="7432" w:type="dxa"/>
          </w:tcPr>
          <w:p w14:paraId="4E26C6D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июля 1931 года</w:t>
            </w:r>
          </w:p>
        </w:tc>
      </w:tr>
      <w:tr w:rsidR="001002C3" w:rsidRPr="005E779E" w14:paraId="48A13474" w14:textId="77777777">
        <w:tc>
          <w:tcPr>
            <w:tcW w:w="3024" w:type="dxa"/>
          </w:tcPr>
          <w:p w14:paraId="073C486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15 мая 1931 года</w:t>
            </w:r>
          </w:p>
        </w:tc>
        <w:tc>
          <w:tcPr>
            <w:tcW w:w="7432" w:type="dxa"/>
          </w:tcPr>
          <w:p w14:paraId="2EB18A7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Проектирование самолета закончено, постройка заканчивается. Основной задержкой является доводка пушек 2 РП, которые входят в конструкцию самолета, являясь частью хвостовых труб. При окончании постройки самолета к 25 мая 1931 года пушки смогут задержать выпуск самолета на аэродром до конца июня 1931 года.</w:t>
            </w:r>
          </w:p>
          <w:p w14:paraId="6C1A50F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Наблюдающий инженер Межак.</w:t>
            </w:r>
          </w:p>
        </w:tc>
      </w:tr>
      <w:tr w:rsidR="001002C3" w:rsidRPr="005E779E" w14:paraId="4088B929" w14:textId="77777777">
        <w:tc>
          <w:tcPr>
            <w:tcW w:w="3024" w:type="dxa"/>
          </w:tcPr>
          <w:p w14:paraId="6B66117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432" w:type="dxa"/>
          </w:tcPr>
          <w:p w14:paraId="45B80AF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И11-М41 (электронный)</w:t>
            </w:r>
          </w:p>
        </w:tc>
      </w:tr>
      <w:tr w:rsidR="001002C3" w:rsidRPr="005E779E" w14:paraId="647F3086" w14:textId="77777777">
        <w:tc>
          <w:tcPr>
            <w:tcW w:w="3024" w:type="dxa"/>
          </w:tcPr>
          <w:p w14:paraId="58342C2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15 мая 1931 года</w:t>
            </w:r>
          </w:p>
        </w:tc>
        <w:tc>
          <w:tcPr>
            <w:tcW w:w="7432" w:type="dxa"/>
          </w:tcPr>
          <w:p w14:paraId="648F320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Требования не установлены. Работы не начаты.</w:t>
            </w:r>
          </w:p>
        </w:tc>
      </w:tr>
    </w:tbl>
    <w:p w14:paraId="7E7579C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Модернизация типов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7432"/>
      </w:tblGrid>
      <w:tr w:rsidR="001002C3" w:rsidRPr="005E779E" w14:paraId="5476C5D2" w14:textId="77777777">
        <w:tc>
          <w:tcPr>
            <w:tcW w:w="3024" w:type="dxa"/>
          </w:tcPr>
          <w:p w14:paraId="7BCE36E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432" w:type="dxa"/>
          </w:tcPr>
          <w:p w14:paraId="311D84A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Армейский разведчик Р5-М17</w:t>
            </w:r>
          </w:p>
        </w:tc>
      </w:tr>
      <w:tr w:rsidR="001002C3" w:rsidRPr="005E779E" w14:paraId="0B3D8A7A" w14:textId="77777777">
        <w:tc>
          <w:tcPr>
            <w:tcW w:w="3024" w:type="dxa"/>
          </w:tcPr>
          <w:p w14:paraId="6B8FEA3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Кто строит</w:t>
            </w:r>
          </w:p>
        </w:tc>
        <w:tc>
          <w:tcPr>
            <w:tcW w:w="7432" w:type="dxa"/>
          </w:tcPr>
          <w:p w14:paraId="0B1A4E6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w:t>
            </w:r>
          </w:p>
        </w:tc>
      </w:tr>
      <w:tr w:rsidR="001002C3" w:rsidRPr="005E779E" w14:paraId="3F0A9ADF" w14:textId="77777777">
        <w:tc>
          <w:tcPr>
            <w:tcW w:w="3024" w:type="dxa"/>
          </w:tcPr>
          <w:p w14:paraId="52F6166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предъявления на гос. испытания</w:t>
            </w:r>
          </w:p>
        </w:tc>
        <w:tc>
          <w:tcPr>
            <w:tcW w:w="7432" w:type="dxa"/>
          </w:tcPr>
          <w:p w14:paraId="45C5599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декабря 1930 года</w:t>
            </w:r>
          </w:p>
        </w:tc>
      </w:tr>
      <w:tr w:rsidR="001002C3" w:rsidRPr="005E779E" w14:paraId="64BB5C4E" w14:textId="77777777">
        <w:tc>
          <w:tcPr>
            <w:tcW w:w="3024" w:type="dxa"/>
          </w:tcPr>
          <w:p w14:paraId="14E42C8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15 мая 1931 года</w:t>
            </w:r>
          </w:p>
        </w:tc>
        <w:tc>
          <w:tcPr>
            <w:tcW w:w="7432" w:type="dxa"/>
          </w:tcPr>
          <w:p w14:paraId="108C6CB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Установка мотора М-19:</w:t>
            </w:r>
          </w:p>
          <w:p w14:paraId="76337B2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Работы по установке мотора М-19 сильно задержаны.</w:t>
            </w:r>
          </w:p>
          <w:p w14:paraId="300761E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настоящее время самолет проходит заводские испытания и должен быть в ближайшее время передан на гос. испытания с запозданием против срока по плану почти на полгода.</w:t>
            </w:r>
          </w:p>
          <w:p w14:paraId="2642B3E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Установка разрезных крыльев:</w:t>
            </w:r>
          </w:p>
          <w:p w14:paraId="67FC837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ЦКБ завода № 39 разработана аэродинамическая часть разрезных крыльев. Представление на испытание Р5-М17 с разрезными крыльями намечено ЦКБ на сентябрь 1931 года.</w:t>
            </w:r>
          </w:p>
          <w:p w14:paraId="5D4CC20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Наблюдающий инженер Осипенко.</w:t>
            </w:r>
          </w:p>
        </w:tc>
      </w:tr>
      <w:tr w:rsidR="001002C3" w:rsidRPr="005E779E" w14:paraId="4A3A3DB7" w14:textId="77777777">
        <w:tc>
          <w:tcPr>
            <w:tcW w:w="3024" w:type="dxa"/>
          </w:tcPr>
          <w:p w14:paraId="02D1022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432" w:type="dxa"/>
          </w:tcPr>
          <w:p w14:paraId="274CD95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Одноместный истребитель И5-ЮVI</w:t>
            </w:r>
          </w:p>
        </w:tc>
      </w:tr>
      <w:tr w:rsidR="001002C3" w:rsidRPr="005E779E" w14:paraId="2B89B621" w14:textId="77777777">
        <w:tc>
          <w:tcPr>
            <w:tcW w:w="3024" w:type="dxa"/>
          </w:tcPr>
          <w:p w14:paraId="375E69E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Кто строит</w:t>
            </w:r>
          </w:p>
        </w:tc>
        <w:tc>
          <w:tcPr>
            <w:tcW w:w="7432" w:type="dxa"/>
          </w:tcPr>
          <w:p w14:paraId="3C1277C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w:t>
            </w:r>
          </w:p>
        </w:tc>
      </w:tr>
      <w:tr w:rsidR="001002C3" w:rsidRPr="005E779E" w14:paraId="5E427C22" w14:textId="77777777">
        <w:tc>
          <w:tcPr>
            <w:tcW w:w="3024" w:type="dxa"/>
          </w:tcPr>
          <w:p w14:paraId="5D1CE99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горизонтальная скорость/на высоте</w:t>
            </w:r>
          </w:p>
        </w:tc>
        <w:tc>
          <w:tcPr>
            <w:tcW w:w="7432" w:type="dxa"/>
          </w:tcPr>
          <w:p w14:paraId="393A9C1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268/0</w:t>
            </w:r>
          </w:p>
          <w:p w14:paraId="18826AA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252/5000</w:t>
            </w:r>
          </w:p>
        </w:tc>
      </w:tr>
      <w:tr w:rsidR="001002C3" w:rsidRPr="005E779E" w14:paraId="3B87DD7C" w14:textId="77777777">
        <w:tc>
          <w:tcPr>
            <w:tcW w:w="3024" w:type="dxa"/>
          </w:tcPr>
          <w:p w14:paraId="37A0FAA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Скороподъемность/на высоту</w:t>
            </w:r>
          </w:p>
        </w:tc>
        <w:tc>
          <w:tcPr>
            <w:tcW w:w="7432" w:type="dxa"/>
          </w:tcPr>
          <w:p w14:paraId="35BD558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8,6/5000</w:t>
            </w:r>
          </w:p>
        </w:tc>
      </w:tr>
      <w:tr w:rsidR="001002C3" w:rsidRPr="005E779E" w14:paraId="039AFBC5" w14:textId="77777777">
        <w:tc>
          <w:tcPr>
            <w:tcW w:w="3024" w:type="dxa"/>
          </w:tcPr>
          <w:p w14:paraId="6648C10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Потолок</w:t>
            </w:r>
          </w:p>
        </w:tc>
        <w:tc>
          <w:tcPr>
            <w:tcW w:w="7432" w:type="dxa"/>
          </w:tcPr>
          <w:p w14:paraId="1022015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8220</w:t>
            </w:r>
          </w:p>
        </w:tc>
      </w:tr>
      <w:tr w:rsidR="001002C3" w:rsidRPr="005E779E" w14:paraId="15BEC8D2" w14:textId="77777777">
        <w:tc>
          <w:tcPr>
            <w:tcW w:w="3024" w:type="dxa"/>
          </w:tcPr>
          <w:p w14:paraId="6BB963C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7432" w:type="dxa"/>
          </w:tcPr>
          <w:p w14:paraId="4235670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4-3 пулемета</w:t>
            </w:r>
          </w:p>
        </w:tc>
      </w:tr>
      <w:tr w:rsidR="001002C3" w:rsidRPr="005E779E" w14:paraId="276AC5BA" w14:textId="77777777">
        <w:tc>
          <w:tcPr>
            <w:tcW w:w="3024" w:type="dxa"/>
          </w:tcPr>
          <w:p w14:paraId="532AE02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w:t>
            </w:r>
          </w:p>
        </w:tc>
        <w:tc>
          <w:tcPr>
            <w:tcW w:w="7432" w:type="dxa"/>
          </w:tcPr>
          <w:p w14:paraId="2EE5228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w:t>
            </w:r>
          </w:p>
        </w:tc>
      </w:tr>
      <w:tr w:rsidR="001002C3" w:rsidRPr="005E779E" w14:paraId="2CA71106" w14:textId="77777777">
        <w:tc>
          <w:tcPr>
            <w:tcW w:w="3024" w:type="dxa"/>
          </w:tcPr>
          <w:p w14:paraId="46302FE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предъявления на гос. испытания</w:t>
            </w:r>
          </w:p>
        </w:tc>
        <w:tc>
          <w:tcPr>
            <w:tcW w:w="7432" w:type="dxa"/>
          </w:tcPr>
          <w:p w14:paraId="41A9DD9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квартал 1931 года</w:t>
            </w:r>
          </w:p>
        </w:tc>
      </w:tr>
      <w:tr w:rsidR="001002C3" w:rsidRPr="005E779E" w14:paraId="3DEAC1A7" w14:textId="77777777">
        <w:tc>
          <w:tcPr>
            <w:tcW w:w="3024" w:type="dxa"/>
          </w:tcPr>
          <w:p w14:paraId="2044CFE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15 мая 1931 года</w:t>
            </w:r>
          </w:p>
        </w:tc>
        <w:tc>
          <w:tcPr>
            <w:tcW w:w="7432" w:type="dxa"/>
          </w:tcPr>
          <w:p w14:paraId="0AE77CC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 закончены войсковые испытания самолета, давшие вполне удовлетворительные результаты. В процессе испытаний выявлены дефекты тяг управления и масляного бака, устраняемые в серийной постройке. Были усилены капоты.</w:t>
            </w:r>
          </w:p>
          <w:p w14:paraId="6DAB6F5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Головной серийный самолет И5-ЮVI постройки завода № 1 выпущен со значительным перетяжелением, объясняющимся доводкой вооружения, устранением ряда дефектов, присущих опытным самолетам и перетяжелением в процессе серийной постройки.</w:t>
            </w:r>
          </w:p>
          <w:p w14:paraId="64DAE5D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 заявлено о необходимости разработать конкретные мероприятия по облегчению М5-М22.</w:t>
            </w:r>
          </w:p>
          <w:p w14:paraId="3CAF905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Головной серийный самолет И5-М22 постройки завода № 1 проходит испытания в НИИ.</w:t>
            </w:r>
          </w:p>
          <w:p w14:paraId="364043E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Установка М15:</w:t>
            </w:r>
          </w:p>
          <w:p w14:paraId="5A79AB8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Испытания И5-М15 были прерваны поломкой мотора. ЦКБ завода № 39 установило мотор М15 на два самолета И5. Первый самолет не имеющий вооружения и усиленный находится в НИИ, проходя сравнительные испытания, второй, который является образцом для постройки серии И5-М15 должен быть передан на гос. испытания в конце мая – начале июня 1931 года.</w:t>
            </w:r>
          </w:p>
          <w:p w14:paraId="08B6B6E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Работы по улучшению штопора:</w:t>
            </w:r>
          </w:p>
          <w:p w14:paraId="6494B49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середины апреля 1931 года ЦАГИ совместно с НИИ начали полеты на специально оборудованном самолете для снятия характеристики штопора.. Самолет с переделанными консолями крыльев до настоящего времени на испытания не предъявлен, так как ВАО в течение более полутора месяца не мог обеспечить установку переделанных крыльев на заводе № 1 на готовый фюзеляж. В настоящее время эту работу взял завод № 39. Самолет должен быть передан на испытания в начале июня 1931 года.</w:t>
            </w:r>
          </w:p>
          <w:p w14:paraId="37E0961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Наблюдающий инженер Петров.</w:t>
            </w:r>
          </w:p>
        </w:tc>
      </w:tr>
      <w:tr w:rsidR="001002C3" w:rsidRPr="005E779E" w14:paraId="00F4878A" w14:textId="77777777">
        <w:tc>
          <w:tcPr>
            <w:tcW w:w="3024" w:type="dxa"/>
          </w:tcPr>
          <w:p w14:paraId="7214009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432" w:type="dxa"/>
          </w:tcPr>
          <w:p w14:paraId="0467109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ТБ3-4 Кертис Конкверор</w:t>
            </w:r>
          </w:p>
        </w:tc>
      </w:tr>
      <w:tr w:rsidR="001002C3" w:rsidRPr="005E779E" w14:paraId="14123131" w14:textId="77777777">
        <w:tc>
          <w:tcPr>
            <w:tcW w:w="3024" w:type="dxa"/>
          </w:tcPr>
          <w:p w14:paraId="4000775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Кто строит</w:t>
            </w:r>
          </w:p>
        </w:tc>
        <w:tc>
          <w:tcPr>
            <w:tcW w:w="7432" w:type="dxa"/>
          </w:tcPr>
          <w:p w14:paraId="6CEE7BD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w:t>
            </w:r>
          </w:p>
        </w:tc>
      </w:tr>
      <w:tr w:rsidR="001002C3" w:rsidRPr="005E779E" w14:paraId="338CC9F6" w14:textId="77777777">
        <w:tc>
          <w:tcPr>
            <w:tcW w:w="3024" w:type="dxa"/>
          </w:tcPr>
          <w:p w14:paraId="18F5D3E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горизонтальная скорость/на высоте</w:t>
            </w:r>
          </w:p>
        </w:tc>
        <w:tc>
          <w:tcPr>
            <w:tcW w:w="7432" w:type="dxa"/>
          </w:tcPr>
          <w:p w14:paraId="29D034F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230/0</w:t>
            </w:r>
          </w:p>
        </w:tc>
      </w:tr>
      <w:tr w:rsidR="001002C3" w:rsidRPr="005E779E" w14:paraId="23E02A2A" w14:textId="77777777">
        <w:tc>
          <w:tcPr>
            <w:tcW w:w="3024" w:type="dxa"/>
          </w:tcPr>
          <w:p w14:paraId="3B2CC13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Скороподъемность/на высоту</w:t>
            </w:r>
          </w:p>
        </w:tc>
        <w:tc>
          <w:tcPr>
            <w:tcW w:w="7432" w:type="dxa"/>
          </w:tcPr>
          <w:p w14:paraId="3EFDA64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20/3000</w:t>
            </w:r>
          </w:p>
        </w:tc>
      </w:tr>
      <w:tr w:rsidR="001002C3" w:rsidRPr="005E779E" w14:paraId="53C6A0CD" w14:textId="77777777">
        <w:tc>
          <w:tcPr>
            <w:tcW w:w="3024" w:type="dxa"/>
          </w:tcPr>
          <w:p w14:paraId="69BE4E3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Потолок</w:t>
            </w:r>
          </w:p>
        </w:tc>
        <w:tc>
          <w:tcPr>
            <w:tcW w:w="7432" w:type="dxa"/>
          </w:tcPr>
          <w:p w14:paraId="44CBA6B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0433669" w14:textId="77777777">
        <w:tc>
          <w:tcPr>
            <w:tcW w:w="3024" w:type="dxa"/>
          </w:tcPr>
          <w:p w14:paraId="0613C3C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7432" w:type="dxa"/>
          </w:tcPr>
          <w:p w14:paraId="3F4A3A9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6-11 пулеметов</w:t>
            </w:r>
          </w:p>
          <w:p w14:paraId="1DB6FE3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2000-4000 кг</w:t>
            </w:r>
          </w:p>
        </w:tc>
      </w:tr>
      <w:tr w:rsidR="001002C3" w:rsidRPr="005E779E" w14:paraId="2E13561F" w14:textId="77777777">
        <w:tc>
          <w:tcPr>
            <w:tcW w:w="3024" w:type="dxa"/>
          </w:tcPr>
          <w:p w14:paraId="7D8B16F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w:t>
            </w:r>
          </w:p>
        </w:tc>
        <w:tc>
          <w:tcPr>
            <w:tcW w:w="7432" w:type="dxa"/>
          </w:tcPr>
          <w:p w14:paraId="5BFDAE4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36550B6" w14:textId="77777777">
        <w:tc>
          <w:tcPr>
            <w:tcW w:w="3024" w:type="dxa"/>
          </w:tcPr>
          <w:p w14:paraId="36DBC0E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предъявления на гос. испытания</w:t>
            </w:r>
          </w:p>
        </w:tc>
        <w:tc>
          <w:tcPr>
            <w:tcW w:w="7432" w:type="dxa"/>
          </w:tcPr>
          <w:p w14:paraId="2784F98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октября 1930 года</w:t>
            </w:r>
          </w:p>
        </w:tc>
      </w:tr>
      <w:tr w:rsidR="001002C3" w:rsidRPr="005E779E" w14:paraId="5218D69E" w14:textId="77777777">
        <w:tc>
          <w:tcPr>
            <w:tcW w:w="3024" w:type="dxa"/>
          </w:tcPr>
          <w:p w14:paraId="50D6377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15 мая 1931 года</w:t>
            </w:r>
          </w:p>
        </w:tc>
        <w:tc>
          <w:tcPr>
            <w:tcW w:w="7432" w:type="dxa"/>
          </w:tcPr>
          <w:p w14:paraId="451A0EB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с 4 Кертис Конкверор прошел испытания по сокращенной программе, показав хорошие летные данные.</w:t>
            </w:r>
          </w:p>
          <w:p w14:paraId="13B4724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Параллельно был обнаружен ряд дефектов, из которых основными являются чрезмерное давление на ручку и педали при управлении. 10 февраля 1931 года самолет передан в ЦАГИ для установки на него моторов БМВVI Е=7,3 и переделки элеронов, руля высоты, руля направления и костыля.</w:t>
            </w:r>
          </w:p>
          <w:p w14:paraId="0C91E7A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1 апреля 1931 года установка моторов БМВVI Е=7,3 была закончена. Самолет с моторами БМВ VI в конце апреля и начале мая 1931 года совершил ряд полетов, которые показали, что при значительном уменьшении давлений на ручку необходимы все же дальнейшие незначительные переделки рулей.</w:t>
            </w:r>
          </w:p>
          <w:p w14:paraId="5471299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должен в ближайшее время поступить на гос. испытания в НИИ.</w:t>
            </w:r>
          </w:p>
          <w:p w14:paraId="1456697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Наблюдающий инженер Вахмистров.</w:t>
            </w:r>
          </w:p>
        </w:tc>
      </w:tr>
      <w:tr w:rsidR="001002C3" w:rsidRPr="005E779E" w14:paraId="695016D8" w14:textId="77777777">
        <w:tc>
          <w:tcPr>
            <w:tcW w:w="3024" w:type="dxa"/>
          </w:tcPr>
          <w:p w14:paraId="1DEE43D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432" w:type="dxa"/>
          </w:tcPr>
          <w:p w14:paraId="58AC694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Р6-М17 7,3</w:t>
            </w:r>
          </w:p>
        </w:tc>
      </w:tr>
      <w:tr w:rsidR="001002C3" w:rsidRPr="005E779E" w14:paraId="3AA9E341" w14:textId="77777777">
        <w:tc>
          <w:tcPr>
            <w:tcW w:w="3024" w:type="dxa"/>
          </w:tcPr>
          <w:p w14:paraId="408949F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Кто строит</w:t>
            </w:r>
          </w:p>
        </w:tc>
        <w:tc>
          <w:tcPr>
            <w:tcW w:w="7432" w:type="dxa"/>
          </w:tcPr>
          <w:p w14:paraId="6DE6647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w:t>
            </w:r>
          </w:p>
        </w:tc>
      </w:tr>
      <w:tr w:rsidR="001002C3" w:rsidRPr="005E779E" w14:paraId="5FE62385" w14:textId="77777777">
        <w:tc>
          <w:tcPr>
            <w:tcW w:w="3024" w:type="dxa"/>
          </w:tcPr>
          <w:p w14:paraId="2280185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горизонтальная скорость/на высоте</w:t>
            </w:r>
          </w:p>
        </w:tc>
        <w:tc>
          <w:tcPr>
            <w:tcW w:w="7432" w:type="dxa"/>
          </w:tcPr>
          <w:p w14:paraId="2732B8B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244/3000</w:t>
            </w:r>
          </w:p>
        </w:tc>
      </w:tr>
      <w:tr w:rsidR="001002C3" w:rsidRPr="005E779E" w14:paraId="7419060B" w14:textId="77777777">
        <w:tc>
          <w:tcPr>
            <w:tcW w:w="3024" w:type="dxa"/>
          </w:tcPr>
          <w:p w14:paraId="1AED7EA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Скороподъемность/на высоту</w:t>
            </w:r>
          </w:p>
        </w:tc>
        <w:tc>
          <w:tcPr>
            <w:tcW w:w="7432" w:type="dxa"/>
          </w:tcPr>
          <w:p w14:paraId="241FD41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8,09/3000</w:t>
            </w:r>
          </w:p>
        </w:tc>
      </w:tr>
      <w:tr w:rsidR="001002C3" w:rsidRPr="005E779E" w14:paraId="4F0318A3" w14:textId="77777777">
        <w:tc>
          <w:tcPr>
            <w:tcW w:w="3024" w:type="dxa"/>
          </w:tcPr>
          <w:p w14:paraId="7F09C5F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Потолок</w:t>
            </w:r>
          </w:p>
        </w:tc>
        <w:tc>
          <w:tcPr>
            <w:tcW w:w="7432" w:type="dxa"/>
          </w:tcPr>
          <w:p w14:paraId="34FC52D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6500</w:t>
            </w:r>
          </w:p>
        </w:tc>
      </w:tr>
      <w:tr w:rsidR="001002C3" w:rsidRPr="005E779E" w14:paraId="2CFC5B92" w14:textId="77777777">
        <w:tc>
          <w:tcPr>
            <w:tcW w:w="3024" w:type="dxa"/>
          </w:tcPr>
          <w:p w14:paraId="44D4FBD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7432" w:type="dxa"/>
          </w:tcPr>
          <w:p w14:paraId="39CDF35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пулеметов</w:t>
            </w:r>
          </w:p>
        </w:tc>
      </w:tr>
      <w:tr w:rsidR="001002C3" w:rsidRPr="005E779E" w14:paraId="42311FFD" w14:textId="77777777">
        <w:tc>
          <w:tcPr>
            <w:tcW w:w="3024" w:type="dxa"/>
          </w:tcPr>
          <w:p w14:paraId="6851AE2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w:t>
            </w:r>
          </w:p>
        </w:tc>
        <w:tc>
          <w:tcPr>
            <w:tcW w:w="7432" w:type="dxa"/>
          </w:tcPr>
          <w:p w14:paraId="2092FE4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5766300" w14:textId="77777777">
        <w:tc>
          <w:tcPr>
            <w:tcW w:w="3024" w:type="dxa"/>
          </w:tcPr>
          <w:p w14:paraId="71A509F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предъявления на гос. испытания</w:t>
            </w:r>
          </w:p>
        </w:tc>
        <w:tc>
          <w:tcPr>
            <w:tcW w:w="7432" w:type="dxa"/>
          </w:tcPr>
          <w:p w14:paraId="637C5FD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711C1EF" w14:textId="77777777">
        <w:tc>
          <w:tcPr>
            <w:tcW w:w="3024" w:type="dxa"/>
          </w:tcPr>
          <w:p w14:paraId="19C0B5F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Степень выполнения на 15 мая 1931 года</w:t>
            </w:r>
          </w:p>
        </w:tc>
        <w:tc>
          <w:tcPr>
            <w:tcW w:w="7432" w:type="dxa"/>
          </w:tcPr>
          <w:p w14:paraId="1110A83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Головной самолет серии, строящийся на заводе № 22 должен поступить на испытания в июне 1931 года. Задержка объясняется отсутствием на заводе моторов М17.</w:t>
            </w:r>
          </w:p>
        </w:tc>
      </w:tr>
      <w:tr w:rsidR="001002C3" w:rsidRPr="005E779E" w14:paraId="4FF55CA2" w14:textId="77777777">
        <w:tc>
          <w:tcPr>
            <w:tcW w:w="3024" w:type="dxa"/>
          </w:tcPr>
          <w:p w14:paraId="0F49CF0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432" w:type="dxa"/>
          </w:tcPr>
          <w:p w14:paraId="1D9749C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И8-Кертис Конкверор</w:t>
            </w:r>
          </w:p>
        </w:tc>
      </w:tr>
      <w:tr w:rsidR="001002C3" w:rsidRPr="005E779E" w14:paraId="49FC4238" w14:textId="77777777">
        <w:tc>
          <w:tcPr>
            <w:tcW w:w="3024" w:type="dxa"/>
          </w:tcPr>
          <w:p w14:paraId="12EFA5C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Кто строит</w:t>
            </w:r>
          </w:p>
        </w:tc>
        <w:tc>
          <w:tcPr>
            <w:tcW w:w="7432" w:type="dxa"/>
          </w:tcPr>
          <w:p w14:paraId="0EB828A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w:t>
            </w:r>
          </w:p>
        </w:tc>
      </w:tr>
      <w:tr w:rsidR="001002C3" w:rsidRPr="005E779E" w14:paraId="1F92BEAD" w14:textId="77777777">
        <w:tc>
          <w:tcPr>
            <w:tcW w:w="3024" w:type="dxa"/>
          </w:tcPr>
          <w:p w14:paraId="6D8536F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горизонтальная скорость/на высоте</w:t>
            </w:r>
          </w:p>
        </w:tc>
        <w:tc>
          <w:tcPr>
            <w:tcW w:w="7432" w:type="dxa"/>
          </w:tcPr>
          <w:p w14:paraId="2A9B36D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619EE6B" w14:textId="77777777">
        <w:tc>
          <w:tcPr>
            <w:tcW w:w="3024" w:type="dxa"/>
          </w:tcPr>
          <w:p w14:paraId="5BA9C90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Скороподъемность/на высоту</w:t>
            </w:r>
          </w:p>
        </w:tc>
        <w:tc>
          <w:tcPr>
            <w:tcW w:w="7432" w:type="dxa"/>
          </w:tcPr>
          <w:p w14:paraId="1B9173F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FECE586" w14:textId="77777777">
        <w:tc>
          <w:tcPr>
            <w:tcW w:w="3024" w:type="dxa"/>
          </w:tcPr>
          <w:p w14:paraId="1BDC611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Потолок</w:t>
            </w:r>
          </w:p>
        </w:tc>
        <w:tc>
          <w:tcPr>
            <w:tcW w:w="7432" w:type="dxa"/>
          </w:tcPr>
          <w:p w14:paraId="7086014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6376CE9" w14:textId="77777777">
        <w:tc>
          <w:tcPr>
            <w:tcW w:w="3024" w:type="dxa"/>
          </w:tcPr>
          <w:p w14:paraId="1E2E3DF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7432" w:type="dxa"/>
          </w:tcPr>
          <w:p w14:paraId="6F0B0E7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пулемета</w:t>
            </w:r>
          </w:p>
        </w:tc>
      </w:tr>
      <w:tr w:rsidR="001002C3" w:rsidRPr="005E779E" w14:paraId="1F0F550B" w14:textId="77777777">
        <w:tc>
          <w:tcPr>
            <w:tcW w:w="3024" w:type="dxa"/>
          </w:tcPr>
          <w:p w14:paraId="6759F39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w:t>
            </w:r>
          </w:p>
        </w:tc>
        <w:tc>
          <w:tcPr>
            <w:tcW w:w="7432" w:type="dxa"/>
          </w:tcPr>
          <w:p w14:paraId="00E2FCF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Дальность 1,5-2 часа</w:t>
            </w:r>
          </w:p>
        </w:tc>
      </w:tr>
      <w:tr w:rsidR="001002C3" w:rsidRPr="005E779E" w14:paraId="5155C00B" w14:textId="77777777">
        <w:tc>
          <w:tcPr>
            <w:tcW w:w="3024" w:type="dxa"/>
          </w:tcPr>
          <w:p w14:paraId="2A3E3B2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предъявления на гос. испытания</w:t>
            </w:r>
          </w:p>
        </w:tc>
        <w:tc>
          <w:tcPr>
            <w:tcW w:w="7432" w:type="dxa"/>
          </w:tcPr>
          <w:p w14:paraId="306FEFF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сентября 1930 года</w:t>
            </w:r>
          </w:p>
        </w:tc>
      </w:tr>
      <w:tr w:rsidR="001002C3" w:rsidRPr="005E779E" w14:paraId="2831E043" w14:textId="77777777">
        <w:tc>
          <w:tcPr>
            <w:tcW w:w="3024" w:type="dxa"/>
          </w:tcPr>
          <w:p w14:paraId="61B5380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15 мая 1931 года</w:t>
            </w:r>
          </w:p>
        </w:tc>
        <w:tc>
          <w:tcPr>
            <w:tcW w:w="7432" w:type="dxa"/>
          </w:tcPr>
          <w:p w14:paraId="003263F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Производится переделка хвостового оперения из-за больших давлений на ручку. ЦАГИ предполагает заменить невысотный Кертис Конкверор, стоящий на самолете на высотный, который должен быть в ближайшее время получен из Америки.</w:t>
            </w:r>
          </w:p>
        </w:tc>
      </w:tr>
      <w:tr w:rsidR="001002C3" w:rsidRPr="005E779E" w14:paraId="1E373941" w14:textId="77777777">
        <w:tc>
          <w:tcPr>
            <w:tcW w:w="3024" w:type="dxa"/>
          </w:tcPr>
          <w:p w14:paraId="1C75228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432" w:type="dxa"/>
          </w:tcPr>
          <w:p w14:paraId="54BAD2D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И7-М17 7,3 (НД-67с)</w:t>
            </w:r>
          </w:p>
        </w:tc>
      </w:tr>
      <w:tr w:rsidR="001002C3" w:rsidRPr="005E779E" w14:paraId="56880972" w14:textId="77777777">
        <w:tc>
          <w:tcPr>
            <w:tcW w:w="3024" w:type="dxa"/>
          </w:tcPr>
          <w:p w14:paraId="479C407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горизонтальная скорость/на высоте</w:t>
            </w:r>
          </w:p>
        </w:tc>
        <w:tc>
          <w:tcPr>
            <w:tcW w:w="7432" w:type="dxa"/>
          </w:tcPr>
          <w:p w14:paraId="5061E48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280/3000</w:t>
            </w:r>
          </w:p>
        </w:tc>
      </w:tr>
      <w:tr w:rsidR="001002C3" w:rsidRPr="005E779E" w14:paraId="1C221B5E" w14:textId="77777777">
        <w:tc>
          <w:tcPr>
            <w:tcW w:w="3024" w:type="dxa"/>
          </w:tcPr>
          <w:p w14:paraId="3BDF396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Скороподъемность/на высоту</w:t>
            </w:r>
          </w:p>
        </w:tc>
        <w:tc>
          <w:tcPr>
            <w:tcW w:w="7432" w:type="dxa"/>
          </w:tcPr>
          <w:p w14:paraId="7DAACA5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10,8/5000</w:t>
            </w:r>
          </w:p>
        </w:tc>
      </w:tr>
      <w:tr w:rsidR="001002C3" w:rsidRPr="005E779E" w14:paraId="1AA9ED82" w14:textId="77777777">
        <w:tc>
          <w:tcPr>
            <w:tcW w:w="3024" w:type="dxa"/>
          </w:tcPr>
          <w:p w14:paraId="6380A70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Потолок</w:t>
            </w:r>
          </w:p>
        </w:tc>
        <w:tc>
          <w:tcPr>
            <w:tcW w:w="7432" w:type="dxa"/>
          </w:tcPr>
          <w:p w14:paraId="5993EAF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8000</w:t>
            </w:r>
          </w:p>
        </w:tc>
      </w:tr>
      <w:tr w:rsidR="001002C3" w:rsidRPr="005E779E" w14:paraId="14F0EF2B" w14:textId="77777777">
        <w:tc>
          <w:tcPr>
            <w:tcW w:w="3024" w:type="dxa"/>
          </w:tcPr>
          <w:p w14:paraId="04095DA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7432" w:type="dxa"/>
          </w:tcPr>
          <w:p w14:paraId="765AD02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пулемета</w:t>
            </w:r>
          </w:p>
        </w:tc>
      </w:tr>
      <w:tr w:rsidR="001002C3" w:rsidRPr="005E779E" w14:paraId="148AEE2B" w14:textId="77777777">
        <w:tc>
          <w:tcPr>
            <w:tcW w:w="3024" w:type="dxa"/>
          </w:tcPr>
          <w:p w14:paraId="7A140DA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w:t>
            </w:r>
          </w:p>
        </w:tc>
        <w:tc>
          <w:tcPr>
            <w:tcW w:w="7432" w:type="dxa"/>
          </w:tcPr>
          <w:p w14:paraId="6E5D838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DF34F7F" w14:textId="77777777">
        <w:tc>
          <w:tcPr>
            <w:tcW w:w="3024" w:type="dxa"/>
          </w:tcPr>
          <w:p w14:paraId="30DF964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предъявления на гос. испытания</w:t>
            </w:r>
          </w:p>
        </w:tc>
        <w:tc>
          <w:tcPr>
            <w:tcW w:w="7432" w:type="dxa"/>
          </w:tcPr>
          <w:p w14:paraId="0C95E80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CB22D22" w14:textId="77777777">
        <w:tc>
          <w:tcPr>
            <w:tcW w:w="3024" w:type="dxa"/>
          </w:tcPr>
          <w:p w14:paraId="2A3DBE1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15 мая 1931 года</w:t>
            </w:r>
          </w:p>
        </w:tc>
        <w:tc>
          <w:tcPr>
            <w:tcW w:w="7432" w:type="dxa"/>
          </w:tcPr>
          <w:p w14:paraId="1DB3257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 1 ведет постройку двух первых машин серии. Выпуск намечен на июнь 1931 года.</w:t>
            </w:r>
          </w:p>
        </w:tc>
      </w:tr>
      <w:tr w:rsidR="001002C3" w:rsidRPr="005E779E" w14:paraId="3102D3F5" w14:textId="77777777">
        <w:tc>
          <w:tcPr>
            <w:tcW w:w="3024" w:type="dxa"/>
          </w:tcPr>
          <w:p w14:paraId="5A7A73C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432" w:type="dxa"/>
          </w:tcPr>
          <w:p w14:paraId="26B9627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ХБ1-2М17</w:t>
            </w:r>
          </w:p>
        </w:tc>
      </w:tr>
      <w:tr w:rsidR="001002C3" w:rsidRPr="005E779E" w14:paraId="4B3C0C07" w14:textId="77777777">
        <w:tc>
          <w:tcPr>
            <w:tcW w:w="3024" w:type="dxa"/>
          </w:tcPr>
          <w:p w14:paraId="548A335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15 мая 1931 года</w:t>
            </w:r>
          </w:p>
        </w:tc>
        <w:tc>
          <w:tcPr>
            <w:tcW w:w="7432" w:type="dxa"/>
          </w:tcPr>
          <w:p w14:paraId="54E0B2E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Требования не установлены. ВОХИМУ продолжает работы по приспособлению ТБ1-2М17.</w:t>
            </w:r>
          </w:p>
        </w:tc>
      </w:tr>
      <w:tr w:rsidR="001002C3" w:rsidRPr="005E779E" w14:paraId="772C9995" w14:textId="77777777">
        <w:tc>
          <w:tcPr>
            <w:tcW w:w="3024" w:type="dxa"/>
          </w:tcPr>
          <w:p w14:paraId="59A646A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432" w:type="dxa"/>
          </w:tcPr>
          <w:p w14:paraId="5AF153E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С-1</w:t>
            </w:r>
          </w:p>
        </w:tc>
      </w:tr>
      <w:tr w:rsidR="001002C3" w:rsidRPr="005E779E" w14:paraId="146B2746" w14:textId="77777777">
        <w:tc>
          <w:tcPr>
            <w:tcW w:w="3024" w:type="dxa"/>
          </w:tcPr>
          <w:p w14:paraId="050CF31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15 мая 1931 года</w:t>
            </w:r>
          </w:p>
        </w:tc>
        <w:tc>
          <w:tcPr>
            <w:tcW w:w="7432" w:type="dxa"/>
          </w:tcPr>
          <w:p w14:paraId="5CD5E2D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Требования не установлены. Работы не ведутся.</w:t>
            </w:r>
          </w:p>
        </w:tc>
      </w:tr>
      <w:tr w:rsidR="001002C3" w:rsidRPr="005E779E" w14:paraId="7CFF360C" w14:textId="77777777">
        <w:tc>
          <w:tcPr>
            <w:tcW w:w="3024" w:type="dxa"/>
          </w:tcPr>
          <w:p w14:paraId="6DCE568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432" w:type="dxa"/>
          </w:tcPr>
          <w:p w14:paraId="1FD9AE4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Горелова под мотор Вальтер</w:t>
            </w:r>
          </w:p>
        </w:tc>
      </w:tr>
      <w:tr w:rsidR="001002C3" w:rsidRPr="005E779E" w14:paraId="1A70F9AC" w14:textId="77777777">
        <w:tc>
          <w:tcPr>
            <w:tcW w:w="3024" w:type="dxa"/>
          </w:tcPr>
          <w:p w14:paraId="65C9784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Кто строит</w:t>
            </w:r>
          </w:p>
        </w:tc>
        <w:tc>
          <w:tcPr>
            <w:tcW w:w="7432" w:type="dxa"/>
          </w:tcPr>
          <w:p w14:paraId="7D17F07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Осоавиахим</w:t>
            </w:r>
          </w:p>
        </w:tc>
      </w:tr>
      <w:tr w:rsidR="001002C3" w:rsidRPr="005E779E" w14:paraId="2BDDB2DE" w14:textId="77777777">
        <w:tc>
          <w:tcPr>
            <w:tcW w:w="3024" w:type="dxa"/>
          </w:tcPr>
          <w:p w14:paraId="7B26F97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15 мая 1931 года</w:t>
            </w:r>
          </w:p>
        </w:tc>
        <w:tc>
          <w:tcPr>
            <w:tcW w:w="7432" w:type="dxa"/>
          </w:tcPr>
          <w:p w14:paraId="213C92F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Требования не установлены. На заводе № 39 ведется очень медленными темпом доводка самолета. После организации производственной базы у БОК ЦАГИ самолет для доводки и испытаний будет передан в БОК.</w:t>
            </w:r>
          </w:p>
        </w:tc>
      </w:tr>
      <w:tr w:rsidR="001002C3" w:rsidRPr="005E779E" w14:paraId="779D0E20" w14:textId="77777777">
        <w:tc>
          <w:tcPr>
            <w:tcW w:w="3024" w:type="dxa"/>
          </w:tcPr>
          <w:p w14:paraId="7323B28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432" w:type="dxa"/>
          </w:tcPr>
          <w:p w14:paraId="3B84FAF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«Парабола» М11</w:t>
            </w:r>
          </w:p>
        </w:tc>
      </w:tr>
      <w:tr w:rsidR="001002C3" w:rsidRPr="005E779E" w14:paraId="64F01957" w14:textId="77777777">
        <w:tc>
          <w:tcPr>
            <w:tcW w:w="3024" w:type="dxa"/>
          </w:tcPr>
          <w:p w14:paraId="5F33E28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Кто строит</w:t>
            </w:r>
          </w:p>
        </w:tc>
        <w:tc>
          <w:tcPr>
            <w:tcW w:w="7432" w:type="dxa"/>
          </w:tcPr>
          <w:p w14:paraId="6485328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Осоавиахим</w:t>
            </w:r>
          </w:p>
        </w:tc>
      </w:tr>
      <w:tr w:rsidR="001002C3" w:rsidRPr="005E779E" w14:paraId="77EC106D" w14:textId="77777777">
        <w:tc>
          <w:tcPr>
            <w:tcW w:w="3024" w:type="dxa"/>
          </w:tcPr>
          <w:p w14:paraId="6A09169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15 мая 1931 года</w:t>
            </w:r>
          </w:p>
        </w:tc>
        <w:tc>
          <w:tcPr>
            <w:tcW w:w="7432" w:type="dxa"/>
          </w:tcPr>
          <w:p w14:paraId="79B38B1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Требования не установлены. Ведение работ по самолету будет передано в БОК ЦАГИ после организации у него производственной базы. В настоящее время работы не ведутся.</w:t>
            </w:r>
          </w:p>
        </w:tc>
      </w:tr>
      <w:tr w:rsidR="001002C3" w:rsidRPr="005E779E" w14:paraId="0C7808B3" w14:textId="77777777">
        <w:tc>
          <w:tcPr>
            <w:tcW w:w="3024" w:type="dxa"/>
          </w:tcPr>
          <w:p w14:paraId="363F176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432" w:type="dxa"/>
          </w:tcPr>
          <w:p w14:paraId="2D72140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И4-ЮVI моноплан</w:t>
            </w:r>
          </w:p>
        </w:tc>
      </w:tr>
      <w:tr w:rsidR="001002C3" w:rsidRPr="005E779E" w14:paraId="6DD9291F" w14:textId="77777777">
        <w:tc>
          <w:tcPr>
            <w:tcW w:w="3024" w:type="dxa"/>
          </w:tcPr>
          <w:p w14:paraId="73F2639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Кто строит</w:t>
            </w:r>
          </w:p>
        </w:tc>
        <w:tc>
          <w:tcPr>
            <w:tcW w:w="7432" w:type="dxa"/>
          </w:tcPr>
          <w:p w14:paraId="34E26F6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w:t>
            </w:r>
          </w:p>
        </w:tc>
      </w:tr>
      <w:tr w:rsidR="001002C3" w:rsidRPr="005E779E" w14:paraId="5804E013" w14:textId="77777777">
        <w:tc>
          <w:tcPr>
            <w:tcW w:w="3024" w:type="dxa"/>
          </w:tcPr>
          <w:p w14:paraId="3F0B6E8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15 мая 1931 года</w:t>
            </w:r>
          </w:p>
        </w:tc>
        <w:tc>
          <w:tcPr>
            <w:tcW w:w="7432" w:type="dxa"/>
          </w:tcPr>
          <w:p w14:paraId="349B994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Требования не установлены. ЦАГИ заканчивает переделку самолета, последний в течение мая 1931 года должен поступить на испытания. Ведутся работы по вариантам с разрезным крылом.</w:t>
            </w:r>
          </w:p>
          <w:p w14:paraId="505495D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bl>
    <w:p w14:paraId="4E150E9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(6918)</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7432"/>
      </w:tblGrid>
      <w:tr w:rsidR="001002C3" w:rsidRPr="005E779E" w14:paraId="786FCE28" w14:textId="77777777">
        <w:tc>
          <w:tcPr>
            <w:tcW w:w="3024" w:type="dxa"/>
          </w:tcPr>
          <w:p w14:paraId="18DEBBD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432" w:type="dxa"/>
          </w:tcPr>
          <w:p w14:paraId="33D7CA1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МТБ1-2М17</w:t>
            </w:r>
          </w:p>
        </w:tc>
      </w:tr>
      <w:tr w:rsidR="001002C3" w:rsidRPr="005E779E" w14:paraId="1E5CF462" w14:textId="77777777">
        <w:tc>
          <w:tcPr>
            <w:tcW w:w="3024" w:type="dxa"/>
          </w:tcPr>
          <w:p w14:paraId="7444C88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Кто строит</w:t>
            </w:r>
          </w:p>
        </w:tc>
        <w:tc>
          <w:tcPr>
            <w:tcW w:w="7432" w:type="dxa"/>
          </w:tcPr>
          <w:p w14:paraId="0DCD770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w:t>
            </w:r>
          </w:p>
        </w:tc>
      </w:tr>
      <w:tr w:rsidR="001002C3" w:rsidRPr="005E779E" w14:paraId="4B46AD94" w14:textId="77777777">
        <w:tc>
          <w:tcPr>
            <w:tcW w:w="3024" w:type="dxa"/>
          </w:tcPr>
          <w:p w14:paraId="6F18121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горизонтальная скорость/на высоте</w:t>
            </w:r>
          </w:p>
        </w:tc>
        <w:tc>
          <w:tcPr>
            <w:tcW w:w="7432" w:type="dxa"/>
          </w:tcPr>
          <w:p w14:paraId="097AE8E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170/180/0</w:t>
            </w:r>
          </w:p>
        </w:tc>
      </w:tr>
      <w:tr w:rsidR="001002C3" w:rsidRPr="005E779E" w14:paraId="5569EE0B" w14:textId="77777777">
        <w:tc>
          <w:tcPr>
            <w:tcW w:w="3024" w:type="dxa"/>
          </w:tcPr>
          <w:p w14:paraId="717DECA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Скороподъемность/на высоту</w:t>
            </w:r>
          </w:p>
        </w:tc>
        <w:tc>
          <w:tcPr>
            <w:tcW w:w="7432" w:type="dxa"/>
          </w:tcPr>
          <w:p w14:paraId="06ED372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20-30/3000</w:t>
            </w:r>
          </w:p>
        </w:tc>
      </w:tr>
      <w:tr w:rsidR="001002C3" w:rsidRPr="005E779E" w14:paraId="6FCD1CA3" w14:textId="77777777">
        <w:tc>
          <w:tcPr>
            <w:tcW w:w="3024" w:type="dxa"/>
          </w:tcPr>
          <w:p w14:paraId="5BDE072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Потолок</w:t>
            </w:r>
          </w:p>
        </w:tc>
        <w:tc>
          <w:tcPr>
            <w:tcW w:w="7432" w:type="dxa"/>
          </w:tcPr>
          <w:p w14:paraId="6FC4E68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3500-4000</w:t>
            </w:r>
          </w:p>
        </w:tc>
      </w:tr>
      <w:tr w:rsidR="001002C3" w:rsidRPr="005E779E" w14:paraId="3A6BB7B7" w14:textId="77777777">
        <w:tc>
          <w:tcPr>
            <w:tcW w:w="3024" w:type="dxa"/>
          </w:tcPr>
          <w:p w14:paraId="2AD0979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7432" w:type="dxa"/>
          </w:tcPr>
          <w:p w14:paraId="1F5572B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пулемета</w:t>
            </w:r>
          </w:p>
          <w:p w14:paraId="2C1EF36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торпеда</w:t>
            </w:r>
          </w:p>
        </w:tc>
      </w:tr>
      <w:tr w:rsidR="001002C3" w:rsidRPr="005E779E" w14:paraId="0DE432E6" w14:textId="77777777">
        <w:tc>
          <w:tcPr>
            <w:tcW w:w="3024" w:type="dxa"/>
          </w:tcPr>
          <w:p w14:paraId="5173BB6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w:t>
            </w:r>
          </w:p>
        </w:tc>
        <w:tc>
          <w:tcPr>
            <w:tcW w:w="7432" w:type="dxa"/>
          </w:tcPr>
          <w:p w14:paraId="5FE922A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Продолжительность полета 4 часа</w:t>
            </w:r>
          </w:p>
        </w:tc>
      </w:tr>
      <w:tr w:rsidR="001002C3" w:rsidRPr="005E779E" w14:paraId="27AB8050" w14:textId="77777777">
        <w:tc>
          <w:tcPr>
            <w:tcW w:w="3024" w:type="dxa"/>
          </w:tcPr>
          <w:p w14:paraId="0681523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предъявления на гос. испытания</w:t>
            </w:r>
          </w:p>
        </w:tc>
        <w:tc>
          <w:tcPr>
            <w:tcW w:w="7432" w:type="dxa"/>
          </w:tcPr>
          <w:p w14:paraId="2A3AAA7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ноября 1930 года</w:t>
            </w:r>
          </w:p>
        </w:tc>
      </w:tr>
      <w:tr w:rsidR="001002C3" w:rsidRPr="005E779E" w14:paraId="71CB9F0A" w14:textId="77777777">
        <w:tc>
          <w:tcPr>
            <w:tcW w:w="3024" w:type="dxa"/>
          </w:tcPr>
          <w:p w14:paraId="79663D0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15 мая 1931 года</w:t>
            </w:r>
          </w:p>
        </w:tc>
        <w:tc>
          <w:tcPr>
            <w:tcW w:w="7432" w:type="dxa"/>
          </w:tcPr>
          <w:p w14:paraId="6240FA3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отправленный в Севастополь находится 4,5 месяца в доводке. После первых полетов самолетов вновь поступил в ремонт из-за поломавшегося в воздухе мотора. Первоначальные сведения говорят о летучести машины (хорошее качество профиля крыла). Максимальная скорость примерно 190 км/час. Предъявление ожидается 1 июля 1931 года.</w:t>
            </w:r>
          </w:p>
        </w:tc>
      </w:tr>
      <w:tr w:rsidR="001002C3" w:rsidRPr="005E779E" w14:paraId="126A3258" w14:textId="77777777">
        <w:tc>
          <w:tcPr>
            <w:tcW w:w="3024" w:type="dxa"/>
          </w:tcPr>
          <w:p w14:paraId="2BA1300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432" w:type="dxa"/>
          </w:tcPr>
          <w:p w14:paraId="61BC5DE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МБР1-БМВVI</w:t>
            </w:r>
          </w:p>
        </w:tc>
      </w:tr>
      <w:tr w:rsidR="001002C3" w:rsidRPr="005E779E" w14:paraId="75EC639A" w14:textId="77777777">
        <w:tc>
          <w:tcPr>
            <w:tcW w:w="3024" w:type="dxa"/>
          </w:tcPr>
          <w:p w14:paraId="0F1A16E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Кто строит</w:t>
            </w:r>
          </w:p>
        </w:tc>
        <w:tc>
          <w:tcPr>
            <w:tcW w:w="7432" w:type="dxa"/>
          </w:tcPr>
          <w:p w14:paraId="76ECCFC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w:t>
            </w:r>
          </w:p>
        </w:tc>
      </w:tr>
      <w:tr w:rsidR="001002C3" w:rsidRPr="005E779E" w14:paraId="20745785" w14:textId="77777777">
        <w:tc>
          <w:tcPr>
            <w:tcW w:w="3024" w:type="dxa"/>
          </w:tcPr>
          <w:p w14:paraId="08B6087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предъявления на гос. испытания</w:t>
            </w:r>
          </w:p>
        </w:tc>
        <w:tc>
          <w:tcPr>
            <w:tcW w:w="7432" w:type="dxa"/>
          </w:tcPr>
          <w:p w14:paraId="4A6F073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декабря 1931 года</w:t>
            </w:r>
          </w:p>
        </w:tc>
      </w:tr>
      <w:tr w:rsidR="001002C3" w:rsidRPr="005E779E" w14:paraId="30279DEC" w14:textId="77777777">
        <w:tc>
          <w:tcPr>
            <w:tcW w:w="3024" w:type="dxa"/>
          </w:tcPr>
          <w:p w14:paraId="2A4E45E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15 мая 1931 года</w:t>
            </w:r>
          </w:p>
        </w:tc>
        <w:tc>
          <w:tcPr>
            <w:tcW w:w="7432" w:type="dxa"/>
          </w:tcPr>
          <w:p w14:paraId="17DDB9A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Переделка из неудавшегося типа. Для ВВС самолет интереса не представляет. Работы возобновились для передачи его в КОМСЕВПУТЬ. Самолет с плана снят.</w:t>
            </w:r>
          </w:p>
        </w:tc>
      </w:tr>
      <w:tr w:rsidR="001002C3" w:rsidRPr="005E779E" w14:paraId="5A253399" w14:textId="77777777">
        <w:tc>
          <w:tcPr>
            <w:tcW w:w="3024" w:type="dxa"/>
          </w:tcPr>
          <w:p w14:paraId="7AE23C4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432" w:type="dxa"/>
          </w:tcPr>
          <w:p w14:paraId="5430407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МБР2-БМВVI</w:t>
            </w:r>
          </w:p>
        </w:tc>
      </w:tr>
      <w:tr w:rsidR="001002C3" w:rsidRPr="005E779E" w14:paraId="63AF1BA1" w14:textId="77777777">
        <w:tc>
          <w:tcPr>
            <w:tcW w:w="3024" w:type="dxa"/>
          </w:tcPr>
          <w:p w14:paraId="60395AC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Кто строит</w:t>
            </w:r>
          </w:p>
        </w:tc>
        <w:tc>
          <w:tcPr>
            <w:tcW w:w="7432" w:type="dxa"/>
          </w:tcPr>
          <w:p w14:paraId="135CA19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w:t>
            </w:r>
          </w:p>
        </w:tc>
      </w:tr>
      <w:tr w:rsidR="001002C3" w:rsidRPr="005E779E" w14:paraId="6B51FE8D" w14:textId="77777777">
        <w:tc>
          <w:tcPr>
            <w:tcW w:w="3024" w:type="dxa"/>
          </w:tcPr>
          <w:p w14:paraId="4FC3D52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горизонтальная скорость/на высоте</w:t>
            </w:r>
          </w:p>
        </w:tc>
        <w:tc>
          <w:tcPr>
            <w:tcW w:w="7432" w:type="dxa"/>
          </w:tcPr>
          <w:p w14:paraId="26D598C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200\3000</w:t>
            </w:r>
          </w:p>
        </w:tc>
      </w:tr>
      <w:tr w:rsidR="001002C3" w:rsidRPr="005E779E" w14:paraId="57B212BA" w14:textId="77777777">
        <w:tc>
          <w:tcPr>
            <w:tcW w:w="3024" w:type="dxa"/>
          </w:tcPr>
          <w:p w14:paraId="439F4A4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Скороподъемность/на высоту</w:t>
            </w:r>
          </w:p>
        </w:tc>
        <w:tc>
          <w:tcPr>
            <w:tcW w:w="7432" w:type="dxa"/>
          </w:tcPr>
          <w:p w14:paraId="50F164B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15-50/3000</w:t>
            </w:r>
          </w:p>
        </w:tc>
      </w:tr>
      <w:tr w:rsidR="001002C3" w:rsidRPr="005E779E" w14:paraId="0AD6C50D" w14:textId="77777777">
        <w:tc>
          <w:tcPr>
            <w:tcW w:w="3024" w:type="dxa"/>
          </w:tcPr>
          <w:p w14:paraId="65855DA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Потолок</w:t>
            </w:r>
          </w:p>
        </w:tc>
        <w:tc>
          <w:tcPr>
            <w:tcW w:w="7432" w:type="dxa"/>
          </w:tcPr>
          <w:p w14:paraId="4865F78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r>
      <w:tr w:rsidR="001002C3" w:rsidRPr="005E779E" w14:paraId="548A836E" w14:textId="77777777">
        <w:tc>
          <w:tcPr>
            <w:tcW w:w="3024" w:type="dxa"/>
          </w:tcPr>
          <w:p w14:paraId="6C523B9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7432" w:type="dxa"/>
          </w:tcPr>
          <w:p w14:paraId="29C6099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пулемета</w:t>
            </w:r>
          </w:p>
          <w:p w14:paraId="2D69F28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бомбы за счет перегрузки</w:t>
            </w:r>
          </w:p>
        </w:tc>
      </w:tr>
      <w:tr w:rsidR="001002C3" w:rsidRPr="005E779E" w14:paraId="429BFCB5" w14:textId="77777777">
        <w:tc>
          <w:tcPr>
            <w:tcW w:w="3024" w:type="dxa"/>
          </w:tcPr>
          <w:p w14:paraId="60E0F0F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w:t>
            </w:r>
          </w:p>
        </w:tc>
        <w:tc>
          <w:tcPr>
            <w:tcW w:w="7432" w:type="dxa"/>
          </w:tcPr>
          <w:p w14:paraId="308A3EE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350</w:t>
            </w:r>
          </w:p>
        </w:tc>
      </w:tr>
      <w:tr w:rsidR="001002C3" w:rsidRPr="005E779E" w14:paraId="12325DA1" w14:textId="77777777">
        <w:tc>
          <w:tcPr>
            <w:tcW w:w="3024" w:type="dxa"/>
          </w:tcPr>
          <w:p w14:paraId="753A8EF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предъявления на гос. испытания</w:t>
            </w:r>
          </w:p>
        </w:tc>
        <w:tc>
          <w:tcPr>
            <w:tcW w:w="7432" w:type="dxa"/>
          </w:tcPr>
          <w:p w14:paraId="628B39B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июля 931 года</w:t>
            </w:r>
          </w:p>
        </w:tc>
      </w:tr>
      <w:tr w:rsidR="001002C3" w:rsidRPr="005E779E" w14:paraId="21303E3C" w14:textId="77777777">
        <w:tc>
          <w:tcPr>
            <w:tcW w:w="3024" w:type="dxa"/>
          </w:tcPr>
          <w:p w14:paraId="313EA0C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15 мая 1931 года</w:t>
            </w:r>
          </w:p>
        </w:tc>
        <w:tc>
          <w:tcPr>
            <w:tcW w:w="7432" w:type="dxa"/>
          </w:tcPr>
          <w:p w14:paraId="4AAB1AC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Проект поступил в ЦКБ из расформированного бюро ВАО из МОСа; переделан заново. Бюро уделяет проекту большое внимание. На самом деле ВАО при наличии такого же типа (тоже деревянного) самолета С62бис в МБР2-М27 особой заинтересованности не имеет. Постройку ВВС рассматривает главным образом как получение КБ опыта проектирования и постройки деревянных гидросамолетов.</w:t>
            </w:r>
          </w:p>
        </w:tc>
      </w:tr>
      <w:tr w:rsidR="001002C3" w:rsidRPr="005E779E" w14:paraId="42D9FDE7" w14:textId="77777777">
        <w:tc>
          <w:tcPr>
            <w:tcW w:w="3024" w:type="dxa"/>
          </w:tcPr>
          <w:p w14:paraId="52D03EC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432" w:type="dxa"/>
          </w:tcPr>
          <w:p w14:paraId="1A04BD2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Р5-М17 на поплавках</w:t>
            </w:r>
          </w:p>
        </w:tc>
      </w:tr>
      <w:tr w:rsidR="001002C3" w:rsidRPr="005E779E" w14:paraId="103CAB75" w14:textId="77777777">
        <w:tc>
          <w:tcPr>
            <w:tcW w:w="3024" w:type="dxa"/>
          </w:tcPr>
          <w:p w14:paraId="3FEE543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предъявления на гос. испытания</w:t>
            </w:r>
          </w:p>
        </w:tc>
        <w:tc>
          <w:tcPr>
            <w:tcW w:w="7432" w:type="dxa"/>
          </w:tcPr>
          <w:p w14:paraId="3522B9B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апреля 1931 года</w:t>
            </w:r>
          </w:p>
        </w:tc>
      </w:tr>
      <w:tr w:rsidR="001002C3" w:rsidRPr="005E779E" w14:paraId="67405B3B" w14:textId="77777777">
        <w:tc>
          <w:tcPr>
            <w:tcW w:w="3024" w:type="dxa"/>
          </w:tcPr>
          <w:p w14:paraId="028A5D8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15 мая 1931 года</w:t>
            </w:r>
          </w:p>
        </w:tc>
        <w:tc>
          <w:tcPr>
            <w:tcW w:w="7432" w:type="dxa"/>
          </w:tcPr>
          <w:p w14:paraId="1132DC7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должен выйти к 20 июля 1931 года. Передан в ЦКБ сухопутный самолет для ускорения выполнения переделок. Задержка произошла по вине ЦКБ, который предполагал снять задание.</w:t>
            </w:r>
          </w:p>
        </w:tc>
      </w:tr>
      <w:tr w:rsidR="001002C3" w:rsidRPr="005E779E" w14:paraId="3FE262A1" w14:textId="77777777">
        <w:tc>
          <w:tcPr>
            <w:tcW w:w="3024" w:type="dxa"/>
          </w:tcPr>
          <w:p w14:paraId="2AF8D86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432" w:type="dxa"/>
          </w:tcPr>
          <w:p w14:paraId="2792A57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ТБ1-2БМВVI, установленный на поплавки</w:t>
            </w:r>
          </w:p>
        </w:tc>
      </w:tr>
      <w:tr w:rsidR="001002C3" w:rsidRPr="005E779E" w14:paraId="590D85C2" w14:textId="77777777">
        <w:tc>
          <w:tcPr>
            <w:tcW w:w="3024" w:type="dxa"/>
          </w:tcPr>
          <w:p w14:paraId="6AEE8E4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 xml:space="preserve">Кто строит </w:t>
            </w:r>
          </w:p>
        </w:tc>
        <w:tc>
          <w:tcPr>
            <w:tcW w:w="7432" w:type="dxa"/>
          </w:tcPr>
          <w:p w14:paraId="5CD456A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w:t>
            </w:r>
          </w:p>
        </w:tc>
      </w:tr>
      <w:tr w:rsidR="001002C3" w:rsidRPr="005E779E" w14:paraId="51321BA0" w14:textId="77777777">
        <w:tc>
          <w:tcPr>
            <w:tcW w:w="3024" w:type="dxa"/>
          </w:tcPr>
          <w:p w14:paraId="76D140A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15 мая 1931 года</w:t>
            </w:r>
          </w:p>
        </w:tc>
        <w:tc>
          <w:tcPr>
            <w:tcW w:w="7432" w:type="dxa"/>
          </w:tcPr>
          <w:p w14:paraId="54AB784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Закуплены поплавки фирмы ШОРТ, ЦАГИ ведет всю работу по установке самолета на поплавки, производственную работу выполняет завод № 31. Машина ожидает поплавки в Таганроге. ЦАГИ пытается свалить с себя ответственность как по заданной ему работе, так и предстоящим заводским пробам. Увеличение веса против сухопутного около 500 кг.</w:t>
            </w:r>
          </w:p>
        </w:tc>
      </w:tr>
      <w:tr w:rsidR="001002C3" w:rsidRPr="005E779E" w14:paraId="016D47FD" w14:textId="77777777">
        <w:tc>
          <w:tcPr>
            <w:tcW w:w="3024" w:type="dxa"/>
          </w:tcPr>
          <w:p w14:paraId="0A5AAF2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432" w:type="dxa"/>
          </w:tcPr>
          <w:p w14:paraId="53FF3A5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1-ВГ Геликоптер</w:t>
            </w:r>
          </w:p>
        </w:tc>
      </w:tr>
      <w:tr w:rsidR="001002C3" w:rsidRPr="005E779E" w14:paraId="16F0DCE4" w14:textId="77777777">
        <w:tc>
          <w:tcPr>
            <w:tcW w:w="3024" w:type="dxa"/>
          </w:tcPr>
          <w:p w14:paraId="586F737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Кто строит</w:t>
            </w:r>
          </w:p>
        </w:tc>
        <w:tc>
          <w:tcPr>
            <w:tcW w:w="7432" w:type="dxa"/>
          </w:tcPr>
          <w:p w14:paraId="46ADDC7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w:t>
            </w:r>
          </w:p>
        </w:tc>
      </w:tr>
      <w:tr w:rsidR="001002C3" w:rsidRPr="005E779E" w14:paraId="1113783C" w14:textId="77777777">
        <w:tc>
          <w:tcPr>
            <w:tcW w:w="3024" w:type="dxa"/>
          </w:tcPr>
          <w:p w14:paraId="3156C7C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15 мая 1931 года</w:t>
            </w:r>
          </w:p>
        </w:tc>
        <w:tc>
          <w:tcPr>
            <w:tcW w:w="7432" w:type="dxa"/>
          </w:tcPr>
          <w:p w14:paraId="693A286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Ремонт геликоптера закончен. Аппарат переведен в Ухтомское. Ведутся опытные взлеты при которых достигнута высота до 10 метров. Геликоптер показывает достаточную устойчивость.</w:t>
            </w:r>
          </w:p>
          <w:p w14:paraId="772CE9D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Наблюдающий инженер Кравцов.</w:t>
            </w:r>
          </w:p>
        </w:tc>
      </w:tr>
      <w:tr w:rsidR="001002C3" w:rsidRPr="005E779E" w14:paraId="47FD7864" w14:textId="77777777">
        <w:tc>
          <w:tcPr>
            <w:tcW w:w="3024" w:type="dxa"/>
          </w:tcPr>
          <w:p w14:paraId="32F83FF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432" w:type="dxa"/>
          </w:tcPr>
          <w:p w14:paraId="78BB642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Вертолет (автожир)</w:t>
            </w:r>
          </w:p>
        </w:tc>
      </w:tr>
      <w:tr w:rsidR="001002C3" w:rsidRPr="005E779E" w14:paraId="5359344D" w14:textId="77777777">
        <w:tc>
          <w:tcPr>
            <w:tcW w:w="3024" w:type="dxa"/>
          </w:tcPr>
          <w:p w14:paraId="620080E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Кто строит</w:t>
            </w:r>
          </w:p>
        </w:tc>
        <w:tc>
          <w:tcPr>
            <w:tcW w:w="7432" w:type="dxa"/>
          </w:tcPr>
          <w:p w14:paraId="485DD8F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Осоавиахим</w:t>
            </w:r>
          </w:p>
        </w:tc>
      </w:tr>
      <w:tr w:rsidR="001002C3" w:rsidRPr="005E779E" w14:paraId="49FB610F" w14:textId="77777777">
        <w:tc>
          <w:tcPr>
            <w:tcW w:w="3024" w:type="dxa"/>
          </w:tcPr>
          <w:p w14:paraId="20384D2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15 мая 1931 года</w:t>
            </w:r>
          </w:p>
        </w:tc>
        <w:tc>
          <w:tcPr>
            <w:tcW w:w="7432" w:type="dxa"/>
          </w:tcPr>
          <w:p w14:paraId="2AF3DF0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новым мотором вертолет совершил ряд полетов в районе аэродрома, достигая высоты до 100 м. Дальнейшие работы по вертолету передаются БОК ЦАГИ.</w:t>
            </w:r>
          </w:p>
          <w:p w14:paraId="68C0DD6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Наблюдающий инженер Кравцов.</w:t>
            </w:r>
          </w:p>
        </w:tc>
      </w:tr>
      <w:tr w:rsidR="001002C3" w:rsidRPr="005E779E" w14:paraId="3D7C5686" w14:textId="77777777">
        <w:tc>
          <w:tcPr>
            <w:tcW w:w="3024" w:type="dxa"/>
          </w:tcPr>
          <w:p w14:paraId="4BC75AB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432" w:type="dxa"/>
          </w:tcPr>
          <w:p w14:paraId="39EFBEE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МДР2-2БМВVI Е=6</w:t>
            </w:r>
          </w:p>
        </w:tc>
      </w:tr>
      <w:tr w:rsidR="001002C3" w:rsidRPr="005E779E" w14:paraId="08229AFF" w14:textId="77777777">
        <w:tc>
          <w:tcPr>
            <w:tcW w:w="3024" w:type="dxa"/>
          </w:tcPr>
          <w:p w14:paraId="6610370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Кто строит</w:t>
            </w:r>
          </w:p>
        </w:tc>
        <w:tc>
          <w:tcPr>
            <w:tcW w:w="7432" w:type="dxa"/>
          </w:tcPr>
          <w:p w14:paraId="171B29E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w:t>
            </w:r>
          </w:p>
        </w:tc>
      </w:tr>
      <w:tr w:rsidR="001002C3" w:rsidRPr="005E779E" w14:paraId="5A596F09" w14:textId="77777777">
        <w:tc>
          <w:tcPr>
            <w:tcW w:w="3024" w:type="dxa"/>
          </w:tcPr>
          <w:p w14:paraId="32A0DE9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горизонтальная скорость/на высоте</w:t>
            </w:r>
          </w:p>
        </w:tc>
        <w:tc>
          <w:tcPr>
            <w:tcW w:w="7432" w:type="dxa"/>
          </w:tcPr>
          <w:p w14:paraId="6087F1F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Ном. 188</w:t>
            </w:r>
          </w:p>
        </w:tc>
      </w:tr>
      <w:tr w:rsidR="001002C3" w:rsidRPr="005E779E" w14:paraId="2BD1A7C4" w14:textId="77777777">
        <w:tc>
          <w:tcPr>
            <w:tcW w:w="3024" w:type="dxa"/>
          </w:tcPr>
          <w:p w14:paraId="340586D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Скороподъемность/на высоту</w:t>
            </w:r>
          </w:p>
        </w:tc>
        <w:tc>
          <w:tcPr>
            <w:tcW w:w="7432" w:type="dxa"/>
          </w:tcPr>
          <w:p w14:paraId="5313708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39,75/3000 при полезной нагрузке в 2360 кг</w:t>
            </w:r>
          </w:p>
        </w:tc>
      </w:tr>
      <w:tr w:rsidR="001002C3" w:rsidRPr="005E779E" w14:paraId="2BFC49FE" w14:textId="77777777">
        <w:tc>
          <w:tcPr>
            <w:tcW w:w="3024" w:type="dxa"/>
          </w:tcPr>
          <w:p w14:paraId="251DDC2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Потолок</w:t>
            </w:r>
          </w:p>
        </w:tc>
        <w:tc>
          <w:tcPr>
            <w:tcW w:w="7432" w:type="dxa"/>
          </w:tcPr>
          <w:p w14:paraId="0594794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3330</w:t>
            </w:r>
          </w:p>
        </w:tc>
      </w:tr>
      <w:tr w:rsidR="001002C3" w:rsidRPr="005E779E" w14:paraId="573B6D1A" w14:textId="77777777">
        <w:tc>
          <w:tcPr>
            <w:tcW w:w="3024" w:type="dxa"/>
          </w:tcPr>
          <w:p w14:paraId="08AF628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7432" w:type="dxa"/>
          </w:tcPr>
          <w:p w14:paraId="4B6392E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пулеметов</w:t>
            </w:r>
          </w:p>
          <w:p w14:paraId="4608B60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бомбы в счет перегрузки 4х250 или 2х250, 4х100</w:t>
            </w:r>
          </w:p>
        </w:tc>
      </w:tr>
      <w:tr w:rsidR="001002C3" w:rsidRPr="005E779E" w14:paraId="1FAF5822" w14:textId="77777777">
        <w:tc>
          <w:tcPr>
            <w:tcW w:w="3024" w:type="dxa"/>
          </w:tcPr>
          <w:p w14:paraId="1DD55A6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w:t>
            </w:r>
          </w:p>
        </w:tc>
        <w:tc>
          <w:tcPr>
            <w:tcW w:w="7432" w:type="dxa"/>
          </w:tcPr>
          <w:p w14:paraId="1CF9369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1060</w:t>
            </w:r>
          </w:p>
        </w:tc>
      </w:tr>
      <w:tr w:rsidR="001002C3" w:rsidRPr="005E779E" w14:paraId="1E819DF8" w14:textId="77777777">
        <w:tc>
          <w:tcPr>
            <w:tcW w:w="3024" w:type="dxa"/>
          </w:tcPr>
          <w:p w14:paraId="24D4C2B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предъявления на гос. испытания</w:t>
            </w:r>
          </w:p>
        </w:tc>
        <w:tc>
          <w:tcPr>
            <w:tcW w:w="7432" w:type="dxa"/>
          </w:tcPr>
          <w:p w14:paraId="113E4FA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октября 1930 года</w:t>
            </w:r>
          </w:p>
        </w:tc>
      </w:tr>
      <w:tr w:rsidR="001002C3" w:rsidRPr="005E779E" w14:paraId="705755C8" w14:textId="77777777">
        <w:tc>
          <w:tcPr>
            <w:tcW w:w="3024" w:type="dxa"/>
          </w:tcPr>
          <w:p w14:paraId="6D95FBB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15 мая 1931 года</w:t>
            </w:r>
          </w:p>
        </w:tc>
        <w:tc>
          <w:tcPr>
            <w:tcW w:w="7432" w:type="dxa"/>
          </w:tcPr>
          <w:p w14:paraId="2DE5DC3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Проведены в Севастополе летные испытания, морские были прерваны по причине недостаточной боковой остойчивости; приступили к изготовлению новых боковых поплавков большого водоизмещения.</w:t>
            </w:r>
          </w:p>
          <w:p w14:paraId="663F04A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Летные данные уступают ДВ и должны будут еще несколько понизиться с увеличением веса, потребным для основных переделок.</w:t>
            </w:r>
          </w:p>
          <w:p w14:paraId="1AA325A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Оценка: как первый построенный ЦАГИ гидросамолет – эксперимент удовлетворительный, но успех нельзя признать полным. С целью улучшения обзора и связи между лицами экипажа необходимо понизить расположение крыла по высоте лодки, ЦАГИ считает это необходимым и возможным, но условием выполнения ставит вопрос о снятии других работ.</w:t>
            </w:r>
          </w:p>
          <w:p w14:paraId="7FE787F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Предъявление для окончания испытаний ожидается к 1 июля 1931 года.</w:t>
            </w:r>
          </w:p>
        </w:tc>
      </w:tr>
      <w:tr w:rsidR="001002C3" w:rsidRPr="005E779E" w14:paraId="00F5F91B" w14:textId="77777777">
        <w:tc>
          <w:tcPr>
            <w:tcW w:w="3024" w:type="dxa"/>
          </w:tcPr>
          <w:p w14:paraId="6182D80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432" w:type="dxa"/>
          </w:tcPr>
          <w:p w14:paraId="73A7A1C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МУ3-М11</w:t>
            </w:r>
          </w:p>
        </w:tc>
      </w:tr>
      <w:tr w:rsidR="001002C3" w:rsidRPr="005E779E" w14:paraId="449CA69C" w14:textId="77777777">
        <w:tc>
          <w:tcPr>
            <w:tcW w:w="3024" w:type="dxa"/>
          </w:tcPr>
          <w:p w14:paraId="7762421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Кто строит</w:t>
            </w:r>
          </w:p>
        </w:tc>
        <w:tc>
          <w:tcPr>
            <w:tcW w:w="7432" w:type="dxa"/>
          </w:tcPr>
          <w:p w14:paraId="0F8D8E6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w:t>
            </w:r>
          </w:p>
        </w:tc>
      </w:tr>
      <w:tr w:rsidR="001002C3" w:rsidRPr="005E779E" w14:paraId="19B24E9A" w14:textId="77777777">
        <w:tc>
          <w:tcPr>
            <w:tcW w:w="3024" w:type="dxa"/>
          </w:tcPr>
          <w:p w14:paraId="48B09A6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горизонтальная скорость/на высоте</w:t>
            </w:r>
          </w:p>
        </w:tc>
        <w:tc>
          <w:tcPr>
            <w:tcW w:w="7432" w:type="dxa"/>
          </w:tcPr>
          <w:p w14:paraId="3A20DC5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120/130/0</w:t>
            </w:r>
          </w:p>
        </w:tc>
      </w:tr>
      <w:tr w:rsidR="001002C3" w:rsidRPr="005E779E" w14:paraId="708D00EB" w14:textId="77777777">
        <w:tc>
          <w:tcPr>
            <w:tcW w:w="3024" w:type="dxa"/>
          </w:tcPr>
          <w:p w14:paraId="687E1E9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Скороподъемность/на высоту</w:t>
            </w:r>
          </w:p>
        </w:tc>
        <w:tc>
          <w:tcPr>
            <w:tcW w:w="7432" w:type="dxa"/>
          </w:tcPr>
          <w:p w14:paraId="496987D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20/3000</w:t>
            </w:r>
          </w:p>
        </w:tc>
      </w:tr>
      <w:tr w:rsidR="001002C3" w:rsidRPr="005E779E" w14:paraId="2984B092" w14:textId="77777777">
        <w:tc>
          <w:tcPr>
            <w:tcW w:w="3024" w:type="dxa"/>
          </w:tcPr>
          <w:p w14:paraId="6C6931F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Потолок</w:t>
            </w:r>
          </w:p>
        </w:tc>
        <w:tc>
          <w:tcPr>
            <w:tcW w:w="7432" w:type="dxa"/>
          </w:tcPr>
          <w:p w14:paraId="1AAE3DC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3500</w:t>
            </w:r>
          </w:p>
        </w:tc>
      </w:tr>
      <w:tr w:rsidR="001002C3" w:rsidRPr="005E779E" w14:paraId="65D51250" w14:textId="77777777">
        <w:tc>
          <w:tcPr>
            <w:tcW w:w="3024" w:type="dxa"/>
          </w:tcPr>
          <w:p w14:paraId="62768A2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7432" w:type="dxa"/>
          </w:tcPr>
          <w:p w14:paraId="789E23E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A132D31" w14:textId="77777777">
        <w:tc>
          <w:tcPr>
            <w:tcW w:w="3024" w:type="dxa"/>
          </w:tcPr>
          <w:p w14:paraId="3A2C716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w:t>
            </w:r>
          </w:p>
        </w:tc>
        <w:tc>
          <w:tcPr>
            <w:tcW w:w="7432" w:type="dxa"/>
          </w:tcPr>
          <w:p w14:paraId="5606B32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Продолжительность 3 часа</w:t>
            </w:r>
          </w:p>
        </w:tc>
      </w:tr>
      <w:tr w:rsidR="001002C3" w:rsidRPr="005E779E" w14:paraId="0B7ECE48" w14:textId="77777777">
        <w:tc>
          <w:tcPr>
            <w:tcW w:w="3024" w:type="dxa"/>
          </w:tcPr>
          <w:p w14:paraId="2CB984B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предъявления на гос. испытания</w:t>
            </w:r>
          </w:p>
        </w:tc>
        <w:tc>
          <w:tcPr>
            <w:tcW w:w="7432" w:type="dxa"/>
          </w:tcPr>
          <w:p w14:paraId="6425717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мая 1931 года</w:t>
            </w:r>
          </w:p>
        </w:tc>
      </w:tr>
      <w:tr w:rsidR="001002C3" w:rsidRPr="005E779E" w14:paraId="0EDB193A" w14:textId="77777777">
        <w:tc>
          <w:tcPr>
            <w:tcW w:w="3024" w:type="dxa"/>
          </w:tcPr>
          <w:p w14:paraId="1ABC50C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15 мая 1931 года</w:t>
            </w:r>
          </w:p>
        </w:tc>
        <w:tc>
          <w:tcPr>
            <w:tcW w:w="7432" w:type="dxa"/>
          </w:tcPr>
          <w:p w14:paraId="4574047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строится на заводе № 23, который ведет его сверх своего основного производственного плана. Самолет выйдет с опозданием примерно на 2 месяца.</w:t>
            </w:r>
          </w:p>
        </w:tc>
      </w:tr>
      <w:tr w:rsidR="001002C3" w:rsidRPr="005E779E" w14:paraId="260E6B8A" w14:textId="77777777">
        <w:tc>
          <w:tcPr>
            <w:tcW w:w="3024" w:type="dxa"/>
          </w:tcPr>
          <w:p w14:paraId="0663861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432" w:type="dxa"/>
          </w:tcPr>
          <w:p w14:paraId="331ACBE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А1-М11</w:t>
            </w:r>
          </w:p>
        </w:tc>
      </w:tr>
      <w:tr w:rsidR="001002C3" w:rsidRPr="005E779E" w14:paraId="3893F0FE" w14:textId="77777777">
        <w:tc>
          <w:tcPr>
            <w:tcW w:w="3024" w:type="dxa"/>
          </w:tcPr>
          <w:p w14:paraId="12404D3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Кто строит</w:t>
            </w:r>
          </w:p>
        </w:tc>
        <w:tc>
          <w:tcPr>
            <w:tcW w:w="7432" w:type="dxa"/>
          </w:tcPr>
          <w:p w14:paraId="47DE5C9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w:t>
            </w:r>
          </w:p>
        </w:tc>
      </w:tr>
      <w:tr w:rsidR="001002C3" w:rsidRPr="005E779E" w14:paraId="7B6E3DB5" w14:textId="77777777">
        <w:tc>
          <w:tcPr>
            <w:tcW w:w="3024" w:type="dxa"/>
          </w:tcPr>
          <w:p w14:paraId="1E9100B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горизонтальная скорость/на высоте</w:t>
            </w:r>
          </w:p>
        </w:tc>
        <w:tc>
          <w:tcPr>
            <w:tcW w:w="7432" w:type="dxa"/>
          </w:tcPr>
          <w:p w14:paraId="3BD5280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120/130</w:t>
            </w:r>
          </w:p>
        </w:tc>
      </w:tr>
      <w:tr w:rsidR="001002C3" w:rsidRPr="005E779E" w14:paraId="762CB470" w14:textId="77777777">
        <w:tc>
          <w:tcPr>
            <w:tcW w:w="3024" w:type="dxa"/>
          </w:tcPr>
          <w:p w14:paraId="4F42316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Скороподъемность/на высоту</w:t>
            </w:r>
          </w:p>
        </w:tc>
        <w:tc>
          <w:tcPr>
            <w:tcW w:w="7432" w:type="dxa"/>
          </w:tcPr>
          <w:p w14:paraId="396F195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0091270" w14:textId="77777777">
        <w:tc>
          <w:tcPr>
            <w:tcW w:w="3024" w:type="dxa"/>
          </w:tcPr>
          <w:p w14:paraId="2C131A9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Потолок</w:t>
            </w:r>
          </w:p>
        </w:tc>
        <w:tc>
          <w:tcPr>
            <w:tcW w:w="7432" w:type="dxa"/>
          </w:tcPr>
          <w:p w14:paraId="73F0982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8C4B9F0" w14:textId="77777777">
        <w:tc>
          <w:tcPr>
            <w:tcW w:w="3024" w:type="dxa"/>
          </w:tcPr>
          <w:p w14:paraId="2715349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7432" w:type="dxa"/>
          </w:tcPr>
          <w:p w14:paraId="73907AD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Нет</w:t>
            </w:r>
          </w:p>
        </w:tc>
      </w:tr>
      <w:tr w:rsidR="001002C3" w:rsidRPr="005E779E" w14:paraId="11BD372F" w14:textId="77777777">
        <w:tc>
          <w:tcPr>
            <w:tcW w:w="3024" w:type="dxa"/>
          </w:tcPr>
          <w:p w14:paraId="7E1DD22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w:t>
            </w:r>
          </w:p>
        </w:tc>
        <w:tc>
          <w:tcPr>
            <w:tcW w:w="7432" w:type="dxa"/>
          </w:tcPr>
          <w:p w14:paraId="5914E5B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150-200 км</w:t>
            </w:r>
          </w:p>
        </w:tc>
      </w:tr>
      <w:tr w:rsidR="001002C3" w:rsidRPr="005E779E" w14:paraId="5D8272A2" w14:textId="77777777">
        <w:tc>
          <w:tcPr>
            <w:tcW w:w="3024" w:type="dxa"/>
          </w:tcPr>
          <w:p w14:paraId="22FAC52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предъявления на гос. испытания</w:t>
            </w:r>
          </w:p>
        </w:tc>
        <w:tc>
          <w:tcPr>
            <w:tcW w:w="7432" w:type="dxa"/>
          </w:tcPr>
          <w:p w14:paraId="096AB3D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07DCB31" w14:textId="77777777">
        <w:tc>
          <w:tcPr>
            <w:tcW w:w="3024" w:type="dxa"/>
          </w:tcPr>
          <w:p w14:paraId="707492C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15 мая 1931 года</w:t>
            </w:r>
          </w:p>
        </w:tc>
        <w:tc>
          <w:tcPr>
            <w:tcW w:w="7432" w:type="dxa"/>
          </w:tcPr>
          <w:p w14:paraId="432FEC0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Амфибия по проекту инженера Шаврова (Ш2). Вне плана строится на заводе № 23 по заказу ОСОАВИАХИМА. ВВС заказал второй экземпляр. При начале испытаний первого экземпляра самолет разбит, находится в капитальном ремонте. Предполагается использовать как самолет связи (экипаж 2 человека, необходимо будет дать минимальное вооружение). Испытания ожидаются с 15 июня 1931 года на Москве реке.</w:t>
            </w:r>
          </w:p>
        </w:tc>
      </w:tr>
    </w:tbl>
    <w:p w14:paraId="14E8CEB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(6918, 24-33).</w:t>
      </w:r>
    </w:p>
    <w:p w14:paraId="424E6FD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55FA0A" w14:textId="77777777" w:rsidR="00557EA0" w:rsidRPr="005E779E" w:rsidRDefault="00557EA0"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К концу мая 1931 Глдбцман согласовал с Хуго Эккенером предварительные условия соглашения. Немецкая сторона запрашивала за свои консультации и техническую помощь пять миллионов марок (два с половиной миллиона золотых рублей), желая их получить в течение года-двух. Но Политбюро, ознакомившись с претензиями «Люфтшифбау Цеппелин», потребовало от Гольцмана добиться обязательного снижения общей суммы до четырех миллионов, а платежи текущего года ограничить 150 тысячами марок. Срок остальных выплат согласовать с наркомом внешней торговли А.П. Розенгольцем, и непременно таким образом, чтобы по меньшей мере половину всей суммы, обусловленной договором, можно было бы перевести на счет «Цеппелин» лишь после постройки первого советского дирижабля58.</w:t>
      </w:r>
    </w:p>
    <w:p w14:paraId="126600FE" w14:textId="77777777" w:rsidR="00557EA0" w:rsidRPr="005E779E" w:rsidRDefault="00557EA0"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Надежды заключить весьма выгодный контракт, обеспечивший бы фирму работой в условиях мирового кризиса на год, а то и два, заставили X. Эккенера официально подтвердить А.З. Гольцману готовность предоставить в ближайшие месяцы LZ-127 для полета в советский сектор Арктики. Достаточно протяженным рейсом продемонстрировать в полярных условиях все преимущества дирижабля их жесткой конструкции по сравнению с итальянским полужестким, спроектированным У. Нобиле (20467).</w:t>
      </w:r>
    </w:p>
    <w:p w14:paraId="6E40BBF4" w14:textId="77777777" w:rsidR="00557EA0" w:rsidRPr="005E779E" w:rsidRDefault="00557EA0" w:rsidP="000B7A6C">
      <w:pPr>
        <w:spacing w:after="0" w:line="240" w:lineRule="auto"/>
        <w:jc w:val="both"/>
        <w:rPr>
          <w:rFonts w:ascii="Times New Roman" w:hAnsi="Times New Roman"/>
          <w:color w:val="000000" w:themeColor="text1"/>
          <w:sz w:val="16"/>
          <w:szCs w:val="16"/>
        </w:rPr>
      </w:pPr>
    </w:p>
    <w:p w14:paraId="5625312B" w14:textId="77777777" w:rsidR="005C4849" w:rsidRPr="005E779E" w:rsidRDefault="00874B1E" w:rsidP="000B7A6C">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6BDC22F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7735A66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мая 1931 года на ХПЗ прибыл образец колесно-гусеничного танка Кристи, его чертежи, закупленные в США и чертежи танка БТ-2, разработанные в ГКБ ОАТ. С этим образцов и чертежами прибыли на ХПЗ два человека. Первым был военинженер 2-го ранга Николай Михай</w:t>
      </w:r>
      <w:r w:rsidRPr="005E779E">
        <w:rPr>
          <w:rFonts w:ascii="Times New Roman" w:hAnsi="Times New Roman"/>
          <w:color w:val="000000" w:themeColor="text1"/>
          <w:sz w:val="16"/>
          <w:szCs w:val="16"/>
        </w:rPr>
        <w:softHyphen/>
        <w:t>лович Тоскин, командированный на завод из УММ РККА для оказания помощи в изготовлении опытных образцов и организации серийного производства, которое он почти год изучал на американских заводах. Вторым был военный инженер, выпускник Военно-технической ака</w:t>
      </w:r>
      <w:r w:rsidRPr="005E779E">
        <w:rPr>
          <w:rFonts w:ascii="Times New Roman" w:hAnsi="Times New Roman"/>
          <w:color w:val="000000" w:themeColor="text1"/>
          <w:sz w:val="16"/>
          <w:szCs w:val="16"/>
        </w:rPr>
        <w:softHyphen/>
        <w:t>демии Семен Александрович Гинзбург, с января 1931 года, работавший начальником ГКБ АОТ, а с марта по май 1931 года на заводе «Больше</w:t>
      </w:r>
      <w:r w:rsidRPr="005E779E">
        <w:rPr>
          <w:rFonts w:ascii="Times New Roman" w:hAnsi="Times New Roman"/>
          <w:color w:val="000000" w:themeColor="text1"/>
          <w:sz w:val="16"/>
          <w:szCs w:val="16"/>
        </w:rPr>
        <w:softHyphen/>
        <w:t>вик», оказывавший помощь в изготовлении опытных образцов танков Т-26, принятых на вооружение 13 февраля 1931 года.</w:t>
      </w:r>
    </w:p>
    <w:p w14:paraId="603EC85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принятием на вооружение танка БТ на ХПЗ началось строительство ряда цехов для производства новой машины: корпусного, механического, сборочного, инструментального.</w:t>
      </w:r>
    </w:p>
    <w:p w14:paraId="6399821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Однако принятие на вооружение танка БТ-2 по чертежам, до изготов</w:t>
      </w:r>
      <w:r w:rsidRPr="005E779E">
        <w:rPr>
          <w:rFonts w:ascii="Times New Roman" w:hAnsi="Times New Roman"/>
          <w:color w:val="000000" w:themeColor="text1"/>
          <w:sz w:val="16"/>
          <w:szCs w:val="16"/>
        </w:rPr>
        <w:softHyphen/>
        <w:t>ления опытного образца, еще не говорит о безошибочности конструктив</w:t>
      </w:r>
      <w:r w:rsidRPr="005E779E">
        <w:rPr>
          <w:rFonts w:ascii="Times New Roman" w:hAnsi="Times New Roman"/>
          <w:color w:val="000000" w:themeColor="text1"/>
          <w:sz w:val="16"/>
          <w:szCs w:val="16"/>
        </w:rPr>
        <w:softHyphen/>
        <w:t>ных решений. Коллектив КБ-Т2К, возглавляемый И.Н.Алексенко, на</w:t>
      </w:r>
      <w:r w:rsidRPr="005E779E">
        <w:rPr>
          <w:rFonts w:ascii="Times New Roman" w:hAnsi="Times New Roman"/>
          <w:color w:val="000000" w:themeColor="text1"/>
          <w:sz w:val="16"/>
          <w:szCs w:val="16"/>
        </w:rPr>
        <w:softHyphen/>
        <w:t>считывал в то время всего 22 человека. Из 22 конструкторов этого КБ только 7 человек имели высшее техническое образование, остальные же вообще не имели технического образования, а были практиками. И с этим составом следовало разработать техническую документацию для серий</w:t>
      </w:r>
      <w:r w:rsidRPr="005E779E">
        <w:rPr>
          <w:rFonts w:ascii="Times New Roman" w:hAnsi="Times New Roman"/>
          <w:color w:val="000000" w:themeColor="text1"/>
          <w:sz w:val="16"/>
          <w:szCs w:val="16"/>
        </w:rPr>
        <w:softHyphen/>
        <w:t>ного производства. Для оказания помощи в этом из ГКБ АОТ был коман</w:t>
      </w:r>
      <w:r w:rsidRPr="005E779E">
        <w:rPr>
          <w:rFonts w:ascii="Times New Roman" w:hAnsi="Times New Roman"/>
          <w:color w:val="000000" w:themeColor="text1"/>
          <w:sz w:val="16"/>
          <w:szCs w:val="16"/>
        </w:rPr>
        <w:softHyphen/>
        <w:t>дирован профессор В.И.Заславский.</w:t>
      </w:r>
    </w:p>
    <w:p w14:paraId="13213C5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Коллектив КБ, возглавляемый И.Н.Алексенко, находившейся под неусыпной опекой представителя заказчика — УММ РККА военинжене-ра Тоскина, главного конструктора ГКБ АОТ профессора Заславского и поднаторевшего на «Большевике» в организации серийного производ</w:t>
      </w:r>
      <w:r w:rsidRPr="005E779E">
        <w:rPr>
          <w:rFonts w:ascii="Times New Roman" w:hAnsi="Times New Roman"/>
          <w:color w:val="000000" w:themeColor="text1"/>
          <w:sz w:val="16"/>
          <w:szCs w:val="16"/>
        </w:rPr>
        <w:softHyphen/>
        <w:t>ства танков военинженера Гинзбурга, был далек от самоуверенности.</w:t>
      </w:r>
    </w:p>
    <w:p w14:paraId="7D14E37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Как ни старались конструкторы КБ во главе с Алексенко, по воспо</w:t>
      </w:r>
      <w:r w:rsidRPr="005E779E">
        <w:rPr>
          <w:rFonts w:ascii="Times New Roman" w:hAnsi="Times New Roman"/>
          <w:color w:val="000000" w:themeColor="text1"/>
          <w:sz w:val="16"/>
          <w:szCs w:val="16"/>
        </w:rPr>
        <w:softHyphen/>
        <w:t>минаниям И.Ш.Бер, «КБ плохо справилось с выпуском чертежно-технической документации: рабочих чертежей, узлов и деталей, а также техни</w:t>
      </w:r>
      <w:r w:rsidRPr="005E779E">
        <w:rPr>
          <w:rFonts w:ascii="Times New Roman" w:hAnsi="Times New Roman"/>
          <w:color w:val="000000" w:themeColor="text1"/>
          <w:sz w:val="16"/>
          <w:szCs w:val="16"/>
        </w:rPr>
        <w:softHyphen/>
        <w:t>ческих условий на машину».</w:t>
      </w:r>
    </w:p>
    <w:p w14:paraId="2566605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Иначе и быть не могло. В КБ буквально кипела работа по доработке чертежей поступивших из ГКБ ОАТ и вновь разработанных: башни с воо</w:t>
      </w:r>
      <w:r w:rsidRPr="005E779E">
        <w:rPr>
          <w:rFonts w:ascii="Times New Roman" w:hAnsi="Times New Roman"/>
          <w:color w:val="000000" w:themeColor="text1"/>
          <w:sz w:val="16"/>
          <w:szCs w:val="16"/>
        </w:rPr>
        <w:softHyphen/>
        <w:t>ружением и других узлов. Чертежи немедленно в цехах пускались в работу. Для ускорения немало чертежей было выдано в производство в виде эскизов. Документация в следствии отсутствия разобранного образца и невозможности сличить чертежи ГКБ ОАТ с деталями шасси пестрела всевозможными примечаниями и оговорками об уточнении ряда пара</w:t>
      </w:r>
      <w:r w:rsidRPr="005E779E">
        <w:rPr>
          <w:rFonts w:ascii="Times New Roman" w:hAnsi="Times New Roman"/>
          <w:color w:val="000000" w:themeColor="text1"/>
          <w:sz w:val="16"/>
          <w:szCs w:val="16"/>
        </w:rPr>
        <w:softHyphen/>
        <w:t>метров по месту, при сборке первых образцов.</w:t>
      </w:r>
    </w:p>
    <w:p w14:paraId="638A878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Производственники понимали, какие трудности испытывают конст</w:t>
      </w:r>
      <w:r w:rsidRPr="005E779E">
        <w:rPr>
          <w:rFonts w:ascii="Times New Roman" w:hAnsi="Times New Roman"/>
          <w:color w:val="000000" w:themeColor="text1"/>
          <w:sz w:val="16"/>
          <w:szCs w:val="16"/>
        </w:rPr>
        <w:softHyphen/>
        <w:t>рукторы КБ, поэтому всеми способами старались им помочь (11504).</w:t>
      </w:r>
    </w:p>
    <w:p w14:paraId="547D258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1642D9" w14:textId="77777777" w:rsidR="00D0786A" w:rsidRPr="005E779E" w:rsidRDefault="00D078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мая 1931 бвло подготовлено ЗАКЛЮЧЕНИЕ ОБ АВТОМОБИЛЬНОМ ЗАВОДЕ «АМО», Москва</w:t>
      </w:r>
    </w:p>
    <w:p w14:paraId="510F7A9D" w14:textId="77777777" w:rsidR="00D0786A" w:rsidRPr="005E779E" w:rsidRDefault="00D078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Согласно желанию Председателя Автотреста т. Сорокина, я, вместе с заведующими производством и бюро, осмотрел в промежуток между 6 и 9 мая завод «АМО» и настоящим даю об этом отчет. </w:t>
      </w:r>
    </w:p>
    <w:p w14:paraId="59DFB592" w14:textId="77777777" w:rsidR="00D0786A" w:rsidRPr="005E779E" w:rsidRDefault="00D078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I</w:t>
      </w:r>
    </w:p>
    <w:p w14:paraId="76458863" w14:textId="77777777" w:rsidR="00D0786A" w:rsidRPr="005E779E" w:rsidRDefault="00D078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Проработке подверглись: 1. Механический цех 2. Сборка групп и шасси 3. Литейная 4. Кузница 5. Прессовая 6. Рессорная мастерская 7. Склады 8. Лаборатория и отделение испытания материалов 9. Кузовной отдел К этому присоединились: 10. Техническое бюро 11. Бюро приспособлений (Френкель) 12. Бюро производства (Богданов) 13. Бюро распределения (Моргенштерн) 14. Нормирование и предварительная калькуляция (Назаров) 15. Расчетный отдел (Петров) 16. Исполнительная калькуляция и определение накладных расходов (Колотилин) 17. Расширение завода</w:t>
      </w:r>
    </w:p>
    <w:p w14:paraId="648E42D0" w14:textId="77777777" w:rsidR="00D0786A" w:rsidRPr="005E779E" w:rsidRDefault="00D078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II К п. 1. Механический цех Механические цехи оборудованы почти исключительно станками лучших американских фирм. Все они, в среднем, 10–12-летнего возраста. Усовершенствование станков за последние десять лет получило, однако, такое развитие, что имеющиеся сегодня на АМО станки лишь в незначительной части пригодны для современного крупносерийного производства – 10–15 автомобилей в день. На станках вперемежку обрабатывают алюминий, латунь, чугун, мягкую сталь, стальное литье и хромоникелевую сталь, в то время как станки эти в большинстве случаев приспособлены для обработки стали или, может быть, чугуна. Для серьезного и рационального крупносерийного производства смогут быть использованы следующие станки: большинство кругло-шлифовальных станков, автоматы и полуавтоматы, часть револьверных и токарных станков, зуборезные, фрезерные и долбежные станки и часть сверлильных станков для работы на стали, чугуне и, при нужде, на бронзе. На фрезерных станках слишком коротки столы, и поэтому они пригодны только для обработки мелких деталей. Зажимные приспособления в большинстве случаев малопригодны и отнимают много времени на закрепление. Для алюминия пригодны лишь фрезерные станки с большими фрезерами со вставными ножами; остальные станки слишком тихоходны. Все остальные машины рациональней перевести в мастерские для работ по ремонту поврежденных станков, для производства запасных частей старых типов и, наконец, для выделяемой ремонтной мастерской для автомобилей. Перестановка эта может быть проведена спокойно, равномерно и систематично. Наличные станки используются в настоящее время чрезвычайно неравномерно, между тем как Нормировочное бюро (Назаров) на операционных карточках предписывает и кладет в основу предварительной калькуляции в большинстве случаев правильные скорости.</w:t>
      </w:r>
    </w:p>
    <w:p w14:paraId="40A6015A" w14:textId="77777777" w:rsidR="00D0786A" w:rsidRPr="005E779E" w:rsidRDefault="00D078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Я сам проверил скорости резания на большом количестве работающих в Механическом цехе станков и установил, что при одном и том же материале они очень различны. Разница между предписанным нормировочным бюро и в действительности использованным временем очень велика. Это было подтверждено проверкой отдельных выборочных оплатных листков в расчетном отделе (Петров). &lt;…&gt; Станки «Феллоу» устарели и тихоходны. Прямолинейные строгальные станки для конических колес «Глисона» также надлежит перевести в мастерские изготовления запасных частей и ремонтные. Если в отдельных случаях и перемешиваются обдирочные и отделочные работы, то все же заведующие производствами и мастера должны больше обращать внимания на то, что наличные, еще хорошо сохранившиеся, американские станки были бы полностью использованы в смысле применения надлежащих скоростей резания и подач и тогда, когда данные о времени нормировочного бюро слишком велики. Обрабатываемый материал надо разбить по отдельным главнейшим группам: сталь, бронзовое литье и алюминий, и по этим трем группам работать лишь на специально для этих материалов приспособленных станках. Для обработки стали, в зависимости от ее твердости, требуются скорости резания от 10 до 35 м/мин, для обработки бронзового литья – от 25 до 50 м/мин и алюминия − от 150 до 300 м/мин. Нельзя требовать от одних и тех же станков столь разных скоростей резания без того, чтобы они работали неэкономично. Употребляемые для производства приспособления распадаются на группы: 1) кондукторы и 2) приспособления для закрепления обрабатываемого предмета. Кондукторы в общем хороши и имеются в достаточном количестве. Зажимных приспособлений для фрезерных и строгальных станков недостаточно, а имеющиеся могли бы быть значительно улучшены. У части фрезерных станков подача ручная. Эти станки не подходят для производства: в настоящее время применение ручной подачи при регулярной работе с экономической точки зрения просто необъяснимо. Эти станки следует перестроить или выбросить вон. Распределение обслуживающего персонала часто неправильное. Вовсе необязательно приставлять к каждому отдельному автомату или полуавтомату специального рабочего. Около циркулярной пилы для разрезки материалов стоял при мне без дела рабочий, на расстоянии десяти метров от него стоял около приводной ножовки другой, в то время как для обеих этих машин и одного рабочего слишком много. Тоже самое и с зуборезными станками: для их обслуживания достаточно одного рабочего на четыре станка. У плоско-шлифовального станка для длинных </w:t>
      </w:r>
    </w:p>
    <w:p w14:paraId="3B8EA0BA" w14:textId="77777777" w:rsidR="00D0786A" w:rsidRPr="005E779E" w:rsidRDefault="00D078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ножей в Инструментальном цехе я видел сидевшего без дела и читавшего газету рабочего. На заводе с такой высококвалифицированной работой, как «АМО», не должно быть такой неравномерности в состоянии и использовании станков и не могут рабочие ходить без дела от половины до трех четвертей своего времени без того, чтобы это не вызвало соответствующей плохой оценки мастеров и заведующих производством. В Механическом, также как и в Заготовительных цехах, Кузнице и Литейной, о которых речь будет впереди, не хватает темпа. Исключение составляет только одна Рессорная мастерская, несмотря на то, что расположена она наихудшим образом.</w:t>
      </w:r>
    </w:p>
    <w:p w14:paraId="69B8E0E6" w14:textId="77777777" w:rsidR="00D0786A" w:rsidRPr="005E779E" w:rsidRDefault="00D078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III Система и порядок контроля на АМО стоят на высоте. Допуски употребляются, по большей части, точные и отделочные и лишь в некоторых случаях грубые и свободные. Наличные калибры приспособлены для четырех способов посадки: свободная посадка на вращение, нормальная посадка на вращение, посадка на скольжение и посадка с загоном, скользящее и тугое. Этого в общем достаточно. Оптические контрольные аппараты, такие как оптиметры, компараторы, измерительные машины, − первоклассны («Цейс-Иенна») и допускают хороший и надежный надзор за продукцией, как при летучем цеховом контроле, так и при постоянном главном контроле. Летучий контроль следует, по возможности, производить на рабочих местах.</w:t>
      </w:r>
    </w:p>
    <w:p w14:paraId="7498D5E2" w14:textId="77777777" w:rsidR="00D0786A" w:rsidRPr="005E779E" w:rsidRDefault="00D078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IV Сборка По данным г. Лапина, в настоящий момент уходит на сборку групп и шасси около 22 000 минут, в то время как было бы достаточно 12 000, если бы отдельные части поступали из Механического цеха в действительно готовом и взаимозаменяемом виде. В настоящий момент при сборке, как отдельных групп, так и шасси, отдельные части не просто собираются, как это должно было бы быть, а подгоняются напильником-шабером, наждачным полотном, молотком и зубилом, на что тратится очень много времени. Систематически пришабривать следует только, и то в небольших размерах, подшипники коленчатого вала и шатуна. Следовало бы, по возможности, скорей перейти на шлифование поверхностей картеров на больших плоско-шлифовальных станках. После такой обработки при обычной прокладке верхний и нижний картер без пришабровки должны плотно прилегать друг к другу и быть маслонепроницаемыми. На сборке, по моему мнению, можно уже сейчас перейти с помощью небольших мероприятий на поток. Для этого следует повернуть на 90 градусов монтажные станки и продвигать шасси вперед от руки по легкому рельсовому пути на вспомогательных или собственных колесах мимо слесарей для прогрессивной сборки. На четверти площади, занимаемой сейчас под сборку, можно было бы удобно разместить от 10-15 шасси. Для выпуска двух автомобилей в день ни в коем случае не должно быть одновременно в работе больше недельного выпуска, то есть 6*2=12 шасси. Это действительно также и для всех подгрупп. Цеховой оборот при этом составит лишь 1/5 от теперешнего. Полнейшим абсурдом является то, что теперь на сборке лежат до 70 шасси и соответственно больше излишнее количество деталей на сборке подгрупп и главных групп (двигатель, коробка скоростей, сцепление, управление, передняя и задняя ось), в то время как явно не хватает других мелких частей. Если бы последнего не было, был бы непонятным такой низкий дневной выпуск, как 2–2,3 автомобиля в день. Еще хуже обстоит дело с отдельными частями, лежащими около станков по 100 и 200 штук (кардан, блок цилиндров, алюминиевый картер, кронштейн, тормозные колодки и пр.). Детали эти к тому же принадлежат к самым крупным, на которые идет большое количество материалов, благодаря чему большие суммы денег лежат без движения. Очевидно, это происходит по вине планировочного и производственного бюро, также как и распределительного. Для поддержания общей равномерности руководители этих бюро должны в первую очередь определить время и подогнать производство отдельных недостающих деталей. У руководителей должно хватать мужества всюду сокращать производство − там, где налицо продолжительное время, слишком большой запас частей и соответствующе уменьшать количество рабочей силы на несколько недель или месяцев до тех пор, пока не будут использованы все излишки. Для производства вполне достаточно двухнедельного буферного склада. Даже при выпуске трех автомобилей в день это составит максимум 40–45 штук каждой детали.</w:t>
      </w:r>
    </w:p>
    <w:p w14:paraId="26522262" w14:textId="77777777" w:rsidR="00D0786A" w:rsidRPr="005E779E" w:rsidRDefault="00D078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Отладка нового оборудования по обработке блоков цилиндров</w:t>
      </w:r>
    </w:p>
    <w:p w14:paraId="37FDD701" w14:textId="77777777" w:rsidR="00D0786A" w:rsidRPr="005E779E" w:rsidRDefault="00D078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При серийном производстве, подобному тому, которое мы имеем на АМО, следует располагать и работать не больше, чем с недельными порциями, если мертвый капитал в материалах должен быть минимален, а производительность, получаемая с одного рабочего – максимальна. Идеалом серийного производства является работа </w:t>
      </w:r>
      <w:r w:rsidRPr="005E779E">
        <w:rPr>
          <w:rFonts w:ascii="Times New Roman" w:hAnsi="Times New Roman"/>
          <w:color w:val="000000" w:themeColor="text1"/>
          <w:sz w:val="16"/>
          <w:szCs w:val="16"/>
        </w:rPr>
        <w:lastRenderedPageBreak/>
        <w:t>с двухдневной потребностью, что, однако, возможно, лишь начиная от 15 автомобилей ежедневного выпуска, и не относится к работе на автоматах. При этом должно быть обеспечено вполне равномерное продвижение материалов. Если заменить характерное для сегодняшнего дня производство с колоссальными обращающимися запасами материалов хотя бы на крупных деталях групповым производством с выравненными и установленными по такту нормировочным бюро правильно, точно и соответственно временам обработки, то можно будет удивиться, как мало места понадобится тогда под производство и как понизится аккордное время. Само собой разумеется, надо лишить рабочих и мастеров возможности утверждать, что русская быстрорежущая сталь не надежна или вообще никуда не годится.</w:t>
      </w:r>
    </w:p>
    <w:p w14:paraId="202E0D31" w14:textId="77777777" w:rsidR="00D0786A" w:rsidRPr="005E779E" w:rsidRDefault="00D078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V К п.3. Литейная В Литейной одновременно производится как чугунное и стальное литье, так бронзовое и алюминиевое. Это должно быть отмечено как совершенно исключительное явление. В будущем следует отделить Литейную цветных металлов от Чугунно-литейной. Они вовсе не должны быть вместе − ни для формовки, ни еще меньше для плавки и литья. Литейная к тому же очень узка. С целью обеспечения ежедневного выпуска 15–20 моторов она должна быть расширена для установки роликовых транспортеров, или передних столов, а главным образом для того, что можно было разместить формовочные машины. Стержневые сушила устарели и занимают слишком много места. Механизируя подачу земли и подняв выше подающие трубы для песка, удастся освободить часть площади Литейной. Производительность литейной в 1,2–1,5 т в год на рабочего – слишком мала, она должна была бы быть хотя бы в 2 раза больше. В Очистной нет очистительных барабанов и пескоструйных аппаратов. Употребляющаяся в настоящее время песочная обдувка очень вредно действует на здоровье рабочих. Циркулярные пилы для обрезки приливов и прибылей устарели, особенно для отделки стального литья; их следует заменить современными полуавтоматическими пилами, обслуживаемыми одним рабочих. Для стального литья лучше всего употреблять беззубые пилы Марса.</w:t>
      </w:r>
    </w:p>
    <w:p w14:paraId="21BCE3C0" w14:textId="77777777" w:rsidR="00D0786A" w:rsidRPr="005E779E" w:rsidRDefault="00D078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VI К п.4. Кузница Этот цех нуждается в улучшении больше других. Печи в нем отчаянно дымят, так что копоть, по-видимому, лишь наполовину сгоревшая, вылетает густыми тучами из, в большинстве случаев, полуоткрытых дверец, делая чрезвычайно неприятным пребывание в Кузнице. Печное пространство загружается чрезвычайно слабо. Отсутствуют подъемные механизмы при печах для облегчения посадки и вытаскивания раскаленных тяжелых блоков, в связи с чем очень плохо используется пламя; муфельные стенки легко повреждаются и страдают из-за постоянного притока холодного воздуха. Печи расположены очень неудобно по отношению к молотам и прессам, так что обслуживающий персонал должен проходить большое расстояние с раскаленными предметами в клещах. Оборудование очень плохо подобрано, для мелких частей не хватает надлежащих, быстро работающих молотов, также как и прессов и абграт-машин для крупных частей. 6-миллиметровая жесть для штампования частей в 300 кв. см накаляется докрасна, ибо утверждается, что прессы недостаточно сильны для холодной работы. Под колоссальным двухколенчатым прессом изгибаются нагретые до красна миниатюрные предметы с производительностью 300 штук в день, в то время как на надлежащих машинах с рядом стоящими маленьким нагревателем эта производительность могла бы быть получена в течение двух часов.</w:t>
      </w:r>
    </w:p>
    <w:p w14:paraId="6679F325" w14:textId="77777777" w:rsidR="00D0786A" w:rsidRPr="005E779E" w:rsidRDefault="00D078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VII К п. 5. Прессовая Осмотренная Прессовая для коленчатых валов должна быть улучшением отделочного штампа доведена до максимального припуска от 10 до 15 % по весу вчерне. Мне кажется сомнительным: хватит ли имеющегося пресса для предстоящего производства, может быть, еще удлиненных шасси. Также кажется мне сомнительным возможность их приспособления для рационального производства грязевых щитов. Следовало бы своевременно приобрести крупный пресс, примерно в 1000–1200 т для производства колесных дисков, грязевых щитов коленчатых валов и пр.</w:t>
      </w:r>
    </w:p>
    <w:p w14:paraId="6F71CDB2" w14:textId="77777777" w:rsidR="00D0786A" w:rsidRPr="005E779E" w:rsidRDefault="00D078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Американский станок для нарезки отверстий в блоке цилиндров</w:t>
      </w:r>
    </w:p>
    <w:p w14:paraId="7BED1E25" w14:textId="77777777" w:rsidR="00D0786A" w:rsidRPr="005E779E" w:rsidRDefault="00D078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Производство фасонных частей из 6-миллиметровой жести и площадью 1 200 см2 под гидравлическим прессом, обслуживаемым тремя рабочими, с одним ходом на каждые 2 минуты явно нерационально. Для этого нужен эксцентриковый пресс с прижимателем и 5–8 ходами в минуту, обслуживаемый одним человеком, наподобие сейчас очень неэкономично используемых для производства мелких частей в Кузнице. Разметка шасси задних мостов и других крупных прессованных частей, также как и разметка кернером от руки и ручная вырезка автогенной горелкой, должна быть срочном порядком заменена работой по шаблону автогенными горелками. Теперешний метод требует слишком много времени, дорог и плох. Еще лучше было бы, конечно, заменить устарелую, впрочем, очень солидную, заднюю ось «фиата» другой, более современной конструкции. Штампы для Прессовой и Кузницы лежат в цехах в печальном беспорядке − один на другом на полу, в грязи и пыли. Штампы − настолько дорогие инструменты, что они безусловно заслуживают лучшего с ними обращения. Не следует недооценивать и морального влияния, оказываемого на рабочих подобным беспорядком. Штампы изготовляются в хороших и светлых помещениях, однако употребляемые станки, несмотря на их американское происхождение, не рациональны. Хочет АМО производить прессованые части с припусками в 2 мм, то надо хорошо, быстро и скоро изготовлять штампы. Для этого необходимо приобрести полуавтоматы Келлера. Не надо экономить при выборе инструментальной стали. Я привык в Германии выбивать на простом штампе по меньшей мере от 6 000 до 10 000 штук прессованных частей (также и из стального литья), как, например, камер и гильз для пехотного оружия при употреблении Беллеровской или Крупповской штамповой стали. Подобные высококачественные сорта стали нельзя не покупать до тех пор, пока сам не научишься хорошо их производить.</w:t>
      </w:r>
    </w:p>
    <w:p w14:paraId="52AA74A4" w14:textId="77777777" w:rsidR="00D0786A" w:rsidRPr="005E779E" w:rsidRDefault="00D078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п.6. Рессорная мастерская Рессорная мастерская чрезмерно узка и страдает из-за почти полного отсутствия надлежащих машин. Несмотря на это, получаемая продукция по количеству и качеству превосходит все воз</w:t>
      </w:r>
    </w:p>
    <w:p w14:paraId="70499383" w14:textId="77777777" w:rsidR="00D0786A" w:rsidRPr="005E779E" w:rsidRDefault="00D078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можное. Руководитель мастерской должен быть исключительным знатоком своего дела, а его рабочие – прямо художниками, для того чтобы изготовить от руки и сравнительно в большом количестве настолько хорошие рессоры. Так как мне было известно об очень плохом состоянии оборудования этой мастерской, то я в Германии вместе с фирмой Бр. Геллер-Каппенберг разработал при сем прилагаемый проект мастерской для производства рессор на 4 500 автомобилей в год: 9 000 передних и 9 000 задних рессор. Фирма «Геллер» согласна при практическом пуске в ход этой специальной мастерской поделиться своим опытом с вашими специалистами.</w:t>
      </w:r>
    </w:p>
    <w:p w14:paraId="51AD03EC" w14:textId="77777777" w:rsidR="00D0786A" w:rsidRPr="005E779E" w:rsidRDefault="00D078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К п. 7. Склады Старые склады находятся, в общем, на надлежащих местах, однако типы штабелей, также как и вытаскивание и резка материалов, должны быть улучшены. Новые склады в западной части завода, со строительной точки зрения очень велики. Это очень солидные железобетонные помещения имеют высоту, которая вряд ли может быть использована в складочном помещении, особенно при отсутствии каких бы то ни было подъемных приспособлений. Как раз на складах легкие ручные краны имеют совершенно исключительное значение. Очень полезны эти массивные здания будут при планируемой перестановке производства. В них можно будет, хотя бы временно, разместить целые цехи, хотя бы сейчас же – Рессорную мастерскую, также как и мастерскую для производства гаек, болтов и стандартных частей со всеми болто- и гайкорезными автоматами, полуавтоматами, фрезерными машинами и всеми принадлежностями. Если бы оказалось, что стены или бетонные колонны слишком слабы для размещения потолочных контр-приводов или для того чтобы выдержать кран, следует или перейти к одиночному приводу, или же устроить в этом высоком помещении самоподдерживающиеся железные помосты, что не должно вызвать никаких затруднений. При этом случае я не могу не поднять предупреждающе свой голос, для того, чтобы обратить ваше внимание на необходимость осторожного применения железобетонных конструкций там, </w:t>
      </w:r>
    </w:p>
    <w:p w14:paraId="757C4DF9" w14:textId="77777777" w:rsidR="00D0786A" w:rsidRPr="005E779E" w:rsidRDefault="00D078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Механосборочный цех завода, укомплектованный новым оборудованием Сборка редукторов задних мостов конвейерным способом</w:t>
      </w:r>
    </w:p>
    <w:p w14:paraId="3CC8301C" w14:textId="77777777" w:rsidR="00D0786A" w:rsidRPr="005E779E" w:rsidRDefault="00D078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где при устройстве фабрик можно не предусмотреть изменений или расширений, и где, во всяком случае, наверное, несколько раз должны будут быть перестанавливаться машины. В таких случаях надо выбирать пластично-приспособляющиеся железные конструкции и, во всяком случае, не жесткие железобетонные, которые может быть потом придется совсем убрать, если они будут стоять, мешая и не допуская изменений.</w:t>
      </w:r>
    </w:p>
    <w:p w14:paraId="66EA7650" w14:textId="77777777" w:rsidR="00D0786A" w:rsidRPr="005E779E" w:rsidRDefault="00D078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п. 8. Лаборатория и отделения для испытания материалов Оборудование комплектно, соответствует цели и хорошо продумано. Хорошее влияние этих отделений на надежную и равномерную поставку всех материалов, как от своих собственных заготовительных цехов, Кузницы и Литейной, так и со стороны посторонних поставщиков. Оно будет тем значительней, чем больше будет производство завода «АМО».</w:t>
      </w:r>
    </w:p>
    <w:p w14:paraId="4BC9DA97" w14:textId="77777777" w:rsidR="00D0786A" w:rsidRPr="005E779E" w:rsidRDefault="00D078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п. 9. Кузовной отдел В общем, вся обработка отдельных деревянных деталей, начиная от дерева и сушил через станки до сборки, производит хорошее впечатление. При увеличивающемся, однако, производстве, для повышения производительности отдельные станки должны быть снабжены больше и более удобными обслуживаемыми приспособлениями для закрепления обрабатываемых предметов, а также направляющими шаблонами. На сборке, несмотря на различные типы кароссери (кузовов. – Прим. ред.) (14- и 22−местный автобус, грузовик, санитарка, автомобиль для заключенных и пр.), уже сейчас можно было бы ввести поток путем установки колен с движущимися по ним тележками. При этом следует обратить особое внимание на сборочные шаблоны, в которые должны быть целиком заключены кароссери для облегчения правильной заменяемости частей, так как это имеет место на заводах Вандерера, Вреннабора и других. В случае выпуска 10–15 кароссери в день можно было бы организовать поточный процесс в красильне и сушильне (сравнить с «Амби-Буд», Берлин). В теперешней лакировальне для облегчения передвижения готовых лакированных кароссери не хватает потолочной кошки или драна. Лакировочное помещение не свободно от пыли, и теперешняя окраска грязевых щитов не украшает автомобиля. Причиной последнего может, однако, быть и ручная изготовка щитов, в то время как их следовало бы прессовать (сравнить с п. 8. Прессовая). Жестяные пластинки для арматурного щита слишком малы, и к ним приходится на сварочной машине припаивать кусок жести в 100 мм. О нерациональности подобных производственных методов говорить, очевидно, не приходится. Впрочем, это, по-видимому, применяется только как выход из положения вследствие неполучения надлежащего листового материала.</w:t>
      </w:r>
    </w:p>
    <w:p w14:paraId="19D3B28B" w14:textId="77777777" w:rsidR="00D0786A" w:rsidRPr="005E779E" w:rsidRDefault="00D078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п.10. Техническое бюро</w:t>
      </w:r>
    </w:p>
    <w:p w14:paraId="6975303F" w14:textId="77777777" w:rsidR="00D0786A" w:rsidRPr="005E779E" w:rsidRDefault="00D078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(сравнить с п. 5. Сборка) Чертежи Технического бюро изготовлены тщательно, со знанием дела и приспособлены к конструкции старого грузовика «фиат». В чертежах, помимо всего необходимого для производства, приведены данные о посадках и допусках. К сожалению, на заводе применяется американская система нарезки «Селлерса», однако сейчас уже начинают переходить на метрическую систему. Основная ошибка всей конструкции в целом состоит в том, что хотя конструкция «фиата» хороша и солидна, однако в ней не обращено никакого внимания на возможность дешевого производства отдельных частей, а также на легкую собираемость групп и сборку последних в шасси. В этом главная причина малой производительности завода «АМО». Блок цилиндров следует делать со съемной головкой, следствием чего будут простые модели, надежное литье, простое и дешевое производство. Подобный новый пробный двигатель сейчас уже изготовляется на заводе. Коробка скоростей должна быть по отношению к картеру двигателя принудительно центрирована. Лучше всего это осуществить введением круглой направляющей для облегчения сборки и поддержания постоянного совпадения оси коленчатого вала и главного вала коробки скоростей. Задняя ось очень сложна и тяжела; сейчас в </w:t>
      </w:r>
      <w:r w:rsidRPr="005E779E">
        <w:rPr>
          <w:rFonts w:ascii="Times New Roman" w:hAnsi="Times New Roman"/>
          <w:color w:val="000000" w:themeColor="text1"/>
          <w:sz w:val="16"/>
          <w:szCs w:val="16"/>
        </w:rPr>
        <w:lastRenderedPageBreak/>
        <w:t>бюро на полном ходу разработка новой конструкции оси. Принимая во внимание спокойный ход конической зубчатой передачи и планетарных колес, следовало бы особенно, еще вследствие их большей жизнеспособности, перейти на дуговое зацепление («Глисон») или спиральное («Гейденрайх» и «Гарбен»). На обработку зубьев этих передач требуется лишь около одной трети времени, затрачиваемого сейчас, что является большим экономическим преимуществом. Так как наличные строгальные старки для производства конических колес ни в коем случае не смогут удовлетворить будущее увеличение производства, то следовало бы новые станки выбрать для работы по наилучшему принципу, а старые перевести на изготовление колес для ранее выпущенных автомобилей в целях удовлетворения потребности собственного большого станкового хозяйства, а, может быть, также и для снабжения посторонних потребителей. В случае выбора гипоидальной передачи следует принять во внимание это обстоятельство при конструировании новой задней оси. Изготовление всего шасси в целом в настоящее время покоится на ручной пригонке. Это явление должно совершенно исчезнуть. Все соединительные бруски, колодки, втулки и корпусы подшипников должны быть пригнаны к раме, после чего рама в целом, закрепленная в большом зажимном приспособлении, должна рассверливаться и фрезероваться на специальном станке.</w:t>
      </w:r>
    </w:p>
    <w:p w14:paraId="4FC8D21A" w14:textId="77777777" w:rsidR="00D0786A" w:rsidRPr="005E779E" w:rsidRDefault="00D078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Прессовый отдел завода</w:t>
      </w:r>
    </w:p>
    <w:p w14:paraId="66311AE4" w14:textId="77777777" w:rsidR="00D0786A" w:rsidRPr="005E779E" w:rsidRDefault="00D078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Обработка распределительных валов двигателей</w:t>
      </w:r>
    </w:p>
    <w:p w14:paraId="04E188CE" w14:textId="77777777" w:rsidR="00D0786A" w:rsidRPr="005E779E" w:rsidRDefault="00D078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одну установку должны быть обработаны и рассверлены все места для приклепления двигателя, коробки скоростей, передней оси, задней оси, арматурного щита, тормозных рычагов и прч. При сборке шасси и кароссери все части должны просто без пригонки привинчиваться с минимальной потребностью в добавочных операциях. Для сборки, при выпуске десяти автомобилей в день, достаточно двадцати сборочных платформ и не больше 1/5 занимаемой в настоящий момент под сборку площади. Для монтажа передней оси употребляется известная вертикальная цепь, для задней оси – подводящие пути. Поставить специального инженера, работающего в тесной связи с цехами, для разработки надлежащих типов допусков, благодаря чему чертежи получаются уже созревшими для производства, отдельные части удешевляются, сохраняя в то же время достаточную точность, объем ручной работы на сборке сводится до минимума.</w:t>
      </w:r>
    </w:p>
    <w:p w14:paraId="5B49F07F" w14:textId="77777777" w:rsidR="00D0786A" w:rsidRPr="005E779E" w:rsidRDefault="00D078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XIII К п. 11. Бюро приспособлений Настолько же важным, как наличие в Техническом бюро специального инженера для определения допусков, является и объединение в одном помещении Технического бюро и Бюро приспособлений. Работа заведующих этими отделениями должна происходить совместно и спаяно. Очень правильно обеспечение внутреннего единения бюро приспособлений и цехов тем, что 5 опытных техников – 2 для Механического цеха, 2 – для Прессовой и 1 – для Деревообделочного, находятся постоянно в соответствующих цехах и свои заключения и наблюдения сейчас же в практической форме передают в Главное бюро для проработки. Я считаю эту систему проработки вопросов под общим ответственным руководством заведующего единственно правильной и предупреждаю от дачи самостоятельности отдельным цехам. Это и дорого, и единство при этом теряется. Литейная, Кузница, Механический цех, Сборка, Кузовной отдел с точки зрения приспособлений представляют собой одно целое и, конечно, на такой небольшой фабрике, как АМО, могут так же хорошо находиться в ведении одного способного человека, как и проработка всей конструкции автомобиля АМО у одного шефа. Кондукторы в хорошем состоянии и имеются в достаточном количестве, тоже действительно, в общем, и для большей части инструментов. Напротив, вопрос об отделочных развертках и зажимных приспособлениях для токарных, револьверных, фрезерных, строгальных и шлифовальных станков должен быть тщательно проработан, особенно с точки зрения скорости работы с ними.</w:t>
      </w:r>
    </w:p>
    <w:p w14:paraId="3E9C11AD" w14:textId="77777777" w:rsidR="00D0786A" w:rsidRPr="005E779E" w:rsidRDefault="00D078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XIV Внутренняя организация</w:t>
      </w:r>
    </w:p>
    <w:p w14:paraId="045EF603" w14:textId="77777777" w:rsidR="00D0786A" w:rsidRPr="005E779E" w:rsidRDefault="00D078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пунктам: 12. Подготовление и планирование 13. Распределение 14. Нормирование 15. Расчетный отдел 16. Исполнительная калькуляция и определение накладных расходов</w:t>
      </w:r>
    </w:p>
    <w:p w14:paraId="4A10949A" w14:textId="77777777" w:rsidR="00D0786A" w:rsidRPr="005E779E" w:rsidRDefault="00D078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Каждое из этих бюро в отдельности работает точно, детально, пунктуально и со знанием своего дела. Я, однако, должен принципиально возразить против существующего рода взаимных отношений в работе отдельных важных отделов. Как мне кажется, на АМО каждый из заведующих отдельным бюро представляет собой маленького самостоятельного властителя. В моем представлении, как заводского организатора, каждый из отделов является лишь частью одного и того же целого. Глаз, который только видит, ухо, которое только слышит, а рука осязает, вместе служат в тоже время как необходимейшие элементы на благо всего, подчиненного центральному мозгу организма. Так же, как одно целое, должно быть устроено и управление фабрики. Не должно быть множественного дуализма, иначе растет канцелярщина, требуются всюду добавочные контроли, и чрезмерно разрастается конторский персонал.</w:t>
      </w:r>
    </w:p>
    <w:p w14:paraId="7921A4AB" w14:textId="77777777" w:rsidR="00D0786A" w:rsidRPr="005E779E" w:rsidRDefault="00D078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Прежде всего, создают план согласно предопределяемой Главным управлением программы выпуска, далее определяется потребность в материале, заказывают его и заботятся о его равномерном поступлении (Богданов). Затем изготовляют операционную карточку и нормируют время, по возможности полнее используя наличные станки (Назаров). Загружают машины, устраняют затруднения, распределяют работу по мастерам и заботятся о правильном, дешевом и своевременном исполнении задания (Моргенштерн). Выплачивают заработок на основании аккордных листков после сравнения их с нормировочными карточками (Петров).</w:t>
      </w:r>
    </w:p>
    <w:p w14:paraId="1AB73453" w14:textId="77777777" w:rsidR="00D0786A" w:rsidRPr="005E779E" w:rsidRDefault="00D078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Новый мощный пресс, установленный на заводе</w:t>
      </w:r>
    </w:p>
    <w:p w14:paraId="015F25E7" w14:textId="77777777" w:rsidR="00D0786A" w:rsidRPr="005E779E" w:rsidRDefault="00D078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Определяют расходы производства сложением стоимости материала, заработка и накладных расходов (Колотилин). Каждый может работать для себя, однако все материалы должны быть созданы так, чтобы формуляры (материальные и аккордные листки) подготовительного бюро годились и для производства, и для денежного расчета. Этого объединения сейчас на АМО нет. Единство как будто бы и предусмотрено центральным управлением, и указание к его оформлению также даны. Каждый из вышеназванных заведующих делает наилучшим образом все то, что он только может для выполнения ему порученного, однако при организации во всем целом весьма сложной документной системы не хватило центрального работника, который продумал бы все таким образом, чтобы каждый исполнитель вместе с приказом получил бы и соответствующие формуляры. Благодаря этому, при самостоятельной работе отдельных органов был бы обеспечен определенный порядок обращения документов без того, чтобы порывались соединительные нити с центральным управлением. Организация вырастает из работы. Для АМО – это производство грузовиков, двигателей для Ярославля, запасных частей и пр. Контроль организации должен взять на себя расчет. Так как работа контролируется расчетом, а то время, как расчет, наоборот не может контролироваться работой, то расчет должен быть построен по принципу двойной бухгалтерии. Только тогда можно быть действительно уверенным в том, что расчет, как сопутствующий работе, составлен на основании проверенных данных принудительно, правильно и точно. Вряд ли стоит говорить об отдельных мелких недостатках, имеющихся в пяти вышеназванных бюро. &lt;…&gt;</w:t>
      </w:r>
    </w:p>
    <w:p w14:paraId="3A3DC8EA" w14:textId="77777777" w:rsidR="00D0786A" w:rsidRPr="005E779E" w:rsidRDefault="00D078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XV Из всех русских заводов, мною ранее осмотренных, «АМО» с точки зрения производства по качеству и количеству стоит несомненно в первом ряду. В настоящее время Автотрест хочет это сравнительно лучшее производство совершенно модернизировать. Поскольку мне пришлось обследовать внутреннюю управленческую организацию в России, я могу поставить АМО в центральное управление. Однако здесь дальновидное центральное управление не должно было бы затягивать замену наличного в настоящее время несвоевременного дуалистического аппарата управления на совре</w:t>
      </w:r>
    </w:p>
    <w:p w14:paraId="6F51831C" w14:textId="77777777" w:rsidR="00D0786A" w:rsidRPr="005E779E" w:rsidRDefault="00D078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менный, унитарный. Этим оно сможет сэкономить много средств, а результаты получить и скорее и совершеннее. Данные расчета должны быть превращены из судьи прошедшего в руководителя настоящего и указателя будущего.</w:t>
      </w:r>
    </w:p>
    <w:p w14:paraId="251FC721" w14:textId="77777777" w:rsidR="00D0786A" w:rsidRPr="005E779E" w:rsidRDefault="00D078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XVI К п.17. Расширение завода Показанный мне проект простого расширения считаю я в общем и целом совершенно правильным. Я рекомендовал бы разместить в отдельных постройках или же в допускающих расширения пристройках следующие цехи: Рессорная мастерская; Инструментальный цех и изготовление приспособлений; Револьверная и автоматное отделение для изготовления болтов, гаек и всех стандартных деталей; Термическая мастерская должна быть тщательно разработана и устроена централизованно по отношению ко всем снабжающим ее цехам. По моему опыту на заводах с выпуском в 10–20 автомобилей в день хорошо группировать цехи таким образом, чтобы маленькие и средние группы, такие как коробка скоростей, сцепление, управление, радиатор, кардан, дифференциал, масляной и водяной насос, собирать в непосредственной близости к тем производственным улицам (линиям станков), по которым они проходят в готовом виде, как подгруппы ежедневно подавать на сборку. Тогда соответствующий мастер должен будет очень тщательно следить за соблюдением допусков, иначе он не сможет подавать свои группы. Транспорт благодаря этому уменьшится, и облегчится расчет. Крупные группы: двигатель, задний мост, передняя ось и рама остаются в главном сборочном отделении. Производство на легко обозримые большие производственные улицы, конечно, может быть основательно проведено только при постройке нового завода на 12 тысяч автомобилей в год.</w:t>
      </w:r>
    </w:p>
    <w:p w14:paraId="4F26FD80" w14:textId="77777777" w:rsidR="00D0786A" w:rsidRPr="005E779E" w:rsidRDefault="00D078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XVII Заключение Завод «АМО» в настоящий момент страдает из-за неправильного использования наличных станков. В общем, совершенно не в том дело, чтобы полно загрузить все станки и рабочих. Основными вопросами являются следующие. Какие машины требуются для ежедневного выпуска: а) двух грузовиков; б) трех; в) четырех; г) шести вместе с принадлежностями, двигателями для Ярославля и пр. Как должны быть использованы, улучшены или изменены наличные станки для наилучшего разрешения этой задачи. К ответу на эти вопросы следует сейчас же привлечь заведующих производством (Лапин, Моргенштерн), заведующего Бюро приспособлений (Френкель), нормировщика (Назаров) и Бюро производства (Богданов). После чего следует приобрести выяснившееся необходимое добавочное оборудование, чтобы сделать одинаковой пропускную способность всех цехов. Если револьверный станок ежедневно дает три каких-нибудь детали для трех автомобилей, то это будет поточной работой и рациональней, чем работа, скажем, по шести операциям на шести станках.</w:t>
      </w:r>
    </w:p>
    <w:p w14:paraId="25D80067" w14:textId="77777777" w:rsidR="00D0786A" w:rsidRPr="005E779E" w:rsidRDefault="00D078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Профессор Шлезингер- (17494).</w:t>
      </w:r>
    </w:p>
    <w:p w14:paraId="6A942E48" w14:textId="77777777" w:rsidR="00D0786A" w:rsidRPr="005E779E" w:rsidRDefault="00D0786A" w:rsidP="000B7A6C">
      <w:pPr>
        <w:spacing w:after="0" w:line="240" w:lineRule="auto"/>
        <w:jc w:val="both"/>
        <w:rPr>
          <w:rFonts w:ascii="Times New Roman" w:eastAsia="Times New Roman" w:hAnsi="Times New Roman"/>
          <w:color w:val="000000" w:themeColor="text1"/>
          <w:sz w:val="16"/>
          <w:szCs w:val="16"/>
          <w:lang w:eastAsia="ru-RU"/>
        </w:rPr>
      </w:pPr>
    </w:p>
    <w:p w14:paraId="51C06934"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5D90E30E"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28DB8E1" w14:textId="77777777" w:rsidR="00A4352B" w:rsidRPr="005E779E" w:rsidRDefault="00A4352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В мае 1931 г. штаб ВВС КА вышел с инициативой пересмотреть существующую систему вооружений ВВС.</w:t>
      </w:r>
    </w:p>
    <w:p w14:paraId="51FA78A3" w14:textId="77777777" w:rsidR="00A4352B" w:rsidRPr="005E779E" w:rsidRDefault="00A4352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Дело в том, что планы перевооруже</w:t>
      </w:r>
      <w:r w:rsidRPr="005E779E">
        <w:rPr>
          <w:rFonts w:ascii="Times New Roman" w:hAnsi="Times New Roman"/>
          <w:color w:val="000000" w:themeColor="text1"/>
          <w:sz w:val="16"/>
          <w:szCs w:val="16"/>
          <w:lang w:eastAsia="ru-RU" w:bidi="ru-RU"/>
        </w:rPr>
        <w:softHyphen/>
        <w:t>ния ВВС КА современными боевыми са</w:t>
      </w:r>
      <w:r w:rsidRPr="005E779E">
        <w:rPr>
          <w:rFonts w:ascii="Times New Roman" w:hAnsi="Times New Roman"/>
          <w:color w:val="000000" w:themeColor="text1"/>
          <w:sz w:val="16"/>
          <w:szCs w:val="16"/>
          <w:lang w:eastAsia="ru-RU" w:bidi="ru-RU"/>
        </w:rPr>
        <w:softHyphen/>
        <w:t>молетами и развертывания новых фор</w:t>
      </w:r>
      <w:r w:rsidRPr="005E779E">
        <w:rPr>
          <w:rFonts w:ascii="Times New Roman" w:hAnsi="Times New Roman"/>
          <w:color w:val="000000" w:themeColor="text1"/>
          <w:sz w:val="16"/>
          <w:szCs w:val="16"/>
          <w:lang w:eastAsia="ru-RU" w:bidi="ru-RU"/>
        </w:rPr>
        <w:softHyphen/>
        <w:t>мирований оказались под угрозой срыва. Учитывая фактические поставки матери</w:t>
      </w:r>
      <w:r w:rsidRPr="005E779E">
        <w:rPr>
          <w:rFonts w:ascii="Times New Roman" w:hAnsi="Times New Roman"/>
          <w:color w:val="000000" w:themeColor="text1"/>
          <w:sz w:val="16"/>
          <w:szCs w:val="16"/>
          <w:lang w:eastAsia="ru-RU" w:bidi="ru-RU"/>
        </w:rPr>
        <w:softHyphen/>
        <w:t>альной части промышленностью в 1-м и 2-м кварталах, выполнение плана зака</w:t>
      </w:r>
      <w:r w:rsidRPr="005E779E">
        <w:rPr>
          <w:rFonts w:ascii="Times New Roman" w:hAnsi="Times New Roman"/>
          <w:color w:val="000000" w:themeColor="text1"/>
          <w:sz w:val="16"/>
          <w:szCs w:val="16"/>
          <w:lang w:eastAsia="ru-RU" w:bidi="ru-RU"/>
        </w:rPr>
        <w:softHyphen/>
        <w:t>зов УВВС в 1931 г. прогнозировалось на уровне 30% - по самолетам, и 20% - по моторам. Получалось так, что к концу года почти вся истребительная авиация будет продолжать летать на устаревших само</w:t>
      </w:r>
      <w:r w:rsidRPr="005E779E">
        <w:rPr>
          <w:rFonts w:ascii="Times New Roman" w:hAnsi="Times New Roman"/>
          <w:color w:val="000000" w:themeColor="text1"/>
          <w:sz w:val="16"/>
          <w:szCs w:val="16"/>
          <w:lang w:eastAsia="ru-RU" w:bidi="ru-RU"/>
        </w:rPr>
        <w:softHyphen/>
        <w:t>летах И-3 и И-4, а легкобомбардировоч</w:t>
      </w:r>
      <w:r w:rsidRPr="005E779E">
        <w:rPr>
          <w:rFonts w:ascii="Times New Roman" w:hAnsi="Times New Roman"/>
          <w:color w:val="000000" w:themeColor="text1"/>
          <w:sz w:val="16"/>
          <w:szCs w:val="16"/>
          <w:lang w:eastAsia="ru-RU" w:bidi="ru-RU"/>
        </w:rPr>
        <w:softHyphen/>
        <w:t>ная, штурмовая, разведывательная и вой</w:t>
      </w:r>
      <w:r w:rsidRPr="005E779E">
        <w:rPr>
          <w:rFonts w:ascii="Times New Roman" w:hAnsi="Times New Roman"/>
          <w:color w:val="000000" w:themeColor="text1"/>
          <w:sz w:val="16"/>
          <w:szCs w:val="16"/>
          <w:lang w:eastAsia="ru-RU" w:bidi="ru-RU"/>
        </w:rPr>
        <w:softHyphen/>
        <w:t>сковая авиация - на разведчиках Р-1. Но</w:t>
      </w:r>
      <w:r w:rsidRPr="005E779E">
        <w:rPr>
          <w:rFonts w:ascii="Times New Roman" w:hAnsi="Times New Roman"/>
          <w:color w:val="000000" w:themeColor="text1"/>
          <w:sz w:val="16"/>
          <w:szCs w:val="16"/>
          <w:lang w:eastAsia="ru-RU" w:bidi="ru-RU"/>
        </w:rPr>
        <w:softHyphen/>
        <w:t xml:space="preserve">выми истребителями И-5 и разведчиками Р-5 удастся вооружить </w:t>
      </w:r>
      <w:r w:rsidRPr="005E779E">
        <w:rPr>
          <w:rFonts w:ascii="Times New Roman" w:hAnsi="Times New Roman"/>
          <w:color w:val="000000" w:themeColor="text1"/>
          <w:sz w:val="16"/>
          <w:szCs w:val="16"/>
          <w:lang w:eastAsia="ru-RU" w:bidi="ru-RU"/>
        </w:rPr>
        <w:lastRenderedPageBreak/>
        <w:t>не более 10</w:t>
      </w:r>
      <w:r w:rsidRPr="005E779E">
        <w:rPr>
          <w:rFonts w:ascii="Times New Roman" w:hAnsi="Times New Roman"/>
          <w:color w:val="000000" w:themeColor="text1"/>
          <w:sz w:val="16"/>
          <w:szCs w:val="16"/>
          <w:lang w:eastAsia="ru-RU" w:bidi="ru-RU"/>
        </w:rPr>
        <w:softHyphen/>
        <w:t>12 эскадрилий. Одновременно придется частично свернуть планы подготовки лет</w:t>
      </w:r>
      <w:r w:rsidRPr="005E779E">
        <w:rPr>
          <w:rFonts w:ascii="Times New Roman" w:hAnsi="Times New Roman"/>
          <w:color w:val="000000" w:themeColor="text1"/>
          <w:sz w:val="16"/>
          <w:szCs w:val="16"/>
          <w:lang w:eastAsia="ru-RU" w:bidi="ru-RU"/>
        </w:rPr>
        <w:softHyphen/>
        <w:t>ного состава, так как предназначавшиеся для передачи в авиашколы самолеты Р-1 останутся в строю, и школы окажутся не</w:t>
      </w:r>
      <w:r w:rsidRPr="005E779E">
        <w:rPr>
          <w:rFonts w:ascii="Times New Roman" w:hAnsi="Times New Roman"/>
          <w:color w:val="000000" w:themeColor="text1"/>
          <w:sz w:val="16"/>
          <w:szCs w:val="16"/>
          <w:lang w:eastAsia="ru-RU" w:bidi="ru-RU"/>
        </w:rPr>
        <w:softHyphen/>
        <w:t>доукомплектованными.</w:t>
      </w:r>
    </w:p>
    <w:p w14:paraId="10F2EA72" w14:textId="77777777" w:rsidR="00A4352B" w:rsidRPr="005E779E" w:rsidRDefault="00A4352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Кроме того, существующие образцы самолетов и моторов, вооружения и сна</w:t>
      </w:r>
      <w:r w:rsidRPr="005E779E">
        <w:rPr>
          <w:rFonts w:ascii="Times New Roman" w:hAnsi="Times New Roman"/>
          <w:color w:val="000000" w:themeColor="text1"/>
          <w:sz w:val="16"/>
          <w:szCs w:val="16"/>
          <w:lang w:eastAsia="ru-RU" w:bidi="ru-RU"/>
        </w:rPr>
        <w:softHyphen/>
        <w:t>ряжения (пулеметы, пушки, прицелы, фо</w:t>
      </w:r>
      <w:r w:rsidRPr="005E779E">
        <w:rPr>
          <w:rFonts w:ascii="Times New Roman" w:hAnsi="Times New Roman"/>
          <w:color w:val="000000" w:themeColor="text1"/>
          <w:sz w:val="16"/>
          <w:szCs w:val="16"/>
          <w:lang w:eastAsia="ru-RU" w:bidi="ru-RU"/>
        </w:rPr>
        <w:softHyphen/>
        <w:t>тоаппаратура, радио) заметно уступают лучшим образцам иностранной техники.</w:t>
      </w:r>
    </w:p>
    <w:p w14:paraId="5218DA19" w14:textId="77777777" w:rsidR="00A4352B" w:rsidRPr="005E779E" w:rsidRDefault="00A4352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Становилось очевидным, что произ</w:t>
      </w:r>
      <w:r w:rsidRPr="005E779E">
        <w:rPr>
          <w:rFonts w:ascii="Times New Roman" w:hAnsi="Times New Roman"/>
          <w:color w:val="000000" w:themeColor="text1"/>
          <w:sz w:val="16"/>
          <w:szCs w:val="16"/>
          <w:lang w:eastAsia="ru-RU" w:bidi="ru-RU"/>
        </w:rPr>
        <w:softHyphen/>
        <w:t>водственные мощности и уровень разви</w:t>
      </w:r>
      <w:r w:rsidRPr="005E779E">
        <w:rPr>
          <w:rFonts w:ascii="Times New Roman" w:hAnsi="Times New Roman"/>
          <w:color w:val="000000" w:themeColor="text1"/>
          <w:sz w:val="16"/>
          <w:szCs w:val="16"/>
          <w:lang w:eastAsia="ru-RU" w:bidi="ru-RU"/>
        </w:rPr>
        <w:softHyphen/>
        <w:t>тия технологий советского авиапрома, а также организация опытного строитель</w:t>
      </w:r>
      <w:r w:rsidRPr="005E779E">
        <w:rPr>
          <w:rFonts w:ascii="Times New Roman" w:hAnsi="Times New Roman"/>
          <w:color w:val="000000" w:themeColor="text1"/>
          <w:sz w:val="16"/>
          <w:szCs w:val="16"/>
          <w:lang w:eastAsia="ru-RU" w:bidi="ru-RU"/>
        </w:rPr>
        <w:softHyphen/>
        <w:t>ства явно не отвечают реалиям постав</w:t>
      </w:r>
      <w:r w:rsidRPr="005E779E">
        <w:rPr>
          <w:rFonts w:ascii="Times New Roman" w:hAnsi="Times New Roman"/>
          <w:color w:val="000000" w:themeColor="text1"/>
          <w:sz w:val="16"/>
          <w:szCs w:val="16"/>
          <w:lang w:eastAsia="ru-RU" w:bidi="ru-RU"/>
        </w:rPr>
        <w:softHyphen/>
        <w:t>ленных задач. Заводам, конструкторским и научным организациям ВАО параллель</w:t>
      </w:r>
      <w:r w:rsidRPr="005E779E">
        <w:rPr>
          <w:rFonts w:ascii="Times New Roman" w:hAnsi="Times New Roman"/>
          <w:color w:val="000000" w:themeColor="text1"/>
          <w:sz w:val="16"/>
          <w:szCs w:val="16"/>
          <w:lang w:eastAsia="ru-RU" w:bidi="ru-RU"/>
        </w:rPr>
        <w:softHyphen/>
        <w:t>ный выпуск и проектирование нескольких типов боевых самолетов и различного во</w:t>
      </w:r>
      <w:r w:rsidRPr="005E779E">
        <w:rPr>
          <w:rFonts w:ascii="Times New Roman" w:hAnsi="Times New Roman"/>
          <w:color w:val="000000" w:themeColor="text1"/>
          <w:sz w:val="16"/>
          <w:szCs w:val="16"/>
          <w:lang w:eastAsia="ru-RU" w:bidi="ru-RU"/>
        </w:rPr>
        <w:softHyphen/>
        <w:t>оружения было не под силу.</w:t>
      </w:r>
    </w:p>
    <w:p w14:paraId="1E73E440" w14:textId="77777777" w:rsidR="00A4352B" w:rsidRPr="005E779E" w:rsidRDefault="00A4352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К тому же в концепции применения наземных войск (и авиации) в бою и опе</w:t>
      </w:r>
      <w:r w:rsidRPr="005E779E">
        <w:rPr>
          <w:rFonts w:ascii="Times New Roman" w:hAnsi="Times New Roman"/>
          <w:color w:val="000000" w:themeColor="text1"/>
          <w:sz w:val="16"/>
          <w:szCs w:val="16"/>
          <w:lang w:eastAsia="ru-RU" w:bidi="ru-RU"/>
        </w:rPr>
        <w:softHyphen/>
        <w:t>рации наметились серьезные изменения.</w:t>
      </w:r>
    </w:p>
    <w:p w14:paraId="5F0825B1" w14:textId="77777777" w:rsidR="00A4352B" w:rsidRPr="005E779E" w:rsidRDefault="00A4352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По этим причинам предлагалось со</w:t>
      </w:r>
      <w:r w:rsidRPr="005E779E">
        <w:rPr>
          <w:rFonts w:ascii="Times New Roman" w:hAnsi="Times New Roman"/>
          <w:color w:val="000000" w:themeColor="text1"/>
          <w:sz w:val="16"/>
          <w:szCs w:val="16"/>
          <w:lang w:eastAsia="ru-RU" w:bidi="ru-RU"/>
        </w:rPr>
        <w:softHyphen/>
        <w:t>кратить количество типов самолетов и моторов (как серийных, так и опытных образцов), а также по возможности уни</w:t>
      </w:r>
      <w:r w:rsidRPr="005E779E">
        <w:rPr>
          <w:rFonts w:ascii="Times New Roman" w:hAnsi="Times New Roman"/>
          <w:color w:val="000000" w:themeColor="text1"/>
          <w:sz w:val="16"/>
          <w:szCs w:val="16"/>
          <w:lang w:eastAsia="ru-RU" w:bidi="ru-RU"/>
        </w:rPr>
        <w:softHyphen/>
        <w:t>фицировать военные и гражданские са</w:t>
      </w:r>
      <w:r w:rsidRPr="005E779E">
        <w:rPr>
          <w:rFonts w:ascii="Times New Roman" w:hAnsi="Times New Roman"/>
          <w:color w:val="000000" w:themeColor="text1"/>
          <w:sz w:val="16"/>
          <w:szCs w:val="16"/>
          <w:lang w:eastAsia="ru-RU" w:bidi="ru-RU"/>
        </w:rPr>
        <w:softHyphen/>
        <w:t>молеты. При этом «основной упор в сис</w:t>
      </w:r>
      <w:r w:rsidRPr="005E779E">
        <w:rPr>
          <w:rFonts w:ascii="Times New Roman" w:hAnsi="Times New Roman"/>
          <w:color w:val="000000" w:themeColor="text1"/>
          <w:sz w:val="16"/>
          <w:szCs w:val="16"/>
          <w:lang w:eastAsia="ru-RU" w:bidi="ru-RU"/>
        </w:rPr>
        <w:softHyphen/>
        <w:t>теме вооружения ВВС» требовалось пере</w:t>
      </w:r>
      <w:r w:rsidRPr="005E779E">
        <w:rPr>
          <w:rFonts w:ascii="Times New Roman" w:hAnsi="Times New Roman"/>
          <w:color w:val="000000" w:themeColor="text1"/>
          <w:sz w:val="16"/>
          <w:szCs w:val="16"/>
          <w:lang w:eastAsia="ru-RU" w:bidi="ru-RU"/>
        </w:rPr>
        <w:softHyphen/>
        <w:t>нести «на развитие и совершенствование бомбардировочной, преимущественно тя</w:t>
      </w:r>
      <w:r w:rsidRPr="005E779E">
        <w:rPr>
          <w:rFonts w:ascii="Times New Roman" w:hAnsi="Times New Roman"/>
          <w:color w:val="000000" w:themeColor="text1"/>
          <w:sz w:val="16"/>
          <w:szCs w:val="16"/>
          <w:lang w:eastAsia="ru-RU" w:bidi="ru-RU"/>
        </w:rPr>
        <w:softHyphen/>
        <w:t>желой, авиации в смысле увеличения ее радиуса действия и повышения бомбовой нагрузки», и повышение «активно насту</w:t>
      </w:r>
      <w:r w:rsidRPr="005E779E">
        <w:rPr>
          <w:rFonts w:ascii="Times New Roman" w:hAnsi="Times New Roman"/>
          <w:color w:val="000000" w:themeColor="text1"/>
          <w:sz w:val="16"/>
          <w:szCs w:val="16"/>
          <w:lang w:eastAsia="ru-RU" w:bidi="ru-RU"/>
        </w:rPr>
        <w:softHyphen/>
        <w:t>пательной роли двухместных истребите</w:t>
      </w:r>
      <w:r w:rsidRPr="005E779E">
        <w:rPr>
          <w:rFonts w:ascii="Times New Roman" w:hAnsi="Times New Roman"/>
          <w:color w:val="000000" w:themeColor="text1"/>
          <w:sz w:val="16"/>
          <w:szCs w:val="16"/>
          <w:lang w:eastAsia="ru-RU" w:bidi="ru-RU"/>
        </w:rPr>
        <w:softHyphen/>
        <w:t>лей за счет одноместных». Огневую мощь самолетов штурмовой авиации следовало резко усилить преимущественно за счет «бомбардировочного и военно-химиче</w:t>
      </w:r>
      <w:r w:rsidRPr="005E779E">
        <w:rPr>
          <w:rFonts w:ascii="Times New Roman" w:hAnsi="Times New Roman"/>
          <w:color w:val="000000" w:themeColor="text1"/>
          <w:sz w:val="16"/>
          <w:szCs w:val="16"/>
          <w:lang w:eastAsia="ru-RU" w:bidi="ru-RU"/>
        </w:rPr>
        <w:softHyphen/>
        <w:t>ского вооружения», а также путем широ</w:t>
      </w:r>
      <w:r w:rsidRPr="005E779E">
        <w:rPr>
          <w:rFonts w:ascii="Times New Roman" w:hAnsi="Times New Roman"/>
          <w:color w:val="000000" w:themeColor="text1"/>
          <w:sz w:val="16"/>
          <w:szCs w:val="16"/>
          <w:lang w:eastAsia="ru-RU" w:bidi="ru-RU"/>
        </w:rPr>
        <w:softHyphen/>
        <w:t>кого применения крупнокалиберных пу</w:t>
      </w:r>
      <w:r w:rsidRPr="005E779E">
        <w:rPr>
          <w:rFonts w:ascii="Times New Roman" w:hAnsi="Times New Roman"/>
          <w:color w:val="000000" w:themeColor="text1"/>
          <w:sz w:val="16"/>
          <w:szCs w:val="16"/>
          <w:lang w:eastAsia="ru-RU" w:bidi="ru-RU"/>
        </w:rPr>
        <w:softHyphen/>
        <w:t>леметов и пушек.</w:t>
      </w:r>
    </w:p>
    <w:p w14:paraId="569AEB37" w14:textId="77777777" w:rsidR="00A4352B" w:rsidRPr="005E779E" w:rsidRDefault="00A4352B" w:rsidP="000B7A6C">
      <w:pPr>
        <w:spacing w:after="0" w:line="240" w:lineRule="auto"/>
        <w:jc w:val="both"/>
        <w:rPr>
          <w:rFonts w:ascii="Times New Roman" w:hAnsi="Times New Roman"/>
          <w:color w:val="000000" w:themeColor="text1"/>
          <w:sz w:val="16"/>
          <w:szCs w:val="16"/>
          <w:lang w:eastAsia="ru-RU" w:bidi="ru-RU"/>
        </w:rPr>
      </w:pPr>
      <w:r w:rsidRPr="005E779E">
        <w:rPr>
          <w:rFonts w:ascii="Times New Roman" w:hAnsi="Times New Roman"/>
          <w:color w:val="000000" w:themeColor="text1"/>
          <w:sz w:val="16"/>
          <w:szCs w:val="16"/>
          <w:lang w:eastAsia="ru-RU" w:bidi="ru-RU"/>
        </w:rPr>
        <w:t>Отметим, что сокращение типов бо</w:t>
      </w:r>
      <w:r w:rsidRPr="005E779E">
        <w:rPr>
          <w:rFonts w:ascii="Times New Roman" w:hAnsi="Times New Roman"/>
          <w:color w:val="000000" w:themeColor="text1"/>
          <w:sz w:val="16"/>
          <w:szCs w:val="16"/>
          <w:lang w:eastAsia="ru-RU" w:bidi="ru-RU"/>
        </w:rPr>
        <w:softHyphen/>
        <w:t>евых самолетов в строю позволяло за</w:t>
      </w:r>
      <w:r w:rsidRPr="005E779E">
        <w:rPr>
          <w:rFonts w:ascii="Times New Roman" w:hAnsi="Times New Roman"/>
          <w:color w:val="000000" w:themeColor="text1"/>
          <w:sz w:val="16"/>
          <w:szCs w:val="16"/>
          <w:lang w:eastAsia="ru-RU" w:bidi="ru-RU"/>
        </w:rPr>
        <w:softHyphen/>
        <w:t>метно снизить затраты на эксплуата</w:t>
      </w:r>
      <w:r w:rsidRPr="005E779E">
        <w:rPr>
          <w:rFonts w:ascii="Times New Roman" w:hAnsi="Times New Roman"/>
          <w:color w:val="000000" w:themeColor="text1"/>
          <w:sz w:val="16"/>
          <w:szCs w:val="16"/>
          <w:lang w:eastAsia="ru-RU" w:bidi="ru-RU"/>
        </w:rPr>
        <w:softHyphen/>
        <w:t>цию и поддержание в боеготовом состо</w:t>
      </w:r>
      <w:r w:rsidRPr="005E779E">
        <w:rPr>
          <w:rFonts w:ascii="Times New Roman" w:hAnsi="Times New Roman"/>
          <w:color w:val="000000" w:themeColor="text1"/>
          <w:sz w:val="16"/>
          <w:szCs w:val="16"/>
          <w:lang w:eastAsia="ru-RU" w:bidi="ru-RU"/>
        </w:rPr>
        <w:softHyphen/>
        <w:t>янии имеющегося состава самолетов, а также на подготовку летного и техниче</w:t>
      </w:r>
      <w:r w:rsidRPr="005E779E">
        <w:rPr>
          <w:rFonts w:ascii="Times New Roman" w:hAnsi="Times New Roman"/>
          <w:color w:val="000000" w:themeColor="text1"/>
          <w:sz w:val="16"/>
          <w:szCs w:val="16"/>
          <w:lang w:eastAsia="ru-RU" w:bidi="ru-RU"/>
        </w:rPr>
        <w:softHyphen/>
        <w:t>ского состава (21062).</w:t>
      </w:r>
    </w:p>
    <w:p w14:paraId="103E76BF" w14:textId="77777777" w:rsidR="00A4352B" w:rsidRPr="005E779E" w:rsidRDefault="00A4352B" w:rsidP="000B7A6C">
      <w:pPr>
        <w:spacing w:after="0" w:line="240" w:lineRule="auto"/>
        <w:jc w:val="both"/>
        <w:rPr>
          <w:rFonts w:ascii="Times New Roman" w:hAnsi="Times New Roman"/>
          <w:color w:val="000000" w:themeColor="text1"/>
          <w:sz w:val="16"/>
          <w:szCs w:val="16"/>
        </w:rPr>
      </w:pPr>
    </w:p>
    <w:p w14:paraId="75FB88D3" w14:textId="77777777" w:rsidR="00285B3D" w:rsidRPr="00142305" w:rsidRDefault="00285B3D" w:rsidP="00285B3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мае 1931 т. ТБ-1 стали принимать в Москве, прямо на заводском аэродроме. Оттуда перегоняли машины летчики 51-й и 59-й эскадрилий. В Подмосковье, в Монино, формировали сразу две бригады — 17-ю и 23-ю. К этому времени тяжелобомбардировочные бригады стали иметь по четыре эскадрильи; общий штат составлял 50 бом</w:t>
      </w:r>
      <w:r w:rsidRPr="00142305">
        <w:rPr>
          <w:rFonts w:ascii="Times New Roman" w:hAnsi="Times New Roman"/>
          <w:color w:val="0070C0"/>
          <w:sz w:val="16"/>
          <w:szCs w:val="16"/>
        </w:rPr>
        <w:softHyphen/>
        <w:t>бардировщиков (24977).</w:t>
      </w:r>
    </w:p>
    <w:p w14:paraId="4DBCF446" w14:textId="77777777" w:rsidR="00285B3D" w:rsidRPr="00142305" w:rsidRDefault="00285B3D" w:rsidP="00285B3D">
      <w:pPr>
        <w:spacing w:after="0" w:line="240" w:lineRule="auto"/>
        <w:jc w:val="both"/>
        <w:rPr>
          <w:rFonts w:ascii="Times New Roman" w:hAnsi="Times New Roman"/>
          <w:color w:val="0070C0"/>
          <w:sz w:val="16"/>
          <w:szCs w:val="16"/>
        </w:rPr>
      </w:pPr>
    </w:p>
    <w:p w14:paraId="73ADE116" w14:textId="77777777" w:rsidR="00A24023" w:rsidRPr="005E779E" w:rsidRDefault="00A2402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1931 г. закончили бомбардировщик ТБ-5, созданный под руководством Д П Григоровича в тюремном КБ - ЦКБ-39 на заводе №39 им. Менжинского. По одной из версий ОГПУ предложило взять за образец для подражания многомоторные высокопланы француз</w:t>
      </w:r>
      <w:r w:rsidRPr="005E779E">
        <w:rPr>
          <w:rFonts w:ascii="Times New Roman" w:hAnsi="Times New Roman"/>
          <w:color w:val="000000" w:themeColor="text1"/>
          <w:sz w:val="16"/>
          <w:szCs w:val="16"/>
        </w:rPr>
        <w:softHyphen/>
        <w:t>ского конструктора Фармана, у которых четыре мотора размещались под крылом в двух тандемных установках. Проект получил обозначение ЦКБ № 8, а в ВВС - ТБ-5.</w:t>
      </w:r>
    </w:p>
    <w:p w14:paraId="70A0F676" w14:textId="77777777" w:rsidR="00A24023" w:rsidRPr="005E779E" w:rsidRDefault="00A2402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ТБ-5 проектировались 24-цилиндровые моторы ФЭД, выдававшие 1100-1250 л.с. на высоте 3000 м. Однако к сроку ФЭДы не были готовы, и пришлось поставить 4 мотора Гном Рон «Юпитер» по 480 л.с., расположенные тандемом под каждой консолью высокорасположенного крыла. Воздушные винты деревянные, передний - тянущий, задний – толкающий. Григорович был амнистирован и далее работал как вольнонаёмный человек (23907).</w:t>
      </w:r>
    </w:p>
    <w:p w14:paraId="6A1BF53D" w14:textId="77777777" w:rsidR="00A24023" w:rsidRPr="005E779E" w:rsidRDefault="00A24023" w:rsidP="000B7A6C">
      <w:pPr>
        <w:spacing w:after="0" w:line="240" w:lineRule="auto"/>
        <w:jc w:val="both"/>
        <w:rPr>
          <w:rFonts w:ascii="Times New Roman" w:hAnsi="Times New Roman"/>
          <w:color w:val="000000" w:themeColor="text1"/>
          <w:sz w:val="16"/>
          <w:szCs w:val="16"/>
        </w:rPr>
      </w:pPr>
    </w:p>
    <w:p w14:paraId="1A6370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1931 г. освободили конструктора Григорович, который был советской властью амнистирован и далее работал как вольнонаемный человек (5854,33).</w:t>
      </w:r>
    </w:p>
    <w:p w14:paraId="73EECE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B7E28CA" w14:textId="77777777" w:rsidR="003562F3" w:rsidRPr="005E779E" w:rsidRDefault="003562F3" w:rsidP="000B7A6C">
      <w:pPr>
        <w:pStyle w:val="a3"/>
        <w:rPr>
          <w:color w:val="000000" w:themeColor="text1"/>
          <w:lang w:val="ru-RU"/>
        </w:rPr>
      </w:pPr>
      <w:r w:rsidRPr="005E779E">
        <w:rPr>
          <w:color w:val="000000" w:themeColor="text1"/>
          <w:lang w:val="ru-RU"/>
        </w:rPr>
        <w:t>В мае 1931 г. газета «Правда» писала:</w:t>
      </w:r>
      <w:r w:rsidRPr="005E779E">
        <w:rPr>
          <w:rStyle w:val="aff6"/>
          <w:rFonts w:ascii="Times New Roman" w:hAnsi="Times New Roman" w:cs="Times New Roman"/>
          <w:i w:val="0"/>
          <w:color w:val="000000" w:themeColor="text1"/>
          <w:lang w:val="ru-RU"/>
        </w:rPr>
        <w:t xml:space="preserve"> «...Амни</w:t>
      </w:r>
      <w:r w:rsidRPr="005E779E">
        <w:rPr>
          <w:rStyle w:val="aff6"/>
          <w:rFonts w:ascii="Times New Roman" w:hAnsi="Times New Roman" w:cs="Times New Roman"/>
          <w:i w:val="0"/>
          <w:color w:val="000000" w:themeColor="text1"/>
          <w:lang w:val="ru-RU"/>
        </w:rPr>
        <w:softHyphen/>
        <w:t xml:space="preserve">стировать нижеследующих конструкторов </w:t>
      </w:r>
      <w:r w:rsidRPr="005E779E">
        <w:rPr>
          <w:color w:val="000000" w:themeColor="text1"/>
          <w:lang w:val="ru-RU"/>
        </w:rPr>
        <w:t>бывших вредителей, приговоренных коллегией ОГПУ к различным мерам социальной защиты, с одновременным их награждением, а главного конструктора по опытному самолетостроению Гоигоровича Дмитрия Павловича, раскаявшегося в своих прежних поступках и годичной работой доказавшего на деле свое рас</w:t>
      </w:r>
      <w:r w:rsidRPr="005E779E">
        <w:rPr>
          <w:color w:val="000000" w:themeColor="text1"/>
          <w:lang w:val="ru-RU"/>
        </w:rPr>
        <w:softHyphen/>
        <w:t>каяние, - грамотой ЦИК Союза ССР и денежной наградой в 10.000 рублей...» (12731).</w:t>
      </w:r>
    </w:p>
    <w:p w14:paraId="21EF983D" w14:textId="77777777" w:rsidR="003562F3" w:rsidRPr="005E779E" w:rsidRDefault="003562F3" w:rsidP="000B7A6C">
      <w:pPr>
        <w:pStyle w:val="a3"/>
        <w:rPr>
          <w:color w:val="000000" w:themeColor="text1"/>
          <w:lang w:val="ru-RU"/>
        </w:rPr>
      </w:pPr>
    </w:p>
    <w:p w14:paraId="7FB021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1931 г. сдали последний истребитель И-2. Им стал И-2бис № 1990, который являлся первым эталонным И-2бис, построенным еще в 1927 г. Три года аппарат простоял на заводе, прежде чем отправился к месту службы - во 2-ю летную школу (4652).</w:t>
      </w:r>
    </w:p>
    <w:p w14:paraId="22F833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B213B70" w14:textId="77777777" w:rsidR="007F00E8" w:rsidRPr="00142305" w:rsidRDefault="007F00E8" w:rsidP="007F00E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мае 1931 г. во 2-ю лётную школу в Борисоглебске был отправлен последний И-2бис № 1990. Этот аппарат, отправленный, являлся первым образцовым И-2бис, построенным ещё в 1927 г. Три года истребитель простоял на заводе, прежде чем отправился к месту службы (25121).</w:t>
      </w:r>
    </w:p>
    <w:p w14:paraId="54F210DA" w14:textId="77777777" w:rsidR="007F00E8" w:rsidRPr="00142305" w:rsidRDefault="007F00E8" w:rsidP="007F00E8">
      <w:pPr>
        <w:spacing w:after="0" w:line="240" w:lineRule="auto"/>
        <w:jc w:val="both"/>
        <w:rPr>
          <w:rFonts w:ascii="Times New Roman" w:hAnsi="Times New Roman"/>
          <w:color w:val="0070C0"/>
          <w:sz w:val="16"/>
          <w:szCs w:val="16"/>
        </w:rPr>
      </w:pPr>
    </w:p>
    <w:p w14:paraId="26DC5F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1931 в производство были согласованы сроки передачи для серийного производства пассажирской версии АНТ-8 на 31 заводе, но во второй половине 1931 задание сняли (346,41).</w:t>
      </w:r>
    </w:p>
    <w:p w14:paraId="6F3E61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727C5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1931 один из серийных АНТ-9 оснастили тремя М-26, серийное производство которых началось в феврале 1931 (10542,28).</w:t>
      </w:r>
    </w:p>
    <w:p w14:paraId="5BCBDE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Важно - что только авиатематика, а другое аэро-гидро - должно было перейти другим. Таким образом, на централизацию опытных работ в ЦКБ действительно делали ставку.</w:t>
      </w:r>
    </w:p>
    <w:p w14:paraId="37181A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9D95D59" w14:textId="77777777" w:rsidR="007F00E8" w:rsidRPr="00142305" w:rsidRDefault="007F00E8" w:rsidP="007F00E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мае 1931 г. один из серийных АНТ-9 переоборудовали под три М-26. Моторы оказались тяжелее, чем указывал завод- изготовитель. В результате вес пустого самолета стал больше расчетного. После первых же полетов поняли, что расход масла слишком велик, и увеличили его запас вдвое Вес пустой машины под</w:t>
      </w:r>
      <w:r w:rsidRPr="00142305">
        <w:rPr>
          <w:rFonts w:ascii="Times New Roman" w:hAnsi="Times New Roman"/>
          <w:color w:val="0070C0"/>
          <w:sz w:val="16"/>
          <w:szCs w:val="16"/>
        </w:rPr>
        <w:softHyphen/>
        <w:t>нялся до 3970 кг, полетный вес сильно увеличивать побоялись и уменьшили за</w:t>
      </w:r>
      <w:r w:rsidRPr="00142305">
        <w:rPr>
          <w:rFonts w:ascii="Times New Roman" w:hAnsi="Times New Roman"/>
          <w:color w:val="0070C0"/>
          <w:sz w:val="16"/>
          <w:szCs w:val="16"/>
        </w:rPr>
        <w:softHyphen/>
        <w:t>правку горючим.</w:t>
      </w:r>
    </w:p>
    <w:p w14:paraId="52DF0682" w14:textId="77777777" w:rsidR="007F00E8" w:rsidRPr="00142305" w:rsidRDefault="007F00E8" w:rsidP="007F00E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Доводку опытного образца продолжали до конца года. Лишь к зиме машину выпус</w:t>
      </w:r>
      <w:r w:rsidRPr="00142305">
        <w:rPr>
          <w:rFonts w:ascii="Times New Roman" w:hAnsi="Times New Roman"/>
          <w:color w:val="0070C0"/>
          <w:sz w:val="16"/>
          <w:szCs w:val="16"/>
        </w:rPr>
        <w:softHyphen/>
        <w:t>тили на испытания в НИИ ГВФ Летали на лыжах. Данные сильно разочаровали всех. Максимальная скорость не превышала 180 км/ч. Даже с поправкой на вес лыж (которые всегда тяжелее колес) и создава</w:t>
      </w:r>
      <w:r w:rsidRPr="00142305">
        <w:rPr>
          <w:rFonts w:ascii="Times New Roman" w:hAnsi="Times New Roman"/>
          <w:color w:val="0070C0"/>
          <w:sz w:val="16"/>
          <w:szCs w:val="16"/>
        </w:rPr>
        <w:softHyphen/>
        <w:t>емое ими дополнительное сопротивление, это выглядело просто отвратительно. Кро</w:t>
      </w:r>
      <w:r w:rsidRPr="00142305">
        <w:rPr>
          <w:rFonts w:ascii="Times New Roman" w:hAnsi="Times New Roman"/>
          <w:color w:val="0070C0"/>
          <w:sz w:val="16"/>
          <w:szCs w:val="16"/>
        </w:rPr>
        <w:softHyphen/>
        <w:t>ме того, выявился ряд конструктивных и производственных дефектов. Произошло несколько обрывов маслопроводов - ре</w:t>
      </w:r>
      <w:r w:rsidRPr="00142305">
        <w:rPr>
          <w:rFonts w:ascii="Times New Roman" w:hAnsi="Times New Roman"/>
          <w:color w:val="0070C0"/>
          <w:sz w:val="16"/>
          <w:szCs w:val="16"/>
        </w:rPr>
        <w:softHyphen/>
        <w:t>комендовали заменить медные трубки на импортные шланги. При попытке запустить мотор пневмопуском начали вращаться два других двигателя - травили краны.</w:t>
      </w:r>
    </w:p>
    <w:p w14:paraId="510987A3" w14:textId="77777777" w:rsidR="007F00E8" w:rsidRPr="00142305" w:rsidRDefault="007F00E8" w:rsidP="007F00E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Испытания завершили в середине янва</w:t>
      </w:r>
      <w:r w:rsidRPr="00142305">
        <w:rPr>
          <w:rFonts w:ascii="Times New Roman" w:hAnsi="Times New Roman"/>
          <w:color w:val="0070C0"/>
          <w:sz w:val="16"/>
          <w:szCs w:val="16"/>
        </w:rPr>
        <w:softHyphen/>
        <w:t>ря 1932 г. (24949).</w:t>
      </w:r>
    </w:p>
    <w:p w14:paraId="75A54CF5" w14:textId="77777777" w:rsidR="007F00E8" w:rsidRPr="00142305" w:rsidRDefault="007F00E8" w:rsidP="007F00E8">
      <w:pPr>
        <w:spacing w:after="0" w:line="240" w:lineRule="auto"/>
        <w:jc w:val="both"/>
        <w:rPr>
          <w:rFonts w:ascii="Times New Roman" w:hAnsi="Times New Roman"/>
          <w:color w:val="0070C0"/>
          <w:sz w:val="16"/>
          <w:szCs w:val="16"/>
        </w:rPr>
      </w:pPr>
    </w:p>
    <w:p w14:paraId="32C52C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1931 года ВОГВФ передан ЦАГИ ВАО для переоборудования под тип тяжелого бомбардировщика самолет АНТ-9 (3045,19).</w:t>
      </w:r>
    </w:p>
    <w:p w14:paraId="514924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E14F7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1931 Н.Н.П. назначили зам. П.О.С. в бригаду N 3 ЦКБ-ЦАГИ, где в тот момент разрабатывали И-14 (1808,3).</w:t>
      </w:r>
    </w:p>
    <w:p w14:paraId="055F4A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3C6F1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1931 комиссии НИИ ВВС, ГУ ВВС, АП и ЦАГИ предъявили полноразмерный макет пассажирской версии АНТ-8. Одобрили (7610, 34).</w:t>
      </w:r>
    </w:p>
    <w:p w14:paraId="7221E1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7CA6047" w14:textId="77777777" w:rsidR="00A24023" w:rsidRPr="005E779E" w:rsidRDefault="00A2402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1931 г. согласовали сроки передачи се</w:t>
      </w:r>
      <w:r w:rsidRPr="005E779E">
        <w:rPr>
          <w:rFonts w:ascii="Times New Roman" w:hAnsi="Times New Roman"/>
          <w:color w:val="000000" w:themeColor="text1"/>
          <w:sz w:val="16"/>
          <w:szCs w:val="16"/>
        </w:rPr>
        <w:softHyphen/>
        <w:t>рийных чертежей АНТ-8 в пассажирском варианте Таганрогскому заводу №31, где намечали наладить серийный выпуск машины. Однако во второй поло</w:t>
      </w:r>
      <w:r w:rsidRPr="005E779E">
        <w:rPr>
          <w:rFonts w:ascii="Times New Roman" w:hAnsi="Times New Roman"/>
          <w:color w:val="000000" w:themeColor="text1"/>
          <w:sz w:val="16"/>
          <w:szCs w:val="16"/>
        </w:rPr>
        <w:softHyphen/>
        <w:t>вине 1931 г. работу сняли с плана (23474).</w:t>
      </w:r>
    </w:p>
    <w:p w14:paraId="09DC58B1" w14:textId="77777777" w:rsidR="00A24023" w:rsidRPr="005E779E" w:rsidRDefault="00A24023" w:rsidP="000B7A6C">
      <w:pPr>
        <w:spacing w:after="0" w:line="240" w:lineRule="auto"/>
        <w:jc w:val="both"/>
        <w:rPr>
          <w:rFonts w:ascii="Times New Roman" w:hAnsi="Times New Roman"/>
          <w:color w:val="000000" w:themeColor="text1"/>
          <w:sz w:val="16"/>
          <w:szCs w:val="16"/>
        </w:rPr>
      </w:pPr>
    </w:p>
    <w:p w14:paraId="18CADB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1931 были готовы первые две серии Р-5. Сдача машин происходила следующим образом. Приемщик выбирал приглянувшийся ему самолет из готовой серии, который подвергался взвешиванию и определению центровки, после чего все машины серии испытывались в воздухе. Основными летчиками-сдатчиками в тот период были А.И. Жуков и А.Н.Екатов, поработать им в лето 1931 г. пришлось изрядно. Вот основные данные, полученные испытателями при приемке 2-й серии (Р-5 №4584 - №4633):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61"/>
        <w:gridCol w:w="4261"/>
      </w:tblGrid>
      <w:tr w:rsidR="001002C3" w:rsidRPr="005E779E" w14:paraId="6812854D" w14:textId="77777777">
        <w:tc>
          <w:tcPr>
            <w:tcW w:w="4261" w:type="dxa"/>
          </w:tcPr>
          <w:p w14:paraId="395FC8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пустого</w:t>
            </w:r>
          </w:p>
        </w:tc>
        <w:tc>
          <w:tcPr>
            <w:tcW w:w="4261" w:type="dxa"/>
          </w:tcPr>
          <w:p w14:paraId="2A8C6B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1976,5 кг</w:t>
            </w:r>
          </w:p>
        </w:tc>
      </w:tr>
      <w:tr w:rsidR="001002C3" w:rsidRPr="005E779E" w14:paraId="547651CE" w14:textId="77777777">
        <w:tc>
          <w:tcPr>
            <w:tcW w:w="4261" w:type="dxa"/>
          </w:tcPr>
          <w:p w14:paraId="2990C5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Центровка</w:t>
            </w:r>
          </w:p>
        </w:tc>
        <w:tc>
          <w:tcPr>
            <w:tcW w:w="4261" w:type="dxa"/>
          </w:tcPr>
          <w:p w14:paraId="31F664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9,9%</w:t>
            </w:r>
          </w:p>
        </w:tc>
      </w:tr>
      <w:tr w:rsidR="001002C3" w:rsidRPr="005E779E" w14:paraId="639061B4" w14:textId="77777777">
        <w:tc>
          <w:tcPr>
            <w:tcW w:w="4261" w:type="dxa"/>
          </w:tcPr>
          <w:p w14:paraId="5A2D20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Полетный вес</w:t>
            </w:r>
          </w:p>
        </w:tc>
        <w:tc>
          <w:tcPr>
            <w:tcW w:w="4261" w:type="dxa"/>
          </w:tcPr>
          <w:p w14:paraId="105337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2885 кг (вариант разведчика)</w:t>
            </w:r>
          </w:p>
        </w:tc>
      </w:tr>
      <w:tr w:rsidR="001002C3" w:rsidRPr="005E779E" w14:paraId="6FD82826" w14:textId="77777777">
        <w:tc>
          <w:tcPr>
            <w:tcW w:w="4261" w:type="dxa"/>
          </w:tcPr>
          <w:p w14:paraId="350113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Центровка</w:t>
            </w:r>
          </w:p>
        </w:tc>
        <w:tc>
          <w:tcPr>
            <w:tcW w:w="4261" w:type="dxa"/>
          </w:tcPr>
          <w:p w14:paraId="0542D4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31,5 %</w:t>
            </w:r>
          </w:p>
        </w:tc>
      </w:tr>
      <w:tr w:rsidR="001002C3" w:rsidRPr="005E779E" w14:paraId="3127DB09" w14:textId="77777777">
        <w:tc>
          <w:tcPr>
            <w:tcW w:w="4261" w:type="dxa"/>
          </w:tcPr>
          <w:p w14:paraId="52893C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Полетный вес</w:t>
            </w:r>
          </w:p>
        </w:tc>
        <w:tc>
          <w:tcPr>
            <w:tcW w:w="4261" w:type="dxa"/>
          </w:tcPr>
          <w:p w14:paraId="75D96C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3084 кг (вариант бомбардировщика)</w:t>
            </w:r>
          </w:p>
        </w:tc>
      </w:tr>
      <w:tr w:rsidR="001002C3" w:rsidRPr="005E779E" w14:paraId="7EF8CF6A" w14:textId="77777777">
        <w:tc>
          <w:tcPr>
            <w:tcW w:w="4261" w:type="dxa"/>
          </w:tcPr>
          <w:p w14:paraId="610ABD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Центровка</w:t>
            </w:r>
          </w:p>
        </w:tc>
        <w:tc>
          <w:tcPr>
            <w:tcW w:w="4261" w:type="dxa"/>
          </w:tcPr>
          <w:p w14:paraId="741905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37,5%</w:t>
            </w:r>
          </w:p>
        </w:tc>
      </w:tr>
      <w:tr w:rsidR="001002C3" w:rsidRPr="005E779E" w14:paraId="1C37D44E" w14:textId="77777777">
        <w:tc>
          <w:tcPr>
            <w:tcW w:w="4261" w:type="dxa"/>
          </w:tcPr>
          <w:p w14:paraId="2A3A1A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скорость:</w:t>
            </w:r>
          </w:p>
        </w:tc>
        <w:tc>
          <w:tcPr>
            <w:tcW w:w="4261" w:type="dxa"/>
          </w:tcPr>
          <w:p w14:paraId="120671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293B672" w14:textId="77777777">
        <w:tc>
          <w:tcPr>
            <w:tcW w:w="4261" w:type="dxa"/>
          </w:tcPr>
          <w:p w14:paraId="24D86D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Н=0м</w:t>
            </w:r>
          </w:p>
        </w:tc>
        <w:tc>
          <w:tcPr>
            <w:tcW w:w="4261" w:type="dxa"/>
          </w:tcPr>
          <w:p w14:paraId="1DF95D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218 км/ч;</w:t>
            </w:r>
          </w:p>
        </w:tc>
      </w:tr>
      <w:tr w:rsidR="001002C3" w:rsidRPr="005E779E" w14:paraId="6545D015" w14:textId="77777777">
        <w:tc>
          <w:tcPr>
            <w:tcW w:w="4261" w:type="dxa"/>
          </w:tcPr>
          <w:p w14:paraId="77CAD2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Н=1000м</w:t>
            </w:r>
          </w:p>
        </w:tc>
        <w:tc>
          <w:tcPr>
            <w:tcW w:w="4261" w:type="dxa"/>
          </w:tcPr>
          <w:p w14:paraId="3B090D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210 км/ч;</w:t>
            </w:r>
          </w:p>
        </w:tc>
      </w:tr>
      <w:tr w:rsidR="001002C3" w:rsidRPr="005E779E" w14:paraId="0A978C51" w14:textId="77777777">
        <w:tc>
          <w:tcPr>
            <w:tcW w:w="4261" w:type="dxa"/>
          </w:tcPr>
          <w:p w14:paraId="424CB0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Н=4000м</w:t>
            </w:r>
          </w:p>
        </w:tc>
        <w:tc>
          <w:tcPr>
            <w:tcW w:w="4261" w:type="dxa"/>
          </w:tcPr>
          <w:p w14:paraId="1310E7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160 км/ч;</w:t>
            </w:r>
          </w:p>
        </w:tc>
      </w:tr>
      <w:tr w:rsidR="001002C3" w:rsidRPr="005E779E" w14:paraId="09B91D37" w14:textId="77777777">
        <w:tc>
          <w:tcPr>
            <w:tcW w:w="4261" w:type="dxa"/>
          </w:tcPr>
          <w:p w14:paraId="72EEB1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Н=2000м</w:t>
            </w:r>
          </w:p>
        </w:tc>
        <w:tc>
          <w:tcPr>
            <w:tcW w:w="4261" w:type="dxa"/>
          </w:tcPr>
          <w:p w14:paraId="4A1E5B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195 км/ч;</w:t>
            </w:r>
          </w:p>
        </w:tc>
      </w:tr>
      <w:tr w:rsidR="001002C3" w:rsidRPr="005E779E" w14:paraId="388A848C" w14:textId="77777777">
        <w:tc>
          <w:tcPr>
            <w:tcW w:w="4261" w:type="dxa"/>
          </w:tcPr>
          <w:p w14:paraId="1DA28E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Н=5000 м</w:t>
            </w:r>
          </w:p>
        </w:tc>
        <w:tc>
          <w:tcPr>
            <w:tcW w:w="4261" w:type="dxa"/>
          </w:tcPr>
          <w:p w14:paraId="004029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 км/ч;</w:t>
            </w:r>
          </w:p>
        </w:tc>
      </w:tr>
      <w:tr w:rsidR="001002C3" w:rsidRPr="005E779E" w14:paraId="140AEE83" w14:textId="77777777">
        <w:tc>
          <w:tcPr>
            <w:tcW w:w="4261" w:type="dxa"/>
          </w:tcPr>
          <w:p w14:paraId="350BAE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Н=3000м</w:t>
            </w:r>
          </w:p>
        </w:tc>
        <w:tc>
          <w:tcPr>
            <w:tcW w:w="4261" w:type="dxa"/>
          </w:tcPr>
          <w:p w14:paraId="1C2009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178 км/ч;</w:t>
            </w:r>
          </w:p>
        </w:tc>
      </w:tr>
      <w:tr w:rsidR="001002C3" w:rsidRPr="005E779E" w14:paraId="47BEB2E0" w14:textId="77777777">
        <w:tc>
          <w:tcPr>
            <w:tcW w:w="4261" w:type="dxa"/>
          </w:tcPr>
          <w:p w14:paraId="026CE1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Н=6000м</w:t>
            </w:r>
          </w:p>
        </w:tc>
        <w:tc>
          <w:tcPr>
            <w:tcW w:w="4261" w:type="dxa"/>
          </w:tcPr>
          <w:p w14:paraId="2623D5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145 км/ч.</w:t>
            </w:r>
          </w:p>
        </w:tc>
      </w:tr>
      <w:tr w:rsidR="001002C3" w:rsidRPr="005E779E" w14:paraId="580922B7" w14:textId="77777777">
        <w:tc>
          <w:tcPr>
            <w:tcW w:w="4261" w:type="dxa"/>
          </w:tcPr>
          <w:p w14:paraId="79E11F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высоту 1000 м Р-5 поднимался за</w:t>
            </w:r>
          </w:p>
        </w:tc>
        <w:tc>
          <w:tcPr>
            <w:tcW w:w="4261" w:type="dxa"/>
          </w:tcPr>
          <w:p w14:paraId="4C8CFE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мин. 34 сек.,</w:t>
            </w:r>
          </w:p>
        </w:tc>
      </w:tr>
      <w:tr w:rsidR="001002C3" w:rsidRPr="005E779E" w14:paraId="44522702" w14:textId="77777777">
        <w:tc>
          <w:tcPr>
            <w:tcW w:w="4261" w:type="dxa"/>
          </w:tcPr>
          <w:p w14:paraId="7185AA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на 5000 м</w:t>
            </w:r>
          </w:p>
        </w:tc>
        <w:tc>
          <w:tcPr>
            <w:tcW w:w="4261" w:type="dxa"/>
          </w:tcPr>
          <w:p w14:paraId="2FDCCA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 30 мин. 32 сек.</w:t>
            </w:r>
          </w:p>
        </w:tc>
      </w:tr>
      <w:tr w:rsidR="001002C3" w:rsidRPr="005E779E" w14:paraId="712A25DD" w14:textId="77777777">
        <w:tc>
          <w:tcPr>
            <w:tcW w:w="4261" w:type="dxa"/>
          </w:tcPr>
          <w:p w14:paraId="1EAF57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самолета в варианте разведчика левый вираж выполнялся за</w:t>
            </w:r>
          </w:p>
        </w:tc>
        <w:tc>
          <w:tcPr>
            <w:tcW w:w="4261" w:type="dxa"/>
          </w:tcPr>
          <w:p w14:paraId="47C1CE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14,5 сек.,</w:t>
            </w:r>
          </w:p>
        </w:tc>
      </w:tr>
      <w:tr w:rsidR="001002C3" w:rsidRPr="005E779E" w14:paraId="2F7CFF9D" w14:textId="77777777">
        <w:tc>
          <w:tcPr>
            <w:tcW w:w="4261" w:type="dxa"/>
          </w:tcPr>
          <w:p w14:paraId="78FB7B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самолета в варианте разведчика правый вираж выполнялся за</w:t>
            </w:r>
          </w:p>
        </w:tc>
        <w:tc>
          <w:tcPr>
            <w:tcW w:w="4261" w:type="dxa"/>
          </w:tcPr>
          <w:p w14:paraId="62CB62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 16 сек.</w:t>
            </w:r>
          </w:p>
        </w:tc>
      </w:tr>
      <w:tr w:rsidR="001002C3" w:rsidRPr="005E779E" w14:paraId="50DA45D0" w14:textId="77777777">
        <w:tc>
          <w:tcPr>
            <w:tcW w:w="4261" w:type="dxa"/>
          </w:tcPr>
          <w:p w14:paraId="6966E5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варианте бомбардировщика все виражи выполнялись за</w:t>
            </w:r>
          </w:p>
        </w:tc>
        <w:tc>
          <w:tcPr>
            <w:tcW w:w="4261" w:type="dxa"/>
          </w:tcPr>
          <w:p w14:paraId="2B860E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16,5 секунд.</w:t>
            </w:r>
          </w:p>
        </w:tc>
      </w:tr>
    </w:tbl>
    <w:p w14:paraId="60B50D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 эти данные соответствовали самолетам Р-5, оснащенными двигателями М-17 мощностью 615 л. с. с воздушным винтом диаметром 3,35 метра, выпуска рыбинского авиамоторного завода №26. Самолеты, которые выпускалась с немецкими BMW-VI, мощностью 680 л. с., как правило, выполнялись особенно тщательно, соответственно и летные данные имели более высокие. В воинские части такие Р-5 выделялись поштучно и доставались обычно начальникам соединений (5016).</w:t>
      </w:r>
    </w:p>
    <w:p w14:paraId="1CCA8E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1D7B816" w14:textId="77777777" w:rsidR="008F5899" w:rsidRPr="005E779E" w:rsidRDefault="008F5899" w:rsidP="000B7A6C">
      <w:pPr>
        <w:pStyle w:val="ae"/>
        <w:shd w:val="clear" w:color="auto" w:fill="FFFFFF"/>
        <w:spacing w:before="0" w:after="0"/>
        <w:jc w:val="both"/>
        <w:rPr>
          <w:color w:val="000000" w:themeColor="text1"/>
          <w:sz w:val="16"/>
          <w:szCs w:val="16"/>
        </w:rPr>
      </w:pPr>
      <w:r w:rsidRPr="005E779E">
        <w:rPr>
          <w:color w:val="000000" w:themeColor="text1"/>
          <w:sz w:val="16"/>
          <w:szCs w:val="16"/>
        </w:rPr>
        <w:t>В мае 1931 года, закончив производство истребителей И-5 и И-7, завод № 1 полностью перешел на выпуск Р-5. Так требовали ВВС страны, где был разработан план перевооружения военно-воздушных сил. Было решено создать 12 бомбардировочных эскадрилий из самолетов Р-5. В общей сложности в 1931 году было построено 336 таких машин, большую часть которых дал завод № 1. А всего за первую пятилетку завод построил 6240 самолетов. За успешное выполнение планов 150 тружеников предприятия во главе с директором Ф.П.Муратовым получили правительственные награды и Почетные Грамоты (19827).</w:t>
      </w:r>
    </w:p>
    <w:p w14:paraId="6BBDEADF" w14:textId="77777777" w:rsidR="008F5899" w:rsidRPr="005E779E" w:rsidRDefault="008F5899" w:rsidP="000B7A6C">
      <w:pPr>
        <w:pStyle w:val="ae"/>
        <w:shd w:val="clear" w:color="auto" w:fill="FFFFFF"/>
        <w:spacing w:before="0" w:after="0"/>
        <w:jc w:val="both"/>
        <w:rPr>
          <w:color w:val="000000" w:themeColor="text1"/>
          <w:sz w:val="16"/>
          <w:szCs w:val="16"/>
        </w:rPr>
      </w:pPr>
    </w:p>
    <w:p w14:paraId="38034D80" w14:textId="77777777" w:rsidR="00A4352B" w:rsidRPr="005E779E" w:rsidRDefault="00A4352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1931 г. полеты на КАСКР-2 продолжил Кошиц, ко</w:t>
      </w:r>
      <w:r w:rsidRPr="005E779E">
        <w:rPr>
          <w:rFonts w:ascii="Times New Roman" w:hAnsi="Times New Roman"/>
          <w:color w:val="000000" w:themeColor="text1"/>
          <w:sz w:val="16"/>
          <w:szCs w:val="16"/>
        </w:rPr>
        <w:softHyphen/>
        <w:t>торый отметил, что с повышением температуры окружаю</w:t>
      </w:r>
      <w:r w:rsidRPr="005E779E">
        <w:rPr>
          <w:rFonts w:ascii="Times New Roman" w:hAnsi="Times New Roman"/>
          <w:color w:val="000000" w:themeColor="text1"/>
          <w:sz w:val="16"/>
          <w:szCs w:val="16"/>
        </w:rPr>
        <w:softHyphen/>
        <w:t>щего воздуха заметно грелся двигатель. По предложению П.И. Баранова, присутствующего 15 мая 1931 г. при проб</w:t>
      </w:r>
      <w:r w:rsidRPr="005E779E">
        <w:rPr>
          <w:rFonts w:ascii="Times New Roman" w:hAnsi="Times New Roman"/>
          <w:color w:val="000000" w:themeColor="text1"/>
          <w:sz w:val="16"/>
          <w:szCs w:val="16"/>
        </w:rPr>
        <w:softHyphen/>
        <w:t>ных стартах с воздушного винта сняли кок-обтекатель, а в лобовой части капота прорезали дополнительные отвер</w:t>
      </w:r>
      <w:r w:rsidRPr="005E779E">
        <w:rPr>
          <w:rFonts w:ascii="Times New Roman" w:hAnsi="Times New Roman"/>
          <w:color w:val="000000" w:themeColor="text1"/>
          <w:sz w:val="16"/>
          <w:szCs w:val="16"/>
        </w:rPr>
        <w:softHyphen/>
        <w:t>стия для охлаждения (20361).</w:t>
      </w:r>
    </w:p>
    <w:p w14:paraId="71C0F6C5" w14:textId="77777777" w:rsidR="00A4352B" w:rsidRPr="005E779E" w:rsidRDefault="00A4352B" w:rsidP="000B7A6C">
      <w:pPr>
        <w:shd w:val="clear" w:color="auto" w:fill="FFFFFF"/>
        <w:spacing w:after="0" w:line="240" w:lineRule="auto"/>
        <w:jc w:val="both"/>
        <w:rPr>
          <w:rFonts w:ascii="Times New Roman" w:hAnsi="Times New Roman"/>
          <w:color w:val="000000" w:themeColor="text1"/>
          <w:sz w:val="16"/>
          <w:szCs w:val="16"/>
        </w:rPr>
      </w:pPr>
    </w:p>
    <w:p w14:paraId="6FE866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1931 г. на заводе № 1 скопилось 57 Р-5 без моторов. Самолет проходил облет, затем мотор с него снимали и переставляли на следующий. Двигатели были столь дефицитны, что их гнали из Рыбинска в Москву сразу после приемки, цепляя товарные вагоны к пассажирским поездам (11936).</w:t>
      </w:r>
    </w:p>
    <w:p w14:paraId="41BB73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1039480" w14:textId="77777777" w:rsidR="006B25A0" w:rsidRPr="00142305" w:rsidRDefault="006B25A0" w:rsidP="006B25A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мае I931 г. на заводе № 1 скопилось 57 Р-5 без моторов. УВВС (в обязанность которого входила поставка двигателей) было вынуждено разрешить приемку некомп</w:t>
      </w:r>
      <w:r w:rsidRPr="00142305">
        <w:rPr>
          <w:rFonts w:ascii="Times New Roman" w:hAnsi="Times New Roman"/>
          <w:color w:val="0070C0"/>
          <w:sz w:val="16"/>
          <w:szCs w:val="16"/>
        </w:rPr>
        <w:softHyphen/>
        <w:t>лектных (а стало быть, небоеспособных) машин. Самолет проходил облет, затем мотор с него снимали и перестав</w:t>
      </w:r>
      <w:r w:rsidRPr="00142305">
        <w:rPr>
          <w:rFonts w:ascii="Times New Roman" w:hAnsi="Times New Roman"/>
          <w:color w:val="0070C0"/>
          <w:sz w:val="16"/>
          <w:szCs w:val="16"/>
        </w:rPr>
        <w:softHyphen/>
        <w:t>ляли на следующий. М-17 были столь дефицитны, что их гнали из Рыбинска в Москву сразу после приемки, цепляя товарные вагоны к пассажирским поездам. При этом раз</w:t>
      </w:r>
      <w:r w:rsidRPr="00142305">
        <w:rPr>
          <w:rFonts w:ascii="Times New Roman" w:hAnsi="Times New Roman"/>
          <w:color w:val="0070C0"/>
          <w:sz w:val="16"/>
          <w:szCs w:val="16"/>
        </w:rPr>
        <w:softHyphen/>
        <w:t>решили отправлять их даже поштучно, не обращая внима</w:t>
      </w:r>
      <w:r w:rsidRPr="00142305">
        <w:rPr>
          <w:rFonts w:ascii="Times New Roman" w:hAnsi="Times New Roman"/>
          <w:color w:val="0070C0"/>
          <w:sz w:val="16"/>
          <w:szCs w:val="16"/>
        </w:rPr>
        <w:softHyphen/>
        <w:t>ния на загрузку вагона.</w:t>
      </w:r>
    </w:p>
    <w:p w14:paraId="2164AC59" w14:textId="77777777" w:rsidR="006B25A0" w:rsidRPr="00142305" w:rsidRDefault="006B25A0" w:rsidP="006B25A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 этом в течение большей части 1931 г. продолжался им порт двигателей из Германии. Немецкие моторы стави</w:t>
      </w:r>
      <w:r w:rsidRPr="00142305">
        <w:rPr>
          <w:rFonts w:ascii="Times New Roman" w:hAnsi="Times New Roman"/>
          <w:color w:val="0070C0"/>
          <w:sz w:val="16"/>
          <w:szCs w:val="16"/>
        </w:rPr>
        <w:softHyphen/>
        <w:t>лись вперемешку с советскими, причем иногда монтиро</w:t>
      </w:r>
      <w:r w:rsidRPr="00142305">
        <w:rPr>
          <w:rFonts w:ascii="Times New Roman" w:hAnsi="Times New Roman"/>
          <w:color w:val="0070C0"/>
          <w:sz w:val="16"/>
          <w:szCs w:val="16"/>
        </w:rPr>
        <w:softHyphen/>
        <w:t>вали и более высотные двигатели со степенью сжатия 7,3. В частности, такой стоял на Р-5 № 4601, объявленном го</w:t>
      </w:r>
      <w:r w:rsidRPr="00142305">
        <w:rPr>
          <w:rFonts w:ascii="Times New Roman" w:hAnsi="Times New Roman"/>
          <w:color w:val="0070C0"/>
          <w:sz w:val="16"/>
          <w:szCs w:val="16"/>
        </w:rPr>
        <w:softHyphen/>
        <w:t>ловным для 4-й серии (24990).</w:t>
      </w:r>
    </w:p>
    <w:p w14:paraId="2E348E80" w14:textId="77777777" w:rsidR="006B25A0" w:rsidRPr="00142305" w:rsidRDefault="006B25A0" w:rsidP="006B25A0">
      <w:pPr>
        <w:spacing w:after="0" w:line="240" w:lineRule="auto"/>
        <w:jc w:val="both"/>
        <w:rPr>
          <w:rFonts w:ascii="Times New Roman" w:hAnsi="Times New Roman"/>
          <w:color w:val="0070C0"/>
          <w:sz w:val="16"/>
          <w:szCs w:val="16"/>
        </w:rPr>
      </w:pPr>
    </w:p>
    <w:p w14:paraId="4F5835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1931 г. на заводе № 1 скопилось 57 Р-5 без моторов. УВВС (в обязанность которого входила поставка двигателей) было вынуждено разрешить приемку некомплектных (а стало быть, небоеспособных) машин. Самолет проходил облет, затем мотор с пего снимали и переставляли на следующий. М-17 были столь дефицитны, что их гнали из Рыбинска в Москву сразу после приемки, цепляя товарные вагоны к пассажирским поездам. При этом разрешили отправлять их даже поштучно, не обращая внимания на загрузку вагона.</w:t>
      </w:r>
    </w:p>
    <w:p w14:paraId="0605AE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этом в течение большей части 1931 г. продолжался импорт двигателей из Германии. Немецкие моторы ставились вперемешку с советскими, причем иногда монтировали и более высотные двигатели со степенью сжатия 7,3. В частности, такой стоял на Р-5 № 4601, объявленном головным для 4-й серии.</w:t>
      </w:r>
    </w:p>
    <w:p w14:paraId="22F0F9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Объем производства быстро рос, но самолетостроители никак не могли угнаться за планом. За 1931 г. изготовили 336 самолетов (сдали 301) при плане 675. В феврале 1932 г. военные даже потребовали отдать в счет договора личный Р-5 начальника ГУАП.</w:t>
      </w:r>
    </w:p>
    <w:p w14:paraId="11B222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то время ВВС срочно требовались самолеты - разведчики, причем в больших количествах - на замену старым Р-1 и для формирования новых авиачастей. Простой и сравнительно дешевый Р-5 позволял выполнить эти задачи даже в условиях ограниченности выделенных средств. Закупочная цена деревянного разведчика Поликарпова тогда составляла 36 400 рублей (вместе с мотором) - примерно в шесть раз дешевле, чем у двухмоторного цельнометаллического Р-6.</w:t>
      </w:r>
    </w:p>
    <w:p w14:paraId="79E3EF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Основное внимание работников завода было обращено на ликвидацию дефектов, выявленных на ранних сериях Р-5. С неэффективностью радиаторов уже справились, но самолеты продолжали страдать самопроизвольной перекачкой бензина из нижних баков в верхние, невзаимозаменяемостью основных узлов. Ненадежно работали замки бомбодержателей Дер-13, рвались тросы ограничителей хода радиаторов, лопались крепления капота, при запуске моторов ломались храповики на коках винтов. Имели также место неприятности с лыжным шасси.</w:t>
      </w:r>
    </w:p>
    <w:p w14:paraId="386C07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Устранение всего этого планировали на 1932 г. Эталоном на тот год стал самолет № 4629. На нем предусмотрели замену четырех (из шести) подкрыльных бомбодержателей Дер-7 на пару Дер-13. Дело в том, что при установленных под фюзеляжем балках Дер-13 внутренней кассетой пользоваться было нельзя. Если необходимо было загрузить самолет большим количеством мелких бомб, Дер- 13 нужно было снять. Но без них машина не могла нести бомбы крупного калибра. Перенос Дер-13 под крыло должен был повысить гибкость боевого использования бомбардировщика. Варианты загрузки теперь можно было менять без монтажа или демонтажа держателей.</w:t>
      </w:r>
    </w:p>
    <w:p w14:paraId="236C16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Одновременно переместили бомбовый прицел "Герц" в передний правый угол кабины летнаба, установив его на пятке чешского образца, и ввели полотняную перегородку в фюзеляже за турелью, чтобы уменьшить задувание (12034).</w:t>
      </w:r>
    </w:p>
    <w:p w14:paraId="04A732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D44172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1931 г. был подписан проект соглашения, который гласил: «Общество с ограниченной ответственностью «Люфтшифтбау Цеппелин», именуемое в дальнейшем «Л. Ц.» и «Объе</w:t>
      </w:r>
      <w:r w:rsidRPr="005E779E">
        <w:rPr>
          <w:rFonts w:ascii="Times New Roman" w:hAnsi="Times New Roman"/>
          <w:color w:val="000000" w:themeColor="text1"/>
          <w:sz w:val="16"/>
          <w:szCs w:val="16"/>
        </w:rPr>
        <w:softHyphen/>
        <w:t>динение Гражданской Авиации СССР», именуемое в дальней</w:t>
      </w:r>
      <w:r w:rsidRPr="005E779E">
        <w:rPr>
          <w:rFonts w:ascii="Times New Roman" w:hAnsi="Times New Roman"/>
          <w:color w:val="000000" w:themeColor="text1"/>
          <w:sz w:val="16"/>
          <w:szCs w:val="16"/>
        </w:rPr>
        <w:softHyphen/>
        <w:t>шем «Бюро», заключает настоящий предварительный договор при условии его ратификации Правительством СССР и Прави</w:t>
      </w:r>
      <w:r w:rsidRPr="005E779E">
        <w:rPr>
          <w:rFonts w:ascii="Times New Roman" w:hAnsi="Times New Roman"/>
          <w:color w:val="000000" w:themeColor="text1"/>
          <w:sz w:val="16"/>
          <w:szCs w:val="16"/>
        </w:rPr>
        <w:softHyphen/>
        <w:t>тельством Германии, а равно при условии окончательного бо</w:t>
      </w:r>
      <w:r w:rsidRPr="005E779E">
        <w:rPr>
          <w:rFonts w:ascii="Times New Roman" w:hAnsi="Times New Roman"/>
          <w:color w:val="000000" w:themeColor="text1"/>
          <w:sz w:val="16"/>
          <w:szCs w:val="16"/>
        </w:rPr>
        <w:softHyphen/>
        <w:t>лее подробного и точного формулирования деталей договора:</w:t>
      </w:r>
    </w:p>
    <w:p w14:paraId="5838957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 Ц. берет на себя обязательства содействовать Бюро в деле организации дирижаблестроения в России. Эта помощь должна распространяться на нижеследующее:</w:t>
      </w:r>
    </w:p>
    <w:p w14:paraId="0DCC05A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Конструирование и сооружение дирижаблей во всех их частях: для начала — одного дирижабля емкостью в 30 000— 40 000 кубометров, а затем также дирижабля емкостью в 150—200 тыс. кубометров.</w:t>
      </w:r>
    </w:p>
    <w:p w14:paraId="67027DD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Сооружение и оборудование Воздухоплавательной Вер</w:t>
      </w:r>
      <w:r w:rsidRPr="005E779E">
        <w:rPr>
          <w:rFonts w:ascii="Times New Roman" w:hAnsi="Times New Roman"/>
          <w:color w:val="000000" w:themeColor="text1"/>
          <w:sz w:val="16"/>
          <w:szCs w:val="16"/>
        </w:rPr>
        <w:softHyphen/>
        <w:t>фи в СССР со всеми принадлежностями.</w:t>
      </w:r>
    </w:p>
    <w:p w14:paraId="65A2593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Консультирование по добыче и использованию гелия, газа для наполнения дирижабля.</w:t>
      </w:r>
    </w:p>
    <w:p w14:paraId="2045E1C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Изучение и производство современных моторов для ди</w:t>
      </w:r>
      <w:r w:rsidRPr="005E779E">
        <w:rPr>
          <w:rFonts w:ascii="Times New Roman" w:hAnsi="Times New Roman"/>
          <w:color w:val="000000" w:themeColor="text1"/>
          <w:sz w:val="16"/>
          <w:szCs w:val="16"/>
        </w:rPr>
        <w:softHyphen/>
        <w:t>рижаблей, работающих на жидком и газообразном горючем, поскольку таковые производятся фирмой «Майбах-Мото-фенбау».</w:t>
      </w:r>
    </w:p>
    <w:p w14:paraId="33F39C1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В течение 5 лет; считая от подписания настоящего до</w:t>
      </w:r>
      <w:r w:rsidRPr="005E779E">
        <w:rPr>
          <w:rFonts w:ascii="Times New Roman" w:hAnsi="Times New Roman"/>
          <w:color w:val="000000" w:themeColor="text1"/>
          <w:sz w:val="16"/>
          <w:szCs w:val="16"/>
        </w:rPr>
        <w:softHyphen/>
        <w:t>говора, Л. Ц. предоставляет в распоряжение Бюро все нынеш</w:t>
      </w:r>
      <w:r w:rsidRPr="005E779E">
        <w:rPr>
          <w:rFonts w:ascii="Times New Roman" w:hAnsi="Times New Roman"/>
          <w:color w:val="000000" w:themeColor="text1"/>
          <w:sz w:val="16"/>
          <w:szCs w:val="16"/>
        </w:rPr>
        <w:softHyphen/>
        <w:t>ние и будущие патенты и изобретения, как относящиеся к ди</w:t>
      </w:r>
      <w:r w:rsidRPr="005E779E">
        <w:rPr>
          <w:rFonts w:ascii="Times New Roman" w:hAnsi="Times New Roman"/>
          <w:color w:val="000000" w:themeColor="text1"/>
          <w:sz w:val="16"/>
          <w:szCs w:val="16"/>
        </w:rPr>
        <w:softHyphen/>
        <w:t>рижаблестроению в узком смысле, так и к отдельным участ</w:t>
      </w:r>
      <w:r w:rsidRPr="005E779E">
        <w:rPr>
          <w:rFonts w:ascii="Times New Roman" w:hAnsi="Times New Roman"/>
          <w:color w:val="000000" w:themeColor="text1"/>
          <w:sz w:val="16"/>
          <w:szCs w:val="16"/>
        </w:rPr>
        <w:softHyphen/>
        <w:t>кам дирижабельного хозяйства в целом, например, к мото</w:t>
      </w:r>
      <w:r w:rsidRPr="005E779E">
        <w:rPr>
          <w:rFonts w:ascii="Times New Roman" w:hAnsi="Times New Roman"/>
          <w:color w:val="000000" w:themeColor="text1"/>
          <w:sz w:val="16"/>
          <w:szCs w:val="16"/>
        </w:rPr>
        <w:softHyphen/>
        <w:t>рам, баллонам, к газу для наполнения дирижаблей, к новым видам горючего и т.п. Бюро (или Русское правительство) уп</w:t>
      </w:r>
      <w:r w:rsidRPr="005E779E">
        <w:rPr>
          <w:rFonts w:ascii="Times New Roman" w:hAnsi="Times New Roman"/>
          <w:color w:val="000000" w:themeColor="text1"/>
          <w:sz w:val="16"/>
          <w:szCs w:val="16"/>
        </w:rPr>
        <w:softHyphen/>
        <w:t>лачивают Л. Ц. за всё вышеизложенное и за дирижабль ем</w:t>
      </w:r>
      <w:r w:rsidRPr="005E779E">
        <w:rPr>
          <w:rFonts w:ascii="Times New Roman" w:hAnsi="Times New Roman"/>
          <w:color w:val="000000" w:themeColor="text1"/>
          <w:sz w:val="16"/>
          <w:szCs w:val="16"/>
        </w:rPr>
        <w:softHyphen/>
        <w:t>костью 30—40 тыс. кубометров 5 миллионов германских марок» (10670, 144).</w:t>
      </w:r>
    </w:p>
    <w:p w14:paraId="23B7B71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F778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1931 г. три специально подготовленных Р-5 участвовали в Международном конкурсе разведывательных самолетов (10667).</w:t>
      </w:r>
    </w:p>
    <w:p w14:paraId="05CBE3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9D5E4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1931 И.Г.Неман получил заказ от Совета Осоавиахима Украины на ХАИ-1 - шестиместный пассажирский, который должен был быть готов к февралю 1932 (143,22).</w:t>
      </w:r>
    </w:p>
    <w:p w14:paraId="1DA6F9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И.Г.Н. предложил студентам поработать (562,41).</w:t>
      </w:r>
    </w:p>
    <w:p w14:paraId="29CC55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F025E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1931 состоялся Первый полет многоцелевого самолета К-10 (10674).</w:t>
      </w:r>
    </w:p>
    <w:p w14:paraId="38F5CD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3088161" w14:textId="0B2362DF" w:rsidR="00A24023" w:rsidRPr="005E779E" w:rsidRDefault="00A2402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мае 1931, после появления в США скоростного одномоторного авиалайнера Локхид Орион, </w:t>
      </w:r>
      <w:r w:rsidR="00E760AA" w:rsidRPr="005E779E">
        <w:rPr>
          <w:rFonts w:ascii="Times New Roman" w:hAnsi="Times New Roman"/>
          <w:color w:val="000000" w:themeColor="text1"/>
          <w:sz w:val="16"/>
          <w:szCs w:val="16"/>
        </w:rPr>
        <w:t>Неман</w:t>
      </w:r>
      <w:r w:rsidRPr="005E779E">
        <w:rPr>
          <w:rFonts w:ascii="Times New Roman" w:hAnsi="Times New Roman"/>
          <w:color w:val="000000" w:themeColor="text1"/>
          <w:sz w:val="16"/>
          <w:szCs w:val="16"/>
        </w:rPr>
        <w:t xml:space="preserve"> предложил своим дипломникам создать нечто подобное. Так возник проект ХАИ-1 по схеме и конструкции напоминавший американский самолёт. Правда, харьковская модель не имела механизации крыла. Самолёт разрабатывался с учётом существующих отечественных технологий и условий эксплуатации. Особое внимание уделялось отделке поверхности. Ради улучшения аэродинамических характеристик из скоростного потока были убраны все выступающие детали - тросы, рычаги и т.п., обшивка оклеена тканью, покрыта лаком и отполирована (24249).</w:t>
      </w:r>
    </w:p>
    <w:p w14:paraId="78581DE8" w14:textId="77777777" w:rsidR="00A24023" w:rsidRPr="005E779E" w:rsidRDefault="00A24023" w:rsidP="000B7A6C">
      <w:pPr>
        <w:spacing w:after="0" w:line="240" w:lineRule="auto"/>
        <w:jc w:val="both"/>
        <w:rPr>
          <w:rFonts w:ascii="Times New Roman" w:hAnsi="Times New Roman"/>
          <w:color w:val="000000" w:themeColor="text1"/>
          <w:sz w:val="16"/>
          <w:szCs w:val="16"/>
        </w:rPr>
      </w:pPr>
    </w:p>
    <w:p w14:paraId="124741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1931 на Москве-реке испытали У-2 на поплавках С.А.Кочеригина, построенный в ООС в 1930 вскоре после выхода первого У-2. Не пошел из-за трудности запуска двигателя с поплавка (1076,730).</w:t>
      </w:r>
    </w:p>
    <w:p w14:paraId="529654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C507FA5" w14:textId="77777777" w:rsidR="00A24023" w:rsidRPr="005E779E" w:rsidRDefault="00A24023"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1931 в Авиационном переулке, в филиале завода им. Менжинского, построили макет АИР-5 (машина 49) (3971,6).</w:t>
      </w:r>
    </w:p>
    <w:p w14:paraId="073D8A0D" w14:textId="77777777" w:rsidR="00A24023" w:rsidRPr="005E779E" w:rsidRDefault="00A24023" w:rsidP="000B7A6C">
      <w:pPr>
        <w:autoSpaceDE w:val="0"/>
        <w:autoSpaceDN w:val="0"/>
        <w:adjustRightInd w:val="0"/>
        <w:spacing w:after="0" w:line="240" w:lineRule="auto"/>
        <w:jc w:val="both"/>
        <w:rPr>
          <w:rFonts w:ascii="Times New Roman" w:hAnsi="Times New Roman"/>
          <w:color w:val="000000" w:themeColor="text1"/>
          <w:sz w:val="16"/>
          <w:szCs w:val="16"/>
        </w:rPr>
      </w:pPr>
    </w:p>
    <w:p w14:paraId="5EE5D589" w14:textId="77777777" w:rsidR="00A24023" w:rsidRPr="005E779E" w:rsidRDefault="00A24023" w:rsidP="000B7A6C">
      <w:pPr>
        <w:pStyle w:val="a8"/>
        <w:jc w:val="both"/>
        <w:rPr>
          <w:rFonts w:ascii="Times New Roman" w:hAnsi="Times New Roman" w:cs="Times New Roman"/>
          <w:color w:val="000000" w:themeColor="text1"/>
        </w:rPr>
      </w:pPr>
      <w:r w:rsidRPr="005E779E">
        <w:rPr>
          <w:rFonts w:ascii="Times New Roman" w:hAnsi="Times New Roman" w:cs="Times New Roman"/>
          <w:color w:val="000000" w:themeColor="text1"/>
        </w:rPr>
        <w:t>В мае 1931 г. в филиале завода № 39 в Авиационном переулке изготовили полноразмерный макет АИР-5. Данных о его изучении какой-либо комиссией пока не обнаружено (19099).</w:t>
      </w:r>
    </w:p>
    <w:p w14:paraId="323DC72E" w14:textId="77777777" w:rsidR="00A24023" w:rsidRPr="005E779E" w:rsidRDefault="00A24023" w:rsidP="000B7A6C">
      <w:pPr>
        <w:pStyle w:val="a8"/>
        <w:jc w:val="both"/>
        <w:rPr>
          <w:rFonts w:ascii="Times New Roman" w:hAnsi="Times New Roman" w:cs="Times New Roman"/>
          <w:color w:val="000000" w:themeColor="text1"/>
        </w:rPr>
      </w:pPr>
    </w:p>
    <w:p w14:paraId="5ACC11E2" w14:textId="77777777" w:rsidR="00EE2602" w:rsidRPr="00142305" w:rsidRDefault="00EE2602" w:rsidP="00EE260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мае 1931 г. в филиале завода № 39 в Авиационном переулке изготови</w:t>
      </w:r>
      <w:r w:rsidRPr="00142305">
        <w:rPr>
          <w:rFonts w:ascii="Times New Roman" w:hAnsi="Times New Roman"/>
          <w:color w:val="0070C0"/>
          <w:sz w:val="16"/>
          <w:szCs w:val="16"/>
        </w:rPr>
        <w:softHyphen/>
        <w:t>ли полноразмерный макет АИР-5. Данных о его изучении какой-либо комиссией по</w:t>
      </w:r>
      <w:r w:rsidRPr="00142305">
        <w:rPr>
          <w:rFonts w:ascii="Times New Roman" w:hAnsi="Times New Roman"/>
          <w:color w:val="0070C0"/>
          <w:sz w:val="16"/>
          <w:szCs w:val="16"/>
        </w:rPr>
        <w:softHyphen/>
        <w:t>ка не обнаружено (24945).</w:t>
      </w:r>
    </w:p>
    <w:p w14:paraId="61D6F666" w14:textId="77777777" w:rsidR="00EE2602" w:rsidRPr="00142305" w:rsidRDefault="00EE2602" w:rsidP="00EE2602">
      <w:pPr>
        <w:spacing w:after="0" w:line="240" w:lineRule="auto"/>
        <w:jc w:val="both"/>
        <w:rPr>
          <w:rFonts w:ascii="Times New Roman" w:hAnsi="Times New Roman"/>
          <w:color w:val="0070C0"/>
          <w:sz w:val="16"/>
          <w:szCs w:val="16"/>
        </w:rPr>
      </w:pPr>
    </w:p>
    <w:p w14:paraId="6C3968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1931 на Москве-реке испытали АИР-2 на поплавказх В.Б.Ш. (7393, 29).</w:t>
      </w:r>
    </w:p>
    <w:p w14:paraId="717CF3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184DE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1931 года с авиетками А. С. Яковлева АИР-4 познакомился и дал прекрасный отзыв о них английский экипаж самолета "Моте" - летчик Белльвиль и летчица Монтегю, которые побывали в Москве во время перелета Лондон- Индия-Персия-СССР-Лондон. В свою очередь, Пионтковский и Яковлев полетали на английском самолете. Информацию об АИР-4 опубликовал известный международный ежегодник Джейна "Самолеты мира" за 1931 год (11981).</w:t>
      </w:r>
    </w:p>
    <w:p w14:paraId="4147E9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КРАТКОЕ ТЕХНИЧЕСКОЕ ОПИСАНИЕ АИР-4</w:t>
      </w:r>
    </w:p>
    <w:p w14:paraId="7ED1C2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Конструктивно самолет АИР-4 практически не отличался от АИР-3. Ниже приводятся основные отличия и особенности самолета.</w:t>
      </w:r>
    </w:p>
    <w:p w14:paraId="502DD6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Фюзеляж. Доступ в обе кабины облегчается благодаря дверкам в бортах фюзеляжа, укрепленным на верхнем лонжероне. Для контроля и замены амортизации костыля в хвостовой части фюзеляжа сделан люк с крышкой.</w:t>
      </w:r>
    </w:p>
    <w:p w14:paraId="098BDA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Крыло самолета АИР-4 аналогично крылу АИР-3. Элероны подвешены на четырех шарнирах.</w:t>
      </w:r>
    </w:p>
    <w:p w14:paraId="5539ED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Хвостовое оперение на АИР-4 более тонкого профиля и изменено по форме. Управление двойное, из стальных труб с дюралевыми съемными ручками.</w:t>
      </w:r>
    </w:p>
    <w:p w14:paraId="2A53AF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Шасси безосное, с увеличенной колеей, из стальных круглых труб со съемными дюралевыми обтекателями. Полуось и задняя, упорная труба шасси соединены между собой жестко и вращаются вокруг одной оси. Амортизация осуществляется резиновыми шайбами обтекаемого сечения, работающими на сжатие. Между шайбами проложены пластины из миллиметрового дюраля. Шайбы из резины марки 50-С толщиной 18 мм, в количестве 12 штук, вместе с дюралевыми прокладками представляют собой пакет высотой 180 мм (после предварительной затяжки, равной половине веса самолета на стоянке). Шайбы нанизаны на две телескопические трубы с упорами. Упоры соединены стяжными болтами, проходящими через шайбы, и в свою очередь обеспечены от ударов при обратной отдаче маленькими резиновыми прокладками.</w:t>
      </w:r>
    </w:p>
    <w:p w14:paraId="678CFD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Как выяснилось в результате эксплуатации, шасси оказалось очень прочным. Амортизация шайбами достаточно мягкая и упругая, не требующая частой замены, как шнуровая. Масса шасси без колес 12 кг - на 2 кг меньше, чем на АИР-3. Амортизирующая труба упирается верхним своим концом в перехваченный передний подкос крыла и передает усилие на один из основных узлов фюзеляжа, к которому подходит и стойка центроплана.</w:t>
      </w:r>
    </w:p>
    <w:p w14:paraId="26E52A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Топливная система. Бензобаки - по 110 л, всего 330 л. В передней части фюзеляжа находится резервный бачок на 13 л. На крышке каждого бака установлены напорные трубки - "граммофончики" (то есть в форме раструба) (11981).</w:t>
      </w:r>
    </w:p>
    <w:p w14:paraId="40A13F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5044F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1931 года в НИИ ГВФ поступил самолет К-5 для испытаний, но он был возвращен ХАЗу из-за наличия большого количества дефектов.23 августа 1931 года в НИИ поступил другой экземпляр К-5 с частично устраненными дефектами. Самолет был испытан и условно утвержден для производства (7738, 12-10).</w:t>
      </w:r>
    </w:p>
    <w:p w14:paraId="115D10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A514126" w14:textId="77777777" w:rsidR="0033769F" w:rsidRPr="005E779E" w:rsidRDefault="0033769F"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В мае 1931 г. был произведен первый в СССР реактивный старт учебного самолета У-1 на твердотопливных ракетах. Аэродромные эксперименты по применению твердотоплив ных реактивных двигателей для старта самолетов начались в ГДЛ с 1930 г. по предложению, которое В.И. Дудаков и В.А. Константинов сделали еще в 1927 г. Эта работа продол жалась в РНИИ под руководством Вячеслава Ивановича Дудакова. Всего в 1931 г. было произведено около 100 взле тов (летчик СИ. Мухин) легкого учебного самолета У-1 с по роховыми ракетными ускорителями. Время разбега У-1 было всего 1,5 с. Эти опыты проводились в СССР впервые.</w:t>
      </w:r>
    </w:p>
    <w:p w14:paraId="5A3D2AAA" w14:textId="77777777" w:rsidR="0033769F" w:rsidRPr="005E779E" w:rsidRDefault="0033769F"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После успешных опытов с самолетом У-1 в 1931 г. было ре шено установить стартовые ракеты на более тяжелый самолет ТБ-1 (масса 7 т). В течение 1931—1933 гг. велись теоретичес кие и экспериментальные работы по выбору оптимальных раз меров ракет и мест их установки, по динамике разгона самоле та, упрочнению конструкции и т.д. (19586).</w:t>
      </w:r>
    </w:p>
    <w:p w14:paraId="779AB01E" w14:textId="77777777" w:rsidR="0033769F" w:rsidRPr="005E779E" w:rsidRDefault="0033769F"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434AFC0" w14:textId="77777777" w:rsidR="006B25A0" w:rsidRPr="00142305" w:rsidRDefault="006B25A0" w:rsidP="006B25A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мае 1931 г. был произведен первый в СССР реактивный старт учебного самолета У-1 на твердотопливных ракетах (рис. 2.2) Всего в 1931 г. было произведено около 100 взле</w:t>
      </w:r>
      <w:r w:rsidRPr="00142305">
        <w:rPr>
          <w:rFonts w:ascii="Times New Roman" w:hAnsi="Times New Roman"/>
          <w:color w:val="0070C0"/>
          <w:sz w:val="16"/>
          <w:szCs w:val="16"/>
        </w:rPr>
        <w:softHyphen/>
        <w:t>тов (летчик СИ. Мухин) легкого учебного самолета У-1 с по</w:t>
      </w:r>
      <w:r w:rsidRPr="00142305">
        <w:rPr>
          <w:rFonts w:ascii="Times New Roman" w:hAnsi="Times New Roman"/>
          <w:color w:val="0070C0"/>
          <w:sz w:val="16"/>
          <w:szCs w:val="16"/>
        </w:rPr>
        <w:softHyphen/>
        <w:t>роховыми ракетными ускорителями. Время разбега У-1 было всего 1,5 с. Эти опыты проводились в СССР впервые [4. С. 191], [5. С. 339] (24920).</w:t>
      </w:r>
    </w:p>
    <w:p w14:paraId="34473EE1" w14:textId="77777777" w:rsidR="006B25A0" w:rsidRPr="00142305" w:rsidRDefault="006B25A0" w:rsidP="006B25A0">
      <w:pPr>
        <w:spacing w:after="0" w:line="240" w:lineRule="auto"/>
        <w:jc w:val="both"/>
        <w:rPr>
          <w:rFonts w:ascii="Times New Roman" w:hAnsi="Times New Roman"/>
          <w:color w:val="0070C0"/>
          <w:sz w:val="16"/>
          <w:szCs w:val="16"/>
        </w:rPr>
      </w:pPr>
    </w:p>
    <w:p w14:paraId="046372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1931 началась постройка автожира ЭА-4 с М-26 (1017,277).</w:t>
      </w:r>
    </w:p>
    <w:p w14:paraId="762B64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61BBB06" w14:textId="77777777" w:rsidR="007F00E8" w:rsidRPr="00142305" w:rsidRDefault="007F00E8" w:rsidP="007F00E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мае 1931 г. по результатам рассмотрения доклада специальной комиссии во главе с А.А. Андреевым для рассмотрения деятельности ЦАГИ было принято постановление Политбюро по ЦАГИ. В нем говорилось, что «несмотря на то что за последние годы достигнуты значительные успехи по превращению маленькой исследовательской ячейки ЦАГИ, зародившейся в 1923 г., в крупный, серьезный, оборудованный по последнему слову техники исследовательский институт, что поставило его в ряды первых мест среди научно-исследовательских институтов мира, однако результаты опытных работ ЦАГИ являются крайне неудовлетворительными, что выражается в медленных темпах конструирования и строительства опытных машин, в отсутствии системы связи между конструированием машин и их вооружением, в результате чего сконструированные машины зачастую оказываются мало удовлетворительными для оборонных целей, в недостаточной проработке сырьевых баз и возможностей суррогатирования авиаматериалов»</w:t>
      </w:r>
      <w:bookmarkStart w:id="33" w:name="_ftnref10"/>
      <w:r w:rsidRPr="00142305">
        <w:rPr>
          <w:rFonts w:ascii="Times New Roman" w:hAnsi="Times New Roman"/>
          <w:color w:val="0070C0"/>
          <w:sz w:val="16"/>
          <w:szCs w:val="16"/>
        </w:rPr>
        <w:t>.</w:t>
      </w:r>
    </w:p>
    <w:p w14:paraId="70E29624" w14:textId="77777777" w:rsidR="007F00E8" w:rsidRPr="00142305" w:rsidRDefault="007F00E8" w:rsidP="007F00E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качестве мер по исправлению было решено «для обеспечения непосредственной связи ЦАГИ с авиапромышленностью передать ЦАГИ из ведения Наркомвоенмора в ведение ВСНХ СССР». Также было решено укрепить руководящий состав путем удаления из него негодных по деловым и политическим качествам сотрудников, и укрепить ЦАГИ новыми работниками.</w:t>
      </w:r>
    </w:p>
    <w:p w14:paraId="3FA6CF6D" w14:textId="77777777" w:rsidR="007F00E8" w:rsidRPr="00142305" w:rsidRDefault="007F00E8" w:rsidP="007F00E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Было сильно увеличено финансирование ЦАГИ на 1931 г. и составило 10 млн. руб. (25126)</w:t>
      </w:r>
      <w:bookmarkEnd w:id="33"/>
      <w:r w:rsidRPr="00142305">
        <w:rPr>
          <w:rFonts w:ascii="Times New Roman" w:hAnsi="Times New Roman"/>
          <w:color w:val="0070C0"/>
          <w:sz w:val="16"/>
          <w:szCs w:val="16"/>
        </w:rPr>
        <w:t>.</w:t>
      </w:r>
    </w:p>
    <w:p w14:paraId="7D70553F" w14:textId="77777777" w:rsidR="007F00E8" w:rsidRPr="00142305" w:rsidRDefault="007F00E8" w:rsidP="007F00E8">
      <w:pPr>
        <w:spacing w:after="0" w:line="240" w:lineRule="auto"/>
        <w:jc w:val="both"/>
        <w:rPr>
          <w:rFonts w:ascii="Times New Roman" w:hAnsi="Times New Roman"/>
          <w:color w:val="0070C0"/>
          <w:sz w:val="16"/>
          <w:szCs w:val="16"/>
        </w:rPr>
      </w:pPr>
    </w:p>
    <w:p w14:paraId="59834B1F" w14:textId="77777777" w:rsidR="007F00E8" w:rsidRPr="00142305" w:rsidRDefault="007F00E8" w:rsidP="007F00E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мае 1931 г. Совет Труда и Обороны также принял решение об изменении профиля ЦАГИ. Он больше не занимался практическими работами в области создания новых самолетов и моторов, а становился научно-исследовательским и экспериментальным институтом, в чью компетенцию входило в основном обеспечение авиации проверенными теоретическими данными, которые позволяли бы конструкторским бюро и заводам создавать и производить выпуск технически совершенных самолетов.</w:t>
      </w:r>
    </w:p>
    <w:p w14:paraId="1CE5BA35" w14:textId="77777777" w:rsidR="007F00E8" w:rsidRPr="00142305" w:rsidRDefault="007F00E8" w:rsidP="007F00E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Также на базе отделов и лабораторий ЦАГИ были созданы новые различные учреждения: ВИАМ, ЦИАМ, ЛИИ и др. В 1932 г. в этих институтах работало около 10 тыс. человек (25126).</w:t>
      </w:r>
    </w:p>
    <w:p w14:paraId="342543D8" w14:textId="77777777" w:rsidR="007F00E8" w:rsidRPr="00142305" w:rsidRDefault="007F00E8" w:rsidP="007F00E8">
      <w:pPr>
        <w:spacing w:after="0" w:line="240" w:lineRule="auto"/>
        <w:jc w:val="both"/>
        <w:rPr>
          <w:rFonts w:ascii="Times New Roman" w:hAnsi="Times New Roman"/>
          <w:color w:val="0070C0"/>
          <w:sz w:val="16"/>
          <w:szCs w:val="16"/>
        </w:rPr>
      </w:pPr>
    </w:p>
    <w:p w14:paraId="79B397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1931 прошел 50-часовое испытание мотор М-15 24 завода, но т.к. гос. испытаний не было был запущен в серию для ГВФ (3029,205).</w:t>
      </w:r>
    </w:p>
    <w:p w14:paraId="79C2D0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67289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1931 проект М-38 в целом завершили. В январе следующего года уже изготовили около трети деталей. В октябре 1932 г. опытный образец был готов. Первые испытания выявили недостаточную прочность головок, поршней, кулачковой шайбы. В январе 1933 г. литые поршни заменили коваными, механизм газораспределения модернизировали, взяв за образец Бристоль «Меркьюри». Но заданной мощности 600 л.с. достичь -не уда</w:t>
      </w:r>
      <w:r w:rsidRPr="005E779E">
        <w:rPr>
          <w:rFonts w:ascii="Times New Roman" w:hAnsi="Times New Roman"/>
          <w:color w:val="000000" w:themeColor="text1"/>
          <w:sz w:val="16"/>
          <w:szCs w:val="16"/>
        </w:rPr>
        <w:softHyphen/>
        <w:t>лось. После принятия решения о запуске в производство американского «Циклона» ценность недоведенного М-38 сразу упала. В конце 1933 г. работу по нему прекратили.</w:t>
      </w:r>
    </w:p>
    <w:p w14:paraId="231D60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Двигатель для истребителей. Проектировался под руководством Ф.В. Концевича на заводе № 24 с 1930 г., с февраля 1931 г. в НАМ. Общая компоновка завершена в мае 1931 г., рабочие чертежи — в янва</w:t>
      </w:r>
      <w:r w:rsidRPr="005E779E">
        <w:rPr>
          <w:rFonts w:ascii="Times New Roman" w:hAnsi="Times New Roman"/>
          <w:color w:val="000000" w:themeColor="text1"/>
          <w:sz w:val="16"/>
          <w:szCs w:val="16"/>
        </w:rPr>
        <w:softHyphen/>
        <w:t>ре 1932 г. Опытным заводом НАМ в 1932 г. изготовлены два опытных образца. Стендовые испытания проводились с осени 1932 г. Выявлены трещины в поршнях, ненадежность газораспределения. Доводка двигателя шла до осени 1933 г. Работы прекращены из-за несоответствия реальной</w:t>
      </w:r>
    </w:p>
    <w:p w14:paraId="3912B99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мощности двигателя заданию и превышения веса (по заданию не более 400 кг).</w:t>
      </w:r>
    </w:p>
    <w:p w14:paraId="1E65DF0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Характеристики:</w:t>
      </w:r>
    </w:p>
    <w:p w14:paraId="4529998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9-цилиндровый, звездообразный, четырехтактный, воздушного охлаж</w:t>
      </w:r>
      <w:r w:rsidRPr="005E779E">
        <w:rPr>
          <w:rFonts w:ascii="Times New Roman" w:hAnsi="Times New Roman"/>
          <w:color w:val="000000" w:themeColor="text1"/>
          <w:sz w:val="16"/>
          <w:szCs w:val="16"/>
        </w:rPr>
        <w:softHyphen/>
        <w:t>дения;</w:t>
      </w:r>
    </w:p>
    <w:p w14:paraId="67F2F02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безредукторный;</w:t>
      </w:r>
    </w:p>
    <w:p w14:paraId="6DF3355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мощность по проекту 570/600 л.с. (фактически получено 575 л.с.);</w:t>
      </w:r>
    </w:p>
    <w:p w14:paraId="2653625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вес 460 кг (по заданию 450 кг);</w:t>
      </w:r>
    </w:p>
    <w:p w14:paraId="67F1768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диаметр цилиндра/ход поршня 135/160 мм;</w:t>
      </w:r>
    </w:p>
    <w:p w14:paraId="355C223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полный рабочий объем 30,7 л;</w:t>
      </w:r>
    </w:p>
    <w:p w14:paraId="2A9921F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 степень сжатия 6,0. Проектировались несколько модификаций:</w:t>
      </w:r>
    </w:p>
    <w:p w14:paraId="4FB820D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М-38 без редуктора и нагнетателя.</w:t>
      </w:r>
    </w:p>
    <w:p w14:paraId="65D0054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М-38Н с односкоростным ПЦН.</w:t>
      </w:r>
    </w:p>
    <w:p w14:paraId="78688C8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М-38Г (М-38Гр) для гражданских самолетов на базе М-38Н.</w:t>
      </w:r>
    </w:p>
    <w:p w14:paraId="5DE4E9C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М-38РН с редуктором и ПЦН, 600 л.с., вес 430 кг (по расчету). Предлагался для истребителей И-5, И-9, И-14, И-15, корабельного раз</w:t>
      </w:r>
      <w:r w:rsidRPr="005E779E">
        <w:rPr>
          <w:rFonts w:ascii="Times New Roman" w:hAnsi="Times New Roman"/>
          <w:color w:val="000000" w:themeColor="text1"/>
          <w:sz w:val="16"/>
          <w:szCs w:val="16"/>
        </w:rPr>
        <w:softHyphen/>
        <w:t>ведчика КР-2 (11852).</w:t>
      </w:r>
    </w:p>
    <w:p w14:paraId="31E9F23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FE80F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1931 г. проект М-44 в основном был готов. Но в план опытных работ на 1932 г. двигатель внесли как второочередной, ожидая окончания до</w:t>
      </w:r>
      <w:r w:rsidRPr="005E779E">
        <w:rPr>
          <w:rFonts w:ascii="Times New Roman" w:hAnsi="Times New Roman"/>
          <w:color w:val="000000" w:themeColor="text1"/>
          <w:sz w:val="16"/>
          <w:szCs w:val="16"/>
        </w:rPr>
        <w:softHyphen/>
        <w:t>водки М-170/44. По мере проработки проекта М-44 изменялось задание — допустимый вес с 1500 кг поднялся до 1800 кг. Лишь с начала 1933 г. приступили к изготовлению опытных образцов двигателя (их параллельно делали два). В том же году начались заводские испытания первого экземпляра, в следующем — второго. Планировали и третий, но позднее от его сборки отказались. Одновременно началось проектирование катерной модификации, ГМ-44 с реверс-муфтой. Авиационный М-44 не оправдал надежд конструкторов. Мощность его оказалась значительно меньше заданных 2200 л.с. В конце 1934 г. работы по нему прекратили. Катерный ГМ-44 построили и испытывали до сере</w:t>
      </w:r>
      <w:r w:rsidRPr="005E779E">
        <w:rPr>
          <w:rFonts w:ascii="Times New Roman" w:hAnsi="Times New Roman"/>
          <w:color w:val="000000" w:themeColor="text1"/>
          <w:sz w:val="16"/>
          <w:szCs w:val="16"/>
        </w:rPr>
        <w:softHyphen/>
        <w:t>дины 1936 г. Но его также не запустили в серийное производство.</w:t>
      </w:r>
    </w:p>
    <w:p w14:paraId="1CA6AB7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Самый мощный советский авиамотор первой половины 30-х годов. Предназначался для тяжелых бомбардировщиков. Проектировался в НАМ под руководством Н.П. Сердюкова с февраля 1931 г. на базе экспериментального одноцилиндрового мотора М-170 (М-170/44), соз</w:t>
      </w:r>
      <w:r w:rsidRPr="005E779E">
        <w:rPr>
          <w:rFonts w:ascii="Times New Roman" w:hAnsi="Times New Roman"/>
          <w:color w:val="000000" w:themeColor="text1"/>
          <w:sz w:val="16"/>
          <w:szCs w:val="16"/>
        </w:rPr>
        <w:softHyphen/>
        <w:t>данного в 1929-1930 гг. в ВМО ЦАГИ. Построены в 1933-1935 гг. три опытных образца, в том числе один ГМ-44. Работы прекращены в середине 1936 г.</w:t>
      </w:r>
    </w:p>
    <w:p w14:paraId="410DF54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Существовали модификации:</w:t>
      </w:r>
    </w:p>
    <w:p w14:paraId="4F87DCA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М-44, авиационный вариант. Изготовлен в двух экземплярах. Мощ</w:t>
      </w:r>
      <w:r w:rsidRPr="005E779E">
        <w:rPr>
          <w:rFonts w:ascii="Times New Roman" w:hAnsi="Times New Roman"/>
          <w:color w:val="000000" w:themeColor="text1"/>
          <w:sz w:val="16"/>
          <w:szCs w:val="16"/>
        </w:rPr>
        <w:softHyphen/>
        <w:t>ность 1700/2000 л.с., вес 1700 кг (по другим данным — 1800 кг).</w:t>
      </w:r>
    </w:p>
    <w:p w14:paraId="2A295C3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М-44Н с нагнетателем. Значился в плане работ на 1933 г., но никаких данных о работе по этому проекту нет.</w:t>
      </w:r>
    </w:p>
    <w:p w14:paraId="0FC3B0D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ГМ-44, катерный вариант с реверс-редуктором. Изготовлен в одном экземпляре в 1935 г. Испытывался в 1935-1936 гг. Мощность 1870 л.с.</w:t>
      </w:r>
    </w:p>
    <w:p w14:paraId="6164733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Характеристики:</w:t>
      </w:r>
    </w:p>
    <w:p w14:paraId="65A5AF0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12-цилиндровый, рядный У-образный, четырехтактный, водяного охлаждения;</w:t>
      </w:r>
    </w:p>
    <w:p w14:paraId="2039289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.редукторный;</w:t>
      </w:r>
    </w:p>
    <w:p w14:paraId="4BD607E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мощность и вес в зависимости от модификации;</w:t>
      </w:r>
    </w:p>
    <w:p w14:paraId="6CFA493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диаметр цилиндра/ход поршня 222/286 мм;</w:t>
      </w:r>
    </w:p>
    <w:p w14:paraId="58D6A49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полный рабочий объем 132,8 л;</w:t>
      </w:r>
    </w:p>
    <w:p w14:paraId="3D74C2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степень сжатия 6,0 (по другим данным - 5,0). Предлагался для бомбардировщиков ТБ-6 и ТБ-7 (не Пе-8) (11852).</w:t>
      </w:r>
    </w:p>
    <w:p w14:paraId="435917B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F03F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1931 проект М-44, который разрабатывался с февраля 1931, в основном закончили; руководил работой Н.П. Сердюков. Однако изготовление опытных образцов задержали, поскольку хотели в максимальной степени отладить цилиндро-поршневую группу, испытывая ее на М-170/44. Интересно, что в плане института на 1932 г. работа по М-44 числилась "второочередной".</w:t>
      </w:r>
    </w:p>
    <w:p w14:paraId="5AC947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1928 г. в ЦАГИ начали строить установку М-170. Это был одноцилиндровый четырехтактный двигатель, а цифра показывала, что с этого цилиндра намеревались "снять" 170 л.с. Результаты опытов внушали надежду, и в 1930 г. ИАМ дали задание на базе М-170 (переименованной в М-170/44) создать 12-цилиндровый V-образный мотор водяного охлаждения.</w:t>
      </w:r>
    </w:p>
    <w:p w14:paraId="76B82D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1933 г. приступили к изготовлению деталей для двух опытных экземпляров. В том же году первый из них собрали и опробовали на стенде, а в начале следующего года - второй. Планировали и третий, но потом его исключили. Однако М-44 упорно отказывался выдавать требуемую мощность и постоянно ломался.</w:t>
      </w:r>
    </w:p>
    <w:p w14:paraId="12A7BE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Третий образец этого мотора все-таки сделали, но в катерном варианте ГМ-44 со специальным реверс-редуктором. Но и он не снискал большого успеха. Отчаявшись добиться поставленных заданием показателей, в конце 1934 г. работу прекратили.</w:t>
      </w:r>
    </w:p>
    <w:p w14:paraId="48517A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мотор М-44 возлагались большие надежды. По заданию его максимальная мощность должна была достигнуть 2000 л.с. (а по некоторым документам - 2200 л.с.). История этого двигателя началась в винтомоторном отделе ЦАГИ. Там экспериментировали с цилиндрами большого диаметра. Действительно, при этом коэффициент полезного действия двигателя должен был вырасти за счет уменьшения тепловых потерь, ведь объем растет по кубу, а площадь, с которой теряют тепло - только по квадрату. Но при этом резко возрастают нагрузки на все части двигателя, ведь увеличение площади поршня - это пропорциональное увеличение действующей на него силы (12024).</w:t>
      </w:r>
    </w:p>
    <w:p w14:paraId="78E2C5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E381A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1931 г. первыми серийные изделия ВАП-4, сделанные на заводе "Вулкан", получила 56-я эскадрилья3-й авиабригады в Гомеле. Прибор ВАП-4 обеспечивад постепенный слив. Он имел сварной каплевидный корпус из железа длиной немного больше метра. В нем умещались 82 л раствора. Снизу бак имел три ножки, они же ручки для переноски. В действие он приводился тросом от бомбосбрасывателя СБР-8. Механизм одновременно открывал передний люк и сливную горловину. Жидкость вытеснялось напором набегающего потока - для этого и нужен был передний люк. Расход раствора мог изменяться сменой насадок на сливной горловине. Над ней размещался щиток, защищающий сам самолет от ядовитых брызг. После слива прибор закрывался. ВАП-4 подвешивался на бомбодержателях Дер-7 под крылом, но не штатных ухватах, а на хомутах. Р-1 нес два ВАП-4, подвеска которых немного ограничивала маневренность. В том же году провели модернизацию ВАП-4: улучшили характеристики разбрызгивания раствора и предусмотрели сброс прибора при отказе механизма открывания. В последнем случае он превращался в химическую бомбу. ВАП-4 надолго стал самым распространенным выливным прибором в нашей авиации (11931).</w:t>
      </w:r>
    </w:p>
    <w:p w14:paraId="196F4C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DC82B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1931 Правда писала: "Амнистировать нижеследующих конструкторов - бывших вредителей, приговоренных коллегией ОГПУ к различным мерам социальной защиты, с одновременным их награждением, а ГК по опытному самолетостроению Д.П.Г., раскаявшегося в своих прежних поступках и годичной работой доказавшего на деле свое раскаяние, - грамотой ЦИК и денежной наградой в 10000 руб..." (2692,5).</w:t>
      </w:r>
    </w:p>
    <w:p w14:paraId="633FC9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12370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1931 г. газета "Правда" писала: "Амнистировать нижеследующих конструкторов - бывших вредителей, приговорённых коллегией ОГПУ к различным мерам социальной защиты, с одновременным их награждением, а главного конструктора по опытному самолётостроению Григоровича Дмитрия Павловича, раскаявшегося в своих прежних поступках и годичной работой доказавшего на деле свое раскаяние, - грамотой ЦИК Союза ССР и денежной наградой в 10.000 рублей..." (12005).</w:t>
      </w:r>
    </w:p>
    <w:p w14:paraId="67914F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56709DA" w14:textId="77777777" w:rsidR="00EE2602" w:rsidRPr="00142305" w:rsidRDefault="00EE2602" w:rsidP="00EE2602">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В мае 1931 г. Н.Н. Поликарпов получил назначением на должность заместителя начальника бригады №3 ЦКБ-ЦАГИ П.О. Сухого. Бригада за</w:t>
      </w:r>
      <w:r w:rsidRPr="00142305">
        <w:rPr>
          <w:rStyle w:val="aff0"/>
          <w:rFonts w:ascii="Times New Roman" w:hAnsi="Times New Roman" w:cs="Times New Roman"/>
          <w:color w:val="0070C0"/>
          <w:spacing w:val="0"/>
          <w:sz w:val="16"/>
          <w:szCs w:val="16"/>
        </w:rPr>
        <w:softHyphen/>
        <w:t>нималась проектированием истребите</w:t>
      </w:r>
      <w:r w:rsidRPr="00142305">
        <w:rPr>
          <w:rStyle w:val="aff0"/>
          <w:rFonts w:ascii="Times New Roman" w:hAnsi="Times New Roman" w:cs="Times New Roman"/>
          <w:color w:val="0070C0"/>
          <w:spacing w:val="0"/>
          <w:sz w:val="16"/>
          <w:szCs w:val="16"/>
        </w:rPr>
        <w:softHyphen/>
        <w:t>ля-моноплана И-14 с гофрированной металлической обшивкой и убираю</w:t>
      </w:r>
      <w:r w:rsidRPr="00142305">
        <w:rPr>
          <w:rStyle w:val="aff0"/>
          <w:rFonts w:ascii="Times New Roman" w:hAnsi="Times New Roman" w:cs="Times New Roman"/>
          <w:color w:val="0070C0"/>
          <w:spacing w:val="0"/>
          <w:sz w:val="16"/>
          <w:szCs w:val="16"/>
        </w:rPr>
        <w:softHyphen/>
        <w:t>щимся шасси (25062).</w:t>
      </w:r>
    </w:p>
    <w:p w14:paraId="7CF1ADC8" w14:textId="77777777" w:rsidR="00EE2602" w:rsidRPr="00142305" w:rsidRDefault="00EE2602" w:rsidP="00EE2602">
      <w:pPr>
        <w:spacing w:after="0" w:line="240" w:lineRule="auto"/>
        <w:jc w:val="both"/>
        <w:rPr>
          <w:rFonts w:ascii="Times New Roman" w:hAnsi="Times New Roman"/>
          <w:color w:val="0070C0"/>
          <w:sz w:val="16"/>
          <w:szCs w:val="16"/>
        </w:rPr>
      </w:pPr>
    </w:p>
    <w:p w14:paraId="5EA4DDB2" w14:textId="77777777" w:rsidR="00EE2602" w:rsidRPr="00142305" w:rsidRDefault="00EE2602" w:rsidP="00EE2602">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В мае 1931 г. По</w:t>
      </w:r>
      <w:r w:rsidRPr="00142305">
        <w:rPr>
          <w:rStyle w:val="aff0"/>
          <w:rFonts w:ascii="Times New Roman" w:hAnsi="Times New Roman" w:cs="Times New Roman"/>
          <w:color w:val="0070C0"/>
          <w:spacing w:val="0"/>
          <w:sz w:val="16"/>
          <w:szCs w:val="16"/>
        </w:rPr>
        <w:softHyphen/>
        <w:t>ликарпова назначили заместителем П.О. Сухого в бригаду №3 объединенной организации ЦКБ-ЦАГИ. Здесь уже велась разработка истребителя-моноплана И-14, имеющего традиционную для ЦАГИ цель</w:t>
      </w:r>
      <w:r w:rsidRPr="00142305">
        <w:rPr>
          <w:rStyle w:val="aff0"/>
          <w:rFonts w:ascii="Times New Roman" w:hAnsi="Times New Roman" w:cs="Times New Roman"/>
          <w:color w:val="0070C0"/>
          <w:spacing w:val="0"/>
          <w:sz w:val="16"/>
          <w:szCs w:val="16"/>
        </w:rPr>
        <w:softHyphen/>
        <w:t>нометаллическую конструкцию, гофриро</w:t>
      </w:r>
      <w:r w:rsidRPr="00142305">
        <w:rPr>
          <w:rStyle w:val="aff0"/>
          <w:rFonts w:ascii="Times New Roman" w:hAnsi="Times New Roman" w:cs="Times New Roman"/>
          <w:color w:val="0070C0"/>
          <w:spacing w:val="0"/>
          <w:sz w:val="16"/>
          <w:szCs w:val="16"/>
        </w:rPr>
        <w:softHyphen/>
        <w:t>ванную обшивку крыльев и хвостового опе</w:t>
      </w:r>
      <w:r w:rsidRPr="00142305">
        <w:rPr>
          <w:rStyle w:val="aff0"/>
          <w:rFonts w:ascii="Times New Roman" w:hAnsi="Times New Roman" w:cs="Times New Roman"/>
          <w:color w:val="0070C0"/>
          <w:spacing w:val="0"/>
          <w:sz w:val="16"/>
          <w:szCs w:val="16"/>
        </w:rPr>
        <w:softHyphen/>
        <w:t>рения. Очевидно, эта работа стала еще од</w:t>
      </w:r>
      <w:r w:rsidRPr="00142305">
        <w:rPr>
          <w:rStyle w:val="aff0"/>
          <w:rFonts w:ascii="Times New Roman" w:hAnsi="Times New Roman" w:cs="Times New Roman"/>
          <w:color w:val="0070C0"/>
          <w:spacing w:val="0"/>
          <w:sz w:val="16"/>
          <w:szCs w:val="16"/>
        </w:rPr>
        <w:softHyphen/>
        <w:t>ним толчком для начала проектирования «своего» истребителя-моноплана, имею</w:t>
      </w:r>
      <w:r w:rsidRPr="00142305">
        <w:rPr>
          <w:rStyle w:val="aff0"/>
          <w:rFonts w:ascii="Times New Roman" w:hAnsi="Times New Roman" w:cs="Times New Roman"/>
          <w:color w:val="0070C0"/>
          <w:spacing w:val="0"/>
          <w:sz w:val="16"/>
          <w:szCs w:val="16"/>
        </w:rPr>
        <w:softHyphen/>
        <w:t>щего смешанную конструкцию и убирае</w:t>
      </w:r>
      <w:r w:rsidRPr="00142305">
        <w:rPr>
          <w:rStyle w:val="aff0"/>
          <w:rFonts w:ascii="Times New Roman" w:hAnsi="Times New Roman" w:cs="Times New Roman"/>
          <w:color w:val="0070C0"/>
          <w:spacing w:val="0"/>
          <w:sz w:val="16"/>
          <w:szCs w:val="16"/>
        </w:rPr>
        <w:softHyphen/>
        <w:t>мое в полете шасси – будущего И-16 (25415).</w:t>
      </w:r>
    </w:p>
    <w:p w14:paraId="75D9E23B" w14:textId="77777777" w:rsidR="00EE2602" w:rsidRPr="00142305" w:rsidRDefault="00EE2602" w:rsidP="00EE2602">
      <w:pPr>
        <w:spacing w:after="0" w:line="240" w:lineRule="auto"/>
        <w:jc w:val="both"/>
        <w:rPr>
          <w:rFonts w:ascii="Times New Roman" w:hAnsi="Times New Roman"/>
          <w:color w:val="0070C0"/>
          <w:sz w:val="16"/>
          <w:szCs w:val="16"/>
        </w:rPr>
      </w:pPr>
    </w:p>
    <w:p w14:paraId="77CEAF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1931 НИИ ВВС предложил организовать в составе 9-й авиабригады на ЧМ "торпедную ячейку" из двух ТБ-1, использовав машину Остехбюро и один ВВС и 25 Я.И.Алкснис согласился (561,5).</w:t>
      </w:r>
    </w:p>
    <w:p w14:paraId="4F3FB4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C728E1E" w14:textId="77777777" w:rsidR="00850E92" w:rsidRPr="005E779E" w:rsidRDefault="00850E92" w:rsidP="00850E92">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1931 г. НИИ ВВС внес предложение организовать в составе 9-й авиабригады на Черном море "торпедную ячейку". Сюда решили передать один ТБ-1, имевшийся в Остехбюро, и такую же машину, наряженную для Воздушных сил Черного моря. 25 мая Алкснис утвердил предложение, и в тот же день черноморцам выделили новенький самолет на колесах. В июле "ячейку" переименовали в торпедный отряд, который занимался испытаниями нового оружия. Командовал отрядом летчик Морозов. Машины базировались на аэродроме в Каче.</w:t>
      </w:r>
    </w:p>
    <w:p w14:paraId="11C2EA52" w14:textId="77777777" w:rsidR="00850E92" w:rsidRPr="005E779E" w:rsidRDefault="00850E92" w:rsidP="00850E92">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ТБ-1 оснащались универсальным под- фюзеляжным мостом ОТБ, позволявшим подвеску высотной торпеды ВВС-15 и мины ВОМИЗА-ЮО, обладавших очень схожими парашютными системами с несколькими куполами, постепенно гасившими скорость падения, а также торпеды ВВС-12 для сбрасывания с бреющего полета.</w:t>
      </w:r>
    </w:p>
    <w:p w14:paraId="7DA401F5" w14:textId="77777777" w:rsidR="00850E92" w:rsidRPr="005E779E" w:rsidRDefault="00850E92" w:rsidP="00850E92">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Испытания мин и торпед проводились с марта 1932 г., а в сентябре перешли в стадию войсковых, когда торпедами попробовали поражать различные цели. Главной целью являлся линкор "Парижская Коммуна". Сбрасывали так, чтобы торпеда прошла заведомо мимо корабля. Дело в том, что не имелось "мнущихся" (учебных) боевых отделений. В октябре во время маневров флота пара ТБ-1 залпом сбросила торпеды по буксируемому щиту в 15 милях от Херсонесского маяка. Обе торпеды промахнулись. Трудно было учесть снос парашютов ветром. Но механизмы торпед отработали исправно. Всего до 14 ноября выполнили девять сбрасываний. Поскольку в первую очередь всех интересовала баллистика системы, то часто сбрасывались "болванки" - габаритно-весовые макеты без "начинки".</w:t>
      </w:r>
    </w:p>
    <w:p w14:paraId="17EC20B9" w14:textId="77777777" w:rsidR="00850E92" w:rsidRPr="005E779E" w:rsidRDefault="00850E92" w:rsidP="00850E92">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Параллельно с колесными морским летчикам начали поставлять самолеты на поплавках. К концу сентября 1931 г. в 62-й эскадрилье 4-й авиабригады на Балтике уже имелись три ЮГ-1 и три ТБ-1 П. Последние использовали для испытаний торпеды ВВС-12. После доработки ее приняли на вооружение как ТАН-12, а ВВС-15 - как ТАВ-15. Мина ВОМИЗА-1СЮ получила новое обозначение МАВ-1, в 1933 г. ее модернизировали, несколько облегчив и упростив.</w:t>
      </w:r>
    </w:p>
    <w:p w14:paraId="58B0117A" w14:textId="77777777" w:rsidR="00850E92" w:rsidRPr="005E779E" w:rsidRDefault="00850E92" w:rsidP="00850E92">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 1933 г. арсенал морской авиации пополнился более мощной торпедой ТАВ-12. Она была прочнее, чем ТАВ-15 и позволяла сброс на скорости до 180 км/ч. Кроме того, у нее была выше скорость и втрое большая дальность хода. Парашютная система у торпед обоих типов была унифицирована. В 1934 - 1936 гг. под руководством В.И. Алферова доработали ТАН-12, получив модификацию ТАН-12А. Количество парашютов уменьшили с четырех до двух, а жесткий короб заменили мягкой упаковкой, при этом вес парашютной системы уменьшился с 450 до 120 кг, а время спуска с высоты 2000 м - с 55 до 45 с. Той же парашютной системой оснастили ТАВ-15, получив ТАВ-15А. Эти мины и торпеды стали основным вооружением советской минно-торпедной авиации в 1930-х гг.</w:t>
      </w:r>
    </w:p>
    <w:p w14:paraId="759B5EF7" w14:textId="77777777" w:rsidR="00850E92" w:rsidRPr="005E779E" w:rsidRDefault="00850E92" w:rsidP="00850E92">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1932 г. по постановлению Реввоенсовета приступили к формированию первых боевых частей минно-торпедной авиации. В их число вошли 121-я эскадрилья на Балтике, отряд в составе 124-й эскадрильи на Черном море и 1-я эскадрилья в составе Морских сил Дальнего Востока. По штату торпедной эскадрилье полагалось 12 машин. Эскадрилья делилась на три отряда. Все эти части создавались на базе уже существующих, но имевших другое назначение. Например, чтобы усилить морскую авиацию на Дальнем Востоке, которому придавалось особое значение, в марте 1932 г. в Хабаровск перебросили 51-ю эскадрилью из Воронежа, переименованную в 1-ю.</w:t>
      </w:r>
    </w:p>
    <w:p w14:paraId="64972E47" w14:textId="77777777" w:rsidR="00850E92" w:rsidRPr="005E779E" w:rsidRDefault="00850E92" w:rsidP="00850E92">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 процесс сдерживался медленным поступлением мостов, мин и торпед. Реально к декабрю 1932 г. ВВС РККА имели в общей сложности лишь десять самолетов, оснащенных надлежащим образом: четыре на Черном море, столько же на Балтике и три на Дальнем Востоке. Для них на складах лежали 27 боевых торпед и всего четыре мины. Соответственно, задержалась и специальная подготовка экипажей. Так, освоение высотного торпедометания в 1-й эскадрилье первым начал отряд П.И. Сучко весной 1933 г. (12001).</w:t>
      </w:r>
    </w:p>
    <w:p w14:paraId="16D74013" w14:textId="77777777" w:rsidR="00850E92" w:rsidRPr="005E779E" w:rsidRDefault="00850E92" w:rsidP="00850E92">
      <w:pPr>
        <w:autoSpaceDE w:val="0"/>
        <w:autoSpaceDN w:val="0"/>
        <w:adjustRightInd w:val="0"/>
        <w:spacing w:after="0" w:line="240" w:lineRule="auto"/>
        <w:jc w:val="both"/>
        <w:rPr>
          <w:rFonts w:ascii="Times New Roman" w:hAnsi="Times New Roman"/>
          <w:color w:val="000000" w:themeColor="text1"/>
          <w:sz w:val="16"/>
          <w:szCs w:val="16"/>
        </w:rPr>
      </w:pPr>
    </w:p>
    <w:p w14:paraId="51CC4A17" w14:textId="77777777" w:rsidR="00850E92" w:rsidRPr="00142305" w:rsidRDefault="00850E92" w:rsidP="00850E9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мае 1931 г. НИИ ВВС предложил организовать на Черном море в составе 9-й авиабригады «торпедную ячейку». Сюда передали пер</w:t>
      </w:r>
      <w:r w:rsidRPr="00142305">
        <w:rPr>
          <w:rFonts w:ascii="Times New Roman" w:hAnsi="Times New Roman"/>
          <w:color w:val="0070C0"/>
          <w:sz w:val="16"/>
          <w:szCs w:val="16"/>
        </w:rPr>
        <w:softHyphen/>
        <w:t>вый АНТ-4, имевшийся в ОСТЕХБЮРО, и еще один ТБ-1, предназначенный для Воздушных сил Черного моря. 25 мая Я.И. Алкснис утвердил предложение, и в тот же день черноморцам выделили новенький самолет на коле</w:t>
      </w:r>
      <w:r w:rsidRPr="00142305">
        <w:rPr>
          <w:rFonts w:ascii="Times New Roman" w:hAnsi="Times New Roman"/>
          <w:color w:val="0070C0"/>
          <w:sz w:val="16"/>
          <w:szCs w:val="16"/>
        </w:rPr>
        <w:softHyphen/>
        <w:t>сах. В июле «ячейку» переименовали в базировавшийся на аэродроме в Каче «торпедный отряд», занимавший</w:t>
      </w:r>
      <w:r w:rsidRPr="00142305">
        <w:rPr>
          <w:rFonts w:ascii="Times New Roman" w:hAnsi="Times New Roman"/>
          <w:color w:val="0070C0"/>
          <w:sz w:val="16"/>
          <w:szCs w:val="16"/>
        </w:rPr>
        <w:softHyphen/>
        <w:t>ся испытаниями нового оружия. Им командовал летчик Н.И. Морозов из ОСТЕХБЮРО.</w:t>
      </w:r>
    </w:p>
    <w:p w14:paraId="25433850" w14:textId="77777777" w:rsidR="00850E92" w:rsidRPr="00142305" w:rsidRDefault="00850E92" w:rsidP="00850E9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ТБ-1 оснащались универсальным подфюзеляжным мостом ОТБ, позволявшим подвеску торпеды ВВС-12 для сбрасывания с бреющего полета, высотной торпеды ВВС-15 и мины ВОМИЗА-ЮО («ВОздушная МИна ЗА- граждения»), У двух последних были схожие парашют</w:t>
      </w:r>
      <w:r w:rsidRPr="00142305">
        <w:rPr>
          <w:rFonts w:ascii="Times New Roman" w:hAnsi="Times New Roman"/>
          <w:color w:val="0070C0"/>
          <w:sz w:val="16"/>
          <w:szCs w:val="16"/>
        </w:rPr>
        <w:softHyphen/>
        <w:t>ные системы с несколькими куполами, постепенно гасив</w:t>
      </w:r>
      <w:r w:rsidRPr="00142305">
        <w:rPr>
          <w:rFonts w:ascii="Times New Roman" w:hAnsi="Times New Roman"/>
          <w:color w:val="0070C0"/>
          <w:sz w:val="16"/>
          <w:szCs w:val="16"/>
        </w:rPr>
        <w:softHyphen/>
        <w:t>шими скорость падения (25004).</w:t>
      </w:r>
    </w:p>
    <w:p w14:paraId="1ED41461" w14:textId="77777777" w:rsidR="00850E92" w:rsidRPr="00142305" w:rsidRDefault="00850E92" w:rsidP="00850E92">
      <w:pPr>
        <w:spacing w:after="0" w:line="240" w:lineRule="auto"/>
        <w:jc w:val="both"/>
        <w:rPr>
          <w:rFonts w:ascii="Times New Roman" w:hAnsi="Times New Roman"/>
          <w:color w:val="0070C0"/>
          <w:sz w:val="16"/>
          <w:szCs w:val="16"/>
        </w:rPr>
      </w:pPr>
    </w:p>
    <w:p w14:paraId="387A56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1931 в Евпатории вновь испытывались аппараты и Майзеля. И Соколов-Соколенок докладывал Нач. НИИ ВВС: “...необходимо самым экстренным порядком начать развивать ЗАМы, повышая их вес и разрабатывая к ним различного рода взрыватели и радиоуправление; ближайшая задача - перенос по воздуху не 25 кг, а 250 кг ВВ. В качестве ЗАМоносца предлагал использовать Р-3 и Р-6 для стрельбы по вражеским самолетам с 500-1000 м, а ддля ПБМ - ТБ-3 (8908,36).</w:t>
      </w:r>
    </w:p>
    <w:p w14:paraId="485ECF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84873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1931 г. звено «новоиспеченных» разведчиков отправилось в Тегеран, где в соревновании с французскими, голландскими и английскими образцами Р-5 был признан наилучшим самолетом (5016).</w:t>
      </w:r>
    </w:p>
    <w:p w14:paraId="0E95D6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8ED1C73" w14:textId="77777777" w:rsidR="00850E92" w:rsidRPr="005E779E" w:rsidRDefault="00850E92" w:rsidP="00850E92">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1931 г. принято постановление Политбюро ЦК ВКП (б) о пересмотре договоров о технической помощи. В нем говорилось о низкой эффективности использования иностранной помощи, об постоянных переплатах и обогащении иностранных фирм. При этом ставилась задача централизовать все дело заключения договоров, перенести заказы внутрь страны (18297).</w:t>
      </w:r>
    </w:p>
    <w:p w14:paraId="7B694CB4" w14:textId="77777777" w:rsidR="00850E92" w:rsidRPr="005E779E" w:rsidRDefault="00850E92" w:rsidP="00850E92">
      <w:pPr>
        <w:spacing w:after="0" w:line="240" w:lineRule="auto"/>
        <w:jc w:val="both"/>
        <w:rPr>
          <w:rFonts w:ascii="Times New Roman" w:hAnsi="Times New Roman"/>
          <w:color w:val="000000" w:themeColor="text1"/>
          <w:sz w:val="16"/>
          <w:szCs w:val="16"/>
        </w:rPr>
      </w:pPr>
    </w:p>
    <w:p w14:paraId="16F08124" w14:textId="77777777" w:rsidR="007F00E8" w:rsidRPr="005E779E" w:rsidRDefault="007F00E8" w:rsidP="007F00E8">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1931 был подписан проект соглашения Объединения ГА с Люфтшифтбау Цеппелин о сотрудничестве, который должен был быть ратифицирован правительствами Германии и России. Хотели построить один дирижабль в 30-40 тыс. кубометров в Германии, а затем в 150-200 тыс. в России и верфь со всеми принадлежностями. Мы обещали заплатить за все + малый дирижабль 5 млн. марок. С предложением о сотрудничестве обращалась и фирма Общество воздушных судов - б. Персифаль, но для постройки полужесткого дирижабля решили пригласить У.Нобиле (1795,29).</w:t>
      </w:r>
    </w:p>
    <w:p w14:paraId="23970404" w14:textId="77777777" w:rsidR="007F00E8" w:rsidRPr="005E779E" w:rsidRDefault="007F00E8" w:rsidP="007F00E8">
      <w:pPr>
        <w:autoSpaceDE w:val="0"/>
        <w:autoSpaceDN w:val="0"/>
        <w:adjustRightInd w:val="0"/>
        <w:spacing w:after="0" w:line="240" w:lineRule="auto"/>
        <w:jc w:val="both"/>
        <w:rPr>
          <w:rFonts w:ascii="Times New Roman" w:hAnsi="Times New Roman"/>
          <w:color w:val="000000" w:themeColor="text1"/>
          <w:sz w:val="16"/>
          <w:szCs w:val="16"/>
        </w:rPr>
      </w:pPr>
    </w:p>
    <w:p w14:paraId="07B85D13" w14:textId="77777777" w:rsidR="006B25A0" w:rsidRPr="005E779E" w:rsidRDefault="006B25A0" w:rsidP="006B25A0">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1931 г. недалеко от дирижаблестроительной верфи был заложен Газовый завод для заправки дирижаблей водородом (Завод № 244 НКХП, Газовый завод, Долгопрудненский Химический Завод Тонкого Органического Синтеза (ДХЗ ТОС), Экспериментальный завод красителей (ГС ЭЗК), ОАО «ПО «Тонкий органический синтез» /пос. Дирижаблестрой/ / г. Долгопрудный Московской обл. Лихачевское ш., 5/), пущен в эксплуатацию в 09.1937 г. После начала войны, возможно, эвакуирован.</w:t>
      </w:r>
    </w:p>
    <w:p w14:paraId="46D7553A" w14:textId="77777777" w:rsidR="006B25A0" w:rsidRPr="005E779E" w:rsidRDefault="006B25A0" w:rsidP="006B25A0">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1943 г. - завод № 244 НКХП, в 1947 г. переименован в ГС Экспериментальный завод Красителей (ГС ЭЗК). В 1951 г. ГС ЭЗК переименован в ДХЗТОС.</w:t>
      </w:r>
    </w:p>
    <w:p w14:paraId="4DED7C2B" w14:textId="77777777" w:rsidR="006B25A0" w:rsidRPr="005E779E" w:rsidRDefault="006B25A0" w:rsidP="006B25A0">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войны начата организация производства органических красителей для текстильной промышленности, с 1947 г. завод начал переходить на выпуск химикатов для черно-белой кино- , фотопромышленности. В 1953 г. ?ошли в строй три основных цеха. В 1967 г. пущен цех для цветной кино-, фотопромышленности. К 1979 г. завод ишускал более 80 наименований продукции для 600 предприятий текстильной, полиграфической, горнорудной, медицинской, металлургической и кинофотопромышленноста (11982).</w:t>
      </w:r>
    </w:p>
    <w:p w14:paraId="2AC15F41" w14:textId="77777777" w:rsidR="006B25A0" w:rsidRPr="005E779E" w:rsidRDefault="006B25A0" w:rsidP="006B25A0">
      <w:pPr>
        <w:autoSpaceDE w:val="0"/>
        <w:autoSpaceDN w:val="0"/>
        <w:adjustRightInd w:val="0"/>
        <w:spacing w:after="0" w:line="240" w:lineRule="auto"/>
        <w:jc w:val="both"/>
        <w:rPr>
          <w:rFonts w:ascii="Times New Roman" w:hAnsi="Times New Roman"/>
          <w:color w:val="000000" w:themeColor="text1"/>
          <w:sz w:val="16"/>
          <w:szCs w:val="16"/>
        </w:rPr>
      </w:pPr>
    </w:p>
    <w:p w14:paraId="57700E17" w14:textId="77777777" w:rsidR="006B25A0" w:rsidRPr="005E779E" w:rsidRDefault="006B25A0" w:rsidP="006B25A0">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1931 г. был подписан предварительный договор между ВО ГВФ и «Люфтшифбау Цеппе</w:t>
      </w:r>
      <w:r w:rsidRPr="005E779E">
        <w:rPr>
          <w:rFonts w:ascii="Times New Roman" w:hAnsi="Times New Roman"/>
          <w:color w:val="000000" w:themeColor="text1"/>
          <w:sz w:val="16"/>
          <w:szCs w:val="16"/>
        </w:rPr>
        <w:softHyphen/>
        <w:t>лин», предусматривавший постройку дирижабля в 30 000-40 000 м3, а затем дирижабля ёмкостью 150 000-200 000 м3, сооружение и оборудование воздухоплавательной верфи в СССР, производ</w:t>
      </w:r>
      <w:r w:rsidRPr="005E779E">
        <w:rPr>
          <w:rFonts w:ascii="Times New Roman" w:hAnsi="Times New Roman"/>
          <w:color w:val="000000" w:themeColor="text1"/>
          <w:sz w:val="16"/>
          <w:szCs w:val="16"/>
        </w:rPr>
        <w:softHyphen/>
        <w:t>ство современных моторов для дирижаблей. Фирма в течение пяти лет, считая от подписания договора, обязывалась предоставлять все свои патенты по дирижаблестроению. За это и за ди</w:t>
      </w:r>
      <w:r w:rsidRPr="005E779E">
        <w:rPr>
          <w:rFonts w:ascii="Times New Roman" w:hAnsi="Times New Roman"/>
          <w:color w:val="000000" w:themeColor="text1"/>
          <w:sz w:val="16"/>
          <w:szCs w:val="16"/>
        </w:rPr>
        <w:softHyphen/>
        <w:t>рижабль в 30 000-40 000 м3 советская сторона должна была уплатить 5 млн германских марок. Однако отчёт «Дирижаблестроя» за 1931 г. кон</w:t>
      </w:r>
      <w:r w:rsidRPr="005E779E">
        <w:rPr>
          <w:rFonts w:ascii="Times New Roman" w:hAnsi="Times New Roman"/>
          <w:color w:val="000000" w:themeColor="text1"/>
          <w:sz w:val="16"/>
          <w:szCs w:val="16"/>
        </w:rPr>
        <w:softHyphen/>
        <w:t>статировал: «Если принять во внимание то рве</w:t>
      </w:r>
      <w:r w:rsidRPr="005E779E">
        <w:rPr>
          <w:rFonts w:ascii="Times New Roman" w:hAnsi="Times New Roman"/>
          <w:color w:val="000000" w:themeColor="text1"/>
          <w:sz w:val="16"/>
          <w:szCs w:val="16"/>
        </w:rPr>
        <w:softHyphen/>
        <w:t>ние, с которым фирма Цеппелин начала вести переговоры и те проволочки, которые сейчас по вине фирмы происходят, то следует умоза</w:t>
      </w:r>
      <w:r w:rsidRPr="005E779E">
        <w:rPr>
          <w:rFonts w:ascii="Times New Roman" w:hAnsi="Times New Roman"/>
          <w:color w:val="000000" w:themeColor="text1"/>
          <w:sz w:val="16"/>
          <w:szCs w:val="16"/>
        </w:rPr>
        <w:softHyphen/>
        <w:t>ключение, что в настоящее время фирма созна</w:t>
      </w:r>
      <w:r w:rsidRPr="005E779E">
        <w:rPr>
          <w:rFonts w:ascii="Times New Roman" w:hAnsi="Times New Roman"/>
          <w:color w:val="000000" w:themeColor="text1"/>
          <w:sz w:val="16"/>
          <w:szCs w:val="16"/>
        </w:rPr>
        <w:softHyphen/>
        <w:t>тельно задерживает окончание переговоров». Тем не менее, в разработанной в 1932 г. про</w:t>
      </w:r>
      <w:r w:rsidRPr="005E779E">
        <w:rPr>
          <w:rFonts w:ascii="Times New Roman" w:hAnsi="Times New Roman"/>
          <w:color w:val="000000" w:themeColor="text1"/>
          <w:sz w:val="16"/>
          <w:szCs w:val="16"/>
        </w:rPr>
        <w:softHyphen/>
        <w:t>грамме «Дирижаблестроя» на вторую пятилетку намечалось до 1937 г. построить при немецкой техпомощи пять жёстких дирижаблей объёмом 125 000 м3, а также приступить к изготовлению дирижабля объёмом 200 000 м3 (20120).</w:t>
      </w:r>
    </w:p>
    <w:p w14:paraId="00D95B28" w14:textId="77777777" w:rsidR="006B25A0" w:rsidRPr="005E779E" w:rsidRDefault="006B25A0" w:rsidP="006B25A0">
      <w:pPr>
        <w:spacing w:after="0" w:line="240" w:lineRule="auto"/>
        <w:jc w:val="both"/>
        <w:rPr>
          <w:rFonts w:ascii="Times New Roman" w:hAnsi="Times New Roman"/>
          <w:color w:val="000000" w:themeColor="text1"/>
          <w:sz w:val="16"/>
          <w:szCs w:val="16"/>
        </w:rPr>
      </w:pPr>
    </w:p>
    <w:p w14:paraId="254351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 мая 1931 года по решению Совета Народных комиссаров (СНК СССР) силами ЦС Осоавиахима вблизи ж/д. ст. Долгопрудная в 18 км. от Москвы началось строительство первой опытной дирижаблестроительной базы в СССР. Одновременно 25 апреля 1931 года Совет Труда и Обороны при СНК СССР принимают "Постановление о создании "Базы опытного строительства и эксплуатации дирижаблей" - (БОСЭД) в Гражданском воздушном флоте. Такая база была основана в Москве 18 августа 1931 года в системе ГВФ. Первым ее начальником был назначен Павел Мартынович Пурмаль. Уже в декабре 1931 года БОСЭД была переименована в "Дирижаблестрой", задачей которого являлось проектирование дирижаблей, организация портов и воздушных линий, подготовка кадров по строительству и эксплуатации дирижаблей. Когда 25 февраля 1932 года ВОГВФ преобразовали в Главное управление ГВФ (ГУГВФ), "Дирижаблестрой" стал называться "Научно-исследовательский комбинат по опытному строительству и эксплуатации дирижаблей". </w:t>
      </w:r>
    </w:p>
    <w:p w14:paraId="228FF7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1932 году произошло слияние Воздухоплавательной базы Осоавиахима и "Дирижаблестроя" в Долгопрудной. В 1933 г. база частично введена в эксплуатацию. В .3.1934 г. территория была увеличена еще более чем вдвое. Строился аэродром. Один из цехов размещался на ул. Б.Никитской (на 1933 г.). </w:t>
      </w:r>
    </w:p>
    <w:p w14:paraId="080C98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Во исполнение приказа НКТП №287 от 21.8.36 г. производственная часть предприятия со всеми сооружениями и личным составом была выделена и передана из ГВФ в систему 1ГУ ГУАП НКТП и получила наименование завод №207 по пр-ву дирижаблей. Эксплуатационная часть осталась в составе ГВФ как Управление Воздухоплавания. Акт разделения юридически не оформлялся. </w:t>
      </w:r>
    </w:p>
    <w:p w14:paraId="66427E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НИО и КБ-4 завода №207 (КБ-207 руководил А.И.Путилов) в 1938-39 гг. разработано и испытано 3 типа аэростатов "АСН" (в 1939 г. испытан один из них - АСН-П02). Силами заводского коллектива построен ряд дирижаблей (штучное производство): ДП-9, В-12, ДП-16 (для ПВО Ленинграда), ДС-8, Д-100 и др. Работы проводились под руководством гл.к. А.И.Путилова (он же гл.инж. завода, он переведен в .1.37 г. с завода №81, с 1939 г. переведен в ОКБ-22 гл.к. В.М.Петлякова). Всего с 1933 по 1940 год на заводе №207 построили 13 дирижаблей. </w:t>
      </w:r>
    </w:p>
    <w:p w14:paraId="200749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 1939 г. (приказ НКАП №304 от 11.9.39 г.) профиль завода начал меняться: Производство дирижаблей приостановилось и начались работы по изготовлению истребителей типа И-207. В связи с этим началась реконструкция завода и новая застройка. С авг. 1939 г. по апр. 1941 г. при серийном заводе действовало ОКБ гл.к. А.А.Боровкова и И.Ф.Флорова. КБ было переведено с завода №21 НКАП. Проводились работы по ряду вариантов И-207. Выпущен проект (1940 г.) экспериментального истребителя "Д" с комбинированной двигательной установкой. Далее гл.к. А.А.Боровков и И.Ф.Флоров были откомандированы (приказ №792 от 3/4.8.41 г.) с завода №207 на завод №293 НКАП, где работали по истребителю БИ в ОКБ В.Ф.Болховитинова. </w:t>
      </w:r>
    </w:p>
    <w:p w14:paraId="5294E0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Согласно решению СНХ №68 от 8.2.40 г. дирижаблестроение на заводе №207 было окончательно свернуто, мат.часть законсервирована. Приказом НКАП №353 от 18.7.40 г. на базе НИО, аэростатного КБ и части дирижабельно-конструкторского отдела (ДКО) завода была образована НИЛ воздухоплавания (НИЛВ) при ЦАГИ. На завод возложена программа производства самолета ББ-1 (Су-2) и основная часть ДКО передана СКБ завода №207 для участия в работах по освоению серии этого самолета. Вновь проведена полная реконструкция цехов. </w:t>
      </w:r>
    </w:p>
    <w:p w14:paraId="347939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Перед ВОВ на заводе осуществлялась постройка самолета "СПБ" (модификация И-16, конструктор В.С.Вахмистров), освоено производство Су-2 (шло в 1940-41гг.), изготавливались самолетные запчасти. </w:t>
      </w:r>
    </w:p>
    <w:p w14:paraId="29A1CC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 xml:space="preserve">Директор завода В.П.Горин (1940-41гг.), далее по 1945гг. директорами последовательно были Н.В. Климовицкий., М.П. Озимков, П.П. Перовский (1943г), И.М. Шелухин (1943г), А.В. Агуреев (1944г), Н.А. Шпаков (1945г). </w:t>
      </w:r>
    </w:p>
    <w:p w14:paraId="3F3356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к.1941 г. завод №207 1ГУ НКАП был эвакуирован (приказ №1053 от 9.10.41 г.) в г.Молотов на площади строящегося завода №19 3ГУ НКАП и выбыл из числа действующих в результате объединения с эвакуированным сюда же заводом №135 НКАП. Часть личного состава завода попала на завод №156 НКАП (дир. П.В.Гулянский). На площадях в Долгопрудном с .10.41 г. (приказ №1073(а) от 20.10.41 г. и приказ №93 от 2.2.42 г.) образованы самолетные Ремонтные мастерские при Ремотделе НКАП. Производство мин МЗ-2 и металлических деталей к винтам. Сюда возвращены кадры, ранее откомандированные на завод №156 НКАП. Далее ремонтный завод получил литерный номер и наименование Государственный Союзный завод №462 НКАП при 6ГУ (приказ №287 от 16.4.42 г.). В 1943 г. передан из 6ГУ в 7ГУ НКАП. В .3.43 г. на завод возложена постройка центропланов, крыльев, оперения для оп. самолетов "302" конструкции А.Г.Костикова для завода №55 НКАП. </w:t>
      </w:r>
    </w:p>
    <w:p w14:paraId="2F7F31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1943 г. на площади завода №462 НКАП на ст. Долгопрудная переведен из Тушино завод №464 НКАП, оба завода объединены под названием завод №464 НКАП (приказ НКАП №416с от 14.7.43 г.). Слились судьбы двух заводов-предшественников в одну. </w:t>
      </w:r>
    </w:p>
    <w:p w14:paraId="3DA589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период 1943-45гг. на заводе объединенном заводе №464 строились самолеты По-2. Профиль завода в первое послевоенное десятилетие менялся часто. Не надолго после ВОВ завод был передан (с 1.10.45 г.) из 11ГУ в 17ГУ НКАП (приказ №404 от 20.10.45 г.) для развития работ по радиоаппаратуре и электротехнических изделий. Налаживалось производство радиоприемников типа "Маршалл" и др. Далее завод передан из 17ГУ в 11ГУ (с 1.1.46 г.). Потом передан из 11ГУ в 7ГУ (как опытный завод с .7.46 г.), далее из 7ГУ в 11ГУ (в серийные, с 1.7.48 г.), из 11ГУ в 1ГУ (с 1.3.51 г.), из 1ГУ в 6ГУ (с 1.10.51 г.). С .7.53 г. завод включен в состав 9ГУ МОП. С 8.53 г. - в состав 6ГУ МАП. Передан из 6ГУ МАП в МОП с 1.4.55 г. (приказ 268 от 19.4.55 г.). </w:t>
      </w:r>
    </w:p>
    <w:p w14:paraId="128C03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эти годы проводились следующие работы. С 7.46 г. гл.к. опытного завода №464 (и одновременно завода №115) был А.С.Яковлев. Тогда завод был определен в качестве производственной базы ОКБ А.С.Яковлева (приказ №419 от 2.7.46 г.). Работал по освоению производства планера Як-14. Производство самолетов Як-10 (1946 г.). После преобразования в серийный завод осуществлял производство учебного самолета Як-12 (в 1948-51гг.) с моторами М-11ФР и М-14Р. </w:t>
      </w:r>
    </w:p>
    <w:p w14:paraId="206947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1952 г. началось производство ЗУР. В 1952-54гг. в серии находились изд."205", далее изд. "207А" (в 1954-57гг.), В-750 (1957-58гг.), В-750В (1959-60гг.), В-750ВН (с 1959 г.), В-755 (с 1961 г.). В серии было изд.13Д (1960 г.) и 3М9. </w:t>
      </w:r>
    </w:p>
    <w:p w14:paraId="01DC34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Распоряжением МОСНХ № 60 от 10 марта 1958 года на заводе было создано Опытное Конструкторское бюро (ОКБ-464). ОКБ было создано для разработки новых образцов зенитных управляемых ракет и модернизации серийных, а также для ускорения доводки и лучшей технологической отработки изделий. Начальником ОКБ-464 был назначен Л.Г.Головин. Первой самостоятельной работой вновь созданного ОКБ была разработка предаванпроекта противоракеты для комплекса «Сатурн». Однако развития тема не получила и была закрыта. В 1961 году вместо Л.Г.Головина главным конструктором ОКБ был назначен М.А.Любомудров. После ухода Л.Г.Головина ОКБ соориентировано на проектирование и производство исследовательских ракет в интересах разных ведомств. В течение 1960-1966 гг. были разработаны, изготовлены и проведены летные испытания небольших серий исследовательских ракет: Я2ТА, 2Я2ТА, 1Я2ТА, С1А, 20ДО. </w:t>
      </w:r>
    </w:p>
    <w:p w14:paraId="77DCEA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Начиная с 1969 года завод стал выпускать изделия подвесного стрелково-пушечного вооружения самолетов. В производстве находились установки (и их элементы) ГП-9, УПК-23, СППУ-22. </w:t>
      </w:r>
    </w:p>
    <w:p w14:paraId="7119FF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середине 1960-х на ДМЗ производились самолеты Ан-2М. </w:t>
      </w:r>
    </w:p>
    <w:p w14:paraId="0D6A34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феврале 1975 года заводу было поручено изготовление двухместной автоматической пусковой установки АПУ-60-П для ракет Р-60 класса «воздух-воздух». </w:t>
      </w:r>
    </w:p>
    <w:p w14:paraId="3E7480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Кроме того выпускались пороховые двигатели для ЗУР: ПРД-18М и ПРД-290 для В-755, ПРД-45 для В-625 (сист. С-125) и др. </w:t>
      </w:r>
    </w:p>
    <w:p w14:paraId="168501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После М.А. Любомудрова с 1969 г. главным конструктором предприятия назначен В.П.Эктов. </w:t>
      </w:r>
    </w:p>
    <w:p w14:paraId="07A080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настоящее время Генеральный директор Г.П. Ежов, главный конструктор В П. Эктов. В состав объединения (ДНПП) входят ДМЗ, Воскресенский агрегатный завод (ст. Фаустово Московской обл.) и Кимовский завод металлоизделий (г.Кимовск Тульской обл.). </w:t>
      </w:r>
    </w:p>
    <w:p w14:paraId="336914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ОАО ДНПП разработчик и серийный изготовитель зенитных управляемых ракет средней дальности 9М38М1, 9М317 для ЗРК "Бук-M1", "Бук-М1-2" (ПВО сухопутных войск) и ЗРК типа "Штиль" в составе кораблей ВМФ аппаратов стартовой автоматики и управления пуском указанных ракет для сухопутных и морских комплексов, выполняет специальные работы по послегарантийному обслуживанию изделий 3М9М, 3М9М3 (ЗРК "Квадрат"), 9М38М1 (ЗРК "Бук-М 1", "Штиль"), включая содействие в ремонте, поставку запасных частей, ремонтной документации, оборудования по ремонту. На ДНПП производилась ракеты Р-33. С 1994 года завод приступил к производству изделий по тематике Г ПП "Регион". Сначала этот были устройства, обеспечивающие подвеску под вертолет противолодочных торпед. В настоящее время освоено серийное производство высокоточных корректируемых авиабомб КАБ-1500 и торпед типа АПР. </w:t>
      </w:r>
    </w:p>
    <w:p w14:paraId="61558B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Долгопрудненское научно-производственное предприятие, ОАО (ОАО ДНПП) </w:t>
      </w:r>
    </w:p>
    <w:p w14:paraId="29DDB2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ранее: Завод №207, Завод №464, Долгопруднинский машиностроительный завод (ДМЗ), ДМПО, Долгопрудненское государственное научно-производственное объединение (ДНПО), АО "Долгопрудненское НПП" </w:t>
      </w:r>
    </w:p>
    <w:p w14:paraId="39106D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141700 Россия г.Долгопрудный М.О., ул. Собина, 1, Тел.: (095) 408-41-68, Факс: (095) 408-44-22, E-mail: dnpp@orc.ru (10777).</w:t>
      </w:r>
    </w:p>
    <w:p w14:paraId="46395D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1D4E2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1931 г. в 18 км от Москвы был отведен пустующий участок земли и с помощью итальянцев (с 05.1932 г. работал У. Нобиле) началось строительство дирижаблестроительной верфи, Газового завода и поселка Дирижаблестрой. 5.05.1932 г. база частично введена в строй, а уже к 7.11.1932 г. построен первый дирижабль. В 03.1934 г. территория была увеличена еще более чем вдвое. Строился аэродром. Один из цехов предприятия (№ 5) размещался на ул. Б. Никитской (1933 г.).</w:t>
      </w:r>
    </w:p>
    <w:p w14:paraId="7F118C49" w14:textId="5D514032"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от 31.05.1933 г. членами НТС «Дирижаблестроя» утверждены: А.Н. Туполев (председатель расчетно-конструкторской секции),</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Г.А. Озеров (председатель научно-исследовательской секции), И.И. Погосский.</w:t>
      </w:r>
    </w:p>
    <w:p w14:paraId="5F3FBA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пост. СТО от 10.08.1936 г. и приказом НКТП № 287сс от 21.08.1936 г. производственная часть «Дирижаблестроя» со всеми сооружениями и личным составом передана из ГВФ в ГУАП НКТП, в 12.1936 г. - в 1ГУ НКОП. По пр. НКОП № Обсс от 30.12.1936 г. «Дирижаблестрой» переименован в завод № 207 по производству дирижаблей. Эксплуатационная часть базы осталась в ГВФ как Управление Воздухоплавания. Акт разделения юридически не оформлялся. В 02.1937 г. завод № 207 - в ведении 1ГУ НКОП, пр. № 22 от 24.01.1938 г. утвержден Устав завода, в 12.1938 г. - в ведении 1ГУ.</w:t>
      </w:r>
    </w:p>
    <w:p w14:paraId="2AE606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1ГУ НКОП № 05 от 17.01.1937 г. гл. инженером завода № 207 назначен А.И. Путилов, переведенный с завода № 81. В НИО и КБ-4 завода № 207 (КБ-207 гл. конструктора А.И. Путилова) в 1938-39 г. разработаны и испытаны 3 типа аэростатов «АСН» (АСН-П02 - в 1939 г.). Построено 9 опытных дирижаблей.</w:t>
      </w:r>
    </w:p>
    <w:p w14:paraId="558AA5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09.1937 г. был пущен в эксплуатацию Газовый завод для заправки дирижаблей.</w:t>
      </w:r>
    </w:p>
    <w:p w14:paraId="42FA5C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осени 1938 г. завод стал производственной базой коллектива Боровкова и Флорова, переведённого с завода № 21 и получившего название ОКБ завода № 207. В 07.1941 г. ОКБ закрыто.</w:t>
      </w:r>
    </w:p>
    <w:p w14:paraId="19A999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НКАП № 304с от 11.09.1939 г. профиль завода изменен - начались работы по истребителю И-207. В связи с этим началась реконструкция завода и новая застройка. На территории по ул. Б. Никитской с 08.1939 г. образованы экспериментальные сварочные мастерские Треста «Оборонпром», преобразованные затем в завод № 6 ОАП НКАП.</w:t>
      </w:r>
    </w:p>
    <w:p w14:paraId="1A77F0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1939 г. проектная мощность завода составляла 1000 двухмоторных истребителей. План производства на 1941 г.: 235 Су-2.</w:t>
      </w:r>
    </w:p>
    <w:p w14:paraId="0649F3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решению СНК № 68сс от 8.02.1940 г. работы по дирижаблестроению окончательно свернуты, матчасть законсервирована. По приказу № 353с от 18.07.1940 г. на базе НИО, аэростатного КБ и части дирижабельно- конструкторского отдела (ДКО) завода была образована Научно-исследовательская лаборатория воздухоплавания (НИЛВ) при ЦАГИ. На завод возложено освоение производства ББ-1. Основная часть ДКО передана СКО завода № 207 для участия в работах по подготовке серии ББ-1. Вновь проведена полная реконструкция цехов.</w:t>
      </w:r>
    </w:p>
    <w:p w14:paraId="5E1C58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1940 г. на заводе было оборудовано несколько групп самолетов в «звено Вахмистрова» с СПБ.</w:t>
      </w:r>
    </w:p>
    <w:p w14:paraId="00760E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08.1941 г. на завод № 207 с завода № 156 НКАП переведена конструкторская группа С.А. Кочеригина.</w:t>
      </w:r>
    </w:p>
    <w:p w14:paraId="4C1BBD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 1053сс от 9.10.1941 г. завод № 207 1ГУ НКАП эвакуирован в Молотов и с 10.1941 г. выбыл из числа действующих в результате объединения с эвакуированным сюда же заводом № 135 НКАП. По приказу № 1168с от 16.12.1941 г. часть личного состава с завода № 207 переведена на завод № 156 НКАП.</w:t>
      </w:r>
    </w:p>
    <w:p w14:paraId="5F4B86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приказам № 1073с от 20.10.1941 г. и № 93с от 2.02.1942 г. на площадке эвакуированного завода № 207 с 10.1941 г. образовались самолетные Ремонтные мастерские при Ремотделе, далее- при Главремуправлении НКАП. Начальник с 01.1942 г.- М.П. Озимков (с завода № 487). Сюда возвращены кадры, ранее отправленные на завод № 156. Ремонт ЛаГГ-1, Ла-5, МиГ-3, Як-3, Як-9, Ил-2.</w:t>
      </w:r>
    </w:p>
    <w:p w14:paraId="6F7B9A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04.1942 г. на площадке завода № 207 образован завод № 462 НКАП. С 1957 г. здесь же - ОКБ-424 (ДКБА).</w:t>
      </w:r>
    </w:p>
    <w:p w14:paraId="73EDBA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Количество оборудования: (11.1940 г.)- 198 металлорежущих станков.</w:t>
      </w:r>
    </w:p>
    <w:p w14:paraId="02059F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(1932 г.)- П. Пурмаль,</w:t>
      </w:r>
      <w:r w:rsidRPr="005E779E">
        <w:rPr>
          <w:rFonts w:ascii="Times New Roman" w:hAnsi="Times New Roman"/>
          <w:color w:val="000000" w:themeColor="text1"/>
          <w:sz w:val="16"/>
          <w:szCs w:val="16"/>
          <w:vertAlign w:val="superscript"/>
        </w:rPr>
        <w:t>104</w:t>
      </w:r>
      <w:r w:rsidRPr="005E779E">
        <w:rPr>
          <w:rFonts w:ascii="Times New Roman" w:hAnsi="Times New Roman"/>
          <w:color w:val="000000" w:themeColor="text1"/>
          <w:sz w:val="16"/>
          <w:szCs w:val="16"/>
        </w:rPr>
        <w:t xml:space="preserve"> (1932 г.)- И. Фильдман, (-06.193 7-11.04.193 8 г.)- С. Г. Хорьков (арестован), (19.06-09.1938 г.-)- С.В. Житенев, (1938-05.1941 г.-)- </w:t>
      </w:r>
      <w:r w:rsidRPr="005E779E">
        <w:rPr>
          <w:rFonts w:ascii="Times New Roman" w:hAnsi="Times New Roman"/>
          <w:color w:val="000000" w:themeColor="text1"/>
          <w:sz w:val="16"/>
          <w:szCs w:val="16"/>
          <w:lang w:val="en-US"/>
        </w:rPr>
        <w:t>B</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II</w:t>
      </w:r>
      <w:r w:rsidRPr="005E779E">
        <w:rPr>
          <w:rFonts w:ascii="Times New Roman" w:hAnsi="Times New Roman"/>
          <w:color w:val="000000" w:themeColor="text1"/>
          <w:sz w:val="16"/>
          <w:szCs w:val="16"/>
        </w:rPr>
        <w:t>. Горин.</w:t>
      </w:r>
    </w:p>
    <w:p w14:paraId="2CD78E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директора: (-06-20.12.1937 г.)- П.Б. Рудини (снят); по строительству (28.02.1937 г.-)- И.П. Афанасьев.</w:t>
      </w:r>
    </w:p>
    <w:p w14:paraId="648FB7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инженер (01.1937-39 г.)- А.И. Путилов (репрессирован), (-06-20.12.1937 г.)- П.Б. Рудини,</w:t>
      </w:r>
      <w:r w:rsidRPr="005E779E">
        <w:rPr>
          <w:rFonts w:ascii="Times New Roman" w:hAnsi="Times New Roman"/>
          <w:color w:val="000000" w:themeColor="text1"/>
          <w:sz w:val="16"/>
          <w:szCs w:val="16"/>
          <w:vertAlign w:val="superscript"/>
        </w:rPr>
        <w:t>139</w:t>
      </w:r>
      <w:r w:rsidRPr="005E779E">
        <w:rPr>
          <w:rFonts w:ascii="Times New Roman" w:hAnsi="Times New Roman"/>
          <w:color w:val="000000" w:themeColor="text1"/>
          <w:sz w:val="16"/>
          <w:szCs w:val="16"/>
        </w:rPr>
        <w:t xml:space="preserve"> (10.1941 г.)- В.К. Таиров.</w:t>
      </w:r>
    </w:p>
    <w:p w14:paraId="787DDC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конструктор (1932 г.-)- Умберто Нобиле.</w:t>
      </w:r>
      <w:r w:rsidRPr="005E779E">
        <w:rPr>
          <w:rFonts w:ascii="Times New Roman" w:hAnsi="Times New Roman"/>
          <w:color w:val="000000" w:themeColor="text1"/>
          <w:sz w:val="16"/>
          <w:szCs w:val="16"/>
          <w:vertAlign w:val="superscript"/>
        </w:rPr>
        <w:t>104</w:t>
      </w:r>
    </w:p>
    <w:p w14:paraId="0F8D2B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 КБ «Дирижаблестроя» (1938-46 г.)- Умберто Нобиле.</w:t>
      </w:r>
    </w:p>
    <w:p w14:paraId="35CC69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Производство: дирижабли: В-2, В-3 (1932), В-5, В-6, В-8 (1936)- 1, ДП-9, В-12, ДП-16 (1938), ДС-8, Д-100; самолеты: И-207 (1939-41)- 4, Су-2 (1940-41)- 92.</w:t>
      </w:r>
    </w:p>
    <w:p w14:paraId="7E03FC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ОКБ завода № 207 НКАП гл. конструкторов А.А. Боровкова и И.Ф. Флорова</w:t>
      </w:r>
    </w:p>
    <w:p w14:paraId="7A04F1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Образовалось на заводе № 207 после перехода сюда осенью 1938 г. с завода № 21 конструкторской группы А.А. Боровкова и И.Ф. Флорова. Работы по истребителю И-207; проект экспериментального истребителя «Д» с комбинированной двигательной установкой (М-71 и ПВРД, 2х ДМ-12). В 1941 г. работы по «Д» прекращены из-за эвакуации.</w:t>
      </w:r>
    </w:p>
    <w:p w14:paraId="2ABEFB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07.1941 г. ОКБ было расформировано. По приказу № 792сс от 3/4.08.1941 г. Боровков и Флоров с группой сотрудников откомандированы в ОКБ-293 Болховитинова.</w:t>
      </w:r>
    </w:p>
    <w:p w14:paraId="7BBF9C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СЖБ-207 НКАП гл. конструктора С.А. Кочеригина</w:t>
      </w:r>
    </w:p>
    <w:p w14:paraId="00D34F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08.1941 г. конструкторская группа С.А. Кочеригина из 28 чел. переведена с завода № 156 НКАП на площадку завода № 207 для доделки ОПБ и подготовки его к испытаниям. Здесь группа получила обозначение ОКБ-207 НКАП. Однако, из-за эвакуации завода достроить самолет не удалось. В 10.1941 г. планер ОПБ направлен на завод № 135, а Кочеригин назначен гл. редактором БНТ НКАП (11982).</w:t>
      </w:r>
    </w:p>
    <w:p w14:paraId="45AA6A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A81527A" w14:textId="77777777" w:rsidR="00783E43" w:rsidRPr="005E779E" w:rsidRDefault="00783E4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 мая 1931 года трассу Москва – Новосибирск – Омск начали обслуживать АНТ-9 (21125). </w:t>
      </w:r>
    </w:p>
    <w:p w14:paraId="2E45FDB2" w14:textId="77777777" w:rsidR="00783E43" w:rsidRPr="005E779E" w:rsidRDefault="00783E43" w:rsidP="000B7A6C">
      <w:pPr>
        <w:spacing w:after="0" w:line="240" w:lineRule="auto"/>
        <w:jc w:val="both"/>
        <w:rPr>
          <w:rFonts w:ascii="Times New Roman" w:hAnsi="Times New Roman"/>
          <w:color w:val="000000" w:themeColor="text1"/>
          <w:sz w:val="16"/>
          <w:szCs w:val="16"/>
        </w:rPr>
      </w:pPr>
    </w:p>
    <w:p w14:paraId="59A77D5A" w14:textId="77777777" w:rsidR="00CC42DB" w:rsidRPr="005E779E" w:rsidRDefault="00CC42D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1931 г. начал издаваться новый авиационный журнал "Гражданская авиация” - орган Всесоюзного объединения гражданского воздушного флота, журиал издавался до 1941 года, с января 1955 года возобновлен (23370).</w:t>
      </w:r>
    </w:p>
    <w:p w14:paraId="0980CC33" w14:textId="77777777" w:rsidR="00CC42DB" w:rsidRPr="005E779E" w:rsidRDefault="00CC42DB" w:rsidP="000B7A6C">
      <w:pPr>
        <w:spacing w:after="0" w:line="240" w:lineRule="auto"/>
        <w:jc w:val="both"/>
        <w:rPr>
          <w:rFonts w:ascii="Times New Roman" w:hAnsi="Times New Roman"/>
          <w:color w:val="000000" w:themeColor="text1"/>
          <w:sz w:val="16"/>
          <w:szCs w:val="16"/>
        </w:rPr>
      </w:pPr>
    </w:p>
    <w:p w14:paraId="2D268696" w14:textId="77777777" w:rsidR="00CC42DB" w:rsidRPr="005E779E" w:rsidRDefault="00CC42D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1931 при Бюро воздушной техники ЦС Овоавиахима организовалась секция реактивных двигателей, преобразованная позже в Группу изучения реактивного движения /ГИРД/. Руководителем Секции был избран инженер Ф.А.Цандер - энтузиаст ракетной техники (23370).</w:t>
      </w:r>
    </w:p>
    <w:p w14:paraId="3A05FBF7" w14:textId="77777777" w:rsidR="00CC42DB" w:rsidRPr="005E779E" w:rsidRDefault="00CC42DB" w:rsidP="000B7A6C">
      <w:pPr>
        <w:spacing w:after="0" w:line="240" w:lineRule="auto"/>
        <w:jc w:val="both"/>
        <w:rPr>
          <w:rFonts w:ascii="Times New Roman" w:hAnsi="Times New Roman"/>
          <w:color w:val="000000" w:themeColor="text1"/>
          <w:sz w:val="16"/>
          <w:szCs w:val="16"/>
        </w:rPr>
      </w:pPr>
    </w:p>
    <w:p w14:paraId="35C1E5D0"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6A9A386C"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9737B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1931 года Управлением ВМС был утвержден проект 102-мм зенитной пушки с длиной ствола 45 калибров, но при этом угол возвышения был увеличен с +75 до +85 (3861).</w:t>
      </w:r>
    </w:p>
    <w:p w14:paraId="1E5979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D48F114" w14:textId="77777777" w:rsidR="00991B16" w:rsidRPr="00142305" w:rsidRDefault="00991B16" w:rsidP="00991B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мае 1931 года последовало распоряжение об изготовлении заводом «Большевик» второго образца системы 102-мм зенитной пушки длиной в 45 калибров для Главного артиллерийского управления.</w:t>
      </w:r>
    </w:p>
    <w:p w14:paraId="725580A0" w14:textId="77777777" w:rsidR="00991B16" w:rsidRPr="00142305" w:rsidRDefault="00991B16" w:rsidP="00991B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Опытный образец для Управления ВМС получил индекс Б-14М, а для ГАУ – Б-14С.</w:t>
      </w:r>
    </w:p>
    <w:p w14:paraId="55347DC6" w14:textId="77777777" w:rsidR="00991B16" w:rsidRPr="00142305" w:rsidRDefault="00991B16" w:rsidP="00991B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Первым был изготовлен опытный образец Б-14С, который прибыл на НИАП 26 августа 1933 года.</w:t>
      </w:r>
    </w:p>
    <w:p w14:paraId="59C9F450" w14:textId="77777777" w:rsidR="00991B16" w:rsidRPr="00142305" w:rsidRDefault="00991B16" w:rsidP="00991B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Первая стрельба была проведена 7 сентября 1933 года (25417).</w:t>
      </w:r>
    </w:p>
    <w:p w14:paraId="33AE83AB" w14:textId="77777777" w:rsidR="00991B16" w:rsidRPr="00142305" w:rsidRDefault="00991B16" w:rsidP="00991B16">
      <w:pPr>
        <w:spacing w:after="0" w:line="240" w:lineRule="auto"/>
        <w:jc w:val="both"/>
        <w:rPr>
          <w:rFonts w:ascii="Times New Roman" w:hAnsi="Times New Roman"/>
          <w:color w:val="0070C0"/>
          <w:sz w:val="16"/>
          <w:szCs w:val="16"/>
        </w:rPr>
      </w:pPr>
    </w:p>
    <w:p w14:paraId="48FE1275" w14:textId="77777777" w:rsidR="00991B16" w:rsidRPr="00142305" w:rsidRDefault="00991B16" w:rsidP="00991B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мае 1931 года последовало распоряжение об изготовлении заводом «Большевик» второго образца системы 102-мм зенитной пушки длиной в 45 калибров для Главного артиллерийского управления.</w:t>
      </w:r>
    </w:p>
    <w:p w14:paraId="5616FC74" w14:textId="77777777" w:rsidR="00991B16" w:rsidRPr="00142305" w:rsidRDefault="00991B16" w:rsidP="00991B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Опытный образец для Управления ВМС получил индекс Б-14М, а для ГАУ – Б-14С.</w:t>
      </w:r>
    </w:p>
    <w:p w14:paraId="4ADFC1D6" w14:textId="77777777" w:rsidR="00991B16" w:rsidRPr="00142305" w:rsidRDefault="00991B16" w:rsidP="00991B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Первым был изготовлен, который </w:t>
      </w:r>
    </w:p>
    <w:p w14:paraId="051C0477" w14:textId="77777777" w:rsidR="00991B16" w:rsidRPr="00142305" w:rsidRDefault="00991B16" w:rsidP="00991B16">
      <w:pPr>
        <w:spacing w:after="0" w:line="240" w:lineRule="auto"/>
        <w:jc w:val="both"/>
        <w:rPr>
          <w:rFonts w:ascii="Times New Roman" w:hAnsi="Times New Roman"/>
          <w:color w:val="0070C0"/>
          <w:sz w:val="16"/>
          <w:szCs w:val="16"/>
        </w:rPr>
      </w:pPr>
    </w:p>
    <w:p w14:paraId="69A239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1931 года последовало распоряжение об изготовлении заводом второго образца для Главного артиллерийского управления 102-мм зенитной пушки с длиной ствола 45 калибров. Опытный образец для Управления ВМС получил индекс Б-14М, а для ГАУ Б-14С (3861).</w:t>
      </w:r>
    </w:p>
    <w:p w14:paraId="0F74E0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1DF04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1931 г. 305-мм ДРП Курчевского и 20 штук чугунных ядер весом 350 кг, которые отправили на НИАП 17 июня 1931 г.</w:t>
      </w:r>
    </w:p>
    <w:p w14:paraId="33C94C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посещении завода «Большевик» в январе 1932 г. Курчевский дал указание укоротить ствол на 10 калибров и оставить длину 3429 мм, то есть 11,2 калибра, а вес снаряда уменьшить до 250 кг.</w:t>
      </w:r>
    </w:p>
    <w:p w14:paraId="4C87A9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марта 1932 г. на НИАПе было произведено испытание 305-мм мортиры ДРП. Результаты испытаний:</w:t>
      </w:r>
    </w:p>
    <w:p w14:paraId="0B891F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Заряжание производилось с дула чугунным ядром длиной 485 мм. Вес орудия с соплом около 1 т. Длина нарезной части 10 калибров. Вес всей системы около 5 т. Систему решено установить на 5-тонный автомобиль. При весе снаряда 250 кг, весе заряда 90 кг и начальной скорости 498,6 м/с давление в канале составило 1100 кг/см2.</w:t>
      </w:r>
    </w:p>
    <w:p w14:paraId="26939D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Понятно, что эта ДРП была лишь макетом орудия. Поэтому в 1933–1934 гг. Курчевский разработал проект новой установки — 305-мм самоходной полевой гаубицы Курчевского (СПГК). За проект Курчевский получил 700 тыс. рублей.</w:t>
      </w:r>
    </w:p>
    <w:p w14:paraId="0819C3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1934 г. завод «Большевик» изготовил 305-мм гаубичный ствол длиной в 16 калибров, а установку к нему сделал завод № 38. Вес установки был 11 т. Расчетные баллистические данные: вес фугасного снаряда — 250 кг; начальная скорость — 600 м/с; дальность стрельбы 16 км.</w:t>
      </w:r>
    </w:p>
    <w:p w14:paraId="5F6438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Испытания ее прошли неудачно, и в 1935 г. в план работ Курчевский включил разработать рабочий чертеж и изготовить опытный образец 305-мм гаубицы СПГК-305.</w:t>
      </w:r>
    </w:p>
    <w:p w14:paraId="22E406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Ствол 305-мм гаубицы СПГК-305 был изготовлен в 1935 г. на заводе «Большевик». Тумба с механизмами изготовлена на заводе № 38, там же была собрана и вся установка. Вес ее ствола с тумбой и механизмами был около 5,5 т. Гаубицу хотели установить на опытном трехосном грузовике Я-8–5 с двигателем мощностью 102 л. с. К 1 января 1936 г. 305-мм гаубица СПГК-305 имела готовность 98 % (12091).</w:t>
      </w:r>
    </w:p>
    <w:p w14:paraId="20D6C0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999B2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1931 года был выдан заказ на изготовление четырех 356/52-мм ж/д установок ТМ-1-14 ( 1 означает номер установки, 14 калибр в дюймах). Установки ТМ-1-14, ТМ-2-12 и ТМ-3-12 были устроены в принципе одинаково. Изготовление стволов калибра 305-мм и выше прекращено отечественной промышленностью в 1917 году и возобновлено только в конце 30-х годов. Поэтому для 356-мм установок использовали стволы, имевшиеся на крейсерах типа "Измаил", которые производились в Англии для России в 1915-1917 годах. Для ТМ-2-12 применялись 305/40-мм стволы (также изготовленные в Англии, которые находились в качестве запасных на броненосцах типа "Андрей Первозванный"). Установки ТМ-3-12 получили 305/52-мм орудия, поднятые в буквальном смысле со дна моря, точнее, с затопленного в Севастополе линкора "Императрица Мария" (3861).</w:t>
      </w:r>
    </w:p>
    <w:p w14:paraId="4868CB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7484561" w14:textId="77777777" w:rsidR="005C1E16" w:rsidRPr="005E779E" w:rsidRDefault="005C1E1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1931 г. завод «Большевик» закончил ствол без сопла и затвора 305-мм ДРП Курчевского и 20 штук чугунных ядер весом 350 кг отправили на НИАП 17 июня 1931 г.</w:t>
      </w:r>
    </w:p>
    <w:p w14:paraId="2A9AA2FC" w14:textId="77777777" w:rsidR="005C1E16" w:rsidRPr="005E779E" w:rsidRDefault="005C1E1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посещении завода «Большевик» в январе 1932 г. Курчевский дал указание укоротить ствол на 10 калибров и оставить длину 3429 мм, то есть 11,2 калибра, а вес снаряда уменьшить до 250 кг.</w:t>
      </w:r>
    </w:p>
    <w:p w14:paraId="096B640F" w14:textId="77777777" w:rsidR="005C1E16" w:rsidRPr="005E779E" w:rsidRDefault="005C1E1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марта 1932 г. на НИАПе было произведено испытание 305-мм мортиры ДРП. Результаты испытаний: заряжание производилось с дула чугунным ядром длиной 485 мм. Вес орудия с соплом около 1 т. Длина нарезной части 10 калибров. Вес всей системы около 5 т. Систему решено установить на 5-тонный автомобиль. При весе снаряда 250 кг, весе заряда 90 кг и начальной скорости 498,6 м/с давление в канале составило 1100 кг/см</w:t>
      </w:r>
      <w:r w:rsidRPr="005E779E">
        <w:rPr>
          <w:rFonts w:ascii="Times New Roman" w:hAnsi="Times New Roman"/>
          <w:color w:val="000000" w:themeColor="text1"/>
          <w:sz w:val="16"/>
          <w:szCs w:val="16"/>
          <w:vertAlign w:val="superscript"/>
        </w:rPr>
        <w:t>2</w:t>
      </w:r>
      <w:r w:rsidRPr="005E779E">
        <w:rPr>
          <w:rFonts w:ascii="Times New Roman" w:hAnsi="Times New Roman"/>
          <w:color w:val="000000" w:themeColor="text1"/>
          <w:sz w:val="16"/>
          <w:szCs w:val="16"/>
        </w:rPr>
        <w:t>.</w:t>
      </w:r>
    </w:p>
    <w:p w14:paraId="77EA4400" w14:textId="77777777" w:rsidR="005C1E16" w:rsidRPr="005E779E" w:rsidRDefault="005C1E1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Понятно, что эта ДРП была лишь макетом орудия. Поэтому в 1933—1934 гг. Курчевский разработал проект новой установки — 305-мм самоходной полевой гаубицы Курчевского (СПГК). За проект Курчевский получил 700 тыс. рублей.</w:t>
      </w:r>
    </w:p>
    <w:p w14:paraId="713FA8CF" w14:textId="77777777" w:rsidR="005C1E16" w:rsidRPr="005E779E" w:rsidRDefault="005C1E1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1934 г. завод «Большевик» изготовил 305-мм гаубичный ствол длиной в 16 калибров, а установку к нему сделал завод № 38. Вес установки был 11т. Расчетные баллистические данные: вес фугасного снаряда 250 кг; начальная скорость 600 м/с; дальность стрельбы 16 км.</w:t>
      </w:r>
    </w:p>
    <w:p w14:paraId="323C144C" w14:textId="77777777" w:rsidR="005C1E16" w:rsidRPr="005E779E" w:rsidRDefault="005C1E1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Испытания ее прошли неудачно, и в 1935 г. в план работ Курчевский включил разработать рабочий чертеж и изготовить опытный образец 305-мм гаубицы СПГК-305.</w:t>
      </w:r>
    </w:p>
    <w:p w14:paraId="45E36E44" w14:textId="77777777" w:rsidR="005C1E16" w:rsidRPr="005E779E" w:rsidRDefault="005C1E1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Ствол 305-мм гаубицы СПГК-305 был изготовлен в 1935 г. на заводе «Большевик». Тумба с механизмами изготовлена на заводе № 38, там же была собрана и вся установка. Вес ее ствола с тумбой и механизмами был около 5,5 т. Гаубицу хотели установить на опытном трехосном грузовике Я-8—5 с двигателем мощностью 102 л. с. К 1 января 1936 г. 305-мм гаубица СПГК-305 имела готовность 98%.</w:t>
      </w:r>
    </w:p>
    <w:p w14:paraId="410A0B8F" w14:textId="77777777" w:rsidR="005C1E16" w:rsidRPr="005E779E" w:rsidRDefault="005C1E1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Внутренний диаметр сопла у каморы 230 мм, а сзади диаметр 810 мм. Заглушка деревянная диаметром 305 мм толщиной 75 мм. Ее прижимали длинным прибойником к переднему срезу сопла.</w:t>
      </w:r>
    </w:p>
    <w:p w14:paraId="396A3328" w14:textId="77777777" w:rsidR="005C1E16" w:rsidRPr="005E779E" w:rsidRDefault="005C1E1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Через запальное отверстие вставлялась запальная трубка. После вставки заряда трубка оказывалась между зарядом и запалом. Снаряд заряжался с помощью талей и прибойника.</w:t>
      </w:r>
    </w:p>
    <w:p w14:paraId="3A3966F0" w14:textId="77777777" w:rsidR="005C1E16" w:rsidRPr="005E779E" w:rsidRDefault="005C1E1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Понятно, что эта ДРП была лишь макетом орудия. Поэтому в 1933—1934 гг. Курчевский разработал проект новой установки — 305-мм самоходной полевой гаубицы Курчевского (СПГК). За проект Курчевский получил 700 тыс. рублей.</w:t>
      </w:r>
    </w:p>
    <w:p w14:paraId="472EE41F" w14:textId="77777777" w:rsidR="005C1E16" w:rsidRPr="005E779E" w:rsidRDefault="005C1E1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1934 г. завод «Большевик» изготовил 305-мм гаубичный ствол длиной в 16 калибров, а установку к нему сделал завод № 38. Вес установки был 11 т. Расчетные баллистические данные: вес фугасного снаряда 250 кг; начальная скорость 600 м/с; дальность стрельбы 16 км.</w:t>
      </w:r>
    </w:p>
    <w:p w14:paraId="6CF2586B" w14:textId="77777777" w:rsidR="005C1E16" w:rsidRPr="005E779E" w:rsidRDefault="005C1E1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Испытания ее прошли неудачно, и в 1935 г. в план работ Курчевский включил разработать рабочий чертеж и изготовить опытный образец 305-мм гаубицы СПГК-305.</w:t>
      </w:r>
    </w:p>
    <w:p w14:paraId="2836F4F0" w14:textId="77777777" w:rsidR="005C1E16" w:rsidRPr="005E779E" w:rsidRDefault="005C1E1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Ствол 305-мм гаубицы СПГК-305 был изготовлен в 1935 г. на заводе «Большевик». Тумба с механизмами изготовлена на заводе № 38, там же была собрана и вся установка. Вес ее ствола с тумбой и механизмами был около 5,5 т. Гаубицу хотели установить на опытном; трехосном грузовике Я-8—5 с двигателем мощностью 102 л. с. К 1 января 1936 г. 305-мм гаубица СПГК-305 имела готовность 98% (15117).</w:t>
      </w:r>
    </w:p>
    <w:p w14:paraId="5F5F5C99" w14:textId="77777777" w:rsidR="005C1E16" w:rsidRPr="005E779E" w:rsidRDefault="005C1E16" w:rsidP="000B7A6C">
      <w:pPr>
        <w:spacing w:after="0" w:line="240" w:lineRule="auto"/>
        <w:jc w:val="both"/>
        <w:rPr>
          <w:rFonts w:ascii="Times New Roman" w:hAnsi="Times New Roman"/>
          <w:color w:val="000000" w:themeColor="text1"/>
          <w:sz w:val="16"/>
          <w:szCs w:val="16"/>
        </w:rPr>
      </w:pPr>
    </w:p>
    <w:p w14:paraId="24C4264B" w14:textId="77777777" w:rsidR="008C12DC" w:rsidRPr="00142305" w:rsidRDefault="008C12DC" w:rsidP="008C12DC">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В мае 1931 г. завод «Большевик» закончил ствол без сопла и затвора 305-мм ДРП Курчевского. 20 штук чугунных ядер весом 350 кг отправили на НИАП 17 июня 1931 г. (25213).</w:t>
      </w:r>
    </w:p>
    <w:p w14:paraId="13FDBE80" w14:textId="77777777" w:rsidR="008C12DC" w:rsidRPr="00142305" w:rsidRDefault="008C12DC" w:rsidP="008C12DC">
      <w:pPr>
        <w:spacing w:after="0" w:line="240" w:lineRule="auto"/>
        <w:jc w:val="both"/>
        <w:rPr>
          <w:rFonts w:ascii="Times New Roman" w:hAnsi="Times New Roman"/>
          <w:color w:val="0070C0"/>
          <w:sz w:val="16"/>
          <w:szCs w:val="16"/>
        </w:rPr>
      </w:pPr>
    </w:p>
    <w:p w14:paraId="687049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1931 года стволы 107-мм минометов МС-107 были испытаны на прочность на НИАПе (3861).</w:t>
      </w:r>
    </w:p>
    <w:p w14:paraId="36BBC2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C0EDAA2" w14:textId="77777777" w:rsidR="001209D1" w:rsidRPr="005E779E" w:rsidRDefault="001209D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1931 г. стволы 107-мм минометов были испытаны на прочность на НИАПе. А с 1 по 11 августа 1931 г. были проведены испытания минометов в Гороховце на минометном полигоне химической группы. В Гороховец прибыла рота, вооруженная восемью химическими минометами МС-107. Испытывались химические и дымовые мины.</w:t>
      </w:r>
    </w:p>
    <w:p w14:paraId="40E6681F" w14:textId="77777777" w:rsidR="001209D1" w:rsidRPr="005E779E" w:rsidRDefault="001209D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Химические мины снаряжались на заводе № 15, а фосфорные — на заводе № 80. Химическая мина типа Р-100 содержала 2,21 кг отравляющего вещества, состоящего из смеси 72 % вещества «Ю» и 28 % вещества «О», а мина Р-5 содержала 1,7 кг иприта. Дымовые мины снаряжены фосфором весом 7, 4 кг. На испытаниях в Гороховце дальность стрельбы миной весом 7,4 кг под углом 45° оказалась 2050 м.</w:t>
      </w:r>
    </w:p>
    <w:p w14:paraId="62353CFC" w14:textId="77777777" w:rsidR="001209D1" w:rsidRPr="005E779E" w:rsidRDefault="001209D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ходе испытаний выяснилось:</w:t>
      </w:r>
    </w:p>
    <w:p w14:paraId="2F717394" w14:textId="77777777" w:rsidR="001209D1" w:rsidRPr="005E779E" w:rsidRDefault="001209D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Осколочного действия мины не имеют совершенно, если не считать отрыва горловины и дробления запаянного стакана, которые, как правило, остаются в воронке. На всех зарядах на углах 45–55° система в основном устойчива.</w:t>
      </w:r>
    </w:p>
    <w:p w14:paraId="2E6BBB0D" w14:textId="77777777" w:rsidR="001209D1" w:rsidRPr="005E779E" w:rsidRDefault="001209D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Из-за большого бокового и продольного рассеиваний исключалась возможность стрельбы по отдельным огневым точкам. Постоянные недолеты почти исключали возможность стрельбы через голову своих войск.</w:t>
      </w:r>
    </w:p>
    <w:p w14:paraId="75F3A3BB" w14:textId="77777777" w:rsidR="001209D1" w:rsidRPr="005E779E" w:rsidRDefault="001209D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Система была излишне утяжелена — около 90 кг, особенно ствол (47,9 кг). Носка ствола одним человеком была невозможна, а двумя — неудобна. Ударник давал осечки. Опорная плита давала прогибы. Ноги миномета носили на плече, а плиту — за веревку в руках (как портфель). Дымный порох в хвостовом запальном патроне давал большой нагар, а дым демаскировал миномет. У взрывателя не было мгновенного действия.</w:t>
      </w:r>
    </w:p>
    <w:p w14:paraId="1EDD3E1D" w14:textId="77777777" w:rsidR="001209D1" w:rsidRPr="005E779E" w:rsidRDefault="001209D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определения действия отравляющего вещества при взрыве мин было использовано 20 животных. Отчет об этом до сих пор строго засекречен.</w:t>
      </w:r>
    </w:p>
    <w:p w14:paraId="28A497B5" w14:textId="77777777" w:rsidR="001209D1" w:rsidRPr="005E779E" w:rsidRDefault="001209D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Минометы МС-107 выпускались небольшими сериями. К весне 1933 г. в частях они использовались только как учебные. По неясным причинам, в ряде документов миномет МС-107 именовался «минометом обр. 1928/30 г.». На самом деле в 1928 г. этого миномета и в проекте не было.</w:t>
      </w:r>
    </w:p>
    <w:p w14:paraId="4D5CC4EF" w14:textId="77777777" w:rsidR="001209D1" w:rsidRPr="005E779E" w:rsidRDefault="001209D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группа «Д» произвела модернизацию миномета МС-107. Модернизированный миномет получил название ХМ-107 обр. 1931 г. (ХМ — химический миномет). В конструкцию нового миномета был введен колесный ход и пружинный амортизатор, состоявший из четырех колец. Ход состоял из боевой оси, двух металлических колес и складных трубчатых поручней. При стрельбе ход легко отделялся.</w:t>
      </w:r>
    </w:p>
    <w:p w14:paraId="7AFBD7EB" w14:textId="77777777" w:rsidR="001209D1" w:rsidRPr="005E779E" w:rsidRDefault="001209D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Опорная плита та же, что и у МС-107.На колесном ходу два номера расчета могли перевозить миномет на поле боя (рис. 10.8).</w:t>
      </w:r>
    </w:p>
    <w:p w14:paraId="2A973D12" w14:textId="77777777" w:rsidR="001209D1" w:rsidRPr="005E779E" w:rsidRDefault="001209D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Миномет ХМ-107 был запущен в серийное производство.</w:t>
      </w:r>
    </w:p>
    <w:p w14:paraId="070EA832" w14:textId="77777777" w:rsidR="001209D1" w:rsidRPr="005E779E" w:rsidRDefault="001209D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Данные миномета ХМ-107 </w:t>
      </w:r>
    </w:p>
    <w:p w14:paraId="585732AC" w14:textId="77777777" w:rsidR="001209D1" w:rsidRPr="005E779E" w:rsidRDefault="001209D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Калибр, мм — 107</w:t>
      </w:r>
    </w:p>
    <w:p w14:paraId="243FC647" w14:textId="77777777" w:rsidR="001209D1" w:rsidRPr="005E779E" w:rsidRDefault="001209D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Длина ствола, мм — 1400</w:t>
      </w:r>
    </w:p>
    <w:p w14:paraId="3DA66ACF" w14:textId="77777777" w:rsidR="001209D1" w:rsidRPr="005E779E" w:rsidRDefault="001209D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Угол вертикального наведения, град — +45; +75</w:t>
      </w:r>
    </w:p>
    <w:p w14:paraId="345C58F2" w14:textId="77777777" w:rsidR="001209D1" w:rsidRPr="005E779E" w:rsidRDefault="001209D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Площадь опорной плиты, см — 2500</w:t>
      </w:r>
    </w:p>
    <w:p w14:paraId="55CD1C45" w14:textId="77777777" w:rsidR="001209D1" w:rsidRPr="005E779E" w:rsidRDefault="001209D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Толщина стенок ствола, мм — от 7 до 4</w:t>
      </w:r>
    </w:p>
    <w:p w14:paraId="38C27389" w14:textId="77777777" w:rsidR="001209D1" w:rsidRPr="005E779E" w:rsidRDefault="001209D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Толщина листа плиты, мм — 7</w:t>
      </w:r>
    </w:p>
    <w:p w14:paraId="16D71AE6" w14:textId="77777777" w:rsidR="001209D1" w:rsidRPr="005E779E" w:rsidRDefault="001209D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Вес ствола, кг — около 30</w:t>
      </w:r>
    </w:p>
    <w:p w14:paraId="552FB202" w14:textId="77777777" w:rsidR="001209D1" w:rsidRPr="005E779E" w:rsidRDefault="001209D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Вес двуноги, кг — около 22</w:t>
      </w:r>
    </w:p>
    <w:p w14:paraId="21CCE95E" w14:textId="77777777" w:rsidR="001209D1" w:rsidRPr="005E779E" w:rsidRDefault="001209D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Вес колесного хода, кг — около 30</w:t>
      </w:r>
    </w:p>
    <w:p w14:paraId="4D21918A" w14:textId="77777777" w:rsidR="001209D1" w:rsidRPr="005E779E" w:rsidRDefault="001209D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Вес опорной плиты, кг — около 24,5</w:t>
      </w:r>
    </w:p>
    <w:p w14:paraId="1BD94589" w14:textId="77777777" w:rsidR="001209D1" w:rsidRPr="005E779E" w:rsidRDefault="001209D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Вес миномета в походном положении, кг — около 110</w:t>
      </w:r>
    </w:p>
    <w:p w14:paraId="794D498B" w14:textId="77777777" w:rsidR="001209D1" w:rsidRPr="005E779E" w:rsidRDefault="001209D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Скорострельность, выстр/мин — до 20</w:t>
      </w:r>
    </w:p>
    <w:p w14:paraId="250B6337" w14:textId="77777777" w:rsidR="001209D1" w:rsidRPr="005E779E" w:rsidRDefault="001209D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Время перехода из походного положения в боевое, мин — 2–5</w:t>
      </w:r>
    </w:p>
    <w:p w14:paraId="40EA096D" w14:textId="77777777" w:rsidR="001209D1" w:rsidRPr="005E779E" w:rsidRDefault="001209D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Стрельба из миномета ХМ-107 велась минами с восемью перьями. Вес мин — от 6,5 кг до 7,2 кг. Мины снаряжались веществами СОВ, НОВ[99] и фосфором. Ипритная мина заражала площадь 80–100 м2, а мина с НОВ создавала дымовое облако площадью около 80 м2 с концентрацией отравляющего вещества не менее 3 мг/литр в момент взрыва. Фосфорная мина создавала дымовое облако шириной 10 м и длиной по ветру около 100 м.</w:t>
      </w:r>
    </w:p>
    <w:p w14:paraId="6D786945" w14:textId="77777777" w:rsidR="001209D1" w:rsidRPr="005E779E" w:rsidRDefault="001209D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испытаниях миномета ХМ-107 были получены следующие результаты: при стрельбе миной весом 6,5 кг полным зарядом (160 г) револьверного пороха под углом 45° и начальной скорости мины 210 м/с дальность составила 3252 м.</w:t>
      </w:r>
    </w:p>
    <w:p w14:paraId="3F6B71A1" w14:textId="77777777" w:rsidR="001209D1" w:rsidRPr="005E779E" w:rsidRDefault="001209D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Было отмечено большое рассеивание — 1/50 по дальности.</w:t>
      </w:r>
    </w:p>
    <w:p w14:paraId="17F3072E" w14:textId="77777777" w:rsidR="001209D1" w:rsidRPr="005E779E" w:rsidRDefault="001209D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завод «Красный Октябрь» изготовил несколько опытных 107-мм минометов ХМ-4. Внешне миномет был похож на МС-107 — схема мнимого треугольника, опорная плита прямоугольная. Длина ствола — 1700 мм. Вес ствола — 37 кг. Вес опорной плиты — 48 кг (12705).</w:t>
      </w:r>
    </w:p>
    <w:p w14:paraId="61673372" w14:textId="77777777" w:rsidR="001209D1" w:rsidRPr="005E779E" w:rsidRDefault="001209D1" w:rsidP="000B7A6C">
      <w:pPr>
        <w:spacing w:after="0" w:line="240" w:lineRule="auto"/>
        <w:jc w:val="both"/>
        <w:rPr>
          <w:rFonts w:ascii="Times New Roman" w:hAnsi="Times New Roman"/>
          <w:color w:val="000000" w:themeColor="text1"/>
          <w:sz w:val="16"/>
          <w:szCs w:val="16"/>
        </w:rPr>
      </w:pPr>
    </w:p>
    <w:p w14:paraId="233926EC" w14:textId="77777777" w:rsidR="008C12DC" w:rsidRPr="00142305" w:rsidRDefault="008C12DC" w:rsidP="008C12D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мае 1931 года на испытания был представлен доработанный образец 12,7 мм пулемета Дегтярева с приемником Г.С.Шпагина под матерчатую ленту.</w:t>
      </w:r>
    </w:p>
    <w:p w14:paraId="62970319" w14:textId="77777777" w:rsidR="008C12DC" w:rsidRPr="00142305" w:rsidRDefault="008C12DC" w:rsidP="008C12D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следующем, 1932 году пулемет, получивший обозначение ДК-32, был формально принят на вооружение. Но реально производство было единичным. В 1933 году были выпущены лишь 12 штук пулеметов, на которых отрабатывались различные станки и схемы питания.</w:t>
      </w:r>
    </w:p>
    <w:p w14:paraId="565ECE57" w14:textId="77777777" w:rsidR="008C12DC" w:rsidRPr="00142305" w:rsidRDefault="008C12DC" w:rsidP="008C12D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частности, в 1933-34 годах было изготовлено несколько образцов пулемета ДК под рантовый патрон нового авиационного пулемета ШВАК, который, как выяснилось, «не желал» работать с более перспективными бесфланцевыми патронами Дегтярева.</w:t>
      </w:r>
    </w:p>
    <w:p w14:paraId="0E1ECDE7" w14:textId="77777777" w:rsidR="008C12DC" w:rsidRPr="00142305" w:rsidRDefault="008C12DC" w:rsidP="008C12D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Войсковые испытания ДК и дополнительные полигонные испытания 1934 г. показали, что пулемет малопригоден для борьбы с быстродвижущимися целями из-за низкого темпа стрельбы. Хотя темп стрельбы достигал вполне приемлемых 360-400 выстр./мин, но практическая скорострельность не превышала 200 выстр/мин, что было связано с тяжелыми и громоздкими магазинами. Экспериментировали с различных станков и разными коробчатыми магазинами, но они имели еще меньшую емкость.</w:t>
      </w:r>
    </w:p>
    <w:p w14:paraId="4ECDD8C8" w14:textId="77777777" w:rsidR="008C12DC" w:rsidRPr="00142305" w:rsidRDefault="008C12DC" w:rsidP="008C12D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Практически одновременно с разработками «сухопутных» версий пулемета ДК, велась работа над авиационной версией, которая разрабатывалась под руководством В.А. Дегтярева конструктором КБ-2 Г.Г. Марковым.</w:t>
      </w:r>
    </w:p>
    <w:p w14:paraId="4A023D88" w14:textId="77777777" w:rsidR="008C12DC" w:rsidRPr="00142305" w:rsidRDefault="008C12DC" w:rsidP="008C12D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1931 г. был изготовлен первый опытный 12,7-мм авиационный пулемет по схеме ДК с приемником конструкции Шпагина, приспособлением противоотскока рамы и ударно-спусковым механизмом с синхронизатором. Второй его экземпляр изготовили в 1932 г. Пулемет получил обозначение ДАК-32 (Дегтярева Авиационный Крупнокалиберный). Технически ДАК-32, предназначавшийся как для неподвижных крыльевых установок, так и для турелей, повторял «сухопутную» версию ДК со всеми ее недостатками, главным из которых был абсолютно недостаточный для авиации темп стрельбы – всего 300 выстр/мин, и приличный вес в 35.5 кг.</w:t>
      </w:r>
    </w:p>
    <w:p w14:paraId="52FF722E" w14:textId="77777777" w:rsidR="008C12DC" w:rsidRPr="00142305" w:rsidRDefault="008C12DC" w:rsidP="008C12D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1934 г. производство ДК приостановили, а в 1935 г. прекратили. В немалой степени остановке работ по совершенствованию крупнокалиберного пулемета Дегтярева способствовал Б.Г. Шпитальный, пообещавший И.В. Сталину крупнокалиберный пулемет с лучшими характеристиками на базе авиационного ШКАСа (25566).</w:t>
      </w:r>
    </w:p>
    <w:p w14:paraId="2CCC3E81" w14:textId="77777777" w:rsidR="008C12DC" w:rsidRPr="00142305" w:rsidRDefault="008C12DC" w:rsidP="008C12DC">
      <w:pPr>
        <w:spacing w:after="0" w:line="240" w:lineRule="auto"/>
        <w:jc w:val="both"/>
        <w:rPr>
          <w:rFonts w:ascii="Times New Roman" w:hAnsi="Times New Roman"/>
          <w:color w:val="0070C0"/>
          <w:sz w:val="16"/>
          <w:szCs w:val="16"/>
        </w:rPr>
      </w:pPr>
    </w:p>
    <w:p w14:paraId="7D87BB4F" w14:textId="77777777" w:rsidR="00A660BD" w:rsidRPr="005E779E" w:rsidRDefault="00A660BD" w:rsidP="000B7A6C">
      <w:pPr>
        <w:pStyle w:val="article-renderblock"/>
        <w:shd w:val="clear" w:color="auto" w:fill="FFFFFF"/>
        <w:spacing w:before="0" w:beforeAutospacing="0" w:after="0" w:afterAutospacing="0"/>
        <w:jc w:val="both"/>
        <w:rPr>
          <w:color w:val="000000" w:themeColor="text1"/>
          <w:sz w:val="16"/>
          <w:szCs w:val="16"/>
          <w:shd w:val="clear" w:color="auto" w:fill="FFFFFF"/>
        </w:rPr>
      </w:pPr>
      <w:r w:rsidRPr="005E779E">
        <w:rPr>
          <w:color w:val="000000" w:themeColor="text1"/>
          <w:sz w:val="16"/>
          <w:szCs w:val="16"/>
        </w:rPr>
        <w:t xml:space="preserve">По состоянию на май 1931 года корпус Т-19 собрали, но мотор всё еще находился в стадии испытаний. В дальнейшей мотор подвергался неоднократным доработкам, которые шли до самого конца 1931 года. Фактически единственный опытный образец танка сдали в самом конце декабря 1931 года. Поскольку с ним уже и так все было понятно, башню со спаренной установкой вооружения делать не стали. Не поставили и пулеметную установку в лобовой части корпуса. Судя по всему, каких-то крупных испытаний не проводилось, но скорость танка оказалась куда скромнее - около 20 км/ч. Позже опытный образец танка оказался в распоряжении Академии Механизации и Моторизации Красной Армии как учебное пособие. Там его жизненный путь и закончился. Для Прахье Т-19 стал последним танком, который он вел как ведущий инженер. Позже он преподавал в Ленинградском Индустриальном Институте, 18 января 1937 года его арестовали, обвинив во вредительской деятельности, а 5 мая того же года приговорили к ВМН. Приговор привели в исполнение на следующий день. 6 марта 1958 года Прахье был посмертно реабилитирован </w:t>
      </w:r>
      <w:r w:rsidRPr="005E779E">
        <w:rPr>
          <w:color w:val="000000" w:themeColor="text1"/>
          <w:sz w:val="16"/>
          <w:szCs w:val="16"/>
          <w:shd w:val="clear" w:color="auto" w:fill="FFFFFF"/>
        </w:rPr>
        <w:t>(20842)</w:t>
      </w:r>
    </w:p>
    <w:p w14:paraId="5B29B0FF" w14:textId="77777777" w:rsidR="00A660BD" w:rsidRPr="005E779E" w:rsidRDefault="00A660BD" w:rsidP="000B7A6C">
      <w:pPr>
        <w:spacing w:after="0" w:line="240" w:lineRule="auto"/>
        <w:jc w:val="both"/>
        <w:rPr>
          <w:rFonts w:ascii="Times New Roman" w:hAnsi="Times New Roman"/>
          <w:color w:val="000000" w:themeColor="text1"/>
          <w:sz w:val="16"/>
          <w:szCs w:val="16"/>
          <w:shd w:val="clear" w:color="auto" w:fill="FFFFFF"/>
        </w:rPr>
      </w:pPr>
    </w:p>
    <w:p w14:paraId="4D2FB0AD" w14:textId="77777777" w:rsidR="00A24023" w:rsidRPr="005E779E" w:rsidRDefault="00A2402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мае 1931 г. на совещании в Реввоенсовете СССР была поставлена точка в попытке запустить производство танков Т-18 на Мотовилихинском заводе который ввиду «малочисленности технического персонала по танкостроению», не смог справиться с возложенным на него заданием[34]: «Больше танковых заказов на Мотовилиху </w:t>
      </w:r>
      <w:r w:rsidRPr="005E779E">
        <w:rPr>
          <w:rFonts w:ascii="Times New Roman" w:hAnsi="Times New Roman"/>
          <w:color w:val="000000" w:themeColor="text1"/>
          <w:sz w:val="16"/>
          <w:szCs w:val="16"/>
        </w:rPr>
        <w:lastRenderedPageBreak/>
        <w:t>не давать»[35]. Кроме того, в 1928 г. начиналась подготовка выпуска нового танка Т-12 (впрочем, тоже имевшего в своей основе всё тот же «Рено ФТ») на Харьковском паровозостроительном заводе им. Коминтерна при условии запуска его производства в 1929 году. По планам на 1929-1930 х.г. необходимо было изготовить 30 таких танков[36] (23536).</w:t>
      </w:r>
    </w:p>
    <w:p w14:paraId="3999AA19" w14:textId="77777777" w:rsidR="00A24023" w:rsidRPr="005E779E" w:rsidRDefault="00A24023" w:rsidP="000B7A6C">
      <w:pPr>
        <w:spacing w:after="0" w:line="240" w:lineRule="auto"/>
        <w:jc w:val="both"/>
        <w:rPr>
          <w:rFonts w:ascii="Times New Roman" w:hAnsi="Times New Roman"/>
          <w:color w:val="000000" w:themeColor="text1"/>
          <w:sz w:val="16"/>
          <w:szCs w:val="16"/>
        </w:rPr>
      </w:pPr>
    </w:p>
    <w:p w14:paraId="697804AB" w14:textId="77777777" w:rsidR="00A660BD" w:rsidRPr="005E779E" w:rsidRDefault="00A660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1931 года осторожно была высказана мысль, что надо бы Т-21 отменить. Сделано это было в июне. Еще одна танкетка на базе Т-17, получившая обозначения Т-25, даже не дошла до стадии изготовления. По большому счету, это была скорее совсем другая машина, схожая только по габаритам. 2-местная боевая машина с 30-сильным мотором должна была развивать скорость до 35 км/ч (22298).</w:t>
      </w:r>
    </w:p>
    <w:p w14:paraId="3C5812C0" w14:textId="77777777" w:rsidR="00A660BD" w:rsidRPr="005E779E" w:rsidRDefault="00A660BD" w:rsidP="000B7A6C">
      <w:pPr>
        <w:spacing w:after="0" w:line="240" w:lineRule="auto"/>
        <w:jc w:val="both"/>
        <w:rPr>
          <w:rFonts w:ascii="Times New Roman" w:hAnsi="Times New Roman"/>
          <w:color w:val="000000" w:themeColor="text1"/>
          <w:sz w:val="16"/>
          <w:szCs w:val="16"/>
        </w:rPr>
      </w:pPr>
    </w:p>
    <w:p w14:paraId="4F2D7E0C" w14:textId="77777777" w:rsidR="005C1E16" w:rsidRPr="005E779E" w:rsidRDefault="005C1E16" w:rsidP="000B7A6C">
      <w:pPr>
        <w:pStyle w:val="a3"/>
        <w:rPr>
          <w:color w:val="000000" w:themeColor="text1"/>
          <w:lang w:val="ru-RU"/>
        </w:rPr>
      </w:pPr>
      <w:r w:rsidRPr="005E779E">
        <w:rPr>
          <w:color w:val="000000" w:themeColor="text1"/>
          <w:lang w:val="ru-RU"/>
        </w:rPr>
        <w:t>В мае 1931 была проведена очередная корректировка сроков график поставки 12-ти тонных танков Виккерс, который теперь выглядел следующим образом: 4-я ма</w:t>
      </w:r>
      <w:r w:rsidRPr="005E779E">
        <w:rPr>
          <w:color w:val="000000" w:themeColor="text1"/>
          <w:lang w:val="ru-RU"/>
        </w:rPr>
        <w:softHyphen/>
        <w:t>шина - 15 мая; 5-я - 22 мая; 6-я - 29 мая; 7-я - 5 июня; 8-я - 12 июня; 9-я - 17 июня; 10-я - 6 августа; 11-я - 13 августа; 12-я - 20 августа; 13-я-27 августа; 14-я - 3 сентября; 15-я-15 сентября. Для экономии времени предлагалось к середине мая предъявить на приемные испытания первые шесть машин (начиная с танка №4) без башен; в ходе их проведения установить доработанные башни (должны быть предоставлены к 1 июня) и по завершении необходимых дополни</w:t>
      </w:r>
      <w:r w:rsidRPr="005E779E">
        <w:rPr>
          <w:color w:val="000000" w:themeColor="text1"/>
          <w:lang w:val="ru-RU"/>
        </w:rPr>
        <w:softHyphen/>
        <w:t>тельных испытаний отправить танки в СССР. Однако англичане и на этот раз подвели, и от этого замысла пришлось отказаться (15745).</w:t>
      </w:r>
    </w:p>
    <w:p w14:paraId="1F495FD6" w14:textId="77777777" w:rsidR="005C1E16" w:rsidRPr="005E779E" w:rsidRDefault="005C1E16" w:rsidP="000B7A6C">
      <w:pPr>
        <w:pStyle w:val="a3"/>
        <w:rPr>
          <w:color w:val="000000" w:themeColor="text1"/>
          <w:lang w:val="ru-RU"/>
        </w:rPr>
      </w:pPr>
    </w:p>
    <w:p w14:paraId="664FBC0C" w14:textId="77777777" w:rsidR="008C12DC" w:rsidRPr="00142305" w:rsidRDefault="008C12DC" w:rsidP="008C12D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мае 131 г. была проведена очередная корректировка сроков поставки танков Виккерс и график поставки 12-тонных танков выглядел следующим образом: 4-я машина – 15 мая; 5-я – 22 мая; 6-я – 29 мая; 7-я – 5 июня; 8-я – 12 июня; 9-я – 17 июня; 10-я – 6 августа; 11-я – 13 августа; 12-я – 20 августа; 13-я – 27 августа; 14-я – 3 сентября; 15-я – 15 сентября.</w:t>
      </w:r>
    </w:p>
    <w:p w14:paraId="1BEE0BD4" w14:textId="77777777" w:rsidR="008C12DC" w:rsidRPr="00142305" w:rsidRDefault="008C12DC" w:rsidP="008C12D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Для экономии времени предлагалось к середине мая предъявить на приемные испытания первые шесть машин (начиная с танка № 4) без башен; в ходе их проведения установить доработанные башни (должны быть предоставлены к 1 июня) и по завершении необходимых дополнительных испытаний отправить танки в СССР. Однако англичане и на этот раз подвели, и от этого замысла пришлось отказаться.</w:t>
      </w:r>
    </w:p>
    <w:p w14:paraId="164873F9" w14:textId="77777777" w:rsidR="008C12DC" w:rsidRPr="00142305" w:rsidRDefault="008C12DC" w:rsidP="008C12D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Приёмочные испытания танка № 4 (№ 232) прошли только в середине июля, а 1 августа он был отправлен в СССР на пароходе «Смольный». Пятый 12-тонный танк (№ 233) после сдаточных испытаний отправили через несколько дней. В том же месяце были приняты и отправлены танки № 6, № 7, № 8, № 9 и № 10…</w:t>
      </w:r>
    </w:p>
    <w:p w14:paraId="7495D485" w14:textId="77777777" w:rsidR="008C12DC" w:rsidRPr="00142305" w:rsidRDefault="008C12DC" w:rsidP="008C12D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9 сентября 1931 г. на пароход «Кооперация» был погружен танк № 11, а 19 сентября на пароход «Сучан» – танк № 12. 13-й танк покинул Лондон в конце сентября, 14-й танк – 9 октября. Во второй половине октября прошел испытания последний танк № 15, однако его сдача задержалась из-за дефектов в бронелистах башни. Только 10 ноября 1931 г. его погрузили в Лондоне на пароход «Рыков». Таким образом, договор с фирмой «Виккерс-Армстронг» был полностью выполнен (25184).</w:t>
      </w:r>
    </w:p>
    <w:p w14:paraId="3306F3F2" w14:textId="77777777" w:rsidR="008C12DC" w:rsidRPr="00142305" w:rsidRDefault="008C12DC" w:rsidP="008C12DC">
      <w:pPr>
        <w:spacing w:after="0" w:line="240" w:lineRule="auto"/>
        <w:jc w:val="both"/>
        <w:rPr>
          <w:rFonts w:ascii="Times New Roman" w:hAnsi="Times New Roman"/>
          <w:color w:val="0070C0"/>
          <w:sz w:val="16"/>
          <w:szCs w:val="16"/>
        </w:rPr>
      </w:pPr>
    </w:p>
    <w:p w14:paraId="5CEE6789" w14:textId="77777777" w:rsidR="00B72A27" w:rsidRPr="005E779E" w:rsidRDefault="00B72A27"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В мае 1931 г. Во исполнение </w:t>
      </w:r>
      <w:hyperlink r:id="rId110" w:tgtFrame="_blank" w:history="1">
        <w:r w:rsidRPr="005E779E">
          <w:rPr>
            <w:rFonts w:ascii="Times New Roman" w:eastAsia="Times New Roman" w:hAnsi="Times New Roman"/>
            <w:color w:val="000000" w:themeColor="text1"/>
            <w:sz w:val="16"/>
            <w:szCs w:val="16"/>
            <w:lang w:eastAsia="ru-RU"/>
          </w:rPr>
          <w:t>приказа Высшего Совета Народного Хозяйства СССР № 73сс</w:t>
        </w:r>
      </w:hyperlink>
      <w:r w:rsidRPr="005E779E">
        <w:rPr>
          <w:rFonts w:ascii="Times New Roman" w:eastAsia="Times New Roman" w:hAnsi="Times New Roman"/>
          <w:color w:val="000000" w:themeColor="text1"/>
          <w:sz w:val="16"/>
          <w:szCs w:val="16"/>
          <w:lang w:eastAsia="ru-RU"/>
        </w:rPr>
        <w:t xml:space="preserve"> на ХПЗ было создано конструкторское бюро (КБ) под руководством С.А. Гинзбурга. Основной задачей созданного КБ являлась разработка в сжатые сроки чертежей для обеспечения начала серийного выпуска на ХПЗ танков «Кристи». Необходимо отметить, что С.А. Гинзбург возглавлял данное КБ только в мае – июле 1931 г., а с июля по декабрь 1931 г. обязанности начальника КБ выполнял военинженер 2 ранга Н.М. Тоскин. В ходе организации производства в течение 7 месяцев в чертежи опытного танка «Кристи» конструкторами и технологами было внесено 1293 изменений. Большая часть вносимых в чертежи изменений была вызвана переводом конструкторской документации (КД) по танку «Кристи» с английской системы мер на используемую в СССР метрическую систему – дюймовые размеры деталей переводились в метрические. В связи с тем, что у полученных из США двух танков отсутствовали башни, башню с установкой вооружения для танка, получившего название БТ-2, конструкторам ХПЗ пришлось проектировать «с нуля» самостоятельно. Основным оружием танка БТ-2 являлась 37-мм пушка Б-3, но так как промышленность СССР не смогла обеспечить требуемый выпуск пушек, часть танков была оснащена спаренной установкой 7,62-мм пулеметов Дегтярева (ДТ). </w:t>
      </w:r>
    </w:p>
    <w:p w14:paraId="4106E7F5" w14:textId="77777777" w:rsidR="00B72A27" w:rsidRPr="005E779E" w:rsidRDefault="00B72A27"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Основу силовой установки танка БТ-2 составлял карбюраторный (бензиновый) отечественный двигатель М-5 либо закупавшийся в США двигатель «Либерти» с эксплуатационной мощностью 360 л.с. (265 кВт), обеспечивавший танку возможность двигаться со скоростью до 52 км/ч на гусеницах и до 72 км/ч на колёсах. Главной особенностью танка БТ-2, отличавшей его от всех остальных танков, состоявших в то время на вооружении РККА, была его высокая оперативная подвижность, которая обеспечивалась колесно-гусеничным движителем совмещенного типа. Следует подчеркнуть, что в созданной Дж. Уолтером Кристи конструкции ходовой части танка больше половины элементов колёсно-гусеничного движителя были задействованы и для движения на гусеницах и для движения на колёсах. Так, восемь опорных катков большого диаметра с наружной резиновой амортизацией при движении танка со снятыми гусеницами выполняли роль колёс. При этом первая пара опорных катков выполняла роль управляемых колёс, а последняя (четвертая) – ведущих колёс. Передача крутящего момента на ведущие колёса осуществлялась от бортовых редукторов с помощью шестеренчатых редукторов («гитар»). Переход с одного типа движения на другой осуществлялся силами экипажа в течение 30 минут. При подготовке танка к движению на колёсах каждая гусеница разъединялась на четыре части, которые укладывались на специальные надгусеничные полки, располагавшиеся по бортам танка, и крепились к ним ремнями.</w:t>
      </w:r>
    </w:p>
    <w:p w14:paraId="40FD7F24" w14:textId="77777777" w:rsidR="00B72A27" w:rsidRPr="005E779E" w:rsidRDefault="00B72A27"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Работы по совершенствованию танков серии БТ велись на ХПЗ в основном в опытном цехе Т2О («Т» – танковый отдел, «2» – порядковый номер отдела, «О» – опытный цех) отдела Т2. Этот опытный цех был создан в марте 1932 г. в виде опытно-исследовательской секции Т2Ки при конструкторском бюро Т2К, начальником которого с 6 декабря 1931 г. являлся А.О. Фирсов. </w:t>
      </w:r>
    </w:p>
    <w:p w14:paraId="58035973" w14:textId="77777777" w:rsidR="00B72A27" w:rsidRPr="005E779E" w:rsidRDefault="00B72A27"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Результатом работ по усовершенствованию танка БТ-2, проводившихся конструкторами и технологами ХПЗ совместно с военнослужащими Управления по механизации и моторизации (УМиМ) РККА, стало создание колесно-гусеничного танка БТ-5, серийное производство которого было организовано на ХПЗ в 1933 г. От танка БТ-2 танк БТ-5 отличался главным образом установкой в новой двухместной башне более мощной 45-мм танковой пушки, спаренной с пулеметом ДТ, в связи с чем боевая масса танка возросла на 700 кг и составила 11,7 т. </w:t>
      </w:r>
    </w:p>
    <w:p w14:paraId="138B74A9" w14:textId="77777777" w:rsidR="00B72A27" w:rsidRPr="005E779E" w:rsidRDefault="00B72A27"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Параллельно с выпуском танков БТ-5 на ХПЗ в конструкторском бюро Т2К продолжалась работа по дальнейшему совершенствованию боевых свойств этой машины. Результатом проводимых опытно-конструкторских работ (ОКР) явилось создание колесно-гусеничного танка БТ-7. Этот танк был создан на базе танка БТ-5, но имел усиленную броневую защиту корпуса, в котором основная часть броневых листов соединялась с помощью сварки. Башня и вооружение на танках первого выпуска были такими же, как и на танке БТ-5, но измененная конструкция корпуса позволяла устанавливать башню и с более мощной 76,2-мм танковой пушкой. Значительным изменениям подверглась силовая установка – вместо авиационного бензинового двигателя М-5 или «Либерти» в танке БТ-7 стал устанавливаться более надежный двигатель М-17-Т, с эксплуатационной мощностью 400 л.с. (294 кВт). Увеличение емкости топливных баков с 360 до 800 л позволило в два с лишним раза повысить запас хода танка. Серийный выпуск танков БТ-7 начался на ХПЗ в 1935 г. (17502). </w:t>
      </w:r>
    </w:p>
    <w:p w14:paraId="68072FBD" w14:textId="77777777" w:rsidR="00B72A27" w:rsidRPr="005E779E" w:rsidRDefault="00B72A27" w:rsidP="000B7A6C">
      <w:pPr>
        <w:spacing w:after="0" w:line="240" w:lineRule="auto"/>
        <w:jc w:val="both"/>
        <w:rPr>
          <w:rFonts w:ascii="Times New Roman" w:eastAsia="Times New Roman" w:hAnsi="Times New Roman"/>
          <w:color w:val="000000" w:themeColor="text1"/>
          <w:sz w:val="16"/>
          <w:szCs w:val="16"/>
          <w:lang w:eastAsia="ru-RU"/>
        </w:rPr>
      </w:pPr>
    </w:p>
    <w:p w14:paraId="76BF56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1931 КБ ХПЗ руководил Н.М.Тоскин, а с декабря 1931 - А.О.Фирсов (9527,62).</w:t>
      </w:r>
    </w:p>
    <w:p w14:paraId="255DBB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7FCA7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мая 1931 10 самоходных 76 мм динамореактивных пушек на базе Форд-АА были переданы на испытания в механизированные части (9527,261).</w:t>
      </w:r>
    </w:p>
    <w:p w14:paraId="52AA76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0903A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1931 бронетракторы Д-10, Д-11 и Д-14 прибыли на НИБП УММ РККА (ст. Кубинка) для проверки их боевых и эксплуатационных качеств (4306).</w:t>
      </w:r>
    </w:p>
    <w:p w14:paraId="6813D2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B7E19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1931 был изготовлен разработанный весной 1931 под руководством Н.И.Дыренкова ба Д-9 на шасси трехосного полноприводного Мериленда (9527,325)</w:t>
      </w:r>
    </w:p>
    <w:p w14:paraId="0FA2C1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1E016C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1931 г. КО СССР принял решение о передаче заказа на танки типа «БТ-Кристи» с чрезмерно загруженного «Боль</w:t>
      </w:r>
      <w:r w:rsidRPr="005E779E">
        <w:rPr>
          <w:rFonts w:ascii="Times New Roman" w:hAnsi="Times New Roman"/>
          <w:color w:val="000000" w:themeColor="text1"/>
          <w:sz w:val="16"/>
          <w:szCs w:val="16"/>
        </w:rPr>
        <w:softHyphen/>
        <w:t>шевика» в Харьков. Это решение было вполне разумным. Имевшиеся на заводе станочный и инструментальный парки позволяли практически полностью изготовить этот танк, лишь двига</w:t>
      </w:r>
      <w:r w:rsidRPr="005E779E">
        <w:rPr>
          <w:rFonts w:ascii="Times New Roman" w:hAnsi="Times New Roman"/>
          <w:color w:val="000000" w:themeColor="text1"/>
          <w:sz w:val="16"/>
          <w:szCs w:val="16"/>
        </w:rPr>
        <w:softHyphen/>
        <w:t>тели, вооружение, радиаторы, конические шестерни КПП и литье предполагалось получать по кооперации (10733,194).</w:t>
      </w:r>
    </w:p>
    <w:p w14:paraId="3CD6808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E200D9" w14:textId="77777777" w:rsidR="00850E92" w:rsidRPr="00142305" w:rsidRDefault="00850E92" w:rsidP="00850E9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мае 1931 г. с завода Можерез заказчику передали машину Дыренкова – транспортер Д-14. Сборка Д-15 затянулась (25586).</w:t>
      </w:r>
    </w:p>
    <w:p w14:paraId="2D4754A2" w14:textId="77777777" w:rsidR="00850E92" w:rsidRPr="00142305" w:rsidRDefault="00850E92" w:rsidP="00850E92">
      <w:pPr>
        <w:spacing w:after="0" w:line="240" w:lineRule="auto"/>
        <w:jc w:val="both"/>
        <w:rPr>
          <w:rFonts w:ascii="Times New Roman" w:hAnsi="Times New Roman"/>
          <w:color w:val="0070C0"/>
          <w:sz w:val="16"/>
          <w:szCs w:val="16"/>
        </w:rPr>
      </w:pPr>
    </w:p>
    <w:p w14:paraId="24868F7D" w14:textId="77777777" w:rsidR="00850E92" w:rsidRPr="00142305" w:rsidRDefault="00850E92" w:rsidP="00850E9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мае 1931 г. три готовых танка Дыренкова (Д-10, Д-11 и Д-15) отправили на Научно-испытательный бронетанковый полигон УММ (ст. Кубинка). В первых числах июня техника выполнила пробег протяженностью 95 км по шоссе, грунтовым дорогам и бездорожью. Средняя скорость на маршруте с различными препятствиями составила 4-6 км/ч. После пробега танки получили замечания (25586).</w:t>
      </w:r>
    </w:p>
    <w:p w14:paraId="593B7092" w14:textId="77777777" w:rsidR="00850E92" w:rsidRPr="00142305" w:rsidRDefault="00850E92" w:rsidP="00850E92">
      <w:pPr>
        <w:spacing w:after="0" w:line="240" w:lineRule="auto"/>
        <w:jc w:val="both"/>
        <w:rPr>
          <w:rFonts w:ascii="Times New Roman" w:hAnsi="Times New Roman"/>
          <w:color w:val="0070C0"/>
          <w:sz w:val="16"/>
          <w:szCs w:val="16"/>
        </w:rPr>
      </w:pPr>
    </w:p>
    <w:p w14:paraId="0C0E53C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1931 начальник инженерно-конструкторского бюро по танкам А. Адамс указывал, что процесс полного копирования не был достаточно обоснован и танк БТ требовал доработок (10733,198).</w:t>
      </w:r>
    </w:p>
    <w:p w14:paraId="1CB1AA4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DD3D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1931 г. под Нижним Новгородом, у деревни Монастырка заложили большой завод полного цикла, рассчитанный уже не на 100 000, а на 140 000 машин, Он начал давать продукцию в январе 1932 г. За образец был взят фордовский завод в Канаде с годовой производительностью в 110 000 машин. Нижегородский завод проектировал упоминавшийся уже Альберт Кан; техническое руководство строительством осуществляла американская компания Остин, а само строительство — трест Металлострой. Крупнее этого советского завода были только американские.</w:t>
      </w:r>
    </w:p>
    <w:p w14:paraId="5095F8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Организация и качество впервые проводившихся в СССР столь масштабных работ не дотягивали до американского уровня. Велика была доля ручного труда, нерационального использования ресурсов, показухи и бюрократизма. Заокеанские специалисты не могли действовать столь же эффективно, как в своей стране: они столкнулись с реалиями другой страны, другой экономики, другой культуры. Довольно производительно трудились, впрочем, работавшие в Америке до революции российские эмигранты, которые захотели вернуться на родину.</w:t>
      </w:r>
    </w:p>
    <w:p w14:paraId="247161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Особенно трудно было научить людей, привыкших к поштучной работе, работать на конвейере или на скоростных станках. Специалист по производству тракторов П.Макгрегор с возмущением докладывал руководству Путиловского завода, что “вся система работ настолько плоха, что процесс невозможно ускорить”. Например, на изготовление рабочего чертежа здесь требовались недели, а на американских заводах — меньше пяти минут.</w:t>
      </w:r>
    </w:p>
    <w:p w14:paraId="2CB2AF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Другой менеджер компании Форда, побывавший на объектах в конце 1931 г., выявил серьезные недостатки в подготовке к пуску Нижегородского автозавода. В сборочном цеху завода АМО из-за привычки к поштучной работе одни операции делались быстро, другие медленно, и в результате сборка автомобиля выбивалась из графика. Качество отделки было “просто ужасным”, но, поскольку машины покупало государство, работники о качестве не беспокоились. Дальнейшие отношения с компанией Форда протекали на фоне тех трудностей, с которыми в начале 1930-х гг. столкнулись не только США, но и Советский Союз. Сокращение валютной выручки от внешней торговли в период Великой депрессии стало причиной невыполнения советской стороной своих обязательств по закупкам фордовских авточастей. </w:t>
      </w:r>
    </w:p>
    <w:p w14:paraId="5E10BB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Вместо 72 000 комплектов к 1932/33 финансовому году их было закуплено вдвое меньше (11506).</w:t>
      </w:r>
    </w:p>
    <w:p w14:paraId="430442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5654B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1931 года заводом КИМ впервые в стране была предложена и успешно внедрена сдельная оплата труда в условиях конвейерного производства (до того в этих условиях считалась нормой и применялась лишь повременная форма оплаты), обеспечившая резкое увеличение производительности труда и впоследствии, после бурной дискуссии в прессе, внедренная на всех остальных автозаводах страны. В 1936 году инженерами завода впервые в стране был разработан и освоен новый метод погрузочно-разгрузочных работ на железнодорожном транспорте, предусматривавший погрузку грузовых автомобилей на железнодорожные платформы звеньями по три автомобиля, с погрузкой их передних осей на платформу впередистоящего автомобиля, что позволило в полтора раза уменьшить потребное для перевозок количество подвижного состава. Этот метод «Елочка» был одобрен коллегией НКПС СССР и впоследствии применялся на всех железных дорогах страны (10766).</w:t>
      </w:r>
    </w:p>
    <w:p w14:paraId="6A0B62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1C9C52E" w14:textId="77777777" w:rsidR="0033769F" w:rsidRPr="005E779E" w:rsidRDefault="0033769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1931 г. была заключена серия договоров между заводом им. Коминтерна и ВТУ В соответствии с ними были изготовлены:</w:t>
      </w:r>
    </w:p>
    <w:p w14:paraId="449E5A6A" w14:textId="77777777" w:rsidR="0033769F" w:rsidRPr="005E779E" w:rsidRDefault="0033769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одна фронтовая радио</w:t>
      </w:r>
      <w:r w:rsidRPr="005E779E">
        <w:rPr>
          <w:rFonts w:ascii="Times New Roman" w:hAnsi="Times New Roman"/>
          <w:color w:val="000000" w:themeColor="text1"/>
          <w:sz w:val="16"/>
          <w:szCs w:val="16"/>
        </w:rPr>
        <w:softHyphen/>
        <w:t>станция 1ВФ;</w:t>
      </w:r>
    </w:p>
    <w:p w14:paraId="09FF7325" w14:textId="77777777" w:rsidR="0033769F" w:rsidRPr="005E779E" w:rsidRDefault="0033769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по тринадцать комплектов специальных передатчиков типа 44ПА, 45ПА, 46ПД, 47ПД;</w:t>
      </w:r>
    </w:p>
    <w:p w14:paraId="27F115BB" w14:textId="77777777" w:rsidR="0033769F" w:rsidRPr="005E779E" w:rsidRDefault="0033769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- 206 артиллерийских радиостанций 31ДП;</w:t>
      </w:r>
    </w:p>
    <w:p w14:paraId="66DB5EC1" w14:textId="77777777" w:rsidR="0033769F" w:rsidRPr="005E779E" w:rsidRDefault="0033769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станции на ИК-лучах (БЛОК1, ИКА1, ИКА2);</w:t>
      </w:r>
    </w:p>
    <w:p w14:paraId="08CEF852" w14:textId="77777777" w:rsidR="0033769F" w:rsidRPr="005E779E" w:rsidRDefault="0033769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два опытных образца полевых радиомаяков для ВВС типа 13А(19098).</w:t>
      </w:r>
    </w:p>
    <w:p w14:paraId="07190BFA" w14:textId="77777777" w:rsidR="0033769F" w:rsidRPr="005E779E" w:rsidRDefault="0033769F" w:rsidP="000B7A6C">
      <w:pPr>
        <w:spacing w:after="0" w:line="240" w:lineRule="auto"/>
        <w:jc w:val="both"/>
        <w:rPr>
          <w:rFonts w:ascii="Times New Roman" w:hAnsi="Times New Roman"/>
          <w:color w:val="000000" w:themeColor="text1"/>
          <w:sz w:val="16"/>
          <w:szCs w:val="16"/>
        </w:rPr>
      </w:pPr>
    </w:p>
    <w:p w14:paraId="66ED3369" w14:textId="77777777" w:rsidR="0033769F" w:rsidRPr="005E779E" w:rsidRDefault="0033769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1931 г. в проекте постановления СТО «О состоянии военно-химического дела» говорилось, что в артиллерии в наличии имелось 420 тыс. новых боеприпасов, снаряженных ипритом, фосгеном и дифосгеном, и 400 тыс. старых химснарядов подлежали перезарядке. Были успешно испытаны дистанционные химические снаряды и новые взрыватели к ним. На вооружении авиации находились 8- и 32-килограммовые бомбы, снаряженные ипритом (для заражения местности) и 8-килограммовые осколочно-химические бомбы, снаряженные хлорацетофеном (для поражения и изматывания живой силы противника). На 1 мая 1931 г. в наличии было 7600 8-килограммовых бомб. До конца года планировалось принять на вооружение 50- и 100-килограммовые химические бомбы дистанционного действия (иприт), курящиеся (арсины) и ударные кратковременного действия (фосген). Имелось также 75 комплектов выливных авиационных приборов ВАП-4, и до конца года планировалось поставить еще 1000 таких комплектов. Для снаряжения химических боеприпасов были оборудованы 2 разливочные станции общей производительностью свыше 5 млн. снарядов и бомб в год.</w:t>
      </w:r>
    </w:p>
    <w:p w14:paraId="34DA28D3" w14:textId="77777777" w:rsidR="0033769F" w:rsidRPr="005E779E" w:rsidRDefault="0033769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1930 г. и первой половине 1931 г. в РККА был проведен ряд крупных химических испытаний, на которых изучались и совершенствовались средства химической войны: ипритные и осколочно-химические снаряды, стойкие ОВ с использованием ВАПов, ядовитые дымы. На всех этих испытаниях проверялись противогазы различных конструкций. Химические войска РККА в 1931 г. состояли из пяти батальонов. Для них военно-химической службой Красной Армии только в 1930 г. были испытаны и переданы на вооружение ядовито-дымные шашки, дымовые шашки, прибор ВАП-4, ранцевый прибор для заражения, фильтр для огневых точек. В это же время в стадии войсковых испытаний находились разборный боевой противогаз, химическая боевая машина, химический фугас, дымприбор для танка, передвижной дымовой прибор, мортира СТО-КСА (35-миллиметровый миномет), новые рецептуры для ВАПов и химснарядов.</w:t>
      </w:r>
    </w:p>
    <w:p w14:paraId="305CECC9" w14:textId="77777777" w:rsidR="0033769F" w:rsidRPr="005E779E" w:rsidRDefault="0033769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Достигнутые результаты были немалыми, но они были далеки от тех целей, которые ставились перед руководством РККА. Поэтому в упомянутом проекте постановления СТО говорилось:</w:t>
      </w:r>
    </w:p>
    <w:p w14:paraId="77F4B574" w14:textId="77777777" w:rsidR="0033769F" w:rsidRPr="005E779E" w:rsidRDefault="0033769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«Учитывая исключительную важность средств химборьбы в современной войне, не ликвидированную в то же время отсталость химвооружения РККА и необходимость добиться решительного перелома в 1931 г. Комиссия Обороны постановляет: Президиуму ВСНХ &lt;…&gt; 2. Приравнять капитальное строительство по хлору, сере, мышьяку и отравляющим веществам к ударным наравне со строительством военной промышленности и обеспечить выполнение в срок заказов на оборудование, завоз импортного имущества, необходимые стройматериалы, рабсилу и техперсонал. Особо усилить темпы строительства по противогазу в целях скорейшего обеспечения потребностей не только РККА, но и гражданского населения» (18265).</w:t>
      </w:r>
    </w:p>
    <w:p w14:paraId="01E22C90" w14:textId="77777777" w:rsidR="0033769F" w:rsidRPr="005E779E" w:rsidRDefault="0033769F" w:rsidP="000B7A6C">
      <w:pPr>
        <w:spacing w:after="0" w:line="240" w:lineRule="auto"/>
        <w:jc w:val="both"/>
        <w:rPr>
          <w:rFonts w:ascii="Times New Roman" w:hAnsi="Times New Roman"/>
          <w:color w:val="000000" w:themeColor="text1"/>
          <w:sz w:val="16"/>
          <w:szCs w:val="16"/>
        </w:rPr>
      </w:pPr>
    </w:p>
    <w:p w14:paraId="5CD448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1931 года вопрос о развитии ТГМЗ (к тому времени получившего звание имени А.А. Андреева - первого секретаря Северо-Кавказского крайкома партии) обсуждался Президиумом ЦК ВКП (б) и коллегией НК РКИ. По итогам заседания было издано постановление, в котором говорилось:</w:t>
      </w:r>
    </w:p>
    <w:p w14:paraId="56FCE5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"…учитывая настойчивое требование хозяйственных, партийных и профсоюзных организаций Таганрога, Президиум ЦК ВКП (б) и коллегия НК РКИ предлагают Гипромезу не позднее 15 июня представить обоснованные расчеты строительства в Таганроге трубного завода". </w:t>
      </w:r>
    </w:p>
    <w:p w14:paraId="3EF420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Модернизация завода - также как и его основание, не прошла без участия иностранцев. Согласно плану реконструкции ТГМЗ предполагалось фактически построить новое производство – в составе нового мартеновского (№ 2), трубопрокатного и трубоэлектросварочного цехов. Первоначально проект мартеновского цеха сделал Стальпроект, однако он оказался не совсем удачным. Что касается остальных цехов, то к ним руку, по всей видимости, приложили зарубежные проектировщики. Эти цеха предполагалось оснастить полностью импортным оборудованием. Поставщиком его была выбрана германская машиностроительная компания MEER. На каких условиях происходил выбор поставщика не известно.</w:t>
      </w:r>
    </w:p>
    <w:p w14:paraId="367E24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Тоже самое касается и стоимости реконструкции предприятия – полных данных о ней не существует. Известно лишь, что изначально на развитие металлургического завода было выделено около 34,77 млн. рублей. Строительство мартеновского цеха № 2 по проекту Стальпроекта было начато еще в 1930 году, но есть мнение, что достраивали цех по немецкому проекту. Чуть позже, в 1931 году в Таганроге развернулось возведение новых трубоэлектросварочного и трубопрокатного цехов. Мартеновский цех возводился ударными темпами - уже в марте 1932 года свою первую плавку дала мартеновская печь №5. Всего в цехе было запланировано 3 печи по 60 тонн каждая. Производительность цеха была рассчитана на 180 тыс. тонн металла в год. В 1934 году печи реконструировали на садку в 150 тонн, что позволило вывести номинальную производственную мощность цеха до почти 400 тыс. тонн стали. </w:t>
      </w:r>
    </w:p>
    <w:p w14:paraId="20501E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Однако достичь полной производственной мощности сходу не удалось. Как всегда сказались нехватка квалифицированных кадров, последствия штурмовщины, недочеты в планировании (например, в работе лебедок). Поэтому даже в 1934 году мартеновский цех №2 (он получил название "имени Правды"») произвел лишь 157 тыс. тонн. Мартеновский цех №1 имени ОГПУ выпустил лишь 78 тыс. тонн стали, так что в негласном соревновании по объемам между "правдой" и ОГПУ победила первая. Впрочем, если без юмора, то производственные возможности второго цеха не использовались на полную – так, выход готового металла вместо 86% долгое время составлял лишь 75-82%. Поэтому с точки зрения эффективности первый цех работал все же лучше и в 1934 году он получил третье место в конкурсе мартеновских цехов СССР. </w:t>
      </w:r>
    </w:p>
    <w:p w14:paraId="3CA102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Создание трубопрокатного и трубоэлектросварочного цехов находилось в рамках концепции развития ТГМЗ, созданной в 30-х годах в ВСНХ. Предприятие планировалось как передельное с производством труб, а также листопрокатным и бандажным производством. Новые цеха были построены в достаточно сжатые сроки – в 1931-1935 годах. Примечательно, что во всех источниках о зарубежной иностранной помощи пишется очень скромно и, как правило, рефреном идут упоминания о затягивании работ со стороны иноспециалистов. </w:t>
      </w:r>
    </w:p>
    <w:p w14:paraId="07F917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тем, свежепостроенные цеха были укомплектованы новейшим на тот момент германским оборудованием. В том числе были установлены: прошивной, 2 пилигриммовых стана, редукционный, калибровочный, правильный станы, прессовое оборудование в трубопрокатном цехе. В гигантском трубоэлектросварочном цехе были установлены протяжной маятниковый трубосварочный стан, печное оборудование, гидравлические прессы, калибровочный стан, цинковальная установка. Примечательно, что многое из этого оборудования работало на предприятии долгие десятилетия – так, центробежные насосы фирмы «Бальке и Вагнер», выпуска 1927 года (установлены в трубопрокатном цехе в 1933 году) эксплуатировались вплоть до 2007 года.</w:t>
      </w:r>
    </w:p>
    <w:p w14:paraId="7A113E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Шеф-монтажные работы в новых цехах вели немецкие специалисты, которые не совсем понимали, зачем надо стремиться опередить установленный график. Поэтому трубопрокатный цех (новотрубный) был запущен в строй 6 ноября 1933 года (руководство завода хотело успеть к годовщине революции). Как пишут историки, первую трубу торжественно вынесли на митинг 7 ноября, провезли через весь город и положили к памятнику Ленину. Трубоэлектросварочный цех строился чуть </w:t>
      </w:r>
      <w:r w:rsidRPr="005E779E">
        <w:rPr>
          <w:rFonts w:ascii="Times New Roman" w:hAnsi="Times New Roman"/>
          <w:color w:val="000000" w:themeColor="text1"/>
          <w:sz w:val="16"/>
          <w:szCs w:val="16"/>
        </w:rPr>
        <w:lastRenderedPageBreak/>
        <w:t xml:space="preserve">дольше и в эксплуатацию был введен только 15 декабря 1935 года. Общая мощность цеха была рассчитана на порядка 100 тыс. тонн труб в год, однако до войны на этот уровень цех так и не вышел. </w:t>
      </w:r>
    </w:p>
    <w:p w14:paraId="028550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Тем не менее, к концу 30-х годов благодаря глубокой реконструкции и финансовым вливаниям (в 1936 году в трубоэлектросварочный цех было инвестировано 5 млн. рублей), ТГМЗ перестал быть второстепенным заводом. Так, уже в 1938 году ТГМЗ уже выпускал 17% всех производимых в СССР стальных труб и более 30% всех производимых бандажей. Доля ТГМЗ в всесоюзном производстве бурильных труб тогда составила 75%, обсадных и газопроводных – 25%. Техническое развитие предприятия во второй половине 30-х годов было в немалой степени обусловлено созданием новой промышленной инфраструктуры: установкой новых турбогенераторов, проведения двух высоковольтных линий, строительством механического и копрового цеха. В литейном цехе были установлены две электропечи. В 1940 году была перекрыта производственная мощность трубопрокатного цеха (новотрубного) (11584).</w:t>
      </w:r>
    </w:p>
    <w:p w14:paraId="4F600E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30CCE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1931 г. в проекте постановления СТО «О состоянии военно-химического дела» говорилось, что в артиллерии в наличии имелось 420 тыс. новых боеприпасов, снаряженных ипритом, фосгеном и дифосгеном, и 400 тыс. старых химснарядов подлежали перезарядке. Были успешно испытаны дистанционные химические снаряды и новые взрыватели к ним. На вооружении авиации находились 8- и 32-килограммовые бомбы, снаряженные ипритом (для заражения местности) и 8-килограммовые осколочно-химические бомбы, снаряженные хлорацетофеном (для поражения и изматывания живой силы противника). На 1 мая 1931 г. в наличии было 7600 8-килограммовых бомб. До конца года планировалось принять на вооружение 50- и 100-килограммовые химические бомбы дистанционного действия (иприт), курящиеся (арсины) и ударные кратковременного действия (фосген). Имелось также 75 комплектов выливных авиационных приборов ВАП-4, и до конца года планировалось поставить еще 1000 таких комплектов. Для снаряжения химических боеприпасов были оборудованы 2 разливочные станции общей производительностью свыше 5 млн. снарядов и бомб в год. В 1930 г. и первой половине 1931 г. в РККА был проведен ряд крупных химических испытаний, на которых изучались и совершенствовались средства химической войны: ипритные и осколочно-химические снаряды, стойкие ОВ с использованием ВАПов, ядовитые дымы. На всех этих испытаниях проверялись противогазы различных конструкций. Химические войска РККА в 1931 г. состояли из пяти батальонов. Для них военно-химической службой Красной Армии только в 1930 г. были испытаны и переданы на вооружение ядовито-дымные шашки, дымовые шашки, прибор ВАП-4, ранцевый прибор для заражения, фильтр для огневых точек. В это же время в стадии войсковых испытаний находились разборный боевой противогаз, химическая боевая машина, химический фугас, дымприбор для танка, передвижной дымовой прибор, мортира СТО-КСА (35-миллиметровый миномет), новые рецептуры для ВАПов и химснарядов. Достигнутые результаты были немалыми, но они были далеки от тех целей, которые ставились перед руководством РККА. Поэтому в упомянутом проекте постановления СТО говорилось: «Учитывая исключительную важность средств химборьбы в современной войне, не ликвидированную в то же время отсталость химвооружения РККА и необходимость добиться решительного перелома в 1931 г. Комиссия Обороны постановляет: Президиуму ВСНХ &lt;...&gt; 2. Приравнять капитальное строительство по хлору, сере, мышьяку и отравляющим веществам к ударным наравне со строительством военной промышленности и обеспечить выполнение в срок заказов на оборудование, завоз импортного имущества, необходимые стройматериалы, рабсилу и техперсонал. Особо усилить темпы строительства по противогазу в целях скорейшего обеспечения потребностей не только РККА, но и гражданского населения». Это в определенной степени проясняет Неудовлетворенность Москвы темпами и результатами военно-химических испытаний в «Томке» (11784).</w:t>
      </w:r>
    </w:p>
    <w:p w14:paraId="0D65B7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24B27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1931 г. группой (3 чел.), работавшей в химической лаборатории завода № 24 по получению металлического бериллия в составе Б.М. Порватов - руководитель, К.С. Лукьянова, О.Э. Гаспарян и находящейся в подчинении Техотдела Экономического управления ОГПУ, был получен первый бериллий. В 1931 г. для его получения был основан завод «Б» на ул. Мочальской /г. Москва ул. Мочальская, ул. Ибрагимова/. Он разместился в здании церкви Дмитрия Солунского на Благуше, построенном в 1911 г. Завод действовал самостоятельно до 1936г., затем был передан Гиредмету в качестве опытной базы и работал до начала войны (11982).</w:t>
      </w:r>
    </w:p>
    <w:p w14:paraId="682F67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D95F7A5" w14:textId="77777777" w:rsidR="003210F7" w:rsidRPr="005E779E" w:rsidRDefault="003210F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1931 г. Ивановский обком ВКП(б) рекомендовал начальником строительства Ярославского завода СК-1 Л.Т. Стрежа, работавшего до этого директором Костромской текстильной фабрики. Сын питерского рабочего, Л.Т. Стреж в 17 лет был бойцом продотряда, потом воевал на фронтах гражданской войны против Колчака и Деникина. После демобилизации учился в Московском институте народного хозяйства им. Плеханова, который окончил с отличием в 1928 г. (18298).</w:t>
      </w:r>
    </w:p>
    <w:p w14:paraId="7D4A6E06" w14:textId="77777777" w:rsidR="003210F7" w:rsidRPr="005E779E" w:rsidRDefault="003210F7" w:rsidP="000B7A6C">
      <w:pPr>
        <w:spacing w:after="0" w:line="240" w:lineRule="auto"/>
        <w:jc w:val="both"/>
        <w:rPr>
          <w:rFonts w:ascii="Times New Roman" w:hAnsi="Times New Roman"/>
          <w:color w:val="000000" w:themeColor="text1"/>
          <w:sz w:val="16"/>
          <w:szCs w:val="16"/>
        </w:rPr>
      </w:pPr>
    </w:p>
    <w:p w14:paraId="252ACCCC" w14:textId="77777777" w:rsidR="00850E92" w:rsidRPr="00142305" w:rsidRDefault="00850E92" w:rsidP="00850E9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мае 1931 года брат Альберта Кана — Мориц — так описывает масштабы вовлечения отечественных специалистов через 15 месяцев после подписания договора с Каном: «Госпроектстрой» существует всего только год. Раньше наше бюро в Детройте, насчитывающее в обычное время от 400 до 500 архитекторов, инженеров и чертежников, считалось самым большим в мире. "Госпроект" сейчас насчитывает около 600 сотрудников в московском бюро, не считая студентов, ещё 150 будут вскоре приняты. В бюро в Ленинграде — 300 сотрудников, в Харькове — 100». Всего через команду Кана «проходит» около 4000 отечественных специалистов.</w:t>
      </w:r>
    </w:p>
    <w:p w14:paraId="75FF7211" w14:textId="77777777" w:rsidR="00850E92" w:rsidRPr="00142305" w:rsidRDefault="00850E92" w:rsidP="00850E9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Альберт Кан прямо сетует на сложности работы с таким большим количеством работников: «Из работников… очень немногие являются опытными, большинство… имеет небольшой стаж, а многие являются просто учениками… Если бы какая-либо деловая организация в Соединенных Штатах или в какой-либо другой стране имела такой состав работников, то не прошло бы и нескольких месяцев, как эта организация потерпела бы банкротство».</w:t>
      </w:r>
    </w:p>
    <w:p w14:paraId="63C7ECB6" w14:textId="77777777" w:rsidR="00850E92" w:rsidRPr="00142305" w:rsidRDefault="00850E92" w:rsidP="00850E9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Кроме большого числа работников, была проблема частой ротации кадров. Это вызывало недовольство инженеров Кана, но зато позволило большому числу советских специалистов получить бесценный опыт (25170).</w:t>
      </w:r>
    </w:p>
    <w:p w14:paraId="07D0E9BF" w14:textId="77777777" w:rsidR="00850E92" w:rsidRPr="00142305" w:rsidRDefault="00850E92" w:rsidP="00850E92">
      <w:pPr>
        <w:spacing w:after="0" w:line="240" w:lineRule="auto"/>
        <w:jc w:val="both"/>
        <w:rPr>
          <w:rFonts w:ascii="Times New Roman" w:hAnsi="Times New Roman"/>
          <w:color w:val="0070C0"/>
          <w:sz w:val="16"/>
          <w:szCs w:val="16"/>
        </w:rPr>
      </w:pPr>
    </w:p>
    <w:p w14:paraId="2B6BCA67"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61408C63"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F766002" w14:textId="77777777" w:rsidR="00EE2602" w:rsidRPr="005E779E" w:rsidRDefault="00EE2602" w:rsidP="00EE2602">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Где-то в мае 1931 Я.И.Алкснис был назначен начальников УВВС (1053,38).</w:t>
      </w:r>
    </w:p>
    <w:p w14:paraId="6B4DEE36" w14:textId="77777777" w:rsidR="00EE2602" w:rsidRPr="005E779E" w:rsidRDefault="00EE2602" w:rsidP="00EE2602">
      <w:pPr>
        <w:autoSpaceDE w:val="0"/>
        <w:autoSpaceDN w:val="0"/>
        <w:adjustRightInd w:val="0"/>
        <w:spacing w:after="0" w:line="240" w:lineRule="auto"/>
        <w:jc w:val="both"/>
        <w:rPr>
          <w:rFonts w:ascii="Times New Roman" w:hAnsi="Times New Roman"/>
          <w:color w:val="000000" w:themeColor="text1"/>
          <w:sz w:val="16"/>
          <w:szCs w:val="16"/>
        </w:rPr>
      </w:pPr>
    </w:p>
    <w:p w14:paraId="2EC25B64" w14:textId="77777777" w:rsidR="00850E92" w:rsidRPr="00142305" w:rsidRDefault="00850E92" w:rsidP="00850E9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мае 1931 г. накануне своего ухода из ВВС П. И. Баранов выступил в «ВВФ» со ста</w:t>
      </w:r>
      <w:r w:rsidRPr="00142305">
        <w:rPr>
          <w:rFonts w:ascii="Times New Roman" w:hAnsi="Times New Roman"/>
          <w:color w:val="0070C0"/>
          <w:sz w:val="16"/>
          <w:szCs w:val="16"/>
        </w:rPr>
        <w:softHyphen/>
        <w:t>тьей: «К летней учебе». В ней он поднял главную проблему военной авиации, заключавшуюся в противоречии между безопасностью полетов и эффективно</w:t>
      </w:r>
      <w:r w:rsidRPr="00142305">
        <w:rPr>
          <w:rFonts w:ascii="Times New Roman" w:hAnsi="Times New Roman"/>
          <w:color w:val="0070C0"/>
          <w:sz w:val="16"/>
          <w:szCs w:val="16"/>
        </w:rPr>
        <w:softHyphen/>
        <w:t>стью боевой подготовки. Заслуживает внимания важное замечание П. И. Бара</w:t>
      </w:r>
      <w:r w:rsidRPr="00142305">
        <w:rPr>
          <w:rFonts w:ascii="Times New Roman" w:hAnsi="Times New Roman"/>
          <w:color w:val="0070C0"/>
          <w:sz w:val="16"/>
          <w:szCs w:val="16"/>
        </w:rPr>
        <w:softHyphen/>
        <w:t>нова о том, что упрощение боевой учебы не является средством снижения ава</w:t>
      </w:r>
      <w:r w:rsidRPr="00142305">
        <w:rPr>
          <w:rFonts w:ascii="Times New Roman" w:hAnsi="Times New Roman"/>
          <w:color w:val="0070C0"/>
          <w:sz w:val="16"/>
          <w:szCs w:val="16"/>
        </w:rPr>
        <w:softHyphen/>
        <w:t>рийности. Изложено это было так: «Изжитие аварийности должно быть достиг</w:t>
      </w:r>
      <w:r w:rsidRPr="00142305">
        <w:rPr>
          <w:rFonts w:ascii="Times New Roman" w:hAnsi="Times New Roman"/>
          <w:color w:val="0070C0"/>
          <w:sz w:val="16"/>
          <w:szCs w:val="16"/>
        </w:rPr>
        <w:softHyphen/>
        <w:t>нуто только при повышении темпов качества и результатов учебно-боевой под</w:t>
      </w:r>
      <w:r w:rsidRPr="00142305">
        <w:rPr>
          <w:rFonts w:ascii="Times New Roman" w:hAnsi="Times New Roman"/>
          <w:color w:val="0070C0"/>
          <w:sz w:val="16"/>
          <w:szCs w:val="16"/>
        </w:rPr>
        <w:softHyphen/>
        <w:t>готовки. (...) Низкое качество боевой подготовки может дать только внешнее, кажущееся снижение аварийности, так как при повышении требований, законо</w:t>
      </w:r>
      <w:r w:rsidRPr="00142305">
        <w:rPr>
          <w:rFonts w:ascii="Times New Roman" w:hAnsi="Times New Roman"/>
          <w:color w:val="0070C0"/>
          <w:sz w:val="16"/>
          <w:szCs w:val="16"/>
        </w:rPr>
        <w:softHyphen/>
        <w:t>мерных в боевых условиях, выявится фактическая неспособность справиться с трудными задачами боевой деятельности» (Баранов П. И. К летней учебе / Петр Баранов // ВВФ. - 1931. - № 5-6. - С. 2-3). Сказано было в этой статье (по сути, она была напутствием для ВВС) и о необходимости в боевой подготовке усили</w:t>
      </w:r>
      <w:r w:rsidRPr="00142305">
        <w:rPr>
          <w:rFonts w:ascii="Times New Roman" w:hAnsi="Times New Roman"/>
          <w:color w:val="0070C0"/>
          <w:sz w:val="16"/>
          <w:szCs w:val="16"/>
        </w:rPr>
        <w:softHyphen/>
        <w:t>вать специализацию родов авиации (24968).</w:t>
      </w:r>
    </w:p>
    <w:p w14:paraId="7138E983" w14:textId="77777777" w:rsidR="00850E92" w:rsidRPr="00142305" w:rsidRDefault="00850E92" w:rsidP="00850E92">
      <w:pPr>
        <w:spacing w:after="0" w:line="240" w:lineRule="auto"/>
        <w:jc w:val="both"/>
        <w:rPr>
          <w:rFonts w:ascii="Times New Roman" w:hAnsi="Times New Roman"/>
          <w:color w:val="0070C0"/>
          <w:sz w:val="16"/>
          <w:szCs w:val="16"/>
        </w:rPr>
      </w:pPr>
    </w:p>
    <w:p w14:paraId="045689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1931 г., когда серийные ВАП-4 получила 56-я эскадрилья, летавшая на бипланах Р-1, началось их реальное освоение в войсках. В этот период Р-1 были быстро вытеснены из легкобомбардировочной авиации новыми самолетами Р-5. Именно они стали основными носителями химического оружия. К осени 1932 г. ВВС РККА теоретически могли выставить под сотню машин, оснащенных выливными приборами. Обычно комплект из четырех ВАП-4 выдавали на половину парка самолетов бригады. С 1936 г. часть бригад получила статус особых химических, им выливные приборы полагались на все машины.</w:t>
      </w:r>
    </w:p>
    <w:p w14:paraId="06F652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 мало было наладить производство ВАП. Требовалось создать запасы самого химического оружия, оборудовать тыловые склады ВВС, построить помещения для хранения ОВ на аэродромах. Поначалу проверяющие комиссии приходили в ужас, обнаружив бочки с ипритом стоящими где-нибудь возле ангаров. Но и этого было мало. При недостаточно осторожном обращении химическое оружие становилось опаснее для своих, чем для врага. Значит, нужно было обучить специалистов, отработать технологию безопасной заправки ВАП, снабдить людей средствами индивидуальной защиты.</w:t>
      </w:r>
    </w:p>
    <w:p w14:paraId="32D110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Летный состав тоже требовалось обучать и защищать. Обучать надо было тактике и технике применения ВАП, а защищать - от почти неизбежного забрызгивания самолетов. Пары ОВ попадали в кабины, которые и у Р-1, и у Р-5 были открытыми. Поэтому летали в противогазах, иногда в специальных комбинезонах. И вы- ливные приборы, и сами самолеты по возвращении на аэродром подлежали дегазации.</w:t>
      </w:r>
    </w:p>
    <w:p w14:paraId="196D11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Техника и тактика применения химического оружия отрабатывались на Центральном военно-химическом полигоне (ЦВХП) в Шиханах. Его обслуживал 36-й отдельный авиаотряд. Там имелись специальные мишенные городки с размещенными в них животными - собаками и свиньями. Их поливали настоящими боевыми растворами, оценивая их эффективность. На ЦВХП периодически отправляли подразделения из строевых частей, давая им возможность поработать в условиях, приближенных к боевым.</w:t>
      </w:r>
    </w:p>
    <w:p w14:paraId="08474B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На учениях же, проходивших в разных частях страны, чаще заливали в ВАП подкрашенную воду. Иногда в ход пускали разбавленную дымовую смесь. Реже пользовались боевыми ОВ, но сильно разбавленными (обычно до 5%). Считалось, что при этом войска на земле будут за- </w:t>
      </w:r>
    </w:p>
    <w:p w14:paraId="322E22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щищаться всерьез, не пренебрегая противогазами и накидками.</w:t>
      </w:r>
    </w:p>
    <w:p w14:paraId="2EDD4B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этом происходило множество курьезных историй. Атаковать предписывалось с бреющего полета. Нередко, увлекаясь выполнением задачи, летчики за что-то цеплялись. В феврале 1935 г. пилот Жданов из 85-го отдельного отряда, поливая танковый батальон на шоссе, не успел увернуться от телеграфного столба. Р-5 с поломанным шасси и пробитым радиатором приземлился тут же на поле у дороги. Жданов и его летнаб остались целы, но после разбора полетов летчик на трое суток отправился на гауптвахту.</w:t>
      </w:r>
    </w:p>
    <w:p w14:paraId="7AA654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Немало известно случаев ошибочных атак не на те цели. На "счету" 81-й штурмовой бригады таким образом оказались аэродром в Харькове, гражданские объекты в Лебединской и Рогани. Аэродром полили разбавленной дымообразующей смесью. Капли попортили лак и краску но стоявших на поле самолетах, в ремонт </w:t>
      </w:r>
      <w:r w:rsidRPr="005E779E">
        <w:rPr>
          <w:rFonts w:ascii="Times New Roman" w:hAnsi="Times New Roman"/>
          <w:color w:val="000000" w:themeColor="text1"/>
          <w:sz w:val="16"/>
          <w:szCs w:val="16"/>
        </w:rPr>
        <w:lastRenderedPageBreak/>
        <w:t>отправились 14 машин. Учебный аэродром в Рогани попадал под удары "химиков" неоднократно. 29 июля 1937 г. штурмовики ССС из-за навигационной ошибки ведущего обработали не авиабазу "синих", а линейку самолетов летной школы. В результате в госпиталь попали три десятка курсантов, инструкторов и технарей. Раствор разъел лак и вызвал отслоение полотняной обтяжки учебных машин. Последовала жалоба в штаб округа. Действия летчиков в ней в духе времени характеризовались как "явное вредительство". Был случай, когда вместо мотопехоты под удар попала колонна грузовиков со свеклой (11931).</w:t>
      </w:r>
    </w:p>
    <w:p w14:paraId="59FA10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C203CF8" w14:textId="77777777" w:rsidR="00850E92" w:rsidRPr="00142305" w:rsidRDefault="00850E92" w:rsidP="00850E9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мае 1931 года было создано Управление начальника связи ВВС, которое участвовало в обеспечении работы средств самолётовождения по радио и в передаче по радио информации о метеорологической обстановке по маршруту полёта самолётов. Большой вклад в организацию войск связи ВВС внёс первый их начальник генерал-лейтенант авиации Г.К. Гвоздков, исполнявший эту должность с 1931 по 1946 год (25129).</w:t>
      </w:r>
    </w:p>
    <w:p w14:paraId="7BCFE788" w14:textId="77777777" w:rsidR="00850E92" w:rsidRPr="00142305" w:rsidRDefault="00850E92" w:rsidP="00850E92">
      <w:pPr>
        <w:spacing w:after="0" w:line="240" w:lineRule="auto"/>
        <w:jc w:val="both"/>
        <w:rPr>
          <w:rFonts w:ascii="Times New Roman" w:hAnsi="Times New Roman"/>
          <w:color w:val="0070C0"/>
          <w:sz w:val="16"/>
          <w:szCs w:val="16"/>
        </w:rPr>
      </w:pPr>
    </w:p>
    <w:p w14:paraId="622FEBCC"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6375D3B7"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A47EE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Май 1931 г. При УРКМ г.Москвы создан отряд регулирования уличного движения (РУД) (10303).</w:t>
      </w:r>
    </w:p>
    <w:p w14:paraId="74A1B1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A31B211" w14:textId="77777777" w:rsidR="005C4849" w:rsidRPr="005E779E" w:rsidRDefault="005C4849" w:rsidP="000B7A6C">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мае 1931 г. «Через 15 месяцев после подписания договора... Мориц Кан так описывал размеры московского бюро: "Госпроектстрой существует всего только год. Раньше наше бюро в Детройте, насчитывающее в обычное время от 400 до 500 архитекторов, инженеров и чертёжников, считалось самым большим в мире. Госпроектстрой сейчас насчитывает около 600 сотрудников в московском бюро, не считая студентов, ещё 150 будут вскоре приняты. В бюро в Ленинграде — 300 сотрудников, в Харькове — 100"» (Senkevitch, Anatole. Albert Kahn in Russland. Bauwelt, 1995. Heft 48. S. 2814 — 2815) (11596). </w:t>
      </w:r>
    </w:p>
    <w:p w14:paraId="5F893255" w14:textId="77777777" w:rsidR="005C4849" w:rsidRPr="005E779E" w:rsidRDefault="005C4849" w:rsidP="000B7A6C">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p>
    <w:p w14:paraId="2D5CBFF8" w14:textId="77777777" w:rsidR="0033769F" w:rsidRPr="005E779E" w:rsidRDefault="0033769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Май 1931</w:t>
      </w:r>
    </w:p>
    <w:p w14:paraId="5A3D65CF" w14:textId="77777777" w:rsidR="0033769F" w:rsidRPr="005E779E" w:rsidRDefault="0033769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Письмо члена ЦКК ВКП(б) [В. Г.] Фейгина Е. М. Ярославскому о результатах расследования «дела проф. Линника». [Май] 1931 г.</w:t>
      </w:r>
    </w:p>
    <w:p w14:paraId="00779271" w14:textId="77777777" w:rsidR="0033769F" w:rsidRPr="005E779E" w:rsidRDefault="0033769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Источник: </w:t>
      </w:r>
    </w:p>
    <w:p w14:paraId="06399D2C" w14:textId="77777777" w:rsidR="0033769F" w:rsidRPr="005E779E" w:rsidRDefault="0033769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B4F433A" w14:textId="77777777" w:rsidR="0033769F" w:rsidRPr="005E779E" w:rsidRDefault="0033769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[Май] 1931 г.</w:t>
      </w:r>
    </w:p>
    <w:p w14:paraId="5AD2EDC8" w14:textId="77777777" w:rsidR="0033769F" w:rsidRPr="005E779E" w:rsidRDefault="0033769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Секретно.</w:t>
      </w:r>
    </w:p>
    <w:p w14:paraId="68F8E6D9" w14:textId="77777777" w:rsidR="0033769F" w:rsidRPr="005E779E" w:rsidRDefault="0033769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ЦКК ВКП(б)</w:t>
      </w:r>
    </w:p>
    <w:p w14:paraId="2FBD00D4" w14:textId="77777777" w:rsidR="0033769F" w:rsidRPr="005E779E" w:rsidRDefault="0033769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тов. ЯРОСЛАВСКОМУ.</w:t>
      </w:r>
    </w:p>
    <w:p w14:paraId="00D5915F" w14:textId="77777777" w:rsidR="0033769F" w:rsidRPr="005E779E" w:rsidRDefault="0033769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 расследования порученного мне Вами дела проф. ЛИННИКА в связи с опубликованием в газете «За Индустриализацию» статьи тов. Горского, обвиняющего проф. ЛИННИКА в потворстве деятельности вредителя ФЕДОТОВА выяснилось следующее:</w:t>
      </w:r>
    </w:p>
    <w:p w14:paraId="1C36A083" w14:textId="77777777" w:rsidR="0033769F" w:rsidRPr="005E779E" w:rsidRDefault="0033769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Проф. ЛИННИК — один из немногих членов ВКП(б) с 1919 г. не только не ходил на поводу у ФЕДОТОВА, оказавшегося впоследствии членом ЦК Промпартии, но, наоборот, еще в июне 19&lt;29&gt; г. сигнализировал о вредительской деятельности ФЕДОТОВА в области научно-исследовательской работы по лубяным волокнам.</w:t>
      </w:r>
    </w:p>
    <w:p w14:paraId="76B88180" w14:textId="77777777" w:rsidR="0033769F" w:rsidRPr="005E779E" w:rsidRDefault="0033769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своем заявлении на имя тов. БУХАРИНА, КИЛЕВИЦА и БРАГИНСКОГО проф. ЛИННИК предупреждал, что проф. ФЕДОТОВ, в то время Председатель «НИТИ», препятствует изучению машин по текстилю, препятствует испытанию ватера ЗВОРКИНА. развалил бюро по изучению текстильных машин, учинил разгром (подлинное выражение проф. ЛИННИКА) отдела лубяных волокон, задержал рассмотрение уже законченной работы по изучению льна-кудряша. провалил программу и план подготовки стажеров и аспирантов, отказался печатать законченные научно-исслеловательские работы «НИТИ» и пр.</w:t>
      </w:r>
    </w:p>
    <w:p w14:paraId="1F4D14E2" w14:textId="77777777" w:rsidR="0033769F" w:rsidRPr="005E779E" w:rsidRDefault="0033769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Отсюда проф. ЛИННИК делал вывод выраженный им следующими словами: «Злейшие враги Советской власти, пожалуй[,] не смогли бы так портить темп научно-исследовательской работы», как проф. ФЕДОТОВ.</w:t>
      </w:r>
    </w:p>
    <w:p w14:paraId="6B26EA41" w14:textId="77777777" w:rsidR="0033769F" w:rsidRPr="005E779E" w:rsidRDefault="0033769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 это было сообщено еще до раскрытия вредительской деятельности ФЕДОТОВА т. БУХАРИНУ, КИЛЕВИЦУ и БРАГИНСКОМУ.</w:t>
      </w:r>
    </w:p>
    <w:p w14:paraId="4EF5BCBE" w14:textId="77777777" w:rsidR="0033769F" w:rsidRPr="005E779E" w:rsidRDefault="0033769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Почему это заявление не получило движения, мною еще до конца не расследовано.</w:t>
      </w:r>
    </w:p>
    <w:p w14:paraId="4456AC0D" w14:textId="77777777" w:rsidR="0033769F" w:rsidRPr="005E779E" w:rsidRDefault="0033769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Газета «За Индустриализацию», имея эти документы, говорящие о том, что проф. ЛИННИК бил в набат, все же ошельмовала его в ст[атье] тов. ГОРСКОГО и отказалась к тому же печатать опровержение проф. ЛИННИКА.</w:t>
      </w:r>
    </w:p>
    <w:p w14:paraId="4C133F32" w14:textId="77777777" w:rsidR="0033769F" w:rsidRPr="005E779E" w:rsidRDefault="0033769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коммунистическим приветом</w:t>
      </w:r>
    </w:p>
    <w:p w14:paraId="196C3E27" w14:textId="77777777" w:rsidR="0033769F" w:rsidRPr="005E779E" w:rsidRDefault="0033769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(Фейгин)</w:t>
      </w:r>
    </w:p>
    <w:p w14:paraId="6899219A" w14:textId="77777777" w:rsidR="0033769F" w:rsidRPr="005E779E" w:rsidRDefault="0033769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 356. Л. 136. Машинописная копия того времени. Вверху справа напечатано «Копия», ниже «Секретно». В третьем абзаце «В своем заявлении на имя тов. БУХАРИНА, КИЛЕВИЦА и БРАГИНСКОГО [...]» после фамилии Брагинского проставлен надстрочный знак «х)»; внизу листа после машинописного текста под этим же знаком написано от руки чернилами: «Записка к т. Бухарину не попала, т. к. проф. Линник решил ограничиться посылкой ее лишь во фракцию [ВТС] т. Килевицу. Верно: &lt;В. ...&gt; 31.V-31[г.]» (подпись неразборчива). Датируется по этой помете и препроводительной записке Ем. Ярославского (Л. 135) от 31 мая 1931 г.: «Секретно. Лично. Тов. АНДРЕЕВУ. Тов. СТАЛИНУ. Посылаю копию записки члена ЦКК, тов. ФЕЙГИНА, по делу профессора] ЛИННИКА. ПРИЛОЖЕНИЕ: на 1 листе. Ем. Ярославский». Машинописный подлинник на листке из именного блокнота Ем. Ярославского, подпись- автограф. Грифы «Секретно. Лично» написаны рукой Ярославского вверху справа; дата «31 мая 1931 г.» машинописью (число от руки) (18673).</w:t>
      </w:r>
    </w:p>
    <w:p w14:paraId="55AAFD11" w14:textId="77777777" w:rsidR="0033769F" w:rsidRPr="005E779E" w:rsidRDefault="0033769F" w:rsidP="000B7A6C">
      <w:pPr>
        <w:spacing w:after="0" w:line="240" w:lineRule="auto"/>
        <w:jc w:val="both"/>
        <w:rPr>
          <w:rFonts w:ascii="Times New Roman" w:hAnsi="Times New Roman"/>
          <w:color w:val="000000" w:themeColor="text1"/>
          <w:sz w:val="16"/>
          <w:szCs w:val="16"/>
        </w:rPr>
      </w:pPr>
    </w:p>
    <w:p w14:paraId="1BBB5323"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Внешняя политика:</w:t>
      </w:r>
    </w:p>
    <w:p w14:paraId="7C713702"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E584B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1931 года (Даллин Д. Шпионаж по-советски. — М., 2001, с. 113—116.) в Германии арестовали вторую группу советских разведчиков, руководимую Л. Хоффманом, которая состояла из рабочих коммунистов с верфей Бремена и Гамбурга (11765).</w:t>
      </w:r>
    </w:p>
    <w:p w14:paraId="3C4221D5" w14:textId="0046F0A1"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C89EEC3" w14:textId="34947C42" w:rsidR="00C573D5" w:rsidRPr="005E779E" w:rsidRDefault="00C573D5" w:rsidP="000B7A6C">
      <w:pPr>
        <w:autoSpaceDE w:val="0"/>
        <w:autoSpaceDN w:val="0"/>
        <w:adjustRightInd w:val="0"/>
        <w:spacing w:after="0" w:line="240" w:lineRule="auto"/>
        <w:jc w:val="both"/>
        <w:rPr>
          <w:rFonts w:ascii="Times New Roman" w:hAnsi="Times New Roman"/>
          <w:i/>
          <w:iCs/>
          <w:color w:val="000000" w:themeColor="text1"/>
          <w:sz w:val="16"/>
          <w:szCs w:val="16"/>
        </w:rPr>
      </w:pPr>
      <w:r w:rsidRPr="005E779E">
        <w:rPr>
          <w:rFonts w:ascii="Times New Roman" w:hAnsi="Times New Roman"/>
          <w:i/>
          <w:iCs/>
          <w:color w:val="000000" w:themeColor="text1"/>
          <w:sz w:val="16"/>
          <w:szCs w:val="16"/>
        </w:rPr>
        <w:t>За рубежом:</w:t>
      </w:r>
    </w:p>
    <w:p w14:paraId="23910423" w14:textId="77777777" w:rsidR="00C573D5" w:rsidRPr="005E779E" w:rsidRDefault="00C573D5" w:rsidP="000B7A6C">
      <w:pPr>
        <w:autoSpaceDE w:val="0"/>
        <w:autoSpaceDN w:val="0"/>
        <w:adjustRightInd w:val="0"/>
        <w:spacing w:after="0" w:line="240" w:lineRule="auto"/>
        <w:jc w:val="both"/>
        <w:rPr>
          <w:rFonts w:ascii="Times New Roman" w:hAnsi="Times New Roman"/>
          <w:i/>
          <w:iCs/>
          <w:color w:val="000000" w:themeColor="text1"/>
          <w:sz w:val="16"/>
          <w:szCs w:val="16"/>
        </w:rPr>
      </w:pPr>
    </w:p>
    <w:p w14:paraId="6C4258D2" w14:textId="77777777" w:rsidR="00C573D5" w:rsidRPr="005E779E" w:rsidRDefault="00C573D5" w:rsidP="000B7A6C">
      <w:pPr>
        <w:spacing w:after="0" w:line="240" w:lineRule="auto"/>
        <w:jc w:val="both"/>
        <w:rPr>
          <w:rFonts w:ascii="Times New Roman" w:hAnsi="Times New Roman"/>
          <w:color w:val="000000" w:themeColor="text1"/>
          <w:sz w:val="16"/>
          <w:szCs w:val="16"/>
          <w:shd w:val="clear" w:color="auto" w:fill="FFFFFF"/>
        </w:rPr>
      </w:pPr>
      <w:r w:rsidRPr="005E779E">
        <w:rPr>
          <w:rFonts w:ascii="Times New Roman" w:hAnsi="Times New Roman"/>
          <w:color w:val="000000" w:themeColor="text1"/>
          <w:sz w:val="16"/>
          <w:szCs w:val="16"/>
          <w:shd w:val="clear" w:color="auto" w:fill="FFFFFF"/>
        </w:rPr>
        <w:t>В мае 1931 английская путешественница Монтегю (Edwin Montague) прилетела в СССР из Персии. Монтегю летела на самолете «Де Хэвеленд» DH.60G «Джипси Мот» (Gipsy Moth), который пилотировал летчик Руперт Бельвиль (Rupert Belville). Монтегю и Бельвиль летели по маршруту: Лондон – Мюнхен – Вена – Будапешт – Белград – София – Константинополь – Багдад – Исфахан – Тегеран – Ашхабад – Чарджоу – Ташкент – Челкар – Оренбург – Самара – Пенза – Москва – Смоленск – Берлин – Лондон (21438).</w:t>
      </w:r>
    </w:p>
    <w:p w14:paraId="485659CA" w14:textId="77777777" w:rsidR="00C573D5" w:rsidRPr="005E779E" w:rsidRDefault="00C573D5" w:rsidP="000B7A6C">
      <w:pPr>
        <w:spacing w:after="0" w:line="240" w:lineRule="auto"/>
        <w:jc w:val="both"/>
        <w:rPr>
          <w:rFonts w:ascii="Times New Roman" w:hAnsi="Times New Roman"/>
          <w:color w:val="000000" w:themeColor="text1"/>
          <w:sz w:val="16"/>
          <w:szCs w:val="16"/>
          <w:shd w:val="clear" w:color="auto" w:fill="FFFFFF"/>
        </w:rPr>
      </w:pPr>
    </w:p>
    <w:p w14:paraId="33BF6AA2" w14:textId="77777777" w:rsidR="00C573D5" w:rsidRPr="005E779E" w:rsidRDefault="00C573D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мае 1931 состоялся первый полет Berliner-Joyce XOJ-1, прототипа Berliner-Joyce OJ (20804). </w:t>
      </w:r>
    </w:p>
    <w:p w14:paraId="516A90EF" w14:textId="77777777" w:rsidR="00C573D5" w:rsidRPr="005E779E" w:rsidRDefault="00C573D5" w:rsidP="000B7A6C">
      <w:pPr>
        <w:spacing w:after="0" w:line="240" w:lineRule="auto"/>
        <w:jc w:val="both"/>
        <w:rPr>
          <w:rFonts w:ascii="Times New Roman" w:hAnsi="Times New Roman"/>
          <w:color w:val="000000" w:themeColor="text1"/>
          <w:sz w:val="16"/>
          <w:szCs w:val="16"/>
        </w:rPr>
      </w:pPr>
    </w:p>
    <w:p w14:paraId="5018B242"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5E7B6B8F"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059C627" w14:textId="77777777" w:rsidR="00991B16" w:rsidRPr="005E779E" w:rsidRDefault="00991B16" w:rsidP="00991B16">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 июне 1931 г. М-19 Облетывался на самолете Р-5. Готовился к серийному производству на заводе № 24. С февраля 1930 г. делалась малая серия из 10 экз.</w:t>
      </w:r>
    </w:p>
    <w:p w14:paraId="7F1395D0" w14:textId="77777777" w:rsidR="00991B16" w:rsidRPr="005E779E" w:rsidRDefault="00991B16" w:rsidP="00991B16">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Характеристики:</w:t>
      </w:r>
    </w:p>
    <w:p w14:paraId="2D674FFD" w14:textId="77777777" w:rsidR="00991B16" w:rsidRPr="005E779E" w:rsidRDefault="00991B16" w:rsidP="00991B16">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12-цилиндровый, рядный У-образный, четырехтактный, водяного охлаждения, с односкоростным ПЦН;</w:t>
      </w:r>
    </w:p>
    <w:p w14:paraId="6F746776" w14:textId="77777777" w:rsidR="00991B16" w:rsidRPr="005E779E" w:rsidRDefault="00991B16" w:rsidP="00991B16">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мощность в зависимости от модификации;</w:t>
      </w:r>
    </w:p>
    <w:p w14:paraId="5FB20FCD" w14:textId="77777777" w:rsidR="00991B16" w:rsidRPr="005E779E" w:rsidRDefault="00991B16" w:rsidP="00991B16">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степень сжатия 6,4;</w:t>
      </w:r>
    </w:p>
    <w:p w14:paraId="4D152814" w14:textId="77777777" w:rsidR="00991B16" w:rsidRPr="005E779E" w:rsidRDefault="00991B16" w:rsidP="00991B16">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диаметр цилиндра/ход поршня 135/160 мм;</w:t>
      </w:r>
    </w:p>
    <w:p w14:paraId="3FAF63BA" w14:textId="77777777" w:rsidR="00991B16" w:rsidRPr="005E779E" w:rsidRDefault="00991B16" w:rsidP="00991B16">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объем 27,47 л;</w:t>
      </w:r>
    </w:p>
    <w:p w14:paraId="4691B5F4" w14:textId="77777777" w:rsidR="00991B16" w:rsidRPr="005E779E" w:rsidRDefault="00991B16" w:rsidP="00991B16">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степень сжатия 6,4;</w:t>
      </w:r>
    </w:p>
    <w:p w14:paraId="5EFE343F" w14:textId="77777777" w:rsidR="00991B16" w:rsidRPr="005E779E" w:rsidRDefault="00991B16" w:rsidP="00991B16">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безредукторный, с ПЦН;</w:t>
      </w:r>
    </w:p>
    <w:p w14:paraId="59273039" w14:textId="77777777" w:rsidR="00991B16" w:rsidRPr="005E779E" w:rsidRDefault="00991B16" w:rsidP="00991B16">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вес 475 кг (без втулки винта, синхронизатора и бензонасоса). Известны следующие модификации:</w:t>
      </w:r>
    </w:p>
    <w:p w14:paraId="4F71E4A8" w14:textId="77777777" w:rsidR="00991B16" w:rsidRPr="005E779E" w:rsidRDefault="00991B16" w:rsidP="00991B16">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М-19 (М-19К), основной вариант мощностью 500/600 л.с. (фактиче</w:t>
      </w:r>
      <w:r w:rsidRPr="005E779E">
        <w:rPr>
          <w:rFonts w:ascii="Times New Roman" w:hAnsi="Times New Roman"/>
          <w:color w:val="000000" w:themeColor="text1"/>
          <w:sz w:val="16"/>
          <w:szCs w:val="16"/>
        </w:rPr>
        <w:softHyphen/>
        <w:t>ски 525/604 л.с.); построены и испытаны три экземпляра. Второй и третий экземпляры выполнялись с укороченной (уменьшенного диа</w:t>
      </w:r>
      <w:r w:rsidRPr="005E779E">
        <w:rPr>
          <w:rFonts w:ascii="Times New Roman" w:hAnsi="Times New Roman"/>
          <w:color w:val="000000" w:themeColor="text1"/>
          <w:sz w:val="16"/>
          <w:szCs w:val="16"/>
        </w:rPr>
        <w:softHyphen/>
        <w:t>метра) крыльчаткой ПЦН.</w:t>
      </w:r>
    </w:p>
    <w:p w14:paraId="5F5DD4B9" w14:textId="77777777" w:rsidR="00991B16" w:rsidRPr="005E779E" w:rsidRDefault="00991B16" w:rsidP="00991B16">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М-19а, усовершенствованный вариант мощностью 600/650 л.с. с но</w:t>
      </w:r>
      <w:r w:rsidRPr="005E779E">
        <w:rPr>
          <w:rFonts w:ascii="Times New Roman" w:hAnsi="Times New Roman"/>
          <w:color w:val="000000" w:themeColor="text1"/>
          <w:sz w:val="16"/>
          <w:szCs w:val="16"/>
        </w:rPr>
        <w:softHyphen/>
        <w:t>вым блоком головок и измененным механизмом привода ПЦН. Про</w:t>
      </w:r>
      <w:r w:rsidRPr="005E779E">
        <w:rPr>
          <w:rFonts w:ascii="Times New Roman" w:hAnsi="Times New Roman"/>
          <w:color w:val="000000" w:themeColor="text1"/>
          <w:sz w:val="16"/>
          <w:szCs w:val="16"/>
        </w:rPr>
        <w:softHyphen/>
        <w:t>ектировался в ИАМ в 1931 г., опытный образец не изготавливался.</w:t>
      </w:r>
    </w:p>
    <w:p w14:paraId="2DB6B94A" w14:textId="77777777" w:rsidR="00991B16" w:rsidRPr="005E779E" w:rsidRDefault="00991B16" w:rsidP="00991B16">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М-19с, проект варианта со стальными рубашками блоков и новым клапанным механизмом, должен был стать основой для двигателя М-30.</w:t>
      </w:r>
    </w:p>
    <w:p w14:paraId="55EF1DEE" w14:textId="77777777" w:rsidR="00991B16" w:rsidRPr="005E779E" w:rsidRDefault="00991B16" w:rsidP="00991B16">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Планировались варианты с редуктором, двухскоростным и трехскорост-ным ПЦН.</w:t>
      </w:r>
    </w:p>
    <w:p w14:paraId="515C0954" w14:textId="77777777" w:rsidR="00991B16" w:rsidRPr="005E779E" w:rsidRDefault="00991B16" w:rsidP="00991B16">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Устанавливался на одном из опытных образцов самолета Р-5. Предла</w:t>
      </w:r>
      <w:r w:rsidRPr="005E779E">
        <w:rPr>
          <w:rFonts w:ascii="Times New Roman" w:hAnsi="Times New Roman"/>
          <w:color w:val="000000" w:themeColor="text1"/>
          <w:sz w:val="16"/>
          <w:szCs w:val="16"/>
        </w:rPr>
        <w:softHyphen/>
        <w:t>галось также использовать его на истребителе ДИ-4 (11852).</w:t>
      </w:r>
    </w:p>
    <w:p w14:paraId="52DEBB7F" w14:textId="77777777" w:rsidR="00991B16" w:rsidRPr="005E779E" w:rsidRDefault="00991B16" w:rsidP="00991B16">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DA48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 мае-ноябре 1931 на ЧМ в районе Качи состоялись гос. испытания высотной торпеды ТАВ-15. Председателем комиссии был Командующий ЧФ В.К.Лавров (1085,126).</w:t>
      </w:r>
    </w:p>
    <w:p w14:paraId="340E0B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9DC34D3"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2FE337C7"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ADF9E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мае-июне 1931 танк Н.И.Дыренкова Д-10 прошел испытания на НИБТ полигоне. На вооружение принят не был (9527,88).</w:t>
      </w:r>
    </w:p>
    <w:p w14:paraId="2FDC83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9A8F6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мае-июне 1931 прошел испытания на НИБТ полигоне изготовленный весной 1931 опытный образец десантного танка Д-14, разработанного ОКИБ УММ Н.И.Дыренкова. Показал неплохие качества, но выявилась слабость силовой установки из-за неудачного охлаждения, плохой обзор, перегрузка задних тележек (9527,206).</w:t>
      </w:r>
    </w:p>
    <w:p w14:paraId="220D48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2AD0D7F"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73EBA4DD"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D72BA17" w14:textId="77777777" w:rsidR="00D37260" w:rsidRPr="00142305" w:rsidRDefault="00D37260" w:rsidP="00D3726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Весной 1931 г. был сформулирован до</w:t>
      </w:r>
      <w:r w:rsidRPr="00142305">
        <w:rPr>
          <w:rFonts w:ascii="Times New Roman" w:hAnsi="Times New Roman"/>
          <w:color w:val="0070C0"/>
          <w:sz w:val="16"/>
          <w:szCs w:val="16"/>
        </w:rPr>
        <w:softHyphen/>
        <w:t>кумент «Система во</w:t>
      </w:r>
      <w:r w:rsidRPr="00142305">
        <w:rPr>
          <w:rFonts w:ascii="Times New Roman" w:hAnsi="Times New Roman"/>
          <w:color w:val="0070C0"/>
          <w:sz w:val="16"/>
          <w:szCs w:val="16"/>
        </w:rPr>
        <w:softHyphen/>
        <w:t>оружения ВВС РКККА на 1932-34 гг.», пред</w:t>
      </w:r>
      <w:r w:rsidRPr="00142305">
        <w:rPr>
          <w:rFonts w:ascii="Times New Roman" w:hAnsi="Times New Roman"/>
          <w:color w:val="0070C0"/>
          <w:sz w:val="16"/>
          <w:szCs w:val="16"/>
        </w:rPr>
        <w:softHyphen/>
        <w:t>ставлявший собой сумму перспектив</w:t>
      </w:r>
      <w:r w:rsidRPr="00142305">
        <w:rPr>
          <w:rFonts w:ascii="Times New Roman" w:hAnsi="Times New Roman"/>
          <w:color w:val="0070C0"/>
          <w:sz w:val="16"/>
          <w:szCs w:val="16"/>
        </w:rPr>
        <w:softHyphen/>
        <w:t>ных заданий на но</w:t>
      </w:r>
      <w:r w:rsidRPr="00142305">
        <w:rPr>
          <w:rFonts w:ascii="Times New Roman" w:hAnsi="Times New Roman"/>
          <w:color w:val="0070C0"/>
          <w:sz w:val="16"/>
          <w:szCs w:val="16"/>
        </w:rPr>
        <w:softHyphen/>
        <w:t>вые самолеты, двига</w:t>
      </w:r>
      <w:r w:rsidRPr="00142305">
        <w:rPr>
          <w:rFonts w:ascii="Times New Roman" w:hAnsi="Times New Roman"/>
          <w:color w:val="0070C0"/>
          <w:sz w:val="16"/>
          <w:szCs w:val="16"/>
        </w:rPr>
        <w:softHyphen/>
        <w:t>тели, оборудование и вооружение для них. Аналогачно были рассгавлены акценты</w:t>
      </w:r>
      <w:bookmarkStart w:id="34" w:name="bookmark60"/>
      <w:r w:rsidRPr="00142305">
        <w:rPr>
          <w:rFonts w:ascii="Times New Roman" w:hAnsi="Times New Roman"/>
          <w:color w:val="0070C0"/>
          <w:sz w:val="16"/>
          <w:szCs w:val="16"/>
        </w:rPr>
        <w:t xml:space="preserve"> и в Плане опытного самолетостроения и авиационного моторостроения, принятом Реввоенсоветом СССР.</w:t>
      </w:r>
      <w:bookmarkEnd w:id="34"/>
    </w:p>
    <w:p w14:paraId="4559EC95" w14:textId="77777777" w:rsidR="00D37260" w:rsidRPr="00142305" w:rsidRDefault="00D37260" w:rsidP="00D3726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первом из этих документов говорилось: «Основной идеей системы стратегической авиации является базиро</w:t>
      </w:r>
      <w:r w:rsidRPr="00142305">
        <w:rPr>
          <w:rFonts w:ascii="Times New Roman" w:hAnsi="Times New Roman"/>
          <w:color w:val="0070C0"/>
          <w:sz w:val="16"/>
          <w:szCs w:val="16"/>
        </w:rPr>
        <w:softHyphen/>
        <w:t xml:space="preserve">вание на тяжелом бомбардировщике с весом 15 - 18 тонн, с радиусом действия 1000 - 1400 км, бомбовой нагрузкой 3000 - 5000 </w:t>
      </w:r>
      <w:r w:rsidRPr="00142305">
        <w:rPr>
          <w:rFonts w:ascii="Times New Roman" w:hAnsi="Times New Roman"/>
          <w:smallCaps/>
          <w:color w:val="0070C0"/>
          <w:sz w:val="16"/>
          <w:szCs w:val="16"/>
        </w:rPr>
        <w:t>кг,</w:t>
      </w:r>
      <w:r w:rsidRPr="00142305">
        <w:rPr>
          <w:rFonts w:ascii="Times New Roman" w:hAnsi="Times New Roman"/>
          <w:color w:val="0070C0"/>
          <w:sz w:val="16"/>
          <w:szCs w:val="16"/>
        </w:rPr>
        <w:t xml:space="preserve"> потолком 8000 м... с одновременным раз</w:t>
      </w:r>
      <w:r w:rsidRPr="00142305">
        <w:rPr>
          <w:rFonts w:ascii="Times New Roman" w:hAnsi="Times New Roman"/>
          <w:color w:val="0070C0"/>
          <w:sz w:val="16"/>
          <w:szCs w:val="16"/>
        </w:rPr>
        <w:softHyphen/>
        <w:t>витием сверхтяжелого бомбардировщика и доведением его данных до полетного веса 140 - 150 тонн, бомбовой нагруз</w:t>
      </w:r>
      <w:r w:rsidRPr="00142305">
        <w:rPr>
          <w:rFonts w:ascii="Times New Roman" w:hAnsi="Times New Roman"/>
          <w:color w:val="0070C0"/>
          <w:sz w:val="16"/>
          <w:szCs w:val="16"/>
        </w:rPr>
        <w:softHyphen/>
        <w:t>ки до 25 тонн, радиуса действия до 2000 км».</w:t>
      </w:r>
    </w:p>
    <w:p w14:paraId="25D5DD02" w14:textId="77777777" w:rsidR="00D37260" w:rsidRPr="00142305" w:rsidRDefault="00D37260" w:rsidP="00D3726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Таким образом, предполагался постепенный переход ко все больщим по размерам и весу бомбардировщикам. Двух</w:t>
      </w:r>
      <w:r w:rsidRPr="00142305">
        <w:rPr>
          <w:rFonts w:ascii="Times New Roman" w:hAnsi="Times New Roman"/>
          <w:color w:val="0070C0"/>
          <w:sz w:val="16"/>
          <w:szCs w:val="16"/>
        </w:rPr>
        <w:softHyphen/>
        <w:t>моторный ТБ-l уже отощел в разряд мащин войсковой ави</w:t>
      </w:r>
      <w:r w:rsidRPr="00142305">
        <w:rPr>
          <w:rFonts w:ascii="Times New Roman" w:hAnsi="Times New Roman"/>
          <w:color w:val="0070C0"/>
          <w:sz w:val="16"/>
          <w:szCs w:val="16"/>
        </w:rPr>
        <w:softHyphen/>
        <w:t>ации. «Лестница наверх» начиналась с ТБ-3, считавщегося по тогдащней классификации «линкором 2-го класса». Он, с некоторыми отступлениями в части грузоподъемности и потолка, в целом соответствовал требованиям к «базовой», самой массовой мащине стратегической авиации. Затем следовал еще больщий по размерам, но тоже четырехмо</w:t>
      </w:r>
      <w:r w:rsidRPr="00142305">
        <w:rPr>
          <w:rFonts w:ascii="Times New Roman" w:hAnsi="Times New Roman"/>
          <w:color w:val="0070C0"/>
          <w:sz w:val="16"/>
          <w:szCs w:val="16"/>
        </w:rPr>
        <w:softHyphen/>
        <w:t>торный (на деле его выполнили шестимоторным) ТБ-4 - «линкор I-ro класса», также являвшийся детищем А.Н. Ту</w:t>
      </w:r>
      <w:r w:rsidRPr="00142305">
        <w:rPr>
          <w:rFonts w:ascii="Times New Roman" w:hAnsi="Times New Roman"/>
          <w:color w:val="0070C0"/>
          <w:sz w:val="16"/>
          <w:szCs w:val="16"/>
        </w:rPr>
        <w:softHyphen/>
        <w:t>полева. «Дублером» ТБ-4 считался К-7, создававшийся в Харькове под руководством К.А. Калинина.</w:t>
      </w:r>
    </w:p>
    <w:p w14:paraId="188C5724" w14:textId="77777777" w:rsidR="00D37260" w:rsidRPr="00142305" w:rsidRDefault="00D37260" w:rsidP="00D3726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следующей стадии ВВС предполагали получить ог</w:t>
      </w:r>
      <w:r w:rsidRPr="00142305">
        <w:rPr>
          <w:rFonts w:ascii="Times New Roman" w:hAnsi="Times New Roman"/>
          <w:color w:val="0070C0"/>
          <w:sz w:val="16"/>
          <w:szCs w:val="16"/>
        </w:rPr>
        <w:softHyphen/>
        <w:t>ромные сверхтяжелые бомбардировщики. В документах они никак не классифицировались. Наверное, следова</w:t>
      </w:r>
      <w:r w:rsidRPr="00142305">
        <w:rPr>
          <w:rFonts w:ascii="Times New Roman" w:hAnsi="Times New Roman"/>
          <w:color w:val="0070C0"/>
          <w:sz w:val="16"/>
          <w:szCs w:val="16"/>
        </w:rPr>
        <w:softHyphen/>
        <w:t>ло бы их назвать «суперлинкорами» или «дредноутами». В качестве таковых рассматривались туполевский ТБ-6 либо конкурировавший с ним десятимоторный (реально - две</w:t>
      </w:r>
      <w:r w:rsidRPr="00142305">
        <w:rPr>
          <w:rFonts w:ascii="Times New Roman" w:hAnsi="Times New Roman"/>
          <w:color w:val="0070C0"/>
          <w:sz w:val="16"/>
          <w:szCs w:val="16"/>
        </w:rPr>
        <w:softHyphen/>
        <w:t>надцатимоторный) Д-l (он же Г-l), разрабатывавшийся в Военно-воздушной академии. Готовились технические за</w:t>
      </w:r>
      <w:r w:rsidRPr="00142305">
        <w:rPr>
          <w:rFonts w:ascii="Times New Roman" w:hAnsi="Times New Roman"/>
          <w:color w:val="0070C0"/>
          <w:sz w:val="16"/>
          <w:szCs w:val="16"/>
        </w:rPr>
        <w:softHyphen/>
        <w:t>дания на еще большие мащины. «Основное развитие бом</w:t>
      </w:r>
      <w:r w:rsidRPr="00142305">
        <w:rPr>
          <w:rFonts w:ascii="Times New Roman" w:hAnsi="Times New Roman"/>
          <w:color w:val="0070C0"/>
          <w:sz w:val="16"/>
          <w:szCs w:val="16"/>
        </w:rPr>
        <w:softHyphen/>
        <w:t>бардировщиков должно идти по линии стратегической ави</w:t>
      </w:r>
      <w:r w:rsidRPr="00142305">
        <w:rPr>
          <w:rFonts w:ascii="Times New Roman" w:hAnsi="Times New Roman"/>
          <w:color w:val="0070C0"/>
          <w:sz w:val="16"/>
          <w:szCs w:val="16"/>
        </w:rPr>
        <w:softHyphen/>
        <w:t>ации», - указывалось в докладе о перспективах ВВС во 2-й пятилетке (март 1933 г.).</w:t>
      </w:r>
    </w:p>
    <w:p w14:paraId="5AF7C982" w14:textId="77777777" w:rsidR="00D37260" w:rsidRPr="00142305" w:rsidRDefault="00D37260" w:rsidP="00D3726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Командование ВВС намеревалось заказать сотни огром</w:t>
      </w:r>
      <w:r w:rsidRPr="00142305">
        <w:rPr>
          <w:rFonts w:ascii="Times New Roman" w:hAnsi="Times New Roman"/>
          <w:color w:val="0070C0"/>
          <w:sz w:val="16"/>
          <w:szCs w:val="16"/>
        </w:rPr>
        <w:softHyphen/>
        <w:t>ных машин. Одно за другим писались все более экзотичес</w:t>
      </w:r>
      <w:bookmarkStart w:id="35" w:name="bookmark61"/>
      <w:r w:rsidRPr="00142305">
        <w:rPr>
          <w:rFonts w:ascii="Times New Roman" w:hAnsi="Times New Roman"/>
          <w:color w:val="0070C0"/>
          <w:sz w:val="16"/>
          <w:szCs w:val="16"/>
        </w:rPr>
        <w:t>кие задания на такие самолеты. Например, ТБ-6 с шестью моторами М-44 (по 2000 л.с.) и максимальной бомбовой на</w:t>
      </w:r>
      <w:r w:rsidRPr="00142305">
        <w:rPr>
          <w:rFonts w:ascii="Times New Roman" w:hAnsi="Times New Roman"/>
          <w:color w:val="0070C0"/>
          <w:sz w:val="16"/>
          <w:szCs w:val="16"/>
        </w:rPr>
        <w:softHyphen/>
        <w:t>грузкой до 22 000 кг. Его вооружение складывалось из че</w:t>
      </w:r>
      <w:r w:rsidRPr="00142305">
        <w:rPr>
          <w:rFonts w:ascii="Times New Roman" w:hAnsi="Times New Roman"/>
          <w:color w:val="0070C0"/>
          <w:sz w:val="16"/>
          <w:szCs w:val="16"/>
        </w:rPr>
        <w:softHyphen/>
        <w:t>тырех пушек и семи-девяти пулеметов (включая три круп</w:t>
      </w:r>
      <w:r w:rsidRPr="00142305">
        <w:rPr>
          <w:rFonts w:ascii="Times New Roman" w:hAnsi="Times New Roman"/>
          <w:color w:val="0070C0"/>
          <w:sz w:val="16"/>
          <w:szCs w:val="16"/>
        </w:rPr>
        <w:softHyphen/>
        <w:t>нокалиберных). Самолет должен был иметь максимальную дальность до 4800 км. Еше больший по размерам ТБ-7 (с во</w:t>
      </w:r>
      <w:r w:rsidRPr="00142305">
        <w:rPr>
          <w:rFonts w:ascii="Times New Roman" w:hAnsi="Times New Roman"/>
          <w:color w:val="0070C0"/>
          <w:sz w:val="16"/>
          <w:szCs w:val="16"/>
        </w:rPr>
        <w:softHyphen/>
        <w:t>семью М-44), предназначенный для «разрушения объектов противника государственно-стратегического значения», рассчитывался уже на 30 т бомб. А в «Системе вооруже</w:t>
      </w:r>
      <w:r w:rsidRPr="00142305">
        <w:rPr>
          <w:rFonts w:ascii="Times New Roman" w:hAnsi="Times New Roman"/>
          <w:color w:val="0070C0"/>
          <w:sz w:val="16"/>
          <w:szCs w:val="16"/>
        </w:rPr>
        <w:softHyphen/>
        <w:t>ний ...» был заложен еше и СТБ («сверхтяжелый бомбардировшик») для «разрушения объектов противника исклю</w:t>
      </w:r>
      <w:r w:rsidRPr="00142305">
        <w:rPr>
          <w:rFonts w:ascii="Times New Roman" w:hAnsi="Times New Roman"/>
          <w:color w:val="0070C0"/>
          <w:sz w:val="16"/>
          <w:szCs w:val="16"/>
        </w:rPr>
        <w:softHyphen/>
        <w:t>чительной важности». При радиусе действия 2500 км эта машина, которую собирались строить по схеме летаюшего крыла, могла, взлетев из Крыма, обрушить 25 т бомб на Мальту или Суэцкий канал.</w:t>
      </w:r>
      <w:bookmarkEnd w:id="35"/>
    </w:p>
    <w:p w14:paraId="6EFA5A5D" w14:textId="77777777" w:rsidR="00D37260" w:rsidRPr="00142305" w:rsidRDefault="00D37260" w:rsidP="00D3726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Всю эту армаду должны были поддерживать «вспомога</w:t>
      </w:r>
      <w:r w:rsidRPr="00142305">
        <w:rPr>
          <w:rFonts w:ascii="Times New Roman" w:hAnsi="Times New Roman"/>
          <w:color w:val="0070C0"/>
          <w:sz w:val="16"/>
          <w:szCs w:val="16"/>
        </w:rPr>
        <w:softHyphen/>
        <w:t>тельные бомбардировшики» — такие же огромные самоле</w:t>
      </w:r>
      <w:r w:rsidRPr="00142305">
        <w:rPr>
          <w:rFonts w:ascii="Times New Roman" w:hAnsi="Times New Roman"/>
          <w:color w:val="0070C0"/>
          <w:sz w:val="16"/>
          <w:szCs w:val="16"/>
        </w:rPr>
        <w:softHyphen/>
        <w:t>ты ГВФ, на которых заранее предусматривалась установ</w:t>
      </w:r>
      <w:r w:rsidRPr="00142305">
        <w:rPr>
          <w:rFonts w:ascii="Times New Roman" w:hAnsi="Times New Roman"/>
          <w:color w:val="0070C0"/>
          <w:sz w:val="16"/>
          <w:szCs w:val="16"/>
        </w:rPr>
        <w:softHyphen/>
        <w:t>ка стрелкового и бомбового вооружения. Они должны были бомбить цели по ночам. Эта концепция являлась аналогом «вспомогательного крейсера» в военно-морском флоте. Во вспомогательные крейсера во время войны превращали быс</w:t>
      </w:r>
      <w:r w:rsidRPr="00142305">
        <w:rPr>
          <w:rFonts w:ascii="Times New Roman" w:hAnsi="Times New Roman"/>
          <w:color w:val="0070C0"/>
          <w:sz w:val="16"/>
          <w:szCs w:val="16"/>
        </w:rPr>
        <w:softHyphen/>
        <w:t>троходные торговые суда и пассажирские лайнеры. Приме</w:t>
      </w:r>
      <w:r w:rsidRPr="00142305">
        <w:rPr>
          <w:rFonts w:ascii="Times New Roman" w:hAnsi="Times New Roman"/>
          <w:color w:val="0070C0"/>
          <w:sz w:val="16"/>
          <w:szCs w:val="16"/>
        </w:rPr>
        <w:softHyphen/>
        <w:t>нительно к авиации ее впервые опробовали немцы. Лишен</w:t>
      </w:r>
      <w:r w:rsidRPr="00142305">
        <w:rPr>
          <w:rFonts w:ascii="Times New Roman" w:hAnsi="Times New Roman"/>
          <w:color w:val="0070C0"/>
          <w:sz w:val="16"/>
          <w:szCs w:val="16"/>
        </w:rPr>
        <w:softHyphen/>
        <w:t>ные Версальским договором права иметь военную авиацию, они намеревались в случае боевых действий «поставить под ружье» пассажирские самолеты, установив на них бомбо</w:t>
      </w:r>
      <w:r w:rsidRPr="00142305">
        <w:rPr>
          <w:rFonts w:ascii="Times New Roman" w:hAnsi="Times New Roman"/>
          <w:color w:val="0070C0"/>
          <w:sz w:val="16"/>
          <w:szCs w:val="16"/>
        </w:rPr>
        <w:softHyphen/>
        <w:t>держатели и пулеметы по заранее отлаженной схеме.</w:t>
      </w:r>
    </w:p>
    <w:p w14:paraId="15698F55" w14:textId="77777777" w:rsidR="00D37260" w:rsidRPr="00142305" w:rsidRDefault="00D37260" w:rsidP="00D3726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ту же «Систему вооружений...», подготовленную в 1931 г., включались гражданские самолеты, в конструк</w:t>
      </w:r>
      <w:r w:rsidRPr="00142305">
        <w:rPr>
          <w:rFonts w:ascii="Times New Roman" w:hAnsi="Times New Roman"/>
          <w:color w:val="0070C0"/>
          <w:sz w:val="16"/>
          <w:szCs w:val="16"/>
        </w:rPr>
        <w:softHyphen/>
        <w:t>цию которых исходно закладывалось двойное назначение. Они могли служить при необходимости как тяжелые воен</w:t>
      </w:r>
      <w:r w:rsidRPr="00142305">
        <w:rPr>
          <w:rFonts w:ascii="Times New Roman" w:hAnsi="Times New Roman"/>
          <w:color w:val="0070C0"/>
          <w:sz w:val="16"/>
          <w:szCs w:val="16"/>
        </w:rPr>
        <w:softHyphen/>
        <w:t>но-транспортные машины или бомбардировщики. Это бы</w:t>
      </w:r>
      <w:r w:rsidRPr="00142305">
        <w:rPr>
          <w:rFonts w:ascii="Times New Roman" w:hAnsi="Times New Roman"/>
          <w:color w:val="0070C0"/>
          <w:sz w:val="16"/>
          <w:szCs w:val="16"/>
        </w:rPr>
        <w:softHyphen/>
        <w:t>ли ГТБ (бомбовая нагрузка 7 т), ГГБТ (10 т), 9ТБТ (15 т) и ГТБ-5 (3 т). В последнем собирались странным образом совместить военные функции бомбардировшика и «летаю- шей амбулатории». Немного позже 9ТБТ заменили на почти идентичный по требованиям, но уже чисто военный ТБ-8 и добавили ТБ-9 под 25 т бомб.</w:t>
      </w:r>
    </w:p>
    <w:p w14:paraId="0DAC78F0" w14:textId="77777777" w:rsidR="00D37260" w:rsidRPr="00142305" w:rsidRDefault="00D37260" w:rsidP="00D3726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Система стратегической авиации предполагалась двух</w:t>
      </w:r>
      <w:r w:rsidRPr="00142305">
        <w:rPr>
          <w:rFonts w:ascii="Times New Roman" w:hAnsi="Times New Roman"/>
          <w:color w:val="0070C0"/>
          <w:sz w:val="16"/>
          <w:szCs w:val="16"/>
        </w:rPr>
        <w:softHyphen/>
        <w:t>членной. В паре с бомбардировщиком-«линкором» дол</w:t>
      </w:r>
      <w:r w:rsidRPr="00142305">
        <w:rPr>
          <w:rFonts w:ascii="Times New Roman" w:hAnsi="Times New Roman"/>
          <w:color w:val="0070C0"/>
          <w:sz w:val="16"/>
          <w:szCs w:val="16"/>
        </w:rPr>
        <w:softHyphen/>
        <w:t>жен был создаваться «крейсер» — неманевренный самолет сопровождения. «Крейсера» имели мощное пулеметно-пу</w:t>
      </w:r>
      <w:r w:rsidRPr="00142305">
        <w:rPr>
          <w:rFonts w:ascii="Times New Roman" w:hAnsi="Times New Roman"/>
          <w:color w:val="0070C0"/>
          <w:sz w:val="16"/>
          <w:szCs w:val="16"/>
        </w:rPr>
        <w:softHyphen/>
        <w:t>шечное вооружение и минимальную бомбовую нагрузку. Такие машины при операциях днем хотели расположить по краям строя бомбардировщиков. Они должны были со</w:t>
      </w:r>
      <w:r w:rsidRPr="00142305">
        <w:rPr>
          <w:rFonts w:ascii="Times New Roman" w:hAnsi="Times New Roman"/>
          <w:color w:val="0070C0"/>
          <w:sz w:val="16"/>
          <w:szCs w:val="16"/>
        </w:rPr>
        <w:softHyphen/>
        <w:t>здавать огневой заслон на пути атакующих истребителей. При отсутствии таковых «крейсера» могли мелкими бом</w:t>
      </w:r>
      <w:r w:rsidRPr="00142305">
        <w:rPr>
          <w:rFonts w:ascii="Times New Roman" w:hAnsi="Times New Roman"/>
          <w:color w:val="0070C0"/>
          <w:sz w:val="16"/>
          <w:szCs w:val="16"/>
        </w:rPr>
        <w:softHyphen/>
        <w:t>бами или пулеметным огнем подавлять зенитную артил</w:t>
      </w:r>
      <w:r w:rsidRPr="00142305">
        <w:rPr>
          <w:rFonts w:ascii="Times New Roman" w:hAnsi="Times New Roman"/>
          <w:color w:val="0070C0"/>
          <w:sz w:val="16"/>
          <w:szCs w:val="16"/>
        </w:rPr>
        <w:softHyphen/>
        <w:t>лерию. Предусматривались действия и отдельно от общего строя: на них также возлагались функции доразведки целей и метеоразведки. Эти самолеты несли также дозорно-сто</w:t>
      </w:r>
      <w:r w:rsidRPr="00142305">
        <w:rPr>
          <w:rFonts w:ascii="Times New Roman" w:hAnsi="Times New Roman"/>
          <w:color w:val="0070C0"/>
          <w:sz w:val="16"/>
          <w:szCs w:val="16"/>
        </w:rPr>
        <w:softHyphen/>
        <w:t>рожевую службу. Радиолокаторов тогда еще не существова</w:t>
      </w:r>
      <w:bookmarkStart w:id="36" w:name="bookmark63"/>
      <w:r w:rsidRPr="00142305">
        <w:rPr>
          <w:rFonts w:ascii="Times New Roman" w:hAnsi="Times New Roman"/>
          <w:color w:val="0070C0"/>
          <w:sz w:val="16"/>
          <w:szCs w:val="16"/>
        </w:rPr>
        <w:t>ло; звукопеленгатор, применявшийся зенитчиками на зем</w:t>
      </w:r>
      <w:r w:rsidRPr="00142305">
        <w:rPr>
          <w:rFonts w:ascii="Times New Roman" w:hAnsi="Times New Roman"/>
          <w:color w:val="0070C0"/>
          <w:sz w:val="16"/>
          <w:szCs w:val="16"/>
        </w:rPr>
        <w:softHyphen/>
        <w:t>ле, на борту был бесполезен из-за шума моторов и винтов. Оставалось выслать вперед и по бокам основного строя тя</w:t>
      </w:r>
      <w:r w:rsidRPr="00142305">
        <w:rPr>
          <w:rFonts w:ascii="Times New Roman" w:hAnsi="Times New Roman"/>
          <w:color w:val="0070C0"/>
          <w:sz w:val="16"/>
          <w:szCs w:val="16"/>
        </w:rPr>
        <w:softHyphen/>
        <w:t>желых бомбардировщиков машины охранения, с которых наблюдатели будут докладывать по радио о приближении истребителей противника.</w:t>
      </w:r>
      <w:bookmarkEnd w:id="36"/>
    </w:p>
    <w:p w14:paraId="2CA8467C" w14:textId="77777777" w:rsidR="00D37260" w:rsidRPr="00142305" w:rsidRDefault="00D37260" w:rsidP="00D3726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целью экономии «крейсер» должен был представлять модификацию бомбардировщика меньшей размерности. Так, для ТБ-4 и ТБ-6 такой самолет хотели сделать на ба</w:t>
      </w:r>
      <w:r w:rsidRPr="00142305">
        <w:rPr>
          <w:rFonts w:ascii="Times New Roman" w:hAnsi="Times New Roman"/>
          <w:color w:val="0070C0"/>
          <w:sz w:val="16"/>
          <w:szCs w:val="16"/>
        </w:rPr>
        <w:softHyphen/>
        <w:t>зе ТБ-З. Самый маленький «крейсер», для прикрытия са</w:t>
      </w:r>
      <w:r w:rsidRPr="00142305">
        <w:rPr>
          <w:rFonts w:ascii="Times New Roman" w:hAnsi="Times New Roman"/>
          <w:color w:val="0070C0"/>
          <w:sz w:val="16"/>
          <w:szCs w:val="16"/>
        </w:rPr>
        <w:softHyphen/>
        <w:t>мих ТБ-З, унифицировался с двухмоторным бомбардиров</w:t>
      </w:r>
      <w:r w:rsidRPr="00142305">
        <w:rPr>
          <w:rFonts w:ascii="Times New Roman" w:hAnsi="Times New Roman"/>
          <w:color w:val="0070C0"/>
          <w:sz w:val="16"/>
          <w:szCs w:val="16"/>
        </w:rPr>
        <w:softHyphen/>
        <w:t>щиком войсковой авиации.</w:t>
      </w:r>
    </w:p>
    <w:p w14:paraId="4EA4DED5" w14:textId="77777777" w:rsidR="00D37260" w:rsidRPr="00142305" w:rsidRDefault="00D37260" w:rsidP="00D3726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конечном итоге, по мнению Управления ВВС, на воо</w:t>
      </w:r>
      <w:r w:rsidRPr="00142305">
        <w:rPr>
          <w:rFonts w:ascii="Times New Roman" w:hAnsi="Times New Roman"/>
          <w:color w:val="0070C0"/>
          <w:sz w:val="16"/>
          <w:szCs w:val="16"/>
        </w:rPr>
        <w:softHyphen/>
        <w:t>ружении стратегической авиации должны были находиться гиганты с взлетным весом 140 - 150 т (этот тип Бузанов име</w:t>
      </w:r>
      <w:r w:rsidRPr="00142305">
        <w:rPr>
          <w:rFonts w:ascii="Times New Roman" w:hAnsi="Times New Roman"/>
          <w:color w:val="0070C0"/>
          <w:sz w:val="16"/>
          <w:szCs w:val="16"/>
        </w:rPr>
        <w:softHyphen/>
        <w:t>новал собственно «тяжелыми бомбардировщиками»), затем «средние» (с весом 15 - 18 т, примерно как ТБ-З) и «крей</w:t>
      </w:r>
      <w:r w:rsidRPr="00142305">
        <w:rPr>
          <w:rFonts w:ascii="Times New Roman" w:hAnsi="Times New Roman"/>
          <w:color w:val="0070C0"/>
          <w:sz w:val="16"/>
          <w:szCs w:val="16"/>
        </w:rPr>
        <w:softHyphen/>
        <w:t>сера» на их базе, и, наконец, «крейсера» для сопровождения «средних» машин. Существовала также точка зрения, что необходимо иметь и некоторую долю «переходных» бомбардировшиков, по своим данным примерно соответство</w:t>
      </w:r>
      <w:r w:rsidRPr="00142305">
        <w:rPr>
          <w:rFonts w:ascii="Times New Roman" w:hAnsi="Times New Roman"/>
          <w:color w:val="0070C0"/>
          <w:sz w:val="16"/>
          <w:szCs w:val="16"/>
        </w:rPr>
        <w:softHyphen/>
        <w:t>вавших ТБ-4 (24977).</w:t>
      </w:r>
    </w:p>
    <w:p w14:paraId="26057EC7" w14:textId="77777777" w:rsidR="00D37260" w:rsidRPr="00142305" w:rsidRDefault="00D37260" w:rsidP="00D37260">
      <w:pPr>
        <w:spacing w:after="0" w:line="240" w:lineRule="auto"/>
        <w:jc w:val="both"/>
        <w:rPr>
          <w:rFonts w:ascii="Times New Roman" w:hAnsi="Times New Roman"/>
          <w:color w:val="0070C0"/>
          <w:sz w:val="16"/>
          <w:szCs w:val="16"/>
        </w:rPr>
      </w:pPr>
    </w:p>
    <w:p w14:paraId="3220A9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Весной 1931 возрос интерес к работе Д.П.Г. над ЦКБ7, ЦКБ N 7, Z (И-7). Начались осмотры и визиты чинов ОГПУ, затем - Кремля. Были Г.К.О., В.М.М., К.Е.В., Андреев. Основную часть арестованных решили освободить (2692,5).</w:t>
      </w:r>
    </w:p>
    <w:p w14:paraId="2A1346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08B37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Весной 1931 г. интерес к строящемуся "ЗЕТу" заметно повысился. Начались придирчивые осмотры и проверки чинами ОГПУ, затем на заводе № 39 побывали Орджоникидзе, Молотов, Андреев, Ворошилов. Далее последовала положительная реакция от увиденного - основную часть арестованных инженеров решили освободить. В мае 1931 г. газета "Правда" писала: "Амнистировать нижеследующих конструкторов - бывших вредителей, приговорённых коллегией ОГПУ к различным мерам социальной защиты, с одновременным их награждением, а главного конструктора по опытному самолётостроению Григоровича Дмитрия Павловича, раскаявшегося в своих прежних поступках и годичной работой доказавшего на деле свое раскаяние, - грамотой ЦИК Союза ССР и денежной наградой в 10.000 рублей..." Таким образом, заключительная фаза работ по самолёту И-ЗЕТ проходила под руководством уже не "консультанта", а главного конструктора Григоровича (12005).</w:t>
      </w:r>
    </w:p>
    <w:p w14:paraId="37CA31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2DDADAC" w14:textId="77777777" w:rsidR="003562F3" w:rsidRPr="005E779E" w:rsidRDefault="003562F3" w:rsidP="000B7A6C">
      <w:pPr>
        <w:pStyle w:val="a3"/>
        <w:rPr>
          <w:color w:val="000000" w:themeColor="text1"/>
          <w:lang w:val="ru-RU"/>
        </w:rPr>
      </w:pPr>
      <w:r w:rsidRPr="005E779E">
        <w:rPr>
          <w:color w:val="000000" w:themeColor="text1"/>
          <w:lang w:val="ru-RU"/>
        </w:rPr>
        <w:t>Весной 1931 г. Интерес к строящемуся «ЗЕТу» Д.П.Г. заметно возрос. Начались при</w:t>
      </w:r>
      <w:r w:rsidRPr="005E779E">
        <w:rPr>
          <w:color w:val="000000" w:themeColor="text1"/>
          <w:lang w:val="ru-RU"/>
        </w:rPr>
        <w:softHyphen/>
        <w:t>дирчивые осмотры и проверки чинами из ГПУ, затем последовали визиты из Кремля -на заводе №39 бывали Орджоникидзе, Молотов, Андреев, Ворошилов. Далее последовала положительная реакция от увиденного - основную часть арестованных инженеров решили освободить. В мае 1931 г. газета «Правда» писала:</w:t>
      </w:r>
      <w:r w:rsidRPr="005E779E">
        <w:rPr>
          <w:rStyle w:val="aff6"/>
          <w:rFonts w:ascii="Times New Roman" w:hAnsi="Times New Roman" w:cs="Times New Roman"/>
          <w:i w:val="0"/>
          <w:color w:val="000000" w:themeColor="text1"/>
          <w:lang w:val="ru-RU"/>
        </w:rPr>
        <w:t xml:space="preserve"> «...Амни</w:t>
      </w:r>
      <w:r w:rsidRPr="005E779E">
        <w:rPr>
          <w:rStyle w:val="aff6"/>
          <w:rFonts w:ascii="Times New Roman" w:hAnsi="Times New Roman" w:cs="Times New Roman"/>
          <w:i w:val="0"/>
          <w:color w:val="000000" w:themeColor="text1"/>
          <w:lang w:val="ru-RU"/>
        </w:rPr>
        <w:softHyphen/>
        <w:t xml:space="preserve">стировать нижеследующих конструкторов </w:t>
      </w:r>
      <w:r w:rsidRPr="005E779E">
        <w:rPr>
          <w:color w:val="000000" w:themeColor="text1"/>
          <w:lang w:val="ru-RU"/>
        </w:rPr>
        <w:t>бывших вредителей, приговоренных коллегией ОГПУ к различным мерам социальной защиты, с одновременным их награждением, а главного конструктора по опытному самолетостроению Гоигоровича Дмитрия Павловича, раскаявшегося в своих прежних поступках и годичной работой доказавшего на деле свое рас</w:t>
      </w:r>
      <w:r w:rsidRPr="005E779E">
        <w:rPr>
          <w:color w:val="000000" w:themeColor="text1"/>
          <w:lang w:val="ru-RU"/>
        </w:rPr>
        <w:softHyphen/>
        <w:t>каяние, - грамотой ЦИК Союза ССР и денежной наградой в 10.000 рублей...» (12731).</w:t>
      </w:r>
    </w:p>
    <w:p w14:paraId="6D5C7952" w14:textId="77777777" w:rsidR="003562F3" w:rsidRPr="005E779E" w:rsidRDefault="003562F3" w:rsidP="000B7A6C">
      <w:pPr>
        <w:pStyle w:val="a3"/>
        <w:rPr>
          <w:color w:val="000000" w:themeColor="text1"/>
          <w:lang w:val="ru-RU"/>
        </w:rPr>
      </w:pPr>
    </w:p>
    <w:p w14:paraId="0FA736D4" w14:textId="77777777" w:rsidR="0033769F" w:rsidRPr="005E779E" w:rsidRDefault="0033769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Весной 1931 года усилился интерес к истребителю «И-Z» Григоровича.</w:t>
      </w:r>
    </w:p>
    <w:p w14:paraId="1CEF1632" w14:textId="77777777" w:rsidR="0033769F" w:rsidRPr="005E779E" w:rsidRDefault="0033769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«И-Z» (ЦКБ № 7) был специально создан в 1930 году под динамо-реактивные пушки (ДРП) конструктора Л.В. Курчевского. Пушки создавались для усиления огневой мощи самолетов-истребителей, пулеметы которых уже становились малоэффективными в борьбе с тяжелыми цельно-металлическими бомбардировщиками. Даже при значительном количестве пробоин от обычных пуль самолеты с трубчатыми лонжеронами и гофрированной обшивкой продолжали держаться в воздухе. Не столь опасным стало и попадание пуль в бензобак, так как их стали протектировать.</w:t>
      </w:r>
    </w:p>
    <w:p w14:paraId="1B3331F7" w14:textId="77777777" w:rsidR="0033769F" w:rsidRPr="005E779E" w:rsidRDefault="0033769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Д.П. Григорович организовал небольшую группу, в которую вошли А.Н. Седель, В.Л. Корвин, А.Н. Надашкевич, Е.И. Майоранов, В.Д. Яровицкий, Г.Е. Чупилко, С.Н. Шишкин. В основном это были специалисты, разрабатывавшие И-5. Самолет «И-Z» был сверхсекретным. Даже на малодоступной постороннему глазу территории завода № 39, специальная группа Григоровича находилась в особых условиях – они работали в отдельном, строго засекреченном ангаре.</w:t>
      </w:r>
    </w:p>
    <w:p w14:paraId="1610943E" w14:textId="77777777" w:rsidR="0033769F" w:rsidRPr="005E779E" w:rsidRDefault="0033769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Для истребителя была избрана схема подкосного низкоплана. От И-5 практически без изменений позаимствовали винтомоторную установку с двигателем М-22 и центральную часть фюзеляжа ферменной конструкции. К ней крепилась хвостовая часть, выполненная в виде полумонококовой балки с высоко расположенным </w:t>
      </w:r>
      <w:r w:rsidRPr="005E779E">
        <w:rPr>
          <w:rFonts w:ascii="Times New Roman" w:hAnsi="Times New Roman"/>
          <w:color w:val="000000" w:themeColor="text1"/>
          <w:sz w:val="16"/>
          <w:szCs w:val="16"/>
        </w:rPr>
        <w:lastRenderedPageBreak/>
        <w:t>горизонтальным оперением. Эллипсовидное крыло - из нержавеющей стали с полотняной обшивкой. Хвостовая часть фюзеляжа имела высокий киль и горизонтальное оперение с подкосом. Две АПК подвешивались под крылом, вне диска вращения винта.</w:t>
      </w:r>
    </w:p>
    <w:p w14:paraId="1513DB41" w14:textId="77777777" w:rsidR="0033769F" w:rsidRPr="005E779E" w:rsidRDefault="0033769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Начались осмотры и проверки чекистами ОГПУ, затем пошли визиты на завод кремлевских гостей: И.В. Сталина, К.Е. Ворошилова, Г.К. Орджоникидзе, В.М. Молотова, А.А. Андреева. Вскоре заводские летчики-испытатели Б.Л. Бухгольц и Ю.И. Пионтковский провели успешные летные испытания опытного экземпляра истребителя. С двигателем М-22 скорость «И-Z» достигала 300 км/час. Однако большие трудности вызывала стрельба из пушек. Конструкция истребителя была пересмотрена, вблизи подвески пушки полотняную обшивку крыла заменили дюралевой.</w:t>
      </w:r>
    </w:p>
    <w:p w14:paraId="35CF0017" w14:textId="77777777" w:rsidR="0033769F" w:rsidRPr="005E779E" w:rsidRDefault="0033769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Созданием истребителя «И-Z» Д.П. Григорович занимался одновременно с бомбардировщиком ТБ-5: обе машины были построены в заданные сроки, в мае 1931 года (18293).</w:t>
      </w:r>
    </w:p>
    <w:p w14:paraId="61434407" w14:textId="77777777" w:rsidR="0033769F" w:rsidRPr="005E779E" w:rsidRDefault="0033769F" w:rsidP="000B7A6C">
      <w:pPr>
        <w:spacing w:after="0" w:line="240" w:lineRule="auto"/>
        <w:jc w:val="both"/>
        <w:rPr>
          <w:rFonts w:ascii="Times New Roman" w:hAnsi="Times New Roman"/>
          <w:color w:val="000000" w:themeColor="text1"/>
          <w:sz w:val="16"/>
          <w:szCs w:val="16"/>
        </w:rPr>
      </w:pPr>
    </w:p>
    <w:p w14:paraId="6C9599E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Весной 1931 г. самолет ДИ-3 впервые поднялся в воздух. Государственные испы</w:t>
      </w:r>
      <w:r w:rsidRPr="005E779E">
        <w:rPr>
          <w:rFonts w:ascii="Times New Roman" w:hAnsi="Times New Roman"/>
          <w:color w:val="000000" w:themeColor="text1"/>
          <w:sz w:val="16"/>
          <w:szCs w:val="16"/>
        </w:rPr>
        <w:softHyphen/>
        <w:t>тания в НИИ ВВС велись в период с 10 ап</w:t>
      </w:r>
      <w:r w:rsidRPr="005E779E">
        <w:rPr>
          <w:rFonts w:ascii="Times New Roman" w:hAnsi="Times New Roman"/>
          <w:color w:val="000000" w:themeColor="text1"/>
          <w:sz w:val="16"/>
          <w:szCs w:val="16"/>
        </w:rPr>
        <w:softHyphen/>
        <w:t>реля по 12 июля 1931 г. Выяснилось, что самолет не удовлетворяет тактико-техниче</w:t>
      </w:r>
      <w:r w:rsidRPr="005E779E">
        <w:rPr>
          <w:rFonts w:ascii="Times New Roman" w:hAnsi="Times New Roman"/>
          <w:color w:val="000000" w:themeColor="text1"/>
          <w:sz w:val="16"/>
          <w:szCs w:val="16"/>
        </w:rPr>
        <w:softHyphen/>
        <w:t>ским требованиям как по максимальным скоростям на всех высотах, так и по скоро</w:t>
      </w:r>
      <w:r w:rsidRPr="005E779E">
        <w:rPr>
          <w:rFonts w:ascii="Times New Roman" w:hAnsi="Times New Roman"/>
          <w:color w:val="000000" w:themeColor="text1"/>
          <w:sz w:val="16"/>
          <w:szCs w:val="16"/>
        </w:rPr>
        <w:softHyphen/>
        <w:t>подъемности, и вообще практически по всем летным характеристикам уступает самолету Д-2. В управлении ДИ-3 оказался строгой машиной, не позволял полет с бро</w:t>
      </w:r>
      <w:r w:rsidRPr="005E779E">
        <w:rPr>
          <w:rFonts w:ascii="Times New Roman" w:hAnsi="Times New Roman"/>
          <w:color w:val="000000" w:themeColor="text1"/>
          <w:sz w:val="16"/>
          <w:szCs w:val="16"/>
        </w:rPr>
        <w:softHyphen/>
        <w:t>шенной ручкой. Оборонительная турель ЦКБ была признана неудачной.</w:t>
      </w:r>
    </w:p>
    <w:p w14:paraId="423F340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итоге ДИ-3 не рекомендовали к мас</w:t>
      </w:r>
      <w:r w:rsidRPr="005E779E">
        <w:rPr>
          <w:rFonts w:ascii="Times New Roman" w:hAnsi="Times New Roman"/>
          <w:color w:val="000000" w:themeColor="text1"/>
          <w:sz w:val="16"/>
          <w:szCs w:val="16"/>
        </w:rPr>
        <w:softHyphen/>
        <w:t>совому производству, однако посчитали возможным построить небольшую серию для тренировки и обучения. В конечном счете серийное производство так и не было налажено; известно лишь, что позже опыт</w:t>
      </w:r>
      <w:r w:rsidRPr="005E779E">
        <w:rPr>
          <w:rFonts w:ascii="Times New Roman" w:hAnsi="Times New Roman"/>
          <w:color w:val="000000" w:themeColor="text1"/>
          <w:sz w:val="16"/>
          <w:szCs w:val="16"/>
        </w:rPr>
        <w:softHyphen/>
        <w:t>ный ДИ-3 был оборудован застекленной кабиной и использовался как связной са</w:t>
      </w:r>
      <w:r w:rsidRPr="005E779E">
        <w:rPr>
          <w:rFonts w:ascii="Times New Roman" w:hAnsi="Times New Roman"/>
          <w:color w:val="000000" w:themeColor="text1"/>
          <w:sz w:val="16"/>
          <w:szCs w:val="16"/>
        </w:rPr>
        <w:softHyphen/>
        <w:t>молет.</w:t>
      </w:r>
    </w:p>
    <w:p w14:paraId="0DBCA27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Летные и технические характеристики самолета ДИ-3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1002C3" w:rsidRPr="005E779E" w14:paraId="5F72484A" w14:textId="77777777">
        <w:tc>
          <w:tcPr>
            <w:tcW w:w="4788" w:type="dxa"/>
            <w:tcBorders>
              <w:top w:val="single" w:sz="12" w:space="0" w:color="auto"/>
            </w:tcBorders>
            <w:shd w:val="clear" w:color="auto" w:fill="FFFFFF"/>
          </w:tcPr>
          <w:p w14:paraId="18B1EE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Длина в линии полета (м)</w:t>
            </w:r>
          </w:p>
        </w:tc>
        <w:tc>
          <w:tcPr>
            <w:tcW w:w="4788" w:type="dxa"/>
            <w:tcBorders>
              <w:top w:val="single" w:sz="12" w:space="0" w:color="auto"/>
            </w:tcBorders>
            <w:shd w:val="clear" w:color="auto" w:fill="FFFFFF"/>
          </w:tcPr>
          <w:p w14:paraId="7D0FBA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 7,8</w:t>
            </w:r>
          </w:p>
        </w:tc>
      </w:tr>
      <w:tr w:rsidR="001002C3" w:rsidRPr="005E779E" w14:paraId="6A482945" w14:textId="77777777">
        <w:tc>
          <w:tcPr>
            <w:tcW w:w="4788" w:type="dxa"/>
            <w:shd w:val="clear" w:color="auto" w:fill="FFFFFF"/>
          </w:tcPr>
          <w:p w14:paraId="3E4C3A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Размах верхнего крыла (м)</w:t>
            </w:r>
          </w:p>
        </w:tc>
        <w:tc>
          <w:tcPr>
            <w:tcW w:w="4788" w:type="dxa"/>
            <w:shd w:val="clear" w:color="auto" w:fill="FFFFFF"/>
          </w:tcPr>
          <w:p w14:paraId="0D7C07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 11,8</w:t>
            </w:r>
          </w:p>
        </w:tc>
      </w:tr>
      <w:tr w:rsidR="001002C3" w:rsidRPr="005E779E" w14:paraId="28DBE1B0" w14:textId="77777777">
        <w:tc>
          <w:tcPr>
            <w:tcW w:w="4788" w:type="dxa"/>
            <w:shd w:val="clear" w:color="auto" w:fill="FFFFFF"/>
          </w:tcPr>
          <w:p w14:paraId="6D641B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Размах нижнего крыла (м)</w:t>
            </w:r>
          </w:p>
        </w:tc>
        <w:tc>
          <w:tcPr>
            <w:tcW w:w="4788" w:type="dxa"/>
            <w:shd w:val="clear" w:color="auto" w:fill="FFFFFF"/>
          </w:tcPr>
          <w:p w14:paraId="34868C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 5,55</w:t>
            </w:r>
          </w:p>
        </w:tc>
      </w:tr>
      <w:tr w:rsidR="001002C3" w:rsidRPr="005E779E" w14:paraId="38D90CC9" w14:textId="77777777">
        <w:tc>
          <w:tcPr>
            <w:tcW w:w="4788" w:type="dxa"/>
            <w:shd w:val="clear" w:color="auto" w:fill="FFFFFF"/>
          </w:tcPr>
          <w:p w14:paraId="166DE8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Площадь крыльев (м</w:t>
            </w:r>
            <w:r w:rsidRPr="005E779E">
              <w:rPr>
                <w:rFonts w:ascii="Times New Roman" w:hAnsi="Times New Roman"/>
                <w:color w:val="000000" w:themeColor="text1"/>
                <w:sz w:val="16"/>
                <w:szCs w:val="16"/>
                <w:vertAlign w:val="superscript"/>
              </w:rPr>
              <w:t>2</w:t>
            </w:r>
            <w:r w:rsidRPr="005E779E">
              <w:rPr>
                <w:rFonts w:ascii="Times New Roman" w:hAnsi="Times New Roman"/>
                <w:color w:val="000000" w:themeColor="text1"/>
                <w:sz w:val="16"/>
                <w:szCs w:val="16"/>
              </w:rPr>
              <w:t>)</w:t>
            </w:r>
          </w:p>
        </w:tc>
        <w:tc>
          <w:tcPr>
            <w:tcW w:w="4788" w:type="dxa"/>
            <w:shd w:val="clear" w:color="auto" w:fill="FFFFFF"/>
          </w:tcPr>
          <w:p w14:paraId="1181BA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 30,1</w:t>
            </w:r>
          </w:p>
        </w:tc>
      </w:tr>
      <w:tr w:rsidR="001002C3" w:rsidRPr="005E779E" w14:paraId="31262A12" w14:textId="77777777">
        <w:tc>
          <w:tcPr>
            <w:tcW w:w="4788" w:type="dxa"/>
            <w:shd w:val="clear" w:color="auto" w:fill="FFFFFF"/>
          </w:tcPr>
          <w:p w14:paraId="79CC4F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пустого (кг)</w:t>
            </w:r>
          </w:p>
        </w:tc>
        <w:tc>
          <w:tcPr>
            <w:tcW w:w="4788" w:type="dxa"/>
            <w:shd w:val="clear" w:color="auto" w:fill="FFFFFF"/>
          </w:tcPr>
          <w:p w14:paraId="2E05D7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 1487</w:t>
            </w:r>
          </w:p>
        </w:tc>
      </w:tr>
      <w:tr w:rsidR="001002C3" w:rsidRPr="005E779E" w14:paraId="3F9CD831" w14:textId="77777777">
        <w:tc>
          <w:tcPr>
            <w:tcW w:w="4788" w:type="dxa"/>
            <w:shd w:val="clear" w:color="auto" w:fill="FFFFFF"/>
          </w:tcPr>
          <w:p w14:paraId="2028B4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полетный (кг)</w:t>
            </w:r>
          </w:p>
        </w:tc>
        <w:tc>
          <w:tcPr>
            <w:tcW w:w="4788" w:type="dxa"/>
            <w:shd w:val="clear" w:color="auto" w:fill="FFFFFF"/>
          </w:tcPr>
          <w:p w14:paraId="5496FE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 2122</w:t>
            </w:r>
          </w:p>
        </w:tc>
      </w:tr>
      <w:tr w:rsidR="001002C3" w:rsidRPr="005E779E" w14:paraId="4E370A9B" w14:textId="77777777">
        <w:tc>
          <w:tcPr>
            <w:tcW w:w="4788" w:type="dxa"/>
            <w:shd w:val="clear" w:color="auto" w:fill="FFFFFF"/>
          </w:tcPr>
          <w:p w14:paraId="7F1EB4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Нагрузка на крыло (м</w:t>
            </w:r>
            <w:r w:rsidRPr="005E779E">
              <w:rPr>
                <w:rFonts w:ascii="Times New Roman" w:hAnsi="Times New Roman"/>
                <w:color w:val="000000" w:themeColor="text1"/>
                <w:sz w:val="16"/>
                <w:szCs w:val="16"/>
                <w:vertAlign w:val="superscript"/>
              </w:rPr>
              <w:t>2</w:t>
            </w:r>
            <w:r w:rsidRPr="005E779E">
              <w:rPr>
                <w:rFonts w:ascii="Times New Roman" w:hAnsi="Times New Roman"/>
                <w:color w:val="000000" w:themeColor="text1"/>
                <w:sz w:val="16"/>
                <w:szCs w:val="16"/>
              </w:rPr>
              <w:t>)</w:t>
            </w:r>
          </w:p>
        </w:tc>
        <w:tc>
          <w:tcPr>
            <w:tcW w:w="4788" w:type="dxa"/>
            <w:shd w:val="clear" w:color="auto" w:fill="FFFFFF"/>
          </w:tcPr>
          <w:p w14:paraId="580837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 70,5</w:t>
            </w:r>
          </w:p>
        </w:tc>
      </w:tr>
      <w:tr w:rsidR="001002C3" w:rsidRPr="005E779E" w14:paraId="6482C064" w14:textId="77777777">
        <w:tc>
          <w:tcPr>
            <w:tcW w:w="4788" w:type="dxa"/>
            <w:shd w:val="clear" w:color="auto" w:fill="FFFFFF"/>
          </w:tcPr>
          <w:p w14:paraId="309EC9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Скорость максимальная у земли (км/час)</w:t>
            </w:r>
          </w:p>
        </w:tc>
        <w:tc>
          <w:tcPr>
            <w:tcW w:w="4788" w:type="dxa"/>
            <w:shd w:val="clear" w:color="auto" w:fill="FFFFFF"/>
          </w:tcPr>
          <w:p w14:paraId="56A71F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 256</w:t>
            </w:r>
          </w:p>
        </w:tc>
      </w:tr>
      <w:tr w:rsidR="001002C3" w:rsidRPr="005E779E" w14:paraId="21582EF4" w14:textId="77777777">
        <w:tc>
          <w:tcPr>
            <w:tcW w:w="4788" w:type="dxa"/>
            <w:shd w:val="clear" w:color="auto" w:fill="FFFFFF"/>
          </w:tcPr>
          <w:p w14:paraId="071B9E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Скорость максимальная на 3000 м (км/час)</w:t>
            </w:r>
          </w:p>
        </w:tc>
        <w:tc>
          <w:tcPr>
            <w:tcW w:w="4788" w:type="dxa"/>
            <w:shd w:val="clear" w:color="auto" w:fill="FFFFFF"/>
          </w:tcPr>
          <w:p w14:paraId="49AA32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 243</w:t>
            </w:r>
          </w:p>
        </w:tc>
      </w:tr>
      <w:tr w:rsidR="001002C3" w:rsidRPr="005E779E" w14:paraId="7EBDDFF5" w14:textId="77777777">
        <w:tc>
          <w:tcPr>
            <w:tcW w:w="4788" w:type="dxa"/>
            <w:shd w:val="clear" w:color="auto" w:fill="FFFFFF"/>
          </w:tcPr>
          <w:p w14:paraId="4F0E19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Скорость максимальная на 5000м(км/час)</w:t>
            </w:r>
          </w:p>
        </w:tc>
        <w:tc>
          <w:tcPr>
            <w:tcW w:w="4788" w:type="dxa"/>
            <w:shd w:val="clear" w:color="auto" w:fill="FFFFFF"/>
          </w:tcPr>
          <w:p w14:paraId="6B06CB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 212</w:t>
            </w:r>
          </w:p>
        </w:tc>
      </w:tr>
      <w:tr w:rsidR="001002C3" w:rsidRPr="005E779E" w14:paraId="7DB351AA" w14:textId="77777777">
        <w:tc>
          <w:tcPr>
            <w:tcW w:w="4788" w:type="dxa"/>
            <w:shd w:val="clear" w:color="auto" w:fill="FFFFFF"/>
          </w:tcPr>
          <w:p w14:paraId="5545B4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набора высоты 5000 м (мин)</w:t>
            </w:r>
          </w:p>
        </w:tc>
        <w:tc>
          <w:tcPr>
            <w:tcW w:w="4788" w:type="dxa"/>
            <w:shd w:val="clear" w:color="auto" w:fill="FFFFFF"/>
          </w:tcPr>
          <w:p w14:paraId="6E2ADE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 17,5</w:t>
            </w:r>
          </w:p>
        </w:tc>
      </w:tr>
      <w:tr w:rsidR="001002C3" w:rsidRPr="005E779E" w14:paraId="6D82F233" w14:textId="77777777">
        <w:tc>
          <w:tcPr>
            <w:tcW w:w="4788" w:type="dxa"/>
            <w:shd w:val="clear" w:color="auto" w:fill="FFFFFF"/>
          </w:tcPr>
          <w:p w14:paraId="6350E1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Практический потолок (м)</w:t>
            </w:r>
          </w:p>
        </w:tc>
        <w:tc>
          <w:tcPr>
            <w:tcW w:w="4788" w:type="dxa"/>
            <w:shd w:val="clear" w:color="auto" w:fill="FFFFFF"/>
          </w:tcPr>
          <w:p w14:paraId="30DEC6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 6300</w:t>
            </w:r>
          </w:p>
        </w:tc>
      </w:tr>
      <w:tr w:rsidR="001002C3" w:rsidRPr="005E779E" w14:paraId="325A4919" w14:textId="77777777">
        <w:tc>
          <w:tcPr>
            <w:tcW w:w="4788" w:type="dxa"/>
            <w:tcBorders>
              <w:bottom w:val="single" w:sz="12" w:space="0" w:color="auto"/>
            </w:tcBorders>
            <w:shd w:val="clear" w:color="auto" w:fill="FFFFFF"/>
          </w:tcPr>
          <w:p w14:paraId="539288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виража на 1000 м (сек)</w:t>
            </w:r>
          </w:p>
        </w:tc>
        <w:tc>
          <w:tcPr>
            <w:tcW w:w="4788" w:type="dxa"/>
            <w:tcBorders>
              <w:bottom w:val="single" w:sz="12" w:space="0" w:color="auto"/>
            </w:tcBorders>
            <w:shd w:val="clear" w:color="auto" w:fill="FFFFFF"/>
          </w:tcPr>
          <w:p w14:paraId="379A37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 13,1 (11134).</w:t>
            </w:r>
          </w:p>
        </w:tc>
      </w:tr>
    </w:tbl>
    <w:p w14:paraId="4CB3175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92C3CA" w14:textId="77777777" w:rsidR="001A7FA6" w:rsidRPr="005E779E" w:rsidRDefault="001A7F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Весной 1931 г. самолет Д-3 впервые поднялся в воз</w:t>
      </w:r>
      <w:r w:rsidRPr="005E779E">
        <w:rPr>
          <w:rFonts w:ascii="Times New Roman" w:hAnsi="Times New Roman"/>
          <w:color w:val="000000" w:themeColor="text1"/>
          <w:sz w:val="16"/>
          <w:szCs w:val="16"/>
        </w:rPr>
        <w:softHyphen/>
        <w:t>дух. Государственные испытания в НИИ ВВС велись в период с 10 апреля по 12 июля 1931 г.</w:t>
      </w:r>
    </w:p>
    <w:p w14:paraId="526DE0CB" w14:textId="77777777" w:rsidR="001A7FA6" w:rsidRPr="005E779E" w:rsidRDefault="001A7F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Признавалось, что самолет не удовлетво</w:t>
      </w:r>
      <w:r w:rsidRPr="005E779E">
        <w:rPr>
          <w:rFonts w:ascii="Times New Roman" w:hAnsi="Times New Roman"/>
          <w:color w:val="000000" w:themeColor="text1"/>
          <w:sz w:val="16"/>
          <w:szCs w:val="16"/>
        </w:rPr>
        <w:softHyphen/>
        <w:t>ряет тактико-техническим требованиям: как по максимальным скоростям на всех высо</w:t>
      </w:r>
      <w:r w:rsidRPr="005E779E">
        <w:rPr>
          <w:rFonts w:ascii="Times New Roman" w:hAnsi="Times New Roman"/>
          <w:color w:val="000000" w:themeColor="text1"/>
          <w:sz w:val="16"/>
          <w:szCs w:val="16"/>
        </w:rPr>
        <w:softHyphen/>
        <w:t>тах, так и по скороподъемности. Практиче</w:t>
      </w:r>
      <w:r w:rsidRPr="005E779E">
        <w:rPr>
          <w:rFonts w:ascii="Times New Roman" w:hAnsi="Times New Roman"/>
          <w:color w:val="000000" w:themeColor="text1"/>
          <w:sz w:val="16"/>
          <w:szCs w:val="16"/>
        </w:rPr>
        <w:softHyphen/>
        <w:t>ски по всем летным характеристикам уступа-</w:t>
      </w:r>
      <w:r w:rsidRPr="005E779E">
        <w:rPr>
          <w:rStyle w:val="MicrosoftSansSerif"/>
          <w:rFonts w:ascii="Times New Roman" w:hAnsi="Times New Roman"/>
          <w:i w:val="0"/>
          <w:color w:val="000000" w:themeColor="text1"/>
          <w:spacing w:val="0"/>
          <w:sz w:val="16"/>
          <w:szCs w:val="16"/>
        </w:rPr>
        <w:t xml:space="preserve"> Опытный двухмест- </w:t>
      </w:r>
      <w:r w:rsidRPr="005E779E">
        <w:rPr>
          <w:rFonts w:ascii="Times New Roman" w:hAnsi="Times New Roman"/>
          <w:color w:val="000000" w:themeColor="text1"/>
          <w:sz w:val="16"/>
          <w:szCs w:val="16"/>
        </w:rPr>
        <w:t>ет самолету Д-2. В управлении ДИ-3 оказался</w:t>
      </w:r>
      <w:r w:rsidRPr="005E779E">
        <w:rPr>
          <w:rStyle w:val="MicrosoftSansSerif"/>
          <w:rFonts w:ascii="Times New Roman" w:hAnsi="Times New Roman"/>
          <w:i w:val="0"/>
          <w:color w:val="000000" w:themeColor="text1"/>
          <w:spacing w:val="0"/>
          <w:sz w:val="16"/>
          <w:szCs w:val="16"/>
        </w:rPr>
        <w:t xml:space="preserve"> ный истребитель </w:t>
      </w:r>
      <w:r w:rsidRPr="005E779E">
        <w:rPr>
          <w:rFonts w:ascii="Times New Roman" w:hAnsi="Times New Roman"/>
          <w:color w:val="000000" w:themeColor="text1"/>
          <w:sz w:val="16"/>
          <w:szCs w:val="16"/>
        </w:rPr>
        <w:t>строгой машиной, самолет не позволял вы-</w:t>
      </w:r>
      <w:r w:rsidRPr="005E779E">
        <w:rPr>
          <w:rStyle w:val="MicrosoftSansSerif"/>
          <w:rFonts w:ascii="Times New Roman" w:hAnsi="Times New Roman"/>
          <w:i w:val="0"/>
          <w:color w:val="000000" w:themeColor="text1"/>
          <w:spacing w:val="0"/>
          <w:sz w:val="16"/>
          <w:szCs w:val="16"/>
        </w:rPr>
        <w:t xml:space="preserve"> ДИ-3 на испытаниях </w:t>
      </w:r>
      <w:r w:rsidRPr="005E779E">
        <w:rPr>
          <w:rFonts w:ascii="Times New Roman" w:hAnsi="Times New Roman"/>
          <w:color w:val="000000" w:themeColor="text1"/>
          <w:sz w:val="16"/>
          <w:szCs w:val="16"/>
        </w:rPr>
        <w:t>полнять полет с «брошенной ручкой». Обо-</w:t>
      </w:r>
      <w:r w:rsidRPr="005E779E">
        <w:rPr>
          <w:rStyle w:val="MicrosoftSansSerif"/>
          <w:rFonts w:ascii="Times New Roman" w:hAnsi="Times New Roman"/>
          <w:i w:val="0"/>
          <w:color w:val="000000" w:themeColor="text1"/>
          <w:spacing w:val="0"/>
          <w:sz w:val="16"/>
          <w:szCs w:val="16"/>
        </w:rPr>
        <w:t xml:space="preserve"> летом 1931 г. </w:t>
      </w:r>
      <w:r w:rsidRPr="005E779E">
        <w:rPr>
          <w:rFonts w:ascii="Times New Roman" w:hAnsi="Times New Roman"/>
          <w:color w:val="000000" w:themeColor="text1"/>
          <w:sz w:val="16"/>
          <w:szCs w:val="16"/>
        </w:rPr>
        <w:t>ронительная турель ЦКБ признавалась неу</w:t>
      </w:r>
      <w:r w:rsidRPr="005E779E">
        <w:rPr>
          <w:rFonts w:ascii="Times New Roman" w:hAnsi="Times New Roman"/>
          <w:color w:val="000000" w:themeColor="text1"/>
          <w:sz w:val="16"/>
          <w:szCs w:val="16"/>
        </w:rPr>
        <w:softHyphen/>
        <w:t>дачной.</w:t>
      </w:r>
    </w:p>
    <w:p w14:paraId="5C559F5D" w14:textId="77777777" w:rsidR="001A7FA6" w:rsidRPr="005E779E" w:rsidRDefault="001A7F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результате, ДИ-3 не рекомендовали к массовому производству, однако считалось возможным построить небольшую серию для тренировки и обучения. Впрочем, серийное производство налажено не было. Известно, что впоследствии опытный ДИ-3 был обо</w:t>
      </w:r>
      <w:r w:rsidRPr="005E779E">
        <w:rPr>
          <w:rFonts w:ascii="Times New Roman" w:hAnsi="Times New Roman"/>
          <w:color w:val="000000" w:themeColor="text1"/>
          <w:sz w:val="16"/>
          <w:szCs w:val="16"/>
        </w:rPr>
        <w:softHyphen/>
        <w:t>рудован прозрачным фонарем кабины лет</w:t>
      </w:r>
      <w:r w:rsidRPr="005E779E">
        <w:rPr>
          <w:rFonts w:ascii="Times New Roman" w:hAnsi="Times New Roman"/>
          <w:color w:val="000000" w:themeColor="text1"/>
          <w:sz w:val="16"/>
          <w:szCs w:val="16"/>
        </w:rPr>
        <w:softHyphen/>
        <w:t>чиков и использовался как связной самолет (12295).</w:t>
      </w:r>
    </w:p>
    <w:p w14:paraId="5BCFA7E6" w14:textId="77777777" w:rsidR="001A7FA6" w:rsidRPr="005E779E" w:rsidRDefault="001A7FA6" w:rsidP="000B7A6C">
      <w:pPr>
        <w:spacing w:after="0" w:line="240" w:lineRule="auto"/>
        <w:jc w:val="both"/>
        <w:rPr>
          <w:rFonts w:ascii="Times New Roman" w:hAnsi="Times New Roman"/>
          <w:color w:val="000000" w:themeColor="text1"/>
          <w:sz w:val="16"/>
          <w:szCs w:val="16"/>
        </w:rPr>
      </w:pPr>
    </w:p>
    <w:p w14:paraId="4868F8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Весной 1931 были начаты испытания МУ-3 А.С.Москалева (92,384).</w:t>
      </w:r>
    </w:p>
    <w:p w14:paraId="7E1AA6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F7A048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Весной 1931 г. на Москве-реке провели испытания У-2 на поплавках, разработанных на за</w:t>
      </w:r>
      <w:r w:rsidRPr="005E779E">
        <w:rPr>
          <w:rFonts w:ascii="Times New Roman" w:hAnsi="Times New Roman"/>
          <w:color w:val="000000" w:themeColor="text1"/>
          <w:sz w:val="16"/>
          <w:szCs w:val="16"/>
        </w:rPr>
        <w:softHyphen/>
        <w:t>воде №25 в 1930 г. под руководст</w:t>
      </w:r>
      <w:r w:rsidRPr="005E779E">
        <w:rPr>
          <w:rFonts w:ascii="Times New Roman" w:hAnsi="Times New Roman"/>
          <w:color w:val="000000" w:themeColor="text1"/>
          <w:sz w:val="16"/>
          <w:szCs w:val="16"/>
        </w:rPr>
        <w:softHyphen/>
        <w:t>вом С.А. Кочеригина. Самолет, на</w:t>
      </w:r>
      <w:r w:rsidRPr="005E779E">
        <w:rPr>
          <w:rFonts w:ascii="Times New Roman" w:hAnsi="Times New Roman"/>
          <w:color w:val="000000" w:themeColor="text1"/>
          <w:sz w:val="16"/>
          <w:szCs w:val="16"/>
        </w:rPr>
        <w:softHyphen/>
        <w:t>зываемый МУ-2 (У-2М), оборудовали од</w:t>
      </w:r>
      <w:r w:rsidRPr="005E779E">
        <w:rPr>
          <w:rFonts w:ascii="Times New Roman" w:hAnsi="Times New Roman"/>
          <w:color w:val="000000" w:themeColor="text1"/>
          <w:sz w:val="16"/>
          <w:szCs w:val="16"/>
        </w:rPr>
        <w:softHyphen/>
        <w:t>ним центральным поплавком деревянной конструкции водоизмещением 2 мЗ и дву</w:t>
      </w:r>
      <w:r w:rsidRPr="005E779E">
        <w:rPr>
          <w:rFonts w:ascii="Times New Roman" w:hAnsi="Times New Roman"/>
          <w:color w:val="000000" w:themeColor="text1"/>
          <w:sz w:val="16"/>
          <w:szCs w:val="16"/>
        </w:rPr>
        <w:softHyphen/>
        <w:t>мя небольшими поплавками боковой ос</w:t>
      </w:r>
      <w:r w:rsidRPr="005E779E">
        <w:rPr>
          <w:rFonts w:ascii="Times New Roman" w:hAnsi="Times New Roman"/>
          <w:color w:val="000000" w:themeColor="text1"/>
          <w:sz w:val="16"/>
          <w:szCs w:val="16"/>
        </w:rPr>
        <w:softHyphen/>
        <w:t>тойчивости. Основным недостат</w:t>
      </w:r>
      <w:r w:rsidRPr="005E779E">
        <w:rPr>
          <w:rFonts w:ascii="Times New Roman" w:hAnsi="Times New Roman"/>
          <w:color w:val="000000" w:themeColor="text1"/>
          <w:sz w:val="16"/>
          <w:szCs w:val="16"/>
        </w:rPr>
        <w:softHyphen/>
        <w:t>ком признавалась сложность запуска дви</w:t>
      </w:r>
      <w:r w:rsidRPr="005E779E">
        <w:rPr>
          <w:rFonts w:ascii="Times New Roman" w:hAnsi="Times New Roman"/>
          <w:color w:val="000000" w:themeColor="text1"/>
          <w:sz w:val="16"/>
          <w:szCs w:val="16"/>
        </w:rPr>
        <w:softHyphen/>
        <w:t>гателя: проворачивать воздушный винт, стоя на одном поплавке, оказалось чрезвы</w:t>
      </w:r>
      <w:r w:rsidRPr="005E779E">
        <w:rPr>
          <w:rFonts w:ascii="Times New Roman" w:hAnsi="Times New Roman"/>
          <w:color w:val="000000" w:themeColor="text1"/>
          <w:sz w:val="16"/>
          <w:szCs w:val="16"/>
        </w:rPr>
        <w:softHyphen/>
        <w:t>чайно неудобно. Кроме того, при 100-силь</w:t>
      </w:r>
      <w:r w:rsidRPr="005E779E">
        <w:rPr>
          <w:rFonts w:ascii="Times New Roman" w:hAnsi="Times New Roman"/>
          <w:color w:val="000000" w:themeColor="text1"/>
          <w:sz w:val="16"/>
          <w:szCs w:val="16"/>
        </w:rPr>
        <w:softHyphen/>
        <w:t>ном двигателе поплавковый вариант обла</w:t>
      </w:r>
      <w:r w:rsidRPr="005E779E">
        <w:rPr>
          <w:rFonts w:ascii="Times New Roman" w:hAnsi="Times New Roman"/>
          <w:color w:val="000000" w:themeColor="text1"/>
          <w:sz w:val="16"/>
          <w:szCs w:val="16"/>
        </w:rPr>
        <w:softHyphen/>
        <w:t>дал невысокой скороподъемностью и ма</w:t>
      </w:r>
      <w:r w:rsidRPr="005E779E">
        <w:rPr>
          <w:rFonts w:ascii="Times New Roman" w:hAnsi="Times New Roman"/>
          <w:color w:val="000000" w:themeColor="text1"/>
          <w:sz w:val="16"/>
          <w:szCs w:val="16"/>
        </w:rPr>
        <w:softHyphen/>
        <w:t>лым потолком. После появления летающей лодки Ш-2 потребность в небольших ма</w:t>
      </w:r>
      <w:r w:rsidRPr="005E779E">
        <w:rPr>
          <w:rFonts w:ascii="Times New Roman" w:hAnsi="Times New Roman"/>
          <w:color w:val="000000" w:themeColor="text1"/>
          <w:sz w:val="16"/>
          <w:szCs w:val="16"/>
        </w:rPr>
        <w:softHyphen/>
        <w:t>шинах для использования с воды считалась в основном удовлетворенной, поэтому до</w:t>
      </w:r>
      <w:r w:rsidRPr="005E779E">
        <w:rPr>
          <w:rFonts w:ascii="Times New Roman" w:hAnsi="Times New Roman"/>
          <w:color w:val="000000" w:themeColor="text1"/>
          <w:sz w:val="16"/>
          <w:szCs w:val="16"/>
        </w:rPr>
        <w:softHyphen/>
        <w:t>работку гидроварианта У-2 временно пре</w:t>
      </w:r>
      <w:r w:rsidRPr="005E779E">
        <w:rPr>
          <w:rFonts w:ascii="Times New Roman" w:hAnsi="Times New Roman"/>
          <w:color w:val="000000" w:themeColor="text1"/>
          <w:sz w:val="16"/>
          <w:szCs w:val="16"/>
        </w:rPr>
        <w:softHyphen/>
        <w:t>кратили (11213).</w:t>
      </w:r>
    </w:p>
    <w:p w14:paraId="670CB7A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EDC71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Весной 1931 г. летные ис</w:t>
      </w:r>
      <w:r w:rsidRPr="005E779E">
        <w:rPr>
          <w:rFonts w:ascii="Times New Roman" w:hAnsi="Times New Roman"/>
          <w:color w:val="000000" w:themeColor="text1"/>
          <w:sz w:val="16"/>
          <w:szCs w:val="16"/>
        </w:rPr>
        <w:softHyphen/>
        <w:t>пытания МУ-2 на воде начались на Москве-реке. Поведение машины в воздухе признали нормальным, скорость и мореходность приемлемыми, но скороподъемность и потолок не удовлетворяли за</w:t>
      </w:r>
      <w:r w:rsidRPr="005E779E">
        <w:rPr>
          <w:rFonts w:ascii="Times New Roman" w:hAnsi="Times New Roman"/>
          <w:color w:val="000000" w:themeColor="text1"/>
          <w:sz w:val="16"/>
          <w:szCs w:val="16"/>
        </w:rPr>
        <w:softHyphen/>
        <w:t>казчика. Запуск мотора с воды был труден, бортовых пневматических или электрических стартеров двигатель М-11 тогда еще не имел. Устранить большинство недо</w:t>
      </w:r>
      <w:r w:rsidRPr="005E779E">
        <w:rPr>
          <w:rFonts w:ascii="Times New Roman" w:hAnsi="Times New Roman"/>
          <w:color w:val="000000" w:themeColor="text1"/>
          <w:sz w:val="16"/>
          <w:szCs w:val="16"/>
        </w:rPr>
        <w:softHyphen/>
        <w:t>статков было вполне возможно, но этим никто не хотел заниматься: проведение испытаний МУ-2 для завода № 39 являлось внеплановой работой, а ввиду отсутствия главного конструктора решение организационных во</w:t>
      </w:r>
      <w:r w:rsidRPr="005E779E">
        <w:rPr>
          <w:rFonts w:ascii="Times New Roman" w:hAnsi="Times New Roman"/>
          <w:color w:val="000000" w:themeColor="text1"/>
          <w:sz w:val="16"/>
          <w:szCs w:val="16"/>
        </w:rPr>
        <w:softHyphen/>
        <w:t>просов зачастую выливалось в неразрешимую про</w:t>
      </w:r>
      <w:r w:rsidRPr="005E779E">
        <w:rPr>
          <w:rFonts w:ascii="Times New Roman" w:hAnsi="Times New Roman"/>
          <w:color w:val="000000" w:themeColor="text1"/>
          <w:sz w:val="16"/>
          <w:szCs w:val="16"/>
        </w:rPr>
        <w:softHyphen/>
        <w:t>блему. К тому же в условиях репрессий по делу о Промпартии и Шахтинскому делу никто не хотел брать на себя ответственность при проведении необходимых доработок. После испытаний самолет передали для ис</w:t>
      </w:r>
      <w:r w:rsidRPr="005E779E">
        <w:rPr>
          <w:rFonts w:ascii="Times New Roman" w:hAnsi="Times New Roman"/>
          <w:color w:val="000000" w:themeColor="text1"/>
          <w:sz w:val="16"/>
          <w:szCs w:val="16"/>
        </w:rPr>
        <w:softHyphen/>
        <w:t>пользования в Ейскую школу. На этом история МУ-2 завершилась. Кроме этого варианта для полетов над реками в Си</w:t>
      </w:r>
      <w:r w:rsidRPr="005E779E">
        <w:rPr>
          <w:rFonts w:ascii="Times New Roman" w:hAnsi="Times New Roman"/>
          <w:color w:val="000000" w:themeColor="text1"/>
          <w:sz w:val="16"/>
          <w:szCs w:val="16"/>
        </w:rPr>
        <w:softHyphen/>
        <w:t>бири и Дальнем Востоке в 1940 г. В.Б.Шавров спроекти</w:t>
      </w:r>
      <w:r w:rsidRPr="005E779E">
        <w:rPr>
          <w:rFonts w:ascii="Times New Roman" w:hAnsi="Times New Roman"/>
          <w:color w:val="000000" w:themeColor="text1"/>
          <w:sz w:val="16"/>
          <w:szCs w:val="16"/>
        </w:rPr>
        <w:softHyphen/>
        <w:t>ровал для У-2 двухпоплавковое шасси деревянной конструкции. Позже, в 1942 г. летал аналогичный двух-поплавковый У-2 по проекту А.Я.Щербакова (10667).</w:t>
      </w:r>
    </w:p>
    <w:p w14:paraId="55FAFC1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971600" w14:textId="77777777" w:rsidR="009F67B9" w:rsidRPr="00142305" w:rsidRDefault="009F67B9" w:rsidP="009F67B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Весной 1931 г. на Москве-реке вели испытания У-2 на поплавках. Машину подготовили на заводе №25 в 1930 г. под руководством С.А.Кочеригина. Самолет, называемый У-2М, оборудова</w:t>
      </w:r>
      <w:r w:rsidRPr="00142305">
        <w:rPr>
          <w:rFonts w:ascii="Times New Roman" w:hAnsi="Times New Roman"/>
          <w:color w:val="0070C0"/>
          <w:sz w:val="16"/>
          <w:szCs w:val="16"/>
        </w:rPr>
        <w:softHyphen/>
        <w:t>ли одним центральным поплавком деревян</w:t>
      </w:r>
      <w:r w:rsidRPr="00142305">
        <w:rPr>
          <w:rFonts w:ascii="Times New Roman" w:hAnsi="Times New Roman"/>
          <w:color w:val="0070C0"/>
          <w:sz w:val="16"/>
          <w:szCs w:val="16"/>
        </w:rPr>
        <w:softHyphen/>
        <w:t>ной конструкции, водоизмещением 2 м</w:t>
      </w:r>
      <w:r w:rsidRPr="00142305">
        <w:rPr>
          <w:rFonts w:ascii="Times New Roman" w:hAnsi="Times New Roman"/>
          <w:color w:val="0070C0"/>
          <w:sz w:val="16"/>
          <w:szCs w:val="16"/>
          <w:vertAlign w:val="superscript"/>
        </w:rPr>
        <w:t>3</w:t>
      </w:r>
      <w:r w:rsidRPr="00142305">
        <w:rPr>
          <w:rFonts w:ascii="Times New Roman" w:hAnsi="Times New Roman"/>
          <w:color w:val="0070C0"/>
          <w:sz w:val="16"/>
          <w:szCs w:val="16"/>
        </w:rPr>
        <w:t xml:space="preserve"> и дву</w:t>
      </w:r>
      <w:r w:rsidRPr="00142305">
        <w:rPr>
          <w:rFonts w:ascii="Times New Roman" w:hAnsi="Times New Roman"/>
          <w:color w:val="0070C0"/>
          <w:sz w:val="16"/>
          <w:szCs w:val="16"/>
        </w:rPr>
        <w:softHyphen/>
        <w:t>мя небольшими поплавками боковой остой</w:t>
      </w:r>
      <w:r w:rsidRPr="00142305">
        <w:rPr>
          <w:rFonts w:ascii="Times New Roman" w:hAnsi="Times New Roman"/>
          <w:color w:val="0070C0"/>
          <w:sz w:val="16"/>
          <w:szCs w:val="16"/>
        </w:rPr>
        <w:softHyphen/>
        <w:t>чивости.</w:t>
      </w:r>
    </w:p>
    <w:p w14:paraId="7A33E360" w14:textId="77777777" w:rsidR="009F67B9" w:rsidRPr="00142305" w:rsidRDefault="009F67B9" w:rsidP="009F67B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Основным недостатком при этом признавалась сложность запуска двига</w:t>
      </w:r>
      <w:r w:rsidRPr="00142305">
        <w:rPr>
          <w:rFonts w:ascii="Times New Roman" w:hAnsi="Times New Roman"/>
          <w:color w:val="0070C0"/>
          <w:sz w:val="16"/>
          <w:szCs w:val="16"/>
        </w:rPr>
        <w:softHyphen/>
        <w:t>теля — проворачивать воздушный винт, стоя на одном поплавке, оказалось невероятно не</w:t>
      </w:r>
      <w:r w:rsidRPr="00142305">
        <w:rPr>
          <w:rFonts w:ascii="Times New Roman" w:hAnsi="Times New Roman"/>
          <w:color w:val="0070C0"/>
          <w:sz w:val="16"/>
          <w:szCs w:val="16"/>
        </w:rPr>
        <w:softHyphen/>
        <w:t>удобно. Кроме того, при 100-сильном двигате</w:t>
      </w:r>
      <w:r w:rsidRPr="00142305">
        <w:rPr>
          <w:rFonts w:ascii="Times New Roman" w:hAnsi="Times New Roman"/>
          <w:color w:val="0070C0"/>
          <w:sz w:val="16"/>
          <w:szCs w:val="16"/>
        </w:rPr>
        <w:softHyphen/>
        <w:t>ле поплавковый вариант обладал невысокой скороподъемностью и малым потолком. Пос</w:t>
      </w:r>
      <w:r w:rsidRPr="00142305">
        <w:rPr>
          <w:rFonts w:ascii="Times New Roman" w:hAnsi="Times New Roman"/>
          <w:color w:val="0070C0"/>
          <w:sz w:val="16"/>
          <w:szCs w:val="16"/>
        </w:rPr>
        <w:softHyphen/>
        <w:t>ле появления летающей лодки Ш-2 потреб</w:t>
      </w:r>
      <w:r w:rsidRPr="00142305">
        <w:rPr>
          <w:rFonts w:ascii="Times New Roman" w:hAnsi="Times New Roman"/>
          <w:color w:val="0070C0"/>
          <w:sz w:val="16"/>
          <w:szCs w:val="16"/>
        </w:rPr>
        <w:softHyphen/>
        <w:t>ность в небольших машинах для использова</w:t>
      </w:r>
      <w:r w:rsidRPr="00142305">
        <w:rPr>
          <w:rFonts w:ascii="Times New Roman" w:hAnsi="Times New Roman"/>
          <w:color w:val="0070C0"/>
          <w:sz w:val="16"/>
          <w:szCs w:val="16"/>
        </w:rPr>
        <w:softHyphen/>
        <w:t>ния с воды в СССР считалась в основном удо</w:t>
      </w:r>
      <w:r w:rsidRPr="00142305">
        <w:rPr>
          <w:rFonts w:ascii="Times New Roman" w:hAnsi="Times New Roman"/>
          <w:color w:val="0070C0"/>
          <w:sz w:val="16"/>
          <w:szCs w:val="16"/>
        </w:rPr>
        <w:softHyphen/>
        <w:t>влетворенной, поэтому доработку У-2 в гид</w:t>
      </w:r>
      <w:r w:rsidRPr="00142305">
        <w:rPr>
          <w:rFonts w:ascii="Times New Roman" w:hAnsi="Times New Roman"/>
          <w:color w:val="0070C0"/>
          <w:sz w:val="16"/>
          <w:szCs w:val="16"/>
        </w:rPr>
        <w:softHyphen/>
        <w:t>роварианте временно прекратили (24969).</w:t>
      </w:r>
    </w:p>
    <w:p w14:paraId="33A6D0F0" w14:textId="77777777" w:rsidR="009F67B9" w:rsidRPr="00142305" w:rsidRDefault="009F67B9" w:rsidP="009F67B9">
      <w:pPr>
        <w:spacing w:after="0" w:line="240" w:lineRule="auto"/>
        <w:jc w:val="both"/>
        <w:rPr>
          <w:rFonts w:ascii="Times New Roman" w:hAnsi="Times New Roman"/>
          <w:color w:val="0070C0"/>
          <w:sz w:val="16"/>
          <w:szCs w:val="16"/>
        </w:rPr>
      </w:pPr>
    </w:p>
    <w:p w14:paraId="21AA52CB" w14:textId="77777777" w:rsidR="009F67B9" w:rsidRPr="00142305" w:rsidRDefault="009F67B9" w:rsidP="009F67B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Весной 1931 г. на Москве-реке из-за отсутствия ранее погоды, пригодной для проведения летных испытаний МУ-2 на воде, начались испытания. Поведение машины в воздухе было нормальным, управляемость практически не отличалась от обычного У-2, скорость и мореходность приемлемыми, но скороподъемность и потолок несколько ниже требований 1931 г. Запуск мотора с воды был труден, бортовых пневматических или электрических стартеров двигатель М-11 тогда еще не имел. Устранить ряд выявленных недостатков было вполне возможно, но этим никто не хотел заниматься: проведение испытаний МУ-2 для завода № 39 являлось внеплановой работой, а ввиду отсутствия главного конструктора решение организационных вопросов зачастую выливалось в неразрешимую проблему. К тому же в условиях репрессий по делу о Промпартии, Шахтинскому делу никто не хотел брать на себя ответственность при проведении необходимых доработок. Официально МУ-2 от принятия на вооружение отклонили, ввиду… прекрасных летных качеств, так как после него освоить любой другой самолет было трудно. Поэтому после испытаний машину передали для использования в Ейскую школу. На этом история МУ-2 завершилась (25035).</w:t>
      </w:r>
    </w:p>
    <w:p w14:paraId="1E36F3CA" w14:textId="77777777" w:rsidR="009F67B9" w:rsidRPr="00142305" w:rsidRDefault="009F67B9" w:rsidP="009F67B9">
      <w:pPr>
        <w:spacing w:after="0" w:line="240" w:lineRule="auto"/>
        <w:jc w:val="both"/>
        <w:rPr>
          <w:rFonts w:ascii="Times New Roman" w:hAnsi="Times New Roman"/>
          <w:color w:val="0070C0"/>
          <w:sz w:val="16"/>
          <w:szCs w:val="16"/>
        </w:rPr>
      </w:pPr>
    </w:p>
    <w:p w14:paraId="18A5F6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Весной 1931 началась постройка МДР-3 в ЦКБ (92,425).</w:t>
      </w:r>
    </w:p>
    <w:p w14:paraId="31F2D3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EFCC142" w14:textId="77777777" w:rsidR="009F67B9" w:rsidRPr="00142305" w:rsidRDefault="009F67B9" w:rsidP="009F67B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Весной 1931 г. была начата постройка самолета МДР-3 Четверикова, а к ноябрю его уже построили. В декабре самолет перевезли в Севастополь, где 14 января 1932 г. летчик-испытатель Б.Л. Бухгольц совершил первый полет. Вместе с ним на борту летающей лодки находились механик А. Днепров и сам конструктор (25300). </w:t>
      </w:r>
    </w:p>
    <w:p w14:paraId="718EEF91" w14:textId="77777777" w:rsidR="009F67B9" w:rsidRPr="00142305" w:rsidRDefault="009F67B9" w:rsidP="009F67B9">
      <w:pPr>
        <w:spacing w:after="0" w:line="240" w:lineRule="auto"/>
        <w:jc w:val="both"/>
        <w:rPr>
          <w:rFonts w:ascii="Times New Roman" w:hAnsi="Times New Roman"/>
          <w:color w:val="0070C0"/>
          <w:sz w:val="16"/>
          <w:szCs w:val="16"/>
        </w:rPr>
      </w:pPr>
    </w:p>
    <w:p w14:paraId="4BA225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Весной 1931 КР-1 опробовали на лыжах на складе 17 ВВС Балтфлота. На третьей посадке сломали и новый комплект поступил на испытания в январе 1932 (1083,7).</w:t>
      </w:r>
    </w:p>
    <w:p w14:paraId="268EB6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C0B7D54" w14:textId="77777777" w:rsidR="001A7FA6" w:rsidRPr="005E779E" w:rsidRDefault="001A7F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Весной 1931 г. лыжи конструкции Жохова, изготовленные на мос</w:t>
      </w:r>
      <w:r w:rsidRPr="005E779E">
        <w:rPr>
          <w:rFonts w:ascii="Times New Roman" w:hAnsi="Times New Roman"/>
          <w:color w:val="000000" w:themeColor="text1"/>
          <w:sz w:val="16"/>
          <w:szCs w:val="16"/>
        </w:rPr>
        <w:softHyphen/>
        <w:t>ковском авиазаводе №28, испытывали на КР-1. Боковые поплавки при этом снима</w:t>
      </w:r>
      <w:r w:rsidRPr="005E779E">
        <w:rPr>
          <w:rFonts w:ascii="Times New Roman" w:hAnsi="Times New Roman"/>
          <w:color w:val="000000" w:themeColor="text1"/>
          <w:sz w:val="16"/>
          <w:szCs w:val="16"/>
        </w:rPr>
        <w:softHyphen/>
        <w:t>лись и заменялись предохранительными ду</w:t>
      </w:r>
      <w:r w:rsidRPr="005E779E">
        <w:rPr>
          <w:rFonts w:ascii="Times New Roman" w:hAnsi="Times New Roman"/>
          <w:color w:val="000000" w:themeColor="text1"/>
          <w:sz w:val="16"/>
          <w:szCs w:val="16"/>
        </w:rPr>
        <w:softHyphen/>
        <w:t>гами. Две основные лыжи крепились к сквоз</w:t>
      </w:r>
      <w:r w:rsidRPr="005E779E">
        <w:rPr>
          <w:rFonts w:ascii="Times New Roman" w:hAnsi="Times New Roman"/>
          <w:color w:val="000000" w:themeColor="text1"/>
          <w:sz w:val="16"/>
          <w:szCs w:val="16"/>
        </w:rPr>
        <w:softHyphen/>
        <w:t>ной трубе, проходящей через корпус лодки, маленькая хвостовая лыжа крепилась на спе</w:t>
      </w:r>
      <w:r w:rsidRPr="005E779E">
        <w:rPr>
          <w:rFonts w:ascii="Times New Roman" w:hAnsi="Times New Roman"/>
          <w:color w:val="000000" w:themeColor="text1"/>
          <w:sz w:val="16"/>
          <w:szCs w:val="16"/>
        </w:rPr>
        <w:softHyphen/>
        <w:t>циально предусмотренном кронштейне. Позднее все КР-1 авиации Балтийского флота в период зимы были снабжены комплек</w:t>
      </w:r>
      <w:r w:rsidRPr="005E779E">
        <w:rPr>
          <w:rFonts w:ascii="Times New Roman" w:hAnsi="Times New Roman"/>
          <w:color w:val="000000" w:themeColor="text1"/>
          <w:sz w:val="16"/>
          <w:szCs w:val="16"/>
        </w:rPr>
        <w:softHyphen/>
        <w:t>том таких лыж.</w:t>
      </w:r>
    </w:p>
    <w:p w14:paraId="6FD3EF4E" w14:textId="77777777" w:rsidR="001A7FA6" w:rsidRPr="005E779E" w:rsidRDefault="001A7F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Очевидно, именно возможность установки самолета на лыжи привела к тому, что один КР-1 (заводской №348) в 1935 г. передали Управлению полярной авиации. С опознава</w:t>
      </w:r>
      <w:r w:rsidRPr="005E779E">
        <w:rPr>
          <w:rFonts w:ascii="Times New Roman" w:hAnsi="Times New Roman"/>
          <w:color w:val="000000" w:themeColor="text1"/>
          <w:sz w:val="16"/>
          <w:szCs w:val="16"/>
        </w:rPr>
        <w:softHyphen/>
        <w:t>тельным знаком СССР-Н133 самолет в лет</w:t>
      </w:r>
      <w:r w:rsidRPr="005E779E">
        <w:rPr>
          <w:rFonts w:ascii="Times New Roman" w:hAnsi="Times New Roman"/>
          <w:color w:val="000000" w:themeColor="text1"/>
          <w:sz w:val="16"/>
          <w:szCs w:val="16"/>
        </w:rPr>
        <w:softHyphen/>
        <w:t>нюю навигацию 1935 года участвовал в высо</w:t>
      </w:r>
      <w:r w:rsidRPr="005E779E">
        <w:rPr>
          <w:rFonts w:ascii="Times New Roman" w:hAnsi="Times New Roman"/>
          <w:color w:val="000000" w:themeColor="text1"/>
          <w:sz w:val="16"/>
          <w:szCs w:val="16"/>
        </w:rPr>
        <w:softHyphen/>
        <w:t>коширотной экспедиции ледокольного па</w:t>
      </w:r>
      <w:r w:rsidRPr="005E779E">
        <w:rPr>
          <w:rFonts w:ascii="Times New Roman" w:hAnsi="Times New Roman"/>
          <w:color w:val="000000" w:themeColor="text1"/>
          <w:sz w:val="16"/>
          <w:szCs w:val="16"/>
        </w:rPr>
        <w:softHyphen/>
        <w:t>рохода «Садко». В интересах экспедиции на -:ем неоднократно поднимались в воздух лет</w:t>
      </w:r>
      <w:r w:rsidRPr="005E779E">
        <w:rPr>
          <w:rFonts w:ascii="Times New Roman" w:hAnsi="Times New Roman"/>
          <w:color w:val="000000" w:themeColor="text1"/>
          <w:sz w:val="16"/>
          <w:szCs w:val="16"/>
        </w:rPr>
        <w:softHyphen/>
        <w:t>чики Бабушкин и Власов. Впрочем, это ока</w:t>
      </w:r>
      <w:r w:rsidRPr="005E779E">
        <w:rPr>
          <w:rFonts w:ascii="Times New Roman" w:hAnsi="Times New Roman"/>
          <w:color w:val="000000" w:themeColor="text1"/>
          <w:sz w:val="16"/>
          <w:szCs w:val="16"/>
        </w:rPr>
        <w:softHyphen/>
        <w:t>залось единственное появление «Хейнкеля» з Арктике. Деревянная конструкция немец- чого биплана, уже значительно ранее поле</w:t>
      </w:r>
      <w:r w:rsidRPr="005E779E">
        <w:rPr>
          <w:rFonts w:ascii="Times New Roman" w:hAnsi="Times New Roman"/>
          <w:color w:val="000000" w:themeColor="text1"/>
          <w:sz w:val="16"/>
          <w:szCs w:val="16"/>
        </w:rPr>
        <w:softHyphen/>
        <w:t>тавшего, не позволяла рассчитывать на дол</w:t>
      </w:r>
      <w:r w:rsidRPr="005E779E">
        <w:rPr>
          <w:rFonts w:ascii="Times New Roman" w:hAnsi="Times New Roman"/>
          <w:color w:val="000000" w:themeColor="text1"/>
          <w:sz w:val="16"/>
          <w:szCs w:val="16"/>
        </w:rPr>
        <w:softHyphen/>
        <w:t>гую эксплуатацию, и в начале 1936 года его списали (12301).</w:t>
      </w:r>
    </w:p>
    <w:p w14:paraId="309083D7" w14:textId="77777777" w:rsidR="001A7FA6" w:rsidRPr="005E779E" w:rsidRDefault="001A7FA6" w:rsidP="000B7A6C">
      <w:pPr>
        <w:spacing w:after="0" w:line="240" w:lineRule="auto"/>
        <w:jc w:val="both"/>
        <w:rPr>
          <w:rFonts w:ascii="Times New Roman" w:hAnsi="Times New Roman"/>
          <w:color w:val="000000" w:themeColor="text1"/>
          <w:sz w:val="16"/>
          <w:szCs w:val="16"/>
        </w:rPr>
      </w:pPr>
    </w:p>
    <w:p w14:paraId="331E96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весны 1931 ЦАГИ начал работы над первым АНТ-20 (не МГ) - пассажирской версии АНТ-16 (ТБ-4) с размахом больше на 2 м и фюзеляжем длиннее на 1 м (7425, 18).</w:t>
      </w:r>
    </w:p>
    <w:p w14:paraId="377B3D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DF948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весной 1931 начались работы в ЦАГИ по проектированию Ми-3 (АНТ-21) (2693,15).</w:t>
      </w:r>
    </w:p>
    <w:p w14:paraId="2F4BE6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DC4F6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Весной 1931 был подготовлен материал, подписанный Нач. отдела требовании НИИ ВВС РККА Соколовым-Соколенком (6274).</w:t>
      </w:r>
    </w:p>
    <w:p w14:paraId="583B44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Самолеты “системы” вооружения ВВС РККА /1932-1934/35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2"/>
        <w:gridCol w:w="992"/>
        <w:gridCol w:w="425"/>
        <w:gridCol w:w="2127"/>
        <w:gridCol w:w="2085"/>
        <w:gridCol w:w="556"/>
        <w:gridCol w:w="760"/>
        <w:gridCol w:w="426"/>
        <w:gridCol w:w="369"/>
        <w:gridCol w:w="481"/>
        <w:gridCol w:w="1276"/>
        <w:gridCol w:w="1311"/>
      </w:tblGrid>
      <w:tr w:rsidR="001002C3" w:rsidRPr="005E779E" w14:paraId="19DD8E62" w14:textId="77777777">
        <w:tc>
          <w:tcPr>
            <w:tcW w:w="392" w:type="dxa"/>
            <w:tcBorders>
              <w:top w:val="single" w:sz="12" w:space="0" w:color="auto"/>
            </w:tcBorders>
          </w:tcPr>
          <w:p w14:paraId="74B601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п/п</w:t>
            </w:r>
          </w:p>
        </w:tc>
        <w:tc>
          <w:tcPr>
            <w:tcW w:w="992" w:type="dxa"/>
            <w:tcBorders>
              <w:top w:val="single" w:sz="12" w:space="0" w:color="auto"/>
            </w:tcBorders>
          </w:tcPr>
          <w:p w14:paraId="056732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Название самолета</w:t>
            </w:r>
          </w:p>
        </w:tc>
        <w:tc>
          <w:tcPr>
            <w:tcW w:w="425" w:type="dxa"/>
            <w:tcBorders>
              <w:top w:val="single" w:sz="12" w:space="0" w:color="auto"/>
            </w:tcBorders>
          </w:tcPr>
          <w:p w14:paraId="630296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Литерн. обознач. /очеред. стр-ва</w:t>
            </w:r>
          </w:p>
        </w:tc>
        <w:tc>
          <w:tcPr>
            <w:tcW w:w="2127" w:type="dxa"/>
            <w:tcBorders>
              <w:top w:val="single" w:sz="12" w:space="0" w:color="auto"/>
            </w:tcBorders>
          </w:tcPr>
          <w:p w14:paraId="755E6C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Назначение с-та</w:t>
            </w:r>
          </w:p>
          <w:p w14:paraId="428612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Метод применения</w:t>
            </w:r>
          </w:p>
          <w:p w14:paraId="2C834D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Порядок последовательности требований</w:t>
            </w:r>
          </w:p>
        </w:tc>
        <w:tc>
          <w:tcPr>
            <w:tcW w:w="2085" w:type="dxa"/>
            <w:tcBorders>
              <w:top w:val="single" w:sz="12" w:space="0" w:color="auto"/>
            </w:tcBorders>
          </w:tcPr>
          <w:p w14:paraId="44496E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 стрелковое, пушечное и бомбовое</w:t>
            </w:r>
          </w:p>
        </w:tc>
        <w:tc>
          <w:tcPr>
            <w:tcW w:w="556" w:type="dxa"/>
            <w:tcBorders>
              <w:top w:val="single" w:sz="12" w:space="0" w:color="auto"/>
            </w:tcBorders>
          </w:tcPr>
          <w:p w14:paraId="50138D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Боевая высота</w:t>
            </w:r>
          </w:p>
        </w:tc>
        <w:tc>
          <w:tcPr>
            <w:tcW w:w="760" w:type="dxa"/>
            <w:tcBorders>
              <w:top w:val="single" w:sz="12" w:space="0" w:color="auto"/>
            </w:tcBorders>
          </w:tcPr>
          <w:p w14:paraId="192D53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Гор. скорость</w:t>
            </w:r>
          </w:p>
        </w:tc>
        <w:tc>
          <w:tcPr>
            <w:tcW w:w="426" w:type="dxa"/>
            <w:tcBorders>
              <w:top w:val="single" w:sz="12" w:space="0" w:color="auto"/>
            </w:tcBorders>
          </w:tcPr>
          <w:p w14:paraId="7AF956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Скороподъемность</w:t>
            </w:r>
          </w:p>
        </w:tc>
        <w:tc>
          <w:tcPr>
            <w:tcW w:w="369" w:type="dxa"/>
            <w:tcBorders>
              <w:top w:val="single" w:sz="12" w:space="0" w:color="auto"/>
            </w:tcBorders>
          </w:tcPr>
          <w:p w14:paraId="4A88CC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Сбр. груз</w:t>
            </w:r>
          </w:p>
        </w:tc>
        <w:tc>
          <w:tcPr>
            <w:tcW w:w="481" w:type="dxa"/>
            <w:tcBorders>
              <w:top w:val="single" w:sz="12" w:space="0" w:color="auto"/>
            </w:tcBorders>
          </w:tcPr>
          <w:p w14:paraId="7D1124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 запр. Горючим</w:t>
            </w:r>
          </w:p>
        </w:tc>
        <w:tc>
          <w:tcPr>
            <w:tcW w:w="1276" w:type="dxa"/>
            <w:tcBorders>
              <w:top w:val="single" w:sz="12" w:space="0" w:color="auto"/>
            </w:tcBorders>
          </w:tcPr>
          <w:p w14:paraId="15AFF7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Особенности оборудования</w:t>
            </w:r>
          </w:p>
        </w:tc>
        <w:tc>
          <w:tcPr>
            <w:tcW w:w="1311" w:type="dxa"/>
            <w:tcBorders>
              <w:top w:val="single" w:sz="12" w:space="0" w:color="auto"/>
            </w:tcBorders>
          </w:tcPr>
          <w:p w14:paraId="1AC1DA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Примечание</w:t>
            </w:r>
          </w:p>
        </w:tc>
      </w:tr>
      <w:tr w:rsidR="001002C3" w:rsidRPr="005E779E" w14:paraId="68DB7950" w14:textId="77777777">
        <w:tc>
          <w:tcPr>
            <w:tcW w:w="392" w:type="dxa"/>
          </w:tcPr>
          <w:p w14:paraId="63ABF8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76E06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30466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Pr>
          <w:p w14:paraId="4AD2D7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Истребительная авиация</w:t>
            </w:r>
          </w:p>
        </w:tc>
        <w:tc>
          <w:tcPr>
            <w:tcW w:w="2085" w:type="dxa"/>
          </w:tcPr>
          <w:p w14:paraId="15ACA7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Pr>
          <w:p w14:paraId="1BAEAB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0" w:type="dxa"/>
          </w:tcPr>
          <w:p w14:paraId="16E61A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48ABA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69" w:type="dxa"/>
          </w:tcPr>
          <w:p w14:paraId="2921E7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81" w:type="dxa"/>
          </w:tcPr>
          <w:p w14:paraId="14B008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0465A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311" w:type="dxa"/>
          </w:tcPr>
          <w:p w14:paraId="65F7A7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6EF66DE" w14:textId="77777777">
        <w:tc>
          <w:tcPr>
            <w:tcW w:w="392" w:type="dxa"/>
          </w:tcPr>
          <w:p w14:paraId="46C9E1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992" w:type="dxa"/>
          </w:tcPr>
          <w:p w14:paraId="49DEE9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Одноместный истребитель</w:t>
            </w:r>
          </w:p>
          <w:p w14:paraId="07A5BA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Дальнейшее развитие и усовершенствование И5</w:t>
            </w:r>
          </w:p>
        </w:tc>
        <w:tc>
          <w:tcPr>
            <w:tcW w:w="425" w:type="dxa"/>
          </w:tcPr>
          <w:p w14:paraId="7BF639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И/2</w:t>
            </w:r>
          </w:p>
        </w:tc>
        <w:tc>
          <w:tcPr>
            <w:tcW w:w="2127" w:type="dxa"/>
          </w:tcPr>
          <w:p w14:paraId="3010D8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Наступательный бой со всеми, преимущественно легкими типами самолетов и воздухоплавательных аппаратов, как на фронте, так и, особенно, в собственном тылу</w:t>
            </w:r>
          </w:p>
          <w:p w14:paraId="115EE5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исключительных случаях - штурмовые действия по живой силе противника и визуальная разведка</w:t>
            </w:r>
          </w:p>
          <w:p w14:paraId="00A38E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Полет в одиночку и в строю. Бой. Основанный на широком маневре, внезапности и силе огня.</w:t>
            </w:r>
          </w:p>
          <w:p w14:paraId="1D9C67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а/ скороподъемность</w:t>
            </w:r>
          </w:p>
          <w:p w14:paraId="142D54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маневренность</w:t>
            </w:r>
          </w:p>
          <w:p w14:paraId="2A06ED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гор. Скорость на боевой высоте</w:t>
            </w:r>
          </w:p>
          <w:p w14:paraId="66CCE8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потолок</w:t>
            </w:r>
          </w:p>
        </w:tc>
        <w:tc>
          <w:tcPr>
            <w:tcW w:w="2085" w:type="dxa"/>
          </w:tcPr>
          <w:p w14:paraId="5E008B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пулемета для стрельбы через винт</w:t>
            </w:r>
          </w:p>
          <w:p w14:paraId="55FA14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счет перегрузки предусматривается установка доп. 2-х пулеметов вперед</w:t>
            </w:r>
          </w:p>
        </w:tc>
        <w:tc>
          <w:tcPr>
            <w:tcW w:w="556" w:type="dxa"/>
          </w:tcPr>
          <w:p w14:paraId="7602B0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760" w:type="dxa"/>
          </w:tcPr>
          <w:p w14:paraId="603CF2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350-400</w:t>
            </w:r>
          </w:p>
        </w:tc>
        <w:tc>
          <w:tcPr>
            <w:tcW w:w="426" w:type="dxa"/>
          </w:tcPr>
          <w:p w14:paraId="1D38EF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5-6 м</w:t>
            </w:r>
          </w:p>
        </w:tc>
        <w:tc>
          <w:tcPr>
            <w:tcW w:w="369" w:type="dxa"/>
          </w:tcPr>
          <w:p w14:paraId="2C4A41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исключительных случаях</w:t>
            </w:r>
          </w:p>
        </w:tc>
        <w:tc>
          <w:tcPr>
            <w:tcW w:w="481" w:type="dxa"/>
          </w:tcPr>
          <w:p w14:paraId="37BCA0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час. на 0,9 номин.</w:t>
            </w:r>
          </w:p>
        </w:tc>
        <w:tc>
          <w:tcPr>
            <w:tcW w:w="1276" w:type="dxa"/>
          </w:tcPr>
          <w:p w14:paraId="5A5BC2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Радио - КИР (в счет перегр., съемн.)</w:t>
            </w:r>
          </w:p>
          <w:p w14:paraId="0D47B5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 Фотоаппарат </w:t>
            </w:r>
            <w:r w:rsidRPr="005E779E">
              <w:rPr>
                <w:rFonts w:ascii="Times New Roman" w:hAnsi="Times New Roman"/>
                <w:color w:val="000000" w:themeColor="text1"/>
                <w:sz w:val="16"/>
                <w:szCs w:val="16"/>
                <w:lang w:val="en-US"/>
              </w:rPr>
              <w:t>FL</w:t>
            </w:r>
            <w:r w:rsidRPr="005E779E">
              <w:rPr>
                <w:rFonts w:ascii="Times New Roman" w:hAnsi="Times New Roman"/>
                <w:color w:val="000000" w:themeColor="text1"/>
                <w:sz w:val="16"/>
                <w:szCs w:val="16"/>
              </w:rPr>
              <w:t xml:space="preserve"> (в счет перегр., съемн.)</w:t>
            </w:r>
          </w:p>
          <w:p w14:paraId="1303E2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Электро - КОСА 1 (съемная часть в счет перегр., съемн.)</w:t>
            </w:r>
          </w:p>
          <w:p w14:paraId="1707EA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Вспомогат. оборуд. - норм. за исключ. огнетушителя</w:t>
            </w:r>
          </w:p>
          <w:p w14:paraId="25B945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Аэронавигац. Оборуд. Нормально, компас съемн. в счет перегрузк.</w:t>
            </w:r>
          </w:p>
        </w:tc>
        <w:tc>
          <w:tcPr>
            <w:tcW w:w="1311" w:type="dxa"/>
          </w:tcPr>
          <w:p w14:paraId="4FBB24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Общее примечание:</w:t>
            </w:r>
          </w:p>
          <w:p w14:paraId="5962F9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Как правило, сбрасываемый бомбовый груз должен размещаться весь внутри самолета (кассеты)</w:t>
            </w:r>
          </w:p>
          <w:p w14:paraId="451C3A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Самолдеты “крейсер”, тяжелый бомбардировщик и один истребитель типа ИП усовершенствуются в направлении “высотного полета”</w:t>
            </w:r>
          </w:p>
        </w:tc>
      </w:tr>
      <w:tr w:rsidR="001002C3" w:rsidRPr="005E779E" w14:paraId="79442ACE" w14:textId="77777777">
        <w:tc>
          <w:tcPr>
            <w:tcW w:w="392" w:type="dxa"/>
          </w:tcPr>
          <w:p w14:paraId="094A53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992" w:type="dxa"/>
          </w:tcPr>
          <w:p w14:paraId="0364C6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Двухместный истребитель</w:t>
            </w:r>
          </w:p>
          <w:p w14:paraId="4C1A33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Дальнейшее развитие и усовершенствование ДИ3 или ДИ4</w:t>
            </w:r>
          </w:p>
        </w:tc>
        <w:tc>
          <w:tcPr>
            <w:tcW w:w="425" w:type="dxa"/>
          </w:tcPr>
          <w:p w14:paraId="243A6A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ДИ/2</w:t>
            </w:r>
          </w:p>
        </w:tc>
        <w:tc>
          <w:tcPr>
            <w:tcW w:w="2127" w:type="dxa"/>
          </w:tcPr>
          <w:p w14:paraId="701B06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Активно-наступательный воздушный бой со всеми типами самолетов и воздухоплавательных аппаратов, как на фронте, так и в своем тылу. Обеспечение операций своей легкой и тяжелой бомбардировочной авиации. Воздушная разведка в интересах армейского командования. В исключительных случаях штурмовые и бомбардировочные действия.</w:t>
            </w:r>
          </w:p>
          <w:p w14:paraId="57C7CC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Совместные действия с рейдирующей конницей</w:t>
            </w:r>
          </w:p>
          <w:p w14:paraId="26FB40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Полет преимущественно в строю. Бой, основанный на силе своего огня, маневре и внезапности</w:t>
            </w:r>
          </w:p>
          <w:p w14:paraId="0FDEB2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а/ гор. Скорость на боевой высоте</w:t>
            </w:r>
          </w:p>
          <w:p w14:paraId="6D7B3A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маневренность</w:t>
            </w:r>
          </w:p>
          <w:p w14:paraId="2B800B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в/скороподъемность</w:t>
            </w:r>
          </w:p>
        </w:tc>
        <w:tc>
          <w:tcPr>
            <w:tcW w:w="2085" w:type="dxa"/>
          </w:tcPr>
          <w:p w14:paraId="6A4347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пулемета для стрельбы через винт</w:t>
            </w:r>
          </w:p>
          <w:p w14:paraId="320825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пулемет на турели стрелка.</w:t>
            </w:r>
          </w:p>
          <w:p w14:paraId="7DA45E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Количество патронов соответственно 2х750 + 750</w:t>
            </w:r>
          </w:p>
          <w:p w14:paraId="25DB66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счет перегрузки бомб нагрузка 100 кг:</w:t>
            </w:r>
          </w:p>
          <w:p w14:paraId="6CF039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1х100</w:t>
            </w:r>
          </w:p>
          <w:p w14:paraId="56CDEC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10х10 хим. бомб</w:t>
            </w:r>
          </w:p>
          <w:p w14:paraId="34E3C3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50х2 кг осколочные или дист.</w:t>
            </w:r>
          </w:p>
          <w:p w14:paraId="20E2DB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2 ЗАМа</w:t>
            </w:r>
          </w:p>
        </w:tc>
        <w:tc>
          <w:tcPr>
            <w:tcW w:w="556" w:type="dxa"/>
          </w:tcPr>
          <w:p w14:paraId="39FCBA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760" w:type="dxa"/>
          </w:tcPr>
          <w:p w14:paraId="2F851D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300-350</w:t>
            </w:r>
          </w:p>
        </w:tc>
        <w:tc>
          <w:tcPr>
            <w:tcW w:w="426" w:type="dxa"/>
          </w:tcPr>
          <w:p w14:paraId="20D15F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8-10</w:t>
            </w:r>
          </w:p>
        </w:tc>
        <w:tc>
          <w:tcPr>
            <w:tcW w:w="369" w:type="dxa"/>
          </w:tcPr>
          <w:p w14:paraId="1B4A8F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w:t>
            </w:r>
          </w:p>
        </w:tc>
        <w:tc>
          <w:tcPr>
            <w:tcW w:w="481" w:type="dxa"/>
          </w:tcPr>
          <w:p w14:paraId="166CB9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w:t>
            </w:r>
          </w:p>
        </w:tc>
        <w:tc>
          <w:tcPr>
            <w:tcW w:w="1276" w:type="dxa"/>
          </w:tcPr>
          <w:p w14:paraId="6410E9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Радио - КИР (в счет перегр., съемн.)</w:t>
            </w:r>
          </w:p>
          <w:p w14:paraId="77E15C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Фотоаппарат ФТОМПа (в счет перегр., съемн.), Перспективный К (в счет перегрузки)</w:t>
            </w:r>
          </w:p>
          <w:p w14:paraId="1B972B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Электро - КОСА П (съемная часть в счет перегр., съемн.)</w:t>
            </w:r>
          </w:p>
          <w:p w14:paraId="116D00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Вспомогутельное - парашюты, кислородн. Прибор и инструмент</w:t>
            </w:r>
          </w:p>
          <w:p w14:paraId="1DCA6B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Аэронавигация - нормально</w:t>
            </w:r>
          </w:p>
        </w:tc>
        <w:tc>
          <w:tcPr>
            <w:tcW w:w="1311" w:type="dxa"/>
          </w:tcPr>
          <w:p w14:paraId="798EE0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5A209DA" w14:textId="77777777">
        <w:tc>
          <w:tcPr>
            <w:tcW w:w="392" w:type="dxa"/>
          </w:tcPr>
          <w:p w14:paraId="472B1B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tc>
        <w:tc>
          <w:tcPr>
            <w:tcW w:w="992" w:type="dxa"/>
          </w:tcPr>
          <w:p w14:paraId="5BB958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Двухместный истребитель</w:t>
            </w:r>
          </w:p>
          <w:p w14:paraId="708DA8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Развитие самолета И12</w:t>
            </w:r>
          </w:p>
        </w:tc>
        <w:tc>
          <w:tcPr>
            <w:tcW w:w="425" w:type="dxa"/>
          </w:tcPr>
          <w:p w14:paraId="05800A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ДИ/1</w:t>
            </w:r>
          </w:p>
        </w:tc>
        <w:tc>
          <w:tcPr>
            <w:tcW w:w="2127" w:type="dxa"/>
          </w:tcPr>
          <w:p w14:paraId="1C1E50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 Воздушный бой со всеми и преимущественно тяжелыми типами самолетов и воздухоплавательных аппаратов /дирижабли/, как на фронте, так и в своем тылу. Обеспечение </w:t>
            </w:r>
            <w:r w:rsidRPr="005E779E">
              <w:rPr>
                <w:rFonts w:ascii="Times New Roman" w:hAnsi="Times New Roman"/>
                <w:color w:val="000000" w:themeColor="text1"/>
                <w:sz w:val="16"/>
                <w:szCs w:val="16"/>
              </w:rPr>
              <w:lastRenderedPageBreak/>
              <w:t xml:space="preserve">операций своей бомбардировочной авиации. </w:t>
            </w:r>
          </w:p>
          <w:p w14:paraId="5207B1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Полет в одиночку и в строю. Бой, основанный на силе своего огня.</w:t>
            </w:r>
          </w:p>
          <w:p w14:paraId="0C4402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а/ гор. Скорость на боевой высоте</w:t>
            </w:r>
          </w:p>
          <w:p w14:paraId="2826FF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маневренность</w:t>
            </w:r>
          </w:p>
          <w:p w14:paraId="7B2DB0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грузоподъемность /количество снарядов/</w:t>
            </w:r>
          </w:p>
          <w:p w14:paraId="22CCA9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г/скороподъемность</w:t>
            </w:r>
          </w:p>
        </w:tc>
        <w:tc>
          <w:tcPr>
            <w:tcW w:w="2085" w:type="dxa"/>
          </w:tcPr>
          <w:p w14:paraId="208512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2 пушки ДРП для стрельбы вперед</w:t>
            </w:r>
          </w:p>
          <w:p w14:paraId="2C1354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 пулемет для стредлльбы назад </w:t>
            </w:r>
          </w:p>
          <w:p w14:paraId="7C978D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Количество патронов 1000</w:t>
            </w:r>
          </w:p>
          <w:p w14:paraId="5D2DCF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Количество снарядов 20</w:t>
            </w:r>
          </w:p>
          <w:p w14:paraId="41828B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 счет перегрузки бомб нагрузка 100 кг:</w:t>
            </w:r>
          </w:p>
          <w:p w14:paraId="482259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а/ 10х10 оскол или дист. бомб</w:t>
            </w:r>
          </w:p>
          <w:p w14:paraId="68BF0C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2 ЗАМа</w:t>
            </w:r>
          </w:p>
        </w:tc>
        <w:tc>
          <w:tcPr>
            <w:tcW w:w="556" w:type="dxa"/>
          </w:tcPr>
          <w:p w14:paraId="044CC7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5000</w:t>
            </w:r>
          </w:p>
        </w:tc>
        <w:tc>
          <w:tcPr>
            <w:tcW w:w="760" w:type="dxa"/>
          </w:tcPr>
          <w:p w14:paraId="108C91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325-350</w:t>
            </w:r>
          </w:p>
        </w:tc>
        <w:tc>
          <w:tcPr>
            <w:tcW w:w="426" w:type="dxa"/>
          </w:tcPr>
          <w:p w14:paraId="7BC10A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10-12</w:t>
            </w:r>
          </w:p>
        </w:tc>
        <w:tc>
          <w:tcPr>
            <w:tcW w:w="369" w:type="dxa"/>
          </w:tcPr>
          <w:p w14:paraId="37B267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w:t>
            </w:r>
          </w:p>
        </w:tc>
        <w:tc>
          <w:tcPr>
            <w:tcW w:w="481" w:type="dxa"/>
          </w:tcPr>
          <w:p w14:paraId="522E13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300/500</w:t>
            </w:r>
          </w:p>
        </w:tc>
        <w:tc>
          <w:tcPr>
            <w:tcW w:w="1276" w:type="dxa"/>
          </w:tcPr>
          <w:p w14:paraId="4CB983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Радио - КИР (в счет перегр., съемн.)</w:t>
            </w:r>
          </w:p>
          <w:p w14:paraId="03FB4B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Фотоаппарат ФТОМПа (в счет перегр., съемн.), Перспективны</w:t>
            </w:r>
            <w:r w:rsidRPr="005E779E">
              <w:rPr>
                <w:rFonts w:ascii="Times New Roman" w:hAnsi="Times New Roman"/>
                <w:color w:val="000000" w:themeColor="text1"/>
                <w:sz w:val="16"/>
                <w:szCs w:val="16"/>
              </w:rPr>
              <w:lastRenderedPageBreak/>
              <w:t>й К (в счет перегрузки)</w:t>
            </w:r>
          </w:p>
          <w:p w14:paraId="5A978D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Электро - КОСА П (съемная часть в счет перегр., съемн.)</w:t>
            </w:r>
          </w:p>
          <w:p w14:paraId="0310D1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311" w:type="dxa"/>
          </w:tcPr>
          <w:p w14:paraId="3739F6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Двухмоторная схема</w:t>
            </w:r>
          </w:p>
        </w:tc>
      </w:tr>
      <w:tr w:rsidR="001002C3" w:rsidRPr="005E779E" w14:paraId="763E35EF" w14:textId="77777777">
        <w:tc>
          <w:tcPr>
            <w:tcW w:w="392" w:type="dxa"/>
          </w:tcPr>
          <w:p w14:paraId="7460BD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w:t>
            </w:r>
          </w:p>
        </w:tc>
        <w:tc>
          <w:tcPr>
            <w:tcW w:w="992" w:type="dxa"/>
          </w:tcPr>
          <w:p w14:paraId="3E5662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Крейсер</w:t>
            </w:r>
          </w:p>
          <w:p w14:paraId="130A29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Дальнейшее развитие и усовершенствование с-та МИ3</w:t>
            </w:r>
          </w:p>
        </w:tc>
        <w:tc>
          <w:tcPr>
            <w:tcW w:w="425" w:type="dxa"/>
          </w:tcPr>
          <w:p w14:paraId="07D734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К/2</w:t>
            </w:r>
          </w:p>
        </w:tc>
        <w:tc>
          <w:tcPr>
            <w:tcW w:w="2127" w:type="dxa"/>
          </w:tcPr>
          <w:p w14:paraId="65F737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Обеспечение операций своей тяжелой бомбардировочной авиации /сопровождение/. Глубокая стратегическая разведка в инетерсах фронтового командования</w:t>
            </w:r>
          </w:p>
          <w:p w14:paraId="582438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Полет в одиночку и в строю. Маневр как средство максимального использования огня.</w:t>
            </w:r>
          </w:p>
          <w:p w14:paraId="00A679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а/ огневая мощ - сферический обстрел с максимальным уплотнением огня по бортам</w:t>
            </w:r>
          </w:p>
          <w:p w14:paraId="0D8F65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горизонтальная скорость на боевой высоте</w:t>
            </w:r>
          </w:p>
          <w:p w14:paraId="514569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дальность полета</w:t>
            </w:r>
          </w:p>
          <w:p w14:paraId="6EF2C7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 потолок</w:t>
            </w:r>
          </w:p>
          <w:p w14:paraId="72E238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маневренность</w:t>
            </w:r>
          </w:p>
        </w:tc>
        <w:tc>
          <w:tcPr>
            <w:tcW w:w="2085" w:type="dxa"/>
          </w:tcPr>
          <w:p w14:paraId="6BA2F5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тяжелых пулемета для стрельбы вперед</w:t>
            </w:r>
          </w:p>
          <w:p w14:paraId="65ADD2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тяжелых пулемета для стрельбы назад</w:t>
            </w:r>
          </w:p>
          <w:p w14:paraId="58762C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легкий для стрельбы вниз под хвост</w:t>
            </w:r>
          </w:p>
          <w:p w14:paraId="489045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Количество патронов для тяжелых пулеметов 4х?</w:t>
            </w:r>
          </w:p>
          <w:p w14:paraId="61C9D9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Количество патронов для легких пулеметов 500</w:t>
            </w:r>
          </w:p>
          <w:p w14:paraId="17B5F0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50х10 оскол. бомб</w:t>
            </w:r>
          </w:p>
          <w:p w14:paraId="39D2AD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б/ 50х10 дист. бомб </w:t>
            </w:r>
          </w:p>
        </w:tc>
        <w:tc>
          <w:tcPr>
            <w:tcW w:w="556" w:type="dxa"/>
          </w:tcPr>
          <w:p w14:paraId="624B44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7000</w:t>
            </w:r>
          </w:p>
        </w:tc>
        <w:tc>
          <w:tcPr>
            <w:tcW w:w="760" w:type="dxa"/>
          </w:tcPr>
          <w:p w14:paraId="7C97C3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w:t>
            </w:r>
          </w:p>
        </w:tc>
        <w:tc>
          <w:tcPr>
            <w:tcW w:w="426" w:type="dxa"/>
          </w:tcPr>
          <w:p w14:paraId="65218C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369" w:type="dxa"/>
          </w:tcPr>
          <w:p w14:paraId="53275D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w:t>
            </w:r>
          </w:p>
        </w:tc>
        <w:tc>
          <w:tcPr>
            <w:tcW w:w="481" w:type="dxa"/>
          </w:tcPr>
          <w:p w14:paraId="284BF9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750/1000</w:t>
            </w:r>
          </w:p>
        </w:tc>
        <w:tc>
          <w:tcPr>
            <w:tcW w:w="1276" w:type="dxa"/>
          </w:tcPr>
          <w:p w14:paraId="05B1CB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Радио ДСР (съемн. в норм. нагрузке)</w:t>
            </w:r>
          </w:p>
          <w:p w14:paraId="10D209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Фото - (съемный в норм. нагрузке)</w:t>
            </w:r>
          </w:p>
          <w:p w14:paraId="64D528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Электро - КОСА Ш (съемная часть в счет перегр., съемн.)</w:t>
            </w:r>
          </w:p>
          <w:p w14:paraId="607682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Вспомогательное - нормально</w:t>
            </w:r>
          </w:p>
          <w:p w14:paraId="3D87EB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Аэронавигация - нормально</w:t>
            </w:r>
          </w:p>
        </w:tc>
        <w:tc>
          <w:tcPr>
            <w:tcW w:w="1311" w:type="dxa"/>
          </w:tcPr>
          <w:p w14:paraId="2256C7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Полет на 7000 м обеспечивается: соответствующей мощностью и высотностью моторами, горючим, отеплением экипажа, приборов и вооружения и специально разрабатываеой одеждой (водола. костюм)</w:t>
            </w:r>
          </w:p>
        </w:tc>
      </w:tr>
      <w:tr w:rsidR="001002C3" w:rsidRPr="005E779E" w14:paraId="7C906F49" w14:textId="77777777">
        <w:tc>
          <w:tcPr>
            <w:tcW w:w="392" w:type="dxa"/>
          </w:tcPr>
          <w:p w14:paraId="4BA80B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8BD14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8C427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Pr>
          <w:p w14:paraId="7823BE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Разведывательная авиация</w:t>
            </w:r>
          </w:p>
        </w:tc>
        <w:tc>
          <w:tcPr>
            <w:tcW w:w="2085" w:type="dxa"/>
          </w:tcPr>
          <w:p w14:paraId="0E563A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Pr>
          <w:p w14:paraId="1D0F29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0" w:type="dxa"/>
          </w:tcPr>
          <w:p w14:paraId="69C832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40417F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69" w:type="dxa"/>
          </w:tcPr>
          <w:p w14:paraId="2BC2E1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81" w:type="dxa"/>
          </w:tcPr>
          <w:p w14:paraId="6E50CD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CE798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311" w:type="dxa"/>
          </w:tcPr>
          <w:p w14:paraId="4BC26B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F2BDF3E" w14:textId="77777777">
        <w:tc>
          <w:tcPr>
            <w:tcW w:w="392" w:type="dxa"/>
          </w:tcPr>
          <w:p w14:paraId="4C0A46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w:t>
            </w:r>
          </w:p>
        </w:tc>
        <w:tc>
          <w:tcPr>
            <w:tcW w:w="992" w:type="dxa"/>
          </w:tcPr>
          <w:p w14:paraId="414D9C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Войсковой самолет (3-х местный)</w:t>
            </w:r>
          </w:p>
          <w:p w14:paraId="597A8D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Развитие и усовершенствование Р9</w:t>
            </w:r>
          </w:p>
        </w:tc>
        <w:tc>
          <w:tcPr>
            <w:tcW w:w="425" w:type="dxa"/>
          </w:tcPr>
          <w:p w14:paraId="4D8FA8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ВС/2</w:t>
            </w:r>
          </w:p>
        </w:tc>
        <w:tc>
          <w:tcPr>
            <w:tcW w:w="2127" w:type="dxa"/>
          </w:tcPr>
          <w:p w14:paraId="1B44AD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Разведка поля боя и ближайшего войскового тыла противника. Корректирование арт. Огня. Служба командования. Постановка на земле дымовых завес. Бомбардировка несложных сооружений противника в его ближайшем тылу (полевые парки, склады, аэродромы и т.д.), штурмовые действия</w:t>
            </w:r>
          </w:p>
          <w:p w14:paraId="34BE54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Полет одиночный и в строю. Бой оборонительный</w:t>
            </w:r>
          </w:p>
          <w:p w14:paraId="04C4BE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а/ взлетно-посадочные качества</w:t>
            </w:r>
          </w:p>
          <w:p w14:paraId="0AD4F1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обзор и обстрел</w:t>
            </w:r>
          </w:p>
          <w:p w14:paraId="2641D4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дапазон скоростей</w:t>
            </w:r>
          </w:p>
          <w:p w14:paraId="4676AF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скороподъемность</w:t>
            </w:r>
          </w:p>
          <w:p w14:paraId="524213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 продолжительность полета</w:t>
            </w:r>
          </w:p>
          <w:p w14:paraId="4BF0F8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 горизонтальная скорость</w:t>
            </w:r>
          </w:p>
        </w:tc>
        <w:tc>
          <w:tcPr>
            <w:tcW w:w="2085" w:type="dxa"/>
          </w:tcPr>
          <w:p w14:paraId="767712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пулемет для стрельбы в передней полусфере, на турели (носовая кабина)</w:t>
            </w:r>
          </w:p>
          <w:p w14:paraId="510661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пулемета для стрельбы в задней полусфере на турели (задняя кабина стрелка)</w:t>
            </w:r>
          </w:p>
          <w:p w14:paraId="7CC60F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пулемет для стрельбы вниз-назад - специальная установка в кабине стрелка</w:t>
            </w:r>
          </w:p>
          <w:p w14:paraId="5549E0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Количество патронов соответственно: 500, 1000, 500</w:t>
            </w:r>
          </w:p>
          <w:p w14:paraId="0E45A2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Сбрасываемый груз нормально - 300, с перегрузкой - 500</w:t>
            </w:r>
          </w:p>
          <w:p w14:paraId="20745B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50х10 оскол. Т оск.-хим. бомб</w:t>
            </w:r>
          </w:p>
          <w:p w14:paraId="2ADCAC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10х50 фугаснн. бомб</w:t>
            </w:r>
          </w:p>
          <w:p w14:paraId="6EC0F2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5х100 фкг. бомб</w:t>
            </w:r>
          </w:p>
          <w:p w14:paraId="7B1183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при отсутствии бомб устанавливается химич. Или дымоаппаратуцра</w:t>
            </w:r>
          </w:p>
        </w:tc>
        <w:tc>
          <w:tcPr>
            <w:tcW w:w="556" w:type="dxa"/>
          </w:tcPr>
          <w:p w14:paraId="69E916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760" w:type="dxa"/>
          </w:tcPr>
          <w:p w14:paraId="2E092C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 посадочная не более 65</w:t>
            </w:r>
          </w:p>
        </w:tc>
        <w:tc>
          <w:tcPr>
            <w:tcW w:w="426" w:type="dxa"/>
          </w:tcPr>
          <w:p w14:paraId="30F016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w:t>
            </w:r>
          </w:p>
        </w:tc>
        <w:tc>
          <w:tcPr>
            <w:tcW w:w="369" w:type="dxa"/>
          </w:tcPr>
          <w:p w14:paraId="05A8BF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300/500</w:t>
            </w:r>
          </w:p>
        </w:tc>
        <w:tc>
          <w:tcPr>
            <w:tcW w:w="481" w:type="dxa"/>
          </w:tcPr>
          <w:p w14:paraId="35C653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часа на 0,9 номин. Мощн.</w:t>
            </w:r>
          </w:p>
          <w:p w14:paraId="147D7D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Емкость б/баков на 4,5 часа</w:t>
            </w:r>
          </w:p>
        </w:tc>
        <w:tc>
          <w:tcPr>
            <w:tcW w:w="1276" w:type="dxa"/>
          </w:tcPr>
          <w:p w14:paraId="2D3D21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Оборудование - радио ДСР</w:t>
            </w:r>
          </w:p>
          <w:p w14:paraId="1D3D26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Фото - фотокамера для обработки снимков в воздухе</w:t>
            </w:r>
          </w:p>
          <w:p w14:paraId="4E0CBE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Электро-КАСА Ш (съемная часть за счет перегрузки)</w:t>
            </w:r>
          </w:p>
          <w:p w14:paraId="59F610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Вспомогательное - нормально</w:t>
            </w:r>
          </w:p>
          <w:p w14:paraId="4FF6B2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Аэронавигация - нормально</w:t>
            </w:r>
          </w:p>
          <w:p w14:paraId="4637E8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311" w:type="dxa"/>
          </w:tcPr>
          <w:p w14:paraId="69E8F7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Предусмотреть установку 2-го управления на переднем месте</w:t>
            </w:r>
          </w:p>
          <w:p w14:paraId="296222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самолет приспосабливается для тех же целей из самолета борьбы с вредителями лесов ГВФ</w:t>
            </w:r>
          </w:p>
          <w:p w14:paraId="34D250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Применение разрезного крыла</w:t>
            </w:r>
          </w:p>
          <w:p w14:paraId="036A33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использовании самоЛета в качестве штурмовика, постановка съемной брони</w:t>
            </w:r>
          </w:p>
          <w:p w14:paraId="1C56F6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невозможности осущетсвления последнего требования допустимо при постройке 2-рамных фюзеляжей</w:t>
            </w:r>
          </w:p>
        </w:tc>
      </w:tr>
      <w:tr w:rsidR="001002C3" w:rsidRPr="005E779E" w14:paraId="73D0C889" w14:textId="77777777">
        <w:tc>
          <w:tcPr>
            <w:tcW w:w="392" w:type="dxa"/>
          </w:tcPr>
          <w:p w14:paraId="612036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BCEF2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D426E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Pr>
          <w:p w14:paraId="388800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Штурмовая авиация</w:t>
            </w:r>
          </w:p>
        </w:tc>
        <w:tc>
          <w:tcPr>
            <w:tcW w:w="2085" w:type="dxa"/>
          </w:tcPr>
          <w:p w14:paraId="549247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Pr>
          <w:p w14:paraId="0ABCB4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0" w:type="dxa"/>
          </w:tcPr>
          <w:p w14:paraId="0464CF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A6886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69" w:type="dxa"/>
          </w:tcPr>
          <w:p w14:paraId="07059F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81" w:type="dxa"/>
          </w:tcPr>
          <w:p w14:paraId="7DCBB7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B52E7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311" w:type="dxa"/>
          </w:tcPr>
          <w:p w14:paraId="067C90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4C4A9F7" w14:textId="77777777">
        <w:tc>
          <w:tcPr>
            <w:tcW w:w="392" w:type="dxa"/>
          </w:tcPr>
          <w:p w14:paraId="2BAA13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w:t>
            </w:r>
          </w:p>
        </w:tc>
        <w:tc>
          <w:tcPr>
            <w:tcW w:w="992" w:type="dxa"/>
          </w:tcPr>
          <w:p w14:paraId="36CC25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Легкий штурмовик</w:t>
            </w:r>
          </w:p>
          <w:p w14:paraId="50CA39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Приспособление самолета И5</w:t>
            </w:r>
          </w:p>
        </w:tc>
        <w:tc>
          <w:tcPr>
            <w:tcW w:w="425" w:type="dxa"/>
          </w:tcPr>
          <w:p w14:paraId="78FEF1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ЛШ/1</w:t>
            </w:r>
          </w:p>
        </w:tc>
        <w:tc>
          <w:tcPr>
            <w:tcW w:w="2127" w:type="dxa"/>
          </w:tcPr>
          <w:p w14:paraId="678454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Штурмовые действия по живой силе противника, преимущественно в зоне подхода к полю боя</w:t>
            </w:r>
          </w:p>
          <w:p w14:paraId="5A9E53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Полет одиночный и в строю (преимущественно последнее), внезапность атаки. Выход на цель с резким снижением и с бреющего полета с последующим резким уходом на высоту и за закрытия</w:t>
            </w:r>
          </w:p>
        </w:tc>
        <w:tc>
          <w:tcPr>
            <w:tcW w:w="2085" w:type="dxa"/>
          </w:tcPr>
          <w:p w14:paraId="06E450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пулемета для стрельбы через винт (2 пулемета съемные в счет перегрузки)</w:t>
            </w:r>
          </w:p>
          <w:p w14:paraId="7FEEE6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Количество патронов 500х4</w:t>
            </w:r>
          </w:p>
          <w:p w14:paraId="0B0E9C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Сбрасываемый груз 200 кг</w:t>
            </w:r>
          </w:p>
          <w:p w14:paraId="4AA873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Калибр: 1-2, 10 и 50</w:t>
            </w:r>
          </w:p>
          <w:p w14:paraId="3B769C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Варианты нагрузок:</w:t>
            </w:r>
          </w:p>
          <w:p w14:paraId="507039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200х1 гранат пехотных</w:t>
            </w:r>
          </w:p>
          <w:p w14:paraId="7C6DC1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100х2 оск. и оск.-хим. бомб</w:t>
            </w:r>
          </w:p>
          <w:p w14:paraId="199412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в/4х50 фуг. бомб (подвеска)</w:t>
            </w:r>
          </w:p>
        </w:tc>
        <w:tc>
          <w:tcPr>
            <w:tcW w:w="556" w:type="dxa"/>
          </w:tcPr>
          <w:p w14:paraId="609B44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0" w:type="dxa"/>
          </w:tcPr>
          <w:p w14:paraId="3F93CA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3DB64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69" w:type="dxa"/>
          </w:tcPr>
          <w:p w14:paraId="32A843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w:t>
            </w:r>
          </w:p>
        </w:tc>
        <w:tc>
          <w:tcPr>
            <w:tcW w:w="481" w:type="dxa"/>
          </w:tcPr>
          <w:p w14:paraId="7C38FF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1AB6E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Радио - КИР (съемный в счет перегрузки)</w:t>
            </w:r>
          </w:p>
          <w:p w14:paraId="18C8B0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Фото - нет</w:t>
            </w:r>
          </w:p>
          <w:p w14:paraId="66237D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Электро - КАСА 1ё (суъемная часть за счет перегрузки)</w:t>
            </w:r>
          </w:p>
          <w:p w14:paraId="7AA04E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Вспосогательные - парашюты</w:t>
            </w:r>
          </w:p>
          <w:p w14:paraId="72E0BB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Огнетушители, кислородный прибор и </w:t>
            </w:r>
            <w:r w:rsidRPr="005E779E">
              <w:rPr>
                <w:rFonts w:ascii="Times New Roman" w:hAnsi="Times New Roman"/>
                <w:color w:val="000000" w:themeColor="text1"/>
                <w:sz w:val="16"/>
                <w:szCs w:val="16"/>
              </w:rPr>
              <w:lastRenderedPageBreak/>
              <w:t>инструмент - нет</w:t>
            </w:r>
          </w:p>
          <w:p w14:paraId="32785E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Аэронавигация - нормально</w:t>
            </w:r>
          </w:p>
        </w:tc>
        <w:tc>
          <w:tcPr>
            <w:tcW w:w="1311" w:type="dxa"/>
          </w:tcPr>
          <w:p w14:paraId="4ED88D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ЛТД полученные от самолета после приспособления</w:t>
            </w:r>
          </w:p>
        </w:tc>
      </w:tr>
      <w:tr w:rsidR="001002C3" w:rsidRPr="005E779E" w14:paraId="73FAADB4" w14:textId="77777777">
        <w:tc>
          <w:tcPr>
            <w:tcW w:w="392" w:type="dxa"/>
          </w:tcPr>
          <w:p w14:paraId="67B967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w:t>
            </w:r>
          </w:p>
        </w:tc>
        <w:tc>
          <w:tcPr>
            <w:tcW w:w="992" w:type="dxa"/>
          </w:tcPr>
          <w:p w14:paraId="4EBC2D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Легкий бронированный штурмовик (одноместный одномоторный)</w:t>
            </w:r>
          </w:p>
          <w:p w14:paraId="242449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Развитие самолета ТШ2</w:t>
            </w:r>
          </w:p>
        </w:tc>
        <w:tc>
          <w:tcPr>
            <w:tcW w:w="425" w:type="dxa"/>
          </w:tcPr>
          <w:p w14:paraId="1F351B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ЛБШ/2</w:t>
            </w:r>
          </w:p>
        </w:tc>
        <w:tc>
          <w:tcPr>
            <w:tcW w:w="2127" w:type="dxa"/>
          </w:tcPr>
          <w:p w14:paraId="5378A0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Штурмовые действия против живой силы противника, как на поле боя, так и в ближайшем го тылу</w:t>
            </w:r>
          </w:p>
          <w:p w14:paraId="55B9DE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Полет одиночный и в строю (преимущественно последнее). Внезапность атаки. Выход на цель преимущественно с бреющего полета с последующим быстрым и резким за прикрытия</w:t>
            </w:r>
          </w:p>
          <w:p w14:paraId="5692F4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а/ нажежность</w:t>
            </w:r>
          </w:p>
          <w:p w14:paraId="5EAEAD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горизонтальная скорость</w:t>
            </w:r>
          </w:p>
          <w:p w14:paraId="6E4AAB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маневренность</w:t>
            </w:r>
          </w:p>
          <w:p w14:paraId="4195E6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посадочная скорость</w:t>
            </w:r>
          </w:p>
          <w:p w14:paraId="2EC88B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 скороподъемность</w:t>
            </w:r>
          </w:p>
        </w:tc>
        <w:tc>
          <w:tcPr>
            <w:tcW w:w="2085" w:type="dxa"/>
          </w:tcPr>
          <w:p w14:paraId="5EA54D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пулемета для стрельбы через винт (2 пулемета съемные в счет перегрузки)</w:t>
            </w:r>
          </w:p>
          <w:p w14:paraId="06AAE0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Количество патронов 500х4=2000</w:t>
            </w:r>
          </w:p>
          <w:p w14:paraId="647B12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Сбрасываемый груз 200 кг</w:t>
            </w:r>
          </w:p>
          <w:p w14:paraId="609247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перегрузкой - 400</w:t>
            </w:r>
          </w:p>
          <w:p w14:paraId="66DB0E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Калибр и варианты бомб:</w:t>
            </w:r>
          </w:p>
          <w:p w14:paraId="7CC14C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400х1 гранат пехотных</w:t>
            </w:r>
          </w:p>
          <w:p w14:paraId="1E9B46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200х2 оск. и оск.-хим. бомб</w:t>
            </w:r>
          </w:p>
          <w:p w14:paraId="45F911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в/8х50 фуг. бомб (подвеска)</w:t>
            </w:r>
          </w:p>
        </w:tc>
        <w:tc>
          <w:tcPr>
            <w:tcW w:w="556" w:type="dxa"/>
          </w:tcPr>
          <w:p w14:paraId="7F3276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60" w:type="dxa"/>
          </w:tcPr>
          <w:p w14:paraId="4DF674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w:t>
            </w:r>
          </w:p>
        </w:tc>
        <w:tc>
          <w:tcPr>
            <w:tcW w:w="426" w:type="dxa"/>
          </w:tcPr>
          <w:p w14:paraId="02DBE1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369" w:type="dxa"/>
          </w:tcPr>
          <w:p w14:paraId="486FFF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200/400</w:t>
            </w:r>
          </w:p>
        </w:tc>
        <w:tc>
          <w:tcPr>
            <w:tcW w:w="481" w:type="dxa"/>
          </w:tcPr>
          <w:p w14:paraId="0BA7DF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w:t>
            </w:r>
          </w:p>
        </w:tc>
        <w:tc>
          <w:tcPr>
            <w:tcW w:w="1276" w:type="dxa"/>
          </w:tcPr>
          <w:p w14:paraId="422DAB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Радио - КИР (съемный в счет перегрузки)</w:t>
            </w:r>
          </w:p>
          <w:p w14:paraId="6D130E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Фото - нет</w:t>
            </w:r>
          </w:p>
          <w:p w14:paraId="0F2BEB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Электро - КАСА 1ё (суъемная часть за счет перегрузки)</w:t>
            </w:r>
          </w:p>
          <w:p w14:paraId="22FFE2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Вспосогательные - парашюты</w:t>
            </w:r>
          </w:p>
          <w:p w14:paraId="4D9DE9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Огнетушители, кислородный прибор и инструмент - отсутств.</w:t>
            </w:r>
          </w:p>
          <w:p w14:paraId="3E0665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Аэронавигация - нормально</w:t>
            </w:r>
          </w:p>
        </w:tc>
        <w:tc>
          <w:tcPr>
            <w:tcW w:w="1311" w:type="dxa"/>
          </w:tcPr>
          <w:p w14:paraId="167260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случае принятия варианта двухкилевого самолетавсе остается как и для одноместного, но вооружение распределяется след. образом:</w:t>
            </w:r>
          </w:p>
          <w:p w14:paraId="3CE596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пул вперед вниз</w:t>
            </w:r>
          </w:p>
          <w:p w14:paraId="4EC145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пулемета назад.</w:t>
            </w:r>
          </w:p>
          <w:p w14:paraId="67A65A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Количество патронов 500х2 и 750х2</w:t>
            </w:r>
          </w:p>
        </w:tc>
      </w:tr>
      <w:tr w:rsidR="001002C3" w:rsidRPr="005E779E" w14:paraId="10D597E2" w14:textId="77777777">
        <w:tc>
          <w:tcPr>
            <w:tcW w:w="392" w:type="dxa"/>
          </w:tcPr>
          <w:p w14:paraId="72E6C5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w:t>
            </w:r>
          </w:p>
        </w:tc>
        <w:tc>
          <w:tcPr>
            <w:tcW w:w="992" w:type="dxa"/>
          </w:tcPr>
          <w:p w14:paraId="1A2FF9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Химический боевик легкий</w:t>
            </w:r>
          </w:p>
          <w:p w14:paraId="3D8C31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(приспособление самолета для борьбы с вредителями сельского хозяйства и лесов ГВФ)</w:t>
            </w:r>
          </w:p>
        </w:tc>
        <w:tc>
          <w:tcPr>
            <w:tcW w:w="425" w:type="dxa"/>
          </w:tcPr>
          <w:p w14:paraId="46503E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ЛХ/2</w:t>
            </w:r>
          </w:p>
        </w:tc>
        <w:tc>
          <w:tcPr>
            <w:tcW w:w="2127" w:type="dxa"/>
          </w:tcPr>
          <w:p w14:paraId="0F800D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Заражение ОВ живой силы противника, объектов со слабой противовоздушной обороной. Постановка дымзавес на земле</w:t>
            </w:r>
          </w:p>
          <w:p w14:paraId="3EA3B3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Полет одиночный и в строю. Бой оборонительный</w:t>
            </w:r>
          </w:p>
          <w:p w14:paraId="293418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а/ максимальная емкость баков с ОВ</w:t>
            </w:r>
          </w:p>
          <w:p w14:paraId="4E907C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посадочные качества</w:t>
            </w:r>
          </w:p>
        </w:tc>
        <w:tc>
          <w:tcPr>
            <w:tcW w:w="2085" w:type="dxa"/>
          </w:tcPr>
          <w:p w14:paraId="1803E6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пулемет для стрельбы вперед</w:t>
            </w:r>
          </w:p>
          <w:p w14:paraId="68B567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пулемет для стрельбы назад (на турели)</w:t>
            </w:r>
          </w:p>
          <w:p w14:paraId="126174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Количество патронов - 500</w:t>
            </w:r>
          </w:p>
          <w:p w14:paraId="3FBA48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Сбрасываемого груза - нет</w:t>
            </w:r>
          </w:p>
        </w:tc>
        <w:tc>
          <w:tcPr>
            <w:tcW w:w="556" w:type="dxa"/>
          </w:tcPr>
          <w:p w14:paraId="688DE7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60" w:type="dxa"/>
          </w:tcPr>
          <w:p w14:paraId="26E978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426" w:type="dxa"/>
          </w:tcPr>
          <w:p w14:paraId="65B5C6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369" w:type="dxa"/>
          </w:tcPr>
          <w:p w14:paraId="099C35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481" w:type="dxa"/>
          </w:tcPr>
          <w:p w14:paraId="48AF09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276" w:type="dxa"/>
          </w:tcPr>
          <w:p w14:paraId="7DFC39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Радио - нет</w:t>
            </w:r>
          </w:p>
          <w:p w14:paraId="502974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Фото - нет</w:t>
            </w:r>
          </w:p>
          <w:p w14:paraId="617271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Электро - КАСА П</w:t>
            </w:r>
          </w:p>
          <w:p w14:paraId="7E7FE3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Вспомогательное - нормально за исключением кислородного прибора</w:t>
            </w:r>
          </w:p>
          <w:p w14:paraId="0B3BDD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Аэронавигация - нормально</w:t>
            </w:r>
          </w:p>
        </w:tc>
        <w:tc>
          <w:tcPr>
            <w:tcW w:w="1311" w:type="dxa"/>
          </w:tcPr>
          <w:p w14:paraId="12BA51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E42EF45" w14:textId="77777777">
        <w:tc>
          <w:tcPr>
            <w:tcW w:w="392" w:type="dxa"/>
          </w:tcPr>
          <w:p w14:paraId="6D3080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8C498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925EB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Pr>
          <w:p w14:paraId="2ED8B0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Бомбардировочная авиация</w:t>
            </w:r>
          </w:p>
        </w:tc>
        <w:tc>
          <w:tcPr>
            <w:tcW w:w="2085" w:type="dxa"/>
          </w:tcPr>
          <w:p w14:paraId="49FDAA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Pr>
          <w:p w14:paraId="23723F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0" w:type="dxa"/>
          </w:tcPr>
          <w:p w14:paraId="70F10B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6A4126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69" w:type="dxa"/>
          </w:tcPr>
          <w:p w14:paraId="606042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81" w:type="dxa"/>
          </w:tcPr>
          <w:p w14:paraId="67E842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4415F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311" w:type="dxa"/>
          </w:tcPr>
          <w:p w14:paraId="6AFD30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6BA6094" w14:textId="77777777">
        <w:tc>
          <w:tcPr>
            <w:tcW w:w="392" w:type="dxa"/>
          </w:tcPr>
          <w:p w14:paraId="38E1D7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w:t>
            </w:r>
          </w:p>
        </w:tc>
        <w:tc>
          <w:tcPr>
            <w:tcW w:w="992" w:type="dxa"/>
          </w:tcPr>
          <w:p w14:paraId="4B0B7A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Бомбардировщик среднего тоннажа</w:t>
            </w:r>
          </w:p>
          <w:p w14:paraId="12555F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Дальнейшее развитие и усовершенствование самолетов ТБ-1 или Р6 или ТБ5</w:t>
            </w:r>
          </w:p>
        </w:tc>
        <w:tc>
          <w:tcPr>
            <w:tcW w:w="425" w:type="dxa"/>
          </w:tcPr>
          <w:p w14:paraId="7031D6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Б/2</w:t>
            </w:r>
          </w:p>
        </w:tc>
        <w:tc>
          <w:tcPr>
            <w:tcW w:w="2127" w:type="dxa"/>
          </w:tcPr>
          <w:p w14:paraId="42F66F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Разрушение ж/д объектов, бомбардировка городов, заводов, электростанций и др. объектов оперативной зоны; бомбардировка аэродромов; десантные операции</w:t>
            </w:r>
          </w:p>
          <w:p w14:paraId="03142E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Полет преимущественно группой. Бой оборонительный и основанный на максимальном использовании огновой мощи самолета. Полет днем и ночью</w:t>
            </w:r>
          </w:p>
          <w:p w14:paraId="384D6D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а/ огневая независимость</w:t>
            </w:r>
          </w:p>
          <w:p w14:paraId="0D76EB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взлетно-посадочные качества</w:t>
            </w:r>
          </w:p>
          <w:p w14:paraId="262861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грузоподъемность</w:t>
            </w:r>
          </w:p>
          <w:p w14:paraId="761F41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дальность действия</w:t>
            </w:r>
          </w:p>
          <w:p w14:paraId="281824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 горизонтальная скорость</w:t>
            </w:r>
          </w:p>
          <w:p w14:paraId="4143B9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 потолок</w:t>
            </w:r>
          </w:p>
        </w:tc>
        <w:tc>
          <w:tcPr>
            <w:tcW w:w="2085" w:type="dxa"/>
          </w:tcPr>
          <w:p w14:paraId="5E275D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 и бомбовая нагрузка подлежат специальному рассмотрению</w:t>
            </w:r>
          </w:p>
        </w:tc>
        <w:tc>
          <w:tcPr>
            <w:tcW w:w="556" w:type="dxa"/>
          </w:tcPr>
          <w:p w14:paraId="2732B5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760" w:type="dxa"/>
          </w:tcPr>
          <w:p w14:paraId="5F7646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250</w:t>
            </w:r>
          </w:p>
        </w:tc>
        <w:tc>
          <w:tcPr>
            <w:tcW w:w="426" w:type="dxa"/>
          </w:tcPr>
          <w:p w14:paraId="577F71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369" w:type="dxa"/>
          </w:tcPr>
          <w:p w14:paraId="4F3E19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2000</w:t>
            </w:r>
          </w:p>
        </w:tc>
        <w:tc>
          <w:tcPr>
            <w:tcW w:w="481" w:type="dxa"/>
          </w:tcPr>
          <w:p w14:paraId="1C6B9E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500/750</w:t>
            </w:r>
          </w:p>
        </w:tc>
        <w:tc>
          <w:tcPr>
            <w:tcW w:w="1276" w:type="dxa"/>
          </w:tcPr>
          <w:p w14:paraId="67AE2A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Оборудование - тоже, что и на существующем, подлежазем модернизации самолете</w:t>
            </w:r>
          </w:p>
        </w:tc>
        <w:tc>
          <w:tcPr>
            <w:tcW w:w="1311" w:type="dxa"/>
          </w:tcPr>
          <w:p w14:paraId="1F937348" w14:textId="7C8B567B"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Усровершенствование идет по линии увеличения грузоподъемности, скорост</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и огневой мощи (впереди сферическая башня, одна огневая точка на хвосте).</w:t>
            </w:r>
          </w:p>
        </w:tc>
      </w:tr>
      <w:tr w:rsidR="001002C3" w:rsidRPr="005E779E" w14:paraId="4C31C402" w14:textId="77777777">
        <w:tc>
          <w:tcPr>
            <w:tcW w:w="392" w:type="dxa"/>
          </w:tcPr>
          <w:p w14:paraId="6717FC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w:t>
            </w:r>
          </w:p>
        </w:tc>
        <w:tc>
          <w:tcPr>
            <w:tcW w:w="992" w:type="dxa"/>
          </w:tcPr>
          <w:p w14:paraId="1E3653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Бомбардировщик тяжелый</w:t>
            </w:r>
          </w:p>
          <w:p w14:paraId="2528DE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Приспособление самолета ГВФ</w:t>
            </w:r>
          </w:p>
        </w:tc>
        <w:tc>
          <w:tcPr>
            <w:tcW w:w="425" w:type="dxa"/>
          </w:tcPr>
          <w:p w14:paraId="2BE3BB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ТБ/3</w:t>
            </w:r>
          </w:p>
        </w:tc>
        <w:tc>
          <w:tcPr>
            <w:tcW w:w="2127" w:type="dxa"/>
          </w:tcPr>
          <w:p w14:paraId="5A9C43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Разрушение и уничтожение объектов государственного значения /промышленного и военного/, бомбардировка баз и самого флота противника и его укрепленных районоы на поберещье. Десантные операции.</w:t>
            </w:r>
          </w:p>
          <w:p w14:paraId="37CE2D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Полет как одиночный, так и в строю. Бой оборонительный с максимальным использованием своей огневой мощи.</w:t>
            </w:r>
          </w:p>
          <w:p w14:paraId="7BA303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а/ грузоподъемность</w:t>
            </w:r>
          </w:p>
          <w:p w14:paraId="37DA31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дальность действия</w:t>
            </w:r>
          </w:p>
          <w:p w14:paraId="4898A2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огневая независимость</w:t>
            </w:r>
          </w:p>
          <w:p w14:paraId="228FAC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г/ горизонтальная скорость</w:t>
            </w:r>
          </w:p>
          <w:p w14:paraId="7CCF96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 потолок</w:t>
            </w:r>
          </w:p>
        </w:tc>
        <w:tc>
          <w:tcPr>
            <w:tcW w:w="2085" w:type="dxa"/>
          </w:tcPr>
          <w:p w14:paraId="42CC72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Стрелковое и пушечное вооружение, обеспечивающее с одной стороны полный сферический обстрел, с другой - борьбу как на близких, так и на далеких дистанциях. Схема вооружение и его количество утверждаются УВВС перед закладкой самолета.</w:t>
            </w:r>
          </w:p>
          <w:p w14:paraId="385285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Сбрасываемый груз - 10000 кг. Калибр бомб: 50, 250, 500, 1000 и 2000 кг</w:t>
            </w:r>
          </w:p>
          <w:p w14:paraId="50D76A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самолете должна быть предусмотрена установка средств химической и дымовой аппаратуры</w:t>
            </w:r>
          </w:p>
        </w:tc>
        <w:tc>
          <w:tcPr>
            <w:tcW w:w="556" w:type="dxa"/>
          </w:tcPr>
          <w:p w14:paraId="73196C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7000</w:t>
            </w:r>
          </w:p>
        </w:tc>
        <w:tc>
          <w:tcPr>
            <w:tcW w:w="760" w:type="dxa"/>
          </w:tcPr>
          <w:p w14:paraId="316BD7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250</w:t>
            </w:r>
          </w:p>
        </w:tc>
        <w:tc>
          <w:tcPr>
            <w:tcW w:w="426" w:type="dxa"/>
          </w:tcPr>
          <w:p w14:paraId="1144DB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369" w:type="dxa"/>
          </w:tcPr>
          <w:p w14:paraId="19AC64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10000</w:t>
            </w:r>
          </w:p>
        </w:tc>
        <w:tc>
          <w:tcPr>
            <w:tcW w:w="481" w:type="dxa"/>
          </w:tcPr>
          <w:p w14:paraId="058519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1000/1500</w:t>
            </w:r>
          </w:p>
        </w:tc>
        <w:tc>
          <w:tcPr>
            <w:tcW w:w="1276" w:type="dxa"/>
          </w:tcPr>
          <w:p w14:paraId="5E3FC5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Оборудование самолета подлежит специальной разработке перед началом проектирования</w:t>
            </w:r>
          </w:p>
        </w:tc>
        <w:tc>
          <w:tcPr>
            <w:tcW w:w="1311" w:type="dxa"/>
          </w:tcPr>
          <w:p w14:paraId="4F7C3E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в своем строительстве совмещается с одним из самолетов ГВФ соответствующего тоннажа</w:t>
            </w:r>
          </w:p>
          <w:p w14:paraId="6C80C2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Высотность обеспечивается возможностью перехода на соотв. Моторы, установкой специальных устройств и др, как для самолета крейсер и ИП</w:t>
            </w:r>
          </w:p>
          <w:p w14:paraId="22C074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Увеличение радиуса действи до 1000 км возможно произвести за счет некоторого снижения бомбовой нагрузки и емкостью баков</w:t>
            </w:r>
          </w:p>
        </w:tc>
      </w:tr>
      <w:tr w:rsidR="001002C3" w:rsidRPr="005E779E" w14:paraId="3D6AC48A" w14:textId="77777777">
        <w:tc>
          <w:tcPr>
            <w:tcW w:w="392" w:type="dxa"/>
          </w:tcPr>
          <w:p w14:paraId="2C3969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17F05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0FE8A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Pr>
          <w:p w14:paraId="7018BF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 Вспомогательная авиация</w:t>
            </w:r>
          </w:p>
        </w:tc>
        <w:tc>
          <w:tcPr>
            <w:tcW w:w="2085" w:type="dxa"/>
          </w:tcPr>
          <w:p w14:paraId="0079F4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Pr>
          <w:p w14:paraId="61A09A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0" w:type="dxa"/>
          </w:tcPr>
          <w:p w14:paraId="6945D7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377B7E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69" w:type="dxa"/>
          </w:tcPr>
          <w:p w14:paraId="179E44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81" w:type="dxa"/>
          </w:tcPr>
          <w:p w14:paraId="2DB230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8061F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311" w:type="dxa"/>
          </w:tcPr>
          <w:p w14:paraId="0DF650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6C7467C" w14:textId="77777777">
        <w:tc>
          <w:tcPr>
            <w:tcW w:w="392" w:type="dxa"/>
          </w:tcPr>
          <w:p w14:paraId="4402C1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w:t>
            </w:r>
          </w:p>
        </w:tc>
        <w:tc>
          <w:tcPr>
            <w:tcW w:w="992" w:type="dxa"/>
          </w:tcPr>
          <w:p w14:paraId="38C9A7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сопровождения и связи</w:t>
            </w:r>
          </w:p>
          <w:p w14:paraId="2B28FE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/приспособление самолета ГВФ - местной авиации/</w:t>
            </w:r>
          </w:p>
        </w:tc>
        <w:tc>
          <w:tcPr>
            <w:tcW w:w="425" w:type="dxa"/>
          </w:tcPr>
          <w:p w14:paraId="5EABEE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СС/2</w:t>
            </w:r>
          </w:p>
        </w:tc>
        <w:tc>
          <w:tcPr>
            <w:tcW w:w="2127" w:type="dxa"/>
          </w:tcPr>
          <w:p w14:paraId="04F00C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Поддержание связи между штабами /дивизии, коорпусов, авиасоединений и т.д./, разведка на нихких высотах впереди расположенной местнгсти /на подходе, при сближении с противником/, особенно при отсутствии противодействия со стороны воздушного противника.</w:t>
            </w:r>
          </w:p>
          <w:p w14:paraId="082270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Полет преимущественно одиночный. Бой - исключение и оборонительный.</w:t>
            </w:r>
          </w:p>
          <w:p w14:paraId="2C42FF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а/ подъемно-посадочные качества</w:t>
            </w:r>
          </w:p>
          <w:p w14:paraId="214319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неприхотливость в дороге при движении вместе с войсками в колонных /складывающиеся крылья/</w:t>
            </w:r>
          </w:p>
          <w:p w14:paraId="262566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быстрое приведение самолета в готовность к полету.</w:t>
            </w:r>
          </w:p>
        </w:tc>
        <w:tc>
          <w:tcPr>
            <w:tcW w:w="2085" w:type="dxa"/>
          </w:tcPr>
          <w:p w14:paraId="03E7DC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пулемета на турели для стрельбы в верхней полусфере</w:t>
            </w:r>
          </w:p>
          <w:p w14:paraId="7112D2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Количество патронов 250х2</w:t>
            </w:r>
          </w:p>
          <w:p w14:paraId="7A1F7C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Сбрасываемый груз в счет перегрузки 100 кг</w:t>
            </w:r>
          </w:p>
          <w:p w14:paraId="24EA0A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Калибр бомб 10</w:t>
            </w:r>
          </w:p>
          <w:p w14:paraId="41AC59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Вариант нагрузок 1-х10 оск. бомб</w:t>
            </w:r>
          </w:p>
        </w:tc>
        <w:tc>
          <w:tcPr>
            <w:tcW w:w="556" w:type="dxa"/>
          </w:tcPr>
          <w:p w14:paraId="0BFEAB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60" w:type="dxa"/>
          </w:tcPr>
          <w:p w14:paraId="441386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426" w:type="dxa"/>
          </w:tcPr>
          <w:p w14:paraId="3C1C31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369" w:type="dxa"/>
          </w:tcPr>
          <w:p w14:paraId="20B304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481" w:type="dxa"/>
          </w:tcPr>
          <w:p w14:paraId="0EAE07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276" w:type="dxa"/>
          </w:tcPr>
          <w:p w14:paraId="457161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Радио - ДСР /в счет перегрузки/</w:t>
            </w:r>
          </w:p>
          <w:p w14:paraId="29BC74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Фото -</w:t>
            </w:r>
          </w:p>
          <w:p w14:paraId="3DC2A0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Электро - КАСА Ш /съемная часть в счет перегрузки/</w:t>
            </w:r>
          </w:p>
          <w:p w14:paraId="6E8B45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Вспомогательное оборудование - нормальное за исключением кислородного прибора</w:t>
            </w:r>
          </w:p>
          <w:p w14:paraId="6FF3D9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Аэронавигация - нормальная</w:t>
            </w:r>
          </w:p>
        </w:tc>
        <w:tc>
          <w:tcPr>
            <w:tcW w:w="1311" w:type="dxa"/>
          </w:tcPr>
          <w:p w14:paraId="78F511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зависимости от того, что будет получено в приспосабливаемом самолете</w:t>
            </w:r>
          </w:p>
          <w:p w14:paraId="6CBA01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Замечание Завьялова - какой-нибудь из самолетов связи и сопровождения - снять</w:t>
            </w:r>
          </w:p>
        </w:tc>
      </w:tr>
      <w:tr w:rsidR="001002C3" w:rsidRPr="005E779E" w14:paraId="5E291711" w14:textId="77777777">
        <w:tc>
          <w:tcPr>
            <w:tcW w:w="392" w:type="dxa"/>
          </w:tcPr>
          <w:p w14:paraId="15E7D9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w:t>
            </w:r>
          </w:p>
        </w:tc>
        <w:tc>
          <w:tcPr>
            <w:tcW w:w="992" w:type="dxa"/>
          </w:tcPr>
          <w:p w14:paraId="7A8208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сопровождения и связи легкий</w:t>
            </w:r>
          </w:p>
          <w:p w14:paraId="6990E3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/приспособление самолета ГВФ - местной авиации/</w:t>
            </w:r>
          </w:p>
        </w:tc>
        <w:tc>
          <w:tcPr>
            <w:tcW w:w="425" w:type="dxa"/>
          </w:tcPr>
          <w:p w14:paraId="767739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ЛС/2</w:t>
            </w:r>
          </w:p>
        </w:tc>
        <w:tc>
          <w:tcPr>
            <w:tcW w:w="2127" w:type="dxa"/>
          </w:tcPr>
          <w:p w14:paraId="56F7C8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Поддержание связи между штабами /дивизии, коорпусов, авиасоединений и т.д./, разведка на нихких высотах впереди расположенной местнгсти /на подходе, при сближении с противником/, особенно при отсутствии противодействия со стороны воздушного противника.</w:t>
            </w:r>
          </w:p>
          <w:p w14:paraId="7AD17F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Полет преимущественно одиночный. Бой - исключение и оборонительный.</w:t>
            </w:r>
          </w:p>
          <w:p w14:paraId="522392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а/ подъемно-посадочные качества</w:t>
            </w:r>
          </w:p>
          <w:p w14:paraId="39BD3E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неприхотливость в дороге при движении вместе с войсками в колонных /складывающиеся крылья/</w:t>
            </w:r>
          </w:p>
          <w:p w14:paraId="2C06F8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быстрое приведение самолета в готовность к полету.</w:t>
            </w:r>
          </w:p>
        </w:tc>
        <w:tc>
          <w:tcPr>
            <w:tcW w:w="2085" w:type="dxa"/>
          </w:tcPr>
          <w:p w14:paraId="22724A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Нет</w:t>
            </w:r>
          </w:p>
        </w:tc>
        <w:tc>
          <w:tcPr>
            <w:tcW w:w="556" w:type="dxa"/>
          </w:tcPr>
          <w:p w14:paraId="159DCD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60" w:type="dxa"/>
          </w:tcPr>
          <w:p w14:paraId="61EC1C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426" w:type="dxa"/>
          </w:tcPr>
          <w:p w14:paraId="3A006A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369" w:type="dxa"/>
          </w:tcPr>
          <w:p w14:paraId="3D042B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481" w:type="dxa"/>
          </w:tcPr>
          <w:p w14:paraId="640CEC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276" w:type="dxa"/>
          </w:tcPr>
          <w:p w14:paraId="5EEA59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Радио, фото, электро, вспомогательное оборудование - нет</w:t>
            </w:r>
          </w:p>
          <w:p w14:paraId="5F6BF0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Аэронавигация - минимальная</w:t>
            </w:r>
          </w:p>
        </w:tc>
        <w:tc>
          <w:tcPr>
            <w:tcW w:w="1311" w:type="dxa"/>
          </w:tcPr>
          <w:p w14:paraId="4AFE36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с мощностью мотора 35-100 л.с. 2-3 местный</w:t>
            </w:r>
          </w:p>
          <w:p w14:paraId="156BA8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Такие самолета рекомендуется внести в план строительства ГВФ как спортивно-туристские</w:t>
            </w:r>
          </w:p>
        </w:tc>
      </w:tr>
      <w:tr w:rsidR="001002C3" w:rsidRPr="005E779E" w14:paraId="1A47413C" w14:textId="77777777">
        <w:tc>
          <w:tcPr>
            <w:tcW w:w="392" w:type="dxa"/>
          </w:tcPr>
          <w:p w14:paraId="6966CD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w:t>
            </w:r>
          </w:p>
        </w:tc>
        <w:tc>
          <w:tcPr>
            <w:tcW w:w="992" w:type="dxa"/>
          </w:tcPr>
          <w:p w14:paraId="27DC13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грузовой</w:t>
            </w:r>
          </w:p>
          <w:p w14:paraId="40D379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Приспособление грузового ГВФ</w:t>
            </w:r>
          </w:p>
        </w:tc>
        <w:tc>
          <w:tcPr>
            <w:tcW w:w="425" w:type="dxa"/>
          </w:tcPr>
          <w:p w14:paraId="0BDD31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Г/3</w:t>
            </w:r>
          </w:p>
        </w:tc>
        <w:tc>
          <w:tcPr>
            <w:tcW w:w="2127" w:type="dxa"/>
          </w:tcPr>
          <w:p w14:paraId="3FC9A0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Перевозка специальных грузов, горючего и войск. Десантные операции.</w:t>
            </w:r>
          </w:p>
          <w:p w14:paraId="35102F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Полет одиночный и в строю. Бой - исключение и оборонительный</w:t>
            </w:r>
          </w:p>
          <w:p w14:paraId="48F97A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а/ грузоподъемность</w:t>
            </w:r>
          </w:p>
          <w:p w14:paraId="25E959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минимальная посадочная скорость</w:t>
            </w:r>
          </w:p>
        </w:tc>
        <w:tc>
          <w:tcPr>
            <w:tcW w:w="2085" w:type="dxa"/>
          </w:tcPr>
          <w:p w14:paraId="040FD8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 самолета разрабатывается перед началом проектирования</w:t>
            </w:r>
          </w:p>
          <w:p w14:paraId="6F0425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Предусматривается подвеска специальных грузов</w:t>
            </w:r>
          </w:p>
        </w:tc>
        <w:tc>
          <w:tcPr>
            <w:tcW w:w="556" w:type="dxa"/>
          </w:tcPr>
          <w:p w14:paraId="0D10ED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60" w:type="dxa"/>
          </w:tcPr>
          <w:p w14:paraId="5D734B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426" w:type="dxa"/>
          </w:tcPr>
          <w:p w14:paraId="2B29C9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369" w:type="dxa"/>
          </w:tcPr>
          <w:p w14:paraId="7D1545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481" w:type="dxa"/>
          </w:tcPr>
          <w:p w14:paraId="340558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276" w:type="dxa"/>
          </w:tcPr>
          <w:p w14:paraId="4C0E2F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Оборудование разрабатывается перед началом проектирования</w:t>
            </w:r>
          </w:p>
        </w:tc>
        <w:tc>
          <w:tcPr>
            <w:tcW w:w="1311" w:type="dxa"/>
          </w:tcPr>
          <w:p w14:paraId="573B55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55F3AF7" w14:textId="77777777">
        <w:tc>
          <w:tcPr>
            <w:tcW w:w="392" w:type="dxa"/>
          </w:tcPr>
          <w:p w14:paraId="3A9E49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5840C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5E948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Pr>
          <w:p w14:paraId="3186F7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 Самолеты эжкспериментально-тактические (1932-34-34/35 г.г.)</w:t>
            </w:r>
          </w:p>
        </w:tc>
        <w:tc>
          <w:tcPr>
            <w:tcW w:w="2085" w:type="dxa"/>
          </w:tcPr>
          <w:p w14:paraId="21BEBD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Pr>
          <w:p w14:paraId="2D6868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0" w:type="dxa"/>
          </w:tcPr>
          <w:p w14:paraId="197743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0F7758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69" w:type="dxa"/>
          </w:tcPr>
          <w:p w14:paraId="709218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81" w:type="dxa"/>
          </w:tcPr>
          <w:p w14:paraId="2FBDFC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69854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311" w:type="dxa"/>
          </w:tcPr>
          <w:p w14:paraId="3CE557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3C1BC42" w14:textId="77777777">
        <w:tc>
          <w:tcPr>
            <w:tcW w:w="392" w:type="dxa"/>
          </w:tcPr>
          <w:p w14:paraId="7165E5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w:t>
            </w:r>
          </w:p>
        </w:tc>
        <w:tc>
          <w:tcPr>
            <w:tcW w:w="992" w:type="dxa"/>
          </w:tcPr>
          <w:p w14:paraId="6D14F7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Одноместный истребитель</w:t>
            </w:r>
          </w:p>
          <w:p w14:paraId="586EF1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/Дальнейшее развитие </w:t>
            </w:r>
            <w:r w:rsidRPr="005E779E">
              <w:rPr>
                <w:rFonts w:ascii="Times New Roman" w:hAnsi="Times New Roman"/>
                <w:color w:val="000000" w:themeColor="text1"/>
                <w:sz w:val="16"/>
                <w:szCs w:val="16"/>
              </w:rPr>
              <w:lastRenderedPageBreak/>
              <w:t>истребителя И12/</w:t>
            </w:r>
          </w:p>
        </w:tc>
        <w:tc>
          <w:tcPr>
            <w:tcW w:w="425" w:type="dxa"/>
          </w:tcPr>
          <w:p w14:paraId="333E4D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ИП/3</w:t>
            </w:r>
          </w:p>
        </w:tc>
        <w:tc>
          <w:tcPr>
            <w:tcW w:w="2127" w:type="dxa"/>
          </w:tcPr>
          <w:p w14:paraId="7824FC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 Наступательный бой с дальних дистанций со всеми и преимущественно тяжелыми типами самолетов и воздухоплавательных </w:t>
            </w:r>
            <w:r w:rsidRPr="005E779E">
              <w:rPr>
                <w:rFonts w:ascii="Times New Roman" w:hAnsi="Times New Roman"/>
                <w:color w:val="000000" w:themeColor="text1"/>
                <w:sz w:val="16"/>
                <w:szCs w:val="16"/>
              </w:rPr>
              <w:lastRenderedPageBreak/>
              <w:t>аппаратов как на фронте, так и в собственном тылу.</w:t>
            </w:r>
          </w:p>
          <w:p w14:paraId="3DF25D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Полет как одиночный, так и в строю. Бой, основанный на силе собственного огня и внезапности.</w:t>
            </w:r>
          </w:p>
          <w:p w14:paraId="15F0DF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а/ скороподхъемность</w:t>
            </w:r>
          </w:p>
          <w:p w14:paraId="54C1F8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горизонтальная скорость на боевой высоте</w:t>
            </w:r>
          </w:p>
          <w:p w14:paraId="305C46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потолок</w:t>
            </w:r>
          </w:p>
        </w:tc>
        <w:tc>
          <w:tcPr>
            <w:tcW w:w="2085" w:type="dxa"/>
          </w:tcPr>
          <w:p w14:paraId="5F01B6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2 пушки ДРП.</w:t>
            </w:r>
          </w:p>
          <w:p w14:paraId="5FB639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Количество снарядов 10х2</w:t>
            </w:r>
          </w:p>
          <w:p w14:paraId="6CDA37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счет перегрузки:</w:t>
            </w:r>
          </w:p>
          <w:p w14:paraId="0A9139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2 ЗАМа или</w:t>
            </w:r>
          </w:p>
          <w:p w14:paraId="0064DA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30х2 дист. бом</w:t>
            </w:r>
          </w:p>
        </w:tc>
        <w:tc>
          <w:tcPr>
            <w:tcW w:w="556" w:type="dxa"/>
          </w:tcPr>
          <w:p w14:paraId="381C61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7000</w:t>
            </w:r>
          </w:p>
        </w:tc>
        <w:tc>
          <w:tcPr>
            <w:tcW w:w="760" w:type="dxa"/>
          </w:tcPr>
          <w:p w14:paraId="33E6F6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350-375</w:t>
            </w:r>
          </w:p>
        </w:tc>
        <w:tc>
          <w:tcPr>
            <w:tcW w:w="426" w:type="dxa"/>
          </w:tcPr>
          <w:p w14:paraId="3E89B1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5-6/5000</w:t>
            </w:r>
          </w:p>
        </w:tc>
        <w:tc>
          <w:tcPr>
            <w:tcW w:w="369" w:type="dxa"/>
          </w:tcPr>
          <w:p w14:paraId="4368BB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481" w:type="dxa"/>
          </w:tcPr>
          <w:p w14:paraId="23E939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при 0,9 ном. мощн</w:t>
            </w:r>
            <w:r w:rsidRPr="005E779E">
              <w:rPr>
                <w:rFonts w:ascii="Times New Roman" w:hAnsi="Times New Roman"/>
                <w:color w:val="000000" w:themeColor="text1"/>
                <w:sz w:val="16"/>
                <w:szCs w:val="16"/>
              </w:rPr>
              <w:lastRenderedPageBreak/>
              <w:t>ости</w:t>
            </w:r>
          </w:p>
        </w:tc>
        <w:tc>
          <w:tcPr>
            <w:tcW w:w="1276" w:type="dxa"/>
          </w:tcPr>
          <w:p w14:paraId="455864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1. Радио - нет</w:t>
            </w:r>
          </w:p>
          <w:p w14:paraId="6B2654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Фото - нет</w:t>
            </w:r>
          </w:p>
          <w:p w14:paraId="3875A4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Электро - по специальной спецификации</w:t>
            </w:r>
          </w:p>
          <w:p w14:paraId="1424F2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Вспосогательн</w:t>
            </w:r>
            <w:r w:rsidRPr="005E779E">
              <w:rPr>
                <w:rFonts w:ascii="Times New Roman" w:hAnsi="Times New Roman"/>
                <w:color w:val="000000" w:themeColor="text1"/>
                <w:sz w:val="16"/>
                <w:szCs w:val="16"/>
              </w:rPr>
              <w:lastRenderedPageBreak/>
              <w:t>ое - нормальное за Исключением огнетушителя и инструмента, последний - в счет перегрузки</w:t>
            </w:r>
          </w:p>
          <w:p w14:paraId="686B90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Аэронавигация - нормально. Компас и зеркало в счет перегрузки, съемные</w:t>
            </w:r>
          </w:p>
        </w:tc>
        <w:tc>
          <w:tcPr>
            <w:tcW w:w="1311" w:type="dxa"/>
          </w:tcPr>
          <w:p w14:paraId="019EC3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Полет на 7000 м должен быть обеспечен:</w:t>
            </w:r>
          </w:p>
          <w:p w14:paraId="42CDDD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 соответствующей мощностью </w:t>
            </w:r>
            <w:r w:rsidRPr="005E779E">
              <w:rPr>
                <w:rFonts w:ascii="Times New Roman" w:hAnsi="Times New Roman"/>
                <w:color w:val="000000" w:themeColor="text1"/>
                <w:sz w:val="16"/>
                <w:szCs w:val="16"/>
              </w:rPr>
              <w:lastRenderedPageBreak/>
              <w:t>и высотНостью мотора</w:t>
            </w:r>
          </w:p>
          <w:p w14:paraId="6EAD5E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соответствующим для полете на болЬшой высоте горючим</w:t>
            </w:r>
          </w:p>
          <w:p w14:paraId="0BFF00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отеплением экипажа, приборов, вооружения</w:t>
            </w:r>
          </w:p>
          <w:p w14:paraId="50BB7E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специальной одеждой</w:t>
            </w:r>
          </w:p>
          <w:p w14:paraId="43F046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Требования подлежат уточнению по испытанию И12</w:t>
            </w:r>
          </w:p>
        </w:tc>
      </w:tr>
      <w:tr w:rsidR="001002C3" w:rsidRPr="005E779E" w14:paraId="71AD239F" w14:textId="77777777">
        <w:tc>
          <w:tcPr>
            <w:tcW w:w="392" w:type="dxa"/>
          </w:tcPr>
          <w:p w14:paraId="6A6036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15.</w:t>
            </w:r>
          </w:p>
        </w:tc>
        <w:tc>
          <w:tcPr>
            <w:tcW w:w="992" w:type="dxa"/>
          </w:tcPr>
          <w:p w14:paraId="0824FA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Двухместный истребитель</w:t>
            </w:r>
          </w:p>
          <w:p w14:paraId="0DB927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/Новый самолет оригинальной схемы/</w:t>
            </w:r>
          </w:p>
        </w:tc>
        <w:tc>
          <w:tcPr>
            <w:tcW w:w="425" w:type="dxa"/>
          </w:tcPr>
          <w:p w14:paraId="1323FE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ДИ/1</w:t>
            </w:r>
          </w:p>
        </w:tc>
        <w:tc>
          <w:tcPr>
            <w:tcW w:w="2127" w:type="dxa"/>
          </w:tcPr>
          <w:p w14:paraId="66E906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Активно-наступательный воздушный бой со всеми типами самолетов и воздухоплавательными аппаратами как на фронте, так и в своем тылу</w:t>
            </w:r>
          </w:p>
          <w:p w14:paraId="149B9A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Совместные действия с рейдирующей конницей</w:t>
            </w:r>
          </w:p>
          <w:p w14:paraId="3079EA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Полет преимущественно в строю. Бой, основанный на силе своего огня, маневре и внезапности</w:t>
            </w:r>
          </w:p>
          <w:p w14:paraId="502571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а/ горизонтальная скорость на боевой высоте</w:t>
            </w:r>
          </w:p>
          <w:p w14:paraId="4779C5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маневренность</w:t>
            </w:r>
          </w:p>
          <w:p w14:paraId="259541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скороподъемность</w:t>
            </w:r>
          </w:p>
        </w:tc>
        <w:tc>
          <w:tcPr>
            <w:tcW w:w="2085" w:type="dxa"/>
          </w:tcPr>
          <w:p w14:paraId="69FCA9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Одна автоматическая 20-37 мм пушка для стрельбы вперед и один пулемет на турели</w:t>
            </w:r>
          </w:p>
          <w:p w14:paraId="1CF5D9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Количество снарядов</w:t>
            </w:r>
          </w:p>
          <w:p w14:paraId="1E9BBC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Количество патрогов - 1000</w:t>
            </w:r>
          </w:p>
          <w:p w14:paraId="579EFF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счет перегрузки бомб. Нагрузка в 100 кг</w:t>
            </w:r>
          </w:p>
          <w:p w14:paraId="09B68A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Варианты:</w:t>
            </w:r>
          </w:p>
          <w:p w14:paraId="3AEEAD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1х100</w:t>
            </w:r>
          </w:p>
          <w:p w14:paraId="7195065E" w14:textId="72E365FF"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10х10 оскол. бомб</w:t>
            </w:r>
          </w:p>
          <w:p w14:paraId="7D2226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50х2 оск. дист бомб</w:t>
            </w:r>
          </w:p>
          <w:p w14:paraId="223E35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2 ЗАМа</w:t>
            </w:r>
          </w:p>
        </w:tc>
        <w:tc>
          <w:tcPr>
            <w:tcW w:w="556" w:type="dxa"/>
          </w:tcPr>
          <w:p w14:paraId="478964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760" w:type="dxa"/>
          </w:tcPr>
          <w:p w14:paraId="7CDB5B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325-350</w:t>
            </w:r>
          </w:p>
        </w:tc>
        <w:tc>
          <w:tcPr>
            <w:tcW w:w="426" w:type="dxa"/>
          </w:tcPr>
          <w:p w14:paraId="065743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8-10</w:t>
            </w:r>
          </w:p>
        </w:tc>
        <w:tc>
          <w:tcPr>
            <w:tcW w:w="369" w:type="dxa"/>
          </w:tcPr>
          <w:p w14:paraId="5CCA08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 в счет перегрузки</w:t>
            </w:r>
          </w:p>
        </w:tc>
        <w:tc>
          <w:tcPr>
            <w:tcW w:w="481" w:type="dxa"/>
          </w:tcPr>
          <w:p w14:paraId="4DBA92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400-400 кг</w:t>
            </w:r>
          </w:p>
        </w:tc>
        <w:tc>
          <w:tcPr>
            <w:tcW w:w="1276" w:type="dxa"/>
          </w:tcPr>
          <w:p w14:paraId="099831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Радио - нет</w:t>
            </w:r>
          </w:p>
          <w:p w14:paraId="2EBE8D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Фото - нет</w:t>
            </w:r>
          </w:p>
          <w:p w14:paraId="5F4974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Электро - КОСА П (съемная часть в счет перегрузки/</w:t>
            </w:r>
          </w:p>
        </w:tc>
        <w:tc>
          <w:tcPr>
            <w:tcW w:w="1311" w:type="dxa"/>
          </w:tcPr>
          <w:p w14:paraId="20016C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Оригинальность схемы - мотор в центре тяжести, самолета, двухбалочный хвост</w:t>
            </w:r>
          </w:p>
        </w:tc>
      </w:tr>
      <w:tr w:rsidR="001002C3" w:rsidRPr="005E779E" w14:paraId="732879B3" w14:textId="77777777">
        <w:tc>
          <w:tcPr>
            <w:tcW w:w="392" w:type="dxa"/>
          </w:tcPr>
          <w:p w14:paraId="1A3C8D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w:t>
            </w:r>
          </w:p>
        </w:tc>
        <w:tc>
          <w:tcPr>
            <w:tcW w:w="992" w:type="dxa"/>
          </w:tcPr>
          <w:p w14:paraId="201C1283" w14:textId="08BE8B3B"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Тяжелый штурмовик</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/Трехместный, двухмоторной схемы/</w:t>
            </w:r>
          </w:p>
        </w:tc>
        <w:tc>
          <w:tcPr>
            <w:tcW w:w="425" w:type="dxa"/>
          </w:tcPr>
          <w:p w14:paraId="6FFEE5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ТШ/1</w:t>
            </w:r>
          </w:p>
        </w:tc>
        <w:tc>
          <w:tcPr>
            <w:tcW w:w="2127" w:type="dxa"/>
          </w:tcPr>
          <w:p w14:paraId="20AEF6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Штурмовые действия против живой силы и технических средств противника, как на поле боя, так и в ближайшем его тылу.</w:t>
            </w:r>
          </w:p>
          <w:p w14:paraId="732493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Полет одиночный и в строю /преимущественно последнее/. Внезапность атаки. Выход на цель с бреющего полета с последующем уходом за прикрытия.</w:t>
            </w:r>
          </w:p>
          <w:p w14:paraId="5D30BF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а/ надежность и забронированность</w:t>
            </w:r>
          </w:p>
          <w:p w14:paraId="323480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горизонтальная скорость</w:t>
            </w:r>
          </w:p>
          <w:p w14:paraId="2322F5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посадочные качества</w:t>
            </w:r>
          </w:p>
          <w:p w14:paraId="0F24C5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маневренность</w:t>
            </w:r>
          </w:p>
        </w:tc>
        <w:tc>
          <w:tcPr>
            <w:tcW w:w="2085" w:type="dxa"/>
          </w:tcPr>
          <w:p w14:paraId="10AA0C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автоматическая пушка для стрельбы вперед</w:t>
            </w:r>
          </w:p>
          <w:p w14:paraId="66A7A7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пулекмет для стрельбы в задней полусфере /на турели/</w:t>
            </w:r>
          </w:p>
          <w:p w14:paraId="48D150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пулемет для стрельбы вниз-назад в кабине заднего стрелка.</w:t>
            </w:r>
          </w:p>
          <w:p w14:paraId="2104AD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Количество снарядов</w:t>
            </w:r>
          </w:p>
          <w:p w14:paraId="4B722D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Количество патронов соотиветственно 750 и 600 шт.</w:t>
            </w:r>
          </w:p>
          <w:p w14:paraId="764CD8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Сбрасываемый груз нормально 400 кг, с перегрузкой - 800 кг</w:t>
            </w:r>
          </w:p>
          <w:p w14:paraId="7D1863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Калибр бомб: 2, 10, 50 кг</w:t>
            </w:r>
          </w:p>
          <w:p w14:paraId="2BA5A1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При отсутствии бомб подвеска, соответственных емкостей химической и дымовой аппаратуры </w:t>
            </w:r>
          </w:p>
        </w:tc>
        <w:tc>
          <w:tcPr>
            <w:tcW w:w="556" w:type="dxa"/>
          </w:tcPr>
          <w:p w14:paraId="0C296F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60" w:type="dxa"/>
          </w:tcPr>
          <w:p w14:paraId="2CA820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250/300</w:t>
            </w:r>
          </w:p>
        </w:tc>
        <w:tc>
          <w:tcPr>
            <w:tcW w:w="426" w:type="dxa"/>
          </w:tcPr>
          <w:p w14:paraId="48FE35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369" w:type="dxa"/>
          </w:tcPr>
          <w:p w14:paraId="5B576D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400/800</w:t>
            </w:r>
          </w:p>
        </w:tc>
        <w:tc>
          <w:tcPr>
            <w:tcW w:w="481" w:type="dxa"/>
          </w:tcPr>
          <w:p w14:paraId="440082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4-4,5 час.</w:t>
            </w:r>
          </w:p>
        </w:tc>
        <w:tc>
          <w:tcPr>
            <w:tcW w:w="1276" w:type="dxa"/>
          </w:tcPr>
          <w:p w14:paraId="629EAB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Радио - КИР /съемная в счет перегрузки/</w:t>
            </w:r>
          </w:p>
          <w:p w14:paraId="7C1413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Фото - нет</w:t>
            </w:r>
          </w:p>
          <w:p w14:paraId="292A7A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Эленктро - КАСА Ш /съемная часть в счет перегрузки/.</w:t>
            </w:r>
          </w:p>
          <w:p w14:paraId="5DB368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Вспомогательное - нормально за исключением кислородного прибора</w:t>
            </w:r>
          </w:p>
          <w:p w14:paraId="46CCEB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Аэронпавигация - нормально</w:t>
            </w:r>
          </w:p>
        </w:tc>
        <w:tc>
          <w:tcPr>
            <w:tcW w:w="1311" w:type="dxa"/>
          </w:tcPr>
          <w:p w14:paraId="3E703E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Желательна съемная броня. В последнем случае с-т используется и для разведки и бомбометания. Для этих самолетов боевая высота 5000 м</w:t>
            </w:r>
          </w:p>
        </w:tc>
      </w:tr>
      <w:tr w:rsidR="001002C3" w:rsidRPr="005E779E" w14:paraId="6DC3E7B6" w14:textId="77777777">
        <w:tc>
          <w:tcPr>
            <w:tcW w:w="392" w:type="dxa"/>
          </w:tcPr>
          <w:p w14:paraId="72D1CA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w:t>
            </w:r>
          </w:p>
        </w:tc>
        <w:tc>
          <w:tcPr>
            <w:tcW w:w="992" w:type="dxa"/>
          </w:tcPr>
          <w:p w14:paraId="7562CC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Химический боевик тяжелый /летающшая цмсцерна/</w:t>
            </w:r>
          </w:p>
        </w:tc>
        <w:tc>
          <w:tcPr>
            <w:tcW w:w="425" w:type="dxa"/>
          </w:tcPr>
          <w:p w14:paraId="6A4D16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Х/1</w:t>
            </w:r>
          </w:p>
        </w:tc>
        <w:tc>
          <w:tcPr>
            <w:tcW w:w="2127" w:type="dxa"/>
          </w:tcPr>
          <w:p w14:paraId="2A59CD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Заражение ОВ живой силы протиивника, его ж/д узлов, аэрожромов и других объектов. Постановка дымзавес на земле</w:t>
            </w:r>
          </w:p>
          <w:p w14:paraId="523C67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Переброска горючего для своих авиачастей</w:t>
            </w:r>
          </w:p>
          <w:p w14:paraId="724CA1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Полет в одиночку и в строю. Бой - оборонительный. Применение преимущественно ночью</w:t>
            </w:r>
          </w:p>
          <w:p w14:paraId="00E4F6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а/ максимальная емкость</w:t>
            </w:r>
          </w:p>
          <w:p w14:paraId="6ABFFA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посадочные качества</w:t>
            </w:r>
          </w:p>
          <w:p w14:paraId="62097A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горизонтальная скорость</w:t>
            </w:r>
          </w:p>
        </w:tc>
        <w:tc>
          <w:tcPr>
            <w:tcW w:w="2085" w:type="dxa"/>
          </w:tcPr>
          <w:p w14:paraId="20A340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пулемет вперед в кабине стрелка-химика</w:t>
            </w:r>
          </w:p>
          <w:p w14:paraId="31FF1B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пулемет для стрельбы в задней полусфере</w:t>
            </w:r>
          </w:p>
          <w:p w14:paraId="22D538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Количество патронов соответственно 500 и 750</w:t>
            </w:r>
          </w:p>
          <w:p w14:paraId="68F2D2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Сбрасываемого груза - нет</w:t>
            </w:r>
          </w:p>
          <w:p w14:paraId="468F85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Вылливаемый груз 2000 кг</w:t>
            </w:r>
          </w:p>
        </w:tc>
        <w:tc>
          <w:tcPr>
            <w:tcW w:w="556" w:type="dxa"/>
          </w:tcPr>
          <w:p w14:paraId="0B027C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3000-4000</w:t>
            </w:r>
          </w:p>
        </w:tc>
        <w:tc>
          <w:tcPr>
            <w:tcW w:w="760" w:type="dxa"/>
          </w:tcPr>
          <w:p w14:paraId="797AF9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200-250</w:t>
            </w:r>
          </w:p>
        </w:tc>
        <w:tc>
          <w:tcPr>
            <w:tcW w:w="426" w:type="dxa"/>
          </w:tcPr>
          <w:p w14:paraId="7DB6F7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369" w:type="dxa"/>
          </w:tcPr>
          <w:p w14:paraId="6F4FA7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2000</w:t>
            </w:r>
          </w:p>
        </w:tc>
        <w:tc>
          <w:tcPr>
            <w:tcW w:w="481" w:type="dxa"/>
          </w:tcPr>
          <w:p w14:paraId="5DCBB9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-/250</w:t>
            </w:r>
          </w:p>
        </w:tc>
        <w:tc>
          <w:tcPr>
            <w:tcW w:w="1276" w:type="dxa"/>
          </w:tcPr>
          <w:p w14:paraId="6B8782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Радио - нет</w:t>
            </w:r>
          </w:p>
          <w:p w14:paraId="48A3E4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Фото - нет3. Электро - КАСА П</w:t>
            </w:r>
          </w:p>
          <w:p w14:paraId="52838B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Вспомогательное - нормально за исключением кислородного прибора</w:t>
            </w:r>
          </w:p>
          <w:p w14:paraId="1B795F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Аэронпавигация - нормально</w:t>
            </w:r>
          </w:p>
        </w:tc>
        <w:tc>
          <w:tcPr>
            <w:tcW w:w="1311" w:type="dxa"/>
          </w:tcPr>
          <w:p w14:paraId="1A615B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2-х моторная схема</w:t>
            </w:r>
          </w:p>
          <w:p w14:paraId="24084E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строительстве м.б. отнесен к “особой группе”</w:t>
            </w:r>
          </w:p>
        </w:tc>
      </w:tr>
      <w:tr w:rsidR="001002C3" w:rsidRPr="005E779E" w14:paraId="00F35669" w14:textId="77777777">
        <w:tc>
          <w:tcPr>
            <w:tcW w:w="392" w:type="dxa"/>
          </w:tcPr>
          <w:p w14:paraId="0F9D17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val="en-US"/>
              </w:rPr>
              <w:t>18</w:t>
            </w:r>
            <w:r w:rsidRPr="005E779E">
              <w:rPr>
                <w:rFonts w:ascii="Times New Roman" w:hAnsi="Times New Roman"/>
                <w:color w:val="000000" w:themeColor="text1"/>
                <w:sz w:val="16"/>
                <w:szCs w:val="16"/>
              </w:rPr>
              <w:t>.</w:t>
            </w:r>
          </w:p>
        </w:tc>
        <w:tc>
          <w:tcPr>
            <w:tcW w:w="992" w:type="dxa"/>
          </w:tcPr>
          <w:p w14:paraId="18A5B4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Сверхтяжелвй бомбардировщик /летающее крыло/</w:t>
            </w:r>
          </w:p>
        </w:tc>
        <w:tc>
          <w:tcPr>
            <w:tcW w:w="425" w:type="dxa"/>
          </w:tcPr>
          <w:p w14:paraId="281283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СТБ/3</w:t>
            </w:r>
          </w:p>
        </w:tc>
        <w:tc>
          <w:tcPr>
            <w:tcW w:w="2127" w:type="dxa"/>
          </w:tcPr>
          <w:p w14:paraId="694340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Разрушение и уничтожение объектов противника исключительной государственной важности (Мальта, Суэц)</w:t>
            </w:r>
          </w:p>
          <w:p w14:paraId="541B50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Полет одиночным и в строю. Бой оборонительный с максимальным использованием мощи своего преимущественно артиллерийского огня</w:t>
            </w:r>
          </w:p>
          <w:p w14:paraId="36E165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а/ грузоподъемность</w:t>
            </w:r>
          </w:p>
          <w:p w14:paraId="00020A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дальность действия</w:t>
            </w:r>
          </w:p>
          <w:p w14:paraId="6955B0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 огневая независимость</w:t>
            </w:r>
          </w:p>
        </w:tc>
        <w:tc>
          <w:tcPr>
            <w:tcW w:w="2085" w:type="dxa"/>
          </w:tcPr>
          <w:p w14:paraId="176739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Стрелковое и пушечное вооружение, обеспечивающее , с одной стороны, сферический полный обстрел, с другой, - борьбу как на близких, так и дальних дистанциях. Схема вооружения и кго количество утверждаются УВВС перед началом проектирования.</w:t>
            </w:r>
          </w:p>
          <w:p w14:paraId="6E2095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Сбрасываемый груз 25000. Калибр бомб 1000 и 2000 кг.</w:t>
            </w:r>
          </w:p>
          <w:p w14:paraId="73032D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Требование сбрасывания всего груза одновременно и сериями</w:t>
            </w:r>
          </w:p>
        </w:tc>
        <w:tc>
          <w:tcPr>
            <w:tcW w:w="556" w:type="dxa"/>
          </w:tcPr>
          <w:p w14:paraId="5BF190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4000</w:t>
            </w:r>
          </w:p>
        </w:tc>
        <w:tc>
          <w:tcPr>
            <w:tcW w:w="760" w:type="dxa"/>
          </w:tcPr>
          <w:p w14:paraId="5D4FAD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w:t>
            </w:r>
          </w:p>
        </w:tc>
        <w:tc>
          <w:tcPr>
            <w:tcW w:w="426" w:type="dxa"/>
          </w:tcPr>
          <w:p w14:paraId="54C895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369" w:type="dxa"/>
          </w:tcPr>
          <w:p w14:paraId="2E2CB1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25000</w:t>
            </w:r>
          </w:p>
        </w:tc>
        <w:tc>
          <w:tcPr>
            <w:tcW w:w="481" w:type="dxa"/>
          </w:tcPr>
          <w:p w14:paraId="03AB77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1250</w:t>
            </w:r>
          </w:p>
        </w:tc>
        <w:tc>
          <w:tcPr>
            <w:tcW w:w="1276" w:type="dxa"/>
          </w:tcPr>
          <w:p w14:paraId="6407D9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Оборудование самолета подлежит специальной разработке перед началом проектирования</w:t>
            </w:r>
          </w:p>
        </w:tc>
        <w:tc>
          <w:tcPr>
            <w:tcW w:w="1311" w:type="dxa"/>
          </w:tcPr>
          <w:p w14:paraId="1C239F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В строительстве совмещается с самолетом ГВФ</w:t>
            </w:r>
          </w:p>
          <w:p w14:paraId="1DB4E4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Желательно осуществить постановку на самолете нефтяных двигателей</w:t>
            </w:r>
          </w:p>
          <w:p w14:paraId="3FBAEB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 Высказывается мысль, что этот тип самолета может </w:t>
            </w:r>
            <w:r w:rsidRPr="005E779E">
              <w:rPr>
                <w:rFonts w:ascii="Times New Roman" w:hAnsi="Times New Roman"/>
                <w:color w:val="000000" w:themeColor="text1"/>
                <w:sz w:val="16"/>
                <w:szCs w:val="16"/>
              </w:rPr>
              <w:lastRenderedPageBreak/>
              <w:t>обслуживаться малыми быстроходными самолетами - истребителями, на нем подвешенными</w:t>
            </w:r>
          </w:p>
        </w:tc>
      </w:tr>
      <w:tr w:rsidR="001002C3" w:rsidRPr="005E779E" w14:paraId="2A22DF3E" w14:textId="77777777">
        <w:tc>
          <w:tcPr>
            <w:tcW w:w="392" w:type="dxa"/>
          </w:tcPr>
          <w:p w14:paraId="1246A0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A99B4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5A665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Pr>
          <w:p w14:paraId="4B9821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 Самолеты особой группы</w:t>
            </w:r>
          </w:p>
        </w:tc>
        <w:tc>
          <w:tcPr>
            <w:tcW w:w="2085" w:type="dxa"/>
          </w:tcPr>
          <w:p w14:paraId="264BE7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Pr>
          <w:p w14:paraId="48FA2C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0" w:type="dxa"/>
          </w:tcPr>
          <w:p w14:paraId="407E4D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487806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69" w:type="dxa"/>
          </w:tcPr>
          <w:p w14:paraId="3FAD7F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81" w:type="dxa"/>
          </w:tcPr>
          <w:p w14:paraId="7E0E56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71C9F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311" w:type="dxa"/>
          </w:tcPr>
          <w:p w14:paraId="702081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0B9DD49" w14:textId="77777777">
        <w:tc>
          <w:tcPr>
            <w:tcW w:w="392" w:type="dxa"/>
          </w:tcPr>
          <w:p w14:paraId="16DB0C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w:t>
            </w:r>
          </w:p>
        </w:tc>
        <w:tc>
          <w:tcPr>
            <w:tcW w:w="992" w:type="dxa"/>
          </w:tcPr>
          <w:p w14:paraId="6C8E19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Таран</w:t>
            </w:r>
          </w:p>
        </w:tc>
        <w:tc>
          <w:tcPr>
            <w:tcW w:w="425" w:type="dxa"/>
          </w:tcPr>
          <w:p w14:paraId="228784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ТА/1</w:t>
            </w:r>
          </w:p>
        </w:tc>
        <w:tc>
          <w:tcPr>
            <w:tcW w:w="2127" w:type="dxa"/>
          </w:tcPr>
          <w:p w14:paraId="43EE61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Таранные действия исключительно против тяжелых и сверхтяжеых бомбардировщиков противника и его гигантов-дирижаблей. Работа над объектами исключительной государственной важности.</w:t>
            </w:r>
          </w:p>
          <w:p w14:paraId="2B109A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Полет - одиночный. Внезапность</w:t>
            </w:r>
          </w:p>
          <w:p w14:paraId="37081C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а/ скорость</w:t>
            </w:r>
          </w:p>
          <w:p w14:paraId="4D4A8A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скороподъемность</w:t>
            </w:r>
          </w:p>
          <w:p w14:paraId="3FA32D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сохранение жизни летчику</w:t>
            </w:r>
          </w:p>
        </w:tc>
        <w:tc>
          <w:tcPr>
            <w:tcW w:w="2085" w:type="dxa"/>
          </w:tcPr>
          <w:p w14:paraId="721447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Стрелковое вооружение - отсутствует</w:t>
            </w:r>
          </w:p>
          <w:p w14:paraId="0F1A5D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счет перегрузки 2 ЗАМа</w:t>
            </w:r>
          </w:p>
        </w:tc>
        <w:tc>
          <w:tcPr>
            <w:tcW w:w="556" w:type="dxa"/>
          </w:tcPr>
          <w:p w14:paraId="019101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760" w:type="dxa"/>
          </w:tcPr>
          <w:p w14:paraId="32FF90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более 300</w:t>
            </w:r>
          </w:p>
        </w:tc>
        <w:tc>
          <w:tcPr>
            <w:tcW w:w="426" w:type="dxa"/>
          </w:tcPr>
          <w:p w14:paraId="11622B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 достижимая</w:t>
            </w:r>
          </w:p>
        </w:tc>
        <w:tc>
          <w:tcPr>
            <w:tcW w:w="369" w:type="dxa"/>
          </w:tcPr>
          <w:p w14:paraId="7E19F0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 в счет перегрузки</w:t>
            </w:r>
          </w:p>
        </w:tc>
        <w:tc>
          <w:tcPr>
            <w:tcW w:w="481" w:type="dxa"/>
          </w:tcPr>
          <w:p w14:paraId="442EC9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ч.</w:t>
            </w:r>
          </w:p>
        </w:tc>
        <w:tc>
          <w:tcPr>
            <w:tcW w:w="1276" w:type="dxa"/>
          </w:tcPr>
          <w:p w14:paraId="51EC55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Радио - нет</w:t>
            </w:r>
          </w:p>
          <w:p w14:paraId="7299E0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Фото - нет</w:t>
            </w:r>
          </w:p>
          <w:p w14:paraId="1441B5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Электро - нет</w:t>
            </w:r>
          </w:p>
          <w:p w14:paraId="37EBBE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Впомогат. - нет</w:t>
            </w:r>
          </w:p>
          <w:p w14:paraId="6A028E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Аэронавигация - по спец. Перечню, минимальное</w:t>
            </w:r>
          </w:p>
        </w:tc>
        <w:tc>
          <w:tcPr>
            <w:tcW w:w="1311" w:type="dxa"/>
          </w:tcPr>
          <w:p w14:paraId="7F28F1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8DAD8C6" w14:textId="77777777">
        <w:tc>
          <w:tcPr>
            <w:tcW w:w="392" w:type="dxa"/>
          </w:tcPr>
          <w:p w14:paraId="556B16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20. </w:t>
            </w:r>
          </w:p>
        </w:tc>
        <w:tc>
          <w:tcPr>
            <w:tcW w:w="992" w:type="dxa"/>
          </w:tcPr>
          <w:p w14:paraId="08457C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Бронированный истребитель /миноносец/</w:t>
            </w:r>
          </w:p>
        </w:tc>
        <w:tc>
          <w:tcPr>
            <w:tcW w:w="425" w:type="dxa"/>
          </w:tcPr>
          <w:p w14:paraId="6CD637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М/2</w:t>
            </w:r>
          </w:p>
        </w:tc>
        <w:tc>
          <w:tcPr>
            <w:tcW w:w="2127" w:type="dxa"/>
          </w:tcPr>
          <w:p w14:paraId="712504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Активно-наступательный бой со всеми типами самолетов, вооруженными огневыми средствами дальнего действия</w:t>
            </w:r>
          </w:p>
          <w:p w14:paraId="342AC7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Полет одиночный. Выпуск по строю противника ЗАМов с дальних дистанций (до 4 км). Внезапное сближение с противником с последующем быстрым и резким выходом из поражаемой огнем противника зоны</w:t>
            </w:r>
          </w:p>
          <w:p w14:paraId="6836E5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а/ горизонтальная скорость</w:t>
            </w:r>
          </w:p>
          <w:p w14:paraId="1D0F92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маневренность</w:t>
            </w:r>
          </w:p>
          <w:p w14:paraId="796B96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скороподъемность</w:t>
            </w:r>
          </w:p>
        </w:tc>
        <w:tc>
          <w:tcPr>
            <w:tcW w:w="2085" w:type="dxa"/>
          </w:tcPr>
          <w:p w14:paraId="2F83C9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пулемета для стрельбы вперед</w:t>
            </w:r>
          </w:p>
          <w:p w14:paraId="6DD232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пулемет для стрельбы назад</w:t>
            </w:r>
          </w:p>
          <w:p w14:paraId="33FABA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Количество патрогов 500х4 и 750 соответственно</w:t>
            </w:r>
          </w:p>
          <w:p w14:paraId="34DA28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счет перегрузки 2 ЗАМа</w:t>
            </w:r>
          </w:p>
        </w:tc>
        <w:tc>
          <w:tcPr>
            <w:tcW w:w="556" w:type="dxa"/>
          </w:tcPr>
          <w:p w14:paraId="305608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760" w:type="dxa"/>
          </w:tcPr>
          <w:p w14:paraId="6F9D5A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325</w:t>
            </w:r>
          </w:p>
        </w:tc>
        <w:tc>
          <w:tcPr>
            <w:tcW w:w="426" w:type="dxa"/>
          </w:tcPr>
          <w:p w14:paraId="02945E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8-10</w:t>
            </w:r>
          </w:p>
        </w:tc>
        <w:tc>
          <w:tcPr>
            <w:tcW w:w="369" w:type="dxa"/>
          </w:tcPr>
          <w:p w14:paraId="10FCC3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w:t>
            </w:r>
          </w:p>
        </w:tc>
        <w:tc>
          <w:tcPr>
            <w:tcW w:w="481" w:type="dxa"/>
          </w:tcPr>
          <w:p w14:paraId="4BD99C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-/1,5-2</w:t>
            </w:r>
          </w:p>
        </w:tc>
        <w:tc>
          <w:tcPr>
            <w:tcW w:w="1276" w:type="dxa"/>
          </w:tcPr>
          <w:p w14:paraId="765A84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Радио - КИР /съемный в счет перегрузки/</w:t>
            </w:r>
          </w:p>
          <w:p w14:paraId="09A6D0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Фото - нет</w:t>
            </w:r>
          </w:p>
          <w:p w14:paraId="5F8643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Электро - КАСА П /съемная часть в счет перегрузки/</w:t>
            </w:r>
          </w:p>
          <w:p w14:paraId="3CE2F0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Вспомогат. - нормальное, кроме отсутствующего огнетушителя</w:t>
            </w:r>
          </w:p>
          <w:p w14:paraId="693041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Аэронавигация - нормальная</w:t>
            </w:r>
          </w:p>
        </w:tc>
        <w:tc>
          <w:tcPr>
            <w:tcW w:w="1311" w:type="dxa"/>
          </w:tcPr>
          <w:p w14:paraId="7B431D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EF65BDB" w14:textId="77777777">
        <w:tc>
          <w:tcPr>
            <w:tcW w:w="392" w:type="dxa"/>
          </w:tcPr>
          <w:p w14:paraId="5EBB10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w:t>
            </w:r>
          </w:p>
        </w:tc>
        <w:tc>
          <w:tcPr>
            <w:tcW w:w="992" w:type="dxa"/>
          </w:tcPr>
          <w:p w14:paraId="497A9F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Армейский разведчик /исключительно скоростной/</w:t>
            </w:r>
          </w:p>
        </w:tc>
        <w:tc>
          <w:tcPr>
            <w:tcW w:w="425" w:type="dxa"/>
          </w:tcPr>
          <w:p w14:paraId="004B7A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Р/1</w:t>
            </w:r>
          </w:p>
        </w:tc>
        <w:tc>
          <w:tcPr>
            <w:tcW w:w="2127" w:type="dxa"/>
          </w:tcPr>
          <w:p w14:paraId="6A940B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Разведка глубокого тыла противника с целью выявления его оперативно-стратегических намерений /инженерная подготовка театров, ж/д переброски, разведка аэродромов противника “по следу” и т.п./</w:t>
            </w:r>
          </w:p>
          <w:p w14:paraId="4C8BC0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Полет одиночный. Быстрота проникновения в глубокий тыл противника. Бой - исключение.</w:t>
            </w:r>
          </w:p>
          <w:p w14:paraId="28657B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а/ горизонтальная скорость</w:t>
            </w:r>
          </w:p>
          <w:p w14:paraId="5833EE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дальность</w:t>
            </w:r>
          </w:p>
        </w:tc>
        <w:tc>
          <w:tcPr>
            <w:tcW w:w="2085" w:type="dxa"/>
          </w:tcPr>
          <w:p w14:paraId="5B546D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пулемет для стрельбы вперед</w:t>
            </w:r>
          </w:p>
          <w:p w14:paraId="50EDF1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Количество патронов - 250</w:t>
            </w:r>
          </w:p>
        </w:tc>
        <w:tc>
          <w:tcPr>
            <w:tcW w:w="556" w:type="dxa"/>
          </w:tcPr>
          <w:p w14:paraId="534F04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3000-4000</w:t>
            </w:r>
          </w:p>
        </w:tc>
        <w:tc>
          <w:tcPr>
            <w:tcW w:w="760" w:type="dxa"/>
          </w:tcPr>
          <w:p w14:paraId="196D2B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более 400</w:t>
            </w:r>
          </w:p>
        </w:tc>
        <w:tc>
          <w:tcPr>
            <w:tcW w:w="426" w:type="dxa"/>
          </w:tcPr>
          <w:p w14:paraId="0C1FF9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 достижимая</w:t>
            </w:r>
          </w:p>
        </w:tc>
        <w:tc>
          <w:tcPr>
            <w:tcW w:w="369" w:type="dxa"/>
          </w:tcPr>
          <w:p w14:paraId="41B0D4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481" w:type="dxa"/>
          </w:tcPr>
          <w:p w14:paraId="37E7DA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w:t>
            </w:r>
          </w:p>
        </w:tc>
        <w:tc>
          <w:tcPr>
            <w:tcW w:w="1276" w:type="dxa"/>
          </w:tcPr>
          <w:p w14:paraId="54B861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Радио - нет</w:t>
            </w:r>
          </w:p>
          <w:p w14:paraId="4092F5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Фото - аппарат ВООМПа</w:t>
            </w:r>
          </w:p>
          <w:p w14:paraId="60D4C5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Электро - КОСА 1 /съемная часть за счет перегрузки/</w:t>
            </w:r>
          </w:p>
          <w:p w14:paraId="5D9FCC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Вспосогательное - нормальное</w:t>
            </w:r>
          </w:p>
          <w:p w14:paraId="56647B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Аэронавигационное - нормальное</w:t>
            </w:r>
          </w:p>
        </w:tc>
        <w:tc>
          <w:tcPr>
            <w:tcW w:w="1311" w:type="dxa"/>
          </w:tcPr>
          <w:p w14:paraId="67D9F0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Горизонтальная скорость и повышенная нагрузка горючим достиган=ется за счет: минимального вооружения, минимального оборудования. Снижения маневренных качеств /снижение норм прочности/ и повышения нагрузки на метр несущей поверхности</w:t>
            </w:r>
          </w:p>
        </w:tc>
      </w:tr>
      <w:tr w:rsidR="001002C3" w:rsidRPr="005E779E" w14:paraId="73C99CB7" w14:textId="77777777">
        <w:tc>
          <w:tcPr>
            <w:tcW w:w="392" w:type="dxa"/>
          </w:tcPr>
          <w:p w14:paraId="3C2EB3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6A658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6A7BD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Pr>
          <w:p w14:paraId="3C0F6C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1У. Самолеты экспериментально-технические</w:t>
            </w:r>
          </w:p>
        </w:tc>
        <w:tc>
          <w:tcPr>
            <w:tcW w:w="2085" w:type="dxa"/>
          </w:tcPr>
          <w:p w14:paraId="36CB48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Pr>
          <w:p w14:paraId="2FAF1F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0" w:type="dxa"/>
          </w:tcPr>
          <w:p w14:paraId="6C4A4D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79991F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69" w:type="dxa"/>
          </w:tcPr>
          <w:p w14:paraId="026A93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81" w:type="dxa"/>
          </w:tcPr>
          <w:p w14:paraId="4DA780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DEE84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311" w:type="dxa"/>
          </w:tcPr>
          <w:p w14:paraId="326BFC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0912EAE" w14:textId="77777777">
        <w:tc>
          <w:tcPr>
            <w:tcW w:w="392" w:type="dxa"/>
          </w:tcPr>
          <w:p w14:paraId="188DFB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w:t>
            </w:r>
          </w:p>
        </w:tc>
        <w:tc>
          <w:tcPr>
            <w:tcW w:w="992" w:type="dxa"/>
          </w:tcPr>
          <w:p w14:paraId="1A0315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Экспериментальный самолет Э1</w:t>
            </w:r>
          </w:p>
        </w:tc>
        <w:tc>
          <w:tcPr>
            <w:tcW w:w="425" w:type="dxa"/>
          </w:tcPr>
          <w:p w14:paraId="0350A1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Э1/3</w:t>
            </w:r>
          </w:p>
        </w:tc>
        <w:tc>
          <w:tcPr>
            <w:tcW w:w="2127" w:type="dxa"/>
          </w:tcPr>
          <w:p w14:paraId="4741A4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3C5999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Pr>
          <w:p w14:paraId="547279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0" w:type="dxa"/>
          </w:tcPr>
          <w:p w14:paraId="46B6A3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67BDA2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69" w:type="dxa"/>
          </w:tcPr>
          <w:p w14:paraId="7100E2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81" w:type="dxa"/>
          </w:tcPr>
          <w:p w14:paraId="49FAD8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76281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311" w:type="dxa"/>
          </w:tcPr>
          <w:p w14:paraId="5913C7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из нержавеющей стали.</w:t>
            </w:r>
          </w:p>
          <w:p w14:paraId="66DFBE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Назначение и тип - по усмотрению Нач. ВВС</w:t>
            </w:r>
          </w:p>
        </w:tc>
      </w:tr>
      <w:tr w:rsidR="001002C3" w:rsidRPr="005E779E" w14:paraId="48CD216E" w14:textId="77777777">
        <w:tc>
          <w:tcPr>
            <w:tcW w:w="392" w:type="dxa"/>
          </w:tcPr>
          <w:p w14:paraId="4CB895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23. </w:t>
            </w:r>
          </w:p>
        </w:tc>
        <w:tc>
          <w:tcPr>
            <w:tcW w:w="992" w:type="dxa"/>
          </w:tcPr>
          <w:p w14:paraId="605A12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Экспериментальный самолет Э2</w:t>
            </w:r>
          </w:p>
        </w:tc>
        <w:tc>
          <w:tcPr>
            <w:tcW w:w="425" w:type="dxa"/>
          </w:tcPr>
          <w:p w14:paraId="7A775E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Э2/3</w:t>
            </w:r>
          </w:p>
        </w:tc>
        <w:tc>
          <w:tcPr>
            <w:tcW w:w="2127" w:type="dxa"/>
          </w:tcPr>
          <w:p w14:paraId="506A6F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1E3796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Pr>
          <w:p w14:paraId="559074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0" w:type="dxa"/>
          </w:tcPr>
          <w:p w14:paraId="21D269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01FAE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69" w:type="dxa"/>
          </w:tcPr>
          <w:p w14:paraId="7A634B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81" w:type="dxa"/>
          </w:tcPr>
          <w:p w14:paraId="4E4816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E8E51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311" w:type="dxa"/>
          </w:tcPr>
          <w:p w14:paraId="74CF63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из электрона.</w:t>
            </w:r>
          </w:p>
          <w:p w14:paraId="531ADE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Назначение и тип - по усмотрению Нач. ВВС</w:t>
            </w:r>
          </w:p>
        </w:tc>
      </w:tr>
      <w:tr w:rsidR="001002C3" w:rsidRPr="005E779E" w14:paraId="4B0D4E9D" w14:textId="77777777">
        <w:tc>
          <w:tcPr>
            <w:tcW w:w="392" w:type="dxa"/>
          </w:tcPr>
          <w:p w14:paraId="00884D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24. </w:t>
            </w:r>
          </w:p>
        </w:tc>
        <w:tc>
          <w:tcPr>
            <w:tcW w:w="992" w:type="dxa"/>
          </w:tcPr>
          <w:p w14:paraId="0805BD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Геликоптер</w:t>
            </w:r>
          </w:p>
        </w:tc>
        <w:tc>
          <w:tcPr>
            <w:tcW w:w="425" w:type="dxa"/>
          </w:tcPr>
          <w:p w14:paraId="5F50E3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ГЭ</w:t>
            </w:r>
          </w:p>
        </w:tc>
        <w:tc>
          <w:tcPr>
            <w:tcW w:w="2127" w:type="dxa"/>
          </w:tcPr>
          <w:p w14:paraId="3D228D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71AA86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Pr>
          <w:p w14:paraId="35F97C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0" w:type="dxa"/>
          </w:tcPr>
          <w:p w14:paraId="3F3BAE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6FAEBD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69" w:type="dxa"/>
          </w:tcPr>
          <w:p w14:paraId="1D9970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81" w:type="dxa"/>
          </w:tcPr>
          <w:p w14:paraId="22733C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9E70B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311" w:type="dxa"/>
          </w:tcPr>
          <w:p w14:paraId="6FAFEC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3000BAE" w14:textId="77777777">
        <w:tc>
          <w:tcPr>
            <w:tcW w:w="392" w:type="dxa"/>
            <w:tcBorders>
              <w:bottom w:val="single" w:sz="12" w:space="0" w:color="auto"/>
            </w:tcBorders>
          </w:tcPr>
          <w:p w14:paraId="588DA8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w:t>
            </w:r>
          </w:p>
        </w:tc>
        <w:tc>
          <w:tcPr>
            <w:tcW w:w="992" w:type="dxa"/>
            <w:tcBorders>
              <w:bottom w:val="single" w:sz="12" w:space="0" w:color="auto"/>
            </w:tcBorders>
          </w:tcPr>
          <w:p w14:paraId="4D7A1A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с реактивным двигателем</w:t>
            </w:r>
          </w:p>
        </w:tc>
        <w:tc>
          <w:tcPr>
            <w:tcW w:w="425" w:type="dxa"/>
            <w:tcBorders>
              <w:bottom w:val="single" w:sz="12" w:space="0" w:color="auto"/>
            </w:tcBorders>
          </w:tcPr>
          <w:p w14:paraId="605370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РЭ</w:t>
            </w:r>
          </w:p>
        </w:tc>
        <w:tc>
          <w:tcPr>
            <w:tcW w:w="2127" w:type="dxa"/>
            <w:tcBorders>
              <w:bottom w:val="single" w:sz="12" w:space="0" w:color="auto"/>
            </w:tcBorders>
          </w:tcPr>
          <w:p w14:paraId="7C0366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Borders>
              <w:bottom w:val="single" w:sz="12" w:space="0" w:color="auto"/>
            </w:tcBorders>
          </w:tcPr>
          <w:p w14:paraId="2975D7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Borders>
              <w:bottom w:val="single" w:sz="12" w:space="0" w:color="auto"/>
            </w:tcBorders>
          </w:tcPr>
          <w:p w14:paraId="28CF88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0" w:type="dxa"/>
            <w:tcBorders>
              <w:bottom w:val="single" w:sz="12" w:space="0" w:color="auto"/>
            </w:tcBorders>
          </w:tcPr>
          <w:p w14:paraId="3CBFA5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Borders>
              <w:bottom w:val="single" w:sz="12" w:space="0" w:color="auto"/>
            </w:tcBorders>
          </w:tcPr>
          <w:p w14:paraId="1F4552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69" w:type="dxa"/>
            <w:tcBorders>
              <w:bottom w:val="single" w:sz="12" w:space="0" w:color="auto"/>
            </w:tcBorders>
          </w:tcPr>
          <w:p w14:paraId="418427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81" w:type="dxa"/>
            <w:tcBorders>
              <w:bottom w:val="single" w:sz="12" w:space="0" w:color="auto"/>
            </w:tcBorders>
          </w:tcPr>
          <w:p w14:paraId="05DDEA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bottom w:val="single" w:sz="12" w:space="0" w:color="auto"/>
            </w:tcBorders>
          </w:tcPr>
          <w:p w14:paraId="2D700A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311" w:type="dxa"/>
            <w:tcBorders>
              <w:bottom w:val="single" w:sz="12" w:space="0" w:color="auto"/>
            </w:tcBorders>
          </w:tcPr>
          <w:p w14:paraId="3E4C5F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bl>
    <w:p w14:paraId="03CCC7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(6274)</w:t>
      </w:r>
    </w:p>
    <w:p w14:paraId="62193E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D9248FF" w14:textId="77777777" w:rsidR="001A7FA6" w:rsidRPr="005E779E" w:rsidRDefault="001A7F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Весной 1930 г. взамен Авиатреста организовали Всесоюзное авиационное объединение (ВАО), ко</w:t>
      </w:r>
      <w:r w:rsidRPr="005E779E">
        <w:rPr>
          <w:rFonts w:ascii="Times New Roman" w:hAnsi="Times New Roman"/>
          <w:color w:val="000000" w:themeColor="text1"/>
          <w:sz w:val="16"/>
          <w:szCs w:val="16"/>
        </w:rPr>
        <w:softHyphen/>
        <w:t>торое более централизованно и жестко починялось государственным органам власти. В этот период продолжалось расширение ЦКБ, и, одновременно, появление заданий на целое семейство новых боевых самолетов. Значились среди них и самолеты-штурмовики. Известно о нескольких таких аппаратах, построенных в период 1930-1932 гг. в количестве около десяти экземпляров: ЛШ (легкий штурмовик), ШОН (штурмовик особого назначения), тяжелые штурмовики ТШ-1 и ТШ-2. Упоминание их общим списком вы</w:t>
      </w:r>
      <w:r w:rsidRPr="005E779E">
        <w:rPr>
          <w:rFonts w:ascii="Times New Roman" w:hAnsi="Times New Roman"/>
          <w:color w:val="000000" w:themeColor="text1"/>
          <w:sz w:val="16"/>
          <w:szCs w:val="16"/>
        </w:rPr>
        <w:softHyphen/>
        <w:t>звано тем обстоятельством, что авторство на них до сих пор просматривается как-то расплывчато. Судя по всему, в отношении самолетов ТШ, так же как и в отношении ВТ-11, главного конструктора пытались не называть. В ОГПУ было не принято устанавливать истинных авторов.</w:t>
      </w:r>
    </w:p>
    <w:p w14:paraId="70075DB6" w14:textId="77777777" w:rsidR="001A7FA6" w:rsidRPr="005E779E" w:rsidRDefault="001A7F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А.Н. Туполевым предполагал переделать в ТШ-1 уже построенный разведчик Р-6. Долгие переговоры с заказчиком затяну</w:t>
      </w:r>
      <w:r w:rsidRPr="005E779E">
        <w:rPr>
          <w:rFonts w:ascii="Times New Roman" w:hAnsi="Times New Roman"/>
          <w:color w:val="000000" w:themeColor="text1"/>
          <w:sz w:val="16"/>
          <w:szCs w:val="16"/>
        </w:rPr>
        <w:softHyphen/>
        <w:t>лись, и в резул ьтате тяжелый двухмоторный штурмовик построен не был.</w:t>
      </w:r>
    </w:p>
    <w:p w14:paraId="65A311B7" w14:textId="77777777" w:rsidR="001A7FA6" w:rsidRPr="005E779E" w:rsidRDefault="001A7F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Что касается обозначения ТШ-1 при</w:t>
      </w:r>
      <w:r w:rsidRPr="005E779E">
        <w:rPr>
          <w:rFonts w:ascii="Times New Roman" w:hAnsi="Times New Roman"/>
          <w:color w:val="000000" w:themeColor="text1"/>
          <w:sz w:val="16"/>
          <w:szCs w:val="16"/>
        </w:rPr>
        <w:softHyphen/>
        <w:t>менительно к одномоторному самолету, автор считает, что по причине отсут</w:t>
      </w:r>
      <w:r w:rsidRPr="005E779E">
        <w:rPr>
          <w:rFonts w:ascii="Times New Roman" w:hAnsi="Times New Roman"/>
          <w:color w:val="000000" w:themeColor="text1"/>
          <w:sz w:val="16"/>
          <w:szCs w:val="16"/>
        </w:rPr>
        <w:softHyphen/>
        <w:t>ствия двухмоторной машины, в ЦКБ так стали называть (задним числом) первый опытный ТШ-2 (12612).</w:t>
      </w:r>
    </w:p>
    <w:p w14:paraId="3BEB8A66" w14:textId="77777777" w:rsidR="001A7FA6" w:rsidRPr="005E779E" w:rsidRDefault="001A7FA6" w:rsidP="000B7A6C">
      <w:pPr>
        <w:spacing w:after="0" w:line="240" w:lineRule="auto"/>
        <w:jc w:val="both"/>
        <w:rPr>
          <w:rFonts w:ascii="Times New Roman" w:hAnsi="Times New Roman"/>
          <w:color w:val="000000" w:themeColor="text1"/>
          <w:sz w:val="16"/>
          <w:szCs w:val="16"/>
        </w:rPr>
      </w:pPr>
    </w:p>
    <w:p w14:paraId="56293A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весны 1931 года согласно разработанного Гипроспецметом проекта С-47 было приступлено к постройке завода № 19, а равно после полного окончания проекта и получения в августе 1931 года всего проектного материала и на основании его, в сентябре того же года были составлены заявки на импортное и прочее оборудование. Однако, заявки были задержаны ВАО из-за лимитов. В октябре поступило распоряжение срочно пересоставить заявку на импорт в связи с тем, что объект производства завода меняется: вместо М-15 и М-26, снимаемых с производства, вводится М-22. В конце декабря на основании Постановления СТО, завод получил распоряжение от ВАО вновь вернуться к М-15 и М-26. В конце февраля 1932 года поступает распоряжение от только что организовавшегося моторного треста о новом изменении задания, а именно – снова М-22, причем мощность завода должна быть 6000 штук в год. В связи с этим возникла необходимость коренной перепроектировки завода. Дальнейшие работы по строительству приняли такое направление:</w:t>
      </w:r>
    </w:p>
    <w:p w14:paraId="06BB0896"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Строительство должно без задержек продолжаться в основном согласно проектных материалов С-47.</w:t>
      </w:r>
    </w:p>
    <w:p w14:paraId="50450AA7"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своим аппаратом должен развернуть подготовительные работы как в части разработки технологического процесса, используя материалы завода № 29, так и в части оборудования производственного и общезаводского, имея целью создать мощность первой очереди на 1 января 1933 года – 1000 моторов М-22.</w:t>
      </w:r>
    </w:p>
    <w:p w14:paraId="03B6904C"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Перепроектировку завода на полную мощность – 6000 моторов поручено в марте вновь организованной при ГУАПе проектной организации Гипроавио ………..</w:t>
      </w:r>
    </w:p>
    <w:p w14:paraId="0DCA6F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Согласно произведенным Гипроавио расчетам, производственные площади потребуют увеличения против С-47 в среднем 80-90%. Осуществление строительных работ по этому расширению завода переносится на 1933 год.</w:t>
      </w:r>
    </w:p>
    <w:p w14:paraId="2A151A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завода – Чубуков П.И. (9290).</w:t>
      </w:r>
    </w:p>
    <w:p w14:paraId="06B2FD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BB1F4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Весной 1931 года было приступлено к строительству будущего завода № 19. В 1932 году началось строительство производственных корпусов. В марте 1934 года директором завода был назначен Побережский И.И. В середине 1933 года завод получил задание подготовиться на 1934 год к производству моторов М-25.</w:t>
      </w:r>
    </w:p>
    <w:p w14:paraId="150656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 М-25 – однорядная девятицилиндровая звезда воздушного охлаждения, прототипом его является мотор Райт Циклон, полученный Советским Союзом из СА по лицензии.</w:t>
      </w:r>
    </w:p>
    <w:p w14:paraId="2F2383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решению СТО от 13 марта 1934 года заводу № 19 было задание собрать в 1934 году 50 моторов из импортных деталей и подготовиться к выпуску в 1935 году 600 моторов собственного изготовления. В конце 1934 года было создано ОКБ во главе с гл. конструктором Швецовым А.Д.</w:t>
      </w:r>
    </w:p>
    <w:p w14:paraId="007349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выполнил задание 1934 года – выпустил 50 моторов. С 1 января 1935 года завод начал серийное производство моторов М-25. В 1935 году завод выпустил вместо 600 моторов, установленных производственной программой 671 мотор М-25.</w:t>
      </w:r>
    </w:p>
    <w:p w14:paraId="61E7B2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Коллектив ОКБ работал над увеличением мощности мотора и завод получил возможность в 1936 году выпускать более мощные, с увеличенным ресурсом моторы М-25А и М-25В.</w:t>
      </w:r>
    </w:p>
    <w:p w14:paraId="10CA35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Одновременно в ОКБ проводились работы по созданию мощных моторов воздушного охлаждения – спаренной 14 и 18 цилиндровой звезды. В октябре 1936 года завод зачислен в число действующих предприятий СССР. На 1937 год программа по мотору М-25 против 1936 года была вдвое увеличена. Кроме того, завод должен был провести подготовку к производству мощного мотора М-62.</w:t>
      </w:r>
    </w:p>
    <w:p w14:paraId="38783C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этом же году обнаружились дефекты мотора М-25В – поломка поршневых пальцев и заклинивание втулки гл. шатуна.</w:t>
      </w:r>
    </w:p>
    <w:p w14:paraId="77BF74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Программа 1937 года была выполнена на 91%. В 1938 году завод работал над внедрением в серию моторов М-62, М-63 и над модернизацией мотора М-62. В конце февраля 1938 года директором завода был назначен В.М. Дубов.</w:t>
      </w:r>
    </w:p>
    <w:p w14:paraId="06EE01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Правительственная программа 1939 года определялась выпуском моторов М-25В, М-62, М-62ИР и М-63.</w:t>
      </w:r>
    </w:p>
    <w:p w14:paraId="73C5F8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Кроме того, была поставлена задача по освоению и выпуску нового агрегата-турбокомпрессора.</w:t>
      </w:r>
    </w:p>
    <w:p w14:paraId="0CCB86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порядке опытных работ в этом же году стояла задача доводки моторов М-71 и М-81, подготовки их к серийному выпуску в 1940 году. В конце 1939 года директором завода стал Кожевников Г.В.</w:t>
      </w:r>
    </w:p>
    <w:p w14:paraId="76EB89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программу 1939 года выполнил на 81%, а 1940 года – на 64%.</w:t>
      </w:r>
    </w:p>
    <w:p w14:paraId="44F916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постановлению Правительства завод № 19 в 1941 году должен был изменить свой профиль – подготовить и внедрить в производство мотор АМ-35А водного охлаждения (все ранее выпускаемые моторы были воздушного охлаждения), приняв его от завода № 45.</w:t>
      </w:r>
    </w:p>
    <w:p w14:paraId="22D2A0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Освоение мотора АМ-35А уже было в полном развертывании, когда в связи с окончанием создания коллективом ОКБ завода № 19 нового мощного мотора М-82, Правительство 9 мая 1941 года решило прекратить на заводе № 19 все работы по освоению мотора АМ-35А (передав заделы на него и оснастку заводу № 452) и в кратчайший срок освоить на заводе № 19 производство моторов М-82 (двухрядная звезда воздушного охлаждения). В мае 1942 года директором завода был назначен Солдатов А.Г. В 1942 году завод выполнил производственную программу по выпуску мотора АШ-82. В 1943 году завод в большом количестве выпускал моторы АШ-82 и занимался доводкой моторов АШ-82ФН. Программа 1944 года была выполнена на 92,5%, завод выпустил 7639 моторов АШ-82ФН, АШ-82 и АШ-62ИР. В 1945 году завод выпускал эти же моторы. В 1945 году началось освоение производства моторов АШ-73. В 1946 году одновременно с производством моторов АШ-82ФН и АШ-62ИР развернулась работа по освоению и выпуску малой серии моторов АШ-73 и турбокомпрессоров. К концу года было выпущено 79 моторов АШ-73 и 18 турбокомпрессоров. Программа 1947 года характеризуется увеличением в три раза выпуска моторов АШ-82ФН и в два раза моторов АШ-73 и сокращением производства моторов АШ-62ИР. На 1948 год программа заводу была дана только по двум двигателям – ВШ-82ФН и АШ-73ТК. В 1949 и 1950 году завод производил в увеличенном количестве моторы АШ-73ТК при сокращении выпуска моторов АШ-82ФН. В 1951 году завод производил моторы АШ-73ТК, мотор АШ-82ФН с производства был снят. В 1951 году началась подготовка к выпуску моторов АШ-82В и редукторов к ним для обеспечения выпуска вертолетов.</w:t>
      </w:r>
    </w:p>
    <w:p w14:paraId="056E62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Справка о количестве выпущенных заводом № 19 авиамоторов по годам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60"/>
        <w:gridCol w:w="791"/>
        <w:gridCol w:w="851"/>
        <w:gridCol w:w="850"/>
        <w:gridCol w:w="851"/>
        <w:gridCol w:w="850"/>
        <w:gridCol w:w="851"/>
        <w:gridCol w:w="850"/>
        <w:gridCol w:w="851"/>
        <w:gridCol w:w="850"/>
      </w:tblGrid>
      <w:tr w:rsidR="001002C3" w:rsidRPr="005E779E" w14:paraId="4CE61CF8" w14:textId="77777777">
        <w:tc>
          <w:tcPr>
            <w:tcW w:w="1160" w:type="dxa"/>
          </w:tcPr>
          <w:p w14:paraId="76C7DC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Типы изделий</w:t>
            </w:r>
          </w:p>
        </w:tc>
        <w:tc>
          <w:tcPr>
            <w:tcW w:w="791" w:type="dxa"/>
          </w:tcPr>
          <w:p w14:paraId="6C591D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1950 год</w:t>
            </w:r>
          </w:p>
        </w:tc>
        <w:tc>
          <w:tcPr>
            <w:tcW w:w="851" w:type="dxa"/>
          </w:tcPr>
          <w:p w14:paraId="31D25A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1951 год</w:t>
            </w:r>
          </w:p>
        </w:tc>
        <w:tc>
          <w:tcPr>
            <w:tcW w:w="850" w:type="dxa"/>
          </w:tcPr>
          <w:p w14:paraId="6DE945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1952 год</w:t>
            </w:r>
          </w:p>
        </w:tc>
        <w:tc>
          <w:tcPr>
            <w:tcW w:w="851" w:type="dxa"/>
          </w:tcPr>
          <w:p w14:paraId="292089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1953 год</w:t>
            </w:r>
          </w:p>
        </w:tc>
        <w:tc>
          <w:tcPr>
            <w:tcW w:w="850" w:type="dxa"/>
          </w:tcPr>
          <w:p w14:paraId="603B67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1954 год</w:t>
            </w:r>
          </w:p>
        </w:tc>
        <w:tc>
          <w:tcPr>
            <w:tcW w:w="851" w:type="dxa"/>
          </w:tcPr>
          <w:p w14:paraId="6210B9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1955 год</w:t>
            </w:r>
          </w:p>
        </w:tc>
        <w:tc>
          <w:tcPr>
            <w:tcW w:w="850" w:type="dxa"/>
          </w:tcPr>
          <w:p w14:paraId="36A8B7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1956 год</w:t>
            </w:r>
          </w:p>
        </w:tc>
        <w:tc>
          <w:tcPr>
            <w:tcW w:w="851" w:type="dxa"/>
          </w:tcPr>
          <w:p w14:paraId="01A0AA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1957 год</w:t>
            </w:r>
          </w:p>
        </w:tc>
        <w:tc>
          <w:tcPr>
            <w:tcW w:w="850" w:type="dxa"/>
          </w:tcPr>
          <w:p w14:paraId="0BC2D8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1958 год</w:t>
            </w:r>
          </w:p>
        </w:tc>
      </w:tr>
      <w:tr w:rsidR="001002C3" w:rsidRPr="005E779E" w14:paraId="1FA8D439" w14:textId="77777777">
        <w:tc>
          <w:tcPr>
            <w:tcW w:w="1160" w:type="dxa"/>
          </w:tcPr>
          <w:p w14:paraId="32F243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АШ-82ФН</w:t>
            </w:r>
          </w:p>
        </w:tc>
        <w:tc>
          <w:tcPr>
            <w:tcW w:w="791" w:type="dxa"/>
          </w:tcPr>
          <w:p w14:paraId="131B23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51" w:type="dxa"/>
          </w:tcPr>
          <w:p w14:paraId="132C10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510</w:t>
            </w:r>
          </w:p>
        </w:tc>
        <w:tc>
          <w:tcPr>
            <w:tcW w:w="850" w:type="dxa"/>
          </w:tcPr>
          <w:p w14:paraId="1C87A5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AEA6F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ECA22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BA5D0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345BA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509EF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9460E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C748D0B" w14:textId="77777777">
        <w:tc>
          <w:tcPr>
            <w:tcW w:w="1160" w:type="dxa"/>
          </w:tcPr>
          <w:p w14:paraId="2AE24D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АШ-73</w:t>
            </w:r>
          </w:p>
        </w:tc>
        <w:tc>
          <w:tcPr>
            <w:tcW w:w="791" w:type="dxa"/>
          </w:tcPr>
          <w:p w14:paraId="46C3E3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1973</w:t>
            </w:r>
          </w:p>
        </w:tc>
        <w:tc>
          <w:tcPr>
            <w:tcW w:w="851" w:type="dxa"/>
          </w:tcPr>
          <w:p w14:paraId="63F0AC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1939</w:t>
            </w:r>
          </w:p>
        </w:tc>
        <w:tc>
          <w:tcPr>
            <w:tcW w:w="850" w:type="dxa"/>
          </w:tcPr>
          <w:p w14:paraId="230D8D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1207</w:t>
            </w:r>
          </w:p>
        </w:tc>
        <w:tc>
          <w:tcPr>
            <w:tcW w:w="851" w:type="dxa"/>
          </w:tcPr>
          <w:p w14:paraId="59EC48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8B135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15A06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5AB1B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05097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ECF29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1923B1A" w14:textId="77777777">
        <w:tc>
          <w:tcPr>
            <w:tcW w:w="1160" w:type="dxa"/>
          </w:tcPr>
          <w:p w14:paraId="5E53A8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ТК-19</w:t>
            </w:r>
          </w:p>
        </w:tc>
        <w:tc>
          <w:tcPr>
            <w:tcW w:w="791" w:type="dxa"/>
          </w:tcPr>
          <w:p w14:paraId="4A62D8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D1403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3678</w:t>
            </w:r>
          </w:p>
        </w:tc>
        <w:tc>
          <w:tcPr>
            <w:tcW w:w="850" w:type="dxa"/>
          </w:tcPr>
          <w:p w14:paraId="13D2DA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2800</w:t>
            </w:r>
          </w:p>
        </w:tc>
        <w:tc>
          <w:tcPr>
            <w:tcW w:w="851" w:type="dxa"/>
          </w:tcPr>
          <w:p w14:paraId="1B0FDC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68</w:t>
            </w:r>
          </w:p>
        </w:tc>
        <w:tc>
          <w:tcPr>
            <w:tcW w:w="850" w:type="dxa"/>
          </w:tcPr>
          <w:p w14:paraId="4A94B0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533D2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02112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C380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A1DBA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AF5A704" w14:textId="77777777">
        <w:tc>
          <w:tcPr>
            <w:tcW w:w="1160" w:type="dxa"/>
          </w:tcPr>
          <w:p w14:paraId="11F24F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АШ-82В</w:t>
            </w:r>
          </w:p>
        </w:tc>
        <w:tc>
          <w:tcPr>
            <w:tcW w:w="791" w:type="dxa"/>
          </w:tcPr>
          <w:p w14:paraId="17D17F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B19D5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913CD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183</w:t>
            </w:r>
          </w:p>
        </w:tc>
        <w:tc>
          <w:tcPr>
            <w:tcW w:w="851" w:type="dxa"/>
          </w:tcPr>
          <w:p w14:paraId="57C843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650</w:t>
            </w:r>
          </w:p>
        </w:tc>
        <w:tc>
          <w:tcPr>
            <w:tcW w:w="850" w:type="dxa"/>
          </w:tcPr>
          <w:p w14:paraId="38C3BA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93</w:t>
            </w:r>
          </w:p>
        </w:tc>
        <w:tc>
          <w:tcPr>
            <w:tcW w:w="851" w:type="dxa"/>
          </w:tcPr>
          <w:p w14:paraId="47E8E3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w:t>
            </w:r>
          </w:p>
        </w:tc>
        <w:tc>
          <w:tcPr>
            <w:tcW w:w="850" w:type="dxa"/>
          </w:tcPr>
          <w:p w14:paraId="4C7D1C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C950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42A04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62539E5" w14:textId="77777777">
        <w:tc>
          <w:tcPr>
            <w:tcW w:w="1160" w:type="dxa"/>
          </w:tcPr>
          <w:p w14:paraId="3D1538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АШ-82Т</w:t>
            </w:r>
          </w:p>
        </w:tc>
        <w:tc>
          <w:tcPr>
            <w:tcW w:w="791" w:type="dxa"/>
          </w:tcPr>
          <w:p w14:paraId="722EA7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D3B8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F4D02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870EF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w:t>
            </w:r>
          </w:p>
        </w:tc>
        <w:tc>
          <w:tcPr>
            <w:tcW w:w="850" w:type="dxa"/>
          </w:tcPr>
          <w:p w14:paraId="3FB141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255</w:t>
            </w:r>
          </w:p>
        </w:tc>
        <w:tc>
          <w:tcPr>
            <w:tcW w:w="851" w:type="dxa"/>
          </w:tcPr>
          <w:p w14:paraId="0E1EFC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w:t>
            </w:r>
          </w:p>
        </w:tc>
        <w:tc>
          <w:tcPr>
            <w:tcW w:w="850" w:type="dxa"/>
          </w:tcPr>
          <w:p w14:paraId="55D4EB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45EAC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F0461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E447947" w14:textId="77777777">
        <w:tc>
          <w:tcPr>
            <w:tcW w:w="1160" w:type="dxa"/>
          </w:tcPr>
          <w:p w14:paraId="5D2AB1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ВК-1А</w:t>
            </w:r>
          </w:p>
        </w:tc>
        <w:tc>
          <w:tcPr>
            <w:tcW w:w="791" w:type="dxa"/>
          </w:tcPr>
          <w:p w14:paraId="49DCD5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7F3D5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0520D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6CA9F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44</w:t>
            </w:r>
          </w:p>
        </w:tc>
        <w:tc>
          <w:tcPr>
            <w:tcW w:w="850" w:type="dxa"/>
          </w:tcPr>
          <w:p w14:paraId="2659E3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954</w:t>
            </w:r>
          </w:p>
        </w:tc>
        <w:tc>
          <w:tcPr>
            <w:tcW w:w="851" w:type="dxa"/>
          </w:tcPr>
          <w:p w14:paraId="618848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451D9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30361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3CC43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8119F02" w14:textId="77777777">
        <w:tc>
          <w:tcPr>
            <w:tcW w:w="1160" w:type="dxa"/>
          </w:tcPr>
          <w:p w14:paraId="33ED85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АМ-3</w:t>
            </w:r>
          </w:p>
        </w:tc>
        <w:tc>
          <w:tcPr>
            <w:tcW w:w="791" w:type="dxa"/>
          </w:tcPr>
          <w:p w14:paraId="3A1C62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DF9BC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0D2BB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5EB6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F8ADD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D6B00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435</w:t>
            </w:r>
          </w:p>
        </w:tc>
        <w:tc>
          <w:tcPr>
            <w:tcW w:w="850" w:type="dxa"/>
          </w:tcPr>
          <w:p w14:paraId="5CFA17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556</w:t>
            </w:r>
          </w:p>
        </w:tc>
        <w:tc>
          <w:tcPr>
            <w:tcW w:w="851" w:type="dxa"/>
          </w:tcPr>
          <w:p w14:paraId="016C0A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271</w:t>
            </w:r>
          </w:p>
        </w:tc>
        <w:tc>
          <w:tcPr>
            <w:tcW w:w="850" w:type="dxa"/>
          </w:tcPr>
          <w:p w14:paraId="28C9FD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EC147E8" w14:textId="77777777">
        <w:tc>
          <w:tcPr>
            <w:tcW w:w="1160" w:type="dxa"/>
          </w:tcPr>
          <w:p w14:paraId="070DF4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Редуктор Р-5</w:t>
            </w:r>
          </w:p>
        </w:tc>
        <w:tc>
          <w:tcPr>
            <w:tcW w:w="791" w:type="dxa"/>
          </w:tcPr>
          <w:p w14:paraId="3D62AE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DD9C7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6D93D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102</w:t>
            </w:r>
          </w:p>
        </w:tc>
        <w:tc>
          <w:tcPr>
            <w:tcW w:w="851" w:type="dxa"/>
          </w:tcPr>
          <w:p w14:paraId="071836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588</w:t>
            </w:r>
          </w:p>
        </w:tc>
        <w:tc>
          <w:tcPr>
            <w:tcW w:w="850" w:type="dxa"/>
          </w:tcPr>
          <w:p w14:paraId="46F499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0A15E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w:t>
            </w:r>
          </w:p>
        </w:tc>
        <w:tc>
          <w:tcPr>
            <w:tcW w:w="850" w:type="dxa"/>
          </w:tcPr>
          <w:p w14:paraId="39C24D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240</w:t>
            </w:r>
          </w:p>
        </w:tc>
        <w:tc>
          <w:tcPr>
            <w:tcW w:w="851" w:type="dxa"/>
          </w:tcPr>
          <w:p w14:paraId="6E2CF7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325</w:t>
            </w:r>
          </w:p>
        </w:tc>
        <w:tc>
          <w:tcPr>
            <w:tcW w:w="850" w:type="dxa"/>
          </w:tcPr>
          <w:p w14:paraId="4E16E0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320</w:t>
            </w:r>
          </w:p>
        </w:tc>
      </w:tr>
      <w:tr w:rsidR="001002C3" w:rsidRPr="005E779E" w14:paraId="06B69C9C" w14:textId="77777777">
        <w:tc>
          <w:tcPr>
            <w:tcW w:w="1160" w:type="dxa"/>
          </w:tcPr>
          <w:p w14:paraId="37F089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Редуктор Р-3-4</w:t>
            </w:r>
          </w:p>
        </w:tc>
        <w:tc>
          <w:tcPr>
            <w:tcW w:w="791" w:type="dxa"/>
          </w:tcPr>
          <w:p w14:paraId="21E5C3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686BB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9D169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52</w:t>
            </w:r>
          </w:p>
        </w:tc>
        <w:tc>
          <w:tcPr>
            <w:tcW w:w="851" w:type="dxa"/>
          </w:tcPr>
          <w:p w14:paraId="71D53E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102</w:t>
            </w:r>
          </w:p>
        </w:tc>
        <w:tc>
          <w:tcPr>
            <w:tcW w:w="850" w:type="dxa"/>
          </w:tcPr>
          <w:p w14:paraId="1CC240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33D7F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95E6D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90B8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9016C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CAA0178" w14:textId="77777777">
        <w:tc>
          <w:tcPr>
            <w:tcW w:w="1160" w:type="dxa"/>
          </w:tcPr>
          <w:p w14:paraId="26A2B4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Редуктор ВР-1</w:t>
            </w:r>
          </w:p>
        </w:tc>
        <w:tc>
          <w:tcPr>
            <w:tcW w:w="791" w:type="dxa"/>
          </w:tcPr>
          <w:p w14:paraId="4AEEF7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CA487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EFD7C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D9E62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040B7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DDAD3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EF89D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240</w:t>
            </w:r>
          </w:p>
        </w:tc>
        <w:tc>
          <w:tcPr>
            <w:tcW w:w="851" w:type="dxa"/>
          </w:tcPr>
          <w:p w14:paraId="02C2CC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320</w:t>
            </w:r>
          </w:p>
        </w:tc>
        <w:tc>
          <w:tcPr>
            <w:tcW w:w="850" w:type="dxa"/>
          </w:tcPr>
          <w:p w14:paraId="062A37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411</w:t>
            </w:r>
          </w:p>
        </w:tc>
      </w:tr>
      <w:tr w:rsidR="001002C3" w:rsidRPr="005E779E" w14:paraId="1E1AA935" w14:textId="77777777">
        <w:tc>
          <w:tcPr>
            <w:tcW w:w="1160" w:type="dxa"/>
          </w:tcPr>
          <w:p w14:paraId="410729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РД-3М</w:t>
            </w:r>
          </w:p>
        </w:tc>
        <w:tc>
          <w:tcPr>
            <w:tcW w:w="791" w:type="dxa"/>
          </w:tcPr>
          <w:p w14:paraId="4AE170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5AAEA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8E35C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5524D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17ECB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85D18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679BE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780AD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617</w:t>
            </w:r>
          </w:p>
        </w:tc>
        <w:tc>
          <w:tcPr>
            <w:tcW w:w="850" w:type="dxa"/>
          </w:tcPr>
          <w:p w14:paraId="5E9BE7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570</w:t>
            </w:r>
          </w:p>
        </w:tc>
      </w:tr>
      <w:tr w:rsidR="001002C3" w:rsidRPr="005E779E" w14:paraId="491B6F77" w14:textId="77777777">
        <w:tc>
          <w:tcPr>
            <w:tcW w:w="1160" w:type="dxa"/>
          </w:tcPr>
          <w:p w14:paraId="7FDA18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АИ-20</w:t>
            </w:r>
          </w:p>
        </w:tc>
        <w:tc>
          <w:tcPr>
            <w:tcW w:w="791" w:type="dxa"/>
          </w:tcPr>
          <w:p w14:paraId="6CE1C3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C167E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5FF4B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E0692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D3B69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B3899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56264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AC8B3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08C80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w:t>
            </w:r>
          </w:p>
        </w:tc>
      </w:tr>
    </w:tbl>
    <w:p w14:paraId="3C8FF2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(9731)</w:t>
      </w:r>
    </w:p>
    <w:p w14:paraId="794519E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FEF2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Весной 1931 г. изготовили опытные образцы мины ВОМИЗА-250 (МАВ-2). Она было более мощной и создавалась на базе якорной мины образца 1926 г. с зарядом 250 кг. Проектирование ВОМИЗы-250 начали в 1930 г.. Мощный заряд позволял нанести серьезное повреждение и крейсеру, и линкору. Вес системы в сборе составлял 1420 кг, длина - 3,5 м. Но общий принцип действия и все основные конструктивные элементы полностью копировали предыдущую мину с поправкой на размеры. В </w:t>
      </w:r>
      <w:r w:rsidRPr="005E779E">
        <w:rPr>
          <w:rFonts w:ascii="Times New Roman" w:hAnsi="Times New Roman"/>
          <w:color w:val="000000" w:themeColor="text1"/>
          <w:sz w:val="16"/>
          <w:szCs w:val="16"/>
        </w:rPr>
        <w:lastRenderedPageBreak/>
        <w:t>июле 1931 г. ВОМИЗу-250 представили на войсковые испытания, но выяснилось, что Остехбюро еще ни разу не сбрасывало ее с самолета. Поэтому войсковые испытания отложили, дав возможность ОТБ отладить конструкцию после опробования в воздухе. МАВ-2 испытывали в июле-октябре 1932 г. на Копейском озере, а затем в ноябре - в Копорском заливе. Полигонные испытания тогда прекратили из-за неудовлетворительной работы механизма расцепки мины и якоря. Конструкцию доработали и вновь испытывали в Финском заливе в июле-сентябре 1933 г. Тяжелую и громоздкую МАВ-2 поплавковый ТБ-1 а поднять не мог, колесный ТБ-1 взлетал с ней, но за счет значительного сокращения запаса горючего, а следовательно, уменьшения радиуса действия. Единственным полноценным носителем ВОМИЗы-250 являлся четырехмоторный ТБ-3. В ходе доработки вес мины уменьшили до 1330 кг. В 1934 г. промышленности запланировали выпуск 100 усовершенствованных МАВ-2. Позднее последовали новые заказы. Всего в 30-х годах изготовили около 200 таких мин. В 1936 г. производство, а точнее переделка, мин МАВ-1 и МАВ-2 было прекращено.</w:t>
      </w:r>
    </w:p>
    <w:p w14:paraId="51A64A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Мины, сбрасывавшиеся с парашютами, обладали двумя существенными недостатками: значительным временем спуска и большим отклонением от точки прицеливания, обусловленным сносом от ветра. Попытались обойтись без парашютов (12002).</w:t>
      </w:r>
    </w:p>
    <w:p w14:paraId="738A14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427698D" w14:textId="77777777" w:rsidR="00D37260" w:rsidRPr="00142305" w:rsidRDefault="00D37260" w:rsidP="00D3726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Весной 1931 г. Управление украин</w:t>
      </w:r>
      <w:r w:rsidRPr="00142305">
        <w:rPr>
          <w:rFonts w:ascii="Times New Roman" w:hAnsi="Times New Roman"/>
          <w:color w:val="0070C0"/>
          <w:sz w:val="16"/>
          <w:szCs w:val="16"/>
        </w:rPr>
        <w:softHyphen/>
        <w:t>ских и кавказских линий получило три доработанных ЮГ-1 (Л82, Л83 и Л84). Их передали Харьковскому авиаотряду. Первыми линиями, на которые вышли «юнкерсы», стали трассы Москва - Харь</w:t>
      </w:r>
      <w:r w:rsidRPr="00142305">
        <w:rPr>
          <w:rFonts w:ascii="Times New Roman" w:hAnsi="Times New Roman"/>
          <w:color w:val="0070C0"/>
          <w:sz w:val="16"/>
          <w:szCs w:val="16"/>
        </w:rPr>
        <w:softHyphen/>
        <w:t>ков и Харьков - Минеральные Воды. В апреле на них уже эксплуатировались шесть машин этого типа. Они стали пер</w:t>
      </w:r>
      <w:r w:rsidRPr="00142305">
        <w:rPr>
          <w:rFonts w:ascii="Times New Roman" w:hAnsi="Times New Roman"/>
          <w:color w:val="0070C0"/>
          <w:sz w:val="16"/>
          <w:szCs w:val="16"/>
        </w:rPr>
        <w:softHyphen/>
        <w:t>выми многомоторными самолетами в на</w:t>
      </w:r>
      <w:r w:rsidRPr="00142305">
        <w:rPr>
          <w:rFonts w:ascii="Times New Roman" w:hAnsi="Times New Roman"/>
          <w:color w:val="0070C0"/>
          <w:sz w:val="16"/>
          <w:szCs w:val="16"/>
        </w:rPr>
        <w:softHyphen/>
        <w:t>шей гражданской авиации. Работавший тогда на Харьковском аэроузле А.К. Туманский вспоминал: «Летать на машине ЮГ-1... было истинным удовольствием... В случае отказа одного мотора машина спокойно продолжала полет на двух, что имело особо важное значение при полетах в горах» (24940).</w:t>
      </w:r>
    </w:p>
    <w:p w14:paraId="670915DF" w14:textId="77777777" w:rsidR="00D37260" w:rsidRPr="00142305" w:rsidRDefault="00D37260" w:rsidP="00D37260">
      <w:pPr>
        <w:spacing w:after="0" w:line="240" w:lineRule="auto"/>
        <w:jc w:val="both"/>
        <w:rPr>
          <w:rFonts w:ascii="Times New Roman" w:hAnsi="Times New Roman"/>
          <w:color w:val="0070C0"/>
          <w:sz w:val="16"/>
          <w:szCs w:val="16"/>
        </w:rPr>
      </w:pPr>
    </w:p>
    <w:p w14:paraId="36E8EC0D" w14:textId="77777777" w:rsidR="00C573D5" w:rsidRPr="005E779E" w:rsidRDefault="00C573D5" w:rsidP="000B7A6C">
      <w:pPr>
        <w:pStyle w:val="ae"/>
        <w:shd w:val="clear" w:color="auto" w:fill="FFFFFF"/>
        <w:spacing w:before="0" w:after="0"/>
        <w:jc w:val="both"/>
        <w:textAlignment w:val="baseline"/>
        <w:rPr>
          <w:color w:val="000000" w:themeColor="text1"/>
          <w:sz w:val="16"/>
          <w:szCs w:val="16"/>
        </w:rPr>
      </w:pPr>
      <w:r w:rsidRPr="005E779E">
        <w:rPr>
          <w:color w:val="000000" w:themeColor="text1"/>
          <w:sz w:val="16"/>
          <w:szCs w:val="16"/>
        </w:rPr>
        <w:t>Весной 1931 года вместе с очередной перестановкой в воздухоплавательном руководстве поменялись и взгляды на размещение базы. Не исключено, что причиной тому стало выданное московскими властями разрешение надстроить в одном из домов на Садовом кольце два этажа – под жильё для дирижаблестроителей</w:t>
      </w:r>
      <w:bookmarkStart w:id="37" w:name="read_n_20_back"/>
      <w:r w:rsidRPr="005E779E">
        <w:rPr>
          <w:color w:val="000000" w:themeColor="text1"/>
          <w:sz w:val="16"/>
          <w:szCs w:val="16"/>
          <w:u w:val="single"/>
          <w:bdr w:val="none" w:sz="0" w:space="0" w:color="auto" w:frame="1"/>
          <w:shd w:val="clear" w:color="auto" w:fill="FFFFFF"/>
        </w:rPr>
        <w:t>[20]</w:t>
      </w:r>
      <w:bookmarkEnd w:id="37"/>
      <w:r w:rsidRPr="005E779E">
        <w:rPr>
          <w:color w:val="000000" w:themeColor="text1"/>
          <w:sz w:val="16"/>
          <w:szCs w:val="16"/>
        </w:rPr>
        <w:t>. Вполне возможно, в ожидании скорого получения квартир новое начальство просто не захотело менять столицу на заштатный городок, пусть и у тихого озера. Так или иначе, строительство на Плещеевом ликвидировали, а базу организовали ближе к Москве, у платформы Долгопрудной Северной железной дороги</w:t>
      </w:r>
      <w:bookmarkStart w:id="38" w:name="read_n_21_back"/>
      <w:r w:rsidRPr="005E779E">
        <w:rPr>
          <w:color w:val="000000" w:themeColor="text1"/>
          <w:sz w:val="16"/>
          <w:szCs w:val="16"/>
          <w:u w:val="single"/>
          <w:bdr w:val="none" w:sz="0" w:space="0" w:color="auto" w:frame="1"/>
          <w:shd w:val="clear" w:color="auto" w:fill="FFFFFF"/>
        </w:rPr>
        <w:t>[21]</w:t>
      </w:r>
      <w:bookmarkEnd w:id="38"/>
      <w:r w:rsidRPr="005E779E">
        <w:rPr>
          <w:color w:val="000000" w:themeColor="text1"/>
          <w:sz w:val="16"/>
          <w:szCs w:val="16"/>
        </w:rPr>
        <w:t>. Она поначалу считалась временной, «малой», но так и осталась единственным дирижаблестроительным центром страны (20466).</w:t>
      </w:r>
    </w:p>
    <w:p w14:paraId="20B48DCF" w14:textId="77777777" w:rsidR="00C573D5" w:rsidRPr="005E779E" w:rsidRDefault="00C573D5" w:rsidP="000B7A6C">
      <w:pPr>
        <w:spacing w:after="0" w:line="240" w:lineRule="auto"/>
        <w:jc w:val="both"/>
        <w:rPr>
          <w:rFonts w:ascii="Times New Roman" w:hAnsi="Times New Roman"/>
          <w:color w:val="000000" w:themeColor="text1"/>
          <w:sz w:val="16"/>
          <w:szCs w:val="16"/>
          <w:shd w:val="clear" w:color="auto" w:fill="FFFFFF"/>
        </w:rPr>
      </w:pPr>
    </w:p>
    <w:p w14:paraId="7A89CE3E" w14:textId="77777777" w:rsidR="00E760AA" w:rsidRPr="005E779E" w:rsidRDefault="00E760A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Весной 1931 г. об экспериментах Цандера с ракетным двигателем узнал 24-летний Сергей Королев, который немедленно познакомился с ним. Его поразила непрактичность Цандера, не имевшего ни малейшего представления о том, где искать средства для финансирования своей работы.</w:t>
      </w:r>
    </w:p>
    <w:p w14:paraId="13BA0F32" w14:textId="77777777" w:rsidR="00E760AA" w:rsidRPr="005E779E" w:rsidRDefault="00E760A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Королев сразу увидел возможность привлечения к финанси</w:t>
      </w:r>
      <w:r w:rsidRPr="005E779E">
        <w:rPr>
          <w:rFonts w:ascii="Times New Roman" w:hAnsi="Times New Roman"/>
          <w:color w:val="000000" w:themeColor="text1"/>
          <w:sz w:val="16"/>
          <w:szCs w:val="16"/>
        </w:rPr>
        <w:softHyphen/>
        <w:t>рованию ОСОВИАХИМа — если только не пугать его руковод</w:t>
      </w:r>
      <w:r w:rsidRPr="005E779E">
        <w:rPr>
          <w:rFonts w:ascii="Times New Roman" w:hAnsi="Times New Roman"/>
          <w:color w:val="000000" w:themeColor="text1"/>
          <w:sz w:val="16"/>
          <w:szCs w:val="16"/>
        </w:rPr>
        <w:softHyphen/>
        <w:t>ство рассуждениями о полетах в космос, а обратить внимание на более практичную тему создания реактив</w:t>
      </w:r>
      <w:r w:rsidRPr="005E779E">
        <w:rPr>
          <w:rFonts w:ascii="Times New Roman" w:hAnsi="Times New Roman"/>
          <w:color w:val="000000" w:themeColor="text1"/>
          <w:sz w:val="16"/>
          <w:szCs w:val="16"/>
        </w:rPr>
        <w:softHyphen/>
        <w:t>ного самолета. И дейст</w:t>
      </w:r>
      <w:r w:rsidRPr="005E779E">
        <w:rPr>
          <w:rFonts w:ascii="Times New Roman" w:hAnsi="Times New Roman"/>
          <w:color w:val="000000" w:themeColor="text1"/>
          <w:sz w:val="16"/>
          <w:szCs w:val="16"/>
        </w:rPr>
        <w:softHyphen/>
        <w:t>вительно, вскоре Коро</w:t>
      </w:r>
      <w:r w:rsidRPr="005E779E">
        <w:rPr>
          <w:rFonts w:ascii="Times New Roman" w:hAnsi="Times New Roman"/>
          <w:color w:val="000000" w:themeColor="text1"/>
          <w:sz w:val="16"/>
          <w:szCs w:val="16"/>
        </w:rPr>
        <w:softHyphen/>
        <w:t>лев договорился с Бюро воздушной техники ОСОВИАХИМа о соз</w:t>
      </w:r>
      <w:r w:rsidRPr="005E779E">
        <w:rPr>
          <w:rFonts w:ascii="Times New Roman" w:hAnsi="Times New Roman"/>
          <w:color w:val="000000" w:themeColor="text1"/>
          <w:sz w:val="16"/>
          <w:szCs w:val="16"/>
        </w:rPr>
        <w:softHyphen/>
        <w:t>дании в системе обще</w:t>
      </w:r>
      <w:r w:rsidRPr="005E779E">
        <w:rPr>
          <w:rFonts w:ascii="Times New Roman" w:hAnsi="Times New Roman"/>
          <w:color w:val="000000" w:themeColor="text1"/>
          <w:sz w:val="16"/>
          <w:szCs w:val="16"/>
        </w:rPr>
        <w:softHyphen/>
        <w:t>ства Группы по изуче</w:t>
      </w:r>
      <w:r w:rsidRPr="005E779E">
        <w:rPr>
          <w:rFonts w:ascii="Times New Roman" w:hAnsi="Times New Roman"/>
          <w:color w:val="000000" w:themeColor="text1"/>
          <w:sz w:val="16"/>
          <w:szCs w:val="16"/>
        </w:rPr>
        <w:softHyphen/>
        <w:t>нию реактивного дви</w:t>
      </w:r>
      <w:r w:rsidRPr="005E779E">
        <w:rPr>
          <w:rFonts w:ascii="Times New Roman" w:hAnsi="Times New Roman"/>
          <w:color w:val="000000" w:themeColor="text1"/>
          <w:sz w:val="16"/>
          <w:szCs w:val="16"/>
        </w:rPr>
        <w:softHyphen/>
        <w:t>жения (ГИРД) (23550).</w:t>
      </w:r>
    </w:p>
    <w:p w14:paraId="63E5AF94" w14:textId="77777777" w:rsidR="00E760AA" w:rsidRPr="005E779E" w:rsidRDefault="00E760AA" w:rsidP="000B7A6C">
      <w:pPr>
        <w:spacing w:after="0" w:line="240" w:lineRule="auto"/>
        <w:jc w:val="both"/>
        <w:rPr>
          <w:rFonts w:ascii="Times New Roman" w:hAnsi="Times New Roman"/>
          <w:color w:val="000000" w:themeColor="text1"/>
          <w:sz w:val="16"/>
          <w:szCs w:val="16"/>
        </w:rPr>
      </w:pPr>
    </w:p>
    <w:p w14:paraId="133C7374"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1125F532"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83C40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Весной 1931 года в Харькове на заводе "Красный Октябрь" была изготовлена установочная серия 107-мм минометов МС-107 (3861).</w:t>
      </w:r>
    </w:p>
    <w:p w14:paraId="3A8917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846BD45" w14:textId="77777777" w:rsidR="007908DF" w:rsidRPr="005E779E" w:rsidRDefault="007908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Весной 1931 г. в Харькове на заводе «Красный Октябрь» была изготовлена установочная серия 107-мм минометов МС-107.</w:t>
      </w:r>
    </w:p>
    <w:p w14:paraId="0CD7CE98" w14:textId="77777777" w:rsidR="007908DF" w:rsidRPr="005E779E" w:rsidRDefault="007908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Параллельно с 82-мм минометом группа «Д» разработала в 1930 г. проект 107-мм химического МС-107 (миномет Стокса, калибр 107 мм). Миномет имел схему мнимого треугольника.</w:t>
      </w:r>
    </w:p>
    <w:p w14:paraId="4E1D5E7B" w14:textId="77777777" w:rsidR="007908DF" w:rsidRPr="005E779E" w:rsidRDefault="007908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Ствол гладкий. Казенник цилиндрический чашкообразной формы, навинчивался на ствол снаружи. Стреляющее приспособление, сделанное по схеме Стокса, Доровлев и K° ухитрились назвать в описании миномета… затвором (?!) — «В центре казенника рассверлено и нарезано отверстие, ось которого совпадает с осью ствола. В него ввинчивается затвор. На одном из концов затвора ударник с бойком для разбивания капсюля, а другой конец (пятка) имеет вид полушара, которым ствол упирается в боевом положении в опорную плиту». Так что вполне возможно, что будущий историк с гуманитарным образованием, прочитав о затворе, решит, что миномет был казнозарядным.</w:t>
      </w:r>
    </w:p>
    <w:p w14:paraId="57BE768A" w14:textId="77777777" w:rsidR="007908DF" w:rsidRPr="005E779E" w:rsidRDefault="007908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Миномет имел двуногу по типу 81-мм миномета Стокса — Брандта, на которой были смонтированы подъемный и поворотный механизмы. Оба механизма были винтового типа.</w:t>
      </w:r>
    </w:p>
    <w:p w14:paraId="40D66E84" w14:textId="77777777" w:rsidR="007908DF" w:rsidRPr="005E779E" w:rsidRDefault="007908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Изменение дальности стрельбы происходило как за счет изменения угла возвышения, так и за счет изменения заряда.</w:t>
      </w:r>
    </w:p>
    <w:p w14:paraId="7D5A8462" w14:textId="77777777" w:rsidR="007908DF" w:rsidRPr="005E779E" w:rsidRDefault="007908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Опорная плита миномета четырехугольная.</w:t>
      </w:r>
    </w:p>
    <w:p w14:paraId="149599EB" w14:textId="77777777" w:rsidR="007908DF" w:rsidRPr="005E779E" w:rsidRDefault="007908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Колесного хода миномет не имел, а на поле боя переносился расчетом, для чего разбирался на три части — ствол, двуногу и опорную плиту.</w:t>
      </w:r>
    </w:p>
    <w:p w14:paraId="4A3E78A7" w14:textId="77777777" w:rsidR="007908DF" w:rsidRPr="005E779E" w:rsidRDefault="007908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Данные миномета МС-107 </w:t>
      </w:r>
    </w:p>
    <w:p w14:paraId="59A785EB" w14:textId="77777777" w:rsidR="007908DF" w:rsidRPr="005E779E" w:rsidRDefault="007908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Калибр, мм — 107</w:t>
      </w:r>
    </w:p>
    <w:p w14:paraId="0AC96DC1" w14:textId="77777777" w:rsidR="007908DF" w:rsidRPr="005E779E" w:rsidRDefault="007908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Длина ствола, мм — 1300</w:t>
      </w:r>
    </w:p>
    <w:p w14:paraId="6C842F5F" w14:textId="77777777" w:rsidR="007908DF" w:rsidRPr="005E779E" w:rsidRDefault="007908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Угол вертикального наведения, град — +45; +75</w:t>
      </w:r>
    </w:p>
    <w:p w14:paraId="261A3A70" w14:textId="77777777" w:rsidR="007908DF" w:rsidRPr="005E779E" w:rsidRDefault="007908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ствола, кг — 47,1</w:t>
      </w:r>
    </w:p>
    <w:p w14:paraId="574095F4" w14:textId="77777777" w:rsidR="007908DF" w:rsidRPr="005E779E" w:rsidRDefault="007908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системы в боевом положении, кг — 90</w:t>
      </w:r>
    </w:p>
    <w:p w14:paraId="63C5A57A" w14:textId="77777777" w:rsidR="007908DF" w:rsidRPr="005E779E" w:rsidRDefault="007908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Максимальное давление в канале ствола, кг/см2 — 470</w:t>
      </w:r>
    </w:p>
    <w:p w14:paraId="306A327B" w14:textId="77777777" w:rsidR="007908DF" w:rsidRPr="005E779E" w:rsidRDefault="007908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Стрельба производилась минами с четырьмя стабилизаторами (перьями). Основной заряд 3,5 г черного пороха помешался в обрезанной до 25 мм бумажной гильзе охотничьего патрона 12-го калибра. Дополнительные заряды весили по 15 г пороха «Глухарь» и в мешочках из шелковой ткани помещались между стабилизаторами (12705).</w:t>
      </w:r>
    </w:p>
    <w:p w14:paraId="751F6781" w14:textId="77777777" w:rsidR="007908DF" w:rsidRPr="005E779E" w:rsidRDefault="007908DF" w:rsidP="000B7A6C">
      <w:pPr>
        <w:spacing w:after="0" w:line="240" w:lineRule="auto"/>
        <w:jc w:val="both"/>
        <w:rPr>
          <w:rFonts w:ascii="Times New Roman" w:hAnsi="Times New Roman"/>
          <w:color w:val="000000" w:themeColor="text1"/>
          <w:sz w:val="16"/>
          <w:szCs w:val="16"/>
        </w:rPr>
      </w:pPr>
    </w:p>
    <w:p w14:paraId="50D2C3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Весной 1931 г., после назначения Тухачевского заместителем Наркомвоенмора - начальником вооружений РККА, разрешился спор военачальников. В ноябре 1929 г. М.Н. Тухачевский, будучи командующим Ленинградским военным округом, "настоятельно ходатайствовал о принятии на вооружение батальонной артиллерии пушки ДРП". Правда, за год до этого председатель РВС СССР А.И. Корк и начальник артиллерийского управления РККА Г.И. Кулик рекомендовали воздержаться от принятия ее на вооружение.</w:t>
      </w:r>
    </w:p>
    <w:p w14:paraId="409D98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1935 г. сдали заказчику 134 пушки БПК.</w:t>
      </w:r>
    </w:p>
    <w:p w14:paraId="78E5FA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БПК состояла из ствола, прицельного приспособления и двухколесного лафета. На затворе орудия крепился на резьбе сопловой блок. Особенностью этого орудия, как, впрочем, и остальных, предназначенных для сухопутных войск, были стандартные патроны от трехдюймовых орудий. Правда, гильза отличалась отверстием в ее донной части, из которого после воспламенения истекали пороховые газы. Снаряд имел ведущий поясок, расположенный в донной части и легко деформировавшийся при его движении в канале ствола. После выстрела боец открывал затвор, из которого извлекалась использованная гильза.</w:t>
      </w:r>
    </w:p>
    <w:p w14:paraId="29BF76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БПК можно было использовать и как миномет при стрельбе специальными минами на расстояние до одного километра. Для этого снимали сопло и в зарядную камеру вставляли приспособление в виде укороченной латунной гильзы с жалом. Заряжание и выстрел происходили как в обычном миномете (11617).</w:t>
      </w:r>
    </w:p>
    <w:p w14:paraId="313B48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A4977DE" w14:textId="77777777" w:rsidR="00837F59" w:rsidRPr="005E779E" w:rsidRDefault="00837F5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весны 1931 г. на заводе Большевик ударными темпами шла подготовка к серийному выпуску Т-26: переводились из дюймовой системы в метрическую чертежи, разрабатывались техпроцессы, проектировались и изготавливались специальный инструмент и приспособления (15132).</w:t>
      </w:r>
    </w:p>
    <w:p w14:paraId="7F884D7F" w14:textId="77777777" w:rsidR="00837F59" w:rsidRPr="005E779E" w:rsidRDefault="00837F59" w:rsidP="000B7A6C">
      <w:pPr>
        <w:spacing w:after="0" w:line="240" w:lineRule="auto"/>
        <w:jc w:val="both"/>
        <w:rPr>
          <w:rFonts w:ascii="Times New Roman" w:hAnsi="Times New Roman"/>
          <w:color w:val="000000" w:themeColor="text1"/>
          <w:sz w:val="16"/>
          <w:szCs w:val="16"/>
        </w:rPr>
      </w:pPr>
    </w:p>
    <w:p w14:paraId="624D1A83" w14:textId="77777777" w:rsidR="00D37260" w:rsidRPr="00142305" w:rsidRDefault="00D37260" w:rsidP="00D3726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весны 1931 года на «Большевике» ударными темпами шла под</w:t>
      </w:r>
      <w:r w:rsidRPr="00142305">
        <w:rPr>
          <w:rFonts w:ascii="Times New Roman" w:hAnsi="Times New Roman"/>
          <w:color w:val="0070C0"/>
          <w:sz w:val="16"/>
          <w:szCs w:val="16"/>
        </w:rPr>
        <w:softHyphen/>
        <w:t>готовка к серийному выпуску Т-26 - перево</w:t>
      </w:r>
      <w:r w:rsidRPr="00142305">
        <w:rPr>
          <w:rFonts w:ascii="Times New Roman" w:hAnsi="Times New Roman"/>
          <w:color w:val="0070C0"/>
          <w:sz w:val="16"/>
          <w:szCs w:val="16"/>
        </w:rPr>
        <w:softHyphen/>
        <w:t>дились из дюймовой системы в метрическую чертежи машины, разрабатывался техпроцесс, специальные приспособления и инструмент (24999).</w:t>
      </w:r>
    </w:p>
    <w:p w14:paraId="42FEF539" w14:textId="77777777" w:rsidR="00D37260" w:rsidRPr="00142305" w:rsidRDefault="00D37260" w:rsidP="00D37260">
      <w:pPr>
        <w:spacing w:after="0" w:line="240" w:lineRule="auto"/>
        <w:jc w:val="both"/>
        <w:rPr>
          <w:rFonts w:ascii="Times New Roman" w:hAnsi="Times New Roman"/>
          <w:color w:val="0070C0"/>
          <w:sz w:val="16"/>
          <w:szCs w:val="16"/>
        </w:rPr>
      </w:pPr>
    </w:p>
    <w:p w14:paraId="2B11F6C7" w14:textId="77777777" w:rsidR="00837F59" w:rsidRPr="005E779E" w:rsidRDefault="00837F59" w:rsidP="000B7A6C">
      <w:pPr>
        <w:pStyle w:val="a3"/>
        <w:rPr>
          <w:color w:val="000000" w:themeColor="text1"/>
          <w:lang w:val="ru-RU"/>
        </w:rPr>
      </w:pPr>
      <w:r w:rsidRPr="005E779E">
        <w:rPr>
          <w:color w:val="000000" w:themeColor="text1"/>
          <w:lang w:val="ru-RU"/>
        </w:rPr>
        <w:t>Весной 1931 г. танк №1 использовали в основном для ознакомительных и учебных целей, хотя выявленные недостатки больше не по</w:t>
      </w:r>
      <w:r w:rsidRPr="005E779E">
        <w:rPr>
          <w:color w:val="000000" w:themeColor="text1"/>
          <w:lang w:val="ru-RU"/>
        </w:rPr>
        <w:softHyphen/>
        <w:t>вторялись. Полноценные ходовые испытания проводились на втором образце (15745).</w:t>
      </w:r>
    </w:p>
    <w:p w14:paraId="6B34EAA9" w14:textId="77777777" w:rsidR="00837F59" w:rsidRPr="005E779E" w:rsidRDefault="00837F59" w:rsidP="000B7A6C">
      <w:pPr>
        <w:pStyle w:val="a3"/>
        <w:rPr>
          <w:color w:val="000000" w:themeColor="text1"/>
          <w:lang w:val="ru-RU"/>
        </w:rPr>
      </w:pPr>
    </w:p>
    <w:p w14:paraId="681B4257" w14:textId="77777777" w:rsidR="00837F59" w:rsidRPr="005E779E" w:rsidRDefault="00837F5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Весной 1931 г. по специальному заданию ЭКО ОГПУ ЛВО группа инженеров-конструкторов в составе Асафова, Алексеева и Скворцова приступила к проектированию нового </w:t>
      </w:r>
      <w:hyperlink r:id="rId111"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а. Предполагалось, что </w:t>
      </w:r>
      <w:hyperlink r:id="rId112"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 будет относиться к среднему типу, а значит по массе, бронированию и вооружению он не должен уступать ТГ.</w:t>
      </w:r>
    </w:p>
    <w:p w14:paraId="78CCE1A3" w14:textId="77777777" w:rsidR="00837F59" w:rsidRPr="005E779E" w:rsidRDefault="00837F5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результате проведенных работ к апрелю 1931 года был спроектирован </w:t>
      </w:r>
      <w:hyperlink r:id="rId113"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 ТА-1 с мощным вооружением.</w:t>
      </w:r>
    </w:p>
    <w:p w14:paraId="66F928D7" w14:textId="77777777" w:rsidR="00837F59" w:rsidRPr="005E779E" w:rsidRDefault="00837F5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Компоновка машины была выполнена по классической схеме, которая включала в себя три отделения: управления, боевое и моторно-трансмиссионное. Экипаж </w:t>
      </w:r>
      <w:hyperlink r:id="rId114"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а состоял из пяти человек. На </w:t>
      </w:r>
      <w:hyperlink r:id="rId115"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е была примененая двухярусная установка пушечного вооружения калибра 76,2 мм и 37 мм.</w:t>
      </w:r>
    </w:p>
    <w:p w14:paraId="7FA0BF68" w14:textId="77777777" w:rsidR="00837F59" w:rsidRPr="005E779E" w:rsidRDefault="00837F5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качестве вспомогательного вооружения использовались четыре 7,62-мм пулемета "Максим", установленные в шаровых опорах - два в отделении управления в два в башне (один пулемет спарен с 76,2-мм пушкой). 76,2-мм пушка А-19 монтировалась в куполообразной вращающейся башне, на которой размещалась малая </w:t>
      </w:r>
      <w:r w:rsidRPr="005E779E">
        <w:rPr>
          <w:rFonts w:ascii="Times New Roman" w:hAnsi="Times New Roman"/>
          <w:color w:val="000000" w:themeColor="text1"/>
          <w:sz w:val="16"/>
          <w:szCs w:val="16"/>
        </w:rPr>
        <w:lastRenderedPageBreak/>
        <w:t>куполообразная башня с 37-мм пушкой. Поворот малой башни мог производиться независимо от нижней. Максимальный угол вертикального наведения 37-мм пушки составлял 65 град и обеспечивал возможность ведения стрельбы по воздушным целям. Боекомплект пулеметов был рассчитан на 10 мин. непрерывной стрельбы. Для наблюдения за полем боя на малой башне имелся стробоскоп.</w:t>
      </w:r>
    </w:p>
    <w:p w14:paraId="54DBE9EC" w14:textId="77777777" w:rsidR="00837F59" w:rsidRPr="005E779E" w:rsidRDefault="00837F5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Бронирование </w:t>
      </w:r>
      <w:hyperlink r:id="rId116"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а ТА-1 было слабее чем у ТГ. Так, например, основная башня изготовлялась методом штамповки и сварки из 20-мм брони (у </w:t>
      </w:r>
      <w:hyperlink r:id="rId117"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а Гроте – 30 мм), малая башня – из 13 мм брони. Тем не менее, боевая масса </w:t>
      </w:r>
      <w:hyperlink r:id="rId118"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а снизилась до 18000-18500 кг, что было на 50% меньше чем у ТГ.</w:t>
      </w:r>
    </w:p>
    <w:p w14:paraId="13A9E75E" w14:textId="77777777" w:rsidR="00837F59" w:rsidRPr="005E779E" w:rsidRDefault="00837F5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силовой установке предполагалось использовать авиационный карбюраторный “Либерти", но поскольку авиапромышленность осваивала лицензионный выпуск BMW-IV мощностью 500 л.с. при 1420 об./мин., проект был скорректирован под него. В состав механической трансмиссии входили: главный фрикцион, коробка передач, два бортовых фрикциона и два бортовых редуктора. В </w:t>
      </w:r>
      <w:hyperlink r:id="rId119"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е использовались пневматическая система управления трансмиссией и механические приводы непосредственного действия.</w:t>
      </w:r>
    </w:p>
    <w:p w14:paraId="781DB273" w14:textId="77777777" w:rsidR="00837F59" w:rsidRPr="005E779E" w:rsidRDefault="00837F5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Подвеска </w:t>
      </w:r>
      <w:hyperlink r:id="rId120"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а представляла собой модернизированную подвеску американского </w:t>
      </w:r>
      <w:hyperlink r:id="rId121"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а М.1940 "Кристи" с измененной конструкцией балансиров опорных катков. В ходовой части использовались гусеницы из штампованных траков, которые имели цевочное зацепление с ведущими колесами. Опорные и поддерживающие катки, а также направляющие колеса имели наружную амортизацию. Расчетная максимальная скорость </w:t>
      </w:r>
      <w:hyperlink r:id="rId122"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а боевой массой 18,2 т составляла 50 км/ч.</w:t>
      </w:r>
    </w:p>
    <w:p w14:paraId="2653D38D" w14:textId="77777777" w:rsidR="00837F59" w:rsidRPr="005E779E" w:rsidRDefault="00837F5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Первый эскизный проект ТА-1 предполагал, что </w:t>
      </w:r>
      <w:hyperlink r:id="rId123"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 будет иметь только гусеничный ход, но уже на начальном этапе проектирования было получено распоряжение оснастить машину колесно-гусеничным движителем. Это повлекло за собой целую серию доработок в конечном итоге проект был значительно переработан и получил индекс ТА-2.</w:t>
      </w:r>
    </w:p>
    <w:p w14:paraId="78E77FBE" w14:textId="77777777" w:rsidR="00837F59" w:rsidRPr="005E779E" w:rsidRDefault="00837F5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Главное внимание при проектировании ТА-2 было обращено на конструкцию передних поворотных колес и систему подвески заднего моста (привода ведущих колес колесного хода). Система подрессоривания была спроектирована по типу </w:t>
      </w:r>
      <w:hyperlink r:id="rId124"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а Кристи, но с горизонтальным расположением рессор. Из-за значительных усилий, возникающих в рулевом механизме управляемых колес при повороте на колесном ходу, он был снабжен пневматическим усилителем.</w:t>
      </w:r>
    </w:p>
    <w:p w14:paraId="641C8CB7" w14:textId="77777777" w:rsidR="00837F59" w:rsidRPr="005E779E" w:rsidRDefault="00837F5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При движении на колёсном ходу две задние пары опорных катков являлись ведущими. Привод к ним осуществлялся от бортовых редукторов </w:t>
      </w:r>
      <w:hyperlink r:id="rId125"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а через шестеренчатые редукторы (гитары), расположенные по бортам </w:t>
      </w:r>
      <w:hyperlink r:id="rId126"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а. Распределение крутящего момента между колесами производилось с помощью гитар-балансиров. Узлы и агрегаты моторно-трансмиссионного отделения, ведущие колеса гусеничного хода и гусеницы были такими же, как в </w:t>
      </w:r>
      <w:hyperlink r:id="rId127"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е ТА-1. Из-за ограничения внутренних объемов отделений пришлось отказаться от ручных приводов управления и перейти на пневматические.</w:t>
      </w:r>
    </w:p>
    <w:p w14:paraId="364F2983" w14:textId="77777777" w:rsidR="00837F59" w:rsidRPr="005E779E" w:rsidRDefault="00837F5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части вооружения было увеличено до пяти число установленных пулеметов - дополнялось бортовыми пулеметами для обеспечения «зачистки окопов». Увеличение мощи вооружения происходило за счет сокращения боекомплекта, рассчитанного на ведение боя в течение 6 минут. Численность экипажа осталась без изменений. Танк должен был иметь массу 27,5 т и развивать максимальную скорость на колесном ходу до 80 км/ч, на гусеничном - до 50 км/ч.</w:t>
      </w:r>
    </w:p>
    <w:p w14:paraId="15F8690C" w14:textId="77777777" w:rsidR="00837F59" w:rsidRPr="005E779E" w:rsidRDefault="00837F5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Эти показатели сочли слишком оптимистичными, да и запас хода ТА-2 не совсем отвечал предъявляемым требованиям к “маневренному” </w:t>
      </w:r>
      <w:hyperlink r:id="rId128"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у. Более того, военная комиссия обнаружила в проекте новые ошибки, что в совокупности с возросшей ценой привело к отказу от работ по этому проекту. Все это побудило конструкторов начать проектирование третьего </w:t>
      </w:r>
      <w:hyperlink r:id="rId129"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а – Т-3, который относился уже к «позиционным», так как имел массу свыше 32 т (15620).</w:t>
      </w:r>
    </w:p>
    <w:p w14:paraId="75E2BEC2" w14:textId="77777777" w:rsidR="00837F59" w:rsidRPr="005E779E" w:rsidRDefault="00837F59" w:rsidP="000B7A6C">
      <w:pPr>
        <w:spacing w:after="0" w:line="240" w:lineRule="auto"/>
        <w:jc w:val="both"/>
        <w:rPr>
          <w:rFonts w:ascii="Times New Roman" w:hAnsi="Times New Roman"/>
          <w:color w:val="000000" w:themeColor="text1"/>
          <w:sz w:val="16"/>
          <w:szCs w:val="16"/>
        </w:rPr>
      </w:pPr>
    </w:p>
    <w:p w14:paraId="16BD0A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Весной 1931 был изготовлен опытный образец десантного танка Д-14, разработанного ОКИБ УММ Н.И.Дыренкова. В мае-июне 1931 прошел испытания на НИБТ полигоне. Показал неплохие качества, но выявилась слабость силовой установки из-за неудачного охлаждения, плохой обзор, перегрузка задних тележек (9527,206).</w:t>
      </w:r>
    </w:p>
    <w:p w14:paraId="6D4F15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DE809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Весной 1931 под руководством Н.И.Дыренкова был разработан и в мае изготовлен ба Д-9 на шасси трехосного полноприводного Мериленда (9527,325)</w:t>
      </w:r>
    </w:p>
    <w:p w14:paraId="19D2113C"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F76A6FE" w14:textId="77777777" w:rsidR="00D37260" w:rsidRPr="00142305" w:rsidRDefault="00D37260" w:rsidP="00D3726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Весной 1931 года на подмосковном танковом полигоне в Кубинке были испы</w:t>
      </w:r>
      <w:r w:rsidRPr="00142305">
        <w:rPr>
          <w:rFonts w:ascii="Times New Roman" w:hAnsi="Times New Roman"/>
          <w:color w:val="0070C0"/>
          <w:sz w:val="16"/>
          <w:szCs w:val="16"/>
        </w:rPr>
        <w:softHyphen/>
        <w:t>таны бронетрактора Дыренкорва Д-10 и Д-14, а Д-15 ис</w:t>
      </w:r>
      <w:r w:rsidRPr="00142305">
        <w:rPr>
          <w:rFonts w:ascii="Times New Roman" w:hAnsi="Times New Roman"/>
          <w:color w:val="0070C0"/>
          <w:sz w:val="16"/>
          <w:szCs w:val="16"/>
        </w:rPr>
        <w:softHyphen/>
        <w:t>пытывался ВОХИМУ по отдельной про</w:t>
      </w:r>
      <w:r w:rsidRPr="00142305">
        <w:rPr>
          <w:rFonts w:ascii="Times New Roman" w:hAnsi="Times New Roman"/>
          <w:color w:val="0070C0"/>
          <w:sz w:val="16"/>
          <w:szCs w:val="16"/>
        </w:rPr>
        <w:softHyphen/>
        <w:t>грамме в Ленинградской области. В ходе испытаний у всех испытанных бронетрак</w:t>
      </w:r>
      <w:r w:rsidRPr="00142305">
        <w:rPr>
          <w:rFonts w:ascii="Times New Roman" w:hAnsi="Times New Roman"/>
          <w:color w:val="0070C0"/>
          <w:sz w:val="16"/>
          <w:szCs w:val="16"/>
        </w:rPr>
        <w:softHyphen/>
        <w:t>торов были выявлены недостатки.</w:t>
      </w:r>
    </w:p>
    <w:p w14:paraId="55F1186B" w14:textId="77777777" w:rsidR="00D37260" w:rsidRPr="00142305" w:rsidRDefault="00D37260" w:rsidP="00D3726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работах по Д-15 ставилась задача создать «машину-трактор, которую лег</w:t>
      </w:r>
      <w:r w:rsidRPr="00142305">
        <w:rPr>
          <w:rFonts w:ascii="Times New Roman" w:hAnsi="Times New Roman"/>
          <w:color w:val="0070C0"/>
          <w:sz w:val="16"/>
          <w:szCs w:val="16"/>
        </w:rPr>
        <w:softHyphen/>
        <w:t>ко осуществить, на ней последить, что можно достигнуть в смысле химического вооружения». По сути это был испыта</w:t>
      </w:r>
      <w:r w:rsidRPr="00142305">
        <w:rPr>
          <w:rFonts w:ascii="Times New Roman" w:hAnsi="Times New Roman"/>
          <w:color w:val="0070C0"/>
          <w:sz w:val="16"/>
          <w:szCs w:val="16"/>
        </w:rPr>
        <w:softHyphen/>
        <w:t>тельный стенд для проверки решений и концепций (25003).</w:t>
      </w:r>
    </w:p>
    <w:p w14:paraId="1D4298EA" w14:textId="77777777" w:rsidR="00D37260" w:rsidRPr="00142305" w:rsidRDefault="00D37260" w:rsidP="00D37260">
      <w:pPr>
        <w:spacing w:after="0" w:line="240" w:lineRule="auto"/>
        <w:jc w:val="both"/>
        <w:rPr>
          <w:rFonts w:ascii="Times New Roman" w:hAnsi="Times New Roman"/>
          <w:color w:val="0070C0"/>
          <w:sz w:val="16"/>
          <w:szCs w:val="16"/>
        </w:rPr>
      </w:pPr>
    </w:p>
    <w:p w14:paraId="2AEBE47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Весной 1931 г. велась лишь подготовка к производству танков по временному техпроцессу, началось также изго</w:t>
      </w:r>
      <w:r w:rsidRPr="005E779E">
        <w:rPr>
          <w:rFonts w:ascii="Times New Roman" w:hAnsi="Times New Roman"/>
          <w:color w:val="000000" w:themeColor="text1"/>
          <w:sz w:val="16"/>
          <w:szCs w:val="16"/>
        </w:rPr>
        <w:softHyphen/>
        <w:t>товление первых двух эталонных танков. Несмотря на то, что завод «Большевик» имел сравнительно мощное КБ, над Т-26 первоначально работало всего 5 человек, которые за</w:t>
      </w:r>
      <w:r w:rsidRPr="005E779E">
        <w:rPr>
          <w:rFonts w:ascii="Times New Roman" w:hAnsi="Times New Roman"/>
          <w:color w:val="000000" w:themeColor="text1"/>
          <w:sz w:val="16"/>
          <w:szCs w:val="16"/>
        </w:rPr>
        <w:softHyphen/>
        <w:t>нимались только переводом чертежей танка из дюймовых единиц в метрические (10733,175).</w:t>
      </w:r>
    </w:p>
    <w:p w14:paraId="36A98A5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2E14C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Весной 1931 согласно заказа № 70900311 предписывалось к праздни</w:t>
      </w:r>
      <w:r w:rsidRPr="005E779E">
        <w:rPr>
          <w:rFonts w:ascii="Times New Roman" w:hAnsi="Times New Roman"/>
          <w:color w:val="000000" w:themeColor="text1"/>
          <w:sz w:val="16"/>
          <w:szCs w:val="16"/>
        </w:rPr>
        <w:softHyphen/>
        <w:t>ку 7 ноября изготовить 6 образцов танка БТ для их участия в парадах г. Москвы и Харькова. Для этого назначили допол</w:t>
      </w:r>
      <w:r w:rsidRPr="005E779E">
        <w:rPr>
          <w:rFonts w:ascii="Times New Roman" w:hAnsi="Times New Roman"/>
          <w:color w:val="000000" w:themeColor="text1"/>
          <w:sz w:val="16"/>
          <w:szCs w:val="16"/>
        </w:rPr>
        <w:softHyphen/>
        <w:t>нительные меры материального стимулирования, усилиями Г. Орджоникидзе завод был снабжен всем необходимым. Выполнению заказов ХПЗ у соисполнителей была дана «зе</w:t>
      </w:r>
      <w:r w:rsidRPr="005E779E">
        <w:rPr>
          <w:rFonts w:ascii="Times New Roman" w:hAnsi="Times New Roman"/>
          <w:color w:val="000000" w:themeColor="text1"/>
          <w:sz w:val="16"/>
          <w:szCs w:val="16"/>
        </w:rPr>
        <w:softHyphen/>
        <w:t>леная улица». Но лишь три машины были готовы к указанно</w:t>
      </w:r>
      <w:r w:rsidRPr="005E779E">
        <w:rPr>
          <w:rFonts w:ascii="Times New Roman" w:hAnsi="Times New Roman"/>
          <w:color w:val="000000" w:themeColor="text1"/>
          <w:sz w:val="16"/>
          <w:szCs w:val="16"/>
        </w:rPr>
        <w:softHyphen/>
        <w:t>му сроку, из которых у одной при подходе к Москве загоре</w:t>
      </w:r>
      <w:r w:rsidRPr="005E779E">
        <w:rPr>
          <w:rFonts w:ascii="Times New Roman" w:hAnsi="Times New Roman"/>
          <w:color w:val="000000" w:themeColor="text1"/>
          <w:sz w:val="16"/>
          <w:szCs w:val="16"/>
        </w:rPr>
        <w:softHyphen/>
        <w:t>лось моторное отделение, и потому в параде 7 ноября 1931 г. приняли участие лишь два танка БТ. Во время движения по Москве оба танка испытывали многочисленные неисправ</w:t>
      </w:r>
      <w:r w:rsidRPr="005E779E">
        <w:rPr>
          <w:rFonts w:ascii="Times New Roman" w:hAnsi="Times New Roman"/>
          <w:color w:val="000000" w:themeColor="text1"/>
          <w:sz w:val="16"/>
          <w:szCs w:val="16"/>
        </w:rPr>
        <w:softHyphen/>
        <w:t>ности, и наибольшие опасения вызывало безостановочное быстрое движение их по Красной площади. Но обошлось. Все это подпортило впечатление о танке (10733,199).</w:t>
      </w:r>
    </w:p>
    <w:p w14:paraId="7FDF43C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38C3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Весной 1931 года начались всесторонние испытания танков Кристи в СССР (3862). Проводились на полигоне под Воронежем (9527,98).</w:t>
      </w:r>
    </w:p>
    <w:p w14:paraId="23AFD5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B92A9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Весной 1931 г. Харьковский паровозостроительный завод (ХПЗ им. Коминтерна) получил от управления "Парвагдиз" (ведавшего производством паровозов, вагонов и дизелей) задание на разработку "мощного автотракторного мотора Дизеля". Цель заказа была сформулирована вполне определенно - "создать дизель как новый тип двигателя для танка". Дело в том, что к этому времени на ХПЗ разворачивалось массовое производство танков, требовавших мощных и надежных силовых установок, в составе которых приходилось использовать авиационные бензиновые карбюраторные двигатели. Но они не обладали требуемой выносливостью и долговечностью, были малоэкономичны и пожароопасны, слабо отвечали специфике эксплуатации - частым переменам тяговых усилий и скорости, тряске, ударам, запыленности. Двигателисты завода констатировали: "Наличие на заводе производства быстроходных танков БТ и мощных гусеничных тракторов поставило перед заводом задачу - в соответствии с новейшими тенденциями современной техники - заменить бензиновые моторы танков и тракторов двигателями Дизеля". Выданное заводу задание, помимо сосредоточения на нем производства и танков и двигателей, имело дополнительные резоны. На ХПЗ существовали давние традиции дизельного производства, начавшегося еще в дореволюционный период. Он выпускал судовые и стационарные "нефтянки" для промышленности, двигатели для тракторов и располагал собственным конструкторским отделом по дизелестроению, именовавшимся тогда "тепловым". Однако строились преимущественно тяжелые и тихоходные моторы, обладавшие абсолютно неудовлетворительными для новых задач параметрами. Громоздкие и массивные бескомпрессорные дизели годились для цехов, но никак не вписывались в компоновку танка. Тракторные моторы также не подходили ввиду малой мощности, кроме того, небольшой объем их выпуска никак не отвечал масштабным планам моторизации и механизации Красной Армии. Работникам конструкторского отдела, в том же 1931 г. переименованного в дизельный, предстояло создать мотор, аналогов которому в мире не было. Возглавил работы талантливый и энергичный 32-летний руководитель - Константин Федорович Челпан. Молодой конструктор был энтузиастом дизельного дела с семилетним опытом работы в этой области. Он прошел стажировку в лабораториях и на заводах Германии, Швейцарии и Англии. Конструкторской проработкой дизеля занимался его сокурсник по институту Яков Ефимович Вихман, назначенный начальником бюро практически одновременно с выдачей технического задания.</w:t>
      </w:r>
    </w:p>
    <w:p w14:paraId="3482E7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задании на разработку будущего дизеля устанавливалась мощность 300 л.с. при частоте вращения коленвала 1600 об/мин. Для него была выбрана V-образная 12-цилиндровая схема. Охлаждение - принудительное водяное, пуск - воздушный с электростартером. Предполагалось использовать топливную аппаратуру известной германской фирмы "Бош" с переходом в дальнейшем на отечественную. Мотор существенно отличался от предыдущих разработок, для которых была характерна простая рядная схема и рабочая частота вращения, не превышавшая 250 об/мин. Эти соображения навели на мысль об использовании авиационного двигателя жидкостного охлаждения- легкого, мощного и высокооборотного - в качестве прототипа танкового дизеля (9021).</w:t>
      </w:r>
    </w:p>
    <w:p w14:paraId="1CF9C0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44A670E" w14:textId="77777777" w:rsidR="0033769F" w:rsidRPr="005E779E" w:rsidRDefault="0033769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Весной 1931 года группе арестованных конструкторов-паровозников было поручено сконструировать наиболее совершенный тип пассажирского паровоза. Эскизный проект мощного пассажирского паровоза был разработан достаточно оперативно и уже 3 ноября 1931 года председатель ОГПУ Рудольф Менжинский направил его секретарю ЦК ВКП(б) Сталину. Важным было то, что основные узлы нового паровоза были взаимозаменяемы с уже построенным по проекту ОГПУ на Луганском заводе товарным 20-тонным паровозом. Это являлось новым достижением в технике паровозного дела. Взаимозаменяемость была чрезвычайно важна как при постройке паровозов, так и при их ремонте и эксплуатации. Менжинский предлагал поручить постройку опытного экземпляра паровоза Локомотивному объединению ВСНХ, но под руководством ОГПУ (18728).</w:t>
      </w:r>
    </w:p>
    <w:p w14:paraId="256048DF" w14:textId="77777777" w:rsidR="0033769F" w:rsidRPr="005E779E" w:rsidRDefault="0033769F" w:rsidP="000B7A6C">
      <w:pPr>
        <w:spacing w:after="0" w:line="240" w:lineRule="auto"/>
        <w:jc w:val="both"/>
        <w:rPr>
          <w:rFonts w:ascii="Times New Roman" w:hAnsi="Times New Roman"/>
          <w:color w:val="000000" w:themeColor="text1"/>
          <w:sz w:val="16"/>
          <w:szCs w:val="16"/>
        </w:rPr>
      </w:pPr>
    </w:p>
    <w:p w14:paraId="79D863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Весной 1931 г. модернизированный "Марат" вступил в строй. К этому времени не удалось создать ни отечественной катапульты, ни корабельного гидросамолета. Поэтому вскоре линкор вооружили гидросамолетом КР-1 из числа тридцати машин, закупленных у германской фирмы "Хейнкель". Самолет находился на крыше </w:t>
      </w:r>
      <w:r w:rsidRPr="005E779E">
        <w:rPr>
          <w:rFonts w:ascii="Times New Roman" w:hAnsi="Times New Roman"/>
          <w:color w:val="000000" w:themeColor="text1"/>
          <w:sz w:val="16"/>
          <w:szCs w:val="16"/>
        </w:rPr>
        <w:lastRenderedPageBreak/>
        <w:t>третьей башни, а перемещался на воду и с воды стрелой для подъ</w:t>
      </w:r>
      <w:r w:rsidRPr="005E779E">
        <w:rPr>
          <w:rFonts w:ascii="Times New Roman" w:hAnsi="Times New Roman"/>
          <w:color w:val="000000" w:themeColor="text1"/>
          <w:sz w:val="16"/>
          <w:szCs w:val="16"/>
        </w:rPr>
        <w:softHyphen/>
        <w:t>ема корабельных катеров. В 1932 г. на третьей башне "Парижской коммуны" бьша установлена и пневматическая катапульта К-3 той же фирмы, которая обеспечивала взлет корабельного гидросамолета (3898).</w:t>
      </w:r>
    </w:p>
    <w:p w14:paraId="7D5F09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20330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Весной 1931 г. после ус</w:t>
      </w:r>
      <w:r w:rsidRPr="005E779E">
        <w:rPr>
          <w:rFonts w:ascii="Times New Roman" w:hAnsi="Times New Roman"/>
          <w:color w:val="000000" w:themeColor="text1"/>
          <w:sz w:val="16"/>
          <w:szCs w:val="16"/>
        </w:rPr>
        <w:softHyphen/>
        <w:t>транения некоторых дефектов, сторожевой корабль николаевского завода Ураган был предъявлен Постоян</w:t>
      </w:r>
      <w:r w:rsidRPr="005E779E">
        <w:rPr>
          <w:rFonts w:ascii="Times New Roman" w:hAnsi="Times New Roman"/>
          <w:color w:val="000000" w:themeColor="text1"/>
          <w:sz w:val="16"/>
          <w:szCs w:val="16"/>
        </w:rPr>
        <w:softHyphen/>
        <w:t>ной комиссии А. К. Векмана. Ответственным сдатчиком от завода был К. А. Камешков. На официальных испытаниях (1931 г.) "Ураган" при суммар</w:t>
      </w:r>
      <w:r w:rsidRPr="005E779E">
        <w:rPr>
          <w:rFonts w:ascii="Times New Roman" w:hAnsi="Times New Roman"/>
          <w:color w:val="000000" w:themeColor="text1"/>
          <w:sz w:val="16"/>
          <w:szCs w:val="16"/>
        </w:rPr>
        <w:softHyphen/>
        <w:t>ной мощности двух ГТЗА 6850 л. с. развил скорость 25,8 уз. Такое значительное отступление от задания и проекта бьыо вызвано пе</w:t>
      </w:r>
      <w:r w:rsidRPr="005E779E">
        <w:rPr>
          <w:rFonts w:ascii="Times New Roman" w:hAnsi="Times New Roman"/>
          <w:color w:val="000000" w:themeColor="text1"/>
          <w:sz w:val="16"/>
          <w:szCs w:val="16"/>
        </w:rPr>
        <w:softHyphen/>
        <w:t>регрузкой (полное водоизмещение возросло на 80 т) и "... неполуче</w:t>
      </w:r>
      <w:r w:rsidRPr="005E779E">
        <w:rPr>
          <w:rFonts w:ascii="Times New Roman" w:hAnsi="Times New Roman"/>
          <w:color w:val="000000" w:themeColor="text1"/>
          <w:sz w:val="16"/>
          <w:szCs w:val="16"/>
        </w:rPr>
        <w:softHyphen/>
        <w:t>нием механической установкой вследствие ошибок в проектирова</w:t>
      </w:r>
      <w:r w:rsidRPr="005E779E">
        <w:rPr>
          <w:rFonts w:ascii="Times New Roman" w:hAnsi="Times New Roman"/>
          <w:color w:val="000000" w:themeColor="text1"/>
          <w:sz w:val="16"/>
          <w:szCs w:val="16"/>
        </w:rPr>
        <w:softHyphen/>
        <w:t>нии назначенной мощности..." (3898).</w:t>
      </w:r>
    </w:p>
    <w:p w14:paraId="0F5EF1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8666493"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1B2D42E2"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C960EE5" w14:textId="77777777" w:rsidR="00841BCF" w:rsidRPr="00142305" w:rsidRDefault="00841BCF" w:rsidP="00841BC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Весной 1931 г. намечалась передача ВВС РККА от «старого» Началь</w:t>
      </w:r>
      <w:r w:rsidRPr="00142305">
        <w:rPr>
          <w:rFonts w:ascii="Times New Roman" w:hAnsi="Times New Roman"/>
          <w:color w:val="0070C0"/>
          <w:sz w:val="16"/>
          <w:szCs w:val="16"/>
        </w:rPr>
        <w:softHyphen/>
        <w:t>ника ВВС РККА П. И. Баранова «новому» - Я. И. Алкснису. Формально передача должна была произойти на Центральном аэродроме в присутствии И. В. Ста</w:t>
      </w:r>
      <w:r w:rsidRPr="00142305">
        <w:rPr>
          <w:rFonts w:ascii="Times New Roman" w:hAnsi="Times New Roman"/>
          <w:color w:val="0070C0"/>
          <w:sz w:val="16"/>
          <w:szCs w:val="16"/>
        </w:rPr>
        <w:softHyphen/>
        <w:t>лина, М. В. Молотова, К. Е. Ворошилова и других членов ЦК и Правительства. В это время нежелательны были какие-либо летные происшествия, для чего и было решено на полтора месяца полеты прекратить по всем ВВС, однако на ме</w:t>
      </w:r>
      <w:r w:rsidRPr="00142305">
        <w:rPr>
          <w:rFonts w:ascii="Times New Roman" w:hAnsi="Times New Roman"/>
          <w:color w:val="0070C0"/>
          <w:sz w:val="16"/>
          <w:szCs w:val="16"/>
        </w:rPr>
        <w:softHyphen/>
        <w:t>стах военно-воздушные силы подчинялись сухопутным и морским командую</w:t>
      </w:r>
      <w:r w:rsidRPr="00142305">
        <w:rPr>
          <w:rFonts w:ascii="Times New Roman" w:hAnsi="Times New Roman"/>
          <w:color w:val="0070C0"/>
          <w:sz w:val="16"/>
          <w:szCs w:val="16"/>
        </w:rPr>
        <w:softHyphen/>
        <w:t>щим округов и «морей». Начальники ВВС округов и «морей» не считали прика</w:t>
      </w:r>
      <w:r w:rsidRPr="00142305">
        <w:rPr>
          <w:rFonts w:ascii="Times New Roman" w:hAnsi="Times New Roman"/>
          <w:color w:val="0070C0"/>
          <w:sz w:val="16"/>
          <w:szCs w:val="16"/>
        </w:rPr>
        <w:softHyphen/>
        <w:t>зание Баранова, который фактически уже полтора года занимался авиационной промышленностью, для себя обязательным к исполнению. Я. И. Алкснис, бу</w:t>
      </w:r>
      <w:r w:rsidRPr="00142305">
        <w:rPr>
          <w:rFonts w:ascii="Times New Roman" w:hAnsi="Times New Roman"/>
          <w:color w:val="0070C0"/>
          <w:sz w:val="16"/>
          <w:szCs w:val="16"/>
        </w:rPr>
        <w:softHyphen/>
        <w:t>дучи заместителем Начальника ВВС, еще не воспринимался высшими команди</w:t>
      </w:r>
      <w:r w:rsidRPr="00142305">
        <w:rPr>
          <w:rFonts w:ascii="Times New Roman" w:hAnsi="Times New Roman"/>
          <w:color w:val="0070C0"/>
          <w:sz w:val="16"/>
          <w:szCs w:val="16"/>
        </w:rPr>
        <w:softHyphen/>
        <w:t>рами как единоначальник (24968).</w:t>
      </w:r>
    </w:p>
    <w:p w14:paraId="53C64959" w14:textId="77777777" w:rsidR="00841BCF" w:rsidRPr="00142305" w:rsidRDefault="00841BCF" w:rsidP="00841BCF">
      <w:pPr>
        <w:spacing w:after="0" w:line="240" w:lineRule="auto"/>
        <w:jc w:val="both"/>
        <w:rPr>
          <w:rFonts w:ascii="Times New Roman" w:hAnsi="Times New Roman"/>
          <w:color w:val="0070C0"/>
          <w:sz w:val="16"/>
          <w:szCs w:val="16"/>
        </w:rPr>
      </w:pPr>
    </w:p>
    <w:p w14:paraId="0DDB25B7" w14:textId="77777777" w:rsidR="00C573D5" w:rsidRPr="005E779E" w:rsidRDefault="00C573D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Весной 1931 г. трехтысячная армия Ибрагим-бека перешла границу СССР со стороны Афганистана. Первые удары басмачей приняли на себя подразде</w:t>
      </w:r>
      <w:r w:rsidRPr="005E779E">
        <w:rPr>
          <w:rFonts w:ascii="Times New Roman" w:hAnsi="Times New Roman"/>
          <w:color w:val="000000" w:themeColor="text1"/>
          <w:sz w:val="16"/>
          <w:szCs w:val="16"/>
        </w:rPr>
        <w:softHyphen/>
        <w:t>ления и части пограничных войск. Из России прилетел авиационный отряд из 25 самолетов ВВС Красной Армии, так называемая «Уральская эскадрилья», вооруженная самолетами Р-1 и Р-3. Невиданные ранее «железные птицы», или по-местному «шайтан-арба», обрушивающие на противника пулеметный огонь, наводили ужас на суеверных басмачей и вселяли уверенность в рядах защитников границы. Иногда одно только появление самолетов в районе бое</w:t>
      </w:r>
      <w:r w:rsidRPr="005E779E">
        <w:rPr>
          <w:rFonts w:ascii="Times New Roman" w:hAnsi="Times New Roman"/>
          <w:color w:val="000000" w:themeColor="text1"/>
          <w:sz w:val="16"/>
          <w:szCs w:val="16"/>
        </w:rPr>
        <w:softHyphen/>
        <w:t>вых столкновений решало исход боя в пользу пограничников (20402).</w:t>
      </w:r>
    </w:p>
    <w:p w14:paraId="2B42A50A" w14:textId="77777777" w:rsidR="00C573D5" w:rsidRPr="005E779E" w:rsidRDefault="00C573D5" w:rsidP="000B7A6C">
      <w:pPr>
        <w:spacing w:after="0" w:line="240" w:lineRule="auto"/>
        <w:jc w:val="both"/>
        <w:rPr>
          <w:rFonts w:ascii="Times New Roman" w:hAnsi="Times New Roman"/>
          <w:color w:val="000000" w:themeColor="text1"/>
          <w:sz w:val="16"/>
          <w:szCs w:val="16"/>
        </w:rPr>
      </w:pPr>
    </w:p>
    <w:p w14:paraId="326B85A9" w14:textId="77777777" w:rsidR="0033769F" w:rsidRPr="005E779E" w:rsidRDefault="0033769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Весной 1931 г. согласно Директиве Штаба РККА от 18 апреля 1931 г. за № 1/013295 командование РККА приняло решение о создании в ЛВО нештатного Опытного воздухо-десантного отряда в составе тяжелой бомбардировочной эскадрильи (12 самолетов ТБ-1) и корпусного авиаотряда (10 самолетов Р-5). Командиром этого отряда стал Е.Д. Лукин. Дату завершения формирования отряда – 1 июня 1931 г. – впоследствии официально утвердили как День создания Военнотранспортной авиации (ВТА) (19566).</w:t>
      </w:r>
    </w:p>
    <w:p w14:paraId="61F368A7" w14:textId="77777777" w:rsidR="0033769F" w:rsidRPr="005E779E" w:rsidRDefault="0033769F" w:rsidP="000B7A6C">
      <w:pPr>
        <w:spacing w:after="0" w:line="240" w:lineRule="auto"/>
        <w:jc w:val="both"/>
        <w:rPr>
          <w:rFonts w:ascii="Times New Roman" w:hAnsi="Times New Roman"/>
          <w:color w:val="000000" w:themeColor="text1"/>
          <w:sz w:val="16"/>
          <w:szCs w:val="16"/>
        </w:rPr>
      </w:pPr>
    </w:p>
    <w:p w14:paraId="5202BA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Весной 1931 г. строевые лётчики ещё только осваивали новые истребители. Заботясь о подготовке кадров, 27 июня 9-й школе лётчиков передали фюзеляж И-5 и несколько моторов М-22. Постепенно новых самолётов становилось всё больше. Внедрение И-5 началось с Ленинградского и Украинского военных округов. На них перевооружали эскадрильи и отряды, летавшие ранее на И-3 и D.XI. Каждая эскадрилья по штату состояла из 22 истребителей (три отряда по семь машин плюс командирская). Отдельные отряды должны были комплектоваться семью истребителями каждый. Позже штат эскадрильи довели до 31 самолёта, отряда - до десяти. Но поначалу новой техники на их полное укомплектование не хватало (11997).</w:t>
      </w:r>
    </w:p>
    <w:p w14:paraId="4DC1D5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027586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Весной 1931 года Тухачевский, который тогда еще коман</w:t>
      </w:r>
      <w:r w:rsidRPr="005E779E">
        <w:rPr>
          <w:rFonts w:ascii="Times New Roman" w:hAnsi="Times New Roman"/>
          <w:color w:val="000000" w:themeColor="text1"/>
          <w:sz w:val="16"/>
          <w:szCs w:val="16"/>
        </w:rPr>
        <w:softHyphen/>
        <w:t>довал войсками ЛВО, за десять лет до начала Великой Отечественной войны, начал широко задуманный капитальный труд под названием: «Новые вопросы войны».</w:t>
      </w:r>
    </w:p>
    <w:p w14:paraId="2076376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октябре 1932 года Тухачевский лишь вчерне закончил первый том, в котором были рассмотрены вооруженные силы государств и способы их использования на сухопутных театрах. Многие положения, выдвинутые тогда Тухачевским, ныне устарели. Вместе с тем, в машинописной копии рукописи его труда, хранящейся в ЦГА Советской Армии, имеются поло</w:t>
      </w:r>
      <w:r w:rsidRPr="005E779E">
        <w:rPr>
          <w:rFonts w:ascii="Times New Roman" w:hAnsi="Times New Roman"/>
          <w:color w:val="000000" w:themeColor="text1"/>
          <w:sz w:val="16"/>
          <w:szCs w:val="16"/>
        </w:rPr>
        <w:softHyphen/>
        <w:t>жения, которые помогут нам понять, почему именно тем, а не иным пу</w:t>
      </w:r>
      <w:r w:rsidRPr="005E779E">
        <w:rPr>
          <w:rFonts w:ascii="Times New Roman" w:hAnsi="Times New Roman"/>
          <w:color w:val="000000" w:themeColor="text1"/>
          <w:sz w:val="16"/>
          <w:szCs w:val="16"/>
        </w:rPr>
        <w:softHyphen/>
        <w:t>тем пошло развитие советского танкостроения и моторостроения для тан</w:t>
      </w:r>
      <w:r w:rsidRPr="005E779E">
        <w:rPr>
          <w:rFonts w:ascii="Times New Roman" w:hAnsi="Times New Roman"/>
          <w:color w:val="000000" w:themeColor="text1"/>
          <w:sz w:val="16"/>
          <w:szCs w:val="16"/>
        </w:rPr>
        <w:softHyphen/>
        <w:t>ков в довоенный период и почему долгое время устойчиво придержива</w:t>
      </w:r>
      <w:r w:rsidRPr="005E779E">
        <w:rPr>
          <w:rFonts w:ascii="Times New Roman" w:hAnsi="Times New Roman"/>
          <w:color w:val="000000" w:themeColor="text1"/>
          <w:sz w:val="16"/>
          <w:szCs w:val="16"/>
        </w:rPr>
        <w:softHyphen/>
        <w:t>лись тех или иных концепций при конструировании танков.</w:t>
      </w:r>
    </w:p>
    <w:p w14:paraId="72389D7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разделе «Тан</w:t>
      </w:r>
      <w:r w:rsidRPr="005E779E">
        <w:rPr>
          <w:rFonts w:ascii="Times New Roman" w:hAnsi="Times New Roman"/>
          <w:color w:val="000000" w:themeColor="text1"/>
          <w:sz w:val="16"/>
          <w:szCs w:val="16"/>
        </w:rPr>
        <w:softHyphen/>
        <w:t>ки» в первой главе труда «Новые вопросы войны» осветил проблемы бое</w:t>
      </w:r>
      <w:r w:rsidRPr="005E779E">
        <w:rPr>
          <w:rFonts w:ascii="Times New Roman" w:hAnsi="Times New Roman"/>
          <w:color w:val="000000" w:themeColor="text1"/>
          <w:sz w:val="16"/>
          <w:szCs w:val="16"/>
        </w:rPr>
        <w:softHyphen/>
        <w:t>вого предназначения и применения танков, обосновывая тактико-техни</w:t>
      </w:r>
      <w:r w:rsidRPr="005E779E">
        <w:rPr>
          <w:rFonts w:ascii="Times New Roman" w:hAnsi="Times New Roman"/>
          <w:color w:val="000000" w:themeColor="text1"/>
          <w:sz w:val="16"/>
          <w:szCs w:val="16"/>
        </w:rPr>
        <w:softHyphen/>
        <w:t>ческие требования к ним и высказал свои соображения, почему его пред</w:t>
      </w:r>
      <w:r w:rsidRPr="005E779E">
        <w:rPr>
          <w:rFonts w:ascii="Times New Roman" w:hAnsi="Times New Roman"/>
          <w:color w:val="000000" w:themeColor="text1"/>
          <w:sz w:val="16"/>
          <w:szCs w:val="16"/>
        </w:rPr>
        <w:softHyphen/>
        <w:t>шественником были отданы предпочтения тем или иным иностранным образцам при выборе перспективных моделей в качестве прототипов бу</w:t>
      </w:r>
      <w:r w:rsidRPr="005E779E">
        <w:rPr>
          <w:rFonts w:ascii="Times New Roman" w:hAnsi="Times New Roman"/>
          <w:color w:val="000000" w:themeColor="text1"/>
          <w:sz w:val="16"/>
          <w:szCs w:val="16"/>
        </w:rPr>
        <w:softHyphen/>
        <w:t>дущих советских танков.</w:t>
      </w:r>
    </w:p>
    <w:p w14:paraId="00FEEFA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 этого раздела труда Тухачевский сделал следующие краткие выводы:</w:t>
      </w:r>
    </w:p>
    <w:p w14:paraId="4F3B828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Количество танков, их удельный вес в сухопутных войсках «предоп</w:t>
      </w:r>
      <w:r w:rsidRPr="005E779E">
        <w:rPr>
          <w:rFonts w:ascii="Times New Roman" w:hAnsi="Times New Roman"/>
          <w:color w:val="000000" w:themeColor="text1"/>
          <w:sz w:val="16"/>
          <w:szCs w:val="16"/>
        </w:rPr>
        <w:softHyphen/>
        <w:t>ределяет характер организации армии с точки зрения ее механизации».</w:t>
      </w:r>
    </w:p>
    <w:p w14:paraId="390C224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Соотношение механизированных, то есть танковых и стрелковых или кавалерийских частей зависит от имеющихся танковых ресурсов.</w:t>
      </w:r>
    </w:p>
    <w:p w14:paraId="218B046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Имеющиеся танковые ресурсы, «возможность насыщения сухопут</w:t>
      </w:r>
      <w:r w:rsidRPr="005E779E">
        <w:rPr>
          <w:rFonts w:ascii="Times New Roman" w:hAnsi="Times New Roman"/>
          <w:color w:val="000000" w:themeColor="text1"/>
          <w:sz w:val="16"/>
          <w:szCs w:val="16"/>
        </w:rPr>
        <w:softHyphen/>
        <w:t>ных войск танками» зависят от уровня «развития автотракторной про</w:t>
      </w:r>
      <w:r w:rsidRPr="005E779E">
        <w:rPr>
          <w:rFonts w:ascii="Times New Roman" w:hAnsi="Times New Roman"/>
          <w:color w:val="000000" w:themeColor="text1"/>
          <w:sz w:val="16"/>
          <w:szCs w:val="16"/>
        </w:rPr>
        <w:softHyphen/>
        <w:t>мышленности страны», что служит базой для их создания.</w:t>
      </w:r>
    </w:p>
    <w:p w14:paraId="6D35001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Тухачевский писал в этом разделе, что для определения тактико-тех</w:t>
      </w:r>
      <w:r w:rsidRPr="005E779E">
        <w:rPr>
          <w:rFonts w:ascii="Times New Roman" w:hAnsi="Times New Roman"/>
          <w:color w:val="000000" w:themeColor="text1"/>
          <w:sz w:val="16"/>
          <w:szCs w:val="16"/>
        </w:rPr>
        <w:softHyphen/>
        <w:t>нических характеристик танков «очень важно установить, в какой степе</w:t>
      </w:r>
      <w:r w:rsidRPr="005E779E">
        <w:rPr>
          <w:rFonts w:ascii="Times New Roman" w:hAnsi="Times New Roman"/>
          <w:color w:val="000000" w:themeColor="text1"/>
          <w:sz w:val="16"/>
          <w:szCs w:val="16"/>
        </w:rPr>
        <w:softHyphen/>
        <w:t>ни будут механизированы армии возможных противников».</w:t>
      </w:r>
    </w:p>
    <w:p w14:paraId="25516B4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«Одно дело бороться своими танками против пехоты или конницы, -писал Тухачевский, — и совсем другое, вести борьбу против его танков. Точно также будет представлять совершенно различную картину бой про</w:t>
      </w:r>
      <w:r w:rsidRPr="005E779E">
        <w:rPr>
          <w:rFonts w:ascii="Times New Roman" w:hAnsi="Times New Roman"/>
          <w:color w:val="000000" w:themeColor="text1"/>
          <w:sz w:val="16"/>
          <w:szCs w:val="16"/>
        </w:rPr>
        <w:softHyphen/>
        <w:t>тив танков, усиливающих пехоту, и бой против самостоятельных танко</w:t>
      </w:r>
      <w:r w:rsidRPr="005E779E">
        <w:rPr>
          <w:rFonts w:ascii="Times New Roman" w:hAnsi="Times New Roman"/>
          <w:color w:val="000000" w:themeColor="text1"/>
          <w:sz w:val="16"/>
          <w:szCs w:val="16"/>
        </w:rPr>
        <w:softHyphen/>
        <w:t>вых или так называемых «механизированных соединений».</w:t>
      </w:r>
    </w:p>
    <w:p w14:paraId="3F8DD65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Далее Тухачевский рассматривает способа применения танков в об</w:t>
      </w:r>
      <w:r w:rsidRPr="005E779E">
        <w:rPr>
          <w:rFonts w:ascii="Times New Roman" w:hAnsi="Times New Roman"/>
          <w:color w:val="000000" w:themeColor="text1"/>
          <w:sz w:val="16"/>
          <w:szCs w:val="16"/>
        </w:rPr>
        <w:softHyphen/>
        <w:t>щей системе глубокого боя и делит их на три типа:</w:t>
      </w:r>
    </w:p>
    <w:p w14:paraId="3F63B28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танки непосредственной поддержки пехоты (НПП) или танки усиле</w:t>
      </w:r>
      <w:r w:rsidRPr="005E779E">
        <w:rPr>
          <w:rFonts w:ascii="Times New Roman" w:hAnsi="Times New Roman"/>
          <w:color w:val="000000" w:themeColor="text1"/>
          <w:sz w:val="16"/>
          <w:szCs w:val="16"/>
        </w:rPr>
        <w:softHyphen/>
        <w:t>ния стрелковых соединений для «сопровождения, проталкивания пехоты»;</w:t>
      </w:r>
    </w:p>
    <w:p w14:paraId="6EC3A08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Танки «для своевременного проникновения в тыл противника как</w:t>
      </w:r>
    </w:p>
    <w:p w14:paraId="61F1640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дезорганизации последнего, так и для того, чтобы отрезать его главные</w:t>
      </w:r>
    </w:p>
    <w:p w14:paraId="04985C3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 имеющихся у него резервов, или танки дальнего действия (ДД);</w:t>
      </w:r>
    </w:p>
    <w:p w14:paraId="64161F0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артиллерийские танки (АТ) для действия против противотанковых ; эдрудий противника.</w:t>
      </w:r>
    </w:p>
    <w:p w14:paraId="3FB1AEE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результате анализа конструкций существовавших в Красной Армии тро</w:t>
      </w:r>
      <w:r w:rsidRPr="005E779E">
        <w:rPr>
          <w:rFonts w:ascii="Times New Roman" w:hAnsi="Times New Roman"/>
          <w:color w:val="000000" w:themeColor="text1"/>
          <w:sz w:val="16"/>
          <w:szCs w:val="16"/>
        </w:rPr>
        <w:softHyphen/>
        <w:t>фейных танков, захваченных в ходе гражданской войны, и танков зарубежных стран, созданных в 20-е годы, Тухачевский пришел к выводу, что прото</w:t>
      </w:r>
      <w:r w:rsidRPr="005E779E">
        <w:rPr>
          <w:rFonts w:ascii="Times New Roman" w:hAnsi="Times New Roman"/>
          <w:color w:val="000000" w:themeColor="text1"/>
          <w:sz w:val="16"/>
          <w:szCs w:val="16"/>
        </w:rPr>
        <w:softHyphen/>
        <w:t>типом для создания советского танка НПП может служить, например, гусе</w:t>
      </w:r>
      <w:r w:rsidRPr="005E779E">
        <w:rPr>
          <w:rFonts w:ascii="Times New Roman" w:hAnsi="Times New Roman"/>
          <w:color w:val="000000" w:themeColor="text1"/>
          <w:sz w:val="16"/>
          <w:szCs w:val="16"/>
        </w:rPr>
        <w:softHyphen/>
        <w:t>ничный танк «Виккерса» (английский военно-промышленный концерн, основанный в 1828 году). Указанный танк развивает скорость свыше сорока «километров в час, которая была вполне достаточной для движения по поле-..вым дорогам. Вместе с тем эти танки имели большой запас прочности, что дозволяло им «без ремонта проходить очень большие расстояния».</w:t>
      </w:r>
    </w:p>
    <w:p w14:paraId="1E8FBFD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Особенно жесткие тактико-технические требования Тухачевский предъявлял к конструкции танков дальнего действия.</w:t>
      </w:r>
    </w:p>
    <w:p w14:paraId="0BBE7DF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Во-первых, конструкция этого танка должна позволять ему выполнять задачу оперативной самоходности, т.е. «способности быстро передвигаться ни большие расстояния, не прибегая к железнодорожным перевозкам или «переброске на тяжелых грузовиках.</w:t>
      </w:r>
    </w:p>
    <w:p w14:paraId="25F3E3D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Во-вторых, он должен быть быстроходным, способным бороться с ар</w:t>
      </w:r>
      <w:r w:rsidRPr="005E779E">
        <w:rPr>
          <w:rFonts w:ascii="Times New Roman" w:hAnsi="Times New Roman"/>
          <w:color w:val="000000" w:themeColor="text1"/>
          <w:sz w:val="16"/>
          <w:szCs w:val="16"/>
        </w:rPr>
        <w:softHyphen/>
        <w:t>тиллерией противника, т.е. сам быть вооруженным пушкой. Учитывая меньшую действительность огня танка с ходу по сравнению с огнем поле-^=аой и противотанковой артиллерии, следует ставить на танках пушки не ниже калибра 76-мм».</w:t>
      </w:r>
    </w:p>
    <w:p w14:paraId="1878B14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Тогда, считал Тухачевский, «Уязвимость щитовых полевых орудий осколками будет... противопоставлена необходимости прямого попадания в танк (осколки мало действительны)»</w:t>
      </w:r>
    </w:p>
    <w:p w14:paraId="6934F80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В-третьих, танки «дальнего действия, т.е. группа захвата тыла»,— полагал Тухачевский,— на своем пути встретят, «не считая естественных препятствий... ряд искусственных препятствий, главным образом, рвы и рщротивотанковые мины, противотанковые орудия и, наконец, полевую гартиллерию противника. «Все эти препятствия танки должны преодолеть. Остальные средства борьбы с ними, Тухачевский считал «малоопасными для танков».</w:t>
      </w:r>
    </w:p>
    <w:p w14:paraId="301B460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В-четвертых, танки ДД по своим габаритам и весу должны были позволятьть «перевозки их... на тяжелых самолетах» или, что еще лучше, сами были способны «летать».</w:t>
      </w:r>
    </w:p>
    <w:p w14:paraId="215B856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этом более эффективным, является использование на этих типах танков «авиационных моторов».</w:t>
      </w:r>
    </w:p>
    <w:p w14:paraId="4F1A16C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Тухачевский счи</w:t>
      </w:r>
      <w:r w:rsidRPr="005E779E">
        <w:rPr>
          <w:rFonts w:ascii="Times New Roman" w:hAnsi="Times New Roman"/>
          <w:color w:val="000000" w:themeColor="text1"/>
          <w:sz w:val="16"/>
          <w:szCs w:val="16"/>
        </w:rPr>
        <w:softHyphen/>
        <w:t>тал, что задача создания летающего танка У.Кристи «скоро будет решена».</w:t>
      </w:r>
    </w:p>
    <w:p w14:paraId="36E910B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Преодоление искусственных и естественных препятствий, которые встретят на своем пути танки ДД, «а также способность их десантировать» на тяжелых самолетах и «определяют тактико-технические требования к конструкции танков ДД», — писал Тухачевский.</w:t>
      </w:r>
    </w:p>
    <w:p w14:paraId="2632DAF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Необходимо подчеркнуть, что, выдвигая требования к танкам ДД, Ту</w:t>
      </w:r>
      <w:r w:rsidRPr="005E779E">
        <w:rPr>
          <w:rFonts w:ascii="Times New Roman" w:hAnsi="Times New Roman"/>
          <w:color w:val="000000" w:themeColor="text1"/>
          <w:sz w:val="16"/>
          <w:szCs w:val="16"/>
        </w:rPr>
        <w:softHyphen/>
        <w:t>хачевский особое внимание уделял их тактике-техническим характерис</w:t>
      </w:r>
      <w:r w:rsidRPr="005E779E">
        <w:rPr>
          <w:rFonts w:ascii="Times New Roman" w:hAnsi="Times New Roman"/>
          <w:color w:val="000000" w:themeColor="text1"/>
          <w:sz w:val="16"/>
          <w:szCs w:val="16"/>
        </w:rPr>
        <w:softHyphen/>
        <w:t>тикам. Так, танк ДД, способный десантироваться на тяжелых самолетах, должен был иметь минимально возможный вес и габариты, для придания танку быстроходности — мощный мотор, а для придания ему огневой мощи— пушку определенного калибра. А это значило, что при пушке калибром не ниже 76-мм и мощном двигателе, вес танка мог быть снижен только за счет толщины брони. Иначе, за счет чего же можно было умень</w:t>
      </w:r>
      <w:r w:rsidRPr="005E779E">
        <w:rPr>
          <w:rFonts w:ascii="Times New Roman" w:hAnsi="Times New Roman"/>
          <w:color w:val="000000" w:themeColor="text1"/>
          <w:sz w:val="16"/>
          <w:szCs w:val="16"/>
        </w:rPr>
        <w:softHyphen/>
        <w:t>шить вес десантного танка, как не за счет толщины брони и его габаритов, исходя из грузоподъемности и размеров фюзеляжа самолета?</w:t>
      </w:r>
    </w:p>
    <w:p w14:paraId="08077FE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 этом же разделе Тухачевский выдвинул требование о необходимости иметь «быстроходные танки-транспортеры», иными словами, боевую ма</w:t>
      </w:r>
      <w:r w:rsidRPr="005E779E">
        <w:rPr>
          <w:rFonts w:ascii="Times New Roman" w:hAnsi="Times New Roman"/>
          <w:color w:val="000000" w:themeColor="text1"/>
          <w:sz w:val="16"/>
          <w:szCs w:val="16"/>
        </w:rPr>
        <w:softHyphen/>
        <w:t>шину пехоты.</w:t>
      </w:r>
    </w:p>
    <w:p w14:paraId="22C203D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 еще одну особенность этого раздела в труде Тухачевского следует отметить. Во время встречного боя двух механизированных соединений он предрешал успех того соединения, «которое будет больше иметь ар</w:t>
      </w:r>
      <w:r w:rsidRPr="005E779E">
        <w:rPr>
          <w:rFonts w:ascii="Times New Roman" w:hAnsi="Times New Roman"/>
          <w:color w:val="000000" w:themeColor="text1"/>
          <w:sz w:val="16"/>
          <w:szCs w:val="16"/>
        </w:rPr>
        <w:softHyphen/>
        <w:t>тиллерийских танков, способных уничтожать танки противника». То есть в мехсоединениях, помимо пулеметных и пушечных танков, он предпо</w:t>
      </w:r>
      <w:r w:rsidRPr="005E779E">
        <w:rPr>
          <w:rFonts w:ascii="Times New Roman" w:hAnsi="Times New Roman"/>
          <w:color w:val="000000" w:themeColor="text1"/>
          <w:sz w:val="16"/>
          <w:szCs w:val="16"/>
        </w:rPr>
        <w:softHyphen/>
        <w:t>лагал и наличие своего рода самоходных истребителей танков. Поэтому, делая заключение по разделу «Танки», Тухачевский писал, что «при борь</w:t>
      </w:r>
      <w:r w:rsidRPr="005E779E">
        <w:rPr>
          <w:rFonts w:ascii="Times New Roman" w:hAnsi="Times New Roman"/>
          <w:color w:val="000000" w:themeColor="text1"/>
          <w:sz w:val="16"/>
          <w:szCs w:val="16"/>
        </w:rPr>
        <w:softHyphen/>
        <w:t>бе против армии, в которой имеются мехсоединения, наши мехсоедине-ния, помимо транспортеров пехоты, саперных и прочих специальных тан</w:t>
      </w:r>
      <w:r w:rsidRPr="005E779E">
        <w:rPr>
          <w:rFonts w:ascii="Times New Roman" w:hAnsi="Times New Roman"/>
          <w:color w:val="000000" w:themeColor="text1"/>
          <w:sz w:val="16"/>
          <w:szCs w:val="16"/>
        </w:rPr>
        <w:softHyphen/>
        <w:t>ков, должны иметь на вооружении артиллерийские танки, хотя в боях против стрелковых войск это окажется излишней роскошью.</w:t>
      </w:r>
    </w:p>
    <w:p w14:paraId="081A9A9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Подводя итог сказанному о перечисленных выше типах танков, Туха</w:t>
      </w:r>
      <w:r w:rsidRPr="005E779E">
        <w:rPr>
          <w:rFonts w:ascii="Times New Roman" w:hAnsi="Times New Roman"/>
          <w:color w:val="000000" w:themeColor="text1"/>
          <w:sz w:val="16"/>
          <w:szCs w:val="16"/>
        </w:rPr>
        <w:softHyphen/>
        <w:t>чевский писал, что «необходимо подчеркнуть ряд общих условий для кон</w:t>
      </w:r>
      <w:r w:rsidRPr="005E779E">
        <w:rPr>
          <w:rFonts w:ascii="Times New Roman" w:hAnsi="Times New Roman"/>
          <w:color w:val="000000" w:themeColor="text1"/>
          <w:sz w:val="16"/>
          <w:szCs w:val="16"/>
        </w:rPr>
        <w:softHyphen/>
        <w:t>струирования и производства танков». Эти условия, по его мнению, были следующими:</w:t>
      </w:r>
    </w:p>
    <w:p w14:paraId="7FAA396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прочих равных условиях колесно-гусеничный танк имеет пре</w:t>
      </w:r>
      <w:r w:rsidRPr="005E779E">
        <w:rPr>
          <w:rFonts w:ascii="Times New Roman" w:hAnsi="Times New Roman"/>
          <w:color w:val="000000" w:themeColor="text1"/>
          <w:sz w:val="16"/>
          <w:szCs w:val="16"/>
        </w:rPr>
        <w:softHyphen/>
        <w:t>имущества перед гусеничным. Точно также амфибия имеет преимущества перед неплавающим танком.</w:t>
      </w:r>
    </w:p>
    <w:p w14:paraId="4068D90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Габариты танков должны соизмеряться с габаритами фюзеляжей тя</w:t>
      </w:r>
      <w:r w:rsidRPr="005E779E">
        <w:rPr>
          <w:rFonts w:ascii="Times New Roman" w:hAnsi="Times New Roman"/>
          <w:color w:val="000000" w:themeColor="text1"/>
          <w:sz w:val="16"/>
          <w:szCs w:val="16"/>
        </w:rPr>
        <w:softHyphen/>
        <w:t>желых бомбардировщиков.</w:t>
      </w:r>
    </w:p>
    <w:p w14:paraId="115A5C1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Запаса горючего должно хватить на 150-200 километров.</w:t>
      </w:r>
    </w:p>
    <w:p w14:paraId="528B14C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Основная масса танков должна строиться на базе стандартизованного автотракторного парка страны. И, напротив, новые типы автомобилей и тракторов должны ставиться в производство лишь в том случае, если они могут стать механической основой танка».</w:t>
      </w:r>
    </w:p>
    <w:p w14:paraId="3CA8E1E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Необходимо подчеркнуть, что стремление Тухачевского повысить опе</w:t>
      </w:r>
      <w:r w:rsidRPr="005E779E">
        <w:rPr>
          <w:rFonts w:ascii="Times New Roman" w:hAnsi="Times New Roman"/>
          <w:color w:val="000000" w:themeColor="text1"/>
          <w:sz w:val="16"/>
          <w:szCs w:val="16"/>
        </w:rPr>
        <w:softHyphen/>
        <w:t>ративную подвижность танков путем переброски их по воздуху сыграло «злую шутку» при модернизации танков, так как предъявленные им весо</w:t>
      </w:r>
      <w:r w:rsidRPr="005E779E">
        <w:rPr>
          <w:rFonts w:ascii="Times New Roman" w:hAnsi="Times New Roman"/>
          <w:color w:val="000000" w:themeColor="text1"/>
          <w:sz w:val="16"/>
          <w:szCs w:val="16"/>
        </w:rPr>
        <w:softHyphen/>
        <w:t>вые и габаритные требования не позволяли эффективно ее осуществить, а на некоторых моделях и вовсе исключали ее.</w:t>
      </w:r>
    </w:p>
    <w:p w14:paraId="35EEF29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Так, ходовая часть танка Т-26 была рассчитана на вес машины в шесть тонн, но ее вес получился 8 тонн. Когда же потребовалось модернизиро</w:t>
      </w:r>
      <w:r w:rsidRPr="005E779E">
        <w:rPr>
          <w:rFonts w:ascii="Times New Roman" w:hAnsi="Times New Roman"/>
          <w:color w:val="000000" w:themeColor="text1"/>
          <w:sz w:val="16"/>
          <w:szCs w:val="16"/>
        </w:rPr>
        <w:softHyphen/>
        <w:t>вать танк путем увеличения калибра пушки и толщины брони, то без пе</w:t>
      </w:r>
      <w:r w:rsidRPr="005E779E">
        <w:rPr>
          <w:rFonts w:ascii="Times New Roman" w:hAnsi="Times New Roman"/>
          <w:color w:val="000000" w:themeColor="text1"/>
          <w:sz w:val="16"/>
          <w:szCs w:val="16"/>
        </w:rPr>
        <w:softHyphen/>
        <w:t>ределок шасси осуществить модернизацию было невозможно.</w:t>
      </w:r>
    </w:p>
    <w:p w14:paraId="2ADD9A5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То же самое получилось и с танком БТ-2, хотя в этом отношении он оказался в несколько лучшем положении. Если вес первых БТ-2 был 10,5 тонн, то БТ-7 уже 14,6 тонн. Но это был уже предел, дальнейшее увеличе</w:t>
      </w:r>
      <w:r w:rsidRPr="005E779E">
        <w:rPr>
          <w:rFonts w:ascii="Times New Roman" w:hAnsi="Times New Roman"/>
          <w:color w:val="000000" w:themeColor="text1"/>
          <w:sz w:val="16"/>
          <w:szCs w:val="16"/>
        </w:rPr>
        <w:softHyphen/>
        <w:t>ние веса за счет утолщения брони, установки пушки иного калибра и т.д. требовало коренного усовершенствования ходовой части.</w:t>
      </w:r>
    </w:p>
    <w:p w14:paraId="1276F5B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Кроме того, ни о каком десантировании этих танков не могло быть и речи. По сути, письмо Тухачевского в декабре 1930 года было направлено в защиту «теории глубокой операции» и против возвращения Красной Армии к линейной тактике.</w:t>
      </w:r>
    </w:p>
    <w:p w14:paraId="78BE305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Ответа на это письмо не последовало (11504).</w:t>
      </w:r>
    </w:p>
    <w:p w14:paraId="3351944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B17E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Весной 1931 первая созданная мехбригада была реорганизована и в ее основе были батальоны (3879,42).</w:t>
      </w:r>
    </w:p>
    <w:p w14:paraId="434406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5C4BD57" w14:textId="77777777" w:rsidR="00D37260" w:rsidRPr="00142305" w:rsidRDefault="00D37260" w:rsidP="00D3726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Весной 1931 г., согласно Директиве Штаба РККА от 18 апреля 1931 г. за № 1/013295, командование РККА приняло решение о создании в ЛВО нештатного Опытного воздухо-десантного отряда в составе тяжелой бомбардиро</w:t>
      </w:r>
      <w:r w:rsidRPr="00142305">
        <w:rPr>
          <w:rFonts w:ascii="Times New Roman" w:hAnsi="Times New Roman"/>
          <w:color w:val="0070C0"/>
          <w:sz w:val="16"/>
          <w:szCs w:val="16"/>
        </w:rPr>
        <w:softHyphen/>
        <w:t>вочной эскадрильи (12 самолетов ТБ-1) и корпусного авиаотряда (10 самолетов Р-5) (РГВА. Ф. 29. Оп. 50. Д. 86. Л. 1, 2). Командиром этого отряда стал Е. Д. Лукин. Дату завершения формиро</w:t>
      </w:r>
      <w:r w:rsidRPr="00142305">
        <w:rPr>
          <w:rFonts w:ascii="Times New Roman" w:hAnsi="Times New Roman"/>
          <w:color w:val="0070C0"/>
          <w:sz w:val="16"/>
          <w:szCs w:val="16"/>
        </w:rPr>
        <w:softHyphen/>
        <w:t>вания отряда - 1 июня 1931 г. - впоследствии официально утвердили, как День создания Военно-транспортной авиации (ВТА) (Материалы штаба ВТА Д. № 27/орг. По описи 1995 г. - Директива ГШ ВС СССР от 27.05.1981 г. № 315/2/5474) (24967).</w:t>
      </w:r>
    </w:p>
    <w:p w14:paraId="17A0ACAB" w14:textId="77777777" w:rsidR="00D37260" w:rsidRPr="00142305" w:rsidRDefault="00D37260" w:rsidP="00D37260">
      <w:pPr>
        <w:spacing w:after="0" w:line="240" w:lineRule="auto"/>
        <w:jc w:val="both"/>
        <w:rPr>
          <w:rFonts w:ascii="Times New Roman" w:hAnsi="Times New Roman"/>
          <w:color w:val="0070C0"/>
          <w:sz w:val="16"/>
          <w:szCs w:val="16"/>
        </w:rPr>
      </w:pPr>
    </w:p>
    <w:p w14:paraId="23C5EC39" w14:textId="77777777" w:rsidR="0033769F" w:rsidRPr="005E779E" w:rsidRDefault="0033769F"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Внешняя политика:</w:t>
      </w:r>
    </w:p>
    <w:p w14:paraId="7B0402F2" w14:textId="77777777" w:rsidR="0033769F" w:rsidRPr="005E779E" w:rsidRDefault="0033769F"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3F1FF9D" w14:textId="77777777" w:rsidR="0033769F" w:rsidRPr="005E779E" w:rsidRDefault="0033769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Весной 1931 г. меньшевистская газета "Социалистический вестник", выходившая в Берлине, отмечала, что массовые аресты инженеров осуществлялись для того, чтобы с помощью террора подхлестнуть производительность труда. По данным эмигрантов, из 35 тыс. имевшихся тогда в стране инженеров в заключении находилось 7 тыс. человек. В тюрьмах, где они содержались, создавались специальные "технические бюро" (18527).</w:t>
      </w:r>
    </w:p>
    <w:p w14:paraId="55E8140F" w14:textId="77777777" w:rsidR="0033769F" w:rsidRPr="005E779E" w:rsidRDefault="0033769F" w:rsidP="000B7A6C">
      <w:pPr>
        <w:spacing w:after="0" w:line="240" w:lineRule="auto"/>
        <w:jc w:val="both"/>
        <w:rPr>
          <w:rFonts w:ascii="Times New Roman" w:hAnsi="Times New Roman"/>
          <w:color w:val="000000" w:themeColor="text1"/>
          <w:sz w:val="16"/>
          <w:szCs w:val="16"/>
        </w:rPr>
      </w:pPr>
    </w:p>
    <w:p w14:paraId="43565E1D"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63655021"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0BFFA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Весной 1931 года в результате разрыва бака с жидким кислородом взорвалась ракета «Mirak-2», которая представляла собой копию первой ракеты во всем, за исключением несколько больших размеров..</w:t>
      </w:r>
    </w:p>
    <w:p w14:paraId="200450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этого решено было построить третью ракету, учтя все ошибки проектирования. Двигатель теперь должен был располагаться под дном бака с жидким кислородом. И вместо одного трубчатого бака с бензином было предложено сделать два, симметрично прикрепленных к баку с кислородом, причем второй бак содержал сжатый азот для принудительной подачи обоих топливных компонентов в двигатель. Это позволяло обойтись без патрона двуокиси углерода. Но что важнее всего – на третьей ракете «Mirak» устанавливался двигатель нового типа, а не «Kegelduse».</w:t>
      </w:r>
    </w:p>
    <w:p w14:paraId="60887F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Изготовляя «Kegelduse» из стали, Оберт, вероятно, не осознавал, что следовал примеру конструкторов пушек. Температура горения всех типов артиллерийского пороха также выше температуры плавления стали, из которой выполняются стволы орудий, но время горения слишком непродолжительно, чтобы причинить стволу ущерб. Этот принцип по-прежнему применим в ракетных двигателях с очень коротким периодом работы (не более 5 секунд). Но жидкостный ракетный двигатель должен работать довольно долго – по крайней мере, несколько минут. Поэтому проблема заключалась в том, чтобы не допустить перегрева металла.</w:t>
      </w:r>
    </w:p>
    <w:p w14:paraId="6F838A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Реальным решением проблемы является предупреждение перегрева стенок камеры сгорания путем их охлаждения. Поэтому в качестве материала был использован очень чистый алюминий. Новый двигатель состоял из двух секций, сваренных вместе. В конечном виде он весил около 85 г и хорошо работал, поглощая 160 г жидкого кислорода и бензина за 1 секунду и обеспечивая при этом тягу в 32 кг. Между собой члены «Общества» прозвали новый двигатель «яйцом» (Ei), потому что он и в самом деле и по форме, и по размерам походил на яйцо.</w:t>
      </w:r>
    </w:p>
    <w:p w14:paraId="246486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Теперь уже нельзя сказать, кто изобрел это «яйцо». Известно, что двигатель «Kegelduse» был детищем Германа Оберта, а первую ракету «Mirak» создал Рудольф Небель. Но после этого почти любые новые устройства или разработки были итогом неофициальных обсуждений и совещаний. Члены «Общества» не придавали никакого значения тому, кто и что придумал, зная, как много нужно сделать, прежде чем эксперименты дадут ощутимые результаты. Все успехи немецкого «Общества межпланетных сообщений» были коллективными.</w:t>
      </w:r>
    </w:p>
    <w:p w14:paraId="3F7C18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качестве испытательного стенда удалось приспособить старую пусковую направляющую ракеты Оберта, снабженную весами. Ракетный двигатель прикреплялся к одной стороне весов, отклонение которых регистрировалось на вращающемся барабане. Баки с кислородом и бензином были зарыты в землю по обе стороны испытательного стенда. Каждый бак был снабжен баллоном со сжатым азотом для обеспечения подачи топливных компонентов в камеру сгорания под давлением. Оператор, управлявший подачей топлива и зажиганием, находился за толстой дверью в полной безопасности, но он не мог видеть испытательного стенда и только выполнял команды, которые отдавал человек, руководивший испытанием.</w:t>
      </w:r>
    </w:p>
    <w:p w14:paraId="16C9BF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Испытания проходили следующим образом. Ракетный двигатель помещался в металлический контейнер, который был соединен с весами стенда. Охлаждающая вода поступала из большой пожарной бочки и подавалась по трубе к отверстию вблизи от дна контейнера. Те, кто находился у стенда, наполняли бочку водой, а бак – бензином, и соединяли двигатель с весами. Затем они устанавливали на срезе сопла воспламеняющее устройство, которое представляло собой небольшую пороховую ракету. Порох в этой ракете был особым – он давал очень жаркое пламя и горел 10 секунд, не выделяя большого количества газов.</w:t>
      </w:r>
    </w:p>
    <w:p w14:paraId="54CD9B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установки воспламеняющего устройства заводился часовой механизм регистрирующего барабана и затем один из топливных баков заправлялся жидким кислородом. Обслуживающий персонал прятался, а у стенда оставался только один человек, который открывал стопорный кран в системе охлаждения. В тот момент, когда и этот человек уходил в укрытие, собственно и начиналось испытание.</w:t>
      </w:r>
    </w:p>
    <w:p w14:paraId="6EC19F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Имелась определенная последовательность в командах, которые выкрикивал наблюдатель. По команде «Запал!» замыкалась электрическая цепь, отчего воспламенялась пороховая шашка, из которой горизонтально у среза сопла вырывалась струя пламени. После этого подавалась команда «Бензин!» – и мгновенно из двигателя вылетало желтое пламя. Тут же следовала команда «Кислород!» – и пламя становилось сначала ослепительно белым, а затем голубоватым, одновременно укорачиваясь в длину. Звук, создаваемый этим пламенем, напоминал рев огромного водопада и не прекращался, пока двигатель работал. Время испытательных запусков двигателя ограничивалось емкостью кислородного бака: самый долгий запуск, который могли себе позволить экспериментаторы из «Общества межпланетных сообщений», продолжался около 90 секунд (11688).</w:t>
      </w:r>
    </w:p>
    <w:p w14:paraId="15076B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8B54866" w14:textId="77777777" w:rsidR="001A7FA6"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3DA764E5" w14:textId="77777777" w:rsidR="001A7FA6" w:rsidRPr="005E779E" w:rsidRDefault="001A7FA6"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9D677FC" w14:textId="77777777" w:rsidR="00154AB9" w:rsidRPr="005E779E" w:rsidRDefault="00154AB9"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К лету 1931 года на заводе № 39 построили двухместный истребитель ДИ-3. Самолет представлял собой одностоечный биплан смешанной конструкции. Фюзеляж – ферменный, сварной из труб с полотняной обтяжкой. Крылья – деревянные, стабилизатор с изменяемым в полете углом. Истребитель даже еще не строился, а уже готовилось его производство на строившемся заводе № 21. Истребитель вышел на испытания в августе 1931 года. Его отличительной особенностью было разнесенное вертикальное оперение, кстати, впервые в отечественных конструкциях самолетов для удобства ведения огня с задней точки. ДИ-3 на испытаниях показал неплохие </w:t>
      </w:r>
      <w:r w:rsidRPr="005E779E">
        <w:rPr>
          <w:rFonts w:ascii="Times New Roman" w:hAnsi="Times New Roman"/>
          <w:color w:val="000000" w:themeColor="text1"/>
          <w:sz w:val="16"/>
          <w:szCs w:val="16"/>
        </w:rPr>
        <w:lastRenderedPageBreak/>
        <w:t>летные качества, близкие к И-5, но в ходе испытаний из-за многих доводок оказался перетяжеленным, и его первоначальные характеристики снизились. На Государственных испытаниях он показал скорость у земли 256 км/ч, а потолок 6300 м. Военных такие показатели уже не удовлетворяли, и на вооружение ДИ-3 принят не был (15223).</w:t>
      </w:r>
    </w:p>
    <w:p w14:paraId="13C5F3BD" w14:textId="77777777" w:rsidR="00154AB9" w:rsidRPr="005E779E" w:rsidRDefault="00154AB9" w:rsidP="000B7A6C">
      <w:pPr>
        <w:shd w:val="clear" w:color="auto" w:fill="FFFFFF"/>
        <w:spacing w:after="0" w:line="240" w:lineRule="auto"/>
        <w:jc w:val="both"/>
        <w:rPr>
          <w:rFonts w:ascii="Times New Roman" w:hAnsi="Times New Roman"/>
          <w:color w:val="000000" w:themeColor="text1"/>
          <w:sz w:val="16"/>
          <w:szCs w:val="16"/>
        </w:rPr>
      </w:pPr>
    </w:p>
    <w:p w14:paraId="0C3FFE5B" w14:textId="77777777" w:rsidR="00D37260" w:rsidRPr="005E779E" w:rsidRDefault="00D37260" w:rsidP="00D37260">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0E0D9A5D" w14:textId="77777777" w:rsidR="00D37260" w:rsidRPr="005E779E" w:rsidRDefault="00D37260" w:rsidP="00D37260">
      <w:pPr>
        <w:autoSpaceDE w:val="0"/>
        <w:autoSpaceDN w:val="0"/>
        <w:adjustRightInd w:val="0"/>
        <w:spacing w:after="0" w:line="240" w:lineRule="auto"/>
        <w:jc w:val="both"/>
        <w:rPr>
          <w:rFonts w:ascii="Times New Roman" w:hAnsi="Times New Roman"/>
          <w:iCs/>
          <w:color w:val="000000" w:themeColor="text1"/>
          <w:sz w:val="16"/>
          <w:szCs w:val="16"/>
        </w:rPr>
      </w:pPr>
    </w:p>
    <w:p w14:paraId="1B7C0874" w14:textId="77777777" w:rsidR="00D37260" w:rsidRPr="00142305" w:rsidRDefault="00D37260" w:rsidP="00D3726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лету 1931 г. следующий трактор Челябинского опытного завода был отправлен в Москву, где он подвергся кратковременным испытаниям совместно с американским прототипом – «Sixty».</w:t>
      </w:r>
    </w:p>
    <w:p w14:paraId="005D1B71" w14:textId="77777777" w:rsidR="00D37260" w:rsidRPr="00142305" w:rsidRDefault="00D37260" w:rsidP="00D3726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этому времени фирма «Катерпиллер» серьезно пересмотрела конструкцию выпускавшихся моделей. Модернизированные тракторы получили двигатели более высокой мощности и новые коробки скоростей. У тракторов моделей «15», «20» и «25» имелась возможность путем смены шестерен (так называемая «третья специальная скорость») повысить скорость движения на 3-й передаче. Например, максимальная скорость трактора «15» при смене шестерен возрастала с 5,63 до 7,07 км/ч. Но монтаж и демонтаж коробок скоростей с заменой шестерен нельзя было назвать легко осуществимой операций. Несколько удачнее проблему быстроходности попытались решить в модели «35». Трактор «35» в основном был идентичен модели «30», но оснащался двигателем мощностью 46 л.с. и новой четырехскоростной коробкой передач, допускающими движение с максимальной скоростью до 7,4 км/ч. Трактор «Sixty», хотя и был весьма надежным и тяговитым, имел низкие скоростные показатели, что существенно ограничивало область его применения в военном деле и на некоторых транспортных работах. (25588).</w:t>
      </w:r>
    </w:p>
    <w:p w14:paraId="0EF2749A" w14:textId="77777777" w:rsidR="00D37260" w:rsidRPr="00142305" w:rsidRDefault="00D37260" w:rsidP="00D37260">
      <w:pPr>
        <w:spacing w:after="0" w:line="240" w:lineRule="auto"/>
        <w:jc w:val="both"/>
        <w:rPr>
          <w:rFonts w:ascii="Times New Roman" w:hAnsi="Times New Roman"/>
          <w:color w:val="0070C0"/>
          <w:sz w:val="16"/>
          <w:szCs w:val="16"/>
        </w:rPr>
      </w:pPr>
    </w:p>
    <w:p w14:paraId="2C24506F" w14:textId="77777777" w:rsidR="00154AB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082E83B3" w14:textId="77777777" w:rsidR="00154AB9" w:rsidRPr="005E779E" w:rsidRDefault="00154AB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B7F278A" w14:textId="77777777" w:rsidR="001A7FA6" w:rsidRPr="005E779E" w:rsidRDefault="001A7F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началу лета 1931 ХПЗ не сдал ни одного танка Т-24 представителям заказчика, так как по результатам заводских испытаний выявилась необходимость совершенствования его конструкции. К этой работе, помимо конструкторов завода, привлекли и представителей УММ РККА. В течение апреля—июня 1931 г. представители УММ РККА П.С. Озеров и В.И. Заславский внесли в конструкцию Т-24 около 200 различных изменений.9 июля 1931 г. завод провел «большое испытание» танка Т-24 пробегом на 60 км, в ходе которого проверялась работа радиатора и вентилятора системы охлаждения двигателя, тормозов, определялись тяговые качества и предельные скорости, а также управляемость машины. При этом танк показал прекрасные тяговые качества (на второй передаче скорость движения составляла до 6 км/ч, на третьей — до 16 км/ч и на четвертой — до 27 км/ч). Радиатор и вентилятор системы охлаждения двигателя функционировали без замечаний (температура воды и масла не превышала допустимых значений). Не имелось замечаний и по работе тормозов: обеспечивалась хорошая пово-рачиваемость машины на месте на третьей и даже на четвертой скоростях.В августе 1931 г. ХПЗ сдал заказчику всего три танка Т-24, окончательную сборку еще трех машин завод не смог завершить из-за отсутствия башен, которые к этому времени не поставил Ижорский завод. Недостающие башни на завод поступили только в сентябре. Всего до 15 октября 1931 г. Ижорский завод отправил на ХПЗ 25 больших и 25 малых башен (12303).</w:t>
      </w:r>
    </w:p>
    <w:p w14:paraId="581CDE34" w14:textId="77777777" w:rsidR="001A7FA6" w:rsidRPr="005E779E" w:rsidRDefault="001A7FA6" w:rsidP="000B7A6C">
      <w:pPr>
        <w:spacing w:after="0" w:line="240" w:lineRule="auto"/>
        <w:jc w:val="both"/>
        <w:rPr>
          <w:rFonts w:ascii="Times New Roman" w:hAnsi="Times New Roman"/>
          <w:color w:val="000000" w:themeColor="text1"/>
          <w:sz w:val="16"/>
          <w:szCs w:val="16"/>
        </w:rPr>
      </w:pPr>
    </w:p>
    <w:p w14:paraId="0344061D" w14:textId="77777777" w:rsidR="00D37260" w:rsidRPr="00142305" w:rsidRDefault="00D37260" w:rsidP="00D3726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началу лета ХПЗ не сдал ни одного танка Т-24 представителям заказчика, так как по результатам заводских испытаний выявилась необходимость совершенствования его конструкции. К этой работе, помимо конструкторов завода, привлекли и представителей УММ РККА. В течение апреля—июня 1931 г. представители УММ РККА П.С. Озеров и В.И. Заславский внесли в конструкцию Т-24 около 200 различных изменений (25479).</w:t>
      </w:r>
    </w:p>
    <w:p w14:paraId="63AB2FE5" w14:textId="77777777" w:rsidR="00D37260" w:rsidRPr="00142305" w:rsidRDefault="00D37260" w:rsidP="00D37260">
      <w:pPr>
        <w:spacing w:after="0" w:line="240" w:lineRule="auto"/>
        <w:jc w:val="both"/>
        <w:rPr>
          <w:rFonts w:ascii="Times New Roman" w:hAnsi="Times New Roman"/>
          <w:color w:val="0070C0"/>
          <w:sz w:val="16"/>
          <w:szCs w:val="16"/>
        </w:rPr>
      </w:pPr>
    </w:p>
    <w:p w14:paraId="6685618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началу лета 1931 г. на заводе Красный Октябрь в Ленинграде удалось изготовить три усовершенствован</w:t>
      </w:r>
      <w:r w:rsidRPr="005E779E">
        <w:rPr>
          <w:rFonts w:ascii="Times New Roman" w:hAnsi="Times New Roman"/>
          <w:color w:val="000000" w:themeColor="text1"/>
          <w:sz w:val="16"/>
          <w:szCs w:val="16"/>
        </w:rPr>
        <w:softHyphen/>
        <w:t>ных мотоцикла, в которые ввели изменения, предусмотренные обновлёнными чертежами. Главным было использование первого советского магнето, созданного на заводе «Красный Октябрь» [4.37]. Новинка оказалась компактней и надёжней зарубежных моделей [4.38] (11429).</w:t>
      </w:r>
    </w:p>
    <w:p w14:paraId="25FA924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CB0776"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3FEA06E5"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0174E8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июня 1931 На базе ТБ-3 и Р-5 сформирован авиаотряд - начало отечественной военно-транспортной авиации (4963 ).</w:t>
      </w:r>
    </w:p>
    <w:p w14:paraId="692CEBA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5A7375" w14:textId="77777777" w:rsidR="00154AB9" w:rsidRPr="005E779E" w:rsidRDefault="00154AB9"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1 июня</w:t>
      </w:r>
      <w:r w:rsidRPr="005E779E">
        <w:rPr>
          <w:rFonts w:ascii="Times New Roman" w:hAnsi="Times New Roman"/>
          <w:color w:val="000000" w:themeColor="text1"/>
          <w:sz w:val="16"/>
          <w:szCs w:val="16"/>
        </w:rPr>
        <w:t xml:space="preserve"> в 1931 году из самолетов «ТБ-3» и «Р-5» сформирован опытный авиаотряд - начало отечественной военно-транспортной авиации. Самолет «Р-5», созданный под руководством Н.Н.Поликарпова в конце 1928 г., стал в Советском Союзе в 30-х годах наиболее массовым самолетом этого класса. Это была многоцелевая машина, которая применялась ВВС в качестве разведчика и легкого бомбардировщика, способного выполнять боевые задачи в любое время суток. «Р-5» представлял собой двухместный одностоечный полутораплан с мотором жидкостного охлаждения «М-17б» (680л.с.). Конструкция самолета деревянная. Благодаря большей мощности и высокой весовой отдаче обладал большой грузоподъемностью. Три машины этого типа обеспечили эвакуацию 83 из 104 человек, дрейфовавших на льдине после гибели парохода "Челюскин" (14909).</w:t>
      </w:r>
    </w:p>
    <w:p w14:paraId="580C5C5E" w14:textId="77777777" w:rsidR="00154AB9" w:rsidRPr="005E779E" w:rsidRDefault="00154AB9" w:rsidP="000B7A6C">
      <w:pPr>
        <w:spacing w:after="0" w:line="240" w:lineRule="auto"/>
        <w:jc w:val="both"/>
        <w:rPr>
          <w:rFonts w:ascii="Times New Roman" w:hAnsi="Times New Roman"/>
          <w:color w:val="000000" w:themeColor="text1"/>
          <w:sz w:val="16"/>
          <w:szCs w:val="16"/>
        </w:rPr>
      </w:pPr>
    </w:p>
    <w:p w14:paraId="6D406E9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 по 30 июня 1931 в НИИ ВВС проходили испытание самолета ТБ1 № 669 с 2 моторами БМВVI</w:t>
      </w:r>
    </w:p>
    <w:p w14:paraId="5BDEAA8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измененной конструкции, постройки завода № 22. Основные изменения: установлены моторы со степенью сжатия Е-7,3, установлено жесткое управление рулями, усилен радиатор, устранен ряд недочетов, отмеченных при испытаниях серийного самолета.</w:t>
      </w:r>
    </w:p>
    <w:p w14:paraId="0840248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Цель работы</w:t>
      </w:r>
    </w:p>
    <w:p w14:paraId="1FC72192"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Испытания с целью выявления полетно-эксплоатационных данных самолета с моторами со степенью сжатия Е=7,3 сравнительно с самолетами, имеющими моторы со степенью сжатия Е-6.</w:t>
      </w:r>
    </w:p>
    <w:p w14:paraId="355FAA8B"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Испытание и оценка конструктивных изменений и поверка устранения недочетов.</w:t>
      </w:r>
    </w:p>
    <w:p w14:paraId="321E5B6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Испытание начато 1 июня 1931 года</w:t>
      </w:r>
    </w:p>
    <w:p w14:paraId="51A668F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Испытание окончено 30 июня 1931 года</w:t>
      </w:r>
    </w:p>
    <w:p w14:paraId="7816D6E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Общее число дней – 30</w:t>
      </w:r>
    </w:p>
    <w:p w14:paraId="1F3F34B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 полетов – 12</w:t>
      </w:r>
    </w:p>
    <w:p w14:paraId="56D5E70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w:t>
      </w:r>
    </w:p>
    <w:p w14:paraId="670D119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эксплуатации самолетов ТБ1 с полетным весом до 8000 кг установка моторов БМВ VI Е-7,3 нецелесообразна (6933).</w:t>
      </w:r>
    </w:p>
    <w:p w14:paraId="7B68DF7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50C9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июня 1931 с созданием опытного авиаотряда на базе ТБ-1 и Р-5 было положено начало военно-транспортной авиации (3398,201).</w:t>
      </w:r>
    </w:p>
    <w:p w14:paraId="134060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7C068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июня 1931 начались работы над АНТ-21 (МИ-3) (514).</w:t>
      </w:r>
    </w:p>
    <w:p w14:paraId="1B7C9E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другим данным с 1 марта 1931 (2072,68).</w:t>
      </w:r>
    </w:p>
    <w:p w14:paraId="16E63B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другим данным проектирование МИ-3 (АНТ-21) началось в январе 1932</w:t>
      </w:r>
    </w:p>
    <w:p w14:paraId="198EA8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0E308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июня 1931 года начальник 2-го отдела НИИ ВВС Квитко писал письмо N 323 в 1-й отдел УСУ ВВС на N VI/258с от 27 апреля 1931 года.</w:t>
      </w:r>
    </w:p>
    <w:p w14:paraId="70D2E8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сем препровождается отчет по войсковым испытаниям самолета И5 в 73 А.О. 5-й авиабригаде в Киеве.</w:t>
      </w:r>
    </w:p>
    <w:p w14:paraId="662AA0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Приложение: упомянутое на 26 листах (2979).</w:t>
      </w:r>
    </w:p>
    <w:p w14:paraId="0C53B8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2E3B2B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июня 1931 на КАСКР-2 была достигнута высота 450 метров (10224,36).</w:t>
      </w:r>
    </w:p>
    <w:p w14:paraId="744BA77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3A46E6" w14:textId="77777777" w:rsidR="008C3B80" w:rsidRPr="005E779E" w:rsidRDefault="008C3B8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июня 1931 КАСКР-2 достиг высоты 450 метров. В этот день на Центральном аэродроме с ним ознакомились представители СОК ЦАГИ во главе с А.М. Черемухиным. Устойчивые полеты аппарата произве</w:t>
      </w:r>
      <w:r w:rsidRPr="005E779E">
        <w:rPr>
          <w:rFonts w:ascii="Times New Roman" w:hAnsi="Times New Roman"/>
          <w:color w:val="000000" w:themeColor="text1"/>
          <w:sz w:val="16"/>
          <w:szCs w:val="16"/>
        </w:rPr>
        <w:softHyphen/>
        <w:t>ли на цаговских инженеров вполне благоприятное впечат</w:t>
      </w:r>
      <w:r w:rsidRPr="005E779E">
        <w:rPr>
          <w:rFonts w:ascii="Times New Roman" w:hAnsi="Times New Roman"/>
          <w:color w:val="000000" w:themeColor="text1"/>
          <w:sz w:val="16"/>
          <w:szCs w:val="16"/>
        </w:rPr>
        <w:softHyphen/>
        <w:t>ление, тем более что интерес на этот раз был сугубо прак</w:t>
      </w:r>
      <w:r w:rsidRPr="005E779E">
        <w:rPr>
          <w:rFonts w:ascii="Times New Roman" w:hAnsi="Times New Roman"/>
          <w:color w:val="000000" w:themeColor="text1"/>
          <w:sz w:val="16"/>
          <w:szCs w:val="16"/>
        </w:rPr>
        <w:softHyphen/>
        <w:t>тическим — в аэрогидродинамическом институте приступи</w:t>
      </w:r>
      <w:r w:rsidRPr="005E779E">
        <w:rPr>
          <w:rFonts w:ascii="Times New Roman" w:hAnsi="Times New Roman"/>
          <w:color w:val="000000" w:themeColor="text1"/>
          <w:sz w:val="16"/>
          <w:szCs w:val="16"/>
        </w:rPr>
        <w:softHyphen/>
        <w:t>ли к проектированию автожира своей конструкции (20361).</w:t>
      </w:r>
    </w:p>
    <w:p w14:paraId="00BEA0D4" w14:textId="77777777" w:rsidR="008C3B80" w:rsidRPr="005E779E" w:rsidRDefault="008C3B80" w:rsidP="000B7A6C">
      <w:pPr>
        <w:shd w:val="clear" w:color="auto" w:fill="FFFFFF"/>
        <w:spacing w:after="0" w:line="240" w:lineRule="auto"/>
        <w:jc w:val="both"/>
        <w:rPr>
          <w:rFonts w:ascii="Times New Roman" w:hAnsi="Times New Roman"/>
          <w:color w:val="000000" w:themeColor="text1"/>
          <w:sz w:val="16"/>
          <w:szCs w:val="16"/>
        </w:rPr>
      </w:pPr>
    </w:p>
    <w:p w14:paraId="156549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июня 1931 был подготовлен План работ опытного самолетостроения АГОС ЦАГИ 1931-1934 (черновой, много исправлений) (351).</w:t>
      </w:r>
    </w:p>
    <w:p w14:paraId="69B4D0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8B3D0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июня 1931 отменили заказ фирме "Роллс-Ройс", выданный в мае через торговое представительство в Лондоне, на моторы по 800 л.с. для первого опытного образца АНТ-16. Это было связано с решением правительства прекратить закупку импортных моторов для опытных самолетов. Поскольку М-34Р и ФЭД пока не существовали даже в опытных образцах, а от серийного выпуска М-27Р отказались, то оставалось надеяться только на М-34 (12024).</w:t>
      </w:r>
    </w:p>
    <w:p w14:paraId="054A2B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7092860" w14:textId="77777777" w:rsidR="00F645C2" w:rsidRPr="00142305" w:rsidRDefault="00F645C2" w:rsidP="00F645C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1 июня 1931 г. заказ фирме «Роллс-Ройс» на моторы по 800 л.с. для АНТ-16 отменили. Это было связано с ре</w:t>
      </w:r>
      <w:r w:rsidRPr="00142305">
        <w:rPr>
          <w:rFonts w:ascii="Times New Roman" w:hAnsi="Times New Roman"/>
          <w:color w:val="0070C0"/>
          <w:sz w:val="16"/>
          <w:szCs w:val="16"/>
        </w:rPr>
        <w:softHyphen/>
        <w:t>шением правительства прекратить закупку импортных мо</w:t>
      </w:r>
      <w:r w:rsidRPr="00142305">
        <w:rPr>
          <w:rFonts w:ascii="Times New Roman" w:hAnsi="Times New Roman"/>
          <w:color w:val="0070C0"/>
          <w:sz w:val="16"/>
          <w:szCs w:val="16"/>
        </w:rPr>
        <w:softHyphen/>
        <w:t>торов для опытных самолетов. Поскольку М-34Р и ФЭД пока не существовали даже в опытных образцах, а от серий</w:t>
      </w:r>
      <w:r w:rsidRPr="00142305">
        <w:rPr>
          <w:rFonts w:ascii="Times New Roman" w:hAnsi="Times New Roman"/>
          <w:color w:val="0070C0"/>
          <w:sz w:val="16"/>
          <w:szCs w:val="16"/>
        </w:rPr>
        <w:softHyphen/>
        <w:t>ного выпуска М-27Р отказались, то оставалось надеяться только на М-34.</w:t>
      </w:r>
    </w:p>
    <w:p w14:paraId="055EA4CC" w14:textId="77777777" w:rsidR="00F645C2" w:rsidRPr="00142305" w:rsidRDefault="00F645C2" w:rsidP="00F645C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Опытный самолет к этому времени уже начали строить. По своей компоновке бомбардировщик во многом повто</w:t>
      </w:r>
      <w:r w:rsidRPr="00142305">
        <w:rPr>
          <w:rFonts w:ascii="Times New Roman" w:hAnsi="Times New Roman"/>
          <w:color w:val="0070C0"/>
          <w:sz w:val="16"/>
          <w:szCs w:val="16"/>
        </w:rPr>
        <w:softHyphen/>
        <w:t>рял ТБ-3, но со значительным увеличением размеров всех узлов. Параллельно проектировались два варианта ТБ-4, предусмотренные планом опытных работ. Один должен был строиться целиком из дюраля (кольчугалюминия) и иметь большее по площади крыло (410 м</w:t>
      </w:r>
      <w:r w:rsidRPr="00142305">
        <w:rPr>
          <w:rFonts w:ascii="Times New Roman" w:hAnsi="Times New Roman"/>
          <w:color w:val="0070C0"/>
          <w:sz w:val="16"/>
          <w:szCs w:val="16"/>
          <w:vertAlign w:val="superscript"/>
        </w:rPr>
        <w:t>2</w:t>
      </w:r>
      <w:r w:rsidRPr="00142305">
        <w:rPr>
          <w:rFonts w:ascii="Times New Roman" w:hAnsi="Times New Roman"/>
          <w:color w:val="0070C0"/>
          <w:sz w:val="16"/>
          <w:szCs w:val="16"/>
        </w:rPr>
        <w:t>). Уточненное за</w:t>
      </w:r>
      <w:r w:rsidRPr="00142305">
        <w:rPr>
          <w:rFonts w:ascii="Times New Roman" w:hAnsi="Times New Roman"/>
          <w:color w:val="0070C0"/>
          <w:sz w:val="16"/>
          <w:szCs w:val="16"/>
        </w:rPr>
        <w:softHyphen/>
        <w:t>дание требовало от этого варианта бомбовую нагрузку 6000 кг и вооружение из десяти пулеметов и двух пушек. Второй тип должен был иметь стальной (для экономии дефицитного дюраля) каркас и меньшее по размерам крыло (площа</w:t>
      </w:r>
      <w:r w:rsidRPr="00142305">
        <w:rPr>
          <w:rFonts w:ascii="Times New Roman" w:hAnsi="Times New Roman"/>
          <w:color w:val="0070C0"/>
          <w:sz w:val="16"/>
          <w:szCs w:val="16"/>
        </w:rPr>
        <w:softHyphen/>
        <w:t>дью 340 м</w:t>
      </w:r>
      <w:r w:rsidRPr="00142305">
        <w:rPr>
          <w:rFonts w:ascii="Times New Roman" w:hAnsi="Times New Roman"/>
          <w:color w:val="0070C0"/>
          <w:sz w:val="16"/>
          <w:szCs w:val="16"/>
          <w:vertAlign w:val="superscript"/>
        </w:rPr>
        <w:t>2</w:t>
      </w:r>
      <w:r w:rsidRPr="00142305">
        <w:rPr>
          <w:rFonts w:ascii="Times New Roman" w:hAnsi="Times New Roman"/>
          <w:color w:val="0070C0"/>
          <w:sz w:val="16"/>
          <w:szCs w:val="16"/>
        </w:rPr>
        <w:t>). Он должен был нести меньше бомб (4500 кг) и более слабое стрелково-артиллерийское вооружение - шесть - восемь пулеметов и одну пушку (24977).</w:t>
      </w:r>
    </w:p>
    <w:p w14:paraId="1AE4E93F" w14:textId="77777777" w:rsidR="00F645C2" w:rsidRPr="00142305" w:rsidRDefault="00F645C2" w:rsidP="00F645C2">
      <w:pPr>
        <w:spacing w:after="0" w:line="240" w:lineRule="auto"/>
        <w:jc w:val="both"/>
        <w:rPr>
          <w:rFonts w:ascii="Times New Roman" w:hAnsi="Times New Roman"/>
          <w:color w:val="0070C0"/>
          <w:sz w:val="16"/>
          <w:szCs w:val="16"/>
        </w:rPr>
      </w:pPr>
    </w:p>
    <w:p w14:paraId="096C1E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июня 1931 проект звена Вахмистрова был утвержден Нач. ВВС (1076,573).</w:t>
      </w:r>
    </w:p>
    <w:p w14:paraId="13D3A7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9D820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июня 1931 г. Вахмистров изложил в письме, направленном в УВВС, идею самолета-авианосца (9807).</w:t>
      </w:r>
    </w:p>
    <w:p w14:paraId="3352C4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9390A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июня 1931 г. B.C. Вахмистров направленном в УВВС письмо с идеей "авиаматки" - бомбардировщика, несущего на себе истребители. Последние могли защитить своего носителя и другие самолеты группы там, куда истребители не могли бы добраться самостоятельно - не хватило бы горючего (12036).</w:t>
      </w:r>
    </w:p>
    <w:p w14:paraId="6C653A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277C73F" w14:textId="77777777" w:rsidR="00303361" w:rsidRPr="005E779E" w:rsidRDefault="00303361"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1-го июня 1931 года проект установки И-4 на ТБ-1 с необходимыми аэродинамическими расчётами был представлен командующему ВВС Алкснису и начальнику штаба ВВС Меженинову. Проект понравился и получил благословление на реализацию» </w:t>
      </w:r>
      <w:hyperlink r:id="rId130" w:history="1">
        <w:r w:rsidRPr="005E779E">
          <w:rPr>
            <w:rFonts w:ascii="Times New Roman" w:eastAsia="Times New Roman" w:hAnsi="Times New Roman"/>
            <w:color w:val="000000" w:themeColor="text1"/>
            <w:sz w:val="16"/>
            <w:szCs w:val="16"/>
            <w:lang w:eastAsia="ru-RU"/>
          </w:rPr>
          <w:t>[73]</w:t>
        </w:r>
      </w:hyperlink>
      <w:r w:rsidRPr="005E779E">
        <w:rPr>
          <w:rFonts w:ascii="Times New Roman" w:eastAsia="Times New Roman" w:hAnsi="Times New Roman"/>
          <w:color w:val="000000" w:themeColor="text1"/>
          <w:sz w:val="16"/>
          <w:szCs w:val="16"/>
          <w:lang w:eastAsia="ru-RU"/>
        </w:rPr>
        <w:t xml:space="preserve"> .</w:t>
      </w:r>
    </w:p>
    <w:p w14:paraId="48237F3F" w14:textId="77777777" w:rsidR="00303361" w:rsidRPr="005E779E" w:rsidRDefault="00303361" w:rsidP="000B7A6C">
      <w:pPr>
        <w:spacing w:after="0" w:line="240" w:lineRule="auto"/>
        <w:jc w:val="both"/>
        <w:rPr>
          <w:rFonts w:ascii="Times New Roman" w:eastAsia="Times New Roman" w:hAnsi="Times New Roman"/>
          <w:color w:val="000000" w:themeColor="text1"/>
          <w:sz w:val="16"/>
          <w:szCs w:val="16"/>
          <w:lang w:eastAsia="ru-RU"/>
        </w:rPr>
      </w:pPr>
    </w:p>
    <w:p w14:paraId="14D5790C" w14:textId="77777777" w:rsidR="005C794C" w:rsidRPr="005E779E" w:rsidRDefault="005C794C" w:rsidP="000B7A6C">
      <w:pPr>
        <w:pStyle w:val="a8"/>
        <w:jc w:val="both"/>
        <w:rPr>
          <w:rFonts w:ascii="Times New Roman" w:hAnsi="Times New Roman" w:cs="Times New Roman"/>
          <w:color w:val="000000" w:themeColor="text1"/>
        </w:rPr>
      </w:pPr>
      <w:r w:rsidRPr="005E779E">
        <w:rPr>
          <w:rFonts w:ascii="Times New Roman" w:hAnsi="Times New Roman" w:cs="Times New Roman"/>
          <w:color w:val="000000" w:themeColor="text1"/>
        </w:rPr>
        <w:t>1 июня 1931 г. предварительный проект Вахмистрова представили на рассмотрение Управления ВВС. Там его одобрили. Начальник ВВС Я.И Алкснис распорядился работу продолжить. Поддержку Вахмистрову оказал и М.Н. Тухачевский, курировавший тогда новое вооружение РККА.</w:t>
      </w:r>
    </w:p>
    <w:p w14:paraId="5C916DB7" w14:textId="77777777" w:rsidR="005C794C" w:rsidRPr="005E779E" w:rsidRDefault="005C794C" w:rsidP="000B7A6C">
      <w:pPr>
        <w:pStyle w:val="a8"/>
        <w:jc w:val="both"/>
        <w:rPr>
          <w:rFonts w:ascii="Times New Roman" w:hAnsi="Times New Roman" w:cs="Times New Roman"/>
          <w:color w:val="000000" w:themeColor="text1"/>
        </w:rPr>
      </w:pPr>
      <w:r w:rsidRPr="005E779E">
        <w:rPr>
          <w:rFonts w:ascii="Times New Roman" w:hAnsi="Times New Roman" w:cs="Times New Roman"/>
          <w:color w:val="000000" w:themeColor="text1"/>
        </w:rPr>
        <w:t>Вахмистров подал документы об утверждении идеи СЗВ как изобретения. И действительно, 1 августа он получил соответствующее авторское свидетельство.</w:t>
      </w:r>
    </w:p>
    <w:p w14:paraId="522AF3B3" w14:textId="77777777" w:rsidR="005C794C" w:rsidRPr="005E779E" w:rsidRDefault="005C794C" w:rsidP="000B7A6C">
      <w:pPr>
        <w:pStyle w:val="a8"/>
        <w:jc w:val="both"/>
        <w:rPr>
          <w:rFonts w:ascii="Times New Roman" w:hAnsi="Times New Roman" w:cs="Times New Roman"/>
          <w:color w:val="000000" w:themeColor="text1"/>
        </w:rPr>
      </w:pPr>
      <w:r w:rsidRPr="005E779E">
        <w:rPr>
          <w:rFonts w:ascii="Times New Roman" w:hAnsi="Times New Roman" w:cs="Times New Roman"/>
          <w:color w:val="000000" w:themeColor="text1"/>
        </w:rPr>
        <w:t>Уточненные расчеты и проектирование дополнительных узлов для ТБ-1 и И-4 возложили не на НИИ ВВС, а на ЦАГИ, мотивируя тем, что оба типа машин там и создавались. Работники 1-го отдела НИИ фактически лишь ставили перед ними задачи. В ЦАГИ этой работой загрузили группы Б.А. Новосельского и М.И. Родионова. Для облегчения с бомбардировщика сняли все, без чего можно было обойтись, включая все стрелковое и бомбовое вооружение. На крыле под истребители предусмотрели «пауки» с замками для фиксации передних колес (для них использовали замки бомбодержателей). Поскольку хотели, чтобы И-4 сразу находились в полетном положении (с поднятым хвостом), под задней частью фюзеляжа на крыле смонтировали пирамиды из труб, на которых крепились регулируемые по высоте опоры, тоже снабженные замками. Задние замки открывались тросовыми механизмами из кабин истребителей, передние - с места второго пилота ТБ-1.</w:t>
      </w:r>
    </w:p>
    <w:p w14:paraId="54D3FB49" w14:textId="77777777" w:rsidR="005C794C" w:rsidRPr="005E779E" w:rsidRDefault="005C794C" w:rsidP="000B7A6C">
      <w:pPr>
        <w:pStyle w:val="a8"/>
        <w:jc w:val="both"/>
        <w:rPr>
          <w:rFonts w:ascii="Times New Roman" w:hAnsi="Times New Roman" w:cs="Times New Roman"/>
          <w:color w:val="000000" w:themeColor="text1"/>
        </w:rPr>
      </w:pPr>
      <w:r w:rsidRPr="005E779E">
        <w:rPr>
          <w:rFonts w:ascii="Times New Roman" w:hAnsi="Times New Roman" w:cs="Times New Roman"/>
          <w:color w:val="000000" w:themeColor="text1"/>
        </w:rPr>
        <w:t>И-4 для облегчения и отчасти из соображений безопасности избавили от рудиментарных нижних крылышек. На летных данных истребителя это практически не сказалось.</w:t>
      </w:r>
    </w:p>
    <w:p w14:paraId="635BF084" w14:textId="77777777" w:rsidR="005C794C" w:rsidRPr="005E779E" w:rsidRDefault="005C794C" w:rsidP="000B7A6C">
      <w:pPr>
        <w:pStyle w:val="a8"/>
        <w:jc w:val="both"/>
        <w:rPr>
          <w:rFonts w:ascii="Times New Roman" w:hAnsi="Times New Roman" w:cs="Times New Roman"/>
          <w:color w:val="000000" w:themeColor="text1"/>
        </w:rPr>
      </w:pPr>
      <w:r w:rsidRPr="005E779E">
        <w:rPr>
          <w:rFonts w:ascii="Times New Roman" w:hAnsi="Times New Roman" w:cs="Times New Roman"/>
          <w:color w:val="000000" w:themeColor="text1"/>
        </w:rPr>
        <w:t>Все дополнительные узлы изготавливал Завод опытных конструкций ЦАГИ. Самолеты выделил НИИ ВВС, окончательный монтаж производился на аэродроме в Монино.</w:t>
      </w:r>
    </w:p>
    <w:p w14:paraId="5926DF5A" w14:textId="77777777" w:rsidR="005C794C" w:rsidRPr="005E779E" w:rsidRDefault="005C794C" w:rsidP="000B7A6C">
      <w:pPr>
        <w:pStyle w:val="a8"/>
        <w:jc w:val="both"/>
        <w:rPr>
          <w:rFonts w:ascii="Times New Roman" w:hAnsi="Times New Roman" w:cs="Times New Roman"/>
          <w:color w:val="000000" w:themeColor="text1"/>
        </w:rPr>
      </w:pPr>
      <w:r w:rsidRPr="005E779E">
        <w:rPr>
          <w:rFonts w:ascii="Times New Roman" w:hAnsi="Times New Roman" w:cs="Times New Roman"/>
          <w:color w:val="000000" w:themeColor="text1"/>
        </w:rPr>
        <w:t>Истребители затаскивали на крыло с помощью громоздких деревянных помостов. По ним самолеты и тянули, и толкали, собрав целую толпу людей. Операция оказалась длительной и весьма трудоемкой (19100).</w:t>
      </w:r>
    </w:p>
    <w:p w14:paraId="43537303" w14:textId="77777777" w:rsidR="005C794C" w:rsidRPr="005E779E" w:rsidRDefault="005C794C" w:rsidP="000B7A6C">
      <w:pPr>
        <w:pStyle w:val="a8"/>
        <w:jc w:val="both"/>
        <w:rPr>
          <w:rFonts w:ascii="Times New Roman" w:hAnsi="Times New Roman" w:cs="Times New Roman"/>
          <w:color w:val="000000" w:themeColor="text1"/>
        </w:rPr>
      </w:pPr>
    </w:p>
    <w:p w14:paraId="73700278" w14:textId="77777777" w:rsidR="00303361" w:rsidRPr="005E779E" w:rsidRDefault="00303361" w:rsidP="000B7A6C">
      <w:pPr>
        <w:pStyle w:val="a3"/>
        <w:rPr>
          <w:color w:val="000000" w:themeColor="text1"/>
          <w:lang w:val="ru-RU"/>
        </w:rPr>
      </w:pPr>
      <w:r w:rsidRPr="005E779E">
        <w:rPr>
          <w:color w:val="000000" w:themeColor="text1"/>
          <w:lang w:val="ru-RU"/>
        </w:rPr>
        <w:t>1</w:t>
      </w:r>
      <w:r w:rsidRPr="005E779E">
        <w:rPr>
          <w:rStyle w:val="ArialNarrow14"/>
          <w:rFonts w:ascii="Times New Roman" w:hAnsi="Times New Roman" w:cs="Times New Roman"/>
          <w:b w:val="0"/>
          <w:color w:val="000000" w:themeColor="text1"/>
          <w:spacing w:val="0"/>
          <w:sz w:val="16"/>
          <w:szCs w:val="16"/>
          <w:lang w:val="ru-RU"/>
        </w:rPr>
        <w:t xml:space="preserve"> июня</w:t>
      </w:r>
      <w:r w:rsidRPr="005E779E">
        <w:rPr>
          <w:color w:val="000000" w:themeColor="text1"/>
          <w:lang w:val="ru-RU"/>
        </w:rPr>
        <w:t xml:space="preserve"> 1931 г. предварительный про</w:t>
      </w:r>
      <w:r w:rsidRPr="005E779E">
        <w:rPr>
          <w:color w:val="000000" w:themeColor="text1"/>
          <w:lang w:val="ru-RU"/>
        </w:rPr>
        <w:softHyphen/>
      </w:r>
      <w:r w:rsidRPr="005E779E">
        <w:rPr>
          <w:rStyle w:val="ArialNarrow14"/>
          <w:rFonts w:ascii="Times New Roman" w:hAnsi="Times New Roman" w:cs="Times New Roman"/>
          <w:b w:val="0"/>
          <w:color w:val="000000" w:themeColor="text1"/>
          <w:spacing w:val="0"/>
          <w:sz w:val="16"/>
          <w:szCs w:val="16"/>
          <w:lang w:val="ru-RU"/>
        </w:rPr>
        <w:t>ект</w:t>
      </w:r>
      <w:r w:rsidRPr="005E779E">
        <w:rPr>
          <w:color w:val="000000" w:themeColor="text1"/>
          <w:lang w:val="ru-RU"/>
        </w:rPr>
        <w:t xml:space="preserve"> Вахмистрова представили на рассмотрение Управ</w:t>
      </w:r>
      <w:r w:rsidRPr="005E779E">
        <w:rPr>
          <w:color w:val="000000" w:themeColor="text1"/>
          <w:lang w:val="ru-RU"/>
        </w:rPr>
        <w:softHyphen/>
      </w:r>
      <w:r w:rsidRPr="005E779E">
        <w:rPr>
          <w:rStyle w:val="ArialNarrow14"/>
          <w:rFonts w:ascii="Times New Roman" w:hAnsi="Times New Roman" w:cs="Times New Roman"/>
          <w:b w:val="0"/>
          <w:color w:val="000000" w:themeColor="text1"/>
          <w:spacing w:val="0"/>
          <w:sz w:val="16"/>
          <w:szCs w:val="16"/>
          <w:lang w:val="ru-RU"/>
        </w:rPr>
        <w:t>ления</w:t>
      </w:r>
      <w:r w:rsidRPr="005E779E">
        <w:rPr>
          <w:rStyle w:val="ArialNarrow15"/>
          <w:rFonts w:ascii="Times New Roman" w:hAnsi="Times New Roman" w:cs="Times New Roman"/>
          <w:b w:val="0"/>
          <w:color w:val="000000" w:themeColor="text1"/>
          <w:sz w:val="16"/>
          <w:szCs w:val="16"/>
          <w:lang w:val="ru-RU"/>
        </w:rPr>
        <w:t xml:space="preserve"> ВВС.</w:t>
      </w:r>
      <w:r w:rsidRPr="005E779E">
        <w:rPr>
          <w:color w:val="000000" w:themeColor="text1"/>
          <w:lang w:val="ru-RU"/>
        </w:rPr>
        <w:t xml:space="preserve"> Там его одобрили. Начальник </w:t>
      </w:r>
      <w:r w:rsidRPr="005E779E">
        <w:rPr>
          <w:rStyle w:val="ArialNarrow15"/>
          <w:rFonts w:ascii="Times New Roman" w:hAnsi="Times New Roman" w:cs="Times New Roman"/>
          <w:b w:val="0"/>
          <w:color w:val="000000" w:themeColor="text1"/>
          <w:sz w:val="16"/>
          <w:szCs w:val="16"/>
          <w:lang w:val="ru-RU"/>
        </w:rPr>
        <w:t>ВВС Я.И.</w:t>
      </w:r>
      <w:r w:rsidRPr="005E779E">
        <w:rPr>
          <w:color w:val="000000" w:themeColor="text1"/>
          <w:lang w:val="ru-RU"/>
        </w:rPr>
        <w:t xml:space="preserve"> Алкснис распорядился работу </w:t>
      </w:r>
      <w:r w:rsidRPr="005E779E">
        <w:rPr>
          <w:rStyle w:val="ArialNarrow15"/>
          <w:rFonts w:ascii="Times New Roman" w:hAnsi="Times New Roman" w:cs="Times New Roman"/>
          <w:b w:val="0"/>
          <w:color w:val="000000" w:themeColor="text1"/>
          <w:sz w:val="16"/>
          <w:szCs w:val="16"/>
          <w:lang w:val="ru-RU"/>
        </w:rPr>
        <w:t>продолжить.</w:t>
      </w:r>
      <w:r w:rsidRPr="005E779E">
        <w:rPr>
          <w:color w:val="000000" w:themeColor="text1"/>
          <w:lang w:val="ru-RU"/>
        </w:rPr>
        <w:t xml:space="preserve"> Поддержку Вахмистрову </w:t>
      </w:r>
      <w:r w:rsidRPr="005E779E">
        <w:rPr>
          <w:rStyle w:val="ArialNarrow14"/>
          <w:rFonts w:ascii="Times New Roman" w:hAnsi="Times New Roman" w:cs="Times New Roman"/>
          <w:b w:val="0"/>
          <w:color w:val="000000" w:themeColor="text1"/>
          <w:spacing w:val="0"/>
          <w:sz w:val="16"/>
          <w:szCs w:val="16"/>
          <w:lang w:val="ru-RU"/>
        </w:rPr>
        <w:t>оказал и</w:t>
      </w:r>
      <w:r w:rsidRPr="005E779E">
        <w:rPr>
          <w:color w:val="000000" w:themeColor="text1"/>
          <w:lang w:val="ru-RU"/>
        </w:rPr>
        <w:t xml:space="preserve"> М.Н. Тухачевский, курировавший </w:t>
      </w:r>
      <w:r w:rsidRPr="005E779E">
        <w:rPr>
          <w:rStyle w:val="ArialNarrow14"/>
          <w:rFonts w:ascii="Times New Roman" w:hAnsi="Times New Roman" w:cs="Times New Roman"/>
          <w:b w:val="0"/>
          <w:color w:val="000000" w:themeColor="text1"/>
          <w:spacing w:val="0"/>
          <w:sz w:val="16"/>
          <w:szCs w:val="16"/>
          <w:lang w:val="ru-RU"/>
        </w:rPr>
        <w:t>тогда</w:t>
      </w:r>
      <w:r w:rsidRPr="005E779E">
        <w:rPr>
          <w:rStyle w:val="ArialNarrow15"/>
          <w:rFonts w:ascii="Times New Roman" w:hAnsi="Times New Roman" w:cs="Times New Roman"/>
          <w:b w:val="0"/>
          <w:color w:val="000000" w:themeColor="text1"/>
          <w:sz w:val="16"/>
          <w:szCs w:val="16"/>
          <w:lang w:val="ru-RU"/>
        </w:rPr>
        <w:t xml:space="preserve"> новое</w:t>
      </w:r>
      <w:r w:rsidRPr="005E779E">
        <w:rPr>
          <w:color w:val="000000" w:themeColor="text1"/>
          <w:lang w:val="ru-RU"/>
        </w:rPr>
        <w:t xml:space="preserve"> вооружение РККА.</w:t>
      </w:r>
    </w:p>
    <w:p w14:paraId="2B1BA144" w14:textId="77777777" w:rsidR="00303361" w:rsidRPr="005E779E" w:rsidRDefault="00303361" w:rsidP="000B7A6C">
      <w:pPr>
        <w:pStyle w:val="a3"/>
        <w:rPr>
          <w:color w:val="000000" w:themeColor="text1"/>
          <w:lang w:val="ru-RU"/>
        </w:rPr>
      </w:pPr>
      <w:r w:rsidRPr="005E779E">
        <w:rPr>
          <w:rStyle w:val="ArialNarrow15"/>
          <w:rFonts w:ascii="Times New Roman" w:hAnsi="Times New Roman" w:cs="Times New Roman"/>
          <w:b w:val="0"/>
          <w:color w:val="000000" w:themeColor="text1"/>
          <w:sz w:val="16"/>
          <w:szCs w:val="16"/>
          <w:lang w:val="ru-RU"/>
        </w:rPr>
        <w:t>Вахмистров</w:t>
      </w:r>
      <w:r w:rsidRPr="005E779E">
        <w:rPr>
          <w:color w:val="000000" w:themeColor="text1"/>
          <w:lang w:val="ru-RU"/>
        </w:rPr>
        <w:t xml:space="preserve"> подал документы об ут</w:t>
      </w:r>
      <w:r w:rsidRPr="005E779E">
        <w:rPr>
          <w:color w:val="000000" w:themeColor="text1"/>
          <w:lang w:val="ru-RU"/>
        </w:rPr>
        <w:softHyphen/>
      </w:r>
      <w:r w:rsidRPr="005E779E">
        <w:rPr>
          <w:rStyle w:val="ArialNarrow15"/>
          <w:rFonts w:ascii="Times New Roman" w:hAnsi="Times New Roman" w:cs="Times New Roman"/>
          <w:b w:val="0"/>
          <w:color w:val="000000" w:themeColor="text1"/>
          <w:sz w:val="16"/>
          <w:szCs w:val="16"/>
          <w:lang w:val="ru-RU"/>
        </w:rPr>
        <w:t>верждении</w:t>
      </w:r>
      <w:r w:rsidRPr="005E779E">
        <w:rPr>
          <w:color w:val="000000" w:themeColor="text1"/>
          <w:lang w:val="ru-RU"/>
        </w:rPr>
        <w:t xml:space="preserve"> идеи СЗВ как изобретения. </w:t>
      </w:r>
      <w:r w:rsidRPr="005E779E">
        <w:rPr>
          <w:rStyle w:val="ArialNarrow14"/>
          <w:rFonts w:ascii="Times New Roman" w:hAnsi="Times New Roman" w:cs="Times New Roman"/>
          <w:b w:val="0"/>
          <w:color w:val="000000" w:themeColor="text1"/>
          <w:spacing w:val="0"/>
          <w:sz w:val="16"/>
          <w:szCs w:val="16"/>
          <w:lang w:val="ru-RU"/>
        </w:rPr>
        <w:t>И</w:t>
      </w:r>
      <w:r w:rsidRPr="005E779E">
        <w:rPr>
          <w:color w:val="000000" w:themeColor="text1"/>
          <w:lang w:val="ru-RU"/>
        </w:rPr>
        <w:t xml:space="preserve"> </w:t>
      </w:r>
      <w:r w:rsidRPr="005E779E">
        <w:rPr>
          <w:rStyle w:val="ArialNarrow15"/>
          <w:rFonts w:ascii="Times New Roman" w:hAnsi="Times New Roman" w:cs="Times New Roman"/>
          <w:b w:val="0"/>
          <w:color w:val="000000" w:themeColor="text1"/>
          <w:sz w:val="16"/>
          <w:szCs w:val="16"/>
          <w:lang w:val="ru-RU"/>
        </w:rPr>
        <w:t>действительно, 1</w:t>
      </w:r>
      <w:r w:rsidRPr="005E779E">
        <w:rPr>
          <w:color w:val="000000" w:themeColor="text1"/>
          <w:lang w:val="ru-RU"/>
        </w:rPr>
        <w:t xml:space="preserve"> августа он получил со</w:t>
      </w:r>
      <w:r w:rsidRPr="005E779E">
        <w:rPr>
          <w:color w:val="000000" w:themeColor="text1"/>
          <w:lang w:val="ru-RU"/>
        </w:rPr>
        <w:softHyphen/>
      </w:r>
      <w:r w:rsidRPr="005E779E">
        <w:rPr>
          <w:rStyle w:val="ArialNarrow15"/>
          <w:rFonts w:ascii="Times New Roman" w:hAnsi="Times New Roman" w:cs="Times New Roman"/>
          <w:b w:val="0"/>
          <w:color w:val="000000" w:themeColor="text1"/>
          <w:sz w:val="16"/>
          <w:szCs w:val="16"/>
          <w:lang w:val="ru-RU"/>
        </w:rPr>
        <w:t>ответствующее</w:t>
      </w:r>
      <w:r w:rsidRPr="005E779E">
        <w:rPr>
          <w:color w:val="000000" w:themeColor="text1"/>
          <w:lang w:val="ru-RU"/>
        </w:rPr>
        <w:t xml:space="preserve"> авторское свидетельство.</w:t>
      </w:r>
    </w:p>
    <w:p w14:paraId="5E06884A" w14:textId="77777777" w:rsidR="00303361" w:rsidRPr="005E779E" w:rsidRDefault="00303361" w:rsidP="000B7A6C">
      <w:pPr>
        <w:pStyle w:val="a3"/>
        <w:rPr>
          <w:color w:val="000000" w:themeColor="text1"/>
          <w:lang w:val="ru-RU"/>
        </w:rPr>
      </w:pPr>
      <w:r w:rsidRPr="005E779E">
        <w:rPr>
          <w:color w:val="000000" w:themeColor="text1"/>
          <w:lang w:val="ru-RU"/>
        </w:rPr>
        <w:t>Уточненные расчеты и проектиро</w:t>
      </w:r>
      <w:r w:rsidRPr="005E779E">
        <w:rPr>
          <w:color w:val="000000" w:themeColor="text1"/>
          <w:lang w:val="ru-RU"/>
        </w:rPr>
        <w:softHyphen/>
      </w:r>
      <w:r w:rsidRPr="005E779E">
        <w:rPr>
          <w:rStyle w:val="ArialNarrow15"/>
          <w:rFonts w:ascii="Times New Roman" w:hAnsi="Times New Roman" w:cs="Times New Roman"/>
          <w:b w:val="0"/>
          <w:color w:val="000000" w:themeColor="text1"/>
          <w:sz w:val="16"/>
          <w:szCs w:val="16"/>
          <w:lang w:val="ru-RU"/>
        </w:rPr>
        <w:t>вание</w:t>
      </w:r>
      <w:r w:rsidRPr="005E779E">
        <w:rPr>
          <w:color w:val="000000" w:themeColor="text1"/>
          <w:lang w:val="ru-RU"/>
        </w:rPr>
        <w:t xml:space="preserve"> дополнительных узлов для ТБ-1 </w:t>
      </w:r>
      <w:r w:rsidRPr="005E779E">
        <w:rPr>
          <w:rStyle w:val="ArialNarrow14"/>
          <w:rFonts w:ascii="Times New Roman" w:hAnsi="Times New Roman" w:cs="Times New Roman"/>
          <w:b w:val="0"/>
          <w:color w:val="000000" w:themeColor="text1"/>
          <w:spacing w:val="0"/>
          <w:sz w:val="16"/>
          <w:szCs w:val="16"/>
          <w:lang w:val="ru-RU"/>
        </w:rPr>
        <w:t>и</w:t>
      </w:r>
      <w:r w:rsidRPr="005E779E">
        <w:rPr>
          <w:rStyle w:val="ArialNarrow15"/>
          <w:rFonts w:ascii="Times New Roman" w:hAnsi="Times New Roman" w:cs="Times New Roman"/>
          <w:b w:val="0"/>
          <w:color w:val="000000" w:themeColor="text1"/>
          <w:sz w:val="16"/>
          <w:szCs w:val="16"/>
          <w:lang w:val="ru-RU"/>
        </w:rPr>
        <w:t xml:space="preserve"> И-4</w:t>
      </w:r>
      <w:r w:rsidRPr="005E779E">
        <w:rPr>
          <w:color w:val="000000" w:themeColor="text1"/>
          <w:lang w:val="ru-RU"/>
        </w:rPr>
        <w:t xml:space="preserve"> возложили не на НИИ ВВС, а на КОСОС ЦАГИ, мотивируя тем, что оба </w:t>
      </w:r>
      <w:r w:rsidRPr="005E779E">
        <w:rPr>
          <w:rStyle w:val="ArialNarrow15"/>
          <w:rFonts w:ascii="Times New Roman" w:hAnsi="Times New Roman" w:cs="Times New Roman"/>
          <w:b w:val="0"/>
          <w:color w:val="000000" w:themeColor="text1"/>
          <w:sz w:val="16"/>
          <w:szCs w:val="16"/>
          <w:lang w:val="ru-RU"/>
        </w:rPr>
        <w:t>типа</w:t>
      </w:r>
      <w:r w:rsidRPr="005E779E">
        <w:rPr>
          <w:color w:val="000000" w:themeColor="text1"/>
          <w:lang w:val="ru-RU"/>
        </w:rPr>
        <w:t xml:space="preserve"> машин там и создавались. Работники 1-го отдела НИИ фактически лишь ста</w:t>
      </w:r>
      <w:r w:rsidRPr="005E779E">
        <w:rPr>
          <w:color w:val="000000" w:themeColor="text1"/>
          <w:lang w:val="ru-RU"/>
        </w:rPr>
        <w:softHyphen/>
        <w:t>вили перед ними задачи. В КОСОС этой работой загрузили группы Б.А. Новосель</w:t>
      </w:r>
      <w:r w:rsidRPr="005E779E">
        <w:rPr>
          <w:color w:val="000000" w:themeColor="text1"/>
          <w:lang w:val="ru-RU"/>
        </w:rPr>
        <w:softHyphen/>
        <w:t>ского и М.И. Родионова. Для облегче</w:t>
      </w:r>
      <w:r w:rsidRPr="005E779E">
        <w:rPr>
          <w:color w:val="000000" w:themeColor="text1"/>
          <w:lang w:val="ru-RU"/>
        </w:rPr>
        <w:softHyphen/>
        <w:t>ния с бомбардировщика сняли все, без чего можно было обойтись, включая все стрелковое и бомбовое вооружение. На крыле под истребители предусмотрели «пауки» с замками для фиксации перед</w:t>
      </w:r>
      <w:r w:rsidRPr="005E779E">
        <w:rPr>
          <w:color w:val="000000" w:themeColor="text1"/>
          <w:lang w:val="ru-RU"/>
        </w:rPr>
        <w:softHyphen/>
        <w:t>них колес (для них использовали замки бомбодержателей).</w:t>
      </w:r>
    </w:p>
    <w:p w14:paraId="3BA76FE0" w14:textId="77777777" w:rsidR="00303361" w:rsidRPr="005E779E" w:rsidRDefault="00303361" w:rsidP="000B7A6C">
      <w:pPr>
        <w:pStyle w:val="a3"/>
        <w:rPr>
          <w:color w:val="000000" w:themeColor="text1"/>
          <w:lang w:val="ru-RU"/>
        </w:rPr>
      </w:pPr>
      <w:r w:rsidRPr="005E779E">
        <w:rPr>
          <w:color w:val="000000" w:themeColor="text1"/>
          <w:lang w:val="ru-RU"/>
        </w:rPr>
        <w:t>находились в полетном положении (с поднятым хвостом), под задней частью фюзеляжа на крыле смон</w:t>
      </w:r>
      <w:r w:rsidRPr="005E779E">
        <w:rPr>
          <w:color w:val="000000" w:themeColor="text1"/>
          <w:lang w:val="ru-RU"/>
        </w:rPr>
        <w:softHyphen/>
        <w:t>тировали пирамиды из труб, на которых крепились регулируемые по высоте опо</w:t>
      </w:r>
      <w:r w:rsidRPr="005E779E">
        <w:rPr>
          <w:color w:val="000000" w:themeColor="text1"/>
          <w:lang w:val="ru-RU"/>
        </w:rPr>
        <w:softHyphen/>
        <w:t>ры, тоже снабженные замками. Задние замки открывались тросовыми механиз</w:t>
      </w:r>
      <w:r w:rsidRPr="005E779E">
        <w:rPr>
          <w:color w:val="000000" w:themeColor="text1"/>
          <w:lang w:val="ru-RU"/>
        </w:rPr>
        <w:softHyphen/>
        <w:t>мами из кабин истребителей, передние - с места второго пилота ТБ-1.</w:t>
      </w:r>
    </w:p>
    <w:p w14:paraId="217BBAEB" w14:textId="77777777" w:rsidR="00303361" w:rsidRPr="005E779E" w:rsidRDefault="00303361" w:rsidP="000B7A6C">
      <w:pPr>
        <w:pStyle w:val="a3"/>
        <w:rPr>
          <w:color w:val="000000" w:themeColor="text1"/>
          <w:lang w:val="ru-RU"/>
        </w:rPr>
      </w:pPr>
      <w:r w:rsidRPr="005E779E">
        <w:rPr>
          <w:color w:val="000000" w:themeColor="text1"/>
          <w:lang w:val="ru-RU"/>
        </w:rPr>
        <w:t>И-4 для облегчения и отчасти из со</w:t>
      </w:r>
      <w:r w:rsidRPr="005E779E">
        <w:rPr>
          <w:color w:val="000000" w:themeColor="text1"/>
          <w:lang w:val="ru-RU"/>
        </w:rPr>
        <w:softHyphen/>
        <w:t>ображений безопасности избавили от ру</w:t>
      </w:r>
      <w:r w:rsidRPr="005E779E">
        <w:rPr>
          <w:color w:val="000000" w:themeColor="text1"/>
          <w:lang w:val="ru-RU"/>
        </w:rPr>
        <w:softHyphen/>
        <w:t>диментарных нижних крылышек. На лет</w:t>
      </w:r>
      <w:r w:rsidRPr="005E779E">
        <w:rPr>
          <w:color w:val="000000" w:themeColor="text1"/>
          <w:lang w:val="ru-RU"/>
        </w:rPr>
        <w:softHyphen/>
        <w:t>ных данных истребителя это практически не сказалось.</w:t>
      </w:r>
    </w:p>
    <w:p w14:paraId="22BE9B58" w14:textId="77777777" w:rsidR="00303361" w:rsidRPr="005E779E" w:rsidRDefault="00303361" w:rsidP="000B7A6C">
      <w:pPr>
        <w:pStyle w:val="a3"/>
        <w:rPr>
          <w:color w:val="000000" w:themeColor="text1"/>
          <w:lang w:val="ru-RU"/>
        </w:rPr>
      </w:pPr>
      <w:r w:rsidRPr="005E779E">
        <w:rPr>
          <w:color w:val="000000" w:themeColor="text1"/>
          <w:lang w:val="ru-RU"/>
        </w:rPr>
        <w:t>Все дополнительные узлы изготавли</w:t>
      </w:r>
      <w:r w:rsidRPr="005E779E">
        <w:rPr>
          <w:color w:val="000000" w:themeColor="text1"/>
          <w:lang w:val="ru-RU"/>
        </w:rPr>
        <w:softHyphen/>
        <w:t>вал Завод опытных конструкций ЦАГИ. Самолеты выделил НИИ ВВС, окончатель</w:t>
      </w:r>
      <w:r w:rsidRPr="005E779E">
        <w:rPr>
          <w:color w:val="000000" w:themeColor="text1"/>
          <w:lang w:val="ru-RU"/>
        </w:rPr>
        <w:softHyphen/>
        <w:t>ный монтаж производился на аэродроме в Монино.</w:t>
      </w:r>
    </w:p>
    <w:p w14:paraId="055A4DDF" w14:textId="77777777" w:rsidR="00303361" w:rsidRPr="005E779E" w:rsidRDefault="00303361" w:rsidP="000B7A6C">
      <w:pPr>
        <w:pStyle w:val="a3"/>
        <w:rPr>
          <w:color w:val="000000" w:themeColor="text1"/>
          <w:lang w:val="ru-RU"/>
        </w:rPr>
      </w:pPr>
      <w:r w:rsidRPr="005E779E">
        <w:rPr>
          <w:color w:val="000000" w:themeColor="text1"/>
          <w:lang w:val="ru-RU"/>
        </w:rPr>
        <w:t>Истребители затаскивали на кры</w:t>
      </w:r>
      <w:r w:rsidRPr="005E779E">
        <w:rPr>
          <w:color w:val="000000" w:themeColor="text1"/>
          <w:lang w:val="ru-RU"/>
        </w:rPr>
        <w:softHyphen/>
        <w:t>ло с помощью громоздких деревянных помостов. По ним самолеты и тянули, и толкали, собрав целую толпу людей. Операция оказалась длительной и весь</w:t>
      </w:r>
      <w:r w:rsidRPr="005E779E">
        <w:rPr>
          <w:color w:val="000000" w:themeColor="text1"/>
          <w:lang w:val="ru-RU"/>
        </w:rPr>
        <w:softHyphen/>
        <w:t>ма трудоемкой (17741).</w:t>
      </w:r>
    </w:p>
    <w:p w14:paraId="746A21C0" w14:textId="77777777" w:rsidR="00303361" w:rsidRPr="005E779E" w:rsidRDefault="00303361" w:rsidP="000B7A6C">
      <w:pPr>
        <w:spacing w:after="0" w:line="240" w:lineRule="auto"/>
        <w:jc w:val="both"/>
        <w:rPr>
          <w:rFonts w:ascii="Times New Roman" w:eastAsia="Times New Roman" w:hAnsi="Times New Roman"/>
          <w:color w:val="000000" w:themeColor="text1"/>
          <w:sz w:val="16"/>
          <w:szCs w:val="16"/>
          <w:lang w:eastAsia="ru-RU"/>
        </w:rPr>
      </w:pPr>
    </w:p>
    <w:p w14:paraId="2491D1F2" w14:textId="77777777" w:rsidR="00F645C2" w:rsidRPr="00142305" w:rsidRDefault="00F645C2" w:rsidP="00F645C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июня 1931 г. а письме, направ</w:t>
      </w:r>
      <w:r w:rsidRPr="00142305">
        <w:rPr>
          <w:rFonts w:ascii="Times New Roman" w:hAnsi="Times New Roman"/>
          <w:color w:val="0070C0"/>
          <w:sz w:val="16"/>
          <w:szCs w:val="16"/>
        </w:rPr>
        <w:softHyphen/>
        <w:t>ленном в УВВС Вахмистров впервые изложил свою идею летающего авианосца (24977).</w:t>
      </w:r>
    </w:p>
    <w:p w14:paraId="093008A9" w14:textId="77777777" w:rsidR="00F645C2" w:rsidRPr="00142305" w:rsidRDefault="00F645C2" w:rsidP="00F645C2">
      <w:pPr>
        <w:spacing w:after="0" w:line="240" w:lineRule="auto"/>
        <w:jc w:val="both"/>
        <w:rPr>
          <w:rFonts w:ascii="Times New Roman" w:hAnsi="Times New Roman"/>
          <w:color w:val="0070C0"/>
          <w:sz w:val="16"/>
          <w:szCs w:val="16"/>
        </w:rPr>
      </w:pPr>
    </w:p>
    <w:p w14:paraId="12C8E369" w14:textId="77777777" w:rsidR="00F645C2" w:rsidRPr="00142305" w:rsidRDefault="00F645C2" w:rsidP="00F645C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июня 1931 г. в письме, направленном в УВВС, Вахмис</w:t>
      </w:r>
      <w:r w:rsidRPr="00142305">
        <w:rPr>
          <w:rFonts w:ascii="Times New Roman" w:hAnsi="Times New Roman"/>
          <w:color w:val="0070C0"/>
          <w:sz w:val="16"/>
          <w:szCs w:val="16"/>
        </w:rPr>
        <w:softHyphen/>
        <w:t>тров изложил идею воздушного авианосца. Уже в декабре 1931 г. совершил первый полет ТБ-1, на крыльях которого разме</w:t>
      </w:r>
      <w:r w:rsidRPr="00142305">
        <w:rPr>
          <w:rFonts w:ascii="Times New Roman" w:hAnsi="Times New Roman"/>
          <w:color w:val="0070C0"/>
          <w:sz w:val="16"/>
          <w:szCs w:val="16"/>
        </w:rPr>
        <w:softHyphen/>
        <w:t>щались два истребителя И-4. Система получила название «Звено-1» (24937).</w:t>
      </w:r>
    </w:p>
    <w:p w14:paraId="3FC8E679" w14:textId="77777777" w:rsidR="00F645C2" w:rsidRPr="00142305" w:rsidRDefault="00F645C2" w:rsidP="00F645C2">
      <w:pPr>
        <w:spacing w:after="0" w:line="240" w:lineRule="auto"/>
        <w:jc w:val="both"/>
        <w:rPr>
          <w:rFonts w:ascii="Times New Roman" w:hAnsi="Times New Roman"/>
          <w:color w:val="0070C0"/>
          <w:sz w:val="16"/>
          <w:szCs w:val="16"/>
        </w:rPr>
      </w:pPr>
    </w:p>
    <w:p w14:paraId="6A88E4C7" w14:textId="77777777" w:rsidR="00E760AA" w:rsidRPr="005E779E" w:rsidRDefault="00E760A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Весной 1931 г. об экспериментах Цандера с ракетным двигателем узнал 24-летний Сергей Королев, который немедленно познакомился с ним. Его поразила непрактичность Цандера, не имевшего ни малейшего представления о том, где искать средства для финансирования своей работы.</w:t>
      </w:r>
    </w:p>
    <w:p w14:paraId="20BDA752" w14:textId="77777777" w:rsidR="00E760AA" w:rsidRPr="005E779E" w:rsidRDefault="00E760A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Королев сразу увидел возможность привлечения к финанси</w:t>
      </w:r>
      <w:r w:rsidRPr="005E779E">
        <w:rPr>
          <w:rFonts w:ascii="Times New Roman" w:hAnsi="Times New Roman"/>
          <w:color w:val="000000" w:themeColor="text1"/>
          <w:sz w:val="16"/>
          <w:szCs w:val="16"/>
        </w:rPr>
        <w:softHyphen/>
        <w:t>рованию ОСОВИАХИМа — если только не пугать его руковод</w:t>
      </w:r>
      <w:r w:rsidRPr="005E779E">
        <w:rPr>
          <w:rFonts w:ascii="Times New Roman" w:hAnsi="Times New Roman"/>
          <w:color w:val="000000" w:themeColor="text1"/>
          <w:sz w:val="16"/>
          <w:szCs w:val="16"/>
        </w:rPr>
        <w:softHyphen/>
        <w:t>ство рассуждениями о полетах в космос, а обратить внимание на более практичную тему создания реактив</w:t>
      </w:r>
      <w:r w:rsidRPr="005E779E">
        <w:rPr>
          <w:rFonts w:ascii="Times New Roman" w:hAnsi="Times New Roman"/>
          <w:color w:val="000000" w:themeColor="text1"/>
          <w:sz w:val="16"/>
          <w:szCs w:val="16"/>
        </w:rPr>
        <w:softHyphen/>
        <w:t>ного самолета. И дейст</w:t>
      </w:r>
      <w:r w:rsidRPr="005E779E">
        <w:rPr>
          <w:rFonts w:ascii="Times New Roman" w:hAnsi="Times New Roman"/>
          <w:color w:val="000000" w:themeColor="text1"/>
          <w:sz w:val="16"/>
          <w:szCs w:val="16"/>
        </w:rPr>
        <w:softHyphen/>
        <w:t>вительно, вскоре Коро</w:t>
      </w:r>
      <w:r w:rsidRPr="005E779E">
        <w:rPr>
          <w:rFonts w:ascii="Times New Roman" w:hAnsi="Times New Roman"/>
          <w:color w:val="000000" w:themeColor="text1"/>
          <w:sz w:val="16"/>
          <w:szCs w:val="16"/>
        </w:rPr>
        <w:softHyphen/>
        <w:t>лев договорился с Бюро воздушной техники ОСОВИАХИМа о соз</w:t>
      </w:r>
      <w:r w:rsidRPr="005E779E">
        <w:rPr>
          <w:rFonts w:ascii="Times New Roman" w:hAnsi="Times New Roman"/>
          <w:color w:val="000000" w:themeColor="text1"/>
          <w:sz w:val="16"/>
          <w:szCs w:val="16"/>
        </w:rPr>
        <w:softHyphen/>
        <w:t>дании в системе обще</w:t>
      </w:r>
      <w:r w:rsidRPr="005E779E">
        <w:rPr>
          <w:rFonts w:ascii="Times New Roman" w:hAnsi="Times New Roman"/>
          <w:color w:val="000000" w:themeColor="text1"/>
          <w:sz w:val="16"/>
          <w:szCs w:val="16"/>
        </w:rPr>
        <w:softHyphen/>
        <w:t>ства Группы по изуче</w:t>
      </w:r>
      <w:r w:rsidRPr="005E779E">
        <w:rPr>
          <w:rFonts w:ascii="Times New Roman" w:hAnsi="Times New Roman"/>
          <w:color w:val="000000" w:themeColor="text1"/>
          <w:sz w:val="16"/>
          <w:szCs w:val="16"/>
        </w:rPr>
        <w:softHyphen/>
        <w:t>нию реактивного дви</w:t>
      </w:r>
      <w:r w:rsidRPr="005E779E">
        <w:rPr>
          <w:rFonts w:ascii="Times New Roman" w:hAnsi="Times New Roman"/>
          <w:color w:val="000000" w:themeColor="text1"/>
          <w:sz w:val="16"/>
          <w:szCs w:val="16"/>
        </w:rPr>
        <w:softHyphen/>
        <w:t>жения (ГИРД) (23550).</w:t>
      </w:r>
    </w:p>
    <w:p w14:paraId="26C8C663" w14:textId="77777777" w:rsidR="00E760AA" w:rsidRPr="005E779E" w:rsidRDefault="00E760AA" w:rsidP="000B7A6C">
      <w:pPr>
        <w:spacing w:after="0" w:line="240" w:lineRule="auto"/>
        <w:jc w:val="both"/>
        <w:rPr>
          <w:rFonts w:ascii="Times New Roman" w:hAnsi="Times New Roman"/>
          <w:color w:val="000000" w:themeColor="text1"/>
          <w:sz w:val="16"/>
          <w:szCs w:val="16"/>
        </w:rPr>
      </w:pPr>
    </w:p>
    <w:p w14:paraId="269DB65E" w14:textId="77777777" w:rsidR="001A7FA6" w:rsidRPr="005E779E" w:rsidRDefault="001A7F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июня 1931 г. Постановление Президиума ВСНХ СССР об обеспечении потребности самолетостроения дюралюминиевыми полуфабрикатами на 1932/33 гг. (РГАЭ. Ф.3429. Оп. 1. Д. 5245. Л. 4) (12417).</w:t>
      </w:r>
    </w:p>
    <w:p w14:paraId="0B69F21E" w14:textId="77777777" w:rsidR="001A7FA6" w:rsidRPr="005E779E" w:rsidRDefault="001A7FA6" w:rsidP="000B7A6C">
      <w:pPr>
        <w:spacing w:after="0" w:line="240" w:lineRule="auto"/>
        <w:jc w:val="both"/>
        <w:rPr>
          <w:rFonts w:ascii="Times New Roman" w:hAnsi="Times New Roman"/>
          <w:color w:val="000000" w:themeColor="text1"/>
          <w:sz w:val="16"/>
          <w:szCs w:val="16"/>
        </w:rPr>
      </w:pPr>
    </w:p>
    <w:p w14:paraId="7A7A24B0"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3ADE7231"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2CF9E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июня 1931 Пред. НТК УММ РККА Лебедев направил директору ХПЗ Владимирову письмо, утвержденное Нач. УММ И.А.Халепским, задание на проектирование колесно-гусеничного танка БТ (Кристи). Согласно заданию</w:t>
      </w:r>
      <w:r w:rsidR="009146AD"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rPr>
        <w:t xml:space="preserve"> машина д.б. иметь массу 14 т, скорость - 70 км/час на колесах и 40 на гусеницах, вооружение - 76 мм противоштурмовая, временно 37 мм. Броня - лоб, башня, корма - не менее 20 мм, борт - 13 мм, крыши - 6 мм (3879,11).</w:t>
      </w:r>
    </w:p>
    <w:p w14:paraId="71F46F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973E4ED" w14:textId="77777777" w:rsidR="0039152D" w:rsidRPr="005E779E" w:rsidRDefault="0039152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 июня 1931 года, не дожидаясь завершения полного испытательного цикла, председатель НТК УММ РККА Лебедев направил директору ХПЗ Владимирову утвержденное Начальником УММ РККА Халепским задание на проектирование колесно-гусеничного танка БТ отечественного производства (17214). </w:t>
      </w:r>
    </w:p>
    <w:p w14:paraId="7E2223B2" w14:textId="77777777" w:rsidR="0039152D" w:rsidRPr="005E779E" w:rsidRDefault="0039152D" w:rsidP="000B7A6C">
      <w:pPr>
        <w:spacing w:after="0" w:line="240" w:lineRule="auto"/>
        <w:jc w:val="both"/>
        <w:rPr>
          <w:rFonts w:ascii="Times New Roman" w:hAnsi="Times New Roman"/>
          <w:color w:val="000000" w:themeColor="text1"/>
          <w:sz w:val="16"/>
          <w:szCs w:val="16"/>
        </w:rPr>
      </w:pPr>
    </w:p>
    <w:p w14:paraId="04707515" w14:textId="77777777" w:rsidR="00E760AA" w:rsidRPr="005E779E" w:rsidRDefault="00E760A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июня 1931 г. Н.А. Кучеренко был назначен старшим конструктором «Танко-конструкторского бюро», специально созданного в танковом отделе Т2 ХПЗ и получившего в первой половине июня 1931 г. наименование «Т2К». Вместе с другими сотрудниками КБ и с конструкторами, прикомандированными из ряда организаций и заводов, участвовал в разработке конструкторской документации для обеспечения серийного выпуска быстроходного колесно-гусеничного танка БТ-2, прототип которого был закуплен в виде экспериментального образца у американского инженера Дж. Уолтера Кристи.</w:t>
      </w:r>
    </w:p>
    <w:p w14:paraId="69485395" w14:textId="77777777" w:rsidR="00E760AA" w:rsidRPr="005E779E" w:rsidRDefault="00E760A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Среди сохранившихся синек чертежей танка БТ-2 есть и те, в штампах которых имеется роспись Н.А. Кучеренко. Так, в графе «конструктор» чертежа № 29-С3 (Корпус Б-Т. Общий вид. Продольный разрез) стоит его роспись и указана дата – 26 июня 1931 г. Имеются его росписи и на чертежах № 29-34 (Связь носа корпуса), № 30-С1 и № 30-С2 (Общий вид башни. «Продольный разрез» и «Вид в плане»). 4 ноября 1931 г. Н.А. Кучеренко в графах «конструктор» и «контролер» расписался за выполненный им чертеж № 30С-3 (Поворотный механизм башни (сборочный чертеж). Б-Т) (23450).</w:t>
      </w:r>
    </w:p>
    <w:p w14:paraId="16BB7ABC" w14:textId="77777777" w:rsidR="00E760AA" w:rsidRPr="005E779E" w:rsidRDefault="00E760AA" w:rsidP="000B7A6C">
      <w:pPr>
        <w:spacing w:after="0" w:line="240" w:lineRule="auto"/>
        <w:jc w:val="both"/>
        <w:rPr>
          <w:rFonts w:ascii="Times New Roman" w:hAnsi="Times New Roman"/>
          <w:color w:val="000000" w:themeColor="text1"/>
          <w:sz w:val="16"/>
          <w:szCs w:val="16"/>
        </w:rPr>
      </w:pPr>
    </w:p>
    <w:p w14:paraId="7EC06E6E" w14:textId="77777777" w:rsidR="001A7FA6" w:rsidRPr="005E779E" w:rsidRDefault="001A7F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1 июня 1931 г. Постановление Президиума ВСНХ СССР о поставке Люберецким заводом литья из ковкого чугуна для обеспечения программы 1931 г. по Т?26, выполняемой на заводе «Большевик» (РГАЭ. Ф. 3429. Оп. 6. Д. 189. Л. 81) (12417).</w:t>
      </w:r>
    </w:p>
    <w:p w14:paraId="37595B16" w14:textId="77777777" w:rsidR="001A7FA6" w:rsidRPr="005E779E" w:rsidRDefault="001A7FA6" w:rsidP="000B7A6C">
      <w:pPr>
        <w:spacing w:after="0" w:line="240" w:lineRule="auto"/>
        <w:jc w:val="both"/>
        <w:rPr>
          <w:rFonts w:ascii="Times New Roman" w:hAnsi="Times New Roman"/>
          <w:color w:val="000000" w:themeColor="text1"/>
          <w:sz w:val="16"/>
          <w:szCs w:val="16"/>
        </w:rPr>
      </w:pPr>
    </w:p>
    <w:p w14:paraId="7A082E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июня 1931 бронетракторы Д-10, 11 и 14 совершили 95-км пробег со скоростью 5-10 км/час. Выявилось множество недостатков. Испытания прекратили. Д-15 закончили к лету 1931, но он не испытывался (4306).</w:t>
      </w:r>
    </w:p>
    <w:p w14:paraId="26F9AB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09F5722" w14:textId="77777777" w:rsidR="00F645C2" w:rsidRPr="00142305" w:rsidRDefault="00F645C2" w:rsidP="00F645C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1 по 4 июня 1931 года на танковом полигоне в Кубинке проводились испытания всех четырех машин Дыренкова (Д-10 и Д-11, десантного бронетрактора Д-14 и химического Д-15), которые привели к неутешительным выводам. Из-за множества инженерных просчетов машины были признаны негодными для использования в частях Красной армии. Двигатели бронетракторов перегревались, выхлопные газы попадали внутрь корпусов (отчего экипажи угорали), обзор с места механика-водителя был неудовлетворительный, а максимальная скорость по грунту составляла всего 5 км/ч.</w:t>
      </w:r>
    </w:p>
    <w:p w14:paraId="1BDE7AD6" w14:textId="77777777" w:rsidR="00F645C2" w:rsidRPr="00142305" w:rsidRDefault="00F645C2" w:rsidP="00F645C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7 июня все бронетракторы, проходившие испытания, вышли из строя. Их должны были отремонтировать и продолжить испытания, но Дыренков не внес в конструкцию бронетракторов предписанных комиссией изменений, и вскоре от них вовсе отказались, признав проект бесперспективным. Химический Д-15 был собран уже после того, как все остальные машины прошли испытания. Он даже не покидал территории завода и был утилизирован вместе с остальными бронетракторами конструкции Дыренкова в конце 1932 года.</w:t>
      </w:r>
    </w:p>
    <w:p w14:paraId="411B2228" w14:textId="77777777" w:rsidR="00F645C2" w:rsidRPr="00142305" w:rsidRDefault="00F645C2" w:rsidP="00F645C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Параллельно с бронетракторами амбициозный конструктор-самоучка разрабатывал танк Д-4 на комбинированном гусенично-автомобильно-железнодорожном ходу, который, впрочем, постигла та же судьба, что и Д-10, Д-11, Д-14 и Д-15 – его даже не допустили к прохождению испытаний. Когда стало ясно, что довести машину до какого-либо приемлемого результата невозможно, Дыренков забросил Д-4, истратив предварительно на проект и создание прототипа около 1 млн рублей. Он взялся за создание нового танка Д-5, когда 1 декабря 1932 года его КБ было ликвидировано, а все проводимые им работы остановлены (25537).</w:t>
      </w:r>
    </w:p>
    <w:p w14:paraId="48FA3E22" w14:textId="77777777" w:rsidR="00F645C2" w:rsidRPr="00142305" w:rsidRDefault="00F645C2" w:rsidP="00F645C2">
      <w:pPr>
        <w:spacing w:after="0" w:line="240" w:lineRule="auto"/>
        <w:jc w:val="both"/>
        <w:rPr>
          <w:rFonts w:ascii="Times New Roman" w:hAnsi="Times New Roman"/>
          <w:color w:val="0070C0"/>
          <w:sz w:val="16"/>
          <w:szCs w:val="16"/>
        </w:rPr>
      </w:pPr>
    </w:p>
    <w:p w14:paraId="5331320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июня 1931 США заключили контракт с СССР об участии американских инженеров в постройке 90 советских металлургических заводов (4962).</w:t>
      </w:r>
    </w:p>
    <w:p w14:paraId="21585B4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B2A9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июня 1931 г. считается официально утвержденной датой образования междугородной правительственной высокочастотной связи (ВЧ</w:t>
      </w:r>
      <w:r w:rsidRPr="005E779E">
        <w:rPr>
          <w:rFonts w:ascii="Times New Roman" w:hAnsi="Times New Roman"/>
          <w:color w:val="000000" w:themeColor="text1"/>
          <w:sz w:val="16"/>
          <w:szCs w:val="16"/>
        </w:rPr>
        <w:noBreakHyphen/>
        <w:t>связи). Вместе с тем, другие источники (например, схема ВЧ</w:t>
      </w:r>
      <w:r w:rsidRPr="005E779E">
        <w:rPr>
          <w:rFonts w:ascii="Times New Roman" w:hAnsi="Times New Roman"/>
          <w:color w:val="000000" w:themeColor="text1"/>
          <w:sz w:val="16"/>
          <w:szCs w:val="16"/>
        </w:rPr>
        <w:noBreakHyphen/>
        <w:t>связи связи, датированная 05.01.1939 г.) позволяют утверждать, что уже в 1930 г. была организована первая междугородная высокочастотная связь - Москва-Харьков. В докладной записке наркома внутренних дел Л.П. Берия Председателю СНК В.М. Молотову (май 1940 г.) также читаем: "В 1930 году была организована правительственная высокочастотная связь".</w:t>
      </w:r>
    </w:p>
    <w:p w14:paraId="422B02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Таким образом, уже в 1930 г. были сделаны первые шаги к созданию сети междугородной телефонной ВЧ</w:t>
      </w:r>
      <w:r w:rsidRPr="005E779E">
        <w:rPr>
          <w:rFonts w:ascii="Times New Roman" w:hAnsi="Times New Roman"/>
          <w:color w:val="000000" w:themeColor="text1"/>
          <w:sz w:val="16"/>
          <w:szCs w:val="16"/>
        </w:rPr>
        <w:noBreakHyphen/>
        <w:t>связи, которая, будучи по первоначальному предназначению сетью ведомственной специальной связи, стала сразу же использоваться для нужд высшего эшелона власти СССР. До 1936 года ВЧ-связь была установлена с 12 административными центрами СССР, в том числе со Смоленском и Минском (1932), Горьким и Ростовом (1933), Киевом (1934), Ярославлем. Тбилиси и Севастополем.</w:t>
      </w:r>
    </w:p>
    <w:p w14:paraId="06FBE3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Следует отметить, что одновременно (с 1930 г.) был организован временный вариант связи высшего партийного и советского руководства СССР - "Спецсвязь", который не требовал больших капитальных затрат, так как был рассчитан на использование уже имевшейся в Европейской части страны небольшой сети каналов дальней связи Наркомата связи (НКС). "Спецсвязь" была организована по радиальной схеме, с задачей обеспечить связь только Москве (связь других городов между собой не предусматривалась). Отличительной ее чертой была работа по расписанию: каждому городу, входившему в сеть "Спецсвязи" предоставлялся один час в сутки, в течение которого так называемый "московский канал" переключался на спецкоммутатор, обслуживаемый только старшей телефонисткой МТС и исключающий возможность контроля и прослушивания. В областных центрах абонентами "Спецсвязи", как правило, были только первые секретари обкомов ВКП(б), председатели облисполкомов и полномочные представители ОГПУ. Такая система, естественно, не могла удовлетворить растущих коммуникационных потребностей.</w:t>
      </w:r>
    </w:p>
    <w:p w14:paraId="0850B9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Более перспективной выглядела на этом фоне высокочастотная связь ОГПУ. Используя последние достижения в области теории и техники связи, она могла обеспечить надежный по тем временам уровень конфиденциальности, а также оперативность передачи информации. Эти факторы обусловили, в конечном итоге, выбор высшего руководства в пользу именно ВЧ</w:t>
      </w:r>
      <w:r w:rsidRPr="005E779E">
        <w:rPr>
          <w:rFonts w:ascii="Times New Roman" w:hAnsi="Times New Roman"/>
          <w:color w:val="000000" w:themeColor="text1"/>
          <w:sz w:val="16"/>
          <w:szCs w:val="16"/>
        </w:rPr>
        <w:noBreakHyphen/>
        <w:t>связи как технологической основы государственной системы управления (11671).</w:t>
      </w:r>
    </w:p>
    <w:p w14:paraId="1BF666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6D50C7E" w14:textId="77777777" w:rsidR="00154AB9" w:rsidRPr="005E779E" w:rsidRDefault="00154AB9"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1 июня</w:t>
      </w:r>
      <w:r w:rsidRPr="005E779E">
        <w:rPr>
          <w:rFonts w:ascii="Times New Roman" w:hAnsi="Times New Roman"/>
          <w:color w:val="000000" w:themeColor="text1"/>
          <w:sz w:val="16"/>
          <w:szCs w:val="16"/>
        </w:rPr>
        <w:t xml:space="preserve"> 1931 году приказом ОГПУ было сформировано 5-е отделение Оперативного отдела ОГПУ с целью создания и эксплуатации междугородной правительственной связи. День образования органов правительственной связи (14909).</w:t>
      </w:r>
    </w:p>
    <w:p w14:paraId="464D204E" w14:textId="77777777" w:rsidR="00154AB9" w:rsidRPr="005E779E" w:rsidRDefault="00154AB9" w:rsidP="000B7A6C">
      <w:pPr>
        <w:spacing w:after="0" w:line="240" w:lineRule="auto"/>
        <w:jc w:val="both"/>
        <w:rPr>
          <w:rFonts w:ascii="Times New Roman" w:hAnsi="Times New Roman"/>
          <w:color w:val="000000" w:themeColor="text1"/>
          <w:sz w:val="16"/>
          <w:szCs w:val="16"/>
        </w:rPr>
      </w:pPr>
    </w:p>
    <w:p w14:paraId="76BB5A6D" w14:textId="77777777" w:rsidR="009F158C" w:rsidRPr="005E779E" w:rsidRDefault="009F158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июня 1931 г. в Читу прилетели японские летчики Кумакава и Куримура, совершающие перелет из Токио в Рим на спортивном самолете «Молодая Япония» с мотором Циррус- 100л..с.. Перелёт был организован студенческой ассоциацией воздухоплавания, а сами летчики - студенты университета. Полет по СССР продолжался долго и с приключениями. В районе Гороховца они при вынужденной посадке подломали самолет. 30 июня летчики с разобранным самолетом прибыли в Москву и тько.21 июля после установки нового мотора и ремонта самолета они вылетели на Берлин. Местные власти всюду относились заботливо к японцам и помогали им продолжать полет по СССР.</w:t>
      </w:r>
    </w:p>
    <w:p w14:paraId="0C88FD63" w14:textId="45910CE8" w:rsidR="009F158C" w:rsidRPr="005E779E" w:rsidRDefault="009F158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/«Известия ЦИК СССР</w:t>
      </w:r>
      <w:r w:rsidR="0026014F"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rPr>
        <w:t xml:space="preserve"> за июнь-июль 1931; ВВФ,</w:t>
      </w:r>
      <w:r w:rsidR="0026014F" w:rsidRPr="005E779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 xml:space="preserve">1931 </w:t>
      </w:r>
      <w:r w:rsidR="0026014F"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rPr>
        <w:t xml:space="preserve"> 9/</w:t>
      </w:r>
      <w:r w:rsidR="0026014F" w:rsidRPr="005E779E">
        <w:rPr>
          <w:rFonts w:ascii="Times New Roman" w:hAnsi="Times New Roman"/>
          <w:color w:val="000000" w:themeColor="text1"/>
          <w:sz w:val="16"/>
          <w:szCs w:val="16"/>
        </w:rPr>
        <w:t xml:space="preserve"> (23370).</w:t>
      </w:r>
    </w:p>
    <w:p w14:paraId="7E6D871E" w14:textId="77777777" w:rsidR="009F158C" w:rsidRPr="005E779E" w:rsidRDefault="009F158C" w:rsidP="000B7A6C">
      <w:pPr>
        <w:spacing w:after="0" w:line="240" w:lineRule="auto"/>
        <w:jc w:val="both"/>
        <w:rPr>
          <w:rFonts w:ascii="Times New Roman" w:hAnsi="Times New Roman"/>
          <w:color w:val="000000" w:themeColor="text1"/>
          <w:sz w:val="16"/>
          <w:szCs w:val="16"/>
        </w:rPr>
      </w:pPr>
    </w:p>
    <w:p w14:paraId="17DD24B5" w14:textId="77777777" w:rsidR="00BE256A" w:rsidRPr="005E779E" w:rsidRDefault="00BE256A"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19D5FB77" w14:textId="77777777" w:rsidR="00BE256A" w:rsidRPr="005E779E" w:rsidRDefault="00BE256A"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A0D1959" w14:textId="77777777" w:rsidR="008C3B80" w:rsidRPr="005E779E" w:rsidRDefault="008C3B8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июня 1931 был создан первый воздухо-десантный отряд (ПДО), который включал мотомехчасть, тяжелую бомбардировочную эскадрилью и корпусной авиаотряд и насчитывал 33 самолета и около 300 человек только различных авиаспециалистов (21402).</w:t>
      </w:r>
    </w:p>
    <w:p w14:paraId="039230B8" w14:textId="77777777" w:rsidR="008C3B80" w:rsidRPr="005E779E" w:rsidRDefault="008C3B80" w:rsidP="000B7A6C">
      <w:pPr>
        <w:spacing w:after="0" w:line="240" w:lineRule="auto"/>
        <w:jc w:val="both"/>
        <w:rPr>
          <w:rFonts w:ascii="Times New Roman" w:hAnsi="Times New Roman"/>
          <w:color w:val="000000" w:themeColor="text1"/>
          <w:sz w:val="16"/>
          <w:szCs w:val="16"/>
        </w:rPr>
      </w:pPr>
    </w:p>
    <w:p w14:paraId="411CB130" w14:textId="77777777" w:rsidR="00BE256A" w:rsidRPr="005E779E" w:rsidRDefault="00BE25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1 июня 1931</w:t>
      </w:r>
    </w:p>
    <w:p w14:paraId="04C657AE" w14:textId="77777777" w:rsidR="00BE256A" w:rsidRPr="005E779E" w:rsidRDefault="00BE25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Школы Осоавиахима - шевствующие Части ВВС </w:t>
      </w:r>
    </w:p>
    <w:p w14:paraId="481E6E80" w14:textId="77777777" w:rsidR="00BE256A" w:rsidRPr="005E779E" w:rsidRDefault="00BE25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 Летные школы </w:t>
      </w:r>
    </w:p>
    <w:p w14:paraId="5281F87E" w14:textId="77777777" w:rsidR="00BE256A" w:rsidRPr="005E779E" w:rsidRDefault="00BE25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 Пензенская 2-я Военная Школа Летчиков </w:t>
      </w:r>
    </w:p>
    <w:p w14:paraId="5F26EB5D" w14:textId="77777777" w:rsidR="00BE256A" w:rsidRPr="005E779E" w:rsidRDefault="00BE25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 Харьковская 20-я Авиабригада </w:t>
      </w:r>
    </w:p>
    <w:p w14:paraId="732036B5" w14:textId="77777777" w:rsidR="00BE256A" w:rsidRPr="005E779E" w:rsidRDefault="00BE25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 Московская Под непосредственным наблюдением ЦС Осоавиахима </w:t>
      </w:r>
    </w:p>
    <w:p w14:paraId="35DFBB7C" w14:textId="77777777" w:rsidR="00BE256A" w:rsidRPr="005E779E" w:rsidRDefault="00BE25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4. Николаевская Школа Морских Летчиков </w:t>
      </w:r>
    </w:p>
    <w:p w14:paraId="63285617" w14:textId="77777777" w:rsidR="00BE256A" w:rsidRPr="005E779E" w:rsidRDefault="00BE25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5. Ленинградская Военно-Теоретическая Школа Летчиков </w:t>
      </w:r>
    </w:p>
    <w:p w14:paraId="1D7BAC97" w14:textId="77777777" w:rsidR="00BE256A" w:rsidRPr="005E779E" w:rsidRDefault="00BE25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6. Тульская Окружная школа Пилотов МВО </w:t>
      </w:r>
    </w:p>
    <w:p w14:paraId="2C98D67A" w14:textId="77777777" w:rsidR="00BE256A" w:rsidRPr="005E779E" w:rsidRDefault="00BE25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7. Ново-Сибирская 6-й Авиаотряд </w:t>
      </w:r>
    </w:p>
    <w:p w14:paraId="7E68D3F1" w14:textId="77777777" w:rsidR="00BE256A" w:rsidRPr="005E779E" w:rsidRDefault="00BE25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8. Саратовская 7-я Военная Школа Летчиков </w:t>
      </w:r>
    </w:p>
    <w:p w14:paraId="1697CBA6" w14:textId="77777777" w:rsidR="00BE256A" w:rsidRPr="005E779E" w:rsidRDefault="00BE25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9. Самарская 3-я Военная Школа Летчиков и Летчиков - Наблюдателей </w:t>
      </w:r>
    </w:p>
    <w:p w14:paraId="586C65F6" w14:textId="77777777" w:rsidR="00BE256A" w:rsidRPr="005E779E" w:rsidRDefault="00BE25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10. Ростовская н/Дону 13-я Авиабригада </w:t>
      </w:r>
    </w:p>
    <w:p w14:paraId="51907338" w14:textId="77777777" w:rsidR="00BE256A" w:rsidRPr="005E779E" w:rsidRDefault="00BE25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11. Алма-Атинская 16-я Авиабригада </w:t>
      </w:r>
    </w:p>
    <w:p w14:paraId="2DA117EB" w14:textId="77777777" w:rsidR="00BE256A" w:rsidRPr="005E779E" w:rsidRDefault="00BE25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12. Тверская 10-я Авиабригада </w:t>
      </w:r>
    </w:p>
    <w:p w14:paraId="181F4D6B" w14:textId="77777777" w:rsidR="00BE256A" w:rsidRPr="005E779E" w:rsidRDefault="00BE25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13. Бобрики-Богородская 17-я Авиабригада </w:t>
      </w:r>
    </w:p>
    <w:p w14:paraId="03E9BA72" w14:textId="77777777" w:rsidR="00BE256A" w:rsidRPr="005E779E" w:rsidRDefault="00BE25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14. Полтавская 5-я Авиабригада </w:t>
      </w:r>
    </w:p>
    <w:p w14:paraId="38A26036" w14:textId="77777777" w:rsidR="00BE256A" w:rsidRPr="005E779E" w:rsidRDefault="00BE25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15. Херсонская 8-я Военная Школа Пилотов </w:t>
      </w:r>
    </w:p>
    <w:p w14:paraId="4851C551" w14:textId="77777777" w:rsidR="00BE256A" w:rsidRPr="005E779E" w:rsidRDefault="00BE25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16. Сталинская 11-я Военная Школа Пилотов </w:t>
      </w:r>
    </w:p>
    <w:p w14:paraId="040B9C21" w14:textId="77777777" w:rsidR="00BE256A" w:rsidRPr="005E779E" w:rsidRDefault="00BE25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17. Нижегородская УВВС ПРИВО </w:t>
      </w:r>
    </w:p>
    <w:p w14:paraId="4C716073" w14:textId="77777777" w:rsidR="00BE256A" w:rsidRPr="005E779E" w:rsidRDefault="00BE25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18. Витебская 2-я Авиабригада </w:t>
      </w:r>
    </w:p>
    <w:p w14:paraId="348DFA0A" w14:textId="77777777" w:rsidR="00BE256A" w:rsidRPr="005E779E" w:rsidRDefault="00BE25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19. Бакинская 2-я Авиаэскадрилья </w:t>
      </w:r>
    </w:p>
    <w:p w14:paraId="45BE1871" w14:textId="77777777" w:rsidR="00BE256A" w:rsidRPr="005E779E" w:rsidRDefault="00BE25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20. Симферопольская 29-я Авиаэскадрилья </w:t>
      </w:r>
    </w:p>
    <w:p w14:paraId="28BC737B" w14:textId="77777777" w:rsidR="00BE256A" w:rsidRPr="005E779E" w:rsidRDefault="00BE25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21. Хабаровская 18-я Авиабригада </w:t>
      </w:r>
    </w:p>
    <w:p w14:paraId="60A6F3A6" w14:textId="77777777" w:rsidR="00BE256A" w:rsidRPr="005E779E" w:rsidRDefault="00BE25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22. Иркутская 26-я Авиаэскадрилья </w:t>
      </w:r>
    </w:p>
    <w:p w14:paraId="7FDE0975" w14:textId="77777777" w:rsidR="00BE256A" w:rsidRPr="005E779E" w:rsidRDefault="00BE25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23. Таганрогская Военная Школа Морских Летчиков </w:t>
      </w:r>
    </w:p>
    <w:p w14:paraId="041DCBC3" w14:textId="77777777" w:rsidR="00BE256A" w:rsidRPr="005E779E" w:rsidRDefault="00BE25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24. Краснодарская 46-я Авиаэскадрилья </w:t>
      </w:r>
    </w:p>
    <w:p w14:paraId="061EADDE" w14:textId="77777777" w:rsidR="00BE256A" w:rsidRPr="005E779E" w:rsidRDefault="00BE25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25.Воронежская 11-я Авиабригада </w:t>
      </w:r>
    </w:p>
    <w:p w14:paraId="6200CFB3" w14:textId="77777777" w:rsidR="00BE256A" w:rsidRPr="005E779E" w:rsidRDefault="00BE25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26. Тифлисская УВВС ККА </w:t>
      </w:r>
    </w:p>
    <w:p w14:paraId="542CECC1" w14:textId="77777777" w:rsidR="00BE256A" w:rsidRPr="005E779E" w:rsidRDefault="00BE25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27. Свердловская 42-й Авиаотряд Школы Осоавиахима Части ВВС </w:t>
      </w:r>
    </w:p>
    <w:p w14:paraId="5A838313" w14:textId="77777777" w:rsidR="00BE256A" w:rsidRPr="005E779E" w:rsidRDefault="00BE25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28. Рязанская У ВВС МВО </w:t>
      </w:r>
    </w:p>
    <w:p w14:paraId="02485D60" w14:textId="77777777" w:rsidR="00BE256A" w:rsidRPr="005E779E" w:rsidRDefault="00BE25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 xml:space="preserve">29. Ярославская Научно-Испытательный Институт ВВС </w:t>
      </w:r>
    </w:p>
    <w:p w14:paraId="2D32EDD0" w14:textId="77777777" w:rsidR="00BE256A" w:rsidRPr="005E779E" w:rsidRDefault="00BE25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30. Иваново-Вознесенская 3-й Авиаотряд </w:t>
      </w:r>
    </w:p>
    <w:p w14:paraId="15DA186A" w14:textId="77777777" w:rsidR="00BE256A" w:rsidRPr="005E779E" w:rsidRDefault="00BE25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31. Астраханская 7-я Военная Школа Летчиков </w:t>
      </w:r>
    </w:p>
    <w:p w14:paraId="6AE74870" w14:textId="77777777" w:rsidR="00BE256A" w:rsidRPr="005E779E" w:rsidRDefault="00BE25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32. Киевская Окружная Школа Пилотов УВО </w:t>
      </w:r>
    </w:p>
    <w:p w14:paraId="45D2D7CA" w14:textId="77777777" w:rsidR="00BE256A" w:rsidRPr="005E779E" w:rsidRDefault="00BE25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Школы летчиков-планеристов</w:t>
      </w:r>
    </w:p>
    <w:p w14:paraId="44AD37D3" w14:textId="77777777" w:rsidR="00BE256A" w:rsidRPr="005E779E" w:rsidRDefault="00BE25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 Московская Военная Воздушная Академия </w:t>
      </w:r>
    </w:p>
    <w:p w14:paraId="44437284" w14:textId="77777777" w:rsidR="00BE256A" w:rsidRPr="005E779E" w:rsidRDefault="00BE25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Ленинградская Военная Техническая Школа ВВС</w:t>
      </w:r>
    </w:p>
    <w:p w14:paraId="6A8D1C20" w14:textId="77777777" w:rsidR="00BE256A" w:rsidRPr="005E779E" w:rsidRDefault="00BE25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 Симферопольская 29-я Авиаэскадрилья </w:t>
      </w:r>
    </w:p>
    <w:p w14:paraId="427CE03A" w14:textId="77777777" w:rsidR="00BE256A" w:rsidRPr="005E779E" w:rsidRDefault="00BE25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4. Ново-Сибирская 6-й Авиаотряд </w:t>
      </w:r>
    </w:p>
    <w:p w14:paraId="4BB2DA6D" w14:textId="77777777" w:rsidR="00BE256A" w:rsidRPr="005E779E" w:rsidRDefault="00BE25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5. Иркутская 25-й Авиаотряд </w:t>
      </w:r>
    </w:p>
    <w:p w14:paraId="27725AC5" w14:textId="77777777" w:rsidR="00BE256A" w:rsidRPr="005E779E" w:rsidRDefault="00BE25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6. Рузаевская 26-й Авиаотряд </w:t>
      </w:r>
    </w:p>
    <w:p w14:paraId="691102DE" w14:textId="77777777" w:rsidR="00BE256A" w:rsidRPr="005E779E" w:rsidRDefault="00BE25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7. Киевская 5-я Авиабригада </w:t>
      </w:r>
    </w:p>
    <w:p w14:paraId="4CA7ED8B" w14:textId="77777777" w:rsidR="00BE256A" w:rsidRPr="005E779E" w:rsidRDefault="00BE25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8. Свердловская 3-я Военно-Техническая Школа ВВС </w:t>
      </w:r>
    </w:p>
    <w:p w14:paraId="6150C0BD" w14:textId="77777777" w:rsidR="00BE256A" w:rsidRPr="005E779E" w:rsidRDefault="00BE25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9. Севастопольская 1-я Военная Школа Пилотов </w:t>
      </w:r>
    </w:p>
    <w:p w14:paraId="71FF0B4B" w14:textId="77777777" w:rsidR="00BE256A" w:rsidRPr="005E779E" w:rsidRDefault="00BE25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10. Саратовская Объединенная Школа Летчиков и Авиатехников </w:t>
      </w:r>
    </w:p>
    <w:p w14:paraId="60612704" w14:textId="77777777" w:rsidR="00BE256A" w:rsidRPr="005E779E" w:rsidRDefault="00BE25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11. Вяземская Окружная школа Пилотов БВО </w:t>
      </w:r>
    </w:p>
    <w:p w14:paraId="0A22BE84" w14:textId="77777777" w:rsidR="00BE256A" w:rsidRPr="005E779E" w:rsidRDefault="00BE25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12. Владимирская 10-я Авиабригада </w:t>
      </w:r>
    </w:p>
    <w:p w14:paraId="71F37D4E" w14:textId="77777777" w:rsidR="00BE256A" w:rsidRPr="005E779E" w:rsidRDefault="00BE25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Самарская (станция) 3-я Военная школа Летчиков и Летчиков-Наблюдателей (19566).</w:t>
      </w:r>
    </w:p>
    <w:p w14:paraId="251B11BF" w14:textId="77777777" w:rsidR="00BE256A" w:rsidRPr="005E779E" w:rsidRDefault="00BE256A" w:rsidP="000B7A6C">
      <w:pPr>
        <w:spacing w:after="0" w:line="240" w:lineRule="auto"/>
        <w:jc w:val="both"/>
        <w:rPr>
          <w:rFonts w:ascii="Times New Roman" w:hAnsi="Times New Roman"/>
          <w:color w:val="000000" w:themeColor="text1"/>
          <w:sz w:val="16"/>
          <w:szCs w:val="16"/>
        </w:rPr>
      </w:pPr>
    </w:p>
    <w:p w14:paraId="61DD5636" w14:textId="77777777" w:rsidR="008C3B80" w:rsidRPr="005E779E" w:rsidRDefault="008C3B80"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03412DA9" w14:textId="77777777" w:rsidR="008C3B80" w:rsidRPr="005E779E" w:rsidRDefault="008C3B80" w:rsidP="000B7A6C">
      <w:pPr>
        <w:autoSpaceDE w:val="0"/>
        <w:autoSpaceDN w:val="0"/>
        <w:adjustRightInd w:val="0"/>
        <w:spacing w:after="0" w:line="240" w:lineRule="auto"/>
        <w:jc w:val="both"/>
        <w:rPr>
          <w:rFonts w:ascii="Times New Roman" w:hAnsi="Times New Roman"/>
          <w:color w:val="000000" w:themeColor="text1"/>
          <w:sz w:val="16"/>
          <w:szCs w:val="16"/>
        </w:rPr>
      </w:pPr>
    </w:p>
    <w:p w14:paraId="3CF56E1B" w14:textId="77777777" w:rsidR="008C3B80" w:rsidRPr="005E779E" w:rsidRDefault="008C3B8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июня 1931 вышел на экраны первый советский звуковой фильм «Путевка в жизнь» (21166).</w:t>
      </w:r>
    </w:p>
    <w:p w14:paraId="2E8DCFF6" w14:textId="77777777" w:rsidR="008C3B80" w:rsidRPr="005E779E" w:rsidRDefault="008C3B80" w:rsidP="000B7A6C">
      <w:pPr>
        <w:spacing w:after="0" w:line="240" w:lineRule="auto"/>
        <w:jc w:val="both"/>
        <w:rPr>
          <w:rFonts w:ascii="Times New Roman" w:hAnsi="Times New Roman"/>
          <w:color w:val="000000" w:themeColor="text1"/>
          <w:sz w:val="16"/>
          <w:szCs w:val="16"/>
        </w:rPr>
      </w:pPr>
    </w:p>
    <w:p w14:paraId="6491ACA8" w14:textId="77777777" w:rsidR="008C3B80" w:rsidRPr="005E779E" w:rsidRDefault="008C3B80"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439994A1" w14:textId="77777777" w:rsidR="008C3B80" w:rsidRPr="005E779E" w:rsidRDefault="008C3B80"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21AE537" w14:textId="77777777" w:rsidR="008C3B80" w:rsidRPr="005E779E" w:rsidRDefault="008C3B8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июня 1931 года — первый полёт учебно-тренировочного самолёта Praga E-39/BH-39. /Чехословакия/.</w:t>
      </w:r>
    </w:p>
    <w:p w14:paraId="1CD83D22" w14:textId="77777777" w:rsidR="008C3B80" w:rsidRPr="005E779E" w:rsidRDefault="008C3B8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1930 году завод ČKD-Praga, известный прежде всего своими автомобилями и грузовиками, занялся производством самолётов. Авиационный отдел возглавили инженеры Павел Бенес и Мирослав Хажн, до этого работавшие в компании Avia. Их первым проектом стал самолёт для базовой лётной подготовки.</w:t>
      </w:r>
    </w:p>
    <w:p w14:paraId="2EAE0623" w14:textId="77777777" w:rsidR="008C3B80" w:rsidRPr="005E779E" w:rsidRDefault="008C3B8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E-39 представлял собой классический биплан с неубирающимся шасси и радиальным двигателем Walter NZ-120. Силовой каркас был сварен из труб, фюзеляж обшит фанерой, а консоли крыла обтянуты полотном. Мог развивать скорость до 160 км/ч. Подобные самолёты были во всех авиационных странах — У-2 (СССР), Avro Tutor (Британия), Heinkel He 72 Kadett (Германия) и т.д.</w:t>
      </w:r>
    </w:p>
    <w:p w14:paraId="652E3CD0" w14:textId="77777777" w:rsidR="008C3B80" w:rsidRPr="005E779E" w:rsidRDefault="008C3B8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 выпустили 139 единиц Praga E-39. Стояли на вооружении ВВС Чехословакии, а после оккупации страны Германией — в учебных частях Люфтваффе и Словацких воздушных силах (22300).</w:t>
      </w:r>
    </w:p>
    <w:p w14:paraId="39DFD812" w14:textId="77777777" w:rsidR="008C3B80" w:rsidRPr="005E779E" w:rsidRDefault="008C3B80" w:rsidP="000B7A6C">
      <w:pPr>
        <w:spacing w:after="0" w:line="240" w:lineRule="auto"/>
        <w:jc w:val="both"/>
        <w:rPr>
          <w:rFonts w:ascii="Times New Roman" w:hAnsi="Times New Roman"/>
          <w:color w:val="000000" w:themeColor="text1"/>
          <w:sz w:val="16"/>
          <w:szCs w:val="16"/>
        </w:rPr>
      </w:pPr>
    </w:p>
    <w:p w14:paraId="1A84A255" w14:textId="77777777" w:rsidR="001A7FA6"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6D545777" w14:textId="77777777" w:rsidR="001A7FA6" w:rsidRPr="005E779E" w:rsidRDefault="001A7FA6"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7AC6019" w14:textId="77777777" w:rsidR="001A7FA6" w:rsidRPr="005E779E" w:rsidRDefault="001A7FA6"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2 июня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Постановление СНК СССР № 103с о мобготовности железнодорожного транспорта (ГА РФ. Ф. Р?8418. Оп. 28. Д. 14а. Л. 19?38) (12415).</w:t>
      </w:r>
    </w:p>
    <w:p w14:paraId="0AEF8045" w14:textId="77777777" w:rsidR="001A7FA6" w:rsidRPr="005E779E" w:rsidRDefault="001A7FA6"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Постановление СНК СССР № 104с о стратегическом шоссейно-дорожном строительстве на 1931 г. (ГА РФ. Ф. Р?8418. Оп. 28. Д. 14а. Л. 39?45) (12415).</w:t>
      </w:r>
    </w:p>
    <w:p w14:paraId="21187ABC" w14:textId="77777777" w:rsidR="001A7FA6" w:rsidRPr="005E779E" w:rsidRDefault="001A7FA6" w:rsidP="000B7A6C">
      <w:pPr>
        <w:spacing w:after="0" w:line="240" w:lineRule="auto"/>
        <w:jc w:val="both"/>
        <w:rPr>
          <w:rFonts w:ascii="Times New Roman" w:hAnsi="Times New Roman"/>
          <w:color w:val="000000" w:themeColor="text1"/>
          <w:sz w:val="16"/>
          <w:szCs w:val="16"/>
          <w:u w:color="002060"/>
        </w:rPr>
      </w:pPr>
    </w:p>
    <w:p w14:paraId="43294375" w14:textId="77777777" w:rsidR="00847BA0" w:rsidRPr="005E779E" w:rsidRDefault="00847BA0"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210DAC15" w14:textId="77777777" w:rsidR="00847BA0" w:rsidRPr="005E779E" w:rsidRDefault="00847BA0"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48F6D89" w14:textId="77777777" w:rsidR="00847BA0" w:rsidRPr="005E779E" w:rsidRDefault="00847BA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июня 1931 г. для активизации деятельности Осоавиахима в деле расширения подготовки авиакадров был издан приказ Начальника ВВС РККА за № 149/69, в котором говорилось, что в развитие приказа по ВВС от 1930 г. № 93, направленного на улучшение работы Гражданских Летных Школ Осоавиахима, требуется:</w:t>
      </w:r>
    </w:p>
    <w:p w14:paraId="2D69D452" w14:textId="77777777" w:rsidR="00847BA0" w:rsidRPr="005E779E" w:rsidRDefault="00847BA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 Начальникам ВВС Округов осуществлять общее руководство содействием и инспектированием Школ Осоавиахима, расположенных в Округе. </w:t>
      </w:r>
    </w:p>
    <w:p w14:paraId="5003266E" w14:textId="77777777" w:rsidR="00847BA0" w:rsidRPr="005E779E" w:rsidRDefault="00847BA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 Плановое инспектирование Школ Осоавиахима производить не реже одного раза в год. </w:t>
      </w:r>
    </w:p>
    <w:p w14:paraId="23E61F3B" w14:textId="77777777" w:rsidR="00847BA0" w:rsidRPr="005E779E" w:rsidRDefault="00847BA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 О результатах инспектирования командирам строевых частей и Начальникам Школ ВВС доносить Начальникам ВВС Округов и в копии, во 2-е Управление УВВС РККА и Заведующему Авиационным Отделом ЦС Осоавиахима. </w:t>
      </w:r>
    </w:p>
    <w:p w14:paraId="4E48E908" w14:textId="77777777" w:rsidR="00847BA0" w:rsidRPr="005E779E" w:rsidRDefault="00847BA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Школы Осоавиахима для содействия им в их работе и для инспектирования распределить между строевыми частями и Школами ВВС» (19566).</w:t>
      </w:r>
    </w:p>
    <w:p w14:paraId="5E20C680" w14:textId="77777777" w:rsidR="00847BA0" w:rsidRPr="005E779E" w:rsidRDefault="00847BA0" w:rsidP="000B7A6C">
      <w:pPr>
        <w:spacing w:after="0" w:line="240" w:lineRule="auto"/>
        <w:jc w:val="both"/>
        <w:rPr>
          <w:rFonts w:ascii="Times New Roman" w:hAnsi="Times New Roman"/>
          <w:color w:val="000000" w:themeColor="text1"/>
          <w:sz w:val="16"/>
          <w:szCs w:val="16"/>
        </w:rPr>
      </w:pPr>
    </w:p>
    <w:p w14:paraId="299F9C38" w14:textId="77777777" w:rsidR="00F645C2" w:rsidRPr="00142305" w:rsidRDefault="00F645C2" w:rsidP="00F645C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 июня 1931 г. был издан приказ Начальника ВВС РККА за № 149/69, в котором говорилось, что в развитие приказа по ВВС от 1930 г. за № 93, направленного на улучшение работы Гражданских Летных Школ Осоавиахима, требуется:</w:t>
      </w:r>
    </w:p>
    <w:p w14:paraId="6B38D773" w14:textId="77777777" w:rsidR="00F645C2" w:rsidRPr="00142305" w:rsidRDefault="00F645C2" w:rsidP="00F645C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Начальникам ВВС Округов осуществлять общее руководство содействием и инспектированием Школ Осоавиахима, расположенных в Округе.</w:t>
      </w:r>
    </w:p>
    <w:p w14:paraId="7EAE3F13" w14:textId="77777777" w:rsidR="00F645C2" w:rsidRPr="00142305" w:rsidRDefault="00F645C2" w:rsidP="00F645C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 Плановое инспектирование Школ Осоавиахима производить не реже одного раза в год.</w:t>
      </w:r>
    </w:p>
    <w:p w14:paraId="7DB6B61B" w14:textId="77777777" w:rsidR="00F645C2" w:rsidRPr="00142305" w:rsidRDefault="00F645C2" w:rsidP="00F645C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3.0 результатах инспектирования командирам строевых частей и Начальникам Школ ВВС доносить Начальникам ВВС Округов и в копии, во 2-е Управление УВВС РККА и Заведующему Авиационным Отделом ЦС Осоавиахима.</w:t>
      </w:r>
    </w:p>
    <w:p w14:paraId="657533E6" w14:textId="77777777" w:rsidR="00F645C2" w:rsidRPr="00142305" w:rsidRDefault="00F645C2" w:rsidP="00F645C2">
      <w:pPr>
        <w:widowControl w:val="0"/>
        <w:tabs>
          <w:tab w:val="left" w:pos="738"/>
        </w:tabs>
        <w:spacing w:after="0" w:line="240" w:lineRule="auto"/>
        <w:jc w:val="both"/>
        <w:rPr>
          <w:rFonts w:ascii="Times New Roman" w:hAnsi="Times New Roman"/>
          <w:color w:val="0070C0"/>
          <w:sz w:val="16"/>
          <w:szCs w:val="16"/>
        </w:rPr>
      </w:pPr>
      <w:bookmarkStart w:id="39" w:name="bookmark438"/>
      <w:bookmarkEnd w:id="39"/>
      <w:r w:rsidRPr="00142305">
        <w:rPr>
          <w:rFonts w:ascii="Times New Roman" w:hAnsi="Times New Roman"/>
          <w:color w:val="0070C0"/>
          <w:sz w:val="16"/>
          <w:szCs w:val="16"/>
        </w:rPr>
        <w:t>4. Школы Осоавиахима для содействия им в их работе и для инспектирования распределить между строевыми частями и Школами ВВС следующим образом:</w:t>
      </w:r>
    </w:p>
    <w:tbl>
      <w:tblPr>
        <w:tblOverlap w:val="never"/>
        <w:tblW w:w="0" w:type="auto"/>
        <w:tblLayout w:type="fixed"/>
        <w:tblCellMar>
          <w:left w:w="10" w:type="dxa"/>
          <w:right w:w="10" w:type="dxa"/>
        </w:tblCellMar>
        <w:tblLook w:val="04A0" w:firstRow="1" w:lastRow="0" w:firstColumn="1" w:lastColumn="0" w:noHBand="0" w:noVBand="1"/>
      </w:tblPr>
      <w:tblGrid>
        <w:gridCol w:w="15"/>
        <w:gridCol w:w="2368"/>
        <w:gridCol w:w="15"/>
        <w:gridCol w:w="3974"/>
        <w:gridCol w:w="18"/>
      </w:tblGrid>
      <w:tr w:rsidR="00F645C2" w:rsidRPr="00142305" w14:paraId="40622A51" w14:textId="77777777" w:rsidTr="00F645C2">
        <w:trPr>
          <w:gridAfter w:val="1"/>
          <w:wAfter w:w="15" w:type="dxa"/>
          <w:trHeight w:hRule="exact" w:val="187"/>
        </w:trPr>
        <w:tc>
          <w:tcPr>
            <w:tcW w:w="2383" w:type="dxa"/>
            <w:gridSpan w:val="2"/>
            <w:tcBorders>
              <w:top w:val="single" w:sz="4" w:space="0" w:color="auto"/>
              <w:left w:val="single" w:sz="4" w:space="0" w:color="auto"/>
            </w:tcBorders>
            <w:shd w:val="clear" w:color="auto" w:fill="FFFFFF"/>
            <w:vAlign w:val="bottom"/>
          </w:tcPr>
          <w:p w14:paraId="5C54F5C4"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Школы Осоавиахима</w:t>
            </w:r>
          </w:p>
        </w:tc>
        <w:tc>
          <w:tcPr>
            <w:tcW w:w="3989" w:type="dxa"/>
            <w:gridSpan w:val="2"/>
            <w:tcBorders>
              <w:top w:val="single" w:sz="4" w:space="0" w:color="auto"/>
              <w:right w:val="single" w:sz="4" w:space="0" w:color="auto"/>
            </w:tcBorders>
            <w:shd w:val="clear" w:color="auto" w:fill="FFFFFF"/>
            <w:vAlign w:val="bottom"/>
          </w:tcPr>
          <w:p w14:paraId="426539AB" w14:textId="77777777" w:rsidR="00F645C2" w:rsidRPr="00142305" w:rsidRDefault="00F645C2" w:rsidP="00DC550A">
            <w:pPr>
              <w:pStyle w:val="affe"/>
              <w:ind w:left="1840"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Части ВВС</w:t>
            </w:r>
          </w:p>
        </w:tc>
      </w:tr>
      <w:tr w:rsidR="00F645C2" w:rsidRPr="00142305" w14:paraId="3D0EE9D5" w14:textId="77777777" w:rsidTr="00F645C2">
        <w:trPr>
          <w:gridAfter w:val="1"/>
          <w:wAfter w:w="15" w:type="dxa"/>
          <w:trHeight w:hRule="exact" w:val="187"/>
        </w:trPr>
        <w:tc>
          <w:tcPr>
            <w:tcW w:w="2383" w:type="dxa"/>
            <w:gridSpan w:val="2"/>
            <w:tcBorders>
              <w:top w:val="single" w:sz="4" w:space="0" w:color="auto"/>
              <w:left w:val="single" w:sz="4" w:space="0" w:color="auto"/>
            </w:tcBorders>
            <w:shd w:val="clear" w:color="auto" w:fill="FFFFFF"/>
          </w:tcPr>
          <w:p w14:paraId="10FE2D0F" w14:textId="77777777" w:rsidR="00F645C2" w:rsidRPr="00142305" w:rsidRDefault="00F645C2" w:rsidP="00DC550A">
            <w:pPr>
              <w:spacing w:after="0" w:line="240" w:lineRule="auto"/>
              <w:jc w:val="both"/>
              <w:rPr>
                <w:rFonts w:ascii="Times New Roman" w:hAnsi="Times New Roman"/>
                <w:color w:val="0070C0"/>
                <w:sz w:val="16"/>
                <w:szCs w:val="16"/>
              </w:rPr>
            </w:pPr>
          </w:p>
        </w:tc>
        <w:tc>
          <w:tcPr>
            <w:tcW w:w="3989" w:type="dxa"/>
            <w:gridSpan w:val="2"/>
            <w:tcBorders>
              <w:top w:val="single" w:sz="4" w:space="0" w:color="auto"/>
              <w:right w:val="single" w:sz="4" w:space="0" w:color="auto"/>
            </w:tcBorders>
            <w:shd w:val="clear" w:color="auto" w:fill="FFFFFF"/>
            <w:vAlign w:val="bottom"/>
          </w:tcPr>
          <w:p w14:paraId="021364CE"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А. Летные школы</w:t>
            </w:r>
          </w:p>
        </w:tc>
      </w:tr>
      <w:tr w:rsidR="00F645C2" w:rsidRPr="00142305" w14:paraId="5DCB6CFD" w14:textId="77777777" w:rsidTr="00F645C2">
        <w:trPr>
          <w:gridAfter w:val="1"/>
          <w:wAfter w:w="15" w:type="dxa"/>
          <w:trHeight w:hRule="exact" w:val="187"/>
        </w:trPr>
        <w:tc>
          <w:tcPr>
            <w:tcW w:w="2383" w:type="dxa"/>
            <w:gridSpan w:val="2"/>
            <w:tcBorders>
              <w:top w:val="single" w:sz="4" w:space="0" w:color="auto"/>
              <w:left w:val="single" w:sz="4" w:space="0" w:color="auto"/>
            </w:tcBorders>
            <w:shd w:val="clear" w:color="auto" w:fill="FFFFFF"/>
            <w:vAlign w:val="bottom"/>
          </w:tcPr>
          <w:p w14:paraId="002D76AA"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Пензенская</w:t>
            </w:r>
          </w:p>
        </w:tc>
        <w:tc>
          <w:tcPr>
            <w:tcW w:w="3989" w:type="dxa"/>
            <w:gridSpan w:val="2"/>
            <w:tcBorders>
              <w:top w:val="single" w:sz="4" w:space="0" w:color="auto"/>
              <w:left w:val="single" w:sz="4" w:space="0" w:color="auto"/>
              <w:right w:val="single" w:sz="4" w:space="0" w:color="auto"/>
            </w:tcBorders>
            <w:shd w:val="clear" w:color="auto" w:fill="FFFFFF"/>
            <w:vAlign w:val="bottom"/>
          </w:tcPr>
          <w:p w14:paraId="6B2DF98C"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2-я Военная Школа Летчиков</w:t>
            </w:r>
          </w:p>
        </w:tc>
      </w:tr>
      <w:tr w:rsidR="00F645C2" w:rsidRPr="00142305" w14:paraId="65797E9B" w14:textId="77777777" w:rsidTr="00F645C2">
        <w:trPr>
          <w:gridAfter w:val="1"/>
          <w:wAfter w:w="15" w:type="dxa"/>
          <w:trHeight w:hRule="exact" w:val="187"/>
        </w:trPr>
        <w:tc>
          <w:tcPr>
            <w:tcW w:w="2383" w:type="dxa"/>
            <w:gridSpan w:val="2"/>
            <w:tcBorders>
              <w:top w:val="single" w:sz="4" w:space="0" w:color="auto"/>
              <w:left w:val="single" w:sz="4" w:space="0" w:color="auto"/>
            </w:tcBorders>
            <w:shd w:val="clear" w:color="auto" w:fill="FFFFFF"/>
            <w:vAlign w:val="bottom"/>
          </w:tcPr>
          <w:p w14:paraId="60211B2C"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 Харьковская</w:t>
            </w:r>
          </w:p>
        </w:tc>
        <w:tc>
          <w:tcPr>
            <w:tcW w:w="3989" w:type="dxa"/>
            <w:gridSpan w:val="2"/>
            <w:tcBorders>
              <w:top w:val="single" w:sz="4" w:space="0" w:color="auto"/>
              <w:left w:val="single" w:sz="4" w:space="0" w:color="auto"/>
              <w:right w:val="single" w:sz="4" w:space="0" w:color="auto"/>
            </w:tcBorders>
            <w:shd w:val="clear" w:color="auto" w:fill="FFFFFF"/>
            <w:vAlign w:val="bottom"/>
          </w:tcPr>
          <w:p w14:paraId="711C4B16"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20-я Авиабригада</w:t>
            </w:r>
          </w:p>
        </w:tc>
      </w:tr>
      <w:tr w:rsidR="00F645C2" w:rsidRPr="00142305" w14:paraId="1CB3CB68" w14:textId="77777777" w:rsidTr="00F645C2">
        <w:trPr>
          <w:gridAfter w:val="1"/>
          <w:wAfter w:w="15" w:type="dxa"/>
          <w:trHeight w:hRule="exact" w:val="184"/>
        </w:trPr>
        <w:tc>
          <w:tcPr>
            <w:tcW w:w="2383" w:type="dxa"/>
            <w:gridSpan w:val="2"/>
            <w:tcBorders>
              <w:top w:val="single" w:sz="4" w:space="0" w:color="auto"/>
              <w:left w:val="single" w:sz="4" w:space="0" w:color="auto"/>
            </w:tcBorders>
            <w:shd w:val="clear" w:color="auto" w:fill="FFFFFF"/>
            <w:vAlign w:val="bottom"/>
          </w:tcPr>
          <w:p w14:paraId="00FAE4A4"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 Московская</w:t>
            </w:r>
          </w:p>
        </w:tc>
        <w:tc>
          <w:tcPr>
            <w:tcW w:w="3989" w:type="dxa"/>
            <w:gridSpan w:val="2"/>
            <w:tcBorders>
              <w:top w:val="single" w:sz="4" w:space="0" w:color="auto"/>
              <w:left w:val="single" w:sz="4" w:space="0" w:color="auto"/>
              <w:right w:val="single" w:sz="4" w:space="0" w:color="auto"/>
            </w:tcBorders>
            <w:shd w:val="clear" w:color="auto" w:fill="FFFFFF"/>
            <w:vAlign w:val="bottom"/>
          </w:tcPr>
          <w:p w14:paraId="3422235F"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Под непосредственным наблюдением ЦС Осоавиахима</w:t>
            </w:r>
          </w:p>
        </w:tc>
      </w:tr>
      <w:tr w:rsidR="00F645C2" w:rsidRPr="00142305" w14:paraId="20C4E758" w14:textId="77777777" w:rsidTr="00F645C2">
        <w:trPr>
          <w:gridAfter w:val="1"/>
          <w:wAfter w:w="15" w:type="dxa"/>
          <w:trHeight w:hRule="exact" w:val="187"/>
        </w:trPr>
        <w:tc>
          <w:tcPr>
            <w:tcW w:w="2383" w:type="dxa"/>
            <w:gridSpan w:val="2"/>
            <w:tcBorders>
              <w:top w:val="single" w:sz="4" w:space="0" w:color="auto"/>
              <w:left w:val="single" w:sz="4" w:space="0" w:color="auto"/>
            </w:tcBorders>
            <w:shd w:val="clear" w:color="auto" w:fill="FFFFFF"/>
            <w:vAlign w:val="bottom"/>
          </w:tcPr>
          <w:p w14:paraId="388F163B"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 Николаевская</w:t>
            </w:r>
          </w:p>
        </w:tc>
        <w:tc>
          <w:tcPr>
            <w:tcW w:w="3989" w:type="dxa"/>
            <w:gridSpan w:val="2"/>
            <w:tcBorders>
              <w:top w:val="single" w:sz="4" w:space="0" w:color="auto"/>
              <w:left w:val="single" w:sz="4" w:space="0" w:color="auto"/>
              <w:right w:val="single" w:sz="4" w:space="0" w:color="auto"/>
            </w:tcBorders>
            <w:shd w:val="clear" w:color="auto" w:fill="FFFFFF"/>
            <w:vAlign w:val="bottom"/>
          </w:tcPr>
          <w:p w14:paraId="6454B587"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Школа Морских Летчиков</w:t>
            </w:r>
          </w:p>
        </w:tc>
      </w:tr>
      <w:tr w:rsidR="00F645C2" w:rsidRPr="00142305" w14:paraId="22D8F843" w14:textId="77777777" w:rsidTr="00F645C2">
        <w:trPr>
          <w:gridAfter w:val="1"/>
          <w:wAfter w:w="15" w:type="dxa"/>
          <w:trHeight w:hRule="exact" w:val="187"/>
        </w:trPr>
        <w:tc>
          <w:tcPr>
            <w:tcW w:w="2383" w:type="dxa"/>
            <w:gridSpan w:val="2"/>
            <w:tcBorders>
              <w:top w:val="single" w:sz="4" w:space="0" w:color="auto"/>
              <w:left w:val="single" w:sz="4" w:space="0" w:color="auto"/>
            </w:tcBorders>
            <w:shd w:val="clear" w:color="auto" w:fill="FFFFFF"/>
            <w:vAlign w:val="bottom"/>
          </w:tcPr>
          <w:p w14:paraId="3CEBD2A4"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 Ленинградская</w:t>
            </w:r>
          </w:p>
        </w:tc>
        <w:tc>
          <w:tcPr>
            <w:tcW w:w="3989" w:type="dxa"/>
            <w:gridSpan w:val="2"/>
            <w:tcBorders>
              <w:top w:val="single" w:sz="4" w:space="0" w:color="auto"/>
              <w:left w:val="single" w:sz="4" w:space="0" w:color="auto"/>
              <w:right w:val="single" w:sz="4" w:space="0" w:color="auto"/>
            </w:tcBorders>
            <w:shd w:val="clear" w:color="auto" w:fill="FFFFFF"/>
            <w:vAlign w:val="bottom"/>
          </w:tcPr>
          <w:p w14:paraId="3DFCB5D8"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Военно-Теоретическая Школа Летчиков</w:t>
            </w:r>
          </w:p>
        </w:tc>
      </w:tr>
      <w:tr w:rsidR="00F645C2" w:rsidRPr="00142305" w14:paraId="09206F62" w14:textId="77777777" w:rsidTr="00F645C2">
        <w:trPr>
          <w:gridAfter w:val="1"/>
          <w:wAfter w:w="15" w:type="dxa"/>
          <w:trHeight w:hRule="exact" w:val="187"/>
        </w:trPr>
        <w:tc>
          <w:tcPr>
            <w:tcW w:w="2383" w:type="dxa"/>
            <w:gridSpan w:val="2"/>
            <w:tcBorders>
              <w:top w:val="single" w:sz="4" w:space="0" w:color="auto"/>
              <w:left w:val="single" w:sz="4" w:space="0" w:color="auto"/>
            </w:tcBorders>
            <w:shd w:val="clear" w:color="auto" w:fill="FFFFFF"/>
            <w:vAlign w:val="bottom"/>
          </w:tcPr>
          <w:p w14:paraId="78B8DF2E"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6. Тульская</w:t>
            </w:r>
          </w:p>
        </w:tc>
        <w:tc>
          <w:tcPr>
            <w:tcW w:w="3989" w:type="dxa"/>
            <w:gridSpan w:val="2"/>
            <w:tcBorders>
              <w:top w:val="single" w:sz="4" w:space="0" w:color="auto"/>
              <w:left w:val="single" w:sz="4" w:space="0" w:color="auto"/>
              <w:right w:val="single" w:sz="4" w:space="0" w:color="auto"/>
            </w:tcBorders>
            <w:shd w:val="clear" w:color="auto" w:fill="FFFFFF"/>
            <w:vAlign w:val="bottom"/>
          </w:tcPr>
          <w:p w14:paraId="6756D46E"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Окружная школа Пилотов МВО</w:t>
            </w:r>
          </w:p>
        </w:tc>
      </w:tr>
      <w:tr w:rsidR="00F645C2" w:rsidRPr="00142305" w14:paraId="1FC85F01" w14:textId="77777777" w:rsidTr="00F645C2">
        <w:trPr>
          <w:gridAfter w:val="1"/>
          <w:wAfter w:w="15" w:type="dxa"/>
          <w:trHeight w:hRule="exact" w:val="184"/>
        </w:trPr>
        <w:tc>
          <w:tcPr>
            <w:tcW w:w="2383" w:type="dxa"/>
            <w:gridSpan w:val="2"/>
            <w:tcBorders>
              <w:top w:val="single" w:sz="4" w:space="0" w:color="auto"/>
              <w:left w:val="single" w:sz="4" w:space="0" w:color="auto"/>
            </w:tcBorders>
            <w:shd w:val="clear" w:color="auto" w:fill="FFFFFF"/>
            <w:vAlign w:val="bottom"/>
          </w:tcPr>
          <w:p w14:paraId="3C5DB9E6"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 Ново-Сибирская</w:t>
            </w:r>
          </w:p>
        </w:tc>
        <w:tc>
          <w:tcPr>
            <w:tcW w:w="3989" w:type="dxa"/>
            <w:gridSpan w:val="2"/>
            <w:tcBorders>
              <w:top w:val="single" w:sz="4" w:space="0" w:color="auto"/>
              <w:left w:val="single" w:sz="4" w:space="0" w:color="auto"/>
              <w:right w:val="single" w:sz="4" w:space="0" w:color="auto"/>
            </w:tcBorders>
            <w:shd w:val="clear" w:color="auto" w:fill="FFFFFF"/>
            <w:vAlign w:val="bottom"/>
          </w:tcPr>
          <w:p w14:paraId="72B18857"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6-й Авиаотряд</w:t>
            </w:r>
          </w:p>
        </w:tc>
      </w:tr>
      <w:tr w:rsidR="00F645C2" w:rsidRPr="00142305" w14:paraId="53CB89BF" w14:textId="77777777" w:rsidTr="00F645C2">
        <w:trPr>
          <w:gridAfter w:val="1"/>
          <w:wAfter w:w="15" w:type="dxa"/>
          <w:trHeight w:hRule="exact" w:val="187"/>
        </w:trPr>
        <w:tc>
          <w:tcPr>
            <w:tcW w:w="2383" w:type="dxa"/>
            <w:gridSpan w:val="2"/>
            <w:tcBorders>
              <w:top w:val="single" w:sz="4" w:space="0" w:color="auto"/>
              <w:left w:val="single" w:sz="4" w:space="0" w:color="auto"/>
            </w:tcBorders>
            <w:shd w:val="clear" w:color="auto" w:fill="FFFFFF"/>
            <w:vAlign w:val="bottom"/>
          </w:tcPr>
          <w:p w14:paraId="64F16454"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8. Саратовская</w:t>
            </w:r>
          </w:p>
        </w:tc>
        <w:tc>
          <w:tcPr>
            <w:tcW w:w="3989" w:type="dxa"/>
            <w:gridSpan w:val="2"/>
            <w:tcBorders>
              <w:top w:val="single" w:sz="4" w:space="0" w:color="auto"/>
              <w:left w:val="single" w:sz="4" w:space="0" w:color="auto"/>
              <w:right w:val="single" w:sz="4" w:space="0" w:color="auto"/>
            </w:tcBorders>
            <w:shd w:val="clear" w:color="auto" w:fill="FFFFFF"/>
            <w:vAlign w:val="bottom"/>
          </w:tcPr>
          <w:p w14:paraId="1BA2E8D9"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7-я Военная Школа Летчиков</w:t>
            </w:r>
          </w:p>
        </w:tc>
      </w:tr>
      <w:tr w:rsidR="00F645C2" w:rsidRPr="00142305" w14:paraId="0A10EEB2" w14:textId="77777777" w:rsidTr="00F645C2">
        <w:trPr>
          <w:gridAfter w:val="1"/>
          <w:wAfter w:w="15" w:type="dxa"/>
          <w:trHeight w:hRule="exact" w:val="187"/>
        </w:trPr>
        <w:tc>
          <w:tcPr>
            <w:tcW w:w="2383" w:type="dxa"/>
            <w:gridSpan w:val="2"/>
            <w:tcBorders>
              <w:top w:val="single" w:sz="4" w:space="0" w:color="auto"/>
              <w:left w:val="single" w:sz="4" w:space="0" w:color="auto"/>
            </w:tcBorders>
            <w:shd w:val="clear" w:color="auto" w:fill="FFFFFF"/>
            <w:vAlign w:val="bottom"/>
          </w:tcPr>
          <w:p w14:paraId="42705814"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9. Самарская</w:t>
            </w:r>
          </w:p>
        </w:tc>
        <w:tc>
          <w:tcPr>
            <w:tcW w:w="3989" w:type="dxa"/>
            <w:gridSpan w:val="2"/>
            <w:tcBorders>
              <w:top w:val="single" w:sz="4" w:space="0" w:color="auto"/>
              <w:left w:val="single" w:sz="4" w:space="0" w:color="auto"/>
              <w:right w:val="single" w:sz="4" w:space="0" w:color="auto"/>
            </w:tcBorders>
            <w:shd w:val="clear" w:color="auto" w:fill="FFFFFF"/>
            <w:vAlign w:val="bottom"/>
          </w:tcPr>
          <w:p w14:paraId="6AEFBC1F"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3-я Военная Школа Летчиков и Летчиков - Наблюдателей</w:t>
            </w:r>
          </w:p>
        </w:tc>
      </w:tr>
      <w:tr w:rsidR="00F645C2" w:rsidRPr="00142305" w14:paraId="40C12734" w14:textId="77777777" w:rsidTr="00F645C2">
        <w:trPr>
          <w:gridAfter w:val="1"/>
          <w:wAfter w:w="15" w:type="dxa"/>
          <w:trHeight w:hRule="exact" w:val="184"/>
        </w:trPr>
        <w:tc>
          <w:tcPr>
            <w:tcW w:w="2383" w:type="dxa"/>
            <w:gridSpan w:val="2"/>
            <w:tcBorders>
              <w:top w:val="single" w:sz="4" w:space="0" w:color="auto"/>
              <w:left w:val="single" w:sz="4" w:space="0" w:color="auto"/>
            </w:tcBorders>
            <w:shd w:val="clear" w:color="auto" w:fill="FFFFFF"/>
            <w:vAlign w:val="bottom"/>
          </w:tcPr>
          <w:p w14:paraId="46A1D8D6"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 Ростовская н/Дону</w:t>
            </w:r>
          </w:p>
        </w:tc>
        <w:tc>
          <w:tcPr>
            <w:tcW w:w="3989" w:type="dxa"/>
            <w:gridSpan w:val="2"/>
            <w:tcBorders>
              <w:top w:val="single" w:sz="4" w:space="0" w:color="auto"/>
              <w:left w:val="single" w:sz="4" w:space="0" w:color="auto"/>
              <w:right w:val="single" w:sz="4" w:space="0" w:color="auto"/>
            </w:tcBorders>
            <w:shd w:val="clear" w:color="auto" w:fill="FFFFFF"/>
            <w:vAlign w:val="bottom"/>
          </w:tcPr>
          <w:p w14:paraId="4A087018"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13-я Авиабригада</w:t>
            </w:r>
          </w:p>
        </w:tc>
      </w:tr>
      <w:tr w:rsidR="00F645C2" w:rsidRPr="00142305" w14:paraId="794B0CF6" w14:textId="77777777" w:rsidTr="00F645C2">
        <w:trPr>
          <w:gridAfter w:val="1"/>
          <w:wAfter w:w="15" w:type="dxa"/>
          <w:trHeight w:hRule="exact" w:val="187"/>
        </w:trPr>
        <w:tc>
          <w:tcPr>
            <w:tcW w:w="2383" w:type="dxa"/>
            <w:gridSpan w:val="2"/>
            <w:tcBorders>
              <w:top w:val="single" w:sz="4" w:space="0" w:color="auto"/>
              <w:left w:val="single" w:sz="4" w:space="0" w:color="auto"/>
            </w:tcBorders>
            <w:shd w:val="clear" w:color="auto" w:fill="FFFFFF"/>
            <w:vAlign w:val="bottom"/>
          </w:tcPr>
          <w:p w14:paraId="4D09D19A"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11. Алма-Атинская</w:t>
            </w:r>
          </w:p>
        </w:tc>
        <w:tc>
          <w:tcPr>
            <w:tcW w:w="3989" w:type="dxa"/>
            <w:gridSpan w:val="2"/>
            <w:tcBorders>
              <w:top w:val="single" w:sz="4" w:space="0" w:color="auto"/>
              <w:left w:val="single" w:sz="4" w:space="0" w:color="auto"/>
              <w:right w:val="single" w:sz="4" w:space="0" w:color="auto"/>
            </w:tcBorders>
            <w:shd w:val="clear" w:color="auto" w:fill="FFFFFF"/>
            <w:vAlign w:val="bottom"/>
          </w:tcPr>
          <w:p w14:paraId="0CBAE760"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16-я Авиабригада</w:t>
            </w:r>
          </w:p>
        </w:tc>
      </w:tr>
      <w:tr w:rsidR="00F645C2" w:rsidRPr="00142305" w14:paraId="221801A9" w14:textId="77777777" w:rsidTr="00F645C2">
        <w:trPr>
          <w:gridAfter w:val="1"/>
          <w:wAfter w:w="15" w:type="dxa"/>
          <w:trHeight w:hRule="exact" w:val="187"/>
        </w:trPr>
        <w:tc>
          <w:tcPr>
            <w:tcW w:w="2383" w:type="dxa"/>
            <w:gridSpan w:val="2"/>
            <w:tcBorders>
              <w:top w:val="single" w:sz="4" w:space="0" w:color="auto"/>
              <w:left w:val="single" w:sz="4" w:space="0" w:color="auto"/>
            </w:tcBorders>
            <w:shd w:val="clear" w:color="auto" w:fill="FFFFFF"/>
            <w:vAlign w:val="bottom"/>
          </w:tcPr>
          <w:p w14:paraId="4F3D3752"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12. Тверская</w:t>
            </w:r>
          </w:p>
        </w:tc>
        <w:tc>
          <w:tcPr>
            <w:tcW w:w="3989" w:type="dxa"/>
            <w:gridSpan w:val="2"/>
            <w:tcBorders>
              <w:top w:val="single" w:sz="4" w:space="0" w:color="auto"/>
              <w:left w:val="single" w:sz="4" w:space="0" w:color="auto"/>
              <w:right w:val="single" w:sz="4" w:space="0" w:color="auto"/>
            </w:tcBorders>
            <w:shd w:val="clear" w:color="auto" w:fill="FFFFFF"/>
            <w:vAlign w:val="bottom"/>
          </w:tcPr>
          <w:p w14:paraId="7A802BAA"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10-я Авиабригада</w:t>
            </w:r>
          </w:p>
        </w:tc>
      </w:tr>
      <w:tr w:rsidR="00F645C2" w:rsidRPr="00142305" w14:paraId="6D327958" w14:textId="77777777" w:rsidTr="00F645C2">
        <w:trPr>
          <w:gridAfter w:val="1"/>
          <w:wAfter w:w="15" w:type="dxa"/>
          <w:trHeight w:hRule="exact" w:val="187"/>
        </w:trPr>
        <w:tc>
          <w:tcPr>
            <w:tcW w:w="2383" w:type="dxa"/>
            <w:gridSpan w:val="2"/>
            <w:tcBorders>
              <w:top w:val="single" w:sz="4" w:space="0" w:color="auto"/>
              <w:left w:val="single" w:sz="4" w:space="0" w:color="auto"/>
            </w:tcBorders>
            <w:shd w:val="clear" w:color="auto" w:fill="FFFFFF"/>
            <w:vAlign w:val="bottom"/>
          </w:tcPr>
          <w:p w14:paraId="0E046F43"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13. Бобрики-Богородская</w:t>
            </w:r>
          </w:p>
        </w:tc>
        <w:tc>
          <w:tcPr>
            <w:tcW w:w="3989" w:type="dxa"/>
            <w:gridSpan w:val="2"/>
            <w:tcBorders>
              <w:top w:val="single" w:sz="4" w:space="0" w:color="auto"/>
              <w:left w:val="single" w:sz="4" w:space="0" w:color="auto"/>
              <w:right w:val="single" w:sz="4" w:space="0" w:color="auto"/>
            </w:tcBorders>
            <w:shd w:val="clear" w:color="auto" w:fill="FFFFFF"/>
            <w:vAlign w:val="bottom"/>
          </w:tcPr>
          <w:p w14:paraId="5B2D2006"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17-я Авиабригада</w:t>
            </w:r>
          </w:p>
        </w:tc>
      </w:tr>
      <w:tr w:rsidR="00F645C2" w:rsidRPr="00142305" w14:paraId="0E0DE83C" w14:textId="77777777" w:rsidTr="00F645C2">
        <w:trPr>
          <w:gridAfter w:val="1"/>
          <w:wAfter w:w="15" w:type="dxa"/>
          <w:trHeight w:hRule="exact" w:val="184"/>
        </w:trPr>
        <w:tc>
          <w:tcPr>
            <w:tcW w:w="2383" w:type="dxa"/>
            <w:gridSpan w:val="2"/>
            <w:tcBorders>
              <w:top w:val="single" w:sz="4" w:space="0" w:color="auto"/>
              <w:left w:val="single" w:sz="4" w:space="0" w:color="auto"/>
            </w:tcBorders>
            <w:shd w:val="clear" w:color="auto" w:fill="FFFFFF"/>
            <w:vAlign w:val="bottom"/>
          </w:tcPr>
          <w:p w14:paraId="446605C7"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14. Полтавская</w:t>
            </w:r>
          </w:p>
        </w:tc>
        <w:tc>
          <w:tcPr>
            <w:tcW w:w="3989" w:type="dxa"/>
            <w:gridSpan w:val="2"/>
            <w:tcBorders>
              <w:top w:val="single" w:sz="4" w:space="0" w:color="auto"/>
              <w:left w:val="single" w:sz="4" w:space="0" w:color="auto"/>
              <w:right w:val="single" w:sz="4" w:space="0" w:color="auto"/>
            </w:tcBorders>
            <w:shd w:val="clear" w:color="auto" w:fill="FFFFFF"/>
            <w:vAlign w:val="bottom"/>
          </w:tcPr>
          <w:p w14:paraId="18F870D9"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5-я Авиабригада</w:t>
            </w:r>
          </w:p>
        </w:tc>
      </w:tr>
      <w:tr w:rsidR="00F645C2" w:rsidRPr="00142305" w14:paraId="23C12CF1" w14:textId="77777777" w:rsidTr="00F645C2">
        <w:trPr>
          <w:gridBefore w:val="1"/>
          <w:wBefore w:w="15" w:type="dxa"/>
          <w:trHeight w:hRule="exact" w:val="187"/>
        </w:trPr>
        <w:tc>
          <w:tcPr>
            <w:tcW w:w="2383" w:type="dxa"/>
            <w:gridSpan w:val="2"/>
            <w:tcBorders>
              <w:top w:val="single" w:sz="4" w:space="0" w:color="auto"/>
              <w:left w:val="single" w:sz="4" w:space="0" w:color="auto"/>
            </w:tcBorders>
            <w:shd w:val="clear" w:color="auto" w:fill="FFFFFF"/>
            <w:vAlign w:val="bottom"/>
          </w:tcPr>
          <w:p w14:paraId="46931080"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15. Херсонская</w:t>
            </w:r>
          </w:p>
        </w:tc>
        <w:tc>
          <w:tcPr>
            <w:tcW w:w="3989" w:type="dxa"/>
            <w:gridSpan w:val="2"/>
            <w:tcBorders>
              <w:top w:val="single" w:sz="4" w:space="0" w:color="auto"/>
              <w:left w:val="single" w:sz="4" w:space="0" w:color="auto"/>
              <w:right w:val="single" w:sz="4" w:space="0" w:color="auto"/>
            </w:tcBorders>
            <w:shd w:val="clear" w:color="auto" w:fill="FFFFFF"/>
            <w:vAlign w:val="bottom"/>
          </w:tcPr>
          <w:p w14:paraId="12ECDC03"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8-я Военная Школа Пилотов</w:t>
            </w:r>
          </w:p>
        </w:tc>
      </w:tr>
      <w:tr w:rsidR="00F645C2" w:rsidRPr="00142305" w14:paraId="01E527CF" w14:textId="77777777" w:rsidTr="00F645C2">
        <w:trPr>
          <w:gridBefore w:val="1"/>
          <w:wBefore w:w="15" w:type="dxa"/>
          <w:trHeight w:hRule="exact" w:val="187"/>
        </w:trPr>
        <w:tc>
          <w:tcPr>
            <w:tcW w:w="2383" w:type="dxa"/>
            <w:gridSpan w:val="2"/>
            <w:tcBorders>
              <w:top w:val="single" w:sz="4" w:space="0" w:color="auto"/>
              <w:left w:val="single" w:sz="4" w:space="0" w:color="auto"/>
            </w:tcBorders>
            <w:shd w:val="clear" w:color="auto" w:fill="FFFFFF"/>
            <w:vAlign w:val="bottom"/>
          </w:tcPr>
          <w:p w14:paraId="44E5E8D3"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16. Сталинская</w:t>
            </w:r>
          </w:p>
        </w:tc>
        <w:tc>
          <w:tcPr>
            <w:tcW w:w="3989" w:type="dxa"/>
            <w:gridSpan w:val="2"/>
            <w:tcBorders>
              <w:top w:val="single" w:sz="4" w:space="0" w:color="auto"/>
              <w:left w:val="single" w:sz="4" w:space="0" w:color="auto"/>
              <w:right w:val="single" w:sz="4" w:space="0" w:color="auto"/>
            </w:tcBorders>
            <w:shd w:val="clear" w:color="auto" w:fill="FFFFFF"/>
            <w:vAlign w:val="bottom"/>
          </w:tcPr>
          <w:p w14:paraId="4321C73C"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11 -я Военная Школа Пилотов</w:t>
            </w:r>
          </w:p>
        </w:tc>
      </w:tr>
      <w:tr w:rsidR="00F645C2" w:rsidRPr="00142305" w14:paraId="76A0F5C6" w14:textId="77777777" w:rsidTr="00F645C2">
        <w:trPr>
          <w:gridBefore w:val="1"/>
          <w:wBefore w:w="15" w:type="dxa"/>
          <w:trHeight w:hRule="exact" w:val="187"/>
        </w:trPr>
        <w:tc>
          <w:tcPr>
            <w:tcW w:w="2383" w:type="dxa"/>
            <w:gridSpan w:val="2"/>
            <w:tcBorders>
              <w:top w:val="single" w:sz="4" w:space="0" w:color="auto"/>
              <w:left w:val="single" w:sz="4" w:space="0" w:color="auto"/>
            </w:tcBorders>
            <w:shd w:val="clear" w:color="auto" w:fill="FFFFFF"/>
            <w:vAlign w:val="bottom"/>
          </w:tcPr>
          <w:p w14:paraId="4F34EFF6"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17. Нижегородская</w:t>
            </w:r>
          </w:p>
        </w:tc>
        <w:tc>
          <w:tcPr>
            <w:tcW w:w="3989" w:type="dxa"/>
            <w:gridSpan w:val="2"/>
            <w:tcBorders>
              <w:top w:val="single" w:sz="4" w:space="0" w:color="auto"/>
              <w:left w:val="single" w:sz="4" w:space="0" w:color="auto"/>
              <w:right w:val="single" w:sz="4" w:space="0" w:color="auto"/>
            </w:tcBorders>
            <w:shd w:val="clear" w:color="auto" w:fill="FFFFFF"/>
            <w:vAlign w:val="bottom"/>
          </w:tcPr>
          <w:p w14:paraId="3CE6A050"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УВВС ПРИВО</w:t>
            </w:r>
          </w:p>
        </w:tc>
      </w:tr>
      <w:tr w:rsidR="00F645C2" w:rsidRPr="00142305" w14:paraId="0B25B2F2" w14:textId="77777777" w:rsidTr="00F645C2">
        <w:trPr>
          <w:gridBefore w:val="1"/>
          <w:wBefore w:w="15" w:type="dxa"/>
          <w:trHeight w:hRule="exact" w:val="184"/>
        </w:trPr>
        <w:tc>
          <w:tcPr>
            <w:tcW w:w="2383" w:type="dxa"/>
            <w:gridSpan w:val="2"/>
            <w:tcBorders>
              <w:top w:val="single" w:sz="4" w:space="0" w:color="auto"/>
              <w:left w:val="single" w:sz="4" w:space="0" w:color="auto"/>
            </w:tcBorders>
            <w:shd w:val="clear" w:color="auto" w:fill="FFFFFF"/>
            <w:vAlign w:val="bottom"/>
          </w:tcPr>
          <w:p w14:paraId="1801AF88"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18. Витебская</w:t>
            </w:r>
          </w:p>
        </w:tc>
        <w:tc>
          <w:tcPr>
            <w:tcW w:w="3989" w:type="dxa"/>
            <w:gridSpan w:val="2"/>
            <w:tcBorders>
              <w:top w:val="single" w:sz="4" w:space="0" w:color="auto"/>
              <w:left w:val="single" w:sz="4" w:space="0" w:color="auto"/>
              <w:right w:val="single" w:sz="4" w:space="0" w:color="auto"/>
            </w:tcBorders>
            <w:shd w:val="clear" w:color="auto" w:fill="FFFFFF"/>
            <w:vAlign w:val="bottom"/>
          </w:tcPr>
          <w:p w14:paraId="13B7BEF7"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2-я Авиабригада</w:t>
            </w:r>
          </w:p>
        </w:tc>
      </w:tr>
      <w:tr w:rsidR="00F645C2" w:rsidRPr="00142305" w14:paraId="349369DB" w14:textId="77777777" w:rsidTr="00F645C2">
        <w:trPr>
          <w:gridBefore w:val="1"/>
          <w:wBefore w:w="15" w:type="dxa"/>
          <w:trHeight w:hRule="exact" w:val="187"/>
        </w:trPr>
        <w:tc>
          <w:tcPr>
            <w:tcW w:w="2383" w:type="dxa"/>
            <w:gridSpan w:val="2"/>
            <w:tcBorders>
              <w:top w:val="single" w:sz="4" w:space="0" w:color="auto"/>
              <w:left w:val="single" w:sz="4" w:space="0" w:color="auto"/>
            </w:tcBorders>
            <w:shd w:val="clear" w:color="auto" w:fill="FFFFFF"/>
            <w:vAlign w:val="bottom"/>
          </w:tcPr>
          <w:p w14:paraId="404E9DA5"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19. Бакинская</w:t>
            </w:r>
          </w:p>
        </w:tc>
        <w:tc>
          <w:tcPr>
            <w:tcW w:w="3989" w:type="dxa"/>
            <w:gridSpan w:val="2"/>
            <w:tcBorders>
              <w:top w:val="single" w:sz="4" w:space="0" w:color="auto"/>
              <w:left w:val="single" w:sz="4" w:space="0" w:color="auto"/>
              <w:right w:val="single" w:sz="4" w:space="0" w:color="auto"/>
            </w:tcBorders>
            <w:shd w:val="clear" w:color="auto" w:fill="FFFFFF"/>
            <w:vAlign w:val="bottom"/>
          </w:tcPr>
          <w:p w14:paraId="23029178"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2-я Авиаэскадрилья</w:t>
            </w:r>
          </w:p>
        </w:tc>
      </w:tr>
      <w:tr w:rsidR="00F645C2" w:rsidRPr="00142305" w14:paraId="16ABBD43" w14:textId="77777777" w:rsidTr="00F645C2">
        <w:trPr>
          <w:gridBefore w:val="1"/>
          <w:wBefore w:w="15" w:type="dxa"/>
          <w:trHeight w:hRule="exact" w:val="187"/>
        </w:trPr>
        <w:tc>
          <w:tcPr>
            <w:tcW w:w="2383" w:type="dxa"/>
            <w:gridSpan w:val="2"/>
            <w:tcBorders>
              <w:top w:val="single" w:sz="4" w:space="0" w:color="auto"/>
              <w:left w:val="single" w:sz="4" w:space="0" w:color="auto"/>
            </w:tcBorders>
            <w:shd w:val="clear" w:color="auto" w:fill="FFFFFF"/>
            <w:vAlign w:val="bottom"/>
          </w:tcPr>
          <w:p w14:paraId="1650D86B"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20. Симферопольская</w:t>
            </w:r>
          </w:p>
        </w:tc>
        <w:tc>
          <w:tcPr>
            <w:tcW w:w="3989" w:type="dxa"/>
            <w:gridSpan w:val="2"/>
            <w:tcBorders>
              <w:top w:val="single" w:sz="4" w:space="0" w:color="auto"/>
              <w:left w:val="single" w:sz="4" w:space="0" w:color="auto"/>
              <w:right w:val="single" w:sz="4" w:space="0" w:color="auto"/>
            </w:tcBorders>
            <w:shd w:val="clear" w:color="auto" w:fill="FFFFFF"/>
            <w:vAlign w:val="bottom"/>
          </w:tcPr>
          <w:p w14:paraId="368B3CE4"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29-я Авиаэскадрилья</w:t>
            </w:r>
          </w:p>
        </w:tc>
      </w:tr>
      <w:tr w:rsidR="00F645C2" w:rsidRPr="00142305" w14:paraId="2D49C26D" w14:textId="77777777" w:rsidTr="00F645C2">
        <w:trPr>
          <w:gridBefore w:val="1"/>
          <w:wBefore w:w="15" w:type="dxa"/>
          <w:trHeight w:hRule="exact" w:val="187"/>
        </w:trPr>
        <w:tc>
          <w:tcPr>
            <w:tcW w:w="2383" w:type="dxa"/>
            <w:gridSpan w:val="2"/>
            <w:tcBorders>
              <w:top w:val="single" w:sz="4" w:space="0" w:color="auto"/>
              <w:left w:val="single" w:sz="4" w:space="0" w:color="auto"/>
            </w:tcBorders>
            <w:shd w:val="clear" w:color="auto" w:fill="FFFFFF"/>
            <w:vAlign w:val="bottom"/>
          </w:tcPr>
          <w:p w14:paraId="5588834A"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21. Хабаровская</w:t>
            </w:r>
          </w:p>
        </w:tc>
        <w:tc>
          <w:tcPr>
            <w:tcW w:w="3989" w:type="dxa"/>
            <w:gridSpan w:val="2"/>
            <w:tcBorders>
              <w:top w:val="single" w:sz="4" w:space="0" w:color="auto"/>
              <w:left w:val="single" w:sz="4" w:space="0" w:color="auto"/>
              <w:right w:val="single" w:sz="4" w:space="0" w:color="auto"/>
            </w:tcBorders>
            <w:shd w:val="clear" w:color="auto" w:fill="FFFFFF"/>
            <w:vAlign w:val="bottom"/>
          </w:tcPr>
          <w:p w14:paraId="71218073"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18-я Авиабригада</w:t>
            </w:r>
          </w:p>
        </w:tc>
      </w:tr>
      <w:tr w:rsidR="00F645C2" w:rsidRPr="00142305" w14:paraId="11445AD6" w14:textId="77777777" w:rsidTr="00F645C2">
        <w:trPr>
          <w:gridBefore w:val="1"/>
          <w:wBefore w:w="15" w:type="dxa"/>
          <w:trHeight w:hRule="exact" w:val="187"/>
        </w:trPr>
        <w:tc>
          <w:tcPr>
            <w:tcW w:w="2383" w:type="dxa"/>
            <w:gridSpan w:val="2"/>
            <w:tcBorders>
              <w:top w:val="single" w:sz="4" w:space="0" w:color="auto"/>
              <w:left w:val="single" w:sz="4" w:space="0" w:color="auto"/>
            </w:tcBorders>
            <w:shd w:val="clear" w:color="auto" w:fill="FFFFFF"/>
            <w:vAlign w:val="bottom"/>
          </w:tcPr>
          <w:p w14:paraId="01B492D0"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22. Иркутская</w:t>
            </w:r>
          </w:p>
        </w:tc>
        <w:tc>
          <w:tcPr>
            <w:tcW w:w="3989" w:type="dxa"/>
            <w:gridSpan w:val="2"/>
            <w:tcBorders>
              <w:top w:val="single" w:sz="4" w:space="0" w:color="auto"/>
              <w:left w:val="single" w:sz="4" w:space="0" w:color="auto"/>
              <w:right w:val="single" w:sz="4" w:space="0" w:color="auto"/>
            </w:tcBorders>
            <w:shd w:val="clear" w:color="auto" w:fill="FFFFFF"/>
            <w:vAlign w:val="bottom"/>
          </w:tcPr>
          <w:p w14:paraId="0770E66B"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26-я Авиаэскадрилья</w:t>
            </w:r>
          </w:p>
        </w:tc>
      </w:tr>
      <w:tr w:rsidR="00F645C2" w:rsidRPr="00142305" w14:paraId="0030AF22" w14:textId="77777777" w:rsidTr="00F645C2">
        <w:trPr>
          <w:gridBefore w:val="1"/>
          <w:wBefore w:w="15" w:type="dxa"/>
          <w:trHeight w:hRule="exact" w:val="187"/>
        </w:trPr>
        <w:tc>
          <w:tcPr>
            <w:tcW w:w="2383" w:type="dxa"/>
            <w:gridSpan w:val="2"/>
            <w:tcBorders>
              <w:top w:val="single" w:sz="4" w:space="0" w:color="auto"/>
              <w:left w:val="single" w:sz="4" w:space="0" w:color="auto"/>
            </w:tcBorders>
            <w:shd w:val="clear" w:color="auto" w:fill="FFFFFF"/>
            <w:vAlign w:val="bottom"/>
          </w:tcPr>
          <w:p w14:paraId="065D848D"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23. Таганрогская</w:t>
            </w:r>
          </w:p>
        </w:tc>
        <w:tc>
          <w:tcPr>
            <w:tcW w:w="3989" w:type="dxa"/>
            <w:gridSpan w:val="2"/>
            <w:tcBorders>
              <w:top w:val="single" w:sz="4" w:space="0" w:color="auto"/>
              <w:left w:val="single" w:sz="4" w:space="0" w:color="auto"/>
              <w:right w:val="single" w:sz="4" w:space="0" w:color="auto"/>
            </w:tcBorders>
            <w:shd w:val="clear" w:color="auto" w:fill="FFFFFF"/>
            <w:vAlign w:val="bottom"/>
          </w:tcPr>
          <w:p w14:paraId="4CB2BE05"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Военная Школа Морских Летчиков</w:t>
            </w:r>
          </w:p>
        </w:tc>
      </w:tr>
      <w:tr w:rsidR="00F645C2" w:rsidRPr="00142305" w14:paraId="7D3F2531" w14:textId="77777777" w:rsidTr="00F645C2">
        <w:trPr>
          <w:gridBefore w:val="1"/>
          <w:wBefore w:w="15" w:type="dxa"/>
          <w:trHeight w:hRule="exact" w:val="187"/>
        </w:trPr>
        <w:tc>
          <w:tcPr>
            <w:tcW w:w="2383" w:type="dxa"/>
            <w:gridSpan w:val="2"/>
            <w:tcBorders>
              <w:top w:val="single" w:sz="4" w:space="0" w:color="auto"/>
              <w:left w:val="single" w:sz="4" w:space="0" w:color="auto"/>
            </w:tcBorders>
            <w:shd w:val="clear" w:color="auto" w:fill="FFFFFF"/>
            <w:vAlign w:val="bottom"/>
          </w:tcPr>
          <w:p w14:paraId="66BB56F5"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24. Краснодарская</w:t>
            </w:r>
          </w:p>
        </w:tc>
        <w:tc>
          <w:tcPr>
            <w:tcW w:w="3989" w:type="dxa"/>
            <w:gridSpan w:val="2"/>
            <w:tcBorders>
              <w:top w:val="single" w:sz="4" w:space="0" w:color="auto"/>
              <w:left w:val="single" w:sz="4" w:space="0" w:color="auto"/>
              <w:right w:val="single" w:sz="4" w:space="0" w:color="auto"/>
            </w:tcBorders>
            <w:shd w:val="clear" w:color="auto" w:fill="FFFFFF"/>
            <w:vAlign w:val="bottom"/>
          </w:tcPr>
          <w:p w14:paraId="3C03EA45"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46-я Авиаэскадрилья</w:t>
            </w:r>
          </w:p>
        </w:tc>
      </w:tr>
      <w:tr w:rsidR="00F645C2" w:rsidRPr="00142305" w14:paraId="21DC04F9" w14:textId="77777777" w:rsidTr="00F645C2">
        <w:trPr>
          <w:gridBefore w:val="1"/>
          <w:wBefore w:w="15" w:type="dxa"/>
          <w:trHeight w:hRule="exact" w:val="187"/>
        </w:trPr>
        <w:tc>
          <w:tcPr>
            <w:tcW w:w="2383" w:type="dxa"/>
            <w:gridSpan w:val="2"/>
            <w:tcBorders>
              <w:top w:val="single" w:sz="4" w:space="0" w:color="auto"/>
              <w:left w:val="single" w:sz="4" w:space="0" w:color="auto"/>
            </w:tcBorders>
            <w:shd w:val="clear" w:color="auto" w:fill="FFFFFF"/>
            <w:vAlign w:val="bottom"/>
          </w:tcPr>
          <w:p w14:paraId="7A82B79E"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25. Воронежская</w:t>
            </w:r>
          </w:p>
        </w:tc>
        <w:tc>
          <w:tcPr>
            <w:tcW w:w="3989" w:type="dxa"/>
            <w:gridSpan w:val="2"/>
            <w:tcBorders>
              <w:top w:val="single" w:sz="4" w:space="0" w:color="auto"/>
              <w:left w:val="single" w:sz="4" w:space="0" w:color="auto"/>
              <w:right w:val="single" w:sz="4" w:space="0" w:color="auto"/>
            </w:tcBorders>
            <w:shd w:val="clear" w:color="auto" w:fill="FFFFFF"/>
            <w:vAlign w:val="bottom"/>
          </w:tcPr>
          <w:p w14:paraId="03CB1B1E"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11 -я Авиабригада</w:t>
            </w:r>
          </w:p>
        </w:tc>
      </w:tr>
      <w:tr w:rsidR="00F645C2" w:rsidRPr="00142305" w14:paraId="20FB4C36" w14:textId="77777777" w:rsidTr="00F645C2">
        <w:trPr>
          <w:gridBefore w:val="1"/>
          <w:wBefore w:w="15" w:type="dxa"/>
          <w:trHeight w:hRule="exact" w:val="184"/>
        </w:trPr>
        <w:tc>
          <w:tcPr>
            <w:tcW w:w="2383" w:type="dxa"/>
            <w:gridSpan w:val="2"/>
            <w:tcBorders>
              <w:top w:val="single" w:sz="4" w:space="0" w:color="auto"/>
              <w:left w:val="single" w:sz="4" w:space="0" w:color="auto"/>
            </w:tcBorders>
            <w:shd w:val="clear" w:color="auto" w:fill="FFFFFF"/>
            <w:vAlign w:val="bottom"/>
          </w:tcPr>
          <w:p w14:paraId="10B78B58"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26. Тифлисская</w:t>
            </w:r>
          </w:p>
        </w:tc>
        <w:tc>
          <w:tcPr>
            <w:tcW w:w="3989" w:type="dxa"/>
            <w:gridSpan w:val="2"/>
            <w:tcBorders>
              <w:top w:val="single" w:sz="4" w:space="0" w:color="auto"/>
              <w:left w:val="single" w:sz="4" w:space="0" w:color="auto"/>
              <w:right w:val="single" w:sz="4" w:space="0" w:color="auto"/>
            </w:tcBorders>
            <w:shd w:val="clear" w:color="auto" w:fill="FFFFFF"/>
            <w:vAlign w:val="bottom"/>
          </w:tcPr>
          <w:p w14:paraId="6C695C00"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УВВС ККА</w:t>
            </w:r>
          </w:p>
        </w:tc>
      </w:tr>
      <w:tr w:rsidR="00F645C2" w:rsidRPr="00142305" w14:paraId="0631320A" w14:textId="77777777" w:rsidTr="00F645C2">
        <w:trPr>
          <w:gridBefore w:val="1"/>
          <w:wBefore w:w="15" w:type="dxa"/>
          <w:trHeight w:hRule="exact" w:val="187"/>
        </w:trPr>
        <w:tc>
          <w:tcPr>
            <w:tcW w:w="2383" w:type="dxa"/>
            <w:gridSpan w:val="2"/>
            <w:tcBorders>
              <w:top w:val="single" w:sz="4" w:space="0" w:color="auto"/>
              <w:left w:val="single" w:sz="4" w:space="0" w:color="auto"/>
            </w:tcBorders>
            <w:shd w:val="clear" w:color="auto" w:fill="FFFFFF"/>
            <w:vAlign w:val="bottom"/>
          </w:tcPr>
          <w:p w14:paraId="63A76FC8"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lastRenderedPageBreak/>
              <w:t>27. Свердловская</w:t>
            </w:r>
          </w:p>
        </w:tc>
        <w:tc>
          <w:tcPr>
            <w:tcW w:w="3989" w:type="dxa"/>
            <w:gridSpan w:val="2"/>
            <w:tcBorders>
              <w:top w:val="single" w:sz="4" w:space="0" w:color="auto"/>
              <w:left w:val="single" w:sz="4" w:space="0" w:color="auto"/>
              <w:right w:val="single" w:sz="4" w:space="0" w:color="auto"/>
            </w:tcBorders>
            <w:shd w:val="clear" w:color="auto" w:fill="FFFFFF"/>
            <w:vAlign w:val="bottom"/>
          </w:tcPr>
          <w:p w14:paraId="29784664"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42-й Авиаотряд</w:t>
            </w:r>
          </w:p>
        </w:tc>
      </w:tr>
      <w:tr w:rsidR="00F645C2" w:rsidRPr="00142305" w14:paraId="07B25760" w14:textId="77777777" w:rsidTr="00F645C2">
        <w:trPr>
          <w:gridBefore w:val="1"/>
          <w:wBefore w:w="15" w:type="dxa"/>
          <w:trHeight w:hRule="exact" w:val="202"/>
        </w:trPr>
        <w:tc>
          <w:tcPr>
            <w:tcW w:w="2383" w:type="dxa"/>
            <w:gridSpan w:val="2"/>
            <w:tcBorders>
              <w:top w:val="single" w:sz="4" w:space="0" w:color="auto"/>
              <w:left w:val="single" w:sz="4" w:space="0" w:color="auto"/>
              <w:bottom w:val="single" w:sz="4" w:space="0" w:color="auto"/>
            </w:tcBorders>
            <w:shd w:val="clear" w:color="auto" w:fill="FFFFFF"/>
          </w:tcPr>
          <w:p w14:paraId="28595697"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28. Рязанская</w:t>
            </w:r>
          </w:p>
        </w:tc>
        <w:tc>
          <w:tcPr>
            <w:tcW w:w="3989" w:type="dxa"/>
            <w:gridSpan w:val="2"/>
            <w:tcBorders>
              <w:top w:val="single" w:sz="4" w:space="0" w:color="auto"/>
              <w:left w:val="single" w:sz="4" w:space="0" w:color="auto"/>
              <w:bottom w:val="single" w:sz="4" w:space="0" w:color="auto"/>
              <w:right w:val="single" w:sz="4" w:space="0" w:color="auto"/>
            </w:tcBorders>
            <w:shd w:val="clear" w:color="auto" w:fill="FFFFFF"/>
          </w:tcPr>
          <w:p w14:paraId="065BB819"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У ВВС МВО</w:t>
            </w:r>
          </w:p>
        </w:tc>
      </w:tr>
      <w:tr w:rsidR="00F645C2" w:rsidRPr="00142305" w14:paraId="22BEFB11" w14:textId="77777777" w:rsidTr="00F645C2">
        <w:trPr>
          <w:trHeight w:hRule="exact" w:val="187"/>
        </w:trPr>
        <w:tc>
          <w:tcPr>
            <w:tcW w:w="2394" w:type="dxa"/>
            <w:gridSpan w:val="3"/>
            <w:tcBorders>
              <w:top w:val="single" w:sz="4" w:space="0" w:color="auto"/>
              <w:left w:val="single" w:sz="4" w:space="0" w:color="auto"/>
            </w:tcBorders>
            <w:shd w:val="clear" w:color="auto" w:fill="FFFFFF"/>
            <w:vAlign w:val="bottom"/>
          </w:tcPr>
          <w:p w14:paraId="5FCEAB81"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29. Ярославская</w:t>
            </w:r>
          </w:p>
        </w:tc>
        <w:tc>
          <w:tcPr>
            <w:tcW w:w="3992" w:type="dxa"/>
            <w:gridSpan w:val="2"/>
            <w:tcBorders>
              <w:top w:val="single" w:sz="4" w:space="0" w:color="auto"/>
              <w:left w:val="single" w:sz="4" w:space="0" w:color="auto"/>
              <w:right w:val="single" w:sz="4" w:space="0" w:color="auto"/>
            </w:tcBorders>
            <w:shd w:val="clear" w:color="auto" w:fill="FFFFFF"/>
            <w:vAlign w:val="bottom"/>
          </w:tcPr>
          <w:p w14:paraId="16966575"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Научно-Испытательный Институт ВВС</w:t>
            </w:r>
          </w:p>
        </w:tc>
      </w:tr>
      <w:tr w:rsidR="00F645C2" w:rsidRPr="00142305" w14:paraId="2FF7DAA0" w14:textId="77777777" w:rsidTr="00F645C2">
        <w:trPr>
          <w:trHeight w:hRule="exact" w:val="187"/>
        </w:trPr>
        <w:tc>
          <w:tcPr>
            <w:tcW w:w="2394" w:type="dxa"/>
            <w:gridSpan w:val="3"/>
            <w:tcBorders>
              <w:top w:val="single" w:sz="4" w:space="0" w:color="auto"/>
              <w:left w:val="single" w:sz="4" w:space="0" w:color="auto"/>
            </w:tcBorders>
            <w:shd w:val="clear" w:color="auto" w:fill="FFFFFF"/>
            <w:vAlign w:val="bottom"/>
          </w:tcPr>
          <w:p w14:paraId="13B2928C"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30. Иваново-Вознесенская</w:t>
            </w:r>
          </w:p>
        </w:tc>
        <w:tc>
          <w:tcPr>
            <w:tcW w:w="3992" w:type="dxa"/>
            <w:gridSpan w:val="2"/>
            <w:tcBorders>
              <w:top w:val="single" w:sz="4" w:space="0" w:color="auto"/>
              <w:left w:val="single" w:sz="4" w:space="0" w:color="auto"/>
              <w:right w:val="single" w:sz="4" w:space="0" w:color="auto"/>
            </w:tcBorders>
            <w:shd w:val="clear" w:color="auto" w:fill="FFFFFF"/>
            <w:vAlign w:val="bottom"/>
          </w:tcPr>
          <w:p w14:paraId="44ACB065"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3-й Авиаотряд</w:t>
            </w:r>
          </w:p>
        </w:tc>
      </w:tr>
      <w:tr w:rsidR="00F645C2" w:rsidRPr="00142305" w14:paraId="36A839CC" w14:textId="77777777" w:rsidTr="00F645C2">
        <w:trPr>
          <w:trHeight w:hRule="exact" w:val="187"/>
        </w:trPr>
        <w:tc>
          <w:tcPr>
            <w:tcW w:w="2394" w:type="dxa"/>
            <w:gridSpan w:val="3"/>
            <w:tcBorders>
              <w:top w:val="single" w:sz="4" w:space="0" w:color="auto"/>
              <w:left w:val="single" w:sz="4" w:space="0" w:color="auto"/>
            </w:tcBorders>
            <w:shd w:val="clear" w:color="auto" w:fill="FFFFFF"/>
            <w:vAlign w:val="bottom"/>
          </w:tcPr>
          <w:p w14:paraId="528AEDFC"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31. Астраханская</w:t>
            </w:r>
          </w:p>
        </w:tc>
        <w:tc>
          <w:tcPr>
            <w:tcW w:w="3992" w:type="dxa"/>
            <w:gridSpan w:val="2"/>
            <w:tcBorders>
              <w:top w:val="single" w:sz="4" w:space="0" w:color="auto"/>
              <w:left w:val="single" w:sz="4" w:space="0" w:color="auto"/>
              <w:right w:val="single" w:sz="4" w:space="0" w:color="auto"/>
            </w:tcBorders>
            <w:shd w:val="clear" w:color="auto" w:fill="FFFFFF"/>
            <w:vAlign w:val="bottom"/>
          </w:tcPr>
          <w:p w14:paraId="36D8CFCA"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7-я Военная Школа Летчиков</w:t>
            </w:r>
          </w:p>
        </w:tc>
      </w:tr>
      <w:tr w:rsidR="00F645C2" w:rsidRPr="00142305" w14:paraId="25803CB0" w14:textId="77777777" w:rsidTr="00F645C2">
        <w:trPr>
          <w:trHeight w:hRule="exact" w:val="187"/>
        </w:trPr>
        <w:tc>
          <w:tcPr>
            <w:tcW w:w="2394" w:type="dxa"/>
            <w:gridSpan w:val="3"/>
            <w:tcBorders>
              <w:top w:val="single" w:sz="4" w:space="0" w:color="auto"/>
              <w:left w:val="single" w:sz="4" w:space="0" w:color="auto"/>
            </w:tcBorders>
            <w:shd w:val="clear" w:color="auto" w:fill="FFFFFF"/>
            <w:vAlign w:val="bottom"/>
          </w:tcPr>
          <w:p w14:paraId="6EBE1089"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32. Киевская</w:t>
            </w:r>
          </w:p>
        </w:tc>
        <w:tc>
          <w:tcPr>
            <w:tcW w:w="3992" w:type="dxa"/>
            <w:gridSpan w:val="2"/>
            <w:tcBorders>
              <w:top w:val="single" w:sz="4" w:space="0" w:color="auto"/>
              <w:left w:val="single" w:sz="4" w:space="0" w:color="auto"/>
              <w:right w:val="single" w:sz="4" w:space="0" w:color="auto"/>
            </w:tcBorders>
            <w:shd w:val="clear" w:color="auto" w:fill="FFFFFF"/>
            <w:vAlign w:val="bottom"/>
          </w:tcPr>
          <w:p w14:paraId="0C8D5846"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Окружная Школа Пилотов УВО</w:t>
            </w:r>
          </w:p>
        </w:tc>
      </w:tr>
      <w:tr w:rsidR="00F645C2" w:rsidRPr="00142305" w14:paraId="2B5D262B" w14:textId="77777777" w:rsidTr="00F645C2">
        <w:trPr>
          <w:trHeight w:hRule="exact" w:val="187"/>
        </w:trPr>
        <w:tc>
          <w:tcPr>
            <w:tcW w:w="6386" w:type="dxa"/>
            <w:gridSpan w:val="5"/>
            <w:tcBorders>
              <w:top w:val="single" w:sz="4" w:space="0" w:color="auto"/>
              <w:left w:val="single" w:sz="4" w:space="0" w:color="auto"/>
              <w:right w:val="single" w:sz="4" w:space="0" w:color="auto"/>
            </w:tcBorders>
            <w:shd w:val="clear" w:color="auto" w:fill="FFFFFF"/>
            <w:vAlign w:val="bottom"/>
          </w:tcPr>
          <w:p w14:paraId="43A4FBD0"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Б. Школы летчиков-планеристов</w:t>
            </w:r>
          </w:p>
        </w:tc>
      </w:tr>
      <w:tr w:rsidR="00F645C2" w:rsidRPr="00142305" w14:paraId="12313317" w14:textId="77777777" w:rsidTr="00F645C2">
        <w:trPr>
          <w:trHeight w:hRule="exact" w:val="187"/>
        </w:trPr>
        <w:tc>
          <w:tcPr>
            <w:tcW w:w="2394" w:type="dxa"/>
            <w:gridSpan w:val="3"/>
            <w:tcBorders>
              <w:top w:val="single" w:sz="4" w:space="0" w:color="auto"/>
              <w:left w:val="single" w:sz="4" w:space="0" w:color="auto"/>
            </w:tcBorders>
            <w:shd w:val="clear" w:color="auto" w:fill="FFFFFF"/>
            <w:vAlign w:val="bottom"/>
          </w:tcPr>
          <w:p w14:paraId="2F8DFDAA"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Московская</w:t>
            </w:r>
          </w:p>
        </w:tc>
        <w:tc>
          <w:tcPr>
            <w:tcW w:w="3992" w:type="dxa"/>
            <w:gridSpan w:val="2"/>
            <w:tcBorders>
              <w:top w:val="single" w:sz="4" w:space="0" w:color="auto"/>
              <w:left w:val="single" w:sz="4" w:space="0" w:color="auto"/>
              <w:right w:val="single" w:sz="4" w:space="0" w:color="auto"/>
            </w:tcBorders>
            <w:shd w:val="clear" w:color="auto" w:fill="FFFFFF"/>
            <w:vAlign w:val="bottom"/>
          </w:tcPr>
          <w:p w14:paraId="75492584"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Военная Воздушная Академия</w:t>
            </w:r>
          </w:p>
        </w:tc>
      </w:tr>
      <w:tr w:rsidR="00F645C2" w:rsidRPr="00142305" w14:paraId="732A0CBC" w14:textId="77777777" w:rsidTr="00F645C2">
        <w:trPr>
          <w:trHeight w:hRule="exact" w:val="184"/>
        </w:trPr>
        <w:tc>
          <w:tcPr>
            <w:tcW w:w="2394" w:type="dxa"/>
            <w:gridSpan w:val="3"/>
            <w:tcBorders>
              <w:top w:val="single" w:sz="4" w:space="0" w:color="auto"/>
              <w:left w:val="single" w:sz="4" w:space="0" w:color="auto"/>
            </w:tcBorders>
            <w:shd w:val="clear" w:color="auto" w:fill="FFFFFF"/>
            <w:vAlign w:val="bottom"/>
          </w:tcPr>
          <w:p w14:paraId="0481AFD5"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 Ленинградская</w:t>
            </w:r>
          </w:p>
        </w:tc>
        <w:tc>
          <w:tcPr>
            <w:tcW w:w="3992" w:type="dxa"/>
            <w:gridSpan w:val="2"/>
            <w:tcBorders>
              <w:top w:val="single" w:sz="4" w:space="0" w:color="auto"/>
              <w:left w:val="single" w:sz="4" w:space="0" w:color="auto"/>
              <w:right w:val="single" w:sz="4" w:space="0" w:color="auto"/>
            </w:tcBorders>
            <w:shd w:val="clear" w:color="auto" w:fill="FFFFFF"/>
            <w:vAlign w:val="bottom"/>
          </w:tcPr>
          <w:p w14:paraId="7E4333E0"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Военная Техническая Школа ВВС</w:t>
            </w:r>
          </w:p>
        </w:tc>
      </w:tr>
      <w:tr w:rsidR="00F645C2" w:rsidRPr="00142305" w14:paraId="105F2038" w14:textId="77777777" w:rsidTr="00F645C2">
        <w:trPr>
          <w:trHeight w:hRule="exact" w:val="187"/>
        </w:trPr>
        <w:tc>
          <w:tcPr>
            <w:tcW w:w="2394" w:type="dxa"/>
            <w:gridSpan w:val="3"/>
            <w:tcBorders>
              <w:top w:val="single" w:sz="4" w:space="0" w:color="auto"/>
              <w:left w:val="single" w:sz="4" w:space="0" w:color="auto"/>
            </w:tcBorders>
            <w:shd w:val="clear" w:color="auto" w:fill="FFFFFF"/>
            <w:vAlign w:val="bottom"/>
          </w:tcPr>
          <w:p w14:paraId="2F378BF2"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 Симферопольская</w:t>
            </w:r>
          </w:p>
        </w:tc>
        <w:tc>
          <w:tcPr>
            <w:tcW w:w="3992" w:type="dxa"/>
            <w:gridSpan w:val="2"/>
            <w:tcBorders>
              <w:top w:val="single" w:sz="4" w:space="0" w:color="auto"/>
              <w:left w:val="single" w:sz="4" w:space="0" w:color="auto"/>
              <w:right w:val="single" w:sz="4" w:space="0" w:color="auto"/>
            </w:tcBorders>
            <w:shd w:val="clear" w:color="auto" w:fill="FFFFFF"/>
            <w:vAlign w:val="bottom"/>
          </w:tcPr>
          <w:p w14:paraId="0100A24D"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29-я Авиаэскадрилья</w:t>
            </w:r>
          </w:p>
        </w:tc>
      </w:tr>
      <w:tr w:rsidR="00F645C2" w:rsidRPr="00142305" w14:paraId="2DBD6CB8" w14:textId="77777777" w:rsidTr="00F645C2">
        <w:trPr>
          <w:trHeight w:hRule="exact" w:val="187"/>
        </w:trPr>
        <w:tc>
          <w:tcPr>
            <w:tcW w:w="2394" w:type="dxa"/>
            <w:gridSpan w:val="3"/>
            <w:tcBorders>
              <w:top w:val="single" w:sz="4" w:space="0" w:color="auto"/>
              <w:left w:val="single" w:sz="4" w:space="0" w:color="auto"/>
            </w:tcBorders>
            <w:shd w:val="clear" w:color="auto" w:fill="FFFFFF"/>
            <w:vAlign w:val="bottom"/>
          </w:tcPr>
          <w:p w14:paraId="2C63B952"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 Ново-Сибирская</w:t>
            </w:r>
          </w:p>
        </w:tc>
        <w:tc>
          <w:tcPr>
            <w:tcW w:w="3992" w:type="dxa"/>
            <w:gridSpan w:val="2"/>
            <w:tcBorders>
              <w:top w:val="single" w:sz="4" w:space="0" w:color="auto"/>
              <w:left w:val="single" w:sz="4" w:space="0" w:color="auto"/>
              <w:right w:val="single" w:sz="4" w:space="0" w:color="auto"/>
            </w:tcBorders>
            <w:shd w:val="clear" w:color="auto" w:fill="FFFFFF"/>
            <w:vAlign w:val="bottom"/>
          </w:tcPr>
          <w:p w14:paraId="08C94DE1"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6-й Авиаотряд</w:t>
            </w:r>
          </w:p>
        </w:tc>
      </w:tr>
      <w:tr w:rsidR="00F645C2" w:rsidRPr="00142305" w14:paraId="14D5B7BB" w14:textId="77777777" w:rsidTr="00F645C2">
        <w:trPr>
          <w:trHeight w:hRule="exact" w:val="187"/>
        </w:trPr>
        <w:tc>
          <w:tcPr>
            <w:tcW w:w="2394" w:type="dxa"/>
            <w:gridSpan w:val="3"/>
            <w:tcBorders>
              <w:top w:val="single" w:sz="4" w:space="0" w:color="auto"/>
              <w:left w:val="single" w:sz="4" w:space="0" w:color="auto"/>
            </w:tcBorders>
            <w:shd w:val="clear" w:color="auto" w:fill="FFFFFF"/>
            <w:vAlign w:val="bottom"/>
          </w:tcPr>
          <w:p w14:paraId="5700A4F9"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 Иркутская</w:t>
            </w:r>
          </w:p>
        </w:tc>
        <w:tc>
          <w:tcPr>
            <w:tcW w:w="3992" w:type="dxa"/>
            <w:gridSpan w:val="2"/>
            <w:tcBorders>
              <w:top w:val="single" w:sz="4" w:space="0" w:color="auto"/>
              <w:left w:val="single" w:sz="4" w:space="0" w:color="auto"/>
              <w:right w:val="single" w:sz="4" w:space="0" w:color="auto"/>
            </w:tcBorders>
            <w:shd w:val="clear" w:color="auto" w:fill="FFFFFF"/>
            <w:vAlign w:val="bottom"/>
          </w:tcPr>
          <w:p w14:paraId="4EC5C9A6"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25-й Авиаотряд</w:t>
            </w:r>
          </w:p>
        </w:tc>
      </w:tr>
      <w:tr w:rsidR="00F645C2" w:rsidRPr="00142305" w14:paraId="3CAADB40" w14:textId="77777777" w:rsidTr="00F645C2">
        <w:trPr>
          <w:trHeight w:hRule="exact" w:val="184"/>
        </w:trPr>
        <w:tc>
          <w:tcPr>
            <w:tcW w:w="2394" w:type="dxa"/>
            <w:gridSpan w:val="3"/>
            <w:tcBorders>
              <w:top w:val="single" w:sz="4" w:space="0" w:color="auto"/>
              <w:left w:val="single" w:sz="4" w:space="0" w:color="auto"/>
            </w:tcBorders>
            <w:shd w:val="clear" w:color="auto" w:fill="FFFFFF"/>
            <w:vAlign w:val="bottom"/>
          </w:tcPr>
          <w:p w14:paraId="65F62CEA"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6. Рузаевская</w:t>
            </w:r>
          </w:p>
        </w:tc>
        <w:tc>
          <w:tcPr>
            <w:tcW w:w="3992" w:type="dxa"/>
            <w:gridSpan w:val="2"/>
            <w:tcBorders>
              <w:top w:val="single" w:sz="4" w:space="0" w:color="auto"/>
              <w:left w:val="single" w:sz="4" w:space="0" w:color="auto"/>
              <w:right w:val="single" w:sz="4" w:space="0" w:color="auto"/>
            </w:tcBorders>
            <w:shd w:val="clear" w:color="auto" w:fill="FFFFFF"/>
            <w:vAlign w:val="bottom"/>
          </w:tcPr>
          <w:p w14:paraId="3025FEC0"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26-й Авиаотряд</w:t>
            </w:r>
          </w:p>
        </w:tc>
      </w:tr>
      <w:tr w:rsidR="00F645C2" w:rsidRPr="00142305" w14:paraId="11337392" w14:textId="77777777" w:rsidTr="00F645C2">
        <w:trPr>
          <w:trHeight w:hRule="exact" w:val="187"/>
        </w:trPr>
        <w:tc>
          <w:tcPr>
            <w:tcW w:w="2394" w:type="dxa"/>
            <w:gridSpan w:val="3"/>
            <w:tcBorders>
              <w:top w:val="single" w:sz="4" w:space="0" w:color="auto"/>
              <w:left w:val="single" w:sz="4" w:space="0" w:color="auto"/>
            </w:tcBorders>
            <w:shd w:val="clear" w:color="auto" w:fill="FFFFFF"/>
            <w:vAlign w:val="bottom"/>
          </w:tcPr>
          <w:p w14:paraId="01A9F561"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 Киевская</w:t>
            </w:r>
          </w:p>
        </w:tc>
        <w:tc>
          <w:tcPr>
            <w:tcW w:w="3992" w:type="dxa"/>
            <w:gridSpan w:val="2"/>
            <w:tcBorders>
              <w:top w:val="single" w:sz="4" w:space="0" w:color="auto"/>
              <w:left w:val="single" w:sz="4" w:space="0" w:color="auto"/>
              <w:right w:val="single" w:sz="4" w:space="0" w:color="auto"/>
            </w:tcBorders>
            <w:shd w:val="clear" w:color="auto" w:fill="FFFFFF"/>
            <w:vAlign w:val="bottom"/>
          </w:tcPr>
          <w:p w14:paraId="70373685"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5-я Авиабригада</w:t>
            </w:r>
          </w:p>
        </w:tc>
      </w:tr>
      <w:tr w:rsidR="00F645C2" w:rsidRPr="00142305" w14:paraId="0BAD41FE" w14:textId="77777777" w:rsidTr="00F645C2">
        <w:trPr>
          <w:trHeight w:hRule="exact" w:val="187"/>
        </w:trPr>
        <w:tc>
          <w:tcPr>
            <w:tcW w:w="2394" w:type="dxa"/>
            <w:gridSpan w:val="3"/>
            <w:tcBorders>
              <w:top w:val="single" w:sz="4" w:space="0" w:color="auto"/>
              <w:left w:val="single" w:sz="4" w:space="0" w:color="auto"/>
            </w:tcBorders>
            <w:shd w:val="clear" w:color="auto" w:fill="FFFFFF"/>
            <w:vAlign w:val="bottom"/>
          </w:tcPr>
          <w:p w14:paraId="7DE57297"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8. Свердловская</w:t>
            </w:r>
          </w:p>
        </w:tc>
        <w:tc>
          <w:tcPr>
            <w:tcW w:w="3992" w:type="dxa"/>
            <w:gridSpan w:val="2"/>
            <w:tcBorders>
              <w:top w:val="single" w:sz="4" w:space="0" w:color="auto"/>
              <w:left w:val="single" w:sz="4" w:space="0" w:color="auto"/>
              <w:right w:val="single" w:sz="4" w:space="0" w:color="auto"/>
            </w:tcBorders>
            <w:shd w:val="clear" w:color="auto" w:fill="FFFFFF"/>
            <w:vAlign w:val="bottom"/>
          </w:tcPr>
          <w:p w14:paraId="666A00CA"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3-я Военно-Техническая Школа ВВС</w:t>
            </w:r>
          </w:p>
        </w:tc>
      </w:tr>
      <w:tr w:rsidR="00F645C2" w:rsidRPr="00142305" w14:paraId="333FBDCC" w14:textId="77777777" w:rsidTr="00F645C2">
        <w:trPr>
          <w:trHeight w:hRule="exact" w:val="187"/>
        </w:trPr>
        <w:tc>
          <w:tcPr>
            <w:tcW w:w="2394" w:type="dxa"/>
            <w:gridSpan w:val="3"/>
            <w:tcBorders>
              <w:top w:val="single" w:sz="4" w:space="0" w:color="auto"/>
              <w:left w:val="single" w:sz="4" w:space="0" w:color="auto"/>
            </w:tcBorders>
            <w:shd w:val="clear" w:color="auto" w:fill="FFFFFF"/>
          </w:tcPr>
          <w:p w14:paraId="10C96360"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9. Севастопольская</w:t>
            </w:r>
          </w:p>
        </w:tc>
        <w:tc>
          <w:tcPr>
            <w:tcW w:w="3992" w:type="dxa"/>
            <w:gridSpan w:val="2"/>
            <w:tcBorders>
              <w:top w:val="single" w:sz="4" w:space="0" w:color="auto"/>
              <w:left w:val="single" w:sz="4" w:space="0" w:color="auto"/>
              <w:right w:val="single" w:sz="4" w:space="0" w:color="auto"/>
            </w:tcBorders>
            <w:shd w:val="clear" w:color="auto" w:fill="FFFFFF"/>
          </w:tcPr>
          <w:p w14:paraId="18F612E6"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1-я Военная Школа Пилотов</w:t>
            </w:r>
          </w:p>
        </w:tc>
      </w:tr>
      <w:tr w:rsidR="00F645C2" w:rsidRPr="00142305" w14:paraId="3352AC7B" w14:textId="77777777" w:rsidTr="00F645C2">
        <w:trPr>
          <w:trHeight w:hRule="exact" w:val="187"/>
        </w:trPr>
        <w:tc>
          <w:tcPr>
            <w:tcW w:w="2394" w:type="dxa"/>
            <w:gridSpan w:val="3"/>
            <w:tcBorders>
              <w:top w:val="single" w:sz="4" w:space="0" w:color="auto"/>
              <w:left w:val="single" w:sz="4" w:space="0" w:color="auto"/>
            </w:tcBorders>
            <w:shd w:val="clear" w:color="auto" w:fill="FFFFFF"/>
            <w:vAlign w:val="bottom"/>
          </w:tcPr>
          <w:p w14:paraId="2F611673"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 Саратовская</w:t>
            </w:r>
          </w:p>
        </w:tc>
        <w:tc>
          <w:tcPr>
            <w:tcW w:w="3992" w:type="dxa"/>
            <w:gridSpan w:val="2"/>
            <w:tcBorders>
              <w:top w:val="single" w:sz="4" w:space="0" w:color="auto"/>
              <w:left w:val="single" w:sz="4" w:space="0" w:color="auto"/>
              <w:right w:val="single" w:sz="4" w:space="0" w:color="auto"/>
            </w:tcBorders>
            <w:shd w:val="clear" w:color="auto" w:fill="FFFFFF"/>
            <w:vAlign w:val="bottom"/>
          </w:tcPr>
          <w:p w14:paraId="3AA6FD5D"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Объединенная Школа Летчиков и Авиатехников</w:t>
            </w:r>
          </w:p>
        </w:tc>
      </w:tr>
      <w:tr w:rsidR="00F645C2" w:rsidRPr="00142305" w14:paraId="1DC6081A" w14:textId="77777777" w:rsidTr="00F645C2">
        <w:trPr>
          <w:trHeight w:hRule="exact" w:val="187"/>
        </w:trPr>
        <w:tc>
          <w:tcPr>
            <w:tcW w:w="2394" w:type="dxa"/>
            <w:gridSpan w:val="3"/>
            <w:tcBorders>
              <w:top w:val="single" w:sz="4" w:space="0" w:color="auto"/>
              <w:left w:val="single" w:sz="4" w:space="0" w:color="auto"/>
            </w:tcBorders>
            <w:shd w:val="clear" w:color="auto" w:fill="FFFFFF"/>
            <w:vAlign w:val="bottom"/>
          </w:tcPr>
          <w:p w14:paraId="05AFC068"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11. Вяземская</w:t>
            </w:r>
          </w:p>
        </w:tc>
        <w:tc>
          <w:tcPr>
            <w:tcW w:w="3992" w:type="dxa"/>
            <w:gridSpan w:val="2"/>
            <w:tcBorders>
              <w:top w:val="single" w:sz="4" w:space="0" w:color="auto"/>
              <w:left w:val="single" w:sz="4" w:space="0" w:color="auto"/>
              <w:right w:val="single" w:sz="4" w:space="0" w:color="auto"/>
            </w:tcBorders>
            <w:shd w:val="clear" w:color="auto" w:fill="FFFFFF"/>
            <w:vAlign w:val="bottom"/>
          </w:tcPr>
          <w:p w14:paraId="42750177"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Окружная школа Пилотов БВО</w:t>
            </w:r>
          </w:p>
        </w:tc>
      </w:tr>
      <w:tr w:rsidR="00F645C2" w:rsidRPr="00142305" w14:paraId="4082ED35" w14:textId="77777777" w:rsidTr="00F645C2">
        <w:trPr>
          <w:trHeight w:hRule="exact" w:val="184"/>
        </w:trPr>
        <w:tc>
          <w:tcPr>
            <w:tcW w:w="2394" w:type="dxa"/>
            <w:gridSpan w:val="3"/>
            <w:tcBorders>
              <w:top w:val="single" w:sz="4" w:space="0" w:color="auto"/>
              <w:left w:val="single" w:sz="4" w:space="0" w:color="auto"/>
            </w:tcBorders>
            <w:shd w:val="clear" w:color="auto" w:fill="FFFFFF"/>
            <w:vAlign w:val="bottom"/>
          </w:tcPr>
          <w:p w14:paraId="51318710"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12. Владимирская</w:t>
            </w:r>
          </w:p>
        </w:tc>
        <w:tc>
          <w:tcPr>
            <w:tcW w:w="3992" w:type="dxa"/>
            <w:gridSpan w:val="2"/>
            <w:tcBorders>
              <w:top w:val="single" w:sz="4" w:space="0" w:color="auto"/>
              <w:left w:val="single" w:sz="4" w:space="0" w:color="auto"/>
              <w:right w:val="single" w:sz="4" w:space="0" w:color="auto"/>
            </w:tcBorders>
            <w:shd w:val="clear" w:color="auto" w:fill="FFFFFF"/>
            <w:vAlign w:val="bottom"/>
          </w:tcPr>
          <w:p w14:paraId="741764CC"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10-я Авиабригада</w:t>
            </w:r>
          </w:p>
        </w:tc>
      </w:tr>
      <w:tr w:rsidR="00F645C2" w:rsidRPr="00142305" w14:paraId="0E4D77DC" w14:textId="77777777" w:rsidTr="00F645C2">
        <w:trPr>
          <w:trHeight w:hRule="exact" w:val="198"/>
        </w:trPr>
        <w:tc>
          <w:tcPr>
            <w:tcW w:w="2394" w:type="dxa"/>
            <w:gridSpan w:val="3"/>
            <w:tcBorders>
              <w:top w:val="single" w:sz="4" w:space="0" w:color="auto"/>
              <w:left w:val="single" w:sz="4" w:space="0" w:color="auto"/>
              <w:bottom w:val="single" w:sz="4" w:space="0" w:color="auto"/>
            </w:tcBorders>
            <w:shd w:val="clear" w:color="auto" w:fill="FFFFFF"/>
            <w:vAlign w:val="bottom"/>
          </w:tcPr>
          <w:p w14:paraId="79D2D0E8"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13. Самарская (станция)</w:t>
            </w:r>
          </w:p>
        </w:tc>
        <w:tc>
          <w:tcPr>
            <w:tcW w:w="3992" w:type="dxa"/>
            <w:gridSpan w:val="2"/>
            <w:tcBorders>
              <w:top w:val="single" w:sz="4" w:space="0" w:color="auto"/>
              <w:left w:val="single" w:sz="4" w:space="0" w:color="auto"/>
              <w:bottom w:val="single" w:sz="4" w:space="0" w:color="auto"/>
              <w:right w:val="single" w:sz="4" w:space="0" w:color="auto"/>
            </w:tcBorders>
            <w:shd w:val="clear" w:color="auto" w:fill="FFFFFF"/>
            <w:vAlign w:val="bottom"/>
          </w:tcPr>
          <w:p w14:paraId="27A55F80" w14:textId="77777777" w:rsidR="00F645C2" w:rsidRPr="00142305" w:rsidRDefault="00F645C2"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3-я Военная школа Летчиков и Летчиков-Наблюдателей</w:t>
            </w:r>
          </w:p>
        </w:tc>
      </w:tr>
    </w:tbl>
    <w:p w14:paraId="4CFBFBE7" w14:textId="77777777" w:rsidR="00F645C2" w:rsidRPr="00142305" w:rsidRDefault="00F645C2" w:rsidP="00F645C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Начальник Военных Воздушных Сил Р.К.К.А.</w:t>
      </w:r>
      <w:r w:rsidRPr="00142305">
        <w:rPr>
          <w:rFonts w:ascii="Times New Roman" w:hAnsi="Times New Roman"/>
          <w:color w:val="0070C0"/>
          <w:sz w:val="16"/>
          <w:szCs w:val="16"/>
        </w:rPr>
        <w:tab/>
        <w:t>/Баранов/» (24967).</w:t>
      </w:r>
    </w:p>
    <w:p w14:paraId="79FBA39B" w14:textId="77777777" w:rsidR="00F645C2" w:rsidRPr="00142305" w:rsidRDefault="00F645C2" w:rsidP="00F645C2">
      <w:pPr>
        <w:spacing w:after="0" w:line="240" w:lineRule="auto"/>
        <w:jc w:val="both"/>
        <w:rPr>
          <w:rFonts w:ascii="Times New Roman" w:hAnsi="Times New Roman"/>
          <w:color w:val="0070C0"/>
          <w:sz w:val="16"/>
          <w:szCs w:val="16"/>
        </w:rPr>
      </w:pPr>
    </w:p>
    <w:p w14:paraId="2A6BFA3D"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0B6BB2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DADB4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июня 1931-го Приказом ОГПУ № 330/198 в составе ГУЛАГа был организован Отдел по спецпереселенцам, в основном выселяемых из районов сплошной коллективизации кулаков; 29 июня приказом АОУ ОГПУ № 177 этот отдел возглавил Г. П. Закарьян (7560).</w:t>
      </w:r>
    </w:p>
    <w:p w14:paraId="4BF24D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9A12BEA" w14:textId="77777777" w:rsidR="00EC2876" w:rsidRPr="005E779E" w:rsidRDefault="00EC2876" w:rsidP="000B7A6C">
      <w:pPr>
        <w:pStyle w:val="ae"/>
        <w:shd w:val="clear" w:color="auto" w:fill="FFFFFF"/>
        <w:spacing w:before="0" w:after="0"/>
        <w:jc w:val="both"/>
        <w:rPr>
          <w:color w:val="000000" w:themeColor="text1"/>
          <w:sz w:val="16"/>
          <w:szCs w:val="16"/>
        </w:rPr>
      </w:pPr>
      <w:r w:rsidRPr="005E779E">
        <w:rPr>
          <w:color w:val="000000" w:themeColor="text1"/>
          <w:sz w:val="16"/>
          <w:szCs w:val="16"/>
        </w:rPr>
        <w:t>2 июня 1931 года была представлена деревянная модель Kleinetraktor, который разительно отличался от танка, который мы знаем как Pz.Kpfw.I. Его двигатель и трансмиссия находились впереди, ведущие колёса располагались сзади. Общая длина машины составляла 3460 мм, ширина 1820 мм, 60-сильный двигатель должен был разгонять её до 45 км/ч. Поскольку для башни места просто не осталось, 20-мм пушка располагалась в съёмной подбашенной коробке. Экипаж машины состоял из 3 человек: механика-водителя, который находился слева, командира, который выполнял и обязанности наводчика и размещался справа, и расположившегося сзади за ними заряжающего.</w:t>
      </w:r>
    </w:p>
    <w:p w14:paraId="271E7EAF" w14:textId="77777777" w:rsidR="00EC2876" w:rsidRPr="005E779E" w:rsidRDefault="00EC2876" w:rsidP="000B7A6C">
      <w:pPr>
        <w:pStyle w:val="ae"/>
        <w:shd w:val="clear" w:color="auto" w:fill="FFFFFF"/>
        <w:spacing w:before="0" w:after="0"/>
        <w:jc w:val="both"/>
        <w:rPr>
          <w:color w:val="000000" w:themeColor="text1"/>
          <w:sz w:val="16"/>
          <w:szCs w:val="16"/>
        </w:rPr>
      </w:pPr>
      <w:r w:rsidRPr="005E779E">
        <w:rPr>
          <w:color w:val="000000" w:themeColor="text1"/>
          <w:sz w:val="16"/>
          <w:szCs w:val="16"/>
        </w:rPr>
        <w:t>Ходовая часть нового танка должна была состоять из 10 опорных катков на борт, напоминая ту, что ставилась на модифицированный Leichttraktor. От резино-металлических траков к тому моменту конструкторы уже отказались, заменив их на металлические. 2 июня в конкурентную борьбу вступила компания Rheinmetall, которая стала разрабатывать собственный вариант подбашенной коробки с 20-мм пушкой. Кроме того, по настоянию Книпкампа концерн Krupp начал работу над вариантом ходовой части с четырьмя опорными катками на борт. Впрочем, продолжались они недолго.</w:t>
      </w:r>
    </w:p>
    <w:p w14:paraId="57EECEC6" w14:textId="77777777" w:rsidR="00EC2876" w:rsidRPr="005E779E" w:rsidRDefault="00EC2876" w:rsidP="000B7A6C">
      <w:pPr>
        <w:pStyle w:val="ae"/>
        <w:shd w:val="clear" w:color="auto" w:fill="FFFFFF"/>
        <w:spacing w:before="0" w:after="0"/>
        <w:jc w:val="both"/>
        <w:rPr>
          <w:color w:val="000000" w:themeColor="text1"/>
          <w:sz w:val="16"/>
          <w:szCs w:val="16"/>
        </w:rPr>
      </w:pPr>
      <w:r w:rsidRPr="005E779E">
        <w:rPr>
          <w:color w:val="000000" w:themeColor="text1"/>
          <w:sz w:val="16"/>
          <w:szCs w:val="16"/>
        </w:rPr>
        <w:t>Испытания L.S.K. на полигоне Куммерсдорф и Leichttraktorr на ТЕКО под Казанью показали несостоятельность идеи с кормовым расположением ведущих колёс. Неудачной оказалась и идея с передним расположением мотора. 18 сентября 1931 года Книпкамп фактически поставил крест на трёхлетней работе Krupp и других фирм. В качестве ориентира при разработке новых танков был выбран тягач Carden-Loyd, который производитель совместно с фирмой Vickers продвигал на зарубежные рынки с 1929 года. Машина постоянно модифицировалась, причём она существовала как в виде артиллерийского тягача, так и в качестве машины, имевшей грузовую платформу. Позже детище Джона Кардена и Вивиана Лойда превратилось в лёгкий танк, последнее звено в эволюции которого, Light Tank Mk.VI, составляло основу английских бронетанковых сил на начало Второй мировой войны.</w:t>
      </w:r>
    </w:p>
    <w:p w14:paraId="7F7F5B8A" w14:textId="77777777" w:rsidR="00EC2876" w:rsidRPr="005E779E" w:rsidRDefault="00EC2876" w:rsidP="000B7A6C">
      <w:pPr>
        <w:pStyle w:val="ae"/>
        <w:shd w:val="clear" w:color="auto" w:fill="FFFFFF"/>
        <w:spacing w:before="0" w:after="0"/>
        <w:jc w:val="both"/>
        <w:rPr>
          <w:color w:val="000000" w:themeColor="text1"/>
          <w:sz w:val="16"/>
          <w:szCs w:val="16"/>
        </w:rPr>
      </w:pPr>
      <w:r w:rsidRPr="005E779E">
        <w:rPr>
          <w:color w:val="000000" w:themeColor="text1"/>
          <w:sz w:val="16"/>
          <w:szCs w:val="16"/>
        </w:rPr>
        <w:t>Продвижение тягачей на экспорт дорого обошлась англичанам. Английские наработки стали базой для создания немцами своих танков второго поколения, да и итальянские танки тоже базировались на английских конструкциях. В итоге через несколько лет англичанам пришлось воевать с тем, к созданию чего они сами приложили руку (17463).</w:t>
      </w:r>
    </w:p>
    <w:p w14:paraId="53E7C6A0" w14:textId="77777777" w:rsidR="00EC2876" w:rsidRPr="005E779E" w:rsidRDefault="00EC2876"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DBBCDF3"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28D8DDB6"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2BE61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июня 1931 М.А.Коровкин ввел Савойю 62 в штопор и погиб (99,169).</w:t>
      </w:r>
    </w:p>
    <w:p w14:paraId="7CADDD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949E4E4" w14:textId="77777777" w:rsidR="00C45168" w:rsidRPr="005E779E" w:rsidRDefault="00C4516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 июня 1931 самолет С-62 М. Коровкина на испытаниях в Италии вошел в штопор и разбился. </w:t>
      </w:r>
    </w:p>
    <w:p w14:paraId="62DEDAD7" w14:textId="77777777" w:rsidR="00C45168" w:rsidRPr="005E779E" w:rsidRDefault="00C4516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S.62 упорно сопротивлялся попыткам ввести его в штопор. Сообщается, что фирма предложила демонстрацию невозможности ввести в него самолет (РГВА. Ф. 29. Оп. 76. Д. 927. Отчеты опытных головных серийных и летных испытаний самолета С-62 и переписке с УСС ВВС о поставке самолетов из Италии. 12.4.31-15.11.31. Л. 2.). М. Коровкин предложил искусственно спровоцировать срыв, создав опасную центровку размещением балласта. Было проведено расследование (РГВА. Ф. 29. Оп. 76. Д. 2511. Переписка с итальянскими торговыми фирмами о закупке самолетов СИАИ и моторов АССО. 7.1.31-31.12.31. Л. 128-148.). В итоге комиссия по расследованию катастрофы выявила расхождение русского и итальянского текстов договора (РГВА. Ф. 29. Оп. 76. Д. 2511. Переписка с итальянскими торговыми фирмами о закупке самолетов СИАИ и моторов АССО. 7.1.31-31.12.31. Л. 128-148.). В русском говорилось о возможности испытания самолета на штопор в любом режиме, а в итальянском – об испытании тенденции к входу в штопор. Самолет все же подняли, восстановили и отправили морем в СССР в декабре 1931 г.</w:t>
      </w:r>
    </w:p>
    <w:p w14:paraId="1A7E460C" w14:textId="77777777" w:rsidR="00C45168" w:rsidRPr="005E779E" w:rsidRDefault="00C45168" w:rsidP="000B7A6C">
      <w:pPr>
        <w:spacing w:after="0" w:line="240" w:lineRule="auto"/>
        <w:jc w:val="both"/>
        <w:rPr>
          <w:rFonts w:ascii="Times New Roman" w:hAnsi="Times New Roman"/>
          <w:color w:val="000000" w:themeColor="text1"/>
          <w:sz w:val="16"/>
          <w:szCs w:val="16"/>
        </w:rPr>
      </w:pPr>
    </w:p>
    <w:p w14:paraId="7951E8F6" w14:textId="656B0DC9" w:rsidR="00C45168" w:rsidRPr="005E779E" w:rsidRDefault="00C45168" w:rsidP="000B7A6C">
      <w:pPr>
        <w:spacing w:after="0" w:line="240" w:lineRule="auto"/>
        <w:jc w:val="both"/>
        <w:rPr>
          <w:rFonts w:ascii="Times New Roman" w:hAnsi="Times New Roman"/>
          <w:color w:val="000000" w:themeColor="text1"/>
          <w:sz w:val="16"/>
          <w:szCs w:val="16"/>
          <w:shd w:val="clear" w:color="auto" w:fill="FFFFFF"/>
        </w:rPr>
      </w:pPr>
      <w:bookmarkStart w:id="40" w:name="_Hlk79306422"/>
      <w:r w:rsidRPr="005E779E">
        <w:rPr>
          <w:rFonts w:ascii="Times New Roman" w:hAnsi="Times New Roman"/>
          <w:color w:val="000000" w:themeColor="text1"/>
          <w:sz w:val="16"/>
          <w:szCs w:val="16"/>
          <w:shd w:val="clear" w:color="auto" w:fill="FFFFFF"/>
        </w:rPr>
        <w:t>3 июня 1931, пролетев до этого над Японским морем, затем над Кореей, Китаем и Монголией,</w:t>
      </w:r>
      <w:r w:rsidR="00FE094E">
        <w:rPr>
          <w:rFonts w:ascii="Times New Roman" w:hAnsi="Times New Roman"/>
          <w:color w:val="000000" w:themeColor="text1"/>
          <w:sz w:val="16"/>
          <w:szCs w:val="16"/>
          <w:shd w:val="clear" w:color="auto" w:fill="FFFFFF"/>
        </w:rPr>
        <w:t xml:space="preserve"> </w:t>
      </w:r>
      <w:r w:rsidRPr="005E779E">
        <w:rPr>
          <w:rFonts w:ascii="Times New Roman" w:hAnsi="Times New Roman"/>
          <w:color w:val="000000" w:themeColor="text1"/>
          <w:sz w:val="16"/>
          <w:szCs w:val="16"/>
          <w:shd w:val="clear" w:color="auto" w:fill="FFFFFF"/>
        </w:rPr>
        <w:t>инструктор авиационной исследовательской группы университета Хосэй Ретаро Кумакава (Ryotaro Kumakawa) и студент первого курса экономического факультета Моритаку Куримуру (Moritaka Kurimura), незадолго до отлета получившего лицензию пилота, вылетевшие утром 29 мая 1931 года на самолете R-3 «Seinen Nippon» с аэродрома Ханеда, начали свое путешествие по СССР. В этот день они приземлились в Чите. На следующий день японцы перелетели в Иркутск. После отдыха и технического обслуживания самолета, 6 июня они отправились в Нижнеудинск, но сразу после взлета произошло разрушение двигателя. Летчики выключили мотор и спланировали обратно на аэродром. Оказалось, что необходимо заменить головку цилиндра. Для этого Куримура отправился на поезде из Иркутска обратно в Манчжурию, куда из Японии прислали необходимые детали. Запчасти были доставлены в Иркутск и установлены на самолет.</w:t>
      </w:r>
    </w:p>
    <w:p w14:paraId="566324D2" w14:textId="77777777" w:rsidR="00C45168" w:rsidRPr="005E779E" w:rsidRDefault="00C45168" w:rsidP="000B7A6C">
      <w:pPr>
        <w:spacing w:after="0" w:line="240" w:lineRule="auto"/>
        <w:jc w:val="both"/>
        <w:rPr>
          <w:rFonts w:ascii="Times New Roman" w:hAnsi="Times New Roman"/>
          <w:color w:val="000000" w:themeColor="text1"/>
          <w:sz w:val="16"/>
          <w:szCs w:val="16"/>
          <w:shd w:val="clear" w:color="auto" w:fill="FFFFFF"/>
        </w:rPr>
      </w:pPr>
      <w:r w:rsidRPr="005E779E">
        <w:rPr>
          <w:rFonts w:ascii="Times New Roman" w:hAnsi="Times New Roman"/>
          <w:color w:val="000000" w:themeColor="text1"/>
          <w:sz w:val="16"/>
          <w:szCs w:val="16"/>
          <w:shd w:val="clear" w:color="auto" w:fill="FFFFFF"/>
        </w:rPr>
        <w:t>19 июня японские летчики оставили Иркутск, и с посадкой в Нижнеудинске, добрались до Красноярска. Далее, 20-го – посадка в Новосибирске, 22-го – в Омске и Кургане. 24 июня вылетели из Кургана, затем из-за ухудшения погоды, приземлились в Красноуфимске. 25-го добрались до Казани. 26 июня Куримура и Кумакава, вылетев из Казани, без посадок планировали достичь Москвы, но их вновь подвел двигатель. На этот раз шатун пробил картер двигателя, и летчики вынужденно спустились на пшеничное поле в районе города Гороховец.</w:t>
      </w:r>
    </w:p>
    <w:p w14:paraId="34886515" w14:textId="77777777" w:rsidR="00C45168" w:rsidRPr="005E779E" w:rsidRDefault="00C45168" w:rsidP="000B7A6C">
      <w:pPr>
        <w:spacing w:after="0" w:line="240" w:lineRule="auto"/>
        <w:jc w:val="both"/>
        <w:rPr>
          <w:rFonts w:ascii="Times New Roman" w:hAnsi="Times New Roman"/>
          <w:color w:val="000000" w:themeColor="text1"/>
          <w:sz w:val="16"/>
          <w:szCs w:val="16"/>
          <w:shd w:val="clear" w:color="auto" w:fill="FFFFFF"/>
        </w:rPr>
      </w:pPr>
      <w:r w:rsidRPr="005E779E">
        <w:rPr>
          <w:rFonts w:ascii="Times New Roman" w:hAnsi="Times New Roman"/>
          <w:color w:val="000000" w:themeColor="text1"/>
          <w:sz w:val="16"/>
          <w:szCs w:val="16"/>
          <w:shd w:val="clear" w:color="auto" w:fill="FFFFFF"/>
        </w:rPr>
        <w:t>27 июня самолет был разобран и отправлен в Москву железнодорожным транспортом. 29-го прибыли в Москву, а 7 июля из Англии был доставлен новый двигатель. После замены двигателя, 21 июля японцы вылетели из Москвы и приземлились в Даугавпилсе.</w:t>
      </w:r>
    </w:p>
    <w:p w14:paraId="6F9A9378" w14:textId="77777777" w:rsidR="00C45168" w:rsidRPr="005E779E" w:rsidRDefault="00C45168" w:rsidP="000B7A6C">
      <w:pPr>
        <w:spacing w:after="0" w:line="240" w:lineRule="auto"/>
        <w:jc w:val="both"/>
        <w:rPr>
          <w:rFonts w:ascii="Times New Roman" w:hAnsi="Times New Roman"/>
          <w:color w:val="000000" w:themeColor="text1"/>
          <w:sz w:val="16"/>
          <w:szCs w:val="16"/>
          <w:shd w:val="clear" w:color="auto" w:fill="FFFFFF"/>
        </w:rPr>
      </w:pPr>
      <w:r w:rsidRPr="005E779E">
        <w:rPr>
          <w:rFonts w:ascii="Times New Roman" w:hAnsi="Times New Roman"/>
          <w:color w:val="000000" w:themeColor="text1"/>
          <w:sz w:val="16"/>
          <w:szCs w:val="16"/>
          <w:shd w:val="clear" w:color="auto" w:fill="FFFFFF"/>
        </w:rPr>
        <w:t>Далее были: 23 июля – Кенигсберг, 25-го – Берлин, 30-го – Брюссель, 1 августа – Лондон, 10 августа – Париж, 23 августа – Лион. Попытка вылета из Лиона 25 августа закончилась вынужденной посадкой на аэродроме вылета – вновь подвел двигатель. Уже 26-го прибыл специалист по двигателю с запасными частями и отремонтировал мотор. 30 августа японцы совершили перелет Лион – Милан над Альпами. 31-го – вылетели из Милана с намерением добраться до конечной точки маршрута – Рима, но приземлились в Пизе из-за негерметичности масляной системы двигателя. Здесь авиаторы, не имея возможности отремонтировать двигатель, дозаправили его маслом и продолжили полет в Рим. В 18 часов они приземлились на аэродроме Литторио.</w:t>
      </w:r>
    </w:p>
    <w:p w14:paraId="18184F51" w14:textId="77777777" w:rsidR="00C45168" w:rsidRPr="005E779E" w:rsidRDefault="00C45168" w:rsidP="000B7A6C">
      <w:pPr>
        <w:spacing w:after="0" w:line="240" w:lineRule="auto"/>
        <w:jc w:val="both"/>
        <w:rPr>
          <w:rFonts w:ascii="Times New Roman" w:hAnsi="Times New Roman"/>
          <w:color w:val="000000" w:themeColor="text1"/>
          <w:sz w:val="16"/>
          <w:szCs w:val="16"/>
          <w:shd w:val="clear" w:color="auto" w:fill="FFFFFF"/>
        </w:rPr>
      </w:pPr>
      <w:r w:rsidRPr="005E779E">
        <w:rPr>
          <w:rFonts w:ascii="Times New Roman" w:hAnsi="Times New Roman"/>
          <w:color w:val="000000" w:themeColor="text1"/>
          <w:sz w:val="16"/>
          <w:szCs w:val="16"/>
          <w:shd w:val="clear" w:color="auto" w:fill="FFFFFF"/>
        </w:rPr>
        <w:t>За 92 дня был преодолен путь длиной 13671 км. Общее полетное время составило 126 часов 53 минуты (21438).</w:t>
      </w:r>
    </w:p>
    <w:p w14:paraId="77A79F7A" w14:textId="77777777" w:rsidR="00C45168" w:rsidRPr="005E779E" w:rsidRDefault="00C45168" w:rsidP="000B7A6C">
      <w:pPr>
        <w:spacing w:after="0" w:line="240" w:lineRule="auto"/>
        <w:jc w:val="both"/>
        <w:rPr>
          <w:rFonts w:ascii="Times New Roman" w:hAnsi="Times New Roman"/>
          <w:color w:val="000000" w:themeColor="text1"/>
          <w:sz w:val="16"/>
          <w:szCs w:val="16"/>
          <w:shd w:val="clear" w:color="auto" w:fill="FFFFFF"/>
        </w:rPr>
      </w:pPr>
    </w:p>
    <w:bookmarkEnd w:id="40"/>
    <w:p w14:paraId="351B792C" w14:textId="77777777" w:rsidR="001A7FA6"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7A045C2E" w14:textId="77777777" w:rsidR="001A7FA6" w:rsidRPr="005E779E" w:rsidRDefault="001A7FA6"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45150B1" w14:textId="77777777" w:rsidR="001A7FA6" w:rsidRPr="005E779E" w:rsidRDefault="001A7FA6" w:rsidP="000B7A6C">
      <w:pPr>
        <w:pStyle w:val="rtejustify"/>
        <w:spacing w:before="0" w:after="0"/>
        <w:rPr>
          <w:color w:val="000000" w:themeColor="text1"/>
          <w:sz w:val="16"/>
          <w:szCs w:val="16"/>
        </w:rPr>
      </w:pPr>
      <w:r w:rsidRPr="005E779E">
        <w:rPr>
          <w:rStyle w:val="af0"/>
          <w:i w:val="0"/>
          <w:color w:val="000000" w:themeColor="text1"/>
          <w:sz w:val="16"/>
          <w:szCs w:val="16"/>
        </w:rPr>
        <w:t>3 июня 1931 г. Протокол Реввоенсовета № 20.</w:t>
      </w:r>
      <w:r w:rsidRPr="005E779E">
        <w:rPr>
          <w:color w:val="000000" w:themeColor="text1"/>
          <w:sz w:val="16"/>
          <w:szCs w:val="16"/>
        </w:rPr>
        <w:t xml:space="preserve"> 1. О формированиях танковых частей РККА в военное время. (Триандафилов). 2. План использования 180</w:t>
      </w:r>
      <w:r w:rsidRPr="005E779E">
        <w:rPr>
          <w:color w:val="000000" w:themeColor="text1"/>
          <w:sz w:val="16"/>
          <w:szCs w:val="16"/>
        </w:rPr>
        <w:noBreakHyphen/>
        <w:t>мм пушек (Триандафилов). 9. О военной приемке (Гамарник). 12. О вознаграждении гр</w:t>
      </w:r>
      <w:r w:rsidRPr="005E779E">
        <w:rPr>
          <w:color w:val="000000" w:themeColor="text1"/>
          <w:sz w:val="16"/>
          <w:szCs w:val="16"/>
        </w:rPr>
        <w:noBreakHyphen/>
        <w:t xml:space="preserve">на Дейло за изобретенный им сигнальный буй для подлодок. (Курков). 29. О зенитных </w:t>
      </w:r>
      <w:r w:rsidRPr="005E779E">
        <w:rPr>
          <w:color w:val="000000" w:themeColor="text1"/>
          <w:sz w:val="16"/>
          <w:szCs w:val="16"/>
        </w:rPr>
        <w:lastRenderedPageBreak/>
        <w:t>орудиях 102</w:t>
      </w:r>
      <w:r w:rsidRPr="005E779E">
        <w:rPr>
          <w:color w:val="000000" w:themeColor="text1"/>
          <w:sz w:val="16"/>
          <w:szCs w:val="16"/>
        </w:rPr>
        <w:noBreakHyphen/>
        <w:t>мм. (Ворошилов). 33. О снарядах с волосовиной. (Уборевич). 34. О танке БТ («Кристи»). (Халепский). (РГВА. Ф. 4. Оп. 18. Д. 20. Л. 297, 299, 302, 303) (12342).</w:t>
      </w:r>
    </w:p>
    <w:p w14:paraId="0E915312" w14:textId="77777777" w:rsidR="001A7FA6" w:rsidRPr="005E779E" w:rsidRDefault="001A7FA6" w:rsidP="000B7A6C">
      <w:pPr>
        <w:pStyle w:val="rtejustify"/>
        <w:spacing w:before="0" w:after="0"/>
        <w:rPr>
          <w:color w:val="000000" w:themeColor="text1"/>
          <w:sz w:val="16"/>
          <w:szCs w:val="16"/>
        </w:rPr>
      </w:pPr>
    </w:p>
    <w:p w14:paraId="782C98ED" w14:textId="77777777" w:rsidR="001A7FA6" w:rsidRPr="005E779E" w:rsidRDefault="001A7FA6"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3 июня 1931 </w:t>
      </w:r>
      <w:r w:rsidRPr="005E779E">
        <w:rPr>
          <w:rFonts w:ascii="Times New Roman" w:hAnsi="Times New Roman"/>
          <w:color w:val="000000" w:themeColor="text1"/>
          <w:sz w:val="16"/>
          <w:szCs w:val="16"/>
        </w:rPr>
        <w:t>Политбюро ЦК ВКП (б) утвердило постановление о неотложных мероприятиях по обеспечению огнеупорами и укреплению единоначалия на заводах объединения «Сталь» (12265).</w:t>
      </w:r>
    </w:p>
    <w:p w14:paraId="61F3AF8F" w14:textId="77777777" w:rsidR="001A7FA6" w:rsidRPr="005E779E" w:rsidRDefault="001A7F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5CA2FDB4" w14:textId="77777777" w:rsidR="008B6E64" w:rsidRPr="005E779E" w:rsidRDefault="008B6E64"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bCs/>
          <w:iCs/>
          <w:color w:val="000000" w:themeColor="text1"/>
          <w:sz w:val="16"/>
          <w:szCs w:val="16"/>
        </w:rPr>
        <w:t>3-7 июня 1931 г.</w:t>
      </w:r>
      <w:r w:rsidRPr="005E779E">
        <w:rPr>
          <w:rFonts w:ascii="Times New Roman" w:hAnsi="Times New Roman"/>
          <w:color w:val="000000" w:themeColor="text1"/>
          <w:sz w:val="16"/>
          <w:szCs w:val="16"/>
        </w:rPr>
        <w:t> Конференция по токсикологии ОВ и медико-санитарным вопросам подготовки к химической войне, созванная ВОХИМУ РККА и Военно-санитарным управлением РККА. Начальник ВОХИМУ Я.М.Фишман во вступительном выступлении изложил то, что ожидал в будущем от участников: «</w:t>
      </w:r>
      <w:r w:rsidRPr="005E779E">
        <w:rPr>
          <w:rFonts w:ascii="Times New Roman" w:hAnsi="Times New Roman"/>
          <w:iCs/>
          <w:color w:val="000000" w:themeColor="text1"/>
          <w:sz w:val="16"/>
          <w:szCs w:val="16"/>
        </w:rPr>
        <w:t xml:space="preserve">Я считаю, дальше, что одной из важнейших задач токсикологии в военно-химическом деле является задача изучения механизмов действия ОВ… Нужно в лаборатории создать такую методику, при которой мы в миниатюре будем получать то, что будет реально в поле… Надо, наконец, приблизиться к тому, как это будет отражаться на человеке. Мы все время оперируем кошками, баранами, лошадьми, козами и т.д. Но как это будет отражаться на человеке, мы не знаем. Я считаю, что нам необходимо разработать… такую методику, которая бы позволила… производить испытания над человеком… Нам нужно по возможности расширить масштаб испытаний на самом человеке. Наконец, к сожалению, у нас бывают несчастные случаи… Но если несчастный случай произошел, мы должны всесторонним образом изучить этот </w:t>
      </w:r>
      <w:r w:rsidRPr="005E779E">
        <w:rPr>
          <w:rFonts w:ascii="Times New Roman" w:hAnsi="Times New Roman"/>
          <w:bCs/>
          <w:iCs/>
          <w:color w:val="000000" w:themeColor="text1"/>
          <w:sz w:val="16"/>
          <w:szCs w:val="16"/>
        </w:rPr>
        <w:t>счастливый случай</w:t>
      </w:r>
      <w:r w:rsidRPr="005E779E">
        <w:rPr>
          <w:rFonts w:ascii="Times New Roman" w:hAnsi="Times New Roman"/>
          <w:iCs/>
          <w:color w:val="000000" w:themeColor="text1"/>
          <w:sz w:val="16"/>
          <w:szCs w:val="16"/>
        </w:rPr>
        <w:t>, потому что до войны где же его найдешь…</w:t>
      </w:r>
      <w:r w:rsidRPr="005E779E">
        <w:rPr>
          <w:rFonts w:ascii="Times New Roman" w:hAnsi="Times New Roman"/>
          <w:color w:val="000000" w:themeColor="text1"/>
          <w:sz w:val="16"/>
          <w:szCs w:val="16"/>
        </w:rPr>
        <w:t>» Вслед за Я.М.Фишманом проблему испытаний ОВ на людях рассмотрели профессионалы — токсикологи. В установочном докладе доктор Саноцкий объявил: «</w:t>
      </w:r>
      <w:r w:rsidRPr="005E779E">
        <w:rPr>
          <w:rFonts w:ascii="Times New Roman" w:hAnsi="Times New Roman"/>
          <w:iCs/>
          <w:color w:val="000000" w:themeColor="text1"/>
          <w:sz w:val="16"/>
          <w:szCs w:val="16"/>
        </w:rPr>
        <w:t>мы должны дать ответ, ну а как же отравляющие вещества при том или ином применении действуют на организм человека?</w:t>
      </w:r>
      <w:r w:rsidRPr="005E779E">
        <w:rPr>
          <w:rFonts w:ascii="Times New Roman" w:hAnsi="Times New Roman"/>
          <w:color w:val="000000" w:themeColor="text1"/>
          <w:sz w:val="16"/>
          <w:szCs w:val="16"/>
        </w:rPr>
        <w:t>». Ответ был дан в виде конкретных дел. Один доктор рассказал, что ими был разработана специальная методика: «</w:t>
      </w:r>
      <w:r w:rsidRPr="005E779E">
        <w:rPr>
          <w:rFonts w:ascii="Times New Roman" w:hAnsi="Times New Roman"/>
          <w:iCs/>
          <w:color w:val="000000" w:themeColor="text1"/>
          <w:sz w:val="16"/>
          <w:szCs w:val="16"/>
        </w:rPr>
        <w:t>Объект опыта включается непосредственно в камеру через специальное отверстие в стенке камеры, которое по размерам и по форме соответствует лицу человека. Прикрепленная к краям этого отверстия резиновая маска одевается на лицевую часть головы таким образом, что лицо объекта находится в одной плоскости со стенкой камеры… Размер камеры 1300 литров. Частота и глубина дыхания контролируется водяным затвором. Исследования ведутся статистическим методом (возгонка, распыление ОВ)… Таким образом,.. объект непосредственно и немедленно подвергается воздействию находящегося в камере ОВ… Объектами при испытании раздражающих ОВ должны быть только люди… Мы в своей практической работе предпочитаем пользоваться системой однократных всякий раз свежих объектов из красноармейцев Московского гарнизона</w:t>
      </w:r>
      <w:r w:rsidRPr="005E779E">
        <w:rPr>
          <w:rFonts w:ascii="Times New Roman" w:hAnsi="Times New Roman"/>
          <w:color w:val="000000" w:themeColor="text1"/>
          <w:sz w:val="16"/>
          <w:szCs w:val="16"/>
        </w:rPr>
        <w:t>». Женщина-доктор рассказала, что при изучении чувствительности кожи кролика и человека к иприту она располагала удовлетворительным количеством материала: «</w:t>
      </w:r>
      <w:r w:rsidRPr="005E779E">
        <w:rPr>
          <w:rFonts w:ascii="Times New Roman" w:hAnsi="Times New Roman"/>
          <w:iCs/>
          <w:color w:val="000000" w:themeColor="text1"/>
          <w:sz w:val="16"/>
          <w:szCs w:val="16"/>
        </w:rPr>
        <w:t>Всего под опытом было 24 человека и 135 кроликов… В опытах участвовали люди в возрасте от 19 до 45 лет и пять подростков от 12 до 15 лет, разных полов, разной окраски как кожи, так и тела</w:t>
      </w:r>
      <w:r w:rsidRPr="005E779E">
        <w:rPr>
          <w:rFonts w:ascii="Times New Roman" w:hAnsi="Times New Roman"/>
          <w:color w:val="000000" w:themeColor="text1"/>
          <w:sz w:val="16"/>
          <w:szCs w:val="16"/>
        </w:rPr>
        <w:t>». Ну а дальше — обычные подробности: «</w:t>
      </w:r>
      <w:r w:rsidRPr="005E779E">
        <w:rPr>
          <w:rFonts w:ascii="Times New Roman" w:hAnsi="Times New Roman"/>
          <w:iCs/>
          <w:color w:val="000000" w:themeColor="text1"/>
          <w:sz w:val="16"/>
          <w:szCs w:val="16"/>
        </w:rPr>
        <w:t>Подростки обоих полов… реагируют еще сильнее, чем женщины. По своей реакции они больше подходят к кроликам</w:t>
      </w:r>
      <w:r w:rsidRPr="005E779E">
        <w:rPr>
          <w:rFonts w:ascii="Times New Roman" w:hAnsi="Times New Roman"/>
          <w:color w:val="000000" w:themeColor="text1"/>
          <w:sz w:val="16"/>
          <w:szCs w:val="16"/>
        </w:rPr>
        <w:t>» (17133).</w:t>
      </w:r>
    </w:p>
    <w:p w14:paraId="73EBCCC9" w14:textId="77777777" w:rsidR="008B6E64" w:rsidRPr="005E779E" w:rsidRDefault="008B6E64" w:rsidP="000B7A6C">
      <w:pPr>
        <w:shd w:val="clear" w:color="auto" w:fill="FFFFFF"/>
        <w:spacing w:after="0" w:line="240" w:lineRule="auto"/>
        <w:jc w:val="both"/>
        <w:rPr>
          <w:rFonts w:ascii="Times New Roman" w:hAnsi="Times New Roman"/>
          <w:color w:val="000000" w:themeColor="text1"/>
          <w:sz w:val="16"/>
          <w:szCs w:val="16"/>
        </w:rPr>
      </w:pPr>
    </w:p>
    <w:p w14:paraId="381C3886"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2DB1501C"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65B1D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июня 1931 г. Вышло постановление ЦИК и СНК СССР "Об изменении законодательства Союза ССР в связи с реорганизацией рабоче-крестьянской милиции", изменившее ст. 8 "Основных положений о районных съездах Советов и районных исполкомах" от 13.11.1930 г. В указанной статье было записано: "...при каждом районном исполкоме состоит районное управление рабоче-крестьянской милиции..." (10303).</w:t>
      </w:r>
    </w:p>
    <w:p w14:paraId="70850E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B829E27" w14:textId="77777777" w:rsidR="008B6E64"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1CFA1384" w14:textId="77777777" w:rsidR="008B6E64" w:rsidRPr="005E779E" w:rsidRDefault="008B6E64"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0CB5E29" w14:textId="77777777" w:rsidR="008B6E64" w:rsidRPr="005E779E" w:rsidRDefault="008B6E64"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3 июня</w:t>
      </w:r>
      <w:r w:rsidRPr="005E779E">
        <w:rPr>
          <w:rFonts w:ascii="Times New Roman" w:hAnsi="Times New Roman"/>
          <w:color w:val="000000" w:themeColor="text1"/>
          <w:sz w:val="16"/>
          <w:szCs w:val="16"/>
        </w:rPr>
        <w:t xml:space="preserve"> в 1931 году в Великобритании телевидение Би-би-си провело прямую трансляцию финальных заездов со скачек "Дерби" (14911).</w:t>
      </w:r>
    </w:p>
    <w:p w14:paraId="54E80F01" w14:textId="77777777" w:rsidR="008B6E64" w:rsidRPr="005E779E" w:rsidRDefault="008B6E64" w:rsidP="000B7A6C">
      <w:pPr>
        <w:spacing w:after="0" w:line="240" w:lineRule="auto"/>
        <w:jc w:val="both"/>
        <w:rPr>
          <w:rFonts w:ascii="Times New Roman" w:hAnsi="Times New Roman"/>
          <w:color w:val="000000" w:themeColor="text1"/>
          <w:sz w:val="16"/>
          <w:szCs w:val="16"/>
        </w:rPr>
      </w:pPr>
    </w:p>
    <w:p w14:paraId="65947779"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0BB83C32"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5E9F87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июня 1931 г. состоялся первый регулярный рейс Москва - Харьков для доставки матриц газеты "Правда" (6395).</w:t>
      </w:r>
    </w:p>
    <w:p w14:paraId="6BEDF72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303C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июня 1931 в исполнение решения ЦК ВКП(б) доставлять матрицы Правды в крупнейшие города в день ее выхода используя самолеты, в Харьков полетел П-5 (Р-1 - 438,624) (242,32). Вылетел в 10:58 и в 12:27 началась продажа отпечатанных газет (438,624).</w:t>
      </w:r>
    </w:p>
    <w:p w14:paraId="0C81B1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9455B8D" w14:textId="77777777" w:rsidR="0026014F" w:rsidRPr="005E779E" w:rsidRDefault="0026014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июня 1931 г. проведен первый опыт доставки самолетом матриц центральных газет. Летчик ГВФ Борис Леонидович Местон на самолете Р-1 доставил из Москвы в Харьков матрицы «Правды» в 10 ч. 58 минут, а 2 ч. 27 минут газеты, отпечатанные с этих матриц, уже продавались Харькове. Опыт воздушной доставки матриц был распространен на крупные города. Предполагавшаяся регулярная перевозка матриц, однако, не была осуществлена вследствие отсутствия тогда самолетов и трасс, обеспечивающих полет в любую погоду.</w:t>
      </w:r>
    </w:p>
    <w:p w14:paraId="34D60425" w14:textId="77777777" w:rsidR="0026014F" w:rsidRPr="005E779E" w:rsidRDefault="0026014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/«Гражданская авиация», 1931 № 6; «Авиация и химия», 1931, № 10/ (23370).</w:t>
      </w:r>
    </w:p>
    <w:p w14:paraId="1169C3B4" w14:textId="77777777" w:rsidR="0026014F" w:rsidRPr="005E779E" w:rsidRDefault="0026014F" w:rsidP="000B7A6C">
      <w:pPr>
        <w:spacing w:after="0" w:line="240" w:lineRule="auto"/>
        <w:jc w:val="both"/>
        <w:rPr>
          <w:rFonts w:ascii="Times New Roman" w:hAnsi="Times New Roman"/>
          <w:color w:val="000000" w:themeColor="text1"/>
          <w:sz w:val="16"/>
          <w:szCs w:val="16"/>
        </w:rPr>
      </w:pPr>
    </w:p>
    <w:p w14:paraId="668F5120"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23282D4A"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75E42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июня 1931 года 152-мм мортира обр. 1931 (НМ - немецкая мортира) прибыла на НИАП и испытывалась с 5 по 30 июня 1931 года. Результаты испытаний:</w:t>
      </w:r>
    </w:p>
    <w:p w14:paraId="562DFC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Был сделан 141 выстрел. Вес снаряда 38,3 кг. Длина отката 875892 мм.</w:t>
      </w:r>
    </w:p>
    <w:p w14:paraId="3D2FB8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Угол горизонтального наведения 936 при незакопанных сошниках и колесах, а при закопанных 350</w:t>
      </w:r>
    </w:p>
    <w:p w14:paraId="6AC670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Система на плотном грунте устойчива при углах возвышения больше 20. Система перестает прыгать при углах свыше 30.</w:t>
      </w:r>
    </w:p>
    <w:p w14:paraId="59E801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Сбиваемости установки прицела нет. При дальности 4900-5000 м рассеивание удовлетворительное (3861).</w:t>
      </w:r>
    </w:p>
    <w:p w14:paraId="34953D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C583CA3" w14:textId="77777777" w:rsidR="00347672" w:rsidRPr="005E779E" w:rsidRDefault="00347672"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401B24E3" w14:textId="77777777" w:rsidR="00347672" w:rsidRPr="005E779E" w:rsidRDefault="00347672"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C62F2FA" w14:textId="77777777" w:rsidR="00347672" w:rsidRPr="005E779E" w:rsidRDefault="0034767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июня 1931 г. «Известия» опубликовали ответ работника Госплана Г. Пузиса на статьи Н. Осинского и Цейтлина. Автор исходил из того, что проблема сообщения в крупных городах может быть решена только с помощью их децентрализации (города-спутники). Осинский умолчал о том, что в Нью-Йорке и Лондоне, несмотря на густую сеть линий метро в центральной части города, уличное движение также застопоривается. Цейтлин опирается на ошибочный тезис, что Москва будет разрастаться в ширину. Если даже предположить, что в городе не будет размещено новых предприятий, уровень населения останется стабильным, а производительность труда возрастет по 25% в год, то объем промышленного производства в Москве за десятилетие с 1931 по 1942 г. все же вырастет с 5,5 до 70 млрд. руб., — перспектива успешного социалистического развития. За эти 10 лет можно заново распланировать и отстроить весь город и каждому горожанину предоставить 10-12 кв. метров жилплощади. Помимо того, метрополитен является устаревшим и антисоциальным средством сообщения. Историческая эволюция городского транспорта выглядит следующим образом: железная дорога — городская железная дорога или метрополитен — трамвай — автобус. Только специфические противоречия капитализма препятствовали окончательной ликвидации метрополитена. Решение проблемы на следующие 10-15 лет Пузис видел в проведении социалистической реконструкции и автомобилизации Москвы. На ближайшую перспективу следовало приобрести 2-2,5 тыс. автобусов и прекратить трамвайное движение внутри Бульварного кольца. При цене автобуса в 20 тыс. руб. реализация проекта с дополнительными инвестициями потребовала бы 70-90 млн. руб. На средства, сэкономленные по сравнению с затратами на строительство метро (150 млн. руб.) можно было бы построить автозавод по производству автобусов{322}.</w:t>
      </w:r>
    </w:p>
    <w:p w14:paraId="2B104AD8" w14:textId="77777777" w:rsidR="00347672" w:rsidRPr="005E779E" w:rsidRDefault="0034767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Редакция «Известий» поместила статью Пузиса как материал для дискуссии, приветствовала его требование расширить автобусный парк, но дистанцировалась от отрицания метрополитена и представлений автора о перспективах развитии Москвы. Не может быть и речи, что метрополитен устарел, так как в Берлине, Нью-Йорке и повсюду он успешно развивается. Только в Лондоне автобусы потеснили метро{323} (18299).</w:t>
      </w:r>
    </w:p>
    <w:p w14:paraId="2B141B35" w14:textId="77777777" w:rsidR="00347672" w:rsidRPr="005E779E" w:rsidRDefault="00347672" w:rsidP="000B7A6C">
      <w:pPr>
        <w:spacing w:after="0" w:line="240" w:lineRule="auto"/>
        <w:jc w:val="both"/>
        <w:rPr>
          <w:rFonts w:ascii="Times New Roman" w:hAnsi="Times New Roman"/>
          <w:color w:val="000000" w:themeColor="text1"/>
          <w:sz w:val="16"/>
          <w:szCs w:val="16"/>
        </w:rPr>
      </w:pPr>
    </w:p>
    <w:p w14:paraId="3D6498D2" w14:textId="77777777" w:rsidR="008B6E64"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57477E97" w14:textId="77777777" w:rsidR="008B6E64" w:rsidRPr="005E779E" w:rsidRDefault="008B6E64"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8F5F54D" w14:textId="77777777" w:rsidR="00736279" w:rsidRPr="005E779E" w:rsidRDefault="0073627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июня 1931 - Летающая лодка Latecoere 28-3, оснащенная двигателем Hispano-Suiza, пилотируемая лейтенантом де Vaisseau Paris и М. Gonord установила рекорд дальности для гидросамолетов на 3113,8 миль (5011,2 км) в Арашоне, Франция (22471).</w:t>
      </w:r>
    </w:p>
    <w:p w14:paraId="6ED069D4" w14:textId="77777777" w:rsidR="00736279" w:rsidRPr="005E779E" w:rsidRDefault="00736279" w:rsidP="000B7A6C">
      <w:pPr>
        <w:spacing w:after="0" w:line="240" w:lineRule="auto"/>
        <w:jc w:val="both"/>
        <w:rPr>
          <w:rFonts w:ascii="Times New Roman" w:hAnsi="Times New Roman"/>
          <w:color w:val="000000" w:themeColor="text1"/>
          <w:sz w:val="16"/>
          <w:szCs w:val="16"/>
        </w:rPr>
      </w:pPr>
    </w:p>
    <w:p w14:paraId="6CD03993" w14:textId="77777777" w:rsidR="008B6E64" w:rsidRPr="005E779E" w:rsidRDefault="008B6E6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июня 1930 г. А. Соучеком (</w:t>
      </w:r>
      <w:r w:rsidRPr="005E779E">
        <w:rPr>
          <w:rFonts w:ascii="Times New Roman" w:hAnsi="Times New Roman"/>
          <w:color w:val="000000" w:themeColor="text1"/>
          <w:sz w:val="16"/>
          <w:szCs w:val="16"/>
          <w:lang w:val="en-US"/>
        </w:rPr>
        <w:t>ApolloSoucek</w:t>
      </w:r>
      <w:r w:rsidRPr="005E779E">
        <w:rPr>
          <w:rFonts w:ascii="Times New Roman" w:hAnsi="Times New Roman"/>
          <w:color w:val="000000" w:themeColor="text1"/>
          <w:sz w:val="16"/>
          <w:szCs w:val="16"/>
        </w:rPr>
        <w:t>) на аме</w:t>
      </w:r>
      <w:r w:rsidRPr="005E779E">
        <w:rPr>
          <w:rFonts w:ascii="Times New Roman" w:hAnsi="Times New Roman"/>
          <w:color w:val="000000" w:themeColor="text1"/>
          <w:sz w:val="16"/>
          <w:szCs w:val="16"/>
        </w:rPr>
        <w:softHyphen/>
        <w:t xml:space="preserve">риканском самолёте Райт </w:t>
      </w:r>
      <w:r w:rsidRPr="005E779E">
        <w:rPr>
          <w:rFonts w:ascii="Times New Roman" w:hAnsi="Times New Roman"/>
          <w:color w:val="000000" w:themeColor="text1"/>
          <w:sz w:val="16"/>
          <w:szCs w:val="16"/>
          <w:lang w:val="en-US"/>
        </w:rPr>
        <w:t>F</w:t>
      </w:r>
      <w:r w:rsidRPr="005E779E">
        <w:rPr>
          <w:rFonts w:ascii="Times New Roman" w:hAnsi="Times New Roman"/>
          <w:color w:val="000000" w:themeColor="text1"/>
          <w:sz w:val="16"/>
          <w:szCs w:val="16"/>
        </w:rPr>
        <w:t>3</w:t>
      </w:r>
      <w:r w:rsidRPr="005E779E">
        <w:rPr>
          <w:rFonts w:ascii="Times New Roman" w:hAnsi="Times New Roman"/>
          <w:color w:val="000000" w:themeColor="text1"/>
          <w:sz w:val="16"/>
          <w:szCs w:val="16"/>
          <w:lang w:val="en-US"/>
        </w:rPr>
        <w:t>W</w:t>
      </w:r>
      <w:r w:rsidRPr="005E779E">
        <w:rPr>
          <w:rFonts w:ascii="Times New Roman" w:hAnsi="Times New Roman"/>
          <w:color w:val="000000" w:themeColor="text1"/>
          <w:sz w:val="16"/>
          <w:szCs w:val="16"/>
        </w:rPr>
        <w:t>-1 «Апач» был установлен рекорд 13157 м.</w:t>
      </w:r>
    </w:p>
    <w:p w14:paraId="0B3DAAA0" w14:textId="77777777" w:rsidR="008B6E64" w:rsidRPr="005E779E" w:rsidRDefault="008B6E6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Этот одноместный биплан проектиро</w:t>
      </w:r>
      <w:r w:rsidRPr="005E779E">
        <w:rPr>
          <w:rFonts w:ascii="Times New Roman" w:hAnsi="Times New Roman"/>
          <w:color w:val="000000" w:themeColor="text1"/>
          <w:sz w:val="16"/>
          <w:szCs w:val="16"/>
        </w:rPr>
        <w:softHyphen/>
        <w:t>вался как лёгкий палубный истребитель. Самолёт использовался для испытаний двигателя Пратт &amp; Уитни «Уосп» мощностью 420 л.с. со встроенным приводным центробежным на</w:t>
      </w:r>
      <w:r w:rsidRPr="005E779E">
        <w:rPr>
          <w:rFonts w:ascii="Times New Roman" w:hAnsi="Times New Roman"/>
          <w:color w:val="000000" w:themeColor="text1"/>
          <w:sz w:val="16"/>
          <w:szCs w:val="16"/>
        </w:rPr>
        <w:softHyphen/>
        <w:t xml:space="preserve">гнетателем (третий рекорд был установлен с мотором мощностью 450 л.с.). После первого рекордного полёта лётчика К. Чемпиона (С.С. </w:t>
      </w:r>
      <w:r w:rsidRPr="005E779E">
        <w:rPr>
          <w:rFonts w:ascii="Times New Roman" w:hAnsi="Times New Roman"/>
          <w:color w:val="000000" w:themeColor="text1"/>
          <w:sz w:val="16"/>
          <w:szCs w:val="16"/>
          <w:lang w:val="en-US"/>
        </w:rPr>
        <w:t>Champion</w:t>
      </w:r>
      <w:r w:rsidRPr="005E779E">
        <w:rPr>
          <w:rFonts w:ascii="Times New Roman" w:hAnsi="Times New Roman"/>
          <w:color w:val="000000" w:themeColor="text1"/>
          <w:sz w:val="16"/>
          <w:szCs w:val="16"/>
        </w:rPr>
        <w:t xml:space="preserve">) - 11710 м в июле 1927, конструкцию </w:t>
      </w:r>
      <w:r w:rsidRPr="005E779E">
        <w:rPr>
          <w:rFonts w:ascii="Times New Roman" w:hAnsi="Times New Roman"/>
          <w:color w:val="000000" w:themeColor="text1"/>
          <w:sz w:val="16"/>
          <w:szCs w:val="16"/>
          <w:lang w:val="en-US"/>
        </w:rPr>
        <w:t>F</w:t>
      </w:r>
      <w:r w:rsidRPr="005E779E">
        <w:rPr>
          <w:rFonts w:ascii="Times New Roman" w:hAnsi="Times New Roman"/>
          <w:color w:val="000000" w:themeColor="text1"/>
          <w:sz w:val="16"/>
          <w:szCs w:val="16"/>
        </w:rPr>
        <w:t>3</w:t>
      </w:r>
      <w:r w:rsidRPr="005E779E">
        <w:rPr>
          <w:rFonts w:ascii="Times New Roman" w:hAnsi="Times New Roman"/>
          <w:color w:val="000000" w:themeColor="text1"/>
          <w:sz w:val="16"/>
          <w:szCs w:val="16"/>
          <w:lang w:val="en-US"/>
        </w:rPr>
        <w:t>W</w:t>
      </w:r>
      <w:r w:rsidRPr="005E779E">
        <w:rPr>
          <w:rFonts w:ascii="Times New Roman" w:hAnsi="Times New Roman"/>
          <w:color w:val="000000" w:themeColor="text1"/>
          <w:sz w:val="16"/>
          <w:szCs w:val="16"/>
        </w:rPr>
        <w:t>-1 доработали. Центр тяжести был смещён вперёд, крылья для экономии веса не окрашивались, а только покрывались лаком, установили дру</w:t>
      </w:r>
      <w:r w:rsidRPr="005E779E">
        <w:rPr>
          <w:rFonts w:ascii="Times New Roman" w:hAnsi="Times New Roman"/>
          <w:color w:val="000000" w:themeColor="text1"/>
          <w:sz w:val="16"/>
          <w:szCs w:val="16"/>
        </w:rPr>
        <w:softHyphen/>
        <w:t>гой двигатель «Уосп» с более совершенным нагнетателем и специальным карбюратором.</w:t>
      </w:r>
    </w:p>
    <w:p w14:paraId="57C77718" w14:textId="77777777" w:rsidR="008B6E64" w:rsidRPr="005E779E" w:rsidRDefault="008B6E6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Кабина обогревалась выхлопными газами. На случай потери сознания имелось устрой</w:t>
      </w:r>
      <w:r w:rsidRPr="005E779E">
        <w:rPr>
          <w:rFonts w:ascii="Times New Roman" w:hAnsi="Times New Roman"/>
          <w:color w:val="000000" w:themeColor="text1"/>
          <w:sz w:val="16"/>
          <w:szCs w:val="16"/>
        </w:rPr>
        <w:softHyphen/>
        <w:t>ство, прекращавшее подачу топлива и вы</w:t>
      </w:r>
      <w:r w:rsidRPr="005E779E">
        <w:rPr>
          <w:rFonts w:ascii="Times New Roman" w:hAnsi="Times New Roman"/>
          <w:color w:val="000000" w:themeColor="text1"/>
          <w:sz w:val="16"/>
          <w:szCs w:val="16"/>
        </w:rPr>
        <w:softHyphen/>
        <w:t>ключавшее нагнетатель.</w:t>
      </w:r>
    </w:p>
    <w:p w14:paraId="1A30ABB0" w14:textId="77777777" w:rsidR="008B6E64" w:rsidRPr="005E779E" w:rsidRDefault="008B6E6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Высотная экипировка Соучека помимо тёплой одежды включала очки с электро</w:t>
      </w:r>
      <w:r w:rsidRPr="005E779E">
        <w:rPr>
          <w:rFonts w:ascii="Times New Roman" w:hAnsi="Times New Roman"/>
          <w:color w:val="000000" w:themeColor="text1"/>
          <w:sz w:val="16"/>
          <w:szCs w:val="16"/>
        </w:rPr>
        <w:softHyphen/>
        <w:t>подогревом, а дыхательное оборудование было усовершенствовано, чтобы кислород подавался в лёгкие под давлением. Давление создавалось сжатием кислородного шлан</w:t>
      </w:r>
      <w:r w:rsidRPr="005E779E">
        <w:rPr>
          <w:rFonts w:ascii="Times New Roman" w:hAnsi="Times New Roman"/>
          <w:color w:val="000000" w:themeColor="text1"/>
          <w:sz w:val="16"/>
          <w:szCs w:val="16"/>
        </w:rPr>
        <w:softHyphen/>
        <w:t>га: «С опытом я понял, что на 40000 футов [12 км] или выше давление воздуха намно</w:t>
      </w:r>
      <w:r w:rsidRPr="005E779E">
        <w:rPr>
          <w:rFonts w:ascii="Times New Roman" w:hAnsi="Times New Roman"/>
          <w:color w:val="000000" w:themeColor="text1"/>
          <w:sz w:val="16"/>
          <w:szCs w:val="16"/>
        </w:rPr>
        <w:softHyphen/>
        <w:t>го меньше, чем давление в лёгких пилота, в результате чего, когда кислород из обыч</w:t>
      </w:r>
      <w:r w:rsidRPr="005E779E">
        <w:rPr>
          <w:rFonts w:ascii="Times New Roman" w:hAnsi="Times New Roman"/>
          <w:color w:val="000000" w:themeColor="text1"/>
          <w:sz w:val="16"/>
          <w:szCs w:val="16"/>
        </w:rPr>
        <w:softHyphen/>
        <w:t>ного кислородного устройства подаётся в рот, давление в легких стремится вытолкнуть его обратно. Тогда, не так давно, я удлинил дыхательную трубку на пару футов и затем пришил нижнюю часть к ручке управления самолётом. Это преследовало цель создать в трубке давление, равное давлению в моих лёгких, так, чтобы поступающий кислород, вместо того, чтобы быть вытолкнутым обрат</w:t>
      </w:r>
      <w:r w:rsidRPr="005E779E">
        <w:rPr>
          <w:rFonts w:ascii="Times New Roman" w:hAnsi="Times New Roman"/>
          <w:color w:val="000000" w:themeColor="text1"/>
          <w:sz w:val="16"/>
          <w:szCs w:val="16"/>
        </w:rPr>
        <w:softHyphen/>
        <w:t>но ко рту, должным образом поступал в лёг</w:t>
      </w:r>
      <w:r w:rsidRPr="005E779E">
        <w:rPr>
          <w:rFonts w:ascii="Times New Roman" w:hAnsi="Times New Roman"/>
          <w:color w:val="000000" w:themeColor="text1"/>
          <w:sz w:val="16"/>
          <w:szCs w:val="16"/>
        </w:rPr>
        <w:softHyphen/>
        <w:t>кие».</w:t>
      </w:r>
    </w:p>
    <w:p w14:paraId="58373BDA" w14:textId="77777777" w:rsidR="008B6E64" w:rsidRPr="005E779E" w:rsidRDefault="008B6E6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Однако, не став исключением, полёты Соучека, всё же, сопровождались непри</w:t>
      </w:r>
      <w:r w:rsidRPr="005E779E">
        <w:rPr>
          <w:rFonts w:ascii="Times New Roman" w:hAnsi="Times New Roman"/>
          <w:color w:val="000000" w:themeColor="text1"/>
          <w:sz w:val="16"/>
          <w:szCs w:val="16"/>
        </w:rPr>
        <w:softHyphen/>
        <w:t>ятными сюрпризами: «Эта трубка должна была довольно</w:t>
      </w:r>
      <w:r w:rsidRPr="005E779E">
        <w:rPr>
          <w:rStyle w:val="aff6"/>
          <w:rFonts w:ascii="Times New Roman" w:eastAsia="Arial Unicode MS" w:hAnsi="Times New Roman" w:cs="Times New Roman"/>
          <w:i w:val="0"/>
          <w:color w:val="000000" w:themeColor="text1"/>
        </w:rPr>
        <w:t xml:space="preserve"> часто</w:t>
      </w:r>
      <w:r w:rsidRPr="005E779E">
        <w:rPr>
          <w:rFonts w:ascii="Times New Roman" w:hAnsi="Times New Roman"/>
          <w:color w:val="000000" w:themeColor="text1"/>
          <w:sz w:val="16"/>
          <w:szCs w:val="16"/>
        </w:rPr>
        <w:t xml:space="preserve"> открываться, чтобы дать выйти ядовитому воздуху. Несколько недель назад во время испытательного по</w:t>
      </w:r>
      <w:r w:rsidRPr="005E779E">
        <w:rPr>
          <w:rFonts w:ascii="Times New Roman" w:hAnsi="Times New Roman"/>
          <w:color w:val="000000" w:themeColor="text1"/>
          <w:sz w:val="16"/>
          <w:szCs w:val="16"/>
        </w:rPr>
        <w:softHyphen/>
        <w:t>лёта на высоте около 35000 фт [10700 м] я забыл сжать трубку, из-за чего почти сразу же мне стало очень трудно дышать. Давле</w:t>
      </w:r>
      <w:r w:rsidRPr="005E779E">
        <w:rPr>
          <w:rFonts w:ascii="Times New Roman" w:hAnsi="Times New Roman"/>
          <w:color w:val="000000" w:themeColor="text1"/>
          <w:sz w:val="16"/>
          <w:szCs w:val="16"/>
        </w:rPr>
        <w:softHyphen/>
        <w:t>ние в трубке стало настолько сильным, что из-за него поток, фактически, выдувался у кончиков рта, и я почувствовал, что он за</w:t>
      </w:r>
      <w:r w:rsidRPr="005E779E">
        <w:rPr>
          <w:rFonts w:ascii="Times New Roman" w:hAnsi="Times New Roman"/>
          <w:color w:val="000000" w:themeColor="text1"/>
          <w:sz w:val="16"/>
          <w:szCs w:val="16"/>
        </w:rPr>
        <w:softHyphen/>
        <w:t>мёрз! Конечно, я разжал трубку, но она не открывалась. Внутренние части смёрзлись, когда она была сжата. Тем не менее, я как-то умудрился качанием и ударами добиться, что она вновь заработала». Подобная ситуация повторилась в рекордном полёте 4 июня 1930 г. Тогда лёд, образовавшийся в трубке кислородного аппарата, перекрыл подачу кислорода. Лётчику пришлось рас</w:t>
      </w:r>
      <w:r w:rsidRPr="005E779E">
        <w:rPr>
          <w:rFonts w:ascii="Times New Roman" w:hAnsi="Times New Roman"/>
          <w:color w:val="000000" w:themeColor="text1"/>
          <w:sz w:val="16"/>
          <w:szCs w:val="16"/>
        </w:rPr>
        <w:softHyphen/>
        <w:t>калывать его ударами трубки о фюзеляж и затем вытряхивать осколки. В полете 8 мая 1929 г. Соучек столкнулся и с другой проблемой. Ему пришлось прилагать боль</w:t>
      </w:r>
      <w:r w:rsidRPr="005E779E">
        <w:rPr>
          <w:rFonts w:ascii="Times New Roman" w:hAnsi="Times New Roman"/>
          <w:color w:val="000000" w:themeColor="text1"/>
          <w:sz w:val="16"/>
          <w:szCs w:val="16"/>
        </w:rPr>
        <w:softHyphen/>
        <w:t>шие усилия для управления самолётом – на большой высоте замёрзло масло, которым были смазаны тяги (15842).</w:t>
      </w:r>
    </w:p>
    <w:p w14:paraId="5A000DE2" w14:textId="77777777" w:rsidR="008B6E64" w:rsidRPr="005E779E" w:rsidRDefault="008B6E64" w:rsidP="000B7A6C">
      <w:pPr>
        <w:spacing w:after="0" w:line="240" w:lineRule="auto"/>
        <w:jc w:val="both"/>
        <w:rPr>
          <w:rFonts w:ascii="Times New Roman" w:hAnsi="Times New Roman"/>
          <w:color w:val="000000" w:themeColor="text1"/>
          <w:sz w:val="16"/>
          <w:szCs w:val="16"/>
        </w:rPr>
      </w:pPr>
    </w:p>
    <w:p w14:paraId="036D911F" w14:textId="77777777" w:rsidR="00736279" w:rsidRPr="005E779E" w:rsidRDefault="0073627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shd w:val="clear" w:color="auto" w:fill="FFFFFF"/>
        </w:rPr>
        <w:t>4 июня 1931 п/л «Наутилус» покинула США, но во время перехода через Атлантику один из его двух дизелей вышел из строя в 450 километрах от берегов Ирландии. В Лондон его пришлось доставить на буксире американского крейсера «Вайоминг». Все полагали, что на том отчаянное путешествие и закончится. И все же Уилкинс сделал все, зависящее от него, и «Наутилус» продолжил плавание. Хотя и без надежды встретиться с дирижаблем. 1 августа он пришел в Берген, спустя две недели зашел на Шпицберген, откуда и начал самый трудный переход. На 82° достиг кромки паковых льдов, где и потерял горизонтальные рули. Уилкинсу пришлось окончательно отказаться от своего намерения и повернуть назад. 10 сентября «Наутилус» вернулся в Берген, где год спустя его и затопили (20467).</w:t>
      </w:r>
    </w:p>
    <w:p w14:paraId="1D651420" w14:textId="77777777" w:rsidR="00736279" w:rsidRPr="005E779E" w:rsidRDefault="00736279" w:rsidP="000B7A6C">
      <w:pPr>
        <w:spacing w:after="0" w:line="240" w:lineRule="auto"/>
        <w:jc w:val="both"/>
        <w:rPr>
          <w:rFonts w:ascii="Times New Roman" w:hAnsi="Times New Roman"/>
          <w:color w:val="000000" w:themeColor="text1"/>
          <w:sz w:val="16"/>
          <w:szCs w:val="16"/>
        </w:rPr>
      </w:pPr>
    </w:p>
    <w:p w14:paraId="4F218253"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53918138"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0171D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июня 1931 года закончились серийные испытания самолета Р-1 N ОГ26 серии N 34 с мотором М-5-400 НР N 3279, степень сжатия 5,4 завода N 24 серия Ч возд. винт диаметр 2,9 м завода 31, которые проводились с 21 декабря 1930.</w:t>
      </w:r>
    </w:p>
    <w:p w14:paraId="61DC67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Испытания в воздухе производил летчик-сдатчик завода N 31 Ремезюк.</w:t>
      </w:r>
    </w:p>
    <w:p w14:paraId="5F75A8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w:t>
      </w:r>
    </w:p>
    <w:p w14:paraId="3FBD22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летном отношении на основании полученных результатов от испытания, хотя и находящихся на крайних пределах норм положенных по техническим условиям.</w:t>
      </w:r>
    </w:p>
    <w:p w14:paraId="55DE03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Комиссия предлагает признать отвечающий техническим условиям на поставку Р-1 с мотором М5 - 400 НР, как самолет N ОГ26, так и самолеты всей серии (3215).</w:t>
      </w:r>
    </w:p>
    <w:p w14:paraId="413D86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057651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июня 1931 состоялся последний полет КАСКР-2. Задача состояла в том, чтобы продемонстрировать вер</w:t>
      </w:r>
      <w:r w:rsidRPr="005E779E">
        <w:rPr>
          <w:rFonts w:ascii="Times New Roman" w:hAnsi="Times New Roman"/>
          <w:color w:val="000000" w:themeColor="text1"/>
          <w:sz w:val="16"/>
          <w:szCs w:val="16"/>
        </w:rPr>
        <w:softHyphen/>
        <w:t>тикальное парашютирование аппарата. Фактически удалось осуществить крутое планирование под углом 60 градусов к горизонту и с вертикаль</w:t>
      </w:r>
      <w:r w:rsidRPr="005E779E">
        <w:rPr>
          <w:rFonts w:ascii="Times New Roman" w:hAnsi="Times New Roman"/>
          <w:color w:val="000000" w:themeColor="text1"/>
          <w:sz w:val="16"/>
          <w:szCs w:val="16"/>
        </w:rPr>
        <w:softHyphen/>
        <w:t>ной скоростью снижения 7 м/с. Перед приземлением Кошиц выполнил энергичное торможение с выравниванием и совершил посадку с пробе</w:t>
      </w:r>
      <w:r w:rsidRPr="005E779E">
        <w:rPr>
          <w:rFonts w:ascii="Times New Roman" w:hAnsi="Times New Roman"/>
          <w:color w:val="000000" w:themeColor="text1"/>
          <w:sz w:val="16"/>
          <w:szCs w:val="16"/>
        </w:rPr>
        <w:softHyphen/>
        <w:t>гом около 10 метров. КАСКР-2 показал все, на что он был способен.</w:t>
      </w:r>
    </w:p>
    <w:p w14:paraId="63CDE0A5"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F40AA38" w14:textId="77777777" w:rsidR="0040061B" w:rsidRPr="005E779E" w:rsidRDefault="0040061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июня 1931 г. состоялся последний полет КАСКР-2, в ко</w:t>
      </w:r>
      <w:r w:rsidRPr="005E779E">
        <w:rPr>
          <w:rFonts w:ascii="Times New Roman" w:hAnsi="Times New Roman"/>
          <w:color w:val="000000" w:themeColor="text1"/>
          <w:sz w:val="16"/>
          <w:szCs w:val="16"/>
        </w:rPr>
        <w:softHyphen/>
        <w:t>тором летчик Кошиц осуществил крутое планирование под углом 60о с вертикальной скоростью 7 м/с. Перед приземлением он выполнил энергичное выравнивание, позволившее уменьшить пробег по земле до 10 метров. Дальнейшее совершенствование аппарата признали нера</w:t>
      </w:r>
      <w:r w:rsidRPr="005E779E">
        <w:rPr>
          <w:rFonts w:ascii="Times New Roman" w:hAnsi="Times New Roman"/>
          <w:color w:val="000000" w:themeColor="text1"/>
          <w:sz w:val="16"/>
          <w:szCs w:val="16"/>
        </w:rPr>
        <w:softHyphen/>
        <w:t>циональным и работы по нему прекратили. Всего КАСКР выполнил 90 полетов, наибольшая продолжительность одного из них составила 28 минут, максимальная достиг</w:t>
      </w:r>
      <w:r w:rsidRPr="005E779E">
        <w:rPr>
          <w:rFonts w:ascii="Times New Roman" w:hAnsi="Times New Roman"/>
          <w:color w:val="000000" w:themeColor="text1"/>
          <w:sz w:val="16"/>
          <w:szCs w:val="16"/>
        </w:rPr>
        <w:softHyphen/>
        <w:t>нутая высота — 450 метров (20361).</w:t>
      </w:r>
    </w:p>
    <w:p w14:paraId="4ECF1157" w14:textId="77777777" w:rsidR="0040061B" w:rsidRPr="005E779E" w:rsidRDefault="0040061B" w:rsidP="000B7A6C">
      <w:pPr>
        <w:shd w:val="clear" w:color="auto" w:fill="FFFFFF"/>
        <w:spacing w:after="0" w:line="240" w:lineRule="auto"/>
        <w:jc w:val="both"/>
        <w:rPr>
          <w:rFonts w:ascii="Times New Roman" w:hAnsi="Times New Roman"/>
          <w:color w:val="000000" w:themeColor="text1"/>
          <w:sz w:val="16"/>
          <w:szCs w:val="16"/>
        </w:rPr>
      </w:pPr>
    </w:p>
    <w:p w14:paraId="6C300A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июня 1931 Нач. Отдела требований НИИ ВВС РККА Соколов-Соколенок подписал "План опытного самолетостроения ВВС РККА на 1932-1934/35 г (План N 2):</w:t>
      </w:r>
    </w:p>
    <w:p w14:paraId="0A066A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Самолеты "Системы вооружения ВВС РККА"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526"/>
        <w:gridCol w:w="746"/>
        <w:gridCol w:w="746"/>
        <w:gridCol w:w="746"/>
        <w:gridCol w:w="746"/>
        <w:gridCol w:w="746"/>
        <w:gridCol w:w="746"/>
        <w:gridCol w:w="746"/>
        <w:gridCol w:w="746"/>
        <w:gridCol w:w="746"/>
        <w:gridCol w:w="2360"/>
      </w:tblGrid>
      <w:tr w:rsidR="001002C3" w:rsidRPr="005E779E" w14:paraId="7243E672" w14:textId="77777777">
        <w:tc>
          <w:tcPr>
            <w:tcW w:w="1526" w:type="dxa"/>
          </w:tcPr>
          <w:p w14:paraId="3331B4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w:t>
            </w:r>
          </w:p>
        </w:tc>
        <w:tc>
          <w:tcPr>
            <w:tcW w:w="746" w:type="dxa"/>
          </w:tcPr>
          <w:p w14:paraId="14DCFB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Литер</w:t>
            </w:r>
          </w:p>
        </w:tc>
        <w:tc>
          <w:tcPr>
            <w:tcW w:w="746" w:type="dxa"/>
          </w:tcPr>
          <w:p w14:paraId="7C9903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Кто</w:t>
            </w:r>
          </w:p>
        </w:tc>
        <w:tc>
          <w:tcPr>
            <w:tcW w:w="746" w:type="dxa"/>
          </w:tcPr>
          <w:p w14:paraId="15268D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Срок</w:t>
            </w:r>
          </w:p>
        </w:tc>
        <w:tc>
          <w:tcPr>
            <w:tcW w:w="746" w:type="dxa"/>
          </w:tcPr>
          <w:p w14:paraId="030F33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Высота</w:t>
            </w:r>
          </w:p>
        </w:tc>
        <w:tc>
          <w:tcPr>
            <w:tcW w:w="746" w:type="dxa"/>
          </w:tcPr>
          <w:p w14:paraId="79450F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Скорость</w:t>
            </w:r>
          </w:p>
        </w:tc>
        <w:tc>
          <w:tcPr>
            <w:tcW w:w="746" w:type="dxa"/>
          </w:tcPr>
          <w:p w14:paraId="6972A0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w:t>
            </w:r>
          </w:p>
        </w:tc>
        <w:tc>
          <w:tcPr>
            <w:tcW w:w="746" w:type="dxa"/>
          </w:tcPr>
          <w:p w14:paraId="6D922C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Груз</w:t>
            </w:r>
          </w:p>
        </w:tc>
        <w:tc>
          <w:tcPr>
            <w:tcW w:w="746" w:type="dxa"/>
          </w:tcPr>
          <w:p w14:paraId="1BCDB1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Материал</w:t>
            </w:r>
          </w:p>
        </w:tc>
        <w:tc>
          <w:tcPr>
            <w:tcW w:w="746" w:type="dxa"/>
          </w:tcPr>
          <w:p w14:paraId="3D2347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Замена</w:t>
            </w:r>
          </w:p>
        </w:tc>
        <w:tc>
          <w:tcPr>
            <w:tcW w:w="2360" w:type="dxa"/>
          </w:tcPr>
          <w:p w14:paraId="0D8CEB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Примечание</w:t>
            </w:r>
          </w:p>
        </w:tc>
      </w:tr>
      <w:tr w:rsidR="001002C3" w:rsidRPr="005E779E" w14:paraId="0CB13C61" w14:textId="77777777">
        <w:tc>
          <w:tcPr>
            <w:tcW w:w="1526" w:type="dxa"/>
          </w:tcPr>
          <w:p w14:paraId="31EC8D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ТБ, он же</w:t>
            </w:r>
          </w:p>
        </w:tc>
        <w:tc>
          <w:tcPr>
            <w:tcW w:w="746" w:type="dxa"/>
          </w:tcPr>
          <w:p w14:paraId="5AF23C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ТБ-7</w:t>
            </w:r>
          </w:p>
        </w:tc>
        <w:tc>
          <w:tcPr>
            <w:tcW w:w="746" w:type="dxa"/>
          </w:tcPr>
          <w:p w14:paraId="1A10FC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w:t>
            </w:r>
          </w:p>
        </w:tc>
        <w:tc>
          <w:tcPr>
            <w:tcW w:w="746" w:type="dxa"/>
          </w:tcPr>
          <w:p w14:paraId="18B831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01.12.32</w:t>
            </w:r>
          </w:p>
        </w:tc>
        <w:tc>
          <w:tcPr>
            <w:tcW w:w="746" w:type="dxa"/>
          </w:tcPr>
          <w:p w14:paraId="6D3EE9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7000</w:t>
            </w:r>
          </w:p>
        </w:tc>
        <w:tc>
          <w:tcPr>
            <w:tcW w:w="746" w:type="dxa"/>
          </w:tcPr>
          <w:p w14:paraId="218B51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250/5000</w:t>
            </w:r>
          </w:p>
        </w:tc>
        <w:tc>
          <w:tcPr>
            <w:tcW w:w="746" w:type="dxa"/>
          </w:tcPr>
          <w:p w14:paraId="78B8F4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1500/</w:t>
            </w:r>
          </w:p>
        </w:tc>
        <w:tc>
          <w:tcPr>
            <w:tcW w:w="746" w:type="dxa"/>
          </w:tcPr>
          <w:p w14:paraId="6A8B43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10000</w:t>
            </w:r>
          </w:p>
        </w:tc>
        <w:tc>
          <w:tcPr>
            <w:tcW w:w="746" w:type="dxa"/>
          </w:tcPr>
          <w:p w14:paraId="7B9EFF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Сталь/дюраль</w:t>
            </w:r>
          </w:p>
        </w:tc>
        <w:tc>
          <w:tcPr>
            <w:tcW w:w="746" w:type="dxa"/>
          </w:tcPr>
          <w:p w14:paraId="1DB446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ТБ-4/К-7</w:t>
            </w:r>
          </w:p>
        </w:tc>
        <w:tc>
          <w:tcPr>
            <w:tcW w:w="2360" w:type="dxa"/>
          </w:tcPr>
          <w:p w14:paraId="280617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Новый</w:t>
            </w:r>
          </w:p>
        </w:tc>
      </w:tr>
      <w:tr w:rsidR="001002C3" w:rsidRPr="005E779E" w14:paraId="1FB63F3C" w14:textId="77777777">
        <w:tc>
          <w:tcPr>
            <w:tcW w:w="1526" w:type="dxa"/>
          </w:tcPr>
          <w:p w14:paraId="066619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пас/грузовой</w:t>
            </w:r>
          </w:p>
        </w:tc>
        <w:tc>
          <w:tcPr>
            <w:tcW w:w="746" w:type="dxa"/>
          </w:tcPr>
          <w:p w14:paraId="15E749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4М-44</w:t>
            </w:r>
          </w:p>
        </w:tc>
        <w:tc>
          <w:tcPr>
            <w:tcW w:w="746" w:type="dxa"/>
          </w:tcPr>
          <w:p w14:paraId="64F953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BFCEC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0FDD1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4486F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9F034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2000</w:t>
            </w:r>
          </w:p>
        </w:tc>
        <w:tc>
          <w:tcPr>
            <w:tcW w:w="746" w:type="dxa"/>
          </w:tcPr>
          <w:p w14:paraId="1F1752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4пу/4пул</w:t>
            </w:r>
          </w:p>
        </w:tc>
        <w:tc>
          <w:tcPr>
            <w:tcW w:w="746" w:type="dxa"/>
          </w:tcPr>
          <w:p w14:paraId="5CBEEE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3D58F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52F1C2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64F91D6" w14:textId="77777777">
        <w:tc>
          <w:tcPr>
            <w:tcW w:w="1526" w:type="dxa"/>
          </w:tcPr>
          <w:p w14:paraId="2DA4B1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Тяж. хим. боев.</w:t>
            </w:r>
          </w:p>
        </w:tc>
        <w:tc>
          <w:tcPr>
            <w:tcW w:w="746" w:type="dxa"/>
          </w:tcPr>
          <w:p w14:paraId="2245A0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ХI</w:t>
            </w:r>
          </w:p>
        </w:tc>
        <w:tc>
          <w:tcPr>
            <w:tcW w:w="746" w:type="dxa"/>
          </w:tcPr>
          <w:p w14:paraId="641D9E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ГРОС</w:t>
            </w:r>
          </w:p>
        </w:tc>
        <w:tc>
          <w:tcPr>
            <w:tcW w:w="746" w:type="dxa"/>
          </w:tcPr>
          <w:p w14:paraId="5F6040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01.09.32</w:t>
            </w:r>
          </w:p>
        </w:tc>
        <w:tc>
          <w:tcPr>
            <w:tcW w:w="746" w:type="dxa"/>
          </w:tcPr>
          <w:p w14:paraId="0AA4FD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746" w:type="dxa"/>
          </w:tcPr>
          <w:p w14:paraId="76939A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250</w:t>
            </w:r>
          </w:p>
        </w:tc>
        <w:tc>
          <w:tcPr>
            <w:tcW w:w="746" w:type="dxa"/>
          </w:tcPr>
          <w:p w14:paraId="17AC1F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w:t>
            </w:r>
          </w:p>
        </w:tc>
        <w:tc>
          <w:tcPr>
            <w:tcW w:w="746" w:type="dxa"/>
          </w:tcPr>
          <w:p w14:paraId="415214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3-4пул</w:t>
            </w:r>
          </w:p>
        </w:tc>
        <w:tc>
          <w:tcPr>
            <w:tcW w:w="746" w:type="dxa"/>
          </w:tcPr>
          <w:p w14:paraId="04F9A0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Сталь/дюраль</w:t>
            </w:r>
          </w:p>
        </w:tc>
        <w:tc>
          <w:tcPr>
            <w:tcW w:w="746" w:type="dxa"/>
          </w:tcPr>
          <w:p w14:paraId="779568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2360" w:type="dxa"/>
          </w:tcPr>
          <w:p w14:paraId="39C5DA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Новый</w:t>
            </w:r>
          </w:p>
        </w:tc>
      </w:tr>
      <w:tr w:rsidR="001002C3" w:rsidRPr="005E779E" w14:paraId="608F3540" w14:textId="77777777">
        <w:tc>
          <w:tcPr>
            <w:tcW w:w="1526" w:type="dxa"/>
          </w:tcPr>
          <w:p w14:paraId="659AC6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он же для горюч.</w:t>
            </w:r>
          </w:p>
        </w:tc>
        <w:tc>
          <w:tcPr>
            <w:tcW w:w="746" w:type="dxa"/>
          </w:tcPr>
          <w:p w14:paraId="7DB8AE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2М-34</w:t>
            </w:r>
          </w:p>
        </w:tc>
        <w:tc>
          <w:tcPr>
            <w:tcW w:w="746" w:type="dxa"/>
          </w:tcPr>
          <w:p w14:paraId="311BD5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3E5DE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48F39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5AED5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F39C3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2000</w:t>
            </w:r>
          </w:p>
        </w:tc>
        <w:tc>
          <w:tcPr>
            <w:tcW w:w="746" w:type="dxa"/>
          </w:tcPr>
          <w:p w14:paraId="360C73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6BA32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022F0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575E87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6B3F909" w14:textId="77777777">
        <w:tc>
          <w:tcPr>
            <w:tcW w:w="1526" w:type="dxa"/>
          </w:tcPr>
          <w:p w14:paraId="70FACC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Арм. развед.</w:t>
            </w:r>
          </w:p>
        </w:tc>
        <w:tc>
          <w:tcPr>
            <w:tcW w:w="746" w:type="dxa"/>
          </w:tcPr>
          <w:p w14:paraId="607741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Р-10</w:t>
            </w:r>
          </w:p>
        </w:tc>
        <w:tc>
          <w:tcPr>
            <w:tcW w:w="746" w:type="dxa"/>
          </w:tcPr>
          <w:p w14:paraId="5A064E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ЦКБ</w:t>
            </w:r>
          </w:p>
        </w:tc>
        <w:tc>
          <w:tcPr>
            <w:tcW w:w="746" w:type="dxa"/>
          </w:tcPr>
          <w:p w14:paraId="3EEC74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01.05.32</w:t>
            </w:r>
          </w:p>
        </w:tc>
        <w:tc>
          <w:tcPr>
            <w:tcW w:w="746" w:type="dxa"/>
          </w:tcPr>
          <w:p w14:paraId="10388C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3-4000</w:t>
            </w:r>
          </w:p>
        </w:tc>
        <w:tc>
          <w:tcPr>
            <w:tcW w:w="746" w:type="dxa"/>
          </w:tcPr>
          <w:p w14:paraId="64794C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400-450</w:t>
            </w:r>
          </w:p>
        </w:tc>
        <w:tc>
          <w:tcPr>
            <w:tcW w:w="746" w:type="dxa"/>
          </w:tcPr>
          <w:p w14:paraId="1C6B00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w:t>
            </w:r>
          </w:p>
        </w:tc>
        <w:tc>
          <w:tcPr>
            <w:tcW w:w="746" w:type="dxa"/>
          </w:tcPr>
          <w:p w14:paraId="501179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1пул</w:t>
            </w:r>
          </w:p>
        </w:tc>
        <w:tc>
          <w:tcPr>
            <w:tcW w:w="746" w:type="dxa"/>
          </w:tcPr>
          <w:p w14:paraId="49690E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Трубы/дерево</w:t>
            </w:r>
          </w:p>
        </w:tc>
        <w:tc>
          <w:tcPr>
            <w:tcW w:w="746" w:type="dxa"/>
          </w:tcPr>
          <w:p w14:paraId="5E6B41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Р-5/Р-8</w:t>
            </w:r>
          </w:p>
        </w:tc>
        <w:tc>
          <w:tcPr>
            <w:tcW w:w="2360" w:type="dxa"/>
          </w:tcPr>
          <w:p w14:paraId="53B0F5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Новый, Особ. гр.</w:t>
            </w:r>
          </w:p>
        </w:tc>
      </w:tr>
      <w:tr w:rsidR="001002C3" w:rsidRPr="005E779E" w14:paraId="7896FEFF" w14:textId="77777777">
        <w:tc>
          <w:tcPr>
            <w:tcW w:w="1526" w:type="dxa"/>
          </w:tcPr>
          <w:p w14:paraId="0165A7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 почт/пас.</w:t>
            </w:r>
          </w:p>
        </w:tc>
        <w:tc>
          <w:tcPr>
            <w:tcW w:w="746" w:type="dxa"/>
          </w:tcPr>
          <w:p w14:paraId="33DDCC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М-35</w:t>
            </w:r>
          </w:p>
        </w:tc>
        <w:tc>
          <w:tcPr>
            <w:tcW w:w="746" w:type="dxa"/>
          </w:tcPr>
          <w:p w14:paraId="5EFFBB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3C98E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66A01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BC6A3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E8594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59489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E606D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45D55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5BAF8B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3CE1993" w14:textId="77777777">
        <w:tc>
          <w:tcPr>
            <w:tcW w:w="1526" w:type="dxa"/>
          </w:tcPr>
          <w:p w14:paraId="53C173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Крейсер сухоп.</w:t>
            </w:r>
          </w:p>
        </w:tc>
        <w:tc>
          <w:tcPr>
            <w:tcW w:w="746" w:type="dxa"/>
          </w:tcPr>
          <w:p w14:paraId="3F8905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К-1</w:t>
            </w:r>
          </w:p>
        </w:tc>
        <w:tc>
          <w:tcPr>
            <w:tcW w:w="746" w:type="dxa"/>
          </w:tcPr>
          <w:p w14:paraId="069813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w:t>
            </w:r>
          </w:p>
        </w:tc>
        <w:tc>
          <w:tcPr>
            <w:tcW w:w="746" w:type="dxa"/>
          </w:tcPr>
          <w:p w14:paraId="13385B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01.12.32</w:t>
            </w:r>
          </w:p>
        </w:tc>
        <w:tc>
          <w:tcPr>
            <w:tcW w:w="746" w:type="dxa"/>
          </w:tcPr>
          <w:p w14:paraId="74219E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7000</w:t>
            </w:r>
          </w:p>
        </w:tc>
        <w:tc>
          <w:tcPr>
            <w:tcW w:w="746" w:type="dxa"/>
          </w:tcPr>
          <w:p w14:paraId="48C352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300/5000</w:t>
            </w:r>
          </w:p>
        </w:tc>
        <w:tc>
          <w:tcPr>
            <w:tcW w:w="746" w:type="dxa"/>
          </w:tcPr>
          <w:p w14:paraId="083496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w:t>
            </w:r>
          </w:p>
        </w:tc>
        <w:tc>
          <w:tcPr>
            <w:tcW w:w="746" w:type="dxa"/>
          </w:tcPr>
          <w:p w14:paraId="648F42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w:t>
            </w:r>
          </w:p>
        </w:tc>
        <w:tc>
          <w:tcPr>
            <w:tcW w:w="746" w:type="dxa"/>
          </w:tcPr>
          <w:p w14:paraId="66E647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Сталь/дюраль</w:t>
            </w:r>
          </w:p>
        </w:tc>
        <w:tc>
          <w:tcPr>
            <w:tcW w:w="746" w:type="dxa"/>
          </w:tcPr>
          <w:p w14:paraId="2B5535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Р-6, Ми-3</w:t>
            </w:r>
          </w:p>
        </w:tc>
        <w:tc>
          <w:tcPr>
            <w:tcW w:w="2360" w:type="dxa"/>
          </w:tcPr>
          <w:p w14:paraId="7EEA0B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085DC13" w14:textId="77777777">
        <w:tc>
          <w:tcPr>
            <w:tcW w:w="1526" w:type="dxa"/>
          </w:tcPr>
          <w:p w14:paraId="44B80B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3AA55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88CA9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7601F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2М-34</w:t>
            </w:r>
          </w:p>
        </w:tc>
        <w:tc>
          <w:tcPr>
            <w:tcW w:w="746" w:type="dxa"/>
          </w:tcPr>
          <w:p w14:paraId="6D95E3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A5090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FD0E3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1250</w:t>
            </w:r>
          </w:p>
        </w:tc>
        <w:tc>
          <w:tcPr>
            <w:tcW w:w="746" w:type="dxa"/>
          </w:tcPr>
          <w:p w14:paraId="3BBEAC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4тпл/1лпл</w:t>
            </w:r>
          </w:p>
        </w:tc>
        <w:tc>
          <w:tcPr>
            <w:tcW w:w="746" w:type="dxa"/>
          </w:tcPr>
          <w:p w14:paraId="1CE78E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A455F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5271BD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A8C3FE1" w14:textId="77777777">
        <w:tc>
          <w:tcPr>
            <w:tcW w:w="1526" w:type="dxa"/>
          </w:tcPr>
          <w:p w14:paraId="5A58C3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Двухместный</w:t>
            </w:r>
          </w:p>
        </w:tc>
        <w:tc>
          <w:tcPr>
            <w:tcW w:w="746" w:type="dxa"/>
          </w:tcPr>
          <w:p w14:paraId="1A4C51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ДИП1</w:t>
            </w:r>
          </w:p>
        </w:tc>
        <w:tc>
          <w:tcPr>
            <w:tcW w:w="746" w:type="dxa"/>
          </w:tcPr>
          <w:p w14:paraId="7CDDBA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w:t>
            </w:r>
          </w:p>
        </w:tc>
        <w:tc>
          <w:tcPr>
            <w:tcW w:w="746" w:type="dxa"/>
          </w:tcPr>
          <w:p w14:paraId="614BF8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1.12.32</w:t>
            </w:r>
          </w:p>
        </w:tc>
        <w:tc>
          <w:tcPr>
            <w:tcW w:w="746" w:type="dxa"/>
          </w:tcPr>
          <w:p w14:paraId="3A87BD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746" w:type="dxa"/>
          </w:tcPr>
          <w:p w14:paraId="047720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350</w:t>
            </w:r>
          </w:p>
        </w:tc>
        <w:tc>
          <w:tcPr>
            <w:tcW w:w="746" w:type="dxa"/>
          </w:tcPr>
          <w:p w14:paraId="69145E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300/400/</w:t>
            </w:r>
          </w:p>
        </w:tc>
        <w:tc>
          <w:tcPr>
            <w:tcW w:w="746" w:type="dxa"/>
          </w:tcPr>
          <w:p w14:paraId="4D6F74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пушки</w:t>
            </w:r>
          </w:p>
        </w:tc>
        <w:tc>
          <w:tcPr>
            <w:tcW w:w="746" w:type="dxa"/>
          </w:tcPr>
          <w:p w14:paraId="47D8B4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Сварн. трубы,</w:t>
            </w:r>
          </w:p>
        </w:tc>
        <w:tc>
          <w:tcPr>
            <w:tcW w:w="746" w:type="dxa"/>
          </w:tcPr>
          <w:p w14:paraId="5F8E7E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ДИ3, ДИ4</w:t>
            </w:r>
          </w:p>
        </w:tc>
        <w:tc>
          <w:tcPr>
            <w:tcW w:w="2360" w:type="dxa"/>
          </w:tcPr>
          <w:p w14:paraId="78A484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неудовл. пуш.,</w:t>
            </w:r>
          </w:p>
        </w:tc>
      </w:tr>
      <w:tr w:rsidR="001002C3" w:rsidRPr="005E779E" w14:paraId="6BA5CFD5" w14:textId="77777777">
        <w:tc>
          <w:tcPr>
            <w:tcW w:w="1526" w:type="dxa"/>
          </w:tcPr>
          <w:p w14:paraId="517B75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истребитель</w:t>
            </w:r>
          </w:p>
        </w:tc>
        <w:tc>
          <w:tcPr>
            <w:tcW w:w="746" w:type="dxa"/>
          </w:tcPr>
          <w:p w14:paraId="084B22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М32</w:t>
            </w:r>
          </w:p>
        </w:tc>
        <w:tc>
          <w:tcPr>
            <w:tcW w:w="746" w:type="dxa"/>
          </w:tcPr>
          <w:p w14:paraId="4573A8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108A4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38CC2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A0DA9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923B7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w:t>
            </w:r>
          </w:p>
        </w:tc>
        <w:tc>
          <w:tcPr>
            <w:tcW w:w="746" w:type="dxa"/>
          </w:tcPr>
          <w:p w14:paraId="7A3F9D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ДРП/ и</w:t>
            </w:r>
          </w:p>
        </w:tc>
        <w:tc>
          <w:tcPr>
            <w:tcW w:w="746" w:type="dxa"/>
          </w:tcPr>
          <w:p w14:paraId="757C6D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дерево</w:t>
            </w:r>
          </w:p>
        </w:tc>
        <w:tc>
          <w:tcPr>
            <w:tcW w:w="746" w:type="dxa"/>
          </w:tcPr>
          <w:p w14:paraId="417473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2B8A17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выполняются в</w:t>
            </w:r>
          </w:p>
        </w:tc>
      </w:tr>
      <w:tr w:rsidR="001002C3" w:rsidRPr="005E779E" w14:paraId="492081B2" w14:textId="77777777">
        <w:tc>
          <w:tcPr>
            <w:tcW w:w="1526" w:type="dxa"/>
          </w:tcPr>
          <w:p w14:paraId="53231A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4C952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ДИ6</w:t>
            </w:r>
          </w:p>
        </w:tc>
        <w:tc>
          <w:tcPr>
            <w:tcW w:w="746" w:type="dxa"/>
          </w:tcPr>
          <w:p w14:paraId="3A68C2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ЦКБ</w:t>
            </w:r>
          </w:p>
        </w:tc>
        <w:tc>
          <w:tcPr>
            <w:tcW w:w="746" w:type="dxa"/>
          </w:tcPr>
          <w:p w14:paraId="5FEEFC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E5079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04276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0DBD0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BC984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легк.</w:t>
            </w:r>
          </w:p>
        </w:tc>
        <w:tc>
          <w:tcPr>
            <w:tcW w:w="746" w:type="dxa"/>
          </w:tcPr>
          <w:p w14:paraId="7CECED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84F01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7A0266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вариантах И13,</w:t>
            </w:r>
          </w:p>
        </w:tc>
      </w:tr>
      <w:tr w:rsidR="001002C3" w:rsidRPr="005E779E" w14:paraId="25B1B08C" w14:textId="77777777">
        <w:tc>
          <w:tcPr>
            <w:tcW w:w="1526" w:type="dxa"/>
          </w:tcPr>
          <w:p w14:paraId="7F1C6D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0A90B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М34</w:t>
            </w:r>
          </w:p>
        </w:tc>
        <w:tc>
          <w:tcPr>
            <w:tcW w:w="746" w:type="dxa"/>
          </w:tcPr>
          <w:p w14:paraId="703C2B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F5B50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D29BB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50BA7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B1A06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08788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пул./</w:t>
            </w:r>
          </w:p>
        </w:tc>
        <w:tc>
          <w:tcPr>
            <w:tcW w:w="746" w:type="dxa"/>
          </w:tcPr>
          <w:p w14:paraId="4A8528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1611C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359EBC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ДП</w:t>
            </w:r>
          </w:p>
        </w:tc>
      </w:tr>
      <w:tr w:rsidR="001002C3" w:rsidRPr="005E779E" w14:paraId="1C5D2DDB" w14:textId="77777777">
        <w:tc>
          <w:tcPr>
            <w:tcW w:w="1526" w:type="dxa"/>
          </w:tcPr>
          <w:p w14:paraId="2CCEB9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1C1CB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29CFE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BCB1E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A4E9C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4C623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03D57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C57F5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легк.</w:t>
            </w:r>
          </w:p>
        </w:tc>
        <w:tc>
          <w:tcPr>
            <w:tcW w:w="746" w:type="dxa"/>
          </w:tcPr>
          <w:p w14:paraId="056223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10870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5BC129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BD4C51C" w14:textId="77777777">
        <w:tc>
          <w:tcPr>
            <w:tcW w:w="1526" w:type="dxa"/>
          </w:tcPr>
          <w:p w14:paraId="3DB4E6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FF022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A759D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D15BF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66EE6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7849C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566D7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577CB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или тяж.</w:t>
            </w:r>
          </w:p>
        </w:tc>
        <w:tc>
          <w:tcPr>
            <w:tcW w:w="746" w:type="dxa"/>
          </w:tcPr>
          <w:p w14:paraId="7FD0D8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9FD26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4FC9CD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855B06F" w14:textId="77777777">
        <w:tc>
          <w:tcPr>
            <w:tcW w:w="1526" w:type="dxa"/>
          </w:tcPr>
          <w:p w14:paraId="7C9A6C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B2E62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D7F86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060C0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AB47F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99897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E0AE8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38737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пул.</w:t>
            </w:r>
          </w:p>
        </w:tc>
        <w:tc>
          <w:tcPr>
            <w:tcW w:w="746" w:type="dxa"/>
          </w:tcPr>
          <w:p w14:paraId="7579FB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3B927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513EFB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F659600" w14:textId="77777777">
        <w:tc>
          <w:tcPr>
            <w:tcW w:w="1526" w:type="dxa"/>
          </w:tcPr>
          <w:p w14:paraId="0A5E93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Одноместный</w:t>
            </w:r>
          </w:p>
        </w:tc>
        <w:tc>
          <w:tcPr>
            <w:tcW w:w="746" w:type="dxa"/>
          </w:tcPr>
          <w:p w14:paraId="695BD4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ИП2</w:t>
            </w:r>
          </w:p>
        </w:tc>
        <w:tc>
          <w:tcPr>
            <w:tcW w:w="746" w:type="dxa"/>
          </w:tcPr>
          <w:p w14:paraId="02F295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w:t>
            </w:r>
          </w:p>
        </w:tc>
        <w:tc>
          <w:tcPr>
            <w:tcW w:w="746" w:type="dxa"/>
          </w:tcPr>
          <w:p w14:paraId="2F689D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1.10.32</w:t>
            </w:r>
          </w:p>
        </w:tc>
        <w:tc>
          <w:tcPr>
            <w:tcW w:w="746" w:type="dxa"/>
          </w:tcPr>
          <w:p w14:paraId="5B79B4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7000/</w:t>
            </w:r>
          </w:p>
        </w:tc>
        <w:tc>
          <w:tcPr>
            <w:tcW w:w="746" w:type="dxa"/>
          </w:tcPr>
          <w:p w14:paraId="671862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400/5000</w:t>
            </w:r>
          </w:p>
        </w:tc>
        <w:tc>
          <w:tcPr>
            <w:tcW w:w="746" w:type="dxa"/>
          </w:tcPr>
          <w:p w14:paraId="2D8E45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час./</w:t>
            </w:r>
          </w:p>
        </w:tc>
        <w:tc>
          <w:tcPr>
            <w:tcW w:w="746" w:type="dxa"/>
          </w:tcPr>
          <w:p w14:paraId="4609C0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пушки</w:t>
            </w:r>
          </w:p>
        </w:tc>
        <w:tc>
          <w:tcPr>
            <w:tcW w:w="746" w:type="dxa"/>
          </w:tcPr>
          <w:p w14:paraId="7F31D6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Сварн. трубы,</w:t>
            </w:r>
          </w:p>
        </w:tc>
        <w:tc>
          <w:tcPr>
            <w:tcW w:w="746" w:type="dxa"/>
          </w:tcPr>
          <w:p w14:paraId="360C95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 И7, И12</w:t>
            </w:r>
          </w:p>
        </w:tc>
        <w:tc>
          <w:tcPr>
            <w:tcW w:w="2360" w:type="dxa"/>
          </w:tcPr>
          <w:p w14:paraId="1BC5D4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9E2F675" w14:textId="77777777">
        <w:tc>
          <w:tcPr>
            <w:tcW w:w="1526" w:type="dxa"/>
          </w:tcPr>
          <w:p w14:paraId="473841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истребитель</w:t>
            </w:r>
          </w:p>
        </w:tc>
        <w:tc>
          <w:tcPr>
            <w:tcW w:w="746" w:type="dxa"/>
          </w:tcPr>
          <w:p w14:paraId="542A8B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И13</w:t>
            </w:r>
          </w:p>
        </w:tc>
        <w:tc>
          <w:tcPr>
            <w:tcW w:w="746" w:type="dxa"/>
          </w:tcPr>
          <w:p w14:paraId="7F4354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ЦКБ</w:t>
            </w:r>
          </w:p>
        </w:tc>
        <w:tc>
          <w:tcPr>
            <w:tcW w:w="746" w:type="dxa"/>
          </w:tcPr>
          <w:p w14:paraId="55154D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D4D74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8000</w:t>
            </w:r>
          </w:p>
        </w:tc>
        <w:tc>
          <w:tcPr>
            <w:tcW w:w="746" w:type="dxa"/>
          </w:tcPr>
          <w:p w14:paraId="0F8BFD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87771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час.</w:t>
            </w:r>
          </w:p>
        </w:tc>
        <w:tc>
          <w:tcPr>
            <w:tcW w:w="746" w:type="dxa"/>
          </w:tcPr>
          <w:p w14:paraId="69455C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ДРП</w:t>
            </w:r>
          </w:p>
        </w:tc>
        <w:tc>
          <w:tcPr>
            <w:tcW w:w="746" w:type="dxa"/>
          </w:tcPr>
          <w:p w14:paraId="250102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дерево</w:t>
            </w:r>
          </w:p>
        </w:tc>
        <w:tc>
          <w:tcPr>
            <w:tcW w:w="746" w:type="dxa"/>
          </w:tcPr>
          <w:p w14:paraId="32C72E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1E5EE7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B3DDF2A" w14:textId="77777777">
        <w:tc>
          <w:tcPr>
            <w:tcW w:w="1526" w:type="dxa"/>
          </w:tcPr>
          <w:p w14:paraId="5315B6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310D2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75C97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63EA3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C0E26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5E0AA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708F9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E4EA8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легк.</w:t>
            </w:r>
          </w:p>
        </w:tc>
        <w:tc>
          <w:tcPr>
            <w:tcW w:w="746" w:type="dxa"/>
          </w:tcPr>
          <w:p w14:paraId="5AA2FC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9B72D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43652B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5AE24C3" w14:textId="77777777">
        <w:tc>
          <w:tcPr>
            <w:tcW w:w="1526" w:type="dxa"/>
          </w:tcPr>
          <w:p w14:paraId="2FA707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5CC31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594E7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C8203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2BCC7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F3294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26B08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F375F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пул.</w:t>
            </w:r>
          </w:p>
        </w:tc>
        <w:tc>
          <w:tcPr>
            <w:tcW w:w="746" w:type="dxa"/>
          </w:tcPr>
          <w:p w14:paraId="2A502A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07A36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4B87D9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83D81EF" w14:textId="77777777">
        <w:tc>
          <w:tcPr>
            <w:tcW w:w="1526" w:type="dxa"/>
          </w:tcPr>
          <w:p w14:paraId="74C51C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Войсковой</w:t>
            </w:r>
          </w:p>
        </w:tc>
        <w:tc>
          <w:tcPr>
            <w:tcW w:w="746" w:type="dxa"/>
          </w:tcPr>
          <w:p w14:paraId="48EB64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ВС2</w:t>
            </w:r>
          </w:p>
        </w:tc>
        <w:tc>
          <w:tcPr>
            <w:tcW w:w="746" w:type="dxa"/>
          </w:tcPr>
          <w:p w14:paraId="096B5E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ГРОС</w:t>
            </w:r>
          </w:p>
        </w:tc>
        <w:tc>
          <w:tcPr>
            <w:tcW w:w="746" w:type="dxa"/>
          </w:tcPr>
          <w:p w14:paraId="770621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1.3.32</w:t>
            </w:r>
          </w:p>
        </w:tc>
        <w:tc>
          <w:tcPr>
            <w:tcW w:w="746" w:type="dxa"/>
          </w:tcPr>
          <w:p w14:paraId="414F6A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746" w:type="dxa"/>
          </w:tcPr>
          <w:p w14:paraId="1EB819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250</w:t>
            </w:r>
          </w:p>
        </w:tc>
        <w:tc>
          <w:tcPr>
            <w:tcW w:w="746" w:type="dxa"/>
          </w:tcPr>
          <w:p w14:paraId="17C311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час.</w:t>
            </w:r>
          </w:p>
        </w:tc>
        <w:tc>
          <w:tcPr>
            <w:tcW w:w="746" w:type="dxa"/>
          </w:tcPr>
          <w:p w14:paraId="3193E1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легк.</w:t>
            </w:r>
          </w:p>
        </w:tc>
        <w:tc>
          <w:tcPr>
            <w:tcW w:w="746" w:type="dxa"/>
          </w:tcPr>
          <w:p w14:paraId="114695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Сварн. трубы,</w:t>
            </w:r>
          </w:p>
        </w:tc>
        <w:tc>
          <w:tcPr>
            <w:tcW w:w="746" w:type="dxa"/>
          </w:tcPr>
          <w:p w14:paraId="5BD2D0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Р9</w:t>
            </w:r>
          </w:p>
        </w:tc>
        <w:tc>
          <w:tcPr>
            <w:tcW w:w="2360" w:type="dxa"/>
          </w:tcPr>
          <w:p w14:paraId="419D3D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Развит. сам. Р9</w:t>
            </w:r>
          </w:p>
        </w:tc>
      </w:tr>
      <w:tr w:rsidR="001002C3" w:rsidRPr="005E779E" w14:paraId="60A19208" w14:textId="77777777">
        <w:tc>
          <w:tcPr>
            <w:tcW w:w="1526" w:type="dxa"/>
          </w:tcPr>
          <w:p w14:paraId="7AAE7A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 (он же</w:t>
            </w:r>
          </w:p>
        </w:tc>
        <w:tc>
          <w:tcPr>
            <w:tcW w:w="746" w:type="dxa"/>
          </w:tcPr>
          <w:p w14:paraId="12ABCC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2М26</w:t>
            </w:r>
          </w:p>
        </w:tc>
        <w:tc>
          <w:tcPr>
            <w:tcW w:w="746" w:type="dxa"/>
          </w:tcPr>
          <w:p w14:paraId="63D2D8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AB9FF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C7D04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31A04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82EE4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A0C85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пул.</w:t>
            </w:r>
          </w:p>
        </w:tc>
        <w:tc>
          <w:tcPr>
            <w:tcW w:w="746" w:type="dxa"/>
          </w:tcPr>
          <w:p w14:paraId="4D66C7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дерево</w:t>
            </w:r>
          </w:p>
        </w:tc>
        <w:tc>
          <w:tcPr>
            <w:tcW w:w="746" w:type="dxa"/>
          </w:tcPr>
          <w:p w14:paraId="7AEF9A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55029F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8C979ED" w14:textId="77777777">
        <w:tc>
          <w:tcPr>
            <w:tcW w:w="1526" w:type="dxa"/>
          </w:tcPr>
          <w:p w14:paraId="316C33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легк. Химбоевик,</w:t>
            </w:r>
          </w:p>
        </w:tc>
        <w:tc>
          <w:tcPr>
            <w:tcW w:w="746" w:type="dxa"/>
          </w:tcPr>
          <w:p w14:paraId="1EFE5D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F56D7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1A7E2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0BBEF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4F160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B22EC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5C6BD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450D3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BC80B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646604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769E40C" w14:textId="77777777">
        <w:tc>
          <w:tcPr>
            <w:tcW w:w="1526" w:type="dxa"/>
          </w:tcPr>
          <w:p w14:paraId="245757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 борьбы с</w:t>
            </w:r>
          </w:p>
        </w:tc>
        <w:tc>
          <w:tcPr>
            <w:tcW w:w="746" w:type="dxa"/>
          </w:tcPr>
          <w:p w14:paraId="45CD8A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94A54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39167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C336C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BCCB7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79D2B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3A305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026B4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7DC12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50C8EE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C9FC9AC" w14:textId="77777777">
        <w:tc>
          <w:tcPr>
            <w:tcW w:w="1526" w:type="dxa"/>
          </w:tcPr>
          <w:p w14:paraId="445E7A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вредит. с/х и</w:t>
            </w:r>
          </w:p>
        </w:tc>
        <w:tc>
          <w:tcPr>
            <w:tcW w:w="746" w:type="dxa"/>
          </w:tcPr>
          <w:p w14:paraId="778B67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A1A63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16B67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0631D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56D52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E13A7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314F7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66257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5D2AD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0E43DD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30C0FE1" w14:textId="77777777">
        <w:tc>
          <w:tcPr>
            <w:tcW w:w="1526" w:type="dxa"/>
          </w:tcPr>
          <w:p w14:paraId="7908B6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лесов, фотосъемщ.,</w:t>
            </w:r>
          </w:p>
        </w:tc>
        <w:tc>
          <w:tcPr>
            <w:tcW w:w="746" w:type="dxa"/>
          </w:tcPr>
          <w:p w14:paraId="5E3C35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6EFDF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B670B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B29B1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9908F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9D4B7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07EA8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62102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B78F8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3AE29F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F185A64" w14:textId="77777777">
        <w:tc>
          <w:tcPr>
            <w:tcW w:w="1526" w:type="dxa"/>
          </w:tcPr>
          <w:p w14:paraId="20C9E7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санитарный)</w:t>
            </w:r>
          </w:p>
        </w:tc>
        <w:tc>
          <w:tcPr>
            <w:tcW w:w="746" w:type="dxa"/>
          </w:tcPr>
          <w:p w14:paraId="7CCBC5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05A29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DEA54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1B5B2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28C43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9F4BF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D5C0A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EF957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E943E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282283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924DB5D" w14:textId="77777777">
        <w:tc>
          <w:tcPr>
            <w:tcW w:w="1526" w:type="dxa"/>
          </w:tcPr>
          <w:p w14:paraId="745082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8. Пикирующий</w:t>
            </w:r>
          </w:p>
        </w:tc>
        <w:tc>
          <w:tcPr>
            <w:tcW w:w="746" w:type="dxa"/>
          </w:tcPr>
          <w:p w14:paraId="4FB894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ПБ1</w:t>
            </w:r>
          </w:p>
        </w:tc>
        <w:tc>
          <w:tcPr>
            <w:tcW w:w="746" w:type="dxa"/>
          </w:tcPr>
          <w:p w14:paraId="7724D7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ЦКБ</w:t>
            </w:r>
          </w:p>
        </w:tc>
        <w:tc>
          <w:tcPr>
            <w:tcW w:w="746" w:type="dxa"/>
          </w:tcPr>
          <w:p w14:paraId="5B6B1D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1.10.32</w:t>
            </w:r>
          </w:p>
        </w:tc>
        <w:tc>
          <w:tcPr>
            <w:tcW w:w="746" w:type="dxa"/>
          </w:tcPr>
          <w:p w14:paraId="376775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746" w:type="dxa"/>
          </w:tcPr>
          <w:p w14:paraId="17191A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250</w:t>
            </w:r>
          </w:p>
        </w:tc>
        <w:tc>
          <w:tcPr>
            <w:tcW w:w="746" w:type="dxa"/>
          </w:tcPr>
          <w:p w14:paraId="3916A4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w:t>
            </w:r>
          </w:p>
        </w:tc>
        <w:tc>
          <w:tcPr>
            <w:tcW w:w="746" w:type="dxa"/>
          </w:tcPr>
          <w:p w14:paraId="34B68B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легк.</w:t>
            </w:r>
          </w:p>
        </w:tc>
        <w:tc>
          <w:tcPr>
            <w:tcW w:w="746" w:type="dxa"/>
          </w:tcPr>
          <w:p w14:paraId="5A1A62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Сварн. трубы,</w:t>
            </w:r>
          </w:p>
        </w:tc>
        <w:tc>
          <w:tcPr>
            <w:tcW w:w="746" w:type="dxa"/>
          </w:tcPr>
          <w:p w14:paraId="4149D6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2360" w:type="dxa"/>
          </w:tcPr>
          <w:p w14:paraId="48BCAC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Нов. сам.</w:t>
            </w:r>
          </w:p>
        </w:tc>
      </w:tr>
      <w:tr w:rsidR="001002C3" w:rsidRPr="005E779E" w14:paraId="71F631BB" w14:textId="77777777">
        <w:tc>
          <w:tcPr>
            <w:tcW w:w="1526" w:type="dxa"/>
          </w:tcPr>
          <w:p w14:paraId="660043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Бомбардировщик</w:t>
            </w:r>
          </w:p>
        </w:tc>
        <w:tc>
          <w:tcPr>
            <w:tcW w:w="746" w:type="dxa"/>
          </w:tcPr>
          <w:p w14:paraId="3318E9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М35</w:t>
            </w:r>
          </w:p>
        </w:tc>
        <w:tc>
          <w:tcPr>
            <w:tcW w:w="746" w:type="dxa"/>
          </w:tcPr>
          <w:p w14:paraId="5DB121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F71BC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952BF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6783C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DA863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FF792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пул.</w:t>
            </w:r>
          </w:p>
        </w:tc>
        <w:tc>
          <w:tcPr>
            <w:tcW w:w="746" w:type="dxa"/>
          </w:tcPr>
          <w:p w14:paraId="17BC95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дерево</w:t>
            </w:r>
          </w:p>
        </w:tc>
        <w:tc>
          <w:tcPr>
            <w:tcW w:w="746" w:type="dxa"/>
          </w:tcPr>
          <w:p w14:paraId="38B903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2CBD37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BDC0D56" w14:textId="77777777">
        <w:tc>
          <w:tcPr>
            <w:tcW w:w="1526" w:type="dxa"/>
          </w:tcPr>
          <w:p w14:paraId="0CDED9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Морской</w:t>
            </w:r>
          </w:p>
        </w:tc>
        <w:tc>
          <w:tcPr>
            <w:tcW w:w="746" w:type="dxa"/>
          </w:tcPr>
          <w:p w14:paraId="5C53AC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МК1</w:t>
            </w:r>
          </w:p>
        </w:tc>
        <w:tc>
          <w:tcPr>
            <w:tcW w:w="746" w:type="dxa"/>
          </w:tcPr>
          <w:p w14:paraId="10FD70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w:t>
            </w:r>
          </w:p>
        </w:tc>
        <w:tc>
          <w:tcPr>
            <w:tcW w:w="746" w:type="dxa"/>
          </w:tcPr>
          <w:p w14:paraId="65D5AF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1.12.32</w:t>
            </w:r>
          </w:p>
        </w:tc>
        <w:tc>
          <w:tcPr>
            <w:tcW w:w="746" w:type="dxa"/>
          </w:tcPr>
          <w:p w14:paraId="51A81B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746" w:type="dxa"/>
          </w:tcPr>
          <w:p w14:paraId="3944F7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w:t>
            </w:r>
          </w:p>
        </w:tc>
        <w:tc>
          <w:tcPr>
            <w:tcW w:w="746" w:type="dxa"/>
          </w:tcPr>
          <w:p w14:paraId="25D967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w:t>
            </w:r>
          </w:p>
        </w:tc>
        <w:tc>
          <w:tcPr>
            <w:tcW w:w="746" w:type="dxa"/>
          </w:tcPr>
          <w:p w14:paraId="20577D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w:t>
            </w:r>
          </w:p>
        </w:tc>
        <w:tc>
          <w:tcPr>
            <w:tcW w:w="746" w:type="dxa"/>
          </w:tcPr>
          <w:p w14:paraId="577CC0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7F464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25BC82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371790A" w14:textId="77777777">
        <w:tc>
          <w:tcPr>
            <w:tcW w:w="1526" w:type="dxa"/>
          </w:tcPr>
          <w:p w14:paraId="53F86D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крейсер</w:t>
            </w:r>
          </w:p>
        </w:tc>
        <w:tc>
          <w:tcPr>
            <w:tcW w:w="746" w:type="dxa"/>
          </w:tcPr>
          <w:p w14:paraId="7C80C4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4М34/</w:t>
            </w:r>
          </w:p>
        </w:tc>
        <w:tc>
          <w:tcPr>
            <w:tcW w:w="746" w:type="dxa"/>
          </w:tcPr>
          <w:p w14:paraId="73068B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D1DAA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610CB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D654C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22A58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1500</w:t>
            </w:r>
          </w:p>
        </w:tc>
        <w:tc>
          <w:tcPr>
            <w:tcW w:w="746" w:type="dxa"/>
          </w:tcPr>
          <w:p w14:paraId="7D86F5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легк.</w:t>
            </w:r>
          </w:p>
        </w:tc>
        <w:tc>
          <w:tcPr>
            <w:tcW w:w="746" w:type="dxa"/>
          </w:tcPr>
          <w:p w14:paraId="3D7A4A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Сталь, дюраль</w:t>
            </w:r>
          </w:p>
        </w:tc>
        <w:tc>
          <w:tcPr>
            <w:tcW w:w="746" w:type="dxa"/>
          </w:tcPr>
          <w:p w14:paraId="17972B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МДР3, МДР2</w:t>
            </w:r>
          </w:p>
        </w:tc>
        <w:tc>
          <w:tcPr>
            <w:tcW w:w="2360" w:type="dxa"/>
          </w:tcPr>
          <w:p w14:paraId="1D7242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5D078C4" w14:textId="77777777">
        <w:tc>
          <w:tcPr>
            <w:tcW w:w="1526" w:type="dxa"/>
          </w:tcPr>
          <w:p w14:paraId="733D5A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3D294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08FBE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2М35</w:t>
            </w:r>
          </w:p>
        </w:tc>
        <w:tc>
          <w:tcPr>
            <w:tcW w:w="746" w:type="dxa"/>
          </w:tcPr>
          <w:p w14:paraId="759BDD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78548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F31E6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87292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E78F5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167CD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 тяж.</w:t>
            </w:r>
          </w:p>
        </w:tc>
        <w:tc>
          <w:tcPr>
            <w:tcW w:w="746" w:type="dxa"/>
          </w:tcPr>
          <w:p w14:paraId="76401C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149C93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8ACBAC8" w14:textId="77777777">
        <w:tc>
          <w:tcPr>
            <w:tcW w:w="1526" w:type="dxa"/>
          </w:tcPr>
          <w:p w14:paraId="39B5CB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E4F8E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D0B9B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1590A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FE1FB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B837C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E3997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26468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119FD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пул.</w:t>
            </w:r>
          </w:p>
        </w:tc>
        <w:tc>
          <w:tcPr>
            <w:tcW w:w="746" w:type="dxa"/>
          </w:tcPr>
          <w:p w14:paraId="4D0FA0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6B8717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2CB9E06" w14:textId="77777777">
        <w:tc>
          <w:tcPr>
            <w:tcW w:w="1526" w:type="dxa"/>
          </w:tcPr>
          <w:p w14:paraId="558657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DDBC4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2FD12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1B787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8CABF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5314E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FA3EE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EF16E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F17BB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пушки</w:t>
            </w:r>
          </w:p>
        </w:tc>
        <w:tc>
          <w:tcPr>
            <w:tcW w:w="746" w:type="dxa"/>
          </w:tcPr>
          <w:p w14:paraId="1C706C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201222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01F9C80" w14:textId="77777777">
        <w:tc>
          <w:tcPr>
            <w:tcW w:w="1526" w:type="dxa"/>
          </w:tcPr>
          <w:p w14:paraId="087A45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Базовый</w:t>
            </w:r>
          </w:p>
        </w:tc>
        <w:tc>
          <w:tcPr>
            <w:tcW w:w="746" w:type="dxa"/>
          </w:tcPr>
          <w:p w14:paraId="55CB89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МБР3</w:t>
            </w:r>
          </w:p>
        </w:tc>
        <w:tc>
          <w:tcPr>
            <w:tcW w:w="746" w:type="dxa"/>
          </w:tcPr>
          <w:p w14:paraId="7C553B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ЦКБ</w:t>
            </w:r>
          </w:p>
        </w:tc>
        <w:tc>
          <w:tcPr>
            <w:tcW w:w="746" w:type="dxa"/>
          </w:tcPr>
          <w:p w14:paraId="6CE2C7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1.4.32</w:t>
            </w:r>
          </w:p>
        </w:tc>
        <w:tc>
          <w:tcPr>
            <w:tcW w:w="746" w:type="dxa"/>
          </w:tcPr>
          <w:p w14:paraId="52FB8A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746" w:type="dxa"/>
          </w:tcPr>
          <w:p w14:paraId="16F1BB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225</w:t>
            </w:r>
          </w:p>
        </w:tc>
        <w:tc>
          <w:tcPr>
            <w:tcW w:w="746" w:type="dxa"/>
          </w:tcPr>
          <w:p w14:paraId="52A719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6-7 час.</w:t>
            </w:r>
          </w:p>
        </w:tc>
        <w:tc>
          <w:tcPr>
            <w:tcW w:w="746" w:type="dxa"/>
          </w:tcPr>
          <w:p w14:paraId="6F8AF1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легк.</w:t>
            </w:r>
          </w:p>
        </w:tc>
        <w:tc>
          <w:tcPr>
            <w:tcW w:w="746" w:type="dxa"/>
          </w:tcPr>
          <w:p w14:paraId="4060F6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Дерево</w:t>
            </w:r>
          </w:p>
        </w:tc>
        <w:tc>
          <w:tcPr>
            <w:tcW w:w="746" w:type="dxa"/>
          </w:tcPr>
          <w:p w14:paraId="62CB3B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S-62</w:t>
            </w:r>
          </w:p>
        </w:tc>
        <w:tc>
          <w:tcPr>
            <w:tcW w:w="2360" w:type="dxa"/>
          </w:tcPr>
          <w:p w14:paraId="29BDC4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286117E" w14:textId="77777777">
        <w:tc>
          <w:tcPr>
            <w:tcW w:w="1526" w:type="dxa"/>
          </w:tcPr>
          <w:p w14:paraId="07C3C9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разведчик</w:t>
            </w:r>
          </w:p>
        </w:tc>
        <w:tc>
          <w:tcPr>
            <w:tcW w:w="746" w:type="dxa"/>
          </w:tcPr>
          <w:p w14:paraId="7D28F9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807EA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2М22/</w:t>
            </w:r>
          </w:p>
        </w:tc>
        <w:tc>
          <w:tcPr>
            <w:tcW w:w="746" w:type="dxa"/>
          </w:tcPr>
          <w:p w14:paraId="52BF44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EA26C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81A29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EAEE1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618B7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D3388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пул.</w:t>
            </w:r>
          </w:p>
        </w:tc>
        <w:tc>
          <w:tcPr>
            <w:tcW w:w="746" w:type="dxa"/>
          </w:tcPr>
          <w:p w14:paraId="7D0C40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5A1C16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E890771" w14:textId="77777777">
        <w:tc>
          <w:tcPr>
            <w:tcW w:w="1526" w:type="dxa"/>
          </w:tcPr>
          <w:p w14:paraId="6C59C7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B443A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371F2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5741D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2М26</w:t>
            </w:r>
          </w:p>
        </w:tc>
        <w:tc>
          <w:tcPr>
            <w:tcW w:w="746" w:type="dxa"/>
          </w:tcPr>
          <w:p w14:paraId="228EAD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6B001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92511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E1AB4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1904E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812AA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5F1548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F422BBE" w14:textId="77777777">
        <w:tc>
          <w:tcPr>
            <w:tcW w:w="1526" w:type="dxa"/>
          </w:tcPr>
          <w:p w14:paraId="79EF65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 10 самолетов "Системы" - 5 совмещаются с соответствующими самолетами ГВФ.</w:t>
            </w:r>
          </w:p>
        </w:tc>
        <w:tc>
          <w:tcPr>
            <w:tcW w:w="746" w:type="dxa"/>
          </w:tcPr>
          <w:p w14:paraId="701884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7B25D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0AFAE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ECEC6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DA7A7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3C506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8A282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D6F59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3D088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720545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B20B114" w14:textId="77777777">
        <w:tc>
          <w:tcPr>
            <w:tcW w:w="1526" w:type="dxa"/>
          </w:tcPr>
          <w:p w14:paraId="3894EB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II. Самолеты, усовершенствуемые из существующих.</w:t>
            </w:r>
          </w:p>
        </w:tc>
        <w:tc>
          <w:tcPr>
            <w:tcW w:w="746" w:type="dxa"/>
          </w:tcPr>
          <w:p w14:paraId="4423C7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BABB1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4BFEC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1D8B2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152BC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E108A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B8C54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19E65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4A364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3B4B84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1FF1610" w14:textId="77777777">
        <w:tc>
          <w:tcPr>
            <w:tcW w:w="1526" w:type="dxa"/>
          </w:tcPr>
          <w:p w14:paraId="103644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Тяжел.</w:t>
            </w:r>
          </w:p>
        </w:tc>
        <w:tc>
          <w:tcPr>
            <w:tcW w:w="746" w:type="dxa"/>
          </w:tcPr>
          <w:p w14:paraId="0CE717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ТБ5</w:t>
            </w:r>
          </w:p>
        </w:tc>
        <w:tc>
          <w:tcPr>
            <w:tcW w:w="746" w:type="dxa"/>
          </w:tcPr>
          <w:p w14:paraId="187819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ЦКБ</w:t>
            </w:r>
          </w:p>
        </w:tc>
        <w:tc>
          <w:tcPr>
            <w:tcW w:w="746" w:type="dxa"/>
          </w:tcPr>
          <w:p w14:paraId="526453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1.10.33</w:t>
            </w:r>
          </w:p>
        </w:tc>
        <w:tc>
          <w:tcPr>
            <w:tcW w:w="746" w:type="dxa"/>
          </w:tcPr>
          <w:p w14:paraId="6DF151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746" w:type="dxa"/>
          </w:tcPr>
          <w:p w14:paraId="5DCE63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250</w:t>
            </w:r>
          </w:p>
        </w:tc>
        <w:tc>
          <w:tcPr>
            <w:tcW w:w="746" w:type="dxa"/>
          </w:tcPr>
          <w:p w14:paraId="51C42F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750/</w:t>
            </w:r>
          </w:p>
        </w:tc>
        <w:tc>
          <w:tcPr>
            <w:tcW w:w="746" w:type="dxa"/>
          </w:tcPr>
          <w:p w14:paraId="6E53BA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Тяж. и</w:t>
            </w:r>
          </w:p>
        </w:tc>
        <w:tc>
          <w:tcPr>
            <w:tcW w:w="746" w:type="dxa"/>
          </w:tcPr>
          <w:p w14:paraId="1D26AD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Сталь, дюраль</w:t>
            </w:r>
          </w:p>
        </w:tc>
        <w:tc>
          <w:tcPr>
            <w:tcW w:w="746" w:type="dxa"/>
          </w:tcPr>
          <w:p w14:paraId="6FE72B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128561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2615C92" w14:textId="77777777">
        <w:tc>
          <w:tcPr>
            <w:tcW w:w="1526" w:type="dxa"/>
          </w:tcPr>
          <w:p w14:paraId="51FE1C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бомбардировщик</w:t>
            </w:r>
          </w:p>
        </w:tc>
        <w:tc>
          <w:tcPr>
            <w:tcW w:w="746" w:type="dxa"/>
          </w:tcPr>
          <w:p w14:paraId="1C9C5A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2М35</w:t>
            </w:r>
          </w:p>
        </w:tc>
        <w:tc>
          <w:tcPr>
            <w:tcW w:w="746" w:type="dxa"/>
          </w:tcPr>
          <w:p w14:paraId="3543D6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w:t>
            </w:r>
          </w:p>
        </w:tc>
        <w:tc>
          <w:tcPr>
            <w:tcW w:w="746" w:type="dxa"/>
          </w:tcPr>
          <w:p w14:paraId="067DBE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0FFD3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15A6A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4C2B9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w:t>
            </w:r>
          </w:p>
        </w:tc>
        <w:tc>
          <w:tcPr>
            <w:tcW w:w="746" w:type="dxa"/>
          </w:tcPr>
          <w:p w14:paraId="4D50E2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легк.</w:t>
            </w:r>
          </w:p>
        </w:tc>
        <w:tc>
          <w:tcPr>
            <w:tcW w:w="746" w:type="dxa"/>
          </w:tcPr>
          <w:p w14:paraId="32FB95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8A759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4723C5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6AE362C" w14:textId="77777777">
        <w:tc>
          <w:tcPr>
            <w:tcW w:w="1526" w:type="dxa"/>
          </w:tcPr>
          <w:p w14:paraId="2C2937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(он же пассажир.</w:t>
            </w:r>
          </w:p>
        </w:tc>
        <w:tc>
          <w:tcPr>
            <w:tcW w:w="746" w:type="dxa"/>
          </w:tcPr>
          <w:p w14:paraId="4451DA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32715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D78E4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1D08C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89D83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DBA07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4B639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пул.</w:t>
            </w:r>
          </w:p>
        </w:tc>
        <w:tc>
          <w:tcPr>
            <w:tcW w:w="746" w:type="dxa"/>
          </w:tcPr>
          <w:p w14:paraId="4DC54C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50E34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2D0FEA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CDF4284" w14:textId="77777777">
        <w:tc>
          <w:tcPr>
            <w:tcW w:w="1526" w:type="dxa"/>
          </w:tcPr>
          <w:p w14:paraId="74610F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Грузовой)</w:t>
            </w:r>
          </w:p>
        </w:tc>
        <w:tc>
          <w:tcPr>
            <w:tcW w:w="746" w:type="dxa"/>
          </w:tcPr>
          <w:p w14:paraId="4A8C24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D659D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E5D40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A87B5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347B2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08556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64475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B6B74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46FDF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62E817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22A4376" w14:textId="77777777">
        <w:tc>
          <w:tcPr>
            <w:tcW w:w="1526" w:type="dxa"/>
          </w:tcPr>
          <w:p w14:paraId="1C07C9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Лег. бронир.</w:t>
            </w:r>
          </w:p>
        </w:tc>
        <w:tc>
          <w:tcPr>
            <w:tcW w:w="746" w:type="dxa"/>
          </w:tcPr>
          <w:p w14:paraId="71CFBD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ЛБШ3</w:t>
            </w:r>
          </w:p>
        </w:tc>
        <w:tc>
          <w:tcPr>
            <w:tcW w:w="746" w:type="dxa"/>
          </w:tcPr>
          <w:p w14:paraId="499FC3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ЦКБ</w:t>
            </w:r>
          </w:p>
        </w:tc>
        <w:tc>
          <w:tcPr>
            <w:tcW w:w="746" w:type="dxa"/>
          </w:tcPr>
          <w:p w14:paraId="111104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1.8.32</w:t>
            </w:r>
          </w:p>
        </w:tc>
        <w:tc>
          <w:tcPr>
            <w:tcW w:w="746" w:type="dxa"/>
          </w:tcPr>
          <w:p w14:paraId="54EE1A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w:t>
            </w:r>
          </w:p>
        </w:tc>
        <w:tc>
          <w:tcPr>
            <w:tcW w:w="746" w:type="dxa"/>
          </w:tcPr>
          <w:p w14:paraId="4D6FE1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w:t>
            </w:r>
          </w:p>
        </w:tc>
        <w:tc>
          <w:tcPr>
            <w:tcW w:w="746" w:type="dxa"/>
          </w:tcPr>
          <w:p w14:paraId="583770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250/400</w:t>
            </w:r>
          </w:p>
        </w:tc>
        <w:tc>
          <w:tcPr>
            <w:tcW w:w="746" w:type="dxa"/>
          </w:tcPr>
          <w:p w14:paraId="61F36D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легк.</w:t>
            </w:r>
          </w:p>
        </w:tc>
        <w:tc>
          <w:tcPr>
            <w:tcW w:w="746" w:type="dxa"/>
          </w:tcPr>
          <w:p w14:paraId="52CB96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Сварн. трубы, </w:t>
            </w:r>
          </w:p>
        </w:tc>
        <w:tc>
          <w:tcPr>
            <w:tcW w:w="746" w:type="dxa"/>
          </w:tcPr>
          <w:p w14:paraId="674A27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ТШ2</w:t>
            </w:r>
          </w:p>
        </w:tc>
        <w:tc>
          <w:tcPr>
            <w:tcW w:w="2360" w:type="dxa"/>
          </w:tcPr>
          <w:p w14:paraId="22E7D0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690310E" w14:textId="77777777">
        <w:tc>
          <w:tcPr>
            <w:tcW w:w="1526" w:type="dxa"/>
          </w:tcPr>
          <w:p w14:paraId="1A6ADC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штурмовик</w:t>
            </w:r>
          </w:p>
        </w:tc>
        <w:tc>
          <w:tcPr>
            <w:tcW w:w="746" w:type="dxa"/>
          </w:tcPr>
          <w:p w14:paraId="10881A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ФЭД</w:t>
            </w:r>
          </w:p>
        </w:tc>
        <w:tc>
          <w:tcPr>
            <w:tcW w:w="746" w:type="dxa"/>
          </w:tcPr>
          <w:p w14:paraId="50778E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59CA8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5ED8B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5092D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C1629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93D49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или тяж.</w:t>
            </w:r>
          </w:p>
        </w:tc>
        <w:tc>
          <w:tcPr>
            <w:tcW w:w="746" w:type="dxa"/>
          </w:tcPr>
          <w:p w14:paraId="3F2731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дерево</w:t>
            </w:r>
          </w:p>
        </w:tc>
        <w:tc>
          <w:tcPr>
            <w:tcW w:w="746" w:type="dxa"/>
          </w:tcPr>
          <w:p w14:paraId="5D98C4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48BF1B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CE04DE0" w14:textId="77777777">
        <w:tc>
          <w:tcPr>
            <w:tcW w:w="1526" w:type="dxa"/>
          </w:tcPr>
          <w:p w14:paraId="44B6E1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6F85E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155EF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М35</w:t>
            </w:r>
          </w:p>
        </w:tc>
        <w:tc>
          <w:tcPr>
            <w:tcW w:w="746" w:type="dxa"/>
          </w:tcPr>
          <w:p w14:paraId="08DFCE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CF916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AF1E8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D68C5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772A9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4DE53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пул.</w:t>
            </w:r>
          </w:p>
        </w:tc>
        <w:tc>
          <w:tcPr>
            <w:tcW w:w="746" w:type="dxa"/>
          </w:tcPr>
          <w:p w14:paraId="6025A7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1FA4B5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AC4E3A8" w14:textId="77777777">
        <w:tc>
          <w:tcPr>
            <w:tcW w:w="1526" w:type="dxa"/>
          </w:tcPr>
          <w:p w14:paraId="141845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Легкий</w:t>
            </w:r>
          </w:p>
        </w:tc>
        <w:tc>
          <w:tcPr>
            <w:tcW w:w="746" w:type="dxa"/>
          </w:tcPr>
          <w:p w14:paraId="022639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F6802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ЛШ4</w:t>
            </w:r>
          </w:p>
        </w:tc>
        <w:tc>
          <w:tcPr>
            <w:tcW w:w="746" w:type="dxa"/>
          </w:tcPr>
          <w:p w14:paraId="2429C4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ЦКБ</w:t>
            </w:r>
          </w:p>
        </w:tc>
        <w:tc>
          <w:tcPr>
            <w:tcW w:w="746" w:type="dxa"/>
          </w:tcPr>
          <w:p w14:paraId="7174E4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1.3.32</w:t>
            </w:r>
          </w:p>
        </w:tc>
        <w:tc>
          <w:tcPr>
            <w:tcW w:w="746" w:type="dxa"/>
          </w:tcPr>
          <w:p w14:paraId="2C63A7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2-3000</w:t>
            </w:r>
          </w:p>
        </w:tc>
        <w:tc>
          <w:tcPr>
            <w:tcW w:w="746" w:type="dxa"/>
          </w:tcPr>
          <w:p w14:paraId="062B7E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46" w:type="dxa"/>
          </w:tcPr>
          <w:p w14:paraId="4D9793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46" w:type="dxa"/>
          </w:tcPr>
          <w:p w14:paraId="4B12BE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легк.</w:t>
            </w:r>
          </w:p>
        </w:tc>
        <w:tc>
          <w:tcPr>
            <w:tcW w:w="746" w:type="dxa"/>
          </w:tcPr>
          <w:p w14:paraId="292E47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Сварн. трубы,</w:t>
            </w:r>
          </w:p>
        </w:tc>
        <w:tc>
          <w:tcPr>
            <w:tcW w:w="2360" w:type="dxa"/>
          </w:tcPr>
          <w:p w14:paraId="6F7872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C901828" w14:textId="77777777">
        <w:tc>
          <w:tcPr>
            <w:tcW w:w="1526" w:type="dxa"/>
          </w:tcPr>
          <w:p w14:paraId="6E5EAA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штурмовик</w:t>
            </w:r>
          </w:p>
        </w:tc>
        <w:tc>
          <w:tcPr>
            <w:tcW w:w="746" w:type="dxa"/>
          </w:tcPr>
          <w:p w14:paraId="40C0D8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М15</w:t>
            </w:r>
          </w:p>
        </w:tc>
        <w:tc>
          <w:tcPr>
            <w:tcW w:w="746" w:type="dxa"/>
          </w:tcPr>
          <w:p w14:paraId="41456A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F1CEB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385EC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3D92C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D83F9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B01EA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пул.</w:t>
            </w:r>
          </w:p>
        </w:tc>
        <w:tc>
          <w:tcPr>
            <w:tcW w:w="746" w:type="dxa"/>
          </w:tcPr>
          <w:p w14:paraId="539E82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дерево</w:t>
            </w:r>
          </w:p>
        </w:tc>
        <w:tc>
          <w:tcPr>
            <w:tcW w:w="746" w:type="dxa"/>
          </w:tcPr>
          <w:p w14:paraId="02F7D0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780B82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EBCFEB1" w14:textId="77777777">
        <w:tc>
          <w:tcPr>
            <w:tcW w:w="1526" w:type="dxa"/>
          </w:tcPr>
          <w:p w14:paraId="6EFB97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III. Самолеты получаемые от ГВФ (строятся по плану ВОГВФ).</w:t>
            </w:r>
          </w:p>
        </w:tc>
        <w:tc>
          <w:tcPr>
            <w:tcW w:w="746" w:type="dxa"/>
          </w:tcPr>
          <w:p w14:paraId="44F811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BC773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DAE43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15091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AEB25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A04FA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C1B8B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7CC1D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C9214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0B2753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E63EABA" w14:textId="77777777">
        <w:tc>
          <w:tcPr>
            <w:tcW w:w="1526" w:type="dxa"/>
          </w:tcPr>
          <w:p w14:paraId="3383CE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Тяжел.</w:t>
            </w:r>
          </w:p>
        </w:tc>
        <w:tc>
          <w:tcPr>
            <w:tcW w:w="746" w:type="dxa"/>
          </w:tcPr>
          <w:p w14:paraId="6296DF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ТБ8</w:t>
            </w:r>
          </w:p>
        </w:tc>
        <w:tc>
          <w:tcPr>
            <w:tcW w:w="746" w:type="dxa"/>
          </w:tcPr>
          <w:p w14:paraId="50FD45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ГРОС</w:t>
            </w:r>
          </w:p>
        </w:tc>
        <w:tc>
          <w:tcPr>
            <w:tcW w:w="746" w:type="dxa"/>
          </w:tcPr>
          <w:p w14:paraId="1F714B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1.10.33</w:t>
            </w:r>
          </w:p>
        </w:tc>
        <w:tc>
          <w:tcPr>
            <w:tcW w:w="746" w:type="dxa"/>
          </w:tcPr>
          <w:p w14:paraId="586582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746" w:type="dxa"/>
          </w:tcPr>
          <w:p w14:paraId="4947C1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250</w:t>
            </w:r>
          </w:p>
        </w:tc>
        <w:tc>
          <w:tcPr>
            <w:tcW w:w="746" w:type="dxa"/>
          </w:tcPr>
          <w:p w14:paraId="60DC9A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1500/</w:t>
            </w:r>
          </w:p>
        </w:tc>
        <w:tc>
          <w:tcPr>
            <w:tcW w:w="746" w:type="dxa"/>
          </w:tcPr>
          <w:p w14:paraId="0A2C80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 мен.</w:t>
            </w:r>
          </w:p>
        </w:tc>
        <w:tc>
          <w:tcPr>
            <w:tcW w:w="746" w:type="dxa"/>
          </w:tcPr>
          <w:p w14:paraId="683FCF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31924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268A9A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F9927E4" w14:textId="77777777">
        <w:tc>
          <w:tcPr>
            <w:tcW w:w="1526" w:type="dxa"/>
          </w:tcPr>
          <w:p w14:paraId="4A309E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Бомбардир. (он</w:t>
            </w:r>
          </w:p>
        </w:tc>
        <w:tc>
          <w:tcPr>
            <w:tcW w:w="746" w:type="dxa"/>
          </w:tcPr>
          <w:p w14:paraId="46344F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М-44</w:t>
            </w:r>
          </w:p>
        </w:tc>
        <w:tc>
          <w:tcPr>
            <w:tcW w:w="746" w:type="dxa"/>
          </w:tcPr>
          <w:p w14:paraId="5FCC4F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C200D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4BD4B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D14E6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5DFA9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2000</w:t>
            </w:r>
          </w:p>
        </w:tc>
        <w:tc>
          <w:tcPr>
            <w:tcW w:w="746" w:type="dxa"/>
          </w:tcPr>
          <w:p w14:paraId="707330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4-5 пуш.</w:t>
            </w:r>
          </w:p>
        </w:tc>
        <w:tc>
          <w:tcPr>
            <w:tcW w:w="746" w:type="dxa"/>
          </w:tcPr>
          <w:p w14:paraId="0E290A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7757A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50DC54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568AA79" w14:textId="77777777">
        <w:tc>
          <w:tcPr>
            <w:tcW w:w="1526" w:type="dxa"/>
          </w:tcPr>
          <w:p w14:paraId="219C2D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же пассаж. груз.)</w:t>
            </w:r>
          </w:p>
        </w:tc>
        <w:tc>
          <w:tcPr>
            <w:tcW w:w="746" w:type="dxa"/>
          </w:tcPr>
          <w:p w14:paraId="7F8468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5B566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B2B0B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D70B1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75A64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1C0BB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9E14D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тяж.</w:t>
            </w:r>
          </w:p>
        </w:tc>
        <w:tc>
          <w:tcPr>
            <w:tcW w:w="746" w:type="dxa"/>
          </w:tcPr>
          <w:p w14:paraId="335BC3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261F6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634191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6D3E3EA" w14:textId="77777777">
        <w:tc>
          <w:tcPr>
            <w:tcW w:w="1526" w:type="dxa"/>
          </w:tcPr>
          <w:p w14:paraId="7B60D2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C85C8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36769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14339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AFF26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9813B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DE1F3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0532F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пул.</w:t>
            </w:r>
          </w:p>
        </w:tc>
        <w:tc>
          <w:tcPr>
            <w:tcW w:w="746" w:type="dxa"/>
          </w:tcPr>
          <w:p w14:paraId="124B8F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7C417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38B9B1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5F13D0E" w14:textId="77777777">
        <w:tc>
          <w:tcPr>
            <w:tcW w:w="1526" w:type="dxa"/>
          </w:tcPr>
          <w:p w14:paraId="49DB55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Тяжел.</w:t>
            </w:r>
          </w:p>
        </w:tc>
        <w:tc>
          <w:tcPr>
            <w:tcW w:w="746" w:type="dxa"/>
          </w:tcPr>
          <w:p w14:paraId="7E5A09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ТБ9</w:t>
            </w:r>
          </w:p>
        </w:tc>
        <w:tc>
          <w:tcPr>
            <w:tcW w:w="746" w:type="dxa"/>
          </w:tcPr>
          <w:p w14:paraId="5F2FD9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w:t>
            </w:r>
          </w:p>
        </w:tc>
        <w:tc>
          <w:tcPr>
            <w:tcW w:w="746" w:type="dxa"/>
          </w:tcPr>
          <w:p w14:paraId="49C91A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1.5.34</w:t>
            </w:r>
          </w:p>
        </w:tc>
        <w:tc>
          <w:tcPr>
            <w:tcW w:w="746" w:type="dxa"/>
          </w:tcPr>
          <w:p w14:paraId="430363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746" w:type="dxa"/>
          </w:tcPr>
          <w:p w14:paraId="740D09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250</w:t>
            </w:r>
          </w:p>
        </w:tc>
        <w:tc>
          <w:tcPr>
            <w:tcW w:w="746" w:type="dxa"/>
          </w:tcPr>
          <w:p w14:paraId="33392C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2000/</w:t>
            </w:r>
          </w:p>
        </w:tc>
        <w:tc>
          <w:tcPr>
            <w:tcW w:w="746" w:type="dxa"/>
          </w:tcPr>
          <w:p w14:paraId="336A58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Тяж.</w:t>
            </w:r>
          </w:p>
        </w:tc>
        <w:tc>
          <w:tcPr>
            <w:tcW w:w="746" w:type="dxa"/>
          </w:tcPr>
          <w:p w14:paraId="11C26C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Сталь осн. мат.,</w:t>
            </w:r>
          </w:p>
        </w:tc>
        <w:tc>
          <w:tcPr>
            <w:tcW w:w="746" w:type="dxa"/>
          </w:tcPr>
          <w:p w14:paraId="6AC0DE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042A4D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D54BF89" w14:textId="77777777">
        <w:tc>
          <w:tcPr>
            <w:tcW w:w="1526" w:type="dxa"/>
          </w:tcPr>
          <w:p w14:paraId="72C02F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бомбард. (он</w:t>
            </w:r>
          </w:p>
        </w:tc>
        <w:tc>
          <w:tcPr>
            <w:tcW w:w="746" w:type="dxa"/>
          </w:tcPr>
          <w:p w14:paraId="51FBA2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М44</w:t>
            </w:r>
          </w:p>
        </w:tc>
        <w:tc>
          <w:tcPr>
            <w:tcW w:w="746" w:type="dxa"/>
          </w:tcPr>
          <w:p w14:paraId="3D8BE3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AB075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E8E7F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BC1F3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AAC93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2500</w:t>
            </w:r>
          </w:p>
        </w:tc>
        <w:tc>
          <w:tcPr>
            <w:tcW w:w="746" w:type="dxa"/>
          </w:tcPr>
          <w:p w14:paraId="099038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пул. и</w:t>
            </w:r>
          </w:p>
        </w:tc>
        <w:tc>
          <w:tcPr>
            <w:tcW w:w="746" w:type="dxa"/>
          </w:tcPr>
          <w:p w14:paraId="7CC9B8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вспом. мат. дюраль</w:t>
            </w:r>
          </w:p>
        </w:tc>
        <w:tc>
          <w:tcPr>
            <w:tcW w:w="746" w:type="dxa"/>
          </w:tcPr>
          <w:p w14:paraId="61BD9F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429370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8E0108D" w14:textId="77777777">
        <w:tc>
          <w:tcPr>
            <w:tcW w:w="1526" w:type="dxa"/>
          </w:tcPr>
          <w:p w14:paraId="2744A5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же пассаж. груз.)</w:t>
            </w:r>
          </w:p>
        </w:tc>
        <w:tc>
          <w:tcPr>
            <w:tcW w:w="746" w:type="dxa"/>
          </w:tcPr>
          <w:p w14:paraId="0F915B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67ED8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B493E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3F74B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11056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AC63B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1E6CC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пушки</w:t>
            </w:r>
          </w:p>
        </w:tc>
        <w:tc>
          <w:tcPr>
            <w:tcW w:w="746" w:type="dxa"/>
          </w:tcPr>
          <w:p w14:paraId="7E2E6A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5AE48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1A0E12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716D8A6" w14:textId="77777777">
        <w:tc>
          <w:tcPr>
            <w:tcW w:w="1526" w:type="dxa"/>
          </w:tcPr>
          <w:p w14:paraId="36E7B4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Лег. химич.</w:t>
            </w:r>
          </w:p>
        </w:tc>
        <w:tc>
          <w:tcPr>
            <w:tcW w:w="746" w:type="dxa"/>
          </w:tcPr>
          <w:p w14:paraId="71F65E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ЛХI</w:t>
            </w:r>
          </w:p>
        </w:tc>
        <w:tc>
          <w:tcPr>
            <w:tcW w:w="746" w:type="dxa"/>
          </w:tcPr>
          <w:p w14:paraId="138339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ГРОС</w:t>
            </w:r>
          </w:p>
        </w:tc>
        <w:tc>
          <w:tcPr>
            <w:tcW w:w="746" w:type="dxa"/>
          </w:tcPr>
          <w:p w14:paraId="2C50D4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405F7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746" w:type="dxa"/>
          </w:tcPr>
          <w:p w14:paraId="63FD23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200/250</w:t>
            </w:r>
          </w:p>
        </w:tc>
        <w:tc>
          <w:tcPr>
            <w:tcW w:w="746" w:type="dxa"/>
          </w:tcPr>
          <w:p w14:paraId="01417D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300/500</w:t>
            </w:r>
          </w:p>
        </w:tc>
        <w:tc>
          <w:tcPr>
            <w:tcW w:w="746" w:type="dxa"/>
          </w:tcPr>
          <w:p w14:paraId="4881EA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легк.</w:t>
            </w:r>
          </w:p>
        </w:tc>
        <w:tc>
          <w:tcPr>
            <w:tcW w:w="746" w:type="dxa"/>
          </w:tcPr>
          <w:p w14:paraId="3B128E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Сварн. трубы,</w:t>
            </w:r>
          </w:p>
        </w:tc>
        <w:tc>
          <w:tcPr>
            <w:tcW w:w="746" w:type="dxa"/>
          </w:tcPr>
          <w:p w14:paraId="51E85D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2360" w:type="dxa"/>
          </w:tcPr>
          <w:p w14:paraId="5A5CD9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4DC2282" w14:textId="77777777">
        <w:tc>
          <w:tcPr>
            <w:tcW w:w="1526" w:type="dxa"/>
          </w:tcPr>
          <w:p w14:paraId="028231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боевик (он же</w:t>
            </w:r>
          </w:p>
        </w:tc>
        <w:tc>
          <w:tcPr>
            <w:tcW w:w="746" w:type="dxa"/>
          </w:tcPr>
          <w:p w14:paraId="57A808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2М26</w:t>
            </w:r>
          </w:p>
        </w:tc>
        <w:tc>
          <w:tcPr>
            <w:tcW w:w="746" w:type="dxa"/>
          </w:tcPr>
          <w:p w14:paraId="646146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2D072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1D481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08366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C0C41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D3058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пул.</w:t>
            </w:r>
          </w:p>
        </w:tc>
        <w:tc>
          <w:tcPr>
            <w:tcW w:w="746" w:type="dxa"/>
          </w:tcPr>
          <w:p w14:paraId="32D0F8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дерево</w:t>
            </w:r>
          </w:p>
        </w:tc>
        <w:tc>
          <w:tcPr>
            <w:tcW w:w="746" w:type="dxa"/>
          </w:tcPr>
          <w:p w14:paraId="15EC90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2F6E48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89037A4" w14:textId="77777777">
        <w:tc>
          <w:tcPr>
            <w:tcW w:w="1526" w:type="dxa"/>
          </w:tcPr>
          <w:p w14:paraId="7C24AA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 мест. авиац.)</w:t>
            </w:r>
          </w:p>
        </w:tc>
        <w:tc>
          <w:tcPr>
            <w:tcW w:w="746" w:type="dxa"/>
          </w:tcPr>
          <w:p w14:paraId="25B078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E0FBC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CCFE2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E316C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91735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A6C6A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C3167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E6189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EDCDB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29CEAB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E0E397B" w14:textId="77777777">
        <w:tc>
          <w:tcPr>
            <w:tcW w:w="1526" w:type="dxa"/>
          </w:tcPr>
          <w:p w14:paraId="4FB385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С-т связи</w:t>
            </w:r>
          </w:p>
        </w:tc>
        <w:tc>
          <w:tcPr>
            <w:tcW w:w="746" w:type="dxa"/>
          </w:tcPr>
          <w:p w14:paraId="350C50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ЛС1</w:t>
            </w:r>
          </w:p>
        </w:tc>
        <w:tc>
          <w:tcPr>
            <w:tcW w:w="746" w:type="dxa"/>
          </w:tcPr>
          <w:p w14:paraId="3482C7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ГРОС</w:t>
            </w:r>
          </w:p>
        </w:tc>
        <w:tc>
          <w:tcPr>
            <w:tcW w:w="746" w:type="dxa"/>
          </w:tcPr>
          <w:p w14:paraId="18377B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1.8.31</w:t>
            </w:r>
          </w:p>
        </w:tc>
        <w:tc>
          <w:tcPr>
            <w:tcW w:w="746" w:type="dxa"/>
          </w:tcPr>
          <w:p w14:paraId="239380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w:t>
            </w:r>
          </w:p>
        </w:tc>
        <w:tc>
          <w:tcPr>
            <w:tcW w:w="746" w:type="dxa"/>
          </w:tcPr>
          <w:p w14:paraId="6CA6D3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180</w:t>
            </w:r>
          </w:p>
        </w:tc>
        <w:tc>
          <w:tcPr>
            <w:tcW w:w="746" w:type="dxa"/>
          </w:tcPr>
          <w:p w14:paraId="56FB26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час.</w:t>
            </w:r>
          </w:p>
        </w:tc>
        <w:tc>
          <w:tcPr>
            <w:tcW w:w="746" w:type="dxa"/>
          </w:tcPr>
          <w:p w14:paraId="7BF3D2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легк.</w:t>
            </w:r>
          </w:p>
        </w:tc>
        <w:tc>
          <w:tcPr>
            <w:tcW w:w="746" w:type="dxa"/>
          </w:tcPr>
          <w:p w14:paraId="53E80F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Сварн. трубы,</w:t>
            </w:r>
          </w:p>
        </w:tc>
        <w:tc>
          <w:tcPr>
            <w:tcW w:w="746" w:type="dxa"/>
          </w:tcPr>
          <w:p w14:paraId="08AC2F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50B5EB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4911784" w14:textId="77777777">
        <w:tc>
          <w:tcPr>
            <w:tcW w:w="1526" w:type="dxa"/>
          </w:tcPr>
          <w:p w14:paraId="32C017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(лег.) он же с-т</w:t>
            </w:r>
          </w:p>
        </w:tc>
        <w:tc>
          <w:tcPr>
            <w:tcW w:w="746" w:type="dxa"/>
          </w:tcPr>
          <w:p w14:paraId="0E6481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М48</w:t>
            </w:r>
          </w:p>
        </w:tc>
        <w:tc>
          <w:tcPr>
            <w:tcW w:w="746" w:type="dxa"/>
          </w:tcPr>
          <w:p w14:paraId="40D08C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BAA76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59C2C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35E54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4CAA0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C8CA5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пул.</w:t>
            </w:r>
          </w:p>
        </w:tc>
        <w:tc>
          <w:tcPr>
            <w:tcW w:w="746" w:type="dxa"/>
          </w:tcPr>
          <w:p w14:paraId="3AA78E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дерево</w:t>
            </w:r>
          </w:p>
        </w:tc>
        <w:tc>
          <w:tcPr>
            <w:tcW w:w="746" w:type="dxa"/>
          </w:tcPr>
          <w:p w14:paraId="4907F3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5109EB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1A7490C" w14:textId="77777777">
        <w:tc>
          <w:tcPr>
            <w:tcW w:w="1526" w:type="dxa"/>
          </w:tcPr>
          <w:p w14:paraId="4D3FCC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туризма, спорта,</w:t>
            </w:r>
          </w:p>
        </w:tc>
        <w:tc>
          <w:tcPr>
            <w:tcW w:w="746" w:type="dxa"/>
          </w:tcPr>
          <w:p w14:paraId="2393BC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5C01B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5F6B0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3E8BC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2945E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0ECEE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C802F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CB8E3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C0A60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35142A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0F5E485" w14:textId="77777777">
        <w:tc>
          <w:tcPr>
            <w:tcW w:w="1526" w:type="dxa"/>
          </w:tcPr>
          <w:p w14:paraId="69AA4E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лег. Санитарн.,</w:t>
            </w:r>
          </w:p>
        </w:tc>
        <w:tc>
          <w:tcPr>
            <w:tcW w:w="746" w:type="dxa"/>
          </w:tcPr>
          <w:p w14:paraId="458C38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F621D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217DA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82DA8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AA1FA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30DB8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07242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A6EF6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DFA4F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26CA7B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26DD79A" w14:textId="77777777">
        <w:tc>
          <w:tcPr>
            <w:tcW w:w="1526" w:type="dxa"/>
          </w:tcPr>
          <w:p w14:paraId="344CA7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учебно-тренир.</w:t>
            </w:r>
          </w:p>
        </w:tc>
        <w:tc>
          <w:tcPr>
            <w:tcW w:w="746" w:type="dxa"/>
          </w:tcPr>
          <w:p w14:paraId="7BB049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4FEAA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8DCF5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FD39F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49E9F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4503E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58BF5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54D68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59EA5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223E13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35BC2BB" w14:textId="77777777">
        <w:tc>
          <w:tcPr>
            <w:tcW w:w="1526" w:type="dxa"/>
          </w:tcPr>
          <w:p w14:paraId="0AF50E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 т.д.</w:t>
            </w:r>
          </w:p>
        </w:tc>
        <w:tc>
          <w:tcPr>
            <w:tcW w:w="746" w:type="dxa"/>
          </w:tcPr>
          <w:p w14:paraId="7644CE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8ACEE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D577F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0CF87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48205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B1990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EC6CE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BDDF5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D229D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63EE2D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D8E684E" w14:textId="77777777">
        <w:tc>
          <w:tcPr>
            <w:tcW w:w="1526" w:type="dxa"/>
          </w:tcPr>
          <w:p w14:paraId="324A5B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С-т связи</w:t>
            </w:r>
          </w:p>
        </w:tc>
        <w:tc>
          <w:tcPr>
            <w:tcW w:w="746" w:type="dxa"/>
          </w:tcPr>
          <w:p w14:paraId="699970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СС1</w:t>
            </w:r>
          </w:p>
        </w:tc>
        <w:tc>
          <w:tcPr>
            <w:tcW w:w="746" w:type="dxa"/>
          </w:tcPr>
          <w:p w14:paraId="3E7013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ГРОС</w:t>
            </w:r>
          </w:p>
        </w:tc>
        <w:tc>
          <w:tcPr>
            <w:tcW w:w="746" w:type="dxa"/>
          </w:tcPr>
          <w:p w14:paraId="6C9FA0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1.10.31</w:t>
            </w:r>
          </w:p>
        </w:tc>
        <w:tc>
          <w:tcPr>
            <w:tcW w:w="746" w:type="dxa"/>
          </w:tcPr>
          <w:p w14:paraId="42D63F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2000</w:t>
            </w:r>
          </w:p>
        </w:tc>
        <w:tc>
          <w:tcPr>
            <w:tcW w:w="746" w:type="dxa"/>
          </w:tcPr>
          <w:p w14:paraId="304970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w:t>
            </w:r>
          </w:p>
        </w:tc>
        <w:tc>
          <w:tcPr>
            <w:tcW w:w="746" w:type="dxa"/>
          </w:tcPr>
          <w:p w14:paraId="0C74AF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350</w:t>
            </w:r>
          </w:p>
        </w:tc>
        <w:tc>
          <w:tcPr>
            <w:tcW w:w="746" w:type="dxa"/>
          </w:tcPr>
          <w:p w14:paraId="73744D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легк.</w:t>
            </w:r>
          </w:p>
        </w:tc>
        <w:tc>
          <w:tcPr>
            <w:tcW w:w="746" w:type="dxa"/>
          </w:tcPr>
          <w:p w14:paraId="4FDFF8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Сварн. трубы,</w:t>
            </w:r>
          </w:p>
        </w:tc>
        <w:tc>
          <w:tcPr>
            <w:tcW w:w="746" w:type="dxa"/>
          </w:tcPr>
          <w:p w14:paraId="5E4D96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2360" w:type="dxa"/>
          </w:tcPr>
          <w:p w14:paraId="61852F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5513223" w14:textId="77777777">
        <w:tc>
          <w:tcPr>
            <w:tcW w:w="1526" w:type="dxa"/>
          </w:tcPr>
          <w:p w14:paraId="6B4454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(штабной) он же</w:t>
            </w:r>
          </w:p>
        </w:tc>
        <w:tc>
          <w:tcPr>
            <w:tcW w:w="746" w:type="dxa"/>
          </w:tcPr>
          <w:p w14:paraId="375936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М26</w:t>
            </w:r>
          </w:p>
        </w:tc>
        <w:tc>
          <w:tcPr>
            <w:tcW w:w="746" w:type="dxa"/>
          </w:tcPr>
          <w:p w14:paraId="7497A2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843B3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846F2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4D9AD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DDBED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933FE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пул.</w:t>
            </w:r>
          </w:p>
        </w:tc>
        <w:tc>
          <w:tcPr>
            <w:tcW w:w="746" w:type="dxa"/>
          </w:tcPr>
          <w:p w14:paraId="7AB29A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дерево</w:t>
            </w:r>
          </w:p>
        </w:tc>
        <w:tc>
          <w:tcPr>
            <w:tcW w:w="746" w:type="dxa"/>
          </w:tcPr>
          <w:p w14:paraId="30E82E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565210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B6D80F3" w14:textId="77777777">
        <w:tc>
          <w:tcPr>
            <w:tcW w:w="1526" w:type="dxa"/>
          </w:tcPr>
          <w:p w14:paraId="36FD1E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 местн. авиац.,</w:t>
            </w:r>
          </w:p>
        </w:tc>
        <w:tc>
          <w:tcPr>
            <w:tcW w:w="746" w:type="dxa"/>
          </w:tcPr>
          <w:p w14:paraId="278591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A2F45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27976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8C946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CACE1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F561D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5BCE0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9EEC5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80F26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0852CC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69F88C7" w14:textId="77777777">
        <w:tc>
          <w:tcPr>
            <w:tcW w:w="1526" w:type="dxa"/>
          </w:tcPr>
          <w:p w14:paraId="62F8D3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легк., трансп. и</w:t>
            </w:r>
          </w:p>
        </w:tc>
        <w:tc>
          <w:tcPr>
            <w:tcW w:w="746" w:type="dxa"/>
          </w:tcPr>
          <w:p w14:paraId="7ECD2A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FE51C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37833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54ABD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F652F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7D271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F50B8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6C26B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B9E25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0D043C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FA28CCB" w14:textId="77777777">
        <w:tc>
          <w:tcPr>
            <w:tcW w:w="1526" w:type="dxa"/>
          </w:tcPr>
          <w:p w14:paraId="614F37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 д.</w:t>
            </w:r>
          </w:p>
        </w:tc>
        <w:tc>
          <w:tcPr>
            <w:tcW w:w="746" w:type="dxa"/>
          </w:tcPr>
          <w:p w14:paraId="371990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AD2AF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F9ED4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B45A9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A7943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92518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F2EFD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8B3B0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099CD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177431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bl>
    <w:p w14:paraId="7A0024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План экспериментального самолетостроения ВВС 1932-1934/35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1522"/>
        <w:gridCol w:w="882"/>
        <w:gridCol w:w="1565"/>
        <w:gridCol w:w="768"/>
        <w:gridCol w:w="768"/>
        <w:gridCol w:w="768"/>
        <w:gridCol w:w="768"/>
        <w:gridCol w:w="768"/>
        <w:gridCol w:w="768"/>
      </w:tblGrid>
      <w:tr w:rsidR="001002C3" w:rsidRPr="005E779E" w14:paraId="7183C3FC" w14:textId="77777777">
        <w:tc>
          <w:tcPr>
            <w:tcW w:w="1668" w:type="dxa"/>
          </w:tcPr>
          <w:p w14:paraId="728564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Двухмест.</w:t>
            </w:r>
          </w:p>
        </w:tc>
        <w:tc>
          <w:tcPr>
            <w:tcW w:w="1522" w:type="dxa"/>
          </w:tcPr>
          <w:p w14:paraId="025ECB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ДИП2</w:t>
            </w:r>
          </w:p>
        </w:tc>
        <w:tc>
          <w:tcPr>
            <w:tcW w:w="882" w:type="dxa"/>
          </w:tcPr>
          <w:p w14:paraId="09B02B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БНК</w:t>
            </w:r>
          </w:p>
        </w:tc>
        <w:tc>
          <w:tcPr>
            <w:tcW w:w="1565" w:type="dxa"/>
          </w:tcPr>
          <w:p w14:paraId="467D2D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1.5.32</w:t>
            </w:r>
          </w:p>
        </w:tc>
        <w:tc>
          <w:tcPr>
            <w:tcW w:w="768" w:type="dxa"/>
          </w:tcPr>
          <w:p w14:paraId="4B4037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768" w:type="dxa"/>
          </w:tcPr>
          <w:p w14:paraId="7996B9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350</w:t>
            </w:r>
          </w:p>
        </w:tc>
        <w:tc>
          <w:tcPr>
            <w:tcW w:w="768" w:type="dxa"/>
          </w:tcPr>
          <w:p w14:paraId="2661C6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w:t>
            </w:r>
          </w:p>
        </w:tc>
        <w:tc>
          <w:tcPr>
            <w:tcW w:w="768" w:type="dxa"/>
          </w:tcPr>
          <w:p w14:paraId="0FFEB5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автом.</w:t>
            </w:r>
          </w:p>
        </w:tc>
        <w:tc>
          <w:tcPr>
            <w:tcW w:w="768" w:type="dxa"/>
          </w:tcPr>
          <w:p w14:paraId="3983EB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Сварн. трубы,</w:t>
            </w:r>
          </w:p>
        </w:tc>
        <w:tc>
          <w:tcPr>
            <w:tcW w:w="768" w:type="dxa"/>
          </w:tcPr>
          <w:p w14:paraId="14FAB8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Эксперимент. схемы</w:t>
            </w:r>
          </w:p>
        </w:tc>
      </w:tr>
      <w:tr w:rsidR="001002C3" w:rsidRPr="005E779E" w14:paraId="132D9A86" w14:textId="77777777">
        <w:tc>
          <w:tcPr>
            <w:tcW w:w="1668" w:type="dxa"/>
          </w:tcPr>
          <w:p w14:paraId="670286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истребитель</w:t>
            </w:r>
          </w:p>
        </w:tc>
        <w:tc>
          <w:tcPr>
            <w:tcW w:w="1522" w:type="dxa"/>
          </w:tcPr>
          <w:p w14:paraId="66DE2D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82" w:type="dxa"/>
          </w:tcPr>
          <w:p w14:paraId="747883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Pr>
          <w:p w14:paraId="4E6033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5B9C03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0B4DCD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42DDA7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w:t>
            </w:r>
          </w:p>
        </w:tc>
        <w:tc>
          <w:tcPr>
            <w:tcW w:w="768" w:type="dxa"/>
          </w:tcPr>
          <w:p w14:paraId="4C62C0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пушка</w:t>
            </w:r>
          </w:p>
        </w:tc>
        <w:tc>
          <w:tcPr>
            <w:tcW w:w="768" w:type="dxa"/>
          </w:tcPr>
          <w:p w14:paraId="0388DB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дерево</w:t>
            </w:r>
          </w:p>
        </w:tc>
        <w:tc>
          <w:tcPr>
            <w:tcW w:w="768" w:type="dxa"/>
          </w:tcPr>
          <w:p w14:paraId="345099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C93AD67" w14:textId="77777777">
        <w:tc>
          <w:tcPr>
            <w:tcW w:w="1668" w:type="dxa"/>
          </w:tcPr>
          <w:p w14:paraId="578DCB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22" w:type="dxa"/>
          </w:tcPr>
          <w:p w14:paraId="75C364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82" w:type="dxa"/>
          </w:tcPr>
          <w:p w14:paraId="63ECCB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Pr>
          <w:p w14:paraId="0E357D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3511B7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03BD0B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066C19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7C27D3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 пул.</w:t>
            </w:r>
          </w:p>
        </w:tc>
        <w:tc>
          <w:tcPr>
            <w:tcW w:w="768" w:type="dxa"/>
          </w:tcPr>
          <w:p w14:paraId="1EF9F2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75E77C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421897F" w14:textId="77777777">
        <w:tc>
          <w:tcPr>
            <w:tcW w:w="1668" w:type="dxa"/>
          </w:tcPr>
          <w:p w14:paraId="587027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Самолет</w:t>
            </w:r>
          </w:p>
        </w:tc>
        <w:tc>
          <w:tcPr>
            <w:tcW w:w="1522" w:type="dxa"/>
          </w:tcPr>
          <w:p w14:paraId="61A286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(высота применения более 10000 м, с-т тоннажа двухместный истребитель; </w:t>
            </w:r>
            <w:r w:rsidRPr="005E779E">
              <w:rPr>
                <w:rFonts w:ascii="Times New Roman" w:hAnsi="Times New Roman"/>
                <w:color w:val="000000" w:themeColor="text1"/>
                <w:sz w:val="16"/>
                <w:szCs w:val="16"/>
              </w:rPr>
              <w:lastRenderedPageBreak/>
              <w:t>требования устанавливаются особо).</w:t>
            </w:r>
          </w:p>
        </w:tc>
        <w:tc>
          <w:tcPr>
            <w:tcW w:w="882" w:type="dxa"/>
          </w:tcPr>
          <w:p w14:paraId="331C4D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Pr>
          <w:p w14:paraId="5FCCC4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4DA209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5C59E9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00690B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58DF49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09170A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53EE9D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F8A4CAF" w14:textId="77777777">
        <w:tc>
          <w:tcPr>
            <w:tcW w:w="1668" w:type="dxa"/>
          </w:tcPr>
          <w:p w14:paraId="15A491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высотный</w:t>
            </w:r>
          </w:p>
        </w:tc>
        <w:tc>
          <w:tcPr>
            <w:tcW w:w="1522" w:type="dxa"/>
          </w:tcPr>
          <w:p w14:paraId="656D9B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82" w:type="dxa"/>
          </w:tcPr>
          <w:p w14:paraId="38F782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Pr>
          <w:p w14:paraId="0A57E4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68DDC3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1EB120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0C310A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506628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7A3F17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617C10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ABFCEB2" w14:textId="77777777">
        <w:tc>
          <w:tcPr>
            <w:tcW w:w="1668" w:type="dxa"/>
          </w:tcPr>
          <w:p w14:paraId="27ACD9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С-т из новых</w:t>
            </w:r>
          </w:p>
        </w:tc>
        <w:tc>
          <w:tcPr>
            <w:tcW w:w="1522" w:type="dxa"/>
          </w:tcPr>
          <w:p w14:paraId="2D191F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Э1</w:t>
            </w:r>
          </w:p>
        </w:tc>
        <w:tc>
          <w:tcPr>
            <w:tcW w:w="882" w:type="dxa"/>
          </w:tcPr>
          <w:p w14:paraId="37C881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Pr>
          <w:p w14:paraId="22256D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10F211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31A5F9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476465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71A05F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3079A8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465234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6300A30" w14:textId="77777777">
        <w:tc>
          <w:tcPr>
            <w:tcW w:w="1668" w:type="dxa"/>
          </w:tcPr>
          <w:p w14:paraId="0B696E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материалов или</w:t>
            </w:r>
          </w:p>
        </w:tc>
        <w:tc>
          <w:tcPr>
            <w:tcW w:w="1522" w:type="dxa"/>
          </w:tcPr>
          <w:p w14:paraId="66AF34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82" w:type="dxa"/>
          </w:tcPr>
          <w:p w14:paraId="6A7535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Pr>
          <w:p w14:paraId="2D9521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4D3597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1BFC7C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404284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52F4A2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0E1DD6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29B0FE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BAD4BAC" w14:textId="77777777">
        <w:tc>
          <w:tcPr>
            <w:tcW w:w="1668" w:type="dxa"/>
          </w:tcPr>
          <w:p w14:paraId="7C0389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их комбинации</w:t>
            </w:r>
          </w:p>
        </w:tc>
        <w:tc>
          <w:tcPr>
            <w:tcW w:w="1522" w:type="dxa"/>
          </w:tcPr>
          <w:p w14:paraId="2EB4AC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82" w:type="dxa"/>
          </w:tcPr>
          <w:p w14:paraId="64510F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Pr>
          <w:p w14:paraId="14C444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487E18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286E1D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237F71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6B28A8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11C6A1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0C2D94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2B06AD5" w14:textId="77777777">
        <w:tc>
          <w:tcPr>
            <w:tcW w:w="1668" w:type="dxa"/>
          </w:tcPr>
          <w:p w14:paraId="523CE0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w:t>
            </w:r>
          </w:p>
        </w:tc>
        <w:tc>
          <w:tcPr>
            <w:tcW w:w="1522" w:type="dxa"/>
          </w:tcPr>
          <w:p w14:paraId="047883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82" w:type="dxa"/>
          </w:tcPr>
          <w:p w14:paraId="1E46F6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Э2</w:t>
            </w:r>
          </w:p>
        </w:tc>
        <w:tc>
          <w:tcPr>
            <w:tcW w:w="1565" w:type="dxa"/>
          </w:tcPr>
          <w:p w14:paraId="236BD3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7A8CCD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06B951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0E79C9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713491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08B0D0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0246D6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50282CF" w14:textId="77777777">
        <w:tc>
          <w:tcPr>
            <w:tcW w:w="1668" w:type="dxa"/>
          </w:tcPr>
          <w:p w14:paraId="74FF6F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Геликоптер</w:t>
            </w:r>
          </w:p>
        </w:tc>
        <w:tc>
          <w:tcPr>
            <w:tcW w:w="1522" w:type="dxa"/>
          </w:tcPr>
          <w:p w14:paraId="066C52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Г2</w:t>
            </w:r>
          </w:p>
        </w:tc>
        <w:tc>
          <w:tcPr>
            <w:tcW w:w="882" w:type="dxa"/>
          </w:tcPr>
          <w:p w14:paraId="0499A5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БОК</w:t>
            </w:r>
          </w:p>
        </w:tc>
        <w:tc>
          <w:tcPr>
            <w:tcW w:w="1565" w:type="dxa"/>
          </w:tcPr>
          <w:p w14:paraId="156269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Требования не устанавливаются.</w:t>
            </w:r>
          </w:p>
        </w:tc>
        <w:tc>
          <w:tcPr>
            <w:tcW w:w="768" w:type="dxa"/>
          </w:tcPr>
          <w:p w14:paraId="7B75DE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73F1BB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1BBEE3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053A81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308B5C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6D6EF6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C2D9C2D" w14:textId="77777777">
        <w:tc>
          <w:tcPr>
            <w:tcW w:w="1668" w:type="dxa"/>
          </w:tcPr>
          <w:p w14:paraId="5C6134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22" w:type="dxa"/>
          </w:tcPr>
          <w:p w14:paraId="1820B7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82" w:type="dxa"/>
          </w:tcPr>
          <w:p w14:paraId="3A2227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w:t>
            </w:r>
          </w:p>
        </w:tc>
        <w:tc>
          <w:tcPr>
            <w:tcW w:w="1565" w:type="dxa"/>
          </w:tcPr>
          <w:p w14:paraId="4B6292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1F9F00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31D69D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1159D2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3DEB31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02CCB2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01DA3B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97F22CB" w14:textId="77777777">
        <w:tc>
          <w:tcPr>
            <w:tcW w:w="1668" w:type="dxa"/>
          </w:tcPr>
          <w:p w14:paraId="6CCD46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Автожир</w:t>
            </w:r>
          </w:p>
        </w:tc>
        <w:tc>
          <w:tcPr>
            <w:tcW w:w="1522" w:type="dxa"/>
          </w:tcPr>
          <w:p w14:paraId="1A0E05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А2</w:t>
            </w:r>
          </w:p>
        </w:tc>
        <w:tc>
          <w:tcPr>
            <w:tcW w:w="882" w:type="dxa"/>
          </w:tcPr>
          <w:p w14:paraId="26F52A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БОК</w:t>
            </w:r>
          </w:p>
        </w:tc>
        <w:tc>
          <w:tcPr>
            <w:tcW w:w="1565" w:type="dxa"/>
          </w:tcPr>
          <w:p w14:paraId="267BDD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78E77B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63821A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11363C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68C3A0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33EB8A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6E2055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1CFB319" w14:textId="77777777">
        <w:tc>
          <w:tcPr>
            <w:tcW w:w="1668" w:type="dxa"/>
          </w:tcPr>
          <w:p w14:paraId="4D66A9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22" w:type="dxa"/>
          </w:tcPr>
          <w:p w14:paraId="76807E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82" w:type="dxa"/>
          </w:tcPr>
          <w:p w14:paraId="3A7231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w:t>
            </w:r>
          </w:p>
        </w:tc>
        <w:tc>
          <w:tcPr>
            <w:tcW w:w="1565" w:type="dxa"/>
          </w:tcPr>
          <w:p w14:paraId="49D6E4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5403DE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3384C4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076FE2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6A508F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2FAE71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52577F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37857D5" w14:textId="77777777">
        <w:tc>
          <w:tcPr>
            <w:tcW w:w="1668" w:type="dxa"/>
          </w:tcPr>
          <w:p w14:paraId="181679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С-т с реактивн.</w:t>
            </w:r>
          </w:p>
        </w:tc>
        <w:tc>
          <w:tcPr>
            <w:tcW w:w="1522" w:type="dxa"/>
          </w:tcPr>
          <w:p w14:paraId="3147F4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Ре1</w:t>
            </w:r>
          </w:p>
        </w:tc>
        <w:tc>
          <w:tcPr>
            <w:tcW w:w="882" w:type="dxa"/>
          </w:tcPr>
          <w:p w14:paraId="30767B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ГРОС</w:t>
            </w:r>
          </w:p>
        </w:tc>
        <w:tc>
          <w:tcPr>
            <w:tcW w:w="1565" w:type="dxa"/>
          </w:tcPr>
          <w:p w14:paraId="4C7D6C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02A8C0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1EF236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4D1FDD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5A8CF4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6C8392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0E9E8C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62BDD1B" w14:textId="77777777">
        <w:tc>
          <w:tcPr>
            <w:tcW w:w="1668" w:type="dxa"/>
          </w:tcPr>
          <w:p w14:paraId="6ACE70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двигателем</w:t>
            </w:r>
          </w:p>
        </w:tc>
        <w:tc>
          <w:tcPr>
            <w:tcW w:w="1522" w:type="dxa"/>
          </w:tcPr>
          <w:p w14:paraId="0CC399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82" w:type="dxa"/>
          </w:tcPr>
          <w:p w14:paraId="46F1C6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Pr>
          <w:p w14:paraId="44612C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5EFEAC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6B2D64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476DAC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55880B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5F2C17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39845E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5E779E" w14:paraId="1116BB80" w14:textId="77777777">
        <w:tc>
          <w:tcPr>
            <w:tcW w:w="1668" w:type="dxa"/>
          </w:tcPr>
          <w:p w14:paraId="7BCE09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Резервные самолеты (3029).</w:t>
            </w:r>
          </w:p>
        </w:tc>
        <w:tc>
          <w:tcPr>
            <w:tcW w:w="1522" w:type="dxa"/>
          </w:tcPr>
          <w:p w14:paraId="2A5A27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82" w:type="dxa"/>
          </w:tcPr>
          <w:p w14:paraId="5FAE39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565" w:type="dxa"/>
          </w:tcPr>
          <w:p w14:paraId="39D370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7F9C18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226317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4E7AD9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59EB6A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376806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2CD20B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bl>
    <w:p w14:paraId="3023D43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9072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5 и 11 июня 1931. Из протокола заседания Политбюро № 41, 1931 г.</w:t>
      </w:r>
    </w:p>
    <w:p w14:paraId="6595FC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 иностранных перелетах</w:t>
      </w:r>
    </w:p>
    <w:p w14:paraId="460319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Впредь вопросы о разрешении тех или иных иностранных перелетов через территорию СССР поручить решать комиссии в составе т. т. Ворошилова, Менжинского и Крестинского (11652).</w:t>
      </w:r>
    </w:p>
    <w:p w14:paraId="7FEAAD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7019D88" w14:textId="77777777" w:rsidR="0040061B" w:rsidRPr="005E779E" w:rsidRDefault="0040061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июня 1931 г.</w:t>
      </w:r>
    </w:p>
    <w:p w14:paraId="740550FB" w14:textId="77777777" w:rsidR="0040061B" w:rsidRPr="005E779E" w:rsidRDefault="0040061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Циркуляр ЭКУ ОГПУ № 211/ЭКУ «О порядке и условиях использования заключенных специалистов на работах и об агентурном обслуживании заключенных и высланных специалистов»</w:t>
      </w:r>
    </w:p>
    <w:p w14:paraId="0B00A094" w14:textId="77777777" w:rsidR="0040061B" w:rsidRPr="005E779E" w:rsidRDefault="0040061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июня 1931 г.</w:t>
      </w:r>
    </w:p>
    <w:p w14:paraId="321CF6C1" w14:textId="77777777" w:rsidR="0040061B" w:rsidRPr="005E779E" w:rsidRDefault="0040061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Совершенно секретно</w:t>
      </w:r>
    </w:p>
    <w:p w14:paraId="1C330B4E" w14:textId="77777777" w:rsidR="0040061B" w:rsidRPr="005E779E" w:rsidRDefault="0040061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Всем нач. ЭКО ПП ОГПУ, ГПУ Башкирской, Татарской и Якутской АССР.</w:t>
      </w:r>
    </w:p>
    <w:p w14:paraId="6D4563DC" w14:textId="77777777" w:rsidR="0040061B" w:rsidRPr="005E779E" w:rsidRDefault="0040061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О ПОРЯДКЕ И УСЛОВИЯХ ИСПОЛЬЗОВАНИЯ ЗАКЛЮЧЕННЫХ СПЕЦИАЛИСТОВ НА РАБОТАХ</w:t>
      </w:r>
    </w:p>
    <w:p w14:paraId="1A14D56D" w14:textId="77777777" w:rsidR="0040061B" w:rsidRPr="005E779E" w:rsidRDefault="0040061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изоляторах ОГПУ как в центре, так и на местах, в заключении находится большее количество инженеров и техников, оторванных от производства, ввиду их вредительской деятельности и принадлежности, к ныне разгромленным ОГПУ, контрреволюционным организациям.</w:t>
      </w:r>
    </w:p>
    <w:p w14:paraId="2C4C7CA8" w14:textId="77777777" w:rsidR="0040061B" w:rsidRPr="005E779E" w:rsidRDefault="0040061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ОГПУ — в Москве и в ряде Полномочных Представительств ОГПУ на местах, уже осуществляется использование специалистов на работе по их специальностям.</w:t>
      </w:r>
    </w:p>
    <w:p w14:paraId="0D570C81" w14:textId="77777777" w:rsidR="0040061B" w:rsidRPr="005E779E" w:rsidRDefault="0040061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результате такого использования, ОГПУ имеет ряд больших технических достижений в области: самолетостроения и моторостроения (Москва), сооружении блюмингов (Ленинград), по эксплуатации угольных копий и новому шахтному строительству (Кузбасс) и т.д.</w:t>
      </w:r>
    </w:p>
    <w:p w14:paraId="5F8771AD" w14:textId="77777777" w:rsidR="0040061B" w:rsidRPr="005E779E" w:rsidRDefault="0040061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дальнейшем установившуюся практику использования необходимо расширить и углубить.</w:t>
      </w:r>
    </w:p>
    <w:p w14:paraId="6A20D841" w14:textId="77777777" w:rsidR="0040061B" w:rsidRPr="005E779E" w:rsidRDefault="0040061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Организационное оформление использования должно строится следующим порядком:</w:t>
      </w:r>
    </w:p>
    <w:p w14:paraId="091530B9" w14:textId="77777777" w:rsidR="0040061B" w:rsidRPr="005E779E" w:rsidRDefault="0040061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ЭКО ПП ОГПУ, в условиях заключения, все осужденные специалисты, подлежащие использованию, организуются в особое техническое бюро.</w:t>
      </w:r>
    </w:p>
    <w:p w14:paraId="0CFAED65" w14:textId="77777777" w:rsidR="0040061B" w:rsidRPr="005E779E" w:rsidRDefault="0040061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Бюро размещается в особо изолированном помещении с сохранением тюремного режима. В составе бюро могут быть образованы отдельные группы по специальностям. </w:t>
      </w:r>
    </w:p>
    <w:p w14:paraId="1171FA69" w14:textId="77777777" w:rsidR="0040061B" w:rsidRPr="005E779E" w:rsidRDefault="0040061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Технический руководитель бюро и его помощник, а также руководители групп, назначаются из среды арестованных специалистов, по усмотрению ЭКО ПП ОГПУ.</w:t>
      </w:r>
    </w:p>
    <w:p w14:paraId="5CA042E5" w14:textId="77777777" w:rsidR="0040061B" w:rsidRPr="005E779E" w:rsidRDefault="0040061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Технический руководитель Бюро, его помощник и старшие групп отвечают за работоспособность используемых специалистов и несут вместе с исполнителями полную ответственность за выполняемую работу. Все бюро в административно -чекистском отношении, и в отношении общего руководства, подчиняются техническим отделениям ЭКО, а где их нет, специально выделенному для этой цели оперативному работнику.</w:t>
      </w:r>
    </w:p>
    <w:p w14:paraId="0B33203D" w14:textId="77777777" w:rsidR="0040061B" w:rsidRPr="005E779E" w:rsidRDefault="0040061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круг деятельности бюро входят: проектные, конструкторские и консультативно -экспертные работы.</w:t>
      </w:r>
    </w:p>
    <w:p w14:paraId="43687DDB" w14:textId="77777777" w:rsidR="0040061B" w:rsidRPr="005E779E" w:rsidRDefault="0040061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Деятельностью Бюро может быть также: опытное строительство и сооружения всевозможных объектов промышленной и оборонной техники (машин, моторов, котлов, станков и т.п.).</w:t>
      </w:r>
    </w:p>
    <w:p w14:paraId="1AB10F28" w14:textId="77777777" w:rsidR="0040061B" w:rsidRPr="005E779E" w:rsidRDefault="0040061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переброске отдельных групп заключенных специалистов из состава Бюро на предприятия для работы, последние размещаются в особо изолированных помещениях или корпусах, с сохранением тюремного режима.</w:t>
      </w:r>
    </w:p>
    <w:p w14:paraId="159F27C8" w14:textId="77777777" w:rsidR="0040061B" w:rsidRPr="005E779E" w:rsidRDefault="0040061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переброске на предприятие, заключенные специалисты ни в коем случае не переходят в ведение и распоряжение предприятий и не руководятся администрацией предприятия.</w:t>
      </w:r>
    </w:p>
    <w:p w14:paraId="15C5EA9E" w14:textId="77777777" w:rsidR="0040061B" w:rsidRPr="005E779E" w:rsidRDefault="0040061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Принцип руководства группой, выделенной для указанной работы на том или ином предприятии, остается тем же, что и для бюро в целом, т.е. во главе таковой становится оперработник ПП ОГПУ, в его распоряжении состоит вахтерская охрана. Он ответственен за соблюдение режима и изоляции заключенных специалистов и через него осуществляются все сношения с предприятием, администрацией и отдельными органами.</w:t>
      </w:r>
    </w:p>
    <w:p w14:paraId="64C66366" w14:textId="77777777" w:rsidR="0040061B" w:rsidRPr="005E779E" w:rsidRDefault="0040061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Содержатся используемые специалисты во всех случаях в условиях исключительно тюремного режима. Посещение ими предприятий или цехов, мастерских и т.п. должно быть обязательно в сопровождении конвоя.</w:t>
      </w:r>
    </w:p>
    <w:p w14:paraId="29E01C25" w14:textId="77777777" w:rsidR="0040061B" w:rsidRPr="005E779E" w:rsidRDefault="0040061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Систематическая оплата работ заключенных специалистов, в виде жалования, категорически воспрещается. Отдельные денежные пособия возможны в порядке единовременных выдач за проведенную работу, представляющую особый интерес.</w:t>
      </w:r>
    </w:p>
    <w:p w14:paraId="15A473FD" w14:textId="77777777" w:rsidR="0040061B" w:rsidRPr="005E779E" w:rsidRDefault="0040061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Содержание заключенных специалистов, их охрана и обслуживание, а также выдача единовременных пособий должны осуществляться из сумм, получаемых от госучреждений за работу, выполненную заключенными специалистами.</w:t>
      </w:r>
    </w:p>
    <w:p w14:paraId="61025B65" w14:textId="77777777" w:rsidR="0040061B" w:rsidRPr="005E779E" w:rsidRDefault="0040061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Расходование других сумм категорически воспрещается.</w:t>
      </w:r>
    </w:p>
    <w:p w14:paraId="32790B28" w14:textId="77777777" w:rsidR="0040061B" w:rsidRPr="005E779E" w:rsidRDefault="0040061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ОБ АГЕНТУРНОМ ОБСЛУЖИВАНИИ ЗАКЛЮЧЕННЫХ И ВЫСЛАННЫХ СПЕЦИАЛИСТОВ</w:t>
      </w:r>
    </w:p>
    <w:p w14:paraId="68ADD2B9" w14:textId="77777777" w:rsidR="0040061B" w:rsidRPr="005E779E" w:rsidRDefault="0040061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Практика работы по использованию специалистов в Москве установила, что всех заключенных специалистов по их настроениям можно разделить на три категории:</w:t>
      </w:r>
    </w:p>
    <w:p w14:paraId="6F79F133" w14:textId="77777777" w:rsidR="0040061B" w:rsidRPr="005E779E" w:rsidRDefault="0040061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категория А — «лояльные», т.е. те, которые всерьез пересмотрели свои прежние политические воззрения и теперь готовы искренне и добросовестно служить Советской власти.</w:t>
      </w:r>
    </w:p>
    <w:p w14:paraId="3427243E" w14:textId="77777777" w:rsidR="0040061B" w:rsidRPr="005E779E" w:rsidRDefault="0040061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Категория Б — «терпимые», которые озлоблены заключением, остались на своих прежних враждебных Соввласти позициях, но внешне этого не проявляют. При умелом подходе к ним и обработке, могут работать добросовестно.</w:t>
      </w:r>
    </w:p>
    <w:p w14:paraId="5CA63BF5" w14:textId="77777777" w:rsidR="0040061B" w:rsidRPr="005E779E" w:rsidRDefault="0040061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Категория В — «злостные», не стараются особенно скрыть свою неприязнь к соввласти и даже в глаза, а за глаза ведут прямую контрреволюционную и вредительскую работу, в условиях заключения и использования их на работах.</w:t>
      </w:r>
    </w:p>
    <w:p w14:paraId="7057133F" w14:textId="77777777" w:rsidR="0040061B" w:rsidRPr="005E779E" w:rsidRDefault="0040061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Изложенная градация заключенных специалистов на категории свидетельствует о том, что среди них необходимо вести углубленную агентурную работу, в целях разработки отрицательных и вредных для работы лиц и фактов и их своевременного устранения. Агентурно-профилактическая работа среди заключенных специалистов должна вестись с первых же дней использования, ибо в практике регистрировались случаи, когда 1—2 «злостных» в короткое время разлагали целую группу лояльно настроенных, или старались скомпрометировать даваемую ОГПУ работу и впоследствии приходилось употреблять много усилий, чтобы вернуть группу к ее нормальной работоспособности.</w:t>
      </w:r>
    </w:p>
    <w:p w14:paraId="578A51A5" w14:textId="77777777" w:rsidR="0040061B" w:rsidRPr="005E779E" w:rsidRDefault="0040061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Сеть среди заключенных специалистов должна быть и в качественном и в количественном отношении вполне достаточной, продуманной и параллельной с расчетом взаимной проверки и освещения всех сторон жизни и работы заключенных специалистов, вплоть до бытовых мелочей и отношений.</w:t>
      </w:r>
    </w:p>
    <w:p w14:paraId="706B0739" w14:textId="77777777" w:rsidR="0040061B" w:rsidRPr="005E779E" w:rsidRDefault="0040061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Вербовать руководителей или лиц, ответственных по работе среди заключенных специалистов, не рекомендуется.</w:t>
      </w:r>
    </w:p>
    <w:p w14:paraId="5500FF35" w14:textId="77777777" w:rsidR="0040061B" w:rsidRPr="005E779E" w:rsidRDefault="0040061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большей полноты сведений, необходимо взять под агентурное обслуживание семьи и родственников заключенных специалистов, вербуя среди них осведомителей.</w:t>
      </w:r>
    </w:p>
    <w:p w14:paraId="224B6481" w14:textId="77777777" w:rsidR="0040061B" w:rsidRPr="005E779E" w:rsidRDefault="0040061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Агентурному обслуживанию подвергнуть не только заключенных специалистов и находящихся на работе под руководством наших органов, но также специалистов-одиночек, работающих на предприятиях из категории высланных.</w:t>
      </w:r>
    </w:p>
    <w:p w14:paraId="415B70F2" w14:textId="77777777" w:rsidR="0040061B" w:rsidRPr="005E779E" w:rsidRDefault="0040061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Агентурные разработки, содержащие в себе действия преступные и уголовно ^наказуемые, превращать в следственные дела, для заслушания Коллегии.</w:t>
      </w:r>
    </w:p>
    <w:p w14:paraId="6C08C3B6" w14:textId="77777777" w:rsidR="0040061B" w:rsidRPr="005E779E" w:rsidRDefault="0040061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основании изложенного предлагается всем ЭКО ПП ОГПУ:</w:t>
      </w:r>
    </w:p>
    <w:p w14:paraId="2749081E" w14:textId="77777777" w:rsidR="0040061B" w:rsidRPr="005E779E" w:rsidRDefault="0040061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1. С получением сего представить в ЭКУ ОГПУ по прилагаемой при сем форме, сведения на всех заключенных (подследственных и осужденных) специалистов, могущих быть использованными на работе.</w:t>
      </w:r>
    </w:p>
    <w:p w14:paraId="37C92910" w14:textId="77777777" w:rsidR="0040061B" w:rsidRPr="005E779E" w:rsidRDefault="0040061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ПРИМЕЧАНИЯ:</w:t>
      </w:r>
    </w:p>
    <w:p w14:paraId="3B390D33" w14:textId="77777777" w:rsidR="0040061B" w:rsidRPr="005E779E" w:rsidRDefault="0040061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Личные карточки должны быть заполнены по всем графам.</w:t>
      </w:r>
    </w:p>
    <w:p w14:paraId="16BC34D2" w14:textId="77777777" w:rsidR="0040061B" w:rsidRPr="005E779E" w:rsidRDefault="0040061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ЭКО ПП ОГПУ, ранее выславшие в ЭКУ ОГПУ означенные карточки, высылают таковые на вновь используемых.</w:t>
      </w:r>
    </w:p>
    <w:p w14:paraId="4D432738" w14:textId="77777777" w:rsidR="0040061B" w:rsidRPr="005E779E" w:rsidRDefault="0040061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ЭКО ПП ОГПУ, где уже созданы особые тех. Бюро, прислать в ЭКУ ОГПУ годичные планы работ с графиком сроков их исполнения.</w:t>
      </w:r>
    </w:p>
    <w:p w14:paraId="24445B66" w14:textId="77777777" w:rsidR="0040061B" w:rsidRPr="005E779E" w:rsidRDefault="0040061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Составлять ежемесячные спец, агентурные сводки о настроении и характеристики работ используемых заключенных и высланных специалистов.</w:t>
      </w:r>
    </w:p>
    <w:p w14:paraId="6D73198A" w14:textId="77777777" w:rsidR="0040061B" w:rsidRPr="005E779E" w:rsidRDefault="0040061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Срок исполнения настоящего циркуляра, в соответствии с приказом ОГПУ 1931 года № 221 — пятидневный.</w:t>
      </w:r>
    </w:p>
    <w:p w14:paraId="73A7B9E4" w14:textId="77777777" w:rsidR="0040061B" w:rsidRPr="005E779E" w:rsidRDefault="0040061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 вопросы, возникающие в процессе выполнения настоящего циркуляра, направлять за разъяснением в Техническое отделение ЭКУ ОГПУ.</w:t>
      </w:r>
    </w:p>
    <w:p w14:paraId="04935C4A" w14:textId="77777777" w:rsidR="0040061B" w:rsidRPr="005E779E" w:rsidRDefault="0040061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нач. ЭКУ ОГПУ</w:t>
      </w:r>
      <w:r w:rsidRPr="005E779E">
        <w:rPr>
          <w:rFonts w:ascii="Times New Roman" w:hAnsi="Times New Roman"/>
          <w:color w:val="000000" w:themeColor="text1"/>
          <w:sz w:val="16"/>
          <w:szCs w:val="16"/>
        </w:rPr>
        <w:tab/>
        <w:t>Миронов</w:t>
      </w:r>
    </w:p>
    <w:p w14:paraId="24482B1F" w14:textId="77777777" w:rsidR="0040061B" w:rsidRPr="005E779E" w:rsidRDefault="0040061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Пом. нач. Технического] отд[еления]</w:t>
      </w:r>
      <w:r w:rsidRPr="005E779E">
        <w:rPr>
          <w:rFonts w:ascii="Times New Roman" w:hAnsi="Times New Roman"/>
          <w:color w:val="000000" w:themeColor="text1"/>
          <w:sz w:val="16"/>
          <w:szCs w:val="16"/>
        </w:rPr>
        <w:tab/>
        <w:t>Соколов</w:t>
      </w:r>
    </w:p>
    <w:p w14:paraId="7FAB0C7D" w14:textId="77777777" w:rsidR="0040061B" w:rsidRPr="005E779E" w:rsidRDefault="0040061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 ФСБ РФ. Ф. 66. On. 1-т. Д. 4. Л. 98—102. Заверенная копия (20641).</w:t>
      </w:r>
    </w:p>
    <w:p w14:paraId="600B1B82" w14:textId="77777777" w:rsidR="0040061B" w:rsidRPr="005E779E" w:rsidRDefault="0040061B" w:rsidP="000B7A6C">
      <w:pPr>
        <w:spacing w:after="0" w:line="240" w:lineRule="auto"/>
        <w:jc w:val="both"/>
        <w:rPr>
          <w:rFonts w:ascii="Times New Roman" w:hAnsi="Times New Roman"/>
          <w:color w:val="000000" w:themeColor="text1"/>
          <w:sz w:val="16"/>
          <w:szCs w:val="16"/>
        </w:rPr>
      </w:pPr>
    </w:p>
    <w:p w14:paraId="083E485F" w14:textId="77777777" w:rsidR="00F645C2" w:rsidRPr="00142305" w:rsidRDefault="00F645C2" w:rsidP="00F645C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5 июня 1931 года на заседании Полиьбюро рассматривался вопрос о передаче ГВФ, испытывавшему острый кадровый голод, подготовленных летчиков и техников из Народного комиссариата по военным и морским делам (НКВМ) СССР, и в результате в ГВФ перевели 297 летчиков и 198 авиатехников (25172).</w:t>
      </w:r>
    </w:p>
    <w:p w14:paraId="586B13B7" w14:textId="77777777" w:rsidR="00F645C2" w:rsidRPr="00142305" w:rsidRDefault="00F645C2" w:rsidP="00F645C2">
      <w:pPr>
        <w:spacing w:after="0" w:line="240" w:lineRule="auto"/>
        <w:jc w:val="both"/>
        <w:rPr>
          <w:rFonts w:ascii="Times New Roman" w:hAnsi="Times New Roman"/>
          <w:color w:val="0070C0"/>
          <w:sz w:val="16"/>
          <w:szCs w:val="16"/>
        </w:rPr>
      </w:pPr>
    </w:p>
    <w:p w14:paraId="6915416D"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6F7BD760"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D026379" w14:textId="77777777" w:rsidR="007908DF" w:rsidRPr="005E779E" w:rsidRDefault="007908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5 по 30 июня 1931 г. немецкая 152-мм мортира «Н» успешно прошла испытания на Главном артиллерийском полигоне в объеме 141 выстрела, а осенью того же года она прошла войсковые испытания в 20-й стрелковой дивизии.</w:t>
      </w:r>
    </w:p>
    <w:p w14:paraId="5FAF24D9" w14:textId="77777777" w:rsidR="007908DF" w:rsidRPr="005E779E" w:rsidRDefault="007908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152-мм мортира «Н» была принята на вооружение под названием 152-мм мортира обр. 1931 г. и в 1932 г. запущена в серийное производство на Пермском заводе. Однако удалось изготовить только 129 мортир. Куда там фирме «Рейнметалл» против нашего минометного лобби!</w:t>
      </w:r>
    </w:p>
    <w:p w14:paraId="5D257777" w14:textId="77777777" w:rsidR="007908DF" w:rsidRPr="005E779E" w:rsidRDefault="007908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Тем не менее КБ завода № 172 (г. Пермь) провело модернизацию мортиры обр. 1931 г. и представило на испытания три новые 152-мм мортиры МЛ-21. Испытания выявили ряд мелких конструктивных недостатков.</w:t>
      </w:r>
    </w:p>
    <w:p w14:paraId="0164F9E2" w14:textId="77777777" w:rsidR="007908DF" w:rsidRPr="005E779E" w:rsidRDefault="007908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Минометное лобби в Артиллерийском управлении встретило МЛ-21 буквально в штыки. 13 июля 1938 г. из 2-го отдела Артуправления маршалу Кулику была направлена кляуза:</w:t>
      </w:r>
    </w:p>
    <w:p w14:paraId="19D30AED" w14:textId="77777777" w:rsidR="007908DF" w:rsidRPr="005E779E" w:rsidRDefault="007908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«Испытания мортиры в войсках тоже показали неудовлетворительные результаты как по конструкции, так и по тактическим данным (для полка тяжела, а для дивизии маломощна). Кроме того, она не входила в систему вооружений. На основании изложенного Артиллерийский комитет считает необходимым дальнейшие работы по мортире прекратить».</w:t>
      </w:r>
    </w:p>
    <w:p w14:paraId="5056E5F0" w14:textId="77777777" w:rsidR="007908DF" w:rsidRPr="005E779E" w:rsidRDefault="007908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 августа 1938 г. маршал Кулик в письме к наркому Ворошилову как попугай переписал все аргументы Артуправления и добавил от себя: «Прошу Вашего распоряжения о прекращении опытных работ по этой мортире». Работы по 152-мм дивизионным мортирам были прекращены окончательно (12705).</w:t>
      </w:r>
    </w:p>
    <w:p w14:paraId="30C0043D" w14:textId="77777777" w:rsidR="007908DF" w:rsidRPr="005E779E" w:rsidRDefault="007908DF" w:rsidP="000B7A6C">
      <w:pPr>
        <w:spacing w:after="0" w:line="240" w:lineRule="auto"/>
        <w:jc w:val="both"/>
        <w:rPr>
          <w:rFonts w:ascii="Times New Roman" w:hAnsi="Times New Roman"/>
          <w:color w:val="000000" w:themeColor="text1"/>
          <w:sz w:val="16"/>
          <w:szCs w:val="16"/>
        </w:rPr>
      </w:pPr>
    </w:p>
    <w:p w14:paraId="1F491C5E" w14:textId="77777777" w:rsidR="00EA6158" w:rsidRPr="00142305" w:rsidRDefault="00EA6158" w:rsidP="00EA6158">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С 5 по 30 июня 1931 г. немецкая 152-мм мортира «Н» или «НМ» (НМ — немецкая мортира) успешно прошла испытания на Главном артиллерийском полигоне в объеме 141 выстрела, а осенью того же года она прошла войсковые испытания в 20-й стрелковой дивизии.</w:t>
      </w:r>
    </w:p>
    <w:p w14:paraId="52D1F58C" w14:textId="77777777" w:rsidR="00EA6158" w:rsidRPr="00142305" w:rsidRDefault="00EA6158" w:rsidP="00EA6158">
      <w:pPr>
        <w:spacing w:after="0" w:line="240" w:lineRule="auto"/>
        <w:jc w:val="both"/>
        <w:rPr>
          <w:rStyle w:val="aff0"/>
          <w:rFonts w:ascii="Times New Roman" w:hAnsi="Times New Roman" w:cs="Times New Roman"/>
          <w:color w:val="0070C0"/>
          <w:spacing w:val="0"/>
          <w:sz w:val="16"/>
          <w:szCs w:val="16"/>
        </w:rPr>
      </w:pPr>
      <w:r w:rsidRPr="00142305">
        <w:rPr>
          <w:rStyle w:val="aff0"/>
          <w:rFonts w:ascii="Times New Roman" w:hAnsi="Times New Roman" w:cs="Times New Roman"/>
          <w:color w:val="0070C0"/>
          <w:spacing w:val="0"/>
          <w:sz w:val="16"/>
          <w:szCs w:val="16"/>
        </w:rPr>
        <w:t>152-мм мортира «Н» была принята на вооружение под названием 152</w:t>
      </w:r>
      <w:r w:rsidRPr="00142305">
        <w:rPr>
          <w:rStyle w:val="aff0"/>
          <w:rFonts w:ascii="Times New Roman" w:hAnsi="Times New Roman" w:cs="Times New Roman"/>
          <w:color w:val="0070C0"/>
          <w:spacing w:val="0"/>
          <w:sz w:val="16"/>
          <w:szCs w:val="16"/>
        </w:rPr>
        <w:softHyphen/>
        <w:t>мм мортира обр. 1931 г. и в 1932 г. запущена в серийное производство на Пермском заводе. Однако удалось изготовить только 129 мортир. Куда там фирме «Рейнметалл» против нашего минометного лобби.</w:t>
      </w:r>
    </w:p>
    <w:p w14:paraId="5BC5ECED" w14:textId="77777777" w:rsidR="00EA6158" w:rsidRPr="00142305" w:rsidRDefault="00EA6158" w:rsidP="00EA6158">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КБ завода № 172 (г. Пермь) провело модернизацию мортиры обр. 1931 г. и представило на испытания три новые 152-мм мортиры МЛ-21. Испытания выявили ряд мелких конструктивных недостатков.</w:t>
      </w:r>
    </w:p>
    <w:p w14:paraId="531F1D9B" w14:textId="77777777" w:rsidR="00EA6158" w:rsidRPr="00142305" w:rsidRDefault="00EA6158" w:rsidP="00EA6158">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Минометное лобби в Артиллерийском управлении встретило МЛ-21 буквально в штыки (25123).</w:t>
      </w:r>
    </w:p>
    <w:p w14:paraId="6BBFB785" w14:textId="77777777" w:rsidR="00EA6158" w:rsidRPr="00142305" w:rsidRDefault="00EA6158" w:rsidP="00EA6158">
      <w:pPr>
        <w:spacing w:after="0" w:line="240" w:lineRule="auto"/>
        <w:jc w:val="both"/>
        <w:rPr>
          <w:rFonts w:ascii="Times New Roman" w:hAnsi="Times New Roman"/>
          <w:color w:val="0070C0"/>
          <w:sz w:val="16"/>
          <w:szCs w:val="16"/>
        </w:rPr>
      </w:pPr>
    </w:p>
    <w:p w14:paraId="516F6470" w14:textId="77777777" w:rsidR="001A7FA6" w:rsidRPr="005E779E" w:rsidRDefault="001A7FA6"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5 июня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Протокол заседания Политбюро ЦК ВКП(б) № 41. 5. О Сталинградском тракторном заводе (Дьяконов, Косарев). 11. О строительстве судов судоверфью «Красное Сормово». Решения ПБ от 30 мая 1931 г. П. 9/18. О подлодках № 4 и 9 (Ворошилов). — ОП. Опросом членов ПБ от 5 июня 1931 г. 48/48. О состоянии судостроения и возможности его расширения (ПБ от 30 апреля 1931 г., пр. № 36, п. 10/12). (Политбюро... Т. 2. С. 173, 174, 176) (12416).</w:t>
      </w:r>
    </w:p>
    <w:p w14:paraId="396CF315" w14:textId="77777777" w:rsidR="001A7FA6" w:rsidRPr="005E779E" w:rsidRDefault="001A7FA6" w:rsidP="000B7A6C">
      <w:pPr>
        <w:spacing w:after="0" w:line="240" w:lineRule="auto"/>
        <w:jc w:val="both"/>
        <w:rPr>
          <w:rFonts w:ascii="Times New Roman" w:hAnsi="Times New Roman"/>
          <w:color w:val="000000" w:themeColor="text1"/>
          <w:sz w:val="16"/>
          <w:szCs w:val="16"/>
          <w:u w:color="002060"/>
        </w:rPr>
      </w:pPr>
    </w:p>
    <w:p w14:paraId="23B630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июня 1931 вышло постановление ЦК ВКП(б) об овладении техникой большевиками (66,186).</w:t>
      </w:r>
    </w:p>
    <w:p w14:paraId="1F75C0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3761A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июня 1931 г. постановлением ВСНХ СССР создана Государственная всесоюзная контора по защитным покрытиям металлов "Электрохимет". В 1934 г. переименована во Всесоюзную техническую контору по борьбе с коррозией "Электрохимет", в марте 1938 г. - во Всесоюзную техническую контору по борьбе с коррозией и применением химически стойких материалов "Металлохимзащита". Во время Великой Отечественной войны контора была эвакуирована на Урал. Указанием Министерства машиностроения и приборостроения СССР от 11 октября 1950 г. контора ликвидирована (12102).</w:t>
      </w:r>
    </w:p>
    <w:p w14:paraId="64F330F0" w14:textId="77777777" w:rsidR="008B6E64" w:rsidRPr="005E779E" w:rsidRDefault="008B6E64"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0A94E4A"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5A2D4453"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5A2FD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июня 1931 вышло постановление ЦК ВКП(б) "О командном и политическом составе РККА" (356,65).</w:t>
      </w:r>
    </w:p>
    <w:p w14:paraId="28D16C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5411EBB" w14:textId="77777777" w:rsidR="00347672" w:rsidRPr="005E779E" w:rsidRDefault="0034767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июня 1931</w:t>
      </w:r>
    </w:p>
    <w:p w14:paraId="2E448EED" w14:textId="77777777" w:rsidR="00347672" w:rsidRPr="005E779E" w:rsidRDefault="0034767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Протокол № 41 заседания Политбюро ЦК ВКП(б) от 5 июня 1931 г.</w:t>
      </w:r>
    </w:p>
    <w:p w14:paraId="172BED45" w14:textId="77777777" w:rsidR="00347672" w:rsidRPr="005E779E" w:rsidRDefault="0034767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Заседание Политбюро ЦК ВКП(б) от 5-го июня 1931 года.</w:t>
      </w:r>
    </w:p>
    <w:p w14:paraId="0B3A3B5F" w14:textId="77777777" w:rsidR="00347672" w:rsidRPr="005E779E" w:rsidRDefault="0034767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 55/55: О ходе выполнение решения ПБ от 5.IX.30 г. о передаче Наркомвоенмором объединению гражданского воздушного флота 750 пилотов и 750 техников</w:t>
      </w:r>
    </w:p>
    <w:p w14:paraId="5404740B" w14:textId="77777777" w:rsidR="00347672" w:rsidRPr="005E779E" w:rsidRDefault="0034767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 от 1.VI.31 г., пр. № 58, п. 22).</w:t>
      </w:r>
    </w:p>
    <w:p w14:paraId="49E49D3E" w14:textId="77777777" w:rsidR="00347672" w:rsidRPr="005E779E" w:rsidRDefault="0034767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Решение — особая папка.</w:t>
      </w:r>
    </w:p>
    <w:p w14:paraId="627125CB" w14:textId="77777777" w:rsidR="00347672" w:rsidRPr="005E779E" w:rsidRDefault="0034767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Принять измененный план передачи летчиков и техников для объединения гражданского и воздушного флота (</w:t>
      </w:r>
      <w:hyperlink r:id="rId131" w:history="1">
        <w:r w:rsidRPr="005E779E">
          <w:rPr>
            <w:rStyle w:val="a5"/>
            <w:rFonts w:ascii="Times New Roman" w:hAnsi="Times New Roman"/>
            <w:color w:val="000000" w:themeColor="text1"/>
            <w:sz w:val="16"/>
            <w:szCs w:val="16"/>
            <w:u w:val="none"/>
          </w:rPr>
          <w:t>см. приложение № 4</w:t>
        </w:r>
        <w:r w:rsidRPr="005E779E">
          <w:rPr>
            <w:rStyle w:val="a5"/>
            <w:rFonts w:ascii="Times New Roman" w:hAnsi="Times New Roman"/>
            <w:color w:val="000000" w:themeColor="text1"/>
            <w:sz w:val="16"/>
            <w:szCs w:val="16"/>
            <w:u w:val="none"/>
          </w:rPr>
          <w:noBreakHyphen/>
          <w:t>ОП</w:t>
        </w:r>
      </w:hyperlink>
      <w:r w:rsidRPr="005E779E">
        <w:rPr>
          <w:rFonts w:ascii="Times New Roman" w:hAnsi="Times New Roman"/>
          <w:color w:val="000000" w:themeColor="text1"/>
          <w:sz w:val="16"/>
          <w:szCs w:val="16"/>
        </w:rPr>
        <w:t>).</w:t>
      </w:r>
    </w:p>
    <w:p w14:paraId="29C3C785" w14:textId="77777777" w:rsidR="00347672" w:rsidRPr="005E779E" w:rsidRDefault="0034767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Выписки посланы:</w:t>
      </w:r>
    </w:p>
    <w:p w14:paraId="56CA0CEF" w14:textId="77777777" w:rsidR="00347672" w:rsidRPr="005E779E" w:rsidRDefault="0034767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Баранову, Гольцману, Оргбюро.</w:t>
      </w:r>
    </w:p>
    <w:p w14:paraId="205F21F0" w14:textId="77777777" w:rsidR="00347672" w:rsidRPr="005E779E" w:rsidRDefault="0034767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Приложение № 4</w:t>
      </w:r>
      <w:r w:rsidRPr="005E779E">
        <w:rPr>
          <w:rFonts w:ascii="Times New Roman" w:hAnsi="Times New Roman"/>
          <w:color w:val="000000" w:themeColor="text1"/>
          <w:sz w:val="16"/>
          <w:szCs w:val="16"/>
        </w:rPr>
        <w:noBreakHyphen/>
        <w:t>ОП</w:t>
      </w:r>
    </w:p>
    <w:p w14:paraId="7CA5CA5A" w14:textId="77777777" w:rsidR="00347672" w:rsidRPr="005E779E" w:rsidRDefault="0034767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п. 55/55 (о. п.), пр. ПБ № 41</w:t>
      </w:r>
    </w:p>
    <w:p w14:paraId="7F50DA8C" w14:textId="77777777" w:rsidR="00347672" w:rsidRPr="005E779E" w:rsidRDefault="0034767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План передачи летно-технического состава из управления Военно-Воздушных Сил РККА в объединение Гражданского Воздушного Флота.</w:t>
      </w:r>
    </w:p>
    <w:p w14:paraId="5BDD36CD" w14:textId="77777777" w:rsidR="00347672" w:rsidRPr="005E779E" w:rsidRDefault="0034767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(Утвержден Политбюро ЦК ВКП(б) 5 июня 1931 г.).</w:t>
      </w:r>
    </w:p>
    <w:tbl>
      <w:tblPr>
        <w:tblW w:w="5000" w:type="pct"/>
        <w:shd w:val="clear" w:color="auto" w:fill="F2EEE1"/>
        <w:tblCellMar>
          <w:left w:w="0" w:type="dxa"/>
          <w:right w:w="0" w:type="dxa"/>
        </w:tblCellMar>
        <w:tblLook w:val="04A0" w:firstRow="1" w:lastRow="0" w:firstColumn="1" w:lastColumn="0" w:noHBand="0" w:noVBand="1"/>
      </w:tblPr>
      <w:tblGrid>
        <w:gridCol w:w="7622"/>
        <w:gridCol w:w="2124"/>
        <w:gridCol w:w="1592"/>
      </w:tblGrid>
      <w:tr w:rsidR="001002C3" w:rsidRPr="005E779E" w14:paraId="280136EF" w14:textId="77777777" w:rsidTr="001C3F77">
        <w:tc>
          <w:tcPr>
            <w:tcW w:w="0" w:type="auto"/>
            <w:vAlign w:val="center"/>
            <w:hideMark/>
          </w:tcPr>
          <w:p w14:paraId="508C3FBF" w14:textId="77777777" w:rsidR="00347672" w:rsidRPr="005E779E" w:rsidRDefault="0034767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специальностей</w:t>
            </w:r>
          </w:p>
        </w:tc>
        <w:tc>
          <w:tcPr>
            <w:tcW w:w="0" w:type="auto"/>
            <w:vAlign w:val="center"/>
            <w:hideMark/>
          </w:tcPr>
          <w:p w14:paraId="2F766418" w14:textId="77777777" w:rsidR="00347672" w:rsidRPr="005E779E" w:rsidRDefault="0034767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Сроки передачи</w:t>
            </w:r>
          </w:p>
        </w:tc>
        <w:tc>
          <w:tcPr>
            <w:tcW w:w="0" w:type="auto"/>
            <w:vAlign w:val="center"/>
            <w:hideMark/>
          </w:tcPr>
          <w:p w14:paraId="6BEAC129" w14:textId="77777777" w:rsidR="00347672" w:rsidRPr="005E779E" w:rsidRDefault="0034767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Количество</w:t>
            </w:r>
          </w:p>
        </w:tc>
      </w:tr>
      <w:tr w:rsidR="001002C3" w:rsidRPr="005E779E" w14:paraId="1D8E9A89" w14:textId="77777777" w:rsidTr="001C3F77">
        <w:tc>
          <w:tcPr>
            <w:tcW w:w="0" w:type="auto"/>
            <w:vAlign w:val="center"/>
            <w:hideMark/>
          </w:tcPr>
          <w:p w14:paraId="51A53E2C" w14:textId="77777777" w:rsidR="00347672" w:rsidRPr="005E779E" w:rsidRDefault="0034767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Летчиков из строя</w:t>
            </w:r>
          </w:p>
        </w:tc>
        <w:tc>
          <w:tcPr>
            <w:tcW w:w="0" w:type="auto"/>
            <w:vAlign w:val="center"/>
            <w:hideMark/>
          </w:tcPr>
          <w:p w14:paraId="4B4F0589" w14:textId="77777777" w:rsidR="00347672" w:rsidRPr="005E779E" w:rsidRDefault="0034767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Июль 1931 г.</w:t>
            </w:r>
          </w:p>
        </w:tc>
        <w:tc>
          <w:tcPr>
            <w:tcW w:w="0" w:type="auto"/>
            <w:vAlign w:val="center"/>
            <w:hideMark/>
          </w:tcPr>
          <w:p w14:paraId="319433A9" w14:textId="77777777" w:rsidR="00347672" w:rsidRPr="005E779E" w:rsidRDefault="0034767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человек</w:t>
            </w:r>
          </w:p>
        </w:tc>
      </w:tr>
      <w:tr w:rsidR="001002C3" w:rsidRPr="005E779E" w14:paraId="10591F1F" w14:textId="77777777" w:rsidTr="001C3F77">
        <w:tc>
          <w:tcPr>
            <w:tcW w:w="0" w:type="auto"/>
            <w:vAlign w:val="center"/>
            <w:hideMark/>
          </w:tcPr>
          <w:p w14:paraId="02CB3FD5" w14:textId="77777777" w:rsidR="00347672" w:rsidRPr="005E779E" w:rsidRDefault="0034767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Летчиков из нормальной школы</w:t>
            </w:r>
          </w:p>
        </w:tc>
        <w:tc>
          <w:tcPr>
            <w:tcW w:w="0" w:type="auto"/>
            <w:vAlign w:val="center"/>
            <w:hideMark/>
          </w:tcPr>
          <w:p w14:paraId="4A5C7B7C" w14:textId="77777777" w:rsidR="00347672" w:rsidRPr="005E779E" w:rsidRDefault="0034767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Июль 1931 г.</w:t>
            </w:r>
          </w:p>
        </w:tc>
        <w:tc>
          <w:tcPr>
            <w:tcW w:w="0" w:type="auto"/>
            <w:vAlign w:val="center"/>
            <w:hideMark/>
          </w:tcPr>
          <w:p w14:paraId="58FA2B39" w14:textId="77777777" w:rsidR="00347672" w:rsidRPr="005E779E" w:rsidRDefault="0034767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 человек</w:t>
            </w:r>
          </w:p>
        </w:tc>
      </w:tr>
      <w:tr w:rsidR="001002C3" w:rsidRPr="005E779E" w14:paraId="28231FC9" w14:textId="77777777" w:rsidTr="001C3F77">
        <w:tc>
          <w:tcPr>
            <w:tcW w:w="0" w:type="auto"/>
            <w:vAlign w:val="center"/>
            <w:hideMark/>
          </w:tcPr>
          <w:p w14:paraId="460BB3F0" w14:textId="77777777" w:rsidR="00347672" w:rsidRPr="005E779E" w:rsidRDefault="0034767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Молодых летчиков, окончивших школы на учебных самолетах</w:t>
            </w:r>
          </w:p>
        </w:tc>
        <w:tc>
          <w:tcPr>
            <w:tcW w:w="0" w:type="auto"/>
            <w:vAlign w:val="center"/>
            <w:hideMark/>
          </w:tcPr>
          <w:p w14:paraId="4A02E98F" w14:textId="77777777" w:rsidR="00347672" w:rsidRPr="005E779E" w:rsidRDefault="0034767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Июнь 1931 г.</w:t>
            </w:r>
          </w:p>
        </w:tc>
        <w:tc>
          <w:tcPr>
            <w:tcW w:w="0" w:type="auto"/>
            <w:vAlign w:val="center"/>
            <w:hideMark/>
          </w:tcPr>
          <w:p w14:paraId="6CC6F7F3" w14:textId="77777777" w:rsidR="00347672" w:rsidRPr="005E779E" w:rsidRDefault="0034767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180 человек</w:t>
            </w:r>
          </w:p>
        </w:tc>
      </w:tr>
      <w:tr w:rsidR="001002C3" w:rsidRPr="005E779E" w14:paraId="124DD63B" w14:textId="77777777" w:rsidTr="001C3F77">
        <w:tc>
          <w:tcPr>
            <w:tcW w:w="0" w:type="auto"/>
            <w:vAlign w:val="center"/>
            <w:hideMark/>
          </w:tcPr>
          <w:p w14:paraId="66873B42" w14:textId="77777777" w:rsidR="00347672" w:rsidRPr="005E779E" w:rsidRDefault="0034767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Летчиков разных категорий</w:t>
            </w:r>
          </w:p>
        </w:tc>
        <w:tc>
          <w:tcPr>
            <w:tcW w:w="0" w:type="auto"/>
            <w:vAlign w:val="center"/>
            <w:hideMark/>
          </w:tcPr>
          <w:p w14:paraId="6CF939A0" w14:textId="77777777" w:rsidR="00347672" w:rsidRPr="005E779E" w:rsidRDefault="0034767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октября по</w:t>
            </w:r>
          </w:p>
          <w:p w14:paraId="3024A97C" w14:textId="77777777" w:rsidR="00347672" w:rsidRPr="005E779E" w:rsidRDefault="0034767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 декабря 1931 г</w:t>
            </w:r>
          </w:p>
        </w:tc>
        <w:tc>
          <w:tcPr>
            <w:tcW w:w="0" w:type="auto"/>
            <w:vAlign w:val="center"/>
            <w:hideMark/>
          </w:tcPr>
          <w:p w14:paraId="0986C55A" w14:textId="77777777" w:rsidR="00347672" w:rsidRPr="005E779E" w:rsidRDefault="0034767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72 человека</w:t>
            </w:r>
          </w:p>
        </w:tc>
      </w:tr>
      <w:tr w:rsidR="001002C3" w:rsidRPr="005E779E" w14:paraId="7C941E4E" w14:textId="77777777" w:rsidTr="001C3F77">
        <w:tc>
          <w:tcPr>
            <w:tcW w:w="0" w:type="auto"/>
            <w:vAlign w:val="center"/>
            <w:hideMark/>
          </w:tcPr>
          <w:p w14:paraId="4F204251" w14:textId="77777777" w:rsidR="00347672" w:rsidRPr="005E779E" w:rsidRDefault="0034767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Летчиков разных категорий</w:t>
            </w:r>
          </w:p>
        </w:tc>
        <w:tc>
          <w:tcPr>
            <w:tcW w:w="0" w:type="auto"/>
            <w:vAlign w:val="center"/>
            <w:hideMark/>
          </w:tcPr>
          <w:p w14:paraId="239CEFB3" w14:textId="77777777" w:rsidR="00347672" w:rsidRPr="005E779E" w:rsidRDefault="0034767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 июля 1932 г.</w:t>
            </w:r>
          </w:p>
        </w:tc>
        <w:tc>
          <w:tcPr>
            <w:tcW w:w="0" w:type="auto"/>
            <w:vAlign w:val="center"/>
            <w:hideMark/>
          </w:tcPr>
          <w:p w14:paraId="56A46A70" w14:textId="77777777" w:rsidR="00347672" w:rsidRPr="005E779E" w:rsidRDefault="0034767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350 человек</w:t>
            </w:r>
          </w:p>
        </w:tc>
      </w:tr>
      <w:tr w:rsidR="001002C3" w:rsidRPr="005E779E" w14:paraId="3479082D" w14:textId="77777777" w:rsidTr="001C3F77">
        <w:tc>
          <w:tcPr>
            <w:tcW w:w="0" w:type="auto"/>
            <w:vAlign w:val="center"/>
            <w:hideMark/>
          </w:tcPr>
          <w:p w14:paraId="595B8B73" w14:textId="77777777" w:rsidR="00347672" w:rsidRPr="005E779E" w:rsidRDefault="0034767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Авиатехников и техников спецслужбы</w:t>
            </w:r>
          </w:p>
        </w:tc>
        <w:tc>
          <w:tcPr>
            <w:tcW w:w="0" w:type="auto"/>
            <w:vAlign w:val="center"/>
            <w:hideMark/>
          </w:tcPr>
          <w:p w14:paraId="28019106" w14:textId="77777777" w:rsidR="00347672" w:rsidRPr="005E779E" w:rsidRDefault="0034767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Июнь 1931 г.</w:t>
            </w:r>
          </w:p>
        </w:tc>
        <w:tc>
          <w:tcPr>
            <w:tcW w:w="0" w:type="auto"/>
            <w:vAlign w:val="center"/>
            <w:hideMark/>
          </w:tcPr>
          <w:p w14:paraId="5F254947" w14:textId="77777777" w:rsidR="00347672" w:rsidRPr="005E779E" w:rsidRDefault="0034767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 человек</w:t>
            </w:r>
          </w:p>
        </w:tc>
      </w:tr>
      <w:tr w:rsidR="001002C3" w:rsidRPr="005E779E" w14:paraId="66ECE442" w14:textId="77777777" w:rsidTr="001C3F77">
        <w:tc>
          <w:tcPr>
            <w:tcW w:w="0" w:type="auto"/>
            <w:vAlign w:val="center"/>
            <w:hideMark/>
          </w:tcPr>
          <w:p w14:paraId="223B88F5" w14:textId="77777777" w:rsidR="00347672" w:rsidRPr="005E779E" w:rsidRDefault="0034767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Авиатехников и техников спецслужбы</w:t>
            </w:r>
          </w:p>
        </w:tc>
        <w:tc>
          <w:tcPr>
            <w:tcW w:w="0" w:type="auto"/>
            <w:vAlign w:val="center"/>
            <w:hideMark/>
          </w:tcPr>
          <w:p w14:paraId="6101D3FA" w14:textId="77777777" w:rsidR="00347672" w:rsidRPr="005E779E" w:rsidRDefault="0034767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Сентябрь 1931 г.</w:t>
            </w:r>
          </w:p>
        </w:tc>
        <w:tc>
          <w:tcPr>
            <w:tcW w:w="0" w:type="auto"/>
            <w:vAlign w:val="center"/>
            <w:hideMark/>
          </w:tcPr>
          <w:p w14:paraId="1E2E07C5" w14:textId="77777777" w:rsidR="00347672" w:rsidRPr="005E779E" w:rsidRDefault="0034767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148 человек</w:t>
            </w:r>
          </w:p>
        </w:tc>
      </w:tr>
      <w:tr w:rsidR="001002C3" w:rsidRPr="005E779E" w14:paraId="1B8A8959" w14:textId="77777777" w:rsidTr="001C3F77">
        <w:tc>
          <w:tcPr>
            <w:tcW w:w="0" w:type="auto"/>
            <w:vMerge w:val="restart"/>
            <w:vAlign w:val="center"/>
            <w:hideMark/>
          </w:tcPr>
          <w:p w14:paraId="28FDB40F" w14:textId="77777777" w:rsidR="00347672" w:rsidRPr="005E779E" w:rsidRDefault="0034767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w:t>
            </w:r>
          </w:p>
        </w:tc>
        <w:tc>
          <w:tcPr>
            <w:tcW w:w="0" w:type="auto"/>
            <w:vAlign w:val="center"/>
            <w:hideMark/>
          </w:tcPr>
          <w:p w14:paraId="27F1757F" w14:textId="77777777" w:rsidR="00347672" w:rsidRPr="005E779E" w:rsidRDefault="0034767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летчиков</w:t>
            </w:r>
          </w:p>
        </w:tc>
        <w:tc>
          <w:tcPr>
            <w:tcW w:w="0" w:type="auto"/>
            <w:vAlign w:val="center"/>
            <w:hideMark/>
          </w:tcPr>
          <w:p w14:paraId="75355F00" w14:textId="77777777" w:rsidR="00347672" w:rsidRPr="005E779E" w:rsidRDefault="0034767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297 человек</w:t>
            </w:r>
          </w:p>
        </w:tc>
      </w:tr>
      <w:tr w:rsidR="001002C3" w:rsidRPr="005E779E" w14:paraId="5A84A4AF" w14:textId="77777777" w:rsidTr="001C3F77">
        <w:tc>
          <w:tcPr>
            <w:tcW w:w="0" w:type="auto"/>
            <w:vMerge/>
            <w:vAlign w:val="center"/>
            <w:hideMark/>
          </w:tcPr>
          <w:p w14:paraId="2CC3E909" w14:textId="77777777" w:rsidR="00347672" w:rsidRPr="005E779E" w:rsidRDefault="00347672" w:rsidP="000B7A6C">
            <w:pPr>
              <w:spacing w:after="0" w:line="240" w:lineRule="auto"/>
              <w:jc w:val="both"/>
              <w:rPr>
                <w:rFonts w:ascii="Times New Roman" w:hAnsi="Times New Roman"/>
                <w:color w:val="000000" w:themeColor="text1"/>
                <w:sz w:val="16"/>
                <w:szCs w:val="16"/>
              </w:rPr>
            </w:pPr>
          </w:p>
        </w:tc>
        <w:tc>
          <w:tcPr>
            <w:tcW w:w="0" w:type="auto"/>
            <w:vAlign w:val="center"/>
            <w:hideMark/>
          </w:tcPr>
          <w:p w14:paraId="72CFBF9B" w14:textId="77777777" w:rsidR="00347672" w:rsidRPr="005E779E" w:rsidRDefault="0034767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техников</w:t>
            </w:r>
          </w:p>
        </w:tc>
        <w:tc>
          <w:tcPr>
            <w:tcW w:w="0" w:type="auto"/>
            <w:vAlign w:val="center"/>
            <w:hideMark/>
          </w:tcPr>
          <w:p w14:paraId="26F68623" w14:textId="77777777" w:rsidR="00347672" w:rsidRPr="005E779E" w:rsidRDefault="0034767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198 человек</w:t>
            </w:r>
          </w:p>
        </w:tc>
      </w:tr>
      <w:tr w:rsidR="001002C3" w:rsidRPr="005E779E" w14:paraId="276147D8" w14:textId="77777777" w:rsidTr="001C3F77">
        <w:tc>
          <w:tcPr>
            <w:tcW w:w="0" w:type="auto"/>
            <w:vMerge w:val="restart"/>
            <w:vAlign w:val="center"/>
            <w:hideMark/>
          </w:tcPr>
          <w:p w14:paraId="2DAEC1B7" w14:textId="77777777" w:rsidR="00347672" w:rsidRPr="005E779E" w:rsidRDefault="0034767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 с ранее переданными в ВОГВФ в 1931 г. передается:</w:t>
            </w:r>
          </w:p>
        </w:tc>
        <w:tc>
          <w:tcPr>
            <w:tcW w:w="0" w:type="auto"/>
            <w:vAlign w:val="center"/>
            <w:hideMark/>
          </w:tcPr>
          <w:p w14:paraId="244A51CA" w14:textId="77777777" w:rsidR="00347672" w:rsidRPr="005E779E" w:rsidRDefault="0034767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летчиков</w:t>
            </w:r>
          </w:p>
        </w:tc>
        <w:tc>
          <w:tcPr>
            <w:tcW w:w="0" w:type="auto"/>
            <w:vAlign w:val="center"/>
            <w:hideMark/>
          </w:tcPr>
          <w:p w14:paraId="523070B9" w14:textId="77777777" w:rsidR="00347672" w:rsidRPr="005E779E" w:rsidRDefault="0034767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400 человек</w:t>
            </w:r>
          </w:p>
        </w:tc>
      </w:tr>
      <w:tr w:rsidR="001002C3" w:rsidRPr="005E779E" w14:paraId="186BB71D" w14:textId="77777777" w:rsidTr="001C3F77">
        <w:tc>
          <w:tcPr>
            <w:tcW w:w="0" w:type="auto"/>
            <w:vMerge/>
            <w:vAlign w:val="center"/>
            <w:hideMark/>
          </w:tcPr>
          <w:p w14:paraId="5A0DECC1" w14:textId="77777777" w:rsidR="00347672" w:rsidRPr="005E779E" w:rsidRDefault="00347672" w:rsidP="000B7A6C">
            <w:pPr>
              <w:spacing w:after="0" w:line="240" w:lineRule="auto"/>
              <w:jc w:val="both"/>
              <w:rPr>
                <w:rFonts w:ascii="Times New Roman" w:hAnsi="Times New Roman"/>
                <w:color w:val="000000" w:themeColor="text1"/>
                <w:sz w:val="16"/>
                <w:szCs w:val="16"/>
              </w:rPr>
            </w:pPr>
          </w:p>
        </w:tc>
        <w:tc>
          <w:tcPr>
            <w:tcW w:w="0" w:type="auto"/>
            <w:vAlign w:val="center"/>
            <w:hideMark/>
          </w:tcPr>
          <w:p w14:paraId="6340864C" w14:textId="77777777" w:rsidR="00347672" w:rsidRPr="005E779E" w:rsidRDefault="0034767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техников</w:t>
            </w:r>
          </w:p>
        </w:tc>
        <w:tc>
          <w:tcPr>
            <w:tcW w:w="0" w:type="auto"/>
            <w:vAlign w:val="center"/>
            <w:hideMark/>
          </w:tcPr>
          <w:p w14:paraId="3D6CF7D0" w14:textId="77777777" w:rsidR="00347672" w:rsidRPr="005E779E" w:rsidRDefault="0034767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400 человек</w:t>
            </w:r>
          </w:p>
        </w:tc>
      </w:tr>
      <w:tr w:rsidR="001002C3" w:rsidRPr="005E779E" w14:paraId="1D3061E8" w14:textId="77777777" w:rsidTr="001C3F77">
        <w:tc>
          <w:tcPr>
            <w:tcW w:w="0" w:type="auto"/>
            <w:vAlign w:val="center"/>
            <w:hideMark/>
          </w:tcPr>
          <w:p w14:paraId="775C9120" w14:textId="77777777" w:rsidR="00347672" w:rsidRPr="005E779E" w:rsidRDefault="0034767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1932 г. передать</w:t>
            </w:r>
          </w:p>
        </w:tc>
        <w:tc>
          <w:tcPr>
            <w:tcW w:w="0" w:type="auto"/>
            <w:vAlign w:val="center"/>
            <w:hideMark/>
          </w:tcPr>
          <w:p w14:paraId="35385E4E" w14:textId="77777777" w:rsidR="00347672" w:rsidRPr="005E779E" w:rsidRDefault="0034767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c>
          <w:tcPr>
            <w:tcW w:w="0" w:type="auto"/>
            <w:vAlign w:val="center"/>
            <w:hideMark/>
          </w:tcPr>
          <w:p w14:paraId="4E869C8B" w14:textId="77777777" w:rsidR="00347672" w:rsidRPr="005E779E" w:rsidRDefault="0034767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350 летчиков</w:t>
            </w:r>
          </w:p>
        </w:tc>
      </w:tr>
    </w:tbl>
    <w:p w14:paraId="6428B9DA" w14:textId="77777777" w:rsidR="00347672" w:rsidRPr="005E779E" w:rsidRDefault="0034767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(18112).</w:t>
      </w:r>
    </w:p>
    <w:p w14:paraId="096EBF5C" w14:textId="77777777" w:rsidR="00347672" w:rsidRPr="005E779E" w:rsidRDefault="00347672" w:rsidP="000B7A6C">
      <w:pPr>
        <w:spacing w:after="0" w:line="240" w:lineRule="auto"/>
        <w:jc w:val="both"/>
        <w:rPr>
          <w:rFonts w:ascii="Times New Roman" w:hAnsi="Times New Roman"/>
          <w:color w:val="000000" w:themeColor="text1"/>
          <w:sz w:val="16"/>
          <w:szCs w:val="16"/>
        </w:rPr>
      </w:pPr>
    </w:p>
    <w:p w14:paraId="4BBD5917" w14:textId="77777777" w:rsidR="00EA6158" w:rsidRPr="00142305" w:rsidRDefault="00EA6158" w:rsidP="00EA615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5 июня 1931 г. ЦК ВКП (б) принял Постановление «О командном и поли</w:t>
      </w:r>
      <w:r w:rsidRPr="00142305">
        <w:rPr>
          <w:rFonts w:ascii="Times New Roman" w:hAnsi="Times New Roman"/>
          <w:color w:val="0070C0"/>
          <w:sz w:val="16"/>
          <w:szCs w:val="16"/>
        </w:rPr>
        <w:softHyphen/>
        <w:t>тическом составе РККА» (Аналогичное постановление под тем же заголовком было принято ЦК ВКП(б) 25 февраля 1929 г). В нем ЦК ВКП (б) поставил перед РВС СССР задачу всемерного укрепления военно-учебных заведений квалифицированными препо</w:t>
      </w:r>
      <w:r w:rsidRPr="00142305">
        <w:rPr>
          <w:rFonts w:ascii="Times New Roman" w:hAnsi="Times New Roman"/>
          <w:color w:val="0070C0"/>
          <w:sz w:val="16"/>
          <w:szCs w:val="16"/>
        </w:rPr>
        <w:softHyphen/>
        <w:t>давателями, усиления материально-технической базы, первоочередного оснаще</w:t>
      </w:r>
      <w:r w:rsidRPr="00142305">
        <w:rPr>
          <w:rFonts w:ascii="Times New Roman" w:hAnsi="Times New Roman"/>
          <w:color w:val="0070C0"/>
          <w:sz w:val="16"/>
          <w:szCs w:val="16"/>
        </w:rPr>
        <w:softHyphen/>
        <w:t>ния новой боевой техникой, потребовал от всех, не только от военных, но и мест</w:t>
      </w:r>
      <w:r w:rsidRPr="00142305">
        <w:rPr>
          <w:rFonts w:ascii="Times New Roman" w:hAnsi="Times New Roman"/>
          <w:color w:val="0070C0"/>
          <w:sz w:val="16"/>
          <w:szCs w:val="16"/>
        </w:rPr>
        <w:softHyphen/>
        <w:t>ных партийных организаций «значительно больше, чем до сих пор, связаться с военно-учебными заведениями, интересоваться их повседневной жизнью, уче</w:t>
      </w:r>
      <w:r w:rsidRPr="00142305">
        <w:rPr>
          <w:rFonts w:ascii="Times New Roman" w:hAnsi="Times New Roman"/>
          <w:color w:val="0070C0"/>
          <w:sz w:val="16"/>
          <w:szCs w:val="16"/>
        </w:rPr>
        <w:softHyphen/>
        <w:t>бой, заслушивать доклады вузовских парторганизаций и всячески помогать им в их работе» (КПСС в резолюциях. - Т. 4. - М.: Политиздат. - С. 523) (24968).</w:t>
      </w:r>
    </w:p>
    <w:p w14:paraId="3A0F991A" w14:textId="77777777" w:rsidR="00EA6158" w:rsidRPr="00142305" w:rsidRDefault="00EA6158" w:rsidP="00EA6158">
      <w:pPr>
        <w:spacing w:after="0" w:line="240" w:lineRule="auto"/>
        <w:jc w:val="both"/>
        <w:rPr>
          <w:rFonts w:ascii="Times New Roman" w:hAnsi="Times New Roman"/>
          <w:color w:val="0070C0"/>
          <w:sz w:val="16"/>
          <w:szCs w:val="16"/>
        </w:rPr>
      </w:pPr>
    </w:p>
    <w:p w14:paraId="78AFD3C2"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0C5BA12E"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24324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5 и 11 июня 1931. Из протокола заседания Политбюро № 42, 1931 г.</w:t>
      </w:r>
    </w:p>
    <w:p w14:paraId="54CF8A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 бюджете г. Москвы</w:t>
      </w:r>
    </w:p>
    <w:p w14:paraId="38F759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 Дополнительную программу расходов по бюджету Москвы 1931 г. сверх контрольных цифр определить, за округлением, в 52 млн. руб... </w:t>
      </w:r>
    </w:p>
    <w:p w14:paraId="0438CE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 Дополнительные ассигнования израсходовать на следующие работы: </w:t>
      </w:r>
    </w:p>
    <w:p w14:paraId="12472C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По автобусному, таксомоторному и автогрузовому хозяйству: </w:t>
      </w:r>
    </w:p>
    <w:p w14:paraId="4F8A17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 Представить Моссовету право установить известную накидку на оплату грузооборота по г. Москве, использовав полученные суммы на постройку гаражей и упорядочение гаражного хозяйства; размер накидки должен быть утвержден Советом труда и обороны. </w:t>
      </w:r>
    </w:p>
    <w:p w14:paraId="7FBD38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б) определить ассигнование на приобретение дополнительных — сверх программы — 200 таксомоторов в 525 тыс. руб. </w:t>
      </w:r>
    </w:p>
    <w:p w14:paraId="1939D2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По благоустройству: </w:t>
      </w:r>
    </w:p>
    <w:p w14:paraId="5A5F1F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Признать необходимым ассигнование на постройку 20 поливочных машин 360 тыс. руб.; на производство 20 ассенизационных автомобилей 300 тыс. руб.; для ассенизационного обоза (400 бочек с лошадьми и всеми принадлежностями) 400 тыс. руб.; на постройку 10 подземных уборных 500 тыс. руб.; на бензоразливочные колонки. 10 шт. 100 тыс. руб.; на расширение осветительной сети 100 тыс. руб... </w:t>
      </w:r>
    </w:p>
    <w:p w14:paraId="0E3BEC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Ввиду того, что общегосударственные хозяйственные организации предъявляют с каждым годом все большие требования на жилстроительство (приглашение иностранных специалистов, вызов работников из провинции), а участие их в жилстроительстве крайне недостаточно, предложить хозяйственным и государственным органам запроектировать на 1932 г. строительство домов для удовлетворения нужд своих работников, а ВСНХ обеспечить строительство домов для вновь строящихся заводов. В частности, поручить ВСНХ уже в этом году начать строительство нескольких домов для перевода в них из гостиниц иностранных специалистов, живущих там длительное время. НКПСу приступить к строительству в текущем году одной гостиницы в привокзальном районе на Каланчевской площади (11652).</w:t>
      </w:r>
    </w:p>
    <w:p w14:paraId="2BE114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4E5FA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5 и 11 июня 1931. Из протокола заседания Политбюро № 41, 1931 г.</w:t>
      </w:r>
    </w:p>
    <w:p w14:paraId="35D121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 В выборе места для постройки Дворца Советов остановиться на площадке храма Христа Спасителя; </w:t>
      </w:r>
    </w:p>
    <w:p w14:paraId="330189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В Дворце Советов иметь один зал на 12-15 тыс. и другой на 4-5 тыс. (11652).</w:t>
      </w:r>
    </w:p>
    <w:p w14:paraId="5D0D54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35F3C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5 и 11 июня 1931. Из протокола заседания Политбюро № 42, 1931 г.</w:t>
      </w:r>
    </w:p>
    <w:p w14:paraId="57AF9E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 тиражах "Правды" и "Известий ЦИК СССР и ВЦИК"</w:t>
      </w:r>
    </w:p>
    <w:p w14:paraId="0750B9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 Ввиду значительного невыполнения производственных программ бумажной промышленностью, в частности, благодаря остановке ряда предприятий во время наводнения, положение с газетной бумагой является крайне напряженным. ЦК одобряет предложение комиссии тов. Межлаука об ограничении на июнь месяц тиражей "Правды" — до 2 млн экз.; "Известий ЦИК СССР и ВЦИК" — до 1 млн 400 тыс. экз. </w:t>
      </w:r>
    </w:p>
    <w:p w14:paraId="3ED96D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Поручить тов. Межлауку В. в месячный срок наметить и провести ряд конкретных мероприятий для устранения неполадок в бумажной промышленности и в ее руководстве с тем, чтобы гарантировать бесперебойное снабжение газет бумагой и обеспечить накопление резерва газетной бумаги (11652).</w:t>
      </w:r>
    </w:p>
    <w:p w14:paraId="365B6E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C9A99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5 и 11 июня 1931. Из протокола заседания Политбюро № 41, 1931 г.</w:t>
      </w:r>
    </w:p>
    <w:p w14:paraId="01F54D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 постройке кинотеатра на Сталинградском тракторном заводе</w:t>
      </w:r>
    </w:p>
    <w:p w14:paraId="3AA9B0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 Обязать тов. Шумяцкого (председатель "Союзкино") построить в месячный срок летнее помещение для кинотеатра для Сталинградского тракторного завода на не менее 1500-2000 мест. </w:t>
      </w:r>
    </w:p>
    <w:p w14:paraId="1AEEFD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Обязать тов. Шумяцкого теперь же приступить к постройке временного помещения зимнего кинотеатра на такое же количество мест (11652).</w:t>
      </w:r>
    </w:p>
    <w:p w14:paraId="5D74DF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7A863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5 и 11 июня 1931. Из протокола заседания Политбюро № 41, 1931 г.</w:t>
      </w:r>
    </w:p>
    <w:p w14:paraId="420856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 порядке рубки леса </w:t>
      </w:r>
    </w:p>
    <w:p w14:paraId="54F045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Предложить СНК СССР в месячный срок подготовить проект закона об абсолютном воспрещении вырубки леса в известных районах в целях сохранения воды в реках, о некоторых ограничениях рубки в других районах и о неограниченной рубке леса в прочих районах (11652).</w:t>
      </w:r>
    </w:p>
    <w:p w14:paraId="20966A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5751C3D" w14:textId="77777777" w:rsidR="008C0A45" w:rsidRPr="005E779E" w:rsidRDefault="008C0A4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и 6 июня 1931 в газете «Экономическая жизнь», органе Госплана и Наркомат финансов появилась статья Пузиса. В ней автор резко отверг метро как средство сообщения, противоречащее духу социалистического строительства. Проведенный весной 1930 г. опрос политиков о будущем развитии советской столицы показал, что большинство стремится к уменьшению Москвы. Социализм должен преодолеть громадные агломерации путем иного дислоцирования промышленности. Москва является политическим центром, ей нет необходимости оставаться и экономическим средоточием. Единственно верная городская планировка заключается в раздроблении крупного города на ряд самостоятельных, полностью автономных единиц, причем необходимость сообщения между этими частями снизится.</w:t>
      </w:r>
    </w:p>
    <w:p w14:paraId="38C937B6" w14:textId="77777777" w:rsidR="008C0A45" w:rsidRPr="005E779E" w:rsidRDefault="008C0A4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Значительный рост уличного движения служит не аргументом в пользу сооружения метрополитена, а просто симптомом слабого уровня снабжения и плохого городского планирования. Социалистическая планировка города должна быть нацелена на минимизацию уличного движения, так как каждая поездка означает потерю времени{324}.Опыт Парижа, Лондона или Нью-Йорка свидетельствует, что метрополитен носит глубочайший антисоциальный характер (мало комфорта, давка, плохой воздух, длинные переходы с одной линии на другую), и, кроме того, его строительство слишком дорого обходится{325} (18299).</w:t>
      </w:r>
    </w:p>
    <w:p w14:paraId="1A6B1C02" w14:textId="77777777" w:rsidR="008C0A45" w:rsidRPr="005E779E" w:rsidRDefault="008C0A45" w:rsidP="000B7A6C">
      <w:pPr>
        <w:spacing w:after="0" w:line="240" w:lineRule="auto"/>
        <w:jc w:val="both"/>
        <w:rPr>
          <w:rFonts w:ascii="Times New Roman" w:hAnsi="Times New Roman"/>
          <w:color w:val="000000" w:themeColor="text1"/>
          <w:sz w:val="16"/>
          <w:szCs w:val="16"/>
        </w:rPr>
      </w:pPr>
    </w:p>
    <w:p w14:paraId="5621D6D3" w14:textId="77777777" w:rsidR="000455FA" w:rsidRPr="005E779E" w:rsidRDefault="000455FA"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6B3B4D58" w14:textId="77777777" w:rsidR="000455FA" w:rsidRPr="005E779E" w:rsidRDefault="000455FA"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CD339F1" w14:textId="77777777" w:rsidR="000455FA" w:rsidRPr="005E779E" w:rsidRDefault="000455F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июня 1931 CWA Скотт побил рекорд самого быстрого одиночного перелета из Австралии в Англию, пролетев 10 660 миль (17 160 км) из Виндема, Австралия, в Лимпн, Англия, с 26 мая по 5 июня за 10 дней 23 часа пилотирования на DH. 60 Мотылек (Gipsy II) (20804).</w:t>
      </w:r>
    </w:p>
    <w:p w14:paraId="0E62B72F" w14:textId="77777777" w:rsidR="000455FA" w:rsidRPr="005E779E" w:rsidRDefault="000455FA" w:rsidP="000B7A6C">
      <w:pPr>
        <w:spacing w:after="0" w:line="240" w:lineRule="auto"/>
        <w:jc w:val="both"/>
        <w:rPr>
          <w:rFonts w:ascii="Times New Roman" w:hAnsi="Times New Roman"/>
          <w:color w:val="000000" w:themeColor="text1"/>
          <w:sz w:val="16"/>
          <w:szCs w:val="16"/>
        </w:rPr>
      </w:pPr>
    </w:p>
    <w:p w14:paraId="1A1E38DE"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147862B6"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B32E5FD" w14:textId="77777777" w:rsidR="00E760AA" w:rsidRPr="005E779E" w:rsidRDefault="00E760A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июня 1931 г. начальником ВАО стал начальник УВВС П.И. Баранов, который в тот же день введен и в Президиум ВСНХ СССР. С 21 июня 1931 г. в связи с загрузкой работой в ВАО Баранов освобожден от должности начальника ВВС РККА, которую занял Я.И. Алкснис (24331).</w:t>
      </w:r>
    </w:p>
    <w:p w14:paraId="1AAE0E87" w14:textId="77777777" w:rsidR="00E760AA" w:rsidRPr="005E779E" w:rsidRDefault="00E760AA" w:rsidP="000B7A6C">
      <w:pPr>
        <w:spacing w:after="0" w:line="240" w:lineRule="auto"/>
        <w:jc w:val="both"/>
        <w:rPr>
          <w:rFonts w:ascii="Times New Roman" w:hAnsi="Times New Roman"/>
          <w:color w:val="000000" w:themeColor="text1"/>
          <w:sz w:val="16"/>
          <w:szCs w:val="16"/>
        </w:rPr>
      </w:pPr>
    </w:p>
    <w:p w14:paraId="696F8D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июня 1931 года состоялось совещания в НИИ по вопросам перевозки тяжелых самолетов и изменениях конструкции с целью облегчения самолета И5</w:t>
      </w:r>
    </w:p>
    <w:p w14:paraId="7789AA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Транспортировка построенных и запроектированных тяжелых самолетов. Докладчик Горощенко.</w:t>
      </w:r>
    </w:p>
    <w:p w14:paraId="776D7E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Заявление представителя ЦАГИ, о том, что разобранные самолеты Р6 и ТБ1 укладываются в нормальный габарит ж/д, самолет АНТ-14 и ТБ3 имеют не нормальный габарит по высоте, самолеты же ТБ4 и АНТ20 и по высоте и по ширине выходят за пределы нормативного габарита, подходят только под увеличенный габарит и требуют при перевозке специальных мер - принять к сведению (3217,52-53).</w:t>
      </w:r>
    </w:p>
    <w:p w14:paraId="3E9B3C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466738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июня 1931 года начальник ЦАГИ Пурвин и зам. начальника ЭАО Изаксон писали письмо № 615сс начальнику ВВС Баранову</w:t>
      </w:r>
    </w:p>
    <w:p w14:paraId="4969E18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Начиная с 1925 года группа работников экспериментально-аэродинамического отдела ЦАГИ в лице Секции особых конструкций работает над проблемой осуществления геликоптера.</w:t>
      </w:r>
    </w:p>
    <w:p w14:paraId="7DFE8ED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Постройка геликоптера производилась силами мастерских АГОСа ЦАГИ.</w:t>
      </w:r>
    </w:p>
    <w:p w14:paraId="29BB169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Аппарат был закончен постройкой в июле 1930 года.</w:t>
      </w:r>
    </w:p>
    <w:p w14:paraId="095F619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Построенный аппарат представляет собой одновинтовой геликоптер с винтом диаметром Д-11 м, приводимых во вращение от двух моторов РОН по 120 л.с. Аппарат одноместный и имеет запас горючего примерно на час полета.</w:t>
      </w:r>
    </w:p>
    <w:p w14:paraId="2B2F046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Испытания вначале в помещении на территории ЦАГИ, а затем на открытом воздухе на Ухтомском аэродроме длятся с 6 августа 1930 года.</w:t>
      </w:r>
    </w:p>
    <w:p w14:paraId="45C84ED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Испытания машины проводились сначала на привязи, причем при первых испытаниях машина была крепко притянута к земле, а при последующих она имела возможность совершать подъемы примерно на 300 м.</w:t>
      </w:r>
    </w:p>
    <w:p w14:paraId="30845D4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7 декабря 1930 года перешли к испытанию машины без привязи. Аппарат совершил несколько рулений по земле и подъем на высоту примерно 2,5-3 метра. После четырех таких свободных испытаний машина потерпела аварию и ее пришлось основательно ремонтировать.</w:t>
      </w:r>
    </w:p>
    <w:p w14:paraId="60FB2CD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 апреля 1931 года вновь было приступлено к проведению испытаний.</w:t>
      </w:r>
    </w:p>
    <w:p w14:paraId="1EF4B30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испытаний на привязи было приступлено вновь к свободным испытаниям.</w:t>
      </w:r>
    </w:p>
    <w:p w14:paraId="2C8451A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мая 1931 года – геликоптер поднялся на максимальную высоту примерно 7-8 метров, совершив после этого достаточно плавную посадку.</w:t>
      </w:r>
    </w:p>
    <w:p w14:paraId="6B3E670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мая 1931 года – максимальная достигнутая высота полета была уже 11-12 м, причем в воздухе был осуществлен поворот направо и налево.</w:t>
      </w:r>
    </w:p>
    <w:p w14:paraId="5402C00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мая 1931 года – максимальная достигнутая высота была 25-30 метров с осуществлением плавного почти вертикального взлета и столь же спокойной посадки. Аппарат в воздухе совершил поворот почти на месте на 360 градусов.</w:t>
      </w:r>
    </w:p>
    <w:p w14:paraId="088D693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одном из повторных испытаний 18 мая 1931 года после полета снова на высоте 25-30 метров при посадке аппарат ударился о землю и потерпел аварию (6926, 4а-5).</w:t>
      </w:r>
    </w:p>
    <w:p w14:paraId="340B38C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8F030A"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6274660E"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A53759B" w14:textId="77777777" w:rsidR="00AF313F" w:rsidRPr="005E779E" w:rsidRDefault="00AF313F" w:rsidP="000B7A6C">
      <w:pPr>
        <w:spacing w:after="0" w:line="240" w:lineRule="auto"/>
        <w:jc w:val="both"/>
        <w:rPr>
          <w:rFonts w:ascii="Times New Roman" w:eastAsia="TimesNewRomanPSMT" w:hAnsi="Times New Roman"/>
          <w:color w:val="000000" w:themeColor="text1"/>
          <w:sz w:val="16"/>
          <w:szCs w:val="16"/>
        </w:rPr>
      </w:pPr>
      <w:r w:rsidRPr="005E779E">
        <w:rPr>
          <w:rFonts w:ascii="Times New Roman" w:hAnsi="Times New Roman"/>
          <w:color w:val="000000" w:themeColor="text1"/>
          <w:sz w:val="16"/>
          <w:szCs w:val="16"/>
        </w:rPr>
        <w:t>6 июня 1931 г. состоялось рассмотрение проекта МС-1. Сравнительные данные представленной системы и требований, утвержденных Начальником Вооружений РККА, 79 показали, что проект МС-1 не соответствует большинству требований и является недоработанным. Группе «Д» ГДЛ АНИИ было предложено доработать его и представить к 20 августа 1931 г. 19 августа 1931 г. Н. А. Доровлевым было сообщено во II секцию НТК АУ о том, что разработка представленного в апреле проекта преследовала цель выявления пригодности (или непригодности) схемы Стокса для тяжелых минометов и, по словам инженера, стала «иллюстрацией непригодности системы Стокса во всех отношениях, и в весовом, и в смысле обслуживания».278 Подтвердившиеся расчеты стали основой для продолжения работ по созданию тяжелых минометов на газодинамическом принципе. В развитие работ по проектированию тяжелого миномета, Н. А. Доровлевым было предложено провести модернизацию 240-мм тяжелого миномета Батиньоля, для которой предварительно должны были быть проведены испытания 165-мм газодинамического миномета.279 Кроме этого, II секции НТК АУ было предложено возбудить ходатайство перед Начальником Вооружений РККА об изменении требований на проектирование тяжелых минометов в части изменения веса системы в боевом положении до 1 000 кг.280 (20074).</w:t>
      </w:r>
    </w:p>
    <w:p w14:paraId="7ED3A0D5" w14:textId="77777777" w:rsidR="00AF313F" w:rsidRPr="005E779E" w:rsidRDefault="00AF313F" w:rsidP="000B7A6C">
      <w:pPr>
        <w:spacing w:after="0" w:line="240" w:lineRule="auto"/>
        <w:jc w:val="both"/>
        <w:rPr>
          <w:rFonts w:ascii="Times New Roman" w:eastAsia="TimesNewRomanPSMT" w:hAnsi="Times New Roman"/>
          <w:color w:val="000000" w:themeColor="text1"/>
          <w:sz w:val="16"/>
          <w:szCs w:val="16"/>
        </w:rPr>
      </w:pPr>
    </w:p>
    <w:p w14:paraId="267C15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6 июня по 1 октября 1931 проходили испытания танка ТГ. Достигли скорости 34 км/час, получили хорошую проходимость и маневренность. Отметили много конструктивных недоработок (4658, 23).</w:t>
      </w:r>
    </w:p>
    <w:p w14:paraId="0155B2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F9D69C7" w14:textId="77777777" w:rsidR="008B6E64" w:rsidRPr="005E779E" w:rsidRDefault="008B6E6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6 июня 1931 года начальник вооружения РККА И. Уборевич и начальник УММ РККА И. Халепский утвердили "... задание на проектирование колесно-гусеничного </w:t>
      </w:r>
      <w:hyperlink r:id="rId132"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а типа Кристи". В этом образце предполагалось сделать следующее:</w:t>
      </w:r>
    </w:p>
    <w:p w14:paraId="64EFE031" w14:textId="77777777" w:rsidR="008B6E64" w:rsidRPr="005E779E" w:rsidRDefault="008B6E6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"I. Основным требованием является быстроходность, высокая проходимлсть по всем грунтам и высокий километраж службы до ремонта.</w:t>
      </w:r>
    </w:p>
    <w:p w14:paraId="6178A87E" w14:textId="77777777" w:rsidR="008B6E64" w:rsidRPr="005E779E" w:rsidRDefault="008B6E6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не более 14 т.</w:t>
      </w:r>
    </w:p>
    <w:p w14:paraId="6CE4CACE" w14:textId="77777777" w:rsidR="008B6E64" w:rsidRPr="005E779E" w:rsidRDefault="008B6E6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Удельная нагрузка не более 0,35 кг/см2.</w:t>
      </w:r>
    </w:p>
    <w:p w14:paraId="2045234B" w14:textId="77777777" w:rsidR="008B6E64" w:rsidRPr="005E779E" w:rsidRDefault="008B6E6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Скорость на колесах по шоссе 70 км/ч, на гусеницах не ниже 40 км/ч. Преодолеваемые препятстви: подъемы - 30 град., крен - 30 град.</w:t>
      </w:r>
    </w:p>
    <w:p w14:paraId="1767C1CD" w14:textId="77777777" w:rsidR="008B6E64" w:rsidRPr="005E779E" w:rsidRDefault="008B6E6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Километраж службы до износа гксеничного движетеля и трансмиссии не менее 3000 км, на колесах - не ниже 10000 км.</w:t>
      </w:r>
    </w:p>
    <w:p w14:paraId="028288E1" w14:textId="77777777" w:rsidR="008B6E64" w:rsidRPr="005E779E" w:rsidRDefault="008B6E6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Живучесть мотора - не менее чем 500 часов работы.</w:t>
      </w:r>
    </w:p>
    <w:p w14:paraId="64C9C414" w14:textId="77777777" w:rsidR="008B6E64" w:rsidRPr="005E779E" w:rsidRDefault="008B6E6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Проходимость: клиренс - 350 мм, ров - 2 м, брод - 1 м, стенка - 0,6 м.</w:t>
      </w:r>
    </w:p>
    <w:p w14:paraId="2B7410C8" w14:textId="77777777" w:rsidR="008B6E64" w:rsidRPr="005E779E" w:rsidRDefault="008B6E6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 - 76-мм противоштурмовая (временно) и 37-мм орудия и 2 пулемета. Одно орудие и один пулемет размещаются во вращающейся башне, второе орудие может быть установлено не в башне.</w:t>
      </w:r>
    </w:p>
    <w:p w14:paraId="1EB48726" w14:textId="77777777" w:rsidR="008B6E64" w:rsidRPr="005E779E" w:rsidRDefault="008B6E6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Боекомплект - 40 выстрелов к 76-мм, 100 выстрелов к 37-мм, 5000 патрон.</w:t>
      </w:r>
    </w:p>
    <w:p w14:paraId="0EB18304" w14:textId="77777777" w:rsidR="008B6E64" w:rsidRPr="005E779E" w:rsidRDefault="008B6E6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Броня: лоб - 30 мм, борт - 13 мм, башня - 20 мм, корма - 20 мм, дно, крыша - 6 мм.</w:t>
      </w:r>
    </w:p>
    <w:p w14:paraId="4AFBEB7F" w14:textId="77777777" w:rsidR="008B6E64" w:rsidRPr="005E779E" w:rsidRDefault="008B6E6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Экипаж - не менее 3 человек.</w:t>
      </w:r>
    </w:p>
    <w:p w14:paraId="3D864612" w14:textId="77777777" w:rsidR="008B6E64" w:rsidRPr="005E779E" w:rsidRDefault="008B6E6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Запас хода - не менее 4 часов.</w:t>
      </w:r>
    </w:p>
    <w:p w14:paraId="633AFFB2" w14:textId="77777777" w:rsidR="008B6E64" w:rsidRPr="005E779E" w:rsidRDefault="008B6E6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II. Обязать начальника Артиллерийского управления в 5-месячный срок изготовить опытные образцы специальной </w:t>
      </w:r>
      <w:hyperlink r:id="rId133"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овой 76-мм пушки с полуавтоматическим затвором...</w:t>
      </w:r>
    </w:p>
    <w:p w14:paraId="697043BA" w14:textId="77777777" w:rsidR="008B6E64" w:rsidRPr="005E779E" w:rsidRDefault="008B6E6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Производственное требование - при проектировании этой машины должны быть приняты все меры к использованию идущих или предполагавшихся в производстве агрегатов, частей и механизмов" (15619).</w:t>
      </w:r>
    </w:p>
    <w:p w14:paraId="12E31E46" w14:textId="77777777" w:rsidR="008B6E64" w:rsidRPr="005E779E" w:rsidRDefault="008B6E64" w:rsidP="000B7A6C">
      <w:pPr>
        <w:spacing w:after="0" w:line="240" w:lineRule="auto"/>
        <w:jc w:val="both"/>
        <w:rPr>
          <w:rFonts w:ascii="Times New Roman" w:hAnsi="Times New Roman"/>
          <w:color w:val="000000" w:themeColor="text1"/>
          <w:sz w:val="16"/>
          <w:szCs w:val="16"/>
        </w:rPr>
      </w:pPr>
    </w:p>
    <w:p w14:paraId="0DF5D7DC" w14:textId="77777777" w:rsidR="00EA6158" w:rsidRPr="00142305" w:rsidRDefault="00EA6158" w:rsidP="00EA615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6 июня 1931 года начальник вооружения РККА И. Уборевич и на</w:t>
      </w:r>
      <w:r w:rsidRPr="00142305">
        <w:rPr>
          <w:rFonts w:ascii="Times New Roman" w:hAnsi="Times New Roman"/>
          <w:color w:val="0070C0"/>
          <w:sz w:val="16"/>
          <w:szCs w:val="16"/>
        </w:rPr>
        <w:softHyphen/>
        <w:t>чальник УММ РККА И. Халепский ут</w:t>
      </w:r>
      <w:r w:rsidRPr="00142305">
        <w:rPr>
          <w:rFonts w:ascii="Times New Roman" w:hAnsi="Times New Roman"/>
          <w:color w:val="0070C0"/>
          <w:sz w:val="16"/>
          <w:szCs w:val="16"/>
        </w:rPr>
        <w:softHyphen/>
        <w:t>вердили «Задание на проектирование колесно-гусеничного танка типа Крис</w:t>
      </w:r>
      <w:r w:rsidRPr="00142305">
        <w:rPr>
          <w:rFonts w:ascii="Times New Roman" w:hAnsi="Times New Roman"/>
          <w:color w:val="0070C0"/>
          <w:sz w:val="16"/>
          <w:szCs w:val="16"/>
        </w:rPr>
        <w:softHyphen/>
        <w:t>ти». В этом образце предполагалось сде</w:t>
      </w:r>
      <w:r w:rsidRPr="00142305">
        <w:rPr>
          <w:rFonts w:ascii="Times New Roman" w:hAnsi="Times New Roman"/>
          <w:color w:val="0070C0"/>
          <w:sz w:val="16"/>
          <w:szCs w:val="16"/>
        </w:rPr>
        <w:softHyphen/>
        <w:t>лать следующее:</w:t>
      </w:r>
    </w:p>
    <w:p w14:paraId="2B66D8FB" w14:textId="77777777" w:rsidR="00EA6158" w:rsidRPr="00142305" w:rsidRDefault="00EA6158" w:rsidP="00EA615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«I. Основным требованием является быстроходность, высокая проходимость по всем грунтам и высокий километраж службы до ремонта.</w:t>
      </w:r>
    </w:p>
    <w:p w14:paraId="239EE8A8" w14:textId="77777777" w:rsidR="00EA6158" w:rsidRPr="00142305" w:rsidRDefault="00EA6158" w:rsidP="00EA6158">
      <w:pPr>
        <w:widowControl w:val="0"/>
        <w:tabs>
          <w:tab w:val="left" w:pos="455"/>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Вес не более 14 т.</w:t>
      </w:r>
    </w:p>
    <w:p w14:paraId="225035D9" w14:textId="77777777" w:rsidR="00EA6158" w:rsidRPr="00142305" w:rsidRDefault="00EA6158" w:rsidP="00EA6158">
      <w:pPr>
        <w:widowControl w:val="0"/>
        <w:tabs>
          <w:tab w:val="left" w:pos="442"/>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 Удельная нагрузка не более 0,35 кг/см</w:t>
      </w:r>
      <w:r w:rsidRPr="00142305">
        <w:rPr>
          <w:rFonts w:ascii="Times New Roman" w:hAnsi="Times New Roman"/>
          <w:color w:val="0070C0"/>
          <w:sz w:val="16"/>
          <w:szCs w:val="16"/>
          <w:vertAlign w:val="superscript"/>
        </w:rPr>
        <w:t>2</w:t>
      </w:r>
      <w:r w:rsidRPr="00142305">
        <w:rPr>
          <w:rFonts w:ascii="Times New Roman" w:hAnsi="Times New Roman"/>
          <w:color w:val="0070C0"/>
          <w:sz w:val="16"/>
          <w:szCs w:val="16"/>
        </w:rPr>
        <w:t>.</w:t>
      </w:r>
    </w:p>
    <w:p w14:paraId="7A2E7DE0" w14:textId="77777777" w:rsidR="00EA6158" w:rsidRPr="00142305" w:rsidRDefault="00EA6158" w:rsidP="00EA6158">
      <w:pPr>
        <w:widowControl w:val="0"/>
        <w:tabs>
          <w:tab w:val="left" w:pos="447"/>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 Скорость на колесах по шоссе 70 км/ч, на гусеницах не ниже 40 км/ч. Преодолеваемые препятствия: подъе</w:t>
      </w:r>
      <w:r w:rsidRPr="00142305">
        <w:rPr>
          <w:rFonts w:ascii="Times New Roman" w:hAnsi="Times New Roman"/>
          <w:color w:val="0070C0"/>
          <w:sz w:val="16"/>
          <w:szCs w:val="16"/>
        </w:rPr>
        <w:softHyphen/>
        <w:t>мы — 30 град., крен — 30 град.</w:t>
      </w:r>
    </w:p>
    <w:p w14:paraId="649FF57B" w14:textId="77777777" w:rsidR="00EA6158" w:rsidRPr="00142305" w:rsidRDefault="00EA6158" w:rsidP="00EA6158">
      <w:pPr>
        <w:widowControl w:val="0"/>
        <w:tabs>
          <w:tab w:val="left" w:pos="442"/>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4. Километраж службы до износа гусе</w:t>
      </w:r>
      <w:r w:rsidRPr="00142305">
        <w:rPr>
          <w:rFonts w:ascii="Times New Roman" w:hAnsi="Times New Roman"/>
          <w:color w:val="0070C0"/>
          <w:sz w:val="16"/>
          <w:szCs w:val="16"/>
        </w:rPr>
        <w:softHyphen/>
        <w:t>ничного движителя и трансмиссии не менее 3000 км, на колесах — не ниже 10000 км.</w:t>
      </w:r>
    </w:p>
    <w:p w14:paraId="67995A4E" w14:textId="77777777" w:rsidR="00EA6158" w:rsidRPr="00142305" w:rsidRDefault="00EA6158" w:rsidP="00EA6158">
      <w:pPr>
        <w:widowControl w:val="0"/>
        <w:tabs>
          <w:tab w:val="left" w:pos="442"/>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5. Живучесть мотора — не менее чем 500 часов работы.</w:t>
      </w:r>
    </w:p>
    <w:p w14:paraId="012A4E63" w14:textId="77777777" w:rsidR="00EA6158" w:rsidRPr="00142305" w:rsidRDefault="00EA6158" w:rsidP="00EA6158">
      <w:pPr>
        <w:widowControl w:val="0"/>
        <w:tabs>
          <w:tab w:val="left" w:pos="452"/>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6. Проходимость: клиренс — 350 мм, ров — 2 м, брод — 1 м, стенка — 0,6 м.</w:t>
      </w:r>
    </w:p>
    <w:p w14:paraId="4F0DDC98" w14:textId="77777777" w:rsidR="00EA6158" w:rsidRPr="00142305" w:rsidRDefault="00EA6158" w:rsidP="00EA6158">
      <w:pPr>
        <w:spacing w:after="0" w:line="240" w:lineRule="auto"/>
        <w:jc w:val="both"/>
        <w:rPr>
          <w:rFonts w:ascii="Times New Roman" w:hAnsi="Times New Roman"/>
          <w:color w:val="0070C0"/>
          <w:sz w:val="16"/>
          <w:szCs w:val="16"/>
        </w:rPr>
      </w:pPr>
      <w:bookmarkStart w:id="41" w:name="bookmark64"/>
      <w:bookmarkEnd w:id="41"/>
      <w:r w:rsidRPr="00142305">
        <w:rPr>
          <w:rFonts w:ascii="Times New Roman" w:hAnsi="Times New Roman"/>
          <w:color w:val="0070C0"/>
          <w:sz w:val="16"/>
          <w:szCs w:val="16"/>
        </w:rPr>
        <w:t>7. Вооружение — 76-мм противоштур- мовая (временно) и 37-мм орудия и 2 пулемета. Одно орудие и один пулемет раз</w:t>
      </w:r>
      <w:r w:rsidRPr="00142305">
        <w:rPr>
          <w:rFonts w:ascii="Times New Roman" w:hAnsi="Times New Roman"/>
          <w:color w:val="0070C0"/>
          <w:sz w:val="16"/>
          <w:szCs w:val="16"/>
        </w:rPr>
        <w:softHyphen/>
        <w:t>мещаются во вращающейся башне, вто</w:t>
      </w:r>
      <w:r w:rsidRPr="00142305">
        <w:rPr>
          <w:rFonts w:ascii="Times New Roman" w:hAnsi="Times New Roman"/>
          <w:color w:val="0070C0"/>
          <w:sz w:val="16"/>
          <w:szCs w:val="16"/>
        </w:rPr>
        <w:softHyphen/>
        <w:t>рое орудие может быть установлено не в башне.</w:t>
      </w:r>
    </w:p>
    <w:p w14:paraId="61D488A3" w14:textId="77777777" w:rsidR="00EA6158" w:rsidRPr="00142305" w:rsidRDefault="00EA6158" w:rsidP="00EA6158">
      <w:pPr>
        <w:widowControl w:val="0"/>
        <w:tabs>
          <w:tab w:val="left" w:pos="490"/>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8. Боекомплект — 40 выстрелов к 76-мм, 100 выстрелов к 37-мм, 5000 па</w:t>
      </w:r>
      <w:r w:rsidRPr="00142305">
        <w:rPr>
          <w:rFonts w:ascii="Times New Roman" w:hAnsi="Times New Roman"/>
          <w:color w:val="0070C0"/>
          <w:sz w:val="16"/>
          <w:szCs w:val="16"/>
        </w:rPr>
        <w:softHyphen/>
        <w:t>трон.</w:t>
      </w:r>
    </w:p>
    <w:p w14:paraId="318ABD37" w14:textId="77777777" w:rsidR="00EA6158" w:rsidRPr="00142305" w:rsidRDefault="00EA6158" w:rsidP="00EA6158">
      <w:pPr>
        <w:widowControl w:val="0"/>
        <w:tabs>
          <w:tab w:val="left" w:pos="490"/>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9. Броня: лоб — 30 мм, борт — 13 мм, башня — 20 мм, корма — 20 мм, дно, кры</w:t>
      </w:r>
      <w:r w:rsidRPr="00142305">
        <w:rPr>
          <w:rFonts w:ascii="Times New Roman" w:hAnsi="Times New Roman"/>
          <w:color w:val="0070C0"/>
          <w:sz w:val="16"/>
          <w:szCs w:val="16"/>
        </w:rPr>
        <w:softHyphen/>
        <w:t>ша — 6 мм.</w:t>
      </w:r>
    </w:p>
    <w:p w14:paraId="3289C551" w14:textId="77777777" w:rsidR="00EA6158" w:rsidRPr="00142305" w:rsidRDefault="00EA6158" w:rsidP="00EA6158">
      <w:pPr>
        <w:widowControl w:val="0"/>
        <w:tabs>
          <w:tab w:val="left" w:pos="556"/>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10. Экипаж — не менее 3 человек.</w:t>
      </w:r>
    </w:p>
    <w:p w14:paraId="6A638233" w14:textId="77777777" w:rsidR="00EA6158" w:rsidRPr="00142305" w:rsidRDefault="00EA6158" w:rsidP="00EA6158">
      <w:pPr>
        <w:widowControl w:val="0"/>
        <w:tabs>
          <w:tab w:val="left" w:pos="556"/>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11. Запас хода — не менее 4 часов.</w:t>
      </w:r>
    </w:p>
    <w:p w14:paraId="0686CD33" w14:textId="77777777" w:rsidR="00EA6158" w:rsidRPr="00142305" w:rsidRDefault="00EA6158" w:rsidP="00EA615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II. Обязать начальника Артиллерий</w:t>
      </w:r>
      <w:r w:rsidRPr="00142305">
        <w:rPr>
          <w:rFonts w:ascii="Times New Roman" w:hAnsi="Times New Roman"/>
          <w:color w:val="0070C0"/>
          <w:sz w:val="16"/>
          <w:szCs w:val="16"/>
        </w:rPr>
        <w:softHyphen/>
        <w:t>ского управления в 5-месячный срок из</w:t>
      </w:r>
      <w:r w:rsidRPr="00142305">
        <w:rPr>
          <w:rFonts w:ascii="Times New Roman" w:hAnsi="Times New Roman"/>
          <w:color w:val="0070C0"/>
          <w:sz w:val="16"/>
          <w:szCs w:val="16"/>
        </w:rPr>
        <w:softHyphen/>
        <w:t>готовить опытные образцы специальной танковой 76-мм пушки с полуавтомати</w:t>
      </w:r>
      <w:r w:rsidRPr="00142305">
        <w:rPr>
          <w:rFonts w:ascii="Times New Roman" w:hAnsi="Times New Roman"/>
          <w:color w:val="0070C0"/>
          <w:sz w:val="16"/>
          <w:szCs w:val="16"/>
        </w:rPr>
        <w:softHyphen/>
        <w:t>ческим затвором...</w:t>
      </w:r>
    </w:p>
    <w:p w14:paraId="7C7ADBDD" w14:textId="77777777" w:rsidR="00EA6158" w:rsidRPr="00142305" w:rsidRDefault="00EA6158" w:rsidP="00EA615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Производственное требование — при проектировании этой машины должны быть приняты все меры к использова</w:t>
      </w:r>
      <w:r w:rsidRPr="00142305">
        <w:rPr>
          <w:rFonts w:ascii="Times New Roman" w:hAnsi="Times New Roman"/>
          <w:color w:val="0070C0"/>
          <w:sz w:val="16"/>
          <w:szCs w:val="16"/>
        </w:rPr>
        <w:softHyphen/>
        <w:t>нию идущих или предполагавшихся в производстве агрегатов, частей и меха</w:t>
      </w:r>
      <w:r w:rsidRPr="00142305">
        <w:rPr>
          <w:rFonts w:ascii="Times New Roman" w:hAnsi="Times New Roman"/>
          <w:color w:val="0070C0"/>
          <w:sz w:val="16"/>
          <w:szCs w:val="16"/>
        </w:rPr>
        <w:softHyphen/>
        <w:t>низмов».</w:t>
      </w:r>
    </w:p>
    <w:p w14:paraId="1051B249" w14:textId="77777777" w:rsidR="00EA6158" w:rsidRPr="00142305" w:rsidRDefault="00EA6158" w:rsidP="00EA615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Согласно этим требованиям Опытно</w:t>
      </w:r>
      <w:r w:rsidRPr="00142305">
        <w:rPr>
          <w:rFonts w:ascii="Times New Roman" w:hAnsi="Times New Roman"/>
          <w:color w:val="0070C0"/>
          <w:sz w:val="16"/>
          <w:szCs w:val="16"/>
        </w:rPr>
        <w:softHyphen/>
        <w:t>конструкторское и испытательное бюро УММ РККА, руководимое Н.И. Дыренковым, разработало проект и построило в натуральную величину макет танка Д-38 (25009).</w:t>
      </w:r>
    </w:p>
    <w:p w14:paraId="29315DE2" w14:textId="77777777" w:rsidR="00EA6158" w:rsidRPr="00142305" w:rsidRDefault="00EA6158" w:rsidP="00EA6158">
      <w:pPr>
        <w:spacing w:after="0" w:line="240" w:lineRule="auto"/>
        <w:jc w:val="both"/>
        <w:rPr>
          <w:rFonts w:ascii="Times New Roman" w:hAnsi="Times New Roman"/>
          <w:color w:val="0070C0"/>
          <w:sz w:val="16"/>
          <w:szCs w:val="16"/>
        </w:rPr>
      </w:pPr>
    </w:p>
    <w:p w14:paraId="65EB65E4" w14:textId="77777777" w:rsidR="00EA6158" w:rsidRPr="00142305" w:rsidRDefault="00EA6158" w:rsidP="00EA615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6 июня 1931 года были утверждены тактико-технические требования на раз</w:t>
      </w:r>
      <w:r w:rsidRPr="00142305">
        <w:rPr>
          <w:rFonts w:ascii="Times New Roman" w:hAnsi="Times New Roman"/>
          <w:color w:val="0070C0"/>
          <w:sz w:val="16"/>
          <w:szCs w:val="16"/>
        </w:rPr>
        <w:softHyphen/>
        <w:t>работку колесно-гусеничного танка типа Кристи. Причем во главу угла ставились «быстроходность, высокая проходи</w:t>
      </w:r>
      <w:r w:rsidRPr="00142305">
        <w:rPr>
          <w:rFonts w:ascii="Times New Roman" w:hAnsi="Times New Roman"/>
          <w:color w:val="0070C0"/>
          <w:sz w:val="16"/>
          <w:szCs w:val="16"/>
        </w:rPr>
        <w:softHyphen/>
        <w:t>мость по всем грунтам и высокий кило</w:t>
      </w:r>
      <w:r w:rsidRPr="00142305">
        <w:rPr>
          <w:rFonts w:ascii="Times New Roman" w:hAnsi="Times New Roman"/>
          <w:color w:val="0070C0"/>
          <w:sz w:val="16"/>
          <w:szCs w:val="16"/>
        </w:rPr>
        <w:softHyphen/>
        <w:t>метраж службы до ремонта». По требо</w:t>
      </w:r>
      <w:r w:rsidRPr="00142305">
        <w:rPr>
          <w:rFonts w:ascii="Times New Roman" w:hAnsi="Times New Roman"/>
          <w:color w:val="0070C0"/>
          <w:sz w:val="16"/>
          <w:szCs w:val="16"/>
        </w:rPr>
        <w:softHyphen/>
        <w:t>ваниям предполагалось создать маши</w:t>
      </w:r>
      <w:r w:rsidRPr="00142305">
        <w:rPr>
          <w:rFonts w:ascii="Times New Roman" w:hAnsi="Times New Roman"/>
          <w:color w:val="0070C0"/>
          <w:sz w:val="16"/>
          <w:szCs w:val="16"/>
        </w:rPr>
        <w:softHyphen/>
        <w:t>ну массой не более 14 т, с двигателем мощностью не менее 500 л.с., скоростью на гусеницах не менее 40 км/ч. Машину предполагалось вооружить 76 и 37-мм пушками и двумя пулеметами, причем «одно орудие и один пулемет во вра</w:t>
      </w:r>
      <w:r w:rsidRPr="00142305">
        <w:rPr>
          <w:rFonts w:ascii="Times New Roman" w:hAnsi="Times New Roman"/>
          <w:color w:val="0070C0"/>
          <w:sz w:val="16"/>
          <w:szCs w:val="16"/>
        </w:rPr>
        <w:softHyphen/>
        <w:t>щающейся башне, второе орудие мо</w:t>
      </w:r>
      <w:r w:rsidRPr="00142305">
        <w:rPr>
          <w:rFonts w:ascii="Times New Roman" w:hAnsi="Times New Roman"/>
          <w:color w:val="0070C0"/>
          <w:sz w:val="16"/>
          <w:szCs w:val="16"/>
        </w:rPr>
        <w:softHyphen/>
        <w:t>жет быть не во вращающейся башне». Максимальная толщина брони опреде</w:t>
      </w:r>
      <w:r w:rsidRPr="00142305">
        <w:rPr>
          <w:rFonts w:ascii="Times New Roman" w:hAnsi="Times New Roman"/>
          <w:color w:val="0070C0"/>
          <w:sz w:val="16"/>
          <w:szCs w:val="16"/>
        </w:rPr>
        <w:softHyphen/>
        <w:t>лялась в 20—30 мм, экипаж «не менее трех человек». При этом предполага</w:t>
      </w:r>
      <w:r w:rsidRPr="00142305">
        <w:rPr>
          <w:rFonts w:ascii="Times New Roman" w:hAnsi="Times New Roman"/>
          <w:color w:val="0070C0"/>
          <w:sz w:val="16"/>
          <w:szCs w:val="16"/>
        </w:rPr>
        <w:softHyphen/>
        <w:t>лось, что «при проектировании этой ма</w:t>
      </w:r>
      <w:r w:rsidRPr="00142305">
        <w:rPr>
          <w:rFonts w:ascii="Times New Roman" w:hAnsi="Times New Roman"/>
          <w:color w:val="0070C0"/>
          <w:sz w:val="16"/>
          <w:szCs w:val="16"/>
        </w:rPr>
        <w:softHyphen/>
        <w:t>шины должны быть приняты все меры к использованию идущих или предпола</w:t>
      </w:r>
      <w:r w:rsidRPr="00142305">
        <w:rPr>
          <w:rFonts w:ascii="Times New Roman" w:hAnsi="Times New Roman"/>
          <w:color w:val="0070C0"/>
          <w:sz w:val="16"/>
          <w:szCs w:val="16"/>
        </w:rPr>
        <w:softHyphen/>
        <w:t>гающихся в производстве агрегатов, ча</w:t>
      </w:r>
      <w:r w:rsidRPr="00142305">
        <w:rPr>
          <w:rFonts w:ascii="Times New Roman" w:hAnsi="Times New Roman"/>
          <w:color w:val="0070C0"/>
          <w:sz w:val="16"/>
          <w:szCs w:val="16"/>
        </w:rPr>
        <w:softHyphen/>
        <w:t>стей и механизмов».</w:t>
      </w:r>
    </w:p>
    <w:p w14:paraId="12B0BDEA" w14:textId="77777777" w:rsidR="00EA6158" w:rsidRPr="00142305" w:rsidRDefault="00EA6158" w:rsidP="00EA615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Узнав об этом, неутомимый Дыренков тут же предложил разработать та</w:t>
      </w:r>
      <w:r w:rsidRPr="00142305">
        <w:rPr>
          <w:rFonts w:ascii="Times New Roman" w:hAnsi="Times New Roman"/>
          <w:color w:val="0070C0"/>
          <w:sz w:val="16"/>
          <w:szCs w:val="16"/>
        </w:rPr>
        <w:softHyphen/>
        <w:t>кой танк по вышеприведенным тактико</w:t>
      </w:r>
      <w:r w:rsidRPr="00142305">
        <w:rPr>
          <w:rFonts w:ascii="Times New Roman" w:hAnsi="Times New Roman"/>
          <w:color w:val="0070C0"/>
          <w:sz w:val="16"/>
          <w:szCs w:val="16"/>
        </w:rPr>
        <w:softHyphen/>
        <w:t>техническим требованиям. Этот проект получил обозначение Д-38 (25010).</w:t>
      </w:r>
    </w:p>
    <w:p w14:paraId="21726492" w14:textId="77777777" w:rsidR="00EA6158" w:rsidRPr="00142305" w:rsidRDefault="00EA6158" w:rsidP="00EA6158">
      <w:pPr>
        <w:spacing w:after="0" w:line="240" w:lineRule="auto"/>
        <w:jc w:val="both"/>
        <w:rPr>
          <w:rFonts w:ascii="Times New Roman" w:hAnsi="Times New Roman"/>
          <w:color w:val="0070C0"/>
          <w:sz w:val="16"/>
          <w:szCs w:val="16"/>
        </w:rPr>
      </w:pPr>
    </w:p>
    <w:p w14:paraId="2E0D25E4" w14:textId="77777777" w:rsidR="008B6E64" w:rsidRPr="005E779E" w:rsidRDefault="008B6E6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июня 1931 года начальник УММ РККА И. Халепский утвердил тактико-технические требования на проектирование легкого мотоброневагона МВЛ-31 с двумя 7б,2-мм пушками образца 1909 года. При этом за основу предлагалось взять изготовленный для ОПТУ опытный образец Д-2:</w:t>
      </w:r>
    </w:p>
    <w:p w14:paraId="49737A16" w14:textId="77777777" w:rsidR="008B6E64" w:rsidRPr="005E779E" w:rsidRDefault="008B6E6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Назначение - выполнение огневых задач в условиях ближнего боя, поражение живой силы, огневых средств и бронесил, охрана стратегически важных узлов и сопровождение эшелонов на марше.</w:t>
      </w:r>
    </w:p>
    <w:p w14:paraId="6E1F8B29" w14:textId="77777777" w:rsidR="008B6E64" w:rsidRPr="005E779E" w:rsidRDefault="008B6E6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Характеристика мотоброневагона.</w:t>
      </w:r>
    </w:p>
    <w:p w14:paraId="4B2A96AF" w14:textId="77777777" w:rsidR="008B6E64" w:rsidRPr="005E779E" w:rsidRDefault="008B6E6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Мотор 90 л.с, стандартный, Ярославского завода.</w:t>
      </w:r>
    </w:p>
    <w:p w14:paraId="3BE39BE7" w14:textId="77777777" w:rsidR="008B6E64" w:rsidRPr="005E779E" w:rsidRDefault="008B6E6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Постановкой реверса должно быть обеспечено движение в обеих направлениях.</w:t>
      </w:r>
    </w:p>
    <w:p w14:paraId="25E0CF13" w14:textId="77777777" w:rsidR="008B6E64" w:rsidRPr="005E779E" w:rsidRDefault="008B6E6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Максимальная скорость - 75 км/ч, запас хода - 500 км.</w:t>
      </w:r>
    </w:p>
    <w:p w14:paraId="3C74E3CB" w14:textId="77777777" w:rsidR="008B6E64" w:rsidRPr="005E779E" w:rsidRDefault="008B6E6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г. Колея - нормальная СССР 1524 мм, путем передвижки должен быть обеспечен переход на Западно-Европейскую колею 1435 мм.</w:t>
      </w:r>
    </w:p>
    <w:p w14:paraId="6B53BF0E" w14:textId="77777777" w:rsidR="008B6E64" w:rsidRPr="005E779E" w:rsidRDefault="008B6E6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 На мотоброневагоне должно быть предусмотрено воздушное и ручное торможение и песочницы.</w:t>
      </w:r>
    </w:p>
    <w:p w14:paraId="06D573E6" w14:textId="77777777" w:rsidR="008B6E64" w:rsidRPr="005E779E" w:rsidRDefault="008B6E6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 Нагрузка на ось де должна быть больше 18 т.</w:t>
      </w:r>
    </w:p>
    <w:p w14:paraId="45CC031D" w14:textId="77777777" w:rsidR="008B6E64" w:rsidRPr="005E779E" w:rsidRDefault="008B6E6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ж. На мотоброневагоне должен находится пост управления огнем и движением с необходимым оборудованием.</w:t>
      </w:r>
    </w:p>
    <w:p w14:paraId="3EA05118" w14:textId="77777777" w:rsidR="008B6E64" w:rsidRPr="005E779E" w:rsidRDefault="008B6E6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Вооружение - 2 7б,2-мм орудия, 4 бортовых ir/лемета Максима, 2 пулемета ДТ в башнях и 2 спаренных зенитных Максима. Боекомплект - 500 снарядов, 32000 патронов.</w:t>
      </w:r>
    </w:p>
    <w:p w14:paraId="2753CC3A" w14:textId="77777777" w:rsidR="008B6E64" w:rsidRPr="005E779E" w:rsidRDefault="008B6E6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Установка 76,2-мм орудий.</w:t>
      </w:r>
    </w:p>
    <w:p w14:paraId="54CEA3FC" w14:textId="77777777" w:rsidR="008B6E64" w:rsidRPr="005E779E" w:rsidRDefault="008B6E6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Орудия должны быть установлены на тумбах в башнях, обеспечивающих круговой обстрел и углы возвышения от -5 до +30 град.</w:t>
      </w:r>
    </w:p>
    <w:p w14:paraId="1675EF5D" w14:textId="77777777" w:rsidR="008B6E64" w:rsidRPr="005E779E" w:rsidRDefault="008B6E6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Скорострельность, допускаемая лафетом - не менее 10 выстрелов в минуту.</w:t>
      </w:r>
    </w:p>
    <w:p w14:paraId="456C7D14" w14:textId="77777777" w:rsidR="008B6E64" w:rsidRPr="005E779E" w:rsidRDefault="008B6E6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Бронировка - вертикальные и торцевые стенки корпуса и башен - 16 мм, верхние плоские, близкие к горизонтальным - 10 мм, горизонтальные поверхности башен - 8 мм».</w:t>
      </w:r>
    </w:p>
    <w:p w14:paraId="6E074E3E" w14:textId="77777777" w:rsidR="008B6E64" w:rsidRPr="005E779E" w:rsidRDefault="008B6E6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Однако в ходе дальнейшего обсуждения УММ РККА отказалось от использования в качестве базового для серийного производства опытный образец конструкции Дыренкова Д-2 (15624).</w:t>
      </w:r>
    </w:p>
    <w:p w14:paraId="29518288" w14:textId="77777777" w:rsidR="008B6E64" w:rsidRPr="005E779E" w:rsidRDefault="008B6E64" w:rsidP="000B7A6C">
      <w:pPr>
        <w:spacing w:after="0" w:line="240" w:lineRule="auto"/>
        <w:jc w:val="both"/>
        <w:rPr>
          <w:rFonts w:ascii="Times New Roman" w:hAnsi="Times New Roman"/>
          <w:color w:val="000000" w:themeColor="text1"/>
          <w:sz w:val="16"/>
          <w:szCs w:val="16"/>
        </w:rPr>
      </w:pPr>
    </w:p>
    <w:p w14:paraId="3709655D" w14:textId="77777777" w:rsidR="008C0A45" w:rsidRPr="005E779E" w:rsidRDefault="008C0A4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июня 1931 года начальник УММ РККА И. Халепский утвердил тактико-технические требования на проектирование легкого мотоброневагона МВЛ-31 с двумя 76,2-мм пушками образца 1909 года. При этом за основу предлагалось взять изготовленный для ОПТУ опытный образец Д-2: </w:t>
      </w:r>
    </w:p>
    <w:p w14:paraId="7E825EF9" w14:textId="77777777" w:rsidR="008C0A45" w:rsidRPr="005E779E" w:rsidRDefault="008C0A4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Назначение - выполнение огневых задач в условиях ближнего боя, поражение живой силы, огневых средств и бронесил, охрана стратегически важных узлов и сопровождение эшелонов на марше. </w:t>
      </w:r>
    </w:p>
    <w:p w14:paraId="6A826D84" w14:textId="77777777" w:rsidR="008C0A45" w:rsidRPr="005E779E" w:rsidRDefault="008C0A4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Характеристика мотоброневагона. </w:t>
      </w:r>
    </w:p>
    <w:p w14:paraId="28B052EC" w14:textId="77777777" w:rsidR="008C0A45" w:rsidRPr="005E779E" w:rsidRDefault="008C0A4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Мотор 90 л. с, стандартный, Ярославского завода. </w:t>
      </w:r>
    </w:p>
    <w:p w14:paraId="0F69E5C7" w14:textId="77777777" w:rsidR="008C0A45" w:rsidRPr="005E779E" w:rsidRDefault="008C0A4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Постановкой реверса должно быть обеспечено движение в обеих направлениях. </w:t>
      </w:r>
    </w:p>
    <w:p w14:paraId="6CA0C60D" w14:textId="77777777" w:rsidR="008C0A45" w:rsidRPr="005E779E" w:rsidRDefault="008C0A4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Максимальная скорость - 75 км/ч, запас хода - 500 км. </w:t>
      </w:r>
    </w:p>
    <w:p w14:paraId="6EDADADA" w14:textId="77777777" w:rsidR="008C0A45" w:rsidRPr="005E779E" w:rsidRDefault="008C0A4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Колея - нормальная СССР 1524 мм, путем передвижки должен быть обеспечен переход на Западно-Европейскую колею 1435 мм. </w:t>
      </w:r>
    </w:p>
    <w:p w14:paraId="5D0AE065" w14:textId="77777777" w:rsidR="008C0A45" w:rsidRPr="005E779E" w:rsidRDefault="008C0A4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 На мотоброневагоне должно быть предусмотрено воздушное и ручное торможение и песочницы. </w:t>
      </w:r>
    </w:p>
    <w:p w14:paraId="054F5EA2" w14:textId="77777777" w:rsidR="008C0A45" w:rsidRPr="005E779E" w:rsidRDefault="008C0A4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 Нагрузка на ось де должна быть больше 18 т. </w:t>
      </w:r>
    </w:p>
    <w:p w14:paraId="50EE1B75" w14:textId="77777777" w:rsidR="008C0A45" w:rsidRPr="005E779E" w:rsidRDefault="008C0A4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ж. На мотоброневагоне должен находится пост управления огнем и движением с необходимым оборудованием. </w:t>
      </w:r>
    </w:p>
    <w:p w14:paraId="59A03098" w14:textId="77777777" w:rsidR="008C0A45" w:rsidRPr="005E779E" w:rsidRDefault="008C0A4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 Вооружение - 2 7б,2-мм орудия, 4 бортовых пулемета Максима, 2 пулемета ДТ в башнях и 2 спаренных зенитных Максима. Боекомплект - 500 снарядов, 32000 патронов. </w:t>
      </w:r>
    </w:p>
    <w:p w14:paraId="71750FEE" w14:textId="77777777" w:rsidR="008C0A45" w:rsidRPr="005E779E" w:rsidRDefault="008C0A4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Установка 7б,2-мм орудий. </w:t>
      </w:r>
    </w:p>
    <w:p w14:paraId="32F12010" w14:textId="77777777" w:rsidR="008C0A45" w:rsidRPr="005E779E" w:rsidRDefault="008C0A4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Орудия должны быть установлены на тумбах в башнях, обеспечивающих круговой обстрел и углы возвышения от -5 до +30 град. </w:t>
      </w:r>
    </w:p>
    <w:p w14:paraId="6767D05D" w14:textId="77777777" w:rsidR="008C0A45" w:rsidRPr="005E779E" w:rsidRDefault="008C0A4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Скорострельность, допускаемая лафетом - не менее 10 выстрелов в минуту. </w:t>
      </w:r>
    </w:p>
    <w:p w14:paraId="14B175BA" w14:textId="77777777" w:rsidR="008C0A45" w:rsidRPr="005E779E" w:rsidRDefault="008C0A4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Бронировка - вертикальные и торцевые стенки корпуса и башен - 16 мм, верхние плоские, близкие к горизонтальным - 10 мм, горизонтальные поверхности башен - 8 мм». </w:t>
      </w:r>
    </w:p>
    <w:p w14:paraId="76FE104C" w14:textId="77777777" w:rsidR="008C0A45" w:rsidRPr="005E779E" w:rsidRDefault="008C0A4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Однако в ходе дальнейшего обсуждения УММ РККА отказалось от использования в качестве базового для серийного производства опытный образец конструкции Дыренкова Д-2 (18626).</w:t>
      </w:r>
    </w:p>
    <w:p w14:paraId="0BC42880" w14:textId="77777777" w:rsidR="008C0A45" w:rsidRPr="005E779E" w:rsidRDefault="008C0A45" w:rsidP="000B7A6C">
      <w:pPr>
        <w:spacing w:after="0" w:line="240" w:lineRule="auto"/>
        <w:jc w:val="both"/>
        <w:rPr>
          <w:rFonts w:ascii="Times New Roman" w:hAnsi="Times New Roman"/>
          <w:color w:val="000000" w:themeColor="text1"/>
          <w:sz w:val="16"/>
          <w:szCs w:val="16"/>
        </w:rPr>
      </w:pPr>
    </w:p>
    <w:p w14:paraId="71B5AD18" w14:textId="77777777" w:rsidR="00EA6158" w:rsidRPr="00142305" w:rsidRDefault="00EA6158" w:rsidP="00EA615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6 июня 1931 года начальник УММ РККА И. Халепский утвердил тактико-технические требования на проектирование легкого мотоброневагона МВЛ-31 с двумя 7б,2-мм пушками образца 1909 года. При этом за основу предлагалось взять изготовленный для ОПТУ опытный образец Д-2:</w:t>
      </w:r>
    </w:p>
    <w:p w14:paraId="61BE7059" w14:textId="77777777" w:rsidR="00EA6158" w:rsidRPr="00142305" w:rsidRDefault="00EA6158" w:rsidP="00EA615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Назначение — выполнение огневых задач в условиях ближнего боя, поражение живой силы, огневых средств и бронесил, охрана стратегически важных узлов и сопровождение эшелонов на марше.</w:t>
      </w:r>
    </w:p>
    <w:p w14:paraId="61E8DF45" w14:textId="77777777" w:rsidR="00EA6158" w:rsidRPr="00142305" w:rsidRDefault="00EA6158" w:rsidP="00EA615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 Характеристика мотоброневагона.</w:t>
      </w:r>
    </w:p>
    <w:p w14:paraId="3DCA4B35" w14:textId="77777777" w:rsidR="00EA6158" w:rsidRPr="00142305" w:rsidRDefault="00EA6158" w:rsidP="00EA615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а. Мотор 90 л.с, стандартный, Ярославского завода.</w:t>
      </w:r>
    </w:p>
    <w:p w14:paraId="14B414BC" w14:textId="77777777" w:rsidR="00EA6158" w:rsidRPr="00142305" w:rsidRDefault="00EA6158" w:rsidP="00EA615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б. Постановкой реверса должно быть обеспечено движение в обеих направлениях.</w:t>
      </w:r>
    </w:p>
    <w:p w14:paraId="5B8C3A06" w14:textId="77777777" w:rsidR="00EA6158" w:rsidRPr="00142305" w:rsidRDefault="00EA6158" w:rsidP="00EA615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Максимальная скорость — 75 км/ч, запас хода — 500 км.</w:t>
      </w:r>
    </w:p>
    <w:p w14:paraId="2D9AEE31" w14:textId="77777777" w:rsidR="00EA6158" w:rsidRPr="00142305" w:rsidRDefault="00EA6158" w:rsidP="00EA615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г. Колея — нормальная СССР 1524 мм, путем передвижки должен быть обеспечен переход на Западно-Европейскую колею 1435 мм.</w:t>
      </w:r>
    </w:p>
    <w:p w14:paraId="2BB0AADD" w14:textId="77777777" w:rsidR="00EA6158" w:rsidRPr="00142305" w:rsidRDefault="00EA6158" w:rsidP="00EA615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 На мотоброневагоне должно быть предусмотрено воздушное и ручное торможение и песочницы.</w:t>
      </w:r>
    </w:p>
    <w:p w14:paraId="3397AAB1" w14:textId="77777777" w:rsidR="00EA6158" w:rsidRPr="00142305" w:rsidRDefault="00EA6158" w:rsidP="00EA615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е. Нагрузка на ось де должна быть больше 18 т.</w:t>
      </w:r>
    </w:p>
    <w:p w14:paraId="5C7C09F0" w14:textId="77777777" w:rsidR="00EA6158" w:rsidRPr="00142305" w:rsidRDefault="00EA6158" w:rsidP="00EA615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ж. На мотоброневагоне должен находится пост управления огнем и движением с необходимым оборудованием.</w:t>
      </w:r>
    </w:p>
    <w:p w14:paraId="1D961A86" w14:textId="77777777" w:rsidR="00EA6158" w:rsidRPr="00142305" w:rsidRDefault="00EA6158" w:rsidP="00EA615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 Вооружение — 2 7б,2-мм орудия, 4 бортовых ir/лемета Максима, 2 пулемета ДТ в башнях и 2 спаренных зенитных Максима. Боекомплект — 500 снарядов, 32000 патронов.</w:t>
      </w:r>
    </w:p>
    <w:p w14:paraId="22845475" w14:textId="77777777" w:rsidR="00EA6158" w:rsidRPr="00142305" w:rsidRDefault="00EA6158" w:rsidP="00EA615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4. Установка 76,2-мм орудий.</w:t>
      </w:r>
    </w:p>
    <w:p w14:paraId="49A8D4CF" w14:textId="77777777" w:rsidR="00EA6158" w:rsidRPr="00142305" w:rsidRDefault="00EA6158" w:rsidP="00EA615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а. Орудия должны быть установлены на тумбах в башнях, обеспечивающих круговой обстрел и углы возвышения от -5 до +30 град.</w:t>
      </w:r>
      <w:r w:rsidRPr="00142305">
        <w:rPr>
          <w:rFonts w:ascii="Times New Roman" w:hAnsi="Times New Roman"/>
          <w:color w:val="0070C0"/>
          <w:sz w:val="16"/>
          <w:szCs w:val="16"/>
        </w:rPr>
        <w:br/>
        <w:t>б. Скорострельность, допускаемая лафетом — не менее 10 выстрелов в минуту.</w:t>
      </w:r>
    </w:p>
    <w:p w14:paraId="6CF8EDE7" w14:textId="77777777" w:rsidR="00EA6158" w:rsidRPr="00142305" w:rsidRDefault="00EA6158" w:rsidP="00EA615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5. Бронировка — вертикальные и торцевые стенки корпуса и башен — 16 мм, верхние плоские, близкие к горизонтальным — 10 мм, горизонтальные поверхности башен — 8 мм».</w:t>
      </w:r>
    </w:p>
    <w:p w14:paraId="24CB958E" w14:textId="77777777" w:rsidR="00EA6158" w:rsidRPr="00142305" w:rsidRDefault="00EA6158" w:rsidP="00EA615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Однако в ходе дальнейшего обсуждения УММ РККА отказалось от использования в качестве базового для серийного производства опытный образец конструкции Дыренкова Д-2 (25568).</w:t>
      </w:r>
    </w:p>
    <w:p w14:paraId="31352BF3" w14:textId="77777777" w:rsidR="00EA6158" w:rsidRPr="00142305" w:rsidRDefault="00EA6158" w:rsidP="00EA6158">
      <w:pPr>
        <w:spacing w:after="0" w:line="240" w:lineRule="auto"/>
        <w:jc w:val="both"/>
        <w:rPr>
          <w:rFonts w:ascii="Times New Roman" w:hAnsi="Times New Roman"/>
          <w:color w:val="0070C0"/>
          <w:sz w:val="16"/>
          <w:szCs w:val="16"/>
        </w:rPr>
      </w:pPr>
    </w:p>
    <w:p w14:paraId="7F5277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июня 1931 г. решением правления Государственного всесоюзного объединения тяжелого машиностроения "ВОМТ" ВСНХ СССР была создана Техническая контора "Азотмашстрой". Приказом ВОМТ от 16 августа 1931 г. контора получает сокращенное название Гипроазотмаш. В начале 30-х годов контора была преобразована в институт, который, начиная с 1931 г., назывался: Государственный институт проектирования азотного машиностроения "Гипроазотмаш", Государственный научно-исследовательский институт азотного машиностроения "Гипроазотмаш", Государственный экспериментально-конструкторский институт азотного машиностроения "Гипроазотмаш", Государственный институт азотного машиностроения "Гипроазотмаш". В 1941 г. институт переименован в Государственный институт химического и бумажного машиностроения "Гипрохимбуммаш" и эвакуирован в г. Свердловск. Приказом Наркомата минометного вооружения СССР от 18 августа 1942 г. на базе Гипрохимбуммаша, Экспериментально-конструкторского института химического машиностроения "ЭКИхиммаш" и Конструкторского бюро Киевского завода "Большевик" организован Научно-исследовательский институт химического машиностроения "НИИхиммаш" (12102).</w:t>
      </w:r>
    </w:p>
    <w:p w14:paraId="19C955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BE97032" w14:textId="77777777" w:rsidR="00B03AC4" w:rsidRPr="005E779E" w:rsidRDefault="00B03AC4"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25820289" w14:textId="77777777" w:rsidR="00B03AC4" w:rsidRPr="005E779E" w:rsidRDefault="00B03AC4"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7A8097B" w14:textId="77777777" w:rsidR="00B03AC4" w:rsidRPr="005E779E" w:rsidRDefault="00B03AC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июня 1931 г. приказом РВС СССР за № 94 все военно-технические школы ВВС РККА переименовывались в военные школы авиационных техников (ВШАТ): 1-я Ленинградская («Военно-техническая школа ВВС РККА имени тов. Ворошилова) – в 1-ю Военную школу авиационных техников имени т. Ворошилова»), 3-я Пермская («3-я Военно-техническая школа ВВС РККА) – в 3-ю Военную школу авиационных техников». Вольская объединенная школа летчиков и авиационных техников переименовывалась во 2-ю ВШАТ, и она стала готовить только авиационных техников (19566).</w:t>
      </w:r>
    </w:p>
    <w:p w14:paraId="548060A4" w14:textId="77777777" w:rsidR="00B03AC4" w:rsidRPr="005E779E" w:rsidRDefault="00B03AC4" w:rsidP="000B7A6C">
      <w:pPr>
        <w:spacing w:after="0" w:line="240" w:lineRule="auto"/>
        <w:jc w:val="both"/>
        <w:rPr>
          <w:rFonts w:ascii="Times New Roman" w:hAnsi="Times New Roman"/>
          <w:color w:val="000000" w:themeColor="text1"/>
          <w:sz w:val="16"/>
          <w:szCs w:val="16"/>
        </w:rPr>
      </w:pPr>
    </w:p>
    <w:p w14:paraId="437AEA7D" w14:textId="77777777" w:rsidR="00EA6158" w:rsidRPr="00142305" w:rsidRDefault="00EA6158" w:rsidP="00EA615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6 июня 1931 г. приказом РВС СССР № 94 все военно-технические школы ВВС РККА переименовывались в военные школы авиационных техников (ВШАТ): 1-я Ленинградская («Военно-техническая школа ВВС РККА имени тов. Ворошилова) - в 1-ю Военную школу авиационных техников имени т. Ворошилова», 3-я Пермская («3-я Военно-техническая школа ВВС РККА) - в 3- ю Военную школу авиационных техников». Вольская объединенная школа летчиков и авиационных техников переименовывалась во 2-ю ВШАТ, и она стала готовить только авиационных техников (РГВА. Ф. 4. Оп. 3. Д. 3261. Л. 275). В 1931 г. в Иркутске была открыта 4-я ВШАТ (Пинчук В. М. Деятельность политорганов и партийных организаций вузов ВВС СА. - М.: ВВИА, 1974.-С. 10). По окончании авиашкол выпускникам приказом РВС СССР присваивались звания «командир РККА» и «авиационный техник» (РГВА. Ф. 4. Оп. 3. Д. 3290. Л. 115-149). Итак, с июня 1931 г. имелось уже пять школ для подготовки авиатехников: 1-я - в Ленинграде, 2-я - в Вольске, 3-я - в Перми и 4-я - в Иркутске, а также и Московская школа спецслужб ВВС (24968).</w:t>
      </w:r>
    </w:p>
    <w:p w14:paraId="5D82A196" w14:textId="77777777" w:rsidR="00EA6158" w:rsidRPr="00142305" w:rsidRDefault="00EA6158" w:rsidP="00EA6158">
      <w:pPr>
        <w:spacing w:after="0" w:line="240" w:lineRule="auto"/>
        <w:jc w:val="both"/>
        <w:rPr>
          <w:rFonts w:ascii="Times New Roman" w:hAnsi="Times New Roman"/>
          <w:color w:val="0070C0"/>
          <w:sz w:val="16"/>
          <w:szCs w:val="16"/>
        </w:rPr>
      </w:pPr>
    </w:p>
    <w:p w14:paraId="777DF212" w14:textId="77777777" w:rsidR="00EA6158" w:rsidRPr="00142305" w:rsidRDefault="00EA6158" w:rsidP="00EA615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6 июня 1931 г. приказом РВС СССР № 94 все военно-технические школы ВВС РККА переименовывались в военные школы авиационных техников (ВШАТ): 1-я Ленинградская («Военно-техническая школа ВВС РККА имени тов. Ворошилова) - в 1-ю Военную школу авиационных техников имени т. Ворошилова», 3-я Пермская </w:t>
      </w:r>
      <w:r w:rsidRPr="00142305">
        <w:rPr>
          <w:rFonts w:ascii="Times New Roman" w:hAnsi="Times New Roman"/>
          <w:color w:val="0070C0"/>
          <w:sz w:val="16"/>
          <w:szCs w:val="16"/>
        </w:rPr>
        <w:lastRenderedPageBreak/>
        <w:t>(«3-я Военно-техническая школа ВВС РККА) - в 3- ю Военную школу авиационных техников». Вольская объединенная школа летчиков и авиационных техников переименовывалась во 2-ю ВШАТ, и она 754 стала готовить только авиационных техников (РГВА. Ф. 4. Оп. 3. Д. 3261. Л. 275) (24967).</w:t>
      </w:r>
    </w:p>
    <w:p w14:paraId="35BCA309" w14:textId="77777777" w:rsidR="00EA6158" w:rsidRPr="00142305" w:rsidRDefault="00EA6158" w:rsidP="00EA6158">
      <w:pPr>
        <w:spacing w:after="0" w:line="240" w:lineRule="auto"/>
        <w:jc w:val="both"/>
        <w:rPr>
          <w:rFonts w:ascii="Times New Roman" w:hAnsi="Times New Roman"/>
          <w:color w:val="0070C0"/>
          <w:sz w:val="16"/>
          <w:szCs w:val="16"/>
        </w:rPr>
      </w:pPr>
    </w:p>
    <w:p w14:paraId="490A1AF4" w14:textId="77777777" w:rsidR="00AF313F" w:rsidRPr="005E779E" w:rsidRDefault="00AF313F"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23B8CC5F" w14:textId="77777777" w:rsidR="00AF313F" w:rsidRPr="005E779E" w:rsidRDefault="00AF313F"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49291FB" w14:textId="77777777" w:rsidR="00AF313F" w:rsidRPr="005E779E" w:rsidRDefault="00AF313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июня 1931 в газете «Гудок» появилось объявление: «9 июня, в 1 час 30 мин. ночи, из Ленинграда на Москву отправится в первый рейс экспресс «Красная стрела». Расстояние между Ленинградом и Москвой экспресс покроет в 9 ч. 45 мин. Средняя скорость экспресса 70 км в час. На отдельных перегонах скорость дойдет до 100 км в час».</w:t>
      </w:r>
    </w:p>
    <w:p w14:paraId="05F6FA4B" w14:textId="77777777" w:rsidR="00AF313F" w:rsidRPr="005E779E" w:rsidRDefault="00AF313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первый рейс «Красная стрела» отправилась в ночь с 9 на 10 июня 1931 года. В голове состава находился динамометрический вагон, в котором производились записи о ходе поезда. Экспресс вышел из Ленинграда в 1 час 30 минут ночи и прибыл в Москву в 11 часов 20 минут, преодолев расстояние между двумя крупнейшими городами страны за 9 часов 50 минут. Из сообщения газет того времени известно, что участок Ленинград-Малая Вишера (161,7 км) поезд прошел за 2 часа 20 минут со средней скоростью 75-80 км/час, участок М.Вишера-Бологое (167,7 км) был преодолен за 2 часа 38 минут. Мимо станции Боровенка экспресс «проскочил» со скоростью 90 км/час, мимо Лихославля - со скоростью 93 км/час. Участок Бологое - Москва (330 км) был пройден за 4 часа 40 минут.</w:t>
      </w:r>
    </w:p>
    <w:p w14:paraId="6EECB3E2" w14:textId="77777777" w:rsidR="00AF313F" w:rsidRPr="005E779E" w:rsidRDefault="00AF313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обратный рейс «Красная стрела» отправилась 11 июня 1931 года в 1 час 30 минут. На станции Завидово (около 100 км от Москвы) у одного из спальных вагонов загорелся подшипник, из-за чего поезд пришлось остановить и вагон отцепить. Несмотря на 30-минутную стоянку на этой станции, опоздание было быстро ликвидировано 100-километровой скоростью на одном из участков пути. В Ленинград поезд прибыл в 11 часов 18 минут 11 июня. Расстояние между Москвой и Ленинградом экспресс прошел за 9 часов 48 минут, что по тем временам считалось большим достижением.</w:t>
      </w:r>
    </w:p>
    <w:p w14:paraId="09BDDE7D" w14:textId="77777777" w:rsidR="00AF313F" w:rsidRPr="005E779E" w:rsidRDefault="00AF313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Первый состав «Красной стрелы» состоял из 12 вагонов, выкрашенных в синий цвет: 7 жестких купейных, 3 мягких, 1 спальный с двухместными купе и 1 багажный.</w:t>
      </w:r>
    </w:p>
    <w:p w14:paraId="540D1EC7" w14:textId="77777777" w:rsidR="00AF313F" w:rsidRPr="005E779E" w:rsidRDefault="00AF313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Состав на паровозе серии Л вела локомотивная бригада, возглавляемая Василием Максимовичем Ивановым. «Красной стрелой» поезд был назван за красоту – в то время он сильно отличался от большинства других составов.</w:t>
      </w:r>
    </w:p>
    <w:p w14:paraId="16628912" w14:textId="77777777" w:rsidR="00AF313F" w:rsidRPr="005E779E" w:rsidRDefault="00AF313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Впервые в истории советских железных дорог в «Красной стреле» был создан вагон СВ. Для этого четырехместные купе усовершенствовались: верхние полки сняли, на их место повесили зеркала и светильники. Оборудование и внутреннее убранство этих вагонов ни в чем не уступало зарубежным аналогам и даже превосходило их.</w:t>
      </w:r>
    </w:p>
    <w:p w14:paraId="5D3123AC" w14:textId="77777777" w:rsidR="00AF313F" w:rsidRPr="005E779E" w:rsidRDefault="00AF313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Уровень сервиса в этом составе был для тех времен просто невероятным. Впервые пассажирам на время пути предоставлялись шашки, шахматы и другие настольные игры. В поезде работали буфеты, где можно было заказать ужин с доставкой в купе. Для удобства пассажиров в одном из вагонов был оборудован телефонный переговорный пункт, с которого во время стоянки на станциях Бологое, Окуловка и Малая Вишера можно было связаться не только с Кремлем, но даже с Лондоном и Парижем.</w:t>
      </w:r>
    </w:p>
    <w:p w14:paraId="413256CD" w14:textId="77777777" w:rsidR="00AF313F" w:rsidRPr="005E779E" w:rsidRDefault="00AF313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«Красная стрела» стала не только самым быстрым и комфортабельным, но и самым точным поездом. Если «Красная стрела» преодолевала расстояние между Ленинградом и Москвой за 10 часов, то обычные пассажирские поезда ехали не менее 12 часов. В мае 1931 года опоздание скорых поездов на 100 км по Октябрьской дороге составило всего 0,2 минуты, тогда как на многих других магистралях – не менее 1,8 минут (21166).</w:t>
      </w:r>
    </w:p>
    <w:p w14:paraId="4338BDBB" w14:textId="77777777" w:rsidR="00AF313F" w:rsidRPr="005E779E" w:rsidRDefault="00AF313F" w:rsidP="000B7A6C">
      <w:pPr>
        <w:spacing w:after="0" w:line="240" w:lineRule="auto"/>
        <w:jc w:val="both"/>
        <w:rPr>
          <w:rFonts w:ascii="Times New Roman" w:hAnsi="Times New Roman"/>
          <w:color w:val="000000" w:themeColor="text1"/>
          <w:sz w:val="16"/>
          <w:szCs w:val="16"/>
        </w:rPr>
      </w:pPr>
    </w:p>
    <w:p w14:paraId="575F01B3" w14:textId="77777777" w:rsidR="00EA6158" w:rsidRPr="005E779E" w:rsidRDefault="00EA6158" w:rsidP="00EA6158">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72D11D45" w14:textId="77777777" w:rsidR="00EA6158" w:rsidRPr="005E779E" w:rsidRDefault="00EA6158" w:rsidP="00EA6158">
      <w:pPr>
        <w:autoSpaceDE w:val="0"/>
        <w:autoSpaceDN w:val="0"/>
        <w:adjustRightInd w:val="0"/>
        <w:spacing w:after="0" w:line="240" w:lineRule="auto"/>
        <w:jc w:val="both"/>
        <w:rPr>
          <w:rFonts w:ascii="Times New Roman" w:hAnsi="Times New Roman"/>
          <w:iCs/>
          <w:color w:val="000000" w:themeColor="text1"/>
          <w:sz w:val="16"/>
          <w:szCs w:val="16"/>
        </w:rPr>
      </w:pPr>
    </w:p>
    <w:p w14:paraId="7D2B67BD" w14:textId="77777777" w:rsidR="00EA6158" w:rsidRPr="00142305" w:rsidRDefault="00EA6158" w:rsidP="00EA6158">
      <w:pPr>
        <w:spacing w:after="0" w:line="240" w:lineRule="auto"/>
        <w:jc w:val="both"/>
        <w:rPr>
          <w:rStyle w:val="aff0"/>
          <w:rFonts w:ascii="Times New Roman" w:hAnsi="Times New Roman" w:cs="Times New Roman"/>
          <w:color w:val="0070C0"/>
          <w:spacing w:val="0"/>
          <w:sz w:val="16"/>
          <w:szCs w:val="16"/>
        </w:rPr>
      </w:pPr>
      <w:r w:rsidRPr="00142305">
        <w:rPr>
          <w:rStyle w:val="aff0"/>
          <w:rFonts w:ascii="Times New Roman" w:hAnsi="Times New Roman" w:cs="Times New Roman"/>
          <w:color w:val="0070C0"/>
          <w:spacing w:val="0"/>
          <w:sz w:val="16"/>
          <w:szCs w:val="16"/>
        </w:rPr>
        <w:t>7 июня 1931 г. после тяжелого 38-секундного разбе</w:t>
      </w:r>
      <w:r w:rsidRPr="00142305">
        <w:rPr>
          <w:rStyle w:val="aff0"/>
          <w:rFonts w:ascii="Times New Roman" w:hAnsi="Times New Roman" w:cs="Times New Roman"/>
          <w:color w:val="0070C0"/>
          <w:spacing w:val="0"/>
          <w:sz w:val="16"/>
          <w:szCs w:val="16"/>
        </w:rPr>
        <w:softHyphen/>
        <w:t>га длиной 1700 метров летчик Марсель Дорэ поднял в воздух 10-тонный первый экземпляр цельнометалличе</w:t>
      </w:r>
      <w:r w:rsidRPr="00142305">
        <w:rPr>
          <w:rStyle w:val="aff0"/>
          <w:rFonts w:ascii="Times New Roman" w:hAnsi="Times New Roman" w:cs="Times New Roman"/>
          <w:color w:val="0070C0"/>
          <w:spacing w:val="0"/>
          <w:sz w:val="16"/>
          <w:szCs w:val="16"/>
        </w:rPr>
        <w:softHyphen/>
        <w:t xml:space="preserve">ского рекордного самолетп «Девуатин </w:t>
      </w:r>
      <w:r w:rsidRPr="00142305">
        <w:rPr>
          <w:rStyle w:val="aff0"/>
          <w:rFonts w:ascii="Times New Roman" w:hAnsi="Times New Roman" w:cs="Times New Roman"/>
          <w:color w:val="0070C0"/>
          <w:spacing w:val="0"/>
          <w:sz w:val="16"/>
          <w:szCs w:val="16"/>
          <w:lang w:val="en-US"/>
        </w:rPr>
        <w:t>D</w:t>
      </w:r>
      <w:r w:rsidRPr="00142305">
        <w:rPr>
          <w:rStyle w:val="aff0"/>
          <w:rFonts w:ascii="Times New Roman" w:hAnsi="Times New Roman" w:cs="Times New Roman"/>
          <w:color w:val="0070C0"/>
          <w:spacing w:val="0"/>
          <w:sz w:val="16"/>
          <w:szCs w:val="16"/>
        </w:rPr>
        <w:t>.33-01».</w:t>
      </w:r>
    </w:p>
    <w:p w14:paraId="0537AA9C" w14:textId="77777777" w:rsidR="00EA6158" w:rsidRPr="00142305" w:rsidRDefault="00EA6158" w:rsidP="00EA6158">
      <w:pPr>
        <w:spacing w:after="0" w:line="240" w:lineRule="auto"/>
        <w:jc w:val="both"/>
        <w:rPr>
          <w:rStyle w:val="aff0"/>
          <w:rFonts w:ascii="Times New Roman" w:hAnsi="Times New Roman" w:cs="Times New Roman"/>
          <w:color w:val="0070C0"/>
          <w:spacing w:val="0"/>
          <w:sz w:val="16"/>
          <w:szCs w:val="16"/>
        </w:rPr>
      </w:pPr>
      <w:r w:rsidRPr="00142305">
        <w:rPr>
          <w:rStyle w:val="aff0"/>
          <w:rFonts w:ascii="Times New Roman" w:hAnsi="Times New Roman" w:cs="Times New Roman"/>
          <w:color w:val="0070C0"/>
          <w:spacing w:val="0"/>
          <w:sz w:val="16"/>
          <w:szCs w:val="16"/>
        </w:rPr>
        <w:t>Однолонжеронное крыло имело относительную толщину в корне 17,5% и удлинение 10 и отличалось высокими аэродинамическими характеристика</w:t>
      </w:r>
      <w:r w:rsidRPr="00142305">
        <w:rPr>
          <w:rStyle w:val="aff0"/>
          <w:rFonts w:ascii="Times New Roman" w:hAnsi="Times New Roman" w:cs="Times New Roman"/>
          <w:color w:val="0070C0"/>
          <w:spacing w:val="0"/>
          <w:sz w:val="16"/>
          <w:szCs w:val="16"/>
        </w:rPr>
        <w:softHyphen/>
        <w:t>ми. Топливные баки общей емкостью 8000 литров располага</w:t>
      </w:r>
      <w:r w:rsidRPr="00142305">
        <w:rPr>
          <w:rStyle w:val="aff0"/>
          <w:rFonts w:ascii="Times New Roman" w:hAnsi="Times New Roman" w:cs="Times New Roman"/>
          <w:color w:val="0070C0"/>
          <w:spacing w:val="0"/>
          <w:sz w:val="16"/>
          <w:szCs w:val="16"/>
        </w:rPr>
        <w:softHyphen/>
        <w:t>лись в средней части крыла симметрично по обе стороны лон</w:t>
      </w:r>
      <w:r w:rsidRPr="00142305">
        <w:rPr>
          <w:rStyle w:val="aff0"/>
          <w:rFonts w:ascii="Times New Roman" w:hAnsi="Times New Roman" w:cs="Times New Roman"/>
          <w:color w:val="0070C0"/>
          <w:spacing w:val="0"/>
          <w:sz w:val="16"/>
          <w:szCs w:val="16"/>
        </w:rPr>
        <w:softHyphen/>
        <w:t>жерона, причем передние баки являлись частью конструкции. Элероны были сбалансированы в весовом отношении. Это об</w:t>
      </w:r>
      <w:r w:rsidRPr="00142305">
        <w:rPr>
          <w:rStyle w:val="aff0"/>
          <w:rFonts w:ascii="Times New Roman" w:hAnsi="Times New Roman" w:cs="Times New Roman"/>
          <w:color w:val="0070C0"/>
          <w:spacing w:val="0"/>
          <w:sz w:val="16"/>
          <w:szCs w:val="16"/>
        </w:rPr>
        <w:softHyphen/>
        <w:t>стоятельство, наряду с однолонжеронной конструкцией крыла, позволяло считать самолет вполне безопасным с точки зрения вибраций. Фюзеляж состоял из четырех продольных лонже</w:t>
      </w:r>
      <w:r w:rsidRPr="00142305">
        <w:rPr>
          <w:rStyle w:val="aff0"/>
          <w:rFonts w:ascii="Times New Roman" w:hAnsi="Times New Roman" w:cs="Times New Roman"/>
          <w:color w:val="0070C0"/>
          <w:spacing w:val="0"/>
          <w:sz w:val="16"/>
          <w:szCs w:val="16"/>
        </w:rPr>
        <w:softHyphen/>
        <w:t>ронов, набора силовых шпангоутов, подкрепляющих стринге</w:t>
      </w:r>
      <w:r w:rsidRPr="00142305">
        <w:rPr>
          <w:rStyle w:val="aff0"/>
          <w:rFonts w:ascii="Times New Roman" w:hAnsi="Times New Roman" w:cs="Times New Roman"/>
          <w:color w:val="0070C0"/>
          <w:spacing w:val="0"/>
          <w:sz w:val="16"/>
          <w:szCs w:val="16"/>
        </w:rPr>
        <w:softHyphen/>
        <w:t xml:space="preserve">ров и промежуточных шпангоутов, поддерживающих гладкую дюралевую обшивку. Двигатель «Испано-Сюиза» 12 </w:t>
      </w:r>
      <w:r w:rsidRPr="00142305">
        <w:rPr>
          <w:rStyle w:val="aff0"/>
          <w:rFonts w:ascii="Times New Roman" w:hAnsi="Times New Roman" w:cs="Times New Roman"/>
          <w:color w:val="0070C0"/>
          <w:spacing w:val="0"/>
          <w:sz w:val="16"/>
          <w:szCs w:val="16"/>
          <w:lang w:val="en-US"/>
        </w:rPr>
        <w:t>Nbr</w:t>
      </w:r>
      <w:r w:rsidRPr="00142305">
        <w:rPr>
          <w:rStyle w:val="aff0"/>
          <w:rFonts w:ascii="Times New Roman" w:hAnsi="Times New Roman" w:cs="Times New Roman"/>
          <w:color w:val="0070C0"/>
          <w:spacing w:val="0"/>
          <w:sz w:val="16"/>
          <w:szCs w:val="16"/>
        </w:rPr>
        <w:t xml:space="preserve"> мощ</w:t>
      </w:r>
      <w:r w:rsidRPr="00142305">
        <w:rPr>
          <w:rStyle w:val="aff0"/>
          <w:rFonts w:ascii="Times New Roman" w:hAnsi="Times New Roman" w:cs="Times New Roman"/>
          <w:color w:val="0070C0"/>
          <w:spacing w:val="0"/>
          <w:sz w:val="16"/>
          <w:szCs w:val="16"/>
        </w:rPr>
        <w:softHyphen/>
        <w:t>ностью 650 л. с. поначалу был снабжен двухлопастным воз</w:t>
      </w:r>
      <w:r w:rsidRPr="00142305">
        <w:rPr>
          <w:rStyle w:val="aff0"/>
          <w:rFonts w:ascii="Times New Roman" w:hAnsi="Times New Roman" w:cs="Times New Roman"/>
          <w:color w:val="0070C0"/>
          <w:spacing w:val="0"/>
          <w:sz w:val="16"/>
          <w:szCs w:val="16"/>
        </w:rPr>
        <w:softHyphen/>
        <w:t>душным винтом, который затем заменили на более эффек</w:t>
      </w:r>
      <w:r w:rsidRPr="00142305">
        <w:rPr>
          <w:rStyle w:val="aff0"/>
          <w:rFonts w:ascii="Times New Roman" w:hAnsi="Times New Roman" w:cs="Times New Roman"/>
          <w:color w:val="0070C0"/>
          <w:spacing w:val="0"/>
          <w:sz w:val="16"/>
          <w:szCs w:val="16"/>
        </w:rPr>
        <w:softHyphen/>
        <w:t>тивный трехлопастный винт. Радиатор охлаждения двигателя во время полета выдвигался вниз. Шасси пирамидальное, с масляно-пневматической амортизацией, колеса заключены в обтекатели.</w:t>
      </w:r>
    </w:p>
    <w:p w14:paraId="4398DA58" w14:textId="77777777" w:rsidR="00EA6158" w:rsidRPr="00142305" w:rsidRDefault="00EA6158" w:rsidP="00EA6158">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В период 7—10 июня М. Дорэ и Ле Бри в полете по кругу над аэродро</w:t>
      </w:r>
      <w:r w:rsidRPr="00142305">
        <w:rPr>
          <w:rStyle w:val="aff0"/>
          <w:rFonts w:ascii="Times New Roman" w:hAnsi="Times New Roman" w:cs="Times New Roman"/>
          <w:color w:val="0070C0"/>
          <w:spacing w:val="0"/>
          <w:sz w:val="16"/>
          <w:szCs w:val="16"/>
        </w:rPr>
        <w:softHyphen/>
        <w:t>мом продержались в воздухе 70 ч 11 мин. При средней путевой скорости 150 км/ч, без учета ветра, это достижение соответ</w:t>
      </w:r>
      <w:r w:rsidRPr="00142305">
        <w:rPr>
          <w:rStyle w:val="aff0"/>
          <w:rFonts w:ascii="Times New Roman" w:hAnsi="Times New Roman" w:cs="Times New Roman"/>
          <w:color w:val="0070C0"/>
          <w:spacing w:val="0"/>
          <w:sz w:val="16"/>
          <w:szCs w:val="16"/>
        </w:rPr>
        <w:softHyphen/>
        <w:t>ствовало дальности 10 500 км. Достигнутый результат позволял надеяться на установление полноценного рекорда дальности при полете по прямой (25675).</w:t>
      </w:r>
    </w:p>
    <w:p w14:paraId="59FD3A3C" w14:textId="77777777" w:rsidR="00EA6158" w:rsidRPr="00142305" w:rsidRDefault="00EA6158" w:rsidP="00EA6158">
      <w:pPr>
        <w:spacing w:after="0" w:line="240" w:lineRule="auto"/>
        <w:jc w:val="both"/>
        <w:rPr>
          <w:rFonts w:ascii="Times New Roman" w:hAnsi="Times New Roman"/>
          <w:color w:val="0070C0"/>
          <w:sz w:val="16"/>
          <w:szCs w:val="16"/>
        </w:rPr>
      </w:pPr>
    </w:p>
    <w:p w14:paraId="182732CA" w14:textId="77777777" w:rsidR="00EA6158" w:rsidRPr="005E779E" w:rsidRDefault="00EA6158" w:rsidP="00EA6158">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32D42BED" w14:textId="77777777" w:rsidR="00EA6158" w:rsidRPr="005E779E" w:rsidRDefault="00EA6158" w:rsidP="00EA6158">
      <w:pPr>
        <w:autoSpaceDE w:val="0"/>
        <w:autoSpaceDN w:val="0"/>
        <w:adjustRightInd w:val="0"/>
        <w:spacing w:after="0" w:line="240" w:lineRule="auto"/>
        <w:jc w:val="both"/>
        <w:rPr>
          <w:rFonts w:ascii="Times New Roman" w:hAnsi="Times New Roman"/>
          <w:iCs/>
          <w:color w:val="000000" w:themeColor="text1"/>
          <w:sz w:val="16"/>
          <w:szCs w:val="16"/>
        </w:rPr>
      </w:pPr>
    </w:p>
    <w:p w14:paraId="15B5FD67" w14:textId="77777777" w:rsidR="00EA6158" w:rsidRPr="00142305" w:rsidRDefault="00EA6158" w:rsidP="00EA615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первых числах июня 1931 г. три Дыренкова (Д-10, Д-11 и Д-15) на Научно-испытательном бронетанковом полигоне УММ (ст. Кубинка) выполнила пробег протяженностью 95 км по шоссе, грунтовым дорогам и бездорожью. Средняя скорость на маршруте с различными препятствиями составила 4-6 км/ч. После пробега танки получили замечания.</w:t>
      </w:r>
    </w:p>
    <w:p w14:paraId="01C72081" w14:textId="77777777" w:rsidR="00EA6158" w:rsidRPr="00142305" w:rsidRDefault="00EA6158" w:rsidP="00EA615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Все три опытных танка пришлось поставить на ремонт. УММ рекомендовало восстановить технику, доработать ее и вновь проверить на трассе. Впрочем, этого так и не произошло. Бронемашины Д-10, Д-11 и Д-14 некоторое время простаивали без дела, а затем армия решила их списать и разобрать (25586).</w:t>
      </w:r>
    </w:p>
    <w:p w14:paraId="4F369E4C" w14:textId="77777777" w:rsidR="00EA6158" w:rsidRPr="00142305" w:rsidRDefault="00EA6158" w:rsidP="00EA6158">
      <w:pPr>
        <w:spacing w:after="0" w:line="240" w:lineRule="auto"/>
        <w:jc w:val="both"/>
        <w:rPr>
          <w:rFonts w:ascii="Times New Roman" w:hAnsi="Times New Roman"/>
          <w:color w:val="0070C0"/>
          <w:sz w:val="16"/>
          <w:szCs w:val="16"/>
        </w:rPr>
      </w:pPr>
    </w:p>
    <w:p w14:paraId="5C084CD1"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4577D494"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12305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июня 1931 Ибрагим-бек прорвался в Узбекистан, но в его распоряжении оставалось всего 350 всадников. Но и они постепенно рассеялись. 23 июня Ибрагим вышел к реке Кафирниган всего с двумя джигитами и пытался переправиться на другой берег, однако местные жители, прельщенные объявленной за его голову наградой, донесли об этом командиру местного добровольческого отряда. С курбаши было покончено. К концу июня около 1550 басмачей было убито, около 2000 взяли в плен. В связи с выполнением задачи Таджикскую группу войск расформировали (11985).</w:t>
      </w:r>
    </w:p>
    <w:p w14:paraId="57A0D5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01AD51A"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306E1DD0"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B7A86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июня 1931 года был испытан «Repulsor-3». «Repulsor-3» была построена всего за несколько дней и отличалась от предыдущих лучшими характеристиками. Два топливных бака помещались теперь на расстоянии около 10 см друг от друга и крепились двумя рядами алюминиевых скоб, выступавших на 2,5 см с каждой стороны и входивших в U-образные пазы деревянной пусковой направляющей. Донные скобы несли контейнер с парашютом. Коробка контейнера имела легко снимающуюся крышку с отверстием в центре, через которое пропускалась основная стропа парашюта, – благодаря этому в момент выбрасывания парашюта из контейнера крышка его не терялась. Выбрасывание осуществлялось толстым пробковым диском с помощью небольшого заряда обычного пороха, который воспламенялся часовым механизмом. Этот механизм включался автоматически при взлете ракеты и устанавливался на такое время, которое соответствовало достижению ракетой максимальной высоты.</w:t>
      </w:r>
    </w:p>
    <w:p w14:paraId="768524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Поднимаясь почти вертикально, ракета быстро достигла высоты в 450 м. В это время по неизвестной причине сработал часовой механизм выбрасывания парашюта. Парашют раскрылся, но ракета продолжала быстро набирать высоту. Парашют был разорван в клочья, а ракета поднялась еще на 180 м, но теперь уже под углом около 60°. Описав огромную дугу, ракета приземлилась за пределами «Ракетенфлюгплатц» в той же группе деревьев, где нашел свой конец «Repulsor-2».</w:t>
      </w:r>
    </w:p>
    <w:p w14:paraId="6CE18E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течение следующего месяца были запущены еще три ракеты той же модели. Все они очень хорошо взлетали, хотя недоразумения с парашютом по-прежнему имели место (11688).</w:t>
      </w:r>
    </w:p>
    <w:p w14:paraId="241E46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877B49F"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63590409"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8FCCA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июня 1931 членам Правительства были продемонстрированы возможности танка Кристи по преодолению препятствий. На колесном ходы преодолели 5 рядов проволочных заграждений и 2 м ров. На гусеницах все возможности не демонстрировались из-за поломки ленивца. Экипаж за 44 минуты поставил гусеницы и после 10 минутного перерыва за 35 мин. Снял их и уложил на надгусеничные полки (3879,7).</w:t>
      </w:r>
    </w:p>
    <w:p w14:paraId="44DF32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1A42EE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июня 1931 танк Кристи демонстрировался членам правительства, но так как ремонт его ходовой части произведен не был, показ состоялся по сокращенной программе (10733,197).</w:t>
      </w:r>
    </w:p>
    <w:p w14:paraId="52A85DA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1D0A83" w14:textId="77777777" w:rsidR="001A7FA6" w:rsidRPr="005E779E" w:rsidRDefault="001A7FA6"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lastRenderedPageBreak/>
        <w:t xml:space="preserve">7 июня 1931 </w:t>
      </w:r>
      <w:r w:rsidRPr="005E779E">
        <w:rPr>
          <w:rFonts w:ascii="Times New Roman" w:hAnsi="Times New Roman"/>
          <w:color w:val="000000" w:themeColor="text1"/>
          <w:sz w:val="16"/>
          <w:szCs w:val="16"/>
        </w:rPr>
        <w:t>Политбюро ЦК ВКП (б) обязало В. В. Куйбышева представить проект основных установок по второму пятилетнему плану к 20 июня (12265).</w:t>
      </w:r>
    </w:p>
    <w:p w14:paraId="15290455" w14:textId="77777777" w:rsidR="001A7FA6" w:rsidRPr="005E779E" w:rsidRDefault="001A7F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6197E1F5"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1AC44CDF"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7C5CA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Утром 7 июня 1931 г. после тяжелого 38-ми секундного разбега длиной 1700 метров летчик Марсель Дорэ поднял в воздух 10-тонный D.33- 01. В период 7-10 июня Дорэ и Ле Бри в полете по кругу над аэродромом продержались в воздухе 70 часов 11 минут. При средней путевой скорости 150 км/ч, без учета ветра, это достижение соответствовало дальности 10500 км. Достигнутый результат позволял надеяться на установление полноценного рекорда дальности при полете по прямой.</w:t>
      </w:r>
    </w:p>
    <w:p w14:paraId="7A02C2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рассвете 11 июля (в 4 часа 30 минут) 1931 г. серебристый красавец D.33-01, несший на борту надпись "LE TRAIT D'UNION", стартовал с аэродрома Ля Бурже под Парижем в направлении на восток. Конечной целью задуманной акции являлась японская столица Токио. Поначалу события развивались в соответствии с графиком перелета. После того, как значительная часть пути была пройдена, в ночь с 12 на 13 июля, на удалении 6200 км от места старта французов подвела несовершенная система бензопитания, и двигатель самолета остановился. В полной темноте над глухой сибирской тайгой в районе станции Шеборта Омской железной дороги в воздухе повисли два парашюта. Летчик Ле Бри и механик Месмин покинули самолет, третий член экипажа - Марсель Доре - попытался спасти машину и совершил вынужденную посадку на лесной поляне. Сам пилот уцелел, однако "Девуатин" оказался основательно поврежден. В тот же день шокированные, но не сломленные авиаторы на мотодрезине были доставлены в Нижне-Удинск, после чего отправились на свою родину за новым самолетом. Девуатин D.33 имел цельнометаллическую конструкцию. Одно- лонжеронное крыло, с относительной толщиной в корне 17,5% и удлинением 10, отличалось высокими аэродинамическими характеристиками. Топливные баки общей емкостью 8000 литров располагались в средней части крыла симметрично по обе стороны лонжерона, причем передние баки являлись частью конструкции. Элероны были сбалансированы в весовом отношении. Это обстоятельство, наряду с однолонжеронной конструкцией крыла, позволяло считать самолет вполне безопасным с точки зрения вибраций. Фюзеляж состоял из четырех продольных лонжеронов, набора силовых шпангоутов, подкрепляющих стрингеров и промежуточных шпангоутов, поддерживающих гладкую дюралевую обшивку. Двигатель "Испа- но-Сюиза" 12 Nbr мощностью 650 л. е., поначалу был снабжен двухлопастным воздушным винтом, который затем заменили более эффективным трехлопастным винтом. Радиатор охлаждения мотора выдвигаемый в полете. Шасси пирамидальное, неубираемое, с масляно-пневматической амортизацией, колеса заключены в обтекатели. Девуатин D.33 построили в двух экземплярах, его доводили с целью получения наибольших значений дальности полета. Начиная с декабря 1930-го и вплоть до середины 1931-го, машина поэтапно совершенствовалась (11941).</w:t>
      </w:r>
    </w:p>
    <w:p w14:paraId="56FB6E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ТАКТИКО-ТЕХНИЧЕСКИЕ ХАРАКТЕРИСТИКИ ЕВРОПЕЙСКИХ САМОЛЕТОВ ДЛЯ ДАЛЬНИХ ПЕРЕЛЕТОВ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45"/>
        <w:gridCol w:w="1145"/>
        <w:gridCol w:w="1145"/>
        <w:gridCol w:w="1145"/>
        <w:gridCol w:w="1145"/>
        <w:gridCol w:w="1145"/>
        <w:gridCol w:w="1145"/>
        <w:gridCol w:w="1145"/>
        <w:gridCol w:w="1145"/>
      </w:tblGrid>
      <w:tr w:rsidR="001002C3" w:rsidRPr="005E779E" w14:paraId="2949DF2D" w14:textId="77777777">
        <w:tc>
          <w:tcPr>
            <w:tcW w:w="1145" w:type="dxa"/>
            <w:tcBorders>
              <w:top w:val="single" w:sz="12" w:space="0" w:color="auto"/>
            </w:tcBorders>
          </w:tcPr>
          <w:p w14:paraId="06BED4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w:t>
            </w:r>
          </w:p>
        </w:tc>
        <w:tc>
          <w:tcPr>
            <w:tcW w:w="1145" w:type="dxa"/>
            <w:tcBorders>
              <w:top w:val="single" w:sz="12" w:space="0" w:color="auto"/>
            </w:tcBorders>
          </w:tcPr>
          <w:p w14:paraId="61E420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Двигатель(л.с.)</w:t>
            </w:r>
          </w:p>
        </w:tc>
        <w:tc>
          <w:tcPr>
            <w:tcW w:w="1145" w:type="dxa"/>
            <w:tcBorders>
              <w:top w:val="single" w:sz="12" w:space="0" w:color="auto"/>
            </w:tcBorders>
          </w:tcPr>
          <w:p w14:paraId="07AECA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Размах (м)</w:t>
            </w:r>
          </w:p>
        </w:tc>
        <w:tc>
          <w:tcPr>
            <w:tcW w:w="1145" w:type="dxa"/>
            <w:tcBorders>
              <w:top w:val="single" w:sz="12" w:space="0" w:color="auto"/>
            </w:tcBorders>
          </w:tcPr>
          <w:p w14:paraId="5790C0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Площадь крыла (мг)</w:t>
            </w:r>
          </w:p>
        </w:tc>
        <w:tc>
          <w:tcPr>
            <w:tcW w:w="1145" w:type="dxa"/>
            <w:tcBorders>
              <w:top w:val="single" w:sz="12" w:space="0" w:color="auto"/>
            </w:tcBorders>
          </w:tcPr>
          <w:p w14:paraId="672F25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Удлинение</w:t>
            </w:r>
          </w:p>
        </w:tc>
        <w:tc>
          <w:tcPr>
            <w:tcW w:w="1145" w:type="dxa"/>
            <w:tcBorders>
              <w:top w:val="single" w:sz="12" w:space="0" w:color="auto"/>
            </w:tcBorders>
          </w:tcPr>
          <w:p w14:paraId="16B577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пустого (кг)</w:t>
            </w:r>
          </w:p>
        </w:tc>
        <w:tc>
          <w:tcPr>
            <w:tcW w:w="1145" w:type="dxa"/>
            <w:tcBorders>
              <w:top w:val="single" w:sz="12" w:space="0" w:color="auto"/>
            </w:tcBorders>
          </w:tcPr>
          <w:p w14:paraId="4AC47B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Полетный вес (кг)</w:t>
            </w:r>
          </w:p>
        </w:tc>
        <w:tc>
          <w:tcPr>
            <w:tcW w:w="1145" w:type="dxa"/>
            <w:tcBorders>
              <w:top w:val="single" w:sz="12" w:space="0" w:color="auto"/>
            </w:tcBorders>
          </w:tcPr>
          <w:p w14:paraId="6EC2E7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Запас горючего (кг)</w:t>
            </w:r>
          </w:p>
        </w:tc>
        <w:tc>
          <w:tcPr>
            <w:tcW w:w="1145" w:type="dxa"/>
            <w:tcBorders>
              <w:top w:val="single" w:sz="12" w:space="0" w:color="auto"/>
            </w:tcBorders>
          </w:tcPr>
          <w:p w14:paraId="4632E3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Нагрузка на крыло (кг/м2)</w:t>
            </w:r>
          </w:p>
        </w:tc>
      </w:tr>
      <w:tr w:rsidR="001002C3" w:rsidRPr="005E779E" w14:paraId="24B40C33" w14:textId="77777777">
        <w:tc>
          <w:tcPr>
            <w:tcW w:w="1145" w:type="dxa"/>
          </w:tcPr>
          <w:p w14:paraId="12037A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2A71AB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65BF6B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7B969A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5BA34F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23209E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357AEB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47ABA9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1F80A1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F0AD2C9" w14:textId="77777777">
        <w:tc>
          <w:tcPr>
            <w:tcW w:w="1145" w:type="dxa"/>
          </w:tcPr>
          <w:p w14:paraId="2A44B3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Фэйри LR</w:t>
            </w:r>
          </w:p>
        </w:tc>
        <w:tc>
          <w:tcPr>
            <w:tcW w:w="1145" w:type="dxa"/>
          </w:tcPr>
          <w:p w14:paraId="28ABFC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Нэпир XI (530)</w:t>
            </w:r>
          </w:p>
        </w:tc>
        <w:tc>
          <w:tcPr>
            <w:tcW w:w="1145" w:type="dxa"/>
          </w:tcPr>
          <w:p w14:paraId="69098D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25,0</w:t>
            </w:r>
          </w:p>
        </w:tc>
        <w:tc>
          <w:tcPr>
            <w:tcW w:w="1145" w:type="dxa"/>
          </w:tcPr>
          <w:p w14:paraId="2E7AF6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82,0</w:t>
            </w:r>
          </w:p>
        </w:tc>
        <w:tc>
          <w:tcPr>
            <w:tcW w:w="1145" w:type="dxa"/>
          </w:tcPr>
          <w:p w14:paraId="3E5375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7,6</w:t>
            </w:r>
          </w:p>
        </w:tc>
        <w:tc>
          <w:tcPr>
            <w:tcW w:w="1145" w:type="dxa"/>
          </w:tcPr>
          <w:p w14:paraId="22D607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145" w:type="dxa"/>
          </w:tcPr>
          <w:p w14:paraId="07E6AB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7800</w:t>
            </w:r>
          </w:p>
        </w:tc>
        <w:tc>
          <w:tcPr>
            <w:tcW w:w="1145" w:type="dxa"/>
          </w:tcPr>
          <w:p w14:paraId="3750DF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4500</w:t>
            </w:r>
          </w:p>
        </w:tc>
        <w:tc>
          <w:tcPr>
            <w:tcW w:w="1145" w:type="dxa"/>
          </w:tcPr>
          <w:p w14:paraId="34A954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95,0</w:t>
            </w:r>
          </w:p>
        </w:tc>
      </w:tr>
      <w:tr w:rsidR="001002C3" w:rsidRPr="005E779E" w14:paraId="0A714A94" w14:textId="77777777">
        <w:tc>
          <w:tcPr>
            <w:tcW w:w="1145" w:type="dxa"/>
          </w:tcPr>
          <w:p w14:paraId="3D4555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Савойя S-64</w:t>
            </w:r>
          </w:p>
        </w:tc>
        <w:tc>
          <w:tcPr>
            <w:tcW w:w="1145" w:type="dxa"/>
          </w:tcPr>
          <w:p w14:paraId="27E303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Фиат А-22Т (620)</w:t>
            </w:r>
          </w:p>
        </w:tc>
        <w:tc>
          <w:tcPr>
            <w:tcW w:w="1145" w:type="dxa"/>
          </w:tcPr>
          <w:p w14:paraId="4B19CE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21,5</w:t>
            </w:r>
          </w:p>
        </w:tc>
        <w:tc>
          <w:tcPr>
            <w:tcW w:w="1145" w:type="dxa"/>
          </w:tcPr>
          <w:p w14:paraId="38202B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w:t>
            </w:r>
          </w:p>
        </w:tc>
        <w:tc>
          <w:tcPr>
            <w:tcW w:w="1145" w:type="dxa"/>
          </w:tcPr>
          <w:p w14:paraId="453485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7,75</w:t>
            </w:r>
          </w:p>
        </w:tc>
        <w:tc>
          <w:tcPr>
            <w:tcW w:w="1145" w:type="dxa"/>
          </w:tcPr>
          <w:p w14:paraId="0AFA72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2670</w:t>
            </w:r>
          </w:p>
        </w:tc>
        <w:tc>
          <w:tcPr>
            <w:tcW w:w="1145" w:type="dxa"/>
          </w:tcPr>
          <w:p w14:paraId="451135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7200</w:t>
            </w:r>
          </w:p>
        </w:tc>
        <w:tc>
          <w:tcPr>
            <w:tcW w:w="1145" w:type="dxa"/>
          </w:tcPr>
          <w:p w14:paraId="40410B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4550</w:t>
            </w:r>
          </w:p>
        </w:tc>
        <w:tc>
          <w:tcPr>
            <w:tcW w:w="1145" w:type="dxa"/>
          </w:tcPr>
          <w:p w14:paraId="1A675D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120,0</w:t>
            </w:r>
          </w:p>
        </w:tc>
      </w:tr>
      <w:tr w:rsidR="001002C3" w:rsidRPr="005E779E" w14:paraId="3E0070C6" w14:textId="77777777">
        <w:tc>
          <w:tcPr>
            <w:tcW w:w="1145" w:type="dxa"/>
          </w:tcPr>
          <w:p w14:paraId="3746B9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Блерио-110</w:t>
            </w:r>
          </w:p>
        </w:tc>
        <w:tc>
          <w:tcPr>
            <w:tcW w:w="1145" w:type="dxa"/>
          </w:tcPr>
          <w:p w14:paraId="2F4A23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Испано 12МЬг (500)</w:t>
            </w:r>
          </w:p>
        </w:tc>
        <w:tc>
          <w:tcPr>
            <w:tcW w:w="1145" w:type="dxa"/>
          </w:tcPr>
          <w:p w14:paraId="4A4F42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26,5</w:t>
            </w:r>
          </w:p>
        </w:tc>
        <w:tc>
          <w:tcPr>
            <w:tcW w:w="1145" w:type="dxa"/>
          </w:tcPr>
          <w:p w14:paraId="5DBD11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81,0</w:t>
            </w:r>
          </w:p>
        </w:tc>
        <w:tc>
          <w:tcPr>
            <w:tcW w:w="1145" w:type="dxa"/>
          </w:tcPr>
          <w:p w14:paraId="395B1F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8,65</w:t>
            </w:r>
          </w:p>
        </w:tc>
        <w:tc>
          <w:tcPr>
            <w:tcW w:w="1145" w:type="dxa"/>
          </w:tcPr>
          <w:p w14:paraId="77DC86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2700</w:t>
            </w:r>
          </w:p>
        </w:tc>
        <w:tc>
          <w:tcPr>
            <w:tcW w:w="1145" w:type="dxa"/>
          </w:tcPr>
          <w:p w14:paraId="621FA5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8500</w:t>
            </w:r>
          </w:p>
        </w:tc>
        <w:tc>
          <w:tcPr>
            <w:tcW w:w="1145" w:type="dxa"/>
          </w:tcPr>
          <w:p w14:paraId="731830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5500</w:t>
            </w:r>
          </w:p>
        </w:tc>
        <w:tc>
          <w:tcPr>
            <w:tcW w:w="1145" w:type="dxa"/>
          </w:tcPr>
          <w:p w14:paraId="020612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104,5</w:t>
            </w:r>
          </w:p>
        </w:tc>
      </w:tr>
      <w:tr w:rsidR="001002C3" w:rsidRPr="005E779E" w14:paraId="1F60DCEC" w14:textId="77777777">
        <w:tc>
          <w:tcPr>
            <w:tcW w:w="1145" w:type="dxa"/>
          </w:tcPr>
          <w:p w14:paraId="31F31F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Девуатин D.33</w:t>
            </w:r>
          </w:p>
        </w:tc>
        <w:tc>
          <w:tcPr>
            <w:tcW w:w="1145" w:type="dxa"/>
          </w:tcPr>
          <w:p w14:paraId="570176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Испано 12Nb (650)</w:t>
            </w:r>
          </w:p>
        </w:tc>
        <w:tc>
          <w:tcPr>
            <w:tcW w:w="1145" w:type="dxa"/>
          </w:tcPr>
          <w:p w14:paraId="6E1F2C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28,0</w:t>
            </w:r>
          </w:p>
        </w:tc>
        <w:tc>
          <w:tcPr>
            <w:tcW w:w="1145" w:type="dxa"/>
          </w:tcPr>
          <w:p w14:paraId="3D04DF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78,0</w:t>
            </w:r>
          </w:p>
        </w:tc>
        <w:tc>
          <w:tcPr>
            <w:tcW w:w="1145" w:type="dxa"/>
          </w:tcPr>
          <w:p w14:paraId="7F0C6B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w:t>
            </w:r>
          </w:p>
        </w:tc>
        <w:tc>
          <w:tcPr>
            <w:tcW w:w="1145" w:type="dxa"/>
          </w:tcPr>
          <w:p w14:paraId="1A92C3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3100</w:t>
            </w:r>
          </w:p>
        </w:tc>
        <w:tc>
          <w:tcPr>
            <w:tcW w:w="1145" w:type="dxa"/>
          </w:tcPr>
          <w:p w14:paraId="0B657A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9200</w:t>
            </w:r>
          </w:p>
        </w:tc>
        <w:tc>
          <w:tcPr>
            <w:tcW w:w="1145" w:type="dxa"/>
          </w:tcPr>
          <w:p w14:paraId="4F0DDF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5600</w:t>
            </w:r>
          </w:p>
        </w:tc>
        <w:tc>
          <w:tcPr>
            <w:tcW w:w="1145" w:type="dxa"/>
          </w:tcPr>
          <w:p w14:paraId="623B7E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117,5</w:t>
            </w:r>
          </w:p>
        </w:tc>
      </w:tr>
      <w:tr w:rsidR="001002C3" w:rsidRPr="005E779E" w14:paraId="55EBBE47" w14:textId="77777777">
        <w:tc>
          <w:tcPr>
            <w:tcW w:w="1145" w:type="dxa"/>
            <w:tcBorders>
              <w:bottom w:val="single" w:sz="12" w:space="0" w:color="auto"/>
            </w:tcBorders>
          </w:tcPr>
          <w:p w14:paraId="620815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Бернар-80</w:t>
            </w:r>
          </w:p>
        </w:tc>
        <w:tc>
          <w:tcPr>
            <w:tcW w:w="1145" w:type="dxa"/>
            <w:tcBorders>
              <w:bottom w:val="single" w:sz="12" w:space="0" w:color="auto"/>
            </w:tcBorders>
          </w:tcPr>
          <w:p w14:paraId="6B38A7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Испано 12Nb (650)</w:t>
            </w:r>
          </w:p>
        </w:tc>
        <w:tc>
          <w:tcPr>
            <w:tcW w:w="1145" w:type="dxa"/>
            <w:tcBorders>
              <w:bottom w:val="single" w:sz="12" w:space="0" w:color="auto"/>
            </w:tcBorders>
          </w:tcPr>
          <w:p w14:paraId="778CE6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24,5</w:t>
            </w:r>
          </w:p>
        </w:tc>
        <w:tc>
          <w:tcPr>
            <w:tcW w:w="1145" w:type="dxa"/>
            <w:tcBorders>
              <w:bottom w:val="single" w:sz="12" w:space="0" w:color="auto"/>
            </w:tcBorders>
          </w:tcPr>
          <w:p w14:paraId="737020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70,0</w:t>
            </w:r>
          </w:p>
        </w:tc>
        <w:tc>
          <w:tcPr>
            <w:tcW w:w="1145" w:type="dxa"/>
            <w:tcBorders>
              <w:bottom w:val="single" w:sz="12" w:space="0" w:color="auto"/>
            </w:tcBorders>
          </w:tcPr>
          <w:p w14:paraId="2F9192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8,6</w:t>
            </w:r>
          </w:p>
        </w:tc>
        <w:tc>
          <w:tcPr>
            <w:tcW w:w="1145" w:type="dxa"/>
            <w:tcBorders>
              <w:bottom w:val="single" w:sz="12" w:space="0" w:color="auto"/>
            </w:tcBorders>
          </w:tcPr>
          <w:p w14:paraId="7EB80B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3100</w:t>
            </w:r>
          </w:p>
        </w:tc>
        <w:tc>
          <w:tcPr>
            <w:tcW w:w="1145" w:type="dxa"/>
            <w:tcBorders>
              <w:bottom w:val="single" w:sz="12" w:space="0" w:color="auto"/>
            </w:tcBorders>
          </w:tcPr>
          <w:p w14:paraId="75906F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8625</w:t>
            </w:r>
          </w:p>
        </w:tc>
        <w:tc>
          <w:tcPr>
            <w:tcW w:w="1145" w:type="dxa"/>
            <w:tcBorders>
              <w:bottom w:val="single" w:sz="12" w:space="0" w:color="auto"/>
            </w:tcBorders>
          </w:tcPr>
          <w:p w14:paraId="4104BD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145" w:type="dxa"/>
            <w:tcBorders>
              <w:bottom w:val="single" w:sz="12" w:space="0" w:color="auto"/>
            </w:tcBorders>
          </w:tcPr>
          <w:p w14:paraId="6DD66B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123,0</w:t>
            </w:r>
          </w:p>
        </w:tc>
      </w:tr>
    </w:tbl>
    <w:p w14:paraId="4FEF8C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Приведенные в таблице данные полетного веса и запаса горючего на самом деле имели разные значения. Так, при установлении мирового рекорда в 1933 г. полетный вес Блерио-110 указывался 9 тонн, а запас горючего составлял 6500 литров (11941).</w:t>
      </w:r>
    </w:p>
    <w:p w14:paraId="33DBA1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A7CDDFA" w14:textId="77777777" w:rsidR="00526EC0" w:rsidRPr="005E779E" w:rsidRDefault="00526EC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июня 1931 - Старт полета на рекорд дальности на замкнутом маршруте на самолете Dewoitine D-33. Джозеф Ле Бри и Марсель Доре пролетели 6444,9 миль (10370,6 км) в Истр, Франция. Посадка состоялась 10 июня (22468).</w:t>
      </w:r>
    </w:p>
    <w:p w14:paraId="635C8102" w14:textId="77777777" w:rsidR="00526EC0" w:rsidRPr="005E779E" w:rsidRDefault="00526EC0" w:rsidP="000B7A6C">
      <w:pPr>
        <w:spacing w:after="0" w:line="240" w:lineRule="auto"/>
        <w:jc w:val="both"/>
        <w:rPr>
          <w:rFonts w:ascii="Times New Roman" w:hAnsi="Times New Roman"/>
          <w:color w:val="000000" w:themeColor="text1"/>
          <w:sz w:val="16"/>
          <w:szCs w:val="16"/>
        </w:rPr>
      </w:pPr>
    </w:p>
    <w:p w14:paraId="0BBDD4D4"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0C9A747A"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076D259" w14:textId="77777777" w:rsidR="00E760AA" w:rsidRPr="005E779E" w:rsidRDefault="00E760A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июня 1931 г. начальник УММ РККА И.А. Халепский направил Народному комиссару по военным и морским делам и председателю Реввоенсовета СССР К.Е. Ворошилову письмо № 900541, в котором доложил о ходе работ по созданию танковых дизелей. В этом письме И.А. Халепский, в частности, отметил:</w:t>
      </w:r>
    </w:p>
    <w:p w14:paraId="1970A63B" w14:textId="77777777" w:rsidR="00E760AA" w:rsidRPr="005E779E" w:rsidRDefault="00E760A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сегодняшний день положение дел следующее:</w:t>
      </w:r>
    </w:p>
    <w:p w14:paraId="11A5EFB1" w14:textId="77777777" w:rsidR="00E760AA" w:rsidRPr="005E779E" w:rsidRDefault="00E760A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Научный Авто-Тракторный Институт разрабатывает по заданию УММ проект со сроком окончания разработки чертежей 15 сентября с.г. Основной расчет двигателя на прочность закончен и приступлено к разработке общего компоновочного проекта со сроком окончания в двадцатых числах июля. Работа выполняется специальным конструкторским бюро НАТИ в составе 9 человек, из которых 6 – квалифицированные инженеры.</w:t>
      </w:r>
    </w:p>
    <w:p w14:paraId="25E90D01" w14:textId="77777777" w:rsidR="00E760AA" w:rsidRPr="005E779E" w:rsidRDefault="00E760A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Ввиду особой сложности изготовления танкового дизель-мотора большой мощности и отсутствия подобного рода двигателей, удовлетворительно выполненных даже заграницей, а также отсутствия опыта по такого рода двигателям у наших инженеров, изготовление проекта этого мотора и создание опытного образца требует колоссального напряжения и наличия лучших работников знакомых с постройкой дизель-моторов.</w:t>
      </w:r>
    </w:p>
    <w:p w14:paraId="78A49F93" w14:textId="77777777" w:rsidR="00E760AA" w:rsidRPr="005E779E" w:rsidRDefault="00E760A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Однако до настоящего времени ВАТО не выделило предприятия, на котором должен изготавливаться опытный образец дизель-мотора, несмотря на неоднократные напоминания.</w:t>
      </w:r>
    </w:p>
    <w:p w14:paraId="5E8ABDCA" w14:textId="77777777" w:rsidR="00E760AA" w:rsidRPr="005E779E" w:rsidRDefault="00E760A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 сих пор не получены из-за границы образцы автомобильных дизель-моторов, без которых вести проектировку невозможно.</w:t>
      </w:r>
    </w:p>
    <w:p w14:paraId="0B9FE419" w14:textId="77777777" w:rsidR="00E760AA" w:rsidRPr="005E779E" w:rsidRDefault="00E760A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Параллельно с работой ВАТО по созданию мощного дизель-мотора ведется проектирование танкового дизель-мотора мощностью 400 л.с. специальным конструкторским бюро ОГПУ».</w:t>
      </w:r>
    </w:p>
    <w:p w14:paraId="0FFE5446" w14:textId="77777777" w:rsidR="00E760AA" w:rsidRPr="005E779E" w:rsidRDefault="00E760A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[РГВА. Ф. 31811. Оп. 3. Д. 14. Л. 1]</w:t>
      </w:r>
    </w:p>
    <w:p w14:paraId="2AF3B5F5" w14:textId="77777777" w:rsidR="00E760AA" w:rsidRPr="005E779E" w:rsidRDefault="00E760A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Данные сведения были сообщены К.Е. Ворошиловым председателю Комиссии обороны СССР В.М. Молотову (24856).</w:t>
      </w:r>
    </w:p>
    <w:p w14:paraId="62983824" w14:textId="77777777" w:rsidR="00E760AA" w:rsidRPr="005E779E" w:rsidRDefault="00E760AA" w:rsidP="000B7A6C">
      <w:pPr>
        <w:spacing w:after="0" w:line="240" w:lineRule="auto"/>
        <w:jc w:val="both"/>
        <w:rPr>
          <w:rFonts w:ascii="Times New Roman" w:hAnsi="Times New Roman"/>
          <w:color w:val="000000" w:themeColor="text1"/>
          <w:sz w:val="16"/>
          <w:szCs w:val="16"/>
        </w:rPr>
      </w:pPr>
    </w:p>
    <w:p w14:paraId="04AEA981" w14:textId="77777777" w:rsidR="00E760AA" w:rsidRPr="005E779E" w:rsidRDefault="00E760A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июня 1931 г.</w:t>
      </w:r>
    </w:p>
    <w:p w14:paraId="3BA966F9" w14:textId="77777777" w:rsidR="00E760AA" w:rsidRPr="005E779E" w:rsidRDefault="00E760A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РГВА Фонд 31811 Опись 3 Дело 14 лист 1 с об. </w:t>
      </w:r>
    </w:p>
    <w:p w14:paraId="6CE01F45" w14:textId="77777777" w:rsidR="00E760AA" w:rsidRPr="005E779E" w:rsidRDefault="00E760A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Сов.Секретно </w:t>
      </w:r>
    </w:p>
    <w:p w14:paraId="6D1C7879" w14:textId="77777777" w:rsidR="00E760AA" w:rsidRPr="005E779E" w:rsidRDefault="00E760A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Экз. № 1</w:t>
      </w:r>
    </w:p>
    <w:p w14:paraId="7846B510" w14:textId="77777777" w:rsidR="00E760AA" w:rsidRPr="005E779E" w:rsidRDefault="00E760A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8 июня 1931 г. </w:t>
      </w:r>
    </w:p>
    <w:p w14:paraId="4B9D116F" w14:textId="77777777" w:rsidR="00E760AA" w:rsidRPr="005E779E" w:rsidRDefault="00E760A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900541</w:t>
      </w:r>
    </w:p>
    <w:p w14:paraId="63B2BB72" w14:textId="77777777" w:rsidR="00E760AA" w:rsidRPr="005E779E" w:rsidRDefault="00E760A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НАРОДНОМУ КОМИССАРУ ПО ВОЕННЫМ И МОРСКИМ ДЕЛАМ И ПРЕДСЕДАТЕЛЮ РЕВОЛЮЦИОННОГО ВОЕННОГО СОВЕТА СССР тов. ВОРОШИЛОВУ</w:t>
      </w:r>
    </w:p>
    <w:p w14:paraId="5ACDE25F" w14:textId="77777777" w:rsidR="00E760AA" w:rsidRPr="005E779E" w:rsidRDefault="00E760A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Постановлением ПБ от 20 февраля 1931 г. было предложено ВСНХ, НКВМ и ОГПУ в течение 1931 г. создать образцы мощных дизельных моторов в 240 – 300 л.с. Во исполнение этого постановления МПС ВСНХ поручил ВАТО спроектировать и построить в соответствии с тактико-техническими требованиями, разработанными УММ РККА, опытный образец мощного дизель-мотора для танков в 300 л.с. со сроком изготовления проекта в августе, а опытного образца – в октябре с.г. </w:t>
      </w:r>
    </w:p>
    <w:p w14:paraId="27724E2D" w14:textId="77777777" w:rsidR="00E760AA" w:rsidRPr="005E779E" w:rsidRDefault="00E760A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На сегодняшний день положение дел следующее: </w:t>
      </w:r>
    </w:p>
    <w:p w14:paraId="672DCAE5" w14:textId="77777777" w:rsidR="00E760AA" w:rsidRPr="005E779E" w:rsidRDefault="00E760A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Научный Авто-Тракторный Институт разрабатывает по заданию УММ проект со сроком окончания разработки чертежей 15 сентября с.г. Основной расчет двигателя на прочность закончен и приступлено к разработке общего компоновочного проекта со сроком окончания в двадцатых числах июля. Работа выполняется специальным конструкторским бюро НАТИ в составе 9 человек, из которых 6 – квалифицированные инженеры. </w:t>
      </w:r>
    </w:p>
    <w:p w14:paraId="62CD9605" w14:textId="77777777" w:rsidR="00E760AA" w:rsidRPr="005E779E" w:rsidRDefault="00E760A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Ввиду особой сложности изготовления танкового дизель-мотора большой мощности и отсутствия подобного рода двигателей, удовлетворительно выполненных даже заграницей, а также отсутствия опыта по такого рода двигателям у наших инженеров, изготовление проекта этого мотора и создание опытного образца требует колоссального напряжения и наличия лучших работников знакомых с постройкой дизель-моторов. </w:t>
      </w:r>
    </w:p>
    <w:p w14:paraId="04012E10" w14:textId="77777777" w:rsidR="00E760AA" w:rsidRPr="005E779E" w:rsidRDefault="00E760A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Однако до настоящего времени ВАТО не выделило предприятия, на котором должен изготавливаться опытный образец дизель-мотора, несмотря на неоднократные напоминания. </w:t>
      </w:r>
    </w:p>
    <w:p w14:paraId="3C50D309" w14:textId="77777777" w:rsidR="00E760AA" w:rsidRPr="005E779E" w:rsidRDefault="00E760A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До сих пор не получены из-за границы образцы автомобильных дизель-моторов, без которых вести проектировку невозможно. </w:t>
      </w:r>
    </w:p>
    <w:p w14:paraId="03BCD518" w14:textId="77777777" w:rsidR="00E760AA" w:rsidRPr="005E779E" w:rsidRDefault="00E760A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 xml:space="preserve">Параллельно с работой ВАТО по созданию мощного дизель-мотора ведется проектирование танкового дизель-мотор мощностью 400 л.с. специальным конструкторским бюро ОГПУ. </w:t>
      </w:r>
    </w:p>
    <w:p w14:paraId="7E479E81" w14:textId="77777777" w:rsidR="00E760AA" w:rsidRPr="005E779E" w:rsidRDefault="00E760A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ВЫВОДЫ:</w:t>
      </w:r>
    </w:p>
    <w:p w14:paraId="1C98C230" w14:textId="77777777" w:rsidR="00E760AA" w:rsidRPr="005E779E" w:rsidRDefault="00E760A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 Лично полагаю, что в 1931 г. по всем этим работам видимо будут выполнены только чертежи, на основе которых можно выполнять образцы. </w:t>
      </w:r>
    </w:p>
    <w:p w14:paraId="2B5E60B7" w14:textId="77777777" w:rsidR="00E760AA" w:rsidRPr="005E779E" w:rsidRDefault="00E760A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 Необходимо полагаться не только на собственные конструкторские силы, но изыскать возможность получить конструкции извне, чего ВСНХ не делает. </w:t>
      </w:r>
    </w:p>
    <w:p w14:paraId="5EB10593" w14:textId="77777777" w:rsidR="00E760AA" w:rsidRPr="005E779E" w:rsidRDefault="00E760A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Решение этого вопроса необходимо заслушать ВСНХ в К.О. в порядке контроля.</w:t>
      </w:r>
    </w:p>
    <w:p w14:paraId="482FC1FA" w14:textId="77777777" w:rsidR="00E760AA" w:rsidRPr="005E779E" w:rsidRDefault="00E760A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НАЧАЛЬНИК УПРАВЛЕНИЯ ПО МЕХАНИЗАЦИИ И МОТОРИЗАЦИИ РККА </w:t>
      </w:r>
    </w:p>
    <w:p w14:paraId="6B316B09" w14:textId="77777777" w:rsidR="00E760AA" w:rsidRPr="005E779E" w:rsidRDefault="00E760A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подпись (Халепский)</w:t>
      </w:r>
    </w:p>
    <w:p w14:paraId="61E42297" w14:textId="77777777" w:rsidR="00E760AA" w:rsidRPr="005E779E" w:rsidRDefault="00E760A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Отп. 2 экз. </w:t>
      </w:r>
    </w:p>
    <w:p w14:paraId="080FF178" w14:textId="77777777" w:rsidR="00E760AA" w:rsidRPr="005E779E" w:rsidRDefault="00E760A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Допечатано на машинке: «Резолюция Зампред и в контрольном листе: "К сведению. Дать заказ IV Упр-нию и ОГПУ на приобретение герм. и америк. чертежей. Тухачевский 14.VII.31 г." Верно: Ст. секретарь УММ» </w:t>
      </w:r>
    </w:p>
    <w:p w14:paraId="66AF50AC" w14:textId="77777777" w:rsidR="00E760AA" w:rsidRPr="005E779E" w:rsidRDefault="00E760A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На документе пометы: </w:t>
      </w:r>
    </w:p>
    <w:p w14:paraId="6EB6CCA5" w14:textId="77777777" w:rsidR="00E760AA" w:rsidRPr="005E779E" w:rsidRDefault="00E760A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«т. Халепскому. Для личного доклада Тухачевскому» </w:t>
      </w:r>
    </w:p>
    <w:p w14:paraId="75D5C0F0" w14:textId="77777777" w:rsidR="00E760AA" w:rsidRPr="005E779E" w:rsidRDefault="00E760A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«т. Лебедеву. В IV Управлении составьте задание на имя т. Березина, а ОГП на имя т. Мейсенга, так же включить в задание о 16 т танке Викерса. Прежде чем писать переговорите со мной. подпись И.А. Халепского 16.VII.31 г.» </w:t>
      </w:r>
    </w:p>
    <w:p w14:paraId="24579FB7" w14:textId="77777777" w:rsidR="00E760AA" w:rsidRPr="005E779E" w:rsidRDefault="00E760A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«Исполнено: 18.VII.31 г. подпись И.А. Лебедева» (24861).</w:t>
      </w:r>
    </w:p>
    <w:p w14:paraId="5096F1F1" w14:textId="77777777" w:rsidR="00E760AA" w:rsidRPr="005E779E" w:rsidRDefault="00E760AA" w:rsidP="000B7A6C">
      <w:pPr>
        <w:spacing w:after="0" w:line="240" w:lineRule="auto"/>
        <w:jc w:val="both"/>
        <w:rPr>
          <w:rFonts w:ascii="Times New Roman" w:hAnsi="Times New Roman"/>
          <w:color w:val="000000" w:themeColor="text1"/>
          <w:sz w:val="16"/>
          <w:szCs w:val="16"/>
        </w:rPr>
      </w:pPr>
    </w:p>
    <w:p w14:paraId="1C732D4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июня 1931 г., чтобы помочь заводу «Красный Октябрь», ВАТО разре</w:t>
      </w:r>
      <w:r w:rsidRPr="005E779E">
        <w:rPr>
          <w:rFonts w:ascii="Times New Roman" w:hAnsi="Times New Roman"/>
          <w:color w:val="000000" w:themeColor="text1"/>
          <w:sz w:val="16"/>
          <w:szCs w:val="16"/>
        </w:rPr>
        <w:softHyphen/>
        <w:t>шило АВТОДОРу сделать предоплату мотоциклов [4.48]. ВСНХ ещё раз заверил автодоровскую общественность в том, что «...к концу 1-й пятилетки у нас будет четыре завода, выпуска</w:t>
      </w:r>
      <w:r w:rsidRPr="005E779E">
        <w:rPr>
          <w:rFonts w:ascii="Times New Roman" w:hAnsi="Times New Roman"/>
          <w:color w:val="000000" w:themeColor="text1"/>
          <w:sz w:val="16"/>
          <w:szCs w:val="16"/>
        </w:rPr>
        <w:softHyphen/>
        <w:t>ющих мотоциклы», при этом А.П. Медведев официально сослал</w:t>
      </w:r>
      <w:r w:rsidRPr="005E779E">
        <w:rPr>
          <w:rFonts w:ascii="Times New Roman" w:hAnsi="Times New Roman"/>
          <w:color w:val="000000" w:themeColor="text1"/>
          <w:sz w:val="16"/>
          <w:szCs w:val="16"/>
        </w:rPr>
        <w:softHyphen/>
        <w:t>ся на якобы «неудачный опыт постройки Ижевским заводом пробных мотоциклов, которые в результате недостаточно умелого и вдумчивого отношения при проектировании затормозили развитие нашего мотоциклостроения...» [4.49]. Это обещание так и не выполнили, а высказывание о мотоциклах, сделанных в Ижевске, перечёркивало положительные отзывы о них А.П. Медведева [4.45]. И всё же, АВТОДОР сумел заключить и утвердить договор с заводом «Красный Октябрь» на поставку в 1932 г. 1000 мотоциклов Л-300, а в 1933 г. - 3 тыс. [4.50], а затем распределил ожидаемые мотоциклы между низовыми автодоров-скими организациями [4.51]. Казалось, договор удастся выпол</w:t>
      </w:r>
      <w:r w:rsidRPr="005E779E">
        <w:rPr>
          <w:rFonts w:ascii="Times New Roman" w:hAnsi="Times New Roman"/>
          <w:color w:val="000000" w:themeColor="text1"/>
          <w:sz w:val="16"/>
          <w:szCs w:val="16"/>
        </w:rPr>
        <w:softHyphen/>
        <w:t>нить, поскольку ВСНХ установил выпуск мотоциклов в СССР на 1932 г. в количестве 7 тыс. экземпляров [4.47]. Для выполнения этой задачи предлагалось включить в состав ВАТО мотозаводы страны «Красный Октябрь» и ХАЗ [4.52], на котором предпола</w:t>
      </w:r>
      <w:r w:rsidRPr="005E779E">
        <w:rPr>
          <w:rFonts w:ascii="Times New Roman" w:hAnsi="Times New Roman"/>
          <w:color w:val="000000" w:themeColor="text1"/>
          <w:sz w:val="16"/>
          <w:szCs w:val="16"/>
        </w:rPr>
        <w:softHyphen/>
        <w:t>галось освоить серийный выпуск мотоциклов. Важным итогом 1931 г. стало распоряжение НАТИ о проек</w:t>
      </w:r>
      <w:r w:rsidRPr="005E779E">
        <w:rPr>
          <w:rFonts w:ascii="Times New Roman" w:hAnsi="Times New Roman"/>
          <w:color w:val="000000" w:themeColor="text1"/>
          <w:sz w:val="16"/>
          <w:szCs w:val="16"/>
        </w:rPr>
        <w:softHyphen/>
        <w:t>тировании армейских мотоциклов, принятое на расширенном за</w:t>
      </w:r>
      <w:r w:rsidRPr="005E779E">
        <w:rPr>
          <w:rFonts w:ascii="Times New Roman" w:hAnsi="Times New Roman"/>
          <w:color w:val="000000" w:themeColor="text1"/>
          <w:sz w:val="16"/>
          <w:szCs w:val="16"/>
        </w:rPr>
        <w:softHyphen/>
        <w:t>седании ведомств и организаций, созванном 5 октября 1931 г. в Главмашпроме ВСНХ СССР [4.47]. Эту работу поручили П.В. Можарову [4.53] (11429).</w:t>
      </w:r>
    </w:p>
    <w:p w14:paraId="099D0F8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68945D"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6C109F15"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4B3C6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июня 1931 г. пл "Металлист", выполняя учебную торпедную ата</w:t>
      </w:r>
      <w:r w:rsidRPr="005E779E">
        <w:rPr>
          <w:rFonts w:ascii="Times New Roman" w:hAnsi="Times New Roman"/>
          <w:color w:val="000000" w:themeColor="text1"/>
          <w:sz w:val="16"/>
          <w:szCs w:val="16"/>
        </w:rPr>
        <w:softHyphen/>
        <w:t>ку эсминца "Фрунзе", неудачно маневрировал и, всплывая, попал под таран корабля-цели. С двумя затопленными носовыми отсека</w:t>
      </w:r>
      <w:r w:rsidRPr="005E779E">
        <w:rPr>
          <w:rFonts w:ascii="Times New Roman" w:hAnsi="Times New Roman"/>
          <w:color w:val="000000" w:themeColor="text1"/>
          <w:sz w:val="16"/>
          <w:szCs w:val="16"/>
        </w:rPr>
        <w:softHyphen/>
        <w:t>ми лодка легла на грунт на глубине 28 м. Судоподъемные работы с привлечением водолазов и плавучих кранов увенчались успехом через 42,5 ч после аварии. Однако спасти удалось только трех чело</w:t>
      </w:r>
      <w:r w:rsidRPr="005E779E">
        <w:rPr>
          <w:rFonts w:ascii="Times New Roman" w:hAnsi="Times New Roman"/>
          <w:color w:val="000000" w:themeColor="text1"/>
          <w:sz w:val="16"/>
          <w:szCs w:val="16"/>
        </w:rPr>
        <w:softHyphen/>
        <w:t>век из кормового отсека. Еще шестеро подводников всплыли с воз</w:t>
      </w:r>
      <w:r w:rsidRPr="005E779E">
        <w:rPr>
          <w:rFonts w:ascii="Times New Roman" w:hAnsi="Times New Roman"/>
          <w:color w:val="000000" w:themeColor="text1"/>
          <w:sz w:val="16"/>
          <w:szCs w:val="16"/>
        </w:rPr>
        <w:softHyphen/>
        <w:t>душным пузырем во время гибели лодки. Погибли 24 моряка вме</w:t>
      </w:r>
      <w:r w:rsidRPr="005E779E">
        <w:rPr>
          <w:rFonts w:ascii="Times New Roman" w:hAnsi="Times New Roman"/>
          <w:color w:val="000000" w:themeColor="text1"/>
          <w:sz w:val="16"/>
          <w:szCs w:val="16"/>
        </w:rPr>
        <w:softHyphen/>
        <w:t>сте с командиром.</w:t>
      </w:r>
    </w:p>
    <w:p w14:paraId="0FD940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Катастрофа "Металлиста" показала явно недостаточную опера</w:t>
      </w:r>
      <w:r w:rsidRPr="005E779E">
        <w:rPr>
          <w:rFonts w:ascii="Times New Roman" w:hAnsi="Times New Roman"/>
          <w:color w:val="000000" w:themeColor="text1"/>
          <w:sz w:val="16"/>
          <w:szCs w:val="16"/>
        </w:rPr>
        <w:softHyphen/>
        <w:t>тивность спасательной службы и пренебрежение командования ВМФ к снабжению лодок индивидуальными спасательными сред</w:t>
      </w:r>
      <w:r w:rsidRPr="005E779E">
        <w:rPr>
          <w:rFonts w:ascii="Times New Roman" w:hAnsi="Times New Roman"/>
          <w:color w:val="000000" w:themeColor="text1"/>
          <w:sz w:val="16"/>
          <w:szCs w:val="16"/>
        </w:rPr>
        <w:softHyphen/>
        <w:t>ствами. Сама лодка была вновь восстановлена и в 1932 г. введена в строй под названием А-5. Она отличилась в боевых походах в Ве</w:t>
      </w:r>
      <w:r w:rsidRPr="005E779E">
        <w:rPr>
          <w:rFonts w:ascii="Times New Roman" w:hAnsi="Times New Roman"/>
          <w:color w:val="000000" w:themeColor="text1"/>
          <w:sz w:val="16"/>
          <w:szCs w:val="16"/>
        </w:rPr>
        <w:softHyphen/>
        <w:t>ликую Отечественную войну и стала Краснознаменной (3898).</w:t>
      </w:r>
    </w:p>
    <w:p w14:paraId="1C7CDE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D7DBD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июня 1931 г., во время учебных торпедных стрельб, в результате неправильных действий командира подводной лодки типа АГ «Металлист» В. Бебешина, она была протаранена эсминцем "Фрунзе" и затонула на глубине 32 метра. С помощью четырех плавучих кранов эпроновцы подняли ее за 40 часов. Было спасено 9 человек. После восстановительного ремонта 1 января 1932 г. лодка вновь вошла в строй (11630).</w:t>
      </w:r>
    </w:p>
    <w:p w14:paraId="5BCFC7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D26983A"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5CAAD185"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034BD1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июня 1931 роялистский мэр Мадрида растерзан революционной толпой испанцев (4962).</w:t>
      </w:r>
    </w:p>
    <w:p w14:paraId="2247437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F529B1"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324D3AE0"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7D879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июня 1931 Крейсон дал данные на проектирование лыж для ТБ-5 (N 8), ДИ3 (N 5), ТШ2 (N 6), Р8 (N 12), ДИ5 (N 14), ФС (N 28), ФСМ (N 29), ПГР (N 27) (1041).</w:t>
      </w:r>
    </w:p>
    <w:p w14:paraId="26B8BF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888C9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(10 - 274) июня 1931 впервые в СССР женщина (Л.Кулешова) совершила прыжок с парашютом автоматического действия П.И.Гроховского с самолета ТБ-1 (237,161).</w:t>
      </w:r>
    </w:p>
    <w:p w14:paraId="52A7FB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другим данным первым прыгали П.И.Гроховский и Ефремов на ЦА и парашюты были хб, а Л.Кулешова еще с 10 мужчинами - уже после обеда (1101,93).</w:t>
      </w:r>
    </w:p>
    <w:p w14:paraId="116999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B25339A"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7D396AE4"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EC6A5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июня 1931 между Москвой и Ленинградом начала курсировать Красная стрела (3263,312).</w:t>
      </w:r>
    </w:p>
    <w:p w14:paraId="45D20A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5E0F081" w14:textId="77777777" w:rsidR="006E3AAB" w:rsidRPr="005E779E" w:rsidRDefault="006E3AAB"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9 июня</w:t>
      </w:r>
      <w:r w:rsidRPr="005E779E">
        <w:rPr>
          <w:rFonts w:ascii="Times New Roman" w:hAnsi="Times New Roman"/>
          <w:color w:val="000000" w:themeColor="text1"/>
          <w:sz w:val="16"/>
          <w:szCs w:val="16"/>
        </w:rPr>
        <w:t xml:space="preserve"> в 1931 году из Москвы в Ленинград по Октябрьской железной дороге отправился в рейс первый в стране фирменный поезд "Красная стрела". Также впервые в истории советских железных дорог в «Красной стреле» был запущен вагон СВ. Сегодня на этом поезде из Москвы в Санкт-Петербург можно доехать за восемь с половиной часов. Несмотря на то, что поезд сразу назвали «Красной стрелой», вначале вагоны поезда были синего цвета. Идея перекрасить их в красный пришла в голову одному из первых начальников «Стрелы» позже и была одобрена министром путей сообщения. Для создания вагона СВ четырехместные купе усовершенствовались работниками депо: верхние полки снимались и на их место вешались зеркала и красивые светильники. После начала войны регулярное движение поезда вынуждены были прервать. Произошло это 24 июня 1941 года. Для сохранения составов роскошного поезда, один из них поместили в «царский павильон» на Обводном канале, другой же, вместе с маленькими детьми, был эвакуирован на станцию Цирульск. За время своего существования «Красная стрела» не раз сокращала время нахождения в пути. Но даже в эпоху скоростного движения она преодолевает 650 километровый путь между двумя столицами за восемь с половиной часов. Вагоны подобного класса могут развивать скорость до 160 км/ч, но экспресс специально идет с замедлениями, чтобы пассажиры могли спокойно отдохнуть в пути. Одна из причин, за которую пассажиры любят этот поезд, - это неизменная пунктуальность (14917).</w:t>
      </w:r>
    </w:p>
    <w:p w14:paraId="41774CDF" w14:textId="77777777" w:rsidR="006E3AAB" w:rsidRPr="005E779E" w:rsidRDefault="006E3AAB" w:rsidP="000B7A6C">
      <w:pPr>
        <w:spacing w:after="0" w:line="240" w:lineRule="auto"/>
        <w:jc w:val="both"/>
        <w:rPr>
          <w:rFonts w:ascii="Times New Roman" w:hAnsi="Times New Roman"/>
          <w:color w:val="000000" w:themeColor="text1"/>
          <w:sz w:val="16"/>
          <w:szCs w:val="16"/>
        </w:rPr>
      </w:pPr>
    </w:p>
    <w:p w14:paraId="18CCCFD8" w14:textId="77777777" w:rsidR="00B03AC4" w:rsidRPr="005E779E" w:rsidRDefault="00B03AC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и 11 июня 1931 г. в той же «Экономической жизни» опубликовал свою статью Генде-Роте, опровергший тезисы Пузиса: «Скоростные средства сообщения без сомнения соответствуют духу социалистического строительства. […] Центр пролетарского государства обязан иметь быстрый и удобный городской транспорт». Бессмысленными являются утверждения, что Москва как столичный город не нуждается в промышленности: «До сих пор мы полагали, что политическое значение города зависит от величины армии труда и парторганизации». Сильно выросшее уличное движение в Москве является следствием прогресса социальной структуры и культурной жизни: «Старая недвижная купеческая Москва уступила место могучему пролетарскому центру»{326}.</w:t>
      </w:r>
    </w:p>
    <w:p w14:paraId="044E5A3A" w14:textId="77777777" w:rsidR="00B03AC4" w:rsidRPr="005E779E" w:rsidRDefault="00B03AC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Децентрализация же не ослабляет сообщения между районами города. Пузис обосновывает свое утверждение, что метрополитен устарел, одним лишь приростом числа автобусов в Лондоне. В Нью-Йорке же на долю метро приходится 54,4% всех пассажироперевозок, в Париже 43,3%, в Берлине 14,3% и дополнительно 23,2% по наземным городским железным дорогам. Если в Нью-Йорке метрополитен носит антисоциальный характер, то причина лежит в капиталистической системе. Буржуазная техника должна быть приспособлена к интересам социалистического строительства.</w:t>
      </w:r>
    </w:p>
    <w:p w14:paraId="4CE824DB" w14:textId="77777777" w:rsidR="00B03AC4" w:rsidRPr="005E779E" w:rsidRDefault="00B03AC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Необходимость строительства в Москве метрополитена очевидна. Сейчас должно быть подготовлено сооружение первой очереди с тем, чтобы сдать ее в эксплуатацию в 1934/35 г. Одновременно нужно начать продолжение пригородных железнодорожных линий к центру города{327}.Редакция газеты (и тем самым также Госплан) присоединилась к этой позиции, но полагала, что нужно взять решительный курс на прекращение нового промышленного строительства в Москве (18299).</w:t>
      </w:r>
    </w:p>
    <w:p w14:paraId="00DAD1D6" w14:textId="77777777" w:rsidR="00B03AC4" w:rsidRPr="005E779E" w:rsidRDefault="00B03AC4" w:rsidP="000B7A6C">
      <w:pPr>
        <w:spacing w:after="0" w:line="240" w:lineRule="auto"/>
        <w:jc w:val="both"/>
        <w:rPr>
          <w:rFonts w:ascii="Times New Roman" w:hAnsi="Times New Roman"/>
          <w:color w:val="000000" w:themeColor="text1"/>
          <w:sz w:val="16"/>
          <w:szCs w:val="16"/>
        </w:rPr>
      </w:pPr>
    </w:p>
    <w:p w14:paraId="65B09DE9" w14:textId="77777777" w:rsidR="001A7FA6" w:rsidRPr="005E779E" w:rsidRDefault="001A7FA6"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9 июня 1931 </w:t>
      </w:r>
      <w:r w:rsidRPr="005E779E">
        <w:rPr>
          <w:rFonts w:ascii="Times New Roman" w:hAnsi="Times New Roman"/>
          <w:color w:val="000000" w:themeColor="text1"/>
          <w:sz w:val="16"/>
          <w:szCs w:val="16"/>
        </w:rPr>
        <w:t>ЦИК и СНК приняли постановление «О втором выпуске государственного займа "Пятилетка в четыре года" (выпуск третьего решающего года пятилетки)» (12265).</w:t>
      </w:r>
    </w:p>
    <w:p w14:paraId="43A6E310" w14:textId="77777777" w:rsidR="001A7FA6" w:rsidRPr="005E779E" w:rsidRDefault="001A7F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СТО принял постановление «Об изменениях в системе финансирования капитального строительства промышленности» (12265).</w:t>
      </w:r>
    </w:p>
    <w:p w14:paraId="7461C5EF" w14:textId="77777777" w:rsidR="001A7FA6" w:rsidRPr="005E779E" w:rsidRDefault="001A7F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 </w:t>
      </w:r>
    </w:p>
    <w:p w14:paraId="65F35BF5"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441BA2D7"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342ED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июня 1931 Р.Годдард запатентовал самолет с реактивным двигателем (2100).</w:t>
      </w:r>
    </w:p>
    <w:p w14:paraId="69B011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28CA30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июня 1931 у берегов Китая затонула английская подлодка «Посейдон» (4962).</w:t>
      </w:r>
    </w:p>
    <w:p w14:paraId="08563CA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626E1E"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2E277AB9"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B9BCE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июня 1931 состоялось заседания рабочей п/комиссии:</w:t>
      </w:r>
    </w:p>
    <w:p w14:paraId="635075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Повестка дня:</w:t>
      </w:r>
    </w:p>
    <w:p w14:paraId="20C528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Опытное строительство.</w:t>
      </w:r>
    </w:p>
    <w:p w14:paraId="46A018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т.ч.: Проект предложений по плану опытного строительства и порядке внедрения опытных образцов в серийн. производство. (Докл. С.В.И. - НИИ). (3065,8-9).</w:t>
      </w:r>
    </w:p>
    <w:p w14:paraId="06C5BE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успешных гос. испытаний И-5 постановлением ЦИК от 11 июня 1931 репрессированные конструкторы были освобождены и перешли в ЦКБ ВАО (62,649).</w:t>
      </w:r>
    </w:p>
    <w:p w14:paraId="6B3569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Постановление Президиума и ЦИК, напечатанное в Правде:</w:t>
      </w:r>
    </w:p>
    <w:p w14:paraId="7B10F8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"...Амнистировать нижеследующих конструкторов - бывших вредителей, приговоренных коллегией ОГПУ к различным мерам социальной защиты с одновременным их награждением:</w:t>
      </w:r>
    </w:p>
    <w:p w14:paraId="550A06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ГК по опытному самолетостроению Д.П.Г., раскаявшегося в своих прежних поступках и годичной работой доказавшего на деле свое раскаяние - грамотой ЦИК и денежной наградой в 10 тыс. рублей.</w:t>
      </w:r>
    </w:p>
    <w:p w14:paraId="7CA985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Амнистировать...всех инженеров и техников, приговоренных ОГПУ к различным мерам социальной защиты за вредительство и ныне добровольно работающим в ЦКБ" "за исключительное увеличение темпов и сокращение сроков опытных самолетов, стоящих на уровне лучших заграничных образцов" (79,129).</w:t>
      </w:r>
    </w:p>
    <w:p w14:paraId="0E75F6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 это была как бы перековка. Как на канале.</w:t>
      </w:r>
    </w:p>
    <w:p w14:paraId="5E850D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Почему-то считается, что надо подчеркивать, что ничто не признавали и бумаг не подписывали и все отрицал (Д.П.Г. хвастал жене). Видно стыдно. Конечно же подписывали и раскаивались - ведь били и тех, кто не признавался - обычно до смерти.</w:t>
      </w:r>
    </w:p>
    <w:p w14:paraId="3150EE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Считается, что реабилитация была результатом многочисленных визитов правительства (Г.К.Орджоникидзе, А.А.Андреева, К.Е.Ворошилова, В.Р.Менжинского) и И.В.Сталина, которому демонстрировали новые типы самолетов (79,128).</w:t>
      </w:r>
    </w:p>
    <w:p w14:paraId="08D995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 П.И.Баранов пришел в авиапромышленность летом 1931 став начальником Всесоюзного авиационного объединения (ВАО) (24,50). П.И.Баранов сменил М.Н.Урываева (80,414). Руководителем ВВС стал Я.И.Алкснис - чл. ВКП(б) с 1916, закончивший академии в 1924 (66,158).</w:t>
      </w:r>
    </w:p>
    <w:p w14:paraId="1E4D72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Пономарев считает, что С.В.Ильюшин говорил П.И.Баранову о своем желании конструировать и строить самолеты еще до нового назначения П.И.Баранова и считает что П.И.Баранов любил С.В.Ильюшина.</w:t>
      </w:r>
    </w:p>
    <w:p w14:paraId="1C4039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 случайно, рапорт С.В.Ильюшина с просьбой о переводе в авиапромышленность был подан именно летом 1931 (24,51) и просьба была поддержана именно П.И.Барановым. С.В.Ильюшин был зачислен в резерв (37 лет).</w:t>
      </w:r>
    </w:p>
    <w:p w14:paraId="66F595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Видно, С.В.Ильюшин, потеряв союзника в ВВС, хотел иметь его в промышленности.</w:t>
      </w:r>
    </w:p>
    <w:p w14:paraId="76756C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 ясно, что стало причиной, а что следствием и добровольный ли это был переход П.И.Баранова. Кстати, такой интересный переход - от потребителя к производителю наверное был характерным для того времени и И.В.Сталин решил, что лучше всего разберется с промышленностью тот, кто был ее главным клиентом. А может быть были и какие-то провалы в ВВС.</w:t>
      </w:r>
    </w:p>
    <w:p w14:paraId="11D50C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Есть мнение, что И.В.С. снял П.И.Б. после показа техники и назначил Я.И.А. П.И.Б. спас Г.К.Орджоникидзе.</w:t>
      </w:r>
    </w:p>
    <w:p w14:paraId="353FAF00"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729586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10 июня 1931 через военную приемку прошли семь моторов М-17б. На М-17Б стали ставить отечественные карбюраторы и бензонасосы. Ранее их импортировали из Франции. Советский карбюратор К-17, соз</w:t>
      </w:r>
      <w:r w:rsidRPr="005E779E">
        <w:rPr>
          <w:rFonts w:ascii="Times New Roman" w:hAnsi="Times New Roman"/>
          <w:color w:val="000000" w:themeColor="text1"/>
          <w:sz w:val="16"/>
          <w:szCs w:val="16"/>
        </w:rPr>
        <w:softHyphen/>
        <w:t>данный на заводе № 24, впервые испытали на М-17 в апреле 1931 г. Серийные моторы в 1930 г. выпускались только со степенью сжатия 6,0. Первые опытные высотные М-17 со степенью сжатия 7,3 изготовили в ноябре 1930 г. Далее серии включали двигатели с обеими степенями сжатия в разном соотношении. Первой такой серией стала серия «3» в феврале 1931 г., в которую вошли 20 моторов М-17Е7,3. Позднее появи</w:t>
      </w:r>
      <w:r w:rsidRPr="005E779E">
        <w:rPr>
          <w:rFonts w:ascii="Times New Roman" w:hAnsi="Times New Roman"/>
          <w:color w:val="000000" w:themeColor="text1"/>
          <w:sz w:val="16"/>
          <w:szCs w:val="16"/>
        </w:rPr>
        <w:softHyphen/>
        <w:t>лись целые серии высотных двигателей. Например, все моторы, входив</w:t>
      </w:r>
      <w:r w:rsidRPr="005E779E">
        <w:rPr>
          <w:rFonts w:ascii="Times New Roman" w:hAnsi="Times New Roman"/>
          <w:color w:val="000000" w:themeColor="text1"/>
          <w:sz w:val="16"/>
          <w:szCs w:val="16"/>
        </w:rPr>
        <w:softHyphen/>
        <w:t>шие в серию «Л», имели степень сжатия 7,3. Практически с самого начала освоения производства М-17 формирова</w:t>
      </w:r>
      <w:r w:rsidRPr="005E779E">
        <w:rPr>
          <w:rFonts w:ascii="Times New Roman" w:hAnsi="Times New Roman"/>
          <w:color w:val="000000" w:themeColor="text1"/>
          <w:sz w:val="16"/>
          <w:szCs w:val="16"/>
        </w:rPr>
        <w:softHyphen/>
        <w:t>лись планы его последующей модернизации. При этом не только следова</w:t>
      </w:r>
      <w:r w:rsidRPr="005E779E">
        <w:rPr>
          <w:rFonts w:ascii="Times New Roman" w:hAnsi="Times New Roman"/>
          <w:color w:val="000000" w:themeColor="text1"/>
          <w:sz w:val="16"/>
          <w:szCs w:val="16"/>
        </w:rPr>
        <w:softHyphen/>
        <w:t>ли путями, уже проторенными немецкими конструкторами, но и пытались внести нечто свое. В частности, в план опытных работ, утвержденный Реввоенсоветом 1 октября 1930 г., вошел «М-17 с 4-х клапанной голов</w:t>
      </w:r>
      <w:r w:rsidRPr="005E779E">
        <w:rPr>
          <w:rFonts w:ascii="Times New Roman" w:hAnsi="Times New Roman"/>
          <w:color w:val="000000" w:themeColor="text1"/>
          <w:sz w:val="16"/>
          <w:szCs w:val="16"/>
        </w:rPr>
        <w:softHyphen/>
        <w:t>кой», который хотели выставить на госиспытания к 1 июня 1931 г. Никаких материалов об этой работе найти не удалось. Но в 1933-1934 гг. под руководством военпреда Рогова М-17 форсировали по оборотам до 800 л.с. Испытания усовершенствованного двигателя проходили в апреле 1934 г. Изготовили не менее трех экземпляров, один из которых установили на персональный Р-5 начальника ВВС Я.И. Алксниса. Однако на серийное производство эти работы, в сущности, не повлияли. Это было связано с появлением отечественного двигателя М-34, соз</w:t>
      </w:r>
      <w:r w:rsidRPr="005E779E">
        <w:rPr>
          <w:rFonts w:ascii="Times New Roman" w:hAnsi="Times New Roman"/>
          <w:color w:val="000000" w:themeColor="text1"/>
          <w:sz w:val="16"/>
          <w:szCs w:val="16"/>
        </w:rPr>
        <w:softHyphen/>
        <w:t>данного под руководством А.А. Микулина. Его специально делали, чтобы заменить М-17, под те же габариты и посадочные места. Этот мотор был, безусловно, перспективнее, чем устаревающий «БМВ» с его рубашками отдельных цилиндров. Внедрение М-34 в производство в 1933 г. сразу снизило интерес к созданию новых модификаций немецкого двигателя. Предполагалось, что мотор Микулина полностью вытеснит М-17 из за</w:t>
      </w:r>
      <w:r w:rsidRPr="005E779E">
        <w:rPr>
          <w:rFonts w:ascii="Times New Roman" w:hAnsi="Times New Roman"/>
          <w:color w:val="000000" w:themeColor="text1"/>
          <w:sz w:val="16"/>
          <w:szCs w:val="16"/>
        </w:rPr>
        <w:softHyphen/>
        <w:t>водских цехов. И действительно, выпуск М-17 рос до 1934 г., когда достигли пика — 5662 мотора в год. При этом завод № 26 тогда обеспечивал около полови</w:t>
      </w:r>
      <w:r w:rsidRPr="005E779E">
        <w:rPr>
          <w:rFonts w:ascii="Times New Roman" w:hAnsi="Times New Roman"/>
          <w:color w:val="000000" w:themeColor="text1"/>
          <w:sz w:val="16"/>
          <w:szCs w:val="16"/>
        </w:rPr>
        <w:softHyphen/>
        <w:t>ны всего производства авиадвигателей в стране. Далее же начался спад (11852).</w:t>
      </w:r>
    </w:p>
    <w:p w14:paraId="3830891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07D088" w14:textId="77777777" w:rsidR="006E3AAB" w:rsidRPr="005E779E" w:rsidRDefault="006E3AAB"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10 июня</w:t>
      </w:r>
      <w:r w:rsidRPr="005E779E">
        <w:rPr>
          <w:rFonts w:ascii="Times New Roman" w:hAnsi="Times New Roman"/>
          <w:color w:val="000000" w:themeColor="text1"/>
          <w:sz w:val="16"/>
          <w:szCs w:val="16"/>
        </w:rPr>
        <w:t xml:space="preserve"> в 1931 году на Центральном аэродроме имени М.В.Фрунзе в Москве Л.С.Кулешова совершила прыжок с тяжелого двухмоторного бомбардировщика «ТБ-1» с автоматически открывающимся парашютом ОКБ П.И.Гроховского (1931). Прыгала она из особой подкрыльной люльки для десантирования парашютистов (14918).</w:t>
      </w:r>
    </w:p>
    <w:p w14:paraId="7BD7CC71" w14:textId="77777777" w:rsidR="006E3AAB" w:rsidRPr="005E779E" w:rsidRDefault="006E3AAB" w:rsidP="000B7A6C">
      <w:pPr>
        <w:spacing w:after="0" w:line="240" w:lineRule="auto"/>
        <w:jc w:val="both"/>
        <w:rPr>
          <w:rFonts w:ascii="Times New Roman" w:hAnsi="Times New Roman"/>
          <w:color w:val="000000" w:themeColor="text1"/>
          <w:sz w:val="16"/>
          <w:szCs w:val="16"/>
        </w:rPr>
      </w:pPr>
    </w:p>
    <w:p w14:paraId="20CAFF7E" w14:textId="77777777" w:rsidR="00877950"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26B842BE" w14:textId="77777777" w:rsidR="00877950" w:rsidRPr="005E779E" w:rsidRDefault="00877950"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5E52ED2" w14:textId="77777777" w:rsidR="006E3AAB" w:rsidRPr="005E779E" w:rsidRDefault="006E3AAB" w:rsidP="000B7A6C">
      <w:pPr>
        <w:spacing w:after="0" w:line="240" w:lineRule="auto"/>
        <w:jc w:val="both"/>
        <w:rPr>
          <w:rStyle w:val="af0"/>
          <w:rFonts w:ascii="Times New Roman" w:hAnsi="Times New Roman"/>
          <w:i w:val="0"/>
          <w:color w:val="000000" w:themeColor="text1"/>
          <w:sz w:val="16"/>
          <w:szCs w:val="16"/>
        </w:rPr>
      </w:pPr>
      <w:r w:rsidRPr="005E779E">
        <w:rPr>
          <w:rFonts w:ascii="Times New Roman" w:hAnsi="Times New Roman"/>
          <w:color w:val="000000" w:themeColor="text1"/>
          <w:sz w:val="16"/>
          <w:szCs w:val="16"/>
        </w:rPr>
        <w:t>10 июня 1931 г. — Докладная записка заместителя начальника Сектора обороны Госплана СССР В. А. Колесинского в Комиссию В. М. Молотова о развитии орудийного производства</w:t>
      </w:r>
    </w:p>
    <w:p w14:paraId="4441DFD1" w14:textId="77777777" w:rsidR="001A7FA6" w:rsidRPr="005E779E" w:rsidRDefault="001A7FA6" w:rsidP="000B7A6C">
      <w:pPr>
        <w:spacing w:after="0" w:line="240" w:lineRule="auto"/>
        <w:jc w:val="both"/>
        <w:rPr>
          <w:rFonts w:ascii="Times New Roman" w:hAnsi="Times New Roman"/>
          <w:color w:val="000000" w:themeColor="text1"/>
          <w:sz w:val="16"/>
          <w:szCs w:val="16"/>
        </w:rPr>
      </w:pPr>
      <w:r w:rsidRPr="005E779E">
        <w:rPr>
          <w:rStyle w:val="af0"/>
          <w:rFonts w:ascii="Times New Roman" w:hAnsi="Times New Roman"/>
          <w:i w:val="0"/>
          <w:color w:val="000000" w:themeColor="text1"/>
          <w:sz w:val="16"/>
          <w:szCs w:val="16"/>
        </w:rPr>
        <w:t>Совершенно секретно.</w:t>
      </w:r>
    </w:p>
    <w:p w14:paraId="2E34313D" w14:textId="77777777" w:rsidR="001A7FA6" w:rsidRPr="005E779E" w:rsidRDefault="001A7FA6" w:rsidP="000B7A6C">
      <w:pPr>
        <w:pStyle w:val="rtejustify"/>
        <w:spacing w:before="0" w:after="0"/>
        <w:rPr>
          <w:color w:val="000000" w:themeColor="text1"/>
          <w:sz w:val="16"/>
          <w:szCs w:val="16"/>
        </w:rPr>
      </w:pPr>
      <w:r w:rsidRPr="005E779E">
        <w:rPr>
          <w:color w:val="000000" w:themeColor="text1"/>
          <w:sz w:val="16"/>
          <w:szCs w:val="16"/>
        </w:rPr>
        <w:t>1. Все наши орудийные заводы уже длинный ряд лет находятся в процессе капитального строительства. Это обстоятельство крайне затрудняет освоение производства, накопление производственного опыта и создание квалифицированных кадров на новых заводах («Новое Сормово», «Баррикады») и постановку на должную высоту производства на старых заводах (ММЗ, № 8, «Большевик»).</w:t>
      </w:r>
    </w:p>
    <w:p w14:paraId="2351C29C" w14:textId="77777777" w:rsidR="001A7FA6" w:rsidRPr="005E779E" w:rsidRDefault="001A7FA6" w:rsidP="000B7A6C">
      <w:pPr>
        <w:pStyle w:val="rtejustify"/>
        <w:spacing w:before="0" w:after="0"/>
        <w:rPr>
          <w:color w:val="000000" w:themeColor="text1"/>
          <w:sz w:val="16"/>
          <w:szCs w:val="16"/>
        </w:rPr>
      </w:pPr>
      <w:r w:rsidRPr="005E779E">
        <w:rPr>
          <w:color w:val="000000" w:themeColor="text1"/>
          <w:sz w:val="16"/>
          <w:szCs w:val="16"/>
        </w:rPr>
        <w:t>Вследствие перманентного строительства мы не имеем до сих пор надлежащей мобилизационной готовности заводов, так как строящиеся заводы не обладают способностью быстрого мобилизационного развертывания и необходимой слаженностью всех своих частей.</w:t>
      </w:r>
    </w:p>
    <w:p w14:paraId="12A39F29" w14:textId="77777777" w:rsidR="001A7FA6" w:rsidRPr="005E779E" w:rsidRDefault="001A7FA6" w:rsidP="000B7A6C">
      <w:pPr>
        <w:pStyle w:val="rtejustify"/>
        <w:spacing w:before="0" w:after="0"/>
        <w:rPr>
          <w:color w:val="000000" w:themeColor="text1"/>
          <w:sz w:val="16"/>
          <w:szCs w:val="16"/>
        </w:rPr>
      </w:pPr>
      <w:r w:rsidRPr="005E779E">
        <w:rPr>
          <w:color w:val="000000" w:themeColor="text1"/>
          <w:sz w:val="16"/>
          <w:szCs w:val="16"/>
        </w:rPr>
        <w:t>В силу этих причин первейшей необходимостью надо признать скорейшее окончание строительства существующих орудийных заводов. Необходимо предрешить, что не позднее середины 1932 г. строительство должно быть полностью закончено для того, чтобы мобилизационный план МВ</w:t>
      </w:r>
      <w:r w:rsidRPr="005E779E">
        <w:rPr>
          <w:color w:val="000000" w:themeColor="text1"/>
          <w:sz w:val="16"/>
          <w:szCs w:val="16"/>
        </w:rPr>
        <w:noBreakHyphen/>
        <w:t>10 базировался на законченных и нормально работающих заводах. Без этого мы не обеспечим ни мобилизационного плана, ни заказов НКВМ на 1932 г.</w:t>
      </w:r>
    </w:p>
    <w:p w14:paraId="2A1D9C1F" w14:textId="77777777" w:rsidR="001A7FA6" w:rsidRPr="005E779E" w:rsidRDefault="001A7FA6" w:rsidP="000B7A6C">
      <w:pPr>
        <w:pStyle w:val="rtejustify"/>
        <w:spacing w:before="0" w:after="0"/>
        <w:rPr>
          <w:color w:val="000000" w:themeColor="text1"/>
          <w:sz w:val="16"/>
          <w:szCs w:val="16"/>
        </w:rPr>
      </w:pPr>
      <w:r w:rsidRPr="005E779E">
        <w:rPr>
          <w:color w:val="000000" w:themeColor="text1"/>
          <w:sz w:val="16"/>
          <w:szCs w:val="16"/>
        </w:rPr>
        <w:t>2. Дальнейшее наращивание мощностей по орудийному производству должно пойти: а) по пути рационализации производственных процессов; б) постановки орудийного производства на гражданских машиностроительных заводах и в) кооперирования кадровых заводов с гражданскими. Основная и единственно правильная линия дальнейшего развития нашей производственной базы артиллерии лежит на пути широкого и экономически целесообразного использования гражданской промышленности для постановки в ней орудийного производства.</w:t>
      </w:r>
    </w:p>
    <w:p w14:paraId="4CFB1BE4" w14:textId="77777777" w:rsidR="001A7FA6" w:rsidRPr="005E779E" w:rsidRDefault="001A7FA6" w:rsidP="000B7A6C">
      <w:pPr>
        <w:pStyle w:val="rtejustify"/>
        <w:spacing w:before="0" w:after="0"/>
        <w:rPr>
          <w:color w:val="000000" w:themeColor="text1"/>
          <w:sz w:val="16"/>
          <w:szCs w:val="16"/>
        </w:rPr>
      </w:pPr>
      <w:r w:rsidRPr="005E779E">
        <w:rPr>
          <w:color w:val="000000" w:themeColor="text1"/>
          <w:sz w:val="16"/>
          <w:szCs w:val="16"/>
        </w:rPr>
        <w:t>Это использование гражданской промышленности или, иначе говоря, ассимиляция орудийного производства на гражданских предприятиях должна пойти по трем путям: во-первых, путем постановки на заводах тяжелого машиностроения производства целой системы орудия; во-вторых, путем постановки на металлургических и машиностроительных заводах производства полуфабрикатов, деталей и отдельных орудийных частей, не требующих особой точности обработки и специальной квалификации рабочих; в-третьих, путем использования гражданских предприятий для расширения нашей ремонтно-арсенальной базы.</w:t>
      </w:r>
    </w:p>
    <w:p w14:paraId="5869D05E" w14:textId="77777777" w:rsidR="001A7FA6" w:rsidRPr="005E779E" w:rsidRDefault="001A7FA6" w:rsidP="000B7A6C">
      <w:pPr>
        <w:pStyle w:val="rtejustify"/>
        <w:spacing w:before="0" w:after="0"/>
        <w:rPr>
          <w:color w:val="000000" w:themeColor="text1"/>
          <w:sz w:val="16"/>
          <w:szCs w:val="16"/>
        </w:rPr>
      </w:pPr>
      <w:r w:rsidRPr="005E779E">
        <w:rPr>
          <w:color w:val="000000" w:themeColor="text1"/>
          <w:sz w:val="16"/>
          <w:szCs w:val="16"/>
        </w:rPr>
        <w:t>Такое использование гражданской промышленности даст нам возможность уже в перспективе ближайших лет значительно расширить производственную базу артиллерии без вложения больших средств в специально военное строительство и без связанного с этим омертвления капитала. Преимущество этого метода состоит также в том, что мобилизация в случае войны гражданского предприятия, освоившего орудийное производство, не связана с большими трудностями укомплектования рабтехсилой, так как полнокровный и работающий с полной нагрузкой завод в основном будет обеспечен рабочей силой.</w:t>
      </w:r>
    </w:p>
    <w:p w14:paraId="6E6B9E7B" w14:textId="77777777" w:rsidR="001A7FA6" w:rsidRPr="005E779E" w:rsidRDefault="001A7FA6" w:rsidP="000B7A6C">
      <w:pPr>
        <w:pStyle w:val="rtejustify"/>
        <w:spacing w:before="0" w:after="0"/>
        <w:rPr>
          <w:color w:val="000000" w:themeColor="text1"/>
          <w:sz w:val="16"/>
          <w:szCs w:val="16"/>
        </w:rPr>
      </w:pPr>
      <w:r w:rsidRPr="005E779E">
        <w:rPr>
          <w:color w:val="000000" w:themeColor="text1"/>
          <w:sz w:val="16"/>
          <w:szCs w:val="16"/>
        </w:rPr>
        <w:t xml:space="preserve">3. В отношении кадровых орудийных заводов задача, как она поставлена в Комиссии обороны, сводится к тому, чтобы разгрузить Ленинград, сосредоточить орудийное дело на центральных и восточных базах и усилить эти базы техническими кадрами и квалифицированной рабочей силой за счет ленинградских заводов. Эта задача должна быть разрешена без ущерба для мобилизационной готовности по варианту № 10. Эту задачу я предлагаю решить в две очереди следующим образом: </w:t>
      </w:r>
      <w:r w:rsidRPr="005E779E">
        <w:rPr>
          <w:color w:val="000000" w:themeColor="text1"/>
          <w:sz w:val="16"/>
          <w:szCs w:val="16"/>
        </w:rPr>
        <w:lastRenderedPageBreak/>
        <w:t>1) полная разгрузка Ленинграда от орудийного производства, за исключением морской и береговой артиллерии, производится к весне 1933 г., так как проведение этой операции в более короткий срок повело бы к срыву мобилизационной программы 1932 г. по плану МВ</w:t>
      </w:r>
      <w:r w:rsidRPr="005E779E">
        <w:rPr>
          <w:color w:val="000000" w:themeColor="text1"/>
          <w:sz w:val="16"/>
          <w:szCs w:val="16"/>
        </w:rPr>
        <w:noBreakHyphen/>
        <w:t>10. К этому же времени (т. е. в 1933 г.) в Ленинграде сохраняется орудийное производство только на заводе «Большевик» по морской и береговой артиллерии; 2) в течение 1931 г. и первой половины 1932 г. полностью заканчивается реконструкция центральных и восточных орудийных заводов со следующей специализацией: Пермский завод (ММЗ) — полевая гаубичная артиллерия (122</w:t>
      </w:r>
      <w:r w:rsidRPr="005E779E">
        <w:rPr>
          <w:color w:val="000000" w:themeColor="text1"/>
          <w:sz w:val="16"/>
          <w:szCs w:val="16"/>
        </w:rPr>
        <w:noBreakHyphen/>
        <w:t>мм и 152</w:t>
      </w:r>
      <w:r w:rsidRPr="005E779E">
        <w:rPr>
          <w:color w:val="000000" w:themeColor="text1"/>
          <w:sz w:val="16"/>
          <w:szCs w:val="16"/>
        </w:rPr>
        <w:noBreakHyphen/>
        <w:t>мм). Снаряды и танки должны быть сняты и переданы на другие заводы; «Новое Сормово» — 76</w:t>
      </w:r>
      <w:r w:rsidRPr="005E779E">
        <w:rPr>
          <w:color w:val="000000" w:themeColor="text1"/>
          <w:sz w:val="16"/>
          <w:szCs w:val="16"/>
        </w:rPr>
        <w:noBreakHyphen/>
        <w:t>мм пушка всех видов (дивизионная, полковая, горная, зенитная); Сталинградский завод «Баррикады» — корпусная пушка (107 мм и 122 мм) и крупная сухопутная артиллерия; Мытищинский завод № 8 — мелкокалиберная танковая и противотанковая артиллерия. Кроме того, на вновь строящемся Свердловском машиностроительном заводе ставится производство гаубичной артиллерии с тем, чтобы во время войны он был полностью переведен на это производство.</w:t>
      </w:r>
    </w:p>
    <w:p w14:paraId="31ABC9F3" w14:textId="77777777" w:rsidR="001A7FA6" w:rsidRPr="005E779E" w:rsidRDefault="001A7FA6" w:rsidP="000B7A6C">
      <w:pPr>
        <w:pStyle w:val="rtejustify"/>
        <w:spacing w:before="0" w:after="0"/>
        <w:rPr>
          <w:color w:val="000000" w:themeColor="text1"/>
          <w:sz w:val="16"/>
          <w:szCs w:val="16"/>
        </w:rPr>
      </w:pPr>
      <w:r w:rsidRPr="005E779E">
        <w:rPr>
          <w:color w:val="000000" w:themeColor="text1"/>
          <w:sz w:val="16"/>
          <w:szCs w:val="16"/>
        </w:rPr>
        <w:t>4¹*. Специализация и реконструкция кадровых орудийных заводов производится на основе разгрузки этих заводов от производства менее ответственных частей, различных полуфабрикатов и деталей и передачи этого производства на гражданские заводы, которые должны быть кооперированы с кадровыми заводами. Кадровые орудийные заводы сосредоточивают у себя производство наиболее ответственных агрегатов орудий и сборку их, осуществляя по отношению к кооперированным с ними гражданскими предприятиями технический инструктаж.</w:t>
      </w:r>
    </w:p>
    <w:p w14:paraId="266F2D18" w14:textId="77777777" w:rsidR="001A7FA6" w:rsidRPr="005E779E" w:rsidRDefault="001A7FA6" w:rsidP="000B7A6C">
      <w:pPr>
        <w:pStyle w:val="rtejustify"/>
        <w:spacing w:before="0" w:after="0"/>
        <w:rPr>
          <w:color w:val="000000" w:themeColor="text1"/>
          <w:sz w:val="16"/>
          <w:szCs w:val="16"/>
        </w:rPr>
      </w:pPr>
      <w:r w:rsidRPr="005E779E">
        <w:rPr>
          <w:color w:val="000000" w:themeColor="text1"/>
          <w:sz w:val="16"/>
          <w:szCs w:val="16"/>
        </w:rPr>
        <w:t>Такая организация производства даст возможность без большого дополнительного расширения кадровых заводов значительно повысить их мощности и облегчит использование во время войны гражданской промышленности.</w:t>
      </w:r>
    </w:p>
    <w:p w14:paraId="1221C5F1" w14:textId="77777777" w:rsidR="001A7FA6" w:rsidRPr="005E779E" w:rsidRDefault="001A7FA6" w:rsidP="000B7A6C">
      <w:pPr>
        <w:pStyle w:val="rtejustify"/>
        <w:spacing w:before="0" w:after="0"/>
        <w:rPr>
          <w:color w:val="000000" w:themeColor="text1"/>
          <w:sz w:val="16"/>
          <w:szCs w:val="16"/>
        </w:rPr>
      </w:pPr>
      <w:r w:rsidRPr="005E779E">
        <w:rPr>
          <w:color w:val="000000" w:themeColor="text1"/>
          <w:sz w:val="16"/>
          <w:szCs w:val="16"/>
        </w:rPr>
        <w:t>Необходимо обязать ВСНХ в контрольных цифрах на 1932 г. детально разработать план кооперирования заводов по орудийному производству.</w:t>
      </w:r>
    </w:p>
    <w:p w14:paraId="34B36852" w14:textId="77777777" w:rsidR="001A7FA6" w:rsidRPr="005E779E" w:rsidRDefault="001A7FA6" w:rsidP="000B7A6C">
      <w:pPr>
        <w:pStyle w:val="rtejustify"/>
        <w:spacing w:before="0" w:after="0"/>
        <w:rPr>
          <w:color w:val="000000" w:themeColor="text1"/>
          <w:sz w:val="16"/>
          <w:szCs w:val="16"/>
        </w:rPr>
      </w:pPr>
      <w:r w:rsidRPr="005E779E">
        <w:rPr>
          <w:color w:val="000000" w:themeColor="text1"/>
          <w:sz w:val="16"/>
          <w:szCs w:val="16"/>
        </w:rPr>
        <w:t>5. К середине 1932 г. разгрузка ленинградских заводов проводится в следующих пределах: а) с «Красного Путиловца» снимается мобилизационное задание на 152</w:t>
      </w:r>
      <w:r w:rsidRPr="005E779E">
        <w:rPr>
          <w:color w:val="000000" w:themeColor="text1"/>
          <w:sz w:val="16"/>
          <w:szCs w:val="16"/>
        </w:rPr>
        <w:noBreakHyphen/>
        <w:t>мм и 203</w:t>
      </w:r>
      <w:r w:rsidRPr="005E779E">
        <w:rPr>
          <w:color w:val="000000" w:themeColor="text1"/>
          <w:sz w:val="16"/>
          <w:szCs w:val="16"/>
        </w:rPr>
        <w:noBreakHyphen/>
        <w:t>мм пушки с передачей их на «Баррикады» и на 45</w:t>
      </w:r>
      <w:r w:rsidRPr="005E779E">
        <w:rPr>
          <w:color w:val="000000" w:themeColor="text1"/>
          <w:sz w:val="16"/>
          <w:szCs w:val="16"/>
        </w:rPr>
        <w:noBreakHyphen/>
        <w:t>мм батальонную пушку с передачей ее на завод № 8. Задание по 76</w:t>
      </w:r>
      <w:r w:rsidRPr="005E779E">
        <w:rPr>
          <w:color w:val="000000" w:themeColor="text1"/>
          <w:sz w:val="16"/>
          <w:szCs w:val="16"/>
        </w:rPr>
        <w:noBreakHyphen/>
        <w:t>мм пушке сохраняется до 1933 г., когда она передается на «Новое Сормово»; б) с «Большевика» снимается задание по 107</w:t>
      </w:r>
      <w:r w:rsidRPr="005E779E">
        <w:rPr>
          <w:color w:val="000000" w:themeColor="text1"/>
          <w:sz w:val="16"/>
          <w:szCs w:val="16"/>
        </w:rPr>
        <w:noBreakHyphen/>
        <w:t>мм корпусной пушке с передачей этого задания на «Баррикады». Задания по тяжелым гаубицам (203 мм, 280 мм и 305 мм) до 1933 г. сохраняются, когда они тоже переносятся на «Баррикады»; в) с завода № 7 (арсенал) задание на танковую артиллерию полностью снимается к весне 1933 г. Снять его целиком с мобилизационного задания 1932 г. невозможно без ущерба для программы по варианту 10. Необходимо поэтому разгрузить этот завод в две очереди — наполовину к 1932 г. и полностью к 1933 г. Снимаемое с Ленинградского арсенала задание желательно полностью передать на завод № 8. Если это невозможно без ущерба для мобилизационной программы по варианту 10, то часть этого задания надо разместить на Брянском арсенале, расположенном в довольно глубоком тылу; г) в соответствии с намечаемой передачей на тыловые заводы заданий с ленинградских заводов необходимо к концу 1931 г. перевести часть рабтехсилы и заказанного для Ленинграда оборудования на усиление тыловых заводов, в первую очередь «Баррикады», «Новое Сормово» и завод № 8 в Мытищах. Переброску рабочих надо начать в 1931 г., так как без этой меры указанные заводы не сумеют овладеть производством даже в пределах заданий по МВ</w:t>
      </w:r>
      <w:r w:rsidRPr="005E779E">
        <w:rPr>
          <w:color w:val="000000" w:themeColor="text1"/>
          <w:sz w:val="16"/>
          <w:szCs w:val="16"/>
        </w:rPr>
        <w:noBreakHyphen/>
        <w:t>10.</w:t>
      </w:r>
    </w:p>
    <w:p w14:paraId="61B5ED5A" w14:textId="77777777" w:rsidR="001A7FA6" w:rsidRPr="005E779E" w:rsidRDefault="001A7FA6" w:rsidP="000B7A6C">
      <w:pPr>
        <w:pStyle w:val="rtejustify"/>
        <w:spacing w:before="0" w:after="0"/>
        <w:rPr>
          <w:color w:val="000000" w:themeColor="text1"/>
          <w:sz w:val="16"/>
          <w:szCs w:val="16"/>
        </w:rPr>
      </w:pPr>
      <w:r w:rsidRPr="005E779E">
        <w:rPr>
          <w:color w:val="000000" w:themeColor="text1"/>
          <w:sz w:val="16"/>
          <w:szCs w:val="16"/>
        </w:rPr>
        <w:t>Одновременно нужно увеличить ассигнования в 1931 г. на жилищное и культурно-бытовое строительство для этих заводов, чтобы обеспечить необходимое постоянство кадров рабтехсилы. Размер дополнительных ассигнований на эту цель в текущем году определить в сумме 15 млн. руб.</w:t>
      </w:r>
    </w:p>
    <w:p w14:paraId="1B5F6E30" w14:textId="77777777" w:rsidR="001A7FA6" w:rsidRPr="005E779E" w:rsidRDefault="001A7FA6" w:rsidP="000B7A6C">
      <w:pPr>
        <w:pStyle w:val="ae"/>
        <w:spacing w:before="0" w:after="0"/>
        <w:jc w:val="both"/>
        <w:rPr>
          <w:color w:val="000000" w:themeColor="text1"/>
          <w:sz w:val="16"/>
          <w:szCs w:val="16"/>
        </w:rPr>
      </w:pPr>
      <w:r w:rsidRPr="005E779E">
        <w:rPr>
          <w:rStyle w:val="af0"/>
          <w:i w:val="0"/>
          <w:color w:val="000000" w:themeColor="text1"/>
          <w:sz w:val="16"/>
          <w:szCs w:val="16"/>
        </w:rPr>
        <w:t xml:space="preserve">Зам. начальника Сектора обороны Госплана СССР </w:t>
      </w:r>
      <w:hyperlink r:id="rId134" w:history="1">
        <w:r w:rsidRPr="005E779E">
          <w:rPr>
            <w:rStyle w:val="af0"/>
            <w:i w:val="0"/>
            <w:color w:val="000000" w:themeColor="text1"/>
            <w:sz w:val="16"/>
            <w:szCs w:val="16"/>
          </w:rPr>
          <w:t>Колесинский</w:t>
        </w:r>
      </w:hyperlink>
    </w:p>
    <w:p w14:paraId="3712EEC5" w14:textId="77777777" w:rsidR="001A7FA6" w:rsidRPr="005E779E" w:rsidRDefault="001A7FA6" w:rsidP="000B7A6C">
      <w:pPr>
        <w:pStyle w:val="ae"/>
        <w:spacing w:before="0" w:after="0"/>
        <w:jc w:val="both"/>
        <w:rPr>
          <w:color w:val="000000" w:themeColor="text1"/>
          <w:sz w:val="16"/>
          <w:szCs w:val="16"/>
        </w:rPr>
      </w:pPr>
      <w:r w:rsidRPr="005E779E">
        <w:rPr>
          <w:rStyle w:val="af0"/>
          <w:i w:val="0"/>
          <w:color w:val="000000" w:themeColor="text1"/>
          <w:sz w:val="16"/>
          <w:szCs w:val="16"/>
        </w:rPr>
        <w:t>Примечание</w:t>
      </w:r>
      <w:r w:rsidRPr="005E779E">
        <w:rPr>
          <w:color w:val="000000" w:themeColor="text1"/>
          <w:sz w:val="16"/>
          <w:szCs w:val="16"/>
        </w:rPr>
        <w:t>:</w:t>
      </w:r>
    </w:p>
    <w:p w14:paraId="6C5ED268" w14:textId="77777777" w:rsidR="001A7FA6" w:rsidRPr="005E779E" w:rsidRDefault="001A7FA6" w:rsidP="000B7A6C">
      <w:pPr>
        <w:pStyle w:val="ae"/>
        <w:spacing w:before="0" w:after="0"/>
        <w:jc w:val="both"/>
        <w:rPr>
          <w:color w:val="000000" w:themeColor="text1"/>
          <w:sz w:val="16"/>
          <w:szCs w:val="16"/>
        </w:rPr>
      </w:pPr>
      <w:r w:rsidRPr="005E779E">
        <w:rPr>
          <w:color w:val="000000" w:themeColor="text1"/>
          <w:sz w:val="16"/>
          <w:szCs w:val="16"/>
          <w:vertAlign w:val="superscript"/>
        </w:rPr>
        <w:t>1</w:t>
      </w:r>
      <w:r w:rsidRPr="005E779E">
        <w:rPr>
          <w:color w:val="000000" w:themeColor="text1"/>
          <w:sz w:val="16"/>
          <w:szCs w:val="16"/>
        </w:rPr>
        <w:t>* В документе нумерация нарушена.</w:t>
      </w:r>
    </w:p>
    <w:p w14:paraId="0CBACDA1" w14:textId="77777777" w:rsidR="001A7FA6" w:rsidRPr="005E779E" w:rsidRDefault="001A7FA6" w:rsidP="000B7A6C">
      <w:pPr>
        <w:pStyle w:val="ae"/>
        <w:spacing w:before="0" w:after="0"/>
        <w:jc w:val="both"/>
        <w:rPr>
          <w:color w:val="000000" w:themeColor="text1"/>
          <w:sz w:val="16"/>
          <w:szCs w:val="16"/>
        </w:rPr>
      </w:pPr>
      <w:r w:rsidRPr="005E779E">
        <w:rPr>
          <w:color w:val="000000" w:themeColor="text1"/>
          <w:sz w:val="16"/>
          <w:szCs w:val="16"/>
        </w:rPr>
        <w:t>РГАЭ. Ф. 4372. Оп. 91. Д. 567. Л. 99—95. Подлинник.</w:t>
      </w:r>
    </w:p>
    <w:p w14:paraId="756F580D" w14:textId="77777777" w:rsidR="001A7FA6" w:rsidRPr="005E779E" w:rsidRDefault="001A7F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Архив: РГАЭ. Ф. 4372. Оп. 91. Д. 567. Л. 99—95. Подлинник. </w:t>
      </w:r>
    </w:p>
    <w:p w14:paraId="4B91DE43" w14:textId="77777777" w:rsidR="001A7FA6" w:rsidRPr="005E779E" w:rsidRDefault="001A7F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Источник: Становление оборонно-промышленного комплекса СССР (1927-1932). М. 2008, стр. 550-552 (12530).</w:t>
      </w:r>
    </w:p>
    <w:p w14:paraId="36088DC7" w14:textId="77777777" w:rsidR="001A7FA6" w:rsidRPr="005E779E" w:rsidRDefault="001A7FA6" w:rsidP="000B7A6C">
      <w:pPr>
        <w:spacing w:after="0" w:line="240" w:lineRule="auto"/>
        <w:jc w:val="both"/>
        <w:rPr>
          <w:rFonts w:ascii="Times New Roman" w:hAnsi="Times New Roman"/>
          <w:color w:val="000000" w:themeColor="text1"/>
          <w:sz w:val="16"/>
          <w:szCs w:val="16"/>
        </w:rPr>
      </w:pPr>
    </w:p>
    <w:p w14:paraId="0133D22E" w14:textId="77777777" w:rsidR="001A7FA6" w:rsidRPr="005E779E" w:rsidRDefault="001A7FA6"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10 июня 1931 </w:t>
      </w:r>
      <w:r w:rsidRPr="005E779E">
        <w:rPr>
          <w:rFonts w:ascii="Times New Roman" w:hAnsi="Times New Roman"/>
          <w:color w:val="000000" w:themeColor="text1"/>
          <w:sz w:val="16"/>
          <w:szCs w:val="16"/>
        </w:rPr>
        <w:t>Политбюро ЦК ВКП (б) приняло решение о целесообразности производства комбайнов на Саратовском и Ростовском заводах с 15-футовым захватом; отклонило предложение о переходе СТЗ на производство тракторов «Мак-Кормик» мощностью 22/36 л. е.; утвердило проект постановления ЦК ВКП (б) «По докладу Средне-Волжского крайкома» (12265).</w:t>
      </w:r>
    </w:p>
    <w:p w14:paraId="3C12DBBE" w14:textId="77777777" w:rsidR="001A7FA6" w:rsidRPr="005E779E" w:rsidRDefault="001A7FA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6E57C520" w14:textId="03E19335" w:rsidR="00EA6158" w:rsidRPr="005E779E" w:rsidRDefault="00EA6158" w:rsidP="00EA6158">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Армия</w:t>
      </w:r>
      <w:r w:rsidRPr="005E779E">
        <w:rPr>
          <w:rFonts w:ascii="Times New Roman" w:hAnsi="Times New Roman"/>
          <w:i/>
          <w:iCs/>
          <w:color w:val="000000" w:themeColor="text1"/>
          <w:sz w:val="16"/>
          <w:szCs w:val="16"/>
        </w:rPr>
        <w:t>:</w:t>
      </w:r>
    </w:p>
    <w:p w14:paraId="38324A52" w14:textId="77777777" w:rsidR="00EA6158" w:rsidRPr="005E779E" w:rsidRDefault="00EA6158" w:rsidP="00EA6158">
      <w:pPr>
        <w:autoSpaceDE w:val="0"/>
        <w:autoSpaceDN w:val="0"/>
        <w:adjustRightInd w:val="0"/>
        <w:spacing w:after="0" w:line="240" w:lineRule="auto"/>
        <w:jc w:val="both"/>
        <w:rPr>
          <w:rFonts w:ascii="Times New Roman" w:hAnsi="Times New Roman"/>
          <w:iCs/>
          <w:color w:val="000000" w:themeColor="text1"/>
          <w:sz w:val="16"/>
          <w:szCs w:val="16"/>
        </w:rPr>
      </w:pPr>
    </w:p>
    <w:p w14:paraId="17F8026C" w14:textId="77777777" w:rsidR="00EA6158" w:rsidRPr="00142305" w:rsidRDefault="00EA6158" w:rsidP="00EA615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10 июня 1931 г. вышел приказ НКВМ № 043 «О нару</w:t>
      </w:r>
      <w:r w:rsidRPr="00142305">
        <w:rPr>
          <w:rFonts w:ascii="Times New Roman" w:hAnsi="Times New Roman"/>
          <w:color w:val="0070C0"/>
          <w:sz w:val="16"/>
          <w:szCs w:val="16"/>
        </w:rPr>
        <w:softHyphen/>
        <w:t>шении приказания Начальника ВВС РККА о прекращении с 1 апреля по 15 мая полетов и наказании виновных». В нем говорилось, что «основываясь на дирек</w:t>
      </w:r>
      <w:r w:rsidRPr="00142305">
        <w:rPr>
          <w:rFonts w:ascii="Times New Roman" w:hAnsi="Times New Roman"/>
          <w:color w:val="0070C0"/>
          <w:sz w:val="16"/>
          <w:szCs w:val="16"/>
        </w:rPr>
        <w:softHyphen/>
        <w:t>тивах приказа РВС СССР № 0012 [Приказ НКВМ № 0012 1931 г. был направлен на борьбу с аварийностью в ВВС РККА], Начальником ВВС РККА было дано приказание всем начальникам ВВС округов о прекращении полетов с 1 апреля по 15 мая 1931 г.</w:t>
      </w:r>
    </w:p>
    <w:p w14:paraId="2081A94D" w14:textId="77777777" w:rsidR="00EA6158" w:rsidRPr="00142305" w:rsidRDefault="00EA6158" w:rsidP="00EA615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Несмотря на это, начальник ВВС МВО Чернобровкин, получив приказание командующего войсками МВО обеспечить с 19 по 22 мая сбор высшего начсо</w:t>
      </w:r>
      <w:r w:rsidRPr="00142305">
        <w:rPr>
          <w:rFonts w:ascii="Times New Roman" w:hAnsi="Times New Roman"/>
          <w:color w:val="0070C0"/>
          <w:sz w:val="16"/>
          <w:szCs w:val="16"/>
        </w:rPr>
        <w:softHyphen/>
        <w:t>става округа с участием авиации, выделил звено 20-го авиаотряда, не испросив на это разрешения Начальника ВВС РККА и не поставив его в известность о по</w:t>
      </w:r>
      <w:r w:rsidRPr="00142305">
        <w:rPr>
          <w:rFonts w:ascii="Times New Roman" w:hAnsi="Times New Roman"/>
          <w:color w:val="0070C0"/>
          <w:sz w:val="16"/>
          <w:szCs w:val="16"/>
        </w:rPr>
        <w:softHyphen/>
        <w:t>лученном приказании командующего войсками. Результатом была авария одного самолета из выделенного звена.</w:t>
      </w:r>
    </w:p>
    <w:p w14:paraId="2948AE10" w14:textId="77777777" w:rsidR="00EA6158" w:rsidRPr="00142305" w:rsidRDefault="00EA6158" w:rsidP="00EA615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Начальник ВВС ЛВО Алексеев, получив приказание командующего вой</w:t>
      </w:r>
      <w:r w:rsidRPr="00142305">
        <w:rPr>
          <w:rFonts w:ascii="Times New Roman" w:hAnsi="Times New Roman"/>
          <w:color w:val="0070C0"/>
          <w:sz w:val="16"/>
          <w:szCs w:val="16"/>
        </w:rPr>
        <w:softHyphen/>
        <w:t>сками ЛВО об участии авиации в первомайском параде, также не довел своевре</w:t>
      </w:r>
      <w:r w:rsidRPr="00142305">
        <w:rPr>
          <w:rFonts w:ascii="Times New Roman" w:hAnsi="Times New Roman"/>
          <w:color w:val="0070C0"/>
          <w:sz w:val="16"/>
          <w:szCs w:val="16"/>
        </w:rPr>
        <w:softHyphen/>
        <w:t>менно до сведения Начальника ВВС РККА полученное распоряжение команду</w:t>
      </w:r>
      <w:r w:rsidRPr="00142305">
        <w:rPr>
          <w:rFonts w:ascii="Times New Roman" w:hAnsi="Times New Roman"/>
          <w:color w:val="0070C0"/>
          <w:sz w:val="16"/>
          <w:szCs w:val="16"/>
        </w:rPr>
        <w:softHyphen/>
        <w:t>ющего войсками. Кроме того, командир 1-й авиабригады Лебедев, имея прика</w:t>
      </w:r>
      <w:r w:rsidRPr="00142305">
        <w:rPr>
          <w:rFonts w:ascii="Times New Roman" w:hAnsi="Times New Roman"/>
          <w:color w:val="0070C0"/>
          <w:sz w:val="16"/>
          <w:szCs w:val="16"/>
        </w:rPr>
        <w:softHyphen/>
        <w:t>зание подготовить материальную часть для летней учебы, решил проверить ее подготовку в воздухе, почему и допустил производство полетов в течение 9 ап</w:t>
      </w:r>
      <w:r w:rsidRPr="00142305">
        <w:rPr>
          <w:rFonts w:ascii="Times New Roman" w:hAnsi="Times New Roman"/>
          <w:color w:val="0070C0"/>
          <w:sz w:val="16"/>
          <w:szCs w:val="16"/>
        </w:rPr>
        <w:softHyphen/>
        <w:t>реля 1931 г., закончившихся аварией мотора при полете командира звена 56-й авиаэскадрильи летчика Харина» (РГВА. Ф. 4. Оп. 15 а. Д. 399. Л. 16).</w:t>
      </w:r>
    </w:p>
    <w:p w14:paraId="644A7367" w14:textId="77777777" w:rsidR="00EA6158" w:rsidRPr="00142305" w:rsidRDefault="00EA6158" w:rsidP="00EA615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Чернобровкину объявлялся выговор. Алексееву ставилось на вид, так как он недавно вступил в должность начальника ВВС ЛВО. Также на вид ставилось и Лебедеву (24968).</w:t>
      </w:r>
    </w:p>
    <w:p w14:paraId="173A1D39" w14:textId="77777777" w:rsidR="00EA6158" w:rsidRPr="00142305" w:rsidRDefault="00EA6158" w:rsidP="00EA6158">
      <w:pPr>
        <w:spacing w:after="0" w:line="240" w:lineRule="auto"/>
        <w:jc w:val="both"/>
        <w:rPr>
          <w:rFonts w:ascii="Times New Roman" w:hAnsi="Times New Roman"/>
          <w:color w:val="0070C0"/>
          <w:sz w:val="16"/>
          <w:szCs w:val="16"/>
        </w:rPr>
      </w:pPr>
    </w:p>
    <w:p w14:paraId="3A84E83C"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17CE0D6E"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6E601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июня 1931 года Приказом ОГПУ №308/183 сформировано 5-е отделение Оперативного отдела ОГПУ с целью создания и эксплуатации междугородной правительственной телефонной связи (8983).</w:t>
      </w:r>
    </w:p>
    <w:p w14:paraId="50CD37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BD410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июня 1931 г. вышел приказ ОГПУ № 308/183, в соответствии с которым - 4</w:t>
      </w:r>
      <w:r w:rsidRPr="005E779E">
        <w:rPr>
          <w:rFonts w:ascii="Times New Roman" w:hAnsi="Times New Roman"/>
          <w:color w:val="000000" w:themeColor="text1"/>
          <w:sz w:val="16"/>
          <w:szCs w:val="16"/>
        </w:rPr>
        <w:noBreakHyphen/>
        <w:t>е отделение Оперода стало именоваться 5</w:t>
      </w:r>
      <w:r w:rsidRPr="005E779E">
        <w:rPr>
          <w:rFonts w:ascii="Times New Roman" w:hAnsi="Times New Roman"/>
          <w:color w:val="000000" w:themeColor="text1"/>
          <w:sz w:val="16"/>
          <w:szCs w:val="16"/>
        </w:rPr>
        <w:noBreakHyphen/>
        <w:t>м (техническим) с сохранением прежних функций. С 1934 г. отделение, занимавшееся организацией ВЧ - связи, входило в состав различных отделов (оперативного, а затем оперативной техники) Главного управления государственной безопасности (ГУГБ) Народного комиссариата внутренних дел СССР (НКВД), а с 1938 г. находилось в системе 2-го Спецотдела НКВД. На этом этапе отделение возглавили И.Ю.Лоренс (1929-1936) и И.Я. Воробьев (1936-1939).</w:t>
      </w:r>
    </w:p>
    <w:p w14:paraId="418A49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Общее руководство эксплуатацией и развитием правительственной связи с 1938 г. осуществляли:</w:t>
      </w:r>
    </w:p>
    <w:p w14:paraId="712370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в центре - начальник 2-го специального отдела НКВД СССР и его заместитель через начальника отделения правительственной связи</w:t>
      </w:r>
    </w:p>
    <w:p w14:paraId="77A529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на периферии – начальники вторых специальных отделов и отделений НКВД союзных республик, управлений (УНКВД) краев и областей через начальников отделений (групп) правительственной связи (11671).</w:t>
      </w:r>
    </w:p>
    <w:p w14:paraId="163AEE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DE0D0E1" w14:textId="77777777" w:rsidR="00B03AC4" w:rsidRPr="005E779E" w:rsidRDefault="00B03AC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июня 1931 г. Политбюро одобрило перечень мероприятий по улучшению московского коммунального хозяйства Москвы, переработанный комиссией Кагановича, и вернуло его для окончательной редакции и внесения уточнений инициаторам дела, московским организациям (МК, МГК, областному и городскому исполкомам), с тем чтобы опубликовать документ от их имени{332}.Это произошло через несколько дней после июньского пленума{333}.</w:t>
      </w:r>
    </w:p>
    <w:p w14:paraId="64BA2B64" w14:textId="77777777" w:rsidR="00B03AC4" w:rsidRPr="005E779E" w:rsidRDefault="00B03AC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окончательной версии документа городским властям Москвы поручалось немедленно составить проект строительства метрополитена и с этой целью образовать комитет с привлечением лучших специалистов. Одновременно следовало начать подготовительные работы с тем, чтобы проект был подготовлен в течение 3-4 месяцев, в январе 1932 г. утвержден, и с 1932 г. можно было приступить к строительству. В течение трех месяцев надлежало рассмотреть все существующие проекты, выработать всеобщую схему линий, утвердить окончательный вариант для первой очереди строительства и конструкции тоннелей и эстакад, определить объем инвестиций и подготовить календарный план сооружения первой очереди. В дополнение к метрополитену как главному средству внутригородского сообщения следовало рассмотреть проект о проведении пригородных железнодорожных поездов через центр города, чтобы при одобрении этой идеи работы могли начаться в том же 1932 г.{334}</w:t>
      </w:r>
    </w:p>
    <w:p w14:paraId="551F8BA5" w14:textId="77777777" w:rsidR="00B03AC4" w:rsidRPr="005E779E" w:rsidRDefault="00B03AC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 текста резолюции пленума следует, что теперь под метрополитеном понимался фактически внутригородской железнодорожный транспорт, причем необязательно подземный. В подготовительных заметках к пленуму Каганович писал, что метрополитеном считается не только подземная железная дорога, но любой электрифицированный рельсовый транспорт на собственном полотне. Из гигиенических соображений он тогда даже отзывался о метрополитене как о менее желательном виде транспорта по сравнению с наземной железной дорогой, поскольку под землей пассажиры лишены дневного света{335}.Проект, который Каганович в своей речи на пленуме наконец представил как возможную первую очередь метро, по сути оказался тем же проектом МГЖД (18299).</w:t>
      </w:r>
    </w:p>
    <w:p w14:paraId="363D1D7F" w14:textId="77777777" w:rsidR="00B03AC4" w:rsidRPr="005E779E" w:rsidRDefault="00B03AC4" w:rsidP="000B7A6C">
      <w:pPr>
        <w:spacing w:after="0" w:line="240" w:lineRule="auto"/>
        <w:jc w:val="both"/>
        <w:rPr>
          <w:rFonts w:ascii="Times New Roman" w:hAnsi="Times New Roman"/>
          <w:color w:val="000000" w:themeColor="text1"/>
          <w:sz w:val="16"/>
          <w:szCs w:val="16"/>
        </w:rPr>
      </w:pPr>
    </w:p>
    <w:p w14:paraId="61A161D5" w14:textId="77777777" w:rsidR="00B03AC4" w:rsidRPr="005E779E" w:rsidRDefault="00B03AC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июня 1931. По маршруту Москва - Ленинград начал курсировать первый советский фирменный поезд "Красная стрела" (18724).</w:t>
      </w:r>
    </w:p>
    <w:p w14:paraId="07331A46" w14:textId="77777777" w:rsidR="00B03AC4" w:rsidRPr="005E779E" w:rsidRDefault="00B03AC4" w:rsidP="000B7A6C">
      <w:pPr>
        <w:spacing w:after="0" w:line="240" w:lineRule="auto"/>
        <w:jc w:val="both"/>
        <w:rPr>
          <w:rFonts w:ascii="Times New Roman" w:hAnsi="Times New Roman"/>
          <w:color w:val="000000" w:themeColor="text1"/>
          <w:sz w:val="16"/>
          <w:szCs w:val="16"/>
        </w:rPr>
      </w:pPr>
    </w:p>
    <w:p w14:paraId="4E83A680" w14:textId="77777777" w:rsidR="006E3AAB"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2B9769BF" w14:textId="77777777" w:rsidR="006E3AAB" w:rsidRPr="005E779E" w:rsidRDefault="006E3AAB"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AC097C8" w14:textId="77777777" w:rsidR="006E3AAB" w:rsidRPr="005E779E" w:rsidRDefault="006E3AAB"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10 июня</w:t>
      </w:r>
      <w:r w:rsidRPr="005E779E">
        <w:rPr>
          <w:rFonts w:ascii="Times New Roman" w:hAnsi="Times New Roman"/>
          <w:color w:val="000000" w:themeColor="text1"/>
          <w:sz w:val="16"/>
          <w:szCs w:val="16"/>
        </w:rPr>
        <w:t xml:space="preserve"> в 1931 году экипажем самолета </w:t>
      </w:r>
      <w:hyperlink r:id="rId135" w:tgtFrame="_blank" w:history="1">
        <w:r w:rsidRPr="005E779E">
          <w:rPr>
            <w:rFonts w:ascii="Times New Roman" w:hAnsi="Times New Roman"/>
            <w:color w:val="000000" w:themeColor="text1"/>
            <w:sz w:val="16"/>
            <w:szCs w:val="16"/>
          </w:rPr>
          <w:t xml:space="preserve">«Dewoitine 33» </w:t>
        </w:r>
      </w:hyperlink>
      <w:r w:rsidRPr="005E779E">
        <w:rPr>
          <w:rFonts w:ascii="Times New Roman" w:hAnsi="Times New Roman"/>
          <w:color w:val="000000" w:themeColor="text1"/>
          <w:sz w:val="16"/>
          <w:szCs w:val="16"/>
        </w:rPr>
        <w:t>установлен рекорд беспосадочного перелета. Новый рекорд на дальность полета составил 10371 км (14918).</w:t>
      </w:r>
    </w:p>
    <w:p w14:paraId="798BB3DC" w14:textId="77777777" w:rsidR="006E3AAB" w:rsidRPr="005E779E" w:rsidRDefault="006E3AAB" w:rsidP="000B7A6C">
      <w:pPr>
        <w:spacing w:after="0" w:line="240" w:lineRule="auto"/>
        <w:jc w:val="both"/>
        <w:rPr>
          <w:rFonts w:ascii="Times New Roman" w:hAnsi="Times New Roman"/>
          <w:color w:val="000000" w:themeColor="text1"/>
          <w:sz w:val="16"/>
          <w:szCs w:val="16"/>
        </w:rPr>
      </w:pPr>
    </w:p>
    <w:p w14:paraId="082DBD04" w14:textId="1B8461AC" w:rsidR="00F07475" w:rsidRPr="005E779E" w:rsidRDefault="00F07475" w:rsidP="000B7A6C">
      <w:pPr>
        <w:autoSpaceDE w:val="0"/>
        <w:autoSpaceDN w:val="0"/>
        <w:adjustRightInd w:val="0"/>
        <w:spacing w:after="0" w:line="240" w:lineRule="auto"/>
        <w:jc w:val="both"/>
        <w:rPr>
          <w:rFonts w:ascii="Times New Roman" w:hAnsi="Times New Roman"/>
          <w:i/>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1AEAC6B5" w14:textId="77777777" w:rsidR="00F07475" w:rsidRPr="005E779E" w:rsidRDefault="00F07475" w:rsidP="000B7A6C">
      <w:pPr>
        <w:autoSpaceDE w:val="0"/>
        <w:autoSpaceDN w:val="0"/>
        <w:adjustRightInd w:val="0"/>
        <w:spacing w:after="0" w:line="240" w:lineRule="auto"/>
        <w:jc w:val="both"/>
        <w:rPr>
          <w:rFonts w:ascii="Times New Roman" w:hAnsi="Times New Roman"/>
          <w:i/>
          <w:iCs/>
          <w:color w:val="000000" w:themeColor="text1"/>
          <w:sz w:val="16"/>
          <w:szCs w:val="16"/>
        </w:rPr>
      </w:pPr>
    </w:p>
    <w:p w14:paraId="3BD5BED5" w14:textId="77777777" w:rsidR="00F07475" w:rsidRPr="005E779E" w:rsidRDefault="00F0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июня 1931 г. Постановлением Президиума Центрального исполнительного комитета (ЦИК) СССР с учетом раскаяния в содеянном (так значилось в опубликованном тексте Постановления) и результатов работы, прежде всего по самолету И-5, амнистированы арестованные авиаконструкторы и другие специалисты – работники ЦКБ-39 ОГПУ, а некоторые из них, в т.ч. Д.П. Григорович и Н.Н. Поликарпов также были награждены премиями в 10000 р. и почетными грамотами «за исключительное увеличение темпов и сокращение сроков опытных самолетов, стоящих на уровне лучших заграничных образцов» (23559).</w:t>
      </w:r>
    </w:p>
    <w:p w14:paraId="1206CA3F" w14:textId="77777777" w:rsidR="00F07475" w:rsidRPr="005E779E" w:rsidRDefault="00F07475" w:rsidP="000B7A6C">
      <w:pPr>
        <w:spacing w:after="0" w:line="240" w:lineRule="auto"/>
        <w:jc w:val="both"/>
        <w:rPr>
          <w:rFonts w:ascii="Times New Roman" w:hAnsi="Times New Roman"/>
          <w:color w:val="000000" w:themeColor="text1"/>
          <w:sz w:val="16"/>
          <w:szCs w:val="16"/>
        </w:rPr>
      </w:pPr>
    </w:p>
    <w:p w14:paraId="1E4E44DA" w14:textId="77777777" w:rsidR="00EA6158" w:rsidRPr="005E779E" w:rsidRDefault="00EA6158" w:rsidP="00EA6158">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3BB42D1F" w14:textId="77777777" w:rsidR="00EA6158" w:rsidRPr="005E779E" w:rsidRDefault="00EA6158" w:rsidP="00EA6158">
      <w:pPr>
        <w:autoSpaceDE w:val="0"/>
        <w:autoSpaceDN w:val="0"/>
        <w:adjustRightInd w:val="0"/>
        <w:spacing w:after="0" w:line="240" w:lineRule="auto"/>
        <w:jc w:val="both"/>
        <w:rPr>
          <w:rFonts w:ascii="Times New Roman" w:hAnsi="Times New Roman"/>
          <w:iCs/>
          <w:color w:val="000000" w:themeColor="text1"/>
          <w:sz w:val="16"/>
          <w:szCs w:val="16"/>
        </w:rPr>
      </w:pPr>
    </w:p>
    <w:p w14:paraId="24E2D2DD" w14:textId="77777777" w:rsidR="00EA6158" w:rsidRPr="00142305" w:rsidRDefault="00EA6158" w:rsidP="00EA615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11 июня 1931 года на со</w:t>
      </w:r>
      <w:r w:rsidRPr="00142305">
        <w:rPr>
          <w:rFonts w:ascii="Times New Roman" w:hAnsi="Times New Roman"/>
          <w:color w:val="0070C0"/>
          <w:sz w:val="16"/>
          <w:szCs w:val="16"/>
        </w:rPr>
        <w:softHyphen/>
        <w:t>вещании НТК химического управления РККА по вопросам научно-исследова</w:t>
      </w:r>
      <w:r w:rsidRPr="00142305">
        <w:rPr>
          <w:rFonts w:ascii="Times New Roman" w:hAnsi="Times New Roman"/>
          <w:color w:val="0070C0"/>
          <w:sz w:val="16"/>
          <w:szCs w:val="16"/>
        </w:rPr>
        <w:softHyphen/>
        <w:t>тельской работы ВОХИМУ обсуждался ход работ по химическому бронетрактору:</w:t>
      </w:r>
    </w:p>
    <w:p w14:paraId="2CC02401" w14:textId="77777777" w:rsidR="00EA6158" w:rsidRPr="00142305" w:rsidRDefault="00EA6158" w:rsidP="00EA615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системе вооружения стоял химиче</w:t>
      </w:r>
      <w:r w:rsidRPr="00142305">
        <w:rPr>
          <w:rFonts w:ascii="Times New Roman" w:hAnsi="Times New Roman"/>
          <w:color w:val="0070C0"/>
          <w:sz w:val="16"/>
          <w:szCs w:val="16"/>
        </w:rPr>
        <w:softHyphen/>
        <w:t>ский танк. После обсуждения этого во</w:t>
      </w:r>
      <w:r w:rsidRPr="00142305">
        <w:rPr>
          <w:rFonts w:ascii="Times New Roman" w:hAnsi="Times New Roman"/>
          <w:color w:val="0070C0"/>
          <w:sz w:val="16"/>
          <w:szCs w:val="16"/>
        </w:rPr>
        <w:softHyphen/>
        <w:t>проса с НТК УММ пришли к заключению, что специально вооружать танк хими</w:t>
      </w:r>
      <w:r w:rsidRPr="00142305">
        <w:rPr>
          <w:rFonts w:ascii="Times New Roman" w:hAnsi="Times New Roman"/>
          <w:color w:val="0070C0"/>
          <w:sz w:val="16"/>
          <w:szCs w:val="16"/>
        </w:rPr>
        <w:softHyphen/>
        <w:t>ческим оружием, которое не будет ору</w:t>
      </w:r>
      <w:r w:rsidRPr="00142305">
        <w:rPr>
          <w:rFonts w:ascii="Times New Roman" w:hAnsi="Times New Roman"/>
          <w:color w:val="0070C0"/>
          <w:sz w:val="16"/>
          <w:szCs w:val="16"/>
        </w:rPr>
        <w:softHyphen/>
        <w:t>жием повседневного использования, является чрезвычайно дорогой штукой. Была предложена замена — снабдить хи</w:t>
      </w:r>
      <w:r w:rsidRPr="00142305">
        <w:rPr>
          <w:rFonts w:ascii="Times New Roman" w:hAnsi="Times New Roman"/>
          <w:color w:val="0070C0"/>
          <w:sz w:val="16"/>
          <w:szCs w:val="16"/>
        </w:rPr>
        <w:softHyphen/>
        <w:t>мический трактор мощными химически</w:t>
      </w:r>
      <w:r w:rsidRPr="00142305">
        <w:rPr>
          <w:rFonts w:ascii="Times New Roman" w:hAnsi="Times New Roman"/>
          <w:color w:val="0070C0"/>
          <w:sz w:val="16"/>
          <w:szCs w:val="16"/>
        </w:rPr>
        <w:softHyphen/>
        <w:t>ми цистернами. Первый образец сделан инж. Дыренковым 2 цистерны 2000 л все</w:t>
      </w:r>
      <w:r w:rsidRPr="00142305">
        <w:rPr>
          <w:rFonts w:ascii="Times New Roman" w:hAnsi="Times New Roman"/>
          <w:color w:val="0070C0"/>
          <w:sz w:val="16"/>
          <w:szCs w:val="16"/>
        </w:rPr>
        <w:softHyphen/>
        <w:t>го 4000 литров. Цистерны предназначе</w:t>
      </w:r>
      <w:r w:rsidRPr="00142305">
        <w:rPr>
          <w:rFonts w:ascii="Times New Roman" w:hAnsi="Times New Roman"/>
          <w:color w:val="0070C0"/>
          <w:sz w:val="16"/>
          <w:szCs w:val="16"/>
        </w:rPr>
        <w:softHyphen/>
        <w:t>ны на заражение, для дегазации, сейчас приспосабливаем и под дымопуск. Пер</w:t>
      </w:r>
      <w:r w:rsidRPr="00142305">
        <w:rPr>
          <w:rFonts w:ascii="Times New Roman" w:hAnsi="Times New Roman"/>
          <w:color w:val="0070C0"/>
          <w:sz w:val="16"/>
          <w:szCs w:val="16"/>
        </w:rPr>
        <w:softHyphen/>
        <w:t>вые испытания бронетрактора прошли, но был выявлен ряд недочетов в смысле распыления. Конструкция не была согла</w:t>
      </w:r>
      <w:r w:rsidRPr="00142305">
        <w:rPr>
          <w:rFonts w:ascii="Times New Roman" w:hAnsi="Times New Roman"/>
          <w:color w:val="0070C0"/>
          <w:sz w:val="16"/>
          <w:szCs w:val="16"/>
        </w:rPr>
        <w:softHyphen/>
        <w:t>сована с нами. На химическом полигоне, естественно, конструктору были постав</w:t>
      </w:r>
      <w:r w:rsidRPr="00142305">
        <w:rPr>
          <w:rFonts w:ascii="Times New Roman" w:hAnsi="Times New Roman"/>
          <w:color w:val="0070C0"/>
          <w:sz w:val="16"/>
          <w:szCs w:val="16"/>
        </w:rPr>
        <w:softHyphen/>
        <w:t>лены задачи, которыми НТК задалось при разработке такого образца. Сейчас бро- нетрактор получил конструктивные изме</w:t>
      </w:r>
      <w:r w:rsidRPr="00142305">
        <w:rPr>
          <w:rFonts w:ascii="Times New Roman" w:hAnsi="Times New Roman"/>
          <w:color w:val="0070C0"/>
          <w:sz w:val="16"/>
          <w:szCs w:val="16"/>
        </w:rPr>
        <w:softHyphen/>
        <w:t>нения, которые были указаны нашим НТК. Повторные испытания будут произведе</w:t>
      </w:r>
      <w:r w:rsidRPr="00142305">
        <w:rPr>
          <w:rFonts w:ascii="Times New Roman" w:hAnsi="Times New Roman"/>
          <w:color w:val="0070C0"/>
          <w:sz w:val="16"/>
          <w:szCs w:val="16"/>
        </w:rPr>
        <w:softHyphen/>
        <w:t>ны на химическом полигоне в Люблино и бронетрактор будет передан на испы</w:t>
      </w:r>
      <w:r w:rsidRPr="00142305">
        <w:rPr>
          <w:rFonts w:ascii="Times New Roman" w:hAnsi="Times New Roman"/>
          <w:color w:val="0070C0"/>
          <w:sz w:val="16"/>
          <w:szCs w:val="16"/>
        </w:rPr>
        <w:softHyphen/>
        <w:t>тания в Гороховец» (25003).</w:t>
      </w:r>
    </w:p>
    <w:p w14:paraId="62320B49" w14:textId="77777777" w:rsidR="00EA6158" w:rsidRPr="00142305" w:rsidRDefault="00EA6158" w:rsidP="00EA6158">
      <w:pPr>
        <w:spacing w:after="0" w:line="240" w:lineRule="auto"/>
        <w:jc w:val="both"/>
        <w:rPr>
          <w:rFonts w:ascii="Times New Roman" w:hAnsi="Times New Roman"/>
          <w:color w:val="0070C0"/>
          <w:sz w:val="16"/>
          <w:szCs w:val="16"/>
        </w:rPr>
      </w:pPr>
    </w:p>
    <w:p w14:paraId="7F8007D0" w14:textId="5DB8F062"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6DB8B15E"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F46908A" w14:textId="77777777" w:rsidR="00EA6158" w:rsidRPr="00142305" w:rsidRDefault="00EA6158" w:rsidP="00EA615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11 июня 1931 г. в высшей военной элите РККА были сделаны важные переназначения, хотя сам Наркомвоенмор К. Е. Ворошилов остался на своем посту. Его заместителем и Начальником вооруже</w:t>
      </w:r>
      <w:r w:rsidRPr="00142305">
        <w:rPr>
          <w:rFonts w:ascii="Times New Roman" w:hAnsi="Times New Roman"/>
          <w:color w:val="0070C0"/>
          <w:sz w:val="16"/>
          <w:szCs w:val="16"/>
        </w:rPr>
        <w:softHyphen/>
        <w:t>ний РККА вместо И. П. Уборевича был назначен М. Н. Тухачевский; Началь</w:t>
      </w:r>
      <w:r w:rsidRPr="00142305">
        <w:rPr>
          <w:rFonts w:ascii="Times New Roman" w:hAnsi="Times New Roman"/>
          <w:color w:val="0070C0"/>
          <w:sz w:val="16"/>
          <w:szCs w:val="16"/>
        </w:rPr>
        <w:softHyphen/>
        <w:t>ником Штаба РККА вместо Б. М. Шапошникова - А. И. Егоров; Начальником Военно-морских сил РККА вместо Р. А. Муклевича - В. М. Орлов. Одновре</w:t>
      </w:r>
      <w:r w:rsidRPr="00142305">
        <w:rPr>
          <w:rFonts w:ascii="Times New Roman" w:hAnsi="Times New Roman"/>
          <w:color w:val="0070C0"/>
          <w:sz w:val="16"/>
          <w:szCs w:val="16"/>
        </w:rPr>
        <w:softHyphen/>
        <w:t>менно произошли переназначения на уровне командующих войсками некото</w:t>
      </w:r>
      <w:r w:rsidRPr="00142305">
        <w:rPr>
          <w:rFonts w:ascii="Times New Roman" w:hAnsi="Times New Roman"/>
          <w:color w:val="0070C0"/>
          <w:sz w:val="16"/>
          <w:szCs w:val="16"/>
        </w:rPr>
        <w:softHyphen/>
        <w:t>рых военных округов (Красная звезда. -1931.-13 июня) (24967).</w:t>
      </w:r>
    </w:p>
    <w:p w14:paraId="4123BA60" w14:textId="77777777" w:rsidR="00EA6158" w:rsidRPr="00142305" w:rsidRDefault="00EA6158" w:rsidP="00EA6158">
      <w:pPr>
        <w:spacing w:after="0" w:line="240" w:lineRule="auto"/>
        <w:jc w:val="both"/>
        <w:rPr>
          <w:rFonts w:ascii="Times New Roman" w:hAnsi="Times New Roman"/>
          <w:color w:val="0070C0"/>
          <w:sz w:val="16"/>
          <w:szCs w:val="16"/>
        </w:rPr>
      </w:pPr>
    </w:p>
    <w:p w14:paraId="617958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июня 1931 Нач. Штаба РККА Егоров представил проект оборонного бюджета на 1932. Мобплан 10 реализован быть не мог и ограничились М-12 (9089,146).</w:t>
      </w:r>
    </w:p>
    <w:p w14:paraId="073BD8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4403130" w14:textId="77777777" w:rsidR="00526EC0" w:rsidRPr="005E779E" w:rsidRDefault="00526EC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июня 1931 г. недавно назначенный начальник Штаба Егоров представил проект оборонного бюджета на 1932 г. Определяющей для бюджета стала «необходимость материально обеспечить развёртывание в соответствии с мобилизационным планом №12.» Мобилизационный план №10 ещё не был обеспечен необходимым производством промышленной продукции. Поэтому первый квартал 1932 г. должен был уйти на то, чтобы гарантировать выполнение этих планов. Затем в течение оставшейся части 1932 г. следовало обеспечить быстрое выполнение мобилизационного плана № 12 на случай войны в 1933 г. (9089)</w:t>
      </w:r>
    </w:p>
    <w:p w14:paraId="5DABF858" w14:textId="77777777" w:rsidR="00526EC0" w:rsidRPr="005E779E" w:rsidRDefault="00526EC0" w:rsidP="000B7A6C">
      <w:pPr>
        <w:spacing w:after="0" w:line="240" w:lineRule="auto"/>
        <w:jc w:val="both"/>
        <w:rPr>
          <w:rFonts w:ascii="Times New Roman" w:hAnsi="Times New Roman"/>
          <w:color w:val="000000" w:themeColor="text1"/>
          <w:sz w:val="16"/>
          <w:szCs w:val="16"/>
        </w:rPr>
      </w:pPr>
    </w:p>
    <w:p w14:paraId="1DF0A89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июня 1931 года Уборевич был назначен командующим войсками Бело</w:t>
      </w:r>
      <w:r w:rsidRPr="005E779E">
        <w:rPr>
          <w:rFonts w:ascii="Times New Roman" w:hAnsi="Times New Roman"/>
          <w:color w:val="000000" w:themeColor="text1"/>
          <w:sz w:val="16"/>
          <w:szCs w:val="16"/>
        </w:rPr>
        <w:softHyphen/>
        <w:t>русского военного округа с оставлением членом РВС, а Тухачевский был назначен начальником вооружений РККА, заместителем Наркомвоен-мора и председателя Реввоенсовета СССР. На этом посту он оставался до 1936 года, пока не был назначен начальником Управления боевой подго</w:t>
      </w:r>
      <w:r w:rsidRPr="005E779E">
        <w:rPr>
          <w:rFonts w:ascii="Times New Roman" w:hAnsi="Times New Roman"/>
          <w:color w:val="000000" w:themeColor="text1"/>
          <w:sz w:val="16"/>
          <w:szCs w:val="16"/>
        </w:rPr>
        <w:softHyphen/>
        <w:t>товки войск. Это были весьма ответственные должности в стране и армии. В эти годы с его участием были приняты на вооружение армии новые образцы самолетов- истребителей, бомбардировщиков, танков, пулеме</w:t>
      </w:r>
      <w:r w:rsidRPr="005E779E">
        <w:rPr>
          <w:rFonts w:ascii="Times New Roman" w:hAnsi="Times New Roman"/>
          <w:color w:val="000000" w:themeColor="text1"/>
          <w:sz w:val="16"/>
          <w:szCs w:val="16"/>
        </w:rPr>
        <w:softHyphen/>
        <w:t>тов, другой боевой техники (11504).</w:t>
      </w:r>
    </w:p>
    <w:p w14:paraId="3480883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F76EC4" w14:textId="77777777" w:rsidR="001E7B51" w:rsidRPr="005E779E" w:rsidRDefault="001E7B51"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4C61308A" w14:textId="77777777" w:rsidR="001E7B51" w:rsidRPr="005E779E" w:rsidRDefault="001E7B51"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7900815" w14:textId="77777777" w:rsidR="001E7B51" w:rsidRPr="005E779E" w:rsidRDefault="001E7B5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11-15 июня 1931 состоялся июньский пленум ЦК ВКП(б), решения которого столь обильно цитировались в литературе по истории московского метрополитена. Каганович сделал на нем трехчасовой основной доклад о строительстве социалистических городов в целом и московском коммунальном хозяйстве в частности, предложив проект резолюции, которая была единогласно принята{336}.Речь при этом шла о сокращенной до директив и целевых установок версии перечня практических мероприятий, подготовленного комиссией Кагановича. Пленум ЦК, таким образом, не принял принципиально нового решения, а придал ранее подготовленным и уже разработанным для практической реализации постановлениям более широкую, квазидемократическую основу, что было удобнее для их пропагандистского использования.</w:t>
      </w:r>
    </w:p>
    <w:p w14:paraId="7B92E152" w14:textId="77777777" w:rsidR="001E7B51" w:rsidRPr="005E779E" w:rsidRDefault="001E7B5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своей речи Каганович дал резкую картину состояния городского транспорта в Москве и обозначил путь выхода из кризиса: расширение трамвайной сети и закупка 2 тыс. автобусов не могут в принципе решить проблему. Необходимо строительство метро и проведение электрифицированных пригородных поездов внутрь города. По поводу глубокого ввода пригородных дорог он смог уже назвать конкретную трассу, а именно сквозную железнодорожную линию, спроектированную Наркоматом путей сообщения в 1930/31 г. (см. рис. 18). Эта линия имела бы для Москвы такое же значение, как городская железная дорога в Берлине, но она могла служить только дополнением метрополитена. Что касается последнего, то соответствующий проект пока не устоялся. К тому времени имелся проект, согласно которому предстояло построить городскую железную дорогу только на городских окраинах. Но это был неверный путь, поскольку основная линия дороги призвана была разгрузить центр. Можно было бы по возможности построить линию и на окраинах, однако важнее было соорудить там третье трамвайное кольцо и продлить пригородные железные дороги для использования в качестве наземной городской дороги. В отношении метрополитена Каганович назвал первой возможной фазой его строительства прокладку линии от Каланчевской пл. к центру и далее к запланированному Дворцу Советов (к юго-западу от Кремля на берегу р. Москвы), а также через Арбат к Смоленскому рынку.</w:t>
      </w:r>
    </w:p>
    <w:p w14:paraId="4CDB02DF" w14:textId="77777777" w:rsidR="001E7B51" w:rsidRPr="005E779E" w:rsidRDefault="001E7B5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Изложенное Кагановичем направление линий метро соответствовало проекту МГЖД. Новым словом здесь стало направление к Дворцу Советов, чье местоположение — его должны были возвести на месте Храма Христа-Спасителя — утвердили незадолго до пленума. Принципиальные возражения против метрополитена как якобы антисоциального вида транспорта, а также высказанную в ходе публичной дискуссии идею о раздроблении Москвы на ряд мелких административных единиц Каганович заклеймил как «глупости лево-уклонистского толка»{337}.</w:t>
      </w:r>
    </w:p>
    <w:p w14:paraId="0909F710" w14:textId="77777777" w:rsidR="001E7B51" w:rsidRPr="005E779E" w:rsidRDefault="001E7B5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Далее в своем реферате Каганович остановился на перспективах развития советских городов в целом. Его выступление свидетельствовало об окончании культурной революции и подводило черту под дискуссией о революционных концепциях городской планировки. В современных условиях, подчеркивал Каганович, наиболее неотложным делом является создание жилищного фонда и разработка плана застройки Москвы. С 1932 г. в Москве запрещено создавать новые промышленные предприятия, поскольку при социализме, в отличие от капитализма, индустрия не будет сконцентрирована в нескольких крупных городах. В то же время он осудил требование урезать исторически разросшиеся города и теорию отмирания и самораспада городов как «политически вредную болтовню»{338}.</w:t>
      </w:r>
    </w:p>
    <w:p w14:paraId="5E57D051" w14:textId="77777777" w:rsidR="001E7B51" w:rsidRPr="005E779E" w:rsidRDefault="001E7B5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заседании пленума ЦК вопрос о метрополитене был всего лишь одним среди прочих. В последовавшем за докладом Кагановича обсуждении никто не взял слова по этому поводу. Основное внимание привлек вопрос о жилищном строительстве{339}.В отношении городского транспорта резолюция пленума констатировала, что реконструкция и расширение трамвайного дела не может в принципе решить проблему городского сообщения в Москве: «Пленум считает необходимым безотлагательно приступить к подготовительным работам по сооружению в Москве метрополитена как главного средства для решения проблемы скоростной и дешевой перевозки пассажиров с тем, чтобы строительство могло начаться уже в 1932 г. С этим должно быть связано строительство внутригородской электрифицированной железной дороги, которая соединит Северную, Октябрьскую и Курскую ж. д. непосредственно с городским центром. Помимо этого необходимо провести новую трамвайную кольцевую линию по Камерколлежскому валу, чтобы расширить трамвайную сеть в ближайшие годы минимум до 150 км, повысить число вагоновдо 3000 и в значительном масштабе развить автобусное сообщение, увеличив в ближайшие годы автобусный парк Москвы до 2000 машин»{340}.</w:t>
      </w:r>
    </w:p>
    <w:p w14:paraId="69DF9368" w14:textId="77777777" w:rsidR="001E7B51" w:rsidRPr="005E779E" w:rsidRDefault="001E7B5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Резолюция содержала также директивы дальнейшего развития столицы и дала толчок составлению генерального плана реконструкции Москвы, который находился в разработке до 1935 г.{341} (18299)</w:t>
      </w:r>
    </w:p>
    <w:p w14:paraId="4126F0C5" w14:textId="77777777" w:rsidR="001E7B51" w:rsidRPr="005E779E" w:rsidRDefault="001E7B51" w:rsidP="000B7A6C">
      <w:pPr>
        <w:spacing w:after="0" w:line="240" w:lineRule="auto"/>
        <w:jc w:val="both"/>
        <w:rPr>
          <w:rFonts w:ascii="Times New Roman" w:hAnsi="Times New Roman"/>
          <w:color w:val="000000" w:themeColor="text1"/>
          <w:sz w:val="16"/>
          <w:szCs w:val="16"/>
        </w:rPr>
      </w:pPr>
    </w:p>
    <w:p w14:paraId="2526879D" w14:textId="77777777" w:rsidR="00E02A38" w:rsidRPr="005E779E" w:rsidRDefault="00E02A38"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522D60EF" w14:textId="77777777" w:rsidR="00E02A38" w:rsidRPr="005E779E" w:rsidRDefault="00E02A38"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C90AF7A" w14:textId="77777777" w:rsidR="00E02A38" w:rsidRPr="005E779E" w:rsidRDefault="00E02A3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июня 1931 четырехмоторный биплан Handley Page HP42 с 40 пассажирами поступает на вооружение британской авиакомпании Imperial Airways, когда G-AAGX Hannibal выполняет рейс из аэропорта Кройдон в Париж – Ле Бурже, устанавливая новые стандарты обслуживания пассажиров и комфорта (20804).</w:t>
      </w:r>
    </w:p>
    <w:p w14:paraId="25A88F8C" w14:textId="77777777" w:rsidR="00E02A38" w:rsidRPr="005E779E" w:rsidRDefault="00E02A38" w:rsidP="000B7A6C">
      <w:pPr>
        <w:spacing w:after="0" w:line="240" w:lineRule="auto"/>
        <w:jc w:val="both"/>
        <w:rPr>
          <w:rFonts w:ascii="Times New Roman" w:hAnsi="Times New Roman"/>
          <w:color w:val="000000" w:themeColor="text1"/>
          <w:sz w:val="16"/>
          <w:szCs w:val="16"/>
        </w:rPr>
      </w:pPr>
    </w:p>
    <w:p w14:paraId="0DEF964D"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3B65CE8E"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BB1FB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12 по 17 июня 1931 проходили гос. испытания Ш-2 в Ленинграде по линии НИИ ГВФ (то есть он тоже испытывал) (92,384).</w:t>
      </w:r>
    </w:p>
    <w:p w14:paraId="06091B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F660CA8" w14:textId="77777777" w:rsidR="00EA6158" w:rsidRPr="00142305" w:rsidRDefault="00EA6158" w:rsidP="00EA615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12 по 17 июня 1931 г. Ш-2 про</w:t>
      </w:r>
      <w:r w:rsidRPr="00142305">
        <w:rPr>
          <w:rFonts w:ascii="Times New Roman" w:hAnsi="Times New Roman"/>
          <w:color w:val="0070C0"/>
          <w:sz w:val="16"/>
          <w:szCs w:val="16"/>
        </w:rPr>
        <w:softHyphen/>
        <w:t>шел в Ленинграде государственные испытания НИИ ГВФ. Вскоре было принято решение об его серийной постройке.</w:t>
      </w:r>
    </w:p>
    <w:p w14:paraId="79004B44" w14:textId="77777777" w:rsidR="00EA6158" w:rsidRPr="00142305" w:rsidRDefault="00EA6158" w:rsidP="00EA615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Строить Ш-2 решили на авиазаводе № 31 в Таганроге, куда Шавров передал всю разра</w:t>
      </w:r>
      <w:r w:rsidRPr="00142305">
        <w:rPr>
          <w:rFonts w:ascii="Times New Roman" w:hAnsi="Times New Roman"/>
          <w:color w:val="0070C0"/>
          <w:sz w:val="16"/>
          <w:szCs w:val="16"/>
        </w:rPr>
        <w:softHyphen/>
        <w:t>ботанную техническую документацию и опытный экземпляр самолета. Для изготов</w:t>
      </w:r>
      <w:r w:rsidRPr="00142305">
        <w:rPr>
          <w:rFonts w:ascii="Times New Roman" w:hAnsi="Times New Roman"/>
          <w:color w:val="0070C0"/>
          <w:sz w:val="16"/>
          <w:szCs w:val="16"/>
        </w:rPr>
        <w:softHyphen/>
        <w:t>ления серийных чертежей привлекли учащих</w:t>
      </w:r>
      <w:r w:rsidRPr="00142305">
        <w:rPr>
          <w:rFonts w:ascii="Times New Roman" w:hAnsi="Times New Roman"/>
          <w:color w:val="0070C0"/>
          <w:sz w:val="16"/>
          <w:szCs w:val="16"/>
        </w:rPr>
        <w:softHyphen/>
        <w:t>ся таганрогского авиатехникума. Эта практи</w:t>
      </w:r>
      <w:r w:rsidRPr="00142305">
        <w:rPr>
          <w:rFonts w:ascii="Times New Roman" w:hAnsi="Times New Roman"/>
          <w:color w:val="0070C0"/>
          <w:sz w:val="16"/>
          <w:szCs w:val="16"/>
        </w:rPr>
        <w:softHyphen/>
        <w:t>ческая деятельность явилась дипломной рабо</w:t>
      </w:r>
      <w:r w:rsidRPr="00142305">
        <w:rPr>
          <w:rFonts w:ascii="Times New Roman" w:hAnsi="Times New Roman"/>
          <w:color w:val="0070C0"/>
          <w:sz w:val="16"/>
          <w:szCs w:val="16"/>
        </w:rPr>
        <w:softHyphen/>
        <w:t>той для 45 слушателей техникума, выпущен</w:t>
      </w:r>
      <w:r w:rsidRPr="00142305">
        <w:rPr>
          <w:rFonts w:ascii="Times New Roman" w:hAnsi="Times New Roman"/>
          <w:color w:val="0070C0"/>
          <w:sz w:val="16"/>
          <w:szCs w:val="16"/>
        </w:rPr>
        <w:softHyphen/>
        <w:t>ных весной 1932 г. и пришедших работать на авиазавод № 31 (25013).</w:t>
      </w:r>
    </w:p>
    <w:p w14:paraId="1B545F6C" w14:textId="77777777" w:rsidR="00EA6158" w:rsidRPr="00142305" w:rsidRDefault="00EA6158" w:rsidP="00EA6158">
      <w:pPr>
        <w:spacing w:after="0" w:line="240" w:lineRule="auto"/>
        <w:jc w:val="both"/>
        <w:rPr>
          <w:rFonts w:ascii="Times New Roman" w:hAnsi="Times New Roman"/>
          <w:color w:val="0070C0"/>
          <w:sz w:val="16"/>
          <w:szCs w:val="16"/>
        </w:rPr>
      </w:pPr>
    </w:p>
    <w:p w14:paraId="2668A08E"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16E423AE"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93997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12 и 18 июня 1931. Из протокола заседания Политбюро № 43, 1931 г.</w:t>
      </w:r>
    </w:p>
    <w:p w14:paraId="417A2D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 улучшении материально-бытового положения начсостава</w:t>
      </w:r>
    </w:p>
    <w:p w14:paraId="073E4A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 ...Обеспечить к 1 августа 1931 г. организацию закрытых кооперативов для начсостава в гарнизонах... В небольших городах организовать закрытые распределители. </w:t>
      </w:r>
    </w:p>
    <w:p w14:paraId="7BB296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 Наркомснабу и Центросоюзу: </w:t>
      </w:r>
    </w:p>
    <w:p w14:paraId="0D38D1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 распространить... на весь начсостав РККА, в том числе и сверхсрочной службы и членов их семей, нормы снабжения промышленных рабочих и их семей городов особого списка (снабжение и общественное питание)... </w:t>
      </w:r>
    </w:p>
    <w:p w14:paraId="57B8FE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б) обеспечить... полный охват общественным питанием начсостава и членов их семей, развернув необходимую сеть столовых по списку и в сроки, согласованные НКВМ, Наркомснабом и Центросоюзом... </w:t>
      </w:r>
    </w:p>
    <w:p w14:paraId="6F0DE3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 Допустить, в виде исключения, организацию ремонтно-пошивочных мастерских при закрытых военных кооперативах и закрытых распределителях для начсостава и их семей, для чего обязать ВСНХ и НКСнаб выделить соответствующие фонды промтоваров. </w:t>
      </w:r>
    </w:p>
    <w:p w14:paraId="02E6EE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5. В целях быстрейшего изжития тяжелого жилищного положения значительной части начсостава: </w:t>
      </w:r>
    </w:p>
    <w:p w14:paraId="704A36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 НКТ и ВСНХ обеспечить окончание в 1931 г. жилстроительство домов начсостава рабсилой и материалами, независимо от того, кто является застройщиком... </w:t>
      </w:r>
    </w:p>
    <w:p w14:paraId="6A1747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6. Оформить в советском порядке освобождение в трехмесячный срок квартир в домах Военведа лицами, уходящими из рядов РККА, и обязать горсоветы в трехмесячный срок выселить из домов Военведа всех невоеннослужащих... Обязать Наркомвоенмор установить порядок закрепления жилищ в домах Военведа не за лицами, а за должностями. </w:t>
      </w:r>
    </w:p>
    <w:p w14:paraId="1A18F8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7. С 1 января 1932 г. денежное содержание комвзвода довести до 140 руб., соответственно этому подтянув вышестоящие группы: комроты с 140 до 170; комбат с 150 до 190 руб., комполка с 195 до 250 руб., комдив с 250 до 275 руб. и комкорпуса с 275 до 300 руб. </w:t>
      </w:r>
    </w:p>
    <w:p w14:paraId="4AEFDE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Комсостав технических войск (авиация, бронетанковые и морфлот) должен находиться, как и раньше, несколько в преимущественном положении... (11652).</w:t>
      </w:r>
    </w:p>
    <w:p w14:paraId="6F27DF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7A35A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12 и 18 июня 1931. Из протокола заседания Политбюро № 43, 1931 г.</w:t>
      </w:r>
    </w:p>
    <w:p w14:paraId="00E4BC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 командном и политическом составе РККА </w:t>
      </w:r>
    </w:p>
    <w:p w14:paraId="621792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 Центральный комитет констатирует, что... достигнуты значительные успехи в деле укрепления кадров начальствующего состава... </w:t>
      </w:r>
    </w:p>
    <w:p w14:paraId="3D589C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Отмечая за последний период некоторые, но пока еще явно недостаточные успехи в военной подготовке политсостава, ЦК считает совершенно обязательным дальнейшее решительное повышение его военных знаний... (11652).</w:t>
      </w:r>
    </w:p>
    <w:p w14:paraId="0B85A9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1B5A28A"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50295C47"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DC5E8F5" w14:textId="77777777" w:rsidR="00B60726" w:rsidRPr="005E779E" w:rsidRDefault="00B6072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июня 1931 в «Известиях» также появилась новая дискуссионная публикация. Г. Красин ратовал за то, чтобы в целях разрешения транспортной проблемы использовать все имеющиеся средства сообщения: автомобили, автобусы, трамваи, метрополитен, железные дороги «глубокого ввода», тротуарные транспортиры, лифты. Речь при этом шла не о том, нужен метрополитен или нет, а о наиболее срочных мерах. Главным препятствием для уличного движения являлась бессистемная застройка Москвы. Уже сейчас, при минимальном автомобильном движении, улицы были забиты, в том числе из-за отсутствия регулирования транспортных потоков. Выход Красин видел в устройстве транспортных развязок разного уровня на пересечении радиальных улиц с Бульварным и Садовым кольцом, а также Камерколлежским валом. Магистрали в будущем должны будут иметь восемь полос: две средние для трамвая, две для скоростного автотранспорта, две для гужевых повозок и остальные две для пешеходов. Транзитный проезд трамваев через центр осуществлялся по кольцевой линии. Последняя прокладывалась в самом сердце города, внутри Бульварного кольца, позднее ее можно было поднять на виадуки, за счет чего возникала первая линия метрополитена. Красин предлагал следующую иерархию приоритетов: 1. Регулирование трамвайного движения; 2. «Глубокий ввод» железных дорог; 3. Устройство транспортных развязок на перекрестках; 4. Наконец, метрополитен, но прежде, возможно, прокладка второго «глубокого ввода»{331} (18299).</w:t>
      </w:r>
    </w:p>
    <w:p w14:paraId="0C86DEB1" w14:textId="77777777" w:rsidR="00B60726" w:rsidRPr="005E779E" w:rsidRDefault="00B60726" w:rsidP="000B7A6C">
      <w:pPr>
        <w:spacing w:after="0" w:line="240" w:lineRule="auto"/>
        <w:jc w:val="both"/>
        <w:rPr>
          <w:rFonts w:ascii="Times New Roman" w:hAnsi="Times New Roman"/>
          <w:color w:val="000000" w:themeColor="text1"/>
          <w:sz w:val="16"/>
          <w:szCs w:val="16"/>
        </w:rPr>
      </w:pPr>
    </w:p>
    <w:p w14:paraId="2D19DE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12 и 18 июня 1931. Из протокола заседания Политбюро № 43, 1931 г.</w:t>
      </w:r>
    </w:p>
    <w:p w14:paraId="546889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 завозе нефтетоплива в г. Ленинград</w:t>
      </w:r>
    </w:p>
    <w:p w14:paraId="4980A7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 Отклонить предложение о завозе нефти в Ленинград морским путем; </w:t>
      </w:r>
    </w:p>
    <w:p w14:paraId="67ABDD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б) Считать необходимым весь завоз нефтетоплива в Ленинград производить по Волге; </w:t>
      </w:r>
    </w:p>
    <w:p w14:paraId="4769B7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Обязать Наркомвод установить календарную программу по месяцам завоза нефти в Ленинград и каждые 5 дней сообщать Политбюро о ходе выполнения этой программы (11652).</w:t>
      </w:r>
    </w:p>
    <w:p w14:paraId="3DB841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0B14F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12 и 18 июня 1931. Из протокола заседания Политбюро № 43, 1931 г.</w:t>
      </w:r>
    </w:p>
    <w:p w14:paraId="0D3568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 ценах и качестве овощей для рабочих</w:t>
      </w:r>
    </w:p>
    <w:p w14:paraId="54F6C3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 признать, что партийные и советские организации не обращают достаточного внимания на положение дел в кооперации и на те грубые недочеты, которые имеют место в работе кооперации по рабочему снабжению. </w:t>
      </w:r>
    </w:p>
    <w:p w14:paraId="19AC61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Для решительной борьбы против повышения цен в городах с рабочим населением... создать комиссию ЦК и СНК СССР (11652).</w:t>
      </w:r>
    </w:p>
    <w:p w14:paraId="0534F9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C4D71D0"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22142D27"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B14FC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июня 1931 Аль Капоне и 68 членов его банды были обвинены в нарушении сухого закона (2100).</w:t>
      </w:r>
    </w:p>
    <w:p w14:paraId="6F37B5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742E82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июня 1931 американский гангстер Аль Капоне обвинен в нарушении «сухого закона» (4962).</w:t>
      </w:r>
    </w:p>
    <w:p w14:paraId="6CD0DC5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B9C5E8" w14:textId="77777777" w:rsidR="00090A76" w:rsidRPr="005E779E" w:rsidRDefault="00090A76"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44EA4AB2" w14:textId="77777777" w:rsidR="00090A76" w:rsidRPr="005E779E" w:rsidRDefault="00090A76"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A805C1E" w14:textId="77777777" w:rsidR="00090A76" w:rsidRPr="005E779E" w:rsidRDefault="00090A76" w:rsidP="000B7A6C">
      <w:pPr>
        <w:spacing w:after="0" w:line="240" w:lineRule="auto"/>
        <w:rPr>
          <w:rFonts w:ascii="Times New Roman" w:hAnsi="Times New Roman"/>
          <w:color w:val="000000" w:themeColor="text1"/>
          <w:sz w:val="16"/>
          <w:szCs w:val="16"/>
        </w:rPr>
      </w:pPr>
      <w:r w:rsidRPr="005E779E">
        <w:rPr>
          <w:rFonts w:ascii="Times New Roman" w:hAnsi="Times New Roman"/>
          <w:color w:val="000000" w:themeColor="text1"/>
          <w:sz w:val="16"/>
          <w:szCs w:val="16"/>
        </w:rPr>
        <w:t>13 июня 1931 г. американский рабочий из Сан-Франциско Эмилен Гельбиг пожертвовал в фонд эскадрилий имени Ленина 400 американских долларов в золотой валюте.</w:t>
      </w:r>
    </w:p>
    <w:p w14:paraId="495AAB56" w14:textId="77777777" w:rsidR="00090A76" w:rsidRPr="005E779E" w:rsidRDefault="00090A76" w:rsidP="000B7A6C">
      <w:pPr>
        <w:spacing w:after="0" w:line="240" w:lineRule="auto"/>
        <w:rPr>
          <w:rFonts w:ascii="Times New Roman" w:hAnsi="Times New Roman"/>
          <w:color w:val="000000" w:themeColor="text1"/>
          <w:sz w:val="16"/>
          <w:szCs w:val="16"/>
        </w:rPr>
      </w:pPr>
      <w:r w:rsidRPr="005E779E">
        <w:rPr>
          <w:rFonts w:ascii="Times New Roman" w:hAnsi="Times New Roman"/>
          <w:color w:val="000000" w:themeColor="text1"/>
          <w:sz w:val="16"/>
          <w:szCs w:val="16"/>
        </w:rPr>
        <w:t>/«Известия ЦИК СССР» за 13 июня 1931 г./ (23370).</w:t>
      </w:r>
    </w:p>
    <w:p w14:paraId="1EBB823F" w14:textId="77777777" w:rsidR="00090A76" w:rsidRPr="005E779E" w:rsidRDefault="00090A76" w:rsidP="000B7A6C">
      <w:pPr>
        <w:spacing w:after="0" w:line="240" w:lineRule="auto"/>
        <w:rPr>
          <w:rFonts w:ascii="Times New Roman" w:hAnsi="Times New Roman"/>
          <w:color w:val="000000" w:themeColor="text1"/>
          <w:sz w:val="16"/>
          <w:szCs w:val="16"/>
        </w:rPr>
      </w:pPr>
    </w:p>
    <w:p w14:paraId="7F4B50C5" w14:textId="77777777" w:rsidR="00F07475" w:rsidRPr="005E779E" w:rsidRDefault="00F07475" w:rsidP="000B7A6C">
      <w:pPr>
        <w:spacing w:after="0" w:line="240" w:lineRule="auto"/>
        <w:rPr>
          <w:rFonts w:ascii="Times New Roman" w:hAnsi="Times New Roman"/>
          <w:color w:val="000000" w:themeColor="text1"/>
          <w:sz w:val="16"/>
          <w:szCs w:val="16"/>
        </w:rPr>
      </w:pPr>
      <w:r w:rsidRPr="005E779E">
        <w:rPr>
          <w:rFonts w:ascii="Times New Roman" w:hAnsi="Times New Roman"/>
          <w:color w:val="000000" w:themeColor="text1"/>
          <w:sz w:val="16"/>
          <w:szCs w:val="16"/>
        </w:rPr>
        <w:t>13 июня 1931 г. приказом начальника ВОГВФ № 272 сформирован специальный авиаотряд имени «Правды» для перевозки матриц центральных газет из Москвы на периферию. Отряд был укомплектован самолетами Р-1 и лучшими и военными под командованием Н.С.Никитченко, просуществовал недолго_так, как взятый им лозунг летать при «любой погоде» оказался преждевременным и привел к аварийности.</w:t>
      </w:r>
    </w:p>
    <w:p w14:paraId="07668224" w14:textId="77777777" w:rsidR="00F07475" w:rsidRPr="005E779E" w:rsidRDefault="00F07475" w:rsidP="000B7A6C">
      <w:pPr>
        <w:spacing w:after="0" w:line="240" w:lineRule="auto"/>
        <w:rPr>
          <w:rFonts w:ascii="Times New Roman" w:hAnsi="Times New Roman"/>
          <w:color w:val="000000" w:themeColor="text1"/>
          <w:sz w:val="16"/>
          <w:szCs w:val="16"/>
        </w:rPr>
      </w:pPr>
      <w:r w:rsidRPr="005E779E">
        <w:rPr>
          <w:rFonts w:ascii="Times New Roman" w:hAnsi="Times New Roman"/>
          <w:color w:val="000000" w:themeColor="text1"/>
          <w:sz w:val="16"/>
          <w:szCs w:val="16"/>
        </w:rPr>
        <w:t>/«Правда» за 16 июня 1931 г./ (23370).</w:t>
      </w:r>
    </w:p>
    <w:p w14:paraId="029B5A33" w14:textId="77777777" w:rsidR="00F07475" w:rsidRPr="005E779E" w:rsidRDefault="00F07475" w:rsidP="000B7A6C">
      <w:pPr>
        <w:spacing w:after="0" w:line="240" w:lineRule="auto"/>
        <w:rPr>
          <w:rFonts w:ascii="Times New Roman" w:hAnsi="Times New Roman"/>
          <w:color w:val="000000" w:themeColor="text1"/>
          <w:sz w:val="16"/>
          <w:szCs w:val="16"/>
        </w:rPr>
      </w:pPr>
    </w:p>
    <w:p w14:paraId="23A1A39D" w14:textId="0F006F53"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0B0E85E5"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7335D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июня 1931 была предпринята последняя попытка испытать танк Кристи на гусеницах, но после того, как танк прошел 1 км кронштейн ленивца вновь сломался (3879,7).</w:t>
      </w:r>
    </w:p>
    <w:p w14:paraId="1886E5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A32025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К 13 июня 1931 по оконча</w:t>
      </w:r>
      <w:r w:rsidRPr="005E779E">
        <w:rPr>
          <w:rFonts w:ascii="Times New Roman" w:hAnsi="Times New Roman"/>
          <w:color w:val="000000" w:themeColor="text1"/>
          <w:sz w:val="16"/>
          <w:szCs w:val="16"/>
        </w:rPr>
        <w:softHyphen/>
        <w:t>нии показа Правительству кронштейн на танке Кристи был отремонтирован, но при попытке вновь вывести его на испытания на гусенич</w:t>
      </w:r>
      <w:r w:rsidRPr="005E779E">
        <w:rPr>
          <w:rFonts w:ascii="Times New Roman" w:hAnsi="Times New Roman"/>
          <w:color w:val="000000" w:themeColor="text1"/>
          <w:sz w:val="16"/>
          <w:szCs w:val="16"/>
        </w:rPr>
        <w:softHyphen/>
        <w:t>ном ходу сломался опять. В общей сложности за весь пери</w:t>
      </w:r>
      <w:r w:rsidRPr="005E779E">
        <w:rPr>
          <w:rFonts w:ascii="Times New Roman" w:hAnsi="Times New Roman"/>
          <w:color w:val="000000" w:themeColor="text1"/>
          <w:sz w:val="16"/>
          <w:szCs w:val="16"/>
        </w:rPr>
        <w:softHyphen/>
        <w:t>од ходовых испытаний с 16.05. по 21.06 танк прошел на гу</w:t>
      </w:r>
      <w:r w:rsidRPr="005E779E">
        <w:rPr>
          <w:rFonts w:ascii="Times New Roman" w:hAnsi="Times New Roman"/>
          <w:color w:val="000000" w:themeColor="text1"/>
          <w:sz w:val="16"/>
          <w:szCs w:val="16"/>
        </w:rPr>
        <w:softHyphen/>
        <w:t>сеницах 43,5 км и 863 км на колесах (10733,197).</w:t>
      </w:r>
    </w:p>
    <w:p w14:paraId="3B8F840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C855D6" w14:textId="77777777" w:rsidR="00245CB3" w:rsidRPr="005E779E" w:rsidRDefault="00245CB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13 июня 1931 закончились испытания танка БТ пробегом по шоссе и грунтовым дорогам только на колесном ходу, которые шли с 27 мая. Максимальная скорость не превышала 65-70 км/час. Существенным недостатком оказалась полная невозможность движения на колесах по песку из-за значительного их погружения в грунт. Было также отмечено, что посадка в танк может производиться только через верхний люк, поскольку водительский люк слишком узок, непригоден для эвакуации и не оборудован приборами бокового обзора. Доступ к агрегатам моторно-трансмиссионного отделения был возможен лишь после полной разборки крыши. Недостатком признали отсутствие башни и установку только пулеметного вооружения в корпусе. Общий “набег” М1931 за 10 дней составил 200 км на колесах, но 50 из них танк прошел ещё в США. </w:t>
      </w:r>
    </w:p>
    <w:p w14:paraId="1F91B80E" w14:textId="77777777" w:rsidR="00245CB3" w:rsidRPr="005E779E" w:rsidRDefault="00245CB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Впрочем, во время демонстрации М1931 членам правительства машина, даже с поломанным кронштейном, показала себя хорошо. На колесном ходу танк свободно прошел 5 рядов проволочных заграждений, а затем преодолел двухметровый окоп. Экипаж машины за 44 минуты установил гусеничные ленты, а после 10-минутного перерыва за 35 минут снял и уложил их на надгусеничные полки. </w:t>
      </w:r>
    </w:p>
    <w:p w14:paraId="344EA53D" w14:textId="77777777" w:rsidR="00245CB3" w:rsidRPr="005E779E" w:rsidRDefault="00245CB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Последняя попытка провести испытания М1931 на гусеничном ходу была предпринята 13 июня, но после того как танк прошел всего 1 км, злополучный кронштейн снова сломался. Тремя днями позже начала заедать коробка передач на 2-й и 3-й скорости. Всего с 16 мая по 21 июня танк прошел на гусеницах 43,5 км и 863 км на колесах. По результатам испытаний был составлен подробный отчет на 15 листах. В нем, в частности, отмечалось, что танк не прошел полных испытаний из-за поломки кронштейна ленивца:</w:t>
      </w:r>
    </w:p>
    <w:p w14:paraId="4825D8D2" w14:textId="77777777" w:rsidR="00245CB3" w:rsidRPr="005E779E" w:rsidRDefault="00245CB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"...Танк испытывался только на колесах, причем испытания показали, что средние скорости по шоссе не превышают 30-35 км/час. Водитель после 4-5 часов сильно устает (благодаря трудности управления и неравномерности хода требовалось все время выравнивать машину). ...Двигатель работал хорошо, но необходима частая регулировка клапанов. АКБ недостаточны для запуска двигателя (холодный двигатель запускался, как правило, с буксира). В коробке передач после 600-650 км выскакивают 2-я и 3-я передачи при большой нагрузке двигателя. Течь смазки из-под уплотнений, затруднено включение всех передач. Через 2-3 часа движения значительно нагревается КПП до 85-88°С при температуре окружающего воздуха +35-40°С.</w:t>
      </w:r>
    </w:p>
    <w:p w14:paraId="6EFBCAF3" w14:textId="77777777" w:rsidR="00245CB3" w:rsidRPr="005E779E" w:rsidRDefault="00245CB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Гусеницы. После 40,5 км сломано 8 пальцев. </w:t>
      </w:r>
    </w:p>
    <w:p w14:paraId="4CA5C43D" w14:textId="77777777" w:rsidR="00245CB3" w:rsidRPr="005E779E" w:rsidRDefault="00245CB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Ведущие колеса. После 150-200 км наблюдается развал в наружную сторону на 1,5-2 см. </w:t>
      </w:r>
    </w:p>
    <w:p w14:paraId="0E662AA9" w14:textId="77777777" w:rsidR="00245CB3" w:rsidRPr="005E779E" w:rsidRDefault="00245CB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Управление танком - удовлетворительное. На грунтовых дорогах "отказывается слушаться руля", а при езде по неровностям толчки выбивают руль у водителя из рук. На скоростях 55-60 км/час управление затруднительно...</w:t>
      </w:r>
    </w:p>
    <w:p w14:paraId="007F485A" w14:textId="77777777" w:rsidR="00245CB3" w:rsidRPr="005E779E" w:rsidRDefault="00245CB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w:t>
      </w:r>
    </w:p>
    <w:p w14:paraId="2E074597" w14:textId="77777777" w:rsidR="00245CB3" w:rsidRPr="005E779E" w:rsidRDefault="00245CB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...Танк Кристи в том виде, в котором он был представлен на испытаниях, является исключительно интересной машиной с универсальным движением, требует как боевая машина большой разработки и введения ряда конструктивных усовершенствований и изменений" (17214).</w:t>
      </w:r>
    </w:p>
    <w:p w14:paraId="680581BA" w14:textId="77777777" w:rsidR="00245CB3" w:rsidRPr="005E779E" w:rsidRDefault="00245CB3" w:rsidP="000B7A6C">
      <w:pPr>
        <w:spacing w:after="0" w:line="240" w:lineRule="auto"/>
        <w:jc w:val="both"/>
        <w:rPr>
          <w:rFonts w:ascii="Times New Roman" w:hAnsi="Times New Roman"/>
          <w:color w:val="000000" w:themeColor="text1"/>
          <w:sz w:val="16"/>
          <w:szCs w:val="16"/>
        </w:rPr>
      </w:pPr>
    </w:p>
    <w:p w14:paraId="32133AC3" w14:textId="77777777" w:rsidR="00702215" w:rsidRPr="005E779E" w:rsidRDefault="00702215"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26C224AE" w14:textId="77777777" w:rsidR="00702215" w:rsidRPr="005E779E" w:rsidRDefault="00702215"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B49F1E7" w14:textId="77777777" w:rsidR="00702215" w:rsidRPr="005E779E" w:rsidRDefault="0070221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июня 1931 - Мэй Хэйцлип устанавливает женский рекорд высоты для легких самолетов 18097 футов (5516 м) в Сент-Клер, штат Мичиган. Самолет - Buhl "Bull Pup" (22462).</w:t>
      </w:r>
    </w:p>
    <w:p w14:paraId="2ED1DE18" w14:textId="77777777" w:rsidR="00702215" w:rsidRPr="005E779E" w:rsidRDefault="00702215" w:rsidP="000B7A6C">
      <w:pPr>
        <w:spacing w:after="0" w:line="240" w:lineRule="auto"/>
        <w:jc w:val="both"/>
        <w:rPr>
          <w:rFonts w:ascii="Times New Roman" w:hAnsi="Times New Roman"/>
          <w:color w:val="000000" w:themeColor="text1"/>
          <w:sz w:val="16"/>
          <w:szCs w:val="16"/>
        </w:rPr>
      </w:pPr>
    </w:p>
    <w:p w14:paraId="364EBA0A"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0543DE5D"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7B649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июня 1931 года начальник ВВС Алкснис писал письмо N А-3963сс МПУ ВСНХ.</w:t>
      </w:r>
    </w:p>
    <w:p w14:paraId="472561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Материал</w:t>
      </w:r>
    </w:p>
    <w:p w14:paraId="000789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рабочей подкомиссии к совещанию по вопросам потребностей</w:t>
      </w:r>
    </w:p>
    <w:p w14:paraId="3C3201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авиапромышленности на 1932-1934 г.г. и перспектив</w:t>
      </w:r>
    </w:p>
    <w:p w14:paraId="658013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удовлетворения этих потребностей другими отраслями</w:t>
      </w:r>
    </w:p>
    <w:p w14:paraId="7D7509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промышленности.</w:t>
      </w:r>
    </w:p>
    <w:p w14:paraId="0E00C8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Исходными данными для расчета потребностей принять следующий план развертывания самолето-моторостроения по годам, в соответствии с заявками УВВС на военное время: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tblGrid>
      <w:tr w:rsidR="001002C3" w:rsidRPr="005E779E" w14:paraId="39A6A684" w14:textId="77777777">
        <w:tc>
          <w:tcPr>
            <w:tcW w:w="1610" w:type="dxa"/>
          </w:tcPr>
          <w:p w14:paraId="4F0F25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130E44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1932 г.</w:t>
            </w:r>
          </w:p>
        </w:tc>
        <w:tc>
          <w:tcPr>
            <w:tcW w:w="1610" w:type="dxa"/>
          </w:tcPr>
          <w:p w14:paraId="256069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1933 г.</w:t>
            </w:r>
          </w:p>
        </w:tc>
        <w:tc>
          <w:tcPr>
            <w:tcW w:w="1610" w:type="dxa"/>
          </w:tcPr>
          <w:p w14:paraId="7EB9D1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1934 г.</w:t>
            </w:r>
          </w:p>
        </w:tc>
      </w:tr>
      <w:tr w:rsidR="001002C3" w:rsidRPr="005E779E" w14:paraId="33A3C036" w14:textId="77777777">
        <w:tc>
          <w:tcPr>
            <w:tcW w:w="1610" w:type="dxa"/>
          </w:tcPr>
          <w:p w14:paraId="494EE4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Самолеты</w:t>
            </w:r>
          </w:p>
        </w:tc>
        <w:tc>
          <w:tcPr>
            <w:tcW w:w="1610" w:type="dxa"/>
          </w:tcPr>
          <w:p w14:paraId="729D24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7098</w:t>
            </w:r>
          </w:p>
        </w:tc>
        <w:tc>
          <w:tcPr>
            <w:tcW w:w="1610" w:type="dxa"/>
          </w:tcPr>
          <w:p w14:paraId="117DD2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15590</w:t>
            </w:r>
          </w:p>
        </w:tc>
        <w:tc>
          <w:tcPr>
            <w:tcW w:w="1610" w:type="dxa"/>
          </w:tcPr>
          <w:p w14:paraId="230FE3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22641</w:t>
            </w:r>
          </w:p>
        </w:tc>
      </w:tr>
      <w:tr w:rsidR="001002C3" w:rsidRPr="005E779E" w14:paraId="61964AB0" w14:textId="77777777">
        <w:tc>
          <w:tcPr>
            <w:tcW w:w="1610" w:type="dxa"/>
          </w:tcPr>
          <w:p w14:paraId="2C11B8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Моторы</w:t>
            </w:r>
          </w:p>
        </w:tc>
        <w:tc>
          <w:tcPr>
            <w:tcW w:w="1610" w:type="dxa"/>
          </w:tcPr>
          <w:p w14:paraId="3ECE9B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9460</w:t>
            </w:r>
          </w:p>
        </w:tc>
        <w:tc>
          <w:tcPr>
            <w:tcW w:w="1610" w:type="dxa"/>
          </w:tcPr>
          <w:p w14:paraId="173BA9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30550</w:t>
            </w:r>
          </w:p>
        </w:tc>
        <w:tc>
          <w:tcPr>
            <w:tcW w:w="1610" w:type="dxa"/>
          </w:tcPr>
          <w:p w14:paraId="66D3AC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62000</w:t>
            </w:r>
          </w:p>
        </w:tc>
      </w:tr>
    </w:tbl>
    <w:p w14:paraId="5DBC2A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Ввиду отсутствия определенного типажа и соответствующих спецификаций на самолеты и моторы, намеченные к производству в 1933-34 г.г., расчет необходимых материалов и материальных баз является только ориентировочным.</w:t>
      </w:r>
    </w:p>
    <w:p w14:paraId="16A77A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Основной единицей для расчета потребных материалов в моторостроении принять мотор М-17, как мотор средней мощности, установившийся в производстве и имеющий более или менее уточненную спецификацию.</w:t>
      </w:r>
    </w:p>
    <w:p w14:paraId="320A48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Типовой машиной для самолетов сварных конструкций признан самолет ТШ-1, для деревянных конструкций - Р5 и металлических конструкций ТБ3.</w:t>
      </w:r>
    </w:p>
    <w:p w14:paraId="4F8215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Количественное соотношение этих конструкций по годам принято следующее: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gridCol w:w="2818"/>
      </w:tblGrid>
      <w:tr w:rsidR="001002C3" w:rsidRPr="005E779E" w14:paraId="074697F8" w14:textId="77777777">
        <w:tc>
          <w:tcPr>
            <w:tcW w:w="2818" w:type="dxa"/>
          </w:tcPr>
          <w:p w14:paraId="4C74BC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3575BB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1932 г.</w:t>
            </w:r>
          </w:p>
        </w:tc>
        <w:tc>
          <w:tcPr>
            <w:tcW w:w="2818" w:type="dxa"/>
          </w:tcPr>
          <w:p w14:paraId="00A1CC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1933 г.</w:t>
            </w:r>
          </w:p>
        </w:tc>
        <w:tc>
          <w:tcPr>
            <w:tcW w:w="2818" w:type="dxa"/>
          </w:tcPr>
          <w:p w14:paraId="5A22E2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1934 г.</w:t>
            </w:r>
          </w:p>
        </w:tc>
      </w:tr>
      <w:tr w:rsidR="001002C3" w:rsidRPr="005E779E" w14:paraId="3C49B6EB" w14:textId="77777777">
        <w:tc>
          <w:tcPr>
            <w:tcW w:w="2818" w:type="dxa"/>
          </w:tcPr>
          <w:p w14:paraId="3A40A7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ТШ-1</w:t>
            </w:r>
          </w:p>
        </w:tc>
        <w:tc>
          <w:tcPr>
            <w:tcW w:w="2818" w:type="dxa"/>
          </w:tcPr>
          <w:p w14:paraId="5D57C8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Приняты</w:t>
            </w:r>
          </w:p>
        </w:tc>
        <w:tc>
          <w:tcPr>
            <w:tcW w:w="2818" w:type="dxa"/>
          </w:tcPr>
          <w:p w14:paraId="0BC0E0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8775</w:t>
            </w:r>
          </w:p>
        </w:tc>
        <w:tc>
          <w:tcPr>
            <w:tcW w:w="2818" w:type="dxa"/>
          </w:tcPr>
          <w:p w14:paraId="0183E7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11970</w:t>
            </w:r>
          </w:p>
        </w:tc>
      </w:tr>
      <w:tr w:rsidR="001002C3" w:rsidRPr="005E779E" w14:paraId="2EEA621C" w14:textId="77777777">
        <w:tc>
          <w:tcPr>
            <w:tcW w:w="2818" w:type="dxa"/>
          </w:tcPr>
          <w:p w14:paraId="72FB26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Р-5</w:t>
            </w:r>
          </w:p>
        </w:tc>
        <w:tc>
          <w:tcPr>
            <w:tcW w:w="2818" w:type="dxa"/>
          </w:tcPr>
          <w:p w14:paraId="2812D5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заявки</w:t>
            </w:r>
          </w:p>
        </w:tc>
        <w:tc>
          <w:tcPr>
            <w:tcW w:w="2818" w:type="dxa"/>
          </w:tcPr>
          <w:p w14:paraId="75A7C8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3845</w:t>
            </w:r>
          </w:p>
        </w:tc>
        <w:tc>
          <w:tcPr>
            <w:tcW w:w="2818" w:type="dxa"/>
          </w:tcPr>
          <w:p w14:paraId="40C70A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4540</w:t>
            </w:r>
          </w:p>
        </w:tc>
      </w:tr>
      <w:tr w:rsidR="001002C3" w:rsidRPr="005E779E" w14:paraId="4D0AE380" w14:textId="77777777">
        <w:tc>
          <w:tcPr>
            <w:tcW w:w="2818" w:type="dxa"/>
          </w:tcPr>
          <w:p w14:paraId="70C299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ТБ-3</w:t>
            </w:r>
          </w:p>
        </w:tc>
        <w:tc>
          <w:tcPr>
            <w:tcW w:w="2818" w:type="dxa"/>
          </w:tcPr>
          <w:p w14:paraId="7498C7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УВВС</w:t>
            </w:r>
          </w:p>
        </w:tc>
        <w:tc>
          <w:tcPr>
            <w:tcW w:w="2818" w:type="dxa"/>
          </w:tcPr>
          <w:p w14:paraId="242D83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3170</w:t>
            </w:r>
          </w:p>
        </w:tc>
        <w:tc>
          <w:tcPr>
            <w:tcW w:w="2818" w:type="dxa"/>
          </w:tcPr>
          <w:p w14:paraId="012A40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6130</w:t>
            </w:r>
          </w:p>
        </w:tc>
      </w:tr>
    </w:tbl>
    <w:p w14:paraId="35C67F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приведенными расчетными данными определился объем материальных потребностей авиапромышленности на период 1932-1934 г.г. (3947,73-76).</w:t>
      </w:r>
    </w:p>
    <w:p w14:paraId="1B2708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385DE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июня 1931 Торгсин, который 4 января 1931 года Торгсин получил всесоюзный статус, открыл двери советским гражданам, которые вначале могли покупать в Торгсине только на царский золотой чекан. Поистине революционный поворот в истории объединения произошел в конце 1931 года, когда правительство разрешило советским гражданам покупать товары в Торгсине в обмен на бытовое золото.</w:t>
      </w:r>
    </w:p>
    <w:p w14:paraId="01B67B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Автором идеи продаж на бытовое золото был директор столичного универмага N1 Ефрем Владимирович Курлянд, который в марте 1931 года обратился с этим предложением к руководству Наркомата внешней торговли. 3 ноября 1931 года Политбюро поручило Наркомвнешторгу СССР организовать в магазинах Торгсина скупку бытового золота в обмен на товары. Специальная комиссия, куда вошли Розенгольц (Наркомвнешторг), Гринько (Наркомфин), Серебровский (Союззолото), Калманович, Дерибас (ОПТУ), должна была определить районы деятельности Торгсина по скупке золотых предметов и методы расчета. В декабре 1931 года универмаг N 1 в Москве с устного разрешения председателя правления Торгсина М. И. Шкляра начал продавать товары советским гражданам в обмен на бытовое золото. 10 декабря 1931 года вышло Постановление СНК СССР "О предоставлении Всесоюзному объединению "Торгсин" права производства операций по покупке драгоценных металлов (золота). Хотя со временем последовали разрешения принимать от населения также и серебро, платину, бриллианты и другие драгоценные камни, именно золото сыграло главную роль в истории Торгсина. Всего за четыре года (1932-1935) люди снесли в него почти 100 тонн чистого золота! (11458).</w:t>
      </w:r>
    </w:p>
    <w:p w14:paraId="50A0EF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9188B42" w14:textId="77777777" w:rsidR="00877950"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4DA33CAA" w14:textId="77777777" w:rsidR="00877950" w:rsidRPr="005E779E" w:rsidRDefault="00877950"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A5B2FDC" w14:textId="77777777" w:rsidR="00877950" w:rsidRPr="005E779E" w:rsidRDefault="00877950" w:rsidP="000B7A6C">
      <w:pPr>
        <w:pStyle w:val="rtejustify"/>
        <w:spacing w:before="0" w:after="0"/>
        <w:rPr>
          <w:color w:val="000000" w:themeColor="text1"/>
          <w:sz w:val="16"/>
          <w:szCs w:val="16"/>
        </w:rPr>
      </w:pPr>
      <w:r w:rsidRPr="005E779E">
        <w:rPr>
          <w:rStyle w:val="af0"/>
          <w:i w:val="0"/>
          <w:color w:val="000000" w:themeColor="text1"/>
          <w:sz w:val="16"/>
          <w:szCs w:val="16"/>
        </w:rPr>
        <w:t>14 июня 1931 г. Протокол Реввоенсовета № 22.</w:t>
      </w:r>
      <w:r w:rsidRPr="005E779E">
        <w:rPr>
          <w:color w:val="000000" w:themeColor="text1"/>
          <w:sz w:val="16"/>
          <w:szCs w:val="16"/>
        </w:rPr>
        <w:t xml:space="preserve"> 1. Контрольные цифры бюджета НКВМ на 1932 г. (РГВА. Ф. 4. Оп. 18. Д. 20. Л. 315</w:t>
      </w:r>
      <w:r w:rsidRPr="005E779E">
        <w:rPr>
          <w:color w:val="000000" w:themeColor="text1"/>
          <w:sz w:val="16"/>
          <w:szCs w:val="16"/>
        </w:rPr>
        <w:noBreakHyphen/>
        <w:t>316) (12342).</w:t>
      </w:r>
    </w:p>
    <w:p w14:paraId="6747C630" w14:textId="77777777" w:rsidR="00877950" w:rsidRPr="005E779E" w:rsidRDefault="00877950" w:rsidP="000B7A6C">
      <w:pPr>
        <w:pStyle w:val="rtejustify"/>
        <w:spacing w:before="0" w:after="0"/>
        <w:rPr>
          <w:color w:val="000000" w:themeColor="text1"/>
          <w:sz w:val="16"/>
          <w:szCs w:val="16"/>
        </w:rPr>
      </w:pPr>
    </w:p>
    <w:p w14:paraId="478B1347" w14:textId="77777777" w:rsidR="00877950" w:rsidRPr="005E779E" w:rsidRDefault="00877950"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14 июня 1931 </w:t>
      </w:r>
      <w:r w:rsidRPr="005E779E">
        <w:rPr>
          <w:rFonts w:ascii="Times New Roman" w:hAnsi="Times New Roman"/>
          <w:color w:val="000000" w:themeColor="text1"/>
          <w:sz w:val="16"/>
          <w:szCs w:val="16"/>
        </w:rPr>
        <w:t>Политбюро ЦК ВКП (б) приняло решение о приступе к строительству в 1931 г. завода малой металлургии в Ленинграде (12265).</w:t>
      </w:r>
    </w:p>
    <w:p w14:paraId="3D6F5D97" w14:textId="77777777" w:rsidR="00877950" w:rsidRPr="005E779E" w:rsidRDefault="008779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4E288B0A" w14:textId="77777777" w:rsidR="00091E56" w:rsidRPr="005E779E" w:rsidRDefault="00091E5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июня 1931 г. представители Остехбюро и НИПС подписали протокол об успешном испытании гидроакустической системы обнаружения барьерного типа с приемом информации с надводного корабля (22288).</w:t>
      </w:r>
    </w:p>
    <w:p w14:paraId="046AE4D7" w14:textId="77777777" w:rsidR="00091E56" w:rsidRPr="005E779E" w:rsidRDefault="00091E56" w:rsidP="000B7A6C">
      <w:pPr>
        <w:spacing w:after="0" w:line="240" w:lineRule="auto"/>
        <w:jc w:val="both"/>
        <w:rPr>
          <w:rFonts w:ascii="Times New Roman" w:hAnsi="Times New Roman"/>
          <w:color w:val="000000" w:themeColor="text1"/>
          <w:sz w:val="16"/>
          <w:szCs w:val="16"/>
        </w:rPr>
      </w:pPr>
    </w:p>
    <w:p w14:paraId="746638AD"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1099485A"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3794FC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июня 1931 в НИИ ВВС закончился второй этап испытаний И5 № 3 с мотором М15, который проходил с 6 мая 1931.</w:t>
      </w:r>
    </w:p>
    <w:p w14:paraId="3FF6702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Результаты испытания (образца для серии) самолета И5 № 18 с мотором М15</w:t>
      </w:r>
    </w:p>
    <w:p w14:paraId="6C38EFA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Выводы были сделаны на основании двух разновременных испытаний одного и того же самолета.</w:t>
      </w:r>
    </w:p>
    <w:p w14:paraId="5F4F3DC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Первый раз испытывался самолет И5 № 18 с мотором М15 № 6. Испытание было начато 30 июля 1931 года и прервано 15 августа 1931 года из-за поломки рамы моторной установки. Самолет И5 № 18 после ремонта вторично был предъявлен для испытания 10 октября 1931 года с другим мотором М15 № 24109 и с тем же винтом.</w:t>
      </w:r>
    </w:p>
    <w:p w14:paraId="7E00C54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И5 № 18 построен по типу серийных самолетов, т.е. отдельные части самолета изготовлялись на заводах №№ 39, 1 и 22, а вся сборка самолета произведена заводом № 39.</w:t>
      </w:r>
    </w:p>
    <w:p w14:paraId="7E9DA03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сообщению завода № 39 данный самолет в сравнении с И5 Юп VI усилен ………….</w:t>
      </w:r>
    </w:p>
    <w:p w14:paraId="0018536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Цель испытаний</w:t>
      </w:r>
    </w:p>
    <w:p w14:paraId="4044157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 период с 12 декабря 1930 года по 1 февраля 1931 года и с 6 мая 1931 года по 15 июня 1931 года испытывался самолет И5 № 3 с мотором М15. Этот самолет не имел целого ряда деталей, требующихся для установки вооружения и оборудования и имел конструкцию (капотаж, моторы, установка пулеметов) отличную от предполагаемой в серийной постройке, поэтому полученные летные данные не могли быть показаны для серийных самолетов И5-М15. Установка вооружения на самолете И5 № 3 носила макетный характер, вследствие чего вооружение не могло быть испытано. Поэтому заводом № 39 был дан на испытание в НИИ ВВС другой самолет И5 № 18 с мотором М15, который должен быть принят как образец для серии. Данный самолет мог быть испытан только в отношении летных данных, так как вооружение его не было отлажено (при заводских испытаниях был отмечен перегрев верхних пулеметов и трещины у трубы нижних пулеметов) и правые пулеметы не имели левых приемников.</w:t>
      </w:r>
    </w:p>
    <w:p w14:paraId="0EF7826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 самолета И5-М15 отличается от вооружения самолета И5-ЮпVI тем, что верхние пулеметы разнесены на 40 мм больше и у нижних пулеметов поставлены трубы.</w:t>
      </w:r>
    </w:p>
    <w:p w14:paraId="485224D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Ход испытания</w:t>
      </w:r>
    </w:p>
    <w:p w14:paraId="125C6F9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 период первого испытания самолет И5 № 18 произвел следующие полеты:</w:t>
      </w:r>
    </w:p>
    <w:p w14:paraId="7F32277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 июля 1931 года – полет на определение скороподъемности и горизонтальных скоростей на высотах 5000, 4000, 2000, 1000 м –45 минут</w:t>
      </w:r>
    </w:p>
    <w:p w14:paraId="42209C6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августа 1931 года – полет с целью определения скороподъемности, потолка и горизонтальных скоростей на высотах 7000, 6000, 5000 м. Определение расхода горючего на высоте 5000 м – 2 часа 5 минут</w:t>
      </w:r>
    </w:p>
    <w:p w14:paraId="781D00A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августа 1931 года – полет на управляемость на 5000 и 3000 м. Определение расхода горючего на высоте 3000 м – 2 часа 20 минут</w:t>
      </w:r>
    </w:p>
    <w:p w14:paraId="0BAEA2F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 время второго испытания произведены следующие полеты:</w:t>
      </w:r>
    </w:p>
    <w:p w14:paraId="45AFB73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октября 1931 года - полет на управляемость и фигуры на высоте 1000 м. Полет с целью определения горизонтальных скоростей на высоте 100 м – 1 час 30 минут</w:t>
      </w:r>
    </w:p>
    <w:p w14:paraId="0114F47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Испытание прервано из-за поломки самолета при вынужденной посадке. Вынужденная посадка произошла вследствие прекращения подачи бензина.</w:t>
      </w:r>
    </w:p>
    <w:p w14:paraId="1BF2CB7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w:t>
      </w:r>
    </w:p>
    <w:p w14:paraId="4C73D54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основании произведенных испытаний можно установить, что самолет И5 при постановке на него мотора М15 в серийной постройке будет иметь как худшие летные данные, так и меньший радиус действия, чем с мотором ЮпVI (6964, 32-40).</w:t>
      </w:r>
    </w:p>
    <w:p w14:paraId="12CA6D6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D418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июня 1931 г. закончился второй этап испытаний И-5 №3 с двигателем М-15, который шел с 6 мая. Однако этот самолет по-прежнему не имел вооружения и обладал множеством отличий от серийных об</w:t>
      </w:r>
      <w:r w:rsidRPr="005E779E">
        <w:rPr>
          <w:rFonts w:ascii="Times New Roman" w:hAnsi="Times New Roman"/>
          <w:color w:val="000000" w:themeColor="text1"/>
          <w:sz w:val="16"/>
          <w:szCs w:val="16"/>
        </w:rPr>
        <w:softHyphen/>
        <w:t>разцов с индивидуальными обтекателями цилиндров двигателя. Поэтому заводом № 39 был изготовлен еще один самолет с двигате</w:t>
      </w:r>
      <w:r w:rsidRPr="005E779E">
        <w:rPr>
          <w:rFonts w:ascii="Times New Roman" w:hAnsi="Times New Roman"/>
          <w:color w:val="000000" w:themeColor="text1"/>
          <w:sz w:val="16"/>
          <w:szCs w:val="16"/>
        </w:rPr>
        <w:softHyphen/>
        <w:t>лем М-15, который в основном повторял серийные И-5 завода № 1. Фотографий этого самолета видеть не приходилось, однако в ряде документов указывалось, что «данный экземпляр отличается измененной головной частью». Возможно, на этом И-5 впервые использовали кольцо Тауненда. Другим отличи</w:t>
      </w:r>
      <w:r w:rsidRPr="005E779E">
        <w:rPr>
          <w:rFonts w:ascii="Times New Roman" w:hAnsi="Times New Roman"/>
          <w:color w:val="000000" w:themeColor="text1"/>
          <w:sz w:val="16"/>
          <w:szCs w:val="16"/>
        </w:rPr>
        <w:softHyphen/>
        <w:t>ем этого образца, известного как И-5 №18, стало вооружение: верхние пулеметы были разнесены шире на 40 мм, а нижние заключе</w:t>
      </w:r>
      <w:r w:rsidRPr="005E779E">
        <w:rPr>
          <w:rFonts w:ascii="Times New Roman" w:hAnsi="Times New Roman"/>
          <w:color w:val="000000" w:themeColor="text1"/>
          <w:sz w:val="16"/>
          <w:szCs w:val="16"/>
        </w:rPr>
        <w:softHyphen/>
        <w:t>на в трубы. Испытания в НИИ ВВС И-5 № 18 с двигателем М-15 № 6 начались 30 июля и были прерваны 15 августа 1931 г. по причине по</w:t>
      </w:r>
      <w:r w:rsidRPr="005E779E">
        <w:rPr>
          <w:rFonts w:ascii="Times New Roman" w:hAnsi="Times New Roman"/>
          <w:color w:val="000000" w:themeColor="text1"/>
          <w:sz w:val="16"/>
          <w:szCs w:val="16"/>
        </w:rPr>
        <w:softHyphen/>
        <w:t>ломки моторамы. После ремонта самолет предъявили к тестированию с новым двигате</w:t>
      </w:r>
      <w:r w:rsidRPr="005E779E">
        <w:rPr>
          <w:rFonts w:ascii="Times New Roman" w:hAnsi="Times New Roman"/>
          <w:color w:val="000000" w:themeColor="text1"/>
          <w:sz w:val="16"/>
          <w:szCs w:val="16"/>
        </w:rPr>
        <w:softHyphen/>
        <w:t>лем - М-15 № 24109. Полеты начались 10 ок</w:t>
      </w:r>
      <w:r w:rsidRPr="005E779E">
        <w:rPr>
          <w:rFonts w:ascii="Times New Roman" w:hAnsi="Times New Roman"/>
          <w:color w:val="000000" w:themeColor="text1"/>
          <w:sz w:val="16"/>
          <w:szCs w:val="16"/>
        </w:rPr>
        <w:softHyphen/>
        <w:t>тября, а через несколько дней самолет потерпел аварию при выполнении вынужденной по</w:t>
      </w:r>
      <w:r w:rsidRPr="005E779E">
        <w:rPr>
          <w:rFonts w:ascii="Times New Roman" w:hAnsi="Times New Roman"/>
          <w:color w:val="000000" w:themeColor="text1"/>
          <w:sz w:val="16"/>
          <w:szCs w:val="16"/>
        </w:rPr>
        <w:softHyphen/>
        <w:t>садки. Дальнейшая судьба машины не просле живется, однако из переписки завода №39 известно, что какой-то И-5 с М-15 потерпел аварию и не восстанавливался (вероятно это был И-5 №18).</w:t>
      </w:r>
    </w:p>
    <w:p w14:paraId="35AE92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 смотря на аварию, основные выводы в отношении испытывавшегося самолета были, получены. В частности, указывалось, что се</w:t>
      </w:r>
      <w:r w:rsidRPr="005E779E">
        <w:rPr>
          <w:rFonts w:ascii="Times New Roman" w:hAnsi="Times New Roman"/>
          <w:color w:val="000000" w:themeColor="text1"/>
          <w:sz w:val="16"/>
          <w:szCs w:val="16"/>
        </w:rPr>
        <w:softHyphen/>
        <w:t>рийные И-5 с М-15 будут обладать худшими летными данными и меньшим радиусом дей</w:t>
      </w:r>
      <w:r w:rsidRPr="005E779E">
        <w:rPr>
          <w:rFonts w:ascii="Times New Roman" w:hAnsi="Times New Roman"/>
          <w:color w:val="000000" w:themeColor="text1"/>
          <w:sz w:val="16"/>
          <w:szCs w:val="16"/>
        </w:rPr>
        <w:softHyphen/>
        <w:t>ствия, чем И-5 с двигателем «Юпитер» VI. Максимальная полетная скорость самолета с М-15 оказалась немного выше, а скороподъем</w:t>
      </w:r>
      <w:r w:rsidRPr="005E779E">
        <w:rPr>
          <w:rFonts w:ascii="Times New Roman" w:hAnsi="Times New Roman"/>
          <w:color w:val="000000" w:themeColor="text1"/>
          <w:sz w:val="16"/>
          <w:szCs w:val="16"/>
        </w:rPr>
        <w:softHyphen/>
        <w:t>ность чуть ниже, чем у второго опытного эк</w:t>
      </w:r>
      <w:r w:rsidRPr="005E779E">
        <w:rPr>
          <w:rFonts w:ascii="Times New Roman" w:hAnsi="Times New Roman"/>
          <w:color w:val="000000" w:themeColor="text1"/>
          <w:sz w:val="16"/>
          <w:szCs w:val="16"/>
        </w:rPr>
        <w:softHyphen/>
        <w:t>земпляра.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1002C3" w:rsidRPr="005E779E" w14:paraId="130B1E0B" w14:textId="77777777">
        <w:tc>
          <w:tcPr>
            <w:tcW w:w="3736" w:type="dxa"/>
            <w:tcBorders>
              <w:top w:val="single" w:sz="12" w:space="0" w:color="auto"/>
            </w:tcBorders>
          </w:tcPr>
          <w:p w14:paraId="053D54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736" w:type="dxa"/>
            <w:tcBorders>
              <w:top w:val="single" w:sz="12" w:space="0" w:color="auto"/>
            </w:tcBorders>
          </w:tcPr>
          <w:p w14:paraId="1CD258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 М-15</w:t>
            </w:r>
          </w:p>
        </w:tc>
        <w:tc>
          <w:tcPr>
            <w:tcW w:w="3736" w:type="dxa"/>
            <w:tcBorders>
              <w:top w:val="single" w:sz="12" w:space="0" w:color="auto"/>
            </w:tcBorders>
          </w:tcPr>
          <w:p w14:paraId="4C9BE0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 Ю</w:t>
            </w:r>
            <w:r w:rsidRPr="005E779E">
              <w:rPr>
                <w:rFonts w:ascii="Times New Roman" w:hAnsi="Times New Roman"/>
                <w:color w:val="000000" w:themeColor="text1"/>
                <w:sz w:val="16"/>
                <w:szCs w:val="16"/>
                <w:lang w:val="en-US"/>
              </w:rPr>
              <w:t>-VI</w:t>
            </w:r>
          </w:p>
        </w:tc>
      </w:tr>
      <w:tr w:rsidR="001002C3" w:rsidRPr="005E779E" w14:paraId="13A3F5A6" w14:textId="77777777">
        <w:tc>
          <w:tcPr>
            <w:tcW w:w="3736" w:type="dxa"/>
          </w:tcPr>
          <w:p w14:paraId="2C8C47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Скорость максимальная на 1000 м (км/ч)</w:t>
            </w:r>
          </w:p>
        </w:tc>
        <w:tc>
          <w:tcPr>
            <w:tcW w:w="3736" w:type="dxa"/>
          </w:tcPr>
          <w:p w14:paraId="1C9109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266</w:t>
            </w:r>
          </w:p>
        </w:tc>
        <w:tc>
          <w:tcPr>
            <w:tcW w:w="3736" w:type="dxa"/>
          </w:tcPr>
          <w:p w14:paraId="0323E8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258</w:t>
            </w:r>
          </w:p>
        </w:tc>
      </w:tr>
      <w:tr w:rsidR="001002C3" w:rsidRPr="005E779E" w14:paraId="0D379BED" w14:textId="77777777">
        <w:tc>
          <w:tcPr>
            <w:tcW w:w="3736" w:type="dxa"/>
            <w:tcBorders>
              <w:bottom w:val="single" w:sz="12" w:space="0" w:color="auto"/>
            </w:tcBorders>
          </w:tcPr>
          <w:p w14:paraId="14139F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набора 3000 м (мин.)</w:t>
            </w:r>
          </w:p>
        </w:tc>
        <w:tc>
          <w:tcPr>
            <w:tcW w:w="3736" w:type="dxa"/>
            <w:tcBorders>
              <w:bottom w:val="single" w:sz="12" w:space="0" w:color="auto"/>
            </w:tcBorders>
          </w:tcPr>
          <w:p w14:paraId="4FCC53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4,75</w:t>
            </w:r>
          </w:p>
        </w:tc>
        <w:tc>
          <w:tcPr>
            <w:tcW w:w="3736" w:type="dxa"/>
            <w:tcBorders>
              <w:bottom w:val="single" w:sz="12" w:space="0" w:color="auto"/>
            </w:tcBorders>
          </w:tcPr>
          <w:p w14:paraId="6CAB93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4,68</w:t>
            </w:r>
          </w:p>
        </w:tc>
      </w:tr>
    </w:tbl>
    <w:p w14:paraId="296585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тем, значительные усилия, потра</w:t>
      </w:r>
      <w:r w:rsidRPr="005E779E">
        <w:rPr>
          <w:rFonts w:ascii="Times New Roman" w:hAnsi="Times New Roman"/>
          <w:color w:val="000000" w:themeColor="text1"/>
          <w:sz w:val="16"/>
          <w:szCs w:val="16"/>
        </w:rPr>
        <w:softHyphen/>
        <w:t>ченные на внедрение М-15 в производство, и большие на него надежды обусловили про</w:t>
      </w:r>
      <w:r w:rsidRPr="005E779E">
        <w:rPr>
          <w:rFonts w:ascii="Times New Roman" w:hAnsi="Times New Roman"/>
          <w:color w:val="000000" w:themeColor="text1"/>
          <w:sz w:val="16"/>
          <w:szCs w:val="16"/>
        </w:rPr>
        <w:softHyphen/>
        <w:t>должение работ по его внедрению. Было ре</w:t>
      </w:r>
      <w:r w:rsidRPr="005E779E">
        <w:rPr>
          <w:rFonts w:ascii="Times New Roman" w:hAnsi="Times New Roman"/>
          <w:color w:val="000000" w:themeColor="text1"/>
          <w:sz w:val="16"/>
          <w:szCs w:val="16"/>
        </w:rPr>
        <w:softHyphen/>
        <w:t>шено, что в числе первой сотни серийных истребителей должны быть 10 машин с М-15, поэтому еще один самолет оснастили таким двигателем. Он прибыл на аэродром 25 но</w:t>
      </w:r>
      <w:r w:rsidRPr="005E779E">
        <w:rPr>
          <w:rFonts w:ascii="Times New Roman" w:hAnsi="Times New Roman"/>
          <w:color w:val="000000" w:themeColor="text1"/>
          <w:sz w:val="16"/>
          <w:szCs w:val="16"/>
        </w:rPr>
        <w:softHyphen/>
        <w:t>ября 1931 г., далее доводился в бригаде С.А. Кочеригина, в которой готовили чертежи для серийного производства. Впрочем, уже в конце 1931 г. от использования М-15 отказа</w:t>
      </w:r>
      <w:r w:rsidRPr="005E779E">
        <w:rPr>
          <w:rFonts w:ascii="Times New Roman" w:hAnsi="Times New Roman"/>
          <w:color w:val="000000" w:themeColor="text1"/>
          <w:sz w:val="16"/>
          <w:szCs w:val="16"/>
        </w:rPr>
        <w:softHyphen/>
        <w:t>лись и более И-5 с этими двигателями не строились (11974).</w:t>
      </w:r>
    </w:p>
    <w:p w14:paraId="36B4C9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09F4B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 15 июня 1931 г. испытывался с перерывами из-за поломок И-5 с М-15 "Подарок XVI партсъезду" и оказался далеко не подарком. 30 июля того же года приступили к испытаниям доработанного серийного истребителя № 18. Его собрали на заводе № 39 из узлов собственного производства и доставленных с завода № 1. Кое-что на заказ изготовили на заводе № 22 в подмосковных Филях. Лонжероны крыльев и нижний лонжерон фюзеляжа по сравнению с опытными образцами И-5 усилили, одинарные ленты расчалок заменили двойными, ввели дополнительный подкос в мотораме. На самолёте стоял мотор М-15 № 6 из опытной малой серии. Уже при пробных запусках двигателя выявилась тряска в некоторых диапазонах оборотов, всё вокруг забрызгивало маслом. На этой машине совершили всего один полёт, закончившийся аварией. 5 августа на малой высоте мотор заглох - к нему перестал поступать бензин. При вынужденной посадке машина получила серьёзные повреждения. При разборке в магистрали возле крана нашли обрывок мешковины. Истребитель увезли на завод для ремонта, а 10 октября вернули, но уже с серийным мотором, новой моторамой и изменённым капотом. Этот двигатель работал лучше предыдущего, но расход масла оставался чрезмерно большим.</w:t>
      </w:r>
    </w:p>
    <w:p w14:paraId="0A1710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мере освоения производства И-5 с "юпитерами" и М-22 отношение к замыслу модернизировать истребитель путём установки М-15 постепенно менялось. Мотор Бессонова долго и мучительно доводился. В 1930 г. его дважды выставляли на государственные испытания. Ни один из образцов не проработал даже заявленных 25 часов до переборки нагнетателя. Лучший из них продержался 15 часов до разрушения коленчатого вала.</w:t>
      </w:r>
    </w:p>
    <w:p w14:paraId="31ED2D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Оргвыводы были сделаны в духе времени. "Вредитель" Бессонов остался на заводе, но как арестант в составе конструкторского бюро ОГПУ, разрабатывавшего мощный Х-образный двигатель ФЭД ("Феликс Эдмундович Дзержинский"), Работа по М-15 продолжалась без него.</w:t>
      </w:r>
    </w:p>
    <w:p w14:paraId="72E6CA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Один из моторов второй серии ("Б") в январе 1931 г. опять выставили на госиспытания. На 41-м часу развалился фланец крепления одного из цилиндров. Назначенная УВВС комиссия признала двигатель не прошедшим испытания.</w:t>
      </w:r>
    </w:p>
    <w:p w14:paraId="1AFE19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Вместо обещанных первоначально 650 л.с. максимальную мощность М-15 снизили до 600 л.с., а затем вообще до 450 л.с. Ресурс в 25 часов до замены подшипников нагнетателя военных ни с какого боку не устраивал. В НИИ ВВС подготовили заключение, в котором сравнивались М-15 и М-22. В нём отмечалось: "В тактическом отношении М-22 стоит выше М-15... При наличии меньшего веса на 25 кгр по мощности имеет несомненное превосходство..." Действительно, французский двигатель мог развить, пусть и в течение всего двух минут, мощность 585 л.с. При этом он расходовал меньше масла и бензина. По важнейшим характеристикам М-15 уступал и принятому за прототип "Хорнету" - при большем весе он развивал меньшую мощность. Что касается надёжности, то их вообще нельзя было сравнивать. Общий вывод специалистов НИИ ВВС гласил: "М-15 в конструктивном отношении полностью недоработан". Более того, они сочли, что этот двигатель не имеет перспектив развития.</w:t>
      </w:r>
    </w:p>
    <w:p w14:paraId="21316B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УВВС беспокоили и рапорты военных приёмщиков с завода № 24. За десять дней февраля 1931 г. в ходе заводских испытаний вышли из строя восемь двигателей. Детали моторов подгонялись при монтаже и были невзаимозаменяемы. Всю серию "Б" после предъявления военпред отклонил и потребовал довести её до уровня требований технических условий (11997).</w:t>
      </w:r>
    </w:p>
    <w:p w14:paraId="000626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6FB5B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15 июня по август 1931 на гидробазе в Таганроге состоялись гос. испытания ТБ-1 с поплавками от ЮГ-1 и его запустили в серию. Всего на 31 заводе сделали 66 ТБ-1П. Первую партию поплавков заказали шведской фирме Short, а с 1932 - освоили сами (346,17).</w:t>
      </w:r>
    </w:p>
    <w:p w14:paraId="73FD14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D4CAF6C" w14:textId="77777777" w:rsidR="00091E56" w:rsidRPr="005E779E" w:rsidRDefault="00091E56" w:rsidP="000B7A6C">
      <w:pPr>
        <w:spacing w:after="0" w:line="240" w:lineRule="auto"/>
        <w:jc w:val="both"/>
        <w:rPr>
          <w:rFonts w:ascii="Times New Roman" w:hAnsi="Times New Roman"/>
          <w:color w:val="000000" w:themeColor="text1"/>
          <w:sz w:val="16"/>
          <w:szCs w:val="16"/>
          <w:lang w:eastAsia="ru-RU" w:bidi="ru-RU"/>
        </w:rPr>
      </w:pPr>
      <w:r w:rsidRPr="005E779E">
        <w:rPr>
          <w:rFonts w:ascii="Times New Roman" w:hAnsi="Times New Roman"/>
          <w:color w:val="000000" w:themeColor="text1"/>
          <w:sz w:val="16"/>
          <w:szCs w:val="16"/>
          <w:lang w:eastAsia="ru-RU" w:bidi="ru-RU"/>
        </w:rPr>
        <w:t>15 июня 1931 ТБ-1 (заводской №649), поставленный в Таганроге на поплавки, передали морскому отделу НИИ ВВС для госис- пытаний. Их проводили в Севастополе до конца августа. Поплавковый вариант в АГОС назвали ТБ-1а («а» — от «аква», «вода») (20325).</w:t>
      </w:r>
    </w:p>
    <w:p w14:paraId="21F2885F" w14:textId="77777777" w:rsidR="00091E56" w:rsidRPr="005E779E" w:rsidRDefault="00091E56" w:rsidP="000B7A6C">
      <w:pPr>
        <w:spacing w:after="0" w:line="240" w:lineRule="auto"/>
        <w:jc w:val="both"/>
        <w:rPr>
          <w:rFonts w:ascii="Times New Roman" w:hAnsi="Times New Roman"/>
          <w:color w:val="000000" w:themeColor="text1"/>
          <w:sz w:val="16"/>
          <w:szCs w:val="16"/>
          <w:lang w:eastAsia="ru-RU" w:bidi="ru-RU"/>
        </w:rPr>
      </w:pPr>
    </w:p>
    <w:p w14:paraId="4EFDAC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июня 1931 ТБ-1 на поплавках передали морскому отделу НИИ ВВС для госиспытаний. Их проводили в Севастополе до конца августа. Поплавковый вариант в АГОС назвали ТБ-1 а ("а" - от "аква" - "вода").</w:t>
      </w:r>
    </w:p>
    <w:p w14:paraId="74DF45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Увеличение веса пустого самолета и дополнительное аэродинамическое сопротивление от поплавков, разумеется, снизили данные машины. Максимальная скорость не превышала 185 км/ч, потолок - 3620 м. Существенно ухудшились маневренность и скороподъемность. Тем не менее, результаты признали удовлетворительными. По сравнению с имевшимися в морских эскадрильях поплавковыми ЮГ-1 и летающими лодками "Валь", ТБ-1а выгодно отличался возможностью несения боеприпасов крупных калибров, необходимых для поражения боевых кораблей. Машину приняли на вооружение ВВС РККА.</w:t>
      </w:r>
    </w:p>
    <w:p w14:paraId="346BDE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Начали готовиться к серийному производству поплавков. Английский образец обмерили и выполнили чертежи. Серию хотели поручить заводу № 22, но он был перегружен другими заказами. В результате документацию и поплавок-образец перевезли в Таганрог. Там их стали производить под названием "тип Ж" и устанавливать на самолеты, прибывавшие из Москвы.</w:t>
      </w:r>
    </w:p>
    <w:p w14:paraId="294B5F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Монтаж поплавков велся уже после прекращения производства ТБ-1. Всего доработке подверглись 66 самолетов. Серийные поплавковые бомбардировщики именовали ТБ-1П или иногда МТБ-1.</w:t>
      </w:r>
    </w:p>
    <w:p w14:paraId="4B99CA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Принятие на вооружение ТБ-1П сделало ненужным серийное производство другой машины, ТОМ-1. Этот самолет разрабатывался с августа 1928 г. в конструкторском бюро при заводе № 28 под руководством приглашенного из Франции конструктора П. Ришара. По схеме он был близок к ТБ-1П, но получился больше, тяжелее и имел гладкую, а не гофрированную обшивку. Опытный образец ТОМ-1 изготовили в декабре 1931 г. Хотя эта машина значительно превосходила ТБ-1 а по летным данным, от ее запуска в серию отказались из-за технологической сложности и дороговизны конструкции (12001).</w:t>
      </w:r>
    </w:p>
    <w:p w14:paraId="65FE00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0F1ABDD" w14:textId="77777777" w:rsidR="00F07475" w:rsidRPr="005E779E" w:rsidRDefault="00F0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15 июня по август 1931 г. ТБ—1П ус</w:t>
      </w:r>
      <w:r w:rsidRPr="005E779E">
        <w:rPr>
          <w:rFonts w:ascii="Times New Roman" w:hAnsi="Times New Roman"/>
          <w:color w:val="000000" w:themeColor="text1"/>
          <w:sz w:val="16"/>
          <w:szCs w:val="16"/>
        </w:rPr>
        <w:softHyphen/>
        <w:t>пешно прошел государственные испы</w:t>
      </w:r>
      <w:r w:rsidRPr="005E779E">
        <w:rPr>
          <w:rFonts w:ascii="Times New Roman" w:hAnsi="Times New Roman"/>
          <w:color w:val="000000" w:themeColor="text1"/>
          <w:sz w:val="16"/>
          <w:szCs w:val="16"/>
        </w:rPr>
        <w:softHyphen/>
        <w:t>тания был запущен в серийное производство. Все</w:t>
      </w:r>
      <w:r w:rsidRPr="005E779E">
        <w:rPr>
          <w:rFonts w:ascii="Times New Roman" w:hAnsi="Times New Roman"/>
          <w:color w:val="000000" w:themeColor="text1"/>
          <w:sz w:val="16"/>
          <w:szCs w:val="16"/>
        </w:rPr>
        <w:softHyphen/>
        <w:t>го завод №31 в Таганроге построил 66.</w:t>
      </w:r>
    </w:p>
    <w:p w14:paraId="125B067E" w14:textId="77777777" w:rsidR="00F07475" w:rsidRPr="005E779E" w:rsidRDefault="00F074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Первую партию поплавков ВВС заказали английской фирме Short. А с 1932 г. их серийное производство под шифром «Ж» освоил завод №31. Размер поплавков: длина — 10,66 м, ширина и высота —1,15 м, объем — 7,25 м3, масса поплавка шасси — 816 кг (23474).</w:t>
      </w:r>
    </w:p>
    <w:p w14:paraId="4914D502" w14:textId="77777777" w:rsidR="00F07475" w:rsidRPr="005E779E" w:rsidRDefault="00F07475" w:rsidP="000B7A6C">
      <w:pPr>
        <w:spacing w:after="0" w:line="240" w:lineRule="auto"/>
        <w:jc w:val="both"/>
        <w:rPr>
          <w:rFonts w:ascii="Times New Roman" w:hAnsi="Times New Roman"/>
          <w:color w:val="000000" w:themeColor="text1"/>
          <w:sz w:val="16"/>
          <w:szCs w:val="16"/>
        </w:rPr>
      </w:pPr>
    </w:p>
    <w:p w14:paraId="5C71EC00" w14:textId="77777777" w:rsidR="00DA60EA" w:rsidRPr="005E779E" w:rsidRDefault="00DA60EA"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15 июня</w:t>
      </w:r>
      <w:r w:rsidRPr="005E779E">
        <w:rPr>
          <w:rFonts w:ascii="Times New Roman" w:hAnsi="Times New Roman"/>
          <w:color w:val="000000" w:themeColor="text1"/>
          <w:sz w:val="16"/>
          <w:szCs w:val="16"/>
        </w:rPr>
        <w:t xml:space="preserve"> в 1931 году в Севастополе в морском отделе НИИ ВВС начались госиспытания </w:t>
      </w:r>
      <w:hyperlink r:id="rId136" w:tgtFrame="_blank" w:history="1">
        <w:r w:rsidRPr="005E779E">
          <w:rPr>
            <w:rFonts w:ascii="Times New Roman" w:hAnsi="Times New Roman"/>
            <w:color w:val="000000" w:themeColor="text1"/>
            <w:sz w:val="16"/>
            <w:szCs w:val="16"/>
          </w:rPr>
          <w:t xml:space="preserve">«ТБ-1А» </w:t>
        </w:r>
      </w:hyperlink>
      <w:r w:rsidRPr="005E779E">
        <w:rPr>
          <w:rFonts w:ascii="Times New Roman" w:hAnsi="Times New Roman"/>
          <w:color w:val="000000" w:themeColor="text1"/>
          <w:sz w:val="16"/>
          <w:szCs w:val="16"/>
        </w:rPr>
        <w:t>("а" - от "аква" - "вода") на поплавках (14923).</w:t>
      </w:r>
    </w:p>
    <w:p w14:paraId="19779DEF" w14:textId="77777777" w:rsidR="00DA60EA" w:rsidRPr="005E779E" w:rsidRDefault="00DA60EA" w:rsidP="000B7A6C">
      <w:pPr>
        <w:spacing w:after="0" w:line="240" w:lineRule="auto"/>
        <w:jc w:val="both"/>
        <w:rPr>
          <w:rFonts w:ascii="Times New Roman" w:hAnsi="Times New Roman"/>
          <w:color w:val="000000" w:themeColor="text1"/>
          <w:sz w:val="16"/>
          <w:szCs w:val="16"/>
        </w:rPr>
      </w:pPr>
    </w:p>
    <w:p w14:paraId="7E8D8DB0" w14:textId="77777777" w:rsidR="00EA6158" w:rsidRPr="00142305" w:rsidRDefault="00EA6158" w:rsidP="00EA615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15 июня 1931 г. ТБ-1 на поплавках передали морскому отделу НИИ ВВС на государственные испытания. Их проводили в Севастополе до конца августа. Поплавковый вариант в АТОС назвали ТБ-1А («А» - от «аква» - «вода»),</w:t>
      </w:r>
    </w:p>
    <w:p w14:paraId="17819459" w14:textId="77777777" w:rsidR="00EA6158" w:rsidRPr="00142305" w:rsidRDefault="00EA6158" w:rsidP="00EA615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целом увеличение веса пустого самолета и до</w:t>
      </w:r>
      <w:r w:rsidRPr="00142305">
        <w:rPr>
          <w:rFonts w:ascii="Times New Roman" w:hAnsi="Times New Roman"/>
          <w:color w:val="0070C0"/>
          <w:sz w:val="16"/>
          <w:szCs w:val="16"/>
        </w:rPr>
        <w:softHyphen/>
        <w:t>полнительное аэродинамическое сопротивление от поплавков, разумеется, снизили данные машины. Максимальная скорость не превышала 185 км/ч, по</w:t>
      </w:r>
      <w:r w:rsidRPr="00142305">
        <w:rPr>
          <w:rFonts w:ascii="Times New Roman" w:hAnsi="Times New Roman"/>
          <w:color w:val="0070C0"/>
          <w:sz w:val="16"/>
          <w:szCs w:val="16"/>
        </w:rPr>
        <w:softHyphen/>
        <w:t>толок - 3620 м. Существенно ухудшились маневрен</w:t>
      </w:r>
      <w:r w:rsidRPr="00142305">
        <w:rPr>
          <w:rFonts w:ascii="Times New Roman" w:hAnsi="Times New Roman"/>
          <w:color w:val="0070C0"/>
          <w:sz w:val="16"/>
          <w:szCs w:val="16"/>
        </w:rPr>
        <w:softHyphen/>
        <w:t>ность и скороподъемность. Тем не менее, результаты признали удовлетворительными. По сравнению с имев</w:t>
      </w:r>
      <w:r w:rsidRPr="00142305">
        <w:rPr>
          <w:rFonts w:ascii="Times New Roman" w:hAnsi="Times New Roman"/>
          <w:color w:val="0070C0"/>
          <w:sz w:val="16"/>
          <w:szCs w:val="16"/>
        </w:rPr>
        <w:softHyphen/>
        <w:t>шимися в морских эскадрильях поплавковыми ЮГ-1 и летающими лодками Дорнье «Валь», ТБ-1 А выгодно отличался возможностью несения боеприпасов круп</w:t>
      </w:r>
      <w:r w:rsidRPr="00142305">
        <w:rPr>
          <w:rFonts w:ascii="Times New Roman" w:hAnsi="Times New Roman"/>
          <w:color w:val="0070C0"/>
          <w:sz w:val="16"/>
          <w:szCs w:val="16"/>
        </w:rPr>
        <w:softHyphen/>
        <w:t>ных калибров, необходимых для поражения боевых ко</w:t>
      </w:r>
      <w:r w:rsidRPr="00142305">
        <w:rPr>
          <w:rFonts w:ascii="Times New Roman" w:hAnsi="Times New Roman"/>
          <w:color w:val="0070C0"/>
          <w:sz w:val="16"/>
          <w:szCs w:val="16"/>
        </w:rPr>
        <w:softHyphen/>
        <w:t>раблей. Машину приняли на вооружение ВВС РККА.</w:t>
      </w:r>
    </w:p>
    <w:p w14:paraId="6124D41A" w14:textId="77777777" w:rsidR="00EA6158" w:rsidRPr="00142305" w:rsidRDefault="00EA6158" w:rsidP="00EA615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Началась подготовка к серийному производству поплавков. Английский образец обмерили и выполни</w:t>
      </w:r>
      <w:r w:rsidRPr="00142305">
        <w:rPr>
          <w:rFonts w:ascii="Times New Roman" w:hAnsi="Times New Roman"/>
          <w:color w:val="0070C0"/>
          <w:sz w:val="16"/>
          <w:szCs w:val="16"/>
        </w:rPr>
        <w:softHyphen/>
        <w:t>ли чертежи. Серию хотели поручить заводу № 22, но он был перегружен другими заказами. В результате до</w:t>
      </w:r>
      <w:r w:rsidRPr="00142305">
        <w:rPr>
          <w:rFonts w:ascii="Times New Roman" w:hAnsi="Times New Roman"/>
          <w:color w:val="0070C0"/>
          <w:sz w:val="16"/>
          <w:szCs w:val="16"/>
        </w:rPr>
        <w:softHyphen/>
        <w:t>кументацию и поплавок-образец перевезли в Таганрог. Там их стали производить под названием «тип Ж» и устанавливать на самолеты, прибывавшие из Москвы.</w:t>
      </w:r>
    </w:p>
    <w:p w14:paraId="5CE9C502" w14:textId="77777777" w:rsidR="00EA6158" w:rsidRPr="00142305" w:rsidRDefault="00EA6158" w:rsidP="00EA615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Монтаж поплавков велся уже после прекраще</w:t>
      </w:r>
      <w:r w:rsidRPr="00142305">
        <w:rPr>
          <w:rFonts w:ascii="Times New Roman" w:hAnsi="Times New Roman"/>
          <w:color w:val="0070C0"/>
          <w:sz w:val="16"/>
          <w:szCs w:val="16"/>
        </w:rPr>
        <w:softHyphen/>
        <w:t>ния производства ТБ-1. Всего доработке подверглись 66 самолетов. Серийные поплавковые бомбардировщи</w:t>
      </w:r>
      <w:r w:rsidRPr="00142305">
        <w:rPr>
          <w:rFonts w:ascii="Times New Roman" w:hAnsi="Times New Roman"/>
          <w:color w:val="0070C0"/>
          <w:sz w:val="16"/>
          <w:szCs w:val="16"/>
        </w:rPr>
        <w:softHyphen/>
        <w:t>ки именовали ТБ-1П или иногда МТБ-1 (25004).</w:t>
      </w:r>
    </w:p>
    <w:p w14:paraId="0F37B638" w14:textId="77777777" w:rsidR="00EA6158" w:rsidRPr="00142305" w:rsidRDefault="00EA6158" w:rsidP="00EA6158">
      <w:pPr>
        <w:spacing w:after="0" w:line="240" w:lineRule="auto"/>
        <w:jc w:val="both"/>
        <w:rPr>
          <w:rFonts w:ascii="Times New Roman" w:hAnsi="Times New Roman"/>
          <w:color w:val="0070C0"/>
          <w:sz w:val="16"/>
          <w:szCs w:val="16"/>
        </w:rPr>
      </w:pPr>
    </w:p>
    <w:p w14:paraId="6979EDF5" w14:textId="77777777" w:rsidR="00091E56" w:rsidRPr="005E779E" w:rsidRDefault="00091E56"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15 июня 1931 г. по постановлению Совнаркома предусматривалось за 1932 г. выпустить уже 10 000 условных парашютов, доведя темп производства к концу года до 2000 парашютов в месяц. «Условных» потому, что трудоемкость у разных типов отличалась. Парашюты для летчика и летнаба брали за единицу, маленькие грузовые – за половину, а для больших для сброса боевой техники коэффициент поднимался до пяти. В 1933 г. выпуск требовалось увеличить в два раза, в 1934 г. – в три. На условия лицензионного соглашения при этом откровенно наплевали.</w:t>
      </w:r>
    </w:p>
    <w:p w14:paraId="05AABFCD" w14:textId="77777777" w:rsidR="00091E56" w:rsidRPr="005E779E" w:rsidRDefault="00091E56"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Сделать столько в маленькой мастерской было невозможно. Савицкому передали ситценабивную фабрику в Тушино, которая стала именоваться фабрикой N 1 Мостекстильшвейсоюза.</w:t>
      </w:r>
    </w:p>
    <w:p w14:paraId="028CCF41" w14:textId="77777777" w:rsidR="00091E56" w:rsidRPr="005E779E" w:rsidRDefault="00091E56"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Первым освоенным в производстве «Ирвином» стал пилотский, который у нас именовался ПЛ-1. По конструкции он соответствовал оригиналу, но был чуть больше и тяжелее. Диаметр купола равнялся 7,4 м, площадь – 43 м2; весил ПЛ-1 10,5 кг. Почти одновременно приступили к выпуску ПН-1 для наблюдателей. Он имел такой же купол, но ранец подвешивался горизонтально на груди или на боку.</w:t>
      </w:r>
    </w:p>
    <w:p w14:paraId="6EF7916E" w14:textId="77777777" w:rsidR="00091E56" w:rsidRPr="005E779E" w:rsidRDefault="00091E56"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Освоение производства шло нелегко. Не хватало шелка, отечественная ткань была не такой плотной и прочной, как использовавшаяся американцами. Шелковые полотнища большого размера и шнуры для строп поставлял Шелкотрест. Вытяжные тросики и трубки для них сначала закупали за границей, в США приобрели 250 комплектов. Остальные металлические детали делал завод № 33 (21505).</w:t>
      </w:r>
    </w:p>
    <w:p w14:paraId="2A93183C" w14:textId="77777777" w:rsidR="00091E56" w:rsidRPr="005E779E" w:rsidRDefault="00091E56" w:rsidP="000B7A6C">
      <w:pPr>
        <w:spacing w:after="0" w:line="240" w:lineRule="auto"/>
        <w:jc w:val="both"/>
        <w:rPr>
          <w:rFonts w:ascii="Times New Roman" w:hAnsi="Times New Roman"/>
          <w:color w:val="000000" w:themeColor="text1"/>
          <w:sz w:val="16"/>
          <w:szCs w:val="16"/>
          <w:shd w:val="clear" w:color="auto" w:fill="FFFFFF"/>
        </w:rPr>
      </w:pPr>
    </w:p>
    <w:p w14:paraId="5CCEDCD7" w14:textId="77777777" w:rsidR="00091E56" w:rsidRPr="005E779E" w:rsidRDefault="00091E5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июня 1931 года в постановлении СНК СССР, посвященном вооружению и оборудованию самолетов и аэродромов ВВС РККА. Правительство в VII разделе «По парашютам» требовало обеспечить развитие на фабрике № 1 Мостекстильшвейсоюза опытной базы производства образцов парашютов различного назначения.</w:t>
      </w:r>
    </w:p>
    <w:p w14:paraId="06FB1E51" w14:textId="77777777" w:rsidR="00091E56" w:rsidRPr="005E779E" w:rsidRDefault="00091E5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Это позволило бы наладить фактический выпуск парашютов на 1 мая 1932 года по 2.000 парашютов в месяц, а за год выполнить заказ на 10.000 парашютов типа «Ирвинг» для летчиков и летчиков-наблюдателей. Ставилась задача по наращиванию производственных возможностей с таким расчетом, чтобы к 1 мая 1933 года увеличить выпуск парашютов в 2 раза, а к 1 мая 1934 года – в 3 раза (Архив ЦДА и К. Ф. 50. Оп. 1. Д. 3. Л. 12.) (21402).</w:t>
      </w:r>
    </w:p>
    <w:p w14:paraId="6AC6C6B7" w14:textId="77777777" w:rsidR="00091E56" w:rsidRPr="005E779E" w:rsidRDefault="00091E56" w:rsidP="000B7A6C">
      <w:pPr>
        <w:spacing w:after="0" w:line="240" w:lineRule="auto"/>
        <w:jc w:val="both"/>
        <w:rPr>
          <w:rFonts w:ascii="Times New Roman" w:hAnsi="Times New Roman"/>
          <w:color w:val="000000" w:themeColor="text1"/>
          <w:sz w:val="16"/>
          <w:szCs w:val="16"/>
        </w:rPr>
      </w:pPr>
    </w:p>
    <w:p w14:paraId="1CF29CD0" w14:textId="77777777" w:rsidR="00D93444"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227699E0" w14:textId="77777777" w:rsidR="00D93444" w:rsidRPr="005E779E" w:rsidRDefault="00D93444"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AF9F6B3" w14:textId="77777777" w:rsidR="00D93444" w:rsidRPr="005E779E" w:rsidRDefault="00D93444"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bCs/>
          <w:iCs/>
          <w:color w:val="000000" w:themeColor="text1"/>
          <w:sz w:val="16"/>
          <w:szCs w:val="16"/>
        </w:rPr>
        <w:t>15 июня 1931 г.</w:t>
      </w:r>
      <w:r w:rsidRPr="005E779E">
        <w:rPr>
          <w:rFonts w:ascii="Times New Roman" w:hAnsi="Times New Roman"/>
          <w:color w:val="000000" w:themeColor="text1"/>
          <w:sz w:val="16"/>
          <w:szCs w:val="16"/>
        </w:rPr>
        <w:t xml:space="preserve"> Утверждение Я.М.Фишманом инструкции по проведению в августе 1931 года на военно-химическом полигоне во Фролищах (Нижегородская область) тактико-технических испытаний средств химической борьбы. В инструкции было записано следующее: «</w:t>
      </w:r>
      <w:r w:rsidRPr="005E779E">
        <w:rPr>
          <w:rFonts w:ascii="Times New Roman" w:hAnsi="Times New Roman"/>
          <w:iCs/>
          <w:color w:val="000000" w:themeColor="text1"/>
          <w:sz w:val="16"/>
          <w:szCs w:val="16"/>
        </w:rPr>
        <w:t>При стрельбе обнаруженные подтекающие мины должны быть отделены и </w:t>
      </w:r>
      <w:r w:rsidRPr="005E779E">
        <w:rPr>
          <w:rFonts w:ascii="Times New Roman" w:hAnsi="Times New Roman"/>
          <w:bCs/>
          <w:iCs/>
          <w:color w:val="000000" w:themeColor="text1"/>
          <w:sz w:val="16"/>
          <w:szCs w:val="16"/>
        </w:rPr>
        <w:t>зарыты в землю</w:t>
      </w:r>
      <w:r w:rsidRPr="005E779E">
        <w:rPr>
          <w:rFonts w:ascii="Times New Roman" w:hAnsi="Times New Roman"/>
          <w:iCs/>
          <w:color w:val="000000" w:themeColor="text1"/>
          <w:sz w:val="16"/>
          <w:szCs w:val="16"/>
        </w:rPr>
        <w:t>…</w:t>
      </w:r>
      <w:r w:rsidRPr="005E779E">
        <w:rPr>
          <w:rFonts w:ascii="Times New Roman" w:hAnsi="Times New Roman"/>
          <w:color w:val="000000" w:themeColor="text1"/>
          <w:sz w:val="16"/>
          <w:szCs w:val="16"/>
        </w:rPr>
        <w:t>» Инструкцию ту пришлось писать потому, что командир химического батальона, получивший партию мин со снаряжательного завода, был настолько обескуражен протеканием некоторых из них, что решил застраховать себя и написал непосредственно заместителю председателя РВС СССР о «</w:t>
      </w:r>
      <w:r w:rsidRPr="005E779E">
        <w:rPr>
          <w:rFonts w:ascii="Times New Roman" w:hAnsi="Times New Roman"/>
          <w:iCs/>
          <w:color w:val="000000" w:themeColor="text1"/>
          <w:sz w:val="16"/>
          <w:szCs w:val="16"/>
        </w:rPr>
        <w:t>вредительских минах, текущих по всем швам</w:t>
      </w:r>
      <w:r w:rsidRPr="005E779E">
        <w:rPr>
          <w:rFonts w:ascii="Times New Roman" w:hAnsi="Times New Roman"/>
          <w:color w:val="000000" w:themeColor="text1"/>
          <w:sz w:val="16"/>
          <w:szCs w:val="16"/>
        </w:rPr>
        <w:t>». Я.М.Фишман в свою очередь успокоил высокого начальника, выяснив с помощью комиссии, «</w:t>
      </w:r>
      <w:r w:rsidRPr="005E779E">
        <w:rPr>
          <w:rFonts w:ascii="Times New Roman" w:hAnsi="Times New Roman"/>
          <w:iCs/>
          <w:color w:val="000000" w:themeColor="text1"/>
          <w:sz w:val="16"/>
          <w:szCs w:val="16"/>
        </w:rPr>
        <w:t>что дают утечку ОВ около 1% изготовленных мин, что … не дает никаких поводов к панике</w:t>
      </w:r>
      <w:r w:rsidRPr="005E779E">
        <w:rPr>
          <w:rFonts w:ascii="Times New Roman" w:hAnsi="Times New Roman"/>
          <w:color w:val="000000" w:themeColor="text1"/>
          <w:sz w:val="16"/>
          <w:szCs w:val="16"/>
        </w:rPr>
        <w:t>». Паника была предотвращена, а 1% от опытной партии мин и поныне покоятся где-то во Фролищах в земле полигона (17133).</w:t>
      </w:r>
    </w:p>
    <w:p w14:paraId="227A0014" w14:textId="77777777" w:rsidR="00D93444" w:rsidRPr="005E779E" w:rsidRDefault="00D93444" w:rsidP="000B7A6C">
      <w:pPr>
        <w:shd w:val="clear" w:color="auto" w:fill="FFFFFF"/>
        <w:spacing w:after="0" w:line="240" w:lineRule="auto"/>
        <w:jc w:val="both"/>
        <w:rPr>
          <w:rFonts w:ascii="Times New Roman" w:hAnsi="Times New Roman"/>
          <w:color w:val="000000" w:themeColor="text1"/>
          <w:sz w:val="16"/>
          <w:szCs w:val="16"/>
        </w:rPr>
      </w:pPr>
    </w:p>
    <w:p w14:paraId="3D61CAF2"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6BB36AEC"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D19C4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июня 1931 Пленум ЦК ВКП(б) принял решение о строительстве метро (3398,171).</w:t>
      </w:r>
    </w:p>
    <w:p w14:paraId="409D5A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FB169FF" w14:textId="77777777" w:rsidR="00DA60EA" w:rsidRPr="005E779E" w:rsidRDefault="00DA60EA"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15 июня</w:t>
      </w:r>
      <w:r w:rsidRPr="005E779E">
        <w:rPr>
          <w:rFonts w:ascii="Times New Roman" w:hAnsi="Times New Roman"/>
          <w:color w:val="000000" w:themeColor="text1"/>
          <w:sz w:val="16"/>
          <w:szCs w:val="16"/>
        </w:rPr>
        <w:t xml:space="preserve"> в 1931 году Пленум ЦК ВКП(б) принял постановление «О строительстве московского метрополитена». В документе содержалось указание «немедленно приступить к подготовительной работе по сооружению метро в Москве, как главного средства, разрешающего проблему быстрых и дешевых людских перевозок». Первая линия «Сокольники» - «Парк культуры» открылась в мае 1935 года (14923).</w:t>
      </w:r>
    </w:p>
    <w:p w14:paraId="043C61B0" w14:textId="77777777" w:rsidR="00DA60EA" w:rsidRPr="005E779E" w:rsidRDefault="00DA60EA" w:rsidP="000B7A6C">
      <w:pPr>
        <w:spacing w:after="0" w:line="240" w:lineRule="auto"/>
        <w:jc w:val="both"/>
        <w:rPr>
          <w:rFonts w:ascii="Times New Roman" w:hAnsi="Times New Roman"/>
          <w:color w:val="000000" w:themeColor="text1"/>
          <w:sz w:val="16"/>
          <w:szCs w:val="16"/>
        </w:rPr>
      </w:pPr>
    </w:p>
    <w:p w14:paraId="45B507CE" w14:textId="77777777" w:rsidR="00091E56" w:rsidRPr="005E779E" w:rsidRDefault="00091E5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июня 1931 Пленум ЦК ВКП(б) принял Постановление о строительстве московского метрополитена. Его строительство было начато в ноябре 1931 г., и первая линия «Сокольники» — «Парк культуры» была открыта 15 мая 1935 года (21166).</w:t>
      </w:r>
    </w:p>
    <w:p w14:paraId="4CF95668" w14:textId="77777777" w:rsidR="00091E56" w:rsidRPr="005E779E" w:rsidRDefault="00091E56" w:rsidP="000B7A6C">
      <w:pPr>
        <w:spacing w:after="0" w:line="240" w:lineRule="auto"/>
        <w:jc w:val="both"/>
        <w:rPr>
          <w:rFonts w:ascii="Times New Roman" w:hAnsi="Times New Roman"/>
          <w:color w:val="000000" w:themeColor="text1"/>
          <w:sz w:val="16"/>
          <w:szCs w:val="16"/>
        </w:rPr>
      </w:pPr>
    </w:p>
    <w:p w14:paraId="1474B531" w14:textId="77777777" w:rsidR="00091E56" w:rsidRPr="005E779E" w:rsidRDefault="00091E5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июня 1931 г. вышло постановление Пленума ЦК ВКП(б) от «О Московском городском хозяйстве и о развитии городского хозяйства СССР», в котором говорилось об организации в столице движения нового вида городского наземного транспорта — троллейбуса. Разрабатывали конструкцию первого советского троллейбуса инженеры НАТИ (Научно-опытного автотракторного института, в дальнейшем — НАМИ) под руководством А. Липгарта (22735).</w:t>
      </w:r>
    </w:p>
    <w:p w14:paraId="5C57D15F" w14:textId="77777777" w:rsidR="00091E56" w:rsidRPr="005E779E" w:rsidRDefault="00091E56" w:rsidP="000B7A6C">
      <w:pPr>
        <w:spacing w:after="0" w:line="240" w:lineRule="auto"/>
        <w:jc w:val="both"/>
        <w:rPr>
          <w:rFonts w:ascii="Times New Roman" w:hAnsi="Times New Roman"/>
          <w:color w:val="000000" w:themeColor="text1"/>
          <w:sz w:val="16"/>
          <w:szCs w:val="16"/>
        </w:rPr>
      </w:pPr>
    </w:p>
    <w:p w14:paraId="1B7C4EC4"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Внешняя политика:</w:t>
      </w:r>
    </w:p>
    <w:p w14:paraId="0AE68707"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8D6D8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июня 1931 СССР и Польша заключили договор о дружбе и торговом сотрудничестве (3907,167).</w:t>
      </w:r>
    </w:p>
    <w:p w14:paraId="753CB9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59A191F"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73C27F45"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7995F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июня 1931 г. в Германии были проведены первые испытания ракеты Тилинга. В 1932 г. Тилинг в очередной раз усовершенствовал конструкцию своей ракеты: в полете раскрывались только два крыла, а четыре стабилизатора в качестве хвостового оперения оставались неподвижными. Тилинг не рассматривал возможность установки на своей КР ни системы автоматического управления, ни жидкостного ракетного двигателя (11686).</w:t>
      </w:r>
    </w:p>
    <w:p w14:paraId="21E109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13D57B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июня 1931 в Бискайском заливе затонул французский пароход «Сен-Филибер», в результате чего погибли 500 человек (4962).</w:t>
      </w:r>
    </w:p>
    <w:p w14:paraId="395BCD5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E18116" w14:textId="77777777" w:rsidR="00DA60EA" w:rsidRPr="005E779E" w:rsidRDefault="00DA60EA"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15 июня</w:t>
      </w:r>
      <w:r w:rsidRPr="005E779E">
        <w:rPr>
          <w:rFonts w:ascii="Times New Roman" w:hAnsi="Times New Roman"/>
          <w:color w:val="000000" w:themeColor="text1"/>
          <w:sz w:val="16"/>
          <w:szCs w:val="16"/>
        </w:rPr>
        <w:t xml:space="preserve"> в 1931 году началась война Боливии с Парагваем из-за территории Чако. Боливия обладала большей и лучше вооруженной армией, но парагвайцами руководили русские офицеры-эмигранты (около 80 человек). Опираясь на укрепленные пункты, дивиерсионные отряды парагвайцев к 1935 году взяли под контроль спорную территорию и около 300 т. боливийцев пленными. Потери сторон - до 250 т.ч. убитыми и ранеными. Именами русских офицеров в столице Парагвая Асунсьоне названы 10 улиц (14923).</w:t>
      </w:r>
    </w:p>
    <w:p w14:paraId="1321F3D9" w14:textId="77777777" w:rsidR="00DA60EA" w:rsidRPr="005E779E" w:rsidRDefault="00DA60EA" w:rsidP="000B7A6C">
      <w:pPr>
        <w:spacing w:after="0" w:line="240" w:lineRule="auto"/>
        <w:jc w:val="both"/>
        <w:rPr>
          <w:rFonts w:ascii="Times New Roman" w:hAnsi="Times New Roman"/>
          <w:color w:val="000000" w:themeColor="text1"/>
          <w:sz w:val="16"/>
          <w:szCs w:val="16"/>
        </w:rPr>
      </w:pPr>
    </w:p>
    <w:p w14:paraId="189490EB"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16884CF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7306615" w14:textId="77777777" w:rsidR="00091E56" w:rsidRPr="005E779E" w:rsidRDefault="00091E5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К середине июня 1931 специалистами НИИ ВВС был подготовлен проект плана опытного и серийного самолето- и моторостроения на период 1931-34 гг., но его доработка по результатам обсужде</w:t>
      </w:r>
      <w:r w:rsidRPr="005E779E">
        <w:rPr>
          <w:rFonts w:ascii="Times New Roman" w:hAnsi="Times New Roman"/>
          <w:color w:val="000000" w:themeColor="text1"/>
          <w:sz w:val="16"/>
          <w:szCs w:val="16"/>
          <w:lang w:eastAsia="ru-RU" w:bidi="ru-RU"/>
        </w:rPr>
        <w:softHyphen/>
        <w:t>ния с заинтересованными подразделени</w:t>
      </w:r>
      <w:r w:rsidRPr="005E779E">
        <w:rPr>
          <w:rFonts w:ascii="Times New Roman" w:hAnsi="Times New Roman"/>
          <w:color w:val="000000" w:themeColor="text1"/>
          <w:sz w:val="16"/>
          <w:szCs w:val="16"/>
          <w:lang w:eastAsia="ru-RU" w:bidi="ru-RU"/>
        </w:rPr>
        <w:softHyphen/>
        <w:t>ями Управления ВВС, НТК и штаба ВВС за</w:t>
      </w:r>
      <w:r w:rsidRPr="005E779E">
        <w:rPr>
          <w:rFonts w:ascii="Times New Roman" w:hAnsi="Times New Roman"/>
          <w:color w:val="000000" w:themeColor="text1"/>
          <w:sz w:val="16"/>
          <w:szCs w:val="16"/>
          <w:lang w:eastAsia="ru-RU" w:bidi="ru-RU"/>
        </w:rPr>
        <w:softHyphen/>
        <w:t>вершилась лишь к началу августа.</w:t>
      </w:r>
    </w:p>
    <w:p w14:paraId="66C8DF76" w14:textId="77777777" w:rsidR="00091E56" w:rsidRPr="005E779E" w:rsidRDefault="00091E5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Наряду с другими предложениями, ре</w:t>
      </w:r>
      <w:r w:rsidRPr="005E779E">
        <w:rPr>
          <w:rFonts w:ascii="Times New Roman" w:hAnsi="Times New Roman"/>
          <w:color w:val="000000" w:themeColor="text1"/>
          <w:sz w:val="16"/>
          <w:szCs w:val="16"/>
          <w:lang w:eastAsia="ru-RU" w:bidi="ru-RU"/>
        </w:rPr>
        <w:softHyphen/>
        <w:t>комендовалось считать мотор М-17 ос</w:t>
      </w:r>
      <w:r w:rsidRPr="005E779E">
        <w:rPr>
          <w:rFonts w:ascii="Times New Roman" w:hAnsi="Times New Roman"/>
          <w:color w:val="000000" w:themeColor="text1"/>
          <w:sz w:val="16"/>
          <w:szCs w:val="16"/>
          <w:lang w:eastAsia="ru-RU" w:bidi="ru-RU"/>
        </w:rPr>
        <w:softHyphen/>
        <w:t>новным для строящихся в 1932 г. самоле</w:t>
      </w:r>
      <w:r w:rsidRPr="005E779E">
        <w:rPr>
          <w:rFonts w:ascii="Times New Roman" w:hAnsi="Times New Roman"/>
          <w:color w:val="000000" w:themeColor="text1"/>
          <w:sz w:val="16"/>
          <w:szCs w:val="16"/>
          <w:lang w:eastAsia="ru-RU" w:bidi="ru-RU"/>
        </w:rPr>
        <w:softHyphen/>
        <w:t>тов. Именно на этот мотор следовало ори</w:t>
      </w:r>
      <w:r w:rsidRPr="005E779E">
        <w:rPr>
          <w:rFonts w:ascii="Times New Roman" w:hAnsi="Times New Roman"/>
          <w:color w:val="000000" w:themeColor="text1"/>
          <w:sz w:val="16"/>
          <w:szCs w:val="16"/>
          <w:lang w:eastAsia="ru-RU" w:bidi="ru-RU"/>
        </w:rPr>
        <w:softHyphen/>
        <w:t>ентировать конструкторские коллективы и заводы. В то же время все работы по мо</w:t>
      </w:r>
      <w:r w:rsidRPr="005E779E">
        <w:rPr>
          <w:rFonts w:ascii="Times New Roman" w:hAnsi="Times New Roman"/>
          <w:color w:val="000000" w:themeColor="text1"/>
          <w:sz w:val="16"/>
          <w:szCs w:val="16"/>
          <w:lang w:eastAsia="ru-RU" w:bidi="ru-RU"/>
        </w:rPr>
        <w:softHyphen/>
        <w:t>тору М-27 предлагалось свернуть в пользу мотора М-34, который имел лучшие пер</w:t>
      </w:r>
      <w:r w:rsidRPr="005E779E">
        <w:rPr>
          <w:rFonts w:ascii="Times New Roman" w:hAnsi="Times New Roman"/>
          <w:color w:val="000000" w:themeColor="text1"/>
          <w:sz w:val="16"/>
          <w:szCs w:val="16"/>
          <w:lang w:eastAsia="ru-RU" w:bidi="ru-RU"/>
        </w:rPr>
        <w:softHyphen/>
        <w:t>спективы развития.</w:t>
      </w:r>
    </w:p>
    <w:p w14:paraId="433195AC" w14:textId="77777777" w:rsidR="00091E56" w:rsidRPr="005E779E" w:rsidRDefault="00091E5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В этой связи предполагалось самолет ТШ-2 серийно выпускать сначала с мото</w:t>
      </w:r>
      <w:r w:rsidRPr="005E779E">
        <w:rPr>
          <w:rFonts w:ascii="Times New Roman" w:hAnsi="Times New Roman"/>
          <w:color w:val="000000" w:themeColor="text1"/>
          <w:sz w:val="16"/>
          <w:szCs w:val="16"/>
          <w:lang w:eastAsia="ru-RU" w:bidi="ru-RU"/>
        </w:rPr>
        <w:softHyphen/>
        <w:t>ром М-17, а затем с мотором М-34.</w:t>
      </w:r>
    </w:p>
    <w:p w14:paraId="6047BF39" w14:textId="77777777" w:rsidR="00091E56" w:rsidRPr="005E779E" w:rsidRDefault="00091E5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С учетом принятых решений счита</w:t>
      </w:r>
      <w:r w:rsidRPr="005E779E">
        <w:rPr>
          <w:rFonts w:ascii="Times New Roman" w:hAnsi="Times New Roman"/>
          <w:color w:val="000000" w:themeColor="text1"/>
          <w:sz w:val="16"/>
          <w:szCs w:val="16"/>
          <w:lang w:eastAsia="ru-RU" w:bidi="ru-RU"/>
        </w:rPr>
        <w:softHyphen/>
        <w:t>лось необходимым форсировать органи</w:t>
      </w:r>
      <w:r w:rsidRPr="005E779E">
        <w:rPr>
          <w:rFonts w:ascii="Times New Roman" w:hAnsi="Times New Roman"/>
          <w:color w:val="000000" w:themeColor="text1"/>
          <w:sz w:val="16"/>
          <w:szCs w:val="16"/>
          <w:lang w:eastAsia="ru-RU" w:bidi="ru-RU"/>
        </w:rPr>
        <w:softHyphen/>
        <w:t>зацию массовой серии М-34 на заводе №24, обеспечив его выпуск уже с сере</w:t>
      </w:r>
      <w:r w:rsidRPr="005E779E">
        <w:rPr>
          <w:rFonts w:ascii="Times New Roman" w:hAnsi="Times New Roman"/>
          <w:color w:val="000000" w:themeColor="text1"/>
          <w:sz w:val="16"/>
          <w:szCs w:val="16"/>
          <w:lang w:eastAsia="ru-RU" w:bidi="ru-RU"/>
        </w:rPr>
        <w:softHyphen/>
        <w:t>дины 1932 г. От ВАО требовалось разра</w:t>
      </w:r>
      <w:r w:rsidRPr="005E779E">
        <w:rPr>
          <w:rFonts w:ascii="Times New Roman" w:hAnsi="Times New Roman"/>
          <w:color w:val="000000" w:themeColor="text1"/>
          <w:sz w:val="16"/>
          <w:szCs w:val="16"/>
          <w:lang w:eastAsia="ru-RU" w:bidi="ru-RU"/>
        </w:rPr>
        <w:softHyphen/>
        <w:t>ботать порядок и сроки замены мотора М-17 в производстве мотором М-34 с та</w:t>
      </w:r>
      <w:r w:rsidRPr="005E779E">
        <w:rPr>
          <w:rFonts w:ascii="Times New Roman" w:hAnsi="Times New Roman"/>
          <w:color w:val="000000" w:themeColor="text1"/>
          <w:sz w:val="16"/>
          <w:szCs w:val="16"/>
          <w:lang w:eastAsia="ru-RU" w:bidi="ru-RU"/>
        </w:rPr>
        <w:softHyphen/>
        <w:t>ким расчетом, чтобы к середине 1933 г. полностью прекратить его изготовление.</w:t>
      </w:r>
    </w:p>
    <w:p w14:paraId="3B7FE272" w14:textId="77777777" w:rsidR="00091E56" w:rsidRPr="005E779E" w:rsidRDefault="00091E5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В системе вооружения ВВС планиро</w:t>
      </w:r>
      <w:r w:rsidRPr="005E779E">
        <w:rPr>
          <w:rFonts w:ascii="Times New Roman" w:hAnsi="Times New Roman"/>
          <w:color w:val="000000" w:themeColor="text1"/>
          <w:sz w:val="16"/>
          <w:szCs w:val="16"/>
          <w:lang w:eastAsia="ru-RU" w:bidi="ru-RU"/>
        </w:rPr>
        <w:softHyphen/>
        <w:t>валось иметь легкий одноместный штур</w:t>
      </w:r>
      <w:r w:rsidRPr="005E779E">
        <w:rPr>
          <w:rFonts w:ascii="Times New Roman" w:hAnsi="Times New Roman"/>
          <w:color w:val="000000" w:themeColor="text1"/>
          <w:sz w:val="16"/>
          <w:szCs w:val="16"/>
          <w:lang w:eastAsia="ru-RU" w:bidi="ru-RU"/>
        </w:rPr>
        <w:softHyphen/>
        <w:t>мовик ЛШ-4 М-22 (на базе серийного ис</w:t>
      </w:r>
      <w:r w:rsidRPr="005E779E">
        <w:rPr>
          <w:rFonts w:ascii="Times New Roman" w:hAnsi="Times New Roman"/>
          <w:color w:val="000000" w:themeColor="text1"/>
          <w:sz w:val="16"/>
          <w:szCs w:val="16"/>
          <w:lang w:eastAsia="ru-RU" w:bidi="ru-RU"/>
        </w:rPr>
        <w:softHyphen/>
        <w:t>требителя И-5 - «как штурмовик мало</w:t>
      </w:r>
      <w:r w:rsidRPr="005E779E">
        <w:rPr>
          <w:rFonts w:ascii="Times New Roman" w:hAnsi="Times New Roman"/>
          <w:color w:val="000000" w:themeColor="text1"/>
          <w:sz w:val="16"/>
          <w:szCs w:val="16"/>
          <w:lang w:eastAsia="ru-RU" w:bidi="ru-RU"/>
        </w:rPr>
        <w:softHyphen/>
        <w:t>пригоден, /.../ остается только с целью ис</w:t>
      </w:r>
      <w:r w:rsidRPr="005E779E">
        <w:rPr>
          <w:rFonts w:ascii="Times New Roman" w:hAnsi="Times New Roman"/>
          <w:color w:val="000000" w:themeColor="text1"/>
          <w:sz w:val="16"/>
          <w:szCs w:val="16"/>
          <w:lang w:eastAsia="ru-RU" w:bidi="ru-RU"/>
        </w:rPr>
        <w:softHyphen/>
        <w:t>пользования И-5 по снятию с вооружения истребительной авиации») и легкий бро</w:t>
      </w:r>
      <w:r w:rsidRPr="005E779E">
        <w:rPr>
          <w:rFonts w:ascii="Times New Roman" w:hAnsi="Times New Roman"/>
          <w:color w:val="000000" w:themeColor="text1"/>
          <w:sz w:val="16"/>
          <w:szCs w:val="16"/>
          <w:lang w:eastAsia="ru-RU" w:bidi="ru-RU"/>
        </w:rPr>
        <w:softHyphen/>
        <w:t>нированный штурмовик ЛБШ-3 с М-34 («модификация ТШ-2»). Двухмоторный тя</w:t>
      </w:r>
      <w:r w:rsidRPr="005E779E">
        <w:rPr>
          <w:rFonts w:ascii="Times New Roman" w:hAnsi="Times New Roman"/>
          <w:color w:val="000000" w:themeColor="text1"/>
          <w:sz w:val="16"/>
          <w:szCs w:val="16"/>
          <w:lang w:eastAsia="ru-RU" w:bidi="ru-RU"/>
        </w:rPr>
        <w:softHyphen/>
        <w:t>желый штурмовик ТШ-1 из плана опыт</w:t>
      </w:r>
      <w:r w:rsidRPr="005E779E">
        <w:rPr>
          <w:rFonts w:ascii="Times New Roman" w:hAnsi="Times New Roman"/>
          <w:color w:val="000000" w:themeColor="text1"/>
          <w:sz w:val="16"/>
          <w:szCs w:val="16"/>
          <w:lang w:eastAsia="ru-RU" w:bidi="ru-RU"/>
        </w:rPr>
        <w:softHyphen/>
        <w:t>ного строительства исключался.</w:t>
      </w:r>
    </w:p>
    <w:p w14:paraId="341F091B" w14:textId="77777777" w:rsidR="00091E56" w:rsidRPr="005E779E" w:rsidRDefault="00091E5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Предъявление на государственные ис</w:t>
      </w:r>
      <w:r w:rsidRPr="005E779E">
        <w:rPr>
          <w:rFonts w:ascii="Times New Roman" w:hAnsi="Times New Roman"/>
          <w:color w:val="000000" w:themeColor="text1"/>
          <w:sz w:val="16"/>
          <w:szCs w:val="16"/>
          <w:lang w:eastAsia="ru-RU" w:bidi="ru-RU"/>
        </w:rPr>
        <w:softHyphen/>
        <w:t>пытания самолета ЛБШ-3 предполагалось к 1 августа, а ЛШ-4 - к 1 марта 1932 г.</w:t>
      </w:r>
    </w:p>
    <w:p w14:paraId="25AD148C" w14:textId="77777777" w:rsidR="00091E56" w:rsidRPr="005E779E" w:rsidRDefault="00091E5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Серийное производство ЛБШ-3 рас</w:t>
      </w:r>
      <w:r w:rsidRPr="005E779E">
        <w:rPr>
          <w:rFonts w:ascii="Times New Roman" w:hAnsi="Times New Roman"/>
          <w:color w:val="000000" w:themeColor="text1"/>
          <w:sz w:val="16"/>
          <w:szCs w:val="16"/>
          <w:lang w:eastAsia="ru-RU" w:bidi="ru-RU"/>
        </w:rPr>
        <w:softHyphen/>
        <w:t>считывали организовать на заводе №1 в Москве (где выпускался разведчик и легкий бомбардировщик Р-5 М-17), а ЛШ-4 - на заводе № 21 в Нижнем Нов</w:t>
      </w:r>
      <w:r w:rsidRPr="005E779E">
        <w:rPr>
          <w:rFonts w:ascii="Times New Roman" w:hAnsi="Times New Roman"/>
          <w:color w:val="000000" w:themeColor="text1"/>
          <w:sz w:val="16"/>
          <w:szCs w:val="16"/>
          <w:lang w:eastAsia="ru-RU" w:bidi="ru-RU"/>
        </w:rPr>
        <w:softHyphen/>
        <w:t>городе (где намечался массовый выпуск истребителя И-5 М-22).</w:t>
      </w:r>
    </w:p>
    <w:p w14:paraId="7BF9FA20" w14:textId="77777777" w:rsidR="00091E56" w:rsidRPr="005E779E" w:rsidRDefault="00091E56" w:rsidP="000B7A6C">
      <w:pPr>
        <w:spacing w:after="0" w:line="240" w:lineRule="auto"/>
        <w:jc w:val="both"/>
        <w:rPr>
          <w:rFonts w:ascii="Times New Roman" w:hAnsi="Times New Roman"/>
          <w:color w:val="000000" w:themeColor="text1"/>
          <w:sz w:val="16"/>
          <w:szCs w:val="16"/>
          <w:lang w:eastAsia="ru-RU" w:bidi="ru-RU"/>
        </w:rPr>
      </w:pPr>
      <w:r w:rsidRPr="005E779E">
        <w:rPr>
          <w:rFonts w:ascii="Times New Roman" w:hAnsi="Times New Roman"/>
          <w:color w:val="000000" w:themeColor="text1"/>
          <w:sz w:val="16"/>
          <w:szCs w:val="16"/>
          <w:lang w:eastAsia="ru-RU" w:bidi="ru-RU"/>
        </w:rPr>
        <w:t>Примерно в это же время ЦКБ подго</w:t>
      </w:r>
      <w:r w:rsidRPr="005E779E">
        <w:rPr>
          <w:rFonts w:ascii="Times New Roman" w:hAnsi="Times New Roman"/>
          <w:color w:val="000000" w:themeColor="text1"/>
          <w:sz w:val="16"/>
          <w:szCs w:val="16"/>
          <w:lang w:eastAsia="ru-RU" w:bidi="ru-RU"/>
        </w:rPr>
        <w:softHyphen/>
        <w:t>товило свой вариант проекта плана стро</w:t>
      </w:r>
      <w:r w:rsidRPr="005E779E">
        <w:rPr>
          <w:rFonts w:ascii="Times New Roman" w:hAnsi="Times New Roman"/>
          <w:color w:val="000000" w:themeColor="text1"/>
          <w:sz w:val="16"/>
          <w:szCs w:val="16"/>
          <w:lang w:eastAsia="ru-RU" w:bidi="ru-RU"/>
        </w:rPr>
        <w:softHyphen/>
        <w:t>ительства опытных самолетов до 1934 г. (21062).</w:t>
      </w:r>
    </w:p>
    <w:p w14:paraId="3FFD9177" w14:textId="77777777" w:rsidR="00091E56" w:rsidRPr="005E779E" w:rsidRDefault="00091E56" w:rsidP="000B7A6C">
      <w:pPr>
        <w:spacing w:after="0" w:line="240" w:lineRule="auto"/>
        <w:jc w:val="both"/>
        <w:rPr>
          <w:rFonts w:ascii="Times New Roman" w:hAnsi="Times New Roman"/>
          <w:color w:val="000000" w:themeColor="text1"/>
          <w:sz w:val="16"/>
          <w:szCs w:val="16"/>
          <w:lang w:eastAsia="ru-RU" w:bidi="ru-RU"/>
        </w:rPr>
      </w:pPr>
    </w:p>
    <w:p w14:paraId="05FE093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середине июня 1931 г. состоялся смотр авиацион</w:t>
      </w:r>
      <w:r w:rsidRPr="005E779E">
        <w:rPr>
          <w:rFonts w:ascii="Times New Roman" w:hAnsi="Times New Roman"/>
          <w:color w:val="000000" w:themeColor="text1"/>
          <w:sz w:val="16"/>
          <w:szCs w:val="16"/>
        </w:rPr>
        <w:softHyphen/>
        <w:t>ной техники. На Центральный аэродром приехали Ста</w:t>
      </w:r>
      <w:r w:rsidRPr="005E779E">
        <w:rPr>
          <w:rFonts w:ascii="Times New Roman" w:hAnsi="Times New Roman"/>
          <w:color w:val="000000" w:themeColor="text1"/>
          <w:sz w:val="16"/>
          <w:szCs w:val="16"/>
        </w:rPr>
        <w:softHyphen/>
        <w:t>лин, Ворошилов, Орджоникидзе, другие партийные и государственные деятели. В печати об этом событии не появилось ни строчки. Правительственные машины прибыли в одиннадцать часов. Начальник ВВС П.И.Ба</w:t>
      </w:r>
      <w:r w:rsidRPr="005E779E">
        <w:rPr>
          <w:rFonts w:ascii="Times New Roman" w:hAnsi="Times New Roman"/>
          <w:color w:val="000000" w:themeColor="text1"/>
          <w:sz w:val="16"/>
          <w:szCs w:val="16"/>
        </w:rPr>
        <w:softHyphen/>
        <w:t>ранов отдал рапорт Председателю Совнаркома. На лет</w:t>
      </w:r>
      <w:r w:rsidRPr="005E779E">
        <w:rPr>
          <w:rFonts w:ascii="Times New Roman" w:hAnsi="Times New Roman"/>
          <w:color w:val="000000" w:themeColor="text1"/>
          <w:sz w:val="16"/>
          <w:szCs w:val="16"/>
        </w:rPr>
        <w:softHyphen/>
        <w:t>ном поле выстроились истребители, разведчики, бомбардировщики, в том числе готовая к вылету пара истребителей И-5, за ними на стоянке - И-4, И-5, а ря</w:t>
      </w:r>
      <w:r w:rsidRPr="005E779E">
        <w:rPr>
          <w:rFonts w:ascii="Times New Roman" w:hAnsi="Times New Roman"/>
          <w:color w:val="000000" w:themeColor="text1"/>
          <w:sz w:val="16"/>
          <w:szCs w:val="16"/>
        </w:rPr>
        <w:softHyphen/>
        <w:t>дом, для сравнения, французский истребитель «Потез», отечественные разведчики Р-5, опытный экземпляр бомбардировщика ТБ-3, другие машины. Сталин приблизился, дымя папиросой. Когда до сто</w:t>
      </w:r>
      <w:r w:rsidRPr="005E779E">
        <w:rPr>
          <w:rFonts w:ascii="Times New Roman" w:hAnsi="Times New Roman"/>
          <w:color w:val="000000" w:themeColor="text1"/>
          <w:sz w:val="16"/>
          <w:szCs w:val="16"/>
        </w:rPr>
        <w:softHyphen/>
        <w:t>янки истребителей оставалось около десяти шагов, ком</w:t>
      </w:r>
      <w:r w:rsidRPr="005E779E">
        <w:rPr>
          <w:rFonts w:ascii="Times New Roman" w:hAnsi="Times New Roman"/>
          <w:color w:val="000000" w:themeColor="text1"/>
          <w:sz w:val="16"/>
          <w:szCs w:val="16"/>
        </w:rPr>
        <w:softHyphen/>
        <w:t>бриг Туржанский подошел к Сталину и громко сказал: «Извините, Иосиф Виссарионович, может быть, Вы здесь докурите? У самолетов нельзя...». Его поддержал начальник ВВС П.И.Баранов. Сталин остановился и, ни</w:t>
      </w:r>
      <w:r w:rsidRPr="005E779E">
        <w:rPr>
          <w:rFonts w:ascii="Times New Roman" w:hAnsi="Times New Roman"/>
          <w:color w:val="000000" w:themeColor="text1"/>
          <w:sz w:val="16"/>
          <w:szCs w:val="16"/>
        </w:rPr>
        <w:softHyphen/>
        <w:t>чего не сказав, каблуком вдавил окурок в землю. В принципе и Туржанский, и Баранов были правы: прави</w:t>
      </w:r>
      <w:r w:rsidRPr="005E779E">
        <w:rPr>
          <w:rFonts w:ascii="Times New Roman" w:hAnsi="Times New Roman"/>
          <w:color w:val="000000" w:themeColor="text1"/>
          <w:sz w:val="16"/>
          <w:szCs w:val="16"/>
        </w:rPr>
        <w:softHyphen/>
        <w:t>ла пожарной безопасности являются общими для всех. Однако то же самое можно сказать полушепотом, в сто</w:t>
      </w:r>
      <w:r w:rsidRPr="005E779E">
        <w:rPr>
          <w:rFonts w:ascii="Times New Roman" w:hAnsi="Times New Roman"/>
          <w:color w:val="000000" w:themeColor="text1"/>
          <w:sz w:val="16"/>
          <w:szCs w:val="16"/>
        </w:rPr>
        <w:softHyphen/>
        <w:t>роне, не привлекая внимания. Существуют определен</w:t>
      </w:r>
      <w:r w:rsidRPr="005E779E">
        <w:rPr>
          <w:rFonts w:ascii="Times New Roman" w:hAnsi="Times New Roman"/>
          <w:color w:val="000000" w:themeColor="text1"/>
          <w:sz w:val="16"/>
          <w:szCs w:val="16"/>
        </w:rPr>
        <w:softHyphen/>
        <w:t>ные нормы взаимоотношений, согласно которым считается неэтичным распекать учителя в присутствии учеников, командира - перед строем солдат, а государст</w:t>
      </w:r>
      <w:r w:rsidRPr="005E779E">
        <w:rPr>
          <w:rFonts w:ascii="Times New Roman" w:hAnsi="Times New Roman"/>
          <w:color w:val="000000" w:themeColor="text1"/>
          <w:sz w:val="16"/>
          <w:szCs w:val="16"/>
        </w:rPr>
        <w:softHyphen/>
        <w:t>венного деятеля - публично перед гражданами государ</w:t>
      </w:r>
      <w:r w:rsidRPr="005E779E">
        <w:rPr>
          <w:rFonts w:ascii="Times New Roman" w:hAnsi="Times New Roman"/>
          <w:color w:val="000000" w:themeColor="text1"/>
          <w:sz w:val="16"/>
          <w:szCs w:val="16"/>
        </w:rPr>
        <w:softHyphen/>
        <w:t>ства. И, хотя Сталин ничем не высказал своего неудовольствия, настроение его изменилось. Осмотрев бомбардировщик ТБ-3, Сталин захотел полетать на нем, но П.И.Баранов отказал, так как само</w:t>
      </w:r>
      <w:r w:rsidRPr="005E779E">
        <w:rPr>
          <w:rFonts w:ascii="Times New Roman" w:hAnsi="Times New Roman"/>
          <w:color w:val="000000" w:themeColor="text1"/>
          <w:sz w:val="16"/>
          <w:szCs w:val="16"/>
        </w:rPr>
        <w:softHyphen/>
        <w:t>лет был опытным. Последовал вопрос: «Почему затяги</w:t>
      </w:r>
      <w:r w:rsidRPr="005E779E">
        <w:rPr>
          <w:rFonts w:ascii="Times New Roman" w:hAnsi="Times New Roman"/>
          <w:color w:val="000000" w:themeColor="text1"/>
          <w:sz w:val="16"/>
          <w:szCs w:val="16"/>
        </w:rPr>
        <w:softHyphen/>
        <w:t>ваются сроки испытаний?»</w:t>
      </w:r>
    </w:p>
    <w:p w14:paraId="7DB40FC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Делегация подошла к истребителям. Новый вопрос: «Почему на них нет радио?»</w:t>
      </w:r>
    </w:p>
    <w:p w14:paraId="7FCEBAE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Объяснения по самолету И-5 давал Н.Н.Поликарпов, по его вооружению - А.В.Надашкевич, оба осужденные на десять лет. Недавно выпущенный на свободу Д.П.Григорович предпочел не рисковать и под разными предлогами не явился на смотр. Из-за стечения обстоя</w:t>
      </w:r>
      <w:r w:rsidRPr="005E779E">
        <w:rPr>
          <w:rFonts w:ascii="Times New Roman" w:hAnsi="Times New Roman"/>
          <w:color w:val="000000" w:themeColor="text1"/>
          <w:sz w:val="16"/>
          <w:szCs w:val="16"/>
        </w:rPr>
        <w:softHyphen/>
        <w:t>тельств стоянка И-5 находилась неподалеку от ангара, где жили заключенные конструкторы. После докладов Сталин, кивнув в сторону седьмого ангара, спросил у Надашкевича: «А вас здесь не угнетают?» До революции сам сидевший в тюрьме и побывавший в ссылке, он не мог не знать, что даже самая красивая и удобная тюрьма всегда останется только тюрьмой. Смысл вопроса состо</w:t>
      </w:r>
      <w:r w:rsidRPr="005E779E">
        <w:rPr>
          <w:rFonts w:ascii="Times New Roman" w:hAnsi="Times New Roman"/>
          <w:color w:val="000000" w:themeColor="text1"/>
          <w:sz w:val="16"/>
          <w:szCs w:val="16"/>
        </w:rPr>
        <w:softHyphen/>
        <w:t>ял в другом. Намек, содержавшийся в нем, относился прежде всего к членам делегации и сопровождающим.</w:t>
      </w:r>
    </w:p>
    <w:p w14:paraId="38E5404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Затем летчики Чкалов и Анисимов с блеском проде</w:t>
      </w:r>
      <w:r w:rsidRPr="005E779E">
        <w:rPr>
          <w:rFonts w:ascii="Times New Roman" w:hAnsi="Times New Roman"/>
          <w:color w:val="000000" w:themeColor="text1"/>
          <w:sz w:val="16"/>
          <w:szCs w:val="16"/>
        </w:rPr>
        <w:softHyphen/>
        <w:t>монстрировали И-5 в воздухе. Состоялись полеты и других самолетов: ТБ-3, Р-5 (10667).</w:t>
      </w:r>
    </w:p>
    <w:p w14:paraId="4DE0CB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Результаты смотра сказались довольно быстро. Через неделю П.И.Баранов был отстранен от должности на-чальника ВВС и временно назначен руководить авиаобъ</w:t>
      </w:r>
      <w:r w:rsidRPr="005E779E">
        <w:rPr>
          <w:rFonts w:ascii="Times New Roman" w:hAnsi="Times New Roman"/>
          <w:color w:val="000000" w:themeColor="text1"/>
          <w:sz w:val="16"/>
          <w:szCs w:val="16"/>
        </w:rPr>
        <w:softHyphen/>
        <w:t>единением. Новым начальником ВВС стал А.И.Алкснис (10667).</w:t>
      </w:r>
    </w:p>
    <w:p w14:paraId="43DB70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47679E5" w14:textId="79FCE94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июне (в середине июня - 2433,28) 1931 состоялся смотр авиатехники на ЦА и приезжали И.В.С., К.Н.В., Г.К.Орджоникидзе и др. Именно тогда Н.Н.П. давал пояснения по И-5, а А.В.Надашкевич - по вооружению. Стоянка</w:t>
      </w:r>
      <w:r w:rsidR="002733A2"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rPr>
        <w:t xml:space="preserve"> где был И-5 была рядом с ангаром ВТ и И.В.С. якобы спросил А.В.Надашкевича: "А вас здесь не угнетают". В.П.Ч. и А.Ф.Анисимов демонстрировали И-5 в воздухе (228,83).</w:t>
      </w:r>
    </w:p>
    <w:p w14:paraId="602F18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Смотрели и истребители И-4, чешский Авиа, Потез и Р-5 и ТБ-3 и представлял директор НИИ ВВС А.А.Туржанский и И.В.С. поссорился с П.И.Б. (2433,28).</w:t>
      </w:r>
    </w:p>
    <w:p w14:paraId="09DB90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А.А.Туржанскому - командиру авиабригады НОА были: И-4, и-5, Потез, чешский Авиа, Р-5, ТБ-1. Приехали около полудня. К.Е.В. приказал А.А.Т. давать пояснения. И.В.С. поднялся по стремянке, залез и осмотрел кабину И-5 интересовался прежде всего, имеется ли радио. Удивился, что нет на истребителях и обрадовался, что было на Р-5 (3573).</w:t>
      </w:r>
    </w:p>
    <w:p w14:paraId="47514F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2FD93BF" w14:textId="77777777" w:rsidR="007D2466" w:rsidRPr="005E779E" w:rsidRDefault="007D246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середине июня 1931 г. после смотра авиационной техники П.И. Ба</w:t>
      </w:r>
      <w:r w:rsidRPr="005E779E">
        <w:rPr>
          <w:rFonts w:ascii="Times New Roman" w:hAnsi="Times New Roman"/>
          <w:color w:val="000000" w:themeColor="text1"/>
          <w:sz w:val="16"/>
          <w:szCs w:val="16"/>
        </w:rPr>
        <w:softHyphen/>
        <w:t>ранов был отстранен от должности начальника ВВС и временно назначен руководить Авиаобъединением. Новым начальником ВВС стал А.И. Алкснис (23406).</w:t>
      </w:r>
    </w:p>
    <w:p w14:paraId="3519F834" w14:textId="77777777" w:rsidR="007D2466" w:rsidRPr="005E779E" w:rsidRDefault="007D2466" w:rsidP="000B7A6C">
      <w:pPr>
        <w:spacing w:after="0" w:line="240" w:lineRule="auto"/>
        <w:jc w:val="both"/>
        <w:rPr>
          <w:rFonts w:ascii="Times New Roman" w:hAnsi="Times New Roman"/>
          <w:color w:val="000000" w:themeColor="text1"/>
          <w:sz w:val="16"/>
          <w:szCs w:val="16"/>
        </w:rPr>
      </w:pPr>
    </w:p>
    <w:p w14:paraId="5A135410" w14:textId="77777777" w:rsidR="00EA6158" w:rsidRPr="00142305" w:rsidRDefault="00EA6158" w:rsidP="00EA615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середине июня 1931 г. состоялся смотр авиационной техники. На Центральный аэродром прибыли Сталин, Ворошилов, Орджоникидзе, другие партийные и государственные деятели. В печати об этом событии не появилось ни строчки. Правительственные машины прибыли в одиннадцать часов. Начальник ВВС П. И. Баранов отдал рапорт Председателю Совнаркома. На летном поле выстроились истребители, разведчики, бомбардировщики, в том числе готовая к вылету пара истребителей И-5, за ними на стоянке — И-3, И-4, а рядом, для сравнения, французский истребитель «Потез», отечественные разведчики Р-5, опытный экземпляр бомбардировщика ТБ-3, другие машины.</w:t>
      </w:r>
    </w:p>
    <w:p w14:paraId="328CCB4C" w14:textId="77777777" w:rsidR="00EA6158" w:rsidRPr="00142305" w:rsidRDefault="00EA6158" w:rsidP="00EA615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Сталин приблизился, дымя папиросой. Когда до стоянки истребителей оставалось около десяти шагов, комбриг А. А. Туржанский подошел к Сталину и громко сказал: «Извините, Иосиф Виссарионович, может быть, Вы здесь докурите? У самолетов нельзя…» Его поддержал начальник ВВС П. И. Баранов. Сталин остановился и, ничего не сказав, каблуком вдавил окурок в землю. В принципе и Туржанский, и Баранов были правы: правила пожарной безопасности являются общими для всех. Однако то же самое можно сказать полушепотом, в стороне, не привлекая внимания. Существуют определенные нормы взаимоотношений, согласно которым считается неэтичным распекать учителя в присутствии учеников, командира — перед строем солдат, а государственного деятеля — публично перед гражданами государства. И хотя Сталин ничем не высказал своего неудовольствия, настроение его изменилось.</w:t>
      </w:r>
    </w:p>
    <w:p w14:paraId="5E5FE226" w14:textId="77777777" w:rsidR="00EA6158" w:rsidRPr="00142305" w:rsidRDefault="00EA6158" w:rsidP="00EA615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Осмотрев бомбардировщик ТБ-3, Сталин захотел полетать на нем, но П. И. Баранов отказал, так как самолет был опытным. Последовал вопрос: «Почему затягиваются сроки испытаний?»</w:t>
      </w:r>
    </w:p>
    <w:p w14:paraId="1F73A6D8" w14:textId="77777777" w:rsidR="00EA6158" w:rsidRPr="00142305" w:rsidRDefault="00EA6158" w:rsidP="00EA615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Делегация подошла к истребителям. Новый вопрос: «Почему на них нет радио?»</w:t>
      </w:r>
    </w:p>
    <w:p w14:paraId="32D47A8C" w14:textId="77777777" w:rsidR="00EA6158" w:rsidRPr="00142305" w:rsidRDefault="00EA6158" w:rsidP="00EA615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Объяснения по самолету И-5 давал Н. Н. Поликарпов, по его вооружению — А. В. Надашкевич (каждый приговорен на десять лет заключения). Недавно выпущенный на свободу Д. П. Григорович предпочел не рисковать и под разными предлогами не явился на смотр. Из-за стечения обстоятельств стоянка И-5 находилась неподалеку от ангара, где жили заключенные конструкторы. После докладов Сталин, кивнув в сторону седьмого ангара, спросил у Надашкевича: «А вас здесь не угнетают?» Сталин, до революции сам сидевший в тюрьме и побывавший в ссылке, не мог не знать, что даже самая красивая и удобная тюрьма всегда останется только тюрьмой. Но смысл вопроса состоял в другом. Намек, содержавшийся в нем, относился прежде всего к членам делегации и сопровождающим.</w:t>
      </w:r>
    </w:p>
    <w:p w14:paraId="1C6E0AAD" w14:textId="77777777" w:rsidR="00EA6158" w:rsidRPr="00142305" w:rsidRDefault="00EA6158" w:rsidP="00EA615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Затем летчики Чкалов и Анисимов с блеском продемонстрировали И-5 в воздухе. Состоялись полеты и других самолетов — ТБ-3, Р-5.</w:t>
      </w:r>
    </w:p>
    <w:p w14:paraId="449C6311" w14:textId="77777777" w:rsidR="00EA6158" w:rsidRPr="00142305" w:rsidRDefault="00EA6158" w:rsidP="00EA615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Результаты смотра сказались довольно быстро. Через неделю П. И. Баранов был отстранен от должности начальника ВВС и временно назначен руководить Авиаобъединением. Новым начальником ВВС стал А. И. Алкснис (25035).</w:t>
      </w:r>
    </w:p>
    <w:p w14:paraId="3E91634F" w14:textId="77777777" w:rsidR="00EA6158" w:rsidRPr="00142305" w:rsidRDefault="00EA6158" w:rsidP="00EA6158">
      <w:pPr>
        <w:spacing w:after="0" w:line="240" w:lineRule="auto"/>
        <w:jc w:val="both"/>
        <w:rPr>
          <w:rFonts w:ascii="Times New Roman" w:hAnsi="Times New Roman"/>
          <w:color w:val="0070C0"/>
          <w:sz w:val="16"/>
          <w:szCs w:val="16"/>
        </w:rPr>
      </w:pPr>
    </w:p>
    <w:p w14:paraId="5D785C0D" w14:textId="77777777" w:rsidR="00872E55" w:rsidRPr="005E779E" w:rsidRDefault="00872E55"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6D7039D5" w14:textId="77777777" w:rsidR="00872E55" w:rsidRPr="005E779E" w:rsidRDefault="00872E55"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E0E4A2D" w14:textId="77777777" w:rsidR="00872E55" w:rsidRPr="005E779E" w:rsidRDefault="00872E55" w:rsidP="000B7A6C">
      <w:pPr>
        <w:shd w:val="clear" w:color="auto" w:fill="FFFFFF"/>
        <w:spacing w:after="0" w:line="240" w:lineRule="auto"/>
        <w:jc w:val="both"/>
        <w:textAlignment w:val="top"/>
        <w:rPr>
          <w:rFonts w:ascii="Times New Roman" w:hAnsi="Times New Roman"/>
          <w:color w:val="000000" w:themeColor="text1"/>
          <w:sz w:val="16"/>
          <w:szCs w:val="16"/>
        </w:rPr>
      </w:pPr>
      <w:r w:rsidRPr="005E779E">
        <w:rPr>
          <w:rFonts w:ascii="Times New Roman" w:hAnsi="Times New Roman"/>
          <w:color w:val="000000" w:themeColor="text1"/>
          <w:sz w:val="16"/>
          <w:szCs w:val="16"/>
        </w:rPr>
        <w:t>16 июня 1931 года</w:t>
      </w:r>
    </w:p>
    <w:p w14:paraId="75407563" w14:textId="77777777" w:rsidR="00872E55" w:rsidRPr="005E779E" w:rsidRDefault="00872E55" w:rsidP="000B7A6C">
      <w:pPr>
        <w:shd w:val="clear" w:color="auto" w:fill="FFFFFF"/>
        <w:spacing w:after="0" w:line="240" w:lineRule="auto"/>
        <w:jc w:val="both"/>
        <w:textAlignment w:val="top"/>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Приказ ВОГВФ №275 все функции инспекции ГВФ, кроме проверки исполнения и периодических инспектирований, окончательно переданы соответствующим центральным управлениям ВОГВФ и НИИ ГВФ (20226).</w:t>
      </w:r>
    </w:p>
    <w:p w14:paraId="44E45D63" w14:textId="77777777" w:rsidR="00872E55" w:rsidRPr="005E779E" w:rsidRDefault="00872E55" w:rsidP="000B7A6C">
      <w:pPr>
        <w:shd w:val="clear" w:color="auto" w:fill="FFFFFF"/>
        <w:spacing w:after="0" w:line="240" w:lineRule="auto"/>
        <w:jc w:val="both"/>
        <w:textAlignment w:val="top"/>
        <w:rPr>
          <w:rFonts w:ascii="Times New Roman" w:hAnsi="Times New Roman"/>
          <w:color w:val="000000" w:themeColor="text1"/>
          <w:sz w:val="16"/>
          <w:szCs w:val="16"/>
        </w:rPr>
      </w:pPr>
    </w:p>
    <w:p w14:paraId="1565587F"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6C00C12C"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3FFA8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 июня 1931 года Управлением ВМС было внесено вторичное изменение угла возвышения 102-мм зенитной пушки с длиной ствола 45 калибров с +85 на +85 +90, что потребовало новой переработки проекта (3861).</w:t>
      </w:r>
    </w:p>
    <w:p w14:paraId="31E85A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9E1FA5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 июня 1931 был одобрен тех-процесс производства Т-26 и завод Большевик начал изготовление приспособлений и ин</w:t>
      </w:r>
      <w:r w:rsidRPr="005E779E">
        <w:rPr>
          <w:rFonts w:ascii="Times New Roman" w:hAnsi="Times New Roman"/>
          <w:color w:val="000000" w:themeColor="text1"/>
          <w:sz w:val="16"/>
          <w:szCs w:val="16"/>
        </w:rPr>
        <w:softHyphen/>
        <w:t>струментов для массового производства. С самых первых дней работы над Т-26 КБ неоднократ</w:t>
      </w:r>
      <w:r w:rsidRPr="005E779E">
        <w:rPr>
          <w:rFonts w:ascii="Times New Roman" w:hAnsi="Times New Roman"/>
          <w:color w:val="000000" w:themeColor="text1"/>
          <w:sz w:val="16"/>
          <w:szCs w:val="16"/>
        </w:rPr>
        <w:softHyphen/>
        <w:t>но предлагало внести в конструкцию танка изменения, на</w:t>
      </w:r>
      <w:r w:rsidRPr="005E779E">
        <w:rPr>
          <w:rFonts w:ascii="Times New Roman" w:hAnsi="Times New Roman"/>
          <w:color w:val="000000" w:themeColor="text1"/>
          <w:sz w:val="16"/>
          <w:szCs w:val="16"/>
        </w:rPr>
        <w:softHyphen/>
        <w:t>правленные на упрощение технологии изготовления, но все они разбивались о непроходимые запреты (10736,175).</w:t>
      </w:r>
    </w:p>
    <w:p w14:paraId="2D4CAC6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7F91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 июня 1931 на ленинградском заводе «Большевик» был одобрен техпроцесс и завод начал изготовление приспособлений и инструментов для массового производства Т-26. С первых дней все попытки заводчан хоть как то упростить технологию изготовления, разбивались о запреты. Требовалось точное копирование заморской «штуковины». Поначалу камнем преткновения стал двигатель, нормой брака по моторам считалось 65%! Ижорский завод подавал отвратительного качества бронекорпуса, они неизменно имели большое количество сквозных трещин. Бронелисты толщиной 10 мм в первый год пробивались винтовочной бронебойной пулей со 150–200 м, хотя это считалось невозможным, тем более, что спешка с освоением танка привела к появлению кустарщины, которая процветала до 1934 года. К тому же стоимость первых Т-26 в два раза превышала стоимость «Виккерсов». Первые Т-26 были собраны с точнейшим следованием английским чертежам, с широким использованием импортных деталей, но двигатели на них работать отказались. Следующие 15 танков тоже не могли двигаться своим ходом и обретали прыть только при перекидке в них мотора с эталонного «Виккерса». Только осенью наши Т-26 стали выползать с территории завода самостоятельно.</w:t>
      </w:r>
    </w:p>
    <w:p w14:paraId="45FE26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Еще в то время, когда «наверху» решались судьбы танка сопровождения, закупленные «шеститонники» начали расползаться по стране. Танк 216 поступил в ВАММ - военная академия механизации и моторизации имени И.В.Сталина, где был разобран для изучения, а танк 215 был для тех же целей отправлен в Сталинград, где предполагалось развернуть его производство. Там новинку разобрали, но собрать, в отличии от ВАММовцев не смогли, поскольку ряд деталей по многолетней традиции были не то утеряны, не то украдены в пути. Кроме того еще два танка (номера не установлены) были отправлены для ознакомления в Харьков и в Ленинград. Уже в ходе работ по сборке первых Т-26, корпус одного из «Виккерсов» был отправлен на завод им. Орджоникидзе для изучения его брони. В ходе исследований отдельные детали корпуса подвергались обстрелу простой остроконечной пулей и бронебойной пулей типа АУ-30 из винтовки и пулемета с дистанции 50 м. Обстрел танк выдержал на «отлично» После химического анализа и исследований микроструктуры брони специалистами отмечалось «что цементованная броня очень высокого качества». Сравнение с поданными образцами брони Ижорского завода показало худшее качество отечественных листов, что было связано с отсутствием в СССР современного металлургического оборудования. Ввиду неготовности Ижорского завода к выпуску брони требуемого качества, решено было первые 15 танков выполнить с корпусами из неброневой стали. В связи с тем, что СТЗ еще не был достроен, то заказ на постройку первых 500 машин был спущен ленинградскому заводу «Большевик». Уже через месяц план был скорректирован до 300 шт., но и это количество оказалось нереальным (11809). </w:t>
      </w:r>
    </w:p>
    <w:p w14:paraId="4208B9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3C6AEA1" w14:textId="77777777" w:rsidR="00245CB3" w:rsidRPr="005E779E" w:rsidRDefault="00DC610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w:t>
      </w:r>
      <w:r w:rsidR="00245CB3" w:rsidRPr="005E779E">
        <w:rPr>
          <w:rFonts w:ascii="Times New Roman" w:hAnsi="Times New Roman"/>
          <w:color w:val="000000" w:themeColor="text1"/>
          <w:sz w:val="16"/>
          <w:szCs w:val="16"/>
        </w:rPr>
        <w:t xml:space="preserve"> 16 мая по 21 июня 1931 танк Кристи в ходе испытаний прошел на гусеницах 43,5 км и 863 км на колесах. По результатам испытаний был составлен подробный отчет на 15 листах. В нем, в частности, отмечалось, что танк не прошел полных испытаний из-за поломки кронштейна ленивца:</w:t>
      </w:r>
    </w:p>
    <w:p w14:paraId="58263F76" w14:textId="77777777" w:rsidR="00245CB3" w:rsidRPr="005E779E" w:rsidRDefault="00245CB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"...Танк испытывался только на колесах, причем испытания показали, что средние скорости по шоссе не превышают 30-35 км/час. Водитель после 4-5 часов сильно устает (благодаря трудности управления и неравномерности хода требовалось все время выравнивать машину). ...Двигатель работал хорошо, но необходима частая регулировка клапанов. АКБ недостаточны для запуска двигателя (холодный двигатель запускался, как правило, с буксира). В коробке передач после 600-650 км выскакивают 2-я и 3-я передачи при большой нагрузке двигателя. Течь смазки из-под уплотнений, затруднено включение всех передач. Через 2-3 часа движения значительно нагревается КПП до 85-88°С при температуре окружающего воздуха +35-40°С.</w:t>
      </w:r>
    </w:p>
    <w:p w14:paraId="4E5D7E10" w14:textId="77777777" w:rsidR="00245CB3" w:rsidRPr="005E779E" w:rsidRDefault="00245CB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Гусеницы. После 40,5 км сломано 8 пальцев. </w:t>
      </w:r>
    </w:p>
    <w:p w14:paraId="73BA10BD" w14:textId="77777777" w:rsidR="00245CB3" w:rsidRPr="005E779E" w:rsidRDefault="00245CB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Ведущие колеса. После 150-200 км наблюдается развал в наружную сторону на 1,5-2 см. </w:t>
      </w:r>
    </w:p>
    <w:p w14:paraId="44211633" w14:textId="77777777" w:rsidR="00245CB3" w:rsidRPr="005E779E" w:rsidRDefault="00245CB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Управление танком - удовлетворительное. На грунтовых дорогах "отказывается слушаться руля", а при езде по неровностям толчки выбивают руль у водителя из рук. На скоростях 55-60 км/час управление затруднительно...</w:t>
      </w:r>
    </w:p>
    <w:p w14:paraId="445D7FF7" w14:textId="77777777" w:rsidR="00245CB3" w:rsidRPr="005E779E" w:rsidRDefault="00245CB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w:t>
      </w:r>
    </w:p>
    <w:p w14:paraId="5202ED9D" w14:textId="77777777" w:rsidR="00245CB3" w:rsidRPr="005E779E" w:rsidRDefault="00245CB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...Танк Кристи в том виде, в котором он был представлен на испытаниях, является исключительно интересной машиной с универсальным движением, требует как боевая машина большой разработки и введения ряда конструктивных усовершенствований и изменений" (17214).</w:t>
      </w:r>
    </w:p>
    <w:p w14:paraId="5562736E" w14:textId="77777777" w:rsidR="00245CB3" w:rsidRPr="005E779E" w:rsidRDefault="00245CB3" w:rsidP="000B7A6C">
      <w:pPr>
        <w:spacing w:after="0" w:line="240" w:lineRule="auto"/>
        <w:jc w:val="both"/>
        <w:rPr>
          <w:rFonts w:ascii="Times New Roman" w:hAnsi="Times New Roman"/>
          <w:color w:val="000000" w:themeColor="text1"/>
          <w:sz w:val="16"/>
          <w:szCs w:val="16"/>
        </w:rPr>
      </w:pPr>
    </w:p>
    <w:p w14:paraId="3CF3232B" w14:textId="77777777" w:rsidR="00877950" w:rsidRPr="005E779E" w:rsidRDefault="00877950"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16 июня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Протокол заседания Политбюро ЦК ВКП(б) № 43. 16. О работе на Сталинградском тракторном заводе (ПБ от 10 декабря 1930 г., пр. № 20, п. 4/10) (Грачев, Пудалов, Орджоникидзе, Михайлов, Птуха). (Политбюро... Т. 2. С. 179) (12416).</w:t>
      </w:r>
    </w:p>
    <w:p w14:paraId="56990B27" w14:textId="77777777" w:rsidR="00877950" w:rsidRPr="005E779E" w:rsidRDefault="00877950" w:rsidP="000B7A6C">
      <w:pPr>
        <w:spacing w:after="0" w:line="240" w:lineRule="auto"/>
        <w:jc w:val="both"/>
        <w:rPr>
          <w:rFonts w:ascii="Times New Roman" w:hAnsi="Times New Roman"/>
          <w:color w:val="000000" w:themeColor="text1"/>
          <w:sz w:val="16"/>
          <w:szCs w:val="16"/>
          <w:u w:color="002060"/>
        </w:rPr>
      </w:pPr>
    </w:p>
    <w:p w14:paraId="2E6F5B46" w14:textId="77777777" w:rsidR="002733A2" w:rsidRPr="005E779E" w:rsidRDefault="002733A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 июня 1931 г. В докладной записке № 91212сс о выполнении программы по танкостроению, адресованной В.М. Молотову, относительно работ по танковым дизелям К.Е. Ворошилов написал следующее:</w:t>
      </w:r>
    </w:p>
    <w:p w14:paraId="010D6AEB" w14:textId="77777777" w:rsidR="002733A2" w:rsidRPr="005E779E" w:rsidRDefault="002733A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«Приступлено к разработке конструкции дизель-мотора. Работа идет очень медленным темпом из-за новизны конструкции и отсутствия заграничных опытных образцов. Состояние работ таково, что установленный инстанцией срок изготовления опытного образца в текущем году вряд ли будет выполнен».</w:t>
      </w:r>
    </w:p>
    <w:p w14:paraId="7ACB6EB7" w14:textId="77777777" w:rsidR="002733A2" w:rsidRPr="005E779E" w:rsidRDefault="002733A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[РГВА. Ф. 4. Оп. 14. Д. 505. Л. 123 об.] (24856).</w:t>
      </w:r>
    </w:p>
    <w:p w14:paraId="69636F45" w14:textId="77777777" w:rsidR="002733A2" w:rsidRPr="005E779E" w:rsidRDefault="002733A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1 мая 1933 г. был изготовлен, собран и обкатан первый советский дизель БД-2 мощностью 400 л. с. (24855)</w:t>
      </w:r>
    </w:p>
    <w:p w14:paraId="26B09B23" w14:textId="77777777" w:rsidR="002733A2" w:rsidRPr="005E779E" w:rsidRDefault="002733A2" w:rsidP="000B7A6C">
      <w:pPr>
        <w:spacing w:after="0" w:line="240" w:lineRule="auto"/>
        <w:jc w:val="both"/>
        <w:rPr>
          <w:rFonts w:ascii="Times New Roman" w:hAnsi="Times New Roman"/>
          <w:color w:val="000000" w:themeColor="text1"/>
          <w:sz w:val="16"/>
          <w:szCs w:val="16"/>
        </w:rPr>
      </w:pPr>
    </w:p>
    <w:p w14:paraId="603C44DC" w14:textId="77777777" w:rsidR="002733A2" w:rsidRPr="005E779E" w:rsidRDefault="002733A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 июня 1931 г.</w:t>
      </w:r>
    </w:p>
    <w:p w14:paraId="032AA024" w14:textId="77777777" w:rsidR="002733A2" w:rsidRPr="005E779E" w:rsidRDefault="002733A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РГВА Фонд 4 Опись 14 Дело 505 лист 123 – 125 </w:t>
      </w:r>
    </w:p>
    <w:p w14:paraId="154E2DFE" w14:textId="77777777" w:rsidR="002733A2" w:rsidRPr="005E779E" w:rsidRDefault="002733A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Сов.Секретно. </w:t>
      </w:r>
    </w:p>
    <w:p w14:paraId="7347237E" w14:textId="77777777" w:rsidR="002733A2" w:rsidRPr="005E779E" w:rsidRDefault="002733A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Экз. № ___</w:t>
      </w:r>
    </w:p>
    <w:p w14:paraId="0B298ECA" w14:textId="77777777" w:rsidR="002733A2" w:rsidRPr="005E779E" w:rsidRDefault="002733A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16 июня 1931 г. </w:t>
      </w:r>
    </w:p>
    <w:p w14:paraId="54579228" w14:textId="77777777" w:rsidR="002733A2" w:rsidRPr="005E779E" w:rsidRDefault="002733A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01214сс</w:t>
      </w:r>
    </w:p>
    <w:p w14:paraId="3E8ED9E7" w14:textId="77777777" w:rsidR="002733A2" w:rsidRPr="005E779E" w:rsidRDefault="002733A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ПРЕДСЕДАТЕЛЮ КОМИССИИ ОБОРОНЫ </w:t>
      </w:r>
    </w:p>
    <w:p w14:paraId="094A56CD" w14:textId="77777777" w:rsidR="002733A2" w:rsidRPr="005E779E" w:rsidRDefault="002733A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тов. МОЛОТОВУ.</w:t>
      </w:r>
    </w:p>
    <w:p w14:paraId="03F0AED3" w14:textId="77777777" w:rsidR="002733A2" w:rsidRPr="005E779E" w:rsidRDefault="002733A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20.II-31 г. инстанция приняла важнейшее решение о танкостроении. Дополнением и развитием этого основного решения является постановление Комиссии обороны по этому вопросу от 23.V-31 г. </w:t>
      </w:r>
    </w:p>
    <w:p w14:paraId="436F788B" w14:textId="77777777" w:rsidR="002733A2" w:rsidRPr="005E779E" w:rsidRDefault="002733A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порядке контроля за выполнением этих решений докладываю. </w:t>
      </w:r>
    </w:p>
    <w:p w14:paraId="26704690" w14:textId="77777777" w:rsidR="002733A2" w:rsidRPr="005E779E" w:rsidRDefault="002733A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 Танкетка. Заказ текущего года на 400 штук танкеток выполняется 2-м автозаводом неудовлетворительно из-за неподачи Ижорским заводом броневых корпусов. За пять месяцев 1931 года изготовлено только 25 танкеток или 6% годовой программы. </w:t>
      </w:r>
    </w:p>
    <w:p w14:paraId="3C4FC287" w14:textId="77777777" w:rsidR="002733A2" w:rsidRPr="005E779E" w:rsidRDefault="002733A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Решением инстанции предлагалось проработать вопрос о танкетной базе на Нижегородском автозаводе, с использованием для этой цели 20 – 25% его производственной мощности. На сегодняшний день выяснилась возможность производства на автозаводе, начиная с весны 1932 года, 11 – 12 тыс. танкеток, при условии – сборки танкеток на одном их сборочных заводов (Москва, Н.-Новгород), изготовления для них броневых корпусов на Подольском заводе и проката цементированной брони для этих корпусов на Кулебакском металлургическом заводе. Этим заводам даны задания, но они ничем реально не обеспечены (объем работ не определен, стройматериалы не выделены, заказы на оборудование не размещены). </w:t>
      </w:r>
    </w:p>
    <w:p w14:paraId="5AE68211" w14:textId="77777777" w:rsidR="002733A2" w:rsidRPr="005E779E" w:rsidRDefault="002733A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Таким образом, как текущий заказ на танкетки, так и подготовка к выполнению мобилизационного задания находятся в неудовлетворительном состоянии и требуют немедленных мероприятий. </w:t>
      </w:r>
    </w:p>
    <w:p w14:paraId="5818BBE3" w14:textId="77777777" w:rsidR="002733A2" w:rsidRPr="005E779E" w:rsidRDefault="002733A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 Малый танк Виккерса. Подготовка к производству на заводе "Большевик" идет нормально. Но кооперированный с "Большевиком" Союзсельмаш не выполняет приказа ВСНХ по литью из ковкого чугуна, и тот же Ижорский завод совершенно не справляется с изготовлением броневых корпусов. </w:t>
      </w:r>
    </w:p>
    <w:p w14:paraId="47ECDB04" w14:textId="77777777" w:rsidR="002733A2" w:rsidRPr="005E779E" w:rsidRDefault="002733A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Подготовка Сталинградского тракторного завода к выполнению мобилизационного задания по малым танкам Виккерса находится в таком состоянии, что не обеспечивает готовности завода к танковому производству к установленному сроку (весна 1932 г.). </w:t>
      </w:r>
    </w:p>
    <w:p w14:paraId="649B0357" w14:textId="77777777" w:rsidR="002733A2" w:rsidRPr="005E779E" w:rsidRDefault="002733A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 Быстроходный танк Кристи. Подготовка к производству на ХПЗ идет неудовлетворительно. Не закончена отделка и не приступлено к монтажу оборудования нового механического цеха; не начато строительство термической и инструментальной мастерских; ни один заказ по приказу ВСНХ кооперированным заводам ХПЗ не выдан. Такое положение не внушает уверенности в выполнении программы. </w:t>
      </w:r>
    </w:p>
    <w:p w14:paraId="29DC071C" w14:textId="77777777" w:rsidR="002733A2" w:rsidRPr="005E779E" w:rsidRDefault="002733A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 xml:space="preserve">4. По моторам для среднего танка. Еще не решен вопрос, строить ли новый завод или восстанавливать производство М5 на одном из существующих авиамоторных заводов. </w:t>
      </w:r>
    </w:p>
    <w:p w14:paraId="7909833A" w14:textId="77777777" w:rsidR="002733A2" w:rsidRPr="005E779E" w:rsidRDefault="002733A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5. По дизель-моторам. Приступлено к разработке конструкции дизель-мотора. Работа идет очень медленным темпом из-за новизны конструкции и отсутствия заграничных опытных образцов. Состояние работ таково, что установленный инстанцией срок изготовления опытного образца в текущем году вряд ли будет выполнен. </w:t>
      </w:r>
    </w:p>
    <w:p w14:paraId="7CFC41E6" w14:textId="77777777" w:rsidR="002733A2" w:rsidRPr="005E779E" w:rsidRDefault="002733A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6. По мелкому стальному фасонному литью. Составлен эскизный проект литейного цеха по мелкому фасонному стальному литью при Сталинградском тракторном заводе. Разрабатывается технологический процесс со сроком окончания к 1-му августа. Разработан и утвержден строительный проект, с 10-го июня с.г. будет приступлено к работам по фундаментам. </w:t>
      </w:r>
    </w:p>
    <w:p w14:paraId="7479223E" w14:textId="77777777" w:rsidR="002733A2" w:rsidRPr="005E779E" w:rsidRDefault="002733A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Строительство не обеспечено специальным фоном стройматериалов, и последние выделяются за счет общих фондов Сталинградского завода, которые к тому же весьма недостаточны. </w:t>
      </w:r>
    </w:p>
    <w:p w14:paraId="662390F1" w14:textId="77777777" w:rsidR="002733A2" w:rsidRPr="005E779E" w:rsidRDefault="002733A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7. По броне. Для броневого завода в Сталинграде разработан проект мартеновского и прокатного цехов. Площадка разбита и приступлено к рытью котлованов. Работы первой очереди стройматериалами обеспечены. Имеется спецификация на оборудование, к реализации заказов на которое приступлено. </w:t>
      </w:r>
    </w:p>
    <w:p w14:paraId="7D7C6775" w14:textId="77777777" w:rsidR="002733A2" w:rsidRPr="005E779E" w:rsidRDefault="002733A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Особо необходимо остановиться на выполнении постановления К.О. об обязательном переходе с 1-го июля 1931 г. на массовое изготовление цементированного железа и цементированной брони с пониженным содержанием ферро-сплавов. Для этого пока что предпринято весьма мало: выделен незначительный фонд шамотного кирпича для ремонтирования старых печей на Ижорском заводе, к постройке же 8-ми дополнительных термических печей на Ижорском заводе еще не приступлено. Новая броневая мастерская на Ижорском заводе, вместо мая 1931 г., будет пущена в ход не ранее сентября. Такое положение создает узкое место по корпусам и угрожает выполнению всей программы по танкам. </w:t>
      </w:r>
    </w:p>
    <w:p w14:paraId="2899E1A6" w14:textId="77777777" w:rsidR="002733A2" w:rsidRPr="005E779E" w:rsidRDefault="002733A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 изложенного видно, что важнейшие решения инстанции и К.О. о танкостроении выполняются неудовлетворительно. Поэтому считаю полезным заслушать, в порядке контроля, доклад об этом ВСНХ и РВСС на ближайшем заседании К.О.</w:t>
      </w:r>
    </w:p>
    <w:p w14:paraId="327277BF" w14:textId="77777777" w:rsidR="002733A2" w:rsidRPr="005E779E" w:rsidRDefault="002733A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п/п НАРОДНЫЙ КОМИССАР ПО ВОЕННЫМ и МОРСКИМ ДЕЛАМ и </w:t>
      </w:r>
    </w:p>
    <w:p w14:paraId="6C689714" w14:textId="77777777" w:rsidR="002733A2" w:rsidRPr="005E779E" w:rsidRDefault="002733A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ПРЕДСЕДАТЕЛЬ РВС СОЮЗА ССР (К. ВОРОШИЛОВ)</w:t>
      </w:r>
    </w:p>
    <w:p w14:paraId="0378B90E" w14:textId="77777777" w:rsidR="002733A2" w:rsidRPr="005E779E" w:rsidRDefault="002733A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Верно: Техн. Исп. 2-го Сект. Упр. Дел подпись (24862).</w:t>
      </w:r>
    </w:p>
    <w:p w14:paraId="495FF905" w14:textId="77777777" w:rsidR="002733A2" w:rsidRPr="005E779E" w:rsidRDefault="002733A2" w:rsidP="000B7A6C">
      <w:pPr>
        <w:spacing w:after="0" w:line="240" w:lineRule="auto"/>
        <w:jc w:val="both"/>
        <w:rPr>
          <w:rFonts w:ascii="Times New Roman" w:hAnsi="Times New Roman"/>
          <w:color w:val="000000" w:themeColor="text1"/>
          <w:sz w:val="16"/>
          <w:szCs w:val="16"/>
        </w:rPr>
      </w:pPr>
    </w:p>
    <w:p w14:paraId="484DAB89" w14:textId="77777777" w:rsidR="00B60726" w:rsidRPr="005E779E" w:rsidRDefault="00B60726"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16 июня 1931 г.</w:t>
      </w:r>
    </w:p>
    <w:p w14:paraId="66BA94D6" w14:textId="77777777" w:rsidR="00B60726" w:rsidRPr="005E779E" w:rsidRDefault="00B60726"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Докладная записка Л. К. Рамзина начальнику ЭКУ ОГПУ Г. Е. Прокофьеву об организации работ «по проектированию и постройке безбарабанного котла». 16 июня 1931 г.</w:t>
      </w:r>
    </w:p>
    <w:p w14:paraId="1EECCF6E" w14:textId="77777777" w:rsidR="00B60726" w:rsidRPr="005E779E" w:rsidRDefault="00B60726"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Источник: </w:t>
      </w:r>
    </w:p>
    <w:p w14:paraId="7DDE61D5" w14:textId="77777777" w:rsidR="00B60726" w:rsidRPr="005E779E" w:rsidRDefault="00B6072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75C3565" w14:textId="77777777" w:rsidR="00B60726" w:rsidRPr="005E779E" w:rsidRDefault="00B60726"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Архив: </w:t>
      </w:r>
    </w:p>
    <w:p w14:paraId="077937D7" w14:textId="77777777" w:rsidR="00B60726" w:rsidRPr="005E779E" w:rsidRDefault="00B6072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РГАЭ. Ф. 38. Oп. 1. Д. 69. Л. 30-30 об.</w:t>
      </w:r>
    </w:p>
    <w:p w14:paraId="505FE5E8" w14:textId="77777777" w:rsidR="00B60726" w:rsidRPr="005E779E" w:rsidRDefault="00B60726" w:rsidP="000B7A6C">
      <w:pPr>
        <w:pStyle w:val="rteright"/>
        <w:spacing w:before="0" w:after="0"/>
        <w:jc w:val="both"/>
        <w:rPr>
          <w:color w:val="000000" w:themeColor="text1"/>
          <w:sz w:val="16"/>
          <w:szCs w:val="16"/>
        </w:rPr>
      </w:pPr>
      <w:r w:rsidRPr="005E779E">
        <w:rPr>
          <w:color w:val="000000" w:themeColor="text1"/>
          <w:sz w:val="16"/>
          <w:szCs w:val="16"/>
        </w:rPr>
        <w:t>16 июня 1931 г.</w:t>
      </w:r>
    </w:p>
    <w:p w14:paraId="0A03D4F8" w14:textId="77777777" w:rsidR="00B60726" w:rsidRPr="005E779E" w:rsidRDefault="00B60726" w:rsidP="000B7A6C">
      <w:pPr>
        <w:pStyle w:val="ae"/>
        <w:spacing w:before="0" w:after="0"/>
        <w:jc w:val="both"/>
        <w:rPr>
          <w:color w:val="000000" w:themeColor="text1"/>
          <w:sz w:val="16"/>
          <w:szCs w:val="16"/>
        </w:rPr>
      </w:pPr>
      <w:r w:rsidRPr="005E779E">
        <w:rPr>
          <w:color w:val="000000" w:themeColor="text1"/>
          <w:sz w:val="16"/>
          <w:szCs w:val="16"/>
        </w:rPr>
        <w:t>Начальнику Экономического Управления ОГПУ</w:t>
      </w:r>
    </w:p>
    <w:p w14:paraId="500DDFD8" w14:textId="77777777" w:rsidR="00B60726" w:rsidRPr="005E779E" w:rsidRDefault="00B60726" w:rsidP="000B7A6C">
      <w:pPr>
        <w:pStyle w:val="ae"/>
        <w:spacing w:before="0" w:after="0"/>
        <w:jc w:val="both"/>
        <w:rPr>
          <w:color w:val="000000" w:themeColor="text1"/>
          <w:sz w:val="16"/>
          <w:szCs w:val="16"/>
        </w:rPr>
      </w:pPr>
      <w:r w:rsidRPr="005E779E">
        <w:rPr>
          <w:color w:val="000000" w:themeColor="text1"/>
          <w:sz w:val="16"/>
          <w:szCs w:val="16"/>
        </w:rPr>
        <w:t>Тов. Прокофьеву</w:t>
      </w:r>
    </w:p>
    <w:p w14:paraId="3F5152B0" w14:textId="77777777" w:rsidR="00B60726" w:rsidRPr="005E779E" w:rsidRDefault="00B60726" w:rsidP="000B7A6C">
      <w:pPr>
        <w:pStyle w:val="ae"/>
        <w:spacing w:before="0" w:after="0"/>
        <w:jc w:val="both"/>
        <w:rPr>
          <w:color w:val="000000" w:themeColor="text1"/>
          <w:sz w:val="16"/>
          <w:szCs w:val="16"/>
        </w:rPr>
      </w:pPr>
      <w:r w:rsidRPr="005E779E">
        <w:rPr>
          <w:color w:val="000000" w:themeColor="text1"/>
          <w:sz w:val="16"/>
          <w:szCs w:val="16"/>
        </w:rPr>
        <w:t>План работы по проектированию и постройке</w:t>
      </w:r>
    </w:p>
    <w:p w14:paraId="2DDDEF06" w14:textId="77777777" w:rsidR="00B60726" w:rsidRPr="005E779E" w:rsidRDefault="00B60726" w:rsidP="000B7A6C">
      <w:pPr>
        <w:pStyle w:val="ae"/>
        <w:spacing w:before="0" w:after="0"/>
        <w:jc w:val="both"/>
        <w:rPr>
          <w:color w:val="000000" w:themeColor="text1"/>
          <w:sz w:val="16"/>
          <w:szCs w:val="16"/>
        </w:rPr>
      </w:pPr>
      <w:r w:rsidRPr="005E779E">
        <w:rPr>
          <w:color w:val="000000" w:themeColor="text1"/>
          <w:sz w:val="16"/>
          <w:szCs w:val="16"/>
        </w:rPr>
        <w:t>безбарабанного котла Рамзина</w:t>
      </w:r>
    </w:p>
    <w:p w14:paraId="36277ECA" w14:textId="77777777" w:rsidR="00B60726" w:rsidRPr="005E779E" w:rsidRDefault="00B60726" w:rsidP="000B7A6C">
      <w:pPr>
        <w:pStyle w:val="rtejustify"/>
        <w:spacing w:before="0" w:after="0"/>
        <w:rPr>
          <w:color w:val="000000" w:themeColor="text1"/>
          <w:sz w:val="16"/>
          <w:szCs w:val="16"/>
        </w:rPr>
      </w:pPr>
      <w:r w:rsidRPr="005E779E">
        <w:rPr>
          <w:color w:val="000000" w:themeColor="text1"/>
          <w:sz w:val="16"/>
          <w:szCs w:val="16"/>
        </w:rPr>
        <w:t>&lt;1&gt; Проект опытного котла Рамзина</w:t>
      </w:r>
    </w:p>
    <w:p w14:paraId="2437DB69" w14:textId="77777777" w:rsidR="00B60726" w:rsidRPr="005E779E" w:rsidRDefault="00B60726" w:rsidP="000B7A6C">
      <w:pPr>
        <w:pStyle w:val="rtejustify"/>
        <w:spacing w:before="0" w:after="0"/>
        <w:rPr>
          <w:color w:val="000000" w:themeColor="text1"/>
          <w:sz w:val="16"/>
          <w:szCs w:val="16"/>
        </w:rPr>
      </w:pPr>
      <w:r w:rsidRPr="005E779E">
        <w:rPr>
          <w:color w:val="000000" w:themeColor="text1"/>
          <w:sz w:val="16"/>
          <w:szCs w:val="16"/>
        </w:rPr>
        <w:t>Необходимо создать под руководством проф. Л. К. Рамзина проектную группу из специалистов-конструкторов по котлам. Наиболее подходящими являются инж. Н. В. Пейн, инж. Н. Н. Ревокатов и инж. Ю. О. Нови. Кроме того, еще нужен 1 чертежник; можно напр. использовать инж. Титова (из Теплоинститута). Кроме того, для связи с внешним миром в смысле получения литературы, материалов, справок, консультаций и т. п. крайне желательно вхождение в состав группы 1-2 инженеров-коммунистов, теплотехников. Из них для связи с Теплоинститутом</w:t>
      </w:r>
      <w:r w:rsidRPr="005E779E">
        <w:rPr>
          <w:color w:val="000000" w:themeColor="text1"/>
          <w:sz w:val="16"/>
          <w:szCs w:val="16"/>
          <w:vertAlign w:val="superscript"/>
        </w:rPr>
        <w:t> </w:t>
      </w:r>
      <w:r w:rsidRPr="005E779E">
        <w:rPr>
          <w:color w:val="000000" w:themeColor="text1"/>
          <w:sz w:val="16"/>
          <w:szCs w:val="16"/>
        </w:rPr>
        <w:t>очень &lt;желателен&gt; здесь инж. А. Миркин (Теплоинститут). Всю группу, ок. 5 человек целесообразно перебросить на завод Парострой, где будет строиться котел. Группу поручить постоянному наблюдению одного из сотрудников ОГПУ. желательно инженера или техника, и обезпечить ее литературой, необходимыми данным и т. п.</w:t>
      </w:r>
    </w:p>
    <w:p w14:paraId="0DE8FE53" w14:textId="77777777" w:rsidR="00B60726" w:rsidRPr="005E779E" w:rsidRDefault="00B60726" w:rsidP="000B7A6C">
      <w:pPr>
        <w:pStyle w:val="rtejustify"/>
        <w:spacing w:before="0" w:after="0"/>
        <w:rPr>
          <w:color w:val="000000" w:themeColor="text1"/>
          <w:sz w:val="16"/>
          <w:szCs w:val="16"/>
        </w:rPr>
      </w:pPr>
      <w:r w:rsidRPr="005E779E">
        <w:rPr>
          <w:color w:val="000000" w:themeColor="text1"/>
          <w:sz w:val="16"/>
          <w:szCs w:val="16"/>
        </w:rPr>
        <w:t>Срок изготовления эскизного проекта 1—1</w:t>
      </w:r>
      <w:r w:rsidRPr="005E779E">
        <w:rPr>
          <w:color w:val="000000" w:themeColor="text1"/>
          <w:sz w:val="16"/>
          <w:szCs w:val="16"/>
          <w:vertAlign w:val="superscript"/>
        </w:rPr>
        <w:t>1</w:t>
      </w:r>
      <w:r w:rsidRPr="005E779E">
        <w:rPr>
          <w:color w:val="000000" w:themeColor="text1"/>
          <w:sz w:val="16"/>
          <w:szCs w:val="16"/>
        </w:rPr>
        <w:t>/</w:t>
      </w:r>
      <w:r w:rsidRPr="005E779E">
        <w:rPr>
          <w:color w:val="000000" w:themeColor="text1"/>
          <w:sz w:val="16"/>
          <w:szCs w:val="16"/>
          <w:vertAlign w:val="subscript"/>
        </w:rPr>
        <w:t>2</w:t>
      </w:r>
      <w:r w:rsidRPr="005E779E">
        <w:rPr>
          <w:color w:val="000000" w:themeColor="text1"/>
          <w:sz w:val="16"/>
          <w:szCs w:val="16"/>
        </w:rPr>
        <w:t> месяца: параллельно идет заготовка и испытания материалов и оборудования для котла (трубки, форсунки, дымосос, мотор и т. п.); делаются запросы Торгпредством на заграничную арматуру и инструменты.</w:t>
      </w:r>
    </w:p>
    <w:p w14:paraId="3E716BF4" w14:textId="77777777" w:rsidR="00B60726" w:rsidRPr="005E779E" w:rsidRDefault="00B60726" w:rsidP="000B7A6C">
      <w:pPr>
        <w:pStyle w:val="rtejustify"/>
        <w:spacing w:before="0" w:after="0"/>
        <w:rPr>
          <w:color w:val="000000" w:themeColor="text1"/>
          <w:sz w:val="16"/>
          <w:szCs w:val="16"/>
        </w:rPr>
      </w:pPr>
      <w:r w:rsidRPr="005E779E">
        <w:rPr>
          <w:color w:val="000000" w:themeColor="text1"/>
          <w:sz w:val="16"/>
          <w:szCs w:val="16"/>
        </w:rPr>
        <w:t>2. Заказ материалов и оборудования в СССР и заграницей по получении ответов и предложений. Здесь крайне нужна для ускорения энергичная помощь ОГПУ.</w:t>
      </w:r>
    </w:p>
    <w:p w14:paraId="20473327" w14:textId="77777777" w:rsidR="00B60726" w:rsidRPr="005E779E" w:rsidRDefault="00B60726" w:rsidP="000B7A6C">
      <w:pPr>
        <w:pStyle w:val="rtejustify"/>
        <w:spacing w:before="0" w:after="0"/>
        <w:rPr>
          <w:color w:val="000000" w:themeColor="text1"/>
          <w:sz w:val="16"/>
          <w:szCs w:val="16"/>
        </w:rPr>
      </w:pPr>
      <w:r w:rsidRPr="005E779E">
        <w:rPr>
          <w:color w:val="000000" w:themeColor="text1"/>
          <w:sz w:val="16"/>
          <w:szCs w:val="16"/>
        </w:rPr>
        <w:t>&lt;3.&gt; Постройка опытного котла на заводе Парострой в Москве (как наиболее подходящем из Московских заводов) под наблюдением группы Рамзина потребует примерно 2-3 месяца. &lt;Необходимо&gt; получить здесь личную помощь со стороны тов. Прокофьева для &lt;...&gt; постройки и привлечь опытный заводской персонал.</w:t>
      </w:r>
    </w:p>
    <w:p w14:paraId="66822BE4" w14:textId="77777777" w:rsidR="00B60726" w:rsidRPr="005E779E" w:rsidRDefault="00B60726" w:rsidP="000B7A6C">
      <w:pPr>
        <w:pStyle w:val="rtejustify"/>
        <w:spacing w:before="0" w:after="0"/>
        <w:rPr>
          <w:color w:val="000000" w:themeColor="text1"/>
          <w:sz w:val="16"/>
          <w:szCs w:val="16"/>
        </w:rPr>
      </w:pPr>
      <w:r w:rsidRPr="005E779E">
        <w:rPr>
          <w:color w:val="000000" w:themeColor="text1"/>
          <w:sz w:val="16"/>
          <w:szCs w:val="16"/>
        </w:rPr>
        <w:t>4. Установка опытного котла в Теплотехническом Институте будет наиболее целесообразна, ибо там есть нужные инструменты и оборудование, что сильно облегчит и ускорит дело. Срок 1-1</w:t>
      </w:r>
      <w:r w:rsidRPr="005E779E">
        <w:rPr>
          <w:color w:val="000000" w:themeColor="text1"/>
          <w:sz w:val="16"/>
          <w:szCs w:val="16"/>
          <w:vertAlign w:val="superscript"/>
        </w:rPr>
        <w:t>1</w:t>
      </w:r>
      <w:r w:rsidRPr="005E779E">
        <w:rPr>
          <w:color w:val="000000" w:themeColor="text1"/>
          <w:sz w:val="16"/>
          <w:szCs w:val="16"/>
        </w:rPr>
        <w:t>/</w:t>
      </w:r>
      <w:r w:rsidRPr="005E779E">
        <w:rPr>
          <w:color w:val="000000" w:themeColor="text1"/>
          <w:sz w:val="16"/>
          <w:szCs w:val="16"/>
          <w:vertAlign w:val="subscript"/>
        </w:rPr>
        <w:t>2</w:t>
      </w:r>
      <w:r w:rsidRPr="005E779E">
        <w:rPr>
          <w:color w:val="000000" w:themeColor="text1"/>
          <w:sz w:val="16"/>
          <w:szCs w:val="16"/>
        </w:rPr>
        <w:t> месяца. К этому времени надо получить уже заграничные инструменты и арматуру.</w:t>
      </w:r>
    </w:p>
    <w:p w14:paraId="2ADACA08" w14:textId="77777777" w:rsidR="00B60726" w:rsidRPr="005E779E" w:rsidRDefault="00B60726" w:rsidP="000B7A6C">
      <w:pPr>
        <w:pStyle w:val="rtejustify"/>
        <w:spacing w:before="0" w:after="0"/>
        <w:rPr>
          <w:color w:val="000000" w:themeColor="text1"/>
          <w:sz w:val="16"/>
          <w:szCs w:val="16"/>
        </w:rPr>
      </w:pPr>
      <w:r w:rsidRPr="005E779E">
        <w:rPr>
          <w:color w:val="000000" w:themeColor="text1"/>
          <w:sz w:val="16"/>
          <w:szCs w:val="16"/>
        </w:rPr>
        <w:t>5. Испытания опытного котла в Теплоинституте, производимые Рамзиным и его группой, потребуют добавки еще 2-3 человек опытных экспериментаторов теплотехников. Время для испытаний — ориентировочно &lt;2-4 ме&gt;сяца.</w:t>
      </w:r>
    </w:p>
    <w:p w14:paraId="26856694" w14:textId="77777777" w:rsidR="00B60726" w:rsidRPr="005E779E" w:rsidRDefault="00B60726" w:rsidP="000B7A6C">
      <w:pPr>
        <w:pStyle w:val="rtejustify"/>
        <w:spacing w:before="0" w:after="0"/>
        <w:rPr>
          <w:color w:val="000000" w:themeColor="text1"/>
          <w:sz w:val="16"/>
          <w:szCs w:val="16"/>
        </w:rPr>
      </w:pPr>
      <w:r w:rsidRPr="005E779E">
        <w:rPr>
          <w:color w:val="000000" w:themeColor="text1"/>
          <w:sz w:val="16"/>
          <w:szCs w:val="16"/>
        </w:rPr>
        <w:t>Таким образом, при отсутствии задержек с заказом советского и заграничного оборудования и с изготовлением и монтажем котла, всего от начала проектирования до конца опытов потребуется 6-9 месяцев.</w:t>
      </w:r>
    </w:p>
    <w:p w14:paraId="66BD1527" w14:textId="77777777" w:rsidR="00B60726" w:rsidRPr="005E779E" w:rsidRDefault="00B60726" w:rsidP="000B7A6C">
      <w:pPr>
        <w:pStyle w:val="rtejustify"/>
        <w:spacing w:before="0" w:after="0"/>
        <w:rPr>
          <w:color w:val="000000" w:themeColor="text1"/>
          <w:sz w:val="16"/>
          <w:szCs w:val="16"/>
        </w:rPr>
      </w:pPr>
      <w:r w:rsidRPr="005E779E">
        <w:rPr>
          <w:color w:val="000000" w:themeColor="text1"/>
          <w:sz w:val="16"/>
          <w:szCs w:val="16"/>
        </w:rPr>
        <w:t>6. Параллельно с постройкой и испытанием опытного котла будет идти проектировка и крупного промышленного котла сист[емы] Рамзина, так что через 9-10 месяцев будет &lt;—&gt; эскизный проект и промышленного крупного котла.</w:t>
      </w:r>
    </w:p>
    <w:p w14:paraId="7EE16DC1" w14:textId="77777777" w:rsidR="00B60726" w:rsidRPr="005E779E" w:rsidRDefault="00B60726" w:rsidP="000B7A6C">
      <w:pPr>
        <w:pStyle w:val="rtejustify"/>
        <w:spacing w:before="0" w:after="0"/>
        <w:rPr>
          <w:color w:val="000000" w:themeColor="text1"/>
          <w:sz w:val="16"/>
          <w:szCs w:val="16"/>
        </w:rPr>
      </w:pPr>
      <w:r w:rsidRPr="005E779E">
        <w:rPr>
          <w:color w:val="000000" w:themeColor="text1"/>
          <w:sz w:val="16"/>
          <w:szCs w:val="16"/>
        </w:rPr>
        <w:t>7. Потребные средства</w:t>
      </w:r>
    </w:p>
    <w:p w14:paraId="293C773B" w14:textId="77777777" w:rsidR="00B60726" w:rsidRPr="005E779E" w:rsidRDefault="00B60726" w:rsidP="000B7A6C">
      <w:pPr>
        <w:pStyle w:val="rtejustify"/>
        <w:spacing w:before="0" w:after="0"/>
        <w:rPr>
          <w:color w:val="000000" w:themeColor="text1"/>
          <w:sz w:val="16"/>
          <w:szCs w:val="16"/>
        </w:rPr>
      </w:pPr>
      <w:r w:rsidRPr="005E779E">
        <w:rPr>
          <w:color w:val="000000" w:themeColor="text1"/>
          <w:sz w:val="16"/>
          <w:szCs w:val="16"/>
        </w:rPr>
        <w:t>Проектирование, постройка, монтаж и испытания опытного котла потребуют при использовании имеющегося в Теплоинституте оборудования и приборов ориентировочно ок. 35-40 тыс, рублей; кроме того, на приобретение заграничных частей, как то арматуры и &lt;...&gt; высокого давления, регуляторов и измерительных приборов потребуется ориентировочно ок. 5000-10000 руб, валюты. Точные цифры будут указаны по окончании эскизного проекта и по &lt;...&gt; предложений от фирм. Подробный эскизный проект промышленного котла будет стоить еще вероятно ок. 5000-10000 рублей.</w:t>
      </w:r>
    </w:p>
    <w:p w14:paraId="0FB6DE7D" w14:textId="77777777" w:rsidR="00B60726" w:rsidRPr="005E779E" w:rsidRDefault="00B60726" w:rsidP="000B7A6C">
      <w:pPr>
        <w:pStyle w:val="rtejustify"/>
        <w:spacing w:before="0" w:after="0"/>
        <w:rPr>
          <w:color w:val="000000" w:themeColor="text1"/>
          <w:sz w:val="16"/>
          <w:szCs w:val="16"/>
        </w:rPr>
      </w:pPr>
      <w:r w:rsidRPr="005E779E">
        <w:rPr>
          <w:color w:val="000000" w:themeColor="text1"/>
          <w:sz w:val="16"/>
          <w:szCs w:val="16"/>
        </w:rPr>
        <w:t>8. Серийное производство крупных промышленных котлов сист. Рамзина и изготовление рабочих чертежей их будет целесообразно организовать уже на одном из сильных котельных заводов — на Ленинградском металлическом заводе им. Сталина, при чем &lt;...&gt; котел можно будет строить и на Парострое.</w:t>
      </w:r>
    </w:p>
    <w:p w14:paraId="758222E5" w14:textId="77777777" w:rsidR="00B60726" w:rsidRPr="005E779E" w:rsidRDefault="00B60726" w:rsidP="000B7A6C">
      <w:pPr>
        <w:pStyle w:val="ae"/>
        <w:spacing w:before="0" w:after="0"/>
        <w:jc w:val="both"/>
        <w:rPr>
          <w:color w:val="000000" w:themeColor="text1"/>
          <w:sz w:val="16"/>
          <w:szCs w:val="16"/>
        </w:rPr>
      </w:pPr>
      <w:r w:rsidRPr="005E779E">
        <w:rPr>
          <w:color w:val="000000" w:themeColor="text1"/>
          <w:sz w:val="16"/>
          <w:szCs w:val="16"/>
        </w:rPr>
        <w:t>16.VI.1931 г.</w:t>
      </w:r>
    </w:p>
    <w:p w14:paraId="1C81A1F5" w14:textId="77777777" w:rsidR="00B60726" w:rsidRPr="005E779E" w:rsidRDefault="00B60726" w:rsidP="000B7A6C">
      <w:pPr>
        <w:pStyle w:val="ae"/>
        <w:spacing w:before="0" w:after="0"/>
        <w:jc w:val="both"/>
        <w:rPr>
          <w:color w:val="000000" w:themeColor="text1"/>
          <w:sz w:val="16"/>
          <w:szCs w:val="16"/>
        </w:rPr>
      </w:pPr>
      <w:r w:rsidRPr="005E779E">
        <w:rPr>
          <w:color w:val="000000" w:themeColor="text1"/>
          <w:sz w:val="16"/>
          <w:szCs w:val="16"/>
        </w:rPr>
        <w:t>Л. Рамзин</w:t>
      </w:r>
    </w:p>
    <w:p w14:paraId="342EE3BC" w14:textId="77777777" w:rsidR="00B60726" w:rsidRPr="005E779E" w:rsidRDefault="00B60726" w:rsidP="000B7A6C">
      <w:pPr>
        <w:pStyle w:val="ae"/>
        <w:spacing w:before="0" w:after="0"/>
        <w:jc w:val="both"/>
        <w:rPr>
          <w:color w:val="000000" w:themeColor="text1"/>
          <w:sz w:val="16"/>
          <w:szCs w:val="16"/>
        </w:rPr>
      </w:pPr>
      <w:r w:rsidRPr="005E779E">
        <w:rPr>
          <w:rStyle w:val="af0"/>
          <w:i w:val="0"/>
          <w:color w:val="000000" w:themeColor="text1"/>
          <w:sz w:val="16"/>
          <w:szCs w:val="16"/>
        </w:rPr>
        <w:t>РГАЭ. Ф. 38. Oп. 1. Д. 69. Л. 30-30 об. Рукописный подлинник, автограф Л. К. Рамзина (написано карандашом). Данный текст положен в основу докладной записки А. Г. Горянова на имя Г. Е. Прокофьева «План работы по проектированию и постройке безбарабанного котла Рамзина» от 17 июня 1931 г. (см. док. № 7 данного раздела) (19064).</w:t>
      </w:r>
    </w:p>
    <w:p w14:paraId="05E371D3" w14:textId="77777777" w:rsidR="00B60726" w:rsidRPr="005E779E" w:rsidRDefault="00B60726" w:rsidP="000B7A6C">
      <w:pPr>
        <w:spacing w:after="0" w:line="240" w:lineRule="auto"/>
        <w:jc w:val="both"/>
        <w:rPr>
          <w:rFonts w:ascii="Times New Roman" w:hAnsi="Times New Roman"/>
          <w:color w:val="000000" w:themeColor="text1"/>
          <w:sz w:val="16"/>
          <w:szCs w:val="16"/>
        </w:rPr>
      </w:pPr>
    </w:p>
    <w:p w14:paraId="01926CEB"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69692EDD"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337B6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 июня 1931 года пленум ЦК ВКП(б) принял решение о строительстве канала Москва-Волга, первоначально порученном Наркомводу СССР. При этом продолжали обсуждаться различные варианты трассы канала: Старицкий (от села Родня в нескольких километрах выше города Старица через Волоколамск с выходом на реку Истра); Шошинский (от города Корчева по линии Городище-Клин-Истра); наконец, Дмитровский (7560).</w:t>
      </w:r>
    </w:p>
    <w:p w14:paraId="0B6790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56AA3B2" w14:textId="77777777" w:rsidR="00A231EC" w:rsidRPr="005E779E" w:rsidRDefault="00A231E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 июня 1931 года председатель ВСНХ СССР Григорий Орджоникидзе подписывает приказ о строительстве Криворожского металлургического завода. Согласно приказу завод необходимо было ввести в строй уже к концу 1932 года.</w:t>
      </w:r>
    </w:p>
    <w:p w14:paraId="7716CD4F" w14:textId="77777777" w:rsidR="00A231EC" w:rsidRPr="005E779E" w:rsidRDefault="00A231E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гигантского строительства необходимо было огромное количество людей. Небольшой отряд профессиональных строителей прибыл из Харькова. Всех остальных необходимо было вначале найти, а затем обучить.</w:t>
      </w:r>
    </w:p>
    <w:p w14:paraId="40CF543F" w14:textId="77777777" w:rsidR="00A231EC" w:rsidRPr="005E779E" w:rsidRDefault="00A231E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 и этого оказалось недостаточно. По партийной разнарядке в Кривой Рог прибывали люди из близлежащих сёл. Ставя перед собой задачу построить предприятие, не уступающее лучшим зарубежным производствам, на завершающем этапе от услуг иностранных специалистов решили отказаться. Хотя поначалу здесь работали немцы и американцы (21166).</w:t>
      </w:r>
    </w:p>
    <w:p w14:paraId="6CDFDB29" w14:textId="77777777" w:rsidR="00A231EC" w:rsidRPr="005E779E" w:rsidRDefault="00A231EC" w:rsidP="000B7A6C">
      <w:pPr>
        <w:shd w:val="clear" w:color="auto" w:fill="FFFFFF"/>
        <w:spacing w:after="0" w:line="240" w:lineRule="auto"/>
        <w:jc w:val="both"/>
        <w:textAlignment w:val="top"/>
        <w:rPr>
          <w:rFonts w:ascii="Times New Roman" w:hAnsi="Times New Roman"/>
          <w:color w:val="000000" w:themeColor="text1"/>
          <w:sz w:val="16"/>
          <w:szCs w:val="16"/>
        </w:rPr>
      </w:pPr>
    </w:p>
    <w:p w14:paraId="1F0CD7C1"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4ABDB99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B864A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16 июня 1931 Банк Англии предоставил Австрии заем, а Франция отказала в поддержке (3907,167).</w:t>
      </w:r>
    </w:p>
    <w:p w14:paraId="19DAB6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69A9956"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23F96F15"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3272F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 июня 1931 состоялось техническое совещание руководителей групп отдела АГОС о ходе работ по АНТ-16 (1077,174).</w:t>
      </w:r>
    </w:p>
    <w:p w14:paraId="015253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E6550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 июня 1931 закончились гос. испытания Ш-2 в Ленинграде по линии НИИ ГВФ, которые шли с 12 июня 1931 (92,384).</w:t>
      </w:r>
    </w:p>
    <w:p w14:paraId="1FC4F9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8800962" w14:textId="77777777" w:rsidR="007D1305" w:rsidRPr="00142305" w:rsidRDefault="007D1305" w:rsidP="007D130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17 июня 1931 г. на Ш-2 в рамках официальных испытаний начал летать лётчик Э.И. Шварц, которого вместе с и инженером Е.В. Гурьевыс командировали из НИИ ГВФ.</w:t>
      </w:r>
    </w:p>
    <w:p w14:paraId="12F4E23A" w14:textId="77777777" w:rsidR="007D1305" w:rsidRPr="00142305" w:rsidRDefault="007D1305" w:rsidP="007D130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 полётном весе 909 кг (на борту находился пилот и один пассажир) в ва</w:t>
      </w:r>
      <w:r w:rsidRPr="00142305">
        <w:rPr>
          <w:rFonts w:ascii="Times New Roman" w:hAnsi="Times New Roman"/>
          <w:color w:val="0070C0"/>
          <w:sz w:val="16"/>
          <w:szCs w:val="16"/>
        </w:rPr>
        <w:softHyphen/>
        <w:t>рианте летающей лодки получили мак</w:t>
      </w:r>
      <w:r w:rsidRPr="00142305">
        <w:rPr>
          <w:rFonts w:ascii="Times New Roman" w:hAnsi="Times New Roman"/>
          <w:color w:val="0070C0"/>
          <w:sz w:val="16"/>
          <w:szCs w:val="16"/>
        </w:rPr>
        <w:softHyphen/>
        <w:t>симальную скорость 145,7 км/ч и прак</w:t>
      </w:r>
      <w:r w:rsidRPr="00142305">
        <w:rPr>
          <w:rFonts w:ascii="Times New Roman" w:hAnsi="Times New Roman"/>
          <w:color w:val="0070C0"/>
          <w:sz w:val="16"/>
          <w:szCs w:val="16"/>
        </w:rPr>
        <w:softHyphen/>
        <w:t>тический потолок 3650 м, в варианте амфибии - соответственно 136,5 км/ч и 3330 м. Шварц отметил, что в штиль са</w:t>
      </w:r>
      <w:r w:rsidRPr="00142305">
        <w:rPr>
          <w:rFonts w:ascii="Times New Roman" w:hAnsi="Times New Roman"/>
          <w:color w:val="0070C0"/>
          <w:sz w:val="16"/>
          <w:szCs w:val="16"/>
        </w:rPr>
        <w:softHyphen/>
        <w:t>молёт легко выходил на редан, а затем быстро набирал скорость и отрывался от воды через 9 - 10 с. Машина могла лететь с брошенной ручкой управления. Продолжительность пребывания в воз</w:t>
      </w:r>
      <w:r w:rsidRPr="00142305">
        <w:rPr>
          <w:rFonts w:ascii="Times New Roman" w:hAnsi="Times New Roman"/>
          <w:color w:val="0070C0"/>
          <w:sz w:val="16"/>
          <w:szCs w:val="16"/>
        </w:rPr>
        <w:softHyphen/>
        <w:t>духе оценивалась примерно в три часа. Полёты осуществлялись при ветре до 7-8 м/с и высоте волны до 0,5 - 0,8 м. При взлёте на колёсах требовалось на разбеге приподнять хвост, как и на других сухопутных машинах того времени. Раз</w:t>
      </w:r>
      <w:r w:rsidRPr="00142305">
        <w:rPr>
          <w:rFonts w:ascii="Times New Roman" w:hAnsi="Times New Roman"/>
          <w:color w:val="0070C0"/>
          <w:sz w:val="16"/>
          <w:szCs w:val="16"/>
        </w:rPr>
        <w:softHyphen/>
        <w:t>бег Ш-2 составлял 110-115м. Посадку на воду производить было легко, на су</w:t>
      </w:r>
      <w:r w:rsidRPr="00142305">
        <w:rPr>
          <w:rFonts w:ascii="Times New Roman" w:hAnsi="Times New Roman"/>
          <w:color w:val="0070C0"/>
          <w:sz w:val="16"/>
          <w:szCs w:val="16"/>
        </w:rPr>
        <w:softHyphen/>
        <w:t>шу - сложнее: пилот сидел непривычно низко. Посадочная скорость равнялась 60 - 70 км/ч. Для посадки амфибии требо</w:t>
      </w:r>
      <w:r w:rsidRPr="00142305">
        <w:rPr>
          <w:rFonts w:ascii="Times New Roman" w:hAnsi="Times New Roman"/>
          <w:color w:val="0070C0"/>
          <w:sz w:val="16"/>
          <w:szCs w:val="16"/>
        </w:rPr>
        <w:softHyphen/>
        <w:t>валась площадка длиной 200 - 250 м.</w:t>
      </w:r>
    </w:p>
    <w:p w14:paraId="57977494" w14:textId="77777777" w:rsidR="007D1305" w:rsidRPr="00142305" w:rsidRDefault="007D1305" w:rsidP="007D130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многим показателям, в частности, по времени разбега, Ш-2 существенно превосходил упоминавшийся выше МУ-3, испытывавшийся весной 1931 г.</w:t>
      </w:r>
    </w:p>
    <w:p w14:paraId="686043BB" w14:textId="77777777" w:rsidR="007D1305" w:rsidRPr="00142305" w:rsidRDefault="007D1305" w:rsidP="007D130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Примерно в середине программы испы</w:t>
      </w:r>
      <w:r w:rsidRPr="00142305">
        <w:rPr>
          <w:rFonts w:ascii="Times New Roman" w:hAnsi="Times New Roman"/>
          <w:color w:val="0070C0"/>
          <w:sz w:val="16"/>
          <w:szCs w:val="16"/>
        </w:rPr>
        <w:softHyphen/>
        <w:t>таний поутру обнаружили дыру в картере двигателя. Оказалось, что начальник за</w:t>
      </w:r>
      <w:r w:rsidRPr="00142305">
        <w:rPr>
          <w:rFonts w:ascii="Times New Roman" w:hAnsi="Times New Roman"/>
          <w:color w:val="0070C0"/>
          <w:sz w:val="16"/>
          <w:szCs w:val="16"/>
        </w:rPr>
        <w:softHyphen/>
        <w:t>водского чертёжного бюро Н.П Михель</w:t>
      </w:r>
      <w:r w:rsidRPr="00142305">
        <w:rPr>
          <w:rFonts w:ascii="Times New Roman" w:hAnsi="Times New Roman"/>
          <w:color w:val="0070C0"/>
          <w:sz w:val="16"/>
          <w:szCs w:val="16"/>
        </w:rPr>
        <w:softHyphen/>
        <w:t>сон что-то отмечал с друзьями, а потом решил полетать (тогда всё это было за</w:t>
      </w:r>
      <w:r w:rsidRPr="00142305">
        <w:rPr>
          <w:rFonts w:ascii="Times New Roman" w:hAnsi="Times New Roman"/>
          <w:color w:val="0070C0"/>
          <w:sz w:val="16"/>
          <w:szCs w:val="16"/>
        </w:rPr>
        <w:softHyphen/>
        <w:t>просто). Взлететь-то компания взлетела, но масляный кран открыть забыли, и при</w:t>
      </w:r>
      <w:r w:rsidRPr="00142305">
        <w:rPr>
          <w:rFonts w:ascii="Times New Roman" w:hAnsi="Times New Roman"/>
          <w:color w:val="0070C0"/>
          <w:sz w:val="16"/>
          <w:szCs w:val="16"/>
        </w:rPr>
        <w:softHyphen/>
        <w:t>шёл мотору «капут». Заводские, заметая следы, моментально достали новый М-11, и через два дня он уже стоял на амфибии Шаврова.</w:t>
      </w:r>
    </w:p>
    <w:p w14:paraId="50134156" w14:textId="77777777" w:rsidR="007D1305" w:rsidRPr="00142305" w:rsidRDefault="007D1305" w:rsidP="007D130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ходе испытаний при посадке на боль</w:t>
      </w:r>
      <w:r w:rsidRPr="00142305">
        <w:rPr>
          <w:rFonts w:ascii="Times New Roman" w:hAnsi="Times New Roman"/>
          <w:color w:val="0070C0"/>
          <w:sz w:val="16"/>
          <w:szCs w:val="16"/>
        </w:rPr>
        <w:softHyphen/>
        <w:t>шую волну сломали четыре шпангоута, пришлось их ремонтировать и позже уси</w:t>
      </w:r>
      <w:r w:rsidRPr="00142305">
        <w:rPr>
          <w:rFonts w:ascii="Times New Roman" w:hAnsi="Times New Roman"/>
          <w:color w:val="0070C0"/>
          <w:sz w:val="16"/>
          <w:szCs w:val="16"/>
        </w:rPr>
        <w:softHyphen/>
        <w:t>ливать. Одновременно внесли некоторые конструктивные усовершенствования.</w:t>
      </w:r>
    </w:p>
    <w:p w14:paraId="0DBE695F" w14:textId="77777777" w:rsidR="007D1305" w:rsidRPr="00142305" w:rsidRDefault="007D1305" w:rsidP="007D130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Самолёт имел хорошую манёвренность на воде. Из достоинств Шварц также указал на хороший обзор из кабины и небольшие усилия при подъёме колёс. Высокую оценку заслужили простота обслуживания, несложная конструкция, компактность со сложенными крылья</w:t>
      </w:r>
      <w:r w:rsidRPr="00142305">
        <w:rPr>
          <w:rFonts w:ascii="Times New Roman" w:hAnsi="Times New Roman"/>
          <w:color w:val="0070C0"/>
          <w:sz w:val="16"/>
          <w:szCs w:val="16"/>
        </w:rPr>
        <w:softHyphen/>
        <w:t>ми. Общий вывод звучал весьма лестно: «Самолёт обладает хорошими лётными и аэродинамическими качествами, а также удобен в эксплуатации». НИИ ГВФ реко</w:t>
      </w:r>
      <w:r w:rsidRPr="00142305">
        <w:rPr>
          <w:rFonts w:ascii="Times New Roman" w:hAnsi="Times New Roman"/>
          <w:color w:val="0070C0"/>
          <w:sz w:val="16"/>
          <w:szCs w:val="16"/>
        </w:rPr>
        <w:softHyphen/>
        <w:t>мендовало Ш-2 для внедрения в серию как машину для учебных целей.</w:t>
      </w:r>
    </w:p>
    <w:p w14:paraId="5CDD0EEB" w14:textId="77777777" w:rsidR="007D1305" w:rsidRPr="00142305" w:rsidRDefault="007D1305" w:rsidP="007D130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После успешных испытаний Ш-2 вклю</w:t>
      </w:r>
      <w:r w:rsidRPr="00142305">
        <w:rPr>
          <w:rFonts w:ascii="Times New Roman" w:hAnsi="Times New Roman"/>
          <w:color w:val="0070C0"/>
          <w:sz w:val="16"/>
          <w:szCs w:val="16"/>
        </w:rPr>
        <w:softHyphen/>
        <w:t>чили в план ЦКБ под номером «106», и Шавров стал заниматься своей машиной официально (23952).</w:t>
      </w:r>
    </w:p>
    <w:p w14:paraId="27922A0F" w14:textId="77777777" w:rsidR="007D1305" w:rsidRPr="00142305" w:rsidRDefault="007D1305" w:rsidP="007D1305">
      <w:pPr>
        <w:spacing w:after="0" w:line="240" w:lineRule="auto"/>
        <w:jc w:val="both"/>
        <w:rPr>
          <w:rFonts w:ascii="Times New Roman" w:hAnsi="Times New Roman"/>
          <w:color w:val="0070C0"/>
          <w:sz w:val="16"/>
          <w:szCs w:val="16"/>
        </w:rPr>
      </w:pPr>
    </w:p>
    <w:p w14:paraId="62933D70"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45A8EA19"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C2996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 июня 1931 г. 305-мм ДРП Курчевского и 20 штук чугунных ядер весом 350 кг отправили на НИАП</w:t>
      </w:r>
    </w:p>
    <w:p w14:paraId="6290C8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посещении завода «Большевик» в январе 1932 г. Курчевский дал указание укоротить ствол на 10 калибров и оставить длину 3429 мм, то есть 11,2 калибра, а вес снаряда уменьшить до 250 кг.</w:t>
      </w:r>
    </w:p>
    <w:p w14:paraId="675F80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марта 1932 г. на НИАПе было произведено испытание 305-мм мортиры ДРП. Результаты испытаний:</w:t>
      </w:r>
    </w:p>
    <w:p w14:paraId="55BFE7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Заряжание производилось с дула чугунным ядром длиной 485 мм. Вес орудия с соплом около 1 т. Длина нарезной части 10 калибров. Вес всей системы около 5 т. Систему решено установить на 5-тонный автомобиль. При весе снаряда 250 кг, весе заряда 90 кг и начальной скорости 498,6 м/с давление в канале составило 1100 кг/см2.</w:t>
      </w:r>
    </w:p>
    <w:p w14:paraId="3E1A90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Понятно, что эта ДРП была лишь макетом орудия. Поэтому в 1933–1934 гг. Курчевский разработал проект новой установки — 305-мм самоходной полевой гаубицы Курчевского (СПГК). За проект Курчевский получил 700 тыс. рублей.</w:t>
      </w:r>
    </w:p>
    <w:p w14:paraId="1C2E27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1934 г. завод «Большевик» изготовил 305-мм гаубичный ствол длиной в 16 калибров, а установку к нему сделал завод № 38. Вес установки был 11 т. Расчетные баллистические данные: вес фугасного снаряда — 250 кг; начальная скорость — 600 м/с; дальность стрельбы 16 км.</w:t>
      </w:r>
    </w:p>
    <w:p w14:paraId="31B3F8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Испытания ее прошли неудачно, и в 1935 г. в план работ Курчевский включил разработать рабочий чертеж и изготовить опытный образец 305-мм гаубицы СПГК-305.</w:t>
      </w:r>
    </w:p>
    <w:p w14:paraId="60502C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Ствол 305-мм гаубицы СПГК-305 был изготовлен в 1935 г. на заводе «Большевик». Тумба с механизмами изготовлена на заводе № 38, там же была собрана и вся установка. Вес ее ствола с тумбой и механизмами был около 5,5 т. Гаубицу хотели установить на опытном трехосном грузовике Я-8–5 с двигателем мощностью 102 л. с. К 1 января 1936 г. 305-мм гаубица СПГК-305 имела готовность 98 % (12091).</w:t>
      </w:r>
    </w:p>
    <w:p w14:paraId="7ED17F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61D71A3" w14:textId="77777777" w:rsidR="00B60726" w:rsidRPr="005E779E" w:rsidRDefault="00B60726"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17 июня 1931 г.</w:t>
      </w:r>
    </w:p>
    <w:p w14:paraId="729D5241" w14:textId="77777777" w:rsidR="00B60726" w:rsidRPr="005E779E" w:rsidRDefault="00B60726"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Предварительный план работы «по проектированию и постройке» котла по проекту Л. К. Рамзина. 17 июня 1931 г.</w:t>
      </w:r>
    </w:p>
    <w:p w14:paraId="186971DD" w14:textId="77777777" w:rsidR="00B60726" w:rsidRPr="005E779E" w:rsidRDefault="00B60726"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Источник: </w:t>
      </w:r>
    </w:p>
    <w:p w14:paraId="2041F4A4" w14:textId="77777777" w:rsidR="00B60726" w:rsidRPr="005E779E" w:rsidRDefault="00B6072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D530AC0" w14:textId="77777777" w:rsidR="00B60726" w:rsidRPr="005E779E" w:rsidRDefault="00B60726"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Архив: </w:t>
      </w:r>
    </w:p>
    <w:p w14:paraId="15D0330E" w14:textId="77777777" w:rsidR="00B60726" w:rsidRPr="005E779E" w:rsidRDefault="00B6072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РГАЭ. Ф. 38. Oп. 1. Д. 2. Л. 22-21</w:t>
      </w:r>
    </w:p>
    <w:p w14:paraId="6F43689D" w14:textId="77777777" w:rsidR="00B60726" w:rsidRPr="005E779E" w:rsidRDefault="00B60726" w:rsidP="000B7A6C">
      <w:pPr>
        <w:pStyle w:val="rteright"/>
        <w:spacing w:before="0" w:after="0"/>
        <w:jc w:val="both"/>
        <w:rPr>
          <w:color w:val="000000" w:themeColor="text1"/>
          <w:sz w:val="16"/>
          <w:szCs w:val="16"/>
        </w:rPr>
      </w:pPr>
      <w:r w:rsidRPr="005E779E">
        <w:rPr>
          <w:color w:val="000000" w:themeColor="text1"/>
          <w:sz w:val="16"/>
          <w:szCs w:val="16"/>
        </w:rPr>
        <w:t>17 июня 1931 г.</w:t>
      </w:r>
    </w:p>
    <w:p w14:paraId="081148A6" w14:textId="77777777" w:rsidR="00B60726" w:rsidRPr="005E779E" w:rsidRDefault="00B60726" w:rsidP="000B7A6C">
      <w:pPr>
        <w:pStyle w:val="ae"/>
        <w:spacing w:before="0" w:after="0"/>
        <w:jc w:val="both"/>
        <w:rPr>
          <w:color w:val="000000" w:themeColor="text1"/>
          <w:sz w:val="16"/>
          <w:szCs w:val="16"/>
        </w:rPr>
      </w:pPr>
      <w:r w:rsidRPr="005E779E">
        <w:rPr>
          <w:color w:val="000000" w:themeColor="text1"/>
          <w:sz w:val="16"/>
          <w:szCs w:val="16"/>
        </w:rPr>
        <w:t>НАЧАЛЬНИКУ ЭКУ ОГПУ тов. ПРОКОФЬЕВУ</w:t>
      </w:r>
    </w:p>
    <w:p w14:paraId="1A1CB44A" w14:textId="77777777" w:rsidR="00B60726" w:rsidRPr="005E779E" w:rsidRDefault="00B60726" w:rsidP="000B7A6C">
      <w:pPr>
        <w:pStyle w:val="ae"/>
        <w:spacing w:before="0" w:after="0"/>
        <w:jc w:val="both"/>
        <w:rPr>
          <w:color w:val="000000" w:themeColor="text1"/>
          <w:sz w:val="16"/>
          <w:szCs w:val="16"/>
        </w:rPr>
      </w:pPr>
      <w:r w:rsidRPr="005E779E">
        <w:rPr>
          <w:color w:val="000000" w:themeColor="text1"/>
          <w:sz w:val="16"/>
          <w:szCs w:val="16"/>
        </w:rPr>
        <w:t>ПЛАН</w:t>
      </w:r>
    </w:p>
    <w:p w14:paraId="5A3D4642" w14:textId="77777777" w:rsidR="00B60726" w:rsidRPr="005E779E" w:rsidRDefault="00B60726" w:rsidP="000B7A6C">
      <w:pPr>
        <w:pStyle w:val="ae"/>
        <w:spacing w:before="0" w:after="0"/>
        <w:jc w:val="both"/>
        <w:rPr>
          <w:color w:val="000000" w:themeColor="text1"/>
          <w:sz w:val="16"/>
          <w:szCs w:val="16"/>
        </w:rPr>
      </w:pPr>
      <w:r w:rsidRPr="005E779E">
        <w:rPr>
          <w:color w:val="000000" w:themeColor="text1"/>
          <w:sz w:val="16"/>
          <w:szCs w:val="16"/>
        </w:rPr>
        <w:t>РАБОТЫ ПО ПРОЕКТИРОВАНИЮ И ПОСТРОЙКЕ</w:t>
      </w:r>
    </w:p>
    <w:p w14:paraId="7BBD47D6" w14:textId="77777777" w:rsidR="00B60726" w:rsidRPr="005E779E" w:rsidRDefault="00B60726" w:rsidP="000B7A6C">
      <w:pPr>
        <w:pStyle w:val="ae"/>
        <w:spacing w:before="0" w:after="0"/>
        <w:jc w:val="both"/>
        <w:rPr>
          <w:color w:val="000000" w:themeColor="text1"/>
          <w:sz w:val="16"/>
          <w:szCs w:val="16"/>
        </w:rPr>
      </w:pPr>
      <w:r w:rsidRPr="005E779E">
        <w:rPr>
          <w:color w:val="000000" w:themeColor="text1"/>
          <w:sz w:val="16"/>
          <w:szCs w:val="16"/>
        </w:rPr>
        <w:t>БЕЗБАРАБАННОГО КОТЛА РАМЗИНА</w:t>
      </w:r>
    </w:p>
    <w:p w14:paraId="2779D23B" w14:textId="77777777" w:rsidR="00B60726" w:rsidRPr="005E779E" w:rsidRDefault="00B60726" w:rsidP="000B7A6C">
      <w:pPr>
        <w:pStyle w:val="ae"/>
        <w:spacing w:before="0" w:after="0"/>
        <w:jc w:val="both"/>
        <w:rPr>
          <w:color w:val="000000" w:themeColor="text1"/>
          <w:sz w:val="16"/>
          <w:szCs w:val="16"/>
        </w:rPr>
      </w:pPr>
      <w:r w:rsidRPr="005E779E">
        <w:rPr>
          <w:color w:val="000000" w:themeColor="text1"/>
          <w:sz w:val="16"/>
          <w:szCs w:val="16"/>
        </w:rPr>
        <w:t>1. ПРОЕКТ ОПЫТНОГО КОТЛА РАМЗИНА</w:t>
      </w:r>
    </w:p>
    <w:p w14:paraId="0782F415" w14:textId="77777777" w:rsidR="00B60726" w:rsidRPr="005E779E" w:rsidRDefault="00B60726" w:rsidP="000B7A6C">
      <w:pPr>
        <w:pStyle w:val="rtejustify"/>
        <w:spacing w:before="0" w:after="0"/>
        <w:rPr>
          <w:color w:val="000000" w:themeColor="text1"/>
          <w:sz w:val="16"/>
          <w:szCs w:val="16"/>
        </w:rPr>
      </w:pPr>
      <w:r w:rsidRPr="005E779E">
        <w:rPr>
          <w:color w:val="000000" w:themeColor="text1"/>
          <w:sz w:val="16"/>
          <w:szCs w:val="16"/>
        </w:rPr>
        <w:t>Необходимо создать под руководством Л. К. РАМЗИНА проектную группу из специалистов-конструкторов по котлам.</w:t>
      </w:r>
    </w:p>
    <w:p w14:paraId="45DA8A84" w14:textId="77777777" w:rsidR="00B60726" w:rsidRPr="005E779E" w:rsidRDefault="00B60726" w:rsidP="000B7A6C">
      <w:pPr>
        <w:pStyle w:val="rtejustify"/>
        <w:spacing w:before="0" w:after="0"/>
        <w:rPr>
          <w:color w:val="000000" w:themeColor="text1"/>
          <w:sz w:val="16"/>
          <w:szCs w:val="16"/>
        </w:rPr>
      </w:pPr>
      <w:r w:rsidRPr="005E779E">
        <w:rPr>
          <w:color w:val="000000" w:themeColor="text1"/>
          <w:sz w:val="16"/>
          <w:szCs w:val="16"/>
        </w:rPr>
        <w:t>Наиболее подходящими являются: инж[енеры] Н. В. ЦЕЙЦ, Н. Н. РЕВОКАТОВ и Ю. О. НОВИ.</w:t>
      </w:r>
    </w:p>
    <w:p w14:paraId="6C00CF54" w14:textId="77777777" w:rsidR="00B60726" w:rsidRPr="005E779E" w:rsidRDefault="00B60726" w:rsidP="000B7A6C">
      <w:pPr>
        <w:pStyle w:val="rtejustify"/>
        <w:spacing w:before="0" w:after="0"/>
        <w:rPr>
          <w:color w:val="000000" w:themeColor="text1"/>
          <w:sz w:val="16"/>
          <w:szCs w:val="16"/>
        </w:rPr>
      </w:pPr>
      <w:r w:rsidRPr="005E779E">
        <w:rPr>
          <w:color w:val="000000" w:themeColor="text1"/>
          <w:sz w:val="16"/>
          <w:szCs w:val="16"/>
        </w:rPr>
        <w:t>Кроме того, еще нужен 1 чертежник-конструктор, а также для связи с внешним миром в смысле получения необходимой литературы, материалов, справок, консультаций и т. п. крайне желательно включить в состав группы 1-2 инженеров членов ВКП(б) — по специальности теплотехников.</w:t>
      </w:r>
    </w:p>
    <w:p w14:paraId="761EC080" w14:textId="77777777" w:rsidR="00B60726" w:rsidRPr="005E779E" w:rsidRDefault="00B60726" w:rsidP="000B7A6C">
      <w:pPr>
        <w:pStyle w:val="rtejustify"/>
        <w:spacing w:before="0" w:after="0"/>
        <w:rPr>
          <w:color w:val="000000" w:themeColor="text1"/>
          <w:sz w:val="16"/>
          <w:szCs w:val="16"/>
        </w:rPr>
      </w:pPr>
      <w:r w:rsidRPr="005E779E">
        <w:rPr>
          <w:color w:val="000000" w:themeColor="text1"/>
          <w:sz w:val="16"/>
          <w:szCs w:val="16"/>
        </w:rPr>
        <w:t>Всю группу в 5 человек целесообразно перебросить на завод «ПАРОСТРОЙ», где будет строится котел.</w:t>
      </w:r>
    </w:p>
    <w:p w14:paraId="14CBD96D" w14:textId="77777777" w:rsidR="00B60726" w:rsidRPr="005E779E" w:rsidRDefault="00B60726" w:rsidP="000B7A6C">
      <w:pPr>
        <w:pStyle w:val="rtejustify"/>
        <w:spacing w:before="0" w:after="0"/>
        <w:rPr>
          <w:color w:val="000000" w:themeColor="text1"/>
          <w:sz w:val="16"/>
          <w:szCs w:val="16"/>
        </w:rPr>
      </w:pPr>
      <w:r w:rsidRPr="005E779E">
        <w:rPr>
          <w:color w:val="000000" w:themeColor="text1"/>
          <w:sz w:val="16"/>
          <w:szCs w:val="16"/>
        </w:rPr>
        <w:t>Срок изготовления эскизного проекта 1 — 1</w:t>
      </w:r>
      <w:r w:rsidRPr="005E779E">
        <w:rPr>
          <w:color w:val="000000" w:themeColor="text1"/>
          <w:sz w:val="16"/>
          <w:szCs w:val="16"/>
          <w:vertAlign w:val="superscript"/>
        </w:rPr>
        <w:t>1</w:t>
      </w:r>
      <w:r w:rsidRPr="005E779E">
        <w:rPr>
          <w:color w:val="000000" w:themeColor="text1"/>
          <w:sz w:val="16"/>
          <w:szCs w:val="16"/>
        </w:rPr>
        <w:t>/</w:t>
      </w:r>
      <w:r w:rsidRPr="005E779E">
        <w:rPr>
          <w:color w:val="000000" w:themeColor="text1"/>
          <w:sz w:val="16"/>
          <w:szCs w:val="16"/>
          <w:vertAlign w:val="subscript"/>
        </w:rPr>
        <w:t>2</w:t>
      </w:r>
      <w:r w:rsidRPr="005E779E">
        <w:rPr>
          <w:color w:val="000000" w:themeColor="text1"/>
          <w:sz w:val="16"/>
          <w:szCs w:val="16"/>
        </w:rPr>
        <w:t> месяца, — параллельно идет заготовка и испытание материалов и оборудования для котла (трубки, форсунки, дымосос, мотор и пр.); делаются запросы Торгпредством на заграничную арматуру и инструменты.</w:t>
      </w:r>
    </w:p>
    <w:p w14:paraId="6B60E5DD" w14:textId="77777777" w:rsidR="00B60726" w:rsidRPr="005E779E" w:rsidRDefault="00B60726" w:rsidP="000B7A6C">
      <w:pPr>
        <w:numPr>
          <w:ilvl w:val="0"/>
          <w:numId w:val="15"/>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Заказ материалов и оборудования в СССР и за границей по получении ответов и предложений.</w:t>
      </w:r>
    </w:p>
    <w:p w14:paraId="7F5F431F" w14:textId="77777777" w:rsidR="00B60726" w:rsidRPr="005E779E" w:rsidRDefault="00B60726" w:rsidP="000B7A6C">
      <w:pPr>
        <w:numPr>
          <w:ilvl w:val="0"/>
          <w:numId w:val="16"/>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Постройка опытного котла на заводе «ПАРОСТРОЙ» в Москве (на наиболее подходящих из Московских заводов) под наблюдением проектирующей группы потребует примерно 2-3 месяца, — для этого частично придется привлечь для работы опытный заводской персонал.</w:t>
      </w:r>
    </w:p>
    <w:p w14:paraId="049EF593" w14:textId="77777777" w:rsidR="00B60726" w:rsidRPr="005E779E" w:rsidRDefault="00B60726" w:rsidP="000B7A6C">
      <w:pPr>
        <w:numPr>
          <w:ilvl w:val="0"/>
          <w:numId w:val="17"/>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Установка опытного котла в Теплотехническом Институте будет наиболее целесообразна, так как там есть нужные инструменты и оборудование, что сильно облегчит и ускорит дело.</w:t>
      </w:r>
    </w:p>
    <w:p w14:paraId="613FBEE0" w14:textId="77777777" w:rsidR="00B60726" w:rsidRPr="005E779E" w:rsidRDefault="00B60726" w:rsidP="000B7A6C">
      <w:pPr>
        <w:pStyle w:val="rtejustify"/>
        <w:spacing w:before="0" w:after="0"/>
        <w:rPr>
          <w:color w:val="000000" w:themeColor="text1"/>
          <w:sz w:val="16"/>
          <w:szCs w:val="16"/>
        </w:rPr>
      </w:pPr>
      <w:r w:rsidRPr="005E779E">
        <w:rPr>
          <w:color w:val="000000" w:themeColor="text1"/>
          <w:sz w:val="16"/>
          <w:szCs w:val="16"/>
        </w:rPr>
        <w:t>Срок 1 — 1</w:t>
      </w:r>
      <w:r w:rsidRPr="005E779E">
        <w:rPr>
          <w:color w:val="000000" w:themeColor="text1"/>
          <w:sz w:val="16"/>
          <w:szCs w:val="16"/>
          <w:vertAlign w:val="superscript"/>
        </w:rPr>
        <w:t>1</w:t>
      </w:r>
      <w:r w:rsidRPr="005E779E">
        <w:rPr>
          <w:color w:val="000000" w:themeColor="text1"/>
          <w:sz w:val="16"/>
          <w:szCs w:val="16"/>
        </w:rPr>
        <w:t>/</w:t>
      </w:r>
      <w:r w:rsidRPr="005E779E">
        <w:rPr>
          <w:color w:val="000000" w:themeColor="text1"/>
          <w:sz w:val="16"/>
          <w:szCs w:val="16"/>
          <w:vertAlign w:val="subscript"/>
        </w:rPr>
        <w:t>2</w:t>
      </w:r>
      <w:r w:rsidRPr="005E779E">
        <w:rPr>
          <w:color w:val="000000" w:themeColor="text1"/>
          <w:sz w:val="16"/>
          <w:szCs w:val="16"/>
        </w:rPr>
        <w:t> месяца. К этому времени надо получить уже заграничные инструменты и арматуру.</w:t>
      </w:r>
    </w:p>
    <w:p w14:paraId="658A733C" w14:textId="77777777" w:rsidR="00B60726" w:rsidRPr="005E779E" w:rsidRDefault="00B60726" w:rsidP="000B7A6C">
      <w:pPr>
        <w:numPr>
          <w:ilvl w:val="0"/>
          <w:numId w:val="18"/>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Испытание опытного котла в Теплотехническом Институте производится 2-4 месяца.</w:t>
      </w:r>
    </w:p>
    <w:p w14:paraId="0B73B92A" w14:textId="77777777" w:rsidR="00B60726" w:rsidRPr="005E779E" w:rsidRDefault="00B60726" w:rsidP="000B7A6C">
      <w:pPr>
        <w:pStyle w:val="rtejustify"/>
        <w:spacing w:before="0" w:after="0"/>
        <w:rPr>
          <w:color w:val="000000" w:themeColor="text1"/>
          <w:sz w:val="16"/>
          <w:szCs w:val="16"/>
        </w:rPr>
      </w:pPr>
      <w:r w:rsidRPr="005E779E">
        <w:rPr>
          <w:color w:val="000000" w:themeColor="text1"/>
          <w:sz w:val="16"/>
          <w:szCs w:val="16"/>
        </w:rPr>
        <w:t>Таким образом при отсутствии задержки с заказом советского и заграничного оборудования и с изготовлением и монтажем котла, всего от начала проектирования и до конца опытов потребуется 6-9 месяцев.</w:t>
      </w:r>
    </w:p>
    <w:p w14:paraId="7193371A" w14:textId="77777777" w:rsidR="00B60726" w:rsidRPr="005E779E" w:rsidRDefault="00B60726" w:rsidP="000B7A6C">
      <w:pPr>
        <w:numPr>
          <w:ilvl w:val="0"/>
          <w:numId w:val="19"/>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Параллельно постройки и испытания опытного котла будет идти проектировка и другого промышленного котла, той же системы, также через 9-10 месяцев будет дан уже эскизный проект и промышленного крупного котла.</w:t>
      </w:r>
    </w:p>
    <w:p w14:paraId="37B5DF26" w14:textId="77777777" w:rsidR="00B60726" w:rsidRPr="005E779E" w:rsidRDefault="00B60726" w:rsidP="000B7A6C">
      <w:pPr>
        <w:numPr>
          <w:ilvl w:val="0"/>
          <w:numId w:val="20"/>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НЕОБХОДИМЫЕ СРЕДСТВА</w:t>
      </w:r>
    </w:p>
    <w:p w14:paraId="573E94A3" w14:textId="77777777" w:rsidR="00B60726" w:rsidRPr="005E779E" w:rsidRDefault="00B60726" w:rsidP="000B7A6C">
      <w:pPr>
        <w:pStyle w:val="rtejustify"/>
        <w:spacing w:before="0" w:after="0"/>
        <w:rPr>
          <w:color w:val="000000" w:themeColor="text1"/>
          <w:sz w:val="16"/>
          <w:szCs w:val="16"/>
        </w:rPr>
      </w:pPr>
      <w:r w:rsidRPr="005E779E">
        <w:rPr>
          <w:color w:val="000000" w:themeColor="text1"/>
          <w:sz w:val="16"/>
          <w:szCs w:val="16"/>
        </w:rPr>
        <w:t>Проектирование, постройка, монтаж и испытание опытного котла потребует при использовании имеющихся в Теплотехническом Институте оборудования и приборов ориентировочно 35-40 тысяч рублей и, кроме того, на приобретение заграничного оборудования от 5000-10000 рублей валюты.</w:t>
      </w:r>
    </w:p>
    <w:p w14:paraId="16D91745" w14:textId="77777777" w:rsidR="00B60726" w:rsidRPr="005E779E" w:rsidRDefault="00B60726" w:rsidP="000B7A6C">
      <w:pPr>
        <w:numPr>
          <w:ilvl w:val="0"/>
          <w:numId w:val="21"/>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Серийное производство крупных промышленных котлов данной системы будет затем целесообразно организовать уже на заводе им. СТАЛИНА в Ленинграде, — при чем часть котлов можно будет строить на ПАРОСТРОЕ.</w:t>
      </w:r>
    </w:p>
    <w:p w14:paraId="215E74AE" w14:textId="77777777" w:rsidR="00B60726" w:rsidRPr="005E779E" w:rsidRDefault="00B60726" w:rsidP="000B7A6C">
      <w:pPr>
        <w:pStyle w:val="rtejustify"/>
        <w:spacing w:before="0" w:after="0"/>
        <w:rPr>
          <w:color w:val="000000" w:themeColor="text1"/>
          <w:sz w:val="16"/>
          <w:szCs w:val="16"/>
        </w:rPr>
      </w:pPr>
      <w:r w:rsidRPr="005E779E">
        <w:rPr>
          <w:color w:val="000000" w:themeColor="text1"/>
          <w:sz w:val="16"/>
          <w:szCs w:val="16"/>
        </w:rPr>
        <w:t>НАЧАЛЬНИК ТЕХ. ОТД. ЭКУ ОГПУ (Горянов)</w:t>
      </w:r>
    </w:p>
    <w:p w14:paraId="3FAEFD0B" w14:textId="77777777" w:rsidR="00B60726" w:rsidRPr="005E779E" w:rsidRDefault="00B60726" w:rsidP="000B7A6C">
      <w:pPr>
        <w:pStyle w:val="ae"/>
        <w:spacing w:before="0" w:after="0"/>
        <w:jc w:val="both"/>
        <w:rPr>
          <w:color w:val="000000" w:themeColor="text1"/>
          <w:sz w:val="16"/>
          <w:szCs w:val="16"/>
        </w:rPr>
      </w:pPr>
      <w:r w:rsidRPr="005E779E">
        <w:rPr>
          <w:color w:val="000000" w:themeColor="text1"/>
          <w:sz w:val="16"/>
          <w:szCs w:val="16"/>
        </w:rPr>
        <w:t>«17» июня 1931 года</w:t>
      </w:r>
    </w:p>
    <w:p w14:paraId="372E73ED" w14:textId="77777777" w:rsidR="00B60726" w:rsidRPr="005E779E" w:rsidRDefault="00B60726" w:rsidP="000B7A6C">
      <w:pPr>
        <w:pStyle w:val="ae"/>
        <w:spacing w:before="0" w:after="0"/>
        <w:jc w:val="both"/>
        <w:rPr>
          <w:color w:val="000000" w:themeColor="text1"/>
          <w:sz w:val="16"/>
          <w:szCs w:val="16"/>
        </w:rPr>
      </w:pPr>
      <w:r w:rsidRPr="005E779E">
        <w:rPr>
          <w:rStyle w:val="af0"/>
          <w:i w:val="0"/>
          <w:color w:val="000000" w:themeColor="text1"/>
          <w:sz w:val="16"/>
          <w:szCs w:val="16"/>
        </w:rPr>
        <w:lastRenderedPageBreak/>
        <w:t>РГАЭ. Ф. 38. Oп. 1. Д. 2. Л. 22-21. Машинописный экземпляр того времени. Число в дате вписано от руки. Внизу листа слева подписи-автографы «Бедняков», «М. Еме&lt;...&gt;» (неразборчиво). На Л. 22 вверху слева написана отруки дата «17/VI», справа также отруки «Котел» (19065).</w:t>
      </w:r>
    </w:p>
    <w:p w14:paraId="0C221847" w14:textId="77777777" w:rsidR="00B60726" w:rsidRPr="005E779E" w:rsidRDefault="00B60726" w:rsidP="000B7A6C">
      <w:pPr>
        <w:spacing w:after="0" w:line="240" w:lineRule="auto"/>
        <w:jc w:val="both"/>
        <w:rPr>
          <w:rFonts w:ascii="Times New Roman" w:hAnsi="Times New Roman"/>
          <w:color w:val="000000" w:themeColor="text1"/>
          <w:sz w:val="16"/>
          <w:szCs w:val="16"/>
        </w:rPr>
      </w:pPr>
    </w:p>
    <w:p w14:paraId="130A12B8"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047CD5C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42282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 июня 1931 Британские власти в Китае арестовали Хо Ши Мина (2100).</w:t>
      </w:r>
    </w:p>
    <w:p w14:paraId="7AE2D9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BB63C0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 июня 1931 английскими властями в Китае арестован вьетнамский коммунистический лидер Хо Ши Мин (4962).</w:t>
      </w:r>
    </w:p>
    <w:p w14:paraId="4928C9A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CCFD09" w14:textId="77777777" w:rsidR="00E9344B" w:rsidRPr="005E779E" w:rsidRDefault="00E9344B"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17 июня 1931 г. в Гонконге британские власти арестовали лидера коммунистов Индокитая Хо Ши Мина (17325).</w:t>
      </w:r>
    </w:p>
    <w:p w14:paraId="1F14154B" w14:textId="77777777" w:rsidR="00E9344B" w:rsidRPr="005E779E" w:rsidRDefault="00E9344B"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70ED83" w14:textId="77777777" w:rsidR="000868EC" w:rsidRPr="005E779E" w:rsidRDefault="000868EC"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5C54B279" w14:textId="77777777" w:rsidR="000868EC" w:rsidRPr="005E779E" w:rsidRDefault="000868EC"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585A965" w14:textId="77777777" w:rsidR="000868EC" w:rsidRPr="005E779E" w:rsidRDefault="000868E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июня 1931 г. в Москве состоялась торжественная передача ВВС нового до самолета Р-5 "Красногвардеец Украины", построенного на средства военного инженера, бывшего красногвардейца, Б.П.Андреянова. Инженер Андреянов получил за свое изобретение гонорар в сумме 40 тыс. рублей, из коих 35 тысяч отдал на постройку самолета, остальные - своему землячеству "Красногвардеец Украины". Это был первый в СССР патриотический по ступок, выраженный в пожертвовании боевого самолета на оборону родины.</w:t>
      </w:r>
    </w:p>
    <w:p w14:paraId="73C0329F" w14:textId="77777777" w:rsidR="000868EC" w:rsidRPr="005E779E" w:rsidRDefault="000868E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/«Красная звезда» за 21 июня 1931; приказ РВС № 8/2 от 13.6.31/ (23370).</w:t>
      </w:r>
    </w:p>
    <w:p w14:paraId="2F63010A" w14:textId="77777777" w:rsidR="000868EC" w:rsidRPr="005E779E" w:rsidRDefault="000868EC" w:rsidP="000B7A6C">
      <w:pPr>
        <w:spacing w:after="0" w:line="240" w:lineRule="auto"/>
        <w:jc w:val="both"/>
        <w:rPr>
          <w:rFonts w:ascii="Times New Roman" w:hAnsi="Times New Roman"/>
          <w:color w:val="000000" w:themeColor="text1"/>
          <w:sz w:val="16"/>
          <w:szCs w:val="16"/>
        </w:rPr>
      </w:pPr>
    </w:p>
    <w:p w14:paraId="60819B9C" w14:textId="77777777" w:rsidR="00877950"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673BA6CE" w14:textId="77777777" w:rsidR="00877950" w:rsidRPr="005E779E" w:rsidRDefault="00877950"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67B25B1" w14:textId="77777777" w:rsidR="00052365" w:rsidRPr="005E779E" w:rsidRDefault="00052365"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18 июня 1931 г. Серго Орджоникидзе проводит президиум ВСНХ, посвященный пуску Харьковского тракторного завода. Через год ВСНХ будет существенно понижен в статусе и преобразован в Наркомат тяжелой промышленности. После самоубийства Орджоникидзе наркомат существовал 2 года и был ликвидирован, вместо него волновой герой Сталин создал 7 отдельных наркоматов (17325).</w:t>
      </w:r>
    </w:p>
    <w:p w14:paraId="6D61F6FA" w14:textId="77777777" w:rsidR="00052365" w:rsidRPr="005E779E" w:rsidRDefault="00052365"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24CC270" w14:textId="77777777" w:rsidR="00877950" w:rsidRPr="005E779E" w:rsidRDefault="00877950"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18 июня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Постановление СНК СССР № 114с об отчуждении земель в районе ст. Дангаузской и Маячной для размещения научно-испытательного зенитного полигона (ГА РФ. Ф. Р?8418. Оп. 28. Д. 14а. Л. 47) (12415).</w:t>
      </w:r>
    </w:p>
    <w:p w14:paraId="35CC3900" w14:textId="77777777" w:rsidR="00877950" w:rsidRPr="005E779E" w:rsidRDefault="00877950" w:rsidP="000B7A6C">
      <w:pPr>
        <w:spacing w:after="0" w:line="240" w:lineRule="auto"/>
        <w:jc w:val="both"/>
        <w:rPr>
          <w:rFonts w:ascii="Times New Roman" w:hAnsi="Times New Roman"/>
          <w:color w:val="000000" w:themeColor="text1"/>
          <w:sz w:val="16"/>
          <w:szCs w:val="16"/>
          <w:u w:color="002060"/>
        </w:rPr>
      </w:pPr>
    </w:p>
    <w:p w14:paraId="76B38791" w14:textId="77777777" w:rsidR="001E6C64" w:rsidRPr="005E779E" w:rsidRDefault="001E6C64"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6064CC52" w14:textId="77777777" w:rsidR="001E6C64" w:rsidRPr="005E779E" w:rsidRDefault="001E6C64"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5FF4F5E" w14:textId="77777777" w:rsidR="001E6C64" w:rsidRPr="005E779E" w:rsidRDefault="001E6C6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июня 1931 г. состоялся совместный пленум МК, МГК и президиума областного и городского исполкома. Как и пленум ЦК, это заседание носило пропагандистский характер «всеобщего одобрения». Каганович представил окончательный вариант перечня практических мероприятий, подчеркнув, что пленум должен его обсудить и утвердить. Так и произошло, причем даже в обратном порядке. Пленум поручил Бюро МК и МГК составить календарный план выполнения намеченных мер{342} (18299).</w:t>
      </w:r>
    </w:p>
    <w:p w14:paraId="7E947A00" w14:textId="77777777" w:rsidR="001E6C64" w:rsidRPr="005E779E" w:rsidRDefault="001E6C64" w:rsidP="000B7A6C">
      <w:pPr>
        <w:spacing w:after="0" w:line="240" w:lineRule="auto"/>
        <w:jc w:val="both"/>
        <w:rPr>
          <w:rFonts w:ascii="Times New Roman" w:hAnsi="Times New Roman"/>
          <w:color w:val="000000" w:themeColor="text1"/>
          <w:sz w:val="16"/>
          <w:szCs w:val="16"/>
        </w:rPr>
      </w:pPr>
    </w:p>
    <w:p w14:paraId="21193C53"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602C0C66"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4E493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 июня 1931 г. начальник Военвоздухсил Черного моря Лавров и ст. инженер НИИ ВВС Кудрявцев писали письмо N 00282с начальнику ВВС.</w:t>
      </w:r>
    </w:p>
    <w:p w14:paraId="1FFB65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Предварительная оценка самолета ТБ1а-2М17 установленного на поплавки фирмы "ШОРТА" на основании заводских полетов и начала гос. испытаний.</w:t>
      </w:r>
    </w:p>
    <w:p w14:paraId="0A69FF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Выводы</w:t>
      </w:r>
    </w:p>
    <w:p w14:paraId="1F7FC5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По данным нескольких взлетов и посадок с различными полетными весами можно сказать о достаточно хороших мореходных, взлетных и посадочных качествах самолета ТБ1а-2М17 на Шортовских поплавках.</w:t>
      </w:r>
    </w:p>
    <w:p w14:paraId="03D565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В условиях работы ВВС БМ самолет ТБ1а-2М17 можно считать вполне мореходным, в условиях ВВС ЧМ самолет следует считать основным мобилизационным ресурсом на ближайший год, т.к. его мореходные и ожидаемые летные данные близки к самолету ДВ-2БМВVIZ (3260,58-60).</w:t>
      </w:r>
    </w:p>
    <w:p w14:paraId="2C957A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9D65A6A" w14:textId="77777777" w:rsidR="00D77FC3" w:rsidRPr="005E779E" w:rsidRDefault="00D77FC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 июня 1931 г.</w:t>
      </w:r>
    </w:p>
    <w:p w14:paraId="0F578C19" w14:textId="77777777" w:rsidR="00D77FC3" w:rsidRPr="005E779E" w:rsidRDefault="00D77FC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ПИСЬМО ЗАВЕДУЮЩЕГО III ЗАПАДНЫМ ОТДЕЛОМ НКИД СССР Е.В. РУБИНИНА ЗАМЕСТИТЕЛЮ НАЧАЛЬНИКА ВОГВФ Я.Я. АНВЕЛЬТУ', ПОМОЩНИКУ НАЧАЛЬНИКА ШТАБА РККА В.К. ТРИАНДАФИЛЛОВУ И НАЧАЛЬНИКУ ОО ОГПУ Я. ОЛЬСКОМУ’ О РАЗРЕШЕНИИ ПЕРЕЛЕТА НЬЮ-ЙОРК - МОСКВА АМЕРИКАНСКИМ ЛЕТЧИКАМ Р.Н. БОРДМАНУ И ДЖ. ПОЛАНСУ</w:t>
      </w:r>
    </w:p>
    <w:p w14:paraId="2CA64AAA" w14:textId="77777777" w:rsidR="00D77FC3" w:rsidRPr="005E779E" w:rsidRDefault="00D77FC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 июня 1931 г.</w:t>
      </w:r>
    </w:p>
    <w:p w14:paraId="028B1C5A" w14:textId="77777777" w:rsidR="00D77FC3" w:rsidRPr="005E779E" w:rsidRDefault="00D77FC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Секретно</w:t>
      </w:r>
    </w:p>
    <w:p w14:paraId="2DCB4BD7" w14:textId="77777777" w:rsidR="00D77FC3" w:rsidRPr="005E779E" w:rsidRDefault="00D77FC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срочно</w:t>
      </w:r>
    </w:p>
    <w:p w14:paraId="6B2931D9" w14:textId="77777777" w:rsidR="00D77FC3" w:rsidRPr="005E779E" w:rsidRDefault="00D77FC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Американские летчики Рессель Н. Бордман, 33 лет, и Джон Поланс, 29 лет, обратились через т. Сквирского за разрешением на перелет по маршруту Нью-Йорк — Москва (без посадки в Европе) и затем в Японию. Цель: побить мировой рекорд беспосадочного полета на большую дистанцию. Готовы, в случае благоприятной погоды, стартовать в ближайшие дни.</w:t>
      </w:r>
    </w:p>
    <w:p w14:paraId="266A5243" w14:textId="77777777" w:rsidR="00D77FC3" w:rsidRPr="005E779E" w:rsidRDefault="00D77FC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Беланка. Мотор Райт. Отличительный знак NR-761W, цвет черный и желтый. Радио и фотокамеры не имеются. Предполагает забрать в Москве 700 галлонов газолина и 25 галлонов масла.</w:t>
      </w:r>
    </w:p>
    <w:p w14:paraId="57E294B4" w14:textId="77777777" w:rsidR="00D77FC3" w:rsidRPr="005E779E" w:rsidRDefault="00D77FC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Просим дать Ваше заключение в срочном порядке. В случае разрешения полета оформление въезда (виза) будет совершено по прибытии летчиков в Москву, т.к. наших консульств в западном полушарии не имеется.</w:t>
      </w:r>
    </w:p>
    <w:p w14:paraId="2A6F985B" w14:textId="77777777" w:rsidR="00D77FC3" w:rsidRPr="005E779E" w:rsidRDefault="00D77FC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 Ш Западным отделом РУБИНИН</w:t>
      </w:r>
    </w:p>
    <w:p w14:paraId="1634A22B" w14:textId="77777777" w:rsidR="00D77FC3" w:rsidRPr="005E779E" w:rsidRDefault="00D77FC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Референт ВИНОГРАДОВ</w:t>
      </w:r>
    </w:p>
    <w:p w14:paraId="7C3E0D8E" w14:textId="77777777" w:rsidR="00D77FC3" w:rsidRPr="005E779E" w:rsidRDefault="00D77FC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АВП</w:t>
      </w:r>
      <w:r w:rsidRPr="005E779E">
        <w:rPr>
          <w:rFonts w:ascii="Times New Roman" w:hAnsi="Times New Roman"/>
          <w:color w:val="000000" w:themeColor="text1"/>
          <w:sz w:val="16"/>
          <w:szCs w:val="16"/>
          <w:lang w:val="en-US"/>
        </w:rPr>
        <w:t xml:space="preserve"> </w:t>
      </w:r>
      <w:r w:rsidRPr="005E779E">
        <w:rPr>
          <w:rFonts w:ascii="Times New Roman" w:hAnsi="Times New Roman"/>
          <w:color w:val="000000" w:themeColor="text1"/>
          <w:sz w:val="16"/>
          <w:szCs w:val="16"/>
        </w:rPr>
        <w:t>РФ</w:t>
      </w:r>
      <w:r w:rsidRPr="005E779E">
        <w:rPr>
          <w:rFonts w:ascii="Times New Roman" w:hAnsi="Times New Roman"/>
          <w:color w:val="000000" w:themeColor="text1"/>
          <w:sz w:val="16"/>
          <w:szCs w:val="16"/>
          <w:lang w:val="en-US"/>
        </w:rPr>
        <w:t xml:space="preserve">. </w:t>
      </w:r>
      <w:r w:rsidRPr="005E779E">
        <w:rPr>
          <w:rFonts w:ascii="Times New Roman" w:hAnsi="Times New Roman"/>
          <w:color w:val="000000" w:themeColor="text1"/>
          <w:sz w:val="16"/>
          <w:szCs w:val="16"/>
        </w:rPr>
        <w:t>Ф</w:t>
      </w:r>
      <w:r w:rsidRPr="005E779E">
        <w:rPr>
          <w:rFonts w:ascii="Times New Roman" w:hAnsi="Times New Roman"/>
          <w:color w:val="000000" w:themeColor="text1"/>
          <w:sz w:val="16"/>
          <w:szCs w:val="16"/>
          <w:lang w:val="en-US"/>
        </w:rPr>
        <w:t xml:space="preserve">. 0129. On. 14. </w:t>
      </w:r>
      <w:r w:rsidRPr="005E779E">
        <w:rPr>
          <w:rFonts w:ascii="Times New Roman" w:hAnsi="Times New Roman"/>
          <w:color w:val="000000" w:themeColor="text1"/>
          <w:sz w:val="16"/>
          <w:szCs w:val="16"/>
        </w:rPr>
        <w:t>П</w:t>
      </w:r>
      <w:r w:rsidRPr="005E779E">
        <w:rPr>
          <w:rFonts w:ascii="Times New Roman" w:hAnsi="Times New Roman"/>
          <w:color w:val="000000" w:themeColor="text1"/>
          <w:sz w:val="16"/>
          <w:szCs w:val="16"/>
          <w:lang w:val="en-US"/>
        </w:rPr>
        <w:t xml:space="preserve">. 127. </w:t>
      </w:r>
      <w:r w:rsidRPr="005E779E">
        <w:rPr>
          <w:rFonts w:ascii="Times New Roman" w:hAnsi="Times New Roman"/>
          <w:color w:val="000000" w:themeColor="text1"/>
          <w:sz w:val="16"/>
          <w:szCs w:val="16"/>
        </w:rPr>
        <w:t>Д</w:t>
      </w:r>
      <w:r w:rsidRPr="005E779E">
        <w:rPr>
          <w:rFonts w:ascii="Times New Roman" w:hAnsi="Times New Roman"/>
          <w:color w:val="000000" w:themeColor="text1"/>
          <w:sz w:val="16"/>
          <w:szCs w:val="16"/>
          <w:lang w:val="en-US"/>
        </w:rPr>
        <w:t xml:space="preserve">. 325. </w:t>
      </w:r>
      <w:r w:rsidRPr="005E779E">
        <w:rPr>
          <w:rFonts w:ascii="Times New Roman" w:hAnsi="Times New Roman"/>
          <w:color w:val="000000" w:themeColor="text1"/>
          <w:sz w:val="16"/>
          <w:szCs w:val="16"/>
        </w:rPr>
        <w:t>Л</w:t>
      </w:r>
      <w:r w:rsidRPr="00AE1636">
        <w:rPr>
          <w:rFonts w:ascii="Times New Roman" w:hAnsi="Times New Roman"/>
          <w:color w:val="000000" w:themeColor="text1"/>
          <w:sz w:val="16"/>
          <w:szCs w:val="16"/>
          <w:lang w:val="en-US"/>
        </w:rPr>
        <w:t xml:space="preserve">. 9. </w:t>
      </w:r>
      <w:r w:rsidRPr="005E779E">
        <w:rPr>
          <w:rFonts w:ascii="Times New Roman" w:hAnsi="Times New Roman"/>
          <w:color w:val="000000" w:themeColor="text1"/>
          <w:sz w:val="16"/>
          <w:szCs w:val="16"/>
        </w:rPr>
        <w:t>Заверенная копия (20850).</w:t>
      </w:r>
    </w:p>
    <w:p w14:paraId="739AFACB" w14:textId="77777777" w:rsidR="00D77FC3" w:rsidRPr="005E779E" w:rsidRDefault="00D77FC3" w:rsidP="000B7A6C">
      <w:pPr>
        <w:spacing w:after="0" w:line="240" w:lineRule="auto"/>
        <w:jc w:val="both"/>
        <w:rPr>
          <w:rFonts w:ascii="Times New Roman" w:hAnsi="Times New Roman"/>
          <w:color w:val="000000" w:themeColor="text1"/>
          <w:sz w:val="16"/>
          <w:szCs w:val="16"/>
        </w:rPr>
      </w:pPr>
    </w:p>
    <w:p w14:paraId="7D80E715"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552E030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137A4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 июня 1931 М.Н.Тухачевский был назначен зам. председателя РВС СССР и начальником вооружений РККА (376,25).</w:t>
      </w:r>
    </w:p>
    <w:p w14:paraId="2EBEC9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835BC5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 июня 1931 г. командарма 1 ранга М.Н.Тухачевского назначили за</w:t>
      </w:r>
      <w:r w:rsidRPr="005E779E">
        <w:rPr>
          <w:rFonts w:ascii="Times New Roman" w:hAnsi="Times New Roman"/>
          <w:color w:val="000000" w:themeColor="text1"/>
          <w:sz w:val="16"/>
          <w:szCs w:val="16"/>
        </w:rPr>
        <w:softHyphen/>
        <w:t>местителем наркома по военным и морским делам и начальником воору</w:t>
      </w:r>
      <w:r w:rsidRPr="005E779E">
        <w:rPr>
          <w:rFonts w:ascii="Times New Roman" w:hAnsi="Times New Roman"/>
          <w:color w:val="000000" w:themeColor="text1"/>
          <w:sz w:val="16"/>
          <w:szCs w:val="16"/>
        </w:rPr>
        <w:softHyphen/>
        <w:t>жений РККА, а также заместителем председателя Реввоенсовета СССР. Это предоставило ему несравнимо большие полномочия, в том числе для реализации давних замыслов и планов по оснащению РККА современ</w:t>
      </w:r>
      <w:r w:rsidRPr="005E779E">
        <w:rPr>
          <w:rFonts w:ascii="Times New Roman" w:hAnsi="Times New Roman"/>
          <w:color w:val="000000" w:themeColor="text1"/>
          <w:sz w:val="16"/>
          <w:szCs w:val="16"/>
        </w:rPr>
        <w:softHyphen/>
        <w:t>ными и передовыми образцами боевой техники. Первейшей заботой Ту</w:t>
      </w:r>
      <w:r w:rsidRPr="005E779E">
        <w:rPr>
          <w:rFonts w:ascii="Times New Roman" w:hAnsi="Times New Roman"/>
          <w:color w:val="000000" w:themeColor="text1"/>
          <w:sz w:val="16"/>
          <w:szCs w:val="16"/>
        </w:rPr>
        <w:softHyphen/>
        <w:t>хачевского в новой должности стала техническая реконструкция РККА (11402).</w:t>
      </w:r>
    </w:p>
    <w:p w14:paraId="708743E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44B6C8" w14:textId="77777777" w:rsidR="001E6C64" w:rsidRPr="005E779E" w:rsidRDefault="001E6C64"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3724E39C" w14:textId="77777777" w:rsidR="001E6C64" w:rsidRPr="005E779E" w:rsidRDefault="001E6C64"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D3CA00E" w14:textId="77777777" w:rsidR="001E6C64" w:rsidRPr="005E779E" w:rsidRDefault="001E6C6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 июня 1931 г. председатель ВСНХ В. В. Куйбышев выступил перед Московским партийным активом с информацией об июньском пленуме. Он охарактеризовал резолюцию ЦК как политически значимую программу строительства социалистической столицы, направленную на то, чтобы в короткий срок превзойти в этом отношении капиталистические страны.Собрание постановило одобрить установки пленума ЦК. Хотя в дискуссии прозвучали многочисленные выступления по всевозможным аспектам резолюции, но никто не взял слово по вопросу о метрополитене{343}.При сравнении такого «приобщения» партийной массы к процессу принятия решения с претензиями, которые предъявлял Рабкрин в конце 1928 г., становится очевидным, насколько в годы первой пятилетки изменилась политическая культура.</w:t>
      </w:r>
    </w:p>
    <w:p w14:paraId="39D4FE65" w14:textId="77777777" w:rsidR="001E6C64" w:rsidRPr="005E779E" w:rsidRDefault="001E6C6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20 июня 1931 г. Булганин созвал совещание руководителей коммунальных служб и обязал их в двухдневный срок представить календарные планы по реализации решений пленума.Ответственным за создание комитета по строительству метрополитена был назначен руководитель МГЖД Генде-Роте{344}. 27июня 1931 г. Булганин выступил с докладом о решениях пленума ЦК на пленуме Моссовета. При этом он уточнил проект сквозной железнодорожной линии. Расходы на ее сооружение по данным Наркомата путей сообщения он вывел в сумме 35 млн. руб. Железнодорожную линию Булганин охарактеризовал как конструкцию менее сложную и легче подготавливаемую к сдаче в эксплуатацию по сравнению с метрополитеном. Линии метро и железной дороги должны быть связаны друг с другом </w:t>
      </w:r>
      <w:r w:rsidRPr="005E779E">
        <w:rPr>
          <w:rFonts w:ascii="Times New Roman" w:hAnsi="Times New Roman"/>
          <w:color w:val="000000" w:themeColor="text1"/>
          <w:sz w:val="16"/>
          <w:szCs w:val="16"/>
        </w:rPr>
        <w:lastRenderedPageBreak/>
        <w:t>пересадочными станциями{345}. 13июля 1931 г. Моссовет принял обширный план по реализации решений ЦК. Организацию строительства метро и разработку вопроса о сквозной железной дороге предстояло согласовать в том же месяце. Ответственными за этот участок были назначены Булганин и Генде-Роте{346} (18299).</w:t>
      </w:r>
    </w:p>
    <w:p w14:paraId="3B304335" w14:textId="77777777" w:rsidR="001E6C64" w:rsidRPr="005E779E" w:rsidRDefault="001E6C64" w:rsidP="000B7A6C">
      <w:pPr>
        <w:spacing w:after="0" w:line="240" w:lineRule="auto"/>
        <w:jc w:val="both"/>
        <w:rPr>
          <w:rFonts w:ascii="Times New Roman" w:hAnsi="Times New Roman"/>
          <w:color w:val="000000" w:themeColor="text1"/>
          <w:sz w:val="16"/>
          <w:szCs w:val="16"/>
        </w:rPr>
      </w:pPr>
    </w:p>
    <w:p w14:paraId="5ACAE204" w14:textId="77777777" w:rsidR="00BF2CC0" w:rsidRPr="005E779E" w:rsidRDefault="00BF2CC0"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344D87D3" w14:textId="77777777" w:rsidR="00BF2CC0" w:rsidRPr="005E779E" w:rsidRDefault="00BF2CC0"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87A8D44" w14:textId="77777777" w:rsidR="00BF2CC0" w:rsidRPr="005E779E" w:rsidRDefault="00BF2CC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 июня 1931 - Самолёт Dewoitine D-33 "Trait d'union", пилотируемый Доретом, ЛеБриксом и Мэсмином, преодолел расстояние в 10520 километров за 70 часов, это стало новым мировым рекордом при полёте по замкнутому маршруту (22465).</w:t>
      </w:r>
    </w:p>
    <w:p w14:paraId="508A3096" w14:textId="77777777" w:rsidR="00BF2CC0" w:rsidRPr="005E779E" w:rsidRDefault="00BF2CC0" w:rsidP="000B7A6C">
      <w:pPr>
        <w:spacing w:after="0" w:line="240" w:lineRule="auto"/>
        <w:jc w:val="both"/>
        <w:rPr>
          <w:rFonts w:ascii="Times New Roman" w:hAnsi="Times New Roman"/>
          <w:color w:val="000000" w:themeColor="text1"/>
          <w:sz w:val="16"/>
          <w:szCs w:val="16"/>
        </w:rPr>
      </w:pPr>
    </w:p>
    <w:p w14:paraId="458F0BEA"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1BC8EAAC"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5DF9A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июня 1931 года состоялось (Протокол N 528/1958с) совещание представителей ВАО, ЦАГИ, заводов NN 1, 22, 39 НИИ и 1-го управления УВВС от 18 июня 1931 года По вопросу вооружения самолетов Р-6, ТБ-1 и ТБ-3 под председательством зам. нач. УВВС Алкснис.</w:t>
      </w:r>
    </w:p>
    <w:p w14:paraId="6E26EA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Информация начальника 3 отдела НИИ Солдатова о состоянии вооружения самолетов Р-6, ТБ-1, ТБ-3.</w:t>
      </w:r>
    </w:p>
    <w:p w14:paraId="65EDC7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Несмотря на то, что все указанные самолеты изготовляются в серийном производстве, вооружение на них до сих пор не закончено, а именно:</w:t>
      </w:r>
    </w:p>
    <w:p w14:paraId="6DFAC8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самолету Р-6</w:t>
      </w:r>
    </w:p>
    <w:p w14:paraId="48FD8E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Нет установки бомбардировочного вооружения</w:t>
      </w:r>
    </w:p>
    <w:p w14:paraId="4259DA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Окончательно не доделана стрелковая башня</w:t>
      </w:r>
    </w:p>
    <w:p w14:paraId="0C13D1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самолету ТБ-1</w:t>
      </w:r>
    </w:p>
    <w:p w14:paraId="6F5178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Заводу N 22 не даны из ВАО чертежи установки СБР-9, а также чертежи установки и проводки и спецификации ДЕР-13-6.</w:t>
      </w:r>
    </w:p>
    <w:p w14:paraId="239508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ТБ-3</w:t>
      </w:r>
    </w:p>
    <w:p w14:paraId="276771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Нет чертежей и установки подкрыльных замен</w:t>
      </w:r>
    </w:p>
    <w:p w14:paraId="46859B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Установки ДЕР-13, 15 и 16. Не доделан Дер-9.</w:t>
      </w:r>
    </w:p>
    <w:p w14:paraId="0EBC37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Постановили:</w:t>
      </w:r>
    </w:p>
    <w:p w14:paraId="65AC15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самолету Р-6</w:t>
      </w:r>
    </w:p>
    <w:p w14:paraId="15C5BF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Считать окончательно типовым вооружением самолета Р-6:</w:t>
      </w:r>
    </w:p>
    <w:p w14:paraId="5E3EB3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2 турели ТУР-5</w:t>
      </w:r>
    </w:p>
    <w:p w14:paraId="26756F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Стрелковая башня</w:t>
      </w:r>
    </w:p>
    <w:p w14:paraId="023AD0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6 укороченных балок ДЕР-7 и сбрасыватель СБР-8 (3217).</w:t>
      </w:r>
    </w:p>
    <w:p w14:paraId="254E89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Обязать ЦАГИ установить на опытном самолете Р-6 6 укороченных балок ДЕР-7 и сбрасыватель СБР-8 не позже 26 июня, а стрелковую башню к 30 июня.</w:t>
      </w:r>
    </w:p>
    <w:p w14:paraId="50FB10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НИИ испытать и дать заключение ЦАГИ по этим установкам не позже 2 июля.</w:t>
      </w:r>
    </w:p>
    <w:p w14:paraId="4AC1C4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самолету ТБ-1.</w:t>
      </w:r>
    </w:p>
    <w:p w14:paraId="069665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Принять к сведению заявление завода N 22 о том, что все самолеты ТБ-1 до 68-го номера выпущены со СБР-8, ДЕР-9 и ушками под ДЕР-13-6.</w:t>
      </w:r>
    </w:p>
    <w:p w14:paraId="52C73B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ТБ-1 начиная с N 69.</w:t>
      </w:r>
    </w:p>
    <w:p w14:paraId="4031F5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Считать типовым вооружением самолетов ТБ-1 с N 69 (670):</w:t>
      </w:r>
    </w:p>
    <w:p w14:paraId="5799D4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Турели ТУР-5</w:t>
      </w:r>
    </w:p>
    <w:p w14:paraId="437A9E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Турели ТУР-6</w:t>
      </w:r>
    </w:p>
    <w:p w14:paraId="520C3B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6 балок ДЕР-13</w:t>
      </w:r>
    </w:p>
    <w:p w14:paraId="3A6193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ДЕР-9 и 5. СБР-9.</w:t>
      </w:r>
    </w:p>
    <w:p w14:paraId="4C697B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ЦАГИ в 3-х дневный срок дать заключение о возможности установки ДЕР-13-6 на ТБ-1, так чтобы установка ДЕР-13-6 не закрыла люк от ДЕР-9. В случае положительных результатов разработать и подать на испытание установку к 20 июля.</w:t>
      </w:r>
    </w:p>
    <w:p w14:paraId="05B2D8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ТБ-3.</w:t>
      </w:r>
    </w:p>
    <w:p w14:paraId="391757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Установку подкрыльных башен на опытном самолете ТБ-3 ЦАГИ закончить 20 августа.</w:t>
      </w:r>
    </w:p>
    <w:p w14:paraId="4F8B19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Установку ДЕР-13-12 ЦАГИ изготовить и установить на опытном самолете к 15 июля.</w:t>
      </w:r>
    </w:p>
    <w:p w14:paraId="264B2C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Заводу N 39 изготовить и передать ЦАГИ 4 балки ДЕР-16 не позже 15 июля.</w:t>
      </w:r>
    </w:p>
    <w:p w14:paraId="2CE5F6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ДЕР-9 на опытном ТБ-3 ЦАГИ установить не позже 15 июля 1931 года (3217,63-64).</w:t>
      </w:r>
    </w:p>
    <w:p w14:paraId="0D1FBF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5FCD376" w14:textId="77777777" w:rsidR="00877950"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1F4921B2" w14:textId="77777777" w:rsidR="00877950" w:rsidRPr="005E779E" w:rsidRDefault="00877950"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39E7C9C" w14:textId="77777777" w:rsidR="00877950" w:rsidRPr="005E779E" w:rsidRDefault="00877950"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20 июня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Постановление СТО СССР № 122сс об отпуске заводу «Большевик» 3 тыс. руб. (ГА РФ. Ф. Р?8418. Оп. 28. Д. 1а. Л. 32) (12415).</w:t>
      </w:r>
    </w:p>
    <w:p w14:paraId="021F4970" w14:textId="77777777" w:rsidR="00877950" w:rsidRPr="005E779E" w:rsidRDefault="00877950" w:rsidP="000B7A6C">
      <w:pPr>
        <w:spacing w:after="0" w:line="240" w:lineRule="auto"/>
        <w:jc w:val="both"/>
        <w:rPr>
          <w:rFonts w:ascii="Times New Roman" w:hAnsi="Times New Roman"/>
          <w:color w:val="000000" w:themeColor="text1"/>
          <w:sz w:val="16"/>
          <w:szCs w:val="16"/>
          <w:u w:color="002060"/>
        </w:rPr>
      </w:pPr>
    </w:p>
    <w:p w14:paraId="0550FC39" w14:textId="77777777" w:rsidR="00E37213" w:rsidRPr="005E779E" w:rsidRDefault="00E372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июня 1931. На Красной площади состоялся финиш участников автопробега Москва -Харьков - Воронеж - Москва (18724).</w:t>
      </w:r>
    </w:p>
    <w:p w14:paraId="0EE8C279" w14:textId="77777777" w:rsidR="00E37213" w:rsidRPr="005E779E" w:rsidRDefault="00E37213" w:rsidP="000B7A6C">
      <w:pPr>
        <w:spacing w:after="0" w:line="240" w:lineRule="auto"/>
        <w:jc w:val="both"/>
        <w:rPr>
          <w:rFonts w:ascii="Times New Roman" w:hAnsi="Times New Roman"/>
          <w:color w:val="000000" w:themeColor="text1"/>
          <w:sz w:val="16"/>
          <w:szCs w:val="16"/>
        </w:rPr>
      </w:pPr>
    </w:p>
    <w:p w14:paraId="5ADF733E" w14:textId="77777777" w:rsidR="00BB5D43" w:rsidRPr="005E779E" w:rsidRDefault="00BB5D43"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495509C8" w14:textId="77777777" w:rsidR="00BB5D43" w:rsidRPr="005E779E" w:rsidRDefault="00BB5D43"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07E4DD3" w14:textId="77777777" w:rsidR="00BB5D43" w:rsidRPr="005E779E" w:rsidRDefault="00BB5D4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20 июня по 15 августа 1931 года под руководством Л. Минова в Ленинградском военном округе осуществлялась подготовка ПДО, когда по ходу сбора Высшего начсостава ЛВО была проведена первая показательная операция по высадке парашютного десанта. К началу операции при содействии бригады врачей Военно-медицинской академии, проводившей исследования парашютистов, состав ПДО окончательно определился в 45 человек, которые были отобраны из 55 красноармейцев и командиров, зачисленных в отряд (Архив ЦДА и К. Ф. 50. Оп. 1. Д. 2. Л. 22.) (21402).</w:t>
      </w:r>
    </w:p>
    <w:p w14:paraId="787C6BA5" w14:textId="77777777" w:rsidR="00BB5D43" w:rsidRPr="005E779E" w:rsidRDefault="00BB5D43" w:rsidP="000B7A6C">
      <w:pPr>
        <w:spacing w:after="0" w:line="240" w:lineRule="auto"/>
        <w:jc w:val="both"/>
        <w:rPr>
          <w:rFonts w:ascii="Times New Roman" w:hAnsi="Times New Roman"/>
          <w:color w:val="000000" w:themeColor="text1"/>
          <w:sz w:val="16"/>
          <w:szCs w:val="16"/>
        </w:rPr>
      </w:pPr>
    </w:p>
    <w:p w14:paraId="12794310"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510E805C"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45F2C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июня 1931 вышел меморандум президента Гувера о предоставлении Германии моратория в оплате репараций (3186) на 1 год (3907,167).</w:t>
      </w:r>
    </w:p>
    <w:p w14:paraId="424712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B9FE0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июня 1931 г. Гувер выступил с предложением моратория на год всех платежей по репарациям и военным долгам. Все страны, включая Францию, вынуждены были принять «мораторий Гувера». Но уже в июне 1932 г., когда срок моратория истекал, в Лозанне открылась последняя конференция по репарационному вопросу, которая окончательно аннулировала репарации (Розанов Г. Л. Очерки новейшей истории Германии (1918—1933). М., 1957. С. 154.). Вслед за этим в 1932 — 1933 гг. все страны — европейские должники США отказались оплачивать Соединенным Штатам военные долги (11784).</w:t>
      </w:r>
    </w:p>
    <w:p w14:paraId="7F736A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9D1790D"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441D8C5D"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C9E9E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 июня 1931 г. на расширенном заседании НТК ВВС и ЦАГИ А. Н. Туполев доложил, что заданные НТК летно-технические данные ТШ-1 не могут быть осуществлены ввиду большой массы неработающей навесной брони и отсутствия моторов мощностью в 1300 л. с.</w:t>
      </w:r>
    </w:p>
    <w:p w14:paraId="2C3F28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качестве альтернативы А. Н. Туполев предложил приспособить двухмоторный разведчик Р-б для действий в качестве штурмовика. Военные с предложением А. Н. Туполева согласились, установив срок предъявления новой машины (заводское обозначение АНТ-18) на государственные испытания к 1 января 1932 г. Позже, из-за отсутствия моторов необходимой мощности, постройка штурмовика на базе Р-б также была прекращена (9649).</w:t>
      </w:r>
    </w:p>
    <w:p w14:paraId="0E0413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D6AF546"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1B5057BF"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44301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21 июня 1931 закончились ходовые испытания танка Кристи, которые шли с 16 мая. Прошел 43.5 км. На лыжах и 863 км на колесах. Подготовили отчет на 15 л и отметили: “... Танк испытывался только на колесах, причем испытания показали, что средние скорости на шоссе не превышают 30-35 км/час. Водитель после 4-5 часов сильно устает (благодаря трудности управления и неравномерности хода)... Двигатель работал хорошо но необходима частая регулировка клапанов, КУБ недостаточны для запуска двигателя (холодный запускался как правило, с буксира... В КП после 600-650 км выскакивают 2 и 3 передачи при большой нагрузке на двигатель.... КПП через 2-3 часа нагревается до 85-88 гр... После 40.5 км сломано 8 пальцев. гусениц... Управление танком - удовлетворительное.... При езде по неровностям толчки выбивают руль из рук водителя. На скорости 55-60 км/час управление затруднительно. Заключение:...танк Кристи в том виде, в котором он был </w:t>
      </w:r>
      <w:r w:rsidRPr="005E779E">
        <w:rPr>
          <w:rFonts w:ascii="Times New Roman" w:hAnsi="Times New Roman"/>
          <w:color w:val="000000" w:themeColor="text1"/>
          <w:sz w:val="16"/>
          <w:szCs w:val="16"/>
        </w:rPr>
        <w:lastRenderedPageBreak/>
        <w:t>представлен на испытания, является исключительно интересной машиной с универсальным движением, требует как боевая машина большой разработки и введения ряда конструктивных усовершенствований и изменений.” (3879,7).</w:t>
      </w:r>
    </w:p>
    <w:p w14:paraId="49A2E6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97DABA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 июня 1931 закончились испытания танка БТ. По окончании испытаний был составлен отчет, в кото</w:t>
      </w:r>
      <w:r w:rsidRPr="005E779E">
        <w:rPr>
          <w:rFonts w:ascii="Times New Roman" w:hAnsi="Times New Roman"/>
          <w:color w:val="000000" w:themeColor="text1"/>
          <w:sz w:val="16"/>
          <w:szCs w:val="16"/>
        </w:rPr>
        <w:softHyphen/>
        <w:t>ром после перечислений всех поломок и недоработок, а также трудностей управления танком при движении на ко</w:t>
      </w:r>
      <w:r w:rsidRPr="005E779E">
        <w:rPr>
          <w:rFonts w:ascii="Times New Roman" w:hAnsi="Times New Roman"/>
          <w:color w:val="000000" w:themeColor="text1"/>
          <w:sz w:val="16"/>
          <w:szCs w:val="16"/>
        </w:rPr>
        <w:softHyphen/>
        <w:t>лесах по проселку в заключении говорилось: «...Танк Крис</w:t>
      </w:r>
      <w:r w:rsidRPr="005E779E">
        <w:rPr>
          <w:rFonts w:ascii="Times New Roman" w:hAnsi="Times New Roman"/>
          <w:color w:val="000000" w:themeColor="text1"/>
          <w:sz w:val="16"/>
          <w:szCs w:val="16"/>
        </w:rPr>
        <w:softHyphen/>
        <w:t>ти в том виде, в котором он был представлен на испытаниях, является исключительно интересной машиной с универсаль</w:t>
      </w:r>
      <w:r w:rsidRPr="005E779E">
        <w:rPr>
          <w:rFonts w:ascii="Times New Roman" w:hAnsi="Times New Roman"/>
          <w:color w:val="000000" w:themeColor="text1"/>
          <w:sz w:val="16"/>
          <w:szCs w:val="16"/>
        </w:rPr>
        <w:softHyphen/>
        <w:t>ным движением, но требует как боевая машина большой раз</w:t>
      </w:r>
      <w:r w:rsidRPr="005E779E">
        <w:rPr>
          <w:rFonts w:ascii="Times New Roman" w:hAnsi="Times New Roman"/>
          <w:color w:val="000000" w:themeColor="text1"/>
          <w:sz w:val="16"/>
          <w:szCs w:val="16"/>
        </w:rPr>
        <w:softHyphen/>
        <w:t>работки и введения ряда конструктивных усовершенствова</w:t>
      </w:r>
      <w:r w:rsidRPr="005E779E">
        <w:rPr>
          <w:rFonts w:ascii="Times New Roman" w:hAnsi="Times New Roman"/>
          <w:color w:val="000000" w:themeColor="text1"/>
          <w:sz w:val="16"/>
          <w:szCs w:val="16"/>
        </w:rPr>
        <w:softHyphen/>
        <w:t>ний и изменений». Это заключение делало процесс выпуска танка почти невозможным. Ведь согласно заданию танк БТ должен был выпускаться, как и Т-26, без внесения каких бы то ни было конструктивных изменений в заокеанскую машину в точ</w:t>
      </w:r>
      <w:r w:rsidRPr="005E779E">
        <w:rPr>
          <w:rFonts w:ascii="Times New Roman" w:hAnsi="Times New Roman"/>
          <w:color w:val="000000" w:themeColor="text1"/>
          <w:sz w:val="16"/>
          <w:szCs w:val="16"/>
        </w:rPr>
        <w:softHyphen/>
        <w:t>ном соответствии с имеющимся образцом, получившим условное название «Оригинал-1», что, по мнению руководства ГУВП, должно было значительно упростить организа</w:t>
      </w:r>
      <w:r w:rsidRPr="005E779E">
        <w:rPr>
          <w:rFonts w:ascii="Times New Roman" w:hAnsi="Times New Roman"/>
          <w:color w:val="000000" w:themeColor="text1"/>
          <w:sz w:val="16"/>
          <w:szCs w:val="16"/>
        </w:rPr>
        <w:softHyphen/>
        <w:t>цию его производства. Однако здесь процесс полного копирования не был достаточно обоснован. БТ требовал доработок, на что еще в мае указывал начальник инженерно-конструкторского бюро по танкам А. Адамс (10733,198).</w:t>
      </w:r>
    </w:p>
    <w:p w14:paraId="352FFE3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375853" w14:textId="77777777" w:rsidR="00DC6103" w:rsidRPr="005E779E" w:rsidRDefault="00DC610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 июня 1931 закончились шедшие с 16 мая холовые испытания танка Кристи, который прошел на гусеницах 43,5 км и 863 км на колесах. По результатам испытаний был составлен подробный отчет на 15 листах. В нем, в частности, отмечалось, что танк не прошел полных испытаний из-за поломки кронштейна ленивца:</w:t>
      </w:r>
    </w:p>
    <w:p w14:paraId="1F44164F" w14:textId="77777777" w:rsidR="00DC6103" w:rsidRPr="005E779E" w:rsidRDefault="00DC610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"...Танк испытывался только на колесах, причем испытания показали, что средние скорости по шоссе не превышают 30-35 км/час. Водитель после 4-5 часов сильно устает (благодаря трудности управления и неравномерности хода требовалось все время выравнивать машину). ...Двигатель работал хорошо, но необходима частая регулировка клапанов. АКБ недостаточны для запуска двигателя (холодный двигатель запускался, как правило, с буксира). В коробке передач после 600-650 км выскакивают 2-я и 3-я передачи при большой нагрузке двигателя. Течь смазки из-под уплотнений, затруднено включение всех передач. Через 2-3 часа движения значительно нагревается КПП до 85-88°С при температуре окружающего воздуха +35-40°С.</w:t>
      </w:r>
    </w:p>
    <w:p w14:paraId="1218AA58" w14:textId="77777777" w:rsidR="00DC6103" w:rsidRPr="005E779E" w:rsidRDefault="00DC610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Гусеницы. После 40,5 км сломано 8 пальцев. </w:t>
      </w:r>
    </w:p>
    <w:p w14:paraId="574BBD0C" w14:textId="77777777" w:rsidR="00DC6103" w:rsidRPr="005E779E" w:rsidRDefault="00DC610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Ведущие колеса. После 150-200 км наблюдается развал в наружную сторону на 1,5-2 см. </w:t>
      </w:r>
    </w:p>
    <w:p w14:paraId="0FA04F5A" w14:textId="77777777" w:rsidR="00DC6103" w:rsidRPr="005E779E" w:rsidRDefault="00DC610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Управление танком - удовлетворительное. На грунтовых дорогах "отказывается слушаться руля", а при езде по неровностям толчки выбивают руль у водителя из рук. На скоростях 55-60 км/час управление затруднительно...</w:t>
      </w:r>
    </w:p>
    <w:p w14:paraId="1410E8F2" w14:textId="77777777" w:rsidR="00DC6103" w:rsidRPr="005E779E" w:rsidRDefault="00DC610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w:t>
      </w:r>
    </w:p>
    <w:p w14:paraId="67C536B2" w14:textId="77777777" w:rsidR="00DC6103" w:rsidRPr="005E779E" w:rsidRDefault="00DC610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...Танк Кристи в том виде, в котором он был представлен на испытаниях, является исключительно интересной машиной с универсальным движением, требует как боевая машина большой разработки и введения ряда конструктивных усовершенствований и изменений" (17214).</w:t>
      </w:r>
    </w:p>
    <w:p w14:paraId="13D04001" w14:textId="77777777" w:rsidR="00DC6103" w:rsidRPr="005E779E" w:rsidRDefault="00DC6103" w:rsidP="000B7A6C">
      <w:pPr>
        <w:spacing w:after="0" w:line="240" w:lineRule="auto"/>
        <w:jc w:val="both"/>
        <w:rPr>
          <w:rFonts w:ascii="Times New Roman" w:hAnsi="Times New Roman"/>
          <w:color w:val="000000" w:themeColor="text1"/>
          <w:sz w:val="16"/>
          <w:szCs w:val="16"/>
        </w:rPr>
      </w:pPr>
    </w:p>
    <w:p w14:paraId="37342B13" w14:textId="77777777" w:rsidR="00877950"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67654108" w14:textId="77777777" w:rsidR="00877950" w:rsidRPr="005E779E" w:rsidRDefault="00877950"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38A9594" w14:textId="77777777" w:rsidR="00086AB8" w:rsidRPr="005E779E" w:rsidRDefault="00086A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21 июня 1931 г. в связи с загрузкой работой в ВАО Баранов освобожден от должности начальника ВВС РККА, которую занял Я.И. Алкснис (24331).</w:t>
      </w:r>
    </w:p>
    <w:p w14:paraId="569943BA" w14:textId="77777777" w:rsidR="00086AB8" w:rsidRPr="005E779E" w:rsidRDefault="00086AB8" w:rsidP="000B7A6C">
      <w:pPr>
        <w:spacing w:after="0" w:line="240" w:lineRule="auto"/>
        <w:jc w:val="both"/>
        <w:rPr>
          <w:rFonts w:ascii="Times New Roman" w:hAnsi="Times New Roman"/>
          <w:color w:val="000000" w:themeColor="text1"/>
          <w:sz w:val="16"/>
          <w:szCs w:val="16"/>
        </w:rPr>
      </w:pPr>
    </w:p>
    <w:p w14:paraId="327CB489" w14:textId="77777777" w:rsidR="00877950" w:rsidRPr="005E779E" w:rsidRDefault="00877950"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21 июня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Постановление СНК СССР № 120сс о проведении опытных мобилизаций в 1931 г. (ГА РФ. Ф. Р?8418. Оп. 28. Д. 14а. Л. 48?51) (12415).</w:t>
      </w:r>
    </w:p>
    <w:p w14:paraId="7526C36F" w14:textId="77777777" w:rsidR="00877950" w:rsidRPr="005E779E" w:rsidRDefault="00877950" w:rsidP="000B7A6C">
      <w:pPr>
        <w:spacing w:after="0" w:line="240" w:lineRule="auto"/>
        <w:jc w:val="both"/>
        <w:rPr>
          <w:rFonts w:ascii="Times New Roman" w:hAnsi="Times New Roman"/>
          <w:color w:val="000000" w:themeColor="text1"/>
          <w:sz w:val="16"/>
          <w:szCs w:val="16"/>
          <w:u w:color="002060"/>
        </w:rPr>
      </w:pPr>
    </w:p>
    <w:p w14:paraId="6B246718"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6E93E19A"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A42C1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 июня 1931 И.В.С. выступил с осуждением спецсредства и призвал к большей заботе о специалистах старой школы, всерьез подружившихся с рабочим классов. Чистки, однако, продолжились и только за 1933 от работы отстранили 153 тыс. служащих, ставших козлами отпущения за срывы в экономике (3240).</w:t>
      </w:r>
    </w:p>
    <w:p w14:paraId="2E0E4B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5677C1A"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1E10E177"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8A65A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 июня 1931 В Австрии новое правительство формирует Карл Буреш, представитель христианских социалистов (7444).</w:t>
      </w:r>
    </w:p>
    <w:p w14:paraId="70FD5D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30061F0"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00B9F9CD"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9B0D7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июня 1931 года НИИ ВВС РККА сообщил ЦАГИ свои тактико-технические требования к высотному бомбардировщику, обозначенному в этом документе как ТБ-7. Согласно предварительным требованиям ВВС, будущий высотный "бомбовоз" предназначался для уничтожения объектов государственного и стратегического назначения, ударов по базам флота противника и проведения десантных операций. По требованиям УВВС будущий ТБ-7 должен был иметь: боевую высоту полета - 7000 м, максимальную скорость полета - 250 км/ч, радиус действия 1500-2000 км, бомбовую нагрузку - 10000 кг, экипаж должен был состоять из 10-14 человек. Конструкция самолета должна была позволять использовать самолет в качестве крейсера сопровождения. В этом случае за счет снятия бомбового вооружения и отказа от бомбовой нагрузки устанавливались дополнительные огневые точки. Крейсер предполагалось использовать для сопровождения в дальних полетах соединений бомбардировщиков основной базовой модификации. Как видно из приведенных характеристик, по своим летно-тактическим данным ТБ-7 в своем первом варианте проекта 1931 года практически недалеко ушел от проектов туполевских "супербомбардировщиков" конца 20-х начала 30-х годов - проектов ТБ-4 и ТБ-6 (АНТ-16 и АНТ-26). Судя по всему из-за этого предложения ВВС по новому бомбардировщику дальнейшего развития не получили (7685).</w:t>
      </w:r>
    </w:p>
    <w:p w14:paraId="103A0C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E0D6E9B"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0458F9BE"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471A1C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22-23 июня 1931 года состоялось совещание хозяйственников при ЦК ВКП(б). В нем участвовали представители многих организаций, объеди</w:t>
      </w:r>
      <w:r w:rsidRPr="005E779E">
        <w:rPr>
          <w:rFonts w:ascii="Times New Roman" w:hAnsi="Times New Roman"/>
          <w:color w:val="000000" w:themeColor="text1"/>
          <w:sz w:val="16"/>
          <w:szCs w:val="16"/>
        </w:rPr>
        <w:softHyphen/>
        <w:t>нявшиеся Высшим Советом народного хозяйства СССР (ВСНХ) и на</w:t>
      </w:r>
      <w:r w:rsidRPr="005E779E">
        <w:rPr>
          <w:rFonts w:ascii="Times New Roman" w:hAnsi="Times New Roman"/>
          <w:color w:val="000000" w:themeColor="text1"/>
          <w:sz w:val="16"/>
          <w:szCs w:val="16"/>
        </w:rPr>
        <w:softHyphen/>
        <w:t>родного комиссариата снабжения. В работе совещания приняли участие Молотов, Ворошилов, Андреев, Каганович, Микоян, Шверник, Кали</w:t>
      </w:r>
      <w:r w:rsidRPr="005E779E">
        <w:rPr>
          <w:rFonts w:ascii="Times New Roman" w:hAnsi="Times New Roman"/>
          <w:color w:val="000000" w:themeColor="text1"/>
          <w:sz w:val="16"/>
          <w:szCs w:val="16"/>
        </w:rPr>
        <w:softHyphen/>
        <w:t>нин, Орджоникидзе, Куйбышев.</w:t>
      </w:r>
    </w:p>
    <w:p w14:paraId="7658FCA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заседании 23 июня Сталин выступил с докладом: «Новая обстанов</w:t>
      </w:r>
      <w:r w:rsidRPr="005E779E">
        <w:rPr>
          <w:rFonts w:ascii="Times New Roman" w:hAnsi="Times New Roman"/>
          <w:color w:val="000000" w:themeColor="text1"/>
          <w:sz w:val="16"/>
          <w:szCs w:val="16"/>
        </w:rPr>
        <w:softHyphen/>
        <w:t>ка новые задачи хозяйственного строительства». В четвертом разделе док</w:t>
      </w:r>
      <w:r w:rsidRPr="005E779E">
        <w:rPr>
          <w:rFonts w:ascii="Times New Roman" w:hAnsi="Times New Roman"/>
          <w:color w:val="000000" w:themeColor="text1"/>
          <w:sz w:val="16"/>
          <w:szCs w:val="16"/>
        </w:rPr>
        <w:softHyphen/>
        <w:t>лада: «Вопрос о производственно-технической интеллигенции рабочего класса», Сталин сказал: «Нам нужно теперь обеспечить себя втрое, впяте</w:t>
      </w:r>
      <w:r w:rsidRPr="005E779E">
        <w:rPr>
          <w:rFonts w:ascii="Times New Roman" w:hAnsi="Times New Roman"/>
          <w:color w:val="000000" w:themeColor="text1"/>
          <w:sz w:val="16"/>
          <w:szCs w:val="16"/>
        </w:rPr>
        <w:softHyphen/>
        <w:t>ро больше инженерно-техническими и командными силами, если мы действительно думаем осуществить программу социалистической индус</w:t>
      </w:r>
      <w:r w:rsidRPr="005E779E">
        <w:rPr>
          <w:rFonts w:ascii="Times New Roman" w:hAnsi="Times New Roman"/>
          <w:color w:val="000000" w:themeColor="text1"/>
          <w:sz w:val="16"/>
          <w:szCs w:val="16"/>
        </w:rPr>
        <w:softHyphen/>
        <w:t>триализации СССР».</w:t>
      </w:r>
    </w:p>
    <w:p w14:paraId="4EE181F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 где же было их взять в то время, в тех условиях?</w:t>
      </w:r>
    </w:p>
    <w:p w14:paraId="3C42A3F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Советская власть, учитывая это обстоятельство, «открыла двери выс</w:t>
      </w:r>
      <w:r w:rsidRPr="005E779E">
        <w:rPr>
          <w:rFonts w:ascii="Times New Roman" w:hAnsi="Times New Roman"/>
          <w:color w:val="000000" w:themeColor="text1"/>
          <w:sz w:val="16"/>
          <w:szCs w:val="16"/>
        </w:rPr>
        <w:softHyphen/>
        <w:t>ших учебных заведений по всем отраслям народного хозяйства для людей рабочего класса и трудового крестьянства».</w:t>
      </w:r>
    </w:p>
    <w:p w14:paraId="6399E58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Сталин в своем докладе отметил, что «производственно-техни</w:t>
      </w:r>
      <w:r w:rsidRPr="005E779E">
        <w:rPr>
          <w:rFonts w:ascii="Times New Roman" w:hAnsi="Times New Roman"/>
          <w:color w:val="000000" w:themeColor="text1"/>
          <w:sz w:val="16"/>
          <w:szCs w:val="16"/>
        </w:rPr>
        <w:softHyphen/>
        <w:t>ческая интеллигенция рабочего класса» для сети новых очагов промыш</w:t>
      </w:r>
      <w:r w:rsidRPr="005E779E">
        <w:rPr>
          <w:rFonts w:ascii="Times New Roman" w:hAnsi="Times New Roman"/>
          <w:color w:val="000000" w:themeColor="text1"/>
          <w:sz w:val="16"/>
          <w:szCs w:val="16"/>
        </w:rPr>
        <w:softHyphen/>
        <w:t>ленности и транспортного строительства «будет формироваться не толь</w:t>
      </w:r>
      <w:r w:rsidRPr="005E779E">
        <w:rPr>
          <w:rFonts w:ascii="Times New Roman" w:hAnsi="Times New Roman"/>
          <w:color w:val="000000" w:themeColor="text1"/>
          <w:sz w:val="16"/>
          <w:szCs w:val="16"/>
        </w:rPr>
        <w:softHyphen/>
        <w:t>ко из людей, прошедших высшую школу, — она будет рекрутироваться также из практических работников наших предприятий, из квалифици</w:t>
      </w:r>
      <w:r w:rsidRPr="005E779E">
        <w:rPr>
          <w:rFonts w:ascii="Times New Roman" w:hAnsi="Times New Roman"/>
          <w:color w:val="000000" w:themeColor="text1"/>
          <w:sz w:val="16"/>
          <w:szCs w:val="16"/>
        </w:rPr>
        <w:softHyphen/>
        <w:t>рованных рабочих, из культурных сил рабочего класса на заводе, на фаб</w:t>
      </w:r>
      <w:r w:rsidRPr="005E779E">
        <w:rPr>
          <w:rFonts w:ascii="Times New Roman" w:hAnsi="Times New Roman"/>
          <w:color w:val="000000" w:themeColor="text1"/>
          <w:sz w:val="16"/>
          <w:szCs w:val="16"/>
        </w:rPr>
        <w:softHyphen/>
        <w:t>рике, в шахте... — вот новая прослойка рабочего класса, которая и должна составить ядро интеллигенции рабочего класса, ядро командного состава нашей промышленности».</w:t>
      </w:r>
    </w:p>
    <w:p w14:paraId="2207EE0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докладе Сталина отмечалось еще два очень важных момента; первое — это отношение к беспартийным и второе — отношение к старой, бур</w:t>
      </w:r>
      <w:r w:rsidRPr="005E779E">
        <w:rPr>
          <w:rFonts w:ascii="Times New Roman" w:hAnsi="Times New Roman"/>
          <w:color w:val="000000" w:themeColor="text1"/>
          <w:sz w:val="16"/>
          <w:szCs w:val="16"/>
        </w:rPr>
        <w:softHyphen/>
        <w:t>жуазной производственно-технической интеллигенции. Сталин говорил: «Среди этих товарищей немало беспартийных. Но это не может служить препятствием к тому, чтобы смелее выдвигать их на руководящие долж</w:t>
      </w:r>
      <w:r w:rsidRPr="005E779E">
        <w:rPr>
          <w:rFonts w:ascii="Times New Roman" w:hAnsi="Times New Roman"/>
          <w:color w:val="000000" w:themeColor="text1"/>
          <w:sz w:val="16"/>
          <w:szCs w:val="16"/>
        </w:rPr>
        <w:softHyphen/>
        <w:t>ности..., партия умеет ценить способных и талантливых работников.</w:t>
      </w:r>
    </w:p>
    <w:p w14:paraId="25431E9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Некоторые товарищи думают, что на руководящие должности на фаб</w:t>
      </w:r>
      <w:r w:rsidRPr="005E779E">
        <w:rPr>
          <w:rFonts w:ascii="Times New Roman" w:hAnsi="Times New Roman"/>
          <w:color w:val="000000" w:themeColor="text1"/>
          <w:sz w:val="16"/>
          <w:szCs w:val="16"/>
        </w:rPr>
        <w:softHyphen/>
        <w:t>риках, на заводах можно выдвигать лишь партийных товарищей... Едва ли нужно доказывать, что такой «политикой» можно лишь дискредити</w:t>
      </w:r>
      <w:r w:rsidRPr="005E779E">
        <w:rPr>
          <w:rFonts w:ascii="Times New Roman" w:hAnsi="Times New Roman"/>
          <w:color w:val="000000" w:themeColor="text1"/>
          <w:sz w:val="16"/>
          <w:szCs w:val="16"/>
        </w:rPr>
        <w:softHyphen/>
        <w:t>ровать партию и оттолкнуть от партии беспартийных рабочих. Наша по</w:t>
      </w:r>
      <w:r w:rsidRPr="005E779E">
        <w:rPr>
          <w:rFonts w:ascii="Times New Roman" w:hAnsi="Times New Roman"/>
          <w:color w:val="000000" w:themeColor="text1"/>
          <w:sz w:val="16"/>
          <w:szCs w:val="16"/>
        </w:rPr>
        <w:softHyphen/>
        <w:t>литика состоит не в том, чтобы превратить партию в замкнутую касту» (11504).</w:t>
      </w:r>
    </w:p>
    <w:p w14:paraId="1AF877F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C91179" w14:textId="77777777" w:rsidR="00647E8F" w:rsidRPr="005E779E" w:rsidRDefault="00647E8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июня 1931 года, выступая на совещании хозяйственников с речью «Новая обстановка — новые задачи хозяйственного строительства», товарищ Сталин указал шесть условий, осуществление которых решает задачу руководства по-новому. Вот эти условия:</w:t>
      </w:r>
    </w:p>
    <w:p w14:paraId="42B013F7" w14:textId="77777777" w:rsidR="00647E8F" w:rsidRPr="005E779E" w:rsidRDefault="00647E8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 Организованно набирать рабочую силу в порядке договоров с колхозами, механизировать труд.</w:t>
      </w:r>
    </w:p>
    <w:p w14:paraId="77FACFBB" w14:textId="77777777" w:rsidR="00647E8F" w:rsidRPr="005E779E" w:rsidRDefault="00647E8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 Ликвидировать текучесть рабочей силы, уничтожить уравниловку, правильно организовать зарплату, улучшить бытовые условия рабочих.</w:t>
      </w:r>
    </w:p>
    <w:p w14:paraId="6C003370" w14:textId="77777777" w:rsidR="00647E8F" w:rsidRPr="005E779E" w:rsidRDefault="00647E8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 Ликвидировать обезличку, улучшить организацию труда, правильно расставить силы на предприятии.</w:t>
      </w:r>
    </w:p>
    <w:p w14:paraId="5EC24F4A" w14:textId="77777777" w:rsidR="00647E8F" w:rsidRPr="005E779E" w:rsidRDefault="00647E8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 Добиться того, чтобы у рабочего класса СССР была своя собственная производственно - техническая интеллигенция.</w:t>
      </w:r>
    </w:p>
    <w:p w14:paraId="5F68B09C" w14:textId="77777777" w:rsidR="00647E8F" w:rsidRPr="005E779E" w:rsidRDefault="00647E8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 Изменить отношение к инженерно техническим силам старой школы, проявлять к ним побольше внимания и заботы, смелее привлекать их к работе.</w:t>
      </w:r>
    </w:p>
    <w:p w14:paraId="4E4C2BA2" w14:textId="77777777" w:rsidR="00647E8F" w:rsidRPr="005E779E" w:rsidRDefault="00647E8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 Внедрять и укреплять хозрасчет, поднять внутрипромышленное накопление (21166).</w:t>
      </w:r>
    </w:p>
    <w:p w14:paraId="5B32D352" w14:textId="77777777" w:rsidR="00647E8F" w:rsidRPr="005E779E" w:rsidRDefault="00647E8F" w:rsidP="000B7A6C">
      <w:pPr>
        <w:spacing w:after="0" w:line="240" w:lineRule="auto"/>
        <w:jc w:val="both"/>
        <w:rPr>
          <w:rFonts w:ascii="Times New Roman" w:hAnsi="Times New Roman"/>
          <w:color w:val="000000" w:themeColor="text1"/>
          <w:sz w:val="16"/>
          <w:szCs w:val="16"/>
        </w:rPr>
      </w:pPr>
    </w:p>
    <w:p w14:paraId="491F3006" w14:textId="77777777" w:rsidR="00877950"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lastRenderedPageBreak/>
        <w:t>Другие оборонные отрасли:</w:t>
      </w:r>
    </w:p>
    <w:p w14:paraId="4C82223B" w14:textId="77777777" w:rsidR="00877950" w:rsidRPr="005E779E" w:rsidRDefault="00877950"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7681949" w14:textId="77777777" w:rsidR="00E37213" w:rsidRPr="005E779E" w:rsidRDefault="00E37213"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июня 1931 И. Сталин на совещании хозяйственников выступил против уравнительного принципа в оплате труда (4962).</w:t>
      </w:r>
    </w:p>
    <w:p w14:paraId="2F9ED5EB" w14:textId="77777777" w:rsidR="00E37213" w:rsidRPr="005E779E" w:rsidRDefault="00E37213"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816E63" w14:textId="77777777" w:rsidR="00E37213" w:rsidRPr="005E779E" w:rsidRDefault="00E37213"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июня 1931 в речи на совещании хозяйственников И.В.С. настаивал на более организованном наборе и предотвращении текучести рабочих кадров, а также выступил против уравниловки в оплате труда. Призвал оказывать больше доверия старым специалистов и прекратить выдвижение рабочих от станка на инженерные должности (3908,335).</w:t>
      </w:r>
    </w:p>
    <w:p w14:paraId="2F74B9E3" w14:textId="77777777" w:rsidR="00E37213" w:rsidRPr="005E779E" w:rsidRDefault="00E37213" w:rsidP="000B7A6C">
      <w:pPr>
        <w:autoSpaceDE w:val="0"/>
        <w:autoSpaceDN w:val="0"/>
        <w:adjustRightInd w:val="0"/>
        <w:spacing w:after="0" w:line="240" w:lineRule="auto"/>
        <w:jc w:val="both"/>
        <w:rPr>
          <w:rFonts w:ascii="Times New Roman" w:hAnsi="Times New Roman"/>
          <w:color w:val="000000" w:themeColor="text1"/>
          <w:sz w:val="16"/>
          <w:szCs w:val="16"/>
        </w:rPr>
      </w:pPr>
    </w:p>
    <w:p w14:paraId="2C0BFEED" w14:textId="77777777" w:rsidR="00E37213" w:rsidRPr="005E779E" w:rsidRDefault="00E37213"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июня 1931 года на хозяйственном совещании выступил И.В. Сталин, который посвятил свою речь принципам единоначалия и их реализации в деле управления промышленностью. Значительное место в его выступлении заняли вопросы о месте и значении старых специалистов, признавались также допущенные ошибки с указанием "ограничить произвол". Все основные положения этой речи были реализованы в циркуляре ВСНХ от 8 августа 1931 года. В данном документе прямо указывалось на неправильную политику прокуратуры при ведении следствия в отношении инженерно-технических работников, обвинявшихся во вредительстве. Отныне всякие уголовные преследования были возможны только после соответствующего разрешения дирекции предприятий; категорически запрещалось привлекать к уголовной ответственности за производственный риск. Органы власти впервые пошли дальше простого признания ошибок и перегибов. В циркуляре указывалось, что для исправления допущенных ошибок в неправильном осуждении специалистов и возможности загладить совершенные правонарушения на всех предприятиях и в учреждениях, где работали данные специалисты, должны быть немедленно учреждены комиссии, которые, если осужденный характеризуется положительно, уполномочены ставить вопрос об освобождении его от отбывания принудительных работ со снятием судимости. В циркуляре еще раз подчеркивалось требование об улучшении быта специалистов и членов их семей. Им должны были представляться уже не только коммунальные льготы и отдельное жилье, но и денежные пособия, дома отдыха и т.п. (11025).</w:t>
      </w:r>
    </w:p>
    <w:p w14:paraId="633F8C2F" w14:textId="77777777" w:rsidR="00E37213" w:rsidRPr="005E779E" w:rsidRDefault="00E37213" w:rsidP="000B7A6C">
      <w:pPr>
        <w:autoSpaceDE w:val="0"/>
        <w:autoSpaceDN w:val="0"/>
        <w:adjustRightInd w:val="0"/>
        <w:spacing w:after="0" w:line="240" w:lineRule="auto"/>
        <w:jc w:val="both"/>
        <w:rPr>
          <w:rFonts w:ascii="Times New Roman" w:hAnsi="Times New Roman"/>
          <w:color w:val="000000" w:themeColor="text1"/>
          <w:sz w:val="16"/>
          <w:szCs w:val="16"/>
        </w:rPr>
      </w:pPr>
    </w:p>
    <w:p w14:paraId="17F1C8DC" w14:textId="77777777" w:rsidR="00E37213" w:rsidRPr="005E779E" w:rsidRDefault="00E37213"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июня 1931 г. Сталин осудил травлю специалистов старой шко</w:t>
      </w:r>
      <w:r w:rsidRPr="005E779E">
        <w:rPr>
          <w:rFonts w:ascii="Times New Roman" w:hAnsi="Times New Roman"/>
          <w:color w:val="000000" w:themeColor="text1"/>
          <w:sz w:val="16"/>
          <w:szCs w:val="16"/>
        </w:rPr>
        <w:softHyphen/>
        <w:t>лы. Пришло осознание того, что гонения на них в условиях не</w:t>
      </w:r>
      <w:r w:rsidRPr="005E779E">
        <w:rPr>
          <w:rFonts w:ascii="Times New Roman" w:hAnsi="Times New Roman"/>
          <w:color w:val="000000" w:themeColor="text1"/>
          <w:sz w:val="16"/>
          <w:szCs w:val="16"/>
        </w:rPr>
        <w:softHyphen/>
        <w:t>хватки квалифицированных кадров только усугубляют трудно</w:t>
      </w:r>
      <w:r w:rsidRPr="005E779E">
        <w:rPr>
          <w:rFonts w:ascii="Times New Roman" w:hAnsi="Times New Roman"/>
          <w:color w:val="000000" w:themeColor="text1"/>
          <w:sz w:val="16"/>
          <w:szCs w:val="16"/>
        </w:rPr>
        <w:softHyphen/>
        <w:t>сти на производстве. Специалистов сначала под присмотром ор</w:t>
      </w:r>
      <w:r w:rsidRPr="005E779E">
        <w:rPr>
          <w:rFonts w:ascii="Times New Roman" w:hAnsi="Times New Roman"/>
          <w:color w:val="000000" w:themeColor="text1"/>
          <w:sz w:val="16"/>
          <w:szCs w:val="16"/>
        </w:rPr>
        <w:softHyphen/>
        <w:t>ганов ОГПУ стали возвращать на прежние места, потом было объявлено о "прощении" ряда лиц, связанных с "вредителями" ввиду их готовности работать на благо социализма (10788).</w:t>
      </w:r>
    </w:p>
    <w:p w14:paraId="31B354F9" w14:textId="77777777" w:rsidR="00E37213" w:rsidRPr="005E779E" w:rsidRDefault="00E37213" w:rsidP="000B7A6C">
      <w:pPr>
        <w:autoSpaceDE w:val="0"/>
        <w:autoSpaceDN w:val="0"/>
        <w:adjustRightInd w:val="0"/>
        <w:spacing w:after="0" w:line="240" w:lineRule="auto"/>
        <w:jc w:val="both"/>
        <w:rPr>
          <w:rFonts w:ascii="Times New Roman" w:hAnsi="Times New Roman"/>
          <w:color w:val="000000" w:themeColor="text1"/>
          <w:sz w:val="16"/>
          <w:szCs w:val="16"/>
        </w:rPr>
      </w:pPr>
    </w:p>
    <w:p w14:paraId="47CF9F03" w14:textId="77777777" w:rsidR="00E37213" w:rsidRPr="005E779E" w:rsidRDefault="00E372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июня 1931 г. в выступлении Сталина перед хозяйственными руководителями, среди которых было немало работников военпрома, Сталин говорил о необходимости ликви</w:t>
      </w:r>
      <w:r w:rsidRPr="005E779E">
        <w:rPr>
          <w:rFonts w:ascii="Times New Roman" w:hAnsi="Times New Roman"/>
          <w:color w:val="000000" w:themeColor="text1"/>
          <w:sz w:val="16"/>
          <w:szCs w:val="16"/>
        </w:rPr>
        <w:softHyphen/>
        <w:t>дировать текучесть на заводах, усилить организованный набор рабочей силы в колхозах, преодолеть уравниловку в оплате тру</w:t>
      </w:r>
      <w:r w:rsidRPr="005E779E">
        <w:rPr>
          <w:rFonts w:ascii="Times New Roman" w:hAnsi="Times New Roman"/>
          <w:color w:val="000000" w:themeColor="text1"/>
          <w:sz w:val="16"/>
          <w:szCs w:val="16"/>
        </w:rPr>
        <w:softHyphen/>
        <w:t>да, обезличку, правильно организовать труд, улучшить бытовые условия, правильно расставить кадры, переходить к хозрасчету. Наряду с призывом создавать новую рабочую интеллигенцию Сталин осудил травлю специалистов старой школы, указывая на то, что будто бы среди них под влиянием успехов социалистиче</w:t>
      </w:r>
      <w:r w:rsidRPr="005E779E">
        <w:rPr>
          <w:rFonts w:ascii="Times New Roman" w:hAnsi="Times New Roman"/>
          <w:color w:val="000000" w:themeColor="text1"/>
          <w:sz w:val="16"/>
          <w:szCs w:val="16"/>
        </w:rPr>
        <w:softHyphen/>
        <w:t>ского строительства произошел “перелом”. На деле пришло осознание того, что гонения на них в условиях нехватки квалифи</w:t>
      </w:r>
      <w:r w:rsidRPr="005E779E">
        <w:rPr>
          <w:rFonts w:ascii="Times New Roman" w:hAnsi="Times New Roman"/>
          <w:color w:val="000000" w:themeColor="text1"/>
          <w:sz w:val="16"/>
          <w:szCs w:val="16"/>
        </w:rPr>
        <w:softHyphen/>
        <w:t>цированных работников только усугубляют трудности на произ[186]водстве. На основании этого выступления были сформулирова</w:t>
      </w:r>
      <w:r w:rsidRPr="005E779E">
        <w:rPr>
          <w:rFonts w:ascii="Times New Roman" w:hAnsi="Times New Roman"/>
          <w:color w:val="000000" w:themeColor="text1"/>
          <w:sz w:val="16"/>
          <w:szCs w:val="16"/>
        </w:rPr>
        <w:softHyphen/>
        <w:t>ны “шесть условий т. Сталина, необходимые для построения со</w:t>
      </w:r>
      <w:r w:rsidRPr="005E779E">
        <w:rPr>
          <w:rFonts w:ascii="Times New Roman" w:hAnsi="Times New Roman"/>
          <w:color w:val="000000" w:themeColor="text1"/>
          <w:sz w:val="16"/>
          <w:szCs w:val="16"/>
        </w:rPr>
        <w:softHyphen/>
        <w:t>циализма в СССР” (18393).</w:t>
      </w:r>
    </w:p>
    <w:p w14:paraId="031405AB" w14:textId="77777777" w:rsidR="00E37213" w:rsidRPr="005E779E" w:rsidRDefault="00E37213" w:rsidP="000B7A6C">
      <w:pPr>
        <w:spacing w:after="0" w:line="240" w:lineRule="auto"/>
        <w:jc w:val="both"/>
        <w:rPr>
          <w:rFonts w:ascii="Times New Roman" w:hAnsi="Times New Roman"/>
          <w:color w:val="000000" w:themeColor="text1"/>
          <w:sz w:val="16"/>
          <w:szCs w:val="16"/>
        </w:rPr>
      </w:pPr>
    </w:p>
    <w:p w14:paraId="322A20DA" w14:textId="77777777" w:rsidR="00E37213" w:rsidRPr="005E779E" w:rsidRDefault="00E372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июня 1931 г. в своей речи о «Шести условиях» Сталин указал новый путь: он потребовал покончить с «уравниловкой» и существенно повысить оплату труда квалифицированных рабочих, чтобы с помощью материального стимула способствовать образованию эффективного ядра в рабочем коллективе предприятия{1052}.</w:t>
      </w:r>
    </w:p>
    <w:p w14:paraId="153B19BA" w14:textId="77777777" w:rsidR="00E37213" w:rsidRPr="005E779E" w:rsidRDefault="00E372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 1930 г. структура заработной платы в Советском Союзе была аналогична западноевропейской. Квалифицированные рабочие получали в среднем 70-100 руб. в месяц, причем серьезных различий между ними не имелось{1051}.</w:t>
      </w:r>
    </w:p>
    <w:p w14:paraId="1756A67A" w14:textId="77777777" w:rsidR="00E37213" w:rsidRPr="005E779E" w:rsidRDefault="00E372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Тарифная реформа 1931 г. разделила рабочих с повременной заработной платой на 7 разрядов, получавших ежедневно от 2,30 до 7,60 руб., рабочих сдельной (аккордной) системы оплаты — на 8 разрядов, зарабатывавших в день от 3,5 до 13 руб. Высококвалифицированные рабочие отныне могли получать в 3,5 раза больше необученных рабочих. Снижение в начале 1930-х гг. реальной заработной платы в связи с резким ростом цен раздробило рабочий класс на слои, чье положение очевидно ухудшилось, а также такие группы, которые смогли сохранить или даже улучшить свой жизненный уровень. Таким путем режим осознанно содействовал образованию «рабочей аристократии», на которую мог опираться в дальнейшем{1053}.</w:t>
      </w:r>
    </w:p>
    <w:p w14:paraId="723D48BF" w14:textId="77777777" w:rsidR="00E37213" w:rsidRPr="005E779E" w:rsidRDefault="00E372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Впрочем, реализации тарифной реформы мешала введенная одновременно система сдельной оплаты труда, с помощью которой стремились повысить производительность труда, поскольку при сдельной оплате различия в размере заработка были резче, чем при повременной тарифной сетке. Оба подхода нередко, правда, удавалось обойти с молчаливого согласия администрации и рабочих, повышая в целом зарплату и устанавливая столь низкие нормы выработки, что их было легко перевыполнить. Рост заработной платы в начале 1930-х гг. во всяком случае опережал повышение производительности труда{1054}.</w:t>
      </w:r>
    </w:p>
    <w:p w14:paraId="341CAA98" w14:textId="77777777" w:rsidR="00E37213" w:rsidRPr="005E779E" w:rsidRDefault="00E372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Тарифной реформой 1931 г. была введена серьезная дифференциация оплаты труда не только внутри рабочего класса, но и между рабочими, служащими и инженерно-техническим персоналом. Разрыв между заработком рабочего и инженера увеличился (18299).</w:t>
      </w:r>
    </w:p>
    <w:p w14:paraId="4AC94F93" w14:textId="77777777" w:rsidR="00E37213" w:rsidRPr="005E779E" w:rsidRDefault="00E37213" w:rsidP="000B7A6C">
      <w:pPr>
        <w:spacing w:after="0" w:line="240" w:lineRule="auto"/>
        <w:jc w:val="both"/>
        <w:rPr>
          <w:rFonts w:ascii="Times New Roman" w:hAnsi="Times New Roman"/>
          <w:color w:val="000000" w:themeColor="text1"/>
          <w:sz w:val="16"/>
          <w:szCs w:val="16"/>
        </w:rPr>
      </w:pPr>
    </w:p>
    <w:p w14:paraId="27FEA9BF" w14:textId="77777777" w:rsidR="00877950" w:rsidRPr="005E779E" w:rsidRDefault="00877950" w:rsidP="000B7A6C">
      <w:pPr>
        <w:pStyle w:val="rtejustify"/>
        <w:spacing w:before="0" w:after="0"/>
        <w:rPr>
          <w:color w:val="000000" w:themeColor="text1"/>
          <w:sz w:val="16"/>
          <w:szCs w:val="16"/>
        </w:rPr>
      </w:pPr>
      <w:r w:rsidRPr="005E779E">
        <w:rPr>
          <w:rStyle w:val="af0"/>
          <w:i w:val="0"/>
          <w:color w:val="000000" w:themeColor="text1"/>
          <w:sz w:val="16"/>
          <w:szCs w:val="16"/>
        </w:rPr>
        <w:t>23 июня 1931 г. Протокол Реввоенсовета № 23.</w:t>
      </w:r>
      <w:r w:rsidRPr="005E779E">
        <w:rPr>
          <w:color w:val="000000" w:themeColor="text1"/>
          <w:sz w:val="16"/>
          <w:szCs w:val="16"/>
        </w:rPr>
        <w:t xml:space="preserve"> 1. Доклад «Союзверфи» о ходе работ по военному судостроению. (Кондратьев, Муклевич). 2. О постройке второй подводной лодки на средства общественных организаций. (Муклевич). 3. Железнодорожная система вооружения (Аппога). (РГВА. Ф. 4. Оп. 18. Д. 20. Л. 318</w:t>
      </w:r>
      <w:r w:rsidRPr="005E779E">
        <w:rPr>
          <w:color w:val="000000" w:themeColor="text1"/>
          <w:sz w:val="16"/>
          <w:szCs w:val="16"/>
        </w:rPr>
        <w:noBreakHyphen/>
        <w:t>319) (12342).</w:t>
      </w:r>
    </w:p>
    <w:p w14:paraId="6FC2DB13" w14:textId="77777777" w:rsidR="00877950" w:rsidRPr="005E779E" w:rsidRDefault="00877950" w:rsidP="000B7A6C">
      <w:pPr>
        <w:pStyle w:val="rtejustify"/>
        <w:spacing w:before="0" w:after="0"/>
        <w:rPr>
          <w:color w:val="000000" w:themeColor="text1"/>
          <w:sz w:val="16"/>
          <w:szCs w:val="16"/>
        </w:rPr>
      </w:pPr>
    </w:p>
    <w:p w14:paraId="215B6E2D"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4B9E7B01"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9E1BA3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июня 1931 была речь Бухарина на совещании хозяйственников: он настаивает на более организованном наборе и предотвращении текучести рабочих кадров, а также выступает против уравнительного принципа в оплате труда (4962).</w:t>
      </w:r>
    </w:p>
    <w:p w14:paraId="03B1BC8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9B4EA1"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6524556C"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DEDEF6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июня 1931 г. начался первый кругосветный перелет В.Поста и Г.Гетти (США) (6395).</w:t>
      </w:r>
    </w:p>
    <w:p w14:paraId="6C05C36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25BB08" w14:textId="77777777" w:rsidR="009233AF" w:rsidRPr="005E779E" w:rsidRDefault="009233AF"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23 июня</w:t>
      </w:r>
      <w:r w:rsidRPr="005E779E">
        <w:rPr>
          <w:rFonts w:ascii="Times New Roman" w:hAnsi="Times New Roman"/>
          <w:color w:val="000000" w:themeColor="text1"/>
          <w:sz w:val="16"/>
          <w:szCs w:val="16"/>
        </w:rPr>
        <w:t xml:space="preserve"> в 1931 году начало первого кругосветного перелета, пилоты Вилли Пост и Гарольд Гетти (США); На моноплане "Локхид Вега" они сумели побить достижение Хуго Эккенера на дирижабле «Graf Zeppelin». Маршрут Поста и Гетти, в принципе, был похож на трассу, ранее проложенную дирижаблем «Graf Zeppelin»: Нью-Йорк - Ньюфауленд - Англия - Германия - Россия (Москва - Новосибирск - Иркутск - Благовещенск - Хабаровск - Камчатка) - Аляска - Канада - Нью-Йорк. Весь путь удалось пройти 8 суток 15 часов.</w:t>
      </w:r>
    </w:p>
    <w:p w14:paraId="2684E45F" w14:textId="77777777" w:rsidR="009233AF" w:rsidRPr="005E779E" w:rsidRDefault="009233A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 14 остановок на дозаправку 5 было сделано в СССР – в Москве, Новосибирске, Иркутске, Благовещенске и Хабаровске. За эти дни они отдыхали считанное число раз, проводя без сна в полете по тридцать–сорок часов кряду. Во время путешествия им первым довелось испытатьощущение, когда биологические часы не поспевают за быстрой сменой часовых поясов при движении. В 1933 году Пост улучшил свой результат почти на сутки, совершив первый в истории одиночный кругосветный перелет. При посадке бывшего фермера восторженно приветствовали 50 тысяч человек. После этого Пост всерьез занялся скоростными перелетами. После взлета он уходил в субстратосферу, что позволило повысить скорость полета от 290 до 650 км/ч. Правда, для этого пришлось применять специальный высотный костюм. В 1935 году Пост решает осуществить перелет из Америки в Москву через Аляску и Сибирь. Сопровождал его друг, известнейший писатель и актер Уилл Роджерс. Полет закончился трагедией – самолет разбился из–за отказа мотора на Аляске (14931).</w:t>
      </w:r>
    </w:p>
    <w:p w14:paraId="5339C868" w14:textId="77777777" w:rsidR="009233AF" w:rsidRPr="005E779E" w:rsidRDefault="009233AF" w:rsidP="000B7A6C">
      <w:pPr>
        <w:spacing w:after="0" w:line="240" w:lineRule="auto"/>
        <w:jc w:val="both"/>
        <w:rPr>
          <w:rFonts w:ascii="Times New Roman" w:hAnsi="Times New Roman"/>
          <w:color w:val="000000" w:themeColor="text1"/>
          <w:sz w:val="16"/>
          <w:szCs w:val="16"/>
        </w:rPr>
      </w:pPr>
    </w:p>
    <w:p w14:paraId="2E6EB4A8" w14:textId="4E30D953" w:rsidR="009A7BA5" w:rsidRPr="005E779E" w:rsidRDefault="009A7BA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июня 1931 - Начало первого кругосветного перелета В.Поста и Г. Гетти (США).</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На моноплане "Локхид Вега" они сумели побить достижение Хуго Эккенера на дирижабле Graf Zeppelin . Маршрут Поста и Гетти, в принципе, был похож на трассу, ранее проложенную дирижаблем Graf Zeppelin: Нью-Йорк - Ньюфауленд - Англия - Германия - Россия (Москва - Новосибирск - Иркутск - Благовещенск - Хабаровск - Камчатка) - Аляска - Канада - Нью-Йорк. Весь путь удалось пройти 8 суток 15 часов.</w:t>
      </w:r>
    </w:p>
    <w:p w14:paraId="68154D32" w14:textId="77777777" w:rsidR="009A7BA5" w:rsidRPr="005E779E" w:rsidRDefault="009A7BA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 14 остановок на дозаправку 5 было сделано в СССР – в Москве, Новосибирске, Иркутске, Благовещенске и Хабаровске. За эти дни они отдыхали считанное число раз, проводя без сна в полете по тридцать–сорок часов кряду (22452).</w:t>
      </w:r>
    </w:p>
    <w:p w14:paraId="143F71E6" w14:textId="77777777" w:rsidR="009A7BA5" w:rsidRPr="005E779E" w:rsidRDefault="009A7BA5" w:rsidP="000B7A6C">
      <w:pPr>
        <w:spacing w:after="0" w:line="240" w:lineRule="auto"/>
        <w:jc w:val="both"/>
        <w:rPr>
          <w:rFonts w:ascii="Times New Roman" w:hAnsi="Times New Roman"/>
          <w:color w:val="000000" w:themeColor="text1"/>
          <w:sz w:val="16"/>
          <w:szCs w:val="16"/>
        </w:rPr>
      </w:pPr>
    </w:p>
    <w:p w14:paraId="2F7A07B1" w14:textId="77777777" w:rsidR="009A7BA5" w:rsidRPr="005E779E" w:rsidRDefault="009A7BA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июня - 1 июля 1931 Wiley Post и Гарольд Гатти облетают весь мир на Lockheed Vega, Winnie Mae, преодолевая 15 474 миль (24 918 км) за 8 дней 15 часов 51 минуту - новый рекорд (20804).</w:t>
      </w:r>
    </w:p>
    <w:p w14:paraId="7785E824" w14:textId="77777777" w:rsidR="009A7BA5" w:rsidRPr="005E779E" w:rsidRDefault="009A7BA5" w:rsidP="000B7A6C">
      <w:pPr>
        <w:spacing w:after="0" w:line="240" w:lineRule="auto"/>
        <w:jc w:val="both"/>
        <w:rPr>
          <w:rFonts w:ascii="Times New Roman" w:hAnsi="Times New Roman"/>
          <w:color w:val="000000" w:themeColor="text1"/>
          <w:sz w:val="16"/>
          <w:szCs w:val="16"/>
        </w:rPr>
      </w:pPr>
    </w:p>
    <w:p w14:paraId="6ACA2AF3"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68DE9F11"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F8933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C 24 июня по 3 июля 1931 проходили серийные испытания самолета ТБ1 N 704 серии N 1 построенного на зав. N 22 с 2 моторами типа М-17 НР 616-646 NN 26261-26255.</w:t>
      </w:r>
    </w:p>
    <w:p w14:paraId="0D89BE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предъявлен заводом для производства испытаний 26 июня 1931 г.</w:t>
      </w:r>
    </w:p>
    <w:p w14:paraId="784B9D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основании материалов испытаний и акта по серийному испытанию комиссия сочла возможным данную серию самолетов признать кондиционной (3263).</w:t>
      </w:r>
    </w:p>
    <w:p w14:paraId="07EE05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1452E9F"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Внешняя политика:</w:t>
      </w:r>
    </w:p>
    <w:p w14:paraId="661A749C"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FF85F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 июня 1931 в Кабуле был подписан договор о нейтралитете и взаимном ненападении между СССР и Афганистаном (1348,242).</w:t>
      </w:r>
    </w:p>
    <w:p w14:paraId="166B57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F1A9BA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 июня 1931 состоялось подписание в Кабуле договора о нейтралитете и взаимном ненападении между СССР и Афганистаном. Он заменяет договор от 31 авг. 1926 и будет возобновлен 29 марта 1936 (4962).</w:t>
      </w:r>
    </w:p>
    <w:p w14:paraId="2AD18E3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48965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 июня 1931 был продлен на три года договор о дружбе и нейтралитете с Германией 1926 (Берлинский договор). Протокол к нему будет ратифицирован 5 мая 1933, несколько месяцев спустя после прихода к власти Гитлера (4962).</w:t>
      </w:r>
    </w:p>
    <w:p w14:paraId="2FBC455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4BD34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 июня 1931 был продлен на три года договор о дружбе и нейтралитете с Германией (1348,242). Протокол к нему ратифицируют 5 мая 1933 уже после прихода А.Г. к власти (3908,335).</w:t>
      </w:r>
    </w:p>
    <w:p w14:paraId="49971C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528B6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 июня 1931 г. в Москве нодписав протокол о продлении Берлинского договора, правительство Брюнинга так и не ратифицировало его (11784).</w:t>
      </w:r>
    </w:p>
    <w:p w14:paraId="45F93F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601E1A2" w14:textId="77777777" w:rsidR="009233AF"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1139B276" w14:textId="77777777" w:rsidR="009233AF" w:rsidRPr="005E779E" w:rsidRDefault="009233AF"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D800B97" w14:textId="77777777" w:rsidR="009233AF" w:rsidRPr="005E779E" w:rsidRDefault="009233AF"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24 июня</w:t>
      </w:r>
      <w:r w:rsidRPr="005E779E">
        <w:rPr>
          <w:rFonts w:ascii="Times New Roman" w:hAnsi="Times New Roman"/>
          <w:color w:val="000000" w:themeColor="text1"/>
          <w:sz w:val="16"/>
          <w:szCs w:val="16"/>
        </w:rPr>
        <w:t xml:space="preserve"> в 1931 году в Рэдлетте впервые поднялся в воздух второй самолет в варианте </w:t>
      </w:r>
      <w:hyperlink r:id="rId137" w:tgtFrame="_blank" w:history="1">
        <w:r w:rsidRPr="005E779E">
          <w:rPr>
            <w:rFonts w:ascii="Times New Roman" w:hAnsi="Times New Roman"/>
            <w:color w:val="000000" w:themeColor="text1"/>
            <w:sz w:val="16"/>
            <w:szCs w:val="16"/>
          </w:rPr>
          <w:t xml:space="preserve">«Н.Р.42Е», </w:t>
        </w:r>
      </w:hyperlink>
      <w:r w:rsidRPr="005E779E">
        <w:rPr>
          <w:rFonts w:ascii="Times New Roman" w:hAnsi="Times New Roman"/>
          <w:color w:val="000000" w:themeColor="text1"/>
          <w:sz w:val="16"/>
          <w:szCs w:val="16"/>
        </w:rPr>
        <w:t>с именем "Гардиан" ("Hardian") и номером G-MUE (14932).</w:t>
      </w:r>
    </w:p>
    <w:p w14:paraId="64499EEF" w14:textId="77777777" w:rsidR="009233AF" w:rsidRPr="005E779E" w:rsidRDefault="009233AF" w:rsidP="000B7A6C">
      <w:pPr>
        <w:spacing w:after="0" w:line="240" w:lineRule="auto"/>
        <w:jc w:val="both"/>
        <w:rPr>
          <w:rFonts w:ascii="Times New Roman" w:hAnsi="Times New Roman"/>
          <w:color w:val="000000" w:themeColor="text1"/>
          <w:sz w:val="16"/>
          <w:szCs w:val="16"/>
        </w:rPr>
      </w:pPr>
    </w:p>
    <w:p w14:paraId="7763130F"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2EDF174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A424CF5" w14:textId="77777777" w:rsidR="0062380D" w:rsidRPr="005E779E" w:rsidRDefault="0062380D"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hAnsi="Times New Roman"/>
          <w:color w:val="000000" w:themeColor="text1"/>
          <w:sz w:val="16"/>
          <w:szCs w:val="16"/>
        </w:rPr>
        <w:t>25 июня 1931 г. в материалах АГОС от сообщалось, что самолёт АНТ-2 сделал только один полёт, испытания пришлось прервать из-за течи масла. Да он был уже и не нужен – разворачивался серийный выпуск трехмоторного 9-местного АНТ-9 со значительно лучшими характеристиками (21472).</w:t>
      </w:r>
    </w:p>
    <w:p w14:paraId="0C8F4473" w14:textId="77777777" w:rsidR="0062380D" w:rsidRPr="005E779E" w:rsidRDefault="0062380D"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55F3DD5" w14:textId="77777777" w:rsidR="0062380D" w:rsidRPr="005E779E" w:rsidRDefault="0062380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июня 1931 г.</w:t>
      </w:r>
    </w:p>
    <w:p w14:paraId="31D3B69F" w14:textId="77777777" w:rsidR="0062380D" w:rsidRPr="005E779E" w:rsidRDefault="0062380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ПИСЬМО ЗАМЕСТИТЕЛЯ НАРОДНОГО КОМИССАРА ИНОСТРАННЫХ ДЕЛ СССР Н.Н. КРЕСТИНСКОГО ПРЕДСЕДАТЕЛЮ РВС СССР К.Е. ВОРОШИЛОВУ И ПРЕДСЕДАТЕЛЮ КОЛЛЕГИИ ОГПУ В.Р. МЕНЖИНСКОМУ О БЕСПОСАДОЧНОМ ПЕРЕЛЕТЕ АМЕРИКАНСКОГО САМОЛЕТА ПО МАРШРУТУ НЬЮ-ЙОРК - МОСКВА</w:t>
      </w:r>
    </w:p>
    <w:p w14:paraId="2211CBFA" w14:textId="77777777" w:rsidR="0062380D" w:rsidRPr="005E779E" w:rsidRDefault="0062380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июня 1931 г.</w:t>
      </w:r>
    </w:p>
    <w:p w14:paraId="1FCB03F9" w14:textId="77777777" w:rsidR="0062380D" w:rsidRPr="005E779E" w:rsidRDefault="0062380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Секретно</w:t>
      </w:r>
    </w:p>
    <w:p w14:paraId="4A642C3E" w14:textId="77777777" w:rsidR="0062380D" w:rsidRPr="005E779E" w:rsidRDefault="0062380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срочно.</w:t>
      </w:r>
    </w:p>
    <w:p w14:paraId="000216A0" w14:textId="77777777" w:rsidR="0062380D" w:rsidRPr="005E779E" w:rsidRDefault="0062380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 ПОЛЕТЕ американцев Рессела Н. Бордмана и Джона Поланса.</w:t>
      </w:r>
    </w:p>
    <w:p w14:paraId="6B2AB244" w14:textId="77777777" w:rsidR="0062380D" w:rsidRPr="005E779E" w:rsidRDefault="0062380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Эти летчики обратились через т. Скиирского за разрешением на перелет по маршруту Нью-Йорк — Москва (без посадки в Европе) и затем в Японию.</w:t>
      </w:r>
    </w:p>
    <w:p w14:paraId="6005D91B" w14:textId="77777777" w:rsidR="0062380D" w:rsidRPr="005E779E" w:rsidRDefault="0062380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Цель: побить мировой рекорд беспосадочного полета на большую дистанцию. Готовы стартовать в ближайшие дни.</w:t>
      </w:r>
    </w:p>
    <w:p w14:paraId="5B66D8EB" w14:textId="77777777" w:rsidR="0062380D" w:rsidRPr="005E779E" w:rsidRDefault="0062380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Ведомства запрошены 19 июня. Военвед вернул запрос без рассмотрения.</w:t>
      </w:r>
    </w:p>
    <w:p w14:paraId="139C8FBB" w14:textId="77777777" w:rsidR="0062380D" w:rsidRPr="005E779E" w:rsidRDefault="0062380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ОГПУ не ответило. ВОГВФ не возражает против полета по маршруту Дерулюфта и далее существующими маршрутами на восток с вылетом через границу уст. Маньчжурия.</w:t>
      </w:r>
    </w:p>
    <w:p w14:paraId="7842C309" w14:textId="77777777" w:rsidR="0062380D" w:rsidRPr="005E779E" w:rsidRDefault="0062380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Предлагаю полет разрешить. Оформление въезда (виза) совершить в Москве, т.к. наших консульств в западном полушарии не имеется.</w:t>
      </w:r>
    </w:p>
    <w:p w14:paraId="344122C3" w14:textId="77777777" w:rsidR="0062380D" w:rsidRPr="005E779E" w:rsidRDefault="0062380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наркома КРЕСТИНСКИЙ</w:t>
      </w:r>
    </w:p>
    <w:p w14:paraId="41DF5B4C" w14:textId="77777777" w:rsidR="0062380D" w:rsidRPr="005E779E" w:rsidRDefault="0062380D" w:rsidP="000B7A6C">
      <w:pPr>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 xml:space="preserve">АВП РФ. Ф. 0129. </w:t>
      </w:r>
      <w:r w:rsidRPr="005E779E">
        <w:rPr>
          <w:rFonts w:ascii="Times New Roman" w:hAnsi="Times New Roman"/>
          <w:color w:val="000000" w:themeColor="text1"/>
          <w:sz w:val="16"/>
          <w:szCs w:val="16"/>
          <w:lang w:val="en-US"/>
        </w:rPr>
        <w:t xml:space="preserve">On. 14. </w:t>
      </w:r>
      <w:r w:rsidRPr="005E779E">
        <w:rPr>
          <w:rFonts w:ascii="Times New Roman" w:hAnsi="Times New Roman"/>
          <w:color w:val="000000" w:themeColor="text1"/>
          <w:sz w:val="16"/>
          <w:szCs w:val="16"/>
        </w:rPr>
        <w:t>Л</w:t>
      </w:r>
      <w:r w:rsidRPr="005E779E">
        <w:rPr>
          <w:rFonts w:ascii="Times New Roman" w:hAnsi="Times New Roman"/>
          <w:color w:val="000000" w:themeColor="text1"/>
          <w:sz w:val="16"/>
          <w:szCs w:val="16"/>
          <w:lang w:val="en-US"/>
        </w:rPr>
        <w:t xml:space="preserve">. 127. </w:t>
      </w:r>
      <w:r w:rsidRPr="005E779E">
        <w:rPr>
          <w:rFonts w:ascii="Times New Roman" w:hAnsi="Times New Roman"/>
          <w:color w:val="000000" w:themeColor="text1"/>
          <w:sz w:val="16"/>
          <w:szCs w:val="16"/>
        </w:rPr>
        <w:t>Д</w:t>
      </w:r>
      <w:r w:rsidRPr="005E779E">
        <w:rPr>
          <w:rFonts w:ascii="Times New Roman" w:hAnsi="Times New Roman"/>
          <w:color w:val="000000" w:themeColor="text1"/>
          <w:sz w:val="16"/>
          <w:szCs w:val="16"/>
          <w:lang w:val="en-US"/>
        </w:rPr>
        <w:t xml:space="preserve">. 325. </w:t>
      </w:r>
      <w:r w:rsidRPr="005E779E">
        <w:rPr>
          <w:rFonts w:ascii="Times New Roman" w:hAnsi="Times New Roman"/>
          <w:color w:val="000000" w:themeColor="text1"/>
          <w:sz w:val="16"/>
          <w:szCs w:val="16"/>
        </w:rPr>
        <w:t>Л</w:t>
      </w:r>
      <w:r w:rsidRPr="005E779E">
        <w:rPr>
          <w:rFonts w:ascii="Times New Roman" w:hAnsi="Times New Roman"/>
          <w:color w:val="000000" w:themeColor="text1"/>
          <w:sz w:val="16"/>
          <w:szCs w:val="16"/>
          <w:lang w:val="en-US"/>
        </w:rPr>
        <w:t xml:space="preserve">. 7. </w:t>
      </w:r>
      <w:r w:rsidRPr="005E779E">
        <w:rPr>
          <w:rFonts w:ascii="Times New Roman" w:hAnsi="Times New Roman"/>
          <w:color w:val="000000" w:themeColor="text1"/>
          <w:sz w:val="16"/>
          <w:szCs w:val="16"/>
        </w:rPr>
        <w:t>Копия</w:t>
      </w:r>
      <w:r w:rsidRPr="005E779E">
        <w:rPr>
          <w:rFonts w:ascii="Times New Roman" w:hAnsi="Times New Roman"/>
          <w:color w:val="000000" w:themeColor="text1"/>
          <w:sz w:val="16"/>
          <w:szCs w:val="16"/>
          <w:lang w:val="en-US"/>
        </w:rPr>
        <w:t xml:space="preserve"> (20882).</w:t>
      </w:r>
    </w:p>
    <w:p w14:paraId="30BE3EE3" w14:textId="77777777" w:rsidR="0062380D" w:rsidRPr="005E779E" w:rsidRDefault="0062380D" w:rsidP="000B7A6C">
      <w:pPr>
        <w:spacing w:after="0" w:line="240" w:lineRule="auto"/>
        <w:jc w:val="both"/>
        <w:rPr>
          <w:rFonts w:ascii="Times New Roman" w:hAnsi="Times New Roman"/>
          <w:color w:val="000000" w:themeColor="text1"/>
          <w:sz w:val="16"/>
          <w:szCs w:val="16"/>
          <w:lang w:val="en-US"/>
        </w:rPr>
      </w:pPr>
    </w:p>
    <w:p w14:paraId="0D7F60DC" w14:textId="77777777" w:rsidR="0062380D" w:rsidRPr="005E779E" w:rsidRDefault="0062380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июня 1931 г.</w:t>
      </w:r>
    </w:p>
    <w:p w14:paraId="6AB39BF4" w14:textId="77777777" w:rsidR="0062380D" w:rsidRPr="005E779E" w:rsidRDefault="0062380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ПИСЬМО ЗАМЕСТИТЕЛЯ НАРОДНОГО КОМИССАРА ИНОСТРАННЫХ ДЕЛ СССР Н.Н. КРЕСТИНСКОГО ПРЕДСЕДАТЕЛЮ РВС СССР К.Е. ВОРОШИЛОВУ И ПРЕДСЕДАТЕЛЮ КОЛЛЕГИИ ОГПУ В.Р. МЕНЖИНСКОМУ О РАЗРЕШЕНИИ БЕСПОСАДОЧНОГО ПЕРЕЛЕТА СИЭТЛ - ТОКИО ЧЕРЕЗ СОВЕТСКУЮ ТЕРРИТОРИЮ АМЕРИКАНСКИМ ЛЕТЧИКАМ Р. РОББИНСУ И Г.С. ДЖОНСУ</w:t>
      </w:r>
    </w:p>
    <w:p w14:paraId="0772DD26" w14:textId="77777777" w:rsidR="0062380D" w:rsidRPr="005E779E" w:rsidRDefault="0062380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июня 1931 г.</w:t>
      </w:r>
    </w:p>
    <w:p w14:paraId="5C9AB7CB" w14:textId="77777777" w:rsidR="0062380D" w:rsidRPr="005E779E" w:rsidRDefault="0062380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Секретно</w:t>
      </w:r>
    </w:p>
    <w:p w14:paraId="3689E168" w14:textId="77777777" w:rsidR="0062380D" w:rsidRPr="005E779E" w:rsidRDefault="0062380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срочно</w:t>
      </w:r>
    </w:p>
    <w:p w14:paraId="62991384" w14:textId="77777777" w:rsidR="0062380D" w:rsidRPr="005E779E" w:rsidRDefault="0062380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Летчики намереваются в июне, в самые ближайшие дни, совершить беспосадочный полет из Сиэтла в Токио через мыс Дежнева и мыс Лопатка (Камчатка). Оговаривают возможность вынужденной посадки в случае шторма. Ни радио, ни оружия, ни камеры с собой не берут.</w:t>
      </w:r>
    </w:p>
    <w:p w14:paraId="258EACC2" w14:textId="77777777" w:rsidR="0062380D" w:rsidRPr="005E779E" w:rsidRDefault="0062380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Ведомства запрошены 18 июня. Военвед вернул запрос без рассмотрения.</w:t>
      </w:r>
    </w:p>
    <w:p w14:paraId="6D866757" w14:textId="77777777" w:rsidR="0062380D" w:rsidRPr="005E779E" w:rsidRDefault="0062380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ОГПУ заключения не дало. ВО ГВФ не возражает, оговаривая невозможность оказания технической помощи перелету поданному маршруту.</w:t>
      </w:r>
    </w:p>
    <w:p w14:paraId="58375EC7" w14:textId="77777777" w:rsidR="0062380D" w:rsidRPr="005E779E" w:rsidRDefault="0062380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Предлагаю полет разрешить.</w:t>
      </w:r>
    </w:p>
    <w:p w14:paraId="5F3BE0F7" w14:textId="77777777" w:rsidR="0062380D" w:rsidRPr="005E779E" w:rsidRDefault="0062380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наркома КРЕСТИНСКИЙ</w:t>
      </w:r>
    </w:p>
    <w:p w14:paraId="17325A6B" w14:textId="77777777" w:rsidR="0062380D" w:rsidRPr="005E779E" w:rsidRDefault="0062380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АВП</w:t>
      </w:r>
      <w:r w:rsidRPr="005E779E">
        <w:rPr>
          <w:rFonts w:ascii="Times New Roman" w:hAnsi="Times New Roman"/>
          <w:color w:val="000000" w:themeColor="text1"/>
          <w:sz w:val="16"/>
          <w:szCs w:val="16"/>
          <w:lang w:val="en-US"/>
        </w:rPr>
        <w:t xml:space="preserve"> </w:t>
      </w:r>
      <w:r w:rsidRPr="005E779E">
        <w:rPr>
          <w:rFonts w:ascii="Times New Roman" w:hAnsi="Times New Roman"/>
          <w:color w:val="000000" w:themeColor="text1"/>
          <w:sz w:val="16"/>
          <w:szCs w:val="16"/>
        </w:rPr>
        <w:t>РФ</w:t>
      </w:r>
      <w:r w:rsidRPr="005E779E">
        <w:rPr>
          <w:rFonts w:ascii="Times New Roman" w:hAnsi="Times New Roman"/>
          <w:color w:val="000000" w:themeColor="text1"/>
          <w:sz w:val="16"/>
          <w:szCs w:val="16"/>
          <w:lang w:val="en-US"/>
        </w:rPr>
        <w:t xml:space="preserve">. </w:t>
      </w:r>
      <w:r w:rsidRPr="005E779E">
        <w:rPr>
          <w:rFonts w:ascii="Times New Roman" w:hAnsi="Times New Roman"/>
          <w:color w:val="000000" w:themeColor="text1"/>
          <w:sz w:val="16"/>
          <w:szCs w:val="16"/>
        </w:rPr>
        <w:t>Ф</w:t>
      </w:r>
      <w:r w:rsidRPr="005E779E">
        <w:rPr>
          <w:rFonts w:ascii="Times New Roman" w:hAnsi="Times New Roman"/>
          <w:color w:val="000000" w:themeColor="text1"/>
          <w:sz w:val="16"/>
          <w:szCs w:val="16"/>
          <w:lang w:val="en-US"/>
        </w:rPr>
        <w:t xml:space="preserve">. 0129. On. 14. </w:t>
      </w:r>
      <w:r w:rsidRPr="005E779E">
        <w:rPr>
          <w:rFonts w:ascii="Times New Roman" w:hAnsi="Times New Roman"/>
          <w:color w:val="000000" w:themeColor="text1"/>
          <w:sz w:val="16"/>
          <w:szCs w:val="16"/>
        </w:rPr>
        <w:t>П</w:t>
      </w:r>
      <w:r w:rsidRPr="005E779E">
        <w:rPr>
          <w:rFonts w:ascii="Times New Roman" w:hAnsi="Times New Roman"/>
          <w:color w:val="000000" w:themeColor="text1"/>
          <w:sz w:val="16"/>
          <w:szCs w:val="16"/>
          <w:lang w:val="en-US"/>
        </w:rPr>
        <w:t xml:space="preserve">. 127. </w:t>
      </w:r>
      <w:r w:rsidRPr="005E779E">
        <w:rPr>
          <w:rFonts w:ascii="Times New Roman" w:hAnsi="Times New Roman"/>
          <w:color w:val="000000" w:themeColor="text1"/>
          <w:sz w:val="16"/>
          <w:szCs w:val="16"/>
        </w:rPr>
        <w:t>Д</w:t>
      </w:r>
      <w:r w:rsidRPr="005E779E">
        <w:rPr>
          <w:rFonts w:ascii="Times New Roman" w:hAnsi="Times New Roman"/>
          <w:color w:val="000000" w:themeColor="text1"/>
          <w:sz w:val="16"/>
          <w:szCs w:val="16"/>
          <w:lang w:val="en-US"/>
        </w:rPr>
        <w:t xml:space="preserve">. 385. </w:t>
      </w:r>
      <w:r w:rsidRPr="005E779E">
        <w:rPr>
          <w:rFonts w:ascii="Times New Roman" w:hAnsi="Times New Roman"/>
          <w:color w:val="000000" w:themeColor="text1"/>
          <w:sz w:val="16"/>
          <w:szCs w:val="16"/>
        </w:rPr>
        <w:t>Л</w:t>
      </w:r>
      <w:r w:rsidRPr="00AE1636">
        <w:rPr>
          <w:rFonts w:ascii="Times New Roman" w:hAnsi="Times New Roman"/>
          <w:color w:val="000000" w:themeColor="text1"/>
          <w:sz w:val="16"/>
          <w:szCs w:val="16"/>
          <w:lang w:val="en-US"/>
        </w:rPr>
        <w:t xml:space="preserve">. 43. </w:t>
      </w:r>
      <w:r w:rsidRPr="005E779E">
        <w:rPr>
          <w:rFonts w:ascii="Times New Roman" w:hAnsi="Times New Roman"/>
          <w:color w:val="000000" w:themeColor="text1"/>
          <w:sz w:val="16"/>
          <w:szCs w:val="16"/>
        </w:rPr>
        <w:t>Копия (20882).</w:t>
      </w:r>
    </w:p>
    <w:p w14:paraId="01C389ED" w14:textId="77777777" w:rsidR="0062380D" w:rsidRPr="005E779E" w:rsidRDefault="0062380D" w:rsidP="000B7A6C">
      <w:pPr>
        <w:spacing w:after="0" w:line="240" w:lineRule="auto"/>
        <w:jc w:val="both"/>
        <w:rPr>
          <w:rFonts w:ascii="Times New Roman" w:hAnsi="Times New Roman"/>
          <w:color w:val="000000" w:themeColor="text1"/>
          <w:sz w:val="16"/>
          <w:szCs w:val="16"/>
        </w:rPr>
      </w:pPr>
    </w:p>
    <w:p w14:paraId="663AF221" w14:textId="77777777" w:rsidR="007D1305" w:rsidRPr="00142305" w:rsidRDefault="007D1305" w:rsidP="007D130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25 июня 1931 г. Политбюро вернулось к вопросу «О приравнении гражданского воздушного флота к важнейшим внеочередным объектам капитального строительства» (25172).</w:t>
      </w:r>
    </w:p>
    <w:p w14:paraId="7E67BC1E" w14:textId="77777777" w:rsidR="007D1305" w:rsidRPr="00142305" w:rsidRDefault="007D1305" w:rsidP="007D1305">
      <w:pPr>
        <w:spacing w:after="0" w:line="240" w:lineRule="auto"/>
        <w:jc w:val="both"/>
        <w:rPr>
          <w:rFonts w:ascii="Times New Roman" w:hAnsi="Times New Roman"/>
          <w:color w:val="0070C0"/>
          <w:sz w:val="16"/>
          <w:szCs w:val="16"/>
        </w:rPr>
      </w:pPr>
    </w:p>
    <w:p w14:paraId="3F8D61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июня 1931 в Москву прилетели американские летчики У.Пост и Г.Гети на Локхид Вега, которые выполняли кругосветный перелет и садились в Новосибирске, Иркутске, Благовещенске и Хабаровске (28 июня) (438,624).</w:t>
      </w:r>
    </w:p>
    <w:p w14:paraId="2DCF25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43FD11A" w14:textId="77777777" w:rsidR="00B602F8" w:rsidRPr="005E779E" w:rsidRDefault="00B602F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июня 1930 г. в Москву прилетели американские летчики У.Пост и г.Гетти, совершающие кругосветный перелет на самолете Локхид-"Вега». В дальнейшем полете американцы имели остановки в Новосибирске, Иркутске, Благовещенске и Хабаровске, куда прибыли 26 июня. Летчикам всюду оказывалась надлежащая помощь, благодаря чему им удалось установить рекорд скорости кругосветного перелета, закончив его за 8 суток 16 часов.</w:t>
      </w:r>
    </w:p>
    <w:p w14:paraId="1F458DA5" w14:textId="77777777" w:rsidR="00B602F8" w:rsidRPr="005E779E" w:rsidRDefault="00B602F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/ВВФ, 1931 № 9; "Самолет", 1931 № 7; «Известия Цик» за 27 июня 1931/ (23370).</w:t>
      </w:r>
    </w:p>
    <w:p w14:paraId="4A57AA14" w14:textId="77777777" w:rsidR="00B602F8" w:rsidRPr="005E779E" w:rsidRDefault="00B602F8" w:rsidP="000B7A6C">
      <w:pPr>
        <w:spacing w:after="0" w:line="240" w:lineRule="auto"/>
        <w:jc w:val="both"/>
        <w:rPr>
          <w:rFonts w:ascii="Times New Roman" w:hAnsi="Times New Roman"/>
          <w:color w:val="000000" w:themeColor="text1"/>
          <w:sz w:val="16"/>
          <w:szCs w:val="16"/>
        </w:rPr>
      </w:pPr>
    </w:p>
    <w:p w14:paraId="7ED10F13" w14:textId="77777777" w:rsidR="00877950"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353C37CD" w14:textId="77777777" w:rsidR="00877950" w:rsidRPr="005E779E" w:rsidRDefault="00877950"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2357C87" w14:textId="77777777" w:rsidR="00877950" w:rsidRPr="005E779E" w:rsidRDefault="00877950"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25 июня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Протокол заседания Политбюро ЦК ВКП(б) № 45. 2. О назначениях по Наркомвоенмору (Ворошилов). (Политбюро... Т. 2. С. 183) (12416).</w:t>
      </w:r>
    </w:p>
    <w:p w14:paraId="38F724B4" w14:textId="77777777" w:rsidR="00877950" w:rsidRPr="005E779E" w:rsidRDefault="00877950" w:rsidP="000B7A6C">
      <w:pPr>
        <w:spacing w:after="0" w:line="240" w:lineRule="auto"/>
        <w:jc w:val="both"/>
        <w:rPr>
          <w:rFonts w:ascii="Times New Roman" w:hAnsi="Times New Roman"/>
          <w:color w:val="000000" w:themeColor="text1"/>
          <w:sz w:val="16"/>
          <w:szCs w:val="16"/>
          <w:u w:color="002060"/>
        </w:rPr>
      </w:pPr>
    </w:p>
    <w:p w14:paraId="7C47E92D" w14:textId="77777777" w:rsidR="00E37213" w:rsidRPr="005E779E" w:rsidRDefault="00E372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июня 1931</w:t>
      </w:r>
    </w:p>
    <w:p w14:paraId="6DC950BE" w14:textId="77777777" w:rsidR="00E37213" w:rsidRPr="005E779E" w:rsidRDefault="00E372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Протокол № 45 заседания Политбюро ЦК ВКП(б) от 25 июня 1931 года</w:t>
      </w:r>
    </w:p>
    <w:p w14:paraId="5F2B6A5B" w14:textId="77777777" w:rsidR="00E37213" w:rsidRPr="005E779E" w:rsidRDefault="00E372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Заседание Политбюро ЦК ВКП(б) от 25-го июня 1931 года.</w:t>
      </w:r>
    </w:p>
    <w:p w14:paraId="1F9BFD1A" w14:textId="77777777" w:rsidR="00E37213" w:rsidRPr="005E779E" w:rsidRDefault="00E372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 2: О назначениях по Наркомвоенмору</w:t>
      </w:r>
    </w:p>
    <w:p w14:paraId="3E499255" w14:textId="77777777" w:rsidR="00E37213" w:rsidRPr="005E779E" w:rsidRDefault="00E372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(Ворошилов).</w:t>
      </w:r>
    </w:p>
    <w:p w14:paraId="277F9016" w14:textId="77777777" w:rsidR="00E37213" w:rsidRPr="005E779E" w:rsidRDefault="00E372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Освободить т. Муклевича от должности начальника морских сил РККА.</w:t>
      </w:r>
    </w:p>
    <w:p w14:paraId="63C76139" w14:textId="77777777" w:rsidR="00E37213" w:rsidRPr="005E779E" w:rsidRDefault="00E372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Назначить начальником морских сил РККА т. Орлова В. М.</w:t>
      </w:r>
    </w:p>
    <w:p w14:paraId="72E9C19D" w14:textId="77777777" w:rsidR="00E37213" w:rsidRPr="005E779E" w:rsidRDefault="00E372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Назначить т. Алксниса Я. И. начальником воздушных сил РККА.</w:t>
      </w:r>
    </w:p>
    <w:p w14:paraId="0CB5922F" w14:textId="77777777" w:rsidR="00E37213" w:rsidRPr="005E779E" w:rsidRDefault="00E372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Назначить т. Кожанова командующим Черноморским флотом.</w:t>
      </w:r>
    </w:p>
    <w:p w14:paraId="2CB5C927" w14:textId="77777777" w:rsidR="00E37213" w:rsidRPr="005E779E" w:rsidRDefault="00E372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д) Назначить т. Левичева заместителем начальника Штаба РККА.</w:t>
      </w:r>
    </w:p>
    <w:p w14:paraId="54F299DC" w14:textId="77777777" w:rsidR="00E37213" w:rsidRPr="005E779E" w:rsidRDefault="00E37213" w:rsidP="000B7A6C">
      <w:pPr>
        <w:spacing w:after="0" w:line="240" w:lineRule="auto"/>
        <w:jc w:val="both"/>
        <w:rPr>
          <w:rFonts w:ascii="Times New Roman" w:hAnsi="Times New Roman"/>
          <w:color w:val="000000" w:themeColor="text1"/>
          <w:sz w:val="16"/>
          <w:szCs w:val="16"/>
        </w:rPr>
      </w:pPr>
    </w:p>
    <w:p w14:paraId="1CB0642E" w14:textId="77777777" w:rsidR="0062380D" w:rsidRPr="005E779E" w:rsidRDefault="0062380D"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35FFF39B" w14:textId="77777777" w:rsidR="0062380D" w:rsidRPr="005E779E" w:rsidRDefault="0062380D"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B2BD446" w14:textId="04EB9D0E" w:rsidR="0062380D" w:rsidRPr="005E779E" w:rsidRDefault="0062380D" w:rsidP="000B7A6C">
      <w:pPr>
        <w:spacing w:after="0" w:line="240" w:lineRule="auto"/>
        <w:jc w:val="both"/>
        <w:rPr>
          <w:rFonts w:ascii="Times New Roman" w:hAnsi="Times New Roman"/>
          <w:color w:val="000000" w:themeColor="text1"/>
          <w:sz w:val="16"/>
          <w:szCs w:val="16"/>
          <w:shd w:val="clear" w:color="auto" w:fill="FFFFFF"/>
        </w:rPr>
      </w:pPr>
      <w:r w:rsidRPr="005E779E">
        <w:rPr>
          <w:rFonts w:ascii="Times New Roman" w:hAnsi="Times New Roman"/>
          <w:color w:val="000000" w:themeColor="text1"/>
          <w:sz w:val="16"/>
          <w:szCs w:val="16"/>
          <w:shd w:val="clear" w:color="auto" w:fill="FFFFFF"/>
        </w:rPr>
        <w:t>25 июня 1931 в 17.30 американцы Вили Пост (</w:t>
      </w:r>
      <w:r w:rsidRPr="005E779E">
        <w:rPr>
          <w:rFonts w:ascii="Times New Roman" w:hAnsi="Times New Roman"/>
          <w:color w:val="000000" w:themeColor="text1"/>
          <w:sz w:val="16"/>
          <w:szCs w:val="16"/>
          <w:shd w:val="clear" w:color="auto" w:fill="FFFFFF"/>
          <w:lang w:val="en-US"/>
        </w:rPr>
        <w:t>Wiley</w:t>
      </w:r>
      <w:r w:rsidRPr="005E779E">
        <w:rPr>
          <w:rFonts w:ascii="Times New Roman" w:hAnsi="Times New Roman"/>
          <w:color w:val="000000" w:themeColor="text1"/>
          <w:sz w:val="16"/>
          <w:szCs w:val="16"/>
          <w:shd w:val="clear" w:color="auto" w:fill="FFFFFF"/>
        </w:rPr>
        <w:t xml:space="preserve"> </w:t>
      </w:r>
      <w:r w:rsidRPr="005E779E">
        <w:rPr>
          <w:rFonts w:ascii="Times New Roman" w:hAnsi="Times New Roman"/>
          <w:color w:val="000000" w:themeColor="text1"/>
          <w:sz w:val="16"/>
          <w:szCs w:val="16"/>
          <w:shd w:val="clear" w:color="auto" w:fill="FFFFFF"/>
          <w:lang w:val="en-US"/>
        </w:rPr>
        <w:t>Hardeman</w:t>
      </w:r>
      <w:r w:rsidRPr="005E779E">
        <w:rPr>
          <w:rFonts w:ascii="Times New Roman" w:hAnsi="Times New Roman"/>
          <w:color w:val="000000" w:themeColor="text1"/>
          <w:sz w:val="16"/>
          <w:szCs w:val="16"/>
          <w:shd w:val="clear" w:color="auto" w:fill="FFFFFF"/>
        </w:rPr>
        <w:t xml:space="preserve"> </w:t>
      </w:r>
      <w:r w:rsidRPr="005E779E">
        <w:rPr>
          <w:rFonts w:ascii="Times New Roman" w:hAnsi="Times New Roman"/>
          <w:color w:val="000000" w:themeColor="text1"/>
          <w:sz w:val="16"/>
          <w:szCs w:val="16"/>
          <w:shd w:val="clear" w:color="auto" w:fill="FFFFFF"/>
          <w:lang w:val="en-US"/>
        </w:rPr>
        <w:t>Post</w:t>
      </w:r>
      <w:r w:rsidRPr="005E779E">
        <w:rPr>
          <w:rFonts w:ascii="Times New Roman" w:hAnsi="Times New Roman"/>
          <w:color w:val="000000" w:themeColor="text1"/>
          <w:sz w:val="16"/>
          <w:szCs w:val="16"/>
          <w:shd w:val="clear" w:color="auto" w:fill="FFFFFF"/>
        </w:rPr>
        <w:t>) и аэронавигатора Гарольд Гэтти (</w:t>
      </w:r>
      <w:r w:rsidRPr="005E779E">
        <w:rPr>
          <w:rFonts w:ascii="Times New Roman" w:hAnsi="Times New Roman"/>
          <w:color w:val="000000" w:themeColor="text1"/>
          <w:sz w:val="16"/>
          <w:szCs w:val="16"/>
          <w:shd w:val="clear" w:color="auto" w:fill="FFFFFF"/>
          <w:lang w:val="en-US"/>
        </w:rPr>
        <w:t>Harold</w:t>
      </w:r>
      <w:r w:rsidRPr="005E779E">
        <w:rPr>
          <w:rFonts w:ascii="Times New Roman" w:hAnsi="Times New Roman"/>
          <w:color w:val="000000" w:themeColor="text1"/>
          <w:sz w:val="16"/>
          <w:szCs w:val="16"/>
          <w:shd w:val="clear" w:color="auto" w:fill="FFFFFF"/>
        </w:rPr>
        <w:t xml:space="preserve"> </w:t>
      </w:r>
      <w:r w:rsidRPr="005E779E">
        <w:rPr>
          <w:rFonts w:ascii="Times New Roman" w:hAnsi="Times New Roman"/>
          <w:color w:val="000000" w:themeColor="text1"/>
          <w:sz w:val="16"/>
          <w:szCs w:val="16"/>
          <w:shd w:val="clear" w:color="auto" w:fill="FFFFFF"/>
          <w:lang w:val="en-US"/>
        </w:rPr>
        <w:t>Charles</w:t>
      </w:r>
      <w:r w:rsidRPr="005E779E">
        <w:rPr>
          <w:rFonts w:ascii="Times New Roman" w:hAnsi="Times New Roman"/>
          <w:color w:val="000000" w:themeColor="text1"/>
          <w:sz w:val="16"/>
          <w:szCs w:val="16"/>
          <w:shd w:val="clear" w:color="auto" w:fill="FFFFFF"/>
        </w:rPr>
        <w:t xml:space="preserve"> </w:t>
      </w:r>
      <w:r w:rsidRPr="005E779E">
        <w:rPr>
          <w:rFonts w:ascii="Times New Roman" w:hAnsi="Times New Roman"/>
          <w:color w:val="000000" w:themeColor="text1"/>
          <w:sz w:val="16"/>
          <w:szCs w:val="16"/>
          <w:shd w:val="clear" w:color="auto" w:fill="FFFFFF"/>
          <w:lang w:val="en-US"/>
        </w:rPr>
        <w:t>Gatty</w:t>
      </w:r>
      <w:r w:rsidRPr="005E779E">
        <w:rPr>
          <w:rFonts w:ascii="Times New Roman" w:hAnsi="Times New Roman"/>
          <w:color w:val="000000" w:themeColor="text1"/>
          <w:sz w:val="16"/>
          <w:szCs w:val="16"/>
          <w:shd w:val="clear" w:color="auto" w:fill="FFFFFF"/>
        </w:rPr>
        <w:t>), которые с 23 июня по 1 июля в течение 8 дней 15 часов и 51 минуты на самолете «Локхид Вега» (</w:t>
      </w:r>
      <w:r w:rsidRPr="005E779E">
        <w:rPr>
          <w:rFonts w:ascii="Times New Roman" w:hAnsi="Times New Roman"/>
          <w:color w:val="000000" w:themeColor="text1"/>
          <w:sz w:val="16"/>
          <w:szCs w:val="16"/>
          <w:shd w:val="clear" w:color="auto" w:fill="FFFFFF"/>
          <w:lang w:val="en-US"/>
        </w:rPr>
        <w:t>Lockheed</w:t>
      </w:r>
      <w:r w:rsidRPr="005E779E">
        <w:rPr>
          <w:rFonts w:ascii="Times New Roman" w:hAnsi="Times New Roman"/>
          <w:color w:val="000000" w:themeColor="text1"/>
          <w:sz w:val="16"/>
          <w:szCs w:val="16"/>
          <w:shd w:val="clear" w:color="auto" w:fill="FFFFFF"/>
        </w:rPr>
        <w:t xml:space="preserve"> </w:t>
      </w:r>
      <w:r w:rsidRPr="005E779E">
        <w:rPr>
          <w:rFonts w:ascii="Times New Roman" w:hAnsi="Times New Roman"/>
          <w:color w:val="000000" w:themeColor="text1"/>
          <w:sz w:val="16"/>
          <w:szCs w:val="16"/>
          <w:shd w:val="clear" w:color="auto" w:fill="FFFFFF"/>
          <w:lang w:val="en-US"/>
        </w:rPr>
        <w:t>Vega</w:t>
      </w:r>
      <w:r w:rsidRPr="005E779E">
        <w:rPr>
          <w:rFonts w:ascii="Times New Roman" w:hAnsi="Times New Roman"/>
          <w:color w:val="000000" w:themeColor="text1"/>
          <w:sz w:val="16"/>
          <w:szCs w:val="16"/>
          <w:shd w:val="clear" w:color="auto" w:fill="FFFFFF"/>
        </w:rPr>
        <w:t>) с именем «Винни Мэй» (</w:t>
      </w:r>
      <w:r w:rsidRPr="005E779E">
        <w:rPr>
          <w:rFonts w:ascii="Times New Roman" w:hAnsi="Times New Roman"/>
          <w:color w:val="000000" w:themeColor="text1"/>
          <w:sz w:val="16"/>
          <w:szCs w:val="16"/>
          <w:shd w:val="clear" w:color="auto" w:fill="FFFFFF"/>
          <w:lang w:val="en-US"/>
        </w:rPr>
        <w:t>Winnie</w:t>
      </w:r>
      <w:r w:rsidRPr="005E779E">
        <w:rPr>
          <w:rFonts w:ascii="Times New Roman" w:hAnsi="Times New Roman"/>
          <w:color w:val="000000" w:themeColor="text1"/>
          <w:sz w:val="16"/>
          <w:szCs w:val="16"/>
          <w:shd w:val="clear" w:color="auto" w:fill="FFFFFF"/>
        </w:rPr>
        <w:t xml:space="preserve"> </w:t>
      </w:r>
      <w:r w:rsidRPr="005E779E">
        <w:rPr>
          <w:rFonts w:ascii="Times New Roman" w:hAnsi="Times New Roman"/>
          <w:color w:val="000000" w:themeColor="text1"/>
          <w:sz w:val="16"/>
          <w:szCs w:val="16"/>
          <w:shd w:val="clear" w:color="auto" w:fill="FFFFFF"/>
          <w:lang w:val="en-US"/>
        </w:rPr>
        <w:t>Mae</w:t>
      </w:r>
      <w:r w:rsidRPr="005E779E">
        <w:rPr>
          <w:rFonts w:ascii="Times New Roman" w:hAnsi="Times New Roman"/>
          <w:color w:val="000000" w:themeColor="text1"/>
          <w:sz w:val="16"/>
          <w:szCs w:val="16"/>
          <w:shd w:val="clear" w:color="auto" w:fill="FFFFFF"/>
        </w:rPr>
        <w:t>) на борту преодолели около 25000 км по маршруту: Нью-Йорк – Харбор-Грэйс (Ньюфаундленд) – Флинтшир (Англия) – Ганновер – Берлин – Москва – Новосибирск – Иркутск – Благовещенск – Хабаровск – Ном (Аляска) – Фербенкс (Аляска) – Эдмонтон (Канада) – Кливленд – Нью-Йорк</w:t>
      </w:r>
      <w:r w:rsidR="00C55C7E" w:rsidRPr="005E779E">
        <w:rPr>
          <w:rFonts w:ascii="Times New Roman" w:hAnsi="Times New Roman"/>
          <w:color w:val="000000" w:themeColor="text1"/>
          <w:sz w:val="16"/>
          <w:szCs w:val="16"/>
          <w:shd w:val="clear" w:color="auto" w:fill="FFFFFF"/>
        </w:rPr>
        <w:t xml:space="preserve"> </w:t>
      </w:r>
      <w:r w:rsidRPr="005E779E">
        <w:rPr>
          <w:rFonts w:ascii="Times New Roman" w:hAnsi="Times New Roman"/>
          <w:color w:val="000000" w:themeColor="text1"/>
          <w:sz w:val="16"/>
          <w:szCs w:val="16"/>
          <w:shd w:val="clear" w:color="auto" w:fill="FFFFFF"/>
        </w:rPr>
        <w:t>прилетели, в Москву. На следующий день они предполагали преодолеть без посадок расстояние от Москвы до Иркутска. Однако в 20.30 авиаторы были вынуждены приземлиться в Новосибирске. Здесь они не задержались и после четырехчасового отдыха в ночь на 27 июля вылетели в Иркутск, куда прибыли в 11 часов утра. После трехчасовой стоянки Пост и Гэтти вылетели в Благовещенск, куда они прибыли в 23 часа и в темноте благополучно сели на неизвестном им аэродроме.</w:t>
      </w:r>
    </w:p>
    <w:p w14:paraId="0B7B6C81" w14:textId="77777777" w:rsidR="0062380D" w:rsidRPr="005E779E" w:rsidRDefault="0062380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shd w:val="clear" w:color="auto" w:fill="FFFFFF"/>
        </w:rPr>
        <w:t>28 июля в 12 часов летчики вылетели из Благовещенска на Хабаровск, куда прибыли в тот же день в 15.30. 29 июня, после суток отдыха и тщательной подготовки самолета, в 19 часов американские авиаторы вылетели на Аляску. Самый сложный и рискованный участок маршрута через Охотское море и Тихий океан был выполнен блестяще (21438).</w:t>
      </w:r>
    </w:p>
    <w:p w14:paraId="18FE5A12" w14:textId="77777777" w:rsidR="0062380D" w:rsidRPr="005E779E" w:rsidRDefault="0062380D" w:rsidP="000B7A6C">
      <w:pPr>
        <w:spacing w:after="0" w:line="240" w:lineRule="auto"/>
        <w:jc w:val="both"/>
        <w:rPr>
          <w:rFonts w:ascii="Times New Roman" w:hAnsi="Times New Roman"/>
          <w:color w:val="000000" w:themeColor="text1"/>
          <w:sz w:val="16"/>
          <w:szCs w:val="16"/>
        </w:rPr>
      </w:pPr>
    </w:p>
    <w:p w14:paraId="7A056BB4"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3D01CFFA"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9947F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 июня 1931 УВВС сообщило КБ А.Н.Т. уточненные ТТТ к двухместному пушечному истребителю и он стал АНТ-29 или ДИП-1 (2072,76).</w:t>
      </w:r>
    </w:p>
    <w:p w14:paraId="20F642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A0344B0" w14:textId="77777777" w:rsidR="00086AB8" w:rsidRPr="005E779E" w:rsidRDefault="00086A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 июня 1931 г., ОКБ А.Н.Т. поступил первый вариант ТТТ к самолету ДИП—1. Окончательные же требования к пушечному истребителю с двумя моторами М—34 ВВС сформулиро</w:t>
      </w:r>
      <w:r w:rsidRPr="005E779E">
        <w:rPr>
          <w:rFonts w:ascii="Times New Roman" w:hAnsi="Times New Roman"/>
          <w:color w:val="000000" w:themeColor="text1"/>
          <w:sz w:val="16"/>
          <w:szCs w:val="16"/>
        </w:rPr>
        <w:softHyphen/>
        <w:t>вали только в конце декабря 1932 г.</w:t>
      </w:r>
    </w:p>
    <w:p w14:paraId="7A6EF4AB" w14:textId="77777777" w:rsidR="00086AB8" w:rsidRPr="005E779E" w:rsidRDefault="00086A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Задания несколько отличались друг от друга:</w:t>
      </w:r>
    </w:p>
    <w:tbl>
      <w:tblPr>
        <w:tblOverlap w:val="never"/>
        <w:tblW w:w="0" w:type="auto"/>
        <w:tblLayout w:type="fixed"/>
        <w:tblCellMar>
          <w:left w:w="10" w:type="dxa"/>
          <w:right w:w="10" w:type="dxa"/>
        </w:tblCellMar>
        <w:tblLook w:val="04A0" w:firstRow="1" w:lastRow="0" w:firstColumn="1" w:lastColumn="0" w:noHBand="0" w:noVBand="1"/>
      </w:tblPr>
      <w:tblGrid>
        <w:gridCol w:w="1445"/>
        <w:gridCol w:w="653"/>
        <w:gridCol w:w="682"/>
        <w:gridCol w:w="653"/>
      </w:tblGrid>
      <w:tr w:rsidR="00086AB8" w:rsidRPr="005E779E" w14:paraId="3949B8E4" w14:textId="77777777" w:rsidTr="004B2EA4">
        <w:trPr>
          <w:trHeight w:val="202"/>
        </w:trPr>
        <w:tc>
          <w:tcPr>
            <w:tcW w:w="1445" w:type="dxa"/>
            <w:vMerge w:val="restart"/>
          </w:tcPr>
          <w:p w14:paraId="0DAD3112" w14:textId="77777777" w:rsidR="00086AB8" w:rsidRPr="005E779E" w:rsidRDefault="00086A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Параметр</w:t>
            </w:r>
          </w:p>
        </w:tc>
        <w:tc>
          <w:tcPr>
            <w:tcW w:w="653" w:type="dxa"/>
            <w:vMerge w:val="restart"/>
            <w:vAlign w:val="bottom"/>
          </w:tcPr>
          <w:p w14:paraId="48403736" w14:textId="77777777" w:rsidR="00086AB8" w:rsidRPr="005E779E" w:rsidRDefault="00086A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26.07.30</w:t>
            </w:r>
          </w:p>
        </w:tc>
        <w:tc>
          <w:tcPr>
            <w:tcW w:w="1335" w:type="dxa"/>
            <w:gridSpan w:val="2"/>
          </w:tcPr>
          <w:p w14:paraId="6292EAE2" w14:textId="77777777" w:rsidR="00086AB8" w:rsidRPr="005E779E" w:rsidRDefault="00086A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ГТТ УВВС</w:t>
            </w:r>
          </w:p>
        </w:tc>
      </w:tr>
      <w:tr w:rsidR="00086AB8" w:rsidRPr="005E779E" w14:paraId="28606C81" w14:textId="77777777" w:rsidTr="004B2EA4">
        <w:trPr>
          <w:trHeight w:val="216"/>
        </w:trPr>
        <w:tc>
          <w:tcPr>
            <w:tcW w:w="1445" w:type="dxa"/>
            <w:vMerge/>
          </w:tcPr>
          <w:p w14:paraId="5C46E608" w14:textId="77777777" w:rsidR="00086AB8" w:rsidRPr="005E779E" w:rsidRDefault="00086AB8" w:rsidP="000B7A6C">
            <w:pPr>
              <w:spacing w:after="0" w:line="240" w:lineRule="auto"/>
              <w:jc w:val="both"/>
              <w:rPr>
                <w:rFonts w:ascii="Times New Roman" w:hAnsi="Times New Roman"/>
                <w:color w:val="000000" w:themeColor="text1"/>
                <w:sz w:val="16"/>
                <w:szCs w:val="16"/>
              </w:rPr>
            </w:pPr>
          </w:p>
        </w:tc>
        <w:tc>
          <w:tcPr>
            <w:tcW w:w="653" w:type="dxa"/>
            <w:vMerge/>
            <w:vAlign w:val="bottom"/>
          </w:tcPr>
          <w:p w14:paraId="26F3ADA1" w14:textId="77777777" w:rsidR="00086AB8" w:rsidRPr="005E779E" w:rsidRDefault="00086AB8" w:rsidP="000B7A6C">
            <w:pPr>
              <w:spacing w:after="0" w:line="240" w:lineRule="auto"/>
              <w:jc w:val="both"/>
              <w:rPr>
                <w:rFonts w:ascii="Times New Roman" w:hAnsi="Times New Roman"/>
                <w:color w:val="000000" w:themeColor="text1"/>
                <w:sz w:val="16"/>
                <w:szCs w:val="16"/>
              </w:rPr>
            </w:pPr>
          </w:p>
        </w:tc>
        <w:tc>
          <w:tcPr>
            <w:tcW w:w="682" w:type="dxa"/>
            <w:vAlign w:val="bottom"/>
          </w:tcPr>
          <w:p w14:paraId="6D58C277" w14:textId="77777777" w:rsidR="00086AB8" w:rsidRPr="005E779E" w:rsidRDefault="00086A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26.06.31</w:t>
            </w:r>
          </w:p>
        </w:tc>
        <w:tc>
          <w:tcPr>
            <w:tcW w:w="653" w:type="dxa"/>
            <w:vAlign w:val="bottom"/>
          </w:tcPr>
          <w:p w14:paraId="01294C4A" w14:textId="77777777" w:rsidR="00086AB8" w:rsidRPr="005E779E" w:rsidRDefault="00086A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26.12.32</w:t>
            </w:r>
          </w:p>
        </w:tc>
      </w:tr>
      <w:tr w:rsidR="00086AB8" w:rsidRPr="005E779E" w14:paraId="544A76FF" w14:textId="77777777" w:rsidTr="004B2EA4">
        <w:trPr>
          <w:trHeight w:val="451"/>
        </w:trPr>
        <w:tc>
          <w:tcPr>
            <w:tcW w:w="1445" w:type="dxa"/>
          </w:tcPr>
          <w:p w14:paraId="162F5E7E" w14:textId="77777777" w:rsidR="00086AB8" w:rsidRPr="005E779E" w:rsidRDefault="00086A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боевая</w:t>
            </w:r>
          </w:p>
          <w:p w14:paraId="3248CDA5" w14:textId="77777777" w:rsidR="00086AB8" w:rsidRPr="005E779E" w:rsidRDefault="00086A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высота, м</w:t>
            </w:r>
          </w:p>
        </w:tc>
        <w:tc>
          <w:tcPr>
            <w:tcW w:w="653" w:type="dxa"/>
            <w:vAlign w:val="bottom"/>
          </w:tcPr>
          <w:p w14:paraId="2E06082C" w14:textId="77777777" w:rsidR="00086AB8" w:rsidRPr="005E779E" w:rsidRDefault="00086A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682" w:type="dxa"/>
            <w:vAlign w:val="bottom"/>
          </w:tcPr>
          <w:p w14:paraId="38745E48" w14:textId="77777777" w:rsidR="00086AB8" w:rsidRPr="005E779E" w:rsidRDefault="00086A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653" w:type="dxa"/>
            <w:vAlign w:val="bottom"/>
          </w:tcPr>
          <w:p w14:paraId="6351CDA1" w14:textId="77777777" w:rsidR="00086AB8" w:rsidRPr="005E779E" w:rsidRDefault="00086A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r>
      <w:tr w:rsidR="00086AB8" w:rsidRPr="005E779E" w14:paraId="4E695304" w14:textId="77777777" w:rsidTr="004B2EA4">
        <w:trPr>
          <w:trHeight w:val="451"/>
        </w:trPr>
        <w:tc>
          <w:tcPr>
            <w:tcW w:w="1445" w:type="dxa"/>
            <w:vAlign w:val="center"/>
          </w:tcPr>
          <w:p w14:paraId="47C408DA" w14:textId="77777777" w:rsidR="00086AB8" w:rsidRPr="005E779E" w:rsidRDefault="00086A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полезная</w:t>
            </w:r>
          </w:p>
          <w:p w14:paraId="46946278" w14:textId="77777777" w:rsidR="00086AB8" w:rsidRPr="005E779E" w:rsidRDefault="00086A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нагрузка, кг</w:t>
            </w:r>
          </w:p>
        </w:tc>
        <w:tc>
          <w:tcPr>
            <w:tcW w:w="653" w:type="dxa"/>
            <w:vAlign w:val="bottom"/>
          </w:tcPr>
          <w:p w14:paraId="4592762D" w14:textId="77777777" w:rsidR="00086AB8" w:rsidRPr="005E779E" w:rsidRDefault="00086A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1115</w:t>
            </w:r>
          </w:p>
        </w:tc>
        <w:tc>
          <w:tcPr>
            <w:tcW w:w="682" w:type="dxa"/>
            <w:vAlign w:val="bottom"/>
          </w:tcPr>
          <w:p w14:paraId="1ECC7B5C" w14:textId="77777777" w:rsidR="00086AB8" w:rsidRPr="005E779E" w:rsidRDefault="00086A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653" w:type="dxa"/>
            <w:vAlign w:val="bottom"/>
          </w:tcPr>
          <w:p w14:paraId="25A53830" w14:textId="77777777" w:rsidR="00086AB8" w:rsidRPr="005E779E" w:rsidRDefault="00086A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1180</w:t>
            </w:r>
          </w:p>
        </w:tc>
      </w:tr>
      <w:tr w:rsidR="00086AB8" w:rsidRPr="005E779E" w14:paraId="481388A9" w14:textId="77777777" w:rsidTr="004B2EA4">
        <w:trPr>
          <w:trHeight w:val="432"/>
        </w:trPr>
        <w:tc>
          <w:tcPr>
            <w:tcW w:w="1445" w:type="dxa"/>
          </w:tcPr>
          <w:p w14:paraId="39A2A887" w14:textId="77777777" w:rsidR="00086AB8" w:rsidRPr="005E779E" w:rsidRDefault="00086A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дальность</w:t>
            </w:r>
          </w:p>
          <w:p w14:paraId="30282859" w14:textId="77777777" w:rsidR="00086AB8" w:rsidRPr="005E779E" w:rsidRDefault="00086A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полета, км</w:t>
            </w:r>
          </w:p>
        </w:tc>
        <w:tc>
          <w:tcPr>
            <w:tcW w:w="653" w:type="dxa"/>
            <w:vAlign w:val="bottom"/>
          </w:tcPr>
          <w:p w14:paraId="0FA0A7FD" w14:textId="77777777" w:rsidR="00086AB8" w:rsidRPr="005E779E" w:rsidRDefault="00086A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w:t>
            </w:r>
          </w:p>
        </w:tc>
        <w:tc>
          <w:tcPr>
            <w:tcW w:w="682" w:type="dxa"/>
            <w:vAlign w:val="bottom"/>
          </w:tcPr>
          <w:p w14:paraId="21595D98" w14:textId="77777777" w:rsidR="00086AB8" w:rsidRPr="005E779E" w:rsidRDefault="00086A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w:t>
            </w:r>
          </w:p>
        </w:tc>
        <w:tc>
          <w:tcPr>
            <w:tcW w:w="653" w:type="dxa"/>
            <w:vAlign w:val="bottom"/>
          </w:tcPr>
          <w:p w14:paraId="7C684B09" w14:textId="77777777" w:rsidR="00086AB8" w:rsidRPr="005E779E" w:rsidRDefault="00086A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w:t>
            </w:r>
          </w:p>
        </w:tc>
      </w:tr>
      <w:tr w:rsidR="00086AB8" w:rsidRPr="005E779E" w14:paraId="5261DB79" w14:textId="77777777" w:rsidTr="004B2EA4">
        <w:trPr>
          <w:trHeight w:val="446"/>
        </w:trPr>
        <w:tc>
          <w:tcPr>
            <w:tcW w:w="1445" w:type="dxa"/>
            <w:vAlign w:val="center"/>
          </w:tcPr>
          <w:p w14:paraId="306EA6EB" w14:textId="77777777" w:rsidR="00086AB8" w:rsidRPr="005E779E" w:rsidRDefault="00086A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скорость</w:t>
            </w:r>
          </w:p>
          <w:p w14:paraId="200651F3" w14:textId="77777777" w:rsidR="00086AB8" w:rsidRPr="005E779E" w:rsidRDefault="00086A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 км/ч</w:t>
            </w:r>
          </w:p>
        </w:tc>
        <w:tc>
          <w:tcPr>
            <w:tcW w:w="653" w:type="dxa"/>
            <w:vAlign w:val="bottom"/>
          </w:tcPr>
          <w:p w14:paraId="2D82A32E" w14:textId="77777777" w:rsidR="00086AB8" w:rsidRPr="005E779E" w:rsidRDefault="00086A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682" w:type="dxa"/>
            <w:vAlign w:val="bottom"/>
          </w:tcPr>
          <w:p w14:paraId="07BAF5A1" w14:textId="77777777" w:rsidR="00086AB8" w:rsidRPr="005E779E" w:rsidRDefault="00086A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350</w:t>
            </w:r>
          </w:p>
        </w:tc>
        <w:tc>
          <w:tcPr>
            <w:tcW w:w="653" w:type="dxa"/>
            <w:vAlign w:val="bottom"/>
          </w:tcPr>
          <w:p w14:paraId="2A6DD3C4" w14:textId="77777777" w:rsidR="00086AB8" w:rsidRPr="005E779E" w:rsidRDefault="00086A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086AB8" w:rsidRPr="005E779E" w14:paraId="13300FE7" w14:textId="77777777" w:rsidTr="004B2EA4">
        <w:trPr>
          <w:trHeight w:val="432"/>
        </w:trPr>
        <w:tc>
          <w:tcPr>
            <w:tcW w:w="1445" w:type="dxa"/>
          </w:tcPr>
          <w:p w14:paraId="0F2D7F8F" w14:textId="77777777" w:rsidR="00086AB8" w:rsidRPr="005E779E" w:rsidRDefault="00086A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высоте</w:t>
            </w:r>
          </w:p>
          <w:p w14:paraId="5F83592E" w14:textId="77777777" w:rsidR="00086AB8" w:rsidRPr="005E779E" w:rsidRDefault="00086A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 м, км/ч</w:t>
            </w:r>
          </w:p>
        </w:tc>
        <w:tc>
          <w:tcPr>
            <w:tcW w:w="653" w:type="dxa"/>
            <w:vAlign w:val="bottom"/>
          </w:tcPr>
          <w:p w14:paraId="4D011772" w14:textId="77777777" w:rsidR="00086AB8" w:rsidRPr="005E779E" w:rsidRDefault="00086A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250</w:t>
            </w:r>
          </w:p>
        </w:tc>
        <w:tc>
          <w:tcPr>
            <w:tcW w:w="682" w:type="dxa"/>
            <w:vAlign w:val="bottom"/>
          </w:tcPr>
          <w:p w14:paraId="3DED532C" w14:textId="77777777" w:rsidR="00086AB8" w:rsidRPr="005E779E" w:rsidRDefault="00086A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653" w:type="dxa"/>
            <w:vAlign w:val="bottom"/>
          </w:tcPr>
          <w:p w14:paraId="549C81E5" w14:textId="77777777" w:rsidR="00086AB8" w:rsidRPr="005E779E" w:rsidRDefault="00086A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325</w:t>
            </w:r>
          </w:p>
        </w:tc>
      </w:tr>
      <w:tr w:rsidR="00086AB8" w:rsidRPr="005E779E" w14:paraId="161AB597" w14:textId="77777777" w:rsidTr="004B2EA4">
        <w:trPr>
          <w:trHeight w:val="437"/>
        </w:trPr>
        <w:tc>
          <w:tcPr>
            <w:tcW w:w="1445" w:type="dxa"/>
          </w:tcPr>
          <w:p w14:paraId="35DEBF00" w14:textId="77777777" w:rsidR="00086AB8" w:rsidRPr="005E779E" w:rsidRDefault="00086A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практический потолок, м</w:t>
            </w:r>
          </w:p>
        </w:tc>
        <w:tc>
          <w:tcPr>
            <w:tcW w:w="653" w:type="dxa"/>
            <w:vAlign w:val="bottom"/>
          </w:tcPr>
          <w:p w14:paraId="3D5231AD" w14:textId="77777777" w:rsidR="00086AB8" w:rsidRPr="005E779E" w:rsidRDefault="00086A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682" w:type="dxa"/>
            <w:vAlign w:val="bottom"/>
          </w:tcPr>
          <w:p w14:paraId="1548890D" w14:textId="77777777" w:rsidR="00086AB8" w:rsidRPr="005E779E" w:rsidRDefault="00086A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8000</w:t>
            </w:r>
          </w:p>
        </w:tc>
        <w:tc>
          <w:tcPr>
            <w:tcW w:w="653" w:type="dxa"/>
            <w:vAlign w:val="bottom"/>
          </w:tcPr>
          <w:p w14:paraId="1ABE6AFA" w14:textId="77777777" w:rsidR="00086AB8" w:rsidRPr="005E779E" w:rsidRDefault="00086A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8000</w:t>
            </w:r>
          </w:p>
        </w:tc>
      </w:tr>
      <w:tr w:rsidR="00086AB8" w:rsidRPr="005E779E" w14:paraId="31F4AEF9" w14:textId="77777777" w:rsidTr="004B2EA4">
        <w:trPr>
          <w:trHeight w:val="432"/>
        </w:trPr>
        <w:tc>
          <w:tcPr>
            <w:tcW w:w="1445" w:type="dxa"/>
            <w:vAlign w:val="bottom"/>
          </w:tcPr>
          <w:p w14:paraId="19B5213F" w14:textId="77777777" w:rsidR="00086AB8" w:rsidRPr="005E779E" w:rsidRDefault="00086A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скорость</w:t>
            </w:r>
          </w:p>
          <w:p w14:paraId="54C93AFD" w14:textId="77777777" w:rsidR="00086AB8" w:rsidRPr="005E779E" w:rsidRDefault="00086A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посадочная, км/ч</w:t>
            </w:r>
          </w:p>
        </w:tc>
        <w:tc>
          <w:tcPr>
            <w:tcW w:w="653" w:type="dxa"/>
            <w:vAlign w:val="bottom"/>
          </w:tcPr>
          <w:p w14:paraId="46E8D23A" w14:textId="77777777" w:rsidR="00086AB8" w:rsidRPr="005E779E" w:rsidRDefault="00086A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w:t>
            </w:r>
          </w:p>
        </w:tc>
        <w:tc>
          <w:tcPr>
            <w:tcW w:w="682" w:type="dxa"/>
            <w:vAlign w:val="bottom"/>
          </w:tcPr>
          <w:p w14:paraId="6CD5DE7F" w14:textId="77777777" w:rsidR="00086AB8" w:rsidRPr="005E779E" w:rsidRDefault="00086A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w:t>
            </w:r>
          </w:p>
        </w:tc>
        <w:tc>
          <w:tcPr>
            <w:tcW w:w="653" w:type="dxa"/>
            <w:vAlign w:val="bottom"/>
          </w:tcPr>
          <w:p w14:paraId="63C5AFC3" w14:textId="77777777" w:rsidR="00086AB8" w:rsidRPr="005E779E" w:rsidRDefault="00086A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90</w:t>
            </w:r>
          </w:p>
        </w:tc>
      </w:tr>
      <w:tr w:rsidR="00086AB8" w:rsidRPr="005E779E" w14:paraId="2251877E" w14:textId="77777777" w:rsidTr="004B2EA4">
        <w:trPr>
          <w:trHeight w:val="226"/>
        </w:trPr>
        <w:tc>
          <w:tcPr>
            <w:tcW w:w="1445" w:type="dxa"/>
            <w:vAlign w:val="center"/>
          </w:tcPr>
          <w:p w14:paraId="12E945D9" w14:textId="77777777" w:rsidR="00086AB8" w:rsidRPr="005E779E" w:rsidRDefault="00086A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длина разбега, м</w:t>
            </w:r>
          </w:p>
        </w:tc>
        <w:tc>
          <w:tcPr>
            <w:tcW w:w="653" w:type="dxa"/>
            <w:vAlign w:val="center"/>
          </w:tcPr>
          <w:p w14:paraId="1A2962F0" w14:textId="77777777" w:rsidR="00086AB8" w:rsidRPr="005E779E" w:rsidRDefault="00086A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682" w:type="dxa"/>
            <w:vAlign w:val="center"/>
          </w:tcPr>
          <w:p w14:paraId="40C54124" w14:textId="77777777" w:rsidR="00086AB8" w:rsidRPr="005E779E" w:rsidRDefault="00086A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653" w:type="dxa"/>
            <w:vAlign w:val="center"/>
          </w:tcPr>
          <w:p w14:paraId="6A60E581" w14:textId="77777777" w:rsidR="00086AB8" w:rsidRPr="005E779E" w:rsidRDefault="00086A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140</w:t>
            </w:r>
          </w:p>
        </w:tc>
      </w:tr>
      <w:tr w:rsidR="00086AB8" w:rsidRPr="005E779E" w14:paraId="516E9CF8" w14:textId="77777777" w:rsidTr="004B2EA4">
        <w:trPr>
          <w:trHeight w:val="226"/>
        </w:trPr>
        <w:tc>
          <w:tcPr>
            <w:tcW w:w="1445" w:type="dxa"/>
            <w:vAlign w:val="center"/>
          </w:tcPr>
          <w:p w14:paraId="2CC7A964" w14:textId="77777777" w:rsidR="00086AB8" w:rsidRPr="005E779E" w:rsidRDefault="00086A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длина пробега, м</w:t>
            </w:r>
          </w:p>
        </w:tc>
        <w:tc>
          <w:tcPr>
            <w:tcW w:w="653" w:type="dxa"/>
            <w:vAlign w:val="center"/>
          </w:tcPr>
          <w:p w14:paraId="02BA3926" w14:textId="77777777" w:rsidR="00086AB8" w:rsidRPr="005E779E" w:rsidRDefault="00086A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682" w:type="dxa"/>
            <w:vAlign w:val="center"/>
          </w:tcPr>
          <w:p w14:paraId="3D2F15C9" w14:textId="77777777" w:rsidR="00086AB8" w:rsidRPr="005E779E" w:rsidRDefault="00086A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653" w:type="dxa"/>
            <w:vAlign w:val="center"/>
          </w:tcPr>
          <w:p w14:paraId="52639597" w14:textId="77777777" w:rsidR="00086AB8" w:rsidRPr="005E779E" w:rsidRDefault="00086A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80</w:t>
            </w:r>
          </w:p>
        </w:tc>
      </w:tr>
      <w:tr w:rsidR="00086AB8" w:rsidRPr="005E779E" w14:paraId="4EDF4234" w14:textId="77777777" w:rsidTr="004B2EA4">
        <w:trPr>
          <w:trHeight w:val="422"/>
        </w:trPr>
        <w:tc>
          <w:tcPr>
            <w:tcW w:w="1445" w:type="dxa"/>
            <w:vAlign w:val="bottom"/>
          </w:tcPr>
          <w:p w14:paraId="1B88AB24" w14:textId="77777777" w:rsidR="00086AB8" w:rsidRPr="005E779E" w:rsidRDefault="00086A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 пушки</w:t>
            </w:r>
          </w:p>
        </w:tc>
        <w:tc>
          <w:tcPr>
            <w:tcW w:w="653" w:type="dxa"/>
            <w:vAlign w:val="bottom"/>
          </w:tcPr>
          <w:p w14:paraId="651A3DC5" w14:textId="77777777" w:rsidR="00086AB8" w:rsidRPr="005E779E" w:rsidRDefault="00086A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2хДРП</w:t>
            </w:r>
          </w:p>
        </w:tc>
        <w:tc>
          <w:tcPr>
            <w:tcW w:w="682" w:type="dxa"/>
            <w:vAlign w:val="bottom"/>
          </w:tcPr>
          <w:p w14:paraId="3AC0A986" w14:textId="77777777" w:rsidR="00086AB8" w:rsidRPr="005E779E" w:rsidRDefault="00086A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2хДРП</w:t>
            </w:r>
          </w:p>
        </w:tc>
        <w:tc>
          <w:tcPr>
            <w:tcW w:w="653" w:type="dxa"/>
            <w:vAlign w:val="bottom"/>
          </w:tcPr>
          <w:p w14:paraId="0C34564B" w14:textId="77777777" w:rsidR="00086AB8" w:rsidRPr="005E779E" w:rsidRDefault="00086A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2хАПК</w:t>
            </w:r>
          </w:p>
        </w:tc>
      </w:tr>
      <w:tr w:rsidR="00086AB8" w:rsidRPr="005E779E" w14:paraId="0AE4116B" w14:textId="77777777" w:rsidTr="004B2EA4">
        <w:trPr>
          <w:trHeight w:val="216"/>
        </w:trPr>
        <w:tc>
          <w:tcPr>
            <w:tcW w:w="1445" w:type="dxa"/>
            <w:vAlign w:val="bottom"/>
          </w:tcPr>
          <w:p w14:paraId="65FB9F41" w14:textId="77777777" w:rsidR="00086AB8" w:rsidRPr="005E779E" w:rsidRDefault="00086A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пулеметы ШКАС</w:t>
            </w:r>
          </w:p>
        </w:tc>
        <w:tc>
          <w:tcPr>
            <w:tcW w:w="653" w:type="dxa"/>
            <w:vAlign w:val="bottom"/>
          </w:tcPr>
          <w:p w14:paraId="01195CB4" w14:textId="77777777" w:rsidR="00086AB8" w:rsidRPr="005E779E" w:rsidRDefault="00086A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682" w:type="dxa"/>
            <w:vAlign w:val="bottom"/>
          </w:tcPr>
          <w:p w14:paraId="450621EF" w14:textId="77777777" w:rsidR="00086AB8" w:rsidRPr="005E779E" w:rsidRDefault="00086A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653" w:type="dxa"/>
            <w:vAlign w:val="bottom"/>
          </w:tcPr>
          <w:p w14:paraId="17509EAD" w14:textId="77777777" w:rsidR="00086AB8" w:rsidRPr="005E779E" w:rsidRDefault="00086A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r>
    </w:tbl>
    <w:p w14:paraId="6A7CDCAF" w14:textId="77777777" w:rsidR="00086AB8" w:rsidRPr="005E779E" w:rsidRDefault="00086A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Проектирование машины, которая по</w:t>
      </w:r>
      <w:r w:rsidRPr="005E779E">
        <w:rPr>
          <w:rFonts w:ascii="Times New Roman" w:hAnsi="Times New Roman"/>
          <w:color w:val="000000" w:themeColor="text1"/>
          <w:sz w:val="16"/>
          <w:szCs w:val="16"/>
        </w:rPr>
        <w:softHyphen/>
        <w:t>лучила в КБ обозначение АНТ—29, поручили бригаде №3 под руководством П.О. Сухого. Трудно сказать, когда присту</w:t>
      </w:r>
      <w:r w:rsidRPr="005E779E">
        <w:rPr>
          <w:rFonts w:ascii="Times New Roman" w:hAnsi="Times New Roman"/>
          <w:color w:val="000000" w:themeColor="text1"/>
          <w:sz w:val="16"/>
          <w:szCs w:val="16"/>
        </w:rPr>
        <w:softHyphen/>
        <w:t>пили к этой работе, но на 1 января 1933 г. готовность самолета составляла 12% (23474).</w:t>
      </w:r>
    </w:p>
    <w:p w14:paraId="532B02DC" w14:textId="77777777" w:rsidR="00086AB8" w:rsidRPr="005E779E" w:rsidRDefault="00086AB8" w:rsidP="000B7A6C">
      <w:pPr>
        <w:spacing w:after="0" w:line="240" w:lineRule="auto"/>
        <w:jc w:val="both"/>
        <w:rPr>
          <w:rFonts w:ascii="Times New Roman" w:hAnsi="Times New Roman"/>
          <w:color w:val="000000" w:themeColor="text1"/>
          <w:sz w:val="16"/>
          <w:szCs w:val="16"/>
        </w:rPr>
      </w:pPr>
    </w:p>
    <w:p w14:paraId="226D2F41"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51BA8B5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C810B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26 июня и 2 июля 1931. Из протокола заседания Политбюро № 46, 1931 г.</w:t>
      </w:r>
    </w:p>
    <w:p w14:paraId="7DA25D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Об отходничестве </w:t>
      </w:r>
    </w:p>
    <w:p w14:paraId="58E32B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Установить следующие льготы для тех колхозников, которые контрактуются на работу в государственной промышленности, на транспорте, в совхозах, а также в государственных строительствах и строительствах потребительской кооперации: </w:t>
      </w:r>
    </w:p>
    <w:p w14:paraId="1E16C1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 Отходники-колхозники полностью освобождаются от всяких отчислений с заработков в общественные фонды колхозов. </w:t>
      </w:r>
    </w:p>
    <w:p w14:paraId="69FA2F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 Чтобы обеспечить участие колхозников-отходников в распределении денежной и натуральной части дохода колхоза, им предоставляется работа в колхозе после возвращения с заработков в первую очередь. </w:t>
      </w:r>
    </w:p>
    <w:p w14:paraId="3E0B77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 При распределении урожая в колхозе обязательно выделяется часть урожая для снабжения колхозников-отходников. </w:t>
      </w:r>
    </w:p>
    <w:p w14:paraId="58FEA0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4. Остающиеся в колхозе трудоспособные члены семьи отходника принимают участие в работах колхоза на общих основаниях (11652). </w:t>
      </w:r>
    </w:p>
    <w:p w14:paraId="3B6AAE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6B3B9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26 июня и 2 июля 1931. Из протокола заседания Политбюро № 46, 1931 г.</w:t>
      </w:r>
    </w:p>
    <w:p w14:paraId="37D620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 водопроводе на Сталинградском тракторном заводе</w:t>
      </w:r>
    </w:p>
    <w:p w14:paraId="2CB7B7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Обязать ВСНХ СССР в трехдневный срок достать насос и отправить в Сталинград... (11652).</w:t>
      </w:r>
    </w:p>
    <w:p w14:paraId="1F197E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0106988"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00AD5A68"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571ECA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июня 1931 года Гроховский писал письмо зам. председателя и начальнику вооружения Тухачевскому:</w:t>
      </w:r>
    </w:p>
    <w:p w14:paraId="4E905DD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1929 году мною было предложено ВВС ряд изобретений, связанных с производством десантных операций. Все мои предложения отклонялись и оттягивалось их изготовление (ругает Баранова, Дубенского ….).</w:t>
      </w:r>
    </w:p>
    <w:p w14:paraId="136DF08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октября 1930 года при поддержке отдела изобретений Техштаба НВ было назначено совещание инженеров НТК ВВС, которые пришли к решению, что идея производства десанта выдвинута вполне своевременно и технически возможна, что этим должен заняться Штаб РККА. Свалив с себя всякую ответственность ВВС, я опять остался у разбитого корыта, но благодаря Техштабу в скором времени мне разрешили формирование КБ при Техштабе. В ноябре 1930 года Бюро мною было сформировано и 11 января 1931 года была проведена демонстрация наркому Ворошилову отечественных десантных парашютов …………….</w:t>
      </w:r>
    </w:p>
    <w:p w14:paraId="7BB0D87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демонстрации Баранов поднял вопрос о переводе меня в его распоряжение на что и получил согласие бывшего зампреда Уборевича.</w:t>
      </w:r>
    </w:p>
    <w:p w14:paraId="4A6CFEE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первых же дней с переходом в ВВС началась старая история ………………. (Просить обеспечить условия для нормальной работы) (6769, 32-33).</w:t>
      </w:r>
    </w:p>
    <w:p w14:paraId="527BF49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63AE7B"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23298C29"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BF2D4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27 июня по 1 октября 1931 проходили испытания ТГ (танка Э.Гротте) с двигателем М-6. Достигли скорости 38 км/час. Хорошая проходимость и маневренность, но множество недоработок (4402).</w:t>
      </w:r>
    </w:p>
    <w:p w14:paraId="7DDDFA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7CED30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июня 1931 г. начались испытания танка Гротте продолжались с перерывами до 1.10.1931 г. В ходе них была достигнута максимальная скорость движения 34 км/ч. Танк продемон</w:t>
      </w:r>
      <w:r w:rsidRPr="005E779E">
        <w:rPr>
          <w:rFonts w:ascii="Times New Roman" w:hAnsi="Times New Roman"/>
          <w:color w:val="000000" w:themeColor="text1"/>
          <w:sz w:val="16"/>
          <w:szCs w:val="16"/>
        </w:rPr>
        <w:softHyphen/>
        <w:t>стрировал неплохую проходимость и маневренность. Хо</w:t>
      </w:r>
      <w:r w:rsidRPr="005E779E">
        <w:rPr>
          <w:rFonts w:ascii="Times New Roman" w:hAnsi="Times New Roman"/>
          <w:color w:val="000000" w:themeColor="text1"/>
          <w:sz w:val="16"/>
          <w:szCs w:val="16"/>
        </w:rPr>
        <w:softHyphen/>
        <w:t>рошо зарекомендовала себя в работе трансмиссия ТГ, кото</w:t>
      </w:r>
      <w:r w:rsidRPr="005E779E">
        <w:rPr>
          <w:rFonts w:ascii="Times New Roman" w:hAnsi="Times New Roman"/>
          <w:color w:val="000000" w:themeColor="text1"/>
          <w:sz w:val="16"/>
          <w:szCs w:val="16"/>
        </w:rPr>
        <w:softHyphen/>
        <w:t xml:space="preserve">рая благодаря примененным </w:t>
      </w:r>
      <w:r w:rsidRPr="005E779E">
        <w:rPr>
          <w:rFonts w:ascii="Times New Roman" w:hAnsi="Times New Roman"/>
          <w:color w:val="000000" w:themeColor="text1"/>
          <w:sz w:val="16"/>
          <w:szCs w:val="16"/>
        </w:rPr>
        <w:lastRenderedPageBreak/>
        <w:t>шевронным шестерням и ку</w:t>
      </w:r>
      <w:r w:rsidRPr="005E779E">
        <w:rPr>
          <w:rFonts w:ascii="Times New Roman" w:hAnsi="Times New Roman"/>
          <w:color w:val="000000" w:themeColor="text1"/>
          <w:sz w:val="16"/>
          <w:szCs w:val="16"/>
        </w:rPr>
        <w:softHyphen/>
        <w:t>лачковым муфтам оказалась весьма прочной и надежной. Использование пневматических приводов делало процесс управления машиной такого веса необычайно легким. Правда, воздушные магистрали иногда выходили из строя из-за плохого качества резины в уплотнениях. Вместе с тем было отмечено множество конструктивных недоработок. Так, из-за малых размеров боевого отделения была практически невозможна одновременная стрельба из 76-мм орудия и хотя бы одного башенного пулемета. Разме</w:t>
      </w:r>
      <w:r w:rsidRPr="005E779E">
        <w:rPr>
          <w:rFonts w:ascii="Times New Roman" w:hAnsi="Times New Roman"/>
          <w:color w:val="000000" w:themeColor="text1"/>
          <w:sz w:val="16"/>
          <w:szCs w:val="16"/>
        </w:rPr>
        <w:softHyphen/>
        <w:t>щение в одном картере КПП и бортовых фрикционов за</w:t>
      </w:r>
      <w:r w:rsidRPr="005E779E">
        <w:rPr>
          <w:rFonts w:ascii="Times New Roman" w:hAnsi="Times New Roman"/>
          <w:color w:val="000000" w:themeColor="text1"/>
          <w:sz w:val="16"/>
          <w:szCs w:val="16"/>
        </w:rPr>
        <w:softHyphen/>
        <w:t>трудняло доступ к ним во время ремонта и вело к перегреву всего узла во время движения. Выявилась также неудовлет</w:t>
      </w:r>
      <w:r w:rsidRPr="005E779E">
        <w:rPr>
          <w:rFonts w:ascii="Times New Roman" w:hAnsi="Times New Roman"/>
          <w:color w:val="000000" w:themeColor="text1"/>
          <w:sz w:val="16"/>
          <w:szCs w:val="16"/>
        </w:rPr>
        <w:softHyphen/>
        <w:t>ворительная работа бортовых тормозов и недостаточная эф</w:t>
      </w:r>
      <w:r w:rsidRPr="005E779E">
        <w:rPr>
          <w:rFonts w:ascii="Times New Roman" w:hAnsi="Times New Roman"/>
          <w:color w:val="000000" w:themeColor="text1"/>
          <w:sz w:val="16"/>
          <w:szCs w:val="16"/>
        </w:rPr>
        <w:softHyphen/>
        <w:t>фективность гусеницы на мягких и вязких грунтах, посколь</w:t>
      </w:r>
      <w:r w:rsidRPr="005E779E">
        <w:rPr>
          <w:rFonts w:ascii="Times New Roman" w:hAnsi="Times New Roman"/>
          <w:color w:val="000000" w:themeColor="text1"/>
          <w:sz w:val="16"/>
          <w:szCs w:val="16"/>
        </w:rPr>
        <w:softHyphen/>
        <w:t>ку высота гребней гусеницы была очень мала (10733,249).</w:t>
      </w:r>
    </w:p>
    <w:p w14:paraId="6481F18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1BC745" w14:textId="77777777" w:rsidR="009233AF" w:rsidRPr="005E779E" w:rsidRDefault="009233A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ИЮНЯ 1931 года начались и продолжались с перерывами до 1 октября испытания ТГ. На них была достигнута максимальная скорость движения 34 км/ч. Танк продемонстрировал неплохую проходимость и маневренность. Хорошо зарекомендовала себя в работе трансмиссия ТГ, а использование пневматических приводов делало процесс управления машиной необычайно легким. Вместе с тем было отмечено множество конструктивных недоработок теснота боевого отделения, неудобство доступа к узлам и агрегатам трансмиссии, недостаточное сцепление гусеницы с грунтом и ряд других (15608).</w:t>
      </w:r>
    </w:p>
    <w:p w14:paraId="0CB88C3E" w14:textId="77777777" w:rsidR="009233AF" w:rsidRPr="005E779E" w:rsidRDefault="009233AF" w:rsidP="000B7A6C">
      <w:pPr>
        <w:spacing w:after="0" w:line="240" w:lineRule="auto"/>
        <w:jc w:val="both"/>
        <w:rPr>
          <w:rFonts w:ascii="Times New Roman" w:hAnsi="Times New Roman"/>
          <w:color w:val="000000" w:themeColor="text1"/>
          <w:sz w:val="16"/>
          <w:szCs w:val="16"/>
        </w:rPr>
      </w:pPr>
    </w:p>
    <w:p w14:paraId="1EE8E8C3" w14:textId="77777777" w:rsidR="009233AF" w:rsidRPr="005E779E" w:rsidRDefault="009233A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июня 1931 г. начались испытания танка Гротте ТГ и продолжались с перерывами до 1 октября. Танк продемонстрировал неплохую проходимость и манёвренность. Хорошо зарекомендовала себя в работе трансмиссия. Вместе с гем выявилось множество конструктивных недоработок (15132).</w:t>
      </w:r>
    </w:p>
    <w:p w14:paraId="68364A31" w14:textId="77777777" w:rsidR="009233AF" w:rsidRPr="005E779E" w:rsidRDefault="009233AF" w:rsidP="000B7A6C">
      <w:pPr>
        <w:spacing w:after="0" w:line="240" w:lineRule="auto"/>
        <w:jc w:val="both"/>
        <w:rPr>
          <w:rFonts w:ascii="Times New Roman" w:hAnsi="Times New Roman"/>
          <w:color w:val="000000" w:themeColor="text1"/>
          <w:sz w:val="16"/>
          <w:szCs w:val="16"/>
        </w:rPr>
      </w:pPr>
    </w:p>
    <w:p w14:paraId="5F2A3CDC" w14:textId="77777777" w:rsidR="007D1305" w:rsidRPr="00142305" w:rsidRDefault="007D1305" w:rsidP="007D130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27 июня 1931 года начались испытания построенного образца ТГ и продолжа</w:t>
      </w:r>
      <w:r w:rsidRPr="00142305">
        <w:rPr>
          <w:rFonts w:ascii="Times New Roman" w:hAnsi="Times New Roman"/>
          <w:color w:val="0070C0"/>
          <w:sz w:val="16"/>
          <w:szCs w:val="16"/>
        </w:rPr>
        <w:softHyphen/>
        <w:t>лись с перерывами до 1 октября. В ходе их была достигнута максимальная ско</w:t>
      </w:r>
      <w:r w:rsidRPr="00142305">
        <w:rPr>
          <w:rFonts w:ascii="Times New Roman" w:hAnsi="Times New Roman"/>
          <w:color w:val="0070C0"/>
          <w:sz w:val="16"/>
          <w:szCs w:val="16"/>
        </w:rPr>
        <w:softHyphen/>
        <w:t>рость движения 34 км/ч. Танк проде</w:t>
      </w:r>
      <w:r w:rsidRPr="00142305">
        <w:rPr>
          <w:rFonts w:ascii="Times New Roman" w:hAnsi="Times New Roman"/>
          <w:color w:val="0070C0"/>
          <w:sz w:val="16"/>
          <w:szCs w:val="16"/>
        </w:rPr>
        <w:softHyphen/>
        <w:t>монстрировал неплохую проходимость и маневренность. Хорошо зарекомендо</w:t>
      </w:r>
      <w:r w:rsidRPr="00142305">
        <w:rPr>
          <w:rFonts w:ascii="Times New Roman" w:hAnsi="Times New Roman"/>
          <w:color w:val="0070C0"/>
          <w:sz w:val="16"/>
          <w:szCs w:val="16"/>
        </w:rPr>
        <w:softHyphen/>
        <w:t>вала себя в работе трансмиссия ТГ, ко</w:t>
      </w:r>
      <w:r w:rsidRPr="00142305">
        <w:rPr>
          <w:rFonts w:ascii="Times New Roman" w:hAnsi="Times New Roman"/>
          <w:color w:val="0070C0"/>
          <w:sz w:val="16"/>
          <w:szCs w:val="16"/>
        </w:rPr>
        <w:softHyphen/>
        <w:t>торая благодаря примененным шеврон</w:t>
      </w:r>
      <w:r w:rsidRPr="00142305">
        <w:rPr>
          <w:rFonts w:ascii="Times New Roman" w:hAnsi="Times New Roman"/>
          <w:color w:val="0070C0"/>
          <w:sz w:val="16"/>
          <w:szCs w:val="16"/>
        </w:rPr>
        <w:softHyphen/>
        <w:t>ным шестерням и кулачковым муфтам, оказалась весьма прочной и надежной. Использование же пневматических при</w:t>
      </w:r>
      <w:r w:rsidRPr="00142305">
        <w:rPr>
          <w:rFonts w:ascii="Times New Roman" w:hAnsi="Times New Roman"/>
          <w:color w:val="0070C0"/>
          <w:sz w:val="16"/>
          <w:szCs w:val="16"/>
        </w:rPr>
        <w:softHyphen/>
        <w:t>водов делало процесс управления ма</w:t>
      </w:r>
      <w:r w:rsidRPr="00142305">
        <w:rPr>
          <w:rFonts w:ascii="Times New Roman" w:hAnsi="Times New Roman"/>
          <w:color w:val="0070C0"/>
          <w:sz w:val="16"/>
          <w:szCs w:val="16"/>
        </w:rPr>
        <w:softHyphen/>
        <w:t>шиной такого веса необычайно легким. Правда, воздушные магистрали иногда выходили из строя из-за плохого каче</w:t>
      </w:r>
      <w:r w:rsidRPr="00142305">
        <w:rPr>
          <w:rFonts w:ascii="Times New Roman" w:hAnsi="Times New Roman"/>
          <w:color w:val="0070C0"/>
          <w:sz w:val="16"/>
          <w:szCs w:val="16"/>
        </w:rPr>
        <w:softHyphen/>
        <w:t>ства резины в уплотнениях, но этот де</w:t>
      </w:r>
      <w:r w:rsidRPr="00142305">
        <w:rPr>
          <w:rFonts w:ascii="Times New Roman" w:hAnsi="Times New Roman"/>
          <w:color w:val="0070C0"/>
          <w:sz w:val="16"/>
          <w:szCs w:val="16"/>
        </w:rPr>
        <w:softHyphen/>
        <w:t>фект сочли устранимым.</w:t>
      </w:r>
    </w:p>
    <w:p w14:paraId="726DA8EC" w14:textId="77777777" w:rsidR="007D1305" w:rsidRPr="00142305" w:rsidRDefault="007D1305" w:rsidP="007D130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Вместе с тем отмечалось множество конструктивных недоработок: теснота боевого отделения, неудобство доступа к узлам и агрегатам трансмиссии, недо</w:t>
      </w:r>
      <w:r w:rsidRPr="00142305">
        <w:rPr>
          <w:rFonts w:ascii="Times New Roman" w:hAnsi="Times New Roman"/>
          <w:color w:val="0070C0"/>
          <w:sz w:val="16"/>
          <w:szCs w:val="16"/>
        </w:rPr>
        <w:softHyphen/>
        <w:t>статочное сцепление гусеничной цепи с грунтом и ряд других.</w:t>
      </w:r>
    </w:p>
    <w:p w14:paraId="73F6603D" w14:textId="77777777" w:rsidR="007D1305" w:rsidRPr="00142305" w:rsidRDefault="007D1305" w:rsidP="007D130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завершении испытаний был нако</w:t>
      </w:r>
      <w:r w:rsidRPr="00142305">
        <w:rPr>
          <w:rFonts w:ascii="Times New Roman" w:hAnsi="Times New Roman"/>
          <w:color w:val="0070C0"/>
          <w:sz w:val="16"/>
          <w:szCs w:val="16"/>
        </w:rPr>
        <w:softHyphen/>
        <w:t>плен большой опыт, который требовал обобщения (25010).</w:t>
      </w:r>
    </w:p>
    <w:p w14:paraId="4DD703C3" w14:textId="77777777" w:rsidR="007D1305" w:rsidRPr="00142305" w:rsidRDefault="007D1305" w:rsidP="007D1305">
      <w:pPr>
        <w:spacing w:after="0" w:line="240" w:lineRule="auto"/>
        <w:jc w:val="both"/>
        <w:rPr>
          <w:rFonts w:ascii="Times New Roman" w:hAnsi="Times New Roman"/>
          <w:color w:val="0070C0"/>
          <w:sz w:val="16"/>
          <w:szCs w:val="16"/>
        </w:rPr>
      </w:pPr>
    </w:p>
    <w:p w14:paraId="4CB83691" w14:textId="77777777" w:rsidR="007D1305" w:rsidRPr="00142305" w:rsidRDefault="007D1305" w:rsidP="007D130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27 июня 1931 г. начались испытания танка ТГ с двигателем М-6 и продолжались с перерывами до 1 октября. Танк показал максимальную скорость движения 34 км/час. В ходе испытаний выяснилось, что из-за тесноты в цитадели практически невозможна одновременная стрельба из 76-мм пушки и хотя бы из одного «Максима». Выявилась также неудовлетворительная работа бортовых тормозов и недостаточная эффективность гусеницы на мягких и вязких грунтах, поскольку высота гребней траков была очень мала (25184).</w:t>
      </w:r>
    </w:p>
    <w:p w14:paraId="521233A3" w14:textId="77777777" w:rsidR="007D1305" w:rsidRPr="00142305" w:rsidRDefault="007D1305" w:rsidP="007D1305">
      <w:pPr>
        <w:spacing w:after="0" w:line="240" w:lineRule="auto"/>
        <w:jc w:val="both"/>
        <w:rPr>
          <w:rFonts w:ascii="Times New Roman" w:hAnsi="Times New Roman"/>
          <w:color w:val="0070C0"/>
          <w:sz w:val="16"/>
          <w:szCs w:val="16"/>
        </w:rPr>
      </w:pPr>
    </w:p>
    <w:p w14:paraId="05C9335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июня 1931 доработанный вариант Д-9 и другой вариант Д-13 Дыренкова осмотрели представители научно-технического комитета (НТК) УММ. Второй образец Д-13 получил башню другой конструкции, сваренную из плоских броневых листов, зенитная турель и пулеметные установки в бортах ликвидировали. Несмотря на это, в своем заключе</w:t>
      </w:r>
      <w:r w:rsidRPr="005E779E">
        <w:rPr>
          <w:rFonts w:ascii="Times New Roman" w:hAnsi="Times New Roman"/>
          <w:color w:val="000000" w:themeColor="text1"/>
          <w:sz w:val="16"/>
          <w:szCs w:val="16"/>
        </w:rPr>
        <w:softHyphen/>
        <w:t>нии по этому броневику военные отмечали «сильную пере</w:t>
      </w:r>
      <w:r w:rsidRPr="005E779E">
        <w:rPr>
          <w:rFonts w:ascii="Times New Roman" w:hAnsi="Times New Roman"/>
          <w:color w:val="000000" w:themeColor="text1"/>
          <w:sz w:val="16"/>
          <w:szCs w:val="16"/>
        </w:rPr>
        <w:softHyphen/>
        <w:t>грузку шасси, слабую броневую защиту в 6 мм, отсутствие заднего поста управления и средств радиосвязи, плохой об</w:t>
      </w:r>
      <w:r w:rsidRPr="005E779E">
        <w:rPr>
          <w:rFonts w:ascii="Times New Roman" w:hAnsi="Times New Roman"/>
          <w:color w:val="000000" w:themeColor="text1"/>
          <w:sz w:val="16"/>
          <w:szCs w:val="16"/>
        </w:rPr>
        <w:softHyphen/>
        <w:t>зор с места водителя». Тем не менее было принято решение о выпуске первой серии из 10 Д-13, внеся в их конструкцию ряд изменений. В дальнейшем представители УММ считали «признать необходимым наряду с устранением в первой се</w:t>
      </w:r>
      <w:r w:rsidRPr="005E779E">
        <w:rPr>
          <w:rFonts w:ascii="Times New Roman" w:hAnsi="Times New Roman"/>
          <w:color w:val="000000" w:themeColor="text1"/>
          <w:sz w:val="16"/>
          <w:szCs w:val="16"/>
        </w:rPr>
        <w:softHyphen/>
        <w:t>рии вышеперечисленных недостатков одновременно при</w:t>
      </w:r>
      <w:r w:rsidRPr="005E779E">
        <w:rPr>
          <w:rFonts w:ascii="Times New Roman" w:hAnsi="Times New Roman"/>
          <w:color w:val="000000" w:themeColor="text1"/>
          <w:sz w:val="16"/>
          <w:szCs w:val="16"/>
        </w:rPr>
        <w:softHyphen/>
        <w:t>ступить к переработке всего бронекорпуса «Форд-Тимкен» в соответствии с требованиями системы вооружения».</w:t>
      </w:r>
    </w:p>
    <w:p w14:paraId="12C3358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бронированному «Мореланду» мнение военных бы</w:t>
      </w:r>
      <w:r w:rsidRPr="005E779E">
        <w:rPr>
          <w:rFonts w:ascii="Times New Roman" w:hAnsi="Times New Roman"/>
          <w:color w:val="000000" w:themeColor="text1"/>
          <w:sz w:val="16"/>
          <w:szCs w:val="16"/>
        </w:rPr>
        <w:softHyphen/>
        <w:t>ло категоричным: «Исходя из того, что Д-9 как образец тя</w:t>
      </w:r>
      <w:r w:rsidRPr="005E779E">
        <w:rPr>
          <w:rFonts w:ascii="Times New Roman" w:hAnsi="Times New Roman"/>
          <w:color w:val="000000" w:themeColor="text1"/>
          <w:sz w:val="16"/>
          <w:szCs w:val="16"/>
        </w:rPr>
        <w:softHyphen/>
        <w:t>желого бронеавтомобиля оказался чрезвычайно громозд</w:t>
      </w:r>
      <w:r w:rsidRPr="005E779E">
        <w:rPr>
          <w:rFonts w:ascii="Times New Roman" w:hAnsi="Times New Roman"/>
          <w:color w:val="000000" w:themeColor="text1"/>
          <w:sz w:val="16"/>
          <w:szCs w:val="16"/>
        </w:rPr>
        <w:softHyphen/>
        <w:t>ким, неповоротливым, имеет пониженную динамику и не обладает какими-либо существенными боевыми преимуществами по сравнению со средним бронеавтомобилем, признать, что шасси автомобиля «Мореланд» не пригодно для бронировки и может быть использовано под спецуста</w:t>
      </w:r>
      <w:r w:rsidRPr="005E779E">
        <w:rPr>
          <w:rFonts w:ascii="Times New Roman" w:hAnsi="Times New Roman"/>
          <w:color w:val="000000" w:themeColor="text1"/>
          <w:sz w:val="16"/>
          <w:szCs w:val="16"/>
        </w:rPr>
        <w:softHyphen/>
        <w:t>новки: счетверенного пулемета, химические и т.д.</w:t>
      </w:r>
    </w:p>
    <w:p w14:paraId="65EA046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Бронирование трехосного автомобиля АМО-6 как од</w:t>
      </w:r>
      <w:r w:rsidRPr="005E779E">
        <w:rPr>
          <w:rFonts w:ascii="Times New Roman" w:hAnsi="Times New Roman"/>
          <w:color w:val="000000" w:themeColor="text1"/>
          <w:sz w:val="16"/>
          <w:szCs w:val="16"/>
        </w:rPr>
        <w:softHyphen/>
        <w:t>нотипного с «Мореланд» считать нецелесообразным» (11284).</w:t>
      </w:r>
    </w:p>
    <w:p w14:paraId="5DB7439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A830A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июня 1931 года в журнале НТК УММ РККА № 26 говорилось следующее:</w:t>
      </w:r>
    </w:p>
    <w:p w14:paraId="0160214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Опытные бронемашины Д-8 и Д-12. Признать, что Д-8 и Д-12 не удовлетворяют требованиям, предъявляе</w:t>
      </w:r>
      <w:r w:rsidRPr="005E779E">
        <w:rPr>
          <w:rFonts w:ascii="Times New Roman" w:hAnsi="Times New Roman"/>
          <w:color w:val="000000" w:themeColor="text1"/>
          <w:sz w:val="16"/>
          <w:szCs w:val="16"/>
        </w:rPr>
        <w:softHyphen/>
        <w:t>мым к легким разведывательным автомобилям ввиду не</w:t>
      </w:r>
      <w:r w:rsidRPr="005E779E">
        <w:rPr>
          <w:rFonts w:ascii="Times New Roman" w:hAnsi="Times New Roman"/>
          <w:color w:val="000000" w:themeColor="text1"/>
          <w:sz w:val="16"/>
          <w:szCs w:val="16"/>
        </w:rPr>
        <w:softHyphen/>
        <w:t>удобства пользования вооружением, плохой видимости для водителя и перегрузки передней оси (300 кг).</w:t>
      </w:r>
    </w:p>
    <w:p w14:paraId="5FE8B49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Необходимо внести следующие изменения и дополне1). Сохранение бронирования моторной будки до пе</w:t>
      </w:r>
      <w:r w:rsidRPr="005E779E">
        <w:rPr>
          <w:rFonts w:ascii="Times New Roman" w:hAnsi="Times New Roman"/>
          <w:color w:val="000000" w:themeColor="text1"/>
          <w:sz w:val="16"/>
          <w:szCs w:val="16"/>
        </w:rPr>
        <w:softHyphen/>
        <w:t>редней стенки броневого корпуса;</w:t>
      </w:r>
    </w:p>
    <w:p w14:paraId="7D65205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Для улучшения видимости водителя переднюю стенку броневика перенести назад;</w:t>
      </w:r>
    </w:p>
    <w:p w14:paraId="2B963E8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Для улучшения наблюдения при поворотах срезать выступающий мыс передней стенки автомобиля;</w:t>
      </w:r>
    </w:p>
    <w:p w14:paraId="3DE8F52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Все шаровые установки упразднить;</w:t>
      </w:r>
    </w:p>
    <w:p w14:paraId="2D113FD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Установить вооружение в один пулемет ДТ, пулрмет-ная установка должна обеспечить круговой обстрел поверх кузова как по земным, так и по воздушным целям;</w:t>
      </w:r>
    </w:p>
    <w:p w14:paraId="09CB0C2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Конфигурацию изменить в соответствии с пунктом 5;</w:t>
      </w:r>
    </w:p>
    <w:p w14:paraId="4D9ED17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Прорезать в корме люк для наблюдения при движе</w:t>
      </w:r>
      <w:r w:rsidRPr="005E779E">
        <w:rPr>
          <w:rFonts w:ascii="Times New Roman" w:hAnsi="Times New Roman"/>
          <w:color w:val="000000" w:themeColor="text1"/>
          <w:sz w:val="16"/>
          <w:szCs w:val="16"/>
        </w:rPr>
        <w:softHyphen/>
        <w:t>нии задним ходом».</w:t>
      </w:r>
    </w:p>
    <w:p w14:paraId="60D7C2F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Однако из-за недостатка времени и загруженности другими заказами КБ Дыренкова не смогло внести все требуемые изменения в конструкцию бронемашин, и их приняли к выпуску в первоначальном виде с небольшими доделками.</w:t>
      </w:r>
    </w:p>
    <w:p w14:paraId="5060332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Сначала выпуск Д-8 и Д-12 планировалось развернуть на Ижорском заводе, но затем, в связи с загрузкой послед</w:t>
      </w:r>
      <w:r w:rsidRPr="005E779E">
        <w:rPr>
          <w:rFonts w:ascii="Times New Roman" w:hAnsi="Times New Roman"/>
          <w:color w:val="000000" w:themeColor="text1"/>
          <w:sz w:val="16"/>
          <w:szCs w:val="16"/>
        </w:rPr>
        <w:softHyphen/>
        <w:t>него, их изготовление передали на завод Можерез (11284).</w:t>
      </w:r>
    </w:p>
    <w:p w14:paraId="159872A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73760B" w14:textId="77777777" w:rsidR="00877950" w:rsidRPr="005E779E" w:rsidRDefault="00877950"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27 июня 1931 </w:t>
      </w:r>
      <w:r w:rsidRPr="005E779E">
        <w:rPr>
          <w:rFonts w:ascii="Times New Roman" w:hAnsi="Times New Roman"/>
          <w:color w:val="000000" w:themeColor="text1"/>
          <w:sz w:val="16"/>
          <w:szCs w:val="16"/>
        </w:rPr>
        <w:t>Политбюро ЦК ВКП(б) одобрило решение СТО об отпуске в 1931 г. дополнительных средств на строительство первых трех и подготовку к строительству еще трех заводов синтетического каучука (12265).</w:t>
      </w:r>
    </w:p>
    <w:p w14:paraId="2C8443C3" w14:textId="35CC6A2F" w:rsidR="00877950" w:rsidRPr="005E779E" w:rsidRDefault="00877950" w:rsidP="000B7A6C">
      <w:pPr>
        <w:spacing w:after="0" w:line="240" w:lineRule="auto"/>
        <w:jc w:val="both"/>
        <w:rPr>
          <w:rFonts w:ascii="Times New Roman" w:hAnsi="Times New Roman"/>
          <w:color w:val="000000" w:themeColor="text1"/>
          <w:sz w:val="16"/>
          <w:szCs w:val="16"/>
        </w:rPr>
      </w:pPr>
    </w:p>
    <w:p w14:paraId="25CF40AF" w14:textId="77777777" w:rsidR="00C55C7E" w:rsidRPr="005E779E" w:rsidRDefault="00C55C7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1AF14AB9" w14:textId="77777777" w:rsidR="00C55C7E" w:rsidRPr="005E779E" w:rsidRDefault="00C55C7E"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4C2F0E5" w14:textId="77777777" w:rsidR="00C55C7E" w:rsidRPr="005E779E" w:rsidRDefault="00C55C7E"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27 июня 1931 г. в постановлении РВС СССР "О формированиях в военное время" были суммированы проработки январского плана применительно к мобилизационным расписаниям 1932 и 1933 гг. Поскольку в ноябре 1930 г. Политбюро приняло решение о составе РККА, развертываемой по мобилизации, и сформированиях первых месяцев войны при ее возникновении в 1931 г., Реввоенсовет Союза вносил на утверждение Комиссии обороны состав РККА военного времени на два последующих года. Документ содержал обобщенные данные по развертыванию (без разбивки сил на 1, 2 и 3-ю очередь) и по новым формированиям в течение первого и второго полугодия войны - на случай, если она приобретет "большой размах" (см. табл. 7) (Составлено по: Постановление РВС СССР "О формированиях в военное время*, 27.06.1931 // Там же. Ф. 40442. Оп. 2. Д. 9. Л. 13-15).</w:t>
      </w:r>
    </w:p>
    <w:p w14:paraId="05A06453" w14:textId="77777777" w:rsidR="00C55C7E" w:rsidRPr="005E779E" w:rsidRDefault="00C55C7E"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ТАБЛИЦА 7</w:t>
      </w:r>
    </w:p>
    <w:p w14:paraId="7535838A" w14:textId="77777777" w:rsidR="00C55C7E" w:rsidRPr="005E779E" w:rsidRDefault="00C55C7E"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Предложения по мобилизационному развертыванию на 1932 и 1933 гг.</w:t>
      </w:r>
    </w:p>
    <w:p w14:paraId="21043899" w14:textId="77777777" w:rsidR="00C55C7E" w:rsidRPr="005E779E" w:rsidRDefault="00C55C7E"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Развертываемые силы</w:t>
      </w:r>
      <w:r w:rsidRPr="005E779E">
        <w:rPr>
          <w:rFonts w:ascii="Times New Roman" w:eastAsia="Times New Roman" w:hAnsi="Times New Roman"/>
          <w:color w:val="000000" w:themeColor="text1"/>
          <w:sz w:val="16"/>
          <w:szCs w:val="16"/>
          <w:lang w:eastAsia="ru-RU"/>
        </w:rPr>
        <w:tab/>
        <w:t>Численность развертываемых сил к исходу</w:t>
      </w:r>
    </w:p>
    <w:p w14:paraId="39FC1BFA" w14:textId="77777777" w:rsidR="00C55C7E" w:rsidRPr="005E779E" w:rsidRDefault="00C55C7E"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1 мая 1932 г.</w:t>
      </w:r>
      <w:r w:rsidRPr="005E779E">
        <w:rPr>
          <w:rFonts w:ascii="Times New Roman" w:eastAsia="Times New Roman" w:hAnsi="Times New Roman"/>
          <w:color w:val="000000" w:themeColor="text1"/>
          <w:sz w:val="16"/>
          <w:szCs w:val="16"/>
          <w:lang w:eastAsia="ru-RU"/>
        </w:rPr>
        <w:tab/>
        <w:t xml:space="preserve"> 1 мая 1933 г.</w:t>
      </w:r>
    </w:p>
    <w:p w14:paraId="17CA09DC" w14:textId="77777777" w:rsidR="00C55C7E" w:rsidRPr="005E779E" w:rsidRDefault="00C55C7E"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первых двух месяцев войны</w:t>
      </w:r>
      <w:r w:rsidRPr="005E779E">
        <w:rPr>
          <w:rFonts w:ascii="Times New Roman" w:eastAsia="Times New Roman" w:hAnsi="Times New Roman"/>
          <w:color w:val="000000" w:themeColor="text1"/>
          <w:sz w:val="16"/>
          <w:szCs w:val="16"/>
          <w:lang w:eastAsia="ru-RU"/>
        </w:rPr>
        <w:tab/>
        <w:t>первого года войны</w:t>
      </w:r>
      <w:r w:rsidRPr="005E779E">
        <w:rPr>
          <w:rFonts w:ascii="Times New Roman" w:eastAsia="Times New Roman" w:hAnsi="Times New Roman"/>
          <w:color w:val="000000" w:themeColor="text1"/>
          <w:sz w:val="16"/>
          <w:szCs w:val="16"/>
          <w:lang w:eastAsia="ru-RU"/>
        </w:rPr>
        <w:tab/>
        <w:t>первых двух месяцев войны</w:t>
      </w:r>
      <w:r w:rsidRPr="005E779E">
        <w:rPr>
          <w:rFonts w:ascii="Times New Roman" w:eastAsia="Times New Roman" w:hAnsi="Times New Roman"/>
          <w:color w:val="000000" w:themeColor="text1"/>
          <w:sz w:val="16"/>
          <w:szCs w:val="16"/>
          <w:lang w:eastAsia="ru-RU"/>
        </w:rPr>
        <w:tab/>
        <w:t>первого года войны</w:t>
      </w:r>
    </w:p>
    <w:p w14:paraId="3CE8EDB3" w14:textId="77777777" w:rsidR="00C55C7E" w:rsidRPr="005E779E" w:rsidRDefault="00C55C7E"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Стрелковые дивизии</w:t>
      </w:r>
      <w:r w:rsidRPr="005E779E">
        <w:rPr>
          <w:rFonts w:ascii="Times New Roman" w:eastAsia="Times New Roman" w:hAnsi="Times New Roman"/>
          <w:color w:val="000000" w:themeColor="text1"/>
          <w:sz w:val="16"/>
          <w:szCs w:val="16"/>
          <w:lang w:eastAsia="ru-RU"/>
        </w:rPr>
        <w:tab/>
        <w:t>140</w:t>
      </w:r>
      <w:r w:rsidRPr="005E779E">
        <w:rPr>
          <w:rFonts w:ascii="Times New Roman" w:eastAsia="Times New Roman" w:hAnsi="Times New Roman"/>
          <w:color w:val="000000" w:themeColor="text1"/>
          <w:sz w:val="16"/>
          <w:szCs w:val="16"/>
          <w:lang w:eastAsia="ru-RU"/>
        </w:rPr>
        <w:tab/>
        <w:t>170</w:t>
      </w:r>
      <w:r w:rsidRPr="005E779E">
        <w:rPr>
          <w:rFonts w:ascii="Times New Roman" w:eastAsia="Times New Roman" w:hAnsi="Times New Roman"/>
          <w:color w:val="000000" w:themeColor="text1"/>
          <w:sz w:val="16"/>
          <w:szCs w:val="16"/>
          <w:lang w:eastAsia="ru-RU"/>
        </w:rPr>
        <w:tab/>
        <w:t>150</w:t>
      </w:r>
      <w:r w:rsidRPr="005E779E">
        <w:rPr>
          <w:rFonts w:ascii="Times New Roman" w:eastAsia="Times New Roman" w:hAnsi="Times New Roman"/>
          <w:color w:val="000000" w:themeColor="text1"/>
          <w:sz w:val="16"/>
          <w:szCs w:val="16"/>
          <w:lang w:eastAsia="ru-RU"/>
        </w:rPr>
        <w:tab/>
        <w:t>180</w:t>
      </w:r>
    </w:p>
    <w:p w14:paraId="4EF3CF62" w14:textId="77777777" w:rsidR="00C55C7E" w:rsidRPr="005E779E" w:rsidRDefault="00C55C7E"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Кавалерийские дивизии</w:t>
      </w:r>
      <w:r w:rsidRPr="005E779E">
        <w:rPr>
          <w:rFonts w:ascii="Times New Roman" w:eastAsia="Times New Roman" w:hAnsi="Times New Roman"/>
          <w:color w:val="000000" w:themeColor="text1"/>
          <w:sz w:val="16"/>
          <w:szCs w:val="16"/>
          <w:lang w:eastAsia="ru-RU"/>
        </w:rPr>
        <w:tab/>
        <w:t>12</w:t>
      </w:r>
      <w:r w:rsidRPr="005E779E">
        <w:rPr>
          <w:rFonts w:ascii="Times New Roman" w:eastAsia="Times New Roman" w:hAnsi="Times New Roman"/>
          <w:color w:val="000000" w:themeColor="text1"/>
          <w:sz w:val="16"/>
          <w:szCs w:val="16"/>
          <w:lang w:eastAsia="ru-RU"/>
        </w:rPr>
        <w:tab/>
        <w:t>15</w:t>
      </w:r>
      <w:r w:rsidRPr="005E779E">
        <w:rPr>
          <w:rFonts w:ascii="Times New Roman" w:eastAsia="Times New Roman" w:hAnsi="Times New Roman"/>
          <w:color w:val="000000" w:themeColor="text1"/>
          <w:sz w:val="16"/>
          <w:szCs w:val="16"/>
          <w:lang w:eastAsia="ru-RU"/>
        </w:rPr>
        <w:tab/>
        <w:t>19 (из них 6 горных)</w:t>
      </w:r>
      <w:r w:rsidRPr="005E779E">
        <w:rPr>
          <w:rFonts w:ascii="Times New Roman" w:eastAsia="Times New Roman" w:hAnsi="Times New Roman"/>
          <w:color w:val="000000" w:themeColor="text1"/>
          <w:sz w:val="16"/>
          <w:szCs w:val="16"/>
          <w:lang w:eastAsia="ru-RU"/>
        </w:rPr>
        <w:tab/>
      </w:r>
      <w:r w:rsidRPr="005E779E">
        <w:rPr>
          <w:rFonts w:ascii="Times New Roman" w:eastAsia="Times New Roman" w:hAnsi="Times New Roman"/>
          <w:color w:val="000000" w:themeColor="text1"/>
          <w:sz w:val="16"/>
          <w:szCs w:val="16"/>
          <w:lang w:eastAsia="ru-RU"/>
        </w:rPr>
        <w:tab/>
        <w:t>24</w:t>
      </w:r>
    </w:p>
    <w:p w14:paraId="7A67B6E5" w14:textId="77777777" w:rsidR="00C55C7E" w:rsidRPr="005E779E" w:rsidRDefault="00C55C7E"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Отдельные кавалерийские бригады</w:t>
      </w:r>
      <w:r w:rsidRPr="005E779E">
        <w:rPr>
          <w:rFonts w:ascii="Times New Roman" w:eastAsia="Times New Roman" w:hAnsi="Times New Roman"/>
          <w:color w:val="000000" w:themeColor="text1"/>
          <w:sz w:val="16"/>
          <w:szCs w:val="16"/>
          <w:lang w:eastAsia="ru-RU"/>
        </w:rPr>
        <w:tab/>
        <w:t>7</w:t>
      </w:r>
      <w:r w:rsidRPr="005E779E">
        <w:rPr>
          <w:rFonts w:ascii="Times New Roman" w:eastAsia="Times New Roman" w:hAnsi="Times New Roman"/>
          <w:color w:val="000000" w:themeColor="text1"/>
          <w:sz w:val="16"/>
          <w:szCs w:val="16"/>
          <w:lang w:eastAsia="ru-RU"/>
        </w:rPr>
        <w:tab/>
        <w:t>7</w:t>
      </w:r>
      <w:r w:rsidRPr="005E779E">
        <w:rPr>
          <w:rFonts w:ascii="Times New Roman" w:eastAsia="Times New Roman" w:hAnsi="Times New Roman"/>
          <w:color w:val="000000" w:themeColor="text1"/>
          <w:sz w:val="16"/>
          <w:szCs w:val="16"/>
          <w:lang w:eastAsia="ru-RU"/>
        </w:rPr>
        <w:tab/>
        <w:t>-</w:t>
      </w:r>
      <w:r w:rsidRPr="005E779E">
        <w:rPr>
          <w:rFonts w:ascii="Times New Roman" w:eastAsia="Times New Roman" w:hAnsi="Times New Roman"/>
          <w:color w:val="000000" w:themeColor="text1"/>
          <w:sz w:val="16"/>
          <w:szCs w:val="16"/>
          <w:lang w:eastAsia="ru-RU"/>
        </w:rPr>
        <w:tab/>
        <w:t>-</w:t>
      </w:r>
    </w:p>
    <w:p w14:paraId="77E0564A" w14:textId="77777777" w:rsidR="00C55C7E" w:rsidRPr="005E779E" w:rsidRDefault="00C55C7E"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Артполки РГК</w:t>
      </w:r>
      <w:r w:rsidRPr="005E779E">
        <w:rPr>
          <w:rFonts w:ascii="Times New Roman" w:eastAsia="Times New Roman" w:hAnsi="Times New Roman"/>
          <w:color w:val="000000" w:themeColor="text1"/>
          <w:sz w:val="16"/>
          <w:szCs w:val="16"/>
          <w:lang w:eastAsia="ru-RU"/>
        </w:rPr>
        <w:tab/>
        <w:t>31</w:t>
      </w:r>
      <w:r w:rsidRPr="005E779E">
        <w:rPr>
          <w:rFonts w:ascii="Times New Roman" w:eastAsia="Times New Roman" w:hAnsi="Times New Roman"/>
          <w:color w:val="000000" w:themeColor="text1"/>
          <w:sz w:val="16"/>
          <w:szCs w:val="16"/>
          <w:lang w:eastAsia="ru-RU"/>
        </w:rPr>
        <w:tab/>
        <w:t>41</w:t>
      </w:r>
      <w:r w:rsidRPr="005E779E">
        <w:rPr>
          <w:rFonts w:ascii="Times New Roman" w:eastAsia="Times New Roman" w:hAnsi="Times New Roman"/>
          <w:color w:val="000000" w:themeColor="text1"/>
          <w:sz w:val="16"/>
          <w:szCs w:val="16"/>
          <w:lang w:eastAsia="ru-RU"/>
        </w:rPr>
        <w:tab/>
        <w:t>53</w:t>
      </w:r>
      <w:r w:rsidRPr="005E779E">
        <w:rPr>
          <w:rFonts w:ascii="Times New Roman" w:eastAsia="Times New Roman" w:hAnsi="Times New Roman"/>
          <w:color w:val="000000" w:themeColor="text1"/>
          <w:sz w:val="16"/>
          <w:szCs w:val="16"/>
          <w:lang w:eastAsia="ru-RU"/>
        </w:rPr>
        <w:tab/>
        <w:t>93</w:t>
      </w:r>
    </w:p>
    <w:p w14:paraId="745B52AF" w14:textId="77777777" w:rsidR="00C55C7E" w:rsidRPr="005E779E" w:rsidRDefault="00C55C7E"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Мортирные полки</w:t>
      </w:r>
      <w:r w:rsidRPr="005E779E">
        <w:rPr>
          <w:rFonts w:ascii="Times New Roman" w:eastAsia="Times New Roman" w:hAnsi="Times New Roman"/>
          <w:color w:val="000000" w:themeColor="text1"/>
          <w:sz w:val="16"/>
          <w:szCs w:val="16"/>
          <w:lang w:eastAsia="ru-RU"/>
        </w:rPr>
        <w:tab/>
        <w:t>-</w:t>
      </w:r>
      <w:r w:rsidRPr="005E779E">
        <w:rPr>
          <w:rFonts w:ascii="Times New Roman" w:eastAsia="Times New Roman" w:hAnsi="Times New Roman"/>
          <w:color w:val="000000" w:themeColor="text1"/>
          <w:sz w:val="16"/>
          <w:szCs w:val="16"/>
          <w:lang w:eastAsia="ru-RU"/>
        </w:rPr>
        <w:tab/>
        <w:t>10</w:t>
      </w:r>
      <w:r w:rsidRPr="005E779E">
        <w:rPr>
          <w:rFonts w:ascii="Times New Roman" w:eastAsia="Times New Roman" w:hAnsi="Times New Roman"/>
          <w:color w:val="000000" w:themeColor="text1"/>
          <w:sz w:val="16"/>
          <w:szCs w:val="16"/>
          <w:lang w:eastAsia="ru-RU"/>
        </w:rPr>
        <w:tab/>
        <w:t>-</w:t>
      </w:r>
      <w:r w:rsidRPr="005E779E">
        <w:rPr>
          <w:rFonts w:ascii="Times New Roman" w:eastAsia="Times New Roman" w:hAnsi="Times New Roman"/>
          <w:color w:val="000000" w:themeColor="text1"/>
          <w:sz w:val="16"/>
          <w:szCs w:val="16"/>
          <w:lang w:eastAsia="ru-RU"/>
        </w:rPr>
        <w:tab/>
        <w:t>10</w:t>
      </w:r>
    </w:p>
    <w:p w14:paraId="6E8002E0" w14:textId="77777777" w:rsidR="00C55C7E" w:rsidRPr="005E779E" w:rsidRDefault="00C55C7E"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Танки и танкетки разных типов</w:t>
      </w:r>
      <w:r w:rsidRPr="005E779E">
        <w:rPr>
          <w:rFonts w:ascii="Times New Roman" w:eastAsia="Times New Roman" w:hAnsi="Times New Roman"/>
          <w:color w:val="000000" w:themeColor="text1"/>
          <w:sz w:val="16"/>
          <w:szCs w:val="16"/>
          <w:lang w:eastAsia="ru-RU"/>
        </w:rPr>
        <w:tab/>
        <w:t>2580</w:t>
      </w:r>
      <w:r w:rsidRPr="005E779E">
        <w:rPr>
          <w:rFonts w:ascii="Times New Roman" w:eastAsia="Times New Roman" w:hAnsi="Times New Roman"/>
          <w:color w:val="000000" w:themeColor="text1"/>
          <w:sz w:val="16"/>
          <w:szCs w:val="16"/>
          <w:lang w:eastAsia="ru-RU"/>
        </w:rPr>
        <w:tab/>
        <w:t>6325</w:t>
      </w:r>
      <w:r w:rsidRPr="005E779E">
        <w:rPr>
          <w:rFonts w:ascii="Times New Roman" w:eastAsia="Times New Roman" w:hAnsi="Times New Roman"/>
          <w:color w:val="000000" w:themeColor="text1"/>
          <w:sz w:val="16"/>
          <w:szCs w:val="16"/>
          <w:lang w:eastAsia="ru-RU"/>
        </w:rPr>
        <w:tab/>
        <w:t>6550</w:t>
      </w:r>
      <w:r w:rsidRPr="005E779E">
        <w:rPr>
          <w:rFonts w:ascii="Times New Roman" w:eastAsia="Times New Roman" w:hAnsi="Times New Roman"/>
          <w:color w:val="000000" w:themeColor="text1"/>
          <w:sz w:val="16"/>
          <w:szCs w:val="16"/>
          <w:lang w:eastAsia="ru-RU"/>
        </w:rPr>
        <w:tab/>
        <w:t>9750</w:t>
      </w:r>
    </w:p>
    <w:p w14:paraId="3FFB3C98" w14:textId="77777777" w:rsidR="00C55C7E" w:rsidRPr="005E779E" w:rsidRDefault="00C55C7E"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Самолеты</w:t>
      </w:r>
      <w:r w:rsidRPr="005E779E">
        <w:rPr>
          <w:rFonts w:ascii="Times New Roman" w:eastAsia="Times New Roman" w:hAnsi="Times New Roman"/>
          <w:color w:val="000000" w:themeColor="text1"/>
          <w:sz w:val="16"/>
          <w:szCs w:val="16"/>
          <w:lang w:eastAsia="ru-RU"/>
        </w:rPr>
        <w:tab/>
        <w:t>2460</w:t>
      </w:r>
      <w:r w:rsidRPr="005E779E">
        <w:rPr>
          <w:rFonts w:ascii="Times New Roman" w:eastAsia="Times New Roman" w:hAnsi="Times New Roman"/>
          <w:color w:val="000000" w:themeColor="text1"/>
          <w:sz w:val="16"/>
          <w:szCs w:val="16"/>
          <w:lang w:eastAsia="ru-RU"/>
        </w:rPr>
        <w:tab/>
        <w:t>3000</w:t>
      </w:r>
      <w:r w:rsidRPr="005E779E">
        <w:rPr>
          <w:rFonts w:ascii="Times New Roman" w:eastAsia="Times New Roman" w:hAnsi="Times New Roman"/>
          <w:color w:val="000000" w:themeColor="text1"/>
          <w:sz w:val="16"/>
          <w:szCs w:val="16"/>
          <w:lang w:eastAsia="ru-RU"/>
        </w:rPr>
        <w:tab/>
        <w:t>4075</w:t>
      </w:r>
      <w:r w:rsidRPr="005E779E">
        <w:rPr>
          <w:rFonts w:ascii="Times New Roman" w:eastAsia="Times New Roman" w:hAnsi="Times New Roman"/>
          <w:color w:val="000000" w:themeColor="text1"/>
          <w:sz w:val="16"/>
          <w:szCs w:val="16"/>
          <w:lang w:eastAsia="ru-RU"/>
        </w:rPr>
        <w:tab/>
        <w:t>5075</w:t>
      </w:r>
    </w:p>
    <w:p w14:paraId="24505861" w14:textId="77777777" w:rsidR="00C55C7E" w:rsidRPr="005E779E" w:rsidRDefault="00C55C7E"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hAnsi="Times New Roman"/>
          <w:color w:val="000000" w:themeColor="text1"/>
          <w:sz w:val="16"/>
          <w:szCs w:val="16"/>
          <w:lang w:eastAsia="ru-RU" w:bidi="ru-RU"/>
        </w:rPr>
        <w:t>Таким образом, по сравнению с планом полугодичной давности число развертываемых соединений оставалось прежним (</w:t>
      </w:r>
      <w:r w:rsidRPr="005E779E">
        <w:rPr>
          <w:rFonts w:ascii="Times New Roman" w:eastAsia="Times New Roman" w:hAnsi="Times New Roman"/>
          <w:color w:val="000000" w:themeColor="text1"/>
          <w:sz w:val="16"/>
          <w:szCs w:val="16"/>
          <w:lang w:eastAsia="ru-RU"/>
        </w:rPr>
        <w:t>В самом постановлении численность личного состава армии военного времени на конец пятилетки не фигурировала. Судя по более поздним документам, после января 1931 г. она не пересматривалась. Личный состав распределялся на боевой, обслуживающий и тыловой в следующих соотношениях:</w:t>
      </w:r>
    </w:p>
    <w:p w14:paraId="395B4DD1" w14:textId="77777777" w:rsidR="00C55C7E" w:rsidRPr="005E779E" w:rsidRDefault="00C55C7E"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в войсках - 2724 тыс. человек (из них 630 тыс. - обсуживающий состав);</w:t>
      </w:r>
    </w:p>
    <w:p w14:paraId="7EC516D3" w14:textId="77777777" w:rsidR="00C55C7E" w:rsidRPr="005E779E" w:rsidRDefault="00C55C7E"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в тылах действующей армии - 552 тыс. человек;</w:t>
      </w:r>
    </w:p>
    <w:p w14:paraId="6A099CED" w14:textId="77777777" w:rsidR="00C55C7E" w:rsidRPr="005E779E" w:rsidRDefault="00C55C7E"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итого в действующей армии - 3277 тыс. (из них 1182 тыс. - обслуживающий состав);</w:t>
      </w:r>
    </w:p>
    <w:p w14:paraId="0DD62F1B" w14:textId="77777777" w:rsidR="00C55C7E" w:rsidRPr="005E779E" w:rsidRDefault="00C55C7E"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lastRenderedPageBreak/>
        <w:t>- тыл страны - 1123 тыс. человек;</w:t>
      </w:r>
    </w:p>
    <w:p w14:paraId="6CD9CDB6" w14:textId="77777777" w:rsidR="00C55C7E" w:rsidRPr="005E779E" w:rsidRDefault="00C55C7E"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общий итог - 4400 тыс. человек.</w:t>
      </w:r>
    </w:p>
    <w:p w14:paraId="7AB5B414" w14:textId="77777777" w:rsidR="00C55C7E" w:rsidRPr="005E779E" w:rsidRDefault="00C55C7E" w:rsidP="000B7A6C">
      <w:pPr>
        <w:spacing w:after="0" w:line="240" w:lineRule="auto"/>
        <w:jc w:val="both"/>
        <w:rPr>
          <w:rFonts w:ascii="Times New Roman" w:hAnsi="Times New Roman"/>
          <w:color w:val="000000" w:themeColor="text1"/>
          <w:sz w:val="16"/>
          <w:szCs w:val="16"/>
        </w:rPr>
      </w:pPr>
      <w:r w:rsidRPr="005E779E">
        <w:rPr>
          <w:rFonts w:ascii="Times New Roman" w:eastAsia="Times New Roman" w:hAnsi="Times New Roman"/>
          <w:color w:val="000000" w:themeColor="text1"/>
          <w:sz w:val="16"/>
          <w:szCs w:val="16"/>
          <w:lang w:eastAsia="ru-RU"/>
        </w:rPr>
        <w:t>(см.: Численность личного состава РККА военного времени на конец пятилетки по проекту [март(?), 1931] // Там же. Oп. 1. Д. 375. Л. 17).</w:t>
      </w:r>
      <w:r w:rsidRPr="005E779E">
        <w:rPr>
          <w:rFonts w:ascii="Times New Roman" w:hAnsi="Times New Roman"/>
          <w:color w:val="000000" w:themeColor="text1"/>
          <w:sz w:val="16"/>
          <w:szCs w:val="16"/>
          <w:lang w:eastAsia="ru-RU" w:bidi="ru-RU"/>
        </w:rPr>
        <w:t>). Состав техниче</w:t>
      </w:r>
      <w:r w:rsidRPr="005E779E">
        <w:rPr>
          <w:rFonts w:ascii="Times New Roman" w:hAnsi="Times New Roman"/>
          <w:color w:val="000000" w:themeColor="text1"/>
          <w:sz w:val="16"/>
          <w:szCs w:val="16"/>
          <w:lang w:eastAsia="ru-RU" w:bidi="ru-RU"/>
        </w:rPr>
        <w:softHyphen/>
        <w:t>ских средств борьбы, напротив, претерпел изменения. Количество са</w:t>
      </w:r>
      <w:r w:rsidRPr="005E779E">
        <w:rPr>
          <w:rFonts w:ascii="Times New Roman" w:hAnsi="Times New Roman"/>
          <w:color w:val="000000" w:themeColor="text1"/>
          <w:sz w:val="16"/>
          <w:szCs w:val="16"/>
          <w:lang w:eastAsia="ru-RU" w:bidi="ru-RU"/>
        </w:rPr>
        <w:softHyphen/>
        <w:t>молетов определялось почти в прежних размерах, но число танков и танкеток в 1932 г. увеличивалось на 900, а в 1933 г. — на 1960 единиц (т. е. более чем на 40%). Новый скачок в танковой программе, вероятно, был связан с результатами ее рассмотрения в Комиссии обороны 4 мая, а также с активностью Тухачевского и Триандафиллова, дока</w:t>
      </w:r>
      <w:r w:rsidRPr="005E779E">
        <w:rPr>
          <w:rFonts w:ascii="Times New Roman" w:hAnsi="Times New Roman"/>
          <w:color w:val="000000" w:themeColor="text1"/>
          <w:sz w:val="16"/>
          <w:szCs w:val="16"/>
          <w:u w:val="single"/>
          <w:lang w:eastAsia="ru-RU" w:bidi="ru-RU"/>
        </w:rPr>
        <w:t>зывавши</w:t>
      </w:r>
      <w:r w:rsidRPr="005E779E">
        <w:rPr>
          <w:rFonts w:ascii="Times New Roman" w:hAnsi="Times New Roman"/>
          <w:color w:val="000000" w:themeColor="text1"/>
          <w:sz w:val="16"/>
          <w:szCs w:val="16"/>
          <w:lang w:eastAsia="ru-RU" w:bidi="ru-RU"/>
        </w:rPr>
        <w:t>х необходимость создания уже в мирное время крупных бронетанковых соединений с тем, чтобы из них и кавалерийских соединений можно было бы в случае войны создать конно-механизированные армии (группы) для развития успеха во фронтовой операции» (</w:t>
      </w:r>
      <w:r w:rsidRPr="005E779E">
        <w:rPr>
          <w:rFonts w:ascii="Times New Roman" w:eastAsia="Times New Roman" w:hAnsi="Times New Roman"/>
          <w:color w:val="000000" w:themeColor="text1"/>
          <w:sz w:val="16"/>
          <w:szCs w:val="16"/>
          <w:lang w:eastAsia="ru-RU"/>
        </w:rPr>
        <w:t xml:space="preserve">Рыжаков А. К вопросу о строительстве бронетанковых войск Красной Армии в 30-е годы // ВИЖ. 1968. № 8. С. 107. А. Рыжаков упомянул о докладных записках Тухачевского и Триандафиллова как раз в связи с подготовкой в первой половине 1931 г. новой версии уточненного плана на конец Пятилетки. О записках Тухачевского в Управление моторизации и механизации РККА (3 марта и 14 апреля 1931 г.) см.: SAMUELSON L Soviet Defence </w:t>
      </w:r>
      <w:r w:rsidRPr="005E779E">
        <w:rPr>
          <w:rFonts w:ascii="Times New Roman" w:eastAsia="Times New Roman" w:hAnsi="Times New Roman"/>
          <w:color w:val="000000" w:themeColor="text1"/>
          <w:sz w:val="16"/>
          <w:szCs w:val="16"/>
          <w:lang w:val="en-US" w:eastAsia="ru-RU"/>
        </w:rPr>
        <w:t>Industry</w:t>
      </w:r>
      <w:r w:rsidRPr="005E779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val="en-US" w:eastAsia="ru-RU"/>
        </w:rPr>
        <w:t>Planning</w:t>
      </w:r>
      <w:r w:rsidRPr="005E779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val="en-US" w:eastAsia="ru-RU"/>
        </w:rPr>
        <w:t>Tukhachevskii</w:t>
      </w:r>
      <w:r w:rsidRPr="005E779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val="en-US" w:eastAsia="ru-RU"/>
        </w:rPr>
        <w:t>and</w:t>
      </w:r>
      <w:r w:rsidRPr="005E779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val="en-US" w:eastAsia="ru-RU"/>
        </w:rPr>
        <w:t>Military</w:t>
      </w:r>
      <w:r w:rsidRPr="005E779E">
        <w:rPr>
          <w:rFonts w:ascii="Times New Roman" w:eastAsia="Times New Roman" w:hAnsi="Times New Roman"/>
          <w:color w:val="000000" w:themeColor="text1"/>
          <w:sz w:val="16"/>
          <w:szCs w:val="16"/>
          <w:lang w:eastAsia="ru-RU"/>
        </w:rPr>
        <w:t>-</w:t>
      </w:r>
      <w:r w:rsidRPr="005E779E">
        <w:rPr>
          <w:rFonts w:ascii="Times New Roman" w:eastAsia="Times New Roman" w:hAnsi="Times New Roman"/>
          <w:color w:val="000000" w:themeColor="text1"/>
          <w:sz w:val="16"/>
          <w:szCs w:val="16"/>
          <w:lang w:val="en-US" w:eastAsia="ru-RU"/>
        </w:rPr>
        <w:t>Industrial</w:t>
      </w:r>
      <w:r w:rsidRPr="005E779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val="en-US" w:eastAsia="ru-RU"/>
        </w:rPr>
        <w:t>Mobilisation</w:t>
      </w:r>
      <w:r w:rsidRPr="005E779E">
        <w:rPr>
          <w:rFonts w:ascii="Times New Roman" w:eastAsia="Times New Roman" w:hAnsi="Times New Roman"/>
          <w:color w:val="000000" w:themeColor="text1"/>
          <w:sz w:val="16"/>
          <w:szCs w:val="16"/>
          <w:lang w:eastAsia="ru-RU"/>
        </w:rPr>
        <w:t>, 1926-1937. Stockholm, 1996. P. 169 (note 40).</w:t>
      </w:r>
      <w:r w:rsidRPr="005E779E">
        <w:rPr>
          <w:rFonts w:ascii="Times New Roman" w:hAnsi="Times New Roman"/>
          <w:color w:val="000000" w:themeColor="text1"/>
          <w:sz w:val="16"/>
          <w:szCs w:val="16"/>
          <w:lang w:eastAsia="ru-RU" w:bidi="ru-RU"/>
        </w:rPr>
        <w:t>).</w:t>
      </w:r>
    </w:p>
    <w:p w14:paraId="27CA51F0" w14:textId="77777777" w:rsidR="00C55C7E" w:rsidRPr="005E779E" w:rsidRDefault="00C55C7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В докладе РВСС в Комиссию обороны предлагаемые меры обос</w:t>
      </w:r>
      <w:r w:rsidRPr="005E779E">
        <w:rPr>
          <w:rFonts w:ascii="Times New Roman" w:hAnsi="Times New Roman"/>
          <w:color w:val="000000" w:themeColor="text1"/>
          <w:sz w:val="16"/>
          <w:szCs w:val="16"/>
          <w:lang w:eastAsia="ru-RU" w:bidi="ru-RU"/>
        </w:rPr>
        <w:softHyphen/>
        <w:t>новывались в соответствии с январской директивой высшего руковод</w:t>
      </w:r>
      <w:r w:rsidRPr="005E779E">
        <w:rPr>
          <w:rFonts w:ascii="Times New Roman" w:hAnsi="Times New Roman"/>
          <w:color w:val="000000" w:themeColor="text1"/>
          <w:sz w:val="16"/>
          <w:szCs w:val="16"/>
          <w:lang w:eastAsia="ru-RU" w:bidi="ru-RU"/>
        </w:rPr>
        <w:softHyphen/>
        <w:t>ства: «по численности — превосходить наших вероятных противни</w:t>
      </w:r>
      <w:r w:rsidRPr="005E779E">
        <w:rPr>
          <w:rFonts w:ascii="Times New Roman" w:hAnsi="Times New Roman"/>
          <w:color w:val="000000" w:themeColor="text1"/>
          <w:sz w:val="16"/>
          <w:szCs w:val="16"/>
          <w:lang w:eastAsia="ru-RU" w:bidi="ru-RU"/>
        </w:rPr>
        <w:softHyphen/>
        <w:t>ков на главнейшем театре войны», «быть сильнее противника по трем решающим видам борьбы (артиллерии, танкам, авиации)». По-новому формулировались основы строительства армии мирного времени:</w:t>
      </w:r>
    </w:p>
    <w:p w14:paraId="17B6229B" w14:textId="77777777" w:rsidR="00C55C7E" w:rsidRPr="005E779E" w:rsidRDefault="00C55C7E"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1) "Создание на нашей Западной границе сильных частей прикрытия", в состав которых должны были входить кадровые и смешанные стрелковые дивизии, конница, по организации близкая к военному времени, зенитная артиллерия, бронетанковые части, "мощный воздушный флот".</w:t>
      </w:r>
    </w:p>
    <w:p w14:paraId="415A538C" w14:textId="77777777" w:rsidR="00C55C7E" w:rsidRPr="005E779E" w:rsidRDefault="00C55C7E"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2) "Исходя из развития индустриализации страны и социалистической реконструкции сельского хозяйства, дальнейшее углубление территориальной системы, направленной к увеличению числа территориальных дивизий, с одновременным распpocтpaнением территориальной системы на артиллерию Резерва Главного Командования и специальные части всех видов".</w:t>
      </w:r>
    </w:p>
    <w:p w14:paraId="41440763" w14:textId="77777777" w:rsidR="00C55C7E" w:rsidRPr="005E779E" w:rsidRDefault="00C55C7E"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Комиссии обороны предлагалось утвердить следующий график увеличения штатов РККА</w:t>
      </w:r>
    </w:p>
    <w:p w14:paraId="69DC3F86" w14:textId="77777777" w:rsidR="00C55C7E" w:rsidRPr="005E779E" w:rsidRDefault="00C55C7E"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Для обеспечения развертывания по мобплану № 10:</w:t>
      </w:r>
    </w:p>
    <w:p w14:paraId="417DDA5C" w14:textId="77777777" w:rsidR="00C55C7E" w:rsidRPr="005E779E" w:rsidRDefault="00C55C7E"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на 2 января 1931 г. - 652 000 человек.</w:t>
      </w:r>
    </w:p>
    <w:p w14:paraId="142EDDBB" w14:textId="77777777" w:rsidR="00C55C7E" w:rsidRPr="005E779E" w:rsidRDefault="00C55C7E"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Для обеспечения развертывания по мобплану № 11:</w:t>
      </w:r>
    </w:p>
    <w:p w14:paraId="64FD0E65" w14:textId="77777777" w:rsidR="00C55C7E" w:rsidRPr="005E779E" w:rsidRDefault="00C55C7E"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на 1 июня 1931 г. - 658 000 человек,</w:t>
      </w:r>
    </w:p>
    <w:p w14:paraId="5B1E331F" w14:textId="77777777" w:rsidR="00C55C7E" w:rsidRPr="005E779E" w:rsidRDefault="00C55C7E"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на 1 октября 1931 г. - 709 000 человек,</w:t>
      </w:r>
    </w:p>
    <w:p w14:paraId="309C24D3" w14:textId="77777777" w:rsidR="00C55C7E" w:rsidRPr="005E779E" w:rsidRDefault="00C55C7E"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на 2 января 1932 г. - 755 000 человек.</w:t>
      </w:r>
    </w:p>
    <w:p w14:paraId="713D7017" w14:textId="77777777" w:rsidR="00C55C7E" w:rsidRPr="005E779E" w:rsidRDefault="00C55C7E"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Для обеспечения развертывания по мобплану № 12:</w:t>
      </w:r>
    </w:p>
    <w:p w14:paraId="5D022075" w14:textId="77777777" w:rsidR="00C55C7E" w:rsidRPr="005E779E" w:rsidRDefault="00C55C7E"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на 1 июня 1932 г. - 765 000,</w:t>
      </w:r>
    </w:p>
    <w:p w14:paraId="35A41D51" w14:textId="77777777" w:rsidR="00C55C7E" w:rsidRPr="005E779E" w:rsidRDefault="00C55C7E"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на 1 окгября 1932 г. - 811 500 человек._</w:t>
      </w:r>
    </w:p>
    <w:p w14:paraId="74058D15" w14:textId="77777777" w:rsidR="00C55C7E" w:rsidRPr="005E779E" w:rsidRDefault="00C55C7E"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Намеченный темп означал формирование каждую неделю примерно по одному новому полку. Численность на конец 1932 г. вышла за пределы, установленные в середине июня Реввоенсоветом СССР, - 800 тыс. человек (22725).</w:t>
      </w:r>
    </w:p>
    <w:p w14:paraId="1402449C" w14:textId="77777777" w:rsidR="00C55C7E" w:rsidRPr="005E779E" w:rsidRDefault="00C55C7E" w:rsidP="000B7A6C">
      <w:pPr>
        <w:spacing w:after="0" w:line="240" w:lineRule="auto"/>
        <w:jc w:val="both"/>
        <w:rPr>
          <w:rFonts w:ascii="Times New Roman" w:hAnsi="Times New Roman"/>
          <w:color w:val="000000" w:themeColor="text1"/>
          <w:sz w:val="16"/>
          <w:szCs w:val="16"/>
        </w:rPr>
      </w:pPr>
    </w:p>
    <w:p w14:paraId="6928596B"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4BFB45F2"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1B73A3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июня 1931 в США изобретатель Игорь Сикорский получил патент на изобретение первого вертолета (4962).</w:t>
      </w:r>
    </w:p>
    <w:p w14:paraId="6D413FF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4108AE"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08F6F379"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4E730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 июня 1931 Коллегия ОГПУ постановила: приговор в отношении Н.Н.П. считать условным (228,83).</w:t>
      </w:r>
    </w:p>
    <w:p w14:paraId="344E3C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87629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 июня 1931 Коллегия ГПУ постановила приговор в отно-шениии Поликарпова считать условным (6593).</w:t>
      </w:r>
    </w:p>
    <w:p w14:paraId="281259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2F9B1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 июня 1931 г. Коллегия ОГПУ постановила: приго</w:t>
      </w:r>
      <w:r w:rsidRPr="005E779E">
        <w:rPr>
          <w:rFonts w:ascii="Times New Roman" w:hAnsi="Times New Roman"/>
          <w:color w:val="000000" w:themeColor="text1"/>
          <w:sz w:val="16"/>
          <w:szCs w:val="16"/>
        </w:rPr>
        <w:softHyphen/>
        <w:t>вор в отношении Н.Н.Поликарпова считать условным. 7 июля 1931 г. Президиум ЦИК СССР принял решение об амнистии группы лиц, в том числе Поликарпова, продублированное 8 июля соответствующим постанов</w:t>
      </w:r>
      <w:r w:rsidRPr="005E779E">
        <w:rPr>
          <w:rFonts w:ascii="Times New Roman" w:hAnsi="Times New Roman"/>
          <w:color w:val="000000" w:themeColor="text1"/>
          <w:sz w:val="16"/>
          <w:szCs w:val="16"/>
        </w:rPr>
        <w:softHyphen/>
        <w:t>лением Коллегии ОГПУ (10667).</w:t>
      </w:r>
    </w:p>
    <w:p w14:paraId="201868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3FA152F" w14:textId="77777777" w:rsidR="00862F5B" w:rsidRPr="005E779E" w:rsidRDefault="00862F5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 июня 1931 г. Коллегия ОГПУ постановила: приговор в отно</w:t>
      </w:r>
      <w:r w:rsidRPr="005E779E">
        <w:rPr>
          <w:rFonts w:ascii="Times New Roman" w:hAnsi="Times New Roman"/>
          <w:color w:val="000000" w:themeColor="text1"/>
          <w:sz w:val="16"/>
          <w:szCs w:val="16"/>
        </w:rPr>
        <w:softHyphen/>
        <w:t>шении Н.Н. Поликарпова считать условным. 7 июля 1931 г. Прези</w:t>
      </w:r>
      <w:r w:rsidRPr="005E779E">
        <w:rPr>
          <w:rFonts w:ascii="Times New Roman" w:hAnsi="Times New Roman"/>
          <w:color w:val="000000" w:themeColor="text1"/>
          <w:sz w:val="16"/>
          <w:szCs w:val="16"/>
        </w:rPr>
        <w:softHyphen/>
        <w:t>диум ЦИК СССР принял решение об амнистии группы лиц, в том числе Н.Н. Поликарпова, продубли</w:t>
      </w:r>
      <w:r w:rsidRPr="005E779E">
        <w:rPr>
          <w:rFonts w:ascii="Times New Roman" w:hAnsi="Times New Roman"/>
          <w:color w:val="000000" w:themeColor="text1"/>
          <w:sz w:val="16"/>
          <w:szCs w:val="16"/>
        </w:rPr>
        <w:softHyphen/>
        <w:t>рованное 8 июля соответствующим постановлением Коллегии ОГПУ.</w:t>
      </w:r>
    </w:p>
    <w:p w14:paraId="6C0B9798" w14:textId="77777777" w:rsidR="00862F5B" w:rsidRPr="005E779E" w:rsidRDefault="00862F5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Николай Николаевич, как только узнал об амнистии, сразу позвонил по телефону в квартиру и сказал, что едет домой. Вскоре его привез на своей машине заводской летчик-испы</w:t>
      </w:r>
      <w:r w:rsidRPr="005E779E">
        <w:rPr>
          <w:rFonts w:ascii="Times New Roman" w:hAnsi="Times New Roman"/>
          <w:color w:val="000000" w:themeColor="text1"/>
          <w:sz w:val="16"/>
          <w:szCs w:val="16"/>
        </w:rPr>
        <w:softHyphen/>
        <w:t>татель Б.Л. Бухгольц.</w:t>
      </w:r>
    </w:p>
    <w:p w14:paraId="13C39529" w14:textId="77777777" w:rsidR="00862F5B" w:rsidRPr="005E779E" w:rsidRDefault="00862F5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Однако до конца дней своих дней Н.Н. Поликарпов не был реабилитиро</w:t>
      </w:r>
      <w:r w:rsidRPr="005E779E">
        <w:rPr>
          <w:rFonts w:ascii="Times New Roman" w:hAnsi="Times New Roman"/>
          <w:color w:val="000000" w:themeColor="text1"/>
          <w:sz w:val="16"/>
          <w:szCs w:val="16"/>
        </w:rPr>
        <w:softHyphen/>
        <w:t>ван, оставаясь «прощённым преступни</w:t>
      </w:r>
      <w:r w:rsidRPr="005E779E">
        <w:rPr>
          <w:rFonts w:ascii="Times New Roman" w:hAnsi="Times New Roman"/>
          <w:color w:val="000000" w:themeColor="text1"/>
          <w:sz w:val="16"/>
          <w:szCs w:val="16"/>
        </w:rPr>
        <w:softHyphen/>
        <w:t>ком». И только после смерти конструк</w:t>
      </w:r>
      <w:r w:rsidRPr="005E779E">
        <w:rPr>
          <w:rFonts w:ascii="Times New Roman" w:hAnsi="Times New Roman"/>
          <w:color w:val="000000" w:themeColor="text1"/>
          <w:sz w:val="16"/>
          <w:szCs w:val="16"/>
        </w:rPr>
        <w:softHyphen/>
        <w:t>тора, после получения характеристик и рекомендаций от С.В. Ильюшина и А.Н. Туполева, 1 сентября 1956 г. Во</w:t>
      </w:r>
      <w:r w:rsidRPr="005E779E">
        <w:rPr>
          <w:rFonts w:ascii="Times New Roman" w:hAnsi="Times New Roman"/>
          <w:color w:val="000000" w:themeColor="text1"/>
          <w:sz w:val="16"/>
          <w:szCs w:val="16"/>
        </w:rPr>
        <w:softHyphen/>
        <w:t>енная коллегия Верховного Суда СССР отменила решение Коллегии ОГПУ от 18 марта 1931 г. и прекратила дело в отношении Н.Н. Поликарпова «за отсут</w:t>
      </w:r>
      <w:r w:rsidRPr="005E779E">
        <w:rPr>
          <w:rFonts w:ascii="Times New Roman" w:hAnsi="Times New Roman"/>
          <w:color w:val="000000" w:themeColor="text1"/>
          <w:sz w:val="16"/>
          <w:szCs w:val="16"/>
        </w:rPr>
        <w:softHyphen/>
        <w:t>ствием состава преступления» (23406).</w:t>
      </w:r>
    </w:p>
    <w:p w14:paraId="513E11F2" w14:textId="77777777" w:rsidR="00862F5B" w:rsidRPr="005E779E" w:rsidRDefault="00862F5B" w:rsidP="000B7A6C">
      <w:pPr>
        <w:spacing w:after="0" w:line="240" w:lineRule="auto"/>
        <w:jc w:val="both"/>
        <w:rPr>
          <w:rFonts w:ascii="Times New Roman" w:hAnsi="Times New Roman"/>
          <w:color w:val="000000" w:themeColor="text1"/>
          <w:sz w:val="16"/>
          <w:szCs w:val="16"/>
        </w:rPr>
      </w:pPr>
    </w:p>
    <w:p w14:paraId="626DD744" w14:textId="77777777" w:rsidR="00667A11" w:rsidRPr="00142305" w:rsidRDefault="00667A11" w:rsidP="00667A1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28 июня 1931 г. Коллегия ОГПУ постановила: приговор в отношении Н. Н. Поликарпова считать условным. 7 июля 1931 г. Президиум ЦИК СССР принял решение об амнистии группы лиц, в том числе Н. Н. Поликарпова, продублированное 8 июля соответствующим постановлением Коллегии ОГПУ.</w:t>
      </w:r>
    </w:p>
    <w:p w14:paraId="2AE82C10" w14:textId="77777777" w:rsidR="00667A11" w:rsidRPr="00142305" w:rsidRDefault="00667A11" w:rsidP="00667A1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Николай Николаевич, как только узнал об амнистии, сразу позвонил по телефону в квартиру и сказал, что едет домой. Вскоре его привез на своей машине заводской летчик-испытатель Б. Л. Бухгольц.</w:t>
      </w:r>
    </w:p>
    <w:p w14:paraId="27EF2BEB" w14:textId="77777777" w:rsidR="00667A11" w:rsidRPr="00142305" w:rsidRDefault="00667A11" w:rsidP="00667A1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Однако до конца дней своих Н. Н. Поликарпов не был реабилитирован, оставаясь «прощеным преступником». И только после смерти конструктора, после получения характеристик и рекомендаций от С. В. Ильюшина, А. Н. Туполева, 1 сентября 1956 г. Военная коллегия Верховного суда СССР отменила решение Коллегии ОГПУ от 18 марта 1931 г. и прекратила дело в отношении Н. Н. Поликарпова «за отсутствием состава преступления» (25035).</w:t>
      </w:r>
    </w:p>
    <w:p w14:paraId="1D74A280" w14:textId="77777777" w:rsidR="00667A11" w:rsidRPr="00142305" w:rsidRDefault="00667A11" w:rsidP="00667A11">
      <w:pPr>
        <w:spacing w:after="0" w:line="240" w:lineRule="auto"/>
        <w:jc w:val="both"/>
        <w:rPr>
          <w:rFonts w:ascii="Times New Roman" w:hAnsi="Times New Roman"/>
          <w:color w:val="0070C0"/>
          <w:sz w:val="16"/>
          <w:szCs w:val="16"/>
        </w:rPr>
      </w:pPr>
    </w:p>
    <w:p w14:paraId="026BA474" w14:textId="77777777" w:rsidR="00862F5B" w:rsidRPr="005E779E" w:rsidRDefault="00862F5B"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76909D07" w14:textId="77777777" w:rsidR="00862F5B" w:rsidRPr="005E779E" w:rsidRDefault="00862F5B"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4E4F9CD" w14:textId="77777777" w:rsidR="00862F5B" w:rsidRPr="005E779E" w:rsidRDefault="00862F5B"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28 июня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Постановление СТО СССР № 130сс об отпуске Харьковскому паровозостроительному заводу «Парвагдиз» 1 тыс. руб. (ГА РФ. Ф. Р?8418. Оп. 28. Д. 1а. Л. ЗЗ) (12415).</w:t>
      </w:r>
    </w:p>
    <w:p w14:paraId="7F4FF95F" w14:textId="77777777" w:rsidR="00862F5B" w:rsidRPr="005E779E" w:rsidRDefault="00862F5B" w:rsidP="000B7A6C">
      <w:pPr>
        <w:spacing w:after="0" w:line="240" w:lineRule="auto"/>
        <w:jc w:val="both"/>
        <w:rPr>
          <w:rFonts w:ascii="Times New Roman" w:hAnsi="Times New Roman"/>
          <w:color w:val="000000" w:themeColor="text1"/>
          <w:sz w:val="16"/>
          <w:szCs w:val="16"/>
          <w:u w:color="002060"/>
        </w:rPr>
      </w:pPr>
    </w:p>
    <w:p w14:paraId="635FA968" w14:textId="77777777" w:rsidR="00E37213" w:rsidRPr="005E779E" w:rsidRDefault="00E37213"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67F2D871" w14:textId="77777777" w:rsidR="00E37213" w:rsidRPr="005E779E" w:rsidRDefault="00E37213"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A6642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 июня 1931 ЦИК назначил Я.И.Алксниса начальником ВВС (506,110) и членом РВС (591,110).</w:t>
      </w:r>
    </w:p>
    <w:p w14:paraId="701EF9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F48950B" w14:textId="77777777" w:rsidR="00E37213" w:rsidRPr="005E779E" w:rsidRDefault="00E372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 июня 1931 г. в ВВС РККА приказом РВС СССР за № 531 на должность Начальника ВВС РККА вместо П.И. Баранова, ставшего Начальником ВАО, был назначен его Заместитель Я.И. Алкснис (19566).</w:t>
      </w:r>
    </w:p>
    <w:p w14:paraId="4E8AC566" w14:textId="77777777" w:rsidR="00E37213" w:rsidRPr="005E779E" w:rsidRDefault="00E37213" w:rsidP="000B7A6C">
      <w:pPr>
        <w:spacing w:after="0" w:line="240" w:lineRule="auto"/>
        <w:jc w:val="both"/>
        <w:rPr>
          <w:rFonts w:ascii="Times New Roman" w:hAnsi="Times New Roman"/>
          <w:color w:val="000000" w:themeColor="text1"/>
          <w:sz w:val="16"/>
          <w:szCs w:val="16"/>
        </w:rPr>
      </w:pPr>
    </w:p>
    <w:p w14:paraId="7FA05D29" w14:textId="77777777" w:rsidR="00AC1E50" w:rsidRPr="005E779E" w:rsidRDefault="00AC1E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 июня 1931 г. приказом РВС СССР № 521 начальник ВВС Петр Ионович освобожден от занимаемой должности в связи с назначением Начальником Всесоюзного объединения авиапромышленности. Вместо него начальником ВВС назначен его_заместитель по политической работе Яков Иванович Алкснис.</w:t>
      </w:r>
    </w:p>
    <w:p w14:paraId="4622EE2C" w14:textId="77777777" w:rsidR="00AC1E50" w:rsidRPr="005E779E" w:rsidRDefault="00AC1E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/ВВФ, 1931, № 7/ (23370).</w:t>
      </w:r>
    </w:p>
    <w:p w14:paraId="4517E6A0" w14:textId="77777777" w:rsidR="00AC1E50" w:rsidRPr="005E779E" w:rsidRDefault="00AC1E50" w:rsidP="000B7A6C">
      <w:pPr>
        <w:spacing w:after="0" w:line="240" w:lineRule="auto"/>
        <w:jc w:val="both"/>
        <w:rPr>
          <w:rFonts w:ascii="Times New Roman" w:hAnsi="Times New Roman"/>
          <w:color w:val="000000" w:themeColor="text1"/>
          <w:sz w:val="16"/>
          <w:szCs w:val="16"/>
        </w:rPr>
      </w:pPr>
    </w:p>
    <w:p w14:paraId="7FE02D6A" w14:textId="77777777" w:rsidR="00667A11" w:rsidRPr="00142305" w:rsidRDefault="00667A11" w:rsidP="00667A1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28 июня 1931 г. приказом РВС СССР за № 531 на долж</w:t>
      </w:r>
      <w:r w:rsidRPr="00142305">
        <w:rPr>
          <w:rFonts w:ascii="Times New Roman" w:hAnsi="Times New Roman"/>
          <w:color w:val="0070C0"/>
          <w:sz w:val="16"/>
          <w:szCs w:val="16"/>
        </w:rPr>
        <w:softHyphen/>
        <w:t>ность Начальника ВВС РККА вместо П. И. Баранова, ставшего Начальником ВАО, был назначен его заместитель Я. И. Алкснис (Красная звезда. - 1931.-28 июня) (24967).</w:t>
      </w:r>
    </w:p>
    <w:p w14:paraId="563B2F1F" w14:textId="77777777" w:rsidR="00667A11" w:rsidRPr="00142305" w:rsidRDefault="00667A11" w:rsidP="00667A11">
      <w:pPr>
        <w:spacing w:after="0" w:line="240" w:lineRule="auto"/>
        <w:jc w:val="both"/>
        <w:rPr>
          <w:rFonts w:ascii="Times New Roman" w:hAnsi="Times New Roman"/>
          <w:color w:val="0070C0"/>
          <w:sz w:val="16"/>
          <w:szCs w:val="16"/>
        </w:rPr>
      </w:pPr>
    </w:p>
    <w:p w14:paraId="378B9C97" w14:textId="77777777" w:rsidR="00667A11" w:rsidRPr="00142305" w:rsidRDefault="00667A11" w:rsidP="00667A1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28 июня 1931 г. освободившийся окончательно от всех дел в ВВС П. И. Баранов был назначен, как сказано выше, Начальником ВАО, а затем - ГУАП. Он сумел организовать подъем авиационной промышленности на более высо</w:t>
      </w:r>
      <w:r w:rsidRPr="00142305">
        <w:rPr>
          <w:rFonts w:ascii="Times New Roman" w:hAnsi="Times New Roman"/>
          <w:color w:val="0070C0"/>
          <w:sz w:val="16"/>
          <w:szCs w:val="16"/>
        </w:rPr>
        <w:softHyphen/>
        <w:t>кий уровень, которая в основном справилась с заданиями первой пятилетки, дав ВВС РККА новые самолеты в запланированном количестве (24967).</w:t>
      </w:r>
    </w:p>
    <w:p w14:paraId="02032F04" w14:textId="77777777" w:rsidR="00667A11" w:rsidRPr="00142305" w:rsidRDefault="00667A11" w:rsidP="00667A11">
      <w:pPr>
        <w:spacing w:after="0" w:line="240" w:lineRule="auto"/>
        <w:jc w:val="both"/>
        <w:rPr>
          <w:rFonts w:ascii="Times New Roman" w:hAnsi="Times New Roman"/>
          <w:color w:val="0070C0"/>
          <w:sz w:val="16"/>
          <w:szCs w:val="16"/>
        </w:rPr>
      </w:pPr>
    </w:p>
    <w:p w14:paraId="4F2F5DFB" w14:textId="77777777" w:rsidR="00667A11" w:rsidRPr="00142305" w:rsidRDefault="00667A11" w:rsidP="00667A1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28 июня 1931 г. П. И. Баранов был официально назначен Начальником ВАО, а с декабря - ГУ АП. Он сумел организовать подъем авиапромышленности на более высокий уровень, которая в основном справилась с заданиями первой пятилетки, дав ВВС РККА новые самолеты в запланированном количестве.</w:t>
      </w:r>
    </w:p>
    <w:p w14:paraId="6735427F" w14:textId="77777777" w:rsidR="00667A11" w:rsidRPr="00142305" w:rsidRDefault="00667A11" w:rsidP="00667A1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Накануне своего ухода из ВВС П. И. Баранов выступил в «ВВФ» со ста</w:t>
      </w:r>
      <w:r w:rsidRPr="00142305">
        <w:rPr>
          <w:rFonts w:ascii="Times New Roman" w:hAnsi="Times New Roman"/>
          <w:color w:val="0070C0"/>
          <w:sz w:val="16"/>
          <w:szCs w:val="16"/>
        </w:rPr>
        <w:softHyphen/>
        <w:t>тьей: «К летней учебе». В ней он поднял главную проблему военной авиации, заключавшуюся в противоречии между безопасностью полетов и эффективно</w:t>
      </w:r>
      <w:r w:rsidRPr="00142305">
        <w:rPr>
          <w:rFonts w:ascii="Times New Roman" w:hAnsi="Times New Roman"/>
          <w:color w:val="0070C0"/>
          <w:sz w:val="16"/>
          <w:szCs w:val="16"/>
        </w:rPr>
        <w:softHyphen/>
        <w:t>стью боевой подготовки. Заслуживает внимания важное замечание П. И. Бара</w:t>
      </w:r>
      <w:r w:rsidRPr="00142305">
        <w:rPr>
          <w:rFonts w:ascii="Times New Roman" w:hAnsi="Times New Roman"/>
          <w:color w:val="0070C0"/>
          <w:sz w:val="16"/>
          <w:szCs w:val="16"/>
        </w:rPr>
        <w:softHyphen/>
        <w:t>нова о том, что упрощение боевой учебы не является средством снижения ава</w:t>
      </w:r>
      <w:r w:rsidRPr="00142305">
        <w:rPr>
          <w:rFonts w:ascii="Times New Roman" w:hAnsi="Times New Roman"/>
          <w:color w:val="0070C0"/>
          <w:sz w:val="16"/>
          <w:szCs w:val="16"/>
        </w:rPr>
        <w:softHyphen/>
        <w:t>рийности. Изложено это было так: «Изжитие аварийности должно быть достиг</w:t>
      </w:r>
      <w:r w:rsidRPr="00142305">
        <w:rPr>
          <w:rFonts w:ascii="Times New Roman" w:hAnsi="Times New Roman"/>
          <w:color w:val="0070C0"/>
          <w:sz w:val="16"/>
          <w:szCs w:val="16"/>
        </w:rPr>
        <w:softHyphen/>
        <w:t>нуто только при повышении темпов качества и результатов учебно-боевой под</w:t>
      </w:r>
      <w:r w:rsidRPr="00142305">
        <w:rPr>
          <w:rFonts w:ascii="Times New Roman" w:hAnsi="Times New Roman"/>
          <w:color w:val="0070C0"/>
          <w:sz w:val="16"/>
          <w:szCs w:val="16"/>
        </w:rPr>
        <w:softHyphen/>
        <w:t>готовки. (...) Низкое качество боевой подготовки может дать только внешнее, кажущееся снижение аварийности, так как при повышении требований, законо</w:t>
      </w:r>
      <w:r w:rsidRPr="00142305">
        <w:rPr>
          <w:rFonts w:ascii="Times New Roman" w:hAnsi="Times New Roman"/>
          <w:color w:val="0070C0"/>
          <w:sz w:val="16"/>
          <w:szCs w:val="16"/>
        </w:rPr>
        <w:softHyphen/>
        <w:t>мерных в боевых условиях, выявится фактическая неспособность справиться с трудными задачами боевой деятельности» (Баранов П. И. К летней учебе / Петр Баранов // ВВФ. - 1931. - № 5-6. - С. 2-3). Сказано было в этой статье (по сути, она была напутствием для ВВС) и о необходимости в боевой подготовке усили</w:t>
      </w:r>
      <w:r w:rsidRPr="00142305">
        <w:rPr>
          <w:rFonts w:ascii="Times New Roman" w:hAnsi="Times New Roman"/>
          <w:color w:val="0070C0"/>
          <w:sz w:val="16"/>
          <w:szCs w:val="16"/>
        </w:rPr>
        <w:softHyphen/>
        <w:t>вать специализацию родов авиации (24968).</w:t>
      </w:r>
    </w:p>
    <w:p w14:paraId="0144EA97" w14:textId="77777777" w:rsidR="00667A11" w:rsidRPr="00142305" w:rsidRDefault="00667A11" w:rsidP="00667A11">
      <w:pPr>
        <w:spacing w:after="0" w:line="240" w:lineRule="auto"/>
        <w:jc w:val="both"/>
        <w:rPr>
          <w:rFonts w:ascii="Times New Roman" w:hAnsi="Times New Roman"/>
          <w:color w:val="0070C0"/>
          <w:sz w:val="16"/>
          <w:szCs w:val="16"/>
        </w:rPr>
      </w:pPr>
    </w:p>
    <w:p w14:paraId="4BE85E46" w14:textId="77777777" w:rsidR="00667A11" w:rsidRPr="00142305" w:rsidRDefault="00667A11" w:rsidP="00667A1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28 июня 1931 г. переход власти от Баранова к Алкснису был закреплен законодательно. В ВВС РККА начиналась «эпоха Алксниса» и одновременно стартовала реконструкция ВВС РККА (24968).</w:t>
      </w:r>
    </w:p>
    <w:p w14:paraId="2C757ED8" w14:textId="77777777" w:rsidR="00667A11" w:rsidRPr="00142305" w:rsidRDefault="00667A11" w:rsidP="00667A11">
      <w:pPr>
        <w:spacing w:after="0" w:line="240" w:lineRule="auto"/>
        <w:jc w:val="both"/>
        <w:rPr>
          <w:rFonts w:ascii="Times New Roman" w:hAnsi="Times New Roman"/>
          <w:color w:val="0070C0"/>
          <w:sz w:val="16"/>
          <w:szCs w:val="16"/>
        </w:rPr>
      </w:pPr>
    </w:p>
    <w:p w14:paraId="49F3898A" w14:textId="77777777" w:rsidR="004655BD" w:rsidRPr="005E779E" w:rsidRDefault="004655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 июня 1931 года Н.А. Ефимов отчитался об итогах командировки в Германию на заседании РВС, на котором было принято решение издать секретное учебное пособие «Методы мобилизации промышленности в Германии» (РГВА. Ф. 4. Оп. 14. Д. 393. Л. 206.) (21412).</w:t>
      </w:r>
    </w:p>
    <w:p w14:paraId="1EF0584A" w14:textId="77777777" w:rsidR="004655BD" w:rsidRPr="005E779E" w:rsidRDefault="004655BD" w:rsidP="000B7A6C">
      <w:pPr>
        <w:spacing w:after="0" w:line="240" w:lineRule="auto"/>
        <w:jc w:val="both"/>
        <w:rPr>
          <w:rFonts w:ascii="Times New Roman" w:hAnsi="Times New Roman"/>
          <w:color w:val="000000" w:themeColor="text1"/>
          <w:sz w:val="16"/>
          <w:szCs w:val="16"/>
        </w:rPr>
      </w:pPr>
    </w:p>
    <w:p w14:paraId="54E7CB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 июня 1931 года Н.А. Ефимов отчитался на заседании РВС об итогах командировки в Германию. В июне 1931 года в Германию для изучения военных новинок и дальнейшего укрепления связей с рейхсвером были направлены представители начальствующего состава Красной армии, в том числе Н.А.Ефимов — заместитель начальника вооружений РККА (старший группы), А.И. Егоров — командующий войсками Белорусского военного округа, В.К. Триандафиллов — заместитель начальника Штаба РККА, Э.Ф. Аппога — начальник 3-го управления Штаба РККА и В.К. Путна — военный атташе при полпредстве СССР в Германии. В ходе этой поездки советские специалисты ознакомились с использованием в авиации самолетных и наземных радиостанций и прожекторного оборудования германских фирм «Сименс» и «Цейс». Было принято решение издать секретное учебное пособие «Методы мобилизации промышленности в Германии» (Там же. Д. 393. Л. 206.) (11173).</w:t>
      </w:r>
    </w:p>
    <w:p w14:paraId="5B7A35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A5D7AD5"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6F3E45F8"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30F4064" w14:textId="77777777" w:rsidR="00452F24" w:rsidRPr="005E779E" w:rsidRDefault="00452F24"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28 июня</w:t>
      </w:r>
      <w:r w:rsidRPr="005E779E">
        <w:rPr>
          <w:rFonts w:ascii="Times New Roman" w:hAnsi="Times New Roman"/>
          <w:color w:val="000000" w:themeColor="text1"/>
          <w:sz w:val="16"/>
          <w:szCs w:val="16"/>
        </w:rPr>
        <w:t xml:space="preserve"> в 1931 году начался первый в мире беспосадочный полёт через Тихий океан. Кругосветный перелёт был совершен американскими лётчиками Клайдом Пангборном (Clyde Pangborn) и Хью Херндоном (Hugh Herndon Jr.) из США в Японию на «Bellanca» «Skyrocket» «CH-400» носившем собственное имя "Miss Veedol". Перелёт они благополучно завершили 15 октября 1931 года (14936).</w:t>
      </w:r>
    </w:p>
    <w:p w14:paraId="3B261B90" w14:textId="77777777" w:rsidR="00452F24" w:rsidRPr="005E779E" w:rsidRDefault="00452F24" w:rsidP="000B7A6C">
      <w:pPr>
        <w:spacing w:after="0" w:line="240" w:lineRule="auto"/>
        <w:jc w:val="both"/>
        <w:rPr>
          <w:rFonts w:ascii="Times New Roman" w:hAnsi="Times New Roman"/>
          <w:color w:val="000000" w:themeColor="text1"/>
          <w:sz w:val="16"/>
          <w:szCs w:val="16"/>
        </w:rPr>
      </w:pPr>
    </w:p>
    <w:p w14:paraId="3C3F9315" w14:textId="77777777" w:rsidR="004655BD" w:rsidRPr="005E779E" w:rsidRDefault="004655BD" w:rsidP="000B7A6C">
      <w:pPr>
        <w:spacing w:after="0" w:line="240" w:lineRule="auto"/>
        <w:jc w:val="both"/>
        <w:rPr>
          <w:rFonts w:ascii="Times New Roman" w:hAnsi="Times New Roman"/>
          <w:color w:val="000000" w:themeColor="text1"/>
          <w:sz w:val="16"/>
          <w:szCs w:val="16"/>
          <w:shd w:val="clear" w:color="auto" w:fill="FFFFFF"/>
        </w:rPr>
      </w:pPr>
      <w:r w:rsidRPr="005E779E">
        <w:rPr>
          <w:rFonts w:ascii="Times New Roman" w:hAnsi="Times New Roman"/>
          <w:color w:val="000000" w:themeColor="text1"/>
          <w:sz w:val="16"/>
          <w:szCs w:val="16"/>
          <w:shd w:val="clear" w:color="auto" w:fill="FFFFFF"/>
        </w:rPr>
        <w:t>28 июня 1931 французская летчица Бастье (Marie-Louise «Maryse» Basti;) на авиетке «Клемм» 25 (Klemm Kl 25) предприняла перелет из Парижа (Ле-Бурже) для установления рекорда дальности для легкомоторных самолетов. Преодолев за 30 часов 30 минут 2976 км, Бастье произвела посадку у села Юрино (Нижегородской области). Рекорд был установлен. Утром, переночевав в крестьянской избе, летчица вылетела в Нижний Новгород, после чего вернулась в Москву. 4 июля Бастье вылетела из Москвы обратно в Париж (21438).</w:t>
      </w:r>
    </w:p>
    <w:p w14:paraId="6DFA5DB3" w14:textId="77777777" w:rsidR="004655BD" w:rsidRPr="005E779E" w:rsidRDefault="004655BD" w:rsidP="000B7A6C">
      <w:pPr>
        <w:spacing w:after="0" w:line="240" w:lineRule="auto"/>
        <w:jc w:val="both"/>
        <w:rPr>
          <w:rFonts w:ascii="Times New Roman" w:hAnsi="Times New Roman"/>
          <w:color w:val="000000" w:themeColor="text1"/>
          <w:sz w:val="16"/>
          <w:szCs w:val="16"/>
          <w:shd w:val="clear" w:color="auto" w:fill="FFFFFF"/>
        </w:rPr>
      </w:pPr>
    </w:p>
    <w:p w14:paraId="79909E6E" w14:textId="31569EEA" w:rsidR="00862F5B" w:rsidRPr="005E779E" w:rsidRDefault="00862F5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 июня 1931 г. с аэродрома Тальедо под Миланом состоялся первый полет на планёре с ракетным двигателем «Avio Razzo Cattaneo» итальянского пилоталюбителя Этторе Каттанео (1898–1972), который он сам спроектировал и</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построил. Выполнил несколько пилотажных фигур планер</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успешно приземлился. За это достижение итальянский король Виктор Эммануил III даровал Этторе Каттанео титул графа Тальедо (23372).</w:t>
      </w:r>
    </w:p>
    <w:p w14:paraId="3C1ADBF2" w14:textId="77777777" w:rsidR="00862F5B" w:rsidRPr="005E779E" w:rsidRDefault="00862F5B" w:rsidP="000B7A6C">
      <w:pPr>
        <w:spacing w:after="0" w:line="240" w:lineRule="auto"/>
        <w:jc w:val="both"/>
        <w:rPr>
          <w:rFonts w:ascii="Times New Roman" w:hAnsi="Times New Roman"/>
          <w:color w:val="000000" w:themeColor="text1"/>
          <w:sz w:val="16"/>
          <w:szCs w:val="16"/>
        </w:rPr>
      </w:pPr>
    </w:p>
    <w:p w14:paraId="3FFC37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 июня 1931 в Испании на выборах в учредительные кортесы ощутимую победу одержали республиканцы и социалисты (3186).</w:t>
      </w:r>
    </w:p>
    <w:p w14:paraId="49FC7B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624D109"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7D74475E"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0E2E0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 июня 1931 был готов И-5 с исправленным шасси конструкции инженера И.Ф.Петрова (191,23).</w:t>
      </w:r>
    </w:p>
    <w:p w14:paraId="4ABE0D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81930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 июня 1931 был датирован чертеж планера СК-8 С.П.К. (105,69).</w:t>
      </w:r>
    </w:p>
    <w:p w14:paraId="795C38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1FEC3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 июня 1930 в с. Урино, район Нижнего Новгорода приземлилась Мариз Бастье, летевшая из Парижа на Дальний Восток на авиетке Клемм с 40 сильным мотором. 30 часов летела без посадки сделав 2976 км. 4 июля Бастье вылетела из Москвы на родину (438,624).</w:t>
      </w:r>
    </w:p>
    <w:p w14:paraId="059F66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F20F5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 июня 1931 француженка Бастье на моноплане "Клемм" с двигателем мощностью 40 л.с., преодолев за 30 часов без посадки 2976 км, она приземлилась на полевой площадке у села Урино под Нижним Новгородом. Полученный результат соответствовал мировому рекорду дальности полета для женщин (он продержался около года). При возвращении на родину 4 июля 1931 г. Мариза совершила посадку на Центральном аэродроме Москвы, где была встречена тепло и радушно. Еще одно посещение французской летчицей Советского Союза произошло в 1937 г. На моноплане Кодрон "Симун" Мариза Бастье вдвоем с Сюзанной Телье предприняла скоростной дальний перелет с промежуточными посадками по маршруту Париж-Москва-Казань-Омск-Иркутск (11947).</w:t>
      </w:r>
    </w:p>
    <w:p w14:paraId="3E76AE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A0C7D47"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7C2EF5EA"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09D0C2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 июня 1931 папа римский Пий XI осудил вынуждение итальянских детей приносить фашистскую присягу (4962).</w:t>
      </w:r>
    </w:p>
    <w:p w14:paraId="13E79DE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A1F5D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 июня 1931 в Болгарии к власти пришло правительство Нарлдного блока (3960, 253).</w:t>
      </w:r>
    </w:p>
    <w:p w14:paraId="5B623A0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58624D"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73BFFC4F"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73F68D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 июня 1931 в НИИ ВВС проходили испытание самолета ТБ1 № 669 с 2 моторами БМВVI, которые проходили с 1 июня 1931.</w:t>
      </w:r>
    </w:p>
    <w:p w14:paraId="46A51F8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измененной конструкции, постройки завода № 22. Основные изменения: установлены моторы со степенью сжатия Е-7,3, установлено жесткое управление рулями, усилен радиатор, устранен ряд недочетов, отмеченных при испытаниях серийного самолета.</w:t>
      </w:r>
    </w:p>
    <w:p w14:paraId="47B72C5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Цель работы</w:t>
      </w:r>
    </w:p>
    <w:p w14:paraId="592D35E9"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Испытания с целью выявления полетно-эксплоатационных данных самолета с моторами со степенью сжатия Е=7,3 сравнительно с самолетами, имеющими моторы со степенью сжатия Е-6.</w:t>
      </w:r>
    </w:p>
    <w:p w14:paraId="367A14D8"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Испытание и оценка конструктивных изменений и поверка устранения недочетов.</w:t>
      </w:r>
    </w:p>
    <w:p w14:paraId="047E7D3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Испытание начато 1 июня 1931 года</w:t>
      </w:r>
    </w:p>
    <w:p w14:paraId="039632D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Испытание окончено 30 июня 1931 года</w:t>
      </w:r>
    </w:p>
    <w:p w14:paraId="3428709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Общее число дней – 30</w:t>
      </w:r>
    </w:p>
    <w:p w14:paraId="0E74239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 полетов – 12</w:t>
      </w:r>
    </w:p>
    <w:p w14:paraId="1885ACA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w:t>
      </w:r>
    </w:p>
    <w:p w14:paraId="5B3C310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эксплуатации самолетов ТБ1 с полетным весом до 8000 кг установка моторов БМВ VI Е-7,3 нецелесообразна (6933).</w:t>
      </w:r>
    </w:p>
    <w:p w14:paraId="2F315DD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3E8DBF7" w14:textId="77777777" w:rsidR="00877950" w:rsidRPr="005E779E" w:rsidRDefault="008779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 июня 1931 летчик Бенедикт Бухгольц совершил первый проб</w:t>
      </w:r>
      <w:r w:rsidRPr="005E779E">
        <w:rPr>
          <w:rFonts w:ascii="Times New Roman" w:hAnsi="Times New Roman"/>
          <w:color w:val="000000" w:themeColor="text1"/>
          <w:sz w:val="16"/>
          <w:szCs w:val="16"/>
        </w:rPr>
        <w:softHyphen/>
        <w:t>ный полет самолета в зоне Ходынского аэро</w:t>
      </w:r>
      <w:r w:rsidRPr="005E779E">
        <w:rPr>
          <w:rFonts w:ascii="Times New Roman" w:hAnsi="Times New Roman"/>
          <w:color w:val="000000" w:themeColor="text1"/>
          <w:sz w:val="16"/>
          <w:szCs w:val="16"/>
        </w:rPr>
        <w:softHyphen/>
        <w:t>дрома. Естественно, перед полетом имелись опасения в отношении управляемости такой тяжелой машины в воздухе, интересовало в частности, как поведет себя стабилирон. Бухгольц после приземления все опасения развеял, заявив буквально следующее: «Устойчивость в воздухе хорошая. Легкость управления самолетом невиданная. Очень малы нагрузки на рули».</w:t>
      </w:r>
    </w:p>
    <w:p w14:paraId="674B5FAE" w14:textId="77777777" w:rsidR="00877950" w:rsidRPr="005E779E" w:rsidRDefault="008779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20 июля 1931 г. самолет совершил 4 успешных полета. При взлетном весе 11200 кг, запасе топлива 1850 кг, даль</w:t>
      </w:r>
      <w:r w:rsidRPr="005E779E">
        <w:rPr>
          <w:rFonts w:ascii="Times New Roman" w:hAnsi="Times New Roman"/>
          <w:color w:val="000000" w:themeColor="text1"/>
          <w:sz w:val="16"/>
          <w:szCs w:val="16"/>
        </w:rPr>
        <w:softHyphen/>
        <w:t>ность полета определялась в 1100 км. Достигнутая продолжительность нахож</w:t>
      </w:r>
      <w:r w:rsidRPr="005E779E">
        <w:rPr>
          <w:rFonts w:ascii="Times New Roman" w:hAnsi="Times New Roman"/>
          <w:color w:val="000000" w:themeColor="text1"/>
          <w:sz w:val="16"/>
          <w:szCs w:val="16"/>
        </w:rPr>
        <w:softHyphen/>
        <w:t>дения в воздухе при крейсерской скорости 162 км/ч на высоте 3000 м составляла 6,7 ч.Максимальная дальность полета при пол</w:t>
      </w:r>
      <w:r w:rsidRPr="005E779E">
        <w:rPr>
          <w:rFonts w:ascii="Times New Roman" w:hAnsi="Times New Roman"/>
          <w:color w:val="000000" w:themeColor="text1"/>
          <w:sz w:val="16"/>
          <w:szCs w:val="16"/>
        </w:rPr>
        <w:softHyphen/>
        <w:t>ной загрузке топливом 2410 кг составляла 2100 км. Взлетный вес при этом —12060 кг, из них бомб 500 кг. Максимальная скорость составила 180 км/ч у земли, практический потолок — 3500 м, разбег на взлете — 400-420 м.</w:t>
      </w:r>
    </w:p>
    <w:p w14:paraId="51A284F4" w14:textId="77777777" w:rsidR="00877950" w:rsidRPr="005E779E" w:rsidRDefault="008779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Полученные на испытаниях летные характеристики ТБ-5 оценили как невысо</w:t>
      </w:r>
      <w:r w:rsidRPr="005E779E">
        <w:rPr>
          <w:rFonts w:ascii="Times New Roman" w:hAnsi="Times New Roman"/>
          <w:color w:val="000000" w:themeColor="text1"/>
          <w:sz w:val="16"/>
          <w:szCs w:val="16"/>
        </w:rPr>
        <w:softHyphen/>
        <w:t>кие, особенно в сравнении с уже летающим в течении полугода ТБ-3. Причиной полу</w:t>
      </w:r>
      <w:r w:rsidRPr="005E779E">
        <w:rPr>
          <w:rFonts w:ascii="Times New Roman" w:hAnsi="Times New Roman"/>
          <w:color w:val="000000" w:themeColor="text1"/>
          <w:sz w:val="16"/>
          <w:szCs w:val="16"/>
        </w:rPr>
        <w:softHyphen/>
        <w:t>ченных результатов являлась не вполне удачная тандемная установка двигателей Гном Рон «Юпитер». Двигатели были оснащены воздушными винтами, более подходящими для самолетов истребите</w:t>
      </w:r>
      <w:r w:rsidRPr="005E779E">
        <w:rPr>
          <w:rFonts w:ascii="Times New Roman" w:hAnsi="Times New Roman"/>
          <w:color w:val="000000" w:themeColor="text1"/>
          <w:sz w:val="16"/>
          <w:szCs w:val="16"/>
        </w:rPr>
        <w:softHyphen/>
        <w:t>лей, нежели для бомбардировщика. Кроме того, толкающие винты задних двигателей по условиям их размещения под крылом самолета пришлось значительно умень</w:t>
      </w:r>
      <w:r w:rsidRPr="005E779E">
        <w:rPr>
          <w:rFonts w:ascii="Times New Roman" w:hAnsi="Times New Roman"/>
          <w:color w:val="000000" w:themeColor="text1"/>
          <w:sz w:val="16"/>
          <w:szCs w:val="16"/>
        </w:rPr>
        <w:softHyphen/>
        <w:t>шить в диаметре.</w:t>
      </w:r>
    </w:p>
    <w:p w14:paraId="62D37050" w14:textId="77777777" w:rsidR="00877950" w:rsidRPr="005E779E" w:rsidRDefault="008779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Однако, в сравнении с ТБ-3, у бом</w:t>
      </w:r>
      <w:r w:rsidRPr="005E779E">
        <w:rPr>
          <w:rFonts w:ascii="Times New Roman" w:hAnsi="Times New Roman"/>
          <w:color w:val="000000" w:themeColor="text1"/>
          <w:sz w:val="16"/>
          <w:szCs w:val="16"/>
        </w:rPr>
        <w:softHyphen/>
        <w:t>бардировщика Григоровича имелись и неоспоримые преимущества. ТБ-5 имел более совершенную схему размещения оборонительных установок, внутрен</w:t>
      </w:r>
      <w:r w:rsidRPr="005E779E">
        <w:rPr>
          <w:rFonts w:ascii="Times New Roman" w:hAnsi="Times New Roman"/>
          <w:color w:val="000000" w:themeColor="text1"/>
          <w:sz w:val="16"/>
          <w:szCs w:val="16"/>
        </w:rPr>
        <w:softHyphen/>
        <w:t>нюю подвеску всего ассортимента бомб, обладал меньшими геометрическими размерами. Главным его достоинством считалась меньшая стоимость и мень</w:t>
      </w:r>
      <w:r w:rsidRPr="005E779E">
        <w:rPr>
          <w:rFonts w:ascii="Times New Roman" w:hAnsi="Times New Roman"/>
          <w:color w:val="000000" w:themeColor="text1"/>
          <w:sz w:val="16"/>
          <w:szCs w:val="16"/>
        </w:rPr>
        <w:softHyphen/>
        <w:t>шие трудозатраты при производстве. По последнему показателю ТБ-5 оценивался равнозначно с ТБ-1 и на четверть проще в изготовлении, чем ТБ-3.</w:t>
      </w:r>
    </w:p>
    <w:p w14:paraId="64888793" w14:textId="77777777" w:rsidR="00877950" w:rsidRPr="005E779E" w:rsidRDefault="008779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схеме ТБ-5 представлял собой высокоплан с разнесенным вертикальным оперением. Горизонтальное оперение имело дополнительную узкую плоскость с изменяемым в полете углом установки, которую называли стабилирон. Назначе</w:t>
      </w:r>
      <w:r w:rsidRPr="005E779E">
        <w:rPr>
          <w:rFonts w:ascii="Times New Roman" w:hAnsi="Times New Roman"/>
          <w:color w:val="000000" w:themeColor="text1"/>
          <w:sz w:val="16"/>
          <w:szCs w:val="16"/>
        </w:rPr>
        <w:softHyphen/>
        <w:t>ние стабилирона — облегчить усилия на рулях во время посадки и при изменении центровки.</w:t>
      </w:r>
    </w:p>
    <w:p w14:paraId="64C5FC6D" w14:textId="77777777" w:rsidR="00877950" w:rsidRPr="005E779E" w:rsidRDefault="008779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Конструкция самолета из металла с полотняной обшивкой. Фюзеляж фер</w:t>
      </w:r>
      <w:r w:rsidRPr="005E779E">
        <w:rPr>
          <w:rFonts w:ascii="Times New Roman" w:hAnsi="Times New Roman"/>
          <w:color w:val="000000" w:themeColor="text1"/>
          <w:sz w:val="16"/>
          <w:szCs w:val="16"/>
        </w:rPr>
        <w:softHyphen/>
        <w:t>менной конструкции, из труб, достаточно объемный. Бомбы крепились внутри по его бортам, на балках ДЕР-18 (в варианте с двигателями ФЭД до 2500 кг), поэтому члены экипажа могли свободно передви</w:t>
      </w:r>
      <w:r w:rsidRPr="005E779E">
        <w:rPr>
          <w:rFonts w:ascii="Times New Roman" w:hAnsi="Times New Roman"/>
          <w:color w:val="000000" w:themeColor="text1"/>
          <w:sz w:val="16"/>
          <w:szCs w:val="16"/>
        </w:rPr>
        <w:softHyphen/>
        <w:t>гаться по самолету от носа до хвоста. Для обеспечения транспортировки по железной дороге фюзеляж состоял из трех разъем</w:t>
      </w:r>
      <w:r w:rsidRPr="005E779E">
        <w:rPr>
          <w:rFonts w:ascii="Times New Roman" w:hAnsi="Times New Roman"/>
          <w:color w:val="000000" w:themeColor="text1"/>
          <w:sz w:val="16"/>
          <w:szCs w:val="16"/>
        </w:rPr>
        <w:softHyphen/>
        <w:t>ных частей: носовой — до задней кромки крыла, средней — до передней кромки стабилизатора, и хвостовой. Добавим, что согласно проекту, в длительных полетах летчики могли пользоваться туалетной комнатой и четырьмя подвесными гама</w:t>
      </w:r>
      <w:r w:rsidRPr="005E779E">
        <w:rPr>
          <w:rFonts w:ascii="Times New Roman" w:hAnsi="Times New Roman"/>
          <w:color w:val="000000" w:themeColor="text1"/>
          <w:sz w:val="16"/>
          <w:szCs w:val="16"/>
        </w:rPr>
        <w:softHyphen/>
        <w:t>ками для отдыха.</w:t>
      </w:r>
    </w:p>
    <w:p w14:paraId="1A71BC43" w14:textId="77777777" w:rsidR="00877950" w:rsidRPr="005E779E" w:rsidRDefault="008779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Оборонительное вооружение ТБ-5 состояло из трех турелей ТУ Р-5 со спарен</w:t>
      </w:r>
      <w:r w:rsidRPr="005E779E">
        <w:rPr>
          <w:rFonts w:ascii="Times New Roman" w:hAnsi="Times New Roman"/>
          <w:color w:val="000000" w:themeColor="text1"/>
          <w:sz w:val="16"/>
          <w:szCs w:val="16"/>
        </w:rPr>
        <w:softHyphen/>
        <w:t>ными пулеметами ДА. Одна турель нахо</w:t>
      </w:r>
      <w:r w:rsidRPr="005E779E">
        <w:rPr>
          <w:rFonts w:ascii="Times New Roman" w:hAnsi="Times New Roman"/>
          <w:color w:val="000000" w:themeColor="text1"/>
          <w:sz w:val="16"/>
          <w:szCs w:val="16"/>
        </w:rPr>
        <w:softHyphen/>
        <w:t>дилась над штурманской кабиной, перед фонарем пилотов. Кроме этого имелась одна центральная ТУР-5 сразу за крылом и еще одна турель в самом хвосте.</w:t>
      </w:r>
    </w:p>
    <w:p w14:paraId="185027F1" w14:textId="77777777" w:rsidR="00877950" w:rsidRPr="005E779E" w:rsidRDefault="008779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Особое место в носовой части фюзе</w:t>
      </w:r>
      <w:r w:rsidRPr="005E779E">
        <w:rPr>
          <w:rFonts w:ascii="Times New Roman" w:hAnsi="Times New Roman"/>
          <w:color w:val="000000" w:themeColor="text1"/>
          <w:sz w:val="16"/>
          <w:szCs w:val="16"/>
        </w:rPr>
        <w:softHyphen/>
        <w:t>ляжа отводилось подвижной стрелковой башне, разработанной в секции вооруже</w:t>
      </w:r>
      <w:r w:rsidRPr="005E779E">
        <w:rPr>
          <w:rFonts w:ascii="Times New Roman" w:hAnsi="Times New Roman"/>
          <w:color w:val="000000" w:themeColor="text1"/>
          <w:sz w:val="16"/>
          <w:szCs w:val="16"/>
        </w:rPr>
        <w:softHyphen/>
        <w:t>ния под руководством А.В. Надашкевича. Практически это была первая в стране заявка на серьезную механизированную и электрифицированную оборонитель</w:t>
      </w:r>
      <w:r w:rsidRPr="005E779E">
        <w:rPr>
          <w:rFonts w:ascii="Times New Roman" w:hAnsi="Times New Roman"/>
          <w:color w:val="000000" w:themeColor="text1"/>
          <w:sz w:val="16"/>
          <w:szCs w:val="16"/>
        </w:rPr>
        <w:softHyphen/>
        <w:t>ную установку. Конструктор вооружения Г.М. Можаровский, который принимал участие в этой работе, впоследствии вспоминал: «Башня представляла собой цилиндрической формы стакан, вра</w:t>
      </w:r>
      <w:r w:rsidRPr="005E779E">
        <w:rPr>
          <w:rFonts w:ascii="Times New Roman" w:hAnsi="Times New Roman"/>
          <w:color w:val="000000" w:themeColor="text1"/>
          <w:sz w:val="16"/>
          <w:szCs w:val="16"/>
        </w:rPr>
        <w:softHyphen/>
        <w:t>щающийся вокруг вертикальной оси, имела узкую щель для движения двух пулеметов в вертикальной плоскости. Перемещение пулеметов в горизонтальной плоскости производилось одновременно с поворотом башни. Стрелок размещался внутри этого стакана и, в случае необходимости, мог выброситься через большую дверь, рас</w:t>
      </w:r>
      <w:r w:rsidRPr="005E779E">
        <w:rPr>
          <w:rFonts w:ascii="Times New Roman" w:hAnsi="Times New Roman"/>
          <w:color w:val="000000" w:themeColor="text1"/>
          <w:sz w:val="16"/>
          <w:szCs w:val="16"/>
        </w:rPr>
        <w:softHyphen/>
        <w:t>положенную за его спиной.</w:t>
      </w:r>
    </w:p>
    <w:p w14:paraId="5618F49C" w14:textId="77777777" w:rsidR="00877950" w:rsidRPr="005E779E" w:rsidRDefault="008779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Эта носовая башня должна была заключать в себе ряд новинок. В ней впервые предстояло установить два спаренных станковых пулемета ПВ-1, сделанных на базе пехотных «максимов», у которых вместо водяного применялось воздушное охлаждение. Башня, являв</w:t>
      </w:r>
      <w:r w:rsidRPr="005E779E">
        <w:rPr>
          <w:rFonts w:ascii="Times New Roman" w:hAnsi="Times New Roman"/>
          <w:color w:val="000000" w:themeColor="text1"/>
          <w:sz w:val="16"/>
          <w:szCs w:val="16"/>
        </w:rPr>
        <w:softHyphen/>
        <w:t>шаяся подвижной установкой, впервые вооружалась пулеметами с непрерывным ленточным питанием. Поворот башни в горизонтальной плоскости происходил от электропривода, а в вертикальной плоско</w:t>
      </w:r>
      <w:r w:rsidRPr="005E779E">
        <w:rPr>
          <w:rFonts w:ascii="Times New Roman" w:hAnsi="Times New Roman"/>
          <w:color w:val="000000" w:themeColor="text1"/>
          <w:sz w:val="16"/>
          <w:szCs w:val="16"/>
        </w:rPr>
        <w:softHyphen/>
        <w:t>сти его производил сам стрелок, сидевший на сиденье и своим весом уравновеши</w:t>
      </w:r>
      <w:r w:rsidRPr="005E779E">
        <w:rPr>
          <w:rFonts w:ascii="Times New Roman" w:hAnsi="Times New Roman"/>
          <w:color w:val="000000" w:themeColor="text1"/>
          <w:sz w:val="16"/>
          <w:szCs w:val="16"/>
        </w:rPr>
        <w:softHyphen/>
        <w:t>вающий вес оружия. Чтобы осуществлять наводку оружия в вертикальной плоскости, достаточно было стрелку легко упереться ногами в пол».</w:t>
      </w:r>
    </w:p>
    <w:p w14:paraId="166CD705" w14:textId="77777777" w:rsidR="00877950" w:rsidRPr="005E779E" w:rsidRDefault="008779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Крыло ТБ-5 трехлонжеронное, с частым шагом нервюр (поэтому и очень трудоем</w:t>
      </w:r>
      <w:r w:rsidRPr="005E779E">
        <w:rPr>
          <w:rFonts w:ascii="Times New Roman" w:hAnsi="Times New Roman"/>
          <w:color w:val="000000" w:themeColor="text1"/>
          <w:sz w:val="16"/>
          <w:szCs w:val="16"/>
        </w:rPr>
        <w:softHyphen/>
        <w:t>кое, особенно но части крепления полотня</w:t>
      </w:r>
      <w:r w:rsidRPr="005E779E">
        <w:rPr>
          <w:rFonts w:ascii="Times New Roman" w:hAnsi="Times New Roman"/>
          <w:color w:val="000000" w:themeColor="text1"/>
          <w:sz w:val="16"/>
          <w:szCs w:val="16"/>
        </w:rPr>
        <w:softHyphen/>
        <w:t>ной обшивки), имело небольшие подкосы к фюзеляжу. Дополнительным назначением подкосов было получение более жесткой конструкции крепления двигателей.</w:t>
      </w:r>
    </w:p>
    <w:p w14:paraId="6881A631" w14:textId="77777777" w:rsidR="00877950" w:rsidRPr="005E779E" w:rsidRDefault="008779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самолете с каждой стороны фюзеляжа под крылом устанавливались по два двига</w:t>
      </w:r>
      <w:r w:rsidRPr="005E779E">
        <w:rPr>
          <w:rFonts w:ascii="Times New Roman" w:hAnsi="Times New Roman"/>
          <w:color w:val="000000" w:themeColor="text1"/>
          <w:sz w:val="16"/>
          <w:szCs w:val="16"/>
        </w:rPr>
        <w:softHyphen/>
        <w:t>теля Гном Рон «Юпитер» мощностью 480 л.с. (у нас впоследствии его обозначали как М-22), один за другим, причем задний двигатель был снабжен для улучшения охлаждения головок цилиндров кольцом Тауненда. Воздушные винты деревянные, передний — тянущий, задний — толкающий (12611).</w:t>
      </w:r>
    </w:p>
    <w:p w14:paraId="50D19BAA" w14:textId="77777777" w:rsidR="00877950" w:rsidRPr="005E779E" w:rsidRDefault="00877950" w:rsidP="000B7A6C">
      <w:pPr>
        <w:spacing w:after="0" w:line="240" w:lineRule="auto"/>
        <w:jc w:val="both"/>
        <w:rPr>
          <w:rFonts w:ascii="Times New Roman" w:hAnsi="Times New Roman"/>
          <w:color w:val="000000" w:themeColor="text1"/>
          <w:sz w:val="16"/>
          <w:szCs w:val="16"/>
        </w:rPr>
      </w:pPr>
    </w:p>
    <w:p w14:paraId="144D97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 июня 1931 летчик Б.Бухгольц совершил первый пробный полет на ТБ-5 в зоне Ходынского аэродрома. Перед полетом высказывались опасения в отношении управляемости такой тяжелой машины, всех интересовало в частности, как поведет себя стабилирон. Бухгольц после приземления опасения развеял, заявив буквально следующее: «Устойчивость в воздухе хорошая. Легкость управления самолетом невиданная. Очень малы нагрузки на рули» (5854,34).</w:t>
      </w:r>
    </w:p>
    <w:p w14:paraId="7FC88B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BA605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 июня 1931 был закончен постройкой (3029,207) и состоялся первый полет ТБ-5. Еще до начала заводских решили сделать войсковую серию из 5, чтобы сравнить с ТБ-3 (АНТ-6) (80,309). Оказался хуже ТБ-3 (АНТ-6), испытания затянулись и в конце 1931 - остановились, так как уже был готов ТБ-3 (АНТ-6) (92,435).</w:t>
      </w:r>
    </w:p>
    <w:p w14:paraId="3B3323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3EF0E96" w14:textId="77777777" w:rsidR="002E2179" w:rsidRPr="005E779E" w:rsidRDefault="002E217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30-го июня 1931 летчик–испытатель Б.Л. Бухгольц совершил первый пробный полет ТБ-5 вблизи Центрального аэродрома. Перед полетом высказывались опасения в отношении управляемости такой тяжелой машины. Всех интересовало, в частности, как поведет себя «стабилирон». Бухгольц после приземления развеял все сомнения, заявив следующее:</w:t>
      </w:r>
    </w:p>
    <w:p w14:paraId="750F4CCE" w14:textId="77777777" w:rsidR="002E2179" w:rsidRPr="005E779E" w:rsidRDefault="002E217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Устойчивость в воздухе хорошая. Легкость управления машиной невиданная. Очень малы нагрузки на рули.</w:t>
      </w:r>
    </w:p>
    <w:p w14:paraId="67028381" w14:textId="77777777" w:rsidR="002E2179" w:rsidRPr="005E779E" w:rsidRDefault="002E217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20-му июля самолет совершил несколько успешных полетов. Максимальная дальность при полной загрузке составила 2100 км. Полетная масса при этом равнялась 12060 кг, из них топливо - 2410 кг, бомбовая нагрузка - 500 кг. Максимальная скорость составила 180 км/час у земли, практический потолок 3500 м, разбег при взлете 400-420 м.</w:t>
      </w:r>
    </w:p>
    <w:p w14:paraId="667BD1B0" w14:textId="77777777" w:rsidR="002E2179" w:rsidRPr="005E779E" w:rsidRDefault="002E217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Однако полученные на испытаниях летные характеристики ТБ-5 оценивались как невысокие в сравнении с уже летавшим в течение полугода бомбардировщиком ТБ-3, опытный экземпляр которого был поднят летчиком М.М. Громовым 22-го декабря 1930 года. Причиной тому являлась не вполне удачная мотоустановка ТБ-5. Двигатели были оснащены воздушными винтами, более подходящими для истребителей. Кроме того, винты задних «Юпитеров» пришлось значительно уменьшить в диаметре из-за невозможности размещения их под крылом.</w:t>
      </w:r>
    </w:p>
    <w:p w14:paraId="3728475F" w14:textId="77777777" w:rsidR="002E2179" w:rsidRPr="005E779E" w:rsidRDefault="002E217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Вместе с тем в сравнении с ТБ-3 у бомбардировщика Григоровича имелись и преимущества. ТБ-5 имел более совершенную схему размещения оборонительных установок, внутреннюю подвеску всего ассортимента бомб, обладал меньшими геометрическими размерами. Главным его достоинством считалась меньшая стоимость и меньшие трудозатраты при производстве. Улучшение летно–технических характеристик самолета связывали с установкой двигателей ФЭД. Летом 1931 года на моторном заводе № 24 находилось 12 ФЭДов, и еще на 10 имелся задел деталей (18293).</w:t>
      </w:r>
    </w:p>
    <w:p w14:paraId="1F46D9B6" w14:textId="77777777" w:rsidR="002E2179" w:rsidRPr="005E779E" w:rsidRDefault="002E2179" w:rsidP="000B7A6C">
      <w:pPr>
        <w:spacing w:after="0" w:line="240" w:lineRule="auto"/>
        <w:jc w:val="both"/>
        <w:rPr>
          <w:rFonts w:ascii="Times New Roman" w:hAnsi="Times New Roman"/>
          <w:color w:val="000000" w:themeColor="text1"/>
          <w:sz w:val="16"/>
          <w:szCs w:val="16"/>
        </w:rPr>
      </w:pPr>
    </w:p>
    <w:p w14:paraId="6B46D662" w14:textId="77777777" w:rsidR="00862F5B" w:rsidRPr="005E779E" w:rsidRDefault="00862F5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 июня 1931 г. ТБ-5 (ЦКБ-8), созданный в ЦКБ под ру</w:t>
      </w:r>
      <w:r w:rsidRPr="005E779E">
        <w:rPr>
          <w:rFonts w:ascii="Times New Roman" w:hAnsi="Times New Roman"/>
          <w:color w:val="000000" w:themeColor="text1"/>
          <w:sz w:val="16"/>
          <w:szCs w:val="16"/>
        </w:rPr>
        <w:softHyphen/>
        <w:t>ководством ДП. Григоровича, совершил первый полёт Он имел четыре фран</w:t>
      </w:r>
      <w:r w:rsidRPr="005E779E">
        <w:rPr>
          <w:rFonts w:ascii="Times New Roman" w:hAnsi="Times New Roman"/>
          <w:color w:val="000000" w:themeColor="text1"/>
          <w:sz w:val="16"/>
          <w:szCs w:val="16"/>
        </w:rPr>
        <w:softHyphen/>
        <w:t>цузских мотора Гном-Рон 9Акх. Са</w:t>
      </w:r>
      <w:r w:rsidRPr="005E779E">
        <w:rPr>
          <w:rFonts w:ascii="Times New Roman" w:hAnsi="Times New Roman"/>
          <w:color w:val="000000" w:themeColor="text1"/>
          <w:sz w:val="16"/>
          <w:szCs w:val="16"/>
        </w:rPr>
        <w:softHyphen/>
        <w:t>молёт имел ряд преимуществ по сравнению с ТБ-3 в компоновке, но лётные данные оказались хуже. Так как ТБ-3 уже строился серийно, работу по ТБ-5 закрыли (23469).</w:t>
      </w:r>
    </w:p>
    <w:p w14:paraId="179B6F61" w14:textId="77777777" w:rsidR="00862F5B" w:rsidRPr="005E779E" w:rsidRDefault="00862F5B" w:rsidP="000B7A6C">
      <w:pPr>
        <w:spacing w:after="0" w:line="240" w:lineRule="auto"/>
        <w:jc w:val="both"/>
        <w:rPr>
          <w:rFonts w:ascii="Times New Roman" w:hAnsi="Times New Roman"/>
          <w:color w:val="000000" w:themeColor="text1"/>
          <w:sz w:val="16"/>
          <w:szCs w:val="16"/>
        </w:rPr>
      </w:pPr>
    </w:p>
    <w:p w14:paraId="410CA6CB" w14:textId="77777777" w:rsidR="00862F5B" w:rsidRPr="005E779E" w:rsidRDefault="00862F5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 июня 1931 г. состоялся первый пробный полёт ТБ-5 (ЦКБ-8), а к 20 июля самолет совершил 4 успешных полета. При массе 11200 кг, запасе топлива 1850 кг дальность полета составила 1100 км, продолжительность - 6,7 ч при крейсерской скорости 162 км/ч на высоте 3000 м. Максимальная дальность при полной загрузке топливом 2410 кг составила 2100 км. Полетная масса при этом - 12060 кг, из них бомб 500 кг. Максимальная скорость составила 180 км/ч у земли, практический потолок 3500 м, разбег на взлете 400-420 м.</w:t>
      </w:r>
    </w:p>
    <w:p w14:paraId="1D678953" w14:textId="77777777" w:rsidR="00862F5B" w:rsidRPr="005E779E" w:rsidRDefault="00862F5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Полученные летные данные ТБ-5 оценивались как невысокие. Причиной была не вполне удачная мотоустановка с воздушными винтами, более подхо</w:t>
      </w:r>
      <w:r w:rsidRPr="005E779E">
        <w:rPr>
          <w:rFonts w:ascii="Times New Roman" w:hAnsi="Times New Roman"/>
          <w:color w:val="000000" w:themeColor="text1"/>
          <w:sz w:val="16"/>
          <w:szCs w:val="16"/>
        </w:rPr>
        <w:softHyphen/>
        <w:t>дящими для истребителей. Кроме того, винты задних «Юпитеров» пришлось значительно уменьшить в диаметре из-за размещения их под крылом.</w:t>
      </w:r>
    </w:p>
    <w:p w14:paraId="280BE4E2" w14:textId="77777777" w:rsidR="00862F5B" w:rsidRPr="005E779E" w:rsidRDefault="00862F5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Судьбу самолёта решил аварийный случай, произо</w:t>
      </w:r>
      <w:r w:rsidRPr="005E779E">
        <w:rPr>
          <w:rFonts w:ascii="Times New Roman" w:hAnsi="Times New Roman"/>
          <w:color w:val="000000" w:themeColor="text1"/>
          <w:sz w:val="16"/>
          <w:szCs w:val="16"/>
        </w:rPr>
        <w:softHyphen/>
        <w:t>шедший в мае 1932 года. В полёте на высоте 800 м левый задний двигатель сорвался с моторамы и повис, зацепившись за шасси. Пилот М.Громов успешно посадил самолёт, однако до его восстановления дело так и не дошло. В феврале 1933 г. начальник ГУАП Баранов распорядился: «Самолет разобрать. Дальнейшие работы по этому самолету прекратить» (23907).</w:t>
      </w:r>
    </w:p>
    <w:p w14:paraId="6B5880A0" w14:textId="77777777" w:rsidR="00862F5B" w:rsidRPr="005E779E" w:rsidRDefault="00862F5B" w:rsidP="000B7A6C">
      <w:pPr>
        <w:spacing w:after="0" w:line="240" w:lineRule="auto"/>
        <w:jc w:val="both"/>
        <w:rPr>
          <w:rFonts w:ascii="Times New Roman" w:hAnsi="Times New Roman"/>
          <w:color w:val="000000" w:themeColor="text1"/>
          <w:sz w:val="16"/>
          <w:szCs w:val="16"/>
        </w:rPr>
      </w:pPr>
    </w:p>
    <w:p w14:paraId="7C1AD8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 июня 1931 был подготовлен Отчет об испытании прибора ДАП-Д на сам. И-3.</w:t>
      </w:r>
    </w:p>
    <w:p w14:paraId="2CF2BD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Выводы:</w:t>
      </w:r>
    </w:p>
    <w:p w14:paraId="7763FD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Прибор может быть применен для создания вертикальных дымовых завес с истребительных самолетов (3208,283-295).</w:t>
      </w:r>
    </w:p>
    <w:p w14:paraId="520A8F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A2C6E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 июня 1931 Правда писала об успешном опыте перевозки на самолете матриц Правды (442,69).</w:t>
      </w:r>
    </w:p>
    <w:p w14:paraId="15A7AA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C3A34EE" w14:textId="77777777" w:rsidR="00877950"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400D81B3" w14:textId="77777777" w:rsidR="00877950" w:rsidRPr="005E779E" w:rsidRDefault="00877950"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13597CD" w14:textId="77777777" w:rsidR="007908DF" w:rsidRPr="005E779E" w:rsidRDefault="007908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 июня 1931 г. немецкая 152-мм мортира «Н» успешно прошла испытания на Главном артиллерийском полигоне в объеме 141 выстрела, которые шли с 5 июня, а осенью того же года она прошла войсковые испытания в 20-й стрелковой дивизии.</w:t>
      </w:r>
    </w:p>
    <w:p w14:paraId="600D8344" w14:textId="77777777" w:rsidR="007908DF" w:rsidRPr="005E779E" w:rsidRDefault="007908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152-мм мортира «Н» была принята на вооружение под названием 152-мм мортира обр. 1931 г. и в 1932 г. запущена в серийное производство на Пермском заводе. Однако удалось изготовить только 129 мортир. Куда там фирме «Рейнметалл» против нашего минометного лобби!</w:t>
      </w:r>
    </w:p>
    <w:p w14:paraId="0171A1D9" w14:textId="77777777" w:rsidR="007908DF" w:rsidRPr="005E779E" w:rsidRDefault="007908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Тем не менее КБ завода № 172 (г. Пермь) провело модернизацию мортиры обр. 1931 г. и представило на испытания три новые 152-мм мортиры МЛ-21. Испытания выявили ряд мелких конструктивных недостатков.</w:t>
      </w:r>
    </w:p>
    <w:p w14:paraId="7F5AA2A6" w14:textId="77777777" w:rsidR="007908DF" w:rsidRPr="005E779E" w:rsidRDefault="007908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Минометное лобби в Артиллерийском управлении встретило МЛ-21 буквально в штыки. 13 июля 1938 г. из 2-го отдела Артуправления маршалу Кулику была направлена кляуза:</w:t>
      </w:r>
    </w:p>
    <w:p w14:paraId="531EA993" w14:textId="77777777" w:rsidR="007908DF" w:rsidRPr="005E779E" w:rsidRDefault="007908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«Испытания мортиры в войсках тоже показали неудовлетворительные результаты как по конструкции, так и по тактическим данным (для полка тяжела, а для дивизии маломощна). Кроме того, она не входила в систему вооружений. На основании изложенного Артиллерийский комитет считает необходимым дальнейшие работы по мортире прекратить».</w:t>
      </w:r>
    </w:p>
    <w:p w14:paraId="5A5C47BD" w14:textId="77777777" w:rsidR="007908DF" w:rsidRPr="005E779E" w:rsidRDefault="007908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 августа 1938 г. маршал Кулик в письме к наркому Ворошилову как попугай переписал все аргументы Артуправления и добавил от себя: «Прошу Вашего распоряжения о прекращении опытных работ по этой мортире». Работы по 152-мм дивизионным мортирам были прекращены окончательно (12705).</w:t>
      </w:r>
    </w:p>
    <w:p w14:paraId="2139079C" w14:textId="77777777" w:rsidR="007908DF" w:rsidRPr="005E779E" w:rsidRDefault="007908DF" w:rsidP="000B7A6C">
      <w:pPr>
        <w:spacing w:after="0" w:line="240" w:lineRule="auto"/>
        <w:jc w:val="both"/>
        <w:rPr>
          <w:rFonts w:ascii="Times New Roman" w:hAnsi="Times New Roman"/>
          <w:color w:val="000000" w:themeColor="text1"/>
          <w:sz w:val="16"/>
          <w:szCs w:val="16"/>
        </w:rPr>
      </w:pPr>
    </w:p>
    <w:p w14:paraId="23E5BF5E" w14:textId="77777777" w:rsidR="00877950" w:rsidRPr="005E779E" w:rsidRDefault="00877950"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30 июня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Постановление ЦИК и СНК СССР об отмене военно-производственной службы (СЗ. 1931. № 42. Ст. 287) (12415).</w:t>
      </w:r>
    </w:p>
    <w:p w14:paraId="3FEB4EDE" w14:textId="77777777" w:rsidR="00877950" w:rsidRPr="005E779E" w:rsidRDefault="00877950" w:rsidP="000B7A6C">
      <w:pPr>
        <w:spacing w:after="0" w:line="240" w:lineRule="auto"/>
        <w:jc w:val="both"/>
        <w:rPr>
          <w:rFonts w:ascii="Times New Roman" w:hAnsi="Times New Roman"/>
          <w:color w:val="000000" w:themeColor="text1"/>
          <w:sz w:val="16"/>
          <w:szCs w:val="16"/>
          <w:u w:color="002060"/>
        </w:rPr>
      </w:pPr>
    </w:p>
    <w:p w14:paraId="413D6CB2" w14:textId="77777777" w:rsidR="00877950" w:rsidRPr="005E779E" w:rsidRDefault="00877950"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30 июня 1931 </w:t>
      </w:r>
      <w:r w:rsidRPr="005E779E">
        <w:rPr>
          <w:rFonts w:ascii="Times New Roman" w:hAnsi="Times New Roman"/>
          <w:color w:val="000000" w:themeColor="text1"/>
          <w:sz w:val="16"/>
          <w:szCs w:val="16"/>
        </w:rPr>
        <w:t>Политбюро ЦК ВКП(б) одобрило проект постановления ЦИК и СНК об отходничестве; утвердило проект постановления ЦК ВКП (б) о мероприятиях по окончанию реконструкции и своевременному пуску московского автомобильного завода «АМО» (12265).</w:t>
      </w:r>
    </w:p>
    <w:p w14:paraId="6C7FBE88" w14:textId="77777777" w:rsidR="00877950" w:rsidRPr="005E779E" w:rsidRDefault="008779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ЦИК и СНК приняли постановление «Об отходничестве» (12265).</w:t>
      </w:r>
    </w:p>
    <w:p w14:paraId="7BBD4763" w14:textId="77777777" w:rsidR="00877950" w:rsidRPr="005E779E" w:rsidRDefault="008779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27689508" w14:textId="77777777" w:rsidR="00033436" w:rsidRPr="005E779E" w:rsidRDefault="00033436" w:rsidP="000B7A6C">
      <w:pPr>
        <w:spacing w:after="0" w:line="240" w:lineRule="auto"/>
        <w:jc w:val="both"/>
        <w:rPr>
          <w:rFonts w:ascii="Times New Roman" w:eastAsia="Times New Roman" w:hAnsi="Times New Roman"/>
          <w:bCs/>
          <w:color w:val="000000" w:themeColor="text1"/>
          <w:sz w:val="16"/>
          <w:szCs w:val="16"/>
          <w:lang w:eastAsia="ru-RU"/>
        </w:rPr>
      </w:pPr>
      <w:r w:rsidRPr="005E779E">
        <w:rPr>
          <w:rFonts w:ascii="Times New Roman" w:eastAsia="Times New Roman" w:hAnsi="Times New Roman"/>
          <w:bCs/>
          <w:color w:val="000000" w:themeColor="text1"/>
          <w:sz w:val="16"/>
          <w:szCs w:val="16"/>
          <w:lang w:eastAsia="ru-RU"/>
        </w:rPr>
        <w:t xml:space="preserve">30 июня 1931 г. О реконструкции завода “АМО”. (Предложения комиссии т. Андреева, утвержденные Политбюро ЦК 30 июня 1931 г.) Приложение № 3 к п. 13/29 пр. ПБ № 46. </w:t>
      </w:r>
    </w:p>
    <w:p w14:paraId="722A1551" w14:textId="77777777" w:rsidR="00033436" w:rsidRPr="005E779E" w:rsidRDefault="00033436"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Архив: </w:t>
      </w:r>
    </w:p>
    <w:p w14:paraId="5380B438" w14:textId="77777777" w:rsidR="00033436" w:rsidRPr="005E779E" w:rsidRDefault="00033436"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РГАСПИ. Ф. 17. Оп. 3. Д. 833. Л. 16-17.</w:t>
      </w:r>
    </w:p>
    <w:p w14:paraId="0B8EA27C" w14:textId="77777777" w:rsidR="00033436" w:rsidRPr="005E779E" w:rsidRDefault="00033436"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iCs/>
          <w:color w:val="000000" w:themeColor="text1"/>
          <w:sz w:val="16"/>
          <w:szCs w:val="16"/>
          <w:lang w:eastAsia="ru-RU"/>
        </w:rPr>
        <w:t>Приложение № 3</w:t>
      </w:r>
    </w:p>
    <w:p w14:paraId="79FC363A" w14:textId="77777777" w:rsidR="00033436" w:rsidRPr="005E779E" w:rsidRDefault="00033436"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iCs/>
          <w:color w:val="000000" w:themeColor="text1"/>
          <w:sz w:val="16"/>
          <w:szCs w:val="16"/>
          <w:lang w:eastAsia="ru-RU"/>
        </w:rPr>
        <w:t>к п. 13/29 пр. ПБ № 46.</w:t>
      </w:r>
    </w:p>
    <w:p w14:paraId="5BB93E56" w14:textId="77777777" w:rsidR="00033436" w:rsidRPr="005E779E" w:rsidRDefault="00033436" w:rsidP="000B7A6C">
      <w:pPr>
        <w:spacing w:after="0" w:line="240" w:lineRule="auto"/>
        <w:jc w:val="both"/>
        <w:rPr>
          <w:rFonts w:ascii="Times New Roman" w:eastAsia="Times New Roman" w:hAnsi="Times New Roman"/>
          <w:bCs/>
          <w:color w:val="000000" w:themeColor="text1"/>
          <w:sz w:val="16"/>
          <w:szCs w:val="16"/>
          <w:lang w:eastAsia="ru-RU"/>
        </w:rPr>
      </w:pPr>
      <w:r w:rsidRPr="005E779E">
        <w:rPr>
          <w:rFonts w:ascii="Times New Roman" w:eastAsia="Times New Roman" w:hAnsi="Times New Roman"/>
          <w:bCs/>
          <w:color w:val="000000" w:themeColor="text1"/>
          <w:sz w:val="16"/>
          <w:szCs w:val="16"/>
          <w:lang w:eastAsia="ru-RU"/>
        </w:rPr>
        <w:t>О реконструкции завода “АМО”.</w:t>
      </w:r>
    </w:p>
    <w:p w14:paraId="6C995F67" w14:textId="77777777" w:rsidR="00033436" w:rsidRPr="005E779E" w:rsidRDefault="00033436"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(Предложения комиссии т. Андреева, утвержденные Политбюро ЦК 30 июня 1931 г.)</w:t>
      </w:r>
    </w:p>
    <w:p w14:paraId="52EDDD6A" w14:textId="77777777" w:rsidR="00033436" w:rsidRPr="005E779E" w:rsidRDefault="00033436"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Заслушав доклад о ходе реконструкции завода “АМО” ЦК ВКП(б) отмечает запоздание с окончанием работ по реконструкции, против установленного срока (1 июня 1931 г.); медленные темпы и неудовлетворительное качество строительных работ, осуществляемых Московской конторой “Строитель”.</w:t>
      </w:r>
    </w:p>
    <w:p w14:paraId="0A541409" w14:textId="77777777" w:rsidR="00033436" w:rsidRPr="005E779E" w:rsidRDefault="00033436"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ЦК ВКП(б) постановляет:</w:t>
      </w:r>
    </w:p>
    <w:p w14:paraId="56915FA8" w14:textId="77777777" w:rsidR="00033436" w:rsidRPr="005E779E" w:rsidRDefault="00033436"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bCs/>
          <w:color w:val="000000" w:themeColor="text1"/>
          <w:sz w:val="16"/>
          <w:szCs w:val="16"/>
          <w:lang w:eastAsia="ru-RU"/>
        </w:rPr>
        <w:t>1</w:t>
      </w:r>
      <w:r w:rsidRPr="005E779E">
        <w:rPr>
          <w:rFonts w:ascii="Times New Roman" w:eastAsia="Times New Roman" w:hAnsi="Times New Roman"/>
          <w:color w:val="000000" w:themeColor="text1"/>
          <w:sz w:val="16"/>
          <w:szCs w:val="16"/>
          <w:lang w:eastAsia="ru-RU"/>
        </w:rPr>
        <w:t>. Обязать контору “Строитель”, под личной ответственностью т. Прокофьева, закончить все строительные работы не позднее 15.VII.1931 г.</w:t>
      </w:r>
    </w:p>
    <w:p w14:paraId="220F8753" w14:textId="77777777" w:rsidR="00033436" w:rsidRPr="005E779E" w:rsidRDefault="00033436"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bCs/>
          <w:color w:val="000000" w:themeColor="text1"/>
          <w:sz w:val="16"/>
          <w:szCs w:val="16"/>
          <w:lang w:eastAsia="ru-RU"/>
        </w:rPr>
        <w:t>2</w:t>
      </w:r>
      <w:r w:rsidRPr="005E779E">
        <w:rPr>
          <w:rFonts w:ascii="Times New Roman" w:eastAsia="Times New Roman" w:hAnsi="Times New Roman"/>
          <w:color w:val="000000" w:themeColor="text1"/>
          <w:sz w:val="16"/>
          <w:szCs w:val="16"/>
          <w:lang w:eastAsia="ru-RU"/>
        </w:rPr>
        <w:t>. Согласиться с решением ВСНХ СССР об установлении срока пуска завода “АМО” 1</w:t>
      </w:r>
      <w:r w:rsidRPr="005E779E">
        <w:rPr>
          <w:rFonts w:ascii="Times New Roman" w:eastAsia="Times New Roman" w:hAnsi="Times New Roman"/>
          <w:color w:val="000000" w:themeColor="text1"/>
          <w:sz w:val="16"/>
          <w:szCs w:val="16"/>
          <w:lang w:eastAsia="ru-RU"/>
        </w:rPr>
        <w:noBreakHyphen/>
        <w:t>го августа 1931 года.</w:t>
      </w:r>
    </w:p>
    <w:p w14:paraId="48C74615" w14:textId="77777777" w:rsidR="00033436" w:rsidRPr="005E779E" w:rsidRDefault="00033436"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Считать необходимым установить для завода “АМО” двухмесячный пусковой период для проверки технологических процессов, освоения оборудования, подготовки инструментов и т. д. с тем, чтобы завод приступил к развернутой работе по выполнению программы с 1.Х.1931 г.</w:t>
      </w:r>
    </w:p>
    <w:p w14:paraId="1FD85FAF" w14:textId="77777777" w:rsidR="00033436" w:rsidRPr="005E779E" w:rsidRDefault="00033436"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Обязать ВСНХ СССР установить программу выпуска машин заводом “АМО” в 1931 г. не позднее 15 августа 1931 г.</w:t>
      </w:r>
    </w:p>
    <w:p w14:paraId="4ADB7E10" w14:textId="77777777" w:rsidR="00033436" w:rsidRPr="005E779E" w:rsidRDefault="00033436"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bCs/>
          <w:color w:val="000000" w:themeColor="text1"/>
          <w:sz w:val="16"/>
          <w:szCs w:val="16"/>
          <w:lang w:eastAsia="ru-RU"/>
        </w:rPr>
        <w:t>3</w:t>
      </w:r>
      <w:r w:rsidRPr="005E779E">
        <w:rPr>
          <w:rFonts w:ascii="Times New Roman" w:eastAsia="Times New Roman" w:hAnsi="Times New Roman"/>
          <w:color w:val="000000" w:themeColor="text1"/>
          <w:sz w:val="16"/>
          <w:szCs w:val="16"/>
          <w:lang w:eastAsia="ru-RU"/>
        </w:rPr>
        <w:t>. Для обеспечения быстрейшего окончания строительных работ вести строительные работы в две смены по 10 часов в день, сосредоточив особое внимание на строительстве литейной ковкого чугуна, томильного цеха, сушила и на отделочных работах других цехов.</w:t>
      </w:r>
    </w:p>
    <w:p w14:paraId="617FFC35" w14:textId="77777777" w:rsidR="00033436" w:rsidRPr="005E779E" w:rsidRDefault="00033436"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bCs/>
          <w:color w:val="000000" w:themeColor="text1"/>
          <w:sz w:val="16"/>
          <w:szCs w:val="16"/>
          <w:lang w:eastAsia="ru-RU"/>
        </w:rPr>
        <w:t>4</w:t>
      </w:r>
      <w:r w:rsidRPr="005E779E">
        <w:rPr>
          <w:rFonts w:ascii="Times New Roman" w:eastAsia="Times New Roman" w:hAnsi="Times New Roman"/>
          <w:color w:val="000000" w:themeColor="text1"/>
          <w:sz w:val="16"/>
          <w:szCs w:val="16"/>
          <w:lang w:eastAsia="ru-RU"/>
        </w:rPr>
        <w:t>. Принять к сведению, что московскими организациями принят уже ряд мер по форсированию хода строительных работ, в том числе: перебрасываются на завод “АМО” 1200 чел. дополнительных строительных рабочих, строительные работы обеспечиваются необходимыми механизмами, строительными материалами и гужевым транспортом.</w:t>
      </w:r>
    </w:p>
    <w:p w14:paraId="05FB79A4" w14:textId="77777777" w:rsidR="00033436" w:rsidRPr="005E779E" w:rsidRDefault="00033436"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bCs/>
          <w:color w:val="000000" w:themeColor="text1"/>
          <w:sz w:val="16"/>
          <w:szCs w:val="16"/>
          <w:lang w:eastAsia="ru-RU"/>
        </w:rPr>
        <w:t>5</w:t>
      </w:r>
      <w:r w:rsidRPr="005E779E">
        <w:rPr>
          <w:rFonts w:ascii="Times New Roman" w:eastAsia="Times New Roman" w:hAnsi="Times New Roman"/>
          <w:color w:val="000000" w:themeColor="text1"/>
          <w:sz w:val="16"/>
          <w:szCs w:val="16"/>
          <w:lang w:eastAsia="ru-RU"/>
        </w:rPr>
        <w:t>. Обязать “Авторемснаб” в 5</w:t>
      </w:r>
      <w:r w:rsidRPr="005E779E">
        <w:rPr>
          <w:rFonts w:ascii="Times New Roman" w:eastAsia="Times New Roman" w:hAnsi="Times New Roman"/>
          <w:color w:val="000000" w:themeColor="text1"/>
          <w:sz w:val="16"/>
          <w:szCs w:val="16"/>
          <w:lang w:eastAsia="ru-RU"/>
        </w:rPr>
        <w:noBreakHyphen/>
        <w:t>дневный срок выделить заводу “АМО” 10 грузовых машин.</w:t>
      </w:r>
    </w:p>
    <w:p w14:paraId="1B7629C6" w14:textId="77777777" w:rsidR="00033436" w:rsidRPr="005E779E" w:rsidRDefault="00033436"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bCs/>
          <w:color w:val="000000" w:themeColor="text1"/>
          <w:sz w:val="16"/>
          <w:szCs w:val="16"/>
          <w:lang w:eastAsia="ru-RU"/>
        </w:rPr>
        <w:t>6</w:t>
      </w:r>
      <w:r w:rsidRPr="005E779E">
        <w:rPr>
          <w:rFonts w:ascii="Times New Roman" w:eastAsia="Times New Roman" w:hAnsi="Times New Roman"/>
          <w:color w:val="000000" w:themeColor="text1"/>
          <w:sz w:val="16"/>
          <w:szCs w:val="16"/>
          <w:lang w:eastAsia="ru-RU"/>
        </w:rPr>
        <w:t>. Обязать ВСНХ СССР своевременно обеспечить необходимые фонды строительных материалов на 3</w:t>
      </w:r>
      <w:r w:rsidRPr="005E779E">
        <w:rPr>
          <w:rFonts w:ascii="Times New Roman" w:eastAsia="Times New Roman" w:hAnsi="Times New Roman"/>
          <w:color w:val="000000" w:themeColor="text1"/>
          <w:sz w:val="16"/>
          <w:szCs w:val="16"/>
          <w:lang w:eastAsia="ru-RU"/>
        </w:rPr>
        <w:noBreakHyphen/>
        <w:t>й квартал 1931 г.</w:t>
      </w:r>
    </w:p>
    <w:p w14:paraId="1F2D5651" w14:textId="26533089" w:rsidR="00033436" w:rsidRPr="005E779E" w:rsidRDefault="00033436"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bCs/>
          <w:color w:val="000000" w:themeColor="text1"/>
          <w:sz w:val="16"/>
          <w:szCs w:val="16"/>
          <w:lang w:eastAsia="ru-RU"/>
        </w:rPr>
        <w:t>7</w:t>
      </w:r>
      <w:r w:rsidRPr="005E779E">
        <w:rPr>
          <w:rFonts w:ascii="Times New Roman" w:eastAsia="Times New Roman" w:hAnsi="Times New Roman"/>
          <w:color w:val="000000" w:themeColor="text1"/>
          <w:sz w:val="16"/>
          <w:szCs w:val="16"/>
          <w:lang w:eastAsia="ru-RU"/>
        </w:rPr>
        <w:t>. Решение</w:t>
      </w:r>
      <w:r w:rsidR="00FE094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eastAsia="ru-RU"/>
        </w:rPr>
        <w:t>— особая папка.</w:t>
      </w:r>
    </w:p>
    <w:p w14:paraId="29551C8C" w14:textId="77777777" w:rsidR="00033436" w:rsidRPr="005E779E" w:rsidRDefault="00033436"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bCs/>
          <w:color w:val="000000" w:themeColor="text1"/>
          <w:sz w:val="16"/>
          <w:szCs w:val="16"/>
          <w:lang w:eastAsia="ru-RU"/>
        </w:rPr>
        <w:t>8</w:t>
      </w:r>
      <w:r w:rsidRPr="005E779E">
        <w:rPr>
          <w:rFonts w:ascii="Times New Roman" w:eastAsia="Times New Roman" w:hAnsi="Times New Roman"/>
          <w:color w:val="000000" w:themeColor="text1"/>
          <w:sz w:val="16"/>
          <w:szCs w:val="16"/>
          <w:lang w:eastAsia="ru-RU"/>
        </w:rPr>
        <w:t>. Решение — особая папка.</w:t>
      </w:r>
    </w:p>
    <w:p w14:paraId="4134E666" w14:textId="77777777" w:rsidR="00033436" w:rsidRPr="005E779E" w:rsidRDefault="00033436"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bCs/>
          <w:color w:val="000000" w:themeColor="text1"/>
          <w:sz w:val="16"/>
          <w:szCs w:val="16"/>
          <w:lang w:eastAsia="ru-RU"/>
        </w:rPr>
        <w:t>9</w:t>
      </w:r>
      <w:r w:rsidRPr="005E779E">
        <w:rPr>
          <w:rFonts w:ascii="Times New Roman" w:eastAsia="Times New Roman" w:hAnsi="Times New Roman"/>
          <w:color w:val="000000" w:themeColor="text1"/>
          <w:sz w:val="16"/>
          <w:szCs w:val="16"/>
          <w:lang w:eastAsia="ru-RU"/>
        </w:rPr>
        <w:t>. Обязать “Шарснаб”, под личной ответственностью т. Жука, обеспечить своевременную доставку на завод “АМО” шариковых и роликовых подшипников, в пределах отпущенных контингентов и в сроки, установленные в договоре.</w:t>
      </w:r>
    </w:p>
    <w:p w14:paraId="2577B218" w14:textId="77777777" w:rsidR="00033436" w:rsidRPr="005E779E" w:rsidRDefault="00033436"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bCs/>
          <w:color w:val="000000" w:themeColor="text1"/>
          <w:sz w:val="16"/>
          <w:szCs w:val="16"/>
          <w:lang w:eastAsia="ru-RU"/>
        </w:rPr>
        <w:t>10</w:t>
      </w:r>
      <w:r w:rsidRPr="005E779E">
        <w:rPr>
          <w:rFonts w:ascii="Times New Roman" w:eastAsia="Times New Roman" w:hAnsi="Times New Roman"/>
          <w:color w:val="000000" w:themeColor="text1"/>
          <w:sz w:val="16"/>
          <w:szCs w:val="16"/>
          <w:lang w:eastAsia="ru-RU"/>
        </w:rPr>
        <w:t>. Обязать директоров металлургических заводов: “Серп и Молот” — т. Степанова, Мариупольского — т. Радина, “Красный Октябрь” т. Клипова и Златоустовского — т. Упенина полностью и своевременно выполнить свои обязательства по поставке заводу “АМО” необходимых металлов, согласно заключенных договоров.</w:t>
      </w:r>
    </w:p>
    <w:p w14:paraId="7BF810CA" w14:textId="77777777" w:rsidR="00033436" w:rsidRPr="005E779E" w:rsidRDefault="00033436"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bCs/>
          <w:color w:val="000000" w:themeColor="text1"/>
          <w:sz w:val="16"/>
          <w:szCs w:val="16"/>
          <w:lang w:eastAsia="ru-RU"/>
        </w:rPr>
        <w:t>11</w:t>
      </w:r>
      <w:r w:rsidRPr="005E779E">
        <w:rPr>
          <w:rFonts w:ascii="Times New Roman" w:eastAsia="Times New Roman" w:hAnsi="Times New Roman"/>
          <w:color w:val="000000" w:themeColor="text1"/>
          <w:sz w:val="16"/>
          <w:szCs w:val="16"/>
          <w:lang w:eastAsia="ru-RU"/>
        </w:rPr>
        <w:t>. Обязать ВСНХ произвести необходимые работы по реконструкции на заводе “Серп и Молот”, который намечен ВСНХ в качестве основной базы по поставке качественных сталей для завода “АМО”, в сроки, обеспечивающие производство на заводе “АМО”.</w:t>
      </w:r>
    </w:p>
    <w:p w14:paraId="76A91FEC" w14:textId="77777777" w:rsidR="00033436" w:rsidRPr="005E779E" w:rsidRDefault="00033436"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bCs/>
          <w:color w:val="000000" w:themeColor="text1"/>
          <w:sz w:val="16"/>
          <w:szCs w:val="16"/>
          <w:lang w:eastAsia="ru-RU"/>
        </w:rPr>
        <w:t>12</w:t>
      </w:r>
      <w:r w:rsidRPr="005E779E">
        <w:rPr>
          <w:rFonts w:ascii="Times New Roman" w:eastAsia="Times New Roman" w:hAnsi="Times New Roman"/>
          <w:color w:val="000000" w:themeColor="text1"/>
          <w:sz w:val="16"/>
          <w:szCs w:val="16"/>
          <w:lang w:eastAsia="ru-RU"/>
        </w:rPr>
        <w:t>. Обязать Союзлеслром, под личной ответственностью т. Бергавинова, отгрузить своевременно заводу “АМО” лес, согласно заключенного договора.</w:t>
      </w:r>
    </w:p>
    <w:p w14:paraId="513A9B64" w14:textId="77777777" w:rsidR="00033436" w:rsidRPr="005E779E" w:rsidRDefault="00033436"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bCs/>
          <w:color w:val="000000" w:themeColor="text1"/>
          <w:sz w:val="16"/>
          <w:szCs w:val="16"/>
          <w:lang w:eastAsia="ru-RU"/>
        </w:rPr>
        <w:t>13</w:t>
      </w:r>
      <w:r w:rsidRPr="005E779E">
        <w:rPr>
          <w:rFonts w:ascii="Times New Roman" w:eastAsia="Times New Roman" w:hAnsi="Times New Roman"/>
          <w:color w:val="000000" w:themeColor="text1"/>
          <w:sz w:val="16"/>
          <w:szCs w:val="16"/>
          <w:lang w:eastAsia="ru-RU"/>
        </w:rPr>
        <w:t>. Обязать ВСНХ принять меры к заключению в 5</w:t>
      </w:r>
      <w:r w:rsidRPr="005E779E">
        <w:rPr>
          <w:rFonts w:ascii="Times New Roman" w:eastAsia="Times New Roman" w:hAnsi="Times New Roman"/>
          <w:color w:val="000000" w:themeColor="text1"/>
          <w:sz w:val="16"/>
          <w:szCs w:val="16"/>
          <w:lang w:eastAsia="ru-RU"/>
        </w:rPr>
        <w:noBreakHyphen/>
        <w:t>дневный срок договора между заводом “АМО” и Резинообъединением на поставку резино-асбестовых изделий.</w:t>
      </w:r>
    </w:p>
    <w:p w14:paraId="50683281" w14:textId="77777777" w:rsidR="00033436" w:rsidRPr="005E779E" w:rsidRDefault="00033436"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bCs/>
          <w:color w:val="000000" w:themeColor="text1"/>
          <w:sz w:val="16"/>
          <w:szCs w:val="16"/>
          <w:lang w:eastAsia="ru-RU"/>
        </w:rPr>
        <w:t>14</w:t>
      </w:r>
      <w:r w:rsidRPr="005E779E">
        <w:rPr>
          <w:rFonts w:ascii="Times New Roman" w:eastAsia="Times New Roman" w:hAnsi="Times New Roman"/>
          <w:color w:val="000000" w:themeColor="text1"/>
          <w:sz w:val="16"/>
          <w:szCs w:val="16"/>
          <w:lang w:eastAsia="ru-RU"/>
        </w:rPr>
        <w:t>. Обязать т. Москвина не позднее 15.VII.1931 г. выделить заводу “АМО” 50 молодых инженеров из числа оканчивающих ВТУЗ’ы.</w:t>
      </w:r>
    </w:p>
    <w:p w14:paraId="48665D46" w14:textId="77777777" w:rsidR="00033436" w:rsidRPr="005E779E" w:rsidRDefault="00033436"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bCs/>
          <w:color w:val="000000" w:themeColor="text1"/>
          <w:sz w:val="16"/>
          <w:szCs w:val="16"/>
          <w:lang w:eastAsia="ru-RU"/>
        </w:rPr>
        <w:t>15</w:t>
      </w:r>
      <w:r w:rsidRPr="005E779E">
        <w:rPr>
          <w:rFonts w:ascii="Times New Roman" w:eastAsia="Times New Roman" w:hAnsi="Times New Roman"/>
          <w:color w:val="000000" w:themeColor="text1"/>
          <w:sz w:val="16"/>
          <w:szCs w:val="16"/>
          <w:lang w:eastAsia="ru-RU"/>
        </w:rPr>
        <w:t>. Считая необходимым выделение заводу “АМО” собственных оборотных средств, предложить Совету Труда и Обороны определить размер и сроки отпуска этих средств.</w:t>
      </w:r>
    </w:p>
    <w:p w14:paraId="1A151B2D" w14:textId="77777777" w:rsidR="00033436" w:rsidRPr="005E779E" w:rsidRDefault="00033436"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bCs/>
          <w:color w:val="000000" w:themeColor="text1"/>
          <w:sz w:val="16"/>
          <w:szCs w:val="16"/>
          <w:lang w:eastAsia="ru-RU"/>
        </w:rPr>
        <w:t>16</w:t>
      </w:r>
      <w:r w:rsidRPr="005E779E">
        <w:rPr>
          <w:rFonts w:ascii="Times New Roman" w:eastAsia="Times New Roman" w:hAnsi="Times New Roman"/>
          <w:color w:val="000000" w:themeColor="text1"/>
          <w:sz w:val="16"/>
          <w:szCs w:val="16"/>
          <w:lang w:eastAsia="ru-RU"/>
        </w:rPr>
        <w:t>. Обязать т. Лихачева безусловно выполнить намеченный план жилстроительства, в соответствии с отпущенными средствами и стройматериалами.</w:t>
      </w:r>
    </w:p>
    <w:p w14:paraId="36C05189" w14:textId="77777777" w:rsidR="00033436" w:rsidRPr="005E779E" w:rsidRDefault="00033436"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bCs/>
          <w:color w:val="000000" w:themeColor="text1"/>
          <w:sz w:val="16"/>
          <w:szCs w:val="16"/>
          <w:lang w:eastAsia="ru-RU"/>
        </w:rPr>
        <w:t>17</w:t>
      </w:r>
      <w:r w:rsidRPr="005E779E">
        <w:rPr>
          <w:rFonts w:ascii="Times New Roman" w:eastAsia="Times New Roman" w:hAnsi="Times New Roman"/>
          <w:color w:val="000000" w:themeColor="text1"/>
          <w:sz w:val="16"/>
          <w:szCs w:val="16"/>
          <w:lang w:eastAsia="ru-RU"/>
        </w:rPr>
        <w:t>. Считать необходимым постановку производства на “АМО” 3</w:t>
      </w:r>
      <w:r w:rsidRPr="005E779E">
        <w:rPr>
          <w:rFonts w:ascii="Times New Roman" w:eastAsia="Times New Roman" w:hAnsi="Times New Roman"/>
          <w:color w:val="000000" w:themeColor="text1"/>
          <w:sz w:val="16"/>
          <w:szCs w:val="16"/>
          <w:lang w:eastAsia="ru-RU"/>
        </w:rPr>
        <w:noBreakHyphen/>
        <w:t>х осных машин. Предложить ВСНХ и НКВоенмору внести свои окончательные предложения в ПБ в декадный срок, установив программу выпуска в 1931/32 г. и потребное количество средств для приобретения импортного оборудования.</w:t>
      </w:r>
    </w:p>
    <w:p w14:paraId="0B04B37D" w14:textId="77777777" w:rsidR="00033436" w:rsidRPr="005E779E" w:rsidRDefault="00033436"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bCs/>
          <w:color w:val="000000" w:themeColor="text1"/>
          <w:sz w:val="16"/>
          <w:szCs w:val="16"/>
          <w:lang w:eastAsia="ru-RU"/>
        </w:rPr>
        <w:t>18</w:t>
      </w:r>
      <w:r w:rsidRPr="005E779E">
        <w:rPr>
          <w:rFonts w:ascii="Times New Roman" w:eastAsia="Times New Roman" w:hAnsi="Times New Roman"/>
          <w:color w:val="000000" w:themeColor="text1"/>
          <w:sz w:val="16"/>
          <w:szCs w:val="16"/>
          <w:lang w:eastAsia="ru-RU"/>
        </w:rPr>
        <w:t>. Обязать т. Лихачева принять самке энергичные меры к расчистке и приведению в порядок внутренней площади завода. Поручить московской организации оказать в этом отношении “АМО” необходимую помощь.</w:t>
      </w:r>
    </w:p>
    <w:p w14:paraId="4E667729" w14:textId="77777777" w:rsidR="00033436" w:rsidRPr="005E779E" w:rsidRDefault="00033436"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bCs/>
          <w:color w:val="000000" w:themeColor="text1"/>
          <w:sz w:val="16"/>
          <w:szCs w:val="16"/>
          <w:lang w:eastAsia="ru-RU"/>
        </w:rPr>
        <w:t>19</w:t>
      </w:r>
      <w:r w:rsidRPr="005E779E">
        <w:rPr>
          <w:rFonts w:ascii="Times New Roman" w:eastAsia="Times New Roman" w:hAnsi="Times New Roman"/>
          <w:color w:val="000000" w:themeColor="text1"/>
          <w:sz w:val="16"/>
          <w:szCs w:val="16"/>
          <w:lang w:eastAsia="ru-RU"/>
        </w:rPr>
        <w:t>. На примере “АМО”, ЦК констатирует неудовлетворительность приемки оборудования заграницей, в результате чего целый ряд предметов импортного оборудования приходится по прибытии на заводы переделывать. ЦК обязывает:</w:t>
      </w:r>
    </w:p>
    <w:p w14:paraId="4BF634F0" w14:textId="77777777" w:rsidR="00033436" w:rsidRPr="005E779E" w:rsidRDefault="00033436"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а) НКВнешторг — организовать при Амторге и Берлинском торгпредстве технически грамотные аппараты по приемке заграничного оборудования, из числа наиболее проверенных и посланных из Союза работников, возложив на эти аппараты наблюдение за выбором заказываемого оборудования, изготовлением и предварительным испытанием его на заграничных заводах-поставщиках. ВСНХ СССР обеспечить приемочные аппараты заграничных торгпредств необходимыми работниками;</w:t>
      </w:r>
    </w:p>
    <w:p w14:paraId="3F59BB3F" w14:textId="77777777" w:rsidR="00033436" w:rsidRPr="005E779E" w:rsidRDefault="00033436"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б) считать необходимым привлечение заводов СССР, для которых заказывается импортное оборудование, к участию в наблюдении за изготовлением оборудования и его приемкой, путем посылки заграницу квалифицированных работников самих заводов (17309).</w:t>
      </w:r>
    </w:p>
    <w:p w14:paraId="7071347A" w14:textId="77777777" w:rsidR="00033436" w:rsidRPr="005E779E" w:rsidRDefault="00033436" w:rsidP="000B7A6C">
      <w:pPr>
        <w:spacing w:after="0" w:line="240" w:lineRule="auto"/>
        <w:jc w:val="both"/>
        <w:rPr>
          <w:rFonts w:ascii="Times New Roman" w:hAnsi="Times New Roman"/>
          <w:color w:val="000000" w:themeColor="text1"/>
          <w:sz w:val="16"/>
          <w:szCs w:val="16"/>
        </w:rPr>
      </w:pPr>
    </w:p>
    <w:p w14:paraId="41F72F4C" w14:textId="77777777" w:rsidR="001B5062" w:rsidRPr="005E779E" w:rsidRDefault="001B50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 июня 1931</w:t>
      </w:r>
    </w:p>
    <w:p w14:paraId="42DE3D91" w14:textId="77777777" w:rsidR="001B5062" w:rsidRPr="005E779E" w:rsidRDefault="001B50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 13/29: О заводе “АМО”</w:t>
      </w:r>
    </w:p>
    <w:p w14:paraId="62ECBE0A" w14:textId="77777777" w:rsidR="001B5062" w:rsidRPr="005E779E" w:rsidRDefault="001B50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(ПБ от 5.VI.31 г., пр. № 41, п. З).</w:t>
      </w:r>
    </w:p>
    <w:p w14:paraId="2F4361B9" w14:textId="77777777" w:rsidR="001B5062" w:rsidRPr="005E779E" w:rsidRDefault="001B50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(Андреев).</w:t>
      </w:r>
    </w:p>
    <w:p w14:paraId="4708B2C0" w14:textId="77777777" w:rsidR="001B5062" w:rsidRPr="005E779E" w:rsidRDefault="001B50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Принять представленный комиссией т. Андреева проект постановления ЦК о реконструкции завода “АМО” (</w:t>
      </w:r>
      <w:hyperlink r:id="rId138" w:history="1">
        <w:r w:rsidRPr="005E779E">
          <w:rPr>
            <w:rStyle w:val="a5"/>
            <w:rFonts w:ascii="Times New Roman" w:hAnsi="Times New Roman"/>
            <w:color w:val="000000" w:themeColor="text1"/>
            <w:sz w:val="16"/>
            <w:szCs w:val="16"/>
          </w:rPr>
          <w:t>см. приложение № 3</w:t>
        </w:r>
      </w:hyperlink>
      <w:r w:rsidRPr="005E779E">
        <w:rPr>
          <w:rFonts w:ascii="Times New Roman" w:hAnsi="Times New Roman"/>
          <w:color w:val="000000" w:themeColor="text1"/>
          <w:sz w:val="16"/>
          <w:szCs w:val="16"/>
        </w:rPr>
        <w:t>).</w:t>
      </w:r>
    </w:p>
    <w:p w14:paraId="33BE4099" w14:textId="77777777" w:rsidR="001B5062" w:rsidRPr="005E779E" w:rsidRDefault="001B50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Приложение № 3</w:t>
      </w:r>
    </w:p>
    <w:p w14:paraId="24C1070C" w14:textId="77777777" w:rsidR="001B5062" w:rsidRPr="005E779E" w:rsidRDefault="001B50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п. 13/29 пр. ПБ № 46.</w:t>
      </w:r>
    </w:p>
    <w:p w14:paraId="1C382C8E" w14:textId="77777777" w:rsidR="001B5062" w:rsidRPr="005E779E" w:rsidRDefault="001B50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 реконструкции завода “АМО”.</w:t>
      </w:r>
    </w:p>
    <w:p w14:paraId="32120B38" w14:textId="77777777" w:rsidR="001B5062" w:rsidRPr="005E779E" w:rsidRDefault="001B50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(Предложения комиссии т. Андреева, утвержденные Политбюро ЦК 30 июня 1931 г.)</w:t>
      </w:r>
    </w:p>
    <w:p w14:paraId="79452FB1" w14:textId="77777777" w:rsidR="001B5062" w:rsidRPr="005E779E" w:rsidRDefault="001B50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Заслушав доклад о ходе реконструкции завода “АМО” ЦК ВКП(б) отмечает запоздание с окончанием работ по реконструкции, против установленного срока (1 июня 1931 г.); медленные темпы и неудовлетворительное качество строительных работ, осуществляемых Московской конторой “Строитель”.</w:t>
      </w:r>
    </w:p>
    <w:p w14:paraId="6E439D06" w14:textId="77777777" w:rsidR="001B5062" w:rsidRPr="005E779E" w:rsidRDefault="001B50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ЦК ВКП(б) постановляет:</w:t>
      </w:r>
    </w:p>
    <w:p w14:paraId="32EBD59C" w14:textId="77777777" w:rsidR="001B5062" w:rsidRPr="005E779E" w:rsidRDefault="001B50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Обязать контору “Строитель”, под личной ответственностью т. Прокофьева, закончить все строительные работы не позднее 15.VII.1931 г.</w:t>
      </w:r>
    </w:p>
    <w:p w14:paraId="1C6E80D7" w14:textId="77777777" w:rsidR="001B5062" w:rsidRPr="005E779E" w:rsidRDefault="001B50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Согласиться с решением ВСНХ СССР об установлении срока пуска завода “АМО” 1</w:t>
      </w:r>
      <w:r w:rsidRPr="005E779E">
        <w:rPr>
          <w:rFonts w:ascii="Times New Roman" w:hAnsi="Times New Roman"/>
          <w:color w:val="000000" w:themeColor="text1"/>
          <w:sz w:val="16"/>
          <w:szCs w:val="16"/>
        </w:rPr>
        <w:noBreakHyphen/>
        <w:t>го августа 1931 года.</w:t>
      </w:r>
    </w:p>
    <w:p w14:paraId="5651704D" w14:textId="77777777" w:rsidR="001B5062" w:rsidRPr="005E779E" w:rsidRDefault="001B50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Считать необходимым установить для завода “АМО” двухмесячный пусковой период для проверки технологических процессов, освоения оборудования, подготовки инструментов и т. д. с тем, чтобы завод приступил к развернутой работе по выполнению программы с 1.Х.1931 г.</w:t>
      </w:r>
    </w:p>
    <w:p w14:paraId="0D4E1CA8" w14:textId="77777777" w:rsidR="001B5062" w:rsidRPr="005E779E" w:rsidRDefault="001B50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Обязать ВСНХ СССР установить программу выпуска машин заводом “АМО” в 1931 г. не позднее 15 августа 1931 г.</w:t>
      </w:r>
    </w:p>
    <w:p w14:paraId="08AE14FA" w14:textId="77777777" w:rsidR="001B5062" w:rsidRPr="005E779E" w:rsidRDefault="001B50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Для обеспечения быстрейшего окончания строительных работ вести строительные работы в две смены по 10 часов в день, сосредоточив особое внимание на строительстве литейной ковкого чугуна, томильного цеха, сушила и на отделочных работах других цехов.</w:t>
      </w:r>
    </w:p>
    <w:p w14:paraId="19677A4A" w14:textId="77777777" w:rsidR="001B5062" w:rsidRPr="005E779E" w:rsidRDefault="001B50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4. Принять к сведению, что московскими организациями принят уже ряд мер по форсированию хода строительных работ, в том числе: перебрасываются на завод “АМО” 1200 чел. дополнительных строительных рабочих, строительные работы обеспечиваются необходимыми механизмами, строительными материалами и гужевым транспортом.</w:t>
      </w:r>
    </w:p>
    <w:p w14:paraId="31CB1697" w14:textId="77777777" w:rsidR="001B5062" w:rsidRPr="005E779E" w:rsidRDefault="001B50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Обязать “Авторемснаб” в 5</w:t>
      </w:r>
      <w:r w:rsidRPr="005E779E">
        <w:rPr>
          <w:rFonts w:ascii="Times New Roman" w:hAnsi="Times New Roman"/>
          <w:color w:val="000000" w:themeColor="text1"/>
          <w:sz w:val="16"/>
          <w:szCs w:val="16"/>
        </w:rPr>
        <w:noBreakHyphen/>
        <w:t>дневный срок выделить заводу “АМО” 10 грузовых машин.</w:t>
      </w:r>
    </w:p>
    <w:p w14:paraId="572E710D" w14:textId="77777777" w:rsidR="001B5062" w:rsidRPr="005E779E" w:rsidRDefault="001B50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Обязать ВСНХ СССР своевременно обеспечить необходимые фонды строительных материалов на 3</w:t>
      </w:r>
      <w:r w:rsidRPr="005E779E">
        <w:rPr>
          <w:rFonts w:ascii="Times New Roman" w:hAnsi="Times New Roman"/>
          <w:color w:val="000000" w:themeColor="text1"/>
          <w:sz w:val="16"/>
          <w:szCs w:val="16"/>
        </w:rPr>
        <w:noBreakHyphen/>
        <w:t>й квартал 1931 г.</w:t>
      </w:r>
    </w:p>
    <w:p w14:paraId="2BB3E387" w14:textId="3BD885F1" w:rsidR="001B5062" w:rsidRPr="005E779E" w:rsidRDefault="001B50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Решение</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 особая папка.</w:t>
      </w:r>
    </w:p>
    <w:p w14:paraId="2F2C89C9" w14:textId="77777777" w:rsidR="001B5062" w:rsidRPr="005E779E" w:rsidRDefault="001B50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Решение — особая папка.</w:t>
      </w:r>
    </w:p>
    <w:p w14:paraId="5AAEB265" w14:textId="77777777" w:rsidR="001B5062" w:rsidRPr="005E779E" w:rsidRDefault="001B50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Обязать “Шарснаб”, под личной ответственностью т. Жука, обеспечить своевременную доставку на завод “АМО” шариковых и роликовых подшипников, в пределах отпущенных контингентов и в сроки, установленные в договоре.</w:t>
      </w:r>
    </w:p>
    <w:p w14:paraId="7AFEA661" w14:textId="77777777" w:rsidR="001B5062" w:rsidRPr="005E779E" w:rsidRDefault="001B50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Обязать директоров металлургических заводов: “Серп и Молот” — т. Степанова, Мариупольского — т. Радина, “Красный Октябрь” т. Клипова и Златоустовского — т. Упенина полностью и своевременно выполнить свои обязательства по поставке заводу “АМО” необходимых металлов, согласно заключенных договоров.</w:t>
      </w:r>
    </w:p>
    <w:p w14:paraId="1641C157" w14:textId="77777777" w:rsidR="001B5062" w:rsidRPr="005E779E" w:rsidRDefault="001B50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Обязать ВСНХ произвести необходимые работы по реконструкции на заводе “Серп и Молот”, который намечен ВСНХ в качестве основной базы по поставке качественных сталей для завода “АМО”, в сроки, обеспечивающие производство на заводе “АМО”.</w:t>
      </w:r>
    </w:p>
    <w:p w14:paraId="73A2E1DF" w14:textId="77777777" w:rsidR="001B5062" w:rsidRPr="005E779E" w:rsidRDefault="001B50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Обязать Союзлеслром, под личной ответственностью т. Бергавинова, отгрузить своевременно заводу “АМО” лес, согласно заключенного договора.</w:t>
      </w:r>
    </w:p>
    <w:p w14:paraId="4AC01BDA" w14:textId="77777777" w:rsidR="001B5062" w:rsidRPr="005E779E" w:rsidRDefault="001B50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Обязать ВСНХ принять меры к заключению в 5</w:t>
      </w:r>
      <w:r w:rsidRPr="005E779E">
        <w:rPr>
          <w:rFonts w:ascii="Times New Roman" w:hAnsi="Times New Roman"/>
          <w:color w:val="000000" w:themeColor="text1"/>
          <w:sz w:val="16"/>
          <w:szCs w:val="16"/>
        </w:rPr>
        <w:noBreakHyphen/>
        <w:t>дневный срок договора между заводом “АМО” и Резинообъединением на поставку резино-асбестовых изделий.</w:t>
      </w:r>
    </w:p>
    <w:p w14:paraId="46F94D24" w14:textId="77777777" w:rsidR="001B5062" w:rsidRPr="005E779E" w:rsidRDefault="001B50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Обязать т. Москвина не позднее 15.VII.1931 г. выделить заводу “АМО” 50 молодых инженеров из числа оканчивающих ВТУЗ’ы.</w:t>
      </w:r>
    </w:p>
    <w:p w14:paraId="65113AD6" w14:textId="77777777" w:rsidR="001B5062" w:rsidRPr="005E779E" w:rsidRDefault="001B50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Считая необходимым выделение заводу “АМО” собственных оборотных средств, предложить Совету Труда и Обороны определить размер и сроки отпуска этих средств.</w:t>
      </w:r>
    </w:p>
    <w:p w14:paraId="610B1EFF" w14:textId="77777777" w:rsidR="001B5062" w:rsidRPr="005E779E" w:rsidRDefault="001B50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 Обязать т. Лихачева безусловно выполнить намеченный план жилстроительства, в соответствии с отпущенными средствами и стройматериалами.</w:t>
      </w:r>
    </w:p>
    <w:p w14:paraId="02B11520" w14:textId="77777777" w:rsidR="001B5062" w:rsidRPr="005E779E" w:rsidRDefault="001B50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 Считать необходимым постановку производства на “АМО” 3</w:t>
      </w:r>
      <w:r w:rsidRPr="005E779E">
        <w:rPr>
          <w:rFonts w:ascii="Times New Roman" w:hAnsi="Times New Roman"/>
          <w:color w:val="000000" w:themeColor="text1"/>
          <w:sz w:val="16"/>
          <w:szCs w:val="16"/>
        </w:rPr>
        <w:noBreakHyphen/>
        <w:t>х осных машин. Предложить ВСНХ и НКВоенмору внести свои окончательные предложения в ПБ в декадный срок, установив программу выпуска в 1931/32 г. и потребное количество средств для приобретения импортного оборудования.</w:t>
      </w:r>
    </w:p>
    <w:p w14:paraId="5E842319" w14:textId="77777777" w:rsidR="001B5062" w:rsidRPr="005E779E" w:rsidRDefault="001B50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Обязать т. Лихачева принять самке энергичные меры к расчистке и приведению в порядок внутренней площади завода. Поручить московской организации оказать в этом отношении “АМО” необходимую помощь.</w:t>
      </w:r>
    </w:p>
    <w:p w14:paraId="0E4351F3" w14:textId="77777777" w:rsidR="001B5062" w:rsidRPr="005E779E" w:rsidRDefault="001B50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 На примере “АМО”, ЦК констатирует неудовлетворительность приемки оборудования заграницей, в результате чего целый ряд предметов импортного оборудования приходится по прибытии на заводы переделывать. ЦК обязывает:</w:t>
      </w:r>
    </w:p>
    <w:p w14:paraId="47AB95EB" w14:textId="77777777" w:rsidR="001B5062" w:rsidRPr="005E779E" w:rsidRDefault="001B50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НКВнешторг — организовать при Амторге и Берлинском торгпредстве технически грамотные аппараты по приемке заграничного оборудования, из числа наиболее проверенных и посланных из Союза работников, возложив на эти аппараты наблюдение за выбором заказываемого оборудования, изготовлением и предварительным испытанием его на заграничных заводах-поставщиках. ВСНХ СССР обеспечить приемочные аппараты заграничных торгпредств необходимыми работниками;</w:t>
      </w:r>
    </w:p>
    <w:p w14:paraId="1CA32C85" w14:textId="77777777" w:rsidR="001B5062" w:rsidRPr="005E779E" w:rsidRDefault="001B50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считать необходимым привлечение заводов СССР, для которых заказывается импортное оборудование, к участию в наблюдении за изготовлением оборудования и его приемкой, путем посылки заграницу квалифицированных работников самих заводов.</w:t>
      </w:r>
    </w:p>
    <w:p w14:paraId="3AEF9D1E" w14:textId="77777777" w:rsidR="001B5062" w:rsidRPr="005E779E" w:rsidRDefault="001B50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(18113).</w:t>
      </w:r>
    </w:p>
    <w:p w14:paraId="156B6796" w14:textId="77777777" w:rsidR="001B5062" w:rsidRPr="005E779E" w:rsidRDefault="001B5062" w:rsidP="000B7A6C">
      <w:pPr>
        <w:spacing w:after="0" w:line="240" w:lineRule="auto"/>
        <w:jc w:val="both"/>
        <w:rPr>
          <w:rFonts w:ascii="Times New Roman" w:hAnsi="Times New Roman"/>
          <w:color w:val="000000" w:themeColor="text1"/>
          <w:sz w:val="16"/>
          <w:szCs w:val="16"/>
        </w:rPr>
      </w:pPr>
    </w:p>
    <w:p w14:paraId="5471973E"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24C416BE"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1A93C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 июня 1931 Комиссия ЦК ВКП(б) по спецпоселениям под руководством А.Андреева приняла решение о четком pазделении спецпеpеселенцев и вольнонаемных рабочих на пpоизводстве (10687).</w:t>
      </w:r>
    </w:p>
    <w:p w14:paraId="2473C3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2704E9E" w14:textId="77777777" w:rsidR="00667A11" w:rsidRPr="005E779E" w:rsidRDefault="00667A11" w:rsidP="00667A11">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7984C51B" w14:textId="77777777" w:rsidR="00667A11" w:rsidRPr="005E779E" w:rsidRDefault="00667A11" w:rsidP="00667A11">
      <w:pPr>
        <w:autoSpaceDE w:val="0"/>
        <w:autoSpaceDN w:val="0"/>
        <w:adjustRightInd w:val="0"/>
        <w:spacing w:after="0" w:line="240" w:lineRule="auto"/>
        <w:jc w:val="both"/>
        <w:rPr>
          <w:rFonts w:ascii="Times New Roman" w:hAnsi="Times New Roman"/>
          <w:iCs/>
          <w:color w:val="000000" w:themeColor="text1"/>
          <w:sz w:val="16"/>
          <w:szCs w:val="16"/>
        </w:rPr>
      </w:pPr>
    </w:p>
    <w:p w14:paraId="487FDC1B" w14:textId="77777777" w:rsidR="00667A11" w:rsidRPr="00142305" w:rsidRDefault="00667A11" w:rsidP="00667A1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июля 1931 года начали строить АИР-5. Яковлеву вы</w:t>
      </w:r>
      <w:r w:rsidRPr="00142305">
        <w:rPr>
          <w:rFonts w:ascii="Times New Roman" w:hAnsi="Times New Roman"/>
          <w:color w:val="0070C0"/>
          <w:sz w:val="16"/>
          <w:szCs w:val="16"/>
        </w:rPr>
        <w:softHyphen/>
        <w:t>делили небольшой уголок сборочного цеха завода, отгороженный шкафами. Для предприятия эта работа считалась второстепенной, если не третьестепен</w:t>
      </w:r>
      <w:r w:rsidRPr="00142305">
        <w:rPr>
          <w:rFonts w:ascii="Times New Roman" w:hAnsi="Times New Roman"/>
          <w:color w:val="0070C0"/>
          <w:sz w:val="16"/>
          <w:szCs w:val="16"/>
        </w:rPr>
        <w:softHyphen/>
        <w:t>ной. Необходимые детали изготавлива</w:t>
      </w:r>
      <w:r w:rsidRPr="00142305">
        <w:rPr>
          <w:rFonts w:ascii="Times New Roman" w:hAnsi="Times New Roman"/>
          <w:color w:val="0070C0"/>
          <w:sz w:val="16"/>
          <w:szCs w:val="16"/>
        </w:rPr>
        <w:softHyphen/>
        <w:t>лись при наличии возможности, когда имелось незагруженное оборудование и рабочая сила. На заводе машина числи</w:t>
      </w:r>
      <w:r w:rsidRPr="00142305">
        <w:rPr>
          <w:rFonts w:ascii="Times New Roman" w:hAnsi="Times New Roman"/>
          <w:color w:val="0070C0"/>
          <w:sz w:val="16"/>
          <w:szCs w:val="16"/>
        </w:rPr>
        <w:softHyphen/>
        <w:t>лась как «самолет 49». Помогало то, что комсомольская организация предприятия и местная ячейка Осоавиахима взяли шефство над АИР-5.</w:t>
      </w:r>
    </w:p>
    <w:p w14:paraId="6C2BCE93" w14:textId="77777777" w:rsidR="00667A11" w:rsidRPr="00142305" w:rsidRDefault="00667A11" w:rsidP="00667A1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постройку самолета затратили три месяца. Не все шло гладко, например, забраковали четыре узла крепления под</w:t>
      </w:r>
      <w:r w:rsidRPr="00142305">
        <w:rPr>
          <w:rFonts w:ascii="Times New Roman" w:hAnsi="Times New Roman"/>
          <w:color w:val="0070C0"/>
          <w:sz w:val="16"/>
          <w:szCs w:val="16"/>
        </w:rPr>
        <w:softHyphen/>
        <w:t>косов, и пришлось делать их заново. Ма</w:t>
      </w:r>
      <w:r w:rsidRPr="00142305">
        <w:rPr>
          <w:rFonts w:ascii="Times New Roman" w:hAnsi="Times New Roman"/>
          <w:color w:val="0070C0"/>
          <w:sz w:val="16"/>
          <w:szCs w:val="16"/>
        </w:rPr>
        <w:softHyphen/>
        <w:t>шину объявили подарком комсомольцев завода к очередной годовщине Октябрь</w:t>
      </w:r>
      <w:r w:rsidRPr="00142305">
        <w:rPr>
          <w:rFonts w:ascii="Times New Roman" w:hAnsi="Times New Roman"/>
          <w:color w:val="0070C0"/>
          <w:sz w:val="16"/>
          <w:szCs w:val="16"/>
        </w:rPr>
        <w:softHyphen/>
        <w:t>ской революции. АИР-5 полностью покра</w:t>
      </w:r>
      <w:r w:rsidRPr="00142305">
        <w:rPr>
          <w:rFonts w:ascii="Times New Roman" w:hAnsi="Times New Roman"/>
          <w:color w:val="0070C0"/>
          <w:sz w:val="16"/>
          <w:szCs w:val="16"/>
        </w:rPr>
        <w:softHyphen/>
        <w:t>сили в красный цвет только вертикальное оперение украшали серебристые полосы. Иногда пишут, что и верхняя поверхность крыла тоже была серебристой (24945).</w:t>
      </w:r>
    </w:p>
    <w:p w14:paraId="67A0C447" w14:textId="77777777" w:rsidR="00667A11" w:rsidRPr="00142305" w:rsidRDefault="00667A11" w:rsidP="00667A11">
      <w:pPr>
        <w:spacing w:after="0" w:line="240" w:lineRule="auto"/>
        <w:jc w:val="both"/>
        <w:rPr>
          <w:rFonts w:ascii="Times New Roman" w:hAnsi="Times New Roman"/>
          <w:color w:val="0070C0"/>
          <w:sz w:val="16"/>
          <w:szCs w:val="16"/>
        </w:rPr>
      </w:pPr>
    </w:p>
    <w:p w14:paraId="7F5AAED3" w14:textId="77777777" w:rsidR="00285ABF" w:rsidRPr="005E779E" w:rsidRDefault="00285ABF"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54F1E437" w14:textId="77777777" w:rsidR="00285ABF" w:rsidRPr="005E779E" w:rsidRDefault="00285ABF"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25F4E15" w14:textId="77777777" w:rsidR="00285ABF" w:rsidRPr="005E779E" w:rsidRDefault="00285ABF" w:rsidP="000B7A6C">
      <w:pPr>
        <w:pStyle w:val="ae"/>
        <w:spacing w:before="0" w:after="0"/>
        <w:jc w:val="both"/>
        <w:textAlignment w:val="baseline"/>
        <w:rPr>
          <w:color w:val="000000" w:themeColor="text1"/>
          <w:sz w:val="16"/>
          <w:szCs w:val="16"/>
          <w:bdr w:val="none" w:sz="0" w:space="0" w:color="auto" w:frame="1"/>
        </w:rPr>
      </w:pPr>
      <w:r w:rsidRPr="005E779E">
        <w:rPr>
          <w:color w:val="000000" w:themeColor="text1"/>
          <w:sz w:val="16"/>
          <w:szCs w:val="16"/>
          <w:bdr w:val="none" w:sz="0" w:space="0" w:color="auto" w:frame="1"/>
        </w:rPr>
        <w:t>В конце июня 1931 г. ОГПУ передало ВАО полный комплект документации по последней модификации дизеля «Паккард» мощностью 230 л. с., датированный ноябрем 1930 г. В Москву доставили около 1500 чертежей, спецификации, технологические документы. Но позже от развертывания выпуска дизеля отказались, сочтя его неудачным по конструкции. Большее внимание, обращенное на американские двигатели, объяснялось тем, что их считали более простыми в производстве, чем английские (20442).</w:t>
      </w:r>
    </w:p>
    <w:p w14:paraId="7D436127" w14:textId="77777777" w:rsidR="00285ABF" w:rsidRPr="005E779E" w:rsidRDefault="00285ABF" w:rsidP="000B7A6C">
      <w:pPr>
        <w:pStyle w:val="ae"/>
        <w:spacing w:before="0" w:after="0"/>
        <w:jc w:val="both"/>
        <w:textAlignment w:val="baseline"/>
        <w:rPr>
          <w:color w:val="000000" w:themeColor="text1"/>
          <w:sz w:val="16"/>
          <w:szCs w:val="16"/>
          <w:bdr w:val="none" w:sz="0" w:space="0" w:color="auto" w:frame="1"/>
        </w:rPr>
      </w:pPr>
    </w:p>
    <w:p w14:paraId="082A9FAF" w14:textId="77777777" w:rsidR="00877950"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663CAFC0" w14:textId="77777777" w:rsidR="00877950" w:rsidRPr="005E779E" w:rsidRDefault="00877950"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12F34E9" w14:textId="6E88CB80" w:rsidR="00877950" w:rsidRPr="005E779E" w:rsidRDefault="00877950" w:rsidP="000B7A6C">
      <w:pPr>
        <w:pStyle w:val="a3"/>
        <w:rPr>
          <w:color w:val="000000" w:themeColor="text1"/>
          <w:lang w:val="ru-RU"/>
        </w:rPr>
      </w:pPr>
      <w:r w:rsidRPr="005E779E">
        <w:rPr>
          <w:color w:val="000000" w:themeColor="text1"/>
          <w:lang w:val="ru-RU"/>
        </w:rPr>
        <w:t>Во второй половине июня 1931 г. испыта</w:t>
      </w:r>
      <w:r w:rsidRPr="005E779E">
        <w:rPr>
          <w:color w:val="000000" w:themeColor="text1"/>
          <w:lang w:val="ru-RU"/>
        </w:rPr>
        <w:softHyphen/>
        <w:t>тельный отдел НИАБТП провел испытания ко</w:t>
      </w:r>
      <w:r w:rsidRPr="005E779E">
        <w:rPr>
          <w:color w:val="000000" w:themeColor="text1"/>
          <w:lang w:val="ru-RU"/>
        </w:rPr>
        <w:softHyphen/>
        <w:t>лесного трактора СХТЗ-15/</w:t>
      </w:r>
      <w:r w:rsidR="00667A11">
        <w:rPr>
          <w:color w:val="000000" w:themeColor="text1"/>
          <w:lang w:val="ru-RU"/>
        </w:rPr>
        <w:t>30</w:t>
      </w:r>
      <w:r w:rsidRPr="005E779E">
        <w:rPr>
          <w:color w:val="000000" w:themeColor="text1"/>
          <w:lang w:val="ru-RU"/>
        </w:rPr>
        <w:t>, оснащенного гу</w:t>
      </w:r>
      <w:r w:rsidRPr="005E779E">
        <w:rPr>
          <w:color w:val="000000" w:themeColor="text1"/>
          <w:lang w:val="ru-RU"/>
        </w:rPr>
        <w:softHyphen/>
        <w:t>сеничным ходом «Варко-Риддель». Целью этих испытаний являлось определение:</w:t>
      </w:r>
    </w:p>
    <w:p w14:paraId="4B0DB885" w14:textId="77777777" w:rsidR="00877950" w:rsidRPr="005E779E" w:rsidRDefault="00877950" w:rsidP="000B7A6C">
      <w:pPr>
        <w:pStyle w:val="65"/>
        <w:shd w:val="clear" w:color="auto" w:fill="auto"/>
        <w:spacing w:before="0" w:line="240" w:lineRule="auto"/>
        <w:rPr>
          <w:rFonts w:ascii="Times New Roman" w:hAnsi="Times New Roman"/>
          <w:color w:val="000000" w:themeColor="text1"/>
          <w:sz w:val="16"/>
          <w:szCs w:val="16"/>
        </w:rPr>
      </w:pPr>
      <w:r w:rsidRPr="005E779E">
        <w:rPr>
          <w:rFonts w:ascii="Times New Roman" w:hAnsi="Times New Roman"/>
          <w:color w:val="000000" w:themeColor="text1"/>
          <w:sz w:val="16"/>
          <w:szCs w:val="16"/>
        </w:rPr>
        <w:t>«1. Тяготных и скоростных свойств тракто</w:t>
      </w:r>
      <w:r w:rsidRPr="005E779E">
        <w:rPr>
          <w:rFonts w:ascii="Times New Roman" w:hAnsi="Times New Roman"/>
          <w:color w:val="000000" w:themeColor="text1"/>
          <w:sz w:val="16"/>
          <w:szCs w:val="16"/>
        </w:rPr>
        <w:softHyphen/>
        <w:t>ра при тяге дивизионных и корпусных артилле</w:t>
      </w:r>
      <w:r w:rsidRPr="005E779E">
        <w:rPr>
          <w:rFonts w:ascii="Times New Roman" w:hAnsi="Times New Roman"/>
          <w:color w:val="000000" w:themeColor="text1"/>
          <w:sz w:val="16"/>
          <w:szCs w:val="16"/>
        </w:rPr>
        <w:softHyphen/>
        <w:t>рийских систем.</w:t>
      </w:r>
    </w:p>
    <w:p w14:paraId="686C930A" w14:textId="77777777" w:rsidR="00877950" w:rsidRPr="005E779E" w:rsidRDefault="00877950" w:rsidP="000B7A6C">
      <w:pPr>
        <w:pStyle w:val="65"/>
        <w:shd w:val="clear" w:color="auto" w:fill="auto"/>
        <w:tabs>
          <w:tab w:val="left" w:pos="468"/>
        </w:tabs>
        <w:spacing w:before="0" w:line="240" w:lineRule="auto"/>
        <w:rPr>
          <w:rFonts w:ascii="Times New Roman" w:hAnsi="Times New Roman"/>
          <w:color w:val="000000" w:themeColor="text1"/>
          <w:sz w:val="16"/>
          <w:szCs w:val="16"/>
        </w:rPr>
      </w:pPr>
      <w:r w:rsidRPr="005E779E">
        <w:rPr>
          <w:rFonts w:ascii="Times New Roman" w:hAnsi="Times New Roman"/>
          <w:color w:val="000000" w:themeColor="text1"/>
          <w:sz w:val="16"/>
          <w:szCs w:val="16"/>
        </w:rPr>
        <w:t>2. Прочности и надежности трактора.</w:t>
      </w:r>
    </w:p>
    <w:p w14:paraId="2851E6D6" w14:textId="77777777" w:rsidR="00877950" w:rsidRPr="005E779E" w:rsidRDefault="00877950" w:rsidP="000B7A6C">
      <w:pPr>
        <w:pStyle w:val="65"/>
        <w:shd w:val="clear" w:color="auto" w:fill="auto"/>
        <w:tabs>
          <w:tab w:val="left" w:pos="463"/>
        </w:tabs>
        <w:spacing w:before="0" w:line="240" w:lineRule="auto"/>
        <w:rPr>
          <w:rFonts w:ascii="Times New Roman" w:hAnsi="Times New Roman"/>
          <w:color w:val="000000" w:themeColor="text1"/>
          <w:sz w:val="16"/>
          <w:szCs w:val="16"/>
        </w:rPr>
      </w:pPr>
      <w:r w:rsidRPr="005E779E">
        <w:rPr>
          <w:rFonts w:ascii="Times New Roman" w:hAnsi="Times New Roman"/>
          <w:color w:val="000000" w:themeColor="text1"/>
          <w:sz w:val="16"/>
          <w:szCs w:val="16"/>
        </w:rPr>
        <w:t>3. Удобства обслуживания и управления.</w:t>
      </w:r>
    </w:p>
    <w:p w14:paraId="69117169" w14:textId="77777777" w:rsidR="00877950" w:rsidRPr="005E779E" w:rsidRDefault="00877950" w:rsidP="000B7A6C">
      <w:pPr>
        <w:pStyle w:val="65"/>
        <w:shd w:val="clear" w:color="auto" w:fill="auto"/>
        <w:tabs>
          <w:tab w:val="left" w:pos="463"/>
        </w:tabs>
        <w:spacing w:before="0" w:line="240" w:lineRule="auto"/>
        <w:rPr>
          <w:rFonts w:ascii="Times New Roman" w:hAnsi="Times New Roman"/>
          <w:color w:val="000000" w:themeColor="text1"/>
          <w:sz w:val="16"/>
          <w:szCs w:val="16"/>
        </w:rPr>
      </w:pPr>
      <w:r w:rsidRPr="005E779E">
        <w:rPr>
          <w:rFonts w:ascii="Times New Roman" w:hAnsi="Times New Roman"/>
          <w:color w:val="000000" w:themeColor="text1"/>
          <w:sz w:val="16"/>
          <w:szCs w:val="16"/>
        </w:rPr>
        <w:t>4. Расхода горючего и смазки.</w:t>
      </w:r>
    </w:p>
    <w:p w14:paraId="5D38C8E5" w14:textId="77777777" w:rsidR="00877950" w:rsidRPr="005E779E" w:rsidRDefault="00877950" w:rsidP="000B7A6C">
      <w:pPr>
        <w:pStyle w:val="65"/>
        <w:shd w:val="clear" w:color="auto" w:fill="auto"/>
        <w:tabs>
          <w:tab w:val="left" w:pos="463"/>
        </w:tabs>
        <w:spacing w:before="0" w:line="240" w:lineRule="auto"/>
        <w:rPr>
          <w:rFonts w:ascii="Times New Roman" w:hAnsi="Times New Roman"/>
          <w:color w:val="000000" w:themeColor="text1"/>
          <w:sz w:val="16"/>
          <w:szCs w:val="16"/>
        </w:rPr>
      </w:pPr>
      <w:r w:rsidRPr="005E779E">
        <w:rPr>
          <w:rFonts w:ascii="Times New Roman" w:hAnsi="Times New Roman"/>
          <w:color w:val="000000" w:themeColor="text1"/>
          <w:sz w:val="16"/>
          <w:szCs w:val="16"/>
        </w:rPr>
        <w:t>5. Проходимости.</w:t>
      </w:r>
    </w:p>
    <w:p w14:paraId="667FEDC7" w14:textId="77777777" w:rsidR="00877950" w:rsidRPr="005E779E" w:rsidRDefault="00877950" w:rsidP="000B7A6C">
      <w:pPr>
        <w:pStyle w:val="65"/>
        <w:shd w:val="clear" w:color="auto" w:fill="auto"/>
        <w:tabs>
          <w:tab w:val="left" w:pos="476"/>
        </w:tabs>
        <w:spacing w:before="0" w:line="240" w:lineRule="auto"/>
        <w:rPr>
          <w:rFonts w:ascii="Times New Roman" w:hAnsi="Times New Roman"/>
          <w:color w:val="000000" w:themeColor="text1"/>
          <w:sz w:val="16"/>
          <w:szCs w:val="16"/>
        </w:rPr>
      </w:pPr>
      <w:r w:rsidRPr="005E779E">
        <w:rPr>
          <w:rFonts w:ascii="Times New Roman" w:hAnsi="Times New Roman"/>
          <w:color w:val="000000" w:themeColor="text1"/>
          <w:sz w:val="16"/>
          <w:szCs w:val="16"/>
        </w:rPr>
        <w:t>6. Времени, потребного для перевода с ко</w:t>
      </w:r>
      <w:r w:rsidRPr="005E779E">
        <w:rPr>
          <w:rFonts w:ascii="Times New Roman" w:hAnsi="Times New Roman"/>
          <w:color w:val="000000" w:themeColor="text1"/>
          <w:sz w:val="16"/>
          <w:szCs w:val="16"/>
        </w:rPr>
        <w:softHyphen/>
        <w:t>лесного хода на гусеничный и обратно».</w:t>
      </w:r>
    </w:p>
    <w:p w14:paraId="54D1DD68" w14:textId="77777777" w:rsidR="00877950" w:rsidRPr="005E779E" w:rsidRDefault="00877950" w:rsidP="000B7A6C">
      <w:pPr>
        <w:pStyle w:val="aff1"/>
        <w:shd w:val="clear" w:color="auto" w:fill="auto"/>
        <w:spacing w:line="240" w:lineRule="auto"/>
        <w:rPr>
          <w:rFonts w:ascii="Times New Roman" w:hAnsi="Times New Roman" w:cs="Times New Roman"/>
          <w:i w:val="0"/>
          <w:color w:val="000000" w:themeColor="text1"/>
          <w:sz w:val="16"/>
          <w:szCs w:val="16"/>
          <w:lang w:val="ru-RU"/>
        </w:rPr>
      </w:pPr>
      <w:r w:rsidRPr="005E779E">
        <w:rPr>
          <w:rFonts w:ascii="Times New Roman" w:hAnsi="Times New Roman" w:cs="Times New Roman"/>
          <w:i w:val="0"/>
          <w:color w:val="000000" w:themeColor="text1"/>
          <w:sz w:val="16"/>
          <w:szCs w:val="16"/>
          <w:lang w:val="ru-RU"/>
        </w:rPr>
        <w:t>Основные данные трактора СТЗ с гусеничным ходом «Варко-Риддель»</w:t>
      </w:r>
    </w:p>
    <w:tbl>
      <w:tblPr>
        <w:tblW w:w="0" w:type="auto"/>
        <w:tblInd w:w="5" w:type="dxa"/>
        <w:tblLayout w:type="fixed"/>
        <w:tblCellMar>
          <w:left w:w="0" w:type="dxa"/>
          <w:right w:w="0" w:type="dxa"/>
        </w:tblCellMar>
        <w:tblLook w:val="0000" w:firstRow="0" w:lastRow="0" w:firstColumn="0" w:lastColumn="0" w:noHBand="0" w:noVBand="0"/>
      </w:tblPr>
      <w:tblGrid>
        <w:gridCol w:w="2746"/>
        <w:gridCol w:w="427"/>
      </w:tblGrid>
      <w:tr w:rsidR="001002C3" w:rsidRPr="005E779E" w14:paraId="1FE426F6" w14:textId="77777777" w:rsidTr="00BB323F">
        <w:trPr>
          <w:trHeight w:val="442"/>
        </w:trPr>
        <w:tc>
          <w:tcPr>
            <w:tcW w:w="2746" w:type="dxa"/>
            <w:tcBorders>
              <w:top w:val="single" w:sz="4" w:space="0" w:color="auto"/>
              <w:left w:val="single" w:sz="4" w:space="0" w:color="auto"/>
              <w:bottom w:val="single" w:sz="4" w:space="0" w:color="auto"/>
              <w:right w:val="single" w:sz="4" w:space="0" w:color="auto"/>
            </w:tcBorders>
            <w:shd w:val="clear" w:color="auto" w:fill="FFFFFF"/>
          </w:tcPr>
          <w:p w14:paraId="1227D120" w14:textId="77777777" w:rsidR="00877950" w:rsidRPr="005E779E" w:rsidRDefault="00877950" w:rsidP="000B7A6C">
            <w:pPr>
              <w:pStyle w:val="152"/>
              <w:shd w:val="clear" w:color="auto" w:fill="auto"/>
              <w:spacing w:line="240" w:lineRule="auto"/>
              <w:rPr>
                <w:rFonts w:ascii="Times New Roman" w:hAnsi="Times New Roman" w:cs="Times New Roman"/>
                <w:color w:val="000000" w:themeColor="text1"/>
                <w:sz w:val="16"/>
                <w:szCs w:val="16"/>
              </w:rPr>
            </w:pPr>
            <w:r w:rsidRPr="005E779E">
              <w:rPr>
                <w:rFonts w:ascii="Times New Roman" w:hAnsi="Times New Roman" w:cs="Times New Roman"/>
                <w:color w:val="000000" w:themeColor="text1"/>
                <w:sz w:val="16"/>
                <w:szCs w:val="16"/>
              </w:rPr>
              <w:t>Общий вес трактора в походном положении с водителем, кг</w:t>
            </w:r>
          </w:p>
        </w:tc>
        <w:tc>
          <w:tcPr>
            <w:tcW w:w="427" w:type="dxa"/>
            <w:tcBorders>
              <w:top w:val="single" w:sz="4" w:space="0" w:color="auto"/>
              <w:left w:val="single" w:sz="4" w:space="0" w:color="auto"/>
              <w:bottom w:val="single" w:sz="4" w:space="0" w:color="auto"/>
              <w:right w:val="single" w:sz="4" w:space="0" w:color="auto"/>
            </w:tcBorders>
            <w:shd w:val="clear" w:color="auto" w:fill="FFFFFF"/>
          </w:tcPr>
          <w:p w14:paraId="1C8E7326" w14:textId="77777777" w:rsidR="00877950" w:rsidRPr="005E779E" w:rsidRDefault="00877950" w:rsidP="000B7A6C">
            <w:pPr>
              <w:pStyle w:val="152"/>
              <w:shd w:val="clear" w:color="auto" w:fill="auto"/>
              <w:spacing w:line="240" w:lineRule="auto"/>
              <w:rPr>
                <w:rFonts w:ascii="Times New Roman" w:hAnsi="Times New Roman" w:cs="Times New Roman"/>
                <w:color w:val="000000" w:themeColor="text1"/>
                <w:sz w:val="16"/>
                <w:szCs w:val="16"/>
              </w:rPr>
            </w:pPr>
            <w:r w:rsidRPr="005E779E">
              <w:rPr>
                <w:rFonts w:ascii="Times New Roman" w:hAnsi="Times New Roman" w:cs="Times New Roman"/>
                <w:color w:val="000000" w:themeColor="text1"/>
                <w:sz w:val="16"/>
                <w:szCs w:val="16"/>
              </w:rPr>
              <w:t>5250</w:t>
            </w:r>
          </w:p>
        </w:tc>
      </w:tr>
      <w:tr w:rsidR="001002C3" w:rsidRPr="005E779E" w14:paraId="2D681A9D" w14:textId="77777777" w:rsidTr="00BB323F">
        <w:trPr>
          <w:trHeight w:val="235"/>
        </w:trPr>
        <w:tc>
          <w:tcPr>
            <w:tcW w:w="2746" w:type="dxa"/>
            <w:tcBorders>
              <w:top w:val="single" w:sz="4" w:space="0" w:color="auto"/>
              <w:left w:val="single" w:sz="4" w:space="0" w:color="auto"/>
              <w:bottom w:val="single" w:sz="4" w:space="0" w:color="auto"/>
              <w:right w:val="nil"/>
            </w:tcBorders>
            <w:shd w:val="clear" w:color="auto" w:fill="FFFFFF"/>
          </w:tcPr>
          <w:p w14:paraId="0EB78103" w14:textId="77777777" w:rsidR="00877950" w:rsidRPr="005E779E" w:rsidRDefault="00877950" w:rsidP="000B7A6C">
            <w:pPr>
              <w:pStyle w:val="152"/>
              <w:shd w:val="clear" w:color="auto" w:fill="auto"/>
              <w:spacing w:line="240" w:lineRule="auto"/>
              <w:rPr>
                <w:rFonts w:ascii="Times New Roman" w:hAnsi="Times New Roman" w:cs="Times New Roman"/>
                <w:color w:val="000000" w:themeColor="text1"/>
                <w:sz w:val="16"/>
                <w:szCs w:val="16"/>
              </w:rPr>
            </w:pPr>
            <w:r w:rsidRPr="005E779E">
              <w:rPr>
                <w:rFonts w:ascii="Times New Roman" w:hAnsi="Times New Roman" w:cs="Times New Roman"/>
                <w:color w:val="000000" w:themeColor="text1"/>
                <w:sz w:val="16"/>
                <w:szCs w:val="16"/>
              </w:rPr>
              <w:t>Нагрузка на переднюю ось, кг</w:t>
            </w:r>
          </w:p>
        </w:tc>
        <w:tc>
          <w:tcPr>
            <w:tcW w:w="427" w:type="dxa"/>
            <w:tcBorders>
              <w:top w:val="single" w:sz="4" w:space="0" w:color="auto"/>
              <w:left w:val="nil"/>
              <w:bottom w:val="single" w:sz="4" w:space="0" w:color="auto"/>
              <w:right w:val="single" w:sz="4" w:space="0" w:color="auto"/>
            </w:tcBorders>
            <w:shd w:val="clear" w:color="auto" w:fill="FFFFFF"/>
          </w:tcPr>
          <w:p w14:paraId="30DD1B2B" w14:textId="77777777" w:rsidR="00877950" w:rsidRPr="005E779E" w:rsidRDefault="00877950" w:rsidP="000B7A6C">
            <w:pPr>
              <w:pStyle w:val="152"/>
              <w:shd w:val="clear" w:color="auto" w:fill="auto"/>
              <w:spacing w:line="240" w:lineRule="auto"/>
              <w:rPr>
                <w:rFonts w:ascii="Times New Roman" w:hAnsi="Times New Roman" w:cs="Times New Roman"/>
                <w:color w:val="000000" w:themeColor="text1"/>
                <w:sz w:val="16"/>
                <w:szCs w:val="16"/>
              </w:rPr>
            </w:pPr>
            <w:r w:rsidRPr="005E779E">
              <w:rPr>
                <w:rFonts w:ascii="Times New Roman" w:hAnsi="Times New Roman" w:cs="Times New Roman"/>
                <w:color w:val="000000" w:themeColor="text1"/>
                <w:sz w:val="16"/>
                <w:szCs w:val="16"/>
              </w:rPr>
              <w:t>4020</w:t>
            </w:r>
          </w:p>
        </w:tc>
      </w:tr>
      <w:tr w:rsidR="001002C3" w:rsidRPr="005E779E" w14:paraId="6BBC904F" w14:textId="77777777" w:rsidTr="00BB323F">
        <w:trPr>
          <w:trHeight w:val="235"/>
        </w:trPr>
        <w:tc>
          <w:tcPr>
            <w:tcW w:w="2746" w:type="dxa"/>
            <w:tcBorders>
              <w:top w:val="single" w:sz="4" w:space="0" w:color="auto"/>
              <w:left w:val="single" w:sz="4" w:space="0" w:color="auto"/>
              <w:bottom w:val="single" w:sz="4" w:space="0" w:color="auto"/>
              <w:right w:val="single" w:sz="4" w:space="0" w:color="auto"/>
            </w:tcBorders>
            <w:shd w:val="clear" w:color="auto" w:fill="FFFFFF"/>
          </w:tcPr>
          <w:p w14:paraId="0DD1B249" w14:textId="77777777" w:rsidR="00877950" w:rsidRPr="005E779E" w:rsidRDefault="00877950" w:rsidP="000B7A6C">
            <w:pPr>
              <w:pStyle w:val="152"/>
              <w:shd w:val="clear" w:color="auto" w:fill="auto"/>
              <w:spacing w:line="240" w:lineRule="auto"/>
              <w:rPr>
                <w:rFonts w:ascii="Times New Roman" w:hAnsi="Times New Roman" w:cs="Times New Roman"/>
                <w:color w:val="000000" w:themeColor="text1"/>
                <w:sz w:val="16"/>
                <w:szCs w:val="16"/>
              </w:rPr>
            </w:pPr>
            <w:r w:rsidRPr="005E779E">
              <w:rPr>
                <w:rFonts w:ascii="Times New Roman" w:hAnsi="Times New Roman" w:cs="Times New Roman"/>
                <w:color w:val="000000" w:themeColor="text1"/>
                <w:sz w:val="16"/>
                <w:szCs w:val="16"/>
              </w:rPr>
              <w:t>Нагрузка на заднюю ось, кг</w:t>
            </w:r>
          </w:p>
        </w:tc>
        <w:tc>
          <w:tcPr>
            <w:tcW w:w="427" w:type="dxa"/>
            <w:tcBorders>
              <w:top w:val="single" w:sz="4" w:space="0" w:color="auto"/>
              <w:left w:val="single" w:sz="4" w:space="0" w:color="auto"/>
              <w:bottom w:val="single" w:sz="4" w:space="0" w:color="auto"/>
              <w:right w:val="single" w:sz="4" w:space="0" w:color="auto"/>
            </w:tcBorders>
            <w:shd w:val="clear" w:color="auto" w:fill="FFFFFF"/>
          </w:tcPr>
          <w:p w14:paraId="40B1454E" w14:textId="77777777" w:rsidR="00877950" w:rsidRPr="005E779E" w:rsidRDefault="00877950" w:rsidP="000B7A6C">
            <w:pPr>
              <w:pStyle w:val="152"/>
              <w:shd w:val="clear" w:color="auto" w:fill="auto"/>
              <w:spacing w:line="240" w:lineRule="auto"/>
              <w:rPr>
                <w:rFonts w:ascii="Times New Roman" w:hAnsi="Times New Roman" w:cs="Times New Roman"/>
                <w:color w:val="000000" w:themeColor="text1"/>
                <w:sz w:val="16"/>
                <w:szCs w:val="16"/>
              </w:rPr>
            </w:pPr>
            <w:r w:rsidRPr="005E779E">
              <w:rPr>
                <w:rFonts w:ascii="Times New Roman" w:hAnsi="Times New Roman" w:cs="Times New Roman"/>
                <w:color w:val="000000" w:themeColor="text1"/>
                <w:sz w:val="16"/>
                <w:szCs w:val="16"/>
              </w:rPr>
              <w:t>1230</w:t>
            </w:r>
          </w:p>
        </w:tc>
      </w:tr>
      <w:tr w:rsidR="001002C3" w:rsidRPr="005E779E" w14:paraId="6DF7DDF2" w14:textId="77777777" w:rsidTr="00BB323F">
        <w:trPr>
          <w:trHeight w:val="427"/>
        </w:trPr>
        <w:tc>
          <w:tcPr>
            <w:tcW w:w="2746" w:type="dxa"/>
            <w:tcBorders>
              <w:top w:val="single" w:sz="4" w:space="0" w:color="auto"/>
              <w:left w:val="single" w:sz="4" w:space="0" w:color="auto"/>
              <w:bottom w:val="single" w:sz="4" w:space="0" w:color="auto"/>
              <w:right w:val="single" w:sz="4" w:space="0" w:color="auto"/>
            </w:tcBorders>
            <w:shd w:val="clear" w:color="auto" w:fill="FFFFFF"/>
          </w:tcPr>
          <w:p w14:paraId="3BF911C6" w14:textId="77777777" w:rsidR="00877950" w:rsidRPr="005E779E" w:rsidRDefault="00877950" w:rsidP="000B7A6C">
            <w:pPr>
              <w:pStyle w:val="152"/>
              <w:shd w:val="clear" w:color="auto" w:fill="auto"/>
              <w:spacing w:line="240" w:lineRule="auto"/>
              <w:rPr>
                <w:rFonts w:ascii="Times New Roman" w:hAnsi="Times New Roman" w:cs="Times New Roman"/>
                <w:color w:val="000000" w:themeColor="text1"/>
                <w:sz w:val="16"/>
                <w:szCs w:val="16"/>
              </w:rPr>
            </w:pPr>
            <w:r w:rsidRPr="005E779E">
              <w:rPr>
                <w:rFonts w:ascii="Times New Roman" w:hAnsi="Times New Roman" w:cs="Times New Roman"/>
                <w:color w:val="000000" w:themeColor="text1"/>
                <w:sz w:val="16"/>
                <w:szCs w:val="16"/>
              </w:rPr>
              <w:t>Удельное давление гусеничного хода при погружении на 50 мм, кг/см</w:t>
            </w:r>
            <w:r w:rsidRPr="005E779E">
              <w:rPr>
                <w:rFonts w:ascii="Times New Roman" w:hAnsi="Times New Roman" w:cs="Times New Roman"/>
                <w:color w:val="000000" w:themeColor="text1"/>
                <w:sz w:val="16"/>
                <w:szCs w:val="16"/>
                <w:vertAlign w:val="superscript"/>
              </w:rPr>
              <w:t>г</w:t>
            </w:r>
          </w:p>
        </w:tc>
        <w:tc>
          <w:tcPr>
            <w:tcW w:w="427" w:type="dxa"/>
            <w:tcBorders>
              <w:top w:val="single" w:sz="4" w:space="0" w:color="auto"/>
              <w:left w:val="single" w:sz="4" w:space="0" w:color="auto"/>
              <w:bottom w:val="single" w:sz="4" w:space="0" w:color="auto"/>
              <w:right w:val="single" w:sz="4" w:space="0" w:color="auto"/>
            </w:tcBorders>
            <w:shd w:val="clear" w:color="auto" w:fill="FFFFFF"/>
          </w:tcPr>
          <w:p w14:paraId="5D2BA222" w14:textId="77777777" w:rsidR="00877950" w:rsidRPr="005E779E" w:rsidRDefault="00877950" w:rsidP="000B7A6C">
            <w:pPr>
              <w:pStyle w:val="152"/>
              <w:shd w:val="clear" w:color="auto" w:fill="auto"/>
              <w:spacing w:line="240" w:lineRule="auto"/>
              <w:rPr>
                <w:rFonts w:ascii="Times New Roman" w:hAnsi="Times New Roman" w:cs="Times New Roman"/>
                <w:color w:val="000000" w:themeColor="text1"/>
                <w:sz w:val="16"/>
                <w:szCs w:val="16"/>
              </w:rPr>
            </w:pPr>
            <w:r w:rsidRPr="005E779E">
              <w:rPr>
                <w:rFonts w:ascii="Times New Roman" w:hAnsi="Times New Roman" w:cs="Times New Roman"/>
                <w:color w:val="000000" w:themeColor="text1"/>
                <w:sz w:val="16"/>
                <w:szCs w:val="16"/>
              </w:rPr>
              <w:t>0,27</w:t>
            </w:r>
          </w:p>
        </w:tc>
      </w:tr>
      <w:tr w:rsidR="001002C3" w:rsidRPr="005E779E" w14:paraId="3996A07C" w14:textId="77777777" w:rsidTr="00BB323F">
        <w:trPr>
          <w:trHeight w:val="245"/>
        </w:trPr>
        <w:tc>
          <w:tcPr>
            <w:tcW w:w="2746" w:type="dxa"/>
            <w:tcBorders>
              <w:top w:val="single" w:sz="4" w:space="0" w:color="auto"/>
              <w:left w:val="single" w:sz="4" w:space="0" w:color="auto"/>
              <w:bottom w:val="single" w:sz="4" w:space="0" w:color="auto"/>
              <w:right w:val="single" w:sz="4" w:space="0" w:color="auto"/>
            </w:tcBorders>
            <w:shd w:val="clear" w:color="auto" w:fill="FFFFFF"/>
          </w:tcPr>
          <w:p w14:paraId="590A86D2" w14:textId="77777777" w:rsidR="00877950" w:rsidRPr="005E779E" w:rsidRDefault="00877950" w:rsidP="000B7A6C">
            <w:pPr>
              <w:pStyle w:val="152"/>
              <w:shd w:val="clear" w:color="auto" w:fill="auto"/>
              <w:spacing w:line="240" w:lineRule="auto"/>
              <w:rPr>
                <w:rFonts w:ascii="Times New Roman" w:hAnsi="Times New Roman" w:cs="Times New Roman"/>
                <w:color w:val="000000" w:themeColor="text1"/>
                <w:sz w:val="16"/>
                <w:szCs w:val="16"/>
              </w:rPr>
            </w:pPr>
            <w:r w:rsidRPr="005E779E">
              <w:rPr>
                <w:rFonts w:ascii="Times New Roman" w:hAnsi="Times New Roman" w:cs="Times New Roman"/>
                <w:color w:val="000000" w:themeColor="text1"/>
                <w:sz w:val="16"/>
                <w:szCs w:val="16"/>
              </w:rPr>
              <w:t>Общая длина трактора с гусеницей, мм</w:t>
            </w:r>
          </w:p>
        </w:tc>
        <w:tc>
          <w:tcPr>
            <w:tcW w:w="427" w:type="dxa"/>
            <w:tcBorders>
              <w:top w:val="single" w:sz="4" w:space="0" w:color="auto"/>
              <w:left w:val="single" w:sz="4" w:space="0" w:color="auto"/>
              <w:bottom w:val="single" w:sz="4" w:space="0" w:color="auto"/>
              <w:right w:val="single" w:sz="4" w:space="0" w:color="auto"/>
            </w:tcBorders>
            <w:shd w:val="clear" w:color="auto" w:fill="FFFFFF"/>
          </w:tcPr>
          <w:p w14:paraId="03E31483" w14:textId="77777777" w:rsidR="00877950" w:rsidRPr="005E779E" w:rsidRDefault="00877950" w:rsidP="000B7A6C">
            <w:pPr>
              <w:pStyle w:val="152"/>
              <w:shd w:val="clear" w:color="auto" w:fill="auto"/>
              <w:spacing w:line="240" w:lineRule="auto"/>
              <w:rPr>
                <w:rFonts w:ascii="Times New Roman" w:hAnsi="Times New Roman" w:cs="Times New Roman"/>
                <w:color w:val="000000" w:themeColor="text1"/>
                <w:sz w:val="16"/>
                <w:szCs w:val="16"/>
              </w:rPr>
            </w:pPr>
            <w:r w:rsidRPr="005E779E">
              <w:rPr>
                <w:rFonts w:ascii="Times New Roman" w:hAnsi="Times New Roman" w:cs="Times New Roman"/>
                <w:color w:val="000000" w:themeColor="text1"/>
                <w:sz w:val="16"/>
                <w:szCs w:val="16"/>
              </w:rPr>
              <w:t>3900</w:t>
            </w:r>
          </w:p>
        </w:tc>
      </w:tr>
      <w:tr w:rsidR="001002C3" w:rsidRPr="005E779E" w14:paraId="59398501" w14:textId="77777777" w:rsidTr="00BB323F">
        <w:trPr>
          <w:trHeight w:val="235"/>
        </w:trPr>
        <w:tc>
          <w:tcPr>
            <w:tcW w:w="2746" w:type="dxa"/>
            <w:tcBorders>
              <w:top w:val="single" w:sz="4" w:space="0" w:color="auto"/>
              <w:left w:val="single" w:sz="4" w:space="0" w:color="auto"/>
              <w:bottom w:val="single" w:sz="4" w:space="0" w:color="auto"/>
              <w:right w:val="single" w:sz="4" w:space="0" w:color="auto"/>
            </w:tcBorders>
            <w:shd w:val="clear" w:color="auto" w:fill="FFFFFF"/>
          </w:tcPr>
          <w:p w14:paraId="6297860B" w14:textId="77777777" w:rsidR="00877950" w:rsidRPr="005E779E" w:rsidRDefault="00877950" w:rsidP="000B7A6C">
            <w:pPr>
              <w:pStyle w:val="152"/>
              <w:shd w:val="clear" w:color="auto" w:fill="auto"/>
              <w:spacing w:line="240" w:lineRule="auto"/>
              <w:rPr>
                <w:rFonts w:ascii="Times New Roman" w:hAnsi="Times New Roman" w:cs="Times New Roman"/>
                <w:color w:val="000000" w:themeColor="text1"/>
                <w:sz w:val="16"/>
                <w:szCs w:val="16"/>
              </w:rPr>
            </w:pPr>
            <w:r w:rsidRPr="005E779E">
              <w:rPr>
                <w:rFonts w:ascii="Times New Roman" w:hAnsi="Times New Roman" w:cs="Times New Roman"/>
                <w:color w:val="000000" w:themeColor="text1"/>
                <w:sz w:val="16"/>
                <w:szCs w:val="16"/>
              </w:rPr>
              <w:t>Общая ширина трактора с гусеницей, мм</w:t>
            </w:r>
          </w:p>
        </w:tc>
        <w:tc>
          <w:tcPr>
            <w:tcW w:w="427" w:type="dxa"/>
            <w:tcBorders>
              <w:top w:val="single" w:sz="4" w:space="0" w:color="auto"/>
              <w:left w:val="single" w:sz="4" w:space="0" w:color="auto"/>
              <w:bottom w:val="single" w:sz="4" w:space="0" w:color="auto"/>
              <w:right w:val="single" w:sz="4" w:space="0" w:color="auto"/>
            </w:tcBorders>
            <w:shd w:val="clear" w:color="auto" w:fill="FFFFFF"/>
          </w:tcPr>
          <w:p w14:paraId="69FE3B65" w14:textId="77777777" w:rsidR="00877950" w:rsidRPr="005E779E" w:rsidRDefault="00877950" w:rsidP="000B7A6C">
            <w:pPr>
              <w:pStyle w:val="152"/>
              <w:shd w:val="clear" w:color="auto" w:fill="auto"/>
              <w:spacing w:line="240" w:lineRule="auto"/>
              <w:rPr>
                <w:rFonts w:ascii="Times New Roman" w:hAnsi="Times New Roman" w:cs="Times New Roman"/>
                <w:color w:val="000000" w:themeColor="text1"/>
                <w:sz w:val="16"/>
                <w:szCs w:val="16"/>
              </w:rPr>
            </w:pPr>
            <w:r w:rsidRPr="005E779E">
              <w:rPr>
                <w:rFonts w:ascii="Times New Roman" w:hAnsi="Times New Roman" w:cs="Times New Roman"/>
                <w:color w:val="000000" w:themeColor="text1"/>
                <w:sz w:val="16"/>
                <w:szCs w:val="16"/>
              </w:rPr>
              <w:t>3373</w:t>
            </w:r>
          </w:p>
        </w:tc>
      </w:tr>
      <w:tr w:rsidR="001002C3" w:rsidRPr="005E779E" w14:paraId="52C11A32" w14:textId="77777777" w:rsidTr="00BB323F">
        <w:trPr>
          <w:trHeight w:val="427"/>
        </w:trPr>
        <w:tc>
          <w:tcPr>
            <w:tcW w:w="2746" w:type="dxa"/>
            <w:tcBorders>
              <w:top w:val="single" w:sz="4" w:space="0" w:color="auto"/>
              <w:left w:val="single" w:sz="4" w:space="0" w:color="auto"/>
              <w:bottom w:val="single" w:sz="4" w:space="0" w:color="auto"/>
              <w:right w:val="single" w:sz="4" w:space="0" w:color="auto"/>
            </w:tcBorders>
            <w:shd w:val="clear" w:color="auto" w:fill="FFFFFF"/>
          </w:tcPr>
          <w:p w14:paraId="0EB0661C" w14:textId="77777777" w:rsidR="00877950" w:rsidRPr="005E779E" w:rsidRDefault="00877950" w:rsidP="000B7A6C">
            <w:pPr>
              <w:pStyle w:val="152"/>
              <w:shd w:val="clear" w:color="auto" w:fill="auto"/>
              <w:spacing w:line="240" w:lineRule="auto"/>
              <w:rPr>
                <w:rFonts w:ascii="Times New Roman" w:hAnsi="Times New Roman" w:cs="Times New Roman"/>
                <w:color w:val="000000" w:themeColor="text1"/>
                <w:sz w:val="16"/>
                <w:szCs w:val="16"/>
              </w:rPr>
            </w:pPr>
            <w:r w:rsidRPr="005E779E">
              <w:rPr>
                <w:rFonts w:ascii="Times New Roman" w:hAnsi="Times New Roman" w:cs="Times New Roman"/>
                <w:color w:val="000000" w:themeColor="text1"/>
                <w:sz w:val="16"/>
                <w:szCs w:val="16"/>
              </w:rPr>
              <w:t>Высота трактора с гусеницей до рулевой колонки, мм</w:t>
            </w:r>
          </w:p>
        </w:tc>
        <w:tc>
          <w:tcPr>
            <w:tcW w:w="427" w:type="dxa"/>
            <w:tcBorders>
              <w:top w:val="single" w:sz="4" w:space="0" w:color="auto"/>
              <w:left w:val="single" w:sz="4" w:space="0" w:color="auto"/>
              <w:bottom w:val="single" w:sz="4" w:space="0" w:color="auto"/>
              <w:right w:val="single" w:sz="4" w:space="0" w:color="auto"/>
            </w:tcBorders>
            <w:shd w:val="clear" w:color="auto" w:fill="FFFFFF"/>
          </w:tcPr>
          <w:p w14:paraId="204A057C" w14:textId="77777777" w:rsidR="00877950" w:rsidRPr="005E779E" w:rsidRDefault="00877950" w:rsidP="000B7A6C">
            <w:pPr>
              <w:pStyle w:val="152"/>
              <w:shd w:val="clear" w:color="auto" w:fill="auto"/>
              <w:spacing w:line="240" w:lineRule="auto"/>
              <w:rPr>
                <w:rFonts w:ascii="Times New Roman" w:hAnsi="Times New Roman" w:cs="Times New Roman"/>
                <w:color w:val="000000" w:themeColor="text1"/>
                <w:sz w:val="16"/>
                <w:szCs w:val="16"/>
              </w:rPr>
            </w:pPr>
            <w:r w:rsidRPr="005E779E">
              <w:rPr>
                <w:rFonts w:ascii="Times New Roman" w:hAnsi="Times New Roman" w:cs="Times New Roman"/>
                <w:color w:val="000000" w:themeColor="text1"/>
                <w:sz w:val="16"/>
                <w:szCs w:val="16"/>
              </w:rPr>
              <w:t>1750</w:t>
            </w:r>
          </w:p>
        </w:tc>
      </w:tr>
      <w:tr w:rsidR="001002C3" w:rsidRPr="005E779E" w14:paraId="3F043D0B" w14:textId="77777777" w:rsidTr="00BB323F">
        <w:trPr>
          <w:trHeight w:val="240"/>
        </w:trPr>
        <w:tc>
          <w:tcPr>
            <w:tcW w:w="2746" w:type="dxa"/>
            <w:tcBorders>
              <w:top w:val="single" w:sz="4" w:space="0" w:color="auto"/>
              <w:left w:val="single" w:sz="4" w:space="0" w:color="auto"/>
              <w:bottom w:val="single" w:sz="4" w:space="0" w:color="auto"/>
              <w:right w:val="single" w:sz="4" w:space="0" w:color="auto"/>
            </w:tcBorders>
            <w:shd w:val="clear" w:color="auto" w:fill="FFFFFF"/>
          </w:tcPr>
          <w:p w14:paraId="5516DA30" w14:textId="77777777" w:rsidR="00877950" w:rsidRPr="005E779E" w:rsidRDefault="00877950" w:rsidP="000B7A6C">
            <w:pPr>
              <w:pStyle w:val="152"/>
              <w:shd w:val="clear" w:color="auto" w:fill="auto"/>
              <w:spacing w:line="240" w:lineRule="auto"/>
              <w:rPr>
                <w:rFonts w:ascii="Times New Roman" w:hAnsi="Times New Roman" w:cs="Times New Roman"/>
                <w:color w:val="000000" w:themeColor="text1"/>
                <w:sz w:val="16"/>
                <w:szCs w:val="16"/>
              </w:rPr>
            </w:pPr>
            <w:r w:rsidRPr="005E779E">
              <w:rPr>
                <w:rFonts w:ascii="Times New Roman" w:hAnsi="Times New Roman" w:cs="Times New Roman"/>
                <w:color w:val="000000" w:themeColor="text1"/>
                <w:sz w:val="16"/>
                <w:szCs w:val="16"/>
              </w:rPr>
              <w:t>Емкость керосинового бака, л</w:t>
            </w:r>
          </w:p>
        </w:tc>
        <w:tc>
          <w:tcPr>
            <w:tcW w:w="427" w:type="dxa"/>
            <w:tcBorders>
              <w:top w:val="single" w:sz="4" w:space="0" w:color="auto"/>
              <w:left w:val="single" w:sz="4" w:space="0" w:color="auto"/>
              <w:bottom w:val="single" w:sz="4" w:space="0" w:color="auto"/>
              <w:right w:val="single" w:sz="4" w:space="0" w:color="auto"/>
            </w:tcBorders>
            <w:shd w:val="clear" w:color="auto" w:fill="FFFFFF"/>
          </w:tcPr>
          <w:p w14:paraId="68BD3E19" w14:textId="77777777" w:rsidR="00877950" w:rsidRPr="005E779E" w:rsidRDefault="00877950" w:rsidP="000B7A6C">
            <w:pPr>
              <w:pStyle w:val="152"/>
              <w:shd w:val="clear" w:color="auto" w:fill="auto"/>
              <w:spacing w:line="240" w:lineRule="auto"/>
              <w:rPr>
                <w:rFonts w:ascii="Times New Roman" w:hAnsi="Times New Roman" w:cs="Times New Roman"/>
                <w:color w:val="000000" w:themeColor="text1"/>
                <w:sz w:val="16"/>
                <w:szCs w:val="16"/>
              </w:rPr>
            </w:pPr>
            <w:r w:rsidRPr="005E779E">
              <w:rPr>
                <w:rFonts w:ascii="Times New Roman" w:hAnsi="Times New Roman" w:cs="Times New Roman"/>
                <w:color w:val="000000" w:themeColor="text1"/>
                <w:sz w:val="16"/>
                <w:szCs w:val="16"/>
              </w:rPr>
              <w:t>70</w:t>
            </w:r>
          </w:p>
        </w:tc>
      </w:tr>
      <w:tr w:rsidR="001002C3" w:rsidRPr="005E779E" w14:paraId="03C427BA" w14:textId="77777777" w:rsidTr="00BB323F">
        <w:trPr>
          <w:trHeight w:val="235"/>
        </w:trPr>
        <w:tc>
          <w:tcPr>
            <w:tcW w:w="2746" w:type="dxa"/>
            <w:tcBorders>
              <w:top w:val="single" w:sz="4" w:space="0" w:color="auto"/>
              <w:left w:val="single" w:sz="4" w:space="0" w:color="auto"/>
              <w:bottom w:val="single" w:sz="4" w:space="0" w:color="auto"/>
              <w:right w:val="single" w:sz="4" w:space="0" w:color="auto"/>
            </w:tcBorders>
            <w:shd w:val="clear" w:color="auto" w:fill="FFFFFF"/>
          </w:tcPr>
          <w:p w14:paraId="20A6A16B" w14:textId="77777777" w:rsidR="00877950" w:rsidRPr="005E779E" w:rsidRDefault="00877950" w:rsidP="000B7A6C">
            <w:pPr>
              <w:pStyle w:val="152"/>
              <w:shd w:val="clear" w:color="auto" w:fill="auto"/>
              <w:spacing w:line="240" w:lineRule="auto"/>
              <w:rPr>
                <w:rFonts w:ascii="Times New Roman" w:hAnsi="Times New Roman" w:cs="Times New Roman"/>
                <w:color w:val="000000" w:themeColor="text1"/>
                <w:sz w:val="16"/>
                <w:szCs w:val="16"/>
              </w:rPr>
            </w:pPr>
            <w:r w:rsidRPr="005E779E">
              <w:rPr>
                <w:rFonts w:ascii="Times New Roman" w:hAnsi="Times New Roman" w:cs="Times New Roman"/>
                <w:color w:val="000000" w:themeColor="text1"/>
                <w:sz w:val="16"/>
                <w:szCs w:val="16"/>
              </w:rPr>
              <w:t>Клиренс трактора с гусеницей, мм</w:t>
            </w:r>
          </w:p>
        </w:tc>
        <w:tc>
          <w:tcPr>
            <w:tcW w:w="427" w:type="dxa"/>
            <w:tcBorders>
              <w:top w:val="single" w:sz="4" w:space="0" w:color="auto"/>
              <w:left w:val="single" w:sz="4" w:space="0" w:color="auto"/>
              <w:bottom w:val="single" w:sz="4" w:space="0" w:color="auto"/>
              <w:right w:val="single" w:sz="4" w:space="0" w:color="auto"/>
            </w:tcBorders>
            <w:shd w:val="clear" w:color="auto" w:fill="FFFFFF"/>
          </w:tcPr>
          <w:p w14:paraId="338B5838" w14:textId="77777777" w:rsidR="00877950" w:rsidRPr="005E779E" w:rsidRDefault="00877950" w:rsidP="000B7A6C">
            <w:pPr>
              <w:pStyle w:val="152"/>
              <w:shd w:val="clear" w:color="auto" w:fill="auto"/>
              <w:spacing w:line="240" w:lineRule="auto"/>
              <w:rPr>
                <w:rFonts w:ascii="Times New Roman" w:hAnsi="Times New Roman" w:cs="Times New Roman"/>
                <w:color w:val="000000" w:themeColor="text1"/>
                <w:sz w:val="16"/>
                <w:szCs w:val="16"/>
              </w:rPr>
            </w:pPr>
            <w:r w:rsidRPr="005E779E">
              <w:rPr>
                <w:rFonts w:ascii="Times New Roman" w:hAnsi="Times New Roman" w:cs="Times New Roman"/>
                <w:color w:val="000000" w:themeColor="text1"/>
                <w:sz w:val="16"/>
                <w:szCs w:val="16"/>
              </w:rPr>
              <w:t>270</w:t>
            </w:r>
          </w:p>
        </w:tc>
      </w:tr>
      <w:tr w:rsidR="001002C3" w:rsidRPr="005E779E" w14:paraId="138B8B63" w14:textId="77777777" w:rsidTr="00BB323F">
        <w:trPr>
          <w:trHeight w:val="250"/>
        </w:trPr>
        <w:tc>
          <w:tcPr>
            <w:tcW w:w="2746" w:type="dxa"/>
            <w:tcBorders>
              <w:top w:val="single" w:sz="4" w:space="0" w:color="auto"/>
              <w:left w:val="single" w:sz="4" w:space="0" w:color="auto"/>
              <w:bottom w:val="single" w:sz="4" w:space="0" w:color="auto"/>
              <w:right w:val="single" w:sz="4" w:space="0" w:color="auto"/>
            </w:tcBorders>
            <w:shd w:val="clear" w:color="auto" w:fill="FFFFFF"/>
          </w:tcPr>
          <w:p w14:paraId="1734B3B5" w14:textId="77777777" w:rsidR="00877950" w:rsidRPr="005E779E" w:rsidRDefault="00877950" w:rsidP="000B7A6C">
            <w:pPr>
              <w:pStyle w:val="152"/>
              <w:shd w:val="clear" w:color="auto" w:fill="auto"/>
              <w:spacing w:line="240" w:lineRule="auto"/>
              <w:rPr>
                <w:rFonts w:ascii="Times New Roman" w:hAnsi="Times New Roman" w:cs="Times New Roman"/>
                <w:color w:val="000000" w:themeColor="text1"/>
                <w:sz w:val="16"/>
                <w:szCs w:val="16"/>
              </w:rPr>
            </w:pPr>
            <w:r w:rsidRPr="005E779E">
              <w:rPr>
                <w:rFonts w:ascii="Times New Roman" w:hAnsi="Times New Roman" w:cs="Times New Roman"/>
                <w:color w:val="000000" w:themeColor="text1"/>
                <w:sz w:val="16"/>
                <w:szCs w:val="16"/>
              </w:rPr>
              <w:t>Клиренс трактора на колесах, мм</w:t>
            </w:r>
          </w:p>
        </w:tc>
        <w:tc>
          <w:tcPr>
            <w:tcW w:w="427" w:type="dxa"/>
            <w:tcBorders>
              <w:top w:val="single" w:sz="4" w:space="0" w:color="auto"/>
              <w:left w:val="single" w:sz="4" w:space="0" w:color="auto"/>
              <w:bottom w:val="single" w:sz="4" w:space="0" w:color="auto"/>
              <w:right w:val="single" w:sz="4" w:space="0" w:color="auto"/>
            </w:tcBorders>
            <w:shd w:val="clear" w:color="auto" w:fill="FFFFFF"/>
          </w:tcPr>
          <w:p w14:paraId="5BDEF5E0" w14:textId="77777777" w:rsidR="00877950" w:rsidRPr="005E779E" w:rsidRDefault="00877950" w:rsidP="000B7A6C">
            <w:pPr>
              <w:pStyle w:val="152"/>
              <w:shd w:val="clear" w:color="auto" w:fill="auto"/>
              <w:spacing w:line="240" w:lineRule="auto"/>
              <w:rPr>
                <w:rFonts w:ascii="Times New Roman" w:hAnsi="Times New Roman" w:cs="Times New Roman"/>
                <w:color w:val="000000" w:themeColor="text1"/>
                <w:sz w:val="16"/>
                <w:szCs w:val="16"/>
              </w:rPr>
            </w:pPr>
            <w:r w:rsidRPr="005E779E">
              <w:rPr>
                <w:rFonts w:ascii="Times New Roman" w:hAnsi="Times New Roman" w:cs="Times New Roman"/>
                <w:color w:val="000000" w:themeColor="text1"/>
                <w:sz w:val="16"/>
                <w:szCs w:val="16"/>
              </w:rPr>
              <w:t>300</w:t>
            </w:r>
          </w:p>
        </w:tc>
      </w:tr>
    </w:tbl>
    <w:p w14:paraId="6B6F15DA" w14:textId="77777777" w:rsidR="00877950" w:rsidRPr="005E779E" w:rsidRDefault="00877950" w:rsidP="000B7A6C">
      <w:pPr>
        <w:pStyle w:val="a3"/>
        <w:rPr>
          <w:color w:val="000000" w:themeColor="text1"/>
          <w:lang w:val="ru-RU"/>
        </w:rPr>
      </w:pPr>
      <w:r w:rsidRPr="005E779E">
        <w:rPr>
          <w:color w:val="000000" w:themeColor="text1"/>
          <w:lang w:val="ru-RU"/>
        </w:rPr>
        <w:t>С принятием принципиального решения об организации производства советской вер</w:t>
      </w:r>
      <w:r w:rsidRPr="005E779E">
        <w:rPr>
          <w:color w:val="000000" w:themeColor="text1"/>
          <w:lang w:val="ru-RU"/>
        </w:rPr>
        <w:softHyphen/>
        <w:t>сии трактора «Мак-Кормик-Диринг» («Интер</w:t>
      </w:r>
      <w:r w:rsidRPr="005E779E">
        <w:rPr>
          <w:color w:val="000000" w:themeColor="text1"/>
          <w:lang w:val="ru-RU"/>
        </w:rPr>
        <w:softHyphen/>
        <w:t xml:space="preserve">национал») закономерно был поднят </w:t>
      </w:r>
      <w:r w:rsidRPr="005E779E">
        <w:rPr>
          <w:color w:val="000000" w:themeColor="text1"/>
          <w:lang w:val="ru-RU"/>
        </w:rPr>
        <w:lastRenderedPageBreak/>
        <w:t>вопрос о применении на нем сменного гусеничного хода («придатка»). Основным их заказчиком выступали военные, которые еще в период проведения конкурса выражали заинтересо</w:t>
      </w:r>
      <w:r w:rsidRPr="005E779E">
        <w:rPr>
          <w:color w:val="000000" w:themeColor="text1"/>
          <w:lang w:val="ru-RU"/>
        </w:rPr>
        <w:softHyphen/>
        <w:t>ванность в оснащении «Интернационала» гу</w:t>
      </w:r>
      <w:r w:rsidRPr="005E779E">
        <w:rPr>
          <w:color w:val="000000" w:themeColor="text1"/>
          <w:lang w:val="ru-RU"/>
        </w:rPr>
        <w:softHyphen/>
        <w:t>сеничным ходом. Наряду с гусеничными хода</w:t>
      </w:r>
      <w:r w:rsidRPr="005E779E">
        <w:rPr>
          <w:color w:val="000000" w:themeColor="text1"/>
          <w:lang w:val="ru-RU"/>
        </w:rPr>
        <w:softHyphen/>
        <w:t>ми «Траксон» и «Мун трак» рассматривалась возможность использования гусеничных при</w:t>
      </w:r>
      <w:r w:rsidRPr="005E779E">
        <w:rPr>
          <w:color w:val="000000" w:themeColor="text1"/>
          <w:lang w:val="ru-RU"/>
        </w:rPr>
        <w:softHyphen/>
        <w:t>датков «В.А. Риддель-Компани», или просто «Варко-Ридцель».</w:t>
      </w:r>
    </w:p>
    <w:p w14:paraId="1FA63193" w14:textId="77777777" w:rsidR="00877950" w:rsidRPr="005E779E" w:rsidRDefault="00877950" w:rsidP="000B7A6C">
      <w:pPr>
        <w:pStyle w:val="a3"/>
        <w:rPr>
          <w:color w:val="000000" w:themeColor="text1"/>
          <w:lang w:val="ru-RU"/>
        </w:rPr>
      </w:pPr>
      <w:r w:rsidRPr="005E779E">
        <w:rPr>
          <w:color w:val="000000" w:themeColor="text1"/>
          <w:lang w:val="ru-RU"/>
        </w:rPr>
        <w:t>Вопрос об организации производства гусеничных ходов рассматривался в госу</w:t>
      </w:r>
      <w:r w:rsidRPr="005E779E">
        <w:rPr>
          <w:color w:val="000000" w:themeColor="text1"/>
          <w:lang w:val="ru-RU"/>
        </w:rPr>
        <w:softHyphen/>
        <w:t>дарственном масштабе еще до начала выпу</w:t>
      </w:r>
      <w:r w:rsidRPr="005E779E">
        <w:rPr>
          <w:color w:val="000000" w:themeColor="text1"/>
          <w:lang w:val="ru-RU"/>
        </w:rPr>
        <w:softHyphen/>
        <w:t>ска базового трактора.</w:t>
      </w:r>
    </w:p>
    <w:p w14:paraId="45C8A51A" w14:textId="77777777" w:rsidR="00877950" w:rsidRPr="005E779E" w:rsidRDefault="00877950" w:rsidP="000B7A6C">
      <w:pPr>
        <w:pStyle w:val="a3"/>
        <w:rPr>
          <w:color w:val="000000" w:themeColor="text1"/>
          <w:lang w:val="ru-RU"/>
        </w:rPr>
      </w:pPr>
      <w:r w:rsidRPr="005E779E">
        <w:rPr>
          <w:color w:val="000000" w:themeColor="text1"/>
          <w:lang w:val="ru-RU"/>
        </w:rPr>
        <w:t>Американская фирма «В.А. Риддель- Компани» (№.А. РИсЮе! Сотрапу) из Бюсайруса (Висугиз, ОЫо) была известна своими механи</w:t>
      </w:r>
      <w:r w:rsidRPr="005E779E">
        <w:rPr>
          <w:color w:val="000000" w:themeColor="text1"/>
          <w:lang w:val="ru-RU"/>
        </w:rPr>
        <w:softHyphen/>
        <w:t>ческими лопатами, агрегатируемыми с гусенич</w:t>
      </w:r>
      <w:r w:rsidRPr="005E779E">
        <w:rPr>
          <w:color w:val="000000" w:themeColor="text1"/>
          <w:lang w:val="ru-RU"/>
        </w:rPr>
        <w:softHyphen/>
        <w:t>ными тракторами, сменными гусеничными хо</w:t>
      </w:r>
      <w:r w:rsidRPr="005E779E">
        <w:rPr>
          <w:color w:val="000000" w:themeColor="text1"/>
          <w:lang w:val="ru-RU"/>
        </w:rPr>
        <w:softHyphen/>
        <w:t>дами и всякого рода дорожно-строительными машинами. Фирма предлагала гусеничные хода к тракторам «МсСогтюк Бееппд», модер</w:t>
      </w:r>
      <w:r w:rsidRPr="005E779E">
        <w:rPr>
          <w:color w:val="000000" w:themeColor="text1"/>
          <w:lang w:val="ru-RU"/>
        </w:rPr>
        <w:softHyphen/>
        <w:t>низированному «Рогйзоп», «Сазе» модели С1 и «АШз-СМтегз» марки</w:t>
      </w:r>
      <w:r w:rsidRPr="005E779E">
        <w:rPr>
          <w:rStyle w:val="710"/>
          <w:rFonts w:ascii="Times New Roman" w:eastAsia="Microsoft Sans Serif" w:hAnsi="Times New Roman" w:cs="Times New Roman"/>
          <w:color w:val="000000" w:themeColor="text1"/>
          <w:sz w:val="16"/>
          <w:szCs w:val="16"/>
          <w:lang w:val="ru-RU"/>
        </w:rPr>
        <w:t xml:space="preserve"> и. Эти</w:t>
      </w:r>
      <w:r w:rsidRPr="005E779E">
        <w:rPr>
          <w:color w:val="000000" w:themeColor="text1"/>
          <w:lang w:val="ru-RU"/>
        </w:rPr>
        <w:t xml:space="preserve"> хода устанавлива</w:t>
      </w:r>
      <w:r w:rsidRPr="005E779E">
        <w:rPr>
          <w:color w:val="000000" w:themeColor="text1"/>
          <w:lang w:val="ru-RU"/>
        </w:rPr>
        <w:softHyphen/>
        <w:t>лись на задней оси трактора и благодаря своей качающейся конструкции могли приспосабли</w:t>
      </w:r>
      <w:r w:rsidRPr="005E779E">
        <w:rPr>
          <w:color w:val="000000" w:themeColor="text1"/>
          <w:lang w:val="ru-RU"/>
        </w:rPr>
        <w:softHyphen/>
        <w:t>ваться к рельефу местности.</w:t>
      </w:r>
    </w:p>
    <w:p w14:paraId="3D72A1F9" w14:textId="77777777" w:rsidR="00877950" w:rsidRPr="005E779E" w:rsidRDefault="00877950" w:rsidP="000B7A6C">
      <w:pPr>
        <w:pStyle w:val="a3"/>
        <w:rPr>
          <w:color w:val="000000" w:themeColor="text1"/>
          <w:lang w:val="ru-RU"/>
        </w:rPr>
      </w:pPr>
      <w:r w:rsidRPr="005E779E">
        <w:rPr>
          <w:color w:val="000000" w:themeColor="text1"/>
          <w:lang w:val="ru-RU"/>
        </w:rPr>
        <w:t>Программа испытаний включала выпол</w:t>
      </w:r>
      <w:r w:rsidRPr="005E779E">
        <w:rPr>
          <w:color w:val="000000" w:themeColor="text1"/>
          <w:lang w:val="ru-RU"/>
        </w:rPr>
        <w:softHyphen/>
        <w:t>нение трех дневных пробегов продолжитель</w:t>
      </w:r>
      <w:r w:rsidRPr="005E779E">
        <w:rPr>
          <w:color w:val="000000" w:themeColor="text1"/>
          <w:lang w:val="ru-RU"/>
        </w:rPr>
        <w:softHyphen/>
        <w:t>ностью до 8 ч по шоссе, грунтовым дорогам и бездорожью. При движении на грунтовых доро</w:t>
      </w:r>
      <w:r w:rsidRPr="005E779E">
        <w:rPr>
          <w:color w:val="000000" w:themeColor="text1"/>
          <w:lang w:val="ru-RU"/>
        </w:rPr>
        <w:softHyphen/>
        <w:t>гах и бездорожье следовало определить мак</w:t>
      </w:r>
      <w:r w:rsidRPr="005E779E">
        <w:rPr>
          <w:color w:val="000000" w:themeColor="text1"/>
          <w:lang w:val="ru-RU"/>
        </w:rPr>
        <w:softHyphen/>
        <w:t>симальные преодолеваемые подъемы с при</w:t>
      </w:r>
      <w:r w:rsidRPr="005E779E">
        <w:rPr>
          <w:color w:val="000000" w:themeColor="text1"/>
          <w:lang w:val="ru-RU"/>
        </w:rPr>
        <w:softHyphen/>
        <w:t>цепным грузом. Предполагалась буксировка 107-мм пушки обр. 1910 г. с передком, общим весом 2800 кг и 122-мм гаубиц 1909 г. и 1910 г. с передком, общим весом 2600 кг.</w:t>
      </w:r>
    </w:p>
    <w:p w14:paraId="71BCAAE4" w14:textId="77777777" w:rsidR="00877950" w:rsidRPr="005E779E" w:rsidRDefault="00877950" w:rsidP="000B7A6C">
      <w:pPr>
        <w:pStyle w:val="aff1"/>
        <w:shd w:val="clear" w:color="auto" w:fill="auto"/>
        <w:spacing w:line="240" w:lineRule="auto"/>
        <w:rPr>
          <w:rFonts w:ascii="Times New Roman" w:hAnsi="Times New Roman" w:cs="Times New Roman"/>
          <w:i w:val="0"/>
          <w:color w:val="000000" w:themeColor="text1"/>
          <w:sz w:val="16"/>
          <w:szCs w:val="16"/>
          <w:lang w:val="ru-RU"/>
        </w:rPr>
      </w:pPr>
      <w:r w:rsidRPr="005E779E">
        <w:rPr>
          <w:rFonts w:ascii="Times New Roman" w:hAnsi="Times New Roman" w:cs="Times New Roman"/>
          <w:i w:val="0"/>
          <w:color w:val="000000" w:themeColor="text1"/>
          <w:sz w:val="16"/>
          <w:szCs w:val="16"/>
          <w:lang w:val="ru-RU"/>
        </w:rPr>
        <w:t>Основные данные гусеничного хода «Варко-Риддель»</w:t>
      </w:r>
    </w:p>
    <w:tbl>
      <w:tblPr>
        <w:tblW w:w="0" w:type="auto"/>
        <w:tblInd w:w="5" w:type="dxa"/>
        <w:tblLayout w:type="fixed"/>
        <w:tblCellMar>
          <w:left w:w="0" w:type="dxa"/>
          <w:right w:w="0" w:type="dxa"/>
        </w:tblCellMar>
        <w:tblLook w:val="0000" w:firstRow="0" w:lastRow="0" w:firstColumn="0" w:lastColumn="0" w:noHBand="0" w:noVBand="0"/>
      </w:tblPr>
      <w:tblGrid>
        <w:gridCol w:w="2664"/>
        <w:gridCol w:w="509"/>
      </w:tblGrid>
      <w:tr w:rsidR="001002C3" w:rsidRPr="005E779E" w14:paraId="0388A9A3" w14:textId="77777777" w:rsidTr="00BB323F">
        <w:trPr>
          <w:trHeight w:val="245"/>
        </w:trPr>
        <w:tc>
          <w:tcPr>
            <w:tcW w:w="2664" w:type="dxa"/>
            <w:tcBorders>
              <w:top w:val="single" w:sz="4" w:space="0" w:color="auto"/>
              <w:left w:val="single" w:sz="4" w:space="0" w:color="auto"/>
              <w:bottom w:val="single" w:sz="4" w:space="0" w:color="auto"/>
              <w:right w:val="single" w:sz="4" w:space="0" w:color="auto"/>
            </w:tcBorders>
            <w:shd w:val="clear" w:color="auto" w:fill="FFFFFF"/>
          </w:tcPr>
          <w:p w14:paraId="6DF4DA12" w14:textId="77777777" w:rsidR="00877950" w:rsidRPr="005E779E" w:rsidRDefault="00877950" w:rsidP="000B7A6C">
            <w:pPr>
              <w:pStyle w:val="152"/>
              <w:shd w:val="clear" w:color="auto" w:fill="auto"/>
              <w:spacing w:line="240" w:lineRule="auto"/>
              <w:rPr>
                <w:rFonts w:ascii="Times New Roman" w:hAnsi="Times New Roman" w:cs="Times New Roman"/>
                <w:color w:val="000000" w:themeColor="text1"/>
                <w:sz w:val="16"/>
                <w:szCs w:val="16"/>
              </w:rPr>
            </w:pPr>
            <w:r w:rsidRPr="005E779E">
              <w:rPr>
                <w:rFonts w:ascii="Times New Roman" w:hAnsi="Times New Roman" w:cs="Times New Roman"/>
                <w:color w:val="000000" w:themeColor="text1"/>
                <w:sz w:val="16"/>
                <w:szCs w:val="16"/>
              </w:rPr>
              <w:t>Диаметр ведущего зубчатого колеса, мм</w:t>
            </w:r>
          </w:p>
        </w:tc>
        <w:tc>
          <w:tcPr>
            <w:tcW w:w="509" w:type="dxa"/>
            <w:tcBorders>
              <w:top w:val="single" w:sz="4" w:space="0" w:color="auto"/>
              <w:left w:val="single" w:sz="4" w:space="0" w:color="auto"/>
              <w:bottom w:val="single" w:sz="4" w:space="0" w:color="auto"/>
              <w:right w:val="single" w:sz="4" w:space="0" w:color="auto"/>
            </w:tcBorders>
            <w:shd w:val="clear" w:color="auto" w:fill="FFFFFF"/>
          </w:tcPr>
          <w:p w14:paraId="655EDE72" w14:textId="77777777" w:rsidR="00877950" w:rsidRPr="005E779E" w:rsidRDefault="00877950" w:rsidP="000B7A6C">
            <w:pPr>
              <w:pStyle w:val="152"/>
              <w:shd w:val="clear" w:color="auto" w:fill="auto"/>
              <w:spacing w:line="240" w:lineRule="auto"/>
              <w:rPr>
                <w:rFonts w:ascii="Times New Roman" w:hAnsi="Times New Roman" w:cs="Times New Roman"/>
                <w:color w:val="000000" w:themeColor="text1"/>
                <w:sz w:val="16"/>
                <w:szCs w:val="16"/>
              </w:rPr>
            </w:pPr>
            <w:r w:rsidRPr="005E779E">
              <w:rPr>
                <w:rFonts w:ascii="Times New Roman" w:hAnsi="Times New Roman" w:cs="Times New Roman"/>
                <w:color w:val="000000" w:themeColor="text1"/>
                <w:sz w:val="16"/>
                <w:szCs w:val="16"/>
              </w:rPr>
              <w:t>792</w:t>
            </w:r>
          </w:p>
        </w:tc>
      </w:tr>
      <w:tr w:rsidR="001002C3" w:rsidRPr="005E779E" w14:paraId="2E1B2506" w14:textId="77777777" w:rsidTr="00BB323F">
        <w:trPr>
          <w:trHeight w:val="240"/>
        </w:trPr>
        <w:tc>
          <w:tcPr>
            <w:tcW w:w="2664" w:type="dxa"/>
            <w:tcBorders>
              <w:top w:val="single" w:sz="4" w:space="0" w:color="auto"/>
              <w:left w:val="single" w:sz="4" w:space="0" w:color="auto"/>
              <w:bottom w:val="single" w:sz="4" w:space="0" w:color="auto"/>
              <w:right w:val="single" w:sz="4" w:space="0" w:color="auto"/>
            </w:tcBorders>
            <w:shd w:val="clear" w:color="auto" w:fill="FFFFFF"/>
          </w:tcPr>
          <w:p w14:paraId="2CE08D1C" w14:textId="77777777" w:rsidR="00877950" w:rsidRPr="005E779E" w:rsidRDefault="00877950" w:rsidP="000B7A6C">
            <w:pPr>
              <w:pStyle w:val="152"/>
              <w:shd w:val="clear" w:color="auto" w:fill="auto"/>
              <w:spacing w:line="240" w:lineRule="auto"/>
              <w:rPr>
                <w:rFonts w:ascii="Times New Roman" w:hAnsi="Times New Roman" w:cs="Times New Roman"/>
                <w:color w:val="000000" w:themeColor="text1"/>
                <w:sz w:val="16"/>
                <w:szCs w:val="16"/>
              </w:rPr>
            </w:pPr>
            <w:r w:rsidRPr="005E779E">
              <w:rPr>
                <w:rFonts w:ascii="Times New Roman" w:hAnsi="Times New Roman" w:cs="Times New Roman"/>
                <w:color w:val="000000" w:themeColor="text1"/>
                <w:sz w:val="16"/>
                <w:szCs w:val="16"/>
              </w:rPr>
              <w:t>Ширина рельс по внешней стороне, мм</w:t>
            </w:r>
          </w:p>
        </w:tc>
        <w:tc>
          <w:tcPr>
            <w:tcW w:w="509" w:type="dxa"/>
            <w:tcBorders>
              <w:top w:val="single" w:sz="4" w:space="0" w:color="auto"/>
              <w:left w:val="single" w:sz="4" w:space="0" w:color="auto"/>
              <w:bottom w:val="single" w:sz="4" w:space="0" w:color="auto"/>
              <w:right w:val="single" w:sz="4" w:space="0" w:color="auto"/>
            </w:tcBorders>
            <w:shd w:val="clear" w:color="auto" w:fill="FFFFFF"/>
          </w:tcPr>
          <w:p w14:paraId="3D923C2B" w14:textId="77777777" w:rsidR="00877950" w:rsidRPr="005E779E" w:rsidRDefault="00877950" w:rsidP="000B7A6C">
            <w:pPr>
              <w:pStyle w:val="152"/>
              <w:shd w:val="clear" w:color="auto" w:fill="auto"/>
              <w:spacing w:line="240" w:lineRule="auto"/>
              <w:rPr>
                <w:rFonts w:ascii="Times New Roman" w:hAnsi="Times New Roman" w:cs="Times New Roman"/>
                <w:color w:val="000000" w:themeColor="text1"/>
                <w:sz w:val="16"/>
                <w:szCs w:val="16"/>
              </w:rPr>
            </w:pPr>
            <w:r w:rsidRPr="005E779E">
              <w:rPr>
                <w:rFonts w:ascii="Times New Roman" w:hAnsi="Times New Roman" w:cs="Times New Roman"/>
                <w:color w:val="000000" w:themeColor="text1"/>
                <w:sz w:val="16"/>
                <w:szCs w:val="16"/>
              </w:rPr>
              <w:t>131</w:t>
            </w:r>
          </w:p>
        </w:tc>
      </w:tr>
      <w:tr w:rsidR="001002C3" w:rsidRPr="005E779E" w14:paraId="1A3F959C" w14:textId="77777777" w:rsidTr="00BB323F">
        <w:trPr>
          <w:trHeight w:val="427"/>
        </w:trPr>
        <w:tc>
          <w:tcPr>
            <w:tcW w:w="2664" w:type="dxa"/>
            <w:tcBorders>
              <w:top w:val="single" w:sz="4" w:space="0" w:color="auto"/>
              <w:left w:val="single" w:sz="4" w:space="0" w:color="auto"/>
              <w:bottom w:val="single" w:sz="4" w:space="0" w:color="auto"/>
              <w:right w:val="single" w:sz="4" w:space="0" w:color="auto"/>
            </w:tcBorders>
            <w:shd w:val="clear" w:color="auto" w:fill="FFFFFF"/>
          </w:tcPr>
          <w:p w14:paraId="62682421" w14:textId="77777777" w:rsidR="00877950" w:rsidRPr="005E779E" w:rsidRDefault="00877950" w:rsidP="000B7A6C">
            <w:pPr>
              <w:pStyle w:val="152"/>
              <w:shd w:val="clear" w:color="auto" w:fill="auto"/>
              <w:spacing w:line="240" w:lineRule="auto"/>
              <w:rPr>
                <w:rFonts w:ascii="Times New Roman" w:hAnsi="Times New Roman" w:cs="Times New Roman"/>
                <w:color w:val="000000" w:themeColor="text1"/>
                <w:sz w:val="16"/>
                <w:szCs w:val="16"/>
              </w:rPr>
            </w:pPr>
            <w:r w:rsidRPr="005E779E">
              <w:rPr>
                <w:rFonts w:ascii="Times New Roman" w:hAnsi="Times New Roman" w:cs="Times New Roman"/>
                <w:color w:val="000000" w:themeColor="text1"/>
                <w:sz w:val="16"/>
                <w:szCs w:val="16"/>
              </w:rPr>
              <w:t>Ширина рельс по внутренней стороне, мм</w:t>
            </w:r>
          </w:p>
        </w:tc>
        <w:tc>
          <w:tcPr>
            <w:tcW w:w="509" w:type="dxa"/>
            <w:tcBorders>
              <w:top w:val="single" w:sz="4" w:space="0" w:color="auto"/>
              <w:left w:val="single" w:sz="4" w:space="0" w:color="auto"/>
              <w:bottom w:val="single" w:sz="4" w:space="0" w:color="auto"/>
              <w:right w:val="single" w:sz="4" w:space="0" w:color="auto"/>
            </w:tcBorders>
            <w:shd w:val="clear" w:color="auto" w:fill="FFFFFF"/>
          </w:tcPr>
          <w:p w14:paraId="503EF4BB" w14:textId="77777777" w:rsidR="00877950" w:rsidRPr="005E779E" w:rsidRDefault="00877950" w:rsidP="000B7A6C">
            <w:pPr>
              <w:pStyle w:val="152"/>
              <w:shd w:val="clear" w:color="auto" w:fill="auto"/>
              <w:spacing w:line="240" w:lineRule="auto"/>
              <w:rPr>
                <w:rFonts w:ascii="Times New Roman" w:hAnsi="Times New Roman" w:cs="Times New Roman"/>
                <w:color w:val="000000" w:themeColor="text1"/>
                <w:sz w:val="16"/>
                <w:szCs w:val="16"/>
              </w:rPr>
            </w:pPr>
            <w:r w:rsidRPr="005E779E">
              <w:rPr>
                <w:rFonts w:ascii="Times New Roman" w:hAnsi="Times New Roman" w:cs="Times New Roman"/>
                <w:color w:val="000000" w:themeColor="text1"/>
                <w:sz w:val="16"/>
                <w:szCs w:val="16"/>
              </w:rPr>
              <w:t>103</w:t>
            </w:r>
          </w:p>
        </w:tc>
      </w:tr>
      <w:tr w:rsidR="001002C3" w:rsidRPr="005E779E" w14:paraId="6D820EB9" w14:textId="77777777" w:rsidTr="00BB323F">
        <w:trPr>
          <w:trHeight w:val="235"/>
        </w:trPr>
        <w:tc>
          <w:tcPr>
            <w:tcW w:w="2664" w:type="dxa"/>
            <w:tcBorders>
              <w:top w:val="single" w:sz="4" w:space="0" w:color="auto"/>
              <w:left w:val="single" w:sz="4" w:space="0" w:color="auto"/>
              <w:bottom w:val="single" w:sz="4" w:space="0" w:color="auto"/>
              <w:right w:val="single" w:sz="4" w:space="0" w:color="auto"/>
            </w:tcBorders>
            <w:shd w:val="clear" w:color="auto" w:fill="FFFFFF"/>
          </w:tcPr>
          <w:p w14:paraId="145B35D3" w14:textId="77777777" w:rsidR="00877950" w:rsidRPr="005E779E" w:rsidRDefault="00877950" w:rsidP="000B7A6C">
            <w:pPr>
              <w:pStyle w:val="152"/>
              <w:shd w:val="clear" w:color="auto" w:fill="auto"/>
              <w:spacing w:line="240" w:lineRule="auto"/>
              <w:rPr>
                <w:rFonts w:ascii="Times New Roman" w:hAnsi="Times New Roman" w:cs="Times New Roman"/>
                <w:color w:val="000000" w:themeColor="text1"/>
                <w:sz w:val="16"/>
                <w:szCs w:val="16"/>
              </w:rPr>
            </w:pPr>
            <w:r w:rsidRPr="005E779E">
              <w:rPr>
                <w:rFonts w:ascii="Times New Roman" w:hAnsi="Times New Roman" w:cs="Times New Roman"/>
                <w:color w:val="000000" w:themeColor="text1"/>
                <w:sz w:val="16"/>
                <w:szCs w:val="16"/>
              </w:rPr>
              <w:t>Число траков одной гусеницы, шт.</w:t>
            </w:r>
          </w:p>
        </w:tc>
        <w:tc>
          <w:tcPr>
            <w:tcW w:w="509" w:type="dxa"/>
            <w:tcBorders>
              <w:top w:val="single" w:sz="4" w:space="0" w:color="auto"/>
              <w:left w:val="single" w:sz="4" w:space="0" w:color="auto"/>
              <w:bottom w:val="single" w:sz="4" w:space="0" w:color="auto"/>
              <w:right w:val="single" w:sz="4" w:space="0" w:color="auto"/>
            </w:tcBorders>
            <w:shd w:val="clear" w:color="auto" w:fill="FFFFFF"/>
          </w:tcPr>
          <w:p w14:paraId="0A2CA351" w14:textId="77777777" w:rsidR="00877950" w:rsidRPr="005E779E" w:rsidRDefault="00877950" w:rsidP="000B7A6C">
            <w:pPr>
              <w:pStyle w:val="152"/>
              <w:shd w:val="clear" w:color="auto" w:fill="auto"/>
              <w:spacing w:line="240" w:lineRule="auto"/>
              <w:rPr>
                <w:rFonts w:ascii="Times New Roman" w:hAnsi="Times New Roman" w:cs="Times New Roman"/>
                <w:color w:val="000000" w:themeColor="text1"/>
                <w:sz w:val="16"/>
                <w:szCs w:val="16"/>
              </w:rPr>
            </w:pPr>
            <w:r w:rsidRPr="005E779E">
              <w:rPr>
                <w:rFonts w:ascii="Times New Roman" w:hAnsi="Times New Roman" w:cs="Times New Roman"/>
                <w:color w:val="000000" w:themeColor="text1"/>
                <w:sz w:val="16"/>
                <w:szCs w:val="16"/>
              </w:rPr>
              <w:t>27</w:t>
            </w:r>
          </w:p>
        </w:tc>
      </w:tr>
      <w:tr w:rsidR="001002C3" w:rsidRPr="005E779E" w14:paraId="02434B38" w14:textId="77777777" w:rsidTr="00BB323F">
        <w:trPr>
          <w:trHeight w:val="245"/>
        </w:trPr>
        <w:tc>
          <w:tcPr>
            <w:tcW w:w="2664" w:type="dxa"/>
            <w:tcBorders>
              <w:top w:val="single" w:sz="4" w:space="0" w:color="auto"/>
              <w:left w:val="single" w:sz="4" w:space="0" w:color="auto"/>
              <w:bottom w:val="single" w:sz="4" w:space="0" w:color="auto"/>
              <w:right w:val="single" w:sz="4" w:space="0" w:color="auto"/>
            </w:tcBorders>
            <w:shd w:val="clear" w:color="auto" w:fill="FFFFFF"/>
          </w:tcPr>
          <w:p w14:paraId="317BC72B" w14:textId="77777777" w:rsidR="00877950" w:rsidRPr="005E779E" w:rsidRDefault="00877950" w:rsidP="000B7A6C">
            <w:pPr>
              <w:pStyle w:val="152"/>
              <w:shd w:val="clear" w:color="auto" w:fill="auto"/>
              <w:spacing w:line="240" w:lineRule="auto"/>
              <w:rPr>
                <w:rFonts w:ascii="Times New Roman" w:hAnsi="Times New Roman" w:cs="Times New Roman"/>
                <w:color w:val="000000" w:themeColor="text1"/>
                <w:sz w:val="16"/>
                <w:szCs w:val="16"/>
              </w:rPr>
            </w:pPr>
            <w:r w:rsidRPr="005E779E">
              <w:rPr>
                <w:rFonts w:ascii="Times New Roman" w:hAnsi="Times New Roman" w:cs="Times New Roman"/>
                <w:color w:val="000000" w:themeColor="text1"/>
                <w:sz w:val="16"/>
                <w:szCs w:val="16"/>
              </w:rPr>
              <w:t>Шаг гусеницы, мм</w:t>
            </w:r>
          </w:p>
        </w:tc>
        <w:tc>
          <w:tcPr>
            <w:tcW w:w="509" w:type="dxa"/>
            <w:tcBorders>
              <w:top w:val="single" w:sz="4" w:space="0" w:color="auto"/>
              <w:left w:val="single" w:sz="4" w:space="0" w:color="auto"/>
              <w:bottom w:val="single" w:sz="4" w:space="0" w:color="auto"/>
              <w:right w:val="single" w:sz="4" w:space="0" w:color="auto"/>
            </w:tcBorders>
            <w:shd w:val="clear" w:color="auto" w:fill="FFFFFF"/>
          </w:tcPr>
          <w:p w14:paraId="74948F1D" w14:textId="77777777" w:rsidR="00877950" w:rsidRPr="005E779E" w:rsidRDefault="00877950" w:rsidP="000B7A6C">
            <w:pPr>
              <w:pStyle w:val="152"/>
              <w:shd w:val="clear" w:color="auto" w:fill="auto"/>
              <w:spacing w:line="240" w:lineRule="auto"/>
              <w:rPr>
                <w:rFonts w:ascii="Times New Roman" w:hAnsi="Times New Roman" w:cs="Times New Roman"/>
                <w:color w:val="000000" w:themeColor="text1"/>
                <w:sz w:val="16"/>
                <w:szCs w:val="16"/>
              </w:rPr>
            </w:pPr>
            <w:r w:rsidRPr="005E779E">
              <w:rPr>
                <w:rFonts w:ascii="Times New Roman" w:hAnsi="Times New Roman" w:cs="Times New Roman"/>
                <w:color w:val="000000" w:themeColor="text1"/>
                <w:sz w:val="16"/>
                <w:szCs w:val="16"/>
              </w:rPr>
              <w:t>83</w:t>
            </w:r>
          </w:p>
        </w:tc>
      </w:tr>
      <w:tr w:rsidR="001002C3" w:rsidRPr="005E779E" w14:paraId="265A43E1" w14:textId="77777777" w:rsidTr="00BB323F">
        <w:trPr>
          <w:trHeight w:val="235"/>
        </w:trPr>
        <w:tc>
          <w:tcPr>
            <w:tcW w:w="2664" w:type="dxa"/>
            <w:tcBorders>
              <w:top w:val="single" w:sz="4" w:space="0" w:color="auto"/>
              <w:left w:val="single" w:sz="4" w:space="0" w:color="auto"/>
              <w:bottom w:val="single" w:sz="4" w:space="0" w:color="auto"/>
              <w:right w:val="single" w:sz="4" w:space="0" w:color="auto"/>
            </w:tcBorders>
            <w:shd w:val="clear" w:color="auto" w:fill="FFFFFF"/>
          </w:tcPr>
          <w:p w14:paraId="6AA9443C" w14:textId="77777777" w:rsidR="00877950" w:rsidRPr="005E779E" w:rsidRDefault="00877950" w:rsidP="000B7A6C">
            <w:pPr>
              <w:pStyle w:val="152"/>
              <w:shd w:val="clear" w:color="auto" w:fill="auto"/>
              <w:spacing w:line="240" w:lineRule="auto"/>
              <w:rPr>
                <w:rFonts w:ascii="Times New Roman" w:hAnsi="Times New Roman" w:cs="Times New Roman"/>
                <w:color w:val="000000" w:themeColor="text1"/>
                <w:sz w:val="16"/>
                <w:szCs w:val="16"/>
              </w:rPr>
            </w:pPr>
            <w:r w:rsidRPr="005E779E">
              <w:rPr>
                <w:rFonts w:ascii="Times New Roman" w:hAnsi="Times New Roman" w:cs="Times New Roman"/>
                <w:color w:val="000000" w:themeColor="text1"/>
                <w:sz w:val="16"/>
                <w:szCs w:val="16"/>
              </w:rPr>
              <w:t>Ширина гусеницы, мм</w:t>
            </w:r>
          </w:p>
        </w:tc>
        <w:tc>
          <w:tcPr>
            <w:tcW w:w="509" w:type="dxa"/>
            <w:tcBorders>
              <w:top w:val="single" w:sz="4" w:space="0" w:color="auto"/>
              <w:left w:val="single" w:sz="4" w:space="0" w:color="auto"/>
              <w:bottom w:val="single" w:sz="4" w:space="0" w:color="auto"/>
              <w:right w:val="single" w:sz="4" w:space="0" w:color="auto"/>
            </w:tcBorders>
            <w:shd w:val="clear" w:color="auto" w:fill="FFFFFF"/>
          </w:tcPr>
          <w:p w14:paraId="7AABA808" w14:textId="77777777" w:rsidR="00877950" w:rsidRPr="005E779E" w:rsidRDefault="00877950" w:rsidP="000B7A6C">
            <w:pPr>
              <w:pStyle w:val="152"/>
              <w:shd w:val="clear" w:color="auto" w:fill="auto"/>
              <w:spacing w:line="240" w:lineRule="auto"/>
              <w:rPr>
                <w:rFonts w:ascii="Times New Roman" w:hAnsi="Times New Roman" w:cs="Times New Roman"/>
                <w:color w:val="000000" w:themeColor="text1"/>
                <w:sz w:val="16"/>
                <w:szCs w:val="16"/>
              </w:rPr>
            </w:pPr>
            <w:r w:rsidRPr="005E779E">
              <w:rPr>
                <w:rFonts w:ascii="Times New Roman" w:hAnsi="Times New Roman" w:cs="Times New Roman"/>
                <w:color w:val="000000" w:themeColor="text1"/>
                <w:sz w:val="16"/>
                <w:szCs w:val="16"/>
              </w:rPr>
              <w:t>407</w:t>
            </w:r>
          </w:p>
        </w:tc>
      </w:tr>
      <w:tr w:rsidR="001002C3" w:rsidRPr="005E779E" w14:paraId="1E12EB06" w14:textId="77777777" w:rsidTr="00BB323F">
        <w:trPr>
          <w:trHeight w:val="240"/>
        </w:trPr>
        <w:tc>
          <w:tcPr>
            <w:tcW w:w="2664" w:type="dxa"/>
            <w:tcBorders>
              <w:top w:val="single" w:sz="4" w:space="0" w:color="auto"/>
              <w:left w:val="single" w:sz="4" w:space="0" w:color="auto"/>
              <w:bottom w:val="single" w:sz="4" w:space="0" w:color="auto"/>
              <w:right w:val="single" w:sz="4" w:space="0" w:color="auto"/>
            </w:tcBorders>
            <w:shd w:val="clear" w:color="auto" w:fill="FFFFFF"/>
          </w:tcPr>
          <w:p w14:paraId="6FEAC3B6" w14:textId="77777777" w:rsidR="00877950" w:rsidRPr="005E779E" w:rsidRDefault="00877950" w:rsidP="000B7A6C">
            <w:pPr>
              <w:pStyle w:val="152"/>
              <w:shd w:val="clear" w:color="auto" w:fill="auto"/>
              <w:spacing w:line="240" w:lineRule="auto"/>
              <w:rPr>
                <w:rFonts w:ascii="Times New Roman" w:hAnsi="Times New Roman" w:cs="Times New Roman"/>
                <w:color w:val="000000" w:themeColor="text1"/>
                <w:sz w:val="16"/>
                <w:szCs w:val="16"/>
              </w:rPr>
            </w:pPr>
            <w:r w:rsidRPr="005E779E">
              <w:rPr>
                <w:rFonts w:ascii="Times New Roman" w:hAnsi="Times New Roman" w:cs="Times New Roman"/>
                <w:color w:val="000000" w:themeColor="text1"/>
                <w:sz w:val="16"/>
                <w:szCs w:val="16"/>
              </w:rPr>
              <w:t>Ширина колеи гусеничного хода, мм</w:t>
            </w:r>
          </w:p>
        </w:tc>
        <w:tc>
          <w:tcPr>
            <w:tcW w:w="509" w:type="dxa"/>
            <w:tcBorders>
              <w:top w:val="single" w:sz="4" w:space="0" w:color="auto"/>
              <w:left w:val="single" w:sz="4" w:space="0" w:color="auto"/>
              <w:bottom w:val="single" w:sz="4" w:space="0" w:color="auto"/>
              <w:right w:val="single" w:sz="4" w:space="0" w:color="auto"/>
            </w:tcBorders>
            <w:shd w:val="clear" w:color="auto" w:fill="FFFFFF"/>
          </w:tcPr>
          <w:p w14:paraId="1C630711" w14:textId="77777777" w:rsidR="00877950" w:rsidRPr="005E779E" w:rsidRDefault="00877950" w:rsidP="000B7A6C">
            <w:pPr>
              <w:pStyle w:val="152"/>
              <w:shd w:val="clear" w:color="auto" w:fill="auto"/>
              <w:spacing w:line="240" w:lineRule="auto"/>
              <w:rPr>
                <w:rFonts w:ascii="Times New Roman" w:hAnsi="Times New Roman" w:cs="Times New Roman"/>
                <w:color w:val="000000" w:themeColor="text1"/>
                <w:sz w:val="16"/>
                <w:szCs w:val="16"/>
              </w:rPr>
            </w:pPr>
            <w:r w:rsidRPr="005E779E">
              <w:rPr>
                <w:rFonts w:ascii="Times New Roman" w:hAnsi="Times New Roman" w:cs="Times New Roman"/>
                <w:color w:val="000000" w:themeColor="text1"/>
                <w:sz w:val="16"/>
                <w:szCs w:val="16"/>
              </w:rPr>
              <w:t>1420</w:t>
            </w:r>
          </w:p>
        </w:tc>
      </w:tr>
      <w:tr w:rsidR="001002C3" w:rsidRPr="005E779E" w14:paraId="074A0076" w14:textId="77777777" w:rsidTr="00BB323F">
        <w:trPr>
          <w:trHeight w:val="235"/>
        </w:trPr>
        <w:tc>
          <w:tcPr>
            <w:tcW w:w="2664" w:type="dxa"/>
            <w:tcBorders>
              <w:top w:val="single" w:sz="4" w:space="0" w:color="auto"/>
              <w:left w:val="single" w:sz="4" w:space="0" w:color="auto"/>
              <w:bottom w:val="single" w:sz="4" w:space="0" w:color="auto"/>
              <w:right w:val="single" w:sz="4" w:space="0" w:color="auto"/>
            </w:tcBorders>
            <w:shd w:val="clear" w:color="auto" w:fill="FFFFFF"/>
          </w:tcPr>
          <w:p w14:paraId="56CF0278" w14:textId="77777777" w:rsidR="00877950" w:rsidRPr="005E779E" w:rsidRDefault="00877950" w:rsidP="000B7A6C">
            <w:pPr>
              <w:pStyle w:val="152"/>
              <w:shd w:val="clear" w:color="auto" w:fill="auto"/>
              <w:spacing w:line="240" w:lineRule="auto"/>
              <w:rPr>
                <w:rFonts w:ascii="Times New Roman" w:hAnsi="Times New Roman" w:cs="Times New Roman"/>
                <w:color w:val="000000" w:themeColor="text1"/>
                <w:sz w:val="16"/>
                <w:szCs w:val="16"/>
              </w:rPr>
            </w:pPr>
            <w:r w:rsidRPr="005E779E">
              <w:rPr>
                <w:rFonts w:ascii="Times New Roman" w:hAnsi="Times New Roman" w:cs="Times New Roman"/>
                <w:color w:val="000000" w:themeColor="text1"/>
                <w:sz w:val="16"/>
                <w:szCs w:val="16"/>
              </w:rPr>
              <w:t>Ширина гусеничного хода, мм</w:t>
            </w:r>
          </w:p>
        </w:tc>
        <w:tc>
          <w:tcPr>
            <w:tcW w:w="509" w:type="dxa"/>
            <w:tcBorders>
              <w:top w:val="single" w:sz="4" w:space="0" w:color="auto"/>
              <w:left w:val="single" w:sz="4" w:space="0" w:color="auto"/>
              <w:bottom w:val="single" w:sz="4" w:space="0" w:color="auto"/>
              <w:right w:val="single" w:sz="4" w:space="0" w:color="auto"/>
            </w:tcBorders>
            <w:shd w:val="clear" w:color="auto" w:fill="FFFFFF"/>
          </w:tcPr>
          <w:p w14:paraId="5E9EA5C3" w14:textId="77777777" w:rsidR="00877950" w:rsidRPr="005E779E" w:rsidRDefault="00877950" w:rsidP="000B7A6C">
            <w:pPr>
              <w:pStyle w:val="152"/>
              <w:shd w:val="clear" w:color="auto" w:fill="auto"/>
              <w:spacing w:line="240" w:lineRule="auto"/>
              <w:rPr>
                <w:rFonts w:ascii="Times New Roman" w:hAnsi="Times New Roman" w:cs="Times New Roman"/>
                <w:color w:val="000000" w:themeColor="text1"/>
                <w:sz w:val="16"/>
                <w:szCs w:val="16"/>
              </w:rPr>
            </w:pPr>
            <w:r w:rsidRPr="005E779E">
              <w:rPr>
                <w:rFonts w:ascii="Times New Roman" w:hAnsi="Times New Roman" w:cs="Times New Roman"/>
                <w:color w:val="000000" w:themeColor="text1"/>
                <w:sz w:val="16"/>
                <w:szCs w:val="16"/>
              </w:rPr>
              <w:t>1837</w:t>
            </w:r>
          </w:p>
        </w:tc>
      </w:tr>
      <w:tr w:rsidR="001002C3" w:rsidRPr="005E779E" w14:paraId="7017C547" w14:textId="77777777" w:rsidTr="00BB323F">
        <w:trPr>
          <w:trHeight w:val="432"/>
        </w:trPr>
        <w:tc>
          <w:tcPr>
            <w:tcW w:w="2664" w:type="dxa"/>
            <w:tcBorders>
              <w:top w:val="single" w:sz="4" w:space="0" w:color="auto"/>
              <w:left w:val="single" w:sz="4" w:space="0" w:color="auto"/>
              <w:bottom w:val="single" w:sz="4" w:space="0" w:color="auto"/>
              <w:right w:val="single" w:sz="4" w:space="0" w:color="auto"/>
            </w:tcBorders>
            <w:shd w:val="clear" w:color="auto" w:fill="FFFFFF"/>
          </w:tcPr>
          <w:p w14:paraId="3D006172" w14:textId="77777777" w:rsidR="00877950" w:rsidRPr="005E779E" w:rsidRDefault="00877950" w:rsidP="000B7A6C">
            <w:pPr>
              <w:pStyle w:val="152"/>
              <w:shd w:val="clear" w:color="auto" w:fill="auto"/>
              <w:spacing w:line="240" w:lineRule="auto"/>
              <w:rPr>
                <w:rFonts w:ascii="Times New Roman" w:hAnsi="Times New Roman" w:cs="Times New Roman"/>
                <w:color w:val="000000" w:themeColor="text1"/>
                <w:sz w:val="16"/>
                <w:szCs w:val="16"/>
              </w:rPr>
            </w:pPr>
            <w:r w:rsidRPr="005E779E">
              <w:rPr>
                <w:rFonts w:ascii="Times New Roman" w:hAnsi="Times New Roman" w:cs="Times New Roman"/>
                <w:color w:val="000000" w:themeColor="text1"/>
                <w:sz w:val="16"/>
                <w:szCs w:val="16"/>
              </w:rPr>
              <w:t>Длина опорной поверхности гусеницы при погружении на 30 мм, мм</w:t>
            </w:r>
          </w:p>
        </w:tc>
        <w:tc>
          <w:tcPr>
            <w:tcW w:w="509" w:type="dxa"/>
            <w:tcBorders>
              <w:top w:val="single" w:sz="4" w:space="0" w:color="auto"/>
              <w:left w:val="single" w:sz="4" w:space="0" w:color="auto"/>
              <w:bottom w:val="single" w:sz="4" w:space="0" w:color="auto"/>
              <w:right w:val="single" w:sz="4" w:space="0" w:color="auto"/>
            </w:tcBorders>
            <w:shd w:val="clear" w:color="auto" w:fill="FFFFFF"/>
          </w:tcPr>
          <w:p w14:paraId="52A71D31" w14:textId="77777777" w:rsidR="00877950" w:rsidRPr="005E779E" w:rsidRDefault="00877950" w:rsidP="000B7A6C">
            <w:pPr>
              <w:pStyle w:val="152"/>
              <w:shd w:val="clear" w:color="auto" w:fill="auto"/>
              <w:spacing w:line="240" w:lineRule="auto"/>
              <w:rPr>
                <w:rFonts w:ascii="Times New Roman" w:hAnsi="Times New Roman" w:cs="Times New Roman"/>
                <w:color w:val="000000" w:themeColor="text1"/>
                <w:sz w:val="16"/>
                <w:szCs w:val="16"/>
              </w:rPr>
            </w:pPr>
            <w:r w:rsidRPr="005E779E">
              <w:rPr>
                <w:rFonts w:ascii="Times New Roman" w:hAnsi="Times New Roman" w:cs="Times New Roman"/>
                <w:color w:val="000000" w:themeColor="text1"/>
                <w:sz w:val="16"/>
                <w:szCs w:val="16"/>
              </w:rPr>
              <w:t>1770</w:t>
            </w:r>
          </w:p>
        </w:tc>
      </w:tr>
      <w:tr w:rsidR="001002C3" w:rsidRPr="005E779E" w14:paraId="69F47D98" w14:textId="77777777" w:rsidTr="00BB323F">
        <w:trPr>
          <w:trHeight w:val="250"/>
        </w:trPr>
        <w:tc>
          <w:tcPr>
            <w:tcW w:w="2664" w:type="dxa"/>
            <w:tcBorders>
              <w:top w:val="single" w:sz="4" w:space="0" w:color="auto"/>
              <w:left w:val="single" w:sz="4" w:space="0" w:color="auto"/>
              <w:bottom w:val="single" w:sz="4" w:space="0" w:color="auto"/>
              <w:right w:val="single" w:sz="4" w:space="0" w:color="auto"/>
            </w:tcBorders>
            <w:shd w:val="clear" w:color="auto" w:fill="FFFFFF"/>
          </w:tcPr>
          <w:p w14:paraId="5AF824E2" w14:textId="77777777" w:rsidR="00877950" w:rsidRPr="005E779E" w:rsidRDefault="00877950" w:rsidP="000B7A6C">
            <w:pPr>
              <w:pStyle w:val="152"/>
              <w:shd w:val="clear" w:color="auto" w:fill="auto"/>
              <w:spacing w:line="240" w:lineRule="auto"/>
              <w:rPr>
                <w:rFonts w:ascii="Times New Roman" w:hAnsi="Times New Roman" w:cs="Times New Roman"/>
                <w:color w:val="000000" w:themeColor="text1"/>
                <w:sz w:val="16"/>
                <w:szCs w:val="16"/>
              </w:rPr>
            </w:pPr>
            <w:r w:rsidRPr="005E779E">
              <w:rPr>
                <w:rFonts w:ascii="Times New Roman" w:hAnsi="Times New Roman" w:cs="Times New Roman"/>
                <w:color w:val="000000" w:themeColor="text1"/>
                <w:sz w:val="16"/>
                <w:szCs w:val="16"/>
              </w:rPr>
              <w:t>Вес гусеничного хода, кг</w:t>
            </w:r>
          </w:p>
        </w:tc>
        <w:tc>
          <w:tcPr>
            <w:tcW w:w="509" w:type="dxa"/>
            <w:tcBorders>
              <w:top w:val="single" w:sz="4" w:space="0" w:color="auto"/>
              <w:left w:val="single" w:sz="4" w:space="0" w:color="auto"/>
              <w:bottom w:val="single" w:sz="4" w:space="0" w:color="auto"/>
              <w:right w:val="single" w:sz="4" w:space="0" w:color="auto"/>
            </w:tcBorders>
            <w:shd w:val="clear" w:color="auto" w:fill="FFFFFF"/>
          </w:tcPr>
          <w:p w14:paraId="7CABE81C" w14:textId="77777777" w:rsidR="00877950" w:rsidRPr="005E779E" w:rsidRDefault="00877950" w:rsidP="000B7A6C">
            <w:pPr>
              <w:pStyle w:val="152"/>
              <w:shd w:val="clear" w:color="auto" w:fill="auto"/>
              <w:spacing w:line="240" w:lineRule="auto"/>
              <w:rPr>
                <w:rFonts w:ascii="Times New Roman" w:hAnsi="Times New Roman" w:cs="Times New Roman"/>
                <w:color w:val="000000" w:themeColor="text1"/>
                <w:sz w:val="16"/>
                <w:szCs w:val="16"/>
              </w:rPr>
            </w:pPr>
            <w:r w:rsidRPr="005E779E">
              <w:rPr>
                <w:rFonts w:ascii="Times New Roman" w:hAnsi="Times New Roman" w:cs="Times New Roman"/>
                <w:color w:val="000000" w:themeColor="text1"/>
                <w:sz w:val="16"/>
                <w:szCs w:val="16"/>
              </w:rPr>
              <w:t>2520</w:t>
            </w:r>
            <w:r w:rsidRPr="005E779E">
              <w:rPr>
                <w:rFonts w:ascii="Times New Roman" w:hAnsi="Times New Roman" w:cs="Times New Roman"/>
                <w:color w:val="000000" w:themeColor="text1"/>
                <w:sz w:val="16"/>
                <w:szCs w:val="16"/>
                <w:vertAlign w:val="superscript"/>
              </w:rPr>
              <w:t>1</w:t>
            </w:r>
          </w:p>
        </w:tc>
      </w:tr>
    </w:tbl>
    <w:p w14:paraId="63832122" w14:textId="77777777" w:rsidR="00877950" w:rsidRPr="005E779E" w:rsidRDefault="00877950" w:rsidP="000B7A6C">
      <w:pPr>
        <w:pStyle w:val="a3"/>
        <w:rPr>
          <w:color w:val="000000" w:themeColor="text1"/>
          <w:lang w:val="ru-RU"/>
        </w:rPr>
      </w:pPr>
      <w:r w:rsidRPr="005E779E">
        <w:rPr>
          <w:color w:val="000000" w:themeColor="text1"/>
          <w:lang w:val="ru-RU"/>
        </w:rPr>
        <w:t>Гусеничный ход фирмы «В.А. Ридцель- преемники» (Ше НасМеЮ-РепНеЮ з!ее1 Сот- рапу — модель «Т-Н») представлял из себя две рамы с гусеницами, в каждой из которых имелось по одному ведущему зубчатому ко</w:t>
      </w:r>
      <w:r w:rsidRPr="005E779E">
        <w:rPr>
          <w:color w:val="000000" w:themeColor="text1"/>
          <w:lang w:val="ru-RU"/>
        </w:rPr>
        <w:softHyphen/>
        <w:t>лесу, расположенному таким образом, что за</w:t>
      </w:r>
      <w:r w:rsidRPr="005E779E">
        <w:rPr>
          <w:color w:val="000000" w:themeColor="text1"/>
          <w:lang w:val="ru-RU"/>
        </w:rPr>
        <w:softHyphen/>
        <w:t>цепление осуществлялось с верхней ветвью гусеницы. Внутри зубчатых колес помещались тормозные колодки, позволявшие раздельно подтормаживать гусеницы и осуществлять по</w:t>
      </w:r>
      <w:r w:rsidRPr="005E779E">
        <w:rPr>
          <w:color w:val="000000" w:themeColor="text1"/>
          <w:lang w:val="ru-RU"/>
        </w:rPr>
        <w:softHyphen/>
        <w:t>вороты с малым радиусом. Управление тормо</w:t>
      </w:r>
      <w:r w:rsidRPr="005E779E">
        <w:rPr>
          <w:color w:val="000000" w:themeColor="text1"/>
          <w:lang w:val="ru-RU"/>
        </w:rPr>
        <w:softHyphen/>
        <w:t>зами ведущих колес гусеничного хода и руле</w:t>
      </w:r>
      <w:r w:rsidRPr="005E779E">
        <w:rPr>
          <w:color w:val="000000" w:themeColor="text1"/>
          <w:lang w:val="ru-RU"/>
        </w:rPr>
        <w:softHyphen/>
        <w:t>вое управление не было синхронизировано, что делало управление несколько утомительным, однако в начале 1930-х гг. не рассматривалось как существенный недостаток. Так, раздельное управление поворотом передних колес и тор</w:t>
      </w:r>
      <w:r w:rsidRPr="005E779E">
        <w:rPr>
          <w:color w:val="000000" w:themeColor="text1"/>
          <w:lang w:val="ru-RU"/>
        </w:rPr>
        <w:softHyphen/>
        <w:t>мозами гусеничного хода было применено и на первых отечественных полугусеничных артил</w:t>
      </w:r>
      <w:r w:rsidRPr="005E779E">
        <w:rPr>
          <w:color w:val="000000" w:themeColor="text1"/>
          <w:lang w:val="ru-RU"/>
        </w:rPr>
        <w:softHyphen/>
        <w:t>лерийских тягачах ЯСП, ЗИС-Сомуа и др.</w:t>
      </w:r>
    </w:p>
    <w:p w14:paraId="389B0B4A" w14:textId="77777777" w:rsidR="00877950" w:rsidRPr="005E779E" w:rsidRDefault="00877950" w:rsidP="000B7A6C">
      <w:pPr>
        <w:pStyle w:val="a3"/>
        <w:rPr>
          <w:color w:val="000000" w:themeColor="text1"/>
          <w:lang w:val="ru-RU"/>
        </w:rPr>
      </w:pPr>
      <w:r w:rsidRPr="005E779E">
        <w:rPr>
          <w:color w:val="000000" w:themeColor="text1"/>
          <w:lang w:val="ru-RU"/>
        </w:rPr>
        <w:t>Трактор постройки СТЗ был условно ме</w:t>
      </w:r>
      <w:r w:rsidRPr="005E779E">
        <w:rPr>
          <w:color w:val="000000" w:themeColor="text1"/>
          <w:lang w:val="ru-RU"/>
        </w:rPr>
        <w:softHyphen/>
        <w:t>тризованной копией «Интернационала», поэто</w:t>
      </w:r>
      <w:r w:rsidRPr="005E779E">
        <w:rPr>
          <w:color w:val="000000" w:themeColor="text1"/>
          <w:lang w:val="ru-RU"/>
        </w:rPr>
        <w:softHyphen/>
        <w:t>му ряд их узлов и агрегатов не были взаимо</w:t>
      </w:r>
      <w:r w:rsidRPr="005E779E">
        <w:rPr>
          <w:color w:val="000000" w:themeColor="text1"/>
          <w:lang w:val="ru-RU"/>
        </w:rPr>
        <w:softHyphen/>
        <w:t>заменяемыми. Выяснилось, что посадочные места на американском гусеничном ходу не соответствовали посадочным местам на со</w:t>
      </w:r>
      <w:r w:rsidRPr="005E779E">
        <w:rPr>
          <w:color w:val="000000" w:themeColor="text1"/>
          <w:lang w:val="ru-RU"/>
        </w:rPr>
        <w:softHyphen/>
        <w:t>ветском тракторе, что вынудило провести сле</w:t>
      </w:r>
      <w:r w:rsidRPr="005E779E">
        <w:rPr>
          <w:color w:val="000000" w:themeColor="text1"/>
          <w:lang w:val="ru-RU"/>
        </w:rPr>
        <w:softHyphen/>
        <w:t>сарную обработку и подгонку деталей. Четверо рабочих с домкратами затратили на снятие ко</w:t>
      </w:r>
      <w:r w:rsidRPr="005E779E">
        <w:rPr>
          <w:color w:val="000000" w:themeColor="text1"/>
          <w:lang w:val="ru-RU"/>
        </w:rPr>
        <w:softHyphen/>
        <w:t>лесного хода 1,5 ч и на монтаж гусениц 5 ч, на снятие гусениц — 11 ч, а на установку колес — еще около 1,5 ч.</w:t>
      </w:r>
    </w:p>
    <w:p w14:paraId="2F0CEBFA" w14:textId="77777777" w:rsidR="00877950" w:rsidRPr="005E779E" w:rsidRDefault="00877950" w:rsidP="000B7A6C">
      <w:pPr>
        <w:pStyle w:val="a3"/>
        <w:rPr>
          <w:color w:val="000000" w:themeColor="text1"/>
          <w:lang w:val="ru-RU"/>
        </w:rPr>
      </w:pPr>
      <w:r w:rsidRPr="005E779E">
        <w:rPr>
          <w:color w:val="000000" w:themeColor="text1"/>
          <w:lang w:val="ru-RU"/>
        </w:rPr>
        <w:t>За все время испытаний трактор и гусе</w:t>
      </w:r>
      <w:r w:rsidRPr="005E779E">
        <w:rPr>
          <w:color w:val="000000" w:themeColor="text1"/>
          <w:lang w:val="ru-RU"/>
        </w:rPr>
        <w:softHyphen/>
        <w:t>ничный ход не имели никаких поломок или неисправностей. Трактор</w:t>
      </w:r>
      <w:r w:rsidRPr="005E779E">
        <w:rPr>
          <w:rStyle w:val="64"/>
          <w:rFonts w:ascii="Times New Roman" w:hAnsi="Times New Roman" w:cs="Times New Roman"/>
          <w:i w:val="0"/>
          <w:color w:val="000000" w:themeColor="text1"/>
          <w:sz w:val="16"/>
          <w:szCs w:val="16"/>
          <w:lang w:val="ru-RU"/>
        </w:rPr>
        <w:t xml:space="preserve"> «свободно буксиро</w:t>
      </w:r>
      <w:r w:rsidRPr="005E779E">
        <w:rPr>
          <w:rStyle w:val="64"/>
          <w:rFonts w:ascii="Times New Roman" w:hAnsi="Times New Roman" w:cs="Times New Roman"/>
          <w:i w:val="0"/>
          <w:color w:val="000000" w:themeColor="text1"/>
          <w:sz w:val="16"/>
          <w:szCs w:val="16"/>
          <w:lang w:val="ru-RU"/>
        </w:rPr>
        <w:softHyphen/>
        <w:t>вал пушку на третьей передаче, давая вторую передачу только на подъемах».</w:t>
      </w:r>
      <w:r w:rsidRPr="005E779E">
        <w:rPr>
          <w:color w:val="000000" w:themeColor="text1"/>
          <w:lang w:val="ru-RU"/>
        </w:rPr>
        <w:t xml:space="preserve"> Из немного</w:t>
      </w:r>
      <w:r w:rsidRPr="005E779E">
        <w:rPr>
          <w:color w:val="000000" w:themeColor="text1"/>
          <w:lang w:val="ru-RU"/>
        </w:rPr>
        <w:softHyphen/>
        <w:t>численных недостатков испытатели отметили неудобную прицепку орудия и отсутствие на тракторе места под инструментальный ящик, который пришлось перенести на лафет.</w:t>
      </w:r>
    </w:p>
    <w:p w14:paraId="1DC5A459" w14:textId="77777777" w:rsidR="00877950" w:rsidRPr="005E779E" w:rsidRDefault="00877950" w:rsidP="000B7A6C">
      <w:pPr>
        <w:pStyle w:val="a3"/>
        <w:rPr>
          <w:color w:val="000000" w:themeColor="text1"/>
          <w:lang w:val="ru-RU"/>
        </w:rPr>
      </w:pPr>
      <w:r w:rsidRPr="005E779E">
        <w:rPr>
          <w:color w:val="000000" w:themeColor="text1"/>
          <w:lang w:val="ru-RU"/>
        </w:rPr>
        <w:t>Серийное производство гусеничных ходов «Варко-Риддель» не было освоено по причинам, не связанным с их техническим совершенством.После принятия решения о внедрении в произ</w:t>
      </w:r>
      <w:r w:rsidRPr="005E779E">
        <w:rPr>
          <w:color w:val="000000" w:themeColor="text1"/>
          <w:lang w:val="ru-RU"/>
        </w:rPr>
        <w:softHyphen/>
        <w:t>водство во второй пятилетке на ХТЗ и СТЗ гусе</w:t>
      </w:r>
      <w:r w:rsidRPr="005E779E">
        <w:rPr>
          <w:color w:val="000000" w:themeColor="text1"/>
          <w:lang w:val="ru-RU"/>
        </w:rPr>
        <w:softHyphen/>
        <w:t>ничного трактора проводившиеся Институтом механизации сельского хозяйства (ВИМ) рабо</w:t>
      </w:r>
      <w:r w:rsidRPr="005E779E">
        <w:rPr>
          <w:color w:val="000000" w:themeColor="text1"/>
          <w:lang w:val="ru-RU"/>
        </w:rPr>
        <w:softHyphen/>
        <w:t>ты по проектированию оригинальных конструк</w:t>
      </w:r>
      <w:r w:rsidRPr="005E779E">
        <w:rPr>
          <w:color w:val="000000" w:themeColor="text1"/>
          <w:lang w:val="ru-RU"/>
        </w:rPr>
        <w:softHyphen/>
        <w:t>ций гусеничных ходов потеряли актуальность (12620).</w:t>
      </w:r>
    </w:p>
    <w:p w14:paraId="423EAB98" w14:textId="77777777" w:rsidR="00877950" w:rsidRPr="005E779E" w:rsidRDefault="00877950" w:rsidP="000B7A6C">
      <w:pPr>
        <w:pStyle w:val="a3"/>
        <w:rPr>
          <w:color w:val="000000" w:themeColor="text1"/>
          <w:lang w:val="ru-RU"/>
        </w:rPr>
      </w:pPr>
    </w:p>
    <w:p w14:paraId="10F3E982" w14:textId="77777777" w:rsidR="00667A11" w:rsidRPr="00142305" w:rsidRDefault="00667A11" w:rsidP="00667A1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Во второй половине июня 1931 г. испытательный отдел НИАБТП провел испытания колесного трактора СХТЗ-15/30, оснащенного гусеничным ходом «Варко-Риддель». Целью этих испытаний являлось определение:</w:t>
      </w:r>
    </w:p>
    <w:p w14:paraId="7851EB60" w14:textId="77777777" w:rsidR="00667A11" w:rsidRPr="00142305" w:rsidRDefault="00667A11" w:rsidP="00667A1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Тяготных и скоростных свойств трактора при тяге дивизионных и корпусных артиллерийских систем.</w:t>
      </w:r>
    </w:p>
    <w:p w14:paraId="79BFC931" w14:textId="77777777" w:rsidR="00667A11" w:rsidRPr="00142305" w:rsidRDefault="00667A11" w:rsidP="00667A1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 Прочности и надежности трактора.</w:t>
      </w:r>
    </w:p>
    <w:p w14:paraId="4D965ECD" w14:textId="77777777" w:rsidR="00667A11" w:rsidRPr="00142305" w:rsidRDefault="00667A11" w:rsidP="00667A1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 Удобства обслуживания и управления.</w:t>
      </w:r>
    </w:p>
    <w:p w14:paraId="1CBFBE02" w14:textId="77777777" w:rsidR="00667A11" w:rsidRPr="00142305" w:rsidRDefault="00667A11" w:rsidP="00667A1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4. Расхода горючего и смазки.</w:t>
      </w:r>
    </w:p>
    <w:p w14:paraId="02E91CE9" w14:textId="77777777" w:rsidR="00667A11" w:rsidRPr="00142305" w:rsidRDefault="00667A11" w:rsidP="00667A1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5. Проходимости.</w:t>
      </w:r>
    </w:p>
    <w:p w14:paraId="4406C360" w14:textId="77777777" w:rsidR="00667A11" w:rsidRPr="00142305" w:rsidRDefault="00667A11" w:rsidP="00667A1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6. Времени, потребного для перевода с колесного хода на гусеничный и обратно».</w:t>
      </w:r>
    </w:p>
    <w:p w14:paraId="52822493" w14:textId="77777777" w:rsidR="00667A11" w:rsidRPr="00142305" w:rsidRDefault="00667A11" w:rsidP="00667A1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Программа испытаний включала выполнение трех дневных пробегов продолжительностью до 8 ч по шоссе, грунтовым дорогам и бездорожью. При движении на грунтовых дорогах и бездорожье следовало определить максимальные преодолеваемые подъемы с прицепным грузом. Предполагалась буксировка 107-мм пушки обр. 1910 г. с передком, общим весом 2800 кг и 122-мм гаубиц 1909 г. и 1910 г. с передком, общим весом 2600 кг.</w:t>
      </w:r>
    </w:p>
    <w:p w14:paraId="65C1FF0E" w14:textId="77777777" w:rsidR="00667A11" w:rsidRPr="00142305" w:rsidRDefault="00667A11" w:rsidP="00667A1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Американская фирма «В.А. Риддель-Компани» (W.A. Riddel Company) из Бюсайруса (Bucyrus, Ohio) была известна своими механическими лопатами, агрегатируемыми с гусеничными тракторами, сменными гусеничными ходами и всякого рода дорожно-строительными машинами. Фирма предлагала гусеничные хода к тракторам «McCormick Deering», модернизированному «Fordson», «Case» модели С1 и «Allis-Chalmers» марки U. Эти хода устанавливались на задней оси трактора и благодаря своей качающейся конструкции могли приспосабливаться к рельефу местности.</w:t>
      </w:r>
    </w:p>
    <w:p w14:paraId="5E62AC41" w14:textId="77777777" w:rsidR="00667A11" w:rsidRPr="00142305" w:rsidRDefault="00667A11" w:rsidP="00667A1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Гусеничный ход фирмы «В.А. Ридцель-преемники» (the Hadfield-Penfield steel Company – модель «Т-Н») представлял из себя две рамы с гусеницами, в каждой из которых имелось по одному ведущему зубчатому колесу, расположенному таким образом, что зацепление осуществлялось с верхней ветвью гусеницы. Внутри зубчатых колес помещались тормозные колодки, позволявшие раздельно подтормаживать гусеницы и осуществлять повороты с малым радиусом. Управление тормозами ведущих колес гусеничного хода и рулевое управление не было синхронизировано, что делало управление несколько утомительным, однако в начале 1930-х гг. не рассматривалось как существенный недостаток. Так, раздельное управление поворотом передних колес и тормозами гусеничного хода было применено и на первых отечественных полугусеничных артиллерийских тягачах ЯСП, ЗИС-Сомуа и др. </w:t>
      </w:r>
    </w:p>
    <w:p w14:paraId="0A77103C" w14:textId="77777777" w:rsidR="00667A11" w:rsidRPr="00142305" w:rsidRDefault="00667A11" w:rsidP="00667A1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 все время испытаний трактор и гусеничный ход не имели никаких поломок или неисправностей. Трактор</w:t>
      </w:r>
    </w:p>
    <w:p w14:paraId="14B68060" w14:textId="77777777" w:rsidR="00667A11" w:rsidRPr="00142305" w:rsidRDefault="00667A11" w:rsidP="00667A1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«свободно буксировал пушку на третьей передаче, давая вторую передачу только на подъемах».</w:t>
      </w:r>
    </w:p>
    <w:p w14:paraId="3867ADA7" w14:textId="77777777" w:rsidR="00667A11" w:rsidRPr="00142305" w:rsidRDefault="00667A11" w:rsidP="00667A1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Из немногочисленных недостатков испытатели отметили неудобную прицепку орудия и отсутствие на тракторе места под инструментальный ящик, который пришлось перенести на лафет.</w:t>
      </w:r>
    </w:p>
    <w:p w14:paraId="7C7DC425" w14:textId="77777777" w:rsidR="00667A11" w:rsidRPr="00142305" w:rsidRDefault="00667A11" w:rsidP="00667A1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Серийное производство гусеничных ходов «Варко-Риддель» не было освоено по причинам, не связанным с их техническим совершенством (25583).</w:t>
      </w:r>
    </w:p>
    <w:p w14:paraId="7FDAAF88" w14:textId="77777777" w:rsidR="00667A11" w:rsidRPr="00142305" w:rsidRDefault="00667A11" w:rsidP="00667A11">
      <w:pPr>
        <w:spacing w:after="0" w:line="240" w:lineRule="auto"/>
        <w:jc w:val="both"/>
        <w:rPr>
          <w:rFonts w:ascii="Times New Roman" w:hAnsi="Times New Roman"/>
          <w:color w:val="0070C0"/>
          <w:sz w:val="16"/>
          <w:szCs w:val="16"/>
        </w:rPr>
      </w:pPr>
    </w:p>
    <w:p w14:paraId="7949C812"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1E8D6349"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AA74BFA" w14:textId="77777777" w:rsidR="00CE2613" w:rsidRPr="005E779E" w:rsidRDefault="00CE2613" w:rsidP="000B7A6C">
      <w:pPr>
        <w:pStyle w:val="ae"/>
        <w:spacing w:before="0" w:after="0"/>
        <w:jc w:val="both"/>
        <w:textAlignment w:val="baseline"/>
        <w:rPr>
          <w:color w:val="000000" w:themeColor="text1"/>
          <w:sz w:val="16"/>
          <w:szCs w:val="16"/>
        </w:rPr>
      </w:pPr>
      <w:r w:rsidRPr="005E779E">
        <w:rPr>
          <w:color w:val="000000" w:themeColor="text1"/>
          <w:sz w:val="16"/>
          <w:szCs w:val="16"/>
        </w:rPr>
        <w:t xml:space="preserve">В июне 1931 г. А.Н. Туполев заявил о невозможности осуществления проекта ТШ-1 — для него требовались моторы мощностью порядка 1300 л.с., которых в то время попросту не существовало. </w:t>
      </w:r>
    </w:p>
    <w:p w14:paraId="0F1A8014" w14:textId="77777777" w:rsidR="00CE2613" w:rsidRPr="005E779E" w:rsidRDefault="00CE2613" w:rsidP="000B7A6C">
      <w:pPr>
        <w:pStyle w:val="ae"/>
        <w:spacing w:before="0" w:after="0"/>
        <w:jc w:val="both"/>
        <w:textAlignment w:val="baseline"/>
        <w:rPr>
          <w:color w:val="000000" w:themeColor="text1"/>
          <w:sz w:val="16"/>
          <w:szCs w:val="16"/>
        </w:rPr>
      </w:pPr>
      <w:r w:rsidRPr="005E779E">
        <w:rPr>
          <w:color w:val="000000" w:themeColor="text1"/>
          <w:sz w:val="16"/>
          <w:szCs w:val="16"/>
        </w:rPr>
        <w:t>Проектирование осуществлялось на базе уже существующего самолета —двухмоторного цельнометаллического бомбардировщика-моноплана ТБ-1. Проект, получивший «фирменный» индекс АНТ-17, предусматривал установку бронирования общей массой 1000 кг, из которых только 380 кг входило в конструкцию самолета. Броня толщиной 3,5-4,5 мм защищала экипаж из четырех человек, моторы и бензобаки. Параллельно велась проработка не менее дюжины вариантов компоновки самолета под различные моторы — как отечественные М-34 (750 л.с.), так и импортные «ИзотаФраскини» и ВМ</w:t>
      </w:r>
      <w:r w:rsidRPr="005E779E">
        <w:rPr>
          <w:color w:val="000000" w:themeColor="text1"/>
          <w:sz w:val="16"/>
          <w:szCs w:val="16"/>
          <w:lang w:val="en-US"/>
        </w:rPr>
        <w:t>W</w:t>
      </w:r>
      <w:r w:rsidRPr="005E779E">
        <w:rPr>
          <w:color w:val="000000" w:themeColor="text1"/>
          <w:sz w:val="16"/>
          <w:szCs w:val="16"/>
        </w:rPr>
        <w:t xml:space="preserve"> мощностью порядка 800 л.с. Наступательное стрелково-пушечное вооружение должно было состоять из динамореактивных (безоткатных) пушек конструкции Л.В. Курчевского (двух 37-мм или одной 76,2-мм), а также четырех 7,62-мм пулеметов ПВ-1, оборонительное — двух турелей с 7,62-мм пулеметами ДА. Масса бомбовой нагрузки определялась в 800 кг. С учетом всего вышеперечисленного, взлетный вес АНТ-17, согласно расчетам, достигал 8000 кг, и мощности двигателей явно не хватало.</w:t>
      </w:r>
    </w:p>
    <w:p w14:paraId="06B032F8" w14:textId="77777777" w:rsidR="00CE2613" w:rsidRPr="005E779E" w:rsidRDefault="00CE2613" w:rsidP="000B7A6C">
      <w:pPr>
        <w:pStyle w:val="ae"/>
        <w:spacing w:before="0" w:after="0"/>
        <w:jc w:val="both"/>
        <w:textAlignment w:val="baseline"/>
        <w:rPr>
          <w:color w:val="000000" w:themeColor="text1"/>
          <w:sz w:val="16"/>
          <w:szCs w:val="16"/>
          <w:bdr w:val="none" w:sz="0" w:space="0" w:color="auto" w:frame="1"/>
        </w:rPr>
      </w:pPr>
      <w:r w:rsidRPr="005E779E">
        <w:rPr>
          <w:color w:val="000000" w:themeColor="text1"/>
          <w:sz w:val="16"/>
          <w:szCs w:val="16"/>
        </w:rPr>
        <w:t xml:space="preserve">Вместо этого конструктор предложил переделать в штурмовик двухмоторный дальний разведчик Р-6. Но и этот проект под обозначением АНТ-18 не был осуществлен </w:t>
      </w:r>
      <w:r w:rsidRPr="005E779E">
        <w:rPr>
          <w:color w:val="000000" w:themeColor="text1"/>
          <w:sz w:val="16"/>
          <w:szCs w:val="16"/>
        </w:rPr>
        <w:lastRenderedPageBreak/>
        <w:t>из-за отсутствия подходящих двигателей (21241).</w:t>
      </w:r>
    </w:p>
    <w:p w14:paraId="30A0144F" w14:textId="77777777" w:rsidR="00CE2613" w:rsidRPr="005E779E" w:rsidRDefault="00CE2613" w:rsidP="000B7A6C">
      <w:pPr>
        <w:pStyle w:val="ae"/>
        <w:spacing w:before="0" w:after="0"/>
        <w:jc w:val="both"/>
        <w:textAlignment w:val="baseline"/>
        <w:rPr>
          <w:color w:val="000000" w:themeColor="text1"/>
          <w:sz w:val="16"/>
          <w:szCs w:val="16"/>
          <w:bdr w:val="none" w:sz="0" w:space="0" w:color="auto" w:frame="1"/>
        </w:rPr>
      </w:pPr>
    </w:p>
    <w:p w14:paraId="3126AE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июне 1931 на ЦА у А.Анисимова при полете на И-4 (АНТ-5) на большой скорости на правой консоли сорвалась обшивка. Покидать машину не стал и спланировав на низкой скорости совершил посадку (4338,18).</w:t>
      </w:r>
    </w:p>
    <w:p w14:paraId="33EF19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6B092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июне 1931 с УВВС согласовали предложение опустить крыло на серийных АНТ-8 на 300 мм (7610, 34).</w:t>
      </w:r>
    </w:p>
    <w:p w14:paraId="6EEA0E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42B21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июне 1931 г. окончательно определились с составом бомбового вооружения ТБ-3 (АНТ-6). На опытном АНТ-6 имелись только внутренние кассетные бомбодержатели Дер-9, да и те недоведённые. Но кроме этого самолет должен был нести еще три типа наружных держателей. которые еще предстояло изготовить. До июля ни одной выдвижной башни для ТБ-3 не получили. Впрочем, чертежей, как их монтировать, пока тоже не приготовили (8887).</w:t>
      </w:r>
    </w:p>
    <w:p w14:paraId="25BAD9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C28B6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июня 1931 г., на машине ТБ-5 усилили фюзеляж (в полете отмечалось скручивание его хвостовой части) и крепление двигателей, прорезали верхние люки в кабине пилотов, установили остекление в районе задней кромки центроплана, сняли «тауненды» с задних двигателей (5854,34).</w:t>
      </w:r>
    </w:p>
    <w:p w14:paraId="10DC32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A7A6662" w14:textId="77777777" w:rsidR="00877950" w:rsidRPr="005E779E" w:rsidRDefault="008779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Начиная с июня 1931 г. на ТБМ-22 усилили фюзеляж (отмечалось скручивание хвостовой части фюзеляжа в полете) и крепление двига</w:t>
      </w:r>
      <w:r w:rsidRPr="005E779E">
        <w:rPr>
          <w:rFonts w:ascii="Times New Roman" w:hAnsi="Times New Roman"/>
          <w:color w:val="000000" w:themeColor="text1"/>
          <w:sz w:val="16"/>
          <w:szCs w:val="16"/>
        </w:rPr>
        <w:softHyphen/>
        <w:t>телей, были прорезаны верхние люки в кабине пилотов, установлено остекление в районе задней кромки крыла на центро</w:t>
      </w:r>
      <w:r w:rsidRPr="005E779E">
        <w:rPr>
          <w:rFonts w:ascii="Times New Roman" w:hAnsi="Times New Roman"/>
          <w:color w:val="000000" w:themeColor="text1"/>
          <w:sz w:val="16"/>
          <w:szCs w:val="16"/>
        </w:rPr>
        <w:softHyphen/>
        <w:t>плане, сняты кольца Тауненда с задних двигателей. В период зимы 1931—1932 гг. ТБ-5 был поставлен на лыжи и совершил еще ряд полетов.</w:t>
      </w:r>
    </w:p>
    <w:p w14:paraId="74B6A91F" w14:textId="77777777" w:rsidR="00877950" w:rsidRPr="005E779E" w:rsidRDefault="008779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Продолжались и проектные работы по установке двигателей ФЭД. Были отрабо</w:t>
      </w:r>
      <w:r w:rsidRPr="005E779E">
        <w:rPr>
          <w:rFonts w:ascii="Times New Roman" w:hAnsi="Times New Roman"/>
          <w:color w:val="000000" w:themeColor="text1"/>
          <w:sz w:val="16"/>
          <w:szCs w:val="16"/>
        </w:rPr>
        <w:softHyphen/>
        <w:t>таны и испытаны в аэродинамической трубе ЦАГИ варианты установки двигателей в передней кромке крыла. Эта работа велась под руководством конструктора С.А. Кочеригина. Другими известными впо</w:t>
      </w:r>
      <w:r w:rsidRPr="005E779E">
        <w:rPr>
          <w:rFonts w:ascii="Times New Roman" w:hAnsi="Times New Roman"/>
          <w:color w:val="000000" w:themeColor="text1"/>
          <w:sz w:val="16"/>
          <w:szCs w:val="16"/>
        </w:rPr>
        <w:softHyphen/>
        <w:t>следствии конструкторами, отметившимися на ТБ-5, можно назвать Б.И. Черановского, В.П. Яценко и А.Н. Рафаэлянца.</w:t>
      </w:r>
    </w:p>
    <w:p w14:paraId="1E82FD34" w14:textId="77777777" w:rsidR="00877950" w:rsidRPr="005E779E" w:rsidRDefault="008779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 Всесоюзного авиационного объединения П.И. Баранов (в недавнем прошлом начальник ВВС) считал, что в ожидании двигателей ФЭД постройку ТБ-5 нужно затормозить и перенести ее на 1932 г. С таким предложением он обра</w:t>
      </w:r>
      <w:r w:rsidRPr="005E779E">
        <w:rPr>
          <w:rFonts w:ascii="Times New Roman" w:hAnsi="Times New Roman"/>
          <w:color w:val="000000" w:themeColor="text1"/>
          <w:sz w:val="16"/>
          <w:szCs w:val="16"/>
        </w:rPr>
        <w:softHyphen/>
        <w:t>тился в ВСНХ СССР. Однако Председатель СНК СССР В.М. Молотов руководствовался какимито особыми соображениями, поэ</w:t>
      </w:r>
      <w:r w:rsidRPr="005E779E">
        <w:rPr>
          <w:rFonts w:ascii="Times New Roman" w:hAnsi="Times New Roman"/>
          <w:color w:val="000000" w:themeColor="text1"/>
          <w:sz w:val="16"/>
          <w:szCs w:val="16"/>
        </w:rPr>
        <w:softHyphen/>
        <w:t>тому идею его отклонил и предложил при</w:t>
      </w:r>
      <w:r w:rsidRPr="005E779E">
        <w:rPr>
          <w:rFonts w:ascii="Times New Roman" w:hAnsi="Times New Roman"/>
          <w:color w:val="000000" w:themeColor="text1"/>
          <w:sz w:val="16"/>
          <w:szCs w:val="16"/>
        </w:rPr>
        <w:softHyphen/>
        <w:t>нять все меры для скорейшей постройки серии ТБ-5. Причина столь ревностного отношения к самолету заключалась в том, что его создали в организации, патронируемой ОГПУ. Причем успехи, достигнутые представителями «органов», наглядно уже были продемонстрированы 6 июля 1931 г. И.В. Сталину. Демонстри</w:t>
      </w:r>
      <w:r w:rsidRPr="005E779E">
        <w:rPr>
          <w:rFonts w:ascii="Times New Roman" w:hAnsi="Times New Roman"/>
          <w:color w:val="000000" w:themeColor="text1"/>
          <w:sz w:val="16"/>
          <w:szCs w:val="16"/>
        </w:rPr>
        <w:softHyphen/>
        <w:t>ровались кроме ТБ-5 модификации И-5, Р-5, ТШ-1 и суперновинка — пушечный истребитель И-2. По всему выходило, что руководителям ОГПУ действительно удалось искоренить вредительство и найти наиболее продуктивную форму деятельности авиапромышленности. Поэтому никакие отсрочки не принима</w:t>
      </w:r>
      <w:r w:rsidRPr="005E779E">
        <w:rPr>
          <w:rFonts w:ascii="Times New Roman" w:hAnsi="Times New Roman"/>
          <w:color w:val="000000" w:themeColor="text1"/>
          <w:sz w:val="16"/>
          <w:szCs w:val="16"/>
        </w:rPr>
        <w:softHyphen/>
        <w:t>лись. Достигнутые результаты следовало закреплять. Что и было продемонстриро</w:t>
      </w:r>
      <w:r w:rsidRPr="005E779E">
        <w:rPr>
          <w:rFonts w:ascii="Times New Roman" w:hAnsi="Times New Roman"/>
          <w:color w:val="000000" w:themeColor="text1"/>
          <w:sz w:val="16"/>
          <w:szCs w:val="16"/>
        </w:rPr>
        <w:softHyphen/>
        <w:t>вано спустя короткое время. 27 августа 1931 г. Центральное конструкторское бюро и Центральный аэрогидродинамический институт превратили в Объединенное техническое бюро (ОТБ) — ЦКБ-ЦАГИ. Руководителем этой организации назна</w:t>
      </w:r>
      <w:r w:rsidRPr="005E779E">
        <w:rPr>
          <w:rFonts w:ascii="Times New Roman" w:hAnsi="Times New Roman"/>
          <w:color w:val="000000" w:themeColor="text1"/>
          <w:sz w:val="16"/>
          <w:szCs w:val="16"/>
        </w:rPr>
        <w:softHyphen/>
        <w:t>чили Е.С. Пауфлера (12611).</w:t>
      </w:r>
    </w:p>
    <w:p w14:paraId="22387FF2" w14:textId="77777777" w:rsidR="00877950" w:rsidRPr="005E779E" w:rsidRDefault="00877950" w:rsidP="000B7A6C">
      <w:pPr>
        <w:spacing w:after="0" w:line="240" w:lineRule="auto"/>
        <w:jc w:val="both"/>
        <w:rPr>
          <w:rFonts w:ascii="Times New Roman" w:hAnsi="Times New Roman"/>
          <w:color w:val="000000" w:themeColor="text1"/>
          <w:sz w:val="16"/>
          <w:szCs w:val="16"/>
        </w:rPr>
      </w:pPr>
    </w:p>
    <w:p w14:paraId="6C912866" w14:textId="77777777" w:rsidR="00452F24" w:rsidRPr="005E779E" w:rsidRDefault="00452F2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июне 1931 г. НТК УВВС РККА представил ЦАГИ новый вариант лётно-технических требований к ДИП-1.</w:t>
      </w:r>
    </w:p>
    <w:p w14:paraId="17C7C7D2" w14:textId="77777777" w:rsidR="00452F24" w:rsidRPr="005E779E" w:rsidRDefault="00452F2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«Назначение: Наступательный бой со всеми и преимущественно с тяжёлыми типами самолётов и воздухоплавательными аппаратами (дирижабли) противника, как на фрон</w:t>
      </w:r>
      <w:r w:rsidRPr="005E779E">
        <w:rPr>
          <w:rFonts w:ascii="Times New Roman" w:hAnsi="Times New Roman"/>
          <w:color w:val="000000" w:themeColor="text1"/>
          <w:sz w:val="16"/>
          <w:szCs w:val="16"/>
        </w:rPr>
        <w:softHyphen/>
        <w:t>те, так и в своем и противника тылу. Обеспечение (сопровождение) операций своей бомбардировочной авиации. В исключительных случаях самолёт может быть использо</w:t>
      </w:r>
      <w:r w:rsidRPr="005E779E">
        <w:rPr>
          <w:rFonts w:ascii="Times New Roman" w:hAnsi="Times New Roman"/>
          <w:color w:val="000000" w:themeColor="text1"/>
          <w:sz w:val="16"/>
          <w:szCs w:val="16"/>
        </w:rPr>
        <w:softHyphen/>
        <w:t>ван для разведывательных целей армии.</w:t>
      </w:r>
    </w:p>
    <w:p w14:paraId="66497304" w14:textId="77777777" w:rsidR="00452F24" w:rsidRPr="005E779E" w:rsidRDefault="00452F2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Метод применения: Полёт как одиночный, так и в строю. Бой с дальних и ближних дистанций; основан на силе своего огня, маневра и внезапности. Прорыв тяжёлых и сверхтяжёлых самолётов противника; применение дистанционных бомб и «Защитных авиационных мин» — ЗАМ.</w:t>
      </w:r>
    </w:p>
    <w:p w14:paraId="2ACE5558" w14:textId="77777777" w:rsidR="00452F24" w:rsidRPr="005E779E" w:rsidRDefault="00452F2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Последовательность требований:</w:t>
      </w:r>
    </w:p>
    <w:p w14:paraId="48ACD23B" w14:textId="77777777" w:rsidR="00452F24" w:rsidRPr="005E779E" w:rsidRDefault="00452F2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горизонтальная скорость на боевой высоте;</w:t>
      </w:r>
    </w:p>
    <w:p w14:paraId="290A034B" w14:textId="77777777" w:rsidR="00452F24" w:rsidRPr="005E779E" w:rsidRDefault="00452F24" w:rsidP="000B7A6C">
      <w:pPr>
        <w:tabs>
          <w:tab w:val="left" w:pos="330"/>
        </w:tabs>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маневренность;</w:t>
      </w:r>
    </w:p>
    <w:p w14:paraId="002D1045" w14:textId="77777777" w:rsidR="00452F24" w:rsidRPr="005E779E" w:rsidRDefault="00452F24" w:rsidP="000B7A6C">
      <w:pPr>
        <w:tabs>
          <w:tab w:val="left" w:pos="330"/>
        </w:tabs>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грузоподъёмность (количество снарядов);</w:t>
      </w:r>
    </w:p>
    <w:p w14:paraId="5BD5C722" w14:textId="77777777" w:rsidR="00452F24" w:rsidRPr="005E779E" w:rsidRDefault="00452F24" w:rsidP="000B7A6C">
      <w:pPr>
        <w:tabs>
          <w:tab w:val="left" w:pos="330"/>
        </w:tabs>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скороподъёмность;</w:t>
      </w:r>
    </w:p>
    <w:p w14:paraId="334559AA" w14:textId="77777777" w:rsidR="00452F24" w:rsidRPr="005E779E" w:rsidRDefault="00452F24" w:rsidP="000B7A6C">
      <w:pPr>
        <w:tabs>
          <w:tab w:val="left" w:pos="320"/>
        </w:tabs>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взлётно-посадочные качества.</w:t>
      </w:r>
    </w:p>
    <w:p w14:paraId="068DAFB8" w14:textId="77777777" w:rsidR="00452F24" w:rsidRPr="005E779E" w:rsidRDefault="00452F2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Лётно-тактические данные для боевой высоты 5000 м:</w:t>
      </w:r>
    </w:p>
    <w:p w14:paraId="049ADAF9" w14:textId="77777777" w:rsidR="00452F24" w:rsidRPr="005E779E" w:rsidRDefault="00452F24" w:rsidP="000B7A6C">
      <w:pPr>
        <w:tabs>
          <w:tab w:val="left" w:pos="320"/>
        </w:tabs>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горизонтальная скорость</w:t>
      </w:r>
      <w:r w:rsidRPr="005E779E">
        <w:rPr>
          <w:rFonts w:ascii="Times New Roman" w:hAnsi="Times New Roman"/>
          <w:color w:val="000000" w:themeColor="text1"/>
          <w:sz w:val="16"/>
          <w:szCs w:val="16"/>
        </w:rPr>
        <w:tab/>
        <w:t>325-350 км/ч</w:t>
      </w:r>
    </w:p>
    <w:p w14:paraId="43CF2D9E" w14:textId="77777777" w:rsidR="00452F24" w:rsidRPr="005E779E" w:rsidRDefault="00452F24" w:rsidP="000B7A6C">
      <w:pPr>
        <w:tabs>
          <w:tab w:val="left" w:pos="325"/>
        </w:tabs>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время подъёма на Н=5000 м</w:t>
      </w:r>
      <w:r w:rsidRPr="005E779E">
        <w:rPr>
          <w:rFonts w:ascii="Times New Roman" w:hAnsi="Times New Roman"/>
          <w:color w:val="000000" w:themeColor="text1"/>
          <w:sz w:val="16"/>
          <w:szCs w:val="16"/>
        </w:rPr>
        <w:tab/>
        <w:t>10-12 мин</w:t>
      </w:r>
    </w:p>
    <w:p w14:paraId="7E15D1D9" w14:textId="77777777" w:rsidR="00452F24" w:rsidRPr="005E779E" w:rsidRDefault="00452F24" w:rsidP="000B7A6C">
      <w:pPr>
        <w:tabs>
          <w:tab w:val="left" w:pos="320"/>
        </w:tabs>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посадочная скорость не свыше</w:t>
      </w:r>
      <w:r w:rsidRPr="005E779E">
        <w:rPr>
          <w:rFonts w:ascii="Times New Roman" w:hAnsi="Times New Roman"/>
          <w:color w:val="000000" w:themeColor="text1"/>
          <w:sz w:val="16"/>
          <w:szCs w:val="16"/>
        </w:rPr>
        <w:tab/>
        <w:t>100 км/ч</w:t>
      </w:r>
    </w:p>
    <w:p w14:paraId="26206EAA" w14:textId="77777777" w:rsidR="00452F24" w:rsidRPr="005E779E" w:rsidRDefault="00452F24" w:rsidP="000B7A6C">
      <w:pPr>
        <w:tabs>
          <w:tab w:val="left" w:pos="325"/>
        </w:tabs>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радиус действия нормальный</w:t>
      </w:r>
      <w:r w:rsidRPr="005E779E">
        <w:rPr>
          <w:rFonts w:ascii="Times New Roman" w:hAnsi="Times New Roman"/>
          <w:color w:val="000000" w:themeColor="text1"/>
          <w:sz w:val="16"/>
          <w:szCs w:val="16"/>
        </w:rPr>
        <w:tab/>
        <w:t>300</w:t>
      </w:r>
    </w:p>
    <w:p w14:paraId="45423AE9" w14:textId="77777777" w:rsidR="00452F24" w:rsidRPr="005E779E" w:rsidRDefault="00452F24" w:rsidP="000B7A6C">
      <w:pPr>
        <w:tabs>
          <w:tab w:val="left" w:pos="315"/>
        </w:tabs>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ёмкость баков (перегр. вариант без бомб, нагр), обеспечивающая радиус действия</w:t>
      </w:r>
      <w:r w:rsidRPr="005E779E">
        <w:rPr>
          <w:rFonts w:ascii="Times New Roman" w:hAnsi="Times New Roman"/>
          <w:color w:val="000000" w:themeColor="text1"/>
          <w:sz w:val="16"/>
          <w:szCs w:val="16"/>
        </w:rPr>
        <w:tab/>
        <w:t>500</w:t>
      </w:r>
    </w:p>
    <w:p w14:paraId="18DADD9B" w14:textId="77777777" w:rsidR="00452F24" w:rsidRPr="005E779E" w:rsidRDefault="00452F2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 и сбрасываемый груз:</w:t>
      </w:r>
    </w:p>
    <w:p w14:paraId="1F74386F" w14:textId="77777777" w:rsidR="00452F24" w:rsidRPr="005E779E" w:rsidRDefault="00452F2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Нормальный вариант</w:t>
      </w:r>
    </w:p>
    <w:p w14:paraId="48A5CBD9" w14:textId="77777777" w:rsidR="00452F24" w:rsidRPr="005E779E" w:rsidRDefault="00452F24" w:rsidP="000B7A6C">
      <w:pPr>
        <w:tabs>
          <w:tab w:val="left" w:pos="320"/>
        </w:tabs>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- 2 ДРП для стрельбы вперед;</w:t>
      </w:r>
    </w:p>
    <w:p w14:paraId="1B8A0F4A" w14:textId="77777777" w:rsidR="00452F24" w:rsidRPr="005E779E" w:rsidRDefault="00452F24" w:rsidP="000B7A6C">
      <w:pPr>
        <w:tabs>
          <w:tab w:val="left" w:pos="325"/>
        </w:tabs>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пулемёт для стрельбы в заднюю полусферу;</w:t>
      </w:r>
    </w:p>
    <w:p w14:paraId="1A7939FD" w14:textId="77777777" w:rsidR="00452F24" w:rsidRPr="005E779E" w:rsidRDefault="00452F24" w:rsidP="000B7A6C">
      <w:pPr>
        <w:tabs>
          <w:tab w:val="left" w:pos="320"/>
          <w:tab w:val="left" w:pos="4947"/>
        </w:tabs>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количество снарядов</w:t>
      </w:r>
      <w:r w:rsidRPr="005E779E">
        <w:rPr>
          <w:rFonts w:ascii="Times New Roman" w:hAnsi="Times New Roman"/>
          <w:color w:val="000000" w:themeColor="text1"/>
          <w:sz w:val="16"/>
          <w:szCs w:val="16"/>
        </w:rPr>
        <w:tab/>
        <w:t>не менее 30;</w:t>
      </w:r>
    </w:p>
    <w:p w14:paraId="37B269EA" w14:textId="77777777" w:rsidR="00452F24" w:rsidRPr="005E779E" w:rsidRDefault="00452F24" w:rsidP="000B7A6C">
      <w:pPr>
        <w:tabs>
          <w:tab w:val="left" w:pos="320"/>
          <w:tab w:val="left" w:pos="4928"/>
        </w:tabs>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количество патронов</w:t>
      </w:r>
      <w:r w:rsidRPr="005E779E">
        <w:rPr>
          <w:rFonts w:ascii="Times New Roman" w:hAnsi="Times New Roman"/>
          <w:color w:val="000000" w:themeColor="text1"/>
          <w:sz w:val="16"/>
          <w:szCs w:val="16"/>
        </w:rPr>
        <w:tab/>
        <w:t>— 750</w:t>
      </w:r>
    </w:p>
    <w:p w14:paraId="52960907" w14:textId="77777777" w:rsidR="00452F24" w:rsidRPr="005E779E" w:rsidRDefault="00452F2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Перегрузочный вариант (добавляется) —10x10 дистанционных бомб или 2хЗАМ...»</w:t>
      </w:r>
    </w:p>
    <w:p w14:paraId="60E53545" w14:textId="77777777" w:rsidR="00452F24" w:rsidRPr="005E779E" w:rsidRDefault="00452F2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Сведений о работе над проектом ДИП по вышеприведённым ЛТТ не обнаружено (15823).</w:t>
      </w:r>
    </w:p>
    <w:p w14:paraId="54398F34" w14:textId="77777777" w:rsidR="00452F24" w:rsidRPr="005E779E" w:rsidRDefault="00452F24" w:rsidP="000B7A6C">
      <w:pPr>
        <w:spacing w:after="0" w:line="240" w:lineRule="auto"/>
        <w:jc w:val="both"/>
        <w:rPr>
          <w:rFonts w:ascii="Times New Roman" w:hAnsi="Times New Roman"/>
          <w:color w:val="000000" w:themeColor="text1"/>
          <w:sz w:val="16"/>
          <w:szCs w:val="16"/>
        </w:rPr>
      </w:pPr>
    </w:p>
    <w:p w14:paraId="3F379063" w14:textId="77777777" w:rsidR="00707F3B" w:rsidRPr="005E779E" w:rsidRDefault="00707F3B" w:rsidP="000B7A6C">
      <w:pPr>
        <w:pStyle w:val="ae"/>
        <w:shd w:val="clear" w:color="auto" w:fill="FFFFFF"/>
        <w:spacing w:before="0" w:after="0"/>
        <w:jc w:val="both"/>
        <w:textAlignment w:val="baseline"/>
        <w:rPr>
          <w:color w:val="000000" w:themeColor="text1"/>
          <w:sz w:val="16"/>
          <w:szCs w:val="16"/>
        </w:rPr>
      </w:pPr>
      <w:r w:rsidRPr="005E779E">
        <w:rPr>
          <w:color w:val="000000" w:themeColor="text1"/>
          <w:sz w:val="16"/>
          <w:szCs w:val="16"/>
        </w:rPr>
        <w:t>В июне 1931 года НТК УВВС РККА представил ЦАГИ новый вариант летно-технических требований к ДИП-1.</w:t>
      </w:r>
    </w:p>
    <w:p w14:paraId="51AAFF47" w14:textId="77777777" w:rsidR="00707F3B" w:rsidRPr="005E779E" w:rsidRDefault="00707F3B" w:rsidP="000B7A6C">
      <w:pPr>
        <w:pStyle w:val="ae"/>
        <w:shd w:val="clear" w:color="auto" w:fill="FFFFFF"/>
        <w:spacing w:before="0" w:after="0"/>
        <w:jc w:val="both"/>
        <w:textAlignment w:val="baseline"/>
        <w:rPr>
          <w:color w:val="000000" w:themeColor="text1"/>
          <w:sz w:val="16"/>
          <w:szCs w:val="16"/>
        </w:rPr>
      </w:pPr>
      <w:r w:rsidRPr="005E779E">
        <w:rPr>
          <w:rStyle w:val="af0"/>
          <w:i w:val="0"/>
          <w:color w:val="000000" w:themeColor="text1"/>
          <w:sz w:val="16"/>
          <w:szCs w:val="16"/>
          <w:bdr w:val="none" w:sz="0" w:space="0" w:color="auto" w:frame="1"/>
        </w:rPr>
        <w:t>«Назначение: Наступательный бой со всеми и преимущественно с тяжелыми типами самолетов и воздухоплавательными аппаратами (дирижабли) противника, как на фронте, так и в своем и противника тылу. Обеспечение (сопровождение) операций своей бомбардировочной авиации. В исключительных случаях самолет может быть использован для разведывательных целей армии.</w:t>
      </w:r>
    </w:p>
    <w:p w14:paraId="2810346A" w14:textId="77777777" w:rsidR="00707F3B" w:rsidRPr="005E779E" w:rsidRDefault="00707F3B" w:rsidP="000B7A6C">
      <w:pPr>
        <w:pStyle w:val="ae"/>
        <w:shd w:val="clear" w:color="auto" w:fill="FFFFFF"/>
        <w:spacing w:before="0" w:after="0"/>
        <w:jc w:val="both"/>
        <w:textAlignment w:val="baseline"/>
        <w:rPr>
          <w:color w:val="000000" w:themeColor="text1"/>
          <w:sz w:val="16"/>
          <w:szCs w:val="16"/>
        </w:rPr>
      </w:pPr>
      <w:r w:rsidRPr="005E779E">
        <w:rPr>
          <w:rStyle w:val="af0"/>
          <w:i w:val="0"/>
          <w:color w:val="000000" w:themeColor="text1"/>
          <w:sz w:val="16"/>
          <w:szCs w:val="16"/>
          <w:bdr w:val="none" w:sz="0" w:space="0" w:color="auto" w:frame="1"/>
        </w:rPr>
        <w:t>Метод применения: Полет как одиночный, так и в строю. Бой с дальних и ближних дистанций; основан на силе своего огня, маневра и внезапности. Прорыв тяжелых и сверхтяжелых самолетов противника; применение дистанционных бомб и «Защитных авиационных мин» – ЗАМ.</w:t>
      </w:r>
    </w:p>
    <w:p w14:paraId="10B79662" w14:textId="77777777" w:rsidR="00707F3B" w:rsidRPr="005E779E" w:rsidRDefault="00707F3B" w:rsidP="000B7A6C">
      <w:pPr>
        <w:pStyle w:val="ae"/>
        <w:shd w:val="clear" w:color="auto" w:fill="FFFFFF"/>
        <w:spacing w:before="0" w:after="0"/>
        <w:jc w:val="both"/>
        <w:textAlignment w:val="baseline"/>
        <w:rPr>
          <w:color w:val="000000" w:themeColor="text1"/>
          <w:sz w:val="16"/>
          <w:szCs w:val="16"/>
        </w:rPr>
      </w:pPr>
      <w:r w:rsidRPr="005E779E">
        <w:rPr>
          <w:rStyle w:val="af0"/>
          <w:i w:val="0"/>
          <w:color w:val="000000" w:themeColor="text1"/>
          <w:sz w:val="16"/>
          <w:szCs w:val="16"/>
          <w:bdr w:val="none" w:sz="0" w:space="0" w:color="auto" w:frame="1"/>
        </w:rPr>
        <w:t>Последовательность требований:</w:t>
      </w:r>
    </w:p>
    <w:p w14:paraId="6E10F934" w14:textId="77777777" w:rsidR="00707F3B" w:rsidRPr="005E779E" w:rsidRDefault="00707F3B" w:rsidP="000B7A6C">
      <w:pPr>
        <w:pStyle w:val="ae"/>
        <w:shd w:val="clear" w:color="auto" w:fill="FFFFFF"/>
        <w:spacing w:before="0" w:after="0"/>
        <w:jc w:val="both"/>
        <w:textAlignment w:val="baseline"/>
        <w:rPr>
          <w:color w:val="000000" w:themeColor="text1"/>
          <w:sz w:val="16"/>
          <w:szCs w:val="16"/>
        </w:rPr>
      </w:pPr>
      <w:r w:rsidRPr="005E779E">
        <w:rPr>
          <w:rStyle w:val="af0"/>
          <w:i w:val="0"/>
          <w:color w:val="000000" w:themeColor="text1"/>
          <w:sz w:val="16"/>
          <w:szCs w:val="16"/>
          <w:bdr w:val="none" w:sz="0" w:space="0" w:color="auto" w:frame="1"/>
        </w:rPr>
        <w:t>– горизонтальная скорость на боевой высоте;</w:t>
      </w:r>
    </w:p>
    <w:p w14:paraId="1C35244C" w14:textId="77777777" w:rsidR="00707F3B" w:rsidRPr="005E779E" w:rsidRDefault="00707F3B" w:rsidP="000B7A6C">
      <w:pPr>
        <w:pStyle w:val="ae"/>
        <w:shd w:val="clear" w:color="auto" w:fill="FFFFFF"/>
        <w:spacing w:before="0" w:after="0"/>
        <w:jc w:val="both"/>
        <w:textAlignment w:val="baseline"/>
        <w:rPr>
          <w:color w:val="000000" w:themeColor="text1"/>
          <w:sz w:val="16"/>
          <w:szCs w:val="16"/>
        </w:rPr>
      </w:pPr>
      <w:r w:rsidRPr="005E779E">
        <w:rPr>
          <w:rStyle w:val="af0"/>
          <w:i w:val="0"/>
          <w:color w:val="000000" w:themeColor="text1"/>
          <w:sz w:val="16"/>
          <w:szCs w:val="16"/>
          <w:bdr w:val="none" w:sz="0" w:space="0" w:color="auto" w:frame="1"/>
        </w:rPr>
        <w:t>– маневренность;</w:t>
      </w:r>
    </w:p>
    <w:p w14:paraId="3DBE3A5F" w14:textId="77777777" w:rsidR="00707F3B" w:rsidRPr="005E779E" w:rsidRDefault="00707F3B" w:rsidP="000B7A6C">
      <w:pPr>
        <w:pStyle w:val="ae"/>
        <w:shd w:val="clear" w:color="auto" w:fill="FFFFFF"/>
        <w:spacing w:before="0" w:after="0"/>
        <w:jc w:val="both"/>
        <w:textAlignment w:val="baseline"/>
        <w:rPr>
          <w:color w:val="000000" w:themeColor="text1"/>
          <w:sz w:val="16"/>
          <w:szCs w:val="16"/>
        </w:rPr>
      </w:pPr>
      <w:r w:rsidRPr="005E779E">
        <w:rPr>
          <w:rStyle w:val="af0"/>
          <w:i w:val="0"/>
          <w:color w:val="000000" w:themeColor="text1"/>
          <w:sz w:val="16"/>
          <w:szCs w:val="16"/>
          <w:bdr w:val="none" w:sz="0" w:space="0" w:color="auto" w:frame="1"/>
        </w:rPr>
        <w:t>– грузоподъемность (количество снарядов);</w:t>
      </w:r>
    </w:p>
    <w:p w14:paraId="45D22248" w14:textId="77777777" w:rsidR="00707F3B" w:rsidRPr="005E779E" w:rsidRDefault="00707F3B" w:rsidP="000B7A6C">
      <w:pPr>
        <w:pStyle w:val="ae"/>
        <w:shd w:val="clear" w:color="auto" w:fill="FFFFFF"/>
        <w:spacing w:before="0" w:after="0"/>
        <w:jc w:val="both"/>
        <w:textAlignment w:val="baseline"/>
        <w:rPr>
          <w:color w:val="000000" w:themeColor="text1"/>
          <w:sz w:val="16"/>
          <w:szCs w:val="16"/>
        </w:rPr>
      </w:pPr>
      <w:r w:rsidRPr="005E779E">
        <w:rPr>
          <w:rStyle w:val="af0"/>
          <w:i w:val="0"/>
          <w:color w:val="000000" w:themeColor="text1"/>
          <w:sz w:val="16"/>
          <w:szCs w:val="16"/>
          <w:bdr w:val="none" w:sz="0" w:space="0" w:color="auto" w:frame="1"/>
        </w:rPr>
        <w:t>– скороподъемность;</w:t>
      </w:r>
    </w:p>
    <w:p w14:paraId="297A00D8" w14:textId="77777777" w:rsidR="00707F3B" w:rsidRPr="005E779E" w:rsidRDefault="00707F3B" w:rsidP="000B7A6C">
      <w:pPr>
        <w:pStyle w:val="ae"/>
        <w:shd w:val="clear" w:color="auto" w:fill="FFFFFF"/>
        <w:spacing w:before="0" w:after="0"/>
        <w:jc w:val="both"/>
        <w:textAlignment w:val="baseline"/>
        <w:rPr>
          <w:color w:val="000000" w:themeColor="text1"/>
          <w:sz w:val="16"/>
          <w:szCs w:val="16"/>
        </w:rPr>
      </w:pPr>
      <w:r w:rsidRPr="005E779E">
        <w:rPr>
          <w:rStyle w:val="af0"/>
          <w:i w:val="0"/>
          <w:color w:val="000000" w:themeColor="text1"/>
          <w:sz w:val="16"/>
          <w:szCs w:val="16"/>
          <w:bdr w:val="none" w:sz="0" w:space="0" w:color="auto" w:frame="1"/>
        </w:rPr>
        <w:t>– взлетно-посадочные качества.</w:t>
      </w:r>
    </w:p>
    <w:p w14:paraId="487F2C65" w14:textId="77777777" w:rsidR="00707F3B" w:rsidRPr="005E779E" w:rsidRDefault="00707F3B" w:rsidP="000B7A6C">
      <w:pPr>
        <w:pStyle w:val="ae"/>
        <w:shd w:val="clear" w:color="auto" w:fill="FFFFFF"/>
        <w:spacing w:before="0" w:after="0"/>
        <w:jc w:val="both"/>
        <w:textAlignment w:val="baseline"/>
        <w:rPr>
          <w:color w:val="000000" w:themeColor="text1"/>
          <w:sz w:val="16"/>
          <w:szCs w:val="16"/>
        </w:rPr>
      </w:pPr>
      <w:r w:rsidRPr="005E779E">
        <w:rPr>
          <w:rStyle w:val="af0"/>
          <w:i w:val="0"/>
          <w:color w:val="000000" w:themeColor="text1"/>
          <w:sz w:val="16"/>
          <w:szCs w:val="16"/>
          <w:bdr w:val="none" w:sz="0" w:space="0" w:color="auto" w:frame="1"/>
        </w:rPr>
        <w:t>Летно-тактические данные для боевой высоты 5000 м:</w:t>
      </w:r>
    </w:p>
    <w:p w14:paraId="51D6F4EF" w14:textId="77777777" w:rsidR="00707F3B" w:rsidRPr="005E779E" w:rsidRDefault="00707F3B" w:rsidP="000B7A6C">
      <w:pPr>
        <w:pStyle w:val="ae"/>
        <w:shd w:val="clear" w:color="auto" w:fill="FFFFFF"/>
        <w:spacing w:before="0" w:after="0"/>
        <w:jc w:val="both"/>
        <w:textAlignment w:val="baseline"/>
        <w:rPr>
          <w:color w:val="000000" w:themeColor="text1"/>
          <w:sz w:val="16"/>
          <w:szCs w:val="16"/>
        </w:rPr>
      </w:pPr>
      <w:r w:rsidRPr="005E779E">
        <w:rPr>
          <w:rStyle w:val="af0"/>
          <w:i w:val="0"/>
          <w:color w:val="000000" w:themeColor="text1"/>
          <w:sz w:val="16"/>
          <w:szCs w:val="16"/>
          <w:bdr w:val="none" w:sz="0" w:space="0" w:color="auto" w:frame="1"/>
        </w:rPr>
        <w:t>– горизонтальная скорость – 325-350 км/ч</w:t>
      </w:r>
    </w:p>
    <w:p w14:paraId="3E7F5149" w14:textId="77777777" w:rsidR="00707F3B" w:rsidRPr="005E779E" w:rsidRDefault="00707F3B" w:rsidP="000B7A6C">
      <w:pPr>
        <w:pStyle w:val="ae"/>
        <w:shd w:val="clear" w:color="auto" w:fill="FFFFFF"/>
        <w:spacing w:before="0" w:after="0"/>
        <w:jc w:val="both"/>
        <w:textAlignment w:val="baseline"/>
        <w:rPr>
          <w:color w:val="000000" w:themeColor="text1"/>
          <w:sz w:val="16"/>
          <w:szCs w:val="16"/>
        </w:rPr>
      </w:pPr>
      <w:r w:rsidRPr="005E779E">
        <w:rPr>
          <w:rStyle w:val="af0"/>
          <w:i w:val="0"/>
          <w:color w:val="000000" w:themeColor="text1"/>
          <w:sz w:val="16"/>
          <w:szCs w:val="16"/>
          <w:bdr w:val="none" w:sz="0" w:space="0" w:color="auto" w:frame="1"/>
        </w:rPr>
        <w:t>– время подъема на Н=5000 м – 10-12 мин</w:t>
      </w:r>
    </w:p>
    <w:p w14:paraId="355E3CE7" w14:textId="77777777" w:rsidR="00707F3B" w:rsidRPr="005E779E" w:rsidRDefault="00707F3B" w:rsidP="000B7A6C">
      <w:pPr>
        <w:pStyle w:val="ae"/>
        <w:shd w:val="clear" w:color="auto" w:fill="FFFFFF"/>
        <w:spacing w:before="0" w:after="0"/>
        <w:jc w:val="both"/>
        <w:textAlignment w:val="baseline"/>
        <w:rPr>
          <w:color w:val="000000" w:themeColor="text1"/>
          <w:sz w:val="16"/>
          <w:szCs w:val="16"/>
        </w:rPr>
      </w:pPr>
      <w:r w:rsidRPr="005E779E">
        <w:rPr>
          <w:rStyle w:val="af0"/>
          <w:i w:val="0"/>
          <w:color w:val="000000" w:themeColor="text1"/>
          <w:sz w:val="16"/>
          <w:szCs w:val="16"/>
          <w:bdr w:val="none" w:sz="0" w:space="0" w:color="auto" w:frame="1"/>
        </w:rPr>
        <w:t>– посадочная скорость не свыше – 100 км/ч</w:t>
      </w:r>
    </w:p>
    <w:p w14:paraId="7B534C85" w14:textId="77777777" w:rsidR="00707F3B" w:rsidRPr="005E779E" w:rsidRDefault="00707F3B" w:rsidP="000B7A6C">
      <w:pPr>
        <w:pStyle w:val="ae"/>
        <w:shd w:val="clear" w:color="auto" w:fill="FFFFFF"/>
        <w:spacing w:before="0" w:after="0"/>
        <w:jc w:val="both"/>
        <w:textAlignment w:val="baseline"/>
        <w:rPr>
          <w:color w:val="000000" w:themeColor="text1"/>
          <w:sz w:val="16"/>
          <w:szCs w:val="16"/>
        </w:rPr>
      </w:pPr>
      <w:r w:rsidRPr="005E779E">
        <w:rPr>
          <w:rStyle w:val="af0"/>
          <w:i w:val="0"/>
          <w:color w:val="000000" w:themeColor="text1"/>
          <w:sz w:val="16"/>
          <w:szCs w:val="16"/>
          <w:bdr w:val="none" w:sz="0" w:space="0" w:color="auto" w:frame="1"/>
        </w:rPr>
        <w:t>– радиус действия нормальный – 300 км</w:t>
      </w:r>
    </w:p>
    <w:p w14:paraId="45AB8C04" w14:textId="77777777" w:rsidR="00707F3B" w:rsidRPr="005E779E" w:rsidRDefault="00707F3B" w:rsidP="000B7A6C">
      <w:pPr>
        <w:pStyle w:val="ae"/>
        <w:shd w:val="clear" w:color="auto" w:fill="FFFFFF"/>
        <w:spacing w:before="0" w:after="0"/>
        <w:jc w:val="both"/>
        <w:textAlignment w:val="baseline"/>
        <w:rPr>
          <w:color w:val="000000" w:themeColor="text1"/>
          <w:sz w:val="16"/>
          <w:szCs w:val="16"/>
        </w:rPr>
      </w:pPr>
      <w:r w:rsidRPr="005E779E">
        <w:rPr>
          <w:rStyle w:val="af0"/>
          <w:i w:val="0"/>
          <w:color w:val="000000" w:themeColor="text1"/>
          <w:sz w:val="16"/>
          <w:szCs w:val="16"/>
          <w:bdr w:val="none" w:sz="0" w:space="0" w:color="auto" w:frame="1"/>
        </w:rPr>
        <w:t>– емкость баков (перегр. вариант без бомб, нагр), обеспечивающая радиус действия – 500 км</w:t>
      </w:r>
    </w:p>
    <w:p w14:paraId="61275F7A" w14:textId="77777777" w:rsidR="00707F3B" w:rsidRPr="005E779E" w:rsidRDefault="00707F3B" w:rsidP="000B7A6C">
      <w:pPr>
        <w:pStyle w:val="ae"/>
        <w:shd w:val="clear" w:color="auto" w:fill="FFFFFF"/>
        <w:spacing w:before="0" w:after="0"/>
        <w:jc w:val="both"/>
        <w:textAlignment w:val="baseline"/>
        <w:rPr>
          <w:color w:val="000000" w:themeColor="text1"/>
          <w:sz w:val="16"/>
          <w:szCs w:val="16"/>
        </w:rPr>
      </w:pPr>
      <w:r w:rsidRPr="005E779E">
        <w:rPr>
          <w:rStyle w:val="af0"/>
          <w:i w:val="0"/>
          <w:color w:val="000000" w:themeColor="text1"/>
          <w:sz w:val="16"/>
          <w:szCs w:val="16"/>
          <w:bdr w:val="none" w:sz="0" w:space="0" w:color="auto" w:frame="1"/>
        </w:rPr>
        <w:t>Вооружение и сбрасываемый груз:</w:t>
      </w:r>
    </w:p>
    <w:p w14:paraId="3E86A5FC" w14:textId="77777777" w:rsidR="00707F3B" w:rsidRPr="005E779E" w:rsidRDefault="00707F3B" w:rsidP="000B7A6C">
      <w:pPr>
        <w:pStyle w:val="ae"/>
        <w:shd w:val="clear" w:color="auto" w:fill="FFFFFF"/>
        <w:spacing w:before="0" w:after="0"/>
        <w:jc w:val="both"/>
        <w:textAlignment w:val="baseline"/>
        <w:rPr>
          <w:color w:val="000000" w:themeColor="text1"/>
          <w:sz w:val="16"/>
          <w:szCs w:val="16"/>
        </w:rPr>
      </w:pPr>
      <w:r w:rsidRPr="005E779E">
        <w:rPr>
          <w:rStyle w:val="af0"/>
          <w:i w:val="0"/>
          <w:color w:val="000000" w:themeColor="text1"/>
          <w:sz w:val="16"/>
          <w:szCs w:val="16"/>
          <w:bdr w:val="none" w:sz="0" w:space="0" w:color="auto" w:frame="1"/>
        </w:rPr>
        <w:t>Нормальный вариант</w:t>
      </w:r>
    </w:p>
    <w:p w14:paraId="4E9A8625" w14:textId="77777777" w:rsidR="00707F3B" w:rsidRPr="005E779E" w:rsidRDefault="00707F3B" w:rsidP="000B7A6C">
      <w:pPr>
        <w:pStyle w:val="ae"/>
        <w:shd w:val="clear" w:color="auto" w:fill="FFFFFF"/>
        <w:spacing w:before="0" w:after="0"/>
        <w:jc w:val="both"/>
        <w:textAlignment w:val="baseline"/>
        <w:rPr>
          <w:color w:val="000000" w:themeColor="text1"/>
          <w:sz w:val="16"/>
          <w:szCs w:val="16"/>
        </w:rPr>
      </w:pPr>
      <w:r w:rsidRPr="005E779E">
        <w:rPr>
          <w:rStyle w:val="af0"/>
          <w:i w:val="0"/>
          <w:color w:val="000000" w:themeColor="text1"/>
          <w:sz w:val="16"/>
          <w:szCs w:val="16"/>
          <w:bdr w:val="none" w:sz="0" w:space="0" w:color="auto" w:frame="1"/>
        </w:rPr>
        <w:t>– 2 ДРП для стрельбы вперед;</w:t>
      </w:r>
    </w:p>
    <w:p w14:paraId="19190BDD" w14:textId="77777777" w:rsidR="00707F3B" w:rsidRPr="005E779E" w:rsidRDefault="00707F3B" w:rsidP="000B7A6C">
      <w:pPr>
        <w:pStyle w:val="ae"/>
        <w:shd w:val="clear" w:color="auto" w:fill="FFFFFF"/>
        <w:spacing w:before="0" w:after="0"/>
        <w:jc w:val="both"/>
        <w:textAlignment w:val="baseline"/>
        <w:rPr>
          <w:color w:val="000000" w:themeColor="text1"/>
          <w:sz w:val="16"/>
          <w:szCs w:val="16"/>
        </w:rPr>
      </w:pPr>
      <w:r w:rsidRPr="005E779E">
        <w:rPr>
          <w:rStyle w:val="af0"/>
          <w:i w:val="0"/>
          <w:color w:val="000000" w:themeColor="text1"/>
          <w:sz w:val="16"/>
          <w:szCs w:val="16"/>
          <w:bdr w:val="none" w:sz="0" w:space="0" w:color="auto" w:frame="1"/>
        </w:rPr>
        <w:t>– пулемет для стрельбы в заднюю полусферу;</w:t>
      </w:r>
    </w:p>
    <w:p w14:paraId="70E8EFA1" w14:textId="77777777" w:rsidR="00707F3B" w:rsidRPr="005E779E" w:rsidRDefault="00707F3B" w:rsidP="000B7A6C">
      <w:pPr>
        <w:pStyle w:val="ae"/>
        <w:shd w:val="clear" w:color="auto" w:fill="FFFFFF"/>
        <w:spacing w:before="0" w:after="0"/>
        <w:jc w:val="both"/>
        <w:textAlignment w:val="baseline"/>
        <w:rPr>
          <w:color w:val="000000" w:themeColor="text1"/>
          <w:sz w:val="16"/>
          <w:szCs w:val="16"/>
        </w:rPr>
      </w:pPr>
      <w:r w:rsidRPr="005E779E">
        <w:rPr>
          <w:rStyle w:val="af0"/>
          <w:i w:val="0"/>
          <w:color w:val="000000" w:themeColor="text1"/>
          <w:sz w:val="16"/>
          <w:szCs w:val="16"/>
          <w:bdr w:val="none" w:sz="0" w:space="0" w:color="auto" w:frame="1"/>
        </w:rPr>
        <w:t>– количество снарядов не менее 30;</w:t>
      </w:r>
    </w:p>
    <w:p w14:paraId="333DE53B" w14:textId="77777777" w:rsidR="00707F3B" w:rsidRPr="005E779E" w:rsidRDefault="00707F3B" w:rsidP="000B7A6C">
      <w:pPr>
        <w:pStyle w:val="ae"/>
        <w:shd w:val="clear" w:color="auto" w:fill="FFFFFF"/>
        <w:spacing w:before="0" w:after="0"/>
        <w:jc w:val="both"/>
        <w:textAlignment w:val="baseline"/>
        <w:rPr>
          <w:color w:val="000000" w:themeColor="text1"/>
          <w:sz w:val="16"/>
          <w:szCs w:val="16"/>
        </w:rPr>
      </w:pPr>
      <w:r w:rsidRPr="005E779E">
        <w:rPr>
          <w:rStyle w:val="af0"/>
          <w:i w:val="0"/>
          <w:color w:val="000000" w:themeColor="text1"/>
          <w:sz w:val="16"/>
          <w:szCs w:val="16"/>
          <w:bdr w:val="none" w:sz="0" w:space="0" w:color="auto" w:frame="1"/>
        </w:rPr>
        <w:t>– количество патронов – 750</w:t>
      </w:r>
    </w:p>
    <w:p w14:paraId="688FD815" w14:textId="77777777" w:rsidR="00707F3B" w:rsidRPr="005E779E" w:rsidRDefault="00707F3B" w:rsidP="000B7A6C">
      <w:pPr>
        <w:pStyle w:val="ae"/>
        <w:shd w:val="clear" w:color="auto" w:fill="FFFFFF"/>
        <w:spacing w:before="0" w:after="0"/>
        <w:jc w:val="both"/>
        <w:textAlignment w:val="baseline"/>
        <w:rPr>
          <w:color w:val="000000" w:themeColor="text1"/>
          <w:sz w:val="16"/>
          <w:szCs w:val="16"/>
        </w:rPr>
      </w:pPr>
      <w:r w:rsidRPr="005E779E">
        <w:rPr>
          <w:rStyle w:val="af0"/>
          <w:i w:val="0"/>
          <w:color w:val="000000" w:themeColor="text1"/>
          <w:sz w:val="16"/>
          <w:szCs w:val="16"/>
          <w:bdr w:val="none" w:sz="0" w:space="0" w:color="auto" w:frame="1"/>
        </w:rPr>
        <w:t>Перегрузочный вариант (добавляется)</w:t>
      </w:r>
    </w:p>
    <w:p w14:paraId="71617AB0" w14:textId="77777777" w:rsidR="00707F3B" w:rsidRPr="005E779E" w:rsidRDefault="00707F3B" w:rsidP="000B7A6C">
      <w:pPr>
        <w:pStyle w:val="ae"/>
        <w:shd w:val="clear" w:color="auto" w:fill="FFFFFF"/>
        <w:spacing w:before="0" w:after="0"/>
        <w:jc w:val="both"/>
        <w:textAlignment w:val="baseline"/>
        <w:rPr>
          <w:color w:val="000000" w:themeColor="text1"/>
          <w:sz w:val="16"/>
          <w:szCs w:val="16"/>
        </w:rPr>
      </w:pPr>
      <w:r w:rsidRPr="005E779E">
        <w:rPr>
          <w:rStyle w:val="af0"/>
          <w:i w:val="0"/>
          <w:color w:val="000000" w:themeColor="text1"/>
          <w:sz w:val="16"/>
          <w:szCs w:val="16"/>
          <w:bdr w:val="none" w:sz="0" w:space="0" w:color="auto" w:frame="1"/>
        </w:rPr>
        <w:t>– 10×10 дистанционных бомб или 2×ЗАМ…»</w:t>
      </w:r>
    </w:p>
    <w:p w14:paraId="43ACA2B4" w14:textId="77777777" w:rsidR="00707F3B" w:rsidRPr="005E779E" w:rsidRDefault="00707F3B" w:rsidP="000B7A6C">
      <w:pPr>
        <w:pStyle w:val="ae"/>
        <w:shd w:val="clear" w:color="auto" w:fill="FFFFFF"/>
        <w:spacing w:before="0" w:after="0"/>
        <w:jc w:val="both"/>
        <w:textAlignment w:val="baseline"/>
        <w:rPr>
          <w:color w:val="000000" w:themeColor="text1"/>
          <w:sz w:val="16"/>
          <w:szCs w:val="16"/>
        </w:rPr>
      </w:pPr>
      <w:r w:rsidRPr="005E779E">
        <w:rPr>
          <w:color w:val="000000" w:themeColor="text1"/>
          <w:sz w:val="16"/>
          <w:szCs w:val="16"/>
        </w:rPr>
        <w:t>Сведений о работе над проектом ДИП по вышеприведенным ТТТ не обнаружено (19175).</w:t>
      </w:r>
    </w:p>
    <w:p w14:paraId="50EABB77" w14:textId="77777777" w:rsidR="00707F3B" w:rsidRPr="005E779E" w:rsidRDefault="00707F3B" w:rsidP="000B7A6C">
      <w:pPr>
        <w:pStyle w:val="ae"/>
        <w:shd w:val="clear" w:color="auto" w:fill="FFFFFF"/>
        <w:spacing w:before="0" w:after="0"/>
        <w:jc w:val="both"/>
        <w:textAlignment w:val="baseline"/>
        <w:rPr>
          <w:color w:val="000000" w:themeColor="text1"/>
          <w:sz w:val="16"/>
          <w:szCs w:val="16"/>
        </w:rPr>
      </w:pPr>
    </w:p>
    <w:p w14:paraId="0D0677A4" w14:textId="77777777" w:rsidR="00862F5B" w:rsidRPr="005E779E" w:rsidRDefault="00862F5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 июне 1931г. ЦАГИ получил письмо начальника отдела требова</w:t>
      </w:r>
      <w:r w:rsidRPr="005E779E">
        <w:rPr>
          <w:rFonts w:ascii="Times New Roman" w:hAnsi="Times New Roman"/>
          <w:color w:val="000000" w:themeColor="text1"/>
          <w:sz w:val="16"/>
          <w:szCs w:val="16"/>
        </w:rPr>
        <w:softHyphen/>
        <w:t>ний НИИ ВВС. В нем излагались требования к «тяжелому бомбардировщику ТБ—7 (высотному)». Он предназначался «для разрушения и уничтожения объектов противника государственно-стратегичес</w:t>
      </w:r>
      <w:r w:rsidRPr="005E779E">
        <w:rPr>
          <w:rFonts w:ascii="Times New Roman" w:hAnsi="Times New Roman"/>
          <w:color w:val="000000" w:themeColor="text1"/>
          <w:sz w:val="16"/>
          <w:szCs w:val="16"/>
        </w:rPr>
        <w:softHyphen/>
        <w:t>кого значения, для бомбардировки баз и флота противника, его укрепленных рай</w:t>
      </w:r>
      <w:r w:rsidRPr="005E779E">
        <w:rPr>
          <w:rFonts w:ascii="Times New Roman" w:hAnsi="Times New Roman"/>
          <w:color w:val="000000" w:themeColor="text1"/>
          <w:sz w:val="16"/>
          <w:szCs w:val="16"/>
        </w:rPr>
        <w:softHyphen/>
        <w:t>онов на побережье, для десантных опера</w:t>
      </w:r>
      <w:r w:rsidRPr="005E779E">
        <w:rPr>
          <w:rFonts w:ascii="Times New Roman" w:hAnsi="Times New Roman"/>
          <w:color w:val="000000" w:themeColor="text1"/>
          <w:sz w:val="16"/>
          <w:szCs w:val="16"/>
        </w:rPr>
        <w:softHyphen/>
        <w:t>ций». Устанавливались требования к ма</w:t>
      </w:r>
      <w:r w:rsidRPr="005E779E">
        <w:rPr>
          <w:rFonts w:ascii="Times New Roman" w:hAnsi="Times New Roman"/>
          <w:color w:val="000000" w:themeColor="text1"/>
          <w:sz w:val="16"/>
          <w:szCs w:val="16"/>
        </w:rPr>
        <w:softHyphen/>
        <w:t>шине: высота полета; грузоподъемность; дальность; огневая независимость (он мог применяться как при одиночном, так и при строевом решении задания); горизон</w:t>
      </w:r>
      <w:r w:rsidRPr="005E779E">
        <w:rPr>
          <w:rFonts w:ascii="Times New Roman" w:hAnsi="Times New Roman"/>
          <w:color w:val="000000" w:themeColor="text1"/>
          <w:sz w:val="16"/>
          <w:szCs w:val="16"/>
        </w:rPr>
        <w:softHyphen/>
        <w:t>тальная скорость. Расположение пулемет</w:t>
      </w:r>
      <w:r w:rsidRPr="005E779E">
        <w:rPr>
          <w:rFonts w:ascii="Times New Roman" w:hAnsi="Times New Roman"/>
          <w:color w:val="000000" w:themeColor="text1"/>
          <w:sz w:val="16"/>
          <w:szCs w:val="16"/>
        </w:rPr>
        <w:softHyphen/>
        <w:t>но-пушечного вооружения — согласно приложенной схеме. Самолет должен был допускать использование его в качестве тя</w:t>
      </w:r>
      <w:r w:rsidRPr="005E779E">
        <w:rPr>
          <w:rFonts w:ascii="Times New Roman" w:hAnsi="Times New Roman"/>
          <w:color w:val="000000" w:themeColor="text1"/>
          <w:sz w:val="16"/>
          <w:szCs w:val="16"/>
        </w:rPr>
        <w:softHyphen/>
        <w:t>желого крейсера для сопровождения од</w:t>
      </w:r>
      <w:r w:rsidRPr="005E779E">
        <w:rPr>
          <w:rFonts w:ascii="Times New Roman" w:hAnsi="Times New Roman"/>
          <w:color w:val="000000" w:themeColor="text1"/>
          <w:sz w:val="16"/>
          <w:szCs w:val="16"/>
        </w:rPr>
        <w:softHyphen/>
        <w:t>нотипных ему бомбардировщиков. Далее шли разделы, определявшие необходи</w:t>
      </w:r>
      <w:r w:rsidRPr="005E779E">
        <w:rPr>
          <w:rFonts w:ascii="Times New Roman" w:hAnsi="Times New Roman"/>
          <w:color w:val="000000" w:themeColor="text1"/>
          <w:sz w:val="16"/>
          <w:szCs w:val="16"/>
        </w:rPr>
        <w:softHyphen/>
        <w:t>мое оборудование и аппаратуру. Получив письмо, ЦАГИ молчало... 3 года! Объясняется это двумя причи</w:t>
      </w:r>
      <w:r w:rsidRPr="005E779E">
        <w:rPr>
          <w:rFonts w:ascii="Times New Roman" w:hAnsi="Times New Roman"/>
          <w:color w:val="000000" w:themeColor="text1"/>
          <w:sz w:val="16"/>
          <w:szCs w:val="16"/>
        </w:rPr>
        <w:softHyphen/>
        <w:t>нами:</w:t>
      </w:r>
    </w:p>
    <w:p w14:paraId="4C28941C" w14:textId="77777777" w:rsidR="00862F5B" w:rsidRPr="005E779E" w:rsidRDefault="00862F5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1931 г. — год подготовки к серий</w:t>
      </w:r>
      <w:r w:rsidRPr="005E779E">
        <w:rPr>
          <w:rFonts w:ascii="Times New Roman" w:hAnsi="Times New Roman"/>
          <w:color w:val="000000" w:themeColor="text1"/>
          <w:sz w:val="16"/>
          <w:szCs w:val="16"/>
        </w:rPr>
        <w:softHyphen/>
        <w:t>ному строительству тяжелых бомбарди</w:t>
      </w:r>
      <w:r w:rsidRPr="005E779E">
        <w:rPr>
          <w:rFonts w:ascii="Times New Roman" w:hAnsi="Times New Roman"/>
          <w:color w:val="000000" w:themeColor="text1"/>
          <w:sz w:val="16"/>
          <w:szCs w:val="16"/>
        </w:rPr>
        <w:softHyphen/>
        <w:t>ровщиков ТБ—3, что потребовало от КБ огромных сил.</w:t>
      </w:r>
    </w:p>
    <w:p w14:paraId="4BC6E597" w14:textId="77777777" w:rsidR="00862F5B" w:rsidRPr="005E779E" w:rsidRDefault="00862F5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Туполев отнесся к письму ВВС не как к задаче создания некоего улучшен</w:t>
      </w:r>
      <w:r w:rsidRPr="005E779E">
        <w:rPr>
          <w:rFonts w:ascii="Times New Roman" w:hAnsi="Times New Roman"/>
          <w:color w:val="000000" w:themeColor="text1"/>
          <w:sz w:val="16"/>
          <w:szCs w:val="16"/>
        </w:rPr>
        <w:softHyphen/>
        <w:t>ного варианта ТБ—3 (по этому пути по</w:t>
      </w:r>
      <w:r w:rsidRPr="005E779E">
        <w:rPr>
          <w:rFonts w:ascii="Times New Roman" w:hAnsi="Times New Roman"/>
          <w:color w:val="000000" w:themeColor="text1"/>
          <w:sz w:val="16"/>
          <w:szCs w:val="16"/>
        </w:rPr>
        <w:softHyphen/>
        <w:t>шли конструкторы ДБ—А). Он считал, что настало время создать бомбардиров</w:t>
      </w:r>
      <w:r w:rsidRPr="005E779E">
        <w:rPr>
          <w:rFonts w:ascii="Times New Roman" w:hAnsi="Times New Roman"/>
          <w:color w:val="000000" w:themeColor="text1"/>
          <w:sz w:val="16"/>
          <w:szCs w:val="16"/>
        </w:rPr>
        <w:softHyphen/>
        <w:t>щик нового поколения. Самолет, который успешно защитит страну в следующем десятилетии — в 1940-е годы. И такая рабо</w:t>
      </w:r>
      <w:r w:rsidRPr="005E779E">
        <w:rPr>
          <w:rFonts w:ascii="Times New Roman" w:hAnsi="Times New Roman"/>
          <w:color w:val="000000" w:themeColor="text1"/>
          <w:sz w:val="16"/>
          <w:szCs w:val="16"/>
        </w:rPr>
        <w:softHyphen/>
        <w:t>та, по определению «лица» нового бомбар</w:t>
      </w:r>
      <w:r w:rsidRPr="005E779E">
        <w:rPr>
          <w:rFonts w:ascii="Times New Roman" w:hAnsi="Times New Roman"/>
          <w:color w:val="000000" w:themeColor="text1"/>
          <w:sz w:val="16"/>
          <w:szCs w:val="16"/>
        </w:rPr>
        <w:softHyphen/>
        <w:t>дировщика, в течение трех лет молчания, безусловно, велась (23474).</w:t>
      </w:r>
    </w:p>
    <w:p w14:paraId="2862AF85" w14:textId="77777777" w:rsidR="00862F5B" w:rsidRPr="005E779E" w:rsidRDefault="00862F5B" w:rsidP="000B7A6C">
      <w:pPr>
        <w:spacing w:after="0" w:line="240" w:lineRule="auto"/>
        <w:jc w:val="both"/>
        <w:rPr>
          <w:rFonts w:ascii="Times New Roman" w:hAnsi="Times New Roman"/>
          <w:color w:val="000000" w:themeColor="text1"/>
          <w:sz w:val="16"/>
          <w:szCs w:val="16"/>
        </w:rPr>
      </w:pPr>
    </w:p>
    <w:p w14:paraId="5826A988" w14:textId="77777777" w:rsidR="002A49F7" w:rsidRPr="005E779E" w:rsidRDefault="0067564A" w:rsidP="000B7A6C">
      <w:pPr>
        <w:autoSpaceDE w:val="0"/>
        <w:autoSpaceDN w:val="0"/>
        <w:adjustRightInd w:val="0"/>
        <w:spacing w:after="0" w:line="240" w:lineRule="auto"/>
        <w:jc w:val="both"/>
        <w:rPr>
          <w:rFonts w:ascii="Times New Roman" w:eastAsia="TimesNewRomanPSMT" w:hAnsi="Times New Roman"/>
          <w:color w:val="000000" w:themeColor="text1"/>
          <w:sz w:val="16"/>
          <w:szCs w:val="16"/>
          <w:lang w:eastAsia="ru-RU"/>
        </w:rPr>
      </w:pPr>
      <w:r w:rsidRPr="005E779E">
        <w:rPr>
          <w:rFonts w:ascii="Times New Roman" w:eastAsia="TimesNewRomanPSMT" w:hAnsi="Times New Roman"/>
          <w:color w:val="000000" w:themeColor="text1"/>
          <w:sz w:val="16"/>
          <w:szCs w:val="16"/>
          <w:lang w:eastAsia="ru-RU"/>
        </w:rPr>
        <w:t>В июне 1931 на строительстве новых цехов завода № 23 работало 450 сезонных рабочих. На второй площадке (у Комендантского аэродрома) возведены каменные корпуса деревообделочного и столярного цехов, корпус цеха окончательной сборки и малярно-окрасочных работ. Если в 1930 г. на заводе работало 874 человека, то в 1931 г. число работающих составляло уже 2674. В 1931 г. завод выпустил 114 самолетов У-1, 27 самолетов П-2 и 338 самолетов У-2 различных модификаций</w:t>
      </w:r>
      <w:r w:rsidR="002A49F7" w:rsidRPr="005E779E">
        <w:rPr>
          <w:rFonts w:ascii="Times New Roman" w:eastAsia="TimesNewRomanPSMT" w:hAnsi="Times New Roman"/>
          <w:color w:val="000000" w:themeColor="text1"/>
          <w:sz w:val="16"/>
          <w:szCs w:val="16"/>
          <w:lang w:eastAsia="ru-RU"/>
        </w:rPr>
        <w:t>.</w:t>
      </w:r>
    </w:p>
    <w:p w14:paraId="5E42B66C" w14:textId="77777777" w:rsidR="002A49F7" w:rsidRPr="005E779E" w:rsidRDefault="002A49F7" w:rsidP="000B7A6C">
      <w:pPr>
        <w:autoSpaceDE w:val="0"/>
        <w:autoSpaceDN w:val="0"/>
        <w:adjustRightInd w:val="0"/>
        <w:spacing w:after="0" w:line="240" w:lineRule="auto"/>
        <w:jc w:val="both"/>
        <w:rPr>
          <w:rFonts w:ascii="Times New Roman" w:eastAsia="TimesNewRomanPSMT" w:hAnsi="Times New Roman"/>
          <w:color w:val="000000" w:themeColor="text1"/>
          <w:sz w:val="16"/>
          <w:szCs w:val="16"/>
          <w:lang w:eastAsia="ru-RU"/>
        </w:rPr>
      </w:pPr>
      <w:r w:rsidRPr="005E779E">
        <w:rPr>
          <w:rFonts w:ascii="Times New Roman" w:eastAsia="TimesNewRomanPSMT" w:hAnsi="Times New Roman"/>
          <w:color w:val="000000" w:themeColor="text1"/>
          <w:sz w:val="16"/>
          <w:szCs w:val="16"/>
          <w:lang w:eastAsia="ru-RU"/>
        </w:rPr>
        <w:t>В 1932 г. завод выпустил 1115 самолетов У-2. Был достигнут почти трехкратный рост по сравнению с 1931 г. Сказались результаты осуществленной в 1931 г. программы строительства новых цехов, дооборудования предприятия и укомплектования его квалифицированной рабочей силой [3, л. 42].</w:t>
      </w:r>
    </w:p>
    <w:p w14:paraId="405D3C47" w14:textId="77777777" w:rsidR="0067564A" w:rsidRPr="005E779E" w:rsidRDefault="002A49F7"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eastAsia="TimesNewRomanPSMT" w:hAnsi="Times New Roman"/>
          <w:color w:val="000000" w:themeColor="text1"/>
          <w:sz w:val="16"/>
          <w:szCs w:val="16"/>
          <w:lang w:eastAsia="ru-RU"/>
        </w:rPr>
        <w:t>В 1933 г. численность работающих на заводе достигла 3358 человек. За год было выпущено 1508 самолетов У-2 и АП. На заводе функционировали механический, инструментальный, слесарно-сварочный, деревозаготовительный, деревообделочный, столярный (самый большой по размерам), медницко-жестяницкий,термический, фюзеляжно-сборочный, эмалитно-сборочный цеха и цех ширпотреба, а также лаборатория механических испытаний,химическа</w:t>
      </w:r>
      <w:r w:rsidR="00F82516" w:rsidRPr="005E779E">
        <w:rPr>
          <w:rFonts w:ascii="Times New Roman" w:eastAsia="TimesNewRomanPSMT" w:hAnsi="Times New Roman"/>
          <w:color w:val="000000" w:themeColor="text1"/>
          <w:sz w:val="16"/>
          <w:szCs w:val="16"/>
          <w:lang w:eastAsia="ru-RU"/>
        </w:rPr>
        <w:t>я и метрологическая лаборатории</w:t>
      </w:r>
      <w:r w:rsidR="0067564A" w:rsidRPr="005E779E">
        <w:rPr>
          <w:rFonts w:ascii="Times New Roman" w:eastAsia="TimesNewRomanPSMT" w:hAnsi="Times New Roman"/>
          <w:color w:val="000000" w:themeColor="text1"/>
          <w:sz w:val="16"/>
          <w:szCs w:val="16"/>
          <w:lang w:eastAsia="ru-RU"/>
        </w:rPr>
        <w:t xml:space="preserve"> (17311).</w:t>
      </w:r>
    </w:p>
    <w:p w14:paraId="53DE50F9" w14:textId="77777777" w:rsidR="0067564A" w:rsidRPr="005E779E" w:rsidRDefault="0067564A" w:rsidP="000B7A6C">
      <w:pPr>
        <w:spacing w:after="0" w:line="240" w:lineRule="auto"/>
        <w:jc w:val="both"/>
        <w:rPr>
          <w:rFonts w:ascii="Times New Roman" w:hAnsi="Times New Roman"/>
          <w:color w:val="000000" w:themeColor="text1"/>
          <w:sz w:val="16"/>
          <w:szCs w:val="16"/>
        </w:rPr>
      </w:pPr>
    </w:p>
    <w:p w14:paraId="12D550DA" w14:textId="77777777" w:rsidR="00707F3B" w:rsidRPr="005E779E" w:rsidRDefault="00707F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июне 1931 на строительстве новых цехов завода № 23 работало 450 сезонных рабочих. На второй площадке (у Комендантского аэродрома) возведены каменные корпуса деревообделочного и столярного цехов, корпус цеха окончательной сборки и малярно-окрасочных работ. Если в 1930 г. на заводе работало 874 человека, то в 1931 г. число работающих составляло уже 2674. В 1931 г. завод выпустил 114 самолетов У-1, 27 самолетов П-2 и 338 самолетов У-2 различных модификаций. В 1932 г. завод выпустил 1115 самолетов У-2. Был достигнут почти трехкратный рост по сравнению с 1931 г. Сказались результаты осуществленной в 1931 г. программы строительства новых цехов, дооборудования предприятия и укомплектования его квалифицированной рабочей силой. В 1933 г. численность работающих на заводе достигла 3358 человек. За год было выпущено 1508 самолетов У-2 и АП. На заводе функционировали механический, инструментальный, слесарно-сварочный, деревозаготовительный, деревообделочный, столярный (самый большой по размерам), медницко-жестяницкий, термический, фюзеляжно-сборочный, эмалитно-сборочный цеха и цех ширпотреба, а также лаборатория механических испытаний, химическая и метрологическая лаборатории (19548)</w:t>
      </w:r>
    </w:p>
    <w:p w14:paraId="1C8B805B" w14:textId="77777777" w:rsidR="00707F3B" w:rsidRPr="005E779E" w:rsidRDefault="00707F3B" w:rsidP="000B7A6C">
      <w:pPr>
        <w:spacing w:after="0" w:line="240" w:lineRule="auto"/>
        <w:jc w:val="both"/>
        <w:rPr>
          <w:rFonts w:ascii="Times New Roman" w:hAnsi="Times New Roman"/>
          <w:color w:val="000000" w:themeColor="text1"/>
          <w:sz w:val="16"/>
          <w:szCs w:val="16"/>
        </w:rPr>
      </w:pPr>
    </w:p>
    <w:p w14:paraId="74E03441" w14:textId="77777777" w:rsidR="001A3E40" w:rsidRPr="00142305" w:rsidRDefault="001A3E40" w:rsidP="001A3E4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июне 1931 г. на завод № 31 еще не поступила утвержденная схема размещения оборудования и вооруже</w:t>
      </w:r>
      <w:r w:rsidRPr="00142305">
        <w:rPr>
          <w:rFonts w:ascii="Times New Roman" w:hAnsi="Times New Roman"/>
          <w:color w:val="0070C0"/>
          <w:sz w:val="16"/>
          <w:szCs w:val="16"/>
        </w:rPr>
        <w:softHyphen/>
        <w:t>ния на S.62; все это монтировали по собствен</w:t>
      </w:r>
      <w:r w:rsidRPr="00142305">
        <w:rPr>
          <w:rFonts w:ascii="Times New Roman" w:hAnsi="Times New Roman"/>
          <w:color w:val="0070C0"/>
          <w:sz w:val="16"/>
          <w:szCs w:val="16"/>
        </w:rPr>
        <w:softHyphen/>
        <w:t>ному усмотрению. В результате даже через полгода после начала постройки ни одного самолета до конца сделать не удалось. Правда, даже если бы удалось, он все равно бы не полетел - не успели прибыть из Италии двигатели.</w:t>
      </w:r>
    </w:p>
    <w:p w14:paraId="5841AAE1" w14:textId="77777777" w:rsidR="001A3E40" w:rsidRPr="00142305" w:rsidRDefault="001A3E40" w:rsidP="001A3E4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Лишь к 17 августа завершили лодку для первой машины. 28 ноября 1931 г. заводчане отрапортовали «наверх», что машина почти готова, не успели только обтянуть плоскости полотном и смонтиро</w:t>
      </w:r>
      <w:r w:rsidRPr="00142305">
        <w:rPr>
          <w:rFonts w:ascii="Times New Roman" w:hAnsi="Times New Roman"/>
          <w:color w:val="0070C0"/>
          <w:sz w:val="16"/>
          <w:szCs w:val="16"/>
        </w:rPr>
        <w:softHyphen/>
        <w:t>вать оборудование. Но уже на следующий день кто-то из рабочих оставил на ночь открытым паровой вентиль в цехе (гну</w:t>
      </w:r>
      <w:r w:rsidRPr="00142305">
        <w:rPr>
          <w:rFonts w:ascii="Times New Roman" w:hAnsi="Times New Roman"/>
          <w:color w:val="0070C0"/>
          <w:sz w:val="16"/>
          <w:szCs w:val="16"/>
        </w:rPr>
        <w:softHyphen/>
        <w:t>тые деревянные детали предварительно распаривали). К утру все межкрыльные стойки и подмоторные брусья перекоси</w:t>
      </w:r>
      <w:r w:rsidRPr="00142305">
        <w:rPr>
          <w:rFonts w:ascii="Times New Roman" w:hAnsi="Times New Roman"/>
          <w:color w:val="0070C0"/>
          <w:sz w:val="16"/>
          <w:szCs w:val="16"/>
        </w:rPr>
        <w:softHyphen/>
        <w:t>лись и растрескались.</w:t>
      </w:r>
    </w:p>
    <w:p w14:paraId="6A4570F2" w14:textId="77777777" w:rsidR="001A3E40" w:rsidRPr="00142305" w:rsidRDefault="001A3E40" w:rsidP="001A3E4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А план висел как «дамоклов меч». В по</w:t>
      </w:r>
      <w:r w:rsidRPr="00142305">
        <w:rPr>
          <w:rFonts w:ascii="Times New Roman" w:hAnsi="Times New Roman"/>
          <w:color w:val="0070C0"/>
          <w:sz w:val="16"/>
          <w:szCs w:val="16"/>
        </w:rPr>
        <w:softHyphen/>
        <w:t>пытке спасти ситуацию завод обратил</w:t>
      </w:r>
      <w:r w:rsidRPr="00142305">
        <w:rPr>
          <w:rFonts w:ascii="Times New Roman" w:hAnsi="Times New Roman"/>
          <w:color w:val="0070C0"/>
          <w:sz w:val="16"/>
          <w:szCs w:val="16"/>
        </w:rPr>
        <w:softHyphen/>
        <w:t>ся в трест с просьбой уменьшить план до 30 самолетов, а пять первых считать опытными (это позволяло существенно отклоняться от требований к серийным машинам). Руководство главка согласи</w:t>
      </w:r>
      <w:r w:rsidRPr="00142305">
        <w:rPr>
          <w:rFonts w:ascii="Times New Roman" w:hAnsi="Times New Roman"/>
          <w:color w:val="0070C0"/>
          <w:sz w:val="16"/>
          <w:szCs w:val="16"/>
        </w:rPr>
        <w:softHyphen/>
        <w:t>лось, зато на следующий, 1932 г. от пред</w:t>
      </w:r>
      <w:r w:rsidRPr="00142305">
        <w:rPr>
          <w:rFonts w:ascii="Times New Roman" w:hAnsi="Times New Roman"/>
          <w:color w:val="0070C0"/>
          <w:sz w:val="16"/>
          <w:szCs w:val="16"/>
        </w:rPr>
        <w:softHyphen/>
        <w:t>приятия потребовали уже 110 лодок, при</w:t>
      </w:r>
      <w:r w:rsidRPr="00142305">
        <w:rPr>
          <w:rFonts w:ascii="Times New Roman" w:hAnsi="Times New Roman"/>
          <w:color w:val="0070C0"/>
          <w:sz w:val="16"/>
          <w:szCs w:val="16"/>
        </w:rPr>
        <w:softHyphen/>
        <w:t>чем первые 50 должны были оснащаться импортными моторами Ассо 750, 10-20 следующих - новыми отечественными М-27 (максимальной мощностью 830 л.с.), а все остальные - М-34 (800 л.с.). Маши</w:t>
      </w:r>
      <w:r w:rsidRPr="00142305">
        <w:rPr>
          <w:rFonts w:ascii="Times New Roman" w:hAnsi="Times New Roman"/>
          <w:color w:val="0070C0"/>
          <w:sz w:val="16"/>
          <w:szCs w:val="16"/>
        </w:rPr>
        <w:softHyphen/>
        <w:t>ны с М-27 предназначались для граждан</w:t>
      </w:r>
      <w:r w:rsidRPr="00142305">
        <w:rPr>
          <w:rFonts w:ascii="Times New Roman" w:hAnsi="Times New Roman"/>
          <w:color w:val="0070C0"/>
          <w:sz w:val="16"/>
          <w:szCs w:val="16"/>
        </w:rPr>
        <w:softHyphen/>
        <w:t>ской авиации, с М-34 - для ВВС. Проек</w:t>
      </w:r>
      <w:r w:rsidRPr="00142305">
        <w:rPr>
          <w:rFonts w:ascii="Times New Roman" w:hAnsi="Times New Roman"/>
          <w:color w:val="0070C0"/>
          <w:sz w:val="16"/>
          <w:szCs w:val="16"/>
        </w:rPr>
        <w:softHyphen/>
        <w:t>тирование вариантов с новыми моторами начали на заводе № 31, но с конца года все материалы передали в ЦАГИ.</w:t>
      </w:r>
    </w:p>
    <w:p w14:paraId="050AF3BF" w14:textId="77777777" w:rsidR="001A3E40" w:rsidRPr="00142305" w:rsidRDefault="001A3E40" w:rsidP="001A3E4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УВВС, разумеется, выразило свое него</w:t>
      </w:r>
      <w:r w:rsidRPr="00142305">
        <w:rPr>
          <w:rFonts w:ascii="Times New Roman" w:hAnsi="Times New Roman"/>
          <w:color w:val="0070C0"/>
          <w:sz w:val="16"/>
          <w:szCs w:val="16"/>
        </w:rPr>
        <w:softHyphen/>
        <w:t>дование по поводу срыва плана выпуска гидросамолетов. Причиной, по мнению его руководства, стал «полный развал завода № 31» (24948).</w:t>
      </w:r>
    </w:p>
    <w:p w14:paraId="10359538" w14:textId="77777777" w:rsidR="001A3E40" w:rsidRPr="00142305" w:rsidRDefault="001A3E40" w:rsidP="001A3E40">
      <w:pPr>
        <w:spacing w:after="0" w:line="240" w:lineRule="auto"/>
        <w:jc w:val="both"/>
        <w:rPr>
          <w:rFonts w:ascii="Times New Roman" w:hAnsi="Times New Roman"/>
          <w:color w:val="0070C0"/>
          <w:sz w:val="16"/>
          <w:szCs w:val="16"/>
        </w:rPr>
      </w:pPr>
    </w:p>
    <w:p w14:paraId="533B604F" w14:textId="77777777" w:rsidR="00BB4B21" w:rsidRPr="005E779E" w:rsidRDefault="00BB4B2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июне 1931 мотор М-23 (НАМИ-65) установили на самолете АИР-2, а позд</w:t>
      </w:r>
      <w:r w:rsidRPr="005E779E">
        <w:rPr>
          <w:rFonts w:ascii="Times New Roman" w:hAnsi="Times New Roman"/>
          <w:color w:val="000000" w:themeColor="text1"/>
          <w:sz w:val="16"/>
          <w:szCs w:val="16"/>
        </w:rPr>
        <w:softHyphen/>
        <w:t>нее - на АИР-4, который успешно прошел государ</w:t>
      </w:r>
      <w:r w:rsidRPr="005E779E">
        <w:rPr>
          <w:rFonts w:ascii="Times New Roman" w:hAnsi="Times New Roman"/>
          <w:color w:val="000000" w:themeColor="text1"/>
          <w:sz w:val="16"/>
          <w:szCs w:val="16"/>
        </w:rPr>
        <w:softHyphen/>
        <w:t>ственные испытания (22518).</w:t>
      </w:r>
    </w:p>
    <w:p w14:paraId="27EA9928" w14:textId="77777777" w:rsidR="00BB4B21" w:rsidRPr="005E779E" w:rsidRDefault="00BB4B21" w:rsidP="000B7A6C">
      <w:pPr>
        <w:spacing w:after="0" w:line="240" w:lineRule="auto"/>
        <w:jc w:val="both"/>
        <w:rPr>
          <w:rFonts w:ascii="Times New Roman" w:hAnsi="Times New Roman"/>
          <w:color w:val="000000" w:themeColor="text1"/>
          <w:sz w:val="16"/>
          <w:szCs w:val="16"/>
        </w:rPr>
      </w:pPr>
    </w:p>
    <w:p w14:paraId="2EC7EF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июне 1931 были подготовлены Ведомости о состоянии заводов опытного самолетостроения и потребностей этих заводов на 1931-1934 (ГРОСС, ЦКБ, АГОС) (351), а также Ведомости о состоянии заводов опытного самолетостроения и потребностей этих заводов на 1931-1934 (ГРОСС, ЦКБ, АГОС) (экономические, финансовые и промышленные данные).</w:t>
      </w:r>
    </w:p>
    <w:p w14:paraId="47410C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57AB4D0" w14:textId="77777777" w:rsidR="00E51240" w:rsidRPr="005E779E" w:rsidRDefault="00E51240" w:rsidP="000B7A6C">
      <w:pPr>
        <w:pStyle w:val="a3"/>
        <w:rPr>
          <w:color w:val="000000" w:themeColor="text1"/>
          <w:lang w:val="ru-RU"/>
        </w:rPr>
      </w:pPr>
      <w:r w:rsidRPr="005E779E">
        <w:rPr>
          <w:color w:val="000000" w:themeColor="text1"/>
          <w:lang w:val="ru-RU"/>
        </w:rPr>
        <w:t xml:space="preserve">В июне 1931 г., согласно выдержки из доклада </w:t>
      </w:r>
      <w:r w:rsidRPr="005E779E">
        <w:rPr>
          <w:color w:val="000000" w:themeColor="text1"/>
        </w:rPr>
        <w:t>B</w:t>
      </w:r>
      <w:r w:rsidRPr="005E779E">
        <w:rPr>
          <w:color w:val="000000" w:themeColor="text1"/>
          <w:lang w:val="ru-RU"/>
        </w:rPr>
        <w:t>.</w:t>
      </w:r>
      <w:r w:rsidRPr="005E779E">
        <w:rPr>
          <w:color w:val="000000" w:themeColor="text1"/>
        </w:rPr>
        <w:t>C</w:t>
      </w:r>
      <w:r w:rsidRPr="005E779E">
        <w:rPr>
          <w:color w:val="000000" w:themeColor="text1"/>
          <w:lang w:val="ru-RU"/>
        </w:rPr>
        <w:t>. Вахмистрова, прочитанного им спустя 40 лет после первого полёта, 20 декабря 1971 г., на заседании в Научно-мемориальном музее Н.Е.Жуковского, предложение [составного самолёта] доложили командованию ВВС и поучили одобрение. С большим интересом отнёсся к этому предложению и зам. Наркома обороны М.Н. Тухачевский. На протяжении всех наших работ мы чувствовали его внимание и помощь. Составному самолёту дали название «Звено».</w:t>
      </w:r>
    </w:p>
    <w:p w14:paraId="6F776833" w14:textId="77777777" w:rsidR="00E51240" w:rsidRPr="005E779E" w:rsidRDefault="00E51240" w:rsidP="000B7A6C">
      <w:pPr>
        <w:pStyle w:val="a3"/>
        <w:rPr>
          <w:color w:val="000000" w:themeColor="text1"/>
          <w:lang w:val="ru-RU"/>
        </w:rPr>
      </w:pPr>
      <w:r w:rsidRPr="005E779E">
        <w:rPr>
          <w:color w:val="000000" w:themeColor="text1"/>
          <w:lang w:val="ru-RU"/>
        </w:rPr>
        <w:t>Возглавил все работы по реали</w:t>
      </w:r>
      <w:r w:rsidRPr="005E779E">
        <w:rPr>
          <w:color w:val="000000" w:themeColor="text1"/>
          <w:lang w:val="ru-RU"/>
        </w:rPr>
        <w:softHyphen/>
        <w:t>зации предложения самолётный отдел НИИ ВВС, которым тогда руководил Б.Т. Горощенко и его заместитель Н.А. Жемчужин.</w:t>
      </w:r>
    </w:p>
    <w:p w14:paraId="52E56829" w14:textId="77777777" w:rsidR="00E51240" w:rsidRPr="005E779E" w:rsidRDefault="00E51240" w:rsidP="000B7A6C">
      <w:pPr>
        <w:pStyle w:val="a3"/>
        <w:rPr>
          <w:color w:val="000000" w:themeColor="text1"/>
          <w:lang w:val="ru-RU"/>
        </w:rPr>
      </w:pPr>
      <w:r w:rsidRPr="005E779E">
        <w:rPr>
          <w:color w:val="000000" w:themeColor="text1"/>
          <w:lang w:val="ru-RU"/>
        </w:rPr>
        <w:t>Исполняющий обязанности на</w:t>
      </w:r>
      <w:r w:rsidRPr="005E779E">
        <w:rPr>
          <w:color w:val="000000" w:themeColor="text1"/>
          <w:lang w:val="ru-RU"/>
        </w:rPr>
        <w:softHyphen/>
        <w:t>чальника НИИ т. Аузан также уде</w:t>
      </w:r>
      <w:r w:rsidRPr="005E779E">
        <w:rPr>
          <w:color w:val="000000" w:themeColor="text1"/>
          <w:lang w:val="ru-RU"/>
        </w:rPr>
        <w:softHyphen/>
        <w:t>лял много внимания этим работам. Разработкой тактических вопросов применения «самолёта-звена» за</w:t>
      </w:r>
      <w:r w:rsidRPr="005E779E">
        <w:rPr>
          <w:color w:val="000000" w:themeColor="text1"/>
          <w:lang w:val="ru-RU"/>
        </w:rPr>
        <w:softHyphen/>
        <w:t>нимался тактический отдел НИИ ВВС (К.И. Трунов и Н.И. Шауров). Большую помощь оказывал ЦАГИ: в группе инженера Белостоцкого производились продувки моделей. Сами модели изготавливались в мастерских Военно-Воздушной Академии модельщиками И.С. Пушкиным и С. Дружининым на базе материалов продувок. В груп</w:t>
      </w:r>
      <w:r w:rsidRPr="005E779E">
        <w:rPr>
          <w:color w:val="000000" w:themeColor="text1"/>
          <w:lang w:val="ru-RU"/>
        </w:rPr>
        <w:softHyphen/>
        <w:t>пах М.Н. Родионова и Б.А. Ново</w:t>
      </w:r>
      <w:r w:rsidRPr="005E779E">
        <w:rPr>
          <w:color w:val="000000" w:themeColor="text1"/>
          <w:lang w:val="ru-RU"/>
        </w:rPr>
        <w:softHyphen/>
        <w:t>сельского были произведены аэро</w:t>
      </w:r>
      <w:r w:rsidRPr="005E779E">
        <w:rPr>
          <w:color w:val="000000" w:themeColor="text1"/>
          <w:lang w:val="ru-RU"/>
        </w:rPr>
        <w:softHyphen/>
        <w:t xml:space="preserve">динамические расчёты, которые сделали инженеры Д.Л. Привен и </w:t>
      </w:r>
      <w:r w:rsidRPr="005E779E">
        <w:rPr>
          <w:rStyle w:val="8pt1"/>
          <w:rFonts w:ascii="Times New Roman" w:hAnsi="Times New Roman" w:cs="Times New Roman"/>
          <w:b w:val="0"/>
          <w:color w:val="000000" w:themeColor="text1"/>
          <w:spacing w:val="0"/>
          <w:lang w:val="ru-RU"/>
        </w:rPr>
        <w:t>и</w:t>
      </w:r>
      <w:r w:rsidRPr="005E779E">
        <w:rPr>
          <w:color w:val="000000" w:themeColor="text1"/>
          <w:lang w:val="ru-RU"/>
        </w:rPr>
        <w:t>.И. Никитенко, они же разрабаты</w:t>
      </w:r>
      <w:r w:rsidRPr="005E779E">
        <w:rPr>
          <w:color w:val="000000" w:themeColor="text1"/>
          <w:lang w:val="ru-RU"/>
        </w:rPr>
        <w:softHyphen/>
        <w:t>вали конструкцию креплений со</w:t>
      </w:r>
      <w:r w:rsidRPr="005E779E">
        <w:rPr>
          <w:color w:val="000000" w:themeColor="text1"/>
          <w:lang w:val="ru-RU"/>
        </w:rPr>
        <w:softHyphen/>
        <w:t>ставного самолёта.</w:t>
      </w:r>
    </w:p>
    <w:p w14:paraId="45D9BBA5" w14:textId="77777777" w:rsidR="00E51240" w:rsidRPr="005E779E" w:rsidRDefault="00E51240" w:rsidP="000B7A6C">
      <w:pPr>
        <w:pStyle w:val="a3"/>
        <w:rPr>
          <w:color w:val="000000" w:themeColor="text1"/>
          <w:lang w:val="ru-RU"/>
        </w:rPr>
      </w:pPr>
      <w:r w:rsidRPr="005E779E">
        <w:rPr>
          <w:color w:val="000000" w:themeColor="text1"/>
          <w:lang w:val="ru-RU"/>
        </w:rPr>
        <w:t>Производственные работы вы</w:t>
      </w:r>
      <w:r w:rsidRPr="005E779E">
        <w:rPr>
          <w:color w:val="000000" w:themeColor="text1"/>
          <w:lang w:val="ru-RU"/>
        </w:rPr>
        <w:softHyphen/>
        <w:t>полнялись ЗОК ЦАГИ, его возгла</w:t>
      </w:r>
      <w:r w:rsidRPr="005E779E">
        <w:rPr>
          <w:color w:val="000000" w:themeColor="text1"/>
          <w:lang w:val="ru-RU"/>
        </w:rPr>
        <w:softHyphen/>
        <w:t>влял тогда А.А. Осипов. Для конструкторских работ</w:t>
      </w:r>
      <w:r w:rsidRPr="005E779E">
        <w:rPr>
          <w:rStyle w:val="710"/>
          <w:rFonts w:ascii="Times New Roman" w:hAnsi="Times New Roman" w:cs="Times New Roman"/>
          <w:color w:val="000000" w:themeColor="text1"/>
          <w:sz w:val="16"/>
          <w:szCs w:val="16"/>
          <w:lang w:val="ru-RU"/>
        </w:rPr>
        <w:t>привлекли</w:t>
      </w:r>
      <w:r w:rsidRPr="005E779E">
        <w:rPr>
          <w:color w:val="000000" w:themeColor="text1"/>
          <w:lang w:val="ru-RU"/>
        </w:rPr>
        <w:t>студентов старших курсов МАИ.</w:t>
      </w:r>
    </w:p>
    <w:p w14:paraId="4D007F1C" w14:textId="77777777" w:rsidR="00E51240" w:rsidRPr="005E779E" w:rsidRDefault="00E51240" w:rsidP="000B7A6C">
      <w:pPr>
        <w:pStyle w:val="a3"/>
        <w:rPr>
          <w:color w:val="000000" w:themeColor="text1"/>
          <w:lang w:val="ru-RU"/>
        </w:rPr>
      </w:pPr>
      <w:r w:rsidRPr="005E779E">
        <w:rPr>
          <w:color w:val="000000" w:themeColor="text1"/>
          <w:lang w:val="ru-RU"/>
        </w:rPr>
        <w:t>За неполные 6 месяцев все рас</w:t>
      </w:r>
      <w:r w:rsidRPr="005E779E">
        <w:rPr>
          <w:color w:val="000000" w:themeColor="text1"/>
          <w:lang w:val="ru-RU"/>
        </w:rPr>
        <w:softHyphen/>
        <w:t>чётные, конструкторские работы и производство были закончены, са</w:t>
      </w:r>
      <w:r w:rsidRPr="005E779E">
        <w:rPr>
          <w:color w:val="000000" w:themeColor="text1"/>
          <w:lang w:val="ru-RU"/>
        </w:rPr>
        <w:softHyphen/>
        <w:t>молёты полностью оборудовали и подготовили к лётным испытаниям (15821).</w:t>
      </w:r>
    </w:p>
    <w:p w14:paraId="27192AAB" w14:textId="77777777" w:rsidR="00E51240" w:rsidRPr="005E779E" w:rsidRDefault="00E51240" w:rsidP="000B7A6C">
      <w:pPr>
        <w:spacing w:after="0" w:line="240" w:lineRule="auto"/>
        <w:jc w:val="both"/>
        <w:rPr>
          <w:rFonts w:ascii="Times New Roman" w:hAnsi="Times New Roman"/>
          <w:color w:val="000000" w:themeColor="text1"/>
          <w:sz w:val="16"/>
          <w:szCs w:val="16"/>
        </w:rPr>
      </w:pPr>
    </w:p>
    <w:p w14:paraId="0B869F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июне 1931 К-6 был передан в Аэрофлот для опытной эксплуатации и получил номер СССР-59. Возили матрицы Правды из Москвы в Харьков и летал П.П.Качура. Серии так и не было (70,182).</w:t>
      </w:r>
    </w:p>
    <w:p w14:paraId="4698AF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A9452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июне 1931 были завершены заводские испытания МУ-3 А.С.Москалева, который продолжил на Красном летчике работу Д.П.Г. В это время А.С.М. заболел, забросили машину и его перевели в Воронеж (99,221).</w:t>
      </w:r>
    </w:p>
    <w:p w14:paraId="573D19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E1186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июне 1931 в Москве начались испытания МР-3бис (МР-5) В.Четверикова (641,176).</w:t>
      </w:r>
    </w:p>
    <w:p w14:paraId="615686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F75C8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июня 1931 И.Ф.Петров стал начальником истребительного отдела НИИ ВВС (262,35).</w:t>
      </w:r>
    </w:p>
    <w:p w14:paraId="748ACD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BE8BD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июне 1931 предложение по составному самолету (ТБ-1 + И-4) было доложено командованию ВВС и получило одобрение и название "самолет-звено". Работы возглавил самолетный отдел НИИ ВВС под руководством Б.Т.Горощенко. Разрабатывались и тактические вопросы. ЦАГИ помогало с продувками моделей и опытными работами на ЗОК (372,88).</w:t>
      </w:r>
    </w:p>
    <w:p w14:paraId="7ABD41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98EBB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июне 1931 мину ВОМИЗА-250 на базе мины М-26, изготовленную Остехбюро, передали на войсковые испытания. В июле-октябре 1931 прошел цикл испытаний мины на Копенском озере, а затем в Коперском заливе. Мину назвали МАВ-2, но на вооружение не приняли. Потом делали МАН-1 и МАН-2, но тоже не получилось (561,14).</w:t>
      </w:r>
    </w:p>
    <w:p w14:paraId="03B777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FA7E47F" w14:textId="77777777" w:rsidR="001A3E40" w:rsidRPr="00142305" w:rsidRDefault="001A3E40" w:rsidP="001A3E4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июне 1931 г. окон</w:t>
      </w:r>
      <w:r w:rsidRPr="00142305">
        <w:rPr>
          <w:rFonts w:ascii="Times New Roman" w:hAnsi="Times New Roman"/>
          <w:color w:val="0070C0"/>
          <w:sz w:val="16"/>
          <w:szCs w:val="16"/>
        </w:rPr>
        <w:softHyphen/>
        <w:t>чательно определились с составом бом</w:t>
      </w:r>
      <w:r w:rsidRPr="00142305">
        <w:rPr>
          <w:rFonts w:ascii="Times New Roman" w:hAnsi="Times New Roman"/>
          <w:color w:val="0070C0"/>
          <w:sz w:val="16"/>
          <w:szCs w:val="16"/>
        </w:rPr>
        <w:softHyphen/>
        <w:t>бового вооружения ТБ-3. На опытном АНТ-6 монтировались только внутренние кассетные бомбодержатели Дер-9, да и те недоделанные. Но, кроме этого, самолет должен был нести еще три типа наружных держателей, которые еще предстояло изготовить.</w:t>
      </w:r>
    </w:p>
    <w:p w14:paraId="46F5B4C7" w14:textId="77777777" w:rsidR="001A3E40" w:rsidRPr="00142305" w:rsidRDefault="001A3E40" w:rsidP="001A3E4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Башни от Р-6 для установки под крыльями НИИ ВВС еще в марте пытался приобрести на заводе № 22, но там отказали - башен не хватало даже на первую серию «крейсеров». Так до июля ни одной и не получили. Впрочем, чертежей, как их монтировать, пока тоже не приготовили (24937).</w:t>
      </w:r>
    </w:p>
    <w:p w14:paraId="5B250B8F" w14:textId="77777777" w:rsidR="001A3E40" w:rsidRPr="00142305" w:rsidRDefault="001A3E40" w:rsidP="001A3E40">
      <w:pPr>
        <w:spacing w:after="0" w:line="240" w:lineRule="auto"/>
        <w:jc w:val="both"/>
        <w:rPr>
          <w:rFonts w:ascii="Times New Roman" w:hAnsi="Times New Roman"/>
          <w:color w:val="0070C0"/>
          <w:sz w:val="16"/>
          <w:szCs w:val="16"/>
        </w:rPr>
      </w:pPr>
    </w:p>
    <w:p w14:paraId="3071DA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июне 1931 после войсковых и сдаточных испытаний комиссия, назначенная нач. УВВС Я.Алкснис во главе с нач. Воздушных сил ЧМ В.К.Лавровым на первом заседании обсудила результаты проведенных сбросов высоких торпед 10/15 и указала на выявленные дефекты и дала 2 месяца на их устранение. Остехбюро должно было подготовить пять комплектов и на войсковых испытаниях хотели проверить возможность сброса до высоты 800 м. По разным причинам испытания не удалось начать ни в июле, ни в августе и они стартовали 19 сентября 1931 (1966,10).</w:t>
      </w:r>
    </w:p>
    <w:p w14:paraId="1ACF93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163A1A1" w14:textId="77777777" w:rsidR="00862F5B" w:rsidRPr="005E779E" w:rsidRDefault="00862F5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июне 1931 года в ЦАГИ было закон</w:t>
      </w:r>
      <w:r w:rsidRPr="005E779E">
        <w:rPr>
          <w:rFonts w:ascii="Times New Roman" w:hAnsi="Times New Roman"/>
          <w:color w:val="000000" w:themeColor="text1"/>
          <w:sz w:val="16"/>
          <w:szCs w:val="16"/>
        </w:rPr>
        <w:softHyphen/>
        <w:t>чено рабочее проектирование 2ЭА, а постройка и назем</w:t>
      </w:r>
      <w:r w:rsidRPr="005E779E">
        <w:rPr>
          <w:rFonts w:ascii="Times New Roman" w:hAnsi="Times New Roman"/>
          <w:color w:val="000000" w:themeColor="text1"/>
          <w:sz w:val="16"/>
          <w:szCs w:val="16"/>
        </w:rPr>
        <w:softHyphen/>
        <w:t>ная отладка в мастерских АГОСа продолжа</w:t>
      </w:r>
      <w:r w:rsidRPr="005E779E">
        <w:rPr>
          <w:rFonts w:ascii="Times New Roman" w:hAnsi="Times New Roman"/>
          <w:color w:val="000000" w:themeColor="text1"/>
          <w:sz w:val="16"/>
          <w:szCs w:val="16"/>
        </w:rPr>
        <w:softHyphen/>
        <w:t>лись до глубокой осени. К октябрьским праздникам работы завершились, и вскоре 2ЭА перевезли на аэродром. В мире автожи</w:t>
      </w:r>
      <w:r w:rsidRPr="005E779E">
        <w:rPr>
          <w:rFonts w:ascii="Times New Roman" w:hAnsi="Times New Roman"/>
          <w:color w:val="000000" w:themeColor="text1"/>
          <w:sz w:val="16"/>
          <w:szCs w:val="16"/>
        </w:rPr>
        <w:softHyphen/>
        <w:t>ры хоть и не сумели как-то заметно потеснить самолеты, но диковинкой к началу 1930-х годов уже не были. Тем не менее, даже не</w:t>
      </w:r>
      <w:r w:rsidRPr="005E779E">
        <w:rPr>
          <w:rFonts w:ascii="Times New Roman" w:hAnsi="Times New Roman"/>
          <w:color w:val="000000" w:themeColor="text1"/>
          <w:sz w:val="16"/>
          <w:szCs w:val="16"/>
        </w:rPr>
        <w:softHyphen/>
        <w:t>смотря на то, что машина ЦАГИ была третьим летающим экземпляром этой разновидности летательных аппаратов, у нас нередко в по</w:t>
      </w:r>
      <w:r w:rsidRPr="005E779E">
        <w:rPr>
          <w:rFonts w:ascii="Times New Roman" w:hAnsi="Times New Roman"/>
          <w:color w:val="000000" w:themeColor="text1"/>
          <w:sz w:val="16"/>
          <w:szCs w:val="16"/>
        </w:rPr>
        <w:softHyphen/>
        <w:t>священных 2ЭА документах термин «Авто</w:t>
      </w:r>
      <w:r w:rsidRPr="005E779E">
        <w:rPr>
          <w:rFonts w:ascii="Times New Roman" w:hAnsi="Times New Roman"/>
          <w:color w:val="000000" w:themeColor="text1"/>
          <w:sz w:val="16"/>
          <w:szCs w:val="16"/>
        </w:rPr>
        <w:softHyphen/>
        <w:t>жир» использовали как имя собственное и писали с заглавной буквы (23518).</w:t>
      </w:r>
    </w:p>
    <w:p w14:paraId="463C8976" w14:textId="77777777" w:rsidR="00862F5B" w:rsidRPr="005E779E" w:rsidRDefault="00862F5B" w:rsidP="000B7A6C">
      <w:pPr>
        <w:spacing w:after="0" w:line="240" w:lineRule="auto"/>
        <w:jc w:val="both"/>
        <w:rPr>
          <w:rFonts w:ascii="Times New Roman" w:hAnsi="Times New Roman"/>
          <w:color w:val="000000" w:themeColor="text1"/>
          <w:sz w:val="16"/>
          <w:szCs w:val="16"/>
        </w:rPr>
      </w:pPr>
    </w:p>
    <w:p w14:paraId="286A1B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июне 1931 А.П.Карпинский повторил У.Нобиле предложение возглавить советское дирижаблестроение. Сказал "вы нужны в Москве. У нас хотят строить дирижабли типа Норге и Италия. В это время получили телеграмму от Р.Л.Самайловича, предлагавшего на Малыгине идти к Замле Франца-Иосифа. Первое предложение было сделано осенью 1929, однако, официальное приглашение пришло уже после согласия Дуче, данного в октябре, в январе 1932 (1228,7).</w:t>
      </w:r>
    </w:p>
    <w:p w14:paraId="09A901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3AC4EBE" w14:textId="77777777" w:rsidR="00E51240" w:rsidRPr="005E779E" w:rsidRDefault="00E51240"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июне 1931 г. Б.С.Петропавловский пишет руководству Артиллерийского научно-исследовательского института АУ РККА о недопустимости параллельного с ГДЛ создания в различного рода учреждениях реактивных конструкций без использования опыта ГДЛ; работа не должна дублироваться и распыляться. Б.С.Петропавловский настаивает на обязательном контроле ГДЛ над всеми проектами, выполняемыми вне ГДЛ (15252).</w:t>
      </w:r>
    </w:p>
    <w:p w14:paraId="7455996D" w14:textId="77777777" w:rsidR="00E51240" w:rsidRPr="005E779E" w:rsidRDefault="00E51240" w:rsidP="000B7A6C">
      <w:pPr>
        <w:shd w:val="clear" w:color="auto" w:fill="FFFFFF"/>
        <w:spacing w:after="0" w:line="240" w:lineRule="auto"/>
        <w:jc w:val="both"/>
        <w:rPr>
          <w:rFonts w:ascii="Times New Roman" w:hAnsi="Times New Roman"/>
          <w:color w:val="000000" w:themeColor="text1"/>
          <w:sz w:val="16"/>
          <w:szCs w:val="16"/>
        </w:rPr>
      </w:pPr>
    </w:p>
    <w:p w14:paraId="2D167950" w14:textId="77777777" w:rsidR="00BB4B21" w:rsidRPr="005E779E" w:rsidRDefault="00BB4B21"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В июне 1931 в Москве проходила обучение группа, состоявшая только из командиров – девять человек. 12 июня их подняли в небо на трехмоторном АНТ-9. Прыгнули только семеро, двое подошли к дверям и вернулись.</w:t>
      </w:r>
    </w:p>
    <w:p w14:paraId="5238AC6E" w14:textId="77777777" w:rsidR="00BB4B21" w:rsidRPr="005E779E" w:rsidRDefault="00BB4B21"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Всего за 1931 г. под руководством Минова обучили 160 парашютистов, но только 97 из них относились к летному составу. Еще 71 человек прошел подготовку у П.И. Гроховского, но там учили только будущих десантников. При этом в ВВС числились 2600 летчиков и 1300 летнабов. Далее в разных местах организовали сборы, на которых готовили инструкторов; они подчинялись Парашютно-десантной службе ВВС. Следует отметить, что в этот период началось формирование первых воздушно-десантных частей, которые тогда тоже входили в структуру ВВС (21505).</w:t>
      </w:r>
    </w:p>
    <w:p w14:paraId="633BE4E8" w14:textId="77777777" w:rsidR="00BB4B21" w:rsidRPr="005E779E" w:rsidRDefault="00BB4B21" w:rsidP="000B7A6C">
      <w:pPr>
        <w:spacing w:after="0" w:line="240" w:lineRule="auto"/>
        <w:jc w:val="both"/>
        <w:rPr>
          <w:rFonts w:ascii="Times New Roman" w:hAnsi="Times New Roman"/>
          <w:color w:val="000000" w:themeColor="text1"/>
          <w:sz w:val="16"/>
          <w:szCs w:val="16"/>
          <w:shd w:val="clear" w:color="auto" w:fill="FFFFFF"/>
        </w:rPr>
      </w:pPr>
    </w:p>
    <w:p w14:paraId="691066AE" w14:textId="6827BC62" w:rsidR="00F030F3" w:rsidRPr="005E779E" w:rsidRDefault="00F030F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В июне 1931 римскую квартиру Нобиле посетил известный геолог, профессор, президент Академии наук СССР Александр Карпинский. Он приехал на международный геологический конгресс и заодно выполнил просьбу товарищей то ли из УВВС Красной армии, то ли из ведомства Гольцмана: пригласить Нобиле в Советский Союз для обстоятельной беседы. «Мы в Москве нуждаемся в вас. Мы хотим строить дирижабли такого же типа, какими были дирижабли «Норвегия» и «Италия», - сообщил советский гость.</w:t>
      </w:r>
    </w:p>
    <w:p w14:paraId="354019EC" w14:textId="77777777" w:rsidR="00F030F3" w:rsidRPr="005E779E" w:rsidRDefault="00F030F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Нобиле ответил, что был бы рад поехать в Россию, но сначала желал бы принять участие в походе на ледоколе «Малыгин» к Земле Франца-Иосифа, запланированном на вторую половину лета. Карпинский согласовал вопрос в Москве и передал утвердительный ответ. По возвращении из этой экспедиции Нобиле должен был остаться в Советском Союзе на несколько недель и основательно проконсультировать начинающих советских дирижаблестроителей.</w:t>
      </w:r>
    </w:p>
    <w:p w14:paraId="772F3E1C" w14:textId="5772F44F" w:rsidR="00F030F3" w:rsidRPr="005E779E" w:rsidRDefault="00F030F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На поезде через Финляндию он приехал сначала в Ленинград, а затем отправился в Москву, где 15 июля впервые встретился с Гольцманом, внешность которого - «тёмный цвет его лица и волос, его жёсткие вьющиеся как у негра волосы и блестящие глаза, светящиеся интеллигентностью» - произвела на Нобиле изрядное впечатление. Быть может, руководитель гражданской авиации подкупил итальянца сходством с его соотечественниками-средиземноморцами?</w:t>
      </w:r>
    </w:p>
    <w:p w14:paraId="6A6EAE08" w14:textId="77777777" w:rsidR="00F030F3" w:rsidRPr="005E779E" w:rsidRDefault="00F030F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Уже через два дня Нобиле уехал в Архангельск, к месту отправления «Малыгина». Стремясь в это плавание, он втайне надеялся получить хотя бы крупицу сведений, могущих пролить свет на судьбу пропавших членов экипажа «Италии». Если дирижабль упал где-то неподалёку от места катастрофы, его обломки могло принести дрейфующими льдами к побережью Земли Александры - одного из крайних западных островов Земли Франца-Иосифа. Шансы были ничтожны, но они были. Однако чуда не произошло - к острову не удалось даже подойти из-за сплошного льда. Спустя годы Нобиле с горечью вспоминал:</w:t>
      </w:r>
    </w:p>
    <w:p w14:paraId="33175E78" w14:textId="70136C70" w:rsidR="00F030F3" w:rsidRPr="005E779E" w:rsidRDefault="00F030F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Я думал об этом в течение целого месяца. Там была возможность найти следы нашего дирижабля, следы шести наших товарищей, которых я видел исчезающими в небе Арктики три года тому назад. В самом деле, я никогда не осмеливался сформулировать мысль, даже себе самому, о том, что была некоторая реальная надежда иметь возможность прояснить тайну их судьбы. Но была только эта возможность, и я чувствовал себя обязанным прийти туда и посмотреть там, даже если имелся к тому лишь один шанс из миллиона, чтобы разыскать что- нибудь.</w:t>
      </w:r>
    </w:p>
    <w:p w14:paraId="228FFB36" w14:textId="77777777" w:rsidR="00F030F3" w:rsidRPr="005E779E" w:rsidRDefault="00F030F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После неудачи у берегов Земли Александры плавание утратило для него всю свою привлекательность. «Оставшийся один на один со своим чувством унижения» Нобиле проделал обратный путь и к 20 августа был уже в Москве.</w:t>
      </w:r>
    </w:p>
    <w:p w14:paraId="08A50363" w14:textId="3433FA8D" w:rsidR="00F030F3" w:rsidRPr="005E779E" w:rsidRDefault="00F030F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Кстати, на ледоколе он встретил Папанина. «Низкорослый, но крепко сложённый, с круглым, румяным, улыбающимся лицом, с живыми, сверкающими умом глазами», «...весёлый южанин из Севастополя, был, несомненно, самой привлекательной и романтической фигурой на борту.».</w:t>
      </w:r>
    </w:p>
    <w:p w14:paraId="3D7FAC5B" w14:textId="1F2204A4" w:rsidR="00F030F3" w:rsidRPr="005E779E" w:rsidRDefault="00F030F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Как и было условлено, после возвращения в Москву Нобиле пробыл в СССР до 30 сентября. Всё это время он провёл в совещаниях и встречах с советскими инженерами, которых консультировал по части конструирования и производства дирижаблей различных типов, перспективным планам дирижаблестроения, строительству дирижабельных баз и вообще по всем вопросам, связанным с воздухоплаванием и дирижаблестроением (23192).</w:t>
      </w:r>
    </w:p>
    <w:p w14:paraId="484DBB1F" w14:textId="77777777" w:rsidR="00F030F3" w:rsidRPr="005E779E" w:rsidRDefault="00F030F3" w:rsidP="000B7A6C">
      <w:pPr>
        <w:autoSpaceDE w:val="0"/>
        <w:autoSpaceDN w:val="0"/>
        <w:adjustRightInd w:val="0"/>
        <w:spacing w:after="0" w:line="240" w:lineRule="auto"/>
        <w:jc w:val="both"/>
        <w:rPr>
          <w:rFonts w:ascii="Times New Roman" w:hAnsi="Times New Roman"/>
          <w:color w:val="000000" w:themeColor="text1"/>
          <w:sz w:val="16"/>
          <w:szCs w:val="16"/>
        </w:rPr>
      </w:pPr>
    </w:p>
    <w:p w14:paraId="12EBD29A" w14:textId="097E2B3F"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7BFB15EA"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A84A625" w14:textId="77777777" w:rsidR="0069396A" w:rsidRPr="005E779E" w:rsidRDefault="006939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июня 1931 г. вслед выступлением И.В. Сталина перед хозяйственным активом реализация «Шести условий т. Сталина» вылилась прежде всего во внедрение «социалистического хозрасчета». Целями этого ставились предоставление относительной самостоятельности предприятиям, формирование фондов денежных средств для обеспечения капитальных вложений, создание дополнительных стимулов к труду, а также повышение качества кадров рабочих, служащих и ИТР (18297).</w:t>
      </w:r>
    </w:p>
    <w:p w14:paraId="7DE6C842" w14:textId="77777777" w:rsidR="0069396A" w:rsidRPr="005E779E" w:rsidRDefault="0069396A" w:rsidP="000B7A6C">
      <w:pPr>
        <w:spacing w:after="0" w:line="240" w:lineRule="auto"/>
        <w:jc w:val="both"/>
        <w:rPr>
          <w:rFonts w:ascii="Times New Roman" w:hAnsi="Times New Roman"/>
          <w:color w:val="000000" w:themeColor="text1"/>
          <w:sz w:val="16"/>
          <w:szCs w:val="16"/>
        </w:rPr>
      </w:pPr>
    </w:p>
    <w:p w14:paraId="199D7E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июне 1931 АНИИ с использованием зенитной пушки обр. 1914 проводил испытания высотного прицела и Ф.Ф.Лендера, разработанного на заводе Красный Путиловец по заказу Волга (6402, 33).</w:t>
      </w:r>
    </w:p>
    <w:p w14:paraId="4A0F49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7947486" w14:textId="77777777" w:rsidR="007F6BD6" w:rsidRPr="005E779E" w:rsidRDefault="007F6BD6" w:rsidP="000B7A6C">
      <w:pPr>
        <w:pStyle w:val="ae"/>
        <w:spacing w:before="0" w:after="0"/>
        <w:jc w:val="both"/>
        <w:rPr>
          <w:color w:val="000000" w:themeColor="text1"/>
          <w:sz w:val="16"/>
          <w:szCs w:val="16"/>
        </w:rPr>
      </w:pPr>
      <w:r w:rsidRPr="005E779E">
        <w:rPr>
          <w:color w:val="000000" w:themeColor="text1"/>
          <w:sz w:val="16"/>
          <w:szCs w:val="16"/>
        </w:rPr>
        <w:t>В июне 1931 начальник опытных и исследовательских работ завода В.Г. Федоров отозван в Москву в распоряжение Орудийно-оружейно-пулеметного объединения. На его должность с 20 июня назначен заместитель начальника бюро новых конструкций стандартизации инженер А.И. Гнатенко.</w:t>
      </w:r>
    </w:p>
    <w:p w14:paraId="25470795" w14:textId="77777777" w:rsidR="007F6BD6" w:rsidRPr="005E779E" w:rsidRDefault="007F6BD6" w:rsidP="000B7A6C">
      <w:pPr>
        <w:pStyle w:val="ae"/>
        <w:spacing w:before="0" w:after="0"/>
        <w:jc w:val="both"/>
        <w:rPr>
          <w:color w:val="000000" w:themeColor="text1"/>
          <w:sz w:val="16"/>
          <w:szCs w:val="16"/>
        </w:rPr>
      </w:pPr>
      <w:r w:rsidRPr="005E779E">
        <w:rPr>
          <w:color w:val="000000" w:themeColor="text1"/>
          <w:sz w:val="16"/>
          <w:szCs w:val="16"/>
        </w:rPr>
        <w:t>В.А. Дегтярев представляет новый образец пистолета-пулемета. Особенностью его является то, что все основные детали имеют цилиндрическую поверхность, что позволяет изготавливать их на токарных станках.</w:t>
      </w:r>
    </w:p>
    <w:p w14:paraId="30FA9CDF" w14:textId="77777777" w:rsidR="007F6BD6" w:rsidRPr="005E779E" w:rsidRDefault="007F6BD6" w:rsidP="000B7A6C">
      <w:pPr>
        <w:pStyle w:val="ae"/>
        <w:spacing w:before="0" w:after="0"/>
        <w:jc w:val="both"/>
        <w:rPr>
          <w:color w:val="000000" w:themeColor="text1"/>
          <w:sz w:val="16"/>
          <w:szCs w:val="16"/>
        </w:rPr>
      </w:pPr>
      <w:r w:rsidRPr="005E779E">
        <w:rPr>
          <w:color w:val="000000" w:themeColor="text1"/>
          <w:sz w:val="16"/>
          <w:szCs w:val="16"/>
        </w:rPr>
        <w:t>Испытания крупнокалиберного пулемета Дегтярева и пулемета системы Дрейзе. Пулемет Дегтярева демонстрирует превосходство по простоте изготовления, бронепробиваемости и массе.</w:t>
      </w:r>
    </w:p>
    <w:p w14:paraId="1960E444" w14:textId="77777777" w:rsidR="007F6BD6" w:rsidRPr="005E779E" w:rsidRDefault="007F6BD6" w:rsidP="000B7A6C">
      <w:pPr>
        <w:pStyle w:val="ae"/>
        <w:spacing w:before="0" w:after="0"/>
        <w:jc w:val="both"/>
        <w:rPr>
          <w:color w:val="000000" w:themeColor="text1"/>
          <w:sz w:val="16"/>
          <w:szCs w:val="16"/>
        </w:rPr>
      </w:pPr>
      <w:r w:rsidRPr="005E779E">
        <w:rPr>
          <w:color w:val="000000" w:themeColor="text1"/>
          <w:sz w:val="16"/>
          <w:szCs w:val="16"/>
        </w:rPr>
        <w:t>Испытания облегченного станкового пулемета Дегтярева. В общем дано положительное заключение, но отмечаются отдельно недостатки, после их устранения планируется заказ первой серийной партии. Однако работа над пулеметом затягивается до 1939 года.</w:t>
      </w:r>
    </w:p>
    <w:p w14:paraId="3521C298" w14:textId="77777777" w:rsidR="007F6BD6" w:rsidRPr="005E779E" w:rsidRDefault="007F6BD6" w:rsidP="000B7A6C">
      <w:pPr>
        <w:pStyle w:val="ae"/>
        <w:spacing w:before="0" w:after="0"/>
        <w:jc w:val="both"/>
        <w:rPr>
          <w:color w:val="000000" w:themeColor="text1"/>
          <w:sz w:val="16"/>
          <w:szCs w:val="16"/>
        </w:rPr>
      </w:pPr>
      <w:r w:rsidRPr="005E779E">
        <w:rPr>
          <w:color w:val="000000" w:themeColor="text1"/>
          <w:sz w:val="16"/>
          <w:szCs w:val="16"/>
        </w:rPr>
        <w:t>Для ВВС проводилась разработка 12,7-мм пулемета ДАК-32 по схеме ДК с приемником конструкции Шпагина, противоотскоком рамы и синхронным ударно-спусковым механизмом. Изготовлен первый экземпляр пулемета.</w:t>
      </w:r>
    </w:p>
    <w:p w14:paraId="6B331C67" w14:textId="77777777" w:rsidR="007F6BD6" w:rsidRPr="005E779E" w:rsidRDefault="007F6BD6" w:rsidP="000B7A6C">
      <w:pPr>
        <w:pStyle w:val="ae"/>
        <w:spacing w:before="0" w:after="0"/>
        <w:jc w:val="both"/>
        <w:rPr>
          <w:color w:val="000000" w:themeColor="text1"/>
          <w:sz w:val="16"/>
          <w:szCs w:val="16"/>
        </w:rPr>
      </w:pPr>
      <w:r w:rsidRPr="005E779E">
        <w:rPr>
          <w:color w:val="000000" w:themeColor="text1"/>
          <w:sz w:val="16"/>
          <w:szCs w:val="16"/>
        </w:rPr>
        <w:t>Объявлен конкурс на создание автоматической винтовки.</w:t>
      </w:r>
    </w:p>
    <w:p w14:paraId="22D59DCC" w14:textId="77777777" w:rsidR="007F6BD6" w:rsidRPr="005E779E" w:rsidRDefault="007F6BD6" w:rsidP="000B7A6C">
      <w:pPr>
        <w:pStyle w:val="ae"/>
        <w:spacing w:before="0" w:after="0"/>
        <w:jc w:val="both"/>
        <w:rPr>
          <w:color w:val="000000" w:themeColor="text1"/>
          <w:sz w:val="16"/>
          <w:szCs w:val="16"/>
        </w:rPr>
      </w:pPr>
      <w:r w:rsidRPr="005E779E">
        <w:rPr>
          <w:color w:val="000000" w:themeColor="text1"/>
          <w:sz w:val="16"/>
          <w:szCs w:val="16"/>
        </w:rPr>
        <w:t>Полигонные испытания автоматических винтовок В.А. Дегтярева, Ф.В. Токарева и С. Г. Симонова. Испытания проводились на живучесть и безотказность. Это значило сделать 343 каждой винтовки не менее 10000 выстрелов. Винтовка Симонова выдержала 10340, Дегтярева - 8000, Токарева -5000 выстрелов. Побеждает созданная Симоновым автовинтовка. Принимается решение о постановке ее на производство (12221).</w:t>
      </w:r>
    </w:p>
    <w:p w14:paraId="781350AE" w14:textId="77777777" w:rsidR="007F6BD6" w:rsidRPr="005E779E" w:rsidRDefault="007F6BD6" w:rsidP="000B7A6C">
      <w:pPr>
        <w:pStyle w:val="ae"/>
        <w:spacing w:before="0" w:after="0"/>
        <w:jc w:val="both"/>
        <w:rPr>
          <w:color w:val="000000" w:themeColor="text1"/>
          <w:sz w:val="16"/>
          <w:szCs w:val="16"/>
        </w:rPr>
      </w:pPr>
    </w:p>
    <w:p w14:paraId="0B6606FB" w14:textId="77777777" w:rsidR="00B2577B" w:rsidRPr="005E779E" w:rsidRDefault="00B2577B" w:rsidP="000B7A6C">
      <w:pPr>
        <w:spacing w:after="0" w:line="240" w:lineRule="auto"/>
        <w:jc w:val="both"/>
        <w:rPr>
          <w:rFonts w:ascii="Times New Roman" w:eastAsia="TimesNewRomanPSMT" w:hAnsi="Times New Roman"/>
          <w:color w:val="000000" w:themeColor="text1"/>
          <w:sz w:val="16"/>
          <w:szCs w:val="16"/>
        </w:rPr>
      </w:pPr>
      <w:r w:rsidRPr="005E779E">
        <w:rPr>
          <w:rFonts w:ascii="Times New Roman" w:hAnsi="Times New Roman"/>
          <w:color w:val="000000" w:themeColor="text1"/>
          <w:sz w:val="16"/>
          <w:szCs w:val="16"/>
        </w:rPr>
        <w:t xml:space="preserve">В июне 1931 г. группой «Д» на рассмотрение НТК АУ был представлен проект новой конструкции газодинамического 165-мм миномета, которая предполагала увеличение дальности и меткости опытной системы посредством использования 152-мм трубы. Особенностью конструкции было увеличение толщины стенок казенной части для того, чтобы с помощью нарезки, имеющейся на наружной поверхности трубы, иметь возможность ввернуть ее в казенную часть миномета. Такая система, по предположению разработчиков, обеспечивала наибольшую дальность стрельбы до 4 500 м трофейной миной весом 19 кг. Вес системы в боевом положении составлял около 350 кг. Предложение группы «Д» было принято НТК АУ, было решено выдать ГВООПО заказ на изготовление на заводе «Большевик» одного опытного образца 152-мм трубы к 165-мм миномету (в счет снятого опытного заказа на М-А-II) в срок до 15 июля 1931 г. (№964/оп от 30 июня 1931 г., заказ «Лефортово»).285 Однако ГВООПО вернуло заказ, мотивируя это тем, что завод перегружен работой. Тогда НТК АУ обратился в адрес МПУ ВСНХ с разъяснением </w:t>
      </w:r>
      <w:r w:rsidRPr="005E779E">
        <w:rPr>
          <w:rFonts w:ascii="Times New Roman" w:hAnsi="Times New Roman"/>
          <w:color w:val="000000" w:themeColor="text1"/>
          <w:sz w:val="16"/>
          <w:szCs w:val="16"/>
        </w:rPr>
        <w:lastRenderedPageBreak/>
        <w:t>о том, что изготовление одной 152-мм трубы является весьма простой работой, и согласие на это со стороны представителей «Большевика» уже получено. В результате межведомственной переписки к концу августа 1931 г. заказ был принят ГВООПО к исполнению.28 (20074).</w:t>
      </w:r>
    </w:p>
    <w:p w14:paraId="64267D9C" w14:textId="77777777" w:rsidR="00B2577B" w:rsidRPr="005E779E" w:rsidRDefault="00B2577B" w:rsidP="000B7A6C">
      <w:pPr>
        <w:spacing w:after="0" w:line="240" w:lineRule="auto"/>
        <w:jc w:val="both"/>
        <w:rPr>
          <w:rFonts w:ascii="Times New Roman" w:eastAsia="TimesNewRomanPSMT" w:hAnsi="Times New Roman"/>
          <w:color w:val="000000" w:themeColor="text1"/>
          <w:sz w:val="16"/>
          <w:szCs w:val="16"/>
        </w:rPr>
      </w:pPr>
    </w:p>
    <w:p w14:paraId="180B1E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июне 1931 началось изготовление первого Т-19 и закончили в конце августа (4243,16).</w:t>
      </w:r>
    </w:p>
    <w:p w14:paraId="7D9F93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1005A11" w14:textId="77777777" w:rsidR="00B2577B" w:rsidRPr="005E779E" w:rsidRDefault="00B2577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июне 1931 тема танкетки Т-21 была отменен. Еще одна танкетка на базе Т-17, получившая обозначения Т-25, даже не дошла до стадии изготовления. По большому счету, это была скорее совсем другая машина, схожая только по габаритам. 2-местная боевая машина с 30-сильным мотором должна была развивать скорость до 35 км/ч (22298).</w:t>
      </w:r>
    </w:p>
    <w:p w14:paraId="058BEE82" w14:textId="77777777" w:rsidR="00B2577B" w:rsidRPr="005E779E" w:rsidRDefault="00B2577B" w:rsidP="000B7A6C">
      <w:pPr>
        <w:spacing w:after="0" w:line="240" w:lineRule="auto"/>
        <w:jc w:val="both"/>
        <w:rPr>
          <w:rFonts w:ascii="Times New Roman" w:hAnsi="Times New Roman"/>
          <w:color w:val="000000" w:themeColor="text1"/>
          <w:sz w:val="16"/>
          <w:szCs w:val="16"/>
        </w:rPr>
      </w:pPr>
    </w:p>
    <w:p w14:paraId="6DF379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июне 1931 он прошел испытания на научном инженерно-техническом полигоне РККА малый трактор, изготовленный в апреле 1931 заводом № 2 ВАТО на базе легкого танка Т-18. Из-за малого хода, маломощного двигателя и сложности в эксплуатации работы по машине прекратили (9527,211).</w:t>
      </w:r>
    </w:p>
    <w:p w14:paraId="309A33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6B38F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июне 1931 были развернуты работы по созданию легкого трактора на базе узлов и агрегатов легкого танка Т-20 и танкетки Т-23, которые прекратились осенью 1931 (9527,211).</w:t>
      </w:r>
    </w:p>
    <w:p w14:paraId="5193FB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52863A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июне и октяб</w:t>
      </w:r>
      <w:r w:rsidRPr="005E779E">
        <w:rPr>
          <w:rFonts w:ascii="Times New Roman" w:hAnsi="Times New Roman"/>
          <w:color w:val="000000" w:themeColor="text1"/>
          <w:sz w:val="16"/>
          <w:szCs w:val="16"/>
        </w:rPr>
        <w:softHyphen/>
        <w:t>ре 1931 года грузовики, известные как «Форд-Тимкен», доставлялись в Советский Союз двумя партиями и собирались на заводе «Гудок Октября» (11284).</w:t>
      </w:r>
    </w:p>
    <w:p w14:paraId="6984625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20711A" w14:textId="77777777" w:rsidR="00B2577B" w:rsidRPr="005E779E" w:rsidRDefault="00B2577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июне 1931 для сборки на заводе «Гудок Октяб</w:t>
      </w:r>
      <w:r w:rsidRPr="005E779E">
        <w:rPr>
          <w:rFonts w:ascii="Times New Roman" w:hAnsi="Times New Roman"/>
          <w:color w:val="000000" w:themeColor="text1"/>
          <w:sz w:val="16"/>
          <w:szCs w:val="16"/>
        </w:rPr>
        <w:softHyphen/>
        <w:t>ря» прибыла первая пар</w:t>
      </w:r>
      <w:r w:rsidRPr="005E779E">
        <w:rPr>
          <w:rFonts w:ascii="Times New Roman" w:hAnsi="Times New Roman"/>
          <w:color w:val="000000" w:themeColor="text1"/>
          <w:sz w:val="16"/>
          <w:szCs w:val="16"/>
        </w:rPr>
        <w:softHyphen/>
        <w:t>тия «Форд-Тимкен» (вто</w:t>
      </w:r>
      <w:r w:rsidRPr="005E779E">
        <w:rPr>
          <w:rFonts w:ascii="Times New Roman" w:hAnsi="Times New Roman"/>
          <w:color w:val="000000" w:themeColor="text1"/>
          <w:sz w:val="16"/>
          <w:szCs w:val="16"/>
        </w:rPr>
        <w:softHyphen/>
        <w:t>рая прибудет в октябре).</w:t>
      </w:r>
    </w:p>
    <w:p w14:paraId="7F9FA9BD" w14:textId="77777777" w:rsidR="00B2577B" w:rsidRPr="005E779E" w:rsidRDefault="00B2577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то же время УММ РККА считало, что для отечествен</w:t>
      </w:r>
      <w:r w:rsidRPr="005E779E">
        <w:rPr>
          <w:rFonts w:ascii="Times New Roman" w:hAnsi="Times New Roman"/>
          <w:color w:val="000000" w:themeColor="text1"/>
          <w:sz w:val="16"/>
          <w:szCs w:val="16"/>
        </w:rPr>
        <w:softHyphen/>
        <w:t>ного производства больше подходит 6-колесная мо</w:t>
      </w:r>
      <w:r w:rsidRPr="005E779E">
        <w:rPr>
          <w:rFonts w:ascii="Times New Roman" w:hAnsi="Times New Roman"/>
          <w:color w:val="000000" w:themeColor="text1"/>
          <w:sz w:val="16"/>
          <w:szCs w:val="16"/>
        </w:rPr>
        <w:softHyphen/>
        <w:t>дификация Форд-АА, разработка которой не была еще завершена, и категорически настаивало на орга</w:t>
      </w:r>
      <w:r w:rsidRPr="005E779E">
        <w:rPr>
          <w:rFonts w:ascii="Times New Roman" w:hAnsi="Times New Roman"/>
          <w:color w:val="000000" w:themeColor="text1"/>
          <w:sz w:val="16"/>
          <w:szCs w:val="16"/>
        </w:rPr>
        <w:softHyphen/>
        <w:t>низации ее производства к концу 1931 г. параллель</w:t>
      </w:r>
      <w:r w:rsidRPr="005E779E">
        <w:rPr>
          <w:rFonts w:ascii="Times New Roman" w:hAnsi="Times New Roman"/>
          <w:color w:val="000000" w:themeColor="text1"/>
          <w:sz w:val="16"/>
          <w:szCs w:val="16"/>
        </w:rPr>
        <w:softHyphen/>
        <w:t>но с пуском Нижегородского завода (22518).</w:t>
      </w:r>
    </w:p>
    <w:p w14:paraId="2B3FB9D0" w14:textId="77777777" w:rsidR="00B2577B" w:rsidRPr="005E779E" w:rsidRDefault="00B2577B" w:rsidP="000B7A6C">
      <w:pPr>
        <w:spacing w:after="0" w:line="240" w:lineRule="auto"/>
        <w:jc w:val="both"/>
        <w:rPr>
          <w:rFonts w:ascii="Times New Roman" w:hAnsi="Times New Roman"/>
          <w:color w:val="000000" w:themeColor="text1"/>
          <w:sz w:val="16"/>
          <w:szCs w:val="16"/>
        </w:rPr>
      </w:pPr>
    </w:p>
    <w:p w14:paraId="16BDD8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июне 1931 года ВСНХ принимает решение о начале строительства на базе халиловских руд и карагандинских углей крупного металлургического комбината. Сроки при этом ставятся достаточно ограниченные – полный запуск комбината запланирован на 1936 год. О том, как в следующие 5 лет шло строительство, известно мало. Геологи продолжали проводить исследования, однако реального возведения промышленного объекта черной металлургии не происходило. Одной из причин стали проволочки с проектированием. Только в 1933 году «Гипромез» и «Гипроруда» разработали проектное задание на строительство Халиловского металлургического завода. Предлагалось построить рудник, сортировочную фабрику, доменный, мартеновский и прокатный цехи. По всей видимости, в силу нехватки финансовых средств и рабочей силы, строительство было заморожено. На тот момент это не было случаем уникальным – точно также были заморожены проекты Бакальского (Челябинского) и Нижнетагильского меткомбинатов. Объективно страна не могла одновременно тянуть строительство полудюжины крупных металлургических производств (вместе с КМК, Магниткой, Азовсталью и т.п.).</w:t>
      </w:r>
    </w:p>
    <w:p w14:paraId="0C1E33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1936 году по приказу наркома тяжелой промышленности С. Орджоникидзе был создан трест «Орскхалилстрой» (с 1939 года – «Южуралтяжстрой»), которому поручалось строительство Халиловского завода. Однако на этот раз предприятие пришлось заново проектировать, поскольку речь уже шла о комбинате мощностью до 1 млн. тонн чугуна в год. Управляющим трестом был назначен С.М. Франкфурт, занимавший тогда должность уполномоченного Наркомтяжпрома по строительству в Орском районе (до этого он руководил «Кузнецкстроем»). Тем не менее, вплоть до 1938 года не решенным оставался выбор конкретной площадки под будущий комбинат и, соответственно, с контрольными цифрами царила понятная неразбериха (11540).</w:t>
      </w:r>
    </w:p>
    <w:p w14:paraId="7DA488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C237495" w14:textId="77777777" w:rsidR="0069396A" w:rsidRPr="005E779E" w:rsidRDefault="006939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июне 1931 г. было начато строительство трех заводов синтетического каучука в городах Ярославле, Воронеже и Ефремове, мощностью 10 тыс. тонн каучука в год каждый. Строительство велось исключительно быстрыми темпами, что можно показать по материалам строительства Ярославского завода СК (18298).</w:t>
      </w:r>
    </w:p>
    <w:p w14:paraId="673C39FD" w14:textId="77777777" w:rsidR="0069396A" w:rsidRPr="005E779E" w:rsidRDefault="0069396A" w:rsidP="000B7A6C">
      <w:pPr>
        <w:spacing w:after="0" w:line="240" w:lineRule="auto"/>
        <w:jc w:val="both"/>
        <w:rPr>
          <w:rFonts w:ascii="Times New Roman" w:hAnsi="Times New Roman"/>
          <w:color w:val="000000" w:themeColor="text1"/>
          <w:sz w:val="16"/>
          <w:szCs w:val="16"/>
        </w:rPr>
      </w:pPr>
    </w:p>
    <w:p w14:paraId="0C899227" w14:textId="77777777" w:rsidR="0069396A" w:rsidRPr="005E779E" w:rsidRDefault="006939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июне 1931 г. на совещании у начальника УСКА руководство ВЭО согласилось принять заказ на 1932 г. в объеме около 6400 радиостанций, отказавшись при этом от изготовления еще 581 радиоустановки. Сразу после образования ВЭСО в сентябре 1931 г. на специально созванном совещании были выработаны условия организации работы предприятий объединения по выполнению военных заказов. В соответствии с постановлением СТО от 12 октября 1931 г. задание ВЭСО было установлено в объеме 6000 раций различного типа (18297).</w:t>
      </w:r>
    </w:p>
    <w:p w14:paraId="14B8A395" w14:textId="77777777" w:rsidR="0069396A" w:rsidRPr="005E779E" w:rsidRDefault="0069396A" w:rsidP="000B7A6C">
      <w:pPr>
        <w:spacing w:after="0" w:line="240" w:lineRule="auto"/>
        <w:jc w:val="both"/>
        <w:rPr>
          <w:rFonts w:ascii="Times New Roman" w:hAnsi="Times New Roman"/>
          <w:color w:val="000000" w:themeColor="text1"/>
          <w:sz w:val="16"/>
          <w:szCs w:val="16"/>
        </w:rPr>
      </w:pPr>
    </w:p>
    <w:p w14:paraId="0A685490" w14:textId="77777777" w:rsidR="0069396A" w:rsidRPr="005E779E" w:rsidRDefault="0069396A"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Июнь 1931 г.</w:t>
      </w:r>
    </w:p>
    <w:p w14:paraId="5F80CC16" w14:textId="77777777" w:rsidR="0069396A" w:rsidRPr="005E779E" w:rsidRDefault="0069396A"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Докладная записка Л. К. Рамзина начальнику ЭКУ ОГПУ Г. Е. Прокофьеву о преимуществах котла новой конструкции. Июнь 1931 г.</w:t>
      </w:r>
    </w:p>
    <w:p w14:paraId="6B225589" w14:textId="77777777" w:rsidR="0069396A" w:rsidRPr="005E779E" w:rsidRDefault="0069396A"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Источник: </w:t>
      </w:r>
    </w:p>
    <w:p w14:paraId="1F38580A" w14:textId="77777777" w:rsidR="0069396A" w:rsidRPr="005E779E" w:rsidRDefault="006939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F96476E" w14:textId="77777777" w:rsidR="0069396A" w:rsidRPr="005E779E" w:rsidRDefault="0069396A"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Архив: </w:t>
      </w:r>
    </w:p>
    <w:p w14:paraId="533F31F5" w14:textId="77777777" w:rsidR="0069396A" w:rsidRPr="005E779E" w:rsidRDefault="006939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РГАЭ. Ф. 38. Oп. 1. Д. 2. Л. 19-13</w:t>
      </w:r>
    </w:p>
    <w:p w14:paraId="3A6C6C88" w14:textId="77777777" w:rsidR="0069396A" w:rsidRPr="005E779E" w:rsidRDefault="0069396A" w:rsidP="000B7A6C">
      <w:pPr>
        <w:pStyle w:val="rteright"/>
        <w:spacing w:before="0" w:after="0"/>
        <w:jc w:val="both"/>
        <w:rPr>
          <w:color w:val="000000" w:themeColor="text1"/>
          <w:sz w:val="16"/>
          <w:szCs w:val="16"/>
        </w:rPr>
      </w:pPr>
      <w:r w:rsidRPr="005E779E">
        <w:rPr>
          <w:color w:val="000000" w:themeColor="text1"/>
          <w:sz w:val="16"/>
          <w:szCs w:val="16"/>
        </w:rPr>
        <w:t>Июнь 1931 г.</w:t>
      </w:r>
    </w:p>
    <w:p w14:paraId="6C8C5FCA" w14:textId="77777777" w:rsidR="0069396A" w:rsidRPr="005E779E" w:rsidRDefault="0069396A" w:rsidP="000B7A6C">
      <w:pPr>
        <w:pStyle w:val="ae"/>
        <w:spacing w:before="0" w:after="0"/>
        <w:jc w:val="both"/>
        <w:rPr>
          <w:color w:val="000000" w:themeColor="text1"/>
          <w:sz w:val="16"/>
          <w:szCs w:val="16"/>
        </w:rPr>
      </w:pPr>
      <w:r w:rsidRPr="005E779E">
        <w:rPr>
          <w:color w:val="000000" w:themeColor="text1"/>
          <w:sz w:val="16"/>
          <w:szCs w:val="16"/>
        </w:rPr>
        <w:t>НАЧАЛЬНИКУ ЭКОНОМИЧЕСКОГО УПРАВЛЕНИЯ ОГПУ</w:t>
      </w:r>
    </w:p>
    <w:p w14:paraId="6043C609" w14:textId="77777777" w:rsidR="0069396A" w:rsidRPr="005E779E" w:rsidRDefault="0069396A" w:rsidP="000B7A6C">
      <w:pPr>
        <w:pStyle w:val="ae"/>
        <w:spacing w:before="0" w:after="0"/>
        <w:jc w:val="both"/>
        <w:rPr>
          <w:color w:val="000000" w:themeColor="text1"/>
          <w:sz w:val="16"/>
          <w:szCs w:val="16"/>
        </w:rPr>
      </w:pPr>
      <w:r w:rsidRPr="005E779E">
        <w:rPr>
          <w:color w:val="000000" w:themeColor="text1"/>
          <w:sz w:val="16"/>
          <w:szCs w:val="16"/>
        </w:rPr>
        <w:t>т. ПРОКОФЬЕВУ</w:t>
      </w:r>
    </w:p>
    <w:p w14:paraId="231138A3" w14:textId="77777777" w:rsidR="0069396A" w:rsidRPr="005E779E" w:rsidRDefault="0069396A" w:rsidP="000B7A6C">
      <w:pPr>
        <w:pStyle w:val="rtejustify"/>
        <w:spacing w:before="0" w:after="0"/>
        <w:rPr>
          <w:color w:val="000000" w:themeColor="text1"/>
          <w:sz w:val="16"/>
          <w:szCs w:val="16"/>
        </w:rPr>
      </w:pPr>
      <w:r w:rsidRPr="005E779E">
        <w:rPr>
          <w:color w:val="000000" w:themeColor="text1"/>
          <w:sz w:val="16"/>
          <w:szCs w:val="16"/>
        </w:rPr>
        <w:t>Великий лозунг — догнать и перегнать технику капиталистических стран может быть осуществлен советской промышленностью в весьма короткие сроки, если последняя в своей реконструкции будет переходить прямо к технике завтрашнего дня, перешагивая через промежуточные, переходные этапы развития мировой техники, сильно замедляющие темп ее развития, вследствие консервативного, задерживающего влияния уже имеющегося оборудования заводов, приспособленного к существующим типам и конструкциям машин, ибо переход к новой конструкции требует коренной ломки оборудования заводов и крупных капиталовложений.</w:t>
      </w:r>
    </w:p>
    <w:p w14:paraId="66B6983C" w14:textId="77777777" w:rsidR="0069396A" w:rsidRPr="005E779E" w:rsidRDefault="0069396A" w:rsidP="000B7A6C">
      <w:pPr>
        <w:pStyle w:val="rtejustify"/>
        <w:spacing w:before="0" w:after="0"/>
        <w:rPr>
          <w:color w:val="000000" w:themeColor="text1"/>
          <w:sz w:val="16"/>
          <w:szCs w:val="16"/>
        </w:rPr>
      </w:pPr>
      <w:r w:rsidRPr="005E779E">
        <w:rPr>
          <w:color w:val="000000" w:themeColor="text1"/>
          <w:sz w:val="16"/>
          <w:szCs w:val="16"/>
        </w:rPr>
        <w:t>В этом отношении советская промышленность находится в более благоприятном положении, выгоды которого можно и должно всемерно использовать.</w:t>
      </w:r>
    </w:p>
    <w:p w14:paraId="05FB1988" w14:textId="77777777" w:rsidR="0069396A" w:rsidRPr="005E779E" w:rsidRDefault="0069396A" w:rsidP="000B7A6C">
      <w:pPr>
        <w:pStyle w:val="rtejustify"/>
        <w:spacing w:before="0" w:after="0"/>
        <w:rPr>
          <w:color w:val="000000" w:themeColor="text1"/>
          <w:sz w:val="16"/>
          <w:szCs w:val="16"/>
        </w:rPr>
      </w:pPr>
      <w:r w:rsidRPr="005E779E">
        <w:rPr>
          <w:color w:val="000000" w:themeColor="text1"/>
          <w:sz w:val="16"/>
          <w:szCs w:val="16"/>
        </w:rPr>
        <w:t>Особенно отстала наша промышленность в производстве энергетического оборудования, и прежде всего котельных агрегатов, представляющих основу современных теплосиловых установок, ибо ок. 50 % всей стоимости современной электростанции составляет котельная установка.</w:t>
      </w:r>
    </w:p>
    <w:p w14:paraId="0D0F20D2" w14:textId="77777777" w:rsidR="0069396A" w:rsidRPr="005E779E" w:rsidRDefault="0069396A" w:rsidP="000B7A6C">
      <w:pPr>
        <w:pStyle w:val="rtejustify"/>
        <w:spacing w:before="0" w:after="0"/>
        <w:rPr>
          <w:color w:val="000000" w:themeColor="text1"/>
          <w:sz w:val="16"/>
          <w:szCs w:val="16"/>
        </w:rPr>
      </w:pPr>
      <w:r w:rsidRPr="005E779E">
        <w:rPr>
          <w:color w:val="000000" w:themeColor="text1"/>
          <w:sz w:val="16"/>
          <w:szCs w:val="16"/>
        </w:rPr>
        <w:t>Котлы и их принадлежности, производимые советскими заводами, отмечаются устарелостью конструкций, крайне малы по мощности, строятся лишь на низкие давления, требуют громадного расхода металла и совершенно не отвечают потребностям бурно растущей энергетики страны ни по количеству[,] ни по качеству выпускаемых котлов. Вместе с тем наше котлостроение находится в громадной зависимости от заграницы ибо[,] помимо ввоза большого количества комплектных заграничных котлов[,] целый ряд деталей котлов, как-то цельнокованые барабаны, коробки перегревателей, змеевидные секции котлов, грязевики, арматура и даже кипятильные трубки так же в больших количествах ввозятся из загранитты. так что для многих котлов «советского производства» этот термин совершено неправилен, ибо котел лишь собирается на советских заводах, почти целиком состоя из импортных частей и материалов.</w:t>
      </w:r>
    </w:p>
    <w:p w14:paraId="186AC46D" w14:textId="77777777" w:rsidR="0069396A" w:rsidRPr="005E779E" w:rsidRDefault="0069396A" w:rsidP="000B7A6C">
      <w:pPr>
        <w:pStyle w:val="rtejustify"/>
        <w:spacing w:before="0" w:after="0"/>
        <w:rPr>
          <w:color w:val="000000" w:themeColor="text1"/>
          <w:sz w:val="16"/>
          <w:szCs w:val="16"/>
        </w:rPr>
      </w:pPr>
      <w:r w:rsidRPr="005E779E">
        <w:rPr>
          <w:color w:val="000000" w:themeColor="text1"/>
          <w:sz w:val="16"/>
          <w:szCs w:val="16"/>
        </w:rPr>
        <w:t>На конец пятилетки намечается колоссальная программа развития котлостроения до 1 мил. кв. метров в год, которая потребует громадных капитальных затрат на оборудование котельных и металлургических заводов, а также и колоссального расхода металла на постройку опять устаревших типов котлов, которые уже бросила, бросает или завтра оставит мировая техника, почему к моменту их окончания котельные заводы окажутся уже устаревшими: их неизбежно придется переделывать, приспосабливая к новым типам котлов, ибо намеченные типы с громадным метражем и весом металла будут явно невыгодны и неприемлемы для социалистического хозяйства.</w:t>
      </w:r>
    </w:p>
    <w:p w14:paraId="52FE3C8C" w14:textId="77777777" w:rsidR="0069396A" w:rsidRPr="005E779E" w:rsidRDefault="0069396A" w:rsidP="000B7A6C">
      <w:pPr>
        <w:pStyle w:val="rtejustify"/>
        <w:spacing w:before="0" w:after="0"/>
        <w:rPr>
          <w:color w:val="000000" w:themeColor="text1"/>
          <w:sz w:val="16"/>
          <w:szCs w:val="16"/>
        </w:rPr>
      </w:pPr>
      <w:r w:rsidRPr="005E779E">
        <w:rPr>
          <w:color w:val="000000" w:themeColor="text1"/>
          <w:sz w:val="16"/>
          <w:szCs w:val="16"/>
        </w:rPr>
        <w:t>Чтобы не пропали напрасно большие капиталовложения, чтобы не терять темпа и не отставать безнадежно от мирового котлостроения, необходимо теперь же немедленно перейти на новую технику в котельном деле, и строиться на производство тех типов котлов, к которым уже подходит и скоро придет мировая техника. Тогда через 1</w:t>
      </w:r>
      <w:r w:rsidRPr="005E779E">
        <w:rPr>
          <w:color w:val="000000" w:themeColor="text1"/>
          <w:sz w:val="16"/>
          <w:szCs w:val="16"/>
          <w:vertAlign w:val="superscript"/>
        </w:rPr>
        <w:t>1</w:t>
      </w:r>
      <w:r w:rsidRPr="005E779E">
        <w:rPr>
          <w:color w:val="000000" w:themeColor="text1"/>
          <w:sz w:val="16"/>
          <w:szCs w:val="16"/>
        </w:rPr>
        <w:t>/</w:t>
      </w:r>
      <w:r w:rsidRPr="005E779E">
        <w:rPr>
          <w:color w:val="000000" w:themeColor="text1"/>
          <w:sz w:val="16"/>
          <w:szCs w:val="16"/>
          <w:vertAlign w:val="subscript"/>
        </w:rPr>
        <w:t>2</w:t>
      </w:r>
      <w:r w:rsidRPr="005E779E">
        <w:rPr>
          <w:color w:val="000000" w:themeColor="text1"/>
          <w:sz w:val="16"/>
          <w:szCs w:val="16"/>
        </w:rPr>
        <w:t>-2 года мы уже сможем смело сказать, что в основной отрасли энергооборудования — в котлостроении, мы не только догнали, а уже сильно перегнали мировую технику.</w:t>
      </w:r>
    </w:p>
    <w:p w14:paraId="7E65B47A" w14:textId="77777777" w:rsidR="0069396A" w:rsidRPr="005E779E" w:rsidRDefault="0069396A" w:rsidP="000B7A6C">
      <w:pPr>
        <w:pStyle w:val="rtejustify"/>
        <w:spacing w:before="0" w:after="0"/>
        <w:rPr>
          <w:color w:val="000000" w:themeColor="text1"/>
          <w:sz w:val="16"/>
          <w:szCs w:val="16"/>
        </w:rPr>
      </w:pPr>
      <w:r w:rsidRPr="005E779E">
        <w:rPr>
          <w:color w:val="000000" w:themeColor="text1"/>
          <w:sz w:val="16"/>
          <w:szCs w:val="16"/>
        </w:rPr>
        <w:t>Более 20-ти лет занимаясь вопросами теплотехники и в частности паровыми котлами, я разработал и рас[с]читал новый тип парового котла, работающий на совершенно ином принципе, чем теперешние котлы. Прежде всего, в моем котле совершенно отсутствуют барабаны, представляющие самую тяжелую и дорогую часть котла, особенно при высоких давлениях[,] когда вес и стоимость барабанов доходит до 75 % от стоимости всего котла; кроме того, до сих пор все цельнокованые барабаны (на давления в 30-35 [ат.] и выше) ввозились из заграницы, ибо производство их весьма сложн[о].</w:t>
      </w:r>
    </w:p>
    <w:p w14:paraId="1EC9A28F" w14:textId="77777777" w:rsidR="0069396A" w:rsidRPr="005E779E" w:rsidRDefault="0069396A" w:rsidP="000B7A6C">
      <w:pPr>
        <w:pStyle w:val="rtejustify"/>
        <w:spacing w:before="0" w:after="0"/>
        <w:rPr>
          <w:color w:val="000000" w:themeColor="text1"/>
          <w:sz w:val="16"/>
          <w:szCs w:val="16"/>
        </w:rPr>
      </w:pPr>
      <w:r w:rsidRPr="005E779E">
        <w:rPr>
          <w:color w:val="000000" w:themeColor="text1"/>
          <w:sz w:val="16"/>
          <w:szCs w:val="16"/>
        </w:rPr>
        <w:t>Далее в своем котле, путем систематического применения всех научных достижений мне удалось довести паронапряжение до 1.000 кг в час на 1 кв. м эффективной поверхности нагрева, в то время как наши современные советские котлы дают лишь 25-60 кг, а рекордные заграничные котлы не более 100-150 кг.</w:t>
      </w:r>
    </w:p>
    <w:p w14:paraId="386E13B4" w14:textId="77777777" w:rsidR="0069396A" w:rsidRPr="005E779E" w:rsidRDefault="0069396A" w:rsidP="000B7A6C">
      <w:pPr>
        <w:pStyle w:val="rtejustify"/>
        <w:spacing w:before="0" w:after="0"/>
        <w:rPr>
          <w:color w:val="000000" w:themeColor="text1"/>
          <w:sz w:val="16"/>
          <w:szCs w:val="16"/>
        </w:rPr>
      </w:pPr>
      <w:r w:rsidRPr="005E779E">
        <w:rPr>
          <w:color w:val="000000" w:themeColor="text1"/>
          <w:sz w:val="16"/>
          <w:szCs w:val="16"/>
        </w:rPr>
        <w:t>Мой котел целиком состоит лишь из тонких трубок, совершенно безопасен в смысле взрыва, крайне легок, компактен и пригоден для любого давления[,] начиная с 25 ат. и до 200 ат. и выше, полностью разрешая задачу высоких давлений; и в то же время мой котел крайне прост по конструкции, доступен для изготовления любому, даже слабому заводу, и целиком освобождает советскую промышленность от импорта.</w:t>
      </w:r>
    </w:p>
    <w:p w14:paraId="71F6AC5D" w14:textId="77777777" w:rsidR="0069396A" w:rsidRPr="005E779E" w:rsidRDefault="0069396A" w:rsidP="000B7A6C">
      <w:pPr>
        <w:pStyle w:val="rtejustify"/>
        <w:spacing w:before="0" w:after="0"/>
        <w:rPr>
          <w:color w:val="000000" w:themeColor="text1"/>
          <w:sz w:val="16"/>
          <w:szCs w:val="16"/>
        </w:rPr>
      </w:pPr>
      <w:r w:rsidRPr="005E779E">
        <w:rPr>
          <w:color w:val="000000" w:themeColor="text1"/>
          <w:sz w:val="16"/>
          <w:szCs w:val="16"/>
        </w:rPr>
        <w:lastRenderedPageBreak/>
        <w:t>Для характеристики моего котла по сравнению с существующими можно дать следующие приблизительные цифры при одинаковой паропроизводительности 100 тн/час при 140 ат.</w:t>
      </w:r>
    </w:p>
    <w:tbl>
      <w:tblPr>
        <w:tblpPr w:leftFromText="45" w:rightFromText="45" w:vertAnchor="text"/>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73"/>
        <w:gridCol w:w="582"/>
        <w:gridCol w:w="1313"/>
        <w:gridCol w:w="2109"/>
      </w:tblGrid>
      <w:tr w:rsidR="001002C3" w:rsidRPr="005E779E" w14:paraId="5009A823"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1F3F7308" w14:textId="77777777" w:rsidR="0069396A" w:rsidRPr="005E779E" w:rsidRDefault="0069396A" w:rsidP="000B7A6C">
            <w:pPr>
              <w:pStyle w:val="rtecenter"/>
              <w:spacing w:before="0" w:after="0"/>
              <w:jc w:val="both"/>
              <w:rPr>
                <w:color w:val="000000" w:themeColor="text1"/>
                <w:sz w:val="16"/>
                <w:szCs w:val="16"/>
              </w:rPr>
            </w:pPr>
            <w:r w:rsidRPr="005E779E">
              <w:rPr>
                <w:color w:val="000000" w:themeColor="text1"/>
                <w:sz w:val="16"/>
                <w:szCs w:val="16"/>
              </w:rPr>
              <w:t>Тип котла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02CCE80" w14:textId="77777777" w:rsidR="0069396A" w:rsidRPr="005E779E" w:rsidRDefault="0069396A" w:rsidP="000B7A6C">
            <w:pPr>
              <w:pStyle w:val="rtecenter"/>
              <w:spacing w:before="0" w:after="0"/>
              <w:jc w:val="both"/>
              <w:rPr>
                <w:color w:val="000000" w:themeColor="text1"/>
                <w:sz w:val="16"/>
                <w:szCs w:val="16"/>
              </w:rPr>
            </w:pPr>
            <w:r w:rsidRPr="005E779E">
              <w:rPr>
                <w:color w:val="000000" w:themeColor="text1"/>
                <w:sz w:val="16"/>
                <w:szCs w:val="16"/>
              </w:rPr>
              <w:t>Рамзина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AE11D" w14:textId="77777777" w:rsidR="0069396A" w:rsidRPr="005E779E" w:rsidRDefault="0069396A" w:rsidP="000B7A6C">
            <w:pPr>
              <w:pStyle w:val="rtecenter"/>
              <w:spacing w:before="0" w:after="0"/>
              <w:jc w:val="both"/>
              <w:rPr>
                <w:color w:val="000000" w:themeColor="text1"/>
                <w:sz w:val="16"/>
                <w:szCs w:val="16"/>
              </w:rPr>
            </w:pPr>
            <w:r w:rsidRPr="005E779E">
              <w:rPr>
                <w:color w:val="000000" w:themeColor="text1"/>
                <w:sz w:val="16"/>
                <w:szCs w:val="16"/>
              </w:rPr>
              <w:t>Бабкок и Вилькокс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09ADC7F" w14:textId="77777777" w:rsidR="0069396A" w:rsidRPr="005E779E" w:rsidRDefault="0069396A" w:rsidP="000B7A6C">
            <w:pPr>
              <w:pStyle w:val="rtecenter"/>
              <w:spacing w:before="0" w:after="0"/>
              <w:jc w:val="both"/>
              <w:rPr>
                <w:color w:val="000000" w:themeColor="text1"/>
                <w:sz w:val="16"/>
                <w:szCs w:val="16"/>
              </w:rPr>
            </w:pPr>
            <w:r w:rsidRPr="005E779E">
              <w:rPr>
                <w:color w:val="000000" w:themeColor="text1"/>
                <w:sz w:val="16"/>
                <w:szCs w:val="16"/>
              </w:rPr>
              <w:t>Вертикальный 3[-]барабанный</w:t>
            </w:r>
          </w:p>
        </w:tc>
      </w:tr>
      <w:tr w:rsidR="001002C3" w:rsidRPr="005E779E" w14:paraId="4A8130B8"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1D8422CE" w14:textId="77777777" w:rsidR="0069396A" w:rsidRPr="005E779E" w:rsidRDefault="0069396A" w:rsidP="000B7A6C">
            <w:pPr>
              <w:pStyle w:val="ae"/>
              <w:spacing w:before="0" w:after="0"/>
              <w:jc w:val="both"/>
              <w:rPr>
                <w:color w:val="000000" w:themeColor="text1"/>
                <w:sz w:val="16"/>
                <w:szCs w:val="16"/>
              </w:rPr>
            </w:pPr>
            <w:r w:rsidRPr="005E779E">
              <w:rPr>
                <w:color w:val="000000" w:themeColor="text1"/>
                <w:sz w:val="16"/>
                <w:szCs w:val="16"/>
              </w:rPr>
              <w:t>Поверхность нагрева полная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13800D7" w14:textId="77777777" w:rsidR="0069396A" w:rsidRPr="005E779E" w:rsidRDefault="0069396A" w:rsidP="000B7A6C">
            <w:pPr>
              <w:pStyle w:val="ae"/>
              <w:spacing w:before="0" w:after="0"/>
              <w:jc w:val="both"/>
              <w:rPr>
                <w:color w:val="000000" w:themeColor="text1"/>
                <w:sz w:val="16"/>
                <w:szCs w:val="16"/>
              </w:rPr>
            </w:pPr>
            <w:r w:rsidRPr="005E779E">
              <w:rPr>
                <w:color w:val="000000" w:themeColor="text1"/>
                <w:sz w:val="16"/>
                <w:szCs w:val="16"/>
              </w:rPr>
              <w:t>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85274D" w14:textId="77777777" w:rsidR="0069396A" w:rsidRPr="005E779E" w:rsidRDefault="0069396A" w:rsidP="000B7A6C">
            <w:pPr>
              <w:pStyle w:val="ae"/>
              <w:spacing w:before="0" w:after="0"/>
              <w:jc w:val="both"/>
              <w:rPr>
                <w:color w:val="000000" w:themeColor="text1"/>
                <w:sz w:val="16"/>
                <w:szCs w:val="16"/>
              </w:rPr>
            </w:pPr>
            <w:r w:rsidRPr="005E779E">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417DBA" w14:textId="77777777" w:rsidR="0069396A" w:rsidRPr="005E779E" w:rsidRDefault="0069396A" w:rsidP="000B7A6C">
            <w:pPr>
              <w:pStyle w:val="rtecenter"/>
              <w:spacing w:before="0" w:after="0"/>
              <w:jc w:val="both"/>
              <w:rPr>
                <w:color w:val="000000" w:themeColor="text1"/>
                <w:sz w:val="16"/>
                <w:szCs w:val="16"/>
              </w:rPr>
            </w:pPr>
            <w:r w:rsidRPr="005E779E">
              <w:rPr>
                <w:color w:val="000000" w:themeColor="text1"/>
                <w:sz w:val="16"/>
                <w:szCs w:val="16"/>
              </w:rPr>
              <w:t>1000 КВ. м.</w:t>
            </w:r>
          </w:p>
        </w:tc>
      </w:tr>
      <w:tr w:rsidR="001002C3" w:rsidRPr="005E779E" w14:paraId="4A198614"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5936EF44" w14:textId="77777777" w:rsidR="0069396A" w:rsidRPr="005E779E" w:rsidRDefault="0069396A" w:rsidP="000B7A6C">
            <w:pPr>
              <w:pStyle w:val="ae"/>
              <w:spacing w:before="0" w:after="0"/>
              <w:jc w:val="both"/>
              <w:rPr>
                <w:color w:val="000000" w:themeColor="text1"/>
                <w:sz w:val="16"/>
                <w:szCs w:val="16"/>
              </w:rPr>
            </w:pPr>
            <w:r w:rsidRPr="005E779E">
              <w:rPr>
                <w:color w:val="000000" w:themeColor="text1"/>
                <w:sz w:val="16"/>
                <w:szCs w:val="16"/>
              </w:rPr>
              <w:t>Вес котла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B85D72D" w14:textId="77777777" w:rsidR="0069396A" w:rsidRPr="005E779E" w:rsidRDefault="0069396A" w:rsidP="000B7A6C">
            <w:pPr>
              <w:pStyle w:val="ae"/>
              <w:spacing w:before="0" w:after="0"/>
              <w:jc w:val="both"/>
              <w:rPr>
                <w:color w:val="000000" w:themeColor="text1"/>
                <w:sz w:val="16"/>
                <w:szCs w:val="16"/>
              </w:rPr>
            </w:pPr>
            <w:r w:rsidRPr="005E779E">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9C9A29" w14:textId="77777777" w:rsidR="0069396A" w:rsidRPr="005E779E" w:rsidRDefault="0069396A" w:rsidP="000B7A6C">
            <w:pPr>
              <w:pStyle w:val="ae"/>
              <w:spacing w:before="0" w:after="0"/>
              <w:jc w:val="both"/>
              <w:rPr>
                <w:color w:val="000000" w:themeColor="text1"/>
                <w:sz w:val="16"/>
                <w:szCs w:val="16"/>
              </w:rPr>
            </w:pPr>
            <w:r w:rsidRPr="005E779E">
              <w:rPr>
                <w:color w:val="000000" w:themeColor="text1"/>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D2F54E" w14:textId="77777777" w:rsidR="0069396A" w:rsidRPr="005E779E" w:rsidRDefault="0069396A" w:rsidP="000B7A6C">
            <w:pPr>
              <w:pStyle w:val="rtecenter"/>
              <w:spacing w:before="0" w:after="0"/>
              <w:jc w:val="both"/>
              <w:rPr>
                <w:color w:val="000000" w:themeColor="text1"/>
                <w:sz w:val="16"/>
                <w:szCs w:val="16"/>
              </w:rPr>
            </w:pPr>
            <w:r w:rsidRPr="005E779E">
              <w:rPr>
                <w:color w:val="000000" w:themeColor="text1"/>
                <w:sz w:val="16"/>
                <w:szCs w:val="16"/>
              </w:rPr>
              <w:t>200 тн.</w:t>
            </w:r>
          </w:p>
        </w:tc>
      </w:tr>
      <w:tr w:rsidR="001002C3" w:rsidRPr="005E779E" w14:paraId="03A31408"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503997D0" w14:textId="77777777" w:rsidR="0069396A" w:rsidRPr="005E779E" w:rsidRDefault="0069396A" w:rsidP="000B7A6C">
            <w:pPr>
              <w:pStyle w:val="ae"/>
              <w:spacing w:before="0" w:after="0"/>
              <w:jc w:val="both"/>
              <w:rPr>
                <w:color w:val="000000" w:themeColor="text1"/>
                <w:sz w:val="16"/>
                <w:szCs w:val="16"/>
              </w:rPr>
            </w:pPr>
            <w:r w:rsidRPr="005E779E">
              <w:rPr>
                <w:color w:val="000000" w:themeColor="text1"/>
                <w:sz w:val="16"/>
                <w:szCs w:val="16"/>
              </w:rPr>
              <w:t>В том числе вес барабанов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C81EBA4" w14:textId="77777777" w:rsidR="0069396A" w:rsidRPr="005E779E" w:rsidRDefault="0069396A" w:rsidP="000B7A6C">
            <w:pPr>
              <w:pStyle w:val="ae"/>
              <w:spacing w:before="0" w:after="0"/>
              <w:jc w:val="both"/>
              <w:rPr>
                <w:color w:val="000000" w:themeColor="text1"/>
                <w:sz w:val="16"/>
                <w:szCs w:val="16"/>
              </w:rPr>
            </w:pPr>
            <w:r w:rsidRPr="005E779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39CDB1" w14:textId="77777777" w:rsidR="0069396A" w:rsidRPr="005E779E" w:rsidRDefault="0069396A" w:rsidP="000B7A6C">
            <w:pPr>
              <w:pStyle w:val="ae"/>
              <w:spacing w:before="0" w:after="0"/>
              <w:jc w:val="both"/>
              <w:rPr>
                <w:color w:val="000000" w:themeColor="text1"/>
                <w:sz w:val="16"/>
                <w:szCs w:val="16"/>
              </w:rPr>
            </w:pPr>
            <w:r w:rsidRPr="005E779E">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794D458" w14:textId="77777777" w:rsidR="0069396A" w:rsidRPr="005E779E" w:rsidRDefault="0069396A" w:rsidP="000B7A6C">
            <w:pPr>
              <w:pStyle w:val="rtecenter"/>
              <w:spacing w:before="0" w:after="0"/>
              <w:jc w:val="both"/>
              <w:rPr>
                <w:color w:val="000000" w:themeColor="text1"/>
                <w:sz w:val="16"/>
                <w:szCs w:val="16"/>
              </w:rPr>
            </w:pPr>
            <w:r w:rsidRPr="005E779E">
              <w:rPr>
                <w:color w:val="000000" w:themeColor="text1"/>
                <w:sz w:val="16"/>
                <w:szCs w:val="16"/>
              </w:rPr>
              <w:t>150 тн.</w:t>
            </w:r>
          </w:p>
        </w:tc>
      </w:tr>
      <w:tr w:rsidR="001002C3" w:rsidRPr="005E779E" w14:paraId="644D7306"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22442524" w14:textId="77777777" w:rsidR="0069396A" w:rsidRPr="005E779E" w:rsidRDefault="0069396A" w:rsidP="000B7A6C">
            <w:pPr>
              <w:pStyle w:val="ae"/>
              <w:spacing w:before="0" w:after="0"/>
              <w:jc w:val="both"/>
              <w:rPr>
                <w:color w:val="000000" w:themeColor="text1"/>
                <w:sz w:val="16"/>
                <w:szCs w:val="16"/>
              </w:rPr>
            </w:pPr>
            <w:r w:rsidRPr="005E779E">
              <w:rPr>
                <w:color w:val="000000" w:themeColor="text1"/>
                <w:sz w:val="16"/>
                <w:szCs w:val="16"/>
              </w:rPr>
              <w:t>Себестоимость котла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B518C54" w14:textId="77777777" w:rsidR="0069396A" w:rsidRPr="005E779E" w:rsidRDefault="0069396A" w:rsidP="000B7A6C">
            <w:pPr>
              <w:pStyle w:val="ae"/>
              <w:spacing w:before="0" w:after="0"/>
              <w:jc w:val="both"/>
              <w:rPr>
                <w:color w:val="000000" w:themeColor="text1"/>
                <w:sz w:val="16"/>
                <w:szCs w:val="16"/>
              </w:rPr>
            </w:pPr>
            <w:r w:rsidRPr="005E779E">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813978" w14:textId="77777777" w:rsidR="0069396A" w:rsidRPr="005E779E" w:rsidRDefault="0069396A" w:rsidP="000B7A6C">
            <w:pPr>
              <w:pStyle w:val="ae"/>
              <w:spacing w:before="0" w:after="0"/>
              <w:jc w:val="both"/>
              <w:rPr>
                <w:color w:val="000000" w:themeColor="text1"/>
                <w:sz w:val="16"/>
                <w:szCs w:val="16"/>
              </w:rPr>
            </w:pPr>
            <w:r w:rsidRPr="005E779E">
              <w:rPr>
                <w:color w:val="000000" w:themeColor="text1"/>
                <w:sz w:val="16"/>
                <w:szCs w:val="16"/>
              </w:rPr>
              <w:t>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86B152" w14:textId="77777777" w:rsidR="0069396A" w:rsidRPr="005E779E" w:rsidRDefault="0069396A" w:rsidP="000B7A6C">
            <w:pPr>
              <w:pStyle w:val="rtecenter"/>
              <w:spacing w:before="0" w:after="0"/>
              <w:jc w:val="both"/>
              <w:rPr>
                <w:color w:val="000000" w:themeColor="text1"/>
                <w:sz w:val="16"/>
                <w:szCs w:val="16"/>
              </w:rPr>
            </w:pPr>
            <w:r w:rsidRPr="005E779E">
              <w:rPr>
                <w:color w:val="000000" w:themeColor="text1"/>
                <w:sz w:val="16"/>
                <w:szCs w:val="16"/>
              </w:rPr>
              <w:t>320 тыс. руб.</w:t>
            </w:r>
          </w:p>
        </w:tc>
      </w:tr>
    </w:tbl>
    <w:p w14:paraId="0A429E06" w14:textId="77777777" w:rsidR="0069396A" w:rsidRPr="005E779E" w:rsidRDefault="006939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38B514C9" w14:textId="77777777" w:rsidR="0069396A" w:rsidRPr="005E779E" w:rsidRDefault="006939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15EB3D3C" w14:textId="77777777" w:rsidR="0069396A" w:rsidRPr="005E779E" w:rsidRDefault="006939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7C98F4F2" w14:textId="77777777" w:rsidR="0069396A" w:rsidRPr="005E779E" w:rsidRDefault="006939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12F9D311" w14:textId="77777777" w:rsidR="0069396A" w:rsidRPr="005E779E" w:rsidRDefault="006939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1522DD10" w14:textId="77777777" w:rsidR="0069396A" w:rsidRPr="005E779E" w:rsidRDefault="006939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758776E4" w14:textId="77777777" w:rsidR="0069396A" w:rsidRPr="005E779E" w:rsidRDefault="006939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Таким образом мой котел дает[:]</w:t>
      </w:r>
    </w:p>
    <w:p w14:paraId="68E8FEFD" w14:textId="77777777" w:rsidR="0069396A" w:rsidRPr="005E779E" w:rsidRDefault="0069396A" w:rsidP="000B7A6C">
      <w:pPr>
        <w:pStyle w:val="rtejustify"/>
        <w:spacing w:before="0" w:after="0"/>
        <w:rPr>
          <w:color w:val="000000" w:themeColor="text1"/>
          <w:sz w:val="16"/>
          <w:szCs w:val="16"/>
        </w:rPr>
      </w:pPr>
      <w:r w:rsidRPr="005E779E">
        <w:rPr>
          <w:color w:val="000000" w:themeColor="text1"/>
          <w:sz w:val="16"/>
          <w:szCs w:val="16"/>
        </w:rPr>
        <w:t>Экономию металла в 13-20 раз.</w:t>
      </w:r>
    </w:p>
    <w:p w14:paraId="4D8B1AFB" w14:textId="77777777" w:rsidR="0069396A" w:rsidRPr="005E779E" w:rsidRDefault="0069396A" w:rsidP="000B7A6C">
      <w:pPr>
        <w:pStyle w:val="rtejustify"/>
        <w:spacing w:before="0" w:after="0"/>
        <w:rPr>
          <w:color w:val="000000" w:themeColor="text1"/>
          <w:sz w:val="16"/>
          <w:szCs w:val="16"/>
        </w:rPr>
      </w:pPr>
      <w:r w:rsidRPr="005E779E">
        <w:rPr>
          <w:color w:val="000000" w:themeColor="text1"/>
          <w:sz w:val="16"/>
          <w:szCs w:val="16"/>
        </w:rPr>
        <w:t>- ” — в себестоимости в 11-16 раз.</w:t>
      </w:r>
    </w:p>
    <w:p w14:paraId="6C96FEAD" w14:textId="77777777" w:rsidR="0069396A" w:rsidRPr="005E779E" w:rsidRDefault="0069396A" w:rsidP="000B7A6C">
      <w:pPr>
        <w:pStyle w:val="rtejustify"/>
        <w:spacing w:before="0" w:after="0"/>
        <w:rPr>
          <w:color w:val="000000" w:themeColor="text1"/>
          <w:sz w:val="16"/>
          <w:szCs w:val="16"/>
        </w:rPr>
      </w:pPr>
      <w:r w:rsidRPr="005E779E">
        <w:rPr>
          <w:color w:val="000000" w:themeColor="text1"/>
          <w:sz w:val="16"/>
          <w:szCs w:val="16"/>
        </w:rPr>
        <w:t>Кроме того[,] благодаря компактности мой котел дает еще громадную экономию на размерах и стоимости котельных зданий.</w:t>
      </w:r>
    </w:p>
    <w:p w14:paraId="77B51779" w14:textId="77777777" w:rsidR="0069396A" w:rsidRPr="005E779E" w:rsidRDefault="0069396A" w:rsidP="000B7A6C">
      <w:pPr>
        <w:pStyle w:val="rtejustify"/>
        <w:spacing w:before="0" w:after="0"/>
        <w:rPr>
          <w:color w:val="000000" w:themeColor="text1"/>
          <w:sz w:val="16"/>
          <w:szCs w:val="16"/>
        </w:rPr>
      </w:pPr>
      <w:r w:rsidRPr="005E779E">
        <w:rPr>
          <w:color w:val="000000" w:themeColor="text1"/>
          <w:sz w:val="16"/>
          <w:szCs w:val="16"/>
        </w:rPr>
        <w:t>Я тщательно продумал и просчитал свой котел за последние месяцы и ручаюсь за отсутствие какой[-]либо существенной ошибки, тем более, что мой котел состоит из элементов, которые каждый в отдельности испытан и проверен, так что весь секрет заключается лишь в целесообразной и удачной комбинации этих элементов.</w:t>
      </w:r>
    </w:p>
    <w:p w14:paraId="79527B0F" w14:textId="77777777" w:rsidR="0069396A" w:rsidRPr="005E779E" w:rsidRDefault="0069396A" w:rsidP="000B7A6C">
      <w:pPr>
        <w:pStyle w:val="rtejustify"/>
        <w:spacing w:before="0" w:after="0"/>
        <w:rPr>
          <w:color w:val="000000" w:themeColor="text1"/>
          <w:sz w:val="16"/>
          <w:szCs w:val="16"/>
        </w:rPr>
      </w:pPr>
      <w:r w:rsidRPr="005E779E">
        <w:rPr>
          <w:color w:val="000000" w:themeColor="text1"/>
          <w:sz w:val="16"/>
          <w:szCs w:val="16"/>
        </w:rPr>
        <w:t>Кроме электростанций и котельных фабрично-заводских установок мой котел будет иметь громадное значение для флота, и особенно для боевого флота, где экономия веса играет первостепенное значение. Далее, если опыты оправдают имеющиеся литературные сообщения о возможности питания пролетных котлов обычной водой, а не чистым конденсатом, то для моего котла открывается широкое поле применения и в паровозах, тракторах, локомобилях и т. п.</w:t>
      </w:r>
    </w:p>
    <w:p w14:paraId="6C47E343" w14:textId="77777777" w:rsidR="0069396A" w:rsidRPr="005E779E" w:rsidRDefault="0069396A" w:rsidP="000B7A6C">
      <w:pPr>
        <w:pStyle w:val="rtejustify"/>
        <w:spacing w:before="0" w:after="0"/>
        <w:rPr>
          <w:color w:val="000000" w:themeColor="text1"/>
          <w:sz w:val="16"/>
          <w:szCs w:val="16"/>
        </w:rPr>
      </w:pPr>
      <w:r w:rsidRPr="005E779E">
        <w:rPr>
          <w:color w:val="000000" w:themeColor="text1"/>
          <w:sz w:val="16"/>
          <w:szCs w:val="16"/>
        </w:rPr>
        <w:t>Являясь не увлекающимся изобретателем, а специалистом, глубоко изучившим за 20 лет свое дело, я твердо убежден в том, что предлагаемый мною тип представляет собою котел близкого будущего, и что к этому типу очень скоро перейдет вся мировая техника. Не дайте же капиталистическим странам и на этот раз опередить нас и отнять приоритет, который по праву принадлежит здесь советской науке и технике. Предлагаемый мною тип котла произведет полный революционный переворот в котлостроении и энергетике и принесет неисчислимые выгоды социалистическому хозяйству и советской энергетике.</w:t>
      </w:r>
    </w:p>
    <w:p w14:paraId="1CE66213" w14:textId="77777777" w:rsidR="0069396A" w:rsidRPr="005E779E" w:rsidRDefault="0069396A" w:rsidP="000B7A6C">
      <w:pPr>
        <w:pStyle w:val="rtejustify"/>
        <w:spacing w:before="0" w:after="0"/>
        <w:rPr>
          <w:color w:val="000000" w:themeColor="text1"/>
          <w:sz w:val="16"/>
          <w:szCs w:val="16"/>
        </w:rPr>
      </w:pPr>
      <w:r w:rsidRPr="005E779E">
        <w:rPr>
          <w:color w:val="000000" w:themeColor="text1"/>
          <w:sz w:val="16"/>
          <w:szCs w:val="16"/>
        </w:rPr>
        <w:t>Своим поведением во время следствия и на процессе Промпартии я решительно и безповоротно порвал с контрреволюционными кругами, как в Союзе, так и заграницей. После того, как Советская Власть даровала мне жизнь, я твердо и навсегда решил посвятить ее целиком на активную борьбу с контр-революцией и на социалистическое строительство. Принося Советскому Союзу свое изобретение[,] являющееся завершением моей многолетней научной работы, я хочу на деле искупить хотя бы частично тот вред, который принесла моя позорная деятельность в Промпартии и прошу ВАС предоставить мне возможность проработать и построить мой котел.</w:t>
      </w:r>
    </w:p>
    <w:p w14:paraId="4D4D398F" w14:textId="77777777" w:rsidR="0069396A" w:rsidRPr="005E779E" w:rsidRDefault="0069396A" w:rsidP="000B7A6C">
      <w:pPr>
        <w:pStyle w:val="rtejustify"/>
        <w:spacing w:before="0" w:after="0"/>
        <w:rPr>
          <w:color w:val="000000" w:themeColor="text1"/>
          <w:sz w:val="16"/>
          <w:szCs w:val="16"/>
        </w:rPr>
      </w:pPr>
      <w:r w:rsidRPr="005E779E">
        <w:rPr>
          <w:color w:val="000000" w:themeColor="text1"/>
          <w:sz w:val="16"/>
          <w:szCs w:val="16"/>
        </w:rPr>
        <w:t>Для этого мне необходимо лишь иметь небольшую группу конструкторов в 3-4 человека, знакомых с котельным делом, из известных мне лиц здесь наиболее подходящими являются Н. В. Цейц, Н. Н. Ревокатов, Ю. О. Нови и кто[-]нибудь из молодых инженеров конструкторов, например: Титов[.] Далее необходимо определить завод для постройки первого небольшого опытного котла и обеспечить нашей группе тесную связь с ним, перебросив ее на завод. Здесь из Московских котельных заводов наиболее подходит Парострой. Для связи с внешним миром, получения литературы, необходимых справок, консультаций и т. п. необходимо поручить постоянное наблюдение за нашей группой одному сотруднику О ГПУ, желательно техник[у] или еще лучше инженер[у]. Наконец необходимо срочно сделать запрос заграницу на арматуру высокого давления, для опытного котла (ибо ее нельзя достать в СССР) и далее обеспечить заказ и срочное получение этой арматуры, которая будет стоить немного. Необходимо заказать нужное советское оборудование. И наконец самое главное, это получить Вашу личную поддержку и помощь в смысле ускорения всего дела.</w:t>
      </w:r>
    </w:p>
    <w:p w14:paraId="26A607CE" w14:textId="77777777" w:rsidR="0069396A" w:rsidRPr="005E779E" w:rsidRDefault="0069396A" w:rsidP="000B7A6C">
      <w:pPr>
        <w:pStyle w:val="rtejustify"/>
        <w:spacing w:before="0" w:after="0"/>
        <w:rPr>
          <w:color w:val="000000" w:themeColor="text1"/>
          <w:sz w:val="16"/>
          <w:szCs w:val="16"/>
        </w:rPr>
      </w:pPr>
      <w:r w:rsidRPr="005E779E">
        <w:rPr>
          <w:color w:val="000000" w:themeColor="text1"/>
          <w:sz w:val="16"/>
          <w:szCs w:val="16"/>
        </w:rPr>
        <w:t>При наличии этих условий я даю обязательство в 1/2 года спроектировать и построить первый небольшой опытный котел, который затем целесообразнее всего поставить в Теплотехнический институт, вследствии наличия там подходящего оборудования и приборов. Затем в течении нескольких месяцев (3-4 месяцев) я берусь провести все необходимые опыты, выяснить отдельные детали и дать в результате работы проект промышленного котла для его серийного производства. Таким образом, менее чем в 1 год вся работа может быть закончена и Советское котлостроение получит не устаревший бросаемый тип котла, а котел будущего. Если Вы поддержите меня в этом деле и создадите необходимые условия для работы, я с полной ответственностью заявляю, что уже через 1</w:t>
      </w:r>
      <w:r w:rsidRPr="005E779E">
        <w:rPr>
          <w:color w:val="000000" w:themeColor="text1"/>
          <w:sz w:val="16"/>
          <w:szCs w:val="16"/>
          <w:vertAlign w:val="superscript"/>
        </w:rPr>
        <w:t>1</w:t>
      </w:r>
      <w:r w:rsidRPr="005E779E">
        <w:rPr>
          <w:color w:val="000000" w:themeColor="text1"/>
          <w:sz w:val="16"/>
          <w:szCs w:val="16"/>
        </w:rPr>
        <w:t>/</w:t>
      </w:r>
      <w:r w:rsidRPr="005E779E">
        <w:rPr>
          <w:color w:val="000000" w:themeColor="text1"/>
          <w:sz w:val="16"/>
          <w:szCs w:val="16"/>
          <w:vertAlign w:val="subscript"/>
        </w:rPr>
        <w:t>2 — </w:t>
      </w:r>
      <w:r w:rsidRPr="005E779E">
        <w:rPr>
          <w:color w:val="000000" w:themeColor="text1"/>
          <w:sz w:val="16"/>
          <w:szCs w:val="16"/>
        </w:rPr>
        <w:t>2 года, т. е. еше в пределах текущей пятилетки мы перегоним в котельном деле мировую технику, дадим социалистической промышленности громадные выгоды в виде колос[с]альной экономии металла, введения сверхвысоких давлений и полного освобождения от заграничной зависимости.</w:t>
      </w:r>
    </w:p>
    <w:p w14:paraId="4A86300B" w14:textId="77777777" w:rsidR="0069396A" w:rsidRPr="005E779E" w:rsidRDefault="0069396A" w:rsidP="000B7A6C">
      <w:pPr>
        <w:pStyle w:val="rtejustify"/>
        <w:spacing w:before="0" w:after="0"/>
        <w:rPr>
          <w:color w:val="000000" w:themeColor="text1"/>
          <w:sz w:val="16"/>
          <w:szCs w:val="16"/>
        </w:rPr>
      </w:pPr>
      <w:r w:rsidRPr="005E779E">
        <w:rPr>
          <w:color w:val="000000" w:themeColor="text1"/>
          <w:sz w:val="16"/>
          <w:szCs w:val="16"/>
        </w:rPr>
        <w:t>Я горю желанием загладить свои преступления и принести максимальную пользу социалистическому строительству и даю обещание работать изо всех сил, отдавая все мои знания и опыт. Окажите только мне Вашу поддержку в этом деле.</w:t>
      </w:r>
    </w:p>
    <w:p w14:paraId="18EDF768" w14:textId="77777777" w:rsidR="0069396A" w:rsidRPr="005E779E" w:rsidRDefault="0069396A" w:rsidP="000B7A6C">
      <w:pPr>
        <w:pStyle w:val="rtejustify"/>
        <w:spacing w:before="0" w:after="0"/>
        <w:rPr>
          <w:color w:val="000000" w:themeColor="text1"/>
          <w:sz w:val="16"/>
          <w:szCs w:val="16"/>
        </w:rPr>
      </w:pPr>
      <w:r w:rsidRPr="005E779E">
        <w:rPr>
          <w:color w:val="000000" w:themeColor="text1"/>
          <w:sz w:val="16"/>
          <w:szCs w:val="16"/>
        </w:rPr>
        <w:t>Л. РАМЗИН</w:t>
      </w:r>
    </w:p>
    <w:p w14:paraId="7C390959" w14:textId="77777777" w:rsidR="0069396A" w:rsidRPr="005E779E" w:rsidRDefault="0069396A" w:rsidP="000B7A6C">
      <w:pPr>
        <w:pStyle w:val="rtejustify"/>
        <w:spacing w:before="0" w:after="0"/>
        <w:rPr>
          <w:color w:val="000000" w:themeColor="text1"/>
          <w:sz w:val="16"/>
          <w:szCs w:val="16"/>
        </w:rPr>
      </w:pPr>
      <w:r w:rsidRPr="005E779E">
        <w:rPr>
          <w:color w:val="000000" w:themeColor="text1"/>
          <w:sz w:val="16"/>
          <w:szCs w:val="16"/>
        </w:rPr>
        <w:t>Июня 1931 г.</w:t>
      </w:r>
    </w:p>
    <w:p w14:paraId="3328A0DB" w14:textId="77777777" w:rsidR="0069396A" w:rsidRPr="005E779E" w:rsidRDefault="0069396A" w:rsidP="000B7A6C">
      <w:pPr>
        <w:pStyle w:val="ae"/>
        <w:spacing w:before="0" w:after="0"/>
        <w:jc w:val="both"/>
        <w:rPr>
          <w:color w:val="000000" w:themeColor="text1"/>
          <w:sz w:val="16"/>
          <w:szCs w:val="16"/>
        </w:rPr>
      </w:pPr>
      <w:r w:rsidRPr="005E779E">
        <w:rPr>
          <w:rStyle w:val="af0"/>
          <w:i w:val="0"/>
          <w:color w:val="000000" w:themeColor="text1"/>
          <w:sz w:val="16"/>
          <w:szCs w:val="16"/>
        </w:rPr>
        <w:t>РГАЭ. Ф. 38. Oп. 1. Д. 2. Л. 19-13. Машинописная копия того времени (обратная нумерация листов). Число в дате отсутствует. Некоторые фрагменты текста выделены (отчеркнуты вертикально на поле слева, подчеркнуты). В частности, на Л. 17 выделен вертикальной чертой (простой карандаш) на поле слева абзац «Далее в своем котле, путем систематического применения всех научных достижений мне удалось довести паронапряжение до 1.000 кг в час на 1 кв. м эффективной поверхности нагрева, в то время как наши современные советские котлы дают лишь 25-60 кг., а рекордные заграничные котлы не более 100-150 кг». На Л. 15 выделены вертикальной чертой (зеленый карандаш) на поле слева и помечены знаком «X» два абзаца: «Являясь не увлекающимся изобретателем, а специалистом, глубоко изучившим за 20 лет свое дело, я твердо убежден в том, что предлагаемый мною тип представляет собою котел близкого будущего, и что к этому типу очень скоро перейдет вся мировая техника. [...] Принося Советскому Союзу свое изобретение[,] являющееся завершением моей многолетней научной работы, я хочу на деле искупить хотя бы частично тот вред, который принесла моя позорная деятельность в Промпартии и прошу ВАС предоставить мне возможность проработать и построить мой котел». Ниже отчеркнут синим карандашом текст «Для этого мне необходимо лишь иметь небольшую группу конструкторов в 3-4 человека, знакомых -с котельным делом, из известных мне лиц здесь наиболее подходящими являются Н. В. Цейц, Н. Н. Ревокатов, Ю. О. Нови». На Л. 13 выделен вертикальной чертой (красный карандаш) на поле слева последний абзац, подчеркнуты слова «мои знания и опыт» (19066).</w:t>
      </w:r>
    </w:p>
    <w:p w14:paraId="38AFBF69" w14:textId="77777777" w:rsidR="0069396A" w:rsidRPr="005E779E" w:rsidRDefault="0069396A" w:rsidP="000B7A6C">
      <w:pPr>
        <w:spacing w:after="0" w:line="240" w:lineRule="auto"/>
        <w:jc w:val="both"/>
        <w:rPr>
          <w:rFonts w:ascii="Times New Roman" w:hAnsi="Times New Roman"/>
          <w:color w:val="000000" w:themeColor="text1"/>
          <w:sz w:val="16"/>
          <w:szCs w:val="16"/>
        </w:rPr>
      </w:pPr>
    </w:p>
    <w:p w14:paraId="494EEE6B" w14:textId="4FB0394E" w:rsidR="0069396A" w:rsidRPr="005E779E" w:rsidRDefault="006939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Июньский 1931 Пленум ЦК ВКП (б) перевел теплозостроение на новые рельсы — на линию массовой, серийной постройки тепловозов и наметил к переводу на тепловозы целы е железнодорожные безводные линии Красноводск— Чарджоу , Сальск— Батайск, Сталинград— Тихорецкая. По решению Пленума ЦК ВКП (б ) 1931 г. советская промыш ленность на базе Коломенского завода в кооперации с заводам и электропромышленности приступила к изготовлению серии грузовы х тепловозов Э=&gt;" типа 2-5о-1 мощ</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ностью 1050 л. с. В этот ж е период были заказан ы и построены в Германии по проектам тепловозной комиссии НКПС тепловозы серии Э®^5 (типа 2-5о-1 мощностью 1000 л. с.) и Э'’''’8 (типа 2-5о-1) с двум я дизельгенераторными установкам и общей мощностью 2</w:t>
      </w:r>
      <w:r w:rsidRPr="005E779E">
        <w:rPr>
          <w:rFonts w:ascii="Times New Roman" w:hAnsi="Times New Roman"/>
          <w:color w:val="000000" w:themeColor="text1"/>
          <w:sz w:val="16"/>
          <w:szCs w:val="16"/>
          <w:lang w:val="en-US"/>
        </w:rPr>
        <w:t>x</w:t>
      </w:r>
      <w:r w:rsidRPr="005E779E">
        <w:rPr>
          <w:rFonts w:ascii="Times New Roman" w:hAnsi="Times New Roman"/>
          <w:color w:val="000000" w:themeColor="text1"/>
          <w:sz w:val="16"/>
          <w:szCs w:val="16"/>
        </w:rPr>
        <w:t>825 л. с. По проектуинж енеров «Локомотивопроекта» был построен в Коломне в 1934 г. сочлененный двухсекционный тепловоз ВМ типа 2-4о-1 + 1 -4о-2 мощ ностью 2100 л. с. Эту машину сделали коломенцы в подарок XVII съезду ВКП (б). С сентября 1931 г. на участках Ашхабад—Душак и Ашхабад— Бами впервые в мировой практике началось регулярное обслуж ивание грузовы х и пассаж ирских поездов тепловозами. Тепловозы Э^-’^2 и Э “ ^’3 блестяще выдержали в 1931 г. испытания на Среднеазиатской магистрали. 3 сентября 1931 г. газета «Известия» писала: «Ташкент, 2 сентября (от наш. корр.). На участке Чарджоу — К расноводск Среднеазиатской железной дороги производятся опыты по введению тепловозной тяги. Тепловоз Э ” ^3 с механической передачей работает блестяще. Сейчас на участке Чарджоу — Красноводск отправился тепловоз Э=&gt;''2 с электрической передачей. Тепловоз возит тяж елы е составы».</w:t>
      </w:r>
    </w:p>
    <w:p w14:paraId="741D5F73" w14:textId="77777777" w:rsidR="0069396A" w:rsidRPr="005E779E" w:rsidRDefault="006939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1936 г. на советских дорогах находилось в эксплуатации около 20 тепловозов, из них 8 — ВМ. В 1937 г. в Ашхабаде было построено первое специализированное тепловозное депо, позднее преобразованноев Тепловозоремонтные мастерские. К 1940 г. из 106186 км протяженности железных дорог тепловозам и обслуживалось всего лишь 335 км, т. е. 0,32 %. С 1932 по 1937 г. бы ло выпущ ено 29 грузовых тепловозов, незадолго до Великой Отечественной войны постройка тепловозов (с 1937 г.) прекратилась. На линиях, где испытывались затруднения со снабжением водой, вместо хорошо приспособленных к безводным условиям тепловозов начали работать ненадежные и громоздкие паровозы СО " с конденсацией пара. Такая ошибочная тенденция в локомотивостроении дорого обошлась транспорту и народному хозяйству в целом. И все же дизельная тяга настойчиво и планомерно проби вала себе дорогу. Здесь уместно отметить, что большую роль тепловозы сыграли в осуществлении перевозок в годы Великой О течественной войны, особенно в период когда Ташкентская и Ашхабадская дороги остались единственной транспортной связью Закавказья с Центром страны. После войны, с 1946 г., тепловозостроение было восстановлено (19607).</w:t>
      </w:r>
    </w:p>
    <w:p w14:paraId="25E3C427" w14:textId="77777777" w:rsidR="0069396A" w:rsidRPr="005E779E" w:rsidRDefault="0069396A" w:rsidP="000B7A6C">
      <w:pPr>
        <w:spacing w:after="0" w:line="240" w:lineRule="auto"/>
        <w:jc w:val="both"/>
        <w:rPr>
          <w:rFonts w:ascii="Times New Roman" w:hAnsi="Times New Roman"/>
          <w:color w:val="000000" w:themeColor="text1"/>
          <w:sz w:val="16"/>
          <w:szCs w:val="16"/>
        </w:rPr>
      </w:pPr>
    </w:p>
    <w:p w14:paraId="2DE8CBEF"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56E45967"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DE88DA2" w14:textId="77777777" w:rsidR="001A3E40" w:rsidRPr="00142305" w:rsidRDefault="001A3E40" w:rsidP="001A3E4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июне 1931 г. накануне своего ухода из ВВС П. И. Баранов, следуя своей ежегодной традиции, перед летним периодом обу</w:t>
      </w:r>
      <w:r w:rsidRPr="00142305">
        <w:rPr>
          <w:rFonts w:ascii="Times New Roman" w:hAnsi="Times New Roman"/>
          <w:color w:val="0070C0"/>
          <w:sz w:val="16"/>
          <w:szCs w:val="16"/>
        </w:rPr>
        <w:softHyphen/>
        <w:t>чения, выступил в «Вестнике воздушного флота» со статьей: «К летней учебе». В ней велась речь о необходимости в боевой подготовке усиливать специализа</w:t>
      </w:r>
      <w:r w:rsidRPr="00142305">
        <w:rPr>
          <w:rFonts w:ascii="Times New Roman" w:hAnsi="Times New Roman"/>
          <w:color w:val="0070C0"/>
          <w:sz w:val="16"/>
          <w:szCs w:val="16"/>
        </w:rPr>
        <w:softHyphen/>
        <w:t>цию всех родов авиации. Заслуживает внимания и важное замечание П. И. Ба</w:t>
      </w:r>
      <w:r w:rsidRPr="00142305">
        <w:rPr>
          <w:rFonts w:ascii="Times New Roman" w:hAnsi="Times New Roman"/>
          <w:color w:val="0070C0"/>
          <w:sz w:val="16"/>
          <w:szCs w:val="16"/>
        </w:rPr>
        <w:softHyphen/>
        <w:t>ранова о том, что упрощение боевой учебы не является средством снижения аварийности. Изложено это было так: «Изжитие аварийности должно быть до</w:t>
      </w:r>
      <w:r w:rsidRPr="00142305">
        <w:rPr>
          <w:rFonts w:ascii="Times New Roman" w:hAnsi="Times New Roman"/>
          <w:color w:val="0070C0"/>
          <w:sz w:val="16"/>
          <w:szCs w:val="16"/>
        </w:rPr>
        <w:softHyphen/>
        <w:t>стигнуто только при повышении темпов качества и результатов учебно-боевой подготовки. (...) Низкое качество боевой подготовки может дать только внеш</w:t>
      </w:r>
      <w:r w:rsidRPr="00142305">
        <w:rPr>
          <w:rFonts w:ascii="Times New Roman" w:hAnsi="Times New Roman"/>
          <w:color w:val="0070C0"/>
          <w:sz w:val="16"/>
          <w:szCs w:val="16"/>
        </w:rPr>
        <w:softHyphen/>
        <w:t>нее, кажущееся снижение аварийности, так как при повышении требований, за</w:t>
      </w:r>
      <w:r w:rsidRPr="00142305">
        <w:rPr>
          <w:rFonts w:ascii="Times New Roman" w:hAnsi="Times New Roman"/>
          <w:color w:val="0070C0"/>
          <w:sz w:val="16"/>
          <w:szCs w:val="16"/>
        </w:rPr>
        <w:softHyphen/>
        <w:t>кономерных в боевых условиях, выявится фактическая неспособность спра</w:t>
      </w:r>
      <w:r w:rsidRPr="00142305">
        <w:rPr>
          <w:rFonts w:ascii="Times New Roman" w:hAnsi="Times New Roman"/>
          <w:color w:val="0070C0"/>
          <w:sz w:val="16"/>
          <w:szCs w:val="16"/>
        </w:rPr>
        <w:softHyphen/>
        <w:t>виться с трудными задачами боевой деятельности» (Баранов П. И. К летней учебе / Петр Баранов // Вестник воздушного флота. -1931. - № 5-6. - С. 2-3) (24967).</w:t>
      </w:r>
    </w:p>
    <w:p w14:paraId="2D8E3D85" w14:textId="77777777" w:rsidR="001A3E40" w:rsidRPr="00142305" w:rsidRDefault="001A3E40" w:rsidP="001A3E40">
      <w:pPr>
        <w:spacing w:after="0" w:line="240" w:lineRule="auto"/>
        <w:jc w:val="both"/>
        <w:rPr>
          <w:rFonts w:ascii="Times New Roman" w:hAnsi="Times New Roman"/>
          <w:color w:val="0070C0"/>
          <w:sz w:val="16"/>
          <w:szCs w:val="16"/>
        </w:rPr>
      </w:pPr>
    </w:p>
    <w:p w14:paraId="649315C4" w14:textId="77777777" w:rsidR="001A3E40" w:rsidRPr="00142305" w:rsidRDefault="001A3E40" w:rsidP="001A3E4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июне 1931 г. Я. И. Алкснис уже руководил ВВС РККА. Высшее руковод</w:t>
      </w:r>
      <w:r w:rsidRPr="00142305">
        <w:rPr>
          <w:rFonts w:ascii="Times New Roman" w:hAnsi="Times New Roman"/>
          <w:color w:val="0070C0"/>
          <w:sz w:val="16"/>
          <w:szCs w:val="16"/>
        </w:rPr>
        <w:softHyphen/>
        <w:t>ство страны ждало от него наведения в ВВС строгого уставного порядка. По</w:t>
      </w:r>
      <w:r w:rsidRPr="00142305">
        <w:rPr>
          <w:rFonts w:ascii="Times New Roman" w:hAnsi="Times New Roman"/>
          <w:color w:val="0070C0"/>
          <w:sz w:val="16"/>
          <w:szCs w:val="16"/>
        </w:rPr>
        <w:softHyphen/>
        <w:t>этому Наркомвоенмор Ворошилов издал приказ, призывающий командующих войсками округов к внимательному отношению к приказам Начальника ВВС РККА (24968).</w:t>
      </w:r>
    </w:p>
    <w:p w14:paraId="79B6EE32" w14:textId="77777777" w:rsidR="001A3E40" w:rsidRPr="00142305" w:rsidRDefault="001A3E40" w:rsidP="001A3E40">
      <w:pPr>
        <w:spacing w:after="0" w:line="240" w:lineRule="auto"/>
        <w:jc w:val="both"/>
        <w:rPr>
          <w:rFonts w:ascii="Times New Roman" w:hAnsi="Times New Roman"/>
          <w:color w:val="0070C0"/>
          <w:sz w:val="16"/>
          <w:szCs w:val="16"/>
        </w:rPr>
      </w:pPr>
    </w:p>
    <w:p w14:paraId="4CB21D66" w14:textId="77777777" w:rsidR="001A3E40" w:rsidRPr="00142305" w:rsidRDefault="001A3E40" w:rsidP="001A3E4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июне 1931 г. старто</w:t>
      </w:r>
      <w:r w:rsidRPr="00142305">
        <w:rPr>
          <w:rFonts w:ascii="Times New Roman" w:hAnsi="Times New Roman"/>
          <w:color w:val="0070C0"/>
          <w:sz w:val="16"/>
          <w:szCs w:val="16"/>
        </w:rPr>
        <w:softHyphen/>
        <w:t>вала фактически техническая реконструкция ВВС (24968).</w:t>
      </w:r>
    </w:p>
    <w:p w14:paraId="681E9E68" w14:textId="77777777" w:rsidR="001A3E40" w:rsidRPr="00142305" w:rsidRDefault="001A3E40" w:rsidP="001A3E40">
      <w:pPr>
        <w:spacing w:after="0" w:line="240" w:lineRule="auto"/>
        <w:jc w:val="both"/>
        <w:rPr>
          <w:rFonts w:ascii="Times New Roman" w:hAnsi="Times New Roman"/>
          <w:color w:val="0070C0"/>
          <w:sz w:val="16"/>
          <w:szCs w:val="16"/>
        </w:rPr>
      </w:pPr>
    </w:p>
    <w:p w14:paraId="1146AC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июне 1926 г. на Черном море сформировали 1-ю отдельную морскую миноносную авиаэскадрилью на самолетах ЮГ-1. Поскольку мины в том году на вооружение так и не были приняты, в октябре эскадрилью переименовали в 60-ю морскую разведывательную. В результате до весны 1931 г. торпедоносцами в ВВС РККА числились только те 2-3 машины ("Хэнли", затем ЮГ-1 и ТБ-1), которые были переданы Остехбюро для проведения полигонных испытаний. Когда весной 1931 г. системы были доработаны настолько, что настала пора выдвигать их на войсковые испытания, выяснилось, что провести их возможно только при условии перевода самолетов и летчиков ОТБ в строевые части. В мае НИИ ВВС внес предложение организовать в составе 9-й авиабригады на Черном море "торпедную ячейку", куда вошел бы ТБ-1, имевшийся в Остехбюро, и еще один самолет данного типа, наряженный для Воздушных сил Черного моря. 25 мая начальник ВВС РККА Я.И. Алкснис утвердил предложение, и без проволочек черноморцам в тот же день выделили новенькую машину. В июле "ячейку" переименовали в торпедный отряд, который использовали для испытаний нового оружия (12002).</w:t>
      </w:r>
    </w:p>
    <w:p w14:paraId="5F5443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D281AA6" w14:textId="77777777" w:rsidR="001A3E40" w:rsidRPr="00142305" w:rsidRDefault="001A3E40" w:rsidP="001A3E4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июня 1931 г. имелось уже пять школ для подготовки авиатехников: 1-я - в Ленинграде, 2-я - в Вольске, 3-я - в Перми и 4-я - в Иркутске, а также и Московская школа спецслужб ВВС (24968).</w:t>
      </w:r>
    </w:p>
    <w:p w14:paraId="3693391B" w14:textId="77777777" w:rsidR="001A3E40" w:rsidRPr="00142305" w:rsidRDefault="001A3E40" w:rsidP="001A3E40">
      <w:pPr>
        <w:spacing w:after="0" w:line="240" w:lineRule="auto"/>
        <w:jc w:val="both"/>
        <w:rPr>
          <w:rFonts w:ascii="Times New Roman" w:hAnsi="Times New Roman"/>
          <w:color w:val="0070C0"/>
          <w:sz w:val="16"/>
          <w:szCs w:val="16"/>
        </w:rPr>
      </w:pPr>
    </w:p>
    <w:p w14:paraId="3E9E1F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июне 1931 г. Муклевич, "пригревший” у се</w:t>
      </w:r>
      <w:r w:rsidRPr="005E779E">
        <w:rPr>
          <w:rFonts w:ascii="Times New Roman" w:hAnsi="Times New Roman"/>
          <w:color w:val="000000" w:themeColor="text1"/>
          <w:sz w:val="16"/>
          <w:szCs w:val="16"/>
        </w:rPr>
        <w:softHyphen/>
        <w:t>бя под боком столько "врагов", стал инспектором ВМС, уступив должность начальника ВМС РККА В. М. Орлову, бывшему до этого во главе Морских сил Черного моря (3898).</w:t>
      </w:r>
    </w:p>
    <w:p w14:paraId="533B69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947E8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июне 1931 начальником вооружений РККА и зам. наркомвоенмора назначили М.Н.Тухачевского (1073,30).</w:t>
      </w:r>
    </w:p>
    <w:p w14:paraId="46B698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5FEBA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июне 1931 года в Германию для изучения военных новинок и дальнейшего укрепления связей с рейхсвером были направлены представители начальствующего состава Красной армии, в том числе Н.А.Ефимов — заместитель начальника вооружений РККА (старший группы), А.И. Егоров — командующий войсками Белорусского военного округа, В.К. Триандафиллов — заместитель начальника Штаба РККА, Э.Ф. Аппога — начальник 3-го управления Штаба РККА и В.К. Путна — военный атташе при полпредстве СССР в Германии. В ходе этой поездки советские специалисты ознакомились с использованием в авиации самолетных и наземных радиостанций и прожекторного оборудования германских фирм «Сименс» и «Цейс». Об итогах командировки Н.А. Ефимов отчитался на заседании РВС 28 июня 1931 года, на котором было принято решение издать секретное учебное пособие «Методы мобилизации промышленности в Германии» (Там же. Д. 393. Л. 206.) (11173).</w:t>
      </w:r>
    </w:p>
    <w:p w14:paraId="7833DE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8E08984" w14:textId="77777777" w:rsidR="00E51240" w:rsidRPr="005E779E" w:rsidRDefault="00E512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 июня 1931 года объединение РКК ВМФ на Каспии стало называться Каспийской военной флотилией. Собственных ВВС флотилия не имела (хотя в некоторых источниках используется именно эта аббревиатура), но в её составе перед войной было сформировано несколько авиационных частей и подразделений, которые подчинялись непосредственно командованию флотилии. До ноября 1939 года в составе флотилии был сформирован </w:t>
      </w:r>
      <w:r w:rsidRPr="005E779E">
        <w:rPr>
          <w:rFonts w:ascii="Times New Roman" w:hAnsi="Times New Roman"/>
          <w:bCs/>
          <w:color w:val="000000" w:themeColor="text1"/>
          <w:sz w:val="16"/>
          <w:szCs w:val="16"/>
        </w:rPr>
        <w:t xml:space="preserve">79-й отдельный морской разведывательный авиационный отряд, </w:t>
      </w:r>
      <w:r w:rsidRPr="005E779E">
        <w:rPr>
          <w:rFonts w:ascii="Times New Roman" w:hAnsi="Times New Roman"/>
          <w:color w:val="000000" w:themeColor="text1"/>
          <w:sz w:val="16"/>
          <w:szCs w:val="16"/>
        </w:rPr>
        <w:t>базирующийся в Баку, который в мае 1940 года был переформирован в</w:t>
      </w:r>
      <w:r w:rsidRPr="005E779E">
        <w:rPr>
          <w:rFonts w:ascii="Times New Roman" w:hAnsi="Times New Roman"/>
          <w:bCs/>
          <w:color w:val="000000" w:themeColor="text1"/>
          <w:sz w:val="16"/>
          <w:szCs w:val="16"/>
        </w:rPr>
        <w:t xml:space="preserve">79-ю отдельную авиационную эскадрилью. </w:t>
      </w:r>
      <w:r w:rsidRPr="005E779E">
        <w:rPr>
          <w:rFonts w:ascii="Times New Roman" w:hAnsi="Times New Roman"/>
          <w:color w:val="000000" w:themeColor="text1"/>
          <w:sz w:val="16"/>
          <w:szCs w:val="16"/>
        </w:rPr>
        <w:t>В составе эскадрильи насчитывалось 12 гидросамолётов МБР-2, главной задачей которых было патрулирование над Каспийским морем, особенно в районе границы с Ираном. В феврале 1940 года в составе воздушных сил флотилии имелось отдельное авиационное звено ПВО, вооружённое истребителями И-16. С мая 1941 года 79-я ОАЭ стала именоваться</w:t>
      </w:r>
      <w:r w:rsidRPr="005E779E">
        <w:rPr>
          <w:rFonts w:ascii="Times New Roman" w:hAnsi="Times New Roman"/>
          <w:bCs/>
          <w:color w:val="000000" w:themeColor="text1"/>
          <w:sz w:val="16"/>
          <w:szCs w:val="16"/>
        </w:rPr>
        <w:t>79-й отдельной морской ближнеразведывательной авиационной эскадрильей.</w:t>
      </w:r>
      <w:r w:rsidRPr="005E779E">
        <w:rPr>
          <w:rFonts w:ascii="Times New Roman" w:hAnsi="Times New Roman"/>
          <w:color w:val="000000" w:themeColor="text1"/>
          <w:sz w:val="16"/>
          <w:szCs w:val="16"/>
        </w:rPr>
        <w:t xml:space="preserve"> По состоянию на 22 июня 1941 года, в составе ВВС флотилии имелось 18 </w:t>
      </w:r>
      <w:r w:rsidRPr="005E779E">
        <w:rPr>
          <w:rFonts w:ascii="Times New Roman" w:hAnsi="Times New Roman"/>
          <w:iCs/>
          <w:color w:val="000000" w:themeColor="text1"/>
          <w:sz w:val="16"/>
          <w:szCs w:val="16"/>
        </w:rPr>
        <w:t xml:space="preserve">(по другим данным, 13) </w:t>
      </w:r>
      <w:r w:rsidRPr="005E779E">
        <w:rPr>
          <w:rFonts w:ascii="Times New Roman" w:hAnsi="Times New Roman"/>
          <w:color w:val="000000" w:themeColor="text1"/>
          <w:sz w:val="16"/>
          <w:szCs w:val="16"/>
        </w:rPr>
        <w:t xml:space="preserve">самолётов различных типов. В ходе войны боевой состав авиации флотилии на короткое время значительно увеличился, когда к августу 1942 года в неё включили </w:t>
      </w:r>
      <w:r w:rsidRPr="005E779E">
        <w:rPr>
          <w:rFonts w:ascii="Times New Roman" w:hAnsi="Times New Roman"/>
          <w:bCs/>
          <w:color w:val="000000" w:themeColor="text1"/>
          <w:sz w:val="16"/>
          <w:szCs w:val="16"/>
        </w:rPr>
        <w:t xml:space="preserve">22-й отдельный морской разведывательный авиационный полк. </w:t>
      </w:r>
      <w:r w:rsidRPr="005E779E">
        <w:rPr>
          <w:rFonts w:ascii="Times New Roman" w:hAnsi="Times New Roman"/>
          <w:color w:val="000000" w:themeColor="text1"/>
          <w:sz w:val="16"/>
          <w:szCs w:val="16"/>
        </w:rPr>
        <w:t>Этот полк, вооружённый самолётами МБР-2, был сформирован в с. Али-Байрамли (Азербайджан), на базе ВМАУ морских пилотов. Однако уже в сентябре этого же года полк был перебазирован на Север, где вошёл в состав ВВС СФ. Авиация КаВФ непосредственного участия в боевых действиях в ходе Великой Отечественной войны не принимала, и, так же, как ВВС ТОФ, СТОФ и АмВФ, была кузницей лётных кадров для ВВС воюющих флотов. Однако в период с августа 1942 года по февраль 1943 года, когда существовала реальная угроза прорыва немецких войск к Каспию, её силы были включены в состав действующей армии. На основании приказа НК ВМФ №0216 от 05.04.1943 года, 79-я ОМБРАЭ была переформирована в 79-й отдельный морской авиационный отряд. Этот отряд числился в боевом составе КаВФ до июня 1947 года и в этом же году был расформирован.</w:t>
      </w:r>
      <w:r w:rsidRPr="005E779E">
        <w:rPr>
          <w:rFonts w:ascii="Times New Roman" w:hAnsi="Times New Roman"/>
          <w:bCs/>
          <w:color w:val="000000" w:themeColor="text1"/>
          <w:sz w:val="16"/>
          <w:szCs w:val="16"/>
        </w:rPr>
        <w:t xml:space="preserve">В 1948 году, в связи с реорганизацией ВВС ВМФ, авиационные части КаВФ были расформированы. </w:t>
      </w:r>
      <w:r w:rsidRPr="005E779E">
        <w:rPr>
          <w:rFonts w:ascii="Times New Roman" w:hAnsi="Times New Roman"/>
          <w:color w:val="000000" w:themeColor="text1"/>
          <w:sz w:val="16"/>
          <w:szCs w:val="16"/>
        </w:rPr>
        <w:t xml:space="preserve">В конце ноября 1942 года из состава Ейского ВМАУ (училище) была выделена </w:t>
      </w:r>
      <w:r w:rsidRPr="005E779E">
        <w:rPr>
          <w:rFonts w:ascii="Times New Roman" w:hAnsi="Times New Roman"/>
          <w:bCs/>
          <w:color w:val="000000" w:themeColor="text1"/>
          <w:sz w:val="16"/>
          <w:szCs w:val="16"/>
        </w:rPr>
        <w:t xml:space="preserve">9-я отдельная истребительная авиационная эскадрилья, </w:t>
      </w:r>
      <w:r w:rsidRPr="005E779E">
        <w:rPr>
          <w:rFonts w:ascii="Times New Roman" w:hAnsi="Times New Roman"/>
          <w:color w:val="000000" w:themeColor="text1"/>
          <w:sz w:val="16"/>
          <w:szCs w:val="16"/>
        </w:rPr>
        <w:t xml:space="preserve">и с 15 декабря 1942 года она была включена в состав КаВФ, с перебазированием в Форт-Шевченко. Её задачей стала ПВО коммуникаций на Каспийском море и объектов флотилии. В январе 1943 года 9-я ОИАЭ была выведена в тыл, в с. Борское, для переформирования на базе «родного» ВМАУ им. И.В.Сталина. Кроме того, в 1940-1944 гг. в составе КаВФ был химический полигон, при котором имелось </w:t>
      </w:r>
      <w:r w:rsidRPr="005E779E">
        <w:rPr>
          <w:rFonts w:ascii="Times New Roman" w:hAnsi="Times New Roman"/>
          <w:bCs/>
          <w:color w:val="000000" w:themeColor="text1"/>
          <w:sz w:val="16"/>
          <w:szCs w:val="16"/>
        </w:rPr>
        <w:t>отдельное испытательное авиационное звено (15140).</w:t>
      </w:r>
    </w:p>
    <w:p w14:paraId="59088D4E" w14:textId="77777777" w:rsidR="00E51240" w:rsidRPr="005E779E" w:rsidRDefault="00E51240" w:rsidP="000B7A6C">
      <w:pPr>
        <w:spacing w:after="0" w:line="240" w:lineRule="auto"/>
        <w:jc w:val="both"/>
        <w:rPr>
          <w:rFonts w:ascii="Times New Roman" w:hAnsi="Times New Roman"/>
          <w:color w:val="000000" w:themeColor="text1"/>
          <w:sz w:val="16"/>
          <w:szCs w:val="16"/>
        </w:rPr>
      </w:pPr>
    </w:p>
    <w:p w14:paraId="3821C905"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03299CF0"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E7647AD" w14:textId="77777777" w:rsidR="0069396A" w:rsidRPr="005E779E" w:rsidRDefault="006939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июне 1931 г. в докладе «Новая обстановка – новые задачи …» Генеральный секретарь ЦК ВКП(б) заявил, что «за последнее время условия развития (…) изменились в корне, создалась новая обстановка, требующая новых приемов руководства». Согласно «новой» обстановке была произведена расстановка руководящих кадров: в июне 1931 г. три видных военачальника М.Н. Тухачевский, П.И. Баранов и Я.И. Алкснис назначаются на должности для непосредственного руководства реконструкцией РККА, авиапромышленности и ВВС соответственно. Во многом, благодаря энергии и организаторскому таланту этих руководителей, РККА, ВВС и авиапром были реконструированы в короткие сроки и с должным качеством. Правильная расстановка высших руководящих кадров имеет непреходящее значение в организационном строительстве отечественных ВВС и в настоящее время (19566).</w:t>
      </w:r>
    </w:p>
    <w:p w14:paraId="4AA8A34C" w14:textId="77777777" w:rsidR="0069396A" w:rsidRPr="005E779E" w:rsidRDefault="0069396A" w:rsidP="000B7A6C">
      <w:pPr>
        <w:spacing w:after="0" w:line="240" w:lineRule="auto"/>
        <w:jc w:val="both"/>
        <w:rPr>
          <w:rFonts w:ascii="Times New Roman" w:hAnsi="Times New Roman"/>
          <w:color w:val="000000" w:themeColor="text1"/>
          <w:sz w:val="16"/>
          <w:szCs w:val="16"/>
        </w:rPr>
      </w:pPr>
    </w:p>
    <w:p w14:paraId="428D77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июне и октябре 1931 пленумы ЦК ВКП(б) обсуждал вопросы развития транспорта. Решили электрифицировать ж/д (226,417).</w:t>
      </w:r>
    </w:p>
    <w:p w14:paraId="48266C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Также на июньском пленуме предложили Москве разработать план реконструкции и построить метрополитен (226,417).</w:t>
      </w:r>
    </w:p>
    <w:p w14:paraId="051E9A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июньском пленуме рекомендовали колхозам организовывать работы на основе сдельщины и ввести оценку труда в трудоднях (226,421).</w:t>
      </w:r>
    </w:p>
    <w:p w14:paraId="020741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B6A9D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июне 1931 ЦК созвал совещание хозяйственников по вопросам развития промышленности. Основная проблема - трудности в освоении вновь построенных мощностей. Определили что требуется: оргнабор РС, упорядочение ЗП, улучшение организации труда, укрепление хозрасчета, привлечение старой и создание новой интеллигенции (226,418).</w:t>
      </w:r>
    </w:p>
    <w:p w14:paraId="742D25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314746D"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Внешняя политика:</w:t>
      </w:r>
    </w:p>
    <w:p w14:paraId="42C33B29"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6C16B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июне 1931 был подписан советско-германский протокол о продлении действия Договора о нейтралитете и ненападении 1926 г. между СССР и Германией (3871).</w:t>
      </w:r>
    </w:p>
    <w:p w14:paraId="553CD2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21D1B8A" w14:textId="77777777" w:rsidR="00665803" w:rsidRPr="005E779E" w:rsidRDefault="0066580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июне 1931 года в Германию для изучения военных новинок и дальнейшего укрепления связей с рейхсвером были направлены представители начальствующего состава Красной армии, в том числе Н.А. Ефимов — заместитель начальника вооружений РККА (старший группы), А.И. Егоров — командующий войсками Белорусского военного округа, В.К. Триандафиллов — заместитель начальника Штаба РККА, Э.Ф. Аппога — начальник 3-го управления Штаба РККА и В.К. Путна — военный атташе при полпредстве СССР в Германии. В ходе этой поездки советские специалисты ознакомились с использованием в авиации самолетных и наземных радиостанций и прожекторного оборудования германских фирм «Сименс» и «Цейс». Об итогах командировки Н.А. Ефимов отчитался на заседании РВС 28 июня 1931 года, на котором было принято решение издать секретное учебное пособие «Методы мобилизации промышленности в Германии» (РГВА. Ф. 4. Оп. 14. Д. 393. Л. 206.) (21412).</w:t>
      </w:r>
    </w:p>
    <w:p w14:paraId="71B6614F" w14:textId="77777777" w:rsidR="00665803" w:rsidRPr="005E779E" w:rsidRDefault="00665803" w:rsidP="000B7A6C">
      <w:pPr>
        <w:spacing w:after="0" w:line="240" w:lineRule="auto"/>
        <w:jc w:val="both"/>
        <w:rPr>
          <w:rFonts w:ascii="Times New Roman" w:hAnsi="Times New Roman"/>
          <w:color w:val="000000" w:themeColor="text1"/>
          <w:sz w:val="16"/>
          <w:szCs w:val="16"/>
        </w:rPr>
      </w:pPr>
    </w:p>
    <w:p w14:paraId="195A5364"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393DE604"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6B0B060" w14:textId="77777777" w:rsidR="00665803" w:rsidRPr="005E779E" w:rsidRDefault="0066580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июне 1931 состоялся первый полет Curtiss XA-8, прототип Curtiss A-8 Shrike Curtiss (20804).</w:t>
      </w:r>
    </w:p>
    <w:p w14:paraId="536B25F8" w14:textId="77777777" w:rsidR="00665803" w:rsidRPr="005E779E" w:rsidRDefault="00665803" w:rsidP="000B7A6C">
      <w:pPr>
        <w:spacing w:after="0" w:line="240" w:lineRule="auto"/>
        <w:jc w:val="both"/>
        <w:rPr>
          <w:rFonts w:ascii="Times New Roman" w:hAnsi="Times New Roman"/>
          <w:color w:val="000000" w:themeColor="text1"/>
          <w:sz w:val="16"/>
          <w:szCs w:val="16"/>
        </w:rPr>
      </w:pPr>
    </w:p>
    <w:p w14:paraId="509C85CA" w14:textId="77777777" w:rsidR="00665803" w:rsidRPr="005E779E" w:rsidRDefault="00665803" w:rsidP="000B7A6C">
      <w:pPr>
        <w:spacing w:after="0" w:line="240" w:lineRule="auto"/>
        <w:jc w:val="both"/>
        <w:rPr>
          <w:rFonts w:ascii="Times New Roman" w:hAnsi="Times New Roman"/>
          <w:color w:val="000000" w:themeColor="text1"/>
          <w:sz w:val="16"/>
          <w:szCs w:val="16"/>
          <w:shd w:val="clear" w:color="auto" w:fill="FFFFFF"/>
        </w:rPr>
      </w:pPr>
      <w:r w:rsidRPr="005E779E">
        <w:rPr>
          <w:rFonts w:ascii="Times New Roman" w:hAnsi="Times New Roman"/>
          <w:color w:val="000000" w:themeColor="text1"/>
          <w:sz w:val="16"/>
          <w:szCs w:val="16"/>
          <w:shd w:val="clear" w:color="auto" w:fill="FFFFFF"/>
        </w:rPr>
        <w:lastRenderedPageBreak/>
        <w:t>В июне 1931 французский летчик Сибур с женой на самолете Фарман 190 совершал туристический полет из Парижа в Токио. Над советской территорией он прошел по маршруту: Бигосово – Смоленск – Москва – Казань – Свердловск – Курган – Омск — Красноярск – Иркутск – Чита (21438).</w:t>
      </w:r>
    </w:p>
    <w:p w14:paraId="1FC58966" w14:textId="77777777" w:rsidR="00665803" w:rsidRPr="005E779E" w:rsidRDefault="00665803" w:rsidP="000B7A6C">
      <w:pPr>
        <w:spacing w:after="0" w:line="240" w:lineRule="auto"/>
        <w:jc w:val="both"/>
        <w:rPr>
          <w:rFonts w:ascii="Times New Roman" w:hAnsi="Times New Roman"/>
          <w:color w:val="000000" w:themeColor="text1"/>
          <w:sz w:val="16"/>
          <w:szCs w:val="16"/>
          <w:shd w:val="clear" w:color="auto" w:fill="FFFFFF"/>
        </w:rPr>
      </w:pPr>
    </w:p>
    <w:p w14:paraId="16ADF4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июне 1931 года французский флот, после долгого перерыва, получил новый дирижабль «Зодиак-Ведетта» V-11. Он стал первым французским дирижаблем полужесткой конструкции, построенным после войны, и имел объем 3400 куб. м, длину — 46 м, высоту — 16,5 м. V-11 был очень похож на дирижабли американской фирмы «Гудиер». Форма оболочки — двухдольная. Баллонетов внутри дирижабля было три. Килевая ферма состояла из дюралюминевых элементов. Гондола управления прикреплялась непосредственно к килю треугольной формы. На ее боковых сторонах размещались 2 двигателя «Сальмсон» АС.9 мощностью по 120 л. с. каждый. Воздушный корабль развивал скорость 103 км/ч и мог пролететь 1500 км. В 1936 году его заменил V-12 аналогичной конструкции и [340] размеров, но с моторами «Сальмсон» мощностью 135 л. с. </w:t>
      </w:r>
    </w:p>
    <w:p w14:paraId="2A8042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Для сопровождения морских конвоев применялись полужесткие дирижабли типа «Эскортер» Е-6 и Е-7, которые строила компания «Астра-Торрес» уже в конце войны. Они являлись развитием воздушных кораблей серии «AT», имели объем 10 700 куб. м и были оснащены двумя моторами «Рено» мощностью по 260 л. с. Е-6 и Е-7 оставались на активной службе относительно долго, до 1936 года, разумеется после серьезной модернизации и с новыми оболочками. </w:t>
      </w:r>
    </w:p>
    <w:p w14:paraId="1580F6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Фирма «Зодиак» с 1930 по 1935 год построила 3 следующих корабля серии «Эскортер» — Е-8 (1931 год), Е-9 (1932 год) и Е-10 (1935 год). В отличие от ранних типов это были дирижабли полужесткой конструкции, с развитым треугольным килем под оболочкой объемом 10 000 куб. м, в которой размещались баки с топливом, балласт и небольшой двигатель для приведения в движение вентилятора. Оболочка имела 4 баллонета, сверхдавление поддерживалось ветроулавливателем или вентилятором, если дирижабль не находился в движении. В кабине, прикрепленной к килю, размещался экипаж, состоящий из семи человек. Два двигателя «Испано-Сюиза» 8Ff мощностью по 350 л. с. были установлены по обе стороны гондолы. Скорость дирижаблей достигала 112 км/ч, а дальность полета 1800 км. Е-8 использовался до 1939 года, Е-9 потерпел аварию в феврале 1935 года, а Е-10 так и не был достроен. </w:t>
      </w:r>
    </w:p>
    <w:p w14:paraId="0F8856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Для обучения экипажей предназначался небольшой учебный дирижабль «Эколе», объемом всего 1200 куб. м. Под оболочкой была подвешена гондола, похожая на фюзеляж самолета, с закрытой кабиной для двух пилотов, сидящих рядом. В передней части гондолы находился мотор «Анзани» мощностью 70 л. с. Это была, безусловно, интересная конструкция, но, к сожалению, она осталась не реализована. [341] </w:t>
      </w:r>
    </w:p>
    <w:p w14:paraId="7C7627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Армия совершенно не интересовалась дирижаблями. В 1933 году, однако, сделала одну небольшую уступку в своей позиции по этому вопросу. Обнаружилось, что из-за очень насыщенной сети наземных электрических и телефонных проводов во время армейских маневров перемещение наблюдательных привязных аэростатов в наполненном состоянии весьма затруднено. Из этой ситуации и возник заказ на строительство наблюдательных самодвижущихся аэростатов. «Зодиаку» было поручено разработать проект моторизованного аэростата в течение семи недель, чтобы во время ближайших армейских маневров 1934 года его уже можно было использовать. </w:t>
      </w:r>
    </w:p>
    <w:p w14:paraId="5BDEC1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За основу взяли оболочку стандартного наблюдательного аэростата MB компании «Зодиак». Единственным различием выступало то, что при транспортировании оставались ненаполненными только три хвостовых отсека. Под оболочкой была установлена деревянная монококовая гондола. В ее передней части располагался мотор «Сальмсон» 9 Adr мощностью 60 л. с., сразу за ним рули высоты и в самом конце — киль. Под винтом размещалась мощная лыжа для предохранения от столкновения с землей. Кабина перевозилась по земле на специальном шасси. Этот моторизованный баллон, обозначенный MBZ-2, развивал скорость 60 км/ч. При скорости перелета 50 км/ч он держался 2 часа, потолок от 600 до 1200 м в зависимости от количества водорода. Монтаж и демонтаж моторной гондолы занимал от 6 до 9 минут. Аэростаты MBZ-2 были выпущены большой серией. Каждое подразделение наблюдательных аэростатов получило по одному MBZ-2, а их экипажи обучались на воздухоплавательной базе ВМФ в Рошфоре. Фирма «Зодиак» в 1937 году разработала усовершенствованную версию MBZ-3, воздушные рули которого были меньшей площади, и их не надо было складывать при наземном транспортировании (11324). </w:t>
      </w:r>
    </w:p>
    <w:p w14:paraId="0BBA7D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C74E4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июне 1932 г., когда срок моратория истекал, в Лозанне открылась последняя конференция по репарационному вопросу, которая окончательно аннулировала репарации (Розанов Г. Л. Очерки новейшей истории Германии (1918—1933). М., 1957. С. 154.). Вслед за этим в 1932 — 1933 гг. все страны — европейские должники США отказались оплачивать Соединенным Штатам военные долги (11784).</w:t>
      </w:r>
    </w:p>
    <w:p w14:paraId="7B7FAB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385957F" w14:textId="77777777" w:rsidR="00862F5B" w:rsidRPr="005E779E" w:rsidRDefault="00862F5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июне 1931 г. фирму «Байерише Флюгцойгверке» объявили банкротом. Распродав все имущест</w:t>
      </w:r>
      <w:r w:rsidRPr="005E779E">
        <w:rPr>
          <w:rFonts w:ascii="Times New Roman" w:hAnsi="Times New Roman"/>
          <w:color w:val="000000" w:themeColor="text1"/>
          <w:sz w:val="16"/>
          <w:szCs w:val="16"/>
        </w:rPr>
        <w:softHyphen/>
        <w:t>во, включая личный автомобиль, В. Мес</w:t>
      </w:r>
      <w:r w:rsidRPr="005E779E">
        <w:rPr>
          <w:rFonts w:ascii="Times New Roman" w:hAnsi="Times New Roman"/>
          <w:color w:val="000000" w:themeColor="text1"/>
          <w:sz w:val="16"/>
          <w:szCs w:val="16"/>
        </w:rPr>
        <w:softHyphen/>
        <w:t>сершмитт чудом удержался на плаву благода</w:t>
      </w:r>
      <w:r w:rsidRPr="005E779E">
        <w:rPr>
          <w:rFonts w:ascii="Times New Roman" w:hAnsi="Times New Roman"/>
          <w:color w:val="000000" w:themeColor="text1"/>
          <w:sz w:val="16"/>
          <w:szCs w:val="16"/>
        </w:rPr>
        <w:softHyphen/>
        <w:t>ря поддержке румынской авиакомпании, которая приобрела лицензию на производст</w:t>
      </w:r>
      <w:r w:rsidRPr="005E779E">
        <w:rPr>
          <w:rFonts w:ascii="Times New Roman" w:hAnsi="Times New Roman"/>
          <w:color w:val="000000" w:themeColor="text1"/>
          <w:sz w:val="16"/>
          <w:szCs w:val="16"/>
        </w:rPr>
        <w:softHyphen/>
        <w:t>во легкого двухместного спортивного самоле</w:t>
      </w:r>
      <w:r w:rsidRPr="005E779E">
        <w:rPr>
          <w:rFonts w:ascii="Times New Roman" w:hAnsi="Times New Roman"/>
          <w:color w:val="000000" w:themeColor="text1"/>
          <w:sz w:val="16"/>
          <w:szCs w:val="16"/>
        </w:rPr>
        <w:softHyphen/>
        <w:t>та М 23 (в Румынии он получил обозначение IAR-36). Еще несколько таких машин купили частные лица, в том числе видный дея</w:t>
      </w:r>
      <w:r w:rsidRPr="005E779E">
        <w:rPr>
          <w:rFonts w:ascii="Times New Roman" w:hAnsi="Times New Roman"/>
          <w:color w:val="000000" w:themeColor="text1"/>
          <w:sz w:val="16"/>
          <w:szCs w:val="16"/>
        </w:rPr>
        <w:softHyphen/>
        <w:t>тель германской национал-социалистической партии Р. Гесс. Впоследствии Мессершмитт и Гесс стали близкими друзьями, что свидетель</w:t>
      </w:r>
      <w:r w:rsidRPr="005E779E">
        <w:rPr>
          <w:rFonts w:ascii="Times New Roman" w:hAnsi="Times New Roman"/>
          <w:color w:val="000000" w:themeColor="text1"/>
          <w:sz w:val="16"/>
          <w:szCs w:val="16"/>
        </w:rPr>
        <w:softHyphen/>
        <w:t>ствует о симпатиях конструктора к нацист</w:t>
      </w:r>
      <w:r w:rsidRPr="005E779E">
        <w:rPr>
          <w:rFonts w:ascii="Times New Roman" w:hAnsi="Times New Roman"/>
          <w:color w:val="000000" w:themeColor="text1"/>
          <w:sz w:val="16"/>
          <w:szCs w:val="16"/>
        </w:rPr>
        <w:softHyphen/>
        <w:t>ской идеологии (заметим, что с 1924 г. В. Мес</w:t>
      </w:r>
      <w:r w:rsidRPr="005E779E">
        <w:rPr>
          <w:rFonts w:ascii="Times New Roman" w:hAnsi="Times New Roman"/>
          <w:color w:val="000000" w:themeColor="text1"/>
          <w:sz w:val="16"/>
          <w:szCs w:val="16"/>
        </w:rPr>
        <w:softHyphen/>
        <w:t>сершмитт был членом НСДАП и впоследст</w:t>
      </w:r>
      <w:r w:rsidRPr="005E779E">
        <w:rPr>
          <w:rFonts w:ascii="Times New Roman" w:hAnsi="Times New Roman"/>
          <w:color w:val="000000" w:themeColor="text1"/>
          <w:sz w:val="16"/>
          <w:szCs w:val="16"/>
        </w:rPr>
        <w:softHyphen/>
        <w:t>вии получил даже золотой значок как ее вете</w:t>
      </w:r>
      <w:r w:rsidRPr="005E779E">
        <w:rPr>
          <w:rFonts w:ascii="Times New Roman" w:hAnsi="Times New Roman"/>
          <w:color w:val="000000" w:themeColor="text1"/>
          <w:sz w:val="16"/>
          <w:szCs w:val="16"/>
        </w:rPr>
        <w:softHyphen/>
        <w:t>ран). Еще в 1920-х годах Мессершмитт близко познакомился с Э. Удетом, будущим главой Технического управления. Однако знакомст</w:t>
      </w:r>
      <w:r w:rsidRPr="005E779E">
        <w:rPr>
          <w:rFonts w:ascii="Times New Roman" w:hAnsi="Times New Roman"/>
          <w:color w:val="000000" w:themeColor="text1"/>
          <w:sz w:val="16"/>
          <w:szCs w:val="16"/>
        </w:rPr>
        <w:softHyphen/>
        <w:t>ва не помогли, и в 1931 г. Вилли остался прак</w:t>
      </w:r>
      <w:r w:rsidRPr="005E779E">
        <w:rPr>
          <w:rFonts w:ascii="Times New Roman" w:hAnsi="Times New Roman"/>
          <w:color w:val="000000" w:themeColor="text1"/>
          <w:sz w:val="16"/>
          <w:szCs w:val="16"/>
        </w:rPr>
        <w:softHyphen/>
        <w:t>тически у разбитого корыта, сохранив лишь небольшую группу ближайших помощников, которые стали сотрудниками новой компа</w:t>
      </w:r>
      <w:r w:rsidRPr="005E779E">
        <w:rPr>
          <w:rFonts w:ascii="Times New Roman" w:hAnsi="Times New Roman"/>
          <w:color w:val="000000" w:themeColor="text1"/>
          <w:sz w:val="16"/>
          <w:szCs w:val="16"/>
        </w:rPr>
        <w:softHyphen/>
        <w:t>нии «Мессершмитт Флюгцойгбау».</w:t>
      </w:r>
    </w:p>
    <w:p w14:paraId="26C501B4" w14:textId="77777777" w:rsidR="00862F5B" w:rsidRPr="005E779E" w:rsidRDefault="00862F5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приходом нацистов к власти в 1933 г. Р. Гесс оказал содействие в восстановлении прежней, уже заслужившей в авиационных кругах определенное имя компании «Байери</w:t>
      </w:r>
      <w:r w:rsidRPr="005E779E">
        <w:rPr>
          <w:rFonts w:ascii="Times New Roman" w:hAnsi="Times New Roman"/>
          <w:color w:val="000000" w:themeColor="text1"/>
          <w:sz w:val="16"/>
          <w:szCs w:val="16"/>
        </w:rPr>
        <w:softHyphen/>
        <w:t>ше Флюгцойгверке»; более того, она получи</w:t>
      </w:r>
      <w:r w:rsidRPr="005E779E">
        <w:rPr>
          <w:rFonts w:ascii="Times New Roman" w:hAnsi="Times New Roman"/>
          <w:color w:val="000000" w:themeColor="text1"/>
          <w:sz w:val="16"/>
          <w:szCs w:val="16"/>
        </w:rPr>
        <w:softHyphen/>
        <w:t>ла в свое распоряжение новый завод в Реген</w:t>
      </w:r>
      <w:r w:rsidRPr="005E779E">
        <w:rPr>
          <w:rFonts w:ascii="Times New Roman" w:hAnsi="Times New Roman"/>
          <w:color w:val="000000" w:themeColor="text1"/>
          <w:sz w:val="16"/>
          <w:szCs w:val="16"/>
        </w:rPr>
        <w:softHyphen/>
        <w:t>сбурге. Однако Э. Мильх, также возвысив</w:t>
      </w:r>
      <w:r w:rsidRPr="005E779E">
        <w:rPr>
          <w:rFonts w:ascii="Times New Roman" w:hAnsi="Times New Roman"/>
          <w:color w:val="000000" w:themeColor="text1"/>
          <w:sz w:val="16"/>
          <w:szCs w:val="16"/>
        </w:rPr>
        <w:softHyphen/>
        <w:t>шийся, по-прежнему недолюбливал Мес</w:t>
      </w:r>
      <w:r w:rsidRPr="005E779E">
        <w:rPr>
          <w:rFonts w:ascii="Times New Roman" w:hAnsi="Times New Roman"/>
          <w:color w:val="000000" w:themeColor="text1"/>
          <w:sz w:val="16"/>
          <w:szCs w:val="16"/>
        </w:rPr>
        <w:softHyphen/>
        <w:t>сершмитта и решил превратить его фирму в своеобразный филиал компании своего друга Э. Хейнкеля, поручив ей лицензионное про</w:t>
      </w:r>
      <w:r w:rsidRPr="005E779E">
        <w:rPr>
          <w:rFonts w:ascii="Times New Roman" w:hAnsi="Times New Roman"/>
          <w:color w:val="000000" w:themeColor="text1"/>
          <w:sz w:val="16"/>
          <w:szCs w:val="16"/>
        </w:rPr>
        <w:softHyphen/>
        <w:t>изводство разведчика Не 45. Хейнкель даже попытался перекупить завод в Регенсбурге и ликвидировать производственную базу кон</w:t>
      </w:r>
      <w:r w:rsidRPr="005E779E">
        <w:rPr>
          <w:rFonts w:ascii="Times New Roman" w:hAnsi="Times New Roman"/>
          <w:color w:val="000000" w:themeColor="text1"/>
          <w:sz w:val="16"/>
          <w:szCs w:val="16"/>
        </w:rPr>
        <w:softHyphen/>
        <w:t>курента, но это ему не удалось. Взаимная не</w:t>
      </w:r>
      <w:r w:rsidRPr="005E779E">
        <w:rPr>
          <w:rFonts w:ascii="Times New Roman" w:hAnsi="Times New Roman"/>
          <w:color w:val="000000" w:themeColor="text1"/>
          <w:sz w:val="16"/>
          <w:szCs w:val="16"/>
        </w:rPr>
        <w:softHyphen/>
        <w:t>приязнь двух видных германских авиаконст</w:t>
      </w:r>
      <w:r w:rsidRPr="005E779E">
        <w:rPr>
          <w:rFonts w:ascii="Times New Roman" w:hAnsi="Times New Roman"/>
          <w:color w:val="000000" w:themeColor="text1"/>
          <w:sz w:val="16"/>
          <w:szCs w:val="16"/>
        </w:rPr>
        <w:softHyphen/>
        <w:t>рукторов стала еще глубже (24195).</w:t>
      </w:r>
    </w:p>
    <w:p w14:paraId="6EDF24B0" w14:textId="77777777" w:rsidR="00862F5B" w:rsidRPr="005E779E" w:rsidRDefault="00862F5B" w:rsidP="000B7A6C">
      <w:pPr>
        <w:spacing w:after="0" w:line="240" w:lineRule="auto"/>
        <w:jc w:val="both"/>
        <w:rPr>
          <w:rFonts w:ascii="Times New Roman" w:hAnsi="Times New Roman"/>
          <w:color w:val="000000" w:themeColor="text1"/>
          <w:sz w:val="16"/>
          <w:szCs w:val="16"/>
        </w:rPr>
      </w:pPr>
    </w:p>
    <w:p w14:paraId="018F6D07" w14:textId="77777777" w:rsidR="00862F5B" w:rsidRPr="005E779E" w:rsidRDefault="00862F5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июне 1931 г. прототип Ju-52 передали для проведения эксплуатационных испытаний в авиакомпанию Luftfrako Air Express GmbH. Испытания продолжались четыре недели, после чего машину вернули фирме Юнкерс. Специалисты авиакомпании высоко оценили самолет (24200).</w:t>
      </w:r>
    </w:p>
    <w:p w14:paraId="76564708" w14:textId="77777777" w:rsidR="00862F5B" w:rsidRPr="005E779E" w:rsidRDefault="00862F5B" w:rsidP="000B7A6C">
      <w:pPr>
        <w:spacing w:after="0" w:line="240" w:lineRule="auto"/>
        <w:jc w:val="both"/>
        <w:rPr>
          <w:rFonts w:ascii="Times New Roman" w:hAnsi="Times New Roman"/>
          <w:color w:val="000000" w:themeColor="text1"/>
          <w:sz w:val="16"/>
          <w:szCs w:val="16"/>
        </w:rPr>
      </w:pPr>
    </w:p>
    <w:p w14:paraId="6BED83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июне 1931 в Испании было выбрано социал-демократическое правительство (2283).</w:t>
      </w:r>
    </w:p>
    <w:p w14:paraId="11DD84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B77C6C4" w14:textId="77777777" w:rsidR="00665803" w:rsidRPr="005E779E" w:rsidRDefault="00665803"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2D110F11" w14:textId="77777777" w:rsidR="00665803" w:rsidRPr="005E779E" w:rsidRDefault="00665803"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3D938EB" w14:textId="77777777" w:rsidR="00665803" w:rsidRPr="005E779E" w:rsidRDefault="0066580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июня по сентябрь 1931 силами конструкторского бюро автоотдела НАТИ проектируются трёхосные автомобили Я-НАТИ-9Д, входящие в серию тяжёлых грузовиков Я-НАТИ-Х (22518).</w:t>
      </w:r>
    </w:p>
    <w:p w14:paraId="2F696816" w14:textId="77777777" w:rsidR="00665803" w:rsidRPr="005E779E" w:rsidRDefault="00665803" w:rsidP="000B7A6C">
      <w:pPr>
        <w:spacing w:after="0" w:line="240" w:lineRule="auto"/>
        <w:jc w:val="both"/>
        <w:rPr>
          <w:rFonts w:ascii="Times New Roman" w:hAnsi="Times New Roman"/>
          <w:color w:val="000000" w:themeColor="text1"/>
          <w:sz w:val="16"/>
          <w:szCs w:val="16"/>
        </w:rPr>
      </w:pPr>
    </w:p>
    <w:p w14:paraId="7A321F0F"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6FDE717E"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3B4D01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 втором квартале 1931 г. первые И-5 начали поступать на вооружение ВВС. К 1 октября 1931 г. в ВВС РККА насчитывалось 54 И-5, а к 1 января 1933 г. - 348. В 1936 г. их уже начали снимать с вооружения. В 1938 г. в ВВС Забайкальского военного округа оставалось 6 ма</w:t>
      </w:r>
      <w:r w:rsidRPr="005E779E">
        <w:rPr>
          <w:rFonts w:ascii="Times New Roman" w:hAnsi="Times New Roman"/>
          <w:color w:val="000000" w:themeColor="text1"/>
          <w:sz w:val="16"/>
          <w:szCs w:val="16"/>
        </w:rPr>
        <w:softHyphen/>
        <w:t>шин, Киевского - 10, Закавказского - 3, Ленинградского - 8. В апреле 1940 г. в списках самолетного парка ВВС числилось 238 И-5, использовавшихся в летных школах. В ВВС ВМФ смена парка проходила медленнее: в 1935 г. в составе ВВС флота имелось 73 машины, годом позже - 152 (из них 41 - на Черном море, остальные - на Тихом океане); в январе 1940 г. 31 машина находилось в частях флота и 20 самолетов - в училищах морской авиации. И-5 летал и за пределами нашей страны. В октябре 1935 г. перед лицом японской угрозы 21-я эскадрилья из двух отрядов перелетела в Монголию, в Тамсаг-Булак, где занималась патрулированием границы (10667).</w:t>
      </w:r>
    </w:p>
    <w:p w14:paraId="0AA073D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D63996" w14:textId="77777777" w:rsidR="009A598B" w:rsidRPr="00142305" w:rsidRDefault="009A598B" w:rsidP="009A598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Со второго квартала 1931 г. первые И-5 начали поступать на вооружение ВВС (25035).</w:t>
      </w:r>
    </w:p>
    <w:p w14:paraId="2A6C3145" w14:textId="77777777" w:rsidR="009A598B" w:rsidRPr="00142305" w:rsidRDefault="009A598B" w:rsidP="009A598B">
      <w:pPr>
        <w:spacing w:after="0" w:line="240" w:lineRule="auto"/>
        <w:jc w:val="both"/>
        <w:rPr>
          <w:rFonts w:ascii="Times New Roman" w:hAnsi="Times New Roman"/>
          <w:color w:val="0070C0"/>
          <w:sz w:val="16"/>
          <w:szCs w:val="16"/>
        </w:rPr>
      </w:pPr>
    </w:p>
    <w:p w14:paraId="48893615"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52EC8CD5"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7E3B2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лета 1931 закончилась сборка И-12 и в июне машина вышла на аэродром. Потребовался месяц на доводки и первый вылет был только 29 августа 1931 (2693,14) или июле (3996, 96).</w:t>
      </w:r>
    </w:p>
    <w:p w14:paraId="5555F4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D8C81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лета 1931 г. И-12 был закончен постройкой и в июле уже появился на аэродроме. Понадобился, однако, еще целый месяц для доделок систем и доводки винтомоторной группы. 29 августа состоялся первый полет, который показал вполне удовлетворительные характеристики. Переделки машины, однако, продолжались. Выяснилось, что двойное вертикальное оперение, находящееся вне зоны обдувки воздушных винтов, неэффективно на рулежке и на пробеге. Поэтому уже в процессе испытаний установили однокилевое оперение, необходимую жесткость обеспечивали подкосы, соединяющие киль со стабилизатором. Была увеличена площадь элеронов (по причине перекомпенсации). После этой доработки задняя кромка элеронов стала выступать за контур крыла.</w:t>
      </w:r>
    </w:p>
    <w:p w14:paraId="726161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 1931 г. для истребителя И-12 было изготовлено две 76-мм пушки АПК-5. Пушка имела несколько меньший вес, чем АПК-4 (65 кг). Баллистические данные были близки к АПК-4 (вес снаряда 3,0 кг, вес заряда 0,6 кг). Испытания АПК-5 для определения баллистических данных были проведены 26 февраля 1931 г. на НИАПе. Начальная скорость оказалась 397 м/с. Первые наземные стрельбы И-12 с АПК-5 состоялись 11 ноября 1931 г. на аэродроме НИИ ВВС.</w:t>
      </w:r>
    </w:p>
    <w:p w14:paraId="1CEFD7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Отстрелялись вполне успешно, однако при возвращении в Москву самолет подломал костыли. Ремонт потянул за собой очередные доделки и улучшения. На аэродроме И-12 оказался лишь спустя три месяца, в феврале 1932 г. После опробования машины в воздухе 8 февраля летчик-испытатель Иван Фролович Козлов перегнал И-12 на аэродром в Монино, где были продолжены наземные огневые испытания (12091).</w:t>
      </w:r>
    </w:p>
    <w:p w14:paraId="383946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A9A8FFB" w14:textId="77777777" w:rsidR="001A3E40" w:rsidRPr="00142305" w:rsidRDefault="001A3E40" w:rsidP="001A3E4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лета 1931 года сборка АНТ-23 И-12 была завершена, и в июле он появился на аэродроме. Еще месяц ушел на доводку винтомоторной группы и бортовых систем. 29 августа состоялся первый полет, который продемонстрировал вполне приемлемые характеристики. Тем не менее, доработки самолета продолжились. Выяснилось, что двойное вертикальное оперение, расположенное вне зоны обдува винтами, оказалось неэффективным при рулении и пробеге. Поэтому в ходе испытаний установили однокилевое оперение, необходимую жесткость которого обеспечили подкосы. Из-за перекомпенсации потребовалось увеличить площадь элеронов, в результате чего их задняя кромка стала выступать за контур крыла. Капотирование переднего двигателя с индивидуальными обтекателями для каждого цилиндра оказалось не совсем удачным. Во время одного из полетов несколько обтекателей сорвало, и они повредили задний винт (25642).</w:t>
      </w:r>
    </w:p>
    <w:p w14:paraId="36925BF0" w14:textId="77777777" w:rsidR="001A3E40" w:rsidRPr="00142305" w:rsidRDefault="001A3E40" w:rsidP="001A3E40">
      <w:pPr>
        <w:spacing w:after="0" w:line="240" w:lineRule="auto"/>
        <w:jc w:val="both"/>
        <w:rPr>
          <w:rFonts w:ascii="Times New Roman" w:hAnsi="Times New Roman"/>
          <w:color w:val="0070C0"/>
          <w:sz w:val="16"/>
          <w:szCs w:val="16"/>
        </w:rPr>
      </w:pPr>
    </w:p>
    <w:p w14:paraId="08592B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лета 1931 г. ТБ-5 вывезли на аэродром. После проверок и доводок было решено выпустить машину в воздух (5854,33).</w:t>
      </w:r>
    </w:p>
    <w:p w14:paraId="5FDFC5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6B326BB" w14:textId="77777777" w:rsidR="007F6BD6" w:rsidRPr="005E779E" w:rsidRDefault="007F6BD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лета 1931 г. ТБ-5 вывезли на аэродром. После проведения соответ</w:t>
      </w:r>
      <w:r w:rsidRPr="005E779E">
        <w:rPr>
          <w:rFonts w:ascii="Times New Roman" w:hAnsi="Times New Roman"/>
          <w:color w:val="000000" w:themeColor="text1"/>
          <w:sz w:val="16"/>
          <w:szCs w:val="16"/>
        </w:rPr>
        <w:softHyphen/>
        <w:t>ствующих проверок и доводок было решено выпустить машину в воздух. 30 июня летчик Бенедикт Бухгольц совершил первый проб</w:t>
      </w:r>
      <w:r w:rsidRPr="005E779E">
        <w:rPr>
          <w:rFonts w:ascii="Times New Roman" w:hAnsi="Times New Roman"/>
          <w:color w:val="000000" w:themeColor="text1"/>
          <w:sz w:val="16"/>
          <w:szCs w:val="16"/>
        </w:rPr>
        <w:softHyphen/>
        <w:t>ный полет самолета в зоне Ходынского аэро</w:t>
      </w:r>
      <w:r w:rsidRPr="005E779E">
        <w:rPr>
          <w:rFonts w:ascii="Times New Roman" w:hAnsi="Times New Roman"/>
          <w:color w:val="000000" w:themeColor="text1"/>
          <w:sz w:val="16"/>
          <w:szCs w:val="16"/>
        </w:rPr>
        <w:softHyphen/>
        <w:t>дрома. Естественно, перед полетом имелись опасения в отношении управляемости такой тяжелой машины в воздухе, интересовало в частности, как поведет себя стабилирон. Бухгольц после приземления все опасения развеял, заявив буквально следующее: «Устойчивость в воздухе хорошая. Легкость управления самолетом невиданная. Очень малы нагрузки на рули».</w:t>
      </w:r>
    </w:p>
    <w:p w14:paraId="41E199B1" w14:textId="77777777" w:rsidR="007F6BD6" w:rsidRPr="005E779E" w:rsidRDefault="007F6BD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20 июля 1931 г. самолет совершил 4 успешных полета. При взлетном весе 11200 кг, запасе топлива 1850 кг, даль</w:t>
      </w:r>
      <w:r w:rsidRPr="005E779E">
        <w:rPr>
          <w:rFonts w:ascii="Times New Roman" w:hAnsi="Times New Roman"/>
          <w:color w:val="000000" w:themeColor="text1"/>
          <w:sz w:val="16"/>
          <w:szCs w:val="16"/>
        </w:rPr>
        <w:softHyphen/>
        <w:t>ность полета определялась в 1100 км. Достигнутая продолжительность нахож</w:t>
      </w:r>
      <w:r w:rsidRPr="005E779E">
        <w:rPr>
          <w:rFonts w:ascii="Times New Roman" w:hAnsi="Times New Roman"/>
          <w:color w:val="000000" w:themeColor="text1"/>
          <w:sz w:val="16"/>
          <w:szCs w:val="16"/>
        </w:rPr>
        <w:softHyphen/>
        <w:t>дения в воздухе при крейсерской скорости 162 км/ч на высоте 3000 м составляла 6,7 ч.Максимальная дальность полета при пол</w:t>
      </w:r>
      <w:r w:rsidRPr="005E779E">
        <w:rPr>
          <w:rFonts w:ascii="Times New Roman" w:hAnsi="Times New Roman"/>
          <w:color w:val="000000" w:themeColor="text1"/>
          <w:sz w:val="16"/>
          <w:szCs w:val="16"/>
        </w:rPr>
        <w:softHyphen/>
        <w:t>ной загрузке топливом 2410 кг составляла 2100 км. Взлетный вес при этом —12060 кг, из них бомб 500 кг. Максимальная скорость составила 180 км/ч у земли, практический потолок — 3500 м, разбег на взлете — 400-420 м.</w:t>
      </w:r>
    </w:p>
    <w:p w14:paraId="06D1F944" w14:textId="77777777" w:rsidR="007F6BD6" w:rsidRPr="005E779E" w:rsidRDefault="007F6BD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Полученные на испытаниях летные характеристики ТБ-5 оценили как невысо</w:t>
      </w:r>
      <w:r w:rsidRPr="005E779E">
        <w:rPr>
          <w:rFonts w:ascii="Times New Roman" w:hAnsi="Times New Roman"/>
          <w:color w:val="000000" w:themeColor="text1"/>
          <w:sz w:val="16"/>
          <w:szCs w:val="16"/>
        </w:rPr>
        <w:softHyphen/>
        <w:t>кие, особенно в сравнении с уже летающим в течении полугода ТБ-3. Причиной полу</w:t>
      </w:r>
      <w:r w:rsidRPr="005E779E">
        <w:rPr>
          <w:rFonts w:ascii="Times New Roman" w:hAnsi="Times New Roman"/>
          <w:color w:val="000000" w:themeColor="text1"/>
          <w:sz w:val="16"/>
          <w:szCs w:val="16"/>
        </w:rPr>
        <w:softHyphen/>
        <w:t>ченных результатов являлась не вполне удачная тандемная установка двигателей Гном Рон «Юпитер». Двигатели были оснащены воздушными винтами, более подходящими для самолетов истребите</w:t>
      </w:r>
      <w:r w:rsidRPr="005E779E">
        <w:rPr>
          <w:rFonts w:ascii="Times New Roman" w:hAnsi="Times New Roman"/>
          <w:color w:val="000000" w:themeColor="text1"/>
          <w:sz w:val="16"/>
          <w:szCs w:val="16"/>
        </w:rPr>
        <w:softHyphen/>
        <w:t>лей, нежели для бомбардировщика. Кроме того, толкающие винты задних двигателей по условиям их размещения под крылом самолета пришлось значительно умень</w:t>
      </w:r>
      <w:r w:rsidRPr="005E779E">
        <w:rPr>
          <w:rFonts w:ascii="Times New Roman" w:hAnsi="Times New Roman"/>
          <w:color w:val="000000" w:themeColor="text1"/>
          <w:sz w:val="16"/>
          <w:szCs w:val="16"/>
        </w:rPr>
        <w:softHyphen/>
        <w:t>шить в диаметре.</w:t>
      </w:r>
    </w:p>
    <w:p w14:paraId="405450A3" w14:textId="77777777" w:rsidR="007F6BD6" w:rsidRPr="005E779E" w:rsidRDefault="007F6BD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Однако, в сравнении с ТБ-3, у бом</w:t>
      </w:r>
      <w:r w:rsidRPr="005E779E">
        <w:rPr>
          <w:rFonts w:ascii="Times New Roman" w:hAnsi="Times New Roman"/>
          <w:color w:val="000000" w:themeColor="text1"/>
          <w:sz w:val="16"/>
          <w:szCs w:val="16"/>
        </w:rPr>
        <w:softHyphen/>
        <w:t>бардировщика Григоровича имелись и неоспоримые преимущества. ТБ-5 имел более совершенную схему размещения оборонительных установок, внутрен</w:t>
      </w:r>
      <w:r w:rsidRPr="005E779E">
        <w:rPr>
          <w:rFonts w:ascii="Times New Roman" w:hAnsi="Times New Roman"/>
          <w:color w:val="000000" w:themeColor="text1"/>
          <w:sz w:val="16"/>
          <w:szCs w:val="16"/>
        </w:rPr>
        <w:softHyphen/>
        <w:t>нюю подвеску всего ассортимента бомб, обладал меньшими геометрическими размерами. Главным его достоинством считалась меньшая стоимость и мень</w:t>
      </w:r>
      <w:r w:rsidRPr="005E779E">
        <w:rPr>
          <w:rFonts w:ascii="Times New Roman" w:hAnsi="Times New Roman"/>
          <w:color w:val="000000" w:themeColor="text1"/>
          <w:sz w:val="16"/>
          <w:szCs w:val="16"/>
        </w:rPr>
        <w:softHyphen/>
        <w:t>шие трудозатраты при производстве. По последнему показателю ТБ-5 оценивался равнозначно с ТБ-1 и на четверть проще в изготовлении, чем ТБ-3.</w:t>
      </w:r>
    </w:p>
    <w:p w14:paraId="7DA65A1F" w14:textId="77777777" w:rsidR="007F6BD6" w:rsidRPr="005E779E" w:rsidRDefault="007F6BD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схеме ТБ-5 представлял собой высокоплан с разнесенным вертикальным оперением. Горизонтальное оперение имело дополнительную узкую плоскость с изменяемым в полете углом установки, которую называли стабилирон. Назначе</w:t>
      </w:r>
      <w:r w:rsidRPr="005E779E">
        <w:rPr>
          <w:rFonts w:ascii="Times New Roman" w:hAnsi="Times New Roman"/>
          <w:color w:val="000000" w:themeColor="text1"/>
          <w:sz w:val="16"/>
          <w:szCs w:val="16"/>
        </w:rPr>
        <w:softHyphen/>
        <w:t>ние стабилирона — облегчить усилия на рулях во время посадки и при изменении центровки.</w:t>
      </w:r>
    </w:p>
    <w:p w14:paraId="71DC6074" w14:textId="77777777" w:rsidR="007F6BD6" w:rsidRPr="005E779E" w:rsidRDefault="007F6BD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Конструкция самолета из металла с полотняной обшивкой. Фюзеляж фер</w:t>
      </w:r>
      <w:r w:rsidRPr="005E779E">
        <w:rPr>
          <w:rFonts w:ascii="Times New Roman" w:hAnsi="Times New Roman"/>
          <w:color w:val="000000" w:themeColor="text1"/>
          <w:sz w:val="16"/>
          <w:szCs w:val="16"/>
        </w:rPr>
        <w:softHyphen/>
        <w:t>менной конструкции, из труб, достаточно объемный. Бомбы крепились внутри по его бортам, на балках ДЕР-18 (в варианте с двигателями ФЭД до 2500 кг), поэтому члены экипажа могли свободно передви</w:t>
      </w:r>
      <w:r w:rsidRPr="005E779E">
        <w:rPr>
          <w:rFonts w:ascii="Times New Roman" w:hAnsi="Times New Roman"/>
          <w:color w:val="000000" w:themeColor="text1"/>
          <w:sz w:val="16"/>
          <w:szCs w:val="16"/>
        </w:rPr>
        <w:softHyphen/>
        <w:t>гаться по самолету от носа до хвоста. Для обеспечения транспортировки по железной дороге фюзеляж состоял из трех разъем</w:t>
      </w:r>
      <w:r w:rsidRPr="005E779E">
        <w:rPr>
          <w:rFonts w:ascii="Times New Roman" w:hAnsi="Times New Roman"/>
          <w:color w:val="000000" w:themeColor="text1"/>
          <w:sz w:val="16"/>
          <w:szCs w:val="16"/>
        </w:rPr>
        <w:softHyphen/>
        <w:t>ных частей: носовой — до задней кромки крыла, средней — до передней кромки стабилизатора, и хвостовой. Добавим, что согласно проекту, в длительных полетах летчики могли пользоваться туалетной комнатой и четырьмя подвесными гама</w:t>
      </w:r>
      <w:r w:rsidRPr="005E779E">
        <w:rPr>
          <w:rFonts w:ascii="Times New Roman" w:hAnsi="Times New Roman"/>
          <w:color w:val="000000" w:themeColor="text1"/>
          <w:sz w:val="16"/>
          <w:szCs w:val="16"/>
        </w:rPr>
        <w:softHyphen/>
        <w:t>ками для отдыха.</w:t>
      </w:r>
    </w:p>
    <w:p w14:paraId="2E6D3276" w14:textId="77777777" w:rsidR="007F6BD6" w:rsidRPr="005E779E" w:rsidRDefault="007F6BD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Оборонительное вооружение ТБ-5 состояло из трех турелей ТУ Р-5 со спарен</w:t>
      </w:r>
      <w:r w:rsidRPr="005E779E">
        <w:rPr>
          <w:rFonts w:ascii="Times New Roman" w:hAnsi="Times New Roman"/>
          <w:color w:val="000000" w:themeColor="text1"/>
          <w:sz w:val="16"/>
          <w:szCs w:val="16"/>
        </w:rPr>
        <w:softHyphen/>
        <w:t>ными пулеметами ДА. Одна турель нахо</w:t>
      </w:r>
      <w:r w:rsidRPr="005E779E">
        <w:rPr>
          <w:rFonts w:ascii="Times New Roman" w:hAnsi="Times New Roman"/>
          <w:color w:val="000000" w:themeColor="text1"/>
          <w:sz w:val="16"/>
          <w:szCs w:val="16"/>
        </w:rPr>
        <w:softHyphen/>
        <w:t>дилась над штурманской кабиной, перед фонарем пилотов. Кроме этого имелась одна центральная ТУР-5 сразу за крылом и еще одна турель в самом хвосте.</w:t>
      </w:r>
    </w:p>
    <w:p w14:paraId="2E359722" w14:textId="77777777" w:rsidR="007F6BD6" w:rsidRPr="005E779E" w:rsidRDefault="007F6BD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Особое место в носовой части фюзе</w:t>
      </w:r>
      <w:r w:rsidRPr="005E779E">
        <w:rPr>
          <w:rFonts w:ascii="Times New Roman" w:hAnsi="Times New Roman"/>
          <w:color w:val="000000" w:themeColor="text1"/>
          <w:sz w:val="16"/>
          <w:szCs w:val="16"/>
        </w:rPr>
        <w:softHyphen/>
        <w:t>ляжа отводилось подвижной стрелковой башне, разработанной в секции вооруже</w:t>
      </w:r>
      <w:r w:rsidRPr="005E779E">
        <w:rPr>
          <w:rFonts w:ascii="Times New Roman" w:hAnsi="Times New Roman"/>
          <w:color w:val="000000" w:themeColor="text1"/>
          <w:sz w:val="16"/>
          <w:szCs w:val="16"/>
        </w:rPr>
        <w:softHyphen/>
        <w:t>ния под руководством А.В. Надашкевича. Практически это была первая в стране заявка на серьезную механизированную и электрифицированную оборонитель</w:t>
      </w:r>
      <w:r w:rsidRPr="005E779E">
        <w:rPr>
          <w:rFonts w:ascii="Times New Roman" w:hAnsi="Times New Roman"/>
          <w:color w:val="000000" w:themeColor="text1"/>
          <w:sz w:val="16"/>
          <w:szCs w:val="16"/>
        </w:rPr>
        <w:softHyphen/>
        <w:t>ную установку. Конструктор вооружения Г.М. Можаровский, который принимал участие в этой работе, впоследствии вспоминал: «Башня представляла собой цилиндрической формы стакан, вра</w:t>
      </w:r>
      <w:r w:rsidRPr="005E779E">
        <w:rPr>
          <w:rFonts w:ascii="Times New Roman" w:hAnsi="Times New Roman"/>
          <w:color w:val="000000" w:themeColor="text1"/>
          <w:sz w:val="16"/>
          <w:szCs w:val="16"/>
        </w:rPr>
        <w:softHyphen/>
        <w:t>щающийся вокруг вертикальной оси, имела узкую щель для движения двух пулеметов в вертикальной плоскости. Перемещение пулеметов в горизонтальной плоскости производилось одновременно с поворотом башни. Стрелок размещался внутри этого стакана и, в случае необходимости, мог выброситься через большую дверь, рас</w:t>
      </w:r>
      <w:r w:rsidRPr="005E779E">
        <w:rPr>
          <w:rFonts w:ascii="Times New Roman" w:hAnsi="Times New Roman"/>
          <w:color w:val="000000" w:themeColor="text1"/>
          <w:sz w:val="16"/>
          <w:szCs w:val="16"/>
        </w:rPr>
        <w:softHyphen/>
        <w:t>положенную за его спиной.</w:t>
      </w:r>
    </w:p>
    <w:p w14:paraId="58F3CB04" w14:textId="77777777" w:rsidR="007F6BD6" w:rsidRPr="005E779E" w:rsidRDefault="007F6BD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Эта носовая башня должна была заключать в себе ряд новинок. В ней впервые предстояло установить два спаренных станковых пулемета ПВ-1, сделанных на базе пехотных «максимов», у которых вместо водяного применялось воздушное охлаждение. Башня, являв</w:t>
      </w:r>
      <w:r w:rsidRPr="005E779E">
        <w:rPr>
          <w:rFonts w:ascii="Times New Roman" w:hAnsi="Times New Roman"/>
          <w:color w:val="000000" w:themeColor="text1"/>
          <w:sz w:val="16"/>
          <w:szCs w:val="16"/>
        </w:rPr>
        <w:softHyphen/>
        <w:t>шаяся подвижной установкой, впервые вооружалась пулеметами с непрерывным ленточным питанием. Поворот башни в горизонтальной плоскости происходил от электропривода, а в вертикальной плоско</w:t>
      </w:r>
      <w:r w:rsidRPr="005E779E">
        <w:rPr>
          <w:rFonts w:ascii="Times New Roman" w:hAnsi="Times New Roman"/>
          <w:color w:val="000000" w:themeColor="text1"/>
          <w:sz w:val="16"/>
          <w:szCs w:val="16"/>
        </w:rPr>
        <w:softHyphen/>
        <w:t>сти его производил сам стрелок, сидевший на сиденье и своим весом уравновеши</w:t>
      </w:r>
      <w:r w:rsidRPr="005E779E">
        <w:rPr>
          <w:rFonts w:ascii="Times New Roman" w:hAnsi="Times New Roman"/>
          <w:color w:val="000000" w:themeColor="text1"/>
          <w:sz w:val="16"/>
          <w:szCs w:val="16"/>
        </w:rPr>
        <w:softHyphen/>
        <w:t>вающий вес оружия. Чтобы осуществлять наводку оружия в вертикальной плоскости, достаточно было стрелку легко упереться ногами в пол».</w:t>
      </w:r>
    </w:p>
    <w:p w14:paraId="1BC0463A" w14:textId="77777777" w:rsidR="007F6BD6" w:rsidRPr="005E779E" w:rsidRDefault="007F6BD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Крыло ТБ-5 трехлонжеронное, с частым шагом нервюр (поэтому и очень трудоем</w:t>
      </w:r>
      <w:r w:rsidRPr="005E779E">
        <w:rPr>
          <w:rFonts w:ascii="Times New Roman" w:hAnsi="Times New Roman"/>
          <w:color w:val="000000" w:themeColor="text1"/>
          <w:sz w:val="16"/>
          <w:szCs w:val="16"/>
        </w:rPr>
        <w:softHyphen/>
        <w:t>кое, особенно но части крепления полотня</w:t>
      </w:r>
      <w:r w:rsidRPr="005E779E">
        <w:rPr>
          <w:rFonts w:ascii="Times New Roman" w:hAnsi="Times New Roman"/>
          <w:color w:val="000000" w:themeColor="text1"/>
          <w:sz w:val="16"/>
          <w:szCs w:val="16"/>
        </w:rPr>
        <w:softHyphen/>
        <w:t>ной обшивки), имело небольшие подкосы к фюзеляжу. Дополнительным назначением подкосов было получение более жесткой конструкции крепления двигателей.</w:t>
      </w:r>
    </w:p>
    <w:p w14:paraId="3A52D685" w14:textId="77777777" w:rsidR="007F6BD6" w:rsidRPr="005E779E" w:rsidRDefault="007F6BD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самолете с каждой стороны фюзеляжа под крылом устанавливались по два двига</w:t>
      </w:r>
      <w:r w:rsidRPr="005E779E">
        <w:rPr>
          <w:rFonts w:ascii="Times New Roman" w:hAnsi="Times New Roman"/>
          <w:color w:val="000000" w:themeColor="text1"/>
          <w:sz w:val="16"/>
          <w:szCs w:val="16"/>
        </w:rPr>
        <w:softHyphen/>
        <w:t>теля Гном Рон «Юпитер» мощностью 480 л.с. (у нас впоследствии его обозначали как М-22), один за другим, причем задний двигатель был снабжен для улучшения охлаждения головок цилиндров кольцом Тауненда. Воздушные винты деревянные, передний — тянущий, задний — толкающий (12611) (12611).</w:t>
      </w:r>
    </w:p>
    <w:p w14:paraId="16FC6FAE" w14:textId="77777777" w:rsidR="007F6BD6" w:rsidRPr="005E779E" w:rsidRDefault="007F6BD6" w:rsidP="000B7A6C">
      <w:pPr>
        <w:spacing w:after="0" w:line="240" w:lineRule="auto"/>
        <w:jc w:val="both"/>
        <w:rPr>
          <w:rFonts w:ascii="Times New Roman" w:hAnsi="Times New Roman"/>
          <w:color w:val="000000" w:themeColor="text1"/>
          <w:sz w:val="16"/>
          <w:szCs w:val="16"/>
        </w:rPr>
      </w:pPr>
    </w:p>
    <w:p w14:paraId="6D5525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лета 1931 г. пушечный истребитель Григоровича вывезли на аэродром Поднимал его в воздух известный лётчик-испытатель Бенедикт Бухгольц, точная дата первого полёта автору неизвестна (12005).</w:t>
      </w:r>
    </w:p>
    <w:p w14:paraId="767953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D58BF4D" w14:textId="12D89F0F" w:rsidR="000B7ADA" w:rsidRPr="005E779E" w:rsidRDefault="000B7ADA" w:rsidP="000B7A6C">
      <w:pPr>
        <w:autoSpaceDE w:val="0"/>
        <w:autoSpaceDN w:val="0"/>
        <w:adjustRightInd w:val="0"/>
        <w:spacing w:after="0" w:line="240" w:lineRule="auto"/>
        <w:jc w:val="both"/>
        <w:rPr>
          <w:rFonts w:ascii="Times New Roman" w:hAnsi="Times New Roman"/>
          <w:i/>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05EBC2F7" w14:textId="77777777" w:rsidR="000B7ADA" w:rsidRPr="005E779E" w:rsidRDefault="000B7ADA" w:rsidP="000B7A6C">
      <w:pPr>
        <w:autoSpaceDE w:val="0"/>
        <w:autoSpaceDN w:val="0"/>
        <w:adjustRightInd w:val="0"/>
        <w:spacing w:after="0" w:line="240" w:lineRule="auto"/>
        <w:jc w:val="both"/>
        <w:rPr>
          <w:rFonts w:ascii="Times New Roman" w:hAnsi="Times New Roman"/>
          <w:i/>
          <w:iCs/>
          <w:color w:val="000000" w:themeColor="text1"/>
          <w:sz w:val="16"/>
          <w:szCs w:val="16"/>
        </w:rPr>
      </w:pPr>
    </w:p>
    <w:p w14:paraId="35737B87" w14:textId="77777777" w:rsidR="001A3E40" w:rsidRPr="00142305" w:rsidRDefault="001A3E40" w:rsidP="001A3E40">
      <w:pPr>
        <w:spacing w:after="0" w:line="240" w:lineRule="auto"/>
        <w:jc w:val="both"/>
        <w:rPr>
          <w:rFonts w:ascii="Times New Roman" w:eastAsia="Trebuchet MS" w:hAnsi="Times New Roman"/>
          <w:color w:val="0070C0"/>
          <w:sz w:val="16"/>
          <w:szCs w:val="16"/>
          <w:shd w:val="clear" w:color="auto" w:fill="FFFFFF"/>
        </w:rPr>
      </w:pPr>
      <w:r w:rsidRPr="00142305">
        <w:rPr>
          <w:rFonts w:ascii="Times New Roman" w:eastAsia="Trebuchet MS" w:hAnsi="Times New Roman"/>
          <w:color w:val="0070C0"/>
          <w:sz w:val="16"/>
          <w:szCs w:val="16"/>
          <w:shd w:val="clear" w:color="auto" w:fill="FFFFFF"/>
        </w:rPr>
        <w:t>В начале лета 1931 г., когда другие машины прошли первые испытания, Д-15 был достроен. Из-за неопределенного статуса «собратьев» танк до конца 1932 г. оставался на заводе МОЖЕРЕЗ. После этого его разобрали вслед за другими танками на базе тракторов.</w:t>
      </w:r>
    </w:p>
    <w:p w14:paraId="2A56AF0E" w14:textId="77777777" w:rsidR="001A3E40" w:rsidRPr="00142305" w:rsidRDefault="001A3E40" w:rsidP="001A3E40">
      <w:pPr>
        <w:spacing w:after="0" w:line="240" w:lineRule="auto"/>
        <w:jc w:val="both"/>
        <w:rPr>
          <w:rFonts w:ascii="Times New Roman" w:eastAsia="Trebuchet MS" w:hAnsi="Times New Roman"/>
          <w:color w:val="0070C0"/>
          <w:sz w:val="16"/>
          <w:szCs w:val="16"/>
          <w:shd w:val="clear" w:color="auto" w:fill="FFFFFF"/>
        </w:rPr>
      </w:pPr>
      <w:r w:rsidRPr="00142305">
        <w:rPr>
          <w:rFonts w:ascii="Times New Roman" w:eastAsia="Trebuchet MS" w:hAnsi="Times New Roman"/>
          <w:color w:val="0070C0"/>
          <w:sz w:val="16"/>
          <w:szCs w:val="16"/>
          <w:shd w:val="clear" w:color="auto" w:fill="FFFFFF"/>
        </w:rPr>
        <w:t>По другим данным, Д-15 все же смог выйти на ходовые испытания. Однако танк показал характеристики на уровне других образцов и не устроил заказчика. Подвижность на местности была неудовлетворительной, причем на ней негативно сказались два бака на 4 тыс. л полезной нагрузки. После испытаний танк поставили на хранение, а в 1932-м – разобрали на запчасти.</w:t>
      </w:r>
    </w:p>
    <w:p w14:paraId="5A866ABA" w14:textId="77777777" w:rsidR="001A3E40" w:rsidRPr="00142305" w:rsidRDefault="001A3E40" w:rsidP="001A3E40">
      <w:pPr>
        <w:spacing w:after="0" w:line="240" w:lineRule="auto"/>
        <w:jc w:val="both"/>
        <w:rPr>
          <w:rFonts w:ascii="Times New Roman" w:eastAsia="Trebuchet MS" w:hAnsi="Times New Roman"/>
          <w:color w:val="0070C0"/>
          <w:sz w:val="16"/>
          <w:szCs w:val="16"/>
          <w:shd w:val="clear" w:color="auto" w:fill="FFFFFF"/>
        </w:rPr>
      </w:pPr>
      <w:r w:rsidRPr="00142305">
        <w:rPr>
          <w:rFonts w:ascii="Times New Roman" w:eastAsia="Trebuchet MS" w:hAnsi="Times New Roman"/>
          <w:color w:val="0070C0"/>
          <w:sz w:val="16"/>
          <w:szCs w:val="16"/>
          <w:shd w:val="clear" w:color="auto" w:fill="FFFFFF"/>
        </w:rPr>
        <w:t>Какой из источников ближе к истине, неизвестно. Однако они сходятся в одном. Танк Д-15 и другие машины на тракторном шасси не показывали высоких характеристик подвижности и не представляли интереса для армии. По этой причине уже в 1932 г. их отправили в разборку. От танков Д-10 и Д-11, а также транспортера Д-14 остались только фотографии. Первому в нашей стране химическому танку Д-15 повезло меньше – теперь его точный облик неизвестен (25586).</w:t>
      </w:r>
    </w:p>
    <w:p w14:paraId="71B935B6" w14:textId="77777777" w:rsidR="001A3E40" w:rsidRPr="00142305" w:rsidRDefault="001A3E40" w:rsidP="001A3E40">
      <w:pPr>
        <w:spacing w:after="0" w:line="240" w:lineRule="auto"/>
        <w:jc w:val="both"/>
        <w:rPr>
          <w:rStyle w:val="aff0"/>
          <w:rFonts w:ascii="Times New Roman" w:hAnsi="Times New Roman" w:cs="Times New Roman"/>
          <w:color w:val="0070C0"/>
          <w:spacing w:val="0"/>
          <w:sz w:val="16"/>
          <w:szCs w:val="16"/>
        </w:rPr>
      </w:pPr>
    </w:p>
    <w:p w14:paraId="40A323F2"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лета 1931 г. документов следует, что работы по созданию в СССР танковых дизелей только начинали набирать обороты. При этом проектирование танковых дизелей велось параллельно в двух конструкторских бюро – в Специальном конструкторском бюро дизельного отдела НАТИ ВАТО и в Особом конструкторском бюро при Техническом отделе Экономического управления ОГПУ (ТО ЭКУ ОГПУ).</w:t>
      </w:r>
    </w:p>
    <w:p w14:paraId="4DA6C6D1"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Отметим, что в отличие от разрабатывавшегося в НАТИ дизеля Д-300, не предназначавшегося для установки в конкретный образец танка, дизель с максимальной мощностью 400 л.с., проектируемый в ОКБ при ТО ЭКУ ОГПУ, был изначально предназначен для создаваемого в этом же ОКБ колесно-гусеничного плавающего танка ПТ-1. В честь начальника ЭКУ ОГПУ Прокофьева Георгия Евгеньевича этот дизель был назван ПГЕ (24856).</w:t>
      </w:r>
    </w:p>
    <w:p w14:paraId="122619D8" w14:textId="77777777" w:rsidR="000B7ADA" w:rsidRPr="005E779E" w:rsidRDefault="000B7ADA" w:rsidP="000B7A6C">
      <w:pPr>
        <w:spacing w:after="0" w:line="240" w:lineRule="auto"/>
        <w:jc w:val="both"/>
        <w:rPr>
          <w:rFonts w:ascii="Times New Roman" w:hAnsi="Times New Roman"/>
          <w:color w:val="000000" w:themeColor="text1"/>
          <w:sz w:val="16"/>
          <w:szCs w:val="16"/>
        </w:rPr>
      </w:pPr>
    </w:p>
    <w:p w14:paraId="27751DA1" w14:textId="50AFDE30"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52FE6A9A"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FAE4816"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Летом 1931 г. на должность начальника ВАО назначен П.И. Баранов (при этом он сохранил и должность начальника УВВС, в 1932 г. назначен еще и заместителем наркома тяжелой промышленности). При Баранове на фоне резко осложнившейся международной обстановки были предприняты чрезвычайные меры по форсированию не только разработки новых военных самолетов, но и запуска их в серийное производство и наращиванию поставок в войска. При этом он делал упор </w:t>
      </w:r>
      <w:r w:rsidRPr="005E779E">
        <w:rPr>
          <w:rFonts w:ascii="Times New Roman" w:hAnsi="Times New Roman"/>
          <w:color w:val="000000" w:themeColor="text1"/>
          <w:sz w:val="16"/>
          <w:szCs w:val="16"/>
        </w:rPr>
        <w:lastRenderedPageBreak/>
        <w:t>на контроль качества продукции и выполнения планов не по линии ОГПУ, а через ВАО и УВВС, что благотворно сказалось на обстановке в ЦКБ-39. Также он способствовал развитию экспериментальной и производственной базы ЦКБ и комплектации его подготовленными кадрами (23559).</w:t>
      </w:r>
    </w:p>
    <w:p w14:paraId="7C103B8C" w14:textId="77777777" w:rsidR="000B7ADA" w:rsidRPr="005E779E" w:rsidRDefault="000B7ADA" w:rsidP="000B7A6C">
      <w:pPr>
        <w:spacing w:after="0" w:line="240" w:lineRule="auto"/>
        <w:jc w:val="both"/>
        <w:rPr>
          <w:rFonts w:ascii="Times New Roman" w:hAnsi="Times New Roman"/>
          <w:color w:val="000000" w:themeColor="text1"/>
          <w:sz w:val="16"/>
          <w:szCs w:val="16"/>
        </w:rPr>
      </w:pPr>
    </w:p>
    <w:p w14:paraId="70632C18"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Летом 1931 результаты своей работы по испытаниям самолета ТБ- 2 НИИ ВВС оформил в несколько странном от</w:t>
      </w:r>
      <w:r w:rsidRPr="005E779E">
        <w:rPr>
          <w:rFonts w:ascii="Times New Roman" w:hAnsi="Times New Roman"/>
          <w:color w:val="000000" w:themeColor="text1"/>
          <w:sz w:val="16"/>
          <w:szCs w:val="16"/>
        </w:rPr>
        <w:softHyphen/>
        <w:t>чете. В нем не были указаны исполнители, сроки проведения работ, отсутствовала про</w:t>
      </w:r>
      <w:r w:rsidRPr="005E779E">
        <w:rPr>
          <w:rFonts w:ascii="Times New Roman" w:hAnsi="Times New Roman"/>
          <w:color w:val="000000" w:themeColor="text1"/>
          <w:sz w:val="16"/>
          <w:szCs w:val="16"/>
        </w:rPr>
        <w:softHyphen/>
        <w:t>грамма испытаний и их дневник. Тем не менее, был выполнен большой объем работ и даже проведен сравнительный анализ полученных результатов с данными испытаний ТБ-1.</w:t>
      </w:r>
    </w:p>
    <w:p w14:paraId="279F8137"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Эксплуатационно-летная оценка ТБ-2 в отчете звучала достаточно благоприятно: «Работа на земле. - При работе моторов на малых оборотах наблюдаются значитель</w:t>
      </w:r>
      <w:r w:rsidRPr="005E779E">
        <w:rPr>
          <w:rFonts w:ascii="Times New Roman" w:hAnsi="Times New Roman"/>
          <w:color w:val="000000" w:themeColor="text1"/>
          <w:sz w:val="16"/>
          <w:szCs w:val="16"/>
        </w:rPr>
        <w:softHyphen/>
        <w:t>ные вибрации консолей крыльев. С увеличе</w:t>
      </w:r>
      <w:r w:rsidRPr="005E779E">
        <w:rPr>
          <w:rFonts w:ascii="Times New Roman" w:hAnsi="Times New Roman"/>
          <w:color w:val="000000" w:themeColor="text1"/>
          <w:sz w:val="16"/>
          <w:szCs w:val="16"/>
        </w:rPr>
        <w:softHyphen/>
        <w:t>нием оборотов вибрации уменьшаются до нормальных. При пробе моторов вполне до</w:t>
      </w:r>
      <w:r w:rsidRPr="005E779E">
        <w:rPr>
          <w:rFonts w:ascii="Times New Roman" w:hAnsi="Times New Roman"/>
          <w:color w:val="000000" w:themeColor="text1"/>
          <w:sz w:val="16"/>
          <w:szCs w:val="16"/>
        </w:rPr>
        <w:softHyphen/>
        <w:t>статочны подкладки под колеса обычного образца. Максимальное число оборотов мо</w:t>
      </w:r>
      <w:r w:rsidRPr="005E779E">
        <w:rPr>
          <w:rFonts w:ascii="Times New Roman" w:hAnsi="Times New Roman"/>
          <w:color w:val="000000" w:themeColor="text1"/>
          <w:sz w:val="16"/>
          <w:szCs w:val="16"/>
        </w:rPr>
        <w:softHyphen/>
        <w:t>торов с высотным газом - 1420.</w:t>
      </w:r>
    </w:p>
    <w:p w14:paraId="2D2CF56C"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Руление - Рулежка производится при 700</w:t>
      </w:r>
    </w:p>
    <w:p w14:paraId="30CFECED"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Сравнительная таблица характеристик ТБ-1 и ТБ-2 (по данным НИИ ВВС)</w:t>
      </w:r>
    </w:p>
    <w:tbl>
      <w:tblPr>
        <w:tblOverlap w:val="never"/>
        <w:tblW w:w="0" w:type="auto"/>
        <w:tblLayout w:type="fixed"/>
        <w:tblCellMar>
          <w:left w:w="10" w:type="dxa"/>
          <w:right w:w="10" w:type="dxa"/>
        </w:tblCellMar>
        <w:tblLook w:val="04A0" w:firstRow="1" w:lastRow="0" w:firstColumn="1" w:lastColumn="0" w:noHBand="0" w:noVBand="1"/>
      </w:tblPr>
      <w:tblGrid>
        <w:gridCol w:w="4075"/>
        <w:gridCol w:w="1195"/>
        <w:gridCol w:w="1099"/>
      </w:tblGrid>
      <w:tr w:rsidR="000B7ADA" w:rsidRPr="005E779E" w14:paraId="2FB2EAAC" w14:textId="77777777" w:rsidTr="004B2EA4">
        <w:trPr>
          <w:trHeight w:val="168"/>
        </w:trPr>
        <w:tc>
          <w:tcPr>
            <w:tcW w:w="4075" w:type="dxa"/>
            <w:vAlign w:val="bottom"/>
          </w:tcPr>
          <w:p w14:paraId="33C11EE2"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w:t>
            </w:r>
          </w:p>
        </w:tc>
        <w:tc>
          <w:tcPr>
            <w:tcW w:w="1195" w:type="dxa"/>
            <w:vAlign w:val="bottom"/>
          </w:tcPr>
          <w:p w14:paraId="12CA9554"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ТБ-1</w:t>
            </w:r>
          </w:p>
        </w:tc>
        <w:tc>
          <w:tcPr>
            <w:tcW w:w="1099" w:type="dxa"/>
            <w:vAlign w:val="bottom"/>
          </w:tcPr>
          <w:p w14:paraId="00CF6719"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ТБ-2</w:t>
            </w:r>
          </w:p>
        </w:tc>
      </w:tr>
      <w:tr w:rsidR="000B7ADA" w:rsidRPr="005E779E" w14:paraId="110CE12C" w14:textId="77777777" w:rsidTr="004B2EA4">
        <w:trPr>
          <w:trHeight w:val="154"/>
        </w:trPr>
        <w:tc>
          <w:tcPr>
            <w:tcW w:w="4075" w:type="dxa"/>
          </w:tcPr>
          <w:p w14:paraId="7DE191FD"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пустого (кг)</w:t>
            </w:r>
          </w:p>
        </w:tc>
        <w:tc>
          <w:tcPr>
            <w:tcW w:w="1195" w:type="dxa"/>
          </w:tcPr>
          <w:p w14:paraId="51AA8385"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4427</w:t>
            </w:r>
          </w:p>
        </w:tc>
        <w:tc>
          <w:tcPr>
            <w:tcW w:w="1099" w:type="dxa"/>
          </w:tcPr>
          <w:p w14:paraId="15845711"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5142</w:t>
            </w:r>
          </w:p>
        </w:tc>
      </w:tr>
      <w:tr w:rsidR="000B7ADA" w:rsidRPr="005E779E" w14:paraId="48D53324" w14:textId="77777777" w:rsidTr="004B2EA4">
        <w:trPr>
          <w:trHeight w:val="144"/>
        </w:trPr>
        <w:tc>
          <w:tcPr>
            <w:tcW w:w="4075" w:type="dxa"/>
          </w:tcPr>
          <w:p w14:paraId="36271F17"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нагрузки (кг)</w:t>
            </w:r>
          </w:p>
        </w:tc>
        <w:tc>
          <w:tcPr>
            <w:tcW w:w="1195" w:type="dxa"/>
          </w:tcPr>
          <w:p w14:paraId="15E0817C"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2285</w:t>
            </w:r>
          </w:p>
        </w:tc>
        <w:tc>
          <w:tcPr>
            <w:tcW w:w="1099" w:type="dxa"/>
          </w:tcPr>
          <w:p w14:paraId="60D43A80"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1301</w:t>
            </w:r>
          </w:p>
        </w:tc>
      </w:tr>
      <w:tr w:rsidR="000B7ADA" w:rsidRPr="005E779E" w14:paraId="043E47DE" w14:textId="77777777" w:rsidTr="004B2EA4">
        <w:trPr>
          <w:trHeight w:val="134"/>
        </w:trPr>
        <w:tc>
          <w:tcPr>
            <w:tcW w:w="4075" w:type="dxa"/>
          </w:tcPr>
          <w:p w14:paraId="3617C279"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Полетный вес (кг)</w:t>
            </w:r>
          </w:p>
        </w:tc>
        <w:tc>
          <w:tcPr>
            <w:tcW w:w="1195" w:type="dxa"/>
          </w:tcPr>
          <w:p w14:paraId="488C5FFE"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6712</w:t>
            </w:r>
          </w:p>
        </w:tc>
        <w:tc>
          <w:tcPr>
            <w:tcW w:w="1099" w:type="dxa"/>
          </w:tcPr>
          <w:p w14:paraId="4C4B6A6A"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6443</w:t>
            </w:r>
          </w:p>
        </w:tc>
      </w:tr>
      <w:tr w:rsidR="000B7ADA" w:rsidRPr="005E779E" w14:paraId="3BA5DC39" w14:textId="77777777" w:rsidTr="004B2EA4">
        <w:trPr>
          <w:trHeight w:val="149"/>
        </w:trPr>
        <w:tc>
          <w:tcPr>
            <w:tcW w:w="4075" w:type="dxa"/>
            <w:vAlign w:val="bottom"/>
          </w:tcPr>
          <w:p w14:paraId="6457BD94"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Мощность моторов (л.с.)</w:t>
            </w:r>
          </w:p>
        </w:tc>
        <w:tc>
          <w:tcPr>
            <w:tcW w:w="1195" w:type="dxa"/>
            <w:vAlign w:val="bottom"/>
          </w:tcPr>
          <w:p w14:paraId="1510BDDF"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900-1200</w:t>
            </w:r>
          </w:p>
        </w:tc>
        <w:tc>
          <w:tcPr>
            <w:tcW w:w="1099" w:type="dxa"/>
            <w:vAlign w:val="bottom"/>
          </w:tcPr>
          <w:p w14:paraId="3E50C517"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1000-1360</w:t>
            </w:r>
          </w:p>
        </w:tc>
      </w:tr>
      <w:tr w:rsidR="000B7ADA" w:rsidRPr="005E779E" w14:paraId="27D212B9" w14:textId="77777777" w:rsidTr="004B2EA4">
        <w:trPr>
          <w:trHeight w:val="149"/>
        </w:trPr>
        <w:tc>
          <w:tcPr>
            <w:tcW w:w="4075" w:type="dxa"/>
          </w:tcPr>
          <w:p w14:paraId="64FE3A84"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Нагрузка (кг на кв.м)</w:t>
            </w:r>
          </w:p>
        </w:tc>
        <w:tc>
          <w:tcPr>
            <w:tcW w:w="1195" w:type="dxa"/>
          </w:tcPr>
          <w:p w14:paraId="0817C28F"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58</w:t>
            </w:r>
          </w:p>
        </w:tc>
        <w:tc>
          <w:tcPr>
            <w:tcW w:w="1099" w:type="dxa"/>
          </w:tcPr>
          <w:p w14:paraId="128F8AF2"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50,4</w:t>
            </w:r>
          </w:p>
        </w:tc>
      </w:tr>
      <w:tr w:rsidR="000B7ADA" w:rsidRPr="005E779E" w14:paraId="1BA76580" w14:textId="77777777" w:rsidTr="004B2EA4">
        <w:trPr>
          <w:trHeight w:val="144"/>
        </w:trPr>
        <w:tc>
          <w:tcPr>
            <w:tcW w:w="4075" w:type="dxa"/>
          </w:tcPr>
          <w:p w14:paraId="41250E83"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Нагрузка (кг на л.с.)</w:t>
            </w:r>
          </w:p>
        </w:tc>
        <w:tc>
          <w:tcPr>
            <w:tcW w:w="1195" w:type="dxa"/>
          </w:tcPr>
          <w:p w14:paraId="45AA801F"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7,45-5,59</w:t>
            </w:r>
          </w:p>
        </w:tc>
        <w:tc>
          <w:tcPr>
            <w:tcW w:w="1099" w:type="dxa"/>
          </w:tcPr>
          <w:p w14:paraId="3901F882"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6,44-4,74</w:t>
            </w:r>
          </w:p>
        </w:tc>
      </w:tr>
      <w:tr w:rsidR="000B7ADA" w:rsidRPr="005E779E" w14:paraId="3611384F" w14:textId="77777777" w:rsidTr="004B2EA4">
        <w:trPr>
          <w:trHeight w:val="144"/>
        </w:trPr>
        <w:tc>
          <w:tcPr>
            <w:tcW w:w="4075" w:type="dxa"/>
          </w:tcPr>
          <w:p w14:paraId="7FEDA3E8"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скорость у земли (км/час/ при оборотах в минуту)</w:t>
            </w:r>
          </w:p>
        </w:tc>
        <w:tc>
          <w:tcPr>
            <w:tcW w:w="1195" w:type="dxa"/>
          </w:tcPr>
          <w:p w14:paraId="5AB5F543"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178/1400</w:t>
            </w:r>
          </w:p>
        </w:tc>
        <w:tc>
          <w:tcPr>
            <w:tcW w:w="1099" w:type="dxa"/>
          </w:tcPr>
          <w:p w14:paraId="118F0075"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155,8/1400</w:t>
            </w:r>
          </w:p>
        </w:tc>
      </w:tr>
      <w:tr w:rsidR="000B7ADA" w:rsidRPr="005E779E" w14:paraId="739F0A88" w14:textId="77777777" w:rsidTr="004B2EA4">
        <w:trPr>
          <w:trHeight w:val="144"/>
        </w:trPr>
        <w:tc>
          <w:tcPr>
            <w:tcW w:w="4075" w:type="dxa"/>
          </w:tcPr>
          <w:p w14:paraId="4DAA0431"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скорость на 3000 м (км/час/ при оборотах в минуту)</w:t>
            </w:r>
          </w:p>
        </w:tc>
        <w:tc>
          <w:tcPr>
            <w:tcW w:w="1195" w:type="dxa"/>
          </w:tcPr>
          <w:p w14:paraId="0E6FAF4F"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174/1400</w:t>
            </w:r>
          </w:p>
        </w:tc>
        <w:tc>
          <w:tcPr>
            <w:tcW w:w="1099" w:type="dxa"/>
          </w:tcPr>
          <w:p w14:paraId="6DA52591"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153,8/1400</w:t>
            </w:r>
          </w:p>
        </w:tc>
      </w:tr>
      <w:tr w:rsidR="000B7ADA" w:rsidRPr="005E779E" w14:paraId="03D7537D" w14:textId="77777777" w:rsidTr="004B2EA4">
        <w:trPr>
          <w:trHeight w:val="144"/>
        </w:trPr>
        <w:tc>
          <w:tcPr>
            <w:tcW w:w="4075" w:type="dxa"/>
          </w:tcPr>
          <w:p w14:paraId="3764021C"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Скороподъемность до 1000 м/ на оборотах в минуту.</w:t>
            </w:r>
          </w:p>
        </w:tc>
        <w:tc>
          <w:tcPr>
            <w:tcW w:w="1195" w:type="dxa"/>
          </w:tcPr>
          <w:p w14:paraId="12B1CC02"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6,89/1300</w:t>
            </w:r>
          </w:p>
        </w:tc>
        <w:tc>
          <w:tcPr>
            <w:tcW w:w="1099" w:type="dxa"/>
          </w:tcPr>
          <w:p w14:paraId="49EC286A"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6,05/1480</w:t>
            </w:r>
          </w:p>
        </w:tc>
      </w:tr>
      <w:tr w:rsidR="000B7ADA" w:rsidRPr="005E779E" w14:paraId="2A1FBAC4" w14:textId="77777777" w:rsidTr="004B2EA4">
        <w:trPr>
          <w:trHeight w:val="144"/>
        </w:trPr>
        <w:tc>
          <w:tcPr>
            <w:tcW w:w="4075" w:type="dxa"/>
          </w:tcPr>
          <w:p w14:paraId="76AA81E1"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Скороподъемность до 2000 м/ на оборотах в минуту.</w:t>
            </w:r>
          </w:p>
        </w:tc>
        <w:tc>
          <w:tcPr>
            <w:tcW w:w="1195" w:type="dxa"/>
          </w:tcPr>
          <w:p w14:paraId="064579AC"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13J74/1320</w:t>
            </w:r>
          </w:p>
        </w:tc>
        <w:tc>
          <w:tcPr>
            <w:tcW w:w="1099" w:type="dxa"/>
          </w:tcPr>
          <w:p w14:paraId="32596260"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13,57/1490</w:t>
            </w:r>
          </w:p>
        </w:tc>
      </w:tr>
      <w:tr w:rsidR="000B7ADA" w:rsidRPr="005E779E" w14:paraId="05BC6E79" w14:textId="77777777" w:rsidTr="004B2EA4">
        <w:trPr>
          <w:trHeight w:val="144"/>
        </w:trPr>
        <w:tc>
          <w:tcPr>
            <w:tcW w:w="4075" w:type="dxa"/>
          </w:tcPr>
          <w:p w14:paraId="1E4CCC65"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Скороподъемность до 3000 м/ на оборотах в минуту</w:t>
            </w:r>
          </w:p>
        </w:tc>
        <w:tc>
          <w:tcPr>
            <w:tcW w:w="1195" w:type="dxa"/>
          </w:tcPr>
          <w:p w14:paraId="0349F458"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21,1/1340</w:t>
            </w:r>
          </w:p>
        </w:tc>
        <w:tc>
          <w:tcPr>
            <w:tcW w:w="1099" w:type="dxa"/>
          </w:tcPr>
          <w:p w14:paraId="472F898B"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25,41/1500</w:t>
            </w:r>
          </w:p>
        </w:tc>
      </w:tr>
      <w:tr w:rsidR="000B7ADA" w:rsidRPr="005E779E" w14:paraId="0D03912D" w14:textId="77777777" w:rsidTr="004B2EA4">
        <w:trPr>
          <w:trHeight w:val="139"/>
        </w:trPr>
        <w:tc>
          <w:tcPr>
            <w:tcW w:w="4075" w:type="dxa"/>
          </w:tcPr>
          <w:p w14:paraId="28E6BB53"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Потолок(м)</w:t>
            </w:r>
          </w:p>
        </w:tc>
        <w:tc>
          <w:tcPr>
            <w:tcW w:w="1195" w:type="dxa"/>
          </w:tcPr>
          <w:p w14:paraId="36AD2ECD"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4830</w:t>
            </w:r>
          </w:p>
        </w:tc>
        <w:tc>
          <w:tcPr>
            <w:tcW w:w="1099" w:type="dxa"/>
          </w:tcPr>
          <w:p w14:paraId="2CE94B89"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3620</w:t>
            </w:r>
          </w:p>
        </w:tc>
      </w:tr>
      <w:tr w:rsidR="000B7ADA" w:rsidRPr="005E779E" w14:paraId="61FBE40B" w14:textId="77777777" w:rsidTr="004B2EA4">
        <w:trPr>
          <w:trHeight w:val="149"/>
        </w:trPr>
        <w:tc>
          <w:tcPr>
            <w:tcW w:w="4075" w:type="dxa"/>
            <w:vAlign w:val="bottom"/>
          </w:tcPr>
          <w:p w14:paraId="5CE52CFC"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левого виража на высоте 1000 м (сек.)</w:t>
            </w:r>
          </w:p>
        </w:tc>
        <w:tc>
          <w:tcPr>
            <w:tcW w:w="1195" w:type="dxa"/>
            <w:vAlign w:val="bottom"/>
          </w:tcPr>
          <w:p w14:paraId="5EFB9DE1"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31,0</w:t>
            </w:r>
          </w:p>
        </w:tc>
        <w:tc>
          <w:tcPr>
            <w:tcW w:w="1099" w:type="dxa"/>
            <w:vAlign w:val="bottom"/>
          </w:tcPr>
          <w:p w14:paraId="75E4B4E0"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75,0</w:t>
            </w:r>
          </w:p>
        </w:tc>
      </w:tr>
      <w:tr w:rsidR="000B7ADA" w:rsidRPr="005E779E" w14:paraId="4F9DCC62" w14:textId="77777777" w:rsidTr="004B2EA4">
        <w:trPr>
          <w:trHeight w:val="211"/>
        </w:trPr>
        <w:tc>
          <w:tcPr>
            <w:tcW w:w="4075" w:type="dxa"/>
          </w:tcPr>
          <w:p w14:paraId="17685EC7"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правого виража на высоте 1000 м (сек.)</w:t>
            </w:r>
          </w:p>
        </w:tc>
        <w:tc>
          <w:tcPr>
            <w:tcW w:w="1195" w:type="dxa"/>
          </w:tcPr>
          <w:p w14:paraId="1A08B789"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31,0</w:t>
            </w:r>
          </w:p>
        </w:tc>
        <w:tc>
          <w:tcPr>
            <w:tcW w:w="1099" w:type="dxa"/>
          </w:tcPr>
          <w:p w14:paraId="5B75C1EF"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65,0</w:t>
            </w:r>
          </w:p>
        </w:tc>
      </w:tr>
    </w:tbl>
    <w:p w14:paraId="73B6AE47"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- 800 об/мотора. Скорость руления нор</w:t>
      </w:r>
      <w:r w:rsidRPr="005E779E">
        <w:rPr>
          <w:rFonts w:ascii="Times New Roman" w:hAnsi="Times New Roman"/>
          <w:color w:val="000000" w:themeColor="text1"/>
          <w:sz w:val="16"/>
          <w:szCs w:val="16"/>
        </w:rPr>
        <w:softHyphen/>
        <w:t>мальна и сопровождение авиатехника не за</w:t>
      </w:r>
      <w:r w:rsidRPr="005E779E">
        <w:rPr>
          <w:rFonts w:ascii="Times New Roman" w:hAnsi="Times New Roman"/>
          <w:color w:val="000000" w:themeColor="text1"/>
          <w:sz w:val="16"/>
          <w:szCs w:val="16"/>
        </w:rPr>
        <w:softHyphen/>
        <w:t>трудняет. Маневренность вполне удовле</w:t>
      </w:r>
      <w:r w:rsidRPr="005E779E">
        <w:rPr>
          <w:rFonts w:ascii="Times New Roman" w:hAnsi="Times New Roman"/>
          <w:color w:val="000000" w:themeColor="text1"/>
          <w:sz w:val="16"/>
          <w:szCs w:val="16"/>
        </w:rPr>
        <w:softHyphen/>
        <w:t>творительна.</w:t>
      </w:r>
    </w:p>
    <w:p w14:paraId="4248E276"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Разбег и взлет - Ненормальных тенден</w:t>
      </w:r>
      <w:r w:rsidRPr="005E779E">
        <w:rPr>
          <w:rFonts w:ascii="Times New Roman" w:hAnsi="Times New Roman"/>
          <w:color w:val="000000" w:themeColor="text1"/>
          <w:sz w:val="16"/>
          <w:szCs w:val="16"/>
        </w:rPr>
        <w:softHyphen/>
        <w:t>ций к разворотам при разбеге не наблюдает</w:t>
      </w:r>
      <w:r w:rsidRPr="005E779E">
        <w:rPr>
          <w:rFonts w:ascii="Times New Roman" w:hAnsi="Times New Roman"/>
          <w:color w:val="000000" w:themeColor="text1"/>
          <w:sz w:val="16"/>
          <w:szCs w:val="16"/>
        </w:rPr>
        <w:softHyphen/>
        <w:t>ся. Хвост поднимается легко без особых уси</w:t>
      </w:r>
      <w:r w:rsidRPr="005E779E">
        <w:rPr>
          <w:rFonts w:ascii="Times New Roman" w:hAnsi="Times New Roman"/>
          <w:color w:val="000000" w:themeColor="text1"/>
          <w:sz w:val="16"/>
          <w:szCs w:val="16"/>
        </w:rPr>
        <w:softHyphen/>
        <w:t>лий на штурвал. Взлет прост, особенностей не имеет. Положение стабилизатора при взлете + 2°</w:t>
      </w:r>
    </w:p>
    <w:p w14:paraId="0124AEB3"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Набор высоты - Подъем производится на скорости 135-140 км/час при 1400-1450 об/мотора. Ненормальных тенденций при наборе высоты не имеется. При внезапном уменьшении числе оборотов моторов само</w:t>
      </w:r>
      <w:r w:rsidRPr="005E779E">
        <w:rPr>
          <w:rFonts w:ascii="Times New Roman" w:hAnsi="Times New Roman"/>
          <w:color w:val="000000" w:themeColor="text1"/>
          <w:sz w:val="16"/>
          <w:szCs w:val="16"/>
        </w:rPr>
        <w:softHyphen/>
        <w:t>лет переходит на планирование.</w:t>
      </w:r>
    </w:p>
    <w:p w14:paraId="774EB6BB"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Горизонтальный полет - Нормален на всех режимах. Максимальное число оборотов моторов у земли - 1600 (с высотным газом) и минимальное 1300.</w:t>
      </w:r>
    </w:p>
    <w:p w14:paraId="21C51C7F"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Балансировка - Соответствующей уста</w:t>
      </w:r>
      <w:r w:rsidRPr="005E779E">
        <w:rPr>
          <w:rFonts w:ascii="Times New Roman" w:hAnsi="Times New Roman"/>
          <w:color w:val="000000" w:themeColor="text1"/>
          <w:sz w:val="16"/>
          <w:szCs w:val="16"/>
        </w:rPr>
        <w:softHyphen/>
        <w:t>новкой стабилизатора достигается балан</w:t>
      </w:r>
      <w:r w:rsidRPr="005E779E">
        <w:rPr>
          <w:rFonts w:ascii="Times New Roman" w:hAnsi="Times New Roman"/>
          <w:color w:val="000000" w:themeColor="text1"/>
          <w:sz w:val="16"/>
          <w:szCs w:val="16"/>
        </w:rPr>
        <w:softHyphen/>
        <w:t>сировка самолета для полета на всех режи</w:t>
      </w:r>
      <w:r w:rsidRPr="005E779E">
        <w:rPr>
          <w:rFonts w:ascii="Times New Roman" w:hAnsi="Times New Roman"/>
          <w:color w:val="000000" w:themeColor="text1"/>
          <w:sz w:val="16"/>
          <w:szCs w:val="16"/>
        </w:rPr>
        <w:softHyphen/>
        <w:t>мах без давлений на штурвал. Полет с бро</w:t>
      </w:r>
      <w:r w:rsidRPr="005E779E">
        <w:rPr>
          <w:rFonts w:ascii="Times New Roman" w:hAnsi="Times New Roman"/>
          <w:color w:val="000000" w:themeColor="text1"/>
          <w:sz w:val="16"/>
          <w:szCs w:val="16"/>
        </w:rPr>
        <w:softHyphen/>
        <w:t>шенным управлением возможен.</w:t>
      </w:r>
    </w:p>
    <w:p w14:paraId="21E2FD32"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Устойчивость - Продольная устойчи</w:t>
      </w:r>
      <w:r w:rsidRPr="005E779E">
        <w:rPr>
          <w:rFonts w:ascii="Times New Roman" w:hAnsi="Times New Roman"/>
          <w:color w:val="000000" w:themeColor="text1"/>
          <w:sz w:val="16"/>
          <w:szCs w:val="16"/>
        </w:rPr>
        <w:softHyphen/>
        <w:t>вость в горизонтальном полете на всех режи</w:t>
      </w:r>
      <w:r w:rsidRPr="005E779E">
        <w:rPr>
          <w:rFonts w:ascii="Times New Roman" w:hAnsi="Times New Roman"/>
          <w:color w:val="000000" w:themeColor="text1"/>
          <w:sz w:val="16"/>
          <w:szCs w:val="16"/>
        </w:rPr>
        <w:softHyphen/>
        <w:t>мах и на планировании удовлетворительна, самолет, сбалансированный для полета с брошенным управлением, будучи выведен из режима изменением скорости на ± 20 км/час, после 2-х 3-х колебаний возвращается в преж</w:t>
      </w:r>
      <w:r w:rsidRPr="005E779E">
        <w:rPr>
          <w:rFonts w:ascii="Times New Roman" w:hAnsi="Times New Roman"/>
          <w:color w:val="000000" w:themeColor="text1"/>
          <w:sz w:val="16"/>
          <w:szCs w:val="16"/>
        </w:rPr>
        <w:softHyphen/>
        <w:t>ний режим, диапазон скоростей при этом: на 1350 об/мот. 150-120 км/час и на 1450 об/мот 165-130 км/час (на высоте 2000 мт.)</w:t>
      </w:r>
    </w:p>
    <w:p w14:paraId="1C181E77"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подъеме самолет с брошенным управ</w:t>
      </w:r>
      <w:r w:rsidRPr="005E779E">
        <w:rPr>
          <w:rFonts w:ascii="Times New Roman" w:hAnsi="Times New Roman"/>
          <w:color w:val="000000" w:themeColor="text1"/>
          <w:sz w:val="16"/>
          <w:szCs w:val="16"/>
        </w:rPr>
        <w:softHyphen/>
        <w:t>лением при выводе из режима проявляет тенденцию к затяжному кабрированию (при испытании допускалась потеря скорости до 110 км/час.)</w:t>
      </w:r>
    </w:p>
    <w:p w14:paraId="645570A7"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Виражи - Наивыгоднейшая скорость на вираже 150 км/час при 1500 об/мот. Ввод, вывод и перекладывание из виража в вираж производится просто; устойчивость на ви</w:t>
      </w:r>
      <w:r w:rsidRPr="005E779E">
        <w:rPr>
          <w:rFonts w:ascii="Times New Roman" w:hAnsi="Times New Roman"/>
          <w:color w:val="000000" w:themeColor="text1"/>
          <w:sz w:val="16"/>
          <w:szCs w:val="16"/>
        </w:rPr>
        <w:softHyphen/>
        <w:t>ражах удовлетворительная; нагрузка на ор</w:t>
      </w:r>
      <w:r w:rsidRPr="005E779E">
        <w:rPr>
          <w:rFonts w:ascii="Times New Roman" w:hAnsi="Times New Roman"/>
          <w:color w:val="000000" w:themeColor="text1"/>
          <w:sz w:val="16"/>
          <w:szCs w:val="16"/>
        </w:rPr>
        <w:softHyphen/>
        <w:t>ганы управления значительная, но не более чем на самолете ТБ-1. Заметной разницы по технике выполнения правого и левого вира</w:t>
      </w:r>
      <w:r w:rsidRPr="005E779E">
        <w:rPr>
          <w:rFonts w:ascii="Times New Roman" w:hAnsi="Times New Roman"/>
          <w:color w:val="000000" w:themeColor="text1"/>
          <w:sz w:val="16"/>
          <w:szCs w:val="16"/>
        </w:rPr>
        <w:softHyphen/>
        <w:t>жа не имеется. Эффективность рулей и эле</w:t>
      </w:r>
      <w:r w:rsidRPr="005E779E">
        <w:rPr>
          <w:rFonts w:ascii="Times New Roman" w:hAnsi="Times New Roman"/>
          <w:color w:val="000000" w:themeColor="text1"/>
          <w:sz w:val="16"/>
          <w:szCs w:val="16"/>
        </w:rPr>
        <w:softHyphen/>
        <w:t>ронов достаточна.</w:t>
      </w:r>
    </w:p>
    <w:p w14:paraId="3CCFA410"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Посадка - По технике выполнения посад</w:t>
      </w:r>
      <w:r w:rsidRPr="005E779E">
        <w:rPr>
          <w:rFonts w:ascii="Times New Roman" w:hAnsi="Times New Roman"/>
          <w:color w:val="000000" w:themeColor="text1"/>
          <w:sz w:val="16"/>
          <w:szCs w:val="16"/>
        </w:rPr>
        <w:softHyphen/>
        <w:t>ка (легка) проста. При выравнивании само</w:t>
      </w:r>
      <w:r w:rsidRPr="005E779E">
        <w:rPr>
          <w:rFonts w:ascii="Times New Roman" w:hAnsi="Times New Roman"/>
          <w:color w:val="000000" w:themeColor="text1"/>
          <w:sz w:val="16"/>
          <w:szCs w:val="16"/>
        </w:rPr>
        <w:softHyphen/>
        <w:t>лет медленно теряет скорость, тенденции к сваливанию на крыло не наблюдается. При пробеге ненормальных тенденция к разворо</w:t>
      </w:r>
      <w:r w:rsidRPr="005E779E">
        <w:rPr>
          <w:rFonts w:ascii="Times New Roman" w:hAnsi="Times New Roman"/>
          <w:color w:val="000000" w:themeColor="text1"/>
          <w:sz w:val="16"/>
          <w:szCs w:val="16"/>
        </w:rPr>
        <w:softHyphen/>
        <w:t>там и прыжкам - нет. Эффективность руля высоты достаточна».</w:t>
      </w:r>
    </w:p>
    <w:p w14:paraId="04D5DB26"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Перечень основных недочетов был неве</w:t>
      </w:r>
      <w:r w:rsidRPr="005E779E">
        <w:rPr>
          <w:rFonts w:ascii="Times New Roman" w:hAnsi="Times New Roman"/>
          <w:color w:val="000000" w:themeColor="text1"/>
          <w:sz w:val="16"/>
          <w:szCs w:val="16"/>
        </w:rPr>
        <w:softHyphen/>
        <w:t>лик и перечислялись там, в основном, дефек</w:t>
      </w:r>
      <w:r w:rsidRPr="005E779E">
        <w:rPr>
          <w:rFonts w:ascii="Times New Roman" w:hAnsi="Times New Roman"/>
          <w:color w:val="000000" w:themeColor="text1"/>
          <w:sz w:val="16"/>
          <w:szCs w:val="16"/>
        </w:rPr>
        <w:softHyphen/>
        <w:t>ты системы управления, выявленные на этапе заводских испытаний. В ходе доводки пол</w:t>
      </w:r>
      <w:r w:rsidRPr="005E779E">
        <w:rPr>
          <w:rFonts w:ascii="Times New Roman" w:hAnsi="Times New Roman"/>
          <w:color w:val="000000" w:themeColor="text1"/>
          <w:sz w:val="16"/>
          <w:szCs w:val="16"/>
        </w:rPr>
        <w:softHyphen/>
        <w:t>ностью устранить их так не удалось. Вместе с тем, общая оценка ТБ-2 была крайне негатив</w:t>
      </w:r>
      <w:r w:rsidRPr="005E779E">
        <w:rPr>
          <w:rFonts w:ascii="Times New Roman" w:hAnsi="Times New Roman"/>
          <w:color w:val="000000" w:themeColor="text1"/>
          <w:sz w:val="16"/>
          <w:szCs w:val="16"/>
        </w:rPr>
        <w:softHyphen/>
        <w:t>ной: «Летные данные самолета ТБ-2 совер</w:t>
      </w:r>
      <w:r w:rsidRPr="005E779E">
        <w:rPr>
          <w:rFonts w:ascii="Times New Roman" w:hAnsi="Times New Roman"/>
          <w:color w:val="000000" w:themeColor="text1"/>
          <w:sz w:val="16"/>
          <w:szCs w:val="16"/>
        </w:rPr>
        <w:softHyphen/>
        <w:t>шенно не соответствуют современным требованиям и не выдерживают никакого сравнения с данными самолета ТБ-1. Вы</w:t>
      </w:r>
      <w:r w:rsidRPr="005E779E">
        <w:rPr>
          <w:rFonts w:ascii="Times New Roman" w:hAnsi="Times New Roman"/>
          <w:color w:val="000000" w:themeColor="text1"/>
          <w:sz w:val="16"/>
          <w:szCs w:val="16"/>
        </w:rPr>
        <w:softHyphen/>
        <w:t>бранная конструктором схема самолета в высшей степени неудачна: большая лобовая поверхность, неудачное расположение мо</w:t>
      </w:r>
      <w:r w:rsidRPr="005E779E">
        <w:rPr>
          <w:rFonts w:ascii="Times New Roman" w:hAnsi="Times New Roman"/>
          <w:color w:val="000000" w:themeColor="text1"/>
          <w:sz w:val="16"/>
          <w:szCs w:val="16"/>
        </w:rPr>
        <w:softHyphen/>
        <w:t>торов, затеняющих большую часть нижнего крыла, настолько понизили летные данные самолета, что нормальной мощности мото</w:t>
      </w:r>
      <w:r w:rsidRPr="005E779E">
        <w:rPr>
          <w:rFonts w:ascii="Times New Roman" w:hAnsi="Times New Roman"/>
          <w:color w:val="000000" w:themeColor="text1"/>
          <w:sz w:val="16"/>
          <w:szCs w:val="16"/>
        </w:rPr>
        <w:softHyphen/>
        <w:t>ров (2 x500 HP) недостаточно для валета и подъема, даже с нагрузкой, уменьшенной до 1300 кг. Применение же высотного газа с земли прежде времени выведет из строя мо</w:t>
      </w:r>
      <w:r w:rsidRPr="005E779E">
        <w:rPr>
          <w:rFonts w:ascii="Times New Roman" w:hAnsi="Times New Roman"/>
          <w:color w:val="000000" w:themeColor="text1"/>
          <w:sz w:val="16"/>
          <w:szCs w:val="16"/>
        </w:rPr>
        <w:softHyphen/>
        <w:t>торы... самолет с точки зрения военного применения - ценности не имеет».</w:t>
      </w:r>
    </w:p>
    <w:p w14:paraId="1B44F269"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 к отчету было соответствую</w:t>
      </w:r>
      <w:r w:rsidRPr="005E779E">
        <w:rPr>
          <w:rFonts w:ascii="Times New Roman" w:hAnsi="Times New Roman"/>
          <w:color w:val="000000" w:themeColor="text1"/>
          <w:sz w:val="16"/>
          <w:szCs w:val="16"/>
        </w:rPr>
        <w:softHyphen/>
        <w:t>щим. В нем говорилось, что ТБ-2 как боевая единица ВВС использован быть не может вследствие плохих летных данных при малой грузоподъемности. Военные предложили ВАО использовать самолет по своему усмот</w:t>
      </w:r>
      <w:r w:rsidRPr="005E779E">
        <w:rPr>
          <w:rFonts w:ascii="Times New Roman" w:hAnsi="Times New Roman"/>
          <w:color w:val="000000" w:themeColor="text1"/>
          <w:sz w:val="16"/>
          <w:szCs w:val="16"/>
        </w:rPr>
        <w:softHyphen/>
        <w:t>рению. В июле 1931 года самолет был зареги</w:t>
      </w:r>
      <w:r w:rsidRPr="005E779E">
        <w:rPr>
          <w:rFonts w:ascii="Times New Roman" w:hAnsi="Times New Roman"/>
          <w:color w:val="000000" w:themeColor="text1"/>
          <w:sz w:val="16"/>
          <w:szCs w:val="16"/>
        </w:rPr>
        <w:softHyphen/>
        <w:t>стрирован под номером СССР-Ш24 и передан в качестве учебного пособия в Московский авиатехникум спецслужб (23344).</w:t>
      </w:r>
    </w:p>
    <w:p w14:paraId="3F146310" w14:textId="77777777" w:rsidR="000B7ADA" w:rsidRPr="005E779E" w:rsidRDefault="000B7ADA" w:rsidP="000B7A6C">
      <w:pPr>
        <w:spacing w:after="0" w:line="240" w:lineRule="auto"/>
        <w:jc w:val="both"/>
        <w:rPr>
          <w:rFonts w:ascii="Times New Roman" w:hAnsi="Times New Roman"/>
          <w:color w:val="000000" w:themeColor="text1"/>
          <w:sz w:val="16"/>
          <w:szCs w:val="16"/>
        </w:rPr>
      </w:pPr>
    </w:p>
    <w:p w14:paraId="054C69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Летом 1931 испытали МР-3 с новыми обводами, но к этому времени уже безнадежно устарел (80,252).</w:t>
      </w:r>
    </w:p>
    <w:p w14:paraId="5F862D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43EB9D5"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Летом 1931 г. бригада ОМОС ЦКБ передала на испытания модифицированный морской ближний разведчик МР-3бис (2-й с таким обозначением, он же – МР-5) конструкции Григоровича. Проект делался с 1927 г. и к тому времени устарел, высоких качеств не показал и на Государственные испытания не передавался (23559).</w:t>
      </w:r>
    </w:p>
    <w:p w14:paraId="156BE29E" w14:textId="77777777" w:rsidR="000B7ADA" w:rsidRPr="005E779E" w:rsidRDefault="000B7ADA" w:rsidP="000B7A6C">
      <w:pPr>
        <w:spacing w:after="0" w:line="240" w:lineRule="auto"/>
        <w:jc w:val="both"/>
        <w:rPr>
          <w:rFonts w:ascii="Times New Roman" w:hAnsi="Times New Roman"/>
          <w:color w:val="000000" w:themeColor="text1"/>
          <w:sz w:val="16"/>
          <w:szCs w:val="16"/>
        </w:rPr>
      </w:pPr>
    </w:p>
    <w:p w14:paraId="399C09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Летом 1931 испытывали И-Z (78,49). Первый, а второй - в 1932 (92,415).</w:t>
      </w:r>
    </w:p>
    <w:p w14:paraId="321EB2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EB2FA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Летом 1931 г. был закончен И-Z (или И-ЗЕТ), а то и просто ЗЕТ. Точная дата первого полета неизвестна. Поднимал его в воздух впервые летчик Бенедикт Бухгольц. Далее события развивались следующим образом. 6 июля 1931 г. территорию авиазавода № 39 и ЦКБ посетил И. В. Сталин. Очевидно, о самолете Григоровича с пушками Курчевского он был хорошо информирован, ибо не только осмотрел его, но даже забрался в кабину и подергал за рычаги и рукоятки. Главный конструктор И-7 при этом не присутствовал, все пояснения (в меру своего понимания) давал руководитель ЦКБ от ГПУ Е. С. Пауфлер (12091).</w:t>
      </w:r>
    </w:p>
    <w:p w14:paraId="134668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53A7B1F"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Летом 1931 г. начались испытания И-Z. Скорость сначала при</w:t>
      </w:r>
      <w:r w:rsidRPr="005E779E">
        <w:rPr>
          <w:rFonts w:ascii="Times New Roman" w:hAnsi="Times New Roman"/>
          <w:color w:val="000000" w:themeColor="text1"/>
          <w:sz w:val="16"/>
          <w:szCs w:val="16"/>
        </w:rPr>
        <w:softHyphen/>
        <w:t>ближалась к 300 км/ч (на серийных, после усилений и доработок она снизилась до 259 км/ч), но скороподъёмность, маневренность и – сохранились</w:t>
      </w:r>
    </w:p>
    <w:p w14:paraId="6F92330B"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Передняя часть фюзеляжа - мотор М-22 с капотом и кабина лётчи</w:t>
      </w:r>
      <w:r w:rsidRPr="005E779E">
        <w:rPr>
          <w:rFonts w:ascii="Times New Roman" w:hAnsi="Times New Roman"/>
          <w:color w:val="000000" w:themeColor="text1"/>
          <w:sz w:val="16"/>
          <w:szCs w:val="16"/>
        </w:rPr>
        <w:softHyphen/>
        <w:t>ка - аналогична И-5 (опытному). Задняя часть была дюралевая и за</w:t>
      </w:r>
      <w:r w:rsidRPr="005E779E">
        <w:rPr>
          <w:rFonts w:ascii="Times New Roman" w:hAnsi="Times New Roman"/>
          <w:color w:val="000000" w:themeColor="text1"/>
          <w:sz w:val="16"/>
          <w:szCs w:val="16"/>
        </w:rPr>
        <w:softHyphen/>
        <w:t>канчивалась большим вертикальным и высокорасположенным под</w:t>
      </w:r>
      <w:r w:rsidRPr="005E779E">
        <w:rPr>
          <w:rFonts w:ascii="Times New Roman" w:hAnsi="Times New Roman"/>
          <w:color w:val="000000" w:themeColor="text1"/>
          <w:sz w:val="16"/>
          <w:szCs w:val="16"/>
        </w:rPr>
        <w:softHyphen/>
        <w:t xml:space="preserve"> косным горизонтальным оперением повышенной прочности, чтобы исключить его повреждение при выстрелах. Пушки АПК-4 размеща</w:t>
      </w:r>
      <w:r w:rsidRPr="005E779E">
        <w:rPr>
          <w:rFonts w:ascii="Times New Roman" w:hAnsi="Times New Roman"/>
          <w:color w:val="000000" w:themeColor="text1"/>
          <w:sz w:val="16"/>
          <w:szCs w:val="16"/>
        </w:rPr>
        <w:softHyphen/>
        <w:t>лись под крылом, выполненом из нержавеющей стали «Энерж-6», с полотняной обшивкой. Как видим, по схеме истребитель хоть и был монопланом, но не мог относиться к скоростным, а повышенная прочность конструкции и тяжёлые пушки (их вес - 150 кг, а вес 14 снарядов - 55 кг) не могли не сказаться на весе самолёта и его лётных данных. Вся надежда была на то, что мощные пушки компен</w:t>
      </w:r>
      <w:r w:rsidRPr="005E779E">
        <w:rPr>
          <w:rFonts w:ascii="Times New Roman" w:hAnsi="Times New Roman"/>
          <w:color w:val="000000" w:themeColor="text1"/>
          <w:sz w:val="16"/>
          <w:szCs w:val="16"/>
        </w:rPr>
        <w:softHyphen/>
        <w:t>сируют снижение ЛТХ и повысят боевые возможности. Но этого не произошло (23595).</w:t>
      </w:r>
    </w:p>
    <w:p w14:paraId="56BD2495" w14:textId="77777777" w:rsidR="000B7ADA" w:rsidRPr="005E779E" w:rsidRDefault="000B7ADA" w:rsidP="000B7A6C">
      <w:pPr>
        <w:spacing w:after="0" w:line="240" w:lineRule="auto"/>
        <w:jc w:val="both"/>
        <w:rPr>
          <w:rFonts w:ascii="Times New Roman" w:hAnsi="Times New Roman"/>
          <w:color w:val="000000" w:themeColor="text1"/>
          <w:sz w:val="16"/>
          <w:szCs w:val="16"/>
        </w:rPr>
      </w:pPr>
    </w:p>
    <w:p w14:paraId="1D5B63B8" w14:textId="77777777" w:rsidR="001A3E40" w:rsidRPr="00142305" w:rsidRDefault="001A3E40" w:rsidP="001A3E40">
      <w:pPr>
        <w:spacing w:after="0" w:line="240" w:lineRule="auto"/>
        <w:jc w:val="both"/>
        <w:rPr>
          <w:rStyle w:val="aff0"/>
          <w:rFonts w:ascii="Times New Roman" w:hAnsi="Times New Roman" w:cs="Times New Roman"/>
          <w:color w:val="0070C0"/>
          <w:spacing w:val="0"/>
          <w:sz w:val="16"/>
          <w:szCs w:val="16"/>
        </w:rPr>
      </w:pPr>
      <w:r w:rsidRPr="00142305">
        <w:rPr>
          <w:rStyle w:val="aff0"/>
          <w:rFonts w:ascii="Times New Roman" w:hAnsi="Times New Roman" w:cs="Times New Roman"/>
          <w:color w:val="0070C0"/>
          <w:spacing w:val="0"/>
          <w:sz w:val="16"/>
          <w:szCs w:val="16"/>
        </w:rPr>
        <w:t xml:space="preserve">Летом 1931 г. был закончен истребитель И-7 Д.П.Г. (позже его стали называть И-Z (или И-ЗЕТ), а то и просто ЗЕТ) для пушек Курчевского. </w:t>
      </w:r>
    </w:p>
    <w:p w14:paraId="560D4B68" w14:textId="77777777" w:rsidR="001A3E40" w:rsidRPr="00142305" w:rsidRDefault="001A3E40" w:rsidP="001A3E40">
      <w:pPr>
        <w:spacing w:after="0" w:line="240" w:lineRule="auto"/>
        <w:jc w:val="both"/>
        <w:rPr>
          <w:rStyle w:val="aff0"/>
          <w:rFonts w:ascii="Times New Roman" w:hAnsi="Times New Roman" w:cs="Times New Roman"/>
          <w:color w:val="0070C0"/>
          <w:spacing w:val="0"/>
          <w:sz w:val="16"/>
          <w:szCs w:val="16"/>
        </w:rPr>
      </w:pPr>
      <w:r w:rsidRPr="00142305">
        <w:rPr>
          <w:rStyle w:val="aff0"/>
          <w:rFonts w:ascii="Times New Roman" w:hAnsi="Times New Roman" w:cs="Times New Roman"/>
          <w:color w:val="0070C0"/>
          <w:spacing w:val="0"/>
          <w:sz w:val="16"/>
          <w:szCs w:val="16"/>
        </w:rPr>
        <w:t>Центральная часть фюзеляжа вместе с винтомоторной установкой (двигатель М-22) была практически без изменений позаимствована от И-5. К этой ферменной конструкции крепилась особо жесткая хвостовая часть, выполненная в виде монококовой балки. Хвостовое оперение усилено внешним гофром, стабилизатор, дабы избежать влияния пороховых газов стреляющих пушек, поднят вверх.</w:t>
      </w:r>
    </w:p>
    <w:p w14:paraId="5712AC26" w14:textId="77777777" w:rsidR="001A3E40" w:rsidRPr="00142305" w:rsidRDefault="001A3E40" w:rsidP="001A3E40">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Точная дата первого полета неизвестна. Поднимал его в воздух впервые летчик Бенедикт Бухгольц. Далее события развивались следующим образом. 6 июля 1931 г. территорию авиазавода № 39 и ЦКБ посетил И.В. Сталин. Очевидно, о самолете Григоровича с пушками Курчевского он был хорошо информирован, ибо не только осмотрел его, но даже забрался в кабину и подергал за рычаги и рукоятки. Главный конструктор И-7 при этом не присутствовал, все пояснения (в меру своего понимания) давал руководитель ЦКБ от ГПУ Е.С. Пауфлер (25213).</w:t>
      </w:r>
    </w:p>
    <w:p w14:paraId="0262FFB5" w14:textId="77777777" w:rsidR="001A3E40" w:rsidRPr="00142305" w:rsidRDefault="001A3E40" w:rsidP="001A3E40">
      <w:pPr>
        <w:spacing w:after="0" w:line="240" w:lineRule="auto"/>
        <w:jc w:val="both"/>
        <w:rPr>
          <w:rFonts w:ascii="Times New Roman" w:hAnsi="Times New Roman"/>
          <w:color w:val="0070C0"/>
          <w:sz w:val="16"/>
          <w:szCs w:val="16"/>
        </w:rPr>
      </w:pPr>
    </w:p>
    <w:p w14:paraId="0F22F6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Летом 1931 в ЦКБ завода Авиаработник им. Менжинского построили ДИ-3 - биплан смешанной конструкции (3876,7).</w:t>
      </w:r>
    </w:p>
    <w:p w14:paraId="4B5E02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0A4BF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Летом 1931 года был снабжен автоматическими предкрылками самолет И4. Установка автоматических предкрылков улучшила управляемость самолета на малых скоростях, но, как и следовало ожидать, не понизило его посадочную скорость (3082).</w:t>
      </w:r>
    </w:p>
    <w:p w14:paraId="7B5F28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8AD5709"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Летом 1931-го на заводе "Авиаработник" им. Менжинского построили биплан смешанной конструкции ДИ-3, а в начале 1933-го подкосный цельнометаллический высокоплан ДИ-4 французкого конструктора А.Лявиля. Все они стались в опытных экземплярах. Логическим продолжением этого направления в ЦКБ завода "Авиаработник" явилось создание бригадой С.А.Кочеригина летом 1934-го двухместного биплана ЦКБ-11 или ДИ-6. Непосредственно конструированием самолета занимался известный впоследствии авиационный конструктор В.П.Яценко (24228).</w:t>
      </w:r>
    </w:p>
    <w:p w14:paraId="2CF0F752" w14:textId="77777777" w:rsidR="000B7ADA" w:rsidRPr="005E779E" w:rsidRDefault="000B7ADA" w:rsidP="000B7A6C">
      <w:pPr>
        <w:spacing w:after="0" w:line="240" w:lineRule="auto"/>
        <w:jc w:val="both"/>
        <w:rPr>
          <w:rFonts w:ascii="Times New Roman" w:hAnsi="Times New Roman"/>
          <w:color w:val="000000" w:themeColor="text1"/>
          <w:sz w:val="16"/>
          <w:szCs w:val="16"/>
        </w:rPr>
      </w:pPr>
    </w:p>
    <w:p w14:paraId="1BB597BC" w14:textId="0FEEACA5" w:rsidR="009E61BD" w:rsidRPr="00142305" w:rsidRDefault="009E61BD" w:rsidP="009E61B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Летом 1931 г. на испытаниях ДИ-3 развивал у земли максимальную скорость 256</w:t>
      </w:r>
      <w:r w:rsidR="00FE094E">
        <w:rPr>
          <w:rFonts w:ascii="Times New Roman" w:hAnsi="Times New Roman"/>
          <w:color w:val="0070C0"/>
          <w:sz w:val="16"/>
          <w:szCs w:val="16"/>
        </w:rPr>
        <w:t xml:space="preserve"> </w:t>
      </w:r>
      <w:r w:rsidRPr="00142305">
        <w:rPr>
          <w:rFonts w:ascii="Times New Roman" w:hAnsi="Times New Roman"/>
          <w:color w:val="0070C0"/>
          <w:sz w:val="16"/>
          <w:szCs w:val="16"/>
        </w:rPr>
        <w:t>км/ч, 243</w:t>
      </w:r>
      <w:r w:rsidR="00FE094E">
        <w:rPr>
          <w:rFonts w:ascii="Times New Roman" w:hAnsi="Times New Roman"/>
          <w:color w:val="0070C0"/>
          <w:sz w:val="16"/>
          <w:szCs w:val="16"/>
        </w:rPr>
        <w:t xml:space="preserve"> </w:t>
      </w:r>
      <w:r w:rsidRPr="00142305">
        <w:rPr>
          <w:rFonts w:ascii="Times New Roman" w:hAnsi="Times New Roman"/>
          <w:color w:val="0070C0"/>
          <w:sz w:val="16"/>
          <w:szCs w:val="16"/>
        </w:rPr>
        <w:t>км/ч — на высоте 3000 м, 212</w:t>
      </w:r>
      <w:r w:rsidR="00FE094E">
        <w:rPr>
          <w:rFonts w:ascii="Times New Roman" w:hAnsi="Times New Roman"/>
          <w:color w:val="0070C0"/>
          <w:sz w:val="16"/>
          <w:szCs w:val="16"/>
        </w:rPr>
        <w:t xml:space="preserve"> </w:t>
      </w:r>
      <w:r w:rsidRPr="00142305">
        <w:rPr>
          <w:rFonts w:ascii="Times New Roman" w:hAnsi="Times New Roman"/>
          <w:color w:val="0070C0"/>
          <w:sz w:val="16"/>
          <w:szCs w:val="16"/>
        </w:rPr>
        <w:t>км/ч — на 5000 м. Высоту 5000 м набирал за 17,5</w:t>
      </w:r>
      <w:r w:rsidR="00FE094E">
        <w:rPr>
          <w:rFonts w:ascii="Times New Roman" w:hAnsi="Times New Roman"/>
          <w:color w:val="0070C0"/>
          <w:sz w:val="16"/>
          <w:szCs w:val="16"/>
        </w:rPr>
        <w:t xml:space="preserve"> </w:t>
      </w:r>
      <w:r w:rsidRPr="00142305">
        <w:rPr>
          <w:rFonts w:ascii="Times New Roman" w:hAnsi="Times New Roman"/>
          <w:color w:val="0070C0"/>
          <w:sz w:val="16"/>
          <w:szCs w:val="16"/>
        </w:rPr>
        <w:t>мин и имел потолок 6300 м.</w:t>
      </w:r>
    </w:p>
    <w:p w14:paraId="208AB621" w14:textId="3C007141" w:rsidR="009E61BD" w:rsidRPr="00142305" w:rsidRDefault="009E61BD" w:rsidP="009E61B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Фюзеляж ДИ-3 был ферменный, сварной из хромомолибденовых труб с полотняной обшивкой. Крылья — деревянной конструкции. Стабилизатор имел изменяемый в полете угол установки. Вдоль бортов шли кожухи с патронными дисками для задней стрелковой точки. Размах верхнего крыла по сравнению с проектом ДИ-2</w:t>
      </w:r>
      <w:r w:rsidR="00FE094E">
        <w:rPr>
          <w:rFonts w:ascii="Times New Roman" w:hAnsi="Times New Roman"/>
          <w:color w:val="0070C0"/>
          <w:sz w:val="16"/>
          <w:szCs w:val="16"/>
        </w:rPr>
        <w:t xml:space="preserve"> </w:t>
      </w:r>
      <w:r w:rsidRPr="00142305">
        <w:rPr>
          <w:rFonts w:ascii="Times New Roman" w:hAnsi="Times New Roman"/>
          <w:color w:val="0070C0"/>
          <w:sz w:val="16"/>
          <w:szCs w:val="16"/>
        </w:rPr>
        <w:t>увеличился. Полетный вес достигал 2122</w:t>
      </w:r>
      <w:r w:rsidR="00FE094E">
        <w:rPr>
          <w:rFonts w:ascii="Times New Roman" w:hAnsi="Times New Roman"/>
          <w:color w:val="0070C0"/>
          <w:sz w:val="16"/>
          <w:szCs w:val="16"/>
        </w:rPr>
        <w:t xml:space="preserve"> </w:t>
      </w:r>
      <w:r w:rsidRPr="00142305">
        <w:rPr>
          <w:rFonts w:ascii="Times New Roman" w:hAnsi="Times New Roman"/>
          <w:color w:val="0070C0"/>
          <w:sz w:val="16"/>
          <w:szCs w:val="16"/>
        </w:rPr>
        <w:t>кг.</w:t>
      </w:r>
    </w:p>
    <w:p w14:paraId="0479D7A0" w14:textId="77777777" w:rsidR="009E61BD" w:rsidRPr="00142305" w:rsidRDefault="009E61BD" w:rsidP="009E61B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выводах по результатам летных испытаний отмечалось, что самолет хотя и не удовлетворяет техническим требованиям (характеристики хуже, чем у Д-2), но выпустить небольшую серию необходимо для тренировки и изучения тактики боевого применения двухместных истребителей. Однако предполагаемая серийная постройка на заводе № 21 не состоялась (25035).</w:t>
      </w:r>
    </w:p>
    <w:p w14:paraId="5151BB1D" w14:textId="77777777" w:rsidR="009E61BD" w:rsidRPr="00142305" w:rsidRDefault="009E61BD" w:rsidP="009E61BD">
      <w:pPr>
        <w:spacing w:after="0" w:line="240" w:lineRule="auto"/>
        <w:jc w:val="both"/>
        <w:rPr>
          <w:rFonts w:ascii="Times New Roman" w:hAnsi="Times New Roman"/>
          <w:color w:val="0070C0"/>
          <w:sz w:val="16"/>
          <w:szCs w:val="16"/>
        </w:rPr>
      </w:pPr>
    </w:p>
    <w:p w14:paraId="0C9877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Летом 1931 г. УВВС представило уже новый вариант ТТТ к самолету (ДИП-1), но дело с «мертвой точки» не сдвинулось. Только после нескольких реорганизаций в ЦАГИ и формирования отдельных бригад П.О.Сухому поручили, наконец, проектирование и постройку нового истребителя (9538,22).</w:t>
      </w:r>
    </w:p>
    <w:p w14:paraId="503B5E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09CD9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Летом 1931 года самолет И4 был снабжен автоматическими предкрылками. Установка автоматических предкрылков улучшила управляемость самолета на малых скоростях, но как и следовало ожидать не понизило его посадочную скорость. Поскольку серийная постройка самолетов И4 в 1931 году не производилась, указанная работа в ЦАГИ являлась экспериментальной и не была введена, ввиду сложности переделок в построенные самолеты (3530,91).</w:t>
      </w:r>
    </w:p>
    <w:p w14:paraId="6C5C92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65AB0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Летом 1931 г. на испытаниях в НИИ ВВС, И-7 (НД37) при взлетном весе 1740 кг развивал максималь</w:t>
      </w:r>
      <w:r w:rsidRPr="005E779E">
        <w:rPr>
          <w:rFonts w:ascii="Times New Roman" w:hAnsi="Times New Roman"/>
          <w:color w:val="000000" w:themeColor="text1"/>
          <w:sz w:val="16"/>
          <w:szCs w:val="16"/>
        </w:rPr>
        <w:softHyphen/>
        <w:t>ную скорость у земли 291 км/ч, на высоте 5000 метров -277 км/ч, высоту 5000 м набирал за 11,3 мин. Его пото</w:t>
      </w:r>
      <w:r w:rsidRPr="005E779E">
        <w:rPr>
          <w:rFonts w:ascii="Times New Roman" w:hAnsi="Times New Roman"/>
          <w:color w:val="000000" w:themeColor="text1"/>
          <w:sz w:val="16"/>
          <w:szCs w:val="16"/>
        </w:rPr>
        <w:softHyphen/>
        <w:t>лок равнялся 7200 м. Таким образом И-7 (НД37) оказал</w:t>
      </w:r>
      <w:r w:rsidRPr="005E779E">
        <w:rPr>
          <w:rFonts w:ascii="Times New Roman" w:hAnsi="Times New Roman"/>
          <w:color w:val="000000" w:themeColor="text1"/>
          <w:sz w:val="16"/>
          <w:szCs w:val="16"/>
        </w:rPr>
        <w:softHyphen/>
        <w:t>ся хуже и своего прототипа, и И-7 Н.Н.Поликарпова. Однако деньги на покупку лицензии уже потратили. Поэтому не удивительно, что в заключении по машине НТК сочло возможной серийную постройку, отметив при этом, что «по своим летно-техническим характери</w:t>
      </w:r>
      <w:r w:rsidRPr="005E779E">
        <w:rPr>
          <w:rFonts w:ascii="Times New Roman" w:hAnsi="Times New Roman"/>
          <w:color w:val="000000" w:themeColor="text1"/>
          <w:sz w:val="16"/>
          <w:szCs w:val="16"/>
        </w:rPr>
        <w:softHyphen/>
        <w:t>стикам самолет не удовлетворяет современным требо</w:t>
      </w:r>
      <w:r w:rsidRPr="005E779E">
        <w:rPr>
          <w:rFonts w:ascii="Times New Roman" w:hAnsi="Times New Roman"/>
          <w:color w:val="000000" w:themeColor="text1"/>
          <w:sz w:val="16"/>
          <w:szCs w:val="16"/>
        </w:rPr>
        <w:softHyphen/>
        <w:t>ваниям». Интересам государства был нанесен заметный урон (10667).</w:t>
      </w:r>
    </w:p>
    <w:p w14:paraId="501F80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A64A662" w14:textId="08CB3580" w:rsidR="001A3E40" w:rsidRPr="00142305" w:rsidRDefault="001A3E40" w:rsidP="001A3E4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Летом 1931 г. И-7-D37 на испытаниях в НИИ ВВС при взлетном весе 1740 кг развивал максимальную скорость у земли 291 км/ч, на высоте 5000 метров — 277 км/ч. Высоту 5000 м набирал за 11, 276 мин. Его потолок равнялся 7200 м. Таким образом, И-7 (HD37) оказался хуже и своего прототипа, и И-7 Н. Н. Поликарпова. Однако деньги на покупку лицензии уже были потрачены. Поэтому неудивительно, что в заключении по машине НТК сочло возможной серийную постройку, отметив, что «по своим летно-техническим характеристикам самолет не удовлетворяет современным требованиям».</w:t>
      </w:r>
      <w:r w:rsidR="00FE094E">
        <w:rPr>
          <w:rFonts w:ascii="Times New Roman" w:hAnsi="Times New Roman"/>
          <w:color w:val="0070C0"/>
          <w:sz w:val="16"/>
          <w:szCs w:val="16"/>
        </w:rPr>
        <w:t xml:space="preserve"> </w:t>
      </w:r>
      <w:r w:rsidRPr="00142305">
        <w:rPr>
          <w:rFonts w:ascii="Times New Roman" w:hAnsi="Times New Roman"/>
          <w:color w:val="0070C0"/>
          <w:sz w:val="16"/>
          <w:szCs w:val="16"/>
        </w:rPr>
        <w:t>Интересам государства был нанесен заметный урон (25035).</w:t>
      </w:r>
    </w:p>
    <w:p w14:paraId="724FBD70" w14:textId="77777777" w:rsidR="001A3E40" w:rsidRPr="00142305" w:rsidRDefault="001A3E40" w:rsidP="001A3E40">
      <w:pPr>
        <w:spacing w:after="0" w:line="240" w:lineRule="auto"/>
        <w:jc w:val="both"/>
        <w:rPr>
          <w:rFonts w:ascii="Times New Roman" w:hAnsi="Times New Roman"/>
          <w:color w:val="0070C0"/>
          <w:sz w:val="16"/>
          <w:szCs w:val="16"/>
        </w:rPr>
      </w:pPr>
    </w:p>
    <w:p w14:paraId="71ADACF1"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Летом 1931 г. был поставлен вопрос о развертывании серийного выпуска самолета И-7 на заводе №135 в Харькове, что было поддержано УВВС (24331).</w:t>
      </w:r>
    </w:p>
    <w:p w14:paraId="2ED096C2" w14:textId="77777777" w:rsidR="000B7ADA" w:rsidRPr="005E779E" w:rsidRDefault="000B7ADA" w:rsidP="000B7A6C">
      <w:pPr>
        <w:spacing w:after="0" w:line="240" w:lineRule="auto"/>
        <w:jc w:val="both"/>
        <w:rPr>
          <w:rFonts w:ascii="Times New Roman" w:hAnsi="Times New Roman"/>
          <w:color w:val="000000" w:themeColor="text1"/>
          <w:sz w:val="16"/>
          <w:szCs w:val="16"/>
        </w:rPr>
      </w:pPr>
    </w:p>
    <w:p w14:paraId="638C53BD" w14:textId="77777777" w:rsidR="007F6BD6" w:rsidRPr="005E779E" w:rsidRDefault="007F6BD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Летом 1931 г. два первых И-7, которым предстояло стать эталоном для серийно</w:t>
      </w:r>
      <w:r w:rsidRPr="005E779E">
        <w:rPr>
          <w:rFonts w:ascii="Times New Roman" w:hAnsi="Times New Roman"/>
          <w:color w:val="000000" w:themeColor="text1"/>
          <w:sz w:val="16"/>
          <w:szCs w:val="16"/>
        </w:rPr>
        <w:softHyphen/>
        <w:t>го производства, были закончены. 25 июля летчик-испытатель Александр Жуков обле</w:t>
      </w:r>
      <w:r w:rsidRPr="005E779E">
        <w:rPr>
          <w:rFonts w:ascii="Times New Roman" w:hAnsi="Times New Roman"/>
          <w:color w:val="000000" w:themeColor="text1"/>
          <w:sz w:val="16"/>
          <w:szCs w:val="16"/>
        </w:rPr>
        <w:softHyphen/>
        <w:t>тал один из самолетов. Он оценивал И-7 как нормальный аппарат, однако отметил недо</w:t>
      </w:r>
      <w:r w:rsidRPr="005E779E">
        <w:rPr>
          <w:rFonts w:ascii="Times New Roman" w:hAnsi="Times New Roman"/>
          <w:color w:val="000000" w:themeColor="text1"/>
          <w:sz w:val="16"/>
          <w:szCs w:val="16"/>
        </w:rPr>
        <w:softHyphen/>
        <w:t>статочную устойчивость пути и некоторую сложность при выполнении виражей. В за</w:t>
      </w:r>
      <w:r w:rsidRPr="005E779E">
        <w:rPr>
          <w:rFonts w:ascii="Times New Roman" w:hAnsi="Times New Roman"/>
          <w:color w:val="000000" w:themeColor="text1"/>
          <w:sz w:val="16"/>
          <w:szCs w:val="16"/>
        </w:rPr>
        <w:softHyphen/>
        <w:t>ключении по заводским испытаниям гово</w:t>
      </w:r>
      <w:r w:rsidRPr="005E779E">
        <w:rPr>
          <w:rFonts w:ascii="Times New Roman" w:hAnsi="Times New Roman"/>
          <w:color w:val="000000" w:themeColor="text1"/>
          <w:sz w:val="16"/>
          <w:szCs w:val="16"/>
        </w:rPr>
        <w:softHyphen/>
        <w:t>рилось: «Самолет И-7 с ВМ\У-У1 7,3 имеет чуткое управление и требует хорошей трени</w:t>
      </w:r>
      <w:r w:rsidRPr="005E779E">
        <w:rPr>
          <w:rFonts w:ascii="Times New Roman" w:hAnsi="Times New Roman"/>
          <w:color w:val="000000" w:themeColor="text1"/>
          <w:sz w:val="16"/>
          <w:szCs w:val="16"/>
        </w:rPr>
        <w:softHyphen/>
        <w:t>ровки от пилота при выполнении пилотажа... имеет простые взлет и посадку... не хватает угла отклонения стабилизатора вверх и вниз. Штопорит не совсем нормально».</w:t>
      </w:r>
    </w:p>
    <w:p w14:paraId="19755F57" w14:textId="77777777" w:rsidR="007F6BD6" w:rsidRPr="005E779E" w:rsidRDefault="007F6BD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Далее И-7 передали в Н И И ВВС, выводы там сделали несколько в другой плоскости: «И-7 не отвечает по своим летным данным требовани</w:t>
      </w:r>
      <w:r w:rsidRPr="005E779E">
        <w:rPr>
          <w:rFonts w:ascii="Times New Roman" w:hAnsi="Times New Roman"/>
          <w:color w:val="000000" w:themeColor="text1"/>
          <w:sz w:val="16"/>
          <w:szCs w:val="16"/>
        </w:rPr>
        <w:softHyphen/>
        <w:t>ям, предъявляемым к современным истреби</w:t>
      </w:r>
      <w:r w:rsidRPr="005E779E">
        <w:rPr>
          <w:rFonts w:ascii="Times New Roman" w:hAnsi="Times New Roman"/>
          <w:color w:val="000000" w:themeColor="text1"/>
          <w:sz w:val="16"/>
          <w:szCs w:val="16"/>
        </w:rPr>
        <w:softHyphen/>
        <w:t>телям, однако целесообразно самолет строить для вооружения нескольких эскадрилий». По</w:t>
      </w:r>
      <w:r w:rsidRPr="005E779E">
        <w:rPr>
          <w:rFonts w:ascii="Times New Roman" w:hAnsi="Times New Roman"/>
          <w:color w:val="000000" w:themeColor="text1"/>
          <w:sz w:val="16"/>
          <w:szCs w:val="16"/>
        </w:rPr>
        <w:softHyphen/>
        <w:t>следнее мнение связывалось с надеждой ис</w:t>
      </w:r>
      <w:r w:rsidRPr="005E779E">
        <w:rPr>
          <w:rFonts w:ascii="Times New Roman" w:hAnsi="Times New Roman"/>
          <w:color w:val="000000" w:themeColor="text1"/>
          <w:sz w:val="16"/>
          <w:szCs w:val="16"/>
        </w:rPr>
        <w:softHyphen/>
        <w:t>пользования более мощных двигателей, раз</w:t>
      </w:r>
      <w:r w:rsidRPr="005E779E">
        <w:rPr>
          <w:rFonts w:ascii="Times New Roman" w:hAnsi="Times New Roman"/>
          <w:color w:val="000000" w:themeColor="text1"/>
          <w:sz w:val="16"/>
          <w:szCs w:val="16"/>
        </w:rPr>
        <w:softHyphen/>
        <w:t>работанных для замены ВМ\У-У1. Поначалу предполагались двигатели М-19 и М-27, а бли</w:t>
      </w:r>
      <w:r w:rsidRPr="005E779E">
        <w:rPr>
          <w:rFonts w:ascii="Times New Roman" w:hAnsi="Times New Roman"/>
          <w:color w:val="000000" w:themeColor="text1"/>
          <w:sz w:val="16"/>
          <w:szCs w:val="16"/>
        </w:rPr>
        <w:softHyphen/>
        <w:t>же к осени 1931 г. ожидался М-34.</w:t>
      </w:r>
    </w:p>
    <w:p w14:paraId="46D752BD" w14:textId="77777777" w:rsidR="007F6BD6" w:rsidRPr="005E779E" w:rsidRDefault="007F6BD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Вообще, ситуация с И-7 во второй поло</w:t>
      </w:r>
      <w:r w:rsidRPr="005E779E">
        <w:rPr>
          <w:rFonts w:ascii="Times New Roman" w:hAnsi="Times New Roman"/>
          <w:color w:val="000000" w:themeColor="text1"/>
          <w:sz w:val="16"/>
          <w:szCs w:val="16"/>
        </w:rPr>
        <w:softHyphen/>
        <w:t>вине 1931 г. складывалась следующим образом. Летающих истребителей этого типа в Союзе имелось три экземпляра. Во-первых, уже в течение двух лет в 15-й авиабригаде нес строевую службу НО-37 №292 немецкой по</w:t>
      </w:r>
      <w:r w:rsidRPr="005E779E">
        <w:rPr>
          <w:rFonts w:ascii="Times New Roman" w:hAnsi="Times New Roman"/>
          <w:color w:val="000000" w:themeColor="text1"/>
          <w:sz w:val="16"/>
          <w:szCs w:val="16"/>
        </w:rPr>
        <w:softHyphen/>
        <w:t>стройки. Самолет находился в личном поль</w:t>
      </w:r>
      <w:r w:rsidRPr="005E779E">
        <w:rPr>
          <w:rFonts w:ascii="Times New Roman" w:hAnsi="Times New Roman"/>
          <w:color w:val="000000" w:themeColor="text1"/>
          <w:sz w:val="16"/>
          <w:szCs w:val="16"/>
        </w:rPr>
        <w:softHyphen/>
        <w:t>зовании командира авиабригады Лопатина, однако летали на нем и другие летчики. Оче</w:t>
      </w:r>
      <w:r w:rsidRPr="005E779E">
        <w:rPr>
          <w:rFonts w:ascii="Times New Roman" w:hAnsi="Times New Roman"/>
          <w:color w:val="000000" w:themeColor="text1"/>
          <w:sz w:val="16"/>
          <w:szCs w:val="16"/>
        </w:rPr>
        <w:softHyphen/>
        <w:t>видно, самолет эксплуатировался активно, в частности отмечалось, что во время стрельбы на Смоленском аэродроме разрушились не</w:t>
      </w:r>
      <w:r w:rsidRPr="005E779E">
        <w:rPr>
          <w:rFonts w:ascii="Times New Roman" w:hAnsi="Times New Roman"/>
          <w:color w:val="000000" w:themeColor="text1"/>
          <w:sz w:val="16"/>
          <w:szCs w:val="16"/>
        </w:rPr>
        <w:softHyphen/>
        <w:t>рвюры центроплана по сварке.</w:t>
      </w:r>
    </w:p>
    <w:p w14:paraId="4D8DF719" w14:textId="77777777" w:rsidR="007F6BD6" w:rsidRPr="005E779E" w:rsidRDefault="007F6BD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Добавим, что в 9-й эскадрилье 15-й ави</w:t>
      </w:r>
      <w:r w:rsidRPr="005E779E">
        <w:rPr>
          <w:rFonts w:ascii="Times New Roman" w:hAnsi="Times New Roman"/>
          <w:color w:val="000000" w:themeColor="text1"/>
          <w:sz w:val="16"/>
          <w:szCs w:val="16"/>
        </w:rPr>
        <w:softHyphen/>
        <w:t>абригады в этот период числился и НО-43 №327.</w:t>
      </w:r>
    </w:p>
    <w:p w14:paraId="5A4D5D23" w14:textId="77777777" w:rsidR="007F6BD6" w:rsidRPr="005E779E" w:rsidRDefault="007F6BD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 двух построенных на заводе №1 один И-7 продолжал испытания вооружения на Кунцевском полигоне, другой в июле 1931 г. передали в личное распоряжение Алксниса, поэтому он использовался ограниченно, воз</w:t>
      </w:r>
      <w:r w:rsidRPr="005E779E">
        <w:rPr>
          <w:rFonts w:ascii="Times New Roman" w:hAnsi="Times New Roman"/>
          <w:color w:val="000000" w:themeColor="text1"/>
          <w:sz w:val="16"/>
          <w:szCs w:val="16"/>
        </w:rPr>
        <w:softHyphen/>
        <w:t>можно сохранялся про запас.</w:t>
      </w:r>
    </w:p>
    <w:p w14:paraId="64FAE67F" w14:textId="77777777" w:rsidR="007F6BD6" w:rsidRPr="005E779E" w:rsidRDefault="007F6BD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с продолжением серийного производст</w:t>
      </w:r>
      <w:r w:rsidRPr="005E779E">
        <w:rPr>
          <w:rFonts w:ascii="Times New Roman" w:hAnsi="Times New Roman"/>
          <w:color w:val="000000" w:themeColor="text1"/>
          <w:sz w:val="16"/>
          <w:szCs w:val="16"/>
        </w:rPr>
        <w:softHyphen/>
        <w:t>ва вышла заминка. На авиазаводе №1 в те</w:t>
      </w:r>
      <w:r w:rsidRPr="005E779E">
        <w:rPr>
          <w:rFonts w:ascii="Times New Roman" w:hAnsi="Times New Roman"/>
          <w:color w:val="000000" w:themeColor="text1"/>
          <w:sz w:val="16"/>
          <w:szCs w:val="16"/>
        </w:rPr>
        <w:softHyphen/>
        <w:t>чение года развернули серийное изготовле</w:t>
      </w:r>
      <w:r w:rsidRPr="005E779E">
        <w:rPr>
          <w:rFonts w:ascii="Times New Roman" w:hAnsi="Times New Roman"/>
          <w:color w:val="000000" w:themeColor="text1"/>
          <w:sz w:val="16"/>
          <w:szCs w:val="16"/>
        </w:rPr>
        <w:softHyphen/>
        <w:t>ние отечественных истребителей И-5, ко</w:t>
      </w:r>
      <w:r w:rsidRPr="005E779E">
        <w:rPr>
          <w:rFonts w:ascii="Times New Roman" w:hAnsi="Times New Roman"/>
          <w:color w:val="000000" w:themeColor="text1"/>
          <w:sz w:val="16"/>
          <w:szCs w:val="16"/>
        </w:rPr>
        <w:softHyphen/>
        <w:t>торые для ВВС казались предпочтительней. Материалов для изготовления «Хейнкеля», а его по-прежнему так называли, не хватало. В частности, не было запаса стальных труб, не</w:t>
      </w:r>
      <w:r w:rsidRPr="005E779E">
        <w:rPr>
          <w:rFonts w:ascii="Times New Roman" w:hAnsi="Times New Roman"/>
          <w:color w:val="000000" w:themeColor="text1"/>
          <w:sz w:val="16"/>
          <w:szCs w:val="16"/>
        </w:rPr>
        <w:softHyphen/>
        <w:t>обходимых для изготовления фюзеляжей — то, что имелось, шло на И-5. Занято было и производство, прежде всего сварочное. Поэ</w:t>
      </w:r>
      <w:r w:rsidRPr="005E779E">
        <w:rPr>
          <w:rFonts w:ascii="Times New Roman" w:hAnsi="Times New Roman"/>
          <w:color w:val="000000" w:themeColor="text1"/>
          <w:sz w:val="16"/>
          <w:szCs w:val="16"/>
        </w:rPr>
        <w:softHyphen/>
        <w:t>тому до конца 1931 года И-7 не строили. Бо</w:t>
      </w:r>
      <w:r w:rsidRPr="005E779E">
        <w:rPr>
          <w:rFonts w:ascii="Times New Roman" w:hAnsi="Times New Roman"/>
          <w:color w:val="000000" w:themeColor="text1"/>
          <w:sz w:val="16"/>
          <w:szCs w:val="16"/>
        </w:rPr>
        <w:softHyphen/>
        <w:t>лее того, существовало решение — перевести изготовление серии в Харьков, на авиазавод №135. Харьковского эпизода в истории И-7 не случилось, однако в начале 1932 г. история строительства вновь продолжилась на авиа</w:t>
      </w:r>
      <w:r w:rsidRPr="005E779E">
        <w:rPr>
          <w:rFonts w:ascii="Times New Roman" w:hAnsi="Times New Roman"/>
          <w:color w:val="000000" w:themeColor="text1"/>
          <w:sz w:val="16"/>
          <w:szCs w:val="16"/>
        </w:rPr>
        <w:softHyphen/>
        <w:t>заводе №1, так как производство И-5 пере</w:t>
      </w:r>
      <w:r w:rsidRPr="005E779E">
        <w:rPr>
          <w:rFonts w:ascii="Times New Roman" w:hAnsi="Times New Roman"/>
          <w:color w:val="000000" w:themeColor="text1"/>
          <w:sz w:val="16"/>
          <w:szCs w:val="16"/>
        </w:rPr>
        <w:softHyphen/>
        <w:t>несли на авиационный завод №21 в Нижний Новгород (12295).</w:t>
      </w:r>
    </w:p>
    <w:p w14:paraId="08698DBA" w14:textId="77777777" w:rsidR="007F6BD6" w:rsidRPr="005E779E" w:rsidRDefault="007F6BD6" w:rsidP="000B7A6C">
      <w:pPr>
        <w:spacing w:after="0" w:line="240" w:lineRule="auto"/>
        <w:jc w:val="both"/>
        <w:rPr>
          <w:rFonts w:ascii="Times New Roman" w:hAnsi="Times New Roman"/>
          <w:color w:val="000000" w:themeColor="text1"/>
          <w:sz w:val="16"/>
          <w:szCs w:val="16"/>
        </w:rPr>
      </w:pPr>
    </w:p>
    <w:p w14:paraId="7D2251C2" w14:textId="77777777" w:rsidR="00EE3D9D" w:rsidRPr="00142305" w:rsidRDefault="00EE3D9D" w:rsidP="00EE3D9D">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Летом 1931 г. началась постройка И-12бис, которая, однако, задержалась в связи с неудовлетворительными летными испытаниями первой машины. Этот самолет, выполненный по той же схеме, что и первый опытный, имел несколько увеличенный размах крыльев, меньшую длину и улучшенную аэродинамику. Уже в процессе постройки в конструкцию вносилось много переделок и изменений. Работа затянулась, руководство уже не проявляло к ней должного внимания. В 1933 г. работа по этому самолету велась от случая к случаю. Хотя машина в начале 1934 г. была практически готова (по состоянию на 1 января ее готовность определялась как 84,9 %), интерес к этой теме окончательно пропал. 4 июня на завод поступило распоряжение заместителя начальника ЦАГИ Андрея Николаевича Туполева о прекращении постройки И-12бис.</w:t>
      </w:r>
    </w:p>
    <w:p w14:paraId="28A77112" w14:textId="77777777" w:rsidR="00EE3D9D" w:rsidRPr="00142305" w:rsidRDefault="00EE3D9D" w:rsidP="00EE3D9D">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Истребитель И-4 (АНТ-5), находящийся на вооружении ВВС с 1930 г., был единственным цельнометаллическим самолетом такого предназначения из тех, которые выпускали советские авиазаводы. Для установки пушек Курчевского этот самолет подходил, однако АПК-4 оказалась для него слишком велика. Поэтому была спроектирована и построена уменьшенная система калибра 65 мм, получившая название АПК-3 (25213).</w:t>
      </w:r>
    </w:p>
    <w:p w14:paraId="3AA98CA4" w14:textId="77777777" w:rsidR="00EE3D9D" w:rsidRPr="00142305" w:rsidRDefault="00EE3D9D" w:rsidP="00EE3D9D">
      <w:pPr>
        <w:spacing w:after="0" w:line="240" w:lineRule="auto"/>
        <w:jc w:val="both"/>
        <w:rPr>
          <w:rFonts w:ascii="Times New Roman" w:hAnsi="Times New Roman"/>
          <w:color w:val="0070C0"/>
          <w:sz w:val="16"/>
          <w:szCs w:val="16"/>
        </w:rPr>
      </w:pPr>
    </w:p>
    <w:p w14:paraId="158545E6" w14:textId="77777777" w:rsidR="00EE3D9D" w:rsidRPr="00142305" w:rsidRDefault="00EE3D9D" w:rsidP="00EE3D9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Летом 1931 года началось Строительство И-12бис. Самолет, выполненный по той же схеме, отличался измененными геометрическими параметрами (длина – 7,5 м, размах – 15,6 м, площадь крыла – 33 кв. м) и улучшенной аэродинамикой. </w:t>
      </w:r>
    </w:p>
    <w:p w14:paraId="34D7459F" w14:textId="77777777" w:rsidR="00EE3D9D" w:rsidRPr="00142305" w:rsidRDefault="00EE3D9D" w:rsidP="00EE3D9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процессе сборки в конструкцию вносилось множество изменений. Работа затянулась, и руководство перестало проявлять к ней должное внимание. В этих условиях бауманская организация ВЛКСМ в 1933 году решила взять шефство над самолетом, в связи с чем И-12бис получил название «Бауманский комсомолец». Комсомольцы ЦАГИ обязались отработать на сборке по 60 часов в свободное время. Несмотря на то, что машина была практически построена (по состоянию на 1 января 1934 года ее готовность оценивалась в 84,95%), ситуацию спасти не удалось. 4 июня на завод поступило распоряжение заместителя начальника ЦАГИ А.Н. Туполева о прекращении строительства И-12бис (25642).</w:t>
      </w:r>
    </w:p>
    <w:p w14:paraId="4196C006" w14:textId="77777777" w:rsidR="00EE3D9D" w:rsidRPr="00142305" w:rsidRDefault="00EE3D9D" w:rsidP="00EE3D9D">
      <w:pPr>
        <w:spacing w:after="0" w:line="240" w:lineRule="auto"/>
        <w:jc w:val="both"/>
        <w:rPr>
          <w:rFonts w:ascii="Times New Roman" w:hAnsi="Times New Roman"/>
          <w:color w:val="0070C0"/>
          <w:sz w:val="16"/>
          <w:szCs w:val="16"/>
        </w:rPr>
      </w:pPr>
    </w:p>
    <w:p w14:paraId="546EC8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Летом 1931 были Эксплуатационные испытания серийного самолета К-5 с двигателем М-22 по маршруту Харьков—Москва за— Оренбург— Кустанай—Акмолинск— Павлодар— Семипалатинск—Алма-Ата (10674).</w:t>
      </w:r>
    </w:p>
    <w:p w14:paraId="390140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01E1BF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Летом 1931 г. первый поплавковый бомбардировщик АНТ-4, получивший обозначение ТБ-1а (заводской № 649), подготовили к испытаниям. Они проходили в Севастополе с 15 июня по 19 июля. Масса пустого самоле</w:t>
      </w:r>
      <w:r w:rsidRPr="005E779E">
        <w:rPr>
          <w:rFonts w:ascii="Times New Roman" w:hAnsi="Times New Roman"/>
          <w:color w:val="000000" w:themeColor="text1"/>
          <w:sz w:val="16"/>
          <w:szCs w:val="16"/>
        </w:rPr>
        <w:softHyphen/>
        <w:t xml:space="preserve">та с морским оборудованием по сравнению с сухопутным вариантом возросла почти на 600 кг и составила </w:t>
      </w:r>
      <w:r w:rsidRPr="005E779E">
        <w:rPr>
          <w:rFonts w:ascii="Times New Roman" w:hAnsi="Times New Roman"/>
          <w:color w:val="000000" w:themeColor="text1"/>
          <w:sz w:val="16"/>
          <w:szCs w:val="16"/>
        </w:rPr>
        <w:lastRenderedPageBreak/>
        <w:t>5016 кг. При нормальной взлетной массе 7500 кг с нагрузкой 2484 кг, в число которой вошло 1000 кг бомб (4x250 кг), радиус действия составил 192 мили, с дополнительным топливом и макси</w:t>
      </w:r>
      <w:r w:rsidRPr="005E779E">
        <w:rPr>
          <w:rFonts w:ascii="Times New Roman" w:hAnsi="Times New Roman"/>
          <w:color w:val="000000" w:themeColor="text1"/>
          <w:sz w:val="16"/>
          <w:szCs w:val="16"/>
        </w:rPr>
        <w:softHyphen/>
        <w:t>мальным взлетным весом 8000 кг — 250 миль. После проведения указанных испыта</w:t>
      </w:r>
      <w:r w:rsidRPr="005E779E">
        <w:rPr>
          <w:rFonts w:ascii="Times New Roman" w:hAnsi="Times New Roman"/>
          <w:color w:val="000000" w:themeColor="text1"/>
          <w:sz w:val="16"/>
          <w:szCs w:val="16"/>
        </w:rPr>
        <w:softHyphen/>
        <w:t>ний морской вариант бомбардировщика под обозначением ТБ-1П начал поступать на снабжение строевых частей (11286).</w:t>
      </w:r>
    </w:p>
    <w:p w14:paraId="1E244D4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B5F94E" w14:textId="77777777" w:rsidR="007F6BD6" w:rsidRPr="005E779E" w:rsidRDefault="007F6BD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Летом 1931 года пред</w:t>
      </w:r>
      <w:r w:rsidRPr="005E779E">
        <w:rPr>
          <w:rFonts w:ascii="Times New Roman" w:hAnsi="Times New Roman"/>
          <w:color w:val="000000" w:themeColor="text1"/>
          <w:sz w:val="16"/>
          <w:szCs w:val="16"/>
        </w:rPr>
        <w:softHyphen/>
        <w:t>ставители морской авиации от обладания ма</w:t>
      </w:r>
      <w:r w:rsidRPr="005E779E">
        <w:rPr>
          <w:rFonts w:ascii="Times New Roman" w:hAnsi="Times New Roman"/>
          <w:color w:val="000000" w:themeColor="text1"/>
          <w:sz w:val="16"/>
          <w:szCs w:val="16"/>
        </w:rPr>
        <w:softHyphen/>
        <w:t>леньким поплавковым истребителем с недо</w:t>
      </w:r>
      <w:r w:rsidRPr="005E779E">
        <w:rPr>
          <w:rFonts w:ascii="Times New Roman" w:hAnsi="Times New Roman"/>
          <w:color w:val="000000" w:themeColor="text1"/>
          <w:sz w:val="16"/>
          <w:szCs w:val="16"/>
        </w:rPr>
        <w:softHyphen/>
        <w:t>статочной мореходностью решили отказать</w:t>
      </w:r>
      <w:r w:rsidRPr="005E779E">
        <w:rPr>
          <w:rFonts w:ascii="Times New Roman" w:hAnsi="Times New Roman"/>
          <w:color w:val="000000" w:themeColor="text1"/>
          <w:sz w:val="16"/>
          <w:szCs w:val="16"/>
        </w:rPr>
        <w:softHyphen/>
        <w:t>ся. Вероятнее всего на принятие решения по</w:t>
      </w:r>
      <w:r w:rsidRPr="005E779E">
        <w:rPr>
          <w:rFonts w:ascii="Times New Roman" w:hAnsi="Times New Roman"/>
          <w:color w:val="000000" w:themeColor="text1"/>
          <w:sz w:val="16"/>
          <w:szCs w:val="16"/>
        </w:rPr>
        <w:softHyphen/>
        <w:t>влиял двухлетний опыт эксплуатации летаю</w:t>
      </w:r>
      <w:r w:rsidRPr="005E779E">
        <w:rPr>
          <w:rFonts w:ascii="Times New Roman" w:hAnsi="Times New Roman"/>
          <w:color w:val="000000" w:themeColor="text1"/>
          <w:sz w:val="16"/>
          <w:szCs w:val="16"/>
        </w:rPr>
        <w:softHyphen/>
        <w:t>щих лодок КР-1 (Хейнкель НЭ.55) (12295).</w:t>
      </w:r>
    </w:p>
    <w:p w14:paraId="6D2A235D" w14:textId="77777777" w:rsidR="007F6BD6" w:rsidRPr="005E779E" w:rsidRDefault="007F6BD6" w:rsidP="000B7A6C">
      <w:pPr>
        <w:spacing w:after="0" w:line="240" w:lineRule="auto"/>
        <w:jc w:val="both"/>
        <w:rPr>
          <w:rFonts w:ascii="Times New Roman" w:hAnsi="Times New Roman"/>
          <w:color w:val="000000" w:themeColor="text1"/>
          <w:sz w:val="16"/>
          <w:szCs w:val="16"/>
        </w:rPr>
      </w:pPr>
    </w:p>
    <w:p w14:paraId="049B94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Летом 1931 г. пришлось вспомнить, что Центральное кон</w:t>
      </w:r>
      <w:r w:rsidRPr="005E779E">
        <w:rPr>
          <w:rFonts w:ascii="Times New Roman" w:hAnsi="Times New Roman"/>
          <w:color w:val="000000" w:themeColor="text1"/>
          <w:sz w:val="16"/>
          <w:szCs w:val="16"/>
        </w:rPr>
        <w:softHyphen/>
        <w:t>структорское бюро образца 1930 г. имену</w:t>
      </w:r>
      <w:r w:rsidRPr="005E779E">
        <w:rPr>
          <w:rFonts w:ascii="Times New Roman" w:hAnsi="Times New Roman"/>
          <w:color w:val="000000" w:themeColor="text1"/>
          <w:sz w:val="16"/>
          <w:szCs w:val="16"/>
        </w:rPr>
        <w:softHyphen/>
        <w:t>ется как ЦКБ-39 и создавалось при непосред</w:t>
      </w:r>
      <w:r w:rsidRPr="005E779E">
        <w:rPr>
          <w:rFonts w:ascii="Times New Roman" w:hAnsi="Times New Roman"/>
          <w:color w:val="000000" w:themeColor="text1"/>
          <w:sz w:val="16"/>
          <w:szCs w:val="16"/>
        </w:rPr>
        <w:softHyphen/>
        <w:t>ственном участии ОГПУ. Успехи, достигнутые ОГПУ в деле проектирования новой авиатехники, наглядно были продемонстрированы 6 июля 1931 г. И.В. Сталину. В ангаре, на аэро</w:t>
      </w:r>
      <w:r w:rsidRPr="005E779E">
        <w:rPr>
          <w:rFonts w:ascii="Times New Roman" w:hAnsi="Times New Roman"/>
          <w:color w:val="000000" w:themeColor="text1"/>
          <w:sz w:val="16"/>
          <w:szCs w:val="16"/>
        </w:rPr>
        <w:softHyphen/>
        <w:t>дроме и в воздухе были показаны: истреби</w:t>
      </w:r>
      <w:r w:rsidRPr="005E779E">
        <w:rPr>
          <w:rFonts w:ascii="Times New Roman" w:hAnsi="Times New Roman"/>
          <w:color w:val="000000" w:themeColor="text1"/>
          <w:sz w:val="16"/>
          <w:szCs w:val="16"/>
        </w:rPr>
        <w:softHyphen/>
        <w:t>тель И-5, модификации разведчика Р-5, штур- иовикТШ-1, бомбардировщик ТБ-5 и пушеч</w:t>
      </w:r>
      <w:r w:rsidRPr="005E779E">
        <w:rPr>
          <w:rFonts w:ascii="Times New Roman" w:hAnsi="Times New Roman"/>
          <w:color w:val="000000" w:themeColor="text1"/>
          <w:sz w:val="16"/>
          <w:szCs w:val="16"/>
        </w:rPr>
        <w:softHyphen/>
        <w:t>ный истребитель И-ЗЕТ. По всему выходило, тго руководителям ОГПУ действительно уда</w:t>
      </w:r>
      <w:r w:rsidRPr="005E779E">
        <w:rPr>
          <w:rFonts w:ascii="Times New Roman" w:hAnsi="Times New Roman"/>
          <w:color w:val="000000" w:themeColor="text1"/>
          <w:sz w:val="16"/>
          <w:szCs w:val="16"/>
        </w:rPr>
        <w:softHyphen/>
        <w:t>лось найти наиболее продуктивную форму деятельности авиапромышленности. Достиг</w:t>
      </w:r>
      <w:r w:rsidRPr="005E779E">
        <w:rPr>
          <w:rFonts w:ascii="Times New Roman" w:hAnsi="Times New Roman"/>
          <w:color w:val="000000" w:themeColor="text1"/>
          <w:sz w:val="16"/>
          <w:szCs w:val="16"/>
        </w:rPr>
        <w:softHyphen/>
        <w:t>нутые успехи решили закреплять, поэтому 27 августа 1931 г. приказом по Всесоюзному авиационному объединению (ВАО) №265 ЦКБ и ЦАГИ объединялись в единую про</w:t>
      </w:r>
      <w:r w:rsidRPr="005E779E">
        <w:rPr>
          <w:rFonts w:ascii="Times New Roman" w:hAnsi="Times New Roman"/>
          <w:color w:val="000000" w:themeColor="text1"/>
          <w:sz w:val="16"/>
          <w:szCs w:val="16"/>
        </w:rPr>
        <w:softHyphen/>
        <w:t>ектную организацию - ЦКБ-ЦАГИ. Остро</w:t>
      </w:r>
      <w:r w:rsidRPr="005E779E">
        <w:rPr>
          <w:rFonts w:ascii="Times New Roman" w:hAnsi="Times New Roman"/>
          <w:color w:val="000000" w:themeColor="text1"/>
          <w:sz w:val="16"/>
          <w:szCs w:val="16"/>
        </w:rPr>
        <w:softHyphen/>
        <w:t>словы окрестили их соединение «свадьбой». От ОГПУ командовать новой структурой на</w:t>
      </w:r>
      <w:r w:rsidRPr="005E779E">
        <w:rPr>
          <w:rFonts w:ascii="Times New Roman" w:hAnsi="Times New Roman"/>
          <w:color w:val="000000" w:themeColor="text1"/>
          <w:sz w:val="16"/>
          <w:szCs w:val="16"/>
        </w:rPr>
        <w:softHyphen/>
        <w:t>значили Е.С. Пауфлера, по технической части начальником объединенной организации стал С.В. Ильюшин (11974).</w:t>
      </w:r>
    </w:p>
    <w:p w14:paraId="5FA4A9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AFC6511" w14:textId="77777777" w:rsidR="007F6BD6" w:rsidRPr="005E779E" w:rsidRDefault="007F6BD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Летом 1931 года многим участникам со</w:t>
      </w:r>
      <w:r w:rsidRPr="005E779E">
        <w:rPr>
          <w:rFonts w:ascii="Times New Roman" w:hAnsi="Times New Roman"/>
          <w:color w:val="000000" w:themeColor="text1"/>
          <w:sz w:val="16"/>
          <w:szCs w:val="16"/>
        </w:rPr>
        <w:softHyphen/>
        <w:t>бытий пришлось вспомнить, что Централь-ное конструкторское бюро образца 1930 года именуется как ЦКБ-39 и создавалось при не</w:t>
      </w:r>
      <w:r w:rsidRPr="005E779E">
        <w:rPr>
          <w:rFonts w:ascii="Times New Roman" w:hAnsi="Times New Roman"/>
          <w:color w:val="000000" w:themeColor="text1"/>
          <w:sz w:val="16"/>
          <w:szCs w:val="16"/>
        </w:rPr>
        <w:softHyphen/>
        <w:t>посредственном участии ОГПУ. Успехи, до</w:t>
      </w:r>
      <w:r w:rsidRPr="005E779E">
        <w:rPr>
          <w:rFonts w:ascii="Times New Roman" w:hAnsi="Times New Roman"/>
          <w:color w:val="000000" w:themeColor="text1"/>
          <w:sz w:val="16"/>
          <w:szCs w:val="16"/>
        </w:rPr>
        <w:softHyphen/>
        <w:t>стигнутые ОГПУ в деле проектирования но</w:t>
      </w:r>
      <w:r w:rsidRPr="005E779E">
        <w:rPr>
          <w:rFonts w:ascii="Times New Roman" w:hAnsi="Times New Roman"/>
          <w:color w:val="000000" w:themeColor="text1"/>
          <w:sz w:val="16"/>
          <w:szCs w:val="16"/>
        </w:rPr>
        <w:softHyphen/>
        <w:t>вой авиатехники, наглядно были продемон</w:t>
      </w:r>
      <w:r w:rsidRPr="005E779E">
        <w:rPr>
          <w:rFonts w:ascii="Times New Roman" w:hAnsi="Times New Roman"/>
          <w:color w:val="000000" w:themeColor="text1"/>
          <w:sz w:val="16"/>
          <w:szCs w:val="16"/>
        </w:rPr>
        <w:softHyphen/>
        <w:t>стрированы 6 июля 1931 г. И.В. Сталину. В ангаре, на аэродроме и в воздухе были пока</w:t>
      </w:r>
      <w:r w:rsidRPr="005E779E">
        <w:rPr>
          <w:rFonts w:ascii="Times New Roman" w:hAnsi="Times New Roman"/>
          <w:color w:val="000000" w:themeColor="text1"/>
          <w:sz w:val="16"/>
          <w:szCs w:val="16"/>
        </w:rPr>
        <w:softHyphen/>
        <w:t>заны: истребитель И-5, модификации развед</w:t>
      </w:r>
      <w:r w:rsidRPr="005E779E">
        <w:rPr>
          <w:rFonts w:ascii="Times New Roman" w:hAnsi="Times New Roman"/>
          <w:color w:val="000000" w:themeColor="text1"/>
          <w:sz w:val="16"/>
          <w:szCs w:val="16"/>
        </w:rPr>
        <w:softHyphen/>
        <w:t>чика Р-5, штурмовик ТШ-1, бомбардиров</w:t>
      </w:r>
      <w:r w:rsidRPr="005E779E">
        <w:rPr>
          <w:rFonts w:ascii="Times New Roman" w:hAnsi="Times New Roman"/>
          <w:color w:val="000000" w:themeColor="text1"/>
          <w:sz w:val="16"/>
          <w:szCs w:val="16"/>
        </w:rPr>
        <w:softHyphen/>
        <w:t>щик ТБ-5 и пушечный истребитель И-ЗЕТ. По всему выходило, что руководителям ОГ</w:t>
      </w:r>
      <w:r w:rsidRPr="005E779E">
        <w:rPr>
          <w:rFonts w:ascii="Times New Roman" w:hAnsi="Times New Roman"/>
          <w:color w:val="000000" w:themeColor="text1"/>
          <w:sz w:val="16"/>
          <w:szCs w:val="16"/>
        </w:rPr>
        <w:softHyphen/>
        <w:t>ПУ действительно удалось найти наиболее продуктивную форму деятельности авиапро</w:t>
      </w:r>
      <w:r w:rsidRPr="005E779E">
        <w:rPr>
          <w:rFonts w:ascii="Times New Roman" w:hAnsi="Times New Roman"/>
          <w:color w:val="000000" w:themeColor="text1"/>
          <w:sz w:val="16"/>
          <w:szCs w:val="16"/>
        </w:rPr>
        <w:softHyphen/>
        <w:t>мышленности. Достигнутые успехи решили закреплять, поэтому, 27 августа 1931 г. при</w:t>
      </w:r>
      <w:r w:rsidRPr="005E779E">
        <w:rPr>
          <w:rFonts w:ascii="Times New Roman" w:hAnsi="Times New Roman"/>
          <w:color w:val="000000" w:themeColor="text1"/>
          <w:sz w:val="16"/>
          <w:szCs w:val="16"/>
        </w:rPr>
        <w:softHyphen/>
        <w:t>казом по Всесоюзному авиационному объ</w:t>
      </w:r>
      <w:r w:rsidRPr="005E779E">
        <w:rPr>
          <w:rFonts w:ascii="Times New Roman" w:hAnsi="Times New Roman"/>
          <w:color w:val="000000" w:themeColor="text1"/>
          <w:sz w:val="16"/>
          <w:szCs w:val="16"/>
        </w:rPr>
        <w:softHyphen/>
        <w:t>единению (ВАО) №265 от 27 августа 1931 г. ЦКБ и ЦАГИ объединялись в единую про</w:t>
      </w:r>
      <w:r w:rsidRPr="005E779E">
        <w:rPr>
          <w:rFonts w:ascii="Times New Roman" w:hAnsi="Times New Roman"/>
          <w:color w:val="000000" w:themeColor="text1"/>
          <w:sz w:val="16"/>
          <w:szCs w:val="16"/>
        </w:rPr>
        <w:softHyphen/>
        <w:t>ектную организацию — ЦКБ-ЦАГИ. Остро</w:t>
      </w:r>
      <w:r w:rsidRPr="005E779E">
        <w:rPr>
          <w:rFonts w:ascii="Times New Roman" w:hAnsi="Times New Roman"/>
          <w:color w:val="000000" w:themeColor="text1"/>
          <w:sz w:val="16"/>
          <w:szCs w:val="16"/>
        </w:rPr>
        <w:softHyphen/>
        <w:t>словы окрестили соединение двух организа</w:t>
      </w:r>
      <w:r w:rsidRPr="005E779E">
        <w:rPr>
          <w:rFonts w:ascii="Times New Roman" w:hAnsi="Times New Roman"/>
          <w:color w:val="000000" w:themeColor="text1"/>
          <w:sz w:val="16"/>
          <w:szCs w:val="16"/>
        </w:rPr>
        <w:softHyphen/>
        <w:t>ций «свадьбой». От ОГПУ командовать новой структурой назначили Е.С. Пауфлера, по тех</w:t>
      </w:r>
      <w:r w:rsidRPr="005E779E">
        <w:rPr>
          <w:rFonts w:ascii="Times New Roman" w:hAnsi="Times New Roman"/>
          <w:color w:val="000000" w:themeColor="text1"/>
          <w:sz w:val="16"/>
          <w:szCs w:val="16"/>
        </w:rPr>
        <w:softHyphen/>
        <w:t>нической части начальником объединенной организации стал С.В. Ильюшин (12295).</w:t>
      </w:r>
    </w:p>
    <w:p w14:paraId="4FBE1EF5" w14:textId="77777777" w:rsidR="007F6BD6" w:rsidRPr="005E779E" w:rsidRDefault="007F6BD6" w:rsidP="000B7A6C">
      <w:pPr>
        <w:spacing w:after="0" w:line="240" w:lineRule="auto"/>
        <w:jc w:val="both"/>
        <w:rPr>
          <w:rFonts w:ascii="Times New Roman" w:hAnsi="Times New Roman"/>
          <w:color w:val="000000" w:themeColor="text1"/>
          <w:sz w:val="16"/>
          <w:szCs w:val="16"/>
        </w:rPr>
      </w:pPr>
    </w:p>
    <w:p w14:paraId="4BB6786B" w14:textId="77777777" w:rsidR="00CE347A" w:rsidRPr="005E779E" w:rsidRDefault="00CE347A"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Летом 1931 Вахмистров подал в Комитет по изобретательству заявку на изобретение «самолёта-звена». «Я предлагаю составить тяжелый многомоторный самолёт из одного бомбардировщика среднего веса и двух истребителей, получив систему-звено, которая может работать и как один целый самолёт, и как три отдельных самолёта. &lt;…&gt; Я заставлю истребители, на которых стоят мощные моторы, использовать избыток их мощности на полезную работу переноски тяжёлого груза, а в нужный момент использовать её для боя. Кроме того, производя питание горючим истребителей из баков бомбардировщика, тем самым даётся возможность истребителю работать в глубоком тылу с возможностью вернуться в своё расположение» </w:t>
      </w:r>
      <w:hyperlink r:id="rId139" w:history="1">
        <w:r w:rsidRPr="005E779E">
          <w:rPr>
            <w:rFonts w:ascii="Times New Roman" w:eastAsia="Times New Roman" w:hAnsi="Times New Roman"/>
            <w:color w:val="000000" w:themeColor="text1"/>
            <w:sz w:val="16"/>
            <w:szCs w:val="16"/>
            <w:lang w:eastAsia="ru-RU"/>
          </w:rPr>
          <w:t>[74]</w:t>
        </w:r>
      </w:hyperlink>
      <w:r w:rsidRPr="005E779E">
        <w:rPr>
          <w:rFonts w:ascii="Times New Roman" w:eastAsia="Times New Roman" w:hAnsi="Times New Roman"/>
          <w:color w:val="000000" w:themeColor="text1"/>
          <w:sz w:val="16"/>
          <w:szCs w:val="16"/>
          <w:lang w:eastAsia="ru-RU"/>
        </w:rPr>
        <w:t xml:space="preserve"> (17489).</w:t>
      </w:r>
    </w:p>
    <w:p w14:paraId="32366B6D" w14:textId="77777777" w:rsidR="00CE347A" w:rsidRPr="005E779E" w:rsidRDefault="00CE347A" w:rsidP="000B7A6C">
      <w:pPr>
        <w:spacing w:after="0" w:line="240" w:lineRule="auto"/>
        <w:jc w:val="both"/>
        <w:rPr>
          <w:rFonts w:ascii="Times New Roman" w:eastAsia="Times New Roman" w:hAnsi="Times New Roman"/>
          <w:color w:val="000000" w:themeColor="text1"/>
          <w:sz w:val="16"/>
          <w:szCs w:val="16"/>
          <w:lang w:eastAsia="ru-RU"/>
        </w:rPr>
      </w:pPr>
    </w:p>
    <w:p w14:paraId="6CC4042B"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Летом 1931 года была испытана десантная лодка Благина, разработанная у Гроховского, ввиду того, что парашют к этой лодке порвался – испытания были прекращены (6770).</w:t>
      </w:r>
    </w:p>
    <w:p w14:paraId="36E0E214"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C4DE7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Летом 1931 г. директор МАИ М. В. Бойцов и секретарь парткома К. А. Остапенко нашли подходящий участок площадью свыше 30 га на развилке Ленинградского и Волоколамского шоссе, вблизи села Всехсвятского. Большая часть территории представляла собой яблоневый питомник, где часто располагались табором цыгане. В этом живописном месте и было решено в кратчайшие сроки построить целый институтский городок с общежитиями, столовыми, учебно-производственными мастерскими. В том же 1931 г. при отделе капитального строительства МАИ были организованы три проектных бюро. В первом бюро, руководимом профессором Б. Н. Юрьевым, был разработан проект здания для лабораторий и кафедр самолетостроительного факультета, а также всех помещений для аэродинамических труб. Для оснащения этих зданий МВТУ безвозмездно передало оборудование своей аэродинамической лаборатории. (Под руководством Б. Н. Юрьева, кроме того, было спроектировано еще несколько модификаций различных типов аэродинамических труб с улучшенными параметрами, специальное оборудование к ним и помещение для их установки.) Второе проектное бюро, возглавляемое профессором А. В. Квасниковым, приглашенным в МАИ из Томского технологического института, разработало проект здания моторного факультета, его лабораторий, отделов и 39 испытательных боксов. Третье проектное бюро, которое возглавил профессор С. А. Синицин, с 1931 по 1936 гг. разработало 42 проекта электрооборудования всех зданий института и его лабораторий (включая освещение и силовые сети), системы электропривода и автоматики (аэродинамических труб, станков и оборудования), а также систему электроснабжения института от сети Мосэнерго. В работе проектных бюро принимали участие не только преподаватели, но и студенты. Большая часть лабораторных стендов, приборов и оборудования построена своими силами. Строительство «большого МАИ» началось организованным осенью 1931 г. комсомольским воскресником по рытью траншей под фундамент главного (ныне третьего) корпуса. В 1932 — 1933 гг. были построены аудиторный корпус, самолетная и моторная лаборатории, мастерская и общежитие. Проект технологического корпуса, разработанный под руководством профессора П. Н. Львова, предусматривал объединение в одном здании всех лабораторий и кафедр самолетостроительного факультета. Однако рост факультета превосходил темпы строительства, поэтому пришлось организовать самостоятельные лаборатории по статическим испытаниям самолетов и авиационному материаловедению. Возведение нового институтского комплекса велось силами сотрудников, преподавателей, студентов всех курсов. Жизнь вносила в проекты и планы свои коррективы. Первоначально предполагалось создать на базе МАИ большой научно-исследовательский и учебный комбинат. Этот замысел осуществить не удалось, и остановились на сугубо учебном заведении. Еще пример. При строительстве института пришлось отклониться от утвержденного генплана и возводить аудиторный корпус в глубине строительной площадки, т.к. Плодвинсоюз, которому принадлежал яблоневый питомник, отказался уничтожить несколько сот деревьев. Был и такой случай. Аудиторный корпус строился с учетом модного тогда бригадного метода обучения, а с переходом на лекционный метод построенные помещения пришлось переоборудовать. Б. Н. Юрьеву много хлопот доставляла организация лабораторий. Так, важнейшая для него аэродинамическая лаборатория три раза за время строительства ставилась на консервацию. Весной 1932 г. некоторые лаборатории стали работать во временных помещениях. Моторная лаборатория, например, размещалась в небольшом сарае до 1934 г. Пока строили «большой МАИ», институт, практически не имея экспериментальной базы, должен был осуществлять подготовку инженеров, обеспечивать нормальный учебный процесс. В конце 1931 г. для руководства производственной практикой и проектированием были привлечены из промышленности высококлассные специалисты и конструкторы: И. И. Погосский, А. П. Голубков, А. Л. Гиммельфарб, Н. Ф. Чехонин и другие. В проведении учебного процесса на старших курсах кафедры опирались на деятельность НИИ, заводских КБ. Так, в 1930 г. студенты В. Лаписов, А. Бахур, В. Таиров проходили практику в ЦАГИ, в Отделе особых конструкций, под руководством опытных специалистов. Эти студенты стали впоследствии энтузиастами верто-летостроения. В конструкторские бюро, руководимые А. Н. Туполевым и С. В. Ильюшиным, были направлены студенты Е. Князев, Н. Петров, В. Коршун, В. Степин, В. Борог, С. Ковшарев, Н. Матюк, М. Шульженко и многие другие (12075).</w:t>
      </w:r>
    </w:p>
    <w:p w14:paraId="03C4F7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6665079" w14:textId="77777777" w:rsidR="0048207C" w:rsidRPr="005E779E" w:rsidRDefault="0048207C"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Летом 1931 года на моторном заводе № 24 находилось 12 ФЭДов, и еще на 10 имелся задел деталей (15223).</w:t>
      </w:r>
    </w:p>
    <w:p w14:paraId="0E2A14B7" w14:textId="77777777" w:rsidR="0048207C" w:rsidRPr="005E779E" w:rsidRDefault="0048207C" w:rsidP="000B7A6C">
      <w:pPr>
        <w:shd w:val="clear" w:color="auto" w:fill="FFFFFF"/>
        <w:spacing w:after="0" w:line="240" w:lineRule="auto"/>
        <w:jc w:val="both"/>
        <w:rPr>
          <w:rFonts w:ascii="Times New Roman" w:hAnsi="Times New Roman"/>
          <w:color w:val="000000" w:themeColor="text1"/>
          <w:sz w:val="16"/>
          <w:szCs w:val="16"/>
        </w:rPr>
      </w:pPr>
    </w:p>
    <w:p w14:paraId="7F697363" w14:textId="77777777" w:rsidR="007F6BD6" w:rsidRPr="005E779E" w:rsidRDefault="007F6BD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Летом 1931 г. на моторном заводе №24 в производстве находились 12 ФЭДов, имелись заделы еще на 10 таких двигателей. В связи с этими обстоятельствами, 25 июля 1931 г. по постановлению Совета труда и обо</w:t>
      </w:r>
      <w:r w:rsidRPr="005E779E">
        <w:rPr>
          <w:rFonts w:ascii="Times New Roman" w:hAnsi="Times New Roman"/>
          <w:color w:val="000000" w:themeColor="text1"/>
          <w:sz w:val="16"/>
          <w:szCs w:val="16"/>
        </w:rPr>
        <w:softHyphen/>
        <w:t>роны республики в программу серийного строительства было введено обязатель</w:t>
      </w:r>
      <w:r w:rsidRPr="005E779E">
        <w:rPr>
          <w:rFonts w:ascii="Times New Roman" w:hAnsi="Times New Roman"/>
          <w:color w:val="000000" w:themeColor="text1"/>
          <w:sz w:val="16"/>
          <w:szCs w:val="16"/>
        </w:rPr>
        <w:softHyphen/>
        <w:t>ство постройки шести ТБ-5: один опытный экземпляр и пять самолетов войсковой серии. Более того, при планах формирова</w:t>
      </w:r>
      <w:r w:rsidRPr="005E779E">
        <w:rPr>
          <w:rFonts w:ascii="Times New Roman" w:hAnsi="Times New Roman"/>
          <w:color w:val="000000" w:themeColor="text1"/>
          <w:sz w:val="16"/>
          <w:szCs w:val="16"/>
        </w:rPr>
        <w:softHyphen/>
        <w:t>ния новых бомбардировочных эскадрилий на 1932 г. эти 6 аппаратов были учтены. Так как надежды на смену моторных установок было мало, обозначались они как ТБ-5 с М-22, или просто ТБМ-22.</w:t>
      </w:r>
    </w:p>
    <w:p w14:paraId="0B7CA50A" w14:textId="77777777" w:rsidR="007F6BD6" w:rsidRPr="005E779E" w:rsidRDefault="007F6BD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Построен он был, что называется, на скорую руку, самолет подвергался непрерывным улучшениям и переделкам. Начиная с июня 1931 г. на нем усилили фюзеляж (отмечалось скручивание хвостовой части фюзеляжа в полете) и крепление двига</w:t>
      </w:r>
      <w:r w:rsidRPr="005E779E">
        <w:rPr>
          <w:rFonts w:ascii="Times New Roman" w:hAnsi="Times New Roman"/>
          <w:color w:val="000000" w:themeColor="text1"/>
          <w:sz w:val="16"/>
          <w:szCs w:val="16"/>
        </w:rPr>
        <w:softHyphen/>
        <w:t>телей, были прорезаны верхние люки в кабине пилотов, установлено остекление в районе задней кромки крыла на центро</w:t>
      </w:r>
      <w:r w:rsidRPr="005E779E">
        <w:rPr>
          <w:rFonts w:ascii="Times New Roman" w:hAnsi="Times New Roman"/>
          <w:color w:val="000000" w:themeColor="text1"/>
          <w:sz w:val="16"/>
          <w:szCs w:val="16"/>
        </w:rPr>
        <w:softHyphen/>
        <w:t>плане, сняты кольца Тауненда с задних двигателей. В период зимы 1931—1932 гг. ТБ-5 был поставлен на лыжи и совершил еще ряд полетов.</w:t>
      </w:r>
    </w:p>
    <w:p w14:paraId="47D41EB7" w14:textId="77777777" w:rsidR="007F6BD6" w:rsidRPr="005E779E" w:rsidRDefault="007F6BD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Продолжались и проектные работы по установке двигателей ФЭД. Были отрабо</w:t>
      </w:r>
      <w:r w:rsidRPr="005E779E">
        <w:rPr>
          <w:rFonts w:ascii="Times New Roman" w:hAnsi="Times New Roman"/>
          <w:color w:val="000000" w:themeColor="text1"/>
          <w:sz w:val="16"/>
          <w:szCs w:val="16"/>
        </w:rPr>
        <w:softHyphen/>
        <w:t>таны и испытаны в аэродинамической трубе ЦАГИ варианты установки двигателей в передней кромке крыла. Эта работа велась под руководством конструктора С.А. Кочеригина. Другими известными впо</w:t>
      </w:r>
      <w:r w:rsidRPr="005E779E">
        <w:rPr>
          <w:rFonts w:ascii="Times New Roman" w:hAnsi="Times New Roman"/>
          <w:color w:val="000000" w:themeColor="text1"/>
          <w:sz w:val="16"/>
          <w:szCs w:val="16"/>
        </w:rPr>
        <w:softHyphen/>
        <w:t>следствии конструкторами, отметившимися на ТБ-5, можно назвать Б.И. Черановского, В.П. Яценко и А.Н. Рафаэлянца.</w:t>
      </w:r>
    </w:p>
    <w:p w14:paraId="2FAB2128" w14:textId="77777777" w:rsidR="007F6BD6" w:rsidRPr="005E779E" w:rsidRDefault="007F6BD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 Всесоюзного авиационного объединения П.И. Баранов (в недавнем прошлом начальник ВВС) считал, что в ожидании двигателей ФЭД постройку ТБ-5 нужно затормозить и перенести ее на 1932 г. С таким предложением он обра</w:t>
      </w:r>
      <w:r w:rsidRPr="005E779E">
        <w:rPr>
          <w:rFonts w:ascii="Times New Roman" w:hAnsi="Times New Roman"/>
          <w:color w:val="000000" w:themeColor="text1"/>
          <w:sz w:val="16"/>
          <w:szCs w:val="16"/>
        </w:rPr>
        <w:softHyphen/>
        <w:t>тился в ВСНХ СССР. Однако Председатель СНК СССР В.М. Молотов руководствовался какимито особыми соображениями, поэ</w:t>
      </w:r>
      <w:r w:rsidRPr="005E779E">
        <w:rPr>
          <w:rFonts w:ascii="Times New Roman" w:hAnsi="Times New Roman"/>
          <w:color w:val="000000" w:themeColor="text1"/>
          <w:sz w:val="16"/>
          <w:szCs w:val="16"/>
        </w:rPr>
        <w:softHyphen/>
        <w:t>тому идею его отклонил и предложил при</w:t>
      </w:r>
      <w:r w:rsidRPr="005E779E">
        <w:rPr>
          <w:rFonts w:ascii="Times New Roman" w:hAnsi="Times New Roman"/>
          <w:color w:val="000000" w:themeColor="text1"/>
          <w:sz w:val="16"/>
          <w:szCs w:val="16"/>
        </w:rPr>
        <w:softHyphen/>
        <w:t>нять все меры для скорейшей постройки серии ТБ-5. Причина столь ревностного отношения к самолету заключалась в том, что его создали в организации, патронируемой ОГПУ. Причем успехи, достигнутые представителями «органов», наглядно уже были продемонстрированы 6 июля 1931 г. И.В. Сталину. Демонстри</w:t>
      </w:r>
      <w:r w:rsidRPr="005E779E">
        <w:rPr>
          <w:rFonts w:ascii="Times New Roman" w:hAnsi="Times New Roman"/>
          <w:color w:val="000000" w:themeColor="text1"/>
          <w:sz w:val="16"/>
          <w:szCs w:val="16"/>
        </w:rPr>
        <w:softHyphen/>
        <w:t>ровались кроме ТБ-5 модификации И-5, Р-5, ТШ-1 и суперновинка — пушечный истребитель И-2. По всему выходило, что руководителям ОГПУ действительно удалось искоренить вредительство и найти наиболее продуктивную форму деятельности авиапромышленности. Поэтому никакие отсрочки не принима</w:t>
      </w:r>
      <w:r w:rsidRPr="005E779E">
        <w:rPr>
          <w:rFonts w:ascii="Times New Roman" w:hAnsi="Times New Roman"/>
          <w:color w:val="000000" w:themeColor="text1"/>
          <w:sz w:val="16"/>
          <w:szCs w:val="16"/>
        </w:rPr>
        <w:softHyphen/>
        <w:t>лись. Достигнутые результаты следовало закреплять. Что и было продемонстриро</w:t>
      </w:r>
      <w:r w:rsidRPr="005E779E">
        <w:rPr>
          <w:rFonts w:ascii="Times New Roman" w:hAnsi="Times New Roman"/>
          <w:color w:val="000000" w:themeColor="text1"/>
          <w:sz w:val="16"/>
          <w:szCs w:val="16"/>
        </w:rPr>
        <w:softHyphen/>
        <w:t>вано спустя короткое время. 27 августа 1931 г. Центральное конструкторское бюро и Центральный аэрогидродинамический институт превратили в Объединенное техническое бюро (ОТБ) — ЦКБ-ЦАГИ. Руководителем этой организации назна</w:t>
      </w:r>
      <w:r w:rsidRPr="005E779E">
        <w:rPr>
          <w:rFonts w:ascii="Times New Roman" w:hAnsi="Times New Roman"/>
          <w:color w:val="000000" w:themeColor="text1"/>
          <w:sz w:val="16"/>
          <w:szCs w:val="16"/>
        </w:rPr>
        <w:softHyphen/>
        <w:t>чили Е.С. Пауфлера (12611).</w:t>
      </w:r>
    </w:p>
    <w:p w14:paraId="5323CABB" w14:textId="77777777" w:rsidR="007F6BD6" w:rsidRPr="005E779E" w:rsidRDefault="007F6BD6" w:rsidP="000B7A6C">
      <w:pPr>
        <w:spacing w:after="0" w:line="240" w:lineRule="auto"/>
        <w:jc w:val="both"/>
        <w:rPr>
          <w:rFonts w:ascii="Times New Roman" w:hAnsi="Times New Roman"/>
          <w:color w:val="000000" w:themeColor="text1"/>
          <w:sz w:val="16"/>
          <w:szCs w:val="16"/>
        </w:rPr>
      </w:pPr>
    </w:p>
    <w:p w14:paraId="1F25418D" w14:textId="77777777" w:rsidR="0048207C" w:rsidRPr="005E779E" w:rsidRDefault="0048207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Летом 1931 году, Камов наблюдал результаты исследований по сбросу торпед с самолетов. Очевидно, тогда его посетила мысль, что здесь можно применить винтокрылую схему для замедления скорости падения торпеды. Вскоре эта идея нашла свое отражение в документе под названием «Новый способ высотного торпедометания».</w:t>
      </w:r>
    </w:p>
    <w:p w14:paraId="73507AFD" w14:textId="77777777" w:rsidR="0048207C" w:rsidRPr="005E779E" w:rsidRDefault="0048207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«Новый способ» заключался в применении «автоматического, авторотирующего, складного, действующего на дистанции винта системы Камова для высотного сбрасывания».</w:t>
      </w:r>
    </w:p>
    <w:p w14:paraId="718B21A9" w14:textId="77777777" w:rsidR="0048207C" w:rsidRPr="005E779E" w:rsidRDefault="0048207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«Действующего на дистанции» означает наличие временного интервала между сбрасыванием с самолета и раскрытием лопастей винта. Изобретатель назвал свое творение без ложной скромности - ВТК, что означало Высотная Торпеда Камова.</w:t>
      </w:r>
    </w:p>
    <w:p w14:paraId="01974403" w14:textId="77777777" w:rsidR="0048207C" w:rsidRPr="005E779E" w:rsidRDefault="0048207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Прямо из Севастополя Камов отправил предложение начальникам ВВС и ГУАП, но ответа не последовало.</w:t>
      </w:r>
    </w:p>
    <w:p w14:paraId="2318E50F" w14:textId="77777777" w:rsidR="0048207C" w:rsidRPr="005E779E" w:rsidRDefault="0048207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октябре 1933 Николай Ильич Камов лично передал предложение по «Высотной Торпеде Камова (ВТК) с чертежами заместителю начальника ВВС Меженинову. И дело сдвинулось: по приказу Меженинова начальник НИИ ВВС все же заключил с Камовым договор на разработку его проектов. В результате появились проекты 20-килограммовой модели и 700-килограммового натурного образца. Но, вместо одной модели, Камов умудрился построить пять! (15598).</w:t>
      </w:r>
    </w:p>
    <w:p w14:paraId="0D182C3F" w14:textId="77777777" w:rsidR="0048207C" w:rsidRPr="005E779E" w:rsidRDefault="0048207C" w:rsidP="000B7A6C">
      <w:pPr>
        <w:spacing w:after="0" w:line="240" w:lineRule="auto"/>
        <w:jc w:val="both"/>
        <w:rPr>
          <w:rFonts w:ascii="Times New Roman" w:hAnsi="Times New Roman"/>
          <w:color w:val="000000" w:themeColor="text1"/>
          <w:sz w:val="16"/>
          <w:szCs w:val="16"/>
        </w:rPr>
      </w:pPr>
    </w:p>
    <w:p w14:paraId="736629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Летом 1931 г. на Гороховецких учениях на Р-5 испытали приборы ДАП-Д для постановки дымовых завес. Их купили в Германии у фирмы "Ганзеатише аппаратебау". Смесь вытеснялась сжатым воздухом. Бак со смесью у Р-5 размещался под фюзеляжем, баллон со сжатым воздухом емкостью 25 л - слева под нижним крылом. От бака длинная труба шла через хвостовую часть фюзеляжа и выходила под рулем направления. ДАП-Д приняли на вооружение как Д-100 и стали выпускать в СССР. Но первоначальная конструкция подвески не прижилась, позже альтернативно разработали подвеску двух Д-100 под крылом; этот вариант и стал штатным (12034).</w:t>
      </w:r>
    </w:p>
    <w:p w14:paraId="3162E0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D2AF319" w14:textId="77777777" w:rsidR="009E61BD" w:rsidRPr="00142305" w:rsidRDefault="009E61BD" w:rsidP="009E61B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Летом 1931 г. Р-5 впервые приняли участие в больших маневрах на Украине. С этого же времени новые машины стали поставлять и в летные школы. Одновременно перевооружали все новые части (24990).</w:t>
      </w:r>
    </w:p>
    <w:p w14:paraId="73BD0FCC" w14:textId="77777777" w:rsidR="009E61BD" w:rsidRPr="00142305" w:rsidRDefault="009E61BD" w:rsidP="009E61BD">
      <w:pPr>
        <w:spacing w:after="0" w:line="240" w:lineRule="auto"/>
        <w:jc w:val="both"/>
        <w:rPr>
          <w:rFonts w:ascii="Times New Roman" w:hAnsi="Times New Roman"/>
          <w:color w:val="0070C0"/>
          <w:sz w:val="16"/>
          <w:szCs w:val="16"/>
        </w:rPr>
      </w:pPr>
    </w:p>
    <w:p w14:paraId="3713FFEB" w14:textId="77777777" w:rsidR="009E61BD" w:rsidRPr="00142305" w:rsidRDefault="009E61BD" w:rsidP="009E61B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Летом 1931 г. на Гороховецких учениях на Р-5 испытали приборы ДАП-Д для постановки дымовых завес. Их купи</w:t>
      </w:r>
      <w:r w:rsidRPr="00142305">
        <w:rPr>
          <w:rFonts w:ascii="Times New Roman" w:hAnsi="Times New Roman"/>
          <w:color w:val="0070C0"/>
          <w:sz w:val="16"/>
          <w:szCs w:val="16"/>
        </w:rPr>
        <w:softHyphen/>
        <w:t>ли в Германии у фирмы «Ганзеатише аппаратебау». Смесь вытеснялась сжатым воздухом. Бак со смесью у Р-5 раз</w:t>
      </w:r>
      <w:r w:rsidRPr="00142305">
        <w:rPr>
          <w:rFonts w:ascii="Times New Roman" w:hAnsi="Times New Roman"/>
          <w:color w:val="0070C0"/>
          <w:sz w:val="16"/>
          <w:szCs w:val="16"/>
        </w:rPr>
        <w:softHyphen/>
        <w:t>мещался под фюзеляжем, баллон со сжатым воздухом ем</w:t>
      </w:r>
      <w:r w:rsidRPr="00142305">
        <w:rPr>
          <w:rFonts w:ascii="Times New Roman" w:hAnsi="Times New Roman"/>
          <w:color w:val="0070C0"/>
          <w:sz w:val="16"/>
          <w:szCs w:val="16"/>
        </w:rPr>
        <w:softHyphen/>
        <w:t>костью 25 л — слева под нижним крылом. От бака длинная труба шла через хвостовую часть фюзеляжа и выходила под рулем направления. ДАП-Д приняли на вооружение как Д-100 и стали выпускать в СССР. Но первоначальная конструкция подвески не прижилась, позже альтернатив</w:t>
      </w:r>
      <w:r w:rsidRPr="00142305">
        <w:rPr>
          <w:rFonts w:ascii="Times New Roman" w:hAnsi="Times New Roman"/>
          <w:color w:val="0070C0"/>
          <w:sz w:val="16"/>
          <w:szCs w:val="16"/>
        </w:rPr>
        <w:softHyphen/>
        <w:t>но разработали подвеску двух Д-100 под крылом; этот ва</w:t>
      </w:r>
      <w:r w:rsidRPr="00142305">
        <w:rPr>
          <w:rFonts w:ascii="Times New Roman" w:hAnsi="Times New Roman"/>
          <w:color w:val="0070C0"/>
          <w:sz w:val="16"/>
          <w:szCs w:val="16"/>
        </w:rPr>
        <w:softHyphen/>
        <w:t>риант и стал штатным (24990).</w:t>
      </w:r>
    </w:p>
    <w:p w14:paraId="154DA920" w14:textId="77777777" w:rsidR="009E61BD" w:rsidRPr="00142305" w:rsidRDefault="009E61BD" w:rsidP="009E61BD">
      <w:pPr>
        <w:spacing w:after="0" w:line="240" w:lineRule="auto"/>
        <w:jc w:val="both"/>
        <w:rPr>
          <w:rFonts w:ascii="Times New Roman" w:hAnsi="Times New Roman"/>
          <w:color w:val="0070C0"/>
          <w:sz w:val="16"/>
          <w:szCs w:val="16"/>
        </w:rPr>
      </w:pPr>
    </w:p>
    <w:p w14:paraId="7A57EBA9" w14:textId="77777777" w:rsidR="009E61BD" w:rsidRPr="00142305" w:rsidRDefault="009E61BD" w:rsidP="009E61B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Летом 1931 г. Монголия получила три первых Р-5 как подарок от совет</w:t>
      </w:r>
      <w:r w:rsidRPr="00142305">
        <w:rPr>
          <w:rFonts w:ascii="Times New Roman" w:hAnsi="Times New Roman"/>
          <w:color w:val="0070C0"/>
          <w:sz w:val="16"/>
          <w:szCs w:val="16"/>
        </w:rPr>
        <w:softHyphen/>
        <w:t>ского правительства Им отдали новенькие машины одной из первых серий, с пулеметами «Льюис». Окрашены они были по нашему стандарту, позднее на хвостовом оперении несли национальную эмблему «соембо» красного цвета. Вместе с самолетами прибыли совет</w:t>
      </w:r>
      <w:r w:rsidRPr="00142305">
        <w:rPr>
          <w:rFonts w:ascii="Times New Roman" w:hAnsi="Times New Roman"/>
          <w:color w:val="0070C0"/>
          <w:sz w:val="16"/>
          <w:szCs w:val="16"/>
        </w:rPr>
        <w:softHyphen/>
        <w:t>ские летчики. Считаясь военными советниками, первые годы только они пилотировали боевые машины, а монго</w:t>
      </w:r>
      <w:r w:rsidRPr="00142305">
        <w:rPr>
          <w:rFonts w:ascii="Times New Roman" w:hAnsi="Times New Roman"/>
          <w:color w:val="0070C0"/>
          <w:sz w:val="16"/>
          <w:szCs w:val="16"/>
        </w:rPr>
        <w:softHyphen/>
        <w:t>лы учились. Р-5 вошли в состав единственного тогда мон</w:t>
      </w:r>
      <w:r w:rsidRPr="00142305">
        <w:rPr>
          <w:rFonts w:ascii="Times New Roman" w:hAnsi="Times New Roman"/>
          <w:color w:val="0070C0"/>
          <w:sz w:val="16"/>
          <w:szCs w:val="16"/>
        </w:rPr>
        <w:softHyphen/>
        <w:t>гольского авиаотряда «Сухэ-Батор», насчитывавшего семь машин. Летали они поначалу мало, поскольку в Монголии не имелось нужного для их моторов бензола (24990).</w:t>
      </w:r>
    </w:p>
    <w:p w14:paraId="19F8B43F" w14:textId="77777777" w:rsidR="009E61BD" w:rsidRPr="00142305" w:rsidRDefault="009E61BD" w:rsidP="009E61BD">
      <w:pPr>
        <w:spacing w:after="0" w:line="240" w:lineRule="auto"/>
        <w:jc w:val="both"/>
        <w:rPr>
          <w:rFonts w:ascii="Times New Roman" w:hAnsi="Times New Roman"/>
          <w:color w:val="0070C0"/>
          <w:sz w:val="16"/>
          <w:szCs w:val="16"/>
        </w:rPr>
      </w:pPr>
    </w:p>
    <w:p w14:paraId="56E3AE7A" w14:textId="77777777" w:rsidR="009E61BD" w:rsidRPr="00142305" w:rsidRDefault="009E61BD" w:rsidP="009E61B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Летом 1931 года Ильюшин подал рапорт о переводе в авиационную промышленность, предварительно заручившись поддержкой начальника Всесоюзного авиационного объединения П.И. Баранова.</w:t>
      </w:r>
    </w:p>
    <w:p w14:paraId="77A9759A" w14:textId="77777777" w:rsidR="009E61BD" w:rsidRPr="00142305" w:rsidRDefault="009E61BD" w:rsidP="009E61B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Рапорт Ильюшина был рассмотрен, и в ноябре 1931 года он возглавил конструкторское бюро ЦАГИ (25093).</w:t>
      </w:r>
    </w:p>
    <w:p w14:paraId="3B119BBE" w14:textId="77777777" w:rsidR="009E61BD" w:rsidRPr="00142305" w:rsidRDefault="009E61BD" w:rsidP="009E61BD">
      <w:pPr>
        <w:spacing w:after="0" w:line="240" w:lineRule="auto"/>
        <w:jc w:val="both"/>
        <w:rPr>
          <w:rFonts w:ascii="Times New Roman" w:hAnsi="Times New Roman"/>
          <w:color w:val="0070C0"/>
          <w:sz w:val="16"/>
          <w:szCs w:val="16"/>
        </w:rPr>
      </w:pPr>
    </w:p>
    <w:p w14:paraId="395D5BFE" w14:textId="77777777" w:rsidR="0048207C" w:rsidRPr="005E779E" w:rsidRDefault="0048207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Летом 1931 г. директор МАИ М. В. Бойцов и секретарь парткома К. А. Остапенко нашли подходящий участок площадью свыше 30 га на развилке Ленинградского и Волоколамского шоссе, вблизи села Всехсвятского. Большая часть территории представляла собой яблоневый питомник, где часто располагались табором цыгане. В этом живописном месте и было решено в кратчайшие сроки построить целый институтский городок с общежитиями, столовыми, учебно-производственными мастерскими. В том же 1931 г. при отделе капитального строительства МАИ были организованы три проектных бюро. В первом бюро, руководимом профессором Б. Н. Юрьевым, был разработан проект здания для лабораторий и кафедр самолетостроительного факультета, а также всех помещений для аэродинамических труб. Для оснащения этих зданий МВТУ безвозмездно передало оборудование своей аэродинамической лаборатории. (Под руководством Б. Н. Юрьева, кроме того, было спроектировано еще несколько модификаций различных типов аэродинамических труб с улучшенными параметрами, специальное оборудование к ним и помещение для их установки.) Второе проектное бюро, возглавляемое профессором А. В. Квасниковым, приглашенным в МАИ из Томского технологического института, разработало проект здания моторного факультета, его лабораторий, отделов и 39 испытательных боксов. Третье проектное бюро, которое возглавил профессор С. А. Синицин, с 1931 по 1936 гг. разработало 42 проекта электрооборудования всех зданий института и его лабораторий (включая освещение и силовые сети), системы электропривода и автоматики (аэродинамических труб, станков и оборудования), а также систему электроснабжения института от сети Мосэнерго. В работе проектных бюро принимали участие не только преподаватели, но и студенты. Большая часть лабораторных стендов, приборов и оборудования построена своими силами. Строительство «большого МАИ» началось организованным осенью 1931 г. комсомольским воскресником по рытью траншей под фундамент главного (ныне третьего) корпуса. В 1932 — 1933 гг. были построены аудиторный корпус, самолетная и моторная лаборатории, мастерская и общежитие. Проект технологического корпуса, разработанный под руководством профессора П. Н. Львова, предусматривал объединение в одном здании всех лабораторий и кафедр самолетостроительного факультета. Однако рост факультета превосходил темпы строительства, поэтому пришлось организовать самостоятельные лаборатории по статическим испытаниям самолетов и авиационному материаловедению. Возведение нового институтского комплекса велось силами сотрудников, преподавателей, студентов всех курсов. Жизнь вносила в проекты и планы свои коррективы. Первоначально предполагалось создать на базе МАИ большой научно-исследовательский и учебный комбинат. Этот замысел осуществить не удалось, и остановились на сугубо учебном заведении. Еще пример. При строительстве института пришлось отклониться от утвержденного генплана и возводить аудиторный корпус в глубине строительной площадки, т.к. Плодвинсоюз, которому принадлежал яблоневый питомник, отказался уничтожить несколько сот деревьев. Был и такой случай. Аудиторный корпус строился с учетом модного тогда бригадного метода обучения, а с переходом на лекционный метод построенные помещения пришлось переоборудовать. Б. Н. Юрьеву много хлопот доставляла организация лабораторий. Так, важнейшая для него аэродинамическая лаборатория три раза за время строительства ставилась на консервацию. Весной 1932 г. некоторые лаборатории стали работать во временных помещениях. Моторная лаборатория, например, размещалась в небольшом сарае до 1934 г. Пока строили «большой МАИ», институт, практически не имея экспериментальной базы, должен был осуществлять подготовку инженеров, обеспечивать нормальный учебный процесс. В конце 1931 г. для руководства производственной практикой и проектированием были привлечены из промышленности высококлассные специалисты и конструкторы: И. И. Погосский, А. П. Голубков, А. Л. Гиммельфарб, Н. Ф. Чехонин и другие (15730).</w:t>
      </w:r>
    </w:p>
    <w:p w14:paraId="4D9EE734" w14:textId="77777777" w:rsidR="0048207C" w:rsidRPr="005E779E" w:rsidRDefault="0048207C" w:rsidP="000B7A6C">
      <w:pPr>
        <w:spacing w:after="0" w:line="240" w:lineRule="auto"/>
        <w:jc w:val="both"/>
        <w:rPr>
          <w:rFonts w:ascii="Times New Roman" w:hAnsi="Times New Roman"/>
          <w:color w:val="000000" w:themeColor="text1"/>
          <w:sz w:val="16"/>
          <w:szCs w:val="16"/>
        </w:rPr>
      </w:pPr>
    </w:p>
    <w:p w14:paraId="64189E1D" w14:textId="77777777" w:rsidR="0048207C" w:rsidRPr="005E779E" w:rsidRDefault="0048207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Летом — осенью 1933 г. состоялся переезд большого коллектива МАИ на новое место. В ту пору территория института представляла собой довольно труднопроходимый из-за сплошной грязи участок, наполовину — строительную площадку. Институт находился за городской чертой, сообщение с городом — трамвай и небольшой институтский автобус, ходивший между Пушкинской площадью и аудиторным корпусом. Территория института еще не была благоустроена: отсутствовали тротуары, недостаточным было уличное освещение. Некоторые помещения были временными, барачного типа. Вот как вспоминает об этом профессор Н. С. Аржаников: «Ходим гуськом по доскам от ворот до аудиторного корпуса. Картина была неприглядной, однако настроение у всех было бодрое в предчувствии быстрого развития института. ... Типичной для этого периода в истории МАИ была органическая слаженность коллектива. Такие отношения создавали подлинное единство коллектива, товарищеское, порой даже дружеское отношение профессоров со студентами». В 1934 г. в МАИ побывала делегация американских ученых, возглавляемая профессором Серджвиком. Гостей поразил размах строительных работ и грандиозный замысел создания отраслевого авиационного института (в то время в США подготовкой авиационных специалистов занималось 13 разных учебных заведений, выпускавших небольшие группы специалистов). Со дня своего основания вела большую работу по организации учебной базы — самолетной лаборатории (начальником ее стал А. Л. Гиммельфарб) — кафедра конструкции и проектирования самолетов. Первым шагом на пути к созданию хорошо оснащенной лаборатории была организация кабинета образцов конструкций агрегатов самолета. По уровню научно-методической обработки экспонатов этот кабинет считался одним из лучших в МАИ. К началу второго учебного года (1934 — 1935 гг.) на площади около 80 кв. м был создан кабинет образцов конструкций самолетов, которым заведовал В. В. Комаров, а во дворе института на 5-й Тверской-Ямской были собраны самолеты отечественного и иностранного производства (15730).</w:t>
      </w:r>
    </w:p>
    <w:p w14:paraId="1F76B1C7" w14:textId="77777777" w:rsidR="0048207C" w:rsidRPr="005E779E" w:rsidRDefault="0048207C" w:rsidP="000B7A6C">
      <w:pPr>
        <w:spacing w:after="0" w:line="240" w:lineRule="auto"/>
        <w:jc w:val="both"/>
        <w:rPr>
          <w:rFonts w:ascii="Times New Roman" w:hAnsi="Times New Roman"/>
          <w:color w:val="000000" w:themeColor="text1"/>
          <w:sz w:val="16"/>
          <w:szCs w:val="16"/>
        </w:rPr>
      </w:pPr>
    </w:p>
    <w:p w14:paraId="278EE0B5" w14:textId="77777777" w:rsidR="00962513" w:rsidRPr="005E779E" w:rsidRDefault="00962513" w:rsidP="000B7A6C">
      <w:pPr>
        <w:pStyle w:val="ae"/>
        <w:shd w:val="clear" w:color="auto" w:fill="FFFFFF"/>
        <w:spacing w:before="0" w:after="0"/>
        <w:jc w:val="both"/>
        <w:rPr>
          <w:color w:val="000000" w:themeColor="text1"/>
          <w:sz w:val="16"/>
          <w:szCs w:val="16"/>
        </w:rPr>
      </w:pPr>
      <w:r w:rsidRPr="005E779E">
        <w:rPr>
          <w:color w:val="000000" w:themeColor="text1"/>
          <w:sz w:val="16"/>
          <w:szCs w:val="16"/>
        </w:rPr>
        <w:t>Летом 1931 г. небольшой группе работников Аэрофлота, составивших Бюро опытного дирижаблестроения, удалось построить первую сварную оболочку из стали толщиной 0,1 мм, имевшую в плоском подвешенном виде высоту 1 м и длину 7 м, правда, с отступлениями от разработанной Циолковским технологической схемы постройки оболочки.</w:t>
      </w:r>
    </w:p>
    <w:p w14:paraId="2F4F492F" w14:textId="77777777" w:rsidR="00962513" w:rsidRPr="005E779E" w:rsidRDefault="00962513" w:rsidP="000B7A6C">
      <w:pPr>
        <w:pStyle w:val="ae"/>
        <w:shd w:val="clear" w:color="auto" w:fill="FFFFFF"/>
        <w:spacing w:before="0" w:after="0"/>
        <w:jc w:val="both"/>
        <w:rPr>
          <w:color w:val="000000" w:themeColor="text1"/>
          <w:sz w:val="16"/>
          <w:szCs w:val="16"/>
        </w:rPr>
      </w:pPr>
      <w:r w:rsidRPr="005E779E">
        <w:rPr>
          <w:color w:val="000000" w:themeColor="text1"/>
          <w:sz w:val="16"/>
          <w:szCs w:val="16"/>
        </w:rPr>
        <w:t xml:space="preserve">Там же была создана и опробована новая сварочная машина для сборки металлических полотнищ неограниченного размера, удовлетворяющей техническим требованиям Циолковского. Позднее в Дирижаблестрое по этой схеме были спроектированы, построены и испытаны сварочные движущиеся роликовые машины. Одна из них в 1933 г. была использована для постройки, уже с точным соблюдением технологической схемы Циолковского, цельнометаллической оболочки из </w:t>
      </w:r>
      <w:r w:rsidRPr="005E779E">
        <w:rPr>
          <w:color w:val="000000" w:themeColor="text1"/>
          <w:sz w:val="16"/>
          <w:szCs w:val="16"/>
        </w:rPr>
        <w:lastRenderedPageBreak/>
        <w:t>нержавеющей стали толщиной 0,15 и 0,45 мм. Там же, в КБ Циолковского при Дирижаблестрое, был создан ряд машин для обработки давлением стальной ленты в соответствии с пунктом пятым «программы». Одновременно с разработкой эскизных проектов дирижаблей объемом 3000 и 8000 куб. м шли работы по опробованию и наладке небольшого парка специальных машин. Они были использованы на изготовлении первой поднявшейся в воздух модели оболочки дирижабля, собранной к 15 сентября 1935 г. на горизонтальной платформе. Размеры этой оболочки в плане при сборке были соответственно 11 м и 44 м при высоте 0,36 м. При наполнении оболочка принимала форму веретена диаметром 7 м. Наполненная водородом, она поднимала 200 кг балласта. Оболочка была собрана из нержавеющей стали, боковины ее имели толщину 0,1 мм. Уже после смерти Циолковского она была подвергнута статическим испытаниям, проведенным по широкой программе (19605).</w:t>
      </w:r>
    </w:p>
    <w:p w14:paraId="0FB76A37" w14:textId="77777777" w:rsidR="00962513" w:rsidRPr="005E779E" w:rsidRDefault="00962513" w:rsidP="000B7A6C">
      <w:pPr>
        <w:spacing w:after="0" w:line="240" w:lineRule="auto"/>
        <w:jc w:val="both"/>
        <w:rPr>
          <w:rFonts w:ascii="Times New Roman" w:hAnsi="Times New Roman"/>
          <w:color w:val="000000" w:themeColor="text1"/>
          <w:sz w:val="16"/>
          <w:szCs w:val="16"/>
        </w:rPr>
      </w:pPr>
    </w:p>
    <w:p w14:paraId="6D677CD3" w14:textId="2D7A29DE" w:rsidR="00DE689B" w:rsidRPr="005E779E" w:rsidRDefault="00DE689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Летом 1931 года все стройки ВОГВФ, включая Дирижаблестрой, были отнесены к категории ударных, то есть поставлены в один ряд с такими стратегическими объектами, как Магнитогорский и Кузнецкий металлургические комбинаты, Днепрострой, Нижегородский автозавод, Турксиб. С этого момента в квартальных балансах стройматериалов страны появилась отдельная строка «Гражданская авиация», на которую приходилась своя положенная доля металлов, леса, цемента, огнеупоров, стекла, олифы, гвоздей и прочих необходимых вещей. Но у Наркомата путей сообщения по-прежнему не всегда хватало вагонов, и выбитые авиаторами с великим трудом грузы могли неделями лежать на складах у поставщиков, в тупиках промежуточных станций (23192).</w:t>
      </w:r>
    </w:p>
    <w:p w14:paraId="3F09935F" w14:textId="77777777" w:rsidR="00DE689B" w:rsidRPr="005E779E" w:rsidRDefault="00DE689B" w:rsidP="000B7A6C">
      <w:pPr>
        <w:autoSpaceDE w:val="0"/>
        <w:autoSpaceDN w:val="0"/>
        <w:adjustRightInd w:val="0"/>
        <w:spacing w:after="0" w:line="240" w:lineRule="auto"/>
        <w:jc w:val="both"/>
        <w:rPr>
          <w:rFonts w:ascii="Times New Roman" w:hAnsi="Times New Roman"/>
          <w:i/>
          <w:iCs/>
          <w:color w:val="000000" w:themeColor="text1"/>
          <w:sz w:val="16"/>
          <w:szCs w:val="16"/>
        </w:rPr>
      </w:pPr>
    </w:p>
    <w:p w14:paraId="0A72872A" w14:textId="4845F660"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66B81F29"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CA98B41" w14:textId="77777777" w:rsidR="00EE1E22" w:rsidRPr="005E779E" w:rsidRDefault="00EE1E2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Летом 1931 г. Ворошилов предпринимает длительную поездку по новым оборонным заводам и другим предприятиям Урала и Сибири. Он также посещает советский Дальний Восток и обсуждает необходимость укрепления оборонительных сооружений вдоль границы с Китаем, а также усиления Тихоокеанского флота и Амурской речной флотилии (9089).</w:t>
      </w:r>
    </w:p>
    <w:p w14:paraId="3F503985" w14:textId="77777777" w:rsidR="00EE1E22" w:rsidRPr="005E779E" w:rsidRDefault="00EE1E22" w:rsidP="000B7A6C">
      <w:pPr>
        <w:spacing w:after="0" w:line="240" w:lineRule="auto"/>
        <w:jc w:val="both"/>
        <w:rPr>
          <w:rFonts w:ascii="Times New Roman" w:hAnsi="Times New Roman"/>
          <w:color w:val="000000" w:themeColor="text1"/>
          <w:sz w:val="16"/>
          <w:szCs w:val="16"/>
        </w:rPr>
      </w:pPr>
    </w:p>
    <w:p w14:paraId="40905DFB"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Летом 1931 года в Москве образовано Специальное конструкторское бюро пороховой промышленности, разработавшее ряд новых рецептур нитроглицериновых порохов, что позволило увеличить продолжительность эксплуатации стволов артиллерийских орудий и принять на вооружение Красной армии новые мощные взрывчатые вещества. Была проработана схема коренной реконструкции пироксилиновых и пороховых заводов на основе непрерывного производственного потока, что позволяло увеличить производительность заводов, уменьшить стоимость продукции, облегчить условия труда, увеличить мобилизационные возможности. Был разработан метод получения беспламенных порохов, который «имел тактическое значение, так как затруднялось обнаружение противником позиций артиллерийских батарей, которые ранее легко можно было определить по блеску выстрела».</w:t>
      </w:r>
    </w:p>
    <w:p w14:paraId="7D724A36"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Группа под руководством осужденного Сергея Разумовского (арестован 5 февраля 1929 года, до ареста главный химик завода №1 Военно-кислотного треста; постановлением коллегии ОГПУ от 3 ноября 1929 года лишен свободы на пять лет; наказание отбывал в ОКБ технического отдела ЭКУ ОГПУ; в 1930--1931 годах работал в химической лаборатории ОКБ ОГПУ №4, в 1932 году был руководителем лаборатории ОКБ-3 техотдела ЭКУ ОГПУ; решением коллегии ОГПУ от 30 апреля 1931 года из-под стражи освобожден) технологическим путем получила древесную целлюлозу, заменявшую хлопковые материалы при изготовлении бездымных порохов. Использование такой целлюлозы значительно уменьшало стоимость пороха (18728).</w:t>
      </w:r>
    </w:p>
    <w:p w14:paraId="2495E644" w14:textId="77777777" w:rsidR="00962513" w:rsidRPr="005E779E" w:rsidRDefault="00962513" w:rsidP="000B7A6C">
      <w:pPr>
        <w:spacing w:after="0" w:line="240" w:lineRule="auto"/>
        <w:jc w:val="both"/>
        <w:rPr>
          <w:rFonts w:ascii="Times New Roman" w:hAnsi="Times New Roman"/>
          <w:color w:val="000000" w:themeColor="text1"/>
          <w:sz w:val="16"/>
          <w:szCs w:val="16"/>
        </w:rPr>
      </w:pPr>
    </w:p>
    <w:p w14:paraId="25AF80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Летом 1931 танк Т-20, который из-за процессов Промпартии не достроили, передали для изготовления 60-сильного среднего трактора РККА (4243,14).</w:t>
      </w:r>
    </w:p>
    <w:p w14:paraId="58EF87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81C3B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Летом 1931 на заводе 174 сделали первых 10 танков Т-26 из установочной партии по английским чертежам пока из неброневой стали "на коленке", но с осени начали серию двухбашенных машин уже с башнями нашей формы, которая длилась до весны 1934 (3524).</w:t>
      </w:r>
    </w:p>
    <w:p w14:paraId="6E25CE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F154774"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Летом 1931 года КБ-3 ВОАО, под руководством С.А. Гинзбурга, начало работы над новым танком - Т-28. В его случае слово "маневренный" уже не упоминалось. Исходно боевая масса ожидалась в районе всё тех же 16 тонн, но уже осенью 1931 года полная масса оценивалась в 20 тонн. При этом Гинзбург активно использовал не английские, а немецкие наработки. Ходовую часть брали с Großtraktor Krupp, у немцев взяли и концепцию с командиром в корпусе, как силовую установку использовали BMW VI. При этом концептуально танк получался ближе к английским разработкам. Одной из основных задач ставился прорыв укрепленной полосы обороны (24032).</w:t>
      </w:r>
    </w:p>
    <w:p w14:paraId="7E63112B" w14:textId="77777777" w:rsidR="000B7ADA" w:rsidRPr="005E779E" w:rsidRDefault="000B7ADA" w:rsidP="000B7A6C">
      <w:pPr>
        <w:spacing w:after="0" w:line="240" w:lineRule="auto"/>
        <w:jc w:val="both"/>
        <w:rPr>
          <w:rFonts w:ascii="Times New Roman" w:hAnsi="Times New Roman"/>
          <w:color w:val="000000" w:themeColor="text1"/>
          <w:sz w:val="16"/>
          <w:szCs w:val="16"/>
        </w:rPr>
      </w:pPr>
    </w:p>
    <w:p w14:paraId="3B65EC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лету 1931 после того, как сделанная летом 1930 попытка закупить у фирмы Виккерс-Армстронг 16-тонный многобашенный танк А.6, провалилась из-за отказа англичан, т.к. танк считался секретным и состоял на вооружении, в СССР было разработана два проекта 16-тонных танков - факультетом моторизации и механизации ВТА им. Ф.Э.Д. и КБ-3 Всесоюзного орудийно-арсенального объединения (Гинзбург, Заславский, Иванов и Гаккель), который и стал потом Т-28 (3547).</w:t>
      </w:r>
    </w:p>
    <w:p w14:paraId="5031AB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C868CE2" w14:textId="77777777" w:rsidR="0048207C" w:rsidRPr="005E779E" w:rsidRDefault="0048207C" w:rsidP="000B7A6C">
      <w:pPr>
        <w:pStyle w:val="a3"/>
        <w:rPr>
          <w:color w:val="000000" w:themeColor="text1"/>
          <w:lang w:val="ru-RU"/>
        </w:rPr>
      </w:pPr>
      <w:r w:rsidRPr="005E779E">
        <w:rPr>
          <w:color w:val="000000" w:themeColor="text1"/>
          <w:lang w:val="ru-RU"/>
        </w:rPr>
        <w:t>Летом 1930 г. для контроля за изготовлением и проведения приемки 15 танков «Виккерс Медиум» в Англию были на</w:t>
      </w:r>
      <w:r w:rsidRPr="005E779E">
        <w:rPr>
          <w:color w:val="000000" w:themeColor="text1"/>
          <w:lang w:val="ru-RU"/>
        </w:rPr>
        <w:softHyphen/>
        <w:t>правлены представители УММ В, Бегунов и Я. Сквирсшй. Оговаривалось, что сначала англичане поставят опытную партию из трех танков, которые могут быть доработаны на месте по требованиям наших специалистов. После проведения окончательных испытаний в Со</w:t>
      </w:r>
      <w:r w:rsidRPr="005E779E">
        <w:rPr>
          <w:color w:val="000000" w:themeColor="text1"/>
          <w:lang w:val="ru-RU"/>
        </w:rPr>
        <w:softHyphen/>
        <w:t>ветском Союзе все выявленные недостатки этих машин подлежали устра</w:t>
      </w:r>
      <w:r w:rsidRPr="005E779E">
        <w:rPr>
          <w:color w:val="000000" w:themeColor="text1"/>
          <w:lang w:val="ru-RU"/>
        </w:rPr>
        <w:softHyphen/>
        <w:t>нению за счет фирмы. Что касается остальных 12 заказанных танков, то «Виккерс-Армстронг» не несла ответственности за какие-либо дальней</w:t>
      </w:r>
      <w:r w:rsidRPr="005E779E">
        <w:rPr>
          <w:color w:val="000000" w:themeColor="text1"/>
          <w:lang w:val="ru-RU"/>
        </w:rPr>
        <w:softHyphen/>
        <w:t>шие изменения в их конструкции, внесенные уже в нашей стране.</w:t>
      </w:r>
    </w:p>
    <w:p w14:paraId="70D78BFF" w14:textId="77777777" w:rsidR="0048207C" w:rsidRPr="005E779E" w:rsidRDefault="0048207C" w:rsidP="000B7A6C">
      <w:pPr>
        <w:pStyle w:val="a3"/>
        <w:rPr>
          <w:color w:val="000000" w:themeColor="text1"/>
          <w:lang w:val="ru-RU"/>
        </w:rPr>
      </w:pPr>
      <w:r w:rsidRPr="005E779E">
        <w:rPr>
          <w:color w:val="000000" w:themeColor="text1"/>
          <w:lang w:val="ru-RU"/>
        </w:rPr>
        <w:t>По согласованию сторон, первые два танка поставлялись без воору</w:t>
      </w:r>
      <w:r w:rsidRPr="005E779E">
        <w:rPr>
          <w:color w:val="000000" w:themeColor="text1"/>
          <w:lang w:val="ru-RU"/>
        </w:rPr>
        <w:softHyphen/>
        <w:t>жения, а третья машина оснащалась английской 47-мм скорострельной пушкой (боекомплект -180 выстрелов) и четырьмя 7,71-мм пулеметами (боекомплект - 5000 патронов на каждый). Следующие 12 танков пред</w:t>
      </w:r>
      <w:r w:rsidRPr="005E779E">
        <w:rPr>
          <w:color w:val="000000" w:themeColor="text1"/>
          <w:lang w:val="ru-RU"/>
        </w:rPr>
        <w:softHyphen/>
        <w:t>полагалось вооружить уже у нас, для чего конструкцию стандартных башен следовало доработать с целью установки отечественных 45-мм танковой пушки и пулеметов ДТ (рассматривалась также и установка пулеметов Максим). Соответственно, требовалось изменить и располо</w:t>
      </w:r>
      <w:r w:rsidRPr="005E779E">
        <w:rPr>
          <w:color w:val="000000" w:themeColor="text1"/>
          <w:lang w:val="ru-RU"/>
        </w:rPr>
        <w:softHyphen/>
        <w:t>жение «боеукладок в танке. Корректировкам под</w:t>
      </w:r>
      <w:r w:rsidRPr="005E779E">
        <w:rPr>
          <w:color w:val="000000" w:themeColor="text1"/>
          <w:lang w:val="ru-RU"/>
        </w:rPr>
        <w:softHyphen/>
        <w:t>верглось размещение смотровых щелей в башне и конструкция бортовых скосов крыши башни (15745).</w:t>
      </w:r>
    </w:p>
    <w:p w14:paraId="1822A3EF" w14:textId="77777777" w:rsidR="0048207C" w:rsidRPr="005E779E" w:rsidRDefault="0048207C" w:rsidP="000B7A6C">
      <w:pPr>
        <w:spacing w:after="0" w:line="240" w:lineRule="auto"/>
        <w:jc w:val="both"/>
        <w:rPr>
          <w:rFonts w:ascii="Times New Roman" w:hAnsi="Times New Roman"/>
          <w:color w:val="000000" w:themeColor="text1"/>
          <w:sz w:val="16"/>
          <w:szCs w:val="16"/>
        </w:rPr>
      </w:pPr>
    </w:p>
    <w:p w14:paraId="3D6810FA" w14:textId="77777777" w:rsidR="009A598B" w:rsidRPr="00142305" w:rsidRDefault="009A598B" w:rsidP="009A598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Летом 1931 года при разработке чертежей БТ-2 на ХПЗ для его вооружения ре</w:t>
      </w:r>
      <w:r w:rsidRPr="00142305">
        <w:rPr>
          <w:rFonts w:ascii="Times New Roman" w:hAnsi="Times New Roman"/>
          <w:color w:val="0070C0"/>
          <w:sz w:val="16"/>
          <w:szCs w:val="16"/>
        </w:rPr>
        <w:softHyphen/>
        <w:t>шено было использовать 37 мм систему Б-3 — в это время в СССР других танковых орудий (за исключением 37-мм Гочкиса (ПС-1) и 45-мм образца 1930 года для Т-24, которую так и не освоили в произ</w:t>
      </w:r>
      <w:r w:rsidRPr="00142305">
        <w:rPr>
          <w:rFonts w:ascii="Times New Roman" w:hAnsi="Times New Roman"/>
          <w:color w:val="0070C0"/>
          <w:sz w:val="16"/>
          <w:szCs w:val="16"/>
        </w:rPr>
        <w:softHyphen/>
        <w:t>водстве) не было.</w:t>
      </w:r>
    </w:p>
    <w:p w14:paraId="5C602634" w14:textId="77777777" w:rsidR="009A598B" w:rsidRPr="00142305" w:rsidRDefault="009A598B" w:rsidP="009A598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ходе организации производства БТ-2 выяснилось, что Главное артилле</w:t>
      </w:r>
      <w:r w:rsidRPr="00142305">
        <w:rPr>
          <w:rFonts w:ascii="Times New Roman" w:hAnsi="Times New Roman"/>
          <w:color w:val="0070C0"/>
          <w:sz w:val="16"/>
          <w:szCs w:val="16"/>
        </w:rPr>
        <w:softHyphen/>
        <w:t>рийское управление (ГАУ) Красной Ар</w:t>
      </w:r>
      <w:r w:rsidRPr="00142305">
        <w:rPr>
          <w:rFonts w:ascii="Times New Roman" w:hAnsi="Times New Roman"/>
          <w:color w:val="0070C0"/>
          <w:sz w:val="16"/>
          <w:szCs w:val="16"/>
        </w:rPr>
        <w:softHyphen/>
        <w:t>мии не справилось с изготовлением опытных образцов спаренной установ</w:t>
      </w:r>
      <w:r w:rsidRPr="00142305">
        <w:rPr>
          <w:rFonts w:ascii="Times New Roman" w:hAnsi="Times New Roman"/>
          <w:color w:val="0070C0"/>
          <w:sz w:val="16"/>
          <w:szCs w:val="16"/>
        </w:rPr>
        <w:softHyphen/>
        <w:t>ки пулемета ДТ и пушки Б-3, и вследст</w:t>
      </w:r>
      <w:r w:rsidRPr="00142305">
        <w:rPr>
          <w:rFonts w:ascii="Times New Roman" w:hAnsi="Times New Roman"/>
          <w:color w:val="0070C0"/>
          <w:sz w:val="16"/>
          <w:szCs w:val="16"/>
        </w:rPr>
        <w:softHyphen/>
        <w:t>вие этого отказалось от изменения в чертежи башни, а первые 60 башен, изготовленных Ижорским заводом, приспосабливать под вооружение только пушкой — в них оказалось технически невозможно вы</w:t>
      </w:r>
      <w:r w:rsidRPr="00142305">
        <w:rPr>
          <w:rFonts w:ascii="Times New Roman" w:hAnsi="Times New Roman"/>
          <w:color w:val="0070C0"/>
          <w:sz w:val="16"/>
          <w:szCs w:val="16"/>
        </w:rPr>
        <w:softHyphen/>
        <w:t>резать отверстие под шаровую установ</w:t>
      </w:r>
      <w:r w:rsidRPr="00142305">
        <w:rPr>
          <w:rFonts w:ascii="Times New Roman" w:hAnsi="Times New Roman"/>
          <w:color w:val="0070C0"/>
          <w:sz w:val="16"/>
          <w:szCs w:val="16"/>
        </w:rPr>
        <w:softHyphen/>
        <w:t>ку ДТ. В таком виде башни вместе с тан</w:t>
      </w:r>
      <w:r w:rsidRPr="00142305">
        <w:rPr>
          <w:rFonts w:ascii="Times New Roman" w:hAnsi="Times New Roman"/>
          <w:color w:val="0070C0"/>
          <w:sz w:val="16"/>
          <w:szCs w:val="16"/>
        </w:rPr>
        <w:softHyphen/>
        <w:t>ками поступили в войска. Однако завод № 8 так и не смог выполнить заказ на 350 орудий Б-3 — он выпускал ее без разработанного техпроцесса, кустар</w:t>
      </w:r>
      <w:r w:rsidRPr="00142305">
        <w:rPr>
          <w:rFonts w:ascii="Times New Roman" w:hAnsi="Times New Roman"/>
          <w:color w:val="0070C0"/>
          <w:sz w:val="16"/>
          <w:szCs w:val="16"/>
        </w:rPr>
        <w:softHyphen/>
        <w:t>ным способом, при этом часть деталей пригонялась вручную (!). Всего за 1931 — 1933 года по отчету заводе № 8 было изготовлено 277 пушек Б-3, при</w:t>
      </w:r>
      <w:r w:rsidRPr="00142305">
        <w:rPr>
          <w:rFonts w:ascii="Times New Roman" w:hAnsi="Times New Roman"/>
          <w:color w:val="0070C0"/>
          <w:sz w:val="16"/>
          <w:szCs w:val="16"/>
        </w:rPr>
        <w:softHyphen/>
        <w:t>чем большинство из них сдали заказчи</w:t>
      </w:r>
      <w:r w:rsidRPr="00142305">
        <w:rPr>
          <w:rFonts w:ascii="Times New Roman" w:hAnsi="Times New Roman"/>
          <w:color w:val="0070C0"/>
          <w:sz w:val="16"/>
          <w:szCs w:val="16"/>
        </w:rPr>
        <w:softHyphen/>
        <w:t>ку в 1933 — 1934 годах (25009).</w:t>
      </w:r>
    </w:p>
    <w:p w14:paraId="6FA67B7E" w14:textId="77777777" w:rsidR="009A598B" w:rsidRPr="00142305" w:rsidRDefault="009A598B" w:rsidP="009A598B">
      <w:pPr>
        <w:spacing w:after="0" w:line="240" w:lineRule="auto"/>
        <w:jc w:val="both"/>
        <w:rPr>
          <w:rFonts w:ascii="Times New Roman" w:hAnsi="Times New Roman"/>
          <w:color w:val="0070C0"/>
          <w:sz w:val="16"/>
          <w:szCs w:val="16"/>
        </w:rPr>
      </w:pPr>
    </w:p>
    <w:p w14:paraId="07EC7B18" w14:textId="77777777" w:rsidR="009A598B" w:rsidRPr="00142305" w:rsidRDefault="009A598B" w:rsidP="009A598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Ле</w:t>
      </w:r>
      <w:r w:rsidRPr="00142305">
        <w:rPr>
          <w:rFonts w:ascii="Times New Roman" w:hAnsi="Times New Roman"/>
          <w:color w:val="0070C0"/>
          <w:sz w:val="16"/>
          <w:szCs w:val="16"/>
        </w:rPr>
        <w:softHyphen/>
        <w:t>том 1931 года танк «Виккерс 12-тонный» был продемонстрирован высшему командному составу РККА. Эта же машина один раз участвовала в параде на Красной пло</w:t>
      </w:r>
      <w:r w:rsidRPr="00142305">
        <w:rPr>
          <w:rFonts w:ascii="Times New Roman" w:hAnsi="Times New Roman"/>
          <w:color w:val="0070C0"/>
          <w:sz w:val="16"/>
          <w:szCs w:val="16"/>
        </w:rPr>
        <w:softHyphen/>
        <w:t>щади — есть кадры кинохроники с про</w:t>
      </w:r>
      <w:r w:rsidRPr="00142305">
        <w:rPr>
          <w:rFonts w:ascii="Times New Roman" w:hAnsi="Times New Roman"/>
          <w:color w:val="0070C0"/>
          <w:sz w:val="16"/>
          <w:szCs w:val="16"/>
        </w:rPr>
        <w:softHyphen/>
        <w:t>хождением этого танка. В каком имен</w:t>
      </w:r>
      <w:r w:rsidRPr="00142305">
        <w:rPr>
          <w:rFonts w:ascii="Times New Roman" w:hAnsi="Times New Roman"/>
          <w:color w:val="0070C0"/>
          <w:sz w:val="16"/>
          <w:szCs w:val="16"/>
        </w:rPr>
        <w:softHyphen/>
        <w:t>но параде участвовал «Виккерс», автору неизвестно. Танки «Виккерс 12-тонный» практи</w:t>
      </w:r>
      <w:r w:rsidRPr="00142305">
        <w:rPr>
          <w:rFonts w:ascii="Times New Roman" w:hAnsi="Times New Roman"/>
          <w:color w:val="0070C0"/>
          <w:sz w:val="16"/>
          <w:szCs w:val="16"/>
        </w:rPr>
        <w:softHyphen/>
        <w:t>чески не использовались в Красной Ар</w:t>
      </w:r>
      <w:r w:rsidRPr="00142305">
        <w:rPr>
          <w:rFonts w:ascii="Times New Roman" w:hAnsi="Times New Roman"/>
          <w:color w:val="0070C0"/>
          <w:sz w:val="16"/>
          <w:szCs w:val="16"/>
        </w:rPr>
        <w:softHyphen/>
        <w:t>мии, тем более, что лишь одна машина имела штатное вооружение. Большую часть этих тан</w:t>
      </w:r>
      <w:r w:rsidRPr="00142305">
        <w:rPr>
          <w:rFonts w:ascii="Times New Roman" w:hAnsi="Times New Roman"/>
          <w:color w:val="0070C0"/>
          <w:sz w:val="16"/>
          <w:szCs w:val="16"/>
        </w:rPr>
        <w:softHyphen/>
        <w:t>ков вскоре отправили на склады, хотя несколько машин поступило в военные учебные заведения, где их использовали в качестве наглядных пособий</w:t>
      </w:r>
    </w:p>
    <w:p w14:paraId="163B07EF" w14:textId="77777777" w:rsidR="009A598B" w:rsidRPr="00142305" w:rsidRDefault="009A598B" w:rsidP="009A598B">
      <w:pPr>
        <w:spacing w:after="0" w:line="240" w:lineRule="auto"/>
        <w:jc w:val="both"/>
        <w:rPr>
          <w:rFonts w:ascii="Times New Roman" w:hAnsi="Times New Roman"/>
          <w:color w:val="0070C0"/>
          <w:sz w:val="16"/>
          <w:szCs w:val="16"/>
        </w:rPr>
      </w:pPr>
    </w:p>
    <w:p w14:paraId="03F7C9B1" w14:textId="77777777" w:rsidR="0048207C" w:rsidRPr="005E779E" w:rsidRDefault="0048207C" w:rsidP="000B7A6C">
      <w:pPr>
        <w:pStyle w:val="1010"/>
        <w:shd w:val="clear" w:color="auto" w:fill="auto"/>
        <w:spacing w:line="240" w:lineRule="auto"/>
        <w:ind w:firstLine="0"/>
        <w:rPr>
          <w:rFonts w:ascii="Times New Roman" w:hAnsi="Times New Roman" w:cs="Times New Roman"/>
          <w:i w:val="0"/>
          <w:color w:val="000000" w:themeColor="text1"/>
          <w:sz w:val="16"/>
          <w:szCs w:val="16"/>
        </w:rPr>
      </w:pPr>
      <w:r w:rsidRPr="005E779E">
        <w:rPr>
          <w:rStyle w:val="1029"/>
          <w:rFonts w:ascii="Times New Roman" w:eastAsia="Arial Unicode MS" w:hAnsi="Times New Roman" w:cs="Times New Roman"/>
          <w:i w:val="0"/>
          <w:iCs w:val="0"/>
          <w:color w:val="000000" w:themeColor="text1"/>
          <w:sz w:val="16"/>
          <w:szCs w:val="16"/>
        </w:rPr>
        <w:t>Летом 1930 относительно -оценки английских боепри</w:t>
      </w:r>
      <w:r w:rsidRPr="005E779E">
        <w:rPr>
          <w:rStyle w:val="1029"/>
          <w:rFonts w:ascii="Times New Roman" w:eastAsia="Arial Unicode MS" w:hAnsi="Times New Roman" w:cs="Times New Roman"/>
          <w:i w:val="0"/>
          <w:iCs w:val="0"/>
          <w:color w:val="000000" w:themeColor="text1"/>
          <w:sz w:val="16"/>
          <w:szCs w:val="16"/>
        </w:rPr>
        <w:softHyphen/>
        <w:t>пасов в донесениях представителей УММ отме</w:t>
      </w:r>
      <w:r w:rsidRPr="005E779E">
        <w:rPr>
          <w:rStyle w:val="1029"/>
          <w:rFonts w:ascii="Times New Roman" w:eastAsia="Arial Unicode MS" w:hAnsi="Times New Roman" w:cs="Times New Roman"/>
          <w:i w:val="0"/>
          <w:iCs w:val="0"/>
          <w:color w:val="000000" w:themeColor="text1"/>
          <w:sz w:val="16"/>
          <w:szCs w:val="16"/>
        </w:rPr>
        <w:softHyphen/>
        <w:t>чалось следующее:</w:t>
      </w:r>
      <w:r w:rsidRPr="005E779E">
        <w:rPr>
          <w:rFonts w:ascii="Times New Roman" w:hAnsi="Times New Roman" w:cs="Times New Roman"/>
          <w:i w:val="0"/>
          <w:color w:val="000000" w:themeColor="text1"/>
          <w:sz w:val="16"/>
          <w:szCs w:val="16"/>
        </w:rPr>
        <w:t xml:space="preserve"> «В свое время мы заказы</w:t>
      </w:r>
      <w:r w:rsidRPr="005E779E">
        <w:rPr>
          <w:rFonts w:ascii="Times New Roman" w:hAnsi="Times New Roman" w:cs="Times New Roman"/>
          <w:i w:val="0"/>
          <w:color w:val="000000" w:themeColor="text1"/>
          <w:sz w:val="16"/>
          <w:szCs w:val="16"/>
        </w:rPr>
        <w:softHyphen/>
        <w:t>вали у фирмы Виккерс Армстронг снаряды для 47-ми м.м. пушки, которая будет установлена на одном из первых 12-ти тон. танков первой партии. Снаряды были заказаны двух сортов, а именно: «Агтоиг Р'югс'юд $Ы1з» в количестве 80 шт. и «Н/дЬ Ехр1озме 5МШ» в количестве 100 штук. В настоящее время фирма сама не реко</w:t>
      </w:r>
      <w:r w:rsidRPr="005E779E">
        <w:rPr>
          <w:rFonts w:ascii="Times New Roman" w:hAnsi="Times New Roman" w:cs="Times New Roman"/>
          <w:i w:val="0"/>
          <w:color w:val="000000" w:themeColor="text1"/>
          <w:sz w:val="16"/>
          <w:szCs w:val="16"/>
        </w:rPr>
        <w:softHyphen/>
        <w:t>мендует брать снаряды второго наименования, исходя</w:t>
      </w:r>
      <w:r w:rsidRPr="005E779E">
        <w:rPr>
          <w:rStyle w:val="1029"/>
          <w:rFonts w:ascii="Times New Roman" w:eastAsia="Arial Unicode MS" w:hAnsi="Times New Roman" w:cs="Times New Roman"/>
          <w:i w:val="0"/>
          <w:iCs w:val="0"/>
          <w:color w:val="000000" w:themeColor="text1"/>
          <w:sz w:val="16"/>
          <w:szCs w:val="16"/>
        </w:rPr>
        <w:t xml:space="preserve"> из тех</w:t>
      </w:r>
      <w:r w:rsidRPr="005E779E">
        <w:rPr>
          <w:rFonts w:ascii="Times New Roman" w:hAnsi="Times New Roman" w:cs="Times New Roman"/>
          <w:i w:val="0"/>
          <w:color w:val="000000" w:themeColor="text1"/>
          <w:sz w:val="16"/>
          <w:szCs w:val="16"/>
        </w:rPr>
        <w:t xml:space="preserve"> соображений, что этот сорт не обладает достаточной силой взрыва и что для таких машин, как наши, он не оправдывает себя с точки зрения его применения. Посылаем Вам чертежи и описания этих типов на рассмотрение наших</w:t>
      </w:r>
      <w:r w:rsidRPr="005E779E">
        <w:rPr>
          <w:rStyle w:val="272"/>
          <w:rFonts w:ascii="Times New Roman" w:hAnsi="Times New Roman" w:cs="Times New Roman"/>
          <w:color w:val="000000" w:themeColor="text1"/>
          <w:sz w:val="16"/>
          <w:szCs w:val="16"/>
        </w:rPr>
        <w:t xml:space="preserve"> специалистов, оставив за собой право в будущем, если Вы най</w:t>
      </w:r>
      <w:r w:rsidRPr="005E779E">
        <w:rPr>
          <w:rStyle w:val="272"/>
          <w:rFonts w:ascii="Times New Roman" w:hAnsi="Times New Roman" w:cs="Times New Roman"/>
          <w:color w:val="000000" w:themeColor="text1"/>
          <w:sz w:val="16"/>
          <w:szCs w:val="16"/>
        </w:rPr>
        <w:softHyphen/>
        <w:t>дете нужным,</w:t>
      </w:r>
      <w:r w:rsidRPr="005E779E">
        <w:rPr>
          <w:rFonts w:ascii="Times New Roman" w:hAnsi="Times New Roman" w:cs="Times New Roman"/>
          <w:i w:val="0"/>
          <w:color w:val="000000" w:themeColor="text1"/>
          <w:sz w:val="16"/>
          <w:szCs w:val="16"/>
        </w:rPr>
        <w:t xml:space="preserve"> заказать</w:t>
      </w:r>
      <w:r w:rsidRPr="005E779E">
        <w:rPr>
          <w:rStyle w:val="272"/>
          <w:rFonts w:ascii="Times New Roman" w:hAnsi="Times New Roman" w:cs="Times New Roman"/>
          <w:color w:val="000000" w:themeColor="text1"/>
          <w:sz w:val="16"/>
          <w:szCs w:val="16"/>
        </w:rPr>
        <w:t xml:space="preserve"> указанный тип снаряда</w:t>
      </w:r>
      <w:r w:rsidRPr="005E779E">
        <w:rPr>
          <w:rFonts w:ascii="Times New Roman" w:hAnsi="Times New Roman" w:cs="Times New Roman"/>
          <w:i w:val="0"/>
          <w:color w:val="000000" w:themeColor="text1"/>
          <w:sz w:val="16"/>
          <w:szCs w:val="16"/>
        </w:rPr>
        <w:t>». Однако установить, ка</w:t>
      </w:r>
      <w:r w:rsidRPr="005E779E">
        <w:rPr>
          <w:rFonts w:ascii="Times New Roman" w:hAnsi="Times New Roman" w:cs="Times New Roman"/>
          <w:i w:val="0"/>
          <w:color w:val="000000" w:themeColor="text1"/>
          <w:sz w:val="16"/>
          <w:szCs w:val="16"/>
        </w:rPr>
        <w:softHyphen/>
        <w:t>ше же боеприпасы в итоге поступили в СССР, пока не удалось (15745).</w:t>
      </w:r>
    </w:p>
    <w:p w14:paraId="540131D0" w14:textId="77777777" w:rsidR="0048207C" w:rsidRPr="005E779E" w:rsidRDefault="0048207C" w:rsidP="000B7A6C">
      <w:pPr>
        <w:pStyle w:val="a3"/>
        <w:rPr>
          <w:color w:val="000000" w:themeColor="text1"/>
          <w:lang w:val="ru-RU"/>
        </w:rPr>
      </w:pPr>
    </w:p>
    <w:p w14:paraId="4CE0E0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Летом 1931 на Можерезе был построен химический танк Д-15, разработанный ОКИБ УММ РККА Н.И.Дыренкова в конце 1930. В августе 1931 прошел полигонные испытания. На вооружение не принимался в серии не был (9527,188).</w:t>
      </w:r>
    </w:p>
    <w:p w14:paraId="6A0B33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AB1BA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Летом 1931 химический танк ХТ-18, разработанный при участии НИИХО на базе МС-1 обр. 1930 на НИХП ХККС РККА прошел полигонные испытания (9527,188).</w:t>
      </w:r>
    </w:p>
    <w:p w14:paraId="1F4915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1C400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Летом 1931 ОКИБ УММ РККА Н.И.Дыренкова на шасси трактора Коммунар был создан химический гусеничный БТР, который в августе 1931 проходил, но не выдержал ходовые испытания из-за перегруза шасси, низкой скорости, плохой проходимости (9527,179).</w:t>
      </w:r>
    </w:p>
    <w:p w14:paraId="6750FE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951E10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Летом 1931 года производство БА-27 было прекращено. К этому моменту из 170 заказанных У ММ РККА броневи</w:t>
      </w:r>
      <w:r w:rsidRPr="005E779E">
        <w:rPr>
          <w:rFonts w:ascii="Times New Roman" w:hAnsi="Times New Roman"/>
          <w:color w:val="000000" w:themeColor="text1"/>
          <w:sz w:val="16"/>
          <w:szCs w:val="16"/>
        </w:rPr>
        <w:softHyphen/>
        <w:t>ков изготовили лишь 86. Таким образом, суммарный вы</w:t>
      </w:r>
      <w:r w:rsidRPr="005E779E">
        <w:rPr>
          <w:rFonts w:ascii="Times New Roman" w:hAnsi="Times New Roman"/>
          <w:color w:val="000000" w:themeColor="text1"/>
          <w:sz w:val="16"/>
          <w:szCs w:val="16"/>
        </w:rPr>
        <w:softHyphen/>
        <w:t>пуск БА-27 за 1928-1931 годы составил 215 бронеавтомо</w:t>
      </w:r>
      <w:r w:rsidRPr="005E779E">
        <w:rPr>
          <w:rFonts w:ascii="Times New Roman" w:hAnsi="Times New Roman"/>
          <w:color w:val="000000" w:themeColor="text1"/>
          <w:sz w:val="16"/>
          <w:szCs w:val="16"/>
        </w:rPr>
        <w:softHyphen/>
        <w:t>билей, включая опытный образец. Правда, последний в 1930 году разбронировали. Следует сказать, что единственным внешним отличием БА-27 третьей партии от машин первой и второй (четвертая так и осталась лишь на бумаге) являлась крышка ящика для аккумулятора. Так как последний подняли вверх, размер и конфигурацию крышки уменьшили. Согласно документам, окраска броневиков была следу</w:t>
      </w:r>
      <w:r w:rsidRPr="005E779E">
        <w:rPr>
          <w:rFonts w:ascii="Times New Roman" w:hAnsi="Times New Roman"/>
          <w:color w:val="000000" w:themeColor="text1"/>
          <w:sz w:val="16"/>
          <w:szCs w:val="16"/>
        </w:rPr>
        <w:softHyphen/>
        <w:t>ющей: «...Защитный цвет снаружи и белый внутри. На каж</w:t>
      </w:r>
      <w:r w:rsidRPr="005E779E">
        <w:rPr>
          <w:rFonts w:ascii="Times New Roman" w:hAnsi="Times New Roman"/>
          <w:color w:val="000000" w:themeColor="text1"/>
          <w:sz w:val="16"/>
          <w:szCs w:val="16"/>
        </w:rPr>
        <w:softHyphen/>
        <w:t>дой машине на внутренней стороне дверей наносилась мар</w:t>
      </w:r>
      <w:r w:rsidRPr="005E779E">
        <w:rPr>
          <w:rFonts w:ascii="Times New Roman" w:hAnsi="Times New Roman"/>
          <w:color w:val="000000" w:themeColor="text1"/>
          <w:sz w:val="16"/>
          <w:szCs w:val="16"/>
        </w:rPr>
        <w:softHyphen/>
        <w:t>кировка «АБ-27 ГИЗ», год выпуска и военный номер. На переднем контрфорсе внутри машины закреплялась медная плакетка (табличка) с вышеуказан</w:t>
      </w:r>
      <w:r w:rsidRPr="005E779E">
        <w:rPr>
          <w:rFonts w:ascii="Times New Roman" w:hAnsi="Times New Roman"/>
          <w:color w:val="000000" w:themeColor="text1"/>
          <w:sz w:val="16"/>
          <w:szCs w:val="16"/>
        </w:rPr>
        <w:softHyphen/>
        <w:t>ными надписями» (11284).</w:t>
      </w:r>
    </w:p>
    <w:p w14:paraId="4532DC8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43F599" w14:textId="77777777" w:rsidR="007F6BD6" w:rsidRPr="005E779E" w:rsidRDefault="007F6BD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Летом 1931 г. и зимой 1931-1932 гг. опытные тракторы постройки ЧТС прошли испытания в Подмосковье совместно с американским прототипом, в ходе которых быстроходный вариант «Сталинец-3» продемонстрировал низкую надежность. Таким образом, создать в сжатые сроки с малыми затратами армейский вариант трактора не удалось. Вместе с тем, опытный трактор №4 («Сталинец-4»), являвшийся почти точной копией трактора фирмы «Катерпиллер», не вызвал нареканий по надежности. В этой связи в качестве образца для производства приняли именно его (12258).</w:t>
      </w:r>
    </w:p>
    <w:p w14:paraId="0931C966" w14:textId="77777777" w:rsidR="007F6BD6" w:rsidRPr="005E779E" w:rsidRDefault="007F6BD6" w:rsidP="000B7A6C">
      <w:pPr>
        <w:spacing w:after="0" w:line="240" w:lineRule="auto"/>
        <w:jc w:val="both"/>
        <w:rPr>
          <w:rFonts w:ascii="Times New Roman" w:hAnsi="Times New Roman"/>
          <w:color w:val="000000" w:themeColor="text1"/>
          <w:sz w:val="16"/>
          <w:szCs w:val="16"/>
        </w:rPr>
      </w:pPr>
    </w:p>
    <w:p w14:paraId="5608073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Летом 1931 года опытно-конструкторское и испыта</w:t>
      </w:r>
      <w:r w:rsidRPr="005E779E">
        <w:rPr>
          <w:rFonts w:ascii="Times New Roman" w:hAnsi="Times New Roman"/>
          <w:color w:val="000000" w:themeColor="text1"/>
          <w:sz w:val="16"/>
          <w:szCs w:val="16"/>
        </w:rPr>
        <w:softHyphen/>
        <w:t>тельное бюро УММ РККА под руководством Дыренкова переехало в Москву, на территорию Московского железно</w:t>
      </w:r>
      <w:r w:rsidRPr="005E779E">
        <w:rPr>
          <w:rFonts w:ascii="Times New Roman" w:hAnsi="Times New Roman"/>
          <w:color w:val="000000" w:themeColor="text1"/>
          <w:sz w:val="16"/>
          <w:szCs w:val="16"/>
        </w:rPr>
        <w:softHyphen/>
        <w:t>дорожного ремонтного завода (Можерез) в Люблино. Вы</w:t>
      </w:r>
      <w:r w:rsidRPr="005E779E">
        <w:rPr>
          <w:rFonts w:ascii="Times New Roman" w:hAnsi="Times New Roman"/>
          <w:color w:val="000000" w:themeColor="text1"/>
          <w:sz w:val="16"/>
          <w:szCs w:val="16"/>
        </w:rPr>
        <w:softHyphen/>
        <w:t>пуск первой партии Д-13 планировалось начать именно здесь. Однако оказалось, что бронекорпус машины мало приспособлен для серийного производства. Поэтому в сен</w:t>
      </w:r>
      <w:r w:rsidRPr="005E779E">
        <w:rPr>
          <w:rFonts w:ascii="Times New Roman" w:hAnsi="Times New Roman"/>
          <w:color w:val="000000" w:themeColor="text1"/>
          <w:sz w:val="16"/>
          <w:szCs w:val="16"/>
        </w:rPr>
        <w:softHyphen/>
        <w:t>тябре коллектив КБ (сам Дыренков в это время «варил» свою броню марки Д на Мариупольском заводе) в срочном порядке переработал конструкцию корпуса, изготовление которых поручили крекинго-электровозостроительному за</w:t>
      </w:r>
      <w:r w:rsidRPr="005E779E">
        <w:rPr>
          <w:rFonts w:ascii="Times New Roman" w:hAnsi="Times New Roman"/>
          <w:color w:val="000000" w:themeColor="text1"/>
          <w:sz w:val="16"/>
          <w:szCs w:val="16"/>
        </w:rPr>
        <w:softHyphen/>
        <w:t>воду в подмосковном Подольске. Однако здесь тоже воз</w:t>
      </w:r>
      <w:r w:rsidRPr="005E779E">
        <w:rPr>
          <w:rFonts w:ascii="Times New Roman" w:hAnsi="Times New Roman"/>
          <w:color w:val="000000" w:themeColor="text1"/>
          <w:sz w:val="16"/>
          <w:szCs w:val="16"/>
        </w:rPr>
        <w:softHyphen/>
        <w:t>никли трудности, к только в начале нового, 1933 года на Можерезе началась сборка первых бронемашин. 26 марта представитель военной приемки на заводе сообщал о про</w:t>
      </w:r>
      <w:r w:rsidRPr="005E779E">
        <w:rPr>
          <w:rFonts w:ascii="Times New Roman" w:hAnsi="Times New Roman"/>
          <w:color w:val="000000" w:themeColor="text1"/>
          <w:sz w:val="16"/>
          <w:szCs w:val="16"/>
        </w:rPr>
        <w:softHyphen/>
        <w:t>изводстве Д-13 следующее: «5 единиц готовы за исключе</w:t>
      </w:r>
      <w:r w:rsidRPr="005E779E">
        <w:rPr>
          <w:rFonts w:ascii="Times New Roman" w:hAnsi="Times New Roman"/>
          <w:color w:val="000000" w:themeColor="text1"/>
          <w:sz w:val="16"/>
          <w:szCs w:val="16"/>
        </w:rPr>
        <w:softHyphen/>
        <w:t>нием: не сделаны рамы с сеткой для карт, нет задних фона</w:t>
      </w:r>
      <w:r w:rsidRPr="005E779E">
        <w:rPr>
          <w:rFonts w:ascii="Times New Roman" w:hAnsi="Times New Roman"/>
          <w:color w:val="000000" w:themeColor="text1"/>
          <w:sz w:val="16"/>
          <w:szCs w:val="16"/>
        </w:rPr>
        <w:softHyphen/>
        <w:t>рей. Машины вышли на испытание. 5 единиц, кроме ука</w:t>
      </w:r>
      <w:r w:rsidRPr="005E779E">
        <w:rPr>
          <w:rFonts w:ascii="Times New Roman" w:hAnsi="Times New Roman"/>
          <w:color w:val="000000" w:themeColor="text1"/>
          <w:sz w:val="16"/>
          <w:szCs w:val="16"/>
        </w:rPr>
        <w:softHyphen/>
        <w:t>занного, не установлены ящики для вездеходных цепей, не сделано крепление для шанцевого инструмента и допол</w:t>
      </w:r>
      <w:r w:rsidRPr="005E779E">
        <w:rPr>
          <w:rFonts w:ascii="Times New Roman" w:hAnsi="Times New Roman"/>
          <w:color w:val="000000" w:themeColor="text1"/>
          <w:sz w:val="16"/>
          <w:szCs w:val="16"/>
        </w:rPr>
        <w:softHyphen/>
        <w:t>нительных бензобаков». Но к маю Д-13 были сданы и по</w:t>
      </w:r>
      <w:r w:rsidRPr="005E779E">
        <w:rPr>
          <w:rFonts w:ascii="Times New Roman" w:hAnsi="Times New Roman"/>
          <w:color w:val="000000" w:themeColor="text1"/>
          <w:sz w:val="16"/>
          <w:szCs w:val="16"/>
        </w:rPr>
        <w:softHyphen/>
        <w:t>ступили в войска. Таким образом, всего изготовили 13 бро</w:t>
      </w:r>
      <w:r w:rsidRPr="005E779E">
        <w:rPr>
          <w:rFonts w:ascii="Times New Roman" w:hAnsi="Times New Roman"/>
          <w:color w:val="000000" w:themeColor="text1"/>
          <w:sz w:val="16"/>
          <w:szCs w:val="16"/>
        </w:rPr>
        <w:softHyphen/>
        <w:t>немашин конструкции Дыренкова: 12 Д-13 (считая 2 опыт</w:t>
      </w:r>
      <w:r w:rsidRPr="005E779E">
        <w:rPr>
          <w:rFonts w:ascii="Times New Roman" w:hAnsi="Times New Roman"/>
          <w:color w:val="000000" w:themeColor="text1"/>
          <w:sz w:val="16"/>
          <w:szCs w:val="16"/>
        </w:rPr>
        <w:softHyphen/>
        <w:t>ных образца) и 1 Д-9 (11284).</w:t>
      </w:r>
    </w:p>
    <w:p w14:paraId="0D0A064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9E985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Летом 1931 года в Опытно-конструкторском и испыта</w:t>
      </w:r>
      <w:r w:rsidRPr="005E779E">
        <w:rPr>
          <w:rFonts w:ascii="Times New Roman" w:hAnsi="Times New Roman"/>
          <w:color w:val="000000" w:themeColor="text1"/>
          <w:sz w:val="16"/>
          <w:szCs w:val="16"/>
        </w:rPr>
        <w:softHyphen/>
        <w:t>тельном бюро началось проектирование двух образцов хи</w:t>
      </w:r>
      <w:r w:rsidRPr="005E779E">
        <w:rPr>
          <w:rFonts w:ascii="Times New Roman" w:hAnsi="Times New Roman"/>
          <w:color w:val="000000" w:themeColor="text1"/>
          <w:sz w:val="16"/>
          <w:szCs w:val="16"/>
        </w:rPr>
        <w:softHyphen/>
        <w:t>мических бронемашин - Д-18 на грузовом американском шасси «Мореланд» и Д-39 на базе «Форд-Тимкен». Однако из-за неудовлетворительной организации работ обе маши</w:t>
      </w:r>
      <w:r w:rsidRPr="005E779E">
        <w:rPr>
          <w:rFonts w:ascii="Times New Roman" w:hAnsi="Times New Roman"/>
          <w:color w:val="000000" w:themeColor="text1"/>
          <w:sz w:val="16"/>
          <w:szCs w:val="16"/>
        </w:rPr>
        <w:softHyphen/>
        <w:t>ны изготовили лишь в ноябре 1932 года.</w:t>
      </w:r>
    </w:p>
    <w:p w14:paraId="634752A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Д-18 и Д-39 имели бронекорпуса из 6-8 мм стали (не бро</w:t>
      </w:r>
      <w:r w:rsidRPr="005E779E">
        <w:rPr>
          <w:rFonts w:ascii="Times New Roman" w:hAnsi="Times New Roman"/>
          <w:color w:val="000000" w:themeColor="text1"/>
          <w:sz w:val="16"/>
          <w:szCs w:val="16"/>
        </w:rPr>
        <w:softHyphen/>
        <w:t>невой), закрывающие двигатель, кабину и резервуары для хи</w:t>
      </w:r>
      <w:r w:rsidRPr="005E779E">
        <w:rPr>
          <w:rFonts w:ascii="Times New Roman" w:hAnsi="Times New Roman"/>
          <w:color w:val="000000" w:themeColor="text1"/>
          <w:sz w:val="16"/>
          <w:szCs w:val="16"/>
        </w:rPr>
        <w:softHyphen/>
        <w:t>мических веществ. В зависимости от типа заправки резервуа</w:t>
      </w:r>
      <w:r w:rsidRPr="005E779E">
        <w:rPr>
          <w:rFonts w:ascii="Times New Roman" w:hAnsi="Times New Roman"/>
          <w:color w:val="000000" w:themeColor="text1"/>
          <w:sz w:val="16"/>
          <w:szCs w:val="16"/>
        </w:rPr>
        <w:softHyphen/>
        <w:t>ра машины могли производить заражение местности отравля</w:t>
      </w:r>
      <w:r w:rsidRPr="005E779E">
        <w:rPr>
          <w:rFonts w:ascii="Times New Roman" w:hAnsi="Times New Roman"/>
          <w:color w:val="000000" w:themeColor="text1"/>
          <w:sz w:val="16"/>
          <w:szCs w:val="16"/>
        </w:rPr>
        <w:softHyphen/>
        <w:t>ющими веществами, дегазацию или постановку дымовых завес. Выполнение этих задач осуществлялось при помощи центробежной помпы с приводом от двигателя автомобиля и трех распылителей. Машина Д-18 имела 2 резервуара для хи</w:t>
      </w:r>
      <w:r w:rsidRPr="005E779E">
        <w:rPr>
          <w:rFonts w:ascii="Times New Roman" w:hAnsi="Times New Roman"/>
          <w:color w:val="000000" w:themeColor="text1"/>
          <w:sz w:val="16"/>
          <w:szCs w:val="16"/>
        </w:rPr>
        <w:softHyphen/>
        <w:t>мических веществ емкостью 1100 литров, а Д-39 один на 800 (11284).</w:t>
      </w:r>
    </w:p>
    <w:p w14:paraId="423B36C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B11CC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Летом 1931 года, после кратковременных испытаний и устранения недостатков, машину инженеров И. Жаботинского и Д. Скобло повы</w:t>
      </w:r>
      <w:r w:rsidRPr="005E779E">
        <w:rPr>
          <w:rFonts w:ascii="Times New Roman" w:hAnsi="Times New Roman"/>
          <w:color w:val="000000" w:themeColor="text1"/>
          <w:sz w:val="16"/>
          <w:szCs w:val="16"/>
        </w:rPr>
        <w:softHyphen/>
        <w:t>шенной проходимости с колесной формулой 6 х 4доставили в Москву, где ее продемонстрировали представителям Революционно-военного совета и управления механизации и моторизации Красной Армии. Новый автомобиль произвел благоприят</w:t>
      </w:r>
      <w:r w:rsidRPr="005E779E">
        <w:rPr>
          <w:rFonts w:ascii="Times New Roman" w:hAnsi="Times New Roman"/>
          <w:color w:val="000000" w:themeColor="text1"/>
          <w:sz w:val="16"/>
          <w:szCs w:val="16"/>
        </w:rPr>
        <w:softHyphen/>
        <w:t>ное впечатление, и РВС СССР принял решение об органи</w:t>
      </w:r>
      <w:r w:rsidRPr="005E779E">
        <w:rPr>
          <w:rFonts w:ascii="Times New Roman" w:hAnsi="Times New Roman"/>
          <w:color w:val="000000" w:themeColor="text1"/>
          <w:sz w:val="16"/>
          <w:szCs w:val="16"/>
        </w:rPr>
        <w:softHyphen/>
        <w:t>зации серийного производства таких машин (11284).</w:t>
      </w:r>
    </w:p>
    <w:p w14:paraId="49AABA4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203C1C" w14:textId="77777777" w:rsidR="00053BF0" w:rsidRPr="005E779E" w:rsidRDefault="00053BF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Летом 1931 года в бронедивизионе ОГПУ проходили испытания мотоброневагонов Д-2 и Д-3 Дыренкова. В отчете по испытаниям Д-2 отмечалась высокая устойчивость броневагона при стрельбе, его значительная скорость, тяговая сила и радиус действия. В то же время обнаружились и недостатки — неудовлетворительно работали системы охлаждения и вентиляции. Сочли неудачным и выбор артиллерии — предлагалось заменить откровенно слабые противоштурмовые пушки образца 1913 года более совершенными орудиями того же калибра (22743).</w:t>
      </w:r>
    </w:p>
    <w:p w14:paraId="0EAEBC24" w14:textId="77777777" w:rsidR="00053BF0" w:rsidRPr="005E779E" w:rsidRDefault="00053BF0" w:rsidP="000B7A6C">
      <w:pPr>
        <w:spacing w:after="0" w:line="240" w:lineRule="auto"/>
        <w:jc w:val="both"/>
        <w:rPr>
          <w:rFonts w:ascii="Times New Roman" w:hAnsi="Times New Roman"/>
          <w:color w:val="000000" w:themeColor="text1"/>
          <w:sz w:val="16"/>
          <w:szCs w:val="16"/>
        </w:rPr>
      </w:pPr>
    </w:p>
    <w:p w14:paraId="35B89BCB"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Летом 1931 года испытали всю шестерку мотоциклов, построенных на ХАЗе и решили приступить к серийному выпуску машины № 1, на 1932 год даже установили план — сдать не менее 3 тыс. мотоциклов.</w:t>
      </w:r>
    </w:p>
    <w:p w14:paraId="063D9377"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Однако, как мы знаем, в тот период в НАТИ завершили разработку мотоциклов НАТИ-А-750 и НАТИ-Б-350. В Автодоре прикинули, кому бы поручить их производство. Поскольку выпуск тяжелых НАТИ-А наметили на Подольском машиностроительном заводе, где до этого делали популярные швейные машинки, то освоение НАТИ-Б с четырехтактным одноцилиндровым мотором рабочим объемом 375 см3 выпало на долю ХАЗа. От своего прототипа харьковчанам пришлось отказаться.</w:t>
      </w:r>
    </w:p>
    <w:p w14:paraId="034EF21C"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 они вновь показали характер, по собственной инициативе приступив к проектированию сразу трех в значительной степени унифицированных машин с двигателями рабочим объемом 375, 750 и 1200 см3 и карданной передачей на заднее колесо. Первую, ЗМ-375, предполагалось оснастить трехскоростной коробкой передач, баками, вмещавшими 12 л бензина и 2 л масла. Имея базу 1400 мм и клиренс 140, она развивала скорость по шоссе 90 км/ч.</w:t>
      </w:r>
    </w:p>
    <w:p w14:paraId="06AAC04B"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общем, получился неплохой мотоцикл, хотя мощность его двигателя не соответствовала полному весу. Возможно, со временем ЗМ-375 и довели бы до совершенства, но уже выпускались схожие по техническим характеристикам ленинградские Л-300 и были, что называется, на подходе ИЖ-7. Появление близкого к ним еще одного мотоцикла теряло смысл. Поэтому работы над ЗМ-375 свернули, а документацию передали в Таганрог, на инструментальный завод ТИЗ, чтобы ХАЗ мог заняться своим основным делом — сборкой автомобилей.</w:t>
      </w:r>
    </w:p>
    <w:p w14:paraId="5F9F9F7D"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Теперь и таганрогским конструкторам предстояло решить задачи, с которыми уже сталкивались их коллеги из Москвы, Ленинграда, Ижевска и Харькова — с чего начинать? Для создания по примеру харьковчан новой Модели не было ни времени, ни опыта. Копирование зарубежного мотоцикла таило опасность ошибиться с выбором прототипа. Впрочем, сомнениям скоро пришел конец — ТИЗу предложили взять за образец английский БСА-600, далеко не последнего выпуска, но проверенный и освоенный промышленностью.</w:t>
      </w:r>
    </w:p>
    <w:p w14:paraId="09B66F9F"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ТИЗе создали группу разработчиков новой документации во главе с инженером Я. Каганом, на помощь ей прислали специалистов из Москвы и Харькова, и они в 1935 году изготовили рабочие чертежи модифицированного мотоцикла, названного ТИЗ-АМ-600. В следующем году собрали первые машины, причем часть деталей к ним поставляли другие предприятия. Например, аккумуляторы шли из Саратова, фары — из Горького. Правда, через некоторое время в Киржаче построили специализированный завод, выпускавший фары для автомобилей и мотоциклов.</w:t>
      </w:r>
    </w:p>
    <w:p w14:paraId="36E4DC90"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БСА-600 предназначался для езды по хорошим европейским дорогам, поэтому трубчатую раму «тиза» пришлось усиливать. Впрочем, его совершенствование продолжалось в течение всего выпуска и завершилось только в 1940 году.</w:t>
      </w:r>
    </w:p>
    <w:p w14:paraId="04EE43D4"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Машины этой марки поступали в подразделения Красной Армии, их не раз показывали на военных парадах. Пришлись они по душе и спортсменам, выступая на соревнованиях в классе тяжелых мотоциклов, они нередко обходили соперников, восседавших на более мощных ПМЗ-750.</w:t>
      </w:r>
    </w:p>
    <w:p w14:paraId="43ACC261"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 все же у «тиза» было немало недостатков. Например, тянул он коляску, особенно по проселку, с трудом, значит, нужно было увеличить мощность двигателя и облегчить конструкцию. Однако вместо того, чтобы постепенно избавлять машину от недостатков, как делали ижевские инженеры, руководство отрасли прибегло к иному способу. В Англии купили БСА-500, доставив его на самолете в Москву для осмотра в НАМИ, оттуда, опять по воздуху, в сопровождении бригады конструкторов — в Таганрог. «Проект мы разработали общими усилиями за месяц с небольшим,— вспоминал участник тех событий Б. Фиттерман.— Лично я проектировал четырехступенчатую коробку передач. Опытный ТИЗ-500 построили весной 1941 года, и я с удовольствием ездил на нем. Он оказался быстроходнее, легче и устойчивее предыдущего, а расположенный вертикально цилиндр придавал машине характерный вид. Испытания провели быстро, с положительными результатами, однако начавшаяся война прервала эту работу, и заводу до эвакуации в Тюмень пришлось выпускать ТИЗ-АМ-600».</w:t>
      </w:r>
    </w:p>
    <w:p w14:paraId="55A9DD14"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Тюмени, в корпусах тамошнего пивоваренного завода, некоторое время делали «шестисотки», но вскоре сказалась нехватка кадров и комплектующих деталей. В 1943 году выпуск ТИЗ-АМ-600 пришлось прекратить.</w:t>
      </w:r>
    </w:p>
    <w:p w14:paraId="709319EF"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историю отечественного машиностроения ТИЗ-АМ-600 вошел как первый серийный мотоцикл с четырехтактным одноцилиндровым двигателем. Сохранились считанные образцы, один из которых находится в Политехническом музее (11396).</w:t>
      </w:r>
    </w:p>
    <w:p w14:paraId="5656E593"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DD7C99" w14:textId="77777777" w:rsidR="00665803" w:rsidRPr="005E779E" w:rsidRDefault="0066580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Летом 1931 года на очередном заседании Научно-технического комитета (НТК) ВТУ РККА, рассматривавшем вопрос о состоянии работ в области звукоулавливания для раннего обнаружения самолетов, активно обсуждалась необходимость активизации работ по использованию для тех же целей радиотехники и был поставлен вопрос о необходимости привлечения новых научноисследовательских учреждений, которые могли бы взять на себя работы такого характера (данную задачу как раз и поручили М.М. Лобанову).</w:t>
      </w:r>
    </w:p>
    <w:p w14:paraId="0702046E" w14:textId="77777777" w:rsidR="00665803" w:rsidRPr="005E779E" w:rsidRDefault="0066580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К тому времени сотрудники ВТУ РККА Мирон Архипович Федосенко и Георгий Степанович Гойлов (первый начальник Особого Конструкторского бюро и Экспериментальных мастерских Главного артиллерийского управления РККА) уже «пришли к единодушному выводу», что единственное решение проблемы раннего обнаружения самолетов противника «следует искать в использовании радиоволн, распространение которых мало зависит от погоды и времени суток, и потому их преимущество очевидно». По мнению указанных советских военных специалистов, «наращивая мощности излучаемых радиоволн и повышая чувствительность </w:t>
      </w:r>
      <w:r w:rsidRPr="005E779E">
        <w:rPr>
          <w:rFonts w:ascii="Times New Roman" w:hAnsi="Times New Roman"/>
          <w:color w:val="000000" w:themeColor="text1"/>
          <w:sz w:val="16"/>
          <w:szCs w:val="16"/>
        </w:rPr>
        <w:lastRenderedPageBreak/>
        <w:t>радиоприемных устройств, можно непрерывно добиваться такого совершенства средств радиообнаружения, которое не отставало бы от уровня развития авиации и тем самым не допускало бы образования диспропорции между тактическими возможностями средств воздушного нападения и средствами их обнаружения»( . М.М. Лобанов. Развитие советской радиолокационной техники. – М.: Воениздат, 1982. – 239 с.) (22709).</w:t>
      </w:r>
    </w:p>
    <w:p w14:paraId="73709366" w14:textId="77777777" w:rsidR="00665803" w:rsidRPr="005E779E" w:rsidRDefault="00665803" w:rsidP="000B7A6C">
      <w:pPr>
        <w:spacing w:after="0" w:line="240" w:lineRule="auto"/>
        <w:jc w:val="both"/>
        <w:rPr>
          <w:rFonts w:ascii="Times New Roman" w:hAnsi="Times New Roman"/>
          <w:color w:val="000000" w:themeColor="text1"/>
          <w:sz w:val="16"/>
          <w:szCs w:val="16"/>
        </w:rPr>
      </w:pPr>
    </w:p>
    <w:p w14:paraId="5EB22D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Летом 1931 года суздальский Покровский "монастырь был передан в целом в распоряжение политизолятора ОГПУ, которым был произведен полный ремонт построек, и монастырь был закрыт для всех посторонних граждан... В 1932 г. в монастыре появилась организация, называемая БОН ОО ОГПУ. Работники музея, несущие охрану памятников, долгое время не допускались до осмотра памятников, кроме как собора и ризницы.... Помещения монастыря были приспособлены под нужды БОНа...Состояние монастыря было образцовое, все остеклено, учинено, белено.". </w:t>
      </w:r>
    </w:p>
    <w:p w14:paraId="7477B7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Расчет был очевиден - здесь же в Суздале в Спасо-Евфимиевом монастыре находился политизолятор, где содержались многочисленные "враги советской власти", и это был источник "материала" для опытов, не требовавших каких-либо разрешений. Охрана обоих монастырей была общая. </w:t>
      </w:r>
    </w:p>
    <w:p w14:paraId="2FD6BA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Возглавил БОН врач-бактериолог М.М.Файбич с серьезными знаками различия в петлицах своей военной формы. </w:t>
      </w:r>
    </w:p>
    <w:p w14:paraId="5BBA2F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Основу мощной команды микробиологов, которые стали работать в Суздале в области особо опасных инфекций человека, составили ученые, привезенные из разных мест страны. </w:t>
      </w:r>
    </w:p>
    <w:p w14:paraId="10BC33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Директор института "Микроб" в Саратове профессор С.М.Никаноров был оторван от борьбы со вспышками чумы на востоке и юге страны и доставлен в Суздаль в новом качестве з/к. Из Саратова же прибыл ведущий специалист по чуме Н.А.Гайский (за деяния, предусмотренные ст.58-11 УК РСФСР; наказание - 5 лет лагерей). Из того же "Микроба" доставили специалиста по чуме и туляремии С.В.Суворова, который первым в СССР выделил от больных людей возбудитель туляремии - это произошло еще в 1926 году. В числе обитателей "шарашки" оказались также А.Вольферц и Д.Голов (тоже из "Микроба"). Из Минска доставили Б.Я.Эльберта, где он возглавлял организованный им в 1924 году санитарно-бактериологический институт (нынешний НИИ эпидемиологии и микробиологии минздрава Белоруссии). </w:t>
      </w:r>
    </w:p>
    <w:p w14:paraId="1F085A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1932 году работа 19 ученых-заключенных в БОНе началась. Во главе нее был поставлен специалист по тифу М.М.Файбич - тот, что имел серьезные знаки отличия в петлицах своей военной формы. </w:t>
      </w:r>
    </w:p>
    <w:p w14:paraId="1E9037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Как вспоминала Е.И.Паршина, подчиненные М.М.Файбичу репрессированные ученые-биологи жили в монашеских кельях и не имели права покидать территорию монастыря.</w:t>
      </w:r>
    </w:p>
    <w:p w14:paraId="1DB978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Общий сбор военных биологов на озере Селигер шел два года. В 1936 году туда была переведена из Суздаля III-я испытательная лаборатория РККА, остававшаяся в ведении ВОХИМУ РККА. Она разместилась на острове Городомля посреди озера. Для непосвященных она числилась, однако, не на озере, а в городе Осташков, который находится на берегу. </w:t>
      </w:r>
    </w:p>
    <w:p w14:paraId="6F4A2B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Охрана военно-биологических учреждений - предмет отдельного разговора. В свое время ВВСЛ во Власихе в 1930 году осуществляли 3 милиционера. Охрану ИХО в Москве, где работали с биологическим оружием, в 1933 году нес 19-й отдельный местный стрелковый батальон. Охрану объекта Суздале осуществляло ОГПУ. </w:t>
      </w:r>
    </w:p>
    <w:p w14:paraId="0B84BF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 на озере Селигер охрану предусматривалось осуществлять силами НКВД. Однако решение об этом было принято не сразу. Поначалу уже дослужившийся до звания дивизионного врача И.М.Великанов не понял остроты проблемы и в результате был удостоен выговора "за недозволенный допуск постороннего лица на территорию острова Городомля" в приказе, подписанном лично К.Е.Ворошиловым (№ 0040 от 23 августа 1936 года). А с конца 1936 года уже шла оживленная переписка о создании в г.Осташков специального дивизиона НКВД численностью 179 человек, нацеленного только на обеспечение секретности работ по биологическому оружию на острове Городомля. В ходе переписки выяснилось, что периметр самого острова всего 9 км и что возле него находятся другие - населенные - острова. Вопрос считался столь важным, что потребовалось принятие специального решения правительства, и на этот счет состоялась специальная переписка между высшими руководителями страны - К.Е.Ворошиловым и В.М.Молотовым.</w:t>
      </w:r>
    </w:p>
    <w:p w14:paraId="7EABC5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Летом 1937 года было решено перевести на озеро и сам БИТИ из имения Власиха. Тогда считалось, что это место более подходит для опытов с опасным оружием по сравнению с Москвой и даже Суздалем. </w:t>
      </w:r>
    </w:p>
    <w:p w14:paraId="1EC32D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Посмотреть на редкостный по красоте остров Городомля непросто. Впрочем, это преодолимо. Кто помнит картину И.И.Шишкина "Утро в сосновом бору", тот знаком и с островом Городомля (разумеется, надо мысленно снять с нее медведей, которые были пририсованы кистью К.А.Савицкого и которые на том острове не водились). Дело в том, что до революции этот остров был популярным местом отдыха российской творческой интеллигенции. А вот потом его приспособили для существования интеллигенции научно-технической секретной направленности. В 1936-1941 годах это были военные биологи, ну а после Отечественной войны - более вольные военные ракетчики. Ну а то, что остров был увековечен на картине, и в 1920-х, и в 1940-х годах мало кого волновало (как не волновала проблема размещения секретных атомных и ракетных объектов в таких священных для многих русских и казахов населенных пунктах, как Саров и Тюра-Там). </w:t>
      </w:r>
    </w:p>
    <w:p w14:paraId="40B7C4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 селигерского периода БИТИ начался новый этап в его работах. </w:t>
      </w:r>
    </w:p>
    <w:p w14:paraId="64ECFA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Несмотря на известные трагические для очень многих события 1936-1937 года, без дела энтузиасты биологической войны не сидели. </w:t>
      </w:r>
    </w:p>
    <w:p w14:paraId="724029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Среди военно-биологических испытаний предвоенных лет укажем на работы 1936-1937 годов с так называемыми "замедленными" бактериями. В те же годы проводились опыты по заражению рыбы (11776).</w:t>
      </w:r>
    </w:p>
    <w:p w14:paraId="22930F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EBCEFC6"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314783D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F9A250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Летом 1931 самолеты приняли уча</w:t>
      </w:r>
      <w:r w:rsidRPr="005E779E">
        <w:rPr>
          <w:rFonts w:ascii="Times New Roman" w:hAnsi="Times New Roman"/>
          <w:color w:val="000000" w:themeColor="text1"/>
          <w:sz w:val="16"/>
          <w:szCs w:val="16"/>
        </w:rPr>
        <w:softHyphen/>
        <w:t>стие в маневрах на Украине, а в октябре ТБ-1 с успехом продемонстрировали не</w:t>
      </w:r>
      <w:r w:rsidRPr="005E779E">
        <w:rPr>
          <w:rFonts w:ascii="Times New Roman" w:hAnsi="Times New Roman"/>
          <w:color w:val="000000" w:themeColor="text1"/>
          <w:sz w:val="16"/>
          <w:szCs w:val="16"/>
        </w:rPr>
        <w:softHyphen/>
        <w:t>мецкой военной делегации. К концу года количество этих бомбардировщиков в стро</w:t>
      </w:r>
      <w:r w:rsidRPr="005E779E">
        <w:rPr>
          <w:rFonts w:ascii="Times New Roman" w:hAnsi="Times New Roman"/>
          <w:color w:val="000000" w:themeColor="text1"/>
          <w:sz w:val="16"/>
          <w:szCs w:val="16"/>
        </w:rPr>
        <w:softHyphen/>
        <w:t>евых частях достигло 155 экземпляров (11286).</w:t>
      </w:r>
    </w:p>
    <w:p w14:paraId="778B476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3FD7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Летом 1931 г. Р-5 впервые приняли участие в больших маневрах на территории Украины, а в сентябре произошло и боевое крещение нового разведчика. Два самолета, прибывшие в 16-ю бригаду, включили в состав Туркменской авиагруппы, сформированной для действий против басмачей в районе Кызыл-Арвата. Р-5 использовались как командирские машины. Основная тяжесть боевой работы легла на старые Р-ЗЛД, но и Р-5 участвовали в налетах на банды у колодцев Огуз-Кулоч и Огуз-Каюсы. Они сбрасывали мелкие бомбы и обстреливали басмачей из пулеметов. Впоследствии Р-5 еще неоднократно привлекались к борьбе с "врагом внутренним". Так, в апреле 1932 г. отряд во главе с уже упоминаемым Назарчуком (девять Р-ЗЛД и один Р-5) перебросили в Туркмению, где он участвовал в боях с басмачами у оз. Зайсан (11936).</w:t>
      </w:r>
    </w:p>
    <w:p w14:paraId="6D4768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774A5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Летом 1931 г. Р-5 впервые приняли участие в больших маневрах на Украине. С этого же времени новые машины стали поставлять и в летные школы. Одновременно перевооружали все новые части. На 1 января 1932 г. в строю числился уже 281 самолет этого типа. Они дислоцировались в основном в Московском, Ленинградском, Белорусском, Украинском, Северокавказском округах и вОКДВА. В январе 1932 г. первый Р-5 получили морские летчики из Воздушных сил Балтийского моря (12034).</w:t>
      </w:r>
    </w:p>
    <w:p w14:paraId="00F24C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C1C3C96" w14:textId="77777777" w:rsidR="009E61BD" w:rsidRPr="00142305" w:rsidRDefault="009E61BD" w:rsidP="009E61B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Летом 1931 г. в Москве в присутствии командующего войсками Московского военного округа А. И. Корка проводились тренировки по поражению летящего самолета; здесь впервые в Советском Союзе была продемонстрирована стрельба зенитчиков по буксируемому конусу. Теоретический вклад в вопросы защиты пункта от атак с воздуха внес М. Е. Медведев, опубликовав в 1932 г. труд «Противовоздушная оборона». Заметно обогатили теорию применения войск ПВО, уточнили многие положения, связанные со строительством системы ПВО, в этот период также Н. А. Бородачев, И. Я. Поплавский, В. Н. Левичев и др. (25130).</w:t>
      </w:r>
    </w:p>
    <w:p w14:paraId="724D256C" w14:textId="77777777" w:rsidR="009E61BD" w:rsidRPr="00142305" w:rsidRDefault="009E61BD" w:rsidP="009E61BD">
      <w:pPr>
        <w:spacing w:after="0" w:line="240" w:lineRule="auto"/>
        <w:jc w:val="both"/>
        <w:rPr>
          <w:rFonts w:ascii="Times New Roman" w:hAnsi="Times New Roman"/>
          <w:color w:val="0070C0"/>
          <w:sz w:val="16"/>
          <w:szCs w:val="16"/>
        </w:rPr>
      </w:pPr>
    </w:p>
    <w:p w14:paraId="14A1A5C2" w14:textId="77777777" w:rsidR="009E61BD" w:rsidRPr="00142305" w:rsidRDefault="009E61BD" w:rsidP="009E61B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Летом 1931 г. сформированная на базе 16-й бригады Туркменская авиагруппа в течение двух месяцев проводила опе</w:t>
      </w:r>
      <w:r w:rsidRPr="00142305">
        <w:rPr>
          <w:rFonts w:ascii="Times New Roman" w:hAnsi="Times New Roman"/>
          <w:color w:val="0070C0"/>
          <w:sz w:val="16"/>
          <w:szCs w:val="16"/>
        </w:rPr>
        <w:softHyphen/>
        <w:t>рации на юге Туркмении. Снабжение как самой группы, так и наземных сил в этих малонаселенных местах осуществлялось зачастую только по воздуху. Единственный АНТ-9 за это время перевез 221 челове</w:t>
      </w:r>
      <w:r w:rsidRPr="00142305">
        <w:rPr>
          <w:rFonts w:ascii="Times New Roman" w:hAnsi="Times New Roman"/>
          <w:color w:val="0070C0"/>
          <w:sz w:val="16"/>
          <w:szCs w:val="16"/>
        </w:rPr>
        <w:softHyphen/>
        <w:t>ка (в том числе 57 раненых) и 11 500 кг различных грузов, включая горючее для самолетов, автомобилей и бронетехники. Был даже случай, когда его использовали как бомбардировщик. 11 сентября груп</w:t>
      </w:r>
      <w:r w:rsidRPr="00142305">
        <w:rPr>
          <w:rFonts w:ascii="Times New Roman" w:hAnsi="Times New Roman"/>
          <w:color w:val="0070C0"/>
          <w:sz w:val="16"/>
          <w:szCs w:val="16"/>
        </w:rPr>
        <w:softHyphen/>
        <w:t>па самолетов Р-ЗЛД бомбила басмачей у озера Джамала, вместе с ними в налете участвовал АНТ-9, который нес на подфю</w:t>
      </w:r>
      <w:r w:rsidRPr="00142305">
        <w:rPr>
          <w:rFonts w:ascii="Times New Roman" w:hAnsi="Times New Roman"/>
          <w:color w:val="0070C0"/>
          <w:sz w:val="16"/>
          <w:szCs w:val="16"/>
        </w:rPr>
        <w:softHyphen/>
        <w:t>зеляжных балках десять бомб по 8 кг. В Средней Азии самолет получил вы</w:t>
      </w:r>
      <w:r w:rsidRPr="00142305">
        <w:rPr>
          <w:rFonts w:ascii="Times New Roman" w:hAnsi="Times New Roman"/>
          <w:color w:val="0070C0"/>
          <w:sz w:val="16"/>
          <w:szCs w:val="16"/>
        </w:rPr>
        <w:softHyphen/>
        <w:t>сокую оценку, хотя малый практический потолок препятствовал полетам в горах (24949).</w:t>
      </w:r>
    </w:p>
    <w:p w14:paraId="1860D154" w14:textId="77777777" w:rsidR="009E61BD" w:rsidRPr="00142305" w:rsidRDefault="009E61BD" w:rsidP="009E61BD">
      <w:pPr>
        <w:spacing w:after="0" w:line="240" w:lineRule="auto"/>
        <w:jc w:val="both"/>
        <w:rPr>
          <w:rFonts w:ascii="Times New Roman" w:hAnsi="Times New Roman"/>
          <w:color w:val="0070C0"/>
          <w:sz w:val="16"/>
          <w:szCs w:val="16"/>
        </w:rPr>
      </w:pPr>
    </w:p>
    <w:p w14:paraId="6A5A77DC" w14:textId="77777777" w:rsidR="005C4849" w:rsidRPr="005E779E" w:rsidRDefault="00874B1E" w:rsidP="000B7A6C">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2BB5274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5FB104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Летом 1931, к началу уборки на Сибсельмаше был выпущен первый комбайн. Успешно прошли его государственные испытания. Одновременно в Омской области испытывались комбайны Ростовского завода и завода «Коммунар». Государственная комиссия признала сибирский комбайн наилучшим. В начале 1930-х гг. в стране было построено три завода по производству комбайнов общей мощностью 40-60 тыс. машин в год. В то время их выпуск обеспечивал потребности всего сельского хозяйства (9684).</w:t>
      </w:r>
    </w:p>
    <w:p w14:paraId="24FAC2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D82981F" w14:textId="77777777" w:rsidR="00665803" w:rsidRPr="005E779E" w:rsidRDefault="0066580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Летом 1931 г. в опытной мастерской строящегося цеха комбайнов Ростсельмаша завершилась сборка двух комбайнов более совершенной конструкции, которые получили название Сталинец». На полях совхоза «Хуторок» Краснодарского края наши комбайны проходили испытания вместе с американскими комбайнами «Оливер», «Холт» и «Катерпиллер». Советские машины работали лучше и, в отличие от комбайнов всех зарубежных марок, имели возможность убирать не только </w:t>
      </w:r>
      <w:r w:rsidRPr="005E779E">
        <w:rPr>
          <w:rFonts w:ascii="Times New Roman" w:hAnsi="Times New Roman"/>
          <w:color w:val="000000" w:themeColor="text1"/>
          <w:sz w:val="16"/>
          <w:szCs w:val="16"/>
        </w:rPr>
        <w:lastRenderedPageBreak/>
        <w:t>хлеб, но и подсолнечник, кукурузу и просо. В январе 1932 г. в строй вступил сборочный цех комбайнов завода «Ростсельмаш», а в мае на поля страны был отправлен первый эшелон комбайнов «Сталинец–1» (21168).</w:t>
      </w:r>
    </w:p>
    <w:p w14:paraId="1612D500" w14:textId="77777777" w:rsidR="00665803" w:rsidRPr="005E779E" w:rsidRDefault="00665803" w:rsidP="000B7A6C">
      <w:pPr>
        <w:spacing w:after="0" w:line="240" w:lineRule="auto"/>
        <w:jc w:val="both"/>
        <w:rPr>
          <w:rFonts w:ascii="Times New Roman" w:hAnsi="Times New Roman"/>
          <w:color w:val="000000" w:themeColor="text1"/>
          <w:sz w:val="16"/>
          <w:szCs w:val="16"/>
        </w:rPr>
      </w:pPr>
    </w:p>
    <w:p w14:paraId="43040476"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Внешняя политика:</w:t>
      </w:r>
    </w:p>
    <w:p w14:paraId="0C2BEE8C"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C6B35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Летом 1931 г. Монголия получила первые три Р-5 как подарок от советского правительства. Окрашены они были по нашему стандарту, позднее на хвостовом оперении нанесли национальную эмблему "соембо" красного цвета. Вместе с самолетами прибыли советские летчики. Считаясь военными советниками, первые годы только они пилотировали боевые машины, а монголы учились. Р-5 вошли в состав единственного тогда монгольского авиаотряда "Сухэ- Батор". Позже из СССР доставили еще несколько машин этого типа.</w:t>
      </w:r>
    </w:p>
    <w:p w14:paraId="07FE6A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Монгольская авиация прошла боевое крещение в августе-сентябре 1934 г. при подавлении мятежа в провинции Ховд. С воздуха войска поддерживала пятерка Р-5. Группой, в которую входили 3 советских и 2 монгольских летчика, командовал будущий маршал авиации В.А. Судец.</w:t>
      </w:r>
    </w:p>
    <w:p w14:paraId="464E5C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ряда столкновений на границе Монголии и Маньчжоу-Го в январе 1936 г. эскадрилью монгольских Р-5 и У-2 перебросили в Тамцак-Булак. Туда же подтянули два отряда на Р-5 и Р-5Ш из состава советской смешанной эскадрильи, дислоцированной на монгольской территории. 7 января Р-5 провели первую разведку, а со следующего дня начали регулярное патрулирование. 15 января маньчжурские солдаты пересекли границу у оз. Хар, но были остановлены при поддержке авиации и через неделю отошли к границе. Затем последовал целый ряд стычек с участием авиации обеих сторон.</w:t>
      </w:r>
    </w:p>
    <w:p w14:paraId="474B70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февраля около 600 японцев при поддержке двух самолетов-разведчиков перешли границу в районе Булан-Дерс. Навстречу выдвинулись монгольские пограничники и поднялись Р-5. До 12 февраля противник теснил монголов, затем японцы стали отходить.</w:t>
      </w:r>
    </w:p>
    <w:p w14:paraId="34306F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Приграничные столкновения продолжались. Так, 25 марта неприятельский взвод на двух грузовиках вышел к поселку треста "Монголрыба" у оз. Буир-Нур и после боя занял погранзаставу. Действия японцев обнаружили экипажи двух Р-5, которые обстреляли машины. Противник отступил с потерями: один убитый и четверо раненых. Монголы захватили грузовик.</w:t>
      </w:r>
    </w:p>
    <w:p w14:paraId="4128E8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 марта отличился монгольский авиаотряд л-та Шагдасурэна. Пилот Демберэл и стрелок Дорж уничтожили грузовик с 28 солдатами. Монголы утверждают, что в тот день Демберэл провел и воздушный бой, сбив один и повредив другой японский разведчик. Правда, японцы вообще не упоминают о полетах своей авиации 31 марта. Они пишут о воздушном бое с Р-5, состоявшемся 1 апреля, когда их самолеты штурмовали советские броневики и автомашины, двигавшиеся к Таурану. В тот же день противник отступил к границе. Японцы определяли потери со- ветско-монгольской авиации в 3 сбитые и 3 поврежденные машины. По нашим данным, были сбиты 2 монгольских Р-5. Из состава советских отрядов 2 летчика были ранены (один позже умер).</w:t>
      </w:r>
    </w:p>
    <w:p w14:paraId="597518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осени 1938 г. монгольская авиация располагала 39 боевыми и 6 учебными Р-5 и Р-5Ш. В советских частях на монгольской территории Р-5 использовались уже только как самолеты связи. 22 мая 1939 г. японские истребители Ки 27 перехватили связной биплан, летевший в расположение 6-й монгольской кавдивизии, и сбили его. Это был первый самолет, уничтоженный на Халхин- Голе.</w:t>
      </w:r>
    </w:p>
    <w:p w14:paraId="7C44C2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конфликта советские авиачасти пытались использовать Р-5 для ведения разведки, но быстрое насыщение противником района боев истребителями заставило это прекратить. Для старых бипланов нашли новое применение - из них сформировали группу ночных бомбардировщиков, в которой сначала было 8 машин. Она считалась монгольской, командовал монгол Бор, экипажи были смешанные. Первый вылет совершили с аэродрома Матад 13 июля тремя самолетами, а ведущий Р-5 пилотировал советский летчик Зайсанов. Далее ночные налеты на позиции японцев стали выполнять регулярно. До окончания боев в сентябре ночники совершили 158-165 вылетов, сбро- сио около 60 т бомб. Один Р-5 не вернулся с боевого задания - разбился в плохую погоду, экипаж погиб (11936).</w:t>
      </w:r>
    </w:p>
    <w:p w14:paraId="74E53B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91D09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Летом 1931 г. Монголия получила три первых Р-5 как подарок от советского правительства. Им отдали новенькие машины одной из первых серий, с пулеметами "Льюис". Окрашены они были по нашему стандарту, позднее на хвостовом оперении несли национальную эмблему "соем- бо" красного цвета. Вместе с самолетами прибыли советские летчики. Считаясь военными советниками, первые годы только они пилотировали боевые машины, а монголы учились. Р-5 вошли в состав единственного тогда монгольского авиаотряда "Сухэ-Батор", насчитывавшего семь машин. Летали они поначалу мало, поскольку в Монголии не имелось нужного для их моторов бензола (12034).</w:t>
      </w:r>
    </w:p>
    <w:p w14:paraId="0A150F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1C0A6E7"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Летом 1931 г. Первые Р-5. поступили как подарок от советского правительства в Монголию. Окрашены они были по советскому стандарту, позднее на хвостовом оперении нанесли национальную эмблему «соембо» красного цвета (24334).</w:t>
      </w:r>
    </w:p>
    <w:p w14:paraId="56CF8DEF" w14:textId="77777777" w:rsidR="000B7ADA" w:rsidRPr="005E779E" w:rsidRDefault="000B7ADA" w:rsidP="000B7A6C">
      <w:pPr>
        <w:spacing w:after="0" w:line="240" w:lineRule="auto"/>
        <w:jc w:val="both"/>
        <w:rPr>
          <w:rFonts w:ascii="Times New Roman" w:hAnsi="Times New Roman"/>
          <w:color w:val="000000" w:themeColor="text1"/>
          <w:sz w:val="16"/>
          <w:szCs w:val="16"/>
        </w:rPr>
      </w:pPr>
    </w:p>
    <w:p w14:paraId="4A94E165" w14:textId="77777777" w:rsidR="00665803" w:rsidRPr="005E779E" w:rsidRDefault="0066580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Летом 1931 г. Р.Л. Самойлович пригласил Нобиле принять участие в плавании ледокола «Малыгин» под руководством профессора Визе в район Земли Франца-Иосифа. Нобиле согласился без колебаний, т.к. надеялся, что, достигнув о. Земля Александры, удастся пролить свет на судьбу его шестерых товарищей, унесенных дирижаблем «Италия». Однако неблагоприятные метеорологические условия не позволили организовать поиски. Несмотря на разочарование, это путешествие благотворно повлияло на немолодого уже Нобиле (ему тогда было 46 лет). После возвращения в Москву Нобиле также осмотрел место, выбранное для сооружения мастерских и комплекса эллингов, которое было расположено в 28 км от Москвы и называлось «Долгопрудная». Нобиле, однако, считал выбор места неудачным по причине отсутствия как хороших дорог, ведущих к этому месту, так и вообще какой-либо инфраструктуры. Однако к 1936 г., к моменту отъезда Нобиле из СССР, там уже были мастерские, лаборатории, эллинги и крупный поселок с населением в несколько тысяч человек (21410).</w:t>
      </w:r>
    </w:p>
    <w:p w14:paraId="4C97C42B" w14:textId="77777777" w:rsidR="00665803" w:rsidRPr="005E779E" w:rsidRDefault="00665803" w:rsidP="000B7A6C">
      <w:pPr>
        <w:spacing w:after="0" w:line="240" w:lineRule="auto"/>
        <w:jc w:val="both"/>
        <w:rPr>
          <w:rFonts w:ascii="Times New Roman" w:hAnsi="Times New Roman"/>
          <w:color w:val="000000" w:themeColor="text1"/>
          <w:sz w:val="16"/>
          <w:szCs w:val="16"/>
        </w:rPr>
      </w:pPr>
    </w:p>
    <w:p w14:paraId="650033C8"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53CF65C8"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86D36E8" w14:textId="77777777" w:rsidR="002C0192" w:rsidRPr="005E779E" w:rsidRDefault="002C01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Летом 1931 года был построен второй экземпляр Ju-G 38 фирмы «Юнкере» (Junkers Flugzeugwerkc A.G.), названный в честь правившего канцлера, имевшего большой авторитет в Германии и в мире в целом «Гинденбург» (Hindenburg). Он имел однородную сило</w:t>
      </w:r>
      <w:r w:rsidRPr="005E779E">
        <w:rPr>
          <w:rFonts w:ascii="Times New Roman" w:hAnsi="Times New Roman"/>
          <w:color w:val="000000" w:themeColor="text1"/>
          <w:sz w:val="16"/>
          <w:szCs w:val="16"/>
        </w:rPr>
        <w:softHyphen/>
        <w:t>вую установку из четырех 750-сильных Jumo 204 той же схемы, что и L 8. В 1934 году эти моторы поставили и на первый самолет. В том же году оба G 38 были переданы в авиакомпанию «Люфтган</w:t>
      </w:r>
      <w:r w:rsidRPr="005E779E">
        <w:rPr>
          <w:rFonts w:ascii="Times New Roman" w:hAnsi="Times New Roman"/>
          <w:color w:val="000000" w:themeColor="text1"/>
          <w:sz w:val="16"/>
          <w:szCs w:val="16"/>
        </w:rPr>
        <w:softHyphen/>
        <w:t>за». но на регулярных линиях они почти полетали, совершая агитационные полеты. В них принимали участие как экипажи компании, так и за</w:t>
      </w:r>
      <w:r w:rsidRPr="005E779E">
        <w:rPr>
          <w:rFonts w:ascii="Times New Roman" w:hAnsi="Times New Roman"/>
          <w:color w:val="000000" w:themeColor="text1"/>
          <w:sz w:val="16"/>
          <w:szCs w:val="16"/>
        </w:rPr>
        <w:softHyphen/>
        <w:t>секреченные до поры офицеры военной авиации. Самолет G 38 был сложным в пилотировании и обслуживании, много стоял в ремонте, но ему придавалось большое значение — он рассматривался как учеб</w:t>
      </w:r>
      <w:r w:rsidRPr="005E779E">
        <w:rPr>
          <w:rFonts w:ascii="Times New Roman" w:hAnsi="Times New Roman"/>
          <w:color w:val="000000" w:themeColor="text1"/>
          <w:sz w:val="16"/>
          <w:szCs w:val="16"/>
        </w:rPr>
        <w:softHyphen/>
        <w:t>ный для подготовки коман</w:t>
      </w:r>
      <w:r w:rsidRPr="005E779E">
        <w:rPr>
          <w:rFonts w:ascii="Times New Roman" w:hAnsi="Times New Roman"/>
          <w:color w:val="000000" w:themeColor="text1"/>
          <w:sz w:val="16"/>
          <w:szCs w:val="16"/>
        </w:rPr>
        <w:softHyphen/>
        <w:t>диров эскадрилий, ipynn и эскадр тяжелых многомо</w:t>
      </w:r>
      <w:r w:rsidRPr="005E779E">
        <w:rPr>
          <w:rFonts w:ascii="Times New Roman" w:hAnsi="Times New Roman"/>
          <w:color w:val="000000" w:themeColor="text1"/>
          <w:sz w:val="16"/>
          <w:szCs w:val="16"/>
        </w:rPr>
        <w:softHyphen/>
        <w:t>торных бомбардировщиков, которые планировалось построить.</w:t>
      </w:r>
    </w:p>
    <w:p w14:paraId="30E01B7E" w14:textId="77777777" w:rsidR="002C0192" w:rsidRPr="005E779E" w:rsidRDefault="002C0192" w:rsidP="000B7A6C">
      <w:pPr>
        <w:spacing w:after="0" w:line="240" w:lineRule="auto"/>
        <w:jc w:val="both"/>
        <w:rPr>
          <w:rFonts w:ascii="Times New Roman" w:hAnsi="Times New Roman"/>
          <w:color w:val="000000" w:themeColor="text1"/>
          <w:sz w:val="16"/>
          <w:szCs w:val="16"/>
          <w:lang w:eastAsia="ru-RU" w:bidi="ru-RU"/>
        </w:rPr>
      </w:pPr>
      <w:r w:rsidRPr="005E779E">
        <w:rPr>
          <w:rFonts w:ascii="Times New Roman" w:hAnsi="Times New Roman"/>
          <w:color w:val="000000" w:themeColor="text1"/>
          <w:sz w:val="16"/>
          <w:szCs w:val="16"/>
          <w:lang w:eastAsia="ru-RU" w:bidi="ru-RU"/>
        </w:rPr>
        <w:t>В 1936 году первый са</w:t>
      </w:r>
      <w:r w:rsidRPr="005E779E">
        <w:rPr>
          <w:rFonts w:ascii="Times New Roman" w:hAnsi="Times New Roman"/>
          <w:color w:val="000000" w:themeColor="text1"/>
          <w:sz w:val="16"/>
          <w:szCs w:val="16"/>
          <w:lang w:eastAsia="ru-RU" w:bidi="ru-RU"/>
        </w:rPr>
        <w:softHyphen/>
        <w:t>молет погиб в катастрофе, второй же дожил до начала II мировой войны, служил в Люфтваффе в качестве транспортного, пока не попал под бомбы британс</w:t>
      </w:r>
      <w:r w:rsidRPr="005E779E">
        <w:rPr>
          <w:rFonts w:ascii="Times New Roman" w:hAnsi="Times New Roman"/>
          <w:color w:val="000000" w:themeColor="text1"/>
          <w:sz w:val="16"/>
          <w:szCs w:val="16"/>
          <w:lang w:eastAsia="ru-RU" w:bidi="ru-RU"/>
        </w:rPr>
        <w:softHyphen/>
        <w:t>кой авиации на аэродроме в Норвегии.</w:t>
      </w:r>
    </w:p>
    <w:p w14:paraId="208B6B42" w14:textId="77777777" w:rsidR="002C0192" w:rsidRPr="005E779E" w:rsidRDefault="002C01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 xml:space="preserve">По заказу Японии был спроектирован военный вариант </w:t>
      </w:r>
      <w:r w:rsidRPr="005E779E">
        <w:rPr>
          <w:rFonts w:ascii="Times New Roman" w:hAnsi="Times New Roman"/>
          <w:color w:val="000000" w:themeColor="text1"/>
          <w:sz w:val="16"/>
          <w:szCs w:val="16"/>
          <w:lang w:val="en-US" w:bidi="en-US"/>
        </w:rPr>
        <w:t>G</w:t>
      </w:r>
      <w:r w:rsidRPr="005E779E">
        <w:rPr>
          <w:rFonts w:ascii="Times New Roman" w:hAnsi="Times New Roman"/>
          <w:color w:val="000000" w:themeColor="text1"/>
          <w:sz w:val="16"/>
          <w:szCs w:val="16"/>
          <w:lang w:bidi="en-US"/>
        </w:rPr>
        <w:t xml:space="preserve"> </w:t>
      </w:r>
      <w:r w:rsidRPr="005E779E">
        <w:rPr>
          <w:rFonts w:ascii="Times New Roman" w:hAnsi="Times New Roman"/>
          <w:color w:val="000000" w:themeColor="text1"/>
          <w:sz w:val="16"/>
          <w:szCs w:val="16"/>
          <w:lang w:eastAsia="ru-RU" w:bidi="ru-RU"/>
        </w:rPr>
        <w:t xml:space="preserve">38 — </w:t>
      </w:r>
      <w:r w:rsidRPr="005E779E">
        <w:rPr>
          <w:rFonts w:ascii="Times New Roman" w:hAnsi="Times New Roman"/>
          <w:color w:val="000000" w:themeColor="text1"/>
          <w:sz w:val="16"/>
          <w:szCs w:val="16"/>
          <w:lang w:val="en-US" w:bidi="en-US"/>
        </w:rPr>
        <w:t>Ju</w:t>
      </w:r>
      <w:r w:rsidRPr="005E779E">
        <w:rPr>
          <w:rFonts w:ascii="Times New Roman" w:hAnsi="Times New Roman"/>
          <w:color w:val="000000" w:themeColor="text1"/>
          <w:sz w:val="16"/>
          <w:szCs w:val="16"/>
          <w:lang w:bidi="en-US"/>
        </w:rPr>
        <w:t>-</w:t>
      </w:r>
      <w:r w:rsidRPr="005E779E">
        <w:rPr>
          <w:rFonts w:ascii="Times New Roman" w:hAnsi="Times New Roman"/>
          <w:color w:val="000000" w:themeColor="text1"/>
          <w:sz w:val="16"/>
          <w:szCs w:val="16"/>
          <w:lang w:val="en-US" w:bidi="en-US"/>
        </w:rPr>
        <w:t>K</w:t>
      </w:r>
      <w:r w:rsidRPr="005E779E">
        <w:rPr>
          <w:rFonts w:ascii="Times New Roman" w:hAnsi="Times New Roman"/>
          <w:color w:val="000000" w:themeColor="text1"/>
          <w:sz w:val="16"/>
          <w:szCs w:val="16"/>
          <w:lang w:bidi="en-US"/>
        </w:rPr>
        <w:t xml:space="preserve"> </w:t>
      </w:r>
      <w:r w:rsidRPr="005E779E">
        <w:rPr>
          <w:rFonts w:ascii="Times New Roman" w:hAnsi="Times New Roman"/>
          <w:color w:val="000000" w:themeColor="text1"/>
          <w:sz w:val="16"/>
          <w:szCs w:val="16"/>
          <w:lang w:eastAsia="ru-RU" w:bidi="ru-RU"/>
        </w:rPr>
        <w:t xml:space="preserve">51. Два опытных самолета фирма «Мицубиси» </w:t>
      </w:r>
      <w:r w:rsidRPr="005E779E">
        <w:rPr>
          <w:rFonts w:ascii="Times New Roman" w:hAnsi="Times New Roman"/>
          <w:color w:val="000000" w:themeColor="text1"/>
          <w:sz w:val="16"/>
          <w:szCs w:val="16"/>
          <w:lang w:bidi="en-US"/>
        </w:rPr>
        <w:t>(</w:t>
      </w:r>
      <w:r w:rsidRPr="005E779E">
        <w:rPr>
          <w:rFonts w:ascii="Times New Roman" w:hAnsi="Times New Roman"/>
          <w:color w:val="000000" w:themeColor="text1"/>
          <w:sz w:val="16"/>
          <w:szCs w:val="16"/>
          <w:lang w:val="en-US" w:bidi="en-US"/>
        </w:rPr>
        <w:t>Mitsubishi</w:t>
      </w:r>
      <w:r w:rsidRPr="005E779E">
        <w:rPr>
          <w:rFonts w:ascii="Times New Roman" w:hAnsi="Times New Roman"/>
          <w:color w:val="000000" w:themeColor="text1"/>
          <w:sz w:val="16"/>
          <w:szCs w:val="16"/>
          <w:lang w:bidi="en-US"/>
        </w:rPr>
        <w:t xml:space="preserve"> </w:t>
      </w:r>
      <w:r w:rsidRPr="005E779E">
        <w:rPr>
          <w:rFonts w:ascii="Times New Roman" w:hAnsi="Times New Roman"/>
          <w:color w:val="000000" w:themeColor="text1"/>
          <w:sz w:val="16"/>
          <w:szCs w:val="16"/>
          <w:lang w:val="en-US" w:bidi="en-US"/>
        </w:rPr>
        <w:t>Jukogyo</w:t>
      </w:r>
      <w:r w:rsidRPr="005E779E">
        <w:rPr>
          <w:rFonts w:ascii="Times New Roman" w:hAnsi="Times New Roman"/>
          <w:color w:val="000000" w:themeColor="text1"/>
          <w:sz w:val="16"/>
          <w:szCs w:val="16"/>
          <w:lang w:bidi="en-US"/>
        </w:rPr>
        <w:t xml:space="preserve"> </w:t>
      </w:r>
      <w:r w:rsidRPr="005E779E">
        <w:rPr>
          <w:rFonts w:ascii="Times New Roman" w:hAnsi="Times New Roman"/>
          <w:color w:val="000000" w:themeColor="text1"/>
          <w:sz w:val="16"/>
          <w:szCs w:val="16"/>
          <w:lang w:val="en-US" w:bidi="en-US"/>
        </w:rPr>
        <w:t>Kabushiki</w:t>
      </w:r>
      <w:r w:rsidRPr="005E779E">
        <w:rPr>
          <w:rFonts w:ascii="Times New Roman" w:hAnsi="Times New Roman"/>
          <w:color w:val="000000" w:themeColor="text1"/>
          <w:sz w:val="16"/>
          <w:szCs w:val="16"/>
          <w:lang w:bidi="en-US"/>
        </w:rPr>
        <w:t xml:space="preserve"> </w:t>
      </w:r>
      <w:r w:rsidRPr="005E779E">
        <w:rPr>
          <w:rFonts w:ascii="Times New Roman" w:hAnsi="Times New Roman"/>
          <w:color w:val="000000" w:themeColor="text1"/>
          <w:sz w:val="16"/>
          <w:szCs w:val="16"/>
          <w:lang w:val="en-US" w:bidi="en-US"/>
        </w:rPr>
        <w:t>Kaisha</w:t>
      </w:r>
      <w:r w:rsidRPr="005E779E">
        <w:rPr>
          <w:rFonts w:ascii="Times New Roman" w:hAnsi="Times New Roman"/>
          <w:color w:val="000000" w:themeColor="text1"/>
          <w:sz w:val="16"/>
          <w:szCs w:val="16"/>
          <w:lang w:bidi="en-US"/>
        </w:rPr>
        <w:t xml:space="preserve">) </w:t>
      </w:r>
      <w:r w:rsidRPr="005E779E">
        <w:rPr>
          <w:rFonts w:ascii="Times New Roman" w:hAnsi="Times New Roman"/>
          <w:color w:val="000000" w:themeColor="text1"/>
          <w:sz w:val="16"/>
          <w:szCs w:val="16"/>
          <w:lang w:eastAsia="ru-RU" w:bidi="ru-RU"/>
        </w:rPr>
        <w:t>построила из немец</w:t>
      </w:r>
      <w:r w:rsidRPr="005E779E">
        <w:rPr>
          <w:rFonts w:ascii="Times New Roman" w:hAnsi="Times New Roman"/>
          <w:color w:val="000000" w:themeColor="text1"/>
          <w:sz w:val="16"/>
          <w:szCs w:val="16"/>
          <w:lang w:eastAsia="ru-RU" w:bidi="ru-RU"/>
        </w:rPr>
        <w:softHyphen/>
        <w:t>ких деталей, и в 1932 году они были облетаны специально приглашенными из Германии экипажами. В 1933-1935 годах выпустили 4 серийных бомбар</w:t>
      </w:r>
      <w:r w:rsidRPr="005E779E">
        <w:rPr>
          <w:rFonts w:ascii="Times New Roman" w:hAnsi="Times New Roman"/>
          <w:color w:val="000000" w:themeColor="text1"/>
          <w:sz w:val="16"/>
          <w:szCs w:val="16"/>
          <w:lang w:eastAsia="ru-RU" w:bidi="ru-RU"/>
        </w:rPr>
        <w:softHyphen/>
        <w:t xml:space="preserve">дировщика уже из японских деталей (правда, с немецкими моторами </w:t>
      </w:r>
      <w:r w:rsidRPr="005E779E">
        <w:rPr>
          <w:rFonts w:ascii="Times New Roman" w:hAnsi="Times New Roman"/>
          <w:color w:val="000000" w:themeColor="text1"/>
          <w:sz w:val="16"/>
          <w:szCs w:val="16"/>
          <w:lang w:val="en-US" w:bidi="en-US"/>
        </w:rPr>
        <w:t>L</w:t>
      </w:r>
      <w:r w:rsidRPr="005E779E">
        <w:rPr>
          <w:rFonts w:ascii="Times New Roman" w:hAnsi="Times New Roman"/>
          <w:color w:val="000000" w:themeColor="text1"/>
          <w:sz w:val="16"/>
          <w:szCs w:val="16"/>
          <w:lang w:bidi="en-US"/>
        </w:rPr>
        <w:t xml:space="preserve"> </w:t>
      </w:r>
      <w:r w:rsidRPr="005E779E">
        <w:rPr>
          <w:rFonts w:ascii="Times New Roman" w:hAnsi="Times New Roman"/>
          <w:color w:val="000000" w:themeColor="text1"/>
          <w:sz w:val="16"/>
          <w:szCs w:val="16"/>
          <w:lang w:eastAsia="ru-RU" w:bidi="ru-RU"/>
        </w:rPr>
        <w:t xml:space="preserve">88, которые позже были заменены на </w:t>
      </w:r>
      <w:r w:rsidRPr="005E779E">
        <w:rPr>
          <w:rFonts w:ascii="Times New Roman" w:hAnsi="Times New Roman"/>
          <w:color w:val="000000" w:themeColor="text1"/>
          <w:sz w:val="16"/>
          <w:szCs w:val="16"/>
          <w:lang w:val="en-US" w:bidi="en-US"/>
        </w:rPr>
        <w:t>Jumo</w:t>
      </w:r>
      <w:r w:rsidRPr="005E779E">
        <w:rPr>
          <w:rFonts w:ascii="Times New Roman" w:hAnsi="Times New Roman"/>
          <w:color w:val="000000" w:themeColor="text1"/>
          <w:sz w:val="16"/>
          <w:szCs w:val="16"/>
          <w:lang w:bidi="en-US"/>
        </w:rPr>
        <w:t xml:space="preserve"> </w:t>
      </w:r>
      <w:r w:rsidRPr="005E779E">
        <w:rPr>
          <w:rFonts w:ascii="Times New Roman" w:hAnsi="Times New Roman"/>
          <w:color w:val="000000" w:themeColor="text1"/>
          <w:sz w:val="16"/>
          <w:szCs w:val="16"/>
          <w:lang w:eastAsia="ru-RU" w:bidi="ru-RU"/>
        </w:rPr>
        <w:t>204, лишь на одном потом поставили японские двигатели Кавасаки На.9). В ВВС эти самолеты служили под на</w:t>
      </w:r>
      <w:r w:rsidRPr="005E779E">
        <w:rPr>
          <w:rFonts w:ascii="Times New Roman" w:hAnsi="Times New Roman"/>
          <w:color w:val="000000" w:themeColor="text1"/>
          <w:sz w:val="16"/>
          <w:szCs w:val="16"/>
          <w:lang w:eastAsia="ru-RU" w:bidi="ru-RU"/>
        </w:rPr>
        <w:softHyphen/>
        <w:t xml:space="preserve">именованием </w:t>
      </w:r>
      <w:r w:rsidRPr="005E779E">
        <w:rPr>
          <w:rFonts w:ascii="Times New Roman" w:hAnsi="Times New Roman"/>
          <w:color w:val="000000" w:themeColor="text1"/>
          <w:sz w:val="16"/>
          <w:szCs w:val="16"/>
          <w:lang w:val="en-US" w:bidi="en-US"/>
        </w:rPr>
        <w:t>Ki</w:t>
      </w:r>
      <w:r w:rsidRPr="005E779E">
        <w:rPr>
          <w:rFonts w:ascii="Times New Roman" w:hAnsi="Times New Roman"/>
          <w:color w:val="000000" w:themeColor="text1"/>
          <w:sz w:val="16"/>
          <w:szCs w:val="16"/>
          <w:lang w:bidi="en-US"/>
        </w:rPr>
        <w:t xml:space="preserve">. </w:t>
      </w:r>
      <w:r w:rsidRPr="005E779E">
        <w:rPr>
          <w:rFonts w:ascii="Times New Roman" w:hAnsi="Times New Roman"/>
          <w:color w:val="000000" w:themeColor="text1"/>
          <w:sz w:val="16"/>
          <w:szCs w:val="16"/>
          <w:lang w:eastAsia="ru-RU" w:bidi="ru-RU"/>
        </w:rPr>
        <w:t>20 (армейский тип «92» тяжелый бомбардировщик). Само</w:t>
      </w:r>
      <w:r w:rsidRPr="005E779E">
        <w:rPr>
          <w:rFonts w:ascii="Times New Roman" w:hAnsi="Times New Roman"/>
          <w:color w:val="000000" w:themeColor="text1"/>
          <w:sz w:val="16"/>
          <w:szCs w:val="16"/>
          <w:lang w:eastAsia="ru-RU" w:bidi="ru-RU"/>
        </w:rPr>
        <w:softHyphen/>
        <w:t>лет имел неплохую дальность, и с его помощью командование Императорской Армии Японии планировало бомбарди</w:t>
      </w:r>
      <w:r w:rsidRPr="005E779E">
        <w:rPr>
          <w:rFonts w:ascii="Times New Roman" w:hAnsi="Times New Roman"/>
          <w:color w:val="000000" w:themeColor="text1"/>
          <w:sz w:val="16"/>
          <w:szCs w:val="16"/>
          <w:lang w:eastAsia="ru-RU" w:bidi="ru-RU"/>
        </w:rPr>
        <w:softHyphen/>
        <w:t xml:space="preserve">ровать удаленные цели, например, порт Манилу на Филиппинах или заводы в Сибири. Однако фактически </w:t>
      </w:r>
      <w:r w:rsidRPr="005E779E">
        <w:rPr>
          <w:rFonts w:ascii="Times New Roman" w:hAnsi="Times New Roman"/>
          <w:color w:val="000000" w:themeColor="text1"/>
          <w:sz w:val="16"/>
          <w:szCs w:val="16"/>
          <w:lang w:val="en-US" w:bidi="en-US"/>
        </w:rPr>
        <w:t>Ki</w:t>
      </w:r>
      <w:r w:rsidRPr="005E779E">
        <w:rPr>
          <w:rFonts w:ascii="Times New Roman" w:hAnsi="Times New Roman"/>
          <w:color w:val="000000" w:themeColor="text1"/>
          <w:sz w:val="16"/>
          <w:szCs w:val="16"/>
          <w:lang w:bidi="en-US"/>
        </w:rPr>
        <w:t xml:space="preserve">. </w:t>
      </w:r>
      <w:r w:rsidRPr="005E779E">
        <w:rPr>
          <w:rFonts w:ascii="Times New Roman" w:hAnsi="Times New Roman"/>
          <w:color w:val="000000" w:themeColor="text1"/>
          <w:sz w:val="16"/>
          <w:szCs w:val="16"/>
          <w:lang w:eastAsia="ru-RU" w:bidi="ru-RU"/>
        </w:rPr>
        <w:t>20 вы</w:t>
      </w:r>
      <w:r w:rsidRPr="005E779E">
        <w:rPr>
          <w:rFonts w:ascii="Times New Roman" w:hAnsi="Times New Roman"/>
          <w:color w:val="000000" w:themeColor="text1"/>
          <w:sz w:val="16"/>
          <w:szCs w:val="16"/>
          <w:lang w:eastAsia="ru-RU" w:bidi="ru-RU"/>
        </w:rPr>
        <w:softHyphen/>
        <w:t>полняли роль транспортников, дослу</w:t>
      </w:r>
      <w:r w:rsidRPr="005E779E">
        <w:rPr>
          <w:rFonts w:ascii="Times New Roman" w:hAnsi="Times New Roman"/>
          <w:color w:val="000000" w:themeColor="text1"/>
          <w:sz w:val="16"/>
          <w:szCs w:val="16"/>
          <w:lang w:eastAsia="ru-RU" w:bidi="ru-RU"/>
        </w:rPr>
        <w:softHyphen/>
        <w:t xml:space="preserve">жив до середины II мировой войны. Один такой самолет сейчас находится </w:t>
      </w:r>
      <w:r w:rsidRPr="005E779E">
        <w:rPr>
          <w:rFonts w:ascii="Times New Roman" w:hAnsi="Times New Roman"/>
          <w:color w:val="000000" w:themeColor="text1"/>
          <w:sz w:val="16"/>
          <w:szCs w:val="16"/>
          <w:lang w:val="en-US" w:bidi="en-US"/>
        </w:rPr>
        <w:t>fl</w:t>
      </w:r>
      <w:r w:rsidRPr="005E779E">
        <w:rPr>
          <w:rFonts w:ascii="Times New Roman" w:hAnsi="Times New Roman"/>
          <w:color w:val="000000" w:themeColor="text1"/>
          <w:sz w:val="16"/>
          <w:szCs w:val="16"/>
          <w:lang w:bidi="en-US"/>
        </w:rPr>
        <w:t xml:space="preserve"> </w:t>
      </w:r>
      <w:r w:rsidRPr="005E779E">
        <w:rPr>
          <w:rFonts w:ascii="Times New Roman" w:hAnsi="Times New Roman"/>
          <w:color w:val="000000" w:themeColor="text1"/>
          <w:sz w:val="16"/>
          <w:szCs w:val="16"/>
          <w:lang w:eastAsia="ru-RU" w:bidi="ru-RU"/>
        </w:rPr>
        <w:t xml:space="preserve">музее ВВС Японии </w:t>
      </w:r>
      <w:r w:rsidRPr="005E779E">
        <w:rPr>
          <w:rFonts w:ascii="Times New Roman" w:hAnsi="Times New Roman"/>
          <w:color w:val="000000" w:themeColor="text1"/>
          <w:sz w:val="16"/>
          <w:szCs w:val="16"/>
        </w:rPr>
        <w:t>(22802).</w:t>
      </w:r>
    </w:p>
    <w:p w14:paraId="1F9E80D5" w14:textId="77777777" w:rsidR="002C0192" w:rsidRPr="005E779E" w:rsidRDefault="002C0192" w:rsidP="000B7A6C">
      <w:pPr>
        <w:spacing w:after="0" w:line="240" w:lineRule="auto"/>
        <w:jc w:val="both"/>
        <w:rPr>
          <w:rFonts w:ascii="Times New Roman" w:hAnsi="Times New Roman"/>
          <w:color w:val="000000" w:themeColor="text1"/>
          <w:sz w:val="16"/>
          <w:szCs w:val="16"/>
        </w:rPr>
      </w:pPr>
    </w:p>
    <w:p w14:paraId="0FDCE2B1"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Летом 1931 г. фирма Юнкерс организовала в рекламных целях перелет прототипа Ju-52 по странам Восточной Европы (24200).</w:t>
      </w:r>
    </w:p>
    <w:p w14:paraId="27F147F1" w14:textId="77777777" w:rsidR="000B7ADA" w:rsidRPr="005E779E" w:rsidRDefault="000B7ADA" w:rsidP="000B7A6C">
      <w:pPr>
        <w:spacing w:after="0" w:line="240" w:lineRule="auto"/>
        <w:jc w:val="both"/>
        <w:rPr>
          <w:rFonts w:ascii="Times New Roman" w:hAnsi="Times New Roman"/>
          <w:color w:val="000000" w:themeColor="text1"/>
          <w:sz w:val="16"/>
          <w:szCs w:val="16"/>
        </w:rPr>
      </w:pPr>
    </w:p>
    <w:p w14:paraId="568099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Летом 1931 на самолете с треугольным крылом А.Липпиша была достигнута скорость 145 км/час и машина могла выполнять высший пилотаж, включая штопор. Хотели сделать двухмоторный почтовый и большой пассажирский самолеты с тандемным расположением двигателей (3973,19).</w:t>
      </w:r>
    </w:p>
    <w:p w14:paraId="1E916A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BB594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Летом 1931 г. француженка Бастье вылетела из Парижа в направлении на восток на моноплане "Клемм" с двигателем мощностью 40 л.с. 29 июня, преодолев за 30 часов без посадки 2976 км, она приземлилась на полевой площадке у села Урино под Нижним Новгородом. Полученный результат соответствовал мировому рекорду дальности полета для женщин (он продержался около года). При возвращении на родину 4 июля 1931 г. Мариза совершила посадку на Центральном аэродроме Москвы, где была встречена тепло и радушно. Еще одно посещение французской летчицей Советского Союза произошло в 1937 г. На моноплане Кодрон "Симун" Мариза Бастье вдвоем с Сюзанной Телье предприняла скоростной дальний перелет с промежуточными посадками по маршруту Париж-Москва-Казань-Омск-Иркутск (11947).</w:t>
      </w:r>
    </w:p>
    <w:p w14:paraId="100870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EDFF03D" w14:textId="77777777" w:rsidR="003562F3" w:rsidRPr="005E779E" w:rsidRDefault="003562F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Летом 1931 года Жозеф Ле Бри (</w:t>
      </w:r>
      <w:r w:rsidRPr="005E779E">
        <w:rPr>
          <w:rFonts w:ascii="Times New Roman" w:hAnsi="Times New Roman"/>
          <w:color w:val="000000" w:themeColor="text1"/>
          <w:sz w:val="16"/>
          <w:szCs w:val="16"/>
          <w:lang w:val="en-US"/>
        </w:rPr>
        <w:t>J</w:t>
      </w:r>
      <w:r w:rsidRPr="005E779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lang w:val="en-US"/>
        </w:rPr>
        <w:t>LeBrix</w:t>
      </w:r>
      <w:r w:rsidRPr="005E779E">
        <w:rPr>
          <w:rFonts w:ascii="Times New Roman" w:hAnsi="Times New Roman"/>
          <w:color w:val="000000" w:themeColor="text1"/>
          <w:sz w:val="16"/>
          <w:szCs w:val="16"/>
        </w:rPr>
        <w:t xml:space="preserve">) и Марсель Доре (М. </w:t>
      </w:r>
      <w:r w:rsidRPr="005E779E">
        <w:rPr>
          <w:rFonts w:ascii="Times New Roman" w:hAnsi="Times New Roman"/>
          <w:color w:val="000000" w:themeColor="text1"/>
          <w:sz w:val="16"/>
          <w:szCs w:val="16"/>
          <w:lang w:val="en-US"/>
        </w:rPr>
        <w:t>Deret</w:t>
      </w:r>
      <w:r w:rsidRPr="005E779E">
        <w:rPr>
          <w:rFonts w:ascii="Times New Roman" w:hAnsi="Times New Roman"/>
          <w:color w:val="000000" w:themeColor="text1"/>
          <w:sz w:val="16"/>
          <w:szCs w:val="16"/>
        </w:rPr>
        <w:t>) на само</w:t>
      </w:r>
      <w:r w:rsidRPr="005E779E">
        <w:rPr>
          <w:rFonts w:ascii="Times New Roman" w:hAnsi="Times New Roman"/>
          <w:color w:val="000000" w:themeColor="text1"/>
          <w:sz w:val="16"/>
          <w:szCs w:val="16"/>
        </w:rPr>
        <w:softHyphen/>
        <w:t>лете «Девуатин» (</w:t>
      </w:r>
      <w:r w:rsidRPr="005E779E">
        <w:rPr>
          <w:rFonts w:ascii="Times New Roman" w:hAnsi="Times New Roman"/>
          <w:color w:val="000000" w:themeColor="text1"/>
          <w:sz w:val="16"/>
          <w:szCs w:val="16"/>
          <w:lang w:val="en-US"/>
        </w:rPr>
        <w:t>Dewoitine</w:t>
      </w:r>
      <w:r w:rsidRPr="005E779E">
        <w:rPr>
          <w:rFonts w:ascii="Times New Roman" w:hAnsi="Times New Roman"/>
          <w:color w:val="000000" w:themeColor="text1"/>
          <w:sz w:val="16"/>
          <w:szCs w:val="16"/>
        </w:rPr>
        <w:t xml:space="preserve">) пролетели по прямой 10 371,051 км, установи» новый мировой рекорд. Но рекордная гонка на этом не прекратилась. В надежде на успех, французы решились на смелый шаг. Полу- чин разрешение правительства Советского Союза, в июле начался перелет через всю территорию СССР на Дальний Восток на самолете </w:t>
      </w:r>
      <w:r w:rsidRPr="005E779E">
        <w:rPr>
          <w:rFonts w:ascii="Times New Roman" w:hAnsi="Times New Roman"/>
          <w:color w:val="000000" w:themeColor="text1"/>
          <w:sz w:val="16"/>
          <w:szCs w:val="16"/>
          <w:lang w:val="en-US"/>
        </w:rPr>
        <w:t>D</w:t>
      </w:r>
      <w:r w:rsidRPr="005E779E">
        <w:rPr>
          <w:rFonts w:ascii="Times New Roman" w:hAnsi="Times New Roman"/>
          <w:color w:val="000000" w:themeColor="text1"/>
          <w:sz w:val="16"/>
          <w:szCs w:val="16"/>
        </w:rPr>
        <w:t>-33 «Тред-Юнион». Риск был огромный, но, видимо, эйфория от преды</w:t>
      </w:r>
      <w:r w:rsidRPr="005E779E">
        <w:rPr>
          <w:rFonts w:ascii="Times New Roman" w:hAnsi="Times New Roman"/>
          <w:color w:val="000000" w:themeColor="text1"/>
          <w:sz w:val="16"/>
          <w:szCs w:val="16"/>
        </w:rPr>
        <w:softHyphen/>
        <w:t>дущей победы ослепила пилотов и органи</w:t>
      </w:r>
      <w:r w:rsidRPr="005E779E">
        <w:rPr>
          <w:rFonts w:ascii="Times New Roman" w:hAnsi="Times New Roman"/>
          <w:color w:val="000000" w:themeColor="text1"/>
          <w:sz w:val="16"/>
          <w:szCs w:val="16"/>
        </w:rPr>
        <w:softHyphen/>
        <w:t>заторов этой акции.</w:t>
      </w:r>
    </w:p>
    <w:p w14:paraId="60100EFA" w14:textId="77777777" w:rsidR="003562F3" w:rsidRPr="005E779E" w:rsidRDefault="003562F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Если в Европе в случае аварии мож</w:t>
      </w:r>
      <w:r w:rsidRPr="005E779E">
        <w:rPr>
          <w:rFonts w:ascii="Times New Roman" w:hAnsi="Times New Roman"/>
          <w:color w:val="000000" w:themeColor="text1"/>
          <w:sz w:val="16"/>
          <w:szCs w:val="16"/>
        </w:rPr>
        <w:softHyphen/>
        <w:t>но было выбрать более или менее подхо</w:t>
      </w:r>
      <w:r w:rsidRPr="005E779E">
        <w:rPr>
          <w:rFonts w:ascii="Times New Roman" w:hAnsi="Times New Roman"/>
          <w:color w:val="000000" w:themeColor="text1"/>
          <w:sz w:val="16"/>
          <w:szCs w:val="16"/>
        </w:rPr>
        <w:softHyphen/>
        <w:t>дящую площадку п совершить благопо</w:t>
      </w:r>
      <w:r w:rsidRPr="005E779E">
        <w:rPr>
          <w:rFonts w:ascii="Times New Roman" w:hAnsi="Times New Roman"/>
          <w:color w:val="000000" w:themeColor="text1"/>
          <w:sz w:val="16"/>
          <w:szCs w:val="16"/>
        </w:rPr>
        <w:softHyphen/>
        <w:t>лучную посадку, то за Уралом об этом не стоило и думать. Огромные не освоенные пространства давали мало шансов уцелеть в экстремальных условиях. Но французам в первом полете повезло. В ночь с 12 на 13 июля (по сведениям из французской прес</w:t>
      </w:r>
      <w:r w:rsidRPr="005E779E">
        <w:rPr>
          <w:rFonts w:ascii="Times New Roman" w:hAnsi="Times New Roman"/>
          <w:color w:val="000000" w:themeColor="text1"/>
          <w:sz w:val="16"/>
          <w:szCs w:val="16"/>
        </w:rPr>
        <w:softHyphen/>
        <w:t>сы) на «Тред-Юнионе» отказал двигатель. Машина была разбита, но экипаж в соста</w:t>
      </w:r>
      <w:r w:rsidRPr="005E779E">
        <w:rPr>
          <w:rFonts w:ascii="Times New Roman" w:hAnsi="Times New Roman"/>
          <w:color w:val="000000" w:themeColor="text1"/>
          <w:sz w:val="16"/>
          <w:szCs w:val="16"/>
        </w:rPr>
        <w:softHyphen/>
        <w:t>ве в составе Доре, Ле Бри и механика Мес- мена остался цел.</w:t>
      </w:r>
    </w:p>
    <w:p w14:paraId="631B7D36" w14:textId="77777777" w:rsidR="003562F3" w:rsidRPr="005E779E" w:rsidRDefault="003562F3" w:rsidP="000B7A6C">
      <w:pPr>
        <w:pStyle w:val="113"/>
        <w:shd w:val="clear" w:color="auto" w:fill="auto"/>
        <w:spacing w:line="240" w:lineRule="auto"/>
        <w:jc w:val="both"/>
        <w:rPr>
          <w:rFonts w:ascii="Times New Roman" w:hAnsi="Times New Roman" w:cs="Times New Roman"/>
          <w:b w:val="0"/>
          <w:color w:val="000000" w:themeColor="text1"/>
          <w:sz w:val="16"/>
          <w:szCs w:val="16"/>
        </w:rPr>
      </w:pPr>
      <w:r w:rsidRPr="005E779E">
        <w:rPr>
          <w:rStyle w:val="114"/>
          <w:rFonts w:eastAsia="Calibri"/>
          <w:b w:val="0"/>
          <w:i w:val="0"/>
          <w:color w:val="000000" w:themeColor="text1"/>
          <w:sz w:val="16"/>
          <w:szCs w:val="16"/>
        </w:rPr>
        <w:t>Как следует из документов, хранящих</w:t>
      </w:r>
      <w:r w:rsidRPr="005E779E">
        <w:rPr>
          <w:rStyle w:val="114"/>
          <w:rFonts w:eastAsia="Calibri"/>
          <w:b w:val="0"/>
          <w:i w:val="0"/>
          <w:color w:val="000000" w:themeColor="text1"/>
          <w:sz w:val="16"/>
          <w:szCs w:val="16"/>
        </w:rPr>
        <w:softHyphen/>
        <w:t>ся в российских архивах, в частности, из телеграммы, отправленной начальнику Главного управления гражданского воз</w:t>
      </w:r>
      <w:r w:rsidRPr="005E779E">
        <w:rPr>
          <w:rStyle w:val="114"/>
          <w:rFonts w:eastAsia="Calibri"/>
          <w:b w:val="0"/>
          <w:i w:val="0"/>
          <w:color w:val="000000" w:themeColor="text1"/>
          <w:sz w:val="16"/>
          <w:szCs w:val="16"/>
        </w:rPr>
        <w:softHyphen/>
        <w:t>душного флота.Яну Анвельту:</w:t>
      </w:r>
      <w:r w:rsidRPr="005E779E">
        <w:rPr>
          <w:rFonts w:ascii="Times New Roman" w:hAnsi="Times New Roman" w:cs="Times New Roman"/>
          <w:b w:val="0"/>
          <w:color w:val="000000" w:themeColor="text1"/>
          <w:sz w:val="16"/>
          <w:szCs w:val="16"/>
        </w:rPr>
        <w:t xml:space="preserve"> «14 июля 1931 года в 400 км от станции (железнодо</w:t>
      </w:r>
      <w:r w:rsidRPr="005E779E">
        <w:rPr>
          <w:rFonts w:ascii="Times New Roman" w:hAnsi="Times New Roman" w:cs="Times New Roman"/>
          <w:b w:val="0"/>
          <w:color w:val="000000" w:themeColor="text1"/>
          <w:sz w:val="16"/>
          <w:szCs w:val="16"/>
        </w:rPr>
        <w:softHyphen/>
        <w:t>рожной</w:t>
      </w:r>
      <w:r w:rsidRPr="005E779E">
        <w:rPr>
          <w:rStyle w:val="119pt"/>
          <w:rFonts w:eastAsia="Calibri"/>
          <w:color w:val="000000" w:themeColor="text1"/>
          <w:sz w:val="16"/>
          <w:szCs w:val="16"/>
        </w:rPr>
        <w:t>)</w:t>
      </w:r>
      <w:r w:rsidRPr="005E779E">
        <w:rPr>
          <w:rFonts w:ascii="Times New Roman" w:hAnsi="Times New Roman" w:cs="Times New Roman"/>
          <w:b w:val="0"/>
          <w:color w:val="000000" w:themeColor="text1"/>
          <w:sz w:val="16"/>
          <w:szCs w:val="16"/>
        </w:rPr>
        <w:t xml:space="preserve"> Шабарта вследст</w:t>
      </w:r>
      <w:r w:rsidRPr="005E779E">
        <w:rPr>
          <w:rFonts w:ascii="Times New Roman" w:hAnsi="Times New Roman" w:cs="Times New Roman"/>
          <w:b w:val="0"/>
          <w:color w:val="000000" w:themeColor="text1"/>
          <w:sz w:val="16"/>
          <w:szCs w:val="16"/>
        </w:rPr>
        <w:softHyphen/>
        <w:t>вие остановки мотора в воздухе потерпел аварию французский самолет, летевший из Парижа на восток. При посадке мотор ото</w:t>
      </w:r>
      <w:r w:rsidRPr="005E779E">
        <w:rPr>
          <w:rFonts w:ascii="Times New Roman" w:hAnsi="Times New Roman" w:cs="Times New Roman"/>
          <w:b w:val="0"/>
          <w:color w:val="000000" w:themeColor="text1"/>
          <w:sz w:val="16"/>
          <w:szCs w:val="16"/>
        </w:rPr>
        <w:softHyphen/>
        <w:t>рвался, плоскости повреждены, фюзеляж и оперение целы. Часть приборов, мотор и ин</w:t>
      </w:r>
      <w:r w:rsidRPr="005E779E">
        <w:rPr>
          <w:rFonts w:ascii="Times New Roman" w:hAnsi="Times New Roman" w:cs="Times New Roman"/>
          <w:b w:val="0"/>
          <w:color w:val="000000" w:themeColor="text1"/>
          <w:sz w:val="16"/>
          <w:szCs w:val="16"/>
        </w:rPr>
        <w:softHyphen/>
        <w:t>струменты, уезжая, французы забрали. Со</w:t>
      </w:r>
      <w:r w:rsidRPr="005E779E">
        <w:rPr>
          <w:rFonts w:ascii="Times New Roman" w:hAnsi="Times New Roman" w:cs="Times New Roman"/>
          <w:b w:val="0"/>
          <w:color w:val="000000" w:themeColor="text1"/>
          <w:sz w:val="16"/>
          <w:szCs w:val="16"/>
        </w:rPr>
        <w:softHyphen/>
        <w:t>гласно телеграммы начальника станции Нижне-Удинск, самолет оставлен там. Про</w:t>
      </w:r>
      <w:r w:rsidRPr="005E779E">
        <w:rPr>
          <w:rFonts w:ascii="Times New Roman" w:hAnsi="Times New Roman" w:cs="Times New Roman"/>
          <w:b w:val="0"/>
          <w:color w:val="000000" w:themeColor="text1"/>
          <w:sz w:val="16"/>
          <w:szCs w:val="16"/>
        </w:rPr>
        <w:softHyphen/>
        <w:t>шу Вашего разрешения о возможной перевоз</w:t>
      </w:r>
      <w:r w:rsidRPr="005E779E">
        <w:rPr>
          <w:rFonts w:ascii="Times New Roman" w:hAnsi="Times New Roman" w:cs="Times New Roman"/>
          <w:b w:val="0"/>
          <w:color w:val="000000" w:themeColor="text1"/>
          <w:sz w:val="16"/>
          <w:szCs w:val="16"/>
        </w:rPr>
        <w:softHyphen/>
        <w:t>ке самолета в Иркутск для осмотра и озна</w:t>
      </w:r>
      <w:r w:rsidRPr="005E779E">
        <w:rPr>
          <w:rFonts w:ascii="Times New Roman" w:hAnsi="Times New Roman" w:cs="Times New Roman"/>
          <w:b w:val="0"/>
          <w:color w:val="000000" w:themeColor="text1"/>
          <w:sz w:val="16"/>
          <w:szCs w:val="16"/>
        </w:rPr>
        <w:softHyphen/>
        <w:t>комления с конструкцией инженерно-тех</w:t>
      </w:r>
      <w:r w:rsidRPr="005E779E">
        <w:rPr>
          <w:rFonts w:ascii="Times New Roman" w:hAnsi="Times New Roman" w:cs="Times New Roman"/>
          <w:b w:val="0"/>
          <w:color w:val="000000" w:themeColor="text1"/>
          <w:sz w:val="16"/>
          <w:szCs w:val="16"/>
        </w:rPr>
        <w:softHyphen/>
        <w:t>нического состава. Если самолет остав</w:t>
      </w:r>
      <w:r w:rsidRPr="005E779E">
        <w:rPr>
          <w:rFonts w:ascii="Times New Roman" w:hAnsi="Times New Roman" w:cs="Times New Roman"/>
          <w:b w:val="0"/>
          <w:color w:val="000000" w:themeColor="text1"/>
          <w:sz w:val="16"/>
          <w:szCs w:val="16"/>
        </w:rPr>
        <w:softHyphen/>
        <w:t>лен — брошен вообще, оставили его нам, т.е. восточно-сибирскому управлению</w:t>
      </w:r>
      <w:r w:rsidRPr="005E779E">
        <w:rPr>
          <w:rStyle w:val="114"/>
          <w:rFonts w:eastAsia="Calibri"/>
          <w:b w:val="0"/>
          <w:i w:val="0"/>
          <w:color w:val="000000" w:themeColor="text1"/>
          <w:sz w:val="16"/>
          <w:szCs w:val="16"/>
        </w:rPr>
        <w:t xml:space="preserve"> (ГВФ</w:t>
      </w:r>
      <w:r w:rsidRPr="005E779E">
        <w:rPr>
          <w:rStyle w:val="115"/>
          <w:rFonts w:eastAsia="Calibri"/>
          <w:i w:val="0"/>
          <w:color w:val="000000" w:themeColor="text1"/>
          <w:sz w:val="16"/>
          <w:szCs w:val="16"/>
        </w:rPr>
        <w:t>)</w:t>
      </w:r>
      <w:r w:rsidRPr="005E779E">
        <w:rPr>
          <w:rFonts w:ascii="Times New Roman" w:hAnsi="Times New Roman" w:cs="Times New Roman"/>
          <w:b w:val="0"/>
          <w:color w:val="000000" w:themeColor="text1"/>
          <w:sz w:val="16"/>
          <w:szCs w:val="16"/>
        </w:rPr>
        <w:t xml:space="preserve"> на случай возможного ремонта в наших мастерских.»</w:t>
      </w:r>
    </w:p>
    <w:p w14:paraId="309F6C24" w14:textId="77777777" w:rsidR="003562F3" w:rsidRPr="005E779E" w:rsidRDefault="003562F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ответ Анвельт телеграммой от 8 авгу</w:t>
      </w:r>
      <w:r w:rsidRPr="005E779E">
        <w:rPr>
          <w:rFonts w:ascii="Times New Roman" w:hAnsi="Times New Roman"/>
          <w:color w:val="000000" w:themeColor="text1"/>
          <w:sz w:val="16"/>
          <w:szCs w:val="16"/>
        </w:rPr>
        <w:softHyphen/>
        <w:t>ста сообщал в Иркутск:</w:t>
      </w:r>
      <w:r w:rsidRPr="005E779E">
        <w:rPr>
          <w:rStyle w:val="aff6"/>
          <w:rFonts w:ascii="Times New Roman" w:eastAsia="Arial Unicode MS" w:hAnsi="Times New Roman" w:cs="Times New Roman"/>
          <w:i w:val="0"/>
          <w:color w:val="000000" w:themeColor="text1"/>
        </w:rPr>
        <w:t xml:space="preserve"> «...французский са</w:t>
      </w:r>
      <w:r w:rsidRPr="005E779E">
        <w:rPr>
          <w:rStyle w:val="aff6"/>
          <w:rFonts w:ascii="Times New Roman" w:eastAsia="Arial Unicode MS" w:hAnsi="Times New Roman" w:cs="Times New Roman"/>
          <w:i w:val="0"/>
          <w:color w:val="000000" w:themeColor="text1"/>
        </w:rPr>
        <w:softHyphen/>
        <w:t>молет доставьте в Москву».</w:t>
      </w:r>
    </w:p>
    <w:p w14:paraId="6F046DA7" w14:textId="77777777" w:rsidR="003562F3" w:rsidRPr="005E779E" w:rsidRDefault="003562F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Похоже, что советское правительство, не желавшее безучастно смотреть на про</w:t>
      </w:r>
      <w:r w:rsidRPr="005E779E">
        <w:rPr>
          <w:rFonts w:ascii="Times New Roman" w:hAnsi="Times New Roman"/>
          <w:color w:val="000000" w:themeColor="text1"/>
          <w:sz w:val="16"/>
          <w:szCs w:val="16"/>
        </w:rPr>
        <w:softHyphen/>
        <w:t>исходившие события, в августе 1931 го</w:t>
      </w:r>
      <w:r w:rsidRPr="005E779E">
        <w:rPr>
          <w:rFonts w:ascii="Times New Roman" w:hAnsi="Times New Roman"/>
          <w:color w:val="000000" w:themeColor="text1"/>
          <w:sz w:val="16"/>
          <w:szCs w:val="16"/>
        </w:rPr>
        <w:softHyphen/>
        <w:t xml:space="preserve">да (видимо, вскоре после ознакомления с останками </w:t>
      </w:r>
      <w:r w:rsidRPr="005E779E">
        <w:rPr>
          <w:rFonts w:ascii="Times New Roman" w:hAnsi="Times New Roman"/>
          <w:color w:val="000000" w:themeColor="text1"/>
          <w:sz w:val="16"/>
          <w:szCs w:val="16"/>
          <w:lang w:val="en-US"/>
        </w:rPr>
        <w:t>D</w:t>
      </w:r>
      <w:r w:rsidRPr="005E779E">
        <w:rPr>
          <w:rFonts w:ascii="Times New Roman" w:hAnsi="Times New Roman"/>
          <w:color w:val="000000" w:themeColor="text1"/>
          <w:sz w:val="16"/>
          <w:szCs w:val="16"/>
        </w:rPr>
        <w:t>-33) образовало при Реввоенсовете страны специальную комиссию по постройке самолета РД под руководством К.Е. Ворошилова (12725).</w:t>
      </w:r>
    </w:p>
    <w:p w14:paraId="17EF91F0" w14:textId="77777777" w:rsidR="003562F3" w:rsidRPr="005E779E" w:rsidRDefault="003562F3" w:rsidP="000B7A6C">
      <w:pPr>
        <w:spacing w:after="0" w:line="240" w:lineRule="auto"/>
        <w:jc w:val="both"/>
        <w:rPr>
          <w:rFonts w:ascii="Times New Roman" w:hAnsi="Times New Roman"/>
          <w:color w:val="000000" w:themeColor="text1"/>
          <w:sz w:val="16"/>
          <w:szCs w:val="16"/>
        </w:rPr>
      </w:pPr>
    </w:p>
    <w:p w14:paraId="5CBE57D0"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0D3BA62D"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462B7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C середины 1931 А.Н.Т. начал проектирование АНТ-22 МК (1076,890).</w:t>
      </w:r>
    </w:p>
    <w:p w14:paraId="1A1862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480F53A" w14:textId="77777777" w:rsidR="0048207C" w:rsidRPr="005E779E" w:rsidRDefault="0048207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середине 1931 г. руководство ВВС РККА вновь вернулось к рассмотрению вопроса о создании двухместного истребителя пушечного (развитие И-12), снятого с повестки дня осенью 1930 г. по предложению ЦАГИ (15823).</w:t>
      </w:r>
    </w:p>
    <w:p w14:paraId="524C7B33" w14:textId="77777777" w:rsidR="0048207C" w:rsidRPr="005E779E" w:rsidRDefault="0048207C" w:rsidP="000B7A6C">
      <w:pPr>
        <w:spacing w:after="0" w:line="240" w:lineRule="auto"/>
        <w:jc w:val="both"/>
        <w:rPr>
          <w:rFonts w:ascii="Times New Roman" w:hAnsi="Times New Roman"/>
          <w:color w:val="000000" w:themeColor="text1"/>
          <w:sz w:val="16"/>
          <w:szCs w:val="16"/>
        </w:rPr>
      </w:pPr>
    </w:p>
    <w:p w14:paraId="6AF08D70" w14:textId="77777777" w:rsidR="009A598B" w:rsidRPr="005E779E" w:rsidRDefault="009A598B" w:rsidP="009A598B">
      <w:pPr>
        <w:pStyle w:val="ae"/>
        <w:shd w:val="clear" w:color="auto" w:fill="FFFFFF"/>
        <w:spacing w:before="0" w:after="0"/>
        <w:jc w:val="both"/>
        <w:textAlignment w:val="baseline"/>
        <w:rPr>
          <w:color w:val="000000" w:themeColor="text1"/>
          <w:sz w:val="16"/>
          <w:szCs w:val="16"/>
        </w:rPr>
      </w:pPr>
      <w:r w:rsidRPr="005E779E">
        <w:rPr>
          <w:color w:val="000000" w:themeColor="text1"/>
          <w:sz w:val="16"/>
          <w:szCs w:val="16"/>
        </w:rPr>
        <w:t>В середине 1931 года руководство ВВС РККА вновь вернулось к рассмотрению вопроса о создании двухместного истребителя пушечного (развитие И-12), снятого с повестки дня осенью 1930 года по предложению ЦАГИ (19175).</w:t>
      </w:r>
    </w:p>
    <w:p w14:paraId="296EF06F" w14:textId="77777777" w:rsidR="009A598B" w:rsidRPr="005E779E" w:rsidRDefault="009A598B" w:rsidP="009A598B">
      <w:pPr>
        <w:pStyle w:val="ae"/>
        <w:shd w:val="clear" w:color="auto" w:fill="FFFFFF"/>
        <w:spacing w:before="0" w:after="0"/>
        <w:jc w:val="both"/>
        <w:textAlignment w:val="baseline"/>
        <w:rPr>
          <w:color w:val="000000" w:themeColor="text1"/>
          <w:sz w:val="16"/>
          <w:szCs w:val="16"/>
        </w:rPr>
      </w:pPr>
    </w:p>
    <w:p w14:paraId="5B1F38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середине 1931 на заводе 1 Дукс сделали первый И-7 с БМВ-6 и винтом Гейне. Полетный вес был на 50 кг больше, чем у ХД-37 и составил 1730 кг. От Хейнкеля внедрению помогал и Рольц Готфрид (3202,3).</w:t>
      </w:r>
    </w:p>
    <w:p w14:paraId="57BA2E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C8B21F0" w14:textId="77777777" w:rsidR="007F6BD6" w:rsidRPr="005E779E" w:rsidRDefault="007F6BD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середине 1931 года на заводе № 1 строили два первых советских «Хейнкеля», обозначаемых теперь И-7.</w:t>
      </w:r>
    </w:p>
    <w:p w14:paraId="20A1ABA3" w14:textId="77777777" w:rsidR="007F6BD6" w:rsidRPr="005E779E" w:rsidRDefault="007F6BD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Авиазавод №39 имени Менжинского, который имел опыт изготовления подобных конструкций, нахо</w:t>
      </w:r>
      <w:r w:rsidRPr="005E779E">
        <w:rPr>
          <w:rFonts w:ascii="Times New Roman" w:hAnsi="Times New Roman"/>
          <w:color w:val="000000" w:themeColor="text1"/>
          <w:sz w:val="16"/>
          <w:szCs w:val="16"/>
        </w:rPr>
        <w:softHyphen/>
        <w:t>дился в то время не столько в ведении Авиа</w:t>
      </w:r>
      <w:r w:rsidRPr="005E779E">
        <w:rPr>
          <w:rFonts w:ascii="Times New Roman" w:hAnsi="Times New Roman"/>
          <w:color w:val="000000" w:themeColor="text1"/>
          <w:sz w:val="16"/>
          <w:szCs w:val="16"/>
        </w:rPr>
        <w:softHyphen/>
        <w:t>треста, сколько под патронажем О ГПУ. Там работала группа арестованных конструкто</w:t>
      </w:r>
      <w:r w:rsidRPr="005E779E">
        <w:rPr>
          <w:rFonts w:ascii="Times New Roman" w:hAnsi="Times New Roman"/>
          <w:color w:val="000000" w:themeColor="text1"/>
          <w:sz w:val="16"/>
          <w:szCs w:val="16"/>
        </w:rPr>
        <w:softHyphen/>
        <w:t>ров, которая как раз заканчивала постройку опытного биплана ВТ-11, ставшего впослед</w:t>
      </w:r>
      <w:r w:rsidRPr="005E779E">
        <w:rPr>
          <w:rFonts w:ascii="Times New Roman" w:hAnsi="Times New Roman"/>
          <w:color w:val="000000" w:themeColor="text1"/>
          <w:sz w:val="16"/>
          <w:szCs w:val="16"/>
        </w:rPr>
        <w:softHyphen/>
        <w:t>ствии известным истребителем И-5. Естест</w:t>
      </w:r>
      <w:r w:rsidRPr="005E779E">
        <w:rPr>
          <w:rFonts w:ascii="Times New Roman" w:hAnsi="Times New Roman"/>
          <w:color w:val="000000" w:themeColor="text1"/>
          <w:sz w:val="16"/>
          <w:szCs w:val="16"/>
        </w:rPr>
        <w:softHyphen/>
        <w:t>венно, что потеснить на заводских площа</w:t>
      </w:r>
      <w:r w:rsidRPr="005E779E">
        <w:rPr>
          <w:rFonts w:ascii="Times New Roman" w:hAnsi="Times New Roman"/>
          <w:color w:val="000000" w:themeColor="text1"/>
          <w:sz w:val="16"/>
          <w:szCs w:val="16"/>
        </w:rPr>
        <w:softHyphen/>
        <w:t>дях можно было кого угодно, но только не всесильных экспериментаторов из ОГПУ. Что касается московского завода №22, то это предприятие строило цельнометалличе</w:t>
      </w:r>
      <w:r w:rsidRPr="005E779E">
        <w:rPr>
          <w:rFonts w:ascii="Times New Roman" w:hAnsi="Times New Roman"/>
          <w:color w:val="000000" w:themeColor="text1"/>
          <w:sz w:val="16"/>
          <w:szCs w:val="16"/>
        </w:rPr>
        <w:softHyphen/>
        <w:t>ские самолеты с обшивкой из гофрирован</w:t>
      </w:r>
      <w:r w:rsidRPr="005E779E">
        <w:rPr>
          <w:rFonts w:ascii="Times New Roman" w:hAnsi="Times New Roman"/>
          <w:color w:val="000000" w:themeColor="text1"/>
          <w:sz w:val="16"/>
          <w:szCs w:val="16"/>
        </w:rPr>
        <w:softHyphen/>
        <w:t>ного дюраля и трогать эту «священную ко</w:t>
      </w:r>
      <w:r w:rsidRPr="005E779E">
        <w:rPr>
          <w:rFonts w:ascii="Times New Roman" w:hAnsi="Times New Roman"/>
          <w:color w:val="000000" w:themeColor="text1"/>
          <w:sz w:val="16"/>
          <w:szCs w:val="16"/>
        </w:rPr>
        <w:softHyphen/>
        <w:t>рову» также не представлялось возможным. Предлагаемый в качестве варианта новый авиазавод №21 в Нижнем Новгороде не был достроен, не имел ни технологических тра</w:t>
      </w:r>
      <w:r w:rsidRPr="005E779E">
        <w:rPr>
          <w:rFonts w:ascii="Times New Roman" w:hAnsi="Times New Roman"/>
          <w:color w:val="000000" w:themeColor="text1"/>
          <w:sz w:val="16"/>
          <w:szCs w:val="16"/>
        </w:rPr>
        <w:softHyphen/>
        <w:t>диций, ни обученного персонала. Что оста</w:t>
      </w:r>
      <w:r w:rsidRPr="005E779E">
        <w:rPr>
          <w:rFonts w:ascii="Times New Roman" w:hAnsi="Times New Roman"/>
          <w:color w:val="000000" w:themeColor="text1"/>
          <w:sz w:val="16"/>
          <w:szCs w:val="16"/>
        </w:rPr>
        <w:softHyphen/>
        <w:t>валось? Ну конечно авиазавод №1 имени «Авиахима», известный также как бывший «Дукс». Производство разведчиков Р-1 здесь уже сворачивалось, начиналось освоение бо</w:t>
      </w:r>
      <w:r w:rsidRPr="005E779E">
        <w:rPr>
          <w:rFonts w:ascii="Times New Roman" w:hAnsi="Times New Roman"/>
          <w:color w:val="000000" w:themeColor="text1"/>
          <w:sz w:val="16"/>
          <w:szCs w:val="16"/>
        </w:rPr>
        <w:softHyphen/>
        <w:t>лее совершенных самолетов Р-5. А еще здесь в течение уже целого года серийно строился истребитель И-3, спроектированный в ОСС ЦКБ под руководством Николая Поликар</w:t>
      </w:r>
      <w:r w:rsidRPr="005E779E">
        <w:rPr>
          <w:rFonts w:ascii="Times New Roman" w:hAnsi="Times New Roman"/>
          <w:color w:val="000000" w:themeColor="text1"/>
          <w:sz w:val="16"/>
          <w:szCs w:val="16"/>
        </w:rPr>
        <w:softHyphen/>
        <w:t>пова в 1927 г. Самолет этот был оснащен тем же двигателем ВМ\У-У1, что и НЭ-37. И-3 строился в основном из дерева, был тяжелее немецкого истребителя и, естественно, не</w:t>
      </w:r>
      <w:r w:rsidRPr="005E779E">
        <w:rPr>
          <w:rFonts w:ascii="Times New Roman" w:hAnsi="Times New Roman"/>
          <w:color w:val="000000" w:themeColor="text1"/>
          <w:sz w:val="16"/>
          <w:szCs w:val="16"/>
        </w:rPr>
        <w:softHyphen/>
        <w:t>сколько уступал ему по максимальной ско</w:t>
      </w:r>
      <w:r w:rsidRPr="005E779E">
        <w:rPr>
          <w:rFonts w:ascii="Times New Roman" w:hAnsi="Times New Roman"/>
          <w:color w:val="000000" w:themeColor="text1"/>
          <w:sz w:val="16"/>
          <w:szCs w:val="16"/>
        </w:rPr>
        <w:softHyphen/>
        <w:t>рости и скороподъемности. Разумным реше</w:t>
      </w:r>
      <w:r w:rsidRPr="005E779E">
        <w:rPr>
          <w:rFonts w:ascii="Times New Roman" w:hAnsi="Times New Roman"/>
          <w:color w:val="000000" w:themeColor="text1"/>
          <w:sz w:val="16"/>
          <w:szCs w:val="16"/>
        </w:rPr>
        <w:softHyphen/>
        <w:t>нием могло стать дальнейшее совершенство</w:t>
      </w:r>
      <w:r w:rsidRPr="005E779E">
        <w:rPr>
          <w:rFonts w:ascii="Times New Roman" w:hAnsi="Times New Roman"/>
          <w:color w:val="000000" w:themeColor="text1"/>
          <w:sz w:val="16"/>
          <w:szCs w:val="16"/>
        </w:rPr>
        <w:softHyphen/>
        <w:t>вание И-3 с целью доведения его летных ха</w:t>
      </w:r>
      <w:r w:rsidRPr="005E779E">
        <w:rPr>
          <w:rFonts w:ascii="Times New Roman" w:hAnsi="Times New Roman"/>
          <w:color w:val="000000" w:themeColor="text1"/>
          <w:sz w:val="16"/>
          <w:szCs w:val="16"/>
        </w:rPr>
        <w:softHyphen/>
        <w:t>рактеристик до требуемых показателей. Од</w:t>
      </w:r>
      <w:r w:rsidRPr="005E779E">
        <w:rPr>
          <w:rFonts w:ascii="Times New Roman" w:hAnsi="Times New Roman"/>
          <w:color w:val="000000" w:themeColor="text1"/>
          <w:sz w:val="16"/>
          <w:szCs w:val="16"/>
        </w:rPr>
        <w:softHyphen/>
        <w:t>нако автор самолета отсутствовал по причи</w:t>
      </w:r>
      <w:r w:rsidRPr="005E779E">
        <w:rPr>
          <w:rFonts w:ascii="Times New Roman" w:hAnsi="Times New Roman"/>
          <w:color w:val="000000" w:themeColor="text1"/>
          <w:sz w:val="16"/>
          <w:szCs w:val="16"/>
        </w:rPr>
        <w:softHyphen/>
        <w:t>не участия в тюремном эксперименте ОГПУ — проектировал в заключении новый истре</w:t>
      </w:r>
      <w:r w:rsidRPr="005E779E">
        <w:rPr>
          <w:rFonts w:ascii="Times New Roman" w:hAnsi="Times New Roman"/>
          <w:color w:val="000000" w:themeColor="text1"/>
          <w:sz w:val="16"/>
          <w:szCs w:val="16"/>
        </w:rPr>
        <w:softHyphen/>
        <w:t>битель ВТ-11. Все перечисленные причины и обстоятельства вполне соответствовали то</w:t>
      </w:r>
      <w:r w:rsidRPr="005E779E">
        <w:rPr>
          <w:rFonts w:ascii="Times New Roman" w:hAnsi="Times New Roman"/>
          <w:color w:val="000000" w:themeColor="text1"/>
          <w:sz w:val="16"/>
          <w:szCs w:val="16"/>
        </w:rPr>
        <w:softHyphen/>
        <w:t>му, чтобы развернуть строительство НЭ-37 на авиазаводе №1, где он со временем мог полностью заменить пресловутый И-3.</w:t>
      </w:r>
    </w:p>
    <w:p w14:paraId="75424F93" w14:textId="77777777" w:rsidR="007F6BD6" w:rsidRPr="005E779E" w:rsidRDefault="007F6BD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Сразу после принятия решения о запу</w:t>
      </w:r>
      <w:r w:rsidRPr="005E779E">
        <w:rPr>
          <w:rFonts w:ascii="Times New Roman" w:hAnsi="Times New Roman"/>
          <w:color w:val="000000" w:themeColor="text1"/>
          <w:sz w:val="16"/>
          <w:szCs w:val="16"/>
        </w:rPr>
        <w:softHyphen/>
        <w:t>ске НЭ-37 в серию, в заводском КБ нача</w:t>
      </w:r>
      <w:r w:rsidRPr="005E779E">
        <w:rPr>
          <w:rFonts w:ascii="Times New Roman" w:hAnsi="Times New Roman"/>
          <w:color w:val="000000" w:themeColor="text1"/>
          <w:sz w:val="16"/>
          <w:szCs w:val="16"/>
        </w:rPr>
        <w:softHyphen/>
        <w:t>лась переработка немецких чертежей под со</w:t>
      </w:r>
      <w:r w:rsidRPr="005E779E">
        <w:rPr>
          <w:rFonts w:ascii="Times New Roman" w:hAnsi="Times New Roman"/>
          <w:color w:val="000000" w:themeColor="text1"/>
          <w:sz w:val="16"/>
          <w:szCs w:val="16"/>
        </w:rPr>
        <w:softHyphen/>
        <w:t>ветские стандарты и материалы. От Хейнке- ля прибыл инженер Рольц Готфрид, под при</w:t>
      </w:r>
      <w:r w:rsidRPr="005E779E">
        <w:rPr>
          <w:rFonts w:ascii="Times New Roman" w:hAnsi="Times New Roman"/>
          <w:color w:val="000000" w:themeColor="text1"/>
          <w:sz w:val="16"/>
          <w:szCs w:val="16"/>
        </w:rPr>
        <w:softHyphen/>
        <w:t>смотром которого велось изготовление двух образцовых самолетов, получивших совет</w:t>
      </w:r>
      <w:r w:rsidRPr="005E779E">
        <w:rPr>
          <w:rFonts w:ascii="Times New Roman" w:hAnsi="Times New Roman"/>
          <w:color w:val="000000" w:themeColor="text1"/>
          <w:sz w:val="16"/>
          <w:szCs w:val="16"/>
        </w:rPr>
        <w:softHyphen/>
        <w:t xml:space="preserve">ское обозначение И-7. </w:t>
      </w:r>
    </w:p>
    <w:p w14:paraId="0BF39F8F" w14:textId="77777777" w:rsidR="007F6BD6" w:rsidRPr="005E779E" w:rsidRDefault="007F6BD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Самолеты бы</w:t>
      </w:r>
      <w:r w:rsidRPr="005E779E">
        <w:rPr>
          <w:rFonts w:ascii="Times New Roman" w:hAnsi="Times New Roman"/>
          <w:color w:val="000000" w:themeColor="text1"/>
          <w:sz w:val="16"/>
          <w:szCs w:val="16"/>
        </w:rPr>
        <w:softHyphen/>
        <w:t>ли оснащены двигателями ВМ\У-У1 со степе</w:t>
      </w:r>
      <w:r w:rsidRPr="005E779E">
        <w:rPr>
          <w:rFonts w:ascii="Times New Roman" w:hAnsi="Times New Roman"/>
          <w:color w:val="000000" w:themeColor="text1"/>
          <w:sz w:val="16"/>
          <w:szCs w:val="16"/>
        </w:rPr>
        <w:softHyphen/>
        <w:t>нью сжатия 7,3 и воздушными винтами «Гей</w:t>
      </w:r>
      <w:r w:rsidRPr="005E779E">
        <w:rPr>
          <w:rFonts w:ascii="Times New Roman" w:hAnsi="Times New Roman"/>
          <w:color w:val="000000" w:themeColor="text1"/>
          <w:sz w:val="16"/>
          <w:szCs w:val="16"/>
        </w:rPr>
        <w:softHyphen/>
        <w:t>не». Полетный вес первой машины составил 1730 кг, что превышало вес немецкого обра</w:t>
      </w:r>
      <w:r w:rsidRPr="005E779E">
        <w:rPr>
          <w:rFonts w:ascii="Times New Roman" w:hAnsi="Times New Roman"/>
          <w:color w:val="000000" w:themeColor="text1"/>
          <w:sz w:val="16"/>
          <w:szCs w:val="16"/>
        </w:rPr>
        <w:softHyphen/>
        <w:t>зца на 50 кг. Причиной увеличения веса ста</w:t>
      </w:r>
      <w:r w:rsidRPr="005E779E">
        <w:rPr>
          <w:rFonts w:ascii="Times New Roman" w:hAnsi="Times New Roman"/>
          <w:color w:val="000000" w:themeColor="text1"/>
          <w:sz w:val="16"/>
          <w:szCs w:val="16"/>
        </w:rPr>
        <w:softHyphen/>
        <w:t>ло использование в конструкции фюзеляжа и шасси стальных труб большего диаметра, применения в обшивке отечественного льня</w:t>
      </w:r>
      <w:r w:rsidRPr="005E779E">
        <w:rPr>
          <w:rFonts w:ascii="Times New Roman" w:hAnsi="Times New Roman"/>
          <w:color w:val="000000" w:themeColor="text1"/>
          <w:sz w:val="16"/>
          <w:szCs w:val="16"/>
        </w:rPr>
        <w:softHyphen/>
        <w:t>ного полотна, более тяжелого, чем немецкое на 35%. Прибавила веса замена канадского спруса на русскую сосну, а также использо</w:t>
      </w:r>
      <w:r w:rsidRPr="005E779E">
        <w:rPr>
          <w:rFonts w:ascii="Times New Roman" w:hAnsi="Times New Roman"/>
          <w:color w:val="000000" w:themeColor="text1"/>
          <w:sz w:val="16"/>
          <w:szCs w:val="16"/>
        </w:rPr>
        <w:softHyphen/>
        <w:t>вание авиафанеры толщиной 1,0 мм вместе 0,9 мм. Колеса фирмы «Пальмер», исполь</w:t>
      </w:r>
      <w:r w:rsidRPr="005E779E">
        <w:rPr>
          <w:rFonts w:ascii="Times New Roman" w:hAnsi="Times New Roman"/>
          <w:color w:val="000000" w:themeColor="text1"/>
          <w:sz w:val="16"/>
          <w:szCs w:val="16"/>
        </w:rPr>
        <w:softHyphen/>
        <w:t>зуемые в НО-37, заменили советскими стан</w:t>
      </w:r>
      <w:r w:rsidRPr="005E779E">
        <w:rPr>
          <w:rFonts w:ascii="Times New Roman" w:hAnsi="Times New Roman"/>
          <w:color w:val="000000" w:themeColor="text1"/>
          <w:sz w:val="16"/>
          <w:szCs w:val="16"/>
        </w:rPr>
        <w:softHyphen/>
        <w:t>дартными колесами размером 750x125 мм (12295).</w:t>
      </w:r>
    </w:p>
    <w:p w14:paraId="1C3CECD2" w14:textId="77777777" w:rsidR="007F6BD6" w:rsidRPr="005E779E" w:rsidRDefault="007F6BD6" w:rsidP="000B7A6C">
      <w:pPr>
        <w:spacing w:after="0" w:line="240" w:lineRule="auto"/>
        <w:jc w:val="both"/>
        <w:rPr>
          <w:rFonts w:ascii="Times New Roman" w:hAnsi="Times New Roman"/>
          <w:color w:val="000000" w:themeColor="text1"/>
          <w:sz w:val="16"/>
          <w:szCs w:val="16"/>
        </w:rPr>
      </w:pPr>
    </w:p>
    <w:p w14:paraId="45D204C7"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середине 1931 г. первые два самолета И-7 заводом №1 закончены и сданы на заводские испытания – один на летные и один на статические прочностные. С начала работ прошло более года.</w:t>
      </w:r>
    </w:p>
    <w:p w14:paraId="250E2C0C"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Взвешивание показало, что масса заправленного и снаряженного головного самолета 1729 кг – на 51 кг или на 3% больше эталонного ХД-37 №292, что было по верхнему пределу технического допуска, и на 29 кг больше предела по ТТТ (на 1,7%).</w:t>
      </w:r>
    </w:p>
    <w:p w14:paraId="2BBCA0ED"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Предназначенный для статических прочностных испытаний самолет И-7, по-видимому, не укомплектовывался двигателем, воздушным винтом, вооружением и др. покупными изделиями. Вопреки утверждениям Поликарпова, самолет выдержал их успешно и без поломок, после чего был поставлен на хранение как резервный (24331).</w:t>
      </w:r>
    </w:p>
    <w:p w14:paraId="7E767265" w14:textId="77777777" w:rsidR="000B7ADA" w:rsidRPr="005E779E" w:rsidRDefault="000B7ADA" w:rsidP="000B7A6C">
      <w:pPr>
        <w:spacing w:after="0" w:line="240" w:lineRule="auto"/>
        <w:jc w:val="both"/>
        <w:rPr>
          <w:rFonts w:ascii="Times New Roman" w:hAnsi="Times New Roman"/>
          <w:color w:val="000000" w:themeColor="text1"/>
          <w:sz w:val="16"/>
          <w:szCs w:val="16"/>
        </w:rPr>
      </w:pPr>
    </w:p>
    <w:p w14:paraId="6855ECC8" w14:textId="77777777" w:rsidR="007F6BD6" w:rsidRPr="005E779E" w:rsidRDefault="007F6BD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середине 1931 г. изготовили цельнометаллические поплав</w:t>
      </w:r>
      <w:r w:rsidRPr="005E779E">
        <w:rPr>
          <w:rFonts w:ascii="Times New Roman" w:hAnsi="Times New Roman"/>
          <w:color w:val="000000" w:themeColor="text1"/>
          <w:sz w:val="16"/>
          <w:szCs w:val="16"/>
        </w:rPr>
        <w:softHyphen/>
        <w:t>ки лля И-4 на основе англий</w:t>
      </w:r>
      <w:r w:rsidRPr="005E779E">
        <w:rPr>
          <w:rFonts w:ascii="Times New Roman" w:hAnsi="Times New Roman"/>
          <w:color w:val="000000" w:themeColor="text1"/>
          <w:sz w:val="16"/>
          <w:szCs w:val="16"/>
        </w:rPr>
        <w:softHyphen/>
        <w:t>ских образцов со следующими размерами: длина 6,415 м, ширина 770 мм, высота 673 мм, длина носо</w:t>
      </w:r>
      <w:r w:rsidRPr="005E779E">
        <w:rPr>
          <w:rFonts w:ascii="Times New Roman" w:hAnsi="Times New Roman"/>
          <w:color w:val="000000" w:themeColor="text1"/>
          <w:sz w:val="16"/>
          <w:szCs w:val="16"/>
        </w:rPr>
        <w:softHyphen/>
        <w:t>вой части до редана 3,365 м. Поначалу пред</w:t>
      </w:r>
      <w:r w:rsidRPr="005E779E">
        <w:rPr>
          <w:rFonts w:ascii="Times New Roman" w:hAnsi="Times New Roman"/>
          <w:color w:val="000000" w:themeColor="text1"/>
          <w:sz w:val="16"/>
          <w:szCs w:val="16"/>
        </w:rPr>
        <w:softHyphen/>
        <w:t>лагалось установить на эти поплавки один из истребителей 29-й эскадрильи, базирующей</w:t>
      </w:r>
      <w:r w:rsidRPr="005E779E">
        <w:rPr>
          <w:rFonts w:ascii="Times New Roman" w:hAnsi="Times New Roman"/>
          <w:color w:val="000000" w:themeColor="text1"/>
          <w:sz w:val="16"/>
          <w:szCs w:val="16"/>
        </w:rPr>
        <w:softHyphen/>
        <w:t>ся в Евпатории. Однако в ЦАГИ использова</w:t>
      </w:r>
      <w:r w:rsidRPr="005E779E">
        <w:rPr>
          <w:rFonts w:ascii="Times New Roman" w:hAnsi="Times New Roman"/>
          <w:color w:val="000000" w:themeColor="text1"/>
          <w:sz w:val="16"/>
          <w:szCs w:val="16"/>
        </w:rPr>
        <w:softHyphen/>
        <w:t>ли один из серийных самолетов, полученных из НИИ ВВС. Согласно документам АГОС ЦАГИ оборудование поплавками должно было закончиться до 10 июля 1931 года. Од</w:t>
      </w:r>
      <w:r w:rsidRPr="005E779E">
        <w:rPr>
          <w:rFonts w:ascii="Times New Roman" w:hAnsi="Times New Roman"/>
          <w:color w:val="000000" w:themeColor="text1"/>
          <w:sz w:val="16"/>
          <w:szCs w:val="16"/>
        </w:rPr>
        <w:softHyphen/>
        <w:t>нако сведений о завершении работ не обна</w:t>
      </w:r>
      <w:r w:rsidRPr="005E779E">
        <w:rPr>
          <w:rFonts w:ascii="Times New Roman" w:hAnsi="Times New Roman"/>
          <w:color w:val="000000" w:themeColor="text1"/>
          <w:sz w:val="16"/>
          <w:szCs w:val="16"/>
        </w:rPr>
        <w:softHyphen/>
        <w:t>ружено. Очевидно, что летом 1931 года пред</w:t>
      </w:r>
      <w:r w:rsidRPr="005E779E">
        <w:rPr>
          <w:rFonts w:ascii="Times New Roman" w:hAnsi="Times New Roman"/>
          <w:color w:val="000000" w:themeColor="text1"/>
          <w:sz w:val="16"/>
          <w:szCs w:val="16"/>
        </w:rPr>
        <w:softHyphen/>
        <w:t>ставители морской авиации от обладания ма</w:t>
      </w:r>
      <w:r w:rsidRPr="005E779E">
        <w:rPr>
          <w:rFonts w:ascii="Times New Roman" w:hAnsi="Times New Roman"/>
          <w:color w:val="000000" w:themeColor="text1"/>
          <w:sz w:val="16"/>
          <w:szCs w:val="16"/>
        </w:rPr>
        <w:softHyphen/>
        <w:t>леньким поплавковым истребителем с недо</w:t>
      </w:r>
      <w:r w:rsidRPr="005E779E">
        <w:rPr>
          <w:rFonts w:ascii="Times New Roman" w:hAnsi="Times New Roman"/>
          <w:color w:val="000000" w:themeColor="text1"/>
          <w:sz w:val="16"/>
          <w:szCs w:val="16"/>
        </w:rPr>
        <w:softHyphen/>
        <w:t>статочной мореходностью решили отказать</w:t>
      </w:r>
      <w:r w:rsidRPr="005E779E">
        <w:rPr>
          <w:rFonts w:ascii="Times New Roman" w:hAnsi="Times New Roman"/>
          <w:color w:val="000000" w:themeColor="text1"/>
          <w:sz w:val="16"/>
          <w:szCs w:val="16"/>
        </w:rPr>
        <w:softHyphen/>
        <w:t>ся. Вероятнее всего на принятие решения по</w:t>
      </w:r>
      <w:r w:rsidRPr="005E779E">
        <w:rPr>
          <w:rFonts w:ascii="Times New Roman" w:hAnsi="Times New Roman"/>
          <w:color w:val="000000" w:themeColor="text1"/>
          <w:sz w:val="16"/>
          <w:szCs w:val="16"/>
        </w:rPr>
        <w:softHyphen/>
        <w:t>влиял двухлетний опыт эксплуатации летаю</w:t>
      </w:r>
      <w:r w:rsidRPr="005E779E">
        <w:rPr>
          <w:rFonts w:ascii="Times New Roman" w:hAnsi="Times New Roman"/>
          <w:color w:val="000000" w:themeColor="text1"/>
          <w:sz w:val="16"/>
          <w:szCs w:val="16"/>
        </w:rPr>
        <w:softHyphen/>
        <w:t>щих лодок КР-1 (Хейнкель НЭ.55) (12295).</w:t>
      </w:r>
    </w:p>
    <w:p w14:paraId="4369B336" w14:textId="77777777" w:rsidR="007F6BD6" w:rsidRPr="005E779E" w:rsidRDefault="007F6BD6" w:rsidP="000B7A6C">
      <w:pPr>
        <w:spacing w:after="0" w:line="240" w:lineRule="auto"/>
        <w:jc w:val="both"/>
        <w:rPr>
          <w:rFonts w:ascii="Times New Roman" w:hAnsi="Times New Roman"/>
          <w:color w:val="000000" w:themeColor="text1"/>
          <w:sz w:val="16"/>
          <w:szCs w:val="16"/>
        </w:rPr>
      </w:pPr>
    </w:p>
    <w:p w14:paraId="7046039F" w14:textId="77777777" w:rsidR="009A598B" w:rsidRPr="00142305" w:rsidRDefault="009A598B" w:rsidP="009A598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середине 1931 г. заведующий кафедрой самолетостроения Харьков</w:t>
      </w:r>
      <w:r w:rsidRPr="00142305">
        <w:rPr>
          <w:rFonts w:ascii="Times New Roman" w:hAnsi="Times New Roman"/>
          <w:color w:val="0070C0"/>
          <w:sz w:val="16"/>
          <w:szCs w:val="16"/>
        </w:rPr>
        <w:softHyphen/>
        <w:t>ского авиационного института (ХАИ) И.Г. Неман (1903 - 1952) собрал группу энтузиастов из числа преподавателей и студентов и увлек их идеей проекти</w:t>
      </w:r>
      <w:r w:rsidRPr="00142305">
        <w:rPr>
          <w:rFonts w:ascii="Times New Roman" w:hAnsi="Times New Roman"/>
          <w:color w:val="0070C0"/>
          <w:sz w:val="16"/>
          <w:szCs w:val="16"/>
        </w:rPr>
        <w:softHyphen/>
        <w:t>рования настоящего самолета. Резуль</w:t>
      </w:r>
      <w:r w:rsidRPr="00142305">
        <w:rPr>
          <w:rFonts w:ascii="Times New Roman" w:hAnsi="Times New Roman"/>
          <w:color w:val="0070C0"/>
          <w:sz w:val="16"/>
          <w:szCs w:val="16"/>
        </w:rPr>
        <w:softHyphen/>
        <w:t>татом стал проект ХАИ-1 - скоростного пассажирского самолета, одномотор</w:t>
      </w:r>
      <w:r w:rsidRPr="00142305">
        <w:rPr>
          <w:rFonts w:ascii="Times New Roman" w:hAnsi="Times New Roman"/>
          <w:color w:val="0070C0"/>
          <w:sz w:val="16"/>
          <w:szCs w:val="16"/>
        </w:rPr>
        <w:softHyphen/>
        <w:t>ного свободнонесущего моноплана с убирающимся шасси. Подобная концеп</w:t>
      </w:r>
      <w:r w:rsidRPr="00142305">
        <w:rPr>
          <w:rFonts w:ascii="Times New Roman" w:hAnsi="Times New Roman"/>
          <w:color w:val="0070C0"/>
          <w:sz w:val="16"/>
          <w:szCs w:val="16"/>
        </w:rPr>
        <w:softHyphen/>
        <w:t>ция тогда была в мире весьма модной. Ее отражением стали американский «Орион» и немецкие FW 60 и Не 70 (24943).</w:t>
      </w:r>
    </w:p>
    <w:p w14:paraId="4905D4DC" w14:textId="77777777" w:rsidR="009A598B" w:rsidRPr="00142305" w:rsidRDefault="009A598B" w:rsidP="009A598B">
      <w:pPr>
        <w:spacing w:after="0" w:line="240" w:lineRule="auto"/>
        <w:jc w:val="both"/>
        <w:rPr>
          <w:rFonts w:ascii="Times New Roman" w:hAnsi="Times New Roman"/>
          <w:color w:val="0070C0"/>
          <w:sz w:val="16"/>
          <w:szCs w:val="16"/>
        </w:rPr>
      </w:pPr>
    </w:p>
    <w:p w14:paraId="3E25ABED" w14:textId="2518E324" w:rsidR="003B2F50" w:rsidRPr="005E779E" w:rsidRDefault="003B2F50" w:rsidP="000B7A6C">
      <w:pPr>
        <w:pStyle w:val="5b"/>
        <w:spacing w:line="240" w:lineRule="auto"/>
        <w:jc w:val="both"/>
        <w:rPr>
          <w:color w:val="000000" w:themeColor="text1"/>
          <w:sz w:val="16"/>
          <w:szCs w:val="16"/>
        </w:rPr>
      </w:pPr>
      <w:r w:rsidRPr="005E779E">
        <w:rPr>
          <w:color w:val="000000" w:themeColor="text1"/>
          <w:sz w:val="16"/>
          <w:szCs w:val="16"/>
          <w:lang w:bidi="ru-RU"/>
        </w:rPr>
        <w:t>В середине 1931 года посланцы Гольцмана разыскали наследников дела Парсеваля, те выпускали небольшие гражданские самолёты, воздушные шары и надувные лодки, а в 1929-1930 годах также построили несколько полужёстких дирижаблей объёмом не больше 2,6 тыс. кубометров - один из них носил на оболочке ту самую рекламу шоколада «Трумпф».</w:t>
      </w:r>
    </w:p>
    <w:p w14:paraId="0BE54C72" w14:textId="77777777" w:rsidR="007020CA" w:rsidRPr="005E779E" w:rsidRDefault="003B2F50" w:rsidP="000B7A6C">
      <w:pPr>
        <w:pStyle w:val="5b"/>
        <w:spacing w:line="240" w:lineRule="auto"/>
        <w:jc w:val="both"/>
        <w:rPr>
          <w:color w:val="000000" w:themeColor="text1"/>
          <w:sz w:val="16"/>
          <w:szCs w:val="16"/>
          <w:lang w:bidi="ru-RU"/>
        </w:rPr>
      </w:pPr>
      <w:r w:rsidRPr="005E779E">
        <w:rPr>
          <w:color w:val="000000" w:themeColor="text1"/>
          <w:sz w:val="16"/>
          <w:szCs w:val="16"/>
          <w:lang w:bidi="ru-RU"/>
        </w:rPr>
        <w:t>У фирмы запросили условия на разработку силами её конструкторского бюро в Германии проекта полужёсткого дирижабля объёмом около 10 тыс. кубометров, с одновременным обучением советского персонала. Изготовить и собрать дирижабль требовалось уже в СССР с участием немецких специалистов. Немцы почти согласились, оценив свою работу в 600 тыс. марок, что вполне устраивало советскую сторону в качестве отправной точки, и переговоры продолжились</w:t>
      </w:r>
      <w:r w:rsidR="007020CA" w:rsidRPr="005E779E">
        <w:rPr>
          <w:color w:val="000000" w:themeColor="text1"/>
          <w:sz w:val="16"/>
          <w:szCs w:val="16"/>
          <w:lang w:bidi="ru-RU"/>
        </w:rPr>
        <w:t>.</w:t>
      </w:r>
    </w:p>
    <w:p w14:paraId="76B26F60" w14:textId="77777777" w:rsidR="007020CA" w:rsidRPr="005E779E" w:rsidRDefault="007020CA" w:rsidP="000B7A6C">
      <w:pPr>
        <w:pStyle w:val="5b"/>
        <w:spacing w:line="240" w:lineRule="auto"/>
        <w:jc w:val="both"/>
        <w:rPr>
          <w:color w:val="000000" w:themeColor="text1"/>
          <w:sz w:val="16"/>
          <w:szCs w:val="16"/>
        </w:rPr>
      </w:pPr>
      <w:r w:rsidRPr="005E779E">
        <w:rPr>
          <w:color w:val="000000" w:themeColor="text1"/>
          <w:sz w:val="16"/>
          <w:szCs w:val="16"/>
          <w:lang w:bidi="ru-RU"/>
        </w:rPr>
        <w:t xml:space="preserve">По качествам парсевалевский корабль </w:t>
      </w:r>
      <w:r w:rsidRPr="005E779E">
        <w:rPr>
          <w:color w:val="000000" w:themeColor="text1"/>
          <w:sz w:val="16"/>
          <w:szCs w:val="16"/>
          <w:lang w:val="en-US" w:eastAsia="en-US" w:bidi="en-US"/>
        </w:rPr>
        <w:t>PL</w:t>
      </w:r>
      <w:r w:rsidRPr="005E779E">
        <w:rPr>
          <w:color w:val="000000" w:themeColor="text1"/>
          <w:sz w:val="16"/>
          <w:szCs w:val="16"/>
          <w:lang w:eastAsia="en-US" w:bidi="en-US"/>
        </w:rPr>
        <w:t xml:space="preserve"> </w:t>
      </w:r>
      <w:r w:rsidRPr="005E779E">
        <w:rPr>
          <w:color w:val="000000" w:themeColor="text1"/>
          <w:sz w:val="16"/>
          <w:szCs w:val="16"/>
          <w:lang w:bidi="ru-RU"/>
        </w:rPr>
        <w:t>27 едва ли уступал «Норвегии» и «Италии». В послужном списке «немца» не было ничего особенного; у «итальянцев» имелся впечатляющий трансполярный перелёт, но и не менее известная катастрофа. Для сравнения их безаварийности, экономичности и прочих качеств не хватало налёта, статистики.</w:t>
      </w:r>
    </w:p>
    <w:p w14:paraId="46416E8D" w14:textId="3667BE65" w:rsidR="003B2F50" w:rsidRPr="005E779E" w:rsidRDefault="007020CA" w:rsidP="000B7A6C">
      <w:pPr>
        <w:pStyle w:val="5b"/>
        <w:spacing w:line="240" w:lineRule="auto"/>
        <w:jc w:val="both"/>
        <w:rPr>
          <w:color w:val="000000" w:themeColor="text1"/>
          <w:sz w:val="16"/>
          <w:szCs w:val="16"/>
        </w:rPr>
      </w:pPr>
      <w:r w:rsidRPr="005E779E">
        <w:rPr>
          <w:color w:val="000000" w:themeColor="text1"/>
          <w:sz w:val="16"/>
          <w:szCs w:val="16"/>
          <w:lang w:bidi="ru-RU"/>
        </w:rPr>
        <w:t>Не исключено, что против сотрудничества с немцами сработали перемены во внешнеполитическом курсе Германии с неясными перспективами для двусторонних отношений. Однако, несмотря на явственное ощущение этих процессов, никто в советском руководстве тогда не предполагал, насколько радикальными они окажутся и к чему приведут</w:t>
      </w:r>
      <w:r w:rsidR="003B2F50" w:rsidRPr="005E779E">
        <w:rPr>
          <w:color w:val="000000" w:themeColor="text1"/>
          <w:sz w:val="16"/>
          <w:szCs w:val="16"/>
          <w:lang w:bidi="ru-RU"/>
        </w:rPr>
        <w:t xml:space="preserve"> (23192).</w:t>
      </w:r>
    </w:p>
    <w:p w14:paraId="64DAEF92" w14:textId="77777777" w:rsidR="003B2F50" w:rsidRPr="005E779E" w:rsidRDefault="003B2F50" w:rsidP="000B7A6C">
      <w:pPr>
        <w:autoSpaceDE w:val="0"/>
        <w:autoSpaceDN w:val="0"/>
        <w:adjustRightInd w:val="0"/>
        <w:spacing w:after="0" w:line="240" w:lineRule="auto"/>
        <w:jc w:val="both"/>
        <w:rPr>
          <w:rFonts w:ascii="Times New Roman" w:hAnsi="Times New Roman"/>
          <w:color w:val="000000" w:themeColor="text1"/>
          <w:sz w:val="16"/>
          <w:szCs w:val="16"/>
        </w:rPr>
      </w:pPr>
    </w:p>
    <w:p w14:paraId="53805EC2" w14:textId="77777777" w:rsidR="009A598B" w:rsidRPr="00142305" w:rsidRDefault="009A598B" w:rsidP="009A598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середине 1931 года в ЦКБ раз</w:t>
      </w:r>
      <w:r w:rsidRPr="00142305">
        <w:rPr>
          <w:rFonts w:ascii="Times New Roman" w:hAnsi="Times New Roman"/>
          <w:color w:val="0070C0"/>
          <w:sz w:val="16"/>
          <w:szCs w:val="16"/>
        </w:rPr>
        <w:softHyphen/>
        <w:t>работали проект пневмогидравлических амортизаторов шасси для Р-5. Судьба его неизвестна, но, видимо, ка</w:t>
      </w:r>
      <w:r w:rsidRPr="00142305">
        <w:rPr>
          <w:rFonts w:ascii="Times New Roman" w:hAnsi="Times New Roman"/>
          <w:color w:val="0070C0"/>
          <w:sz w:val="16"/>
          <w:szCs w:val="16"/>
        </w:rPr>
        <w:softHyphen/>
        <w:t>кие-то недостатки нашли, поскольку годом позже предла</w:t>
      </w:r>
      <w:r w:rsidRPr="00142305">
        <w:rPr>
          <w:rFonts w:ascii="Times New Roman" w:hAnsi="Times New Roman"/>
          <w:color w:val="0070C0"/>
          <w:sz w:val="16"/>
          <w:szCs w:val="16"/>
        </w:rPr>
        <w:softHyphen/>
        <w:t>гали заказать амортизаторы одной из итальянских фирм, а потом приобрести лицензию. Предложение отклонили из-за нехватки валюты (24990).</w:t>
      </w:r>
    </w:p>
    <w:p w14:paraId="7EC0153C" w14:textId="77777777" w:rsidR="009A598B" w:rsidRPr="00142305" w:rsidRDefault="009A598B" w:rsidP="009A598B">
      <w:pPr>
        <w:spacing w:after="0" w:line="240" w:lineRule="auto"/>
        <w:jc w:val="both"/>
        <w:rPr>
          <w:rFonts w:ascii="Times New Roman" w:hAnsi="Times New Roman"/>
          <w:color w:val="0070C0"/>
          <w:sz w:val="16"/>
          <w:szCs w:val="16"/>
        </w:rPr>
      </w:pPr>
    </w:p>
    <w:p w14:paraId="4F8552ED" w14:textId="77777777" w:rsidR="009A598B" w:rsidRPr="005E779E" w:rsidRDefault="009A598B" w:rsidP="009A598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середине 1931 г. Согласно Д.Л.Томашевичу: «я ушел на работу в конструктор</w:t>
      </w:r>
      <w:r w:rsidRPr="005E779E">
        <w:rPr>
          <w:rFonts w:ascii="Times New Roman" w:hAnsi="Times New Roman"/>
          <w:color w:val="000000" w:themeColor="text1"/>
          <w:sz w:val="16"/>
          <w:szCs w:val="16"/>
        </w:rPr>
        <w:softHyphen/>
        <w:t>ское бюро, находящееся под опекой НКВД. В нем рабо</w:t>
      </w:r>
      <w:r w:rsidRPr="005E779E">
        <w:rPr>
          <w:rFonts w:ascii="Times New Roman" w:hAnsi="Times New Roman"/>
          <w:color w:val="000000" w:themeColor="text1"/>
          <w:sz w:val="16"/>
          <w:szCs w:val="16"/>
        </w:rPr>
        <w:softHyphen/>
        <w:t>тали и заключенные специалисты, и вольнонаемные. Я работал в отделе общих видов и здесь впервые лично встретился с Н.Н.Поликарповым.</w:t>
      </w:r>
    </w:p>
    <w:p w14:paraId="48CB2AEF" w14:textId="77777777" w:rsidR="009A598B" w:rsidRPr="005E779E" w:rsidRDefault="009A598B" w:rsidP="009A598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Он относился к нам - вольнонаемным молодым ин</w:t>
      </w:r>
      <w:r w:rsidRPr="005E779E">
        <w:rPr>
          <w:rFonts w:ascii="Times New Roman" w:hAnsi="Times New Roman"/>
          <w:color w:val="000000" w:themeColor="text1"/>
          <w:sz w:val="16"/>
          <w:szCs w:val="16"/>
        </w:rPr>
        <w:softHyphen/>
        <w:t>женерам, как равный.</w:t>
      </w:r>
    </w:p>
    <w:p w14:paraId="353AEEB0" w14:textId="77777777" w:rsidR="009A598B" w:rsidRPr="005E779E" w:rsidRDefault="009A598B" w:rsidP="009A598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 гордился своей квалификацией, а мог бы, по со</w:t>
      </w:r>
      <w:r w:rsidRPr="005E779E">
        <w:rPr>
          <w:rFonts w:ascii="Times New Roman" w:hAnsi="Times New Roman"/>
          <w:color w:val="000000" w:themeColor="text1"/>
          <w:sz w:val="16"/>
          <w:szCs w:val="16"/>
        </w:rPr>
        <w:softHyphen/>
        <w:t>временным нравам в конструкторских бюро, так как имел уже 3 самолета, внедренных в серию, и 2 опытных самолета, сделанных еще до ареста.</w:t>
      </w:r>
    </w:p>
    <w:p w14:paraId="30E3A3F0" w14:textId="77777777" w:rsidR="009A598B" w:rsidRPr="005E779E" w:rsidRDefault="009A598B" w:rsidP="009A598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другой стороны и не лебезил перед нами - вольно</w:t>
      </w:r>
      <w:r w:rsidRPr="005E779E">
        <w:rPr>
          <w:rFonts w:ascii="Times New Roman" w:hAnsi="Times New Roman"/>
          <w:color w:val="000000" w:themeColor="text1"/>
          <w:sz w:val="16"/>
          <w:szCs w:val="16"/>
        </w:rPr>
        <w:softHyphen/>
        <w:t>наемными как заключенный.</w:t>
      </w:r>
    </w:p>
    <w:p w14:paraId="28150B66" w14:textId="77777777" w:rsidR="009A598B" w:rsidRPr="005E779E" w:rsidRDefault="009A598B" w:rsidP="009A598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 это невольно вызывало уважение к нему и жела</w:t>
      </w:r>
      <w:r w:rsidRPr="005E779E">
        <w:rPr>
          <w:rFonts w:ascii="Times New Roman" w:hAnsi="Times New Roman"/>
          <w:color w:val="000000" w:themeColor="text1"/>
          <w:sz w:val="16"/>
          <w:szCs w:val="16"/>
        </w:rPr>
        <w:softHyphen/>
        <w:t>ние работать с ним.</w:t>
      </w:r>
    </w:p>
    <w:p w14:paraId="4A632065" w14:textId="77777777" w:rsidR="009A598B" w:rsidRPr="005E779E" w:rsidRDefault="009A598B" w:rsidP="009A598B">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Его указания по работе (мы делали компоновку ис</w:t>
      </w:r>
      <w:r w:rsidRPr="005E779E">
        <w:rPr>
          <w:rFonts w:ascii="Times New Roman" w:hAnsi="Times New Roman"/>
          <w:color w:val="000000" w:themeColor="text1"/>
          <w:sz w:val="16"/>
          <w:szCs w:val="16"/>
        </w:rPr>
        <w:softHyphen/>
        <w:t>требителя под весьма мощный двигатель, который не был построен из-за того, что двигатель был лишь в про</w:t>
      </w:r>
      <w:r w:rsidRPr="005E779E">
        <w:rPr>
          <w:rFonts w:ascii="Times New Roman" w:hAnsi="Times New Roman"/>
          <w:color w:val="000000" w:themeColor="text1"/>
          <w:sz w:val="16"/>
          <w:szCs w:val="16"/>
        </w:rPr>
        <w:softHyphen/>
        <w:t>екте и так и остался) воспринимались как результат беседы и совместного обсуждения. Не могу вспомнить случая, чтобы он что-либо «приказал» сделать или уго</w:t>
      </w:r>
      <w:r w:rsidRPr="005E779E">
        <w:rPr>
          <w:rFonts w:ascii="Times New Roman" w:hAnsi="Times New Roman"/>
          <w:color w:val="000000" w:themeColor="text1"/>
          <w:sz w:val="16"/>
          <w:szCs w:val="16"/>
        </w:rPr>
        <w:softHyphen/>
        <w:t>варивал» (10667).</w:t>
      </w:r>
    </w:p>
    <w:p w14:paraId="57DEA273" w14:textId="77777777" w:rsidR="009A598B" w:rsidRPr="005E779E" w:rsidRDefault="009A598B" w:rsidP="009A598B">
      <w:pPr>
        <w:autoSpaceDE w:val="0"/>
        <w:autoSpaceDN w:val="0"/>
        <w:adjustRightInd w:val="0"/>
        <w:spacing w:after="0" w:line="240" w:lineRule="auto"/>
        <w:jc w:val="both"/>
        <w:rPr>
          <w:rFonts w:ascii="Times New Roman" w:hAnsi="Times New Roman"/>
          <w:color w:val="000000" w:themeColor="text1"/>
          <w:sz w:val="16"/>
          <w:szCs w:val="16"/>
        </w:rPr>
      </w:pPr>
    </w:p>
    <w:p w14:paraId="130AF4DD" w14:textId="77777777" w:rsidR="009A598B" w:rsidRPr="005E779E" w:rsidRDefault="009A598B" w:rsidP="009A598B">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середине 1931, согласно воспоминаниям Дмитрия Людвиговича Томашевич, впоследствии главного конструк</w:t>
      </w:r>
      <w:r w:rsidRPr="005E779E">
        <w:rPr>
          <w:rFonts w:ascii="Times New Roman" w:hAnsi="Times New Roman"/>
          <w:color w:val="000000" w:themeColor="text1"/>
          <w:sz w:val="16"/>
          <w:szCs w:val="16"/>
        </w:rPr>
        <w:softHyphen/>
        <w:t xml:space="preserve">тора авиационной и ракетной техники; </w:t>
      </w:r>
    </w:p>
    <w:p w14:paraId="26608905" w14:textId="77777777" w:rsidR="009A598B" w:rsidRPr="005E779E" w:rsidRDefault="009A598B" w:rsidP="009A598B">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середине 1931 г. я ушел на работу в конструкторское бюро, находящееся под опекой НКВД. В нем работали и заключенные специалисты, и вольнонаемные. Я работал в отделе общих видов и здесь впервые лично встретился с Н.Н. Поликарповым.</w:t>
      </w:r>
    </w:p>
    <w:p w14:paraId="60754A46" w14:textId="77777777" w:rsidR="009A598B" w:rsidRPr="005E779E" w:rsidRDefault="009A598B" w:rsidP="009A598B">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Он относился к нам, вольнонаемным молодым инженерам, как равный.</w:t>
      </w:r>
    </w:p>
    <w:p w14:paraId="0EAF47E2" w14:textId="77777777" w:rsidR="009A598B" w:rsidRPr="005E779E" w:rsidRDefault="009A598B" w:rsidP="009A598B">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 гордился своей квалификацией, а мог бы, по современным нравам в конструкторских бюро, так как имел уже 3 самолета, внедренных в серию, и 2 опытных самолета, сделанных еще до ареста.</w:t>
      </w:r>
    </w:p>
    <w:p w14:paraId="75656484" w14:textId="77777777" w:rsidR="009A598B" w:rsidRPr="005E779E" w:rsidRDefault="009A598B" w:rsidP="009A598B">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другой стороны, и не лебезил перед нами - вольнонаемными как заключенный.</w:t>
      </w:r>
    </w:p>
    <w:p w14:paraId="4DCE1DBA" w14:textId="77777777" w:rsidR="009A598B" w:rsidRPr="005E779E" w:rsidRDefault="009A598B" w:rsidP="009A598B">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 это невольно вызывало уважение к нему и желание работать с ним.</w:t>
      </w:r>
    </w:p>
    <w:p w14:paraId="7757597C" w14:textId="77777777" w:rsidR="009A598B" w:rsidRPr="005E779E" w:rsidRDefault="009A598B" w:rsidP="009A598B">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Его указания по работе (мы делали компоновку истребителя под весьма мощный двигатель, который не был построен из-за того, что двигатель был лишь в проекте и так и остался) воспри</w:t>
      </w:r>
      <w:r w:rsidRPr="005E779E">
        <w:rPr>
          <w:rFonts w:ascii="Times New Roman" w:hAnsi="Times New Roman"/>
          <w:color w:val="000000" w:themeColor="text1"/>
          <w:sz w:val="16"/>
          <w:szCs w:val="16"/>
        </w:rPr>
        <w:softHyphen/>
        <w:t>нимались как результат беседы и совместного обсуждения. Не могу вспомнить случая, чтобы он что- либо «приказал» сделать или угова</w:t>
      </w:r>
      <w:r w:rsidRPr="005E779E">
        <w:rPr>
          <w:rFonts w:ascii="Times New Roman" w:hAnsi="Times New Roman"/>
          <w:color w:val="000000" w:themeColor="text1"/>
          <w:sz w:val="16"/>
          <w:szCs w:val="16"/>
        </w:rPr>
        <w:softHyphen/>
        <w:t>ривал» (23406).</w:t>
      </w:r>
    </w:p>
    <w:p w14:paraId="6D10DFFB" w14:textId="77777777" w:rsidR="009A598B" w:rsidRPr="005E779E" w:rsidRDefault="009A598B" w:rsidP="009A598B">
      <w:pPr>
        <w:spacing w:after="0" w:line="240" w:lineRule="auto"/>
        <w:jc w:val="both"/>
        <w:rPr>
          <w:rFonts w:ascii="Times New Roman" w:hAnsi="Times New Roman"/>
          <w:color w:val="000000" w:themeColor="text1"/>
          <w:sz w:val="16"/>
          <w:szCs w:val="16"/>
        </w:rPr>
      </w:pPr>
    </w:p>
    <w:p w14:paraId="3B6D9CCA" w14:textId="77777777" w:rsidR="009A598B" w:rsidRPr="00142305" w:rsidRDefault="009A598B" w:rsidP="009A598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«В середине 1931 г. – согласно воспоминаниям Томашевича - я ушел на работу в конструкторское бюро, находящееся под опекой НКВД. В нем работали и заключенные специалисты, и вольнонаемные. Я работал в отделе общих видов (бригады № 3, которая получила новое задание спроектировать истребитель И-11) и здесь впервые лично встретился с Н. Н. Поликарповым. </w:t>
      </w:r>
    </w:p>
    <w:p w14:paraId="7724CDEB" w14:textId="77777777" w:rsidR="009A598B" w:rsidRPr="00142305" w:rsidRDefault="009A598B" w:rsidP="009A598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Он относился к нам, вольнонаемным молодым инженерам, как равный. </w:t>
      </w:r>
    </w:p>
    <w:p w14:paraId="59FC96B9" w14:textId="77777777" w:rsidR="009A598B" w:rsidRPr="00142305" w:rsidRDefault="009A598B" w:rsidP="009A598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Не гордился своей квалификацией, а мог бы, по современным нравам в конструкторских бюро, так как имел уже 3 самолета, внедренных в серию, и 2 опытных самолета, сделанных еще до ареста. </w:t>
      </w:r>
    </w:p>
    <w:p w14:paraId="4A2F15D7" w14:textId="77777777" w:rsidR="009A598B" w:rsidRPr="00142305" w:rsidRDefault="009A598B" w:rsidP="009A598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С другой стороны, и не лебезил перед нами, вольнонаемными, как заключенный. </w:t>
      </w:r>
    </w:p>
    <w:p w14:paraId="0B65C2C2" w14:textId="77777777" w:rsidR="009A598B" w:rsidRPr="00142305" w:rsidRDefault="009A598B" w:rsidP="009A598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Все это невольно вызывало уважение к нему и желание работать с ним. </w:t>
      </w:r>
    </w:p>
    <w:p w14:paraId="59ED444C" w14:textId="77777777" w:rsidR="009A598B" w:rsidRPr="00142305" w:rsidRDefault="009A598B" w:rsidP="009A598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Его указания по работе (мы делали компоновку истребителя под весьма мощный двигатель, который не был построен из-за того, что двигатель был лишь в проекте и так и остался) воспринимались как результат беседы и совместного обсуждения. Не могу вспомнить случая, чтобы он что-либо «приказал» сделать или уговаривал» (25035). </w:t>
      </w:r>
    </w:p>
    <w:p w14:paraId="7E61FDCF" w14:textId="77777777" w:rsidR="009A598B" w:rsidRPr="00142305" w:rsidRDefault="009A598B" w:rsidP="009A598B">
      <w:pPr>
        <w:spacing w:after="0" w:line="240" w:lineRule="auto"/>
        <w:jc w:val="both"/>
        <w:rPr>
          <w:rFonts w:ascii="Times New Roman" w:hAnsi="Times New Roman"/>
          <w:color w:val="0070C0"/>
          <w:sz w:val="16"/>
          <w:szCs w:val="16"/>
        </w:rPr>
      </w:pPr>
    </w:p>
    <w:p w14:paraId="4E7433A7" w14:textId="77777777" w:rsidR="000B7ADA" w:rsidRPr="005E779E" w:rsidRDefault="000B7AD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середине 1931 г. заведующий кафедрой самолетостроения Харьков</w:t>
      </w:r>
      <w:r w:rsidRPr="005E779E">
        <w:rPr>
          <w:rFonts w:ascii="Times New Roman" w:hAnsi="Times New Roman"/>
          <w:color w:val="000000" w:themeColor="text1"/>
          <w:sz w:val="16"/>
          <w:szCs w:val="16"/>
        </w:rPr>
        <w:softHyphen/>
        <w:t>ского авиационного института (ХАИ) И.Г Неман (1903 - 1952) собрал группу энтузиастов из числа преподавателей и студентов и увлек их идеей проекти</w:t>
      </w:r>
      <w:r w:rsidRPr="005E779E">
        <w:rPr>
          <w:rFonts w:ascii="Times New Roman" w:hAnsi="Times New Roman"/>
          <w:color w:val="000000" w:themeColor="text1"/>
          <w:sz w:val="16"/>
          <w:szCs w:val="16"/>
        </w:rPr>
        <w:softHyphen/>
        <w:t>рования настоящего самолета. Резуль</w:t>
      </w:r>
      <w:r w:rsidRPr="005E779E">
        <w:rPr>
          <w:rFonts w:ascii="Times New Roman" w:hAnsi="Times New Roman"/>
          <w:color w:val="000000" w:themeColor="text1"/>
          <w:sz w:val="16"/>
          <w:szCs w:val="16"/>
        </w:rPr>
        <w:softHyphen/>
        <w:t>татом стал проект ХАИ-1 - скоростного пассажирского самолета, одномотор</w:t>
      </w:r>
      <w:r w:rsidRPr="005E779E">
        <w:rPr>
          <w:rFonts w:ascii="Times New Roman" w:hAnsi="Times New Roman"/>
          <w:color w:val="000000" w:themeColor="text1"/>
          <w:sz w:val="16"/>
          <w:szCs w:val="16"/>
        </w:rPr>
        <w:softHyphen/>
        <w:t>ного свободнонесущего моноплана с убирающимся шасси. Подобная концеп</w:t>
      </w:r>
      <w:r w:rsidRPr="005E779E">
        <w:rPr>
          <w:rFonts w:ascii="Times New Roman" w:hAnsi="Times New Roman"/>
          <w:color w:val="000000" w:themeColor="text1"/>
          <w:sz w:val="16"/>
          <w:szCs w:val="16"/>
        </w:rPr>
        <w:softHyphen/>
        <w:t>ция тогда была в мире весьма модной. Ее отражением стали американский «Орион» и немецкие FW 60 и Не 70. На испытаниях осенью 1932 г. ХАИ-1 показал скорость 292 км/ч. В 1934 г. самолет начали осваивать на заводе № 21 в Горьком, хотя там построили всего одну машину, в том же году ХАИ-1 стали серийно строить на заводе № 43 в Киеве. Всего их сделали около по</w:t>
      </w:r>
      <w:r w:rsidRPr="005E779E">
        <w:rPr>
          <w:rFonts w:ascii="Times New Roman" w:hAnsi="Times New Roman"/>
          <w:color w:val="000000" w:themeColor="text1"/>
          <w:sz w:val="16"/>
          <w:szCs w:val="16"/>
        </w:rPr>
        <w:softHyphen/>
        <w:t>лусотни. За создание быстроходного моноплана Немана наградили орденом Красной Звезды (23523).</w:t>
      </w:r>
    </w:p>
    <w:p w14:paraId="5AEE69AE" w14:textId="77777777" w:rsidR="000B7ADA" w:rsidRPr="005E779E" w:rsidRDefault="000B7ADA" w:rsidP="000B7A6C">
      <w:pPr>
        <w:spacing w:after="0" w:line="240" w:lineRule="auto"/>
        <w:jc w:val="both"/>
        <w:rPr>
          <w:rFonts w:ascii="Times New Roman" w:hAnsi="Times New Roman"/>
          <w:color w:val="000000" w:themeColor="text1"/>
          <w:sz w:val="16"/>
          <w:szCs w:val="16"/>
        </w:rPr>
      </w:pPr>
    </w:p>
    <w:p w14:paraId="70A24319"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1BF51B88"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52DF7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середине 1931 года в тракторном отделе ХПЗ была ихготовлена опытная серия средних танков Т-24 в количе</w:t>
      </w:r>
      <w:r w:rsidRPr="005E779E">
        <w:rPr>
          <w:rFonts w:ascii="Times New Roman" w:hAnsi="Times New Roman"/>
          <w:color w:val="000000" w:themeColor="text1"/>
          <w:sz w:val="16"/>
          <w:szCs w:val="16"/>
        </w:rPr>
        <w:softHyphen/>
        <w:t>стве 20 штук (11504).</w:t>
      </w:r>
    </w:p>
    <w:p w14:paraId="6F71C5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8B45C2C" w14:textId="77777777" w:rsidR="009A598B" w:rsidRPr="00142305" w:rsidRDefault="009A598B" w:rsidP="009A598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До середины 1931 г. серийно строился БА-27, разработанный в 1927 г. Всего было изготовлено 215 таких машин. Однако конструктивные недостатки, выявленные в ходе эксплуатации «первенцев», заставили рассмотреть вопрос о возможных вариантах их применения. Так появилась идея использовать БА-27 в качестве бронедрезин.</w:t>
      </w:r>
    </w:p>
    <w:p w14:paraId="1A40EC5D" w14:textId="77777777" w:rsidR="009A598B" w:rsidRPr="00142305" w:rsidRDefault="009A598B" w:rsidP="009A598B">
      <w:pPr>
        <w:spacing w:after="0" w:line="240" w:lineRule="auto"/>
        <w:jc w:val="both"/>
        <w:rPr>
          <w:rFonts w:ascii="Times New Roman" w:hAnsi="Times New Roman"/>
          <w:color w:val="0070C0"/>
          <w:sz w:val="16"/>
          <w:szCs w:val="16"/>
        </w:rPr>
      </w:pPr>
    </w:p>
    <w:p w14:paraId="7AAF0B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середине 1931 г. приказом ВСНХ завод “Серп и молот” был включен в список строительств, взятых под особое наблюдение. В это время на заводе только крупных объектов строилось около 20.</w:t>
      </w:r>
    </w:p>
    <w:p w14:paraId="284A13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приступил к реконструкции, не дожидаясь принятия окончательного решения. 1926/27 г. ушел на изготовление проекта реконструкции прокатки и подготовительные работы. 1927/28 г. стал первым годом, когда реконструкция началась реализовываться на практике, на нее было ассигновано 2 млн руб. На заводе занимались освобождением площадей и закладкой фундаментов. Первым должен был подвергнуться реконструкции прокатный цех. К январю 1929 г. был построен новый крупносортный прокатный стан, в ноябре — среднесортный. После принятия решения о реконструкции завода на старом месте она стала проводиться усиленными темпами.</w:t>
      </w:r>
    </w:p>
    <w:p w14:paraId="3CD735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Решением Машинотреста для реконструкции при заводе создавался отдел капитального строительства (ОКС), силами которого и велось строительство новых объектов. Выпуск продукции намечалось довести до 250 тыс. т в год. В 1930 г. на реконструкцию было отпущено более 6 млн руб., в 1931 г. еще 12 млн и т.д. </w:t>
      </w:r>
    </w:p>
    <w:p w14:paraId="27269C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конца 20-х годов стал одним из ключевых предприятий главка Главспецсталь, куда помимо него входили такие заводы как "Красный октябрь" (Сталинград), "Электросталь", "Днепроспецсталь", Челябинский, Златоустовский и Верх-Исетские металлургические заводы. Хотя "Серп и Молот" впервые по советским меркам показал прибыль только в 1935 году, по производственным и технологическим показателям он считался передовым заводом: так, в 1934 году мартенщики предприятия снимали с квадратного метра пода печи 4,1 тонны металла, что было рекордом для советской промышленности (в Германии обычно снимали в то время порядка 5,2 тонн стали).</w:t>
      </w:r>
    </w:p>
    <w:p w14:paraId="0F5C4B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Реконструкция протекала сумбурно, как и по всей стране. В 1931 г. выяснилось, что строительство ведется при отсутствии генерального плана и без утвержденного наверху промзадания. Планы неоднократно корректировались и пересматривались в сторону увеличения. Все это привело к возникновению внутризаводской «лихорадки», нерациональному использованию ресурсов. Для решения всех задач не хватало ни средств, ни материалов, поставлявшихся к тому же крайне нерегулярно. Приходилось «бросать силы с одного начатого объекта на другой». Дополнительные трудности создавало ужасающее состояние заводского первичного учета. </w:t>
      </w:r>
    </w:p>
    <w:p w14:paraId="62C00A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 многих цехах отсутствовали даже весы, «готовая продукция если и взвешивалась, то дней через десять после ее изготовления. На некоторых станах не делали даже и этого», определяя вес приблизительно, «на глазок». В фасонно-литейном цехе «главный механик завода в течение года записал на счет цеха 360 т нефти на несуществующий в цехе агрегат». В листопрокатке отсутствовал «учет как поступления, так и расхода угля, кислоты и других материалов. И так в каждом цехе». «Знание действительной себестоимости изделий зачастую отсутствовало». В результате, как признавалось даже в советской литературе, дело доходило до курьезов: «по некоторым техническим калькуляциям выходило, что прокат получался почти без затрат топлива». В 1931 г. было официально признано, что в своих экономических расчетах завод пользовался неправильной методологией, и «по целому ряду мероприятий расчеты были преувеличены».</w:t>
      </w:r>
    </w:p>
    <w:p w14:paraId="7C6677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итоге планы не выполнялись, ввод в строй новых объектов постоянно срывался, частыми были аварии. В частности жертвой невыполнения планов пал рабочий клуб, старое здание которого сломали в 1931 г., а новое построили только в 1933 г. Едва ли не самым тяжелым для предприятия был 1931 г., годовой план которого даже по официальным данным не был выполнен. По весу его выполнил только прокатный цех, а по стоимости — фасонно-литейный и листопрокатный. Причем последние два цеха перешли к выпуску новой продукции, цены на которую были завышены. Ростом цен руководство пыталось также компенсировать увеличение себестоимости выпускаемой продукции, выросшей за этот год на 4,5%. </w:t>
      </w:r>
    </w:p>
    <w:p w14:paraId="0209DF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Хуже всего обстояли дела летом 1931 г., для выяснения причин «прорыва» на завод была прислана бригада московского комитета партии. Комиссия наметила целый ряд мер для улучшения ситуации, в том числе предложила «перенести центр тяжести культурно-политической работы в цех, бригаду и общежития рабочих».</w:t>
      </w:r>
    </w:p>
    <w:p w14:paraId="4FD969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Последнее предложение лежало в русле общей государственной политики, проводимой еще с середины 1920-х гг. и направленной на широкое привлечение рабочих к решению производственных проблем. С этой целью, в частности, в 1931 г. на заводе впервые в стране были созданы бригады общественной приемки новых строек </w:t>
      </w:r>
      <w:r w:rsidRPr="005E779E">
        <w:rPr>
          <w:rFonts w:ascii="Times New Roman" w:hAnsi="Times New Roman"/>
          <w:color w:val="000000" w:themeColor="text1"/>
          <w:sz w:val="16"/>
          <w:szCs w:val="16"/>
        </w:rPr>
        <w:lastRenderedPageBreak/>
        <w:t>(в дальнейшем данный опыт «Серпа и молота» был распространен и на другие предприятия). В декабре 1931 г. был организован сталинский внутризаводской рейд по проверке выполнения знаменитых шести условий Сталина и т.д.</w:t>
      </w:r>
    </w:p>
    <w:p w14:paraId="62AB2F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Особое значение придавалось вовлечению рабочих в процесс составления заводских планов, так называемому встречному планированию. В 1930 г. на заводе был впервые составлен встречный план, увеличивший программу на 7843 тыс. руб. или на 15%. По встречному плану 1932 г. программа увеличивалась на 2600 тыс. руб.</w:t>
      </w:r>
    </w:p>
    <w:p w14:paraId="5C43C2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помощью привлечения рабочих к планированию предполагалось наладить первичный заводской учет, обеспечить полную загрузку используемого оборудования, выработать технические нормы и коэффициенты, установить конкретные плановые задания каждой бригаде, каждому рабочему. По официальным данным движение за встречный план достигло ощутимых успехов. В 1930 г. «к 10.08 на рабочих участках было создано 117 плановых бригад и 37 специальных бригад (межцеховых, социально-бытовых, кадры и пр.) с количеством 767 рабочих и ИТР. Кроме того, работало 18 цеховых временных контрольных комиссий (ВКК), в которых участвовало 159 человек рабочих и ИТР. Всего около 1000 рабочих и ИТР завода. На собраниях же обсуждали составленные бригадами встречные нормы и коэффициенты, присутствовало 5 с половиной тысяч рабочих. В 1931 году, когда составляли план на 1932 г., рабочие были еще более активны — в бригадах работало 1972 человека». Была составлена и выпущена приложением к газете «Мартеновка» брошюра о методике составления встречных планов. Составление плана на 1932 г. было признано газетой «Рабочая Москва», органом Московского комитета ВКП(б), образцовым. Однако в реальности дело обстояло не так радужно. Встречные планы не выполнялись. Доведение планирования до конкретного рабочего места, по сути, провалилось, на заводе еще долго говорили о необходимости решения этой задачи.</w:t>
      </w:r>
    </w:p>
    <w:p w14:paraId="2E9B7D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Несмотря на все трудности, в деле реконструкции имелись очевидные успехи. Уже в 1930 г. был построен новый ремонтно-механический цех (11570).</w:t>
      </w:r>
    </w:p>
    <w:p w14:paraId="1E3B0B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A34E086" w14:textId="77777777" w:rsidR="00962513" w:rsidRPr="005E779E" w:rsidRDefault="00962513"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39966945" w14:textId="77777777" w:rsidR="00962513" w:rsidRPr="005E779E" w:rsidRDefault="00962513"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A5147D1"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середине 1931 г. из-за количественного роста самолетного парка и увеличения числа многомоторных бомбардировщиков, в ВВС продолжал увеличиваться некомплект инженернотехнического состава. По авиационным техникам и техникам спецслужб этот некомплект составлял соответственно 23,9 % и 27 %. С инженерами дело обстояло еще сложнее. В 1931 г. некомплект инженеров в ВВС составил более 60 %. По штату требовался 791 инженер, а имелось всего 309. Этот некомплект в военное время мог проявиться еще острее. Требовалось срочно развивать систему подготовки авиакадров с тем, чтобы она соответствовала нараставшим темпам поступления в войска новой авиатехники (19566).</w:t>
      </w:r>
    </w:p>
    <w:p w14:paraId="7B3D0F43" w14:textId="77777777" w:rsidR="00962513" w:rsidRPr="005E779E" w:rsidRDefault="00962513" w:rsidP="000B7A6C">
      <w:pPr>
        <w:spacing w:after="0" w:line="240" w:lineRule="auto"/>
        <w:jc w:val="both"/>
        <w:rPr>
          <w:rFonts w:ascii="Times New Roman" w:hAnsi="Times New Roman"/>
          <w:color w:val="000000" w:themeColor="text1"/>
          <w:sz w:val="16"/>
          <w:szCs w:val="16"/>
        </w:rPr>
      </w:pPr>
    </w:p>
    <w:p w14:paraId="3CAF4D36" w14:textId="77777777" w:rsidR="009A598B" w:rsidRPr="00142305" w:rsidRDefault="009A598B" w:rsidP="009A598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середине 1931 г. планировали доукомплектовать Р-5 20-ю эскадрилью и по 10 машин выделить 33-й (Ленинградский военный округ), 43-й (Белорусский) и 42-й (Московский) легкобомбардировочным эскадрильям (лбаэ) (24990).</w:t>
      </w:r>
    </w:p>
    <w:p w14:paraId="2C31F7A5" w14:textId="77777777" w:rsidR="009A598B" w:rsidRPr="00142305" w:rsidRDefault="009A598B" w:rsidP="009A598B">
      <w:pPr>
        <w:spacing w:after="0" w:line="240" w:lineRule="auto"/>
        <w:jc w:val="both"/>
        <w:rPr>
          <w:rFonts w:ascii="Times New Roman" w:hAnsi="Times New Roman"/>
          <w:color w:val="0070C0"/>
          <w:sz w:val="16"/>
          <w:szCs w:val="16"/>
        </w:rPr>
      </w:pPr>
    </w:p>
    <w:p w14:paraId="29307FAE"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449F0423"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36E88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середине 1931-го нормирование промышленных товаров было введено официально по всей стране. Одежды и обуви не хватало катастрофически. Иностранцы, приезжавшие в СССР, отмечали, что люди одеты кое-как, одежда в основном коричневого или черного цвета, почти не встретить нарядную женщину. Люди имели по 1-2 платья, 1-2 рубахи, 4-5 смен белья. Параллельно нормированному распределению существовали коммерческая торговля, Торгсин (Всесоюзное объединение по торговле с иностранцами), а также колхозный рынок. Особенно нуждались в коммерческих, торгсиновских магазинах и рынке те категории населения, которым не давали (или давали с ограничением) карточки, - лишенцы, крестьяне, интеллигенция. В коммерческих магазинах цены были в несколько раз выше, чем по карточкам (11566).</w:t>
      </w:r>
    </w:p>
    <w:p w14:paraId="6288FB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C23E39D"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Внешняя политика:</w:t>
      </w:r>
    </w:p>
    <w:p w14:paraId="47DFE0A4"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2B9CE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середине 1931 г. еще одна советская военная делегация вела в Берлине переговоры с управлением вооружений райхсвера и установила контакты с некоторыми военно-промышленными фирмами. По вопросам технического сотрудничества и поставок систем управления велись переговоры с «Сименсом». Сделка должна была реализовываться через дочернее предприятие «Сименса» в Англии (Rolf-Dieter Muller. Op. cit.. S. 231). С учетом заказов под данный кредит общая сумма советских заказов в Германии в 1931 г. составила 919,3 млн. м., превзойдя аналогичный показатель 1930 г. на 62,3%. «Советский Союз был в 1931 г. лучшим покупателем наших машин», — свидетельствовала тогда германская пресса (11784).</w:t>
      </w:r>
    </w:p>
    <w:p w14:paraId="5D43D0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DB41ADA"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середине 1931 г. еще одна советская военная делегация вела в Берлине переговоры с управлением вооружений райхсвера и установила контакты с некоторыми военно-промышленными фирмами. По вопросам технического сотрудничества и поставок систем управления велись переговоры с «Сименсом». Сделка должна была реализовываться через дочернее предприятие «Сименса» в Англии. С учетом заказов под данный кредит общая сумма советских заказов в Германии в 1931 г. составила 919,3 млн. м., превзойдя аналогичный показатель 1930 г. на 62,3 %. «Советский Союз был в 1931 г. лучшим покупателем наших машин», — свидетельствовала тогда германская пресса (18265).</w:t>
      </w:r>
    </w:p>
    <w:p w14:paraId="5176DA7C" w14:textId="77777777" w:rsidR="00962513" w:rsidRPr="005E779E" w:rsidRDefault="00962513" w:rsidP="000B7A6C">
      <w:pPr>
        <w:spacing w:after="0" w:line="240" w:lineRule="auto"/>
        <w:jc w:val="both"/>
        <w:rPr>
          <w:rFonts w:ascii="Times New Roman" w:hAnsi="Times New Roman"/>
          <w:color w:val="000000" w:themeColor="text1"/>
          <w:sz w:val="16"/>
          <w:szCs w:val="16"/>
        </w:rPr>
      </w:pPr>
    </w:p>
    <w:p w14:paraId="57A8B737" w14:textId="77777777" w:rsidR="00962513" w:rsidRPr="005E779E" w:rsidRDefault="00962513"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7E898F98" w14:textId="77777777" w:rsidR="00962513" w:rsidRPr="005E779E" w:rsidRDefault="00962513"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E56B985" w14:textId="77777777" w:rsidR="00962513" w:rsidRPr="005E779E" w:rsidRDefault="00962513" w:rsidP="000B7A6C">
      <w:pPr>
        <w:pStyle w:val="rtejustify"/>
        <w:shd w:val="clear" w:color="auto" w:fill="FFFFFF"/>
        <w:spacing w:before="0" w:after="0"/>
        <w:rPr>
          <w:color w:val="000000" w:themeColor="text1"/>
          <w:sz w:val="16"/>
          <w:szCs w:val="16"/>
        </w:rPr>
      </w:pPr>
      <w:r w:rsidRPr="005E779E">
        <w:rPr>
          <w:color w:val="000000" w:themeColor="text1"/>
          <w:sz w:val="16"/>
          <w:szCs w:val="16"/>
        </w:rPr>
        <w:t>В первой половине 1931 года начальник 132 сектора 13 отдела ЦКБ Н. Н. Поликарпов, который каким-то образом ознакомился с самолетом И-8, направил начальнику 13 отдела докладную записку со своими предложениями по доводке самолета И-8. В ней он отметил, что:</w:t>
      </w:r>
    </w:p>
    <w:p w14:paraId="60181488" w14:textId="77777777" w:rsidR="00962513" w:rsidRPr="005E779E" w:rsidRDefault="00962513" w:rsidP="000B7A6C">
      <w:pPr>
        <w:pStyle w:val="rtejustify"/>
        <w:shd w:val="clear" w:color="auto" w:fill="FFFFFF"/>
        <w:spacing w:before="0" w:after="0"/>
        <w:rPr>
          <w:color w:val="000000" w:themeColor="text1"/>
          <w:sz w:val="16"/>
          <w:szCs w:val="16"/>
        </w:rPr>
      </w:pPr>
      <w:r w:rsidRPr="005E779E">
        <w:rPr>
          <w:rStyle w:val="af0"/>
          <w:i w:val="0"/>
          <w:color w:val="000000" w:themeColor="text1"/>
          <w:sz w:val="16"/>
          <w:szCs w:val="16"/>
          <w:bdr w:val="none" w:sz="0" w:space="0" w:color="auto" w:frame="1"/>
        </w:rPr>
        <w:t>«На самолете И-8 в настоящее время производятся следующие переделки: установка механизма для подъема стабилизатора, проводка для управления костылем и увеличение масляного радиатора.</w:t>
      </w:r>
    </w:p>
    <w:p w14:paraId="16D890EE" w14:textId="77777777" w:rsidR="00962513" w:rsidRPr="005E779E" w:rsidRDefault="00962513" w:rsidP="000B7A6C">
      <w:pPr>
        <w:pStyle w:val="rtejustify"/>
        <w:shd w:val="clear" w:color="auto" w:fill="FFFFFF"/>
        <w:spacing w:before="0" w:after="0"/>
        <w:rPr>
          <w:color w:val="000000" w:themeColor="text1"/>
          <w:sz w:val="16"/>
          <w:szCs w:val="16"/>
        </w:rPr>
      </w:pPr>
      <w:r w:rsidRPr="005E779E">
        <w:rPr>
          <w:rStyle w:val="af0"/>
          <w:i w:val="0"/>
          <w:color w:val="000000" w:themeColor="text1"/>
          <w:sz w:val="16"/>
          <w:szCs w:val="16"/>
          <w:bdr w:val="none" w:sz="0" w:space="0" w:color="auto" w:frame="1"/>
        </w:rPr>
        <w:t>Хотя испытания самолета не закончены, все же на основании имеющегося материала можно наметить план работ, необходимых для усовершенствования самолета. Эти работы вытекают из необходимости:</w:t>
      </w:r>
    </w:p>
    <w:p w14:paraId="0D3CC70B" w14:textId="77777777" w:rsidR="00962513" w:rsidRPr="005E779E" w:rsidRDefault="00962513" w:rsidP="000B7A6C">
      <w:pPr>
        <w:pStyle w:val="rtejustify"/>
        <w:shd w:val="clear" w:color="auto" w:fill="FFFFFF"/>
        <w:spacing w:before="0" w:after="0"/>
        <w:rPr>
          <w:color w:val="000000" w:themeColor="text1"/>
          <w:sz w:val="16"/>
          <w:szCs w:val="16"/>
        </w:rPr>
      </w:pPr>
      <w:r w:rsidRPr="005E779E">
        <w:rPr>
          <w:rStyle w:val="af0"/>
          <w:i w:val="0"/>
          <w:color w:val="000000" w:themeColor="text1"/>
          <w:sz w:val="16"/>
          <w:szCs w:val="16"/>
          <w:bdr w:val="none" w:sz="0" w:space="0" w:color="auto" w:frame="1"/>
        </w:rPr>
        <w:t>1) улучшить маневренность,</w:t>
      </w:r>
    </w:p>
    <w:p w14:paraId="6FAC9688" w14:textId="77777777" w:rsidR="00962513" w:rsidRPr="005E779E" w:rsidRDefault="00962513" w:rsidP="000B7A6C">
      <w:pPr>
        <w:pStyle w:val="rtejustify"/>
        <w:shd w:val="clear" w:color="auto" w:fill="FFFFFF"/>
        <w:spacing w:before="0" w:after="0"/>
        <w:rPr>
          <w:color w:val="000000" w:themeColor="text1"/>
          <w:sz w:val="16"/>
          <w:szCs w:val="16"/>
        </w:rPr>
      </w:pPr>
      <w:r w:rsidRPr="005E779E">
        <w:rPr>
          <w:rStyle w:val="af0"/>
          <w:i w:val="0"/>
          <w:color w:val="000000" w:themeColor="text1"/>
          <w:sz w:val="16"/>
          <w:szCs w:val="16"/>
          <w:bdr w:val="none" w:sz="0" w:space="0" w:color="auto" w:frame="1"/>
        </w:rPr>
        <w:t>2) увеличить скороподъемность и</w:t>
      </w:r>
    </w:p>
    <w:p w14:paraId="4B17DFAF" w14:textId="77777777" w:rsidR="00962513" w:rsidRPr="005E779E" w:rsidRDefault="00962513" w:rsidP="000B7A6C">
      <w:pPr>
        <w:pStyle w:val="rtejustify"/>
        <w:shd w:val="clear" w:color="auto" w:fill="FFFFFF"/>
        <w:spacing w:before="0" w:after="0"/>
        <w:rPr>
          <w:color w:val="000000" w:themeColor="text1"/>
          <w:sz w:val="16"/>
          <w:szCs w:val="16"/>
        </w:rPr>
      </w:pPr>
      <w:r w:rsidRPr="005E779E">
        <w:rPr>
          <w:rStyle w:val="af0"/>
          <w:i w:val="0"/>
          <w:color w:val="000000" w:themeColor="text1"/>
          <w:sz w:val="16"/>
          <w:szCs w:val="16"/>
          <w:bdr w:val="none" w:sz="0" w:space="0" w:color="auto" w:frame="1"/>
        </w:rPr>
        <w:t>3) усилить, если можно, огневую мощь, – все это при условии сохранения или увеличения горизонтальной скорости.</w:t>
      </w:r>
    </w:p>
    <w:p w14:paraId="6DED1536" w14:textId="77777777" w:rsidR="00962513" w:rsidRPr="005E779E" w:rsidRDefault="00962513" w:rsidP="000B7A6C">
      <w:pPr>
        <w:pStyle w:val="rtejustify"/>
        <w:shd w:val="clear" w:color="auto" w:fill="FFFFFF"/>
        <w:spacing w:before="0" w:after="0"/>
        <w:rPr>
          <w:color w:val="000000" w:themeColor="text1"/>
          <w:sz w:val="16"/>
          <w:szCs w:val="16"/>
        </w:rPr>
      </w:pPr>
      <w:r w:rsidRPr="005E779E">
        <w:rPr>
          <w:rStyle w:val="af0"/>
          <w:i w:val="0"/>
          <w:color w:val="000000" w:themeColor="text1"/>
          <w:sz w:val="16"/>
          <w:szCs w:val="16"/>
          <w:bdr w:val="none" w:sz="0" w:space="0" w:color="auto" w:frame="1"/>
        </w:rPr>
        <w:t>Основной работой для выполнения указанных улучшений является постановка мотора Кертис с импеллером и этиленгликолевым охлаждением, а также изыскание наивыгоднейшей дужки для замены NACA – М-12.</w:t>
      </w:r>
    </w:p>
    <w:p w14:paraId="3B53B440" w14:textId="77777777" w:rsidR="00962513" w:rsidRPr="005E779E" w:rsidRDefault="00962513" w:rsidP="000B7A6C">
      <w:pPr>
        <w:pStyle w:val="rtejustify"/>
        <w:shd w:val="clear" w:color="auto" w:fill="FFFFFF"/>
        <w:spacing w:before="0" w:after="0"/>
        <w:rPr>
          <w:color w:val="000000" w:themeColor="text1"/>
          <w:sz w:val="16"/>
          <w:szCs w:val="16"/>
        </w:rPr>
      </w:pPr>
      <w:r w:rsidRPr="005E779E">
        <w:rPr>
          <w:rStyle w:val="af0"/>
          <w:i w:val="0"/>
          <w:color w:val="000000" w:themeColor="text1"/>
          <w:sz w:val="16"/>
          <w:szCs w:val="16"/>
          <w:bdr w:val="none" w:sz="0" w:space="0" w:color="auto" w:frame="1"/>
        </w:rPr>
        <w:t>Для увеличения маневренности необходимо предложить изыскания наивыгоднейшей формы и компенсации горизонтального оперения.</w:t>
      </w:r>
    </w:p>
    <w:p w14:paraId="1536CA01" w14:textId="77777777" w:rsidR="00962513" w:rsidRPr="005E779E" w:rsidRDefault="00962513" w:rsidP="000B7A6C">
      <w:pPr>
        <w:pStyle w:val="rtejustify"/>
        <w:shd w:val="clear" w:color="auto" w:fill="FFFFFF"/>
        <w:spacing w:before="0" w:after="0"/>
        <w:rPr>
          <w:color w:val="000000" w:themeColor="text1"/>
          <w:sz w:val="16"/>
          <w:szCs w:val="16"/>
        </w:rPr>
      </w:pPr>
      <w:r w:rsidRPr="005E779E">
        <w:rPr>
          <w:rStyle w:val="af0"/>
          <w:i w:val="0"/>
          <w:color w:val="000000" w:themeColor="text1"/>
          <w:sz w:val="16"/>
          <w:szCs w:val="16"/>
          <w:bdr w:val="none" w:sz="0" w:space="0" w:color="auto" w:frame="1"/>
        </w:rPr>
        <w:t>Для уменьшения лобового сопротивления необходимо попытаться установить обтекатель винта с соответствующим изменением формы передней части фюзеляжа, закрыть кабину и рассмотреть вопрос постановки обтекателей колес и изменения схемы шасси.</w:t>
      </w:r>
    </w:p>
    <w:p w14:paraId="71F0382A" w14:textId="77777777" w:rsidR="00962513" w:rsidRPr="005E779E" w:rsidRDefault="00962513" w:rsidP="000B7A6C">
      <w:pPr>
        <w:pStyle w:val="rtejustify"/>
        <w:shd w:val="clear" w:color="auto" w:fill="FFFFFF"/>
        <w:spacing w:before="0" w:after="0"/>
        <w:rPr>
          <w:color w:val="000000" w:themeColor="text1"/>
          <w:sz w:val="16"/>
          <w:szCs w:val="16"/>
        </w:rPr>
      </w:pPr>
      <w:r w:rsidRPr="005E779E">
        <w:rPr>
          <w:rStyle w:val="af0"/>
          <w:i w:val="0"/>
          <w:color w:val="000000" w:themeColor="text1"/>
          <w:sz w:val="16"/>
          <w:szCs w:val="16"/>
          <w:bdr w:val="none" w:sz="0" w:space="0" w:color="auto" w:frame="1"/>
        </w:rPr>
        <w:t>Облегчение конструкции является следующим основным фактором – после замены мотора, – который должен уменьшить время подъема на высоту.</w:t>
      </w:r>
    </w:p>
    <w:p w14:paraId="27A79F1E" w14:textId="77777777" w:rsidR="00962513" w:rsidRPr="005E779E" w:rsidRDefault="00962513" w:rsidP="000B7A6C">
      <w:pPr>
        <w:pStyle w:val="rtejustify"/>
        <w:shd w:val="clear" w:color="auto" w:fill="FFFFFF"/>
        <w:spacing w:before="0" w:after="0"/>
        <w:rPr>
          <w:color w:val="000000" w:themeColor="text1"/>
          <w:sz w:val="16"/>
          <w:szCs w:val="16"/>
        </w:rPr>
      </w:pPr>
      <w:r w:rsidRPr="005E779E">
        <w:rPr>
          <w:rStyle w:val="af0"/>
          <w:i w:val="0"/>
          <w:color w:val="000000" w:themeColor="text1"/>
          <w:sz w:val="16"/>
          <w:szCs w:val="16"/>
          <w:bdr w:val="none" w:sz="0" w:space="0" w:color="auto" w:frame="1"/>
        </w:rPr>
        <w:t>Здесь, прежде всего, необходимо отметить замену углеродистых труб хромомолибденовыми, а также гофра – полотном (на обшивке оперения). Замена нержавеющей стали, на лонжеронах крыла, другим материалом даст облегчение коробки крыльев, точно так же, как применение электрона уменьшит вес капота, обшивки и креплений оборудования.</w:t>
      </w:r>
    </w:p>
    <w:p w14:paraId="648FFF1D" w14:textId="77777777" w:rsidR="00962513" w:rsidRPr="005E779E" w:rsidRDefault="00962513" w:rsidP="000B7A6C">
      <w:pPr>
        <w:pStyle w:val="rtejustify"/>
        <w:shd w:val="clear" w:color="auto" w:fill="FFFFFF"/>
        <w:spacing w:before="0" w:after="0"/>
        <w:rPr>
          <w:color w:val="000000" w:themeColor="text1"/>
          <w:sz w:val="16"/>
          <w:szCs w:val="16"/>
        </w:rPr>
      </w:pPr>
      <w:r w:rsidRPr="005E779E">
        <w:rPr>
          <w:rStyle w:val="af0"/>
          <w:i w:val="0"/>
          <w:color w:val="000000" w:themeColor="text1"/>
          <w:sz w:val="16"/>
          <w:szCs w:val="16"/>
          <w:bdr w:val="none" w:sz="0" w:space="0" w:color="auto" w:frame="1"/>
        </w:rPr>
        <w:t>Для усиления огневой мощи самолета необходимо просмотреть возможность для установки дополнительных пулеметов в счет перегрузки. Наконец, необходимо закончить работы по доводке до нормы охлаждения масла и воды (этиленгликоля), а также просмотреть вопрос о возможности увеличения отсека между мотором и фюзеляжем для более свободного размещения трубопроводов.</w:t>
      </w:r>
    </w:p>
    <w:p w14:paraId="033AE4BD" w14:textId="77777777" w:rsidR="00962513" w:rsidRPr="005E779E" w:rsidRDefault="00962513" w:rsidP="000B7A6C">
      <w:pPr>
        <w:pStyle w:val="rtejustify"/>
        <w:shd w:val="clear" w:color="auto" w:fill="FFFFFF"/>
        <w:spacing w:before="0" w:after="0"/>
        <w:rPr>
          <w:color w:val="000000" w:themeColor="text1"/>
          <w:sz w:val="16"/>
          <w:szCs w:val="16"/>
        </w:rPr>
      </w:pPr>
      <w:r w:rsidRPr="005E779E">
        <w:rPr>
          <w:rStyle w:val="af0"/>
          <w:i w:val="0"/>
          <w:color w:val="000000" w:themeColor="text1"/>
          <w:sz w:val="16"/>
          <w:szCs w:val="16"/>
          <w:bdr w:val="none" w:sz="0" w:space="0" w:color="auto" w:frame="1"/>
        </w:rPr>
        <w:t>Указанные меры позволят получить вполне современный истребитель, по своим показателям могущий противостоять И-7 и И-5.</w:t>
      </w:r>
    </w:p>
    <w:p w14:paraId="0565DB0A" w14:textId="77777777" w:rsidR="00962513" w:rsidRPr="005E779E" w:rsidRDefault="00962513" w:rsidP="000B7A6C">
      <w:pPr>
        <w:pStyle w:val="rtejustify"/>
        <w:shd w:val="clear" w:color="auto" w:fill="FFFFFF"/>
        <w:spacing w:before="0" w:after="0"/>
        <w:rPr>
          <w:color w:val="000000" w:themeColor="text1"/>
          <w:sz w:val="16"/>
          <w:szCs w:val="16"/>
        </w:rPr>
      </w:pPr>
      <w:r w:rsidRPr="005E779E">
        <w:rPr>
          <w:rStyle w:val="af0"/>
          <w:i w:val="0"/>
          <w:color w:val="000000" w:themeColor="text1"/>
          <w:sz w:val="16"/>
          <w:szCs w:val="16"/>
          <w:bdr w:val="none" w:sz="0" w:space="0" w:color="auto" w:frame="1"/>
        </w:rPr>
        <w:t>Принимая во внимание большой объем работ, переделки не могут быть выполнены к 1/V, потребуя дополнительного времени 3-4 месяца» (19171).</w:t>
      </w:r>
    </w:p>
    <w:p w14:paraId="2F90C0D7" w14:textId="77777777" w:rsidR="00962513" w:rsidRPr="005E779E" w:rsidRDefault="00962513" w:rsidP="000B7A6C">
      <w:pPr>
        <w:spacing w:after="0" w:line="240" w:lineRule="auto"/>
        <w:jc w:val="both"/>
        <w:rPr>
          <w:rFonts w:ascii="Times New Roman" w:hAnsi="Times New Roman"/>
          <w:color w:val="000000" w:themeColor="text1"/>
          <w:sz w:val="16"/>
          <w:szCs w:val="16"/>
        </w:rPr>
      </w:pPr>
    </w:p>
    <w:p w14:paraId="69EAFA9E" w14:textId="290BABCE" w:rsidR="000C1B8D" w:rsidRPr="005E779E" w:rsidRDefault="000C1B8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первой половине 1931 г. Совет Труда и Обороны принял решение о строительстве в Казани авиакомбината. Инициатором строительства был</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секретарь Татарского обкома ВКП(б) (?) Михаил Осипович Разумов (Арханцев Арон Иосифович). К концу этого же года начались изыскательские работы для его строительства. 2 мая 1932 г. недалеко от села Караваево состоялась торжественная закладка авиакомбината.</w:t>
      </w:r>
    </w:p>
    <w:p w14:paraId="769D739C" w14:textId="77777777" w:rsidR="000C1B8D" w:rsidRPr="005E779E" w:rsidRDefault="000C1B8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Планы для авиакомбината строились грандиозные. Он должен был выпускать 2400 самолетов ТБ-3 и 20 тыс. моторов М-34 в год.</w:t>
      </w:r>
    </w:p>
    <w:p w14:paraId="11691D50" w14:textId="77777777" w:rsidR="000C1B8D" w:rsidRPr="005E779E" w:rsidRDefault="000C1B8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Уже в конце 1932 г. на Казмашстрое работало 36580 человек. Большинство из них было занято земляными работами, были землекопами и грабарями (грабарка - телега для перевозки земли).</w:t>
      </w:r>
    </w:p>
    <w:p w14:paraId="0896406F" w14:textId="77777777" w:rsidR="000C1B8D" w:rsidRPr="005E779E" w:rsidRDefault="000C1B8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 июля 1939 г. строительством заводов и организацией производства на них занималось единое руководство.</w:t>
      </w:r>
    </w:p>
    <w:p w14:paraId="0732A8E9" w14:textId="77777777" w:rsidR="000C1B8D" w:rsidRPr="005E779E" w:rsidRDefault="000C1B8D" w:rsidP="000B7A6C">
      <w:pPr>
        <w:spacing w:after="0" w:line="240" w:lineRule="auto"/>
        <w:jc w:val="both"/>
        <w:rPr>
          <w:rFonts w:ascii="Times New Roman" w:hAnsi="Times New Roman"/>
          <w:color w:val="000000" w:themeColor="text1"/>
          <w:sz w:val="16"/>
          <w:szCs w:val="16"/>
        </w:rPr>
      </w:pPr>
    </w:p>
    <w:p w14:paraId="2F843644" w14:textId="663C3B09" w:rsidR="00E44EE2" w:rsidRPr="005E779E" w:rsidRDefault="00E44EE2" w:rsidP="00E44EE2">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Другие оборонные отрасли</w:t>
      </w:r>
      <w:r w:rsidRPr="005E779E">
        <w:rPr>
          <w:rFonts w:ascii="Times New Roman" w:hAnsi="Times New Roman"/>
          <w:i/>
          <w:iCs/>
          <w:color w:val="000000" w:themeColor="text1"/>
          <w:sz w:val="16"/>
          <w:szCs w:val="16"/>
        </w:rPr>
        <w:t>:</w:t>
      </w:r>
    </w:p>
    <w:p w14:paraId="7E228BFE" w14:textId="77777777" w:rsidR="00E44EE2" w:rsidRPr="005E779E" w:rsidRDefault="00E44EE2" w:rsidP="00E44EE2">
      <w:pPr>
        <w:autoSpaceDE w:val="0"/>
        <w:autoSpaceDN w:val="0"/>
        <w:adjustRightInd w:val="0"/>
        <w:spacing w:after="0" w:line="240" w:lineRule="auto"/>
        <w:jc w:val="both"/>
        <w:rPr>
          <w:rFonts w:ascii="Times New Roman" w:hAnsi="Times New Roman"/>
          <w:iCs/>
          <w:color w:val="000000" w:themeColor="text1"/>
          <w:sz w:val="16"/>
          <w:szCs w:val="16"/>
        </w:rPr>
      </w:pPr>
    </w:p>
    <w:p w14:paraId="066CD53A" w14:textId="622E6BA0" w:rsidR="00EA791B" w:rsidRPr="00142305" w:rsidRDefault="00EA791B" w:rsidP="00EA791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началу июля (на самом деле – к концу июня) 1931 г. танк Гротте</w:t>
      </w:r>
      <w:r w:rsidR="00FE094E">
        <w:rPr>
          <w:rFonts w:ascii="Times New Roman" w:hAnsi="Times New Roman"/>
          <w:color w:val="0070C0"/>
          <w:sz w:val="16"/>
          <w:szCs w:val="16"/>
        </w:rPr>
        <w:t xml:space="preserve"> </w:t>
      </w:r>
      <w:r w:rsidRPr="00142305">
        <w:rPr>
          <w:rFonts w:ascii="Times New Roman" w:hAnsi="Times New Roman"/>
          <w:color w:val="0070C0"/>
          <w:sz w:val="16"/>
          <w:szCs w:val="16"/>
        </w:rPr>
        <w:t>был готов к испытаниям (25010).</w:t>
      </w:r>
    </w:p>
    <w:p w14:paraId="183CD74F" w14:textId="77777777" w:rsidR="00EA791B" w:rsidRPr="00142305" w:rsidRDefault="00EA791B" w:rsidP="00EA791B">
      <w:pPr>
        <w:spacing w:after="0" w:line="240" w:lineRule="auto"/>
        <w:jc w:val="both"/>
        <w:rPr>
          <w:rFonts w:ascii="Times New Roman" w:hAnsi="Times New Roman"/>
          <w:color w:val="0070C0"/>
          <w:sz w:val="16"/>
          <w:szCs w:val="16"/>
        </w:rPr>
      </w:pPr>
    </w:p>
    <w:p w14:paraId="711C9EE1" w14:textId="77777777" w:rsidR="00EA791B" w:rsidRPr="00142305" w:rsidRDefault="00EA791B" w:rsidP="00EA791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началу июля 1931 г. танк ТГ Гротте более-менее был готов к испытаниям.</w:t>
      </w:r>
    </w:p>
    <w:p w14:paraId="72080BE1" w14:textId="77777777" w:rsidR="00EA791B" w:rsidRPr="00142305" w:rsidRDefault="00EA791B" w:rsidP="00EA791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Танк ТГ имел довольно оригинальную конструкцию. Вооружение его было двухъярусным. В верхней части корпуса в каземате (боевой рубке) размещались 76-мм пушка и три 7,62-мм пулемёта «максим» в шаровых установках. В верхней вращающейся башне была установлена 37-мм пушка ПС-2.</w:t>
      </w:r>
    </w:p>
    <w:p w14:paraId="39BCB78A" w14:textId="77777777" w:rsidR="00EA791B" w:rsidRPr="00142305" w:rsidRDefault="00EA791B" w:rsidP="00EA791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качестве 76-мм танковой пушки была использована зенитная пушка Лендера обр. 1915 г. Первоначально за её модернизацию взялся П. Сячентов и назвал её «76-мм танковая пушка ПС-19» (А-19). Сячентов хотел использовать дульный тормоз, но руководство УММ РККА</w:t>
      </w:r>
      <w:bookmarkStart w:id="42" w:name="n_8"/>
      <w:r w:rsidRPr="00142305">
        <w:rPr>
          <w:rFonts w:ascii="Times New Roman" w:hAnsi="Times New Roman"/>
          <w:color w:val="0070C0"/>
          <w:sz w:val="16"/>
          <w:szCs w:val="16"/>
        </w:rPr>
        <w:fldChar w:fldCharType="begin"/>
      </w:r>
      <w:r w:rsidRPr="00142305">
        <w:rPr>
          <w:rFonts w:ascii="Times New Roman" w:hAnsi="Times New Roman"/>
          <w:color w:val="0070C0"/>
          <w:sz w:val="16"/>
          <w:szCs w:val="16"/>
        </w:rPr>
        <w:instrText>HYPERLINK "https://www.rulit.me/books/ohota-za-oruzhiem-neizvestnye-stranicy-holodnoj-vojny-1945-1991-read-835850-9.html" \l "read_n_8"</w:instrText>
      </w:r>
      <w:r w:rsidRPr="00142305">
        <w:rPr>
          <w:rFonts w:ascii="Times New Roman" w:hAnsi="Times New Roman"/>
          <w:color w:val="0070C0"/>
          <w:sz w:val="16"/>
          <w:szCs w:val="16"/>
        </w:rPr>
      </w:r>
      <w:r w:rsidRPr="00142305">
        <w:rPr>
          <w:rFonts w:ascii="Times New Roman" w:hAnsi="Times New Roman"/>
          <w:color w:val="0070C0"/>
          <w:sz w:val="16"/>
          <w:szCs w:val="16"/>
        </w:rPr>
        <w:fldChar w:fldCharType="separate"/>
      </w:r>
      <w:r w:rsidRPr="00142305">
        <w:rPr>
          <w:rStyle w:val="a5"/>
          <w:rFonts w:ascii="Times New Roman" w:hAnsi="Times New Roman"/>
          <w:color w:val="0070C0"/>
          <w:sz w:val="16"/>
          <w:szCs w:val="16"/>
          <w:vertAlign w:val="superscript"/>
        </w:rPr>
        <w:t>[8]</w:t>
      </w:r>
      <w:r w:rsidRPr="00142305">
        <w:rPr>
          <w:rFonts w:ascii="Times New Roman" w:hAnsi="Times New Roman"/>
          <w:color w:val="0070C0"/>
          <w:sz w:val="16"/>
          <w:szCs w:val="16"/>
        </w:rPr>
        <w:fldChar w:fldCharType="end"/>
      </w:r>
      <w:bookmarkEnd w:id="42"/>
      <w:r w:rsidRPr="00142305">
        <w:rPr>
          <w:rFonts w:ascii="Times New Roman" w:hAnsi="Times New Roman"/>
          <w:color w:val="0070C0"/>
          <w:sz w:val="16"/>
          <w:szCs w:val="16"/>
        </w:rPr>
        <w:t> категорически воспротивилось. Гротте пришлось кардинально переработать проект пушки. В частности, он убрал из-под ствола противооткатные устройства и поместил их справа и слева от ствола, изменил конструкцию люльки, сконструировал гильзоулавливатель и новый щелевой дульный тормоз. Пушка ПС-19 в ходе испытаний показала себя неплохо, но при ведении непрерывной стрельбы отмечены отказы полуавтоматики. Замечу, что по проекту 76-мм пушка должна была находиться во вращающейся башне, но из-за ошибок при строительстве танка нижняя башня превратилась в неподвижную цитадель.</w:t>
      </w:r>
    </w:p>
    <w:p w14:paraId="17DA0C44" w14:textId="77777777" w:rsidR="00EA791B" w:rsidRPr="00142305" w:rsidRDefault="00EA791B" w:rsidP="00EA791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37-мм пушка ПС-2 была разработана Сячентовым на базе качающейся части 3,7-см германской противотанковой пушки «Рейнметалл». Теоретически из нее можно было вести и зенитный огонь, но практически эффективность стрельбы из нее по самолётам была нулевая.</w:t>
      </w:r>
    </w:p>
    <w:p w14:paraId="23154C18" w14:textId="77777777" w:rsidR="00EA791B" w:rsidRPr="00142305" w:rsidRDefault="00EA791B" w:rsidP="00EA791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Корпус ТГ был полностью сварным, что для СССР являлось новшеством. Также новшеством была противоснарядная броня (лоб корпуса и башни – 50 мм). Ходовая часть ТГ состояла из пяти опорных катков большого диаметра, четырёх поддерживающих катков среднего диаметра и двух катков малого диаметра. Независимая подвеска на спиральных пружинах, допускавшая вертикальное перемещение опорных катков на расстояние до 220 мм, вместе с пневматическими шинами типа «Эластик» должна была обеспечивать танку чрезвычайно мягкий ход.</w:t>
      </w:r>
    </w:p>
    <w:p w14:paraId="031501D3" w14:textId="77777777" w:rsidR="00EA791B" w:rsidRPr="00142305" w:rsidRDefault="00EA791B" w:rsidP="00EA791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Экипаж танка состоял из пяти человек: механика-водителя, командира (он же был наводчиком 37-мм орудия), пулемётчика и двух человек, обслуживавших 76-мм орудие (25184).</w:t>
      </w:r>
    </w:p>
    <w:p w14:paraId="57F3AB9B" w14:textId="77777777" w:rsidR="00EA791B" w:rsidRPr="00142305" w:rsidRDefault="00EA791B" w:rsidP="00EA791B">
      <w:pPr>
        <w:spacing w:after="0" w:line="240" w:lineRule="auto"/>
        <w:jc w:val="both"/>
        <w:rPr>
          <w:rFonts w:ascii="Times New Roman" w:hAnsi="Times New Roman"/>
          <w:color w:val="0070C0"/>
          <w:sz w:val="16"/>
          <w:szCs w:val="16"/>
        </w:rPr>
      </w:pPr>
    </w:p>
    <w:p w14:paraId="765D934F" w14:textId="77777777" w:rsidR="00E44EE2" w:rsidRPr="00142305" w:rsidRDefault="00E44EE2" w:rsidP="00E44EE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началу июля 1931 танк Гротте был готов к испытаниям (25503).</w:t>
      </w:r>
    </w:p>
    <w:p w14:paraId="7EE942FE" w14:textId="77777777" w:rsidR="00E44EE2" w:rsidRPr="00142305" w:rsidRDefault="00E44EE2" w:rsidP="00E44EE2">
      <w:pPr>
        <w:spacing w:after="0" w:line="240" w:lineRule="auto"/>
        <w:jc w:val="both"/>
        <w:rPr>
          <w:rFonts w:ascii="Times New Roman" w:hAnsi="Times New Roman"/>
          <w:color w:val="0070C0"/>
          <w:sz w:val="16"/>
          <w:szCs w:val="16"/>
        </w:rPr>
      </w:pPr>
    </w:p>
    <w:p w14:paraId="5F42B709"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1D74B50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1521D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июля 1931 был готов АНТ-23 (И-12). В серию не пошла, гос. испытаний не проходила (514).</w:t>
      </w:r>
    </w:p>
    <w:p w14:paraId="664FBF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другим данным - просто в июле 1931</w:t>
      </w:r>
    </w:p>
    <w:p w14:paraId="1C7E47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39B61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июля 1931 был подготовлен Доклад о состоянии работ по опытному моторо- и самолетостроению на 1 июля 1931 для Пред. РВС К.Е.В. (копии Зам. Пред. РВС Тухачевскому, Гамарнику, Каменеву и Егорову).</w:t>
      </w:r>
    </w:p>
    <w:p w14:paraId="6AE8761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По моторам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24"/>
        <w:gridCol w:w="1024"/>
        <w:gridCol w:w="1024"/>
        <w:gridCol w:w="1024"/>
        <w:gridCol w:w="1024"/>
        <w:gridCol w:w="1024"/>
        <w:gridCol w:w="1024"/>
        <w:gridCol w:w="1024"/>
        <w:gridCol w:w="2831"/>
      </w:tblGrid>
      <w:tr w:rsidR="001002C3" w:rsidRPr="005E779E" w14:paraId="7649B0A7" w14:textId="77777777">
        <w:tc>
          <w:tcPr>
            <w:tcW w:w="1024" w:type="dxa"/>
          </w:tcPr>
          <w:p w14:paraId="730715D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w:t>
            </w:r>
          </w:p>
        </w:tc>
        <w:tc>
          <w:tcPr>
            <w:tcW w:w="1024" w:type="dxa"/>
          </w:tcPr>
          <w:p w14:paraId="71DCB51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Кто</w:t>
            </w:r>
          </w:p>
        </w:tc>
        <w:tc>
          <w:tcPr>
            <w:tcW w:w="1024" w:type="dxa"/>
          </w:tcPr>
          <w:p w14:paraId="3B1BF5D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Охлажд.</w:t>
            </w:r>
          </w:p>
        </w:tc>
        <w:tc>
          <w:tcPr>
            <w:tcW w:w="1024" w:type="dxa"/>
          </w:tcPr>
          <w:p w14:paraId="3AB2314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Мощн.</w:t>
            </w:r>
          </w:p>
        </w:tc>
        <w:tc>
          <w:tcPr>
            <w:tcW w:w="1024" w:type="dxa"/>
          </w:tcPr>
          <w:p w14:paraId="6118A51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w:t>
            </w:r>
          </w:p>
        </w:tc>
        <w:tc>
          <w:tcPr>
            <w:tcW w:w="1024" w:type="dxa"/>
          </w:tcPr>
          <w:p w14:paraId="0983383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Удельн.</w:t>
            </w:r>
          </w:p>
        </w:tc>
        <w:tc>
          <w:tcPr>
            <w:tcW w:w="1024" w:type="dxa"/>
          </w:tcPr>
          <w:p w14:paraId="0A10079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Высотн.</w:t>
            </w:r>
          </w:p>
        </w:tc>
        <w:tc>
          <w:tcPr>
            <w:tcW w:w="1024" w:type="dxa"/>
          </w:tcPr>
          <w:p w14:paraId="240030D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Новый</w:t>
            </w:r>
          </w:p>
        </w:tc>
        <w:tc>
          <w:tcPr>
            <w:tcW w:w="2831" w:type="dxa"/>
          </w:tcPr>
          <w:p w14:paraId="365F04D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 октября 1931 года</w:t>
            </w:r>
          </w:p>
        </w:tc>
      </w:tr>
      <w:tr w:rsidR="001002C3" w:rsidRPr="005E779E" w14:paraId="5580F286" w14:textId="77777777">
        <w:tc>
          <w:tcPr>
            <w:tcW w:w="1024" w:type="dxa"/>
          </w:tcPr>
          <w:p w14:paraId="040ADCE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моторов</w:t>
            </w:r>
          </w:p>
        </w:tc>
        <w:tc>
          <w:tcPr>
            <w:tcW w:w="1024" w:type="dxa"/>
          </w:tcPr>
          <w:p w14:paraId="2FC8279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строит</w:t>
            </w:r>
          </w:p>
        </w:tc>
        <w:tc>
          <w:tcPr>
            <w:tcW w:w="1024" w:type="dxa"/>
          </w:tcPr>
          <w:p w14:paraId="2CA27CE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9E8F9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F7A6B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кг</w:t>
            </w:r>
          </w:p>
        </w:tc>
        <w:tc>
          <w:tcPr>
            <w:tcW w:w="1024" w:type="dxa"/>
          </w:tcPr>
          <w:p w14:paraId="70C394E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w:t>
            </w:r>
          </w:p>
        </w:tc>
        <w:tc>
          <w:tcPr>
            <w:tcW w:w="1024" w:type="dxa"/>
          </w:tcPr>
          <w:p w14:paraId="1A34DE6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45DA8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срок</w:t>
            </w:r>
          </w:p>
        </w:tc>
        <w:tc>
          <w:tcPr>
            <w:tcW w:w="2831" w:type="dxa"/>
          </w:tcPr>
          <w:p w14:paraId="07DD729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8DC566E" w14:textId="77777777">
        <w:tc>
          <w:tcPr>
            <w:tcW w:w="1024" w:type="dxa"/>
          </w:tcPr>
          <w:p w14:paraId="4EE4F45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7DA80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A333B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04996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7EB42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D30A6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43B68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BEACC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престав.</w:t>
            </w:r>
          </w:p>
        </w:tc>
        <w:tc>
          <w:tcPr>
            <w:tcW w:w="2831" w:type="dxa"/>
          </w:tcPr>
          <w:p w14:paraId="55F7A75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AEDE2FD" w14:textId="77777777">
        <w:tc>
          <w:tcPr>
            <w:tcW w:w="1024" w:type="dxa"/>
          </w:tcPr>
          <w:p w14:paraId="57EC83E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8D8C9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56410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08DB9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DE19D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91EDA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55E68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795C8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гос.</w:t>
            </w:r>
          </w:p>
        </w:tc>
        <w:tc>
          <w:tcPr>
            <w:tcW w:w="2831" w:type="dxa"/>
          </w:tcPr>
          <w:p w14:paraId="5EDF633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77ED630" w14:textId="77777777">
        <w:tc>
          <w:tcPr>
            <w:tcW w:w="1024" w:type="dxa"/>
          </w:tcPr>
          <w:p w14:paraId="5329CB9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753FB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1A4F1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58BF4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AF014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D1C02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C4DE6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94C72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w:t>
            </w:r>
          </w:p>
        </w:tc>
        <w:tc>
          <w:tcPr>
            <w:tcW w:w="2831" w:type="dxa"/>
          </w:tcPr>
          <w:p w14:paraId="6BA9ADD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EA5485F" w14:textId="77777777">
        <w:tc>
          <w:tcPr>
            <w:tcW w:w="1024" w:type="dxa"/>
          </w:tcPr>
          <w:p w14:paraId="07EBDB9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истребителей</w:t>
            </w:r>
          </w:p>
        </w:tc>
        <w:tc>
          <w:tcPr>
            <w:tcW w:w="1024" w:type="dxa"/>
          </w:tcPr>
          <w:p w14:paraId="7E52DAE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w:t>
            </w:r>
          </w:p>
        </w:tc>
        <w:tc>
          <w:tcPr>
            <w:tcW w:w="1024" w:type="dxa"/>
          </w:tcPr>
          <w:p w14:paraId="4BA4EDF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возд.</w:t>
            </w:r>
          </w:p>
        </w:tc>
        <w:tc>
          <w:tcPr>
            <w:tcW w:w="1024" w:type="dxa"/>
          </w:tcPr>
          <w:p w14:paraId="1149138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450</w:t>
            </w:r>
          </w:p>
        </w:tc>
        <w:tc>
          <w:tcPr>
            <w:tcW w:w="1024" w:type="dxa"/>
          </w:tcPr>
          <w:p w14:paraId="3B7F589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415</w:t>
            </w:r>
          </w:p>
        </w:tc>
        <w:tc>
          <w:tcPr>
            <w:tcW w:w="1024" w:type="dxa"/>
          </w:tcPr>
          <w:p w14:paraId="1F759EC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0,92</w:t>
            </w:r>
          </w:p>
        </w:tc>
        <w:tc>
          <w:tcPr>
            <w:tcW w:w="1024" w:type="dxa"/>
          </w:tcPr>
          <w:p w14:paraId="7E59D61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2000</w:t>
            </w:r>
          </w:p>
        </w:tc>
        <w:tc>
          <w:tcPr>
            <w:tcW w:w="1024" w:type="dxa"/>
          </w:tcPr>
          <w:p w14:paraId="577641D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февр.</w:t>
            </w:r>
          </w:p>
        </w:tc>
        <w:tc>
          <w:tcPr>
            <w:tcW w:w="2831" w:type="dxa"/>
          </w:tcPr>
          <w:p w14:paraId="6EC88BB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 сего времени на гос. испытание не предъявлялся.</w:t>
            </w:r>
          </w:p>
        </w:tc>
      </w:tr>
      <w:tr w:rsidR="001002C3" w:rsidRPr="005E779E" w14:paraId="6E042735" w14:textId="77777777">
        <w:tc>
          <w:tcPr>
            <w:tcW w:w="1024" w:type="dxa"/>
          </w:tcPr>
          <w:p w14:paraId="45D62A4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М-15</w:t>
            </w:r>
          </w:p>
        </w:tc>
        <w:tc>
          <w:tcPr>
            <w:tcW w:w="1024" w:type="dxa"/>
          </w:tcPr>
          <w:p w14:paraId="4420770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8318D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5CCD0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31F54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9BBB6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7115A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58096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 г.</w:t>
            </w:r>
          </w:p>
        </w:tc>
        <w:tc>
          <w:tcPr>
            <w:tcW w:w="2831" w:type="dxa"/>
          </w:tcPr>
          <w:p w14:paraId="306D593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мае прошел 50-часовое серийное испытание, пущен </w:t>
            </w:r>
          </w:p>
        </w:tc>
      </w:tr>
      <w:tr w:rsidR="001002C3" w:rsidRPr="005E779E" w14:paraId="3458706B" w14:textId="77777777">
        <w:tc>
          <w:tcPr>
            <w:tcW w:w="1024" w:type="dxa"/>
          </w:tcPr>
          <w:p w14:paraId="30611E1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CCC36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713F3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92803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4E6F8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19E7A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D81E4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0E36E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325CFCB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серию для ГВФ. Подлежит доработке в деталях</w:t>
            </w:r>
          </w:p>
        </w:tc>
      </w:tr>
      <w:tr w:rsidR="001002C3" w:rsidRPr="005E779E" w14:paraId="4933FF6E" w14:textId="77777777">
        <w:tc>
          <w:tcPr>
            <w:tcW w:w="1024" w:type="dxa"/>
          </w:tcPr>
          <w:p w14:paraId="3FDD949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истребителей</w:t>
            </w:r>
          </w:p>
        </w:tc>
        <w:tc>
          <w:tcPr>
            <w:tcW w:w="1024" w:type="dxa"/>
          </w:tcPr>
          <w:p w14:paraId="3299FE8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ИАМ</w:t>
            </w:r>
          </w:p>
        </w:tc>
        <w:tc>
          <w:tcPr>
            <w:tcW w:w="1024" w:type="dxa"/>
          </w:tcPr>
          <w:p w14:paraId="58C7730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водян.</w:t>
            </w:r>
          </w:p>
        </w:tc>
        <w:tc>
          <w:tcPr>
            <w:tcW w:w="1024" w:type="dxa"/>
          </w:tcPr>
          <w:p w14:paraId="76951E3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550</w:t>
            </w:r>
          </w:p>
        </w:tc>
        <w:tc>
          <w:tcPr>
            <w:tcW w:w="1024" w:type="dxa"/>
          </w:tcPr>
          <w:p w14:paraId="51B5578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450</w:t>
            </w:r>
          </w:p>
        </w:tc>
        <w:tc>
          <w:tcPr>
            <w:tcW w:w="1024" w:type="dxa"/>
          </w:tcPr>
          <w:p w14:paraId="34EAF82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0,82</w:t>
            </w:r>
          </w:p>
        </w:tc>
        <w:tc>
          <w:tcPr>
            <w:tcW w:w="1024" w:type="dxa"/>
          </w:tcPr>
          <w:p w14:paraId="353EFFE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024" w:type="dxa"/>
          </w:tcPr>
          <w:p w14:paraId="4CEB436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марта</w:t>
            </w:r>
          </w:p>
        </w:tc>
        <w:tc>
          <w:tcPr>
            <w:tcW w:w="2831" w:type="dxa"/>
          </w:tcPr>
          <w:p w14:paraId="788609D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Закончена рабочая компоновка. Закончены поковочн.</w:t>
            </w:r>
          </w:p>
        </w:tc>
      </w:tr>
      <w:tr w:rsidR="001002C3" w:rsidRPr="005E779E" w14:paraId="0A1C7967" w14:textId="77777777">
        <w:tc>
          <w:tcPr>
            <w:tcW w:w="1024" w:type="dxa"/>
          </w:tcPr>
          <w:p w14:paraId="6ADAEAB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М-19а</w:t>
            </w:r>
          </w:p>
        </w:tc>
        <w:tc>
          <w:tcPr>
            <w:tcW w:w="1024" w:type="dxa"/>
          </w:tcPr>
          <w:p w14:paraId="6B6B3A7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AE7B8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C6194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C5735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E6BEA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2DC62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1838D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1932</w:t>
            </w:r>
          </w:p>
        </w:tc>
        <w:tc>
          <w:tcPr>
            <w:tcW w:w="2831" w:type="dxa"/>
          </w:tcPr>
          <w:p w14:paraId="104A369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чертежи. Главное литье закончено. Рабочие чертежи</w:t>
            </w:r>
          </w:p>
        </w:tc>
      </w:tr>
      <w:tr w:rsidR="001002C3" w:rsidRPr="005E779E" w14:paraId="0BAD0E6C" w14:textId="77777777">
        <w:tc>
          <w:tcPr>
            <w:tcW w:w="1024" w:type="dxa"/>
          </w:tcPr>
          <w:p w14:paraId="016A094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F2F71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FDB80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888F0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E2B2E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F6928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5FFE8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B3CDA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15E4F58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частично закончены (не готов импеллер). Специфик.</w:t>
            </w:r>
          </w:p>
        </w:tc>
      </w:tr>
      <w:tr w:rsidR="001002C3" w:rsidRPr="005E779E" w14:paraId="777E0BE7" w14:textId="77777777">
        <w:tc>
          <w:tcPr>
            <w:tcW w:w="1024" w:type="dxa"/>
          </w:tcPr>
          <w:p w14:paraId="090F03C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119CA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B3699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E6A52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5B17E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B08BA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EA48E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FAB6F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594998F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процессе, равно как и общие виды и узловые</w:t>
            </w:r>
          </w:p>
        </w:tc>
      </w:tr>
      <w:tr w:rsidR="001002C3" w:rsidRPr="005E779E" w14:paraId="1200C5BA" w14:textId="77777777">
        <w:tc>
          <w:tcPr>
            <w:tcW w:w="1024" w:type="dxa"/>
          </w:tcPr>
          <w:p w14:paraId="399B846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32EAB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622D2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6B8C2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EDBE7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AFC6F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70203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90797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3991309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сборочные чертежи</w:t>
            </w:r>
          </w:p>
        </w:tc>
      </w:tr>
      <w:tr w:rsidR="001002C3" w:rsidRPr="005E779E" w14:paraId="6EA215D4" w14:textId="77777777">
        <w:tc>
          <w:tcPr>
            <w:tcW w:w="1024" w:type="dxa"/>
          </w:tcPr>
          <w:p w14:paraId="42AE3A0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разведчика</w:t>
            </w:r>
          </w:p>
        </w:tc>
        <w:tc>
          <w:tcPr>
            <w:tcW w:w="1024" w:type="dxa"/>
          </w:tcPr>
          <w:p w14:paraId="30F3EC2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ИАМ</w:t>
            </w:r>
          </w:p>
        </w:tc>
        <w:tc>
          <w:tcPr>
            <w:tcW w:w="1024" w:type="dxa"/>
          </w:tcPr>
          <w:p w14:paraId="18B6E84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024" w:type="dxa"/>
          </w:tcPr>
          <w:p w14:paraId="3BF91B3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750/</w:t>
            </w:r>
          </w:p>
        </w:tc>
        <w:tc>
          <w:tcPr>
            <w:tcW w:w="1024" w:type="dxa"/>
          </w:tcPr>
          <w:p w14:paraId="5E970F9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540</w:t>
            </w:r>
          </w:p>
        </w:tc>
        <w:tc>
          <w:tcPr>
            <w:tcW w:w="1024" w:type="dxa"/>
          </w:tcPr>
          <w:p w14:paraId="643EB7B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0,74</w:t>
            </w:r>
          </w:p>
        </w:tc>
        <w:tc>
          <w:tcPr>
            <w:tcW w:w="1024" w:type="dxa"/>
          </w:tcPr>
          <w:p w14:paraId="551A3AA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024" w:type="dxa"/>
          </w:tcPr>
          <w:p w14:paraId="6A49C0D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июля</w:t>
            </w:r>
          </w:p>
        </w:tc>
        <w:tc>
          <w:tcPr>
            <w:tcW w:w="2831" w:type="dxa"/>
          </w:tcPr>
          <w:p w14:paraId="2A7892B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 без импеллера находится в стадии предвар.</w:t>
            </w:r>
          </w:p>
        </w:tc>
      </w:tr>
      <w:tr w:rsidR="001002C3" w:rsidRPr="005E779E" w14:paraId="00303A21" w14:textId="77777777">
        <w:tc>
          <w:tcPr>
            <w:tcW w:w="1024" w:type="dxa"/>
          </w:tcPr>
          <w:p w14:paraId="5B2C568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М-34</w:t>
            </w:r>
          </w:p>
        </w:tc>
        <w:tc>
          <w:tcPr>
            <w:tcW w:w="1024" w:type="dxa"/>
          </w:tcPr>
          <w:p w14:paraId="4F017F3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79737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4E541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900</w:t>
            </w:r>
          </w:p>
        </w:tc>
        <w:tc>
          <w:tcPr>
            <w:tcW w:w="1024" w:type="dxa"/>
          </w:tcPr>
          <w:p w14:paraId="2CFD16B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5CC62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2A293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7D2B6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 г.</w:t>
            </w:r>
          </w:p>
        </w:tc>
        <w:tc>
          <w:tcPr>
            <w:tcW w:w="2831" w:type="dxa"/>
          </w:tcPr>
          <w:p w14:paraId="3EF60BD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заводских испытаний. Из-за отсутствия карбюратора</w:t>
            </w:r>
          </w:p>
        </w:tc>
      </w:tr>
      <w:tr w:rsidR="001002C3" w:rsidRPr="005E779E" w14:paraId="5FD57920" w14:textId="77777777">
        <w:tc>
          <w:tcPr>
            <w:tcW w:w="1024" w:type="dxa"/>
          </w:tcPr>
          <w:p w14:paraId="5532B85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D7A05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2F796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50728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467B4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F47BF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452BB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AAFC0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4F93454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 удалось получить запроектированные мощности.</w:t>
            </w:r>
          </w:p>
        </w:tc>
      </w:tr>
      <w:tr w:rsidR="001002C3" w:rsidRPr="005E779E" w14:paraId="60200ECD" w14:textId="77777777">
        <w:tc>
          <w:tcPr>
            <w:tcW w:w="1024" w:type="dxa"/>
          </w:tcPr>
          <w:p w14:paraId="1B94B3A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BC6D7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BFAA9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FF7C0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46F6D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7840B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587A1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4F84C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33A51B9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Импеллер изготавливается крайне медленно, темп</w:t>
            </w:r>
          </w:p>
        </w:tc>
      </w:tr>
      <w:tr w:rsidR="001002C3" w:rsidRPr="005E779E" w14:paraId="13DE3406" w14:textId="77777777">
        <w:tc>
          <w:tcPr>
            <w:tcW w:w="1024" w:type="dxa"/>
          </w:tcPr>
          <w:p w14:paraId="48E4A8F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33B59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C97CB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C1D6F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617A5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9EE13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33397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2FC04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42F032E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 на заводе 26 резко упал и грозит срывом.</w:t>
            </w:r>
          </w:p>
        </w:tc>
      </w:tr>
      <w:tr w:rsidR="001002C3" w:rsidRPr="005E779E" w14:paraId="68A8B08B" w14:textId="77777777">
        <w:tc>
          <w:tcPr>
            <w:tcW w:w="1024" w:type="dxa"/>
          </w:tcPr>
          <w:p w14:paraId="4E7E731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1219F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79EB3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40C34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90DDD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9ACFB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1FF7D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75160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21DAF9A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Приняты меры по получению карбюратора из-за</w:t>
            </w:r>
          </w:p>
        </w:tc>
      </w:tr>
      <w:tr w:rsidR="001002C3" w:rsidRPr="005E779E" w14:paraId="4DD0F1C6" w14:textId="77777777">
        <w:tc>
          <w:tcPr>
            <w:tcW w:w="1024" w:type="dxa"/>
          </w:tcPr>
          <w:p w14:paraId="2A89B0C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4F3B1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9B1D8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C7953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B5018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09677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D454D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C7B6E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73C0FDA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границы. педварительные данные - мощность 740</w:t>
            </w:r>
          </w:p>
        </w:tc>
      </w:tr>
      <w:tr w:rsidR="001002C3" w:rsidRPr="005E779E" w14:paraId="2C589E13" w14:textId="77777777">
        <w:tc>
          <w:tcPr>
            <w:tcW w:w="1024" w:type="dxa"/>
          </w:tcPr>
          <w:p w14:paraId="63D8129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4F217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C4E6C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D5E11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2A15A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8DE57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A8BD6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76001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01EE41A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нр при 1536 оборотов, макс. мощность - 815 при</w:t>
            </w:r>
          </w:p>
        </w:tc>
      </w:tr>
      <w:tr w:rsidR="001002C3" w:rsidRPr="005E779E" w14:paraId="7B5842D8" w14:textId="77777777">
        <w:tc>
          <w:tcPr>
            <w:tcW w:w="1024" w:type="dxa"/>
          </w:tcPr>
          <w:p w14:paraId="5EB4F78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89B2F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A47AC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0759E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11719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3FE3A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0C962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E945A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6122490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1800. Вес без импеллера - 590 кг</w:t>
            </w:r>
          </w:p>
        </w:tc>
      </w:tr>
      <w:tr w:rsidR="001002C3" w:rsidRPr="005E779E" w14:paraId="3B456C6A" w14:textId="77777777">
        <w:tc>
          <w:tcPr>
            <w:tcW w:w="1024" w:type="dxa"/>
          </w:tcPr>
          <w:p w14:paraId="0409463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разведчика</w:t>
            </w:r>
          </w:p>
        </w:tc>
        <w:tc>
          <w:tcPr>
            <w:tcW w:w="1024" w:type="dxa"/>
          </w:tcPr>
          <w:p w14:paraId="72D8700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w:t>
            </w:r>
          </w:p>
        </w:tc>
        <w:tc>
          <w:tcPr>
            <w:tcW w:w="1024" w:type="dxa"/>
          </w:tcPr>
          <w:p w14:paraId="744F46A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водян.</w:t>
            </w:r>
          </w:p>
        </w:tc>
        <w:tc>
          <w:tcPr>
            <w:tcW w:w="1024" w:type="dxa"/>
          </w:tcPr>
          <w:p w14:paraId="2057AEF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750/</w:t>
            </w:r>
          </w:p>
        </w:tc>
        <w:tc>
          <w:tcPr>
            <w:tcW w:w="1024" w:type="dxa"/>
          </w:tcPr>
          <w:p w14:paraId="5EE0429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630</w:t>
            </w:r>
          </w:p>
        </w:tc>
        <w:tc>
          <w:tcPr>
            <w:tcW w:w="1024" w:type="dxa"/>
          </w:tcPr>
          <w:p w14:paraId="5C68C87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0,83</w:t>
            </w:r>
          </w:p>
        </w:tc>
        <w:tc>
          <w:tcPr>
            <w:tcW w:w="1024" w:type="dxa"/>
          </w:tcPr>
          <w:p w14:paraId="3AE077D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1500</w:t>
            </w:r>
          </w:p>
        </w:tc>
        <w:tc>
          <w:tcPr>
            <w:tcW w:w="1024" w:type="dxa"/>
          </w:tcPr>
          <w:p w14:paraId="50626CC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01 янв.</w:t>
            </w:r>
          </w:p>
        </w:tc>
        <w:tc>
          <w:tcPr>
            <w:tcW w:w="2831" w:type="dxa"/>
          </w:tcPr>
          <w:p w14:paraId="6AF45A9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Прошел 100 часовые гос. испытания и запускается</w:t>
            </w:r>
          </w:p>
        </w:tc>
      </w:tr>
      <w:tr w:rsidR="001002C3" w:rsidRPr="005E779E" w14:paraId="6C6A15D8" w14:textId="77777777">
        <w:tc>
          <w:tcPr>
            <w:tcW w:w="1024" w:type="dxa"/>
          </w:tcPr>
          <w:p w14:paraId="715CF2A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М-27</w:t>
            </w:r>
          </w:p>
        </w:tc>
        <w:tc>
          <w:tcPr>
            <w:tcW w:w="1024" w:type="dxa"/>
          </w:tcPr>
          <w:p w14:paraId="15D5C9D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ACD03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BC8DA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850</w:t>
            </w:r>
          </w:p>
        </w:tc>
        <w:tc>
          <w:tcPr>
            <w:tcW w:w="1024" w:type="dxa"/>
          </w:tcPr>
          <w:p w14:paraId="0993C21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89FEE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053BF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D9335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w:t>
            </w:r>
          </w:p>
        </w:tc>
        <w:tc>
          <w:tcPr>
            <w:tcW w:w="2831" w:type="dxa"/>
          </w:tcPr>
          <w:p w14:paraId="0394541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серию</w:t>
            </w:r>
          </w:p>
        </w:tc>
      </w:tr>
      <w:tr w:rsidR="001002C3" w:rsidRPr="005E779E" w14:paraId="58495CDE" w14:textId="77777777">
        <w:tc>
          <w:tcPr>
            <w:tcW w:w="1024" w:type="dxa"/>
          </w:tcPr>
          <w:p w14:paraId="3CD5017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тяжелых</w:t>
            </w:r>
          </w:p>
        </w:tc>
        <w:tc>
          <w:tcPr>
            <w:tcW w:w="1024" w:type="dxa"/>
          </w:tcPr>
          <w:p w14:paraId="52A6382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w:t>
            </w:r>
          </w:p>
        </w:tc>
        <w:tc>
          <w:tcPr>
            <w:tcW w:w="1024" w:type="dxa"/>
          </w:tcPr>
          <w:p w14:paraId="4DC4142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водян.</w:t>
            </w:r>
          </w:p>
        </w:tc>
        <w:tc>
          <w:tcPr>
            <w:tcW w:w="1024" w:type="dxa"/>
          </w:tcPr>
          <w:p w14:paraId="764688B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w:t>
            </w:r>
          </w:p>
        </w:tc>
        <w:tc>
          <w:tcPr>
            <w:tcW w:w="1024" w:type="dxa"/>
          </w:tcPr>
          <w:p w14:paraId="0AF7BF2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840</w:t>
            </w:r>
          </w:p>
        </w:tc>
        <w:tc>
          <w:tcPr>
            <w:tcW w:w="1024" w:type="dxa"/>
          </w:tcPr>
          <w:p w14:paraId="5D6E145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0,84</w:t>
            </w:r>
          </w:p>
        </w:tc>
        <w:tc>
          <w:tcPr>
            <w:tcW w:w="1024" w:type="dxa"/>
          </w:tcPr>
          <w:p w14:paraId="631006A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4000</w:t>
            </w:r>
          </w:p>
        </w:tc>
        <w:tc>
          <w:tcPr>
            <w:tcW w:w="1024" w:type="dxa"/>
          </w:tcPr>
          <w:p w14:paraId="78DC30D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мая</w:t>
            </w:r>
          </w:p>
        </w:tc>
        <w:tc>
          <w:tcPr>
            <w:tcW w:w="2831" w:type="dxa"/>
          </w:tcPr>
          <w:p w14:paraId="3249E7A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 прошел 50 час. этап гос. испытаний, причем</w:t>
            </w:r>
          </w:p>
        </w:tc>
      </w:tr>
      <w:tr w:rsidR="001002C3" w:rsidRPr="005E779E" w14:paraId="7FFC8904" w14:textId="77777777">
        <w:tc>
          <w:tcPr>
            <w:tcW w:w="1024" w:type="dxa"/>
          </w:tcPr>
          <w:p w14:paraId="117C910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бомбардировщиков</w:t>
            </w:r>
          </w:p>
        </w:tc>
        <w:tc>
          <w:tcPr>
            <w:tcW w:w="1024" w:type="dxa"/>
          </w:tcPr>
          <w:p w14:paraId="72D3C3D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0C8E8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C3D9A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82DAD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12B39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806BE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B7E0F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 г.</w:t>
            </w:r>
          </w:p>
        </w:tc>
        <w:tc>
          <w:tcPr>
            <w:tcW w:w="2831" w:type="dxa"/>
          </w:tcPr>
          <w:p w14:paraId="123E6D8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25 час. разбирался. Обнаружиди трещины на</w:t>
            </w:r>
          </w:p>
        </w:tc>
      </w:tr>
      <w:tr w:rsidR="001002C3" w:rsidRPr="005E779E" w14:paraId="5A8EDF1B" w14:textId="77777777">
        <w:tc>
          <w:tcPr>
            <w:tcW w:w="1024" w:type="dxa"/>
          </w:tcPr>
          <w:p w14:paraId="1621486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ФЭД-3</w:t>
            </w:r>
          </w:p>
        </w:tc>
        <w:tc>
          <w:tcPr>
            <w:tcW w:w="1024" w:type="dxa"/>
          </w:tcPr>
          <w:p w14:paraId="15E36B4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96CCF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431C7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A6F1A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92060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FF5E9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DCAB5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13A5CBF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всех шатунах, одном коренном подшипнике и кроме</w:t>
            </w:r>
          </w:p>
        </w:tc>
      </w:tr>
      <w:tr w:rsidR="001002C3" w:rsidRPr="005E779E" w14:paraId="3F40FD35" w14:textId="77777777">
        <w:tc>
          <w:tcPr>
            <w:tcW w:w="1024" w:type="dxa"/>
          </w:tcPr>
          <w:p w14:paraId="3611EBD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92946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548E8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EBEF8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52351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CB7BD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59A6D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625C8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2583758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того трещина в валике импеллера. При вторичной</w:t>
            </w:r>
          </w:p>
        </w:tc>
      </w:tr>
      <w:tr w:rsidR="001002C3" w:rsidRPr="005E779E" w14:paraId="15A9C124" w14:textId="77777777">
        <w:tc>
          <w:tcPr>
            <w:tcW w:w="1024" w:type="dxa"/>
          </w:tcPr>
          <w:p w14:paraId="3B3EBE6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1C7C8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E2C0A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04BC2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B1F72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63AA1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806DF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08BA5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0DE141E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разборке обнаружили трещины на шатунных подш.</w:t>
            </w:r>
          </w:p>
        </w:tc>
      </w:tr>
      <w:tr w:rsidR="001002C3" w:rsidRPr="005E779E" w14:paraId="0B5C62B6" w14:textId="77777777">
        <w:tc>
          <w:tcPr>
            <w:tcW w:w="1024" w:type="dxa"/>
          </w:tcPr>
          <w:p w14:paraId="2C63387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7A753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EF911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9E6F4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1FF91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A3E2B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3C6A0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BC848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593618A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от проведения второго 50-часового этапа</w:t>
            </w:r>
          </w:p>
        </w:tc>
      </w:tr>
      <w:tr w:rsidR="001002C3" w:rsidRPr="005E779E" w14:paraId="56026EF6" w14:textId="77777777">
        <w:tc>
          <w:tcPr>
            <w:tcW w:w="1024" w:type="dxa"/>
          </w:tcPr>
          <w:p w14:paraId="7243A1C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A1477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3ED4A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6FF3C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E7609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70ADF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CF7A9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9E7E6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6863C17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гос. испытаний отказался. Проверяются расчеты</w:t>
            </w:r>
          </w:p>
        </w:tc>
      </w:tr>
      <w:tr w:rsidR="001002C3" w:rsidRPr="005E779E" w14:paraId="0F39327B" w14:textId="77777777">
        <w:tc>
          <w:tcPr>
            <w:tcW w:w="1024" w:type="dxa"/>
          </w:tcPr>
          <w:p w14:paraId="3667C70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4C4F4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8B60C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0C1B9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8B485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6345A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74619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D1186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1DA2F26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подготовки заключения по этапу и мотору</w:t>
            </w:r>
          </w:p>
        </w:tc>
      </w:tr>
      <w:tr w:rsidR="001002C3" w:rsidRPr="005E779E" w14:paraId="399D2E1A" w14:textId="77777777">
        <w:tc>
          <w:tcPr>
            <w:tcW w:w="1024" w:type="dxa"/>
          </w:tcPr>
          <w:p w14:paraId="205257D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истребителей</w:t>
            </w:r>
          </w:p>
        </w:tc>
        <w:tc>
          <w:tcPr>
            <w:tcW w:w="1024" w:type="dxa"/>
          </w:tcPr>
          <w:p w14:paraId="1200FE6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ИАМ</w:t>
            </w:r>
          </w:p>
        </w:tc>
        <w:tc>
          <w:tcPr>
            <w:tcW w:w="1024" w:type="dxa"/>
          </w:tcPr>
          <w:p w14:paraId="4B2C250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возд.</w:t>
            </w:r>
          </w:p>
        </w:tc>
        <w:tc>
          <w:tcPr>
            <w:tcW w:w="1024" w:type="dxa"/>
          </w:tcPr>
          <w:p w14:paraId="7794A00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w:t>
            </w:r>
          </w:p>
        </w:tc>
        <w:tc>
          <w:tcPr>
            <w:tcW w:w="1024" w:type="dxa"/>
          </w:tcPr>
          <w:p w14:paraId="1BCC38B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A9587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0,63</w:t>
            </w:r>
          </w:p>
        </w:tc>
        <w:tc>
          <w:tcPr>
            <w:tcW w:w="1024" w:type="dxa"/>
          </w:tcPr>
          <w:p w14:paraId="6FB2C03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024" w:type="dxa"/>
          </w:tcPr>
          <w:p w14:paraId="3784DDA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марта</w:t>
            </w:r>
          </w:p>
        </w:tc>
        <w:tc>
          <w:tcPr>
            <w:tcW w:w="2831" w:type="dxa"/>
          </w:tcPr>
          <w:p w14:paraId="7F389AF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Окончена расчетная часть и компоновка и черт.</w:t>
            </w:r>
          </w:p>
        </w:tc>
      </w:tr>
      <w:tr w:rsidR="001002C3" w:rsidRPr="005E779E" w14:paraId="3C78FFC3" w14:textId="77777777">
        <w:tc>
          <w:tcPr>
            <w:tcW w:w="1024" w:type="dxa"/>
          </w:tcPr>
          <w:p w14:paraId="5DFE5C6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М-38</w:t>
            </w:r>
          </w:p>
        </w:tc>
        <w:tc>
          <w:tcPr>
            <w:tcW w:w="1024" w:type="dxa"/>
          </w:tcPr>
          <w:p w14:paraId="022BEE2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5B347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F98AB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4B36C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81D8F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6C958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B13F2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1932 г.</w:t>
            </w:r>
          </w:p>
        </w:tc>
        <w:tc>
          <w:tcPr>
            <w:tcW w:w="2831" w:type="dxa"/>
          </w:tcPr>
          <w:p w14:paraId="35D160B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основных деталей. Мелкие детали будут окончены 25</w:t>
            </w:r>
          </w:p>
        </w:tc>
      </w:tr>
      <w:tr w:rsidR="001002C3" w:rsidRPr="005E779E" w14:paraId="750DD04A" w14:textId="77777777">
        <w:tc>
          <w:tcPr>
            <w:tcW w:w="1024" w:type="dxa"/>
          </w:tcPr>
          <w:p w14:paraId="08F8B22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D78BF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2137A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5FFE7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B2196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85A67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50DEF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87074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2E2FA65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июля, сборочные - 15 августа. Литье гл. деталей</w:t>
            </w:r>
          </w:p>
        </w:tc>
      </w:tr>
      <w:tr w:rsidR="001002C3" w:rsidRPr="005E779E" w14:paraId="109EA937" w14:textId="77777777">
        <w:tc>
          <w:tcPr>
            <w:tcW w:w="1024" w:type="dxa"/>
          </w:tcPr>
          <w:p w14:paraId="2DFCA1E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DC71B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04306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C2E4D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D1259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9C729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E3F48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2990D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4CA5D30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будет выпущено 5 июля. Задерживаются поковки,</w:t>
            </w:r>
          </w:p>
        </w:tc>
      </w:tr>
      <w:tr w:rsidR="001002C3" w:rsidRPr="005E779E" w14:paraId="466F514C" w14:textId="77777777">
        <w:tc>
          <w:tcPr>
            <w:tcW w:w="1024" w:type="dxa"/>
          </w:tcPr>
          <w:p w14:paraId="31CE506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EEC2A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AE4E9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09F37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CDD25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0ABFE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70BD2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15A93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5E0A266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заказанные на Мотовилихинском заводе и будут</w:t>
            </w:r>
          </w:p>
        </w:tc>
      </w:tr>
      <w:tr w:rsidR="001002C3" w:rsidRPr="005E779E" w14:paraId="1935602B" w14:textId="77777777">
        <w:tc>
          <w:tcPr>
            <w:tcW w:w="1024" w:type="dxa"/>
          </w:tcPr>
          <w:p w14:paraId="378EA65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8FB68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5B882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842CD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B9360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5AC06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9391A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48492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3D2A421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поданы 1 октября. Необходим нажим на ускорение</w:t>
            </w:r>
          </w:p>
        </w:tc>
      </w:tr>
      <w:tr w:rsidR="001002C3" w:rsidRPr="005E779E" w14:paraId="0A722A7E" w14:textId="77777777">
        <w:tc>
          <w:tcPr>
            <w:tcW w:w="1024" w:type="dxa"/>
          </w:tcPr>
          <w:p w14:paraId="2FB70AD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28B7C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1FDC1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4AFCB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CD4E8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4A28F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11A39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BD528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7D142F9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выполнения заказа Мотор по данным ИАМ</w:t>
            </w:r>
          </w:p>
        </w:tc>
      </w:tr>
      <w:tr w:rsidR="001002C3" w:rsidRPr="005E779E" w14:paraId="232F9758" w14:textId="77777777">
        <w:tc>
          <w:tcPr>
            <w:tcW w:w="1024" w:type="dxa"/>
          </w:tcPr>
          <w:p w14:paraId="58D4E2A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07704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6AAD8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8F0EB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3589E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F85EE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5E752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C2195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3652D7D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соответствует требованиям ВАО</w:t>
            </w:r>
          </w:p>
        </w:tc>
      </w:tr>
      <w:tr w:rsidR="001002C3" w:rsidRPr="005E779E" w14:paraId="7C37D1BC" w14:textId="77777777">
        <w:tc>
          <w:tcPr>
            <w:tcW w:w="1024" w:type="dxa"/>
          </w:tcPr>
          <w:p w14:paraId="73CDD9F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тяжелых</w:t>
            </w:r>
          </w:p>
        </w:tc>
        <w:tc>
          <w:tcPr>
            <w:tcW w:w="1024" w:type="dxa"/>
          </w:tcPr>
          <w:p w14:paraId="3B2EDDA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ИАМ</w:t>
            </w:r>
          </w:p>
        </w:tc>
        <w:tc>
          <w:tcPr>
            <w:tcW w:w="1024" w:type="dxa"/>
          </w:tcPr>
          <w:p w14:paraId="0FF90C5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водян.</w:t>
            </w:r>
          </w:p>
        </w:tc>
        <w:tc>
          <w:tcPr>
            <w:tcW w:w="1024" w:type="dxa"/>
          </w:tcPr>
          <w:p w14:paraId="605ADE1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2000</w:t>
            </w:r>
          </w:p>
        </w:tc>
        <w:tc>
          <w:tcPr>
            <w:tcW w:w="1024" w:type="dxa"/>
          </w:tcPr>
          <w:p w14:paraId="1907D21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1800</w:t>
            </w:r>
          </w:p>
        </w:tc>
        <w:tc>
          <w:tcPr>
            <w:tcW w:w="1024" w:type="dxa"/>
          </w:tcPr>
          <w:p w14:paraId="5C13376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0,9</w:t>
            </w:r>
          </w:p>
        </w:tc>
        <w:tc>
          <w:tcPr>
            <w:tcW w:w="1024" w:type="dxa"/>
          </w:tcPr>
          <w:p w14:paraId="6841916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3500</w:t>
            </w:r>
          </w:p>
        </w:tc>
        <w:tc>
          <w:tcPr>
            <w:tcW w:w="1024" w:type="dxa"/>
          </w:tcPr>
          <w:p w14:paraId="3675247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июля</w:t>
            </w:r>
          </w:p>
        </w:tc>
        <w:tc>
          <w:tcPr>
            <w:tcW w:w="2831" w:type="dxa"/>
          </w:tcPr>
          <w:p w14:paraId="4703EA1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Готова общая компоновка. заканчиваются</w:t>
            </w:r>
          </w:p>
        </w:tc>
      </w:tr>
      <w:tr w:rsidR="001002C3" w:rsidRPr="005E779E" w14:paraId="2DD939F1" w14:textId="77777777">
        <w:tc>
          <w:tcPr>
            <w:tcW w:w="1024" w:type="dxa"/>
          </w:tcPr>
          <w:p w14:paraId="04761CA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бомбардировщиков</w:t>
            </w:r>
          </w:p>
        </w:tc>
        <w:tc>
          <w:tcPr>
            <w:tcW w:w="1024" w:type="dxa"/>
          </w:tcPr>
          <w:p w14:paraId="4235CFD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7251A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B34D8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B145E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D361F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614F2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25E3D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1932 г.</w:t>
            </w:r>
          </w:p>
        </w:tc>
        <w:tc>
          <w:tcPr>
            <w:tcW w:w="2831" w:type="dxa"/>
          </w:tcPr>
          <w:p w14:paraId="09A22E5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рабочие чертежи. изготовлена часть поковок и</w:t>
            </w:r>
          </w:p>
        </w:tc>
      </w:tr>
      <w:tr w:rsidR="001002C3" w:rsidRPr="005E779E" w14:paraId="4E9B64C8" w14:textId="77777777">
        <w:tc>
          <w:tcPr>
            <w:tcW w:w="1024" w:type="dxa"/>
          </w:tcPr>
          <w:p w14:paraId="0190A71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М-44</w:t>
            </w:r>
          </w:p>
        </w:tc>
        <w:tc>
          <w:tcPr>
            <w:tcW w:w="1024" w:type="dxa"/>
          </w:tcPr>
          <w:p w14:paraId="2566332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C65D2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F086A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6AC95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BA5D6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9D1F1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BF835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311D5D9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модели. Ведется подготовка к производству.</w:t>
            </w:r>
          </w:p>
        </w:tc>
      </w:tr>
      <w:tr w:rsidR="001002C3" w:rsidRPr="005E779E" w14:paraId="3F3C1577" w14:textId="77777777">
        <w:tc>
          <w:tcPr>
            <w:tcW w:w="1024" w:type="dxa"/>
          </w:tcPr>
          <w:p w14:paraId="3A76361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058CE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FB92D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3D5E4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55D22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6B391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7B1AC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BF06E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7178B81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Ведутся испытания цилиндра большого диаметра</w:t>
            </w:r>
          </w:p>
        </w:tc>
      </w:tr>
      <w:tr w:rsidR="001002C3" w:rsidRPr="005E779E" w14:paraId="650DB155" w14:textId="77777777">
        <w:tc>
          <w:tcPr>
            <w:tcW w:w="1024" w:type="dxa"/>
          </w:tcPr>
          <w:p w14:paraId="7F10437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истребителей</w:t>
            </w:r>
          </w:p>
        </w:tc>
        <w:tc>
          <w:tcPr>
            <w:tcW w:w="1024" w:type="dxa"/>
          </w:tcPr>
          <w:p w14:paraId="2DF9A9F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ИАМ</w:t>
            </w:r>
          </w:p>
        </w:tc>
        <w:tc>
          <w:tcPr>
            <w:tcW w:w="1024" w:type="dxa"/>
          </w:tcPr>
          <w:p w14:paraId="5DF9378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024" w:type="dxa"/>
          </w:tcPr>
          <w:p w14:paraId="3CD3F9A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w:t>
            </w:r>
          </w:p>
        </w:tc>
        <w:tc>
          <w:tcPr>
            <w:tcW w:w="1024" w:type="dxa"/>
          </w:tcPr>
          <w:p w14:paraId="2B1C692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400</w:t>
            </w:r>
          </w:p>
        </w:tc>
        <w:tc>
          <w:tcPr>
            <w:tcW w:w="1024" w:type="dxa"/>
          </w:tcPr>
          <w:p w14:paraId="7BFC05C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0,66</w:t>
            </w:r>
          </w:p>
        </w:tc>
        <w:tc>
          <w:tcPr>
            <w:tcW w:w="1024" w:type="dxa"/>
          </w:tcPr>
          <w:p w14:paraId="0E770EC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024" w:type="dxa"/>
          </w:tcPr>
          <w:p w14:paraId="087F57B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мая</w:t>
            </w:r>
          </w:p>
        </w:tc>
        <w:tc>
          <w:tcPr>
            <w:tcW w:w="2831" w:type="dxa"/>
          </w:tcPr>
          <w:p w14:paraId="1853E1E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Производится общая компановка мотора и узлов</w:t>
            </w:r>
          </w:p>
        </w:tc>
      </w:tr>
      <w:tr w:rsidR="001002C3" w:rsidRPr="005E779E" w14:paraId="3A378FD6" w14:textId="77777777">
        <w:tc>
          <w:tcPr>
            <w:tcW w:w="1024" w:type="dxa"/>
          </w:tcPr>
          <w:p w14:paraId="5958EAF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М-32</w:t>
            </w:r>
          </w:p>
        </w:tc>
        <w:tc>
          <w:tcPr>
            <w:tcW w:w="1024" w:type="dxa"/>
          </w:tcPr>
          <w:p w14:paraId="433BAEF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B44FB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63D1D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76DAB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B1404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FB944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7408E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1932 г.</w:t>
            </w:r>
          </w:p>
        </w:tc>
        <w:tc>
          <w:tcPr>
            <w:tcW w:w="2831" w:type="dxa"/>
          </w:tcPr>
          <w:p w14:paraId="3B86B76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Работа тормозится в связи с форсированием М-19а</w:t>
            </w:r>
          </w:p>
        </w:tc>
      </w:tr>
      <w:tr w:rsidR="001002C3" w:rsidRPr="005E779E" w14:paraId="4ACDB8FD" w14:textId="77777777">
        <w:tc>
          <w:tcPr>
            <w:tcW w:w="1024" w:type="dxa"/>
          </w:tcPr>
          <w:p w14:paraId="0095EA4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Модернизация</w:t>
            </w:r>
          </w:p>
        </w:tc>
        <w:tc>
          <w:tcPr>
            <w:tcW w:w="1024" w:type="dxa"/>
          </w:tcPr>
          <w:p w14:paraId="124937A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ИАМ</w:t>
            </w:r>
          </w:p>
        </w:tc>
        <w:tc>
          <w:tcPr>
            <w:tcW w:w="1024" w:type="dxa"/>
          </w:tcPr>
          <w:p w14:paraId="1DE7D7C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024" w:type="dxa"/>
          </w:tcPr>
          <w:p w14:paraId="624EE7A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700/</w:t>
            </w:r>
          </w:p>
        </w:tc>
        <w:tc>
          <w:tcPr>
            <w:tcW w:w="1024" w:type="dxa"/>
          </w:tcPr>
          <w:p w14:paraId="0819730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820</w:t>
            </w:r>
          </w:p>
        </w:tc>
        <w:tc>
          <w:tcPr>
            <w:tcW w:w="1024" w:type="dxa"/>
          </w:tcPr>
          <w:p w14:paraId="535FB49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0,43</w:t>
            </w:r>
          </w:p>
        </w:tc>
        <w:tc>
          <w:tcPr>
            <w:tcW w:w="1024" w:type="dxa"/>
          </w:tcPr>
          <w:p w14:paraId="19A073F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4000</w:t>
            </w:r>
          </w:p>
        </w:tc>
        <w:tc>
          <w:tcPr>
            <w:tcW w:w="1024" w:type="dxa"/>
          </w:tcPr>
          <w:p w14:paraId="3B8D22B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янв.</w:t>
            </w:r>
          </w:p>
        </w:tc>
        <w:tc>
          <w:tcPr>
            <w:tcW w:w="2831" w:type="dxa"/>
          </w:tcPr>
          <w:p w14:paraId="3079C6D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Работы не ведутся</w:t>
            </w:r>
          </w:p>
        </w:tc>
      </w:tr>
      <w:tr w:rsidR="001002C3" w:rsidRPr="005E779E" w14:paraId="0E6A5AC3" w14:textId="77777777">
        <w:tc>
          <w:tcPr>
            <w:tcW w:w="1024" w:type="dxa"/>
          </w:tcPr>
          <w:p w14:paraId="513E930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М-43</w:t>
            </w:r>
          </w:p>
        </w:tc>
        <w:tc>
          <w:tcPr>
            <w:tcW w:w="1024" w:type="dxa"/>
          </w:tcPr>
          <w:p w14:paraId="689C756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519B4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BFEED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w:t>
            </w:r>
          </w:p>
        </w:tc>
        <w:tc>
          <w:tcPr>
            <w:tcW w:w="1024" w:type="dxa"/>
          </w:tcPr>
          <w:p w14:paraId="7C3A1FA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DCD49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D52C3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0E98D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1932</w:t>
            </w:r>
          </w:p>
        </w:tc>
        <w:tc>
          <w:tcPr>
            <w:tcW w:w="2831" w:type="dxa"/>
          </w:tcPr>
          <w:p w14:paraId="12096B6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7A71067" w14:textId="77777777">
        <w:tc>
          <w:tcPr>
            <w:tcW w:w="1024" w:type="dxa"/>
          </w:tcPr>
          <w:p w14:paraId="2128A67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Нефтяной</w:t>
            </w:r>
          </w:p>
        </w:tc>
        <w:tc>
          <w:tcPr>
            <w:tcW w:w="1024" w:type="dxa"/>
          </w:tcPr>
          <w:p w14:paraId="2F87AD0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ИАМ</w:t>
            </w:r>
          </w:p>
        </w:tc>
        <w:tc>
          <w:tcPr>
            <w:tcW w:w="1024" w:type="dxa"/>
          </w:tcPr>
          <w:p w14:paraId="0304BD8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024" w:type="dxa"/>
          </w:tcPr>
          <w:p w14:paraId="67E8C14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w:t>
            </w:r>
          </w:p>
        </w:tc>
        <w:tc>
          <w:tcPr>
            <w:tcW w:w="1024" w:type="dxa"/>
          </w:tcPr>
          <w:p w14:paraId="674BD90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024" w:type="dxa"/>
          </w:tcPr>
          <w:p w14:paraId="63D295C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024" w:type="dxa"/>
          </w:tcPr>
          <w:p w14:paraId="20C9974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024" w:type="dxa"/>
          </w:tcPr>
          <w:p w14:paraId="70BDC61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окт.</w:t>
            </w:r>
          </w:p>
        </w:tc>
        <w:tc>
          <w:tcPr>
            <w:tcW w:w="2831" w:type="dxa"/>
          </w:tcPr>
          <w:p w14:paraId="3B65B39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Работы не ведутся</w:t>
            </w:r>
          </w:p>
        </w:tc>
      </w:tr>
      <w:tr w:rsidR="001002C3" w:rsidRPr="005E779E" w14:paraId="43ED6E7B" w14:textId="77777777">
        <w:tc>
          <w:tcPr>
            <w:tcW w:w="1024" w:type="dxa"/>
          </w:tcPr>
          <w:p w14:paraId="6F2D1EE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М-42</w:t>
            </w:r>
          </w:p>
        </w:tc>
        <w:tc>
          <w:tcPr>
            <w:tcW w:w="1024" w:type="dxa"/>
          </w:tcPr>
          <w:p w14:paraId="310660F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C2219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8EA8F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F4FE2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C6B94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BF42A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6C89F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1932</w:t>
            </w:r>
          </w:p>
        </w:tc>
        <w:tc>
          <w:tcPr>
            <w:tcW w:w="2831" w:type="dxa"/>
          </w:tcPr>
          <w:p w14:paraId="4AF569E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D15E499" w14:textId="77777777">
        <w:tc>
          <w:tcPr>
            <w:tcW w:w="1024" w:type="dxa"/>
          </w:tcPr>
          <w:p w14:paraId="06B4462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Нефтяной</w:t>
            </w:r>
          </w:p>
        </w:tc>
        <w:tc>
          <w:tcPr>
            <w:tcW w:w="1024" w:type="dxa"/>
          </w:tcPr>
          <w:p w14:paraId="4CF49F2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ИАМ</w:t>
            </w:r>
          </w:p>
        </w:tc>
        <w:tc>
          <w:tcPr>
            <w:tcW w:w="1024" w:type="dxa"/>
          </w:tcPr>
          <w:p w14:paraId="5F8AC2E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024" w:type="dxa"/>
          </w:tcPr>
          <w:p w14:paraId="696518E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w:t>
            </w:r>
          </w:p>
        </w:tc>
        <w:tc>
          <w:tcPr>
            <w:tcW w:w="1024" w:type="dxa"/>
          </w:tcPr>
          <w:p w14:paraId="667913B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240</w:t>
            </w:r>
          </w:p>
        </w:tc>
        <w:tc>
          <w:tcPr>
            <w:tcW w:w="1024" w:type="dxa"/>
          </w:tcPr>
          <w:p w14:paraId="4DF6E78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w:t>
            </w:r>
          </w:p>
        </w:tc>
        <w:tc>
          <w:tcPr>
            <w:tcW w:w="1024" w:type="dxa"/>
          </w:tcPr>
          <w:p w14:paraId="141C931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024" w:type="dxa"/>
          </w:tcPr>
          <w:p w14:paraId="27438E8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апр.</w:t>
            </w:r>
          </w:p>
        </w:tc>
        <w:tc>
          <w:tcPr>
            <w:tcW w:w="2831" w:type="dxa"/>
          </w:tcPr>
          <w:p w14:paraId="65C0B61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Работы не ведутся, мотор с плана снят. ИАМ</w:t>
            </w:r>
          </w:p>
        </w:tc>
      </w:tr>
      <w:tr w:rsidR="001002C3" w:rsidRPr="005E779E" w14:paraId="3E52F954" w14:textId="77777777">
        <w:tc>
          <w:tcPr>
            <w:tcW w:w="1024" w:type="dxa"/>
          </w:tcPr>
          <w:p w14:paraId="3BEF986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ЭН-1</w:t>
            </w:r>
          </w:p>
        </w:tc>
        <w:tc>
          <w:tcPr>
            <w:tcW w:w="1024" w:type="dxa"/>
          </w:tcPr>
          <w:p w14:paraId="71B7551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47C50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5F1CA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DBDEF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061D9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AB3FD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BC13D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w:t>
            </w:r>
          </w:p>
        </w:tc>
        <w:tc>
          <w:tcPr>
            <w:tcW w:w="2831" w:type="dxa"/>
          </w:tcPr>
          <w:p w14:paraId="6152BE1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ведет экспериментальные испытания на одноц.</w:t>
            </w:r>
          </w:p>
        </w:tc>
      </w:tr>
      <w:tr w:rsidR="001002C3" w:rsidRPr="005E779E" w14:paraId="3C0F20B5" w14:textId="77777777">
        <w:tc>
          <w:tcPr>
            <w:tcW w:w="1024" w:type="dxa"/>
          </w:tcPr>
          <w:p w14:paraId="1033F33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066DC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AF561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86C3E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15CE5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9957D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CAA49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1959D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4B98B2C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установках</w:t>
            </w:r>
          </w:p>
        </w:tc>
      </w:tr>
      <w:tr w:rsidR="001002C3" w:rsidRPr="005E779E" w14:paraId="51E2BF25" w14:textId="77777777">
        <w:tc>
          <w:tcPr>
            <w:tcW w:w="1024" w:type="dxa"/>
          </w:tcPr>
          <w:p w14:paraId="2B66A43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ГА М-26</w:t>
            </w:r>
          </w:p>
        </w:tc>
        <w:tc>
          <w:tcPr>
            <w:tcW w:w="1024" w:type="dxa"/>
          </w:tcPr>
          <w:p w14:paraId="1BB75B8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w:t>
            </w:r>
          </w:p>
        </w:tc>
        <w:tc>
          <w:tcPr>
            <w:tcW w:w="1024" w:type="dxa"/>
          </w:tcPr>
          <w:p w14:paraId="643F19B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возд.</w:t>
            </w:r>
          </w:p>
        </w:tc>
        <w:tc>
          <w:tcPr>
            <w:tcW w:w="1024" w:type="dxa"/>
          </w:tcPr>
          <w:p w14:paraId="63C9785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w:t>
            </w:r>
          </w:p>
        </w:tc>
        <w:tc>
          <w:tcPr>
            <w:tcW w:w="1024" w:type="dxa"/>
          </w:tcPr>
          <w:p w14:paraId="431B523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315</w:t>
            </w:r>
          </w:p>
        </w:tc>
        <w:tc>
          <w:tcPr>
            <w:tcW w:w="1024" w:type="dxa"/>
          </w:tcPr>
          <w:p w14:paraId="0A2CE37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1.05</w:t>
            </w:r>
          </w:p>
        </w:tc>
        <w:tc>
          <w:tcPr>
            <w:tcW w:w="1024" w:type="dxa"/>
          </w:tcPr>
          <w:p w14:paraId="771E1E0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024" w:type="dxa"/>
          </w:tcPr>
          <w:p w14:paraId="597299F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окт.</w:t>
            </w:r>
          </w:p>
        </w:tc>
        <w:tc>
          <w:tcPr>
            <w:tcW w:w="2831" w:type="dxa"/>
          </w:tcPr>
          <w:p w14:paraId="1C89147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Прошел 50-часовые гос. испытания удовлетвор.</w:t>
            </w:r>
          </w:p>
        </w:tc>
      </w:tr>
      <w:tr w:rsidR="001002C3" w:rsidRPr="005E779E" w14:paraId="5B0CABA8" w14:textId="77777777">
        <w:tc>
          <w:tcPr>
            <w:tcW w:w="1024" w:type="dxa"/>
          </w:tcPr>
          <w:p w14:paraId="02CBC4D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4B09C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C2EE6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4212A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D38EE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1D165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EF082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19C13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1930</w:t>
            </w:r>
          </w:p>
        </w:tc>
        <w:tc>
          <w:tcPr>
            <w:tcW w:w="2831" w:type="dxa"/>
          </w:tcPr>
          <w:p w14:paraId="761692D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февраля 1931</w:t>
            </w:r>
          </w:p>
        </w:tc>
      </w:tr>
      <w:tr w:rsidR="001002C3" w:rsidRPr="005E779E" w14:paraId="1F621D5A" w14:textId="77777777">
        <w:tc>
          <w:tcPr>
            <w:tcW w:w="1024" w:type="dxa"/>
          </w:tcPr>
          <w:p w14:paraId="10222C9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истребителей</w:t>
            </w:r>
          </w:p>
        </w:tc>
        <w:tc>
          <w:tcPr>
            <w:tcW w:w="1024" w:type="dxa"/>
          </w:tcPr>
          <w:p w14:paraId="0A16620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w:t>
            </w:r>
          </w:p>
        </w:tc>
        <w:tc>
          <w:tcPr>
            <w:tcW w:w="1024" w:type="dxa"/>
          </w:tcPr>
          <w:p w14:paraId="17BC262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возд.</w:t>
            </w:r>
          </w:p>
        </w:tc>
        <w:tc>
          <w:tcPr>
            <w:tcW w:w="1024" w:type="dxa"/>
          </w:tcPr>
          <w:p w14:paraId="280F633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w:t>
            </w:r>
          </w:p>
        </w:tc>
        <w:tc>
          <w:tcPr>
            <w:tcW w:w="1024" w:type="dxa"/>
          </w:tcPr>
          <w:p w14:paraId="715DA9F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400</w:t>
            </w:r>
          </w:p>
        </w:tc>
        <w:tc>
          <w:tcPr>
            <w:tcW w:w="1024" w:type="dxa"/>
          </w:tcPr>
          <w:p w14:paraId="314E4E0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0.80</w:t>
            </w:r>
          </w:p>
        </w:tc>
        <w:tc>
          <w:tcPr>
            <w:tcW w:w="1024" w:type="dxa"/>
          </w:tcPr>
          <w:p w14:paraId="241478E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4000</w:t>
            </w:r>
          </w:p>
        </w:tc>
        <w:tc>
          <w:tcPr>
            <w:tcW w:w="1024" w:type="dxa"/>
          </w:tcPr>
          <w:p w14:paraId="406FE4C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мая</w:t>
            </w:r>
          </w:p>
        </w:tc>
        <w:tc>
          <w:tcPr>
            <w:tcW w:w="2831" w:type="dxa"/>
          </w:tcPr>
          <w:p w14:paraId="1FA8877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исполнению на принят</w:t>
            </w:r>
          </w:p>
        </w:tc>
      </w:tr>
      <w:tr w:rsidR="001002C3" w:rsidRPr="005E779E" w14:paraId="43640B44" w14:textId="77777777">
        <w:tc>
          <w:tcPr>
            <w:tcW w:w="1024" w:type="dxa"/>
          </w:tcPr>
          <w:p w14:paraId="120CCAD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М-15а</w:t>
            </w:r>
          </w:p>
        </w:tc>
        <w:tc>
          <w:tcPr>
            <w:tcW w:w="1024" w:type="dxa"/>
          </w:tcPr>
          <w:p w14:paraId="0FCF002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450A9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B5295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FEBAB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4D60A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82022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991B9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0AC5052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w:t>
            </w:r>
          </w:p>
        </w:tc>
      </w:tr>
      <w:tr w:rsidR="001002C3" w:rsidRPr="005E779E" w14:paraId="2F6D2CB1" w14:textId="77777777">
        <w:tc>
          <w:tcPr>
            <w:tcW w:w="1024" w:type="dxa"/>
          </w:tcPr>
          <w:p w14:paraId="7010FA3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тяжелых</w:t>
            </w:r>
          </w:p>
        </w:tc>
        <w:tc>
          <w:tcPr>
            <w:tcW w:w="1024" w:type="dxa"/>
          </w:tcPr>
          <w:p w14:paraId="565C15A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ИАМ</w:t>
            </w:r>
          </w:p>
        </w:tc>
        <w:tc>
          <w:tcPr>
            <w:tcW w:w="1024" w:type="dxa"/>
          </w:tcPr>
          <w:p w14:paraId="25B7834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024" w:type="dxa"/>
          </w:tcPr>
          <w:p w14:paraId="0C3526C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1250</w:t>
            </w:r>
          </w:p>
        </w:tc>
        <w:tc>
          <w:tcPr>
            <w:tcW w:w="1024" w:type="dxa"/>
          </w:tcPr>
          <w:p w14:paraId="6E1E235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Требования должны быть</w:t>
            </w:r>
          </w:p>
        </w:tc>
        <w:tc>
          <w:tcPr>
            <w:tcW w:w="1024" w:type="dxa"/>
          </w:tcPr>
          <w:p w14:paraId="153DD80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9488B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Будет развитием М-34. Работы по этому мотору</w:t>
            </w:r>
          </w:p>
        </w:tc>
        <w:tc>
          <w:tcPr>
            <w:tcW w:w="1024" w:type="dxa"/>
          </w:tcPr>
          <w:p w14:paraId="5D4C981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5E7451A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0EFF5AF" w14:textId="77777777">
        <w:tc>
          <w:tcPr>
            <w:tcW w:w="1024" w:type="dxa"/>
          </w:tcPr>
          <w:p w14:paraId="0A583E8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бомбардировщиков</w:t>
            </w:r>
          </w:p>
        </w:tc>
        <w:tc>
          <w:tcPr>
            <w:tcW w:w="1024" w:type="dxa"/>
          </w:tcPr>
          <w:p w14:paraId="766435D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72165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CF685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1500</w:t>
            </w:r>
          </w:p>
        </w:tc>
        <w:tc>
          <w:tcPr>
            <w:tcW w:w="1024" w:type="dxa"/>
          </w:tcPr>
          <w:p w14:paraId="5BE3752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представлены ИАМ"ом.</w:t>
            </w:r>
          </w:p>
        </w:tc>
        <w:tc>
          <w:tcPr>
            <w:tcW w:w="1024" w:type="dxa"/>
          </w:tcPr>
          <w:p w14:paraId="401229F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DFD50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будут вестись в зависимости от удачи с М-34.</w:t>
            </w:r>
          </w:p>
        </w:tc>
        <w:tc>
          <w:tcPr>
            <w:tcW w:w="1024" w:type="dxa"/>
          </w:tcPr>
          <w:p w14:paraId="0CFD06A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61F5E21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0EB89B7" w14:textId="77777777">
        <w:tc>
          <w:tcPr>
            <w:tcW w:w="1024" w:type="dxa"/>
          </w:tcPr>
          <w:p w14:paraId="00B1062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М-35</w:t>
            </w:r>
          </w:p>
        </w:tc>
        <w:tc>
          <w:tcPr>
            <w:tcW w:w="1024" w:type="dxa"/>
          </w:tcPr>
          <w:p w14:paraId="2246D0C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C33EE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4FF6A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B6034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A8892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A1A05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90EBE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52B766B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04CCA9B" w14:textId="77777777">
        <w:tc>
          <w:tcPr>
            <w:tcW w:w="1024" w:type="dxa"/>
          </w:tcPr>
          <w:p w14:paraId="470F089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ИАМ в 1932 будет проектироваться 3 нефтяных мотора:</w:t>
            </w:r>
          </w:p>
        </w:tc>
        <w:tc>
          <w:tcPr>
            <w:tcW w:w="1024" w:type="dxa"/>
          </w:tcPr>
          <w:p w14:paraId="26CA9F1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47163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2B3CE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CC415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F43F4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2CBDB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7617E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407FC24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76ACBC7" w14:textId="77777777">
        <w:tc>
          <w:tcPr>
            <w:tcW w:w="1024" w:type="dxa"/>
          </w:tcPr>
          <w:p w14:paraId="1D05414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300 нр для ГВФ</w:t>
            </w:r>
          </w:p>
        </w:tc>
        <w:tc>
          <w:tcPr>
            <w:tcW w:w="1024" w:type="dxa"/>
          </w:tcPr>
          <w:p w14:paraId="6DA4FCC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82664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9AF26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53662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832AE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12C5D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3D0A7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65C87CD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89CE77D" w14:textId="77777777">
        <w:tc>
          <w:tcPr>
            <w:tcW w:w="1024" w:type="dxa"/>
          </w:tcPr>
          <w:p w14:paraId="3718728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500 нр для ВВС</w:t>
            </w:r>
          </w:p>
        </w:tc>
        <w:tc>
          <w:tcPr>
            <w:tcW w:w="1024" w:type="dxa"/>
          </w:tcPr>
          <w:p w14:paraId="3FEF5C3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B1B7B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E2E75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D1BCF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4BFB3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F16DD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10549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7789B2C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A0C16F7" w14:textId="77777777">
        <w:tc>
          <w:tcPr>
            <w:tcW w:w="1024" w:type="dxa"/>
          </w:tcPr>
          <w:p w14:paraId="3669AD3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600-800 нр для дирижаблей</w:t>
            </w:r>
          </w:p>
        </w:tc>
        <w:tc>
          <w:tcPr>
            <w:tcW w:w="1024" w:type="dxa"/>
          </w:tcPr>
          <w:p w14:paraId="0F269B6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248D6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51206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54D88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04577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9D2E1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FD7CA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65A4B04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bl>
    <w:p w14:paraId="3CDA0D3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По самолетам.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24"/>
        <w:gridCol w:w="1024"/>
        <w:gridCol w:w="1024"/>
        <w:gridCol w:w="1024"/>
        <w:gridCol w:w="1024"/>
        <w:gridCol w:w="1024"/>
        <w:gridCol w:w="1024"/>
        <w:gridCol w:w="3430"/>
      </w:tblGrid>
      <w:tr w:rsidR="001002C3" w:rsidRPr="005E779E" w14:paraId="6C9B95C1" w14:textId="77777777">
        <w:tc>
          <w:tcPr>
            <w:tcW w:w="1024" w:type="dxa"/>
          </w:tcPr>
          <w:p w14:paraId="143B0C1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Наименование</w:t>
            </w:r>
          </w:p>
        </w:tc>
        <w:tc>
          <w:tcPr>
            <w:tcW w:w="1024" w:type="dxa"/>
          </w:tcPr>
          <w:p w14:paraId="384CB9C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7F1FA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Основные летно-тактические данные</w:t>
            </w:r>
          </w:p>
        </w:tc>
        <w:tc>
          <w:tcPr>
            <w:tcW w:w="1024" w:type="dxa"/>
          </w:tcPr>
          <w:p w14:paraId="11EEB4F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A068E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E445B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5396B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6C9890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F285AAC" w14:textId="77777777">
        <w:tc>
          <w:tcPr>
            <w:tcW w:w="1024" w:type="dxa"/>
          </w:tcPr>
          <w:p w14:paraId="27CD0BB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самолетов</w:t>
            </w:r>
          </w:p>
        </w:tc>
        <w:tc>
          <w:tcPr>
            <w:tcW w:w="1024" w:type="dxa"/>
          </w:tcPr>
          <w:p w14:paraId="004850F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w:t>
            </w:r>
          </w:p>
        </w:tc>
        <w:tc>
          <w:tcPr>
            <w:tcW w:w="1024" w:type="dxa"/>
          </w:tcPr>
          <w:p w14:paraId="7156DE8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Скоропод.</w:t>
            </w:r>
          </w:p>
        </w:tc>
        <w:tc>
          <w:tcPr>
            <w:tcW w:w="1024" w:type="dxa"/>
          </w:tcPr>
          <w:p w14:paraId="2CA305B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Потолок</w:t>
            </w:r>
          </w:p>
        </w:tc>
        <w:tc>
          <w:tcPr>
            <w:tcW w:w="1024" w:type="dxa"/>
          </w:tcPr>
          <w:p w14:paraId="051EC8F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1024" w:type="dxa"/>
          </w:tcPr>
          <w:p w14:paraId="090FBDB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w:t>
            </w:r>
          </w:p>
        </w:tc>
        <w:tc>
          <w:tcPr>
            <w:tcW w:w="1024" w:type="dxa"/>
          </w:tcPr>
          <w:p w14:paraId="3BEEBCA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w:t>
            </w:r>
          </w:p>
        </w:tc>
        <w:tc>
          <w:tcPr>
            <w:tcW w:w="3430" w:type="dxa"/>
          </w:tcPr>
          <w:p w14:paraId="50C70C1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 октября 1931 г.</w:t>
            </w:r>
          </w:p>
        </w:tc>
      </w:tr>
      <w:tr w:rsidR="001002C3" w:rsidRPr="005E779E" w14:paraId="109516B4" w14:textId="77777777">
        <w:tc>
          <w:tcPr>
            <w:tcW w:w="1024" w:type="dxa"/>
          </w:tcPr>
          <w:p w14:paraId="4A2B63C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9FCDB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гориз.</w:t>
            </w:r>
          </w:p>
        </w:tc>
        <w:tc>
          <w:tcPr>
            <w:tcW w:w="1024" w:type="dxa"/>
          </w:tcPr>
          <w:p w14:paraId="76A2D79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мин. на</w:t>
            </w:r>
          </w:p>
        </w:tc>
        <w:tc>
          <w:tcPr>
            <w:tcW w:w="1024" w:type="dxa"/>
          </w:tcPr>
          <w:p w14:paraId="6034AE9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w:t>
            </w:r>
          </w:p>
        </w:tc>
        <w:tc>
          <w:tcPr>
            <w:tcW w:w="1024" w:type="dxa"/>
          </w:tcPr>
          <w:p w14:paraId="601BAE4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F8B8B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действ.</w:t>
            </w:r>
          </w:p>
        </w:tc>
        <w:tc>
          <w:tcPr>
            <w:tcW w:w="1024" w:type="dxa"/>
          </w:tcPr>
          <w:p w14:paraId="00D270A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предъяв.</w:t>
            </w:r>
          </w:p>
        </w:tc>
        <w:tc>
          <w:tcPr>
            <w:tcW w:w="3430" w:type="dxa"/>
          </w:tcPr>
          <w:p w14:paraId="2437ED3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36187D1" w14:textId="77777777">
        <w:tc>
          <w:tcPr>
            <w:tcW w:w="1024" w:type="dxa"/>
          </w:tcPr>
          <w:p w14:paraId="4294B8B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7E307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 в</w:t>
            </w:r>
          </w:p>
        </w:tc>
        <w:tc>
          <w:tcPr>
            <w:tcW w:w="1024" w:type="dxa"/>
          </w:tcPr>
          <w:p w14:paraId="2A15EC0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высоту</w:t>
            </w:r>
          </w:p>
        </w:tc>
        <w:tc>
          <w:tcPr>
            <w:tcW w:w="1024" w:type="dxa"/>
          </w:tcPr>
          <w:p w14:paraId="260D3F4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418C7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B68CD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47001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гос.</w:t>
            </w:r>
          </w:p>
        </w:tc>
        <w:tc>
          <w:tcPr>
            <w:tcW w:w="3430" w:type="dxa"/>
          </w:tcPr>
          <w:p w14:paraId="2ADBF56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8801136" w14:textId="77777777">
        <w:tc>
          <w:tcPr>
            <w:tcW w:w="1024" w:type="dxa"/>
          </w:tcPr>
          <w:p w14:paraId="5FA4473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4E326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км на</w:t>
            </w:r>
          </w:p>
        </w:tc>
        <w:tc>
          <w:tcPr>
            <w:tcW w:w="1024" w:type="dxa"/>
          </w:tcPr>
          <w:p w14:paraId="1EF140B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4C5A0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26F5E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B417E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04C35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w:t>
            </w:r>
          </w:p>
        </w:tc>
        <w:tc>
          <w:tcPr>
            <w:tcW w:w="3430" w:type="dxa"/>
          </w:tcPr>
          <w:p w14:paraId="26C7C29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ED88C3E" w14:textId="77777777">
        <w:tc>
          <w:tcPr>
            <w:tcW w:w="1024" w:type="dxa"/>
          </w:tcPr>
          <w:p w14:paraId="44212AF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7A4A9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высоте</w:t>
            </w:r>
          </w:p>
        </w:tc>
        <w:tc>
          <w:tcPr>
            <w:tcW w:w="1024" w:type="dxa"/>
          </w:tcPr>
          <w:p w14:paraId="398BEB7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D58DB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ABBDD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9EB8B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206B7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7C7962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BB412C1" w14:textId="77777777">
        <w:tc>
          <w:tcPr>
            <w:tcW w:w="1024" w:type="dxa"/>
          </w:tcPr>
          <w:p w14:paraId="34890F3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ТБ-4</w:t>
            </w:r>
          </w:p>
        </w:tc>
        <w:tc>
          <w:tcPr>
            <w:tcW w:w="1024" w:type="dxa"/>
          </w:tcPr>
          <w:p w14:paraId="0918E7D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024" w:type="dxa"/>
          </w:tcPr>
          <w:p w14:paraId="1B83653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CFED9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024" w:type="dxa"/>
          </w:tcPr>
          <w:p w14:paraId="35D998B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пулем.</w:t>
            </w:r>
          </w:p>
        </w:tc>
        <w:tc>
          <w:tcPr>
            <w:tcW w:w="1024" w:type="dxa"/>
          </w:tcPr>
          <w:p w14:paraId="77C3569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w:t>
            </w:r>
          </w:p>
        </w:tc>
        <w:tc>
          <w:tcPr>
            <w:tcW w:w="1024" w:type="dxa"/>
          </w:tcPr>
          <w:p w14:paraId="1BDD3FE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дек.</w:t>
            </w:r>
          </w:p>
        </w:tc>
        <w:tc>
          <w:tcPr>
            <w:tcW w:w="3430" w:type="dxa"/>
          </w:tcPr>
          <w:p w14:paraId="11E9A6E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Постановлением РВС от 5 августа 1931 года</w:t>
            </w:r>
          </w:p>
        </w:tc>
      </w:tr>
      <w:tr w:rsidR="001002C3" w:rsidRPr="005E779E" w14:paraId="23DF2B8E" w14:textId="77777777">
        <w:tc>
          <w:tcPr>
            <w:tcW w:w="1024" w:type="dxa"/>
          </w:tcPr>
          <w:p w14:paraId="56404A1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w:t>
            </w:r>
          </w:p>
        </w:tc>
        <w:tc>
          <w:tcPr>
            <w:tcW w:w="1024" w:type="dxa"/>
          </w:tcPr>
          <w:p w14:paraId="7B67DF6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F233F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C0FBA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8201F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пушки</w:t>
            </w:r>
          </w:p>
        </w:tc>
        <w:tc>
          <w:tcPr>
            <w:tcW w:w="1024" w:type="dxa"/>
          </w:tcPr>
          <w:p w14:paraId="1C93311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CEDB3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 г.</w:t>
            </w:r>
          </w:p>
        </w:tc>
        <w:tc>
          <w:tcPr>
            <w:tcW w:w="3430" w:type="dxa"/>
          </w:tcPr>
          <w:p w14:paraId="7BBD2FC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были утверждены основные данные нагруз.</w:t>
            </w:r>
          </w:p>
        </w:tc>
      </w:tr>
      <w:tr w:rsidR="001002C3" w:rsidRPr="005E779E" w14:paraId="51FB3B93" w14:textId="77777777">
        <w:tc>
          <w:tcPr>
            <w:tcW w:w="1024" w:type="dxa"/>
          </w:tcPr>
          <w:p w14:paraId="4396B20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39001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C5B07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0EFEC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51BBD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перегр.</w:t>
            </w:r>
          </w:p>
        </w:tc>
        <w:tc>
          <w:tcPr>
            <w:tcW w:w="1024" w:type="dxa"/>
          </w:tcPr>
          <w:p w14:paraId="4F9FF7E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F5456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A73A7D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ТБ-4 6М-34, принято решение об установке</w:t>
            </w:r>
          </w:p>
        </w:tc>
      </w:tr>
      <w:tr w:rsidR="001002C3" w:rsidRPr="005E779E" w14:paraId="3FC32D44" w14:textId="77777777">
        <w:tc>
          <w:tcPr>
            <w:tcW w:w="1024" w:type="dxa"/>
          </w:tcPr>
          <w:p w14:paraId="2E29470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969C1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EF730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1BB3D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D0546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w:t>
            </w:r>
          </w:p>
        </w:tc>
        <w:tc>
          <w:tcPr>
            <w:tcW w:w="1024" w:type="dxa"/>
          </w:tcPr>
          <w:p w14:paraId="7143DD1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85D97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0F41B2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4хМ-35 или 6М-34 с установкой на опытный</w:t>
            </w:r>
          </w:p>
        </w:tc>
      </w:tr>
      <w:tr w:rsidR="001002C3" w:rsidRPr="005E779E" w14:paraId="122BCBA0" w14:textId="77777777">
        <w:tc>
          <w:tcPr>
            <w:tcW w:w="1024" w:type="dxa"/>
          </w:tcPr>
          <w:p w14:paraId="3DAC721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A1441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BD92C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B58CA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E1B5C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6000 кг</w:t>
            </w:r>
          </w:p>
        </w:tc>
        <w:tc>
          <w:tcPr>
            <w:tcW w:w="1024" w:type="dxa"/>
          </w:tcPr>
          <w:p w14:paraId="6006E48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7A4EC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62D47E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6РР с НХП и постройке 2-х </w:t>
            </w:r>
          </w:p>
        </w:tc>
      </w:tr>
      <w:tr w:rsidR="001002C3" w:rsidRPr="005E779E" w14:paraId="50D8A750" w14:textId="77777777">
        <w:tc>
          <w:tcPr>
            <w:tcW w:w="1024" w:type="dxa"/>
          </w:tcPr>
          <w:p w14:paraId="352F6BC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46830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1DF6F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99388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1A6D1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w:t>
            </w:r>
          </w:p>
        </w:tc>
        <w:tc>
          <w:tcPr>
            <w:tcW w:w="1024" w:type="dxa"/>
          </w:tcPr>
          <w:p w14:paraId="18D88B6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6821F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3ECDCA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вариантов: дюралевого с площадью крыльев</w:t>
            </w:r>
          </w:p>
        </w:tc>
      </w:tr>
      <w:tr w:rsidR="001002C3" w:rsidRPr="005E779E" w14:paraId="7F9E4025" w14:textId="77777777">
        <w:tc>
          <w:tcPr>
            <w:tcW w:w="1024" w:type="dxa"/>
          </w:tcPr>
          <w:p w14:paraId="229782F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878AC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E3E0B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309FF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75147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9E84A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52C9D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D15FD2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410 м и стального с площадью 340 м. Утвер.</w:t>
            </w:r>
          </w:p>
        </w:tc>
      </w:tr>
      <w:tr w:rsidR="001002C3" w:rsidRPr="005E779E" w14:paraId="4DEE323D" w14:textId="77777777">
        <w:tc>
          <w:tcPr>
            <w:tcW w:w="1024" w:type="dxa"/>
          </w:tcPr>
          <w:p w14:paraId="750FD07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BC426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4C9B6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F174A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1464F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72F43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106FB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19AE27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Утверждены схема ТБ-4 с площ. 410 м и</w:t>
            </w:r>
          </w:p>
        </w:tc>
      </w:tr>
      <w:tr w:rsidR="001002C3" w:rsidRPr="005E779E" w14:paraId="7F085976" w14:textId="77777777">
        <w:tc>
          <w:tcPr>
            <w:tcW w:w="1024" w:type="dxa"/>
          </w:tcPr>
          <w:p w14:paraId="460A2D8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82101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B090C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AF329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35380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B2541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507BA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DA571B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макет в части кабин л и командира. В ЦАГИ</w:t>
            </w:r>
          </w:p>
        </w:tc>
      </w:tr>
      <w:tr w:rsidR="001002C3" w:rsidRPr="005E779E" w14:paraId="55968593" w14:textId="77777777">
        <w:tc>
          <w:tcPr>
            <w:tcW w:w="1024" w:type="dxa"/>
          </w:tcPr>
          <w:p w14:paraId="7E5CF7E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A04D3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BFE6A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00E8D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F24FB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E8C26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768F4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A62A66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развернуты работы по постройке машины.</w:t>
            </w:r>
          </w:p>
        </w:tc>
      </w:tr>
      <w:tr w:rsidR="001002C3" w:rsidRPr="005E779E" w14:paraId="772ADFB4" w14:textId="77777777">
        <w:tc>
          <w:tcPr>
            <w:tcW w:w="1024" w:type="dxa"/>
          </w:tcPr>
          <w:p w14:paraId="0A8F2F2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116B8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55D00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1ACE8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70C73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96493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8489F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FADBCA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настоящее время происходит сборка</w:t>
            </w:r>
          </w:p>
        </w:tc>
      </w:tr>
      <w:tr w:rsidR="001002C3" w:rsidRPr="005E779E" w14:paraId="373E8B30" w14:textId="77777777">
        <w:tc>
          <w:tcPr>
            <w:tcW w:w="1024" w:type="dxa"/>
          </w:tcPr>
          <w:p w14:paraId="42D4ED9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AC3ED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F33DF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9CAC0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817CE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A2D39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9BF78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773242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хвостовой части фюзеляжа и оперения, зак.</w:t>
            </w:r>
          </w:p>
        </w:tc>
      </w:tr>
      <w:tr w:rsidR="001002C3" w:rsidRPr="005E779E" w14:paraId="6DEE3274" w14:textId="77777777">
        <w:tc>
          <w:tcPr>
            <w:tcW w:w="1024" w:type="dxa"/>
          </w:tcPr>
          <w:p w14:paraId="756E91E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E0CA4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BCBA7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4A5BA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AB934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3EC53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1FC8E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36C546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лонжероны консолей крыла, заканчивается</w:t>
            </w:r>
          </w:p>
        </w:tc>
      </w:tr>
      <w:tr w:rsidR="001002C3" w:rsidRPr="005E779E" w14:paraId="3CC11FD0" w14:textId="77777777">
        <w:tc>
          <w:tcPr>
            <w:tcW w:w="1024" w:type="dxa"/>
          </w:tcPr>
          <w:p w14:paraId="661279D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D8DD9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B98AF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15576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C63E2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4AC88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FB36E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476630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изготовление лонжеронов средних частей.</w:t>
            </w:r>
          </w:p>
        </w:tc>
      </w:tr>
      <w:tr w:rsidR="001002C3" w:rsidRPr="005E779E" w14:paraId="08222FED" w14:textId="77777777">
        <w:tc>
          <w:tcPr>
            <w:tcW w:w="1024" w:type="dxa"/>
          </w:tcPr>
          <w:p w14:paraId="57EE517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B8397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807D8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5C064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6A674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07F3B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1CA74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64AA17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Ввиду того, что предложенные закупки 6РР</w:t>
            </w:r>
          </w:p>
        </w:tc>
      </w:tr>
      <w:tr w:rsidR="001002C3" w:rsidRPr="005E779E" w14:paraId="12578A31" w14:textId="77777777">
        <w:tc>
          <w:tcPr>
            <w:tcW w:w="1024" w:type="dxa"/>
          </w:tcPr>
          <w:p w14:paraId="22953FB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B9EDD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E5A72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4A1B1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FD593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540DA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9CEA3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2D1B69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800 нр в Англии не разрешены, а М-35Р</w:t>
            </w:r>
          </w:p>
        </w:tc>
      </w:tr>
      <w:tr w:rsidR="001002C3" w:rsidRPr="005E779E" w14:paraId="76E2E058" w14:textId="77777777">
        <w:tc>
          <w:tcPr>
            <w:tcW w:w="1024" w:type="dxa"/>
          </w:tcPr>
          <w:p w14:paraId="435D358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DB003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A5049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AE0C4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1A614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11C37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83CC2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83C931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 М-34Р в 1931 не выйдут, вопрос открыт.</w:t>
            </w:r>
          </w:p>
        </w:tc>
      </w:tr>
      <w:tr w:rsidR="001002C3" w:rsidRPr="005E779E" w14:paraId="795BA270" w14:textId="77777777">
        <w:tc>
          <w:tcPr>
            <w:tcW w:w="1024" w:type="dxa"/>
          </w:tcPr>
          <w:p w14:paraId="78C582C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3630C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FB311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96380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F0897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D645B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3C584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812EEB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Положение осложняется и тем, что выпуск</w:t>
            </w:r>
          </w:p>
        </w:tc>
      </w:tr>
      <w:tr w:rsidR="001002C3" w:rsidRPr="005E779E" w14:paraId="0B4F6D7F" w14:textId="77777777">
        <w:tc>
          <w:tcPr>
            <w:tcW w:w="1024" w:type="dxa"/>
          </w:tcPr>
          <w:p w14:paraId="4B738DF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1ADA9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405E6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72217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7B4EE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8E473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4DD0E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3533CC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М-34 по кол. не удовлетв. потр. опытного</w:t>
            </w:r>
          </w:p>
        </w:tc>
      </w:tr>
      <w:tr w:rsidR="001002C3" w:rsidRPr="005E779E" w14:paraId="51565583" w14:textId="77777777">
        <w:tc>
          <w:tcPr>
            <w:tcW w:w="1024" w:type="dxa"/>
          </w:tcPr>
          <w:p w14:paraId="0128546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3A3D1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46A77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93A58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432CF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20439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CCCA9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B86116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производства</w:t>
            </w:r>
          </w:p>
        </w:tc>
      </w:tr>
      <w:tr w:rsidR="001002C3" w:rsidRPr="005E779E" w14:paraId="7DAF3725" w14:textId="77777777">
        <w:tc>
          <w:tcPr>
            <w:tcW w:w="1024" w:type="dxa"/>
          </w:tcPr>
          <w:p w14:paraId="781B6C2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115E7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62324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2FC45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8BB1F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38313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C40F6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D908E4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Межак.</w:t>
            </w:r>
          </w:p>
        </w:tc>
      </w:tr>
      <w:tr w:rsidR="001002C3" w:rsidRPr="005E779E" w14:paraId="0F528B7F" w14:textId="77777777">
        <w:tc>
          <w:tcPr>
            <w:tcW w:w="1024" w:type="dxa"/>
          </w:tcPr>
          <w:p w14:paraId="45E3823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ТБ5-4ЮVI</w:t>
            </w:r>
          </w:p>
        </w:tc>
        <w:tc>
          <w:tcPr>
            <w:tcW w:w="1024" w:type="dxa"/>
          </w:tcPr>
          <w:p w14:paraId="4407A13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w:t>
            </w:r>
          </w:p>
        </w:tc>
        <w:tc>
          <w:tcPr>
            <w:tcW w:w="1024" w:type="dxa"/>
          </w:tcPr>
          <w:p w14:paraId="73C1ADD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3848D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024" w:type="dxa"/>
          </w:tcPr>
          <w:p w14:paraId="524FFBB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6-10 пул.</w:t>
            </w:r>
          </w:p>
        </w:tc>
        <w:tc>
          <w:tcPr>
            <w:tcW w:w="1024" w:type="dxa"/>
          </w:tcPr>
          <w:p w14:paraId="61783C2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w:t>
            </w:r>
          </w:p>
        </w:tc>
        <w:tc>
          <w:tcPr>
            <w:tcW w:w="1024" w:type="dxa"/>
          </w:tcPr>
          <w:p w14:paraId="5CA85F2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 мая </w:t>
            </w:r>
          </w:p>
        </w:tc>
        <w:tc>
          <w:tcPr>
            <w:tcW w:w="3430" w:type="dxa"/>
          </w:tcPr>
          <w:p w14:paraId="425699A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закончен постройкой 30 июня.</w:t>
            </w:r>
          </w:p>
        </w:tc>
      </w:tr>
      <w:tr w:rsidR="001002C3" w:rsidRPr="005E779E" w14:paraId="4D31F114" w14:textId="77777777">
        <w:tc>
          <w:tcPr>
            <w:tcW w:w="1024" w:type="dxa"/>
          </w:tcPr>
          <w:p w14:paraId="6CBE2E1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w:t>
            </w:r>
          </w:p>
        </w:tc>
        <w:tc>
          <w:tcPr>
            <w:tcW w:w="1024" w:type="dxa"/>
          </w:tcPr>
          <w:p w14:paraId="56FB604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04AA677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5096A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B13F2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1500 кг</w:t>
            </w:r>
          </w:p>
        </w:tc>
        <w:tc>
          <w:tcPr>
            <w:tcW w:w="1024" w:type="dxa"/>
          </w:tcPr>
          <w:p w14:paraId="38D02F2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AECF2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 г.</w:t>
            </w:r>
          </w:p>
        </w:tc>
        <w:tc>
          <w:tcPr>
            <w:tcW w:w="3430" w:type="dxa"/>
          </w:tcPr>
          <w:p w14:paraId="3E4DE40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Первые 3 полета прошли успешно, констат.</w:t>
            </w:r>
          </w:p>
        </w:tc>
      </w:tr>
      <w:tr w:rsidR="001002C3" w:rsidRPr="005E779E" w14:paraId="448BB094" w14:textId="77777777">
        <w:tc>
          <w:tcPr>
            <w:tcW w:w="1024" w:type="dxa"/>
          </w:tcPr>
          <w:p w14:paraId="0FFA74D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62320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25238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D10A1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7C436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 с</w:t>
            </w:r>
          </w:p>
        </w:tc>
        <w:tc>
          <w:tcPr>
            <w:tcW w:w="1024" w:type="dxa"/>
          </w:tcPr>
          <w:p w14:paraId="0333CC9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3BCF4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28CF47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недостаточную тягу винтов из-за того</w:t>
            </w:r>
          </w:p>
        </w:tc>
      </w:tr>
      <w:tr w:rsidR="001002C3" w:rsidRPr="005E779E" w14:paraId="104365C8" w14:textId="77777777">
        <w:tc>
          <w:tcPr>
            <w:tcW w:w="1024" w:type="dxa"/>
          </w:tcPr>
          <w:p w14:paraId="3E0209D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3F478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A8E80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D94AE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1B3FE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перегр.</w:t>
            </w:r>
          </w:p>
        </w:tc>
        <w:tc>
          <w:tcPr>
            <w:tcW w:w="1024" w:type="dxa"/>
          </w:tcPr>
          <w:p w14:paraId="166F85C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6B8BE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BE3766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что моторы без редукторов. Продолжаются</w:t>
            </w:r>
          </w:p>
        </w:tc>
      </w:tr>
      <w:tr w:rsidR="001002C3" w:rsidRPr="005E779E" w14:paraId="5CA6E477" w14:textId="77777777">
        <w:tc>
          <w:tcPr>
            <w:tcW w:w="1024" w:type="dxa"/>
          </w:tcPr>
          <w:p w14:paraId="04A45B0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4536A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4E31A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D2D79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A5772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 за</w:t>
            </w:r>
          </w:p>
        </w:tc>
        <w:tc>
          <w:tcPr>
            <w:tcW w:w="1024" w:type="dxa"/>
          </w:tcPr>
          <w:p w14:paraId="61D7D41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F0BC3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172655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заводские испытания. Доводится воор.</w:t>
            </w:r>
          </w:p>
        </w:tc>
      </w:tr>
      <w:tr w:rsidR="001002C3" w:rsidRPr="005E779E" w14:paraId="04F7A316" w14:textId="77777777">
        <w:tc>
          <w:tcPr>
            <w:tcW w:w="1024" w:type="dxa"/>
          </w:tcPr>
          <w:p w14:paraId="0997A0F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07079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BBCA6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4FDBD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B23A9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счет</w:t>
            </w:r>
          </w:p>
        </w:tc>
        <w:tc>
          <w:tcPr>
            <w:tcW w:w="1024" w:type="dxa"/>
          </w:tcPr>
          <w:p w14:paraId="027FCC5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CEF2A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D3F003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 оборудование. Поступит в НИИ в</w:t>
            </w:r>
          </w:p>
        </w:tc>
      </w:tr>
      <w:tr w:rsidR="001002C3" w:rsidRPr="005E779E" w14:paraId="533E3986" w14:textId="77777777">
        <w:tc>
          <w:tcPr>
            <w:tcW w:w="1024" w:type="dxa"/>
          </w:tcPr>
          <w:p w14:paraId="2B382E7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5AD91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47A6C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D6864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E90A3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горючего</w:t>
            </w:r>
          </w:p>
        </w:tc>
        <w:tc>
          <w:tcPr>
            <w:tcW w:w="1024" w:type="dxa"/>
          </w:tcPr>
          <w:p w14:paraId="63388B1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3D897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конце </w:t>
            </w:r>
          </w:p>
        </w:tc>
        <w:tc>
          <w:tcPr>
            <w:tcW w:w="3430" w:type="dxa"/>
          </w:tcPr>
          <w:p w14:paraId="52CE667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3EA0820" w14:textId="77777777">
        <w:tc>
          <w:tcPr>
            <w:tcW w:w="1024" w:type="dxa"/>
          </w:tcPr>
          <w:p w14:paraId="1531B66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2F566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125DB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A3484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19524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4000 кг</w:t>
            </w:r>
          </w:p>
        </w:tc>
        <w:tc>
          <w:tcPr>
            <w:tcW w:w="1024" w:type="dxa"/>
          </w:tcPr>
          <w:p w14:paraId="1E75DF8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0E372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августа</w:t>
            </w:r>
          </w:p>
        </w:tc>
        <w:tc>
          <w:tcPr>
            <w:tcW w:w="3430" w:type="dxa"/>
          </w:tcPr>
          <w:p w14:paraId="5B66DAF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Вахмистров.</w:t>
            </w:r>
          </w:p>
        </w:tc>
      </w:tr>
      <w:tr w:rsidR="001002C3" w:rsidRPr="005E779E" w14:paraId="551D476C" w14:textId="77777777">
        <w:tc>
          <w:tcPr>
            <w:tcW w:w="1024" w:type="dxa"/>
          </w:tcPr>
          <w:p w14:paraId="14466C6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BA38E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27108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B1CD8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25AC2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w:t>
            </w:r>
          </w:p>
        </w:tc>
        <w:tc>
          <w:tcPr>
            <w:tcW w:w="1024" w:type="dxa"/>
          </w:tcPr>
          <w:p w14:paraId="18490E6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BB84C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w:t>
            </w:r>
          </w:p>
        </w:tc>
        <w:tc>
          <w:tcPr>
            <w:tcW w:w="3430" w:type="dxa"/>
          </w:tcPr>
          <w:p w14:paraId="45E09E1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494D5A2" w14:textId="77777777">
        <w:tc>
          <w:tcPr>
            <w:tcW w:w="1024" w:type="dxa"/>
          </w:tcPr>
          <w:p w14:paraId="5F49D22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ДИ3 М17</w:t>
            </w:r>
          </w:p>
        </w:tc>
        <w:tc>
          <w:tcPr>
            <w:tcW w:w="1024" w:type="dxa"/>
          </w:tcPr>
          <w:p w14:paraId="2E0EF1F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260/</w:t>
            </w:r>
          </w:p>
        </w:tc>
        <w:tc>
          <w:tcPr>
            <w:tcW w:w="1024" w:type="dxa"/>
          </w:tcPr>
          <w:p w14:paraId="0E6455A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10.5/</w:t>
            </w:r>
          </w:p>
        </w:tc>
        <w:tc>
          <w:tcPr>
            <w:tcW w:w="1024" w:type="dxa"/>
          </w:tcPr>
          <w:p w14:paraId="3A3612B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024" w:type="dxa"/>
          </w:tcPr>
          <w:p w14:paraId="4778379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пул.</w:t>
            </w:r>
          </w:p>
        </w:tc>
        <w:tc>
          <w:tcPr>
            <w:tcW w:w="1024" w:type="dxa"/>
          </w:tcPr>
          <w:p w14:paraId="69FA730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250/</w:t>
            </w:r>
          </w:p>
        </w:tc>
        <w:tc>
          <w:tcPr>
            <w:tcW w:w="1024" w:type="dxa"/>
          </w:tcPr>
          <w:p w14:paraId="481BAA1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фев.</w:t>
            </w:r>
          </w:p>
        </w:tc>
        <w:tc>
          <w:tcPr>
            <w:tcW w:w="3430" w:type="dxa"/>
          </w:tcPr>
          <w:p w14:paraId="6858DFF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Заканчиваются гос. испытания в НИИ ВВС.</w:t>
            </w:r>
          </w:p>
        </w:tc>
      </w:tr>
      <w:tr w:rsidR="001002C3" w:rsidRPr="005E779E" w14:paraId="62920EA1" w14:textId="77777777">
        <w:tc>
          <w:tcPr>
            <w:tcW w:w="1024" w:type="dxa"/>
          </w:tcPr>
          <w:p w14:paraId="4CD4659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w:t>
            </w:r>
          </w:p>
        </w:tc>
        <w:tc>
          <w:tcPr>
            <w:tcW w:w="1024" w:type="dxa"/>
          </w:tcPr>
          <w:p w14:paraId="0B4A457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024" w:type="dxa"/>
          </w:tcPr>
          <w:p w14:paraId="3B57F0D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024" w:type="dxa"/>
          </w:tcPr>
          <w:p w14:paraId="37BF900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04EBD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D7FFF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275</w:t>
            </w:r>
          </w:p>
        </w:tc>
        <w:tc>
          <w:tcPr>
            <w:tcW w:w="1024" w:type="dxa"/>
          </w:tcPr>
          <w:p w14:paraId="7783089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 г.</w:t>
            </w:r>
          </w:p>
        </w:tc>
        <w:tc>
          <w:tcPr>
            <w:tcW w:w="3430" w:type="dxa"/>
          </w:tcPr>
          <w:p w14:paraId="78EE21C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Испытания показали, что ЛД значительно</w:t>
            </w:r>
          </w:p>
        </w:tc>
      </w:tr>
      <w:tr w:rsidR="001002C3" w:rsidRPr="005E779E" w14:paraId="581103C7" w14:textId="77777777">
        <w:tc>
          <w:tcPr>
            <w:tcW w:w="1024" w:type="dxa"/>
          </w:tcPr>
          <w:p w14:paraId="184819C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1167E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CB810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22A6C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656FC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7DB0F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FB73E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49A8C9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ниже ТТ - 212 км/час вместо 260, потолок</w:t>
            </w:r>
          </w:p>
        </w:tc>
      </w:tr>
      <w:tr w:rsidR="001002C3" w:rsidRPr="005E779E" w14:paraId="540F6BCA" w14:textId="77777777">
        <w:tc>
          <w:tcPr>
            <w:tcW w:w="1024" w:type="dxa"/>
          </w:tcPr>
          <w:p w14:paraId="1FCAD19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D7881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8BB17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24126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E2A9A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94046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7A946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19B0B5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6300 вместо 7500. Маневренность хорошая</w:t>
            </w:r>
          </w:p>
        </w:tc>
      </w:tr>
      <w:tr w:rsidR="001002C3" w:rsidRPr="005E779E" w14:paraId="39312A14" w14:textId="77777777">
        <w:tc>
          <w:tcPr>
            <w:tcW w:w="1024" w:type="dxa"/>
          </w:tcPr>
          <w:p w14:paraId="6EA6F40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ECB3F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C0FBA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82DEE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AD33D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AA40E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88C58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40F475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Обнаружили дефекты. завод 39 строит</w:t>
            </w:r>
          </w:p>
        </w:tc>
      </w:tr>
      <w:tr w:rsidR="001002C3" w:rsidRPr="005E779E" w14:paraId="57891AC4" w14:textId="77777777">
        <w:tc>
          <w:tcPr>
            <w:tcW w:w="1024" w:type="dxa"/>
          </w:tcPr>
          <w:p w14:paraId="2E2807B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BC2DF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3CA26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2EB69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20682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49303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CC35E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33BC88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небольшую 910) серию. Сводка предст.</w:t>
            </w:r>
          </w:p>
        </w:tc>
      </w:tr>
      <w:tr w:rsidR="001002C3" w:rsidRPr="005E779E" w14:paraId="149E425F" w14:textId="77777777">
        <w:tc>
          <w:tcPr>
            <w:tcW w:w="1024" w:type="dxa"/>
          </w:tcPr>
          <w:p w14:paraId="41D4B9B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E5FD5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340A1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73928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CA440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9F9BD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2ACAB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1B0BF0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 ВВС</w:t>
            </w:r>
          </w:p>
        </w:tc>
      </w:tr>
      <w:tr w:rsidR="001002C3" w:rsidRPr="005E779E" w14:paraId="7E152174" w14:textId="77777777">
        <w:tc>
          <w:tcPr>
            <w:tcW w:w="1024" w:type="dxa"/>
          </w:tcPr>
          <w:p w14:paraId="1664F88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9F077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EF4C5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4F3CE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DF56D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132B1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68884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841598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Полехин.</w:t>
            </w:r>
          </w:p>
        </w:tc>
      </w:tr>
      <w:tr w:rsidR="001002C3" w:rsidRPr="005E779E" w14:paraId="3621AF81" w14:textId="77777777">
        <w:tc>
          <w:tcPr>
            <w:tcW w:w="1024" w:type="dxa"/>
          </w:tcPr>
          <w:p w14:paraId="0BB1580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МИ3 2хМ34</w:t>
            </w:r>
          </w:p>
        </w:tc>
        <w:tc>
          <w:tcPr>
            <w:tcW w:w="1024" w:type="dxa"/>
          </w:tcPr>
          <w:p w14:paraId="2D89D16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w:t>
            </w:r>
          </w:p>
        </w:tc>
        <w:tc>
          <w:tcPr>
            <w:tcW w:w="1024" w:type="dxa"/>
          </w:tcPr>
          <w:p w14:paraId="1B32B78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w:t>
            </w:r>
          </w:p>
        </w:tc>
        <w:tc>
          <w:tcPr>
            <w:tcW w:w="1024" w:type="dxa"/>
          </w:tcPr>
          <w:p w14:paraId="03B88E5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7000</w:t>
            </w:r>
          </w:p>
        </w:tc>
        <w:tc>
          <w:tcPr>
            <w:tcW w:w="1024" w:type="dxa"/>
          </w:tcPr>
          <w:p w14:paraId="5A396B9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тяж.</w:t>
            </w:r>
          </w:p>
        </w:tc>
        <w:tc>
          <w:tcPr>
            <w:tcW w:w="1024" w:type="dxa"/>
          </w:tcPr>
          <w:p w14:paraId="67E1140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w:t>
            </w:r>
          </w:p>
        </w:tc>
        <w:tc>
          <w:tcPr>
            <w:tcW w:w="1024" w:type="dxa"/>
          </w:tcPr>
          <w:p w14:paraId="40C98B9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янв.</w:t>
            </w:r>
          </w:p>
        </w:tc>
        <w:tc>
          <w:tcPr>
            <w:tcW w:w="3430" w:type="dxa"/>
          </w:tcPr>
          <w:p w14:paraId="0EFDB55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Утверждена схема. Разработаны и предст.</w:t>
            </w:r>
          </w:p>
        </w:tc>
      </w:tr>
      <w:tr w:rsidR="001002C3" w:rsidRPr="005E779E" w14:paraId="11584260" w14:textId="77777777">
        <w:tc>
          <w:tcPr>
            <w:tcW w:w="1024" w:type="dxa"/>
          </w:tcPr>
          <w:p w14:paraId="4556C1D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w:t>
            </w:r>
          </w:p>
        </w:tc>
        <w:tc>
          <w:tcPr>
            <w:tcW w:w="1024" w:type="dxa"/>
          </w:tcPr>
          <w:p w14:paraId="2C57A7C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39CD5AF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024" w:type="dxa"/>
          </w:tcPr>
          <w:p w14:paraId="1628448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8000</w:t>
            </w:r>
          </w:p>
        </w:tc>
        <w:tc>
          <w:tcPr>
            <w:tcW w:w="1024" w:type="dxa"/>
          </w:tcPr>
          <w:p w14:paraId="21D98D6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пулем.</w:t>
            </w:r>
          </w:p>
        </w:tc>
        <w:tc>
          <w:tcPr>
            <w:tcW w:w="1024" w:type="dxa"/>
          </w:tcPr>
          <w:p w14:paraId="3211FE7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5BB32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1932 г.</w:t>
            </w:r>
          </w:p>
        </w:tc>
        <w:tc>
          <w:tcPr>
            <w:tcW w:w="3430" w:type="dxa"/>
          </w:tcPr>
          <w:p w14:paraId="13F3F70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ЦАГИ ТТ. Ведется проектирование сам.</w:t>
            </w:r>
          </w:p>
        </w:tc>
      </w:tr>
      <w:tr w:rsidR="001002C3" w:rsidRPr="005E779E" w14:paraId="0D12B21F" w14:textId="77777777">
        <w:tc>
          <w:tcPr>
            <w:tcW w:w="1024" w:type="dxa"/>
          </w:tcPr>
          <w:p w14:paraId="01F7224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EA1F7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6000</w:t>
            </w:r>
          </w:p>
        </w:tc>
        <w:tc>
          <w:tcPr>
            <w:tcW w:w="1024" w:type="dxa"/>
          </w:tcPr>
          <w:p w14:paraId="30C5B16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33D4D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782E2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легк.</w:t>
            </w:r>
          </w:p>
        </w:tc>
        <w:tc>
          <w:tcPr>
            <w:tcW w:w="1024" w:type="dxa"/>
          </w:tcPr>
          <w:p w14:paraId="638F76A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C7DD3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B7EDDE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 подготовка к постройке. Заканчивается</w:t>
            </w:r>
          </w:p>
        </w:tc>
      </w:tr>
      <w:tr w:rsidR="001002C3" w:rsidRPr="005E779E" w14:paraId="6C747596" w14:textId="77777777">
        <w:tc>
          <w:tcPr>
            <w:tcW w:w="1024" w:type="dxa"/>
          </w:tcPr>
          <w:p w14:paraId="2147F74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E6121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51F2F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E4024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37DE9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пулем.</w:t>
            </w:r>
          </w:p>
        </w:tc>
        <w:tc>
          <w:tcPr>
            <w:tcW w:w="1024" w:type="dxa"/>
          </w:tcPr>
          <w:p w14:paraId="23642D2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256EF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81EB0E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макет. Открыт вопрос о снабжении М-34,</w:t>
            </w:r>
          </w:p>
        </w:tc>
      </w:tr>
      <w:tr w:rsidR="001002C3" w:rsidRPr="005E779E" w14:paraId="310D07B9" w14:textId="77777777">
        <w:tc>
          <w:tcPr>
            <w:tcW w:w="1024" w:type="dxa"/>
          </w:tcPr>
          <w:p w14:paraId="4ACFF12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625FB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FF02C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1ADD4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A76A6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A985B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7BECA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533032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т.к. сроки поставки запаздывают по срав.</w:t>
            </w:r>
          </w:p>
        </w:tc>
      </w:tr>
      <w:tr w:rsidR="001002C3" w:rsidRPr="005E779E" w14:paraId="4EA700C9" w14:textId="77777777">
        <w:tc>
          <w:tcPr>
            <w:tcW w:w="1024" w:type="dxa"/>
          </w:tcPr>
          <w:p w14:paraId="5BEE172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FB0FE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9EF25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C45F2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84448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468AB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44A93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81C3EE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 изгот. сроками самолета. Сдана в произ.</w:t>
            </w:r>
          </w:p>
        </w:tc>
      </w:tr>
      <w:tr w:rsidR="001002C3" w:rsidRPr="005E779E" w14:paraId="3FFA2435" w14:textId="77777777">
        <w:tc>
          <w:tcPr>
            <w:tcW w:w="1024" w:type="dxa"/>
          </w:tcPr>
          <w:p w14:paraId="77D5EE1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1AF43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17CD8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339A7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B8ACF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CFE68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CCAE3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844BC5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ОЧК</w:t>
            </w:r>
          </w:p>
        </w:tc>
      </w:tr>
      <w:tr w:rsidR="001002C3" w:rsidRPr="005E779E" w14:paraId="74707062" w14:textId="77777777">
        <w:tc>
          <w:tcPr>
            <w:tcW w:w="1024" w:type="dxa"/>
          </w:tcPr>
          <w:p w14:paraId="7A4BCD7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16EBC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603A7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B0974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A8CF7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2C037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8EA48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F4AD23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Межак.</w:t>
            </w:r>
          </w:p>
        </w:tc>
      </w:tr>
      <w:tr w:rsidR="001002C3" w:rsidRPr="005E779E" w14:paraId="4DE350CF" w14:textId="77777777">
        <w:tc>
          <w:tcPr>
            <w:tcW w:w="1024" w:type="dxa"/>
          </w:tcPr>
          <w:p w14:paraId="1894541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Р8-М27</w:t>
            </w:r>
          </w:p>
        </w:tc>
        <w:tc>
          <w:tcPr>
            <w:tcW w:w="1024" w:type="dxa"/>
          </w:tcPr>
          <w:p w14:paraId="0D6BC7C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245/</w:t>
            </w:r>
          </w:p>
        </w:tc>
        <w:tc>
          <w:tcPr>
            <w:tcW w:w="1024" w:type="dxa"/>
          </w:tcPr>
          <w:p w14:paraId="7ADB348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w:t>
            </w:r>
          </w:p>
        </w:tc>
        <w:tc>
          <w:tcPr>
            <w:tcW w:w="1024" w:type="dxa"/>
          </w:tcPr>
          <w:p w14:paraId="467B94E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7000</w:t>
            </w:r>
          </w:p>
        </w:tc>
        <w:tc>
          <w:tcPr>
            <w:tcW w:w="1024" w:type="dxa"/>
          </w:tcPr>
          <w:p w14:paraId="0E0B7A9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пул.</w:t>
            </w:r>
          </w:p>
        </w:tc>
        <w:tc>
          <w:tcPr>
            <w:tcW w:w="1024" w:type="dxa"/>
          </w:tcPr>
          <w:p w14:paraId="696AE08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024" w:type="dxa"/>
          </w:tcPr>
          <w:p w14:paraId="4435581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мая</w:t>
            </w:r>
          </w:p>
        </w:tc>
        <w:tc>
          <w:tcPr>
            <w:tcW w:w="3430" w:type="dxa"/>
          </w:tcPr>
          <w:p w14:paraId="4D804BA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январе-апреле завод разработал проекты</w:t>
            </w:r>
          </w:p>
        </w:tc>
      </w:tr>
      <w:tr w:rsidR="001002C3" w:rsidRPr="005E779E" w14:paraId="68347467" w14:textId="77777777">
        <w:tc>
          <w:tcPr>
            <w:tcW w:w="1024" w:type="dxa"/>
          </w:tcPr>
          <w:p w14:paraId="249FFAC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w:t>
            </w:r>
          </w:p>
        </w:tc>
        <w:tc>
          <w:tcPr>
            <w:tcW w:w="1024" w:type="dxa"/>
          </w:tcPr>
          <w:p w14:paraId="2865700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56868E8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0317E6A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F790C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7AA19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956F7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 г.</w:t>
            </w:r>
          </w:p>
        </w:tc>
        <w:tc>
          <w:tcPr>
            <w:tcW w:w="3430" w:type="dxa"/>
          </w:tcPr>
          <w:p w14:paraId="60E2647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ряда схем, основываясь на схеме моноплан</w:t>
            </w:r>
          </w:p>
        </w:tc>
      </w:tr>
      <w:tr w:rsidR="001002C3" w:rsidRPr="005E779E" w14:paraId="36A2050C" w14:textId="77777777">
        <w:tc>
          <w:tcPr>
            <w:tcW w:w="1024" w:type="dxa"/>
          </w:tcPr>
          <w:p w14:paraId="3F62917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72B02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DDD8E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D63FD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5B66C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83CEE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A5DE5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E50A3A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двухвостка взамен полутороплана. Боевую</w:t>
            </w:r>
          </w:p>
        </w:tc>
      </w:tr>
      <w:tr w:rsidR="001002C3" w:rsidRPr="005E779E" w14:paraId="76E73A68" w14:textId="77777777">
        <w:tc>
          <w:tcPr>
            <w:tcW w:w="1024" w:type="dxa"/>
          </w:tcPr>
          <w:p w14:paraId="00A861A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B5D67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F0AA6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C638A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78A64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8FC77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E2DEC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D88DF3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схемы ВВС не приняло исходя из тактич.</w:t>
            </w:r>
          </w:p>
        </w:tc>
      </w:tr>
      <w:tr w:rsidR="001002C3" w:rsidRPr="005E779E" w14:paraId="48C3002D" w14:textId="77777777">
        <w:tc>
          <w:tcPr>
            <w:tcW w:w="1024" w:type="dxa"/>
          </w:tcPr>
          <w:p w14:paraId="1FB89F4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C3CF4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F4624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6B75E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9690D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3F0F8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4360E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1E9FE0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соображений. Макетная комиссия предлож.</w:t>
            </w:r>
          </w:p>
        </w:tc>
      </w:tr>
      <w:tr w:rsidR="001002C3" w:rsidRPr="005E779E" w14:paraId="3A64F32C" w14:textId="77777777">
        <w:tc>
          <w:tcPr>
            <w:tcW w:w="1024" w:type="dxa"/>
          </w:tcPr>
          <w:p w14:paraId="7BEA899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ACB45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8ED1F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197CF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DB1AB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9BDCC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71AE6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33BDB9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пересмотреть схему. Плановый срок сорван.</w:t>
            </w:r>
          </w:p>
        </w:tc>
      </w:tr>
      <w:tr w:rsidR="001002C3" w:rsidRPr="005E779E" w14:paraId="5F75C138" w14:textId="77777777">
        <w:tc>
          <w:tcPr>
            <w:tcW w:w="1024" w:type="dxa"/>
          </w:tcPr>
          <w:p w14:paraId="4DD1B05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6776F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4AB3E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E448C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CA15A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AD633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C4DE2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C8B1A1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Палехин.</w:t>
            </w:r>
          </w:p>
        </w:tc>
      </w:tr>
      <w:tr w:rsidR="001002C3" w:rsidRPr="005E779E" w14:paraId="123D747F" w14:textId="77777777">
        <w:tc>
          <w:tcPr>
            <w:tcW w:w="1024" w:type="dxa"/>
          </w:tcPr>
          <w:p w14:paraId="438276C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Р8-М34</w:t>
            </w:r>
          </w:p>
        </w:tc>
        <w:tc>
          <w:tcPr>
            <w:tcW w:w="1024" w:type="dxa"/>
          </w:tcPr>
          <w:p w14:paraId="7F12BC2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250/</w:t>
            </w:r>
          </w:p>
        </w:tc>
        <w:tc>
          <w:tcPr>
            <w:tcW w:w="1024" w:type="dxa"/>
          </w:tcPr>
          <w:p w14:paraId="0CC90F8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8/10/</w:t>
            </w:r>
          </w:p>
        </w:tc>
        <w:tc>
          <w:tcPr>
            <w:tcW w:w="1024" w:type="dxa"/>
          </w:tcPr>
          <w:p w14:paraId="1866063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7000</w:t>
            </w:r>
          </w:p>
        </w:tc>
        <w:tc>
          <w:tcPr>
            <w:tcW w:w="1024" w:type="dxa"/>
          </w:tcPr>
          <w:p w14:paraId="1D0920B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пул.</w:t>
            </w:r>
          </w:p>
        </w:tc>
        <w:tc>
          <w:tcPr>
            <w:tcW w:w="1024" w:type="dxa"/>
          </w:tcPr>
          <w:p w14:paraId="02397AF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650</w:t>
            </w:r>
          </w:p>
        </w:tc>
        <w:tc>
          <w:tcPr>
            <w:tcW w:w="1024" w:type="dxa"/>
          </w:tcPr>
          <w:p w14:paraId="722FA8E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окт.</w:t>
            </w:r>
          </w:p>
        </w:tc>
        <w:tc>
          <w:tcPr>
            <w:tcW w:w="3430" w:type="dxa"/>
          </w:tcPr>
          <w:p w14:paraId="296E945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Работы не начаты.</w:t>
            </w:r>
          </w:p>
        </w:tc>
      </w:tr>
      <w:tr w:rsidR="001002C3" w:rsidRPr="005E779E" w14:paraId="7E642F14" w14:textId="77777777">
        <w:tc>
          <w:tcPr>
            <w:tcW w:w="1024" w:type="dxa"/>
          </w:tcPr>
          <w:p w14:paraId="5AAAEA0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w:t>
            </w:r>
          </w:p>
        </w:tc>
        <w:tc>
          <w:tcPr>
            <w:tcW w:w="1024" w:type="dxa"/>
          </w:tcPr>
          <w:p w14:paraId="69E0E9B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747386F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0F0CCDD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7500</w:t>
            </w:r>
          </w:p>
        </w:tc>
        <w:tc>
          <w:tcPr>
            <w:tcW w:w="1024" w:type="dxa"/>
          </w:tcPr>
          <w:p w14:paraId="7941F93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03793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750</w:t>
            </w:r>
          </w:p>
        </w:tc>
        <w:tc>
          <w:tcPr>
            <w:tcW w:w="1024" w:type="dxa"/>
          </w:tcPr>
          <w:p w14:paraId="674E2E1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 г.</w:t>
            </w:r>
          </w:p>
        </w:tc>
        <w:tc>
          <w:tcPr>
            <w:tcW w:w="3430" w:type="dxa"/>
          </w:tcPr>
          <w:p w14:paraId="3D4AEC9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71909DD" w14:textId="77777777">
        <w:tc>
          <w:tcPr>
            <w:tcW w:w="1024" w:type="dxa"/>
          </w:tcPr>
          <w:p w14:paraId="646F0F9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МДР3-4ЮVI</w:t>
            </w:r>
          </w:p>
        </w:tc>
        <w:tc>
          <w:tcPr>
            <w:tcW w:w="1024" w:type="dxa"/>
          </w:tcPr>
          <w:p w14:paraId="13B71C4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w:t>
            </w:r>
          </w:p>
        </w:tc>
        <w:tc>
          <w:tcPr>
            <w:tcW w:w="1024" w:type="dxa"/>
          </w:tcPr>
          <w:p w14:paraId="72C3CD1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w:t>
            </w:r>
          </w:p>
        </w:tc>
        <w:tc>
          <w:tcPr>
            <w:tcW w:w="1024" w:type="dxa"/>
          </w:tcPr>
          <w:p w14:paraId="5CA0DA2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024" w:type="dxa"/>
          </w:tcPr>
          <w:p w14:paraId="21DD02E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пул.</w:t>
            </w:r>
          </w:p>
        </w:tc>
        <w:tc>
          <w:tcPr>
            <w:tcW w:w="1024" w:type="dxa"/>
          </w:tcPr>
          <w:p w14:paraId="36C5F6E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w:t>
            </w:r>
          </w:p>
        </w:tc>
        <w:tc>
          <w:tcPr>
            <w:tcW w:w="1024" w:type="dxa"/>
          </w:tcPr>
          <w:p w14:paraId="639D7CE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июня</w:t>
            </w:r>
          </w:p>
        </w:tc>
        <w:tc>
          <w:tcPr>
            <w:tcW w:w="3430" w:type="dxa"/>
          </w:tcPr>
          <w:p w14:paraId="2BCD1E8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большей своей части конструктивная</w:t>
            </w:r>
          </w:p>
        </w:tc>
      </w:tr>
      <w:tr w:rsidR="001002C3" w:rsidRPr="005E779E" w14:paraId="759A87D8" w14:textId="77777777">
        <w:tc>
          <w:tcPr>
            <w:tcW w:w="1024" w:type="dxa"/>
          </w:tcPr>
          <w:p w14:paraId="169C67E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w:t>
            </w:r>
          </w:p>
        </w:tc>
        <w:tc>
          <w:tcPr>
            <w:tcW w:w="1024" w:type="dxa"/>
          </w:tcPr>
          <w:p w14:paraId="094B1C9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21951A5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701F24C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D315E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авт.</w:t>
            </w:r>
          </w:p>
        </w:tc>
        <w:tc>
          <w:tcPr>
            <w:tcW w:w="1024" w:type="dxa"/>
          </w:tcPr>
          <w:p w14:paraId="3DFCF5F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1200</w:t>
            </w:r>
          </w:p>
        </w:tc>
        <w:tc>
          <w:tcPr>
            <w:tcW w:w="1024" w:type="dxa"/>
          </w:tcPr>
          <w:p w14:paraId="2C741E7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 г.</w:t>
            </w:r>
          </w:p>
        </w:tc>
        <w:tc>
          <w:tcPr>
            <w:tcW w:w="3430" w:type="dxa"/>
          </w:tcPr>
          <w:p w14:paraId="7DC1244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разработка окончена. Из основных частей</w:t>
            </w:r>
          </w:p>
        </w:tc>
      </w:tr>
      <w:tr w:rsidR="001002C3" w:rsidRPr="005E779E" w14:paraId="684A6684" w14:textId="77777777">
        <w:tc>
          <w:tcPr>
            <w:tcW w:w="1024" w:type="dxa"/>
          </w:tcPr>
          <w:p w14:paraId="445A5CA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A093B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5067D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AB929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22B61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пушка</w:t>
            </w:r>
          </w:p>
        </w:tc>
        <w:tc>
          <w:tcPr>
            <w:tcW w:w="1024" w:type="dxa"/>
          </w:tcPr>
          <w:p w14:paraId="5AB1854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52A95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9366EE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изготовлены: набор лодки, набор центр.</w:t>
            </w:r>
          </w:p>
        </w:tc>
      </w:tr>
      <w:tr w:rsidR="001002C3" w:rsidRPr="005E779E" w14:paraId="787DE6D6" w14:textId="77777777">
        <w:tc>
          <w:tcPr>
            <w:tcW w:w="1024" w:type="dxa"/>
          </w:tcPr>
          <w:p w14:paraId="094BCFC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6F393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F2119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99092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00BAF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 кг</w:t>
            </w:r>
          </w:p>
        </w:tc>
        <w:tc>
          <w:tcPr>
            <w:tcW w:w="1024" w:type="dxa"/>
          </w:tcPr>
          <w:p w14:paraId="571260F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1FA50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40AAC3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лонжероны консолей. Обшито днище лодки</w:t>
            </w:r>
          </w:p>
        </w:tc>
      </w:tr>
      <w:tr w:rsidR="001002C3" w:rsidRPr="005E779E" w14:paraId="562A8AE4" w14:textId="77777777">
        <w:tc>
          <w:tcPr>
            <w:tcW w:w="1024" w:type="dxa"/>
          </w:tcPr>
          <w:p w14:paraId="110DA1A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FFF5C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840F1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4473C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1A3B2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w:t>
            </w:r>
          </w:p>
        </w:tc>
        <w:tc>
          <w:tcPr>
            <w:tcW w:w="1024" w:type="dxa"/>
          </w:tcPr>
          <w:p w14:paraId="5F5C71A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80103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3FC03C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работы задерживаются из-за несвоеврем.</w:t>
            </w:r>
          </w:p>
        </w:tc>
      </w:tr>
      <w:tr w:rsidR="001002C3" w:rsidRPr="005E779E" w14:paraId="640DE52E" w14:textId="77777777">
        <w:tc>
          <w:tcPr>
            <w:tcW w:w="1024" w:type="dxa"/>
          </w:tcPr>
          <w:p w14:paraId="391F283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579D1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31D7D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32295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6917D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C5861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B56C5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60AB6A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выпуска ТБ-5, окончание пр-ва намечено</w:t>
            </w:r>
          </w:p>
        </w:tc>
      </w:tr>
      <w:tr w:rsidR="001002C3" w:rsidRPr="005E779E" w14:paraId="42F2D177" w14:textId="77777777">
        <w:tc>
          <w:tcPr>
            <w:tcW w:w="1024" w:type="dxa"/>
          </w:tcPr>
          <w:p w14:paraId="041DFE9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BD8BE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ACDF9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0B0A1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8FB4F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1ECEB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EDDC0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8201C8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1 сентября 1931</w:t>
            </w:r>
          </w:p>
        </w:tc>
      </w:tr>
      <w:tr w:rsidR="001002C3" w:rsidRPr="005E779E" w14:paraId="3F11FC67" w14:textId="77777777">
        <w:tc>
          <w:tcPr>
            <w:tcW w:w="1024" w:type="dxa"/>
          </w:tcPr>
          <w:p w14:paraId="785A901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5644E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9E32A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09F74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5F302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C6790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1E7C0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188FB0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Волков.</w:t>
            </w:r>
          </w:p>
        </w:tc>
      </w:tr>
      <w:tr w:rsidR="001002C3" w:rsidRPr="005E779E" w14:paraId="60EF3C8D" w14:textId="77777777">
        <w:tc>
          <w:tcPr>
            <w:tcW w:w="1024" w:type="dxa"/>
          </w:tcPr>
          <w:p w14:paraId="300CC73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2-я очередь (основные типы по системе </w:t>
            </w:r>
            <w:r w:rsidRPr="005E779E">
              <w:rPr>
                <w:rFonts w:ascii="Times New Roman" w:hAnsi="Times New Roman"/>
                <w:color w:val="000000" w:themeColor="text1"/>
                <w:sz w:val="16"/>
                <w:szCs w:val="16"/>
              </w:rPr>
              <w:lastRenderedPageBreak/>
              <w:t>вооружения).</w:t>
            </w:r>
          </w:p>
        </w:tc>
        <w:tc>
          <w:tcPr>
            <w:tcW w:w="1024" w:type="dxa"/>
          </w:tcPr>
          <w:p w14:paraId="75448ED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285E2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B0601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64655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8FCF6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13BF3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C9B67F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431522B" w14:textId="77777777">
        <w:tc>
          <w:tcPr>
            <w:tcW w:w="1024" w:type="dxa"/>
          </w:tcPr>
          <w:p w14:paraId="54F2C94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ДИ4-М-19</w:t>
            </w:r>
          </w:p>
        </w:tc>
        <w:tc>
          <w:tcPr>
            <w:tcW w:w="1024" w:type="dxa"/>
          </w:tcPr>
          <w:p w14:paraId="0121BE9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280/</w:t>
            </w:r>
          </w:p>
        </w:tc>
        <w:tc>
          <w:tcPr>
            <w:tcW w:w="1024" w:type="dxa"/>
          </w:tcPr>
          <w:p w14:paraId="069A112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8,5/</w:t>
            </w:r>
          </w:p>
        </w:tc>
        <w:tc>
          <w:tcPr>
            <w:tcW w:w="1024" w:type="dxa"/>
          </w:tcPr>
          <w:p w14:paraId="5F9104F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8000</w:t>
            </w:r>
          </w:p>
        </w:tc>
        <w:tc>
          <w:tcPr>
            <w:tcW w:w="1024" w:type="dxa"/>
          </w:tcPr>
          <w:p w14:paraId="59798B5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пул.</w:t>
            </w:r>
          </w:p>
        </w:tc>
        <w:tc>
          <w:tcPr>
            <w:tcW w:w="1024" w:type="dxa"/>
          </w:tcPr>
          <w:p w14:paraId="26E2E43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450</w:t>
            </w:r>
          </w:p>
        </w:tc>
        <w:tc>
          <w:tcPr>
            <w:tcW w:w="1024" w:type="dxa"/>
          </w:tcPr>
          <w:p w14:paraId="6958FAF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сент.</w:t>
            </w:r>
          </w:p>
        </w:tc>
        <w:tc>
          <w:tcPr>
            <w:tcW w:w="3430" w:type="dxa"/>
          </w:tcPr>
          <w:p w14:paraId="15A2089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 принято решение проектировать и стр.</w:t>
            </w:r>
          </w:p>
        </w:tc>
      </w:tr>
      <w:tr w:rsidR="001002C3" w:rsidRPr="005E779E" w14:paraId="009FB529" w14:textId="77777777">
        <w:tc>
          <w:tcPr>
            <w:tcW w:w="1024" w:type="dxa"/>
          </w:tcPr>
          <w:p w14:paraId="7329FB0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w:t>
            </w:r>
          </w:p>
        </w:tc>
        <w:tc>
          <w:tcPr>
            <w:tcW w:w="1024" w:type="dxa"/>
          </w:tcPr>
          <w:p w14:paraId="2C8F6F3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024" w:type="dxa"/>
          </w:tcPr>
          <w:p w14:paraId="15A9813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024" w:type="dxa"/>
          </w:tcPr>
          <w:p w14:paraId="22CE1F3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8FBEA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92897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w:t>
            </w:r>
          </w:p>
        </w:tc>
        <w:tc>
          <w:tcPr>
            <w:tcW w:w="1024" w:type="dxa"/>
          </w:tcPr>
          <w:p w14:paraId="19B0E19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 г.</w:t>
            </w:r>
          </w:p>
        </w:tc>
        <w:tc>
          <w:tcPr>
            <w:tcW w:w="3430" w:type="dxa"/>
          </w:tcPr>
          <w:p w14:paraId="31CC2B2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 под Кертис Конкверор (высотный), а</w:t>
            </w:r>
          </w:p>
        </w:tc>
      </w:tr>
      <w:tr w:rsidR="001002C3" w:rsidRPr="005E779E" w14:paraId="4E277D92" w14:textId="77777777">
        <w:tc>
          <w:tcPr>
            <w:tcW w:w="1024" w:type="dxa"/>
          </w:tcPr>
          <w:p w14:paraId="09F5986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E444D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32C66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F19BF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F94CA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FF674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2A93A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56F694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под М-19. Будут более низкие ЛТД, котор.</w:t>
            </w:r>
          </w:p>
        </w:tc>
      </w:tr>
      <w:tr w:rsidR="001002C3" w:rsidRPr="005E779E" w14:paraId="367708EE" w14:textId="77777777">
        <w:tc>
          <w:tcPr>
            <w:tcW w:w="1024" w:type="dxa"/>
          </w:tcPr>
          <w:p w14:paraId="5C0938B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D15C7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D4D32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B4CF5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8400F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26105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4EE40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38EC06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улучшатся при более высотном М-19а с имп.</w:t>
            </w:r>
          </w:p>
        </w:tc>
      </w:tr>
      <w:tr w:rsidR="001002C3" w:rsidRPr="005E779E" w14:paraId="655493AC" w14:textId="77777777">
        <w:tc>
          <w:tcPr>
            <w:tcW w:w="1024" w:type="dxa"/>
          </w:tcPr>
          <w:p w14:paraId="0F9E551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327FB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5B343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EF623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98E82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0FBF4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2A7BE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BDF6C9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Ввиду задержки с М-19 принято решение</w:t>
            </w:r>
          </w:p>
        </w:tc>
      </w:tr>
      <w:tr w:rsidR="001002C3" w:rsidRPr="005E779E" w14:paraId="5B778708" w14:textId="77777777">
        <w:tc>
          <w:tcPr>
            <w:tcW w:w="1024" w:type="dxa"/>
          </w:tcPr>
          <w:p w14:paraId="78B212A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81D94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7A099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CF66B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A4211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9577E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265E3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3F8664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вернуться к КК. макет утвержден. Проект. и</w:t>
            </w:r>
          </w:p>
        </w:tc>
      </w:tr>
      <w:tr w:rsidR="001002C3" w:rsidRPr="005E779E" w14:paraId="7873362E" w14:textId="77777777">
        <w:tc>
          <w:tcPr>
            <w:tcW w:w="1024" w:type="dxa"/>
          </w:tcPr>
          <w:p w14:paraId="1384195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CC295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5AE48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FE7E9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4B356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4BB1D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F34D3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5E6205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постройку ведет группа Лавиля. При получ.</w:t>
            </w:r>
          </w:p>
        </w:tc>
      </w:tr>
      <w:tr w:rsidR="001002C3" w:rsidRPr="005E779E" w14:paraId="304BB27C" w14:textId="77777777">
        <w:tc>
          <w:tcPr>
            <w:tcW w:w="1024" w:type="dxa"/>
          </w:tcPr>
          <w:p w14:paraId="76F2876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4194F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FDC9F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3AB01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8289F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F3D59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5614A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C62AB2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мотора м.б. закончен к 15 сентября</w:t>
            </w:r>
          </w:p>
        </w:tc>
      </w:tr>
      <w:tr w:rsidR="001002C3" w:rsidRPr="005E779E" w14:paraId="6B1138AE" w14:textId="77777777">
        <w:tc>
          <w:tcPr>
            <w:tcW w:w="1024" w:type="dxa"/>
          </w:tcPr>
          <w:p w14:paraId="630AF9F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23638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AED94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D1AC4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CB81A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38C2C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95E6A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ABD4BC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Гребенев.</w:t>
            </w:r>
          </w:p>
        </w:tc>
      </w:tr>
      <w:tr w:rsidR="001002C3" w:rsidRPr="005E779E" w14:paraId="4BA6B140" w14:textId="77777777">
        <w:tc>
          <w:tcPr>
            <w:tcW w:w="1024" w:type="dxa"/>
          </w:tcPr>
          <w:p w14:paraId="0EB8632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ДИ5-ФЭД</w:t>
            </w:r>
          </w:p>
        </w:tc>
        <w:tc>
          <w:tcPr>
            <w:tcW w:w="1024" w:type="dxa"/>
          </w:tcPr>
          <w:p w14:paraId="52C1617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270/</w:t>
            </w:r>
          </w:p>
        </w:tc>
        <w:tc>
          <w:tcPr>
            <w:tcW w:w="1024" w:type="dxa"/>
          </w:tcPr>
          <w:p w14:paraId="5FC584F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7,6/</w:t>
            </w:r>
          </w:p>
        </w:tc>
        <w:tc>
          <w:tcPr>
            <w:tcW w:w="1024" w:type="dxa"/>
          </w:tcPr>
          <w:p w14:paraId="378C184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8000</w:t>
            </w:r>
          </w:p>
        </w:tc>
        <w:tc>
          <w:tcPr>
            <w:tcW w:w="1024" w:type="dxa"/>
          </w:tcPr>
          <w:p w14:paraId="148B6BD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пул.</w:t>
            </w:r>
          </w:p>
        </w:tc>
        <w:tc>
          <w:tcPr>
            <w:tcW w:w="1024" w:type="dxa"/>
          </w:tcPr>
          <w:p w14:paraId="43B555C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A9578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июня</w:t>
            </w:r>
          </w:p>
        </w:tc>
        <w:tc>
          <w:tcPr>
            <w:tcW w:w="3430" w:type="dxa"/>
          </w:tcPr>
          <w:p w14:paraId="618F25B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Работы не ведутся. Нет ясности с ФЭД.</w:t>
            </w:r>
          </w:p>
        </w:tc>
      </w:tr>
      <w:tr w:rsidR="001002C3" w:rsidRPr="005E779E" w14:paraId="701A83F1" w14:textId="77777777">
        <w:tc>
          <w:tcPr>
            <w:tcW w:w="1024" w:type="dxa"/>
          </w:tcPr>
          <w:p w14:paraId="54EAC0E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F8851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75177FC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218DD1C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B4B8A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авт.</w:t>
            </w:r>
          </w:p>
        </w:tc>
        <w:tc>
          <w:tcPr>
            <w:tcW w:w="1024" w:type="dxa"/>
          </w:tcPr>
          <w:p w14:paraId="281C827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C6A22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 г.</w:t>
            </w:r>
          </w:p>
        </w:tc>
        <w:tc>
          <w:tcPr>
            <w:tcW w:w="3430" w:type="dxa"/>
          </w:tcPr>
          <w:p w14:paraId="274729C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Полехин.</w:t>
            </w:r>
          </w:p>
        </w:tc>
      </w:tr>
      <w:tr w:rsidR="001002C3" w:rsidRPr="005E779E" w14:paraId="483C2873" w14:textId="77777777">
        <w:tc>
          <w:tcPr>
            <w:tcW w:w="1024" w:type="dxa"/>
          </w:tcPr>
          <w:p w14:paraId="4444ADC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CBCDF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A93D5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A23C4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EFEA5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пушка</w:t>
            </w:r>
          </w:p>
        </w:tc>
        <w:tc>
          <w:tcPr>
            <w:tcW w:w="1024" w:type="dxa"/>
          </w:tcPr>
          <w:p w14:paraId="21FE681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ED368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2523EB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D68F4FD" w14:textId="77777777">
        <w:tc>
          <w:tcPr>
            <w:tcW w:w="1024" w:type="dxa"/>
          </w:tcPr>
          <w:p w14:paraId="46E8B24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ТШ1-2М34</w:t>
            </w:r>
          </w:p>
        </w:tc>
        <w:tc>
          <w:tcPr>
            <w:tcW w:w="1024" w:type="dxa"/>
          </w:tcPr>
          <w:p w14:paraId="680CE46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A21DC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5C37A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CFC08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4-6 пул.</w:t>
            </w:r>
          </w:p>
        </w:tc>
        <w:tc>
          <w:tcPr>
            <w:tcW w:w="1024" w:type="dxa"/>
          </w:tcPr>
          <w:p w14:paraId="241A0A7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w:t>
            </w:r>
          </w:p>
        </w:tc>
        <w:tc>
          <w:tcPr>
            <w:tcW w:w="1024" w:type="dxa"/>
          </w:tcPr>
          <w:p w14:paraId="160FF74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янв.</w:t>
            </w:r>
          </w:p>
        </w:tc>
        <w:tc>
          <w:tcPr>
            <w:tcW w:w="3430" w:type="dxa"/>
          </w:tcPr>
          <w:p w14:paraId="7D8F4C2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Работы не ведутся, поскольку с-т</w:t>
            </w:r>
          </w:p>
        </w:tc>
      </w:tr>
      <w:tr w:rsidR="001002C3" w:rsidRPr="005E779E" w14:paraId="784D4604" w14:textId="77777777">
        <w:tc>
          <w:tcPr>
            <w:tcW w:w="1024" w:type="dxa"/>
          </w:tcPr>
          <w:p w14:paraId="3E8B8E1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w:t>
            </w:r>
          </w:p>
        </w:tc>
        <w:tc>
          <w:tcPr>
            <w:tcW w:w="1024" w:type="dxa"/>
          </w:tcPr>
          <w:p w14:paraId="0AD7C04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F86A8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1B141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DD4F9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авт.</w:t>
            </w:r>
          </w:p>
        </w:tc>
        <w:tc>
          <w:tcPr>
            <w:tcW w:w="1024" w:type="dxa"/>
          </w:tcPr>
          <w:p w14:paraId="3C42A93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62D2F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1932 г.</w:t>
            </w:r>
          </w:p>
        </w:tc>
        <w:tc>
          <w:tcPr>
            <w:tcW w:w="3430" w:type="dxa"/>
          </w:tcPr>
          <w:p w14:paraId="3E45013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стоит в плане условно (до разрешения</w:t>
            </w:r>
          </w:p>
        </w:tc>
      </w:tr>
      <w:tr w:rsidR="001002C3" w:rsidRPr="005E779E" w14:paraId="60A93826" w14:textId="77777777">
        <w:tc>
          <w:tcPr>
            <w:tcW w:w="1024" w:type="dxa"/>
          </w:tcPr>
          <w:p w14:paraId="478404E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BC2EA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56099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B9DE2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8CA69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пушка</w:t>
            </w:r>
          </w:p>
        </w:tc>
        <w:tc>
          <w:tcPr>
            <w:tcW w:w="1024" w:type="dxa"/>
          </w:tcPr>
          <w:p w14:paraId="7AE06EB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0507C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F07287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РВС вопроса о необходимости иметь на</w:t>
            </w:r>
          </w:p>
        </w:tc>
      </w:tr>
      <w:tr w:rsidR="001002C3" w:rsidRPr="005E779E" w14:paraId="050B5B9A" w14:textId="77777777">
        <w:tc>
          <w:tcPr>
            <w:tcW w:w="1024" w:type="dxa"/>
          </w:tcPr>
          <w:p w14:paraId="56DBE37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B342D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1946A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B7F56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4EDCA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800 кг</w:t>
            </w:r>
          </w:p>
        </w:tc>
        <w:tc>
          <w:tcPr>
            <w:tcW w:w="1024" w:type="dxa"/>
          </w:tcPr>
          <w:p w14:paraId="50745AF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D1D30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E9A6B1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вооружении тяжел. двухмоторного</w:t>
            </w:r>
          </w:p>
        </w:tc>
      </w:tr>
      <w:tr w:rsidR="001002C3" w:rsidRPr="005E779E" w14:paraId="4153754D" w14:textId="77777777">
        <w:tc>
          <w:tcPr>
            <w:tcW w:w="1024" w:type="dxa"/>
          </w:tcPr>
          <w:p w14:paraId="1FC5DB5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7D766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32F07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3F791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15573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w:t>
            </w:r>
          </w:p>
        </w:tc>
        <w:tc>
          <w:tcPr>
            <w:tcW w:w="1024" w:type="dxa"/>
          </w:tcPr>
          <w:p w14:paraId="64C006D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D242F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E60C43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штурмовика).</w:t>
            </w:r>
          </w:p>
        </w:tc>
      </w:tr>
      <w:tr w:rsidR="001002C3" w:rsidRPr="005E779E" w14:paraId="583B18E5" w14:textId="77777777">
        <w:tc>
          <w:tcPr>
            <w:tcW w:w="1024" w:type="dxa"/>
          </w:tcPr>
          <w:p w14:paraId="39C7DB3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МТБ3-4М34</w:t>
            </w:r>
          </w:p>
        </w:tc>
        <w:tc>
          <w:tcPr>
            <w:tcW w:w="1024" w:type="dxa"/>
          </w:tcPr>
          <w:p w14:paraId="4331E1C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AFD22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1F19B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2A1D4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B2158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F14CF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окт.</w:t>
            </w:r>
          </w:p>
        </w:tc>
        <w:tc>
          <w:tcPr>
            <w:tcW w:w="3430" w:type="dxa"/>
          </w:tcPr>
          <w:p w14:paraId="77216C0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Проработан эскизный проект, но в нем ТТ</w:t>
            </w:r>
          </w:p>
        </w:tc>
      </w:tr>
      <w:tr w:rsidR="001002C3" w:rsidRPr="005E779E" w14:paraId="3D52C285" w14:textId="77777777">
        <w:tc>
          <w:tcPr>
            <w:tcW w:w="1024" w:type="dxa"/>
          </w:tcPr>
          <w:p w14:paraId="6E36F1D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w:t>
            </w:r>
          </w:p>
        </w:tc>
        <w:tc>
          <w:tcPr>
            <w:tcW w:w="1024" w:type="dxa"/>
          </w:tcPr>
          <w:p w14:paraId="4CE9A1F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F79C8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3BF2E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E2734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6DC2F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DD328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1932</w:t>
            </w:r>
          </w:p>
        </w:tc>
        <w:tc>
          <w:tcPr>
            <w:tcW w:w="3430" w:type="dxa"/>
          </w:tcPr>
          <w:p w14:paraId="1CE94D9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удовлетворены не были. По летно-тактич.</w:t>
            </w:r>
          </w:p>
        </w:tc>
      </w:tr>
      <w:tr w:rsidR="001002C3" w:rsidRPr="005E779E" w14:paraId="4F74C6B9" w14:textId="77777777">
        <w:tc>
          <w:tcPr>
            <w:tcW w:w="1024" w:type="dxa"/>
          </w:tcPr>
          <w:p w14:paraId="2AFD3D4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24F29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7C236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66693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DEBA5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A0971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D2341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5260AA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элементам близок к К-1. Оканчивается</w:t>
            </w:r>
          </w:p>
        </w:tc>
      </w:tr>
      <w:tr w:rsidR="001002C3" w:rsidRPr="005E779E" w14:paraId="46EF26D9" w14:textId="77777777">
        <w:tc>
          <w:tcPr>
            <w:tcW w:w="1024" w:type="dxa"/>
          </w:tcPr>
          <w:p w14:paraId="4DF8777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0B8B9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F6C94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9506E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35CE4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36C91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CD4EA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94F013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проработка варианта, соотв. требованиям</w:t>
            </w:r>
          </w:p>
        </w:tc>
      </w:tr>
      <w:tr w:rsidR="001002C3" w:rsidRPr="005E779E" w14:paraId="1A71D8DE" w14:textId="77777777">
        <w:tc>
          <w:tcPr>
            <w:tcW w:w="1024" w:type="dxa"/>
          </w:tcPr>
          <w:p w14:paraId="5FB23AA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821BF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77F57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1110E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C14D1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B87FB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0981E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5CA3C2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К-1. При утв. проекта будет переходным</w:t>
            </w:r>
          </w:p>
        </w:tc>
      </w:tr>
      <w:tr w:rsidR="001002C3" w:rsidRPr="005E779E" w14:paraId="3818A3EC" w14:textId="77777777">
        <w:tc>
          <w:tcPr>
            <w:tcW w:w="1024" w:type="dxa"/>
          </w:tcPr>
          <w:p w14:paraId="1C99816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074F6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7EC2B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01CB1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D80F1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C6A20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425F0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745494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МТБ3. 11 июля представлен вариант расч.</w:t>
            </w:r>
          </w:p>
        </w:tc>
      </w:tr>
      <w:tr w:rsidR="001002C3" w:rsidRPr="005E779E" w14:paraId="67E21D4D" w14:textId="77777777">
        <w:tc>
          <w:tcPr>
            <w:tcW w:w="1024" w:type="dxa"/>
          </w:tcPr>
          <w:p w14:paraId="2455761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9F422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B9425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3390D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47BA7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C9D3A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C8A44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F52004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К-1. ТТ не удовлетворяет</w:t>
            </w:r>
          </w:p>
        </w:tc>
      </w:tr>
      <w:tr w:rsidR="001002C3" w:rsidRPr="005E779E" w14:paraId="79F0D5BF" w14:textId="77777777">
        <w:tc>
          <w:tcPr>
            <w:tcW w:w="1024" w:type="dxa"/>
          </w:tcPr>
          <w:p w14:paraId="688B0DE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Экспериментальные конструкции.</w:t>
            </w:r>
          </w:p>
        </w:tc>
        <w:tc>
          <w:tcPr>
            <w:tcW w:w="1024" w:type="dxa"/>
          </w:tcPr>
          <w:p w14:paraId="39A2401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80DFD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18D54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BB2D9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D1763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B0ECD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D7A5A8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55AB88F" w14:textId="77777777">
        <w:tc>
          <w:tcPr>
            <w:tcW w:w="1024" w:type="dxa"/>
          </w:tcPr>
          <w:p w14:paraId="2744EA4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ВС1-2М26</w:t>
            </w:r>
          </w:p>
        </w:tc>
        <w:tc>
          <w:tcPr>
            <w:tcW w:w="1024" w:type="dxa"/>
          </w:tcPr>
          <w:p w14:paraId="19DBD92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w:t>
            </w:r>
          </w:p>
        </w:tc>
        <w:tc>
          <w:tcPr>
            <w:tcW w:w="1024" w:type="dxa"/>
          </w:tcPr>
          <w:p w14:paraId="22261AE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w:t>
            </w:r>
          </w:p>
        </w:tc>
        <w:tc>
          <w:tcPr>
            <w:tcW w:w="1024" w:type="dxa"/>
          </w:tcPr>
          <w:p w14:paraId="2AE2440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58273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пул.</w:t>
            </w:r>
          </w:p>
        </w:tc>
        <w:tc>
          <w:tcPr>
            <w:tcW w:w="1024" w:type="dxa"/>
          </w:tcPr>
          <w:p w14:paraId="61E55A0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BC5BD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марта</w:t>
            </w:r>
          </w:p>
        </w:tc>
        <w:tc>
          <w:tcPr>
            <w:tcW w:w="3430" w:type="dxa"/>
          </w:tcPr>
          <w:p w14:paraId="731D47D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 проектирование и постройку</w:t>
            </w:r>
          </w:p>
        </w:tc>
      </w:tr>
      <w:tr w:rsidR="001002C3" w:rsidRPr="005E779E" w14:paraId="3A54C7DD" w14:textId="77777777">
        <w:tc>
          <w:tcPr>
            <w:tcW w:w="1024" w:type="dxa"/>
          </w:tcPr>
          <w:p w14:paraId="446726A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(Р9-2М26)</w:t>
            </w:r>
          </w:p>
        </w:tc>
        <w:tc>
          <w:tcPr>
            <w:tcW w:w="1024" w:type="dxa"/>
          </w:tcPr>
          <w:p w14:paraId="4443CE2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7848B26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17F17D3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5CEE9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38C66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20512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1932</w:t>
            </w:r>
          </w:p>
        </w:tc>
        <w:tc>
          <w:tcPr>
            <w:tcW w:w="3430" w:type="dxa"/>
          </w:tcPr>
          <w:p w14:paraId="01D743E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передало в ГРОС. Разработаны и представл.</w:t>
            </w:r>
          </w:p>
        </w:tc>
      </w:tr>
      <w:tr w:rsidR="001002C3" w:rsidRPr="005E779E" w14:paraId="4AEF6B71" w14:textId="77777777">
        <w:tc>
          <w:tcPr>
            <w:tcW w:w="1024" w:type="dxa"/>
          </w:tcPr>
          <w:p w14:paraId="6184460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w:t>
            </w:r>
          </w:p>
        </w:tc>
        <w:tc>
          <w:tcPr>
            <w:tcW w:w="1024" w:type="dxa"/>
          </w:tcPr>
          <w:p w14:paraId="2A80264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487B0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A4BF9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55F97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50114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B318A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3C6567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ВАО ТТ. Начато проектирование</w:t>
            </w:r>
          </w:p>
        </w:tc>
      </w:tr>
      <w:tr w:rsidR="001002C3" w:rsidRPr="005E779E" w14:paraId="65F1F801" w14:textId="77777777">
        <w:tc>
          <w:tcPr>
            <w:tcW w:w="1024" w:type="dxa"/>
          </w:tcPr>
          <w:p w14:paraId="5DF9BCF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D2632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32EE2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E7AC0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BF828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FF43C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D898E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46F1E8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 вторую половину 1932 года.</w:t>
            </w:r>
          </w:p>
        </w:tc>
      </w:tr>
      <w:tr w:rsidR="001002C3" w:rsidRPr="005E779E" w14:paraId="670F3A43" w14:textId="77777777">
        <w:tc>
          <w:tcPr>
            <w:tcW w:w="1024" w:type="dxa"/>
          </w:tcPr>
          <w:p w14:paraId="0EC4209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23461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44457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296B5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07367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C1D2A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BBB6C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85F9CC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Жемчужин.</w:t>
            </w:r>
          </w:p>
        </w:tc>
      </w:tr>
      <w:tr w:rsidR="001002C3" w:rsidRPr="005E779E" w14:paraId="36A22011" w14:textId="77777777">
        <w:tc>
          <w:tcPr>
            <w:tcW w:w="1024" w:type="dxa"/>
          </w:tcPr>
          <w:p w14:paraId="4E3B1BB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ТШ2-М17</w:t>
            </w:r>
          </w:p>
        </w:tc>
        <w:tc>
          <w:tcPr>
            <w:tcW w:w="1024" w:type="dxa"/>
          </w:tcPr>
          <w:p w14:paraId="4CA3339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200/0</w:t>
            </w:r>
          </w:p>
        </w:tc>
        <w:tc>
          <w:tcPr>
            <w:tcW w:w="1024" w:type="dxa"/>
          </w:tcPr>
          <w:p w14:paraId="2BFF083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11,6/</w:t>
            </w:r>
          </w:p>
        </w:tc>
        <w:tc>
          <w:tcPr>
            <w:tcW w:w="1024" w:type="dxa"/>
          </w:tcPr>
          <w:p w14:paraId="71EAF01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5860</w:t>
            </w:r>
          </w:p>
        </w:tc>
        <w:tc>
          <w:tcPr>
            <w:tcW w:w="1024" w:type="dxa"/>
          </w:tcPr>
          <w:p w14:paraId="5D09481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пулем.</w:t>
            </w:r>
          </w:p>
        </w:tc>
        <w:tc>
          <w:tcPr>
            <w:tcW w:w="1024" w:type="dxa"/>
          </w:tcPr>
          <w:p w14:paraId="482095B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1C801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дек.</w:t>
            </w:r>
          </w:p>
        </w:tc>
        <w:tc>
          <w:tcPr>
            <w:tcW w:w="3430" w:type="dxa"/>
          </w:tcPr>
          <w:p w14:paraId="516BFBA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результате испытаний ТШ-2 БМВ-6</w:t>
            </w:r>
          </w:p>
        </w:tc>
      </w:tr>
      <w:tr w:rsidR="001002C3" w:rsidRPr="005E779E" w14:paraId="4903D854" w14:textId="77777777">
        <w:tc>
          <w:tcPr>
            <w:tcW w:w="1024" w:type="dxa"/>
          </w:tcPr>
          <w:p w14:paraId="04B5035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(ТШ2-М27)</w:t>
            </w:r>
          </w:p>
        </w:tc>
        <w:tc>
          <w:tcPr>
            <w:tcW w:w="1024" w:type="dxa"/>
          </w:tcPr>
          <w:p w14:paraId="2F4D1DC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3C7C55F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FA326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6B8AA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B40E1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8CD91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1930 г.</w:t>
            </w:r>
          </w:p>
        </w:tc>
        <w:tc>
          <w:tcPr>
            <w:tcW w:w="3430" w:type="dxa"/>
          </w:tcPr>
          <w:p w14:paraId="3170A20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выявлена недостаточная мощность мотора</w:t>
            </w:r>
          </w:p>
        </w:tc>
      </w:tr>
      <w:tr w:rsidR="001002C3" w:rsidRPr="005E779E" w14:paraId="3953C82F" w14:textId="77777777">
        <w:tc>
          <w:tcPr>
            <w:tcW w:w="1024" w:type="dxa"/>
          </w:tcPr>
          <w:p w14:paraId="338EF1C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w:t>
            </w:r>
          </w:p>
        </w:tc>
        <w:tc>
          <w:tcPr>
            <w:tcW w:w="1024" w:type="dxa"/>
          </w:tcPr>
          <w:p w14:paraId="0DDEEC7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21498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0F56E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869E7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7AD37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0F3C9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0946E2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 принято решение отказаться от постройки</w:t>
            </w:r>
          </w:p>
        </w:tc>
      </w:tr>
      <w:tr w:rsidR="001002C3" w:rsidRPr="005E779E" w14:paraId="3A58A04D" w14:textId="77777777">
        <w:tc>
          <w:tcPr>
            <w:tcW w:w="1024" w:type="dxa"/>
          </w:tcPr>
          <w:p w14:paraId="5E33750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1CC7E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2EFF7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0BDBA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F5E0C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BCB66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AED9F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CECFAA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серии ТШ-2М-17 для войсковых испытаний.</w:t>
            </w:r>
          </w:p>
        </w:tc>
      </w:tr>
      <w:tr w:rsidR="001002C3" w:rsidRPr="005E779E" w14:paraId="4109F6CF" w14:textId="77777777">
        <w:tc>
          <w:tcPr>
            <w:tcW w:w="1024" w:type="dxa"/>
          </w:tcPr>
          <w:p w14:paraId="750A765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6A2B8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14270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29A9E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6800D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F651C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AD7A7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4411D3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 дало задание ЦКБ при заводе 39</w:t>
            </w:r>
          </w:p>
        </w:tc>
      </w:tr>
      <w:tr w:rsidR="001002C3" w:rsidRPr="005E779E" w14:paraId="042D1BD3" w14:textId="77777777">
        <w:tc>
          <w:tcPr>
            <w:tcW w:w="1024" w:type="dxa"/>
          </w:tcPr>
          <w:p w14:paraId="364E2F6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7D51D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B993A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6137F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ACEC9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FCA85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D2920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83A006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построить 3 экз. ТШ-2 с М-27. 39 завод</w:t>
            </w:r>
          </w:p>
        </w:tc>
      </w:tr>
      <w:tr w:rsidR="001002C3" w:rsidRPr="005E779E" w14:paraId="7DBF4D87" w14:textId="77777777">
        <w:tc>
          <w:tcPr>
            <w:tcW w:w="1024" w:type="dxa"/>
          </w:tcPr>
          <w:p w14:paraId="519122E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F5BD8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75DA2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3F2E1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D8D28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10226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03F80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54FB42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заканчивает постройку 1-го, передача на</w:t>
            </w:r>
          </w:p>
        </w:tc>
      </w:tr>
      <w:tr w:rsidR="001002C3" w:rsidRPr="005E779E" w14:paraId="0559CCDC" w14:textId="77777777">
        <w:tc>
          <w:tcPr>
            <w:tcW w:w="1024" w:type="dxa"/>
          </w:tcPr>
          <w:p w14:paraId="2F0E1C9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6ACF8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A73FC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45E2A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14C6B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18D84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2D648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275340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гос. испытания ожидается в первой пол.</w:t>
            </w:r>
          </w:p>
        </w:tc>
      </w:tr>
      <w:tr w:rsidR="001002C3" w:rsidRPr="005E779E" w14:paraId="2DD9B00B" w14:textId="77777777">
        <w:tc>
          <w:tcPr>
            <w:tcW w:w="1024" w:type="dxa"/>
          </w:tcPr>
          <w:p w14:paraId="6114D60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62EC8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1812A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8FE82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C92FE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406D3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A9BF6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0209AA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августа 1931</w:t>
            </w:r>
          </w:p>
        </w:tc>
      </w:tr>
      <w:tr w:rsidR="001002C3" w:rsidRPr="005E779E" w14:paraId="637AF782" w14:textId="77777777">
        <w:tc>
          <w:tcPr>
            <w:tcW w:w="1024" w:type="dxa"/>
          </w:tcPr>
          <w:p w14:paraId="1343527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BF691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3034C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64CB4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D7EDC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C949C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210FE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D6B968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Полехин.</w:t>
            </w:r>
          </w:p>
        </w:tc>
      </w:tr>
      <w:tr w:rsidR="001002C3" w:rsidRPr="005E779E" w14:paraId="473FA446" w14:textId="77777777">
        <w:tc>
          <w:tcPr>
            <w:tcW w:w="1024" w:type="dxa"/>
          </w:tcPr>
          <w:p w14:paraId="7F762C1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МДР-1</w:t>
            </w:r>
          </w:p>
        </w:tc>
        <w:tc>
          <w:tcPr>
            <w:tcW w:w="1024" w:type="dxa"/>
          </w:tcPr>
          <w:p w14:paraId="73863D7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024" w:type="dxa"/>
          </w:tcPr>
          <w:p w14:paraId="7FF16A5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23/3000</w:t>
            </w:r>
          </w:p>
        </w:tc>
        <w:tc>
          <w:tcPr>
            <w:tcW w:w="1024" w:type="dxa"/>
          </w:tcPr>
          <w:p w14:paraId="6B88FFD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4500</w:t>
            </w:r>
          </w:p>
        </w:tc>
        <w:tc>
          <w:tcPr>
            <w:tcW w:w="1024" w:type="dxa"/>
          </w:tcPr>
          <w:p w14:paraId="01CBC78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Отсут.</w:t>
            </w:r>
          </w:p>
        </w:tc>
        <w:tc>
          <w:tcPr>
            <w:tcW w:w="1024" w:type="dxa"/>
          </w:tcPr>
          <w:p w14:paraId="01B2599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23BDA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апр.</w:t>
            </w:r>
          </w:p>
        </w:tc>
        <w:tc>
          <w:tcPr>
            <w:tcW w:w="3430" w:type="dxa"/>
          </w:tcPr>
          <w:p w14:paraId="202F078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 июль работы велись в небольш. разм.</w:t>
            </w:r>
          </w:p>
        </w:tc>
      </w:tr>
      <w:tr w:rsidR="001002C3" w:rsidRPr="005E779E" w14:paraId="130D81F6" w14:textId="77777777">
        <w:tc>
          <w:tcPr>
            <w:tcW w:w="1024" w:type="dxa"/>
          </w:tcPr>
          <w:p w14:paraId="6F8DE50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2БМВ-6</w:t>
            </w:r>
          </w:p>
        </w:tc>
        <w:tc>
          <w:tcPr>
            <w:tcW w:w="1024" w:type="dxa"/>
          </w:tcPr>
          <w:p w14:paraId="3198F27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9AE23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E49AF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1ABB4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900EE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997C6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w:t>
            </w:r>
          </w:p>
        </w:tc>
        <w:tc>
          <w:tcPr>
            <w:tcW w:w="3430" w:type="dxa"/>
          </w:tcPr>
          <w:p w14:paraId="5C46613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т.к. ЦКБ занят основными самолетами.</w:t>
            </w:r>
          </w:p>
        </w:tc>
      </w:tr>
      <w:tr w:rsidR="001002C3" w:rsidRPr="005E779E" w14:paraId="3893D02C" w14:textId="77777777">
        <w:tc>
          <w:tcPr>
            <w:tcW w:w="1024" w:type="dxa"/>
          </w:tcPr>
          <w:p w14:paraId="083F663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w:t>
            </w:r>
          </w:p>
        </w:tc>
        <w:tc>
          <w:tcPr>
            <w:tcW w:w="1024" w:type="dxa"/>
          </w:tcPr>
          <w:p w14:paraId="0340965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D4129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DB2C2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392B6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4315D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A8AF0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A4F203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Ориент. окончание - 1 января 1932</w:t>
            </w:r>
          </w:p>
        </w:tc>
      </w:tr>
      <w:tr w:rsidR="001002C3" w:rsidRPr="005E779E" w14:paraId="0EF45CBA" w14:textId="77777777">
        <w:tc>
          <w:tcPr>
            <w:tcW w:w="1024" w:type="dxa"/>
          </w:tcPr>
          <w:p w14:paraId="19A5FAE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И12-2ЮVI</w:t>
            </w:r>
          </w:p>
        </w:tc>
        <w:tc>
          <w:tcPr>
            <w:tcW w:w="1024" w:type="dxa"/>
          </w:tcPr>
          <w:p w14:paraId="0F98593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w:t>
            </w:r>
          </w:p>
        </w:tc>
        <w:tc>
          <w:tcPr>
            <w:tcW w:w="1024" w:type="dxa"/>
          </w:tcPr>
          <w:p w14:paraId="62A3B49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w:t>
            </w:r>
          </w:p>
        </w:tc>
        <w:tc>
          <w:tcPr>
            <w:tcW w:w="1024" w:type="dxa"/>
          </w:tcPr>
          <w:p w14:paraId="3D544A1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024" w:type="dxa"/>
          </w:tcPr>
          <w:p w14:paraId="65AA4B0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пушки</w:t>
            </w:r>
          </w:p>
        </w:tc>
        <w:tc>
          <w:tcPr>
            <w:tcW w:w="1024" w:type="dxa"/>
          </w:tcPr>
          <w:p w14:paraId="510C8DF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AE97A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июля</w:t>
            </w:r>
          </w:p>
        </w:tc>
        <w:tc>
          <w:tcPr>
            <w:tcW w:w="3430" w:type="dxa"/>
          </w:tcPr>
          <w:p w14:paraId="69FC4BC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Заканчивается постройкой, которая задерж.</w:t>
            </w:r>
          </w:p>
        </w:tc>
      </w:tr>
      <w:tr w:rsidR="001002C3" w:rsidRPr="005E779E" w14:paraId="2E693500" w14:textId="77777777">
        <w:tc>
          <w:tcPr>
            <w:tcW w:w="1024" w:type="dxa"/>
          </w:tcPr>
          <w:p w14:paraId="4F9604F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4956D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024" w:type="dxa"/>
          </w:tcPr>
          <w:p w14:paraId="1D9456A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024" w:type="dxa"/>
          </w:tcPr>
          <w:p w14:paraId="5ECD56D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89D1A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ДРП</w:t>
            </w:r>
          </w:p>
        </w:tc>
        <w:tc>
          <w:tcPr>
            <w:tcW w:w="1024" w:type="dxa"/>
          </w:tcPr>
          <w:p w14:paraId="703C88B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55FC9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 г.</w:t>
            </w:r>
          </w:p>
        </w:tc>
        <w:tc>
          <w:tcPr>
            <w:tcW w:w="3430" w:type="dxa"/>
          </w:tcPr>
          <w:p w14:paraId="46C92A5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из-за ДРП. Выход на аэродром 15-25 июля.</w:t>
            </w:r>
          </w:p>
        </w:tc>
      </w:tr>
      <w:tr w:rsidR="001002C3" w:rsidRPr="005E779E" w14:paraId="3BC46EA8" w14:textId="77777777">
        <w:tc>
          <w:tcPr>
            <w:tcW w:w="1024" w:type="dxa"/>
          </w:tcPr>
          <w:p w14:paraId="1523171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39C23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DDAC2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220FB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C288A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010A9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011FB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32ACB4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 перевели на аэродром и 23 июля - рулили.</w:t>
            </w:r>
          </w:p>
        </w:tc>
      </w:tr>
      <w:tr w:rsidR="001002C3" w:rsidRPr="005E779E" w14:paraId="11DC094E" w14:textId="77777777">
        <w:tc>
          <w:tcPr>
            <w:tcW w:w="1024" w:type="dxa"/>
          </w:tcPr>
          <w:p w14:paraId="79D5F38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ECE8D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ACAB8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3C97A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92E46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51B54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A4983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47183D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Результат - неудовлетворительный</w:t>
            </w:r>
          </w:p>
        </w:tc>
      </w:tr>
      <w:tr w:rsidR="001002C3" w:rsidRPr="005E779E" w14:paraId="555B8596" w14:textId="77777777">
        <w:tc>
          <w:tcPr>
            <w:tcW w:w="1024" w:type="dxa"/>
          </w:tcPr>
          <w:p w14:paraId="415DB74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4CCC4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457D1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DC7EC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F92EC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854E6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1CCC4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FD4E4D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Межак.</w:t>
            </w:r>
          </w:p>
        </w:tc>
      </w:tr>
      <w:tr w:rsidR="001002C3" w:rsidRPr="005E779E" w14:paraId="1BA5E622" w14:textId="77777777">
        <w:tc>
          <w:tcPr>
            <w:tcW w:w="1024" w:type="dxa"/>
          </w:tcPr>
          <w:p w14:paraId="3320ACF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И11-М-41</w:t>
            </w:r>
          </w:p>
        </w:tc>
        <w:tc>
          <w:tcPr>
            <w:tcW w:w="1024" w:type="dxa"/>
          </w:tcPr>
          <w:p w14:paraId="0798B25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Требования не установлены.</w:t>
            </w:r>
          </w:p>
        </w:tc>
        <w:tc>
          <w:tcPr>
            <w:tcW w:w="1024" w:type="dxa"/>
          </w:tcPr>
          <w:p w14:paraId="07FF4E7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71D2F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B64BB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84192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C5CD4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E61DE9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Работы не начаты.</w:t>
            </w:r>
          </w:p>
        </w:tc>
      </w:tr>
      <w:tr w:rsidR="001002C3" w:rsidRPr="005E779E" w14:paraId="62FCF47F" w14:textId="77777777">
        <w:tc>
          <w:tcPr>
            <w:tcW w:w="1024" w:type="dxa"/>
          </w:tcPr>
          <w:p w14:paraId="467A699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(Электр.)</w:t>
            </w:r>
          </w:p>
        </w:tc>
        <w:tc>
          <w:tcPr>
            <w:tcW w:w="1024" w:type="dxa"/>
          </w:tcPr>
          <w:p w14:paraId="6130908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25755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14675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CC9C4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93B0B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EE8E4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2D43B8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F646891" w14:textId="77777777">
        <w:tc>
          <w:tcPr>
            <w:tcW w:w="1024" w:type="dxa"/>
          </w:tcPr>
          <w:p w14:paraId="1D3CA46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Р5-М17</w:t>
            </w:r>
          </w:p>
        </w:tc>
        <w:tc>
          <w:tcPr>
            <w:tcW w:w="1024" w:type="dxa"/>
          </w:tcPr>
          <w:p w14:paraId="3A7BA4F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Установка мотора М-19</w:t>
            </w:r>
          </w:p>
        </w:tc>
        <w:tc>
          <w:tcPr>
            <w:tcW w:w="1024" w:type="dxa"/>
          </w:tcPr>
          <w:p w14:paraId="34753FC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1C5BC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FAD59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E1B17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61FC5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дек.</w:t>
            </w:r>
          </w:p>
        </w:tc>
        <w:tc>
          <w:tcPr>
            <w:tcW w:w="3430" w:type="dxa"/>
          </w:tcPr>
          <w:p w14:paraId="7F1B8FB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Работы сильно задержаны. ЦКБ объясняет</w:t>
            </w:r>
          </w:p>
        </w:tc>
      </w:tr>
      <w:tr w:rsidR="001002C3" w:rsidRPr="005E779E" w14:paraId="6CEFA304" w14:textId="77777777">
        <w:tc>
          <w:tcPr>
            <w:tcW w:w="1024" w:type="dxa"/>
          </w:tcPr>
          <w:p w14:paraId="2A0C78D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8494B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4AFF2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2C96D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A2F3F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7555D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6B0B8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1930 г.</w:t>
            </w:r>
          </w:p>
        </w:tc>
        <w:tc>
          <w:tcPr>
            <w:tcW w:w="3430" w:type="dxa"/>
          </w:tcPr>
          <w:p w14:paraId="58A5D52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отсутствием РСилы и необходимостью пер.</w:t>
            </w:r>
          </w:p>
        </w:tc>
      </w:tr>
      <w:tr w:rsidR="001002C3" w:rsidRPr="005E779E" w14:paraId="0EEEF678" w14:textId="77777777">
        <w:tc>
          <w:tcPr>
            <w:tcW w:w="1024" w:type="dxa"/>
          </w:tcPr>
          <w:p w14:paraId="404DCCD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B7F54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4A505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F9948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C4580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722C4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1AA0C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B96B01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моторной установки. После кратковр. зав.</w:t>
            </w:r>
          </w:p>
        </w:tc>
      </w:tr>
      <w:tr w:rsidR="001002C3" w:rsidRPr="005E779E" w14:paraId="45A01ADE" w14:textId="77777777">
        <w:tc>
          <w:tcPr>
            <w:tcW w:w="1024" w:type="dxa"/>
          </w:tcPr>
          <w:p w14:paraId="00721A6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6BE63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6ABA8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835C8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82343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1A4A4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A0118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1CE625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испытаний мотор был снят, т.к. не давал</w:t>
            </w:r>
          </w:p>
        </w:tc>
      </w:tr>
      <w:tr w:rsidR="001002C3" w:rsidRPr="005E779E" w14:paraId="05C5682E" w14:textId="77777777">
        <w:tc>
          <w:tcPr>
            <w:tcW w:w="1024" w:type="dxa"/>
          </w:tcPr>
          <w:p w14:paraId="2A33A06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9C41A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8FF8D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4A210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E1E9F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D9ECE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61D53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63CCE5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мощности. Отправили на 24 завод для</w:t>
            </w:r>
          </w:p>
        </w:tc>
      </w:tr>
      <w:tr w:rsidR="001002C3" w:rsidRPr="005E779E" w14:paraId="2B5382E3" w14:textId="77777777">
        <w:tc>
          <w:tcPr>
            <w:tcW w:w="1024" w:type="dxa"/>
          </w:tcPr>
          <w:p w14:paraId="013A6E8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ADEA6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0683A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F67EB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68A19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0B75E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B7995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482070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переборки</w:t>
            </w:r>
          </w:p>
        </w:tc>
      </w:tr>
      <w:tr w:rsidR="001002C3" w:rsidRPr="005E779E" w14:paraId="5A7E844B" w14:textId="77777777">
        <w:tc>
          <w:tcPr>
            <w:tcW w:w="1024" w:type="dxa"/>
          </w:tcPr>
          <w:p w14:paraId="3DD109E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7652D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54CD1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4D7E3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EF018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1A8F2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F3AA3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BD58C9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Установка разрезных крыльев</w:t>
            </w:r>
          </w:p>
        </w:tc>
      </w:tr>
      <w:tr w:rsidR="001002C3" w:rsidRPr="005E779E" w14:paraId="080082A4" w14:textId="77777777">
        <w:tc>
          <w:tcPr>
            <w:tcW w:w="1024" w:type="dxa"/>
          </w:tcPr>
          <w:p w14:paraId="42A6277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458BA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0B43B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315FE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380E8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916DE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3277F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02FE21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ЦКБ зав. 39 разработало аэродинам. часть,</w:t>
            </w:r>
          </w:p>
        </w:tc>
      </w:tr>
      <w:tr w:rsidR="001002C3" w:rsidRPr="005E779E" w14:paraId="30982B45" w14:textId="77777777">
        <w:tc>
          <w:tcPr>
            <w:tcW w:w="1024" w:type="dxa"/>
          </w:tcPr>
          <w:p w14:paraId="16A0869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587E3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EDD2C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BBDFE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888E7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CD0E0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A08E0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47611D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ведется конструктивная проработка. Выйдет</w:t>
            </w:r>
          </w:p>
        </w:tc>
      </w:tr>
      <w:tr w:rsidR="001002C3" w:rsidRPr="005E779E" w14:paraId="5C077A19" w14:textId="77777777">
        <w:tc>
          <w:tcPr>
            <w:tcW w:w="1024" w:type="dxa"/>
          </w:tcPr>
          <w:p w14:paraId="58C0C3B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203E0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F8A5D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FF7A3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0101B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AB08D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7E1D2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03067B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аэродром 10 сентября 1931</w:t>
            </w:r>
          </w:p>
        </w:tc>
      </w:tr>
      <w:tr w:rsidR="001002C3" w:rsidRPr="005E779E" w14:paraId="207507C8" w14:textId="77777777">
        <w:tc>
          <w:tcPr>
            <w:tcW w:w="1024" w:type="dxa"/>
          </w:tcPr>
          <w:p w14:paraId="25E3E7C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3F853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E6C3E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F774B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44DEC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244E5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DE40B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A656F8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Жемчужин.</w:t>
            </w:r>
          </w:p>
        </w:tc>
      </w:tr>
      <w:tr w:rsidR="001002C3" w:rsidRPr="005E779E" w14:paraId="101D4F27" w14:textId="77777777">
        <w:tc>
          <w:tcPr>
            <w:tcW w:w="1024" w:type="dxa"/>
          </w:tcPr>
          <w:p w14:paraId="44B846D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И5-ЮVI</w:t>
            </w:r>
          </w:p>
        </w:tc>
        <w:tc>
          <w:tcPr>
            <w:tcW w:w="1024" w:type="dxa"/>
          </w:tcPr>
          <w:p w14:paraId="6C8389D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262,5/</w:t>
            </w:r>
          </w:p>
        </w:tc>
        <w:tc>
          <w:tcPr>
            <w:tcW w:w="1024" w:type="dxa"/>
          </w:tcPr>
          <w:p w14:paraId="0D4CCD9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9,6'-9,8'/</w:t>
            </w:r>
          </w:p>
        </w:tc>
        <w:tc>
          <w:tcPr>
            <w:tcW w:w="1024" w:type="dxa"/>
          </w:tcPr>
          <w:p w14:paraId="5678A9E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8120*</w:t>
            </w:r>
          </w:p>
        </w:tc>
        <w:tc>
          <w:tcPr>
            <w:tcW w:w="1024" w:type="dxa"/>
          </w:tcPr>
          <w:p w14:paraId="6E1B8AD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 пул.</w:t>
            </w:r>
          </w:p>
        </w:tc>
        <w:tc>
          <w:tcPr>
            <w:tcW w:w="1024" w:type="dxa"/>
          </w:tcPr>
          <w:p w14:paraId="31A943B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97FB4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I кв.</w:t>
            </w:r>
          </w:p>
        </w:tc>
        <w:tc>
          <w:tcPr>
            <w:tcW w:w="3430" w:type="dxa"/>
          </w:tcPr>
          <w:p w14:paraId="728FC24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Испытания показали, что из-за большего</w:t>
            </w:r>
          </w:p>
        </w:tc>
      </w:tr>
      <w:tr w:rsidR="001002C3" w:rsidRPr="005E779E" w14:paraId="30FA5A22" w14:textId="77777777">
        <w:tc>
          <w:tcPr>
            <w:tcW w:w="1024" w:type="dxa"/>
          </w:tcPr>
          <w:p w14:paraId="4F723C8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89953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w:t>
            </w:r>
          </w:p>
        </w:tc>
        <w:tc>
          <w:tcPr>
            <w:tcW w:w="1024" w:type="dxa"/>
          </w:tcPr>
          <w:p w14:paraId="752EF87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024" w:type="dxa"/>
          </w:tcPr>
          <w:p w14:paraId="25FF973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59280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61182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E7EC2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 г.</w:t>
            </w:r>
          </w:p>
        </w:tc>
        <w:tc>
          <w:tcPr>
            <w:tcW w:w="3430" w:type="dxa"/>
          </w:tcPr>
          <w:p w14:paraId="335A79A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полетного веса серийной машины (74 кг)</w:t>
            </w:r>
          </w:p>
        </w:tc>
      </w:tr>
      <w:tr w:rsidR="001002C3" w:rsidRPr="005E779E" w14:paraId="1CB0465F" w14:textId="77777777">
        <w:tc>
          <w:tcPr>
            <w:tcW w:w="1024" w:type="dxa"/>
          </w:tcPr>
          <w:p w14:paraId="0F6088F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744C6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245/</w:t>
            </w:r>
          </w:p>
        </w:tc>
        <w:tc>
          <w:tcPr>
            <w:tcW w:w="1024" w:type="dxa"/>
          </w:tcPr>
          <w:p w14:paraId="59A47E0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83FEF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D8AEC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B5135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B368F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1CE917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летные качества оказались ниже по скор.</w:t>
            </w:r>
          </w:p>
        </w:tc>
      </w:tr>
      <w:tr w:rsidR="001002C3" w:rsidRPr="005E779E" w14:paraId="053767AC" w14:textId="77777777">
        <w:tc>
          <w:tcPr>
            <w:tcW w:w="1024" w:type="dxa"/>
          </w:tcPr>
          <w:p w14:paraId="31887BF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0850D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024" w:type="dxa"/>
          </w:tcPr>
          <w:p w14:paraId="461295C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090AA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EA58D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5F4EC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5F03B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B1F276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5-7 км/час. Представленный ВАО матер.</w:t>
            </w:r>
          </w:p>
        </w:tc>
      </w:tr>
      <w:tr w:rsidR="001002C3" w:rsidRPr="005E779E" w14:paraId="0151190A" w14:textId="77777777">
        <w:tc>
          <w:tcPr>
            <w:tcW w:w="1024" w:type="dxa"/>
          </w:tcPr>
          <w:p w14:paraId="3990EF6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3C111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Серийный самолет.</w:t>
            </w:r>
          </w:p>
        </w:tc>
        <w:tc>
          <w:tcPr>
            <w:tcW w:w="1024" w:type="dxa"/>
          </w:tcPr>
          <w:p w14:paraId="03676ED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13709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D325D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5EE8B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024" w:type="dxa"/>
          </w:tcPr>
          <w:p w14:paraId="551399B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BFDC3E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перетяжелению признан неудовлетвор.</w:t>
            </w:r>
          </w:p>
        </w:tc>
      </w:tr>
      <w:tr w:rsidR="001002C3" w:rsidRPr="005E779E" w14:paraId="6CB02797" w14:textId="77777777">
        <w:tc>
          <w:tcPr>
            <w:tcW w:w="1024" w:type="dxa"/>
          </w:tcPr>
          <w:p w14:paraId="1F3A370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5DC95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01934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7C521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651FA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7BC76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9E42F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67CCC2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 лишь фиксирует причины без мер по</w:t>
            </w:r>
          </w:p>
        </w:tc>
      </w:tr>
      <w:tr w:rsidR="001002C3" w:rsidRPr="005E779E" w14:paraId="397CCCB1" w14:textId="77777777">
        <w:tc>
          <w:tcPr>
            <w:tcW w:w="1024" w:type="dxa"/>
          </w:tcPr>
          <w:p w14:paraId="3CEBB3A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57175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27DF2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A937A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C9FDD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1C86C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6AB64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0DF16D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устранению. ВАО потребовал их разработ.</w:t>
            </w:r>
          </w:p>
        </w:tc>
      </w:tr>
      <w:tr w:rsidR="001002C3" w:rsidRPr="005E779E" w14:paraId="551F6EC6" w14:textId="77777777">
        <w:tc>
          <w:tcPr>
            <w:tcW w:w="1024" w:type="dxa"/>
          </w:tcPr>
          <w:p w14:paraId="03C562F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726E3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FA9DE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87842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E6781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9A81C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71340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BE541E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И-5 М-22, но пока мероприятий не</w:t>
            </w:r>
          </w:p>
        </w:tc>
      </w:tr>
      <w:tr w:rsidR="001002C3" w:rsidRPr="005E779E" w14:paraId="389768D9" w14:textId="77777777">
        <w:tc>
          <w:tcPr>
            <w:tcW w:w="1024" w:type="dxa"/>
          </w:tcPr>
          <w:p w14:paraId="31E992F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B91E2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C665A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36AD4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A369E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233B7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ACBE3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20AEF9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принято.</w:t>
            </w:r>
          </w:p>
        </w:tc>
      </w:tr>
      <w:tr w:rsidR="001002C3" w:rsidRPr="005E779E" w14:paraId="2EA70BE8" w14:textId="77777777">
        <w:tc>
          <w:tcPr>
            <w:tcW w:w="1024" w:type="dxa"/>
          </w:tcPr>
          <w:p w14:paraId="239E2E9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6F187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09BE5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D7927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1A426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71861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30F33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0EEA7C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Установка М-15</w:t>
            </w:r>
          </w:p>
        </w:tc>
      </w:tr>
      <w:tr w:rsidR="001002C3" w:rsidRPr="005E779E" w14:paraId="6020FA55" w14:textId="77777777">
        <w:tc>
          <w:tcPr>
            <w:tcW w:w="1024" w:type="dxa"/>
          </w:tcPr>
          <w:p w14:paraId="598086D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C2C65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3FF3A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7478F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52317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416F5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5A0C4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69653F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испытания были прерваны из-за поломки</w:t>
            </w:r>
          </w:p>
        </w:tc>
      </w:tr>
      <w:tr w:rsidR="001002C3" w:rsidRPr="005E779E" w14:paraId="30CA27AB" w14:textId="77777777">
        <w:tc>
          <w:tcPr>
            <w:tcW w:w="1024" w:type="dxa"/>
          </w:tcPr>
          <w:p w14:paraId="6C307E8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72A6E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78FB9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59121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170F3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AE656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74E66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7B7C9E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мотора. ЦКБ завода 39 поставило М-15 на</w:t>
            </w:r>
          </w:p>
        </w:tc>
      </w:tr>
      <w:tr w:rsidR="001002C3" w:rsidRPr="005E779E" w14:paraId="385E8610" w14:textId="77777777">
        <w:tc>
          <w:tcPr>
            <w:tcW w:w="1024" w:type="dxa"/>
          </w:tcPr>
          <w:p w14:paraId="5660A92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463BC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70D9E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642FC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89123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8C0E8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15853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DA46FB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два. Первый - без вооружения и не усил.</w:t>
            </w:r>
          </w:p>
        </w:tc>
      </w:tr>
      <w:tr w:rsidR="001002C3" w:rsidRPr="005E779E" w14:paraId="35B87B68" w14:textId="77777777">
        <w:tc>
          <w:tcPr>
            <w:tcW w:w="1024" w:type="dxa"/>
          </w:tcPr>
          <w:p w14:paraId="1D49F1B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CA2A5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C7C61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0742D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9AF2F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67B98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4675E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925AF0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 не прошел гос. испытаний, второй - эталон</w:t>
            </w:r>
          </w:p>
        </w:tc>
      </w:tr>
      <w:tr w:rsidR="001002C3" w:rsidRPr="005E779E" w14:paraId="420022B8" w14:textId="77777777">
        <w:tc>
          <w:tcPr>
            <w:tcW w:w="1024" w:type="dxa"/>
          </w:tcPr>
          <w:p w14:paraId="016312F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DA1F9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FB73C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95388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A6D62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72961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F40CB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C9818E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серии И-5 М-15 и на испытания пока не</w:t>
            </w:r>
          </w:p>
        </w:tc>
      </w:tr>
      <w:tr w:rsidR="001002C3" w:rsidRPr="005E779E" w14:paraId="3CA2B30D" w14:textId="77777777">
        <w:tc>
          <w:tcPr>
            <w:tcW w:w="1024" w:type="dxa"/>
          </w:tcPr>
          <w:p w14:paraId="1A40CDA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1E4D3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85371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9FF7E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F529F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57973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4FD79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50E9CD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передан. Проходит заводские испытания.</w:t>
            </w:r>
          </w:p>
        </w:tc>
      </w:tr>
      <w:tr w:rsidR="001002C3" w:rsidRPr="005E779E" w14:paraId="1A1585CD" w14:textId="77777777">
        <w:tc>
          <w:tcPr>
            <w:tcW w:w="1024" w:type="dxa"/>
          </w:tcPr>
          <w:p w14:paraId="48BBCB3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70FB5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670F1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BA16E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0D956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286E9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26CA0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7224DF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Задержка тормозит серию. На основании</w:t>
            </w:r>
          </w:p>
        </w:tc>
      </w:tr>
      <w:tr w:rsidR="001002C3" w:rsidRPr="005E779E" w14:paraId="0A6B8138" w14:textId="77777777">
        <w:tc>
          <w:tcPr>
            <w:tcW w:w="1024" w:type="dxa"/>
          </w:tcPr>
          <w:p w14:paraId="46BABC2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CFE96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38C1D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72521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C5150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C475F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EFAA4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2643C5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испытаний 1-го будет лишь немногим лучше</w:t>
            </w:r>
          </w:p>
        </w:tc>
      </w:tr>
      <w:tr w:rsidR="001002C3" w:rsidRPr="005E779E" w14:paraId="7A3EA99B" w14:textId="77777777">
        <w:tc>
          <w:tcPr>
            <w:tcW w:w="1024" w:type="dxa"/>
          </w:tcPr>
          <w:p w14:paraId="5948EA0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47009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EE3F8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06F68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2B870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E730E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4B7A8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2A7CBB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скорости, но хуже по скороподъемности</w:t>
            </w:r>
          </w:p>
        </w:tc>
      </w:tr>
      <w:tr w:rsidR="001002C3" w:rsidRPr="005E779E" w14:paraId="26A5DB80" w14:textId="77777777">
        <w:tc>
          <w:tcPr>
            <w:tcW w:w="1024" w:type="dxa"/>
          </w:tcPr>
          <w:p w14:paraId="50FD8AC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C1112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BC462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DD4F5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38B2F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366DB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1C0A5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FC5143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Петров.</w:t>
            </w:r>
          </w:p>
        </w:tc>
      </w:tr>
      <w:tr w:rsidR="001002C3" w:rsidRPr="005E779E" w14:paraId="7BEFE450" w14:textId="77777777">
        <w:tc>
          <w:tcPr>
            <w:tcW w:w="1024" w:type="dxa"/>
          </w:tcPr>
          <w:p w14:paraId="43E27C9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D2847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2FF03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1F4FE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4986F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CCA6F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2D889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5DE4AF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Работы по улучшению штопора</w:t>
            </w:r>
          </w:p>
        </w:tc>
      </w:tr>
      <w:tr w:rsidR="001002C3" w:rsidRPr="005E779E" w14:paraId="6CC7E150" w14:textId="77777777">
        <w:tc>
          <w:tcPr>
            <w:tcW w:w="1024" w:type="dxa"/>
          </w:tcPr>
          <w:p w14:paraId="3D16BC6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47D36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85F18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8FC37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49F2D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F5D05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464FD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5724B8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Машина с переделанными консолями крыл.</w:t>
            </w:r>
          </w:p>
        </w:tc>
      </w:tr>
      <w:tr w:rsidR="001002C3" w:rsidRPr="005E779E" w14:paraId="486566EB" w14:textId="77777777">
        <w:tc>
          <w:tcPr>
            <w:tcW w:w="1024" w:type="dxa"/>
          </w:tcPr>
          <w:p w14:paraId="4B1BBC8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1BD09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1D48D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80CEE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8E607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18465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4F7AE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929EC9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испытания не представлена, т.к. ВАО</w:t>
            </w:r>
          </w:p>
        </w:tc>
      </w:tr>
      <w:tr w:rsidR="001002C3" w:rsidRPr="005E779E" w14:paraId="1CC7BA97" w14:textId="77777777">
        <w:tc>
          <w:tcPr>
            <w:tcW w:w="1024" w:type="dxa"/>
          </w:tcPr>
          <w:p w14:paraId="752A22F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8BE5D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FC9AC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CBB1D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73741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39FD5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B98C3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343D82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месяц не мог поставить крылья на 1 завод</w:t>
            </w:r>
          </w:p>
        </w:tc>
      </w:tr>
      <w:tr w:rsidR="001002C3" w:rsidRPr="005E779E" w14:paraId="0CA950B8" w14:textId="77777777">
        <w:tc>
          <w:tcPr>
            <w:tcW w:w="1024" w:type="dxa"/>
          </w:tcPr>
          <w:p w14:paraId="354E00B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7DEF0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47C02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A26AA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E1AEF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029CC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44CCE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076125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установки на фюзеляж. Работу</w:t>
            </w:r>
          </w:p>
        </w:tc>
      </w:tr>
      <w:tr w:rsidR="001002C3" w:rsidRPr="005E779E" w14:paraId="731446C7" w14:textId="77777777">
        <w:tc>
          <w:tcPr>
            <w:tcW w:w="1024" w:type="dxa"/>
          </w:tcPr>
          <w:p w14:paraId="568A6B8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4BD4D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31EC5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43A49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0DDB1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9A0D7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0281F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940B95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сейчас ведет завод 39. Вопрос об установке</w:t>
            </w:r>
          </w:p>
        </w:tc>
      </w:tr>
      <w:tr w:rsidR="001002C3" w:rsidRPr="005E779E" w14:paraId="70EA2391" w14:textId="77777777">
        <w:tc>
          <w:tcPr>
            <w:tcW w:w="1024" w:type="dxa"/>
          </w:tcPr>
          <w:p w14:paraId="6BEC354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C3ED4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72C7E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6D016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DC982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C4E22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2607C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B04597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более тонких консолей был поставлен еще в</w:t>
            </w:r>
          </w:p>
        </w:tc>
      </w:tr>
      <w:tr w:rsidR="001002C3" w:rsidRPr="005E779E" w14:paraId="2A7FE2D6" w14:textId="77777777">
        <w:tc>
          <w:tcPr>
            <w:tcW w:w="1024" w:type="dxa"/>
          </w:tcPr>
          <w:p w14:paraId="616367F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99278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8F59D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764C2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5311E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E1F60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A825B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7BCA12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ноябре 1930, но пока не решен</w:t>
            </w:r>
          </w:p>
        </w:tc>
      </w:tr>
      <w:tr w:rsidR="001002C3" w:rsidRPr="005E779E" w14:paraId="57546DA3" w14:textId="77777777">
        <w:tc>
          <w:tcPr>
            <w:tcW w:w="1024" w:type="dxa"/>
          </w:tcPr>
          <w:p w14:paraId="072DFB0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03A90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789D4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3692E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AF315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03B22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D5CE0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44D5F7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Петров.</w:t>
            </w:r>
          </w:p>
        </w:tc>
      </w:tr>
      <w:tr w:rsidR="001002C3" w:rsidRPr="005E779E" w14:paraId="12894104" w14:textId="77777777">
        <w:tc>
          <w:tcPr>
            <w:tcW w:w="1024" w:type="dxa"/>
          </w:tcPr>
          <w:p w14:paraId="5CFEE78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05BDD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502AF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8BE02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22FD0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51CC9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23590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91C6CD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 на специально оборудованном И5-Ю6</w:t>
            </w:r>
          </w:p>
        </w:tc>
      </w:tr>
      <w:tr w:rsidR="001002C3" w:rsidRPr="005E779E" w14:paraId="33FC345E" w14:textId="77777777">
        <w:tc>
          <w:tcPr>
            <w:tcW w:w="1024" w:type="dxa"/>
          </w:tcPr>
          <w:p w14:paraId="368FEB0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393F3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3A231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61704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1DAA8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243A1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D5429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469A56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провел исследование штопора. Окончание</w:t>
            </w:r>
          </w:p>
        </w:tc>
      </w:tr>
      <w:tr w:rsidR="001002C3" w:rsidRPr="005E779E" w14:paraId="29C3E1FB" w14:textId="77777777">
        <w:tc>
          <w:tcPr>
            <w:tcW w:w="1024" w:type="dxa"/>
          </w:tcPr>
          <w:p w14:paraId="6D71D7F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76BBB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0CB3C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5A822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402BB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D92C7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8BEB8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AD6B3F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 намечено на 10-15 июля</w:t>
            </w:r>
          </w:p>
        </w:tc>
      </w:tr>
      <w:tr w:rsidR="001002C3" w:rsidRPr="005E779E" w14:paraId="4583EFCE" w14:textId="77777777">
        <w:tc>
          <w:tcPr>
            <w:tcW w:w="1024" w:type="dxa"/>
          </w:tcPr>
          <w:p w14:paraId="5AC1115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C2B7B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0F503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84E1D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D8ADC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8E84E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8C755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27D8C8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Филин.</w:t>
            </w:r>
          </w:p>
        </w:tc>
      </w:tr>
      <w:tr w:rsidR="001002C3" w:rsidRPr="005E779E" w14:paraId="2D6AB2B9" w14:textId="77777777">
        <w:tc>
          <w:tcPr>
            <w:tcW w:w="1024" w:type="dxa"/>
          </w:tcPr>
          <w:p w14:paraId="71937B7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ТБ3-4КК</w:t>
            </w:r>
          </w:p>
        </w:tc>
        <w:tc>
          <w:tcPr>
            <w:tcW w:w="1024" w:type="dxa"/>
          </w:tcPr>
          <w:p w14:paraId="41F5597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210/</w:t>
            </w:r>
          </w:p>
        </w:tc>
        <w:tc>
          <w:tcPr>
            <w:tcW w:w="1024" w:type="dxa"/>
          </w:tcPr>
          <w:p w14:paraId="7C75987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22-25/</w:t>
            </w:r>
          </w:p>
        </w:tc>
        <w:tc>
          <w:tcPr>
            <w:tcW w:w="1024" w:type="dxa"/>
          </w:tcPr>
          <w:p w14:paraId="466731E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F30E2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6-11 пул.</w:t>
            </w:r>
          </w:p>
        </w:tc>
        <w:tc>
          <w:tcPr>
            <w:tcW w:w="1024" w:type="dxa"/>
          </w:tcPr>
          <w:p w14:paraId="2A733C8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E59D7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окт.</w:t>
            </w:r>
          </w:p>
        </w:tc>
        <w:tc>
          <w:tcPr>
            <w:tcW w:w="3430" w:type="dxa"/>
          </w:tcPr>
          <w:p w14:paraId="00D6042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Прошел испытания по сокращенной прогр.</w:t>
            </w:r>
          </w:p>
        </w:tc>
      </w:tr>
      <w:tr w:rsidR="001002C3" w:rsidRPr="005E779E" w14:paraId="000D6868" w14:textId="77777777">
        <w:tc>
          <w:tcPr>
            <w:tcW w:w="1024" w:type="dxa"/>
          </w:tcPr>
          <w:p w14:paraId="7157398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(4М17)</w:t>
            </w:r>
          </w:p>
        </w:tc>
        <w:tc>
          <w:tcPr>
            <w:tcW w:w="1024" w:type="dxa"/>
          </w:tcPr>
          <w:p w14:paraId="3A46B89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220</w:t>
            </w:r>
          </w:p>
        </w:tc>
        <w:tc>
          <w:tcPr>
            <w:tcW w:w="1024" w:type="dxa"/>
          </w:tcPr>
          <w:p w14:paraId="462522B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19B0E15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C1251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2000-4000</w:t>
            </w:r>
          </w:p>
        </w:tc>
        <w:tc>
          <w:tcPr>
            <w:tcW w:w="1024" w:type="dxa"/>
          </w:tcPr>
          <w:p w14:paraId="59B99BF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A0D85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1930 г.</w:t>
            </w:r>
          </w:p>
        </w:tc>
        <w:tc>
          <w:tcPr>
            <w:tcW w:w="3430" w:type="dxa"/>
          </w:tcPr>
          <w:p w14:paraId="7598C01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показав хорошие ЛД - скор. 230 км/час.</w:t>
            </w:r>
          </w:p>
        </w:tc>
      </w:tr>
      <w:tr w:rsidR="001002C3" w:rsidRPr="005E779E" w14:paraId="1CA84789" w14:textId="77777777">
        <w:tc>
          <w:tcPr>
            <w:tcW w:w="1024" w:type="dxa"/>
          </w:tcPr>
          <w:p w14:paraId="1D6B069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E9B50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D224D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DCCD9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C6C54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кг</w:t>
            </w:r>
          </w:p>
        </w:tc>
        <w:tc>
          <w:tcPr>
            <w:tcW w:w="1024" w:type="dxa"/>
          </w:tcPr>
          <w:p w14:paraId="668B4F4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6DDF1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7135B7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Был обнаружен ряд дефектов, основные</w:t>
            </w:r>
          </w:p>
        </w:tc>
      </w:tr>
      <w:tr w:rsidR="001002C3" w:rsidRPr="005E779E" w14:paraId="7DBB4BB8" w14:textId="77777777">
        <w:tc>
          <w:tcPr>
            <w:tcW w:w="1024" w:type="dxa"/>
          </w:tcPr>
          <w:p w14:paraId="7ECD16C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F0B3F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35614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E0AF8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BA179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2713E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346DC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F64166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чрезмерное давление на ручку и педали.</w:t>
            </w:r>
          </w:p>
        </w:tc>
      </w:tr>
      <w:tr w:rsidR="001002C3" w:rsidRPr="005E779E" w14:paraId="291A7C3E" w14:textId="77777777">
        <w:tc>
          <w:tcPr>
            <w:tcW w:w="1024" w:type="dxa"/>
          </w:tcPr>
          <w:p w14:paraId="1554D2C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27A6C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37571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1441C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2B587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ED8E6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7D79C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5B4EDF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февраля был передан в ЦАГИ для устан.</w:t>
            </w:r>
          </w:p>
        </w:tc>
      </w:tr>
      <w:tr w:rsidR="001002C3" w:rsidRPr="005E779E" w14:paraId="10C8FA21" w14:textId="77777777">
        <w:tc>
          <w:tcPr>
            <w:tcW w:w="1024" w:type="dxa"/>
          </w:tcPr>
          <w:p w14:paraId="781D29F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E0DC7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76064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DB140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9D1D2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74204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065B9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5F3B08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БМВ-6 и переделки элеронов, РВ, РН и</w:t>
            </w:r>
          </w:p>
        </w:tc>
      </w:tr>
      <w:tr w:rsidR="001002C3" w:rsidRPr="005E779E" w14:paraId="0716925A" w14:textId="77777777">
        <w:tc>
          <w:tcPr>
            <w:tcW w:w="1024" w:type="dxa"/>
          </w:tcPr>
          <w:p w14:paraId="0930737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CB88C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4A481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BCEE2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0A215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AEF80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6D049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355367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костыля. К 1 апреля установка БМВ-6 была</w:t>
            </w:r>
          </w:p>
        </w:tc>
      </w:tr>
      <w:tr w:rsidR="001002C3" w:rsidRPr="005E779E" w14:paraId="5428D901" w14:textId="77777777">
        <w:tc>
          <w:tcPr>
            <w:tcW w:w="1024" w:type="dxa"/>
          </w:tcPr>
          <w:p w14:paraId="07F93F7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05927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D113A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EBFCD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5049A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27762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ED474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FD4721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закончена, но во время пробы одна устан.</w:t>
            </w:r>
          </w:p>
        </w:tc>
      </w:tr>
      <w:tr w:rsidR="001002C3" w:rsidRPr="005E779E" w14:paraId="27C22B2E" w14:textId="77777777">
        <w:tc>
          <w:tcPr>
            <w:tcW w:w="1024" w:type="dxa"/>
          </w:tcPr>
          <w:p w14:paraId="3E19EB9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7076E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8E040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3CB23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8ED57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A0AB2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D3888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428AEA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разрушилась. Потом в конце апреля-начале</w:t>
            </w:r>
          </w:p>
        </w:tc>
      </w:tr>
      <w:tr w:rsidR="001002C3" w:rsidRPr="005E779E" w14:paraId="48C6CAE6" w14:textId="77777777">
        <w:tc>
          <w:tcPr>
            <w:tcW w:w="1024" w:type="dxa"/>
          </w:tcPr>
          <w:p w14:paraId="5EFF5D5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AD8C3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E910D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36FEE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DE1A8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AC2D0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48D8D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1B35B6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мая машина выполнила ряд полетов, котор.</w:t>
            </w:r>
          </w:p>
        </w:tc>
      </w:tr>
      <w:tr w:rsidR="001002C3" w:rsidRPr="005E779E" w14:paraId="795E6C05" w14:textId="77777777">
        <w:tc>
          <w:tcPr>
            <w:tcW w:w="1024" w:type="dxa"/>
          </w:tcPr>
          <w:p w14:paraId="0D62A7C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CB6F6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7DDB1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4C152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D400F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35B30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21452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5675CC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показали, что элероны и рули надо дополн.</w:t>
            </w:r>
          </w:p>
        </w:tc>
      </w:tr>
      <w:tr w:rsidR="001002C3" w:rsidRPr="005E779E" w14:paraId="16FFB413" w14:textId="77777777">
        <w:tc>
          <w:tcPr>
            <w:tcW w:w="1024" w:type="dxa"/>
          </w:tcPr>
          <w:p w14:paraId="3662EB1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E17AC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30826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06ABC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F8409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D2B82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EF54C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2955C3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переделывать. Выполнили, но усилия все</w:t>
            </w:r>
          </w:p>
        </w:tc>
      </w:tr>
      <w:tr w:rsidR="001002C3" w:rsidRPr="005E779E" w14:paraId="2439249A" w14:textId="77777777">
        <w:tc>
          <w:tcPr>
            <w:tcW w:w="1024" w:type="dxa"/>
          </w:tcPr>
          <w:p w14:paraId="6AAC0DA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95785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36A14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D634C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B3862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2EEB5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088DD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436C53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еще велики.</w:t>
            </w:r>
          </w:p>
        </w:tc>
      </w:tr>
      <w:tr w:rsidR="001002C3" w:rsidRPr="005E779E" w14:paraId="0F879500" w14:textId="77777777">
        <w:tc>
          <w:tcPr>
            <w:tcW w:w="1024" w:type="dxa"/>
          </w:tcPr>
          <w:p w14:paraId="3F3DFC5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05772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B826A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B06DB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6E38D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88241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DC795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727DE4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Передача в НИИ задерживалась из-за ряда</w:t>
            </w:r>
          </w:p>
        </w:tc>
      </w:tr>
      <w:tr w:rsidR="001002C3" w:rsidRPr="005E779E" w14:paraId="41C46613" w14:textId="77777777">
        <w:tc>
          <w:tcPr>
            <w:tcW w:w="1024" w:type="dxa"/>
          </w:tcPr>
          <w:p w14:paraId="5F6BEBD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43F5A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33808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D7713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20576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C6CCC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AA185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675016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мелких дефектов - течь радиаторов, разруш.</w:t>
            </w:r>
          </w:p>
        </w:tc>
      </w:tr>
      <w:tr w:rsidR="001002C3" w:rsidRPr="005E779E" w14:paraId="13B07408" w14:textId="77777777">
        <w:tc>
          <w:tcPr>
            <w:tcW w:w="1024" w:type="dxa"/>
          </w:tcPr>
          <w:p w14:paraId="268CB89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91B8C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6B11F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9D493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0E689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CF701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0C69F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A49FE6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колес и будет 7-10 июля. Снижения ЛД после</w:t>
            </w:r>
          </w:p>
        </w:tc>
      </w:tr>
      <w:tr w:rsidR="001002C3" w:rsidRPr="005E779E" w14:paraId="09205336" w14:textId="77777777">
        <w:tc>
          <w:tcPr>
            <w:tcW w:w="1024" w:type="dxa"/>
          </w:tcPr>
          <w:p w14:paraId="7360117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8C36F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26598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44A2A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208CA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C0AE2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E4B1B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8831DE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переделки под М-17 не последовало</w:t>
            </w:r>
          </w:p>
        </w:tc>
      </w:tr>
      <w:tr w:rsidR="001002C3" w:rsidRPr="005E779E" w14:paraId="543005BD" w14:textId="77777777">
        <w:tc>
          <w:tcPr>
            <w:tcW w:w="1024" w:type="dxa"/>
          </w:tcPr>
          <w:p w14:paraId="3824FBF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E3C35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C8F34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2A10E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D788D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AA9EC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99912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A63729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Вахмистров.</w:t>
            </w:r>
          </w:p>
        </w:tc>
      </w:tr>
      <w:tr w:rsidR="001002C3" w:rsidRPr="005E779E" w14:paraId="7A16CD1D" w14:textId="77777777">
        <w:tc>
          <w:tcPr>
            <w:tcW w:w="1024" w:type="dxa"/>
          </w:tcPr>
          <w:p w14:paraId="5158F94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Р6-2М17</w:t>
            </w:r>
          </w:p>
        </w:tc>
        <w:tc>
          <w:tcPr>
            <w:tcW w:w="1024" w:type="dxa"/>
          </w:tcPr>
          <w:p w14:paraId="5D60F06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244/</w:t>
            </w:r>
          </w:p>
        </w:tc>
        <w:tc>
          <w:tcPr>
            <w:tcW w:w="1024" w:type="dxa"/>
          </w:tcPr>
          <w:p w14:paraId="6AF3EC7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8,09/</w:t>
            </w:r>
          </w:p>
        </w:tc>
        <w:tc>
          <w:tcPr>
            <w:tcW w:w="1024" w:type="dxa"/>
          </w:tcPr>
          <w:p w14:paraId="2AC4A3B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6500</w:t>
            </w:r>
          </w:p>
        </w:tc>
        <w:tc>
          <w:tcPr>
            <w:tcW w:w="1024" w:type="dxa"/>
          </w:tcPr>
          <w:p w14:paraId="54CAA78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пулем.</w:t>
            </w:r>
          </w:p>
        </w:tc>
        <w:tc>
          <w:tcPr>
            <w:tcW w:w="1024" w:type="dxa"/>
          </w:tcPr>
          <w:p w14:paraId="7D8A01B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71C11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109A54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Головной самолет серии завода 22 должен</w:t>
            </w:r>
          </w:p>
        </w:tc>
      </w:tr>
      <w:tr w:rsidR="001002C3" w:rsidRPr="005E779E" w14:paraId="55F66A31" w14:textId="77777777">
        <w:tc>
          <w:tcPr>
            <w:tcW w:w="1024" w:type="dxa"/>
          </w:tcPr>
          <w:p w14:paraId="57C7CB7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D49C4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457BE45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3CF3152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7F3A3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E8D03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8849A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47DB78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поступить на испытания в июле. Задержка</w:t>
            </w:r>
          </w:p>
        </w:tc>
      </w:tr>
      <w:tr w:rsidR="001002C3" w:rsidRPr="005E779E" w14:paraId="38F4AFB2" w14:textId="77777777">
        <w:tc>
          <w:tcPr>
            <w:tcW w:w="1024" w:type="dxa"/>
          </w:tcPr>
          <w:p w14:paraId="6954C3D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E9505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BB050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BC89A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FA8B2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B9918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1044E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330247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была из-за непоставки М-17</w:t>
            </w:r>
          </w:p>
        </w:tc>
      </w:tr>
      <w:tr w:rsidR="001002C3" w:rsidRPr="005E779E" w14:paraId="43A9A9D0" w14:textId="77777777">
        <w:tc>
          <w:tcPr>
            <w:tcW w:w="1024" w:type="dxa"/>
          </w:tcPr>
          <w:p w14:paraId="1E0502C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4942B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917B4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3395A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021F3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741CC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80E70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52C684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октября 1931 года.</w:t>
            </w:r>
          </w:p>
        </w:tc>
      </w:tr>
      <w:tr w:rsidR="001002C3" w:rsidRPr="005E779E" w14:paraId="11E8AF63" w14:textId="77777777">
        <w:tc>
          <w:tcPr>
            <w:tcW w:w="1024" w:type="dxa"/>
          </w:tcPr>
          <w:p w14:paraId="5EE45C9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И8-Кертис</w:t>
            </w:r>
          </w:p>
        </w:tc>
        <w:tc>
          <w:tcPr>
            <w:tcW w:w="1024" w:type="dxa"/>
          </w:tcPr>
          <w:p w14:paraId="79C1DAE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310/</w:t>
            </w:r>
          </w:p>
        </w:tc>
        <w:tc>
          <w:tcPr>
            <w:tcW w:w="1024" w:type="dxa"/>
          </w:tcPr>
          <w:p w14:paraId="1CF706D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6-7/</w:t>
            </w:r>
          </w:p>
        </w:tc>
        <w:tc>
          <w:tcPr>
            <w:tcW w:w="1024" w:type="dxa"/>
          </w:tcPr>
          <w:p w14:paraId="4BCF226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8000</w:t>
            </w:r>
          </w:p>
        </w:tc>
        <w:tc>
          <w:tcPr>
            <w:tcW w:w="1024" w:type="dxa"/>
          </w:tcPr>
          <w:p w14:paraId="6466B1C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пулем.</w:t>
            </w:r>
          </w:p>
        </w:tc>
        <w:tc>
          <w:tcPr>
            <w:tcW w:w="1024" w:type="dxa"/>
          </w:tcPr>
          <w:p w14:paraId="52BE6D7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Дальн.</w:t>
            </w:r>
          </w:p>
        </w:tc>
        <w:tc>
          <w:tcPr>
            <w:tcW w:w="1024" w:type="dxa"/>
          </w:tcPr>
          <w:p w14:paraId="6E7A501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сент.</w:t>
            </w:r>
          </w:p>
        </w:tc>
        <w:tc>
          <w:tcPr>
            <w:tcW w:w="3430" w:type="dxa"/>
          </w:tcPr>
          <w:p w14:paraId="655F3E5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Производится переделка хвостового оперен.</w:t>
            </w:r>
          </w:p>
        </w:tc>
      </w:tr>
      <w:tr w:rsidR="001002C3" w:rsidRPr="005E779E" w14:paraId="33C78330" w14:textId="77777777">
        <w:tc>
          <w:tcPr>
            <w:tcW w:w="1024" w:type="dxa"/>
          </w:tcPr>
          <w:p w14:paraId="269D198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Конкверор</w:t>
            </w:r>
          </w:p>
        </w:tc>
        <w:tc>
          <w:tcPr>
            <w:tcW w:w="1024" w:type="dxa"/>
          </w:tcPr>
          <w:p w14:paraId="73E8D1C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024" w:type="dxa"/>
          </w:tcPr>
          <w:p w14:paraId="45C42CD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024" w:type="dxa"/>
          </w:tcPr>
          <w:p w14:paraId="11F9DA0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2EEE4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78E80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1,5-2</w:t>
            </w:r>
          </w:p>
        </w:tc>
        <w:tc>
          <w:tcPr>
            <w:tcW w:w="1024" w:type="dxa"/>
          </w:tcPr>
          <w:p w14:paraId="316AF9A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1930 г.</w:t>
            </w:r>
          </w:p>
        </w:tc>
        <w:tc>
          <w:tcPr>
            <w:tcW w:w="3430" w:type="dxa"/>
          </w:tcPr>
          <w:p w14:paraId="6FF8B86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из-за больших давлений на ручку. ЦАГИ</w:t>
            </w:r>
          </w:p>
        </w:tc>
      </w:tr>
      <w:tr w:rsidR="001002C3" w:rsidRPr="005E779E" w14:paraId="07557EDD" w14:textId="77777777">
        <w:tc>
          <w:tcPr>
            <w:tcW w:w="1024" w:type="dxa"/>
          </w:tcPr>
          <w:p w14:paraId="0800A9C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7DC28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9CBEB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4C334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577C9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52776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BAA09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8B0F28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меняет КК на более высотный, полученный</w:t>
            </w:r>
          </w:p>
        </w:tc>
      </w:tr>
      <w:tr w:rsidR="001002C3" w:rsidRPr="005E779E" w14:paraId="62B7F52E" w14:textId="77777777">
        <w:tc>
          <w:tcPr>
            <w:tcW w:w="1024" w:type="dxa"/>
          </w:tcPr>
          <w:p w14:paraId="75F098E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26039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63E06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A51D5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62B25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5FE45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C763F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053322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 США. Ставятся тормозные колеса.</w:t>
            </w:r>
          </w:p>
        </w:tc>
      </w:tr>
      <w:tr w:rsidR="001002C3" w:rsidRPr="005E779E" w14:paraId="352CA97A" w14:textId="77777777">
        <w:tc>
          <w:tcPr>
            <w:tcW w:w="1024" w:type="dxa"/>
          </w:tcPr>
          <w:p w14:paraId="4645DEF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И7-М-17</w:t>
            </w:r>
          </w:p>
        </w:tc>
        <w:tc>
          <w:tcPr>
            <w:tcW w:w="1024" w:type="dxa"/>
          </w:tcPr>
          <w:p w14:paraId="0186BFB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277/</w:t>
            </w:r>
          </w:p>
        </w:tc>
        <w:tc>
          <w:tcPr>
            <w:tcW w:w="1024" w:type="dxa"/>
          </w:tcPr>
          <w:p w14:paraId="29755BC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10,5"/</w:t>
            </w:r>
          </w:p>
        </w:tc>
        <w:tc>
          <w:tcPr>
            <w:tcW w:w="1024" w:type="dxa"/>
          </w:tcPr>
          <w:p w14:paraId="164E665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8000</w:t>
            </w:r>
          </w:p>
        </w:tc>
        <w:tc>
          <w:tcPr>
            <w:tcW w:w="1024" w:type="dxa"/>
          </w:tcPr>
          <w:p w14:paraId="58B7F6E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пулем.</w:t>
            </w:r>
          </w:p>
        </w:tc>
        <w:tc>
          <w:tcPr>
            <w:tcW w:w="1024" w:type="dxa"/>
          </w:tcPr>
          <w:p w14:paraId="2488947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B54BF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430F4D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1 ведет постройку 2-х первых сер.</w:t>
            </w:r>
          </w:p>
        </w:tc>
      </w:tr>
      <w:tr w:rsidR="001002C3" w:rsidRPr="005E779E" w14:paraId="6D97D45F" w14:textId="77777777">
        <w:tc>
          <w:tcPr>
            <w:tcW w:w="1024" w:type="dxa"/>
          </w:tcPr>
          <w:p w14:paraId="0D6E85F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Е=7,3</w:t>
            </w:r>
          </w:p>
        </w:tc>
        <w:tc>
          <w:tcPr>
            <w:tcW w:w="1024" w:type="dxa"/>
          </w:tcPr>
          <w:p w14:paraId="641603A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024" w:type="dxa"/>
          </w:tcPr>
          <w:p w14:paraId="3B9652D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024" w:type="dxa"/>
          </w:tcPr>
          <w:p w14:paraId="10F3E42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84B04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6B037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7088E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441DBB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Выпуск задержан ошибкой в центровке,</w:t>
            </w:r>
          </w:p>
        </w:tc>
      </w:tr>
      <w:tr w:rsidR="001002C3" w:rsidRPr="005E779E" w14:paraId="094A2A04" w14:textId="77777777">
        <w:tc>
          <w:tcPr>
            <w:tcW w:w="1024" w:type="dxa"/>
          </w:tcPr>
          <w:p w14:paraId="74BB443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(НД-37С)</w:t>
            </w:r>
          </w:p>
        </w:tc>
        <w:tc>
          <w:tcPr>
            <w:tcW w:w="1024" w:type="dxa"/>
          </w:tcPr>
          <w:p w14:paraId="4F35983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1DA83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CBE45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0459B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F389F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00AE8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735780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потр. переноса мотора вперед. Выйдет</w:t>
            </w:r>
          </w:p>
        </w:tc>
      </w:tr>
      <w:tr w:rsidR="001002C3" w:rsidRPr="005E779E" w14:paraId="285C34E5" w14:textId="77777777">
        <w:tc>
          <w:tcPr>
            <w:tcW w:w="1024" w:type="dxa"/>
          </w:tcPr>
          <w:p w14:paraId="7D3A98E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0860E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7B7F4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CE811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3B0F1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BFE1D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47DD5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502D2C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аэродром в середине июля</w:t>
            </w:r>
          </w:p>
        </w:tc>
      </w:tr>
      <w:tr w:rsidR="001002C3" w:rsidRPr="005E779E" w14:paraId="7547C805" w14:textId="77777777">
        <w:tc>
          <w:tcPr>
            <w:tcW w:w="1024" w:type="dxa"/>
          </w:tcPr>
          <w:p w14:paraId="7465F58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8A238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829F7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2D018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A196B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1F435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684E2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78C1D2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Гребенев.</w:t>
            </w:r>
          </w:p>
        </w:tc>
      </w:tr>
      <w:tr w:rsidR="001002C3" w:rsidRPr="005E779E" w14:paraId="17628B61" w14:textId="77777777">
        <w:tc>
          <w:tcPr>
            <w:tcW w:w="1024" w:type="dxa"/>
          </w:tcPr>
          <w:p w14:paraId="5DD15A0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ТБ-1-2М17</w:t>
            </w:r>
          </w:p>
        </w:tc>
        <w:tc>
          <w:tcPr>
            <w:tcW w:w="1024" w:type="dxa"/>
          </w:tcPr>
          <w:p w14:paraId="4376D1A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Требования не установлены.</w:t>
            </w:r>
          </w:p>
        </w:tc>
        <w:tc>
          <w:tcPr>
            <w:tcW w:w="1024" w:type="dxa"/>
          </w:tcPr>
          <w:p w14:paraId="4056903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E895C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C6EBC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500E2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3AE3D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643F03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ВОХИМУ продолжает работы по приспос.</w:t>
            </w:r>
          </w:p>
        </w:tc>
      </w:tr>
      <w:tr w:rsidR="001002C3" w:rsidRPr="005E779E" w14:paraId="7969468E" w14:textId="77777777">
        <w:tc>
          <w:tcPr>
            <w:tcW w:w="1024" w:type="dxa"/>
          </w:tcPr>
          <w:p w14:paraId="3A89BA3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B9AFB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97C4B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639A1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1C5CB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1DE74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3F0A0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57089F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ТБ-1. Работы не ведутся</w:t>
            </w:r>
          </w:p>
        </w:tc>
      </w:tr>
      <w:tr w:rsidR="001002C3" w:rsidRPr="005E779E" w14:paraId="7C1320E1" w14:textId="77777777">
        <w:tc>
          <w:tcPr>
            <w:tcW w:w="1024" w:type="dxa"/>
          </w:tcPr>
          <w:p w14:paraId="56C4AB9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w:t>
            </w:r>
          </w:p>
        </w:tc>
        <w:tc>
          <w:tcPr>
            <w:tcW w:w="1024" w:type="dxa"/>
          </w:tcPr>
          <w:p w14:paraId="51F7E9B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Требования не установлены.</w:t>
            </w:r>
          </w:p>
        </w:tc>
        <w:tc>
          <w:tcPr>
            <w:tcW w:w="1024" w:type="dxa"/>
          </w:tcPr>
          <w:p w14:paraId="2ECE093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4466D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2AE4A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91E51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0F16D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5ED4F9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Передан в БОК ЦАГИ. Работы по доводке</w:t>
            </w:r>
          </w:p>
        </w:tc>
      </w:tr>
      <w:tr w:rsidR="001002C3" w:rsidRPr="005E779E" w14:paraId="5C016C4B" w14:textId="77777777">
        <w:tc>
          <w:tcPr>
            <w:tcW w:w="1024" w:type="dxa"/>
          </w:tcPr>
          <w:p w14:paraId="04E14D7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Горелова</w:t>
            </w:r>
          </w:p>
        </w:tc>
        <w:tc>
          <w:tcPr>
            <w:tcW w:w="1024" w:type="dxa"/>
          </w:tcPr>
          <w:p w14:paraId="52651C6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FF7D4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75C8C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A599F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119B9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8A9C0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A91F21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закончатся к 1 августа 1931</w:t>
            </w:r>
          </w:p>
        </w:tc>
      </w:tr>
      <w:tr w:rsidR="001002C3" w:rsidRPr="005E779E" w14:paraId="10702A57" w14:textId="77777777">
        <w:tc>
          <w:tcPr>
            <w:tcW w:w="1024" w:type="dxa"/>
          </w:tcPr>
          <w:p w14:paraId="3DA4507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под мотор</w:t>
            </w:r>
          </w:p>
        </w:tc>
        <w:tc>
          <w:tcPr>
            <w:tcW w:w="1024" w:type="dxa"/>
          </w:tcPr>
          <w:p w14:paraId="63AFA93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FA8CF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FF13E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AC8BB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79E2A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F8BFF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BEA23E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2D9194C" w14:textId="77777777">
        <w:tc>
          <w:tcPr>
            <w:tcW w:w="1024" w:type="dxa"/>
          </w:tcPr>
          <w:p w14:paraId="3A1501C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Вальтер</w:t>
            </w:r>
          </w:p>
        </w:tc>
        <w:tc>
          <w:tcPr>
            <w:tcW w:w="1024" w:type="dxa"/>
          </w:tcPr>
          <w:p w14:paraId="52F215A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35396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E8E65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D84B2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C6F01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F506D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E14E67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D37E1FB" w14:textId="77777777">
        <w:tc>
          <w:tcPr>
            <w:tcW w:w="1024" w:type="dxa"/>
          </w:tcPr>
          <w:p w14:paraId="6DAC64C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ОСОАВИАХИМ</w:t>
            </w:r>
          </w:p>
        </w:tc>
        <w:tc>
          <w:tcPr>
            <w:tcW w:w="1024" w:type="dxa"/>
          </w:tcPr>
          <w:p w14:paraId="09A417C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30877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C9516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446B0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CAD57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6D167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003CF6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A876DD0" w14:textId="77777777">
        <w:tc>
          <w:tcPr>
            <w:tcW w:w="1024" w:type="dxa"/>
          </w:tcPr>
          <w:p w14:paraId="23E52BE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w:t>
            </w:r>
          </w:p>
        </w:tc>
        <w:tc>
          <w:tcPr>
            <w:tcW w:w="1024" w:type="dxa"/>
          </w:tcPr>
          <w:p w14:paraId="29D329D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Требования не установлены.</w:t>
            </w:r>
          </w:p>
        </w:tc>
        <w:tc>
          <w:tcPr>
            <w:tcW w:w="1024" w:type="dxa"/>
          </w:tcPr>
          <w:p w14:paraId="24F8276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0C19D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4755B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B14CA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D6EC4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53417F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Работы переданы в БОК ЦАГИ. К доводке</w:t>
            </w:r>
          </w:p>
        </w:tc>
      </w:tr>
      <w:tr w:rsidR="001002C3" w:rsidRPr="005E779E" w14:paraId="48A74581" w14:textId="77777777">
        <w:tc>
          <w:tcPr>
            <w:tcW w:w="1024" w:type="dxa"/>
          </w:tcPr>
          <w:p w14:paraId="488CA8A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"Парабола"</w:t>
            </w:r>
          </w:p>
        </w:tc>
        <w:tc>
          <w:tcPr>
            <w:tcW w:w="1024" w:type="dxa"/>
          </w:tcPr>
          <w:p w14:paraId="572F755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B6A1C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68B76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50535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9A0C8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E0057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03E7F5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 приступлено из-за отсутствия ИТР</w:t>
            </w:r>
          </w:p>
        </w:tc>
      </w:tr>
      <w:tr w:rsidR="001002C3" w:rsidRPr="005E779E" w14:paraId="2F099C69" w14:textId="77777777">
        <w:tc>
          <w:tcPr>
            <w:tcW w:w="1024" w:type="dxa"/>
          </w:tcPr>
          <w:p w14:paraId="5422421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М11</w:t>
            </w:r>
          </w:p>
        </w:tc>
        <w:tc>
          <w:tcPr>
            <w:tcW w:w="1024" w:type="dxa"/>
          </w:tcPr>
          <w:p w14:paraId="414EA9E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D9B1B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83209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86A87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F992A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7BFE1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0CE8D2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9B8B626" w14:textId="77777777">
        <w:tc>
          <w:tcPr>
            <w:tcW w:w="1024" w:type="dxa"/>
          </w:tcPr>
          <w:p w14:paraId="1EC2251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ОСОАВИАХИМ</w:t>
            </w:r>
          </w:p>
        </w:tc>
        <w:tc>
          <w:tcPr>
            <w:tcW w:w="1024" w:type="dxa"/>
          </w:tcPr>
          <w:p w14:paraId="1914A42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E9BDF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28774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73D50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BF397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0D5E1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CE008A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E5057C9" w14:textId="77777777">
        <w:tc>
          <w:tcPr>
            <w:tcW w:w="1024" w:type="dxa"/>
          </w:tcPr>
          <w:p w14:paraId="6E30B4B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И4-ЮVI</w:t>
            </w:r>
          </w:p>
        </w:tc>
        <w:tc>
          <w:tcPr>
            <w:tcW w:w="1024" w:type="dxa"/>
          </w:tcPr>
          <w:p w14:paraId="5D925D7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Требования не установлены.</w:t>
            </w:r>
          </w:p>
        </w:tc>
        <w:tc>
          <w:tcPr>
            <w:tcW w:w="1024" w:type="dxa"/>
          </w:tcPr>
          <w:p w14:paraId="5318C86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CC919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F987C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DB7D6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664ED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BEAEB4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 заканчивает переделку самолета.</w:t>
            </w:r>
          </w:p>
        </w:tc>
      </w:tr>
      <w:tr w:rsidR="001002C3" w:rsidRPr="005E779E" w14:paraId="1BC918E1" w14:textId="77777777">
        <w:tc>
          <w:tcPr>
            <w:tcW w:w="1024" w:type="dxa"/>
          </w:tcPr>
          <w:p w14:paraId="7B4489D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моноплан</w:t>
            </w:r>
          </w:p>
        </w:tc>
        <w:tc>
          <w:tcPr>
            <w:tcW w:w="1024" w:type="dxa"/>
          </w:tcPr>
          <w:p w14:paraId="0F6801E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1EA34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6A03B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1DCDD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6F623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17A40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FFCAEC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Работа над вариантами с разрезными</w:t>
            </w:r>
          </w:p>
        </w:tc>
      </w:tr>
      <w:tr w:rsidR="001002C3" w:rsidRPr="005E779E" w14:paraId="5D1D701F" w14:textId="77777777">
        <w:tc>
          <w:tcPr>
            <w:tcW w:w="1024" w:type="dxa"/>
          </w:tcPr>
          <w:p w14:paraId="0CCC1F7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w:t>
            </w:r>
          </w:p>
        </w:tc>
        <w:tc>
          <w:tcPr>
            <w:tcW w:w="1024" w:type="dxa"/>
          </w:tcPr>
          <w:p w14:paraId="0DE00D1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641F8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1A398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1E1F2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9DE19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E4A0E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6FD43C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крыльями, срок - 10 августа 1931 для</w:t>
            </w:r>
          </w:p>
        </w:tc>
      </w:tr>
      <w:tr w:rsidR="001002C3" w:rsidRPr="005E779E" w14:paraId="37D5028F" w14:textId="77777777">
        <w:tc>
          <w:tcPr>
            <w:tcW w:w="1024" w:type="dxa"/>
          </w:tcPr>
          <w:p w14:paraId="4D633EC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6B8F1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5D2D7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A4F1A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D6CCC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7B29A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FA71B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3E874C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метал. крыла и 25 сентября - для</w:t>
            </w:r>
          </w:p>
        </w:tc>
      </w:tr>
      <w:tr w:rsidR="001002C3" w:rsidRPr="005E779E" w14:paraId="07A9C4E1" w14:textId="77777777">
        <w:tc>
          <w:tcPr>
            <w:tcW w:w="1024" w:type="dxa"/>
          </w:tcPr>
          <w:p w14:paraId="01D002F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0F71F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94B4B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E62EC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9DF8E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61FFD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9FEF9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6B70E3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деревянного</w:t>
            </w:r>
          </w:p>
        </w:tc>
      </w:tr>
      <w:tr w:rsidR="001002C3" w:rsidRPr="005E779E" w14:paraId="5FF7430C" w14:textId="77777777">
        <w:tc>
          <w:tcPr>
            <w:tcW w:w="1024" w:type="dxa"/>
          </w:tcPr>
          <w:p w14:paraId="16F29E3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ТБ1-2М17</w:t>
            </w:r>
          </w:p>
        </w:tc>
        <w:tc>
          <w:tcPr>
            <w:tcW w:w="1024" w:type="dxa"/>
          </w:tcPr>
          <w:p w14:paraId="74AD745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186/0</w:t>
            </w:r>
          </w:p>
        </w:tc>
        <w:tc>
          <w:tcPr>
            <w:tcW w:w="1024" w:type="dxa"/>
          </w:tcPr>
          <w:p w14:paraId="3D54C97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33,5"/</w:t>
            </w:r>
          </w:p>
        </w:tc>
        <w:tc>
          <w:tcPr>
            <w:tcW w:w="1024" w:type="dxa"/>
          </w:tcPr>
          <w:p w14:paraId="78C23D0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3520</w:t>
            </w:r>
          </w:p>
        </w:tc>
        <w:tc>
          <w:tcPr>
            <w:tcW w:w="1024" w:type="dxa"/>
          </w:tcPr>
          <w:p w14:paraId="4EAC7BC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спарен.</w:t>
            </w:r>
          </w:p>
        </w:tc>
        <w:tc>
          <w:tcPr>
            <w:tcW w:w="1024" w:type="dxa"/>
          </w:tcPr>
          <w:p w14:paraId="4A16594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6C425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23A41B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Производятся испытания в Севастополе на</w:t>
            </w:r>
          </w:p>
        </w:tc>
      </w:tr>
      <w:tr w:rsidR="001002C3" w:rsidRPr="005E779E" w14:paraId="1ED02BC5" w14:textId="77777777">
        <w:tc>
          <w:tcPr>
            <w:tcW w:w="1024" w:type="dxa"/>
          </w:tcPr>
          <w:p w14:paraId="2BD4071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установлен.</w:t>
            </w:r>
          </w:p>
        </w:tc>
        <w:tc>
          <w:tcPr>
            <w:tcW w:w="1024" w:type="dxa"/>
          </w:tcPr>
          <w:p w14:paraId="0020CE2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05909A7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83605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14A56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установки</w:t>
            </w:r>
          </w:p>
        </w:tc>
        <w:tc>
          <w:tcPr>
            <w:tcW w:w="1024" w:type="dxa"/>
          </w:tcPr>
          <w:p w14:paraId="011AAE1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944FC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FC54AB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поплавках Шорта. Окончание - к 10 августа.</w:t>
            </w:r>
          </w:p>
        </w:tc>
      </w:tr>
      <w:tr w:rsidR="001002C3" w:rsidRPr="005E779E" w14:paraId="6C7DDC79" w14:textId="77777777">
        <w:tc>
          <w:tcPr>
            <w:tcW w:w="1024" w:type="dxa"/>
          </w:tcPr>
          <w:p w14:paraId="332BDD8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поплавки</w:t>
            </w:r>
          </w:p>
        </w:tc>
        <w:tc>
          <w:tcPr>
            <w:tcW w:w="1024" w:type="dxa"/>
          </w:tcPr>
          <w:p w14:paraId="34DDC63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0A7E8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A4EA9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C9869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w:t>
            </w:r>
          </w:p>
        </w:tc>
        <w:tc>
          <w:tcPr>
            <w:tcW w:w="1024" w:type="dxa"/>
          </w:tcPr>
          <w:p w14:paraId="373E1F5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45DCA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42F7A9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Задержка из-за дефектов М-17, потр. переб.</w:t>
            </w:r>
          </w:p>
        </w:tc>
      </w:tr>
      <w:tr w:rsidR="001002C3" w:rsidRPr="005E779E" w14:paraId="52153B6C" w14:textId="77777777">
        <w:tc>
          <w:tcPr>
            <w:tcW w:w="1024" w:type="dxa"/>
          </w:tcPr>
          <w:p w14:paraId="337FF8F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7E912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93E10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2BE10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6447B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21367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324E8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2FBD48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предв. сведениям поведение - удовлетв.</w:t>
            </w:r>
          </w:p>
        </w:tc>
      </w:tr>
      <w:tr w:rsidR="001002C3" w:rsidRPr="005E779E" w14:paraId="3840DC57" w14:textId="77777777">
        <w:tc>
          <w:tcPr>
            <w:tcW w:w="1024" w:type="dxa"/>
          </w:tcPr>
          <w:p w14:paraId="13958C2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2E9FE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B9B57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74626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EF520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2B674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26159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817130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осталось испытать на увеличенной</w:t>
            </w:r>
          </w:p>
        </w:tc>
      </w:tr>
      <w:tr w:rsidR="001002C3" w:rsidRPr="005E779E" w14:paraId="007FF4EF" w14:textId="77777777">
        <w:tc>
          <w:tcPr>
            <w:tcW w:w="1024" w:type="dxa"/>
          </w:tcPr>
          <w:p w14:paraId="2B51BA5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657E8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B4F23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BCFFB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AB2A9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8D6FD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078F1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9099AA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волне с перегрузкой.</w:t>
            </w:r>
          </w:p>
        </w:tc>
      </w:tr>
      <w:tr w:rsidR="001002C3" w:rsidRPr="005E779E" w14:paraId="2BCBAE04" w14:textId="77777777">
        <w:tc>
          <w:tcPr>
            <w:tcW w:w="1024" w:type="dxa"/>
          </w:tcPr>
          <w:p w14:paraId="47E421B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EDEF0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F7AF6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11677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BB715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F8BF8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D931A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B51CA5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Сложности с изготовлением поплавков на 31</w:t>
            </w:r>
          </w:p>
        </w:tc>
      </w:tr>
      <w:tr w:rsidR="001002C3" w:rsidRPr="005E779E" w14:paraId="30DBE04A" w14:textId="77777777">
        <w:tc>
          <w:tcPr>
            <w:tcW w:w="1024" w:type="dxa"/>
          </w:tcPr>
          <w:p w14:paraId="3FDF9D7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A8485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EC7D0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85A20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A5D11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53446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75317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9F681B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заводе. Первая пара - к январю 1932, а ост.</w:t>
            </w:r>
          </w:p>
        </w:tc>
      </w:tr>
      <w:tr w:rsidR="001002C3" w:rsidRPr="005E779E" w14:paraId="35D01998" w14:textId="77777777">
        <w:tc>
          <w:tcPr>
            <w:tcW w:w="1024" w:type="dxa"/>
          </w:tcPr>
          <w:p w14:paraId="7E384C4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D4028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711BA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3EBB1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9D6C0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4530B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6B9C5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559EC6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22 - к июлю 1932 из-за отсутствия кадров. 24</w:t>
            </w:r>
          </w:p>
        </w:tc>
      </w:tr>
      <w:tr w:rsidR="001002C3" w:rsidRPr="005E779E" w14:paraId="5322CF37" w14:textId="77777777">
        <w:tc>
          <w:tcPr>
            <w:tcW w:w="1024" w:type="dxa"/>
          </w:tcPr>
          <w:p w14:paraId="0B72A9B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E4E47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1D51B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D3D07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F02A1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8A655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5E263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DED495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июля намечен перегон в Таганрог</w:t>
            </w:r>
          </w:p>
        </w:tc>
      </w:tr>
      <w:tr w:rsidR="001002C3" w:rsidRPr="005E779E" w14:paraId="44AE48EC" w14:textId="77777777">
        <w:tc>
          <w:tcPr>
            <w:tcW w:w="1024" w:type="dxa"/>
          </w:tcPr>
          <w:p w14:paraId="7974578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Р5-М17</w:t>
            </w:r>
          </w:p>
        </w:tc>
        <w:tc>
          <w:tcPr>
            <w:tcW w:w="1024" w:type="dxa"/>
          </w:tcPr>
          <w:p w14:paraId="7F4FD5F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D0A72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AA043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71C6B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E2496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26E14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апр.</w:t>
            </w:r>
          </w:p>
        </w:tc>
        <w:tc>
          <w:tcPr>
            <w:tcW w:w="3430" w:type="dxa"/>
          </w:tcPr>
          <w:p w14:paraId="1D9DAAC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апреля в намеченный срок производством</w:t>
            </w:r>
          </w:p>
        </w:tc>
      </w:tr>
      <w:tr w:rsidR="001002C3" w:rsidRPr="005E779E" w14:paraId="5DBC5A47" w14:textId="77777777">
        <w:tc>
          <w:tcPr>
            <w:tcW w:w="1024" w:type="dxa"/>
          </w:tcPr>
          <w:p w14:paraId="6D30666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поплавках</w:t>
            </w:r>
          </w:p>
        </w:tc>
        <w:tc>
          <w:tcPr>
            <w:tcW w:w="1024" w:type="dxa"/>
          </w:tcPr>
          <w:p w14:paraId="74D4F04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13C26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1653D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9C530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2AE6A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E0433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 г.</w:t>
            </w:r>
          </w:p>
        </w:tc>
        <w:tc>
          <w:tcPr>
            <w:tcW w:w="3430" w:type="dxa"/>
          </w:tcPr>
          <w:p w14:paraId="0E7FF3E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незакончен из-за недостатка внимания</w:t>
            </w:r>
          </w:p>
        </w:tc>
      </w:tr>
      <w:tr w:rsidR="001002C3" w:rsidRPr="005E779E" w14:paraId="24028FE1" w14:textId="77777777">
        <w:tc>
          <w:tcPr>
            <w:tcW w:w="1024" w:type="dxa"/>
          </w:tcPr>
          <w:p w14:paraId="1DE0379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C0DDD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0A657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E3EF4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5E8D1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56BA1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2CDF7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384AD8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 стороны ЦКБ. закончены конструктвные</w:t>
            </w:r>
          </w:p>
        </w:tc>
      </w:tr>
      <w:tr w:rsidR="001002C3" w:rsidRPr="005E779E" w14:paraId="32C887F1" w14:textId="77777777">
        <w:tc>
          <w:tcPr>
            <w:tcW w:w="1024" w:type="dxa"/>
          </w:tcPr>
          <w:p w14:paraId="1156712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4074E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D2C76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384DF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1432F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F3B14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E3D2B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616C67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чертежи и сданы в производство. Пр-во</w:t>
            </w:r>
          </w:p>
        </w:tc>
      </w:tr>
      <w:tr w:rsidR="001002C3" w:rsidRPr="005E779E" w14:paraId="26823824" w14:textId="77777777">
        <w:tc>
          <w:tcPr>
            <w:tcW w:w="1024" w:type="dxa"/>
          </w:tcPr>
          <w:p w14:paraId="5213F1A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2B84D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9403C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618A5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04E30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87537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99219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5A999E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поплавков сдано на завод 28. Срок гот.</w:t>
            </w:r>
          </w:p>
        </w:tc>
      </w:tr>
      <w:tr w:rsidR="001002C3" w:rsidRPr="005E779E" w14:paraId="1D2736AB" w14:textId="77777777">
        <w:tc>
          <w:tcPr>
            <w:tcW w:w="1024" w:type="dxa"/>
          </w:tcPr>
          <w:p w14:paraId="6CB0954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5B49E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2E70C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A9E1B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458F7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9C809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FF31C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826375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августа 1931</w:t>
            </w:r>
          </w:p>
        </w:tc>
      </w:tr>
      <w:tr w:rsidR="001002C3" w:rsidRPr="005E779E" w14:paraId="2A76C21E" w14:textId="77777777">
        <w:tc>
          <w:tcPr>
            <w:tcW w:w="1024" w:type="dxa"/>
          </w:tcPr>
          <w:p w14:paraId="0468FAF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1-ВГ</w:t>
            </w:r>
          </w:p>
        </w:tc>
        <w:tc>
          <w:tcPr>
            <w:tcW w:w="1024" w:type="dxa"/>
          </w:tcPr>
          <w:p w14:paraId="4A709C1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20E75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57A4E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5F44B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DCA6F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FDC37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D41A57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Совершил 2 удачных полета до 20-25 м, при</w:t>
            </w:r>
          </w:p>
        </w:tc>
      </w:tr>
      <w:tr w:rsidR="001002C3" w:rsidRPr="005E779E" w14:paraId="697711C7" w14:textId="77777777">
        <w:tc>
          <w:tcPr>
            <w:tcW w:w="1024" w:type="dxa"/>
          </w:tcPr>
          <w:p w14:paraId="2901CF9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геликоптер</w:t>
            </w:r>
          </w:p>
        </w:tc>
        <w:tc>
          <w:tcPr>
            <w:tcW w:w="1024" w:type="dxa"/>
          </w:tcPr>
          <w:p w14:paraId="4585B3C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4E2CD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1BD8C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58108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7DDFE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03A63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A0C6B2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посадке поломал лопасти и фюзеляж. Ведется</w:t>
            </w:r>
          </w:p>
        </w:tc>
      </w:tr>
      <w:tr w:rsidR="001002C3" w:rsidRPr="005E779E" w14:paraId="424D1368" w14:textId="77777777">
        <w:tc>
          <w:tcPr>
            <w:tcW w:w="1024" w:type="dxa"/>
          </w:tcPr>
          <w:p w14:paraId="17F1E6F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37871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46A85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B4FEC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9EE4B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B94B2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85B92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41C71F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срочный ремонт</w:t>
            </w:r>
          </w:p>
        </w:tc>
      </w:tr>
      <w:tr w:rsidR="001002C3" w:rsidRPr="005E779E" w14:paraId="13A7DD11" w14:textId="77777777">
        <w:tc>
          <w:tcPr>
            <w:tcW w:w="1024" w:type="dxa"/>
          </w:tcPr>
          <w:p w14:paraId="21EE4E3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3BF1E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BC9EF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2B0E0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C4C62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F3A4A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019C7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EDCB21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Квитко</w:t>
            </w:r>
          </w:p>
        </w:tc>
      </w:tr>
      <w:tr w:rsidR="001002C3" w:rsidRPr="005E779E" w14:paraId="68056359" w14:textId="77777777">
        <w:tc>
          <w:tcPr>
            <w:tcW w:w="1024" w:type="dxa"/>
          </w:tcPr>
          <w:p w14:paraId="29D8931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Вертолет</w:t>
            </w:r>
          </w:p>
        </w:tc>
        <w:tc>
          <w:tcPr>
            <w:tcW w:w="1024" w:type="dxa"/>
          </w:tcPr>
          <w:p w14:paraId="748ECE5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8FA1C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3EEB0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CC005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356F9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07660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EE1D06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Установлен мотор Титан. С новым мотором</w:t>
            </w:r>
          </w:p>
        </w:tc>
      </w:tr>
      <w:tr w:rsidR="001002C3" w:rsidRPr="005E779E" w14:paraId="0779499D" w14:textId="77777777">
        <w:tc>
          <w:tcPr>
            <w:tcW w:w="1024" w:type="dxa"/>
          </w:tcPr>
          <w:p w14:paraId="31C13C7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(автожир)</w:t>
            </w:r>
          </w:p>
        </w:tc>
        <w:tc>
          <w:tcPr>
            <w:tcW w:w="1024" w:type="dxa"/>
          </w:tcPr>
          <w:p w14:paraId="5D38EFE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59435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7A590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B6EA6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4BC22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64C78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1488DE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выполнен ряд полетов в р-не аэродрома,</w:t>
            </w:r>
          </w:p>
        </w:tc>
      </w:tr>
      <w:tr w:rsidR="001002C3" w:rsidRPr="005E779E" w14:paraId="30BB02E9" w14:textId="77777777">
        <w:tc>
          <w:tcPr>
            <w:tcW w:w="1024" w:type="dxa"/>
          </w:tcPr>
          <w:p w14:paraId="5309CC6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F3400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EBC6E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3B340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48111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C5693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61469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6DE7F0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достигнута высота 100 м. Работы перед.</w:t>
            </w:r>
          </w:p>
        </w:tc>
      </w:tr>
      <w:tr w:rsidR="001002C3" w:rsidRPr="005E779E" w14:paraId="38E6341C" w14:textId="77777777">
        <w:tc>
          <w:tcPr>
            <w:tcW w:w="1024" w:type="dxa"/>
          </w:tcPr>
          <w:p w14:paraId="116B6B4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004DD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B6843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FB601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A3177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C835D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C5DAB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C634F4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БОК ЦАГИ</w:t>
            </w:r>
          </w:p>
        </w:tc>
      </w:tr>
      <w:tr w:rsidR="001002C3" w:rsidRPr="005E779E" w14:paraId="668B9207" w14:textId="77777777">
        <w:tc>
          <w:tcPr>
            <w:tcW w:w="1024" w:type="dxa"/>
          </w:tcPr>
          <w:p w14:paraId="7269E8D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15812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0980E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A1EFF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7E868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FAE52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36887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51D77D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Кравцов.</w:t>
            </w:r>
          </w:p>
        </w:tc>
      </w:tr>
      <w:tr w:rsidR="001002C3" w:rsidRPr="005E779E" w14:paraId="12238AFC" w14:textId="77777777">
        <w:tc>
          <w:tcPr>
            <w:tcW w:w="1024" w:type="dxa"/>
          </w:tcPr>
          <w:p w14:paraId="136DFA5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МДР2-2БМВVI</w:t>
            </w:r>
          </w:p>
        </w:tc>
        <w:tc>
          <w:tcPr>
            <w:tcW w:w="1024" w:type="dxa"/>
          </w:tcPr>
          <w:p w14:paraId="7D2A001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ном. 118</w:t>
            </w:r>
          </w:p>
        </w:tc>
        <w:tc>
          <w:tcPr>
            <w:tcW w:w="1024" w:type="dxa"/>
          </w:tcPr>
          <w:p w14:paraId="4F51A74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39,75 м/</w:t>
            </w:r>
          </w:p>
        </w:tc>
        <w:tc>
          <w:tcPr>
            <w:tcW w:w="1024" w:type="dxa"/>
          </w:tcPr>
          <w:p w14:paraId="0A8B28A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3330</w:t>
            </w:r>
          </w:p>
        </w:tc>
        <w:tc>
          <w:tcPr>
            <w:tcW w:w="1024" w:type="dxa"/>
          </w:tcPr>
          <w:p w14:paraId="17A2A08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пулем.</w:t>
            </w:r>
          </w:p>
        </w:tc>
        <w:tc>
          <w:tcPr>
            <w:tcW w:w="1024" w:type="dxa"/>
          </w:tcPr>
          <w:p w14:paraId="54F50E1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1060</w:t>
            </w:r>
          </w:p>
        </w:tc>
        <w:tc>
          <w:tcPr>
            <w:tcW w:w="1024" w:type="dxa"/>
          </w:tcPr>
          <w:p w14:paraId="582996C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окт.</w:t>
            </w:r>
          </w:p>
        </w:tc>
        <w:tc>
          <w:tcPr>
            <w:tcW w:w="3430" w:type="dxa"/>
          </w:tcPr>
          <w:p w14:paraId="4E89A8F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Испытания в НИИ полностью не закончены</w:t>
            </w:r>
          </w:p>
        </w:tc>
      </w:tr>
      <w:tr w:rsidR="001002C3" w:rsidRPr="005E779E" w14:paraId="5617B519" w14:textId="77777777">
        <w:tc>
          <w:tcPr>
            <w:tcW w:w="1024" w:type="dxa"/>
          </w:tcPr>
          <w:p w14:paraId="7897A01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Е-6</w:t>
            </w:r>
          </w:p>
        </w:tc>
        <w:tc>
          <w:tcPr>
            <w:tcW w:w="1024" w:type="dxa"/>
          </w:tcPr>
          <w:p w14:paraId="6BE480B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382A024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A75BD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7B9B2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бомбы в</w:t>
            </w:r>
          </w:p>
        </w:tc>
        <w:tc>
          <w:tcPr>
            <w:tcW w:w="1024" w:type="dxa"/>
          </w:tcPr>
          <w:p w14:paraId="61FC02A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FEB88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1930 г.</w:t>
            </w:r>
          </w:p>
        </w:tc>
        <w:tc>
          <w:tcPr>
            <w:tcW w:w="3430" w:type="dxa"/>
          </w:tcPr>
          <w:p w14:paraId="15FAEB0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т.к. подк. поплавки оказались недост.</w:t>
            </w:r>
          </w:p>
        </w:tc>
      </w:tr>
      <w:tr w:rsidR="001002C3" w:rsidRPr="005E779E" w14:paraId="3BD79E91" w14:textId="77777777">
        <w:tc>
          <w:tcPr>
            <w:tcW w:w="1024" w:type="dxa"/>
          </w:tcPr>
          <w:p w14:paraId="668B717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w:t>
            </w:r>
          </w:p>
        </w:tc>
        <w:tc>
          <w:tcPr>
            <w:tcW w:w="1024" w:type="dxa"/>
          </w:tcPr>
          <w:p w14:paraId="0E8C1BC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1344D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44BCE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0ED63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счет</w:t>
            </w:r>
          </w:p>
        </w:tc>
        <w:tc>
          <w:tcPr>
            <w:tcW w:w="1024" w:type="dxa"/>
          </w:tcPr>
          <w:p w14:paraId="7A3D952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9120A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59EE58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объема. Решается вопрос о серийной</w:t>
            </w:r>
          </w:p>
        </w:tc>
      </w:tr>
      <w:tr w:rsidR="001002C3" w:rsidRPr="005E779E" w14:paraId="44321270" w14:textId="77777777">
        <w:tc>
          <w:tcPr>
            <w:tcW w:w="1024" w:type="dxa"/>
          </w:tcPr>
          <w:p w14:paraId="59EB018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A79F7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9D943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4CB33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85052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перегруз.</w:t>
            </w:r>
          </w:p>
        </w:tc>
        <w:tc>
          <w:tcPr>
            <w:tcW w:w="1024" w:type="dxa"/>
          </w:tcPr>
          <w:p w14:paraId="0B23626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834DA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346F50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постройке. При принятии на вооружение</w:t>
            </w:r>
          </w:p>
        </w:tc>
      </w:tr>
      <w:tr w:rsidR="001002C3" w:rsidRPr="005E779E" w14:paraId="530AC9AE" w14:textId="77777777">
        <w:tc>
          <w:tcPr>
            <w:tcW w:w="1024" w:type="dxa"/>
          </w:tcPr>
          <w:p w14:paraId="4FFA1BD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0A058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83F04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A4B50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C15EA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4х250 или</w:t>
            </w:r>
          </w:p>
        </w:tc>
        <w:tc>
          <w:tcPr>
            <w:tcW w:w="1024" w:type="dxa"/>
          </w:tcPr>
          <w:p w14:paraId="1A5809D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7EBA7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EC3A7D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будет проведено снижение крыла для</w:t>
            </w:r>
          </w:p>
        </w:tc>
      </w:tr>
      <w:tr w:rsidR="001002C3" w:rsidRPr="005E779E" w14:paraId="20680FA9" w14:textId="77777777">
        <w:tc>
          <w:tcPr>
            <w:tcW w:w="1024" w:type="dxa"/>
          </w:tcPr>
          <w:p w14:paraId="5FE80B9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11E24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233EC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2CF2F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73072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2х250 и</w:t>
            </w:r>
          </w:p>
        </w:tc>
        <w:tc>
          <w:tcPr>
            <w:tcW w:w="1024" w:type="dxa"/>
          </w:tcPr>
          <w:p w14:paraId="3EE5B62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89303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30A624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улучшения обзора пилота при полетах</w:t>
            </w:r>
          </w:p>
        </w:tc>
      </w:tr>
      <w:tr w:rsidR="001002C3" w:rsidRPr="005E779E" w14:paraId="3D1E1FE8" w14:textId="77777777">
        <w:tc>
          <w:tcPr>
            <w:tcW w:w="1024" w:type="dxa"/>
          </w:tcPr>
          <w:p w14:paraId="532D9B2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A5784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03876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6EEEF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D30E9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4х100</w:t>
            </w:r>
          </w:p>
        </w:tc>
        <w:tc>
          <w:tcPr>
            <w:tcW w:w="1024" w:type="dxa"/>
          </w:tcPr>
          <w:p w14:paraId="49E396E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21639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AF6E78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строю. Изгот. новые подкр. поплавки.</w:t>
            </w:r>
          </w:p>
        </w:tc>
      </w:tr>
      <w:tr w:rsidR="001002C3" w:rsidRPr="005E779E" w14:paraId="67D5C981" w14:textId="77777777">
        <w:tc>
          <w:tcPr>
            <w:tcW w:w="1024" w:type="dxa"/>
          </w:tcPr>
          <w:p w14:paraId="47BAE1A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6F530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D1167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570AA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3F759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8EF70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A8755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BAAF06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Кудрявцев.</w:t>
            </w:r>
          </w:p>
        </w:tc>
      </w:tr>
      <w:tr w:rsidR="001002C3" w:rsidRPr="005E779E" w14:paraId="2FF5F6AA" w14:textId="77777777">
        <w:tc>
          <w:tcPr>
            <w:tcW w:w="1024" w:type="dxa"/>
          </w:tcPr>
          <w:p w14:paraId="0FA0404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МУ3-М11</w:t>
            </w:r>
          </w:p>
        </w:tc>
        <w:tc>
          <w:tcPr>
            <w:tcW w:w="1024" w:type="dxa"/>
          </w:tcPr>
          <w:p w14:paraId="11CF3C5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120/130/</w:t>
            </w:r>
          </w:p>
        </w:tc>
        <w:tc>
          <w:tcPr>
            <w:tcW w:w="1024" w:type="dxa"/>
          </w:tcPr>
          <w:p w14:paraId="564A86D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20/3000</w:t>
            </w:r>
          </w:p>
        </w:tc>
        <w:tc>
          <w:tcPr>
            <w:tcW w:w="1024" w:type="dxa"/>
          </w:tcPr>
          <w:p w14:paraId="0423802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3500</w:t>
            </w:r>
          </w:p>
        </w:tc>
        <w:tc>
          <w:tcPr>
            <w:tcW w:w="1024" w:type="dxa"/>
          </w:tcPr>
          <w:p w14:paraId="60F946A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17EAE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продол.</w:t>
            </w:r>
          </w:p>
        </w:tc>
        <w:tc>
          <w:tcPr>
            <w:tcW w:w="1024" w:type="dxa"/>
          </w:tcPr>
          <w:p w14:paraId="6E9C6EC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мая</w:t>
            </w:r>
          </w:p>
        </w:tc>
        <w:tc>
          <w:tcPr>
            <w:tcW w:w="3430" w:type="dxa"/>
          </w:tcPr>
          <w:p w14:paraId="0252724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Заканчивается постройкой на 23 - к 15</w:t>
            </w:r>
          </w:p>
        </w:tc>
      </w:tr>
      <w:tr w:rsidR="001002C3" w:rsidRPr="005E779E" w14:paraId="45A58828" w14:textId="77777777">
        <w:tc>
          <w:tcPr>
            <w:tcW w:w="1024" w:type="dxa"/>
          </w:tcPr>
          <w:p w14:paraId="0A04A37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w:t>
            </w:r>
          </w:p>
        </w:tc>
        <w:tc>
          <w:tcPr>
            <w:tcW w:w="1024" w:type="dxa"/>
          </w:tcPr>
          <w:p w14:paraId="6EFEDBB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w:t>
            </w:r>
          </w:p>
        </w:tc>
        <w:tc>
          <w:tcPr>
            <w:tcW w:w="1024" w:type="dxa"/>
          </w:tcPr>
          <w:p w14:paraId="423F3DF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3901C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05E8F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C8068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час.</w:t>
            </w:r>
          </w:p>
        </w:tc>
        <w:tc>
          <w:tcPr>
            <w:tcW w:w="1024" w:type="dxa"/>
          </w:tcPr>
          <w:p w14:paraId="1EAE5F7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 г.</w:t>
            </w:r>
          </w:p>
        </w:tc>
        <w:tc>
          <w:tcPr>
            <w:tcW w:w="3430" w:type="dxa"/>
          </w:tcPr>
          <w:p w14:paraId="2291924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июля. В срок не смогли из-за прорывов</w:t>
            </w:r>
          </w:p>
        </w:tc>
      </w:tr>
      <w:tr w:rsidR="001002C3" w:rsidRPr="005E779E" w14:paraId="203404D8" w14:textId="77777777">
        <w:tc>
          <w:tcPr>
            <w:tcW w:w="1024" w:type="dxa"/>
          </w:tcPr>
          <w:p w14:paraId="7A65429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А1-М11</w:t>
            </w:r>
          </w:p>
        </w:tc>
        <w:tc>
          <w:tcPr>
            <w:tcW w:w="1024" w:type="dxa"/>
          </w:tcPr>
          <w:p w14:paraId="19B98A4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146/137/</w:t>
            </w:r>
          </w:p>
        </w:tc>
        <w:tc>
          <w:tcPr>
            <w:tcW w:w="1024" w:type="dxa"/>
          </w:tcPr>
          <w:p w14:paraId="7DFBA32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33/50,5/</w:t>
            </w:r>
          </w:p>
        </w:tc>
        <w:tc>
          <w:tcPr>
            <w:tcW w:w="1024" w:type="dxa"/>
          </w:tcPr>
          <w:p w14:paraId="39B01B8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3680/</w:t>
            </w:r>
          </w:p>
        </w:tc>
        <w:tc>
          <w:tcPr>
            <w:tcW w:w="1024" w:type="dxa"/>
          </w:tcPr>
          <w:p w14:paraId="341D527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Нет</w:t>
            </w:r>
          </w:p>
        </w:tc>
        <w:tc>
          <w:tcPr>
            <w:tcW w:w="1024" w:type="dxa"/>
          </w:tcPr>
          <w:p w14:paraId="63F1E7E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продол.</w:t>
            </w:r>
          </w:p>
        </w:tc>
        <w:tc>
          <w:tcPr>
            <w:tcW w:w="1024" w:type="dxa"/>
          </w:tcPr>
          <w:p w14:paraId="5259D9F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C0AAA4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Построен и испытан в НИИ ВО ГВФ. Обр.</w:t>
            </w:r>
          </w:p>
        </w:tc>
      </w:tr>
      <w:tr w:rsidR="001002C3" w:rsidRPr="005E779E" w14:paraId="0ED1B16E" w14:textId="77777777">
        <w:tc>
          <w:tcPr>
            <w:tcW w:w="1024" w:type="dxa"/>
          </w:tcPr>
          <w:p w14:paraId="06AAA72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w:t>
            </w:r>
          </w:p>
        </w:tc>
        <w:tc>
          <w:tcPr>
            <w:tcW w:w="1024" w:type="dxa"/>
          </w:tcPr>
          <w:p w14:paraId="5BDACD4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w:t>
            </w:r>
          </w:p>
        </w:tc>
        <w:tc>
          <w:tcPr>
            <w:tcW w:w="1024" w:type="dxa"/>
          </w:tcPr>
          <w:p w14:paraId="74029F7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23ABB32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3350</w:t>
            </w:r>
          </w:p>
        </w:tc>
        <w:tc>
          <w:tcPr>
            <w:tcW w:w="1024" w:type="dxa"/>
          </w:tcPr>
          <w:p w14:paraId="0D04B7D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0C557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час.</w:t>
            </w:r>
          </w:p>
        </w:tc>
        <w:tc>
          <w:tcPr>
            <w:tcW w:w="1024" w:type="dxa"/>
          </w:tcPr>
          <w:p w14:paraId="3937AB3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7AF656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испытаний еще не закончена. По предвар.</w:t>
            </w:r>
          </w:p>
        </w:tc>
      </w:tr>
      <w:tr w:rsidR="001002C3" w:rsidRPr="005E779E" w14:paraId="098A9E0F" w14:textId="77777777">
        <w:tc>
          <w:tcPr>
            <w:tcW w:w="1024" w:type="dxa"/>
          </w:tcPr>
          <w:p w14:paraId="1D90855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58B6F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7029C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0071E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1F130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2A999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51F9D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7EB50E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данным результаты - удовлетворительные</w:t>
            </w:r>
          </w:p>
        </w:tc>
      </w:tr>
      <w:tr w:rsidR="001002C3" w:rsidRPr="005E779E" w14:paraId="25C08F99" w14:textId="77777777">
        <w:tc>
          <w:tcPr>
            <w:tcW w:w="1024" w:type="dxa"/>
          </w:tcPr>
          <w:p w14:paraId="25DE628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МТБ1-2БМВVI</w:t>
            </w:r>
          </w:p>
        </w:tc>
        <w:tc>
          <w:tcPr>
            <w:tcW w:w="1024" w:type="dxa"/>
          </w:tcPr>
          <w:p w14:paraId="5F763D3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170/180/</w:t>
            </w:r>
          </w:p>
        </w:tc>
        <w:tc>
          <w:tcPr>
            <w:tcW w:w="1024" w:type="dxa"/>
          </w:tcPr>
          <w:p w14:paraId="561749F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20"-30"/</w:t>
            </w:r>
          </w:p>
        </w:tc>
        <w:tc>
          <w:tcPr>
            <w:tcW w:w="1024" w:type="dxa"/>
          </w:tcPr>
          <w:p w14:paraId="567D3A2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3500</w:t>
            </w:r>
          </w:p>
        </w:tc>
        <w:tc>
          <w:tcPr>
            <w:tcW w:w="1024" w:type="dxa"/>
          </w:tcPr>
          <w:p w14:paraId="1D2DF26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пулем.</w:t>
            </w:r>
          </w:p>
        </w:tc>
        <w:tc>
          <w:tcPr>
            <w:tcW w:w="1024" w:type="dxa"/>
          </w:tcPr>
          <w:p w14:paraId="06B9C87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продол.</w:t>
            </w:r>
          </w:p>
        </w:tc>
        <w:tc>
          <w:tcPr>
            <w:tcW w:w="1024" w:type="dxa"/>
          </w:tcPr>
          <w:p w14:paraId="204B5B2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нояб.</w:t>
            </w:r>
          </w:p>
        </w:tc>
        <w:tc>
          <w:tcPr>
            <w:tcW w:w="3430" w:type="dxa"/>
          </w:tcPr>
          <w:p w14:paraId="05F5120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с 1 января по наст. вр. находится</w:t>
            </w:r>
          </w:p>
        </w:tc>
      </w:tr>
      <w:tr w:rsidR="001002C3" w:rsidRPr="005E779E" w14:paraId="303E324C" w14:textId="77777777">
        <w:tc>
          <w:tcPr>
            <w:tcW w:w="1024" w:type="dxa"/>
          </w:tcPr>
          <w:p w14:paraId="6751B54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w:t>
            </w:r>
          </w:p>
        </w:tc>
        <w:tc>
          <w:tcPr>
            <w:tcW w:w="1024" w:type="dxa"/>
          </w:tcPr>
          <w:p w14:paraId="44A33BD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w:t>
            </w:r>
          </w:p>
        </w:tc>
        <w:tc>
          <w:tcPr>
            <w:tcW w:w="1024" w:type="dxa"/>
          </w:tcPr>
          <w:p w14:paraId="453B1D3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07DCA1B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4000</w:t>
            </w:r>
          </w:p>
        </w:tc>
        <w:tc>
          <w:tcPr>
            <w:tcW w:w="1024" w:type="dxa"/>
          </w:tcPr>
          <w:p w14:paraId="3634E86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торпед.</w:t>
            </w:r>
          </w:p>
        </w:tc>
        <w:tc>
          <w:tcPr>
            <w:tcW w:w="1024" w:type="dxa"/>
          </w:tcPr>
          <w:p w14:paraId="26C4D27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полета</w:t>
            </w:r>
          </w:p>
        </w:tc>
        <w:tc>
          <w:tcPr>
            <w:tcW w:w="1024" w:type="dxa"/>
          </w:tcPr>
          <w:p w14:paraId="67CA322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1930 г.</w:t>
            </w:r>
          </w:p>
        </w:tc>
        <w:tc>
          <w:tcPr>
            <w:tcW w:w="3430" w:type="dxa"/>
          </w:tcPr>
          <w:p w14:paraId="52F2309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заводских испытаниях и доводках. В</w:t>
            </w:r>
          </w:p>
        </w:tc>
      </w:tr>
      <w:tr w:rsidR="001002C3" w:rsidRPr="005E779E" w14:paraId="002487C0" w14:textId="77777777">
        <w:tc>
          <w:tcPr>
            <w:tcW w:w="1024" w:type="dxa"/>
          </w:tcPr>
          <w:p w14:paraId="5D1C5E9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6647B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D9DE1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2920E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E0C30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A76E8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час.</w:t>
            </w:r>
          </w:p>
        </w:tc>
        <w:tc>
          <w:tcPr>
            <w:tcW w:w="1024" w:type="dxa"/>
          </w:tcPr>
          <w:p w14:paraId="024778A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AEB4E3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последний месяц начаты работы по усилен.</w:t>
            </w:r>
          </w:p>
        </w:tc>
      </w:tr>
      <w:tr w:rsidR="001002C3" w:rsidRPr="005E779E" w14:paraId="5EBE512F" w14:textId="77777777">
        <w:tc>
          <w:tcPr>
            <w:tcW w:w="1024" w:type="dxa"/>
          </w:tcPr>
          <w:p w14:paraId="14788D3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CE0B3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92146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26BA5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C6A70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022C6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6D5C9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186783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поплавков и шасси. Во время испытаний на</w:t>
            </w:r>
          </w:p>
        </w:tc>
      </w:tr>
      <w:tr w:rsidR="001002C3" w:rsidRPr="005E779E" w14:paraId="6DBF11C5" w14:textId="77777777">
        <w:tc>
          <w:tcPr>
            <w:tcW w:w="1024" w:type="dxa"/>
          </w:tcPr>
          <w:p w14:paraId="463D604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A436D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D90A9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78CC1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3ADB9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06D0A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8045C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400CCD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гор. скорость лопнул шатун и повредил</w:t>
            </w:r>
          </w:p>
        </w:tc>
      </w:tr>
      <w:tr w:rsidR="001002C3" w:rsidRPr="005E779E" w14:paraId="03F07AF0" w14:textId="77777777">
        <w:tc>
          <w:tcPr>
            <w:tcW w:w="1024" w:type="dxa"/>
          </w:tcPr>
          <w:p w14:paraId="56199F3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FDC32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3424D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75B04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F991A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54998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932AF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6E4D5F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мотораму. ВАО предполаг. закончить к 1</w:t>
            </w:r>
          </w:p>
        </w:tc>
      </w:tr>
      <w:tr w:rsidR="001002C3" w:rsidRPr="005E779E" w14:paraId="3D1014AB" w14:textId="77777777">
        <w:tc>
          <w:tcPr>
            <w:tcW w:w="1024" w:type="dxa"/>
          </w:tcPr>
          <w:p w14:paraId="3BA8EA6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3476F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C5830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40897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E5B57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6EF13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28AF2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8D48C1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августа, провести контр. полеты и перед.</w:t>
            </w:r>
          </w:p>
        </w:tc>
      </w:tr>
      <w:tr w:rsidR="001002C3" w:rsidRPr="005E779E" w14:paraId="4BFF889C" w14:textId="77777777">
        <w:tc>
          <w:tcPr>
            <w:tcW w:w="1024" w:type="dxa"/>
          </w:tcPr>
          <w:p w14:paraId="2CF5BFA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C7751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E2D48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FF561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95B80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C1881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8EF4F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E58B40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НИИ ВВС. Причины задержек: недостат.</w:t>
            </w:r>
          </w:p>
        </w:tc>
      </w:tr>
      <w:tr w:rsidR="001002C3" w:rsidRPr="005E779E" w14:paraId="25BC85D2" w14:textId="77777777">
        <w:tc>
          <w:tcPr>
            <w:tcW w:w="1024" w:type="dxa"/>
          </w:tcPr>
          <w:p w14:paraId="2528A7D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BCD40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1FDFD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DB5B9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55FFA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3CB7C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63238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1571B3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руководство со стороны УОС ВАО работой</w:t>
            </w:r>
          </w:p>
        </w:tc>
      </w:tr>
      <w:tr w:rsidR="001002C3" w:rsidRPr="005E779E" w14:paraId="325DA209" w14:textId="77777777">
        <w:tc>
          <w:tcPr>
            <w:tcW w:w="1024" w:type="dxa"/>
          </w:tcPr>
          <w:p w14:paraId="4C66858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1D8DB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D39BF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13732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3574E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D1FA8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84497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302ED7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инженеров в Севастополе</w:t>
            </w:r>
          </w:p>
        </w:tc>
      </w:tr>
      <w:tr w:rsidR="001002C3" w:rsidRPr="005E779E" w14:paraId="7D1F386E" w14:textId="77777777">
        <w:tc>
          <w:tcPr>
            <w:tcW w:w="1024" w:type="dxa"/>
          </w:tcPr>
          <w:p w14:paraId="4D1E140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МБР2-БМВVI</w:t>
            </w:r>
          </w:p>
        </w:tc>
        <w:tc>
          <w:tcPr>
            <w:tcW w:w="1024" w:type="dxa"/>
          </w:tcPr>
          <w:p w14:paraId="15F230F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w:t>
            </w:r>
          </w:p>
        </w:tc>
        <w:tc>
          <w:tcPr>
            <w:tcW w:w="1024" w:type="dxa"/>
          </w:tcPr>
          <w:p w14:paraId="074C91C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15"-50"/</w:t>
            </w:r>
          </w:p>
        </w:tc>
        <w:tc>
          <w:tcPr>
            <w:tcW w:w="1024" w:type="dxa"/>
          </w:tcPr>
          <w:p w14:paraId="1F822FC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024" w:type="dxa"/>
          </w:tcPr>
          <w:p w14:paraId="6070AC8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пулем.</w:t>
            </w:r>
          </w:p>
        </w:tc>
        <w:tc>
          <w:tcPr>
            <w:tcW w:w="1024" w:type="dxa"/>
          </w:tcPr>
          <w:p w14:paraId="5D96B35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350</w:t>
            </w:r>
          </w:p>
        </w:tc>
        <w:tc>
          <w:tcPr>
            <w:tcW w:w="1024" w:type="dxa"/>
          </w:tcPr>
          <w:p w14:paraId="796A1E3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июля</w:t>
            </w:r>
          </w:p>
        </w:tc>
        <w:tc>
          <w:tcPr>
            <w:tcW w:w="3430" w:type="dxa"/>
          </w:tcPr>
          <w:p w14:paraId="771509A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находится в производстве завода</w:t>
            </w:r>
          </w:p>
        </w:tc>
      </w:tr>
      <w:tr w:rsidR="001002C3" w:rsidRPr="005E779E" w14:paraId="400537AD" w14:textId="77777777">
        <w:tc>
          <w:tcPr>
            <w:tcW w:w="1024" w:type="dxa"/>
          </w:tcPr>
          <w:p w14:paraId="31C4D72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ЦКБ</w:t>
            </w:r>
          </w:p>
        </w:tc>
        <w:tc>
          <w:tcPr>
            <w:tcW w:w="1024" w:type="dxa"/>
          </w:tcPr>
          <w:p w14:paraId="677F1BD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125B8F5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5D97226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1061F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бомбы за</w:t>
            </w:r>
          </w:p>
        </w:tc>
        <w:tc>
          <w:tcPr>
            <w:tcW w:w="1024" w:type="dxa"/>
          </w:tcPr>
          <w:p w14:paraId="318A838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E4296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 г.</w:t>
            </w:r>
          </w:p>
        </w:tc>
        <w:tc>
          <w:tcPr>
            <w:tcW w:w="3430" w:type="dxa"/>
          </w:tcPr>
          <w:p w14:paraId="31164FE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N 25. Собирается на стапеле лодка, заг.</w:t>
            </w:r>
          </w:p>
        </w:tc>
      </w:tr>
      <w:tr w:rsidR="001002C3" w:rsidRPr="005E779E" w14:paraId="3BDA0BA7" w14:textId="77777777">
        <w:tc>
          <w:tcPr>
            <w:tcW w:w="1024" w:type="dxa"/>
          </w:tcPr>
          <w:p w14:paraId="2335B60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93E2C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70091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1AA46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2201D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счет</w:t>
            </w:r>
          </w:p>
        </w:tc>
        <w:tc>
          <w:tcPr>
            <w:tcW w:w="1024" w:type="dxa"/>
          </w:tcPr>
          <w:p w14:paraId="27ACBF8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3CDA5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E9100D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лонжероны. Предполаг. окончание и сдача к</w:t>
            </w:r>
          </w:p>
        </w:tc>
      </w:tr>
      <w:tr w:rsidR="001002C3" w:rsidRPr="005E779E" w14:paraId="44FA9738" w14:textId="77777777">
        <w:tc>
          <w:tcPr>
            <w:tcW w:w="1024" w:type="dxa"/>
          </w:tcPr>
          <w:p w14:paraId="36FDCD7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BF8F1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E0544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0EA84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5A55F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перегр.</w:t>
            </w:r>
          </w:p>
        </w:tc>
        <w:tc>
          <w:tcPr>
            <w:tcW w:w="1024" w:type="dxa"/>
          </w:tcPr>
          <w:p w14:paraId="7AA13BD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81E07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F8D90D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сентября 1931</w:t>
            </w:r>
          </w:p>
        </w:tc>
      </w:tr>
      <w:tr w:rsidR="001002C3" w:rsidRPr="005E779E" w14:paraId="79E1A13E" w14:textId="77777777">
        <w:tc>
          <w:tcPr>
            <w:tcW w:w="1024" w:type="dxa"/>
          </w:tcPr>
          <w:p w14:paraId="5C8816A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МБР3-2М22</w:t>
            </w:r>
          </w:p>
        </w:tc>
        <w:tc>
          <w:tcPr>
            <w:tcW w:w="1024" w:type="dxa"/>
          </w:tcPr>
          <w:p w14:paraId="6BD9362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FEF57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1CCAB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990C6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7D50B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8F388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Эскизный проект - закончен. К 10 июля д.</w:t>
            </w:r>
          </w:p>
        </w:tc>
        <w:tc>
          <w:tcPr>
            <w:tcW w:w="3430" w:type="dxa"/>
          </w:tcPr>
          <w:p w14:paraId="7A78730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14D5B3C" w14:textId="77777777">
        <w:tc>
          <w:tcPr>
            <w:tcW w:w="1024" w:type="dxa"/>
          </w:tcPr>
          <w:p w14:paraId="5FF3AF4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w:t>
            </w:r>
          </w:p>
        </w:tc>
        <w:tc>
          <w:tcPr>
            <w:tcW w:w="1024" w:type="dxa"/>
          </w:tcPr>
          <w:p w14:paraId="2298E67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CEB76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5FBA0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70417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8C181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8439F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FB080E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предъявлен в НИИ на заключение. Строит</w:t>
            </w:r>
          </w:p>
        </w:tc>
      </w:tr>
      <w:tr w:rsidR="001002C3" w:rsidRPr="005E779E" w14:paraId="4CAEEBE9" w14:textId="77777777">
        <w:tc>
          <w:tcPr>
            <w:tcW w:w="1024" w:type="dxa"/>
          </w:tcPr>
          <w:p w14:paraId="7FB1CD7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23F85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FAFEB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0B906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AF56B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9EBD7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D84CC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90695D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макет. Перерабатывается конструкция. Ок.</w:t>
            </w:r>
          </w:p>
        </w:tc>
      </w:tr>
      <w:tr w:rsidR="001002C3" w:rsidRPr="005E779E" w14:paraId="7B804616" w14:textId="77777777">
        <w:tc>
          <w:tcPr>
            <w:tcW w:w="1024" w:type="dxa"/>
          </w:tcPr>
          <w:p w14:paraId="6D9D3A2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МУ2-М11</w:t>
            </w:r>
          </w:p>
        </w:tc>
        <w:tc>
          <w:tcPr>
            <w:tcW w:w="1024" w:type="dxa"/>
          </w:tcPr>
          <w:p w14:paraId="43CE168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434A2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819A5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0A7DA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825FA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9C85A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FC108E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пр-ва намечено на февраль 1932</w:t>
            </w:r>
          </w:p>
        </w:tc>
      </w:tr>
      <w:tr w:rsidR="001002C3" w:rsidRPr="005E779E" w14:paraId="1EC85F9F" w14:textId="77777777">
        <w:tc>
          <w:tcPr>
            <w:tcW w:w="1024" w:type="dxa"/>
          </w:tcPr>
          <w:p w14:paraId="030DA51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83B64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F4A7D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D8097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EF3D8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18EEB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8AA79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04B2B4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Заканчиваются испытания в Севастополе со</w:t>
            </w:r>
          </w:p>
        </w:tc>
      </w:tr>
      <w:tr w:rsidR="001002C3" w:rsidRPr="005E779E" w14:paraId="424ED352" w14:textId="77777777">
        <w:tc>
          <w:tcPr>
            <w:tcW w:w="1024" w:type="dxa"/>
          </w:tcPr>
          <w:p w14:paraId="080910E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DA6C5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7A700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28F8D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DF156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455E0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34DE3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E3E2CF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вторым вариантом поплавка, после чего б.</w:t>
            </w:r>
          </w:p>
        </w:tc>
      </w:tr>
      <w:tr w:rsidR="001002C3" w:rsidRPr="005E779E" w14:paraId="4A0BC9BB" w14:textId="77777777">
        <w:tc>
          <w:tcPr>
            <w:tcW w:w="1024" w:type="dxa"/>
          </w:tcPr>
          <w:p w14:paraId="650DCC5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65712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B405C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4E2D6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30DCA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8CCB0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56A54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A0EEFA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направлен для экспл. испытаний в школу</w:t>
            </w:r>
          </w:p>
        </w:tc>
      </w:tr>
      <w:tr w:rsidR="00365C94" w:rsidRPr="005E779E" w14:paraId="24311FE0" w14:textId="77777777">
        <w:tc>
          <w:tcPr>
            <w:tcW w:w="1024" w:type="dxa"/>
          </w:tcPr>
          <w:p w14:paraId="4146E76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27ED1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BED48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EB5A9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FE304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8E4E0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5484F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17EAFF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морских летчиков в г. Ейск. (3029,205)</w:t>
            </w:r>
          </w:p>
        </w:tc>
      </w:tr>
    </w:tbl>
    <w:p w14:paraId="0BA08E26"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979FD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июля 1931 состоялось заседание КО (прот. 9), на котором доложила комиссия В.В.Куйбышева по авиации. Поручили В.В.Куйбышеву, М.Н.Тухачевскому, П.И.Баранову дать окончательную формулировку постановления (1028,113).</w:t>
      </w:r>
    </w:p>
    <w:p w14:paraId="47EBE7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02A83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июля 1931 высотная торпеда ВВС 10/15, которая испытывалась Остехбюро с марта 1931 в районе Качи и с 4 апреля 1931 была признана работающей хорошо с высоты до 1000-1200 м, была предъявлена на войсковые испытания и два самолета сбрасывали их до сентября. 4 сентября комиссия под руководством начальника ВВС СФ В.К.Лаврова признала испытания успешно (561,6).</w:t>
      </w:r>
    </w:p>
    <w:p w14:paraId="3A1298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677C5F7" w14:textId="77777777" w:rsidR="00CE5E0F"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6BF27982" w14:textId="77777777" w:rsidR="00CE5E0F" w:rsidRPr="005E779E" w:rsidRDefault="00CE5E0F"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02C55E7" w14:textId="77777777" w:rsidR="00CE5E0F" w:rsidRPr="005E779E" w:rsidRDefault="00CE5E0F"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1 июля</w:t>
      </w:r>
      <w:r w:rsidRPr="005E779E">
        <w:rPr>
          <w:rFonts w:ascii="Times New Roman" w:hAnsi="Times New Roman"/>
          <w:color w:val="000000" w:themeColor="text1"/>
          <w:sz w:val="16"/>
          <w:szCs w:val="16"/>
        </w:rPr>
        <w:t xml:space="preserve"> в 1931 году в Переславле-Залесском начала работу первая в СССР фабрика кинопленки (14939).</w:t>
      </w:r>
    </w:p>
    <w:p w14:paraId="4FE86B7D" w14:textId="77777777" w:rsidR="00CE5E0F" w:rsidRPr="005E779E" w:rsidRDefault="00CE5E0F" w:rsidP="000B7A6C">
      <w:pPr>
        <w:spacing w:after="0" w:line="240" w:lineRule="auto"/>
        <w:jc w:val="both"/>
        <w:rPr>
          <w:rFonts w:ascii="Times New Roman" w:hAnsi="Times New Roman"/>
          <w:color w:val="000000" w:themeColor="text1"/>
          <w:sz w:val="16"/>
          <w:szCs w:val="16"/>
        </w:rPr>
      </w:pPr>
    </w:p>
    <w:p w14:paraId="22707BD2"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504ADFDC"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37ADA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июля 1931 года был окончательно утвержден и спущен для исполнения проект Беломорско-Балтийского канала (9046).</w:t>
      </w:r>
    </w:p>
    <w:p w14:paraId="7B0D25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25DEF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К 1 июля 1931, с двухмесячным опережением графика, проект ББК был готов. </w:t>
      </w:r>
    </w:p>
    <w:p w14:paraId="28AEF9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тот же день Особый комитет утвердил его на своем заседании. В окончательном варианте проект канала предусматривал сооружение транспортного водного пути длиной 227 километров, оборудованного 128 гидротехническими сооружениями. Планировалось сооружение 19 шлюзов (из них восемь составляли т. н. "Повенчанскую лестницу"), 15 плотин, 49 дамб. Общая стоимость работ, согласно финансовому плану, исчислялась в 88 866 600 рублей, из них в 1931 г. планировалось отпустить 32 380 000 рублей, в 1932 (решающем) году - 55 921 000 рублей и в 1933 г. на доделки - 565 800 рублей. Работы должны были быть в основном выполнены за 400 рабочих дней. </w:t>
      </w:r>
    </w:p>
    <w:p w14:paraId="5BB232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Строительство Беломорканала началось. А это значит, что на трассу начали прибывать все новые и новые партии заключенных. Исправительно-трудовые лагеря ОГПУ стали основным поставщиком рабочей силы на строительство. В 1930 и первой половине 1931 г. рабочих Беломорстрою предоставлял Соловецкий ИТЛ. В мае 1930 г., после переноса хозяйственной деятельности на материк, лагерь перешел в подчинение ГПУ по Карелии и сменил название. Комплекс лагерных отделений стал называться Соловецкими и Карело-Мурманскими лагерями ОГПУ. В июне 1930 г. лагеря выделили первых 600 заключенных для работы в изыскательских партиях на будущей трассе канала. После утверждения проекта и начала работ численность заключенных на Беломорстрое начала быстро возрастать. Уже к середине 1931 г. количество их превысило 10 тыс. человек из 72 тыс., которыми располагал лагерь. А начиная с сентября, на строительство канала перебрасывается почти весь наличный состав Соловецких и Карело-Мурманских лагерей. Управление Соловецких и Карело-Мурманских лагерей из г. Кеми переводится на станцию Медвежья гора Мурманской железной дороги, непосредственно на трассу будущего канала. 17 сентября 1931 г. приказом ОГПУ № 528/286 был ликвидирован (в связи с окончанием работ) Сызранский исправительно-трудовой лагерь, весь личный состав был направлен на Беломорстрой (12107).</w:t>
      </w:r>
    </w:p>
    <w:p w14:paraId="5E38AF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FC08A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июля 1931 вышло постановление СНК Об устройстве спецпереселенцев и их поручили ОГПУ (4081).</w:t>
      </w:r>
    </w:p>
    <w:p w14:paraId="5884C3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85DD6B4" w14:textId="77777777" w:rsidR="00BB323F" w:rsidRPr="005E779E" w:rsidRDefault="00874B1E"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i/>
          <w:color w:val="000000" w:themeColor="text1"/>
          <w:sz w:val="16"/>
          <w:szCs w:val="16"/>
          <w:u w:color="002060"/>
        </w:rPr>
        <w:t>Армия:</w:t>
      </w:r>
    </w:p>
    <w:p w14:paraId="4302B5A5" w14:textId="77777777" w:rsidR="00BB323F" w:rsidRPr="005E779E" w:rsidRDefault="00BB323F" w:rsidP="000B7A6C">
      <w:pPr>
        <w:spacing w:after="0" w:line="240" w:lineRule="auto"/>
        <w:jc w:val="both"/>
        <w:rPr>
          <w:rFonts w:ascii="Times New Roman" w:hAnsi="Times New Roman"/>
          <w:color w:val="000000" w:themeColor="text1"/>
          <w:sz w:val="16"/>
          <w:szCs w:val="16"/>
          <w:u w:color="002060"/>
        </w:rPr>
      </w:pPr>
    </w:p>
    <w:p w14:paraId="59FF5754" w14:textId="77777777" w:rsidR="00BB323F" w:rsidRPr="005E779E" w:rsidRDefault="00BB323F"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1 июля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Постановление СНК СССР № 129сс об отпуске 16 400 тыс. руб. из резервного фонда СНК СССР для постройки казарм для 5 дивизий УВО (ГА РФ. Ф. Р?8418. Оп. 28. Д. 14а. Л. 52?53) (12415).</w:t>
      </w:r>
    </w:p>
    <w:p w14:paraId="33C609EF" w14:textId="77777777" w:rsidR="00BB323F" w:rsidRPr="005E779E" w:rsidRDefault="00BB323F" w:rsidP="000B7A6C">
      <w:pPr>
        <w:spacing w:after="0" w:line="240" w:lineRule="auto"/>
        <w:jc w:val="both"/>
        <w:rPr>
          <w:rFonts w:ascii="Times New Roman" w:hAnsi="Times New Roman"/>
          <w:color w:val="000000" w:themeColor="text1"/>
          <w:sz w:val="16"/>
          <w:szCs w:val="16"/>
          <w:u w:color="002060"/>
        </w:rPr>
      </w:pPr>
    </w:p>
    <w:p w14:paraId="4F77D630"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Внешняя политика:</w:t>
      </w:r>
    </w:p>
    <w:p w14:paraId="4360CA67"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34198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июля 1931 года в беседе с посетившим Москву генерал-майором Харада посол Японии в СССР, будущий премьер-министр и казнённый военный преступник Коки Хирота недвусмысленно заявил:</w:t>
      </w:r>
    </w:p>
    <w:p w14:paraId="368534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вопросу о том, следует ли Японии начать войну с Советским Союзом или нет, считаю необходимым, чтобы Япония стала на путь твёрдой политики в отношении Советского Союза, будучи готовой начать войну в любой момент.</w:t>
      </w:r>
    </w:p>
    <w:p w14:paraId="2F4E55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Кардинальная цель этой войны должна заключаться не столько в предохранении Японии от коммунизма, сколько в завладении советскими Дальним Востоком и Восточной Сибирью»</w:t>
      </w:r>
    </w:p>
    <w:p w14:paraId="6B20D1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докладе, представленном генералу Харада японским военным атташе в Москве подполковником Касахара, говорилось:</w:t>
      </w:r>
    </w:p>
    <w:p w14:paraId="65065B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«Настоящий момент является исключительно благоприятным для того, чтобы наша империя приступила к разрешению проблемы Дальнего Востока. Западные государства, граничащие с СССР (Польша, Румыния), имеют возможность сейчас выступить согласованно также с нами, но эта возможность постепенно будет ослабевать с каждым годом.</w:t>
      </w:r>
    </w:p>
    <w:p w14:paraId="3FEAA2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Если мы сейчас, проникнутые готовностью воевать, приступим к разрешению проблемы Дальнего Востока, то мы сможем добиться поставленных целей, не открывая войны. Если же паче чаяния возникнет война, то она не представит для нас затруднений» (Лубянка. Сталин и ВЧК–ГПУ–ОГПУ–НКВД. Архив Сталина. Документы высших органов партийной и государственной власти. Январь 1922 — декабрь 1936. М., 2003. С.292) (11703).</w:t>
      </w:r>
    </w:p>
    <w:p w14:paraId="276B9A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62422EF"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135D0FAE"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42F4C6A" w14:textId="77777777" w:rsidR="00CE5E0F" w:rsidRPr="005E779E" w:rsidRDefault="00CE5E0F"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1 июля</w:t>
      </w:r>
      <w:r w:rsidRPr="005E779E">
        <w:rPr>
          <w:rFonts w:ascii="Times New Roman" w:hAnsi="Times New Roman"/>
          <w:color w:val="000000" w:themeColor="text1"/>
          <w:sz w:val="16"/>
          <w:szCs w:val="16"/>
        </w:rPr>
        <w:t xml:space="preserve"> в 1931 году конструктор и пилот Н.Пулиньш отправился на латвийском легком многоцелевом самолете </w:t>
      </w:r>
      <w:hyperlink r:id="rId140" w:tgtFrame="_blank" w:history="1">
        <w:r w:rsidRPr="005E779E">
          <w:rPr>
            <w:rFonts w:ascii="Times New Roman" w:hAnsi="Times New Roman"/>
            <w:color w:val="000000" w:themeColor="text1"/>
            <w:sz w:val="16"/>
            <w:szCs w:val="16"/>
          </w:rPr>
          <w:t xml:space="preserve">«I-5» «Ikars» </w:t>
        </w:r>
      </w:hyperlink>
      <w:r w:rsidRPr="005E779E">
        <w:rPr>
          <w:rFonts w:ascii="Times New Roman" w:hAnsi="Times New Roman"/>
          <w:color w:val="000000" w:themeColor="text1"/>
          <w:sz w:val="16"/>
          <w:szCs w:val="16"/>
        </w:rPr>
        <w:t>в перелет по Латвии, который превратился в череду поломок и аварий, в том числе капотирование. «I-5» «Ikars» - легкий многоцелевой самолет конструкции Карлиса Ирбитиса и Николая Пулиньша. Построен в 1926 году. Первый самолет гражданской авиации Латвии, получивший официальное обозначение Латвии - YL - AAA. Первый полет совершен старшим лейтенантом Ольгертсом Пукше 7 сентября 1926 года. Отличался хорошей управляемостью, малой посадочной скоростью и отличным обзором вниз. На самолете возили пассажиров, а пилотами были многие известные в латвийской авиации люди - Х.Цукурс, К.Ирбитис (14939).</w:t>
      </w:r>
    </w:p>
    <w:p w14:paraId="55938647" w14:textId="77777777" w:rsidR="00CE5E0F" w:rsidRPr="005E779E" w:rsidRDefault="00CE5E0F" w:rsidP="000B7A6C">
      <w:pPr>
        <w:spacing w:after="0" w:line="240" w:lineRule="auto"/>
        <w:jc w:val="both"/>
        <w:rPr>
          <w:rFonts w:ascii="Times New Roman" w:hAnsi="Times New Roman"/>
          <w:color w:val="000000" w:themeColor="text1"/>
          <w:sz w:val="16"/>
          <w:szCs w:val="16"/>
        </w:rPr>
      </w:pPr>
    </w:p>
    <w:p w14:paraId="179330BB" w14:textId="77777777" w:rsidR="00CE5E0F" w:rsidRPr="005E779E" w:rsidRDefault="00CE5E0F"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1 июля</w:t>
      </w:r>
      <w:r w:rsidRPr="005E779E">
        <w:rPr>
          <w:rFonts w:ascii="Times New Roman" w:hAnsi="Times New Roman"/>
          <w:color w:val="000000" w:themeColor="text1"/>
          <w:sz w:val="16"/>
          <w:szCs w:val="16"/>
        </w:rPr>
        <w:t xml:space="preserve"> в 1931 году путем объединения «Boeing Air Transport» и «Varney Air Lines» возникла одна из крупнейших американских компаний «United Air Lines» (14939).</w:t>
      </w:r>
    </w:p>
    <w:p w14:paraId="04C12EBC" w14:textId="77777777" w:rsidR="00CE5E0F" w:rsidRPr="005E779E" w:rsidRDefault="00CE5E0F" w:rsidP="000B7A6C">
      <w:pPr>
        <w:spacing w:after="0" w:line="240" w:lineRule="auto"/>
        <w:jc w:val="both"/>
        <w:rPr>
          <w:rFonts w:ascii="Times New Roman" w:hAnsi="Times New Roman"/>
          <w:color w:val="000000" w:themeColor="text1"/>
          <w:sz w:val="16"/>
          <w:szCs w:val="16"/>
        </w:rPr>
      </w:pPr>
    </w:p>
    <w:p w14:paraId="022A89A3" w14:textId="77777777" w:rsidR="00CE5E0F" w:rsidRPr="005E779E" w:rsidRDefault="00CE5E0F"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1 июля</w:t>
      </w:r>
      <w:r w:rsidRPr="005E779E">
        <w:rPr>
          <w:rFonts w:ascii="Times New Roman" w:hAnsi="Times New Roman"/>
          <w:color w:val="000000" w:themeColor="text1"/>
          <w:sz w:val="16"/>
          <w:szCs w:val="16"/>
        </w:rPr>
        <w:t xml:space="preserve"> в 1931 году завершение кругосветного перелета (начало 23 июня) - 24 945 км за 106 ч лётного времени, У.Пост, Г.Гатти на самолете </w:t>
      </w:r>
      <w:hyperlink r:id="rId141" w:tgtFrame="_blank" w:history="1">
        <w:r w:rsidRPr="005E779E">
          <w:rPr>
            <w:rFonts w:ascii="Times New Roman" w:hAnsi="Times New Roman"/>
            <w:color w:val="000000" w:themeColor="text1"/>
            <w:sz w:val="16"/>
            <w:szCs w:val="16"/>
          </w:rPr>
          <w:t xml:space="preserve">«Локхид» «Вега Винни Мэй» </w:t>
        </w:r>
      </w:hyperlink>
      <w:r w:rsidRPr="005E779E">
        <w:rPr>
          <w:rFonts w:ascii="Times New Roman" w:hAnsi="Times New Roman"/>
          <w:color w:val="000000" w:themeColor="text1"/>
          <w:sz w:val="16"/>
          <w:szCs w:val="16"/>
        </w:rPr>
        <w:t>(США) (14939).</w:t>
      </w:r>
    </w:p>
    <w:p w14:paraId="34EEF38E" w14:textId="77777777" w:rsidR="00CE5E0F" w:rsidRPr="005E779E" w:rsidRDefault="00CE5E0F" w:rsidP="000B7A6C">
      <w:pPr>
        <w:spacing w:after="0" w:line="240" w:lineRule="auto"/>
        <w:jc w:val="both"/>
        <w:rPr>
          <w:rFonts w:ascii="Times New Roman" w:hAnsi="Times New Roman"/>
          <w:color w:val="000000" w:themeColor="text1"/>
          <w:sz w:val="16"/>
          <w:szCs w:val="16"/>
        </w:rPr>
      </w:pPr>
    </w:p>
    <w:p w14:paraId="68E4DE29" w14:textId="77777777" w:rsidR="006A772B" w:rsidRPr="005E779E" w:rsidRDefault="006A772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июля 1931 - Авиакомпания United Airlines начала свою деятельность как операционное подразделение партнерства Boeing Airplane Company и Pratt &amp; Whitney (22443).</w:t>
      </w:r>
    </w:p>
    <w:p w14:paraId="2F2BC0D5" w14:textId="77777777" w:rsidR="006A772B" w:rsidRPr="005E779E" w:rsidRDefault="006A772B" w:rsidP="000B7A6C">
      <w:pPr>
        <w:spacing w:after="0" w:line="240" w:lineRule="auto"/>
        <w:jc w:val="both"/>
        <w:rPr>
          <w:rFonts w:ascii="Times New Roman" w:hAnsi="Times New Roman"/>
          <w:color w:val="000000" w:themeColor="text1"/>
          <w:sz w:val="16"/>
          <w:szCs w:val="16"/>
        </w:rPr>
      </w:pPr>
    </w:p>
    <w:p w14:paraId="4E0251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июля 1931 начались антикитайские выступления в Корее (3907,167).</w:t>
      </w:r>
    </w:p>
    <w:p w14:paraId="49EC2E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4C56D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июля 1931 было завершено строительство трансафриканской ж/д на юге Африки (3907,169).</w:t>
      </w:r>
    </w:p>
    <w:p w14:paraId="2514AA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4ED1DD0"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379D6963"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677CF4F" w14:textId="77777777" w:rsidR="006A772B" w:rsidRPr="005E779E" w:rsidRDefault="006A772B" w:rsidP="000B7A6C">
      <w:pPr>
        <w:spacing w:after="0" w:line="240" w:lineRule="auto"/>
        <w:jc w:val="both"/>
        <w:rPr>
          <w:rFonts w:ascii="Times New Roman" w:eastAsia="TimesNewRomanPSMT" w:hAnsi="Times New Roman"/>
          <w:color w:val="000000" w:themeColor="text1"/>
          <w:sz w:val="16"/>
          <w:szCs w:val="16"/>
        </w:rPr>
      </w:pPr>
      <w:r w:rsidRPr="005E779E">
        <w:rPr>
          <w:rFonts w:ascii="Times New Roman" w:hAnsi="Times New Roman"/>
          <w:color w:val="000000" w:themeColor="text1"/>
          <w:sz w:val="16"/>
          <w:szCs w:val="16"/>
        </w:rPr>
        <w:t>2 июля 1931 г. в НТК ВОХИМУ состоялось совещание по вопросам уточнения ТТТ к крупнокалиберному газоминомету, на котором был представлен доклад А. М. Талакина и содоклад Н. А. Доровлева о перспективах ввода на вооружение 165-мм химического миномета. В результате прений было принято решение о необходимости наличия в рамках оснащения РККА химическим вооружением как мощного газоминомета, так и легкого химического миномета типа Стокса. Кроме этого, указывалось на необходимость «химизировать все системы минометов, принимаемых на вооружение».367 (20074).</w:t>
      </w:r>
    </w:p>
    <w:p w14:paraId="7D58EB8D" w14:textId="77777777" w:rsidR="006A772B" w:rsidRPr="005E779E" w:rsidRDefault="006A772B" w:rsidP="000B7A6C">
      <w:pPr>
        <w:autoSpaceDE w:val="0"/>
        <w:autoSpaceDN w:val="0"/>
        <w:adjustRightInd w:val="0"/>
        <w:spacing w:after="0" w:line="240" w:lineRule="auto"/>
        <w:jc w:val="both"/>
        <w:rPr>
          <w:rFonts w:ascii="Times New Roman" w:hAnsi="Times New Roman"/>
          <w:color w:val="000000" w:themeColor="text1"/>
          <w:sz w:val="16"/>
          <w:szCs w:val="16"/>
        </w:rPr>
      </w:pPr>
    </w:p>
    <w:p w14:paraId="2CE0D6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 июля 1931 года вышел приказ РВС СССР, согласно которому на восточной окраине Павлоградских хуторов был создан Павлоградский артиллерийский полигон для поведения контрольных испытаний боеприпасов и эта дата считается официальной датой создания полигона. На Украине потребовалось создать артиллерийский испытательный полигон для испытания боеприпасов, изготавливаемых на юге европейской части СССР. Распоряжением ГАУ РККА было утверждено место </w:t>
      </w:r>
      <w:r w:rsidRPr="005E779E">
        <w:rPr>
          <w:rFonts w:ascii="Times New Roman" w:hAnsi="Times New Roman"/>
          <w:color w:val="000000" w:themeColor="text1"/>
          <w:sz w:val="16"/>
          <w:szCs w:val="16"/>
        </w:rPr>
        <w:lastRenderedPageBreak/>
        <w:t xml:space="preserve">расположения полигона в районе г. Павлограда . В 1931 году для ознакомления с местностью и выбора трассы полигона в Павлоград прибыла группа военспецов, которая приняла окончательное решение. Место это было выбрано не случайно, близость таких промышленных центров как Донецк и Днепропетровск, пересечение автомобильных и железнодорожных магистралей в направлении с севера на юг и с запада на восток, облегчали доставку испытуемой продукции. " И вот нашли большое поле, есть разгуляться, где на воле. Построили:" артиллерийский полигон для испытания боеприпасов. Основное направление или азимут стрельбы было выбрано 156 градусов или по артиллерийским меркам двадцать шесть больших делений угломера (26-00), то есть близко к направлению север-юг. Столбы центральной директрисы трассы полигона протянулись длинной цепочкой по практически ровной, как стол украинской степи , пересекаемой неглубокими балками и редкими лесополосами. </w:t>
      </w:r>
    </w:p>
    <w:p w14:paraId="48A410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Выбранный рельеф местности позволял производить испытания боеприпасов всей имеющейся номенклатуры и проводить успешный поиск остатков снарядов при нештатном срабатывании (преждевременные разрывы на траектории, срыв ведущих поясков, недолеты и др.), что впоследствии блестяще подтвердилось на практике. Исходя из опыта посещения других арт. полигонов СССР, можно сказать , что на Павлоградском полигоне существовала одна из самых лучших трасс для поведения испытаний боеприпасов. Согласно утвержденных в 1931 году планов, Павлоградский арт. полигон должен был проводить испытания боеприпасов, производимых на предприятиях Украины, юга России и Кавказа. </w:t>
      </w:r>
    </w:p>
    <w:p w14:paraId="5923B7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Первым начальником полигона был назначен Маньков Фома Николаевич , командир полка РККА, герой гражданской войны, командир бронепоезда, возглавлявший ранее отдел на Ленинградском научно-исследовательском полигоне, который приложил много сил и энергии для строительства полигона и выполнения программы испытаний боеприпасов, которая уже в 1931 году составила 7500 выстрелов из различных артиллерийских орудий: 76-мм пушки обр.1900-1902 года, 122-мм гаубицы обр.1910 года , 107 -мм полевой пушки обр.1907 года, а также из 152-мм пушек и гаубиц.</w:t>
      </w:r>
    </w:p>
    <w:p w14:paraId="4A4169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Существовал острый дефицит кадров, особенно руководителей опытов (РО). В то время специалистов-испытателей боеприпасов не готовило ни одно высшее учебное заведение страны, специалисты, даже имеющее высшее образование, становились испытателями на полигоне спустя некоторое время , после приобретения определенного опыта. От них требовалась широта инженерных знаний и умение обобщать экспериментальный материал. Коллектив руководителей опытов формировался на Павлоградском артиллерийском полигоне. </w:t>
      </w:r>
    </w:p>
    <w:p w14:paraId="4A7952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то время весь состав специалистов полигона состоял из кадровых военных, только после Великой отечественной войны появились специалисты промышленности, со временем сменившие кадровых военных.</w:t>
      </w:r>
    </w:p>
    <w:p w14:paraId="2B61D4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1933 году на полигоне вводится аппарат военных представителей (военпредов)для контроля армии над качеством выпускаемой продукции, который существует и по сей день, на полигонах и промышленных предприятиях , выпускающих продукцию для армии.</w:t>
      </w:r>
    </w:p>
    <w:p w14:paraId="630EF4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Перед войной укрепляется испытательная база полигона, растут объемы испытаний. В 1934 году на полигоне были построены: снаряжательная лаборатория, жилые дома барачного типа, казарма, караульные помещения, пожарное депо, столовая, начато строительство 2-х жилых многоэтажных домов.</w:t>
      </w:r>
    </w:p>
    <w:p w14:paraId="4FD3CB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Один из плановых показателей работы полигона - количество выстрелов составил в 1939 году 122 тысячи выстрелов( в 1932 году всего 14 тысяч), а это примерно 10 тыс. выстрелов в месяц или 300 выстрелов в день, что характеризует работу полигона как весьма интенсивную. </w:t>
      </w:r>
    </w:p>
    <w:p w14:paraId="0B2272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Перед войной на полигоне была проведена огромная работа по испытанию стрельбой по железобетонным преградам, имитирующих фортификационные сооружения, первых образцов бетонобойных снарядов и взрывателей для 203 мм гаубицы большой мощности Б-4 образца 1938 года. Впервые гаубицы были практически применены в финскую войну 1940 года при прорыве укреплений линии Маннергейма глубиной в 40-50 км , а также с успехом использовались на фронтах Великой Отечественной войны в сражениях с немецко-фашистскими захватчиками. Остатки бетонных стенок , разрушенных бетонобойными снарядами до сих пор стоят в окрестностях полигона, поражая воображение гигантским объемом выполненных работ.</w:t>
      </w:r>
    </w:p>
    <w:p w14:paraId="4380B7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Накануне нападения фашистов, полигон полностью отвечал духу времени и успешно проводил испытания боеприпасов, в его состав входили следующие подразделения: цех подготовки орудий к стрельбам, цех подготовки боеприпасов, цех приема стрельб (поле), ремонтно-механический цех, отдел артиллерийских испытаний, отдел испытаний авиационных боеприпасов, баллистическая лаборатория, производственно-плановый отдел и другие. </w:t>
      </w:r>
    </w:p>
    <w:p w14:paraId="3BFB32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Перед самой войной инженер Харитон Митрофанович Лаврик , выяснил на Павлоградском полигоне причины систематических преждевременных разрывов снарядов, за что 21 июня 1941 года был представлен к правительственной награде и присвоению звания кандидата технических наук, однако начавшаяся война , перечеркнула все планы. Впоследствии, Х.М. Лаврик долгое время трудился над этой проблемой в НИМИ, заслуженно получил звание доктора технических наук , награжден многими правительственными наградами.</w:t>
      </w:r>
    </w:p>
    <w:p w14:paraId="2ECD75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Начало войны сложилось для промышленности боеприпасов исключительно неблагоприятно. Были захвачены многие предприятия , изготовлявшие боеприпасы.</w:t>
      </w:r>
    </w:p>
    <w:p w14:paraId="1B1AD1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первые месяцы войны до половины августа 1941 года на Павлоградском полигоне продолжают проводить испытания боеприпасов, но уже 17 августа был получен приказ об эвакуации полигона на станцию Чик, Новосибирской области, (в настоящее время там располагается НОЗИП).</w:t>
      </w:r>
    </w:p>
    <w:p w14:paraId="6EEA18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28 августа 1941 года эшелоны с эвакуируемым имуществом полигона и специалистами отправились в далекий путь, а уже 11 ноября немцы оккупировали Павлоград. В первой половине сентября эшелоны прибыли в назначенный пункт. Эвакуированное тяжелое оборудование разгружали вручную, работали круглосуточно, в любую погоду. </w:t>
      </w:r>
    </w:p>
    <w:p w14:paraId="25B844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Людей поселили в селе Прокудка , недалеко от станции. На новом месте было необходимо организовать с "нуля" испытания необходимых фронту снарядов при острой нехватке производственных площадей, жилья, рабочей силы. Сборочные цехи разместили в школе, клубе и бараках совхоза. Зима 1941-1942 годов была на редкость суровой с частыми метелями и буранами. Морозы достигали 35-40 градусов. Но воля и мужество эвакуированных работников полигона оказались крепче сибирских морозов. Вначале приступили к испытаниям 76 и 152-мм снарядов, изготавливаемых в г. Новосибирске, а в 1942 году Новосибирский полигон уже на полную мощность проводил испытания боеприпасов, которые привозили с 60-ти заводов Сибири, Дальнего Востока и Средней Азии.</w:t>
      </w:r>
    </w:p>
    <w:p w14:paraId="292B84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Работники Павлоградского полигона преодолели огромные трудности, связанные с эвакуацией в начале войны, внесли свой достойный вклад в обеспечение действующей армии первоклассными боеприпасами и победу над Германией. За героизм , проявленный в годы войны,185 работников полигона награждены высокими государственными наградами, в том числе орденами 71 человек: Ленина-1, Красного Знамени-4, Красной Звезды- 42, Отечественной войны-13, Славы-11. За свободу и независимость Родины отдали свои жизни 89 человек. Звания Героя Советского Союза удостоен (посмертно) Перехода И.С.</w:t>
      </w:r>
    </w:p>
    <w:p w14:paraId="0590D9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18 сентября 1943 года Павлоград был освобожден от немецко-фашистских оккупантов , а уже 23 сентября в освобожденный город прибыл начальник полигона Д.Я. Сергеев для восстановления полигона. </w:t>
      </w:r>
    </w:p>
    <w:p w14:paraId="20FA80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1944 году на Павлоградском полигоне были продолжены испытания боеприпасов для фронта.</w:t>
      </w:r>
    </w:p>
    <w:p w14:paraId="4524A9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1947 году в Павлоград была перебазирована из Крыма летно-испытательная станция (ЛИС), оснащенная самолетами ТУ-2, ПЕ-2, ИЛ-10, ПО-2 и начались испытания практическим бомбометанием фугасных авиабомб ФАБ-25, ФАБ-50, ФАБ-100, ФАБ-250,ФАБ-500 и ФАБ-1000, осветительных авиабомб, спускаемых на парашютах, зажигательных авиабомб ОЗАБ-500, различных типов взрывателей для авиабомб. Бомбометание осуществлялось с минимальной высоты 300 м и максимальной-12000 м.</w:t>
      </w:r>
    </w:p>
    <w:p w14:paraId="2A7C03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Испытывались прототипы кассетных авиабомб, снаряженных АО-10, АО-1сч, ПТАБ-2,5.На ЛИСе начинал свою карьеру Фунтиков А.Г.- впоследствии заместитель командующего РВСН СССР.</w:t>
      </w:r>
    </w:p>
    <w:p w14:paraId="729127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послевоенные годы на полигоне продолжаются испытания взрывателей , снарядов и зарядов к 203 мм гаубице Б-4, испытания из 240 мм миномета М-240, реактивных снарядов РС-21 для авиации, образцов реактивных снарядов к установке БМ-21 "Град", а также реактивных глубинных бомб РГБ-250, размещаемых на кораблях военно-морского флота для борьбы с подводными лодками. </w:t>
      </w:r>
    </w:p>
    <w:p w14:paraId="45B7D9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Приказом Минобщемаша СССР ? 250 от 07 сентября 1956 года Павлоградский артиллерийский полигон передается НИИ-24(НИМИ) для комплексной отработки артиллерийских выстрелов и организуется СКБ-10.</w:t>
      </w:r>
    </w:p>
    <w:p w14:paraId="3918F2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1956 года по 1961 год на полигоне проводятся испытания выстрелов с кумулятивными снарядами:</w:t>
      </w:r>
    </w:p>
    <w:p w14:paraId="0D1B54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к 76-мм горной пушке М-99;</w:t>
      </w:r>
    </w:p>
    <w:p w14:paraId="6C8FB5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к 85-мм пушкам Д-44 и ЗИС-53;</w:t>
      </w:r>
    </w:p>
    <w:p w14:paraId="60292E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к 152-мм гаубице-пушке образца 1937 года и гаубице образца 1943 года;</w:t>
      </w:r>
    </w:p>
    <w:p w14:paraId="26DB15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к 115-мм танковой пушке У-5ТС;</w:t>
      </w:r>
    </w:p>
    <w:p w14:paraId="3DC2AF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к 100-мм противотанковой пушке Т-12 и дивизионной пушке БС-3;</w:t>
      </w:r>
    </w:p>
    <w:p w14:paraId="70D267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Эти боеприпасы были сданы и приняты на вооружение.</w:t>
      </w:r>
    </w:p>
    <w:p w14:paraId="52C97E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Из сданных на вооружение образцов кумулятивных снарядов, два были боеприпасами нового поколения - это снаряды к гладкоствольным пушкам: танковой У-5ТС ("Молот") и противотанковой Т-12 ("Рапира"). </w:t>
      </w:r>
    </w:p>
    <w:p w14:paraId="17000C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1961 году на базе СКБ-10 разворачивается филиал ?2 ОКБ-586 для разработки тем НИР и ОКР, по разработке ракетных двигателей, затем в 1963 году, филиал ?2 ОКБ-586 преобразовывается в специализированный производственный объект СПО-8 и в 1966 году СПО-8 переименовывается в Павлоградский механический завод (ПМЗ), относящийся к Министерству общего машиностроения. В структуре ПМЗ артиллерийский полигон выделяется в состав отдельного подразделения (цех), выполняющего артиллерийские испытания, сборку арт. выстрелов и авиабомб по заказам Министерства Машиностроения [1]. </w:t>
      </w:r>
    </w:p>
    <w:p w14:paraId="77FF5A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Быстрыми темпами под руководством бессменного директора завода В.М.Шкуренко (1965-1995годы) развивается производство ракет и социальной инфраструктуры предприятия. Жилая площадь поселка достигла свыше 292 тыс. кв. метров, построено 14 точек общественного питания, комплекс магазинов, прачечная, дворец </w:t>
      </w:r>
      <w:r w:rsidRPr="005E779E">
        <w:rPr>
          <w:rFonts w:ascii="Times New Roman" w:hAnsi="Times New Roman"/>
          <w:color w:val="000000" w:themeColor="text1"/>
          <w:sz w:val="16"/>
          <w:szCs w:val="16"/>
        </w:rPr>
        <w:lastRenderedPageBreak/>
        <w:t>культуры машиностроителей, спортивный зал с гимнастическим и игровым залом, стадион, крытый плавательный бассейн, больница, четыре общежития, гостиница , музыкальная школа, профилакторий, детский оздоровительный лагерь "Лесной", семь детских комбинатов, две новые школы на 1296 мест каждая.</w:t>
      </w:r>
    </w:p>
    <w:p w14:paraId="1A3115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Для строительства новых цехов были выделены необходимые площади на боевом поле полигона, которые застроили цехами , сооружениями и стендами для испытания двигателей на твердом топливе для межконтинентальных баллистических ракет. Последним достижением ракетной науки и техники в СССР явилось создание ракетного комплекса РТ-23 УТТХ ( по американской терминологии SS-24 'Scalpel'), стационарного ( шахтного) базирования(15Ж60) и железнодорожного(БЖРК) базирования(15Ж61), собираемого на ПМЗ. Укомплектованные БЖРК выезжали за ворота завода и направлялись на боевое дежурство , стуча колесами по стыкам рельс необъятной паутины железных дорог СССР. Не имеющий аналогов в отечественном и мировом ракетостроении, ракетный комплекс характеризовался высокой боевой эффективностью и выживаемостью за счет мобильности, наличия автономной системы навигации, постоянной готовности к боевому применению. Эта тема освещена в книге, выпущенной в 2001 году[2]. </w:t>
      </w:r>
    </w:p>
    <w:p w14:paraId="681973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развалом СССР часть ракетных комплексов была передана России, где они еще стоят на боевом дежурстве: три ракетных дивизии (на станции Василёк под Костромой, на станции Гладкая близ Красноярска и станции Бершеть Пермской области) в составе 12 полков-поездов , оснащенных 36 ракетными комплексами с ракетами РС-22В, каждая с десятью боезарядами мощностью по 550 кт.</w:t>
      </w:r>
    </w:p>
    <w:p w14:paraId="3371C8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связи с истечением гарантийного срока хранения предполагается начать ликвидацию ракет и пусковых установок на базе утилизации в Брянске.</w:t>
      </w:r>
    </w:p>
    <w:p w14:paraId="2F1940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соответствии с договором СНВ-2, на Украине уже проведена утилизация ракетных комплексов РТ-23 УТТХ , ракеты разобраны на составные части. По иронии судьбы, работа по разборке ракет производилась с участием американских наблюдателей , для их страны в первую очередь и создавались эти изделия. Американские представители , контролировавшие уничтожение ракетных комплексов как боевых единиц, выполнили свою работу и вернулись в США, оставив город один на один с топливом, утилизировать которое как, предполагалось ранее, они не решились 'из-за технических рисков'. </w:t>
      </w:r>
    </w:p>
    <w:p w14:paraId="76D742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'Sic transit gloria mundi'-' Так проходит слава мира'. Останки некогда грозных 'Скальпелей', предназначенных для вспарывания систем ракетной обороны и органов управления потенциального противника , в виде 56 ступеней взрывопожароопасного и токсичного хлама общей массой 5000 тонн хранятся на территории г. Павлограда.</w:t>
      </w:r>
    </w:p>
    <w:p w14:paraId="3B0EB1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Вечный вопрос 'Что делать?' и 'Кто виноват?', не дает спокойно спать жителям г. Павлограда , несмотря на бодрые увещевания представителей власти.</w:t>
      </w:r>
    </w:p>
    <w:p w14:paraId="3DC37E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Но это отдельная история. </w:t>
      </w:r>
    </w:p>
    <w:p w14:paraId="0FCEA0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1964 году испытательную площадку полигона перенесли вперед ,на значительное удаление от жилого поселка , производственных цехов и испытательных стендов , где проводилась сборка и испытания ракетных комплексов. Позднее на испытательной площадке были построены защитные сооружения (траверсы) с оборудованными огневыми позициями, бронетир для испытания бронеплит и бронебойных снарядов, и все необходимые здания и сооружения для проведения артиллерийских испытаний. Вместе с тем , трасса полигона была значительно уменьшена, что уже не позволяло проводить испытания боеприпасов нового поколения стрельбой на максимальную дальность. </w:t>
      </w:r>
    </w:p>
    <w:p w14:paraId="04F822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Период с 1970-го года по 1990-й год был одним из самых "урожайных" периодов для развития артиллерийской науки и техники по количеству сданных на вооружение Советской Армии образцов артиллерии и боеприпасов: </w:t>
      </w:r>
    </w:p>
    <w:p w14:paraId="3E539E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вооружение поступают новые орудия, такие как противотанковая 100 мм Т-12, танковые 115мм У-5ТС и Д68, 125 мм 2А26 и 2А46,полевые орудия 152 мм Д20, 152мм 2А36 и 2А65 и др. , боеприпасы к которым испытываются на Павлоградском полигоне. Осваиваются новые виды испытаний инженерных боеприпасов УЗП-77 и УЗП-83,отрабатываются образцы систем динамической и активной защиты бронетехники и многое другое. Проводятся испытания по темам НИР и ОКР ведущих институтов разработчиков боеприпасов и артиллерийских систем : НИМИ , НИИстали , НИИТрансмаш , ОКБ-9 ("Уралмаш"), ОАО "Мотовилихинские заводы", ФУГП "НИИ Поиск"(НИИ-22), НПО "Базальт" (ГСКБ - 47), ФГУП КНИИМ, ГУП ГНПП "Сплав" (НИИ-7), и др. Поддерживаются тесные связи с НИИ "Геодезия", НТИИМ, НОЗИП, ЧОЗИП, в/ч 33491, испытываются боеприпасы основных заводов -изготовителей : Донецкого ПО "Точмаш" и ДЗРХИ.</w:t>
      </w:r>
    </w:p>
    <w:p w14:paraId="28EF80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период с 1970 по 1990 год непосредственное руководство полигоном осуществляли: Замураев Г.В., Цималый Т.М., Любивый В.И , Иванов А.А. , Бессиный В.А.</w:t>
      </w:r>
    </w:p>
    <w:p w14:paraId="071213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Растет сборка кассетных авиабомб, выбрасывающих зарядов для торпедных аппаратов, выстрелов к 100 мм морскому автомату АК-100 (ЗИФ-91).</w:t>
      </w:r>
    </w:p>
    <w:p w14:paraId="5B9250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Казалось бы, что этому процессу развития систем вооружений не будет конца.</w:t>
      </w:r>
    </w:p>
    <w:p w14:paraId="1716A3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1991 году "трое ( Кравчук, Ельцин и Шушкевич) вышли из леса", принеся всем весть о расчленение сверхдержавы СССР на отдельные удельные княжества, где каждый из них стал сам "царь, бог и воинский начальник" и в один миг рухнул "колосс на глиняных ногах", который все годы прочно стоял в лидерах гонки по производству и продаже вооружений, устоял против фашистской агрессии , но не смог выдержать политических игр.</w:t>
      </w:r>
    </w:p>
    <w:p w14:paraId="5A8B1A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За годы независимости Украины , на Павлоградском полигоне производились испытания 125 мм танковых пушек КБА3 (аналог советской 2А46 ) , предназначенных для комплектации танков украинского производства Т-80УД и различных боеприпасов. </w:t>
      </w:r>
    </w:p>
    <w:p w14:paraId="25893D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Список литературы : </w:t>
      </w:r>
    </w:p>
    <w:p w14:paraId="1D0ED4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1.Статья " К 55-летию Великой Победы. Главный артиллерийский полигон", авторы: Владимир Окрепилов, Эдуард Борейша, Рем Михайлов </w:t>
      </w:r>
    </w:p>
    <w:p w14:paraId="5D04EC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2."Павлоградскому механическому заводу 70 лет. Краткие очерки по истории Павлоградского механического завода производственного объединения "ГП Южный машиностроительный завод имени А.М.Макарова.", составитель В.М.Льняной ,издательство " Пороги", г.Днепропетровск, 2001 год, ББК 63.3(2)7-24, П-12 </w:t>
      </w:r>
    </w:p>
    <w:p w14:paraId="2102CA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"НАУЧНО-ИССЛЕДОВАТЕЛЬСКИЙ МАШИНОСТРОИТЕЛЬНЫЙ ИНСТИТУТ( Н И М И ).СТРАНИЦЫ ИСТОРИИ,СОБЫТИЯ, ЛЮДИ.(1932 - 2002 гг.)"Автор - доктор технических наук, профессор Анатолий Анатольевич Каллистов. г.МОСКВА, 2002 год.УДК 061.5:93199.ББК 63.3 (2) 7-24.Т,021</w:t>
      </w:r>
    </w:p>
    <w:p w14:paraId="032F6C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D5E1C0F"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2E673C3A"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97E40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июля 1931 года состоялось совещание по предварительному рассмотрению сводок испытаний ДИЗ-М17 и И5-М15 N 4 от</w:t>
      </w:r>
    </w:p>
    <w:p w14:paraId="0B7201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По рассмотрению сводки испытаний самолета ДИЗ-М17 установлено:</w:t>
      </w:r>
    </w:p>
    <w:p w14:paraId="2FB079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Констатировать, что в отношении основных летных данных самолета за исключением времени серийных виражей существенных расхождений между результатами заводских испытаний и испытаний в НИИ - нет.</w:t>
      </w:r>
    </w:p>
    <w:p w14:paraId="204308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Итоговое заключение по самолету одобрить.</w:t>
      </w:r>
    </w:p>
    <w:p w14:paraId="46B219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По рассмотрению сводки испытаний самолета И5-М15 N 4 - постановлено.</w:t>
      </w:r>
    </w:p>
    <w:p w14:paraId="397A56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 по самолету И5-М15 N 4 одобрить.</w:t>
      </w:r>
    </w:p>
    <w:p w14:paraId="254466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Просить ЦКБ ускорить представление на испытание самолета И5-М15 как образцы для серии (3217,131-132).</w:t>
      </w:r>
    </w:p>
    <w:p w14:paraId="4C1189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7E108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июля 1931 г. проводились испытания бомбардировочного вооружения на сам. Р-6</w:t>
      </w:r>
    </w:p>
    <w:p w14:paraId="6F0518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w:t>
      </w:r>
    </w:p>
    <w:p w14:paraId="3185C2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Бомбардировочное вооружение самолета Р-6 в основном испытания выдержало (3208).</w:t>
      </w:r>
    </w:p>
    <w:p w14:paraId="73851F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504CC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июля 1931 г. проводились испытания стрелкового вооружения на сам. Р-нач. отделения летнабом Базенау</w:t>
      </w:r>
    </w:p>
    <w:p w14:paraId="34376C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w:t>
      </w:r>
    </w:p>
    <w:p w14:paraId="4D3B1B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Стрелковое вооружение самолета Р-6 в основном испытания выдержало (199-202,3208).</w:t>
      </w:r>
    </w:p>
    <w:p w14:paraId="6FA958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EC5ACA1" w14:textId="77777777" w:rsidR="00BB323F"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107C743C" w14:textId="77777777" w:rsidR="00BB323F" w:rsidRPr="005E779E" w:rsidRDefault="00BB323F"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183C9D0" w14:textId="77777777" w:rsidR="00BB323F" w:rsidRPr="005E779E" w:rsidRDefault="00BB323F" w:rsidP="000B7A6C">
      <w:pPr>
        <w:pStyle w:val="rtejustify"/>
        <w:spacing w:before="0" w:after="0"/>
        <w:rPr>
          <w:color w:val="000000" w:themeColor="text1"/>
          <w:sz w:val="16"/>
          <w:szCs w:val="16"/>
        </w:rPr>
      </w:pPr>
      <w:r w:rsidRPr="005E779E">
        <w:rPr>
          <w:rStyle w:val="af0"/>
          <w:i w:val="0"/>
          <w:color w:val="000000" w:themeColor="text1"/>
          <w:sz w:val="16"/>
          <w:szCs w:val="16"/>
        </w:rPr>
        <w:t>3 июля 1931 г. Протокол Реввоенсовета № 25.</w:t>
      </w:r>
      <w:r w:rsidRPr="005E779E">
        <w:rPr>
          <w:color w:val="000000" w:themeColor="text1"/>
          <w:sz w:val="16"/>
          <w:szCs w:val="16"/>
        </w:rPr>
        <w:t xml:space="preserve"> 1. Строительство нефтехранилищ для обеспечения мобпотребности РККА в горючем. (Егоров). 3. Результаты испытания опытных образцов авиабомб (Меженинов). 4. Состояние работ по самоходной артиллерии (Халепский). 6. Состояние работ по системе химвооружения (Фишман). 7. Результаты хранения порохов под водой (Казиницкий). 8. Доклад Осоавихима о проделанной работе (Малиновский, Семашко). (РГВА. Ф. 4. Оп. 18. Д. 21. Л. 2, 3) (12342).</w:t>
      </w:r>
    </w:p>
    <w:p w14:paraId="07E1E3E4" w14:textId="77777777" w:rsidR="00BB323F" w:rsidRPr="005E779E" w:rsidRDefault="00BB323F" w:rsidP="000B7A6C">
      <w:pPr>
        <w:pStyle w:val="rtejustify"/>
        <w:spacing w:before="0" w:after="0"/>
        <w:rPr>
          <w:color w:val="000000" w:themeColor="text1"/>
          <w:sz w:val="16"/>
          <w:szCs w:val="16"/>
        </w:rPr>
      </w:pPr>
    </w:p>
    <w:p w14:paraId="7FF0658F"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447526F2"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D63DF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3 и 10 июля 1931. Из протокола заседания Политбюро № 46, 1931 г.</w:t>
      </w:r>
    </w:p>
    <w:p w14:paraId="5B80B1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 взаимоотношениях между руководящими работниками железнодорожного транспорта</w:t>
      </w:r>
    </w:p>
    <w:p w14:paraId="73394E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Принять следующее постановление от имени ЦК и разослать его секретарям крайкомов и обкомов, начальникам и парторганизаторам железных дорог. </w:t>
      </w:r>
    </w:p>
    <w:p w14:paraId="787F3D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Пленум Центрального Комитета ВКП(б) наметил огромные задачи перед железнодорожным транспортом как для подготовки к осенне-зимним перевозкам, так и для проведения коренной реконструкции. </w:t>
      </w:r>
    </w:p>
    <w:p w14:paraId="445875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 xml:space="preserve">Достигнутое за последний период улучшение работы по дорогам является еще совершенно недостаточным и не обеспечивает роста перевозок в соответствии с потребностями народного хозяйства. Пленум ЦК дал боевые задания, выполнение которых является основной задачей всех транспортников, и в первую очередь руководящего состава работников транспорта. </w:t>
      </w:r>
    </w:p>
    <w:p w14:paraId="10AA16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Между тем среди руководящего состава работников транспорта за последнее время нет должного единства. Назначение на ряд ответственных должностей (директоров дорог, начальников управлений, начальников районов и т. п.) работников промышленности было встречено некоторой частью комсостава из числа старых железнодорожников выражением им недоверия и истолковано как начало оттирания старых кадров железнодорожников с руководящих постов на транспорте. Такие настроения, являясь проявлением чуждых большевизму узкоцеховых настроений, сохранились до сих пор на транспорте. </w:t>
      </w:r>
    </w:p>
    <w:p w14:paraId="681EA4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то же время оживление этих непартийных настроений в известной мере объясняется тем, что некоторые руководящие работники промышленности из числа откомандированных на транспортную работу не всегда достаточно внимательно и чутко относятся к старым железнодорожникам. За последнее время эти настроения стали принимать недопустимые формы двух ориентаций на транспорте: на железнодорожников и "промышленников" как в аппарате НКПС, так и на дорогах... ЦК предупреждает, что всякого рода разговоры и действия, направленные к противопоставлению бывших работников промышленности железнодорожным и наоборот, будут рассматриваться как антипартийные дезорганизаторские действия (11652).</w:t>
      </w:r>
    </w:p>
    <w:p w14:paraId="7A9EB5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5AEFA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3 и 10 июля 1931. Из протокола заседания Политбюро № 47, 1931 г.</w:t>
      </w:r>
    </w:p>
    <w:p w14:paraId="14BFE3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Мероприятия к обеспечению целости перевозки тракторов, автомобилей и их частей </w:t>
      </w:r>
    </w:p>
    <w:p w14:paraId="20806D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 При перевозке тракторов и автомобилей на платформах производить отправку их партиями с обязательным сопровождением проводником, ответственным за целость тракторов, автомобилей и их частей... </w:t>
      </w:r>
    </w:p>
    <w:p w14:paraId="7A04D1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 При перевозке малых партий, отправляемых без проводника, грузить трактора в крытые вагоны, не допуская туда погрузки каких-либо других посторонних грузов. </w:t>
      </w:r>
    </w:p>
    <w:p w14:paraId="25E0E1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При одиночных отправках, которые производить по возможности в крытых вагонах, снимать легко похищаемые части, упаковывая их в отдельные ящики. При каждом тракторе или автомобиле должен быть прикреплен ярлык, указывающий количество следующих ящиков (11652).</w:t>
      </w:r>
    </w:p>
    <w:p w14:paraId="3F39FF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F1313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3 и 10 июля 1931. Из протокола заседания Политбюро № 49, 1931 г.</w:t>
      </w:r>
    </w:p>
    <w:p w14:paraId="09ED50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 перевозочных средствах для совхозов</w:t>
      </w:r>
    </w:p>
    <w:p w14:paraId="7045D5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Поручить т. т. Яковлеву и Тухачевскому договориться о немедленном использовании 600 военных грузовиков на время вывоза хлеба из зерносовхозов и представить свои предложения к 15 июля на Политбюро (11652).</w:t>
      </w:r>
    </w:p>
    <w:p w14:paraId="422648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1B8F6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3 и 10 июля 1931. Из протокола заседания Политбюро № 47, 1931 г.</w:t>
      </w:r>
    </w:p>
    <w:p w14:paraId="3FD375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 "реформе" русского алфавита</w:t>
      </w:r>
    </w:p>
    <w:p w14:paraId="2E4963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Ввиду продолжающихся попыток "реформы" русского алфавита (см. извещение об итогах всесоюзного совещания орфографистов в "Вечерней газете" от 29 июня), создающих угрозу бесплодной и пустой растраты сил и средств государства, ЦК ВКП(б) постановляет: </w:t>
      </w:r>
    </w:p>
    <w:p w14:paraId="506B7D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 Воспретить всякую "реформу" и "дискуссию о реформе" русского алфавита. </w:t>
      </w:r>
    </w:p>
    <w:p w14:paraId="46B722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Возложить на НКПрос РСФСР тов. Бубнова ответственность за исполнение этого постановления (11652).</w:t>
      </w:r>
    </w:p>
    <w:p w14:paraId="7AAD9E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19A0920"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3D5CF64E"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261D4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июля 1931 л Б.Местон на Р-5 впервые доставил матрицы Правды из Москвы в Харьков (1771,5).</w:t>
      </w:r>
    </w:p>
    <w:p w14:paraId="6E23B9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B9FB1DA" w14:textId="77777777" w:rsidR="006F5850" w:rsidRPr="005E779E" w:rsidRDefault="006F58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4 июля</w:t>
      </w:r>
      <w:r w:rsidRPr="005E779E">
        <w:rPr>
          <w:rFonts w:ascii="Times New Roman" w:hAnsi="Times New Roman"/>
          <w:color w:val="000000" w:themeColor="text1"/>
          <w:sz w:val="16"/>
          <w:szCs w:val="16"/>
        </w:rPr>
        <w:t xml:space="preserve"> в 1931 году первый полет с матрицами газеты «Правда» по маршруту Москва-Харьков выполнил Б.Местон на разведчике-биплане </w:t>
      </w:r>
      <w:hyperlink r:id="rId142" w:tgtFrame="_blank" w:history="1">
        <w:r w:rsidRPr="005E779E">
          <w:rPr>
            <w:rFonts w:ascii="Times New Roman" w:hAnsi="Times New Roman"/>
            <w:color w:val="000000" w:themeColor="text1"/>
            <w:sz w:val="16"/>
            <w:szCs w:val="16"/>
          </w:rPr>
          <w:t xml:space="preserve">«Р-5» </w:t>
        </w:r>
      </w:hyperlink>
      <w:r w:rsidRPr="005E779E">
        <w:rPr>
          <w:rFonts w:ascii="Times New Roman" w:hAnsi="Times New Roman"/>
          <w:color w:val="000000" w:themeColor="text1"/>
          <w:sz w:val="16"/>
          <w:szCs w:val="16"/>
        </w:rPr>
        <w:t>Поликарпова (14942).</w:t>
      </w:r>
    </w:p>
    <w:p w14:paraId="6876D76D" w14:textId="77777777" w:rsidR="006F5850" w:rsidRPr="005E779E" w:rsidRDefault="006F5850" w:rsidP="000B7A6C">
      <w:pPr>
        <w:spacing w:after="0" w:line="240" w:lineRule="auto"/>
        <w:jc w:val="both"/>
        <w:rPr>
          <w:rFonts w:ascii="Times New Roman" w:hAnsi="Times New Roman"/>
          <w:color w:val="000000" w:themeColor="text1"/>
          <w:sz w:val="16"/>
          <w:szCs w:val="16"/>
        </w:rPr>
      </w:pPr>
    </w:p>
    <w:p w14:paraId="693DEE27" w14:textId="77777777" w:rsidR="00E44EE2" w:rsidRPr="00142305" w:rsidRDefault="00E44EE2" w:rsidP="00E44EE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4 июля 1932 года Совет Труда и Обороны поручил проектирование и строительство нового многоцелевого самолета — замены Р-5, получившего название “войскового” коллективу Харьковского авиационного завода опытного и серийного самолетостроения (ХАЗОСС) во главе с директором и главным конструктором К. А. Калининым (25251).</w:t>
      </w:r>
    </w:p>
    <w:p w14:paraId="07E62DEE" w14:textId="77777777" w:rsidR="00E44EE2" w:rsidRPr="00142305" w:rsidRDefault="00E44EE2" w:rsidP="00E44EE2">
      <w:pPr>
        <w:spacing w:after="0" w:line="240" w:lineRule="auto"/>
        <w:jc w:val="both"/>
        <w:rPr>
          <w:rFonts w:ascii="Times New Roman" w:hAnsi="Times New Roman"/>
          <w:color w:val="0070C0"/>
          <w:sz w:val="16"/>
          <w:szCs w:val="16"/>
        </w:rPr>
      </w:pPr>
    </w:p>
    <w:p w14:paraId="32336B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июля 1931 года на городской окраине Новосибирска, Каменской площадке, состоялся митинг, посвященный закладке завода горного оборудования - будущего завода № 153. Вот как, по свидетельству очевидца и участника тех событий Ивана Дениченко, происходило это знаменательное событие. «...Утром 4 июля 1931 года от крыльца Западно-Сибирской юридической школы двинулась колонна из 350 человек - будущих правоведов и присоединившихся к ним студентов учительского института и школы кооперации - по направлению к месту на окраине Новосибирска, где заканчивалось Каменское шоссе». Впереди несли транспарант «Построим сибирский гигант черной металлургии - Новосибирский завод горного оборудования!» (10764).</w:t>
      </w:r>
    </w:p>
    <w:p w14:paraId="79B7C2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9BE5645"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360049E4"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41F8B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июля 1931 СССР получил от фирмы Виккерс 15 двухбашенных пулеметных танков, которые потом стали Т-26, заказанных 28 мая 1930. Также как М.1930 этот танк приглянулся комиссии И.А.Халепского, которая подбирала машины под Систему танково-тракторно-авто-броневооружения РККА, разработанную в 1929. Его приняли на вооружение 13 февраля 1931 вместе с Т-27. С 1931 по 1941 сделали 12 тыс. 23 модификаций (1127,9).</w:t>
      </w:r>
    </w:p>
    <w:p w14:paraId="094493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6C9E1F7"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29EE99D2"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18FE60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июля 1931 года и.о. начальника 2-го отдела Горощенко в ОООГПУ Розову (6948).</w:t>
      </w:r>
    </w:p>
    <w:p w14:paraId="4877909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Доклад о состоянии опытного самолета ШОН БМВ VI Е=7,3</w:t>
      </w:r>
    </w:p>
    <w:p w14:paraId="2DF32E6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штурмовик особого назначения выпущенный заводом № 39 по собственной инициативе ЦКБ 39 завода и в план опытного самолетостроения ВВС не входит.</w:t>
      </w:r>
    </w:p>
    <w:p w14:paraId="6548D43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Назначение и применение</w:t>
      </w:r>
    </w:p>
    <w:p w14:paraId="3601A91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замыслу конструкторов самолет предназначен для поражения живых целей. Имеет сильное вооружение: 4 пулемета с обстрелом вниз и вперед и один пулемет для обстрела сферы под хвостом и назад.</w:t>
      </w:r>
    </w:p>
    <w:p w14:paraId="78C13EF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Схема конструкции</w:t>
      </w:r>
    </w:p>
    <w:p w14:paraId="2899282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2-х местный нормальный биплан с двумя отворачивающимися назад вдоль фюзеляжа полукоробками крыльев. Крылья деревянной 2-х лонжеронной конструкции с полотняным покрытием.</w:t>
      </w:r>
    </w:p>
    <w:p w14:paraId="16A6306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Фюзеляж из стальных сварных углеродистых труб с поперечными проволочными расчалками. Покрыт от кабины до конца фюзеляжа полотном.</w:t>
      </w:r>
    </w:p>
    <w:p w14:paraId="009C40F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ШОН является модифицированным ТШ2 – полубронированный. Забронированы только места сидения летчика и стрелка, предохраняя последних от попадания пуль сзади, снизу и частично с боков.</w:t>
      </w:r>
    </w:p>
    <w:p w14:paraId="0574A07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p w14:paraId="663BD3A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самолете установлены в кабине стрелка 4 пулемета ПВ1 и к ним 3000 штук патрон для обстрела нижней полусферы вперед и один пулемет Дегтярева с 300 штук патрон для обстрела нижней полусферы назад под хвост. Пятый пулемет Дегтярева будет иметь возможность в случае необходимости устанавливаться на шкворне для защиты верхней полусферы.</w:t>
      </w:r>
    </w:p>
    <w:p w14:paraId="2034D49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Наряду со стрелковым вооружением в фюзеляже имеются кассетные бомбодержатели с расчетом на 200 кг бомб за счет перегрузки.</w:t>
      </w:r>
    </w:p>
    <w:p w14:paraId="25CCBB0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Управление огнем 4-х передних пулеметов сосредоточено у летчика, пятым пулеметом у стрелка.</w:t>
      </w:r>
    </w:p>
    <w:p w14:paraId="3A2F3C3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настоящее время самолет в стадии заводских испытаний. Совершено около 10 полетов (6948, 298-300).</w:t>
      </w:r>
    </w:p>
    <w:p w14:paraId="41266A9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D4F84D" w14:textId="77777777" w:rsidR="006F5850" w:rsidRPr="005E779E" w:rsidRDefault="006F58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июля 1931</w:t>
      </w:r>
    </w:p>
    <w:p w14:paraId="7A46980E" w14:textId="77777777" w:rsidR="006F5850" w:rsidRPr="005E779E" w:rsidRDefault="006F58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ПОСТАНОВЛЕНИЕ бюро ячейки ВКП(б) з-да 39 им. Менжинского от 5/7 31 г.</w:t>
      </w:r>
    </w:p>
    <w:p w14:paraId="01445B7C" w14:textId="77777777" w:rsidR="006F5850" w:rsidRPr="005E779E" w:rsidRDefault="006F58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Присутствовало 27 ч.</w:t>
      </w:r>
    </w:p>
    <w:p w14:paraId="3676440B" w14:textId="77777777" w:rsidR="006F5850" w:rsidRPr="005E779E" w:rsidRDefault="006F58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СПИСОК ЛИЦ ПРЕДСТАВЛЕННЫХ К ОРДЕНУ ЛЕНИНА ЗАВОДА 39.</w:t>
      </w:r>
    </w:p>
    <w:p w14:paraId="721D22FA" w14:textId="77777777" w:rsidR="006F5850" w:rsidRPr="005E779E" w:rsidRDefault="006F58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Горянов Анатолий Георгиевич</w:t>
      </w:r>
    </w:p>
    <w:p w14:paraId="62D3B2F9" w14:textId="77777777" w:rsidR="006F5850" w:rsidRPr="005E779E" w:rsidRDefault="006F58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Голосовали – единогласно.</w:t>
      </w:r>
    </w:p>
    <w:p w14:paraId="6E85F8DC" w14:textId="77777777" w:rsidR="006F5850" w:rsidRPr="005E779E" w:rsidRDefault="006F58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Прокофьев Г.Е. (ЭКУ ОГПУ)</w:t>
      </w:r>
    </w:p>
    <w:p w14:paraId="24A8FA2C" w14:textId="77777777" w:rsidR="006F5850" w:rsidRPr="005E779E" w:rsidRDefault="006F58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Голосовали – единогласно.</w:t>
      </w:r>
    </w:p>
    <w:p w14:paraId="01923358" w14:textId="77777777" w:rsidR="006F5850" w:rsidRPr="005E779E" w:rsidRDefault="006F58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3. Пауфлер Николай Евгеньевич – член ВКП(б) с 1917г. Имеет взыскание от ЦКК, 18/V 30 – выговор за непринятие мер к выполнению постановлений ЦКК. Переброшен на низовую работу. Полномочный представитель РВС на Южфронте. Комиссар Самарского совдепа. Был за границей в командировке с 1925 по 1930 гг. Мещанин. Сейчас директор завода.</w:t>
      </w:r>
    </w:p>
    <w:p w14:paraId="60C863C6" w14:textId="77777777" w:rsidR="006F5850" w:rsidRPr="005E779E" w:rsidRDefault="006F58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Голосовали – единогласно.</w:t>
      </w:r>
    </w:p>
    <w:p w14:paraId="02A8949A" w14:textId="77777777" w:rsidR="006F5850" w:rsidRPr="005E779E" w:rsidRDefault="006F58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Евстигнеев Сергей Осипович - член ВКП(б) с 1919 года. Рабочий - выдвиженец. Ударник. Рабочий стаж 25 лет. Был директором завода № 39 с 1928 по 1931 год.</w:t>
      </w:r>
    </w:p>
    <w:p w14:paraId="18598594" w14:textId="77777777" w:rsidR="006F5850" w:rsidRPr="005E779E" w:rsidRDefault="006F58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Голосовали – единогласно.</w:t>
      </w:r>
    </w:p>
    <w:p w14:paraId="3D6649FF" w14:textId="77777777" w:rsidR="006F5850" w:rsidRPr="005E779E" w:rsidRDefault="006F58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Клевцов Петр Александрович - член ВКП(б) с 1919 года. Пом. директора завода. Служащий. Ударник. На заводе с 1929 года. 11 лет служил в Красной Армии, был на фронтах.</w:t>
      </w:r>
    </w:p>
    <w:p w14:paraId="18319434" w14:textId="77777777" w:rsidR="006F5850" w:rsidRPr="005E779E" w:rsidRDefault="006F58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Голосовали – единогласно.</w:t>
      </w:r>
    </w:p>
    <w:p w14:paraId="410F5D31" w14:textId="77777777" w:rsidR="006F5850" w:rsidRPr="005E779E" w:rsidRDefault="006F58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Григорьев Василий Кириллович – член ВКП(б) с 1924 года. Рабочий-медник. Выдвинут на должность зав. мастерской в 1930 г. Был председателем завкома. Производственный стаж - 18 лет.</w:t>
      </w:r>
    </w:p>
    <w:p w14:paraId="0576F387" w14:textId="77777777" w:rsidR="006F5850" w:rsidRPr="005E779E" w:rsidRDefault="006F58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Голосовали – единогласно.</w:t>
      </w:r>
    </w:p>
    <w:p w14:paraId="3F692389" w14:textId="77777777" w:rsidR="006F5850" w:rsidRPr="005E779E" w:rsidRDefault="006F58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Петров Кирилл Александрович - б/партийный, конструктор, производственный стаж с 1925 года, служащий, сын купца II гильдии.</w:t>
      </w:r>
    </w:p>
    <w:p w14:paraId="3F852007" w14:textId="77777777" w:rsidR="006F5850" w:rsidRPr="005E779E" w:rsidRDefault="006F58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Голосовали – против 3.</w:t>
      </w:r>
    </w:p>
    <w:p w14:paraId="712A7D8A" w14:textId="77777777" w:rsidR="006F5850" w:rsidRPr="005E779E" w:rsidRDefault="006F58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Гневашев Семен Степанович – член ВКП(б) с 1924 года, рабочий, производственный стаж 28 лет, на заводе с 1919 года.</w:t>
      </w:r>
    </w:p>
    <w:p w14:paraId="061EFE8A" w14:textId="77777777" w:rsidR="006F5850" w:rsidRPr="005E779E" w:rsidRDefault="006F58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Голосовали – единогласно.</w:t>
      </w:r>
    </w:p>
    <w:p w14:paraId="6E179AB8" w14:textId="77777777" w:rsidR="006F5850" w:rsidRPr="005E779E" w:rsidRDefault="006F58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Бычков Василий Петрович – член ВКП(б) с 1925 года, производственный стаж 20 лет, рабочий, член завкома, на заводе с 1922 года.</w:t>
      </w:r>
    </w:p>
    <w:p w14:paraId="1A977397" w14:textId="77777777" w:rsidR="006F5850" w:rsidRPr="005E779E" w:rsidRDefault="006F58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Голосовали – единогласно.</w:t>
      </w:r>
    </w:p>
    <w:p w14:paraId="3F3A2D50" w14:textId="77777777" w:rsidR="006F5850" w:rsidRPr="005E779E" w:rsidRDefault="006F58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Нефедов Алексей Алексеевич – б/партийный, рабочий, медник, на заводе 4 года, производственный стаж 30 лет, член союза с 1923 года.</w:t>
      </w:r>
    </w:p>
    <w:p w14:paraId="35E93E83" w14:textId="77777777" w:rsidR="006F5850" w:rsidRPr="005E779E" w:rsidRDefault="006F58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Голосовали – единогласно.</w:t>
      </w:r>
    </w:p>
    <w:p w14:paraId="5010095F" w14:textId="77777777" w:rsidR="006F5850" w:rsidRPr="005E779E" w:rsidRDefault="006F58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Ермолаев Михаил Дмитриевич – б/партийный, рабочий, слесарь, на заводе с 1925 года, производственный стаж 13 лет, был летчиком в Гражданскую войну, имеет орден Красного знамени.</w:t>
      </w:r>
    </w:p>
    <w:p w14:paraId="12445CED" w14:textId="77777777" w:rsidR="006F5850" w:rsidRPr="005E779E" w:rsidRDefault="006F58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Голосовали – единогласно.</w:t>
      </w:r>
    </w:p>
    <w:p w14:paraId="63ADBAA6" w14:textId="77777777" w:rsidR="006F5850" w:rsidRPr="005E779E" w:rsidRDefault="006F58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Фурманов Михаил Петрович – член ВКП(б) с 1924 года, секретарь ячейки ВКП(б), рабочий, столяр, производственный стаж 9 лет, на заводе с 1921 года, член союза с 1921г.</w:t>
      </w:r>
    </w:p>
    <w:p w14:paraId="1ADE683F" w14:textId="77777777" w:rsidR="006F5850" w:rsidRPr="005E779E" w:rsidRDefault="006F58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Голосовали – единогласно.</w:t>
      </w:r>
    </w:p>
    <w:p w14:paraId="6151E89D" w14:textId="77777777" w:rsidR="006F5850" w:rsidRPr="005E779E" w:rsidRDefault="006F58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Пионтковский Юлиан Иванович – б/партийный, летчик-сдатчик, производственный стаж 10 лет, на заводе с 1929 года, до завода был в Красной Армии, по общественной работе работает в ОСОАВИАХИМЕ.</w:t>
      </w:r>
    </w:p>
    <w:p w14:paraId="1E55C3ED" w14:textId="77777777" w:rsidR="006F5850" w:rsidRPr="005E779E" w:rsidRDefault="006F58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Голосовали – единогласно.</w:t>
      </w:r>
    </w:p>
    <w:p w14:paraId="5B4A1C5C" w14:textId="77777777" w:rsidR="006F5850" w:rsidRPr="005E779E" w:rsidRDefault="006F58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Крючков Иван Егорович – член ВКП(б) с 1924 года, Член союза с 1921 г., на заводе 7 лет, красногвардеец.</w:t>
      </w:r>
    </w:p>
    <w:p w14:paraId="452ED747" w14:textId="77777777" w:rsidR="006F5850" w:rsidRPr="005E779E" w:rsidRDefault="006F58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Голосовали – единогласно.</w:t>
      </w:r>
    </w:p>
    <w:p w14:paraId="3105A12D" w14:textId="77777777" w:rsidR="006F5850" w:rsidRPr="005E779E" w:rsidRDefault="006F58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Можейко Владимир Иосифович – член ВКП(б) с 1924 г., рабочий, слесарь, производственный стаж 16 лет, на заводе с 1919 года.</w:t>
      </w:r>
    </w:p>
    <w:p w14:paraId="400501C8" w14:textId="77777777" w:rsidR="006F5850" w:rsidRPr="005E779E" w:rsidRDefault="006F58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Голосовали - против 8.</w:t>
      </w:r>
    </w:p>
    <w:p w14:paraId="1B22259B" w14:textId="77777777" w:rsidR="006F5850" w:rsidRPr="005E779E" w:rsidRDefault="006F58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 Щеголев Василий Васильевич – член ВКП(б) с 1924 г., рабочий, слесарь, производственный стаж 20 лет, на заводе с 1929 года, чл. союза с 1920, был 6 лет в плену.</w:t>
      </w:r>
    </w:p>
    <w:p w14:paraId="08097DE2" w14:textId="77777777" w:rsidR="006F5850" w:rsidRPr="005E779E" w:rsidRDefault="006F58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Голосовали – единогласно.</w:t>
      </w:r>
    </w:p>
    <w:p w14:paraId="6F2F0105" w14:textId="77777777" w:rsidR="006F5850" w:rsidRPr="005E779E" w:rsidRDefault="006F58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 Красавин Петр Иванович – член ВКП(б) с 1924 года, рабочий, медник, производственный стаж 15 лет, на заводе с 1930 года, председатель цехкома.</w:t>
      </w:r>
    </w:p>
    <w:p w14:paraId="79470650" w14:textId="77777777" w:rsidR="006F5850" w:rsidRPr="005E779E" w:rsidRDefault="006F58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Голосовали - против 1.</w:t>
      </w:r>
    </w:p>
    <w:p w14:paraId="34CA21AD" w14:textId="77777777" w:rsidR="006F5850" w:rsidRPr="005E779E" w:rsidRDefault="006F58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Таенков Дмитрий Николаевич – б/партийный, рабочий, токарь, на заводе 16 лет, производственный стаж 28 лет, член союза с 1917 года.</w:t>
      </w:r>
    </w:p>
    <w:p w14:paraId="497AB201" w14:textId="77777777" w:rsidR="006F5850" w:rsidRPr="005E779E" w:rsidRDefault="006F58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Голосовали – единогласно.</w:t>
      </w:r>
    </w:p>
    <w:p w14:paraId="030BA722" w14:textId="77777777" w:rsidR="006F5850" w:rsidRPr="005E779E" w:rsidRDefault="006F58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 Лившиц В.З. – б/партийный, рабочий, медник, производственный стаж 35 лет, на заводе 10 лет, член союза.</w:t>
      </w:r>
    </w:p>
    <w:p w14:paraId="711783DD" w14:textId="77777777" w:rsidR="006F5850" w:rsidRPr="005E779E" w:rsidRDefault="006F58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Голосовали – против 4.</w:t>
      </w:r>
    </w:p>
    <w:p w14:paraId="2E2A9E30" w14:textId="77777777" w:rsidR="006F5850" w:rsidRPr="005E779E" w:rsidRDefault="006F58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Башин Федор Федорович – член ВКП(б) с 1919 года, секретарь ячейки ВКП(б), рабочий, столяр, производственный стаж 15 лет, на заводе с 1926 года.</w:t>
      </w:r>
    </w:p>
    <w:p w14:paraId="34036D62" w14:textId="77777777" w:rsidR="006F5850" w:rsidRPr="005E779E" w:rsidRDefault="006F58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Голосовали – единогласно.</w:t>
      </w:r>
    </w:p>
    <w:p w14:paraId="02880932" w14:textId="77777777" w:rsidR="006F5850" w:rsidRPr="005E779E" w:rsidRDefault="006F58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 Рафаэлянц Арам Назарович – член ВКП(б) с 1920 года, инженер-конструктор.Производственный стаж в авиации 15 лет, на заводе 4 года.</w:t>
      </w:r>
    </w:p>
    <w:p w14:paraId="37D5664E" w14:textId="77777777" w:rsidR="006F5850" w:rsidRPr="005E779E" w:rsidRDefault="006F58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Голосовали – единогласно.</w:t>
      </w:r>
    </w:p>
    <w:p w14:paraId="10C29F73" w14:textId="77777777" w:rsidR="006F5850" w:rsidRPr="005E779E" w:rsidRDefault="006F58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 Бухгольц Бенедикт Леонович, летчик–сдатчик, производственный стаж летчика 8 лет, на заводе с 1929 года.</w:t>
      </w:r>
    </w:p>
    <w:p w14:paraId="156BB27B" w14:textId="77777777" w:rsidR="006F5850" w:rsidRPr="005E779E" w:rsidRDefault="006F58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Голосовали – единогласно.</w:t>
      </w:r>
    </w:p>
    <w:p w14:paraId="5FAAD8E5" w14:textId="77777777" w:rsidR="006F5850" w:rsidRPr="005E779E" w:rsidRDefault="006F58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Романцов Иван Сергеевич – член ВКП(б) с 1924 года, мастер цеха, рабочий, столяр, производственный стаж 15 лет, на заводе с 1923 года, был за границей в 1923 году.</w:t>
      </w:r>
    </w:p>
    <w:p w14:paraId="384FBC95" w14:textId="77777777" w:rsidR="006F5850" w:rsidRPr="005E779E" w:rsidRDefault="006F58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Голосовали – против 3.</w:t>
      </w:r>
    </w:p>
    <w:p w14:paraId="66026F7A" w14:textId="77777777" w:rsidR="006F5850" w:rsidRPr="005E779E" w:rsidRDefault="006F58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 Иванов Иван Дмитриевич – член ВКП(б) с 1924 года, парт. взысканий нет, ударник, выдвиженец, и.о. зав. производственным отделом, рабочий, моторист, производственный стаж 13 лет, на заводе 13 лет, член союза с 1918 года.</w:t>
      </w:r>
    </w:p>
    <w:p w14:paraId="067B82E0" w14:textId="77777777" w:rsidR="006F5850" w:rsidRPr="005E779E" w:rsidRDefault="006F58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Голосовали – против 9.</w:t>
      </w:r>
    </w:p>
    <w:p w14:paraId="4B587FE6" w14:textId="77777777" w:rsidR="006F5850" w:rsidRPr="005E779E" w:rsidRDefault="006F58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Представить к ордену Ленина комсомольскую бригаду Фридмана. Первая бригада, перешедшая на хозрасчет. Показала положительные результаты. По примеру их организовалось шесть бригад, две также перешли на хозрасчет. Прогулов и брака нет, снизили нормы на 20%. Полуторамесячное задание выполнили за один месяц. Все участвуют в общественной жизни, по займу перечислили 170 % месячного заработка.</w:t>
      </w:r>
    </w:p>
    <w:p w14:paraId="1D2F810F" w14:textId="77777777" w:rsidR="006F5850" w:rsidRPr="005E779E" w:rsidRDefault="006F58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Голосовали – единогласно (15223).</w:t>
      </w:r>
    </w:p>
    <w:p w14:paraId="4276E282" w14:textId="77777777" w:rsidR="006F5850" w:rsidRPr="005E779E" w:rsidRDefault="006F5850" w:rsidP="000B7A6C">
      <w:pPr>
        <w:spacing w:after="0" w:line="240" w:lineRule="auto"/>
        <w:jc w:val="both"/>
        <w:rPr>
          <w:rFonts w:ascii="Times New Roman" w:hAnsi="Times New Roman"/>
          <w:color w:val="000000" w:themeColor="text1"/>
          <w:sz w:val="16"/>
          <w:szCs w:val="16"/>
        </w:rPr>
      </w:pPr>
    </w:p>
    <w:p w14:paraId="65DC68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июля 1931 вышел приказ УВВС N 55-а:</w:t>
      </w:r>
    </w:p>
    <w:p w14:paraId="53A95B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 инженерами 6 отдела НИИ ВВС Кузнецовым и Павлючук сконструирован и испытан специальный отеплитель для подогрева моторов воздушного охлаждения перед запуском в зимнее время. Обогреватель обслуживает одновременно 4 мотора при температуре до -20 за 12-15 минут...</w:t>
      </w:r>
    </w:p>
    <w:p w14:paraId="233525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 3у УВВС реализовать означенное предложение в кратчайший срок с таким расчетом, чтобы первая серия отеплителей была готова к началу зимней учебы и разослана в части ВВС... (880).</w:t>
      </w:r>
    </w:p>
    <w:p w14:paraId="48ED0D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9335036" w14:textId="77777777" w:rsidR="00BB323F" w:rsidRPr="005E779E" w:rsidRDefault="00BB323F"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5 июля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Постановление СТО СССР № 137сс о переводе Всесоюзным объединением ГВФ денежных средств НКВМ в счет 12 млн. руб. (ГА РФ. Ф. Р?8418. Оп. 28. Д. 1а. Л. 36) (12415).</w:t>
      </w:r>
    </w:p>
    <w:p w14:paraId="50990CB2" w14:textId="77777777" w:rsidR="00BB323F" w:rsidRPr="005E779E" w:rsidRDefault="00BB323F" w:rsidP="000B7A6C">
      <w:pPr>
        <w:spacing w:after="0" w:line="240" w:lineRule="auto"/>
        <w:jc w:val="both"/>
        <w:rPr>
          <w:rFonts w:ascii="Times New Roman" w:hAnsi="Times New Roman"/>
          <w:color w:val="000000" w:themeColor="text1"/>
          <w:sz w:val="16"/>
          <w:szCs w:val="16"/>
          <w:u w:color="002060"/>
        </w:rPr>
      </w:pPr>
    </w:p>
    <w:p w14:paraId="1A88E3C8"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июля 1931</w:t>
      </w:r>
    </w:p>
    <w:p w14:paraId="10971E57"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 49/15: О Нобиле</w:t>
      </w:r>
    </w:p>
    <w:p w14:paraId="1073A94E"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Решение — особая папка.</w:t>
      </w:r>
    </w:p>
    <w:p w14:paraId="4032C391"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Разрешить Нобиле въезд в СССР на 2½ месяца для поездки на “Малыгине” и консультации по дирижаблестроению с оплатой его работы в советской валюте.</w:t>
      </w:r>
    </w:p>
    <w:p w14:paraId="76856E49"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Выписки посланы:</w:t>
      </w:r>
    </w:p>
    <w:p w14:paraId="77E4D3D6"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Гольцману, Мессингу, Крестинскому.</w:t>
      </w:r>
    </w:p>
    <w:p w14:paraId="209FB98C"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(18124).</w:t>
      </w:r>
    </w:p>
    <w:p w14:paraId="2A9DECA1" w14:textId="77777777" w:rsidR="00962513" w:rsidRPr="005E779E" w:rsidRDefault="00962513" w:rsidP="000B7A6C">
      <w:pPr>
        <w:spacing w:after="0" w:line="240" w:lineRule="auto"/>
        <w:jc w:val="both"/>
        <w:rPr>
          <w:rFonts w:ascii="Times New Roman" w:hAnsi="Times New Roman"/>
          <w:color w:val="000000" w:themeColor="text1"/>
          <w:sz w:val="16"/>
          <w:szCs w:val="16"/>
        </w:rPr>
      </w:pPr>
    </w:p>
    <w:p w14:paraId="1765F768" w14:textId="77777777" w:rsidR="00531332" w:rsidRPr="005E779E" w:rsidRDefault="00531332"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5 июля 1931 в СССР пригласили Умберто Нобиле. Всего лишь для консультаций по вопросам дирижаблестроения и только на два с половиной месяца63. Беседы же его с А.З. Гольцманом оказались весьма перспективными. Итальянский конструктор, подвергшийся опале на родине за провал полета «Италии», высказал готовность работать в Советском Союзе, и не в одиночку, а вместе с опытными инженерами, техниками, рабочими, да еще и с помесячной оплатой (20467).</w:t>
      </w:r>
    </w:p>
    <w:p w14:paraId="3DD11ABC" w14:textId="77777777" w:rsidR="00531332" w:rsidRPr="005E779E" w:rsidRDefault="00531332" w:rsidP="000B7A6C">
      <w:pPr>
        <w:spacing w:after="0" w:line="240" w:lineRule="auto"/>
        <w:jc w:val="both"/>
        <w:rPr>
          <w:rFonts w:ascii="Times New Roman" w:hAnsi="Times New Roman"/>
          <w:color w:val="000000" w:themeColor="text1"/>
          <w:sz w:val="16"/>
          <w:szCs w:val="16"/>
        </w:rPr>
      </w:pPr>
    </w:p>
    <w:p w14:paraId="078B9BE2" w14:textId="77777777" w:rsidR="00BB323F"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11E7D3D8" w14:textId="77777777" w:rsidR="00BB323F" w:rsidRPr="005E779E" w:rsidRDefault="00BB323F"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5B6B56D" w14:textId="77777777" w:rsidR="00BB323F" w:rsidRPr="005E779E" w:rsidRDefault="00BB323F"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5 июля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Протокол заседания Политбюро ЦК ВКП(б) №47. 26. Сообщение Косарева о Сталинградском тракторном заводе (ПБ от 5 июня 1931 г., пр. № 41, п. 11). (Политбюро... Т. 2. С. 188) (12416).</w:t>
      </w:r>
    </w:p>
    <w:p w14:paraId="4D5AD3AA" w14:textId="77777777" w:rsidR="00BB323F" w:rsidRPr="005E779E" w:rsidRDefault="00BB323F" w:rsidP="000B7A6C">
      <w:pPr>
        <w:spacing w:after="0" w:line="240" w:lineRule="auto"/>
        <w:jc w:val="both"/>
        <w:rPr>
          <w:rFonts w:ascii="Times New Roman" w:hAnsi="Times New Roman"/>
          <w:color w:val="000000" w:themeColor="text1"/>
          <w:sz w:val="16"/>
          <w:szCs w:val="16"/>
          <w:u w:color="002060"/>
        </w:rPr>
      </w:pPr>
    </w:p>
    <w:p w14:paraId="3076FC06"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5FAF2ECC"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EA31F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июля 1931 комиссия, побывавшая на заводе 22, потребовала перенести на АНТ-7 (Р-6) трубку Пито, усилить обшивку под бомбодержателями, балки бомбодержателей, перекомпоновать оборудование и т.п. А.Н.Т. был возмущен и часть изменений решили внести со 2-й серии (2671,14).</w:t>
      </w:r>
    </w:p>
    <w:p w14:paraId="330C9C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5DA70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июля 1931 очередная комиссия, побывавшая на заводе № 22, потребовала перенести трубку Пито, усилить балки бомбодержателей и обшивку под ними, еще раз перекомпоновать оборудование в кабинах, ввести лаз от летнаба к пилоту на Р-6. Это вызвало взрыв негодования у Туполева: "УВВС переписывается, а самолеты завод уже строит..." В итоге военные согласились внести часть изменений со 2-й серии. Головной же самолет № 2201 выпустили на испытания некомплектным - практически без вооружения и многих элементов оборудования (12036).</w:t>
      </w:r>
    </w:p>
    <w:p w14:paraId="281F47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315141F" w14:textId="77777777" w:rsidR="008776F8" w:rsidRPr="005E779E" w:rsidRDefault="008776F8"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6-го июля 1931 года, работу завода № 39 заслушали на бюро Красно-Пресненского райкома ВКП(б). В архиве музея истории Иркутского авиационного завода хранится (в копии) «Резолюция бюро Красно-Пресненского райкома ВКП(б) о выполнении промфинплана на заводе № 39 им. Менжинского». Привлекает внимание второй пункт постановляющей части этой резолюции, в котором говорится: «Возбудить ходатайство перед ВЦИК о награждении работников 39-го завода орденом Ленина» (15223).</w:t>
      </w:r>
    </w:p>
    <w:p w14:paraId="6AB1C87E" w14:textId="77777777" w:rsidR="008776F8" w:rsidRPr="005E779E" w:rsidRDefault="008776F8" w:rsidP="000B7A6C">
      <w:pPr>
        <w:shd w:val="clear" w:color="auto" w:fill="FFFFFF"/>
        <w:spacing w:after="0" w:line="240" w:lineRule="auto"/>
        <w:jc w:val="both"/>
        <w:rPr>
          <w:rFonts w:ascii="Times New Roman" w:hAnsi="Times New Roman"/>
          <w:color w:val="000000" w:themeColor="text1"/>
          <w:sz w:val="16"/>
          <w:szCs w:val="16"/>
        </w:rPr>
      </w:pPr>
    </w:p>
    <w:p w14:paraId="416584CE" w14:textId="77777777" w:rsidR="008776F8" w:rsidRPr="005E779E" w:rsidRDefault="008776F8"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июля 1931 РЕЗОЛЮЦИЯ БЮРО КРАСНО-ПРЕСНЕНСКОГО РАЙКОМА ВКП(б) О ВЫПОЛНЕНИИ ПРОМФИНПЛАНА НА ЗАВОДЕ № 39 им. МЕНЖИНСКОГО от 6/ VII – 31 г.</w:t>
      </w:r>
    </w:p>
    <w:p w14:paraId="6EA4B66A" w14:textId="77777777" w:rsidR="008776F8" w:rsidRPr="005E779E" w:rsidRDefault="008776F8"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Выполнение промфинплана на заводе характеризуется следующими данными: Промфинплан 1930 года перевыполнен (за 9 месяцев выполнение 112%, за особый квартал 113,81% ) за что завод премирован Красным Знаменем Райкома и Райсовета. В первом полугодии 1931 года произведено 8 опытных самолетов, вместо предусмотренных планом 6, причем самолеты №№ 1, 2, 10, и 12 не выполнены, в то же время выполнены №№ 6, 23, 18, 7, 19. Особое значение с точки зрения обороноспособности страны имеет выпуск самолетов № № 7 и 8, потребовавших огромных напряжений со стороны всего рабочего коллектива завода. Кроме этого сверх плана выполнено за 1-ое полугодие ряд работ (И-6 им. Менжинского, 20 фюзеляжей с мотором для И-5, авиэтка «РГЗ» для ОСОАВИАХИМа и др.)</w:t>
      </w:r>
    </w:p>
    <w:p w14:paraId="3FF6E9B5" w14:textId="77777777" w:rsidR="008776F8" w:rsidRPr="005E779E" w:rsidRDefault="008776F8"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Рабочая сила на заводе возросла за сравнительно короткий период больше чем в 2 раза. Тем не менее, производственный энтузиазм на заводе не снизился, а наоборот повысился: на 1-ое июля 1930 года охвачено соревнованием 95 %, до конца пятилетки закрепилось 76% рабочих завода. Продолжительность пребывания в работе самолетов показывает небывалые темпы работы завода сравнительно с другими опытными заводами (самолет № 1 был в производстве 2 месяца 28 дней, тогда как на заводе № 25 такой же самолет был в производстве 23 месяца, в ЦАГИ-37 месяцев). Особенно это касается машины № 8. Ряд бригад и ударников показали образцы подлинно большевистских темпов работы, превратив это «в дело чести, доблести и геройства» (комсомольская бригада тов. Фридмана, Егоров - слесарь и др.)</w:t>
      </w:r>
    </w:p>
    <w:p w14:paraId="7E709F7D" w14:textId="77777777" w:rsidR="008776F8" w:rsidRPr="005E779E" w:rsidRDefault="008776F8"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Эти достижения есть результат упорной большевистской работы организации и рабочих завода, их высокой политической сознательности, активности и преданности партии, выражением чего является и успешное проведение ряда политических кампаний (культэстафета, перевыборы советов, заем 3-го решающего года пятилетки - в один день все рабочие подписались на заем в размере месячного заработка (помощь, оказанная пролетариям Тулы и Сталинградского Тракторного завода по распространению займа и т.п.) Эти успехи достигнуты на основе борьбы за генеральную линию партии против оппортунистов, не верящих в возможность реконструкции завода, не умевших взять надлежащих темпов (отдельные настроения в Слесарном цеху, Комягинское дело в Медницком цеху и др.)</w:t>
      </w:r>
    </w:p>
    <w:p w14:paraId="41A37D57" w14:textId="77777777" w:rsidR="008776F8" w:rsidRPr="005E779E" w:rsidRDefault="008776F8"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Однако в работе завода имеется ряд существенных недостатков, а именно:</w:t>
      </w:r>
    </w:p>
    <w:p w14:paraId="380C410E" w14:textId="77777777" w:rsidR="008776F8" w:rsidRPr="005E779E" w:rsidRDefault="008776F8"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Несвоевременное поступление чертежей, задерживающих процесс производства (узлы), поступление иногда непроверенных чертежей, что приводит к изготовлению негодных деталей.</w:t>
      </w:r>
    </w:p>
    <w:p w14:paraId="492896BE" w14:textId="77777777" w:rsidR="008776F8" w:rsidRPr="005E779E" w:rsidRDefault="008776F8"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Недостаточно четкое внутризаводское планирование, приводящее к простоям взаимозависящих цехов.</w:t>
      </w:r>
    </w:p>
    <w:p w14:paraId="352BDD00" w14:textId="77777777" w:rsidR="008776F8" w:rsidRPr="005E779E" w:rsidRDefault="008776F8"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Прогулы, доходящие в Медницком цеху в мае месяце до 1,3 %, в Слесарном цеху – в июне-1.49 % (общий же % прогулов по заводу в апреле - 0,68, в мае - 0,54, в июне - 0,62 %)</w:t>
      </w:r>
    </w:p>
    <w:p w14:paraId="6ECA2B01" w14:textId="77777777" w:rsidR="008776F8" w:rsidRPr="005E779E" w:rsidRDefault="008776F8"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Нечеткость в соподчинении (множественность распорядителей по отношению к цехам)</w:t>
      </w:r>
    </w:p>
    <w:p w14:paraId="5CE0B5AE" w14:textId="77777777" w:rsidR="008776F8" w:rsidRPr="005E779E" w:rsidRDefault="008776F8"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При нехватке оборудования имеет место неполная загрузка станков, особенно во 2-ой и 3-й сменах.</w:t>
      </w:r>
    </w:p>
    <w:p w14:paraId="33A6B8D7" w14:textId="77777777" w:rsidR="008776F8" w:rsidRPr="005E779E" w:rsidRDefault="008776F8"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Перестройка партработы не доведена до конца, в результате чего действительного поворота лицом к цеху, бригаде, группе – нет, что приводит к запаздыванию в постановке ряда политических вопросов ( Июньский Пленум ЦК, речь товарища Сталина) и конкретной постановки организационно – массовой работы; абсолютно недостаточен % старых производственников в число вновь принятых в партию, несвоевременный перевод из кандидатов в члены и т.п.; к сменной работе партячейка не приспособилась.</w:t>
      </w:r>
    </w:p>
    <w:p w14:paraId="1E0DE7C6" w14:textId="77777777" w:rsidR="008776F8" w:rsidRPr="005E779E" w:rsidRDefault="008776F8"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Исходя из этого, Бюро РК ПОСТАНОВЛЯЕТ:</w:t>
      </w:r>
    </w:p>
    <w:p w14:paraId="16815E57" w14:textId="77777777" w:rsidR="008776F8" w:rsidRPr="005E779E" w:rsidRDefault="008776F8"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Отмечая большевистскую работу по выполнению промфинплана, обеспечивающую досрочное выполнение пятилетки (90 % пятилетнего плана уже выполнено) констатировать, что выпуск машины № 8 есть блестящая победа завода, победа Генеральной линии партии.</w:t>
      </w:r>
    </w:p>
    <w:p w14:paraId="7C0CE70D" w14:textId="77777777" w:rsidR="008776F8" w:rsidRPr="005E779E" w:rsidRDefault="008776F8"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 большевистскую работу по выполнению пятилетки в 3-ем решающем году – наградить завод знаменем Райкома и Райсовета.</w:t>
      </w:r>
    </w:p>
    <w:p w14:paraId="1608C773" w14:textId="77777777" w:rsidR="008776F8" w:rsidRPr="005E779E" w:rsidRDefault="008776F8"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Возбудить ходатайство перед ВЦИК о награждении работников 39-го завода (см. список в приложении) орденом Ленина.</w:t>
      </w:r>
    </w:p>
    <w:p w14:paraId="69D845A4" w14:textId="77777777" w:rsidR="008776F8" w:rsidRPr="005E779E" w:rsidRDefault="008776F8"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Предложить Райсовету выделить фонд для премирования лучших ударников завода домами отдыха, предметами широкого потребления, жильем.</w:t>
      </w:r>
    </w:p>
    <w:p w14:paraId="28F48DA1" w14:textId="77777777" w:rsidR="008776F8" w:rsidRPr="005E779E" w:rsidRDefault="008776F8"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Считая необходимым форсировать реконструкцию и строительство завода, заслушать на одном из ближайших заседаний бюро доклад о ходе строительства. Считать нецелесообразным развертывание строек по Ленинградскому шоссе – перенести стройку по направлению к Боткинской больнице.</w:t>
      </w:r>
    </w:p>
    <w:p w14:paraId="48EA264A" w14:textId="77777777" w:rsidR="008776F8" w:rsidRPr="005E779E" w:rsidRDefault="008776F8"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Поручить тов. Петровой возбудить ходатайство перед Моссоветом о продлении движения трамвая № 6 до Покровское – Стрешнево.</w:t>
      </w:r>
    </w:p>
    <w:p w14:paraId="59CBC5B0" w14:textId="77777777" w:rsidR="008776F8" w:rsidRPr="005E779E" w:rsidRDefault="008776F8"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Обязать хоз., парт. и профруководство в ближайшее время поставить планирование общезаводское и внутрицеховое на основе установления определенных предварительных норм и перечня работ в соответствии с чертежами, предусматривая очередность деталей и увязки работы между взаимозависящими цехами.</w:t>
      </w:r>
    </w:p>
    <w:p w14:paraId="796BE4D9" w14:textId="77777777" w:rsidR="008776F8" w:rsidRPr="005E779E" w:rsidRDefault="008776F8"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Предложить партячейке обеспечить партруководством 2 и 3 смены, создав в Токарном цеху сменные ячейки, а в остальных - ответственных сменных дежурных из состава бюро ячейки, а также в общезаводской ячейке. По этому же принципу перестроить комсомольские и партийные организации (15223).</w:t>
      </w:r>
    </w:p>
    <w:p w14:paraId="3B3758F6" w14:textId="77777777" w:rsidR="008776F8" w:rsidRPr="005E779E" w:rsidRDefault="008776F8" w:rsidP="000B7A6C">
      <w:pPr>
        <w:shd w:val="clear" w:color="auto" w:fill="FFFFFF"/>
        <w:spacing w:after="0" w:line="240" w:lineRule="auto"/>
        <w:jc w:val="both"/>
        <w:rPr>
          <w:rFonts w:ascii="Times New Roman" w:hAnsi="Times New Roman"/>
          <w:color w:val="000000" w:themeColor="text1"/>
          <w:sz w:val="16"/>
          <w:szCs w:val="16"/>
        </w:rPr>
      </w:pPr>
    </w:p>
    <w:p w14:paraId="555CA038" w14:textId="77777777" w:rsidR="008776F8" w:rsidRPr="005E779E" w:rsidRDefault="008776F8"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6 июля</w:t>
      </w:r>
      <w:r w:rsidRPr="005E779E">
        <w:rPr>
          <w:rFonts w:ascii="Times New Roman" w:hAnsi="Times New Roman"/>
          <w:color w:val="000000" w:themeColor="text1"/>
          <w:sz w:val="16"/>
          <w:szCs w:val="16"/>
        </w:rPr>
        <w:t xml:space="preserve"> в 1931 году авиазавод №39 и ЦКБ посетил И.В.Сталин, который, очевидно, был хорошо информирован о самолете Григоровича с пушками Курчевского. Вождь не только осмотрел его, но даже забрался в кабину и подергал за ручки. Главный конструктор </w:t>
      </w:r>
      <w:hyperlink r:id="rId143" w:tgtFrame="_blank" w:history="1">
        <w:r w:rsidRPr="005E779E">
          <w:rPr>
            <w:rFonts w:ascii="Times New Roman" w:hAnsi="Times New Roman"/>
            <w:color w:val="000000" w:themeColor="text1"/>
            <w:sz w:val="16"/>
            <w:szCs w:val="16"/>
          </w:rPr>
          <w:t xml:space="preserve">«И-Z» </w:t>
        </w:r>
      </w:hyperlink>
      <w:r w:rsidRPr="005E779E">
        <w:rPr>
          <w:rFonts w:ascii="Times New Roman" w:hAnsi="Times New Roman"/>
          <w:color w:val="000000" w:themeColor="text1"/>
          <w:sz w:val="16"/>
          <w:szCs w:val="16"/>
        </w:rPr>
        <w:t>при этом не присутствовал, все пояснения (в меру своего понимания) давал руководитель ЦКБ от ГПУ Е.С.Пауфлер. Показали И.В.Сталину, кстати, не только «И-Z», но и другие достижения этого КБ: «И-5» в вариантах, бомбардировщик «ТБ-5», штурмовики «ТШ-1» и «ТШ-2», переделки «Р-5». Очевидно, руководство ОГПУ сумело доказать, что строительство советской авиации в обозримом будущем невозможно без твердой чекистской руки. В результате произошло событие, получившее в народе известность как "свадьба" - приказом по Всесоюзному авиационному объединению (ВАО) №265 от 27 августа 1931 г. ЦКБ и ЦАГИ объединялись в единую организацию, начальником которой назначили Пауфлера (14944).</w:t>
      </w:r>
    </w:p>
    <w:p w14:paraId="5D7B6FCA" w14:textId="77777777" w:rsidR="008776F8" w:rsidRPr="005E779E" w:rsidRDefault="008776F8" w:rsidP="000B7A6C">
      <w:pPr>
        <w:spacing w:after="0" w:line="240" w:lineRule="auto"/>
        <w:jc w:val="both"/>
        <w:rPr>
          <w:rFonts w:ascii="Times New Roman" w:hAnsi="Times New Roman"/>
          <w:color w:val="000000" w:themeColor="text1"/>
          <w:sz w:val="16"/>
          <w:szCs w:val="16"/>
        </w:rPr>
      </w:pPr>
    </w:p>
    <w:p w14:paraId="637C84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июля 1931 авиазавод 39 посетил И.В.С., который осмотрел И-зет (сидел в кабине и есть фото), И-5 в вариантах, бомбардировщик ТБ-5, штурмовики ТШ-1 и ТШ-2, переделки Р-5. Пояснения давал Е.С.Пауфлер. Вместе с И.В.С. были Г.Е.Чупилко, В.М.М., К.Е.В., А.Н.Рафаэлянц. Считается, что этот визит подтолкнул процесс объединения ЦКБ и ЦАГИ (2692,5).</w:t>
      </w:r>
    </w:p>
    <w:p w14:paraId="3AEE67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6F56A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июля 1931 г. есть фото - осмотр опытного образца И-ЗЕТ на заводе N° 39В кабине находится И.В. Сталин, стоят (слева направо): Г.Е. Чупилко, В.М. Молотов, К.Е. Ворошилов, А.Н. Рафаэлянц, И.Е. Пауфлер.</w:t>
      </w:r>
    </w:p>
    <w:p w14:paraId="6FF6CF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июля 1931 г. завод № 39 и Центральное конструкторское бюро посетил И.В. Сталин, который, очевидно, был хорошо информирован об истребителе Григоровича с пушками Курчевского. Вождь не только осмотрел самолёт, но даже забрался в кабину и потрогал приборы и рукоятки управления. Главный конструктор И-ЗЕТ при этом не присутствовал, все пояснения (в меру своего понимания) давал руководитель ЦКБ от ОГПУ Е.С. Пауфлер. Показали Сталину, кстати, не только И-Z, но и некоторые другие достижения ЦКБ: модернизированный истребитель И-5, бомбардировщик ТБ-5, штурмовики TLU-1 и TLLI-2, разведчик Р-5. Судя по всему, руководство ОГПУ сумело доказать, что строительство советской авиации в обозримом будущем невозможно без неустанного чекистского внимания. Ибо скоро произошло событие, которое авиационные острословы едко определили как "свадьба" - приказом по Всесоюзному авиационному объединению (ВАО) от 27 августа 1931 г. ЦКБ и ЦАГИ объединялись в единую проектную организацию, начальником которой назначили Пауфлера (12005).</w:t>
      </w:r>
    </w:p>
    <w:p w14:paraId="6A8E15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7DCCF35" w14:textId="77777777" w:rsidR="003562F3" w:rsidRPr="005E779E" w:rsidRDefault="003562F3" w:rsidP="000B7A6C">
      <w:pPr>
        <w:pStyle w:val="a3"/>
        <w:autoSpaceDE/>
        <w:autoSpaceDN/>
        <w:adjustRightInd/>
        <w:rPr>
          <w:color w:val="000000" w:themeColor="text1"/>
          <w:lang w:val="ru-RU"/>
        </w:rPr>
      </w:pPr>
      <w:r w:rsidRPr="005E779E">
        <w:rPr>
          <w:color w:val="000000" w:themeColor="text1"/>
          <w:lang w:val="ru-RU"/>
        </w:rPr>
        <w:t>6 июля 1931 г. авиазавод №39 и Цен</w:t>
      </w:r>
      <w:r w:rsidRPr="005E779E">
        <w:rPr>
          <w:color w:val="000000" w:themeColor="text1"/>
          <w:lang w:val="ru-RU"/>
        </w:rPr>
        <w:softHyphen/>
        <w:t>тральное конструкторское бюро посетил И.В. Сталин, который, очевидно, был хорошо информирован об истребителе Григоровича с пушками Курчевского. Вождь не только осмотрел самолет, но даже забрался в кабину и потрогал приборы и рукоятки управления. Главный конструк</w:t>
      </w:r>
      <w:r w:rsidRPr="005E779E">
        <w:rPr>
          <w:color w:val="000000" w:themeColor="text1"/>
          <w:lang w:val="ru-RU"/>
        </w:rPr>
        <w:softHyphen/>
        <w:t>тор И-2 при этом не присутствовал, все пояснения (в меру своего понимания) давал руководитель ЦКБ от ГПУ Е.С. Пауфлер. Показали Сталину, кстати, не только И-2, но и некоторые другие достижения этого КБ: модернизированный И-5, бомбардировщик ТБ-5, штурмовики ТШ-1 и ТШ-2, разведчик Р-5. Очевидно, руководство ОГПУ сумело доказать, что строительство советской ави</w:t>
      </w:r>
      <w:r w:rsidRPr="005E779E">
        <w:rPr>
          <w:color w:val="000000" w:themeColor="text1"/>
          <w:lang w:val="ru-RU"/>
        </w:rPr>
        <w:softHyphen/>
        <w:t xml:space="preserve">ации в обозримом будущем невозможно без неустанного чекистского внимания, ибо вскоре произошло событие, которое авиационные острословы едко определили как «свадьба»: приказом по Всесоюзному авиационному объединению (ВАО) №265 от 27 августа 1931 г. ЦКБ и </w:t>
      </w:r>
      <w:r w:rsidRPr="005E779E">
        <w:rPr>
          <w:color w:val="000000" w:themeColor="text1"/>
          <w:lang w:val="ru-RU"/>
        </w:rPr>
        <w:lastRenderedPageBreak/>
        <w:t>ЦАГИ объеди</w:t>
      </w:r>
      <w:r w:rsidRPr="005E779E">
        <w:rPr>
          <w:color w:val="000000" w:themeColor="text1"/>
          <w:lang w:val="ru-RU"/>
        </w:rPr>
        <w:softHyphen/>
        <w:t>нялись в единую проектную организацию, начальником которой назначили Пауфлера (12731).</w:t>
      </w:r>
    </w:p>
    <w:p w14:paraId="1D060510" w14:textId="77777777" w:rsidR="003562F3" w:rsidRPr="005E779E" w:rsidRDefault="003562F3" w:rsidP="000B7A6C">
      <w:pPr>
        <w:pStyle w:val="a3"/>
        <w:autoSpaceDE/>
        <w:autoSpaceDN/>
        <w:adjustRightInd/>
        <w:rPr>
          <w:color w:val="000000" w:themeColor="text1"/>
          <w:lang w:val="ru-RU"/>
        </w:rPr>
      </w:pPr>
    </w:p>
    <w:p w14:paraId="0AFD04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июля 1931 г. территорию авиазавода № 39 и ЦКБ посетил И. В. Сталин. Очевидно, о самолете Григоровича с пушками Курчевского он был хорошо информирован, ибо не только осмотрел его, но даже забрался в кабину и подергал за рычаги и рукоятки. Главный конструктор И-7 при этом не присутствовал, все пояснения (в меру своего понимания) давал руководитель ЦКБ от ГПУ Е. С. Пауфлер (12091).</w:t>
      </w:r>
    </w:p>
    <w:p w14:paraId="279D3D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64F14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июля 1931 г. успехи, достигнутые ОГПУ в деле проектирования новой авиатехники, наглядно были продемонстрированы И.В. Сталину. В ангаре, на аэро</w:t>
      </w:r>
      <w:r w:rsidRPr="005E779E">
        <w:rPr>
          <w:rFonts w:ascii="Times New Roman" w:hAnsi="Times New Roman"/>
          <w:color w:val="000000" w:themeColor="text1"/>
          <w:sz w:val="16"/>
          <w:szCs w:val="16"/>
        </w:rPr>
        <w:softHyphen/>
        <w:t>дроме и в воздухе были показаны: истреби</w:t>
      </w:r>
      <w:r w:rsidRPr="005E779E">
        <w:rPr>
          <w:rFonts w:ascii="Times New Roman" w:hAnsi="Times New Roman"/>
          <w:color w:val="000000" w:themeColor="text1"/>
          <w:sz w:val="16"/>
          <w:szCs w:val="16"/>
        </w:rPr>
        <w:softHyphen/>
        <w:t>тель И-5, модификации разведчика Р-5, штур- иовикТШ-1, бомбардировщик ТБ-5 и пушеч</w:t>
      </w:r>
      <w:r w:rsidRPr="005E779E">
        <w:rPr>
          <w:rFonts w:ascii="Times New Roman" w:hAnsi="Times New Roman"/>
          <w:color w:val="000000" w:themeColor="text1"/>
          <w:sz w:val="16"/>
          <w:szCs w:val="16"/>
        </w:rPr>
        <w:softHyphen/>
        <w:t>ный истребитель И-ЗЕТ. По всему выходило, тго руководителям ОГПУ действительно уда</w:t>
      </w:r>
      <w:r w:rsidRPr="005E779E">
        <w:rPr>
          <w:rFonts w:ascii="Times New Roman" w:hAnsi="Times New Roman"/>
          <w:color w:val="000000" w:themeColor="text1"/>
          <w:sz w:val="16"/>
          <w:szCs w:val="16"/>
        </w:rPr>
        <w:softHyphen/>
        <w:t>лось найти наиболее продуктивную форму деятельности авиапромышленности. Достиг</w:t>
      </w:r>
      <w:r w:rsidRPr="005E779E">
        <w:rPr>
          <w:rFonts w:ascii="Times New Roman" w:hAnsi="Times New Roman"/>
          <w:color w:val="000000" w:themeColor="text1"/>
          <w:sz w:val="16"/>
          <w:szCs w:val="16"/>
        </w:rPr>
        <w:softHyphen/>
        <w:t>нутые успехи решили закреплять, поэтому 27 августа 1931 г. приказом по Всесоюзному авиационному объединению (ВАО) №265 ЦКБ и ЦАГИ объединялись в единую про</w:t>
      </w:r>
      <w:r w:rsidRPr="005E779E">
        <w:rPr>
          <w:rFonts w:ascii="Times New Roman" w:hAnsi="Times New Roman"/>
          <w:color w:val="000000" w:themeColor="text1"/>
          <w:sz w:val="16"/>
          <w:szCs w:val="16"/>
        </w:rPr>
        <w:softHyphen/>
        <w:t>ектную организацию - ЦКБ-ЦАГИ. Остро</w:t>
      </w:r>
      <w:r w:rsidRPr="005E779E">
        <w:rPr>
          <w:rFonts w:ascii="Times New Roman" w:hAnsi="Times New Roman"/>
          <w:color w:val="000000" w:themeColor="text1"/>
          <w:sz w:val="16"/>
          <w:szCs w:val="16"/>
        </w:rPr>
        <w:softHyphen/>
        <w:t>словы окрестили их соединение «свадьбой». От ОГПУ командовать новой структурой на</w:t>
      </w:r>
      <w:r w:rsidRPr="005E779E">
        <w:rPr>
          <w:rFonts w:ascii="Times New Roman" w:hAnsi="Times New Roman"/>
          <w:color w:val="000000" w:themeColor="text1"/>
          <w:sz w:val="16"/>
          <w:szCs w:val="16"/>
        </w:rPr>
        <w:softHyphen/>
        <w:t>значили Е.С. Пауфлера, по технической части начальником объединенной организации стал С.В. Ильюшин (11974).</w:t>
      </w:r>
    </w:p>
    <w:p w14:paraId="32E2A5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BF81F86" w14:textId="77777777" w:rsidR="00BB323F" w:rsidRPr="005E779E" w:rsidRDefault="00BB323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июля 1931 г. успехи, до</w:t>
      </w:r>
      <w:r w:rsidRPr="005E779E">
        <w:rPr>
          <w:rFonts w:ascii="Times New Roman" w:hAnsi="Times New Roman"/>
          <w:color w:val="000000" w:themeColor="text1"/>
          <w:sz w:val="16"/>
          <w:szCs w:val="16"/>
        </w:rPr>
        <w:softHyphen/>
        <w:t>стигнутые ОГПУ в деле проектирования но</w:t>
      </w:r>
      <w:r w:rsidRPr="005E779E">
        <w:rPr>
          <w:rFonts w:ascii="Times New Roman" w:hAnsi="Times New Roman"/>
          <w:color w:val="000000" w:themeColor="text1"/>
          <w:sz w:val="16"/>
          <w:szCs w:val="16"/>
        </w:rPr>
        <w:softHyphen/>
        <w:t>вой авиатехники, наглядно были продемон</w:t>
      </w:r>
      <w:r w:rsidRPr="005E779E">
        <w:rPr>
          <w:rFonts w:ascii="Times New Roman" w:hAnsi="Times New Roman"/>
          <w:color w:val="000000" w:themeColor="text1"/>
          <w:sz w:val="16"/>
          <w:szCs w:val="16"/>
        </w:rPr>
        <w:softHyphen/>
        <w:t>стрированы И.В. Сталину. В ангаре, на аэродроме и в воздухе были пока</w:t>
      </w:r>
      <w:r w:rsidRPr="005E779E">
        <w:rPr>
          <w:rFonts w:ascii="Times New Roman" w:hAnsi="Times New Roman"/>
          <w:color w:val="000000" w:themeColor="text1"/>
          <w:sz w:val="16"/>
          <w:szCs w:val="16"/>
        </w:rPr>
        <w:softHyphen/>
        <w:t>заны: истребитель И-5, модификации развед</w:t>
      </w:r>
      <w:r w:rsidRPr="005E779E">
        <w:rPr>
          <w:rFonts w:ascii="Times New Roman" w:hAnsi="Times New Roman"/>
          <w:color w:val="000000" w:themeColor="text1"/>
          <w:sz w:val="16"/>
          <w:szCs w:val="16"/>
        </w:rPr>
        <w:softHyphen/>
        <w:t>чика Р-5, штурмовик ТШ-1, бомбардиров</w:t>
      </w:r>
      <w:r w:rsidRPr="005E779E">
        <w:rPr>
          <w:rFonts w:ascii="Times New Roman" w:hAnsi="Times New Roman"/>
          <w:color w:val="000000" w:themeColor="text1"/>
          <w:sz w:val="16"/>
          <w:szCs w:val="16"/>
        </w:rPr>
        <w:softHyphen/>
        <w:t>щик ТБ-5 и пушечный истребитель И-ЗЕТ. По всему выходило, что руководителям ОГ</w:t>
      </w:r>
      <w:r w:rsidRPr="005E779E">
        <w:rPr>
          <w:rFonts w:ascii="Times New Roman" w:hAnsi="Times New Roman"/>
          <w:color w:val="000000" w:themeColor="text1"/>
          <w:sz w:val="16"/>
          <w:szCs w:val="16"/>
        </w:rPr>
        <w:softHyphen/>
        <w:t>ПУ действительно удалось найти наиболее продуктивную форму деятельности авиапро</w:t>
      </w:r>
      <w:r w:rsidRPr="005E779E">
        <w:rPr>
          <w:rFonts w:ascii="Times New Roman" w:hAnsi="Times New Roman"/>
          <w:color w:val="000000" w:themeColor="text1"/>
          <w:sz w:val="16"/>
          <w:szCs w:val="16"/>
        </w:rPr>
        <w:softHyphen/>
        <w:t>мышленности. Достигнутые успехи решили закреплять, поэтому, 27 августа 1931 г. при</w:t>
      </w:r>
      <w:r w:rsidRPr="005E779E">
        <w:rPr>
          <w:rFonts w:ascii="Times New Roman" w:hAnsi="Times New Roman"/>
          <w:color w:val="000000" w:themeColor="text1"/>
          <w:sz w:val="16"/>
          <w:szCs w:val="16"/>
        </w:rPr>
        <w:softHyphen/>
        <w:t>казом по Всесоюзному авиационному объ</w:t>
      </w:r>
      <w:r w:rsidRPr="005E779E">
        <w:rPr>
          <w:rFonts w:ascii="Times New Roman" w:hAnsi="Times New Roman"/>
          <w:color w:val="000000" w:themeColor="text1"/>
          <w:sz w:val="16"/>
          <w:szCs w:val="16"/>
        </w:rPr>
        <w:softHyphen/>
        <w:t>единению (ВАО) №265 от 27 августа 1931 г. ЦКБ и ЦАГИ объединялись в единую про</w:t>
      </w:r>
      <w:r w:rsidRPr="005E779E">
        <w:rPr>
          <w:rFonts w:ascii="Times New Roman" w:hAnsi="Times New Roman"/>
          <w:color w:val="000000" w:themeColor="text1"/>
          <w:sz w:val="16"/>
          <w:szCs w:val="16"/>
        </w:rPr>
        <w:softHyphen/>
        <w:t>ектную организацию — ЦКБ-ЦАГИ. Остро</w:t>
      </w:r>
      <w:r w:rsidRPr="005E779E">
        <w:rPr>
          <w:rFonts w:ascii="Times New Roman" w:hAnsi="Times New Roman"/>
          <w:color w:val="000000" w:themeColor="text1"/>
          <w:sz w:val="16"/>
          <w:szCs w:val="16"/>
        </w:rPr>
        <w:softHyphen/>
        <w:t>словы окрестили соединение двух организа</w:t>
      </w:r>
      <w:r w:rsidRPr="005E779E">
        <w:rPr>
          <w:rFonts w:ascii="Times New Roman" w:hAnsi="Times New Roman"/>
          <w:color w:val="000000" w:themeColor="text1"/>
          <w:sz w:val="16"/>
          <w:szCs w:val="16"/>
        </w:rPr>
        <w:softHyphen/>
        <w:t>ций «свадьбой». От ОГПУ командовать новой структурой назначили Е.С. Пауфлера, по тех</w:t>
      </w:r>
      <w:r w:rsidRPr="005E779E">
        <w:rPr>
          <w:rFonts w:ascii="Times New Roman" w:hAnsi="Times New Roman"/>
          <w:color w:val="000000" w:themeColor="text1"/>
          <w:sz w:val="16"/>
          <w:szCs w:val="16"/>
        </w:rPr>
        <w:softHyphen/>
        <w:t>нической части начальником объединенной организации стал С.В. Ильюшин (12295).</w:t>
      </w:r>
    </w:p>
    <w:p w14:paraId="38DE26F4" w14:textId="77777777" w:rsidR="00BB323F" w:rsidRPr="005E779E" w:rsidRDefault="00BB323F" w:rsidP="000B7A6C">
      <w:pPr>
        <w:spacing w:after="0" w:line="240" w:lineRule="auto"/>
        <w:jc w:val="both"/>
        <w:rPr>
          <w:rFonts w:ascii="Times New Roman" w:hAnsi="Times New Roman"/>
          <w:color w:val="000000" w:themeColor="text1"/>
          <w:sz w:val="16"/>
          <w:szCs w:val="16"/>
        </w:rPr>
      </w:pPr>
    </w:p>
    <w:p w14:paraId="3D893F39" w14:textId="77777777" w:rsidR="00E278B5" w:rsidRPr="005E779E" w:rsidRDefault="00E278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июля (тдт в июне) 1931 года вождь решил осмотреть самолеты нового типа. Ему продемонстрировали новейшие отечественные и зарубежные истребители, но особое впечатление на Сталина произвел бомбардировщик ТБ-3, существовавший в единственном экземпляре. Он захотел увидеть новую машину в полете, но летавший на ТБ-3 известный летчик-испытатель Михаил Громов лежал в госпитале, а его напарника не было в Москве. Так что начальнику воздушных сил Красной армии Петру Баранову пришлось вызывать пилотов, никогда прежде на этом самолете не летавших. И вдруг Сталин неожиданно сказал: «А почему бы мне не полететь на этом бомбардировщике? Возьму и полечу». Остановить сталинскую затею удалось только с помощью обмана. Баранов сказал, что машину нужно сначала опробовать в полете, и только после этого она сможет взять пассажира. А когда пробный полет успешно завершился, приехавшие со Сталиным соратники напомнили, что он уже опаздывает на важное заседание (12634).</w:t>
      </w:r>
    </w:p>
    <w:p w14:paraId="554B4CB7" w14:textId="77777777" w:rsidR="00E278B5" w:rsidRPr="005E779E" w:rsidRDefault="00E278B5" w:rsidP="000B7A6C">
      <w:pPr>
        <w:spacing w:after="0" w:line="240" w:lineRule="auto"/>
        <w:jc w:val="both"/>
        <w:rPr>
          <w:rFonts w:ascii="Times New Roman" w:hAnsi="Times New Roman"/>
          <w:color w:val="000000" w:themeColor="text1"/>
          <w:sz w:val="16"/>
          <w:szCs w:val="16"/>
        </w:rPr>
      </w:pPr>
    </w:p>
    <w:p w14:paraId="1F74976A" w14:textId="77777777" w:rsidR="003B2CD8" w:rsidRPr="005E779E" w:rsidRDefault="003B2CD8" w:rsidP="003B2CD8">
      <w:pPr>
        <w:spacing w:after="0" w:line="240" w:lineRule="auto"/>
        <w:jc w:val="both"/>
        <w:rPr>
          <w:rFonts w:ascii="Times New Roman" w:hAnsi="Times New Roman"/>
          <w:color w:val="000000" w:themeColor="text1"/>
          <w:sz w:val="16"/>
          <w:szCs w:val="16"/>
          <w:lang w:eastAsia="ru-RU" w:bidi="ru-RU"/>
        </w:rPr>
      </w:pPr>
      <w:r w:rsidRPr="005E779E">
        <w:rPr>
          <w:rFonts w:ascii="Times New Roman" w:hAnsi="Times New Roman"/>
          <w:color w:val="000000" w:themeColor="text1"/>
          <w:sz w:val="16"/>
          <w:szCs w:val="16"/>
          <w:lang w:eastAsia="ru-RU" w:bidi="ru-RU"/>
        </w:rPr>
        <w:t>6 июля 1931 завод №39 посетили И.В. Ста</w:t>
      </w:r>
      <w:r w:rsidRPr="005E779E">
        <w:rPr>
          <w:rFonts w:ascii="Times New Roman" w:hAnsi="Times New Roman"/>
          <w:color w:val="000000" w:themeColor="text1"/>
          <w:sz w:val="16"/>
          <w:szCs w:val="16"/>
          <w:lang w:eastAsia="ru-RU" w:bidi="ru-RU"/>
        </w:rPr>
        <w:softHyphen/>
        <w:t>лин, В.М. Молотов и маршал К.Е. Вороши</w:t>
      </w:r>
      <w:r w:rsidRPr="005E779E">
        <w:rPr>
          <w:rFonts w:ascii="Times New Roman" w:hAnsi="Times New Roman"/>
          <w:color w:val="000000" w:themeColor="text1"/>
          <w:sz w:val="16"/>
          <w:szCs w:val="16"/>
          <w:lang w:eastAsia="ru-RU" w:bidi="ru-RU"/>
        </w:rPr>
        <w:softHyphen/>
        <w:t>лов. Комиссия осмотрела разработанные в ЦКБ самолеты: истребители И-Зет и И-5, бомбардировщик ТБ-5, штурмовик ТШ-2, модификации самолета Р-5. Впечатление членов комиссии было положительным. Считается, что именно после этого показа начался процесс объединения ЦКБ и АГОС ЦАГИ. Надо полагать, начальник ЦКБ Па- уфлер сумел убедить руководство страны в высоких организаторских возможностях ОГПУ СССР (21062).</w:t>
      </w:r>
    </w:p>
    <w:p w14:paraId="56E18EE1" w14:textId="77777777" w:rsidR="003B2CD8" w:rsidRPr="005E779E" w:rsidRDefault="003B2CD8" w:rsidP="003B2CD8">
      <w:pPr>
        <w:spacing w:after="0" w:line="240" w:lineRule="auto"/>
        <w:jc w:val="both"/>
        <w:rPr>
          <w:rFonts w:ascii="Times New Roman" w:hAnsi="Times New Roman"/>
          <w:color w:val="000000" w:themeColor="text1"/>
          <w:sz w:val="16"/>
          <w:szCs w:val="16"/>
        </w:rPr>
      </w:pPr>
    </w:p>
    <w:p w14:paraId="26333D1F" w14:textId="77777777" w:rsidR="003B2CD8" w:rsidRPr="005E779E" w:rsidRDefault="003B2CD8" w:rsidP="003B2CD8">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июля 1931 г. ОГПУ демонстрировало И.В.С. результата работы ЦКБ-39. Кроме ТБ-5 модифика</w:t>
      </w:r>
      <w:r w:rsidRPr="005E779E">
        <w:rPr>
          <w:rFonts w:ascii="Times New Roman" w:hAnsi="Times New Roman"/>
          <w:color w:val="000000" w:themeColor="text1"/>
          <w:sz w:val="16"/>
          <w:szCs w:val="16"/>
        </w:rPr>
        <w:softHyphen/>
        <w:t>ции И-5, Р-5, ТШ-1 и Тш-2 демонстрировалась и «суперновинка» - пушечный истребитель И-Z. По всему выходило, что руководителям ОГПУ действительно удалось искоренить вредительство и найти наиболее продуктивную форму деятельности авиа</w:t>
      </w:r>
      <w:r w:rsidRPr="005E779E">
        <w:rPr>
          <w:rFonts w:ascii="Times New Roman" w:hAnsi="Times New Roman"/>
          <w:color w:val="000000" w:themeColor="text1"/>
          <w:sz w:val="16"/>
          <w:szCs w:val="16"/>
        </w:rPr>
        <w:softHyphen/>
        <w:t>промышленности. Поэтому никакие отсрочки не принима</w:t>
      </w:r>
      <w:r w:rsidRPr="005E779E">
        <w:rPr>
          <w:rFonts w:ascii="Times New Roman" w:hAnsi="Times New Roman"/>
          <w:color w:val="000000" w:themeColor="text1"/>
          <w:sz w:val="16"/>
          <w:szCs w:val="16"/>
        </w:rPr>
        <w:softHyphen/>
        <w:t>лись, достигнутые результаты следовало закреплять (20362).</w:t>
      </w:r>
    </w:p>
    <w:p w14:paraId="16BC954C" w14:textId="77777777" w:rsidR="003B2CD8" w:rsidRPr="005E779E" w:rsidRDefault="003B2CD8" w:rsidP="003B2CD8">
      <w:pPr>
        <w:shd w:val="clear" w:color="auto" w:fill="FFFFFF"/>
        <w:spacing w:after="0" w:line="240" w:lineRule="auto"/>
        <w:jc w:val="both"/>
        <w:rPr>
          <w:rFonts w:ascii="Times New Roman" w:hAnsi="Times New Roman"/>
          <w:color w:val="000000" w:themeColor="text1"/>
          <w:sz w:val="16"/>
          <w:szCs w:val="16"/>
        </w:rPr>
      </w:pPr>
    </w:p>
    <w:p w14:paraId="5BB83F94" w14:textId="77777777" w:rsidR="003B2CD8" w:rsidRPr="005E779E" w:rsidRDefault="003B2CD8" w:rsidP="003B2CD8">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июля 1931 1931 г. Штурмовики ТШ-1 и ТШ-2, которые были продемонстри</w:t>
      </w:r>
      <w:r w:rsidRPr="005E779E">
        <w:rPr>
          <w:rFonts w:ascii="Times New Roman" w:hAnsi="Times New Roman"/>
          <w:color w:val="000000" w:themeColor="text1"/>
          <w:sz w:val="16"/>
          <w:szCs w:val="16"/>
        </w:rPr>
        <w:softHyphen/>
        <w:t>рованы Сталину как продукция ЦКБ-39 ОГ- ПУ выше уже упоминались. Добавим, что авторство на эти самолеты по сей день просматривается как-то расплывча</w:t>
      </w:r>
      <w:r w:rsidRPr="005E779E">
        <w:rPr>
          <w:rFonts w:ascii="Times New Roman" w:hAnsi="Times New Roman"/>
          <w:color w:val="000000" w:themeColor="text1"/>
          <w:sz w:val="16"/>
          <w:szCs w:val="16"/>
        </w:rPr>
        <w:softHyphen/>
        <w:t>то. Судя по всему, в отношении самолетов ТШ, так же как и некоторых других, главного конструктора старались не называть. В оГПу не было принято устанавливать истин</w:t>
      </w:r>
      <w:r w:rsidRPr="005E779E">
        <w:rPr>
          <w:rFonts w:ascii="Times New Roman" w:hAnsi="Times New Roman"/>
          <w:color w:val="000000" w:themeColor="text1"/>
          <w:sz w:val="16"/>
          <w:szCs w:val="16"/>
        </w:rPr>
        <w:softHyphen/>
        <w:t>ных авторов, тем более из числа арестованных конструк</w:t>
      </w:r>
      <w:r w:rsidRPr="005E779E">
        <w:rPr>
          <w:rFonts w:ascii="Times New Roman" w:hAnsi="Times New Roman"/>
          <w:color w:val="000000" w:themeColor="text1"/>
          <w:sz w:val="16"/>
          <w:szCs w:val="16"/>
        </w:rPr>
        <w:softHyphen/>
        <w:t>торов.</w:t>
      </w:r>
    </w:p>
    <w:p w14:paraId="466BE8BB" w14:textId="77777777" w:rsidR="003B2CD8" w:rsidRPr="005E779E" w:rsidRDefault="003B2CD8" w:rsidP="003B2CD8">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тем, шила в мешке не утаишь, у всякого самоле</w:t>
      </w:r>
      <w:r w:rsidRPr="005E779E">
        <w:rPr>
          <w:rFonts w:ascii="Times New Roman" w:hAnsi="Times New Roman"/>
          <w:color w:val="000000" w:themeColor="text1"/>
          <w:sz w:val="16"/>
          <w:szCs w:val="16"/>
        </w:rPr>
        <w:softHyphen/>
        <w:t>та всегда есть первые родители и остальные сопутствую</w:t>
      </w:r>
      <w:r w:rsidRPr="005E779E">
        <w:rPr>
          <w:rFonts w:ascii="Times New Roman" w:hAnsi="Times New Roman"/>
          <w:color w:val="000000" w:themeColor="text1"/>
          <w:sz w:val="16"/>
          <w:szCs w:val="16"/>
        </w:rPr>
        <w:softHyphen/>
        <w:t>щие лица. В частности, в 1939 г. при подготовке матери</w:t>
      </w:r>
      <w:r w:rsidRPr="005E779E">
        <w:rPr>
          <w:rFonts w:ascii="Times New Roman" w:hAnsi="Times New Roman"/>
          <w:color w:val="000000" w:themeColor="text1"/>
          <w:sz w:val="16"/>
          <w:szCs w:val="16"/>
        </w:rPr>
        <w:softHyphen/>
        <w:t>алов на самолеты, созданные различными конструктора</w:t>
      </w:r>
      <w:r w:rsidRPr="005E779E">
        <w:rPr>
          <w:rFonts w:ascii="Times New Roman" w:hAnsi="Times New Roman"/>
          <w:color w:val="000000" w:themeColor="text1"/>
          <w:sz w:val="16"/>
          <w:szCs w:val="16"/>
        </w:rPr>
        <w:softHyphen/>
        <w:t>ми, в специальной справке Глававиапрома авторство на самолет ТШ М-17 (именно с таким написанием) одно</w:t>
      </w:r>
      <w:r w:rsidRPr="005E779E">
        <w:rPr>
          <w:rFonts w:ascii="Times New Roman" w:hAnsi="Times New Roman"/>
          <w:color w:val="000000" w:themeColor="text1"/>
          <w:sz w:val="16"/>
          <w:szCs w:val="16"/>
        </w:rPr>
        <w:softHyphen/>
        <w:t>временно приписывалось Григоровичу и Поликарпову. И этому есть вполне логичное объяснение (20362).</w:t>
      </w:r>
    </w:p>
    <w:p w14:paraId="34CC3137" w14:textId="77777777" w:rsidR="003B2CD8" w:rsidRPr="005E779E" w:rsidRDefault="003B2CD8" w:rsidP="003B2CD8">
      <w:pPr>
        <w:shd w:val="clear" w:color="auto" w:fill="FFFFFF"/>
        <w:spacing w:after="0" w:line="240" w:lineRule="auto"/>
        <w:jc w:val="both"/>
        <w:rPr>
          <w:rFonts w:ascii="Times New Roman" w:hAnsi="Times New Roman"/>
          <w:color w:val="000000" w:themeColor="text1"/>
          <w:sz w:val="16"/>
          <w:szCs w:val="16"/>
        </w:rPr>
      </w:pPr>
    </w:p>
    <w:p w14:paraId="1888D84F" w14:textId="77777777" w:rsidR="003B2CD8" w:rsidRPr="005E779E" w:rsidRDefault="003B2CD8" w:rsidP="003B2CD8">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июля 1931 г. авиазавод №39 посетил Генеральный секретарь ЦК ВКП(б) И.В. Сталин, который осмотрел истребители тяжелый бомбардировщик ТБ-5, И-зет и И-5, штурмовики ТШ-1 и ТШ-2, а также модификации ближнего разведчика и легкого бомбардировщика Р-5. Пояснения давал директор завода №39 Е.С. Пауфлер, также присутствовали Нарком по военным и морским делам К.Е. Ворошилов, работники ЦКБ-39 и ЦАГИ Г.Е. Чупилко, А.Н. Рафаэлянц и В.М. Мясищев. После этого был поставлен вопрос объединения ЦКБ-39 и ЦАГИ уже на высшем уровне (23559).</w:t>
      </w:r>
    </w:p>
    <w:p w14:paraId="54DF138F" w14:textId="77777777" w:rsidR="003B2CD8" w:rsidRPr="005E779E" w:rsidRDefault="003B2CD8" w:rsidP="003B2CD8">
      <w:pPr>
        <w:spacing w:after="0" w:line="240" w:lineRule="auto"/>
        <w:jc w:val="both"/>
        <w:rPr>
          <w:rFonts w:ascii="Times New Roman" w:hAnsi="Times New Roman"/>
          <w:color w:val="000000" w:themeColor="text1"/>
          <w:sz w:val="16"/>
          <w:szCs w:val="16"/>
        </w:rPr>
      </w:pPr>
    </w:p>
    <w:p w14:paraId="0CFE2C05" w14:textId="77777777" w:rsidR="003B2CD8" w:rsidRPr="00142305" w:rsidRDefault="003B2CD8" w:rsidP="003B2CD8">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6 июля 1931 г. территорию авиазавода № 39 и ЦКБ посетил И.В. Сталин. Очевидно, о самолете Григоровича с пушками Курчевского он был хорошо информирован, ибо не только осмотрел его, но даже забрался в кабину и подергал за рычаги и рукоятки. Главный конструктор И-7 при этом не присутствовал, все пояснения (в меру своего понимания) давал руководитель ЦКБ от ГПУ Е.С. Пауфлер (25213).</w:t>
      </w:r>
    </w:p>
    <w:p w14:paraId="0DEB71D8" w14:textId="77777777" w:rsidR="003B2CD8" w:rsidRPr="00142305" w:rsidRDefault="003B2CD8" w:rsidP="003B2CD8">
      <w:pPr>
        <w:spacing w:after="0" w:line="240" w:lineRule="auto"/>
        <w:jc w:val="both"/>
        <w:rPr>
          <w:rFonts w:ascii="Times New Roman" w:hAnsi="Times New Roman"/>
          <w:color w:val="0070C0"/>
          <w:sz w:val="16"/>
          <w:szCs w:val="16"/>
        </w:rPr>
      </w:pPr>
    </w:p>
    <w:p w14:paraId="44CAEE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июля 1931 был первый опыт наблюдения с самолета за лесными пожарами. Летал Розанов на У-2 до 11 августа в районе Нижнего Новгорода и обнаружил 54 (438,625).</w:t>
      </w:r>
    </w:p>
    <w:p w14:paraId="3830A041" w14:textId="66AA6DC1"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853C27F" w14:textId="77777777" w:rsidR="00546F27" w:rsidRPr="005E779E" w:rsidRDefault="00546F2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июля 1931 г. был проведен первый в СССР опыт наблюдения о самолета за лесными пожарами. Летчик Дм. Розанов на самолете У-2 в период с 6 июля по 11 августа за 40 летных часов обследовал в районе Нижнего Новгорода площадь лесов в два миллиона гектаров и заметил 40 дымовых очагов, в том числе 34 .лесных пожара. Полеты дали возможность разработать методику обнаружений лесных пожаров и оповещения о них лесной охраны и местного населения. В дальнейшем воздушное патрулирование лесов получило ширское применение в лесном хозяйстве и оказало последнему ценную помощь.</w:t>
      </w:r>
    </w:p>
    <w:p w14:paraId="70597F6A" w14:textId="77777777" w:rsidR="00546F27" w:rsidRPr="005E779E" w:rsidRDefault="00546F2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1932 № 1/ (23370).</w:t>
      </w:r>
    </w:p>
    <w:p w14:paraId="3479FA52" w14:textId="77777777" w:rsidR="00546F27" w:rsidRPr="005E779E" w:rsidRDefault="00546F27" w:rsidP="000B7A6C">
      <w:pPr>
        <w:spacing w:after="0" w:line="240" w:lineRule="auto"/>
        <w:jc w:val="both"/>
        <w:rPr>
          <w:rFonts w:ascii="Times New Roman" w:hAnsi="Times New Roman"/>
          <w:color w:val="000000" w:themeColor="text1"/>
          <w:sz w:val="16"/>
          <w:szCs w:val="16"/>
        </w:rPr>
      </w:pPr>
    </w:p>
    <w:p w14:paraId="5382A66C" w14:textId="14FBAE05" w:rsidR="003B2CD8" w:rsidRPr="005E779E" w:rsidRDefault="003B2CD8" w:rsidP="003B2CD8">
      <w:pPr>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Другие оборонные отрасли</w:t>
      </w:r>
      <w:r w:rsidRPr="005E779E">
        <w:rPr>
          <w:rFonts w:ascii="Times New Roman" w:hAnsi="Times New Roman"/>
          <w:i/>
          <w:iCs/>
          <w:color w:val="000000" w:themeColor="text1"/>
          <w:sz w:val="16"/>
          <w:szCs w:val="16"/>
        </w:rPr>
        <w:t>:</w:t>
      </w:r>
    </w:p>
    <w:p w14:paraId="56374E02" w14:textId="77777777" w:rsidR="003B2CD8" w:rsidRPr="005E779E" w:rsidRDefault="003B2CD8" w:rsidP="003B2CD8">
      <w:pPr>
        <w:autoSpaceDE w:val="0"/>
        <w:autoSpaceDN w:val="0"/>
        <w:adjustRightInd w:val="0"/>
        <w:spacing w:after="0" w:line="240" w:lineRule="auto"/>
        <w:jc w:val="both"/>
        <w:rPr>
          <w:rFonts w:ascii="Times New Roman" w:hAnsi="Times New Roman"/>
          <w:i/>
          <w:iCs/>
          <w:color w:val="000000" w:themeColor="text1"/>
          <w:sz w:val="16"/>
          <w:szCs w:val="16"/>
        </w:rPr>
      </w:pPr>
    </w:p>
    <w:p w14:paraId="42760DBB" w14:textId="77777777" w:rsidR="003B2CD8" w:rsidRPr="00142305" w:rsidRDefault="003B2CD8" w:rsidP="003B2CD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6 июня 1931 года УММ КА было сформировано задание на 14-тонный танк, согласно которому на ХПЗ Тоскин разрабатывал проект "12-тонного колесно-гусеничного танка" (25678).</w:t>
      </w:r>
    </w:p>
    <w:p w14:paraId="45F99D58" w14:textId="77777777" w:rsidR="003B2CD8" w:rsidRPr="00142305" w:rsidRDefault="003B2CD8" w:rsidP="003B2CD8">
      <w:pPr>
        <w:spacing w:after="0" w:line="240" w:lineRule="auto"/>
        <w:jc w:val="both"/>
        <w:rPr>
          <w:rFonts w:ascii="Times New Roman" w:hAnsi="Times New Roman"/>
          <w:color w:val="0070C0"/>
          <w:sz w:val="16"/>
          <w:szCs w:val="16"/>
        </w:rPr>
      </w:pPr>
    </w:p>
    <w:p w14:paraId="7CCAA871" w14:textId="77777777" w:rsidR="00C356D8" w:rsidRPr="00951B40" w:rsidRDefault="00C356D8" w:rsidP="00C356D8">
      <w:pPr>
        <w:spacing w:after="0" w:line="240" w:lineRule="auto"/>
        <w:jc w:val="both"/>
        <w:rPr>
          <w:rFonts w:ascii="Times New Roman" w:hAnsi="Times New Roman"/>
          <w:color w:val="0070C0"/>
          <w:sz w:val="16"/>
          <w:szCs w:val="16"/>
        </w:rPr>
      </w:pPr>
      <w:r w:rsidRPr="00951B40">
        <w:rPr>
          <w:rStyle w:val="aff0"/>
          <w:rFonts w:ascii="Times New Roman" w:hAnsi="Times New Roman" w:cs="Times New Roman"/>
          <w:color w:val="0070C0"/>
          <w:spacing w:val="0"/>
          <w:sz w:val="16"/>
          <w:szCs w:val="16"/>
        </w:rPr>
        <w:t>6 июля 1931 г. несмотря на все недостатки, а также выявленную в ходе испытаний вибрацию валов были подписаны приемные акты на оба катера типа «Стальной» - С-1 и С-2 (25781).</w:t>
      </w:r>
    </w:p>
    <w:p w14:paraId="05ACF143" w14:textId="77777777" w:rsidR="00C356D8" w:rsidRPr="00951B40" w:rsidRDefault="00C356D8" w:rsidP="00C356D8">
      <w:pPr>
        <w:spacing w:after="0" w:line="240" w:lineRule="auto"/>
        <w:jc w:val="both"/>
        <w:rPr>
          <w:rFonts w:ascii="Times New Roman" w:hAnsi="Times New Roman"/>
          <w:color w:val="0070C0"/>
          <w:sz w:val="16"/>
          <w:szCs w:val="16"/>
        </w:rPr>
      </w:pPr>
    </w:p>
    <w:p w14:paraId="334169BE" w14:textId="17B7DF87" w:rsidR="007F54AB" w:rsidRPr="005E779E" w:rsidRDefault="007F54AB" w:rsidP="000B7A6C">
      <w:pPr>
        <w:autoSpaceDE w:val="0"/>
        <w:autoSpaceDN w:val="0"/>
        <w:adjustRightInd w:val="0"/>
        <w:spacing w:after="0" w:line="240" w:lineRule="auto"/>
        <w:jc w:val="both"/>
        <w:rPr>
          <w:rFonts w:ascii="Times New Roman" w:hAnsi="Times New Roman"/>
          <w:i/>
          <w:iCs/>
          <w:color w:val="000000" w:themeColor="text1"/>
          <w:sz w:val="16"/>
          <w:szCs w:val="16"/>
        </w:rPr>
      </w:pPr>
      <w:r w:rsidRPr="005E779E">
        <w:rPr>
          <w:rFonts w:ascii="Times New Roman" w:hAnsi="Times New Roman"/>
          <w:i/>
          <w:iCs/>
          <w:color w:val="000000" w:themeColor="text1"/>
          <w:sz w:val="16"/>
          <w:szCs w:val="16"/>
        </w:rPr>
        <w:t>За рубежом:</w:t>
      </w:r>
    </w:p>
    <w:p w14:paraId="7AE9CEB4" w14:textId="77777777" w:rsidR="007F54AB" w:rsidRPr="005E779E" w:rsidRDefault="007F54AB" w:rsidP="000B7A6C">
      <w:pPr>
        <w:autoSpaceDE w:val="0"/>
        <w:autoSpaceDN w:val="0"/>
        <w:adjustRightInd w:val="0"/>
        <w:spacing w:after="0" w:line="240" w:lineRule="auto"/>
        <w:jc w:val="both"/>
        <w:rPr>
          <w:rFonts w:ascii="Times New Roman" w:hAnsi="Times New Roman"/>
          <w:i/>
          <w:iCs/>
          <w:color w:val="000000" w:themeColor="text1"/>
          <w:sz w:val="16"/>
          <w:szCs w:val="16"/>
        </w:rPr>
      </w:pPr>
    </w:p>
    <w:p w14:paraId="35EE50D6" w14:textId="77777777" w:rsidR="007F54AB" w:rsidRPr="005E779E" w:rsidRDefault="007F54A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июля 1931 года — первый полёт лёгкого многоцелевого самолёта Bodiansky 20. /Франция/</w:t>
      </w:r>
    </w:p>
    <w:p w14:paraId="12A0015B" w14:textId="77777777" w:rsidR="007F54AB" w:rsidRPr="005E779E" w:rsidRDefault="007F54A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Инженер Владимир Бодянский, эмигрировавший во Францию из России в 1918 году, известен прежде всего как архитектор. Но первые 10 лет в эмиграции он посвятил авиации — служил лётчиком в Иностранном легионе, работал в авиастроительных компаниях и проектировал собственные самолёты. Наиболее известный из них — Bodiansky 20, который был построен для участия в национальном конкурсе туристических самолётов.</w:t>
      </w:r>
    </w:p>
    <w:p w14:paraId="1F60AAD8" w14:textId="77777777" w:rsidR="007F54AB" w:rsidRPr="005E779E" w:rsidRDefault="007F54A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Bodiansky 20 представлял собой цельнометаллический низкоплан. Был рассчитан на перевозку 3 пассажиров + 1 пилота. Двигатель Renault 4Pb позволял развить скорость до 180 км/ч, а запасов топлива хватало на 1200 км.</w:t>
      </w:r>
    </w:p>
    <w:p w14:paraId="5A86EF71" w14:textId="77777777" w:rsidR="007F54AB" w:rsidRPr="005E779E" w:rsidRDefault="007F54A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Серия неудач с пропеллером и двигателем не позволила Bodiansky 20 нормально участвовать в конкурсе. Хотя он демонстрировал хорошие лётные характеристики. Проект закрыли в 1933 году, а единственный самолёт был разобран. (22300).</w:t>
      </w:r>
    </w:p>
    <w:p w14:paraId="059CAD21" w14:textId="77777777" w:rsidR="007F54AB" w:rsidRPr="005E779E" w:rsidRDefault="007F54AB" w:rsidP="000B7A6C">
      <w:pPr>
        <w:shd w:val="clear" w:color="auto" w:fill="FFFFFF"/>
        <w:spacing w:after="0" w:line="240" w:lineRule="auto"/>
        <w:jc w:val="both"/>
        <w:rPr>
          <w:rFonts w:ascii="Times New Roman" w:hAnsi="Times New Roman"/>
          <w:color w:val="000000" w:themeColor="text1"/>
          <w:sz w:val="16"/>
          <w:szCs w:val="16"/>
        </w:rPr>
      </w:pPr>
    </w:p>
    <w:p w14:paraId="3C809F53"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2D6D1875"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D500A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июля 1931 был подготовлен Доклад о состоянии работ по опытному моторо- и самолетостроению на 1 июля 1931 для Пред. РВС К.Е.В. (копии Зам. Пред. РВС Тухачевскому, Гамарнику, Каменеву и Егорову).</w:t>
      </w:r>
    </w:p>
    <w:p w14:paraId="12A28F9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1. По моторам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24"/>
        <w:gridCol w:w="1024"/>
        <w:gridCol w:w="1024"/>
        <w:gridCol w:w="1024"/>
        <w:gridCol w:w="1024"/>
        <w:gridCol w:w="1024"/>
        <w:gridCol w:w="1024"/>
        <w:gridCol w:w="1024"/>
        <w:gridCol w:w="2831"/>
      </w:tblGrid>
      <w:tr w:rsidR="001002C3" w:rsidRPr="005E779E" w14:paraId="282B657B" w14:textId="77777777">
        <w:tc>
          <w:tcPr>
            <w:tcW w:w="1024" w:type="dxa"/>
          </w:tcPr>
          <w:p w14:paraId="016ADB9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w:t>
            </w:r>
          </w:p>
        </w:tc>
        <w:tc>
          <w:tcPr>
            <w:tcW w:w="1024" w:type="dxa"/>
          </w:tcPr>
          <w:p w14:paraId="7B76D38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Кто</w:t>
            </w:r>
          </w:p>
        </w:tc>
        <w:tc>
          <w:tcPr>
            <w:tcW w:w="1024" w:type="dxa"/>
          </w:tcPr>
          <w:p w14:paraId="189D80D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Охлажд.</w:t>
            </w:r>
          </w:p>
        </w:tc>
        <w:tc>
          <w:tcPr>
            <w:tcW w:w="1024" w:type="dxa"/>
          </w:tcPr>
          <w:p w14:paraId="6D64904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Мощн.</w:t>
            </w:r>
          </w:p>
        </w:tc>
        <w:tc>
          <w:tcPr>
            <w:tcW w:w="1024" w:type="dxa"/>
          </w:tcPr>
          <w:p w14:paraId="4600856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w:t>
            </w:r>
          </w:p>
        </w:tc>
        <w:tc>
          <w:tcPr>
            <w:tcW w:w="1024" w:type="dxa"/>
          </w:tcPr>
          <w:p w14:paraId="1D0BB44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Удельн.</w:t>
            </w:r>
          </w:p>
        </w:tc>
        <w:tc>
          <w:tcPr>
            <w:tcW w:w="1024" w:type="dxa"/>
          </w:tcPr>
          <w:p w14:paraId="651040D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Высотн.</w:t>
            </w:r>
          </w:p>
        </w:tc>
        <w:tc>
          <w:tcPr>
            <w:tcW w:w="1024" w:type="dxa"/>
          </w:tcPr>
          <w:p w14:paraId="3B95512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Новый</w:t>
            </w:r>
          </w:p>
        </w:tc>
        <w:tc>
          <w:tcPr>
            <w:tcW w:w="2831" w:type="dxa"/>
          </w:tcPr>
          <w:p w14:paraId="6A570A1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 октября 1931 года</w:t>
            </w:r>
          </w:p>
        </w:tc>
      </w:tr>
      <w:tr w:rsidR="001002C3" w:rsidRPr="005E779E" w14:paraId="732877A3" w14:textId="77777777">
        <w:tc>
          <w:tcPr>
            <w:tcW w:w="1024" w:type="dxa"/>
          </w:tcPr>
          <w:p w14:paraId="23E0F7F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моторов</w:t>
            </w:r>
          </w:p>
        </w:tc>
        <w:tc>
          <w:tcPr>
            <w:tcW w:w="1024" w:type="dxa"/>
          </w:tcPr>
          <w:p w14:paraId="0894FE1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строит</w:t>
            </w:r>
          </w:p>
        </w:tc>
        <w:tc>
          <w:tcPr>
            <w:tcW w:w="1024" w:type="dxa"/>
          </w:tcPr>
          <w:p w14:paraId="56E3B56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B236F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F3445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кг</w:t>
            </w:r>
          </w:p>
        </w:tc>
        <w:tc>
          <w:tcPr>
            <w:tcW w:w="1024" w:type="dxa"/>
          </w:tcPr>
          <w:p w14:paraId="7A91E12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w:t>
            </w:r>
          </w:p>
        </w:tc>
        <w:tc>
          <w:tcPr>
            <w:tcW w:w="1024" w:type="dxa"/>
          </w:tcPr>
          <w:p w14:paraId="497842D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A8A3F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срок</w:t>
            </w:r>
          </w:p>
        </w:tc>
        <w:tc>
          <w:tcPr>
            <w:tcW w:w="2831" w:type="dxa"/>
          </w:tcPr>
          <w:p w14:paraId="51A6481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720EBEC" w14:textId="77777777">
        <w:tc>
          <w:tcPr>
            <w:tcW w:w="1024" w:type="dxa"/>
          </w:tcPr>
          <w:p w14:paraId="7282ADE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55B91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AAF9F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44DC5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C6AEE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2FD88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91ED3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45FF5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престав.</w:t>
            </w:r>
          </w:p>
        </w:tc>
        <w:tc>
          <w:tcPr>
            <w:tcW w:w="2831" w:type="dxa"/>
          </w:tcPr>
          <w:p w14:paraId="23628F5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E83FB96" w14:textId="77777777">
        <w:tc>
          <w:tcPr>
            <w:tcW w:w="1024" w:type="dxa"/>
          </w:tcPr>
          <w:p w14:paraId="650779E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DB689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48E12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F306F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5EEB3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71E99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1ABBB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A12DD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гос.</w:t>
            </w:r>
          </w:p>
        </w:tc>
        <w:tc>
          <w:tcPr>
            <w:tcW w:w="2831" w:type="dxa"/>
          </w:tcPr>
          <w:p w14:paraId="29690F7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EDA879A" w14:textId="77777777">
        <w:tc>
          <w:tcPr>
            <w:tcW w:w="1024" w:type="dxa"/>
          </w:tcPr>
          <w:p w14:paraId="685786C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DA5F9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92729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429D9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A4788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B0C89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0CBBE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922FD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w:t>
            </w:r>
          </w:p>
        </w:tc>
        <w:tc>
          <w:tcPr>
            <w:tcW w:w="2831" w:type="dxa"/>
          </w:tcPr>
          <w:p w14:paraId="2E43171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6D4BC47" w14:textId="77777777">
        <w:tc>
          <w:tcPr>
            <w:tcW w:w="1024" w:type="dxa"/>
          </w:tcPr>
          <w:p w14:paraId="0091178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истребителей</w:t>
            </w:r>
          </w:p>
        </w:tc>
        <w:tc>
          <w:tcPr>
            <w:tcW w:w="1024" w:type="dxa"/>
          </w:tcPr>
          <w:p w14:paraId="593F93A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w:t>
            </w:r>
          </w:p>
        </w:tc>
        <w:tc>
          <w:tcPr>
            <w:tcW w:w="1024" w:type="dxa"/>
          </w:tcPr>
          <w:p w14:paraId="7710DED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возд.</w:t>
            </w:r>
          </w:p>
        </w:tc>
        <w:tc>
          <w:tcPr>
            <w:tcW w:w="1024" w:type="dxa"/>
          </w:tcPr>
          <w:p w14:paraId="5D429E1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450</w:t>
            </w:r>
          </w:p>
        </w:tc>
        <w:tc>
          <w:tcPr>
            <w:tcW w:w="1024" w:type="dxa"/>
          </w:tcPr>
          <w:p w14:paraId="5FB9035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415</w:t>
            </w:r>
          </w:p>
        </w:tc>
        <w:tc>
          <w:tcPr>
            <w:tcW w:w="1024" w:type="dxa"/>
          </w:tcPr>
          <w:p w14:paraId="57C333D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0,92</w:t>
            </w:r>
          </w:p>
        </w:tc>
        <w:tc>
          <w:tcPr>
            <w:tcW w:w="1024" w:type="dxa"/>
          </w:tcPr>
          <w:p w14:paraId="76A9BC1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2000</w:t>
            </w:r>
          </w:p>
        </w:tc>
        <w:tc>
          <w:tcPr>
            <w:tcW w:w="1024" w:type="dxa"/>
          </w:tcPr>
          <w:p w14:paraId="68A2970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февр.</w:t>
            </w:r>
          </w:p>
        </w:tc>
        <w:tc>
          <w:tcPr>
            <w:tcW w:w="2831" w:type="dxa"/>
          </w:tcPr>
          <w:p w14:paraId="4088B00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 сего времени на гос. испытание не предъявлялся.</w:t>
            </w:r>
          </w:p>
        </w:tc>
      </w:tr>
      <w:tr w:rsidR="001002C3" w:rsidRPr="005E779E" w14:paraId="41F2DAEF" w14:textId="77777777">
        <w:tc>
          <w:tcPr>
            <w:tcW w:w="1024" w:type="dxa"/>
          </w:tcPr>
          <w:p w14:paraId="3A47C63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М-15</w:t>
            </w:r>
          </w:p>
        </w:tc>
        <w:tc>
          <w:tcPr>
            <w:tcW w:w="1024" w:type="dxa"/>
          </w:tcPr>
          <w:p w14:paraId="6E8AE37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45701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EA528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6C46D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E6FC2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65222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DC7A9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 г.</w:t>
            </w:r>
          </w:p>
        </w:tc>
        <w:tc>
          <w:tcPr>
            <w:tcW w:w="2831" w:type="dxa"/>
          </w:tcPr>
          <w:p w14:paraId="46583B9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мае прошел 50-часовое серийное испытание, пущен </w:t>
            </w:r>
          </w:p>
        </w:tc>
      </w:tr>
      <w:tr w:rsidR="001002C3" w:rsidRPr="005E779E" w14:paraId="4D5A5CF0" w14:textId="77777777">
        <w:tc>
          <w:tcPr>
            <w:tcW w:w="1024" w:type="dxa"/>
          </w:tcPr>
          <w:p w14:paraId="1CC5DCD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B4F72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7B242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25FB6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2A6A1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35061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37855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03EE9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3EE409D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серию для ГВФ. Подлежит доработке в деталях</w:t>
            </w:r>
          </w:p>
        </w:tc>
      </w:tr>
      <w:tr w:rsidR="001002C3" w:rsidRPr="005E779E" w14:paraId="03F35DFA" w14:textId="77777777">
        <w:tc>
          <w:tcPr>
            <w:tcW w:w="1024" w:type="dxa"/>
          </w:tcPr>
          <w:p w14:paraId="1EAC493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истребителей</w:t>
            </w:r>
          </w:p>
        </w:tc>
        <w:tc>
          <w:tcPr>
            <w:tcW w:w="1024" w:type="dxa"/>
          </w:tcPr>
          <w:p w14:paraId="5282922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ИАМ</w:t>
            </w:r>
          </w:p>
        </w:tc>
        <w:tc>
          <w:tcPr>
            <w:tcW w:w="1024" w:type="dxa"/>
          </w:tcPr>
          <w:p w14:paraId="762D0E8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водян.</w:t>
            </w:r>
          </w:p>
        </w:tc>
        <w:tc>
          <w:tcPr>
            <w:tcW w:w="1024" w:type="dxa"/>
          </w:tcPr>
          <w:p w14:paraId="3993F5C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550</w:t>
            </w:r>
          </w:p>
        </w:tc>
        <w:tc>
          <w:tcPr>
            <w:tcW w:w="1024" w:type="dxa"/>
          </w:tcPr>
          <w:p w14:paraId="7C4913A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450</w:t>
            </w:r>
          </w:p>
        </w:tc>
        <w:tc>
          <w:tcPr>
            <w:tcW w:w="1024" w:type="dxa"/>
          </w:tcPr>
          <w:p w14:paraId="1A83121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0,82</w:t>
            </w:r>
          </w:p>
        </w:tc>
        <w:tc>
          <w:tcPr>
            <w:tcW w:w="1024" w:type="dxa"/>
          </w:tcPr>
          <w:p w14:paraId="315A712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024" w:type="dxa"/>
          </w:tcPr>
          <w:p w14:paraId="75B3826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марта</w:t>
            </w:r>
          </w:p>
        </w:tc>
        <w:tc>
          <w:tcPr>
            <w:tcW w:w="2831" w:type="dxa"/>
          </w:tcPr>
          <w:p w14:paraId="029E0A0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Закончена рабочая компоновка. Закончены поковочн.</w:t>
            </w:r>
          </w:p>
        </w:tc>
      </w:tr>
      <w:tr w:rsidR="001002C3" w:rsidRPr="005E779E" w14:paraId="349585D5" w14:textId="77777777">
        <w:tc>
          <w:tcPr>
            <w:tcW w:w="1024" w:type="dxa"/>
          </w:tcPr>
          <w:p w14:paraId="2A68F27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М-19а</w:t>
            </w:r>
          </w:p>
        </w:tc>
        <w:tc>
          <w:tcPr>
            <w:tcW w:w="1024" w:type="dxa"/>
          </w:tcPr>
          <w:p w14:paraId="172AF4B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FA3F1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52750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60B43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ED47B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E50CC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26F05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1932</w:t>
            </w:r>
          </w:p>
        </w:tc>
        <w:tc>
          <w:tcPr>
            <w:tcW w:w="2831" w:type="dxa"/>
          </w:tcPr>
          <w:p w14:paraId="41DF74E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чертежи. Главное литье закончено. Рабочие чертежи</w:t>
            </w:r>
          </w:p>
        </w:tc>
      </w:tr>
      <w:tr w:rsidR="001002C3" w:rsidRPr="005E779E" w14:paraId="053D5A78" w14:textId="77777777">
        <w:tc>
          <w:tcPr>
            <w:tcW w:w="1024" w:type="dxa"/>
          </w:tcPr>
          <w:p w14:paraId="673C1F2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8344A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EC8FD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56B2D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17175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E6C0B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7C061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02A9D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623ACFA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частично закончены (не готов импеллер). Специфик.</w:t>
            </w:r>
          </w:p>
        </w:tc>
      </w:tr>
      <w:tr w:rsidR="001002C3" w:rsidRPr="005E779E" w14:paraId="0256F1FA" w14:textId="77777777">
        <w:tc>
          <w:tcPr>
            <w:tcW w:w="1024" w:type="dxa"/>
          </w:tcPr>
          <w:p w14:paraId="1DC4596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A78E6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0EDD2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473C4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DFFCC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F0623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F4933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C1CBB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10B1715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процессе, равно как и общие виды и узловые</w:t>
            </w:r>
          </w:p>
        </w:tc>
      </w:tr>
      <w:tr w:rsidR="001002C3" w:rsidRPr="005E779E" w14:paraId="76FD7918" w14:textId="77777777">
        <w:tc>
          <w:tcPr>
            <w:tcW w:w="1024" w:type="dxa"/>
          </w:tcPr>
          <w:p w14:paraId="5C8DBA9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3C2A9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3ADDB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59714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5C886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EA247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86FBB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749F8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6D1919B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сборочные чертежи</w:t>
            </w:r>
          </w:p>
        </w:tc>
      </w:tr>
      <w:tr w:rsidR="001002C3" w:rsidRPr="005E779E" w14:paraId="19CC0218" w14:textId="77777777">
        <w:tc>
          <w:tcPr>
            <w:tcW w:w="1024" w:type="dxa"/>
          </w:tcPr>
          <w:p w14:paraId="751B7D4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разведчика</w:t>
            </w:r>
          </w:p>
        </w:tc>
        <w:tc>
          <w:tcPr>
            <w:tcW w:w="1024" w:type="dxa"/>
          </w:tcPr>
          <w:p w14:paraId="3AA2453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ИАМ</w:t>
            </w:r>
          </w:p>
        </w:tc>
        <w:tc>
          <w:tcPr>
            <w:tcW w:w="1024" w:type="dxa"/>
          </w:tcPr>
          <w:p w14:paraId="7E45436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024" w:type="dxa"/>
          </w:tcPr>
          <w:p w14:paraId="42371DF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750/</w:t>
            </w:r>
          </w:p>
        </w:tc>
        <w:tc>
          <w:tcPr>
            <w:tcW w:w="1024" w:type="dxa"/>
          </w:tcPr>
          <w:p w14:paraId="5785168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540</w:t>
            </w:r>
          </w:p>
        </w:tc>
        <w:tc>
          <w:tcPr>
            <w:tcW w:w="1024" w:type="dxa"/>
          </w:tcPr>
          <w:p w14:paraId="27BECAD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0,74</w:t>
            </w:r>
          </w:p>
        </w:tc>
        <w:tc>
          <w:tcPr>
            <w:tcW w:w="1024" w:type="dxa"/>
          </w:tcPr>
          <w:p w14:paraId="5D781C4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024" w:type="dxa"/>
          </w:tcPr>
          <w:p w14:paraId="63E1B3E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июля</w:t>
            </w:r>
          </w:p>
        </w:tc>
        <w:tc>
          <w:tcPr>
            <w:tcW w:w="2831" w:type="dxa"/>
          </w:tcPr>
          <w:p w14:paraId="64BF4BC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 без импеллера находится в стадии предвар.</w:t>
            </w:r>
          </w:p>
        </w:tc>
      </w:tr>
      <w:tr w:rsidR="001002C3" w:rsidRPr="005E779E" w14:paraId="0FFE6BA7" w14:textId="77777777">
        <w:tc>
          <w:tcPr>
            <w:tcW w:w="1024" w:type="dxa"/>
          </w:tcPr>
          <w:p w14:paraId="4279078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М-34</w:t>
            </w:r>
          </w:p>
        </w:tc>
        <w:tc>
          <w:tcPr>
            <w:tcW w:w="1024" w:type="dxa"/>
          </w:tcPr>
          <w:p w14:paraId="38233B8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AEC62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F50E3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900</w:t>
            </w:r>
          </w:p>
        </w:tc>
        <w:tc>
          <w:tcPr>
            <w:tcW w:w="1024" w:type="dxa"/>
          </w:tcPr>
          <w:p w14:paraId="1D2FA02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201D9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1CC5E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E1462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 г.</w:t>
            </w:r>
          </w:p>
        </w:tc>
        <w:tc>
          <w:tcPr>
            <w:tcW w:w="2831" w:type="dxa"/>
          </w:tcPr>
          <w:p w14:paraId="454C023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заводских испытаний. Из-за отсутствия карбюратора</w:t>
            </w:r>
          </w:p>
        </w:tc>
      </w:tr>
      <w:tr w:rsidR="001002C3" w:rsidRPr="005E779E" w14:paraId="6B617993" w14:textId="77777777">
        <w:tc>
          <w:tcPr>
            <w:tcW w:w="1024" w:type="dxa"/>
          </w:tcPr>
          <w:p w14:paraId="2E748D7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63864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2394F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1741B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3FFB5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9A22D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37F4C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B5C86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66D7443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 удалось получить запроектированные мощности.</w:t>
            </w:r>
          </w:p>
        </w:tc>
      </w:tr>
      <w:tr w:rsidR="001002C3" w:rsidRPr="005E779E" w14:paraId="1FB7313A" w14:textId="77777777">
        <w:tc>
          <w:tcPr>
            <w:tcW w:w="1024" w:type="dxa"/>
          </w:tcPr>
          <w:p w14:paraId="1581FD0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D5D74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B0ACC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E18DB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0742A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950D5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2C673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8088D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160D851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Импеллер изготавливается крайне медленно, темп</w:t>
            </w:r>
          </w:p>
        </w:tc>
      </w:tr>
      <w:tr w:rsidR="001002C3" w:rsidRPr="005E779E" w14:paraId="14D1387F" w14:textId="77777777">
        <w:tc>
          <w:tcPr>
            <w:tcW w:w="1024" w:type="dxa"/>
          </w:tcPr>
          <w:p w14:paraId="51E8333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00D6A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38E96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5E77C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26981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A6638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46225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9F4E3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2087CD0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 на заводе 26 резко упал и грозит срывом.</w:t>
            </w:r>
          </w:p>
        </w:tc>
      </w:tr>
      <w:tr w:rsidR="001002C3" w:rsidRPr="005E779E" w14:paraId="496A67BC" w14:textId="77777777">
        <w:tc>
          <w:tcPr>
            <w:tcW w:w="1024" w:type="dxa"/>
          </w:tcPr>
          <w:p w14:paraId="3971276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011D9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D80F4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CEFB3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87964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9D68A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C4AB5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EE900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6B196CA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Приняты меры по получению карбюратора из-за</w:t>
            </w:r>
          </w:p>
        </w:tc>
      </w:tr>
      <w:tr w:rsidR="001002C3" w:rsidRPr="005E779E" w14:paraId="5CEBAAB0" w14:textId="77777777">
        <w:tc>
          <w:tcPr>
            <w:tcW w:w="1024" w:type="dxa"/>
          </w:tcPr>
          <w:p w14:paraId="121A772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59130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3C4F9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C6D98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930EC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AB4EE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FF910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6B4C3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4F57232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границы. педварительные данные - мощность 740</w:t>
            </w:r>
          </w:p>
        </w:tc>
      </w:tr>
      <w:tr w:rsidR="001002C3" w:rsidRPr="005E779E" w14:paraId="37003286" w14:textId="77777777">
        <w:tc>
          <w:tcPr>
            <w:tcW w:w="1024" w:type="dxa"/>
          </w:tcPr>
          <w:p w14:paraId="58000BE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D4D72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4F159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FCFA1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12CD8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62611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34AFE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4C783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59AC031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нр при 1536 оборотов, макс. мощность - 815 при</w:t>
            </w:r>
          </w:p>
        </w:tc>
      </w:tr>
      <w:tr w:rsidR="001002C3" w:rsidRPr="005E779E" w14:paraId="2C9B88B2" w14:textId="77777777">
        <w:tc>
          <w:tcPr>
            <w:tcW w:w="1024" w:type="dxa"/>
          </w:tcPr>
          <w:p w14:paraId="1D9F00F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F5E09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B61CA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753E9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EF8C4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E5AD6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3A1D0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77D8B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41C1385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1800. Вес без импеллера - 590 кг</w:t>
            </w:r>
          </w:p>
        </w:tc>
      </w:tr>
      <w:tr w:rsidR="001002C3" w:rsidRPr="005E779E" w14:paraId="2B3757EE" w14:textId="77777777">
        <w:tc>
          <w:tcPr>
            <w:tcW w:w="1024" w:type="dxa"/>
          </w:tcPr>
          <w:p w14:paraId="65D7F0C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разведчика</w:t>
            </w:r>
          </w:p>
        </w:tc>
        <w:tc>
          <w:tcPr>
            <w:tcW w:w="1024" w:type="dxa"/>
          </w:tcPr>
          <w:p w14:paraId="283BD8A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w:t>
            </w:r>
          </w:p>
        </w:tc>
        <w:tc>
          <w:tcPr>
            <w:tcW w:w="1024" w:type="dxa"/>
          </w:tcPr>
          <w:p w14:paraId="1AF375E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водян.</w:t>
            </w:r>
          </w:p>
        </w:tc>
        <w:tc>
          <w:tcPr>
            <w:tcW w:w="1024" w:type="dxa"/>
          </w:tcPr>
          <w:p w14:paraId="08FE123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750/</w:t>
            </w:r>
          </w:p>
        </w:tc>
        <w:tc>
          <w:tcPr>
            <w:tcW w:w="1024" w:type="dxa"/>
          </w:tcPr>
          <w:p w14:paraId="160D2A1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630</w:t>
            </w:r>
          </w:p>
        </w:tc>
        <w:tc>
          <w:tcPr>
            <w:tcW w:w="1024" w:type="dxa"/>
          </w:tcPr>
          <w:p w14:paraId="121455A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0,83</w:t>
            </w:r>
          </w:p>
        </w:tc>
        <w:tc>
          <w:tcPr>
            <w:tcW w:w="1024" w:type="dxa"/>
          </w:tcPr>
          <w:p w14:paraId="3125A77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1500</w:t>
            </w:r>
          </w:p>
        </w:tc>
        <w:tc>
          <w:tcPr>
            <w:tcW w:w="1024" w:type="dxa"/>
          </w:tcPr>
          <w:p w14:paraId="0C96D0A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01 янв.</w:t>
            </w:r>
          </w:p>
        </w:tc>
        <w:tc>
          <w:tcPr>
            <w:tcW w:w="2831" w:type="dxa"/>
          </w:tcPr>
          <w:p w14:paraId="10D0897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Прошел 100 часовые гос. испытания и запускается</w:t>
            </w:r>
          </w:p>
        </w:tc>
      </w:tr>
      <w:tr w:rsidR="001002C3" w:rsidRPr="005E779E" w14:paraId="37CA47F9" w14:textId="77777777">
        <w:tc>
          <w:tcPr>
            <w:tcW w:w="1024" w:type="dxa"/>
          </w:tcPr>
          <w:p w14:paraId="0534FEE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М-27</w:t>
            </w:r>
          </w:p>
        </w:tc>
        <w:tc>
          <w:tcPr>
            <w:tcW w:w="1024" w:type="dxa"/>
          </w:tcPr>
          <w:p w14:paraId="5D24D68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46489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5AA88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850</w:t>
            </w:r>
          </w:p>
        </w:tc>
        <w:tc>
          <w:tcPr>
            <w:tcW w:w="1024" w:type="dxa"/>
          </w:tcPr>
          <w:p w14:paraId="58FF682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4B93B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6E640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00B2F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w:t>
            </w:r>
          </w:p>
        </w:tc>
        <w:tc>
          <w:tcPr>
            <w:tcW w:w="2831" w:type="dxa"/>
          </w:tcPr>
          <w:p w14:paraId="1EDDA33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серию</w:t>
            </w:r>
          </w:p>
        </w:tc>
      </w:tr>
      <w:tr w:rsidR="001002C3" w:rsidRPr="005E779E" w14:paraId="7BA18792" w14:textId="77777777">
        <w:tc>
          <w:tcPr>
            <w:tcW w:w="1024" w:type="dxa"/>
          </w:tcPr>
          <w:p w14:paraId="6637E5A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тяжелых</w:t>
            </w:r>
          </w:p>
        </w:tc>
        <w:tc>
          <w:tcPr>
            <w:tcW w:w="1024" w:type="dxa"/>
          </w:tcPr>
          <w:p w14:paraId="0971715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w:t>
            </w:r>
          </w:p>
        </w:tc>
        <w:tc>
          <w:tcPr>
            <w:tcW w:w="1024" w:type="dxa"/>
          </w:tcPr>
          <w:p w14:paraId="6014CE6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водян.</w:t>
            </w:r>
          </w:p>
        </w:tc>
        <w:tc>
          <w:tcPr>
            <w:tcW w:w="1024" w:type="dxa"/>
          </w:tcPr>
          <w:p w14:paraId="193EEBB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w:t>
            </w:r>
          </w:p>
        </w:tc>
        <w:tc>
          <w:tcPr>
            <w:tcW w:w="1024" w:type="dxa"/>
          </w:tcPr>
          <w:p w14:paraId="1DE551A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840</w:t>
            </w:r>
          </w:p>
        </w:tc>
        <w:tc>
          <w:tcPr>
            <w:tcW w:w="1024" w:type="dxa"/>
          </w:tcPr>
          <w:p w14:paraId="01793CE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0,84</w:t>
            </w:r>
          </w:p>
        </w:tc>
        <w:tc>
          <w:tcPr>
            <w:tcW w:w="1024" w:type="dxa"/>
          </w:tcPr>
          <w:p w14:paraId="2322DC6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4000</w:t>
            </w:r>
          </w:p>
        </w:tc>
        <w:tc>
          <w:tcPr>
            <w:tcW w:w="1024" w:type="dxa"/>
          </w:tcPr>
          <w:p w14:paraId="0B6D93B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мая</w:t>
            </w:r>
          </w:p>
        </w:tc>
        <w:tc>
          <w:tcPr>
            <w:tcW w:w="2831" w:type="dxa"/>
          </w:tcPr>
          <w:p w14:paraId="05C898F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 прошел 50 час. этап гос. испытаний, причем</w:t>
            </w:r>
          </w:p>
        </w:tc>
      </w:tr>
      <w:tr w:rsidR="001002C3" w:rsidRPr="005E779E" w14:paraId="78CA5862" w14:textId="77777777">
        <w:tc>
          <w:tcPr>
            <w:tcW w:w="1024" w:type="dxa"/>
          </w:tcPr>
          <w:p w14:paraId="7EDADEF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бомбардировщиков</w:t>
            </w:r>
          </w:p>
        </w:tc>
        <w:tc>
          <w:tcPr>
            <w:tcW w:w="1024" w:type="dxa"/>
          </w:tcPr>
          <w:p w14:paraId="2DA79F3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92D3F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DAC1A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435D4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5F8A6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4D37B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5EEDA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 г.</w:t>
            </w:r>
          </w:p>
        </w:tc>
        <w:tc>
          <w:tcPr>
            <w:tcW w:w="2831" w:type="dxa"/>
          </w:tcPr>
          <w:p w14:paraId="0CCEE8E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25 час. разбирался. Обнаружиди трещины на</w:t>
            </w:r>
          </w:p>
        </w:tc>
      </w:tr>
      <w:tr w:rsidR="001002C3" w:rsidRPr="005E779E" w14:paraId="6BB1B706" w14:textId="77777777">
        <w:tc>
          <w:tcPr>
            <w:tcW w:w="1024" w:type="dxa"/>
          </w:tcPr>
          <w:p w14:paraId="05AD9FB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ФЭД-3</w:t>
            </w:r>
          </w:p>
        </w:tc>
        <w:tc>
          <w:tcPr>
            <w:tcW w:w="1024" w:type="dxa"/>
          </w:tcPr>
          <w:p w14:paraId="70D4E98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10974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8906C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D563F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6907F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639DF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B0FE8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63205D8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всех шатунах, одном коренном подшипнике и кроме</w:t>
            </w:r>
          </w:p>
        </w:tc>
      </w:tr>
      <w:tr w:rsidR="001002C3" w:rsidRPr="005E779E" w14:paraId="42A7A93D" w14:textId="77777777">
        <w:tc>
          <w:tcPr>
            <w:tcW w:w="1024" w:type="dxa"/>
          </w:tcPr>
          <w:p w14:paraId="1BC741F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3B547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240CA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056D8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48BE2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B472C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A513F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FCB1D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00406D2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того трещина в валике импеллера. При вторичной</w:t>
            </w:r>
          </w:p>
        </w:tc>
      </w:tr>
      <w:tr w:rsidR="001002C3" w:rsidRPr="005E779E" w14:paraId="03F4137A" w14:textId="77777777">
        <w:tc>
          <w:tcPr>
            <w:tcW w:w="1024" w:type="dxa"/>
          </w:tcPr>
          <w:p w14:paraId="3514549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FEEFE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45C40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7E6EA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68C1C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DEF4D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62C3A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F7B8E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747D3F5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разборке обнаружили трещины на шатунных подш.</w:t>
            </w:r>
          </w:p>
        </w:tc>
      </w:tr>
      <w:tr w:rsidR="001002C3" w:rsidRPr="005E779E" w14:paraId="1D7585DD" w14:textId="77777777">
        <w:tc>
          <w:tcPr>
            <w:tcW w:w="1024" w:type="dxa"/>
          </w:tcPr>
          <w:p w14:paraId="459BE72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FF364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D238B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D6355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C956A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0DE47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01772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43E9A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4E6896F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от проведения второго 50-часового этапа</w:t>
            </w:r>
          </w:p>
        </w:tc>
      </w:tr>
      <w:tr w:rsidR="001002C3" w:rsidRPr="005E779E" w14:paraId="448ADCE9" w14:textId="77777777">
        <w:tc>
          <w:tcPr>
            <w:tcW w:w="1024" w:type="dxa"/>
          </w:tcPr>
          <w:p w14:paraId="409D1ED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B5EB3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0E4CA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9FF6D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CE65B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20C07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84B52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257E4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696AE2C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гос. испытаний отказался. Проверяются расчеты</w:t>
            </w:r>
          </w:p>
        </w:tc>
      </w:tr>
      <w:tr w:rsidR="001002C3" w:rsidRPr="005E779E" w14:paraId="714142D2" w14:textId="77777777">
        <w:tc>
          <w:tcPr>
            <w:tcW w:w="1024" w:type="dxa"/>
          </w:tcPr>
          <w:p w14:paraId="1E49B0B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0CF65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52E7E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977EA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E1CE0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AA308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1444D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A1095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52F08C4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подготовки заключения по этапу и мотору</w:t>
            </w:r>
          </w:p>
        </w:tc>
      </w:tr>
      <w:tr w:rsidR="001002C3" w:rsidRPr="005E779E" w14:paraId="2FADB236" w14:textId="77777777">
        <w:tc>
          <w:tcPr>
            <w:tcW w:w="1024" w:type="dxa"/>
          </w:tcPr>
          <w:p w14:paraId="6FAD6EB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истребителей</w:t>
            </w:r>
          </w:p>
        </w:tc>
        <w:tc>
          <w:tcPr>
            <w:tcW w:w="1024" w:type="dxa"/>
          </w:tcPr>
          <w:p w14:paraId="6B7E63F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ИАМ</w:t>
            </w:r>
          </w:p>
        </w:tc>
        <w:tc>
          <w:tcPr>
            <w:tcW w:w="1024" w:type="dxa"/>
          </w:tcPr>
          <w:p w14:paraId="6ACEA93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возд.</w:t>
            </w:r>
          </w:p>
        </w:tc>
        <w:tc>
          <w:tcPr>
            <w:tcW w:w="1024" w:type="dxa"/>
          </w:tcPr>
          <w:p w14:paraId="153E87C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w:t>
            </w:r>
          </w:p>
        </w:tc>
        <w:tc>
          <w:tcPr>
            <w:tcW w:w="1024" w:type="dxa"/>
          </w:tcPr>
          <w:p w14:paraId="1AEB032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E4DBA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0,63</w:t>
            </w:r>
          </w:p>
        </w:tc>
        <w:tc>
          <w:tcPr>
            <w:tcW w:w="1024" w:type="dxa"/>
          </w:tcPr>
          <w:p w14:paraId="1ACBE33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024" w:type="dxa"/>
          </w:tcPr>
          <w:p w14:paraId="1AD7D83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марта</w:t>
            </w:r>
          </w:p>
        </w:tc>
        <w:tc>
          <w:tcPr>
            <w:tcW w:w="2831" w:type="dxa"/>
          </w:tcPr>
          <w:p w14:paraId="658EBB2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Окончена расчетная часть и компоновка и черт.</w:t>
            </w:r>
          </w:p>
        </w:tc>
      </w:tr>
      <w:tr w:rsidR="001002C3" w:rsidRPr="005E779E" w14:paraId="310B2C16" w14:textId="77777777">
        <w:tc>
          <w:tcPr>
            <w:tcW w:w="1024" w:type="dxa"/>
          </w:tcPr>
          <w:p w14:paraId="359A979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М-38</w:t>
            </w:r>
          </w:p>
        </w:tc>
        <w:tc>
          <w:tcPr>
            <w:tcW w:w="1024" w:type="dxa"/>
          </w:tcPr>
          <w:p w14:paraId="06B52FE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FB7A6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94625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8D8D0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68353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CD3EA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E8E90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1932 г.</w:t>
            </w:r>
          </w:p>
        </w:tc>
        <w:tc>
          <w:tcPr>
            <w:tcW w:w="2831" w:type="dxa"/>
          </w:tcPr>
          <w:p w14:paraId="5B3F938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основных деталей. Мелкие детали будут окончены 25</w:t>
            </w:r>
          </w:p>
        </w:tc>
      </w:tr>
      <w:tr w:rsidR="001002C3" w:rsidRPr="005E779E" w14:paraId="688358FD" w14:textId="77777777">
        <w:tc>
          <w:tcPr>
            <w:tcW w:w="1024" w:type="dxa"/>
          </w:tcPr>
          <w:p w14:paraId="14A7088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FE25C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FB8F1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AC683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2745E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B05CD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E5B1D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E45EE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53185BB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июля, сборочные - 15 августа. Литье гл. деталей</w:t>
            </w:r>
          </w:p>
        </w:tc>
      </w:tr>
      <w:tr w:rsidR="001002C3" w:rsidRPr="005E779E" w14:paraId="2C0228C6" w14:textId="77777777">
        <w:tc>
          <w:tcPr>
            <w:tcW w:w="1024" w:type="dxa"/>
          </w:tcPr>
          <w:p w14:paraId="11F9D62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9858E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97502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EA2DB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E8F85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8BC4D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0A945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EA991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77FFD10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будет выпущено 5 июля. Задерживаются поковки,</w:t>
            </w:r>
          </w:p>
        </w:tc>
      </w:tr>
      <w:tr w:rsidR="001002C3" w:rsidRPr="005E779E" w14:paraId="32E95BE4" w14:textId="77777777">
        <w:tc>
          <w:tcPr>
            <w:tcW w:w="1024" w:type="dxa"/>
          </w:tcPr>
          <w:p w14:paraId="69E2EEE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F3C58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ED629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EC54E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82338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FEB2E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2330D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15CD5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0872B07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заказанные на Мотовилихинском заводе и будут</w:t>
            </w:r>
          </w:p>
        </w:tc>
      </w:tr>
      <w:tr w:rsidR="001002C3" w:rsidRPr="005E779E" w14:paraId="0795099B" w14:textId="77777777">
        <w:tc>
          <w:tcPr>
            <w:tcW w:w="1024" w:type="dxa"/>
          </w:tcPr>
          <w:p w14:paraId="3D77014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7A187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09E5E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C6744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670CF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69961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B067F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92617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4FB255D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поданы 1 октября. Необходим нажим на ускорение</w:t>
            </w:r>
          </w:p>
        </w:tc>
      </w:tr>
      <w:tr w:rsidR="001002C3" w:rsidRPr="005E779E" w14:paraId="483D81EB" w14:textId="77777777">
        <w:tc>
          <w:tcPr>
            <w:tcW w:w="1024" w:type="dxa"/>
          </w:tcPr>
          <w:p w14:paraId="7B9E3E9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D5464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F52C6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B5C19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CF9B9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911C7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FD647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03BFE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71E70F2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выполнения заказа Мотор по данным ИАМ</w:t>
            </w:r>
          </w:p>
        </w:tc>
      </w:tr>
      <w:tr w:rsidR="001002C3" w:rsidRPr="005E779E" w14:paraId="04CF64E7" w14:textId="77777777">
        <w:tc>
          <w:tcPr>
            <w:tcW w:w="1024" w:type="dxa"/>
          </w:tcPr>
          <w:p w14:paraId="7AADEF1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BADDB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D96A1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C894E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054ED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AF522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F02C5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E0DA1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141BAD2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соответствует требованиям ВАО</w:t>
            </w:r>
          </w:p>
        </w:tc>
      </w:tr>
      <w:tr w:rsidR="001002C3" w:rsidRPr="005E779E" w14:paraId="7032F343" w14:textId="77777777">
        <w:tc>
          <w:tcPr>
            <w:tcW w:w="1024" w:type="dxa"/>
          </w:tcPr>
          <w:p w14:paraId="235EA55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тяжелых</w:t>
            </w:r>
          </w:p>
        </w:tc>
        <w:tc>
          <w:tcPr>
            <w:tcW w:w="1024" w:type="dxa"/>
          </w:tcPr>
          <w:p w14:paraId="00F9057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ИАМ</w:t>
            </w:r>
          </w:p>
        </w:tc>
        <w:tc>
          <w:tcPr>
            <w:tcW w:w="1024" w:type="dxa"/>
          </w:tcPr>
          <w:p w14:paraId="6C54904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водян.</w:t>
            </w:r>
          </w:p>
        </w:tc>
        <w:tc>
          <w:tcPr>
            <w:tcW w:w="1024" w:type="dxa"/>
          </w:tcPr>
          <w:p w14:paraId="03300E6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2000</w:t>
            </w:r>
          </w:p>
        </w:tc>
        <w:tc>
          <w:tcPr>
            <w:tcW w:w="1024" w:type="dxa"/>
          </w:tcPr>
          <w:p w14:paraId="65A42D6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1800</w:t>
            </w:r>
          </w:p>
        </w:tc>
        <w:tc>
          <w:tcPr>
            <w:tcW w:w="1024" w:type="dxa"/>
          </w:tcPr>
          <w:p w14:paraId="666E888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0,9</w:t>
            </w:r>
          </w:p>
        </w:tc>
        <w:tc>
          <w:tcPr>
            <w:tcW w:w="1024" w:type="dxa"/>
          </w:tcPr>
          <w:p w14:paraId="3979B30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3500</w:t>
            </w:r>
          </w:p>
        </w:tc>
        <w:tc>
          <w:tcPr>
            <w:tcW w:w="1024" w:type="dxa"/>
          </w:tcPr>
          <w:p w14:paraId="0CD5447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июля</w:t>
            </w:r>
          </w:p>
        </w:tc>
        <w:tc>
          <w:tcPr>
            <w:tcW w:w="2831" w:type="dxa"/>
          </w:tcPr>
          <w:p w14:paraId="6CB17DC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Готова общая компоновка. заканчиваются</w:t>
            </w:r>
          </w:p>
        </w:tc>
      </w:tr>
      <w:tr w:rsidR="001002C3" w:rsidRPr="005E779E" w14:paraId="09757435" w14:textId="77777777">
        <w:tc>
          <w:tcPr>
            <w:tcW w:w="1024" w:type="dxa"/>
          </w:tcPr>
          <w:p w14:paraId="6DAB458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бомбардировщиков</w:t>
            </w:r>
          </w:p>
        </w:tc>
        <w:tc>
          <w:tcPr>
            <w:tcW w:w="1024" w:type="dxa"/>
          </w:tcPr>
          <w:p w14:paraId="5E9827E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40E37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6294A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ECED3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55DD3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14F06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56B22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1932 г.</w:t>
            </w:r>
          </w:p>
        </w:tc>
        <w:tc>
          <w:tcPr>
            <w:tcW w:w="2831" w:type="dxa"/>
          </w:tcPr>
          <w:p w14:paraId="2DFE224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рабочие чертежи. изготовлена часть поковок и</w:t>
            </w:r>
          </w:p>
        </w:tc>
      </w:tr>
      <w:tr w:rsidR="001002C3" w:rsidRPr="005E779E" w14:paraId="4112E6DE" w14:textId="77777777">
        <w:tc>
          <w:tcPr>
            <w:tcW w:w="1024" w:type="dxa"/>
          </w:tcPr>
          <w:p w14:paraId="79F7BF2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М-44</w:t>
            </w:r>
          </w:p>
        </w:tc>
        <w:tc>
          <w:tcPr>
            <w:tcW w:w="1024" w:type="dxa"/>
          </w:tcPr>
          <w:p w14:paraId="306C902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E344D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D4E50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6390E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BB4A8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262D7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AB697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69FA441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модели. Ведется подготовка к производству.</w:t>
            </w:r>
          </w:p>
        </w:tc>
      </w:tr>
      <w:tr w:rsidR="001002C3" w:rsidRPr="005E779E" w14:paraId="33ED8051" w14:textId="77777777">
        <w:tc>
          <w:tcPr>
            <w:tcW w:w="1024" w:type="dxa"/>
          </w:tcPr>
          <w:p w14:paraId="0D2FBB8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3ACF1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27680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CF3AF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1544A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F7CCD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7AAFA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B12EB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455A4A9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Ведутся испытания цилиндра большого диаметра</w:t>
            </w:r>
          </w:p>
        </w:tc>
      </w:tr>
      <w:tr w:rsidR="001002C3" w:rsidRPr="005E779E" w14:paraId="3B24DC25" w14:textId="77777777">
        <w:tc>
          <w:tcPr>
            <w:tcW w:w="1024" w:type="dxa"/>
          </w:tcPr>
          <w:p w14:paraId="3960730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истребителей</w:t>
            </w:r>
          </w:p>
        </w:tc>
        <w:tc>
          <w:tcPr>
            <w:tcW w:w="1024" w:type="dxa"/>
          </w:tcPr>
          <w:p w14:paraId="44289D1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ИАМ</w:t>
            </w:r>
          </w:p>
        </w:tc>
        <w:tc>
          <w:tcPr>
            <w:tcW w:w="1024" w:type="dxa"/>
          </w:tcPr>
          <w:p w14:paraId="651F703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024" w:type="dxa"/>
          </w:tcPr>
          <w:p w14:paraId="0221E22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w:t>
            </w:r>
          </w:p>
        </w:tc>
        <w:tc>
          <w:tcPr>
            <w:tcW w:w="1024" w:type="dxa"/>
          </w:tcPr>
          <w:p w14:paraId="68EDADA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400</w:t>
            </w:r>
          </w:p>
        </w:tc>
        <w:tc>
          <w:tcPr>
            <w:tcW w:w="1024" w:type="dxa"/>
          </w:tcPr>
          <w:p w14:paraId="012C0EC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0,66</w:t>
            </w:r>
          </w:p>
        </w:tc>
        <w:tc>
          <w:tcPr>
            <w:tcW w:w="1024" w:type="dxa"/>
          </w:tcPr>
          <w:p w14:paraId="123FC5B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024" w:type="dxa"/>
          </w:tcPr>
          <w:p w14:paraId="33915DD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мая</w:t>
            </w:r>
          </w:p>
        </w:tc>
        <w:tc>
          <w:tcPr>
            <w:tcW w:w="2831" w:type="dxa"/>
          </w:tcPr>
          <w:p w14:paraId="6AC8F9D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Производится общая компановка мотора и узлов</w:t>
            </w:r>
          </w:p>
        </w:tc>
      </w:tr>
      <w:tr w:rsidR="001002C3" w:rsidRPr="005E779E" w14:paraId="66F3B231" w14:textId="77777777">
        <w:tc>
          <w:tcPr>
            <w:tcW w:w="1024" w:type="dxa"/>
          </w:tcPr>
          <w:p w14:paraId="101E5A6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М-32</w:t>
            </w:r>
          </w:p>
        </w:tc>
        <w:tc>
          <w:tcPr>
            <w:tcW w:w="1024" w:type="dxa"/>
          </w:tcPr>
          <w:p w14:paraId="777FB90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EAFD1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FB4AD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72257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13410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B1C53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E7A08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1932 г.</w:t>
            </w:r>
          </w:p>
        </w:tc>
        <w:tc>
          <w:tcPr>
            <w:tcW w:w="2831" w:type="dxa"/>
          </w:tcPr>
          <w:p w14:paraId="0B05575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Работа тормозится в связи с форсированием М-19а</w:t>
            </w:r>
          </w:p>
        </w:tc>
      </w:tr>
      <w:tr w:rsidR="001002C3" w:rsidRPr="005E779E" w14:paraId="364E8035" w14:textId="77777777">
        <w:tc>
          <w:tcPr>
            <w:tcW w:w="1024" w:type="dxa"/>
          </w:tcPr>
          <w:p w14:paraId="2E07E4A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Модернизация</w:t>
            </w:r>
          </w:p>
        </w:tc>
        <w:tc>
          <w:tcPr>
            <w:tcW w:w="1024" w:type="dxa"/>
          </w:tcPr>
          <w:p w14:paraId="7FDA88B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ИАМ</w:t>
            </w:r>
          </w:p>
        </w:tc>
        <w:tc>
          <w:tcPr>
            <w:tcW w:w="1024" w:type="dxa"/>
          </w:tcPr>
          <w:p w14:paraId="7DBBD65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024" w:type="dxa"/>
          </w:tcPr>
          <w:p w14:paraId="2A1A4C7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700/</w:t>
            </w:r>
          </w:p>
        </w:tc>
        <w:tc>
          <w:tcPr>
            <w:tcW w:w="1024" w:type="dxa"/>
          </w:tcPr>
          <w:p w14:paraId="4DF4B6D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820</w:t>
            </w:r>
          </w:p>
        </w:tc>
        <w:tc>
          <w:tcPr>
            <w:tcW w:w="1024" w:type="dxa"/>
          </w:tcPr>
          <w:p w14:paraId="4016493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0,43</w:t>
            </w:r>
          </w:p>
        </w:tc>
        <w:tc>
          <w:tcPr>
            <w:tcW w:w="1024" w:type="dxa"/>
          </w:tcPr>
          <w:p w14:paraId="320496C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4000</w:t>
            </w:r>
          </w:p>
        </w:tc>
        <w:tc>
          <w:tcPr>
            <w:tcW w:w="1024" w:type="dxa"/>
          </w:tcPr>
          <w:p w14:paraId="7519468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янв.</w:t>
            </w:r>
          </w:p>
        </w:tc>
        <w:tc>
          <w:tcPr>
            <w:tcW w:w="2831" w:type="dxa"/>
          </w:tcPr>
          <w:p w14:paraId="65B39B0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Работы не ведутся</w:t>
            </w:r>
          </w:p>
        </w:tc>
      </w:tr>
      <w:tr w:rsidR="001002C3" w:rsidRPr="005E779E" w14:paraId="1B0D321C" w14:textId="77777777">
        <w:tc>
          <w:tcPr>
            <w:tcW w:w="1024" w:type="dxa"/>
          </w:tcPr>
          <w:p w14:paraId="7C993AF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М-43</w:t>
            </w:r>
          </w:p>
        </w:tc>
        <w:tc>
          <w:tcPr>
            <w:tcW w:w="1024" w:type="dxa"/>
          </w:tcPr>
          <w:p w14:paraId="1D78A53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664C4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89F75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w:t>
            </w:r>
          </w:p>
        </w:tc>
        <w:tc>
          <w:tcPr>
            <w:tcW w:w="1024" w:type="dxa"/>
          </w:tcPr>
          <w:p w14:paraId="12E2CED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26398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7A53C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EBC6D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1932</w:t>
            </w:r>
          </w:p>
        </w:tc>
        <w:tc>
          <w:tcPr>
            <w:tcW w:w="2831" w:type="dxa"/>
          </w:tcPr>
          <w:p w14:paraId="2A37002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EDE9ADD" w14:textId="77777777">
        <w:tc>
          <w:tcPr>
            <w:tcW w:w="1024" w:type="dxa"/>
          </w:tcPr>
          <w:p w14:paraId="64481C2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Нефтяной</w:t>
            </w:r>
          </w:p>
        </w:tc>
        <w:tc>
          <w:tcPr>
            <w:tcW w:w="1024" w:type="dxa"/>
          </w:tcPr>
          <w:p w14:paraId="3D6D2F6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ИАМ</w:t>
            </w:r>
          </w:p>
        </w:tc>
        <w:tc>
          <w:tcPr>
            <w:tcW w:w="1024" w:type="dxa"/>
          </w:tcPr>
          <w:p w14:paraId="20BF77F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024" w:type="dxa"/>
          </w:tcPr>
          <w:p w14:paraId="6C698BB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w:t>
            </w:r>
          </w:p>
        </w:tc>
        <w:tc>
          <w:tcPr>
            <w:tcW w:w="1024" w:type="dxa"/>
          </w:tcPr>
          <w:p w14:paraId="28215DD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024" w:type="dxa"/>
          </w:tcPr>
          <w:p w14:paraId="2319FF3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024" w:type="dxa"/>
          </w:tcPr>
          <w:p w14:paraId="376088F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024" w:type="dxa"/>
          </w:tcPr>
          <w:p w14:paraId="0D7451F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окт.</w:t>
            </w:r>
          </w:p>
        </w:tc>
        <w:tc>
          <w:tcPr>
            <w:tcW w:w="2831" w:type="dxa"/>
          </w:tcPr>
          <w:p w14:paraId="4279347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Работы не ведутся</w:t>
            </w:r>
          </w:p>
        </w:tc>
      </w:tr>
      <w:tr w:rsidR="001002C3" w:rsidRPr="005E779E" w14:paraId="4269F2AC" w14:textId="77777777">
        <w:tc>
          <w:tcPr>
            <w:tcW w:w="1024" w:type="dxa"/>
          </w:tcPr>
          <w:p w14:paraId="7CE7DDC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М-42</w:t>
            </w:r>
          </w:p>
        </w:tc>
        <w:tc>
          <w:tcPr>
            <w:tcW w:w="1024" w:type="dxa"/>
          </w:tcPr>
          <w:p w14:paraId="663354A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42C01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D0FCA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78ECD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22654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93E34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8210B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1932</w:t>
            </w:r>
          </w:p>
        </w:tc>
        <w:tc>
          <w:tcPr>
            <w:tcW w:w="2831" w:type="dxa"/>
          </w:tcPr>
          <w:p w14:paraId="35C785E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1EBD5C1" w14:textId="77777777">
        <w:tc>
          <w:tcPr>
            <w:tcW w:w="1024" w:type="dxa"/>
          </w:tcPr>
          <w:p w14:paraId="758F89F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Нефтяной</w:t>
            </w:r>
          </w:p>
        </w:tc>
        <w:tc>
          <w:tcPr>
            <w:tcW w:w="1024" w:type="dxa"/>
          </w:tcPr>
          <w:p w14:paraId="1EAC047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ИАМ</w:t>
            </w:r>
          </w:p>
        </w:tc>
        <w:tc>
          <w:tcPr>
            <w:tcW w:w="1024" w:type="dxa"/>
          </w:tcPr>
          <w:p w14:paraId="48345DA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024" w:type="dxa"/>
          </w:tcPr>
          <w:p w14:paraId="1BFA161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w:t>
            </w:r>
          </w:p>
        </w:tc>
        <w:tc>
          <w:tcPr>
            <w:tcW w:w="1024" w:type="dxa"/>
          </w:tcPr>
          <w:p w14:paraId="642DD68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240</w:t>
            </w:r>
          </w:p>
        </w:tc>
        <w:tc>
          <w:tcPr>
            <w:tcW w:w="1024" w:type="dxa"/>
          </w:tcPr>
          <w:p w14:paraId="4D8AF98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w:t>
            </w:r>
          </w:p>
        </w:tc>
        <w:tc>
          <w:tcPr>
            <w:tcW w:w="1024" w:type="dxa"/>
          </w:tcPr>
          <w:p w14:paraId="679310F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024" w:type="dxa"/>
          </w:tcPr>
          <w:p w14:paraId="0FFE058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апр.</w:t>
            </w:r>
          </w:p>
        </w:tc>
        <w:tc>
          <w:tcPr>
            <w:tcW w:w="2831" w:type="dxa"/>
          </w:tcPr>
          <w:p w14:paraId="1F260DC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Работы не ведутся, мотор с плана снят. ИАМ</w:t>
            </w:r>
          </w:p>
        </w:tc>
      </w:tr>
      <w:tr w:rsidR="001002C3" w:rsidRPr="005E779E" w14:paraId="161D05E8" w14:textId="77777777">
        <w:tc>
          <w:tcPr>
            <w:tcW w:w="1024" w:type="dxa"/>
          </w:tcPr>
          <w:p w14:paraId="1F73F8A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ЭН-1</w:t>
            </w:r>
          </w:p>
        </w:tc>
        <w:tc>
          <w:tcPr>
            <w:tcW w:w="1024" w:type="dxa"/>
          </w:tcPr>
          <w:p w14:paraId="3F16C03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D9A60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C3010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0C5DD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79B0B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7D369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A5390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w:t>
            </w:r>
          </w:p>
        </w:tc>
        <w:tc>
          <w:tcPr>
            <w:tcW w:w="2831" w:type="dxa"/>
          </w:tcPr>
          <w:p w14:paraId="7D8944B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ведет экспериментальные испытания на одноц.</w:t>
            </w:r>
          </w:p>
        </w:tc>
      </w:tr>
      <w:tr w:rsidR="001002C3" w:rsidRPr="005E779E" w14:paraId="4C6F4E47" w14:textId="77777777">
        <w:tc>
          <w:tcPr>
            <w:tcW w:w="1024" w:type="dxa"/>
          </w:tcPr>
          <w:p w14:paraId="7278536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2439C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C9A3A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98B42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45397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BAE56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FF38F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3A584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3959FDE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установках</w:t>
            </w:r>
          </w:p>
        </w:tc>
      </w:tr>
      <w:tr w:rsidR="001002C3" w:rsidRPr="005E779E" w14:paraId="06C545E1" w14:textId="77777777">
        <w:tc>
          <w:tcPr>
            <w:tcW w:w="1024" w:type="dxa"/>
          </w:tcPr>
          <w:p w14:paraId="651AEA2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ГА М-26</w:t>
            </w:r>
          </w:p>
        </w:tc>
        <w:tc>
          <w:tcPr>
            <w:tcW w:w="1024" w:type="dxa"/>
          </w:tcPr>
          <w:p w14:paraId="5496F89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w:t>
            </w:r>
          </w:p>
        </w:tc>
        <w:tc>
          <w:tcPr>
            <w:tcW w:w="1024" w:type="dxa"/>
          </w:tcPr>
          <w:p w14:paraId="3ECBD22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возд.</w:t>
            </w:r>
          </w:p>
        </w:tc>
        <w:tc>
          <w:tcPr>
            <w:tcW w:w="1024" w:type="dxa"/>
          </w:tcPr>
          <w:p w14:paraId="2C4A3AC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w:t>
            </w:r>
          </w:p>
        </w:tc>
        <w:tc>
          <w:tcPr>
            <w:tcW w:w="1024" w:type="dxa"/>
          </w:tcPr>
          <w:p w14:paraId="36BE7E0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315</w:t>
            </w:r>
          </w:p>
        </w:tc>
        <w:tc>
          <w:tcPr>
            <w:tcW w:w="1024" w:type="dxa"/>
          </w:tcPr>
          <w:p w14:paraId="44F584D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1.05</w:t>
            </w:r>
          </w:p>
        </w:tc>
        <w:tc>
          <w:tcPr>
            <w:tcW w:w="1024" w:type="dxa"/>
          </w:tcPr>
          <w:p w14:paraId="19F5418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024" w:type="dxa"/>
          </w:tcPr>
          <w:p w14:paraId="70E0D98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окт.</w:t>
            </w:r>
          </w:p>
        </w:tc>
        <w:tc>
          <w:tcPr>
            <w:tcW w:w="2831" w:type="dxa"/>
          </w:tcPr>
          <w:p w14:paraId="7D06BE7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Прошел 50-часовые гос. испытания удовлетвор.</w:t>
            </w:r>
          </w:p>
        </w:tc>
      </w:tr>
      <w:tr w:rsidR="001002C3" w:rsidRPr="005E779E" w14:paraId="157E7C95" w14:textId="77777777">
        <w:tc>
          <w:tcPr>
            <w:tcW w:w="1024" w:type="dxa"/>
          </w:tcPr>
          <w:p w14:paraId="5916853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010C2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3B51F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C3390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6ECCE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B6B4B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3EEC2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F665B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1930</w:t>
            </w:r>
          </w:p>
        </w:tc>
        <w:tc>
          <w:tcPr>
            <w:tcW w:w="2831" w:type="dxa"/>
          </w:tcPr>
          <w:p w14:paraId="31A802C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февраля 1931</w:t>
            </w:r>
          </w:p>
        </w:tc>
      </w:tr>
      <w:tr w:rsidR="001002C3" w:rsidRPr="005E779E" w14:paraId="3CE87CF1" w14:textId="77777777">
        <w:tc>
          <w:tcPr>
            <w:tcW w:w="1024" w:type="dxa"/>
          </w:tcPr>
          <w:p w14:paraId="307E2B2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истребителей</w:t>
            </w:r>
          </w:p>
        </w:tc>
        <w:tc>
          <w:tcPr>
            <w:tcW w:w="1024" w:type="dxa"/>
          </w:tcPr>
          <w:p w14:paraId="73498A5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w:t>
            </w:r>
          </w:p>
        </w:tc>
        <w:tc>
          <w:tcPr>
            <w:tcW w:w="1024" w:type="dxa"/>
          </w:tcPr>
          <w:p w14:paraId="674E423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возд.</w:t>
            </w:r>
          </w:p>
        </w:tc>
        <w:tc>
          <w:tcPr>
            <w:tcW w:w="1024" w:type="dxa"/>
          </w:tcPr>
          <w:p w14:paraId="4050155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w:t>
            </w:r>
          </w:p>
        </w:tc>
        <w:tc>
          <w:tcPr>
            <w:tcW w:w="1024" w:type="dxa"/>
          </w:tcPr>
          <w:p w14:paraId="5B50B6F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400</w:t>
            </w:r>
          </w:p>
        </w:tc>
        <w:tc>
          <w:tcPr>
            <w:tcW w:w="1024" w:type="dxa"/>
          </w:tcPr>
          <w:p w14:paraId="42886A0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0.80</w:t>
            </w:r>
          </w:p>
        </w:tc>
        <w:tc>
          <w:tcPr>
            <w:tcW w:w="1024" w:type="dxa"/>
          </w:tcPr>
          <w:p w14:paraId="0657E31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4000</w:t>
            </w:r>
          </w:p>
        </w:tc>
        <w:tc>
          <w:tcPr>
            <w:tcW w:w="1024" w:type="dxa"/>
          </w:tcPr>
          <w:p w14:paraId="74AF8F5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мая</w:t>
            </w:r>
          </w:p>
        </w:tc>
        <w:tc>
          <w:tcPr>
            <w:tcW w:w="2831" w:type="dxa"/>
          </w:tcPr>
          <w:p w14:paraId="0E1B005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исполнению на принят</w:t>
            </w:r>
          </w:p>
        </w:tc>
      </w:tr>
      <w:tr w:rsidR="001002C3" w:rsidRPr="005E779E" w14:paraId="07E82923" w14:textId="77777777">
        <w:tc>
          <w:tcPr>
            <w:tcW w:w="1024" w:type="dxa"/>
          </w:tcPr>
          <w:p w14:paraId="3E0E0F0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М-15а</w:t>
            </w:r>
          </w:p>
        </w:tc>
        <w:tc>
          <w:tcPr>
            <w:tcW w:w="1024" w:type="dxa"/>
          </w:tcPr>
          <w:p w14:paraId="3C6270F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94277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B9FBF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04B58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B50B3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7CB4C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2FB75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4699734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w:t>
            </w:r>
          </w:p>
        </w:tc>
      </w:tr>
      <w:tr w:rsidR="001002C3" w:rsidRPr="005E779E" w14:paraId="740661E9" w14:textId="77777777">
        <w:tc>
          <w:tcPr>
            <w:tcW w:w="1024" w:type="dxa"/>
          </w:tcPr>
          <w:p w14:paraId="707EDBF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тяжелых</w:t>
            </w:r>
          </w:p>
        </w:tc>
        <w:tc>
          <w:tcPr>
            <w:tcW w:w="1024" w:type="dxa"/>
          </w:tcPr>
          <w:p w14:paraId="4DCA3C3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ИАМ</w:t>
            </w:r>
          </w:p>
        </w:tc>
        <w:tc>
          <w:tcPr>
            <w:tcW w:w="1024" w:type="dxa"/>
          </w:tcPr>
          <w:p w14:paraId="6274287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024" w:type="dxa"/>
          </w:tcPr>
          <w:p w14:paraId="1D42844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1250</w:t>
            </w:r>
          </w:p>
        </w:tc>
        <w:tc>
          <w:tcPr>
            <w:tcW w:w="1024" w:type="dxa"/>
          </w:tcPr>
          <w:p w14:paraId="1BD9601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Требования должны быть</w:t>
            </w:r>
          </w:p>
        </w:tc>
        <w:tc>
          <w:tcPr>
            <w:tcW w:w="1024" w:type="dxa"/>
          </w:tcPr>
          <w:p w14:paraId="7D4883C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F494A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Будет развитием М-34. Работы по этому мотору</w:t>
            </w:r>
          </w:p>
        </w:tc>
        <w:tc>
          <w:tcPr>
            <w:tcW w:w="1024" w:type="dxa"/>
          </w:tcPr>
          <w:p w14:paraId="7EF7B46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7FD0457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4988F4A" w14:textId="77777777">
        <w:tc>
          <w:tcPr>
            <w:tcW w:w="1024" w:type="dxa"/>
          </w:tcPr>
          <w:p w14:paraId="33E72CF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бомбардировщиков</w:t>
            </w:r>
          </w:p>
        </w:tc>
        <w:tc>
          <w:tcPr>
            <w:tcW w:w="1024" w:type="dxa"/>
          </w:tcPr>
          <w:p w14:paraId="46B3F8C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5C0BB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39428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1500</w:t>
            </w:r>
          </w:p>
        </w:tc>
        <w:tc>
          <w:tcPr>
            <w:tcW w:w="1024" w:type="dxa"/>
          </w:tcPr>
          <w:p w14:paraId="06B9AB2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представлены ИАМ"ом.</w:t>
            </w:r>
          </w:p>
        </w:tc>
        <w:tc>
          <w:tcPr>
            <w:tcW w:w="1024" w:type="dxa"/>
          </w:tcPr>
          <w:p w14:paraId="1BE7DD5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24561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будут вестись в зависимости от удачи с М-34.</w:t>
            </w:r>
          </w:p>
        </w:tc>
        <w:tc>
          <w:tcPr>
            <w:tcW w:w="1024" w:type="dxa"/>
          </w:tcPr>
          <w:p w14:paraId="7206616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79D3921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7589651" w14:textId="77777777">
        <w:tc>
          <w:tcPr>
            <w:tcW w:w="1024" w:type="dxa"/>
          </w:tcPr>
          <w:p w14:paraId="2BBDEB5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М-35</w:t>
            </w:r>
          </w:p>
        </w:tc>
        <w:tc>
          <w:tcPr>
            <w:tcW w:w="1024" w:type="dxa"/>
          </w:tcPr>
          <w:p w14:paraId="2FFB34B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211EF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AE2AE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B0776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E04BB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C6251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88D8B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6FEFA34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0608419" w14:textId="77777777">
        <w:tc>
          <w:tcPr>
            <w:tcW w:w="1024" w:type="dxa"/>
          </w:tcPr>
          <w:p w14:paraId="7C8B771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ИАМ в 1932 будет проектироваться 3 нефтяных мотора:</w:t>
            </w:r>
          </w:p>
        </w:tc>
        <w:tc>
          <w:tcPr>
            <w:tcW w:w="1024" w:type="dxa"/>
          </w:tcPr>
          <w:p w14:paraId="0D63B89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AE5F8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93F85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AA045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75009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A4F7F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C9F81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2A3FE5D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C8E2174" w14:textId="77777777">
        <w:tc>
          <w:tcPr>
            <w:tcW w:w="1024" w:type="dxa"/>
          </w:tcPr>
          <w:p w14:paraId="41B8B8F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300 нр для ГВФ</w:t>
            </w:r>
          </w:p>
        </w:tc>
        <w:tc>
          <w:tcPr>
            <w:tcW w:w="1024" w:type="dxa"/>
          </w:tcPr>
          <w:p w14:paraId="669D3F6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9785C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F2FD5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ED4C8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9E3FD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04291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A95F9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3AC46CC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CD0C07C" w14:textId="77777777">
        <w:tc>
          <w:tcPr>
            <w:tcW w:w="1024" w:type="dxa"/>
          </w:tcPr>
          <w:p w14:paraId="13A62F1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500 нр для ВВС</w:t>
            </w:r>
          </w:p>
        </w:tc>
        <w:tc>
          <w:tcPr>
            <w:tcW w:w="1024" w:type="dxa"/>
          </w:tcPr>
          <w:p w14:paraId="696957E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5EFF6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7815B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E6C3E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F689B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0E745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93252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2E04E4F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C63E603" w14:textId="77777777">
        <w:tc>
          <w:tcPr>
            <w:tcW w:w="1024" w:type="dxa"/>
          </w:tcPr>
          <w:p w14:paraId="3F7505F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600-800 нр для дирижаблей</w:t>
            </w:r>
          </w:p>
        </w:tc>
        <w:tc>
          <w:tcPr>
            <w:tcW w:w="1024" w:type="dxa"/>
          </w:tcPr>
          <w:p w14:paraId="077312C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A31BC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6E6F5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B1938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765E3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0A381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16430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0A15AB9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bl>
    <w:p w14:paraId="1F7C097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По самолетам.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24"/>
        <w:gridCol w:w="1024"/>
        <w:gridCol w:w="1024"/>
        <w:gridCol w:w="1024"/>
        <w:gridCol w:w="1024"/>
        <w:gridCol w:w="1024"/>
        <w:gridCol w:w="1024"/>
        <w:gridCol w:w="3430"/>
      </w:tblGrid>
      <w:tr w:rsidR="001002C3" w:rsidRPr="005E779E" w14:paraId="6B0E5154" w14:textId="77777777">
        <w:tc>
          <w:tcPr>
            <w:tcW w:w="1024" w:type="dxa"/>
          </w:tcPr>
          <w:p w14:paraId="7483BDD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w:t>
            </w:r>
          </w:p>
        </w:tc>
        <w:tc>
          <w:tcPr>
            <w:tcW w:w="1024" w:type="dxa"/>
          </w:tcPr>
          <w:p w14:paraId="7D1605D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EB005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Основные летно-тактические данные</w:t>
            </w:r>
          </w:p>
        </w:tc>
        <w:tc>
          <w:tcPr>
            <w:tcW w:w="1024" w:type="dxa"/>
          </w:tcPr>
          <w:p w14:paraId="6277FCF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306BE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A7F3B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3D0D1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B2D11B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179CC35" w14:textId="77777777">
        <w:tc>
          <w:tcPr>
            <w:tcW w:w="1024" w:type="dxa"/>
          </w:tcPr>
          <w:p w14:paraId="1F53034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самолетов</w:t>
            </w:r>
          </w:p>
        </w:tc>
        <w:tc>
          <w:tcPr>
            <w:tcW w:w="1024" w:type="dxa"/>
          </w:tcPr>
          <w:p w14:paraId="4EB13C5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w:t>
            </w:r>
          </w:p>
        </w:tc>
        <w:tc>
          <w:tcPr>
            <w:tcW w:w="1024" w:type="dxa"/>
          </w:tcPr>
          <w:p w14:paraId="0065B4E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Скоропод.</w:t>
            </w:r>
          </w:p>
        </w:tc>
        <w:tc>
          <w:tcPr>
            <w:tcW w:w="1024" w:type="dxa"/>
          </w:tcPr>
          <w:p w14:paraId="58D896D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Потолок</w:t>
            </w:r>
          </w:p>
        </w:tc>
        <w:tc>
          <w:tcPr>
            <w:tcW w:w="1024" w:type="dxa"/>
          </w:tcPr>
          <w:p w14:paraId="0820A3E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1024" w:type="dxa"/>
          </w:tcPr>
          <w:p w14:paraId="673CDAA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w:t>
            </w:r>
          </w:p>
        </w:tc>
        <w:tc>
          <w:tcPr>
            <w:tcW w:w="1024" w:type="dxa"/>
          </w:tcPr>
          <w:p w14:paraId="249D8E5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w:t>
            </w:r>
          </w:p>
        </w:tc>
        <w:tc>
          <w:tcPr>
            <w:tcW w:w="3430" w:type="dxa"/>
          </w:tcPr>
          <w:p w14:paraId="4B6B611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 октября 1931 г.</w:t>
            </w:r>
          </w:p>
        </w:tc>
      </w:tr>
      <w:tr w:rsidR="001002C3" w:rsidRPr="005E779E" w14:paraId="398512E5" w14:textId="77777777">
        <w:tc>
          <w:tcPr>
            <w:tcW w:w="1024" w:type="dxa"/>
          </w:tcPr>
          <w:p w14:paraId="689C074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D15DD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гориз.</w:t>
            </w:r>
          </w:p>
        </w:tc>
        <w:tc>
          <w:tcPr>
            <w:tcW w:w="1024" w:type="dxa"/>
          </w:tcPr>
          <w:p w14:paraId="2F0A739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мин. на</w:t>
            </w:r>
          </w:p>
        </w:tc>
        <w:tc>
          <w:tcPr>
            <w:tcW w:w="1024" w:type="dxa"/>
          </w:tcPr>
          <w:p w14:paraId="3F00A02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w:t>
            </w:r>
          </w:p>
        </w:tc>
        <w:tc>
          <w:tcPr>
            <w:tcW w:w="1024" w:type="dxa"/>
          </w:tcPr>
          <w:p w14:paraId="160CB22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1BBF5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действ.</w:t>
            </w:r>
          </w:p>
        </w:tc>
        <w:tc>
          <w:tcPr>
            <w:tcW w:w="1024" w:type="dxa"/>
          </w:tcPr>
          <w:p w14:paraId="43891EE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предъяв.</w:t>
            </w:r>
          </w:p>
        </w:tc>
        <w:tc>
          <w:tcPr>
            <w:tcW w:w="3430" w:type="dxa"/>
          </w:tcPr>
          <w:p w14:paraId="7E73BF7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B967C3C" w14:textId="77777777">
        <w:tc>
          <w:tcPr>
            <w:tcW w:w="1024" w:type="dxa"/>
          </w:tcPr>
          <w:p w14:paraId="4132ACF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21538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 в</w:t>
            </w:r>
          </w:p>
        </w:tc>
        <w:tc>
          <w:tcPr>
            <w:tcW w:w="1024" w:type="dxa"/>
          </w:tcPr>
          <w:p w14:paraId="298EEBF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высоту</w:t>
            </w:r>
          </w:p>
        </w:tc>
        <w:tc>
          <w:tcPr>
            <w:tcW w:w="1024" w:type="dxa"/>
          </w:tcPr>
          <w:p w14:paraId="6AFF2ED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B5766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8B339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47053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гос.</w:t>
            </w:r>
          </w:p>
        </w:tc>
        <w:tc>
          <w:tcPr>
            <w:tcW w:w="3430" w:type="dxa"/>
          </w:tcPr>
          <w:p w14:paraId="689FF56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1DD36BE" w14:textId="77777777">
        <w:tc>
          <w:tcPr>
            <w:tcW w:w="1024" w:type="dxa"/>
          </w:tcPr>
          <w:p w14:paraId="3728E16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5B79C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км на</w:t>
            </w:r>
          </w:p>
        </w:tc>
        <w:tc>
          <w:tcPr>
            <w:tcW w:w="1024" w:type="dxa"/>
          </w:tcPr>
          <w:p w14:paraId="6E5B362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389FB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537ED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364F7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93024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w:t>
            </w:r>
          </w:p>
        </w:tc>
        <w:tc>
          <w:tcPr>
            <w:tcW w:w="3430" w:type="dxa"/>
          </w:tcPr>
          <w:p w14:paraId="25CC837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C56C27C" w14:textId="77777777">
        <w:tc>
          <w:tcPr>
            <w:tcW w:w="1024" w:type="dxa"/>
          </w:tcPr>
          <w:p w14:paraId="0E89D2D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6973D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высоте</w:t>
            </w:r>
          </w:p>
        </w:tc>
        <w:tc>
          <w:tcPr>
            <w:tcW w:w="1024" w:type="dxa"/>
          </w:tcPr>
          <w:p w14:paraId="608CF53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A8F69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09832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F9702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4F1FE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C87445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6DBCBB5" w14:textId="77777777">
        <w:tc>
          <w:tcPr>
            <w:tcW w:w="1024" w:type="dxa"/>
          </w:tcPr>
          <w:p w14:paraId="376FDDF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ТБ-4</w:t>
            </w:r>
          </w:p>
        </w:tc>
        <w:tc>
          <w:tcPr>
            <w:tcW w:w="1024" w:type="dxa"/>
          </w:tcPr>
          <w:p w14:paraId="59A2710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024" w:type="dxa"/>
          </w:tcPr>
          <w:p w14:paraId="47D69A1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E1626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024" w:type="dxa"/>
          </w:tcPr>
          <w:p w14:paraId="7789F12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пулем.</w:t>
            </w:r>
          </w:p>
        </w:tc>
        <w:tc>
          <w:tcPr>
            <w:tcW w:w="1024" w:type="dxa"/>
          </w:tcPr>
          <w:p w14:paraId="01F51AD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w:t>
            </w:r>
          </w:p>
        </w:tc>
        <w:tc>
          <w:tcPr>
            <w:tcW w:w="1024" w:type="dxa"/>
          </w:tcPr>
          <w:p w14:paraId="33129FD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дек.</w:t>
            </w:r>
          </w:p>
        </w:tc>
        <w:tc>
          <w:tcPr>
            <w:tcW w:w="3430" w:type="dxa"/>
          </w:tcPr>
          <w:p w14:paraId="6C8BB64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Постановлением РВС от 5 августа 1931 года</w:t>
            </w:r>
          </w:p>
        </w:tc>
      </w:tr>
      <w:tr w:rsidR="001002C3" w:rsidRPr="005E779E" w14:paraId="024887D4" w14:textId="77777777">
        <w:tc>
          <w:tcPr>
            <w:tcW w:w="1024" w:type="dxa"/>
          </w:tcPr>
          <w:p w14:paraId="7922AE6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w:t>
            </w:r>
          </w:p>
        </w:tc>
        <w:tc>
          <w:tcPr>
            <w:tcW w:w="1024" w:type="dxa"/>
          </w:tcPr>
          <w:p w14:paraId="4289827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5F733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D4BAB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0C946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пушки</w:t>
            </w:r>
          </w:p>
        </w:tc>
        <w:tc>
          <w:tcPr>
            <w:tcW w:w="1024" w:type="dxa"/>
          </w:tcPr>
          <w:p w14:paraId="21A58ED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6628D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 г.</w:t>
            </w:r>
          </w:p>
        </w:tc>
        <w:tc>
          <w:tcPr>
            <w:tcW w:w="3430" w:type="dxa"/>
          </w:tcPr>
          <w:p w14:paraId="5538E22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были утверждены основные данные нагруз.</w:t>
            </w:r>
          </w:p>
        </w:tc>
      </w:tr>
      <w:tr w:rsidR="001002C3" w:rsidRPr="005E779E" w14:paraId="508572B1" w14:textId="77777777">
        <w:tc>
          <w:tcPr>
            <w:tcW w:w="1024" w:type="dxa"/>
          </w:tcPr>
          <w:p w14:paraId="338F701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CBCBF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5BC62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CC90D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DD726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перегр.</w:t>
            </w:r>
          </w:p>
        </w:tc>
        <w:tc>
          <w:tcPr>
            <w:tcW w:w="1024" w:type="dxa"/>
          </w:tcPr>
          <w:p w14:paraId="107BB63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09FDC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B596BB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ТБ-4 6М-34, принято решение об установке</w:t>
            </w:r>
          </w:p>
        </w:tc>
      </w:tr>
      <w:tr w:rsidR="001002C3" w:rsidRPr="005E779E" w14:paraId="10ED1057" w14:textId="77777777">
        <w:tc>
          <w:tcPr>
            <w:tcW w:w="1024" w:type="dxa"/>
          </w:tcPr>
          <w:p w14:paraId="2A8DC0C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2948E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DF22C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4724F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61A8F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w:t>
            </w:r>
          </w:p>
        </w:tc>
        <w:tc>
          <w:tcPr>
            <w:tcW w:w="1024" w:type="dxa"/>
          </w:tcPr>
          <w:p w14:paraId="119BDD0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7B327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84B6EF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4хМ-35 или 6М-34 с установкой на опытный</w:t>
            </w:r>
          </w:p>
        </w:tc>
      </w:tr>
      <w:tr w:rsidR="001002C3" w:rsidRPr="005E779E" w14:paraId="6F79F864" w14:textId="77777777">
        <w:tc>
          <w:tcPr>
            <w:tcW w:w="1024" w:type="dxa"/>
          </w:tcPr>
          <w:p w14:paraId="719890D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F8E9D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2F81E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970F2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2D004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6000 кг</w:t>
            </w:r>
          </w:p>
        </w:tc>
        <w:tc>
          <w:tcPr>
            <w:tcW w:w="1024" w:type="dxa"/>
          </w:tcPr>
          <w:p w14:paraId="6C710EC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50670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F8D015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6РР с НХП и постройке 2-х </w:t>
            </w:r>
          </w:p>
        </w:tc>
      </w:tr>
      <w:tr w:rsidR="001002C3" w:rsidRPr="005E779E" w14:paraId="42E20C66" w14:textId="77777777">
        <w:tc>
          <w:tcPr>
            <w:tcW w:w="1024" w:type="dxa"/>
          </w:tcPr>
          <w:p w14:paraId="353B099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EBCA0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B28F7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378E8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64460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w:t>
            </w:r>
          </w:p>
        </w:tc>
        <w:tc>
          <w:tcPr>
            <w:tcW w:w="1024" w:type="dxa"/>
          </w:tcPr>
          <w:p w14:paraId="40E085F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7F35E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B42F5F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вариантов: дюралевого с площадью крыльев</w:t>
            </w:r>
          </w:p>
        </w:tc>
      </w:tr>
      <w:tr w:rsidR="001002C3" w:rsidRPr="005E779E" w14:paraId="6D1C23C5" w14:textId="77777777">
        <w:tc>
          <w:tcPr>
            <w:tcW w:w="1024" w:type="dxa"/>
          </w:tcPr>
          <w:p w14:paraId="75026EF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68146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E2C9D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66400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B24CB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35E6F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EA6D7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D756E7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410 м и стального с площадью 340 м. Утвер.</w:t>
            </w:r>
          </w:p>
        </w:tc>
      </w:tr>
      <w:tr w:rsidR="001002C3" w:rsidRPr="005E779E" w14:paraId="68ED9354" w14:textId="77777777">
        <w:tc>
          <w:tcPr>
            <w:tcW w:w="1024" w:type="dxa"/>
          </w:tcPr>
          <w:p w14:paraId="6B953A8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F2E73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9C2BC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48372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77AB8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FD33C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B79D2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213B40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Утверждены схема ТБ-4 с площ. 410 м и</w:t>
            </w:r>
          </w:p>
        </w:tc>
      </w:tr>
      <w:tr w:rsidR="001002C3" w:rsidRPr="005E779E" w14:paraId="053BB827" w14:textId="77777777">
        <w:tc>
          <w:tcPr>
            <w:tcW w:w="1024" w:type="dxa"/>
          </w:tcPr>
          <w:p w14:paraId="7D39FF3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00CAE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75E04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2AF3F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DF213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0A92A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A7D4D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D9C6E2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макет в части кабин л и командира. В ЦАГИ</w:t>
            </w:r>
          </w:p>
        </w:tc>
      </w:tr>
      <w:tr w:rsidR="001002C3" w:rsidRPr="005E779E" w14:paraId="797E8C57" w14:textId="77777777">
        <w:tc>
          <w:tcPr>
            <w:tcW w:w="1024" w:type="dxa"/>
          </w:tcPr>
          <w:p w14:paraId="5F1450A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68435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EBF41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FFD28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3C330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7F416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FDEC4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25E5F6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развернуты работы по постройке машины.</w:t>
            </w:r>
          </w:p>
        </w:tc>
      </w:tr>
      <w:tr w:rsidR="001002C3" w:rsidRPr="005E779E" w14:paraId="7D114EC4" w14:textId="77777777">
        <w:tc>
          <w:tcPr>
            <w:tcW w:w="1024" w:type="dxa"/>
          </w:tcPr>
          <w:p w14:paraId="06DADFF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CEE8F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CC043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CAFD4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62C52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329D3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C659B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06BA7C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настоящее время происходит сборка</w:t>
            </w:r>
          </w:p>
        </w:tc>
      </w:tr>
      <w:tr w:rsidR="001002C3" w:rsidRPr="005E779E" w14:paraId="6FE2B2A6" w14:textId="77777777">
        <w:tc>
          <w:tcPr>
            <w:tcW w:w="1024" w:type="dxa"/>
          </w:tcPr>
          <w:p w14:paraId="1C07B99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68214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D1CD4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BCFC0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1D6D3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F3945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8EEB1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3DE3D4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хвостовой части фюзеляжа и оперения, зак.</w:t>
            </w:r>
          </w:p>
        </w:tc>
      </w:tr>
      <w:tr w:rsidR="001002C3" w:rsidRPr="005E779E" w14:paraId="53EE9F3F" w14:textId="77777777">
        <w:tc>
          <w:tcPr>
            <w:tcW w:w="1024" w:type="dxa"/>
          </w:tcPr>
          <w:p w14:paraId="66EC77E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C18F0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9991E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8037B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E75D8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FBADE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4C4B8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0FAE34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лонжероны консолей крыла, заканчивается</w:t>
            </w:r>
          </w:p>
        </w:tc>
      </w:tr>
      <w:tr w:rsidR="001002C3" w:rsidRPr="005E779E" w14:paraId="2A6E4239" w14:textId="77777777">
        <w:tc>
          <w:tcPr>
            <w:tcW w:w="1024" w:type="dxa"/>
          </w:tcPr>
          <w:p w14:paraId="04600D0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E18B6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ADECE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65FE6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DDC73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30E80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42BE0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D809F5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изготовление лонжеронов средних частей.</w:t>
            </w:r>
          </w:p>
        </w:tc>
      </w:tr>
      <w:tr w:rsidR="001002C3" w:rsidRPr="005E779E" w14:paraId="18302AEC" w14:textId="77777777">
        <w:tc>
          <w:tcPr>
            <w:tcW w:w="1024" w:type="dxa"/>
          </w:tcPr>
          <w:p w14:paraId="62EF483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B2591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0FE16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4617E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101F0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836A9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9C35C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5C741B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Ввиду того, что предложенные закупки 6РР</w:t>
            </w:r>
          </w:p>
        </w:tc>
      </w:tr>
      <w:tr w:rsidR="001002C3" w:rsidRPr="005E779E" w14:paraId="426781AC" w14:textId="77777777">
        <w:tc>
          <w:tcPr>
            <w:tcW w:w="1024" w:type="dxa"/>
          </w:tcPr>
          <w:p w14:paraId="0AEB70B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509D5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B0B93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BD7B8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396F2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6AAAA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21019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445BCC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800 нр в Англии не разрешены, а М-35Р</w:t>
            </w:r>
          </w:p>
        </w:tc>
      </w:tr>
      <w:tr w:rsidR="001002C3" w:rsidRPr="005E779E" w14:paraId="3D9900DD" w14:textId="77777777">
        <w:tc>
          <w:tcPr>
            <w:tcW w:w="1024" w:type="dxa"/>
          </w:tcPr>
          <w:p w14:paraId="17E66E7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29846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CA53B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F97E2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69514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5F994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877DF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0F8A32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 М-34Р в 1931 не выйдут, вопрос открыт.</w:t>
            </w:r>
          </w:p>
        </w:tc>
      </w:tr>
      <w:tr w:rsidR="001002C3" w:rsidRPr="005E779E" w14:paraId="63531CEB" w14:textId="77777777">
        <w:tc>
          <w:tcPr>
            <w:tcW w:w="1024" w:type="dxa"/>
          </w:tcPr>
          <w:p w14:paraId="31C3005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F1E71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3A7DF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FF8A8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724B9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C9AA1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8EA82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0D5560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Положение осложняется и тем, что выпуск</w:t>
            </w:r>
          </w:p>
        </w:tc>
      </w:tr>
      <w:tr w:rsidR="001002C3" w:rsidRPr="005E779E" w14:paraId="3D7AAD77" w14:textId="77777777">
        <w:tc>
          <w:tcPr>
            <w:tcW w:w="1024" w:type="dxa"/>
          </w:tcPr>
          <w:p w14:paraId="0689484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A77F2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C5B21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4DFBA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BC846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2FF62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02F96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325D57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М-34 по кол. не удовлетв. потр. опытного</w:t>
            </w:r>
          </w:p>
        </w:tc>
      </w:tr>
      <w:tr w:rsidR="001002C3" w:rsidRPr="005E779E" w14:paraId="23FDC646" w14:textId="77777777">
        <w:tc>
          <w:tcPr>
            <w:tcW w:w="1024" w:type="dxa"/>
          </w:tcPr>
          <w:p w14:paraId="265D7E6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C71CE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AC511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B089C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A31CC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946EE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6EDDE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143757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производства</w:t>
            </w:r>
          </w:p>
        </w:tc>
      </w:tr>
      <w:tr w:rsidR="001002C3" w:rsidRPr="005E779E" w14:paraId="0C514E98" w14:textId="77777777">
        <w:tc>
          <w:tcPr>
            <w:tcW w:w="1024" w:type="dxa"/>
          </w:tcPr>
          <w:p w14:paraId="59AC2AD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F3876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9DDDA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4CE65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2EA5C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9A801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2FA53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9E188F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Межак.</w:t>
            </w:r>
          </w:p>
        </w:tc>
      </w:tr>
      <w:tr w:rsidR="001002C3" w:rsidRPr="005E779E" w14:paraId="77391A7D" w14:textId="77777777">
        <w:tc>
          <w:tcPr>
            <w:tcW w:w="1024" w:type="dxa"/>
          </w:tcPr>
          <w:p w14:paraId="2640DA4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ТБ5-4ЮVI</w:t>
            </w:r>
          </w:p>
        </w:tc>
        <w:tc>
          <w:tcPr>
            <w:tcW w:w="1024" w:type="dxa"/>
          </w:tcPr>
          <w:p w14:paraId="2102FDC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w:t>
            </w:r>
          </w:p>
        </w:tc>
        <w:tc>
          <w:tcPr>
            <w:tcW w:w="1024" w:type="dxa"/>
          </w:tcPr>
          <w:p w14:paraId="0ACEC4A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5A790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024" w:type="dxa"/>
          </w:tcPr>
          <w:p w14:paraId="5EE1FD3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6-10 пул.</w:t>
            </w:r>
          </w:p>
        </w:tc>
        <w:tc>
          <w:tcPr>
            <w:tcW w:w="1024" w:type="dxa"/>
          </w:tcPr>
          <w:p w14:paraId="1EBD55D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w:t>
            </w:r>
          </w:p>
        </w:tc>
        <w:tc>
          <w:tcPr>
            <w:tcW w:w="1024" w:type="dxa"/>
          </w:tcPr>
          <w:p w14:paraId="60921D6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 мая </w:t>
            </w:r>
          </w:p>
        </w:tc>
        <w:tc>
          <w:tcPr>
            <w:tcW w:w="3430" w:type="dxa"/>
          </w:tcPr>
          <w:p w14:paraId="607EB02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закончен постройкой 30 июня.</w:t>
            </w:r>
          </w:p>
        </w:tc>
      </w:tr>
      <w:tr w:rsidR="001002C3" w:rsidRPr="005E779E" w14:paraId="41485609" w14:textId="77777777">
        <w:tc>
          <w:tcPr>
            <w:tcW w:w="1024" w:type="dxa"/>
          </w:tcPr>
          <w:p w14:paraId="64BA287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w:t>
            </w:r>
          </w:p>
        </w:tc>
        <w:tc>
          <w:tcPr>
            <w:tcW w:w="1024" w:type="dxa"/>
          </w:tcPr>
          <w:p w14:paraId="54AE5AC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3FDD7B6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D4FD7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0C4AD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1500 кг</w:t>
            </w:r>
          </w:p>
        </w:tc>
        <w:tc>
          <w:tcPr>
            <w:tcW w:w="1024" w:type="dxa"/>
          </w:tcPr>
          <w:p w14:paraId="3E9F218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D6C7B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 г.</w:t>
            </w:r>
          </w:p>
        </w:tc>
        <w:tc>
          <w:tcPr>
            <w:tcW w:w="3430" w:type="dxa"/>
          </w:tcPr>
          <w:p w14:paraId="3FB942E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Первые 3 полета прошли успешно, констат.</w:t>
            </w:r>
          </w:p>
        </w:tc>
      </w:tr>
      <w:tr w:rsidR="001002C3" w:rsidRPr="005E779E" w14:paraId="1377F265" w14:textId="77777777">
        <w:tc>
          <w:tcPr>
            <w:tcW w:w="1024" w:type="dxa"/>
          </w:tcPr>
          <w:p w14:paraId="0F19610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AB0CA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11195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06F58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070A3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 с</w:t>
            </w:r>
          </w:p>
        </w:tc>
        <w:tc>
          <w:tcPr>
            <w:tcW w:w="1024" w:type="dxa"/>
          </w:tcPr>
          <w:p w14:paraId="36200B0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5472D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0C6BE1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недостаточную тягу винтов из-за того</w:t>
            </w:r>
          </w:p>
        </w:tc>
      </w:tr>
      <w:tr w:rsidR="001002C3" w:rsidRPr="005E779E" w14:paraId="2E2A3F73" w14:textId="77777777">
        <w:tc>
          <w:tcPr>
            <w:tcW w:w="1024" w:type="dxa"/>
          </w:tcPr>
          <w:p w14:paraId="7B9AC56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943A3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8B21F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A382B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DA428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перегр.</w:t>
            </w:r>
          </w:p>
        </w:tc>
        <w:tc>
          <w:tcPr>
            <w:tcW w:w="1024" w:type="dxa"/>
          </w:tcPr>
          <w:p w14:paraId="333631B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1D438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AB5091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что моторы без редукторов. Продолжаются</w:t>
            </w:r>
          </w:p>
        </w:tc>
      </w:tr>
      <w:tr w:rsidR="001002C3" w:rsidRPr="005E779E" w14:paraId="720A8AF4" w14:textId="77777777">
        <w:tc>
          <w:tcPr>
            <w:tcW w:w="1024" w:type="dxa"/>
          </w:tcPr>
          <w:p w14:paraId="25D0E9E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AB306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6D545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4A1EF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91F55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 за</w:t>
            </w:r>
          </w:p>
        </w:tc>
        <w:tc>
          <w:tcPr>
            <w:tcW w:w="1024" w:type="dxa"/>
          </w:tcPr>
          <w:p w14:paraId="017EED9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6E916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5CCEF7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заводские испытания. Доводится воор.</w:t>
            </w:r>
          </w:p>
        </w:tc>
      </w:tr>
      <w:tr w:rsidR="001002C3" w:rsidRPr="005E779E" w14:paraId="63A30F4D" w14:textId="77777777">
        <w:tc>
          <w:tcPr>
            <w:tcW w:w="1024" w:type="dxa"/>
          </w:tcPr>
          <w:p w14:paraId="1981A8B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32CB9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B9993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382E7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5AA63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счет</w:t>
            </w:r>
          </w:p>
        </w:tc>
        <w:tc>
          <w:tcPr>
            <w:tcW w:w="1024" w:type="dxa"/>
          </w:tcPr>
          <w:p w14:paraId="72A7DE9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13AA7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68050A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 оборудование. Поступит в НИИ в</w:t>
            </w:r>
          </w:p>
        </w:tc>
      </w:tr>
      <w:tr w:rsidR="001002C3" w:rsidRPr="005E779E" w14:paraId="01D6A220" w14:textId="77777777">
        <w:tc>
          <w:tcPr>
            <w:tcW w:w="1024" w:type="dxa"/>
          </w:tcPr>
          <w:p w14:paraId="018EE7C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5D5E0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EC417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98C6F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154C1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горючего</w:t>
            </w:r>
          </w:p>
        </w:tc>
        <w:tc>
          <w:tcPr>
            <w:tcW w:w="1024" w:type="dxa"/>
          </w:tcPr>
          <w:p w14:paraId="5815EDB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4C949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конце </w:t>
            </w:r>
          </w:p>
        </w:tc>
        <w:tc>
          <w:tcPr>
            <w:tcW w:w="3430" w:type="dxa"/>
          </w:tcPr>
          <w:p w14:paraId="00EC3C6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D3A1424" w14:textId="77777777">
        <w:tc>
          <w:tcPr>
            <w:tcW w:w="1024" w:type="dxa"/>
          </w:tcPr>
          <w:p w14:paraId="2216638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F4A5A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83583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DCDB4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D3FDF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4000 кг</w:t>
            </w:r>
          </w:p>
        </w:tc>
        <w:tc>
          <w:tcPr>
            <w:tcW w:w="1024" w:type="dxa"/>
          </w:tcPr>
          <w:p w14:paraId="0AC3C7A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CF04F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августа</w:t>
            </w:r>
          </w:p>
        </w:tc>
        <w:tc>
          <w:tcPr>
            <w:tcW w:w="3430" w:type="dxa"/>
          </w:tcPr>
          <w:p w14:paraId="07FF6E6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Вахмистров.</w:t>
            </w:r>
          </w:p>
        </w:tc>
      </w:tr>
      <w:tr w:rsidR="001002C3" w:rsidRPr="005E779E" w14:paraId="779437E8" w14:textId="77777777">
        <w:tc>
          <w:tcPr>
            <w:tcW w:w="1024" w:type="dxa"/>
          </w:tcPr>
          <w:p w14:paraId="68239CE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47B65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2A1E3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D4EC5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7B4B0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w:t>
            </w:r>
          </w:p>
        </w:tc>
        <w:tc>
          <w:tcPr>
            <w:tcW w:w="1024" w:type="dxa"/>
          </w:tcPr>
          <w:p w14:paraId="30F91BD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ADBC9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w:t>
            </w:r>
          </w:p>
        </w:tc>
        <w:tc>
          <w:tcPr>
            <w:tcW w:w="3430" w:type="dxa"/>
          </w:tcPr>
          <w:p w14:paraId="2729545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D9B1031" w14:textId="77777777">
        <w:tc>
          <w:tcPr>
            <w:tcW w:w="1024" w:type="dxa"/>
          </w:tcPr>
          <w:p w14:paraId="0C31BDF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ДИ3 М17</w:t>
            </w:r>
          </w:p>
        </w:tc>
        <w:tc>
          <w:tcPr>
            <w:tcW w:w="1024" w:type="dxa"/>
          </w:tcPr>
          <w:p w14:paraId="6B524C6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260/</w:t>
            </w:r>
          </w:p>
        </w:tc>
        <w:tc>
          <w:tcPr>
            <w:tcW w:w="1024" w:type="dxa"/>
          </w:tcPr>
          <w:p w14:paraId="4F490B4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10.5/</w:t>
            </w:r>
          </w:p>
        </w:tc>
        <w:tc>
          <w:tcPr>
            <w:tcW w:w="1024" w:type="dxa"/>
          </w:tcPr>
          <w:p w14:paraId="4042FF0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024" w:type="dxa"/>
          </w:tcPr>
          <w:p w14:paraId="653DC37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пул.</w:t>
            </w:r>
          </w:p>
        </w:tc>
        <w:tc>
          <w:tcPr>
            <w:tcW w:w="1024" w:type="dxa"/>
          </w:tcPr>
          <w:p w14:paraId="0D81BBD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250/</w:t>
            </w:r>
          </w:p>
        </w:tc>
        <w:tc>
          <w:tcPr>
            <w:tcW w:w="1024" w:type="dxa"/>
          </w:tcPr>
          <w:p w14:paraId="450F5B9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фев.</w:t>
            </w:r>
          </w:p>
        </w:tc>
        <w:tc>
          <w:tcPr>
            <w:tcW w:w="3430" w:type="dxa"/>
          </w:tcPr>
          <w:p w14:paraId="7939130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Заканчиваются гос. испытания в НИИ ВВС.</w:t>
            </w:r>
          </w:p>
        </w:tc>
      </w:tr>
      <w:tr w:rsidR="001002C3" w:rsidRPr="005E779E" w14:paraId="55A3CCB6" w14:textId="77777777">
        <w:tc>
          <w:tcPr>
            <w:tcW w:w="1024" w:type="dxa"/>
          </w:tcPr>
          <w:p w14:paraId="60C8E0F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w:t>
            </w:r>
          </w:p>
        </w:tc>
        <w:tc>
          <w:tcPr>
            <w:tcW w:w="1024" w:type="dxa"/>
          </w:tcPr>
          <w:p w14:paraId="156B7AA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024" w:type="dxa"/>
          </w:tcPr>
          <w:p w14:paraId="574C924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024" w:type="dxa"/>
          </w:tcPr>
          <w:p w14:paraId="2F95CB6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A8D4B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F4F6A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275</w:t>
            </w:r>
          </w:p>
        </w:tc>
        <w:tc>
          <w:tcPr>
            <w:tcW w:w="1024" w:type="dxa"/>
          </w:tcPr>
          <w:p w14:paraId="5BA62DE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 г.</w:t>
            </w:r>
          </w:p>
        </w:tc>
        <w:tc>
          <w:tcPr>
            <w:tcW w:w="3430" w:type="dxa"/>
          </w:tcPr>
          <w:p w14:paraId="113C696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Испытания показали, что ЛД значительно</w:t>
            </w:r>
          </w:p>
        </w:tc>
      </w:tr>
      <w:tr w:rsidR="001002C3" w:rsidRPr="005E779E" w14:paraId="48B5AA10" w14:textId="77777777">
        <w:tc>
          <w:tcPr>
            <w:tcW w:w="1024" w:type="dxa"/>
          </w:tcPr>
          <w:p w14:paraId="07F1427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900C6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397DB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99110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2F05D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FF1FD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75005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89B4BC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ниже ТТ - 212 км/час вместо 260, потолок</w:t>
            </w:r>
          </w:p>
        </w:tc>
      </w:tr>
      <w:tr w:rsidR="001002C3" w:rsidRPr="005E779E" w14:paraId="1AF6A304" w14:textId="77777777">
        <w:tc>
          <w:tcPr>
            <w:tcW w:w="1024" w:type="dxa"/>
          </w:tcPr>
          <w:p w14:paraId="7C4A132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CED71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1DEE6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500B4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CEB56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1148B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1F85B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158E93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6300 вместо 7500. Маневренность хорошая</w:t>
            </w:r>
          </w:p>
        </w:tc>
      </w:tr>
      <w:tr w:rsidR="001002C3" w:rsidRPr="005E779E" w14:paraId="76D442D7" w14:textId="77777777">
        <w:tc>
          <w:tcPr>
            <w:tcW w:w="1024" w:type="dxa"/>
          </w:tcPr>
          <w:p w14:paraId="02D89C5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F328F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77B11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D1F85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3180A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21F02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0694F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78E3D5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Обнаружили дефекты. завод 39 строит</w:t>
            </w:r>
          </w:p>
        </w:tc>
      </w:tr>
      <w:tr w:rsidR="001002C3" w:rsidRPr="005E779E" w14:paraId="1D947F4E" w14:textId="77777777">
        <w:tc>
          <w:tcPr>
            <w:tcW w:w="1024" w:type="dxa"/>
          </w:tcPr>
          <w:p w14:paraId="4815253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40C90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6BFD0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D71BC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52B05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44A34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39675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A3E281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небольшую 910) серию. Сводка предст.</w:t>
            </w:r>
          </w:p>
        </w:tc>
      </w:tr>
      <w:tr w:rsidR="001002C3" w:rsidRPr="005E779E" w14:paraId="2FA5AA73" w14:textId="77777777">
        <w:tc>
          <w:tcPr>
            <w:tcW w:w="1024" w:type="dxa"/>
          </w:tcPr>
          <w:p w14:paraId="64E4865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036C0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537AD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9C7C7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5F024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E7F22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40B1A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BEB5EE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 ВВС</w:t>
            </w:r>
          </w:p>
        </w:tc>
      </w:tr>
      <w:tr w:rsidR="001002C3" w:rsidRPr="005E779E" w14:paraId="57DD8543" w14:textId="77777777">
        <w:tc>
          <w:tcPr>
            <w:tcW w:w="1024" w:type="dxa"/>
          </w:tcPr>
          <w:p w14:paraId="0188DD6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A1F01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85578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7B0CD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A85C3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E56D3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9C81C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22C484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Полехин.</w:t>
            </w:r>
          </w:p>
        </w:tc>
      </w:tr>
      <w:tr w:rsidR="001002C3" w:rsidRPr="005E779E" w14:paraId="163D5767" w14:textId="77777777">
        <w:tc>
          <w:tcPr>
            <w:tcW w:w="1024" w:type="dxa"/>
          </w:tcPr>
          <w:p w14:paraId="684E416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МИ3 2хМ34</w:t>
            </w:r>
          </w:p>
        </w:tc>
        <w:tc>
          <w:tcPr>
            <w:tcW w:w="1024" w:type="dxa"/>
          </w:tcPr>
          <w:p w14:paraId="1D2F824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w:t>
            </w:r>
          </w:p>
        </w:tc>
        <w:tc>
          <w:tcPr>
            <w:tcW w:w="1024" w:type="dxa"/>
          </w:tcPr>
          <w:p w14:paraId="42A6B02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w:t>
            </w:r>
          </w:p>
        </w:tc>
        <w:tc>
          <w:tcPr>
            <w:tcW w:w="1024" w:type="dxa"/>
          </w:tcPr>
          <w:p w14:paraId="0FC1468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7000</w:t>
            </w:r>
          </w:p>
        </w:tc>
        <w:tc>
          <w:tcPr>
            <w:tcW w:w="1024" w:type="dxa"/>
          </w:tcPr>
          <w:p w14:paraId="04BC5C6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тяж.</w:t>
            </w:r>
          </w:p>
        </w:tc>
        <w:tc>
          <w:tcPr>
            <w:tcW w:w="1024" w:type="dxa"/>
          </w:tcPr>
          <w:p w14:paraId="4931925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w:t>
            </w:r>
          </w:p>
        </w:tc>
        <w:tc>
          <w:tcPr>
            <w:tcW w:w="1024" w:type="dxa"/>
          </w:tcPr>
          <w:p w14:paraId="0DC7F2E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янв.</w:t>
            </w:r>
          </w:p>
        </w:tc>
        <w:tc>
          <w:tcPr>
            <w:tcW w:w="3430" w:type="dxa"/>
          </w:tcPr>
          <w:p w14:paraId="4ABED6A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Утверждена схема. Разработаны и предст.</w:t>
            </w:r>
          </w:p>
        </w:tc>
      </w:tr>
      <w:tr w:rsidR="001002C3" w:rsidRPr="005E779E" w14:paraId="62DC99B9" w14:textId="77777777">
        <w:tc>
          <w:tcPr>
            <w:tcW w:w="1024" w:type="dxa"/>
          </w:tcPr>
          <w:p w14:paraId="4A4ECDA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w:t>
            </w:r>
          </w:p>
        </w:tc>
        <w:tc>
          <w:tcPr>
            <w:tcW w:w="1024" w:type="dxa"/>
          </w:tcPr>
          <w:p w14:paraId="4C3370B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6C7793B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024" w:type="dxa"/>
          </w:tcPr>
          <w:p w14:paraId="426AA3A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8000</w:t>
            </w:r>
          </w:p>
        </w:tc>
        <w:tc>
          <w:tcPr>
            <w:tcW w:w="1024" w:type="dxa"/>
          </w:tcPr>
          <w:p w14:paraId="1015254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пулем.</w:t>
            </w:r>
          </w:p>
        </w:tc>
        <w:tc>
          <w:tcPr>
            <w:tcW w:w="1024" w:type="dxa"/>
          </w:tcPr>
          <w:p w14:paraId="1644901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5917D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1932 г.</w:t>
            </w:r>
          </w:p>
        </w:tc>
        <w:tc>
          <w:tcPr>
            <w:tcW w:w="3430" w:type="dxa"/>
          </w:tcPr>
          <w:p w14:paraId="77F3E67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ЦАГИ ТТ. Ведется проектирование сам.</w:t>
            </w:r>
          </w:p>
        </w:tc>
      </w:tr>
      <w:tr w:rsidR="001002C3" w:rsidRPr="005E779E" w14:paraId="58DE53CC" w14:textId="77777777">
        <w:tc>
          <w:tcPr>
            <w:tcW w:w="1024" w:type="dxa"/>
          </w:tcPr>
          <w:p w14:paraId="4402473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72F03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6000</w:t>
            </w:r>
          </w:p>
        </w:tc>
        <w:tc>
          <w:tcPr>
            <w:tcW w:w="1024" w:type="dxa"/>
          </w:tcPr>
          <w:p w14:paraId="2276ECD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67B82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11CDF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легк.</w:t>
            </w:r>
          </w:p>
        </w:tc>
        <w:tc>
          <w:tcPr>
            <w:tcW w:w="1024" w:type="dxa"/>
          </w:tcPr>
          <w:p w14:paraId="5318913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86F1D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3F7EA2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 подготовка к постройке. Заканчивается</w:t>
            </w:r>
          </w:p>
        </w:tc>
      </w:tr>
      <w:tr w:rsidR="001002C3" w:rsidRPr="005E779E" w14:paraId="2986AE99" w14:textId="77777777">
        <w:tc>
          <w:tcPr>
            <w:tcW w:w="1024" w:type="dxa"/>
          </w:tcPr>
          <w:p w14:paraId="6441A87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E840D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0C0B4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19DC8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2E7F0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пулем.</w:t>
            </w:r>
          </w:p>
        </w:tc>
        <w:tc>
          <w:tcPr>
            <w:tcW w:w="1024" w:type="dxa"/>
          </w:tcPr>
          <w:p w14:paraId="14CD55F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68A83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E09657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макет. Открыт вопрос о снабжении М-34,</w:t>
            </w:r>
          </w:p>
        </w:tc>
      </w:tr>
      <w:tr w:rsidR="001002C3" w:rsidRPr="005E779E" w14:paraId="4071A02D" w14:textId="77777777">
        <w:tc>
          <w:tcPr>
            <w:tcW w:w="1024" w:type="dxa"/>
          </w:tcPr>
          <w:p w14:paraId="2EE4DCA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F2C26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19807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61A61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2E039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4DAC0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CD440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9B7EFA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т.к. сроки поставки запаздывают по срав.</w:t>
            </w:r>
          </w:p>
        </w:tc>
      </w:tr>
      <w:tr w:rsidR="001002C3" w:rsidRPr="005E779E" w14:paraId="4ECA187F" w14:textId="77777777">
        <w:tc>
          <w:tcPr>
            <w:tcW w:w="1024" w:type="dxa"/>
          </w:tcPr>
          <w:p w14:paraId="621AB54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A8C02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E078D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881CA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BF2E7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67881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DCBEE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D94C15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 изгот. сроками самолета. Сдана в произ.</w:t>
            </w:r>
          </w:p>
        </w:tc>
      </w:tr>
      <w:tr w:rsidR="001002C3" w:rsidRPr="005E779E" w14:paraId="7ED50BF3" w14:textId="77777777">
        <w:tc>
          <w:tcPr>
            <w:tcW w:w="1024" w:type="dxa"/>
          </w:tcPr>
          <w:p w14:paraId="3A1A9D9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1BD74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1EDEE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5A973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67FB8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28A4F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4D477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FBB486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ОЧК</w:t>
            </w:r>
          </w:p>
        </w:tc>
      </w:tr>
      <w:tr w:rsidR="001002C3" w:rsidRPr="005E779E" w14:paraId="49CEEBC2" w14:textId="77777777">
        <w:tc>
          <w:tcPr>
            <w:tcW w:w="1024" w:type="dxa"/>
          </w:tcPr>
          <w:p w14:paraId="4E38719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69D77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7BB98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88A2C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DA152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6B012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1798E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3525D3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Межак.</w:t>
            </w:r>
          </w:p>
        </w:tc>
      </w:tr>
      <w:tr w:rsidR="001002C3" w:rsidRPr="005E779E" w14:paraId="10203FFF" w14:textId="77777777">
        <w:tc>
          <w:tcPr>
            <w:tcW w:w="1024" w:type="dxa"/>
          </w:tcPr>
          <w:p w14:paraId="2237571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Р8-М27</w:t>
            </w:r>
          </w:p>
        </w:tc>
        <w:tc>
          <w:tcPr>
            <w:tcW w:w="1024" w:type="dxa"/>
          </w:tcPr>
          <w:p w14:paraId="40147FC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245/</w:t>
            </w:r>
          </w:p>
        </w:tc>
        <w:tc>
          <w:tcPr>
            <w:tcW w:w="1024" w:type="dxa"/>
          </w:tcPr>
          <w:p w14:paraId="6D776D4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w:t>
            </w:r>
          </w:p>
        </w:tc>
        <w:tc>
          <w:tcPr>
            <w:tcW w:w="1024" w:type="dxa"/>
          </w:tcPr>
          <w:p w14:paraId="19A92C0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7000</w:t>
            </w:r>
          </w:p>
        </w:tc>
        <w:tc>
          <w:tcPr>
            <w:tcW w:w="1024" w:type="dxa"/>
          </w:tcPr>
          <w:p w14:paraId="0A0A77D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пул.</w:t>
            </w:r>
          </w:p>
        </w:tc>
        <w:tc>
          <w:tcPr>
            <w:tcW w:w="1024" w:type="dxa"/>
          </w:tcPr>
          <w:p w14:paraId="4EA4132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024" w:type="dxa"/>
          </w:tcPr>
          <w:p w14:paraId="0780754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мая</w:t>
            </w:r>
          </w:p>
        </w:tc>
        <w:tc>
          <w:tcPr>
            <w:tcW w:w="3430" w:type="dxa"/>
          </w:tcPr>
          <w:p w14:paraId="6620B72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январе-апреле завод разработал проекты</w:t>
            </w:r>
          </w:p>
        </w:tc>
      </w:tr>
      <w:tr w:rsidR="001002C3" w:rsidRPr="005E779E" w14:paraId="4A4CAEC7" w14:textId="77777777">
        <w:tc>
          <w:tcPr>
            <w:tcW w:w="1024" w:type="dxa"/>
          </w:tcPr>
          <w:p w14:paraId="4043DCC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w:t>
            </w:r>
          </w:p>
        </w:tc>
        <w:tc>
          <w:tcPr>
            <w:tcW w:w="1024" w:type="dxa"/>
          </w:tcPr>
          <w:p w14:paraId="0679682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7A9E74C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2BF35F8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A5429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F7A42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61EA4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 г.</w:t>
            </w:r>
          </w:p>
        </w:tc>
        <w:tc>
          <w:tcPr>
            <w:tcW w:w="3430" w:type="dxa"/>
          </w:tcPr>
          <w:p w14:paraId="0A6470E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ряда схем, основываясь на схеме моноплан</w:t>
            </w:r>
          </w:p>
        </w:tc>
      </w:tr>
      <w:tr w:rsidR="001002C3" w:rsidRPr="005E779E" w14:paraId="4A03DF1E" w14:textId="77777777">
        <w:tc>
          <w:tcPr>
            <w:tcW w:w="1024" w:type="dxa"/>
          </w:tcPr>
          <w:p w14:paraId="7AD9E61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5D5D2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CC1FD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EEB0E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049AE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B770B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6C5D1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03D481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двухвостка взамен полутороплана. Боевую</w:t>
            </w:r>
          </w:p>
        </w:tc>
      </w:tr>
      <w:tr w:rsidR="001002C3" w:rsidRPr="005E779E" w14:paraId="5FACCB58" w14:textId="77777777">
        <w:tc>
          <w:tcPr>
            <w:tcW w:w="1024" w:type="dxa"/>
          </w:tcPr>
          <w:p w14:paraId="11935B4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22027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C6891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86381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2259D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DE642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B40E9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BA0B78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схемы ВВС не приняло исходя из тактич.</w:t>
            </w:r>
          </w:p>
        </w:tc>
      </w:tr>
      <w:tr w:rsidR="001002C3" w:rsidRPr="005E779E" w14:paraId="470FEF4E" w14:textId="77777777">
        <w:tc>
          <w:tcPr>
            <w:tcW w:w="1024" w:type="dxa"/>
          </w:tcPr>
          <w:p w14:paraId="0301D60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7B681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55D72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2C1A5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FB11E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EBDC9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7B1DE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236B02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соображений. Макетная комиссия предлож.</w:t>
            </w:r>
          </w:p>
        </w:tc>
      </w:tr>
      <w:tr w:rsidR="001002C3" w:rsidRPr="005E779E" w14:paraId="4EF55298" w14:textId="77777777">
        <w:tc>
          <w:tcPr>
            <w:tcW w:w="1024" w:type="dxa"/>
          </w:tcPr>
          <w:p w14:paraId="495C4CD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FCB53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C0C20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E0E95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64F4D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12B3F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8E603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60F2B1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пересмотреть схему. Плановый срок сорван.</w:t>
            </w:r>
          </w:p>
        </w:tc>
      </w:tr>
      <w:tr w:rsidR="001002C3" w:rsidRPr="005E779E" w14:paraId="16DB1C29" w14:textId="77777777">
        <w:tc>
          <w:tcPr>
            <w:tcW w:w="1024" w:type="dxa"/>
          </w:tcPr>
          <w:p w14:paraId="346E7C5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A5F24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4B3B6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3269B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0F152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AC754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1C106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3AD9FD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Палехин.</w:t>
            </w:r>
          </w:p>
        </w:tc>
      </w:tr>
      <w:tr w:rsidR="001002C3" w:rsidRPr="005E779E" w14:paraId="1D48EED5" w14:textId="77777777">
        <w:tc>
          <w:tcPr>
            <w:tcW w:w="1024" w:type="dxa"/>
          </w:tcPr>
          <w:p w14:paraId="6ED404D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Р8-М34</w:t>
            </w:r>
          </w:p>
        </w:tc>
        <w:tc>
          <w:tcPr>
            <w:tcW w:w="1024" w:type="dxa"/>
          </w:tcPr>
          <w:p w14:paraId="56C9C16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250/</w:t>
            </w:r>
          </w:p>
        </w:tc>
        <w:tc>
          <w:tcPr>
            <w:tcW w:w="1024" w:type="dxa"/>
          </w:tcPr>
          <w:p w14:paraId="150D99D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8/10/</w:t>
            </w:r>
          </w:p>
        </w:tc>
        <w:tc>
          <w:tcPr>
            <w:tcW w:w="1024" w:type="dxa"/>
          </w:tcPr>
          <w:p w14:paraId="45D26AA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7000</w:t>
            </w:r>
          </w:p>
        </w:tc>
        <w:tc>
          <w:tcPr>
            <w:tcW w:w="1024" w:type="dxa"/>
          </w:tcPr>
          <w:p w14:paraId="3453257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пул.</w:t>
            </w:r>
          </w:p>
        </w:tc>
        <w:tc>
          <w:tcPr>
            <w:tcW w:w="1024" w:type="dxa"/>
          </w:tcPr>
          <w:p w14:paraId="74D1566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650</w:t>
            </w:r>
          </w:p>
        </w:tc>
        <w:tc>
          <w:tcPr>
            <w:tcW w:w="1024" w:type="dxa"/>
          </w:tcPr>
          <w:p w14:paraId="1DEC267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окт.</w:t>
            </w:r>
          </w:p>
        </w:tc>
        <w:tc>
          <w:tcPr>
            <w:tcW w:w="3430" w:type="dxa"/>
          </w:tcPr>
          <w:p w14:paraId="078BE7D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Работы не начаты.</w:t>
            </w:r>
          </w:p>
        </w:tc>
      </w:tr>
      <w:tr w:rsidR="001002C3" w:rsidRPr="005E779E" w14:paraId="24356461" w14:textId="77777777">
        <w:tc>
          <w:tcPr>
            <w:tcW w:w="1024" w:type="dxa"/>
          </w:tcPr>
          <w:p w14:paraId="11FF13C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w:t>
            </w:r>
          </w:p>
        </w:tc>
        <w:tc>
          <w:tcPr>
            <w:tcW w:w="1024" w:type="dxa"/>
          </w:tcPr>
          <w:p w14:paraId="01A7A90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180CD15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3EC8590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7500</w:t>
            </w:r>
          </w:p>
        </w:tc>
        <w:tc>
          <w:tcPr>
            <w:tcW w:w="1024" w:type="dxa"/>
          </w:tcPr>
          <w:p w14:paraId="270CB6D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CEAB3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750</w:t>
            </w:r>
          </w:p>
        </w:tc>
        <w:tc>
          <w:tcPr>
            <w:tcW w:w="1024" w:type="dxa"/>
          </w:tcPr>
          <w:p w14:paraId="6C8C6D9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 г.</w:t>
            </w:r>
          </w:p>
        </w:tc>
        <w:tc>
          <w:tcPr>
            <w:tcW w:w="3430" w:type="dxa"/>
          </w:tcPr>
          <w:p w14:paraId="62564F8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91066AF" w14:textId="77777777">
        <w:tc>
          <w:tcPr>
            <w:tcW w:w="1024" w:type="dxa"/>
          </w:tcPr>
          <w:p w14:paraId="2F58A68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МДР3-4ЮVI</w:t>
            </w:r>
          </w:p>
        </w:tc>
        <w:tc>
          <w:tcPr>
            <w:tcW w:w="1024" w:type="dxa"/>
          </w:tcPr>
          <w:p w14:paraId="76F9088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w:t>
            </w:r>
          </w:p>
        </w:tc>
        <w:tc>
          <w:tcPr>
            <w:tcW w:w="1024" w:type="dxa"/>
          </w:tcPr>
          <w:p w14:paraId="4AC8A5B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w:t>
            </w:r>
          </w:p>
        </w:tc>
        <w:tc>
          <w:tcPr>
            <w:tcW w:w="1024" w:type="dxa"/>
          </w:tcPr>
          <w:p w14:paraId="0E8B322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024" w:type="dxa"/>
          </w:tcPr>
          <w:p w14:paraId="0D10E57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пул.</w:t>
            </w:r>
          </w:p>
        </w:tc>
        <w:tc>
          <w:tcPr>
            <w:tcW w:w="1024" w:type="dxa"/>
          </w:tcPr>
          <w:p w14:paraId="5C40603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w:t>
            </w:r>
          </w:p>
        </w:tc>
        <w:tc>
          <w:tcPr>
            <w:tcW w:w="1024" w:type="dxa"/>
          </w:tcPr>
          <w:p w14:paraId="2CB7471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июня</w:t>
            </w:r>
          </w:p>
        </w:tc>
        <w:tc>
          <w:tcPr>
            <w:tcW w:w="3430" w:type="dxa"/>
          </w:tcPr>
          <w:p w14:paraId="0E2E160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большей своей части конструктивная</w:t>
            </w:r>
          </w:p>
        </w:tc>
      </w:tr>
      <w:tr w:rsidR="001002C3" w:rsidRPr="005E779E" w14:paraId="6CD50648" w14:textId="77777777">
        <w:tc>
          <w:tcPr>
            <w:tcW w:w="1024" w:type="dxa"/>
          </w:tcPr>
          <w:p w14:paraId="2540146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w:t>
            </w:r>
          </w:p>
        </w:tc>
        <w:tc>
          <w:tcPr>
            <w:tcW w:w="1024" w:type="dxa"/>
          </w:tcPr>
          <w:p w14:paraId="265A87A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7A14121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6F082F6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0EDA2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авт.</w:t>
            </w:r>
          </w:p>
        </w:tc>
        <w:tc>
          <w:tcPr>
            <w:tcW w:w="1024" w:type="dxa"/>
          </w:tcPr>
          <w:p w14:paraId="5CD5023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1200</w:t>
            </w:r>
          </w:p>
        </w:tc>
        <w:tc>
          <w:tcPr>
            <w:tcW w:w="1024" w:type="dxa"/>
          </w:tcPr>
          <w:p w14:paraId="72C3845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 г.</w:t>
            </w:r>
          </w:p>
        </w:tc>
        <w:tc>
          <w:tcPr>
            <w:tcW w:w="3430" w:type="dxa"/>
          </w:tcPr>
          <w:p w14:paraId="51BA22C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разработка окончена. Из основных частей</w:t>
            </w:r>
          </w:p>
        </w:tc>
      </w:tr>
      <w:tr w:rsidR="001002C3" w:rsidRPr="005E779E" w14:paraId="72BA861E" w14:textId="77777777">
        <w:tc>
          <w:tcPr>
            <w:tcW w:w="1024" w:type="dxa"/>
          </w:tcPr>
          <w:p w14:paraId="435ED7C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884B5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BF8AA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37AD3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FC204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пушка</w:t>
            </w:r>
          </w:p>
        </w:tc>
        <w:tc>
          <w:tcPr>
            <w:tcW w:w="1024" w:type="dxa"/>
          </w:tcPr>
          <w:p w14:paraId="1F6FC1E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6D861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DBEFB4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изготовлены: набор лодки, набор центр.</w:t>
            </w:r>
          </w:p>
        </w:tc>
      </w:tr>
      <w:tr w:rsidR="001002C3" w:rsidRPr="005E779E" w14:paraId="7BFF03B8" w14:textId="77777777">
        <w:tc>
          <w:tcPr>
            <w:tcW w:w="1024" w:type="dxa"/>
          </w:tcPr>
          <w:p w14:paraId="78B816F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57164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FE229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82E12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04D2F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 кг</w:t>
            </w:r>
          </w:p>
        </w:tc>
        <w:tc>
          <w:tcPr>
            <w:tcW w:w="1024" w:type="dxa"/>
          </w:tcPr>
          <w:p w14:paraId="381E04E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ADF99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74CE52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лонжероны консолей. Обшито днище лодки</w:t>
            </w:r>
          </w:p>
        </w:tc>
      </w:tr>
      <w:tr w:rsidR="001002C3" w:rsidRPr="005E779E" w14:paraId="1B590926" w14:textId="77777777">
        <w:tc>
          <w:tcPr>
            <w:tcW w:w="1024" w:type="dxa"/>
          </w:tcPr>
          <w:p w14:paraId="013E96C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2BA16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DC5E2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1448F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402D6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w:t>
            </w:r>
          </w:p>
        </w:tc>
        <w:tc>
          <w:tcPr>
            <w:tcW w:w="1024" w:type="dxa"/>
          </w:tcPr>
          <w:p w14:paraId="701BBEE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77C45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4B4136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работы задерживаются из-за несвоеврем.</w:t>
            </w:r>
          </w:p>
        </w:tc>
      </w:tr>
      <w:tr w:rsidR="001002C3" w:rsidRPr="005E779E" w14:paraId="55793033" w14:textId="77777777">
        <w:tc>
          <w:tcPr>
            <w:tcW w:w="1024" w:type="dxa"/>
          </w:tcPr>
          <w:p w14:paraId="41C0A92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263FC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69330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D81BF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B5ACF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B88E1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2EE6F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95F3B7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выпуска ТБ-5, окончание пр-ва намечено</w:t>
            </w:r>
          </w:p>
        </w:tc>
      </w:tr>
      <w:tr w:rsidR="001002C3" w:rsidRPr="005E779E" w14:paraId="2C86E450" w14:textId="77777777">
        <w:tc>
          <w:tcPr>
            <w:tcW w:w="1024" w:type="dxa"/>
          </w:tcPr>
          <w:p w14:paraId="253B0AF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216C6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491CE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E700E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1A1A6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73804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0D6A6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5B8C5B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1 сентября 1931</w:t>
            </w:r>
          </w:p>
        </w:tc>
      </w:tr>
      <w:tr w:rsidR="001002C3" w:rsidRPr="005E779E" w14:paraId="3FB25A2E" w14:textId="77777777">
        <w:tc>
          <w:tcPr>
            <w:tcW w:w="1024" w:type="dxa"/>
          </w:tcPr>
          <w:p w14:paraId="4DF1A62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8119B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C5382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074D5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2EC60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7059C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301F1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C24ED5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Волков.</w:t>
            </w:r>
          </w:p>
        </w:tc>
      </w:tr>
      <w:tr w:rsidR="001002C3" w:rsidRPr="005E779E" w14:paraId="416B5EF3" w14:textId="77777777">
        <w:tc>
          <w:tcPr>
            <w:tcW w:w="1024" w:type="dxa"/>
          </w:tcPr>
          <w:p w14:paraId="383A714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2-я очередь (основные типы по системе вооружения).</w:t>
            </w:r>
          </w:p>
        </w:tc>
        <w:tc>
          <w:tcPr>
            <w:tcW w:w="1024" w:type="dxa"/>
          </w:tcPr>
          <w:p w14:paraId="3519619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C2277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71B86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BB568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F2509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0B178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993AD4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F07CAC1" w14:textId="77777777">
        <w:tc>
          <w:tcPr>
            <w:tcW w:w="1024" w:type="dxa"/>
          </w:tcPr>
          <w:p w14:paraId="4F26682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ДИ4-М-19</w:t>
            </w:r>
          </w:p>
        </w:tc>
        <w:tc>
          <w:tcPr>
            <w:tcW w:w="1024" w:type="dxa"/>
          </w:tcPr>
          <w:p w14:paraId="0F7715F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280/</w:t>
            </w:r>
          </w:p>
        </w:tc>
        <w:tc>
          <w:tcPr>
            <w:tcW w:w="1024" w:type="dxa"/>
          </w:tcPr>
          <w:p w14:paraId="6691434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8,5/</w:t>
            </w:r>
          </w:p>
        </w:tc>
        <w:tc>
          <w:tcPr>
            <w:tcW w:w="1024" w:type="dxa"/>
          </w:tcPr>
          <w:p w14:paraId="6DCE98E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8000</w:t>
            </w:r>
          </w:p>
        </w:tc>
        <w:tc>
          <w:tcPr>
            <w:tcW w:w="1024" w:type="dxa"/>
          </w:tcPr>
          <w:p w14:paraId="29CD239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пул.</w:t>
            </w:r>
          </w:p>
        </w:tc>
        <w:tc>
          <w:tcPr>
            <w:tcW w:w="1024" w:type="dxa"/>
          </w:tcPr>
          <w:p w14:paraId="3DDB6F4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450</w:t>
            </w:r>
          </w:p>
        </w:tc>
        <w:tc>
          <w:tcPr>
            <w:tcW w:w="1024" w:type="dxa"/>
          </w:tcPr>
          <w:p w14:paraId="2649210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сент.</w:t>
            </w:r>
          </w:p>
        </w:tc>
        <w:tc>
          <w:tcPr>
            <w:tcW w:w="3430" w:type="dxa"/>
          </w:tcPr>
          <w:p w14:paraId="5E84FDC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 принято решение проектировать и стр.</w:t>
            </w:r>
          </w:p>
        </w:tc>
      </w:tr>
      <w:tr w:rsidR="001002C3" w:rsidRPr="005E779E" w14:paraId="3F114666" w14:textId="77777777">
        <w:tc>
          <w:tcPr>
            <w:tcW w:w="1024" w:type="dxa"/>
          </w:tcPr>
          <w:p w14:paraId="58FA085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w:t>
            </w:r>
          </w:p>
        </w:tc>
        <w:tc>
          <w:tcPr>
            <w:tcW w:w="1024" w:type="dxa"/>
          </w:tcPr>
          <w:p w14:paraId="0B1E83E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024" w:type="dxa"/>
          </w:tcPr>
          <w:p w14:paraId="2CB6819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024" w:type="dxa"/>
          </w:tcPr>
          <w:p w14:paraId="70966DC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FF132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8FD77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w:t>
            </w:r>
          </w:p>
        </w:tc>
        <w:tc>
          <w:tcPr>
            <w:tcW w:w="1024" w:type="dxa"/>
          </w:tcPr>
          <w:p w14:paraId="6A494DC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 г.</w:t>
            </w:r>
          </w:p>
        </w:tc>
        <w:tc>
          <w:tcPr>
            <w:tcW w:w="3430" w:type="dxa"/>
          </w:tcPr>
          <w:p w14:paraId="19391CC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 под Кертис Конкверор (высотный), а</w:t>
            </w:r>
          </w:p>
        </w:tc>
      </w:tr>
      <w:tr w:rsidR="001002C3" w:rsidRPr="005E779E" w14:paraId="162A849B" w14:textId="77777777">
        <w:tc>
          <w:tcPr>
            <w:tcW w:w="1024" w:type="dxa"/>
          </w:tcPr>
          <w:p w14:paraId="14C67D9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CBD43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99A9E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1723C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C3AF7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2ED72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0096C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EA4750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под М-19. Будут более низкие ЛТД, котор.</w:t>
            </w:r>
          </w:p>
        </w:tc>
      </w:tr>
      <w:tr w:rsidR="001002C3" w:rsidRPr="005E779E" w14:paraId="16D94118" w14:textId="77777777">
        <w:tc>
          <w:tcPr>
            <w:tcW w:w="1024" w:type="dxa"/>
          </w:tcPr>
          <w:p w14:paraId="782DF9D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D6642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CDFFA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D61D7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35FA2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C9CD4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D42DD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AEED11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улучшатся при более высотном М-19а с имп.</w:t>
            </w:r>
          </w:p>
        </w:tc>
      </w:tr>
      <w:tr w:rsidR="001002C3" w:rsidRPr="005E779E" w14:paraId="788A5E3E" w14:textId="77777777">
        <w:tc>
          <w:tcPr>
            <w:tcW w:w="1024" w:type="dxa"/>
          </w:tcPr>
          <w:p w14:paraId="27A2FD5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DE320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32D3B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F1201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6A1CC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DEDE2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FC57C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ABF50C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Ввиду задержки с М-19 принято решение</w:t>
            </w:r>
          </w:p>
        </w:tc>
      </w:tr>
      <w:tr w:rsidR="001002C3" w:rsidRPr="005E779E" w14:paraId="4A67D299" w14:textId="77777777">
        <w:tc>
          <w:tcPr>
            <w:tcW w:w="1024" w:type="dxa"/>
          </w:tcPr>
          <w:p w14:paraId="6F4E781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6114A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61CA2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94BCD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1E58C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41AD9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ADD3F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6A9C7E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вернуться к КК. макет утвержден. Проект. и</w:t>
            </w:r>
          </w:p>
        </w:tc>
      </w:tr>
      <w:tr w:rsidR="001002C3" w:rsidRPr="005E779E" w14:paraId="5D5E216E" w14:textId="77777777">
        <w:tc>
          <w:tcPr>
            <w:tcW w:w="1024" w:type="dxa"/>
          </w:tcPr>
          <w:p w14:paraId="0C0708F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EF5C8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BD390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418BC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9CEB3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F9BD6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E5143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845EB3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постройку ведет группа Лавиля. При получ.</w:t>
            </w:r>
          </w:p>
        </w:tc>
      </w:tr>
      <w:tr w:rsidR="001002C3" w:rsidRPr="005E779E" w14:paraId="25FF4009" w14:textId="77777777">
        <w:tc>
          <w:tcPr>
            <w:tcW w:w="1024" w:type="dxa"/>
          </w:tcPr>
          <w:p w14:paraId="7F35617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E9BAC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AFFB8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52291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FF1B2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C202D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F47B4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22A25F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мотора м.б. закончен к 15 сентября</w:t>
            </w:r>
          </w:p>
        </w:tc>
      </w:tr>
      <w:tr w:rsidR="001002C3" w:rsidRPr="005E779E" w14:paraId="796FCD20" w14:textId="77777777">
        <w:tc>
          <w:tcPr>
            <w:tcW w:w="1024" w:type="dxa"/>
          </w:tcPr>
          <w:p w14:paraId="4C4861C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DCDFB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7F856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2DF8B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AC649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9AFCD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E1DE9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024A8E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Гребенев.</w:t>
            </w:r>
          </w:p>
        </w:tc>
      </w:tr>
      <w:tr w:rsidR="001002C3" w:rsidRPr="005E779E" w14:paraId="6DFD12DE" w14:textId="77777777">
        <w:tc>
          <w:tcPr>
            <w:tcW w:w="1024" w:type="dxa"/>
          </w:tcPr>
          <w:p w14:paraId="511D3B7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ДИ5-ФЭД</w:t>
            </w:r>
          </w:p>
        </w:tc>
        <w:tc>
          <w:tcPr>
            <w:tcW w:w="1024" w:type="dxa"/>
          </w:tcPr>
          <w:p w14:paraId="697EFB0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270/</w:t>
            </w:r>
          </w:p>
        </w:tc>
        <w:tc>
          <w:tcPr>
            <w:tcW w:w="1024" w:type="dxa"/>
          </w:tcPr>
          <w:p w14:paraId="477026B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7,6/</w:t>
            </w:r>
          </w:p>
        </w:tc>
        <w:tc>
          <w:tcPr>
            <w:tcW w:w="1024" w:type="dxa"/>
          </w:tcPr>
          <w:p w14:paraId="348ADE2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8000</w:t>
            </w:r>
          </w:p>
        </w:tc>
        <w:tc>
          <w:tcPr>
            <w:tcW w:w="1024" w:type="dxa"/>
          </w:tcPr>
          <w:p w14:paraId="4E7A430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пул.</w:t>
            </w:r>
          </w:p>
        </w:tc>
        <w:tc>
          <w:tcPr>
            <w:tcW w:w="1024" w:type="dxa"/>
          </w:tcPr>
          <w:p w14:paraId="436B60B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69B37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июня</w:t>
            </w:r>
          </w:p>
        </w:tc>
        <w:tc>
          <w:tcPr>
            <w:tcW w:w="3430" w:type="dxa"/>
          </w:tcPr>
          <w:p w14:paraId="37164FB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Работы не ведутся. Нет ясности с ФЭД.</w:t>
            </w:r>
          </w:p>
        </w:tc>
      </w:tr>
      <w:tr w:rsidR="001002C3" w:rsidRPr="005E779E" w14:paraId="32EEF2F9" w14:textId="77777777">
        <w:tc>
          <w:tcPr>
            <w:tcW w:w="1024" w:type="dxa"/>
          </w:tcPr>
          <w:p w14:paraId="20C9C45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7EE50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5A25DF3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79F1238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EC2CF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авт.</w:t>
            </w:r>
          </w:p>
        </w:tc>
        <w:tc>
          <w:tcPr>
            <w:tcW w:w="1024" w:type="dxa"/>
          </w:tcPr>
          <w:p w14:paraId="2985A13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86E8F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 г.</w:t>
            </w:r>
          </w:p>
        </w:tc>
        <w:tc>
          <w:tcPr>
            <w:tcW w:w="3430" w:type="dxa"/>
          </w:tcPr>
          <w:p w14:paraId="00A41CB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Полехин.</w:t>
            </w:r>
          </w:p>
        </w:tc>
      </w:tr>
      <w:tr w:rsidR="001002C3" w:rsidRPr="005E779E" w14:paraId="70BE9425" w14:textId="77777777">
        <w:tc>
          <w:tcPr>
            <w:tcW w:w="1024" w:type="dxa"/>
          </w:tcPr>
          <w:p w14:paraId="13EC076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E51B0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4AAF8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3B9C7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EE485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пушка</w:t>
            </w:r>
          </w:p>
        </w:tc>
        <w:tc>
          <w:tcPr>
            <w:tcW w:w="1024" w:type="dxa"/>
          </w:tcPr>
          <w:p w14:paraId="5159F38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E0EF5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A4AC04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4B2A4AF" w14:textId="77777777">
        <w:tc>
          <w:tcPr>
            <w:tcW w:w="1024" w:type="dxa"/>
          </w:tcPr>
          <w:p w14:paraId="5A463D0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ТШ1-2М34</w:t>
            </w:r>
          </w:p>
        </w:tc>
        <w:tc>
          <w:tcPr>
            <w:tcW w:w="1024" w:type="dxa"/>
          </w:tcPr>
          <w:p w14:paraId="53A102C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F3503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5977B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51AB1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4-6 пул.</w:t>
            </w:r>
          </w:p>
        </w:tc>
        <w:tc>
          <w:tcPr>
            <w:tcW w:w="1024" w:type="dxa"/>
          </w:tcPr>
          <w:p w14:paraId="321DCA3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w:t>
            </w:r>
          </w:p>
        </w:tc>
        <w:tc>
          <w:tcPr>
            <w:tcW w:w="1024" w:type="dxa"/>
          </w:tcPr>
          <w:p w14:paraId="3BE30AD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янв.</w:t>
            </w:r>
          </w:p>
        </w:tc>
        <w:tc>
          <w:tcPr>
            <w:tcW w:w="3430" w:type="dxa"/>
          </w:tcPr>
          <w:p w14:paraId="10241E7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Работы не ведутся, поскольку с-т</w:t>
            </w:r>
          </w:p>
        </w:tc>
      </w:tr>
      <w:tr w:rsidR="001002C3" w:rsidRPr="005E779E" w14:paraId="774B8607" w14:textId="77777777">
        <w:tc>
          <w:tcPr>
            <w:tcW w:w="1024" w:type="dxa"/>
          </w:tcPr>
          <w:p w14:paraId="6464B06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w:t>
            </w:r>
          </w:p>
        </w:tc>
        <w:tc>
          <w:tcPr>
            <w:tcW w:w="1024" w:type="dxa"/>
          </w:tcPr>
          <w:p w14:paraId="05D04FA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8CE3F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12E90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81968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авт.</w:t>
            </w:r>
          </w:p>
        </w:tc>
        <w:tc>
          <w:tcPr>
            <w:tcW w:w="1024" w:type="dxa"/>
          </w:tcPr>
          <w:p w14:paraId="5D7826F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7C740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1932 г.</w:t>
            </w:r>
          </w:p>
        </w:tc>
        <w:tc>
          <w:tcPr>
            <w:tcW w:w="3430" w:type="dxa"/>
          </w:tcPr>
          <w:p w14:paraId="727B17C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стоит в плане условно (до разрешения</w:t>
            </w:r>
          </w:p>
        </w:tc>
      </w:tr>
      <w:tr w:rsidR="001002C3" w:rsidRPr="005E779E" w14:paraId="3F267612" w14:textId="77777777">
        <w:tc>
          <w:tcPr>
            <w:tcW w:w="1024" w:type="dxa"/>
          </w:tcPr>
          <w:p w14:paraId="2761B3D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3D8F0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A501C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41B09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1F87E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пушка</w:t>
            </w:r>
          </w:p>
        </w:tc>
        <w:tc>
          <w:tcPr>
            <w:tcW w:w="1024" w:type="dxa"/>
          </w:tcPr>
          <w:p w14:paraId="06ACE7C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45A99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5880B4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РВС вопроса о необходимости иметь на</w:t>
            </w:r>
          </w:p>
        </w:tc>
      </w:tr>
      <w:tr w:rsidR="001002C3" w:rsidRPr="005E779E" w14:paraId="79205A6A" w14:textId="77777777">
        <w:tc>
          <w:tcPr>
            <w:tcW w:w="1024" w:type="dxa"/>
          </w:tcPr>
          <w:p w14:paraId="418C55F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CC001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2C2DC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E4E05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7F5A8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800 кг</w:t>
            </w:r>
          </w:p>
        </w:tc>
        <w:tc>
          <w:tcPr>
            <w:tcW w:w="1024" w:type="dxa"/>
          </w:tcPr>
          <w:p w14:paraId="2CC0964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5111B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8211B4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вооружении тяжел. двухмоторного</w:t>
            </w:r>
          </w:p>
        </w:tc>
      </w:tr>
      <w:tr w:rsidR="001002C3" w:rsidRPr="005E779E" w14:paraId="34AD7D40" w14:textId="77777777">
        <w:tc>
          <w:tcPr>
            <w:tcW w:w="1024" w:type="dxa"/>
          </w:tcPr>
          <w:p w14:paraId="69399CB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3E6E1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12AFD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EFACA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BE962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w:t>
            </w:r>
          </w:p>
        </w:tc>
        <w:tc>
          <w:tcPr>
            <w:tcW w:w="1024" w:type="dxa"/>
          </w:tcPr>
          <w:p w14:paraId="2A93EF3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4D445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7445CE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штурмовика).</w:t>
            </w:r>
          </w:p>
        </w:tc>
      </w:tr>
      <w:tr w:rsidR="001002C3" w:rsidRPr="005E779E" w14:paraId="10DD1144" w14:textId="77777777">
        <w:tc>
          <w:tcPr>
            <w:tcW w:w="1024" w:type="dxa"/>
          </w:tcPr>
          <w:p w14:paraId="7EAAC23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МТБ3-4М34</w:t>
            </w:r>
          </w:p>
        </w:tc>
        <w:tc>
          <w:tcPr>
            <w:tcW w:w="1024" w:type="dxa"/>
          </w:tcPr>
          <w:p w14:paraId="77E9EF3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8B05C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6A1D7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F9BE4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05149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F3AF2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окт.</w:t>
            </w:r>
          </w:p>
        </w:tc>
        <w:tc>
          <w:tcPr>
            <w:tcW w:w="3430" w:type="dxa"/>
          </w:tcPr>
          <w:p w14:paraId="39947F1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Проработан эскизный проект, но в нем ТТ</w:t>
            </w:r>
          </w:p>
        </w:tc>
      </w:tr>
      <w:tr w:rsidR="001002C3" w:rsidRPr="005E779E" w14:paraId="5CF33B4F" w14:textId="77777777">
        <w:tc>
          <w:tcPr>
            <w:tcW w:w="1024" w:type="dxa"/>
          </w:tcPr>
          <w:p w14:paraId="0BEC2B1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w:t>
            </w:r>
          </w:p>
        </w:tc>
        <w:tc>
          <w:tcPr>
            <w:tcW w:w="1024" w:type="dxa"/>
          </w:tcPr>
          <w:p w14:paraId="7E3E76A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5A1E2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43E7B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1DCCC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467C1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141B6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1932</w:t>
            </w:r>
          </w:p>
        </w:tc>
        <w:tc>
          <w:tcPr>
            <w:tcW w:w="3430" w:type="dxa"/>
          </w:tcPr>
          <w:p w14:paraId="1C6B56F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удовлетворены не были. По летно-тактич.</w:t>
            </w:r>
          </w:p>
        </w:tc>
      </w:tr>
      <w:tr w:rsidR="001002C3" w:rsidRPr="005E779E" w14:paraId="23B2E010" w14:textId="77777777">
        <w:tc>
          <w:tcPr>
            <w:tcW w:w="1024" w:type="dxa"/>
          </w:tcPr>
          <w:p w14:paraId="7A3724C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8AF9C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9C269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80977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40783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4FCB3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33C78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87AA25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элементам близок к К-1. Оканчивается</w:t>
            </w:r>
          </w:p>
        </w:tc>
      </w:tr>
      <w:tr w:rsidR="001002C3" w:rsidRPr="005E779E" w14:paraId="0EF188FC" w14:textId="77777777">
        <w:tc>
          <w:tcPr>
            <w:tcW w:w="1024" w:type="dxa"/>
          </w:tcPr>
          <w:p w14:paraId="204A945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298ED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5ABC8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FE833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FDCE5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E0EFB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59F83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394CFB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проработка варианта, соотв. требованиям</w:t>
            </w:r>
          </w:p>
        </w:tc>
      </w:tr>
      <w:tr w:rsidR="001002C3" w:rsidRPr="005E779E" w14:paraId="4D33DDDF" w14:textId="77777777">
        <w:tc>
          <w:tcPr>
            <w:tcW w:w="1024" w:type="dxa"/>
          </w:tcPr>
          <w:p w14:paraId="6320D56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A8CB6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90249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D82CD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3CFD3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CBCB6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47EC5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84293F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К-1. При утв. проекта будет переходным</w:t>
            </w:r>
          </w:p>
        </w:tc>
      </w:tr>
      <w:tr w:rsidR="001002C3" w:rsidRPr="005E779E" w14:paraId="494FB4A8" w14:textId="77777777">
        <w:tc>
          <w:tcPr>
            <w:tcW w:w="1024" w:type="dxa"/>
          </w:tcPr>
          <w:p w14:paraId="59D39E1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6579C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FEA15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7F4CD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B462B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3D168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95E40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85AAA9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МТБ3. 11 июля представлен вариант расч.</w:t>
            </w:r>
          </w:p>
        </w:tc>
      </w:tr>
      <w:tr w:rsidR="001002C3" w:rsidRPr="005E779E" w14:paraId="0DE4BCEE" w14:textId="77777777">
        <w:tc>
          <w:tcPr>
            <w:tcW w:w="1024" w:type="dxa"/>
          </w:tcPr>
          <w:p w14:paraId="11D25B4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04D99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1C0FB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935FC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CE4B0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204CF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3667C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737AC9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К-1. ТТ не удовлетворяет</w:t>
            </w:r>
          </w:p>
        </w:tc>
      </w:tr>
      <w:tr w:rsidR="001002C3" w:rsidRPr="005E779E" w14:paraId="6061120E" w14:textId="77777777">
        <w:tc>
          <w:tcPr>
            <w:tcW w:w="1024" w:type="dxa"/>
          </w:tcPr>
          <w:p w14:paraId="1B30A00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Экспериментальные конструкции.</w:t>
            </w:r>
          </w:p>
        </w:tc>
        <w:tc>
          <w:tcPr>
            <w:tcW w:w="1024" w:type="dxa"/>
          </w:tcPr>
          <w:p w14:paraId="3378BEE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4190B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5AB28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7F8EE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9B088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A39AA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F71EB6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7E17C30" w14:textId="77777777">
        <w:tc>
          <w:tcPr>
            <w:tcW w:w="1024" w:type="dxa"/>
          </w:tcPr>
          <w:p w14:paraId="06FE870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ВС1-2М26</w:t>
            </w:r>
          </w:p>
        </w:tc>
        <w:tc>
          <w:tcPr>
            <w:tcW w:w="1024" w:type="dxa"/>
          </w:tcPr>
          <w:p w14:paraId="6D8F704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w:t>
            </w:r>
          </w:p>
        </w:tc>
        <w:tc>
          <w:tcPr>
            <w:tcW w:w="1024" w:type="dxa"/>
          </w:tcPr>
          <w:p w14:paraId="32D4733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w:t>
            </w:r>
          </w:p>
        </w:tc>
        <w:tc>
          <w:tcPr>
            <w:tcW w:w="1024" w:type="dxa"/>
          </w:tcPr>
          <w:p w14:paraId="1B541F9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4D3A0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пул.</w:t>
            </w:r>
          </w:p>
        </w:tc>
        <w:tc>
          <w:tcPr>
            <w:tcW w:w="1024" w:type="dxa"/>
          </w:tcPr>
          <w:p w14:paraId="7EB6F0C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40203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марта</w:t>
            </w:r>
          </w:p>
        </w:tc>
        <w:tc>
          <w:tcPr>
            <w:tcW w:w="3430" w:type="dxa"/>
          </w:tcPr>
          <w:p w14:paraId="7621C07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 проектирование и постройку</w:t>
            </w:r>
          </w:p>
        </w:tc>
      </w:tr>
      <w:tr w:rsidR="001002C3" w:rsidRPr="005E779E" w14:paraId="23DAA3C5" w14:textId="77777777">
        <w:tc>
          <w:tcPr>
            <w:tcW w:w="1024" w:type="dxa"/>
          </w:tcPr>
          <w:p w14:paraId="7065E0B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(Р9-2М26)</w:t>
            </w:r>
          </w:p>
        </w:tc>
        <w:tc>
          <w:tcPr>
            <w:tcW w:w="1024" w:type="dxa"/>
          </w:tcPr>
          <w:p w14:paraId="0F6B2E9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1DE81E5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6CE1D41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933FD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04025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DA1C5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1932</w:t>
            </w:r>
          </w:p>
        </w:tc>
        <w:tc>
          <w:tcPr>
            <w:tcW w:w="3430" w:type="dxa"/>
          </w:tcPr>
          <w:p w14:paraId="207E2EE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передало в ГРОС. Разработаны и представл.</w:t>
            </w:r>
          </w:p>
        </w:tc>
      </w:tr>
      <w:tr w:rsidR="001002C3" w:rsidRPr="005E779E" w14:paraId="1B552015" w14:textId="77777777">
        <w:tc>
          <w:tcPr>
            <w:tcW w:w="1024" w:type="dxa"/>
          </w:tcPr>
          <w:p w14:paraId="15C9917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w:t>
            </w:r>
          </w:p>
        </w:tc>
        <w:tc>
          <w:tcPr>
            <w:tcW w:w="1024" w:type="dxa"/>
          </w:tcPr>
          <w:p w14:paraId="70DE2DF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971FC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A9BE5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F74B2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09BD5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B1FE6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179DE6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ВАО ТТ. Начато проектирование</w:t>
            </w:r>
          </w:p>
        </w:tc>
      </w:tr>
      <w:tr w:rsidR="001002C3" w:rsidRPr="005E779E" w14:paraId="73E01C4C" w14:textId="77777777">
        <w:tc>
          <w:tcPr>
            <w:tcW w:w="1024" w:type="dxa"/>
          </w:tcPr>
          <w:p w14:paraId="2BBC8E3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A96E0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EE373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CA0A6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FD28A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0E048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CFC7A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02AC54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 вторую половину 1932 года.</w:t>
            </w:r>
          </w:p>
        </w:tc>
      </w:tr>
      <w:tr w:rsidR="001002C3" w:rsidRPr="005E779E" w14:paraId="47AF0A0F" w14:textId="77777777">
        <w:tc>
          <w:tcPr>
            <w:tcW w:w="1024" w:type="dxa"/>
          </w:tcPr>
          <w:p w14:paraId="77AA7D1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8D50A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5B7E7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0F81B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F0CF5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4FA99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2A671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9C1B7A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Жемчужин.</w:t>
            </w:r>
          </w:p>
        </w:tc>
      </w:tr>
      <w:tr w:rsidR="001002C3" w:rsidRPr="005E779E" w14:paraId="102C4A96" w14:textId="77777777">
        <w:tc>
          <w:tcPr>
            <w:tcW w:w="1024" w:type="dxa"/>
          </w:tcPr>
          <w:p w14:paraId="2121C87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ТШ2-М17</w:t>
            </w:r>
          </w:p>
        </w:tc>
        <w:tc>
          <w:tcPr>
            <w:tcW w:w="1024" w:type="dxa"/>
          </w:tcPr>
          <w:p w14:paraId="2814C0C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200/0</w:t>
            </w:r>
          </w:p>
        </w:tc>
        <w:tc>
          <w:tcPr>
            <w:tcW w:w="1024" w:type="dxa"/>
          </w:tcPr>
          <w:p w14:paraId="3F3508B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11,6/</w:t>
            </w:r>
          </w:p>
        </w:tc>
        <w:tc>
          <w:tcPr>
            <w:tcW w:w="1024" w:type="dxa"/>
          </w:tcPr>
          <w:p w14:paraId="709CD7B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5860</w:t>
            </w:r>
          </w:p>
        </w:tc>
        <w:tc>
          <w:tcPr>
            <w:tcW w:w="1024" w:type="dxa"/>
          </w:tcPr>
          <w:p w14:paraId="4C0D0D0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пулем.</w:t>
            </w:r>
          </w:p>
        </w:tc>
        <w:tc>
          <w:tcPr>
            <w:tcW w:w="1024" w:type="dxa"/>
          </w:tcPr>
          <w:p w14:paraId="2BBAB01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036D8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дек.</w:t>
            </w:r>
          </w:p>
        </w:tc>
        <w:tc>
          <w:tcPr>
            <w:tcW w:w="3430" w:type="dxa"/>
          </w:tcPr>
          <w:p w14:paraId="028DACD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результате испытаний ТШ-2 БМВ-6</w:t>
            </w:r>
          </w:p>
        </w:tc>
      </w:tr>
      <w:tr w:rsidR="001002C3" w:rsidRPr="005E779E" w14:paraId="0FFAA3D8" w14:textId="77777777">
        <w:tc>
          <w:tcPr>
            <w:tcW w:w="1024" w:type="dxa"/>
          </w:tcPr>
          <w:p w14:paraId="0E3622D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(ТШ2-М27)</w:t>
            </w:r>
          </w:p>
        </w:tc>
        <w:tc>
          <w:tcPr>
            <w:tcW w:w="1024" w:type="dxa"/>
          </w:tcPr>
          <w:p w14:paraId="4DE3E52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3ADBE35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AD3AF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BC4F6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3F004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FB7AA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1930 г.</w:t>
            </w:r>
          </w:p>
        </w:tc>
        <w:tc>
          <w:tcPr>
            <w:tcW w:w="3430" w:type="dxa"/>
          </w:tcPr>
          <w:p w14:paraId="649DACC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выявлена недостаточная мощность мотора</w:t>
            </w:r>
          </w:p>
        </w:tc>
      </w:tr>
      <w:tr w:rsidR="001002C3" w:rsidRPr="005E779E" w14:paraId="2A95D255" w14:textId="77777777">
        <w:tc>
          <w:tcPr>
            <w:tcW w:w="1024" w:type="dxa"/>
          </w:tcPr>
          <w:p w14:paraId="1D6C3C8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w:t>
            </w:r>
          </w:p>
        </w:tc>
        <w:tc>
          <w:tcPr>
            <w:tcW w:w="1024" w:type="dxa"/>
          </w:tcPr>
          <w:p w14:paraId="5C5A130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99D30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41B6A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09930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59D29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F02E3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D2AB60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 принято решение отказаться от постройки</w:t>
            </w:r>
          </w:p>
        </w:tc>
      </w:tr>
      <w:tr w:rsidR="001002C3" w:rsidRPr="005E779E" w14:paraId="4CC8D231" w14:textId="77777777">
        <w:tc>
          <w:tcPr>
            <w:tcW w:w="1024" w:type="dxa"/>
          </w:tcPr>
          <w:p w14:paraId="50B2CBA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3C08D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2C9A1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1F563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3B664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D08E8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F7F8B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F0CE56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серии ТШ-2М-17 для войсковых испытаний.</w:t>
            </w:r>
          </w:p>
        </w:tc>
      </w:tr>
      <w:tr w:rsidR="001002C3" w:rsidRPr="005E779E" w14:paraId="1F287C57" w14:textId="77777777">
        <w:tc>
          <w:tcPr>
            <w:tcW w:w="1024" w:type="dxa"/>
          </w:tcPr>
          <w:p w14:paraId="4F3489B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947BF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63781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02ABE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8A64F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4FFE3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D9787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0EEAB2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 дало задание ЦКБ при заводе 39</w:t>
            </w:r>
          </w:p>
        </w:tc>
      </w:tr>
      <w:tr w:rsidR="001002C3" w:rsidRPr="005E779E" w14:paraId="029BC199" w14:textId="77777777">
        <w:tc>
          <w:tcPr>
            <w:tcW w:w="1024" w:type="dxa"/>
          </w:tcPr>
          <w:p w14:paraId="6F36DD8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DDB8F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0EDB9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0AF83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E2017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5F331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387CD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D19D20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построить 3 экз. ТШ-2 с М-27. 39 завод</w:t>
            </w:r>
          </w:p>
        </w:tc>
      </w:tr>
      <w:tr w:rsidR="001002C3" w:rsidRPr="005E779E" w14:paraId="582C6529" w14:textId="77777777">
        <w:tc>
          <w:tcPr>
            <w:tcW w:w="1024" w:type="dxa"/>
          </w:tcPr>
          <w:p w14:paraId="2C5EB6A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9183E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7EFD7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CF1E1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C334D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CF3B6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26BEB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46EC29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заканчивает постройку 1-го, передача на</w:t>
            </w:r>
          </w:p>
        </w:tc>
      </w:tr>
      <w:tr w:rsidR="001002C3" w:rsidRPr="005E779E" w14:paraId="3FC2652E" w14:textId="77777777">
        <w:tc>
          <w:tcPr>
            <w:tcW w:w="1024" w:type="dxa"/>
          </w:tcPr>
          <w:p w14:paraId="3A31C03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A7F48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5C536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F976E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52805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13357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F7139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0B736E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гос. испытания ожидается в первой пол.</w:t>
            </w:r>
          </w:p>
        </w:tc>
      </w:tr>
      <w:tr w:rsidR="001002C3" w:rsidRPr="005E779E" w14:paraId="508CAE91" w14:textId="77777777">
        <w:tc>
          <w:tcPr>
            <w:tcW w:w="1024" w:type="dxa"/>
          </w:tcPr>
          <w:p w14:paraId="1FB07C2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97302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1FB93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11336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EE71C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90AED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8FADF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711CA5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августа 1931</w:t>
            </w:r>
          </w:p>
        </w:tc>
      </w:tr>
      <w:tr w:rsidR="001002C3" w:rsidRPr="005E779E" w14:paraId="44DA6C36" w14:textId="77777777">
        <w:tc>
          <w:tcPr>
            <w:tcW w:w="1024" w:type="dxa"/>
          </w:tcPr>
          <w:p w14:paraId="4011E2A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3091F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5D334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86317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24A54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E5891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C8C0E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89C078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Полехин.</w:t>
            </w:r>
          </w:p>
        </w:tc>
      </w:tr>
      <w:tr w:rsidR="001002C3" w:rsidRPr="005E779E" w14:paraId="604AFD60" w14:textId="77777777">
        <w:tc>
          <w:tcPr>
            <w:tcW w:w="1024" w:type="dxa"/>
          </w:tcPr>
          <w:p w14:paraId="0A76321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МДР-1</w:t>
            </w:r>
          </w:p>
        </w:tc>
        <w:tc>
          <w:tcPr>
            <w:tcW w:w="1024" w:type="dxa"/>
          </w:tcPr>
          <w:p w14:paraId="736CEB2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024" w:type="dxa"/>
          </w:tcPr>
          <w:p w14:paraId="348643F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23/3000</w:t>
            </w:r>
          </w:p>
        </w:tc>
        <w:tc>
          <w:tcPr>
            <w:tcW w:w="1024" w:type="dxa"/>
          </w:tcPr>
          <w:p w14:paraId="1DE9F38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4500</w:t>
            </w:r>
          </w:p>
        </w:tc>
        <w:tc>
          <w:tcPr>
            <w:tcW w:w="1024" w:type="dxa"/>
          </w:tcPr>
          <w:p w14:paraId="333086F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Отсут.</w:t>
            </w:r>
          </w:p>
        </w:tc>
        <w:tc>
          <w:tcPr>
            <w:tcW w:w="1024" w:type="dxa"/>
          </w:tcPr>
          <w:p w14:paraId="67B6946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68627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апр.</w:t>
            </w:r>
          </w:p>
        </w:tc>
        <w:tc>
          <w:tcPr>
            <w:tcW w:w="3430" w:type="dxa"/>
          </w:tcPr>
          <w:p w14:paraId="5995BB9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 июль работы велись в небольш. разм.</w:t>
            </w:r>
          </w:p>
        </w:tc>
      </w:tr>
      <w:tr w:rsidR="001002C3" w:rsidRPr="005E779E" w14:paraId="6BEF3DE6" w14:textId="77777777">
        <w:tc>
          <w:tcPr>
            <w:tcW w:w="1024" w:type="dxa"/>
          </w:tcPr>
          <w:p w14:paraId="37E7446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2БМВ-6</w:t>
            </w:r>
          </w:p>
        </w:tc>
        <w:tc>
          <w:tcPr>
            <w:tcW w:w="1024" w:type="dxa"/>
          </w:tcPr>
          <w:p w14:paraId="3E393A2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77DBB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35634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2FA76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356B2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5C065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w:t>
            </w:r>
          </w:p>
        </w:tc>
        <w:tc>
          <w:tcPr>
            <w:tcW w:w="3430" w:type="dxa"/>
          </w:tcPr>
          <w:p w14:paraId="146B1AC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т.к. ЦКБ занят основными самолетами.</w:t>
            </w:r>
          </w:p>
        </w:tc>
      </w:tr>
      <w:tr w:rsidR="001002C3" w:rsidRPr="005E779E" w14:paraId="3B2AA897" w14:textId="77777777">
        <w:tc>
          <w:tcPr>
            <w:tcW w:w="1024" w:type="dxa"/>
          </w:tcPr>
          <w:p w14:paraId="5426993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w:t>
            </w:r>
          </w:p>
        </w:tc>
        <w:tc>
          <w:tcPr>
            <w:tcW w:w="1024" w:type="dxa"/>
          </w:tcPr>
          <w:p w14:paraId="67CFB15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D3F7F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DD1EB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EF433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F289C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9D117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8B4624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Ориент. окончание - 1 января 1932</w:t>
            </w:r>
          </w:p>
        </w:tc>
      </w:tr>
      <w:tr w:rsidR="001002C3" w:rsidRPr="005E779E" w14:paraId="79963C04" w14:textId="77777777">
        <w:tc>
          <w:tcPr>
            <w:tcW w:w="1024" w:type="dxa"/>
          </w:tcPr>
          <w:p w14:paraId="6E92734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И12-2ЮVI</w:t>
            </w:r>
          </w:p>
        </w:tc>
        <w:tc>
          <w:tcPr>
            <w:tcW w:w="1024" w:type="dxa"/>
          </w:tcPr>
          <w:p w14:paraId="035C92F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w:t>
            </w:r>
          </w:p>
        </w:tc>
        <w:tc>
          <w:tcPr>
            <w:tcW w:w="1024" w:type="dxa"/>
          </w:tcPr>
          <w:p w14:paraId="117F5F2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w:t>
            </w:r>
          </w:p>
        </w:tc>
        <w:tc>
          <w:tcPr>
            <w:tcW w:w="1024" w:type="dxa"/>
          </w:tcPr>
          <w:p w14:paraId="5E724F4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024" w:type="dxa"/>
          </w:tcPr>
          <w:p w14:paraId="6259520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пушки</w:t>
            </w:r>
          </w:p>
        </w:tc>
        <w:tc>
          <w:tcPr>
            <w:tcW w:w="1024" w:type="dxa"/>
          </w:tcPr>
          <w:p w14:paraId="17ABD51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19CBD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июля</w:t>
            </w:r>
          </w:p>
        </w:tc>
        <w:tc>
          <w:tcPr>
            <w:tcW w:w="3430" w:type="dxa"/>
          </w:tcPr>
          <w:p w14:paraId="16ACADD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Заканчивается постройкой, которая задерж.</w:t>
            </w:r>
          </w:p>
        </w:tc>
      </w:tr>
      <w:tr w:rsidR="001002C3" w:rsidRPr="005E779E" w14:paraId="4EBBB6FA" w14:textId="77777777">
        <w:tc>
          <w:tcPr>
            <w:tcW w:w="1024" w:type="dxa"/>
          </w:tcPr>
          <w:p w14:paraId="13894BA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283C9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024" w:type="dxa"/>
          </w:tcPr>
          <w:p w14:paraId="43A8DDB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024" w:type="dxa"/>
          </w:tcPr>
          <w:p w14:paraId="404EC18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62F7D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ДРП</w:t>
            </w:r>
          </w:p>
        </w:tc>
        <w:tc>
          <w:tcPr>
            <w:tcW w:w="1024" w:type="dxa"/>
          </w:tcPr>
          <w:p w14:paraId="77C9C0F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FE000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 г.</w:t>
            </w:r>
          </w:p>
        </w:tc>
        <w:tc>
          <w:tcPr>
            <w:tcW w:w="3430" w:type="dxa"/>
          </w:tcPr>
          <w:p w14:paraId="5854F80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из-за ДРП. Выход на аэродром 15-25 июля.</w:t>
            </w:r>
          </w:p>
        </w:tc>
      </w:tr>
      <w:tr w:rsidR="001002C3" w:rsidRPr="005E779E" w14:paraId="4B6D8976" w14:textId="77777777">
        <w:tc>
          <w:tcPr>
            <w:tcW w:w="1024" w:type="dxa"/>
          </w:tcPr>
          <w:p w14:paraId="1267628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3B700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45324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A6AC0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235BE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892C9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818DB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D26FAB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 перевели на аэродром и 23 июля - рулили.</w:t>
            </w:r>
          </w:p>
        </w:tc>
      </w:tr>
      <w:tr w:rsidR="001002C3" w:rsidRPr="005E779E" w14:paraId="5651FA95" w14:textId="77777777">
        <w:tc>
          <w:tcPr>
            <w:tcW w:w="1024" w:type="dxa"/>
          </w:tcPr>
          <w:p w14:paraId="443F502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F3C62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05D76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247ED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2255A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3C717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DA740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0A1B2B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Результат - неудовлетворительный</w:t>
            </w:r>
          </w:p>
        </w:tc>
      </w:tr>
      <w:tr w:rsidR="001002C3" w:rsidRPr="005E779E" w14:paraId="5AD62328" w14:textId="77777777">
        <w:tc>
          <w:tcPr>
            <w:tcW w:w="1024" w:type="dxa"/>
          </w:tcPr>
          <w:p w14:paraId="220719B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737DB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ABB53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530A7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C5662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EBACD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53B94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DF7E9E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Межак.</w:t>
            </w:r>
          </w:p>
        </w:tc>
      </w:tr>
      <w:tr w:rsidR="001002C3" w:rsidRPr="005E779E" w14:paraId="3F7C4CD3" w14:textId="77777777">
        <w:tc>
          <w:tcPr>
            <w:tcW w:w="1024" w:type="dxa"/>
          </w:tcPr>
          <w:p w14:paraId="640F8B5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И11-М-41</w:t>
            </w:r>
          </w:p>
        </w:tc>
        <w:tc>
          <w:tcPr>
            <w:tcW w:w="1024" w:type="dxa"/>
          </w:tcPr>
          <w:p w14:paraId="4360C82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Требования не установлены.</w:t>
            </w:r>
          </w:p>
        </w:tc>
        <w:tc>
          <w:tcPr>
            <w:tcW w:w="1024" w:type="dxa"/>
          </w:tcPr>
          <w:p w14:paraId="72EBEB5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B1558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2A267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1316C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5C83F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43F67C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Работы не начаты.</w:t>
            </w:r>
          </w:p>
        </w:tc>
      </w:tr>
      <w:tr w:rsidR="001002C3" w:rsidRPr="005E779E" w14:paraId="44112278" w14:textId="77777777">
        <w:tc>
          <w:tcPr>
            <w:tcW w:w="1024" w:type="dxa"/>
          </w:tcPr>
          <w:p w14:paraId="1E9C224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(Электр.)</w:t>
            </w:r>
          </w:p>
        </w:tc>
        <w:tc>
          <w:tcPr>
            <w:tcW w:w="1024" w:type="dxa"/>
          </w:tcPr>
          <w:p w14:paraId="66DBDFA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1FC5B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EFB76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5A877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0B8C7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1784F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755079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C495A83" w14:textId="77777777">
        <w:tc>
          <w:tcPr>
            <w:tcW w:w="1024" w:type="dxa"/>
          </w:tcPr>
          <w:p w14:paraId="60641DA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Р5-М17</w:t>
            </w:r>
          </w:p>
        </w:tc>
        <w:tc>
          <w:tcPr>
            <w:tcW w:w="1024" w:type="dxa"/>
          </w:tcPr>
          <w:p w14:paraId="7BD345A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Установка мотора М-19</w:t>
            </w:r>
          </w:p>
        </w:tc>
        <w:tc>
          <w:tcPr>
            <w:tcW w:w="1024" w:type="dxa"/>
          </w:tcPr>
          <w:p w14:paraId="7323B5F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07A0B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AD4EF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BA51D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E15F5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дек.</w:t>
            </w:r>
          </w:p>
        </w:tc>
        <w:tc>
          <w:tcPr>
            <w:tcW w:w="3430" w:type="dxa"/>
          </w:tcPr>
          <w:p w14:paraId="31148BF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Работы сильно задержаны. ЦКБ объясняет</w:t>
            </w:r>
          </w:p>
        </w:tc>
      </w:tr>
      <w:tr w:rsidR="001002C3" w:rsidRPr="005E779E" w14:paraId="1C4EBC93" w14:textId="77777777">
        <w:tc>
          <w:tcPr>
            <w:tcW w:w="1024" w:type="dxa"/>
          </w:tcPr>
          <w:p w14:paraId="25225C1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34763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A7DFD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4410D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4766C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3F4D4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84FE0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1930 г.</w:t>
            </w:r>
          </w:p>
        </w:tc>
        <w:tc>
          <w:tcPr>
            <w:tcW w:w="3430" w:type="dxa"/>
          </w:tcPr>
          <w:p w14:paraId="68122CD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отсутствием РСилы и необходимостью пер.</w:t>
            </w:r>
          </w:p>
        </w:tc>
      </w:tr>
      <w:tr w:rsidR="001002C3" w:rsidRPr="005E779E" w14:paraId="4A193EEA" w14:textId="77777777">
        <w:tc>
          <w:tcPr>
            <w:tcW w:w="1024" w:type="dxa"/>
          </w:tcPr>
          <w:p w14:paraId="13A51B0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0AF49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57551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696C8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75C1B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95BD0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80D7A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FDE316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моторной установки. После кратковр. зав.</w:t>
            </w:r>
          </w:p>
        </w:tc>
      </w:tr>
      <w:tr w:rsidR="001002C3" w:rsidRPr="005E779E" w14:paraId="20D89464" w14:textId="77777777">
        <w:tc>
          <w:tcPr>
            <w:tcW w:w="1024" w:type="dxa"/>
          </w:tcPr>
          <w:p w14:paraId="458F675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7BF6E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BCD42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232E1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ABE6F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C998C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F709D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3409D1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испытаний мотор был снят, т.к. не давал</w:t>
            </w:r>
          </w:p>
        </w:tc>
      </w:tr>
      <w:tr w:rsidR="001002C3" w:rsidRPr="005E779E" w14:paraId="78153756" w14:textId="77777777">
        <w:tc>
          <w:tcPr>
            <w:tcW w:w="1024" w:type="dxa"/>
          </w:tcPr>
          <w:p w14:paraId="2FC189E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D4715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0D955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27DA7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F3E9B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5A8C1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BE24E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B9B839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мощности. Отправили на 24 завод для</w:t>
            </w:r>
          </w:p>
        </w:tc>
      </w:tr>
      <w:tr w:rsidR="001002C3" w:rsidRPr="005E779E" w14:paraId="217190A6" w14:textId="77777777">
        <w:tc>
          <w:tcPr>
            <w:tcW w:w="1024" w:type="dxa"/>
          </w:tcPr>
          <w:p w14:paraId="60F8D08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63E53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5D4E9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9CC80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B19D5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EDD75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6A078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7B0B73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переборки</w:t>
            </w:r>
          </w:p>
        </w:tc>
      </w:tr>
      <w:tr w:rsidR="001002C3" w:rsidRPr="005E779E" w14:paraId="105F8B6E" w14:textId="77777777">
        <w:tc>
          <w:tcPr>
            <w:tcW w:w="1024" w:type="dxa"/>
          </w:tcPr>
          <w:p w14:paraId="1CC6F7B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19DEE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8A13D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27447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79852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F53A4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C96FD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0D5425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Установка разрезных крыльев</w:t>
            </w:r>
          </w:p>
        </w:tc>
      </w:tr>
      <w:tr w:rsidR="001002C3" w:rsidRPr="005E779E" w14:paraId="3A675D04" w14:textId="77777777">
        <w:tc>
          <w:tcPr>
            <w:tcW w:w="1024" w:type="dxa"/>
          </w:tcPr>
          <w:p w14:paraId="3C74C3C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88170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E751D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3B5BB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3AD85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8B7A4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DE870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AEEE8D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ЦКБ зав. 39 разработало аэродинам. часть,</w:t>
            </w:r>
          </w:p>
        </w:tc>
      </w:tr>
      <w:tr w:rsidR="001002C3" w:rsidRPr="005E779E" w14:paraId="4EEF6A89" w14:textId="77777777">
        <w:tc>
          <w:tcPr>
            <w:tcW w:w="1024" w:type="dxa"/>
          </w:tcPr>
          <w:p w14:paraId="2A68454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36CB6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25E5A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E7997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F7891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52A11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FB3E4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D9241B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ведется конструктивная проработка. Выйдет</w:t>
            </w:r>
          </w:p>
        </w:tc>
      </w:tr>
      <w:tr w:rsidR="001002C3" w:rsidRPr="005E779E" w14:paraId="6033756D" w14:textId="77777777">
        <w:tc>
          <w:tcPr>
            <w:tcW w:w="1024" w:type="dxa"/>
          </w:tcPr>
          <w:p w14:paraId="51D6E2E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CCCA8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81B55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16BBD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3052B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E2E24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0F411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740E8E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аэродром 10 сентября 1931</w:t>
            </w:r>
          </w:p>
        </w:tc>
      </w:tr>
      <w:tr w:rsidR="001002C3" w:rsidRPr="005E779E" w14:paraId="22DFFD0C" w14:textId="77777777">
        <w:tc>
          <w:tcPr>
            <w:tcW w:w="1024" w:type="dxa"/>
          </w:tcPr>
          <w:p w14:paraId="312CC77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EC02A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2EC14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B85C0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AFB06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0FDFF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102AE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74A926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Жемчужин.</w:t>
            </w:r>
          </w:p>
        </w:tc>
      </w:tr>
      <w:tr w:rsidR="001002C3" w:rsidRPr="005E779E" w14:paraId="6D7F192E" w14:textId="77777777">
        <w:tc>
          <w:tcPr>
            <w:tcW w:w="1024" w:type="dxa"/>
          </w:tcPr>
          <w:p w14:paraId="05FB779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И5-ЮVI</w:t>
            </w:r>
          </w:p>
        </w:tc>
        <w:tc>
          <w:tcPr>
            <w:tcW w:w="1024" w:type="dxa"/>
          </w:tcPr>
          <w:p w14:paraId="1B27F1F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262,5/</w:t>
            </w:r>
          </w:p>
        </w:tc>
        <w:tc>
          <w:tcPr>
            <w:tcW w:w="1024" w:type="dxa"/>
          </w:tcPr>
          <w:p w14:paraId="6679575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9,6'-9,8'/</w:t>
            </w:r>
          </w:p>
        </w:tc>
        <w:tc>
          <w:tcPr>
            <w:tcW w:w="1024" w:type="dxa"/>
          </w:tcPr>
          <w:p w14:paraId="58192FB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8120*</w:t>
            </w:r>
          </w:p>
        </w:tc>
        <w:tc>
          <w:tcPr>
            <w:tcW w:w="1024" w:type="dxa"/>
          </w:tcPr>
          <w:p w14:paraId="5948BB1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 пул.</w:t>
            </w:r>
          </w:p>
        </w:tc>
        <w:tc>
          <w:tcPr>
            <w:tcW w:w="1024" w:type="dxa"/>
          </w:tcPr>
          <w:p w14:paraId="563EA7B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B4039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I кв.</w:t>
            </w:r>
          </w:p>
        </w:tc>
        <w:tc>
          <w:tcPr>
            <w:tcW w:w="3430" w:type="dxa"/>
          </w:tcPr>
          <w:p w14:paraId="60F9E2C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Испытания показали, что из-за большего</w:t>
            </w:r>
          </w:p>
        </w:tc>
      </w:tr>
      <w:tr w:rsidR="001002C3" w:rsidRPr="005E779E" w14:paraId="26F00ACE" w14:textId="77777777">
        <w:tc>
          <w:tcPr>
            <w:tcW w:w="1024" w:type="dxa"/>
          </w:tcPr>
          <w:p w14:paraId="3FF5EED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D7EAE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w:t>
            </w:r>
          </w:p>
        </w:tc>
        <w:tc>
          <w:tcPr>
            <w:tcW w:w="1024" w:type="dxa"/>
          </w:tcPr>
          <w:p w14:paraId="6E5B2FA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024" w:type="dxa"/>
          </w:tcPr>
          <w:p w14:paraId="3B3FF90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424A6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2D33B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26260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 г.</w:t>
            </w:r>
          </w:p>
        </w:tc>
        <w:tc>
          <w:tcPr>
            <w:tcW w:w="3430" w:type="dxa"/>
          </w:tcPr>
          <w:p w14:paraId="098DFB5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полетного веса серийной машины (74 кг)</w:t>
            </w:r>
          </w:p>
        </w:tc>
      </w:tr>
      <w:tr w:rsidR="001002C3" w:rsidRPr="005E779E" w14:paraId="75234D96" w14:textId="77777777">
        <w:tc>
          <w:tcPr>
            <w:tcW w:w="1024" w:type="dxa"/>
          </w:tcPr>
          <w:p w14:paraId="61DB3E4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F1018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245/</w:t>
            </w:r>
          </w:p>
        </w:tc>
        <w:tc>
          <w:tcPr>
            <w:tcW w:w="1024" w:type="dxa"/>
          </w:tcPr>
          <w:p w14:paraId="62D4B32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E96C2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E6181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36E59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13F89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D34FEE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летные качества оказались ниже по скор.</w:t>
            </w:r>
          </w:p>
        </w:tc>
      </w:tr>
      <w:tr w:rsidR="001002C3" w:rsidRPr="005E779E" w14:paraId="7DD45B1E" w14:textId="77777777">
        <w:tc>
          <w:tcPr>
            <w:tcW w:w="1024" w:type="dxa"/>
          </w:tcPr>
          <w:p w14:paraId="66646EE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FF4DB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024" w:type="dxa"/>
          </w:tcPr>
          <w:p w14:paraId="1E54348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6EEAF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39D99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5DE62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532DB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20DFDF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5-7 км/час. Представленный ВАО матер.</w:t>
            </w:r>
          </w:p>
        </w:tc>
      </w:tr>
      <w:tr w:rsidR="001002C3" w:rsidRPr="005E779E" w14:paraId="025ADE83" w14:textId="77777777">
        <w:tc>
          <w:tcPr>
            <w:tcW w:w="1024" w:type="dxa"/>
          </w:tcPr>
          <w:p w14:paraId="56B89A2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FF184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Серийный самолет.</w:t>
            </w:r>
          </w:p>
        </w:tc>
        <w:tc>
          <w:tcPr>
            <w:tcW w:w="1024" w:type="dxa"/>
          </w:tcPr>
          <w:p w14:paraId="0F53E9B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38C2C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94515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01274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024" w:type="dxa"/>
          </w:tcPr>
          <w:p w14:paraId="494DDE1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B4DCA6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перетяжелению признан неудовлетвор.</w:t>
            </w:r>
          </w:p>
        </w:tc>
      </w:tr>
      <w:tr w:rsidR="001002C3" w:rsidRPr="005E779E" w14:paraId="04278278" w14:textId="77777777">
        <w:tc>
          <w:tcPr>
            <w:tcW w:w="1024" w:type="dxa"/>
          </w:tcPr>
          <w:p w14:paraId="7316FC3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D5AAE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0A859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B3964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98B98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12F9A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00C57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AA3ACC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 лишь фиксирует причины без мер по</w:t>
            </w:r>
          </w:p>
        </w:tc>
      </w:tr>
      <w:tr w:rsidR="001002C3" w:rsidRPr="005E779E" w14:paraId="045DB8BC" w14:textId="77777777">
        <w:tc>
          <w:tcPr>
            <w:tcW w:w="1024" w:type="dxa"/>
          </w:tcPr>
          <w:p w14:paraId="7AC4EFF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369D4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3DE41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646B6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79EE1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AEE83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0FE20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F5FAC3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устранению. ВАО потребовал их разработ.</w:t>
            </w:r>
          </w:p>
        </w:tc>
      </w:tr>
      <w:tr w:rsidR="001002C3" w:rsidRPr="005E779E" w14:paraId="5F13B41D" w14:textId="77777777">
        <w:tc>
          <w:tcPr>
            <w:tcW w:w="1024" w:type="dxa"/>
          </w:tcPr>
          <w:p w14:paraId="1A84AB1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A52E7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F41DD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28903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30D3F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41541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45007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73032A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И-5 М-22, но пока мероприятий не</w:t>
            </w:r>
          </w:p>
        </w:tc>
      </w:tr>
      <w:tr w:rsidR="001002C3" w:rsidRPr="005E779E" w14:paraId="0FACF8EA" w14:textId="77777777">
        <w:tc>
          <w:tcPr>
            <w:tcW w:w="1024" w:type="dxa"/>
          </w:tcPr>
          <w:p w14:paraId="11F1A40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2DDB0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37C65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C1307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6CB01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ACA6B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85A3E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3EEEAA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принято.</w:t>
            </w:r>
          </w:p>
        </w:tc>
      </w:tr>
      <w:tr w:rsidR="001002C3" w:rsidRPr="005E779E" w14:paraId="70204080" w14:textId="77777777">
        <w:tc>
          <w:tcPr>
            <w:tcW w:w="1024" w:type="dxa"/>
          </w:tcPr>
          <w:p w14:paraId="79D5E03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080C4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CAE4C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B7142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8D446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85353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56B7F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8DBB7A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Установка М-15</w:t>
            </w:r>
          </w:p>
        </w:tc>
      </w:tr>
      <w:tr w:rsidR="001002C3" w:rsidRPr="005E779E" w14:paraId="02A2C7B2" w14:textId="77777777">
        <w:tc>
          <w:tcPr>
            <w:tcW w:w="1024" w:type="dxa"/>
          </w:tcPr>
          <w:p w14:paraId="2057645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B212F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8F272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DE330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58530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7547C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502F4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233A73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испытания были прерваны из-за поломки</w:t>
            </w:r>
          </w:p>
        </w:tc>
      </w:tr>
      <w:tr w:rsidR="001002C3" w:rsidRPr="005E779E" w14:paraId="0E7B7F8A" w14:textId="77777777">
        <w:tc>
          <w:tcPr>
            <w:tcW w:w="1024" w:type="dxa"/>
          </w:tcPr>
          <w:p w14:paraId="39D39B8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0370A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058DE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21016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4082C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E5A70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4624E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6030FA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мотора. ЦКБ завода 39 поставило М-15 на</w:t>
            </w:r>
          </w:p>
        </w:tc>
      </w:tr>
      <w:tr w:rsidR="001002C3" w:rsidRPr="005E779E" w14:paraId="788E8E29" w14:textId="77777777">
        <w:tc>
          <w:tcPr>
            <w:tcW w:w="1024" w:type="dxa"/>
          </w:tcPr>
          <w:p w14:paraId="32D881C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F6EB4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AC1F8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41CAF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135E0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0B5AF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AE359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C4B873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два. Первый - без вооружения и не усил.</w:t>
            </w:r>
          </w:p>
        </w:tc>
      </w:tr>
      <w:tr w:rsidR="001002C3" w:rsidRPr="005E779E" w14:paraId="69D1C03D" w14:textId="77777777">
        <w:tc>
          <w:tcPr>
            <w:tcW w:w="1024" w:type="dxa"/>
          </w:tcPr>
          <w:p w14:paraId="0FF0A49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E826A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1EB12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7FD82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940AB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6AD67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B21C2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7EEA8E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 не прошел гос. испытаний, второй - эталон</w:t>
            </w:r>
          </w:p>
        </w:tc>
      </w:tr>
      <w:tr w:rsidR="001002C3" w:rsidRPr="005E779E" w14:paraId="500A5741" w14:textId="77777777">
        <w:tc>
          <w:tcPr>
            <w:tcW w:w="1024" w:type="dxa"/>
          </w:tcPr>
          <w:p w14:paraId="2EC8D1B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21D5A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0E841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EF56E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E6AEB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CA976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1EFED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0246A2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серии И-5 М-15 и на испытания пока не</w:t>
            </w:r>
          </w:p>
        </w:tc>
      </w:tr>
      <w:tr w:rsidR="001002C3" w:rsidRPr="005E779E" w14:paraId="28623EF6" w14:textId="77777777">
        <w:tc>
          <w:tcPr>
            <w:tcW w:w="1024" w:type="dxa"/>
          </w:tcPr>
          <w:p w14:paraId="37C23A1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3B909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27FEC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66CC8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C1FB0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C882E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53A53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EF56CF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передан. Проходит заводские испытания.</w:t>
            </w:r>
          </w:p>
        </w:tc>
      </w:tr>
      <w:tr w:rsidR="001002C3" w:rsidRPr="005E779E" w14:paraId="60B29171" w14:textId="77777777">
        <w:tc>
          <w:tcPr>
            <w:tcW w:w="1024" w:type="dxa"/>
          </w:tcPr>
          <w:p w14:paraId="5C16275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EF91B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B4F46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115A6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C6F23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473A6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97E57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E4B100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Задержка тормозит серию. На основании</w:t>
            </w:r>
          </w:p>
        </w:tc>
      </w:tr>
      <w:tr w:rsidR="001002C3" w:rsidRPr="005E779E" w14:paraId="6518CC26" w14:textId="77777777">
        <w:tc>
          <w:tcPr>
            <w:tcW w:w="1024" w:type="dxa"/>
          </w:tcPr>
          <w:p w14:paraId="3D827F0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502DB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F6E78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1DE1C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6BECD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6A6BA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B15E5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37D9DB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испытаний 1-го будет лишь немногим лучше</w:t>
            </w:r>
          </w:p>
        </w:tc>
      </w:tr>
      <w:tr w:rsidR="001002C3" w:rsidRPr="005E779E" w14:paraId="0525471F" w14:textId="77777777">
        <w:tc>
          <w:tcPr>
            <w:tcW w:w="1024" w:type="dxa"/>
          </w:tcPr>
          <w:p w14:paraId="035CB70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E57C1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D6CA0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10A36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59062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4CC87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B2C0E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69FA26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скорости, но хуже по скороподъемности</w:t>
            </w:r>
          </w:p>
        </w:tc>
      </w:tr>
      <w:tr w:rsidR="001002C3" w:rsidRPr="005E779E" w14:paraId="5DBF76FA" w14:textId="77777777">
        <w:tc>
          <w:tcPr>
            <w:tcW w:w="1024" w:type="dxa"/>
          </w:tcPr>
          <w:p w14:paraId="0226289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F0B2E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0D082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FF0A7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41524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FF031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26E00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E6D2F6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Петров.</w:t>
            </w:r>
          </w:p>
        </w:tc>
      </w:tr>
      <w:tr w:rsidR="001002C3" w:rsidRPr="005E779E" w14:paraId="5529BBE8" w14:textId="77777777">
        <w:tc>
          <w:tcPr>
            <w:tcW w:w="1024" w:type="dxa"/>
          </w:tcPr>
          <w:p w14:paraId="15442D6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8DFD4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39EC6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2FD97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B6186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D2D20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D1243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C668C8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Работы по улучшению штопора</w:t>
            </w:r>
          </w:p>
        </w:tc>
      </w:tr>
      <w:tr w:rsidR="001002C3" w:rsidRPr="005E779E" w14:paraId="7B1BBF1D" w14:textId="77777777">
        <w:tc>
          <w:tcPr>
            <w:tcW w:w="1024" w:type="dxa"/>
          </w:tcPr>
          <w:p w14:paraId="3D1A9B3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C1179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B400A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8A1B5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47276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BE813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6EFD2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2F3B96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Машина с переделанными консолями крыл.</w:t>
            </w:r>
          </w:p>
        </w:tc>
      </w:tr>
      <w:tr w:rsidR="001002C3" w:rsidRPr="005E779E" w14:paraId="79370734" w14:textId="77777777">
        <w:tc>
          <w:tcPr>
            <w:tcW w:w="1024" w:type="dxa"/>
          </w:tcPr>
          <w:p w14:paraId="727FA58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FF39B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54ED9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2B1C0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DF53D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A15A3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0FDA4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634F8B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испытания не представлена, т.к. ВАО</w:t>
            </w:r>
          </w:p>
        </w:tc>
      </w:tr>
      <w:tr w:rsidR="001002C3" w:rsidRPr="005E779E" w14:paraId="6BF36A4A" w14:textId="77777777">
        <w:tc>
          <w:tcPr>
            <w:tcW w:w="1024" w:type="dxa"/>
          </w:tcPr>
          <w:p w14:paraId="4F1C5DF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4D7AD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6D4C3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128F5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12960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12BA6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85C0C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342924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месяц не мог поставить крылья на 1 завод</w:t>
            </w:r>
          </w:p>
        </w:tc>
      </w:tr>
      <w:tr w:rsidR="001002C3" w:rsidRPr="005E779E" w14:paraId="01E855FA" w14:textId="77777777">
        <w:tc>
          <w:tcPr>
            <w:tcW w:w="1024" w:type="dxa"/>
          </w:tcPr>
          <w:p w14:paraId="74417C4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4AE46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29071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0164E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89D00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FFA1D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F1BA5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E8726C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установки на фюзеляж. Работу</w:t>
            </w:r>
          </w:p>
        </w:tc>
      </w:tr>
      <w:tr w:rsidR="001002C3" w:rsidRPr="005E779E" w14:paraId="0A9B118E" w14:textId="77777777">
        <w:tc>
          <w:tcPr>
            <w:tcW w:w="1024" w:type="dxa"/>
          </w:tcPr>
          <w:p w14:paraId="4937009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1E26C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C2782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897F6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E8CA6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AA08F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27D2D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ED132E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сейчас ведет завод 39. Вопрос об установке</w:t>
            </w:r>
          </w:p>
        </w:tc>
      </w:tr>
      <w:tr w:rsidR="001002C3" w:rsidRPr="005E779E" w14:paraId="69A01024" w14:textId="77777777">
        <w:tc>
          <w:tcPr>
            <w:tcW w:w="1024" w:type="dxa"/>
          </w:tcPr>
          <w:p w14:paraId="79FD203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C8ED0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3B62F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517E9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7167D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A9F49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19B30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BF6E44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более тонких консолей был поставлен еще в</w:t>
            </w:r>
          </w:p>
        </w:tc>
      </w:tr>
      <w:tr w:rsidR="001002C3" w:rsidRPr="005E779E" w14:paraId="52EC4958" w14:textId="77777777">
        <w:tc>
          <w:tcPr>
            <w:tcW w:w="1024" w:type="dxa"/>
          </w:tcPr>
          <w:p w14:paraId="3C98368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71BAA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11928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2FD97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B613C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209A1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C37EE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2E8400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ноябре 1930, но пока не решен</w:t>
            </w:r>
          </w:p>
        </w:tc>
      </w:tr>
      <w:tr w:rsidR="001002C3" w:rsidRPr="005E779E" w14:paraId="1DF3C5BD" w14:textId="77777777">
        <w:tc>
          <w:tcPr>
            <w:tcW w:w="1024" w:type="dxa"/>
          </w:tcPr>
          <w:p w14:paraId="4DC68CD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16B03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73BF3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7C986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EE4F1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5D631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AEA67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034357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Петров.</w:t>
            </w:r>
          </w:p>
        </w:tc>
      </w:tr>
      <w:tr w:rsidR="001002C3" w:rsidRPr="005E779E" w14:paraId="11AAC075" w14:textId="77777777">
        <w:tc>
          <w:tcPr>
            <w:tcW w:w="1024" w:type="dxa"/>
          </w:tcPr>
          <w:p w14:paraId="2BF59D6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A5608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74CD2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EFD85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4A724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0E888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9947A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C5E1DD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 на специально оборудованном И5-Ю6</w:t>
            </w:r>
          </w:p>
        </w:tc>
      </w:tr>
      <w:tr w:rsidR="001002C3" w:rsidRPr="005E779E" w14:paraId="7F29929D" w14:textId="77777777">
        <w:tc>
          <w:tcPr>
            <w:tcW w:w="1024" w:type="dxa"/>
          </w:tcPr>
          <w:p w14:paraId="5EA600B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75B5B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C8C30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EFFC4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AE03D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D7077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46DD7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FABDC2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провел исследование штопора. Окончание</w:t>
            </w:r>
          </w:p>
        </w:tc>
      </w:tr>
      <w:tr w:rsidR="001002C3" w:rsidRPr="005E779E" w14:paraId="4CD79644" w14:textId="77777777">
        <w:tc>
          <w:tcPr>
            <w:tcW w:w="1024" w:type="dxa"/>
          </w:tcPr>
          <w:p w14:paraId="78EA982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DB170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0E8CA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36D63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C48C8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50697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E9EFB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89D126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 намечено на 10-15 июля</w:t>
            </w:r>
          </w:p>
        </w:tc>
      </w:tr>
      <w:tr w:rsidR="001002C3" w:rsidRPr="005E779E" w14:paraId="0B6180EC" w14:textId="77777777">
        <w:tc>
          <w:tcPr>
            <w:tcW w:w="1024" w:type="dxa"/>
          </w:tcPr>
          <w:p w14:paraId="05AC85E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9A72B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2EE6D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5A873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02434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DB4BF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FE086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495A18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Филин.</w:t>
            </w:r>
          </w:p>
        </w:tc>
      </w:tr>
      <w:tr w:rsidR="001002C3" w:rsidRPr="005E779E" w14:paraId="7B3CF81B" w14:textId="77777777">
        <w:tc>
          <w:tcPr>
            <w:tcW w:w="1024" w:type="dxa"/>
          </w:tcPr>
          <w:p w14:paraId="369B93E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ТБ3-4КК</w:t>
            </w:r>
          </w:p>
        </w:tc>
        <w:tc>
          <w:tcPr>
            <w:tcW w:w="1024" w:type="dxa"/>
          </w:tcPr>
          <w:p w14:paraId="098611A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210/</w:t>
            </w:r>
          </w:p>
        </w:tc>
        <w:tc>
          <w:tcPr>
            <w:tcW w:w="1024" w:type="dxa"/>
          </w:tcPr>
          <w:p w14:paraId="775F525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22-25/</w:t>
            </w:r>
          </w:p>
        </w:tc>
        <w:tc>
          <w:tcPr>
            <w:tcW w:w="1024" w:type="dxa"/>
          </w:tcPr>
          <w:p w14:paraId="1EE688F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20DF1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6-11 пул.</w:t>
            </w:r>
          </w:p>
        </w:tc>
        <w:tc>
          <w:tcPr>
            <w:tcW w:w="1024" w:type="dxa"/>
          </w:tcPr>
          <w:p w14:paraId="411A74A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F91C1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окт.</w:t>
            </w:r>
          </w:p>
        </w:tc>
        <w:tc>
          <w:tcPr>
            <w:tcW w:w="3430" w:type="dxa"/>
          </w:tcPr>
          <w:p w14:paraId="25B7121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Прошел испытания по сокращенной прогр.</w:t>
            </w:r>
          </w:p>
        </w:tc>
      </w:tr>
      <w:tr w:rsidR="001002C3" w:rsidRPr="005E779E" w14:paraId="727C43F9" w14:textId="77777777">
        <w:tc>
          <w:tcPr>
            <w:tcW w:w="1024" w:type="dxa"/>
          </w:tcPr>
          <w:p w14:paraId="6D070D2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(4М17)</w:t>
            </w:r>
          </w:p>
        </w:tc>
        <w:tc>
          <w:tcPr>
            <w:tcW w:w="1024" w:type="dxa"/>
          </w:tcPr>
          <w:p w14:paraId="4290A05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220</w:t>
            </w:r>
          </w:p>
        </w:tc>
        <w:tc>
          <w:tcPr>
            <w:tcW w:w="1024" w:type="dxa"/>
          </w:tcPr>
          <w:p w14:paraId="4164A16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4C906D7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C45CE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2000-4000</w:t>
            </w:r>
          </w:p>
        </w:tc>
        <w:tc>
          <w:tcPr>
            <w:tcW w:w="1024" w:type="dxa"/>
          </w:tcPr>
          <w:p w14:paraId="172CC84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0B6A9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1930 г.</w:t>
            </w:r>
          </w:p>
        </w:tc>
        <w:tc>
          <w:tcPr>
            <w:tcW w:w="3430" w:type="dxa"/>
          </w:tcPr>
          <w:p w14:paraId="4D05CC5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показав хорошие ЛД - скор. 230 км/час.</w:t>
            </w:r>
          </w:p>
        </w:tc>
      </w:tr>
      <w:tr w:rsidR="001002C3" w:rsidRPr="005E779E" w14:paraId="480851DD" w14:textId="77777777">
        <w:tc>
          <w:tcPr>
            <w:tcW w:w="1024" w:type="dxa"/>
          </w:tcPr>
          <w:p w14:paraId="24488DA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6F5CF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4D6D8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6ED38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B641A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кг</w:t>
            </w:r>
          </w:p>
        </w:tc>
        <w:tc>
          <w:tcPr>
            <w:tcW w:w="1024" w:type="dxa"/>
          </w:tcPr>
          <w:p w14:paraId="0B0097E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D1422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6E3B0F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Был обнаружен ряд дефектов, основные</w:t>
            </w:r>
          </w:p>
        </w:tc>
      </w:tr>
      <w:tr w:rsidR="001002C3" w:rsidRPr="005E779E" w14:paraId="2959EC57" w14:textId="77777777">
        <w:tc>
          <w:tcPr>
            <w:tcW w:w="1024" w:type="dxa"/>
          </w:tcPr>
          <w:p w14:paraId="0239613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53D50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2010B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2D01A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A676E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2D78E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850E9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28D7F5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чрезмерное давление на ручку и педали.</w:t>
            </w:r>
          </w:p>
        </w:tc>
      </w:tr>
      <w:tr w:rsidR="001002C3" w:rsidRPr="005E779E" w14:paraId="0A33F06C" w14:textId="77777777">
        <w:tc>
          <w:tcPr>
            <w:tcW w:w="1024" w:type="dxa"/>
          </w:tcPr>
          <w:p w14:paraId="79CC9BF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89700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9BE06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FCFF8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E2A5C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FF43D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DAB34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B1C5D4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февраля был передан в ЦАГИ для устан.</w:t>
            </w:r>
          </w:p>
        </w:tc>
      </w:tr>
      <w:tr w:rsidR="001002C3" w:rsidRPr="005E779E" w14:paraId="2F7AD4DB" w14:textId="77777777">
        <w:tc>
          <w:tcPr>
            <w:tcW w:w="1024" w:type="dxa"/>
          </w:tcPr>
          <w:p w14:paraId="059B218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62C82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A6822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DAD14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9C625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75AEF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C65A9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98E9F1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БМВ-6 и переделки элеронов, РВ, РН и</w:t>
            </w:r>
          </w:p>
        </w:tc>
      </w:tr>
      <w:tr w:rsidR="001002C3" w:rsidRPr="005E779E" w14:paraId="1145A5DF" w14:textId="77777777">
        <w:tc>
          <w:tcPr>
            <w:tcW w:w="1024" w:type="dxa"/>
          </w:tcPr>
          <w:p w14:paraId="1644ADA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C790B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070E7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C323E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46319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E81B8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750F6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BDD3BA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костыля. К 1 апреля установка БМВ-6 была</w:t>
            </w:r>
          </w:p>
        </w:tc>
      </w:tr>
      <w:tr w:rsidR="001002C3" w:rsidRPr="005E779E" w14:paraId="3AE602D3" w14:textId="77777777">
        <w:tc>
          <w:tcPr>
            <w:tcW w:w="1024" w:type="dxa"/>
          </w:tcPr>
          <w:p w14:paraId="37F924B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017B7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EB0E1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87DA6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D3542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510E4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9C872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AFA2EE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закончена, но во время пробы одна устан.</w:t>
            </w:r>
          </w:p>
        </w:tc>
      </w:tr>
      <w:tr w:rsidR="001002C3" w:rsidRPr="005E779E" w14:paraId="538B2FFE" w14:textId="77777777">
        <w:tc>
          <w:tcPr>
            <w:tcW w:w="1024" w:type="dxa"/>
          </w:tcPr>
          <w:p w14:paraId="2507274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79B0D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822C3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E6A9A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07083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D307B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DABF6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DECE14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разрушилась. Потом в конце апреля-начале</w:t>
            </w:r>
          </w:p>
        </w:tc>
      </w:tr>
      <w:tr w:rsidR="001002C3" w:rsidRPr="005E779E" w14:paraId="4956895A" w14:textId="77777777">
        <w:tc>
          <w:tcPr>
            <w:tcW w:w="1024" w:type="dxa"/>
          </w:tcPr>
          <w:p w14:paraId="1DBCFCE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3E739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E573F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9EE4B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B8D80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439FE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5ABB7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DD757F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мая машина выполнила ряд полетов, котор.</w:t>
            </w:r>
          </w:p>
        </w:tc>
      </w:tr>
      <w:tr w:rsidR="001002C3" w:rsidRPr="005E779E" w14:paraId="6B63B441" w14:textId="77777777">
        <w:tc>
          <w:tcPr>
            <w:tcW w:w="1024" w:type="dxa"/>
          </w:tcPr>
          <w:p w14:paraId="17E02DD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4A88E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723DC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B83EC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4C2E9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A3D40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092E4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84287E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показали, что элероны и рули надо дополн.</w:t>
            </w:r>
          </w:p>
        </w:tc>
      </w:tr>
      <w:tr w:rsidR="001002C3" w:rsidRPr="005E779E" w14:paraId="349A292C" w14:textId="77777777">
        <w:tc>
          <w:tcPr>
            <w:tcW w:w="1024" w:type="dxa"/>
          </w:tcPr>
          <w:p w14:paraId="6B07029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FA76A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A7AA6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403BC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423AC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D4C27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34826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07C88D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переделывать. Выполнили, но усилия все</w:t>
            </w:r>
          </w:p>
        </w:tc>
      </w:tr>
      <w:tr w:rsidR="001002C3" w:rsidRPr="005E779E" w14:paraId="1990F164" w14:textId="77777777">
        <w:tc>
          <w:tcPr>
            <w:tcW w:w="1024" w:type="dxa"/>
          </w:tcPr>
          <w:p w14:paraId="192A560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320FC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92F2C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77537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CAD4E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566A6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3BB13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60ADB6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еще велики.</w:t>
            </w:r>
          </w:p>
        </w:tc>
      </w:tr>
      <w:tr w:rsidR="001002C3" w:rsidRPr="005E779E" w14:paraId="2E481D59" w14:textId="77777777">
        <w:tc>
          <w:tcPr>
            <w:tcW w:w="1024" w:type="dxa"/>
          </w:tcPr>
          <w:p w14:paraId="6889487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AEE85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13E78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A73B5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9BF25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ABB70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98C0A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023F3A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Передача в НИИ задерживалась из-за ряда</w:t>
            </w:r>
          </w:p>
        </w:tc>
      </w:tr>
      <w:tr w:rsidR="001002C3" w:rsidRPr="005E779E" w14:paraId="606F72F9" w14:textId="77777777">
        <w:tc>
          <w:tcPr>
            <w:tcW w:w="1024" w:type="dxa"/>
          </w:tcPr>
          <w:p w14:paraId="1F9AAF9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4EAF3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A47A6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F91F8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3A806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5C3EB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DEC9C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AEF7BD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мелких дефектов - течь радиаторов, разруш.</w:t>
            </w:r>
          </w:p>
        </w:tc>
      </w:tr>
      <w:tr w:rsidR="001002C3" w:rsidRPr="005E779E" w14:paraId="38AA1B6B" w14:textId="77777777">
        <w:tc>
          <w:tcPr>
            <w:tcW w:w="1024" w:type="dxa"/>
          </w:tcPr>
          <w:p w14:paraId="2E9AA24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51811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D2721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70170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2F46C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B9EED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0DA08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6D51C4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колес и будет 7-10 июля. Снижения ЛД после</w:t>
            </w:r>
          </w:p>
        </w:tc>
      </w:tr>
      <w:tr w:rsidR="001002C3" w:rsidRPr="005E779E" w14:paraId="2B826920" w14:textId="77777777">
        <w:tc>
          <w:tcPr>
            <w:tcW w:w="1024" w:type="dxa"/>
          </w:tcPr>
          <w:p w14:paraId="70EAB2F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E1429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C47AF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AF178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27355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354E0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FE2D3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619814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переделки под М-17 не последовало</w:t>
            </w:r>
          </w:p>
        </w:tc>
      </w:tr>
      <w:tr w:rsidR="001002C3" w:rsidRPr="005E779E" w14:paraId="540F3202" w14:textId="77777777">
        <w:tc>
          <w:tcPr>
            <w:tcW w:w="1024" w:type="dxa"/>
          </w:tcPr>
          <w:p w14:paraId="4507B7A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1D895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2B8CC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C3850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D3513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E02FA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91171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D2FF67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Вахмистров.</w:t>
            </w:r>
          </w:p>
        </w:tc>
      </w:tr>
      <w:tr w:rsidR="001002C3" w:rsidRPr="005E779E" w14:paraId="1A157D0C" w14:textId="77777777">
        <w:tc>
          <w:tcPr>
            <w:tcW w:w="1024" w:type="dxa"/>
          </w:tcPr>
          <w:p w14:paraId="65FE5D7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Р6-2М17</w:t>
            </w:r>
          </w:p>
        </w:tc>
        <w:tc>
          <w:tcPr>
            <w:tcW w:w="1024" w:type="dxa"/>
          </w:tcPr>
          <w:p w14:paraId="6A54061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244/</w:t>
            </w:r>
          </w:p>
        </w:tc>
        <w:tc>
          <w:tcPr>
            <w:tcW w:w="1024" w:type="dxa"/>
          </w:tcPr>
          <w:p w14:paraId="347B00E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8,09/</w:t>
            </w:r>
          </w:p>
        </w:tc>
        <w:tc>
          <w:tcPr>
            <w:tcW w:w="1024" w:type="dxa"/>
          </w:tcPr>
          <w:p w14:paraId="6DDEF94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6500</w:t>
            </w:r>
          </w:p>
        </w:tc>
        <w:tc>
          <w:tcPr>
            <w:tcW w:w="1024" w:type="dxa"/>
          </w:tcPr>
          <w:p w14:paraId="1E0F1F8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пулем.</w:t>
            </w:r>
          </w:p>
        </w:tc>
        <w:tc>
          <w:tcPr>
            <w:tcW w:w="1024" w:type="dxa"/>
          </w:tcPr>
          <w:p w14:paraId="4539FB3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67B0D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0F820F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Головной самолет серии завода 22 должен</w:t>
            </w:r>
          </w:p>
        </w:tc>
      </w:tr>
      <w:tr w:rsidR="001002C3" w:rsidRPr="005E779E" w14:paraId="46EEBDA3" w14:textId="77777777">
        <w:tc>
          <w:tcPr>
            <w:tcW w:w="1024" w:type="dxa"/>
          </w:tcPr>
          <w:p w14:paraId="456AFC9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6A094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62F28E0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0E3FAD5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E898D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3BAA6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05CDE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2B9A4A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поступить на испытания в июле. Задержка</w:t>
            </w:r>
          </w:p>
        </w:tc>
      </w:tr>
      <w:tr w:rsidR="001002C3" w:rsidRPr="005E779E" w14:paraId="70CBF827" w14:textId="77777777">
        <w:tc>
          <w:tcPr>
            <w:tcW w:w="1024" w:type="dxa"/>
          </w:tcPr>
          <w:p w14:paraId="4FEDF2A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83B63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F2D80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56D2F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E85E0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6C9FB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371F0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DADD4D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была из-за непоставки М-17</w:t>
            </w:r>
          </w:p>
        </w:tc>
      </w:tr>
      <w:tr w:rsidR="001002C3" w:rsidRPr="005E779E" w14:paraId="11062137" w14:textId="77777777">
        <w:tc>
          <w:tcPr>
            <w:tcW w:w="1024" w:type="dxa"/>
          </w:tcPr>
          <w:p w14:paraId="5BFBDE8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951D0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87D85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83FF1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DDDBA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3FE49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314FA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DCA32A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октября 1931 года.</w:t>
            </w:r>
          </w:p>
        </w:tc>
      </w:tr>
      <w:tr w:rsidR="001002C3" w:rsidRPr="005E779E" w14:paraId="4C8E8A12" w14:textId="77777777">
        <w:tc>
          <w:tcPr>
            <w:tcW w:w="1024" w:type="dxa"/>
          </w:tcPr>
          <w:p w14:paraId="3334E7B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И8-Кертис</w:t>
            </w:r>
          </w:p>
        </w:tc>
        <w:tc>
          <w:tcPr>
            <w:tcW w:w="1024" w:type="dxa"/>
          </w:tcPr>
          <w:p w14:paraId="0FAA1BD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310/</w:t>
            </w:r>
          </w:p>
        </w:tc>
        <w:tc>
          <w:tcPr>
            <w:tcW w:w="1024" w:type="dxa"/>
          </w:tcPr>
          <w:p w14:paraId="0BF9ED9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6-7/</w:t>
            </w:r>
          </w:p>
        </w:tc>
        <w:tc>
          <w:tcPr>
            <w:tcW w:w="1024" w:type="dxa"/>
          </w:tcPr>
          <w:p w14:paraId="0E1C19A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8000</w:t>
            </w:r>
          </w:p>
        </w:tc>
        <w:tc>
          <w:tcPr>
            <w:tcW w:w="1024" w:type="dxa"/>
          </w:tcPr>
          <w:p w14:paraId="6710580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пулем.</w:t>
            </w:r>
          </w:p>
        </w:tc>
        <w:tc>
          <w:tcPr>
            <w:tcW w:w="1024" w:type="dxa"/>
          </w:tcPr>
          <w:p w14:paraId="790D1DB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Дальн.</w:t>
            </w:r>
          </w:p>
        </w:tc>
        <w:tc>
          <w:tcPr>
            <w:tcW w:w="1024" w:type="dxa"/>
          </w:tcPr>
          <w:p w14:paraId="073AD3C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сент.</w:t>
            </w:r>
          </w:p>
        </w:tc>
        <w:tc>
          <w:tcPr>
            <w:tcW w:w="3430" w:type="dxa"/>
          </w:tcPr>
          <w:p w14:paraId="76DB0CF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Производится переделка хвостового оперен.</w:t>
            </w:r>
          </w:p>
        </w:tc>
      </w:tr>
      <w:tr w:rsidR="001002C3" w:rsidRPr="005E779E" w14:paraId="57001792" w14:textId="77777777">
        <w:tc>
          <w:tcPr>
            <w:tcW w:w="1024" w:type="dxa"/>
          </w:tcPr>
          <w:p w14:paraId="1353C31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Конкверор</w:t>
            </w:r>
          </w:p>
        </w:tc>
        <w:tc>
          <w:tcPr>
            <w:tcW w:w="1024" w:type="dxa"/>
          </w:tcPr>
          <w:p w14:paraId="0F6EED3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024" w:type="dxa"/>
          </w:tcPr>
          <w:p w14:paraId="2D8F3DD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024" w:type="dxa"/>
          </w:tcPr>
          <w:p w14:paraId="6B44E37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D6E4B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11C30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1,5-2</w:t>
            </w:r>
          </w:p>
        </w:tc>
        <w:tc>
          <w:tcPr>
            <w:tcW w:w="1024" w:type="dxa"/>
          </w:tcPr>
          <w:p w14:paraId="2374EA3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1930 г.</w:t>
            </w:r>
          </w:p>
        </w:tc>
        <w:tc>
          <w:tcPr>
            <w:tcW w:w="3430" w:type="dxa"/>
          </w:tcPr>
          <w:p w14:paraId="574A432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из-за больших давлений на ручку. ЦАГИ</w:t>
            </w:r>
          </w:p>
        </w:tc>
      </w:tr>
      <w:tr w:rsidR="001002C3" w:rsidRPr="005E779E" w14:paraId="79F2235B" w14:textId="77777777">
        <w:tc>
          <w:tcPr>
            <w:tcW w:w="1024" w:type="dxa"/>
          </w:tcPr>
          <w:p w14:paraId="3995306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6EBCA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4744D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2858C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E2830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C8F72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BFB1E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A1886A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меняет КК на более высотный, полученный</w:t>
            </w:r>
          </w:p>
        </w:tc>
      </w:tr>
      <w:tr w:rsidR="001002C3" w:rsidRPr="005E779E" w14:paraId="4B8E33BD" w14:textId="77777777">
        <w:tc>
          <w:tcPr>
            <w:tcW w:w="1024" w:type="dxa"/>
          </w:tcPr>
          <w:p w14:paraId="59435BD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26EB4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1D922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7DEB2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B39F2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ED361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40177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BD23D7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 США. Ставятся тормозные колеса.</w:t>
            </w:r>
          </w:p>
        </w:tc>
      </w:tr>
      <w:tr w:rsidR="001002C3" w:rsidRPr="005E779E" w14:paraId="61B2A371" w14:textId="77777777">
        <w:tc>
          <w:tcPr>
            <w:tcW w:w="1024" w:type="dxa"/>
          </w:tcPr>
          <w:p w14:paraId="2963A43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И7-М-17</w:t>
            </w:r>
          </w:p>
        </w:tc>
        <w:tc>
          <w:tcPr>
            <w:tcW w:w="1024" w:type="dxa"/>
          </w:tcPr>
          <w:p w14:paraId="6E9FA18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277/</w:t>
            </w:r>
          </w:p>
        </w:tc>
        <w:tc>
          <w:tcPr>
            <w:tcW w:w="1024" w:type="dxa"/>
          </w:tcPr>
          <w:p w14:paraId="7D059AA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10,5"/</w:t>
            </w:r>
          </w:p>
        </w:tc>
        <w:tc>
          <w:tcPr>
            <w:tcW w:w="1024" w:type="dxa"/>
          </w:tcPr>
          <w:p w14:paraId="5B0BD3C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8000</w:t>
            </w:r>
          </w:p>
        </w:tc>
        <w:tc>
          <w:tcPr>
            <w:tcW w:w="1024" w:type="dxa"/>
          </w:tcPr>
          <w:p w14:paraId="6FC99AD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пулем.</w:t>
            </w:r>
          </w:p>
        </w:tc>
        <w:tc>
          <w:tcPr>
            <w:tcW w:w="1024" w:type="dxa"/>
          </w:tcPr>
          <w:p w14:paraId="24471B5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F12A5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CF1C22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1 ведет постройку 2-х первых сер.</w:t>
            </w:r>
          </w:p>
        </w:tc>
      </w:tr>
      <w:tr w:rsidR="001002C3" w:rsidRPr="005E779E" w14:paraId="62C91541" w14:textId="77777777">
        <w:tc>
          <w:tcPr>
            <w:tcW w:w="1024" w:type="dxa"/>
          </w:tcPr>
          <w:p w14:paraId="1D350C5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Е=7,3</w:t>
            </w:r>
          </w:p>
        </w:tc>
        <w:tc>
          <w:tcPr>
            <w:tcW w:w="1024" w:type="dxa"/>
          </w:tcPr>
          <w:p w14:paraId="1726CA0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024" w:type="dxa"/>
          </w:tcPr>
          <w:p w14:paraId="462174B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024" w:type="dxa"/>
          </w:tcPr>
          <w:p w14:paraId="0C885CB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599B1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9FAD8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D1DF2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C6AA85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Выпуск задержан ошибкой в центровке,</w:t>
            </w:r>
          </w:p>
        </w:tc>
      </w:tr>
      <w:tr w:rsidR="001002C3" w:rsidRPr="005E779E" w14:paraId="054F3270" w14:textId="77777777">
        <w:tc>
          <w:tcPr>
            <w:tcW w:w="1024" w:type="dxa"/>
          </w:tcPr>
          <w:p w14:paraId="57413DE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(НД-37С)</w:t>
            </w:r>
          </w:p>
        </w:tc>
        <w:tc>
          <w:tcPr>
            <w:tcW w:w="1024" w:type="dxa"/>
          </w:tcPr>
          <w:p w14:paraId="7CF1625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57B5F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ECD4D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AD3B1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C0505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D7374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56F990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потр. переноса мотора вперед. Выйдет</w:t>
            </w:r>
          </w:p>
        </w:tc>
      </w:tr>
      <w:tr w:rsidR="001002C3" w:rsidRPr="005E779E" w14:paraId="39F110F5" w14:textId="77777777">
        <w:tc>
          <w:tcPr>
            <w:tcW w:w="1024" w:type="dxa"/>
          </w:tcPr>
          <w:p w14:paraId="4A4E945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9D49B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2193E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32BA2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1CA32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AC6E2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0ABD9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E18012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аэродром в середине июля</w:t>
            </w:r>
          </w:p>
        </w:tc>
      </w:tr>
      <w:tr w:rsidR="001002C3" w:rsidRPr="005E779E" w14:paraId="11B95D52" w14:textId="77777777">
        <w:tc>
          <w:tcPr>
            <w:tcW w:w="1024" w:type="dxa"/>
          </w:tcPr>
          <w:p w14:paraId="70244E0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D2909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023BF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C41CC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91875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00F3A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906DF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AD67E5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Гребенев.</w:t>
            </w:r>
          </w:p>
        </w:tc>
      </w:tr>
      <w:tr w:rsidR="001002C3" w:rsidRPr="005E779E" w14:paraId="7660D7C5" w14:textId="77777777">
        <w:tc>
          <w:tcPr>
            <w:tcW w:w="1024" w:type="dxa"/>
          </w:tcPr>
          <w:p w14:paraId="0F3DCF8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ТБ-1-2М17</w:t>
            </w:r>
          </w:p>
        </w:tc>
        <w:tc>
          <w:tcPr>
            <w:tcW w:w="1024" w:type="dxa"/>
          </w:tcPr>
          <w:p w14:paraId="5150605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Требования не установлены.</w:t>
            </w:r>
          </w:p>
        </w:tc>
        <w:tc>
          <w:tcPr>
            <w:tcW w:w="1024" w:type="dxa"/>
          </w:tcPr>
          <w:p w14:paraId="138CB6B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4A141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F0D9F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E6DA5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53B83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BCDEF4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ВОХИМУ продолжает работы по приспос.</w:t>
            </w:r>
          </w:p>
        </w:tc>
      </w:tr>
      <w:tr w:rsidR="001002C3" w:rsidRPr="005E779E" w14:paraId="1C35F605" w14:textId="77777777">
        <w:tc>
          <w:tcPr>
            <w:tcW w:w="1024" w:type="dxa"/>
          </w:tcPr>
          <w:p w14:paraId="7C42991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F9448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C5E7A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549C8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05BCF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2FF67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10560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5C0457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ТБ-1. Работы не ведутся</w:t>
            </w:r>
          </w:p>
        </w:tc>
      </w:tr>
      <w:tr w:rsidR="001002C3" w:rsidRPr="005E779E" w14:paraId="08DCE3C4" w14:textId="77777777">
        <w:tc>
          <w:tcPr>
            <w:tcW w:w="1024" w:type="dxa"/>
          </w:tcPr>
          <w:p w14:paraId="5D2BE71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w:t>
            </w:r>
          </w:p>
        </w:tc>
        <w:tc>
          <w:tcPr>
            <w:tcW w:w="1024" w:type="dxa"/>
          </w:tcPr>
          <w:p w14:paraId="784D764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Требования не установлены.</w:t>
            </w:r>
          </w:p>
        </w:tc>
        <w:tc>
          <w:tcPr>
            <w:tcW w:w="1024" w:type="dxa"/>
          </w:tcPr>
          <w:p w14:paraId="4EBF9DF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1B151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042A4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D7D93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B4D58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F700E2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Передан в БОК ЦАГИ. Работы по доводке</w:t>
            </w:r>
          </w:p>
        </w:tc>
      </w:tr>
      <w:tr w:rsidR="001002C3" w:rsidRPr="005E779E" w14:paraId="0D86996A" w14:textId="77777777">
        <w:tc>
          <w:tcPr>
            <w:tcW w:w="1024" w:type="dxa"/>
          </w:tcPr>
          <w:p w14:paraId="1D1A7CC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Горелова</w:t>
            </w:r>
          </w:p>
        </w:tc>
        <w:tc>
          <w:tcPr>
            <w:tcW w:w="1024" w:type="dxa"/>
          </w:tcPr>
          <w:p w14:paraId="1C32402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D2F74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65F92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13044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983F2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BCBFD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417BBA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закончатся к 1 августа 1931</w:t>
            </w:r>
          </w:p>
        </w:tc>
      </w:tr>
      <w:tr w:rsidR="001002C3" w:rsidRPr="005E779E" w14:paraId="2B6AE836" w14:textId="77777777">
        <w:tc>
          <w:tcPr>
            <w:tcW w:w="1024" w:type="dxa"/>
          </w:tcPr>
          <w:p w14:paraId="7FB81D4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под мотор</w:t>
            </w:r>
          </w:p>
        </w:tc>
        <w:tc>
          <w:tcPr>
            <w:tcW w:w="1024" w:type="dxa"/>
          </w:tcPr>
          <w:p w14:paraId="5547CEE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D8A6D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847D4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C73FC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E74CA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7375F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3811E0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E2CE962" w14:textId="77777777">
        <w:tc>
          <w:tcPr>
            <w:tcW w:w="1024" w:type="dxa"/>
          </w:tcPr>
          <w:p w14:paraId="3F5B336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Вальтер</w:t>
            </w:r>
          </w:p>
        </w:tc>
        <w:tc>
          <w:tcPr>
            <w:tcW w:w="1024" w:type="dxa"/>
          </w:tcPr>
          <w:p w14:paraId="28CF39A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E3899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22627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28255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2CE6E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A2E82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AB1483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920B611" w14:textId="77777777">
        <w:tc>
          <w:tcPr>
            <w:tcW w:w="1024" w:type="dxa"/>
          </w:tcPr>
          <w:p w14:paraId="0C02284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ОСОАВИАХИМ</w:t>
            </w:r>
          </w:p>
        </w:tc>
        <w:tc>
          <w:tcPr>
            <w:tcW w:w="1024" w:type="dxa"/>
          </w:tcPr>
          <w:p w14:paraId="49D0C15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95858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31BB2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E6B3B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88814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D4D49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8ED77F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DE7F347" w14:textId="77777777">
        <w:tc>
          <w:tcPr>
            <w:tcW w:w="1024" w:type="dxa"/>
          </w:tcPr>
          <w:p w14:paraId="56F59AD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w:t>
            </w:r>
          </w:p>
        </w:tc>
        <w:tc>
          <w:tcPr>
            <w:tcW w:w="1024" w:type="dxa"/>
          </w:tcPr>
          <w:p w14:paraId="274317A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Требования не установлены.</w:t>
            </w:r>
          </w:p>
        </w:tc>
        <w:tc>
          <w:tcPr>
            <w:tcW w:w="1024" w:type="dxa"/>
          </w:tcPr>
          <w:p w14:paraId="53F050A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537D8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03498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27D32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DD1BC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37E434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Работы переданы в БОК ЦАГИ. К доводке</w:t>
            </w:r>
          </w:p>
        </w:tc>
      </w:tr>
      <w:tr w:rsidR="001002C3" w:rsidRPr="005E779E" w14:paraId="13BDDA01" w14:textId="77777777">
        <w:tc>
          <w:tcPr>
            <w:tcW w:w="1024" w:type="dxa"/>
          </w:tcPr>
          <w:p w14:paraId="366CC7A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"Парабола"</w:t>
            </w:r>
          </w:p>
        </w:tc>
        <w:tc>
          <w:tcPr>
            <w:tcW w:w="1024" w:type="dxa"/>
          </w:tcPr>
          <w:p w14:paraId="0633475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4515B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5E2AE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9FABB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8B6B3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9DE26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F03115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 приступлено из-за отсутствия ИТР</w:t>
            </w:r>
          </w:p>
        </w:tc>
      </w:tr>
      <w:tr w:rsidR="001002C3" w:rsidRPr="005E779E" w14:paraId="56DC2208" w14:textId="77777777">
        <w:tc>
          <w:tcPr>
            <w:tcW w:w="1024" w:type="dxa"/>
          </w:tcPr>
          <w:p w14:paraId="75611B3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М11</w:t>
            </w:r>
          </w:p>
        </w:tc>
        <w:tc>
          <w:tcPr>
            <w:tcW w:w="1024" w:type="dxa"/>
          </w:tcPr>
          <w:p w14:paraId="295D4E4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905F5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A6883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C55AE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3D72E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6D4AE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0E045A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F0FA09C" w14:textId="77777777">
        <w:tc>
          <w:tcPr>
            <w:tcW w:w="1024" w:type="dxa"/>
          </w:tcPr>
          <w:p w14:paraId="5612600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ОСОАВИАХИМ</w:t>
            </w:r>
          </w:p>
        </w:tc>
        <w:tc>
          <w:tcPr>
            <w:tcW w:w="1024" w:type="dxa"/>
          </w:tcPr>
          <w:p w14:paraId="19F9CAB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E201A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67431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85526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B7D23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09B2F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A24C11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E187D9E" w14:textId="77777777">
        <w:tc>
          <w:tcPr>
            <w:tcW w:w="1024" w:type="dxa"/>
          </w:tcPr>
          <w:p w14:paraId="75916F0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И4-ЮVI</w:t>
            </w:r>
          </w:p>
        </w:tc>
        <w:tc>
          <w:tcPr>
            <w:tcW w:w="1024" w:type="dxa"/>
          </w:tcPr>
          <w:p w14:paraId="675DC1D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Требования не установлены.</w:t>
            </w:r>
          </w:p>
        </w:tc>
        <w:tc>
          <w:tcPr>
            <w:tcW w:w="1024" w:type="dxa"/>
          </w:tcPr>
          <w:p w14:paraId="12E1AAC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612FB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706BC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E290B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D6D93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B5885F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 заканчивает переделку самолета.</w:t>
            </w:r>
          </w:p>
        </w:tc>
      </w:tr>
      <w:tr w:rsidR="001002C3" w:rsidRPr="005E779E" w14:paraId="4D391872" w14:textId="77777777">
        <w:tc>
          <w:tcPr>
            <w:tcW w:w="1024" w:type="dxa"/>
          </w:tcPr>
          <w:p w14:paraId="3C98004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моноплан</w:t>
            </w:r>
          </w:p>
        </w:tc>
        <w:tc>
          <w:tcPr>
            <w:tcW w:w="1024" w:type="dxa"/>
          </w:tcPr>
          <w:p w14:paraId="2E4F4A3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DF9A3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2D0A1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E854A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04EED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4AF22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339031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Работа над вариантами с разрезными</w:t>
            </w:r>
          </w:p>
        </w:tc>
      </w:tr>
      <w:tr w:rsidR="001002C3" w:rsidRPr="005E779E" w14:paraId="7E22760D" w14:textId="77777777">
        <w:tc>
          <w:tcPr>
            <w:tcW w:w="1024" w:type="dxa"/>
          </w:tcPr>
          <w:p w14:paraId="226BAE0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w:t>
            </w:r>
          </w:p>
        </w:tc>
        <w:tc>
          <w:tcPr>
            <w:tcW w:w="1024" w:type="dxa"/>
          </w:tcPr>
          <w:p w14:paraId="17FEEEA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16161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597A1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AEB8F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FB0DC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4BBB7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264BFE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крыльями, срок - 10 августа 1931 для</w:t>
            </w:r>
          </w:p>
        </w:tc>
      </w:tr>
      <w:tr w:rsidR="001002C3" w:rsidRPr="005E779E" w14:paraId="750FF009" w14:textId="77777777">
        <w:tc>
          <w:tcPr>
            <w:tcW w:w="1024" w:type="dxa"/>
          </w:tcPr>
          <w:p w14:paraId="0B17C3F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C59C4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09C09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2F18E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DC50C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12E45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CEAA7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46F189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метал. крыла и 25 сентября - для</w:t>
            </w:r>
          </w:p>
        </w:tc>
      </w:tr>
      <w:tr w:rsidR="001002C3" w:rsidRPr="005E779E" w14:paraId="6E959807" w14:textId="77777777">
        <w:tc>
          <w:tcPr>
            <w:tcW w:w="1024" w:type="dxa"/>
          </w:tcPr>
          <w:p w14:paraId="7F78818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0E066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18D96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59873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A5C67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BB898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974EF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DBD348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деревянного</w:t>
            </w:r>
          </w:p>
        </w:tc>
      </w:tr>
      <w:tr w:rsidR="001002C3" w:rsidRPr="005E779E" w14:paraId="733EA5BD" w14:textId="77777777">
        <w:tc>
          <w:tcPr>
            <w:tcW w:w="1024" w:type="dxa"/>
          </w:tcPr>
          <w:p w14:paraId="7BF6351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ТБ1-2М17</w:t>
            </w:r>
          </w:p>
        </w:tc>
        <w:tc>
          <w:tcPr>
            <w:tcW w:w="1024" w:type="dxa"/>
          </w:tcPr>
          <w:p w14:paraId="2F5F603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186/0</w:t>
            </w:r>
          </w:p>
        </w:tc>
        <w:tc>
          <w:tcPr>
            <w:tcW w:w="1024" w:type="dxa"/>
          </w:tcPr>
          <w:p w14:paraId="78FBD68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33,5"/</w:t>
            </w:r>
          </w:p>
        </w:tc>
        <w:tc>
          <w:tcPr>
            <w:tcW w:w="1024" w:type="dxa"/>
          </w:tcPr>
          <w:p w14:paraId="7061049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3520</w:t>
            </w:r>
          </w:p>
        </w:tc>
        <w:tc>
          <w:tcPr>
            <w:tcW w:w="1024" w:type="dxa"/>
          </w:tcPr>
          <w:p w14:paraId="54FA7DF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спарен.</w:t>
            </w:r>
          </w:p>
        </w:tc>
        <w:tc>
          <w:tcPr>
            <w:tcW w:w="1024" w:type="dxa"/>
          </w:tcPr>
          <w:p w14:paraId="28BEFD2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021F7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67D62A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Производятся испытания в Севастополе на</w:t>
            </w:r>
          </w:p>
        </w:tc>
      </w:tr>
      <w:tr w:rsidR="001002C3" w:rsidRPr="005E779E" w14:paraId="5850079B" w14:textId="77777777">
        <w:tc>
          <w:tcPr>
            <w:tcW w:w="1024" w:type="dxa"/>
          </w:tcPr>
          <w:p w14:paraId="4569344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установлен.</w:t>
            </w:r>
          </w:p>
        </w:tc>
        <w:tc>
          <w:tcPr>
            <w:tcW w:w="1024" w:type="dxa"/>
          </w:tcPr>
          <w:p w14:paraId="700761E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6644D50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AC76C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55B45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установки</w:t>
            </w:r>
          </w:p>
        </w:tc>
        <w:tc>
          <w:tcPr>
            <w:tcW w:w="1024" w:type="dxa"/>
          </w:tcPr>
          <w:p w14:paraId="3AF3635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37BBC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32AB43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поплавках Шорта. Окончание - к 10 августа.</w:t>
            </w:r>
          </w:p>
        </w:tc>
      </w:tr>
      <w:tr w:rsidR="001002C3" w:rsidRPr="005E779E" w14:paraId="102FE7C3" w14:textId="77777777">
        <w:tc>
          <w:tcPr>
            <w:tcW w:w="1024" w:type="dxa"/>
          </w:tcPr>
          <w:p w14:paraId="1140A18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поплавки</w:t>
            </w:r>
          </w:p>
        </w:tc>
        <w:tc>
          <w:tcPr>
            <w:tcW w:w="1024" w:type="dxa"/>
          </w:tcPr>
          <w:p w14:paraId="7782425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37CC3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A20DE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FC526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w:t>
            </w:r>
          </w:p>
        </w:tc>
        <w:tc>
          <w:tcPr>
            <w:tcW w:w="1024" w:type="dxa"/>
          </w:tcPr>
          <w:p w14:paraId="17F1FA1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13C81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6F06A6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Задержка из-за дефектов М-17, потр. переб.</w:t>
            </w:r>
          </w:p>
        </w:tc>
      </w:tr>
      <w:tr w:rsidR="001002C3" w:rsidRPr="005E779E" w14:paraId="74996C51" w14:textId="77777777">
        <w:tc>
          <w:tcPr>
            <w:tcW w:w="1024" w:type="dxa"/>
          </w:tcPr>
          <w:p w14:paraId="18DAE99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40708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2A55C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2A29A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8CF4D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9A8C2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0004F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8CC670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предв. сведениям поведение - удовлетв.</w:t>
            </w:r>
          </w:p>
        </w:tc>
      </w:tr>
      <w:tr w:rsidR="001002C3" w:rsidRPr="005E779E" w14:paraId="07559446" w14:textId="77777777">
        <w:tc>
          <w:tcPr>
            <w:tcW w:w="1024" w:type="dxa"/>
          </w:tcPr>
          <w:p w14:paraId="3CDD4FC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4A808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32735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7FD3C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ED61C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CCBDE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9DF9A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F7F07A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осталось испытать на увеличенной</w:t>
            </w:r>
          </w:p>
        </w:tc>
      </w:tr>
      <w:tr w:rsidR="001002C3" w:rsidRPr="005E779E" w14:paraId="5E329635" w14:textId="77777777">
        <w:tc>
          <w:tcPr>
            <w:tcW w:w="1024" w:type="dxa"/>
          </w:tcPr>
          <w:p w14:paraId="7925E58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E3F47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26538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5EEA6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548B5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72CC3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124A7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7C0100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волне с перегрузкой.</w:t>
            </w:r>
          </w:p>
        </w:tc>
      </w:tr>
      <w:tr w:rsidR="001002C3" w:rsidRPr="005E779E" w14:paraId="2529CDAC" w14:textId="77777777">
        <w:tc>
          <w:tcPr>
            <w:tcW w:w="1024" w:type="dxa"/>
          </w:tcPr>
          <w:p w14:paraId="55B950A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58425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F56FA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CA0D8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769BA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3D85B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3FC4F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27387B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Сложности с изготовлением поплавков на 31</w:t>
            </w:r>
          </w:p>
        </w:tc>
      </w:tr>
      <w:tr w:rsidR="001002C3" w:rsidRPr="005E779E" w14:paraId="08A20394" w14:textId="77777777">
        <w:tc>
          <w:tcPr>
            <w:tcW w:w="1024" w:type="dxa"/>
          </w:tcPr>
          <w:p w14:paraId="4FC40BB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01455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CEE63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6389C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A8718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19102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8D919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A173D9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заводе. Первая пара - к январю 1932, а ост.</w:t>
            </w:r>
          </w:p>
        </w:tc>
      </w:tr>
      <w:tr w:rsidR="001002C3" w:rsidRPr="005E779E" w14:paraId="11120EA4" w14:textId="77777777">
        <w:tc>
          <w:tcPr>
            <w:tcW w:w="1024" w:type="dxa"/>
          </w:tcPr>
          <w:p w14:paraId="4A6FE9B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658D4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E9FCC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92BD7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7BB5B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F79A8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F1085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DD9A16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22 - к июлю 1932 из-за отсутствия кадров. 24</w:t>
            </w:r>
          </w:p>
        </w:tc>
      </w:tr>
      <w:tr w:rsidR="001002C3" w:rsidRPr="005E779E" w14:paraId="3CEF9554" w14:textId="77777777">
        <w:tc>
          <w:tcPr>
            <w:tcW w:w="1024" w:type="dxa"/>
          </w:tcPr>
          <w:p w14:paraId="7CC866B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19831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C64ED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CB46E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6BD99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88759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12F61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378D0D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июля намечен перегон в Таганрог</w:t>
            </w:r>
          </w:p>
        </w:tc>
      </w:tr>
      <w:tr w:rsidR="001002C3" w:rsidRPr="005E779E" w14:paraId="73A0B121" w14:textId="77777777">
        <w:tc>
          <w:tcPr>
            <w:tcW w:w="1024" w:type="dxa"/>
          </w:tcPr>
          <w:p w14:paraId="4E40823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Р5-М17</w:t>
            </w:r>
          </w:p>
        </w:tc>
        <w:tc>
          <w:tcPr>
            <w:tcW w:w="1024" w:type="dxa"/>
          </w:tcPr>
          <w:p w14:paraId="1BD07BD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2C4E6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C8E16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7CA67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0A8F2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228AE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апр.</w:t>
            </w:r>
          </w:p>
        </w:tc>
        <w:tc>
          <w:tcPr>
            <w:tcW w:w="3430" w:type="dxa"/>
          </w:tcPr>
          <w:p w14:paraId="3838BC6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апреля в намеченный срок производством</w:t>
            </w:r>
          </w:p>
        </w:tc>
      </w:tr>
      <w:tr w:rsidR="001002C3" w:rsidRPr="005E779E" w14:paraId="435A2F5D" w14:textId="77777777">
        <w:tc>
          <w:tcPr>
            <w:tcW w:w="1024" w:type="dxa"/>
          </w:tcPr>
          <w:p w14:paraId="76B8268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поплавках</w:t>
            </w:r>
          </w:p>
        </w:tc>
        <w:tc>
          <w:tcPr>
            <w:tcW w:w="1024" w:type="dxa"/>
          </w:tcPr>
          <w:p w14:paraId="11AB572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3C012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04608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F6DEC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CC33D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ED422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 г.</w:t>
            </w:r>
          </w:p>
        </w:tc>
        <w:tc>
          <w:tcPr>
            <w:tcW w:w="3430" w:type="dxa"/>
          </w:tcPr>
          <w:p w14:paraId="3210A36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незакончен из-за недостатка внимания</w:t>
            </w:r>
          </w:p>
        </w:tc>
      </w:tr>
      <w:tr w:rsidR="001002C3" w:rsidRPr="005E779E" w14:paraId="3D51B2CD" w14:textId="77777777">
        <w:tc>
          <w:tcPr>
            <w:tcW w:w="1024" w:type="dxa"/>
          </w:tcPr>
          <w:p w14:paraId="75D7E76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D5A52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2E76E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9467B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5CA63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6041E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CCF2D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38C02B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 стороны ЦКБ. закончены конструктвные</w:t>
            </w:r>
          </w:p>
        </w:tc>
      </w:tr>
      <w:tr w:rsidR="001002C3" w:rsidRPr="005E779E" w14:paraId="33AFDD4B" w14:textId="77777777">
        <w:tc>
          <w:tcPr>
            <w:tcW w:w="1024" w:type="dxa"/>
          </w:tcPr>
          <w:p w14:paraId="0245276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059ED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AA903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6A979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467C5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1D9C9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0DAF3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407A0C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чертежи и сданы в производство. Пр-во</w:t>
            </w:r>
          </w:p>
        </w:tc>
      </w:tr>
      <w:tr w:rsidR="001002C3" w:rsidRPr="005E779E" w14:paraId="54284931" w14:textId="77777777">
        <w:tc>
          <w:tcPr>
            <w:tcW w:w="1024" w:type="dxa"/>
          </w:tcPr>
          <w:p w14:paraId="7CC9486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EBA68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6086D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220BB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2795F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B1DB1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2E9C1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C278BB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поплавков сдано на завод 28. Срок гот.</w:t>
            </w:r>
          </w:p>
        </w:tc>
      </w:tr>
      <w:tr w:rsidR="001002C3" w:rsidRPr="005E779E" w14:paraId="23D62270" w14:textId="77777777">
        <w:tc>
          <w:tcPr>
            <w:tcW w:w="1024" w:type="dxa"/>
          </w:tcPr>
          <w:p w14:paraId="288CC8D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0203D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598B1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390E1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DDD54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4AFD1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DC83C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FB8E92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августа 1931</w:t>
            </w:r>
          </w:p>
        </w:tc>
      </w:tr>
      <w:tr w:rsidR="001002C3" w:rsidRPr="005E779E" w14:paraId="0EBA9DF9" w14:textId="77777777">
        <w:tc>
          <w:tcPr>
            <w:tcW w:w="1024" w:type="dxa"/>
          </w:tcPr>
          <w:p w14:paraId="68F3FA6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1-ВГ</w:t>
            </w:r>
          </w:p>
        </w:tc>
        <w:tc>
          <w:tcPr>
            <w:tcW w:w="1024" w:type="dxa"/>
          </w:tcPr>
          <w:p w14:paraId="72DB1C5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DAE8E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26DCA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EB1B7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88FA7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FEAD4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44B7B0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Совершил 2 удачных полета до 20-25 м, при</w:t>
            </w:r>
          </w:p>
        </w:tc>
      </w:tr>
      <w:tr w:rsidR="001002C3" w:rsidRPr="005E779E" w14:paraId="1A6ED165" w14:textId="77777777">
        <w:tc>
          <w:tcPr>
            <w:tcW w:w="1024" w:type="dxa"/>
          </w:tcPr>
          <w:p w14:paraId="284B0D6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геликоптер</w:t>
            </w:r>
          </w:p>
        </w:tc>
        <w:tc>
          <w:tcPr>
            <w:tcW w:w="1024" w:type="dxa"/>
          </w:tcPr>
          <w:p w14:paraId="624D3DB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45A2D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86157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F3130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2E03B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50FC8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1F40BA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посадке поломал лопасти и фюзеляж. Ведется</w:t>
            </w:r>
          </w:p>
        </w:tc>
      </w:tr>
      <w:tr w:rsidR="001002C3" w:rsidRPr="005E779E" w14:paraId="3B53394C" w14:textId="77777777">
        <w:tc>
          <w:tcPr>
            <w:tcW w:w="1024" w:type="dxa"/>
          </w:tcPr>
          <w:p w14:paraId="2863C21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1ADC1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7ABE2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DE409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612AA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AD8F2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58854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0FE000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срочный ремонт</w:t>
            </w:r>
          </w:p>
        </w:tc>
      </w:tr>
      <w:tr w:rsidR="001002C3" w:rsidRPr="005E779E" w14:paraId="39E12C9B" w14:textId="77777777">
        <w:tc>
          <w:tcPr>
            <w:tcW w:w="1024" w:type="dxa"/>
          </w:tcPr>
          <w:p w14:paraId="02C9FA0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894A6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F7972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6D8B5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86F42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513F7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FC235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AE40D5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Квитко</w:t>
            </w:r>
          </w:p>
        </w:tc>
      </w:tr>
      <w:tr w:rsidR="001002C3" w:rsidRPr="005E779E" w14:paraId="3E012B08" w14:textId="77777777">
        <w:tc>
          <w:tcPr>
            <w:tcW w:w="1024" w:type="dxa"/>
          </w:tcPr>
          <w:p w14:paraId="0E791A4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Вертолет</w:t>
            </w:r>
          </w:p>
        </w:tc>
        <w:tc>
          <w:tcPr>
            <w:tcW w:w="1024" w:type="dxa"/>
          </w:tcPr>
          <w:p w14:paraId="56F1620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4A1FF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B887B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3B5A8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0D188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73D0D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41E6B2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Установлен мотор Титан. С новым мотором</w:t>
            </w:r>
          </w:p>
        </w:tc>
      </w:tr>
      <w:tr w:rsidR="001002C3" w:rsidRPr="005E779E" w14:paraId="31538FD3" w14:textId="77777777">
        <w:tc>
          <w:tcPr>
            <w:tcW w:w="1024" w:type="dxa"/>
          </w:tcPr>
          <w:p w14:paraId="4DDC9B6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(автожир)</w:t>
            </w:r>
          </w:p>
        </w:tc>
        <w:tc>
          <w:tcPr>
            <w:tcW w:w="1024" w:type="dxa"/>
          </w:tcPr>
          <w:p w14:paraId="2342EC4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6E3CA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1A822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FEF83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843F4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7D3C1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F775DB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выполнен ряд полетов в р-не аэродрома,</w:t>
            </w:r>
          </w:p>
        </w:tc>
      </w:tr>
      <w:tr w:rsidR="001002C3" w:rsidRPr="005E779E" w14:paraId="3992A33F" w14:textId="77777777">
        <w:tc>
          <w:tcPr>
            <w:tcW w:w="1024" w:type="dxa"/>
          </w:tcPr>
          <w:p w14:paraId="6DC150A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4080B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97E3F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109C7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4F947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FF703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81102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E54782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достигнута высота 100 м. Работы перед.</w:t>
            </w:r>
          </w:p>
        </w:tc>
      </w:tr>
      <w:tr w:rsidR="001002C3" w:rsidRPr="005E779E" w14:paraId="4C61BD76" w14:textId="77777777">
        <w:tc>
          <w:tcPr>
            <w:tcW w:w="1024" w:type="dxa"/>
          </w:tcPr>
          <w:p w14:paraId="498D868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6E85F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1632E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AC213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82E52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9E603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DDDD4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87F72B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БОК ЦАГИ</w:t>
            </w:r>
          </w:p>
        </w:tc>
      </w:tr>
      <w:tr w:rsidR="001002C3" w:rsidRPr="005E779E" w14:paraId="31750E30" w14:textId="77777777">
        <w:tc>
          <w:tcPr>
            <w:tcW w:w="1024" w:type="dxa"/>
          </w:tcPr>
          <w:p w14:paraId="5CAE3AF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1A2E6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727F6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8F754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93083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AF4DF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4F061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8A8DEB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Кравцов.</w:t>
            </w:r>
          </w:p>
        </w:tc>
      </w:tr>
      <w:tr w:rsidR="001002C3" w:rsidRPr="005E779E" w14:paraId="32B90FA0" w14:textId="77777777">
        <w:tc>
          <w:tcPr>
            <w:tcW w:w="1024" w:type="dxa"/>
          </w:tcPr>
          <w:p w14:paraId="72AE1D0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МДР2-2БМВVI</w:t>
            </w:r>
          </w:p>
        </w:tc>
        <w:tc>
          <w:tcPr>
            <w:tcW w:w="1024" w:type="dxa"/>
          </w:tcPr>
          <w:p w14:paraId="1C9B99D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ном. 118</w:t>
            </w:r>
          </w:p>
        </w:tc>
        <w:tc>
          <w:tcPr>
            <w:tcW w:w="1024" w:type="dxa"/>
          </w:tcPr>
          <w:p w14:paraId="186984E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39,75 м/</w:t>
            </w:r>
          </w:p>
        </w:tc>
        <w:tc>
          <w:tcPr>
            <w:tcW w:w="1024" w:type="dxa"/>
          </w:tcPr>
          <w:p w14:paraId="231D5E4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3330</w:t>
            </w:r>
          </w:p>
        </w:tc>
        <w:tc>
          <w:tcPr>
            <w:tcW w:w="1024" w:type="dxa"/>
          </w:tcPr>
          <w:p w14:paraId="38B7808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пулем.</w:t>
            </w:r>
          </w:p>
        </w:tc>
        <w:tc>
          <w:tcPr>
            <w:tcW w:w="1024" w:type="dxa"/>
          </w:tcPr>
          <w:p w14:paraId="72CA524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1060</w:t>
            </w:r>
          </w:p>
        </w:tc>
        <w:tc>
          <w:tcPr>
            <w:tcW w:w="1024" w:type="dxa"/>
          </w:tcPr>
          <w:p w14:paraId="56C306B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окт.</w:t>
            </w:r>
          </w:p>
        </w:tc>
        <w:tc>
          <w:tcPr>
            <w:tcW w:w="3430" w:type="dxa"/>
          </w:tcPr>
          <w:p w14:paraId="12E6939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Испытания в НИИ полностью не закончены</w:t>
            </w:r>
          </w:p>
        </w:tc>
      </w:tr>
      <w:tr w:rsidR="001002C3" w:rsidRPr="005E779E" w14:paraId="192F6618" w14:textId="77777777">
        <w:tc>
          <w:tcPr>
            <w:tcW w:w="1024" w:type="dxa"/>
          </w:tcPr>
          <w:p w14:paraId="00994C1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Е-6</w:t>
            </w:r>
          </w:p>
        </w:tc>
        <w:tc>
          <w:tcPr>
            <w:tcW w:w="1024" w:type="dxa"/>
          </w:tcPr>
          <w:p w14:paraId="1407BA9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078EC06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76EFB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D7109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бомбы в</w:t>
            </w:r>
          </w:p>
        </w:tc>
        <w:tc>
          <w:tcPr>
            <w:tcW w:w="1024" w:type="dxa"/>
          </w:tcPr>
          <w:p w14:paraId="48A44F8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8BC7F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1930 г.</w:t>
            </w:r>
          </w:p>
        </w:tc>
        <w:tc>
          <w:tcPr>
            <w:tcW w:w="3430" w:type="dxa"/>
          </w:tcPr>
          <w:p w14:paraId="27844A9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т.к. подк. поплавки оказались недост.</w:t>
            </w:r>
          </w:p>
        </w:tc>
      </w:tr>
      <w:tr w:rsidR="001002C3" w:rsidRPr="005E779E" w14:paraId="4DB13ADD" w14:textId="77777777">
        <w:tc>
          <w:tcPr>
            <w:tcW w:w="1024" w:type="dxa"/>
          </w:tcPr>
          <w:p w14:paraId="4A6C604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w:t>
            </w:r>
          </w:p>
        </w:tc>
        <w:tc>
          <w:tcPr>
            <w:tcW w:w="1024" w:type="dxa"/>
          </w:tcPr>
          <w:p w14:paraId="3AB5D75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13C94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1D6F0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38347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счет</w:t>
            </w:r>
          </w:p>
        </w:tc>
        <w:tc>
          <w:tcPr>
            <w:tcW w:w="1024" w:type="dxa"/>
          </w:tcPr>
          <w:p w14:paraId="3E42389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81AD8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2EB087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объема. Решается вопрос о серийной</w:t>
            </w:r>
          </w:p>
        </w:tc>
      </w:tr>
      <w:tr w:rsidR="001002C3" w:rsidRPr="005E779E" w14:paraId="6577399A" w14:textId="77777777">
        <w:tc>
          <w:tcPr>
            <w:tcW w:w="1024" w:type="dxa"/>
          </w:tcPr>
          <w:p w14:paraId="232C048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B5A8F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211A3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F6EF0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3C5A2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перегруз.</w:t>
            </w:r>
          </w:p>
        </w:tc>
        <w:tc>
          <w:tcPr>
            <w:tcW w:w="1024" w:type="dxa"/>
          </w:tcPr>
          <w:p w14:paraId="105B3AA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E5B9D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61818A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постройке. При принятии на вооружение</w:t>
            </w:r>
          </w:p>
        </w:tc>
      </w:tr>
      <w:tr w:rsidR="001002C3" w:rsidRPr="005E779E" w14:paraId="3344F987" w14:textId="77777777">
        <w:tc>
          <w:tcPr>
            <w:tcW w:w="1024" w:type="dxa"/>
          </w:tcPr>
          <w:p w14:paraId="29E9AED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E595E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B35A1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93E22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58864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4х250 или</w:t>
            </w:r>
          </w:p>
        </w:tc>
        <w:tc>
          <w:tcPr>
            <w:tcW w:w="1024" w:type="dxa"/>
          </w:tcPr>
          <w:p w14:paraId="742438E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A780A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0FE9FC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будет проведено снижение крыла для</w:t>
            </w:r>
          </w:p>
        </w:tc>
      </w:tr>
      <w:tr w:rsidR="001002C3" w:rsidRPr="005E779E" w14:paraId="44975A90" w14:textId="77777777">
        <w:tc>
          <w:tcPr>
            <w:tcW w:w="1024" w:type="dxa"/>
          </w:tcPr>
          <w:p w14:paraId="78256E2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FFE4A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F29DC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9B91F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3C87A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2х250 и</w:t>
            </w:r>
          </w:p>
        </w:tc>
        <w:tc>
          <w:tcPr>
            <w:tcW w:w="1024" w:type="dxa"/>
          </w:tcPr>
          <w:p w14:paraId="1F2DDFE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F4460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F2FB74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улучшения обзора пилота при полетах</w:t>
            </w:r>
          </w:p>
        </w:tc>
      </w:tr>
      <w:tr w:rsidR="001002C3" w:rsidRPr="005E779E" w14:paraId="06E75FA9" w14:textId="77777777">
        <w:tc>
          <w:tcPr>
            <w:tcW w:w="1024" w:type="dxa"/>
          </w:tcPr>
          <w:p w14:paraId="7D7A277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49FD2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821FC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0A083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EAB1D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4х100</w:t>
            </w:r>
          </w:p>
        </w:tc>
        <w:tc>
          <w:tcPr>
            <w:tcW w:w="1024" w:type="dxa"/>
          </w:tcPr>
          <w:p w14:paraId="2FB5B9A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A13F1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9FF6C3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строю. Изгот. новые подкр. поплавки.</w:t>
            </w:r>
          </w:p>
        </w:tc>
      </w:tr>
      <w:tr w:rsidR="001002C3" w:rsidRPr="005E779E" w14:paraId="5C5263B3" w14:textId="77777777">
        <w:tc>
          <w:tcPr>
            <w:tcW w:w="1024" w:type="dxa"/>
          </w:tcPr>
          <w:p w14:paraId="754D9C8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7AC17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5D6ED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71075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327B8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B9C05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15785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9B6FE9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Кудрявцев.</w:t>
            </w:r>
          </w:p>
        </w:tc>
      </w:tr>
      <w:tr w:rsidR="001002C3" w:rsidRPr="005E779E" w14:paraId="4223B2BF" w14:textId="77777777">
        <w:tc>
          <w:tcPr>
            <w:tcW w:w="1024" w:type="dxa"/>
          </w:tcPr>
          <w:p w14:paraId="5FC7B50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МУ3-М11</w:t>
            </w:r>
          </w:p>
        </w:tc>
        <w:tc>
          <w:tcPr>
            <w:tcW w:w="1024" w:type="dxa"/>
          </w:tcPr>
          <w:p w14:paraId="0B788FB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120/130/</w:t>
            </w:r>
          </w:p>
        </w:tc>
        <w:tc>
          <w:tcPr>
            <w:tcW w:w="1024" w:type="dxa"/>
          </w:tcPr>
          <w:p w14:paraId="2B2DD52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20/3000</w:t>
            </w:r>
          </w:p>
        </w:tc>
        <w:tc>
          <w:tcPr>
            <w:tcW w:w="1024" w:type="dxa"/>
          </w:tcPr>
          <w:p w14:paraId="18569D5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3500</w:t>
            </w:r>
          </w:p>
        </w:tc>
        <w:tc>
          <w:tcPr>
            <w:tcW w:w="1024" w:type="dxa"/>
          </w:tcPr>
          <w:p w14:paraId="4DE0107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E38B1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продол.</w:t>
            </w:r>
          </w:p>
        </w:tc>
        <w:tc>
          <w:tcPr>
            <w:tcW w:w="1024" w:type="dxa"/>
          </w:tcPr>
          <w:p w14:paraId="5F5C4C4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мая</w:t>
            </w:r>
          </w:p>
        </w:tc>
        <w:tc>
          <w:tcPr>
            <w:tcW w:w="3430" w:type="dxa"/>
          </w:tcPr>
          <w:p w14:paraId="72E7D00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Заканчивается постройкой на 23 - к 15</w:t>
            </w:r>
          </w:p>
        </w:tc>
      </w:tr>
      <w:tr w:rsidR="001002C3" w:rsidRPr="005E779E" w14:paraId="0D4F558B" w14:textId="77777777">
        <w:tc>
          <w:tcPr>
            <w:tcW w:w="1024" w:type="dxa"/>
          </w:tcPr>
          <w:p w14:paraId="6E8D10F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w:t>
            </w:r>
          </w:p>
        </w:tc>
        <w:tc>
          <w:tcPr>
            <w:tcW w:w="1024" w:type="dxa"/>
          </w:tcPr>
          <w:p w14:paraId="34CFD94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w:t>
            </w:r>
          </w:p>
        </w:tc>
        <w:tc>
          <w:tcPr>
            <w:tcW w:w="1024" w:type="dxa"/>
          </w:tcPr>
          <w:p w14:paraId="24D01A3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8B89F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39F4C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7104F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час.</w:t>
            </w:r>
          </w:p>
        </w:tc>
        <w:tc>
          <w:tcPr>
            <w:tcW w:w="1024" w:type="dxa"/>
          </w:tcPr>
          <w:p w14:paraId="66D721F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 г.</w:t>
            </w:r>
          </w:p>
        </w:tc>
        <w:tc>
          <w:tcPr>
            <w:tcW w:w="3430" w:type="dxa"/>
          </w:tcPr>
          <w:p w14:paraId="663EABB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июля. В срок не смогли из-за прорывов</w:t>
            </w:r>
          </w:p>
        </w:tc>
      </w:tr>
      <w:tr w:rsidR="001002C3" w:rsidRPr="005E779E" w14:paraId="5A31E762" w14:textId="77777777">
        <w:tc>
          <w:tcPr>
            <w:tcW w:w="1024" w:type="dxa"/>
          </w:tcPr>
          <w:p w14:paraId="37916DD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А1-М11</w:t>
            </w:r>
          </w:p>
        </w:tc>
        <w:tc>
          <w:tcPr>
            <w:tcW w:w="1024" w:type="dxa"/>
          </w:tcPr>
          <w:p w14:paraId="612FC1B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146/137/</w:t>
            </w:r>
          </w:p>
        </w:tc>
        <w:tc>
          <w:tcPr>
            <w:tcW w:w="1024" w:type="dxa"/>
          </w:tcPr>
          <w:p w14:paraId="0027B04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33/50,5/</w:t>
            </w:r>
          </w:p>
        </w:tc>
        <w:tc>
          <w:tcPr>
            <w:tcW w:w="1024" w:type="dxa"/>
          </w:tcPr>
          <w:p w14:paraId="0DA22DA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3680/</w:t>
            </w:r>
          </w:p>
        </w:tc>
        <w:tc>
          <w:tcPr>
            <w:tcW w:w="1024" w:type="dxa"/>
          </w:tcPr>
          <w:p w14:paraId="21BDDFF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Нет</w:t>
            </w:r>
          </w:p>
        </w:tc>
        <w:tc>
          <w:tcPr>
            <w:tcW w:w="1024" w:type="dxa"/>
          </w:tcPr>
          <w:p w14:paraId="0C460AD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продол.</w:t>
            </w:r>
          </w:p>
        </w:tc>
        <w:tc>
          <w:tcPr>
            <w:tcW w:w="1024" w:type="dxa"/>
          </w:tcPr>
          <w:p w14:paraId="761991D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DFC115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Построен и испытан в НИИ ВО ГВФ. Обр.</w:t>
            </w:r>
          </w:p>
        </w:tc>
      </w:tr>
      <w:tr w:rsidR="001002C3" w:rsidRPr="005E779E" w14:paraId="1C3857D2" w14:textId="77777777">
        <w:tc>
          <w:tcPr>
            <w:tcW w:w="1024" w:type="dxa"/>
          </w:tcPr>
          <w:p w14:paraId="47867DF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w:t>
            </w:r>
          </w:p>
        </w:tc>
        <w:tc>
          <w:tcPr>
            <w:tcW w:w="1024" w:type="dxa"/>
          </w:tcPr>
          <w:p w14:paraId="0D9AF44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w:t>
            </w:r>
          </w:p>
        </w:tc>
        <w:tc>
          <w:tcPr>
            <w:tcW w:w="1024" w:type="dxa"/>
          </w:tcPr>
          <w:p w14:paraId="0C9AEEB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2EC4938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3350</w:t>
            </w:r>
          </w:p>
        </w:tc>
        <w:tc>
          <w:tcPr>
            <w:tcW w:w="1024" w:type="dxa"/>
          </w:tcPr>
          <w:p w14:paraId="465DADD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E1EEB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час.</w:t>
            </w:r>
          </w:p>
        </w:tc>
        <w:tc>
          <w:tcPr>
            <w:tcW w:w="1024" w:type="dxa"/>
          </w:tcPr>
          <w:p w14:paraId="00908AE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42D62E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испытаний еще не закончена. По предвар.</w:t>
            </w:r>
          </w:p>
        </w:tc>
      </w:tr>
      <w:tr w:rsidR="001002C3" w:rsidRPr="005E779E" w14:paraId="0E2D57FB" w14:textId="77777777">
        <w:tc>
          <w:tcPr>
            <w:tcW w:w="1024" w:type="dxa"/>
          </w:tcPr>
          <w:p w14:paraId="388DC3B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99442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D95B3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8E651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C9F29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6C314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ABEB0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E6545A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данным результаты - удовлетворительные</w:t>
            </w:r>
          </w:p>
        </w:tc>
      </w:tr>
      <w:tr w:rsidR="001002C3" w:rsidRPr="005E779E" w14:paraId="431265DA" w14:textId="77777777">
        <w:tc>
          <w:tcPr>
            <w:tcW w:w="1024" w:type="dxa"/>
          </w:tcPr>
          <w:p w14:paraId="7C95030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МТБ1-2БМВVI</w:t>
            </w:r>
          </w:p>
        </w:tc>
        <w:tc>
          <w:tcPr>
            <w:tcW w:w="1024" w:type="dxa"/>
          </w:tcPr>
          <w:p w14:paraId="7BA25BB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170/180/</w:t>
            </w:r>
          </w:p>
        </w:tc>
        <w:tc>
          <w:tcPr>
            <w:tcW w:w="1024" w:type="dxa"/>
          </w:tcPr>
          <w:p w14:paraId="1EA5679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20"-30"/</w:t>
            </w:r>
          </w:p>
        </w:tc>
        <w:tc>
          <w:tcPr>
            <w:tcW w:w="1024" w:type="dxa"/>
          </w:tcPr>
          <w:p w14:paraId="4A845CF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3500</w:t>
            </w:r>
          </w:p>
        </w:tc>
        <w:tc>
          <w:tcPr>
            <w:tcW w:w="1024" w:type="dxa"/>
          </w:tcPr>
          <w:p w14:paraId="52EFE17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пулем.</w:t>
            </w:r>
          </w:p>
        </w:tc>
        <w:tc>
          <w:tcPr>
            <w:tcW w:w="1024" w:type="dxa"/>
          </w:tcPr>
          <w:p w14:paraId="57A8D19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продол.</w:t>
            </w:r>
          </w:p>
        </w:tc>
        <w:tc>
          <w:tcPr>
            <w:tcW w:w="1024" w:type="dxa"/>
          </w:tcPr>
          <w:p w14:paraId="027C8AE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нояб.</w:t>
            </w:r>
          </w:p>
        </w:tc>
        <w:tc>
          <w:tcPr>
            <w:tcW w:w="3430" w:type="dxa"/>
          </w:tcPr>
          <w:p w14:paraId="7EE8C67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с 1 января по наст. вр. находится</w:t>
            </w:r>
          </w:p>
        </w:tc>
      </w:tr>
      <w:tr w:rsidR="001002C3" w:rsidRPr="005E779E" w14:paraId="20E1B506" w14:textId="77777777">
        <w:tc>
          <w:tcPr>
            <w:tcW w:w="1024" w:type="dxa"/>
          </w:tcPr>
          <w:p w14:paraId="33DA239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w:t>
            </w:r>
          </w:p>
        </w:tc>
        <w:tc>
          <w:tcPr>
            <w:tcW w:w="1024" w:type="dxa"/>
          </w:tcPr>
          <w:p w14:paraId="5294A8C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w:t>
            </w:r>
          </w:p>
        </w:tc>
        <w:tc>
          <w:tcPr>
            <w:tcW w:w="1024" w:type="dxa"/>
          </w:tcPr>
          <w:p w14:paraId="2C1ADDD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1DBD3FE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4000</w:t>
            </w:r>
          </w:p>
        </w:tc>
        <w:tc>
          <w:tcPr>
            <w:tcW w:w="1024" w:type="dxa"/>
          </w:tcPr>
          <w:p w14:paraId="0049164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торпед.</w:t>
            </w:r>
          </w:p>
        </w:tc>
        <w:tc>
          <w:tcPr>
            <w:tcW w:w="1024" w:type="dxa"/>
          </w:tcPr>
          <w:p w14:paraId="0EE84C5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полета</w:t>
            </w:r>
          </w:p>
        </w:tc>
        <w:tc>
          <w:tcPr>
            <w:tcW w:w="1024" w:type="dxa"/>
          </w:tcPr>
          <w:p w14:paraId="00C5F92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1930 г.</w:t>
            </w:r>
          </w:p>
        </w:tc>
        <w:tc>
          <w:tcPr>
            <w:tcW w:w="3430" w:type="dxa"/>
          </w:tcPr>
          <w:p w14:paraId="45F3466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заводских испытаниях и доводках. В</w:t>
            </w:r>
          </w:p>
        </w:tc>
      </w:tr>
      <w:tr w:rsidR="001002C3" w:rsidRPr="005E779E" w14:paraId="3C599877" w14:textId="77777777">
        <w:tc>
          <w:tcPr>
            <w:tcW w:w="1024" w:type="dxa"/>
          </w:tcPr>
          <w:p w14:paraId="0DEA6E2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900F1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9F4E5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8DB5A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7F85A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37A01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час.</w:t>
            </w:r>
          </w:p>
        </w:tc>
        <w:tc>
          <w:tcPr>
            <w:tcW w:w="1024" w:type="dxa"/>
          </w:tcPr>
          <w:p w14:paraId="6F05DB1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EB2CC6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последний месяц начаты работы по усилен.</w:t>
            </w:r>
          </w:p>
        </w:tc>
      </w:tr>
      <w:tr w:rsidR="001002C3" w:rsidRPr="005E779E" w14:paraId="71949A74" w14:textId="77777777">
        <w:tc>
          <w:tcPr>
            <w:tcW w:w="1024" w:type="dxa"/>
          </w:tcPr>
          <w:p w14:paraId="543AD46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F3AF6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9D453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75CC7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31B79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5CE4D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C3BC6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C20CE3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поплавков и шасси. Во время испытаний на</w:t>
            </w:r>
          </w:p>
        </w:tc>
      </w:tr>
      <w:tr w:rsidR="001002C3" w:rsidRPr="005E779E" w14:paraId="1B788591" w14:textId="77777777">
        <w:tc>
          <w:tcPr>
            <w:tcW w:w="1024" w:type="dxa"/>
          </w:tcPr>
          <w:p w14:paraId="6CF638F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F554F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CA83B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2AFAF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EA8B2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E9449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F829A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B6276E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гор. скорость лопнул шатун и повредил</w:t>
            </w:r>
          </w:p>
        </w:tc>
      </w:tr>
      <w:tr w:rsidR="001002C3" w:rsidRPr="005E779E" w14:paraId="2AEE52C9" w14:textId="77777777">
        <w:tc>
          <w:tcPr>
            <w:tcW w:w="1024" w:type="dxa"/>
          </w:tcPr>
          <w:p w14:paraId="79A8BE1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91CEA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B1A30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C80C8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95476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DFE76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BDE0E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F696FA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мотораму. ВАО предполаг. закончить к 1</w:t>
            </w:r>
          </w:p>
        </w:tc>
      </w:tr>
      <w:tr w:rsidR="001002C3" w:rsidRPr="005E779E" w14:paraId="5510D93E" w14:textId="77777777">
        <w:tc>
          <w:tcPr>
            <w:tcW w:w="1024" w:type="dxa"/>
          </w:tcPr>
          <w:p w14:paraId="13EAA41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A4D8C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1BF68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CE268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AA23B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29600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54BA2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975BE4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августа, провести контр. полеты и перед.</w:t>
            </w:r>
          </w:p>
        </w:tc>
      </w:tr>
      <w:tr w:rsidR="001002C3" w:rsidRPr="005E779E" w14:paraId="3A0A89C1" w14:textId="77777777">
        <w:tc>
          <w:tcPr>
            <w:tcW w:w="1024" w:type="dxa"/>
          </w:tcPr>
          <w:p w14:paraId="026B159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28E5B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00F0A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1DF5D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6DF10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C4A04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451AF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028031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НИИ ВВС. Причины задержек: недостат.</w:t>
            </w:r>
          </w:p>
        </w:tc>
      </w:tr>
      <w:tr w:rsidR="001002C3" w:rsidRPr="005E779E" w14:paraId="15998874" w14:textId="77777777">
        <w:tc>
          <w:tcPr>
            <w:tcW w:w="1024" w:type="dxa"/>
          </w:tcPr>
          <w:p w14:paraId="41537E2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1AFA6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060F2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7FFFB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810FC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4817E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C97FA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8335D9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руководство со стороны УОС ВАО работой</w:t>
            </w:r>
          </w:p>
        </w:tc>
      </w:tr>
      <w:tr w:rsidR="001002C3" w:rsidRPr="005E779E" w14:paraId="182C0A8B" w14:textId="77777777">
        <w:tc>
          <w:tcPr>
            <w:tcW w:w="1024" w:type="dxa"/>
          </w:tcPr>
          <w:p w14:paraId="3E14788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6070D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D6B35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ABD1E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A0399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CE82A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76A22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1384E9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инженеров в Севастополе</w:t>
            </w:r>
          </w:p>
        </w:tc>
      </w:tr>
      <w:tr w:rsidR="001002C3" w:rsidRPr="005E779E" w14:paraId="4FEDF0B6" w14:textId="77777777">
        <w:tc>
          <w:tcPr>
            <w:tcW w:w="1024" w:type="dxa"/>
          </w:tcPr>
          <w:p w14:paraId="6C9D2A9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МБР2-БМВVI</w:t>
            </w:r>
          </w:p>
        </w:tc>
        <w:tc>
          <w:tcPr>
            <w:tcW w:w="1024" w:type="dxa"/>
          </w:tcPr>
          <w:p w14:paraId="6477061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w:t>
            </w:r>
          </w:p>
        </w:tc>
        <w:tc>
          <w:tcPr>
            <w:tcW w:w="1024" w:type="dxa"/>
          </w:tcPr>
          <w:p w14:paraId="4531A5A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15"-50"/</w:t>
            </w:r>
          </w:p>
        </w:tc>
        <w:tc>
          <w:tcPr>
            <w:tcW w:w="1024" w:type="dxa"/>
          </w:tcPr>
          <w:p w14:paraId="1CACD6D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024" w:type="dxa"/>
          </w:tcPr>
          <w:p w14:paraId="2DBA50B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пулем.</w:t>
            </w:r>
          </w:p>
        </w:tc>
        <w:tc>
          <w:tcPr>
            <w:tcW w:w="1024" w:type="dxa"/>
          </w:tcPr>
          <w:p w14:paraId="5FB7642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350</w:t>
            </w:r>
          </w:p>
        </w:tc>
        <w:tc>
          <w:tcPr>
            <w:tcW w:w="1024" w:type="dxa"/>
          </w:tcPr>
          <w:p w14:paraId="198B218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июля</w:t>
            </w:r>
          </w:p>
        </w:tc>
        <w:tc>
          <w:tcPr>
            <w:tcW w:w="3430" w:type="dxa"/>
          </w:tcPr>
          <w:p w14:paraId="0992630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находится в производстве завода</w:t>
            </w:r>
          </w:p>
        </w:tc>
      </w:tr>
      <w:tr w:rsidR="001002C3" w:rsidRPr="005E779E" w14:paraId="366AB33F" w14:textId="77777777">
        <w:tc>
          <w:tcPr>
            <w:tcW w:w="1024" w:type="dxa"/>
          </w:tcPr>
          <w:p w14:paraId="763868E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ЦКБ</w:t>
            </w:r>
          </w:p>
        </w:tc>
        <w:tc>
          <w:tcPr>
            <w:tcW w:w="1024" w:type="dxa"/>
          </w:tcPr>
          <w:p w14:paraId="6D1D709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1D75F2E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50F466D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1A985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бомбы за</w:t>
            </w:r>
          </w:p>
        </w:tc>
        <w:tc>
          <w:tcPr>
            <w:tcW w:w="1024" w:type="dxa"/>
          </w:tcPr>
          <w:p w14:paraId="5653A8C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7E022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 г.</w:t>
            </w:r>
          </w:p>
        </w:tc>
        <w:tc>
          <w:tcPr>
            <w:tcW w:w="3430" w:type="dxa"/>
          </w:tcPr>
          <w:p w14:paraId="1726612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N 25. Собирается на стапеле лодка, заг.</w:t>
            </w:r>
          </w:p>
        </w:tc>
      </w:tr>
      <w:tr w:rsidR="001002C3" w:rsidRPr="005E779E" w14:paraId="0540A85D" w14:textId="77777777">
        <w:tc>
          <w:tcPr>
            <w:tcW w:w="1024" w:type="dxa"/>
          </w:tcPr>
          <w:p w14:paraId="366B3EB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50FF1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56F9A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B590B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7E2DF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счет</w:t>
            </w:r>
          </w:p>
        </w:tc>
        <w:tc>
          <w:tcPr>
            <w:tcW w:w="1024" w:type="dxa"/>
          </w:tcPr>
          <w:p w14:paraId="7FB693B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4D4FF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30155A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лонжероны. Предполаг. окончание и сдача к</w:t>
            </w:r>
          </w:p>
        </w:tc>
      </w:tr>
      <w:tr w:rsidR="001002C3" w:rsidRPr="005E779E" w14:paraId="10D73619" w14:textId="77777777">
        <w:tc>
          <w:tcPr>
            <w:tcW w:w="1024" w:type="dxa"/>
          </w:tcPr>
          <w:p w14:paraId="1C87BB7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2EDF1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30D3D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3C97B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94CD1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перегр.</w:t>
            </w:r>
          </w:p>
        </w:tc>
        <w:tc>
          <w:tcPr>
            <w:tcW w:w="1024" w:type="dxa"/>
          </w:tcPr>
          <w:p w14:paraId="698D29E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8D330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EEB382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сентября 1931</w:t>
            </w:r>
          </w:p>
        </w:tc>
      </w:tr>
      <w:tr w:rsidR="001002C3" w:rsidRPr="005E779E" w14:paraId="5BCE53AB" w14:textId="77777777">
        <w:tc>
          <w:tcPr>
            <w:tcW w:w="1024" w:type="dxa"/>
          </w:tcPr>
          <w:p w14:paraId="2B431A7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МБР3-2М22</w:t>
            </w:r>
          </w:p>
        </w:tc>
        <w:tc>
          <w:tcPr>
            <w:tcW w:w="1024" w:type="dxa"/>
          </w:tcPr>
          <w:p w14:paraId="485A7E8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B5B9B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A2A12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0D692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87CD0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D1EA9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Эскизный проект - закончен. К 10 июля д.</w:t>
            </w:r>
          </w:p>
        </w:tc>
        <w:tc>
          <w:tcPr>
            <w:tcW w:w="3430" w:type="dxa"/>
          </w:tcPr>
          <w:p w14:paraId="7B21D3F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B756ECC" w14:textId="77777777">
        <w:tc>
          <w:tcPr>
            <w:tcW w:w="1024" w:type="dxa"/>
          </w:tcPr>
          <w:p w14:paraId="156CC15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w:t>
            </w:r>
          </w:p>
        </w:tc>
        <w:tc>
          <w:tcPr>
            <w:tcW w:w="1024" w:type="dxa"/>
          </w:tcPr>
          <w:p w14:paraId="0841972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513CC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95E80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F220F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E6885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08E2FE"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CF91A5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предъявлен в НИИ на заключение. Строит</w:t>
            </w:r>
          </w:p>
        </w:tc>
      </w:tr>
      <w:tr w:rsidR="001002C3" w:rsidRPr="005E779E" w14:paraId="26BE7ECD" w14:textId="77777777">
        <w:tc>
          <w:tcPr>
            <w:tcW w:w="1024" w:type="dxa"/>
          </w:tcPr>
          <w:p w14:paraId="1328827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2200E6"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89401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6C5F3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8E798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D83B9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7378CF"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5EE6C54"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макет. Перерабатывается конструкция. Ок.</w:t>
            </w:r>
          </w:p>
        </w:tc>
      </w:tr>
      <w:tr w:rsidR="001002C3" w:rsidRPr="005E779E" w14:paraId="46735103" w14:textId="77777777">
        <w:tc>
          <w:tcPr>
            <w:tcW w:w="1024" w:type="dxa"/>
          </w:tcPr>
          <w:p w14:paraId="75133F5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МУ2-М11</w:t>
            </w:r>
          </w:p>
        </w:tc>
        <w:tc>
          <w:tcPr>
            <w:tcW w:w="1024" w:type="dxa"/>
          </w:tcPr>
          <w:p w14:paraId="7E7291C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50362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3B019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B8BBE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0D295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F6DC4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06D26B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пр-ва намечено на февраль 1932</w:t>
            </w:r>
          </w:p>
        </w:tc>
      </w:tr>
      <w:tr w:rsidR="001002C3" w:rsidRPr="005E779E" w14:paraId="3CDAE9DF" w14:textId="77777777">
        <w:tc>
          <w:tcPr>
            <w:tcW w:w="1024" w:type="dxa"/>
          </w:tcPr>
          <w:p w14:paraId="50F7B6B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2916B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587572"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9E548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1DAF2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D4A15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3F49D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A00D43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Заканчиваются испытания в Севастополе со</w:t>
            </w:r>
          </w:p>
        </w:tc>
      </w:tr>
      <w:tr w:rsidR="001002C3" w:rsidRPr="005E779E" w14:paraId="69C71D97" w14:textId="77777777">
        <w:tc>
          <w:tcPr>
            <w:tcW w:w="1024" w:type="dxa"/>
          </w:tcPr>
          <w:p w14:paraId="354AF55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B1EE15"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07645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A00BE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F4A72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BC888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CDD62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A9DFB8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вторым вариантом поплавка, после чего б.</w:t>
            </w:r>
          </w:p>
        </w:tc>
      </w:tr>
      <w:tr w:rsidR="001002C3" w:rsidRPr="005E779E" w14:paraId="7F97C5FF" w14:textId="77777777">
        <w:tc>
          <w:tcPr>
            <w:tcW w:w="1024" w:type="dxa"/>
          </w:tcPr>
          <w:p w14:paraId="16C728D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77553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0C0767"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84C2B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2F17EA"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B52448"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3DA17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2674A3C"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направлен для экспл. испытаний в школу</w:t>
            </w:r>
          </w:p>
        </w:tc>
      </w:tr>
      <w:tr w:rsidR="007122AB" w:rsidRPr="005E779E" w14:paraId="737CF8C8" w14:textId="77777777">
        <w:tc>
          <w:tcPr>
            <w:tcW w:w="1024" w:type="dxa"/>
          </w:tcPr>
          <w:p w14:paraId="7C93BE8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01E4E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B6C530"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B78B6B"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6C5E91"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749A39"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4D435D"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F1E2BA3" w14:textId="77777777" w:rsidR="005C4849" w:rsidRPr="005E779E" w:rsidRDefault="005C4849" w:rsidP="000B7A6C">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морских летчиков в г. Ейск. (3029,205)</w:t>
            </w:r>
          </w:p>
        </w:tc>
      </w:tr>
    </w:tbl>
    <w:p w14:paraId="1C611881"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B358FF3" w14:textId="77777777" w:rsidR="002C0192" w:rsidRPr="005E779E" w:rsidRDefault="002C0192" w:rsidP="000B7A6C">
      <w:pPr>
        <w:spacing w:after="0" w:line="240" w:lineRule="auto"/>
        <w:jc w:val="both"/>
        <w:rPr>
          <w:rFonts w:ascii="Times New Roman" w:hAnsi="Times New Roman"/>
          <w:color w:val="000000" w:themeColor="text1"/>
          <w:sz w:val="16"/>
          <w:szCs w:val="16"/>
          <w:lang w:eastAsia="ru-RU" w:bidi="ru-RU"/>
        </w:rPr>
      </w:pPr>
      <w:r w:rsidRPr="005E779E">
        <w:rPr>
          <w:rFonts w:ascii="Times New Roman" w:hAnsi="Times New Roman"/>
          <w:color w:val="000000" w:themeColor="text1"/>
          <w:sz w:val="16"/>
          <w:szCs w:val="16"/>
          <w:lang w:eastAsia="ru-RU" w:bidi="ru-RU"/>
        </w:rPr>
        <w:t>К на</w:t>
      </w:r>
      <w:r w:rsidRPr="005E779E">
        <w:rPr>
          <w:rFonts w:ascii="Times New Roman" w:hAnsi="Times New Roman"/>
          <w:color w:val="000000" w:themeColor="text1"/>
          <w:sz w:val="16"/>
          <w:szCs w:val="16"/>
          <w:lang w:eastAsia="ru-RU" w:bidi="ru-RU"/>
        </w:rPr>
        <w:softHyphen/>
        <w:t>чалу июля 1931 удалось закончить первый экземпляр ТШ-2 под установку мотора М-27, что позволило запланировать начало государственных испытаний на первую половину августа. Однако не слу</w:t>
      </w:r>
      <w:r w:rsidRPr="005E779E">
        <w:rPr>
          <w:rFonts w:ascii="Times New Roman" w:hAnsi="Times New Roman"/>
          <w:color w:val="000000" w:themeColor="text1"/>
          <w:sz w:val="16"/>
          <w:szCs w:val="16"/>
          <w:lang w:eastAsia="ru-RU" w:bidi="ru-RU"/>
        </w:rPr>
        <w:softHyphen/>
        <w:t>чилось. Завод №24 не поставил кондици</w:t>
      </w:r>
      <w:r w:rsidRPr="005E779E">
        <w:rPr>
          <w:rFonts w:ascii="Times New Roman" w:hAnsi="Times New Roman"/>
          <w:color w:val="000000" w:themeColor="text1"/>
          <w:sz w:val="16"/>
          <w:szCs w:val="16"/>
          <w:lang w:eastAsia="ru-RU" w:bidi="ru-RU"/>
        </w:rPr>
        <w:softHyphen/>
        <w:t>онный мотор М-27. Позже по этой же при</w:t>
      </w:r>
      <w:r w:rsidRPr="005E779E">
        <w:rPr>
          <w:rFonts w:ascii="Times New Roman" w:hAnsi="Times New Roman"/>
          <w:color w:val="000000" w:themeColor="text1"/>
          <w:sz w:val="16"/>
          <w:szCs w:val="16"/>
          <w:lang w:eastAsia="ru-RU" w:bidi="ru-RU"/>
        </w:rPr>
        <w:softHyphen/>
        <w:t>чине срок еще раз перенесли, теперь уже на 10 октября. Но и он не был выдержан (21062).</w:t>
      </w:r>
    </w:p>
    <w:p w14:paraId="30E0341F" w14:textId="77777777" w:rsidR="002C0192" w:rsidRPr="005E779E" w:rsidRDefault="002C0192" w:rsidP="000B7A6C">
      <w:pPr>
        <w:spacing w:after="0" w:line="240" w:lineRule="auto"/>
        <w:jc w:val="both"/>
        <w:rPr>
          <w:rFonts w:ascii="Times New Roman" w:hAnsi="Times New Roman"/>
          <w:color w:val="000000" w:themeColor="text1"/>
          <w:sz w:val="16"/>
          <w:szCs w:val="16"/>
        </w:rPr>
      </w:pPr>
    </w:p>
    <w:p w14:paraId="53F5CC7A"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17B24654"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D40CE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июля 1931 танк ТГ после установки М-6 был готов к испытаниям (4402). Танк продемонстрировали представителям НКВМД и сняли на кинопленку для показа Правительству (4658, 22).</w:t>
      </w:r>
    </w:p>
    <w:p w14:paraId="2A3DB6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C81A08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началу июля 1931 танк Гротте был более или менее готов к испытаниям (10733,248).</w:t>
      </w:r>
    </w:p>
    <w:p w14:paraId="33F7406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6E19C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первых числах июля 1931 танк ТГ вновь был продемонстри</w:t>
      </w:r>
      <w:r w:rsidRPr="005E779E">
        <w:rPr>
          <w:rFonts w:ascii="Times New Roman" w:hAnsi="Times New Roman"/>
          <w:color w:val="000000" w:themeColor="text1"/>
          <w:sz w:val="16"/>
          <w:szCs w:val="16"/>
        </w:rPr>
        <w:softHyphen/>
        <w:t>рован представителям комиссариата по военным и мор</w:t>
      </w:r>
      <w:r w:rsidRPr="005E779E">
        <w:rPr>
          <w:rFonts w:ascii="Times New Roman" w:hAnsi="Times New Roman"/>
          <w:color w:val="000000" w:themeColor="text1"/>
          <w:sz w:val="16"/>
          <w:szCs w:val="16"/>
        </w:rPr>
        <w:softHyphen/>
        <w:t>ским делам. Тогда же он был снят на кинопленку для по</w:t>
      </w:r>
      <w:r w:rsidRPr="005E779E">
        <w:rPr>
          <w:rFonts w:ascii="Times New Roman" w:hAnsi="Times New Roman"/>
          <w:color w:val="000000" w:themeColor="text1"/>
          <w:sz w:val="16"/>
          <w:szCs w:val="16"/>
        </w:rPr>
        <w:softHyphen/>
        <w:t>каза членам правительства. Танк отличался от других оте</w:t>
      </w:r>
      <w:r w:rsidRPr="005E779E">
        <w:rPr>
          <w:rFonts w:ascii="Times New Roman" w:hAnsi="Times New Roman"/>
          <w:color w:val="000000" w:themeColor="text1"/>
          <w:sz w:val="16"/>
          <w:szCs w:val="16"/>
        </w:rPr>
        <w:softHyphen/>
        <w:t>чественных и зарубежных образцов того времени не толь</w:t>
      </w:r>
      <w:r w:rsidRPr="005E779E">
        <w:rPr>
          <w:rFonts w:ascii="Times New Roman" w:hAnsi="Times New Roman"/>
          <w:color w:val="000000" w:themeColor="text1"/>
          <w:sz w:val="16"/>
          <w:szCs w:val="16"/>
        </w:rPr>
        <w:softHyphen/>
        <w:t>ко общим видом, но также технологией изготовления и компоновкой. Прежде всего машина имела полностью сварной кор</w:t>
      </w:r>
      <w:r w:rsidRPr="005E779E">
        <w:rPr>
          <w:rFonts w:ascii="Times New Roman" w:hAnsi="Times New Roman"/>
          <w:color w:val="000000" w:themeColor="text1"/>
          <w:sz w:val="16"/>
          <w:szCs w:val="16"/>
        </w:rPr>
        <w:softHyphen/>
        <w:t>пус, что являлось несомненным новшеством. Вооружение танка было чрезвычайно мощным для своей массы. Оно состояло из 76-мм и 37-мм пушек, о которых уже было ска</w:t>
      </w:r>
      <w:r w:rsidRPr="005E779E">
        <w:rPr>
          <w:rFonts w:ascii="Times New Roman" w:hAnsi="Times New Roman"/>
          <w:color w:val="000000" w:themeColor="text1"/>
          <w:sz w:val="16"/>
          <w:szCs w:val="16"/>
        </w:rPr>
        <w:softHyphen/>
        <w:t>зано выше, а также 3 пулеметов «максим» в шаровых уста</w:t>
      </w:r>
      <w:r w:rsidRPr="005E779E">
        <w:rPr>
          <w:rFonts w:ascii="Times New Roman" w:hAnsi="Times New Roman"/>
          <w:color w:val="000000" w:themeColor="text1"/>
          <w:sz w:val="16"/>
          <w:szCs w:val="16"/>
        </w:rPr>
        <w:softHyphen/>
        <w:t>новках главной башни (ставшей рубкой) и двух пулеметов ДТ в бортах танкового корпуса. Вооружение размещалось в три яруса (командирская башня, главная башня и пулеме</w:t>
      </w:r>
      <w:r w:rsidRPr="005E779E">
        <w:rPr>
          <w:rFonts w:ascii="Times New Roman" w:hAnsi="Times New Roman"/>
          <w:color w:val="000000" w:themeColor="text1"/>
          <w:sz w:val="16"/>
          <w:szCs w:val="16"/>
        </w:rPr>
        <w:softHyphen/>
        <w:t>ты в бортах корпуса), что должно было способствовать наи</w:t>
      </w:r>
      <w:r w:rsidRPr="005E779E">
        <w:rPr>
          <w:rFonts w:ascii="Times New Roman" w:hAnsi="Times New Roman"/>
          <w:color w:val="000000" w:themeColor="text1"/>
          <w:sz w:val="16"/>
          <w:szCs w:val="16"/>
        </w:rPr>
        <w:softHyphen/>
        <w:t>более эффективному его использованию. Ходовая часть ТГ состояла из пяти катков большого диаметра, четырех поддерживающих катков среднего и двух - малого диаметра на каждый борт. Независимая подвеска танка на спиральных пружинах допускала верти</w:t>
      </w:r>
      <w:r w:rsidRPr="005E779E">
        <w:rPr>
          <w:rFonts w:ascii="Times New Roman" w:hAnsi="Times New Roman"/>
          <w:color w:val="000000" w:themeColor="text1"/>
          <w:sz w:val="16"/>
          <w:szCs w:val="16"/>
        </w:rPr>
        <w:softHyphen/>
        <w:t>кальное перемещение опорных катков на расстояние до 220 мм, вместе с полупневматическими шинами типа «Элластик» на опорных катках обеспечивали танку чрез</w:t>
      </w:r>
      <w:r w:rsidRPr="005E779E">
        <w:rPr>
          <w:rFonts w:ascii="Times New Roman" w:hAnsi="Times New Roman"/>
          <w:color w:val="000000" w:themeColor="text1"/>
          <w:sz w:val="16"/>
          <w:szCs w:val="16"/>
        </w:rPr>
        <w:softHyphen/>
        <w:t>вычайно мягкий и очень легкий ход - находясь в цеху без гусениц, он свободно перекатывался по ровной поверхности с места на место усилием 2—3 человек. Гусеница оригинальной конструкции, изготовленная из штампованных деталей, имела большое сопротивление на разрыв. В задней части корпуса был установлен открыто авиа-. ционный двигатель М-6 (возможно, осенью 1931 г. он был все-таки заменен на мотор Э. Гроте, так как на фотографи</w:t>
      </w:r>
      <w:r w:rsidRPr="005E779E">
        <w:rPr>
          <w:rFonts w:ascii="Times New Roman" w:hAnsi="Times New Roman"/>
          <w:color w:val="000000" w:themeColor="text1"/>
          <w:sz w:val="16"/>
          <w:szCs w:val="16"/>
        </w:rPr>
        <w:softHyphen/>
        <w:t>ях 1936-40 гг. танк изображен с закрытым моторным отде</w:t>
      </w:r>
      <w:r w:rsidRPr="005E779E">
        <w:rPr>
          <w:rFonts w:ascii="Times New Roman" w:hAnsi="Times New Roman"/>
          <w:color w:val="000000" w:themeColor="text1"/>
          <w:sz w:val="16"/>
          <w:szCs w:val="16"/>
        </w:rPr>
        <w:softHyphen/>
        <w:t>лением, и в то же время в дефектовочной ведомости указа</w:t>
      </w:r>
      <w:r w:rsidRPr="005E779E">
        <w:rPr>
          <w:rFonts w:ascii="Times New Roman" w:hAnsi="Times New Roman"/>
          <w:color w:val="000000" w:themeColor="text1"/>
          <w:sz w:val="16"/>
          <w:szCs w:val="16"/>
        </w:rPr>
        <w:softHyphen/>
        <w:t>но, что танк с мотором), а непосредственно вблизи его -6-ступенчатая КПП, состоявшая из 2 редукторов с шестер-;нями шевронного зацепления. Причем большой редуктор переключал 1, 2, 3 скорости, а малый - 4, 5 и 6. Такое рас</w:t>
      </w:r>
      <w:r w:rsidRPr="005E779E">
        <w:rPr>
          <w:rFonts w:ascii="Times New Roman" w:hAnsi="Times New Roman"/>
          <w:color w:val="000000" w:themeColor="text1"/>
          <w:sz w:val="16"/>
          <w:szCs w:val="16"/>
        </w:rPr>
        <w:softHyphen/>
        <w:t>пределение скоростей приводило к тому, что при переходе с 3-й передачи на 4-ю приходилось останавливать танк. Благодаря наличию специального механизма реверса ТГ мог двигаться вперед и назад с одинаковой скоростью, что считалось достоинством для быстрого выхода подбитого танка из боя. В одном блоке с КПП размещались кулачковые муфты, выполняющие роль бортовых фрикционов. Бортовые тормоза из-за недостаточных размеров силового отделения располагались внутри ведущих колес. Пневма</w:t>
      </w:r>
      <w:r w:rsidRPr="005E779E">
        <w:rPr>
          <w:rFonts w:ascii="Times New Roman" w:hAnsi="Times New Roman"/>
          <w:color w:val="000000" w:themeColor="text1"/>
          <w:sz w:val="16"/>
          <w:szCs w:val="16"/>
        </w:rPr>
        <w:softHyphen/>
        <w:t>тическая система привода управления бортовыми фрик</w:t>
      </w:r>
      <w:r w:rsidRPr="005E779E">
        <w:rPr>
          <w:rFonts w:ascii="Times New Roman" w:hAnsi="Times New Roman"/>
          <w:color w:val="000000" w:themeColor="text1"/>
          <w:sz w:val="16"/>
          <w:szCs w:val="16"/>
        </w:rPr>
        <w:softHyphen/>
        <w:t>ционами и тормозами была изготовлена по патенту Гроте. Экипаж танка состоял из 5 человек: командира танка (он же был наводчиком 37-мм орудия), водителя, пулемет</w:t>
      </w:r>
      <w:r w:rsidRPr="005E779E">
        <w:rPr>
          <w:rFonts w:ascii="Times New Roman" w:hAnsi="Times New Roman"/>
          <w:color w:val="000000" w:themeColor="text1"/>
          <w:sz w:val="16"/>
          <w:szCs w:val="16"/>
        </w:rPr>
        <w:softHyphen/>
        <w:t xml:space="preserve">чика, командира 76,2-мм орудия и заряжающего. Для наблюдения за полем боя во время </w:t>
      </w:r>
      <w:r w:rsidRPr="005E779E">
        <w:rPr>
          <w:rFonts w:ascii="Times New Roman" w:hAnsi="Times New Roman"/>
          <w:color w:val="000000" w:themeColor="text1"/>
          <w:sz w:val="16"/>
          <w:szCs w:val="16"/>
        </w:rPr>
        <w:lastRenderedPageBreak/>
        <w:t>движения меха</w:t>
      </w:r>
      <w:r w:rsidRPr="005E779E">
        <w:rPr>
          <w:rFonts w:ascii="Times New Roman" w:hAnsi="Times New Roman"/>
          <w:color w:val="000000" w:themeColor="text1"/>
          <w:sz w:val="16"/>
          <w:szCs w:val="16"/>
        </w:rPr>
        <w:softHyphen/>
        <w:t>ник-водитель имел 3 окна с цилиндрическими стробоско</w:t>
      </w:r>
      <w:r w:rsidRPr="005E779E">
        <w:rPr>
          <w:rFonts w:ascii="Times New Roman" w:hAnsi="Times New Roman"/>
          <w:color w:val="000000" w:themeColor="text1"/>
          <w:sz w:val="16"/>
          <w:szCs w:val="16"/>
        </w:rPr>
        <w:softHyphen/>
        <w:t>пами. Командир танка также имел стробоскоп, установ</w:t>
      </w:r>
      <w:r w:rsidRPr="005E779E">
        <w:rPr>
          <w:rFonts w:ascii="Times New Roman" w:hAnsi="Times New Roman"/>
          <w:color w:val="000000" w:themeColor="text1"/>
          <w:sz w:val="16"/>
          <w:szCs w:val="16"/>
        </w:rPr>
        <w:softHyphen/>
        <w:t>ленный на крыше малой башни и прошедший испытание на танке «Рикардо» (Мк. V). Стробоскопом лрикрывался также объектив орудийного прицела (10733,249).</w:t>
      </w:r>
    </w:p>
    <w:p w14:paraId="2DDF3B1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EA8E63"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2C654C2D"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52816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июля 1931 г. Президиум ЦИК СССР принял решение об амнистии группы осужденных, в том числе и Поликарпова. Что касается предъявленных ранее обвинений, то они остались, как многие годы оставался в силе приговор в отношении конструктора. Лишь спустя два с половиной десятка лет Верховный Суд СССР признал неправомерность обвинений в адрес Поликарпова и отменил решение Коллегии ГПУ (6593).</w:t>
      </w:r>
    </w:p>
    <w:p w14:paraId="2DF49A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BD129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июля 1931 г. Президиум ЦИК СССР принял решение об амнистии группы лиц, в том числе Поликарпова, продублированное 8 июля соответствующим постанов</w:t>
      </w:r>
      <w:r w:rsidRPr="005E779E">
        <w:rPr>
          <w:rFonts w:ascii="Times New Roman" w:hAnsi="Times New Roman"/>
          <w:color w:val="000000" w:themeColor="text1"/>
          <w:sz w:val="16"/>
          <w:szCs w:val="16"/>
        </w:rPr>
        <w:softHyphen/>
        <w:t>лением Коллегии ОГПУ. Однако до конца дней своих Н.Н.Поликарпов не был реабилитирован, оставаясь «прощенным преступни</w:t>
      </w:r>
      <w:r w:rsidRPr="005E779E">
        <w:rPr>
          <w:rFonts w:ascii="Times New Roman" w:hAnsi="Times New Roman"/>
          <w:color w:val="000000" w:themeColor="text1"/>
          <w:sz w:val="16"/>
          <w:szCs w:val="16"/>
        </w:rPr>
        <w:softHyphen/>
        <w:t>ком». И только после смерти конструктора, после полу</w:t>
      </w:r>
      <w:r w:rsidRPr="005E779E">
        <w:rPr>
          <w:rFonts w:ascii="Times New Roman" w:hAnsi="Times New Roman"/>
          <w:color w:val="000000" w:themeColor="text1"/>
          <w:sz w:val="16"/>
          <w:szCs w:val="16"/>
        </w:rPr>
        <w:softHyphen/>
        <w:t>чения характеристик и рекомендаций от С.В.Ильюшина и А.Н.Туполева, 1 сентября 1956 г. Военная коллегия Верховного Суда СССР отменила решение Коллегии ОГПУ от 18 марта 1931 г. и прекратила дело в отноше</w:t>
      </w:r>
      <w:r w:rsidRPr="005E779E">
        <w:rPr>
          <w:rFonts w:ascii="Times New Roman" w:hAnsi="Times New Roman"/>
          <w:color w:val="000000" w:themeColor="text1"/>
          <w:sz w:val="16"/>
          <w:szCs w:val="16"/>
        </w:rPr>
        <w:softHyphen/>
        <w:t>нии Н.Н.Поликарпова «за отсутствием состава преступ</w:t>
      </w:r>
      <w:r w:rsidRPr="005E779E">
        <w:rPr>
          <w:rFonts w:ascii="Times New Roman" w:hAnsi="Times New Roman"/>
          <w:color w:val="000000" w:themeColor="text1"/>
          <w:sz w:val="16"/>
          <w:szCs w:val="16"/>
        </w:rPr>
        <w:softHyphen/>
        <w:t>ления» (10667).</w:t>
      </w:r>
    </w:p>
    <w:p w14:paraId="423FB0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05913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июля 1931 Президиум ЦИК принял решение об амнистии группы лиц, в т.ч. Н.Н.П. и летчик Б.Л.Бухгольц отвез его на машине домой (228,83).</w:t>
      </w:r>
    </w:p>
    <w:p w14:paraId="145806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015308B" w14:textId="77777777" w:rsidR="00DE6D61" w:rsidRPr="005E779E" w:rsidRDefault="00DE6D6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июля 1931 г. Прези</w:t>
      </w:r>
      <w:r w:rsidRPr="005E779E">
        <w:rPr>
          <w:rFonts w:ascii="Times New Roman" w:hAnsi="Times New Roman"/>
          <w:color w:val="000000" w:themeColor="text1"/>
          <w:sz w:val="16"/>
          <w:szCs w:val="16"/>
        </w:rPr>
        <w:softHyphen/>
        <w:t>диум ЦИК СССР принял решение об амнистии группы лиц, в том числе Н.Н. Поликарпова, продубли</w:t>
      </w:r>
      <w:r w:rsidRPr="005E779E">
        <w:rPr>
          <w:rFonts w:ascii="Times New Roman" w:hAnsi="Times New Roman"/>
          <w:color w:val="000000" w:themeColor="text1"/>
          <w:sz w:val="16"/>
          <w:szCs w:val="16"/>
        </w:rPr>
        <w:softHyphen/>
        <w:t>рованное 8 июля соответствующим постановлением Коллегии ОГПУ.</w:t>
      </w:r>
    </w:p>
    <w:p w14:paraId="37F41292" w14:textId="77777777" w:rsidR="00DE6D61" w:rsidRPr="005E779E" w:rsidRDefault="00DE6D6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Николай Николаевич, как только узнал об амнистии, сразу позвонил по телефону в квартиру и сказал, что едет домой. Вскоре его привез на своей машине заводской летчик-испы</w:t>
      </w:r>
      <w:r w:rsidRPr="005E779E">
        <w:rPr>
          <w:rFonts w:ascii="Times New Roman" w:hAnsi="Times New Roman"/>
          <w:color w:val="000000" w:themeColor="text1"/>
          <w:sz w:val="16"/>
          <w:szCs w:val="16"/>
        </w:rPr>
        <w:softHyphen/>
        <w:t>татель Б.Л. Бухгольц.</w:t>
      </w:r>
    </w:p>
    <w:p w14:paraId="29794F38" w14:textId="77777777" w:rsidR="00DE6D61" w:rsidRPr="005E779E" w:rsidRDefault="00DE6D6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Однако до конца дней своих дней Н.Н. Поликарпов не был реабилитиро</w:t>
      </w:r>
      <w:r w:rsidRPr="005E779E">
        <w:rPr>
          <w:rFonts w:ascii="Times New Roman" w:hAnsi="Times New Roman"/>
          <w:color w:val="000000" w:themeColor="text1"/>
          <w:sz w:val="16"/>
          <w:szCs w:val="16"/>
        </w:rPr>
        <w:softHyphen/>
        <w:t>ван, оставаясь «прощённым преступни</w:t>
      </w:r>
      <w:r w:rsidRPr="005E779E">
        <w:rPr>
          <w:rFonts w:ascii="Times New Roman" w:hAnsi="Times New Roman"/>
          <w:color w:val="000000" w:themeColor="text1"/>
          <w:sz w:val="16"/>
          <w:szCs w:val="16"/>
        </w:rPr>
        <w:softHyphen/>
        <w:t>ком». И только после смерти конструк</w:t>
      </w:r>
      <w:r w:rsidRPr="005E779E">
        <w:rPr>
          <w:rFonts w:ascii="Times New Roman" w:hAnsi="Times New Roman"/>
          <w:color w:val="000000" w:themeColor="text1"/>
          <w:sz w:val="16"/>
          <w:szCs w:val="16"/>
        </w:rPr>
        <w:softHyphen/>
        <w:t>тора, после получения характеристик и рекомендаций от С.В. Ильюшина и А.Н. Туполева, 1 сентября 1956 г. Во</w:t>
      </w:r>
      <w:r w:rsidRPr="005E779E">
        <w:rPr>
          <w:rFonts w:ascii="Times New Roman" w:hAnsi="Times New Roman"/>
          <w:color w:val="000000" w:themeColor="text1"/>
          <w:sz w:val="16"/>
          <w:szCs w:val="16"/>
        </w:rPr>
        <w:softHyphen/>
        <w:t>енная коллегия Верховного Суда СССР отменила решение Коллегии ОГПУ от 18 марта 1931 г. и прекратила дело в отношении Н.Н. Поликарпова «за отсут</w:t>
      </w:r>
      <w:r w:rsidRPr="005E779E">
        <w:rPr>
          <w:rFonts w:ascii="Times New Roman" w:hAnsi="Times New Roman"/>
          <w:color w:val="000000" w:themeColor="text1"/>
          <w:sz w:val="16"/>
          <w:szCs w:val="16"/>
        </w:rPr>
        <w:softHyphen/>
        <w:t>ствием состава преступления» (23406).</w:t>
      </w:r>
    </w:p>
    <w:p w14:paraId="2DE0EB91" w14:textId="77777777" w:rsidR="00DE6D61" w:rsidRPr="005E779E" w:rsidRDefault="00DE6D61" w:rsidP="000B7A6C">
      <w:pPr>
        <w:spacing w:after="0" w:line="240" w:lineRule="auto"/>
        <w:jc w:val="both"/>
        <w:rPr>
          <w:rFonts w:ascii="Times New Roman" w:hAnsi="Times New Roman"/>
          <w:color w:val="000000" w:themeColor="text1"/>
          <w:sz w:val="16"/>
          <w:szCs w:val="16"/>
        </w:rPr>
      </w:pPr>
    </w:p>
    <w:p w14:paraId="7396B8FC" w14:textId="77777777" w:rsidR="00EA791B" w:rsidRPr="00142305" w:rsidRDefault="00EA791B" w:rsidP="00EA791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7 июля 1931 г. Президиум ЦИК СССР принял решение об амнистии группы лиц, в том числе Н. Н. Поликарпова, продублированное 8 июля соответствующим постановлением Коллегии ОГПУ.</w:t>
      </w:r>
    </w:p>
    <w:p w14:paraId="784384AB" w14:textId="77777777" w:rsidR="00EA791B" w:rsidRPr="00142305" w:rsidRDefault="00EA791B" w:rsidP="00EA791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Николай Николаевич, как только узнал об амнистии, сразу позвонил по телефону в квартиру и сказал, что едет домой. Вскоре его привез на своей машине заводской летчик-испытатель Б. Л. Бухгольц.</w:t>
      </w:r>
    </w:p>
    <w:p w14:paraId="51458E54" w14:textId="77777777" w:rsidR="00EA791B" w:rsidRPr="00142305" w:rsidRDefault="00EA791B" w:rsidP="00EA791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Однако до конца дней своих Н. Н. Поликарпов не был реабилитирован, оставаясь «прощеным преступником». И только после смерти конструктора, после получения характеристик и рекомендаций от С. В. Ильюшина, А. Н. Туполева, 1 сентября 1956 г. Военная коллегия Верховного суда СССР отменила решение Коллегии ОГПУ от 18 марта 1931 г. и прекратила дело в отношении Н. Н. Поликарпова «за отсутствием состава преступления» (25035).</w:t>
      </w:r>
    </w:p>
    <w:p w14:paraId="7472103E" w14:textId="77777777" w:rsidR="00EA791B" w:rsidRPr="00142305" w:rsidRDefault="00EA791B" w:rsidP="00EA791B">
      <w:pPr>
        <w:spacing w:after="0" w:line="240" w:lineRule="auto"/>
        <w:jc w:val="both"/>
        <w:rPr>
          <w:rFonts w:ascii="Times New Roman" w:hAnsi="Times New Roman"/>
          <w:color w:val="0070C0"/>
          <w:sz w:val="16"/>
          <w:szCs w:val="16"/>
        </w:rPr>
      </w:pPr>
    </w:p>
    <w:p w14:paraId="27C86D78" w14:textId="77777777" w:rsidR="007F54AB" w:rsidRPr="005E779E" w:rsidRDefault="007F54A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июля 1931 года с аэродрома небольшого городка Урень Нижегородской области впервые в истории нашей страны специально для целей авиапатрулирования лесов поднялся маленький самолёт-биплан По-2.</w:t>
      </w:r>
    </w:p>
    <w:p w14:paraId="4F1C5269" w14:textId="77777777" w:rsidR="007F54AB" w:rsidRPr="005E779E" w:rsidRDefault="007F54A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Продолжительность первого полета составила 1 час 33 мин. Эту дату принято считать рождением Авиалесоохраны.</w:t>
      </w:r>
    </w:p>
    <w:p w14:paraId="0C925A5E" w14:textId="77777777" w:rsidR="007F54AB" w:rsidRPr="005E779E" w:rsidRDefault="007F54A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авиаотряды были возложены задачи непосредственного выполнения авиаохраны лесов от пожаров, аэровизуального обследования лесов, обслуживание лесосплава, аэрофотосъемки лесосырьевых ресурсов, выполнение других лесоавиационных работ. Авиаотряды Всесоюзного треста располагали своими самолетами, кадрами, специальным оснащением, имели собственную аэродромную сеть, средства технического обслуживания и ремонта самолетов.</w:t>
      </w:r>
    </w:p>
    <w:p w14:paraId="65A181EB" w14:textId="77777777" w:rsidR="007F54AB" w:rsidRPr="005E779E" w:rsidRDefault="007F54A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началу Великой Отечественной войны авиационным патрулированием было охвачено 109 млн. га лесов, использовалось 60 самолетов По-2 и Ш-2 (21166).</w:t>
      </w:r>
    </w:p>
    <w:p w14:paraId="0001EFF0" w14:textId="77777777" w:rsidR="007F54AB" w:rsidRPr="005E779E" w:rsidRDefault="007F54AB" w:rsidP="000B7A6C">
      <w:pPr>
        <w:autoSpaceDE w:val="0"/>
        <w:autoSpaceDN w:val="0"/>
        <w:adjustRightInd w:val="0"/>
        <w:spacing w:after="0" w:line="240" w:lineRule="auto"/>
        <w:jc w:val="both"/>
        <w:rPr>
          <w:rFonts w:ascii="Times New Roman" w:hAnsi="Times New Roman"/>
          <w:color w:val="000000" w:themeColor="text1"/>
          <w:sz w:val="16"/>
          <w:szCs w:val="16"/>
        </w:rPr>
      </w:pPr>
    </w:p>
    <w:p w14:paraId="0FFDE3C5" w14:textId="77777777" w:rsidR="00902854"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1A17C7CC" w14:textId="77777777" w:rsidR="00902854" w:rsidRPr="005E779E" w:rsidRDefault="00902854"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D589EAD" w14:textId="33718DF0" w:rsidR="00902854" w:rsidRPr="005E779E" w:rsidRDefault="00902854"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 7 июля </w:t>
      </w:r>
      <w:r w:rsidRPr="005E779E">
        <w:rPr>
          <w:rStyle w:val="highlight"/>
          <w:rFonts w:ascii="Times New Roman" w:hAnsi="Times New Roman"/>
          <w:color w:val="000000" w:themeColor="text1"/>
          <w:sz w:val="16"/>
          <w:szCs w:val="16"/>
        </w:rPr>
        <w:t>1931</w:t>
      </w:r>
      <w:r w:rsidR="00FE094E">
        <w:rPr>
          <w:rStyle w:val="highlight"/>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года началось строительство СК-3. В начале 1933 нарком тяжелой промышленности Г. К. Орджоникидзе назначил нового начальника</w:t>
      </w:r>
      <w:r w:rsidR="00FE094E">
        <w:rPr>
          <w:rFonts w:ascii="Times New Roman" w:hAnsi="Times New Roman"/>
          <w:color w:val="000000" w:themeColor="text1"/>
          <w:sz w:val="16"/>
          <w:szCs w:val="16"/>
        </w:rPr>
        <w:t xml:space="preserve"> </w:t>
      </w:r>
      <w:r w:rsidRPr="005E779E">
        <w:rPr>
          <w:rStyle w:val="highlight"/>
          <w:rFonts w:ascii="Times New Roman" w:hAnsi="Times New Roman"/>
          <w:color w:val="000000" w:themeColor="text1"/>
          <w:sz w:val="16"/>
          <w:szCs w:val="16"/>
        </w:rPr>
        <w:t>завода</w:t>
      </w:r>
      <w:r w:rsidR="00FE094E">
        <w:rPr>
          <w:rStyle w:val="highlight"/>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С. А. Матвеева, возглавлявшего до того строительство Воронежского</w:t>
      </w:r>
      <w:r w:rsidR="00FE094E">
        <w:rPr>
          <w:rFonts w:ascii="Times New Roman" w:hAnsi="Times New Roman"/>
          <w:color w:val="000000" w:themeColor="text1"/>
          <w:sz w:val="16"/>
          <w:szCs w:val="16"/>
        </w:rPr>
        <w:t xml:space="preserve"> </w:t>
      </w:r>
      <w:r w:rsidRPr="005E779E">
        <w:rPr>
          <w:rStyle w:val="highlight"/>
          <w:rFonts w:ascii="Times New Roman" w:hAnsi="Times New Roman"/>
          <w:color w:val="000000" w:themeColor="text1"/>
          <w:sz w:val="16"/>
          <w:szCs w:val="16"/>
        </w:rPr>
        <w:t>завода</w:t>
      </w:r>
      <w:r w:rsidR="00FE094E">
        <w:rPr>
          <w:rStyle w:val="highlight"/>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СК. Под его руководством коллектив строителей мобилизовался на завершение монтажного оборудования.</w:t>
      </w:r>
    </w:p>
    <w:p w14:paraId="6BCC03D9" w14:textId="326EADA5" w:rsidR="00902854" w:rsidRPr="005E779E" w:rsidRDefault="00902854"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Днем 6 марта</w:t>
      </w:r>
      <w:r w:rsidR="00FE094E">
        <w:rPr>
          <w:rFonts w:ascii="Times New Roman" w:hAnsi="Times New Roman"/>
          <w:color w:val="000000" w:themeColor="text1"/>
          <w:sz w:val="16"/>
          <w:szCs w:val="16"/>
        </w:rPr>
        <w:t xml:space="preserve"> </w:t>
      </w:r>
      <w:r w:rsidRPr="005E779E">
        <w:rPr>
          <w:rStyle w:val="highlight"/>
          <w:rFonts w:ascii="Times New Roman" w:hAnsi="Times New Roman"/>
          <w:color w:val="000000" w:themeColor="text1"/>
          <w:sz w:val="16"/>
          <w:szCs w:val="16"/>
        </w:rPr>
        <w:t>1933</w:t>
      </w:r>
      <w:r w:rsidR="00FE094E">
        <w:rPr>
          <w:rStyle w:val="highlight"/>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года сделала первый оборот турбина ТЭЦ, а 20 марта</w:t>
      </w:r>
      <w:r w:rsidR="00FE094E">
        <w:rPr>
          <w:rFonts w:ascii="Times New Roman" w:hAnsi="Times New Roman"/>
          <w:color w:val="000000" w:themeColor="text1"/>
          <w:sz w:val="16"/>
          <w:szCs w:val="16"/>
        </w:rPr>
        <w:t xml:space="preserve"> </w:t>
      </w:r>
      <w:r w:rsidRPr="005E779E">
        <w:rPr>
          <w:rStyle w:val="highlight"/>
          <w:rFonts w:ascii="Times New Roman" w:hAnsi="Times New Roman"/>
          <w:color w:val="000000" w:themeColor="text1"/>
          <w:sz w:val="16"/>
          <w:szCs w:val="16"/>
        </w:rPr>
        <w:t>завод</w:t>
      </w:r>
      <w:r w:rsidR="00FE094E">
        <w:rPr>
          <w:rStyle w:val="highlight"/>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и город получили первый промышленный ток.</w:t>
      </w:r>
    </w:p>
    <w:p w14:paraId="0CBC9418" w14:textId="671D757F" w:rsidR="00902854" w:rsidRPr="005E779E" w:rsidRDefault="00902854"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Вслед за пуском ТЭЦ начался 43-дневный пусковой период Ефремовского</w:t>
      </w:r>
      <w:r w:rsidR="00FE094E">
        <w:rPr>
          <w:rFonts w:ascii="Times New Roman" w:hAnsi="Times New Roman"/>
          <w:color w:val="000000" w:themeColor="text1"/>
          <w:sz w:val="16"/>
          <w:szCs w:val="16"/>
        </w:rPr>
        <w:t xml:space="preserve"> </w:t>
      </w:r>
      <w:r w:rsidRPr="005E779E">
        <w:rPr>
          <w:rStyle w:val="highlight"/>
          <w:rFonts w:ascii="Times New Roman" w:hAnsi="Times New Roman"/>
          <w:color w:val="000000" w:themeColor="text1"/>
          <w:sz w:val="16"/>
          <w:szCs w:val="16"/>
        </w:rPr>
        <w:t>завода</w:t>
      </w:r>
      <w:r w:rsidR="00FE094E">
        <w:rPr>
          <w:rStyle w:val="highlight"/>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СК-3.</w:t>
      </w:r>
      <w:r w:rsidRPr="005E779E">
        <w:rPr>
          <w:rFonts w:ascii="Times New Roman" w:hAnsi="Times New Roman"/>
          <w:bCs/>
          <w:color w:val="000000" w:themeColor="text1"/>
          <w:sz w:val="16"/>
          <w:szCs w:val="16"/>
        </w:rPr>
        <w:t>В</w:t>
      </w:r>
      <w:r w:rsidRPr="005E779E">
        <w:rPr>
          <w:rFonts w:ascii="Times New Roman" w:hAnsi="Times New Roman"/>
          <w:color w:val="000000" w:themeColor="text1"/>
          <w:sz w:val="16"/>
          <w:szCs w:val="16"/>
        </w:rPr>
        <w:t>8 часов утра 23 мая</w:t>
      </w:r>
      <w:r w:rsidR="00FE094E">
        <w:rPr>
          <w:rFonts w:ascii="Times New Roman" w:hAnsi="Times New Roman"/>
          <w:color w:val="000000" w:themeColor="text1"/>
          <w:sz w:val="16"/>
          <w:szCs w:val="16"/>
        </w:rPr>
        <w:t xml:space="preserve"> </w:t>
      </w:r>
      <w:r w:rsidRPr="005E779E">
        <w:rPr>
          <w:rStyle w:val="highlight"/>
          <w:rFonts w:ascii="Times New Roman" w:hAnsi="Times New Roman"/>
          <w:color w:val="000000" w:themeColor="text1"/>
          <w:sz w:val="16"/>
          <w:szCs w:val="16"/>
        </w:rPr>
        <w:t>1933</w:t>
      </w:r>
      <w:r w:rsidR="00FE094E">
        <w:rPr>
          <w:rStyle w:val="highlight"/>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года начальник печного цеха Ерасов зажег форсунки первой и второй контактных печей. Вечером 27 мая, в 21 час 27 минут, в реторты пустили спирт. Спустя несколько часов в газовом цехе были получены первые капли дивинила, а через три дня заводская газета "Ударник" сообщила: "Дивинил пошел потоком".</w:t>
      </w:r>
    </w:p>
    <w:p w14:paraId="398A24BA" w14:textId="260C06DA" w:rsidR="00902854" w:rsidRPr="005E779E" w:rsidRDefault="00902854"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Третий в стране</w:t>
      </w:r>
      <w:r w:rsidR="00FE094E">
        <w:rPr>
          <w:rFonts w:ascii="Times New Roman" w:hAnsi="Times New Roman"/>
          <w:color w:val="000000" w:themeColor="text1"/>
          <w:sz w:val="16"/>
          <w:szCs w:val="16"/>
        </w:rPr>
        <w:t xml:space="preserve"> </w:t>
      </w:r>
      <w:r w:rsidRPr="005E779E">
        <w:rPr>
          <w:rStyle w:val="highlight"/>
          <w:rFonts w:ascii="Times New Roman" w:hAnsi="Times New Roman"/>
          <w:color w:val="000000" w:themeColor="text1"/>
          <w:sz w:val="16"/>
          <w:szCs w:val="16"/>
        </w:rPr>
        <w:t>завод</w:t>
      </w:r>
      <w:r w:rsidR="00FE094E">
        <w:rPr>
          <w:rStyle w:val="highlight"/>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синтетического каучука вступил в строй действующих. Окончательная победа пришла 10 июля</w:t>
      </w:r>
      <w:r w:rsidR="00FE094E">
        <w:rPr>
          <w:rFonts w:ascii="Times New Roman" w:hAnsi="Times New Roman"/>
          <w:color w:val="000000" w:themeColor="text1"/>
          <w:sz w:val="16"/>
          <w:szCs w:val="16"/>
        </w:rPr>
        <w:t xml:space="preserve"> </w:t>
      </w:r>
      <w:r w:rsidRPr="005E779E">
        <w:rPr>
          <w:rStyle w:val="highlight"/>
          <w:rFonts w:ascii="Times New Roman" w:hAnsi="Times New Roman"/>
          <w:color w:val="000000" w:themeColor="text1"/>
          <w:sz w:val="16"/>
          <w:szCs w:val="16"/>
        </w:rPr>
        <w:t>1933</w:t>
      </w:r>
      <w:r w:rsidR="00FE094E">
        <w:rPr>
          <w:rStyle w:val="highlight"/>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года. В этот день была выдана первая тонна искусственного каучука. Первый вагон с небывалым грузом ушел со станции Ефремов в Москву 18 августа.</w:t>
      </w:r>
    </w:p>
    <w:p w14:paraId="03AFBC68" w14:textId="4274B2E4" w:rsidR="00902854" w:rsidRPr="005E779E" w:rsidRDefault="00902854"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w:t>
      </w:r>
      <w:r w:rsidR="00FE094E">
        <w:rPr>
          <w:rFonts w:ascii="Times New Roman" w:hAnsi="Times New Roman"/>
          <w:color w:val="000000" w:themeColor="text1"/>
          <w:sz w:val="16"/>
          <w:szCs w:val="16"/>
        </w:rPr>
        <w:t xml:space="preserve"> </w:t>
      </w:r>
      <w:r w:rsidRPr="005E779E">
        <w:rPr>
          <w:rStyle w:val="highlight"/>
          <w:rFonts w:ascii="Times New Roman" w:hAnsi="Times New Roman"/>
          <w:color w:val="000000" w:themeColor="text1"/>
          <w:sz w:val="16"/>
          <w:szCs w:val="16"/>
        </w:rPr>
        <w:t>январю</w:t>
      </w:r>
      <w:r w:rsidR="00FE094E">
        <w:rPr>
          <w:rStyle w:val="highlight"/>
          <w:rFonts w:ascii="Times New Roman" w:hAnsi="Times New Roman"/>
          <w:color w:val="000000" w:themeColor="text1"/>
          <w:sz w:val="16"/>
          <w:szCs w:val="16"/>
        </w:rPr>
        <w:t xml:space="preserve"> </w:t>
      </w:r>
      <w:r w:rsidRPr="005E779E">
        <w:rPr>
          <w:rStyle w:val="highlight"/>
          <w:rFonts w:ascii="Times New Roman" w:hAnsi="Times New Roman"/>
          <w:color w:val="000000" w:themeColor="text1"/>
          <w:sz w:val="16"/>
          <w:szCs w:val="16"/>
        </w:rPr>
        <w:t>193</w:t>
      </w:r>
      <w:r w:rsidR="007422C7" w:rsidRPr="005E779E">
        <w:rPr>
          <w:rStyle w:val="highlight"/>
          <w:rFonts w:ascii="Times New Roman" w:hAnsi="Times New Roman"/>
          <w:color w:val="000000" w:themeColor="text1"/>
          <w:sz w:val="16"/>
          <w:szCs w:val="16"/>
        </w:rPr>
        <w:t>4</w:t>
      </w:r>
      <w:r w:rsidR="00FE094E">
        <w:rPr>
          <w:rStyle w:val="highlight"/>
          <w:rFonts w:ascii="Times New Roman" w:hAnsi="Times New Roman"/>
          <w:color w:val="000000" w:themeColor="text1"/>
          <w:sz w:val="16"/>
          <w:szCs w:val="16"/>
        </w:rPr>
        <w:t xml:space="preserve"> </w:t>
      </w:r>
      <w:r w:rsidRPr="005E779E">
        <w:rPr>
          <w:rStyle w:val="highlight"/>
          <w:rFonts w:ascii="Times New Roman" w:hAnsi="Times New Roman"/>
          <w:color w:val="000000" w:themeColor="text1"/>
          <w:sz w:val="16"/>
          <w:szCs w:val="16"/>
        </w:rPr>
        <w:t>завод</w:t>
      </w:r>
      <w:r w:rsidR="00FE094E">
        <w:rPr>
          <w:rStyle w:val="highlight"/>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СК3 дал стране уже сотни тонн каучука. Ожидался пуск нового мощного спиртозавода. Новые гиганты индустрии коренным образом меняли "лицо Ефремова, превращая его из бывшего мелкого, торгашеско-мещанского городка в промышленный город, насчитывающий до 8000 рабочих.</w:t>
      </w:r>
    </w:p>
    <w:p w14:paraId="07DB842D" w14:textId="77777777" w:rsidR="00902854" w:rsidRPr="005E779E" w:rsidRDefault="00902854"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Зимой 1934 года на Ефремовском СК-3 побывал творец промышленного синтетического каучука выдающийся советский ученый Сергей Васильевич Лебедев (17278).</w:t>
      </w:r>
    </w:p>
    <w:p w14:paraId="0B6A7423" w14:textId="77777777" w:rsidR="00902854" w:rsidRPr="005E779E" w:rsidRDefault="00902854" w:rsidP="000B7A6C">
      <w:pPr>
        <w:autoSpaceDE w:val="0"/>
        <w:autoSpaceDN w:val="0"/>
        <w:adjustRightInd w:val="0"/>
        <w:spacing w:after="0" w:line="240" w:lineRule="auto"/>
        <w:jc w:val="both"/>
        <w:rPr>
          <w:rFonts w:ascii="Times New Roman" w:hAnsi="Times New Roman"/>
          <w:color w:val="000000" w:themeColor="text1"/>
          <w:sz w:val="16"/>
          <w:szCs w:val="16"/>
        </w:rPr>
      </w:pPr>
    </w:p>
    <w:p w14:paraId="0DF628A0" w14:textId="77777777" w:rsidR="008776F8"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378147A9" w14:textId="77777777" w:rsidR="008776F8" w:rsidRPr="005E779E" w:rsidRDefault="008776F8"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5A6E772" w14:textId="77777777" w:rsidR="008776F8" w:rsidRPr="005E779E" w:rsidRDefault="008776F8"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7 июля</w:t>
      </w:r>
      <w:r w:rsidRPr="005E779E">
        <w:rPr>
          <w:rFonts w:ascii="Times New Roman" w:hAnsi="Times New Roman"/>
          <w:color w:val="000000" w:themeColor="text1"/>
          <w:sz w:val="16"/>
          <w:szCs w:val="16"/>
        </w:rPr>
        <w:t xml:space="preserve"> в 1931 году выдан заказ фирме «Консолидейтед» на постройку 23 летающих лодок </w:t>
      </w:r>
      <w:hyperlink r:id="rId144" w:tgtFrame="_blank" w:history="1">
        <w:r w:rsidRPr="005E779E">
          <w:rPr>
            <w:rFonts w:ascii="Times New Roman" w:hAnsi="Times New Roman"/>
            <w:color w:val="000000" w:themeColor="text1"/>
            <w:sz w:val="16"/>
            <w:szCs w:val="16"/>
          </w:rPr>
          <w:t xml:space="preserve">«P2Y-1», </w:t>
        </w:r>
      </w:hyperlink>
      <w:r w:rsidRPr="005E779E">
        <w:rPr>
          <w:rFonts w:ascii="Times New Roman" w:hAnsi="Times New Roman"/>
          <w:color w:val="000000" w:themeColor="text1"/>
          <w:sz w:val="16"/>
          <w:szCs w:val="16"/>
        </w:rPr>
        <w:t>всего через три месяца после начала строительства прототипа и за девять месяцев до его первого полета (14945).</w:t>
      </w:r>
    </w:p>
    <w:p w14:paraId="1F0A0471" w14:textId="77777777" w:rsidR="008776F8" w:rsidRPr="005E779E" w:rsidRDefault="008776F8" w:rsidP="000B7A6C">
      <w:pPr>
        <w:spacing w:after="0" w:line="240" w:lineRule="auto"/>
        <w:jc w:val="both"/>
        <w:rPr>
          <w:rFonts w:ascii="Times New Roman" w:hAnsi="Times New Roman"/>
          <w:color w:val="000000" w:themeColor="text1"/>
          <w:sz w:val="16"/>
          <w:szCs w:val="16"/>
        </w:rPr>
      </w:pPr>
    </w:p>
    <w:p w14:paraId="5E59189F"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1B128719"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0D57CCF" w14:textId="77777777" w:rsidR="008776F8" w:rsidRPr="005E779E" w:rsidRDefault="008776F8"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8-го июля 1931 вышло Постановление ЦИК и Совета Народных Комиссаров СССР о награждении завода № 39 имени Менжинского орденом Ленина - высшей наградой Союза Советских Социалистических Республик, учрежденной Президиумом Центрального Исполнительного Комитета 6-го апреля 1930 года и одновременно предусматривало амнистию большей части заключенных авиаспециалистов. 10-го июля 1931 года Постановление было опубликовано в газете «Правда». Ниже приводятся тексты наградных документов завода № 39, а также поздравительная переписка по этому поводу, которая, предположительно, публикуется впервые.</w:t>
      </w:r>
    </w:p>
    <w:p w14:paraId="0921E9EB" w14:textId="77777777" w:rsidR="008776F8" w:rsidRPr="005E779E" w:rsidRDefault="008776F8" w:rsidP="000B7A6C">
      <w:pPr>
        <w:pStyle w:val="rteindent11"/>
        <w:shd w:val="clear" w:color="auto" w:fill="FFFFFF"/>
        <w:spacing w:before="0" w:beforeAutospacing="0" w:after="0"/>
        <w:ind w:left="0" w:firstLine="0"/>
        <w:rPr>
          <w:color w:val="000000" w:themeColor="text1"/>
          <w:sz w:val="16"/>
          <w:szCs w:val="16"/>
        </w:rPr>
      </w:pPr>
      <w:r w:rsidRPr="005E779E">
        <w:rPr>
          <w:rStyle w:val="af0"/>
          <w:i w:val="0"/>
          <w:color w:val="000000" w:themeColor="text1"/>
          <w:sz w:val="16"/>
          <w:szCs w:val="16"/>
        </w:rPr>
        <w:t>ПОСТАНОВЛЕНИЕ</w:t>
      </w:r>
    </w:p>
    <w:p w14:paraId="7517923E" w14:textId="77777777" w:rsidR="008776F8" w:rsidRPr="005E779E" w:rsidRDefault="008776F8" w:rsidP="000B7A6C">
      <w:pPr>
        <w:pStyle w:val="rteindent11"/>
        <w:shd w:val="clear" w:color="auto" w:fill="FFFFFF"/>
        <w:spacing w:before="0" w:beforeAutospacing="0" w:after="0"/>
        <w:ind w:left="0" w:firstLine="0"/>
        <w:rPr>
          <w:rStyle w:val="af0"/>
          <w:i w:val="0"/>
          <w:color w:val="000000" w:themeColor="text1"/>
          <w:sz w:val="16"/>
          <w:szCs w:val="16"/>
        </w:rPr>
      </w:pPr>
      <w:r w:rsidRPr="005E779E">
        <w:rPr>
          <w:rStyle w:val="af0"/>
          <w:i w:val="0"/>
          <w:color w:val="000000" w:themeColor="text1"/>
          <w:sz w:val="16"/>
          <w:szCs w:val="16"/>
        </w:rPr>
        <w:t>Центрального Исполнительного Комитета и Совета Народных Комиссаров Союза ССР «О награждении авиазавода № 39 за исключительтельные достижения по самолетостроению Рабоче-Крестьянской Красной Армии».</w:t>
      </w:r>
    </w:p>
    <w:p w14:paraId="2452455E" w14:textId="77777777" w:rsidR="008776F8" w:rsidRPr="005E779E" w:rsidRDefault="008776F8" w:rsidP="000B7A6C">
      <w:pPr>
        <w:pStyle w:val="rteindent11"/>
        <w:shd w:val="clear" w:color="auto" w:fill="FFFFFF"/>
        <w:spacing w:before="0" w:beforeAutospacing="0" w:after="0"/>
        <w:ind w:left="0" w:firstLine="0"/>
        <w:rPr>
          <w:color w:val="000000" w:themeColor="text1"/>
          <w:sz w:val="16"/>
          <w:szCs w:val="16"/>
        </w:rPr>
      </w:pPr>
      <w:r w:rsidRPr="005E779E">
        <w:rPr>
          <w:rStyle w:val="af0"/>
          <w:i w:val="0"/>
          <w:color w:val="000000" w:themeColor="text1"/>
          <w:sz w:val="16"/>
          <w:szCs w:val="16"/>
        </w:rPr>
        <w:t>Центральный Исполнительный Комитет и Совет Народных Комиссаров Союза ССР постановляют:</w:t>
      </w:r>
    </w:p>
    <w:p w14:paraId="033BEFE8" w14:textId="77777777" w:rsidR="008776F8" w:rsidRPr="005E779E" w:rsidRDefault="008776F8" w:rsidP="000B7A6C">
      <w:pPr>
        <w:pStyle w:val="rteindent11"/>
        <w:shd w:val="clear" w:color="auto" w:fill="FFFFFF"/>
        <w:spacing w:before="0" w:beforeAutospacing="0" w:after="0"/>
        <w:ind w:left="0" w:firstLine="0"/>
        <w:rPr>
          <w:rStyle w:val="af0"/>
          <w:i w:val="0"/>
          <w:color w:val="000000" w:themeColor="text1"/>
          <w:sz w:val="16"/>
          <w:szCs w:val="16"/>
        </w:rPr>
      </w:pPr>
      <w:r w:rsidRPr="005E779E">
        <w:rPr>
          <w:rStyle w:val="af0"/>
          <w:i w:val="0"/>
          <w:color w:val="000000" w:themeColor="text1"/>
          <w:sz w:val="16"/>
          <w:szCs w:val="16"/>
        </w:rPr>
        <w:t>1. Констатируя небывалое увеличение темпов и сокращение сроков опытного строительства самолетов для укомплектования Военно-Воздушных сил РККА и отмечая исключительные реальные достижения – выпуск новых типов самолетов стоящих на уровне лучших заграничных образцов, - наградить завод № 39, уже имеющий орден «Трудовое Красное Знамя» - «Орденом Ленина» за выполнение и перевыполнение постановления правительства по опытному самолетостроению.</w:t>
      </w:r>
    </w:p>
    <w:p w14:paraId="2D6F5912" w14:textId="77777777" w:rsidR="008776F8" w:rsidRPr="005E779E" w:rsidRDefault="008776F8" w:rsidP="000B7A6C">
      <w:pPr>
        <w:pStyle w:val="rteindent11"/>
        <w:shd w:val="clear" w:color="auto" w:fill="FFFFFF"/>
        <w:spacing w:before="0" w:beforeAutospacing="0" w:after="0"/>
        <w:ind w:left="0" w:firstLine="0"/>
        <w:rPr>
          <w:color w:val="000000" w:themeColor="text1"/>
          <w:sz w:val="16"/>
          <w:szCs w:val="16"/>
        </w:rPr>
      </w:pPr>
      <w:r w:rsidRPr="005E779E">
        <w:rPr>
          <w:rStyle w:val="af0"/>
          <w:i w:val="0"/>
          <w:color w:val="000000" w:themeColor="text1"/>
          <w:sz w:val="16"/>
          <w:szCs w:val="16"/>
        </w:rPr>
        <w:t>2. Амнистировать нижеследующих конструкторов – бывших вредителей, приговоренных Коллегией ОГПУ к различным мерам социальной защиты, с одновременным их награждением</w:t>
      </w:r>
    </w:p>
    <w:p w14:paraId="23B8CD74" w14:textId="77777777" w:rsidR="008776F8" w:rsidRPr="005E779E" w:rsidRDefault="008776F8" w:rsidP="000B7A6C">
      <w:pPr>
        <w:pStyle w:val="rteindent11"/>
        <w:shd w:val="clear" w:color="auto" w:fill="FFFFFF"/>
        <w:spacing w:before="0" w:beforeAutospacing="0" w:after="0"/>
        <w:ind w:left="0" w:firstLine="0"/>
        <w:rPr>
          <w:rStyle w:val="af0"/>
          <w:i w:val="0"/>
          <w:color w:val="000000" w:themeColor="text1"/>
          <w:sz w:val="16"/>
          <w:szCs w:val="16"/>
        </w:rPr>
      </w:pPr>
      <w:r w:rsidRPr="005E779E">
        <w:rPr>
          <w:rStyle w:val="af0"/>
          <w:i w:val="0"/>
          <w:color w:val="000000" w:themeColor="text1"/>
          <w:sz w:val="16"/>
          <w:szCs w:val="16"/>
        </w:rPr>
        <w:t>а) Главного конструктора по опытному самолетостроению ГРИГОРОВИЧА Дмитрия Павловича, раскаявшегося в своих прежних поступках и годичной работой доказавшего на деле свое раскаяние – грамотой ЦИК Союза ССР и денежной наградой в 10000 рублей.</w:t>
      </w:r>
    </w:p>
    <w:p w14:paraId="03AE9151" w14:textId="77777777" w:rsidR="008776F8" w:rsidRPr="005E779E" w:rsidRDefault="008776F8" w:rsidP="000B7A6C">
      <w:pPr>
        <w:pStyle w:val="rteindent11"/>
        <w:shd w:val="clear" w:color="auto" w:fill="FFFFFF"/>
        <w:spacing w:before="0" w:beforeAutospacing="0" w:after="0"/>
        <w:ind w:left="0" w:firstLine="0"/>
        <w:rPr>
          <w:color w:val="000000" w:themeColor="text1"/>
          <w:sz w:val="16"/>
          <w:szCs w:val="16"/>
        </w:rPr>
      </w:pPr>
      <w:r w:rsidRPr="005E779E">
        <w:rPr>
          <w:rStyle w:val="af0"/>
          <w:i w:val="0"/>
          <w:color w:val="000000" w:themeColor="text1"/>
          <w:sz w:val="16"/>
          <w:szCs w:val="16"/>
        </w:rPr>
        <w:t>б) Главного конструктора по вооружению самолетов НАДАШКЕВИЧА Александра Васильевича, давшего новые установки вооружения, усиливающие огневую мощь Красной авиации – грамотой ЦИК Союза ССР и денежной наградой в 10000 рублей.</w:t>
      </w:r>
    </w:p>
    <w:p w14:paraId="5B09906A" w14:textId="77777777" w:rsidR="008776F8" w:rsidRPr="005E779E" w:rsidRDefault="008776F8" w:rsidP="000B7A6C">
      <w:pPr>
        <w:pStyle w:val="rteindent11"/>
        <w:shd w:val="clear" w:color="auto" w:fill="FFFFFF"/>
        <w:spacing w:before="0" w:beforeAutospacing="0" w:after="0"/>
        <w:ind w:left="0" w:firstLine="0"/>
        <w:rPr>
          <w:rStyle w:val="af0"/>
          <w:i w:val="0"/>
          <w:color w:val="000000" w:themeColor="text1"/>
          <w:sz w:val="16"/>
          <w:szCs w:val="16"/>
        </w:rPr>
      </w:pPr>
      <w:r w:rsidRPr="005E779E">
        <w:rPr>
          <w:rStyle w:val="af0"/>
          <w:i w:val="0"/>
          <w:color w:val="000000" w:themeColor="text1"/>
          <w:sz w:val="16"/>
          <w:szCs w:val="16"/>
        </w:rPr>
        <w:t>в) Бывшего Технического директора завода № 1 КОСТКИНА Ивана Михайловича – денежной наградой в 3000 рублей.</w:t>
      </w:r>
    </w:p>
    <w:p w14:paraId="18F610FF" w14:textId="77777777" w:rsidR="008776F8" w:rsidRPr="005E779E" w:rsidRDefault="008776F8" w:rsidP="000B7A6C">
      <w:pPr>
        <w:pStyle w:val="rteindent11"/>
        <w:shd w:val="clear" w:color="auto" w:fill="FFFFFF"/>
        <w:spacing w:before="0" w:beforeAutospacing="0" w:after="0"/>
        <w:ind w:left="0" w:firstLine="0"/>
        <w:rPr>
          <w:color w:val="000000" w:themeColor="text1"/>
          <w:sz w:val="16"/>
          <w:szCs w:val="16"/>
        </w:rPr>
      </w:pPr>
      <w:r w:rsidRPr="005E779E">
        <w:rPr>
          <w:rStyle w:val="af0"/>
          <w:i w:val="0"/>
          <w:color w:val="000000" w:themeColor="text1"/>
          <w:sz w:val="16"/>
          <w:szCs w:val="16"/>
        </w:rPr>
        <w:t>г) Б. (бывшего) постоянного члена Научно-Технического Комитета Управления Военно-Воздушных сил РККА КРЕЙСОНА Павла Мартыновича – денежной наградой в 1000 рублей.</w:t>
      </w:r>
    </w:p>
    <w:p w14:paraId="32F6BBFD" w14:textId="77777777" w:rsidR="008776F8" w:rsidRPr="005E779E" w:rsidRDefault="008776F8" w:rsidP="000B7A6C">
      <w:pPr>
        <w:pStyle w:val="rteindent11"/>
        <w:shd w:val="clear" w:color="auto" w:fill="FFFFFF"/>
        <w:spacing w:before="0" w:beforeAutospacing="0" w:after="0"/>
        <w:ind w:left="0" w:firstLine="0"/>
        <w:rPr>
          <w:color w:val="000000" w:themeColor="text1"/>
          <w:sz w:val="16"/>
          <w:szCs w:val="16"/>
        </w:rPr>
      </w:pPr>
      <w:r w:rsidRPr="005E779E">
        <w:rPr>
          <w:rStyle w:val="af0"/>
          <w:i w:val="0"/>
          <w:color w:val="000000" w:themeColor="text1"/>
          <w:sz w:val="16"/>
          <w:szCs w:val="16"/>
        </w:rPr>
        <w:t>д) Быв. инженера ВАО ЮРВИЦА Виктора Львовича – денежной наградой в 1000 рублей.</w:t>
      </w:r>
    </w:p>
    <w:p w14:paraId="3E9698F9" w14:textId="77777777" w:rsidR="008776F8" w:rsidRPr="005E779E" w:rsidRDefault="008776F8" w:rsidP="000B7A6C">
      <w:pPr>
        <w:pStyle w:val="rteindent11"/>
        <w:shd w:val="clear" w:color="auto" w:fill="FFFFFF"/>
        <w:spacing w:before="0" w:beforeAutospacing="0" w:after="0"/>
        <w:ind w:left="0" w:firstLine="0"/>
        <w:rPr>
          <w:rStyle w:val="af0"/>
          <w:i w:val="0"/>
          <w:color w:val="000000" w:themeColor="text1"/>
          <w:sz w:val="16"/>
          <w:szCs w:val="16"/>
        </w:rPr>
      </w:pPr>
      <w:r w:rsidRPr="005E779E">
        <w:rPr>
          <w:rStyle w:val="af0"/>
          <w:i w:val="0"/>
          <w:color w:val="000000" w:themeColor="text1"/>
          <w:sz w:val="16"/>
          <w:szCs w:val="16"/>
        </w:rPr>
        <w:lastRenderedPageBreak/>
        <w:t>е) Амнистировать всех инженеров и техников, приговоренных ОГПУ к различным мерам социальной защиты за вредительство и ныне добросовестно работающих в Центральном Конструкторском Бюро.</w:t>
      </w:r>
    </w:p>
    <w:p w14:paraId="32776DE9" w14:textId="77777777" w:rsidR="008776F8" w:rsidRPr="005E779E" w:rsidRDefault="008776F8" w:rsidP="000B7A6C">
      <w:pPr>
        <w:pStyle w:val="rteindent11"/>
        <w:shd w:val="clear" w:color="auto" w:fill="FFFFFF"/>
        <w:spacing w:before="0" w:beforeAutospacing="0" w:after="0"/>
        <w:ind w:left="0" w:firstLine="0"/>
        <w:rPr>
          <w:color w:val="000000" w:themeColor="text1"/>
          <w:sz w:val="16"/>
          <w:szCs w:val="16"/>
        </w:rPr>
      </w:pPr>
      <w:r w:rsidRPr="005E779E">
        <w:rPr>
          <w:rStyle w:val="af0"/>
          <w:i w:val="0"/>
          <w:color w:val="000000" w:themeColor="text1"/>
          <w:sz w:val="16"/>
          <w:szCs w:val="16"/>
        </w:rPr>
        <w:t>3. Наградить орденами «Красная Звезда» начальника Центрального Конструктора Бюро завода № 39 тов. ГОРЯНОВА Анатолия Григорьевича и его заместителя тов. ПАУФЛЕРА Николая Евгеньевича за проявленную ими инициативу и упорство по созданию Центрального Конструкторского Бюро, умелую организацию в нем работы для усиления боевой мощи Военно-Воздушных Сил РККА и использование инженеров – бывших вредителей на практической работе.</w:t>
      </w:r>
    </w:p>
    <w:p w14:paraId="2AC05B3D" w14:textId="77777777" w:rsidR="008776F8" w:rsidRPr="005E779E" w:rsidRDefault="008776F8" w:rsidP="000B7A6C">
      <w:pPr>
        <w:pStyle w:val="rteindent11"/>
        <w:shd w:val="clear" w:color="auto" w:fill="FFFFFF"/>
        <w:spacing w:before="0" w:beforeAutospacing="0" w:after="0"/>
        <w:ind w:left="0" w:firstLine="0"/>
        <w:rPr>
          <w:rStyle w:val="af0"/>
          <w:i w:val="0"/>
          <w:color w:val="000000" w:themeColor="text1"/>
          <w:sz w:val="16"/>
          <w:szCs w:val="16"/>
        </w:rPr>
      </w:pPr>
      <w:r w:rsidRPr="005E779E">
        <w:rPr>
          <w:rStyle w:val="af0"/>
          <w:i w:val="0"/>
          <w:color w:val="000000" w:themeColor="text1"/>
          <w:sz w:val="16"/>
          <w:szCs w:val="16"/>
        </w:rPr>
        <w:t>4. Наградить орденами « Трудовое Красное Знамя» за образцовую работу и примерность в деле усиления темпов и создание новых образцов самолетов и их вооружения нижеследующих работников завода № 39:</w:t>
      </w:r>
    </w:p>
    <w:p w14:paraId="3078F39A" w14:textId="77777777" w:rsidR="008776F8" w:rsidRPr="005E779E" w:rsidRDefault="008776F8" w:rsidP="000B7A6C">
      <w:pPr>
        <w:pStyle w:val="rteindent11"/>
        <w:shd w:val="clear" w:color="auto" w:fill="FFFFFF"/>
        <w:spacing w:before="0" w:beforeAutospacing="0" w:after="0"/>
        <w:ind w:left="0" w:firstLine="0"/>
        <w:rPr>
          <w:color w:val="000000" w:themeColor="text1"/>
          <w:sz w:val="16"/>
          <w:szCs w:val="16"/>
        </w:rPr>
      </w:pPr>
      <w:r w:rsidRPr="005E779E">
        <w:rPr>
          <w:rStyle w:val="af0"/>
          <w:i w:val="0"/>
          <w:color w:val="000000" w:themeColor="text1"/>
          <w:sz w:val="16"/>
          <w:szCs w:val="16"/>
        </w:rPr>
        <w:t>РАФАЭЛЬЯНЦА Рама Назаровича, молодого инженера–конструктора, являющегося ближайшим помощником Главного конструктора ГРИГОРОВИЧА и умело воспринимающего его опыт и знания;</w:t>
      </w:r>
    </w:p>
    <w:p w14:paraId="2B261684" w14:textId="77777777" w:rsidR="008776F8" w:rsidRPr="005E779E" w:rsidRDefault="008776F8" w:rsidP="000B7A6C">
      <w:pPr>
        <w:pStyle w:val="rteindent11"/>
        <w:shd w:val="clear" w:color="auto" w:fill="FFFFFF"/>
        <w:spacing w:before="0" w:beforeAutospacing="0" w:after="0"/>
        <w:ind w:left="0" w:firstLine="0"/>
        <w:rPr>
          <w:color w:val="000000" w:themeColor="text1"/>
          <w:sz w:val="16"/>
          <w:szCs w:val="16"/>
        </w:rPr>
      </w:pPr>
      <w:r w:rsidRPr="005E779E">
        <w:rPr>
          <w:rStyle w:val="af0"/>
          <w:i w:val="0"/>
          <w:color w:val="000000" w:themeColor="text1"/>
          <w:sz w:val="16"/>
          <w:szCs w:val="16"/>
        </w:rPr>
        <w:t>БАШИНА Федора Федоровича – рабочего, групповода по постройке истребителя И-5;</w:t>
      </w:r>
    </w:p>
    <w:p w14:paraId="6F3A88F0" w14:textId="77777777" w:rsidR="008776F8" w:rsidRPr="005E779E" w:rsidRDefault="008776F8" w:rsidP="000B7A6C">
      <w:pPr>
        <w:pStyle w:val="rteindent11"/>
        <w:shd w:val="clear" w:color="auto" w:fill="FFFFFF"/>
        <w:spacing w:before="0" w:beforeAutospacing="0" w:after="0"/>
        <w:ind w:left="0" w:firstLine="0"/>
        <w:rPr>
          <w:rStyle w:val="af0"/>
          <w:i w:val="0"/>
          <w:color w:val="000000" w:themeColor="text1"/>
          <w:sz w:val="16"/>
          <w:szCs w:val="16"/>
        </w:rPr>
      </w:pPr>
      <w:r w:rsidRPr="005E779E">
        <w:rPr>
          <w:rStyle w:val="af0"/>
          <w:i w:val="0"/>
          <w:color w:val="000000" w:themeColor="text1"/>
          <w:sz w:val="16"/>
          <w:szCs w:val="16"/>
        </w:rPr>
        <w:t>ШЕСТЕРА Леона Борисовича – рабочего медника, лучшего ударника;</w:t>
      </w:r>
    </w:p>
    <w:p w14:paraId="33A447DD" w14:textId="77777777" w:rsidR="008776F8" w:rsidRPr="005E779E" w:rsidRDefault="008776F8" w:rsidP="000B7A6C">
      <w:pPr>
        <w:pStyle w:val="rteindent11"/>
        <w:shd w:val="clear" w:color="auto" w:fill="FFFFFF"/>
        <w:spacing w:before="0" w:beforeAutospacing="0" w:after="0"/>
        <w:ind w:left="0" w:firstLine="0"/>
        <w:rPr>
          <w:rStyle w:val="af0"/>
          <w:i w:val="0"/>
          <w:color w:val="000000" w:themeColor="text1"/>
          <w:sz w:val="16"/>
          <w:szCs w:val="16"/>
        </w:rPr>
      </w:pPr>
      <w:r w:rsidRPr="005E779E">
        <w:rPr>
          <w:rStyle w:val="af0"/>
          <w:i w:val="0"/>
          <w:color w:val="000000" w:themeColor="text1"/>
          <w:sz w:val="16"/>
          <w:szCs w:val="16"/>
        </w:rPr>
        <w:t>ИГНАТОВА Сергея Романовича- рабочего слесаря, лучшего ударника завода;</w:t>
      </w:r>
    </w:p>
    <w:p w14:paraId="4065B9AF" w14:textId="77777777" w:rsidR="008776F8" w:rsidRPr="005E779E" w:rsidRDefault="008776F8" w:rsidP="000B7A6C">
      <w:pPr>
        <w:pStyle w:val="rteindent11"/>
        <w:shd w:val="clear" w:color="auto" w:fill="FFFFFF"/>
        <w:spacing w:before="0" w:beforeAutospacing="0" w:after="0"/>
        <w:ind w:left="0" w:firstLine="0"/>
        <w:rPr>
          <w:rStyle w:val="af0"/>
          <w:i w:val="0"/>
          <w:color w:val="000000" w:themeColor="text1"/>
          <w:sz w:val="16"/>
          <w:szCs w:val="16"/>
        </w:rPr>
      </w:pPr>
      <w:r w:rsidRPr="005E779E">
        <w:rPr>
          <w:rStyle w:val="af0"/>
          <w:i w:val="0"/>
          <w:color w:val="000000" w:themeColor="text1"/>
          <w:sz w:val="16"/>
          <w:szCs w:val="16"/>
        </w:rPr>
        <w:t>ЗУЕВА Тимофея Арсеньевича – рабочего слесаря, лучшего ударника завода;</w:t>
      </w:r>
    </w:p>
    <w:p w14:paraId="19914498" w14:textId="77777777" w:rsidR="008776F8" w:rsidRPr="005E779E" w:rsidRDefault="008776F8" w:rsidP="000B7A6C">
      <w:pPr>
        <w:pStyle w:val="rteindent11"/>
        <w:shd w:val="clear" w:color="auto" w:fill="FFFFFF"/>
        <w:spacing w:before="0" w:beforeAutospacing="0" w:after="0"/>
        <w:ind w:left="0" w:firstLine="0"/>
        <w:rPr>
          <w:color w:val="000000" w:themeColor="text1"/>
          <w:sz w:val="16"/>
          <w:szCs w:val="16"/>
        </w:rPr>
      </w:pPr>
      <w:r w:rsidRPr="005E779E">
        <w:rPr>
          <w:rStyle w:val="af0"/>
          <w:i w:val="0"/>
          <w:color w:val="000000" w:themeColor="text1"/>
          <w:sz w:val="16"/>
          <w:szCs w:val="16"/>
        </w:rPr>
        <w:t>КРЮКОВА Сергея Меркуловича – рабочего слесаря, лучшего ударника завода;</w:t>
      </w:r>
    </w:p>
    <w:p w14:paraId="750142C6" w14:textId="77777777" w:rsidR="008776F8" w:rsidRPr="005E779E" w:rsidRDefault="008776F8" w:rsidP="000B7A6C">
      <w:pPr>
        <w:pStyle w:val="rteindent11"/>
        <w:shd w:val="clear" w:color="auto" w:fill="FFFFFF"/>
        <w:spacing w:before="0" w:beforeAutospacing="0" w:after="0"/>
        <w:ind w:left="0" w:firstLine="0"/>
        <w:rPr>
          <w:rStyle w:val="af0"/>
          <w:i w:val="0"/>
          <w:color w:val="000000" w:themeColor="text1"/>
          <w:sz w:val="16"/>
          <w:szCs w:val="16"/>
        </w:rPr>
      </w:pPr>
      <w:r w:rsidRPr="005E779E">
        <w:rPr>
          <w:rStyle w:val="af0"/>
          <w:i w:val="0"/>
          <w:color w:val="000000" w:themeColor="text1"/>
          <w:sz w:val="16"/>
          <w:szCs w:val="16"/>
        </w:rPr>
        <w:t>РОМАНЦОВА Ивана Сергеевича – заместителя зав. Производством, выдвиженца из рабочих, обеспечившего умелой организацией указанные высокие темпы постройки новых опытных типов самолетов;</w:t>
      </w:r>
    </w:p>
    <w:p w14:paraId="4C6B91AD" w14:textId="77777777" w:rsidR="008776F8" w:rsidRPr="005E779E" w:rsidRDefault="008776F8" w:rsidP="000B7A6C">
      <w:pPr>
        <w:pStyle w:val="rteindent11"/>
        <w:shd w:val="clear" w:color="auto" w:fill="FFFFFF"/>
        <w:spacing w:before="0" w:beforeAutospacing="0" w:after="0"/>
        <w:ind w:left="0" w:firstLine="0"/>
        <w:rPr>
          <w:color w:val="000000" w:themeColor="text1"/>
          <w:sz w:val="16"/>
          <w:szCs w:val="16"/>
        </w:rPr>
      </w:pPr>
      <w:r w:rsidRPr="005E779E">
        <w:rPr>
          <w:rStyle w:val="af0"/>
          <w:i w:val="0"/>
          <w:color w:val="000000" w:themeColor="text1"/>
          <w:sz w:val="16"/>
          <w:szCs w:val="16"/>
        </w:rPr>
        <w:t>БУХГОЛЬЦА Бенедикта Леоновича, летчика завода по испытанию новых образцов самолетов и их вооружения.</w:t>
      </w:r>
    </w:p>
    <w:p w14:paraId="55C07B7A" w14:textId="77777777" w:rsidR="008776F8" w:rsidRPr="005E779E" w:rsidRDefault="008776F8" w:rsidP="000B7A6C">
      <w:pPr>
        <w:pStyle w:val="rteindent11"/>
        <w:shd w:val="clear" w:color="auto" w:fill="FFFFFF"/>
        <w:spacing w:before="0" w:beforeAutospacing="0" w:after="0"/>
        <w:ind w:left="0" w:firstLine="0"/>
        <w:rPr>
          <w:color w:val="000000" w:themeColor="text1"/>
          <w:sz w:val="16"/>
          <w:szCs w:val="16"/>
        </w:rPr>
      </w:pPr>
      <w:r w:rsidRPr="005E779E">
        <w:rPr>
          <w:rStyle w:val="af0"/>
          <w:i w:val="0"/>
          <w:color w:val="000000" w:themeColor="text1"/>
          <w:sz w:val="16"/>
          <w:szCs w:val="16"/>
        </w:rPr>
        <w:t>Председатель Центрального Исполнительного Комитета Союза ССР М. Калинин</w:t>
      </w:r>
    </w:p>
    <w:p w14:paraId="544DEB29" w14:textId="77777777" w:rsidR="008776F8" w:rsidRPr="005E779E" w:rsidRDefault="008776F8" w:rsidP="000B7A6C">
      <w:pPr>
        <w:pStyle w:val="rteindent11"/>
        <w:shd w:val="clear" w:color="auto" w:fill="FFFFFF"/>
        <w:spacing w:before="0" w:beforeAutospacing="0" w:after="0"/>
        <w:ind w:left="0" w:firstLine="0"/>
        <w:rPr>
          <w:color w:val="000000" w:themeColor="text1"/>
          <w:sz w:val="16"/>
          <w:szCs w:val="16"/>
        </w:rPr>
      </w:pPr>
      <w:r w:rsidRPr="005E779E">
        <w:rPr>
          <w:rStyle w:val="af0"/>
          <w:i w:val="0"/>
          <w:color w:val="000000" w:themeColor="text1"/>
          <w:sz w:val="16"/>
          <w:szCs w:val="16"/>
        </w:rPr>
        <w:t>Председатель Совета Народных Комисаров Союза ССР В. Молотов (Скрябин)</w:t>
      </w:r>
    </w:p>
    <w:p w14:paraId="4C4356B1" w14:textId="77777777" w:rsidR="008776F8" w:rsidRPr="005E779E" w:rsidRDefault="008776F8" w:rsidP="000B7A6C">
      <w:pPr>
        <w:pStyle w:val="rteindent11"/>
        <w:shd w:val="clear" w:color="auto" w:fill="FFFFFF"/>
        <w:spacing w:before="0" w:beforeAutospacing="0" w:after="0"/>
        <w:ind w:left="0" w:firstLine="0"/>
        <w:rPr>
          <w:color w:val="000000" w:themeColor="text1"/>
          <w:sz w:val="16"/>
          <w:szCs w:val="16"/>
        </w:rPr>
      </w:pPr>
      <w:r w:rsidRPr="005E779E">
        <w:rPr>
          <w:rStyle w:val="af0"/>
          <w:i w:val="0"/>
          <w:color w:val="000000" w:themeColor="text1"/>
          <w:sz w:val="16"/>
          <w:szCs w:val="16"/>
        </w:rPr>
        <w:t>Секретарь Центрального Исполнительного Комитета Союза ССР А. Енукидзе</w:t>
      </w:r>
    </w:p>
    <w:p w14:paraId="4E619320" w14:textId="77777777" w:rsidR="008776F8" w:rsidRPr="005E779E" w:rsidRDefault="008776F8" w:rsidP="000B7A6C">
      <w:pPr>
        <w:pStyle w:val="rteindent11"/>
        <w:shd w:val="clear" w:color="auto" w:fill="FFFFFF"/>
        <w:spacing w:before="0" w:beforeAutospacing="0" w:after="0"/>
        <w:ind w:left="0" w:firstLine="0"/>
        <w:rPr>
          <w:color w:val="000000" w:themeColor="text1"/>
          <w:sz w:val="16"/>
          <w:szCs w:val="16"/>
        </w:rPr>
      </w:pPr>
      <w:r w:rsidRPr="005E779E">
        <w:rPr>
          <w:rStyle w:val="af0"/>
          <w:i w:val="0"/>
          <w:color w:val="000000" w:themeColor="text1"/>
          <w:sz w:val="16"/>
          <w:szCs w:val="16"/>
        </w:rPr>
        <w:t>Москва, Кремль, 08 июля 1931 года.</w:t>
      </w:r>
    </w:p>
    <w:p w14:paraId="10560FC4" w14:textId="77777777" w:rsidR="008776F8" w:rsidRPr="005E779E" w:rsidRDefault="008776F8"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Имя Н.Н. Поликарпова в вышедшем Постановлении не упоминается</w:t>
      </w:r>
    </w:p>
    <w:p w14:paraId="50A77D36" w14:textId="77777777" w:rsidR="008776F8" w:rsidRPr="005E779E" w:rsidRDefault="008776F8" w:rsidP="000B7A6C">
      <w:pPr>
        <w:shd w:val="clear" w:color="auto" w:fill="FFFFFF"/>
        <w:spacing w:after="0" w:line="240" w:lineRule="auto"/>
        <w:jc w:val="both"/>
        <w:rPr>
          <w:rFonts w:ascii="Times New Roman" w:hAnsi="Times New Roman"/>
          <w:color w:val="000000" w:themeColor="text1"/>
          <w:sz w:val="16"/>
          <w:szCs w:val="16"/>
        </w:rPr>
      </w:pPr>
    </w:p>
    <w:p w14:paraId="447B64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июля 1931 г. в газетах было опубликовано постановление Президиума ЦИК Союза ССР о награждении завода № 39 орденом Ленина «за исключительные достижения по самолетостроению». Сообщалось также и об амнистировании «...конструкторов, бывших вредителей, приговоренных коллегией ОГПУ к различным мерам социальной защиты, с одновременным их награждением». Почетными грамотами ЦИК СССР и денежными премиями были отмечены Д.П.Григорович, А.В.Надашкевич, И.М.Косткин, П.М.Крейсон, В.Л.Корвин-Кербер. Амнистировались все инженеры и техники, «добросовестно работающие в ЦКБ», а руководители «тюремного КБ» А.Г.Горяинов и Н.Е.Пауфлер награждены орденом «Красная Звезда» «за проявленную ими инициативу и упорство по созданию ЦКБ, умелую организацию в нем работы и использованию инженеров, бывших вредителей, на практической работе» (9528).</w:t>
      </w:r>
    </w:p>
    <w:p w14:paraId="4CCB3A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682C5B5" w14:textId="77777777" w:rsidR="00C74467" w:rsidRPr="005E779E" w:rsidRDefault="00C7446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июля 1931 г. в связи с награждением завода № 39 орденом Ленина за успехи в опытном строительстве самолетов, Президиум ЦИК Союза ССР амнистировал с одновременным денежным награждением группу авиаконструкторов, осужденных ОГПУ за "вредительство* и отбывающих наказание в ЦКБ при этом заводе. Амнистированы и награждены Д.П,Григорович, А.В.Надашкевич, И.Н.Косткин, П.М.Крейсон, В.Л.Корвин-Кербер, летчик-испытатель завода Б.Л.Бухгольц, способствовавший выпуску опытных самолктов, награжден орденом трудового Красного Знамени.</w:t>
      </w:r>
    </w:p>
    <w:p w14:paraId="11E79DED" w14:textId="77777777" w:rsidR="00C74467" w:rsidRPr="005E779E" w:rsidRDefault="00C7446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/«Красная звезда» за 10 июля 1931 г./ (23370).</w:t>
      </w:r>
    </w:p>
    <w:p w14:paraId="7DA25999" w14:textId="77777777" w:rsidR="00C74467" w:rsidRPr="005E779E" w:rsidRDefault="00C74467" w:rsidP="000B7A6C">
      <w:pPr>
        <w:spacing w:after="0" w:line="240" w:lineRule="auto"/>
        <w:jc w:val="both"/>
        <w:rPr>
          <w:rFonts w:ascii="Times New Roman" w:hAnsi="Times New Roman"/>
          <w:color w:val="000000" w:themeColor="text1"/>
          <w:sz w:val="16"/>
          <w:szCs w:val="16"/>
        </w:rPr>
      </w:pPr>
    </w:p>
    <w:p w14:paraId="7506A458" w14:textId="77777777" w:rsidR="007F54AB" w:rsidRPr="005E779E" w:rsidRDefault="007F54AB" w:rsidP="000B7A6C">
      <w:pPr>
        <w:pStyle w:val="ae"/>
        <w:shd w:val="clear" w:color="auto" w:fill="FFFFFF"/>
        <w:spacing w:before="0" w:after="0"/>
        <w:jc w:val="both"/>
        <w:rPr>
          <w:color w:val="000000" w:themeColor="text1"/>
          <w:sz w:val="16"/>
          <w:szCs w:val="16"/>
        </w:rPr>
      </w:pPr>
      <w:r w:rsidRPr="005E779E">
        <w:rPr>
          <w:color w:val="000000" w:themeColor="text1"/>
          <w:sz w:val="16"/>
          <w:szCs w:val="16"/>
        </w:rPr>
        <w:t>8 июля 1931 г. решением Коллегии ОГПУ от 14 осужденных по делу освободили, однако разделили на три категории. Отнесенные к первой категории (С. Макаровский, Д. Григорович, А. Безсонов и В. Днепров) подлежали безусловному освобождению; ко второй (А Надашкевич, И. Косткин и еще 4 человека) — определялись под негласный надзор ОГПУ; к третьей (всего 4 человека) — под гласный надзор[1187].</w:t>
      </w:r>
    </w:p>
    <w:p w14:paraId="1ADBAD9F" w14:textId="77777777" w:rsidR="007F54AB" w:rsidRPr="005E779E" w:rsidRDefault="007F54AB" w:rsidP="000B7A6C">
      <w:pPr>
        <w:pStyle w:val="ae"/>
        <w:shd w:val="clear" w:color="auto" w:fill="FFFFFF"/>
        <w:spacing w:before="0" w:after="0"/>
        <w:jc w:val="both"/>
        <w:rPr>
          <w:color w:val="000000" w:themeColor="text1"/>
          <w:sz w:val="16"/>
          <w:szCs w:val="16"/>
        </w:rPr>
      </w:pPr>
      <w:r w:rsidRPr="005E779E">
        <w:rPr>
          <w:color w:val="000000" w:themeColor="text1"/>
          <w:sz w:val="16"/>
          <w:szCs w:val="16"/>
        </w:rPr>
        <w:t>Вскоре освободили и остальных осужденных, включая и Н. Поликарпова (20403)</w:t>
      </w:r>
    </w:p>
    <w:p w14:paraId="78A07BA8" w14:textId="77777777" w:rsidR="007F54AB" w:rsidRPr="005E779E" w:rsidRDefault="007F54AB" w:rsidP="000B7A6C">
      <w:pPr>
        <w:spacing w:after="0" w:line="240" w:lineRule="auto"/>
        <w:jc w:val="both"/>
        <w:rPr>
          <w:rFonts w:ascii="Times New Roman" w:hAnsi="Times New Roman"/>
          <w:color w:val="000000" w:themeColor="text1"/>
          <w:sz w:val="16"/>
          <w:szCs w:val="16"/>
        </w:rPr>
      </w:pPr>
    </w:p>
    <w:p w14:paraId="2B9D6116"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4FA2630E"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3BEF6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июля 1931 года в протоколе заседания "Правительственной комиссии тов. Андреева по кулакам" есть следующие строки: "Удовлетворить заявки Востокстали на 18.200 семей спецпереселенцев". Из них тысяча семей из Центрального Черноземья - около семи тысяч человек - предназначалась специально для Синарстроя. Всего за три дня - с 9 по 11 июля - людей собрали, лишили имущества, осудили и поставили под конвой. А двумя месяцами раньше неутомимый партиец И. Д. Кабаков перехватил на Волге несколько эшелонов с "живым грузом", идущих по предписанию в голые казахские степи, и повернул их к себе, на более-менее обустроенный Урал, на Синарстрой. Эти-то люди и оказались первостроителями трубного завода ("Наука и жизнь", №11, 2004) (11515).</w:t>
      </w:r>
    </w:p>
    <w:p w14:paraId="7009A4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D03825E" w14:textId="77777777" w:rsidR="003562F3"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4AAD37C6" w14:textId="77777777" w:rsidR="003562F3" w:rsidRPr="005E779E" w:rsidRDefault="003562F3"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C78E3C1" w14:textId="77777777" w:rsidR="00EA791B" w:rsidRPr="00142305" w:rsidRDefault="00EA791B" w:rsidP="00EA791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9 июля 1930 г. начальник ВАО Михайлов издал приказ:</w:t>
      </w:r>
    </w:p>
    <w:p w14:paraId="44C66C75" w14:textId="187DCC10" w:rsidR="00EA791B" w:rsidRPr="00142305" w:rsidRDefault="00EA791B" w:rsidP="00EA791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«Раскрытая Экономическим управлением ОГПУ вредительская к.-р.</w:t>
      </w:r>
      <w:r w:rsidR="00FE094E">
        <w:rPr>
          <w:rFonts w:ascii="Times New Roman" w:hAnsi="Times New Roman"/>
          <w:color w:val="0070C0"/>
          <w:sz w:val="16"/>
          <w:szCs w:val="16"/>
        </w:rPr>
        <w:t xml:space="preserve"> </w:t>
      </w:r>
      <w:r w:rsidRPr="00142305">
        <w:rPr>
          <w:rFonts w:ascii="Times New Roman" w:hAnsi="Times New Roman"/>
          <w:color w:val="0070C0"/>
          <w:sz w:val="16"/>
          <w:szCs w:val="16"/>
        </w:rPr>
        <w:t xml:space="preserve">[контрреволюционная.] организация в Авиационной промышленности имела своей целью разложение авиапромышленности, срыв мобилизационной готовности и тем самым подрыв обороноспособности нашей страны. </w:t>
      </w:r>
    </w:p>
    <w:p w14:paraId="0B3B9C66" w14:textId="77777777" w:rsidR="00EA791B" w:rsidRPr="00142305" w:rsidRDefault="00EA791B" w:rsidP="00EA791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В настоящее время в значительной степени известна картина вредительской деятельности в авиапромышленности, и это позволяет со всей решительностью приступить к ликвидации последствий на заводах ВАО. </w:t>
      </w:r>
    </w:p>
    <w:p w14:paraId="08EBAB02" w14:textId="77777777" w:rsidR="00EA791B" w:rsidRPr="00142305" w:rsidRDefault="00EA791B" w:rsidP="00EA791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На основании постановления Политбюро ЦК ВКП(б) при ВАО создана Центральная Комиссия по ликвидации последствий вредительства в авиапромышленности в составе: </w:t>
      </w:r>
    </w:p>
    <w:p w14:paraId="540C16CF" w14:textId="77777777" w:rsidR="00EA791B" w:rsidRPr="00142305" w:rsidRDefault="00EA791B" w:rsidP="00EA791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Председателя Комиссии — меня. </w:t>
      </w:r>
    </w:p>
    <w:p w14:paraId="6ED3EE0B" w14:textId="7EBBE63F" w:rsidR="00EA791B" w:rsidRPr="00142305" w:rsidRDefault="00EA791B" w:rsidP="00EA791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Заместителей Председателя — моих заместителей</w:t>
      </w:r>
      <w:r w:rsidR="00FE094E">
        <w:rPr>
          <w:rFonts w:ascii="Times New Roman" w:hAnsi="Times New Roman"/>
          <w:color w:val="0070C0"/>
          <w:sz w:val="16"/>
          <w:szCs w:val="16"/>
        </w:rPr>
        <w:t xml:space="preserve"> </w:t>
      </w:r>
      <w:r w:rsidRPr="00142305">
        <w:rPr>
          <w:rFonts w:ascii="Times New Roman" w:hAnsi="Times New Roman"/>
          <w:color w:val="0070C0"/>
          <w:sz w:val="16"/>
          <w:szCs w:val="16"/>
        </w:rPr>
        <w:t xml:space="preserve">тт. ДРУЯН и ДЕСЯТНИКОВА. </w:t>
      </w:r>
    </w:p>
    <w:p w14:paraId="53601CF2" w14:textId="77777777" w:rsidR="00EA791B" w:rsidRPr="00142305" w:rsidRDefault="00EA791B" w:rsidP="00EA791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Членов: </w:t>
      </w:r>
    </w:p>
    <w:p w14:paraId="294360FC" w14:textId="77777777" w:rsidR="00EA791B" w:rsidRPr="00142305" w:rsidRDefault="00EA791B" w:rsidP="00EA791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от ВАО т. ФРОЛОВА, </w:t>
      </w:r>
    </w:p>
    <w:p w14:paraId="18EC5AB2" w14:textId="19619D8E" w:rsidR="00EA791B" w:rsidRPr="00142305" w:rsidRDefault="00EA791B" w:rsidP="00EA791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от ОГПУ</w:t>
      </w:r>
      <w:r w:rsidR="00FE094E">
        <w:rPr>
          <w:rFonts w:ascii="Times New Roman" w:hAnsi="Times New Roman"/>
          <w:color w:val="0070C0"/>
          <w:sz w:val="16"/>
          <w:szCs w:val="16"/>
        </w:rPr>
        <w:t xml:space="preserve"> </w:t>
      </w:r>
      <w:r w:rsidRPr="00142305">
        <w:rPr>
          <w:rFonts w:ascii="Times New Roman" w:hAnsi="Times New Roman"/>
          <w:color w:val="0070C0"/>
          <w:sz w:val="16"/>
          <w:szCs w:val="16"/>
        </w:rPr>
        <w:t xml:space="preserve">тт. КОНОВАЛОВА, ШАЛЫТ и ЗМУДА, </w:t>
      </w:r>
    </w:p>
    <w:p w14:paraId="3E602C84" w14:textId="77777777" w:rsidR="00EA791B" w:rsidRPr="00142305" w:rsidRDefault="00EA791B" w:rsidP="00EA791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от УВВС т. ХАРЛАМОВА, </w:t>
      </w:r>
    </w:p>
    <w:p w14:paraId="0A98933B" w14:textId="77777777" w:rsidR="00EA791B" w:rsidRPr="00142305" w:rsidRDefault="00EA791B" w:rsidP="00EA791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от ЦК Металлистов т. ГИМЕРВЕРТ. </w:t>
      </w:r>
    </w:p>
    <w:p w14:paraId="1A54F8A8" w14:textId="22D7CFC1" w:rsidR="00EA791B" w:rsidRPr="00142305" w:rsidRDefault="00EA791B" w:rsidP="00EA791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основу своей работы Комиссия кладет следственные материалы, имеющиеся в Экономическом управлении ОГПУ, а также при помощи рабочих бригад, производственных совещаний под руководством заводских комиссий по л/вредительства</w:t>
      </w:r>
      <w:r w:rsidR="00FE094E">
        <w:rPr>
          <w:rFonts w:ascii="Times New Roman" w:hAnsi="Times New Roman"/>
          <w:color w:val="0070C0"/>
          <w:sz w:val="16"/>
          <w:szCs w:val="16"/>
        </w:rPr>
        <w:t xml:space="preserve"> </w:t>
      </w:r>
      <w:r w:rsidRPr="00142305">
        <w:rPr>
          <w:rFonts w:ascii="Times New Roman" w:hAnsi="Times New Roman"/>
          <w:color w:val="0070C0"/>
          <w:sz w:val="16"/>
          <w:szCs w:val="16"/>
        </w:rPr>
        <w:t xml:space="preserve">[ликвидации вредительства] ведет работу по выявлению тех последствий вредительства, которые со стороны вредителей указаны еще не были (были скрыты). </w:t>
      </w:r>
    </w:p>
    <w:p w14:paraId="48D3FDAD" w14:textId="77777777" w:rsidR="00EA791B" w:rsidRPr="00142305" w:rsidRDefault="00EA791B" w:rsidP="00EA791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На основании вышеизложенного ПРИКАЗЫВАЮ: </w:t>
      </w:r>
    </w:p>
    <w:p w14:paraId="07B7BBFB" w14:textId="4A317939" w:rsidR="00EA791B" w:rsidRPr="00142305" w:rsidRDefault="00EA791B" w:rsidP="00EA791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1. Создать на авиазаводах 1, 22, 23, 24,26, 28, 29, 31 и Центрального опытного завода</w:t>
      </w:r>
      <w:r w:rsidR="00FE094E">
        <w:rPr>
          <w:rFonts w:ascii="Times New Roman" w:hAnsi="Times New Roman"/>
          <w:color w:val="0070C0"/>
          <w:sz w:val="16"/>
          <w:szCs w:val="16"/>
        </w:rPr>
        <w:t xml:space="preserve"> </w:t>
      </w:r>
      <w:r w:rsidRPr="00142305">
        <w:rPr>
          <w:rFonts w:ascii="Times New Roman" w:hAnsi="Times New Roman"/>
          <w:color w:val="0070C0"/>
          <w:sz w:val="16"/>
          <w:szCs w:val="16"/>
        </w:rPr>
        <w:t xml:space="preserve">[№ 39] местные заводские комиссии по ликвидации последствий вредительства в составе: </w:t>
      </w:r>
    </w:p>
    <w:p w14:paraId="2EB32F67" w14:textId="77777777" w:rsidR="00EA791B" w:rsidRPr="00142305" w:rsidRDefault="00EA791B" w:rsidP="00EA791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Председателя — директора завода и членов — секретаря ячейки или партийного комитета ВКП(б), председателя завкома, представителя соответствующего отдела ГПУ и представителя военной приемки, если имеются в таковой члены ВКП(б). </w:t>
      </w:r>
    </w:p>
    <w:p w14:paraId="2B2E4422" w14:textId="77777777" w:rsidR="00EA791B" w:rsidRPr="00142305" w:rsidRDefault="00EA791B" w:rsidP="00EA791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 2. Комиссии по ликвидации последствий вредительства приступить к работе в 2-дневный срок со дня получения настоящего приказа, разработав календарный план по ликвидации вредительства с указанием сроков их окончания. </w:t>
      </w:r>
    </w:p>
    <w:p w14:paraId="28F88B4B" w14:textId="77777777" w:rsidR="00EA791B" w:rsidRPr="00142305" w:rsidRDefault="00EA791B" w:rsidP="00EA791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 3. Для технического исполнения и наблюдения за выполнением постановлений комиссии, создать при местной заводской комиссии секретариат из 3 лиц. </w:t>
      </w:r>
    </w:p>
    <w:p w14:paraId="620485E6" w14:textId="77777777" w:rsidR="00EA791B" w:rsidRPr="00142305" w:rsidRDefault="00EA791B" w:rsidP="00EA791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4. Председателям комиссий доносить мне о проделанной работе один раз в десятидневку 1, 10, 20-го числа каждого месяца специальными докладами» (25035).</w:t>
      </w:r>
    </w:p>
    <w:p w14:paraId="6291B799" w14:textId="77777777" w:rsidR="00EA791B" w:rsidRPr="00142305" w:rsidRDefault="00EA791B" w:rsidP="00EA791B">
      <w:pPr>
        <w:spacing w:after="0" w:line="240" w:lineRule="auto"/>
        <w:jc w:val="both"/>
        <w:rPr>
          <w:rFonts w:ascii="Times New Roman" w:hAnsi="Times New Roman"/>
          <w:color w:val="0070C0"/>
          <w:sz w:val="16"/>
          <w:szCs w:val="16"/>
        </w:rPr>
      </w:pPr>
    </w:p>
    <w:p w14:paraId="724188C9" w14:textId="77777777" w:rsidR="003562F3" w:rsidRPr="005E779E" w:rsidRDefault="003562F3"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июля 1931 г. прошли первые ис</w:t>
      </w:r>
      <w:r w:rsidRPr="005E779E">
        <w:rPr>
          <w:rFonts w:ascii="Times New Roman" w:hAnsi="Times New Roman"/>
          <w:color w:val="000000" w:themeColor="text1"/>
          <w:sz w:val="16"/>
          <w:szCs w:val="16"/>
        </w:rPr>
        <w:softHyphen/>
        <w:t>пытания образцов воздушно-десант</w:t>
      </w:r>
      <w:r w:rsidRPr="005E779E">
        <w:rPr>
          <w:rFonts w:ascii="Times New Roman" w:hAnsi="Times New Roman"/>
          <w:color w:val="000000" w:themeColor="text1"/>
          <w:sz w:val="16"/>
          <w:szCs w:val="16"/>
        </w:rPr>
        <w:softHyphen/>
        <w:t>ной техники, созданных отделом Гро</w:t>
      </w:r>
      <w:r w:rsidRPr="005E779E">
        <w:rPr>
          <w:rFonts w:ascii="Times New Roman" w:hAnsi="Times New Roman"/>
          <w:color w:val="000000" w:themeColor="text1"/>
          <w:sz w:val="16"/>
          <w:szCs w:val="16"/>
        </w:rPr>
        <w:softHyphen/>
        <w:t>ховского, среди которых были: хлопча</w:t>
      </w:r>
      <w:r w:rsidRPr="005E779E">
        <w:rPr>
          <w:rFonts w:ascii="Times New Roman" w:hAnsi="Times New Roman"/>
          <w:color w:val="000000" w:themeColor="text1"/>
          <w:sz w:val="16"/>
          <w:szCs w:val="16"/>
        </w:rPr>
        <w:softHyphen/>
        <w:t>тобумажные парашюты, парашют с фалой принудительного раскрытия; подкрыльевые люльки для парашюти</w:t>
      </w:r>
      <w:r w:rsidRPr="005E779E">
        <w:rPr>
          <w:rFonts w:ascii="Times New Roman" w:hAnsi="Times New Roman"/>
          <w:color w:val="000000" w:themeColor="text1"/>
          <w:sz w:val="16"/>
          <w:szCs w:val="16"/>
        </w:rPr>
        <w:softHyphen/>
        <w:t>стов, десантные комбинезоны, 13 апре</w:t>
      </w:r>
      <w:r w:rsidRPr="005E779E">
        <w:rPr>
          <w:rFonts w:ascii="Times New Roman" w:hAnsi="Times New Roman"/>
          <w:color w:val="000000" w:themeColor="text1"/>
          <w:sz w:val="16"/>
          <w:szCs w:val="16"/>
        </w:rPr>
        <w:softHyphen/>
        <w:t>ля 1932 г. начальник вооружений РККА М.Н. Тухачевский утвердил положе</w:t>
      </w:r>
      <w:r w:rsidRPr="005E779E">
        <w:rPr>
          <w:rFonts w:ascii="Times New Roman" w:hAnsi="Times New Roman"/>
          <w:color w:val="000000" w:themeColor="text1"/>
          <w:sz w:val="16"/>
          <w:szCs w:val="16"/>
        </w:rPr>
        <w:softHyphen/>
        <w:t>ние об Особом конструкторском (конструкторско-производственном) бюро ВВС РККА. При ОКБ Гроховского со</w:t>
      </w:r>
      <w:r w:rsidRPr="005E779E">
        <w:rPr>
          <w:rFonts w:ascii="Times New Roman" w:hAnsi="Times New Roman"/>
          <w:color w:val="000000" w:themeColor="text1"/>
          <w:sz w:val="16"/>
          <w:szCs w:val="16"/>
        </w:rPr>
        <w:softHyphen/>
        <w:t>здали экспериментальный завод, ему подчинили летный отряд. В том же году ОКБ сдало на вооружение грузовые мягкие парашютно-десантные мешки ПДММ для сброса груза массой до 100 кг (индивидуальное и групповое оружие, боеприпасы, продовольствие и т.п.), парашютно-десантные бензи</w:t>
      </w:r>
      <w:r w:rsidRPr="005E779E">
        <w:rPr>
          <w:rFonts w:ascii="Times New Roman" w:hAnsi="Times New Roman"/>
          <w:color w:val="000000" w:themeColor="text1"/>
          <w:sz w:val="16"/>
          <w:szCs w:val="16"/>
        </w:rPr>
        <w:softHyphen/>
        <w:t>новые баки ПДББ-250 и ПДББ-450. Прошел испытания разработанный Гроховским, Титовым и Афанасьевым метод срыва (парашют раскрывался до отделения груза от носителя, укоро</w:t>
      </w:r>
      <w:r w:rsidRPr="005E779E">
        <w:rPr>
          <w:rFonts w:ascii="Times New Roman" w:hAnsi="Times New Roman"/>
          <w:color w:val="000000" w:themeColor="text1"/>
          <w:sz w:val="16"/>
          <w:szCs w:val="16"/>
        </w:rPr>
        <w:softHyphen/>
        <w:t>ченной стропой открывал замки креп</w:t>
      </w:r>
      <w:r w:rsidRPr="005E779E">
        <w:rPr>
          <w:rFonts w:ascii="Times New Roman" w:hAnsi="Times New Roman"/>
          <w:color w:val="000000" w:themeColor="text1"/>
          <w:sz w:val="16"/>
          <w:szCs w:val="16"/>
        </w:rPr>
        <w:softHyphen/>
        <w:t>ления и стягивал груз с носителя) (11752).</w:t>
      </w:r>
    </w:p>
    <w:p w14:paraId="57296966" w14:textId="77777777" w:rsidR="003562F3" w:rsidRPr="005E779E" w:rsidRDefault="003562F3"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9B1CA5" w14:textId="77777777" w:rsidR="00EA791B" w:rsidRPr="00142305" w:rsidRDefault="00EA791B" w:rsidP="00EA791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9 июля 1931 г. руководству ВВС демонстрировалось десантирование отряда парашютистов с самолета ТБ-1 из «люлек» Гроховского (12 штук). Десантирование произошло, как говорят, «без сучка и задоринки», руководство ВВС дало положительную оценку системе Гроховско</w:t>
      </w:r>
      <w:r w:rsidRPr="00142305">
        <w:rPr>
          <w:rFonts w:ascii="Times New Roman" w:hAnsi="Times New Roman"/>
          <w:color w:val="0070C0"/>
          <w:sz w:val="16"/>
          <w:szCs w:val="16"/>
        </w:rPr>
        <w:softHyphen/>
        <w:t>го. Среди парашютистов оказалась даже чертежница из ОКБ Гроховского Л.С. Кулешова (Епишева), после этого прыжка ставшая первой женщиной-парашютис</w:t>
      </w:r>
      <w:r w:rsidRPr="00142305">
        <w:rPr>
          <w:rFonts w:ascii="Times New Roman" w:hAnsi="Times New Roman"/>
          <w:color w:val="0070C0"/>
          <w:sz w:val="16"/>
          <w:szCs w:val="16"/>
        </w:rPr>
        <w:softHyphen/>
        <w:t>ткой в СССР (25004).</w:t>
      </w:r>
    </w:p>
    <w:p w14:paraId="44A6C540" w14:textId="77777777" w:rsidR="00EA791B" w:rsidRPr="00142305" w:rsidRDefault="00EA791B" w:rsidP="00EA791B">
      <w:pPr>
        <w:spacing w:after="0" w:line="240" w:lineRule="auto"/>
        <w:jc w:val="both"/>
        <w:rPr>
          <w:rFonts w:ascii="Times New Roman" w:hAnsi="Times New Roman"/>
          <w:color w:val="0070C0"/>
          <w:sz w:val="16"/>
          <w:szCs w:val="16"/>
        </w:rPr>
      </w:pPr>
    </w:p>
    <w:p w14:paraId="6ABD5A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июля 1931 первая женщина - Л.С.Кулешова совершил прыжок с ТБ-1 из подкрыльной кассеты для перевозки десантников системы П.И.Гроховского. Опрокидывающиеся люльки подвешивались на бомбодержателях (346,18).</w:t>
      </w:r>
    </w:p>
    <w:p w14:paraId="7D560D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93E20E7" w14:textId="77777777" w:rsidR="00E812E3" w:rsidRPr="005E779E" w:rsidRDefault="00E812E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июля в 1931 впервые первой среди женщин в СССР совершила прыжок с самолета Лидия Кулешова (Епишева) - на групповом снимке справа вверху.</w:t>
      </w:r>
    </w:p>
    <w:p w14:paraId="0F811EA7" w14:textId="77777777" w:rsidR="00E812E3" w:rsidRPr="005E779E" w:rsidRDefault="00E812E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июля 1931 года стояла безоблачная погода. Вся группа новичков выехала на Центральный аэродром. Под крыльями «ТБ-1» висели люльки, из которых и предстояло прыгать.</w:t>
      </w:r>
    </w:p>
    <w:p w14:paraId="6781B340" w14:textId="77777777" w:rsidR="00E812E3" w:rsidRPr="005E779E" w:rsidRDefault="00E812E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Волновалась ли? ─ улыбается Лидия Сергеевна. ─ А как же иначе! Надо мной мужчины подшучивали: «Смотри не сломай ногу, замуж не возьмем». Да и лежать в этой люльке неудобно. Ничего не видно. Не знаешь, ни какая высота, ни где летишь, и каждую секунду ждешь: вот-вот вывалишься вниз. Сейчас спортсмены прыгают с двумя парашютами ─ основным и запасным. Тогда имела только один. Валерий Павлович Чкалов уговаривал меня не прыгать, но, поняв, что старается напрасно, стал подбадривать.</w:t>
      </w:r>
    </w:p>
    <w:p w14:paraId="75C67C22" w14:textId="77777777" w:rsidR="00E812E3" w:rsidRPr="005E779E" w:rsidRDefault="00E812E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Сколько времени летели ─ не знаю, но показалось ─ целая вечность. Вдруг что-то щелкнуло, и я провалилась вниз. Холодный поток воздуха и сильный динамический удар, от которого искры посыпались из глаз, привели меня в чувство ─ я увидела огромный купол над головой...] Первая советская парашютистка Лидия Кулешова участвовала в массовом десанте 18 августа 1933 года на воздушном параде (14947).</w:t>
      </w:r>
    </w:p>
    <w:p w14:paraId="5A95150B" w14:textId="77777777" w:rsidR="00E812E3" w:rsidRPr="005E779E" w:rsidRDefault="00E812E3" w:rsidP="000B7A6C">
      <w:pPr>
        <w:spacing w:after="0" w:line="240" w:lineRule="auto"/>
        <w:jc w:val="both"/>
        <w:rPr>
          <w:rFonts w:ascii="Times New Roman" w:hAnsi="Times New Roman"/>
          <w:color w:val="000000" w:themeColor="text1"/>
          <w:sz w:val="16"/>
          <w:szCs w:val="16"/>
        </w:rPr>
      </w:pPr>
    </w:p>
    <w:p w14:paraId="057A465F" w14:textId="77777777" w:rsidR="00C74467" w:rsidRPr="005E779E" w:rsidRDefault="00C7446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июля 1931 г. в Москве совершила парашютный прыжок первая из советских женщин Лидия Кулешова. Прыжок бил совершен с- самолета ТБ-1на парашюте автоматического действия системы П.И.Гроховского.</w:t>
      </w:r>
    </w:p>
    <w:p w14:paraId="3EEA657B" w14:textId="2AFAD7E8" w:rsidR="00C74467" w:rsidRPr="005E779E" w:rsidRDefault="00C7446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Прыжок первой парашютистки оказался заразительным примером для других женщин. 19-го августа в Гатчине</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Вера Федорова и Анастасия Чиркова совершили уже прыжок с самолета на парашюте свободного действия. Вскоре появились и парашютистки-рекордсменки,</w:t>
      </w:r>
    </w:p>
    <w:p w14:paraId="4143F7A6" w14:textId="77777777" w:rsidR="00C74467" w:rsidRPr="005E779E" w:rsidRDefault="00C7446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/ВВФ, 1934 № 8; А.А.Белоусов. Парашют и парашютизм, 1957/ (23370).</w:t>
      </w:r>
    </w:p>
    <w:p w14:paraId="67807E95" w14:textId="77777777" w:rsidR="00C74467" w:rsidRPr="005E779E" w:rsidRDefault="00C74467" w:rsidP="000B7A6C">
      <w:pPr>
        <w:spacing w:after="0" w:line="240" w:lineRule="auto"/>
        <w:jc w:val="both"/>
        <w:rPr>
          <w:rFonts w:ascii="Times New Roman" w:hAnsi="Times New Roman"/>
          <w:color w:val="000000" w:themeColor="text1"/>
          <w:sz w:val="16"/>
          <w:szCs w:val="16"/>
        </w:rPr>
      </w:pPr>
    </w:p>
    <w:p w14:paraId="24552808" w14:textId="77777777" w:rsidR="00BB323F"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71ED76FF" w14:textId="77777777" w:rsidR="00BB323F" w:rsidRPr="005E779E" w:rsidRDefault="00BB323F"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DFB0867" w14:textId="77777777" w:rsidR="00D84D3F" w:rsidRPr="005E779E" w:rsidRDefault="00D84D3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июля 1931 г. на совещании под председательством М. Н. Тухачевскогого, на котором рассматривались итоги работы завода «Баррикады», было принято решение об укреплении руководства предприятия. В марте 1931 г. на «Баррикады» директором направлен директор «Большевика» Виктор Иванович Сальников, хорошо зарекомендовавший себя в Ленинграде. Продуктивно начал свою деятельность Сальников и на «Баррикадах». При нём было завершено строительство группы цехов и оснащение их новейшим технологическим оборудованием. В это же время на заводе стал назревать конфликт между специалистами старой, дореволюционной школы, и молодыми, окончившими советские вузы. Руководящие должности на заводе в основном занимали старые нередко консервативные специалисты. Молодые более инициативные, а часто и более грамотные были на вторых ролях. Назревал конфликт. Сальников более доверял прибывшим вместе с ним или ранее специалистам «Большевика». Парткомом завода была разработана схема управления заводом с учётом предложений, поступивших в комитет. На партийной конференции схема была обсуждена и одобрена, несмотря на возражения директора. Между директором и парткомом возникли конфликты и по другим вопросам. Сальников оказался в изоляции, что и послужило поводом для его отзыва. К 1934 г. металлургическое производство на «Баррикадах», используя опыт «Большевика» окрепло. Первая бригада кузнецов, подготовленная на «Большевике», осваивала работу на крупнейшем в стране ковочном прессе 6000 тс, термисты работали по технологическим режимам, разработанным на «Большевике». Это позволило начать подготовку к освоению выпуска гаубицы Б-4. В 1935 г. КБ «Большевика» под руководством И. И. Иванова и Е. Г. Рудяка разработало ствол дальнобойной пушки калибра 152 мм. КБ завода «Баррикады» наложило его на лафет гаубицы Б-4. Так совместными усилиями двух КБ было создано орудие большой мощности Бр-2 (15132).</w:t>
      </w:r>
    </w:p>
    <w:p w14:paraId="627E2352" w14:textId="77777777" w:rsidR="00D84D3F" w:rsidRPr="005E779E" w:rsidRDefault="00D84D3F" w:rsidP="000B7A6C">
      <w:pPr>
        <w:spacing w:after="0" w:line="240" w:lineRule="auto"/>
        <w:jc w:val="both"/>
        <w:rPr>
          <w:rFonts w:ascii="Times New Roman" w:hAnsi="Times New Roman"/>
          <w:color w:val="000000" w:themeColor="text1"/>
          <w:sz w:val="16"/>
          <w:szCs w:val="16"/>
        </w:rPr>
      </w:pPr>
    </w:p>
    <w:p w14:paraId="1C1DDAB5" w14:textId="77777777" w:rsidR="00BB323F" w:rsidRPr="005E779E" w:rsidRDefault="00BB323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июля 1931 г. завод ХПЗ провел «большое испытание» танка Т-24 пробегом на 60 км, в ходе которого проверялась работа радиатора и вентилятора системы охлаждения двигателя, тормозов, определялись тяговые качества и предельные скорости, а также управляемость машины. При этом танк показал прекрасные тяговые качества (на второй передаче скорость движения составляла до 6 км/ч, на третьей — до 16 км/ч и на четвертой — до 27 км/ч). Радиатор и вентилятор системы охлаждения двигателя функционировали без замечаний (температура воды и масла не превышала допустимых значений). Не имелось замечаний и по работе тормозов: обеспечивалась хорошая пово-рачиваемость машины на месте на третьей и даже на четвертой скоростях.В августе 1931 г. ХПЗ сдал заказчику всего три танка Т-24, окончательную сборку еще трех машин завод не смог завершить из-за отсутствия башен, которые к этому времени не поставил Ижорский завод. Недостающие башни на завод поступили только в сентябре. Всего до 15 октября 1931 г. Ижорский завод отправил на ХПЗ 25 больших и 25 малых башен (12303).</w:t>
      </w:r>
    </w:p>
    <w:p w14:paraId="405C0408" w14:textId="45405546" w:rsidR="00BB323F" w:rsidRPr="005E779E" w:rsidRDefault="00BB323F" w:rsidP="000B7A6C">
      <w:pPr>
        <w:spacing w:after="0" w:line="240" w:lineRule="auto"/>
        <w:jc w:val="both"/>
        <w:rPr>
          <w:rFonts w:ascii="Times New Roman" w:hAnsi="Times New Roman"/>
          <w:color w:val="000000" w:themeColor="text1"/>
          <w:sz w:val="16"/>
          <w:szCs w:val="16"/>
        </w:rPr>
      </w:pPr>
    </w:p>
    <w:p w14:paraId="293CFF74" w14:textId="77777777" w:rsidR="00EA791B" w:rsidRPr="00142305" w:rsidRDefault="00EA791B" w:rsidP="00EA791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9 июля 1931 г. завод провел «большое испытание» танка Т-24 пробегом на60 км, входе которого проверялась работа радиатора и вентилятора системы охлаждения двигателя, тормозов, определялись тяговые качества и предельные скорости, а также управляемость машины. При этом танк показал прекрасные тяговые качества (на второй передаче скорость движения составляла до 6 км/ч, на третьей — до 16 км/ч и на четвертой — до 27 км/ч). Радиатор и вентилятор системы охлаждения двигателя функционировали без замечаний (температура воды и масла не превышала допустимых значений). Не имелось замечаний и по работе тормозов: обеспечивалась хорошая поворачиваемость машины на месте на третьей и даже на четвертой скоростях (25479).</w:t>
      </w:r>
    </w:p>
    <w:p w14:paraId="2420D803" w14:textId="77777777" w:rsidR="00EA791B" w:rsidRPr="00142305" w:rsidRDefault="00EA791B" w:rsidP="00EA791B">
      <w:pPr>
        <w:spacing w:after="0" w:line="240" w:lineRule="auto"/>
        <w:jc w:val="both"/>
        <w:rPr>
          <w:rFonts w:ascii="Times New Roman" w:hAnsi="Times New Roman"/>
          <w:color w:val="0070C0"/>
          <w:sz w:val="16"/>
          <w:szCs w:val="16"/>
        </w:rPr>
      </w:pPr>
    </w:p>
    <w:p w14:paraId="50143D97" w14:textId="06FD1B78" w:rsidR="007F54AB" w:rsidRPr="005E779E" w:rsidRDefault="007F54AB" w:rsidP="000B7A6C">
      <w:pPr>
        <w:spacing w:after="0" w:line="240" w:lineRule="auto"/>
        <w:jc w:val="both"/>
        <w:rPr>
          <w:rFonts w:ascii="Times New Roman" w:hAnsi="Times New Roman"/>
          <w:i/>
          <w:iCs/>
          <w:color w:val="000000" w:themeColor="text1"/>
          <w:sz w:val="16"/>
          <w:szCs w:val="16"/>
        </w:rPr>
      </w:pPr>
      <w:r w:rsidRPr="005E779E">
        <w:rPr>
          <w:rFonts w:ascii="Times New Roman" w:hAnsi="Times New Roman"/>
          <w:i/>
          <w:iCs/>
          <w:color w:val="000000" w:themeColor="text1"/>
          <w:sz w:val="16"/>
          <w:szCs w:val="16"/>
        </w:rPr>
        <w:t>Армия:</w:t>
      </w:r>
    </w:p>
    <w:p w14:paraId="0D420A4A" w14:textId="77777777" w:rsidR="007F54AB" w:rsidRPr="005E779E" w:rsidRDefault="007F54AB" w:rsidP="000B7A6C">
      <w:pPr>
        <w:spacing w:after="0" w:line="240" w:lineRule="auto"/>
        <w:jc w:val="both"/>
        <w:rPr>
          <w:rFonts w:ascii="Times New Roman" w:hAnsi="Times New Roman"/>
          <w:i/>
          <w:iCs/>
          <w:color w:val="000000" w:themeColor="text1"/>
          <w:sz w:val="16"/>
          <w:szCs w:val="16"/>
        </w:rPr>
      </w:pPr>
    </w:p>
    <w:p w14:paraId="4E8A83C9" w14:textId="77777777" w:rsidR="007F54AB" w:rsidRPr="005E779E" w:rsidRDefault="007F54AB"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9 июля 1931 комкор Г.Д. Базилевич, на запрос заведующего Секретным отделом ЦК А.Н. Поскребышева отвечал: вопрос об охране северного побережья «частично выполняется НКВМ; в целом он будет слушаться вместе с докладом о Морфлоте на КО месяца через два» (20467).</w:t>
      </w:r>
    </w:p>
    <w:p w14:paraId="32EEA297" w14:textId="77777777" w:rsidR="007F54AB" w:rsidRPr="005E779E" w:rsidRDefault="007F54AB"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И все же, несмотря на откровенный саботаж Базилевича, время не оказалось совсем уж упущенным. По предложению Сталина довольно быстро решили вопрос о топливе для кораблей будущего Северного флота. Об угле, который в те края закупали в Великобритании (лучший в мире «кардиф»!) либо доставляли из Донбасса, что обходилось одинаково дорого. Наконец-то пригодились шахты на Шпицбергене, в которых прежде нуждались лишь из-за необходимости любой ценой сохранять на архипелаге присутствие СССР. </w:t>
      </w:r>
    </w:p>
    <w:p w14:paraId="07E05C44" w14:textId="77777777" w:rsidR="007F54AB" w:rsidRPr="005E779E" w:rsidRDefault="007F54AB" w:rsidP="000B7A6C">
      <w:pPr>
        <w:spacing w:after="0" w:line="240" w:lineRule="auto"/>
        <w:jc w:val="both"/>
        <w:rPr>
          <w:rFonts w:ascii="Times New Roman" w:hAnsi="Times New Roman"/>
          <w:color w:val="000000" w:themeColor="text1"/>
          <w:sz w:val="16"/>
          <w:szCs w:val="16"/>
        </w:rPr>
      </w:pPr>
    </w:p>
    <w:p w14:paraId="25137C2D"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778F98F2"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AEB6A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июля 1931 в Германии А.Г. и лидер Немецкой национальной партии Альфред Гугенберг подписали договор о сотрудничестве (3907,167).</w:t>
      </w:r>
    </w:p>
    <w:p w14:paraId="1461DA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919F220"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436A7889"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69F017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июля 1931 года Политбюро решило ограничить суды над спецами, ставшими жертвами объявленной в 1928 году охоты на них. Были приняты необходимые меры: немедленно освобождено несколько тысяч инженеров и техников, в основном в металлургической и угольной промышленности, уничтожена дискриминация в доступе к высшему образованию детей интеллигенции, ОГПУ запретили арестовывать специалистов без согласия соответствующего Наркомата. Даже простое перечисление этих мер показывает масштаб предшествующих преследований, жертвами которых стали со времен Шахтинского дела десятки тысяч инженеров, агрономов, техников и администраторов всех уровней (6804).</w:t>
      </w:r>
    </w:p>
    <w:p w14:paraId="7D0879C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3422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июля 1931 г., в «Правде» было опубликовано постановление ЦИК СССР, по которому заключенные «внутренней тюрьмы» ЦКБ–39 были освобождены. В постановлении говорилось:</w:t>
      </w:r>
    </w:p>
    <w:p w14:paraId="702AE1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&lt;...&gt; Амнистировать нижеследующих конструкторов — бывших вредителей, приговоренных коллегией ОГПУ к различным мерам социальной защиты, с одновременным их награждением:</w:t>
      </w:r>
    </w:p>
    <w:p w14:paraId="3809F0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главного конструктора по опытному самолетостроению Григоровича Дмитрия Павловича, раскаявшегося в своих прежних поступках и годичной работой доказавшего на деле свое раскаяние — грамотой ЦИК Союза ССР и денежной наградой в 10000 рублей;</w:t>
      </w:r>
    </w:p>
    <w:p w14:paraId="705DDF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главного конструктора Надашкевича Александра Васильевича — грамотой ЦИК Союза ССР и денежной премией в 10000 рублей;</w:t>
      </w:r>
    </w:p>
    <w:p w14:paraId="5C5558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бывшего технического директора завода № 1 Косткина Ивана Михайловича — денежной наградой в 1000 рублей;</w:t>
      </w:r>
    </w:p>
    <w:p w14:paraId="513E3A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Крейсона Павла Мартыновича — денежной наградой в 1000 рублей;</w:t>
      </w:r>
    </w:p>
    <w:p w14:paraId="5B6286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д) Корвин-Кербер Виктора Львовича — денежной наградой в 1000 рублей;</w:t>
      </w:r>
    </w:p>
    <w:p w14:paraId="6DC5B6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 амнистировать всех инженеров и техников, приговоренных ОГПУ к различным мерам социальной защиты за вредительство и ныне добросовестно работающих в Центральном конструкторском бюро (10696).</w:t>
      </w:r>
    </w:p>
    <w:p w14:paraId="54FAC1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Согласно отчету Московского областного управления НКВД на авиационном заводе № 24 (там производили мощные двигатели конструкции А. А. Микулина) в 1937 г. было:</w:t>
      </w:r>
    </w:p>
    <w:p w14:paraId="32DF4F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Вскрыто и ликвидировано 5 шпионских террористических и диверсионно-вредительских групп, с общим количеством 50 человек, из</w:t>
      </w:r>
    </w:p>
    <w:p w14:paraId="3C0749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Антисоветская право-троцкистская группа в составе бывшего директора завода Марьямова и технического директора Колосова.</w:t>
      </w:r>
    </w:p>
    <w:p w14:paraId="7E8A05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Шпионско-диверсионная группа японской разведки в составе 9 человек.</w:t>
      </w:r>
    </w:p>
    <w:p w14:paraId="100516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Шпионско-диверсионная группа германской разведки в составе 13 человек.</w:t>
      </w:r>
    </w:p>
    <w:p w14:paraId="2E2E79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Шпионско-диверсионная группа французской разведки в составе 4 человек.</w:t>
      </w:r>
    </w:p>
    <w:p w14:paraId="4803A5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Террористическая и шпионско-диверсионная группа латвийской разведки в составе 15 человек, созданная и возглавлявшаяся участником латвийской фашистской организации, быв. зам. директора завода № 24 Гельманом.</w:t>
      </w:r>
    </w:p>
    <w:p w14:paraId="4EFCC5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Также арестован начальник технического сектора ОТК завода троцкист Тарахтунов, по делу которого ведется следствие с расчетом на вскрытие организованной троцкистами работы на заводе.</w:t>
      </w:r>
    </w:p>
    <w:p w14:paraId="522234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до сего дня засорен антисоветскими социально-чуждыми и подозрительными по шпионажу и диверсии элементами. Имеющийся учет этих элементов по одним только официальным данным достигает 1000 человек (10696)</w:t>
      </w:r>
    </w:p>
    <w:p w14:paraId="0538E2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августа 1931 года Таубин направляет проект первого в мире автоматического гранатомета, стрелявшего штатными 40,8-мм гранатами Дьяконова, в Артиллерийское управление РККА. Им заинтересовался сам зам. наркома обороны по вооруже</w:t>
      </w:r>
      <w:r w:rsidRPr="005E779E">
        <w:rPr>
          <w:rFonts w:ascii="Times New Roman" w:hAnsi="Times New Roman"/>
          <w:color w:val="000000" w:themeColor="text1"/>
          <w:sz w:val="16"/>
          <w:szCs w:val="16"/>
        </w:rPr>
        <w:softHyphen/>
        <w:t>нию Тухачевский. Специалисты отправили в Артуправление спе</w:t>
      </w:r>
      <w:r w:rsidRPr="005E779E">
        <w:rPr>
          <w:rFonts w:ascii="Times New Roman" w:hAnsi="Times New Roman"/>
          <w:color w:val="000000" w:themeColor="text1"/>
          <w:sz w:val="16"/>
          <w:szCs w:val="16"/>
        </w:rPr>
        <w:softHyphen/>
        <w:t>циальное исследование, где утверждали, что при малом вышибном заряде (меньше 3 г пороха) в унитарном выстреле с гранатой Дья</w:t>
      </w:r>
      <w:r w:rsidRPr="005E779E">
        <w:rPr>
          <w:rFonts w:ascii="Times New Roman" w:hAnsi="Times New Roman"/>
          <w:color w:val="000000" w:themeColor="text1"/>
          <w:sz w:val="16"/>
          <w:szCs w:val="16"/>
        </w:rPr>
        <w:softHyphen/>
        <w:t>конова создать автоматическое оружие теоретически невозможно. Тем не менее после нескольких месяцев споров и бюрократических Проволочек Таубину предлагают создать опытный образец гранато</w:t>
      </w:r>
      <w:r w:rsidRPr="005E779E">
        <w:rPr>
          <w:rFonts w:ascii="Times New Roman" w:hAnsi="Times New Roman"/>
          <w:color w:val="000000" w:themeColor="text1"/>
          <w:sz w:val="16"/>
          <w:szCs w:val="16"/>
        </w:rPr>
        <w:softHyphen/>
        <w:t>мета на Ковровском оружейном заводе ИНЗ-2. Яков бросает ин</w:t>
      </w:r>
      <w:r w:rsidRPr="005E779E">
        <w:rPr>
          <w:rFonts w:ascii="Times New Roman" w:hAnsi="Times New Roman"/>
          <w:color w:val="000000" w:themeColor="text1"/>
          <w:sz w:val="16"/>
          <w:szCs w:val="16"/>
        </w:rPr>
        <w:softHyphen/>
        <w:t>ститут и едет в Ковров. Там по его чертежам было изготовлено два первых образца гранатомета: один с вертикальной подачей гранат, а другой — с горизонтальной. Автоматика гранатомета первоначально работала за счет отвода газов из канала ствола. Но для увеличения надежности работы гра</w:t>
      </w:r>
      <w:r w:rsidRPr="005E779E">
        <w:rPr>
          <w:rFonts w:ascii="Times New Roman" w:hAnsi="Times New Roman"/>
          <w:color w:val="000000" w:themeColor="text1"/>
          <w:sz w:val="16"/>
          <w:szCs w:val="16"/>
        </w:rPr>
        <w:softHyphen/>
        <w:t>натомета в 1936 г. была введена новая схема автоматики, которая работала за счет энергии отката ствола при его длинном ходе (10695).</w:t>
      </w:r>
    </w:p>
    <w:p w14:paraId="725D5E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2F358FE" w14:textId="77777777" w:rsidR="00D84D3F" w:rsidRPr="005E779E" w:rsidRDefault="00D84D3F"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10-го июля 1931 было опубликовано Постановление ЦИК и Совета Народных Комиссаров СССР от 8 июля о награждении завода № 39 имени Менжинского орденом Ленина - высшей наградой Союза Советских Социалистических Республик, учрежденной Президиумом Центрального Исполнительного Комитета 6-го апреля 1930 года и одновременно предусматривало амнистию большей части заключенных авиаспециалистов. 10-го июля 1931 года Постановление было опубликовано в газете «Правда». Ниже приводятся тексты наградных документов завода № 39, а также поздравительная переписка по этому поводу, которая, предположительно, публикуется впервые.</w:t>
      </w:r>
    </w:p>
    <w:p w14:paraId="4CA9BDFF" w14:textId="77777777" w:rsidR="00D84D3F" w:rsidRPr="005E779E" w:rsidRDefault="00D84D3F" w:rsidP="000B7A6C">
      <w:pPr>
        <w:pStyle w:val="rteindent11"/>
        <w:shd w:val="clear" w:color="auto" w:fill="FFFFFF"/>
        <w:spacing w:before="0" w:beforeAutospacing="0" w:after="0"/>
        <w:ind w:left="0" w:firstLine="0"/>
        <w:rPr>
          <w:color w:val="000000" w:themeColor="text1"/>
          <w:sz w:val="16"/>
          <w:szCs w:val="16"/>
        </w:rPr>
      </w:pPr>
      <w:r w:rsidRPr="005E779E">
        <w:rPr>
          <w:rStyle w:val="af0"/>
          <w:i w:val="0"/>
          <w:color w:val="000000" w:themeColor="text1"/>
          <w:sz w:val="16"/>
          <w:szCs w:val="16"/>
        </w:rPr>
        <w:t>ПОСТАНОВЛЕНИЕ</w:t>
      </w:r>
    </w:p>
    <w:p w14:paraId="26EAC28C" w14:textId="77777777" w:rsidR="00D84D3F" w:rsidRPr="005E779E" w:rsidRDefault="00D84D3F" w:rsidP="000B7A6C">
      <w:pPr>
        <w:pStyle w:val="rteindent11"/>
        <w:shd w:val="clear" w:color="auto" w:fill="FFFFFF"/>
        <w:spacing w:before="0" w:beforeAutospacing="0" w:after="0"/>
        <w:ind w:left="0" w:firstLine="0"/>
        <w:rPr>
          <w:rStyle w:val="af0"/>
          <w:i w:val="0"/>
          <w:color w:val="000000" w:themeColor="text1"/>
          <w:sz w:val="16"/>
          <w:szCs w:val="16"/>
        </w:rPr>
      </w:pPr>
      <w:r w:rsidRPr="005E779E">
        <w:rPr>
          <w:rStyle w:val="af0"/>
          <w:i w:val="0"/>
          <w:color w:val="000000" w:themeColor="text1"/>
          <w:sz w:val="16"/>
          <w:szCs w:val="16"/>
        </w:rPr>
        <w:t>Центрального Исполнительного Комитета и Совета Народных Комиссаров Союза ССР «О награждении авиазавода № 39 за исключительтельные достижения по самолетостроению Рабоче-Крестьянской Красной Армии».</w:t>
      </w:r>
    </w:p>
    <w:p w14:paraId="17363659" w14:textId="77777777" w:rsidR="00D84D3F" w:rsidRPr="005E779E" w:rsidRDefault="00D84D3F" w:rsidP="000B7A6C">
      <w:pPr>
        <w:pStyle w:val="rteindent11"/>
        <w:shd w:val="clear" w:color="auto" w:fill="FFFFFF"/>
        <w:spacing w:before="0" w:beforeAutospacing="0" w:after="0"/>
        <w:ind w:left="0" w:firstLine="0"/>
        <w:rPr>
          <w:color w:val="000000" w:themeColor="text1"/>
          <w:sz w:val="16"/>
          <w:szCs w:val="16"/>
        </w:rPr>
      </w:pPr>
      <w:r w:rsidRPr="005E779E">
        <w:rPr>
          <w:rStyle w:val="af0"/>
          <w:i w:val="0"/>
          <w:color w:val="000000" w:themeColor="text1"/>
          <w:sz w:val="16"/>
          <w:szCs w:val="16"/>
        </w:rPr>
        <w:t>Центральный Исполнительный Комитет и Совет Народных Комиссаров Союза ССР постановляют:</w:t>
      </w:r>
    </w:p>
    <w:p w14:paraId="15CFC4BC" w14:textId="77777777" w:rsidR="00D84D3F" w:rsidRPr="005E779E" w:rsidRDefault="00D84D3F" w:rsidP="000B7A6C">
      <w:pPr>
        <w:pStyle w:val="rteindent11"/>
        <w:shd w:val="clear" w:color="auto" w:fill="FFFFFF"/>
        <w:spacing w:before="0" w:beforeAutospacing="0" w:after="0"/>
        <w:ind w:left="0" w:firstLine="0"/>
        <w:rPr>
          <w:rStyle w:val="af0"/>
          <w:i w:val="0"/>
          <w:color w:val="000000" w:themeColor="text1"/>
          <w:sz w:val="16"/>
          <w:szCs w:val="16"/>
        </w:rPr>
      </w:pPr>
      <w:r w:rsidRPr="005E779E">
        <w:rPr>
          <w:rStyle w:val="af0"/>
          <w:i w:val="0"/>
          <w:color w:val="000000" w:themeColor="text1"/>
          <w:sz w:val="16"/>
          <w:szCs w:val="16"/>
        </w:rPr>
        <w:t>1. Констатируя небывалое увеличение темпов и сокращение сроков опытного строительства самолетов для укомплектования Военно-Воздушных сил РККА и отмечая исключительные реальные достижения – выпуск новых типов самолетов стоящих на уровне лучших заграничных образцов, - наградить завод № 39, уже имеющий орден «Трудовое Красное Знамя» - «Орденом Ленина» за выполнение и перевыполнение постановления правительства по опытному самолетостроению.</w:t>
      </w:r>
    </w:p>
    <w:p w14:paraId="5EBB0FF3" w14:textId="77777777" w:rsidR="00D84D3F" w:rsidRPr="005E779E" w:rsidRDefault="00D84D3F" w:rsidP="000B7A6C">
      <w:pPr>
        <w:pStyle w:val="rteindent11"/>
        <w:shd w:val="clear" w:color="auto" w:fill="FFFFFF"/>
        <w:spacing w:before="0" w:beforeAutospacing="0" w:after="0"/>
        <w:ind w:left="0" w:firstLine="0"/>
        <w:rPr>
          <w:color w:val="000000" w:themeColor="text1"/>
          <w:sz w:val="16"/>
          <w:szCs w:val="16"/>
        </w:rPr>
      </w:pPr>
      <w:r w:rsidRPr="005E779E">
        <w:rPr>
          <w:rStyle w:val="af0"/>
          <w:i w:val="0"/>
          <w:color w:val="000000" w:themeColor="text1"/>
          <w:sz w:val="16"/>
          <w:szCs w:val="16"/>
        </w:rPr>
        <w:t>2. Амнистировать нижеследующих конструкторов – бывших вредителей, приговоренных Коллегией ОГПУ к различным мерам социальной защиты, с одновременным их награждением</w:t>
      </w:r>
    </w:p>
    <w:p w14:paraId="495FCB32" w14:textId="77777777" w:rsidR="00D84D3F" w:rsidRPr="005E779E" w:rsidRDefault="00D84D3F" w:rsidP="000B7A6C">
      <w:pPr>
        <w:pStyle w:val="rteindent11"/>
        <w:shd w:val="clear" w:color="auto" w:fill="FFFFFF"/>
        <w:spacing w:before="0" w:beforeAutospacing="0" w:after="0"/>
        <w:ind w:left="0" w:firstLine="0"/>
        <w:rPr>
          <w:rStyle w:val="af0"/>
          <w:i w:val="0"/>
          <w:color w:val="000000" w:themeColor="text1"/>
          <w:sz w:val="16"/>
          <w:szCs w:val="16"/>
        </w:rPr>
      </w:pPr>
      <w:r w:rsidRPr="005E779E">
        <w:rPr>
          <w:rStyle w:val="af0"/>
          <w:i w:val="0"/>
          <w:color w:val="000000" w:themeColor="text1"/>
          <w:sz w:val="16"/>
          <w:szCs w:val="16"/>
        </w:rPr>
        <w:t>а) Главного конструктора по опытному самолетостроению ГРИГОРОВИЧА Дмитрия Павловича, раскаявшегося в своих прежних поступках и годичной работой доказавшего на деле свое раскаяние – грамотой ЦИК Союза ССР и денежной наградой в 10000 рублей.</w:t>
      </w:r>
    </w:p>
    <w:p w14:paraId="7B0328E8" w14:textId="77777777" w:rsidR="00D84D3F" w:rsidRPr="005E779E" w:rsidRDefault="00D84D3F" w:rsidP="000B7A6C">
      <w:pPr>
        <w:pStyle w:val="rteindent11"/>
        <w:shd w:val="clear" w:color="auto" w:fill="FFFFFF"/>
        <w:spacing w:before="0" w:beforeAutospacing="0" w:after="0"/>
        <w:ind w:left="0" w:firstLine="0"/>
        <w:rPr>
          <w:color w:val="000000" w:themeColor="text1"/>
          <w:sz w:val="16"/>
          <w:szCs w:val="16"/>
        </w:rPr>
      </w:pPr>
      <w:r w:rsidRPr="005E779E">
        <w:rPr>
          <w:rStyle w:val="af0"/>
          <w:i w:val="0"/>
          <w:color w:val="000000" w:themeColor="text1"/>
          <w:sz w:val="16"/>
          <w:szCs w:val="16"/>
        </w:rPr>
        <w:t>б) Главного конструктора по вооружению самолетов НАДАШКЕВИЧА Александра Васильевича, давшего новые установки вооружения, усиливающие огневую мощь Красной авиации – грамотой ЦИК Союза ССР и денежной наградой в 10000 рублей.</w:t>
      </w:r>
    </w:p>
    <w:p w14:paraId="43455420" w14:textId="77777777" w:rsidR="00D84D3F" w:rsidRPr="005E779E" w:rsidRDefault="00D84D3F" w:rsidP="000B7A6C">
      <w:pPr>
        <w:pStyle w:val="rteindent11"/>
        <w:shd w:val="clear" w:color="auto" w:fill="FFFFFF"/>
        <w:spacing w:before="0" w:beforeAutospacing="0" w:after="0"/>
        <w:ind w:left="0" w:firstLine="0"/>
        <w:rPr>
          <w:rStyle w:val="af0"/>
          <w:i w:val="0"/>
          <w:color w:val="000000" w:themeColor="text1"/>
          <w:sz w:val="16"/>
          <w:szCs w:val="16"/>
        </w:rPr>
      </w:pPr>
      <w:r w:rsidRPr="005E779E">
        <w:rPr>
          <w:rStyle w:val="af0"/>
          <w:i w:val="0"/>
          <w:color w:val="000000" w:themeColor="text1"/>
          <w:sz w:val="16"/>
          <w:szCs w:val="16"/>
        </w:rPr>
        <w:t>в) Бывшего Технического директора завода № 1 КОСТКИНА Ивана Михайловича – денежной наградой в 3000 рублей.</w:t>
      </w:r>
    </w:p>
    <w:p w14:paraId="55B9359A" w14:textId="77777777" w:rsidR="00D84D3F" w:rsidRPr="005E779E" w:rsidRDefault="00D84D3F" w:rsidP="000B7A6C">
      <w:pPr>
        <w:pStyle w:val="rteindent11"/>
        <w:shd w:val="clear" w:color="auto" w:fill="FFFFFF"/>
        <w:spacing w:before="0" w:beforeAutospacing="0" w:after="0"/>
        <w:ind w:left="0" w:firstLine="0"/>
        <w:rPr>
          <w:color w:val="000000" w:themeColor="text1"/>
          <w:sz w:val="16"/>
          <w:szCs w:val="16"/>
        </w:rPr>
      </w:pPr>
      <w:r w:rsidRPr="005E779E">
        <w:rPr>
          <w:rStyle w:val="af0"/>
          <w:i w:val="0"/>
          <w:color w:val="000000" w:themeColor="text1"/>
          <w:sz w:val="16"/>
          <w:szCs w:val="16"/>
        </w:rPr>
        <w:t>г) Б. (бывшего) постоянного члена Научно-Технического Комитета Управления Военно-Воздушных сил РККА КРЕЙСОНА Павла Мартыновича – денежной наградой в 1000 рублей.</w:t>
      </w:r>
    </w:p>
    <w:p w14:paraId="3D4A36F4" w14:textId="77777777" w:rsidR="00D84D3F" w:rsidRPr="005E779E" w:rsidRDefault="00D84D3F" w:rsidP="000B7A6C">
      <w:pPr>
        <w:pStyle w:val="rteindent11"/>
        <w:shd w:val="clear" w:color="auto" w:fill="FFFFFF"/>
        <w:spacing w:before="0" w:beforeAutospacing="0" w:after="0"/>
        <w:ind w:left="0" w:firstLine="0"/>
        <w:rPr>
          <w:color w:val="000000" w:themeColor="text1"/>
          <w:sz w:val="16"/>
          <w:szCs w:val="16"/>
        </w:rPr>
      </w:pPr>
      <w:r w:rsidRPr="005E779E">
        <w:rPr>
          <w:rStyle w:val="af0"/>
          <w:i w:val="0"/>
          <w:color w:val="000000" w:themeColor="text1"/>
          <w:sz w:val="16"/>
          <w:szCs w:val="16"/>
        </w:rPr>
        <w:t>д) Быв. инженера ВАО ЮРВИЦА Виктора Львовича – денежной наградой в 1000 рублей.</w:t>
      </w:r>
    </w:p>
    <w:p w14:paraId="632AF898" w14:textId="77777777" w:rsidR="00D84D3F" w:rsidRPr="005E779E" w:rsidRDefault="00D84D3F" w:rsidP="000B7A6C">
      <w:pPr>
        <w:pStyle w:val="rteindent11"/>
        <w:shd w:val="clear" w:color="auto" w:fill="FFFFFF"/>
        <w:spacing w:before="0" w:beforeAutospacing="0" w:after="0"/>
        <w:ind w:left="0" w:firstLine="0"/>
        <w:rPr>
          <w:rStyle w:val="af0"/>
          <w:i w:val="0"/>
          <w:color w:val="000000" w:themeColor="text1"/>
          <w:sz w:val="16"/>
          <w:szCs w:val="16"/>
        </w:rPr>
      </w:pPr>
      <w:r w:rsidRPr="005E779E">
        <w:rPr>
          <w:rStyle w:val="af0"/>
          <w:i w:val="0"/>
          <w:color w:val="000000" w:themeColor="text1"/>
          <w:sz w:val="16"/>
          <w:szCs w:val="16"/>
        </w:rPr>
        <w:t>е) Амнистировать всех инженеров и техников, приговоренных ОГПУ к различным мерам социальной защиты за вредительство и ныне добросовестно работающих в Центральном Конструкторском Бюро.</w:t>
      </w:r>
    </w:p>
    <w:p w14:paraId="028FC3C7" w14:textId="77777777" w:rsidR="00D84D3F" w:rsidRPr="005E779E" w:rsidRDefault="00D84D3F" w:rsidP="000B7A6C">
      <w:pPr>
        <w:pStyle w:val="rteindent11"/>
        <w:shd w:val="clear" w:color="auto" w:fill="FFFFFF"/>
        <w:spacing w:before="0" w:beforeAutospacing="0" w:after="0"/>
        <w:ind w:left="0" w:firstLine="0"/>
        <w:rPr>
          <w:color w:val="000000" w:themeColor="text1"/>
          <w:sz w:val="16"/>
          <w:szCs w:val="16"/>
        </w:rPr>
      </w:pPr>
      <w:r w:rsidRPr="005E779E">
        <w:rPr>
          <w:rStyle w:val="af0"/>
          <w:i w:val="0"/>
          <w:color w:val="000000" w:themeColor="text1"/>
          <w:sz w:val="16"/>
          <w:szCs w:val="16"/>
        </w:rPr>
        <w:t>3. Наградить орденами «Красная Звезда» начальника Центрального Конструктора Бюро завода № 39 тов. ГОРЯНОВА Анатолия Григорьевича и его заместителя тов. ПАУФЛЕРА Николая Евгеньевича за проявленную ими инициативу и упорство по созданию Центрального Конструкторского Бюро, умелую организацию в нем работы для усиления боевой мощи Военно-Воздушных Сил РККА и использование инженеров – бывших вредителей на практической работе.</w:t>
      </w:r>
    </w:p>
    <w:p w14:paraId="605653A0" w14:textId="77777777" w:rsidR="00D84D3F" w:rsidRPr="005E779E" w:rsidRDefault="00D84D3F" w:rsidP="000B7A6C">
      <w:pPr>
        <w:pStyle w:val="rteindent11"/>
        <w:shd w:val="clear" w:color="auto" w:fill="FFFFFF"/>
        <w:spacing w:before="0" w:beforeAutospacing="0" w:after="0"/>
        <w:ind w:left="0" w:firstLine="0"/>
        <w:rPr>
          <w:rStyle w:val="af0"/>
          <w:i w:val="0"/>
          <w:color w:val="000000" w:themeColor="text1"/>
          <w:sz w:val="16"/>
          <w:szCs w:val="16"/>
        </w:rPr>
      </w:pPr>
      <w:r w:rsidRPr="005E779E">
        <w:rPr>
          <w:rStyle w:val="af0"/>
          <w:i w:val="0"/>
          <w:color w:val="000000" w:themeColor="text1"/>
          <w:sz w:val="16"/>
          <w:szCs w:val="16"/>
        </w:rPr>
        <w:t>4. Наградить орденами « Трудовое Красное Знамя» за образцовую работу и примерность в деле усиления темпов и создание новых образцов самолетов и их вооружения нижеследующих работников завода № 39:</w:t>
      </w:r>
    </w:p>
    <w:p w14:paraId="6AD31304" w14:textId="77777777" w:rsidR="00D84D3F" w:rsidRPr="005E779E" w:rsidRDefault="00D84D3F" w:rsidP="000B7A6C">
      <w:pPr>
        <w:pStyle w:val="rteindent11"/>
        <w:shd w:val="clear" w:color="auto" w:fill="FFFFFF"/>
        <w:spacing w:before="0" w:beforeAutospacing="0" w:after="0"/>
        <w:ind w:left="0" w:firstLine="0"/>
        <w:rPr>
          <w:color w:val="000000" w:themeColor="text1"/>
          <w:sz w:val="16"/>
          <w:szCs w:val="16"/>
        </w:rPr>
      </w:pPr>
      <w:r w:rsidRPr="005E779E">
        <w:rPr>
          <w:rStyle w:val="af0"/>
          <w:i w:val="0"/>
          <w:color w:val="000000" w:themeColor="text1"/>
          <w:sz w:val="16"/>
          <w:szCs w:val="16"/>
        </w:rPr>
        <w:t>РАФАЭЛЬЯНЦА Рама Назаровича, молодого инженера–конструктора, являющегося ближайшим помощником Главного конструктора ГРИГОРОВИЧА и умело воспринимающего его опыт и знания;</w:t>
      </w:r>
    </w:p>
    <w:p w14:paraId="3E8D74E4" w14:textId="77777777" w:rsidR="00D84D3F" w:rsidRPr="005E779E" w:rsidRDefault="00D84D3F" w:rsidP="000B7A6C">
      <w:pPr>
        <w:pStyle w:val="rteindent11"/>
        <w:shd w:val="clear" w:color="auto" w:fill="FFFFFF"/>
        <w:spacing w:before="0" w:beforeAutospacing="0" w:after="0"/>
        <w:ind w:left="0" w:firstLine="0"/>
        <w:rPr>
          <w:color w:val="000000" w:themeColor="text1"/>
          <w:sz w:val="16"/>
          <w:szCs w:val="16"/>
        </w:rPr>
      </w:pPr>
      <w:r w:rsidRPr="005E779E">
        <w:rPr>
          <w:rStyle w:val="af0"/>
          <w:i w:val="0"/>
          <w:color w:val="000000" w:themeColor="text1"/>
          <w:sz w:val="16"/>
          <w:szCs w:val="16"/>
        </w:rPr>
        <w:t>БАШИНА Федора Федоровича – рабочего, групповода по постройке истребителя И-5;</w:t>
      </w:r>
    </w:p>
    <w:p w14:paraId="53CA3328" w14:textId="77777777" w:rsidR="00D84D3F" w:rsidRPr="005E779E" w:rsidRDefault="00D84D3F" w:rsidP="000B7A6C">
      <w:pPr>
        <w:pStyle w:val="rteindent11"/>
        <w:shd w:val="clear" w:color="auto" w:fill="FFFFFF"/>
        <w:spacing w:before="0" w:beforeAutospacing="0" w:after="0"/>
        <w:ind w:left="0" w:firstLine="0"/>
        <w:rPr>
          <w:rStyle w:val="af0"/>
          <w:i w:val="0"/>
          <w:color w:val="000000" w:themeColor="text1"/>
          <w:sz w:val="16"/>
          <w:szCs w:val="16"/>
        </w:rPr>
      </w:pPr>
      <w:r w:rsidRPr="005E779E">
        <w:rPr>
          <w:rStyle w:val="af0"/>
          <w:i w:val="0"/>
          <w:color w:val="000000" w:themeColor="text1"/>
          <w:sz w:val="16"/>
          <w:szCs w:val="16"/>
        </w:rPr>
        <w:t>ШЕСТЕРА Леона Борисовича – рабочего медника, лучшего ударника;</w:t>
      </w:r>
    </w:p>
    <w:p w14:paraId="0F1967B1" w14:textId="77777777" w:rsidR="00D84D3F" w:rsidRPr="005E779E" w:rsidRDefault="00D84D3F" w:rsidP="000B7A6C">
      <w:pPr>
        <w:pStyle w:val="rteindent11"/>
        <w:shd w:val="clear" w:color="auto" w:fill="FFFFFF"/>
        <w:spacing w:before="0" w:beforeAutospacing="0" w:after="0"/>
        <w:ind w:left="0" w:firstLine="0"/>
        <w:rPr>
          <w:rStyle w:val="af0"/>
          <w:i w:val="0"/>
          <w:color w:val="000000" w:themeColor="text1"/>
          <w:sz w:val="16"/>
          <w:szCs w:val="16"/>
        </w:rPr>
      </w:pPr>
      <w:r w:rsidRPr="005E779E">
        <w:rPr>
          <w:rStyle w:val="af0"/>
          <w:i w:val="0"/>
          <w:color w:val="000000" w:themeColor="text1"/>
          <w:sz w:val="16"/>
          <w:szCs w:val="16"/>
        </w:rPr>
        <w:t>ИГНАТОВА Сергея Романовича- рабочего слесаря, лучшего ударника завода;</w:t>
      </w:r>
    </w:p>
    <w:p w14:paraId="5CABA2D4" w14:textId="77777777" w:rsidR="00D84D3F" w:rsidRPr="005E779E" w:rsidRDefault="00D84D3F" w:rsidP="000B7A6C">
      <w:pPr>
        <w:pStyle w:val="rteindent11"/>
        <w:shd w:val="clear" w:color="auto" w:fill="FFFFFF"/>
        <w:spacing w:before="0" w:beforeAutospacing="0" w:after="0"/>
        <w:ind w:left="0" w:firstLine="0"/>
        <w:rPr>
          <w:rStyle w:val="af0"/>
          <w:i w:val="0"/>
          <w:color w:val="000000" w:themeColor="text1"/>
          <w:sz w:val="16"/>
          <w:szCs w:val="16"/>
        </w:rPr>
      </w:pPr>
      <w:r w:rsidRPr="005E779E">
        <w:rPr>
          <w:rStyle w:val="af0"/>
          <w:i w:val="0"/>
          <w:color w:val="000000" w:themeColor="text1"/>
          <w:sz w:val="16"/>
          <w:szCs w:val="16"/>
        </w:rPr>
        <w:t>ЗУЕВА Тимофея Арсеньевича – рабочего слесаря, лучшего ударника завода;</w:t>
      </w:r>
    </w:p>
    <w:p w14:paraId="3F927B54" w14:textId="77777777" w:rsidR="00D84D3F" w:rsidRPr="005E779E" w:rsidRDefault="00D84D3F" w:rsidP="000B7A6C">
      <w:pPr>
        <w:pStyle w:val="rteindent11"/>
        <w:shd w:val="clear" w:color="auto" w:fill="FFFFFF"/>
        <w:spacing w:before="0" w:beforeAutospacing="0" w:after="0"/>
        <w:ind w:left="0" w:firstLine="0"/>
        <w:rPr>
          <w:color w:val="000000" w:themeColor="text1"/>
          <w:sz w:val="16"/>
          <w:szCs w:val="16"/>
        </w:rPr>
      </w:pPr>
      <w:r w:rsidRPr="005E779E">
        <w:rPr>
          <w:rStyle w:val="af0"/>
          <w:i w:val="0"/>
          <w:color w:val="000000" w:themeColor="text1"/>
          <w:sz w:val="16"/>
          <w:szCs w:val="16"/>
        </w:rPr>
        <w:t>КРЮКОВА Сергея Меркуловича – рабочего слесаря, лучшего ударника завода;</w:t>
      </w:r>
    </w:p>
    <w:p w14:paraId="719216F6" w14:textId="77777777" w:rsidR="00D84D3F" w:rsidRPr="005E779E" w:rsidRDefault="00D84D3F" w:rsidP="000B7A6C">
      <w:pPr>
        <w:pStyle w:val="rteindent11"/>
        <w:shd w:val="clear" w:color="auto" w:fill="FFFFFF"/>
        <w:spacing w:before="0" w:beforeAutospacing="0" w:after="0"/>
        <w:ind w:left="0" w:firstLine="0"/>
        <w:rPr>
          <w:rStyle w:val="af0"/>
          <w:i w:val="0"/>
          <w:color w:val="000000" w:themeColor="text1"/>
          <w:sz w:val="16"/>
          <w:szCs w:val="16"/>
        </w:rPr>
      </w:pPr>
      <w:r w:rsidRPr="005E779E">
        <w:rPr>
          <w:rStyle w:val="af0"/>
          <w:i w:val="0"/>
          <w:color w:val="000000" w:themeColor="text1"/>
          <w:sz w:val="16"/>
          <w:szCs w:val="16"/>
        </w:rPr>
        <w:t>РОМАНЦОВА Ивана Сергеевича – заместителя зав. Производством, выдвиженца из рабочих, обеспечившего умелой организацией указанные высокие темпы постройки новых опытных типов самолетов;</w:t>
      </w:r>
    </w:p>
    <w:p w14:paraId="0C87C638" w14:textId="77777777" w:rsidR="00D84D3F" w:rsidRPr="005E779E" w:rsidRDefault="00D84D3F" w:rsidP="000B7A6C">
      <w:pPr>
        <w:pStyle w:val="rteindent11"/>
        <w:shd w:val="clear" w:color="auto" w:fill="FFFFFF"/>
        <w:spacing w:before="0" w:beforeAutospacing="0" w:after="0"/>
        <w:ind w:left="0" w:firstLine="0"/>
        <w:rPr>
          <w:color w:val="000000" w:themeColor="text1"/>
          <w:sz w:val="16"/>
          <w:szCs w:val="16"/>
        </w:rPr>
      </w:pPr>
      <w:r w:rsidRPr="005E779E">
        <w:rPr>
          <w:rStyle w:val="af0"/>
          <w:i w:val="0"/>
          <w:color w:val="000000" w:themeColor="text1"/>
          <w:sz w:val="16"/>
          <w:szCs w:val="16"/>
        </w:rPr>
        <w:t>БУХГОЛЬЦА Бенедикта Леоновича, летчика завода по испытанию новых образцов самолетов и их вооружения.</w:t>
      </w:r>
    </w:p>
    <w:p w14:paraId="4FCC06B8" w14:textId="77777777" w:rsidR="00D84D3F" w:rsidRPr="005E779E" w:rsidRDefault="00D84D3F" w:rsidP="000B7A6C">
      <w:pPr>
        <w:pStyle w:val="rteindent11"/>
        <w:shd w:val="clear" w:color="auto" w:fill="FFFFFF"/>
        <w:spacing w:before="0" w:beforeAutospacing="0" w:after="0"/>
        <w:ind w:left="0" w:firstLine="0"/>
        <w:rPr>
          <w:color w:val="000000" w:themeColor="text1"/>
          <w:sz w:val="16"/>
          <w:szCs w:val="16"/>
        </w:rPr>
      </w:pPr>
      <w:r w:rsidRPr="005E779E">
        <w:rPr>
          <w:rStyle w:val="af0"/>
          <w:i w:val="0"/>
          <w:color w:val="000000" w:themeColor="text1"/>
          <w:sz w:val="16"/>
          <w:szCs w:val="16"/>
        </w:rPr>
        <w:t>Председатель Центрального Исполнительного Комитета Союза ССР М. Калинин</w:t>
      </w:r>
    </w:p>
    <w:p w14:paraId="612A9968" w14:textId="77777777" w:rsidR="00D84D3F" w:rsidRPr="005E779E" w:rsidRDefault="00D84D3F" w:rsidP="000B7A6C">
      <w:pPr>
        <w:pStyle w:val="rteindent11"/>
        <w:shd w:val="clear" w:color="auto" w:fill="FFFFFF"/>
        <w:spacing w:before="0" w:beforeAutospacing="0" w:after="0"/>
        <w:ind w:left="0" w:firstLine="0"/>
        <w:rPr>
          <w:color w:val="000000" w:themeColor="text1"/>
          <w:sz w:val="16"/>
          <w:szCs w:val="16"/>
        </w:rPr>
      </w:pPr>
      <w:r w:rsidRPr="005E779E">
        <w:rPr>
          <w:rStyle w:val="af0"/>
          <w:i w:val="0"/>
          <w:color w:val="000000" w:themeColor="text1"/>
          <w:sz w:val="16"/>
          <w:szCs w:val="16"/>
        </w:rPr>
        <w:t>Председатель Совета Народных Комисаров Союза ССР В. Молотов (Скрябин)</w:t>
      </w:r>
    </w:p>
    <w:p w14:paraId="3A4C1F72" w14:textId="77777777" w:rsidR="00D84D3F" w:rsidRPr="005E779E" w:rsidRDefault="00D84D3F" w:rsidP="000B7A6C">
      <w:pPr>
        <w:pStyle w:val="rteindent11"/>
        <w:shd w:val="clear" w:color="auto" w:fill="FFFFFF"/>
        <w:spacing w:before="0" w:beforeAutospacing="0" w:after="0"/>
        <w:ind w:left="0" w:firstLine="0"/>
        <w:rPr>
          <w:color w:val="000000" w:themeColor="text1"/>
          <w:sz w:val="16"/>
          <w:szCs w:val="16"/>
        </w:rPr>
      </w:pPr>
      <w:r w:rsidRPr="005E779E">
        <w:rPr>
          <w:rStyle w:val="af0"/>
          <w:i w:val="0"/>
          <w:color w:val="000000" w:themeColor="text1"/>
          <w:sz w:val="16"/>
          <w:szCs w:val="16"/>
        </w:rPr>
        <w:t>Секретарь Центрального Исполнительного Комитета Союза ССР А. Енукидзе</w:t>
      </w:r>
    </w:p>
    <w:p w14:paraId="155F2B23" w14:textId="77777777" w:rsidR="00D84D3F" w:rsidRPr="005E779E" w:rsidRDefault="00D84D3F" w:rsidP="000B7A6C">
      <w:pPr>
        <w:pStyle w:val="rteindent11"/>
        <w:shd w:val="clear" w:color="auto" w:fill="FFFFFF"/>
        <w:spacing w:before="0" w:beforeAutospacing="0" w:after="0"/>
        <w:ind w:left="0" w:firstLine="0"/>
        <w:rPr>
          <w:color w:val="000000" w:themeColor="text1"/>
          <w:sz w:val="16"/>
          <w:szCs w:val="16"/>
        </w:rPr>
      </w:pPr>
      <w:r w:rsidRPr="005E779E">
        <w:rPr>
          <w:rStyle w:val="af0"/>
          <w:i w:val="0"/>
          <w:color w:val="000000" w:themeColor="text1"/>
          <w:sz w:val="16"/>
          <w:szCs w:val="16"/>
        </w:rPr>
        <w:t>Москва, Кремль, 08 июля 1931 года.</w:t>
      </w:r>
    </w:p>
    <w:p w14:paraId="7F06A591" w14:textId="77777777" w:rsidR="00D84D3F" w:rsidRPr="005E779E" w:rsidRDefault="00D84D3F"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Имя Н.Н. Поликарпова в вышедшем Постановлении не упоминается</w:t>
      </w:r>
    </w:p>
    <w:p w14:paraId="3D0AB34C" w14:textId="77777777" w:rsidR="00D84D3F" w:rsidRPr="005E779E" w:rsidRDefault="00D84D3F" w:rsidP="000B7A6C">
      <w:pPr>
        <w:shd w:val="clear" w:color="auto" w:fill="FFFFFF"/>
        <w:spacing w:after="0" w:line="240" w:lineRule="auto"/>
        <w:jc w:val="both"/>
        <w:rPr>
          <w:rFonts w:ascii="Times New Roman" w:hAnsi="Times New Roman"/>
          <w:color w:val="000000" w:themeColor="text1"/>
          <w:sz w:val="16"/>
          <w:szCs w:val="16"/>
        </w:rPr>
      </w:pPr>
    </w:p>
    <w:p w14:paraId="64251928" w14:textId="77777777" w:rsidR="00EA791B" w:rsidRPr="00142305" w:rsidRDefault="00EA791B" w:rsidP="00EA791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10 июля 1930 г. была создана Комиссия по ликвидации вредительства на заводе № 39 (ее называли еще Комиссией по «чистке» личного состава).</w:t>
      </w:r>
    </w:p>
    <w:p w14:paraId="7E42FB01" w14:textId="77777777" w:rsidR="00EA791B" w:rsidRPr="00142305" w:rsidRDefault="00EA791B" w:rsidP="00EA791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считаные дни на заводе создалась исключительно нервная, напряженная обстановка. Приведем выдержку из письма в Комиссию начальника конструкторской бригады по морской авиации И. В. Четверикова, впоследствии главного конструктора:</w:t>
      </w:r>
    </w:p>
    <w:p w14:paraId="6AA44FA5" w14:textId="77777777" w:rsidR="00EA791B" w:rsidRPr="00142305" w:rsidRDefault="00EA791B" w:rsidP="00EA791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«Отношения инженеров в ЦКБ до сего времени пронизаны интриганством и какой-то скрытой борьбой. Обстановка до последнего времени продолжает оставаться неудовлетворительной. Мне кажется, что в ЦКБ нет такого инженера, который был бы доволен своей работой. ..»</w:t>
      </w:r>
    </w:p>
    <w:p w14:paraId="3C905791" w14:textId="77777777" w:rsidR="00EA791B" w:rsidRPr="00142305" w:rsidRDefault="00EA791B" w:rsidP="00EA791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Помимо этих заводских комиссий, на ГАЗ № 39 прибыла и Комиссия по «чистке» ЦКК-РКИ (Центральной контрольной комиссии — Рабоче-крестьянской инспекции). Персонально разбирая дела каждого сотрудника завода, Комиссией устанавливалась следующая градация освобождения работников с занимаемой должности: 1 — я категория — расстрел; 2-я категория — арест на срок от месяца до 10 лет;</w:t>
      </w:r>
    </w:p>
    <w:p w14:paraId="087C1B5D" w14:textId="77777777" w:rsidR="00EA791B" w:rsidRPr="00142305" w:rsidRDefault="00EA791B" w:rsidP="00EA791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3-я категория — увольнение с завода; вне категорий — понижение в должности, административный выговор и др. За каждым протоколом Комиссии — человеческая судьба, человеческая трагедия.</w:t>
      </w:r>
    </w:p>
    <w:p w14:paraId="1C326F6B" w14:textId="77777777" w:rsidR="00EA791B" w:rsidRPr="00142305" w:rsidRDefault="00EA791B" w:rsidP="00EA791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«Савельев Владимир Федорович, зав. отд. вооружения, родился в 1899 г… В авиапромышленности работает более 20 лет… Служил в армии Колчака. В Красной Армии служил 3 года… Имел связь с вредительскими элементами. Вредил. Скрыл в послужном списке службу у Колчака… </w:t>
      </w:r>
    </w:p>
    <w:p w14:paraId="55E90AED" w14:textId="77777777" w:rsidR="00EA791B" w:rsidRPr="00142305" w:rsidRDefault="00EA791B" w:rsidP="00EA791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Снять по 1-й категории». </w:t>
      </w:r>
    </w:p>
    <w:p w14:paraId="685502A2" w14:textId="77777777" w:rsidR="00EA791B" w:rsidRPr="00142305" w:rsidRDefault="00EA791B" w:rsidP="00EA791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Левашев Алексей Викторович, ВРИД секции шасси, родился в 1897 г., сын священника. В 1925 г. закончил МВТУ… </w:t>
      </w:r>
    </w:p>
    <w:p w14:paraId="2052E735" w14:textId="77777777" w:rsidR="00EA791B" w:rsidRPr="00142305" w:rsidRDefault="00EA791B" w:rsidP="00EA791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Снять по 1-й категории как чуждый элемент». </w:t>
      </w:r>
    </w:p>
    <w:p w14:paraId="277C9461" w14:textId="77777777" w:rsidR="00EA791B" w:rsidRPr="00142305" w:rsidRDefault="00EA791B" w:rsidP="00EA791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 xml:space="preserve">«Шереметьев Борис Николаевич, конструктор. Родился в 1891 г. Происходит из семьи дворян… </w:t>
      </w:r>
    </w:p>
    <w:p w14:paraId="71550296" w14:textId="77777777" w:rsidR="00EA791B" w:rsidRPr="00142305" w:rsidRDefault="00EA791B" w:rsidP="00EA791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Снять по 2-й категории на 3 года, запретив работать в военной промышленности». </w:t>
      </w:r>
    </w:p>
    <w:p w14:paraId="65511AEB" w14:textId="77777777" w:rsidR="00EA791B" w:rsidRPr="00142305" w:rsidRDefault="00EA791B" w:rsidP="00EA791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«Яценко Владимир Панфилович, зав. конструкторским отделом, родился в 1892 г. Сын земского врача. Высшее образование не закончено. В авиации работает с 1915 г. В 1919 г. был арестован ОГПУ за спекуляцию (была продана кожа и спирт). На заводе работает с 1924 г. Общественной работой не интересуется. Муж сестры — агроном, арестован ОГПУ. </w:t>
      </w:r>
    </w:p>
    <w:p w14:paraId="73828EE5" w14:textId="77777777" w:rsidR="00EA791B" w:rsidRPr="00142305" w:rsidRDefault="00EA791B" w:rsidP="00EA791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Снять по 3-й категории, запретив работать на руководящей работе в течение 3 лет». </w:t>
      </w:r>
    </w:p>
    <w:p w14:paraId="72B0EC1D" w14:textId="77777777" w:rsidR="00EA791B" w:rsidRPr="00142305" w:rsidRDefault="00EA791B" w:rsidP="00EA791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«Бакулин Михаил Павлович, конструктор, родился в 1911 г. Антиобщественник и антисемит. Снять по 1-й категории. </w:t>
      </w:r>
    </w:p>
    <w:p w14:paraId="085EF75F" w14:textId="77777777" w:rsidR="00EA791B" w:rsidRPr="00142305" w:rsidRDefault="00EA791B" w:rsidP="00EA791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«Атрамонов Иван Иванович, пом. начальника ЦКБ, родился в 1891 г. Рабочий. В 1927 г. окончил Академию ВВФ. Член ВКП(б) с 1918 г… Не показал себя твердым работником в смысле администратора… </w:t>
      </w:r>
    </w:p>
    <w:p w14:paraId="3E449B1A" w14:textId="77777777" w:rsidR="00EA791B" w:rsidRPr="00142305" w:rsidRDefault="00EA791B" w:rsidP="00EA791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Использовать на работе в качестве конструктора». </w:t>
      </w:r>
    </w:p>
    <w:p w14:paraId="68FF18FF" w14:textId="6A3554AB" w:rsidR="00EA791B" w:rsidRPr="00142305" w:rsidRDefault="00EA791B" w:rsidP="00EA791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Отметим, что в Комиссию пытались писать некоторые конструкторы ЦКБ в надежде изменить к лучшему доказавшую свою непригодность существующую схему организации работ. В качестве примера приведем выдержку из письма Самсонова: «Каждому инженеру</w:t>
      </w:r>
      <w:r w:rsidR="00FE094E">
        <w:rPr>
          <w:rFonts w:ascii="Times New Roman" w:hAnsi="Times New Roman"/>
          <w:color w:val="0070C0"/>
          <w:sz w:val="16"/>
          <w:szCs w:val="16"/>
        </w:rPr>
        <w:t xml:space="preserve"> </w:t>
      </w:r>
      <w:r w:rsidRPr="00142305">
        <w:rPr>
          <w:rFonts w:ascii="Times New Roman" w:hAnsi="Times New Roman"/>
          <w:color w:val="0070C0"/>
          <w:sz w:val="16"/>
          <w:szCs w:val="16"/>
        </w:rPr>
        <w:t>[ведущему конструктору] придется выделить необходимую группу людей, пропорционально трудности и сложности машины, общее же руководство возложить на старых инженеров — ГРИГОРОВИЧА, ПОЛИКАРПОВА и других».</w:t>
      </w:r>
      <w:r w:rsidR="00FE094E">
        <w:rPr>
          <w:rFonts w:ascii="Times New Roman" w:hAnsi="Times New Roman"/>
          <w:color w:val="0070C0"/>
          <w:sz w:val="16"/>
          <w:szCs w:val="16"/>
        </w:rPr>
        <w:t xml:space="preserve"> </w:t>
      </w:r>
      <w:r w:rsidRPr="00142305">
        <w:rPr>
          <w:rFonts w:ascii="Times New Roman" w:hAnsi="Times New Roman"/>
          <w:color w:val="0070C0"/>
          <w:sz w:val="16"/>
          <w:szCs w:val="16"/>
        </w:rPr>
        <w:t>Глас вопиющего в пустыне: не для этого в поте лица трудится Комиссия по «чистке», задачи-то у нее совсем иные (25035).</w:t>
      </w:r>
    </w:p>
    <w:p w14:paraId="1D6EE5B3" w14:textId="77777777" w:rsidR="00EA791B" w:rsidRPr="00142305" w:rsidRDefault="00EA791B" w:rsidP="00EA791B">
      <w:pPr>
        <w:spacing w:after="0" w:line="240" w:lineRule="auto"/>
        <w:jc w:val="both"/>
        <w:rPr>
          <w:rFonts w:ascii="Times New Roman" w:hAnsi="Times New Roman"/>
          <w:color w:val="0070C0"/>
          <w:sz w:val="16"/>
          <w:szCs w:val="16"/>
        </w:rPr>
      </w:pPr>
    </w:p>
    <w:p w14:paraId="5E8D3BC1" w14:textId="77777777" w:rsidR="00E812E3" w:rsidRPr="005E779E" w:rsidRDefault="00E812E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июля 1931 г. Протокол ПБ № 48 п.19/6: О договоре ВОГВФ с фирмой Цеппелин. – ОП. Приняты решения: 1. согласиться на дальнейшее ведение переговоров с фирмой «Цеппелин» на базе предварительного договора, подписанного Гольцманом и Эккенером. Предложить Гольцману выехать для продолжения переговоров в Германию; 2. дать Гольцману следующие директивы: а) общую сумму наших платежей фирме «Цеппелин» снизить с 5000000 марок до 4000000 марок; б) валютные платежи текущего года ограничить 150000 марок; в) срок остальных платежей построить по согласованию с Розенгольцем таким образом, чтобы большая часть (не менее 50%) была нами выплачена после выполнения фирмой основных своих обязательств и, в частности, после постройки в СССР первого большого дирижабля; 3. поручить Хинчуку оказать Гольцману содействие при ведении переговоров; 4. разрешить Гольцману взять с собой в Германию инженера-коммуниста А.Н.Флаксермана (дирижаблиста) (15953).</w:t>
      </w:r>
    </w:p>
    <w:p w14:paraId="6B3A5073" w14:textId="77777777" w:rsidR="00E812E3" w:rsidRPr="005E779E" w:rsidRDefault="00E812E3" w:rsidP="000B7A6C">
      <w:pPr>
        <w:spacing w:after="0" w:line="240" w:lineRule="auto"/>
        <w:jc w:val="both"/>
        <w:rPr>
          <w:rFonts w:ascii="Times New Roman" w:hAnsi="Times New Roman"/>
          <w:color w:val="000000" w:themeColor="text1"/>
          <w:sz w:val="16"/>
          <w:szCs w:val="16"/>
        </w:rPr>
      </w:pPr>
    </w:p>
    <w:p w14:paraId="372D36DA"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июля 1931</w:t>
      </w:r>
    </w:p>
    <w:p w14:paraId="5C9E1266"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Решения Политбюро от 5</w:t>
      </w:r>
      <w:r w:rsidRPr="005E779E">
        <w:rPr>
          <w:rFonts w:ascii="Times New Roman" w:hAnsi="Times New Roman"/>
          <w:color w:val="000000" w:themeColor="text1"/>
          <w:sz w:val="16"/>
          <w:szCs w:val="16"/>
        </w:rPr>
        <w:noBreakHyphen/>
        <w:t>8.VII.1931 г.</w:t>
      </w:r>
    </w:p>
    <w:p w14:paraId="3734BEA7"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 19/40: О договоре ВОГВФ с фирмой Цеппелин</w:t>
      </w:r>
    </w:p>
    <w:p w14:paraId="7D82E036"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Решение — особая папка.</w:t>
      </w:r>
    </w:p>
    <w:p w14:paraId="20E065C4"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Согласиться на дальнейшее ведение переговоров с фирмой “Цеппелин” на базе предварительного договора, подписанного тов. Гольцманом и г. Эккенером. Предложить тов. Гольцману выехать для продолжения переговоров в Германию.</w:t>
      </w:r>
    </w:p>
    <w:p w14:paraId="5BACC447"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Дать тов. Гольцману следующие директивы:</w:t>
      </w:r>
    </w:p>
    <w:p w14:paraId="0DF2BADA"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общую сумму наших платежей фирме “Цеппелин” снизить с 5.000.000 марок до 4.000.000 марок.</w:t>
      </w:r>
    </w:p>
    <w:p w14:paraId="33F6F59E"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валютные платежи текущего года ограничить 150.000 марок.</w:t>
      </w:r>
    </w:p>
    <w:p w14:paraId="24397F9F"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срок остальных платежей построить по согласованию с т. Розенгольцем таким образом, чтобы большая часть (не менее 50%) была нами выплачена после выполнения фирмой основных своих обязательств и, в частности, после постройки в СССР первого большого дирижабля.</w:t>
      </w:r>
    </w:p>
    <w:p w14:paraId="4CE1CCB4"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Поручить т. Хинчуку оказать т. Гольцману содействие при ведении переговоров.</w:t>
      </w:r>
    </w:p>
    <w:p w14:paraId="0D76FC58"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Разрешить т. Гольцману взять с собой в Германию инженера-коммуниста А. Н. Флаксермана (дирижаблиста).</w:t>
      </w:r>
    </w:p>
    <w:p w14:paraId="28BB857A"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Выписки посланы:</w:t>
      </w:r>
    </w:p>
    <w:p w14:paraId="3CFC5411"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Рудзутаку, Керженцеву, Гольцману — все;</w:t>
      </w:r>
    </w:p>
    <w:p w14:paraId="3731D33D"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Мессингу — 1 и 4;</w:t>
      </w:r>
    </w:p>
    <w:p w14:paraId="0D819472"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Розенгольцу — 1 и 2;</w:t>
      </w:r>
    </w:p>
    <w:p w14:paraId="3F287F41"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Крестинскому — 1 и 3.</w:t>
      </w:r>
    </w:p>
    <w:p w14:paraId="0FA6B00A"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(18115).</w:t>
      </w:r>
    </w:p>
    <w:p w14:paraId="08BC37CB" w14:textId="77777777" w:rsidR="00962513" w:rsidRPr="005E779E" w:rsidRDefault="00962513" w:rsidP="000B7A6C">
      <w:pPr>
        <w:spacing w:after="0" w:line="240" w:lineRule="auto"/>
        <w:jc w:val="both"/>
        <w:rPr>
          <w:rFonts w:ascii="Times New Roman" w:hAnsi="Times New Roman"/>
          <w:color w:val="000000" w:themeColor="text1"/>
          <w:sz w:val="16"/>
          <w:szCs w:val="16"/>
        </w:rPr>
      </w:pPr>
    </w:p>
    <w:p w14:paraId="63B75B2A" w14:textId="77777777" w:rsidR="00EA791B" w:rsidRPr="00142305" w:rsidRDefault="00EA791B" w:rsidP="00EA791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10 июля 1931 года Политбюро было решено для ГВФ во внеочередном порядке срочно закупить три самолета за границей (25172).</w:t>
      </w:r>
    </w:p>
    <w:p w14:paraId="0C31561E" w14:textId="77777777" w:rsidR="00EA791B" w:rsidRPr="00142305" w:rsidRDefault="00EA791B" w:rsidP="00EA791B">
      <w:pPr>
        <w:spacing w:after="0" w:line="240" w:lineRule="auto"/>
        <w:jc w:val="both"/>
        <w:rPr>
          <w:rFonts w:ascii="Times New Roman" w:hAnsi="Times New Roman"/>
          <w:color w:val="0070C0"/>
          <w:sz w:val="16"/>
          <w:szCs w:val="16"/>
        </w:rPr>
      </w:pPr>
    </w:p>
    <w:p w14:paraId="0CD9B679" w14:textId="77777777" w:rsidR="00C74467" w:rsidRPr="005E779E" w:rsidRDefault="00C7446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июля 1931 г. начался десятидневник помощи гражданскому воздушному флоту. Газета "Правда" по инициативе рабочих московского электрозавода начала кампанию за привлечение внимания общественности к нуждам гражданского воздушного флота и оказание ему помощи в реализации правительственных постановлений. В десятидневник включились ВЛКСМ, ВЦСПС и Осоавиахим. Кампания шла под лозунгом "Стра</w:t>
      </w:r>
      <w:r w:rsidRPr="005E779E">
        <w:rPr>
          <w:rFonts w:ascii="Times New Roman" w:hAnsi="Times New Roman"/>
          <w:color w:val="000000" w:themeColor="text1"/>
          <w:sz w:val="16"/>
          <w:szCs w:val="16"/>
        </w:rPr>
        <w:softHyphen/>
        <w:t>не Советов - мощную гражданскую авиацию".</w:t>
      </w:r>
    </w:p>
    <w:p w14:paraId="1739EE44" w14:textId="77777777" w:rsidR="00C74467" w:rsidRPr="005E779E" w:rsidRDefault="00C7446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/«Красная звезда» за 11 и 12 июля 1931/ (23370).</w:t>
      </w:r>
    </w:p>
    <w:p w14:paraId="247663EC" w14:textId="77777777" w:rsidR="00C74467" w:rsidRPr="005E779E" w:rsidRDefault="00C74467" w:rsidP="000B7A6C">
      <w:pPr>
        <w:spacing w:after="0" w:line="240" w:lineRule="auto"/>
        <w:jc w:val="both"/>
        <w:rPr>
          <w:rFonts w:ascii="Times New Roman" w:hAnsi="Times New Roman"/>
          <w:color w:val="000000" w:themeColor="text1"/>
          <w:sz w:val="16"/>
          <w:szCs w:val="16"/>
        </w:rPr>
      </w:pPr>
    </w:p>
    <w:p w14:paraId="37B51727" w14:textId="77777777" w:rsidR="00BB323F"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3945F3AF" w14:textId="77777777" w:rsidR="00BB323F" w:rsidRPr="005E779E" w:rsidRDefault="00BB323F"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BA2431C" w14:textId="77777777" w:rsidR="00E812E3" w:rsidRPr="005E779E" w:rsidRDefault="00E812E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июля в 1931 году образовано ГУП "38 Научно-исследовательский испытательный институт" МО Российской Федерации. История развития 38 НИИИ БТВТ начинается с создания в соответствии с приказом РЕВВОЕНСОВЕТА СССР от 4 апреля 1931 года №22 Научно-испытательного автобронетанкового полигона Управления Механизации и Моторизации Рабоче-Крестьянской Красной Армии (РККА). 10-го июля 1931 года 23 человека личного состава Полигона прибыли на строительную площадку в указанном районе и поселились в палатках. Именно этот день позднее, приказом Министра обороны СССР №007 от 1971г., установлен днем образования части. В 1930-е годы прошлого столетия на вооружение Красной Армии стала интенсивно поступать автобронетанковая техника. По мере количественного и качественного роста автобронетанковой техники задачи, возлагаемые на полигон, усложнялись, а их количество увеличивалось. Только за период с 1934 по 1938 год здесь были проведены испытания танков «БТ-2», «БТ-5», «БТ-7», плавающих танков «Т-37», «Т-37А», «Т-38», среднего танка «Т-28», тяжелого танка Т-35, а также большого количества бронеавтомобилей, артиллерийских тягачей, тракторов, транспортных автомобилей и т. д. В годы Великой Отечественной войны основные усилия коллектива были направлены на испытание и усовершенствование танков и САУ: «Т-60», «Т-70», «Т-34», «КВ», «ИС-1», «ИС-2», «ИС-3», «СУ-76», «СУ-85», «СУ-100», «СУ-122», «СУ-152», «ИСУ-122», «ИСУ-152». Достаточно привести такой факт: за период с мая 1941 года по январь 1943 года в легендарный танк Т-34 было внесено более 200 конструкторских изменений, подавляющая часть которых была внедрена по рекомендациям полигона. С 1956 года начались работы по исследованию принципиально новых способов защиты танков от кумулятивных средств поражения и, в частности, исследования принципиальной возможности создания средств активной и динамической защиты. В это же время на полигоне были начаты работы по исследованию противоминной стойкости танков. В 1966 году была прията на вооружение боевая машина пехоты «БМП-1», которая стала родоначальником нового класса машин. Усложнение задач, возлагавшихся на Полигон, которые он выполнял в течении всех послевоенных лет, привело к фактическому слиянию в его рамках функций научно-исследовательского института и испытательного учреждения. В связи с этим Директивой Генерального штаба от 5 февраля 1972 года 22-й Полигон был преобразован в 38-й Научно-исследовательский испытательный институт бронетанковой техники (Ныне ГУП "38 Научно-исследовательский испытательный институт" МО Российской Федерации). К настоящему времени институт располагает уникальным, единственным в России и СНГ, комплексом современного экспериментального оборудования для проведения научных исследований и испытаний как Броне-танкового Вооружений и Техники, так и военной техники на их базе, а также народнохозяйственных гусеничных и колесных машин. За большие заслуги в разработке и испытании новой техники Институт награжден орденами Красного Знамени (1968 г.) и Октябрьской революции (1976г.). В 1977 г. 38 НИИИ БТВТ присвоено имя Маршала бронетанковых войск Федоренко Я.Н. (14948).</w:t>
      </w:r>
    </w:p>
    <w:p w14:paraId="2AF56E67" w14:textId="77777777" w:rsidR="00E812E3" w:rsidRPr="005E779E" w:rsidRDefault="00E812E3" w:rsidP="000B7A6C">
      <w:pPr>
        <w:spacing w:after="0" w:line="240" w:lineRule="auto"/>
        <w:jc w:val="both"/>
        <w:rPr>
          <w:rFonts w:ascii="Times New Roman" w:hAnsi="Times New Roman"/>
          <w:color w:val="000000" w:themeColor="text1"/>
          <w:sz w:val="16"/>
          <w:szCs w:val="16"/>
        </w:rPr>
      </w:pPr>
    </w:p>
    <w:p w14:paraId="2499281B" w14:textId="77777777" w:rsidR="00BB323F" w:rsidRPr="005E779E" w:rsidRDefault="00BB323F"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10 июля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Протокол заседания Политбюро ЦК ВКП(б) № 48. Опросом членов ПБ от 10 июля 1931 г. 34/25. О закупке механического оборудования для бункерования судов. (РГАСПИ. Ф. 17. Оп. 162. Д. 10. Л. 111) (12416).</w:t>
      </w:r>
    </w:p>
    <w:p w14:paraId="22A4609D" w14:textId="77777777" w:rsidR="00BB323F" w:rsidRPr="005E779E" w:rsidRDefault="00BB323F" w:rsidP="000B7A6C">
      <w:pPr>
        <w:spacing w:after="0" w:line="240" w:lineRule="auto"/>
        <w:jc w:val="both"/>
        <w:rPr>
          <w:rFonts w:ascii="Times New Roman" w:hAnsi="Times New Roman"/>
          <w:color w:val="000000" w:themeColor="text1"/>
          <w:sz w:val="16"/>
          <w:szCs w:val="16"/>
          <w:u w:color="002060"/>
        </w:rPr>
      </w:pPr>
    </w:p>
    <w:p w14:paraId="171B217B"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06E0393D"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3008C8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июля 1931 Политбюро ЦК ВКП(б) постановило освободить из тюрем несколько тысяч инженеров и техников (4962).</w:t>
      </w:r>
    </w:p>
    <w:p w14:paraId="271D3B0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6DE5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10 и 16 июля 1931. Из протокола заседания Политбюро № 41, 1931 г.</w:t>
      </w:r>
    </w:p>
    <w:p w14:paraId="3E1C02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 работе технического персонала на предприятиях и об улучшении бытовых условий инженерно-технических работников </w:t>
      </w:r>
    </w:p>
    <w:p w14:paraId="539BDD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 Руководителям предприятий и учреждений, партийным и профсоюзным органам добиться осуществления в полном объеме прав и обязанностей инженеров по руководству производством... </w:t>
      </w:r>
    </w:p>
    <w:p w14:paraId="1D8999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 xml:space="preserve">2. Предоставить возможность инженерно-техническому персоналу проявлять широкую инициативу в деле рационализации и улучшения процессов производства, допуская производственный риск, неудовлетворительные результаты которого рассматривать как неудачу, подлежащую техническому и хозяйственному разбору лишь со стороны руководителей предприятий и объединений... </w:t>
      </w:r>
    </w:p>
    <w:p w14:paraId="42BF74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4. Пересмотреть дела осужденных и приговоренных к принудительным работам специалистов за допущенные в работе неполадки и промахи и за нарушение трудового законодательства. В отношении осужденных специалистов, которые доказали своей работой преданность делу социалистического строительства, снять судимость, исключив соответствующую запись в их трудовых списках... </w:t>
      </w:r>
    </w:p>
    <w:p w14:paraId="45D256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9. а) Воспретить органам милиции, угрозыска и прокуратуры вмешиваться в производственную жизнь завода и вести следствие по производственным делам без специального разрешения дирекции предприятий или руководящих органов; </w:t>
      </w:r>
    </w:p>
    <w:p w14:paraId="315AD9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б) считать нецелесообразным существование официальных представителей ОГПУ на предприятиях; </w:t>
      </w:r>
    </w:p>
    <w:p w14:paraId="0548FB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воспретить парторганизациям отмену, исправление или задержку оперативных распоряжений дирекции заводов (11652).</w:t>
      </w:r>
    </w:p>
    <w:p w14:paraId="5BF059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EAD7E98"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июля 1931</w:t>
      </w:r>
    </w:p>
    <w:p w14:paraId="50DE55E6"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Решения Политбюро от 10.VII.1931 г.</w:t>
      </w:r>
    </w:p>
    <w:p w14:paraId="7C9239BC"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 1/13: Вопросы ОГПУ</w:t>
      </w:r>
    </w:p>
    <w:p w14:paraId="10BDD1B1"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(ПБ от 30.VI.31 г., пр. № 46, п. 1/17).</w:t>
      </w:r>
    </w:p>
    <w:p w14:paraId="5D223875"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(Молотов, Сталин, Ворошилов, Андреев, Орджоникидзе).</w:t>
      </w:r>
    </w:p>
    <w:p w14:paraId="04DCD373"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Решение — особая папка.</w:t>
      </w:r>
    </w:p>
    <w:p w14:paraId="26A88851"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Никого из коммунистов, работающих в органах ОГПУ или вне этих органов, как в центре, так и на местах, не арестовывать без ведома и согласия ЦК ВКП(б).</w:t>
      </w:r>
    </w:p>
    <w:p w14:paraId="2A826557"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Никого из специалистов (инженерно-технический персонал, военные, агрономы, врачи и т. п.) не арестовывать без согласия соответствующего наркома (союзного или республиканского), в случае же разногласия вопрос переносить в ЦК ВКП(б).</w:t>
      </w:r>
    </w:p>
    <w:p w14:paraId="6776933E"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Граждан, арестованных по обвинению в политическом преступлении, не держать без допроса более чем две недели, и под следствием более, чем три месяца, после чего дело должно быть ликвидировано либо передачей суду, либо самостоятельным решением коллегии ОГПУ.</w:t>
      </w:r>
    </w:p>
    <w:p w14:paraId="4AFBAD28"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Все приговоры о высшей мере наказания, выносимые коллегией ОГПУ, вносить на утверждение ЦК ВКП(б).</w:t>
      </w:r>
    </w:p>
    <w:p w14:paraId="342EA622"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Выписка послана:</w:t>
      </w:r>
    </w:p>
    <w:p w14:paraId="7CA82E94"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Менжинскому.</w:t>
      </w:r>
    </w:p>
    <w:p w14:paraId="5B0FE7DD"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Приписка от руки:</w:t>
      </w:r>
    </w:p>
    <w:p w14:paraId="0C3EEC1E"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Разослано за № 45 (1/13) пр. № 54 (как открытое решение).</w:t>
      </w:r>
    </w:p>
    <w:p w14:paraId="64F504C7"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(18115).</w:t>
      </w:r>
    </w:p>
    <w:p w14:paraId="26C523E1" w14:textId="77777777" w:rsidR="00962513" w:rsidRPr="005E779E" w:rsidRDefault="00962513" w:rsidP="000B7A6C">
      <w:pPr>
        <w:spacing w:after="0" w:line="240" w:lineRule="auto"/>
        <w:jc w:val="both"/>
        <w:rPr>
          <w:rFonts w:ascii="Times New Roman" w:hAnsi="Times New Roman"/>
          <w:color w:val="000000" w:themeColor="text1"/>
          <w:sz w:val="16"/>
          <w:szCs w:val="16"/>
        </w:rPr>
      </w:pPr>
    </w:p>
    <w:p w14:paraId="73FE438E"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июля 1931</w:t>
      </w:r>
    </w:p>
    <w:p w14:paraId="7C729019"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 18/39: О работе технического персонала на предприятиях и об улучшении бытовых условий инженерно-технических работников</w:t>
      </w:r>
    </w:p>
    <w:p w14:paraId="520F167A"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(Орджоникидзе).</w:t>
      </w:r>
    </w:p>
    <w:p w14:paraId="27DE28DA"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Принять с поправкой в п. 7</w:t>
      </w:r>
      <w:r w:rsidRPr="005E779E">
        <w:rPr>
          <w:rFonts w:ascii="Times New Roman" w:hAnsi="Times New Roman"/>
          <w:color w:val="000000" w:themeColor="text1"/>
          <w:sz w:val="16"/>
          <w:szCs w:val="16"/>
        </w:rPr>
        <w:noBreakHyphen/>
        <w:t>в предложенный т. Орджоникидзе проект постановления ЦК по вопросу о работе технического персонала на предприятиях и об улучшении бытовых условий инженерно-технических работников (</w:t>
      </w:r>
      <w:hyperlink r:id="rId145" w:history="1">
        <w:r w:rsidRPr="005E779E">
          <w:rPr>
            <w:rStyle w:val="a5"/>
            <w:rFonts w:ascii="Times New Roman" w:hAnsi="Times New Roman"/>
            <w:color w:val="000000" w:themeColor="text1"/>
            <w:sz w:val="16"/>
            <w:szCs w:val="16"/>
          </w:rPr>
          <w:t>см. приложение № 3</w:t>
        </w:r>
      </w:hyperlink>
      <w:r w:rsidRPr="005E779E">
        <w:rPr>
          <w:rFonts w:ascii="Times New Roman" w:hAnsi="Times New Roman"/>
          <w:color w:val="000000" w:themeColor="text1"/>
          <w:sz w:val="16"/>
          <w:szCs w:val="16"/>
        </w:rPr>
        <w:t>).</w:t>
      </w:r>
    </w:p>
    <w:p w14:paraId="10D20791"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Постановление разослать нац. ЦК, краевым и областным парторганизациям, всем директорам фабрик и заводов и председателям объединений.</w:t>
      </w:r>
    </w:p>
    <w:p w14:paraId="64790D61"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г) Решение — особая папка.</w:t>
      </w:r>
    </w:p>
    <w:p w14:paraId="13033BED"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Освободить арестованных специалистов в первую очередь по черной металлургии и потом по углю по списку, согласованного между т.т. Орджоникидзе и Менжинским, и направить их для работы на заводы.</w:t>
      </w:r>
    </w:p>
    <w:p w14:paraId="7E1EA5F8"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Отменить постановление СТО об обязанности ОГПУ привлекать к ответственности специалистов за пережоги топлива.</w:t>
      </w:r>
    </w:p>
    <w:p w14:paraId="78D2281B"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Выписки посланы:</w:t>
      </w:r>
    </w:p>
    <w:p w14:paraId="31598E51"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Менжинскому, Орджоникидзе — п. “в”, “г”;</w:t>
      </w:r>
    </w:p>
    <w:p w14:paraId="53B592AA"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Керженцеву — п. “г”.</w:t>
      </w:r>
    </w:p>
    <w:p w14:paraId="77C86A68"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(18115).</w:t>
      </w:r>
    </w:p>
    <w:p w14:paraId="5EA71223"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 работе технического персонала на предприятии и об улучшении бытовых условий инженерно-технических работников.</w:t>
      </w:r>
    </w:p>
    <w:p w14:paraId="4A6FBA61"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(Постановление ЦК ВКП(б) от 10</w:t>
      </w:r>
      <w:r w:rsidRPr="005E779E">
        <w:rPr>
          <w:rFonts w:ascii="Times New Roman" w:hAnsi="Times New Roman"/>
          <w:color w:val="000000" w:themeColor="text1"/>
          <w:sz w:val="16"/>
          <w:szCs w:val="16"/>
        </w:rPr>
        <w:noBreakHyphen/>
        <w:t>го июля 1931 г.).</w:t>
      </w:r>
    </w:p>
    <w:p w14:paraId="3B4E0A22"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целях улучшения условий работы инженерно-технического персонала на предприятиях и в учреждениях ЦК ВКП(б) утверждает следующие предложения ВСНХ СССР:</w:t>
      </w:r>
    </w:p>
    <w:p w14:paraId="3BE78D99"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Руководителям предприятий и учреждений, партийным и профсоюзным органам поднять авторитет инженерно-технического персонала и добиться осуществления в полном объеме прав и обязанностей инженеров по руководству производством. Особо необходимо поддержать молодых специалистов, обеспечив их дальнейший рост в процессе работы.</w:t>
      </w:r>
    </w:p>
    <w:p w14:paraId="3D2FF8DB"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Предоставить возможность инженерно-техническому персоналу проявлять широкую инициативу в деле рационализации и улучшения процессов производства, допуская производственный риск, неудовлетворительные результаты которого рассматривать как неудачу, подлежащую техническому и хозяйственному разбору лишь со стороны руководителей предприятий и объединений.</w:t>
      </w:r>
    </w:p>
    <w:p w14:paraId="746AADF7"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Руководителям предприятий и учреждений всячески поощрять проявление специалистами в своей работе изобретательности, умелого руководства, энергии и инициативы, путем премирования их, опубликования в печати об их достижениях и в особо выдающихся случаях предоставлять инженерно-технических работников к наградам.</w:t>
      </w:r>
    </w:p>
    <w:p w14:paraId="3BA0D6B7"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Пересмотреть дела осужденных и приговоренных к принудительным работам специалистов за допущенные в работе неполадки и промахи и за нарушение трудового законодательства. В отношении осужденных специалистов, которые доказали своей работой преданность делу социалистического строительства, снять судимость, исключив соответствующие записи в их трудовых списках.</w:t>
      </w:r>
    </w:p>
    <w:p w14:paraId="2459F93B"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проведения в жизнь этого постановления образовать на предприятиях и в учреждениях специальные комиссии из представителей Наркомюста, управления данного предприятия и бюро ИТС соответствующего профсоюза, которым в течение месячного срока закончить свою работу по пересмотру этих дел. Указанным комиссиям предоставить право окончательных решений.</w:t>
      </w:r>
    </w:p>
    <w:p w14:paraId="2ABB229A"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В целях наилучшего использования наличных инженерно-технических кадров, пересмотреть загрузку специалистов, работающих на предприятиях и в учреждениях и освободить их от канцелярской и иной несвойственной им работы, переложив таковую на обслуживающий персонал.</w:t>
      </w:r>
    </w:p>
    <w:p w14:paraId="682B4370"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Усилить практику назначения инженерно-технических работников на должности зав. цехов, зав. конструкторскими, техническими и т. п. отделами и на другие руководящие должности.</w:t>
      </w:r>
    </w:p>
    <w:p w14:paraId="5EC70331"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В части улучшения бытовых условий инженерно-технических работников провести следующие мероприятия:</w:t>
      </w:r>
    </w:p>
    <w:p w14:paraId="13D25109"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обеспечить места детям инженерно-технических работников при приеме в учебные заведения наравне с детьми индустриальных рабочих;</w:t>
      </w:r>
    </w:p>
    <w:p w14:paraId="067B7EC5"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обеспечить инженерно-технических работников домами отдыха и санаториями наравне с индустриальными рабочими;</w:t>
      </w:r>
    </w:p>
    <w:p w14:paraId="4ABAFD65"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больным инженерно-техническим работникам во время их болезни выдавать пособие наравне с рабочими;</w:t>
      </w:r>
    </w:p>
    <w:p w14:paraId="0297DD84"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в отношении условий снабжения инженерно-технических работников и их семей приравнять их к индустриальным рабочим;</w:t>
      </w:r>
    </w:p>
    <w:p w14:paraId="1719D1EB"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 при переводе инженерно-технических работников с производства на работу в учреждения, в целях укрепления технического руководства высших звеньев управления, не допускать ухудшений условий оплаты их труда;</w:t>
      </w:r>
    </w:p>
    <w:p w14:paraId="5496EA5B"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 приравнять инженерно-технических работников к индустриальным рабочим в правах на получение жилой площади. Существующие кооперативы инженерно-технических работников приравнять к рабочим жилищным кооперативам.</w:t>
      </w:r>
    </w:p>
    <w:p w14:paraId="3CA98890"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Предложить СНК СССР выделить дополнительно на 1931 г. 10 млн. руб. сверх предусмотренных планом, по линии жилищной кооперации, для усиления жилстроительства и обеспечения жилплощадью инженерно-технических работников в наиболее неблагополучных в этом отношении пунктах.</w:t>
      </w:r>
    </w:p>
    <w:p w14:paraId="4EE8DE8B"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Предложить ВСНХ СССР выделить дополнительный фонд стройматериалов для реализации указанных вложений</w:t>
      </w:r>
    </w:p>
    <w:p w14:paraId="56AE595B"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установлении нормы жилой площади исходить из необходимости обеспечения специалистам проводимой ими на дому работы по повышению своей квалификации, предоставив им право на дополнительную площадь наравне с ответственными работниками.</w:t>
      </w:r>
    </w:p>
    <w:p w14:paraId="79A6D03F"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Предложить Комиссии Исполнения при Совнаркоме иметь постоянное наблюдение за выполнением означенного постановления.</w:t>
      </w:r>
    </w:p>
    <w:p w14:paraId="0F8FF913"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Распространить п. 5 (“а”, “б”, “в”) постановления ЦК ВКП(б) и СНК СССР от 3.VI</w:t>
      </w:r>
      <w:r w:rsidRPr="005E779E">
        <w:rPr>
          <w:rFonts w:ascii="Times New Roman" w:hAnsi="Times New Roman"/>
          <w:color w:val="000000" w:themeColor="text1"/>
          <w:sz w:val="16"/>
          <w:szCs w:val="16"/>
        </w:rPr>
        <w:noBreakHyphen/>
        <w:t>31 г. на весь Союз:</w:t>
      </w:r>
    </w:p>
    <w:p w14:paraId="21530EDE"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Воспретить органам милиции, угрозыска и прокуратуры вмешиваться в производственную жизнь завода и вести следствие по производственным делам без специального разрешения дирекции предприятий или вышестоящих органов.</w:t>
      </w:r>
    </w:p>
    <w:p w14:paraId="0A6E20A3"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Считать нецелесообразным существование официальных представительств ОГПУ на предприятиях.</w:t>
      </w:r>
    </w:p>
    <w:p w14:paraId="3DE6B35B" w14:textId="77777777" w:rsidR="00962513" w:rsidRPr="005E779E" w:rsidRDefault="0096251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 Воспретить парторганизациям отмену, исправление или задержку оперативных распоряжений дирекции заводов (18116).</w:t>
      </w:r>
    </w:p>
    <w:p w14:paraId="567B6EFE" w14:textId="77777777" w:rsidR="00962513" w:rsidRPr="005E779E" w:rsidRDefault="00962513" w:rsidP="000B7A6C">
      <w:pPr>
        <w:spacing w:after="0" w:line="240" w:lineRule="auto"/>
        <w:jc w:val="both"/>
        <w:rPr>
          <w:rFonts w:ascii="Times New Roman" w:hAnsi="Times New Roman"/>
          <w:color w:val="000000" w:themeColor="text1"/>
          <w:sz w:val="16"/>
          <w:szCs w:val="16"/>
        </w:rPr>
      </w:pPr>
    </w:p>
    <w:p w14:paraId="585DE44F"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250C82F7"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C09168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июля 1931 вопреки протестам Дании, Норвегия аннексировала Восточную Гренландию (4962).</w:t>
      </w:r>
    </w:p>
    <w:p w14:paraId="33B1CF8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730E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июля 1931 Норвегия аннексировала Восточную Гренландию. Дания заявила протест и вопрос передали в Лигу наций: которая в апреле 1933 осудила действия Норвегии (3907,168).</w:t>
      </w:r>
    </w:p>
    <w:p w14:paraId="23EE5E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AB083BB"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30BA567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7947357" w14:textId="77777777" w:rsidR="00D84D3F" w:rsidRPr="005E779E" w:rsidRDefault="00D84D3F"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июля 1931 вслед за Постановлением о награждении, на завод № 39 пришло поздравительное письмо от членов правительства Г.К. Орджоникидзе и К.Е. Ворошилова.</w:t>
      </w:r>
    </w:p>
    <w:p w14:paraId="1519B576" w14:textId="77777777" w:rsidR="00D84D3F" w:rsidRPr="005E779E" w:rsidRDefault="00D84D3F" w:rsidP="000B7A6C">
      <w:pPr>
        <w:pStyle w:val="rteindent11"/>
        <w:shd w:val="clear" w:color="auto" w:fill="FFFFFF"/>
        <w:spacing w:before="0" w:beforeAutospacing="0" w:after="0"/>
        <w:ind w:left="0" w:firstLine="0"/>
        <w:rPr>
          <w:color w:val="000000" w:themeColor="text1"/>
          <w:sz w:val="16"/>
          <w:szCs w:val="16"/>
        </w:rPr>
      </w:pPr>
      <w:r w:rsidRPr="005E779E">
        <w:rPr>
          <w:rStyle w:val="af0"/>
          <w:i w:val="0"/>
          <w:color w:val="000000" w:themeColor="text1"/>
          <w:sz w:val="16"/>
          <w:szCs w:val="16"/>
        </w:rPr>
        <w:t>РАБОЧИМ И СПЕЦИАЛИСТАМ ЦКБ и ЗАВОДА № 39.</w:t>
      </w:r>
    </w:p>
    <w:p w14:paraId="1653363A" w14:textId="77777777" w:rsidR="00D84D3F" w:rsidRPr="005E779E" w:rsidRDefault="00D84D3F" w:rsidP="000B7A6C">
      <w:pPr>
        <w:pStyle w:val="rteindent11"/>
        <w:shd w:val="clear" w:color="auto" w:fill="FFFFFF"/>
        <w:spacing w:before="0" w:beforeAutospacing="0" w:after="0"/>
        <w:ind w:left="0" w:firstLine="0"/>
        <w:rPr>
          <w:color w:val="000000" w:themeColor="text1"/>
          <w:sz w:val="16"/>
          <w:szCs w:val="16"/>
        </w:rPr>
      </w:pPr>
      <w:r w:rsidRPr="005E779E">
        <w:rPr>
          <w:rStyle w:val="af0"/>
          <w:i w:val="0"/>
          <w:color w:val="000000" w:themeColor="text1"/>
          <w:sz w:val="16"/>
          <w:szCs w:val="16"/>
        </w:rPr>
        <w:t>Дорогие товарищи.</w:t>
      </w:r>
    </w:p>
    <w:p w14:paraId="1154180E" w14:textId="77777777" w:rsidR="00D84D3F" w:rsidRPr="005E779E" w:rsidRDefault="00D84D3F" w:rsidP="000B7A6C">
      <w:pPr>
        <w:pStyle w:val="rteindent11"/>
        <w:shd w:val="clear" w:color="auto" w:fill="FFFFFF"/>
        <w:spacing w:before="0" w:beforeAutospacing="0" w:after="0"/>
        <w:ind w:left="0" w:firstLine="0"/>
        <w:rPr>
          <w:color w:val="000000" w:themeColor="text1"/>
          <w:sz w:val="16"/>
          <w:szCs w:val="16"/>
        </w:rPr>
      </w:pPr>
      <w:r w:rsidRPr="005E779E">
        <w:rPr>
          <w:rStyle w:val="af0"/>
          <w:i w:val="0"/>
          <w:color w:val="000000" w:themeColor="text1"/>
          <w:sz w:val="16"/>
          <w:szCs w:val="16"/>
        </w:rPr>
        <w:t>Пользуясь случаем празднования Вами новой вашей большой производственной победы, шлем наш братский привет и горячие поздравления. Вслед за И-5, ЛШ, ТШ и другими машинами, выпущенными вашим заводом в течение одного года. Вы внесли в дело социалистического строительства новый ценный вклад – многомоторный самолет ТБ-5. Мы уверены, что предстоящие, более длительные и трудные испытания этого корабля прочно установят его заслуженное место в первом ряду самолетов Красного Воздушного Флота.</w:t>
      </w:r>
    </w:p>
    <w:p w14:paraId="622B816A" w14:textId="77777777" w:rsidR="00D84D3F" w:rsidRPr="005E779E" w:rsidRDefault="00D84D3F" w:rsidP="000B7A6C">
      <w:pPr>
        <w:pStyle w:val="rteindent11"/>
        <w:shd w:val="clear" w:color="auto" w:fill="FFFFFF"/>
        <w:spacing w:before="0" w:beforeAutospacing="0" w:after="0"/>
        <w:ind w:left="0" w:firstLine="0"/>
        <w:rPr>
          <w:rStyle w:val="af0"/>
          <w:i w:val="0"/>
          <w:color w:val="000000" w:themeColor="text1"/>
          <w:sz w:val="16"/>
          <w:szCs w:val="16"/>
        </w:rPr>
      </w:pPr>
      <w:r w:rsidRPr="005E779E">
        <w:rPr>
          <w:rStyle w:val="af0"/>
          <w:i w:val="0"/>
          <w:color w:val="000000" w:themeColor="text1"/>
          <w:sz w:val="16"/>
          <w:szCs w:val="16"/>
        </w:rPr>
        <w:t>Пролетариат Советского Союза может гордиться вашей работой и вашими достижениями. За короткий срок, не взирая на сравнительную бедность зданий и оборудования 39-го завода, преодолевая многочисленные нехватки в материалах и другие трудности, вы сумели дать советской стране ряд прекрасных воздушных кораблей, стоящих на уровне лучших заграничных образцов. Выполняя задания Партии и Правительства, вы добились в своей работе небывалых в нашей стране темпов проектирования и постройки самолетов. Сроки, выдержанные вами в создание ТБ-5, бьют не только наши, но и лучшие заграничные рекорды сооружения тяжелых многомоторных самолетов.</w:t>
      </w:r>
    </w:p>
    <w:p w14:paraId="3A109F6B" w14:textId="77777777" w:rsidR="00D84D3F" w:rsidRPr="005E779E" w:rsidRDefault="00D84D3F" w:rsidP="000B7A6C">
      <w:pPr>
        <w:pStyle w:val="rteindent11"/>
        <w:shd w:val="clear" w:color="auto" w:fill="FFFFFF"/>
        <w:spacing w:before="0" w:beforeAutospacing="0" w:after="0"/>
        <w:ind w:left="0" w:firstLine="0"/>
        <w:rPr>
          <w:rStyle w:val="af0"/>
          <w:i w:val="0"/>
          <w:color w:val="000000" w:themeColor="text1"/>
          <w:sz w:val="16"/>
          <w:szCs w:val="16"/>
        </w:rPr>
      </w:pPr>
      <w:r w:rsidRPr="005E779E">
        <w:rPr>
          <w:rStyle w:val="af0"/>
          <w:i w:val="0"/>
          <w:color w:val="000000" w:themeColor="text1"/>
          <w:sz w:val="16"/>
          <w:szCs w:val="16"/>
        </w:rPr>
        <w:t>Ваши победы доказывают высокую зрелость конструкторского и производственного коллектива ЦКБ и завода, подлинно большевистский энтузиазм строителей и крепкое хорошее руководство работой администрации и партийного коллектива, сумевших использовать все возможности и поднять волю всех рабочих и специалистов на выполнение важнейших для нашей страны задач.</w:t>
      </w:r>
    </w:p>
    <w:p w14:paraId="2AC09288" w14:textId="77777777" w:rsidR="00D84D3F" w:rsidRPr="005E779E" w:rsidRDefault="00D84D3F" w:rsidP="000B7A6C">
      <w:pPr>
        <w:pStyle w:val="rteindent11"/>
        <w:shd w:val="clear" w:color="auto" w:fill="FFFFFF"/>
        <w:spacing w:before="0" w:beforeAutospacing="0" w:after="0"/>
        <w:ind w:left="0" w:firstLine="0"/>
        <w:rPr>
          <w:rStyle w:val="af0"/>
          <w:i w:val="0"/>
          <w:color w:val="000000" w:themeColor="text1"/>
          <w:sz w:val="16"/>
          <w:szCs w:val="16"/>
        </w:rPr>
      </w:pPr>
      <w:r w:rsidRPr="005E779E">
        <w:rPr>
          <w:rStyle w:val="af0"/>
          <w:i w:val="0"/>
          <w:color w:val="000000" w:themeColor="text1"/>
          <w:sz w:val="16"/>
          <w:szCs w:val="16"/>
        </w:rPr>
        <w:t>Нам особенно приятно отметить, что ваш новый самолет, как, впрочем, и другие ваши работы – не творение рук одного только талантливого инженера, а подлинное детище дружного, крепко сплоченного коллектива старых и молодых специалистов, пролетариев завода, администрации, партийной и общественных организаций, летчиков, мотористов и других товарищей, которые все с величайшим подъемом отдавали полностью свои силы, знания, опыт и труд на создание новых наших воздушных кораблей.</w:t>
      </w:r>
    </w:p>
    <w:p w14:paraId="38C229E6" w14:textId="77777777" w:rsidR="00D84D3F" w:rsidRPr="005E779E" w:rsidRDefault="00D84D3F" w:rsidP="000B7A6C">
      <w:pPr>
        <w:pStyle w:val="rteindent11"/>
        <w:shd w:val="clear" w:color="auto" w:fill="FFFFFF"/>
        <w:spacing w:before="0" w:beforeAutospacing="0" w:after="0"/>
        <w:ind w:left="0" w:firstLine="0"/>
        <w:rPr>
          <w:color w:val="000000" w:themeColor="text1"/>
          <w:sz w:val="16"/>
          <w:szCs w:val="16"/>
        </w:rPr>
      </w:pPr>
      <w:r w:rsidRPr="005E779E">
        <w:rPr>
          <w:rStyle w:val="af0"/>
          <w:i w:val="0"/>
          <w:color w:val="000000" w:themeColor="text1"/>
          <w:sz w:val="16"/>
          <w:szCs w:val="16"/>
        </w:rPr>
        <w:t>Мы должны в то же время с большим удовлетворением подчеркнуть, что в достижениях вашего коллектива одно из почетных мест по праву принадлежит группе старых специалистов. Еще недавно, не будучи в силах освободиться от кастовых предрассудков буржуазного инженерства, не веря в великую творческую роль пролетариата, они не желали отдать ему свой выдающийся опыт и знания. Поставленные в особые условия вынужденным к тому пролетариатом и убежденные величайшими победами социалистического строительства, они поняли, что их место не против, не в стороне, а в одной колонне с рабочим классом, с неслыханной энергией строящим новое человеческое общество. Эти товарищи – старые инженеры сами, находясь в вашем коллективе, превратились в энтузиастов социалистической стройки, в весьма полезных наших сотрудников.</w:t>
      </w:r>
    </w:p>
    <w:p w14:paraId="0BCE22C4" w14:textId="77777777" w:rsidR="00D84D3F" w:rsidRPr="005E779E" w:rsidRDefault="00D84D3F" w:rsidP="000B7A6C">
      <w:pPr>
        <w:pStyle w:val="rteindent11"/>
        <w:shd w:val="clear" w:color="auto" w:fill="FFFFFF"/>
        <w:spacing w:before="0" w:beforeAutospacing="0" w:after="0"/>
        <w:ind w:left="0" w:firstLine="0"/>
        <w:rPr>
          <w:rStyle w:val="af0"/>
          <w:i w:val="0"/>
          <w:color w:val="000000" w:themeColor="text1"/>
          <w:sz w:val="16"/>
          <w:szCs w:val="16"/>
        </w:rPr>
      </w:pPr>
      <w:r w:rsidRPr="005E779E">
        <w:rPr>
          <w:rStyle w:val="af0"/>
          <w:i w:val="0"/>
          <w:color w:val="000000" w:themeColor="text1"/>
          <w:sz w:val="16"/>
          <w:szCs w:val="16"/>
        </w:rPr>
        <w:t>Мы ни на минуту не сомневаемся, что ЦКБ и пролетарии 39-го завода не остановятся на достигнутом и дадут нашей стране еще более совершенные плоды своей большевистской работы.</w:t>
      </w:r>
    </w:p>
    <w:p w14:paraId="7E18743E" w14:textId="77777777" w:rsidR="00D84D3F" w:rsidRPr="005E779E" w:rsidRDefault="00D84D3F" w:rsidP="000B7A6C">
      <w:pPr>
        <w:pStyle w:val="rteindent11"/>
        <w:shd w:val="clear" w:color="auto" w:fill="FFFFFF"/>
        <w:spacing w:before="0" w:beforeAutospacing="0" w:after="0"/>
        <w:ind w:left="0" w:firstLine="0"/>
        <w:rPr>
          <w:color w:val="000000" w:themeColor="text1"/>
          <w:sz w:val="16"/>
          <w:szCs w:val="16"/>
        </w:rPr>
      </w:pPr>
      <w:r w:rsidRPr="005E779E">
        <w:rPr>
          <w:rStyle w:val="af0"/>
          <w:i w:val="0"/>
          <w:color w:val="000000" w:themeColor="text1"/>
          <w:sz w:val="16"/>
          <w:szCs w:val="16"/>
        </w:rPr>
        <w:t>Да здравствуют славные пролетарии и специалисты ЦКБ и 39-го завода. Вперед к новым победам!</w:t>
      </w:r>
    </w:p>
    <w:p w14:paraId="0B3073D3" w14:textId="77777777" w:rsidR="00D84D3F" w:rsidRPr="005E779E" w:rsidRDefault="00D84D3F" w:rsidP="000B7A6C">
      <w:pPr>
        <w:pStyle w:val="rteindent11"/>
        <w:shd w:val="clear" w:color="auto" w:fill="FFFFFF"/>
        <w:spacing w:before="0" w:beforeAutospacing="0" w:after="0"/>
        <w:ind w:left="0" w:firstLine="0"/>
        <w:rPr>
          <w:color w:val="000000" w:themeColor="text1"/>
          <w:sz w:val="16"/>
          <w:szCs w:val="16"/>
        </w:rPr>
      </w:pPr>
      <w:r w:rsidRPr="005E779E">
        <w:rPr>
          <w:rStyle w:val="af0"/>
          <w:i w:val="0"/>
          <w:color w:val="000000" w:themeColor="text1"/>
          <w:sz w:val="16"/>
          <w:szCs w:val="16"/>
        </w:rPr>
        <w:t>Ваши /Орджоникидзе/</w:t>
      </w:r>
    </w:p>
    <w:p w14:paraId="5CD81E86" w14:textId="77777777" w:rsidR="00D84D3F" w:rsidRPr="005E779E" w:rsidRDefault="00D84D3F" w:rsidP="000B7A6C">
      <w:pPr>
        <w:pStyle w:val="rteindent11"/>
        <w:shd w:val="clear" w:color="auto" w:fill="FFFFFF"/>
        <w:spacing w:before="0" w:beforeAutospacing="0" w:after="0"/>
        <w:ind w:left="0" w:firstLine="0"/>
        <w:rPr>
          <w:rStyle w:val="af0"/>
          <w:i w:val="0"/>
          <w:color w:val="000000" w:themeColor="text1"/>
          <w:sz w:val="16"/>
          <w:szCs w:val="16"/>
        </w:rPr>
      </w:pPr>
      <w:r w:rsidRPr="005E779E">
        <w:rPr>
          <w:rStyle w:val="af0"/>
          <w:i w:val="0"/>
          <w:color w:val="000000" w:themeColor="text1"/>
          <w:sz w:val="16"/>
          <w:szCs w:val="16"/>
        </w:rPr>
        <w:t>/Ворошилов/</w:t>
      </w:r>
    </w:p>
    <w:p w14:paraId="6A17CF59" w14:textId="77777777" w:rsidR="00D84D3F" w:rsidRPr="005E779E" w:rsidRDefault="00D84D3F" w:rsidP="000B7A6C">
      <w:pPr>
        <w:pStyle w:val="rteindent11"/>
        <w:shd w:val="clear" w:color="auto" w:fill="FFFFFF"/>
        <w:spacing w:before="0" w:beforeAutospacing="0" w:after="0"/>
        <w:ind w:left="0" w:firstLine="0"/>
        <w:rPr>
          <w:rStyle w:val="af0"/>
          <w:i w:val="0"/>
          <w:color w:val="000000" w:themeColor="text1"/>
          <w:sz w:val="16"/>
          <w:szCs w:val="16"/>
        </w:rPr>
      </w:pPr>
      <w:r w:rsidRPr="005E779E">
        <w:rPr>
          <w:rStyle w:val="af0"/>
          <w:i w:val="0"/>
          <w:color w:val="000000" w:themeColor="text1"/>
          <w:sz w:val="16"/>
          <w:szCs w:val="16"/>
        </w:rPr>
        <w:t>II/VII-31г.</w:t>
      </w:r>
    </w:p>
    <w:p w14:paraId="2E7A6CEA" w14:textId="77777777" w:rsidR="00D84D3F" w:rsidRPr="005E779E" w:rsidRDefault="00D84D3F"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ответном письме К.Е. Ворошилову - Народному комиссару по военным и морским делам СССР заводчане писали...</w:t>
      </w:r>
    </w:p>
    <w:p w14:paraId="29B10FD8" w14:textId="77777777" w:rsidR="00D84D3F" w:rsidRPr="005E779E" w:rsidRDefault="00D84D3F" w:rsidP="000B7A6C">
      <w:pPr>
        <w:pStyle w:val="rteindent11"/>
        <w:shd w:val="clear" w:color="auto" w:fill="FFFFFF"/>
        <w:spacing w:before="0" w:beforeAutospacing="0" w:after="0"/>
        <w:ind w:left="0" w:firstLine="0"/>
        <w:rPr>
          <w:color w:val="000000" w:themeColor="text1"/>
          <w:sz w:val="16"/>
          <w:szCs w:val="16"/>
        </w:rPr>
      </w:pPr>
      <w:r w:rsidRPr="005E779E">
        <w:rPr>
          <w:rStyle w:val="af0"/>
          <w:i w:val="0"/>
          <w:color w:val="000000" w:themeColor="text1"/>
          <w:sz w:val="16"/>
          <w:szCs w:val="16"/>
        </w:rPr>
        <w:t>Дорогой КЛЕМЕНТИЙ ЕФРЕМОВИЧ!</w:t>
      </w:r>
    </w:p>
    <w:p w14:paraId="08B9AC36" w14:textId="77777777" w:rsidR="00D84D3F" w:rsidRPr="005E779E" w:rsidRDefault="00D84D3F" w:rsidP="000B7A6C">
      <w:pPr>
        <w:pStyle w:val="rteindent11"/>
        <w:shd w:val="clear" w:color="auto" w:fill="FFFFFF"/>
        <w:spacing w:before="0" w:beforeAutospacing="0" w:after="0"/>
        <w:ind w:left="0" w:firstLine="0"/>
        <w:rPr>
          <w:rStyle w:val="af0"/>
          <w:i w:val="0"/>
          <w:color w:val="000000" w:themeColor="text1"/>
          <w:sz w:val="16"/>
          <w:szCs w:val="16"/>
        </w:rPr>
      </w:pPr>
      <w:r w:rsidRPr="005E779E">
        <w:rPr>
          <w:rStyle w:val="af0"/>
          <w:i w:val="0"/>
          <w:color w:val="000000" w:themeColor="text1"/>
          <w:sz w:val="16"/>
          <w:szCs w:val="16"/>
        </w:rPr>
        <w:t>Вчера на торжественном собрании лучших ударников нашего коллектива рабочих и инженерно-технического персонала, совместно с партруководителями Красно–Пресненского района, по Твоему приказанию, член Реввоенсовета и начальник Военно-Воздушных Сил РККА СССР тов. АЛКС-НИС огласил Тобою представленное и проведенное через Правительство постановление ЦИК Союза о награждении завода и его работников.</w:t>
      </w:r>
    </w:p>
    <w:p w14:paraId="561045D1" w14:textId="77777777" w:rsidR="00D84D3F" w:rsidRPr="005E779E" w:rsidRDefault="00D84D3F" w:rsidP="000B7A6C">
      <w:pPr>
        <w:pStyle w:val="rteindent11"/>
        <w:shd w:val="clear" w:color="auto" w:fill="FFFFFF"/>
        <w:spacing w:before="0" w:beforeAutospacing="0" w:after="0"/>
        <w:ind w:left="0" w:firstLine="0"/>
        <w:rPr>
          <w:rStyle w:val="af0"/>
          <w:i w:val="0"/>
          <w:color w:val="000000" w:themeColor="text1"/>
          <w:sz w:val="16"/>
          <w:szCs w:val="16"/>
        </w:rPr>
      </w:pPr>
      <w:r w:rsidRPr="005E779E">
        <w:rPr>
          <w:rStyle w:val="af0"/>
          <w:i w:val="0"/>
          <w:color w:val="000000" w:themeColor="text1"/>
          <w:sz w:val="16"/>
          <w:szCs w:val="16"/>
        </w:rPr>
        <w:t>Признавая, что наша упорная работа по пролетарской справедливости отмечена Партией и Правительством, и в первую очередь Тобой, Вождем и руководителем нашей несокрушимой Красной Армии, над усилением мощи которой мы неустанно работаем, шлем Тебе, дорогой КЛЕМЕНТИЙ ЕФРЕМОВИЧ, нашу искреннюю товарищескую благодарность за то, что ты первый, как всегда, с твоим старо–большевистским напором выпестовал нашу молодую организацию, поддерживая ее на кратком пути, борющуюся за лучшее вооружение Воздушного Флота, несмотря на страхи, сомнения в успехе начинаемого дела, несмотря на возникающие политические затруднения в использовании технических сил, косности ряда органов, с которыми вынуждены были работать.</w:t>
      </w:r>
    </w:p>
    <w:p w14:paraId="49535797" w14:textId="77777777" w:rsidR="00D84D3F" w:rsidRPr="005E779E" w:rsidRDefault="00D84D3F" w:rsidP="000B7A6C">
      <w:pPr>
        <w:pStyle w:val="rteindent11"/>
        <w:shd w:val="clear" w:color="auto" w:fill="FFFFFF"/>
        <w:spacing w:before="0" w:beforeAutospacing="0" w:after="0"/>
        <w:ind w:left="0" w:firstLine="0"/>
        <w:rPr>
          <w:color w:val="000000" w:themeColor="text1"/>
          <w:sz w:val="16"/>
          <w:szCs w:val="16"/>
        </w:rPr>
      </w:pPr>
      <w:r w:rsidRPr="005E779E">
        <w:rPr>
          <w:rStyle w:val="af0"/>
          <w:i w:val="0"/>
          <w:color w:val="000000" w:themeColor="text1"/>
          <w:sz w:val="16"/>
          <w:szCs w:val="16"/>
        </w:rPr>
        <w:t>Ты, старый партиец, не раз упорно отстаивающий и проводящий Ленинские заветы, своим пролетарским чутьем, верно определил и довел до определенных результатов дело, за которое мы год тому назад крепко взялись, имея своей целью в наикратчайший срок перевооружить Красный Воздушный Флот, сделать его, в первом завтрашнем бою с врагом, непобедимым, вследствие своего технического совершенства и вооружения.</w:t>
      </w:r>
    </w:p>
    <w:p w14:paraId="1D540E94" w14:textId="77777777" w:rsidR="00D84D3F" w:rsidRPr="005E779E" w:rsidRDefault="00D84D3F" w:rsidP="000B7A6C">
      <w:pPr>
        <w:pStyle w:val="rteindent11"/>
        <w:shd w:val="clear" w:color="auto" w:fill="FFFFFF"/>
        <w:spacing w:before="0" w:beforeAutospacing="0" w:after="0"/>
        <w:ind w:left="0" w:firstLine="0"/>
        <w:rPr>
          <w:rStyle w:val="af0"/>
          <w:i w:val="0"/>
          <w:color w:val="000000" w:themeColor="text1"/>
          <w:sz w:val="16"/>
          <w:szCs w:val="16"/>
        </w:rPr>
      </w:pPr>
      <w:r w:rsidRPr="005E779E">
        <w:rPr>
          <w:rStyle w:val="af0"/>
          <w:i w:val="0"/>
          <w:color w:val="000000" w:themeColor="text1"/>
          <w:sz w:val="16"/>
          <w:szCs w:val="16"/>
        </w:rPr>
        <w:t>Ныне мы достигли первых позиций. Начиная с маленьких машин - истребителя «КЛИМ ВОРОШИЛОВ», мы 1/У11-31 года закончили большим бомбовозом.</w:t>
      </w:r>
    </w:p>
    <w:p w14:paraId="3CC00B9F" w14:textId="77777777" w:rsidR="00D84D3F" w:rsidRPr="005E779E" w:rsidRDefault="00D84D3F" w:rsidP="000B7A6C">
      <w:pPr>
        <w:pStyle w:val="rteindent11"/>
        <w:shd w:val="clear" w:color="auto" w:fill="FFFFFF"/>
        <w:spacing w:before="0" w:beforeAutospacing="0" w:after="0"/>
        <w:ind w:left="0" w:firstLine="0"/>
        <w:rPr>
          <w:color w:val="000000" w:themeColor="text1"/>
          <w:sz w:val="16"/>
          <w:szCs w:val="16"/>
        </w:rPr>
      </w:pPr>
      <w:r w:rsidRPr="005E779E">
        <w:rPr>
          <w:rStyle w:val="af0"/>
          <w:i w:val="0"/>
          <w:color w:val="000000" w:themeColor="text1"/>
          <w:sz w:val="16"/>
          <w:szCs w:val="16"/>
        </w:rPr>
        <w:t>Мы, работники ЦКБ и завода 39 заверяем Тебя КЛЕМЕНТИЙ ЕФРЕМОВИЧ, что сегодняшние наши достижения и Твое признание ценности нашей работы вселяют в нас не только удовлетворение в проделанном, но еще больше заражают нас энтузиазмом, укрепляет наше упорство – поставить на первое место руководимый Тобою Красный Воздушный Флот.</w:t>
      </w:r>
    </w:p>
    <w:p w14:paraId="2E8AB405" w14:textId="77777777" w:rsidR="00D84D3F" w:rsidRPr="005E779E" w:rsidRDefault="00D84D3F" w:rsidP="000B7A6C">
      <w:pPr>
        <w:pStyle w:val="rteindent11"/>
        <w:shd w:val="clear" w:color="auto" w:fill="FFFFFF"/>
        <w:spacing w:before="0" w:beforeAutospacing="0" w:after="0"/>
        <w:ind w:left="0" w:firstLine="0"/>
        <w:rPr>
          <w:rStyle w:val="af0"/>
          <w:i w:val="0"/>
          <w:color w:val="000000" w:themeColor="text1"/>
          <w:sz w:val="16"/>
          <w:szCs w:val="16"/>
        </w:rPr>
      </w:pPr>
      <w:r w:rsidRPr="005E779E">
        <w:rPr>
          <w:rStyle w:val="af0"/>
          <w:i w:val="0"/>
          <w:color w:val="000000" w:themeColor="text1"/>
          <w:sz w:val="16"/>
          <w:szCs w:val="16"/>
        </w:rPr>
        <w:t>От лица всех работников и инженерно-технического персонала нашего коллектива, просим Тебя передать наши заверения Центральному Комитету Всесоюзной Коммунистической партии и Вождю Пролетарских масс тов. СТАЛИНУ - отдать все силы на укрепление Строительства Социализма - укрепление мощи Армии в предстоящей схватке с мировой буржуазией.</w:t>
      </w:r>
    </w:p>
    <w:p w14:paraId="1A28F4D1" w14:textId="77777777" w:rsidR="00D84D3F" w:rsidRPr="005E779E" w:rsidRDefault="00D84D3F" w:rsidP="000B7A6C">
      <w:pPr>
        <w:pStyle w:val="rteindent11"/>
        <w:shd w:val="clear" w:color="auto" w:fill="FFFFFF"/>
        <w:spacing w:before="0" w:beforeAutospacing="0" w:after="0"/>
        <w:ind w:left="0" w:firstLine="0"/>
        <w:rPr>
          <w:color w:val="000000" w:themeColor="text1"/>
          <w:sz w:val="16"/>
          <w:szCs w:val="16"/>
        </w:rPr>
      </w:pPr>
      <w:r w:rsidRPr="005E779E">
        <w:rPr>
          <w:rStyle w:val="af0"/>
          <w:i w:val="0"/>
          <w:color w:val="000000" w:themeColor="text1"/>
          <w:sz w:val="16"/>
          <w:szCs w:val="16"/>
        </w:rPr>
        <w:t>Начальник ЦКБ Горянов</w:t>
      </w:r>
    </w:p>
    <w:p w14:paraId="3044B6F7" w14:textId="77777777" w:rsidR="00D84D3F" w:rsidRPr="005E779E" w:rsidRDefault="00D84D3F" w:rsidP="000B7A6C">
      <w:pPr>
        <w:pStyle w:val="rteindent11"/>
        <w:shd w:val="clear" w:color="auto" w:fill="FFFFFF"/>
        <w:spacing w:before="0" w:beforeAutospacing="0" w:after="0"/>
        <w:ind w:left="0" w:firstLine="0"/>
        <w:rPr>
          <w:rStyle w:val="af0"/>
          <w:i w:val="0"/>
          <w:color w:val="000000" w:themeColor="text1"/>
          <w:sz w:val="16"/>
          <w:szCs w:val="16"/>
        </w:rPr>
      </w:pPr>
      <w:r w:rsidRPr="005E779E">
        <w:rPr>
          <w:rStyle w:val="af0"/>
          <w:i w:val="0"/>
          <w:color w:val="000000" w:themeColor="text1"/>
          <w:sz w:val="16"/>
          <w:szCs w:val="16"/>
        </w:rPr>
        <w:t>Зам. начальника ЦКБ и директор завода Пауфлер</w:t>
      </w:r>
    </w:p>
    <w:p w14:paraId="572BEEAE" w14:textId="77777777" w:rsidR="00D84D3F" w:rsidRPr="005E779E" w:rsidRDefault="00D84D3F" w:rsidP="000B7A6C">
      <w:pPr>
        <w:pStyle w:val="rteindent11"/>
        <w:shd w:val="clear" w:color="auto" w:fill="FFFFFF"/>
        <w:spacing w:before="0" w:beforeAutospacing="0" w:after="0"/>
        <w:ind w:left="0" w:firstLine="0"/>
        <w:rPr>
          <w:color w:val="000000" w:themeColor="text1"/>
          <w:sz w:val="16"/>
          <w:szCs w:val="16"/>
        </w:rPr>
      </w:pPr>
      <w:r w:rsidRPr="005E779E">
        <w:rPr>
          <w:rStyle w:val="af0"/>
          <w:i w:val="0"/>
          <w:color w:val="000000" w:themeColor="text1"/>
          <w:sz w:val="16"/>
          <w:szCs w:val="16"/>
        </w:rPr>
        <w:t>Секретарь ячейки ВКП(б) Сачковский</w:t>
      </w:r>
    </w:p>
    <w:p w14:paraId="4B7077F4" w14:textId="77777777" w:rsidR="00D84D3F" w:rsidRPr="005E779E" w:rsidRDefault="00D84D3F" w:rsidP="000B7A6C">
      <w:pPr>
        <w:pStyle w:val="rteindent11"/>
        <w:shd w:val="clear" w:color="auto" w:fill="FFFFFF"/>
        <w:spacing w:before="0" w:beforeAutospacing="0" w:after="0"/>
        <w:ind w:left="0" w:firstLine="0"/>
        <w:rPr>
          <w:rStyle w:val="af0"/>
          <w:i w:val="0"/>
          <w:color w:val="000000" w:themeColor="text1"/>
          <w:sz w:val="16"/>
          <w:szCs w:val="16"/>
        </w:rPr>
      </w:pPr>
      <w:r w:rsidRPr="005E779E">
        <w:rPr>
          <w:rStyle w:val="af0"/>
          <w:i w:val="0"/>
          <w:color w:val="000000" w:themeColor="text1"/>
          <w:sz w:val="16"/>
          <w:szCs w:val="16"/>
        </w:rPr>
        <w:t>Предзавкома Царев (15223).</w:t>
      </w:r>
    </w:p>
    <w:p w14:paraId="34B6B750" w14:textId="77777777" w:rsidR="00D84D3F" w:rsidRPr="005E779E" w:rsidRDefault="00D84D3F" w:rsidP="000B7A6C">
      <w:pPr>
        <w:pStyle w:val="rteindent11"/>
        <w:shd w:val="clear" w:color="auto" w:fill="FFFFFF"/>
        <w:spacing w:before="0" w:beforeAutospacing="0" w:after="0"/>
        <w:ind w:left="0" w:firstLine="0"/>
        <w:rPr>
          <w:rStyle w:val="af0"/>
          <w:i w:val="0"/>
          <w:color w:val="000000" w:themeColor="text1"/>
          <w:sz w:val="16"/>
          <w:szCs w:val="16"/>
        </w:rPr>
      </w:pPr>
    </w:p>
    <w:p w14:paraId="60A352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июля 1931 состоялось заседание КО (прот. 10), на котором утвердили постановление по авиапромышленности, но так и смогли и опять поручили подготовить текст (1028,114).</w:t>
      </w:r>
    </w:p>
    <w:p w14:paraId="74A3BB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85A1F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июля 1931 рекордный Девуатин Д-33 "Le Trait d'Union" вылетел из Парижа и в ночь с 12 на 13 через 6200 упал недалеко от станции Шеборта Омской жд, В нем был Д.Марсель, а второй пилот и механик выбросились с парашютом (542).</w:t>
      </w:r>
    </w:p>
    <w:p w14:paraId="446E1F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FAB6F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июля 1931 г. – приезд Умберто Нобиле в Советский Союз для руководства постройкой дирижаблей (11013).</w:t>
      </w:r>
    </w:p>
    <w:p w14:paraId="7EDB99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9A81999" w14:textId="77777777" w:rsidR="003562F3" w:rsidRPr="005E779E" w:rsidRDefault="003562F3" w:rsidP="000B7A6C">
      <w:pPr>
        <w:pStyle w:val="a3"/>
        <w:rPr>
          <w:color w:val="000000" w:themeColor="text1"/>
          <w:lang w:val="ru-RU"/>
        </w:rPr>
      </w:pPr>
      <w:r w:rsidRPr="005E779E">
        <w:rPr>
          <w:color w:val="000000" w:themeColor="text1"/>
          <w:lang w:val="ru-RU"/>
        </w:rPr>
        <w:t>11 июля 1931 г. в Ленинград по приглаше</w:t>
      </w:r>
      <w:r w:rsidRPr="005E779E">
        <w:rPr>
          <w:color w:val="000000" w:themeColor="text1"/>
          <w:lang w:val="ru-RU"/>
        </w:rPr>
        <w:softHyphen/>
        <w:t>нию Советского Правительства прибыл У. Нобиле, уже дважды посетивший СССР в 1926 и 1927 гг. На этот раз его приезд, помимо участия в арктическом походе к Земле Франца Иосифа на ледоколе «Ма</w:t>
      </w:r>
      <w:r w:rsidRPr="005E779E">
        <w:rPr>
          <w:color w:val="000000" w:themeColor="text1"/>
          <w:lang w:val="ru-RU"/>
        </w:rPr>
        <w:softHyphen/>
        <w:t>лыгин» в составе группы ученых во главе с И.Д. Папаниным, предусматривал не афишируемые в печати контакты с предста</w:t>
      </w:r>
      <w:r w:rsidRPr="005E779E">
        <w:rPr>
          <w:color w:val="000000" w:themeColor="text1"/>
          <w:lang w:val="ru-RU"/>
        </w:rPr>
        <w:softHyphen/>
        <w:t>вителями «Аэрофлота».</w:t>
      </w:r>
    </w:p>
    <w:p w14:paraId="50EAF166" w14:textId="77777777" w:rsidR="003562F3" w:rsidRPr="005E779E" w:rsidRDefault="003562F3" w:rsidP="000B7A6C">
      <w:pPr>
        <w:pStyle w:val="a3"/>
        <w:rPr>
          <w:color w:val="000000" w:themeColor="text1"/>
          <w:lang w:val="ru-RU"/>
        </w:rPr>
      </w:pPr>
      <w:r w:rsidRPr="005E779E">
        <w:rPr>
          <w:color w:val="000000" w:themeColor="text1"/>
          <w:lang w:val="ru-RU"/>
        </w:rPr>
        <w:t>Завершив официальную часть визита, ге</w:t>
      </w:r>
      <w:r w:rsidRPr="005E779E">
        <w:rPr>
          <w:color w:val="000000" w:themeColor="text1"/>
          <w:lang w:val="ru-RU"/>
        </w:rPr>
        <w:softHyphen/>
        <w:t>нерал Нобиле 20 августа оказался в Москве, где его ожидал роскошный гостиничный номер «Гранд-Отеля». В течение 23 августа - 30 сентября им были проведены:</w:t>
      </w:r>
    </w:p>
    <w:p w14:paraId="603BC8B1" w14:textId="77777777" w:rsidR="003562F3" w:rsidRPr="005E779E" w:rsidRDefault="003562F3" w:rsidP="000B7A6C">
      <w:pPr>
        <w:pStyle w:val="a3"/>
        <w:widowControl/>
        <w:numPr>
          <w:ilvl w:val="0"/>
          <w:numId w:val="3"/>
        </w:numPr>
        <w:tabs>
          <w:tab w:val="left" w:pos="428"/>
        </w:tabs>
        <w:autoSpaceDE/>
        <w:autoSpaceDN/>
        <w:adjustRightInd/>
        <w:rPr>
          <w:color w:val="000000" w:themeColor="text1"/>
          <w:lang w:val="ru-RU"/>
        </w:rPr>
      </w:pPr>
      <w:r w:rsidRPr="005E779E">
        <w:rPr>
          <w:color w:val="000000" w:themeColor="text1"/>
          <w:lang w:val="ru-RU"/>
        </w:rPr>
        <w:t>- консультации в ЦАГИ (в присутствии всех инженеров) по проектам двух дирижа</w:t>
      </w:r>
      <w:r w:rsidRPr="005E779E">
        <w:rPr>
          <w:color w:val="000000" w:themeColor="text1"/>
          <w:lang w:val="ru-RU"/>
        </w:rPr>
        <w:softHyphen/>
        <w:t>блей объемом 2200 и 2700 м</w:t>
      </w:r>
      <w:r w:rsidRPr="005E779E">
        <w:rPr>
          <w:color w:val="000000" w:themeColor="text1"/>
          <w:vertAlign w:val="superscript"/>
          <w:lang w:val="ru-RU"/>
        </w:rPr>
        <w:t>3</w:t>
      </w:r>
      <w:r w:rsidRPr="005E779E">
        <w:rPr>
          <w:color w:val="000000" w:themeColor="text1"/>
          <w:lang w:val="ru-RU"/>
        </w:rPr>
        <w:t>: первый одо</w:t>
      </w:r>
      <w:r w:rsidRPr="005E779E">
        <w:rPr>
          <w:color w:val="000000" w:themeColor="text1"/>
          <w:lang w:val="ru-RU"/>
        </w:rPr>
        <w:softHyphen/>
        <w:t>брен к постройке,второй - к окончательной разработке;</w:t>
      </w:r>
    </w:p>
    <w:p w14:paraId="708F2B0E" w14:textId="77777777" w:rsidR="003562F3" w:rsidRPr="005E779E" w:rsidRDefault="003562F3" w:rsidP="000B7A6C">
      <w:pPr>
        <w:pStyle w:val="a3"/>
        <w:widowControl/>
        <w:numPr>
          <w:ilvl w:val="0"/>
          <w:numId w:val="3"/>
        </w:numPr>
        <w:tabs>
          <w:tab w:val="left" w:pos="433"/>
        </w:tabs>
        <w:autoSpaceDE/>
        <w:autoSpaceDN/>
        <w:adjustRightInd/>
        <w:rPr>
          <w:color w:val="000000" w:themeColor="text1"/>
          <w:lang w:val="ru-RU"/>
        </w:rPr>
      </w:pPr>
      <w:r w:rsidRPr="005E779E">
        <w:rPr>
          <w:color w:val="000000" w:themeColor="text1"/>
          <w:lang w:val="ru-RU"/>
        </w:rPr>
        <w:t>- консультации КБ ЛИ ГВФ по проекту дирижабля полужесткой конструкции объ</w:t>
      </w:r>
      <w:r w:rsidRPr="005E779E">
        <w:rPr>
          <w:color w:val="000000" w:themeColor="text1"/>
          <w:lang w:val="ru-RU"/>
        </w:rPr>
        <w:softHyphen/>
        <w:t>емом 7500 м</w:t>
      </w:r>
      <w:r w:rsidRPr="005E779E">
        <w:rPr>
          <w:color w:val="000000" w:themeColor="text1"/>
          <w:vertAlign w:val="superscript"/>
          <w:lang w:val="ru-RU"/>
        </w:rPr>
        <w:t>3</w:t>
      </w:r>
      <w:r w:rsidRPr="005E779E">
        <w:rPr>
          <w:color w:val="000000" w:themeColor="text1"/>
          <w:lang w:val="ru-RU"/>
        </w:rPr>
        <w:t>;</w:t>
      </w:r>
    </w:p>
    <w:p w14:paraId="3F73A27C" w14:textId="77777777" w:rsidR="003562F3" w:rsidRPr="005E779E" w:rsidRDefault="003562F3" w:rsidP="000B7A6C">
      <w:pPr>
        <w:pStyle w:val="a3"/>
        <w:widowControl/>
        <w:numPr>
          <w:ilvl w:val="0"/>
          <w:numId w:val="3"/>
        </w:numPr>
        <w:tabs>
          <w:tab w:val="left" w:pos="433"/>
        </w:tabs>
        <w:autoSpaceDE/>
        <w:autoSpaceDN/>
        <w:adjustRightInd/>
        <w:rPr>
          <w:color w:val="000000" w:themeColor="text1"/>
          <w:lang w:val="ru-RU"/>
        </w:rPr>
      </w:pPr>
      <w:r w:rsidRPr="005E779E">
        <w:rPr>
          <w:color w:val="000000" w:themeColor="text1"/>
          <w:lang w:val="ru-RU"/>
        </w:rPr>
        <w:t>- консультации по проекту корабля в 37000 м</w:t>
      </w:r>
      <w:r w:rsidRPr="005E779E">
        <w:rPr>
          <w:color w:val="000000" w:themeColor="text1"/>
          <w:vertAlign w:val="superscript"/>
          <w:lang w:val="ru-RU"/>
        </w:rPr>
        <w:t>3</w:t>
      </w:r>
      <w:r w:rsidRPr="005E779E">
        <w:rPr>
          <w:color w:val="000000" w:themeColor="text1"/>
          <w:lang w:val="ru-RU"/>
        </w:rPr>
        <w:t>;</w:t>
      </w:r>
    </w:p>
    <w:p w14:paraId="522D4630" w14:textId="77777777" w:rsidR="003562F3" w:rsidRPr="005E779E" w:rsidRDefault="003562F3" w:rsidP="000B7A6C">
      <w:pPr>
        <w:pStyle w:val="a3"/>
        <w:widowControl/>
        <w:numPr>
          <w:ilvl w:val="0"/>
          <w:numId w:val="3"/>
        </w:numPr>
        <w:tabs>
          <w:tab w:val="left" w:pos="423"/>
        </w:tabs>
        <w:autoSpaceDE/>
        <w:autoSpaceDN/>
        <w:adjustRightInd/>
        <w:rPr>
          <w:color w:val="000000" w:themeColor="text1"/>
          <w:lang w:val="ru-RU"/>
        </w:rPr>
      </w:pPr>
      <w:r w:rsidRPr="005E779E">
        <w:rPr>
          <w:color w:val="000000" w:themeColor="text1"/>
          <w:lang w:val="ru-RU"/>
        </w:rPr>
        <w:lastRenderedPageBreak/>
        <w:t>- консультации по организации совет</w:t>
      </w:r>
      <w:r w:rsidRPr="005E779E">
        <w:rPr>
          <w:color w:val="000000" w:themeColor="text1"/>
          <w:lang w:val="ru-RU"/>
        </w:rPr>
        <w:softHyphen/>
        <w:t>ской базы дирижаблей, включая ее генплан;</w:t>
      </w:r>
    </w:p>
    <w:p w14:paraId="2DEA82CB" w14:textId="77777777" w:rsidR="003562F3" w:rsidRPr="005E779E" w:rsidRDefault="003562F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прочитаны три лекции (по четыре часа) в Московском авиационном институте (МАИ).</w:t>
      </w:r>
    </w:p>
    <w:p w14:paraId="18A87A0B" w14:textId="77777777" w:rsidR="003562F3" w:rsidRPr="005E779E" w:rsidRDefault="003562F3" w:rsidP="000B7A6C">
      <w:pPr>
        <w:pStyle w:val="a3"/>
        <w:rPr>
          <w:color w:val="000000" w:themeColor="text1"/>
          <w:lang w:val="ru-RU"/>
        </w:rPr>
      </w:pPr>
      <w:r w:rsidRPr="005E779E">
        <w:rPr>
          <w:color w:val="000000" w:themeColor="text1"/>
          <w:lang w:val="ru-RU"/>
        </w:rPr>
        <w:t>Сопровождаемый П.М. Пурмалем, У. Нобиле осмотрел и площадку строи</w:t>
      </w:r>
      <w:r w:rsidRPr="005E779E">
        <w:rPr>
          <w:color w:val="000000" w:themeColor="text1"/>
          <w:lang w:val="ru-RU"/>
        </w:rPr>
        <w:softHyphen/>
        <w:t>тельства БОСЭД в 18 км от Москвы, найдя ее весьма неудачной. Смущало многое: сплошной лес, отсутствие подъездных дорог, каких-либо построек и связи с Москвой, сырая глинистая почва из-за близости</w:t>
      </w:r>
      <w:r w:rsidRPr="005E779E">
        <w:rPr>
          <w:rStyle w:val="83"/>
          <w:rFonts w:ascii="Times New Roman" w:eastAsia="Microsoft Sans Serif" w:hAnsi="Times New Roman" w:cs="Times New Roman"/>
          <w:i w:val="0"/>
          <w:color w:val="000000" w:themeColor="text1"/>
          <w:sz w:val="16"/>
          <w:szCs w:val="16"/>
          <w:lang w:val="ru-RU"/>
        </w:rPr>
        <w:t xml:space="preserve"> долгих</w:t>
      </w:r>
      <w:r w:rsidRPr="005E779E">
        <w:rPr>
          <w:color w:val="000000" w:themeColor="text1"/>
          <w:lang w:val="ru-RU"/>
        </w:rPr>
        <w:t xml:space="preserve"> прудов. Вероятно по</w:t>
      </w:r>
      <w:r w:rsidRPr="005E779E">
        <w:rPr>
          <w:color w:val="000000" w:themeColor="text1"/>
          <w:lang w:val="ru-RU"/>
        </w:rPr>
        <w:softHyphen/>
        <w:t>этому, вечерами итальянский гость со 2 по 24 сентября интенсивно предавался московским развлечениям - Государствен</w:t>
      </w:r>
      <w:r w:rsidRPr="005E779E">
        <w:rPr>
          <w:color w:val="000000" w:themeColor="text1"/>
          <w:lang w:val="ru-RU"/>
        </w:rPr>
        <w:softHyphen/>
        <w:t>ный театр оперы и балета, ГАБТ, МХАТ, кинотеатры «Эрмитаж», «Колос» и др. о чем свидетельствуют многочисленные театральные билеты, сохранившиеся в «деле</w:t>
      </w:r>
      <w:r w:rsidRPr="005E779E">
        <w:rPr>
          <w:rStyle w:val="83"/>
          <w:rFonts w:ascii="Times New Roman" w:eastAsia="Microsoft Sans Serif" w:hAnsi="Times New Roman" w:cs="Times New Roman"/>
          <w:i w:val="0"/>
          <w:color w:val="000000" w:themeColor="text1"/>
          <w:sz w:val="16"/>
          <w:szCs w:val="16"/>
          <w:lang w:val="ru-RU"/>
        </w:rPr>
        <w:t xml:space="preserve"> Нобиле» в</w:t>
      </w:r>
      <w:r w:rsidRPr="005E779E">
        <w:rPr>
          <w:color w:val="000000" w:themeColor="text1"/>
          <w:lang w:val="ru-RU"/>
        </w:rPr>
        <w:t xml:space="preserve"> РГАЭ.</w:t>
      </w:r>
    </w:p>
    <w:p w14:paraId="125EB8BD" w14:textId="77777777" w:rsidR="003562F3" w:rsidRPr="005E779E" w:rsidRDefault="003562F3" w:rsidP="000B7A6C">
      <w:pPr>
        <w:pStyle w:val="a3"/>
        <w:rPr>
          <w:color w:val="000000" w:themeColor="text1"/>
          <w:lang w:val="ru-RU"/>
        </w:rPr>
      </w:pPr>
      <w:r w:rsidRPr="005E779E">
        <w:rPr>
          <w:color w:val="000000" w:themeColor="text1"/>
          <w:lang w:val="ru-RU"/>
        </w:rPr>
        <w:t>Приняв, как оказалось, желаемое за действительное (несомненную техническую эрудицию, опыт полетов инженера Нобиле и его умение преподнести себя в общении со специалистами за</w:t>
      </w:r>
      <w:r w:rsidRPr="005E779E">
        <w:rPr>
          <w:rStyle w:val="83"/>
          <w:rFonts w:ascii="Times New Roman" w:eastAsia="Microsoft Sans Serif" w:hAnsi="Times New Roman" w:cs="Times New Roman"/>
          <w:i w:val="0"/>
          <w:color w:val="000000" w:themeColor="text1"/>
          <w:sz w:val="16"/>
          <w:szCs w:val="16"/>
          <w:lang w:val="ru-RU"/>
        </w:rPr>
        <w:t xml:space="preserve"> огромную ценность, как конструктора-дирижаблиста),</w:t>
      </w:r>
      <w:r w:rsidRPr="005E779E">
        <w:rPr>
          <w:color w:val="000000" w:themeColor="text1"/>
          <w:lang w:val="ru-RU"/>
        </w:rPr>
        <w:t xml:space="preserve"> руководите</w:t>
      </w:r>
      <w:r w:rsidRPr="005E779E">
        <w:rPr>
          <w:color w:val="000000" w:themeColor="text1"/>
          <w:lang w:val="ru-RU"/>
        </w:rPr>
        <w:softHyphen/>
        <w:t>ли «Аэрофлота» предложили ему контракт технического руководителя и консультанта БОСЭД. 30 сентября предварительное соглашение между сторонами было под</w:t>
      </w:r>
      <w:r w:rsidRPr="005E779E">
        <w:rPr>
          <w:color w:val="000000" w:themeColor="text1"/>
          <w:lang w:val="ru-RU"/>
        </w:rPr>
        <w:softHyphen/>
        <w:t>писано и отправлено на утверждение СНК СССР. Приведем наиболее значимые па</w:t>
      </w:r>
      <w:r w:rsidRPr="005E779E">
        <w:rPr>
          <w:color w:val="000000" w:themeColor="text1"/>
          <w:lang w:val="ru-RU"/>
        </w:rPr>
        <w:softHyphen/>
        <w:t>раграфы этого документа, рассекреченного в 1964 г.:</w:t>
      </w:r>
    </w:p>
    <w:p w14:paraId="56E1DBBD" w14:textId="77777777" w:rsidR="003562F3" w:rsidRPr="005E779E" w:rsidRDefault="003562F3" w:rsidP="000B7A6C">
      <w:pPr>
        <w:pStyle w:val="a3"/>
        <w:rPr>
          <w:color w:val="000000" w:themeColor="text1"/>
          <w:lang w:val="ru-RU"/>
        </w:rPr>
      </w:pPr>
      <w:r w:rsidRPr="005E779E">
        <w:rPr>
          <w:color w:val="000000" w:themeColor="text1"/>
          <w:lang w:val="ru-RU"/>
        </w:rPr>
        <w:t>(1). Инженер Нобиле принимает на себя техническое руководство и ответственность за подготовку дирижабля, приспособленно</w:t>
      </w:r>
      <w:r w:rsidRPr="005E779E">
        <w:rPr>
          <w:color w:val="000000" w:themeColor="text1"/>
          <w:lang w:val="ru-RU"/>
        </w:rPr>
        <w:softHyphen/>
        <w:t>го к арктической экспедиции и руководство по проектированию и постройке дирижа</w:t>
      </w:r>
      <w:r w:rsidRPr="005E779E">
        <w:rPr>
          <w:color w:val="000000" w:themeColor="text1"/>
          <w:lang w:val="ru-RU"/>
        </w:rPr>
        <w:softHyphen/>
        <w:t>блей (в плане ВО ГВФ) объемом в 7000, 10000 и 37000 м</w:t>
      </w:r>
      <w:r w:rsidRPr="005E779E">
        <w:rPr>
          <w:color w:val="000000" w:themeColor="text1"/>
          <w:vertAlign w:val="superscript"/>
          <w:lang w:val="ru-RU"/>
        </w:rPr>
        <w:t>3</w:t>
      </w:r>
      <w:r w:rsidRPr="005E779E">
        <w:rPr>
          <w:color w:val="000000" w:themeColor="text1"/>
          <w:lang w:val="ru-RU"/>
        </w:rPr>
        <w:t>.</w:t>
      </w:r>
    </w:p>
    <w:p w14:paraId="31B7BA87" w14:textId="77777777" w:rsidR="003562F3" w:rsidRPr="005E779E" w:rsidRDefault="003562F3" w:rsidP="000B7A6C">
      <w:pPr>
        <w:pStyle w:val="a3"/>
        <w:widowControl/>
        <w:numPr>
          <w:ilvl w:val="1"/>
          <w:numId w:val="3"/>
        </w:numPr>
        <w:tabs>
          <w:tab w:val="left" w:pos="582"/>
        </w:tabs>
        <w:autoSpaceDE/>
        <w:autoSpaceDN/>
        <w:adjustRightInd/>
        <w:rPr>
          <w:color w:val="000000" w:themeColor="text1"/>
          <w:lang w:val="ru-RU"/>
        </w:rPr>
      </w:pPr>
      <w:r w:rsidRPr="005E779E">
        <w:rPr>
          <w:color w:val="000000" w:themeColor="text1"/>
          <w:lang w:val="ru-RU"/>
        </w:rPr>
        <w:t>(2). С октября по декабрь 1931 г. Нобиле предпримет все меры по обеспечению строительства дирижаблей в СССР ква</w:t>
      </w:r>
      <w:r w:rsidRPr="005E779E">
        <w:rPr>
          <w:color w:val="000000" w:themeColor="text1"/>
          <w:lang w:val="ru-RU"/>
        </w:rPr>
        <w:softHyphen/>
        <w:t>лифицированными кадрами, технической помощью в области производства прорези</w:t>
      </w:r>
      <w:r w:rsidRPr="005E779E">
        <w:rPr>
          <w:color w:val="000000" w:themeColor="text1"/>
          <w:lang w:val="ru-RU"/>
        </w:rPr>
        <w:softHyphen/>
        <w:t>ненных тканей, приобретением или заказом частей дирижаблей, сбором материалов, чертежей, образцов.</w:t>
      </w:r>
    </w:p>
    <w:p w14:paraId="707B90DA" w14:textId="77777777" w:rsidR="003562F3" w:rsidRPr="005E779E" w:rsidRDefault="003562F3" w:rsidP="000B7A6C">
      <w:pPr>
        <w:pStyle w:val="a3"/>
        <w:widowControl/>
        <w:numPr>
          <w:ilvl w:val="1"/>
          <w:numId w:val="3"/>
        </w:numPr>
        <w:tabs>
          <w:tab w:val="left" w:pos="606"/>
        </w:tabs>
        <w:autoSpaceDE/>
        <w:autoSpaceDN/>
        <w:adjustRightInd/>
        <w:rPr>
          <w:color w:val="000000" w:themeColor="text1"/>
          <w:lang w:val="ru-RU"/>
        </w:rPr>
      </w:pPr>
      <w:r w:rsidRPr="005E779E">
        <w:rPr>
          <w:color w:val="000000" w:themeColor="text1"/>
          <w:lang w:val="ru-RU"/>
        </w:rPr>
        <w:t>(3). Нобиле предоставляется право че</w:t>
      </w:r>
      <w:r w:rsidRPr="005E779E">
        <w:rPr>
          <w:color w:val="000000" w:themeColor="text1"/>
          <w:lang w:val="ru-RU"/>
        </w:rPr>
        <w:softHyphen/>
        <w:t>рез торгпредство СССР в Италии заключать договора со специалистами на срок до 3 лет на сумму месячных окладов до 2000$.</w:t>
      </w:r>
    </w:p>
    <w:p w14:paraId="4F70E3CB" w14:textId="77777777" w:rsidR="003562F3" w:rsidRPr="005E779E" w:rsidRDefault="003562F3" w:rsidP="000B7A6C">
      <w:pPr>
        <w:pStyle w:val="a3"/>
        <w:rPr>
          <w:color w:val="000000" w:themeColor="text1"/>
          <w:lang w:val="ru-RU"/>
        </w:rPr>
      </w:pPr>
      <w:r w:rsidRPr="005E779E">
        <w:rPr>
          <w:color w:val="000000" w:themeColor="text1"/>
          <w:lang w:val="ru-RU"/>
        </w:rPr>
        <w:t>(5). Начальником Арктической экспеди</w:t>
      </w:r>
      <w:r w:rsidRPr="005E779E">
        <w:rPr>
          <w:color w:val="000000" w:themeColor="text1"/>
          <w:lang w:val="ru-RU"/>
        </w:rPr>
        <w:softHyphen/>
        <w:t>ции и руководителем работ по организации ее базы будет назначен Нобиле. Срок его пребывания в Арктике не менее 5 мес. (1933 г.).</w:t>
      </w:r>
    </w:p>
    <w:p w14:paraId="38DFD277" w14:textId="77777777" w:rsidR="003562F3" w:rsidRPr="005E779E" w:rsidRDefault="003562F3" w:rsidP="000B7A6C">
      <w:pPr>
        <w:pStyle w:val="a3"/>
        <w:rPr>
          <w:color w:val="000000" w:themeColor="text1"/>
          <w:lang w:val="ru-RU"/>
        </w:rPr>
      </w:pPr>
      <w:r w:rsidRPr="005E779E">
        <w:rPr>
          <w:color w:val="000000" w:themeColor="text1"/>
          <w:lang w:val="ru-RU"/>
        </w:rPr>
        <w:t>(8). Нобиле будут возмещены все до</w:t>
      </w:r>
      <w:r w:rsidRPr="005E779E">
        <w:rPr>
          <w:color w:val="000000" w:themeColor="text1"/>
          <w:lang w:val="ru-RU"/>
        </w:rPr>
        <w:softHyphen/>
        <w:t>рожные расходы по переезду и перевозу багажа из Италии в СССР.</w:t>
      </w:r>
    </w:p>
    <w:p w14:paraId="7D99F266" w14:textId="77777777" w:rsidR="003562F3" w:rsidRPr="005E779E" w:rsidRDefault="003562F3" w:rsidP="000B7A6C">
      <w:pPr>
        <w:pStyle w:val="a3"/>
        <w:widowControl/>
        <w:numPr>
          <w:ilvl w:val="2"/>
          <w:numId w:val="3"/>
        </w:numPr>
        <w:tabs>
          <w:tab w:val="left" w:pos="726"/>
        </w:tabs>
        <w:autoSpaceDE/>
        <w:autoSpaceDN/>
        <w:adjustRightInd/>
        <w:rPr>
          <w:color w:val="000000" w:themeColor="text1"/>
          <w:lang w:val="ru-RU"/>
        </w:rPr>
      </w:pPr>
      <w:r w:rsidRPr="005E779E">
        <w:rPr>
          <w:color w:val="000000" w:themeColor="text1"/>
          <w:lang w:val="ru-RU"/>
        </w:rPr>
        <w:t>(11). На срок не менее 3 лет Нобиле имеет право выезжать в Италию на 2 месяца. Месячное вознаграждение Нобиле предпо</w:t>
      </w:r>
      <w:r w:rsidRPr="005E779E">
        <w:rPr>
          <w:color w:val="000000" w:themeColor="text1"/>
          <w:lang w:val="ru-RU"/>
        </w:rPr>
        <w:softHyphen/>
        <w:t>лагается соглашением в 1200$ (свободное от налога).</w:t>
      </w:r>
    </w:p>
    <w:p w14:paraId="15F524B9" w14:textId="77777777" w:rsidR="003562F3" w:rsidRPr="005E779E" w:rsidRDefault="003562F3" w:rsidP="000B7A6C">
      <w:pPr>
        <w:pStyle w:val="a3"/>
        <w:widowControl/>
        <w:numPr>
          <w:ilvl w:val="2"/>
          <w:numId w:val="3"/>
        </w:numPr>
        <w:tabs>
          <w:tab w:val="left" w:pos="663"/>
        </w:tabs>
        <w:autoSpaceDE/>
        <w:autoSpaceDN/>
        <w:adjustRightInd/>
        <w:rPr>
          <w:color w:val="000000" w:themeColor="text1"/>
          <w:lang w:val="ru-RU"/>
        </w:rPr>
      </w:pPr>
      <w:r w:rsidRPr="005E779E">
        <w:rPr>
          <w:color w:val="000000" w:themeColor="text1"/>
          <w:lang w:val="ru-RU"/>
        </w:rPr>
        <w:t>(12). В случае смерти Нобиле или потери им трудоспособности во время пребывания в СССР - единовременная выплата семье составит 40000$.</w:t>
      </w:r>
    </w:p>
    <w:p w14:paraId="788E95CF" w14:textId="77777777" w:rsidR="003562F3" w:rsidRPr="005E779E" w:rsidRDefault="003562F3" w:rsidP="000B7A6C">
      <w:pPr>
        <w:pStyle w:val="a3"/>
        <w:widowControl/>
        <w:numPr>
          <w:ilvl w:val="2"/>
          <w:numId w:val="3"/>
        </w:numPr>
        <w:tabs>
          <w:tab w:val="left" w:pos="735"/>
        </w:tabs>
        <w:autoSpaceDE/>
        <w:autoSpaceDN/>
        <w:adjustRightInd/>
        <w:rPr>
          <w:color w:val="000000" w:themeColor="text1"/>
          <w:lang w:val="ru-RU"/>
        </w:rPr>
      </w:pPr>
      <w:r w:rsidRPr="005E779E">
        <w:rPr>
          <w:color w:val="000000" w:themeColor="text1"/>
          <w:lang w:val="ru-RU"/>
        </w:rPr>
        <w:t>(13). Соглашение подлежит утверж</w:t>
      </w:r>
      <w:r w:rsidRPr="005E779E">
        <w:rPr>
          <w:color w:val="000000" w:themeColor="text1"/>
          <w:lang w:val="ru-RU"/>
        </w:rPr>
        <w:softHyphen/>
        <w:t>дению Советским Правительством до 10 октября 1931 г. (РГАЭ. Ф. 9574, оп. 1, д. 11, л. 4-6.) (12732).</w:t>
      </w:r>
    </w:p>
    <w:p w14:paraId="111626C8" w14:textId="77777777" w:rsidR="003562F3" w:rsidRPr="005E779E" w:rsidRDefault="003562F3" w:rsidP="000B7A6C">
      <w:pPr>
        <w:pStyle w:val="a3"/>
        <w:widowControl/>
        <w:numPr>
          <w:ilvl w:val="2"/>
          <w:numId w:val="3"/>
        </w:numPr>
        <w:tabs>
          <w:tab w:val="left" w:pos="735"/>
        </w:tabs>
        <w:autoSpaceDE/>
        <w:autoSpaceDN/>
        <w:adjustRightInd/>
        <w:rPr>
          <w:color w:val="000000" w:themeColor="text1"/>
          <w:lang w:val="ru-RU"/>
        </w:rPr>
      </w:pPr>
    </w:p>
    <w:p w14:paraId="19DA6E72" w14:textId="77777777" w:rsidR="003562F3" w:rsidRPr="005E779E" w:rsidRDefault="003562F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ночь с 12 на 13 июля 1931 года произош</w:t>
      </w:r>
      <w:r w:rsidRPr="005E779E">
        <w:rPr>
          <w:rFonts w:ascii="Times New Roman" w:hAnsi="Times New Roman"/>
          <w:color w:val="000000" w:themeColor="text1"/>
          <w:sz w:val="16"/>
          <w:szCs w:val="16"/>
        </w:rPr>
        <w:softHyphen/>
        <w:t>ло событие, которое спустя шесть лет при</w:t>
      </w:r>
      <w:r w:rsidRPr="005E779E">
        <w:rPr>
          <w:rFonts w:ascii="Times New Roman" w:hAnsi="Times New Roman"/>
          <w:color w:val="000000" w:themeColor="text1"/>
          <w:sz w:val="16"/>
          <w:szCs w:val="16"/>
        </w:rPr>
        <w:softHyphen/>
        <w:t>вело к сенсационным межконтиненталь</w:t>
      </w:r>
      <w:r w:rsidRPr="005E779E">
        <w:rPr>
          <w:rFonts w:ascii="Times New Roman" w:hAnsi="Times New Roman"/>
          <w:color w:val="000000" w:themeColor="text1"/>
          <w:sz w:val="16"/>
          <w:szCs w:val="16"/>
        </w:rPr>
        <w:softHyphen/>
        <w:t>ным перелетам советских пилотов из Ев</w:t>
      </w:r>
      <w:r w:rsidRPr="005E779E">
        <w:rPr>
          <w:rFonts w:ascii="Times New Roman" w:hAnsi="Times New Roman"/>
          <w:color w:val="000000" w:themeColor="text1"/>
          <w:sz w:val="16"/>
          <w:szCs w:val="16"/>
        </w:rPr>
        <w:softHyphen/>
        <w:t>ропы в США через Северный полюс. В ту мочь в Сибири совершил аварийную по</w:t>
      </w:r>
      <w:r w:rsidRPr="005E779E">
        <w:rPr>
          <w:rFonts w:ascii="Times New Roman" w:hAnsi="Times New Roman"/>
          <w:color w:val="000000" w:themeColor="text1"/>
          <w:sz w:val="16"/>
          <w:szCs w:val="16"/>
        </w:rPr>
        <w:softHyphen/>
        <w:t xml:space="preserve">садку на лес французский самолет </w:t>
      </w:r>
      <w:r w:rsidRPr="005E779E">
        <w:rPr>
          <w:rFonts w:ascii="Times New Roman" w:hAnsi="Times New Roman"/>
          <w:color w:val="000000" w:themeColor="text1"/>
          <w:sz w:val="16"/>
          <w:szCs w:val="16"/>
          <w:lang w:val="en-US"/>
        </w:rPr>
        <w:t>D</w:t>
      </w:r>
      <w:r w:rsidRPr="005E779E">
        <w:rPr>
          <w:rFonts w:ascii="Times New Roman" w:hAnsi="Times New Roman"/>
          <w:color w:val="000000" w:themeColor="text1"/>
          <w:sz w:val="16"/>
          <w:szCs w:val="16"/>
        </w:rPr>
        <w:t>-33 «Тред-Юнион», что в переводе означает «дефис» (соединительная черта), постро</w:t>
      </w:r>
      <w:r w:rsidRPr="005E779E">
        <w:rPr>
          <w:rFonts w:ascii="Times New Roman" w:hAnsi="Times New Roman"/>
          <w:color w:val="000000" w:themeColor="text1"/>
          <w:sz w:val="16"/>
          <w:szCs w:val="16"/>
        </w:rPr>
        <w:softHyphen/>
        <w:t>енный компанией «Девуатин».</w:t>
      </w:r>
    </w:p>
    <w:p w14:paraId="6BCBD032" w14:textId="77777777" w:rsidR="003562F3" w:rsidRPr="005E779E" w:rsidRDefault="003562F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Месяц спустя произошло еще одно не менее значимое событие — при Реввоенсо</w:t>
      </w:r>
      <w:r w:rsidRPr="005E779E">
        <w:rPr>
          <w:rFonts w:ascii="Times New Roman" w:hAnsi="Times New Roman"/>
          <w:color w:val="000000" w:themeColor="text1"/>
          <w:sz w:val="16"/>
          <w:szCs w:val="16"/>
        </w:rPr>
        <w:softHyphen/>
        <w:t>вете СССР была образована комиссия по постройке самолета для установления ре</w:t>
      </w:r>
      <w:r w:rsidRPr="005E779E">
        <w:rPr>
          <w:rFonts w:ascii="Times New Roman" w:hAnsi="Times New Roman"/>
          <w:color w:val="000000" w:themeColor="text1"/>
          <w:sz w:val="16"/>
          <w:szCs w:val="16"/>
        </w:rPr>
        <w:softHyphen/>
        <w:t>корда дальности полета. Итогом ее рабо</w:t>
      </w:r>
      <w:r w:rsidRPr="005E779E">
        <w:rPr>
          <w:rFonts w:ascii="Times New Roman" w:hAnsi="Times New Roman"/>
          <w:color w:val="000000" w:themeColor="text1"/>
          <w:sz w:val="16"/>
          <w:szCs w:val="16"/>
        </w:rPr>
        <w:softHyphen/>
        <w:t>ты стало постановление Совета Народных Комиссаров (СНК) о постройке самоле</w:t>
      </w:r>
      <w:r w:rsidRPr="005E779E">
        <w:rPr>
          <w:rFonts w:ascii="Times New Roman" w:hAnsi="Times New Roman"/>
          <w:color w:val="000000" w:themeColor="text1"/>
          <w:sz w:val="16"/>
          <w:szCs w:val="16"/>
        </w:rPr>
        <w:softHyphen/>
        <w:t>та РД (Рекорд дальности) с мотором М-34 и полете на нем на предельную дальность 13 000 км (12725).</w:t>
      </w:r>
    </w:p>
    <w:p w14:paraId="04FF04A1" w14:textId="77777777" w:rsidR="003562F3" w:rsidRPr="005E779E" w:rsidRDefault="003562F3" w:rsidP="000B7A6C">
      <w:pPr>
        <w:spacing w:after="0" w:line="240" w:lineRule="auto"/>
        <w:jc w:val="both"/>
        <w:rPr>
          <w:rFonts w:ascii="Times New Roman" w:hAnsi="Times New Roman"/>
          <w:bCs/>
          <w:color w:val="000000" w:themeColor="text1"/>
          <w:sz w:val="16"/>
          <w:szCs w:val="16"/>
        </w:rPr>
      </w:pPr>
    </w:p>
    <w:p w14:paraId="46614EB5"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1E1554C4"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361A2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июля 1931 года Комиссия обороны под руководством В. В. Куй</w:t>
      </w:r>
      <w:r w:rsidRPr="005E779E">
        <w:rPr>
          <w:rFonts w:ascii="Times New Roman" w:hAnsi="Times New Roman"/>
          <w:color w:val="000000" w:themeColor="text1"/>
          <w:sz w:val="16"/>
          <w:szCs w:val="16"/>
        </w:rPr>
        <w:softHyphen/>
        <w:t>бышева при Совнаркоме, заслушав подготовленные Орловым пред</w:t>
      </w:r>
      <w:r w:rsidRPr="005E779E">
        <w:rPr>
          <w:rFonts w:ascii="Times New Roman" w:hAnsi="Times New Roman"/>
          <w:color w:val="000000" w:themeColor="text1"/>
          <w:sz w:val="16"/>
          <w:szCs w:val="16"/>
        </w:rPr>
        <w:softHyphen/>
        <w:t>ложения Ворошилова, рекомендовала при планировании состава РККФ взять за основу постройку к концу 1935 г. для всех мо</w:t>
      </w:r>
      <w:r w:rsidRPr="005E779E">
        <w:rPr>
          <w:rFonts w:ascii="Times New Roman" w:hAnsi="Times New Roman"/>
          <w:color w:val="000000" w:themeColor="text1"/>
          <w:sz w:val="16"/>
          <w:szCs w:val="16"/>
        </w:rPr>
        <w:softHyphen/>
        <w:t>рей 200 подводных лодок, 40—50 эсминцев и 250 торпедных кате</w:t>
      </w:r>
      <w:r w:rsidRPr="005E779E">
        <w:rPr>
          <w:rFonts w:ascii="Times New Roman" w:hAnsi="Times New Roman"/>
          <w:color w:val="000000" w:themeColor="text1"/>
          <w:sz w:val="16"/>
          <w:szCs w:val="16"/>
        </w:rPr>
        <w:softHyphen/>
        <w:t>ров (3898).</w:t>
      </w:r>
    </w:p>
    <w:p w14:paraId="43B5CD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821EEB0" w14:textId="77777777" w:rsidR="00472582" w:rsidRPr="005E779E" w:rsidRDefault="00472582"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11 июля 1931 г., впервые с 1926 г., высший оборонный орган (КО) приступил к разработке военно-морской программы СССР - важнейшей статье экономии военного бюджета в предшествующие годы.</w:t>
      </w:r>
    </w:p>
    <w:p w14:paraId="08CE9B1A" w14:textId="77777777" w:rsidR="00472582" w:rsidRPr="005E779E" w:rsidRDefault="00472582"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На начало 1931 г. советские Военно-Морские Силы насчитывали 3 линкора, 4 крейсера, 17 эсминцев, 16 субмарин и небольшое число других боевых, вспомогательных и учебных судов. Общий тоннаж боевых кораблей составлял всего 130 тыс. тонн (Сводная ведомость общей численности судового состава Военно-Морского Флота СССР по состоянию на 1.01.1931 (приложение к письму Народного Комиссара Иностранных Дел СССР Литвинова Генеральному секретарю Лиги Наций Друммонду, 25.04.1931) //ДВП СССР. Т. 14. С. 279.</w:t>
      </w:r>
    </w:p>
    <w:p w14:paraId="7920DAA8" w14:textId="77777777" w:rsidR="00472582" w:rsidRPr="005E779E" w:rsidRDefault="00472582"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Для сравнения: Балтийский флот в 1914 г. располагал 4 линкорами, 10 крейсерами, 49 эсминцами и 11 подводными лодками.). Теперь же, свидетельствовал Ворошилов в июле 1931 г., "этим делом (морскими вооружениями) серьезно занялся Сталин" (Личное письмо Ворошилова Гамарнику, 12.07.1931 ("Вагон (после Вятки)") // Советское руководство: Переписка, 1928-1941 гг. / Сост. А. В. Квашонкин и др. М., 1999. С. 154.).</w:t>
      </w:r>
    </w:p>
    <w:p w14:paraId="7C71514B" w14:textId="77777777" w:rsidR="00472582" w:rsidRPr="005E779E" w:rsidRDefault="00472582"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Заслушав доклад наркомвоенмора "О направлении строительства морских сил", Комиссия обороны по предложению Сталина приняла "за основу следующие положения":</w:t>
      </w:r>
    </w:p>
    <w:p w14:paraId="2248AA9A" w14:textId="77777777" w:rsidR="00472582" w:rsidRPr="005E779E" w:rsidRDefault="00472582"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1) "к концу 1935 г. построить для всех морей: 200 подводных лодок (включая и малые), 40-50 эскадренных миноносцев, 250 торпедных катеров и гидроавиацию состава со-ответственно данным силам";</w:t>
      </w:r>
    </w:p>
    <w:p w14:paraId="58C58F44" w14:textId="77777777" w:rsidR="00472582" w:rsidRPr="005E779E" w:rsidRDefault="00472582"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2) "предусмотреть постройку новых верфей на Амуре (район Хабаровска), в Архангельске и на Азовском море";</w:t>
      </w:r>
    </w:p>
    <w:p w14:paraId="2E15FBD2" w14:textId="77777777" w:rsidR="00472582" w:rsidRPr="005E779E" w:rsidRDefault="00472582"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3) "пересмотреть мощности существующих производственных баз (как по судостроению, так и по морскому вооружению) в сторону их усиления".</w:t>
      </w:r>
    </w:p>
    <w:p w14:paraId="1C6A7225" w14:textId="77777777" w:rsidR="00472582" w:rsidRPr="005E779E" w:rsidRDefault="00472582"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Для разработки предложений на этот счет КО образовала комиссию во главе с председателем ВСНХ Куйбышевым (в нее вошли также Тухачевский, Егоров, Орлов, Павлуновский, Смилга и Гуревич)35.</w:t>
      </w:r>
    </w:p>
    <w:p w14:paraId="3AA9BA87" w14:textId="77777777" w:rsidR="00472582" w:rsidRPr="005E779E" w:rsidRDefault="00472582"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 (22725).</w:t>
      </w:r>
    </w:p>
    <w:p w14:paraId="1C6592A7" w14:textId="77777777" w:rsidR="00472582" w:rsidRPr="005E779E" w:rsidRDefault="00472582" w:rsidP="000B7A6C">
      <w:pPr>
        <w:spacing w:after="0" w:line="240" w:lineRule="auto"/>
        <w:jc w:val="both"/>
        <w:rPr>
          <w:rFonts w:ascii="Times New Roman" w:hAnsi="Times New Roman"/>
          <w:color w:val="000000" w:themeColor="text1"/>
          <w:sz w:val="16"/>
          <w:szCs w:val="16"/>
        </w:rPr>
      </w:pPr>
    </w:p>
    <w:p w14:paraId="30A02790"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0B1A7E41"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26A4D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рассвете 11 июля (в 4 часа 30 минут) 1931 г. серебристый красавец D.33-01, несший на борту надпись "LE TRAIT D'UNION", стартовал с аэродрома Ля Бурже под Парижем в направлении на восток. Конечной целью задуманной акции являлась японская столица Токио. Поначалу события развивались в соответствии с графиком перелета. После того, как значительная часть пути была пройдена, в ночь с 12 на 13 июля, на удалении 6200 км от места старта французов подвела несовершенная система бензопитания, и двигатель самолета остановился. В полной темноте над глухой сибирской тайгой в районе станции Шеборта Омской железной дороги в воздухе повисли два парашюта. Летчик Ле Бри и механик Месмин покинули самолет, третий член экипажа - Марсель Доре - попытался спасти машину и совершил вынужденную посадку на лесной поляне. Сам пилот уцелел, однако "Девуатин" оказался основательно поврежден. В тот же день шокированные, но не сломленные авиаторы на мотодрезине были доставлены в Нижне-Удинск, после чего отправились на свою родину за новым самолетом. Девуатин D.33 имел цельнометаллическую конструкцию. Одно- лонжеронное крыло, с относительной толщиной в корне 17,5% и удлинением 10, отличалось высокими аэродинамическими характеристиками. Топливные баки общей емкостью 8000 литров располагались в средней части крыла симметрично по обе стороны лонжерона, причем передние баки являлись частью конструкции. Элероны были сбалансированы в весовом отношении. Это обстоятельство, наряду с однолонжеронной конструкцией крыла, позволяло считать самолет вполне безопасным с точки зрения вибраций. Фюзеляж состоял из четырех продольных лонжеронов, набора силовых шпангоутов, подкрепляющих стрингеров и промежуточных шпангоутов, поддерживающих гладкую дюралевую обшивку. Двигатель "Испа- но-Сюиза" 12 Nbr мощностью 650 л. е., поначалу был снабжен двухлопастным воздушным винтом, который затем заменили более эффективным трехлопастным винтом. Радиатор охлаждения мотора выдвигаемый в полете. Шасси пирамидальное, неубираемое, с масляно-пневматической амортизацией, колеса заключены в обтекатели. Девуатин D.33 построили в двух экземплярах, его доводили с целью получения наибольших значений дальности полета. Начиная с декабря 1930-го и вплоть до середины 1931-го, машина поэтапно совершенствовалась (11941).</w:t>
      </w:r>
    </w:p>
    <w:p w14:paraId="132318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ТАКТИКО-ТЕХНИЧЕСКИЕ ХАРАКТЕРИСТИКИ ЕВРОПЕЙСКИХ САМОЛЕТОВ ДЛЯ ДАЛЬНИХ ПЕРЕЛЕТОВ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45"/>
        <w:gridCol w:w="1145"/>
        <w:gridCol w:w="1145"/>
        <w:gridCol w:w="1145"/>
        <w:gridCol w:w="1145"/>
        <w:gridCol w:w="1145"/>
        <w:gridCol w:w="1145"/>
        <w:gridCol w:w="1145"/>
        <w:gridCol w:w="1145"/>
      </w:tblGrid>
      <w:tr w:rsidR="001002C3" w:rsidRPr="005E779E" w14:paraId="3ABCD4BE" w14:textId="77777777">
        <w:tc>
          <w:tcPr>
            <w:tcW w:w="1145" w:type="dxa"/>
            <w:tcBorders>
              <w:top w:val="single" w:sz="12" w:space="0" w:color="auto"/>
            </w:tcBorders>
          </w:tcPr>
          <w:p w14:paraId="447938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w:t>
            </w:r>
          </w:p>
        </w:tc>
        <w:tc>
          <w:tcPr>
            <w:tcW w:w="1145" w:type="dxa"/>
            <w:tcBorders>
              <w:top w:val="single" w:sz="12" w:space="0" w:color="auto"/>
            </w:tcBorders>
          </w:tcPr>
          <w:p w14:paraId="797C03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Двигатель(л.с.)</w:t>
            </w:r>
          </w:p>
        </w:tc>
        <w:tc>
          <w:tcPr>
            <w:tcW w:w="1145" w:type="dxa"/>
            <w:tcBorders>
              <w:top w:val="single" w:sz="12" w:space="0" w:color="auto"/>
            </w:tcBorders>
          </w:tcPr>
          <w:p w14:paraId="258E8E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Размах (м)</w:t>
            </w:r>
          </w:p>
        </w:tc>
        <w:tc>
          <w:tcPr>
            <w:tcW w:w="1145" w:type="dxa"/>
            <w:tcBorders>
              <w:top w:val="single" w:sz="12" w:space="0" w:color="auto"/>
            </w:tcBorders>
          </w:tcPr>
          <w:p w14:paraId="690535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Площадь крыла (мг)</w:t>
            </w:r>
          </w:p>
        </w:tc>
        <w:tc>
          <w:tcPr>
            <w:tcW w:w="1145" w:type="dxa"/>
            <w:tcBorders>
              <w:top w:val="single" w:sz="12" w:space="0" w:color="auto"/>
            </w:tcBorders>
          </w:tcPr>
          <w:p w14:paraId="07E927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Удлинение</w:t>
            </w:r>
          </w:p>
        </w:tc>
        <w:tc>
          <w:tcPr>
            <w:tcW w:w="1145" w:type="dxa"/>
            <w:tcBorders>
              <w:top w:val="single" w:sz="12" w:space="0" w:color="auto"/>
            </w:tcBorders>
          </w:tcPr>
          <w:p w14:paraId="168D26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пустого (кг)</w:t>
            </w:r>
          </w:p>
        </w:tc>
        <w:tc>
          <w:tcPr>
            <w:tcW w:w="1145" w:type="dxa"/>
            <w:tcBorders>
              <w:top w:val="single" w:sz="12" w:space="0" w:color="auto"/>
            </w:tcBorders>
          </w:tcPr>
          <w:p w14:paraId="4007D6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Полетный вес (кг)</w:t>
            </w:r>
          </w:p>
        </w:tc>
        <w:tc>
          <w:tcPr>
            <w:tcW w:w="1145" w:type="dxa"/>
            <w:tcBorders>
              <w:top w:val="single" w:sz="12" w:space="0" w:color="auto"/>
            </w:tcBorders>
          </w:tcPr>
          <w:p w14:paraId="07B327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Запас горючего (кг)</w:t>
            </w:r>
          </w:p>
        </w:tc>
        <w:tc>
          <w:tcPr>
            <w:tcW w:w="1145" w:type="dxa"/>
            <w:tcBorders>
              <w:top w:val="single" w:sz="12" w:space="0" w:color="auto"/>
            </w:tcBorders>
          </w:tcPr>
          <w:p w14:paraId="7EEBE4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Нагрузка на крыло (кг/м2)</w:t>
            </w:r>
          </w:p>
        </w:tc>
      </w:tr>
      <w:tr w:rsidR="001002C3" w:rsidRPr="005E779E" w14:paraId="1B299810" w14:textId="77777777">
        <w:tc>
          <w:tcPr>
            <w:tcW w:w="1145" w:type="dxa"/>
          </w:tcPr>
          <w:p w14:paraId="793A49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4C1805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5097A1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641391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5DAF06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1EAB1A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252977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42E290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08CF7E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150EB41" w14:textId="77777777">
        <w:tc>
          <w:tcPr>
            <w:tcW w:w="1145" w:type="dxa"/>
          </w:tcPr>
          <w:p w14:paraId="25BB6B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Фэйри LR</w:t>
            </w:r>
          </w:p>
        </w:tc>
        <w:tc>
          <w:tcPr>
            <w:tcW w:w="1145" w:type="dxa"/>
          </w:tcPr>
          <w:p w14:paraId="2212A8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Нэпир XI (530)</w:t>
            </w:r>
          </w:p>
        </w:tc>
        <w:tc>
          <w:tcPr>
            <w:tcW w:w="1145" w:type="dxa"/>
          </w:tcPr>
          <w:p w14:paraId="40D8F3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25,0</w:t>
            </w:r>
          </w:p>
        </w:tc>
        <w:tc>
          <w:tcPr>
            <w:tcW w:w="1145" w:type="dxa"/>
          </w:tcPr>
          <w:p w14:paraId="5E12A8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82,0</w:t>
            </w:r>
          </w:p>
        </w:tc>
        <w:tc>
          <w:tcPr>
            <w:tcW w:w="1145" w:type="dxa"/>
          </w:tcPr>
          <w:p w14:paraId="0CDB36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7,6</w:t>
            </w:r>
          </w:p>
        </w:tc>
        <w:tc>
          <w:tcPr>
            <w:tcW w:w="1145" w:type="dxa"/>
          </w:tcPr>
          <w:p w14:paraId="50C781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145" w:type="dxa"/>
          </w:tcPr>
          <w:p w14:paraId="10D14E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7800</w:t>
            </w:r>
          </w:p>
        </w:tc>
        <w:tc>
          <w:tcPr>
            <w:tcW w:w="1145" w:type="dxa"/>
          </w:tcPr>
          <w:p w14:paraId="48B2BF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4500</w:t>
            </w:r>
          </w:p>
        </w:tc>
        <w:tc>
          <w:tcPr>
            <w:tcW w:w="1145" w:type="dxa"/>
          </w:tcPr>
          <w:p w14:paraId="0C71B5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95,0</w:t>
            </w:r>
          </w:p>
        </w:tc>
      </w:tr>
      <w:tr w:rsidR="001002C3" w:rsidRPr="005E779E" w14:paraId="0549EA03" w14:textId="77777777">
        <w:tc>
          <w:tcPr>
            <w:tcW w:w="1145" w:type="dxa"/>
          </w:tcPr>
          <w:p w14:paraId="185DDE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Савойя S-64</w:t>
            </w:r>
          </w:p>
        </w:tc>
        <w:tc>
          <w:tcPr>
            <w:tcW w:w="1145" w:type="dxa"/>
          </w:tcPr>
          <w:p w14:paraId="6426FB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Фиат А-22Т (620)</w:t>
            </w:r>
          </w:p>
        </w:tc>
        <w:tc>
          <w:tcPr>
            <w:tcW w:w="1145" w:type="dxa"/>
          </w:tcPr>
          <w:p w14:paraId="46898C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21,5</w:t>
            </w:r>
          </w:p>
        </w:tc>
        <w:tc>
          <w:tcPr>
            <w:tcW w:w="1145" w:type="dxa"/>
          </w:tcPr>
          <w:p w14:paraId="25E606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w:t>
            </w:r>
          </w:p>
        </w:tc>
        <w:tc>
          <w:tcPr>
            <w:tcW w:w="1145" w:type="dxa"/>
          </w:tcPr>
          <w:p w14:paraId="049E38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7,75</w:t>
            </w:r>
          </w:p>
        </w:tc>
        <w:tc>
          <w:tcPr>
            <w:tcW w:w="1145" w:type="dxa"/>
          </w:tcPr>
          <w:p w14:paraId="44F372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2670</w:t>
            </w:r>
          </w:p>
        </w:tc>
        <w:tc>
          <w:tcPr>
            <w:tcW w:w="1145" w:type="dxa"/>
          </w:tcPr>
          <w:p w14:paraId="4A7FF3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7200</w:t>
            </w:r>
          </w:p>
        </w:tc>
        <w:tc>
          <w:tcPr>
            <w:tcW w:w="1145" w:type="dxa"/>
          </w:tcPr>
          <w:p w14:paraId="299D39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4550</w:t>
            </w:r>
          </w:p>
        </w:tc>
        <w:tc>
          <w:tcPr>
            <w:tcW w:w="1145" w:type="dxa"/>
          </w:tcPr>
          <w:p w14:paraId="0FB3F1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120,0</w:t>
            </w:r>
          </w:p>
        </w:tc>
      </w:tr>
      <w:tr w:rsidR="001002C3" w:rsidRPr="005E779E" w14:paraId="7A68C739" w14:textId="77777777">
        <w:tc>
          <w:tcPr>
            <w:tcW w:w="1145" w:type="dxa"/>
          </w:tcPr>
          <w:p w14:paraId="7FA328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Блерио-110</w:t>
            </w:r>
          </w:p>
        </w:tc>
        <w:tc>
          <w:tcPr>
            <w:tcW w:w="1145" w:type="dxa"/>
          </w:tcPr>
          <w:p w14:paraId="316393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Испано 12МЬг (500)</w:t>
            </w:r>
          </w:p>
        </w:tc>
        <w:tc>
          <w:tcPr>
            <w:tcW w:w="1145" w:type="dxa"/>
          </w:tcPr>
          <w:p w14:paraId="542B1B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26,5</w:t>
            </w:r>
          </w:p>
        </w:tc>
        <w:tc>
          <w:tcPr>
            <w:tcW w:w="1145" w:type="dxa"/>
          </w:tcPr>
          <w:p w14:paraId="14C84E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81,0</w:t>
            </w:r>
          </w:p>
        </w:tc>
        <w:tc>
          <w:tcPr>
            <w:tcW w:w="1145" w:type="dxa"/>
          </w:tcPr>
          <w:p w14:paraId="638AF5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8,65</w:t>
            </w:r>
          </w:p>
        </w:tc>
        <w:tc>
          <w:tcPr>
            <w:tcW w:w="1145" w:type="dxa"/>
          </w:tcPr>
          <w:p w14:paraId="64F2AB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2700</w:t>
            </w:r>
          </w:p>
        </w:tc>
        <w:tc>
          <w:tcPr>
            <w:tcW w:w="1145" w:type="dxa"/>
          </w:tcPr>
          <w:p w14:paraId="4CA17D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8500</w:t>
            </w:r>
          </w:p>
        </w:tc>
        <w:tc>
          <w:tcPr>
            <w:tcW w:w="1145" w:type="dxa"/>
          </w:tcPr>
          <w:p w14:paraId="6A6279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5500</w:t>
            </w:r>
          </w:p>
        </w:tc>
        <w:tc>
          <w:tcPr>
            <w:tcW w:w="1145" w:type="dxa"/>
          </w:tcPr>
          <w:p w14:paraId="5EE7B7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104,5</w:t>
            </w:r>
          </w:p>
        </w:tc>
      </w:tr>
      <w:tr w:rsidR="001002C3" w:rsidRPr="005E779E" w14:paraId="6BB46020" w14:textId="77777777">
        <w:tc>
          <w:tcPr>
            <w:tcW w:w="1145" w:type="dxa"/>
          </w:tcPr>
          <w:p w14:paraId="20AFC0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Девуатин D.33</w:t>
            </w:r>
          </w:p>
        </w:tc>
        <w:tc>
          <w:tcPr>
            <w:tcW w:w="1145" w:type="dxa"/>
          </w:tcPr>
          <w:p w14:paraId="118941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Испано 12Nb (650)</w:t>
            </w:r>
          </w:p>
        </w:tc>
        <w:tc>
          <w:tcPr>
            <w:tcW w:w="1145" w:type="dxa"/>
          </w:tcPr>
          <w:p w14:paraId="59A694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28,0</w:t>
            </w:r>
          </w:p>
        </w:tc>
        <w:tc>
          <w:tcPr>
            <w:tcW w:w="1145" w:type="dxa"/>
          </w:tcPr>
          <w:p w14:paraId="669422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78,0</w:t>
            </w:r>
          </w:p>
        </w:tc>
        <w:tc>
          <w:tcPr>
            <w:tcW w:w="1145" w:type="dxa"/>
          </w:tcPr>
          <w:p w14:paraId="5BF371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w:t>
            </w:r>
          </w:p>
        </w:tc>
        <w:tc>
          <w:tcPr>
            <w:tcW w:w="1145" w:type="dxa"/>
          </w:tcPr>
          <w:p w14:paraId="2561C3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3100</w:t>
            </w:r>
          </w:p>
        </w:tc>
        <w:tc>
          <w:tcPr>
            <w:tcW w:w="1145" w:type="dxa"/>
          </w:tcPr>
          <w:p w14:paraId="328D53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9200</w:t>
            </w:r>
          </w:p>
        </w:tc>
        <w:tc>
          <w:tcPr>
            <w:tcW w:w="1145" w:type="dxa"/>
          </w:tcPr>
          <w:p w14:paraId="72CF3E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5600</w:t>
            </w:r>
          </w:p>
        </w:tc>
        <w:tc>
          <w:tcPr>
            <w:tcW w:w="1145" w:type="dxa"/>
          </w:tcPr>
          <w:p w14:paraId="139239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117,5</w:t>
            </w:r>
          </w:p>
        </w:tc>
      </w:tr>
      <w:tr w:rsidR="001002C3" w:rsidRPr="005E779E" w14:paraId="7E53000B" w14:textId="77777777">
        <w:tc>
          <w:tcPr>
            <w:tcW w:w="1145" w:type="dxa"/>
            <w:tcBorders>
              <w:bottom w:val="single" w:sz="12" w:space="0" w:color="auto"/>
            </w:tcBorders>
          </w:tcPr>
          <w:p w14:paraId="01D8A5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Бернар-80</w:t>
            </w:r>
          </w:p>
        </w:tc>
        <w:tc>
          <w:tcPr>
            <w:tcW w:w="1145" w:type="dxa"/>
            <w:tcBorders>
              <w:bottom w:val="single" w:sz="12" w:space="0" w:color="auto"/>
            </w:tcBorders>
          </w:tcPr>
          <w:p w14:paraId="6F44E1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Испано 12Nb (650)</w:t>
            </w:r>
          </w:p>
        </w:tc>
        <w:tc>
          <w:tcPr>
            <w:tcW w:w="1145" w:type="dxa"/>
            <w:tcBorders>
              <w:bottom w:val="single" w:sz="12" w:space="0" w:color="auto"/>
            </w:tcBorders>
          </w:tcPr>
          <w:p w14:paraId="4085E9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24,5</w:t>
            </w:r>
          </w:p>
        </w:tc>
        <w:tc>
          <w:tcPr>
            <w:tcW w:w="1145" w:type="dxa"/>
            <w:tcBorders>
              <w:bottom w:val="single" w:sz="12" w:space="0" w:color="auto"/>
            </w:tcBorders>
          </w:tcPr>
          <w:p w14:paraId="6C673F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70,0</w:t>
            </w:r>
          </w:p>
        </w:tc>
        <w:tc>
          <w:tcPr>
            <w:tcW w:w="1145" w:type="dxa"/>
            <w:tcBorders>
              <w:bottom w:val="single" w:sz="12" w:space="0" w:color="auto"/>
            </w:tcBorders>
          </w:tcPr>
          <w:p w14:paraId="4FFDFB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8,6</w:t>
            </w:r>
          </w:p>
        </w:tc>
        <w:tc>
          <w:tcPr>
            <w:tcW w:w="1145" w:type="dxa"/>
            <w:tcBorders>
              <w:bottom w:val="single" w:sz="12" w:space="0" w:color="auto"/>
            </w:tcBorders>
          </w:tcPr>
          <w:p w14:paraId="5DA68A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3100</w:t>
            </w:r>
          </w:p>
        </w:tc>
        <w:tc>
          <w:tcPr>
            <w:tcW w:w="1145" w:type="dxa"/>
            <w:tcBorders>
              <w:bottom w:val="single" w:sz="12" w:space="0" w:color="auto"/>
            </w:tcBorders>
          </w:tcPr>
          <w:p w14:paraId="592246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8625</w:t>
            </w:r>
          </w:p>
        </w:tc>
        <w:tc>
          <w:tcPr>
            <w:tcW w:w="1145" w:type="dxa"/>
            <w:tcBorders>
              <w:bottom w:val="single" w:sz="12" w:space="0" w:color="auto"/>
            </w:tcBorders>
          </w:tcPr>
          <w:p w14:paraId="12F631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145" w:type="dxa"/>
            <w:tcBorders>
              <w:bottom w:val="single" w:sz="12" w:space="0" w:color="auto"/>
            </w:tcBorders>
          </w:tcPr>
          <w:p w14:paraId="09D9A9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123,0</w:t>
            </w:r>
          </w:p>
        </w:tc>
      </w:tr>
    </w:tbl>
    <w:p w14:paraId="5135B4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Приведенные в таблице данные полетного веса и запаса горючего на самом деле имели разные значения. Так, при установлении мирового рекорда в 1933 г. полетный вес Блерио-110 указывался 9 тонн, а запас горючего составлял 6500 литров (11941).</w:t>
      </w:r>
    </w:p>
    <w:p w14:paraId="145ACB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82C1278" w14:textId="77777777" w:rsidR="00EA791B" w:rsidRPr="00142305" w:rsidRDefault="00EA791B" w:rsidP="00EA791B">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 xml:space="preserve">11 июля (в 4 ч 30 мин.) 1931 г. серебристый красавец «Девуатин </w:t>
      </w:r>
      <w:r w:rsidRPr="00142305">
        <w:rPr>
          <w:rStyle w:val="aff0"/>
          <w:rFonts w:ascii="Times New Roman" w:hAnsi="Times New Roman" w:cs="Times New Roman"/>
          <w:color w:val="0070C0"/>
          <w:spacing w:val="0"/>
          <w:sz w:val="16"/>
          <w:szCs w:val="16"/>
          <w:lang w:val="en-US"/>
        </w:rPr>
        <w:t>D</w:t>
      </w:r>
      <w:r w:rsidRPr="00142305">
        <w:rPr>
          <w:rStyle w:val="aff0"/>
          <w:rFonts w:ascii="Times New Roman" w:hAnsi="Times New Roman" w:cs="Times New Roman"/>
          <w:color w:val="0070C0"/>
          <w:spacing w:val="0"/>
          <w:sz w:val="16"/>
          <w:szCs w:val="16"/>
        </w:rPr>
        <w:t>.33-01» взял старт с аэродрома Ля Бурже под Парижем в направлении на восток. Конечной целью заду</w:t>
      </w:r>
      <w:r w:rsidRPr="00142305">
        <w:rPr>
          <w:rStyle w:val="aff0"/>
          <w:rFonts w:ascii="Times New Roman" w:hAnsi="Times New Roman" w:cs="Times New Roman"/>
          <w:color w:val="0070C0"/>
          <w:spacing w:val="0"/>
          <w:sz w:val="16"/>
          <w:szCs w:val="16"/>
        </w:rPr>
        <w:softHyphen/>
        <w:t>манной акции являлась японская столица Токио. Поначалу со</w:t>
      </w:r>
      <w:r w:rsidRPr="00142305">
        <w:rPr>
          <w:rStyle w:val="aff0"/>
          <w:rFonts w:ascii="Times New Roman" w:hAnsi="Times New Roman" w:cs="Times New Roman"/>
          <w:color w:val="0070C0"/>
          <w:spacing w:val="0"/>
          <w:sz w:val="16"/>
          <w:szCs w:val="16"/>
        </w:rPr>
        <w:softHyphen/>
        <w:t>бытия развивались в соответствии с графиком перелета. После того как значительная часть пути была пройдена, в ночь с 12 на 13 июля, на удалении 6200 км от места старта французов подве</w:t>
      </w:r>
      <w:r w:rsidRPr="00142305">
        <w:rPr>
          <w:rStyle w:val="aff0"/>
          <w:rFonts w:ascii="Times New Roman" w:hAnsi="Times New Roman" w:cs="Times New Roman"/>
          <w:color w:val="0070C0"/>
          <w:spacing w:val="0"/>
          <w:sz w:val="16"/>
          <w:szCs w:val="16"/>
        </w:rPr>
        <w:softHyphen/>
        <w:t>ла несовершенная система бензопитания, и двигатель самолета остановился. В полной темноте над глухой сибирской тайгой в районе станции Шеборта Омской железной дороги в возду</w:t>
      </w:r>
      <w:r w:rsidRPr="00142305">
        <w:rPr>
          <w:rStyle w:val="aff0"/>
          <w:rFonts w:ascii="Times New Roman" w:hAnsi="Times New Roman" w:cs="Times New Roman"/>
          <w:color w:val="0070C0"/>
          <w:spacing w:val="0"/>
          <w:sz w:val="16"/>
          <w:szCs w:val="16"/>
        </w:rPr>
        <w:softHyphen/>
        <w:t>хе повисли два парашюта. Летчик Ле Бри и механик Месмин покинули самолет, третий член экипажа летчик Марсель Доре попытался спасти машину и совершил вынужденную посадку на лесной поляне. Сам пилот уцелел, однако самолет оказался основательно поврежден. В тот же день шокированные, но не сломленные авиаторы на мотодрезине были доставлены в Ниж</w:t>
      </w:r>
      <w:r w:rsidRPr="00142305">
        <w:rPr>
          <w:rStyle w:val="aff0"/>
          <w:rFonts w:ascii="Times New Roman" w:hAnsi="Times New Roman" w:cs="Times New Roman"/>
          <w:color w:val="0070C0"/>
          <w:spacing w:val="0"/>
          <w:sz w:val="16"/>
          <w:szCs w:val="16"/>
        </w:rPr>
        <w:softHyphen/>
        <w:t>неудинск, после чего отправились на свою родину за новым самолетом (25675).</w:t>
      </w:r>
    </w:p>
    <w:p w14:paraId="3DCD5A7D" w14:textId="77777777" w:rsidR="00EA791B" w:rsidRPr="00142305" w:rsidRDefault="00EA791B" w:rsidP="00EA791B">
      <w:pPr>
        <w:spacing w:after="0" w:line="240" w:lineRule="auto"/>
        <w:jc w:val="both"/>
        <w:rPr>
          <w:rFonts w:ascii="Times New Roman" w:hAnsi="Times New Roman"/>
          <w:color w:val="0070C0"/>
          <w:sz w:val="16"/>
          <w:szCs w:val="16"/>
        </w:rPr>
      </w:pPr>
    </w:p>
    <w:p w14:paraId="7A4372C6"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0896FD1C"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378D34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июля 1931 года закончились испытания самолета ДИ3 БМВ VI – опытный экземпляр постройки ЦКБ завода № 39 № 17115, которые проходили с 10 апреля 1931.</w:t>
      </w:r>
    </w:p>
    <w:p w14:paraId="6D4EBFF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получен на испытания – 10 апреля 1931 года</w:t>
      </w:r>
    </w:p>
    <w:p w14:paraId="0127006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Испытания окончены – 12 июля 1931 года</w:t>
      </w:r>
    </w:p>
    <w:p w14:paraId="5048617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Общее число дней – 92</w:t>
      </w:r>
    </w:p>
    <w:p w14:paraId="03D0D6F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летал – 24 дня</w:t>
      </w:r>
    </w:p>
    <w:p w14:paraId="7DD3D63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 полетов – 36 с налетом 28, 5 часов</w:t>
      </w:r>
    </w:p>
    <w:p w14:paraId="42CEBC7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w:t>
      </w:r>
    </w:p>
    <w:p w14:paraId="10205CF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Данные самолета ДИ-3 полученные при испытании в НИИ показывают, что самолет полностью не удовлетворяет техническим требованиям, как по скоростям на всех высотах, так и по скороподъемности.</w:t>
      </w:r>
    </w:p>
    <w:p w14:paraId="449B841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основании полученных данных, считать невозможным рекомендовать самолет на массовое снабжение в ВВС (6932).</w:t>
      </w:r>
    </w:p>
    <w:p w14:paraId="1D2732B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D1271E" w14:textId="77777777" w:rsidR="00D84D3F" w:rsidRPr="005E779E" w:rsidRDefault="00D84D3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12 июля в 1931 году завершились (с 10 апреля) Государственные испытания в НИИ ВВС дальнего истребителя Поликарпова и Григоровича </w:t>
      </w:r>
      <w:hyperlink r:id="rId146" w:tgtFrame="_blank" w:history="1">
        <w:r w:rsidRPr="005E779E">
          <w:rPr>
            <w:rFonts w:ascii="Times New Roman" w:hAnsi="Times New Roman"/>
            <w:color w:val="000000" w:themeColor="text1"/>
            <w:sz w:val="16"/>
            <w:szCs w:val="16"/>
          </w:rPr>
          <w:t xml:space="preserve">«ДИ-3». </w:t>
        </w:r>
      </w:hyperlink>
      <w:r w:rsidRPr="005E779E">
        <w:rPr>
          <w:rFonts w:ascii="Times New Roman" w:hAnsi="Times New Roman"/>
          <w:color w:val="000000" w:themeColor="text1"/>
          <w:sz w:val="16"/>
          <w:szCs w:val="16"/>
        </w:rPr>
        <w:t>Выяснилось, что самолет не удовлетворяет тактико-техническим требованиям как по максимальным скоростям на всех высотах, так и по скороподъемности, и вообще практически по всем летным характеристикам уступает самолету «Д-2». В управлении «ДИ-3» оказался строгой машиной, не позволял полет с брошенной ручкой. Оборонительная турель ЦКБ была признана неудачной. В итоге «ДИ-3» не рекомендовали к массовому производству, однако посчитали возможным построить небольшую серию для тренировки и обучения. В конечном счете серийное производство так и не было налажено; известно лишь, что позже опытный «ДИ-3» был оборудован застекленной кабиной и использовался как связной самолет (14950).</w:t>
      </w:r>
    </w:p>
    <w:p w14:paraId="09D669D1" w14:textId="77777777" w:rsidR="00D84D3F" w:rsidRPr="005E779E" w:rsidRDefault="00D84D3F" w:rsidP="000B7A6C">
      <w:pPr>
        <w:spacing w:after="0" w:line="240" w:lineRule="auto"/>
        <w:jc w:val="both"/>
        <w:rPr>
          <w:rFonts w:ascii="Times New Roman" w:hAnsi="Times New Roman"/>
          <w:color w:val="000000" w:themeColor="text1"/>
          <w:sz w:val="16"/>
          <w:szCs w:val="16"/>
        </w:rPr>
      </w:pPr>
    </w:p>
    <w:p w14:paraId="08315A8F" w14:textId="77777777" w:rsidR="00472582" w:rsidRPr="005E779E" w:rsidRDefault="0047258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июля 1931 - (с 10 апреля ) 1931 года завершились Государственные испытания в НИИ ВВС дальнего истребителя Поликарпова и Григоровича ДИ-3. Выяснилось, что самолет не удовлетворяет тактико-техническим требованиям как по максимальным скоростям на всех высотах, так и по скороподъемности, и вообще практически по всем летным характеристикам уступает самолету Д-2. В управлении ДИ-3 оказался строгой машиной, не позволял полет с брошенной ручкой. Оборонительная турель ЦКБ была признана неудачной.</w:t>
      </w:r>
    </w:p>
    <w:p w14:paraId="686BE5DB" w14:textId="77777777" w:rsidR="00472582" w:rsidRPr="005E779E" w:rsidRDefault="0047258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итоге ДИ-3 не рекомендовали к массовому производству, однако посчитали возможным построить небольшую серию для тренировки и обучения. В конечном счете серийное производство так и не было налажено; известно лишь, что позже опытный ДИ-3 был оборудован застекленной кабиной и использовался как связной самолет (22432).</w:t>
      </w:r>
    </w:p>
    <w:p w14:paraId="0E5DEE75" w14:textId="77777777" w:rsidR="00472582" w:rsidRPr="005E779E" w:rsidRDefault="00472582" w:rsidP="000B7A6C">
      <w:pPr>
        <w:spacing w:after="0" w:line="240" w:lineRule="auto"/>
        <w:jc w:val="both"/>
        <w:rPr>
          <w:rFonts w:ascii="Times New Roman" w:hAnsi="Times New Roman"/>
          <w:color w:val="000000" w:themeColor="text1"/>
          <w:sz w:val="16"/>
          <w:szCs w:val="16"/>
        </w:rPr>
      </w:pPr>
    </w:p>
    <w:p w14:paraId="01A628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июля 1931 года начальник 2-го отдела НИИ Горощенко писал письмо N 407 начальнику 8 сектора УСС ВВС.</w:t>
      </w:r>
    </w:p>
    <w:p w14:paraId="5E5C67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Препровождая при сем заключение по испытанию самолета Р5 с несимметричной относительно продольной оси нагрузкой сообщаем, что хотя самолет Р5 по своим аэродинамическим качествам и допускает довольно большую весовую поперечную асимметрию, но результаты испытаний не должны повести за собой снижение требований к заводам серийной постройки, так как это может повлечь за собой общее ослабление внимания за соблюдением...</w:t>
      </w:r>
    </w:p>
    <w:p w14:paraId="19EC10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 по испытанию самолета Р5 БМВ VI с несимметричной нагрузкой относительно продольной оси.</w:t>
      </w:r>
    </w:p>
    <w:p w14:paraId="1033DC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Произведено 7 полетов с постепенным подвешиванием на бомбодержателях правого крыла бомб разного веса.</w:t>
      </w:r>
    </w:p>
    <w:p w14:paraId="30AA15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w:t>
      </w:r>
    </w:p>
    <w:p w14:paraId="080A09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Р5 позволяет совершать полеты и посадки даже при условии оставления под одним из крыльев (правом или левом) двух бомб по 82 кг, помещенных на средних бомбодержателях (3216).</w:t>
      </w:r>
    </w:p>
    <w:p w14:paraId="041C86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56237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июля 1931 был подготовлен Отчет об испытании приборов "ВАП-4" (2-х комплектов) на сам. Р-5 БМВVI Е=6.</w:t>
      </w:r>
    </w:p>
    <w:p w14:paraId="33FF80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w:t>
      </w:r>
    </w:p>
    <w:p w14:paraId="6BE445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представленном виде установку на сам. Р-5 - "ВАП-4" - считать возможной допустить к испытаниям с ОВ (3208,269-281).</w:t>
      </w:r>
    </w:p>
    <w:p w14:paraId="2F5906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54CE78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июля 1931 Погиб в авиакатастрофе на пути из Москвы в Киев на маневры Владимир Кириакович Триандофилов, выдающийся военный мыслитель, автор книг по теории военного дела (4963 ). Возможно на АНТ-9, где в тот же день погиб С</w:t>
      </w:r>
      <w:r w:rsidR="00E278B5"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rPr>
        <w:t>Т</w:t>
      </w:r>
      <w:r w:rsidR="00E278B5"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rPr>
        <w:t>Рыбальчук (7610).</w:t>
      </w:r>
    </w:p>
    <w:p w14:paraId="725BAB3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C54B01" w14:textId="77777777" w:rsidR="00E278B5" w:rsidRPr="005E779E" w:rsidRDefault="00E278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июля 1931 года стоял туман, заместитель начальника штаба РККА, крупнейший в стране военный теоретик и стратег Владимир Триандафиллов должен был вылететь в инспекционную поездку по стране, как делал до того не раз, однако этот полет оказался для него последним. Хотя, Триандафиллов твердо верил в мастерство своего пилота. «Летчика С. Т. Рыбальчука. — вспоминал Михаил Громов,— хорошо знал авиаконструктор С. В. Ильюшин и рекомендовал его как отличного летчика: спокойного, уравновешенного, никогда не торопящегося. Я видел его полеты — он летал, безусловно, отлично… Блестящий был пилот — С. Т. Рыбальчук! Видимо, из самолюбия он не отказался от полета в таких условиях и в тумане зацепил деревья… Катастрофа, все погибли» (12634).</w:t>
      </w:r>
    </w:p>
    <w:p w14:paraId="48DB4B57" w14:textId="77777777" w:rsidR="00E278B5" w:rsidRPr="005E779E" w:rsidRDefault="00E278B5" w:rsidP="000B7A6C">
      <w:pPr>
        <w:spacing w:after="0" w:line="240" w:lineRule="auto"/>
        <w:jc w:val="both"/>
        <w:rPr>
          <w:rFonts w:ascii="Times New Roman" w:hAnsi="Times New Roman"/>
          <w:color w:val="000000" w:themeColor="text1"/>
          <w:sz w:val="16"/>
          <w:szCs w:val="16"/>
        </w:rPr>
      </w:pPr>
    </w:p>
    <w:p w14:paraId="1FE62A9D" w14:textId="77777777" w:rsidR="00D84D3F" w:rsidRPr="005E779E" w:rsidRDefault="00D84D3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июля в 1931 году катастрофа самолёта «АНТ-9», командир экипажа Рыбальчук С.Т. На борту находился замначальника штаба РККА, крупнейший военный теоретик и стратег Триандафиллов В., вылетевший в инспекционную поездку по стране. Самолёт в тумане зацепился за деревья (этап полёта неизвестен), столкнулся с землёй и разрушился. Все, находившиеся на борту, погибли. Погиб летчик-испытатель С.Т.Рыбальчук. Поднял в небо и провёл испытания «АНТ-8» («МДР-2») (30 января 1931). Провёл испытания гидросамолётов «РОМ-1» («МДР-1») (1927-28), «МР-3» («МР-5») (1929), «МУ-2» (1929) и других. После этого лётного проишествия Сталин запретил членам Политбюро и руководящим работникам высокого ранга летать на самолетах. Ослушавшимся грозило суровое партийное наказание (14950).</w:t>
      </w:r>
    </w:p>
    <w:p w14:paraId="5BFD92FD" w14:textId="77777777" w:rsidR="00D84D3F" w:rsidRPr="005E779E" w:rsidRDefault="00D84D3F" w:rsidP="000B7A6C">
      <w:pPr>
        <w:spacing w:after="0" w:line="240" w:lineRule="auto"/>
        <w:jc w:val="both"/>
        <w:rPr>
          <w:rFonts w:ascii="Times New Roman" w:hAnsi="Times New Roman"/>
          <w:color w:val="000000" w:themeColor="text1"/>
          <w:sz w:val="16"/>
          <w:szCs w:val="16"/>
        </w:rPr>
      </w:pPr>
    </w:p>
    <w:p w14:paraId="2BCD07E7" w14:textId="77777777" w:rsidR="00472582" w:rsidRPr="005E779E" w:rsidRDefault="00472582" w:rsidP="000B7A6C">
      <w:pPr>
        <w:pStyle w:val="doctext"/>
        <w:shd w:val="clear" w:color="auto" w:fill="FFFFFF"/>
        <w:spacing w:before="0" w:beforeAutospacing="0" w:after="0" w:afterAutospacing="0"/>
        <w:jc w:val="both"/>
        <w:rPr>
          <w:color w:val="000000" w:themeColor="text1"/>
          <w:sz w:val="16"/>
          <w:szCs w:val="16"/>
        </w:rPr>
      </w:pPr>
      <w:r w:rsidRPr="005E779E">
        <w:rPr>
          <w:color w:val="000000" w:themeColor="text1"/>
          <w:sz w:val="16"/>
          <w:szCs w:val="16"/>
        </w:rPr>
        <w:t>12 июля 1931 года заместитель начальника штаба РККА, крупнейший в стране военный теоретик и стратег Владимир Триандафиллов должен был вылететь в инспекционную поездку по стране, как делал до того не раз. Однако этот полет оказался для него последним. Хотя стоял туман, Триандафиллов твердо верил в мастерство своего пилота.</w:t>
      </w:r>
    </w:p>
    <w:p w14:paraId="73B4E3E2" w14:textId="77777777" w:rsidR="00472582" w:rsidRPr="005E779E" w:rsidRDefault="00472582" w:rsidP="000B7A6C">
      <w:pPr>
        <w:pStyle w:val="doctext"/>
        <w:shd w:val="clear" w:color="auto" w:fill="FFFFFF"/>
        <w:spacing w:before="0" w:beforeAutospacing="0" w:after="0" w:afterAutospacing="0"/>
        <w:jc w:val="both"/>
        <w:rPr>
          <w:color w:val="000000" w:themeColor="text1"/>
          <w:sz w:val="16"/>
          <w:szCs w:val="16"/>
        </w:rPr>
      </w:pPr>
      <w:r w:rsidRPr="005E779E">
        <w:rPr>
          <w:color w:val="000000" w:themeColor="text1"/>
          <w:sz w:val="16"/>
          <w:szCs w:val="16"/>
        </w:rPr>
        <w:t>"Летчика С. Т. Рыбальчука,— вспоминал Михаил Громов,— хорошо знал авиаконструктор С. В. Ильюшин и рекомендовал его как отличного летчика: спокойного, уравновешенного, никогда не торопящегося. Я видел его полеты — он летал, безусловно, отлично... Блестящий был пилот — С. Т. Рыбальчук! Видимо, из самолюбия он не отказался от полета в таких условиях и в тумане зацепил деревья... Катастрофа, все погибли" (21579).</w:t>
      </w:r>
    </w:p>
    <w:p w14:paraId="7D97536D" w14:textId="77777777" w:rsidR="00472582" w:rsidRPr="005E779E" w:rsidRDefault="00472582"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9FCD877" w14:textId="77777777" w:rsidR="003562F3" w:rsidRPr="005E779E" w:rsidRDefault="003562F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ночь с 12 на 13 июля (по сведениям из французской прес</w:t>
      </w:r>
      <w:r w:rsidRPr="005E779E">
        <w:rPr>
          <w:rFonts w:ascii="Times New Roman" w:hAnsi="Times New Roman"/>
          <w:color w:val="000000" w:themeColor="text1"/>
          <w:sz w:val="16"/>
          <w:szCs w:val="16"/>
        </w:rPr>
        <w:softHyphen/>
        <w:t>сы) 1931 на «Тред-Юнионе» отказал двигатель. Машина была разбита, но экипаж в соста</w:t>
      </w:r>
      <w:r w:rsidRPr="005E779E">
        <w:rPr>
          <w:rFonts w:ascii="Times New Roman" w:hAnsi="Times New Roman"/>
          <w:color w:val="000000" w:themeColor="text1"/>
          <w:sz w:val="16"/>
          <w:szCs w:val="16"/>
        </w:rPr>
        <w:softHyphen/>
        <w:t>ве в составе Доре, Ле Бри и механика Месмена остался цел.</w:t>
      </w:r>
    </w:p>
    <w:p w14:paraId="64091DED" w14:textId="77777777" w:rsidR="003562F3" w:rsidRPr="005E779E" w:rsidRDefault="003562F3" w:rsidP="000B7A6C">
      <w:pPr>
        <w:pStyle w:val="113"/>
        <w:shd w:val="clear" w:color="auto" w:fill="auto"/>
        <w:spacing w:line="240" w:lineRule="auto"/>
        <w:jc w:val="both"/>
        <w:rPr>
          <w:rFonts w:ascii="Times New Roman" w:hAnsi="Times New Roman" w:cs="Times New Roman"/>
          <w:b w:val="0"/>
          <w:color w:val="000000" w:themeColor="text1"/>
          <w:sz w:val="16"/>
          <w:szCs w:val="16"/>
        </w:rPr>
      </w:pPr>
      <w:r w:rsidRPr="005E779E">
        <w:rPr>
          <w:rStyle w:val="114"/>
          <w:rFonts w:eastAsia="Calibri"/>
          <w:b w:val="0"/>
          <w:i w:val="0"/>
          <w:color w:val="000000" w:themeColor="text1"/>
          <w:sz w:val="16"/>
          <w:szCs w:val="16"/>
        </w:rPr>
        <w:t>Как следует из документов, хранящих</w:t>
      </w:r>
      <w:r w:rsidRPr="005E779E">
        <w:rPr>
          <w:rStyle w:val="114"/>
          <w:rFonts w:eastAsia="Calibri"/>
          <w:b w:val="0"/>
          <w:i w:val="0"/>
          <w:color w:val="000000" w:themeColor="text1"/>
          <w:sz w:val="16"/>
          <w:szCs w:val="16"/>
        </w:rPr>
        <w:softHyphen/>
        <w:t>ся в российских архивах, в частности, из телеграммы, отправленной начальнику Главного управления гражданского воз</w:t>
      </w:r>
      <w:r w:rsidRPr="005E779E">
        <w:rPr>
          <w:rStyle w:val="114"/>
          <w:rFonts w:eastAsia="Calibri"/>
          <w:b w:val="0"/>
          <w:i w:val="0"/>
          <w:color w:val="000000" w:themeColor="text1"/>
          <w:sz w:val="16"/>
          <w:szCs w:val="16"/>
        </w:rPr>
        <w:softHyphen/>
        <w:t>душного флота.Яну Анвельту:</w:t>
      </w:r>
      <w:r w:rsidRPr="005E779E">
        <w:rPr>
          <w:rFonts w:ascii="Times New Roman" w:hAnsi="Times New Roman" w:cs="Times New Roman"/>
          <w:b w:val="0"/>
          <w:color w:val="000000" w:themeColor="text1"/>
          <w:sz w:val="16"/>
          <w:szCs w:val="16"/>
        </w:rPr>
        <w:t xml:space="preserve"> «14 июля 1931 года в 400 км от станции (железнодо</w:t>
      </w:r>
      <w:r w:rsidRPr="005E779E">
        <w:rPr>
          <w:rFonts w:ascii="Times New Roman" w:hAnsi="Times New Roman" w:cs="Times New Roman"/>
          <w:b w:val="0"/>
          <w:color w:val="000000" w:themeColor="text1"/>
          <w:sz w:val="16"/>
          <w:szCs w:val="16"/>
        </w:rPr>
        <w:softHyphen/>
        <w:t>рожной</w:t>
      </w:r>
      <w:r w:rsidRPr="005E779E">
        <w:rPr>
          <w:rStyle w:val="119pt"/>
          <w:rFonts w:eastAsia="Calibri"/>
          <w:color w:val="000000" w:themeColor="text1"/>
          <w:sz w:val="16"/>
          <w:szCs w:val="16"/>
        </w:rPr>
        <w:t>)</w:t>
      </w:r>
      <w:r w:rsidRPr="005E779E">
        <w:rPr>
          <w:rFonts w:ascii="Times New Roman" w:hAnsi="Times New Roman" w:cs="Times New Roman"/>
          <w:b w:val="0"/>
          <w:color w:val="000000" w:themeColor="text1"/>
          <w:sz w:val="16"/>
          <w:szCs w:val="16"/>
        </w:rPr>
        <w:t xml:space="preserve"> Шабарта вследст</w:t>
      </w:r>
      <w:r w:rsidRPr="005E779E">
        <w:rPr>
          <w:rFonts w:ascii="Times New Roman" w:hAnsi="Times New Roman" w:cs="Times New Roman"/>
          <w:b w:val="0"/>
          <w:color w:val="000000" w:themeColor="text1"/>
          <w:sz w:val="16"/>
          <w:szCs w:val="16"/>
        </w:rPr>
        <w:softHyphen/>
        <w:t>вие остановки мотора в воздухе потерпел аварию французский самолет, летевший из Парижа на восток. При посадке мотор ото</w:t>
      </w:r>
      <w:r w:rsidRPr="005E779E">
        <w:rPr>
          <w:rFonts w:ascii="Times New Roman" w:hAnsi="Times New Roman" w:cs="Times New Roman"/>
          <w:b w:val="0"/>
          <w:color w:val="000000" w:themeColor="text1"/>
          <w:sz w:val="16"/>
          <w:szCs w:val="16"/>
        </w:rPr>
        <w:softHyphen/>
        <w:t>рвался, плоскости повреждены, фюзеляж и оперение целы. Часть приборов, мотор и ин</w:t>
      </w:r>
      <w:r w:rsidRPr="005E779E">
        <w:rPr>
          <w:rFonts w:ascii="Times New Roman" w:hAnsi="Times New Roman" w:cs="Times New Roman"/>
          <w:b w:val="0"/>
          <w:color w:val="000000" w:themeColor="text1"/>
          <w:sz w:val="16"/>
          <w:szCs w:val="16"/>
        </w:rPr>
        <w:softHyphen/>
        <w:t xml:space="preserve">струменты, </w:t>
      </w:r>
      <w:r w:rsidRPr="005E779E">
        <w:rPr>
          <w:rFonts w:ascii="Times New Roman" w:hAnsi="Times New Roman" w:cs="Times New Roman"/>
          <w:b w:val="0"/>
          <w:color w:val="000000" w:themeColor="text1"/>
          <w:sz w:val="16"/>
          <w:szCs w:val="16"/>
        </w:rPr>
        <w:lastRenderedPageBreak/>
        <w:t>уезжая, французы забрали. Со</w:t>
      </w:r>
      <w:r w:rsidRPr="005E779E">
        <w:rPr>
          <w:rFonts w:ascii="Times New Roman" w:hAnsi="Times New Roman" w:cs="Times New Roman"/>
          <w:b w:val="0"/>
          <w:color w:val="000000" w:themeColor="text1"/>
          <w:sz w:val="16"/>
          <w:szCs w:val="16"/>
        </w:rPr>
        <w:softHyphen/>
        <w:t>гласно телеграммы начальника станции Нижне-Удинск, самолет оставлен там. Про</w:t>
      </w:r>
      <w:r w:rsidRPr="005E779E">
        <w:rPr>
          <w:rFonts w:ascii="Times New Roman" w:hAnsi="Times New Roman" w:cs="Times New Roman"/>
          <w:b w:val="0"/>
          <w:color w:val="000000" w:themeColor="text1"/>
          <w:sz w:val="16"/>
          <w:szCs w:val="16"/>
        </w:rPr>
        <w:softHyphen/>
        <w:t>шу Вашего разрешения о возможной перевоз</w:t>
      </w:r>
      <w:r w:rsidRPr="005E779E">
        <w:rPr>
          <w:rFonts w:ascii="Times New Roman" w:hAnsi="Times New Roman" w:cs="Times New Roman"/>
          <w:b w:val="0"/>
          <w:color w:val="000000" w:themeColor="text1"/>
          <w:sz w:val="16"/>
          <w:szCs w:val="16"/>
        </w:rPr>
        <w:softHyphen/>
        <w:t>ке самолета в Иркутск для осмотра и озна</w:t>
      </w:r>
      <w:r w:rsidRPr="005E779E">
        <w:rPr>
          <w:rFonts w:ascii="Times New Roman" w:hAnsi="Times New Roman" w:cs="Times New Roman"/>
          <w:b w:val="0"/>
          <w:color w:val="000000" w:themeColor="text1"/>
          <w:sz w:val="16"/>
          <w:szCs w:val="16"/>
        </w:rPr>
        <w:softHyphen/>
        <w:t>комления с конструкцией инженерно-тех</w:t>
      </w:r>
      <w:r w:rsidRPr="005E779E">
        <w:rPr>
          <w:rFonts w:ascii="Times New Roman" w:hAnsi="Times New Roman" w:cs="Times New Roman"/>
          <w:b w:val="0"/>
          <w:color w:val="000000" w:themeColor="text1"/>
          <w:sz w:val="16"/>
          <w:szCs w:val="16"/>
        </w:rPr>
        <w:softHyphen/>
        <w:t>нического состава. Если самолет остав</w:t>
      </w:r>
      <w:r w:rsidRPr="005E779E">
        <w:rPr>
          <w:rFonts w:ascii="Times New Roman" w:hAnsi="Times New Roman" w:cs="Times New Roman"/>
          <w:b w:val="0"/>
          <w:color w:val="000000" w:themeColor="text1"/>
          <w:sz w:val="16"/>
          <w:szCs w:val="16"/>
        </w:rPr>
        <w:softHyphen/>
        <w:t>лен — брошен вообще, оставили его нам, т.е. восточно-сибирскому управлению</w:t>
      </w:r>
      <w:r w:rsidRPr="005E779E">
        <w:rPr>
          <w:rStyle w:val="114"/>
          <w:rFonts w:eastAsia="Calibri"/>
          <w:b w:val="0"/>
          <w:i w:val="0"/>
          <w:color w:val="000000" w:themeColor="text1"/>
          <w:sz w:val="16"/>
          <w:szCs w:val="16"/>
        </w:rPr>
        <w:t xml:space="preserve"> (ГВФ</w:t>
      </w:r>
      <w:r w:rsidRPr="005E779E">
        <w:rPr>
          <w:rStyle w:val="115"/>
          <w:rFonts w:eastAsia="Calibri"/>
          <w:i w:val="0"/>
          <w:color w:val="000000" w:themeColor="text1"/>
          <w:sz w:val="16"/>
          <w:szCs w:val="16"/>
        </w:rPr>
        <w:t>)</w:t>
      </w:r>
      <w:r w:rsidRPr="005E779E">
        <w:rPr>
          <w:rFonts w:ascii="Times New Roman" w:hAnsi="Times New Roman" w:cs="Times New Roman"/>
          <w:b w:val="0"/>
          <w:color w:val="000000" w:themeColor="text1"/>
          <w:sz w:val="16"/>
          <w:szCs w:val="16"/>
        </w:rPr>
        <w:t xml:space="preserve"> на случай возможного ремонта в наших мастерских.»</w:t>
      </w:r>
    </w:p>
    <w:p w14:paraId="4CCDFEFD" w14:textId="77777777" w:rsidR="003562F3" w:rsidRPr="005E779E" w:rsidRDefault="003562F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ответ Анвельт телеграммой от 8 авгу</w:t>
      </w:r>
      <w:r w:rsidRPr="005E779E">
        <w:rPr>
          <w:rFonts w:ascii="Times New Roman" w:hAnsi="Times New Roman"/>
          <w:color w:val="000000" w:themeColor="text1"/>
          <w:sz w:val="16"/>
          <w:szCs w:val="16"/>
        </w:rPr>
        <w:softHyphen/>
        <w:t>ста сообщал в Иркутск:</w:t>
      </w:r>
      <w:r w:rsidRPr="005E779E">
        <w:rPr>
          <w:rStyle w:val="aff6"/>
          <w:rFonts w:ascii="Times New Roman" w:eastAsia="Arial Unicode MS" w:hAnsi="Times New Roman" w:cs="Times New Roman"/>
          <w:i w:val="0"/>
          <w:color w:val="000000" w:themeColor="text1"/>
        </w:rPr>
        <w:t xml:space="preserve"> «...французский са</w:t>
      </w:r>
      <w:r w:rsidRPr="005E779E">
        <w:rPr>
          <w:rStyle w:val="aff6"/>
          <w:rFonts w:ascii="Times New Roman" w:eastAsia="Arial Unicode MS" w:hAnsi="Times New Roman" w:cs="Times New Roman"/>
          <w:i w:val="0"/>
          <w:color w:val="000000" w:themeColor="text1"/>
        </w:rPr>
        <w:softHyphen/>
        <w:t>молет доставьте в Москву».</w:t>
      </w:r>
    </w:p>
    <w:p w14:paraId="15BC0D59" w14:textId="77777777" w:rsidR="003562F3" w:rsidRPr="005E779E" w:rsidRDefault="003562F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Похоже, что советское правительство, не желавшее безучастно смотреть на про</w:t>
      </w:r>
      <w:r w:rsidRPr="005E779E">
        <w:rPr>
          <w:rFonts w:ascii="Times New Roman" w:hAnsi="Times New Roman"/>
          <w:color w:val="000000" w:themeColor="text1"/>
          <w:sz w:val="16"/>
          <w:szCs w:val="16"/>
        </w:rPr>
        <w:softHyphen/>
        <w:t>исходившие события, в августе 1931 го</w:t>
      </w:r>
      <w:r w:rsidRPr="005E779E">
        <w:rPr>
          <w:rFonts w:ascii="Times New Roman" w:hAnsi="Times New Roman"/>
          <w:color w:val="000000" w:themeColor="text1"/>
          <w:sz w:val="16"/>
          <w:szCs w:val="16"/>
        </w:rPr>
        <w:softHyphen/>
        <w:t xml:space="preserve">да (видимо, вскоре после ознакомления с останками </w:t>
      </w:r>
      <w:r w:rsidRPr="005E779E">
        <w:rPr>
          <w:rFonts w:ascii="Times New Roman" w:hAnsi="Times New Roman"/>
          <w:color w:val="000000" w:themeColor="text1"/>
          <w:sz w:val="16"/>
          <w:szCs w:val="16"/>
          <w:lang w:val="en-US"/>
        </w:rPr>
        <w:t>D</w:t>
      </w:r>
      <w:r w:rsidRPr="005E779E">
        <w:rPr>
          <w:rFonts w:ascii="Times New Roman" w:hAnsi="Times New Roman"/>
          <w:color w:val="000000" w:themeColor="text1"/>
          <w:sz w:val="16"/>
          <w:szCs w:val="16"/>
        </w:rPr>
        <w:t>-33) образовало при Реввоенсовете страны специальную комиссию по постройке самолета РД под руководством К.Е. Ворошилова (12725).</w:t>
      </w:r>
    </w:p>
    <w:p w14:paraId="6A58D636" w14:textId="77777777" w:rsidR="003562F3" w:rsidRPr="005E779E" w:rsidRDefault="003562F3" w:rsidP="000B7A6C">
      <w:pPr>
        <w:spacing w:after="0" w:line="240" w:lineRule="auto"/>
        <w:jc w:val="both"/>
        <w:rPr>
          <w:rFonts w:ascii="Times New Roman" w:hAnsi="Times New Roman"/>
          <w:color w:val="000000" w:themeColor="text1"/>
          <w:sz w:val="16"/>
          <w:szCs w:val="16"/>
        </w:rPr>
      </w:pPr>
    </w:p>
    <w:p w14:paraId="6D1ECF60"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52067615"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CECE628" w14:textId="77777777" w:rsidR="00BB323F" w:rsidRPr="005E779E" w:rsidRDefault="00BB323F"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12 июля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Постановление СТО СССР № 147сс о приравнивании Толуолового завода к ударным стройкам (ГА РФ. Ф. Р?8418. Оп. 28. Д. 1а. Л. 37) (12415).</w:t>
      </w:r>
    </w:p>
    <w:p w14:paraId="07468744" w14:textId="77777777" w:rsidR="00BB323F" w:rsidRPr="005E779E" w:rsidRDefault="00BB323F" w:rsidP="000B7A6C">
      <w:pPr>
        <w:spacing w:after="0" w:line="240" w:lineRule="auto"/>
        <w:jc w:val="both"/>
        <w:rPr>
          <w:rFonts w:ascii="Times New Roman" w:hAnsi="Times New Roman"/>
          <w:color w:val="000000" w:themeColor="text1"/>
          <w:sz w:val="16"/>
          <w:szCs w:val="16"/>
          <w:u w:color="002060"/>
        </w:rPr>
      </w:pPr>
    </w:p>
    <w:p w14:paraId="37C00369"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12 июля 1931 года было намечено начало пробега мотоциклов ХПСЗ. Для сравнения эксплуатацион-ных характеристик в пробеге уча-ствовали и заграничные модели, в том числе - однотипный с харь-ковским американский "Харлей-Дэвидсон" с объемом двигателя 350 куб.см. Доверили пробег за-водским водителям Солдатенко, Двоименному, Радионову, Ветчинкину. 12 июля на завод прибыли члены Правительства, предста-вители Укравтодора, Харьковс-кого Автодора и правления УкрМЕТО. Состоялось праздничное заседание. Была принята программа выпуска мотоциклов на второе полугодие в объеме 250 штук. Отмечая заслуги в органи-зации мотостроения, наградили орденами Ленина Водопьянова, Амирова и Солдатенко. Попов, Саламатов и Алексеев были пре-мированы. Директор завода Амиров получил в подарок спортив-ный "Форд", а пятеро других ра-ботников - велосипеды. А в 18 часов был дан старт и мотоциклисты отправились по маршруту "Харьков-Москва-Ленинград-Псков-Витебск-Смоленск-Орел-Харьков" (11602).</w:t>
      </w:r>
    </w:p>
    <w:p w14:paraId="5C4FA677"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40C79B" w14:textId="79820DCE" w:rsidR="000F4C20" w:rsidRPr="005E779E" w:rsidRDefault="000F4C20" w:rsidP="000B7A6C">
      <w:pPr>
        <w:autoSpaceDE w:val="0"/>
        <w:autoSpaceDN w:val="0"/>
        <w:adjustRightInd w:val="0"/>
        <w:spacing w:after="0" w:line="240" w:lineRule="auto"/>
        <w:jc w:val="both"/>
        <w:rPr>
          <w:rFonts w:ascii="Times New Roman" w:hAnsi="Times New Roman"/>
          <w:i/>
          <w:iCs/>
          <w:color w:val="000000" w:themeColor="text1"/>
          <w:sz w:val="16"/>
          <w:szCs w:val="16"/>
        </w:rPr>
      </w:pPr>
      <w:r w:rsidRPr="005E779E">
        <w:rPr>
          <w:rFonts w:ascii="Times New Roman" w:hAnsi="Times New Roman"/>
          <w:i/>
          <w:iCs/>
          <w:color w:val="000000" w:themeColor="text1"/>
          <w:sz w:val="16"/>
          <w:szCs w:val="16"/>
        </w:rPr>
        <w:t>Армия:</w:t>
      </w:r>
    </w:p>
    <w:p w14:paraId="791A8206" w14:textId="77777777" w:rsidR="000F4C20" w:rsidRPr="005E779E" w:rsidRDefault="000F4C20" w:rsidP="000B7A6C">
      <w:pPr>
        <w:autoSpaceDE w:val="0"/>
        <w:autoSpaceDN w:val="0"/>
        <w:adjustRightInd w:val="0"/>
        <w:spacing w:after="0" w:line="240" w:lineRule="auto"/>
        <w:jc w:val="both"/>
        <w:rPr>
          <w:rFonts w:ascii="Times New Roman" w:hAnsi="Times New Roman"/>
          <w:i/>
          <w:iCs/>
          <w:color w:val="000000" w:themeColor="text1"/>
          <w:sz w:val="16"/>
          <w:szCs w:val="16"/>
        </w:rPr>
      </w:pPr>
    </w:p>
    <w:p w14:paraId="0D5893C5" w14:textId="77777777" w:rsidR="000F4C20" w:rsidRPr="005E779E" w:rsidRDefault="000F4C2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июля 1931 г. в районе ст. Алабьино зап. ж.д. при вынужденной посадке самолета АНТ-9 произошла тяжелая катастрофа. По гибло 5 человек экипажа и три пассажира. Среди погибших были: командир корабля летчик НИИ ВВС Степан Тимофеевич Рыбальчук, заместитель начальника штаба РККА В.К.Триандофилов, заместитель начальника управления по механизации и моторизации Краснов армии К.Б.Калиновский и др. Гибель восьми товарищей била тяжелой утратой для всей Красной армии.</w:t>
      </w:r>
    </w:p>
    <w:p w14:paraId="1A29B0D4" w14:textId="77777777" w:rsidR="000F4C20" w:rsidRPr="005E779E" w:rsidRDefault="000F4C2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/Приказ РВС СССР 9/2 от 13 июля 1931 г.; «Известия ЦИК» за 14 июля 1931 г./ (23370).</w:t>
      </w:r>
    </w:p>
    <w:p w14:paraId="4C717AB3" w14:textId="77777777" w:rsidR="000F4C20" w:rsidRPr="005E779E" w:rsidRDefault="000F4C20" w:rsidP="000B7A6C">
      <w:pPr>
        <w:spacing w:after="0" w:line="240" w:lineRule="auto"/>
        <w:jc w:val="both"/>
        <w:rPr>
          <w:rFonts w:ascii="Times New Roman" w:hAnsi="Times New Roman"/>
          <w:color w:val="000000" w:themeColor="text1"/>
          <w:sz w:val="16"/>
          <w:szCs w:val="16"/>
        </w:rPr>
      </w:pPr>
    </w:p>
    <w:p w14:paraId="76B1FC78" w14:textId="3936745A"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252F6E3F"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9B186D8" w14:textId="77777777" w:rsidR="00472582" w:rsidRPr="005E779E" w:rsidRDefault="00472582" w:rsidP="000B7A6C">
      <w:pPr>
        <w:spacing w:after="0" w:line="240" w:lineRule="auto"/>
        <w:jc w:val="both"/>
        <w:rPr>
          <w:rFonts w:ascii="Times New Roman" w:hAnsi="Times New Roman"/>
          <w:color w:val="000000" w:themeColor="text1"/>
          <w:sz w:val="16"/>
          <w:szCs w:val="16"/>
          <w:shd w:val="clear" w:color="auto" w:fill="FFFFFF"/>
        </w:rPr>
      </w:pPr>
      <w:r w:rsidRPr="005E779E">
        <w:rPr>
          <w:rFonts w:ascii="Times New Roman" w:hAnsi="Times New Roman"/>
          <w:color w:val="000000" w:themeColor="text1"/>
          <w:sz w:val="16"/>
          <w:szCs w:val="16"/>
          <w:shd w:val="clear" w:color="auto" w:fill="FFFFFF"/>
        </w:rPr>
        <w:t>12 июля 1931 в 4.43 из Парижа в Токио вылетел самолет «Девуатин» D.33 (Dewoitine), имеющий собственное имя «Le Trait D'union». В состав его экипажа вошли известные французские авиаторы – Жозеф Ле Бри (Joseph Le Brix), Марсель Дорэ (Marcel Doret) и Рене Месмин (Ren; Mesmin). За месяц до описываемых событий, 10 июня им удалось на своем «Девуатине» установить рекорд дальности полета по замкнутому маршруту. Они пролетели 10372 километра.</w:t>
      </w:r>
    </w:p>
    <w:p w14:paraId="0A8EE81C" w14:textId="77777777" w:rsidR="00472582" w:rsidRPr="005E779E" w:rsidRDefault="00472582" w:rsidP="000B7A6C">
      <w:pPr>
        <w:spacing w:after="0" w:line="240" w:lineRule="auto"/>
        <w:jc w:val="both"/>
        <w:rPr>
          <w:rFonts w:ascii="Times New Roman" w:hAnsi="Times New Roman"/>
          <w:color w:val="000000" w:themeColor="text1"/>
          <w:sz w:val="16"/>
          <w:szCs w:val="16"/>
          <w:shd w:val="clear" w:color="auto" w:fill="FFFFFF"/>
        </w:rPr>
      </w:pPr>
      <w:r w:rsidRPr="005E779E">
        <w:rPr>
          <w:rFonts w:ascii="Times New Roman" w:hAnsi="Times New Roman"/>
          <w:color w:val="000000" w:themeColor="text1"/>
          <w:sz w:val="16"/>
          <w:szCs w:val="16"/>
          <w:shd w:val="clear" w:color="auto" w:fill="FFFFFF"/>
        </w:rPr>
        <w:t>В очередном полете, претендующим на рекорд, французский самолет без посадок прошел над Берлином, Кенигсбергом, Москвой, Нижним Новгородом, Свердловском и Красноярском, но вдруг над тайгой двигатель рекордного «Девуатина» стал сдавать, и экипажу не осталось другого выбора, кроме как покинуть самолет. Ле Бри и Месмин воспользовались парашютами, в то время как Доре решил остаться на борту и попытаться спасти самолет. Пилоту это удалось лишь отчасти, хотя самолет при посадке на деревья разрушился, но сам Доре остался жив, получив легкие ранения. Авария произошла в 4 км от железнодорожной станции Шиберта (в 60 км от Нжнеудинска). В тот же день авиаторы на мотодрезине добрались до Нижнеудинска, откуда отправились в Москву. 24 июля Лебри, Дорэ и Месмин выехали в Париж с намерением возобновить свой перелет на другом самолете.</w:t>
      </w:r>
    </w:p>
    <w:p w14:paraId="276B3345" w14:textId="77777777" w:rsidR="00472582" w:rsidRPr="005E779E" w:rsidRDefault="00472582" w:rsidP="000B7A6C">
      <w:pPr>
        <w:spacing w:after="0" w:line="240" w:lineRule="auto"/>
        <w:jc w:val="both"/>
        <w:rPr>
          <w:rFonts w:ascii="Times New Roman" w:hAnsi="Times New Roman"/>
          <w:color w:val="000000" w:themeColor="text1"/>
          <w:sz w:val="16"/>
          <w:szCs w:val="16"/>
          <w:shd w:val="clear" w:color="auto" w:fill="FFFFFF"/>
        </w:rPr>
      </w:pPr>
      <w:r w:rsidRPr="005E779E">
        <w:rPr>
          <w:rFonts w:ascii="Times New Roman" w:hAnsi="Times New Roman"/>
          <w:color w:val="000000" w:themeColor="text1"/>
          <w:sz w:val="16"/>
          <w:szCs w:val="16"/>
          <w:shd w:val="clear" w:color="auto" w:fill="FFFFFF"/>
        </w:rPr>
        <w:t>На рассвете 11 сентября 1931 новый «Девуатин» D.33 «Trait d'Union II» вылетел из Ле-Бурже в восточном направлении. Около 4000 км полет проходил нормально, но над Уральскими горами погода испортилась, появились плотная облачность, а двигатель самолета стал вибрировать и терять мощность. Вскоре вибрация опасно увеличилась. Можно предположить, что в результате вибрации произошло разрушение конструкции. Самолет стал неуправляемым и Доре приказал экипажу покинуть самолет, затем выпрыгнул сам. Марсель Доре приземлился в нескольких метрах от обломков самолета. Ле Бри же и Месмин, по какой-то причине, остались на борту и погибли (21438).</w:t>
      </w:r>
    </w:p>
    <w:p w14:paraId="569AA147" w14:textId="77777777" w:rsidR="00472582" w:rsidRPr="005E779E" w:rsidRDefault="00472582" w:rsidP="000B7A6C">
      <w:pPr>
        <w:spacing w:after="0" w:line="240" w:lineRule="auto"/>
        <w:jc w:val="both"/>
        <w:rPr>
          <w:rFonts w:ascii="Times New Roman" w:hAnsi="Times New Roman"/>
          <w:color w:val="000000" w:themeColor="text1"/>
          <w:sz w:val="16"/>
          <w:szCs w:val="16"/>
          <w:shd w:val="clear" w:color="auto" w:fill="FFFFFF"/>
        </w:rPr>
      </w:pPr>
    </w:p>
    <w:p w14:paraId="27A53B0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июля 1931 во Франции открыт памятник мушкетеру Д'Артаньяну (4962).</w:t>
      </w:r>
    </w:p>
    <w:p w14:paraId="08D67B1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3C4139"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4D9EFFD2"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7C90C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июля 1931, 1 августа 1931 и в апреле 1932 был рассмотрен макет самолетов МИ3-2М34 опытный и дублер (7415, 16).</w:t>
      </w:r>
    </w:p>
    <w:p w14:paraId="26F19C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E066E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июля 1931 были подготовлены Результаты полетных предварительных испытаний вооружения самолета ДИ-3, произведенных стрелк. отд. 3-го отд. НИИ</w:t>
      </w:r>
    </w:p>
    <w:p w14:paraId="77D08C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Цель испытаний:</w:t>
      </w:r>
    </w:p>
    <w:p w14:paraId="16AB30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Выявить удобство работы с турелью.</w:t>
      </w:r>
    </w:p>
    <w:p w14:paraId="407AAB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Надежность работы стопоров.</w:t>
      </w:r>
    </w:p>
    <w:p w14:paraId="3D0FD8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Проверить работу ящика-кассеты.</w:t>
      </w:r>
    </w:p>
    <w:p w14:paraId="23F2A2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w:t>
      </w:r>
    </w:p>
    <w:p w14:paraId="2E3E27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 кабины стрелка самолета ДИ-3 неудовлетворительное и может быть принято на вооружение предполагаемой серии самолета этого типа (3208,239).</w:t>
      </w:r>
    </w:p>
    <w:p w14:paraId="2176A9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8F778BD" w14:textId="77777777" w:rsidR="00DE6D61" w:rsidRPr="005E779E" w:rsidRDefault="00DE6D6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июля 1931 года состоялся предварительный осмотр макета самолета АНТ-21, МИ-3 в ЦАГИ. В связи с рядом переделок предложенных макетной комиссией, окончательное принятие макета было npoизведено спустя два месяца, 3 го сентября 1931 года (23345).</w:t>
      </w:r>
    </w:p>
    <w:p w14:paraId="18DFAAF4" w14:textId="77777777" w:rsidR="00DE6D61" w:rsidRPr="005E779E" w:rsidRDefault="00DE6D61" w:rsidP="000B7A6C">
      <w:pPr>
        <w:spacing w:after="0" w:line="240" w:lineRule="auto"/>
        <w:jc w:val="both"/>
        <w:rPr>
          <w:rFonts w:ascii="Times New Roman" w:hAnsi="Times New Roman"/>
          <w:color w:val="000000" w:themeColor="text1"/>
          <w:sz w:val="16"/>
          <w:szCs w:val="16"/>
        </w:rPr>
      </w:pPr>
    </w:p>
    <w:p w14:paraId="57AE0045" w14:textId="77777777" w:rsidR="00DE6D61" w:rsidRPr="005E779E" w:rsidRDefault="00DE6D6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июля 1931состоялся первый осмотр макета машины МИ-3. Самолет был принят 3 сентября 1931г. после доработок по замечаниям макетной комиссии. Он имел двухкилевое вертикальное опере</w:t>
      </w:r>
      <w:r w:rsidRPr="005E779E">
        <w:rPr>
          <w:rFonts w:ascii="Times New Roman" w:hAnsi="Times New Roman"/>
          <w:color w:val="000000" w:themeColor="text1"/>
          <w:sz w:val="16"/>
          <w:szCs w:val="16"/>
        </w:rPr>
        <w:softHyphen/>
        <w:t>ние с большими рулями направления и низкорасположенный стабилизатор. Обшивка фюзеляжа была гладкой, а крыла и оперения — гофрированной. Машина имела значительно меньшие размеры, более мощные двигатели и улучшенную аэродинамику. Шасси стало убираю</w:t>
      </w:r>
      <w:r w:rsidRPr="005E779E">
        <w:rPr>
          <w:rFonts w:ascii="Times New Roman" w:hAnsi="Times New Roman"/>
          <w:color w:val="000000" w:themeColor="text1"/>
          <w:sz w:val="16"/>
          <w:szCs w:val="16"/>
        </w:rPr>
        <w:softHyphen/>
        <w:t>щимся, кабины экипажа — полузакры</w:t>
      </w:r>
      <w:r w:rsidRPr="005E779E">
        <w:rPr>
          <w:rFonts w:ascii="Times New Roman" w:hAnsi="Times New Roman"/>
          <w:color w:val="000000" w:themeColor="text1"/>
          <w:sz w:val="16"/>
          <w:szCs w:val="16"/>
        </w:rPr>
        <w:softHyphen/>
        <w:t>тыми.</w:t>
      </w:r>
    </w:p>
    <w:p w14:paraId="494D48A8" w14:textId="77777777" w:rsidR="00DE6D61" w:rsidRPr="005E779E" w:rsidRDefault="00DE6D6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Первый опытный самолет планиро</w:t>
      </w:r>
      <w:r w:rsidRPr="005E779E">
        <w:rPr>
          <w:rFonts w:ascii="Times New Roman" w:hAnsi="Times New Roman"/>
          <w:color w:val="000000" w:themeColor="text1"/>
          <w:sz w:val="16"/>
          <w:szCs w:val="16"/>
        </w:rPr>
        <w:softHyphen/>
        <w:t>валось вооружить шестью пулеметами калибра 7,62 мм: два ПВ—1 — в носовой установке, два неподвижных ПВ—1 — в корневых частях крыла, по одному пу</w:t>
      </w:r>
      <w:r w:rsidRPr="005E779E">
        <w:rPr>
          <w:rFonts w:ascii="Times New Roman" w:hAnsi="Times New Roman"/>
          <w:color w:val="000000" w:themeColor="text1"/>
          <w:sz w:val="16"/>
          <w:szCs w:val="16"/>
        </w:rPr>
        <w:softHyphen/>
        <w:t>лемету ПВ—1 или ДА — на средней и нижней подвижных установках.</w:t>
      </w:r>
    </w:p>
    <w:p w14:paraId="34E93CF5" w14:textId="77777777" w:rsidR="00DE6D61" w:rsidRPr="005E779E" w:rsidRDefault="00DE6D6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Постройка самолета потребовала проведения большого объема экспери</w:t>
      </w:r>
      <w:r w:rsidRPr="005E779E">
        <w:rPr>
          <w:rFonts w:ascii="Times New Roman" w:hAnsi="Times New Roman"/>
          <w:color w:val="000000" w:themeColor="text1"/>
          <w:sz w:val="16"/>
          <w:szCs w:val="16"/>
        </w:rPr>
        <w:softHyphen/>
        <w:t>ментальных работ по шасси и моторному оборудованию. Поэтому машина была готова только к 26 апреля 1933 г. Воору</w:t>
      </w:r>
      <w:r w:rsidRPr="005E779E">
        <w:rPr>
          <w:rFonts w:ascii="Times New Roman" w:hAnsi="Times New Roman"/>
          <w:color w:val="000000" w:themeColor="text1"/>
          <w:sz w:val="16"/>
          <w:szCs w:val="16"/>
        </w:rPr>
        <w:softHyphen/>
        <w:t>жение на ней не устанавливалось (23474).</w:t>
      </w:r>
    </w:p>
    <w:p w14:paraId="72D45A5E" w14:textId="77777777" w:rsidR="00DE6D61" w:rsidRPr="005E779E" w:rsidRDefault="00DE6D61" w:rsidP="000B7A6C">
      <w:pPr>
        <w:spacing w:after="0" w:line="240" w:lineRule="auto"/>
        <w:jc w:val="both"/>
        <w:rPr>
          <w:rFonts w:ascii="Times New Roman" w:hAnsi="Times New Roman"/>
          <w:color w:val="000000" w:themeColor="text1"/>
          <w:sz w:val="16"/>
          <w:szCs w:val="16"/>
        </w:rPr>
      </w:pPr>
    </w:p>
    <w:p w14:paraId="579BC068" w14:textId="77777777" w:rsidR="00DE6D61" w:rsidRPr="005E779E" w:rsidRDefault="00DE6D6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июля 1931 года состоялся предварительный осмотр макета самолета МИ-3 (АНТ-21). В связи с рядом переделок предложенных макетной комиссией, окончательное принятие макета МИ-3 (АНТ-21) было npoизведено спустя два месяца, 3 го сентября 1931 года (24197).</w:t>
      </w:r>
    </w:p>
    <w:p w14:paraId="0D314427" w14:textId="77777777" w:rsidR="00DE6D61" w:rsidRPr="005E779E" w:rsidRDefault="00DE6D61" w:rsidP="000B7A6C">
      <w:pPr>
        <w:spacing w:after="0" w:line="240" w:lineRule="auto"/>
        <w:jc w:val="both"/>
        <w:rPr>
          <w:rFonts w:ascii="Times New Roman" w:hAnsi="Times New Roman"/>
          <w:color w:val="000000" w:themeColor="text1"/>
          <w:sz w:val="16"/>
          <w:szCs w:val="16"/>
        </w:rPr>
      </w:pPr>
    </w:p>
    <w:p w14:paraId="6050E5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13 июля по 13 августа 1931 г. И-5 прошел государственные испытания с положительной оценкой. Был сделан вывод о целесообразности принятия самоле</w:t>
      </w:r>
      <w:r w:rsidRPr="005E779E">
        <w:rPr>
          <w:rFonts w:ascii="Times New Roman" w:hAnsi="Times New Roman"/>
          <w:color w:val="000000" w:themeColor="text1"/>
          <w:sz w:val="16"/>
          <w:szCs w:val="16"/>
        </w:rPr>
        <w:softHyphen/>
        <w:t>та на вооружение ВВС РККА. Эта рекомендация «зад</w:t>
      </w:r>
      <w:r w:rsidRPr="005E779E">
        <w:rPr>
          <w:rFonts w:ascii="Times New Roman" w:hAnsi="Times New Roman"/>
          <w:color w:val="000000" w:themeColor="text1"/>
          <w:sz w:val="16"/>
          <w:szCs w:val="16"/>
        </w:rPr>
        <w:softHyphen/>
        <w:t>ним числом» официально утверждала уже принятое решение (10667).</w:t>
      </w:r>
    </w:p>
    <w:p w14:paraId="1A757F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8A00D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C 13 июля по 13 августа 1931 проходили гос. испытания второго экземпляра И-5 и по результатам решили принять на вооружение (222,6).</w:t>
      </w:r>
    </w:p>
    <w:p w14:paraId="1F4015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893F6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C 13 июля по 13 августа 1931 проходили гос. испытания самолета И5 - М22 N 21117 эталона на 1933 год</w:t>
      </w:r>
    </w:p>
    <w:p w14:paraId="5F5B31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Цель испытания:</w:t>
      </w:r>
    </w:p>
    <w:p w14:paraId="48888D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Определение возможности использования самолета И5 N 21117 как эталона для постройки самолетов И5 М22 в 1933 году.</w:t>
      </w:r>
    </w:p>
    <w:p w14:paraId="399C85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Определение летных данных самолета, отличающегося от серии И5 выпуска 1932 года с установкой: металлического винта, поворотных стоек, обтекателей на колесах, электровооружением, новым подогревателем и заменой помпы АМ на помпу типа Хорнет.</w:t>
      </w:r>
    </w:p>
    <w:p w14:paraId="44AC53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w:t>
      </w:r>
    </w:p>
    <w:p w14:paraId="220764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Самолет И5-М22 эталон на 1933 год утвердить лишь после устранения частично на самолете, частично в чертежах дефектов обнаруженных при испытании. Устранение дефектов самолетному тресту провести не позднее 20 июля 1933 года.</w:t>
      </w:r>
    </w:p>
    <w:p w14:paraId="10A8D3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Испытание самолета И5 ЮVI</w:t>
      </w:r>
    </w:p>
    <w:p w14:paraId="37CF7F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И-5 N2 постройки ЦКБ - мотор Гном Рон _Юпитер_ VI 480 НР N 42071</w:t>
      </w:r>
    </w:p>
    <w:p w14:paraId="2E5598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Краткий журнал прохождения работ:</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1002C3" w:rsidRPr="005E779E" w14:paraId="6B87B6D0" w14:textId="77777777">
        <w:tc>
          <w:tcPr>
            <w:tcW w:w="5636" w:type="dxa"/>
          </w:tcPr>
          <w:p w14:paraId="24C499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Испытание начато</w:t>
            </w:r>
          </w:p>
        </w:tc>
        <w:tc>
          <w:tcPr>
            <w:tcW w:w="5636" w:type="dxa"/>
          </w:tcPr>
          <w:p w14:paraId="253489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июля 1931 года</w:t>
            </w:r>
          </w:p>
        </w:tc>
      </w:tr>
      <w:tr w:rsidR="001002C3" w:rsidRPr="005E779E" w14:paraId="0A805623" w14:textId="77777777">
        <w:tc>
          <w:tcPr>
            <w:tcW w:w="5636" w:type="dxa"/>
          </w:tcPr>
          <w:p w14:paraId="507D42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Испытание закончено</w:t>
            </w:r>
          </w:p>
        </w:tc>
        <w:tc>
          <w:tcPr>
            <w:tcW w:w="5636" w:type="dxa"/>
          </w:tcPr>
          <w:p w14:paraId="706FC2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августа 1931 года</w:t>
            </w:r>
          </w:p>
        </w:tc>
      </w:tr>
      <w:tr w:rsidR="001002C3" w:rsidRPr="005E779E" w14:paraId="0791C3BE" w14:textId="77777777">
        <w:tc>
          <w:tcPr>
            <w:tcW w:w="5636" w:type="dxa"/>
          </w:tcPr>
          <w:p w14:paraId="787523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Летных дней </w:t>
            </w:r>
          </w:p>
        </w:tc>
        <w:tc>
          <w:tcPr>
            <w:tcW w:w="5636" w:type="dxa"/>
          </w:tcPr>
          <w:p w14:paraId="40CCB0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w:t>
            </w:r>
          </w:p>
        </w:tc>
      </w:tr>
    </w:tbl>
    <w:p w14:paraId="7E0F10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 самолет находился на испытаниях 31 день.</w:t>
      </w:r>
    </w:p>
    <w:p w14:paraId="22FD20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w:t>
      </w:r>
    </w:p>
    <w:p w14:paraId="63D62F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основании произведенных испытаний НИИ считает:</w:t>
      </w:r>
    </w:p>
    <w:p w14:paraId="2AE200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Что самолет И-5 ЮVI, обладая хорошими летными и эксплуатационными данными может быть признан современным истребителем.</w:t>
      </w:r>
    </w:p>
    <w:p w14:paraId="3B384D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устранении недочетов и при получении удовлетворительных результатов испытания вооружения и оборудования самолет И-5 может быть принят на вооружение ВВС (3915).</w:t>
      </w:r>
    </w:p>
    <w:p w14:paraId="7A083F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3237617" w14:textId="77777777" w:rsidR="00EA791B" w:rsidRPr="00142305" w:rsidRDefault="00EA791B" w:rsidP="00EA791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13 июля по 13 августа 1931 г. истребитель И-5 прошел Государственные испытания с положительной оценкой. По их результатам был сделан вывод о целесообразности принятия самолета на вооружение ВВС РККА. Практически эта рекомендация «задним числом» официально утверждала ранее принятые соответствующие решения (25035).</w:t>
      </w:r>
    </w:p>
    <w:p w14:paraId="2276057C" w14:textId="77777777" w:rsidR="00EA791B" w:rsidRPr="00142305" w:rsidRDefault="00EA791B" w:rsidP="00EA791B">
      <w:pPr>
        <w:spacing w:after="0" w:line="240" w:lineRule="auto"/>
        <w:jc w:val="both"/>
        <w:rPr>
          <w:rFonts w:ascii="Times New Roman" w:hAnsi="Times New Roman"/>
          <w:color w:val="0070C0"/>
          <w:sz w:val="16"/>
          <w:szCs w:val="16"/>
        </w:rPr>
      </w:pPr>
    </w:p>
    <w:p w14:paraId="297292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Летом и осенью 1931 г. балтийские ЮГ-1 приняли участие в войсковых испытаниях авиамин ВОМИЗА-100 (3224,15).</w:t>
      </w:r>
    </w:p>
    <w:p w14:paraId="2B5D6F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A88AE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13 июля по 9 октября 1931 самолеты Юг-1 сбросили 24 мины ВОМИЗА-100 с высот от 500 до 1500 м. В своем рапорте начальник Воздушных сил Балтийского моря Никифоров рекомендовал после устранения выявленных недостатков принять эту систему на вооружение (3224,15).</w:t>
      </w:r>
    </w:p>
    <w:p w14:paraId="289DE8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CE148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13 июля 1931 начался циел испытаний мин ВОМИЗА.</w:t>
      </w:r>
    </w:p>
    <w:p w14:paraId="79A3CF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Первая советская авиационная мина называлась ВОМИЗА- 100. ВОМИЗА расшифровывалась как "воздушная МИна Заграждения", а цифра "100" означала вес боевого заряда - 100 кг. За основу при ее проектировании взяли проверенную в Первой мировой войне морскую якорную мину образца 1912 г. Ее заряд обеспечивал достаточную мощность взрыва для нанесения серьезных повреждений не только транспортам, но и боевым кораблям.</w:t>
      </w:r>
    </w:p>
    <w:p w14:paraId="1C5160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Предполагалось, что мина будет сбрасываться со средних и больших высот, чтобы не подвергать самолет-носитель излишнему риску повреждения зенитным огнем. Для того чтобы погасить скорость падения, решили применить парашютную систему. Но удар, даже смягченный парашютами, все равно должен был быть приличным. Поэтому начали с серии сбрасывания мин с пятидесятиметровой стрелы плавучего крана. Это позволило выявить наиболее уязвимые места конструкции.</w:t>
      </w:r>
    </w:p>
    <w:p w14:paraId="78EEE6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Проектирование ВОМИЗы-ЮО (это название в документах 30-х годов склоняли вовсю, не обращая внимания на то, что это сокращение) в целом завершили в 1928 г. Сама мина почти не изменилась, лишь получила ряд местных подкреплений, а также элементы подвески к самолету - направляющие штоки, поясные желобки, фиксирующие призмы и т.п. Зато она лишилась чугунной спусковой коробки. Изменили и конструкцию якоря.</w:t>
      </w:r>
    </w:p>
    <w:p w14:paraId="0010E0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Самым главным отличием авиационного варианта мины стала парашютная система. Она состояла из четырех куполов, выпускавшихся последовательно, чтобы сделать торможение падения мины по возможности более плавным". Для этой же цели в подвеску включили резиновые шнуры-амортизаторы. Парашюты шились из парусины и имели весьма оригинальную форму. Роль строп выполняли отростки полотнищ, края которых для жесткости укрепили тросами. Все четыре парашюта укладывались в коробку из кровельного железа, размерами превосходящую саму мину. Длина коробки составляла около полутора метров, а максимальная ширина - 770 мм. У конца, присоединявшегося к мине, коробка имела круглое сечение, а дальше сплющивалась и становилась овальной. Закрывал ее железный колпак, на котором еще находилась фанерная крышка. Материалы эти - кровельное железо, фанеру и парусину - выбрали, чтобы удешевить парашютную систему, части которой при боевом использовании безвозвратно терялись.</w:t>
      </w:r>
    </w:p>
    <w:p w14:paraId="22744C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Мины ВОМИЗА-100 не изготовлялись специально, их переделывали из обычных морских мин образца 1912 г., лежавших на складах. Переделка обходилась примерно в 2000 рублей, и столько же стоила парашютная система. Комплект весил около 900 кг, из них 325 кг - собственно мина с минрепом. Устройство получилось достаточно громоздким - общая длина равнялась 3,5 м, так что поднять ВОМИЗу-ЮО мог далеко не каждый самолет. Первые образцы мины переделывали в мастерских Остехбюро.</w:t>
      </w:r>
    </w:p>
    <w:p w14:paraId="62A5C3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Первым выпускался самый маленький, стабилизирующий, парашют площадью всего 1 кв. м. Он выходил из-под откидывавшейся набегающим потоком крышки. На нем мина падала всего 1,5-2 с. Затем этот купол отделялся, сдергивая с короба колпак. Из-под последнего выползал парашют побольше - 3,5 кв.м. На нем система опускалась, пока в специальных гнездах горели дистанционные трубки, запаленные в момент отделения от самолета. Время горения трубок определялось на земле. Чем больше высота сброса, тем дольше должна гореть трубка. В противном случае время опускания мины получается очень большим. С другой стороны, при длительном горении трубки мина успевает сильно разогнаться в своем падении и затем испытает значительный динамический удар. Дистанционные трубки конструкторы Остехбюро взяли из практики артиллерии, где их применяли в снарядах различных типов.</w:t>
      </w:r>
    </w:p>
    <w:p w14:paraId="0C4ADA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Когда трубки догорели, пороховые заряды в пирозамках отделяли от мины парашютную коробку. Из нее сначала вытягивается третий парашют, площадью 7,5 кв. м, а через некоторое время, определяемое часовым механизмом, четвертый, самый большой, площадью 12 кв. м. С этого момента мина спускается на двух куполах. Они связаны между собой и с миной системой резиновых шнуров-амортизаторов. Шнуры должны были смягчить рывки, вызванные раскрытием парашютов. Параллельно шнурам-амортизаторам тянулись стальные тросы, которые сделали длиннее резиновых шнуров. Тросы принимали на себя нагрузку при предельной деформации резины.</w:t>
      </w:r>
    </w:p>
    <w:p w14:paraId="2EB8AC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вхождении мины в воду автоматически отцеплялась подвеска парашютной системы. Делало это устройство, названное конструкторами "крылом" или "лопаткой". При ударе о поверхность воды оно поворачивало вал, по бокам которого находились замковые механизмы. Их язычки высвобождали тросы парашютной подвески. "Лопатка" же расфиксировала соединение мины и якоря. Преждевременно повернуться "лопатке" не давала система пружин. Вода начинает поступать в устройство расцепки якоря и собственно мины. Там находится таблетка из вещества, растворяемого в воде. В морских минах для этого традиционно использовали сахар. Когда кусок сахара растворяется, освободившаяся пружина расцепляет якорь и мину. Якорь ложится на дно, а мина всплывает, удерживаясь тросом-минрепом на заданном углублении. Последнее отслеживается с помощью гидростатической коробки, прекращающей вытравливание минрепа. Если сахарный блок размыло еще в полете, например сильным дождем, то "крыло" не давало мине и якорю разъединиться до момента удара о воду. В начале всплытия мины специальный тросик освобождал защелку гидростатического диска ударного прибора. При достижении заданного углубления последний приводил взрыватель в боевую готовность (12002).</w:t>
      </w:r>
    </w:p>
    <w:p w14:paraId="7DB54C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Испытания проводили на базе 62-й отдельной эскадрильи (эскадрилья имела по три ТБ-1а и ЮГ-1), дислоцировавшейся в Гребном порту в Ленинграде. До 9 октября самолеты сбросили 24 ВОМИЗы, из них 17 - успешно. При высоте сброса до 500 м результаты были великолепными - 11 из 12, а самым проблемным оказался диапазон 1000-1500 м В трех случаях мины оторвались от парашютов - лопнула пайка тросов. Большая часть ВОМИЗ сбрасывалась "на всплытие" (без углубления), но всплыли не все. Причиной оказалось частичное растворение сахара при разбеге самолета. При небольшом волнении и даже в штиль мина, подвешенная под брюхом поплавкового "Юнкерса", забрызгивалась водой. Сахар при этом растворялся неравномерно, пружина перекашивалась, и в итоге расцепки не происходило.</w:t>
      </w:r>
    </w:p>
    <w:p w14:paraId="2F3AF8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Детали парашютной системы после приводнения мины подбирали - для этой цели к коробке, крышке и колпаку крепили буйки. Все это использовалось повторно. Кое-что, конечно, безвозвратно утопили. Выяснилось, что более четырех-пяти сбрасываний шнуры-амортизаторы не выдерживают, выходят из строя.</w:t>
      </w:r>
    </w:p>
    <w:p w14:paraId="046700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 самым больным местом оказалось крепление зарядной камеры мины. Удар о воду смещал ее, что могло впоследствии привести к тому, что она просто не взорвется. Особенно сильный удар имел место при затянутом горении дистанционных трубок, когда большие парашюты раскрывались с запозданием, и из-за этого скорость входа в воду превышала расчетные 25-30 м/с. Приличный удар получали и мины, приводнившиеся на гребень волны. Важной частью испытаний стал хронометраж процесса подвески мины под самолет. Команда из трех специалистов и четырех приданных им краснофлотцев тратила на это более двух с половиной часов. Час занимала сборка системы. К мине присоединяли парашютную коробку и регулировали длину сборки. Последнее было необходимо из-за значительной погрешности изготовления коробок - по документам допуск составлял до 100 мм. Затем уже собранный комплект грузили на бон и буксировали к самолету. Это "съедало" около 40 минут. Еще час уходил на собственно подвеску мины под мост, установку предохранительных защелок, укладку сахара в разъединитель и прибор малых глубин, пороховых зарядов в пирозамки и вставку дистанционных трубок. Непосредственно перед взлетом снимали предохранительные чеки (их было десять штук) (12002).</w:t>
      </w:r>
    </w:p>
    <w:p w14:paraId="7E7AB6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4BA8E1A" w14:textId="77777777" w:rsidR="00D84D3F" w:rsidRPr="005E779E" w:rsidRDefault="00D84D3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13 июля по 9 октября 1931 самолеты ЮГ-1 в войсковых испытаниях авиамин ВОМИЗА-100сбросили 24 мины с высот от 500 до 1500 метров. В своем рапорте начальник Воздушных сил Балтийского моря Никифоров рекомендовал после устранения выявленных недостатков принять эту систему на вооружение. И действительно, в марте 1932 года мину ВОМИЗА-100 приняли на вооружение под названием МАВ-1. Но ЮГ-1 ее носителями фактически так и не стали (15478).</w:t>
      </w:r>
    </w:p>
    <w:p w14:paraId="43EA428D" w14:textId="77777777" w:rsidR="00D84D3F" w:rsidRPr="005E779E" w:rsidRDefault="00D84D3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декабре 1929 года командование Воздушных сил Балтийского моря констатировало этот недостаток:</w:t>
      </w:r>
    </w:p>
    <w:p w14:paraId="0D080387" w14:textId="77777777" w:rsidR="00D84D3F" w:rsidRPr="005E779E" w:rsidRDefault="00D84D3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«Самолеты бомбардировщики-торпедоносцы ЮГ-1, удовлетворительные по своим летным качествам, обладают недостаточной грузоподъемностью, что ограничивает радиус действия при необходимой нагрузке бомб или торпеды» (15479).</w:t>
      </w:r>
    </w:p>
    <w:p w14:paraId="077BFF87" w14:textId="77777777" w:rsidR="00D84D3F" w:rsidRPr="005E779E" w:rsidRDefault="00D84D3F" w:rsidP="000B7A6C">
      <w:pPr>
        <w:spacing w:after="0" w:line="240" w:lineRule="auto"/>
        <w:jc w:val="both"/>
        <w:rPr>
          <w:rFonts w:ascii="Times New Roman" w:hAnsi="Times New Roman"/>
          <w:color w:val="000000" w:themeColor="text1"/>
          <w:sz w:val="16"/>
          <w:szCs w:val="16"/>
        </w:rPr>
      </w:pPr>
    </w:p>
    <w:p w14:paraId="02CED82C" w14:textId="77777777" w:rsidR="005D6783" w:rsidRPr="005E779E" w:rsidRDefault="005D678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июля 1931 г. Центральный совет Осоавинхима внес 100.000 рублей в фонд «Обеспечения безопасности самолетовождения имени Tpиaндофилова», погибшего при катастрофе самолета 12-го июля (23370).</w:t>
      </w:r>
    </w:p>
    <w:p w14:paraId="5447BD51" w14:textId="77777777" w:rsidR="005D6783" w:rsidRPr="005E779E" w:rsidRDefault="005D6783" w:rsidP="000B7A6C">
      <w:pPr>
        <w:spacing w:after="0" w:line="240" w:lineRule="auto"/>
        <w:jc w:val="both"/>
        <w:rPr>
          <w:rFonts w:ascii="Times New Roman" w:hAnsi="Times New Roman"/>
          <w:color w:val="000000" w:themeColor="text1"/>
          <w:sz w:val="16"/>
          <w:szCs w:val="16"/>
        </w:rPr>
      </w:pPr>
    </w:p>
    <w:p w14:paraId="3B069B56" w14:textId="77777777" w:rsidR="00D84D3F"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0781FC0D" w14:textId="77777777" w:rsidR="00D84D3F" w:rsidRPr="005E779E" w:rsidRDefault="00D84D3F"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0AF2EFB" w14:textId="77777777" w:rsidR="00D84D3F" w:rsidRPr="005E779E" w:rsidRDefault="00D84D3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июля в 1931 году комиссия Народного Комиссариата тяжелой промышленности Союза СССР утвердила Устав "Государственного управления по стройке и временной эксплуатации Красноярского машиностроительного завода" - "Стройкрасмаш" - ныне ФГУП "Красноярский машиностроительный завод". Начальником строительства и первым директором завода в ноябре 1932 года был назначен Субботин Александр Петрович. 23 июня 1933 года на месте, где проходил Великий Сибирский каторжный путь, был заложен корпус первого производственного цеха завода - цеха металлических конструкций. Строительство завода послужило началом основания и развития правобережной части города Красноярска. До 1941 года заводом изготавливались шахтные подъемные машины, шахтные лебедки, проходческие комбайны, врубовые машины, вагонетки, клети шахтные, скипы, копры, транспортеры и другое оборудование для золотодобывающей промышленности, катера, баржи, оборудование для нефтедобывающей промышленности и др. На январь 1941 года завод располагал приблизительно 300 единицами оборудования и 3600 рабочими. С началом войны завод перешел в подчинение Наркомата вооружения. В него влились эвакуированные из западных районов страны Коломенский завод имени Ворошилова, частично Ленинградские заводы "Арсенал" и "Большевик", Калужские и Сталинградские заводы. Основной продукцией завода стали автоматические зенитные пушки. Первый эшелон пушек 61-К из Красноярска на фронт был отправлен 15 ноября 1941 года. С ноября 1942 года по апрель 1946 года заводом руководил Хазанов Борис Абрамович. Выпуск вооружения за годы войны и боеприпасов увеличился в три раза, производительность труда увеличилась в 1,8 раза. 26 тысяч пушек различных систем, более 5 тысяч минометов, 220 тысяч крупных авиабомб, 3500 морских мин - таков вклад предприятия, работавшего под лозунгом: "Все для фронта, все для победы!", в победу разгром врага. За героический, самоотверженный труд в годы войны Указом Президиума Верховного Совета СССР от 16 сентября 1945 года завод был награжден орденом Ленина. 230 работников завода были награждены орденами и медалями Советского Союза. В 1949 году заводу было поручено серийное производство автоматических зенитных пушек С-60, а в 1956 - спаренных автоматических зенитных пушек для самоходной установки ЗСУ-57-2. Всего этих пушек было выпущено более 5300. С сентября 1953 года по июль 1966 года заводом руководил Сысоев Петр Александрович. В феврале 1958 года было принято решение о реконструкции завода под выпуск новой ракетно-космической техники. С 1959 по 1965 г.г. производственные площади завода увеличились втрое, численность работающих увеличилась вдвое, объем валовой продукции - в 3,3 раза, производительность труда и заработная плата возросли на 40%. В итоге было создано современное высокотехнологичное производство ракетно-космической техники и освоена первая баллистическая ракета 8К65, разработанная ОКБ-586 под руководством Янгеля М.К. В 1964 году завод приступил к освоению ракеты-носителя 11К65 для выведения на круговые орбиты легких спутников. Ракета была разработана ОКБ-10, под руководством Решетнева М.Ф. Ракета выпускалась заводом до 1971 года и была передана для производства на другой завод. С 1958 года завод приступил к выпуску ведущих мостов зерноуборочного комбайна СК-3. За три года их было изготовлено более 10000. В 1963 году на заводе приступили к созданию производства бытовых холодильников "Бирюса". В 1963 году на заводе приступили к созданию производства бытовых холодильников "Бирюса". В 1964 году их было выпущено 17 тысяч. В 70-х годах производство холодильников стало самым крупным в СССР и Европе. Годовой выпуск был доведен до 750 тысяч. В 1992 году производство холодильников было выделено в самостоятельный завод холодильников "Бирюса". Марка холодильника "Бирюса" была известна в 32-х странах мира. Указом Президиума Верховного Совета СССР от 26 июля 1966 года за заслуги в создании и производстве новой техники завод был награжден вторым орденом - Трудового Красного Знамени. В 1965 году завод начал сотрудничать с СКБ-385, руководимым Макеевым В.П. в деле создания отечественных баллистических ракет морского базирования. С 1965 по 1988 год завод совместно с СКБ-385 (позднее КБМ, ГРЦ имени Макеева В.П.) отработал и поставил на серийное производство четыре типа баллистических ракет для подводных лодок, которые заняли одно из важнейших мест в системе стратегических сил страны. С 1966 по 1970 год объем промышленной продукции вырос в 2,8 раза. Производительность труда выросла в 2,4 раза. Правительство высоко оценило труд коллектива завода и наградило его в 1971 году третьим орденом - Орденом Октябрьской Революции. С 1966 по 1969 год заводом руководил Гуров Борис Николаевич. С 1969 года по 1974 год директором завода был Котельников Владилен Петрович. Системное рассмотрение вопросов эффективности производства, внедрение новой техники и технологии, совершенствование организации и управления производством позволило в 1971 - 1975 годах увеличить объем производства еще на 167% . В феврале 1975 года завод был награжден четвертым орденом - Орденом Ленина. В 1975-2005 гг. завод возглавлял Гупалов Виктор Кириллович. Благодаря решению всего комплекса производственных, научно-технических и социальных задач, реализация планов технического перевооружения, внедрению вычислительной техники в 1976-1980 годах рост объемов производства составил 174,9%. При этом практически весь прирост выпуска продукции был обеспечен за счет роста производительности труда. В 1982 году завод был награжден пятым орденом - Орденом Трудового Красного Знамени. Каждый раз при награждении завода награждались Правительственными наградами и работники завода. Всего было награждено более 5000 красмашевцев. В том числе звания Героя Социалистического труда были удостоены 11 человек. Лауреатами Сталинской премии стали 4 человека, лауреатами Государственной премии - 8 человек. Лауреатами Государственной премии стали 12 работников завода. С 1989 года завод начал выпускать базовые модули для разгонных блоков ракет-носителей "Протон" и "Зенит-3SL" (морской старт). Начиная с 1985 года завод, в порядке конверсии, разрабатывает и выпускает мясоперерабатывающее оборудование, термопластавтоматы, медицинский инструмент, теплообменное оборудование, оборудование для производства кремния и многое другое. Развитие производственных сил завода, повышение эффективности производства позволило решить многие социальные проблемы, что коренным образом изменило облик города. К 1990 году на балансе управления жилищно-коммунального хозяйства завода находилось более одного миллиона квадратных метров жилья. В 1999-2000 гг. на "Красноярском машиностроительном заводе", возобновлено производство БРПЛ РСМ-54, проведены опытно-конструкторские работы по модернизации изделий, и совместно с предприятиями кооперации начато их серийное производство. 10 января 2003 года за большой вклад в разработку и создание ракетно-космической техники Президент Российской Федерации В.В. Путин объявил коллективу ФГУП "Красмаш" благодарность. Большая группа красмашевцев была удостоена государственных наград Российской Федерации. Выпуская самое совершенное ракетное оружие морского базирования, являющееся основой стратегических ядерных сил сдерживания, коллектив предприятия продолжает наращивать номенклатуру и объем выпуска продукции гражданского назначения. Особое внимание при этом уделяется производству наукоемкого технологического оборудования для получения сверхчистых монокристаллических материалов из кремния и корунда. Одновременно продолжаются работы в области освоения и производства ракетно-космической техники - основного производственно-технологического направления деятельности предприятия. С августа 2005 года предприятие возглавляет генеральный директор кандидат технических наук, академик Международной инженерной академии Колмыков Владимир Афанасьевич (14951).</w:t>
      </w:r>
    </w:p>
    <w:p w14:paraId="7BAA05C2" w14:textId="77777777" w:rsidR="00D84D3F" w:rsidRPr="005E779E" w:rsidRDefault="00D84D3F" w:rsidP="000B7A6C">
      <w:pPr>
        <w:spacing w:after="0" w:line="240" w:lineRule="auto"/>
        <w:jc w:val="both"/>
        <w:rPr>
          <w:rFonts w:ascii="Times New Roman" w:hAnsi="Times New Roman"/>
          <w:color w:val="000000" w:themeColor="text1"/>
          <w:sz w:val="16"/>
          <w:szCs w:val="16"/>
        </w:rPr>
      </w:pPr>
    </w:p>
    <w:p w14:paraId="44ABD49E" w14:textId="77777777" w:rsidR="00BB323F"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0F089608" w14:textId="77777777" w:rsidR="00BB323F" w:rsidRPr="005E779E" w:rsidRDefault="00BB323F"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7706235" w14:textId="77777777" w:rsidR="00BB323F" w:rsidRPr="005E779E" w:rsidRDefault="00BB323F"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13 июля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Постановление СТО СССР № 148с об отпуске Наркомвоенмору ржи и пшеницы из урожая 1930 г. (ГА РФ. Ф. Р?8418. Оп. 28. Д. 1а. Л. 38) (12415).</w:t>
      </w:r>
    </w:p>
    <w:p w14:paraId="0D747907" w14:textId="77777777" w:rsidR="00BB323F" w:rsidRPr="005E779E" w:rsidRDefault="00BB323F" w:rsidP="000B7A6C">
      <w:pPr>
        <w:spacing w:after="0" w:line="240" w:lineRule="auto"/>
        <w:jc w:val="both"/>
        <w:rPr>
          <w:rFonts w:ascii="Times New Roman" w:hAnsi="Times New Roman"/>
          <w:color w:val="000000" w:themeColor="text1"/>
          <w:sz w:val="16"/>
          <w:szCs w:val="16"/>
          <w:u w:color="002060"/>
        </w:rPr>
      </w:pPr>
    </w:p>
    <w:p w14:paraId="4853B8FD"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4EECABA2"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8814B0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июля 1931 в Саскачеване (Канада) индейцы в нарушение канадских законов провели ритуальные танцы с целью вызова дождя и прекращения засухи (4962).</w:t>
      </w:r>
    </w:p>
    <w:p w14:paraId="4327477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ECB15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июля 1931 из-за банкротства немецкого «Данабанка» все банки Германии остановили свою работу на месяц (4962).</w:t>
      </w:r>
    </w:p>
    <w:p w14:paraId="175C10A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F88D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июля 1931 рухнул крупнейший банк Германии Danabank, что привело к закрытию всех немецких банков до 5 августа 1931 (2100).</w:t>
      </w:r>
    </w:p>
    <w:p w14:paraId="77695E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06467DB"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46F10550"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765B6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июля 1931 была большая демонстрация работ П.И.Гроховского в Москве. Он хотел прыгать в Форде на ЦА, чтобы подъехать к М.Н.Тухачевскому и Буденому. М.Н.Тухачевский - запретил и действительно - парашют не раскрылся. Расследовал представитель ГПУ О.Н.Нежил - ошибка в методе (1101,95).</w:t>
      </w:r>
    </w:p>
    <w:p w14:paraId="040C21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07CED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июля 1931 с высоты 600 м совершила первый прыжок женщина - В.Кулешова (271,126).</w:t>
      </w:r>
    </w:p>
    <w:p w14:paraId="33AAD1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B4102C4" w14:textId="77777777" w:rsidR="00785E72" w:rsidRPr="005E779E" w:rsidRDefault="00785E7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июля в 1931 году с высоты 600 м совершила прыжок первая советская парашютистка В.Кулешова (14952).</w:t>
      </w:r>
    </w:p>
    <w:p w14:paraId="4813F4FD" w14:textId="77777777" w:rsidR="00785E72" w:rsidRPr="005E779E" w:rsidRDefault="00785E72" w:rsidP="000B7A6C">
      <w:pPr>
        <w:spacing w:after="0" w:line="240" w:lineRule="auto"/>
        <w:jc w:val="both"/>
        <w:rPr>
          <w:rFonts w:ascii="Times New Roman" w:hAnsi="Times New Roman"/>
          <w:color w:val="000000" w:themeColor="text1"/>
          <w:sz w:val="16"/>
          <w:szCs w:val="16"/>
        </w:rPr>
      </w:pPr>
    </w:p>
    <w:p w14:paraId="40AA7B4E" w14:textId="77777777" w:rsidR="00BB323F"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674940AA" w14:textId="77777777" w:rsidR="00BB323F" w:rsidRPr="005E779E" w:rsidRDefault="00BB323F"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042B817" w14:textId="77777777" w:rsidR="00BB323F" w:rsidRPr="005E779E" w:rsidRDefault="00BB323F"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lastRenderedPageBreak/>
        <w:t>14 июля 1931</w:t>
      </w:r>
      <w:r w:rsidRPr="005E779E">
        <w:rPr>
          <w:rFonts w:ascii="Times New Roman" w:hAnsi="Times New Roman"/>
          <w:color w:val="000000" w:themeColor="text1"/>
          <w:sz w:val="16"/>
          <w:szCs w:val="16"/>
        </w:rPr>
        <w:t>Политбюро ЦК ВКП (б) приняло директивы по народнохозяйственному плану на 1932 г. и решение о командировании уполномоченных ЦК ВКП (б) на металлургические заводы объединения «Сталь» для улучшения организационно-хозяйственной работы; одобрило предложение ВСНХ и НКЗ о производстве на Саратовском заводе и заводе «Коммунар» комбайнов с 15-футовым захватом, а на Ростовском и Сибирском заводах - с 20-футовым (12265).</w:t>
      </w:r>
    </w:p>
    <w:p w14:paraId="1A9D0746" w14:textId="77777777" w:rsidR="00BB323F" w:rsidRPr="005E779E" w:rsidRDefault="00BB323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152CD5C3"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741146B3"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5D2418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июля 1931 в Бискайском заливе перевернулся вверх килем французский экскурсионный корабль «Сен-Филибер», в результате чего погибли 500 человек (4962).</w:t>
      </w:r>
    </w:p>
    <w:p w14:paraId="7E280DA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A01841"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55CF6122"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FCE48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июля 1931 г. на заседании Политбюро ЦК ВКП (б) было принято решение о строительстве Уфимского моторного завода. Башкирскому обкому партии поручили определить место его расположения. В Уфе к началу первой советской пятилетки существовало всего 19 промышленных предприятий. Большинство из них, исключая паровозоремонтный и госзавод № 1 (бывший Гутмана), были маломощными, с изношенным оборудованием, низкой энерговооруженностью труда. Рабочий класс столицы Башкирии насчитывал 8,5 тысячи рабочих и 145 инженерно-технических работников (только 25 из них имели высшее техническое образование). В резерве были 10 тысяч безработных, официально зарегистрированных на бирже труда.</w:t>
      </w:r>
    </w:p>
    <w:p w14:paraId="77B831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Через 10 дней, 25 июля, под стройку была отведена площадь возле села Богородское на реке Уфе, километрах в двадцати от центра города.</w:t>
      </w:r>
    </w:p>
    <w:p w14:paraId="704258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июля Президиум ВСНХ СССР своим постановлением закрепил сроки начала строительства завода и организовал для этой цели 17-й государственный строительный трест, позже переименованный в строительно-монтажный.</w:t>
      </w:r>
    </w:p>
    <w:p w14:paraId="3C5263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Башкирский обком партии создал постоянный комитет содействия строительству завода: Самсонов — председатель, Ягудин — заместитель, члены комитета — Петровский, Логинов, Бычков, Бакаев и другие. Обком же направил на стройку 111 ответственных работников.</w:t>
      </w:r>
    </w:p>
    <w:p w14:paraId="3FBF61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Выполнение плана, обеспечение рабочей силой, материально-техническое снабжение, жилищно-бытовые условия, культурное обслуживание — ничто не ускользало от пристального внимания партийных органов. Если требовалось, обком входил с предложениями в Центральный Комитет партии. ЦК ВКП (б) в 1934—1935 гг. принимал решения об ускорении строительства Уфимского моторного завода и увеличении его финансирования.</w:t>
      </w:r>
    </w:p>
    <w:p w14:paraId="2C080E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Обком партии выдвинул лозунг: «Моторный строит вся Башкирия». В районах республики шла мобилизация молодежи. К 1934 году на стройке трудились 3600 рабочих, среди них башкиры составляли 11 процентов, татары — 11, русские — 67; много было женщин (14 процентов). </w:t>
      </w:r>
    </w:p>
    <w:p w14:paraId="4C3051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Начальником строительства сначала был И. И. Желтов, которого в скором времени сменил В. Ф. Грачев, присланный сюда из Москвы Главным управлением тракторно-автомобильной промышленности (ГУТАП). Он был начальником стройки и одновременно директором завода. </w:t>
      </w:r>
    </w:p>
    <w:p w14:paraId="74B9C4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1933 году был создан партком Моторостроя. Секретарем парткома избрали Ф. В. Шагимарданова. Это был очень деятельный человек, горячий трибун, опытный пропагандист. Он часто выступал перед рабочими, держался свободно, и слушать его было интересно. На заводе его любили и ценили.</w:t>
      </w:r>
    </w:p>
    <w:p w14:paraId="15C257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Как вспоминал позднее полковник запаса Д. К. Жеребцов, работавший на стройке десятником, тогда преобладал ручной труд, не было ни машин, ни механизмов. Земляные работы вели артели землекопов, грунт из котлованов вывозили на телегах-грабарках. Гвозди составляли такой дефицит, что прорабы придумали должность гвоздодера. Молодые ребята с утра до вечера вытаскивали гвозди из старой опалубки, чтобы использовать их вторично. Кирпич на объект подавали козоносы. Так называли грузчиков, которые на «козе», закрепленной на спине, носили наверх кирпичи.</w:t>
      </w:r>
    </w:p>
    <w:p w14:paraId="5BB24D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Строительная площадка раскинулась широко. Вязкие болота, леса, озера, заросшие камышом, бездорожье — ни пройти, ни проехать. Заболоченная местность затрудняла закладку фундамента, доставку строительных материалов. Требовались средства и время, чтобы осушить болота, расчистить лесные заросли, подготовить строительные площадки. Порой приходилось рыть отводные каналы, спускать озера и болотные воды в овраги, реки , делать земляные насыпи.</w:t>
      </w:r>
    </w:p>
    <w:p w14:paraId="626142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Первыми должны были ввести в строй малолитейный, кузнечный и инструментальный цехи. С расчисткой площадки сразу же закладывались их фундаменты.</w:t>
      </w:r>
    </w:p>
    <w:p w14:paraId="482E78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Одновременно строилось жилье, почта, телеграф, телефонная станция, прокладывались шоссе до города Уфы, железная дорога от станции Черниковка.</w:t>
      </w:r>
    </w:p>
    <w:p w14:paraId="39D2D4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первый же год было выстроено почти сто бараков. Их заселяли немедленно: ощущался недостаток жилья. Позже количество бараков выросло до четырехсот, но и этого было мало — на моторный прибывали люди со всех концов страны. Сотни рабочих жили в палатках. За станцией Черниковка возник большой палаточный городок. Весной 1935 года на стройку прибыл отряд казахов-кочевников (с семьями, на арбах, со своими верблюдами) во главе с Бетангалеевым. Неподалеку от завода они поставили юрты, возвели кухонные очаги. Казахи перевозили строительные материалы на повозках, запряженных верблюдами. Бывало, длиннющие караваны верблюдов тянулись по дорогам в сопровождении своих хозяев.</w:t>
      </w:r>
    </w:p>
    <w:p w14:paraId="682FC7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 приближением зимы казахам построили семь благоустроенных бараков. Однако кочевники отказались от всех удобств. Тогда руководство создало Бетангалееву образцовую квартиру. Обставили ее мебелью — столы, стулья, кровати, шкафы, повесили оконные и дверные занавески, выдали постельное белье. </w:t>
      </w:r>
    </w:p>
    <w:p w14:paraId="0BFFF4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Казахи с любопытством рассматривали квартиру своего бригадира. Многие согласились на переезд в такие квартиры. Но расставались с кочевым бытом трудно. Вместо кроватей сделали общие нары, даже зимой не закрывали окон и посреди комнаты ставили юрту, прямо на полу разжигали очаг. Преимущества городского быта постигали постепенно, день за днем. Позже казахи-кочевники освоились, отмечали новоселья, приглашали гостей из дирекции, парткома и постройкома, угощали их национальными блюдами, подавали кумыс. Пели под домбру народные песни.</w:t>
      </w:r>
    </w:p>
    <w:p w14:paraId="7552E7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Многие рабочие, прибывшие на стройку, не имели ни опыта, ни квалификации. На виду была краснознаменная бригада мастера Мичугина из Магнитогорска. Она привезла с собой богатый опыт всесоюзной стройки. </w:t>
      </w:r>
    </w:p>
    <w:p w14:paraId="087F6B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отличие от крупных машиностроительных заводов первой пятилетки — Сталинградского, Челябинского и других, Уфимский моторный целиком и полностью проектировался советскими специалистами.</w:t>
      </w:r>
    </w:p>
    <w:p w14:paraId="1B483B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 первых же дней стройка находилась под неослабным вниманием центральных и республиканских органов. Госплан СССР включил Уфимский моторный завод в число ударных строек страны. О размахе строительства можно судить хотя бы по тому, что сюда ежедневно поступало 300 вагонов строительных материалов. Лишь только в одном 1934 году стройка должна была получить 150 тысяч кубометров леса; 45 тысяч тонн цемента; 12 тысяч тонн железа, 50 тысяч кубометров бутового камня, 340 тысяч кубометров гравия, 50 миллионов штук кирпича, 230 тысяч тонн стекла. </w:t>
      </w:r>
    </w:p>
    <w:p w14:paraId="3D289C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Вырастали корпуса цехов, и в них устанавливались новые металлорежущие станки, кузнечно-прессовое и литейное оборудование. Однако с оборудованием были проблемы. Сначала оно было заказано в Германии. Однако с утверждением там фашистского строя деловые отношения с этой страной претерпели большие изменения, и договор на поставку оборудования для Уфимского моторного завода не был выполнен. Приходилось рассчитывать лишь на свои силы и возможности. Моторный завод стал получать оборудование с отечественных заводов, из Москвы, Ленинграда, Горького, Харькова, Одессы и Краснодара. </w:t>
      </w:r>
    </w:p>
    <w:p w14:paraId="59F66E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Обком партии был главным штабом ударной стройки. Особой его заботой стала подготовка национальных кадров–рабочих и специалистов. В школах ФЗУ создавались подготовительные группы для тех, кто не имел необходимого образования. </w:t>
      </w:r>
    </w:p>
    <w:p w14:paraId="5DF109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 притоком в промышленность башкир, татар и представителей других национальностей рабочий класс республики, а вместе с ним коллектив уфимских моторостроителей становился многонациональным. </w:t>
      </w:r>
    </w:p>
    <w:p w14:paraId="030A76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Интересна судьба Гатията Рахматуллина. На стройку он пришел в лаптях и онучах, в грубых самотканых портках. «Я знал только, как плести лапти да пастуший кнут», — рассказывал он позднее. Гатият научился писать и читать, стал комсомольцем, стахановцем. За первые три года освоил три специальности: каменщика, бетонщика и штукатура. </w:t>
      </w:r>
    </w:p>
    <w:p w14:paraId="4371A5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декабре 1935 года Рахматуллин оштукатурил 89 квадратных метров (578 процентов нормы) и перекрыл рекорд московского рабочего Позднякова, о котором тогда писали все газеты. Молодой стахановец был занесен на Доску почета, и ему вне очереди выделили квартиру в благоустроенном доме. Рахматуллина избрали делегатом VIII Всесоюзного съезда Советов, он стал депутатом Верховного Совета БАССР.</w:t>
      </w:r>
    </w:p>
    <w:p w14:paraId="79F1BE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1938 году Москва снарядила агитсамолет «Крокодил» по маршруту: Москва — Орск — Магнитогорск — Уфа — Челябинск — Караганда — Кемерово — Новосибирск — Свердловск. На борту агитсамолета находились знатные труженики страны, знатоки своего дела, умельцы. Среди них был и Гатият. Он обучил своим приемам 335 человек, и ЦК профсоюза строителей премировал его путевкой в Гагры.</w:t>
      </w:r>
    </w:p>
    <w:p w14:paraId="4A338F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Моторный еще строился, но для него уже заранее готовились рабочие кадры на заводах Сталинграда, Челябинска, Горького. В канун 16-й годовщины Октября башкирские моторостроители собрали первый комбайновый мотор У-5 на линиях челябинского тракторного завода.</w:t>
      </w:r>
    </w:p>
    <w:p w14:paraId="3721A1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1934 года стройку посетила делегация рабочих скандинавских стран. Среди них были металлисты, строители, текстильщики. Иностранцы изумлялись размаху строительства. Их интересовали люди. Они расспрашивали, кто откуда пришел, кем был и кем стал, где учился, чего достиг, и поражались услышанному.</w:t>
      </w:r>
    </w:p>
    <w:p w14:paraId="2046B4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сентября 1934 года состоялся пуск малолитейного цеха. А накануне прошло партийно-комсомольское собрание. На нем присутствовали башкирские писатели. С большим докладом о первом Всесоюзном съезде писателей перед рабочими выступил председатель БашЦИКа, известный литератор Афзал Тагиров.</w:t>
      </w:r>
    </w:p>
    <w:p w14:paraId="539371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Затем все участники собрания под музыку духового оркестра направились в цех. 12 часов ночи. Цех забит людьми. Здесь ударники и руководители стройки, партийные и советские работники, писатели, журналисты. В 12.30 ночи с 14 на 15 сентября появился первый чугун моторного завода. Он хлынул под бурные аплодисменты, под музыку духового оркестра и пение «Интернационала».</w:t>
      </w:r>
    </w:p>
    <w:p w14:paraId="5A7B97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1935 году завод дал первые десять комбайновых моторов У-5 и пять дизель-моторов «Коджу». Необходимо было организовать их серийный выпуск.</w:t>
      </w:r>
    </w:p>
    <w:p w14:paraId="527DD9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Осенью 1938 года на завод приехал прославленный летчик-полярник М. В. Водопьянов. Отважный полярник рассказал о полете на Северный полюс, о развитии советской авиации и растущей мощи Красной Армии.</w:t>
      </w:r>
    </w:p>
    <w:p w14:paraId="411638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Проверка первых опытных двигателей У-5 проводилась на поле Сосновского совхоза близ Омска. Комбайнеры отметили его достоинства: надежность, длительную работу без ремонта, экономичный расход горючего. Опытный двигатель за 25 дней ни разу не вышел из строя. Всего он проработал свыше 300 часов.</w:t>
      </w:r>
    </w:p>
    <w:p w14:paraId="0C9257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1938 году комбайны с моторами УМЗ успешно вели уборку на полях Краснодарского края, Куйбышевского зерносовхоза, Магнитогорского совхоза. Государственный экзамен У-5 выдержал с честью.</w:t>
      </w:r>
    </w:p>
    <w:p w14:paraId="652EED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1939 году вспыхнула вторая мировая война. В Кремле состоялось заседание Совета Труда и Обороны с участием секретарей обкомов партии, директоров и главных инженеров крупных заводов. Было решено создать в Уфе и ряде других городов новые машиностроительные заводы. В Уфе базой для нового предприятия стал завод комбайновых моторов и площадка, подготовленная для строительства дизельного завода.</w:t>
      </w:r>
    </w:p>
    <w:p w14:paraId="544994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Вновь созданные предприятия в срочном порядке оборудовались под выпуск авиационных моторов М-105. Завод на Верхней Волге стал головным (11882). </w:t>
      </w:r>
    </w:p>
    <w:p w14:paraId="25CAE9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468B3F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июля 1931 года Тухачевскому была устроена демонстрация изобретений Гроховского в области воздушной пехоты. Была неудача с воздушными мешками, велосипедами и с орудием, которые Гроховский относил к недостаточному количеству испытаний на самолетах, которые ему не давались и тормозились зам. начальника НИИ Фроловским (6769, 29-31).</w:t>
      </w:r>
    </w:p>
    <w:p w14:paraId="6FCCD04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5E89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июля 1931 приказом начальника ВОГВФ был организован специальный отряд "Правда" для доставки матриц газет под командованием П.С.Никитченко и с августа стали доставлять (442,59).</w:t>
      </w:r>
    </w:p>
    <w:p w14:paraId="08D7B5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64FBB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июле 1931 был создан специальный авиаотряд для доставки матриц Правды в Ленинград, Харьков, Одессу, Ростов на Дону, Казань, Баку, Тифлис, Свердловск и др. (446,365).</w:t>
      </w:r>
    </w:p>
    <w:p w14:paraId="4BD414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22E44BA" w14:textId="77777777" w:rsidR="00806BF6" w:rsidRPr="005E779E" w:rsidRDefault="00806BF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июля в 1931 году создан специальный отряд перевозки матриц газеты «Правда». В августе того же года матрицы "Правды" доставлялись уже в Ленинград, Харьков, Киев, Грозный, Одессу, Казань, Ростов-на-Дону, Тифлис (Тбилиси), Свердловск (14953).</w:t>
      </w:r>
    </w:p>
    <w:p w14:paraId="640F6803" w14:textId="77777777" w:rsidR="00806BF6" w:rsidRPr="005E779E" w:rsidRDefault="00806BF6" w:rsidP="000B7A6C">
      <w:pPr>
        <w:spacing w:after="0" w:line="240" w:lineRule="auto"/>
        <w:jc w:val="both"/>
        <w:rPr>
          <w:rFonts w:ascii="Times New Roman" w:hAnsi="Times New Roman"/>
          <w:color w:val="000000" w:themeColor="text1"/>
          <w:sz w:val="16"/>
          <w:szCs w:val="16"/>
        </w:rPr>
      </w:pPr>
    </w:p>
    <w:p w14:paraId="3E1630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июля 1931 вышло решение ПБ о строительстве завода комбайновых моторов в Уфе - будущего завода № 26. Площадка у села Богородское в 18 км. От города. Переименовалив Моторный 6 августа (9088,177).</w:t>
      </w:r>
    </w:p>
    <w:p w14:paraId="744131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408D8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июля 1931г Начальником ГДЛ назначен Н.Я.Ильин (11330).</w:t>
      </w:r>
    </w:p>
    <w:p w14:paraId="62554D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D9889F2" w14:textId="77777777" w:rsidR="007908DF" w:rsidRPr="005E779E" w:rsidRDefault="007908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июля 1931 г. вышел приказ Начальника вооружений РККА о подчинении ГДЛ начальнику Техштаба Начальника вооружений РККА и о назначении начальником ГДЛ Н.Я.Ильина, сохранившего за собой долж¬ность уполномоченного Начальника вооружений РККА.</w:t>
      </w:r>
    </w:p>
    <w:p w14:paraId="5FF0FC60" w14:textId="77777777" w:rsidR="007908DF" w:rsidRPr="005E779E" w:rsidRDefault="007908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Уже к 1 апреля 1932 г. ГДЛ под руководством Н.Я.Ильина имела ряд достижений, а именно:</w:t>
      </w:r>
    </w:p>
    <w:p w14:paraId="3B0EEBA2" w14:textId="77777777" w:rsidR="007908DF" w:rsidRPr="005E779E" w:rsidRDefault="007908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132 мм, 82 мм и 70 мм ракетные орудия;</w:t>
      </w:r>
    </w:p>
    <w:p w14:paraId="467269E3" w14:textId="77777777" w:rsidR="007908DF" w:rsidRPr="005E779E" w:rsidRDefault="007908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приспособление для разгона самолета;</w:t>
      </w:r>
    </w:p>
    <w:p w14:paraId="2E55009C" w14:textId="77777777" w:rsidR="007908DF" w:rsidRPr="005E779E" w:rsidRDefault="007908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реактивные моторы на жидком топливе (12702).</w:t>
      </w:r>
    </w:p>
    <w:p w14:paraId="0E051DAB" w14:textId="77777777" w:rsidR="007908DF" w:rsidRPr="005E779E" w:rsidRDefault="007908DF" w:rsidP="000B7A6C">
      <w:pPr>
        <w:spacing w:after="0" w:line="240" w:lineRule="auto"/>
        <w:jc w:val="both"/>
        <w:rPr>
          <w:rFonts w:ascii="Times New Roman" w:hAnsi="Times New Roman"/>
          <w:color w:val="000000" w:themeColor="text1"/>
          <w:sz w:val="16"/>
          <w:szCs w:val="16"/>
        </w:rPr>
      </w:pPr>
    </w:p>
    <w:p w14:paraId="754FD70D" w14:textId="77777777" w:rsidR="00806BF6" w:rsidRPr="005E779E" w:rsidRDefault="00806BF6"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июля 1931 г. по приказу Начальника вооружений РККА М.Н.Тухачевского его заместитель Н.А.Ефимов передает Лабораторию в подчинение АНИИ и назначает нового начальника ГДЛ - Николая Яковлевича Ильина, оставляя его уполномоченным Техштаба НВ РККА по Ленинграду, а Борис Сергеевич становится заместителем начальника по опытно-конструкторской части. Теперь он мог заниматься только наукой. Такое решение М.Н.Тухачевского было обусловлено не только просьбами Б.С.Петропавловского, но еще и необходимостью сократить время на выполнение заказов организации. Дело в том, что все ее заказы проходили через уполномоченного Техштаба, который и давал ход той или иной просьбе. Совмещение же должностей упрощало решение этой задачи.</w:t>
      </w:r>
    </w:p>
    <w:p w14:paraId="12F9F4D4" w14:textId="77777777" w:rsidR="00806BF6" w:rsidRPr="005E779E" w:rsidRDefault="00806BF6"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Тем временем, кроме РС-82 и РС-132, ведутся работы по созданию снарядов крупного калибра. Особо следует отметить, что в 1931-1932 гг. разрабатывалось ручное ракетное орудие для стрельбы по танкам. Практическое воплощение этого ружья опередило бы американскую «базуку» больше чем на десять лет. Ружье не нашло применения из-за сравнительно малой бронебойности, а довести его не хватило сил из-за недостатка кадров.</w:t>
      </w:r>
    </w:p>
    <w:p w14:paraId="1A321A19" w14:textId="77777777" w:rsidR="00806BF6" w:rsidRPr="005E779E" w:rsidRDefault="00806BF6"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Объем работ был всегда огромен, но люди работали как заведенные, увлеченные новой и интересной идеей. Для примера приведем объемы работ, выполнявшиеся в ГДЛ. Так, в частности, за первый квартал 1932 г. при непосредственном участии Б.С.Петропавловского были выполнены следующие разработки:</w:t>
      </w:r>
    </w:p>
    <w:p w14:paraId="0F1FE396" w14:textId="77777777" w:rsidR="00806BF6" w:rsidRPr="005E779E" w:rsidRDefault="00806BF6"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Конструкторские работы:</w:t>
      </w:r>
    </w:p>
    <w:p w14:paraId="556AB54D" w14:textId="77777777" w:rsidR="00806BF6" w:rsidRPr="005E779E" w:rsidRDefault="00806BF6"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Расчет, описание и рабочие чертежи 3-х вариантов 65-мм бронебойного снаряда.</w:t>
      </w:r>
    </w:p>
    <w:p w14:paraId="79BA3392" w14:textId="77777777" w:rsidR="00806BF6" w:rsidRPr="005E779E" w:rsidRDefault="00806BF6"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Расчет, описание и рабочие чертежи 82-мм стального фугасного и снарядов с дюралевой камерой бризантного действия для стрельбы с самолета.</w:t>
      </w:r>
    </w:p>
    <w:p w14:paraId="775957C1" w14:textId="77777777" w:rsidR="00806BF6" w:rsidRPr="005E779E" w:rsidRDefault="00806BF6"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Расчет, описание и рабочие чертежи 132-мм четырёх вариантов фугасных с хвостовым оперением, бризантного для стрельбы с самолета, химического, агитационного и осветительного снарядов.</w:t>
      </w:r>
    </w:p>
    <w:p w14:paraId="398880B9" w14:textId="77777777" w:rsidR="00806BF6" w:rsidRPr="005E779E" w:rsidRDefault="00806BF6"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Расчет, описание, рабочие чертежи 245-мм фугасного для полевой стрельбы, фугасного для стрельбы с самолета по наземным целям и химического снарядов.</w:t>
      </w:r>
    </w:p>
    <w:p w14:paraId="44BF0B8E" w14:textId="77777777" w:rsidR="00806BF6" w:rsidRPr="005E779E" w:rsidRDefault="00806BF6"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Эскизный проект 245-мм ракетного орудия.</w:t>
      </w:r>
    </w:p>
    <w:p w14:paraId="702B11F6" w14:textId="77777777" w:rsidR="00806BF6" w:rsidRPr="005E779E" w:rsidRDefault="00806BF6"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Внеплановые конструкторские работы:</w:t>
      </w:r>
    </w:p>
    <w:p w14:paraId="3F5D003B" w14:textId="77777777" w:rsidR="00806BF6" w:rsidRPr="005E779E" w:rsidRDefault="00806BF6"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Расчет, описание, рабочие чертежи глубинной противолодочной реактивной бомбы весом в 200 кг по заданию УВМС.</w:t>
      </w:r>
    </w:p>
    <w:p w14:paraId="6DDEA6A1" w14:textId="77777777" w:rsidR="00806BF6" w:rsidRPr="005E779E" w:rsidRDefault="00806BF6"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Эскизный проект пускового станка к этой бомбе.</w:t>
      </w:r>
    </w:p>
    <w:p w14:paraId="11AB6E78" w14:textId="77777777" w:rsidR="00806BF6" w:rsidRPr="005E779E" w:rsidRDefault="00806BF6"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Расчет и рабочие чертежи реактивной камеры для завода №75.</w:t>
      </w:r>
    </w:p>
    <w:p w14:paraId="78B9AE5C" w14:textId="77777777" w:rsidR="00806BF6" w:rsidRPr="005E779E" w:rsidRDefault="00806BF6"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Опытные и исследовательские работы:</w:t>
      </w:r>
    </w:p>
    <w:p w14:paraId="0662E52E" w14:textId="77777777" w:rsidR="00806BF6" w:rsidRPr="005E779E" w:rsidRDefault="00806BF6"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Подбор заряда и сопла: к 65-мм бронебойному снаряду, к 82-мм снаряду повышенной дальности, к 245-мм снаряду, к реактивной камере для завода № 75, к 70-мм трассирующему снаряду.</w:t>
      </w:r>
    </w:p>
    <w:p w14:paraId="1AFEBC9A" w14:textId="77777777" w:rsidR="00806BF6" w:rsidRPr="005E779E" w:rsidRDefault="00806BF6"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Подробное исследование характера горения заряда в 65-мм камере в зависимости от условий заряжания и характера укладки заряда, с попутным испытанием прочности дюралевых камер.</w:t>
      </w:r>
    </w:p>
    <w:p w14:paraId="39961DD6" w14:textId="77777777" w:rsidR="00806BF6" w:rsidRPr="005E779E" w:rsidRDefault="00806BF6"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Испытание прочности камер к 132-мм снаряду по измененному чертежу.</w:t>
      </w:r>
    </w:p>
    <w:p w14:paraId="4F0375EE" w14:textId="77777777" w:rsidR="00806BF6" w:rsidRPr="005E779E" w:rsidRDefault="00806BF6"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Исследование горения заряда в удлиненной камере, предназначенной для 132-мм снаряда с дальностью 8 км.</w:t>
      </w:r>
    </w:p>
    <w:p w14:paraId="52D00779" w14:textId="77777777" w:rsidR="00806BF6" w:rsidRPr="005E779E" w:rsidRDefault="00806BF6"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Испытание горения зарядов массой 6 и 10 кг в камере для разгона самолетов с определением реактивной тяги, с попутным испытанием прочности держателей и способов воспламенения нескольких камер (работы проводились совместно с 3-м сектором).</w:t>
      </w:r>
    </w:p>
    <w:p w14:paraId="11BB88E6" w14:textId="77777777" w:rsidR="00806BF6" w:rsidRPr="005E779E" w:rsidRDefault="00806BF6"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Испытание стрельбой осветительных вурдо-гранат.</w:t>
      </w:r>
    </w:p>
    <w:p w14:paraId="627F8E29" w14:textId="77777777" w:rsidR="00806BF6" w:rsidRPr="005E779E" w:rsidRDefault="00806BF6"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Исследование стрельбой трех вариантов 132-мм осветительных снарядов (15252).</w:t>
      </w:r>
    </w:p>
    <w:p w14:paraId="527D93FC" w14:textId="77777777" w:rsidR="00806BF6" w:rsidRPr="005E779E" w:rsidRDefault="00806BF6" w:rsidP="000B7A6C">
      <w:pPr>
        <w:shd w:val="clear" w:color="auto" w:fill="FFFFFF"/>
        <w:spacing w:after="0" w:line="240" w:lineRule="auto"/>
        <w:jc w:val="both"/>
        <w:rPr>
          <w:rFonts w:ascii="Times New Roman" w:hAnsi="Times New Roman"/>
          <w:color w:val="000000" w:themeColor="text1"/>
          <w:sz w:val="16"/>
          <w:szCs w:val="16"/>
        </w:rPr>
      </w:pPr>
    </w:p>
    <w:p w14:paraId="36A30343"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26C0FD94"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6E45CE3" w14:textId="77777777" w:rsidR="00190478" w:rsidRPr="005E779E" w:rsidRDefault="0019047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июля 1931 г. проект танка ПТ-1 был рассмотрен председателем Научно-технического комитета (НТК) УММ РККА И.А. Лебедевым совместно с начальником Конструкторского бюро № 3 Государственного Всесоюзного объединения орудийно-оружейно-пулеметных производств (Оружобъединения) С.А. Гинзбургом (24856).</w:t>
      </w:r>
    </w:p>
    <w:p w14:paraId="51CC26A3" w14:textId="77777777" w:rsidR="00190478" w:rsidRPr="005E779E" w:rsidRDefault="00190478" w:rsidP="000B7A6C">
      <w:pPr>
        <w:spacing w:after="0" w:line="240" w:lineRule="auto"/>
        <w:jc w:val="both"/>
        <w:rPr>
          <w:rFonts w:ascii="Times New Roman" w:hAnsi="Times New Roman"/>
          <w:color w:val="000000" w:themeColor="text1"/>
          <w:sz w:val="16"/>
          <w:szCs w:val="16"/>
        </w:rPr>
      </w:pPr>
    </w:p>
    <w:p w14:paraId="1FF32192" w14:textId="77777777" w:rsidR="00190478" w:rsidRPr="005E779E" w:rsidRDefault="0019047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июля 1931 г.</w:t>
      </w:r>
    </w:p>
    <w:p w14:paraId="4D5B9629" w14:textId="77777777" w:rsidR="00190478" w:rsidRPr="005E779E" w:rsidRDefault="0019047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РГВА Фонд 31811 Опись 3 Дело 29 лист 52 с об. </w:t>
      </w:r>
    </w:p>
    <w:p w14:paraId="4D9C7E9B" w14:textId="77777777" w:rsidR="00190478" w:rsidRPr="005E779E" w:rsidRDefault="0019047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Сов.Секретно. </w:t>
      </w:r>
    </w:p>
    <w:p w14:paraId="07B1E6BD" w14:textId="77777777" w:rsidR="00190478" w:rsidRPr="005E779E" w:rsidRDefault="0019047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Экз. № 1 </w:t>
      </w:r>
    </w:p>
    <w:p w14:paraId="4EED9FC0" w14:textId="77777777" w:rsidR="00190478" w:rsidRPr="005E779E" w:rsidRDefault="0019047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НАЧАЛЬНИКУ УПРАВЛЕНИЯ ПО МЕХАНИЗАЦИИ И МОТОРИЗАЦИИ Р.К.К.А.</w:t>
      </w:r>
    </w:p>
    <w:p w14:paraId="0D166058" w14:textId="77777777" w:rsidR="00190478" w:rsidRPr="005E779E" w:rsidRDefault="0019047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15 июля 1941 г. мною совместно с Начальником КБ № 3 тов. Гинзбургом были рассмотрены общие чертежи колесно-гусеничного плавающего танка, изготовленные Особым Конструкторским Бюро (начальник Бюро тов. Вунштейн). </w:t>
      </w:r>
    </w:p>
    <w:p w14:paraId="2E7AD069" w14:textId="77777777" w:rsidR="00190478" w:rsidRPr="005E779E" w:rsidRDefault="0019047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Рассмотренная конструкция представляет из себя колесно-гусеничный танк типа Кристи со всеми 4-мя ведущими осями на колесном ходу. Основная характеристика танка следующая: </w:t>
      </w:r>
    </w:p>
    <w:p w14:paraId="389A07B7" w14:textId="77777777" w:rsidR="00190478" w:rsidRPr="005E779E" w:rsidRDefault="0019047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Вес – около 11 тонн. </w:t>
      </w:r>
    </w:p>
    <w:p w14:paraId="0826BA78" w14:textId="77777777" w:rsidR="00190478" w:rsidRPr="005E779E" w:rsidRDefault="0019047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 xml:space="preserve">Броня – 6 мм. борта, 7 мм. лобовая. </w:t>
      </w:r>
    </w:p>
    <w:p w14:paraId="50CC4FE8" w14:textId="77777777" w:rsidR="00190478" w:rsidRPr="005E779E" w:rsidRDefault="0019047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Вооружение – одна 45 мм пушка с пулеметом во вращающейся башне, один пулемет в шаровой установке. </w:t>
      </w:r>
    </w:p>
    <w:p w14:paraId="4922479B" w14:textId="77777777" w:rsidR="00190478" w:rsidRPr="005E779E" w:rsidRDefault="0019047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Скорость на гусеницах – ок. 60 клм., на колесах – около 78 клм/час., на воде – 15 клм/час. </w:t>
      </w:r>
    </w:p>
    <w:p w14:paraId="4321D45C" w14:textId="77777777" w:rsidR="00190478" w:rsidRPr="005E779E" w:rsidRDefault="0019047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Мотор – 325 л.с. типа дизель. </w:t>
      </w:r>
    </w:p>
    <w:p w14:paraId="03DC991A" w14:textId="77777777" w:rsidR="00190478" w:rsidRPr="005E779E" w:rsidRDefault="0019047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Из обмена мнениями с лицами, выполняющими этот проект, выяснилось, что они имеют сильную инженерную подготовку и способны правильно решить чрезвычайно трудную задачу, которой является плавучий танк. Над этим вопросом работает один из самых лучших инженеров-специалистов корабельного дела. </w:t>
      </w:r>
    </w:p>
    <w:p w14:paraId="40EA3F74" w14:textId="77777777" w:rsidR="00190478" w:rsidRPr="005E779E" w:rsidRDefault="0019047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Наши замечания по проекту сводились к следующему: </w:t>
      </w:r>
    </w:p>
    <w:p w14:paraId="75912A24" w14:textId="77777777" w:rsidR="00190478" w:rsidRPr="005E779E" w:rsidRDefault="0019047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Мы потребовали усиления бронирования до 10 мм, однако если после детальных просчетов это отразится на плавучести машины, то следует пожертвовать для опыта толщиной брони. </w:t>
      </w:r>
    </w:p>
    <w:p w14:paraId="5D0AA196" w14:textId="77777777" w:rsidR="00190478" w:rsidRPr="005E779E" w:rsidRDefault="0019047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Смешанный вариант ходовой части с катками и колесами мы забраковали и посоветовали остановиться на чисто колесном варианте типа Кристи. </w:t>
      </w:r>
    </w:p>
    <w:p w14:paraId="7BE5D0BA" w14:textId="77777777" w:rsidR="00190478" w:rsidRPr="005E779E" w:rsidRDefault="0019047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Вооружение этой машины достаточно мощное для машины этого класса, почему мы его оставили без изменений. </w:t>
      </w:r>
    </w:p>
    <w:p w14:paraId="3A857C96" w14:textId="77777777" w:rsidR="00190478" w:rsidRPr="005E779E" w:rsidRDefault="0019047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Ввиду того, что габариты корпуса позволяют вместить не только передаточный механизм для привода в движение всех колес, но и осуществить поворачивание всех колес – то мы одобрили как то, так и другое, т.к. благодаря передаче вращения на все поддерживающие колеса (получается все колеса ведущие) в значительной мере повышается проходимость машины при движении ее на колесах, а осуществление привода рулевого управления на все 4 колеса уменьшает радиус поворота, доводя его до 6 – 7 мтр., что соответствует радиусу поворота обыкновенного грузовика. </w:t>
      </w:r>
    </w:p>
    <w:p w14:paraId="2E095AA3" w14:textId="77777777" w:rsidR="00190478" w:rsidRPr="005E779E" w:rsidRDefault="0019047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Конструкция дизель-мотора, наиболее нас интересующая, показана не была и будет демонстрироваться нам на этих днях. Так как конструкция этого танка связана с конструкцией мотора, то успех его осуществления зависит в первую очередь от удачного осуществления мотора. К тому же этот мотор, как по мощности, как по габаритам, так и по роду топлива чрезвычайно интересен для нас с точки зрения применения его в средних танках. </w:t>
      </w:r>
    </w:p>
    <w:p w14:paraId="37E6F861" w14:textId="77777777" w:rsidR="00190478" w:rsidRPr="005E779E" w:rsidRDefault="0019047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Работу по созданию плавающего танка считаю необходимым закрепить за Особым Конструкторским Бюро и нам временно в целях экономии сил и средств этим делом пока не заниматься. </w:t>
      </w:r>
    </w:p>
    <w:p w14:paraId="32D380EC" w14:textId="77777777" w:rsidR="00190478" w:rsidRPr="005E779E" w:rsidRDefault="0019047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Кроме плавучего танка мы рассмотрели схему бронирования 6-колесного Форда АА, состоящего из броневого корпуса, вооруженного одним пулеметом Дегтярева, поставленным в лобовой стенке и одной 37-мм пушкой с возможностью стрельбы только назад. Таким расположением вооружения авторы проекта добивались уменьшения высоты машины. Этот вариант бронирования нами был категорически отвергнут, так как вследствие отсутствия кругового обстрела как для пулемета, так и для пушки, использовать вооружение фактически нельзя. Для средней бронемашины, каковой является 6-колесный Форд АА, обязательна постановка вооружения во вращающейся башне. </w:t>
      </w:r>
    </w:p>
    <w:p w14:paraId="7705B5D9" w14:textId="77777777" w:rsidR="00190478" w:rsidRPr="005E779E" w:rsidRDefault="0019047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тов. Вунштейн я договорился, что он будет держать нас в курсе всех работ, периодически созывая подобного рода совещания.</w:t>
      </w:r>
    </w:p>
    <w:p w14:paraId="311E370D" w14:textId="77777777" w:rsidR="00190478" w:rsidRPr="005E779E" w:rsidRDefault="0019047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ПРЕДСЕДАТЕЛЬ НТК УММ РККА </w:t>
      </w:r>
    </w:p>
    <w:p w14:paraId="6F32B2E1" w14:textId="77777777" w:rsidR="00190478" w:rsidRPr="005E779E" w:rsidRDefault="0019047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(Лебедев) 18-VII-31 г. подпись</w:t>
      </w:r>
    </w:p>
    <w:p w14:paraId="070554AF" w14:textId="77777777" w:rsidR="00190478" w:rsidRPr="005E779E" w:rsidRDefault="0019047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Отпеч. 2 экз. </w:t>
      </w:r>
    </w:p>
    <w:p w14:paraId="728E6343" w14:textId="77777777" w:rsidR="00190478" w:rsidRPr="005E779E" w:rsidRDefault="0019047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 1 – Нач. УММ </w:t>
      </w:r>
    </w:p>
    <w:p w14:paraId="5B82E930" w14:textId="77777777" w:rsidR="00190478" w:rsidRPr="005E779E" w:rsidRDefault="0019047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2 – в деле (24863).</w:t>
      </w:r>
    </w:p>
    <w:p w14:paraId="4838CD59" w14:textId="77777777" w:rsidR="00190478" w:rsidRPr="005E779E" w:rsidRDefault="00190478" w:rsidP="000B7A6C">
      <w:pPr>
        <w:spacing w:after="0" w:line="240" w:lineRule="auto"/>
        <w:jc w:val="both"/>
        <w:rPr>
          <w:rFonts w:ascii="Times New Roman" w:hAnsi="Times New Roman"/>
          <w:color w:val="000000" w:themeColor="text1"/>
          <w:sz w:val="16"/>
          <w:szCs w:val="16"/>
        </w:rPr>
      </w:pPr>
    </w:p>
    <w:p w14:paraId="54CCE13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июля 1931 в 14 ч 30 мин шесть мотоциклов Л-300 стартовали в Ленинграде на площади Урицкого, а иномар</w:t>
      </w:r>
      <w:r w:rsidRPr="005E779E">
        <w:rPr>
          <w:rFonts w:ascii="Times New Roman" w:hAnsi="Times New Roman"/>
          <w:color w:val="000000" w:themeColor="text1"/>
          <w:sz w:val="16"/>
          <w:szCs w:val="16"/>
        </w:rPr>
        <w:softHyphen/>
        <w:t>ки и автомобили сопровождения выехали из Москвы. В Вышнем Волочке две мотоколонны объединились. Маршрут пробега пришлось несколько изменить из-за дождей и связанного с ними сильного загрязнения пути. На участке Сталинград-Харьков вместо трассы Евсеев-Усть-Медведецкая-Верхне-Сальск-Бело-водск-Купянск избрали более лёгкую: Калач-Миллерово-Бело-водск-Старобсльск-Сватово-Чугуев. На участке Харьков-Москва, посчитав, что по грунтовым дорогам проехали доста</w:t>
      </w:r>
      <w:r w:rsidRPr="005E779E">
        <w:rPr>
          <w:rFonts w:ascii="Times New Roman" w:hAnsi="Times New Roman"/>
          <w:color w:val="000000" w:themeColor="text1"/>
          <w:sz w:val="16"/>
          <w:szCs w:val="16"/>
        </w:rPr>
        <w:softHyphen/>
        <w:t>точно, в столицу решили добираться по шоссе через Курск, Орёл и Тулу [4.41].</w:t>
      </w:r>
    </w:p>
    <w:p w14:paraId="52E9F67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Третий Всесоюзный ис</w:t>
      </w:r>
      <w:r w:rsidRPr="005E779E">
        <w:rPr>
          <w:rFonts w:ascii="Times New Roman" w:hAnsi="Times New Roman"/>
          <w:color w:val="000000" w:themeColor="text1"/>
          <w:sz w:val="16"/>
          <w:szCs w:val="16"/>
        </w:rPr>
        <w:softHyphen/>
        <w:t>пытательный пробег советских мотоциклов [4.39] был организовани ЦС АВТОДОРа для сравнения обновленного Л-300 с базовой моделью. В него напра</w:t>
      </w:r>
      <w:r w:rsidRPr="005E779E">
        <w:rPr>
          <w:rFonts w:ascii="Times New Roman" w:hAnsi="Times New Roman"/>
          <w:color w:val="000000" w:themeColor="text1"/>
          <w:sz w:val="16"/>
          <w:szCs w:val="16"/>
        </w:rPr>
        <w:softHyphen/>
        <w:t>вили шесть мотоциклов Л-300: три модернизированных и столь</w:t>
      </w:r>
      <w:r w:rsidRPr="005E779E">
        <w:rPr>
          <w:rFonts w:ascii="Times New Roman" w:hAnsi="Times New Roman"/>
          <w:color w:val="000000" w:themeColor="text1"/>
          <w:sz w:val="16"/>
          <w:szCs w:val="16"/>
        </w:rPr>
        <w:softHyphen/>
        <w:t>ко же сделанных по первоначальной документации. Вместе с ними отправили два иностранных мотоцикла-одиночки: амери</w:t>
      </w:r>
      <w:r w:rsidRPr="005E779E">
        <w:rPr>
          <w:rFonts w:ascii="Times New Roman" w:hAnsi="Times New Roman"/>
          <w:color w:val="000000" w:themeColor="text1"/>
          <w:sz w:val="16"/>
          <w:szCs w:val="16"/>
        </w:rPr>
        <w:softHyphen/>
        <w:t xml:space="preserve">канский </w:t>
      </w:r>
      <w:r w:rsidRPr="005E779E">
        <w:rPr>
          <w:rFonts w:ascii="Times New Roman" w:hAnsi="Times New Roman"/>
          <w:color w:val="000000" w:themeColor="text1"/>
          <w:sz w:val="16"/>
          <w:szCs w:val="16"/>
          <w:lang w:val="en-US"/>
        </w:rPr>
        <w:t>HarleyDavidson</w:t>
      </w:r>
      <w:r w:rsidRPr="005E779E">
        <w:rPr>
          <w:rFonts w:ascii="Times New Roman" w:hAnsi="Times New Roman"/>
          <w:color w:val="000000" w:themeColor="text1"/>
          <w:sz w:val="16"/>
          <w:szCs w:val="16"/>
        </w:rPr>
        <w:t xml:space="preserve"> и английский В</w:t>
      </w:r>
      <w:r w:rsidRPr="005E779E">
        <w:rPr>
          <w:rFonts w:ascii="Times New Roman" w:hAnsi="Times New Roman"/>
          <w:color w:val="000000" w:themeColor="text1"/>
          <w:sz w:val="16"/>
          <w:szCs w:val="16"/>
          <w:lang w:val="en-US"/>
        </w:rPr>
        <w:t>S</w:t>
      </w:r>
      <w:r w:rsidRPr="005E779E">
        <w:rPr>
          <w:rFonts w:ascii="Times New Roman" w:hAnsi="Times New Roman"/>
          <w:color w:val="000000" w:themeColor="text1"/>
          <w:sz w:val="16"/>
          <w:szCs w:val="16"/>
        </w:rPr>
        <w:t>А, - оба с одноцилинд</w:t>
      </w:r>
      <w:r w:rsidRPr="005E779E">
        <w:rPr>
          <w:rFonts w:ascii="Times New Roman" w:hAnsi="Times New Roman"/>
          <w:color w:val="000000" w:themeColor="text1"/>
          <w:sz w:val="16"/>
          <w:szCs w:val="16"/>
        </w:rPr>
        <w:softHyphen/>
        <w:t>ровыми двигателями рабочим объёмом 500 см</w:t>
      </w:r>
      <w:r w:rsidRPr="005E779E">
        <w:rPr>
          <w:rFonts w:ascii="Times New Roman" w:hAnsi="Times New Roman"/>
          <w:color w:val="000000" w:themeColor="text1"/>
          <w:sz w:val="16"/>
          <w:szCs w:val="16"/>
          <w:vertAlign w:val="superscript"/>
        </w:rPr>
        <w:t>3</w:t>
      </w:r>
      <w:r w:rsidRPr="005E779E">
        <w:rPr>
          <w:rFonts w:ascii="Times New Roman" w:hAnsi="Times New Roman"/>
          <w:color w:val="000000" w:themeColor="text1"/>
          <w:sz w:val="16"/>
          <w:szCs w:val="16"/>
        </w:rPr>
        <w:t>. Мотоколонну сопровождали три легковых машины Форд-А: грузовик Форд-АА и два американских 1200-кубовых мотоцикла На</w:t>
      </w:r>
      <w:r w:rsidRPr="005E779E">
        <w:rPr>
          <w:rFonts w:ascii="Times New Roman" w:hAnsi="Times New Roman"/>
          <w:color w:val="000000" w:themeColor="text1"/>
          <w:sz w:val="16"/>
          <w:szCs w:val="16"/>
          <w:lang w:val="en-US"/>
        </w:rPr>
        <w:t>rley</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Davidson</w:t>
      </w:r>
      <w:r w:rsidRPr="005E779E">
        <w:rPr>
          <w:rFonts w:ascii="Times New Roman" w:hAnsi="Times New Roman"/>
          <w:color w:val="000000" w:themeColor="text1"/>
          <w:sz w:val="16"/>
          <w:szCs w:val="16"/>
        </w:rPr>
        <w:t xml:space="preserve"> с колясками. Планировалось проехать 4017 км (929 км по шоссе и 3088 км по грунтовым дорогам). Трасса состояла из шести этапов: Ленинград-Вышний-Волочёк-Нижний Новгород-Сталинград-Харьков-Москва-Ленинград. Маршрут прошли за 32 дня, из них 21 день - в движении и 11 - отдых в городах [4.40]. На трассе пробега не проводили рекогносцировку. По этой причине на участке Вышний-Волочек-Иваново-Вознесенск в де</w:t>
      </w:r>
      <w:r w:rsidRPr="005E779E">
        <w:rPr>
          <w:rFonts w:ascii="Times New Roman" w:hAnsi="Times New Roman"/>
          <w:color w:val="000000" w:themeColor="text1"/>
          <w:sz w:val="16"/>
          <w:szCs w:val="16"/>
        </w:rPr>
        <w:softHyphen/>
        <w:t>ревнях мотоциклы увидели впервые. Управление усовершенство</w:t>
      </w:r>
      <w:r w:rsidRPr="005E779E">
        <w:rPr>
          <w:rFonts w:ascii="Times New Roman" w:hAnsi="Times New Roman"/>
          <w:color w:val="000000" w:themeColor="text1"/>
          <w:sz w:val="16"/>
          <w:szCs w:val="16"/>
        </w:rPr>
        <w:softHyphen/>
        <w:t>ванными образцами Л-300 поручили весьма незаурядным людям. Это были лучшие мотоциклисты Ленинграда: член городского мотоклуба П.П. Воротилкин, а также два конструктора завода «Красный Октябрь» А.М. Лутц и А.А. Иванов, имевшие большой опыт участия в мотопробегах. Серийные Л-300 вели красноар</w:t>
      </w:r>
      <w:r w:rsidRPr="005E779E">
        <w:rPr>
          <w:rFonts w:ascii="Times New Roman" w:hAnsi="Times New Roman"/>
          <w:color w:val="000000" w:themeColor="text1"/>
          <w:sz w:val="16"/>
          <w:szCs w:val="16"/>
        </w:rPr>
        <w:softHyphen/>
        <w:t>мейцы П. Зубковский, В. Кудрявцев и Мартьянов. Известного в стране специалиста мототранспорта И.П. Дюмулена назначили командором пробега, а инженера Ю.М. Галкина - председателем технической комиссии, в которую включили П.В. Можарова. Фи</w:t>
      </w:r>
      <w:r w:rsidRPr="005E779E">
        <w:rPr>
          <w:rFonts w:ascii="Times New Roman" w:hAnsi="Times New Roman"/>
          <w:color w:val="000000" w:themeColor="text1"/>
          <w:sz w:val="16"/>
          <w:szCs w:val="16"/>
        </w:rPr>
        <w:softHyphen/>
        <w:t>нансирование пробега обошлось в 18 тыс. р. По 7 тыс. р. предос</w:t>
      </w:r>
      <w:r w:rsidRPr="005E779E">
        <w:rPr>
          <w:rFonts w:ascii="Times New Roman" w:hAnsi="Times New Roman"/>
          <w:color w:val="000000" w:themeColor="text1"/>
          <w:sz w:val="16"/>
          <w:szCs w:val="16"/>
        </w:rPr>
        <w:softHyphen/>
        <w:t>тавили завод «Красный Октябрь» и ЦС АВТОДОР, 2 тыс. р. -ВАТО, по 1 тыс. р. - Центральное управление дорожным транс</w:t>
      </w:r>
      <w:r w:rsidRPr="005E779E">
        <w:rPr>
          <w:rFonts w:ascii="Times New Roman" w:hAnsi="Times New Roman"/>
          <w:color w:val="000000" w:themeColor="text1"/>
          <w:sz w:val="16"/>
          <w:szCs w:val="16"/>
        </w:rPr>
        <w:softHyphen/>
        <w:t>портом (ЦУДОРТРАНС) и наркомат почт (НАРКОМПОЧ-ТЕЛЬ). Техническая комиссия проверяла качество вождения мотоциклов и признала его высоким. Красноармейцы, слабо знавшие устройство мотоцикла в сравнении с лучшими мотоци</w:t>
      </w:r>
      <w:r w:rsidRPr="005E779E">
        <w:rPr>
          <w:rFonts w:ascii="Times New Roman" w:hAnsi="Times New Roman"/>
          <w:color w:val="000000" w:themeColor="text1"/>
          <w:sz w:val="16"/>
          <w:szCs w:val="16"/>
        </w:rPr>
        <w:softHyphen/>
        <w:t>клистами, показали вполне удовлетворительные результаты. Этот факт свидетельствовал о простоте освоения вождения и об</w:t>
      </w:r>
      <w:r w:rsidRPr="005E779E">
        <w:rPr>
          <w:rFonts w:ascii="Times New Roman" w:hAnsi="Times New Roman"/>
          <w:color w:val="000000" w:themeColor="text1"/>
          <w:sz w:val="16"/>
          <w:szCs w:val="16"/>
        </w:rPr>
        <w:softHyphen/>
        <w:t>служивания мотоцикла.</w:t>
      </w:r>
    </w:p>
    <w:p w14:paraId="74A219F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Москву прибыли 19 августа. Технический финиш состоялся на 11-м километре Серпуховского шоссе, где пробег официально завершился. После трёхдневного отдыха, 23 августа шесть мото</w:t>
      </w:r>
      <w:r w:rsidRPr="005E779E">
        <w:rPr>
          <w:rFonts w:ascii="Times New Roman" w:hAnsi="Times New Roman"/>
          <w:color w:val="000000" w:themeColor="text1"/>
          <w:sz w:val="16"/>
          <w:szCs w:val="16"/>
        </w:rPr>
        <w:softHyphen/>
        <w:t>циклов Л-300 без сопровождения отправились в Ленинград и 25 августа прибыли к месту старта, пройдя дополнительно 752 км. Мотоциклисты в пробеге преодолевали большие трудности: обваливались мосты под тяжестью автомашин сопровождения, под дождём на грунтовой дороге приходилось двигаться на низ</w:t>
      </w:r>
      <w:r w:rsidRPr="005E779E">
        <w:rPr>
          <w:rFonts w:ascii="Times New Roman" w:hAnsi="Times New Roman"/>
          <w:color w:val="000000" w:themeColor="text1"/>
          <w:sz w:val="16"/>
          <w:szCs w:val="16"/>
        </w:rPr>
        <w:softHyphen/>
        <w:t>шей передаче со скоростью не более 5 км/ч. Обновлённые Л-300 показали себя лучше серийных, так как у них переднее крыло не забивалось грязью, и магнето не выходило из строя благодаря за</w:t>
      </w:r>
      <w:r w:rsidRPr="005E779E">
        <w:rPr>
          <w:rFonts w:ascii="Times New Roman" w:hAnsi="Times New Roman"/>
          <w:color w:val="000000" w:themeColor="text1"/>
          <w:sz w:val="16"/>
          <w:szCs w:val="16"/>
        </w:rPr>
        <w:softHyphen/>
        <w:t>щищённости от влаги. На участке Нижний Новгород-Сталинград температура металлических деталей мотоциклов поднималась до 54 °С. Пыль забивала стыки сопрягающихся деталей. Однако обновлённым Л-300 это не вредило. На трассе пробега участники ощущали внимание встречавших людей и организаций: на оста</w:t>
      </w:r>
      <w:r w:rsidRPr="005E779E">
        <w:rPr>
          <w:rFonts w:ascii="Times New Roman" w:hAnsi="Times New Roman"/>
          <w:color w:val="000000" w:themeColor="text1"/>
          <w:sz w:val="16"/>
          <w:szCs w:val="16"/>
        </w:rPr>
        <w:softHyphen/>
        <w:t>новках и дневках, в городах и даже небольших населённых пунк</w:t>
      </w:r>
      <w:r w:rsidRPr="005E779E">
        <w:rPr>
          <w:rFonts w:ascii="Times New Roman" w:hAnsi="Times New Roman"/>
          <w:color w:val="000000" w:themeColor="text1"/>
          <w:sz w:val="16"/>
          <w:szCs w:val="16"/>
        </w:rPr>
        <w:softHyphen/>
        <w:t>тах проходили митинги [4.42].</w:t>
      </w:r>
    </w:p>
    <w:p w14:paraId="09CBCD1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Руководители заинтересованных организаций, техническая комиссия, автодоровская общественность, участники пробега, -многие признавали успех мероприятия. Экспериментальные Л-300 выдержали дорожные испытание. Отмеченные недостатки отно</w:t>
      </w:r>
      <w:r w:rsidRPr="005E779E">
        <w:rPr>
          <w:rFonts w:ascii="Times New Roman" w:hAnsi="Times New Roman"/>
          <w:color w:val="000000" w:themeColor="text1"/>
          <w:sz w:val="16"/>
          <w:szCs w:val="16"/>
        </w:rPr>
        <w:softHyphen/>
        <w:t>сились не к конструкторским недоработкам, а к технологическим огрехам, что представлялось исправимым и открывало возмож</w:t>
      </w:r>
      <w:r w:rsidRPr="005E779E">
        <w:rPr>
          <w:rFonts w:ascii="Times New Roman" w:hAnsi="Times New Roman"/>
          <w:color w:val="000000" w:themeColor="text1"/>
          <w:sz w:val="16"/>
          <w:szCs w:val="16"/>
        </w:rPr>
        <w:softHyphen/>
        <w:t>ность освоения в серийном производстве нового Л-300 [4.40].</w:t>
      </w:r>
    </w:p>
    <w:p w14:paraId="6A86A3A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Заместитель председателя ВСНХ СССР А.П. Медведев за</w:t>
      </w:r>
      <w:r w:rsidRPr="005E779E">
        <w:rPr>
          <w:rFonts w:ascii="Times New Roman" w:hAnsi="Times New Roman"/>
          <w:color w:val="000000" w:themeColor="text1"/>
          <w:sz w:val="16"/>
          <w:szCs w:val="16"/>
        </w:rPr>
        <w:softHyphen/>
        <w:t>явил в прессе, что к концу первой пятилетки выпустят 25 тыс. мо</w:t>
      </w:r>
      <w:r w:rsidRPr="005E779E">
        <w:rPr>
          <w:rFonts w:ascii="Times New Roman" w:hAnsi="Times New Roman"/>
          <w:color w:val="000000" w:themeColor="text1"/>
          <w:sz w:val="16"/>
          <w:szCs w:val="16"/>
        </w:rPr>
        <w:softHyphen/>
        <w:t>тоциклов [4.43], в чем специалисты сомневались. Для прояснения ситуации председатель мотоциклетной секции АВТОДОР С.С. Каменев поручил создать бригаду, чтобы встретиться с руко</w:t>
      </w:r>
      <w:r w:rsidRPr="005E779E">
        <w:rPr>
          <w:rFonts w:ascii="Times New Roman" w:hAnsi="Times New Roman"/>
          <w:color w:val="000000" w:themeColor="text1"/>
          <w:sz w:val="16"/>
          <w:szCs w:val="16"/>
        </w:rPr>
        <w:softHyphen/>
        <w:t>водством ВСНХ, ВАТО и заинтересованных в мотоциклострое-нии трестов и прояснить положение дел. Выявили настораживаю</w:t>
      </w:r>
      <w:r w:rsidRPr="005E779E">
        <w:rPr>
          <w:rFonts w:ascii="Times New Roman" w:hAnsi="Times New Roman"/>
          <w:color w:val="000000" w:themeColor="text1"/>
          <w:sz w:val="16"/>
          <w:szCs w:val="16"/>
        </w:rPr>
        <w:softHyphen/>
        <w:t>щие факты: в ВСНХ не понимали роль и значение мотоциклов для СССР; председатель правления ВАТО Михайлов категориче</w:t>
      </w:r>
      <w:r w:rsidRPr="005E779E">
        <w:rPr>
          <w:rFonts w:ascii="Times New Roman" w:hAnsi="Times New Roman"/>
          <w:color w:val="000000" w:themeColor="text1"/>
          <w:sz w:val="16"/>
          <w:szCs w:val="16"/>
        </w:rPr>
        <w:softHyphen/>
        <w:t>ски отказал продолжить выпуск мотоциклов Л-300 на заводе «Красный Октябрь»; на ХАЗе мотоциклы изготовили не по рас</w:t>
      </w:r>
      <w:r w:rsidRPr="005E779E">
        <w:rPr>
          <w:rFonts w:ascii="Times New Roman" w:hAnsi="Times New Roman"/>
          <w:color w:val="000000" w:themeColor="text1"/>
          <w:sz w:val="16"/>
          <w:szCs w:val="16"/>
        </w:rPr>
        <w:softHyphen/>
        <w:t>поряжению ВСНХ СССР, а благодаря увлечённости мотоцикла</w:t>
      </w:r>
      <w:r w:rsidRPr="005E779E">
        <w:rPr>
          <w:rFonts w:ascii="Times New Roman" w:hAnsi="Times New Roman"/>
          <w:color w:val="000000" w:themeColor="text1"/>
          <w:sz w:val="16"/>
          <w:szCs w:val="16"/>
        </w:rPr>
        <w:softHyphen/>
        <w:t>ми работников завода и председателя ВСНХ Украинской совет</w:t>
      </w:r>
      <w:r w:rsidRPr="005E779E">
        <w:rPr>
          <w:rFonts w:ascii="Times New Roman" w:hAnsi="Times New Roman"/>
          <w:color w:val="000000" w:themeColor="text1"/>
          <w:sz w:val="16"/>
          <w:szCs w:val="16"/>
        </w:rPr>
        <w:softHyphen/>
        <w:t>ской социалистической республики (УССР) Сухомлинова [4.44] (11429).</w:t>
      </w:r>
    </w:p>
    <w:p w14:paraId="4A41D48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84019C" w14:textId="77777777" w:rsidR="00BB323F" w:rsidRPr="005E779E" w:rsidRDefault="00BB323F"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15 июля. Протокол заседания Политбюро ЦК ВКП(б) № 49. Опросом членов ПБ от 15 июля 1931 г. 41/17. О выполнении решения ПБ о состоянии производств, обслуживающих автотракторную промышленность, в частности, производства магнето (ПБ от 5 марта 1931 г., пр. № 28, п. 12д). 47/23. О технических качествах самолетов (ПБ от 20 мая 1931 г., пр. № 39, п. 30/33). (Политбюро... Т. 2. С. 193) (12416).</w:t>
      </w:r>
    </w:p>
    <w:p w14:paraId="153E9617" w14:textId="77777777" w:rsidR="00BB323F" w:rsidRPr="005E779E" w:rsidRDefault="00BB323F" w:rsidP="000B7A6C">
      <w:pPr>
        <w:spacing w:after="0" w:line="240" w:lineRule="auto"/>
        <w:jc w:val="both"/>
        <w:rPr>
          <w:rFonts w:ascii="Times New Roman" w:hAnsi="Times New Roman"/>
          <w:color w:val="000000" w:themeColor="text1"/>
          <w:sz w:val="16"/>
          <w:szCs w:val="16"/>
          <w:u w:color="002060"/>
        </w:rPr>
      </w:pPr>
    </w:p>
    <w:p w14:paraId="1D10B0B9" w14:textId="77777777" w:rsidR="00BB323F" w:rsidRPr="005E779E" w:rsidRDefault="00BB323F"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15 июля 1931</w:t>
      </w:r>
      <w:r w:rsidRPr="005E779E">
        <w:rPr>
          <w:rFonts w:ascii="Times New Roman" w:hAnsi="Times New Roman"/>
          <w:color w:val="000000" w:themeColor="text1"/>
          <w:sz w:val="16"/>
          <w:szCs w:val="16"/>
        </w:rPr>
        <w:t>Политбюро ЦК ВКП (б) приняло решение о строительстве моторного завода в Уфе; одобрило постановление президиума ВСНХ о разукрупнении объединений промышленности; утвердило проект постановления ЦК ВКП(б) «Об упорядочении проведения непрерывной производственной недели и ликвидации обезлички» и создало комиссию для разрешения всех связанных с этим вопросов; приняло предложение комиссии о. мерах по усилению производства экскаваторов и оборудования для хлебозаводов; приняло предложение ВСНХ о производстве рельс в 1931 г., предложив директорам заводов каждые 5 дней сообщать в ЦК ВКП (б) сведения о ходе поставки рельс (12265).</w:t>
      </w:r>
    </w:p>
    <w:p w14:paraId="24585DCF" w14:textId="77777777" w:rsidR="00BB323F" w:rsidRPr="005E779E" w:rsidRDefault="00BB323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6D13954E"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2353B9A3"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E05760F" w14:textId="77777777" w:rsidR="0005751F" w:rsidRPr="005E779E" w:rsidRDefault="0005751F" w:rsidP="000B7A6C">
      <w:pPr>
        <w:pStyle w:val="rteindent11"/>
        <w:shd w:val="clear" w:color="auto" w:fill="FFFFFF"/>
        <w:spacing w:before="0" w:beforeAutospacing="0" w:after="0"/>
        <w:ind w:left="0" w:firstLine="0"/>
        <w:rPr>
          <w:rStyle w:val="af0"/>
          <w:i w:val="0"/>
          <w:color w:val="000000" w:themeColor="text1"/>
          <w:sz w:val="16"/>
          <w:szCs w:val="16"/>
        </w:rPr>
      </w:pPr>
      <w:r w:rsidRPr="005E779E">
        <w:rPr>
          <w:rStyle w:val="af0"/>
          <w:i w:val="0"/>
          <w:color w:val="000000" w:themeColor="text1"/>
          <w:sz w:val="16"/>
          <w:szCs w:val="16"/>
        </w:rPr>
        <w:t xml:space="preserve">В середине июля 1931 было письмо завода № 39 </w:t>
      </w:r>
      <w:r w:rsidRPr="005E779E">
        <w:rPr>
          <w:color w:val="000000" w:themeColor="text1"/>
          <w:sz w:val="16"/>
          <w:szCs w:val="16"/>
        </w:rPr>
        <w:t>ближайшему помощнику и сотруднику Г.Г. Ягоды, комиссару I ранга Государственной безопасности Г.Е. Прокофьеву</w:t>
      </w:r>
    </w:p>
    <w:p w14:paraId="128F011B" w14:textId="77777777" w:rsidR="0005751F" w:rsidRPr="005E779E" w:rsidRDefault="0005751F" w:rsidP="000B7A6C">
      <w:pPr>
        <w:pStyle w:val="rteindent11"/>
        <w:shd w:val="clear" w:color="auto" w:fill="FFFFFF"/>
        <w:spacing w:before="0" w:beforeAutospacing="0" w:after="0"/>
        <w:ind w:left="0" w:firstLine="0"/>
        <w:rPr>
          <w:color w:val="000000" w:themeColor="text1"/>
          <w:sz w:val="16"/>
          <w:szCs w:val="16"/>
        </w:rPr>
      </w:pPr>
      <w:r w:rsidRPr="005E779E">
        <w:rPr>
          <w:rStyle w:val="af0"/>
          <w:i w:val="0"/>
          <w:color w:val="000000" w:themeColor="text1"/>
          <w:sz w:val="16"/>
          <w:szCs w:val="16"/>
        </w:rPr>
        <w:t>Дорогой ГЕОРГИЙ ЕВГЕНЬЕВИЧ!</w:t>
      </w:r>
    </w:p>
    <w:p w14:paraId="132A329E" w14:textId="77777777" w:rsidR="0005751F" w:rsidRPr="005E779E" w:rsidRDefault="0005751F" w:rsidP="000B7A6C">
      <w:pPr>
        <w:pStyle w:val="rteindent11"/>
        <w:shd w:val="clear" w:color="auto" w:fill="FFFFFF"/>
        <w:spacing w:before="0" w:beforeAutospacing="0" w:after="0"/>
        <w:ind w:left="0" w:firstLine="0"/>
        <w:rPr>
          <w:rStyle w:val="af0"/>
          <w:i w:val="0"/>
          <w:color w:val="000000" w:themeColor="text1"/>
          <w:sz w:val="16"/>
          <w:szCs w:val="16"/>
        </w:rPr>
      </w:pPr>
      <w:r w:rsidRPr="005E779E">
        <w:rPr>
          <w:rStyle w:val="af0"/>
          <w:i w:val="0"/>
          <w:color w:val="000000" w:themeColor="text1"/>
          <w:sz w:val="16"/>
          <w:szCs w:val="16"/>
        </w:rPr>
        <w:t>Вчера, Постановлением ЦИК Союза, ЦКБ и завод № 39 им. Менжинского получили награды.</w:t>
      </w:r>
    </w:p>
    <w:p w14:paraId="54E487A7" w14:textId="77777777" w:rsidR="0005751F" w:rsidRPr="005E779E" w:rsidRDefault="0005751F" w:rsidP="000B7A6C">
      <w:pPr>
        <w:pStyle w:val="rteindent11"/>
        <w:shd w:val="clear" w:color="auto" w:fill="FFFFFF"/>
        <w:spacing w:before="0" w:beforeAutospacing="0" w:after="0"/>
        <w:ind w:left="0" w:firstLine="0"/>
        <w:rPr>
          <w:color w:val="000000" w:themeColor="text1"/>
          <w:sz w:val="16"/>
          <w:szCs w:val="16"/>
        </w:rPr>
      </w:pPr>
      <w:r w:rsidRPr="005E779E">
        <w:rPr>
          <w:rStyle w:val="af0"/>
          <w:i w:val="0"/>
          <w:color w:val="000000" w:themeColor="text1"/>
          <w:sz w:val="16"/>
          <w:szCs w:val="16"/>
        </w:rPr>
        <w:t xml:space="preserve">Принимая утвержденные Партией и Правительством награды и считая их нами заслуженными упорной работой, сметающей с пути все препятствия в неустанном движении поставленным задачам, мы, коллектив рабочих и инженерно-технических работников ЦКБ не можем не вспомнить Тебя, дорогой Георгий Евгеньевич, </w:t>
      </w:r>
      <w:r w:rsidRPr="005E779E">
        <w:rPr>
          <w:rStyle w:val="af0"/>
          <w:i w:val="0"/>
          <w:color w:val="000000" w:themeColor="text1"/>
          <w:sz w:val="16"/>
          <w:szCs w:val="16"/>
        </w:rPr>
        <w:lastRenderedPageBreak/>
        <w:t>первого смелого инициатора нашей молодой организации, старого Чекиста, революционера, первого поставившего вопрос об использовании вчерашних врагов Революции - вредителей инженеров Авиации – на службу укрепления Пролетарской Армии в предстоящих решительных боях за Коммунизм.</w:t>
      </w:r>
    </w:p>
    <w:p w14:paraId="5E34EA9B" w14:textId="77777777" w:rsidR="0005751F" w:rsidRPr="005E779E" w:rsidRDefault="0005751F" w:rsidP="000B7A6C">
      <w:pPr>
        <w:pStyle w:val="rteindent11"/>
        <w:shd w:val="clear" w:color="auto" w:fill="FFFFFF"/>
        <w:spacing w:before="0" w:beforeAutospacing="0" w:after="0"/>
        <w:ind w:left="0" w:firstLine="0"/>
        <w:rPr>
          <w:color w:val="000000" w:themeColor="text1"/>
          <w:sz w:val="16"/>
          <w:szCs w:val="16"/>
        </w:rPr>
      </w:pPr>
      <w:r w:rsidRPr="005E779E">
        <w:rPr>
          <w:rStyle w:val="af0"/>
          <w:i w:val="0"/>
          <w:color w:val="000000" w:themeColor="text1"/>
          <w:sz w:val="16"/>
          <w:szCs w:val="16"/>
        </w:rPr>
        <w:t>Считаем, что вместе с нами Ты разделишь нашу радость в достигнутых успехах, шлем Тебе дорогой Георгий Евгеньевич наш пролетарский привет, нашу благодарность за внимание, помощь во всей нашей успешной работе под Твоим руководством, приведшим к перевооружению Воздушного флота.</w:t>
      </w:r>
    </w:p>
    <w:p w14:paraId="2F192D74" w14:textId="77777777" w:rsidR="0005751F" w:rsidRPr="005E779E" w:rsidRDefault="0005751F" w:rsidP="000B7A6C">
      <w:pPr>
        <w:pStyle w:val="rteindent11"/>
        <w:shd w:val="clear" w:color="auto" w:fill="FFFFFF"/>
        <w:spacing w:before="0" w:beforeAutospacing="0" w:after="0"/>
        <w:ind w:left="0" w:firstLine="0"/>
        <w:rPr>
          <w:color w:val="000000" w:themeColor="text1"/>
          <w:sz w:val="16"/>
          <w:szCs w:val="16"/>
        </w:rPr>
      </w:pPr>
      <w:r w:rsidRPr="005E779E">
        <w:rPr>
          <w:rStyle w:val="af0"/>
          <w:i w:val="0"/>
          <w:color w:val="000000" w:themeColor="text1"/>
          <w:sz w:val="16"/>
          <w:szCs w:val="16"/>
        </w:rPr>
        <w:t>Надеемся, что и в дальнейшем, как и в первом успешно пройденном пути нашей работы, Ты, испытанный опытный руководитель, организатор ряда Конструкторских Бюро и в будущем не откажешь в своем руководстве.</w:t>
      </w:r>
    </w:p>
    <w:p w14:paraId="73F17941" w14:textId="77777777" w:rsidR="0005751F" w:rsidRPr="005E779E" w:rsidRDefault="0005751F" w:rsidP="000B7A6C">
      <w:pPr>
        <w:pStyle w:val="rteindent11"/>
        <w:shd w:val="clear" w:color="auto" w:fill="FFFFFF"/>
        <w:spacing w:before="0" w:beforeAutospacing="0" w:after="0"/>
        <w:ind w:left="0" w:firstLine="0"/>
        <w:rPr>
          <w:color w:val="000000" w:themeColor="text1"/>
          <w:sz w:val="16"/>
          <w:szCs w:val="16"/>
        </w:rPr>
      </w:pPr>
      <w:r w:rsidRPr="005E779E">
        <w:rPr>
          <w:rStyle w:val="af0"/>
          <w:i w:val="0"/>
          <w:color w:val="000000" w:themeColor="text1"/>
          <w:sz w:val="16"/>
          <w:szCs w:val="16"/>
        </w:rPr>
        <w:t>Посылая Тебе наш дружеский братский привет, заверяем Тебя и Председателя ОГПУ тов. Менжинского, имя которого носит наш завод и неутомимого славного Чекиста тов. Ягоду, что мы отдадим все силы, знания на превышение достигнутых результатов, темпов в деле построения Социалистической Экономики Союза для ускорения свержения власти капитала.</w:t>
      </w:r>
    </w:p>
    <w:p w14:paraId="11C5A2B6" w14:textId="77777777" w:rsidR="0005751F" w:rsidRPr="005E779E" w:rsidRDefault="0005751F" w:rsidP="000B7A6C">
      <w:pPr>
        <w:pStyle w:val="rteindent11"/>
        <w:shd w:val="clear" w:color="auto" w:fill="FFFFFF"/>
        <w:spacing w:before="0" w:beforeAutospacing="0" w:after="0"/>
        <w:ind w:left="0" w:firstLine="0"/>
        <w:rPr>
          <w:color w:val="000000" w:themeColor="text1"/>
          <w:sz w:val="16"/>
          <w:szCs w:val="16"/>
        </w:rPr>
      </w:pPr>
      <w:r w:rsidRPr="005E779E">
        <w:rPr>
          <w:rStyle w:val="af0"/>
          <w:i w:val="0"/>
          <w:color w:val="000000" w:themeColor="text1"/>
          <w:sz w:val="16"/>
          <w:szCs w:val="16"/>
        </w:rPr>
        <w:t>Начальник ЦКБ Горянов</w:t>
      </w:r>
    </w:p>
    <w:p w14:paraId="65FFC967" w14:textId="77777777" w:rsidR="0005751F" w:rsidRPr="005E779E" w:rsidRDefault="0005751F" w:rsidP="000B7A6C">
      <w:pPr>
        <w:pStyle w:val="rteindent11"/>
        <w:shd w:val="clear" w:color="auto" w:fill="FFFFFF"/>
        <w:spacing w:before="0" w:beforeAutospacing="0" w:after="0"/>
        <w:ind w:left="0" w:firstLine="0"/>
        <w:rPr>
          <w:rStyle w:val="af0"/>
          <w:i w:val="0"/>
          <w:color w:val="000000" w:themeColor="text1"/>
          <w:sz w:val="16"/>
          <w:szCs w:val="16"/>
        </w:rPr>
      </w:pPr>
      <w:r w:rsidRPr="005E779E">
        <w:rPr>
          <w:rStyle w:val="af0"/>
          <w:i w:val="0"/>
          <w:color w:val="000000" w:themeColor="text1"/>
          <w:sz w:val="16"/>
          <w:szCs w:val="16"/>
        </w:rPr>
        <w:t>Зам. начальника ЦКБ и директор завода Пауфлер</w:t>
      </w:r>
    </w:p>
    <w:p w14:paraId="20DE517B" w14:textId="77777777" w:rsidR="0005751F" w:rsidRPr="005E779E" w:rsidRDefault="0005751F" w:rsidP="000B7A6C">
      <w:pPr>
        <w:pStyle w:val="rteindent11"/>
        <w:shd w:val="clear" w:color="auto" w:fill="FFFFFF"/>
        <w:spacing w:before="0" w:beforeAutospacing="0" w:after="0"/>
        <w:ind w:left="0" w:firstLine="0"/>
        <w:rPr>
          <w:rStyle w:val="af0"/>
          <w:i w:val="0"/>
          <w:color w:val="000000" w:themeColor="text1"/>
          <w:sz w:val="16"/>
          <w:szCs w:val="16"/>
        </w:rPr>
      </w:pPr>
      <w:r w:rsidRPr="005E779E">
        <w:rPr>
          <w:rStyle w:val="af0"/>
          <w:i w:val="0"/>
          <w:color w:val="000000" w:themeColor="text1"/>
          <w:sz w:val="16"/>
          <w:szCs w:val="16"/>
        </w:rPr>
        <w:t>Секретарь ячейки ВКП(б) Сачковский</w:t>
      </w:r>
    </w:p>
    <w:p w14:paraId="0BE8A617" w14:textId="77777777" w:rsidR="0005751F" w:rsidRPr="005E779E" w:rsidRDefault="0005751F" w:rsidP="000B7A6C">
      <w:pPr>
        <w:pStyle w:val="rteindent11"/>
        <w:shd w:val="clear" w:color="auto" w:fill="FFFFFF"/>
        <w:spacing w:before="0" w:beforeAutospacing="0" w:after="0"/>
        <w:ind w:left="0" w:firstLine="0"/>
        <w:rPr>
          <w:rStyle w:val="af0"/>
          <w:i w:val="0"/>
          <w:color w:val="000000" w:themeColor="text1"/>
          <w:sz w:val="16"/>
          <w:szCs w:val="16"/>
        </w:rPr>
      </w:pPr>
      <w:r w:rsidRPr="005E779E">
        <w:rPr>
          <w:rStyle w:val="af0"/>
          <w:i w:val="0"/>
          <w:color w:val="000000" w:themeColor="text1"/>
          <w:sz w:val="16"/>
          <w:szCs w:val="16"/>
        </w:rPr>
        <w:t>Председатель завкома Царев (15223).</w:t>
      </w:r>
    </w:p>
    <w:p w14:paraId="773881FD" w14:textId="77777777" w:rsidR="0005751F" w:rsidRPr="005E779E" w:rsidRDefault="0005751F" w:rsidP="000B7A6C">
      <w:pPr>
        <w:pStyle w:val="rteindent11"/>
        <w:shd w:val="clear" w:color="auto" w:fill="FFFFFF"/>
        <w:spacing w:before="0" w:beforeAutospacing="0" w:after="0"/>
        <w:ind w:left="0" w:firstLine="0"/>
        <w:rPr>
          <w:rStyle w:val="af0"/>
          <w:i w:val="0"/>
          <w:color w:val="000000" w:themeColor="text1"/>
          <w:sz w:val="16"/>
          <w:szCs w:val="16"/>
        </w:rPr>
      </w:pPr>
    </w:p>
    <w:p w14:paraId="4DDFCB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середине июля 1931 г. из заключения освободили Поликарпова и других инженеров (9536,4).</w:t>
      </w:r>
    </w:p>
    <w:p w14:paraId="1D92ED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8AEFCF5" w14:textId="77777777" w:rsidR="0005751F"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5C2AFD39" w14:textId="77777777" w:rsidR="0005751F" w:rsidRPr="005E779E" w:rsidRDefault="0005751F"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84152B7" w14:textId="77777777" w:rsidR="0005751F" w:rsidRPr="005E779E" w:rsidRDefault="0005751F" w:rsidP="000B7A6C">
      <w:pPr>
        <w:pStyle w:val="a3"/>
        <w:rPr>
          <w:color w:val="000000" w:themeColor="text1"/>
          <w:lang w:val="ru-RU"/>
        </w:rPr>
      </w:pPr>
      <w:r w:rsidRPr="005E779E">
        <w:rPr>
          <w:color w:val="000000" w:themeColor="text1"/>
          <w:lang w:val="ru-RU"/>
        </w:rPr>
        <w:t>В середине июля 1931 прошли приемочные испытания танка Виккерс 12-тонный №4 (№232), а 1 августа он был отправлен в СССР на пароходе «Смольный». Пя</w:t>
      </w:r>
      <w:r w:rsidRPr="005E779E">
        <w:rPr>
          <w:color w:val="000000" w:themeColor="text1"/>
          <w:lang w:val="ru-RU"/>
        </w:rPr>
        <w:softHyphen/>
        <w:t>тый 12-тонный танк (№233) после сдаточных испытаний отправили через несколько дней. В том же месяце были приняты и отправлены танки №6, №7, №8, №9 и № 10. Однако при проведении пробеговых испы</w:t>
      </w:r>
      <w:r w:rsidRPr="005E779E">
        <w:rPr>
          <w:color w:val="000000" w:themeColor="text1"/>
          <w:lang w:val="ru-RU"/>
        </w:rPr>
        <w:softHyphen/>
        <w:t>таний в Англии обнаружился еще один недоста</w:t>
      </w:r>
      <w:r w:rsidRPr="005E779E">
        <w:rPr>
          <w:color w:val="000000" w:themeColor="text1"/>
          <w:lang w:val="ru-RU"/>
        </w:rPr>
        <w:softHyphen/>
        <w:t>ток - разбалтывание заклепок траков (случа</w:t>
      </w:r>
      <w:r w:rsidRPr="005E779E">
        <w:rPr>
          <w:color w:val="000000" w:themeColor="text1"/>
          <w:lang w:val="ru-RU"/>
        </w:rPr>
        <w:softHyphen/>
        <w:t>лось, что после пробегов приходилось менять до 17 плиц). Их замена оказалась крайне затрудне</w:t>
      </w:r>
      <w:r w:rsidRPr="005E779E">
        <w:rPr>
          <w:color w:val="000000" w:themeColor="text1"/>
          <w:lang w:val="ru-RU"/>
        </w:rPr>
        <w:softHyphen/>
        <w:t xml:space="preserve">на, так как требовалось предварительно срубать ослабевшие заклепки. Тогда было решено: установить на танк </w:t>
      </w:r>
      <w:r w:rsidRPr="005E779E">
        <w:rPr>
          <w:color w:val="000000" w:themeColor="text1"/>
        </w:rPr>
        <w:t>N</w:t>
      </w:r>
      <w:r w:rsidRPr="005E779E">
        <w:rPr>
          <w:color w:val="000000" w:themeColor="text1"/>
          <w:lang w:val="ru-RU"/>
        </w:rPr>
        <w:t xml:space="preserve"> 9 одну гусеницу со старыси заклепками, а другую - с заклепками вполупотай. Последний вариант показал удовлетворительные результаты на испытаниях, и начиная с этого танка все машины оснащались такими гусеницами (15745).</w:t>
      </w:r>
    </w:p>
    <w:p w14:paraId="7D0F1C9B" w14:textId="77777777" w:rsidR="0005751F" w:rsidRPr="005E779E" w:rsidRDefault="0005751F" w:rsidP="000B7A6C">
      <w:pPr>
        <w:pStyle w:val="a3"/>
        <w:rPr>
          <w:color w:val="000000" w:themeColor="text1"/>
          <w:lang w:val="ru-RU"/>
        </w:rPr>
      </w:pPr>
    </w:p>
    <w:p w14:paraId="0D9D3439" w14:textId="77777777" w:rsidR="006E1356" w:rsidRPr="00142305" w:rsidRDefault="006E1356" w:rsidP="006E135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середине июля 1931 г. прошли приёмочные испытания танка Виккерс № 4 (№ 232), а 1 августа он был отправлен в СССР на пароходе «Смольный». Пятый 12-тонный танк (№ 233) после сдаточных испытаний отправили через несколько дней. В том же месяце были приняты и отправлены танки № 6, № 7, № 8, № 9 и № 10…</w:t>
      </w:r>
    </w:p>
    <w:p w14:paraId="62E92986" w14:textId="77777777" w:rsidR="006E1356" w:rsidRPr="00142305" w:rsidRDefault="006E1356" w:rsidP="006E135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9 сентября 1931 г. на пароход «Кооперация» был погружен танк № 11, а 19 сентября на пароход «Сучан» – танк № 12. 13-й танк покинул Лондон в конце сентября, 14-й танк – 9 октября. Во второй половине октября прошел испытания последний танк № 15, однако его сдача задержалась из-за дефектов в бронелистах башни. Только 10 ноября 1931 г. его погрузили в Лондоне на пароход «Рыков». Таким образом, договор с фирмой «Виккерс-Армстронг» был полностью выполнен (25184).</w:t>
      </w:r>
    </w:p>
    <w:p w14:paraId="25EAEA13" w14:textId="77777777" w:rsidR="006E1356" w:rsidRPr="00142305" w:rsidRDefault="006E1356" w:rsidP="006E1356">
      <w:pPr>
        <w:spacing w:after="0" w:line="240" w:lineRule="auto"/>
        <w:jc w:val="both"/>
        <w:rPr>
          <w:rFonts w:ascii="Times New Roman" w:hAnsi="Times New Roman"/>
          <w:color w:val="0070C0"/>
          <w:sz w:val="16"/>
          <w:szCs w:val="16"/>
        </w:rPr>
      </w:pPr>
    </w:p>
    <w:p w14:paraId="47C95654" w14:textId="77777777" w:rsidR="00697DA5" w:rsidRPr="005E779E" w:rsidRDefault="00697DA5"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12019D46" w14:textId="77777777" w:rsidR="00697DA5" w:rsidRPr="005E779E" w:rsidRDefault="00697DA5"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2FB4837" w14:textId="77777777" w:rsidR="00697DA5" w:rsidRPr="005E779E" w:rsidRDefault="00697DA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середине июля 1931 г. Каганович и Булганин предложили Сталину создать специальное учреждение по строительству метро. Как и другие «гиганты пятилетки», стройка должна была носить общегосударственный характер и снабжаться в привилегированном режиме. Руководство предприятием следовало поручить специалисту с практическим опытом работына крупных стройках. Каганович и Булганин предложили кандидатуру инженера А. В. Винтера, который успешно руководил сооружением плотины гидроэлектростанции на Днепре (Днепрострой) и в неофициальных переговорах дал свое принципиальное согласие{353}.</w:t>
      </w:r>
    </w:p>
    <w:p w14:paraId="5D0E5240" w14:textId="77777777" w:rsidR="00697DA5" w:rsidRPr="005E779E" w:rsidRDefault="00697DA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 В конце июля Политбюро обсудило вопрос и высказалось в пользу не Винтера, а его заместителя Павла Павловича Ротерта. Орджоникидзе и Кагановичу поручили переговорить с Ротерт.ом. 5 августа 1931 г. тот был утвержден в должности начальника строительства московского метро с обязательством не позднее 1 мая 1932 г. быть в полном распоряжении для выполнения этой задачи{354}.Дело в том, что Ротерт. был еще занят на Днепрострое, откуда был окончательно уволен только 8 мая 1932 г.{355} (18299).</w:t>
      </w:r>
    </w:p>
    <w:p w14:paraId="09764D27" w14:textId="77777777" w:rsidR="00697DA5" w:rsidRPr="005E779E" w:rsidRDefault="00697DA5" w:rsidP="000B7A6C">
      <w:pPr>
        <w:spacing w:after="0" w:line="240" w:lineRule="auto"/>
        <w:jc w:val="both"/>
        <w:rPr>
          <w:rFonts w:ascii="Times New Roman" w:hAnsi="Times New Roman"/>
          <w:color w:val="000000" w:themeColor="text1"/>
          <w:sz w:val="16"/>
          <w:szCs w:val="16"/>
        </w:rPr>
      </w:pPr>
    </w:p>
    <w:p w14:paraId="1A7A73DD"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66BB9C95"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672DB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 июля 1931 при полете на И-4 у А.Ф.Анисимова оборвалась верхняя обшивка правого крыла, но сумел приземлиться на ЦА (172,46).</w:t>
      </w:r>
    </w:p>
    <w:p w14:paraId="3F6B8D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EF305D4" w14:textId="77777777" w:rsidR="00472582" w:rsidRPr="005E779E" w:rsidRDefault="00472582"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6C336B82" w14:textId="77777777" w:rsidR="00472582" w:rsidRPr="005E779E" w:rsidRDefault="00472582"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F6BAF34" w14:textId="77777777" w:rsidR="00472582" w:rsidRPr="005E779E" w:rsidRDefault="0047258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 июля 1931 года — первый полёт гоночного гидросамолёта Macchi M.C.72. /Италия/</w:t>
      </w:r>
    </w:p>
    <w:p w14:paraId="312D266C" w14:textId="77777777" w:rsidR="00472582" w:rsidRPr="005E779E" w:rsidRDefault="0047258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Перед Кубком Шнейдера 1931 года на счету британской команды было 2 победы подряд. По правилам, третья победа навечно оставляла трофей в Великобритании. Италия прикладывала все усилия, чтобы не допустить этого. Под руководством ведущего конструктора компании Aeronautica Macchi Марио Кастольди (Mario Castoldi) спроектировали гидросамолёт M.C.72.</w:t>
      </w:r>
    </w:p>
    <w:p w14:paraId="2C27D07B" w14:textId="77777777" w:rsidR="00472582" w:rsidRPr="005E779E" w:rsidRDefault="0047258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Это был низкоплан с поплавковым шасси, развивавший идеи предыдущих проектов Кастольди — M.67 и M.39. Оснащался 24-цилиндровым двигателем Fiat AS.6 мощностью 2851 л.с. (позже форсировали до 3100 л.с.)</w:t>
      </w:r>
    </w:p>
    <w:p w14:paraId="0E75D0F5" w14:textId="77777777" w:rsidR="00472582" w:rsidRPr="005E779E" w:rsidRDefault="0047258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Из-за проблем с двигателем M.C.72 не принял участие в Кубке Шнейдера. Но 23 октября 1934 года на нём был установлен мировой рекорд скорости для поршневых гидросамолётов — 709,207 км/ч. Он не побит до сих пор! Всего построили 5 самолётов M.C.72, два из которых разбились, унеся жизни пилотов. Сохранившийся рекордный гидросамолёт находится в музее итальянских ВВС (22300).</w:t>
      </w:r>
    </w:p>
    <w:p w14:paraId="58DE0B6A" w14:textId="77777777" w:rsidR="00472582" w:rsidRPr="005E779E" w:rsidRDefault="00472582" w:rsidP="000B7A6C">
      <w:pPr>
        <w:spacing w:after="0" w:line="240" w:lineRule="auto"/>
        <w:jc w:val="both"/>
        <w:rPr>
          <w:rFonts w:ascii="Times New Roman" w:hAnsi="Times New Roman"/>
          <w:color w:val="000000" w:themeColor="text1"/>
          <w:sz w:val="16"/>
          <w:szCs w:val="16"/>
        </w:rPr>
      </w:pPr>
    </w:p>
    <w:p w14:paraId="1C1C89C1"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0DDD62B8"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120E9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17 и 23 июля 1931. Из протокола заседания Политбюро № 51, 1931 г.</w:t>
      </w:r>
    </w:p>
    <w:p w14:paraId="66B4AB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 мероприятиях по борьбе с антисанитарным состоянием рабочих поселков, общежитий и учреждений общественного питания</w:t>
      </w:r>
    </w:p>
    <w:p w14:paraId="3C1755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ЦК констатирует, что наркомздравы союзных республик: </w:t>
      </w:r>
    </w:p>
    <w:p w14:paraId="663732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 не ведут большевистской борьбы с антисанитарным состоянием рабочих общежитий и поселков; </w:t>
      </w:r>
    </w:p>
    <w:p w14:paraId="6E8E3C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б) не осуществляют никакого надзора за культурным состоянием заводских столовых и других закрытых и открытых учреждений общественного питания; </w:t>
      </w:r>
    </w:p>
    <w:p w14:paraId="61AE10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не обеспечили медицинской помощи на лесоразработках, лесосплаве, на сезонно-дорожных, земляных и других работах. </w:t>
      </w:r>
    </w:p>
    <w:p w14:paraId="6DB812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ЦК постановляет: </w:t>
      </w:r>
    </w:p>
    <w:p w14:paraId="49B695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 Указать наркомам здравоохранения союзных республик на их бездеятельность в деле борьбы с антисанитарным состоянием рабочих поселков, общежитий и учреждений общественного питания. </w:t>
      </w:r>
    </w:p>
    <w:p w14:paraId="7C9C89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 Предложить под личную ответственность наркомов здравоохранения союзных республик в декадный срок развернуть эту работу, выделить специальных инспекторов санитарного надзора, на обязанность которых возложить повседневное наблюдение за культурным состоянием указанных учреждений и с правом привлекать к строжайшей ответственности (наложение штрафов, передача в суд) виновных в антисанитарном состоянии этих учреждений; наркомздравам союзных республик организовать дело оказания медицинской помощи в районе лесоразработок, сплава, погрузки, а также сезонных, дорожных и других работ. </w:t>
      </w:r>
    </w:p>
    <w:p w14:paraId="1C4458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Поручить СНК СССР разработать положение о санитарной инспекции, правила санитарного надзора и определить меры взыскания, применяемые в отношении лиц, виновных в нарушении этих правил (11652).</w:t>
      </w:r>
    </w:p>
    <w:p w14:paraId="050222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DDF14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17 и 23 июля 1931. Из протокола заседания Политбюро № 50, 1931 г.</w:t>
      </w:r>
    </w:p>
    <w:p w14:paraId="323166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Постановление СНК СССР о ликвидации задолженности учителям </w:t>
      </w:r>
    </w:p>
    <w:p w14:paraId="2C2A26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Отпустить из резервного фонда СНК СССР 7 млн рублей на ликвидацию задолженности учителям по тем областям, которые в данный момент полностью не могут за счет местного бюджета покрыть эту задолженность (по УССР — 1 млн руб., РСФСР — 5,5 млн рублей и по остальным союзным республикам — 0,5 млн рублей) (11652).</w:t>
      </w:r>
    </w:p>
    <w:p w14:paraId="6820D3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E4DAED4"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1538E6B1"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2F6C87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июля 1931 года Начальник НИИ Дубенский утвердил результаты:</w:t>
      </w:r>
    </w:p>
    <w:p w14:paraId="1074CDC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Испытание самолета ДИ3 БМВ VI – опытный экземпляр</w:t>
      </w:r>
    </w:p>
    <w:p w14:paraId="6C080C2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Постройки ЦКБ завода № 39 № 17115</w:t>
      </w:r>
    </w:p>
    <w:p w14:paraId="0BC66C5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получен на испытания – 10 апреля 1931 года</w:t>
      </w:r>
    </w:p>
    <w:p w14:paraId="56360B8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Испытания окончены – 12 июля 1931 года</w:t>
      </w:r>
    </w:p>
    <w:p w14:paraId="7266464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Общее число дней – 92</w:t>
      </w:r>
    </w:p>
    <w:p w14:paraId="58A265F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летал – 24 дня</w:t>
      </w:r>
    </w:p>
    <w:p w14:paraId="692E5E5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 полетов – 36 с налетом 28, 5 часов</w:t>
      </w:r>
    </w:p>
    <w:p w14:paraId="32E51BF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w:t>
      </w:r>
    </w:p>
    <w:p w14:paraId="1A6FE5E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Данные самолета ДИ-3 полученные при испытании в НИИ показывают, что самолет полностью не удовлетворяет техническим требованиям, как по скоростям на всех высотах, так и по скороподъемности.</w:t>
      </w:r>
    </w:p>
    <w:p w14:paraId="51D451D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основании полученных данных, считать невозможным рекомендовать самолет на массовое снабжение в ВВС (6932).</w:t>
      </w:r>
    </w:p>
    <w:p w14:paraId="5955A84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24DA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июля 1931 состоялось первое совещание группы, которая потом стала ядром ГИРД (сначала бюро ИРД) (388,58).</w:t>
      </w:r>
    </w:p>
    <w:p w14:paraId="0EDC31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051EA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18 июля 1931 г. при ЦС Осоавиахима создано общественное бюро изучения реактивного движения, 20.09.1931 г. оно преобразовано в ГИРД, которая называлась вначале МосГИРД, затем- Центральная ГИРД (ЦГИРД). Организаторами ГИРД были С.П. Королев, Ф.А. Цандер, М.К. Тихонравов, Ю.А. Победоносцев. Группа располагалась в подвале дома № 19 по ул. Садово-Черногрязской, вместе с ЦКБ по планерам Осоавиахима, которое возглавлял </w:t>
      </w:r>
      <w:r w:rsidRPr="005E779E">
        <w:rPr>
          <w:rFonts w:ascii="Times New Roman" w:hAnsi="Times New Roman"/>
          <w:color w:val="000000" w:themeColor="text1"/>
          <w:sz w:val="16"/>
          <w:szCs w:val="16"/>
          <w:lang w:val="en-US"/>
        </w:rPr>
        <w:t>O</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K</w:t>
      </w:r>
      <w:r w:rsidRPr="005E779E">
        <w:rPr>
          <w:rFonts w:ascii="Times New Roman" w:hAnsi="Times New Roman"/>
          <w:color w:val="000000" w:themeColor="text1"/>
          <w:sz w:val="16"/>
          <w:szCs w:val="16"/>
        </w:rPr>
        <w:t>. Антонов. В 1931 г. в ГИРД организовано 4 бригады: № 1 (далее - КБ-7 РНИИ) - разработка жидкостных двигателей для ракетоплана; № 2 - жидкостных баллистических ракет; № 3 - ПВРД, газодинамических испытательных установок; № 4 - ракетопланов и крылатых ракет. В 04.1931 г. было принято решение о создании Опытного ракетного завода ЦГИРД.</w:t>
      </w:r>
    </w:p>
    <w:p w14:paraId="51AD88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Существовала также Ленинградская группа - ЛенГИРД, созданная 13.11.1931 г., организаторами которой были Н.А. Рынин</w:t>
      </w:r>
      <w:r w:rsidRPr="005E779E">
        <w:rPr>
          <w:rFonts w:ascii="Times New Roman" w:hAnsi="Times New Roman"/>
          <w:color w:val="000000" w:themeColor="text1"/>
          <w:sz w:val="16"/>
          <w:szCs w:val="16"/>
          <w:vertAlign w:val="superscript"/>
        </w:rPr>
        <w:t>84</w:t>
      </w:r>
      <w:r w:rsidRPr="005E779E">
        <w:rPr>
          <w:rFonts w:ascii="Times New Roman" w:hAnsi="Times New Roman"/>
          <w:color w:val="000000" w:themeColor="text1"/>
          <w:sz w:val="16"/>
          <w:szCs w:val="16"/>
        </w:rPr>
        <w:t xml:space="preserve"> и В.В. Разумов (председатель); располагалась в Иоанновском равелине Петропавловской крепости.</w:t>
      </w:r>
    </w:p>
    <w:p w14:paraId="09583F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09.1930 г. испытан воздушно-бензиновый ракетный двигатель Цандера ОР-1. 17.08.1933г. запущена первая советская ракета Р-1 («09») с жидкостным двигателем Цандера, 25.11.1933г. запущена ракета ГИРД-Х (11982).</w:t>
      </w:r>
    </w:p>
    <w:p w14:paraId="199472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F039421" w14:textId="77777777" w:rsidR="0005751F" w:rsidRPr="005E779E" w:rsidRDefault="0005751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июля в 1931 году инициативной группой оформлен протокол о создании общественного бюро изучения реактивного движения. 20 сентября 1931 при регистрации в Центральном совете ОСОАВИАХИМ бюро было переименовано в группу ГИРД (14956).</w:t>
      </w:r>
    </w:p>
    <w:p w14:paraId="7756A867" w14:textId="77777777" w:rsidR="0005751F" w:rsidRPr="005E779E" w:rsidRDefault="0005751F" w:rsidP="000B7A6C">
      <w:pPr>
        <w:spacing w:after="0" w:line="240" w:lineRule="auto"/>
        <w:jc w:val="both"/>
        <w:rPr>
          <w:rFonts w:ascii="Times New Roman" w:hAnsi="Times New Roman"/>
          <w:color w:val="000000" w:themeColor="text1"/>
          <w:sz w:val="16"/>
          <w:szCs w:val="16"/>
        </w:rPr>
      </w:pPr>
    </w:p>
    <w:p w14:paraId="731B8ACF" w14:textId="77777777" w:rsidR="00F57EA4" w:rsidRPr="005E779E" w:rsidRDefault="00F57EA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июля 1931 г. при ЦС Осоавиахима было создано Центральное бюро изучения реактивного движения. Через три месяца (20 сентября) состоялось организационное собрание тех членов московского отделения этого бюро, которые хотели стро</w:t>
      </w:r>
      <w:r w:rsidRPr="005E779E">
        <w:rPr>
          <w:rFonts w:ascii="Times New Roman" w:hAnsi="Times New Roman"/>
          <w:color w:val="000000" w:themeColor="text1"/>
          <w:sz w:val="16"/>
          <w:szCs w:val="16"/>
        </w:rPr>
        <w:softHyphen/>
        <w:t>ить летательные аппараты с реактивными двигателями — ракето</w:t>
      </w:r>
      <w:r w:rsidRPr="005E779E">
        <w:rPr>
          <w:rFonts w:ascii="Times New Roman" w:hAnsi="Times New Roman"/>
          <w:color w:val="000000" w:themeColor="text1"/>
          <w:sz w:val="16"/>
          <w:szCs w:val="16"/>
        </w:rPr>
        <w:softHyphen/>
        <w:t>планы и баллистические ракеты.</w:t>
      </w:r>
    </w:p>
    <w:p w14:paraId="02A92B27" w14:textId="77777777" w:rsidR="00F57EA4" w:rsidRPr="005E779E" w:rsidRDefault="00F57EA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Свое объединение они назвали московской Группой изучения реактивного движения, сокращенно — МосГИРД при ЦС ОСО- ВИАХИМ.</w:t>
      </w:r>
    </w:p>
    <w:p w14:paraId="2EE925B3" w14:textId="77777777" w:rsidR="00F57EA4" w:rsidRPr="005E779E" w:rsidRDefault="00F57EA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Руководителем группы избрали инженера Фридриха Цан</w:t>
      </w:r>
      <w:r w:rsidRPr="005E779E">
        <w:rPr>
          <w:rFonts w:ascii="Times New Roman" w:hAnsi="Times New Roman"/>
          <w:color w:val="000000" w:themeColor="text1"/>
          <w:sz w:val="16"/>
          <w:szCs w:val="16"/>
        </w:rPr>
        <w:softHyphen/>
        <w:t>дера, автора двух вариантов проекта ракетопланов для выхода в космос. Они были совершенно фантастическими, но энтузиа</w:t>
      </w:r>
      <w:r w:rsidRPr="005E779E">
        <w:rPr>
          <w:rFonts w:ascii="Times New Roman" w:hAnsi="Times New Roman"/>
          <w:color w:val="000000" w:themeColor="text1"/>
          <w:sz w:val="16"/>
          <w:szCs w:val="16"/>
        </w:rPr>
        <w:softHyphen/>
        <w:t>стам, мечтавшим о космосе, очень нравились.</w:t>
      </w:r>
    </w:p>
    <w:p w14:paraId="41581627" w14:textId="77777777" w:rsidR="00F57EA4" w:rsidRPr="005E779E" w:rsidRDefault="00F57EA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Члены группы занимались реализацией своих проектов бес</w:t>
      </w:r>
      <w:r w:rsidRPr="005E779E">
        <w:rPr>
          <w:rFonts w:ascii="Times New Roman" w:hAnsi="Times New Roman"/>
          <w:color w:val="000000" w:themeColor="text1"/>
          <w:sz w:val="16"/>
          <w:szCs w:val="16"/>
        </w:rPr>
        <w:softHyphen/>
        <w:t>платно, по вечерам после основной работы или службы, а так</w:t>
      </w:r>
      <w:r w:rsidRPr="005E779E">
        <w:rPr>
          <w:rFonts w:ascii="Times New Roman" w:hAnsi="Times New Roman"/>
          <w:color w:val="000000" w:themeColor="text1"/>
          <w:sz w:val="16"/>
          <w:szCs w:val="16"/>
        </w:rPr>
        <w:softHyphen/>
        <w:t>же в выходные и праздничные дни (в СССР тогда существовала пятидневка: каждый пятый день был выходным). Поэтому они шутливо расшифровывали аббревиатуру ГИРД как Группа Инже</w:t>
      </w:r>
      <w:r w:rsidRPr="005E779E">
        <w:rPr>
          <w:rFonts w:ascii="Times New Roman" w:hAnsi="Times New Roman"/>
          <w:color w:val="000000" w:themeColor="text1"/>
          <w:sz w:val="16"/>
          <w:szCs w:val="16"/>
        </w:rPr>
        <w:softHyphen/>
        <w:t>неров Работающих Даром. Забегая вперед, скажу, что эта шутка оказалась пророческой: слово «даром» имеет и другое значение — «напрасно». Ни одна из разработок ГИРД не нашла практическо</w:t>
      </w:r>
      <w:r w:rsidRPr="005E779E">
        <w:rPr>
          <w:rFonts w:ascii="Times New Roman" w:hAnsi="Times New Roman"/>
          <w:color w:val="000000" w:themeColor="text1"/>
          <w:sz w:val="16"/>
          <w:szCs w:val="16"/>
        </w:rPr>
        <w:softHyphen/>
        <w:t>го применения (23550).</w:t>
      </w:r>
    </w:p>
    <w:p w14:paraId="6B56A3A4" w14:textId="77777777" w:rsidR="00F57EA4" w:rsidRPr="005E779E" w:rsidRDefault="00F57EA4" w:rsidP="000B7A6C">
      <w:pPr>
        <w:spacing w:after="0" w:line="240" w:lineRule="auto"/>
        <w:jc w:val="both"/>
        <w:rPr>
          <w:rFonts w:ascii="Times New Roman" w:hAnsi="Times New Roman"/>
          <w:color w:val="000000" w:themeColor="text1"/>
          <w:sz w:val="16"/>
          <w:szCs w:val="16"/>
        </w:rPr>
      </w:pPr>
    </w:p>
    <w:p w14:paraId="4E5C4AFA" w14:textId="2E56C9CC" w:rsidR="00F57EA4" w:rsidRPr="005E779E" w:rsidRDefault="00F57EA4" w:rsidP="000B7A6C">
      <w:pPr>
        <w:autoSpaceDE w:val="0"/>
        <w:autoSpaceDN w:val="0"/>
        <w:adjustRightInd w:val="0"/>
        <w:spacing w:after="0" w:line="240" w:lineRule="auto"/>
        <w:jc w:val="both"/>
        <w:rPr>
          <w:rFonts w:ascii="Times New Roman" w:hAnsi="Times New Roman"/>
          <w:i/>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547C2285" w14:textId="77777777" w:rsidR="00F57EA4" w:rsidRPr="005E779E" w:rsidRDefault="00F57EA4" w:rsidP="000B7A6C">
      <w:pPr>
        <w:autoSpaceDE w:val="0"/>
        <w:autoSpaceDN w:val="0"/>
        <w:adjustRightInd w:val="0"/>
        <w:spacing w:after="0" w:line="240" w:lineRule="auto"/>
        <w:jc w:val="both"/>
        <w:rPr>
          <w:rFonts w:ascii="Times New Roman" w:hAnsi="Times New Roman"/>
          <w:i/>
          <w:iCs/>
          <w:color w:val="000000" w:themeColor="text1"/>
          <w:sz w:val="16"/>
          <w:szCs w:val="16"/>
        </w:rPr>
      </w:pPr>
    </w:p>
    <w:p w14:paraId="394537F6" w14:textId="20A22E66" w:rsidR="00F57EA4" w:rsidRPr="005E779E" w:rsidRDefault="00F57EA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июля 1931 г. О результатах рассмотрения проекта танка ПТ-1</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И.А. Лебедев составил письмо на имя начальника УММ РККА И.А. Халепского, в котором, в частности, говорилось:</w:t>
      </w:r>
    </w:p>
    <w:p w14:paraId="2F80A492" w14:textId="77777777" w:rsidR="00F57EA4" w:rsidRPr="005E779E" w:rsidRDefault="00F57EA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«Рассмотренная конструкция представляет из себя колесно-гусеничный танк типа Кристи со всеми 4-мя ведущими осями на колесном ходу. Основная характеристика танка следующая:</w:t>
      </w:r>
    </w:p>
    <w:p w14:paraId="75364476" w14:textId="77777777" w:rsidR="00F57EA4" w:rsidRPr="005E779E" w:rsidRDefault="00F57EA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 около 11 тонн.</w:t>
      </w:r>
    </w:p>
    <w:p w14:paraId="3DED5163" w14:textId="77777777" w:rsidR="00F57EA4" w:rsidRPr="005E779E" w:rsidRDefault="00F57EA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Броня – 6 мм борта, 7 мм лобовая.</w:t>
      </w:r>
    </w:p>
    <w:p w14:paraId="545819CE" w14:textId="77777777" w:rsidR="00F57EA4" w:rsidRPr="005E779E" w:rsidRDefault="00F57EA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 – одна 45 мм пушка с пулеметом во вращающейся башне, один пулемет в шаровой установке.</w:t>
      </w:r>
    </w:p>
    <w:p w14:paraId="52E2E1AE" w14:textId="77777777" w:rsidR="00F57EA4" w:rsidRPr="005E779E" w:rsidRDefault="00F57EA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Скорость на гусеницах – ок. 60 клм, на колесах – около 78 км/час., на воде – 15 клм/час.</w:t>
      </w:r>
    </w:p>
    <w:p w14:paraId="64F8B4FD" w14:textId="77777777" w:rsidR="00F57EA4" w:rsidRPr="005E779E" w:rsidRDefault="00F57EA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 – 325 л.с. типа дизель.</w:t>
      </w:r>
    </w:p>
    <w:p w14:paraId="34443384" w14:textId="77777777" w:rsidR="00F57EA4" w:rsidRPr="005E779E" w:rsidRDefault="00F57EA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 обмена мнениями с лицами, выполняющими этот проект, выяснилось, что они имеют сильную инженерную подготовку и способны правильно решить чрезвычайно трудную задачу, которой является плавучий танк. Над этим вопросом работает один из самых лучших инженеров-специалистов корабельного дела.</w:t>
      </w:r>
    </w:p>
    <w:p w14:paraId="37790E1E" w14:textId="77777777" w:rsidR="00F57EA4" w:rsidRPr="005E779E" w:rsidRDefault="00F57EA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&lt;...&gt;</w:t>
      </w:r>
    </w:p>
    <w:p w14:paraId="3A1F7375" w14:textId="77777777" w:rsidR="00F57EA4" w:rsidRPr="005E779E" w:rsidRDefault="00F57EA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Конструкция дизель-мотора, наиболее нас интересующая, показана не была и будет демонстрироваться нам на этих днях. Так как конструкция этого танка связана с конструкцией мотора, то успех его осуществления зависит в первую очередь от удачного осуществления мотора. К тому же этот мотор, как по мощности, как по габаритам, так и по роду топлива чрезвычайно интересен для нас с точки зрения применения его в средних танках».</w:t>
      </w:r>
    </w:p>
    <w:p w14:paraId="639D322F" w14:textId="77777777" w:rsidR="00F57EA4" w:rsidRPr="005E779E" w:rsidRDefault="00F57EA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[РГВА. Ф. 31811. Оп. 3. Д. 29. Л. 52 с об.] (24856).</w:t>
      </w:r>
    </w:p>
    <w:p w14:paraId="209B1762" w14:textId="77777777" w:rsidR="00F57EA4" w:rsidRPr="005E779E" w:rsidRDefault="00F57EA4" w:rsidP="000B7A6C">
      <w:pPr>
        <w:spacing w:after="0" w:line="240" w:lineRule="auto"/>
        <w:jc w:val="both"/>
        <w:rPr>
          <w:rFonts w:ascii="Times New Roman" w:hAnsi="Times New Roman"/>
          <w:color w:val="000000" w:themeColor="text1"/>
          <w:sz w:val="16"/>
          <w:szCs w:val="16"/>
        </w:rPr>
      </w:pPr>
    </w:p>
    <w:p w14:paraId="52875F58" w14:textId="45B539ED"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2E618A69"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F07B70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июля 1931 в США спущен на воду первый в мире корабль с кондиционерами (4962).</w:t>
      </w:r>
    </w:p>
    <w:p w14:paraId="1604B1E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29AD3B"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52E780C2"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64361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 июля 1931 И-12 2ЮП-6 был переведен на аэродром (3029,209).</w:t>
      </w:r>
    </w:p>
    <w:p w14:paraId="320143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58FD537" w14:textId="77777777" w:rsidR="0005751F" w:rsidRPr="005E779E" w:rsidRDefault="0005751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 июля 1931 И-12 перевезли на Центральный аэродром, и только 29 августа 1931 г. на</w:t>
      </w:r>
      <w:r w:rsidRPr="005E779E">
        <w:rPr>
          <w:rFonts w:ascii="Times New Roman" w:hAnsi="Times New Roman"/>
          <w:color w:val="000000" w:themeColor="text1"/>
          <w:sz w:val="16"/>
          <w:szCs w:val="16"/>
        </w:rPr>
        <w:softHyphen/>
        <w:t>чальник лётной части ОЭЛИД И.Ф. Козлов совершил на нём первый полёт. Начавшиеся заводские лётные испытания выявили необходимость переделки вертикального опере</w:t>
      </w:r>
      <w:r w:rsidRPr="005E779E">
        <w:rPr>
          <w:rFonts w:ascii="Times New Roman" w:hAnsi="Times New Roman"/>
          <w:color w:val="000000" w:themeColor="text1"/>
          <w:sz w:val="16"/>
          <w:szCs w:val="16"/>
        </w:rPr>
        <w:softHyphen/>
        <w:t>ния, костылей и замену заднего воздушного винта (15823).</w:t>
      </w:r>
    </w:p>
    <w:p w14:paraId="29F383FC" w14:textId="77777777" w:rsidR="0005751F" w:rsidRPr="005E779E" w:rsidRDefault="0005751F" w:rsidP="000B7A6C">
      <w:pPr>
        <w:spacing w:after="0" w:line="240" w:lineRule="auto"/>
        <w:jc w:val="both"/>
        <w:rPr>
          <w:rFonts w:ascii="Times New Roman" w:hAnsi="Times New Roman"/>
          <w:color w:val="000000" w:themeColor="text1"/>
          <w:sz w:val="16"/>
          <w:szCs w:val="16"/>
        </w:rPr>
      </w:pPr>
    </w:p>
    <w:p w14:paraId="7E1B2EB0" w14:textId="77777777" w:rsidR="00A77F55" w:rsidRPr="005E779E" w:rsidRDefault="00A77F55" w:rsidP="000B7A6C">
      <w:pPr>
        <w:pStyle w:val="rtecenter"/>
        <w:shd w:val="clear" w:color="auto" w:fill="FFFFFF"/>
        <w:spacing w:before="0" w:after="0"/>
        <w:jc w:val="both"/>
        <w:textAlignment w:val="baseline"/>
        <w:rPr>
          <w:color w:val="000000" w:themeColor="text1"/>
          <w:sz w:val="16"/>
          <w:szCs w:val="16"/>
        </w:rPr>
      </w:pPr>
      <w:r w:rsidRPr="005E779E">
        <w:rPr>
          <w:color w:val="000000" w:themeColor="text1"/>
          <w:sz w:val="16"/>
          <w:szCs w:val="16"/>
        </w:rPr>
        <w:t>19 июля 1931 самолет И-12 перевезли на Центральный аэродром, и только 29 августа 1931 года начальник летной части ОЭЛИД И.Ф. Козлов совершил на нем первый полет. Начавшиеся заводские летные испытания выявили необходимость переделки вертикального оперения, костылей и замены заднего воздушного винта (19172).</w:t>
      </w:r>
    </w:p>
    <w:p w14:paraId="73DB1576" w14:textId="77777777" w:rsidR="00A77F55" w:rsidRPr="005E779E" w:rsidRDefault="00A77F55" w:rsidP="000B7A6C">
      <w:pPr>
        <w:pStyle w:val="rtecenter"/>
        <w:shd w:val="clear" w:color="auto" w:fill="FFFFFF"/>
        <w:spacing w:before="0" w:after="0"/>
        <w:jc w:val="both"/>
        <w:textAlignment w:val="baseline"/>
        <w:rPr>
          <w:color w:val="000000" w:themeColor="text1"/>
          <w:sz w:val="16"/>
          <w:szCs w:val="16"/>
        </w:rPr>
      </w:pPr>
    </w:p>
    <w:p w14:paraId="58C8571E" w14:textId="3CDC6DD3" w:rsidR="00472582" w:rsidRPr="005E779E" w:rsidRDefault="0047258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 июля 1931 г. самолет И-12 (АНТ-23, без б/№).</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был закончен постройкой и передан на наземные испытания, которые проходили на ЦА (г. Москва).</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 xml:space="preserve"> Ведущим летчиком-испытателем был назначен И.Ф. Козлов, наблюдающим инженером от НИИ ВВС – Жемчужин. Оба уже имели хороший опыт испытательной работы и заслуженный авторитет.</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 xml:space="preserve"> 21.07.31 г. была выполнена первая рулежка. Результат был неудовлетворительный – самолет на малых скоростях управлялся плохо (23136).</w:t>
      </w:r>
    </w:p>
    <w:p w14:paraId="18C2F218" w14:textId="77777777" w:rsidR="00472582" w:rsidRPr="005E779E" w:rsidRDefault="00472582" w:rsidP="000B7A6C">
      <w:pPr>
        <w:spacing w:after="0" w:line="240" w:lineRule="auto"/>
        <w:jc w:val="both"/>
        <w:rPr>
          <w:rFonts w:ascii="Times New Roman" w:hAnsi="Times New Roman"/>
          <w:color w:val="000000" w:themeColor="text1"/>
          <w:sz w:val="16"/>
          <w:szCs w:val="16"/>
        </w:rPr>
      </w:pPr>
    </w:p>
    <w:p w14:paraId="6881FE9A" w14:textId="77777777" w:rsidR="006E1356" w:rsidRPr="00142305" w:rsidRDefault="006E1356" w:rsidP="006E1356">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19 июля 1931 экипаж Л.В. Петрова вылетел из Красноярска на Дорнье «Вале» Н-1, прошедшем капремонт с участием клепальщиков из Сева</w:t>
      </w:r>
      <w:r w:rsidRPr="00142305">
        <w:rPr>
          <w:rStyle w:val="aff0"/>
          <w:rFonts w:ascii="Times New Roman" w:hAnsi="Times New Roman" w:cs="Times New Roman"/>
          <w:color w:val="0070C0"/>
          <w:spacing w:val="0"/>
          <w:sz w:val="16"/>
          <w:szCs w:val="16"/>
        </w:rPr>
        <w:softHyphen/>
        <w:t>стополя, и 22 августа едва добрался до Анадыря, впервые преодолев расстояние в 7000 километров. Пионерский полёт прошёл из Сибири через Приамурье, Охотское и Берингово моря. Здесь авиаторы провели аэрофотосъёмку всего по</w:t>
      </w:r>
      <w:r w:rsidRPr="00142305">
        <w:rPr>
          <w:rStyle w:val="aff0"/>
          <w:rFonts w:ascii="Times New Roman" w:hAnsi="Times New Roman" w:cs="Times New Roman"/>
          <w:color w:val="0070C0"/>
          <w:spacing w:val="0"/>
          <w:sz w:val="16"/>
          <w:szCs w:val="16"/>
        </w:rPr>
        <w:softHyphen/>
        <w:t>бережья Чукотки от вновь открытого Корякского хребта до залива Креста, далее на восток южного берега и после мыса Дежнёва - большей части северного чукотского берега. Тем самым, экипаж полярников обеспечил В.А. Обручеву возможность сделать важные географические открытия.</w:t>
      </w:r>
    </w:p>
    <w:p w14:paraId="5E113CC6" w14:textId="77777777" w:rsidR="006E1356" w:rsidRPr="00142305" w:rsidRDefault="006E1356" w:rsidP="006E1356">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Кроме того, самолёт «Н-1» оказал помощь и зимовщикам на о. Врангель (25653).</w:t>
      </w:r>
    </w:p>
    <w:p w14:paraId="5655682C" w14:textId="77777777" w:rsidR="006E1356" w:rsidRPr="00142305" w:rsidRDefault="006E1356" w:rsidP="006E1356">
      <w:pPr>
        <w:spacing w:after="0" w:line="240" w:lineRule="auto"/>
        <w:jc w:val="both"/>
        <w:rPr>
          <w:rFonts w:ascii="Times New Roman" w:hAnsi="Times New Roman"/>
          <w:color w:val="0070C0"/>
          <w:sz w:val="16"/>
          <w:szCs w:val="16"/>
        </w:rPr>
      </w:pPr>
    </w:p>
    <w:p w14:paraId="36D356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 июля 1931 с парашютом с 600 м прыгнули две женщины - В.Федорова и А.Чиркова (271,126).</w:t>
      </w:r>
    </w:p>
    <w:p w14:paraId="649989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14DAC21"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lastRenderedPageBreak/>
        <w:t>Авиапромышленность:</w:t>
      </w:r>
    </w:p>
    <w:p w14:paraId="4BD15610"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8DF89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июля 1931 было дано задание на проектирование ТБ-4 6М-34 (2287,131).</w:t>
      </w:r>
    </w:p>
    <w:p w14:paraId="729EED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60733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20 июля 1931 самолет ТБ-5 совершил 4 успешных полета. При массе 11200 кг, запасе топлива 1850 кг дальность полета составила 1100 км, продолжительность - 6,7 ч при крейсерской скорости 162 км/ч на высоте 3000 м. Максимальная дальность при полной загрузке топливом 2410 кг составила 2100 км. Полетная масса при этом - 12060 кг, из них бомб 500 кг. Максимальная скорость составила 180 км/ч у земли, практический потолок 3500 м, разбег на взлете 400-420 м. Полученные на испытаниях летные характеристики ТБ-5 оценивались как невысокие, особенно в сравнении с уже летавшим в течение полугода ТБ-3. Причиной тому являлась не вполне удачная мотоустановка. Двигатели оснастили воздушными винтами, более подходящими для истребителей. Кроме того, винты задних «Юпитеров» пришлось значительно уменьшить в диаметре из-за размещения их под крылом. Однако в сравнении с ТБ-3 у бомбардировщика Григоровича имелись и преимущества. ТБ-5 имел более совершенную схему размещения оборонительных установок, внутреннюю подвеску всего ассортимента бомб, обладал меньшими геометрическими размерами. Главным его достоинством считалась меньшая стоимость и меньшие трудозатраты при производстве (одинаковые с ТБ-1). Надежды улучшить ЛТХ самолета путем установки двигателей ФЭД оставались. Летом 1931 г. на моторном заводе №24 в производстве находились 12 ФЭДов, и еще на 10 имелся задел деталей (5854,34).</w:t>
      </w:r>
    </w:p>
    <w:p w14:paraId="6D4267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664ED51" w14:textId="77777777" w:rsidR="00472582" w:rsidRPr="005E779E" w:rsidRDefault="00472582"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20 июля 1931, возвратившись из Берлина, начальник ГВФ Гольцман сообщил журналистам, что воздухоплавательная экспедиция начнется, ориентировочно,. Маршрут проляжет от Ленинграда на Землю Франца-Иосифа, затем в район Северного полюса и к Северной Земле, оттуда, минуя Новую Землю, назад, к городу на Неве.</w:t>
      </w:r>
    </w:p>
    <w:p w14:paraId="78F11E94" w14:textId="77777777" w:rsidR="00472582" w:rsidRPr="005E779E" w:rsidRDefault="00472582"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Проведена будет на средства трех стран. Германия предоставляет воздушный корабль, США, точнее, газетный магнат Уильям Хёрст, оплачивает научное оборудование, СССР готовит базу на Комендантском аэродроме Ленинграда. Поэтому на борт помимо 29 членов экипажа возьмут представителей этих стран. Среди них — генерального секретаря «Аэроарктик» Вальтера Брунса, спутника по полетам Амундсена — американца Линкольна Эллсуорта, научного руководителя экспедиции Р.Л. Самойловича, аэролога П.А. Молчанова и инженера Ф.Ф. Ассьерга. Кроме того, в состав экипажа зачислен как один из трех радистов советский полярник Э.Т. Кренкель, зимовавший на Земле Франца-Иосифа в 1929–1930 годах60.</w:t>
      </w:r>
    </w:p>
    <w:p w14:paraId="552F1205" w14:textId="77777777" w:rsidR="00472582" w:rsidRPr="005E779E" w:rsidRDefault="00472582"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Во время полета предполагались две встречи, призванные продемонстрировать достижения техники. Первая — в бухте Тихая на Земле Франца-Иосифа с советским ледокольным пароходом «Малыгин», совершающим туристический круиз в полярных водах. Вторая — в районе Северного полюса с американской подводной лодкой Джорджа Уилкинса «Наутилус» (20467).</w:t>
      </w:r>
    </w:p>
    <w:p w14:paraId="09D32635" w14:textId="77777777" w:rsidR="00472582" w:rsidRPr="005E779E" w:rsidRDefault="00472582" w:rsidP="000B7A6C">
      <w:pPr>
        <w:spacing w:after="0" w:line="240" w:lineRule="auto"/>
        <w:jc w:val="both"/>
        <w:rPr>
          <w:rFonts w:ascii="Times New Roman" w:hAnsi="Times New Roman"/>
          <w:color w:val="000000" w:themeColor="text1"/>
          <w:sz w:val="16"/>
          <w:szCs w:val="16"/>
        </w:rPr>
      </w:pPr>
    </w:p>
    <w:p w14:paraId="3D3E62B5" w14:textId="77777777" w:rsidR="006E1356" w:rsidRPr="00142305" w:rsidRDefault="006E1356" w:rsidP="006E1356">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На 20 июля 1931 г., согласно пресс-кон</w:t>
      </w:r>
      <w:r w:rsidRPr="00142305">
        <w:rPr>
          <w:rStyle w:val="aff0"/>
          <w:rFonts w:ascii="Times New Roman" w:hAnsi="Times New Roman" w:cs="Times New Roman"/>
          <w:color w:val="0070C0"/>
          <w:spacing w:val="0"/>
          <w:sz w:val="16"/>
          <w:szCs w:val="16"/>
        </w:rPr>
        <w:softHyphen/>
        <w:t>ференции вернувшегося в Москву А.З. Гольцмана, для журналистов, намечен полёт дирижабля «Граф Цеппелин» в СССР. Экс</w:t>
      </w:r>
      <w:r w:rsidRPr="00142305">
        <w:rPr>
          <w:rStyle w:val="aff0"/>
          <w:rFonts w:ascii="Times New Roman" w:hAnsi="Times New Roman" w:cs="Times New Roman"/>
          <w:color w:val="0070C0"/>
          <w:spacing w:val="0"/>
          <w:sz w:val="16"/>
          <w:szCs w:val="16"/>
        </w:rPr>
        <w:softHyphen/>
        <w:t>педиция сбудет проведена на средства трёх стран: Германия предоставит воздушный корабль, США оплатит научное оборудование, а СССР подготовит базу на Комендантском аэродроме в Ленинграде. Соответственно научная группа будет формироваться за счёт представителей этих стран. От СССР в неё войдут Р.Л. Самойлович руководитель экспедиции, П.А. Молчанов изобретатель новейшего радиозонда для аэрологических и метеорологических на</w:t>
      </w:r>
      <w:r w:rsidRPr="00142305">
        <w:rPr>
          <w:rStyle w:val="aff0"/>
          <w:rFonts w:ascii="Times New Roman" w:hAnsi="Times New Roman" w:cs="Times New Roman"/>
          <w:color w:val="0070C0"/>
          <w:spacing w:val="0"/>
          <w:sz w:val="16"/>
          <w:szCs w:val="16"/>
        </w:rPr>
        <w:softHyphen/>
        <w:t>блюдений и инженер Ф.Ф. Ассберг. Кроме того, в состав экипажа дирижабля зачислят радиста Э.Т. Кренкеля, ко</w:t>
      </w:r>
      <w:r w:rsidRPr="00142305">
        <w:rPr>
          <w:rStyle w:val="aff0"/>
          <w:rFonts w:ascii="Times New Roman" w:hAnsi="Times New Roman" w:cs="Times New Roman"/>
          <w:color w:val="0070C0"/>
          <w:spacing w:val="0"/>
          <w:sz w:val="16"/>
          <w:szCs w:val="16"/>
        </w:rPr>
        <w:softHyphen/>
        <w:t>торый, помимо высокого профессионализма, хорошо знал немецкий язык и географию Земли Франца-Иосифа, где зимовал в 1929 1930 годах. Во время полёта предполагались две посадки: в бухте Тихой на Земле Франца-Иосифа, где намечалась встреча с ледокольным пароходом «Малыгин» (начальником почтового отделения на нём был назначен представитель Наркомночтеля И.Д. Папанин, для которого поход стал первым знакомством с Арктикой), и в районе Се</w:t>
      </w:r>
      <w:r w:rsidRPr="00142305">
        <w:rPr>
          <w:rStyle w:val="aff0"/>
          <w:rFonts w:ascii="Times New Roman" w:hAnsi="Times New Roman" w:cs="Times New Roman"/>
          <w:color w:val="0070C0"/>
          <w:spacing w:val="0"/>
          <w:sz w:val="16"/>
          <w:szCs w:val="16"/>
        </w:rPr>
        <w:softHyphen/>
        <w:t>верного полюса, где планировалась встреча с американской подводной лодкой Дж. Уилкинса «Наутилус» (25653).</w:t>
      </w:r>
    </w:p>
    <w:p w14:paraId="1D5D7C98" w14:textId="77777777" w:rsidR="006E1356" w:rsidRPr="00142305" w:rsidRDefault="006E1356" w:rsidP="006E1356">
      <w:pPr>
        <w:spacing w:after="0" w:line="240" w:lineRule="auto"/>
        <w:jc w:val="both"/>
        <w:rPr>
          <w:rFonts w:ascii="Times New Roman" w:hAnsi="Times New Roman"/>
          <w:color w:val="0070C0"/>
          <w:sz w:val="16"/>
          <w:szCs w:val="16"/>
        </w:rPr>
      </w:pPr>
    </w:p>
    <w:p w14:paraId="277C83BC" w14:textId="77777777" w:rsidR="0005751F"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6ED6963D" w14:textId="77777777" w:rsidR="0005751F" w:rsidRPr="005E779E" w:rsidRDefault="0005751F"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94EA549" w14:textId="77777777" w:rsidR="0005751F" w:rsidRPr="005E779E" w:rsidRDefault="0005751F" w:rsidP="000B7A6C">
      <w:pPr>
        <w:pStyle w:val="ae"/>
        <w:spacing w:before="0" w:after="0"/>
        <w:jc w:val="both"/>
        <w:rPr>
          <w:color w:val="000000" w:themeColor="text1"/>
          <w:sz w:val="16"/>
          <w:szCs w:val="16"/>
        </w:rPr>
      </w:pPr>
      <w:r w:rsidRPr="005E779E">
        <w:rPr>
          <w:color w:val="000000" w:themeColor="text1"/>
          <w:sz w:val="16"/>
          <w:szCs w:val="16"/>
        </w:rPr>
        <w:t>20 июля 1931 г. в постановлении Комитета обороны при СНК СССР была отмечена неудовлетворительная работа научно-исследовательских учреждений по созданию «особо секретной техники» в области «мощных ультракоротких волн», «передачи изображения и телевидения» (в течение нескольких лет НКВМ не получил ни одного образца), «секретной телеграфии» (некоторые достижения имелись только по Остехбюро и Институту связи РККА), ночного фотографирования при помощи невидимых лучей, управления самолетами на расстоянии по радио, телефонии на инфракрасных лучах (15736).</w:t>
      </w:r>
    </w:p>
    <w:p w14:paraId="1927B691" w14:textId="77777777" w:rsidR="0005751F" w:rsidRPr="005E779E" w:rsidRDefault="0005751F" w:rsidP="000B7A6C">
      <w:pPr>
        <w:pStyle w:val="ae"/>
        <w:spacing w:before="0" w:after="0"/>
        <w:jc w:val="both"/>
        <w:rPr>
          <w:color w:val="000000" w:themeColor="text1"/>
          <w:sz w:val="16"/>
          <w:szCs w:val="16"/>
        </w:rPr>
      </w:pPr>
    </w:p>
    <w:p w14:paraId="2393925F" w14:textId="77777777" w:rsidR="0005751F" w:rsidRPr="005E779E" w:rsidRDefault="0005751F" w:rsidP="000B7A6C">
      <w:pPr>
        <w:pStyle w:val="ae"/>
        <w:spacing w:before="0" w:after="0"/>
        <w:jc w:val="both"/>
        <w:rPr>
          <w:color w:val="000000" w:themeColor="text1"/>
          <w:sz w:val="16"/>
          <w:szCs w:val="16"/>
        </w:rPr>
      </w:pPr>
      <w:r w:rsidRPr="005E779E">
        <w:rPr>
          <w:color w:val="000000" w:themeColor="text1"/>
          <w:sz w:val="16"/>
          <w:szCs w:val="16"/>
        </w:rPr>
        <w:t>20 июля 1931 года в постановлении КО «По материальной обеспеченности РККА средствами связи» подчеркивалось, что общая средняя обеспеченность развертывания РККА в военное время по радиостанциям составляла всего 3,7 %, то есть оставалась крайне низкой. КО признала необходимым утвердить принятую Реввоенсоветом СССР в апреле 1930 года систему вооружений РККА по связи, которой и стала заниматься ЦВИРЛ. Был одобрен план Реввоенсовета об изъятии к 1 января 1934 года из РККА имущества старых заготовок и введении на вооружение нового имущества в соответствии с системой вооружения. Для этого 12 октября 1931 года Комиссия обороны приняла решение о поставке НКВМ 6 тыс. радиостанций и телемеханических устройств – всего на 5 млн руб.</w:t>
      </w:r>
    </w:p>
    <w:p w14:paraId="6F631B1A" w14:textId="77777777" w:rsidR="0005751F" w:rsidRPr="005E779E" w:rsidRDefault="0005751F" w:rsidP="000B7A6C">
      <w:pPr>
        <w:pStyle w:val="ae"/>
        <w:spacing w:before="0" w:after="0"/>
        <w:jc w:val="both"/>
        <w:rPr>
          <w:color w:val="000000" w:themeColor="text1"/>
          <w:sz w:val="16"/>
          <w:szCs w:val="16"/>
        </w:rPr>
      </w:pPr>
      <w:r w:rsidRPr="005E779E">
        <w:rPr>
          <w:color w:val="000000" w:themeColor="text1"/>
          <w:sz w:val="16"/>
          <w:szCs w:val="16"/>
        </w:rPr>
        <w:t>Средств не жалели, что видно из предложений ВЭСО с мерами обеспечения для выполнения планов поставок, изложенных в докладной записке в Комиссию обороны и ВСНХ:</w:t>
      </w:r>
    </w:p>
    <w:p w14:paraId="4813B76B" w14:textId="77777777" w:rsidR="0005751F" w:rsidRPr="005E779E" w:rsidRDefault="0005751F" w:rsidP="000B7A6C">
      <w:pPr>
        <w:pStyle w:val="ae"/>
        <w:spacing w:before="0" w:after="0"/>
        <w:jc w:val="both"/>
        <w:rPr>
          <w:color w:val="000000" w:themeColor="text1"/>
          <w:sz w:val="16"/>
          <w:szCs w:val="16"/>
        </w:rPr>
      </w:pPr>
      <w:r w:rsidRPr="005E779E">
        <w:rPr>
          <w:color w:val="000000" w:themeColor="text1"/>
          <w:sz w:val="16"/>
          <w:szCs w:val="16"/>
        </w:rPr>
        <w:t>«&lt;…&gt; По лабораториям ВЭСО</w:t>
      </w:r>
    </w:p>
    <w:p w14:paraId="37707131" w14:textId="77777777" w:rsidR="0005751F" w:rsidRPr="005E779E" w:rsidRDefault="0005751F" w:rsidP="000B7A6C">
      <w:pPr>
        <w:pStyle w:val="ae"/>
        <w:spacing w:before="0" w:after="0"/>
        <w:jc w:val="both"/>
        <w:rPr>
          <w:color w:val="000000" w:themeColor="text1"/>
          <w:sz w:val="16"/>
          <w:szCs w:val="16"/>
        </w:rPr>
      </w:pPr>
      <w:r w:rsidRPr="005E779E">
        <w:rPr>
          <w:color w:val="000000" w:themeColor="text1"/>
          <w:sz w:val="16"/>
          <w:szCs w:val="16"/>
        </w:rPr>
        <w:t>1. Ввиду необходимости срочного расширения лабораторий радиоламп при заводе «Светлана», на что Ревсоветом СССР ассигновано 400 тыс. руб., обязать ВЭСО к 1 января закончить начатое строительство этой лаборатории, для чего Президиуму ВСНХ СССР обеспечить эту стройку стройматериалами не позднее 10 ноября.</w:t>
      </w:r>
    </w:p>
    <w:p w14:paraId="6FB33F29" w14:textId="77777777" w:rsidR="0005751F" w:rsidRPr="005E779E" w:rsidRDefault="0005751F" w:rsidP="000B7A6C">
      <w:pPr>
        <w:pStyle w:val="ae"/>
        <w:spacing w:before="0" w:after="0"/>
        <w:jc w:val="both"/>
        <w:rPr>
          <w:color w:val="000000" w:themeColor="text1"/>
          <w:sz w:val="16"/>
          <w:szCs w:val="16"/>
        </w:rPr>
      </w:pPr>
      <w:r w:rsidRPr="005E779E">
        <w:rPr>
          <w:color w:val="000000" w:themeColor="text1"/>
          <w:sz w:val="16"/>
          <w:szCs w:val="16"/>
        </w:rPr>
        <w:t>2. Для обеспечения Центральной военно-индустриальной радиолаборатории ВЭСО в Нижнем Новгороде разрешить заказать на 10 тыс. руб. лабораторно-измерительного оборудования в Америке.</w:t>
      </w:r>
    </w:p>
    <w:p w14:paraId="4A8B0A58" w14:textId="77777777" w:rsidR="0005751F" w:rsidRPr="005E779E" w:rsidRDefault="0005751F" w:rsidP="000B7A6C">
      <w:pPr>
        <w:pStyle w:val="ae"/>
        <w:spacing w:before="0" w:after="0"/>
        <w:jc w:val="both"/>
        <w:rPr>
          <w:color w:val="000000" w:themeColor="text1"/>
          <w:sz w:val="16"/>
          <w:szCs w:val="16"/>
        </w:rPr>
      </w:pPr>
      <w:r w:rsidRPr="005E779E">
        <w:rPr>
          <w:color w:val="000000" w:themeColor="text1"/>
          <w:sz w:val="16"/>
          <w:szCs w:val="16"/>
        </w:rPr>
        <w:t>3. Разрешить ВЭСО приглашение из-за границы 2 радиоспециалистов высокой квалификации по радиоприемным устройствам. Наем указанных специалистов разрешить с оплатой до 300 долларов в месяц сроком на полтора года.</w:t>
      </w:r>
    </w:p>
    <w:p w14:paraId="5318B4F3" w14:textId="77777777" w:rsidR="0005751F" w:rsidRPr="005E779E" w:rsidRDefault="0005751F" w:rsidP="000B7A6C">
      <w:pPr>
        <w:pStyle w:val="ae"/>
        <w:spacing w:before="0" w:after="0"/>
        <w:jc w:val="both"/>
        <w:rPr>
          <w:color w:val="000000" w:themeColor="text1"/>
          <w:sz w:val="16"/>
          <w:szCs w:val="16"/>
        </w:rPr>
      </w:pPr>
      <w:r w:rsidRPr="005E779E">
        <w:rPr>
          <w:color w:val="000000" w:themeColor="text1"/>
          <w:sz w:val="16"/>
          <w:szCs w:val="16"/>
        </w:rPr>
        <w:t>Всего валютных контингентов ВЭО и ВЭСО в IV квартале с. г. – 996 тыс. руб., в 1 квартале 1932 г. – 150 тыс. руб.; итого —1146 тыс. руб.</w:t>
      </w:r>
    </w:p>
    <w:p w14:paraId="75E2A617" w14:textId="77777777" w:rsidR="0005751F" w:rsidRPr="005E779E" w:rsidRDefault="0005751F" w:rsidP="000B7A6C">
      <w:pPr>
        <w:pStyle w:val="ae"/>
        <w:spacing w:before="0" w:after="0"/>
        <w:jc w:val="both"/>
        <w:rPr>
          <w:color w:val="000000" w:themeColor="text1"/>
          <w:sz w:val="16"/>
          <w:szCs w:val="16"/>
        </w:rPr>
      </w:pPr>
      <w:r w:rsidRPr="005E779E">
        <w:rPr>
          <w:color w:val="000000" w:themeColor="text1"/>
          <w:sz w:val="16"/>
          <w:szCs w:val="16"/>
        </w:rPr>
        <w:t>Управляющий Всесоюзным электрослаботочным объединением ВЭСО Романовский» (15736).</w:t>
      </w:r>
    </w:p>
    <w:p w14:paraId="130ABC11" w14:textId="77777777" w:rsidR="0005751F" w:rsidRPr="005E779E" w:rsidRDefault="0005751F" w:rsidP="000B7A6C">
      <w:pPr>
        <w:pStyle w:val="ae"/>
        <w:spacing w:before="0" w:after="0"/>
        <w:jc w:val="both"/>
        <w:rPr>
          <w:color w:val="000000" w:themeColor="text1"/>
          <w:sz w:val="16"/>
          <w:szCs w:val="16"/>
        </w:rPr>
      </w:pPr>
    </w:p>
    <w:p w14:paraId="1DDD8775" w14:textId="77777777" w:rsidR="00A77F55" w:rsidRPr="005E779E" w:rsidRDefault="00A77F5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июля 1931 г. вышло постановление Комиссии обороны при СНК СССР от «По материальной обеспеченности РККА средствами связи». Этим документом утверждалась принятая в апреле 1930 г. Реввоенсоветом СССР система вооружения РККА по связи и поддерживался план РВС по оснащению армии к началу 1934 г. новым имуществом в соответствии с этой системой. Перед промышленностью ставилась задача до конца 1932 г. завершить разработку образцов приборов связи по наиболее перспективным направлениям, а также существенно расширить свои производственные мощности (18297).</w:t>
      </w:r>
    </w:p>
    <w:p w14:paraId="56A25E95" w14:textId="77777777" w:rsidR="00A77F55" w:rsidRPr="005E779E" w:rsidRDefault="00A77F55" w:rsidP="000B7A6C">
      <w:pPr>
        <w:spacing w:after="0" w:line="240" w:lineRule="auto"/>
        <w:jc w:val="both"/>
        <w:rPr>
          <w:rFonts w:ascii="Times New Roman" w:hAnsi="Times New Roman"/>
          <w:color w:val="000000" w:themeColor="text1"/>
          <w:sz w:val="16"/>
          <w:szCs w:val="16"/>
        </w:rPr>
      </w:pPr>
    </w:p>
    <w:p w14:paraId="2EC2D4C7" w14:textId="77777777" w:rsidR="00472582" w:rsidRPr="005E779E" w:rsidRDefault="00472582"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03699D8E" w14:textId="77777777" w:rsidR="00472582" w:rsidRPr="005E779E" w:rsidRDefault="00472582"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AF089FB" w14:textId="77777777" w:rsidR="00472582" w:rsidRPr="005E779E" w:rsidRDefault="0047258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июля 1931 Железная дорога Бостона и Мэна и Центральная железная дорога Мэна основали компанию Boston-Maine Airways, будущую компанию Northeast Airlines . Он выполняет рейсы из Бостона, Массачусетс , в Бангор, штат Мэн , через Портленд, штат Мэн, в качестве контрактного перевозчика Pan American Airways (20804).</w:t>
      </w:r>
    </w:p>
    <w:p w14:paraId="48EA24F2" w14:textId="77777777" w:rsidR="00472582" w:rsidRPr="005E779E" w:rsidRDefault="00472582" w:rsidP="000B7A6C">
      <w:pPr>
        <w:spacing w:after="0" w:line="240" w:lineRule="auto"/>
        <w:jc w:val="both"/>
        <w:rPr>
          <w:rFonts w:ascii="Times New Roman" w:hAnsi="Times New Roman"/>
          <w:color w:val="000000" w:themeColor="text1"/>
          <w:sz w:val="16"/>
          <w:szCs w:val="16"/>
        </w:rPr>
      </w:pPr>
    </w:p>
    <w:p w14:paraId="2E13541F"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368EE282"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29466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 июля 1931 на И-12 2ЮП-6 рулили. Результат - неудовлетворительный (3029,209).</w:t>
      </w:r>
    </w:p>
    <w:p w14:paraId="32283F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BCD521F" w14:textId="77777777" w:rsidR="009D1B9A" w:rsidRPr="00142305" w:rsidRDefault="009D1B9A" w:rsidP="009D1B9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21 июля 1931 г. на аэродром выкатили самолёт АНТ-23, который получил военное обозначение И-12, Конструкция не была сложной, но из-за недостатка квалификации бригады Чернышова дело шло медленно. Постройка на заводе № 22 в Филях была начата 1 апреля 1929 г.</w:t>
      </w:r>
    </w:p>
    <w:p w14:paraId="1ED45A90" w14:textId="77777777" w:rsidR="009D1B9A" w:rsidRPr="00142305" w:rsidRDefault="009D1B9A" w:rsidP="009D1B9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Первая рулёжка вскрыла целый букет недостатков выбранной схемы — силовая установка плохо охлаждалась, не давала расчётной тяги, большой стояночный угол из-за вынужденно высоких шасси вызывал повышенное сопротивление на разбеге, а находившиеся вне зоны обдува винтами рули направления не создавали достаточного управляющего момента, чтобы пересилить сопротивление двух костылей шасси.</w:t>
      </w:r>
    </w:p>
    <w:p w14:paraId="53A2FDFC" w14:textId="77777777" w:rsidR="009D1B9A" w:rsidRPr="00142305" w:rsidRDefault="009D1B9A" w:rsidP="009D1B9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Начались бесконечные переделки самолёта: поставили один центральный киль, поменяли передний капот мотора, заменили костыли… (25056).</w:t>
      </w:r>
    </w:p>
    <w:p w14:paraId="2EF684D0" w14:textId="77777777" w:rsidR="009D1B9A" w:rsidRPr="00142305" w:rsidRDefault="009D1B9A" w:rsidP="009D1B9A">
      <w:pPr>
        <w:spacing w:after="0" w:line="240" w:lineRule="auto"/>
        <w:jc w:val="both"/>
        <w:rPr>
          <w:rFonts w:ascii="Times New Roman" w:hAnsi="Times New Roman"/>
          <w:color w:val="0070C0"/>
          <w:sz w:val="16"/>
          <w:szCs w:val="16"/>
        </w:rPr>
      </w:pPr>
    </w:p>
    <w:p w14:paraId="3C987F91" w14:textId="77777777" w:rsidR="00AC6695" w:rsidRPr="005E779E" w:rsidRDefault="00AC6695"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4162AEC0" w14:textId="77777777" w:rsidR="00AC6695" w:rsidRPr="005E779E" w:rsidRDefault="00AC6695"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151E864" w14:textId="77777777" w:rsidR="00AC6695" w:rsidRPr="005E779E" w:rsidRDefault="00AC6695"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shd w:val="clear" w:color="auto" w:fill="FFFFFF"/>
        </w:rPr>
        <w:lastRenderedPageBreak/>
        <w:t>21 июля 1931 года испытания танка Кристи были закончены. В дальнейшем с испытаний танк сняли, поскольку он понадобился для снятия с него чертежей. По итогам испытаний был составлен отчет, в конце которого указывалось, что машина представляет исключительный интерес, но при этом требует доработки. Позже этот танк оказался на полигоне, где далее оказался на территории музея. Последние упоминания о данной машине датированы 1941 годом, далее следы танка с серийным номером 2051 теряются (20339).</w:t>
      </w:r>
    </w:p>
    <w:p w14:paraId="7E4D1A1E" w14:textId="77777777" w:rsidR="00AC6695" w:rsidRPr="005E779E" w:rsidRDefault="00AC6695" w:rsidP="000B7A6C">
      <w:pPr>
        <w:shd w:val="clear" w:color="auto" w:fill="FFFFFF"/>
        <w:spacing w:after="0" w:line="240" w:lineRule="auto"/>
        <w:jc w:val="both"/>
        <w:rPr>
          <w:rFonts w:ascii="Times New Roman" w:hAnsi="Times New Roman"/>
          <w:color w:val="000000" w:themeColor="text1"/>
          <w:sz w:val="16"/>
          <w:szCs w:val="16"/>
        </w:rPr>
      </w:pPr>
    </w:p>
    <w:p w14:paraId="7F06C02F" w14:textId="483AC841" w:rsidR="009D1B9A" w:rsidRPr="005E779E" w:rsidRDefault="009D1B9A" w:rsidP="009D1B9A">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Армия</w:t>
      </w:r>
      <w:r w:rsidRPr="005E779E">
        <w:rPr>
          <w:rFonts w:ascii="Times New Roman" w:hAnsi="Times New Roman"/>
          <w:i/>
          <w:iCs/>
          <w:color w:val="000000" w:themeColor="text1"/>
          <w:sz w:val="16"/>
          <w:szCs w:val="16"/>
        </w:rPr>
        <w:t>:</w:t>
      </w:r>
    </w:p>
    <w:p w14:paraId="4107B9E5" w14:textId="77777777" w:rsidR="009D1B9A" w:rsidRPr="005E779E" w:rsidRDefault="009D1B9A" w:rsidP="009D1B9A">
      <w:pPr>
        <w:autoSpaceDE w:val="0"/>
        <w:autoSpaceDN w:val="0"/>
        <w:adjustRightInd w:val="0"/>
        <w:spacing w:after="0" w:line="240" w:lineRule="auto"/>
        <w:jc w:val="both"/>
        <w:rPr>
          <w:rFonts w:ascii="Times New Roman" w:hAnsi="Times New Roman"/>
          <w:iCs/>
          <w:color w:val="000000" w:themeColor="text1"/>
          <w:sz w:val="16"/>
          <w:szCs w:val="16"/>
        </w:rPr>
      </w:pPr>
    </w:p>
    <w:p w14:paraId="3B55E940" w14:textId="77777777" w:rsidR="009D1B9A" w:rsidRPr="00142305" w:rsidRDefault="009D1B9A" w:rsidP="009D1B9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состоянию на 22 июля 1931 г. тыловые авиационные структуры подчи</w:t>
      </w:r>
      <w:r w:rsidRPr="00142305">
        <w:rPr>
          <w:rFonts w:ascii="Times New Roman" w:hAnsi="Times New Roman"/>
          <w:color w:val="0070C0"/>
          <w:sz w:val="16"/>
          <w:szCs w:val="16"/>
        </w:rPr>
        <w:softHyphen/>
        <w:t>нялись в техническом отношении непосредственно Управлению ВВС включали:</w:t>
      </w:r>
    </w:p>
    <w:p w14:paraId="69E20D9F" w14:textId="77777777" w:rsidR="009D1B9A" w:rsidRPr="00142305" w:rsidRDefault="009D1B9A" w:rsidP="009D1B9A">
      <w:pPr>
        <w:pStyle w:val="28"/>
        <w:tabs>
          <w:tab w:val="left" w:pos="3982"/>
        </w:tabs>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ВВА им. Н.Е. Жуковского</w:t>
      </w:r>
    </w:p>
    <w:p w14:paraId="203187A5" w14:textId="77777777" w:rsidR="009D1B9A" w:rsidRPr="00142305" w:rsidRDefault="009D1B9A" w:rsidP="009D1B9A">
      <w:pPr>
        <w:pStyle w:val="28"/>
        <w:tabs>
          <w:tab w:val="left" w:pos="3982"/>
        </w:tabs>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НИИ ВВС</w:t>
      </w:r>
    </w:p>
    <w:p w14:paraId="272D9A96" w14:textId="77777777" w:rsidR="009D1B9A" w:rsidRPr="00142305" w:rsidRDefault="009D1B9A" w:rsidP="009D1B9A">
      <w:pPr>
        <w:pStyle w:val="28"/>
        <w:tabs>
          <w:tab w:val="left" w:pos="3982"/>
        </w:tabs>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Завод № 1</w:t>
      </w:r>
    </w:p>
    <w:p w14:paraId="1B903793" w14:textId="77777777" w:rsidR="009D1B9A" w:rsidRPr="00142305" w:rsidRDefault="009D1B9A" w:rsidP="009D1B9A">
      <w:pPr>
        <w:pStyle w:val="28"/>
        <w:tabs>
          <w:tab w:val="left" w:pos="3982"/>
        </w:tabs>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 xml:space="preserve">Школы: 1,2, 3, 7-я летчиков, специальных служб, морских летчиков, объединенная военная школа </w:t>
      </w:r>
      <w:r w:rsidRPr="00142305">
        <w:rPr>
          <w:rFonts w:ascii="Times New Roman" w:hAnsi="Times New Roman" w:cs="Times New Roman"/>
          <w:color w:val="0070C0"/>
          <w:sz w:val="16"/>
          <w:szCs w:val="16"/>
        </w:rPr>
        <w:tab/>
        <w:t>летчиков, военно-теоретическая, 1 и 3-я военно-технические, 8 и 11-я пилотов (всего 12)</w:t>
      </w:r>
    </w:p>
    <w:p w14:paraId="06B0B608" w14:textId="77777777" w:rsidR="009D1B9A" w:rsidRPr="00142305" w:rsidRDefault="009D1B9A" w:rsidP="009D1B9A">
      <w:pPr>
        <w:pStyle w:val="5b"/>
        <w:spacing w:line="240" w:lineRule="auto"/>
        <w:jc w:val="both"/>
        <w:rPr>
          <w:color w:val="0070C0"/>
          <w:sz w:val="16"/>
          <w:szCs w:val="16"/>
        </w:rPr>
      </w:pPr>
      <w:r w:rsidRPr="00142305">
        <w:rPr>
          <w:color w:val="0070C0"/>
          <w:sz w:val="16"/>
          <w:szCs w:val="16"/>
        </w:rPr>
        <w:t>Парки: №№ 1.6, И. 13, 15. 17.20,21, 22.25, 26,27.28. 30,31.34.35,36.37,39.40,41.43,44.47,70.72. 73.75, 77.78,79. 80-й|</w:t>
      </w:r>
    </w:p>
    <w:p w14:paraId="44440A27" w14:textId="77777777" w:rsidR="009D1B9A" w:rsidRPr="00142305" w:rsidRDefault="009D1B9A" w:rsidP="009D1B9A">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Центральный склад, Склады №№ 1 и 8, Окружные склады: №№ 2, 5,7,9,10,15, 17, 18-й (24968).</w:t>
      </w:r>
    </w:p>
    <w:p w14:paraId="01464B52" w14:textId="77777777" w:rsidR="009D1B9A" w:rsidRPr="00142305" w:rsidRDefault="009D1B9A" w:rsidP="009D1B9A">
      <w:pPr>
        <w:spacing w:after="0" w:line="240" w:lineRule="auto"/>
        <w:jc w:val="both"/>
        <w:rPr>
          <w:rFonts w:ascii="Times New Roman" w:hAnsi="Times New Roman"/>
          <w:color w:val="0070C0"/>
          <w:sz w:val="16"/>
          <w:szCs w:val="16"/>
        </w:rPr>
      </w:pPr>
    </w:p>
    <w:p w14:paraId="45F15BFD" w14:textId="77777777" w:rsidR="00AC6695" w:rsidRPr="005E779E" w:rsidRDefault="00AC6695"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5762D7D8" w14:textId="77777777" w:rsidR="00AC6695" w:rsidRPr="005E779E" w:rsidRDefault="00AC6695"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12218C9" w14:textId="77777777" w:rsidR="00AC6695" w:rsidRPr="005E779E" w:rsidRDefault="00AC669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 июля - 1 сентября 1931 сэр Алан Кобхэм и его команда совершают обратный перелет между Англией и Бельгийским Конго на расстояние 19 800 км (12 300 миль) (20804).</w:t>
      </w:r>
    </w:p>
    <w:p w14:paraId="641D9DAD" w14:textId="77777777" w:rsidR="00AC6695" w:rsidRPr="005E779E" w:rsidRDefault="00AC6695" w:rsidP="000B7A6C">
      <w:pPr>
        <w:spacing w:after="0" w:line="240" w:lineRule="auto"/>
        <w:jc w:val="both"/>
        <w:rPr>
          <w:rFonts w:ascii="Times New Roman" w:hAnsi="Times New Roman"/>
          <w:color w:val="000000" w:themeColor="text1"/>
          <w:sz w:val="16"/>
          <w:szCs w:val="16"/>
        </w:rPr>
      </w:pPr>
    </w:p>
    <w:p w14:paraId="6F64ED49" w14:textId="77777777" w:rsidR="009D1B9A" w:rsidRPr="00142305" w:rsidRDefault="009D1B9A" w:rsidP="009D1B9A">
      <w:pPr>
        <w:spacing w:after="0" w:line="240" w:lineRule="auto"/>
        <w:jc w:val="both"/>
        <w:rPr>
          <w:rStyle w:val="aff0"/>
          <w:rFonts w:ascii="Times New Roman" w:hAnsi="Times New Roman" w:cs="Times New Roman"/>
          <w:color w:val="0070C0"/>
          <w:spacing w:val="0"/>
          <w:sz w:val="16"/>
          <w:szCs w:val="16"/>
        </w:rPr>
      </w:pPr>
      <w:r w:rsidRPr="00142305">
        <w:rPr>
          <w:rStyle w:val="aff0"/>
          <w:rFonts w:ascii="Times New Roman" w:hAnsi="Times New Roman" w:cs="Times New Roman"/>
          <w:color w:val="0070C0"/>
          <w:spacing w:val="0"/>
          <w:sz w:val="16"/>
          <w:szCs w:val="16"/>
        </w:rPr>
        <w:t>22 июля 1931 г. дирижабль Граф Цепеллин совершил пробный полёт в районе Фридрихс</w:t>
      </w:r>
      <w:r w:rsidRPr="00142305">
        <w:rPr>
          <w:rStyle w:val="aff0"/>
          <w:rFonts w:ascii="Times New Roman" w:hAnsi="Times New Roman" w:cs="Times New Roman"/>
          <w:color w:val="0070C0"/>
          <w:spacing w:val="0"/>
          <w:sz w:val="16"/>
          <w:szCs w:val="16"/>
        </w:rPr>
        <w:softHyphen/>
        <w:t>хафена - места его постройки – для проверки оборудования.</w:t>
      </w:r>
    </w:p>
    <w:p w14:paraId="0DF00ED2" w14:textId="77777777" w:rsidR="009D1B9A" w:rsidRPr="00142305" w:rsidRDefault="009D1B9A" w:rsidP="009D1B9A">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Для панорамной аэрофотосъёмки земной поверхности «Граф Цеппелин» оснастили самым современным аппаратом Цейса с центральными восемью периферийными объекти</w:t>
      </w:r>
      <w:r w:rsidRPr="00142305">
        <w:rPr>
          <w:rStyle w:val="aff0"/>
          <w:rFonts w:ascii="Times New Roman" w:hAnsi="Times New Roman" w:cs="Times New Roman"/>
          <w:color w:val="0070C0"/>
          <w:spacing w:val="0"/>
          <w:sz w:val="16"/>
          <w:szCs w:val="16"/>
        </w:rPr>
        <w:softHyphen/>
        <w:t>вами. Это позволяло делать одновременное изображение на одну плёнку и параллельно автоматически вести непре</w:t>
      </w:r>
      <w:r w:rsidRPr="00142305">
        <w:rPr>
          <w:rStyle w:val="aff0"/>
          <w:rFonts w:ascii="Times New Roman" w:hAnsi="Times New Roman" w:cs="Times New Roman"/>
          <w:color w:val="0070C0"/>
          <w:spacing w:val="0"/>
          <w:sz w:val="16"/>
          <w:szCs w:val="16"/>
        </w:rPr>
        <w:softHyphen/>
        <w:t>рывную фотосъёмку.</w:t>
      </w:r>
    </w:p>
    <w:p w14:paraId="4D754729" w14:textId="77777777" w:rsidR="009D1B9A" w:rsidRPr="00142305" w:rsidRDefault="009D1B9A" w:rsidP="009D1B9A">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Старт был дан чрез два дня. Дирижабль с 46-ю членами экипажа и научного состава на борту вылетел из Фридрихсхафена, за тем сделал остановку на ночь в Берлине и вечером 25 июля приземлился в Ленинграде (25653).</w:t>
      </w:r>
    </w:p>
    <w:p w14:paraId="2737C491" w14:textId="77777777" w:rsidR="009D1B9A" w:rsidRPr="00142305" w:rsidRDefault="009D1B9A" w:rsidP="009D1B9A">
      <w:pPr>
        <w:spacing w:after="0" w:line="240" w:lineRule="auto"/>
        <w:jc w:val="both"/>
        <w:rPr>
          <w:rFonts w:ascii="Times New Roman" w:hAnsi="Times New Roman"/>
          <w:color w:val="0070C0"/>
          <w:sz w:val="16"/>
          <w:szCs w:val="16"/>
        </w:rPr>
      </w:pPr>
    </w:p>
    <w:p w14:paraId="4D2652E7"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52475769"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5F13B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июля 1931 был подготовлен материал по Срокам постройки самолетов ВВС-ЦАГИ. п/п А.Н.Т. (351).</w:t>
      </w:r>
    </w:p>
    <w:p w14:paraId="628EF2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Материал был направлен в ВАО на имя П.И.Б. и передан Я.И.А. (351)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39"/>
        <w:gridCol w:w="939"/>
        <w:gridCol w:w="1491"/>
        <w:gridCol w:w="1701"/>
        <w:gridCol w:w="1705"/>
        <w:gridCol w:w="1486"/>
        <w:gridCol w:w="2052"/>
      </w:tblGrid>
      <w:tr w:rsidR="001002C3" w:rsidRPr="005E779E" w14:paraId="396FE42F" w14:textId="77777777">
        <w:tc>
          <w:tcPr>
            <w:tcW w:w="939" w:type="dxa"/>
          </w:tcPr>
          <w:p w14:paraId="20FD9E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w:t>
            </w:r>
          </w:p>
        </w:tc>
        <w:tc>
          <w:tcPr>
            <w:tcW w:w="939" w:type="dxa"/>
          </w:tcPr>
          <w:p w14:paraId="3CC92D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w:t>
            </w:r>
          </w:p>
        </w:tc>
        <w:tc>
          <w:tcPr>
            <w:tcW w:w="1491" w:type="dxa"/>
          </w:tcPr>
          <w:p w14:paraId="0CEBD5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Выполнение тех.</w:t>
            </w:r>
          </w:p>
        </w:tc>
        <w:tc>
          <w:tcPr>
            <w:tcW w:w="1701" w:type="dxa"/>
          </w:tcPr>
          <w:p w14:paraId="4E6D00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Срок, выдвигаемый</w:t>
            </w:r>
          </w:p>
        </w:tc>
        <w:tc>
          <w:tcPr>
            <w:tcW w:w="1705" w:type="dxa"/>
          </w:tcPr>
          <w:p w14:paraId="46C5A7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Срок, принятый</w:t>
            </w:r>
          </w:p>
        </w:tc>
        <w:tc>
          <w:tcPr>
            <w:tcW w:w="1486" w:type="dxa"/>
          </w:tcPr>
          <w:p w14:paraId="27A83B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Срок поставки</w:t>
            </w:r>
          </w:p>
        </w:tc>
        <w:tc>
          <w:tcPr>
            <w:tcW w:w="2052" w:type="dxa"/>
          </w:tcPr>
          <w:p w14:paraId="7BEC75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Примечания</w:t>
            </w:r>
          </w:p>
        </w:tc>
      </w:tr>
      <w:tr w:rsidR="001002C3" w:rsidRPr="005E779E" w14:paraId="2CCA6E83" w14:textId="77777777">
        <w:tc>
          <w:tcPr>
            <w:tcW w:w="939" w:type="dxa"/>
          </w:tcPr>
          <w:p w14:paraId="1491A7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2C959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716FE0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требований</w:t>
            </w:r>
          </w:p>
        </w:tc>
        <w:tc>
          <w:tcPr>
            <w:tcW w:w="1701" w:type="dxa"/>
          </w:tcPr>
          <w:p w14:paraId="6C00B8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ВВС</w:t>
            </w:r>
          </w:p>
        </w:tc>
        <w:tc>
          <w:tcPr>
            <w:tcW w:w="1705" w:type="dxa"/>
          </w:tcPr>
          <w:p w14:paraId="72ABE0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w:t>
            </w:r>
          </w:p>
        </w:tc>
        <w:tc>
          <w:tcPr>
            <w:tcW w:w="1486" w:type="dxa"/>
          </w:tcPr>
          <w:p w14:paraId="46D64F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моторов в ЦАГИ</w:t>
            </w:r>
          </w:p>
        </w:tc>
        <w:tc>
          <w:tcPr>
            <w:tcW w:w="2052" w:type="dxa"/>
          </w:tcPr>
          <w:p w14:paraId="26BFF2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C56B740" w14:textId="77777777">
        <w:tc>
          <w:tcPr>
            <w:tcW w:w="939" w:type="dxa"/>
          </w:tcPr>
          <w:p w14:paraId="6CFE61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ДИП</w:t>
            </w:r>
          </w:p>
        </w:tc>
        <w:tc>
          <w:tcPr>
            <w:tcW w:w="939" w:type="dxa"/>
          </w:tcPr>
          <w:p w14:paraId="75EB36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М-34 с</w:t>
            </w:r>
          </w:p>
        </w:tc>
        <w:tc>
          <w:tcPr>
            <w:tcW w:w="1491" w:type="dxa"/>
          </w:tcPr>
          <w:p w14:paraId="5B8F4D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 удовл. по</w:t>
            </w:r>
          </w:p>
        </w:tc>
        <w:tc>
          <w:tcPr>
            <w:tcW w:w="1701" w:type="dxa"/>
          </w:tcPr>
          <w:p w14:paraId="23A257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01.02.32</w:t>
            </w:r>
          </w:p>
        </w:tc>
        <w:tc>
          <w:tcPr>
            <w:tcW w:w="1705" w:type="dxa"/>
          </w:tcPr>
          <w:p w14:paraId="260102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01.02.32</w:t>
            </w:r>
          </w:p>
        </w:tc>
        <w:tc>
          <w:tcPr>
            <w:tcW w:w="1486" w:type="dxa"/>
          </w:tcPr>
          <w:p w14:paraId="0FC63B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01.10.32</w:t>
            </w:r>
          </w:p>
        </w:tc>
        <w:tc>
          <w:tcPr>
            <w:tcW w:w="2052" w:type="dxa"/>
          </w:tcPr>
          <w:p w14:paraId="42EF2B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Тех. треб. могут</w:t>
            </w:r>
          </w:p>
        </w:tc>
      </w:tr>
      <w:tr w:rsidR="001002C3" w:rsidRPr="005E779E" w14:paraId="5FC99C95" w14:textId="77777777">
        <w:tc>
          <w:tcPr>
            <w:tcW w:w="939" w:type="dxa"/>
          </w:tcPr>
          <w:p w14:paraId="55C114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B46D9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наддув.</w:t>
            </w:r>
          </w:p>
        </w:tc>
        <w:tc>
          <w:tcPr>
            <w:tcW w:w="1491" w:type="dxa"/>
          </w:tcPr>
          <w:p w14:paraId="182440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скорости.</w:t>
            </w:r>
          </w:p>
        </w:tc>
        <w:tc>
          <w:tcPr>
            <w:tcW w:w="1701" w:type="dxa"/>
          </w:tcPr>
          <w:p w14:paraId="41C3C2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0DF97F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37AFD7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6FD880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быть почти вып. с</w:t>
            </w:r>
          </w:p>
        </w:tc>
      </w:tr>
      <w:tr w:rsidR="001002C3" w:rsidRPr="005E779E" w14:paraId="7F08431B" w14:textId="77777777">
        <w:tc>
          <w:tcPr>
            <w:tcW w:w="939" w:type="dxa"/>
          </w:tcPr>
          <w:p w14:paraId="5488F2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4D925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398D1C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 скоропод.</w:t>
            </w:r>
          </w:p>
        </w:tc>
        <w:tc>
          <w:tcPr>
            <w:tcW w:w="1701" w:type="dxa"/>
          </w:tcPr>
          <w:p w14:paraId="758340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475858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234EA4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1B0DE4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М-35</w:t>
            </w:r>
          </w:p>
        </w:tc>
      </w:tr>
      <w:tr w:rsidR="001002C3" w:rsidRPr="005E779E" w14:paraId="1E09D5CC" w14:textId="77777777">
        <w:tc>
          <w:tcPr>
            <w:tcW w:w="939" w:type="dxa"/>
          </w:tcPr>
          <w:p w14:paraId="7B036E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М.К.</w:t>
            </w:r>
          </w:p>
        </w:tc>
        <w:tc>
          <w:tcPr>
            <w:tcW w:w="939" w:type="dxa"/>
          </w:tcPr>
          <w:p w14:paraId="4DB207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4М-34 с</w:t>
            </w:r>
          </w:p>
        </w:tc>
        <w:tc>
          <w:tcPr>
            <w:tcW w:w="1491" w:type="dxa"/>
          </w:tcPr>
          <w:p w14:paraId="41E8CA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 удовл. по</w:t>
            </w:r>
          </w:p>
        </w:tc>
        <w:tc>
          <w:tcPr>
            <w:tcW w:w="1701" w:type="dxa"/>
          </w:tcPr>
          <w:p w14:paraId="1AB051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01.11.32</w:t>
            </w:r>
          </w:p>
        </w:tc>
        <w:tc>
          <w:tcPr>
            <w:tcW w:w="1705" w:type="dxa"/>
          </w:tcPr>
          <w:p w14:paraId="79357A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01.11.32</w:t>
            </w:r>
          </w:p>
        </w:tc>
        <w:tc>
          <w:tcPr>
            <w:tcW w:w="1486" w:type="dxa"/>
          </w:tcPr>
          <w:p w14:paraId="13A91F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01.03.32</w:t>
            </w:r>
          </w:p>
        </w:tc>
        <w:tc>
          <w:tcPr>
            <w:tcW w:w="2052" w:type="dxa"/>
          </w:tcPr>
          <w:p w14:paraId="5A30D2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Тех. треб. согласов.</w:t>
            </w:r>
          </w:p>
        </w:tc>
      </w:tr>
      <w:tr w:rsidR="001002C3" w:rsidRPr="005E779E" w14:paraId="1153BC03" w14:textId="77777777">
        <w:tc>
          <w:tcPr>
            <w:tcW w:w="939" w:type="dxa"/>
          </w:tcPr>
          <w:p w14:paraId="7A5BA8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95D56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наддув.</w:t>
            </w:r>
          </w:p>
        </w:tc>
        <w:tc>
          <w:tcPr>
            <w:tcW w:w="1491" w:type="dxa"/>
          </w:tcPr>
          <w:p w14:paraId="7CD7D7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скорости и</w:t>
            </w:r>
          </w:p>
        </w:tc>
        <w:tc>
          <w:tcPr>
            <w:tcW w:w="1701" w:type="dxa"/>
          </w:tcPr>
          <w:p w14:paraId="7F7ED1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3F4388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1CE7E1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06B964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т. Межениновым за</w:t>
            </w:r>
          </w:p>
        </w:tc>
      </w:tr>
      <w:tr w:rsidR="001002C3" w:rsidRPr="005E779E" w14:paraId="6A562BAD" w14:textId="77777777">
        <w:tc>
          <w:tcPr>
            <w:tcW w:w="939" w:type="dxa"/>
          </w:tcPr>
          <w:p w14:paraId="54606E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279DD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 ред.</w:t>
            </w:r>
          </w:p>
        </w:tc>
        <w:tc>
          <w:tcPr>
            <w:tcW w:w="1491" w:type="dxa"/>
          </w:tcPr>
          <w:p w14:paraId="6831CD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скоропод.</w:t>
            </w:r>
          </w:p>
        </w:tc>
        <w:tc>
          <w:tcPr>
            <w:tcW w:w="1701" w:type="dxa"/>
          </w:tcPr>
          <w:p w14:paraId="59AE85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173BE8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705E21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6633BF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исключ. скорости. Для</w:t>
            </w:r>
          </w:p>
        </w:tc>
      </w:tr>
      <w:tr w:rsidR="001002C3" w:rsidRPr="005E779E" w14:paraId="11F87E17" w14:textId="77777777">
        <w:tc>
          <w:tcPr>
            <w:tcW w:w="939" w:type="dxa"/>
          </w:tcPr>
          <w:p w14:paraId="06D68A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F8B43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4C9A6C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5B3C8B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3CC435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4E47AC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2E9E82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удовлетв. скор. надо</w:t>
            </w:r>
          </w:p>
        </w:tc>
      </w:tr>
      <w:tr w:rsidR="001002C3" w:rsidRPr="005E779E" w14:paraId="5194605B" w14:textId="77777777">
        <w:tc>
          <w:tcPr>
            <w:tcW w:w="939" w:type="dxa"/>
          </w:tcPr>
          <w:p w14:paraId="0509F6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A4FA9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0D14C6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70FE4C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66CC35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433A20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280136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ставить М-35 и при</w:t>
            </w:r>
          </w:p>
        </w:tc>
      </w:tr>
      <w:tr w:rsidR="001002C3" w:rsidRPr="005E779E" w14:paraId="233161F8" w14:textId="77777777">
        <w:tc>
          <w:tcPr>
            <w:tcW w:w="939" w:type="dxa"/>
          </w:tcPr>
          <w:p w14:paraId="444162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B5C0C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3550D5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792B5A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0F2BBC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1BFBE6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29C5C5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постр. рекоменд.</w:t>
            </w:r>
          </w:p>
        </w:tc>
      </w:tr>
      <w:tr w:rsidR="001002C3" w:rsidRPr="005E779E" w14:paraId="69BBBB3C" w14:textId="77777777">
        <w:tc>
          <w:tcPr>
            <w:tcW w:w="939" w:type="dxa"/>
          </w:tcPr>
          <w:p w14:paraId="388831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BD15D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0A07B4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64A81D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207FF7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685871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23F42E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2М-35+2М-34</w:t>
            </w:r>
          </w:p>
        </w:tc>
      </w:tr>
      <w:tr w:rsidR="001002C3" w:rsidRPr="005E779E" w14:paraId="5FE131AD" w14:textId="77777777">
        <w:tc>
          <w:tcPr>
            <w:tcW w:w="939" w:type="dxa"/>
          </w:tcPr>
          <w:p w14:paraId="620ADB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ИП-2</w:t>
            </w:r>
          </w:p>
        </w:tc>
        <w:tc>
          <w:tcPr>
            <w:tcW w:w="939" w:type="dxa"/>
          </w:tcPr>
          <w:p w14:paraId="558F69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491" w:type="dxa"/>
          </w:tcPr>
          <w:p w14:paraId="79BE6D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Тех. треб. не</w:t>
            </w:r>
          </w:p>
        </w:tc>
        <w:tc>
          <w:tcPr>
            <w:tcW w:w="1701" w:type="dxa"/>
          </w:tcPr>
          <w:p w14:paraId="197E3C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01.10.32</w:t>
            </w:r>
          </w:p>
        </w:tc>
        <w:tc>
          <w:tcPr>
            <w:tcW w:w="1705" w:type="dxa"/>
          </w:tcPr>
          <w:p w14:paraId="1AF518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01.08.33</w:t>
            </w:r>
          </w:p>
        </w:tc>
        <w:tc>
          <w:tcPr>
            <w:tcW w:w="1486" w:type="dxa"/>
          </w:tcPr>
          <w:p w14:paraId="47A8D2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01.01.33</w:t>
            </w:r>
          </w:p>
        </w:tc>
        <w:tc>
          <w:tcPr>
            <w:tcW w:w="2052" w:type="dxa"/>
          </w:tcPr>
          <w:p w14:paraId="32AE32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Срок принят ЦАГИ</w:t>
            </w:r>
          </w:p>
        </w:tc>
      </w:tr>
      <w:tr w:rsidR="001002C3" w:rsidRPr="005E779E" w14:paraId="60B0AD51" w14:textId="77777777">
        <w:tc>
          <w:tcPr>
            <w:tcW w:w="939" w:type="dxa"/>
          </w:tcPr>
          <w:p w14:paraId="5D3BB6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6CD9C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29078B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могут быть об.</w:t>
            </w:r>
          </w:p>
        </w:tc>
        <w:tc>
          <w:tcPr>
            <w:tcW w:w="1701" w:type="dxa"/>
          </w:tcPr>
          <w:p w14:paraId="21815B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7AA85D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2825AD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48863B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условно в завис.</w:t>
            </w:r>
          </w:p>
        </w:tc>
      </w:tr>
      <w:tr w:rsidR="001002C3" w:rsidRPr="005E779E" w14:paraId="0C7DD460" w14:textId="77777777">
        <w:tc>
          <w:tcPr>
            <w:tcW w:w="939" w:type="dxa"/>
          </w:tcPr>
          <w:p w14:paraId="74F5DC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720F5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666D8E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ни одним из</w:t>
            </w:r>
          </w:p>
        </w:tc>
        <w:tc>
          <w:tcPr>
            <w:tcW w:w="1701" w:type="dxa"/>
          </w:tcPr>
          <w:p w14:paraId="140E7C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0AC5F1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66DFBB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3038C2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 получ. спец.</w:t>
            </w:r>
          </w:p>
        </w:tc>
      </w:tr>
      <w:tr w:rsidR="001002C3" w:rsidRPr="005E779E" w14:paraId="47FC2567" w14:textId="77777777">
        <w:tc>
          <w:tcPr>
            <w:tcW w:w="939" w:type="dxa"/>
          </w:tcPr>
          <w:p w14:paraId="524917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92304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2F7A9F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сущ. от. или</w:t>
            </w:r>
          </w:p>
        </w:tc>
        <w:tc>
          <w:tcPr>
            <w:tcW w:w="1701" w:type="dxa"/>
          </w:tcPr>
          <w:p w14:paraId="0E3C68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3E806D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5FFA8F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2A6035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высотного мотор.</w:t>
            </w:r>
          </w:p>
        </w:tc>
      </w:tr>
      <w:tr w:rsidR="001002C3" w:rsidRPr="005E779E" w14:paraId="51889058" w14:textId="77777777">
        <w:tc>
          <w:tcPr>
            <w:tcW w:w="939" w:type="dxa"/>
          </w:tcPr>
          <w:p w14:paraId="2F33C1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FA27A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4740B5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заруб. мотором</w:t>
            </w:r>
          </w:p>
        </w:tc>
        <w:tc>
          <w:tcPr>
            <w:tcW w:w="1701" w:type="dxa"/>
          </w:tcPr>
          <w:p w14:paraId="188163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36D89C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2EE8EE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3910B8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1E0FDCE" w14:textId="77777777">
        <w:tc>
          <w:tcPr>
            <w:tcW w:w="939" w:type="dxa"/>
          </w:tcPr>
          <w:p w14:paraId="7F166A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СТБ</w:t>
            </w:r>
          </w:p>
        </w:tc>
        <w:tc>
          <w:tcPr>
            <w:tcW w:w="939" w:type="dxa"/>
          </w:tcPr>
          <w:p w14:paraId="19F5AF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М-44</w:t>
            </w:r>
          </w:p>
        </w:tc>
        <w:tc>
          <w:tcPr>
            <w:tcW w:w="1491" w:type="dxa"/>
          </w:tcPr>
          <w:p w14:paraId="015C79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Приним. к пр.</w:t>
            </w:r>
          </w:p>
        </w:tc>
        <w:tc>
          <w:tcPr>
            <w:tcW w:w="1701" w:type="dxa"/>
          </w:tcPr>
          <w:p w14:paraId="53AF30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01.05.34</w:t>
            </w:r>
          </w:p>
        </w:tc>
        <w:tc>
          <w:tcPr>
            <w:tcW w:w="1705" w:type="dxa"/>
          </w:tcPr>
          <w:p w14:paraId="02F491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01.10.34</w:t>
            </w:r>
          </w:p>
        </w:tc>
        <w:tc>
          <w:tcPr>
            <w:tcW w:w="1486" w:type="dxa"/>
          </w:tcPr>
          <w:p w14:paraId="7B7AB5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01.01.34</w:t>
            </w:r>
          </w:p>
        </w:tc>
        <w:tc>
          <w:tcPr>
            <w:tcW w:w="2052" w:type="dxa"/>
          </w:tcPr>
          <w:p w14:paraId="2D9E02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Маш. должна</w:t>
            </w:r>
          </w:p>
        </w:tc>
      </w:tr>
      <w:tr w:rsidR="001002C3" w:rsidRPr="005E779E" w14:paraId="3E486A5B" w14:textId="77777777">
        <w:tc>
          <w:tcPr>
            <w:tcW w:w="939" w:type="dxa"/>
          </w:tcPr>
          <w:p w14:paraId="4F7584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A6FCD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5E2E23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 постр. как</w:t>
            </w:r>
          </w:p>
        </w:tc>
        <w:tc>
          <w:tcPr>
            <w:tcW w:w="1701" w:type="dxa"/>
          </w:tcPr>
          <w:p w14:paraId="2B024D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126454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2DFC89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4C2EE6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рассматр. как</w:t>
            </w:r>
          </w:p>
        </w:tc>
      </w:tr>
      <w:tr w:rsidR="001002C3" w:rsidRPr="005E779E" w14:paraId="0D378C6B" w14:textId="77777777">
        <w:tc>
          <w:tcPr>
            <w:tcW w:w="939" w:type="dxa"/>
          </w:tcPr>
          <w:p w14:paraId="7B2506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675E2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037244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небольш. возм.</w:t>
            </w:r>
          </w:p>
        </w:tc>
        <w:tc>
          <w:tcPr>
            <w:tcW w:w="1701" w:type="dxa"/>
          </w:tcPr>
          <w:p w14:paraId="51BA6A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779254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43C58D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0CD973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эксперим.</w:t>
            </w:r>
          </w:p>
        </w:tc>
      </w:tr>
      <w:tr w:rsidR="001002C3" w:rsidRPr="005E779E" w14:paraId="118C1D8D" w14:textId="77777777">
        <w:tc>
          <w:tcPr>
            <w:tcW w:w="939" w:type="dxa"/>
          </w:tcPr>
          <w:p w14:paraId="27128C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DB0B3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4EF32C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грузоп. в</w:t>
            </w:r>
          </w:p>
        </w:tc>
        <w:tc>
          <w:tcPr>
            <w:tcW w:w="1701" w:type="dxa"/>
          </w:tcPr>
          <w:p w14:paraId="62027E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14ACEF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496E1B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202DA1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802DDCA" w14:textId="77777777">
        <w:tc>
          <w:tcPr>
            <w:tcW w:w="939" w:type="dxa"/>
          </w:tcPr>
          <w:p w14:paraId="47566F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A018E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08D4B7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наст. вр. в</w:t>
            </w:r>
          </w:p>
        </w:tc>
        <w:tc>
          <w:tcPr>
            <w:tcW w:w="1701" w:type="dxa"/>
          </w:tcPr>
          <w:p w14:paraId="638C78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1EF20C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46DC5B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0EAD43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36E19B2" w14:textId="77777777">
        <w:tc>
          <w:tcPr>
            <w:tcW w:w="939" w:type="dxa"/>
          </w:tcPr>
          <w:p w14:paraId="11035D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93576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230561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завис. от кач.</w:t>
            </w:r>
          </w:p>
        </w:tc>
        <w:tc>
          <w:tcPr>
            <w:tcW w:w="1701" w:type="dxa"/>
          </w:tcPr>
          <w:p w14:paraId="208290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4BF73B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66AB3C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5243F0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B312D40" w14:textId="77777777">
        <w:tc>
          <w:tcPr>
            <w:tcW w:w="939" w:type="dxa"/>
          </w:tcPr>
          <w:p w14:paraId="01DC88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460D6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12212A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 м мат.</w:t>
            </w:r>
          </w:p>
        </w:tc>
        <w:tc>
          <w:tcPr>
            <w:tcW w:w="1701" w:type="dxa"/>
          </w:tcPr>
          <w:p w14:paraId="1D634F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05F939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4511C4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55B5D1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3813C80" w14:textId="77777777">
        <w:tc>
          <w:tcPr>
            <w:tcW w:w="939" w:type="dxa"/>
          </w:tcPr>
          <w:p w14:paraId="68A1CF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2A19C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2D05FC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Тех. треб. под.</w:t>
            </w:r>
          </w:p>
        </w:tc>
        <w:tc>
          <w:tcPr>
            <w:tcW w:w="1701" w:type="dxa"/>
          </w:tcPr>
          <w:p w14:paraId="59A3B4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78561F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1AF1C1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479B7F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C1C0688" w14:textId="77777777">
        <w:tc>
          <w:tcPr>
            <w:tcW w:w="939" w:type="dxa"/>
          </w:tcPr>
          <w:p w14:paraId="7FFABA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0C2CC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5C2DBA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согласов.</w:t>
            </w:r>
          </w:p>
        </w:tc>
        <w:tc>
          <w:tcPr>
            <w:tcW w:w="1701" w:type="dxa"/>
          </w:tcPr>
          <w:p w14:paraId="6156B2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560437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7AD4F4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56ACBE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18FFB0A" w14:textId="77777777">
        <w:tc>
          <w:tcPr>
            <w:tcW w:w="939" w:type="dxa"/>
          </w:tcPr>
          <w:p w14:paraId="1A3369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К.1.</w:t>
            </w:r>
          </w:p>
        </w:tc>
        <w:tc>
          <w:tcPr>
            <w:tcW w:w="939" w:type="dxa"/>
          </w:tcPr>
          <w:p w14:paraId="416D86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3М-34</w:t>
            </w:r>
          </w:p>
        </w:tc>
        <w:tc>
          <w:tcPr>
            <w:tcW w:w="1491" w:type="dxa"/>
          </w:tcPr>
          <w:p w14:paraId="21D397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Тех. треб. не</w:t>
            </w:r>
          </w:p>
        </w:tc>
        <w:tc>
          <w:tcPr>
            <w:tcW w:w="1701" w:type="dxa"/>
          </w:tcPr>
          <w:p w14:paraId="4D6AB3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01.12.32</w:t>
            </w:r>
          </w:p>
        </w:tc>
        <w:tc>
          <w:tcPr>
            <w:tcW w:w="1705" w:type="dxa"/>
          </w:tcPr>
          <w:p w14:paraId="116B77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01.06.32</w:t>
            </w:r>
          </w:p>
        </w:tc>
        <w:tc>
          <w:tcPr>
            <w:tcW w:w="1486" w:type="dxa"/>
          </w:tcPr>
          <w:p w14:paraId="62DC7C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01.09.32</w:t>
            </w:r>
          </w:p>
        </w:tc>
        <w:tc>
          <w:tcPr>
            <w:tcW w:w="2052" w:type="dxa"/>
          </w:tcPr>
          <w:p w14:paraId="3FA7C0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Тех. треб. б. вып.</w:t>
            </w:r>
          </w:p>
        </w:tc>
      </w:tr>
      <w:tr w:rsidR="001002C3" w:rsidRPr="005E779E" w14:paraId="3F4E1B4E" w14:textId="77777777">
        <w:tc>
          <w:tcPr>
            <w:tcW w:w="939" w:type="dxa"/>
          </w:tcPr>
          <w:p w14:paraId="2B9E65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6ADB7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над.</w:t>
            </w:r>
          </w:p>
        </w:tc>
        <w:tc>
          <w:tcPr>
            <w:tcW w:w="1491" w:type="dxa"/>
          </w:tcPr>
          <w:p w14:paraId="016FB1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удов. по скор.</w:t>
            </w:r>
          </w:p>
        </w:tc>
        <w:tc>
          <w:tcPr>
            <w:tcW w:w="1701" w:type="dxa"/>
          </w:tcPr>
          <w:p w14:paraId="3501BF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1F2335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24D7AD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0115E0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уст. М-35</w:t>
            </w:r>
          </w:p>
        </w:tc>
      </w:tr>
      <w:tr w:rsidR="001002C3" w:rsidRPr="005E779E" w14:paraId="7D0ED337" w14:textId="77777777">
        <w:tc>
          <w:tcPr>
            <w:tcW w:w="939" w:type="dxa"/>
          </w:tcPr>
          <w:p w14:paraId="327A5F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Э.1.</w:t>
            </w:r>
          </w:p>
        </w:tc>
        <w:tc>
          <w:tcPr>
            <w:tcW w:w="939" w:type="dxa"/>
          </w:tcPr>
          <w:p w14:paraId="1BB495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79D1CD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Тех. треб.</w:t>
            </w:r>
          </w:p>
        </w:tc>
        <w:tc>
          <w:tcPr>
            <w:tcW w:w="1701" w:type="dxa"/>
          </w:tcPr>
          <w:p w14:paraId="00D4B9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Сроки подлежат согласов. в</w:t>
            </w:r>
          </w:p>
        </w:tc>
        <w:tc>
          <w:tcPr>
            <w:tcW w:w="1705" w:type="dxa"/>
          </w:tcPr>
          <w:p w14:paraId="7BD314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6BB80D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0EFC38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Принимается как</w:t>
            </w:r>
          </w:p>
        </w:tc>
      </w:tr>
      <w:tr w:rsidR="001002C3" w:rsidRPr="005E779E" w14:paraId="00C3BB1C" w14:textId="77777777">
        <w:tc>
          <w:tcPr>
            <w:tcW w:w="939" w:type="dxa"/>
          </w:tcPr>
          <w:p w14:paraId="3CC9E8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Э.2</w:t>
            </w:r>
          </w:p>
        </w:tc>
        <w:tc>
          <w:tcPr>
            <w:tcW w:w="939" w:type="dxa"/>
          </w:tcPr>
          <w:p w14:paraId="28F127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469162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 устан.</w:t>
            </w:r>
          </w:p>
        </w:tc>
        <w:tc>
          <w:tcPr>
            <w:tcW w:w="1701" w:type="dxa"/>
          </w:tcPr>
          <w:p w14:paraId="5277FA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Порядке принятия маш. к постр.</w:t>
            </w:r>
          </w:p>
        </w:tc>
        <w:tc>
          <w:tcPr>
            <w:tcW w:w="1705" w:type="dxa"/>
          </w:tcPr>
          <w:p w14:paraId="5FDE7D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758D9C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54C766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новых экспер.</w:t>
            </w:r>
          </w:p>
        </w:tc>
      </w:tr>
      <w:tr w:rsidR="001002C3" w:rsidRPr="005E779E" w14:paraId="789935FC" w14:textId="77777777">
        <w:tc>
          <w:tcPr>
            <w:tcW w:w="939" w:type="dxa"/>
          </w:tcPr>
          <w:p w14:paraId="6FEDD9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2AD4E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1DA384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251A1A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758174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024DB5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7A3C5B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самолета размерности</w:t>
            </w:r>
          </w:p>
        </w:tc>
      </w:tr>
      <w:tr w:rsidR="001002C3" w:rsidRPr="005E779E" w14:paraId="3316A678" w14:textId="77777777">
        <w:tc>
          <w:tcPr>
            <w:tcW w:w="939" w:type="dxa"/>
          </w:tcPr>
          <w:p w14:paraId="28B8F5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ABEE5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686801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7900B5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2B302C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722B72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07DFE3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истребителя</w:t>
            </w:r>
          </w:p>
        </w:tc>
      </w:tr>
      <w:tr w:rsidR="001002C3" w:rsidRPr="005E779E" w14:paraId="641DA71E" w14:textId="77777777">
        <w:tc>
          <w:tcPr>
            <w:tcW w:w="939" w:type="dxa"/>
          </w:tcPr>
          <w:p w14:paraId="06FD12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ТБ-1Х</w:t>
            </w:r>
          </w:p>
        </w:tc>
        <w:tc>
          <w:tcPr>
            <w:tcW w:w="939" w:type="dxa"/>
          </w:tcPr>
          <w:p w14:paraId="35B2E8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Подл.</w:t>
            </w:r>
          </w:p>
        </w:tc>
        <w:tc>
          <w:tcPr>
            <w:tcW w:w="1491" w:type="dxa"/>
          </w:tcPr>
          <w:p w14:paraId="2B9299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Рассматр. как</w:t>
            </w:r>
          </w:p>
        </w:tc>
        <w:tc>
          <w:tcPr>
            <w:tcW w:w="1701" w:type="dxa"/>
          </w:tcPr>
          <w:p w14:paraId="3206E6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01.05.34</w:t>
            </w:r>
          </w:p>
        </w:tc>
        <w:tc>
          <w:tcPr>
            <w:tcW w:w="1705" w:type="dxa"/>
          </w:tcPr>
          <w:p w14:paraId="4DBF3D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Конец 1935</w:t>
            </w:r>
          </w:p>
        </w:tc>
        <w:tc>
          <w:tcPr>
            <w:tcW w:w="1486" w:type="dxa"/>
          </w:tcPr>
          <w:p w14:paraId="3CB36D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01.01.34</w:t>
            </w:r>
          </w:p>
        </w:tc>
        <w:tc>
          <w:tcPr>
            <w:tcW w:w="2052" w:type="dxa"/>
          </w:tcPr>
          <w:p w14:paraId="4A70CA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Принимается усл.</w:t>
            </w:r>
          </w:p>
        </w:tc>
      </w:tr>
      <w:tr w:rsidR="001002C3" w:rsidRPr="005E779E" w14:paraId="576A733A" w14:textId="77777777">
        <w:tc>
          <w:tcPr>
            <w:tcW w:w="939" w:type="dxa"/>
          </w:tcPr>
          <w:p w14:paraId="60A125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129A1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уточнен. </w:t>
            </w:r>
          </w:p>
        </w:tc>
        <w:tc>
          <w:tcPr>
            <w:tcW w:w="1491" w:type="dxa"/>
          </w:tcPr>
          <w:p w14:paraId="551291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развит. ТБ-7 в</w:t>
            </w:r>
          </w:p>
        </w:tc>
        <w:tc>
          <w:tcPr>
            <w:tcW w:w="1701" w:type="dxa"/>
          </w:tcPr>
          <w:p w14:paraId="447641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07C4D2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24C915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51557B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завис. от моторов</w:t>
            </w:r>
          </w:p>
        </w:tc>
      </w:tr>
      <w:tr w:rsidR="001002C3" w:rsidRPr="005E779E" w14:paraId="3346FF9B" w14:textId="77777777">
        <w:tc>
          <w:tcPr>
            <w:tcW w:w="939" w:type="dxa"/>
          </w:tcPr>
          <w:p w14:paraId="29D36D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F0D9A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37E808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сторону увел.</w:t>
            </w:r>
          </w:p>
        </w:tc>
        <w:tc>
          <w:tcPr>
            <w:tcW w:w="1701" w:type="dxa"/>
          </w:tcPr>
          <w:p w14:paraId="5B8C96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3B804F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4484C4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347CD0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 матер.</w:t>
            </w:r>
          </w:p>
        </w:tc>
      </w:tr>
      <w:tr w:rsidR="001002C3" w:rsidRPr="005E779E" w14:paraId="1BA296D9" w14:textId="77777777">
        <w:tc>
          <w:tcPr>
            <w:tcW w:w="939" w:type="dxa"/>
          </w:tcPr>
          <w:p w14:paraId="45C8B8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05D9C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623743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груз. и м.б.</w:t>
            </w:r>
          </w:p>
        </w:tc>
        <w:tc>
          <w:tcPr>
            <w:tcW w:w="1701" w:type="dxa"/>
          </w:tcPr>
          <w:p w14:paraId="7D2A73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60921A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601862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2289CD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0B9A86C" w14:textId="77777777">
        <w:tc>
          <w:tcPr>
            <w:tcW w:w="939" w:type="dxa"/>
          </w:tcPr>
          <w:p w14:paraId="4781B1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5922E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63FB9C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постр. на осн.</w:t>
            </w:r>
          </w:p>
        </w:tc>
        <w:tc>
          <w:tcPr>
            <w:tcW w:w="1701" w:type="dxa"/>
          </w:tcPr>
          <w:p w14:paraId="46AA07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03E24B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1B7454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58E0BC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8EDDC18" w14:textId="77777777">
        <w:tc>
          <w:tcPr>
            <w:tcW w:w="939" w:type="dxa"/>
          </w:tcPr>
          <w:p w14:paraId="2D7F1E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0B021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7FF68A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развит. моторн.</w:t>
            </w:r>
          </w:p>
        </w:tc>
        <w:tc>
          <w:tcPr>
            <w:tcW w:w="1701" w:type="dxa"/>
          </w:tcPr>
          <w:p w14:paraId="303A9C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53817A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294B7A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4FA21A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2C35AF0" w14:textId="77777777">
        <w:tc>
          <w:tcPr>
            <w:tcW w:w="939" w:type="dxa"/>
          </w:tcPr>
          <w:p w14:paraId="78213A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DD1A3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5E81D2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дела и расш.</w:t>
            </w:r>
          </w:p>
        </w:tc>
        <w:tc>
          <w:tcPr>
            <w:tcW w:w="1701" w:type="dxa"/>
          </w:tcPr>
          <w:p w14:paraId="35802A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10F70D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70BEB0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5E8DD8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A4FDB7A" w14:textId="77777777">
        <w:tc>
          <w:tcPr>
            <w:tcW w:w="939" w:type="dxa"/>
          </w:tcPr>
          <w:p w14:paraId="1B8465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139C8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60BC20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мат. базы. Тех.</w:t>
            </w:r>
          </w:p>
        </w:tc>
        <w:tc>
          <w:tcPr>
            <w:tcW w:w="1701" w:type="dxa"/>
          </w:tcPr>
          <w:p w14:paraId="2C319B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062174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4C8BDE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2CE3CD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BF762EE" w14:textId="77777777">
        <w:tc>
          <w:tcPr>
            <w:tcW w:w="939" w:type="dxa"/>
          </w:tcPr>
          <w:p w14:paraId="24A3BC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88AEF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45189E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треб. подл. Разр.</w:t>
            </w:r>
          </w:p>
        </w:tc>
        <w:tc>
          <w:tcPr>
            <w:tcW w:w="1701" w:type="dxa"/>
          </w:tcPr>
          <w:p w14:paraId="5C7AF8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74A0FE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5F6353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00893D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314C6A2" w14:textId="77777777">
        <w:tc>
          <w:tcPr>
            <w:tcW w:w="939" w:type="dxa"/>
          </w:tcPr>
          <w:p w14:paraId="4C9B04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1F83A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5AE5A6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 согл. в пор.</w:t>
            </w:r>
          </w:p>
        </w:tc>
        <w:tc>
          <w:tcPr>
            <w:tcW w:w="1701" w:type="dxa"/>
          </w:tcPr>
          <w:p w14:paraId="373962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2F8735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7115E3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6FD32A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5AE9B79" w14:textId="77777777">
        <w:tc>
          <w:tcPr>
            <w:tcW w:w="939" w:type="dxa"/>
          </w:tcPr>
          <w:p w14:paraId="1F14F3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1BF9D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2F0C8B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проектир. Маш.</w:t>
            </w:r>
          </w:p>
        </w:tc>
        <w:tc>
          <w:tcPr>
            <w:tcW w:w="1701" w:type="dxa"/>
          </w:tcPr>
          <w:p w14:paraId="0F4082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38D903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7864D5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4F630B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304B74F" w14:textId="77777777">
        <w:tc>
          <w:tcPr>
            <w:tcW w:w="939" w:type="dxa"/>
          </w:tcPr>
          <w:p w14:paraId="368F4A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Автожир</w:t>
            </w:r>
          </w:p>
        </w:tc>
        <w:tc>
          <w:tcPr>
            <w:tcW w:w="939" w:type="dxa"/>
          </w:tcPr>
          <w:p w14:paraId="3226E6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491" w:type="dxa"/>
          </w:tcPr>
          <w:p w14:paraId="1962D1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 задано.</w:t>
            </w:r>
          </w:p>
        </w:tc>
        <w:tc>
          <w:tcPr>
            <w:tcW w:w="1701" w:type="dxa"/>
          </w:tcPr>
          <w:p w14:paraId="7F0F80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705" w:type="dxa"/>
          </w:tcPr>
          <w:p w14:paraId="10C43E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486" w:type="dxa"/>
          </w:tcPr>
          <w:p w14:paraId="539AB5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2052" w:type="dxa"/>
          </w:tcPr>
          <w:p w14:paraId="713115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Принимается как</w:t>
            </w:r>
          </w:p>
        </w:tc>
      </w:tr>
      <w:tr w:rsidR="001002C3" w:rsidRPr="005E779E" w14:paraId="5501F0BB" w14:textId="77777777">
        <w:tc>
          <w:tcPr>
            <w:tcW w:w="939" w:type="dxa"/>
          </w:tcPr>
          <w:p w14:paraId="66F912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C3C8A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399AE6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Подл. разр. В</w:t>
            </w:r>
          </w:p>
        </w:tc>
        <w:tc>
          <w:tcPr>
            <w:tcW w:w="1701" w:type="dxa"/>
          </w:tcPr>
          <w:p w14:paraId="067D79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169FC1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09DB47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3C4F9B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развитие работ по</w:t>
            </w:r>
          </w:p>
        </w:tc>
      </w:tr>
      <w:tr w:rsidR="001002C3" w:rsidRPr="005E779E" w14:paraId="1C69ED1E" w14:textId="77777777">
        <w:tc>
          <w:tcPr>
            <w:tcW w:w="939" w:type="dxa"/>
          </w:tcPr>
          <w:p w14:paraId="467D23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9D26E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28D58E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пор. проект.</w:t>
            </w:r>
          </w:p>
        </w:tc>
        <w:tc>
          <w:tcPr>
            <w:tcW w:w="1701" w:type="dxa"/>
          </w:tcPr>
          <w:p w14:paraId="23BAE0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534778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77F4BF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035CDB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автожирам</w:t>
            </w:r>
          </w:p>
        </w:tc>
      </w:tr>
      <w:tr w:rsidR="001002C3" w:rsidRPr="005E779E" w14:paraId="201DD1D5" w14:textId="77777777">
        <w:tc>
          <w:tcPr>
            <w:tcW w:w="939" w:type="dxa"/>
          </w:tcPr>
          <w:p w14:paraId="26BA6B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Геликоп.</w:t>
            </w:r>
          </w:p>
        </w:tc>
        <w:tc>
          <w:tcPr>
            <w:tcW w:w="939" w:type="dxa"/>
          </w:tcPr>
          <w:p w14:paraId="58CCDB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491" w:type="dxa"/>
          </w:tcPr>
          <w:p w14:paraId="460589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 задано.</w:t>
            </w:r>
          </w:p>
        </w:tc>
        <w:tc>
          <w:tcPr>
            <w:tcW w:w="1701" w:type="dxa"/>
          </w:tcPr>
          <w:p w14:paraId="5D7FFC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705" w:type="dxa"/>
          </w:tcPr>
          <w:p w14:paraId="120D6D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486" w:type="dxa"/>
          </w:tcPr>
          <w:p w14:paraId="2831ED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2052" w:type="dxa"/>
          </w:tcPr>
          <w:p w14:paraId="1E64E7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Принимается как</w:t>
            </w:r>
          </w:p>
        </w:tc>
      </w:tr>
      <w:tr w:rsidR="001002C3" w:rsidRPr="005E779E" w14:paraId="1C769FB1" w14:textId="77777777">
        <w:tc>
          <w:tcPr>
            <w:tcW w:w="939" w:type="dxa"/>
          </w:tcPr>
          <w:p w14:paraId="3307A5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77295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11D892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Подл. разр. В</w:t>
            </w:r>
          </w:p>
        </w:tc>
        <w:tc>
          <w:tcPr>
            <w:tcW w:w="1701" w:type="dxa"/>
          </w:tcPr>
          <w:p w14:paraId="3C87C5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3FA686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7283F3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4B1916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развитие работ по</w:t>
            </w:r>
          </w:p>
        </w:tc>
      </w:tr>
      <w:tr w:rsidR="001002C3" w:rsidRPr="005E779E" w14:paraId="1670395F" w14:textId="77777777">
        <w:tc>
          <w:tcPr>
            <w:tcW w:w="939" w:type="dxa"/>
          </w:tcPr>
          <w:p w14:paraId="0DD8FD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86ECF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2E1E2D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пор. проект.</w:t>
            </w:r>
          </w:p>
        </w:tc>
        <w:tc>
          <w:tcPr>
            <w:tcW w:w="1701" w:type="dxa"/>
          </w:tcPr>
          <w:p w14:paraId="56CF94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747144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3854E5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2C06A8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геликоптерам</w:t>
            </w:r>
          </w:p>
        </w:tc>
      </w:tr>
    </w:tbl>
    <w:p w14:paraId="6A55C0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ПАССАЖИРСКИЕ МАШИНЫ ПО ПЛАНУ ВОГВФ</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59"/>
        <w:gridCol w:w="850"/>
        <w:gridCol w:w="877"/>
        <w:gridCol w:w="1022"/>
        <w:gridCol w:w="876"/>
        <w:gridCol w:w="1023"/>
        <w:gridCol w:w="4707"/>
      </w:tblGrid>
      <w:tr w:rsidR="001002C3" w:rsidRPr="005E779E" w14:paraId="3F762F3D" w14:textId="77777777">
        <w:tc>
          <w:tcPr>
            <w:tcW w:w="959" w:type="dxa"/>
          </w:tcPr>
          <w:p w14:paraId="76D49F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АНТ-20</w:t>
            </w:r>
          </w:p>
        </w:tc>
        <w:tc>
          <w:tcPr>
            <w:tcW w:w="850" w:type="dxa"/>
          </w:tcPr>
          <w:p w14:paraId="55F6BF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4АМ-35</w:t>
            </w:r>
          </w:p>
        </w:tc>
        <w:tc>
          <w:tcPr>
            <w:tcW w:w="877" w:type="dxa"/>
          </w:tcPr>
          <w:p w14:paraId="762AA8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Как модиф. ТБ-4</w:t>
            </w:r>
          </w:p>
        </w:tc>
        <w:tc>
          <w:tcPr>
            <w:tcW w:w="1022" w:type="dxa"/>
          </w:tcPr>
          <w:p w14:paraId="5D7DA1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01.10.32</w:t>
            </w:r>
          </w:p>
        </w:tc>
        <w:tc>
          <w:tcPr>
            <w:tcW w:w="876" w:type="dxa"/>
          </w:tcPr>
          <w:p w14:paraId="37A522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01.12.32</w:t>
            </w:r>
          </w:p>
        </w:tc>
        <w:tc>
          <w:tcPr>
            <w:tcW w:w="1023" w:type="dxa"/>
          </w:tcPr>
          <w:p w14:paraId="55223E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01.04.1932 </w:t>
            </w:r>
          </w:p>
        </w:tc>
        <w:tc>
          <w:tcPr>
            <w:tcW w:w="4707" w:type="dxa"/>
          </w:tcPr>
          <w:p w14:paraId="1DC8E7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Срок будет</w:t>
            </w:r>
          </w:p>
        </w:tc>
      </w:tr>
      <w:tr w:rsidR="001002C3" w:rsidRPr="005E779E" w14:paraId="6BF6FE72" w14:textId="77777777">
        <w:tc>
          <w:tcPr>
            <w:tcW w:w="959" w:type="dxa"/>
          </w:tcPr>
          <w:p w14:paraId="33FEFD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модиф.</w:t>
            </w:r>
          </w:p>
        </w:tc>
        <w:tc>
          <w:tcPr>
            <w:tcW w:w="850" w:type="dxa"/>
          </w:tcPr>
          <w:p w14:paraId="584520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ред.</w:t>
            </w:r>
          </w:p>
        </w:tc>
        <w:tc>
          <w:tcPr>
            <w:tcW w:w="877" w:type="dxa"/>
          </w:tcPr>
          <w:p w14:paraId="6F08B2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произвед. и кон.</w:t>
            </w:r>
          </w:p>
        </w:tc>
        <w:tc>
          <w:tcPr>
            <w:tcW w:w="1022" w:type="dxa"/>
          </w:tcPr>
          <w:p w14:paraId="3BBDDB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76" w:type="dxa"/>
          </w:tcPr>
          <w:p w14:paraId="7D8A16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3" w:type="dxa"/>
          </w:tcPr>
          <w:p w14:paraId="3585B2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707" w:type="dxa"/>
          </w:tcPr>
          <w:p w14:paraId="652588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выдерж. при услов.</w:t>
            </w:r>
          </w:p>
        </w:tc>
      </w:tr>
      <w:tr w:rsidR="001002C3" w:rsidRPr="005E779E" w14:paraId="528CEDCF" w14:textId="77777777">
        <w:tc>
          <w:tcPr>
            <w:tcW w:w="959" w:type="dxa"/>
          </w:tcPr>
          <w:p w14:paraId="7D8C4E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AAF64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w:t>
            </w:r>
          </w:p>
        </w:tc>
        <w:tc>
          <w:tcPr>
            <w:tcW w:w="877" w:type="dxa"/>
          </w:tcPr>
          <w:p w14:paraId="05B508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реальна, техн.</w:t>
            </w:r>
          </w:p>
        </w:tc>
        <w:tc>
          <w:tcPr>
            <w:tcW w:w="1022" w:type="dxa"/>
          </w:tcPr>
          <w:p w14:paraId="0D233C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76" w:type="dxa"/>
          </w:tcPr>
          <w:p w14:paraId="1BC804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3" w:type="dxa"/>
          </w:tcPr>
          <w:p w14:paraId="63647C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707" w:type="dxa"/>
          </w:tcPr>
          <w:p w14:paraId="20FADA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поставки моторов</w:t>
            </w:r>
          </w:p>
        </w:tc>
      </w:tr>
      <w:tr w:rsidR="001002C3" w:rsidRPr="005E779E" w14:paraId="459D8D74" w14:textId="77777777">
        <w:tc>
          <w:tcPr>
            <w:tcW w:w="959" w:type="dxa"/>
          </w:tcPr>
          <w:p w14:paraId="038BEF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A5E78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6М-34</w:t>
            </w:r>
          </w:p>
        </w:tc>
        <w:tc>
          <w:tcPr>
            <w:tcW w:w="877" w:type="dxa"/>
          </w:tcPr>
          <w:p w14:paraId="054E0B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треб. подл. согл.</w:t>
            </w:r>
          </w:p>
        </w:tc>
        <w:tc>
          <w:tcPr>
            <w:tcW w:w="1022" w:type="dxa"/>
          </w:tcPr>
          <w:p w14:paraId="1E294B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76" w:type="dxa"/>
          </w:tcPr>
          <w:p w14:paraId="3140E0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3" w:type="dxa"/>
          </w:tcPr>
          <w:p w14:paraId="20F491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707" w:type="dxa"/>
          </w:tcPr>
          <w:p w14:paraId="617E4E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9615BD9" w14:textId="77777777">
        <w:tc>
          <w:tcPr>
            <w:tcW w:w="959" w:type="dxa"/>
          </w:tcPr>
          <w:p w14:paraId="48487A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FA288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ред.</w:t>
            </w:r>
          </w:p>
        </w:tc>
        <w:tc>
          <w:tcPr>
            <w:tcW w:w="877" w:type="dxa"/>
          </w:tcPr>
          <w:p w14:paraId="395BCC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ВОГВФ</w:t>
            </w:r>
          </w:p>
        </w:tc>
        <w:tc>
          <w:tcPr>
            <w:tcW w:w="1022" w:type="dxa"/>
          </w:tcPr>
          <w:p w14:paraId="11B5AC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76" w:type="dxa"/>
          </w:tcPr>
          <w:p w14:paraId="01B01A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3" w:type="dxa"/>
          </w:tcPr>
          <w:p w14:paraId="5BE77D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707" w:type="dxa"/>
          </w:tcPr>
          <w:p w14:paraId="5AD571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3F1BAF9" w14:textId="77777777">
        <w:tc>
          <w:tcPr>
            <w:tcW w:w="959" w:type="dxa"/>
          </w:tcPr>
          <w:p w14:paraId="370D66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АНТ-8</w:t>
            </w:r>
          </w:p>
        </w:tc>
        <w:tc>
          <w:tcPr>
            <w:tcW w:w="850" w:type="dxa"/>
          </w:tcPr>
          <w:p w14:paraId="181E5D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2М-17</w:t>
            </w:r>
          </w:p>
        </w:tc>
        <w:tc>
          <w:tcPr>
            <w:tcW w:w="877" w:type="dxa"/>
          </w:tcPr>
          <w:p w14:paraId="5FFD85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Согласованы</w:t>
            </w:r>
          </w:p>
        </w:tc>
        <w:tc>
          <w:tcPr>
            <w:tcW w:w="1022" w:type="dxa"/>
          </w:tcPr>
          <w:p w14:paraId="1BF85C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01.07.32</w:t>
            </w:r>
          </w:p>
        </w:tc>
        <w:tc>
          <w:tcPr>
            <w:tcW w:w="876" w:type="dxa"/>
          </w:tcPr>
          <w:p w14:paraId="21F971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023" w:type="dxa"/>
          </w:tcPr>
          <w:p w14:paraId="797D73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4707" w:type="dxa"/>
          </w:tcPr>
          <w:p w14:paraId="5CBDAF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 не готов</w:t>
            </w:r>
          </w:p>
        </w:tc>
      </w:tr>
      <w:tr w:rsidR="001002C3" w:rsidRPr="005E779E" w14:paraId="3B69FFA6" w14:textId="77777777">
        <w:tc>
          <w:tcPr>
            <w:tcW w:w="959" w:type="dxa"/>
          </w:tcPr>
          <w:p w14:paraId="1B9ECB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модиф.</w:t>
            </w:r>
          </w:p>
        </w:tc>
        <w:tc>
          <w:tcPr>
            <w:tcW w:w="850" w:type="dxa"/>
          </w:tcPr>
          <w:p w14:paraId="35E687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67F090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2" w:type="dxa"/>
          </w:tcPr>
          <w:p w14:paraId="12E575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76" w:type="dxa"/>
          </w:tcPr>
          <w:p w14:paraId="07CEA7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3" w:type="dxa"/>
          </w:tcPr>
          <w:p w14:paraId="1DFFC8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707" w:type="dxa"/>
          </w:tcPr>
          <w:p w14:paraId="78BB10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сроку ВОГВФ</w:t>
            </w:r>
          </w:p>
        </w:tc>
      </w:tr>
      <w:tr w:rsidR="001002C3" w:rsidRPr="005E779E" w14:paraId="3BB5E034" w14:textId="77777777">
        <w:tc>
          <w:tcPr>
            <w:tcW w:w="959" w:type="dxa"/>
          </w:tcPr>
          <w:p w14:paraId="6C814B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МДР-2</w:t>
            </w:r>
          </w:p>
        </w:tc>
        <w:tc>
          <w:tcPr>
            <w:tcW w:w="850" w:type="dxa"/>
          </w:tcPr>
          <w:p w14:paraId="374A03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2D82DD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2" w:type="dxa"/>
          </w:tcPr>
          <w:p w14:paraId="1067E6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76" w:type="dxa"/>
          </w:tcPr>
          <w:p w14:paraId="7D09BE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3" w:type="dxa"/>
          </w:tcPr>
          <w:p w14:paraId="79CC3F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707" w:type="dxa"/>
          </w:tcPr>
          <w:p w14:paraId="2BB78D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17322AA" w14:textId="77777777">
        <w:tc>
          <w:tcPr>
            <w:tcW w:w="959" w:type="dxa"/>
          </w:tcPr>
          <w:p w14:paraId="4B66FB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10Т</w:t>
            </w:r>
          </w:p>
        </w:tc>
        <w:tc>
          <w:tcPr>
            <w:tcW w:w="850" w:type="dxa"/>
          </w:tcPr>
          <w:p w14:paraId="48BA7C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77" w:type="dxa"/>
          </w:tcPr>
          <w:p w14:paraId="353EF6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См. ТБ-7</w:t>
            </w:r>
          </w:p>
        </w:tc>
        <w:tc>
          <w:tcPr>
            <w:tcW w:w="1022" w:type="dxa"/>
          </w:tcPr>
          <w:p w14:paraId="4B8F01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01.12.33</w:t>
            </w:r>
          </w:p>
        </w:tc>
        <w:tc>
          <w:tcPr>
            <w:tcW w:w="876" w:type="dxa"/>
          </w:tcPr>
          <w:p w14:paraId="4829E1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023" w:type="dxa"/>
          </w:tcPr>
          <w:p w14:paraId="09C6F3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4707" w:type="dxa"/>
          </w:tcPr>
          <w:p w14:paraId="306C9A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Может быть выполн.</w:t>
            </w:r>
          </w:p>
        </w:tc>
      </w:tr>
      <w:tr w:rsidR="001002C3" w:rsidRPr="005E779E" w14:paraId="5CB3701D" w14:textId="77777777">
        <w:tc>
          <w:tcPr>
            <w:tcW w:w="959" w:type="dxa"/>
          </w:tcPr>
          <w:p w14:paraId="4905BA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модиф.</w:t>
            </w:r>
          </w:p>
        </w:tc>
        <w:tc>
          <w:tcPr>
            <w:tcW w:w="850" w:type="dxa"/>
          </w:tcPr>
          <w:p w14:paraId="7BC1A2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4E89E2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2" w:type="dxa"/>
          </w:tcPr>
          <w:p w14:paraId="1ACC79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76" w:type="dxa"/>
          </w:tcPr>
          <w:p w14:paraId="315C16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3" w:type="dxa"/>
          </w:tcPr>
          <w:p w14:paraId="34CDAD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707" w:type="dxa"/>
          </w:tcPr>
          <w:p w14:paraId="5173A5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 ранее, чем через</w:t>
            </w:r>
          </w:p>
        </w:tc>
      </w:tr>
      <w:tr w:rsidR="001002C3" w:rsidRPr="005E779E" w14:paraId="0E517546" w14:textId="77777777">
        <w:tc>
          <w:tcPr>
            <w:tcW w:w="959" w:type="dxa"/>
          </w:tcPr>
          <w:p w14:paraId="6AE0F1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ТБ-7</w:t>
            </w:r>
          </w:p>
        </w:tc>
        <w:tc>
          <w:tcPr>
            <w:tcW w:w="850" w:type="dxa"/>
          </w:tcPr>
          <w:p w14:paraId="52AC53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3816C9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2" w:type="dxa"/>
          </w:tcPr>
          <w:p w14:paraId="5D4461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76" w:type="dxa"/>
          </w:tcPr>
          <w:p w14:paraId="23564E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3" w:type="dxa"/>
          </w:tcPr>
          <w:p w14:paraId="410871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707" w:type="dxa"/>
          </w:tcPr>
          <w:p w14:paraId="7BFF5A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год после ТБ-7</w:t>
            </w:r>
          </w:p>
        </w:tc>
      </w:tr>
      <w:tr w:rsidR="001002C3" w:rsidRPr="005E779E" w14:paraId="5F229619" w14:textId="77777777">
        <w:tc>
          <w:tcPr>
            <w:tcW w:w="959" w:type="dxa"/>
          </w:tcPr>
          <w:p w14:paraId="660CB3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C 25Т</w:t>
            </w:r>
          </w:p>
        </w:tc>
        <w:tc>
          <w:tcPr>
            <w:tcW w:w="850" w:type="dxa"/>
          </w:tcPr>
          <w:p w14:paraId="103FE0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7DA322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См. ТБ-1Х</w:t>
            </w:r>
          </w:p>
        </w:tc>
        <w:tc>
          <w:tcPr>
            <w:tcW w:w="1022" w:type="dxa"/>
          </w:tcPr>
          <w:p w14:paraId="7666F8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01.05.34</w:t>
            </w:r>
          </w:p>
        </w:tc>
        <w:tc>
          <w:tcPr>
            <w:tcW w:w="876" w:type="dxa"/>
          </w:tcPr>
          <w:p w14:paraId="67535B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023" w:type="dxa"/>
          </w:tcPr>
          <w:p w14:paraId="03D737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4707" w:type="dxa"/>
          </w:tcPr>
          <w:p w14:paraId="7273CA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Машина может быть</w:t>
            </w:r>
          </w:p>
        </w:tc>
      </w:tr>
      <w:tr w:rsidR="001002C3" w:rsidRPr="005E779E" w14:paraId="24B8EB62" w14:textId="77777777">
        <w:tc>
          <w:tcPr>
            <w:tcW w:w="959" w:type="dxa"/>
          </w:tcPr>
          <w:p w14:paraId="4CE514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модиф.</w:t>
            </w:r>
          </w:p>
        </w:tc>
        <w:tc>
          <w:tcPr>
            <w:tcW w:w="850" w:type="dxa"/>
          </w:tcPr>
          <w:p w14:paraId="0B4B71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6859B7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2" w:type="dxa"/>
          </w:tcPr>
          <w:p w14:paraId="54F067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76" w:type="dxa"/>
          </w:tcPr>
          <w:p w14:paraId="25B85E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3" w:type="dxa"/>
          </w:tcPr>
          <w:p w14:paraId="2D1A9A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707" w:type="dxa"/>
          </w:tcPr>
          <w:p w14:paraId="70AC80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выполн. через год</w:t>
            </w:r>
          </w:p>
        </w:tc>
      </w:tr>
      <w:tr w:rsidR="001002C3" w:rsidRPr="005E779E" w14:paraId="02FAEEF2" w14:textId="77777777">
        <w:tc>
          <w:tcPr>
            <w:tcW w:w="959" w:type="dxa"/>
          </w:tcPr>
          <w:p w14:paraId="652AC9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ТБ-9</w:t>
            </w:r>
          </w:p>
        </w:tc>
        <w:tc>
          <w:tcPr>
            <w:tcW w:w="850" w:type="dxa"/>
          </w:tcPr>
          <w:p w14:paraId="358F3D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5336B7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2" w:type="dxa"/>
          </w:tcPr>
          <w:p w14:paraId="751F3B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76" w:type="dxa"/>
          </w:tcPr>
          <w:p w14:paraId="4A2A4B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3" w:type="dxa"/>
          </w:tcPr>
          <w:p w14:paraId="539B7F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707" w:type="dxa"/>
          </w:tcPr>
          <w:p w14:paraId="0F852C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ТБ-9</w:t>
            </w:r>
          </w:p>
        </w:tc>
      </w:tr>
      <w:tr w:rsidR="001002C3" w:rsidRPr="005E779E" w14:paraId="0B201F80" w14:textId="77777777">
        <w:tc>
          <w:tcPr>
            <w:tcW w:w="959" w:type="dxa"/>
          </w:tcPr>
          <w:p w14:paraId="6FAD5E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Г.6.Т</w:t>
            </w:r>
          </w:p>
        </w:tc>
        <w:tc>
          <w:tcPr>
            <w:tcW w:w="850" w:type="dxa"/>
          </w:tcPr>
          <w:p w14:paraId="6902E1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77" w:type="dxa"/>
          </w:tcPr>
          <w:p w14:paraId="2E8863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 может быть принята</w:t>
            </w:r>
          </w:p>
        </w:tc>
        <w:tc>
          <w:tcPr>
            <w:tcW w:w="1022" w:type="dxa"/>
          </w:tcPr>
          <w:p w14:paraId="41615D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76" w:type="dxa"/>
          </w:tcPr>
          <w:p w14:paraId="4F540D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3" w:type="dxa"/>
          </w:tcPr>
          <w:p w14:paraId="66A4CA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707" w:type="dxa"/>
          </w:tcPr>
          <w:p w14:paraId="5B05DD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Взамен ЦАГИ предл.</w:t>
            </w:r>
          </w:p>
        </w:tc>
      </w:tr>
      <w:tr w:rsidR="001002C3" w:rsidRPr="005E779E" w14:paraId="4963FBF5" w14:textId="77777777">
        <w:tc>
          <w:tcPr>
            <w:tcW w:w="959" w:type="dxa"/>
          </w:tcPr>
          <w:p w14:paraId="6A6526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Г.10.Т.</w:t>
            </w:r>
          </w:p>
        </w:tc>
        <w:tc>
          <w:tcPr>
            <w:tcW w:w="850" w:type="dxa"/>
          </w:tcPr>
          <w:p w14:paraId="458D59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77" w:type="dxa"/>
          </w:tcPr>
          <w:p w14:paraId="5AAB14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 может быть принята</w:t>
            </w:r>
          </w:p>
        </w:tc>
        <w:tc>
          <w:tcPr>
            <w:tcW w:w="1022" w:type="dxa"/>
          </w:tcPr>
          <w:p w14:paraId="703FC9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76" w:type="dxa"/>
          </w:tcPr>
          <w:p w14:paraId="5A1C45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3" w:type="dxa"/>
          </w:tcPr>
          <w:p w14:paraId="09A90E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707" w:type="dxa"/>
          </w:tcPr>
          <w:p w14:paraId="3595A8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модиф. М.К. с сроком</w:t>
            </w:r>
          </w:p>
        </w:tc>
      </w:tr>
      <w:tr w:rsidR="001002C3" w:rsidRPr="005E779E" w14:paraId="50652163" w14:textId="77777777">
        <w:tc>
          <w:tcPr>
            <w:tcW w:w="959" w:type="dxa"/>
          </w:tcPr>
          <w:p w14:paraId="1BC5D1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EEFD5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21DF5E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2" w:type="dxa"/>
          </w:tcPr>
          <w:p w14:paraId="113679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76" w:type="dxa"/>
          </w:tcPr>
          <w:p w14:paraId="71D67D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3" w:type="dxa"/>
          </w:tcPr>
          <w:p w14:paraId="4C9B09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вып. 01.03.33</w:t>
            </w:r>
          </w:p>
        </w:tc>
        <w:tc>
          <w:tcPr>
            <w:tcW w:w="4707" w:type="dxa"/>
          </w:tcPr>
          <w:p w14:paraId="72CA27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bl>
    <w:p w14:paraId="52BEA5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(351).</w:t>
      </w:r>
    </w:p>
    <w:p w14:paraId="76CD39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A354BFD" w14:textId="77777777" w:rsidR="00BB323F"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29B0F69D" w14:textId="77777777" w:rsidR="00BB323F" w:rsidRPr="005E779E" w:rsidRDefault="00BB323F"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4F1A660" w14:textId="77777777" w:rsidR="00BB323F" w:rsidRPr="005E779E" w:rsidRDefault="00BB323F" w:rsidP="000B7A6C">
      <w:pPr>
        <w:pStyle w:val="rtejustify"/>
        <w:spacing w:before="0" w:after="0"/>
        <w:rPr>
          <w:color w:val="000000" w:themeColor="text1"/>
          <w:sz w:val="16"/>
          <w:szCs w:val="16"/>
        </w:rPr>
      </w:pPr>
      <w:r w:rsidRPr="005E779E">
        <w:rPr>
          <w:rStyle w:val="af0"/>
          <w:i w:val="0"/>
          <w:color w:val="000000" w:themeColor="text1"/>
          <w:sz w:val="16"/>
          <w:szCs w:val="16"/>
        </w:rPr>
        <w:t>23 июля 1931 г. Протокол Реввоенсовета № 26.</w:t>
      </w:r>
      <w:r w:rsidRPr="005E779E">
        <w:rPr>
          <w:color w:val="000000" w:themeColor="text1"/>
          <w:sz w:val="16"/>
          <w:szCs w:val="16"/>
        </w:rPr>
        <w:t xml:space="preserve"> 3. Итоги опытной мобилизации промышленности в 1930 г. (Егоров, Тухачевский). 8. О средствах связи РККА (Лонгва, Бордовский). 11. Выполнение промышленностью заказов за 1</w:t>
      </w:r>
      <w:r w:rsidRPr="005E779E">
        <w:rPr>
          <w:color w:val="000000" w:themeColor="text1"/>
          <w:sz w:val="16"/>
          <w:szCs w:val="16"/>
        </w:rPr>
        <w:noBreakHyphen/>
        <w:t>ю половину 1931 г. (Ефимов). 20. Организация сбора средств на 2</w:t>
      </w:r>
      <w:r w:rsidRPr="005E779E">
        <w:rPr>
          <w:color w:val="000000" w:themeColor="text1"/>
          <w:sz w:val="16"/>
          <w:szCs w:val="16"/>
        </w:rPr>
        <w:noBreakHyphen/>
        <w:t>ю подводную лодку (Булин). (РГВА. Ф. 4. Оп. 18. Д. 21. Л. 9, 10</w:t>
      </w:r>
      <w:r w:rsidRPr="005E779E">
        <w:rPr>
          <w:color w:val="000000" w:themeColor="text1"/>
          <w:sz w:val="16"/>
          <w:szCs w:val="16"/>
        </w:rPr>
        <w:noBreakHyphen/>
        <w:t>11, 12, 14) (12342).</w:t>
      </w:r>
    </w:p>
    <w:p w14:paraId="45887356" w14:textId="77777777" w:rsidR="00BB323F" w:rsidRPr="005E779E" w:rsidRDefault="00BB323F" w:rsidP="000B7A6C">
      <w:pPr>
        <w:pStyle w:val="rtejustify"/>
        <w:spacing w:before="0" w:after="0"/>
        <w:rPr>
          <w:color w:val="000000" w:themeColor="text1"/>
          <w:sz w:val="16"/>
          <w:szCs w:val="16"/>
        </w:rPr>
      </w:pPr>
    </w:p>
    <w:p w14:paraId="1EBD8881"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682A83A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20A29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 июля 1931 А.С.Москалев попал в Воронеж на должность Нач. СКО строящегося завода 18 (2889,154).</w:t>
      </w:r>
    </w:p>
    <w:p w14:paraId="1AF6B3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563399E"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4AA613ED"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05747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 июля 1931 состоялось параллельное испытание Т-12 и Т-24. Были практически одинаковыми по свойствам (4243,23).</w:t>
      </w:r>
    </w:p>
    <w:p w14:paraId="0F5B58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E6283B4"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64636AFA"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50BE9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24 и 30 июля 1931. Из протокола заседания Политбюро № 51, 1931 г.</w:t>
      </w:r>
    </w:p>
    <w:p w14:paraId="4515A7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Об отпуске тов. Ежову </w:t>
      </w:r>
    </w:p>
    <w:p w14:paraId="6AB888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Отправить немедленно тов. Ежова для лечения в отпуск на 2 месяца в Абас-Туман. Обязать тов. Картвелишвили организовать специальный уход за тов. Ежовым (11652).</w:t>
      </w:r>
    </w:p>
    <w:p w14:paraId="44642F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2813E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24 и 30 июля 1931. Из протокола заседания Политбюро № 51, 1931 г.</w:t>
      </w:r>
    </w:p>
    <w:p w14:paraId="434ED9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 мобилизации коммунистов с производства для укрепления органов милиции</w:t>
      </w:r>
    </w:p>
    <w:p w14:paraId="42FCDA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Удовлетворить просьбу МОК ВКП(б) о разрешении мобилизации 200 коммунистов с производства за счет неквалифицированных рабочих, занятых в легкой промышленности, для укрепления органов милиции (11652).</w:t>
      </w:r>
    </w:p>
    <w:p w14:paraId="795655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01B38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24 и 30 июля 1931. Из протокола заседания Политбюро № 51, 1931 г.</w:t>
      </w:r>
    </w:p>
    <w:p w14:paraId="2F4958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 обязательном присутствии наркомов на заседаниях СНК СССР и СТО</w:t>
      </w:r>
    </w:p>
    <w:p w14:paraId="2BC58C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Обязать всех наркомов, если они находятся в Москве, присутствовать на заседаниях СНК СССР и СТО, договариваясь каждый раз, в случае невозможности их присутствия, с председателем СНК и СТО тов. Молотовым и оставляя, в случае отъезда в командировку, своих заместителей (11652).</w:t>
      </w:r>
    </w:p>
    <w:p w14:paraId="549AB6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E4C9672" w14:textId="77777777" w:rsidR="0005751F" w:rsidRPr="005E779E" w:rsidRDefault="0005751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 июля в 1931 году в Ленинград с коротким визитом прибыл Бернард Шоу. Он остановился в гостинице "Европейской", встречался с писателями, посетил Эрмитаж, Русский музей и Исаакиевский собор (14962).</w:t>
      </w:r>
    </w:p>
    <w:p w14:paraId="6B347E09" w14:textId="77777777" w:rsidR="0005751F" w:rsidRPr="005E779E" w:rsidRDefault="0005751F" w:rsidP="000B7A6C">
      <w:pPr>
        <w:spacing w:after="0" w:line="240" w:lineRule="auto"/>
        <w:jc w:val="both"/>
        <w:rPr>
          <w:rFonts w:ascii="Times New Roman" w:hAnsi="Times New Roman"/>
          <w:color w:val="000000" w:themeColor="text1"/>
          <w:sz w:val="16"/>
          <w:szCs w:val="16"/>
        </w:rPr>
      </w:pPr>
    </w:p>
    <w:p w14:paraId="57D40B51" w14:textId="77777777" w:rsidR="0005751F"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7CC2F990" w14:textId="77777777" w:rsidR="0005751F" w:rsidRPr="005E779E" w:rsidRDefault="0005751F"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EED1307" w14:textId="77777777" w:rsidR="0005751F" w:rsidRPr="005E779E" w:rsidRDefault="0005751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24 июля в 1931 году пилот Лукас совершил первый полет на самолете </w:t>
      </w:r>
      <w:hyperlink r:id="rId147" w:tgtFrame="_blank" w:history="1">
        <w:r w:rsidRPr="005E779E">
          <w:rPr>
            <w:rFonts w:ascii="Times New Roman" w:hAnsi="Times New Roman"/>
            <w:color w:val="000000" w:themeColor="text1"/>
            <w:sz w:val="16"/>
            <w:szCs w:val="16"/>
          </w:rPr>
          <w:t xml:space="preserve">«Hawker Tomtit» </w:t>
        </w:r>
      </w:hyperlink>
      <w:r w:rsidRPr="005E779E">
        <w:rPr>
          <w:rFonts w:ascii="Times New Roman" w:hAnsi="Times New Roman"/>
          <w:color w:val="000000" w:themeColor="text1"/>
          <w:sz w:val="16"/>
          <w:szCs w:val="16"/>
        </w:rPr>
        <w:t>с двигателем «R.2». Затем на самолет поочередно установили двигатели «R.7» и «R.9». С этим двигателем было произведено три образца самолета, принявших участие в авиагонке «King's Cup Race» 1933 года. В этой гонке самолеты не добились больших успехов, а уже в следующем году Tomtim с двигателем «A.R.9» «Mark IA» стал седьмым (из 41 участников) в гонке 1934 «King's Cup Race», а еще один Tomtim пришел вторым в гонке «Newcastle Trophy Race». Последней победой самолета стал выигрыш в 1938 году гонки «Manx Air Derby» (14962).</w:t>
      </w:r>
    </w:p>
    <w:p w14:paraId="47FFEE5A" w14:textId="77777777" w:rsidR="0005751F" w:rsidRPr="005E779E" w:rsidRDefault="0005751F" w:rsidP="000B7A6C">
      <w:pPr>
        <w:spacing w:after="0" w:line="240" w:lineRule="auto"/>
        <w:jc w:val="both"/>
        <w:rPr>
          <w:rFonts w:ascii="Times New Roman" w:hAnsi="Times New Roman"/>
          <w:color w:val="000000" w:themeColor="text1"/>
          <w:sz w:val="16"/>
          <w:szCs w:val="16"/>
        </w:rPr>
      </w:pPr>
    </w:p>
    <w:p w14:paraId="33B3A056" w14:textId="77777777" w:rsidR="00AC6695" w:rsidRPr="005E779E" w:rsidRDefault="00AC669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 июля 1931 состоялся первый полет Дорнье До 10 (20804).</w:t>
      </w:r>
    </w:p>
    <w:p w14:paraId="0D1AE540" w14:textId="77777777" w:rsidR="00AC6695" w:rsidRPr="005E779E" w:rsidRDefault="00AC6695" w:rsidP="000B7A6C">
      <w:pPr>
        <w:spacing w:after="0" w:line="240" w:lineRule="auto"/>
        <w:jc w:val="both"/>
        <w:rPr>
          <w:rFonts w:ascii="Times New Roman" w:hAnsi="Times New Roman"/>
          <w:color w:val="000000" w:themeColor="text1"/>
          <w:sz w:val="16"/>
          <w:szCs w:val="16"/>
        </w:rPr>
      </w:pPr>
    </w:p>
    <w:p w14:paraId="5BD99234" w14:textId="77777777" w:rsidR="00AC6695" w:rsidRPr="005E779E" w:rsidRDefault="00AC669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 июля 1934 года — первый полёт дальней разведывательной летающей лодки Supermarine Stranraer. /Англия/</w:t>
      </w:r>
    </w:p>
    <w:p w14:paraId="44CAB972" w14:textId="77777777" w:rsidR="00AC6695" w:rsidRPr="005E779E" w:rsidRDefault="00AC669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Спецификация R.24/31 британского авиационного министерства описывала «универсальную патрульную летающую лодку открытого моря». Участие в конкурсе приняли 3 компании. В том числе и Supermarine Aviation Works со своим проектом Stranraer, основанным на летающей лодке Supermarine Scapa.</w:t>
      </w:r>
    </w:p>
    <w:p w14:paraId="30391B1D" w14:textId="77777777" w:rsidR="00AC6695" w:rsidRPr="005E779E" w:rsidRDefault="00AC669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Stranraer был цельнометаллическим бипланом с двухкилевым хвостовым оперением. Стал последним бипланом, разработанным знаменитым конструктором Реджинальдом Митчеллом (Reginald Joseph Mitchell). Экипаж — 6-7 человек. 2 × двигателя Bristol Pegasus X (920 л.с.) позволяли развивать скорость до 266 км/ч. Дальность полёта — 1600 км. Вооружение состояло из 3 × 7,7-мм пулемётов Lewis + 454 кг бомб (в том числе и глубинных).</w:t>
      </w:r>
    </w:p>
    <w:p w14:paraId="19D1F311" w14:textId="77777777" w:rsidR="00AC6695" w:rsidRPr="005E779E" w:rsidRDefault="00AC669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Выпустили 57 летающих лодок Supermarine Stranraer. Основными эксплуатантами стали Королевские ВВС Великобритании (до 1942 года) и Королевские ВВС Канады (до 1945 года). После списания из состава ВВС Stranraer летали в гражданской авиации до 1963 года (22300).</w:t>
      </w:r>
    </w:p>
    <w:p w14:paraId="26668A40" w14:textId="77777777" w:rsidR="00AC6695" w:rsidRPr="005E779E" w:rsidRDefault="00AC6695" w:rsidP="000B7A6C">
      <w:pPr>
        <w:shd w:val="clear" w:color="auto" w:fill="FFFFFF"/>
        <w:spacing w:after="0" w:line="240" w:lineRule="auto"/>
        <w:jc w:val="both"/>
        <w:rPr>
          <w:rFonts w:ascii="Times New Roman" w:hAnsi="Times New Roman"/>
          <w:color w:val="000000" w:themeColor="text1"/>
          <w:sz w:val="16"/>
          <w:szCs w:val="16"/>
        </w:rPr>
      </w:pPr>
    </w:p>
    <w:p w14:paraId="46D28022" w14:textId="77777777" w:rsidR="00AC6695" w:rsidRPr="005E779E" w:rsidRDefault="00AC6695"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24 июля 1931 дирижабль LZ-127 под управлением Хуго Эккенера вылетел из Фридрихсхафена и вечером следующего дня достиг Ленинграда. Утром 26 июля продолжил полярный рейс и вечером 27 июля снизился в бухте Тихая на Земле Франца-Иосифа. Там произошла запланированная встреча с «Малыгиным», обмен с ним почтой, где в роли почтмейстера выступил И.Д. Папанин. Затем Эккенер направил воздушный корабль к Северной Земле, провел предусмотренную программой ее аэрофотосъемку, облетел Таймыр и Новую Землю и взял курс на юг. Утром 30 июля пролетел над Ленинградом, а вечером того же дня его встретили на берлинском аэродроме Темпельгоф.</w:t>
      </w:r>
    </w:p>
    <w:p w14:paraId="148A6BC0" w14:textId="77777777" w:rsidR="00AC6695" w:rsidRPr="005E779E" w:rsidRDefault="00AC6695"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За время экспедиции LZ-127 находился в воздухе 110 часов и покрыл 13 тысяч километров.</w:t>
      </w:r>
    </w:p>
    <w:p w14:paraId="1D545E99" w14:textId="77777777" w:rsidR="00AC6695" w:rsidRPr="005E779E" w:rsidRDefault="00AC6695"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Своеобразным итогом полета германского дирижабля в Арктике стал отказ советского руководства от продолжения переговоров с Эккенером (20467).</w:t>
      </w:r>
    </w:p>
    <w:p w14:paraId="48BDCFC0" w14:textId="77777777" w:rsidR="00AC6695" w:rsidRPr="005E779E" w:rsidRDefault="00AC6695"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4D7CD1F" w14:textId="77777777" w:rsidR="00AC6695" w:rsidRPr="005E779E" w:rsidRDefault="00AC669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 июля 1931 г. в день вылета, на борту дири</w:t>
      </w:r>
      <w:r w:rsidRPr="005E779E">
        <w:rPr>
          <w:rFonts w:ascii="Times New Roman" w:hAnsi="Times New Roman"/>
          <w:color w:val="000000" w:themeColor="text1"/>
          <w:sz w:val="16"/>
          <w:szCs w:val="16"/>
        </w:rPr>
        <w:softHyphen/>
        <w:t>жабля LZ-127 «Граф Цеппелин» находилось 46 человек: 30 человек экипажа дирижабля под командой доктора Эккенера, со</w:t>
      </w:r>
      <w:r w:rsidRPr="005E779E">
        <w:rPr>
          <w:rFonts w:ascii="Times New Roman" w:hAnsi="Times New Roman"/>
          <w:color w:val="000000" w:themeColor="text1"/>
          <w:sz w:val="16"/>
          <w:szCs w:val="16"/>
        </w:rPr>
        <w:softHyphen/>
        <w:t>ветский радист Э.Т. Кренкель и 15 человек меж</w:t>
      </w:r>
      <w:r w:rsidRPr="005E779E">
        <w:rPr>
          <w:rFonts w:ascii="Times New Roman" w:hAnsi="Times New Roman"/>
          <w:color w:val="000000" w:themeColor="text1"/>
          <w:sz w:val="16"/>
          <w:szCs w:val="16"/>
        </w:rPr>
        <w:softHyphen/>
        <w:t>дународной полярной экспедиции. От СССР в полёте принимали участие: научный руково</w:t>
      </w:r>
      <w:r w:rsidRPr="005E779E">
        <w:rPr>
          <w:rFonts w:ascii="Times New Roman" w:hAnsi="Times New Roman"/>
          <w:color w:val="000000" w:themeColor="text1"/>
          <w:sz w:val="16"/>
          <w:szCs w:val="16"/>
        </w:rPr>
        <w:softHyphen/>
        <w:t>дитель экспедиции профессор Р.Л. Самойлович, аэролог профессор П.А. Молчанов, воздухопла</w:t>
      </w:r>
      <w:r w:rsidRPr="005E779E">
        <w:rPr>
          <w:rFonts w:ascii="Times New Roman" w:hAnsi="Times New Roman"/>
          <w:color w:val="000000" w:themeColor="text1"/>
          <w:sz w:val="16"/>
          <w:szCs w:val="16"/>
        </w:rPr>
        <w:softHyphen/>
        <w:t>ватель и спецкор ТАСС инженер Ф.Ф. Ассберг.</w:t>
      </w:r>
    </w:p>
    <w:p w14:paraId="55E4E5F8" w14:textId="77777777" w:rsidR="00AC6695" w:rsidRPr="005E779E" w:rsidRDefault="00AC669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следующий день в 18.40 «Граф Цеппелин» пришвартовался у малой мачты на Комендант</w:t>
      </w:r>
      <w:r w:rsidRPr="005E779E">
        <w:rPr>
          <w:rFonts w:ascii="Times New Roman" w:hAnsi="Times New Roman"/>
          <w:color w:val="000000" w:themeColor="text1"/>
          <w:sz w:val="16"/>
          <w:szCs w:val="16"/>
        </w:rPr>
        <w:softHyphen/>
        <w:t>ском аэродроме, где его обслуживала команда Осоавиахима.</w:t>
      </w:r>
    </w:p>
    <w:p w14:paraId="49572E6A" w14:textId="77777777" w:rsidR="00AC6695" w:rsidRPr="005E779E" w:rsidRDefault="00AC669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Утром 26 июля LZ-127 направился в Аркти</w:t>
      </w:r>
      <w:r w:rsidRPr="005E779E">
        <w:rPr>
          <w:rFonts w:ascii="Times New Roman" w:hAnsi="Times New Roman"/>
          <w:color w:val="000000" w:themeColor="text1"/>
          <w:sz w:val="16"/>
          <w:szCs w:val="16"/>
        </w:rPr>
        <w:softHyphen/>
        <w:t>ку. В 16.05 дирижабль подлетел к Архангельску, в 18.00 прошёл маяк Инцы и ушёл в горло Бе</w:t>
      </w:r>
      <w:r w:rsidRPr="005E779E">
        <w:rPr>
          <w:rFonts w:ascii="Times New Roman" w:hAnsi="Times New Roman"/>
          <w:color w:val="000000" w:themeColor="text1"/>
          <w:sz w:val="16"/>
          <w:szCs w:val="16"/>
        </w:rPr>
        <w:softHyphen/>
        <w:t>лого моря. Миновав в 22.53 мыс Канин Нос, он в полночь уже находился в Баренцевом море, а утром 27 июля — в Северном Ледовитом оке</w:t>
      </w:r>
      <w:r w:rsidRPr="005E779E">
        <w:rPr>
          <w:rFonts w:ascii="Times New Roman" w:hAnsi="Times New Roman"/>
          <w:color w:val="000000" w:themeColor="text1"/>
          <w:sz w:val="16"/>
          <w:szCs w:val="16"/>
        </w:rPr>
        <w:softHyphen/>
        <w:t>ане.</w:t>
      </w:r>
    </w:p>
    <w:p w14:paraId="309C71C0" w14:textId="77777777" w:rsidR="00AC6695" w:rsidRPr="005E779E" w:rsidRDefault="00AC669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Была установлена радиосвязь с ледоколом «Малыгин», находившимся в бухте Тихой у о. Гу- кера архипелага Земли Франца-Иосифа. 27 июля дирижабль приводнился у Земли Франца-Иоси</w:t>
      </w:r>
      <w:r w:rsidRPr="005E779E">
        <w:rPr>
          <w:rFonts w:ascii="Times New Roman" w:hAnsi="Times New Roman"/>
          <w:color w:val="000000" w:themeColor="text1"/>
          <w:sz w:val="16"/>
          <w:szCs w:val="16"/>
        </w:rPr>
        <w:softHyphen/>
        <w:t>фа. После посадки на воду из-за течения и боль</w:t>
      </w:r>
      <w:r w:rsidRPr="005E779E">
        <w:rPr>
          <w:rFonts w:ascii="Times New Roman" w:hAnsi="Times New Roman"/>
          <w:color w:val="000000" w:themeColor="text1"/>
          <w:sz w:val="16"/>
          <w:szCs w:val="16"/>
        </w:rPr>
        <w:softHyphen/>
        <w:t>шой парусности LZ-127 ударился поплавком о плавающую льдину и вместе с ней стал сно</w:t>
      </w:r>
      <w:r w:rsidRPr="005E779E">
        <w:rPr>
          <w:rFonts w:ascii="Times New Roman" w:hAnsi="Times New Roman"/>
          <w:color w:val="000000" w:themeColor="text1"/>
          <w:sz w:val="16"/>
          <w:szCs w:val="16"/>
        </w:rPr>
        <w:softHyphen/>
        <w:t>ситься течением. К дирижаблю пристала шлюп</w:t>
      </w:r>
      <w:r w:rsidRPr="005E779E">
        <w:rPr>
          <w:rFonts w:ascii="Times New Roman" w:hAnsi="Times New Roman"/>
          <w:color w:val="000000" w:themeColor="text1"/>
          <w:sz w:val="16"/>
          <w:szCs w:val="16"/>
        </w:rPr>
        <w:softHyphen/>
        <w:t>ка с ледокола, в которой находился и Нобиле. За несколько минут состоялся обмен почты (почтальоном выступил И.Д. Папанин), и шлюп</w:t>
      </w:r>
      <w:r w:rsidRPr="005E779E">
        <w:rPr>
          <w:rFonts w:ascii="Times New Roman" w:hAnsi="Times New Roman"/>
          <w:color w:val="000000" w:themeColor="text1"/>
          <w:sz w:val="16"/>
          <w:szCs w:val="16"/>
        </w:rPr>
        <w:softHyphen/>
        <w:t>ка отчалила от дирижабля. Так как сохранялась опасность повреждения поплавка от льдины, то, простояв на воде всего четверть часа, LZ-127 про</w:t>
      </w:r>
      <w:r w:rsidRPr="005E779E">
        <w:rPr>
          <w:rFonts w:ascii="Times New Roman" w:hAnsi="Times New Roman"/>
          <w:color w:val="000000" w:themeColor="text1"/>
          <w:sz w:val="16"/>
          <w:szCs w:val="16"/>
        </w:rPr>
        <w:softHyphen/>
        <w:t>должил полёт.</w:t>
      </w:r>
    </w:p>
    <w:p w14:paraId="7CC49309" w14:textId="77777777" w:rsidR="00AC6695" w:rsidRPr="005E779E" w:rsidRDefault="00AC669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Поднявшись в 18.45 от «Малыгина» на высоту 1200 м, дирижабль приступил к облёту и аэро</w:t>
      </w:r>
      <w:r w:rsidRPr="005E779E">
        <w:rPr>
          <w:rFonts w:ascii="Times New Roman" w:hAnsi="Times New Roman"/>
          <w:color w:val="000000" w:themeColor="text1"/>
          <w:sz w:val="16"/>
          <w:szCs w:val="16"/>
        </w:rPr>
        <w:softHyphen/>
        <w:t>фотосъемке о. Александры, Георга, Джексон, Ру</w:t>
      </w:r>
      <w:r w:rsidRPr="005E779E">
        <w:rPr>
          <w:rFonts w:ascii="Times New Roman" w:hAnsi="Times New Roman"/>
          <w:color w:val="000000" w:themeColor="text1"/>
          <w:sz w:val="16"/>
          <w:szCs w:val="16"/>
        </w:rPr>
        <w:softHyphen/>
        <w:t>дольфа. Эта работа велась в течение шести часов, и к полуночи дирижабль находился в северной части о. Рудольфа. В первом часу он взял курс на Северную Землю, к которой «Граф Цеппелин» подошёл в 5.00. В течение всего полёта LZ-127 курс указывал Р.Л. Самойлович, который почти всё время находился в гондоле управления, ведя ледовые и географические наблюдения. Проле</w:t>
      </w:r>
      <w:r w:rsidRPr="005E779E">
        <w:rPr>
          <w:rFonts w:ascii="Times New Roman" w:hAnsi="Times New Roman"/>
          <w:color w:val="000000" w:themeColor="text1"/>
          <w:sz w:val="16"/>
          <w:szCs w:val="16"/>
        </w:rPr>
        <w:softHyphen/>
        <w:t>тев над северной частью Северной Земли, а за</w:t>
      </w:r>
      <w:r w:rsidRPr="005E779E">
        <w:rPr>
          <w:rFonts w:ascii="Times New Roman" w:hAnsi="Times New Roman"/>
          <w:color w:val="000000" w:themeColor="text1"/>
          <w:sz w:val="16"/>
          <w:szCs w:val="16"/>
        </w:rPr>
        <w:softHyphen/>
        <w:t>тем над её восточным, самым изученным побе</w:t>
      </w:r>
      <w:r w:rsidRPr="005E779E">
        <w:rPr>
          <w:rFonts w:ascii="Times New Roman" w:hAnsi="Times New Roman"/>
          <w:color w:val="000000" w:themeColor="text1"/>
          <w:sz w:val="16"/>
          <w:szCs w:val="16"/>
        </w:rPr>
        <w:softHyphen/>
        <w:t>режьем, дирижабль взял курс по направлению к о. Каменева, где работала группа Г.А. Ушако</w:t>
      </w:r>
      <w:r w:rsidRPr="005E779E">
        <w:rPr>
          <w:rFonts w:ascii="Times New Roman" w:hAnsi="Times New Roman"/>
          <w:color w:val="000000" w:themeColor="text1"/>
          <w:sz w:val="16"/>
          <w:szCs w:val="16"/>
        </w:rPr>
        <w:softHyphen/>
        <w:t>ва — Н.Н. Урванцева. Предполагалось взять на борт Н.Н. Урванцева и перевезти его в Ленин</w:t>
      </w:r>
      <w:r w:rsidRPr="005E779E">
        <w:rPr>
          <w:rFonts w:ascii="Times New Roman" w:hAnsi="Times New Roman"/>
          <w:color w:val="000000" w:themeColor="text1"/>
          <w:sz w:val="16"/>
          <w:szCs w:val="16"/>
        </w:rPr>
        <w:softHyphen/>
        <w:t>град, но из-за сильных туманов группу исследо</w:t>
      </w:r>
      <w:r w:rsidRPr="005E779E">
        <w:rPr>
          <w:rFonts w:ascii="Times New Roman" w:hAnsi="Times New Roman"/>
          <w:color w:val="000000" w:themeColor="text1"/>
          <w:sz w:val="16"/>
          <w:szCs w:val="16"/>
        </w:rPr>
        <w:softHyphen/>
        <w:t>вателей обнаружить не удалось, и задание оста</w:t>
      </w:r>
      <w:r w:rsidRPr="005E779E">
        <w:rPr>
          <w:rFonts w:ascii="Times New Roman" w:hAnsi="Times New Roman"/>
          <w:color w:val="000000" w:themeColor="text1"/>
          <w:sz w:val="16"/>
          <w:szCs w:val="16"/>
        </w:rPr>
        <w:softHyphen/>
        <w:t>лось невыполненным.</w:t>
      </w:r>
    </w:p>
    <w:p w14:paraId="1C49BAA1" w14:textId="77777777" w:rsidR="00AC6695" w:rsidRPr="005E779E" w:rsidRDefault="00AC669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июля в 11.20 LZ-127 достиг м. Челюски</w:t>
      </w:r>
      <w:r w:rsidRPr="005E779E">
        <w:rPr>
          <w:rFonts w:ascii="Times New Roman" w:hAnsi="Times New Roman"/>
          <w:color w:val="000000" w:themeColor="text1"/>
          <w:sz w:val="16"/>
          <w:szCs w:val="16"/>
        </w:rPr>
        <w:softHyphen/>
        <w:t>на, а в 14.00 миновал Таймырское озеро. В 22.30 экспедиция пришла к о. Диксона, где сбросила на парашютах зимовщикам продукты и письма, предназначавшиеся Урванцеву и Ушакову на Се</w:t>
      </w:r>
      <w:r w:rsidRPr="005E779E">
        <w:rPr>
          <w:rFonts w:ascii="Times New Roman" w:hAnsi="Times New Roman"/>
          <w:color w:val="000000" w:themeColor="text1"/>
          <w:sz w:val="16"/>
          <w:szCs w:val="16"/>
        </w:rPr>
        <w:softHyphen/>
        <w:t>верной Земле.</w:t>
      </w:r>
    </w:p>
    <w:p w14:paraId="53897DCA" w14:textId="77777777" w:rsidR="00AC6695" w:rsidRPr="005E779E" w:rsidRDefault="00AC669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июля к 4.00, после шести часов полёта, ди</w:t>
      </w:r>
      <w:r w:rsidRPr="005E779E">
        <w:rPr>
          <w:rFonts w:ascii="Times New Roman" w:hAnsi="Times New Roman"/>
          <w:color w:val="000000" w:themeColor="text1"/>
          <w:sz w:val="16"/>
          <w:szCs w:val="16"/>
        </w:rPr>
        <w:softHyphen/>
        <w:t>рижабль прошёл Карское море и приблизился к северо-восточной части Новой Земли, вновь приступив к аэрофотосъёмке берегов. Достигнув в 10.30 восточного берега острова, LZ-127 взял курс на юг, летя над южной частью Новой Зем</w:t>
      </w:r>
      <w:r w:rsidRPr="005E779E">
        <w:rPr>
          <w:rFonts w:ascii="Times New Roman" w:hAnsi="Times New Roman"/>
          <w:color w:val="000000" w:themeColor="text1"/>
          <w:sz w:val="16"/>
          <w:szCs w:val="16"/>
        </w:rPr>
        <w:softHyphen/>
        <w:t>ли. В 12.00 дирижабль, покинув Новую Землю, летел уже над Баренцевым морем, направляясь к Ленинграду через Архангельск. С этого мо</w:t>
      </w:r>
      <w:r w:rsidRPr="005E779E">
        <w:rPr>
          <w:rFonts w:ascii="Times New Roman" w:hAnsi="Times New Roman"/>
          <w:color w:val="000000" w:themeColor="text1"/>
          <w:sz w:val="16"/>
          <w:szCs w:val="16"/>
        </w:rPr>
        <w:softHyphen/>
        <w:t>мента научные работы в Арктике были законче</w:t>
      </w:r>
      <w:r w:rsidRPr="005E779E">
        <w:rPr>
          <w:rFonts w:ascii="Times New Roman" w:hAnsi="Times New Roman"/>
          <w:color w:val="000000" w:themeColor="text1"/>
          <w:sz w:val="16"/>
          <w:szCs w:val="16"/>
        </w:rPr>
        <w:softHyphen/>
        <w:t>ны. Над Баренцевым морем LZ-127 шёл в тума</w:t>
      </w:r>
      <w:r w:rsidRPr="005E779E">
        <w:rPr>
          <w:rFonts w:ascii="Times New Roman" w:hAnsi="Times New Roman"/>
          <w:color w:val="000000" w:themeColor="text1"/>
          <w:sz w:val="16"/>
          <w:szCs w:val="16"/>
        </w:rPr>
        <w:softHyphen/>
        <w:t>не, в 14.10 миновал о. Колгуев, в 15.30 Чешскую губу в восточной части полуострова Канин и да</w:t>
      </w:r>
      <w:r w:rsidRPr="005E779E">
        <w:rPr>
          <w:rFonts w:ascii="Times New Roman" w:hAnsi="Times New Roman"/>
          <w:color w:val="000000" w:themeColor="text1"/>
          <w:sz w:val="16"/>
          <w:szCs w:val="16"/>
        </w:rPr>
        <w:softHyphen/>
        <w:t>лее продолжал путь над материком.</w:t>
      </w:r>
    </w:p>
    <w:p w14:paraId="5CAB9D46" w14:textId="77777777" w:rsidR="00AC6695" w:rsidRPr="005E779E" w:rsidRDefault="00AC669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Ночью 30 июля LZ-127 прибыл в Ленинград, но не сел, ограничившись сбрасыванием на па</w:t>
      </w:r>
      <w:r w:rsidRPr="005E779E">
        <w:rPr>
          <w:rFonts w:ascii="Times New Roman" w:hAnsi="Times New Roman"/>
          <w:color w:val="000000" w:themeColor="text1"/>
          <w:sz w:val="16"/>
          <w:szCs w:val="16"/>
        </w:rPr>
        <w:softHyphen/>
        <w:t>рашютах почты с «Малыгина» и официальной записки командира корабля. В 18.00 дирижабль появился над Берлином.</w:t>
      </w:r>
    </w:p>
    <w:p w14:paraId="3EBD800A" w14:textId="77777777" w:rsidR="00AC6695" w:rsidRPr="005E779E" w:rsidRDefault="00AC669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Международная экспедиция на «Графе Цеппе</w:t>
      </w:r>
      <w:r w:rsidRPr="005E779E">
        <w:rPr>
          <w:rFonts w:ascii="Times New Roman" w:hAnsi="Times New Roman"/>
          <w:color w:val="000000" w:themeColor="text1"/>
          <w:sz w:val="16"/>
          <w:szCs w:val="16"/>
        </w:rPr>
        <w:softHyphen/>
        <w:t>лине» стала одной из самых успешных воздуш</w:t>
      </w:r>
      <w:r w:rsidRPr="005E779E">
        <w:rPr>
          <w:rFonts w:ascii="Times New Roman" w:hAnsi="Times New Roman"/>
          <w:color w:val="000000" w:themeColor="text1"/>
          <w:sz w:val="16"/>
          <w:szCs w:val="16"/>
        </w:rPr>
        <w:softHyphen/>
        <w:t>ных экспедиций в Арктике. За 106 часов арктиче</w:t>
      </w:r>
      <w:r w:rsidRPr="005E779E">
        <w:rPr>
          <w:rFonts w:ascii="Times New Roman" w:hAnsi="Times New Roman"/>
          <w:color w:val="000000" w:themeColor="text1"/>
          <w:sz w:val="16"/>
          <w:szCs w:val="16"/>
        </w:rPr>
        <w:softHyphen/>
        <w:t>ского полёта дирижабль проделал такую работу, которую при нормальных экспедициях на ледо</w:t>
      </w:r>
      <w:r w:rsidRPr="005E779E">
        <w:rPr>
          <w:rFonts w:ascii="Times New Roman" w:hAnsi="Times New Roman"/>
          <w:color w:val="000000" w:themeColor="text1"/>
          <w:sz w:val="16"/>
          <w:szCs w:val="16"/>
        </w:rPr>
        <w:softHyphen/>
        <w:t>колах можно было выполнить лишь в 2-3 года. Была произведена аэрофотосъёмка Земли Фран</w:t>
      </w:r>
      <w:r w:rsidRPr="005E779E">
        <w:rPr>
          <w:rFonts w:ascii="Times New Roman" w:hAnsi="Times New Roman"/>
          <w:color w:val="000000" w:themeColor="text1"/>
          <w:sz w:val="16"/>
          <w:szCs w:val="16"/>
        </w:rPr>
        <w:softHyphen/>
        <w:t>ца-Иосифа, Северной Земли, Таймырского по</w:t>
      </w:r>
      <w:r w:rsidRPr="005E779E">
        <w:rPr>
          <w:rFonts w:ascii="Times New Roman" w:hAnsi="Times New Roman"/>
          <w:color w:val="000000" w:themeColor="text1"/>
          <w:sz w:val="16"/>
          <w:szCs w:val="16"/>
        </w:rPr>
        <w:softHyphen/>
        <w:t>луострова, Новой Земли. Велись географические и ледовые, геомагнитные, навигационные, аэро</w:t>
      </w:r>
      <w:r w:rsidRPr="005E779E">
        <w:rPr>
          <w:rFonts w:ascii="Times New Roman" w:hAnsi="Times New Roman"/>
          <w:color w:val="000000" w:themeColor="text1"/>
          <w:sz w:val="16"/>
          <w:szCs w:val="16"/>
        </w:rPr>
        <w:softHyphen/>
        <w:t>логические и метеорологические наблюдения.</w:t>
      </w:r>
    </w:p>
    <w:p w14:paraId="06E5D1E8" w14:textId="77777777" w:rsidR="00AC6695" w:rsidRPr="005E779E" w:rsidRDefault="00AC669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Особо следует отметить исследование стра</w:t>
      </w:r>
      <w:r w:rsidRPr="005E779E">
        <w:rPr>
          <w:rFonts w:ascii="Times New Roman" w:hAnsi="Times New Roman"/>
          <w:color w:val="000000" w:themeColor="text1"/>
          <w:sz w:val="16"/>
          <w:szCs w:val="16"/>
        </w:rPr>
        <w:softHyphen/>
        <w:t>тосферы радиозондами П.А. Молчанова, впер</w:t>
      </w:r>
      <w:r w:rsidRPr="005E779E">
        <w:rPr>
          <w:rFonts w:ascii="Times New Roman" w:hAnsi="Times New Roman"/>
          <w:color w:val="000000" w:themeColor="text1"/>
          <w:sz w:val="16"/>
          <w:szCs w:val="16"/>
        </w:rPr>
        <w:softHyphen/>
        <w:t>вые запускавшимися с летящего дирижабля. Чтобы радиозонд не столкнулся при выпуске с дирижаблем, его утяжеляли балластом. При пуске радиозонда LZ-127 замедлял ход до 4 м/с, после чего открывался люк в нижней части корабля, и радиозонд (объём оболочки 5 м3) па</w:t>
      </w:r>
      <w:r w:rsidRPr="005E779E">
        <w:rPr>
          <w:rFonts w:ascii="Times New Roman" w:hAnsi="Times New Roman"/>
          <w:color w:val="000000" w:themeColor="text1"/>
          <w:sz w:val="16"/>
          <w:szCs w:val="16"/>
        </w:rPr>
        <w:softHyphen/>
        <w:t>дал до тех пор, пока нож, скользивший по тросу, не освобождал его от балласта. Приём сигналов длился 50 минут и прекращался после достиже</w:t>
      </w:r>
      <w:r w:rsidRPr="005E779E">
        <w:rPr>
          <w:rFonts w:ascii="Times New Roman" w:hAnsi="Times New Roman"/>
          <w:color w:val="000000" w:themeColor="text1"/>
          <w:sz w:val="16"/>
          <w:szCs w:val="16"/>
        </w:rPr>
        <w:softHyphen/>
        <w:t>ния наивысшей точки подъёма. До окончания приёма сигналов с радиозонда дирижабль шёл с минимальной скоростью, после чего скорость доводилась до нормальной.</w:t>
      </w:r>
    </w:p>
    <w:p w14:paraId="39B275B1" w14:textId="77777777" w:rsidR="00AC6695" w:rsidRPr="005E779E" w:rsidRDefault="00AC669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 с LZ-127 выпустили четыре радиозон</w:t>
      </w:r>
      <w:r w:rsidRPr="005E779E">
        <w:rPr>
          <w:rFonts w:ascii="Times New Roman" w:hAnsi="Times New Roman"/>
          <w:color w:val="000000" w:themeColor="text1"/>
          <w:sz w:val="16"/>
          <w:szCs w:val="16"/>
        </w:rPr>
        <w:softHyphen/>
        <w:t>да: на середине пути от Земли Франца-Иосифа к Северной Земле, над м. Челюскина, в южной части Северной Земли и перед Каменным Носом в Белом море. Высоты подъёмов зондов состави</w:t>
      </w:r>
      <w:r w:rsidRPr="005E779E">
        <w:rPr>
          <w:rFonts w:ascii="Times New Roman" w:hAnsi="Times New Roman"/>
          <w:color w:val="000000" w:themeColor="text1"/>
          <w:sz w:val="16"/>
          <w:szCs w:val="16"/>
        </w:rPr>
        <w:softHyphen/>
        <w:t>ли 17-20 км, что позволило установить высоту стратосферы в Арктике в пределах 10,4-10,6 км. Правда, помехи от систем зажигания двигателей LZ-127 мешали приёму радиосигналов. Кроме того, дирижаблю не всегда удавалось поддержи</w:t>
      </w:r>
      <w:r w:rsidRPr="005E779E">
        <w:rPr>
          <w:rFonts w:ascii="Times New Roman" w:hAnsi="Times New Roman"/>
          <w:color w:val="000000" w:themeColor="text1"/>
          <w:sz w:val="16"/>
          <w:szCs w:val="16"/>
        </w:rPr>
        <w:softHyphen/>
        <w:t>вать малый ход для получения полной записи сигналов радиозонда.</w:t>
      </w:r>
    </w:p>
    <w:p w14:paraId="0E59DAED" w14:textId="77777777" w:rsidR="00AC6695" w:rsidRPr="005E779E" w:rsidRDefault="00AC669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П.А. Молчанов писал: «Мы готовились к полё</w:t>
      </w:r>
      <w:r w:rsidRPr="005E779E">
        <w:rPr>
          <w:rFonts w:ascii="Times New Roman" w:hAnsi="Times New Roman"/>
          <w:color w:val="000000" w:themeColor="text1"/>
          <w:sz w:val="16"/>
          <w:szCs w:val="16"/>
        </w:rPr>
        <w:softHyphen/>
        <w:t>ту с 1927 г., но оказались не вполне готовыми не потому, что мы мало готовились к полёту, а по</w:t>
      </w:r>
      <w:r w:rsidRPr="005E779E">
        <w:rPr>
          <w:rFonts w:ascii="Times New Roman" w:hAnsi="Times New Roman"/>
          <w:color w:val="000000" w:themeColor="text1"/>
          <w:sz w:val="16"/>
          <w:szCs w:val="16"/>
        </w:rPr>
        <w:softHyphen/>
        <w:t>тому, что мы не знали, что представляет собой цеппелин, что он даёт так много возможностей. Хотя мы выполнили нашу программу, но она оказалась слишком малой. .Необходимо при</w:t>
      </w:r>
      <w:r w:rsidRPr="005E779E">
        <w:rPr>
          <w:rFonts w:ascii="Times New Roman" w:hAnsi="Times New Roman"/>
          <w:color w:val="000000" w:themeColor="text1"/>
          <w:sz w:val="16"/>
          <w:szCs w:val="16"/>
        </w:rPr>
        <w:softHyphen/>
        <w:t>знать, что цеппелин является идеальным сред</w:t>
      </w:r>
      <w:r w:rsidRPr="005E779E">
        <w:rPr>
          <w:rFonts w:ascii="Times New Roman" w:hAnsi="Times New Roman"/>
          <w:color w:val="000000" w:themeColor="text1"/>
          <w:sz w:val="16"/>
          <w:szCs w:val="16"/>
        </w:rPr>
        <w:softHyphen/>
        <w:t>ством для такого рода научных исследований».</w:t>
      </w:r>
    </w:p>
    <w:p w14:paraId="28305E7C" w14:textId="77777777" w:rsidR="00AC6695" w:rsidRPr="005E779E" w:rsidRDefault="00AC669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СССР не получил результатов аэрофотосъёмки под предлогом того, что все фо</w:t>
      </w:r>
      <w:r w:rsidRPr="005E779E">
        <w:rPr>
          <w:rFonts w:ascii="Times New Roman" w:hAnsi="Times New Roman"/>
          <w:color w:val="000000" w:themeColor="text1"/>
          <w:sz w:val="16"/>
          <w:szCs w:val="16"/>
        </w:rPr>
        <w:softHyphen/>
        <w:t>тографии оказались, якобы, засвеченными. О на</w:t>
      </w:r>
      <w:r w:rsidRPr="005E779E">
        <w:rPr>
          <w:rFonts w:ascii="Times New Roman" w:hAnsi="Times New Roman"/>
          <w:color w:val="000000" w:themeColor="text1"/>
          <w:sz w:val="16"/>
          <w:szCs w:val="16"/>
        </w:rPr>
        <w:softHyphen/>
        <w:t>думанности этого предлога свидетельствует ста</w:t>
      </w:r>
      <w:r w:rsidRPr="005E779E">
        <w:rPr>
          <w:rFonts w:ascii="Times New Roman" w:hAnsi="Times New Roman"/>
          <w:color w:val="000000" w:themeColor="text1"/>
          <w:sz w:val="16"/>
          <w:szCs w:val="16"/>
        </w:rPr>
        <w:softHyphen/>
        <w:t>тья германского специалиста по фотограмметрии О. фон Грубера, отмечавшего: «Поверка всех снимков двойной камерой показала, что только небольшая часть снимков (главным образом Се</w:t>
      </w:r>
      <w:r w:rsidRPr="005E779E">
        <w:rPr>
          <w:rFonts w:ascii="Times New Roman" w:hAnsi="Times New Roman"/>
          <w:color w:val="000000" w:themeColor="text1"/>
          <w:sz w:val="16"/>
          <w:szCs w:val="16"/>
        </w:rPr>
        <w:softHyphen/>
        <w:t>верной Земли) непригодна. На них видны лишь отдельные отдалённые вершины гор, окутанные густым слоем тумана. Другие же снимки, засня</w:t>
      </w:r>
      <w:r w:rsidRPr="005E779E">
        <w:rPr>
          <w:rFonts w:ascii="Times New Roman" w:hAnsi="Times New Roman"/>
          <w:color w:val="000000" w:themeColor="text1"/>
          <w:sz w:val="16"/>
          <w:szCs w:val="16"/>
        </w:rPr>
        <w:softHyphen/>
        <w:t>тые на протяжении полёта в 1000 км, оказались годными либо для развёртки отдельными сним</w:t>
      </w:r>
      <w:r w:rsidRPr="005E779E">
        <w:rPr>
          <w:rFonts w:ascii="Times New Roman" w:hAnsi="Times New Roman"/>
          <w:color w:val="000000" w:themeColor="text1"/>
          <w:sz w:val="16"/>
          <w:szCs w:val="16"/>
        </w:rPr>
        <w:softHyphen/>
        <w:t>ками, либо для стереоскопических измерений. Развёртывание может быть произведено в мас</w:t>
      </w:r>
      <w:r w:rsidRPr="005E779E">
        <w:rPr>
          <w:rFonts w:ascii="Times New Roman" w:hAnsi="Times New Roman"/>
          <w:color w:val="000000" w:themeColor="text1"/>
          <w:sz w:val="16"/>
          <w:szCs w:val="16"/>
        </w:rPr>
        <w:softHyphen/>
        <w:t>штабах 1:200 000 и 1:500 000; в отдельных же ча</w:t>
      </w:r>
      <w:r w:rsidRPr="005E779E">
        <w:rPr>
          <w:rFonts w:ascii="Times New Roman" w:hAnsi="Times New Roman"/>
          <w:color w:val="000000" w:themeColor="text1"/>
          <w:sz w:val="16"/>
          <w:szCs w:val="16"/>
        </w:rPr>
        <w:softHyphen/>
        <w:t>стях морфологически интересные детали могут быть изображены достаточно точно в масштабе 1:10 000 и 1:20 000»84.</w:t>
      </w:r>
    </w:p>
    <w:p w14:paraId="62A59136" w14:textId="77777777" w:rsidR="00AC6695" w:rsidRPr="005E779E" w:rsidRDefault="00AC669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Отказ от передачи результатов фотосъёмок был недружественным актом, тем более вызы</w:t>
      </w:r>
      <w:r w:rsidRPr="005E779E">
        <w:rPr>
          <w:rFonts w:ascii="Times New Roman" w:hAnsi="Times New Roman"/>
          <w:color w:val="000000" w:themeColor="text1"/>
          <w:sz w:val="16"/>
          <w:szCs w:val="16"/>
        </w:rPr>
        <w:softHyphen/>
        <w:t>вающим, что главным условием, согласно кото</w:t>
      </w:r>
      <w:r w:rsidRPr="005E779E">
        <w:rPr>
          <w:rFonts w:ascii="Times New Roman" w:hAnsi="Times New Roman"/>
          <w:color w:val="000000" w:themeColor="text1"/>
          <w:sz w:val="16"/>
          <w:szCs w:val="16"/>
        </w:rPr>
        <w:softHyphen/>
        <w:t>рому LZ-127 разрешили полёт и аэрофотосъём</w:t>
      </w:r>
      <w:r w:rsidRPr="005E779E">
        <w:rPr>
          <w:rFonts w:ascii="Times New Roman" w:hAnsi="Times New Roman"/>
          <w:color w:val="000000" w:themeColor="text1"/>
          <w:sz w:val="16"/>
          <w:szCs w:val="16"/>
        </w:rPr>
        <w:softHyphen/>
        <w:t>ку, было обязательство германской стороны передать СССР все копии отснятого материала (20120).</w:t>
      </w:r>
    </w:p>
    <w:p w14:paraId="04C0C07A" w14:textId="77777777" w:rsidR="00AC6695" w:rsidRPr="005E779E" w:rsidRDefault="00AC6695" w:rsidP="000B7A6C">
      <w:pPr>
        <w:spacing w:after="0" w:line="240" w:lineRule="auto"/>
        <w:jc w:val="both"/>
        <w:rPr>
          <w:rFonts w:ascii="Times New Roman" w:hAnsi="Times New Roman"/>
          <w:color w:val="000000" w:themeColor="text1"/>
          <w:sz w:val="16"/>
          <w:szCs w:val="16"/>
        </w:rPr>
      </w:pPr>
    </w:p>
    <w:p w14:paraId="4067C15F"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677228B5"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190A7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июля 1931 л А.И.Жуков облетал один из первых серийных И-7, сделанных на заводе 1 в рамках заводских испытаний. Отметили недостаточную устойчивость пути и сложность при выполнении виражей. В заключении говорилось: "Самолет И-7 с БМВ-6 7.3 имеет чуткое управление и требует хорошей тренировки от пилота при выполнении пилотажа... имеет простые взлет и посадку... не хватает угла отклонения стабилизатора вверх и вниз. Штопорит не совсем нормально. Потом передали в НИИ ВВС, но там сделали совсем другие выводы: "И-7 не отвечает по своим ЛД требованиям, предъявляемым к современным и, однако, целесообразно самолет строить для вооружения нескольких эскадрилий." Хотели ставить более мощные двигатели - М-19, М-27 и в дальнейшем М-34. В это время в СССР было 3 машины: один ХД-37 N 292 служил 2 года в 15АБ, на одном производства завода 31 испытывали вооружение на Кунцевском полигоне, один - хранился про запас. На 1-м заводе развернули производство И-5. Потом решили перенести И-7 на 135, а И-5 - на 21-й (3202,3).</w:t>
      </w:r>
    </w:p>
    <w:p w14:paraId="457F94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A600F91" w14:textId="77777777" w:rsidR="0005751F" w:rsidRPr="005E779E" w:rsidRDefault="0005751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июля в 1931 году -испытатель А.И.Жуков облетал один из самолетов Он оценил «И-7» как нормальный аппарат, обладающий, однако, недостаточной устойчивостью пути и некоторой сложностью при выполнении виражей. В Заключении по заводским испытаниям говорилось: "Самолет «И-7» с «BMW» «VI 7,3» имеет чуткое управление и требует хорошей тренировки от пилота при выполнении пилотажа... имеет простые взлет и посадку... не хватает угла отклонения стабилизатора вверх и вниз. Штопорит не совсем нормально" (14963).</w:t>
      </w:r>
    </w:p>
    <w:p w14:paraId="6241FAC6" w14:textId="77777777" w:rsidR="0005751F" w:rsidRPr="005E779E" w:rsidRDefault="0005751F" w:rsidP="000B7A6C">
      <w:pPr>
        <w:spacing w:after="0" w:line="240" w:lineRule="auto"/>
        <w:jc w:val="both"/>
        <w:rPr>
          <w:rFonts w:ascii="Times New Roman" w:hAnsi="Times New Roman"/>
          <w:color w:val="000000" w:themeColor="text1"/>
          <w:sz w:val="16"/>
          <w:szCs w:val="16"/>
        </w:rPr>
      </w:pPr>
    </w:p>
    <w:p w14:paraId="183E7A9D" w14:textId="77777777" w:rsidR="00BB323F" w:rsidRPr="005E779E" w:rsidRDefault="00BB323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июля 1931 летчик-испытатель Александр Жуков обле</w:t>
      </w:r>
      <w:r w:rsidRPr="005E779E">
        <w:rPr>
          <w:rFonts w:ascii="Times New Roman" w:hAnsi="Times New Roman"/>
          <w:color w:val="000000" w:themeColor="text1"/>
          <w:sz w:val="16"/>
          <w:szCs w:val="16"/>
        </w:rPr>
        <w:softHyphen/>
        <w:t>тал один из самолетов И-7, из двух первых, построенных на Заводе № 1. Он оценивал И-7 как нормальный аппарат, однако отметил недо</w:t>
      </w:r>
      <w:r w:rsidRPr="005E779E">
        <w:rPr>
          <w:rFonts w:ascii="Times New Roman" w:hAnsi="Times New Roman"/>
          <w:color w:val="000000" w:themeColor="text1"/>
          <w:sz w:val="16"/>
          <w:szCs w:val="16"/>
        </w:rPr>
        <w:softHyphen/>
        <w:t>статочную устойчивость пути и некоторую сложность при выполнении виражей. В за</w:t>
      </w:r>
      <w:r w:rsidRPr="005E779E">
        <w:rPr>
          <w:rFonts w:ascii="Times New Roman" w:hAnsi="Times New Roman"/>
          <w:color w:val="000000" w:themeColor="text1"/>
          <w:sz w:val="16"/>
          <w:szCs w:val="16"/>
        </w:rPr>
        <w:softHyphen/>
        <w:t>ключении по заводским испытаниям гово</w:t>
      </w:r>
      <w:r w:rsidRPr="005E779E">
        <w:rPr>
          <w:rFonts w:ascii="Times New Roman" w:hAnsi="Times New Roman"/>
          <w:color w:val="000000" w:themeColor="text1"/>
          <w:sz w:val="16"/>
          <w:szCs w:val="16"/>
        </w:rPr>
        <w:softHyphen/>
        <w:t>рилось: «Самолет И-7 с ВМ\У-У1 7,3 имеет чуткое управление и требует хорошей трени</w:t>
      </w:r>
      <w:r w:rsidRPr="005E779E">
        <w:rPr>
          <w:rFonts w:ascii="Times New Roman" w:hAnsi="Times New Roman"/>
          <w:color w:val="000000" w:themeColor="text1"/>
          <w:sz w:val="16"/>
          <w:szCs w:val="16"/>
        </w:rPr>
        <w:softHyphen/>
        <w:t>ровки от пилота при выполнении пилотажа... имеет простые взлет и посадку... не хватает угла отклонения стабилизатора вверх и вниз. Штопорит не совсем нормально».</w:t>
      </w:r>
    </w:p>
    <w:p w14:paraId="2FF2961A" w14:textId="77777777" w:rsidR="00BB323F" w:rsidRPr="005E779E" w:rsidRDefault="00BB323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Далее И-7 передали в Н И И ВВС, выводы там сделали несколько в другой плоскости: «И-7 не отвечает по своим летным данным требовани</w:t>
      </w:r>
      <w:r w:rsidRPr="005E779E">
        <w:rPr>
          <w:rFonts w:ascii="Times New Roman" w:hAnsi="Times New Roman"/>
          <w:color w:val="000000" w:themeColor="text1"/>
          <w:sz w:val="16"/>
          <w:szCs w:val="16"/>
        </w:rPr>
        <w:softHyphen/>
        <w:t>ям, предъявляемым к современным истреби</w:t>
      </w:r>
      <w:r w:rsidRPr="005E779E">
        <w:rPr>
          <w:rFonts w:ascii="Times New Roman" w:hAnsi="Times New Roman"/>
          <w:color w:val="000000" w:themeColor="text1"/>
          <w:sz w:val="16"/>
          <w:szCs w:val="16"/>
        </w:rPr>
        <w:softHyphen/>
        <w:t>телям, однако целесообразно самолет строить для вооружения нескольких эскадрилий». По</w:t>
      </w:r>
      <w:r w:rsidRPr="005E779E">
        <w:rPr>
          <w:rFonts w:ascii="Times New Roman" w:hAnsi="Times New Roman"/>
          <w:color w:val="000000" w:themeColor="text1"/>
          <w:sz w:val="16"/>
          <w:szCs w:val="16"/>
        </w:rPr>
        <w:softHyphen/>
        <w:t>следнее мнение связывалось с надеждой ис</w:t>
      </w:r>
      <w:r w:rsidRPr="005E779E">
        <w:rPr>
          <w:rFonts w:ascii="Times New Roman" w:hAnsi="Times New Roman"/>
          <w:color w:val="000000" w:themeColor="text1"/>
          <w:sz w:val="16"/>
          <w:szCs w:val="16"/>
        </w:rPr>
        <w:softHyphen/>
        <w:t>пользования более мощных двигателей, раз</w:t>
      </w:r>
      <w:r w:rsidRPr="005E779E">
        <w:rPr>
          <w:rFonts w:ascii="Times New Roman" w:hAnsi="Times New Roman"/>
          <w:color w:val="000000" w:themeColor="text1"/>
          <w:sz w:val="16"/>
          <w:szCs w:val="16"/>
        </w:rPr>
        <w:softHyphen/>
        <w:t>работанных для замены ВМ\У-У1. Поначалу предполагались двигатели М-19 и М-27, а бли</w:t>
      </w:r>
      <w:r w:rsidRPr="005E779E">
        <w:rPr>
          <w:rFonts w:ascii="Times New Roman" w:hAnsi="Times New Roman"/>
          <w:color w:val="000000" w:themeColor="text1"/>
          <w:sz w:val="16"/>
          <w:szCs w:val="16"/>
        </w:rPr>
        <w:softHyphen/>
        <w:t>же к осени 1931 г. ожидался М-34.</w:t>
      </w:r>
    </w:p>
    <w:p w14:paraId="08753EB6" w14:textId="77777777" w:rsidR="00BB323F" w:rsidRPr="005E779E" w:rsidRDefault="00BB323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Вообще, ситуация с И-7 во второй поло</w:t>
      </w:r>
      <w:r w:rsidRPr="005E779E">
        <w:rPr>
          <w:rFonts w:ascii="Times New Roman" w:hAnsi="Times New Roman"/>
          <w:color w:val="000000" w:themeColor="text1"/>
          <w:sz w:val="16"/>
          <w:szCs w:val="16"/>
        </w:rPr>
        <w:softHyphen/>
        <w:t>вине 1931 г. складывалась следующим обра-зом. Летающих истребителей этого типа в Союзе имелось три экземпляра. Во-первых, уже в течение двух лет в 15-й авиабригаде нес строевую службу НО-37 №292 немецкой по</w:t>
      </w:r>
      <w:r w:rsidRPr="005E779E">
        <w:rPr>
          <w:rFonts w:ascii="Times New Roman" w:hAnsi="Times New Roman"/>
          <w:color w:val="000000" w:themeColor="text1"/>
          <w:sz w:val="16"/>
          <w:szCs w:val="16"/>
        </w:rPr>
        <w:softHyphen/>
        <w:t>стройки. Самолет находился в личном поль</w:t>
      </w:r>
      <w:r w:rsidRPr="005E779E">
        <w:rPr>
          <w:rFonts w:ascii="Times New Roman" w:hAnsi="Times New Roman"/>
          <w:color w:val="000000" w:themeColor="text1"/>
          <w:sz w:val="16"/>
          <w:szCs w:val="16"/>
        </w:rPr>
        <w:softHyphen/>
        <w:t>зовании командира авиабригады Лопатина, однако летали на нем и другие летчики. Оче</w:t>
      </w:r>
      <w:r w:rsidRPr="005E779E">
        <w:rPr>
          <w:rFonts w:ascii="Times New Roman" w:hAnsi="Times New Roman"/>
          <w:color w:val="000000" w:themeColor="text1"/>
          <w:sz w:val="16"/>
          <w:szCs w:val="16"/>
        </w:rPr>
        <w:softHyphen/>
        <w:t>видно, самолет эксплуатировался активно, в частности отмечалось, что во время стрельбы на Смоленском аэродроме разрушились не</w:t>
      </w:r>
      <w:r w:rsidRPr="005E779E">
        <w:rPr>
          <w:rFonts w:ascii="Times New Roman" w:hAnsi="Times New Roman"/>
          <w:color w:val="000000" w:themeColor="text1"/>
          <w:sz w:val="16"/>
          <w:szCs w:val="16"/>
        </w:rPr>
        <w:softHyphen/>
        <w:t>рвюры центроплана по сварке.</w:t>
      </w:r>
    </w:p>
    <w:p w14:paraId="14F388BD" w14:textId="77777777" w:rsidR="00BB323F" w:rsidRPr="005E779E" w:rsidRDefault="00BB323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Добавим, что в 9-й эскадрилье 15-й ави</w:t>
      </w:r>
      <w:r w:rsidRPr="005E779E">
        <w:rPr>
          <w:rFonts w:ascii="Times New Roman" w:hAnsi="Times New Roman"/>
          <w:color w:val="000000" w:themeColor="text1"/>
          <w:sz w:val="16"/>
          <w:szCs w:val="16"/>
        </w:rPr>
        <w:softHyphen/>
        <w:t>абригады в этот период числился и НО-43 №327.</w:t>
      </w:r>
    </w:p>
    <w:p w14:paraId="5DD16C1D" w14:textId="77777777" w:rsidR="00BB323F" w:rsidRPr="005E779E" w:rsidRDefault="00BB323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 двух построенных на заводе №1 один И-7 продолжал испытания вооружения на Кунцевском полигоне, другой в июле 1931 г. передали в личное распоряжение Алксниса, поэтому он использовался ограниченно, воз</w:t>
      </w:r>
      <w:r w:rsidRPr="005E779E">
        <w:rPr>
          <w:rFonts w:ascii="Times New Roman" w:hAnsi="Times New Roman"/>
          <w:color w:val="000000" w:themeColor="text1"/>
          <w:sz w:val="16"/>
          <w:szCs w:val="16"/>
        </w:rPr>
        <w:softHyphen/>
        <w:t>можно сохранялся про запас.</w:t>
      </w:r>
    </w:p>
    <w:p w14:paraId="462D69E1" w14:textId="77777777" w:rsidR="00BB323F" w:rsidRPr="005E779E" w:rsidRDefault="00BB323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с продолжением серийного производст</w:t>
      </w:r>
      <w:r w:rsidRPr="005E779E">
        <w:rPr>
          <w:rFonts w:ascii="Times New Roman" w:hAnsi="Times New Roman"/>
          <w:color w:val="000000" w:themeColor="text1"/>
          <w:sz w:val="16"/>
          <w:szCs w:val="16"/>
        </w:rPr>
        <w:softHyphen/>
        <w:t>ва вышла заминка. На авиазаводе №1 в те</w:t>
      </w:r>
      <w:r w:rsidRPr="005E779E">
        <w:rPr>
          <w:rFonts w:ascii="Times New Roman" w:hAnsi="Times New Roman"/>
          <w:color w:val="000000" w:themeColor="text1"/>
          <w:sz w:val="16"/>
          <w:szCs w:val="16"/>
        </w:rPr>
        <w:softHyphen/>
        <w:t>чение года развернули серийное изготовле</w:t>
      </w:r>
      <w:r w:rsidRPr="005E779E">
        <w:rPr>
          <w:rFonts w:ascii="Times New Roman" w:hAnsi="Times New Roman"/>
          <w:color w:val="000000" w:themeColor="text1"/>
          <w:sz w:val="16"/>
          <w:szCs w:val="16"/>
        </w:rPr>
        <w:softHyphen/>
        <w:t>ние отечественных истребителей И-5, ко</w:t>
      </w:r>
      <w:r w:rsidRPr="005E779E">
        <w:rPr>
          <w:rFonts w:ascii="Times New Roman" w:hAnsi="Times New Roman"/>
          <w:color w:val="000000" w:themeColor="text1"/>
          <w:sz w:val="16"/>
          <w:szCs w:val="16"/>
        </w:rPr>
        <w:softHyphen/>
        <w:t>торые для ВВС казались предпочтительней. Материалов для изготовления «Хейнкеля», а его по-прежнему так называли, не хватало. В частности, не было запаса стальных труб, не</w:t>
      </w:r>
      <w:r w:rsidRPr="005E779E">
        <w:rPr>
          <w:rFonts w:ascii="Times New Roman" w:hAnsi="Times New Roman"/>
          <w:color w:val="000000" w:themeColor="text1"/>
          <w:sz w:val="16"/>
          <w:szCs w:val="16"/>
        </w:rPr>
        <w:softHyphen/>
        <w:t>обходимых для изготовления фюзеляжей — то, что имелось, шло на И-5. Занято было и производство, прежде всего сварочное. Поэ</w:t>
      </w:r>
      <w:r w:rsidRPr="005E779E">
        <w:rPr>
          <w:rFonts w:ascii="Times New Roman" w:hAnsi="Times New Roman"/>
          <w:color w:val="000000" w:themeColor="text1"/>
          <w:sz w:val="16"/>
          <w:szCs w:val="16"/>
        </w:rPr>
        <w:softHyphen/>
        <w:t>тому до конца 1931 года И-7 не строили. Бо</w:t>
      </w:r>
      <w:r w:rsidRPr="005E779E">
        <w:rPr>
          <w:rFonts w:ascii="Times New Roman" w:hAnsi="Times New Roman"/>
          <w:color w:val="000000" w:themeColor="text1"/>
          <w:sz w:val="16"/>
          <w:szCs w:val="16"/>
        </w:rPr>
        <w:softHyphen/>
        <w:t>лее того, существовало решение — перевести изготовление серии в Харьков, на авиазавод №135. Харьковского эпизода в истории И-7 не случилось, однако в начале 1932 г. история строительства вновь продолжилась на авиа</w:t>
      </w:r>
      <w:r w:rsidRPr="005E779E">
        <w:rPr>
          <w:rFonts w:ascii="Times New Roman" w:hAnsi="Times New Roman"/>
          <w:color w:val="000000" w:themeColor="text1"/>
          <w:sz w:val="16"/>
          <w:szCs w:val="16"/>
        </w:rPr>
        <w:softHyphen/>
        <w:t>заводе №1, так как производство И-5 пере</w:t>
      </w:r>
      <w:r w:rsidRPr="005E779E">
        <w:rPr>
          <w:rFonts w:ascii="Times New Roman" w:hAnsi="Times New Roman"/>
          <w:color w:val="000000" w:themeColor="text1"/>
          <w:sz w:val="16"/>
          <w:szCs w:val="16"/>
        </w:rPr>
        <w:softHyphen/>
        <w:t>несли на авиационный завод №21 в Нижний Новгород (12295).</w:t>
      </w:r>
    </w:p>
    <w:p w14:paraId="5743B24E" w14:textId="77777777" w:rsidR="00BB323F" w:rsidRPr="005E779E" w:rsidRDefault="00BB323F" w:rsidP="000B7A6C">
      <w:pPr>
        <w:spacing w:after="0" w:line="240" w:lineRule="auto"/>
        <w:jc w:val="both"/>
        <w:rPr>
          <w:rFonts w:ascii="Times New Roman" w:hAnsi="Times New Roman"/>
          <w:color w:val="000000" w:themeColor="text1"/>
          <w:sz w:val="16"/>
          <w:szCs w:val="16"/>
        </w:rPr>
      </w:pPr>
    </w:p>
    <w:p w14:paraId="1CE320F6" w14:textId="77777777" w:rsidR="00535A7C" w:rsidRPr="005E779E" w:rsidRDefault="00535A7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июля 1931 г. заводской летчик-испытатель А.И. Жуков облетал один из двух первых серийных И-7, приступив к выполнению заводских испытаний.</w:t>
      </w:r>
    </w:p>
    <w:p w14:paraId="50742C46" w14:textId="77777777" w:rsidR="00535A7C" w:rsidRPr="005E779E" w:rsidRDefault="00535A7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итогам заводских испытаний установлено следующее:</w:t>
      </w:r>
    </w:p>
    <w:p w14:paraId="13D34808" w14:textId="77777777" w:rsidR="00535A7C" w:rsidRPr="005E779E" w:rsidRDefault="00535A7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на взлете и посадке самолет прост, но при выполнении пилотажа требует повышенного внимания и хорошей подготовки летчика;</w:t>
      </w:r>
    </w:p>
    <w:p w14:paraId="2B7F2324" w14:textId="77777777" w:rsidR="00535A7C" w:rsidRPr="005E779E" w:rsidRDefault="00535A7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углы перестановки стабилизатора вверх и вниз для обеспечения устойчивости и управляемости недостаточные;</w:t>
      </w:r>
    </w:p>
    <w:p w14:paraId="4773D373" w14:textId="77777777" w:rsidR="00535A7C" w:rsidRPr="005E779E" w:rsidRDefault="00535A7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в полете путевая устойчивость недостаточна;</w:t>
      </w:r>
    </w:p>
    <w:p w14:paraId="4183C588" w14:textId="77777777" w:rsidR="00535A7C" w:rsidRPr="005E779E" w:rsidRDefault="00535A7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удержание самолета в правильном вираже без скольжения сложно;</w:t>
      </w:r>
    </w:p>
    <w:p w14:paraId="773DDBAD" w14:textId="77777777" w:rsidR="00535A7C" w:rsidRPr="005E779E" w:rsidRDefault="00535A7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выполнение штопора отличается от такового на других самолетах.</w:t>
      </w:r>
    </w:p>
    <w:p w14:paraId="1B2183EC" w14:textId="77777777" w:rsidR="00535A7C" w:rsidRPr="005E779E" w:rsidRDefault="00535A7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Выдержки из отчета:</w:t>
      </w:r>
    </w:p>
    <w:p w14:paraId="6FCEA2D0" w14:textId="77777777" w:rsidR="00535A7C" w:rsidRPr="005E779E" w:rsidRDefault="00535A7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И-7 с БМВ-6 7.3 имеет чуткое управление и требует хорошей тренировки от пилота при выполнении пилотажа... имеет простые взлет и посадку... не хватает угла отклонения стабилизатора вверх и вниз. Штопорит не совсем нормально» (24331).</w:t>
      </w:r>
    </w:p>
    <w:p w14:paraId="6548FA99" w14:textId="77777777" w:rsidR="00535A7C" w:rsidRPr="005E779E" w:rsidRDefault="00535A7C" w:rsidP="000B7A6C">
      <w:pPr>
        <w:spacing w:after="0" w:line="240" w:lineRule="auto"/>
        <w:jc w:val="both"/>
        <w:rPr>
          <w:rFonts w:ascii="Times New Roman" w:hAnsi="Times New Roman"/>
          <w:color w:val="000000" w:themeColor="text1"/>
          <w:sz w:val="16"/>
          <w:szCs w:val="16"/>
        </w:rPr>
      </w:pPr>
    </w:p>
    <w:p w14:paraId="5B1C44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июля 1931 г. Совет труда и обороны (СТО) обязал Всесоюзное авиационное объединение (ВАО) построить шесть ТБ-5 (один шел как опытный, другие - войсковая серия). Более того, все эти машины учитывались в планах формирования новых бомбардировочных эскадрилий на 1932 г. В то же время, начальник ВВС П.И.Баранов считал, что в ожидании двигателей ФЭД постройку ТБ-5 следует затормозить и перенести на 1932 г. С таким предложением он обратился в ВСНХ СССР. Однако Председатель СНК СССР В.М.Молотов руководствовался какими-то особыми соображениями, поэтому такую идею отклонил и предложил принять все меры для скорейшей постройки серии ТБ-5. Причина, думается, заключалась в том, что этот бомбардировщик создавался под патронажем ОГПУ. Причем достигнутые чекистами результаты были наглядно продемонстрированы 6 июля 1931 г. И.В.Сталину, которому, кроме ТБ-5, показали модификации И-5, Р-5, ТШ-1 и суперновинку - пушечный истребитель И-Z. По всему выходило, что руководителям ОГПУ действительно удалось найти наиболее продуктивную форму деятельности авиапромышленности. А спустя короткое время, 27 августа 1931 г. ЦКБ и ЦАГИ объединили в единую организацию - ЦКБ-ЦАГИ. Старшим поставили Е.С.Пауфлера (5854,34).</w:t>
      </w:r>
    </w:p>
    <w:p w14:paraId="668897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12190EF" w14:textId="77777777" w:rsidR="00BB323F" w:rsidRPr="005E779E" w:rsidRDefault="00BB323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июля 1931 г. по постановлению Совета труда и обо</w:t>
      </w:r>
      <w:r w:rsidRPr="005E779E">
        <w:rPr>
          <w:rFonts w:ascii="Times New Roman" w:hAnsi="Times New Roman"/>
          <w:color w:val="000000" w:themeColor="text1"/>
          <w:sz w:val="16"/>
          <w:szCs w:val="16"/>
        </w:rPr>
        <w:softHyphen/>
        <w:t>роны республики в программу серийного строительства было введено обязатель</w:t>
      </w:r>
      <w:r w:rsidRPr="005E779E">
        <w:rPr>
          <w:rFonts w:ascii="Times New Roman" w:hAnsi="Times New Roman"/>
          <w:color w:val="000000" w:themeColor="text1"/>
          <w:sz w:val="16"/>
          <w:szCs w:val="16"/>
        </w:rPr>
        <w:softHyphen/>
        <w:t>ство постройки шести ТБ-5: один опытный экземпляр и пять самолетов войсковой серии. Более того, при планах формирова</w:t>
      </w:r>
      <w:r w:rsidRPr="005E779E">
        <w:rPr>
          <w:rFonts w:ascii="Times New Roman" w:hAnsi="Times New Roman"/>
          <w:color w:val="000000" w:themeColor="text1"/>
          <w:sz w:val="16"/>
          <w:szCs w:val="16"/>
        </w:rPr>
        <w:softHyphen/>
        <w:t>ния новых бомбардировочных эскадрилий на 1932 г. эти 6 аппаратов были учтены. Так как надежды на смену моторных установок было мало, обозначались они как ТБ-5 с М-22, или просто ТБМ-22.</w:t>
      </w:r>
    </w:p>
    <w:p w14:paraId="1FC1F57F" w14:textId="77777777" w:rsidR="00BB323F" w:rsidRPr="005E779E" w:rsidRDefault="00BB323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Построен он был, что называется, на скорую руку, самолет подвергался непрерывным улучшениям и переделкам. Начиная с июня 1931 г. на нем усилили фюзеляж (отмечалось скручивание хвостовой части фюзеляжа в полете) и крепление двига</w:t>
      </w:r>
      <w:r w:rsidRPr="005E779E">
        <w:rPr>
          <w:rFonts w:ascii="Times New Roman" w:hAnsi="Times New Roman"/>
          <w:color w:val="000000" w:themeColor="text1"/>
          <w:sz w:val="16"/>
          <w:szCs w:val="16"/>
        </w:rPr>
        <w:softHyphen/>
        <w:t>телей, были прорезаны верхние люки в кабине пилотов, установлено остекление в районе задней кромки крыла на центро</w:t>
      </w:r>
      <w:r w:rsidRPr="005E779E">
        <w:rPr>
          <w:rFonts w:ascii="Times New Roman" w:hAnsi="Times New Roman"/>
          <w:color w:val="000000" w:themeColor="text1"/>
          <w:sz w:val="16"/>
          <w:szCs w:val="16"/>
        </w:rPr>
        <w:softHyphen/>
        <w:t>плане, сняты кольца Тауненда с задних двигателей. В период зимы 1931—1932 гг. ТБ-5 был поставлен на лыжи и совершил еще ряд полетов.</w:t>
      </w:r>
    </w:p>
    <w:p w14:paraId="6EF3C65A" w14:textId="77777777" w:rsidR="00BB323F" w:rsidRPr="005E779E" w:rsidRDefault="00BB323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Продолжались и проектные работы по установке двигателей ФЭД. Были отрабо</w:t>
      </w:r>
      <w:r w:rsidRPr="005E779E">
        <w:rPr>
          <w:rFonts w:ascii="Times New Roman" w:hAnsi="Times New Roman"/>
          <w:color w:val="000000" w:themeColor="text1"/>
          <w:sz w:val="16"/>
          <w:szCs w:val="16"/>
        </w:rPr>
        <w:softHyphen/>
        <w:t>таны и испытаны в аэродинамической трубе ЦАГИ варианты установки двигателей в передней кромке крыла. Эта работа велась под руководством конструктора С.А. Кочеригина. Другими известными впо</w:t>
      </w:r>
      <w:r w:rsidRPr="005E779E">
        <w:rPr>
          <w:rFonts w:ascii="Times New Roman" w:hAnsi="Times New Roman"/>
          <w:color w:val="000000" w:themeColor="text1"/>
          <w:sz w:val="16"/>
          <w:szCs w:val="16"/>
        </w:rPr>
        <w:softHyphen/>
        <w:t>следствии конструкторами, отметившимися на ТБ-5, можно назвать Б.И. Черановского, В.П. Яценко и А.Н. Рафаэлянца.</w:t>
      </w:r>
    </w:p>
    <w:p w14:paraId="190D53E6" w14:textId="77777777" w:rsidR="00BB323F" w:rsidRPr="005E779E" w:rsidRDefault="00BB323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 Всесоюзного авиационного объединения П.И. Баранов (в недавнем прошлом начальник ВВС) считал, что в ожидании двигателей ФЭД постройку ТБ-5 нужно затормозить и перенести ее на 1932 г. С таким предложением он обра</w:t>
      </w:r>
      <w:r w:rsidRPr="005E779E">
        <w:rPr>
          <w:rFonts w:ascii="Times New Roman" w:hAnsi="Times New Roman"/>
          <w:color w:val="000000" w:themeColor="text1"/>
          <w:sz w:val="16"/>
          <w:szCs w:val="16"/>
        </w:rPr>
        <w:softHyphen/>
        <w:t>тился в ВСНХ СССР. Однако Председатель СНК СССР В.М. Молотов руководствовался какими то особыми соображениями, поэ</w:t>
      </w:r>
      <w:r w:rsidRPr="005E779E">
        <w:rPr>
          <w:rFonts w:ascii="Times New Roman" w:hAnsi="Times New Roman"/>
          <w:color w:val="000000" w:themeColor="text1"/>
          <w:sz w:val="16"/>
          <w:szCs w:val="16"/>
        </w:rPr>
        <w:softHyphen/>
        <w:t>тому идею его отклонил и предложил при</w:t>
      </w:r>
      <w:r w:rsidRPr="005E779E">
        <w:rPr>
          <w:rFonts w:ascii="Times New Roman" w:hAnsi="Times New Roman"/>
          <w:color w:val="000000" w:themeColor="text1"/>
          <w:sz w:val="16"/>
          <w:szCs w:val="16"/>
        </w:rPr>
        <w:softHyphen/>
        <w:t>нять все меры для скорейшей постройки серии ТБ-5. Причина столь ревностного отношения к самолету заключалась в том, что его создали в организации, патронируемой ОГПУ. Причем успехи, достигнутые представителями «органов», наглядно уже были продемонстрированы 6 июля 1931 г. И.В. Сталину. Демонстри</w:t>
      </w:r>
      <w:r w:rsidRPr="005E779E">
        <w:rPr>
          <w:rFonts w:ascii="Times New Roman" w:hAnsi="Times New Roman"/>
          <w:color w:val="000000" w:themeColor="text1"/>
          <w:sz w:val="16"/>
          <w:szCs w:val="16"/>
        </w:rPr>
        <w:softHyphen/>
        <w:t>ровались кроме ТБ-5 модификации И-5, Р-5, ТШ-1 и суперновинка — пушечный истребитель И-2. По всему выходило, что руководителям ОГПУ действительно удалось искоренить вредительство и найти наиболее продуктивную форму деятельности авиапромышленности. Поэтому никакие отсрочки не принима</w:t>
      </w:r>
      <w:r w:rsidRPr="005E779E">
        <w:rPr>
          <w:rFonts w:ascii="Times New Roman" w:hAnsi="Times New Roman"/>
          <w:color w:val="000000" w:themeColor="text1"/>
          <w:sz w:val="16"/>
          <w:szCs w:val="16"/>
        </w:rPr>
        <w:softHyphen/>
        <w:t>лись. Достигнутые результаты следовало закреплять. Что и было продемонстриро</w:t>
      </w:r>
      <w:r w:rsidRPr="005E779E">
        <w:rPr>
          <w:rFonts w:ascii="Times New Roman" w:hAnsi="Times New Roman"/>
          <w:color w:val="000000" w:themeColor="text1"/>
          <w:sz w:val="16"/>
          <w:szCs w:val="16"/>
        </w:rPr>
        <w:softHyphen/>
        <w:t>вано спустя короткое время. 27 августа 1931 г. Центральное конструкторское бюро и Центральный аэрогидродинамический институт превратили в Объединенное техническое бюро (ОТБ) — ЦКБ-ЦАГИ. Руководителем этой организации назна</w:t>
      </w:r>
      <w:r w:rsidRPr="005E779E">
        <w:rPr>
          <w:rFonts w:ascii="Times New Roman" w:hAnsi="Times New Roman"/>
          <w:color w:val="000000" w:themeColor="text1"/>
          <w:sz w:val="16"/>
          <w:szCs w:val="16"/>
        </w:rPr>
        <w:softHyphen/>
        <w:t>чили Е.С. Пауфлера (12611).</w:t>
      </w:r>
    </w:p>
    <w:p w14:paraId="2F5852EE" w14:textId="77777777" w:rsidR="00BB323F" w:rsidRPr="005E779E" w:rsidRDefault="00BB323F" w:rsidP="000B7A6C">
      <w:pPr>
        <w:spacing w:after="0" w:line="240" w:lineRule="auto"/>
        <w:jc w:val="both"/>
        <w:rPr>
          <w:rFonts w:ascii="Times New Roman" w:hAnsi="Times New Roman"/>
          <w:color w:val="000000" w:themeColor="text1"/>
          <w:sz w:val="16"/>
          <w:szCs w:val="16"/>
        </w:rPr>
      </w:pPr>
    </w:p>
    <w:p w14:paraId="68BF9F2B" w14:textId="77777777" w:rsidR="00535A7C" w:rsidRPr="005E779E" w:rsidRDefault="00535A7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20 июля с 30 июня 1931 г. самолет ТБ-5 (ЦКБ-8) совершил 4 успешных полета. При массе 11200 кг, запасе топлива 1850 кг дальность полета составила 1100 км, продолжительность - 6,7 ч при крейсерской скорости 162 км/ч на высоте 3000 м. Максимальная дальность при полной загрузке топливом 2410 кг составила 2100 км. Полетная масса при этом - 12060 кг, из них бомб 500 кг. Максимальная скорость составила 180 км/ч у земли, практический потолок 3500 м, разбег на взлете 400-420 м.</w:t>
      </w:r>
    </w:p>
    <w:p w14:paraId="1A4A235E" w14:textId="77777777" w:rsidR="00535A7C" w:rsidRPr="005E779E" w:rsidRDefault="00535A7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Полученные летные данные ТБ-5 оценивались как невысокие. Причиной была не вполне удачная мотоустановка с воздушными винтами, более подхо</w:t>
      </w:r>
      <w:r w:rsidRPr="005E779E">
        <w:rPr>
          <w:rFonts w:ascii="Times New Roman" w:hAnsi="Times New Roman"/>
          <w:color w:val="000000" w:themeColor="text1"/>
          <w:sz w:val="16"/>
          <w:szCs w:val="16"/>
        </w:rPr>
        <w:softHyphen/>
        <w:t>дящими для истребителей. Кроме того, винты задних «Юпитеров» пришлось значительно уменьшить в диаметре из-за размещения их под крылом.</w:t>
      </w:r>
    </w:p>
    <w:p w14:paraId="293B9275" w14:textId="77777777" w:rsidR="00535A7C" w:rsidRPr="005E779E" w:rsidRDefault="00535A7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Судьбу самолёта решил аварийный случай, произо</w:t>
      </w:r>
      <w:r w:rsidRPr="005E779E">
        <w:rPr>
          <w:rFonts w:ascii="Times New Roman" w:hAnsi="Times New Roman"/>
          <w:color w:val="000000" w:themeColor="text1"/>
          <w:sz w:val="16"/>
          <w:szCs w:val="16"/>
        </w:rPr>
        <w:softHyphen/>
        <w:t>шедший в мае 1932 года. В полёте на высоте 800 м левый задний двигатель сорвался с моторамы и повис, зацепившись за шасси. Пилот М.Громов успешно посадил самолёт, однако до его восстановления дело так и не дошло. В феврале 1933 г. начальник ГУАП Баранов распорядился: «Самолет разобрать. Дальнейшие работы по этому самолету прекратить» (23907).</w:t>
      </w:r>
    </w:p>
    <w:p w14:paraId="6D6E6D04" w14:textId="77777777" w:rsidR="00535A7C" w:rsidRPr="005E779E" w:rsidRDefault="00535A7C" w:rsidP="000B7A6C">
      <w:pPr>
        <w:spacing w:after="0" w:line="240" w:lineRule="auto"/>
        <w:jc w:val="both"/>
        <w:rPr>
          <w:rFonts w:ascii="Times New Roman" w:hAnsi="Times New Roman"/>
          <w:color w:val="000000" w:themeColor="text1"/>
          <w:sz w:val="16"/>
          <w:szCs w:val="16"/>
        </w:rPr>
      </w:pPr>
    </w:p>
    <w:p w14:paraId="6A724D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июля 1931 года вышло Постановление N 158сс СТО по авиапромышленности:</w:t>
      </w:r>
    </w:p>
    <w:p w14:paraId="3E01D3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Констатировать, что постановления Правительства от 5 марта 1930 года, 5 сентября 1930 года и от 11 января 1931 года в отношении развития авиапромышленности проводятся в жизнь явно неудовлетворительно. В особом квартале 1930 года и первом полугодии 1931 года планы как по строительству, так и по производству фактически сорваны (3529,3-16).</w:t>
      </w:r>
    </w:p>
    <w:p w14:paraId="6728D8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4FA97A9" w14:textId="77777777" w:rsidR="00875C4A" w:rsidRPr="005E779E" w:rsidRDefault="00875C4A"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июля 1931 вышло решение СТО N 158 (3082) по авиапромышленности (1028,117) о реализации договора с итальянской фирмой "Фиат" (3082).</w:t>
      </w:r>
    </w:p>
    <w:p w14:paraId="3C98E94A" w14:textId="77777777" w:rsidR="00875C4A" w:rsidRPr="005E779E" w:rsidRDefault="00875C4A" w:rsidP="000B7A6C">
      <w:pPr>
        <w:autoSpaceDE w:val="0"/>
        <w:autoSpaceDN w:val="0"/>
        <w:adjustRightInd w:val="0"/>
        <w:spacing w:after="0" w:line="240" w:lineRule="auto"/>
        <w:jc w:val="both"/>
        <w:rPr>
          <w:rFonts w:ascii="Times New Roman" w:hAnsi="Times New Roman"/>
          <w:color w:val="000000" w:themeColor="text1"/>
          <w:sz w:val="16"/>
          <w:szCs w:val="16"/>
        </w:rPr>
      </w:pPr>
    </w:p>
    <w:p w14:paraId="0920054E" w14:textId="77777777" w:rsidR="00AC6695" w:rsidRPr="005E779E" w:rsidRDefault="00AC669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shd w:val="clear" w:color="auto" w:fill="FFFFFF"/>
        </w:rPr>
        <w:t>25 июля 1931 вышло постановление № 158сс РЗ СТО или КО (№ 498/ко от 26.7.1931 г.) - По авиапромышленности (21565).</w:t>
      </w:r>
    </w:p>
    <w:p w14:paraId="2C78399C" w14:textId="77777777" w:rsidR="00AC6695" w:rsidRPr="005E779E" w:rsidRDefault="00AC6695" w:rsidP="000B7A6C">
      <w:pPr>
        <w:spacing w:after="0" w:line="240" w:lineRule="auto"/>
        <w:jc w:val="both"/>
        <w:rPr>
          <w:rFonts w:ascii="Times New Roman" w:hAnsi="Times New Roman"/>
          <w:color w:val="000000" w:themeColor="text1"/>
          <w:sz w:val="16"/>
          <w:szCs w:val="16"/>
        </w:rPr>
      </w:pPr>
    </w:p>
    <w:p w14:paraId="1B46D8F6" w14:textId="77777777" w:rsidR="00AC6695" w:rsidRPr="005E779E" w:rsidRDefault="00AC669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25 июля 1931 на заседании Совета Труда и Обороны были доложены первые выводы из работы комиссии, созданной 23 мая 1931 г. на очередном заседа</w:t>
      </w:r>
      <w:r w:rsidRPr="005E779E">
        <w:rPr>
          <w:rFonts w:ascii="Times New Roman" w:hAnsi="Times New Roman"/>
          <w:color w:val="000000" w:themeColor="text1"/>
          <w:sz w:val="16"/>
          <w:szCs w:val="16"/>
          <w:lang w:eastAsia="ru-RU" w:bidi="ru-RU"/>
        </w:rPr>
        <w:softHyphen/>
        <w:t>нии Комиссии Обороны при СНК СССР для де</w:t>
      </w:r>
      <w:r w:rsidRPr="005E779E">
        <w:rPr>
          <w:rFonts w:ascii="Times New Roman" w:hAnsi="Times New Roman"/>
          <w:color w:val="000000" w:themeColor="text1"/>
          <w:sz w:val="16"/>
          <w:szCs w:val="16"/>
          <w:lang w:eastAsia="ru-RU" w:bidi="ru-RU"/>
        </w:rPr>
        <w:softHyphen/>
        <w:t>тального разоборя с причинами невы</w:t>
      </w:r>
      <w:r w:rsidRPr="005E779E">
        <w:rPr>
          <w:rFonts w:ascii="Times New Roman" w:hAnsi="Times New Roman"/>
          <w:color w:val="000000" w:themeColor="text1"/>
          <w:sz w:val="16"/>
          <w:szCs w:val="16"/>
          <w:lang w:eastAsia="ru-RU" w:bidi="ru-RU"/>
        </w:rPr>
        <w:softHyphen/>
        <w:t>полнения авиапромом плановых заданий по выпуску самолетов и опытному стро</w:t>
      </w:r>
      <w:r w:rsidRPr="005E779E">
        <w:rPr>
          <w:rFonts w:ascii="Times New Roman" w:hAnsi="Times New Roman"/>
          <w:color w:val="000000" w:themeColor="text1"/>
          <w:sz w:val="16"/>
          <w:szCs w:val="16"/>
          <w:lang w:eastAsia="ru-RU" w:bidi="ru-RU"/>
        </w:rPr>
        <w:softHyphen/>
        <w:t>ительству и на основании этого внести в правительство конкретные предложения по коренному улучшению ситуации. По итогам обсу</w:t>
      </w:r>
      <w:r w:rsidRPr="005E779E">
        <w:rPr>
          <w:rFonts w:ascii="Times New Roman" w:hAnsi="Times New Roman"/>
          <w:color w:val="000000" w:themeColor="text1"/>
          <w:sz w:val="16"/>
          <w:szCs w:val="16"/>
          <w:lang w:eastAsia="ru-RU" w:bidi="ru-RU"/>
        </w:rPr>
        <w:softHyphen/>
        <w:t>ждения вышло постановление №158сс.</w:t>
      </w:r>
    </w:p>
    <w:p w14:paraId="07FE0D31" w14:textId="77777777" w:rsidR="00AC6695" w:rsidRPr="005E779E" w:rsidRDefault="00AC669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В ряду первоочередных мероприя</w:t>
      </w:r>
      <w:r w:rsidRPr="005E779E">
        <w:rPr>
          <w:rFonts w:ascii="Times New Roman" w:hAnsi="Times New Roman"/>
          <w:color w:val="000000" w:themeColor="text1"/>
          <w:sz w:val="16"/>
          <w:szCs w:val="16"/>
          <w:lang w:eastAsia="ru-RU" w:bidi="ru-RU"/>
        </w:rPr>
        <w:softHyphen/>
        <w:t>тий, направленных на ликвидацию про</w:t>
      </w:r>
      <w:r w:rsidRPr="005E779E">
        <w:rPr>
          <w:rFonts w:ascii="Times New Roman" w:hAnsi="Times New Roman"/>
          <w:color w:val="000000" w:themeColor="text1"/>
          <w:sz w:val="16"/>
          <w:szCs w:val="16"/>
          <w:lang w:eastAsia="ru-RU" w:bidi="ru-RU"/>
        </w:rPr>
        <w:softHyphen/>
        <w:t>рыва в авиапромышленности, предла</w:t>
      </w:r>
      <w:r w:rsidRPr="005E779E">
        <w:rPr>
          <w:rFonts w:ascii="Times New Roman" w:hAnsi="Times New Roman"/>
          <w:color w:val="000000" w:themeColor="text1"/>
          <w:sz w:val="16"/>
          <w:szCs w:val="16"/>
          <w:lang w:eastAsia="ru-RU" w:bidi="ru-RU"/>
        </w:rPr>
        <w:softHyphen/>
        <w:t>галось «ВАО поставить себе главной за</w:t>
      </w:r>
      <w:r w:rsidRPr="005E779E">
        <w:rPr>
          <w:rFonts w:ascii="Times New Roman" w:hAnsi="Times New Roman"/>
          <w:color w:val="000000" w:themeColor="text1"/>
          <w:sz w:val="16"/>
          <w:szCs w:val="16"/>
          <w:lang w:eastAsia="ru-RU" w:bidi="ru-RU"/>
        </w:rPr>
        <w:softHyphen/>
        <w:t>дачей переход в кратчайший срок на механизированное производство, при</w:t>
      </w:r>
      <w:r w:rsidRPr="005E779E">
        <w:rPr>
          <w:rFonts w:ascii="Times New Roman" w:hAnsi="Times New Roman"/>
          <w:color w:val="000000" w:themeColor="text1"/>
          <w:sz w:val="16"/>
          <w:szCs w:val="16"/>
          <w:lang w:eastAsia="ru-RU" w:bidi="ru-RU"/>
        </w:rPr>
        <w:softHyphen/>
        <w:t>менение штамповки, сварки и прочих способов массового изготовления дета</w:t>
      </w:r>
      <w:r w:rsidRPr="005E779E">
        <w:rPr>
          <w:rFonts w:ascii="Times New Roman" w:hAnsi="Times New Roman"/>
          <w:color w:val="000000" w:themeColor="text1"/>
          <w:sz w:val="16"/>
          <w:szCs w:val="16"/>
          <w:lang w:eastAsia="ru-RU" w:bidi="ru-RU"/>
        </w:rPr>
        <w:softHyphen/>
        <w:t>лей и их сборки».</w:t>
      </w:r>
    </w:p>
    <w:p w14:paraId="384CD0A4" w14:textId="77777777" w:rsidR="00AC6695" w:rsidRPr="005E779E" w:rsidRDefault="00AC669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Требовалось «обязать ВАО, реши</w:t>
      </w:r>
      <w:r w:rsidRPr="005E779E">
        <w:rPr>
          <w:rFonts w:ascii="Times New Roman" w:hAnsi="Times New Roman"/>
          <w:color w:val="000000" w:themeColor="text1"/>
          <w:sz w:val="16"/>
          <w:szCs w:val="16"/>
          <w:lang w:eastAsia="ru-RU" w:bidi="ru-RU"/>
        </w:rPr>
        <w:softHyphen/>
        <w:t>тельно пресекая попытки отдельных това</w:t>
      </w:r>
      <w:r w:rsidRPr="005E779E">
        <w:rPr>
          <w:rFonts w:ascii="Times New Roman" w:hAnsi="Times New Roman"/>
          <w:color w:val="000000" w:themeColor="text1"/>
          <w:sz w:val="16"/>
          <w:szCs w:val="16"/>
          <w:lang w:eastAsia="ru-RU" w:bidi="ru-RU"/>
        </w:rPr>
        <w:softHyphen/>
        <w:t>рищей превратить опытное производство в самоцель, взять основную установку на скорейшее внедрение в серийное про</w:t>
      </w:r>
      <w:r w:rsidRPr="005E779E">
        <w:rPr>
          <w:rFonts w:ascii="Times New Roman" w:hAnsi="Times New Roman"/>
          <w:color w:val="000000" w:themeColor="text1"/>
          <w:sz w:val="16"/>
          <w:szCs w:val="16"/>
          <w:lang w:eastAsia="ru-RU" w:bidi="ru-RU"/>
        </w:rPr>
        <w:softHyphen/>
        <w:t>изводство построенных и испытанных образцов самолетов и моторов, как пер</w:t>
      </w:r>
      <w:r w:rsidRPr="005E779E">
        <w:rPr>
          <w:rFonts w:ascii="Times New Roman" w:hAnsi="Times New Roman"/>
          <w:color w:val="000000" w:themeColor="text1"/>
          <w:sz w:val="16"/>
          <w:szCs w:val="16"/>
          <w:lang w:eastAsia="ru-RU" w:bidi="ru-RU"/>
        </w:rPr>
        <w:softHyphen/>
        <w:t>воочередную свою задачу (в сроки не бо</w:t>
      </w:r>
      <w:r w:rsidRPr="005E779E">
        <w:rPr>
          <w:rFonts w:ascii="Times New Roman" w:hAnsi="Times New Roman"/>
          <w:color w:val="000000" w:themeColor="text1"/>
          <w:sz w:val="16"/>
          <w:szCs w:val="16"/>
          <w:lang w:eastAsia="ru-RU" w:bidi="ru-RU"/>
        </w:rPr>
        <w:softHyphen/>
        <w:t>лее как 6-8 месяцев)».</w:t>
      </w:r>
    </w:p>
    <w:p w14:paraId="75ECF420" w14:textId="77777777" w:rsidR="00AC6695" w:rsidRPr="005E779E" w:rsidRDefault="00AC669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С целью экономии дефицитного дюра</w:t>
      </w:r>
      <w:r w:rsidRPr="005E779E">
        <w:rPr>
          <w:rFonts w:ascii="Times New Roman" w:hAnsi="Times New Roman"/>
          <w:color w:val="000000" w:themeColor="text1"/>
          <w:sz w:val="16"/>
          <w:szCs w:val="16"/>
          <w:lang w:eastAsia="ru-RU" w:bidi="ru-RU"/>
        </w:rPr>
        <w:softHyphen/>
        <w:t>люминия считалось необходимым «проек</w:t>
      </w:r>
      <w:r w:rsidRPr="005E779E">
        <w:rPr>
          <w:rFonts w:ascii="Times New Roman" w:hAnsi="Times New Roman"/>
          <w:color w:val="000000" w:themeColor="text1"/>
          <w:sz w:val="16"/>
          <w:szCs w:val="16"/>
          <w:lang w:eastAsia="ru-RU" w:bidi="ru-RU"/>
        </w:rPr>
        <w:softHyphen/>
        <w:t>тировать и производить тяжелые и сверх</w:t>
      </w:r>
      <w:r w:rsidRPr="005E779E">
        <w:rPr>
          <w:rFonts w:ascii="Times New Roman" w:hAnsi="Times New Roman"/>
          <w:color w:val="000000" w:themeColor="text1"/>
          <w:sz w:val="16"/>
          <w:szCs w:val="16"/>
          <w:lang w:eastAsia="ru-RU" w:bidi="ru-RU"/>
        </w:rPr>
        <w:softHyphen/>
        <w:t>тяжелые самолеты из металла с возможно большим применением стали и уменьше</w:t>
      </w:r>
      <w:r w:rsidRPr="005E779E">
        <w:rPr>
          <w:rFonts w:ascii="Times New Roman" w:hAnsi="Times New Roman"/>
          <w:color w:val="000000" w:themeColor="text1"/>
          <w:sz w:val="16"/>
          <w:szCs w:val="16"/>
          <w:lang w:eastAsia="ru-RU" w:bidi="ru-RU"/>
        </w:rPr>
        <w:softHyphen/>
        <w:t>нием алюминия, а самолетов легкого типа по преимуществу смешанной конструкции (сталь, дерево, полотно)».</w:t>
      </w:r>
    </w:p>
    <w:p w14:paraId="1E5E5395" w14:textId="77777777" w:rsidR="00AC6695" w:rsidRPr="005E779E" w:rsidRDefault="00AC669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lastRenderedPageBreak/>
        <w:t>Предлагалось закупить лицензии и ос</w:t>
      </w:r>
      <w:r w:rsidRPr="005E779E">
        <w:rPr>
          <w:rFonts w:ascii="Times New Roman" w:hAnsi="Times New Roman"/>
          <w:color w:val="000000" w:themeColor="text1"/>
          <w:sz w:val="16"/>
          <w:szCs w:val="16"/>
          <w:lang w:eastAsia="ru-RU" w:bidi="ru-RU"/>
        </w:rPr>
        <w:softHyphen/>
        <w:t>воить технологии и зарубежный опыт на производство разрезных крыльев, совре</w:t>
      </w:r>
      <w:r w:rsidRPr="005E779E">
        <w:rPr>
          <w:rFonts w:ascii="Times New Roman" w:hAnsi="Times New Roman"/>
          <w:color w:val="000000" w:themeColor="text1"/>
          <w:sz w:val="16"/>
          <w:szCs w:val="16"/>
          <w:lang w:eastAsia="ru-RU" w:bidi="ru-RU"/>
        </w:rPr>
        <w:softHyphen/>
        <w:t>менных моторов жидкостного и воздуш</w:t>
      </w:r>
      <w:r w:rsidRPr="005E779E">
        <w:rPr>
          <w:rFonts w:ascii="Times New Roman" w:hAnsi="Times New Roman"/>
          <w:color w:val="000000" w:themeColor="text1"/>
          <w:sz w:val="16"/>
          <w:szCs w:val="16"/>
          <w:lang w:eastAsia="ru-RU" w:bidi="ru-RU"/>
        </w:rPr>
        <w:softHyphen/>
        <w:t>ного охлаждения, хромомолибденовых труб, по литью, ковке, штамповке и термо</w:t>
      </w:r>
      <w:r w:rsidRPr="005E779E">
        <w:rPr>
          <w:rFonts w:ascii="Times New Roman" w:hAnsi="Times New Roman"/>
          <w:color w:val="000000" w:themeColor="text1"/>
          <w:sz w:val="16"/>
          <w:szCs w:val="16"/>
          <w:lang w:eastAsia="ru-RU" w:bidi="ru-RU"/>
        </w:rPr>
        <w:softHyphen/>
        <w:t>обработке алюминиевых сплавов, изго</w:t>
      </w:r>
      <w:r w:rsidRPr="005E779E">
        <w:rPr>
          <w:rFonts w:ascii="Times New Roman" w:hAnsi="Times New Roman"/>
          <w:color w:val="000000" w:themeColor="text1"/>
          <w:sz w:val="16"/>
          <w:szCs w:val="16"/>
          <w:lang w:eastAsia="ru-RU" w:bidi="ru-RU"/>
        </w:rPr>
        <w:softHyphen/>
        <w:t>товления металлических винтов, самопу</w:t>
      </w:r>
      <w:r w:rsidRPr="005E779E">
        <w:rPr>
          <w:rFonts w:ascii="Times New Roman" w:hAnsi="Times New Roman"/>
          <w:color w:val="000000" w:themeColor="text1"/>
          <w:sz w:val="16"/>
          <w:szCs w:val="16"/>
          <w:lang w:eastAsia="ru-RU" w:bidi="ru-RU"/>
        </w:rPr>
        <w:softHyphen/>
        <w:t>сков, тормозных колес и т.д.</w:t>
      </w:r>
    </w:p>
    <w:p w14:paraId="23B93A98" w14:textId="77777777" w:rsidR="00AC6695" w:rsidRPr="005E779E" w:rsidRDefault="00AC669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Управление ВВС и ВАО обязывались «в месячный срок разработать и предста</w:t>
      </w:r>
      <w:r w:rsidRPr="005E779E">
        <w:rPr>
          <w:rFonts w:ascii="Times New Roman" w:hAnsi="Times New Roman"/>
          <w:color w:val="000000" w:themeColor="text1"/>
          <w:sz w:val="16"/>
          <w:szCs w:val="16"/>
          <w:lang w:eastAsia="ru-RU" w:bidi="ru-RU"/>
        </w:rPr>
        <w:softHyphen/>
        <w:t>вить на утверждение СТО план опытного строительства самолетов и моторов, имея в виду «сокращение типов моторов и са</w:t>
      </w:r>
      <w:r w:rsidRPr="005E779E">
        <w:rPr>
          <w:rFonts w:ascii="Times New Roman" w:hAnsi="Times New Roman"/>
          <w:color w:val="000000" w:themeColor="text1"/>
          <w:sz w:val="16"/>
          <w:szCs w:val="16"/>
          <w:lang w:eastAsia="ru-RU" w:bidi="ru-RU"/>
        </w:rPr>
        <w:softHyphen/>
        <w:t>молетов ВВС и унификацию военных и гражданских моторов и самолетов».</w:t>
      </w:r>
    </w:p>
    <w:p w14:paraId="1409AD4B" w14:textId="77777777" w:rsidR="00AC6695" w:rsidRPr="005E779E" w:rsidRDefault="00AC6695" w:rsidP="000B7A6C">
      <w:pPr>
        <w:spacing w:after="0" w:line="240" w:lineRule="auto"/>
        <w:jc w:val="both"/>
        <w:rPr>
          <w:rFonts w:ascii="Times New Roman" w:hAnsi="Times New Roman"/>
          <w:color w:val="000000" w:themeColor="text1"/>
          <w:sz w:val="16"/>
          <w:szCs w:val="16"/>
          <w:lang w:eastAsia="ru-RU" w:bidi="ru-RU"/>
        </w:rPr>
      </w:pPr>
      <w:r w:rsidRPr="005E779E">
        <w:rPr>
          <w:rFonts w:ascii="Times New Roman" w:hAnsi="Times New Roman"/>
          <w:color w:val="000000" w:themeColor="text1"/>
          <w:sz w:val="16"/>
          <w:szCs w:val="16"/>
          <w:lang w:eastAsia="ru-RU" w:bidi="ru-RU"/>
        </w:rPr>
        <w:t>Одновременно по инициативе ВАО была принята сокращенная программа производства боевых самолетов в 1931 г., согласно которой к концу года советский авиапром, помимо других машин, должен выпустить 10 бронированных штурмови</w:t>
      </w:r>
      <w:r w:rsidRPr="005E779E">
        <w:rPr>
          <w:rFonts w:ascii="Times New Roman" w:hAnsi="Times New Roman"/>
          <w:color w:val="000000" w:themeColor="text1"/>
          <w:sz w:val="16"/>
          <w:szCs w:val="16"/>
          <w:lang w:eastAsia="ru-RU" w:bidi="ru-RU"/>
        </w:rPr>
        <w:softHyphen/>
        <w:t>ков ТШ-2 М-17 войсковой серии (21062).</w:t>
      </w:r>
    </w:p>
    <w:p w14:paraId="5249C214" w14:textId="77777777" w:rsidR="00AC6695" w:rsidRPr="005E779E" w:rsidRDefault="00AC6695" w:rsidP="000B7A6C">
      <w:pPr>
        <w:spacing w:after="0" w:line="240" w:lineRule="auto"/>
        <w:jc w:val="both"/>
        <w:rPr>
          <w:rFonts w:ascii="Times New Roman" w:hAnsi="Times New Roman"/>
          <w:color w:val="000000" w:themeColor="text1"/>
          <w:sz w:val="16"/>
          <w:szCs w:val="16"/>
        </w:rPr>
      </w:pPr>
    </w:p>
    <w:p w14:paraId="75612046" w14:textId="77777777" w:rsidR="00535A7C" w:rsidRPr="005E779E" w:rsidRDefault="00535A7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июля 1931 г. №158сс в постановлении СТО СССР «По ави</w:t>
      </w:r>
      <w:r w:rsidRPr="005E779E">
        <w:rPr>
          <w:rFonts w:ascii="Times New Roman" w:hAnsi="Times New Roman"/>
          <w:color w:val="000000" w:themeColor="text1"/>
          <w:sz w:val="16"/>
          <w:szCs w:val="16"/>
        </w:rPr>
        <w:softHyphen/>
        <w:t>апромышленности», в частности констатирова</w:t>
      </w:r>
      <w:r w:rsidRPr="005E779E">
        <w:rPr>
          <w:rFonts w:ascii="Times New Roman" w:hAnsi="Times New Roman"/>
          <w:color w:val="000000" w:themeColor="text1"/>
          <w:sz w:val="16"/>
          <w:szCs w:val="16"/>
        </w:rPr>
        <w:softHyphen/>
        <w:t>лось, «что постановления Правительства от 5.III.30 г., 9.IX.30 г. и от 11.I.31 г. в от</w:t>
      </w:r>
      <w:r w:rsidRPr="005E779E">
        <w:rPr>
          <w:rFonts w:ascii="Times New Roman" w:hAnsi="Times New Roman"/>
          <w:color w:val="000000" w:themeColor="text1"/>
          <w:sz w:val="16"/>
          <w:szCs w:val="16"/>
        </w:rPr>
        <w:softHyphen/>
        <w:t>ношении развития авиапромышленности проводятся в жизнь явно неудовлетвори</w:t>
      </w:r>
      <w:r w:rsidRPr="005E779E">
        <w:rPr>
          <w:rFonts w:ascii="Times New Roman" w:hAnsi="Times New Roman"/>
          <w:color w:val="000000" w:themeColor="text1"/>
          <w:sz w:val="16"/>
          <w:szCs w:val="16"/>
        </w:rPr>
        <w:softHyphen/>
        <w:t>тельно. В особом квартале 1930 г. и пер</w:t>
      </w:r>
      <w:r w:rsidRPr="005E779E">
        <w:rPr>
          <w:rFonts w:ascii="Times New Roman" w:hAnsi="Times New Roman"/>
          <w:color w:val="000000" w:themeColor="text1"/>
          <w:sz w:val="16"/>
          <w:szCs w:val="16"/>
        </w:rPr>
        <w:softHyphen/>
        <w:t>вом полугодии 1931 г. планы как по стро</w:t>
      </w:r>
      <w:r w:rsidRPr="005E779E">
        <w:rPr>
          <w:rFonts w:ascii="Times New Roman" w:hAnsi="Times New Roman"/>
          <w:color w:val="000000" w:themeColor="text1"/>
          <w:sz w:val="16"/>
          <w:szCs w:val="16"/>
        </w:rPr>
        <w:softHyphen/>
        <w:t>ительству, так и по производству фак</w:t>
      </w:r>
      <w:r w:rsidRPr="005E779E">
        <w:rPr>
          <w:rFonts w:ascii="Times New Roman" w:hAnsi="Times New Roman"/>
          <w:color w:val="000000" w:themeColor="text1"/>
          <w:sz w:val="16"/>
          <w:szCs w:val="16"/>
        </w:rPr>
        <w:softHyphen/>
        <w:t>тически сорваны. Реконструкция старых, планирование и развёртывание новых за</w:t>
      </w:r>
      <w:r w:rsidRPr="005E779E">
        <w:rPr>
          <w:rFonts w:ascii="Times New Roman" w:hAnsi="Times New Roman"/>
          <w:color w:val="000000" w:themeColor="text1"/>
          <w:sz w:val="16"/>
          <w:szCs w:val="16"/>
        </w:rPr>
        <w:softHyphen/>
        <w:t>водов находятся в совершенно неудовлет</w:t>
      </w:r>
      <w:r w:rsidRPr="005E779E">
        <w:rPr>
          <w:rFonts w:ascii="Times New Roman" w:hAnsi="Times New Roman"/>
          <w:color w:val="000000" w:themeColor="text1"/>
          <w:sz w:val="16"/>
          <w:szCs w:val="16"/>
        </w:rPr>
        <w:softHyphen/>
        <w:t>ворительном состоянии.</w:t>
      </w:r>
    </w:p>
    <w:p w14:paraId="2A200BE0" w14:textId="77777777" w:rsidR="00535A7C" w:rsidRPr="005E779E" w:rsidRDefault="00535A7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Констатировать, что авиационная промышленность, переданная в целях её улучшения в июле 1930 г. в ведение НКВМ (Народный комиссариат по военным и морским делам СССР), где и нахо</w:t>
      </w:r>
      <w:r w:rsidRPr="005E779E">
        <w:rPr>
          <w:rFonts w:ascii="Times New Roman" w:hAnsi="Times New Roman"/>
          <w:color w:val="000000" w:themeColor="text1"/>
          <w:sz w:val="16"/>
          <w:szCs w:val="16"/>
        </w:rPr>
        <w:softHyphen/>
        <w:t>дилась по март 1931 г, на самом деле ни</w:t>
      </w:r>
      <w:r w:rsidRPr="005E779E">
        <w:rPr>
          <w:rFonts w:ascii="Times New Roman" w:hAnsi="Times New Roman"/>
          <w:color w:val="000000" w:themeColor="text1"/>
          <w:sz w:val="16"/>
          <w:szCs w:val="16"/>
        </w:rPr>
        <w:softHyphen/>
        <w:t>какого улучшения не достигла, а наобо</w:t>
      </w:r>
      <w:r w:rsidRPr="005E779E">
        <w:rPr>
          <w:rFonts w:ascii="Times New Roman" w:hAnsi="Times New Roman"/>
          <w:color w:val="000000" w:themeColor="text1"/>
          <w:sz w:val="16"/>
          <w:szCs w:val="16"/>
        </w:rPr>
        <w:softHyphen/>
        <w:t>рот, пошла вниз, ввиду чего создалась не обходимость обратной её передачи в ве</w:t>
      </w:r>
      <w:r w:rsidRPr="005E779E">
        <w:rPr>
          <w:rFonts w:ascii="Times New Roman" w:hAnsi="Times New Roman"/>
          <w:color w:val="000000" w:themeColor="text1"/>
          <w:sz w:val="16"/>
          <w:szCs w:val="16"/>
        </w:rPr>
        <w:softHyphen/>
        <w:t>дение ВСНХ (Высший совет народного хозяйства - Авт.)».</w:t>
      </w:r>
    </w:p>
    <w:p w14:paraId="2A746053" w14:textId="77777777" w:rsidR="00535A7C" w:rsidRPr="005E779E" w:rsidRDefault="00535A7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Ввиду этого, в части опытного стро</w:t>
      </w:r>
      <w:r w:rsidRPr="005E779E">
        <w:rPr>
          <w:rFonts w:ascii="Times New Roman" w:hAnsi="Times New Roman"/>
          <w:color w:val="000000" w:themeColor="text1"/>
          <w:sz w:val="16"/>
          <w:szCs w:val="16"/>
        </w:rPr>
        <w:softHyphen/>
        <w:t>ительства СТО постановил «организо</w:t>
      </w:r>
      <w:r w:rsidRPr="005E779E">
        <w:rPr>
          <w:rFonts w:ascii="Times New Roman" w:hAnsi="Times New Roman"/>
          <w:color w:val="000000" w:themeColor="text1"/>
          <w:sz w:val="16"/>
          <w:szCs w:val="16"/>
        </w:rPr>
        <w:softHyphen/>
        <w:t>вать работу опытных организаций на ос</w:t>
      </w:r>
      <w:r w:rsidRPr="005E779E">
        <w:rPr>
          <w:rFonts w:ascii="Times New Roman" w:hAnsi="Times New Roman"/>
          <w:color w:val="000000" w:themeColor="text1"/>
          <w:sz w:val="16"/>
          <w:szCs w:val="16"/>
        </w:rPr>
        <w:softHyphen/>
        <w:t>нове концентрации научных и конструк</w:t>
      </w:r>
      <w:r w:rsidRPr="005E779E">
        <w:rPr>
          <w:rFonts w:ascii="Times New Roman" w:hAnsi="Times New Roman"/>
          <w:color w:val="000000" w:themeColor="text1"/>
          <w:sz w:val="16"/>
          <w:szCs w:val="16"/>
        </w:rPr>
        <w:softHyphen/>
        <w:t>торских сил, привлечения и использования иностранной технической помощи, тща</w:t>
      </w:r>
      <w:r w:rsidRPr="005E779E">
        <w:rPr>
          <w:rFonts w:ascii="Times New Roman" w:hAnsi="Times New Roman"/>
          <w:color w:val="000000" w:themeColor="text1"/>
          <w:sz w:val="16"/>
          <w:szCs w:val="16"/>
        </w:rPr>
        <w:softHyphen/>
        <w:t>тельного изучения лучших образцов само</w:t>
      </w:r>
      <w:r w:rsidRPr="005E779E">
        <w:rPr>
          <w:rFonts w:ascii="Times New Roman" w:hAnsi="Times New Roman"/>
          <w:color w:val="000000" w:themeColor="text1"/>
          <w:sz w:val="16"/>
          <w:szCs w:val="16"/>
        </w:rPr>
        <w:softHyphen/>
        <w:t>лётов и моторов с тем, чтобы проблема «догнать и перегнать» была разрешена в течение ближайших 2-3 лет и созданы образцы самолётов и моторов, предметов вооружения и снаряжения (пулемёты, пуш</w:t>
      </w:r>
      <w:r w:rsidRPr="005E779E">
        <w:rPr>
          <w:rFonts w:ascii="Times New Roman" w:hAnsi="Times New Roman"/>
          <w:color w:val="000000" w:themeColor="text1"/>
          <w:sz w:val="16"/>
          <w:szCs w:val="16"/>
        </w:rPr>
        <w:softHyphen/>
        <w:t>ки, прицелы, фото, радио), превосходящие лучшие образцы иностранной техники...» (24309).</w:t>
      </w:r>
    </w:p>
    <w:p w14:paraId="4DA022B9" w14:textId="77777777" w:rsidR="00535A7C" w:rsidRPr="005E779E" w:rsidRDefault="00535A7C" w:rsidP="000B7A6C">
      <w:pPr>
        <w:spacing w:after="0" w:line="240" w:lineRule="auto"/>
        <w:jc w:val="both"/>
        <w:rPr>
          <w:rFonts w:ascii="Times New Roman" w:hAnsi="Times New Roman"/>
          <w:color w:val="000000" w:themeColor="text1"/>
          <w:sz w:val="16"/>
          <w:szCs w:val="16"/>
        </w:rPr>
      </w:pPr>
    </w:p>
    <w:p w14:paraId="513A8CE1" w14:textId="77777777" w:rsidR="00875C4A" w:rsidRPr="005E779E" w:rsidRDefault="00875C4A"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июля 1931 г. вышло Постановление СТО:</w:t>
      </w:r>
    </w:p>
    <w:p w14:paraId="4E3B7B24" w14:textId="77777777" w:rsidR="00875C4A" w:rsidRPr="005E779E" w:rsidRDefault="00875C4A"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 "б". Приобрести у английской фирмы Хейндлей Пейдж лицензию на разрезные крылья (3082).</w:t>
      </w:r>
    </w:p>
    <w:p w14:paraId="5AEFE107" w14:textId="77777777" w:rsidR="00875C4A" w:rsidRPr="005E779E" w:rsidRDefault="00875C4A" w:rsidP="000B7A6C">
      <w:pPr>
        <w:autoSpaceDE w:val="0"/>
        <w:autoSpaceDN w:val="0"/>
        <w:adjustRightInd w:val="0"/>
        <w:spacing w:after="0" w:line="240" w:lineRule="auto"/>
        <w:jc w:val="both"/>
        <w:rPr>
          <w:rFonts w:ascii="Times New Roman" w:hAnsi="Times New Roman"/>
          <w:color w:val="000000" w:themeColor="text1"/>
          <w:sz w:val="16"/>
          <w:szCs w:val="16"/>
        </w:rPr>
      </w:pPr>
    </w:p>
    <w:p w14:paraId="3F98B84A" w14:textId="77777777" w:rsidR="00875C4A" w:rsidRPr="005E779E" w:rsidRDefault="00875C4A"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25 июля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Постановление СТО СССР № 158сс по авиапромышленности (ГА РФ. Ф. Р?8418. Оп. 28. Д. 1а. Л. 39?52) (12415).</w:t>
      </w:r>
    </w:p>
    <w:p w14:paraId="60E2B431" w14:textId="77777777" w:rsidR="00875C4A" w:rsidRPr="005E779E" w:rsidRDefault="00875C4A" w:rsidP="000B7A6C">
      <w:pPr>
        <w:spacing w:after="0" w:line="240" w:lineRule="auto"/>
        <w:jc w:val="both"/>
        <w:rPr>
          <w:rFonts w:ascii="Times New Roman" w:hAnsi="Times New Roman"/>
          <w:color w:val="000000" w:themeColor="text1"/>
          <w:sz w:val="16"/>
          <w:szCs w:val="16"/>
          <w:u w:color="002060"/>
        </w:rPr>
      </w:pPr>
    </w:p>
    <w:p w14:paraId="74279650"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июля 1931 г. — Постановление № 158/сс СТО СССР «По авиапромышленности»</w:t>
      </w:r>
    </w:p>
    <w:p w14:paraId="2DBE6516"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Совершенно секретно.</w:t>
      </w:r>
    </w:p>
    <w:p w14:paraId="7C38D7BA"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Констатировать, что постановления правительства от 5 марта 1930 г., 5 сентября 1930 г. и от 11 января 1931 г. в отношении развития авиапромышленности проводятся в жизнь явно неудовлетворительно. В особом квартале 1930 г. и первом полугодии 1931 г. планы как по строительству, так и по производству фактически сорваны. Реконструкция старых, планирование и развертывание новых заводов находятся в совершенно неудовлетворительном состоянии.</w:t>
      </w:r>
    </w:p>
    <w:p w14:paraId="2BB8F980"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Констатировать, что авиационная промышленность, переданная в целях ее улучшения в июле 1930 г. в ведение НКВМ, где и находилась по март 1931 г., на самом деле никакого улучшения не достигла, а наоборот, пошла вниз, ввиду чего создалась необходимость обратной ее передачи в ведение ВСНХ.</w:t>
      </w:r>
    </w:p>
    <w:p w14:paraId="724871F2"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развитие указанных постановлений правительства Совет труда и обороны постановляет:</w:t>
      </w:r>
    </w:p>
    <w:p w14:paraId="604857EF"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I. По опытному строительству</w:t>
      </w:r>
    </w:p>
    <w:p w14:paraId="526251F3"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Предложить президиуму ВСНХ СССР и РВС уделить особое внимание опытному авиастроительству и обеспечить все необходимые условия для развертывания опытных организаций до размеров, вполне обеспечивающих принятые темпы и масштаб развития авиации.</w:t>
      </w:r>
    </w:p>
    <w:p w14:paraId="20EEC739"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Организовать работу опытных организаций на основе концентрации научных и конструкторских сил, привлечения и использования иностранной технической помощи, тщательного изучения лучших образцов самолетов и моторов с тем, чтобы проблема «догнать и перегнать» была разрешена в течение ближайших 2</w:t>
      </w:r>
      <w:r w:rsidRPr="005E779E">
        <w:rPr>
          <w:rFonts w:ascii="Times New Roman" w:hAnsi="Times New Roman"/>
          <w:color w:val="000000" w:themeColor="text1"/>
          <w:sz w:val="16"/>
          <w:szCs w:val="16"/>
        </w:rPr>
        <w:noBreakHyphen/>
        <w:t>3 лет и созданы образцы самолетов и моторов, предметов вооружения и снаряжения (пулеметы, пушки, прицелы, фото, радио), превосходящие лучшие образцы иностранной техники.</w:t>
      </w:r>
    </w:p>
    <w:p w14:paraId="035D976C"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Вменить в обязанность опытных организаций детальную и тщательную разработку всех технологических вопросов внедрения и пуска опытных образцов в серию, рационализации серийного производства. Институты должны явиться ведущим началом в деле технической реконструкции авиационной промышленности.</w:t>
      </w:r>
    </w:p>
    <w:p w14:paraId="3886C92D"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области организации производства предложить ВАО поставить себе главной задачей переход в кратчайший срок на механизированное производство, применение штамповки, сварки и прочих способов массового изготовления деталей и их сборки.</w:t>
      </w:r>
    </w:p>
    <w:p w14:paraId="25E08D01"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Обязать ВАО, решительно пресекая попытки отдельных товарищей превратить опытное производство в самоцель, взять основную установку на скорейшее внедрение в серийное производство построенных и испытанных образцов самолетов и моторов как первоочередную свою задачу (в сроки не более как 6</w:t>
      </w:r>
      <w:r w:rsidRPr="005E779E">
        <w:rPr>
          <w:rFonts w:ascii="Times New Roman" w:hAnsi="Times New Roman"/>
          <w:color w:val="000000" w:themeColor="text1"/>
          <w:sz w:val="16"/>
          <w:szCs w:val="16"/>
        </w:rPr>
        <w:noBreakHyphen/>
        <w:t>8 месяцев).</w:t>
      </w:r>
    </w:p>
    <w:p w14:paraId="328E280B"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Обязать ЦАГИ и ИАМ¹* сосредоточить внимание на разработке вопросов технологии применяемых материалов в авиастроении, для чего создать при них мощные технологические отделы.</w:t>
      </w:r>
    </w:p>
    <w:p w14:paraId="12A30F2E"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Предложить ВАО проектировать и производить тяжелые и сверхтяжелые самолеты из металла с возможно большим применением стали и уменьшением алюминия, а самолетов легкого типа — по преимуществу смешанной конструкции (сталь, дерево, полотно).</w:t>
      </w:r>
    </w:p>
    <w:p w14:paraId="148A21BE"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Предложить ВАО форсировать работу по созданию дизель-моторов тяжелого топлива, с широким привлечением иностранной технической помощи и изучением заграничных образцов.</w:t>
      </w:r>
    </w:p>
    <w:p w14:paraId="123D3B2F"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Предложить ВАО построить к 1 ноября по имеющимся чертежам 5 дизель-моторов тяжелого топлива мощностью 230 НР. Наряду с этим особое внимание уделить разрешению проблемы об остановке мотора на расстоянии.</w:t>
      </w:r>
    </w:p>
    <w:p w14:paraId="521446A6"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Обязать начальника ВАО форсировать постройку опытных образцов маломощных самолетов и моторов и уже в 1932 г. поставить массовое производство на существующих заводах.</w:t>
      </w:r>
    </w:p>
    <w:p w14:paraId="6EE74091"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Обязать ИАМ широко развернуть практические опытные работы по электронному литью картеров и других агрегатов моторов и изготовить не позже 1 октября 1931 г. два опытных электронных картера М</w:t>
      </w:r>
      <w:r w:rsidRPr="005E779E">
        <w:rPr>
          <w:rFonts w:ascii="Times New Roman" w:hAnsi="Times New Roman"/>
          <w:color w:val="000000" w:themeColor="text1"/>
          <w:sz w:val="16"/>
          <w:szCs w:val="16"/>
        </w:rPr>
        <w:noBreakHyphen/>
        <w:t>34, используя в полной мере опыт германской фирмы «БМВ» и опыт итальянской фирмы «Изота Фраскини».</w:t>
      </w:r>
    </w:p>
    <w:p w14:paraId="38A4FAF4"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Обязать ВСНХ СССР в лице трестов «Теплобетон», «Госсантехстрой», Москомгаза, ВЭО и др., под ответственность председателей этих трестов и объединений, полностью закончить капитальное строительство и оборудование опытных организаций в обусловленные сроки.</w:t>
      </w:r>
    </w:p>
    <w:p w14:paraId="2C3C3B48"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Обязать НКВТ доставить в Союз заказанное для ИАМа оборудование по заявкам 1929/30 г. и особого квартала не позднее 1 октября 1931 г.</w:t>
      </w:r>
    </w:p>
    <w:p w14:paraId="1DBB0E6D"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Обязать ВСНХ СССР обеспечить полностью заказы научно-исследовательских институтов на оборудование лабораторий и завода ИАМ транспортными устройствами, кранами, компрессорными установками и прочими советского производства не позднее 1 ноября 1931 г.</w:t>
      </w:r>
    </w:p>
    <w:p w14:paraId="2C253A33"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Обязать начальника ВАО, Союзстанкоинструмент, Оргметалл и объединения ВСНХ СССР, под ответственность председателей этих объединений, удовлетворять заявки на инструмент, материалы и предметы оборудования для срочных экспериментальных работ опытных строительств ВАО, УВВС, ВОГВФ вне всякой очереди, а заводы Ижевский, Мотовилихинский и «Электросталь» поставлять поковки для опытных моторов в сроки, не превышающие двух месяцев с момента получения ими чертежей.</w:t>
      </w:r>
    </w:p>
    <w:p w14:paraId="2B367EC3"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Отпустить для ВСНХ дополнительный контингент в 250 тыс. руб. на приобретение специальных станков и лабораторного оборудования для создания мощного технологического отдела при ИАМ. Обязать ВСНХ СССР и НКВТ закупить и доставить оборудование на эту сумму в Союз не позднее 1 декабря 1931 г.</w:t>
      </w:r>
    </w:p>
    <w:p w14:paraId="64A9B636"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Открыть ВСНХ для ИАМа дополнительный свободный контингент на 50 тыс. руб. для срочных закупок за границей отдельных материалов, аппаратуры, агрегатов для опытных лабораторий и опытного моторостроения.</w:t>
      </w:r>
    </w:p>
    <w:p w14:paraId="5DC0185F"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 Обязать ВСНХ СССР и НКВТ немедленно приступить к переговорам о закупке за границей трех опытных наиболее совершенных и мощных образцов бензиновых и 4 образцов нефтяных двигателей для изучения их конструкций в ИАМе и в полуторамесячный срок доложить СТО о требующемся дополнительно отпуске валюты. Пригласить к 1 октября 1931 г. 2 конструкторские группы, каждую по 5 чел., и, кроме того, 10 инженеров, мастеров и техников для опытного завода ИАМ.</w:t>
      </w:r>
    </w:p>
    <w:p w14:paraId="2D73DDCA"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 Обязать начальника ВАО не позднее 1 августа 1931 г. командировать от ИАМ в Италию на завод «Изота Фраскини» инженеров (в том числе одного по электронному литью) на все время приемки заказанных нами моторов «АССО» для детального изучения опыта этой фирмы, особенно по электронному литью, и сверх того, в августе и сентябре еще 8 инженеров и 4 мастера на заводы Европы и Америки для выполнения целевых заданий, связанных с планом опытного строительства авиамоторов.</w:t>
      </w:r>
    </w:p>
    <w:p w14:paraId="511049BA"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Обязать НКВМ, ВОГВФ и ВАО в месячный срок разработать и представить на утверждение Совета труда и обороны план опытного строительства самолетов и моторов, имея в виду внедрение строгой специализации моторов по заводам, причем типы моторов должны быть общие для ВВС и гражданской авиации.</w:t>
      </w:r>
    </w:p>
    <w:p w14:paraId="78E93903"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II. По иностранной технической помощи</w:t>
      </w:r>
    </w:p>
    <w:p w14:paraId="263D1D21"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обеспечения выполнения намеченного плана авиационного строительства и освобождения от заграничной зависимости по техснабжению начиная с 1933 г. (исключая алюминий) считать необходимым привлечение иностранной технической помощи, для чего обязать ВАО заключить договоры с иностранными американскими и европейскими фирмами на нижеследующие объекты с внесением на утверждение правительства.</w:t>
      </w:r>
    </w:p>
    <w:p w14:paraId="11934A57"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По инструментальному хозяйству</w:t>
      </w:r>
    </w:p>
    <w:p w14:paraId="5A97ACCB"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На техническую помощь на постановку производства всех видов инструмента для всей авиационной промышленности с соответствующими иностранными фирмами (Германия, Италия, Англия).</w:t>
      </w:r>
    </w:p>
    <w:p w14:paraId="07CCC2A3"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По разрезным крыльям</w:t>
      </w:r>
    </w:p>
    <w:p w14:paraId="5553A75A"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Приобрести у английской фирмы «X. Пейдж» лиценз на разрезные крылья.</w:t>
      </w:r>
    </w:p>
    <w:p w14:paraId="0548141F"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По хромомолибденовым трубам</w:t>
      </w:r>
    </w:p>
    <w:p w14:paraId="3938965F"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оказание технической помощи по постановке производства хромомолибденовых труб с одной из иностранных фирм (Англия, Швеция).</w:t>
      </w:r>
    </w:p>
    <w:p w14:paraId="4AED7B53"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По поршневым кольцам</w:t>
      </w:r>
    </w:p>
    <w:p w14:paraId="13A0FD91"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оказание технической помощи на постановку производства поршневых колец для авиационных моторов с одной из иностранных фирм (Италия, Германия, Америка и др.).</w:t>
      </w:r>
    </w:p>
    <w:p w14:paraId="222C520F"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 По алюминиевому литейно-коночному производству</w:t>
      </w:r>
    </w:p>
    <w:p w14:paraId="1954CDA3"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американской фирмой «Американская алюминиевая компания» на оказание технической помощи по литью, ковке, штамповке и термообработке цветных легких и ультра-легких сплавов, а также по литью импеллеров, ковке и штамповке металлических винтов. При заключении договора предусмотреть оказание технической помощи как по проектированию, постройке и подбору оборудования литейного завода, так и по разработке технологических процессов, подбору формовочных земель, спецификации материалов и т. д.</w:t>
      </w:r>
    </w:p>
    <w:p w14:paraId="6561A4EE"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Если соглашение с «Американской алюминиевой компанией» не состоится, договор заключить с фирмой «Кертис Райт» или с фирмой «Бон Алюминиум Компани» или с одной из европейских фирм (Италия, Германия).</w:t>
      </w:r>
    </w:p>
    <w:p w14:paraId="6E011992"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 По изготовлению специальных изделий и деталей</w:t>
      </w:r>
    </w:p>
    <w:p w14:paraId="3B3EF172"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американской фирмой «Веидикс» на постановку производства карбюраторов типа «Стромберг», самопусков «Эклипс», электромеханического и электроинерционного типа и тормозных колес.</w:t>
      </w:r>
    </w:p>
    <w:p w14:paraId="78C1828B"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Ж. На механическую обработку и изготовление винтов</w:t>
      </w:r>
    </w:p>
    <w:p w14:paraId="32BA106C"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американской фирмой «Гамильтон» на техническую помощь на механическую обработку и изготовление винтов из поковок (стальные для втулок и дюралевые для лопастей).</w:t>
      </w:r>
    </w:p>
    <w:p w14:paraId="2714D7E0"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По производству клапанов</w:t>
      </w:r>
    </w:p>
    <w:p w14:paraId="65AA81A4"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американской фирмой «Томсон» на техническую помощь и постановку производства клапанов к авиационным моторам.</w:t>
      </w:r>
    </w:p>
    <w:p w14:paraId="593C658A"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 По производству подшипников</w:t>
      </w:r>
    </w:p>
    <w:p w14:paraId="7D104DB9"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американской фирмой «Адлисон» на техническую помощь и постановку производства подшипников²*.</w:t>
      </w:r>
    </w:p>
    <w:p w14:paraId="7582B64D"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По моторостроению</w:t>
      </w:r>
    </w:p>
    <w:p w14:paraId="3298B12B"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С американской фирмой «Кертис Райт» на оказание техпомощи по проектированию, постройке и оборудованию двух моторостроительных заводов, одного на 10 тыс. мощных моторов водяного охлаждения типа «Кертис Конкверрор» и другого на 10 тыс. маломощных моторов воздушного охлаждения типа «Райт Ж</w:t>
      </w:r>
      <w:r w:rsidRPr="005E779E">
        <w:rPr>
          <w:rFonts w:ascii="Times New Roman" w:hAnsi="Times New Roman"/>
          <w:color w:val="000000" w:themeColor="text1"/>
          <w:sz w:val="16"/>
          <w:szCs w:val="16"/>
        </w:rPr>
        <w:noBreakHyphen/>
        <w:t>6» 166 л. с. и его модификации и 5 тыс. мощных моторов воздушного охлаждения типа «Райт-Циклон».</w:t>
      </w:r>
    </w:p>
    <w:p w14:paraId="26D18894"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Приобрести лиценз на вышеуказанные моторы «Кертис Конкверрор» и «Райт» во всех его типах.</w:t>
      </w:r>
    </w:p>
    <w:p w14:paraId="4F7153F5"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заключении договоров учесть необходимость обеспечить не только получение технической помощи на существующие образцы и методы изготовления, но также и по развитию образцов и методов. Вместе с тем при заключении договоров не связывать получение интехпомощи и приобретение лицензов с покупкой оборудования у данных форм, ориентируясь прежде всего на отечественное машиностроение.</w:t>
      </w:r>
    </w:p>
    <w:p w14:paraId="49AEAEB4"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Приобретение технической помощи необходимо связать с максимальным укреплением позиций собственного опытного строительства. В частности, необходимо добиться у фирм, с которыми будут заключать договоры, права использования опыта и знания в области научно-исследовательских лабораторий, изучения методики, закупки специальной аппаратуры и установок и привлечения работников этих лабораторий для руководства отдельными темами в наших лабораториях.</w:t>
      </w:r>
    </w:p>
    <w:p w14:paraId="4D70FAEB"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Считая необходимой максимальную экономию в расходовании валюты, поручить комиссии в составе т. </w:t>
      </w:r>
      <w:hyperlink r:id="rId148" w:history="1">
        <w:r w:rsidRPr="005E779E">
          <w:rPr>
            <w:rStyle w:val="a5"/>
            <w:rFonts w:ascii="Times New Roman" w:hAnsi="Times New Roman"/>
            <w:color w:val="000000" w:themeColor="text1"/>
            <w:sz w:val="16"/>
            <w:szCs w:val="16"/>
            <w:u w:val="none"/>
          </w:rPr>
          <w:t>Павлуновского</w:t>
        </w:r>
      </w:hyperlink>
      <w:r w:rsidRPr="005E779E">
        <w:rPr>
          <w:rFonts w:ascii="Times New Roman" w:hAnsi="Times New Roman"/>
          <w:color w:val="000000" w:themeColor="text1"/>
          <w:sz w:val="16"/>
          <w:szCs w:val="16"/>
        </w:rPr>
        <w:t xml:space="preserve">, </w:t>
      </w:r>
      <w:hyperlink r:id="rId149" w:history="1">
        <w:r w:rsidRPr="005E779E">
          <w:rPr>
            <w:rStyle w:val="a5"/>
            <w:rFonts w:ascii="Times New Roman" w:hAnsi="Times New Roman"/>
            <w:color w:val="000000" w:themeColor="text1"/>
            <w:sz w:val="16"/>
            <w:szCs w:val="16"/>
            <w:u w:val="none"/>
          </w:rPr>
          <w:t>Розенгольца</w:t>
        </w:r>
      </w:hyperlink>
      <w:r w:rsidRPr="005E779E">
        <w:rPr>
          <w:rFonts w:ascii="Times New Roman" w:hAnsi="Times New Roman"/>
          <w:color w:val="000000" w:themeColor="text1"/>
          <w:sz w:val="16"/>
          <w:szCs w:val="16"/>
        </w:rPr>
        <w:t xml:space="preserve"> (с правом замены по его указанию), </w:t>
      </w:r>
      <w:hyperlink r:id="rId150" w:history="1">
        <w:r w:rsidRPr="005E779E">
          <w:rPr>
            <w:rStyle w:val="a5"/>
            <w:rFonts w:ascii="Times New Roman" w:hAnsi="Times New Roman"/>
            <w:color w:val="000000" w:themeColor="text1"/>
            <w:sz w:val="16"/>
            <w:szCs w:val="16"/>
            <w:u w:val="none"/>
          </w:rPr>
          <w:t>Баранова</w:t>
        </w:r>
      </w:hyperlink>
      <w:r w:rsidRPr="005E779E">
        <w:rPr>
          <w:rFonts w:ascii="Times New Roman" w:hAnsi="Times New Roman"/>
          <w:color w:val="000000" w:themeColor="text1"/>
          <w:sz w:val="16"/>
          <w:szCs w:val="16"/>
        </w:rPr>
        <w:t xml:space="preserve">, </w:t>
      </w:r>
      <w:hyperlink r:id="rId151" w:history="1">
        <w:r w:rsidRPr="005E779E">
          <w:rPr>
            <w:rStyle w:val="a5"/>
            <w:rFonts w:ascii="Times New Roman" w:hAnsi="Times New Roman"/>
            <w:color w:val="000000" w:themeColor="text1"/>
            <w:sz w:val="16"/>
            <w:szCs w:val="16"/>
            <w:u w:val="none"/>
          </w:rPr>
          <w:t>Кагановича</w:t>
        </w:r>
      </w:hyperlink>
      <w:r w:rsidRPr="005E779E">
        <w:rPr>
          <w:rFonts w:ascii="Times New Roman" w:hAnsi="Times New Roman"/>
          <w:color w:val="000000" w:themeColor="text1"/>
          <w:sz w:val="16"/>
          <w:szCs w:val="16"/>
        </w:rPr>
        <w:t xml:space="preserve">, </w:t>
      </w:r>
      <w:hyperlink r:id="rId152" w:history="1">
        <w:r w:rsidRPr="005E779E">
          <w:rPr>
            <w:rStyle w:val="a5"/>
            <w:rFonts w:ascii="Times New Roman" w:hAnsi="Times New Roman"/>
            <w:color w:val="000000" w:themeColor="text1"/>
            <w:sz w:val="16"/>
            <w:szCs w:val="16"/>
            <w:u w:val="none"/>
          </w:rPr>
          <w:t>Алксниса</w:t>
        </w:r>
      </w:hyperlink>
      <w:r w:rsidRPr="005E779E">
        <w:rPr>
          <w:rFonts w:ascii="Times New Roman" w:hAnsi="Times New Roman"/>
          <w:color w:val="000000" w:themeColor="text1"/>
          <w:sz w:val="16"/>
          <w:szCs w:val="16"/>
        </w:rPr>
        <w:t xml:space="preserve">, </w:t>
      </w:r>
      <w:hyperlink r:id="rId153" w:history="1">
        <w:r w:rsidRPr="005E779E">
          <w:rPr>
            <w:rStyle w:val="a5"/>
            <w:rFonts w:ascii="Times New Roman" w:hAnsi="Times New Roman"/>
            <w:color w:val="000000" w:themeColor="text1"/>
            <w:sz w:val="16"/>
            <w:szCs w:val="16"/>
            <w:u w:val="none"/>
          </w:rPr>
          <w:t>Гольцмана</w:t>
        </w:r>
      </w:hyperlink>
      <w:r w:rsidRPr="005E779E">
        <w:rPr>
          <w:rFonts w:ascii="Times New Roman" w:hAnsi="Times New Roman"/>
          <w:color w:val="000000" w:themeColor="text1"/>
          <w:sz w:val="16"/>
          <w:szCs w:val="16"/>
        </w:rPr>
        <w:t xml:space="preserve">, </w:t>
      </w:r>
      <w:hyperlink r:id="rId154" w:history="1">
        <w:r w:rsidRPr="005E779E">
          <w:rPr>
            <w:rStyle w:val="a5"/>
            <w:rFonts w:ascii="Times New Roman" w:hAnsi="Times New Roman"/>
            <w:color w:val="000000" w:themeColor="text1"/>
            <w:sz w:val="16"/>
            <w:szCs w:val="16"/>
            <w:u w:val="none"/>
          </w:rPr>
          <w:t>Гая</w:t>
        </w:r>
      </w:hyperlink>
      <w:r w:rsidRPr="005E779E">
        <w:rPr>
          <w:rFonts w:ascii="Times New Roman" w:hAnsi="Times New Roman"/>
          <w:color w:val="000000" w:themeColor="text1"/>
          <w:sz w:val="16"/>
          <w:szCs w:val="16"/>
        </w:rPr>
        <w:t xml:space="preserve"> и </w:t>
      </w:r>
      <w:hyperlink r:id="rId155" w:history="1">
        <w:r w:rsidRPr="005E779E">
          <w:rPr>
            <w:rStyle w:val="a5"/>
            <w:rFonts w:ascii="Times New Roman" w:hAnsi="Times New Roman"/>
            <w:color w:val="000000" w:themeColor="text1"/>
            <w:sz w:val="16"/>
            <w:szCs w:val="16"/>
            <w:u w:val="none"/>
          </w:rPr>
          <w:t>Горянова</w:t>
        </w:r>
      </w:hyperlink>
      <w:r w:rsidRPr="005E779E">
        <w:rPr>
          <w:rFonts w:ascii="Times New Roman" w:hAnsi="Times New Roman"/>
          <w:color w:val="000000" w:themeColor="text1"/>
          <w:sz w:val="16"/>
          <w:szCs w:val="16"/>
        </w:rPr>
        <w:t xml:space="preserve"> пересмотреть все требования на валюту но оборудованию и на техпомощь, с изысканием всех возможностей базироваться на производство и технику внутри СССР. Созыв комиссии — за т. Павлуновским. При единогласном решении комиссии приступать к заключению договоров. Срок работы комиссии месячный.</w:t>
      </w:r>
    </w:p>
    <w:p w14:paraId="0256E6D0"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Неотложные договоры рассмотреть и внести в декадный срок. Разрешить немедленно же приступить к заключению договора с американскими фирмами на техпомощь по алюминиевому литью, ковке и штамповке в пределах суммы валюты в 1 млн. долларов.</w:t>
      </w:r>
    </w:p>
    <w:p w14:paraId="5AE15A14"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III. По выполнению плана строительства и программы 1931 г.</w:t>
      </w:r>
    </w:p>
    <w:p w14:paraId="1249AB08"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Утвердить программу производства авиапромышленности в 1931 г. по самолетам: Р</w:t>
      </w:r>
      <w:r w:rsidRPr="005E779E">
        <w:rPr>
          <w:rFonts w:ascii="Times New Roman" w:hAnsi="Times New Roman"/>
          <w:color w:val="000000" w:themeColor="text1"/>
          <w:sz w:val="16"/>
          <w:szCs w:val="16"/>
        </w:rPr>
        <w:noBreakHyphen/>
        <w:t>5 — 680, ТБ</w:t>
      </w:r>
      <w:r w:rsidRPr="005E779E">
        <w:rPr>
          <w:rFonts w:ascii="Times New Roman" w:hAnsi="Times New Roman"/>
          <w:color w:val="000000" w:themeColor="text1"/>
          <w:sz w:val="16"/>
          <w:szCs w:val="16"/>
        </w:rPr>
        <w:noBreakHyphen/>
        <w:t>1 — 146, Р</w:t>
      </w:r>
      <w:r w:rsidRPr="005E779E">
        <w:rPr>
          <w:rFonts w:ascii="Times New Roman" w:hAnsi="Times New Roman"/>
          <w:color w:val="000000" w:themeColor="text1"/>
          <w:sz w:val="16"/>
          <w:szCs w:val="16"/>
        </w:rPr>
        <w:noBreakHyphen/>
        <w:t>6 — 50, истребители — 376, ТБ</w:t>
      </w:r>
      <w:r w:rsidRPr="005E779E">
        <w:rPr>
          <w:rFonts w:ascii="Times New Roman" w:hAnsi="Times New Roman"/>
          <w:color w:val="000000" w:themeColor="text1"/>
          <w:sz w:val="16"/>
          <w:szCs w:val="16"/>
        </w:rPr>
        <w:noBreakHyphen/>
        <w:t>3 — 3, У</w:t>
      </w:r>
      <w:r w:rsidRPr="005E779E">
        <w:rPr>
          <w:rFonts w:ascii="Times New Roman" w:hAnsi="Times New Roman"/>
          <w:color w:val="000000" w:themeColor="text1"/>
          <w:sz w:val="16"/>
          <w:szCs w:val="16"/>
        </w:rPr>
        <w:noBreakHyphen/>
        <w:t>2 (учебные) — 809, С</w:t>
      </w:r>
      <w:r w:rsidRPr="005E779E">
        <w:rPr>
          <w:rFonts w:ascii="Times New Roman" w:hAnsi="Times New Roman"/>
          <w:color w:val="000000" w:themeColor="text1"/>
          <w:sz w:val="16"/>
          <w:szCs w:val="16"/>
        </w:rPr>
        <w:noBreakHyphen/>
        <w:t>62 бис («Савойя») — 30, ТШ</w:t>
      </w:r>
      <w:r w:rsidRPr="005E779E">
        <w:rPr>
          <w:rFonts w:ascii="Times New Roman" w:hAnsi="Times New Roman"/>
          <w:color w:val="000000" w:themeColor="text1"/>
          <w:sz w:val="16"/>
          <w:szCs w:val="16"/>
        </w:rPr>
        <w:noBreakHyphen/>
        <w:t>7 (штурмовые) — 10, АНТ</w:t>
      </w:r>
      <w:r w:rsidRPr="005E779E">
        <w:rPr>
          <w:rFonts w:ascii="Times New Roman" w:hAnsi="Times New Roman"/>
          <w:color w:val="000000" w:themeColor="text1"/>
          <w:sz w:val="16"/>
          <w:szCs w:val="16"/>
        </w:rPr>
        <w:noBreakHyphen/>
        <w:t>9 — 114, К</w:t>
      </w:r>
      <w:r w:rsidRPr="005E779E">
        <w:rPr>
          <w:rFonts w:ascii="Times New Roman" w:hAnsi="Times New Roman"/>
          <w:color w:val="000000" w:themeColor="text1"/>
          <w:sz w:val="16"/>
          <w:szCs w:val="16"/>
        </w:rPr>
        <w:noBreakHyphen/>
        <w:t>5 — 205, У</w:t>
      </w:r>
      <w:r w:rsidRPr="005E779E">
        <w:rPr>
          <w:rFonts w:ascii="Times New Roman" w:hAnsi="Times New Roman"/>
          <w:color w:val="000000" w:themeColor="text1"/>
          <w:sz w:val="16"/>
          <w:szCs w:val="16"/>
        </w:rPr>
        <w:noBreakHyphen/>
        <w:t>1 — 105, Р</w:t>
      </w:r>
      <w:r w:rsidRPr="005E779E">
        <w:rPr>
          <w:rFonts w:ascii="Times New Roman" w:hAnsi="Times New Roman"/>
          <w:color w:val="000000" w:themeColor="text1"/>
          <w:sz w:val="16"/>
          <w:szCs w:val="16"/>
        </w:rPr>
        <w:noBreakHyphen/>
        <w:t>1 — 302, АП</w:t>
      </w:r>
      <w:r w:rsidRPr="005E779E">
        <w:rPr>
          <w:rFonts w:ascii="Times New Roman" w:hAnsi="Times New Roman"/>
          <w:color w:val="000000" w:themeColor="text1"/>
          <w:sz w:val="16"/>
          <w:szCs w:val="16"/>
        </w:rPr>
        <w:noBreakHyphen/>
        <w:t>2 — 55, П</w:t>
      </w:r>
      <w:r w:rsidRPr="005E779E">
        <w:rPr>
          <w:rFonts w:ascii="Times New Roman" w:hAnsi="Times New Roman"/>
          <w:color w:val="000000" w:themeColor="text1"/>
          <w:sz w:val="16"/>
          <w:szCs w:val="16"/>
        </w:rPr>
        <w:noBreakHyphen/>
        <w:t>1 — 15, [итого] — 2900, в том числе ВВС — 2024; по моторам: М</w:t>
      </w:r>
      <w:r w:rsidRPr="005E779E">
        <w:rPr>
          <w:rFonts w:ascii="Times New Roman" w:hAnsi="Times New Roman"/>
          <w:color w:val="000000" w:themeColor="text1"/>
          <w:sz w:val="16"/>
          <w:szCs w:val="16"/>
        </w:rPr>
        <w:noBreakHyphen/>
        <w:t>17 — 900, М</w:t>
      </w:r>
      <w:r w:rsidRPr="005E779E">
        <w:rPr>
          <w:rFonts w:ascii="Times New Roman" w:hAnsi="Times New Roman"/>
          <w:color w:val="000000" w:themeColor="text1"/>
          <w:sz w:val="16"/>
          <w:szCs w:val="16"/>
        </w:rPr>
        <w:noBreakHyphen/>
        <w:t>22 — 281, М</w:t>
      </w:r>
      <w:r w:rsidRPr="005E779E">
        <w:rPr>
          <w:rFonts w:ascii="Times New Roman" w:hAnsi="Times New Roman"/>
          <w:color w:val="000000" w:themeColor="text1"/>
          <w:sz w:val="16"/>
          <w:szCs w:val="16"/>
        </w:rPr>
        <w:noBreakHyphen/>
        <w:t>11 — 971, М</w:t>
      </w:r>
      <w:r w:rsidRPr="005E779E">
        <w:rPr>
          <w:rFonts w:ascii="Times New Roman" w:hAnsi="Times New Roman"/>
          <w:color w:val="000000" w:themeColor="text1"/>
          <w:sz w:val="16"/>
          <w:szCs w:val="16"/>
        </w:rPr>
        <w:noBreakHyphen/>
        <w:t>15 — 430, М</w:t>
      </w:r>
      <w:r w:rsidRPr="005E779E">
        <w:rPr>
          <w:rFonts w:ascii="Times New Roman" w:hAnsi="Times New Roman"/>
          <w:color w:val="000000" w:themeColor="text1"/>
          <w:sz w:val="16"/>
          <w:szCs w:val="16"/>
        </w:rPr>
        <w:noBreakHyphen/>
        <w:t>27 — 150, М</w:t>
      </w:r>
      <w:r w:rsidRPr="005E779E">
        <w:rPr>
          <w:rFonts w:ascii="Times New Roman" w:hAnsi="Times New Roman"/>
          <w:color w:val="000000" w:themeColor="text1"/>
          <w:sz w:val="16"/>
          <w:szCs w:val="16"/>
        </w:rPr>
        <w:noBreakHyphen/>
        <w:t>26 — 410, М</w:t>
      </w:r>
      <w:r w:rsidRPr="005E779E">
        <w:rPr>
          <w:rFonts w:ascii="Times New Roman" w:hAnsi="Times New Roman"/>
          <w:color w:val="000000" w:themeColor="text1"/>
          <w:sz w:val="16"/>
          <w:szCs w:val="16"/>
        </w:rPr>
        <w:noBreakHyphen/>
        <w:t>19 — 10, М</w:t>
      </w:r>
      <w:r w:rsidRPr="005E779E">
        <w:rPr>
          <w:rFonts w:ascii="Times New Roman" w:hAnsi="Times New Roman"/>
          <w:color w:val="000000" w:themeColor="text1"/>
          <w:sz w:val="16"/>
          <w:szCs w:val="16"/>
        </w:rPr>
        <w:noBreakHyphen/>
        <w:t>34 — 8, ЮУН — 10, [итого] — 3170, в том числе ВВС — 2090.</w:t>
      </w:r>
    </w:p>
    <w:p w14:paraId="2F32FC64"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Обязать ВАО выполнить весь заказ по запчастям и моторам М</w:t>
      </w:r>
      <w:r w:rsidRPr="005E779E">
        <w:rPr>
          <w:rFonts w:ascii="Times New Roman" w:hAnsi="Times New Roman"/>
          <w:color w:val="000000" w:themeColor="text1"/>
          <w:sz w:val="16"/>
          <w:szCs w:val="16"/>
        </w:rPr>
        <w:noBreakHyphen/>
        <w:t>5 и М</w:t>
      </w:r>
      <w:r w:rsidRPr="005E779E">
        <w:rPr>
          <w:rFonts w:ascii="Times New Roman" w:hAnsi="Times New Roman"/>
          <w:color w:val="000000" w:themeColor="text1"/>
          <w:sz w:val="16"/>
          <w:szCs w:val="16"/>
        </w:rPr>
        <w:noBreakHyphen/>
        <w:t>2 до 15 октября 1931 г.</w:t>
      </w:r>
    </w:p>
    <w:p w14:paraId="520961CB"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В целях своевременного обеспечения заводов ВАО оборудованием для выполнения большой программы 1932 г.: а) комиссии т. Павлуновского рассмотреть и доложить СТО в декадный срок вопрос об увеличении импортного контингента ВСНХ в 1931 г. на 6,5 млн. руб. на закупку оборудования для заводов Авиапрома; б) обязать НКВТ в наикратчайший срок разместить полностью все заказы на оборудование для авиапромышленности по всем ассигнованиям 1931 г.; в) обязать ВСНХ полностью разместить все потребное для авиапромышленности оборудование в 1931 г. на заводах Союза.</w:t>
      </w:r>
    </w:p>
    <w:p w14:paraId="4CF97DF0"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Для обеспечения программы 1931 г. принять следующие мероприятия: а) обязать ВАО командировать за границу для освоения опыта иностранных фирм необходимое количество работников, и в первую очередь: по заводу № 24 — 8 инженеров, 8 мастеров, 8 рабочих; по заводу № 26 — 6 инженеров, 4 мастера в Германию на завод «БМВ» в порядке действующего договора на техпомощь и лицензию; по заводу № 29 — во Францию на завод «Гном и Рон» 10 инженеров и 10 мастеров в порядке действующего договора на техпомощь и лицензию; б) обязать ВАО завербовать за границей 45 инженеров и 200 мастеров и рабочих; в) обязать ВСНХ СССР обеспечить подачу заводу № 26 в июле месяце с. г. 200 т шамота и в дальнейшем, начиная с августа с. г., по 50 т в месяц.</w:t>
      </w:r>
    </w:p>
    <w:p w14:paraId="1A614E2F"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В основу реконструкции старых заводов и нового строительства положить строгую техническую специализацию, внедрение новейших совершенных методов обработки, а также привлечение и использование иностранной технической помощи.</w:t>
      </w:r>
    </w:p>
    <w:p w14:paraId="22012D6E"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В плане развития авиапромышленности предусмотреть массовое производство маломощных самолетов и моторов.</w:t>
      </w:r>
    </w:p>
    <w:p w14:paraId="22388BF6"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Предложить Президиуму ВСНХ СССР осуществлять постоянное и систематическое руководство и контроль за развертыванием капитального строительства авиационной промышленности и обеспечить последнее всем необходимым для выполнения плана в точно указанные сроки.</w:t>
      </w:r>
    </w:p>
    <w:p w14:paraId="6E5E1C47"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Создать при Управлении по капитальному строительству ВАО мощный проектный отдел.</w:t>
      </w:r>
    </w:p>
    <w:p w14:paraId="2B6FCDAD"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Обязать Президиум ВСНХ выделить на местах специальные строительные конторы для строительства ВАО.</w:t>
      </w:r>
    </w:p>
    <w:p w14:paraId="7B321F50"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Отнести капитальное строительство авиапромышленности к группе ударных строительств, находящихся под специальным наблюдением ВСНХ.</w:t>
      </w:r>
    </w:p>
    <w:p w14:paraId="4CE84C7A"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Обязать Союзстрой т. Иванова обеспечить выполнение в срок проектов и чертежей для строительных работ ВАО.</w:t>
      </w:r>
    </w:p>
    <w:p w14:paraId="06CACD73"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Выделить для ВАО 120 грузовых и 30 легковых машин не позднее 1 ноября 1931 г.</w:t>
      </w:r>
    </w:p>
    <w:p w14:paraId="2D38622F"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Ввиду привлечения большого числа специалистов, в том числе иностранных, обязать Моссовет не позднее 1 января 1932 г. предоставить ВАО 75 квартир и ВОГВФ 25 квартир.</w:t>
      </w:r>
    </w:p>
    <w:p w14:paraId="671B81C2"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заводу № 39. Обязать ВСНХ и НКВМ в течение 1931 г. выпустить 20 самолетов (перехватчиков) и 6 тяжелых бомбовозов ТБ</w:t>
      </w:r>
      <w:r w:rsidRPr="005E779E">
        <w:rPr>
          <w:rFonts w:ascii="Times New Roman" w:hAnsi="Times New Roman"/>
          <w:color w:val="000000" w:themeColor="text1"/>
          <w:sz w:val="16"/>
          <w:szCs w:val="16"/>
        </w:rPr>
        <w:noBreakHyphen/>
        <w:t>5.</w:t>
      </w:r>
    </w:p>
    <w:p w14:paraId="254DE3C4"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V. По кадрам</w:t>
      </w:r>
    </w:p>
    <w:p w14:paraId="3827AC72"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Бурный рост авиационной промышленности за период 1931</w:t>
      </w:r>
      <w:r w:rsidRPr="005E779E">
        <w:rPr>
          <w:rFonts w:ascii="Times New Roman" w:hAnsi="Times New Roman"/>
          <w:color w:val="000000" w:themeColor="text1"/>
          <w:sz w:val="16"/>
          <w:szCs w:val="16"/>
        </w:rPr>
        <w:noBreakHyphen/>
        <w:t>1934 гг. потребует особого внимания к вопросам подготовки кадров. Наличные количества квалифицированной рабочей силы, инженерно-технического персонала и имеющаяся сеть учебных заведений Авиаобъединения не обеспечивает выполнения плана развития авиапромышленности.</w:t>
      </w:r>
    </w:p>
    <w:p w14:paraId="650F6DE0"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Предложить ВСНХ СССР укрепить аппарат ВАО и руководящий состав заводов авиапромышленности.</w:t>
      </w:r>
    </w:p>
    <w:p w14:paraId="1BF709C3"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Отделу кадров ВСНХ и начальнику ВАО обратить особое внимание на подбор директоров предприятий авиапромышленности.</w:t>
      </w:r>
    </w:p>
    <w:p w14:paraId="6F3E3A14"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Обязать ВАО в контрольных цифрах на 1932 г. предусмотреть средства на улучшение культурно-бытовых и жилищных условий.</w:t>
      </w:r>
    </w:p>
    <w:p w14:paraId="414712F7"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Обязать НКСнаб, совместно с ВАО, в двухдекадный срок наметить конкретно мероприятия по коренному улучшению снабжения рабочих авиапромышленности и представить на утверждение СНК.</w:t>
      </w:r>
    </w:p>
    <w:p w14:paraId="5EAF77C1"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Для обеспечения производственной программы 1931 г. квалифицированной рабочей силой предложить ВАО: а) из числа обучающихся 17 тыс. чел. рабочих обеспечить выпуск в текущем году не менее 6 тыс. чел. Кроме того, немедленно развернуть подготовку рабочих средней квалификации в выпустить их в текущем году не менее 4 тыс. чел., в том числе 1 тыс. чел. без отрыва от производств; б) перебросить с московских авиазаводов необходимое количество квалифицированных рабочих (медников, токарей и фрезеровщиков) на завод № 39 для обеспечения в установленный срок выполнения специального задания.</w:t>
      </w:r>
    </w:p>
    <w:p w14:paraId="0C9201C8"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7. В месячный срок перебросить из других отраслей промышленности квалифицированных рабочих (4</w:t>
      </w:r>
      <w:r w:rsidRPr="005E779E">
        <w:rPr>
          <w:rFonts w:ascii="Times New Roman" w:hAnsi="Times New Roman"/>
          <w:color w:val="000000" w:themeColor="text1"/>
          <w:sz w:val="16"/>
          <w:szCs w:val="16"/>
        </w:rPr>
        <w:noBreakHyphen/>
        <w:t>7 разряд): а) для завода № 26 — обязать т. </w:t>
      </w:r>
      <w:hyperlink r:id="rId156" w:history="1">
        <w:r w:rsidRPr="005E779E">
          <w:rPr>
            <w:rStyle w:val="a5"/>
            <w:rFonts w:ascii="Times New Roman" w:hAnsi="Times New Roman"/>
            <w:color w:val="000000" w:themeColor="text1"/>
            <w:sz w:val="16"/>
            <w:szCs w:val="16"/>
          </w:rPr>
          <w:t>Колотилова</w:t>
        </w:r>
      </w:hyperlink>
      <w:r w:rsidRPr="005E779E">
        <w:rPr>
          <w:rFonts w:ascii="Times New Roman" w:hAnsi="Times New Roman"/>
          <w:color w:val="000000" w:themeColor="text1"/>
          <w:sz w:val="16"/>
          <w:szCs w:val="16"/>
        </w:rPr>
        <w:t xml:space="preserve"> перебросить не менее 800 чел. ВСНХ СССР передать в ведение завода № 26 в Рыбинске завод быв. «Металлист» им. Ягоды со всем оборудованием и личным составом; б) для завода № 29 — обязать т. </w:t>
      </w:r>
      <w:hyperlink r:id="rId157" w:history="1">
        <w:r w:rsidRPr="005E779E">
          <w:rPr>
            <w:rStyle w:val="a5"/>
            <w:rFonts w:ascii="Times New Roman" w:hAnsi="Times New Roman"/>
            <w:color w:val="000000" w:themeColor="text1"/>
            <w:sz w:val="16"/>
            <w:szCs w:val="16"/>
            <w:u w:val="none"/>
          </w:rPr>
          <w:t>Косиора С</w:t>
        </w:r>
      </w:hyperlink>
      <w:r w:rsidRPr="005E779E">
        <w:rPr>
          <w:rFonts w:ascii="Times New Roman" w:hAnsi="Times New Roman"/>
          <w:color w:val="000000" w:themeColor="text1"/>
          <w:sz w:val="16"/>
          <w:szCs w:val="16"/>
        </w:rPr>
        <w:t>. перебросить не менее 250 чел., а также передать Запорожский механический завод (быв. Кацена), находящийся на консервации, в ведение завода № 29 для подготовки кадров; в) для завода № 24 — обязать т. Рындина перебросить 200 чел.</w:t>
      </w:r>
    </w:p>
    <w:p w14:paraId="585B00E4"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Обязать ВСНХ СССР выделить в первую очередь 630 станков для ВАО из фондов станков, предназначенных для школ ФЗУ.</w:t>
      </w:r>
    </w:p>
    <w:p w14:paraId="363DFD40"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Обязать ВАО и текущем году развернуть дополнительную подготовку рабочей силы для вновь строящихся заводов в количестве 16 тыс. чел., в том числе на базах ЦИТа при вновь строящихся заводах 9,5 тыс. чел.</w:t>
      </w:r>
    </w:p>
    <w:p w14:paraId="0329529A"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Обязать т. </w:t>
      </w:r>
      <w:hyperlink r:id="rId158" w:history="1">
        <w:r w:rsidRPr="005E779E">
          <w:rPr>
            <w:rStyle w:val="a5"/>
            <w:rFonts w:ascii="Times New Roman" w:hAnsi="Times New Roman"/>
            <w:color w:val="000000" w:themeColor="text1"/>
            <w:sz w:val="16"/>
            <w:szCs w:val="16"/>
            <w:u w:val="none"/>
          </w:rPr>
          <w:t>Кагановича Л</w:t>
        </w:r>
      </w:hyperlink>
      <w:r w:rsidRPr="005E779E">
        <w:rPr>
          <w:rFonts w:ascii="Times New Roman" w:hAnsi="Times New Roman"/>
          <w:color w:val="000000" w:themeColor="text1"/>
          <w:sz w:val="16"/>
          <w:szCs w:val="16"/>
        </w:rPr>
        <w:t xml:space="preserve">., </w:t>
      </w:r>
      <w:hyperlink r:id="rId159" w:history="1">
        <w:r w:rsidRPr="005E779E">
          <w:rPr>
            <w:rStyle w:val="a5"/>
            <w:rFonts w:ascii="Times New Roman" w:hAnsi="Times New Roman"/>
            <w:color w:val="000000" w:themeColor="text1"/>
            <w:sz w:val="16"/>
            <w:szCs w:val="16"/>
            <w:u w:val="none"/>
          </w:rPr>
          <w:t>Кабакова</w:t>
        </w:r>
      </w:hyperlink>
      <w:r w:rsidRPr="005E779E">
        <w:rPr>
          <w:rFonts w:ascii="Times New Roman" w:hAnsi="Times New Roman"/>
          <w:color w:val="000000" w:themeColor="text1"/>
          <w:sz w:val="16"/>
          <w:szCs w:val="16"/>
        </w:rPr>
        <w:t xml:space="preserve">, </w:t>
      </w:r>
      <w:hyperlink r:id="rId160" w:history="1">
        <w:r w:rsidRPr="005E779E">
          <w:rPr>
            <w:rStyle w:val="a5"/>
            <w:rFonts w:ascii="Times New Roman" w:hAnsi="Times New Roman"/>
            <w:color w:val="000000" w:themeColor="text1"/>
            <w:sz w:val="16"/>
            <w:szCs w:val="16"/>
            <w:u w:val="none"/>
          </w:rPr>
          <w:t>Варейкиса</w:t>
        </w:r>
      </w:hyperlink>
      <w:r w:rsidRPr="005E779E">
        <w:rPr>
          <w:rFonts w:ascii="Times New Roman" w:hAnsi="Times New Roman"/>
          <w:color w:val="000000" w:themeColor="text1"/>
          <w:sz w:val="16"/>
          <w:szCs w:val="16"/>
        </w:rPr>
        <w:t xml:space="preserve"> и </w:t>
      </w:r>
      <w:hyperlink r:id="rId161" w:history="1">
        <w:r w:rsidRPr="005E779E">
          <w:rPr>
            <w:rStyle w:val="a5"/>
            <w:rFonts w:ascii="Times New Roman" w:hAnsi="Times New Roman"/>
            <w:color w:val="000000" w:themeColor="text1"/>
            <w:sz w:val="16"/>
            <w:szCs w:val="16"/>
            <w:u w:val="none"/>
          </w:rPr>
          <w:t>Жданова</w:t>
        </w:r>
      </w:hyperlink>
      <w:r w:rsidRPr="005E779E">
        <w:rPr>
          <w:rFonts w:ascii="Times New Roman" w:hAnsi="Times New Roman"/>
          <w:color w:val="000000" w:themeColor="text1"/>
          <w:sz w:val="16"/>
          <w:szCs w:val="16"/>
        </w:rPr>
        <w:t xml:space="preserve"> в течение IV квартала 1931 г. и I квартала 1932 г. подготовить на предприятиях других отраслей промышленности для вновь строящихся авиазаводов 13 тыс. чел. рабочих соответствующих специальностей, из них: по Нижегородскому краю для завода № 21 — 2 тыс. чел., по Уральской области для завода № 19 — 4 тыс. чел., по Центрально-Черноземной области для заводов № 16 и 18 — 4 тыс. чел. и по Московской области для завода № 20 — 2 тыс. чел.</w:t>
      </w:r>
    </w:p>
    <w:p w14:paraId="635282F5"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Строительство начатых в текущем году 6 школ ФЗУ закончить к 1 ноября 1931 г. и дополнительно приступить к постройке 3 школ ФЗУ в текущем году для заводов № 22, 31 и 20.</w:t>
      </w:r>
    </w:p>
    <w:p w14:paraId="6F76E6DE"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Президиуму ВСНХ СССР, кроме инженеров, выпускаемых учебными заведениями ВАО удовлетворить заявку Авиаобъединения на инженерно-технический персонал не менее 600 чел. (инженеров — 250, техников — 350) для вновь строящихся и реконструируемых заводов, в том числе по специальности холодной и термической обработки передать не менее 100 инженеров и по тем же специальностям не менее 100 техников.</w:t>
      </w:r>
    </w:p>
    <w:p w14:paraId="3F83B8C7"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Предложить НКПросу РСФСР передать специалистов, выпускаемых Московским и Казанским государственными университетами в 1931 г. по аэродинамической специальности — авиапромышленности и в месячный срок передать в ведение Авиаобъединения отделения аэродинамической специальности Московского и Казанского университетов.</w:t>
      </w:r>
    </w:p>
    <w:p w14:paraId="3B5473F3"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В целях обеспечения техниками в 1932 г. предложить ВСНХ СССР из дополнительного контингента в 50 тыс. техников, подготовляемых в ускоренном порядке на основании директивных решений, выделить для авиапромышленности не менее 5 тыс. чел.</w:t>
      </w:r>
    </w:p>
    <w:p w14:paraId="31F0F9F5"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Реорганизовать систему подготовки научно-педагогических кадров, сосредоточив ее в ЦАГИ и в Институте авиамоторостроения, доведя контингент аспирантуры к 1 марта 1932 г. до 140 чел.</w:t>
      </w:r>
    </w:p>
    <w:p w14:paraId="04B20D31"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 Считать необходимым организовать с осени 1931 г. во Всесоюзной промакадемии отделение ВАО по подготовке руководящего состава для авиапромышленности с контингентом учащихся в 20 чел. на каждом курсе.</w:t>
      </w:r>
    </w:p>
    <w:p w14:paraId="3DB0B478"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 ВСНХ перебросить на укомплектование ИАМа в течение III и IV кварт[алов] по 100 чел. высококвалифицированных рабочих по специальностям согласно заявке ИАМа.</w:t>
      </w:r>
    </w:p>
    <w:p w14:paraId="3F0824C1"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ВСНХ СССР: а) направить не позднее 1 августа с. г. на работу в ИАМ всех инженеров-конструкторов и производственников по авиамоторам, работающих в данное время в других отраслях промышленности не по своей специальности; б) передать в ИАМ не позднее 1 августа на укомплектование отдела физикохимии авиатоплива 6 инженеров-топливников; в) укомплектовать к 1 августа с. г. опытный завод и лаборатории ИАМа инженерами и лаборантами тех специальностей и квалификаций, которых не имеет в своем распоряжении отдал кадров ВАО.</w:t>
      </w:r>
    </w:p>
    <w:p w14:paraId="3676CCB1"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 Обязать НКВМ не позднее 15 июля с. г. передать в распоряжение ИАМа инженеров-механиков т. Киселева и Ро.</w:t>
      </w:r>
    </w:p>
    <w:p w14:paraId="06976E35"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VI.</w:t>
      </w:r>
    </w:p>
    <w:p w14:paraId="7A6B9ACD"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Ввиду заявления т. Баранова о крайне тяжелом финансовом положении авиапромышленности предложить ВСНХ войти в СТО со специальным докладом о финансовом положении авиапромышленности.</w:t>
      </w:r>
    </w:p>
    <w:p w14:paraId="0D1EA97B"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VII.</w:t>
      </w:r>
    </w:p>
    <w:p w14:paraId="6C5882A9"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Обследования предприятий ВАО производить исключительно с разрешения НК РКИ.</w:t>
      </w:r>
    </w:p>
    <w:p w14:paraId="1A998954"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VIII.</w:t>
      </w:r>
    </w:p>
    <w:p w14:paraId="0F361FC7" w14:textId="77777777" w:rsidR="00875C4A" w:rsidRPr="005E779E" w:rsidRDefault="00875C4A" w:rsidP="000B7A6C">
      <w:pPr>
        <w:pStyle w:val="rtejustify"/>
        <w:spacing w:before="0" w:after="0"/>
        <w:rPr>
          <w:color w:val="000000" w:themeColor="text1"/>
          <w:sz w:val="16"/>
          <w:szCs w:val="16"/>
        </w:rPr>
      </w:pPr>
      <w:r w:rsidRPr="005E779E">
        <w:rPr>
          <w:color w:val="000000" w:themeColor="text1"/>
          <w:sz w:val="16"/>
          <w:szCs w:val="16"/>
        </w:rPr>
        <w:t>Народному комиссариату Рабоче-крестьянской инспекции СССР произвести к 1 января 1932 г. проверку выполнения настоящего постановления и о результатах проверки донести в СТО³*.</w:t>
      </w:r>
    </w:p>
    <w:p w14:paraId="2A6DDAFA" w14:textId="77777777" w:rsidR="00875C4A" w:rsidRPr="005E779E" w:rsidRDefault="00875C4A" w:rsidP="000B7A6C">
      <w:pPr>
        <w:pStyle w:val="ae"/>
        <w:spacing w:before="0" w:after="0"/>
        <w:jc w:val="both"/>
        <w:rPr>
          <w:color w:val="000000" w:themeColor="text1"/>
          <w:sz w:val="16"/>
          <w:szCs w:val="16"/>
        </w:rPr>
      </w:pPr>
      <w:r w:rsidRPr="005E779E">
        <w:rPr>
          <w:rStyle w:val="af0"/>
          <w:i w:val="0"/>
          <w:color w:val="000000" w:themeColor="text1"/>
          <w:sz w:val="16"/>
          <w:szCs w:val="16"/>
        </w:rPr>
        <w:t xml:space="preserve">Председатель Совета труда и обороны </w:t>
      </w:r>
      <w:hyperlink r:id="rId162" w:history="1">
        <w:r w:rsidRPr="005E779E">
          <w:rPr>
            <w:rStyle w:val="af0"/>
            <w:i w:val="0"/>
            <w:color w:val="000000" w:themeColor="text1"/>
            <w:sz w:val="16"/>
            <w:szCs w:val="16"/>
          </w:rPr>
          <w:t>В. Молотов</w:t>
        </w:r>
      </w:hyperlink>
    </w:p>
    <w:p w14:paraId="53767FD0" w14:textId="77777777" w:rsidR="00875C4A" w:rsidRPr="005E779E" w:rsidRDefault="00875C4A" w:rsidP="000B7A6C">
      <w:pPr>
        <w:pStyle w:val="ae"/>
        <w:spacing w:before="0" w:after="0"/>
        <w:jc w:val="both"/>
        <w:rPr>
          <w:color w:val="000000" w:themeColor="text1"/>
          <w:sz w:val="16"/>
          <w:szCs w:val="16"/>
        </w:rPr>
      </w:pPr>
      <w:r w:rsidRPr="005E779E">
        <w:rPr>
          <w:rStyle w:val="af0"/>
          <w:i w:val="0"/>
          <w:color w:val="000000" w:themeColor="text1"/>
          <w:sz w:val="16"/>
          <w:szCs w:val="16"/>
        </w:rPr>
        <w:t xml:space="preserve">Секретарь Совета труда и обороны </w:t>
      </w:r>
      <w:hyperlink r:id="rId163" w:history="1">
        <w:r w:rsidRPr="005E779E">
          <w:rPr>
            <w:rStyle w:val="af0"/>
            <w:i w:val="0"/>
            <w:color w:val="000000" w:themeColor="text1"/>
            <w:sz w:val="16"/>
            <w:szCs w:val="16"/>
          </w:rPr>
          <w:t>И. Мирошников</w:t>
        </w:r>
      </w:hyperlink>
    </w:p>
    <w:p w14:paraId="041223FC" w14:textId="77777777" w:rsidR="00875C4A" w:rsidRPr="005E779E" w:rsidRDefault="00875C4A" w:rsidP="000B7A6C">
      <w:pPr>
        <w:pStyle w:val="ae"/>
        <w:spacing w:before="0" w:after="0"/>
        <w:jc w:val="both"/>
        <w:rPr>
          <w:color w:val="000000" w:themeColor="text1"/>
          <w:sz w:val="16"/>
          <w:szCs w:val="16"/>
        </w:rPr>
      </w:pPr>
      <w:r w:rsidRPr="005E779E">
        <w:rPr>
          <w:rStyle w:val="af0"/>
          <w:i w:val="0"/>
          <w:color w:val="000000" w:themeColor="text1"/>
          <w:sz w:val="16"/>
          <w:szCs w:val="16"/>
        </w:rPr>
        <w:t>Примечания:</w:t>
      </w:r>
    </w:p>
    <w:p w14:paraId="46FB30B8" w14:textId="77777777" w:rsidR="00875C4A" w:rsidRPr="005E779E" w:rsidRDefault="00875C4A" w:rsidP="000B7A6C">
      <w:pPr>
        <w:pStyle w:val="rtejustify"/>
        <w:spacing w:before="0" w:after="0"/>
        <w:rPr>
          <w:color w:val="000000" w:themeColor="text1"/>
          <w:sz w:val="16"/>
          <w:szCs w:val="16"/>
        </w:rPr>
      </w:pPr>
      <w:r w:rsidRPr="005E779E">
        <w:rPr>
          <w:color w:val="000000" w:themeColor="text1"/>
          <w:sz w:val="16"/>
          <w:szCs w:val="16"/>
          <w:vertAlign w:val="superscript"/>
        </w:rPr>
        <w:t>1</w:t>
      </w:r>
      <w:r w:rsidRPr="005E779E">
        <w:rPr>
          <w:color w:val="000000" w:themeColor="text1"/>
          <w:sz w:val="16"/>
          <w:szCs w:val="16"/>
        </w:rPr>
        <w:t>* </w:t>
      </w:r>
      <w:r w:rsidRPr="005E779E">
        <w:rPr>
          <w:rStyle w:val="af0"/>
          <w:i w:val="0"/>
          <w:color w:val="000000" w:themeColor="text1"/>
          <w:sz w:val="16"/>
          <w:szCs w:val="16"/>
        </w:rPr>
        <w:t>Институт авиационных моторов (ИАМ)</w:t>
      </w:r>
      <w:r w:rsidRPr="005E779E">
        <w:rPr>
          <w:color w:val="000000" w:themeColor="text1"/>
          <w:sz w:val="16"/>
          <w:szCs w:val="16"/>
        </w:rPr>
        <w:t xml:space="preserve"> создан решением Реввоенсовета 3 декабря 1930 г. Приказом Наркомата тяжелой промышленности СССР 29 июля 1932 г. переименован в Центральный институт авиационного моторостроения (ЦИАМ). Занимался конструированием и разработкой образцов авиационных моторов и их агрегатов.</w:t>
      </w:r>
    </w:p>
    <w:p w14:paraId="2D88E932" w14:textId="77777777" w:rsidR="00875C4A" w:rsidRPr="005E779E" w:rsidRDefault="00875C4A" w:rsidP="000B7A6C">
      <w:pPr>
        <w:pStyle w:val="rtejustify"/>
        <w:spacing w:before="0" w:after="0"/>
        <w:rPr>
          <w:color w:val="000000" w:themeColor="text1"/>
          <w:sz w:val="16"/>
          <w:szCs w:val="16"/>
        </w:rPr>
      </w:pPr>
      <w:r w:rsidRPr="005E779E">
        <w:rPr>
          <w:color w:val="000000" w:themeColor="text1"/>
          <w:sz w:val="16"/>
          <w:szCs w:val="16"/>
          <w:vertAlign w:val="superscript"/>
        </w:rPr>
        <w:t>2</w:t>
      </w:r>
      <w:r w:rsidRPr="005E779E">
        <w:rPr>
          <w:color w:val="000000" w:themeColor="text1"/>
          <w:sz w:val="16"/>
          <w:szCs w:val="16"/>
        </w:rPr>
        <w:t>* Договор с фирмой «Адлисон» заключить в том случае, если не будет заключен договор с фирмой «Бон Алюминиум Компани» на оказание технической помощи и постановку производства алюминиевого литья и подшипников (</w:t>
      </w:r>
      <w:r w:rsidRPr="005E779E">
        <w:rPr>
          <w:rStyle w:val="af0"/>
          <w:i w:val="0"/>
          <w:color w:val="000000" w:themeColor="text1"/>
          <w:sz w:val="16"/>
          <w:szCs w:val="16"/>
        </w:rPr>
        <w:t>Прим. док</w:t>
      </w:r>
      <w:r w:rsidRPr="005E779E">
        <w:rPr>
          <w:color w:val="000000" w:themeColor="text1"/>
          <w:sz w:val="16"/>
          <w:szCs w:val="16"/>
        </w:rPr>
        <w:t>.).</w:t>
      </w:r>
    </w:p>
    <w:p w14:paraId="786701A5" w14:textId="77777777" w:rsidR="00875C4A" w:rsidRPr="005E779E" w:rsidRDefault="00875C4A" w:rsidP="000B7A6C">
      <w:pPr>
        <w:pStyle w:val="rtejustify"/>
        <w:spacing w:before="0" w:after="0"/>
        <w:rPr>
          <w:color w:val="000000" w:themeColor="text1"/>
          <w:sz w:val="16"/>
          <w:szCs w:val="16"/>
        </w:rPr>
      </w:pPr>
      <w:r w:rsidRPr="005E779E">
        <w:rPr>
          <w:color w:val="000000" w:themeColor="text1"/>
          <w:sz w:val="16"/>
          <w:szCs w:val="16"/>
          <w:vertAlign w:val="superscript"/>
        </w:rPr>
        <w:t>3</w:t>
      </w:r>
      <w:r w:rsidRPr="005E779E">
        <w:rPr>
          <w:color w:val="000000" w:themeColor="text1"/>
          <w:sz w:val="16"/>
          <w:szCs w:val="16"/>
        </w:rPr>
        <w:t xml:space="preserve">* В справке НК РКИ о </w:t>
      </w:r>
      <w:r w:rsidRPr="005E779E">
        <w:rPr>
          <w:rStyle w:val="af0"/>
          <w:i w:val="0"/>
          <w:color w:val="000000" w:themeColor="text1"/>
          <w:sz w:val="16"/>
          <w:szCs w:val="16"/>
        </w:rPr>
        <w:t>выполнении постановления СТО СССР от 25 июля 1931 г.,</w:t>
      </w:r>
      <w:r w:rsidRPr="005E779E">
        <w:rPr>
          <w:color w:val="000000" w:themeColor="text1"/>
          <w:sz w:val="16"/>
          <w:szCs w:val="16"/>
        </w:rPr>
        <w:t xml:space="preserve"> указывалось, что по состоянию на 1 декабря 1931 г. сделано: I. По опытному строительству: п. 1, 11, 12 и 17 не выполнены; п. 14 и 18 выполнены частично; п. 13, 15 и 16 выполняются с запозданием. Пункт 2: отмечены достижения по Институту авиационных моторов — успешно завершены работы по мотору М</w:t>
      </w:r>
      <w:r w:rsidRPr="005E779E">
        <w:rPr>
          <w:color w:val="000000" w:themeColor="text1"/>
          <w:sz w:val="16"/>
          <w:szCs w:val="16"/>
        </w:rPr>
        <w:noBreakHyphen/>
        <w:t>34, отмечены удовлетворительные результаты в области исследования и применения новых авиационных сплавов. Пункт о привлечении иностранной помощи выполняется неудовлетворительно. Пункт 3: моторостроение — «при ИАМе создан специальный отдел серийного производства, разработано положение о его работе и порядок введения опытных образцов в серию», начато изучение методики «Гипроспецмета по проектированию технологических процессов и оборудованию заводов серийного производства». Самолетостроение, специальный отдел ЦАГИ по внедрению опытных образцов в серийное производство не ведет работы должными темпами из-за отсутствия достаточно квалифицированных инженеров. Пункт 4: ИАМ распределил свои опытные моторы по заводам серийного производства, учтя их производственные возможности и опыт. Однако по самолетам полная увязка отсутствует: АНТ</w:t>
      </w:r>
      <w:r w:rsidRPr="005E779E">
        <w:rPr>
          <w:color w:val="000000" w:themeColor="text1"/>
          <w:sz w:val="16"/>
          <w:szCs w:val="16"/>
        </w:rPr>
        <w:noBreakHyphen/>
        <w:t>14 выпуска 1930 г. до этого момента полностью не испытан и не включен в серийное производство 1932 г. Пункт 5: в ИАМе активизирован процесс по созданию технологического отдела; в ЦАГИ проведены большие работы по хромомолибденовым трубам. Пункт 6: запроектированы самолеты ТШ и ТБ-4 стальной конструкции; на 1932 г. в серийное производство включены тяжелые самолеты ТБ</w:t>
      </w:r>
      <w:r w:rsidRPr="005E779E">
        <w:rPr>
          <w:color w:val="000000" w:themeColor="text1"/>
          <w:sz w:val="16"/>
          <w:szCs w:val="16"/>
        </w:rPr>
        <w:noBreakHyphen/>
        <w:t>3, ТБ</w:t>
      </w:r>
      <w:r w:rsidRPr="005E779E">
        <w:rPr>
          <w:color w:val="000000" w:themeColor="text1"/>
          <w:sz w:val="16"/>
          <w:szCs w:val="16"/>
        </w:rPr>
        <w:noBreakHyphen/>
        <w:t>1, АНТ</w:t>
      </w:r>
      <w:r w:rsidRPr="005E779E">
        <w:rPr>
          <w:color w:val="000000" w:themeColor="text1"/>
          <w:sz w:val="16"/>
          <w:szCs w:val="16"/>
        </w:rPr>
        <w:noBreakHyphen/>
        <w:t>9. Пункт 7: ИАМ создал нефтяной отдел, где проводятся эксперименты с одноцилиндровыми установками, начаты работы по проектированию дизель-моторов. Однако в части привлечения иностранной технической помощи для постройки 5 дизелей и по вопросам остановки мотора в воздухе постановление не выполнено. Пункт 8: успешно проведены испытания и начато серийное производство мотора 65 НР. В ЦАГИ запроектированы и будут построены в 1932 г. 2 маломощных самолета, однако массовый выпуск маломощных самолетов на повестку дня не поставлен. Пункт 9 выполнен полностью. Пункт 10: капитальное строительство опытных организаций идет неудовлетворительно; Президиум ВСНХ специальных указаний не дал и не контролировал выполнение этого решения трестами и объединениями. II. По иностранной технической помощи: ВАО был разработан план реализации постановления по привлечению иностранной технической помощи и представлена смета. Однако иностранный отдел ВСНХ не оформил командировок и не перевел необходимые средства. Все пункты этого раздела не выполнены. III. По выполнению плана строительства и программы 1931 г.: выполнены только пункты 4“в”, 5, 8, 11 и 12. V. По кадрам: не выполнены пункты 6“б”, 7“в”, 8, 11</w:t>
      </w:r>
      <w:r w:rsidRPr="005E779E">
        <w:rPr>
          <w:color w:val="000000" w:themeColor="text1"/>
          <w:sz w:val="16"/>
          <w:szCs w:val="16"/>
        </w:rPr>
        <w:noBreakHyphen/>
        <w:t>14, 17, 18. Разделы VI</w:t>
      </w:r>
      <w:r w:rsidRPr="005E779E">
        <w:rPr>
          <w:color w:val="000000" w:themeColor="text1"/>
          <w:sz w:val="16"/>
          <w:szCs w:val="16"/>
        </w:rPr>
        <w:noBreakHyphen/>
        <w:t>VIII выполнены полностью. (ГА РФ. Ф. Р</w:t>
      </w:r>
      <w:r w:rsidRPr="005E779E">
        <w:rPr>
          <w:color w:val="000000" w:themeColor="text1"/>
          <w:sz w:val="16"/>
          <w:szCs w:val="16"/>
        </w:rPr>
        <w:noBreakHyphen/>
        <w:t>8418. Оп. 5. Д. 163. Л. 123</w:t>
      </w:r>
      <w:r w:rsidRPr="005E779E">
        <w:rPr>
          <w:color w:val="000000" w:themeColor="text1"/>
          <w:sz w:val="16"/>
          <w:szCs w:val="16"/>
        </w:rPr>
        <w:noBreakHyphen/>
        <w:t>136).</w:t>
      </w:r>
    </w:p>
    <w:p w14:paraId="22B71905" w14:textId="77777777" w:rsidR="00875C4A" w:rsidRPr="005E779E" w:rsidRDefault="00875C4A" w:rsidP="000B7A6C">
      <w:pPr>
        <w:pStyle w:val="ae"/>
        <w:spacing w:before="0" w:after="0"/>
        <w:jc w:val="both"/>
        <w:rPr>
          <w:color w:val="000000" w:themeColor="text1"/>
          <w:sz w:val="16"/>
          <w:szCs w:val="16"/>
        </w:rPr>
      </w:pPr>
      <w:r w:rsidRPr="005E779E">
        <w:rPr>
          <w:color w:val="000000" w:themeColor="text1"/>
          <w:sz w:val="16"/>
          <w:szCs w:val="16"/>
        </w:rPr>
        <w:t>ГА РФ. Ф. Р-8418. Оп. 5. Д. 62. Л. 3-16. Заверенная копия.</w:t>
      </w:r>
    </w:p>
    <w:p w14:paraId="654794E1"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Архив: ГА РФ. Ф. Р-8418. Оп. 5. Д. 62. Л. 3-16. Заверенная копия. </w:t>
      </w:r>
    </w:p>
    <w:p w14:paraId="06276132"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Источник: Становление оборонно-промышленного комплекса СССР (1927-1932). М. 2008, стр. 552-559 (12535).</w:t>
      </w:r>
    </w:p>
    <w:p w14:paraId="2FC86C65" w14:textId="77777777" w:rsidR="00875C4A" w:rsidRPr="005E779E" w:rsidRDefault="00875C4A" w:rsidP="000B7A6C">
      <w:pPr>
        <w:spacing w:after="0" w:line="240" w:lineRule="auto"/>
        <w:jc w:val="both"/>
        <w:rPr>
          <w:rFonts w:ascii="Times New Roman" w:hAnsi="Times New Roman"/>
          <w:color w:val="000000" w:themeColor="text1"/>
          <w:sz w:val="16"/>
          <w:szCs w:val="16"/>
          <w:u w:color="002060"/>
        </w:rPr>
      </w:pPr>
    </w:p>
    <w:p w14:paraId="36F31F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июля 1931 года постановление № 158/сс СТО</w:t>
      </w:r>
    </w:p>
    <w:p w14:paraId="27FE16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авиапромышленности</w:t>
      </w:r>
    </w:p>
    <w:p w14:paraId="59C21E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Констатировать, что постановления Правительства от 5 марта 1930 года, 5 сентября 1930 года и от 11 января 1931 года в отношении развития авиапромышленности проводятся в жизнь явно неудовлетворительно. В особом квартале 1930 года и первом полугодии 1931 года планы как по строительству, так и по производству фактически сорваны. Реконструкция старых, планирование и развертывание новых заводов находятся в совершенно неудовлетворительном состоянии.</w:t>
      </w:r>
    </w:p>
    <w:p w14:paraId="072161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Констатировать, что авиационная промышленность, переданная в целях ее улучшения в июле 1930 года в ведение НКВМ, где и находилась по март 1931 года, на самом деле никакого улучшения не достигла, а наоборот, пошла вниз, ввиду чего создалась необходимость обратной ее передачи в ведение ВСНХ.</w:t>
      </w:r>
    </w:p>
    <w:p w14:paraId="26A6FB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развитие указанных постановлений правительства СТО постановляет:</w:t>
      </w:r>
    </w:p>
    <w:p w14:paraId="6F1091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p w14:paraId="69AF99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опытному строительству.</w:t>
      </w:r>
    </w:p>
    <w:p w14:paraId="1093CBC8"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Предложить Президиуму ВСНХ и РВС уделить особое внимание опытному авиастроительству и обеспечить все необходимые условия для развертывания опытных организаций до размеров вполне обеспечивающих принятые темпы и масштаб развития авиации.</w:t>
      </w:r>
    </w:p>
    <w:p w14:paraId="10FD843C"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Организовать работу опытных организаций на основе концентрации научных и конструкторских сил, привлечения и использования иностранной техпомощи, тщательного изучения лучших образцов самолетов и моторов с тем, чтобы проблема "догнать и перегнать" была разрешена в течение ближайших 2-3 лет и созданы образцы самолетов и моторов, предметов вооружения и снаряжения (пулеметы, пушки, прицелы, фото, радио), превосходящие лучшие образцы иностранной техники.</w:t>
      </w:r>
    </w:p>
    <w:p w14:paraId="68C6BDB2"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Вменить в обязанность опытных организаций детальную и тщательную разработку всех технологических вопросов внедрения и пуска опытных образцов в серию, рационализации серийного производства. Институты должны явиться ведущим началом в деле технической реконструкции авиационной промышленности.</w:t>
      </w:r>
    </w:p>
    <w:p w14:paraId="2B6855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области организации производства предложить ВАО поставить себе главной задачей переход в кратчайший срок на механизированное производство, применение штамповки, сварки и пр. способов массового изготовления деталей и их сборки.</w:t>
      </w:r>
    </w:p>
    <w:p w14:paraId="5CB5D731"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Обязать ВАО, решительно пресекая попытки отдельных товарищей превратить опытное производство в самоцель, взять основную установку на скорейшее внедрение в серийное производство построенных и испытанных образцов самолетов и моторов, как первоочередную свою задачу (в сроки не более как 6-8 месяцев).</w:t>
      </w:r>
    </w:p>
    <w:p w14:paraId="470D4812"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Обязать ЦАГИ и ИАМ сосредоточить внимание на разработке вопросов технологии применяемых материалов в авиастроении, для чего создать при них мощные технологические отделы.</w:t>
      </w:r>
    </w:p>
    <w:p w14:paraId="6392A923"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Предложить ВАО проектировать и производить тяжелые и сверхтяжелые самолеты их металла с возможно большим применением стали и уменьшением алюминия, а самолетов легкого типа по преимуществу смешанной конструкции (сталь, дерево, полотно).</w:t>
      </w:r>
    </w:p>
    <w:p w14:paraId="0C6F9250"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Предложить ВАО форсировать работу по созданию дизельмоторов тяжелого топлива, с широким привлечением иностранной технической помощи и изучением заграничных образцов.</w:t>
      </w:r>
    </w:p>
    <w:p w14:paraId="2F4CBE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Предложить ВАО построить к 1 ноября по имеющимся чертежам 5 дизельмоторов тяжелого топлива мощностью 230 НР.</w:t>
      </w:r>
    </w:p>
    <w:p w14:paraId="2E328B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Наряду с этим особое внимание уделить разрешению проблемы об остановке мотора на расстоянии.</w:t>
      </w:r>
    </w:p>
    <w:p w14:paraId="640E678A"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Обязать начальника ВАО форсировать постройку опытных образцов маломощных самолетов и моторов и уже в 1932 году поставить массовое производство на существующих заводах.</w:t>
      </w:r>
    </w:p>
    <w:p w14:paraId="17A6FAD8"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Обязать ИАМ широко развернуть практические опытные работы по электронному литью картеров и других агрегатов моторов и изготовить не позже 1 октября 1931 года два опытных электронных картера М-34, используя в полной мере опыт германской фирмы БМВ и опыт итальянской фирмы Изота Фраскини.</w:t>
      </w:r>
    </w:p>
    <w:p w14:paraId="7BF1DE8C"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Обязать ВСНХ в лице треста Теплобетон, Госсантехстрой, Москомгаза, ВЭО и др., под ответственность председателей этих трестов и объединений, полностью закончить капитальное строительство и оборудование опытных организаций в обусловленные сроки.</w:t>
      </w:r>
    </w:p>
    <w:p w14:paraId="08F395E7"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Обязать НКВТ доставить в Союз заказанное для ИАМа оборудование по заявкам 1929-30 г.г. и особого квартала не позднее 1 октября 1931 года.</w:t>
      </w:r>
    </w:p>
    <w:p w14:paraId="03CA67E8"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Обязать ВСНХ обеспечить полностью заказы научно-исследовательских институтов на оборудование лабораторий и завода ИАМ транспортными устройствами, кранами, компрессорными установками и пр. советского производства не позднее 1 ноября 1931 года.</w:t>
      </w:r>
    </w:p>
    <w:p w14:paraId="0700F079"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Обязать начальника ВАО, Союзстанкоинструмент, Оргметалл и объединения ВСНХ, под ответственность председателей этих объединений, удовлетворять заявки на инструмент, материалы и предметы оборудования для срочных экспериментальных работ опытных строительств ВАО, УВВС, ВОГВФ вне всякой очереди, а заводы – Ижевский, Мотовилихинский и Электросталь поставлять поковки для опытных моторов в сроки, не превышающие двух месяцев с момента получения ими чертежей.</w:t>
      </w:r>
    </w:p>
    <w:p w14:paraId="4A16067B"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Отпустить для ВСНХ дополнительный контингент в 250000 рублей на приобретение специальных станков и лабораторного оборудования для создания мощного технологического отдела при ИАМ. Обязать ВСНХ и НКВТ закупить и доставить оборудование на эту сумму в Союз не позднее 1 декабря 1931 года.</w:t>
      </w:r>
    </w:p>
    <w:p w14:paraId="4A03832F"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Открыть ВСНХ для ИАМа дополнительный свободный контингент на 50000 рублей для срочных закупок за границей отдельных материалов, аппаратуры, агрегатов для опытных лабораторий и опытного моторостроения.</w:t>
      </w:r>
    </w:p>
    <w:p w14:paraId="03CC8E80"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Обязать ВСНХ и НКВТ немедленно приступить к переговорам о закупке за границей трех опытных наиболее совершенных и мощных образца бензиновых и 4 образцов нефтяных двигателей для изучения их конструкций в ИАМе и в полуторамесячный срок доложить СТО о требующемся дополнительном отпуске валюты. Пригласить к 1 октября 1931 года 2 конструкторские группы, каждую по 5 человек и кроме того 10 инженеров, мастеров и техников для опытного завода ИАМ.</w:t>
      </w:r>
    </w:p>
    <w:p w14:paraId="5983719B"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Обязать начальника ВАО не позднее 1 августа 1931 года командировать от ИАМ в Италию на завод Изота Фраскини инженеров (в том числе одного по электронному литью) на все время приемки заказанных нами моторов АССО для детального изучения опыта этой фирмы, особенно по электронному литью и сверх того, в августе и сентябре еще 8 инженеров и 4 мастера на заводы Европы и Америки для выполнения целевых заданий, связанных с планом опытного строительства авиамоторов.</w:t>
      </w:r>
    </w:p>
    <w:p w14:paraId="22AA2E7D"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Обязать НКВМ, ВОГВФ и ВАО в месячный срок разработать и представить на утверждение СТО план опытного строительства самолетов и моторов, имея в виду внедрение строгой специализации моторов по заводам, причем типы моторов должны быть общие для ВВС и гражданской авиации.</w:t>
      </w:r>
    </w:p>
    <w:p w14:paraId="75C629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II.</w:t>
      </w:r>
    </w:p>
    <w:p w14:paraId="4E3142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иностранной технической помощи.</w:t>
      </w:r>
    </w:p>
    <w:p w14:paraId="52C755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обеспечения выполнения намеченного плана авиационного строительства и освобождения от заграничной зависимости по техснабжению, начиная с 1933 года (исключая алюминий), считать необходимым привлечение иностранной технической помощи, для чего обязать ВАО заключить договора с иностранными американскими и европейскими фирмами на нижеследующие объекты с внесением на утверждение Правительства.</w:t>
      </w:r>
    </w:p>
    <w:p w14:paraId="442848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По инструментальному хозяйству.</w:t>
      </w:r>
    </w:p>
    <w:p w14:paraId="58697C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техпомощь на постановку производства всех видов инструмента для всей авиационной промышленности и с соответствующими иностранными фирмами (Германия, Италия, Англия).</w:t>
      </w:r>
    </w:p>
    <w:p w14:paraId="61D710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По разрезным крыльям.</w:t>
      </w:r>
    </w:p>
    <w:p w14:paraId="12A6B3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Приобрести у английской фирмы Х. Пейдж лиценз на разрезные крылья.</w:t>
      </w:r>
    </w:p>
    <w:p w14:paraId="2035B8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По хромомолибденовым трубам.</w:t>
      </w:r>
    </w:p>
    <w:p w14:paraId="47EA01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оказание технической помощи по постановке производства хромомолибденовых труб с одной из иностранных фирм (Англия, Швеция).</w:t>
      </w:r>
    </w:p>
    <w:p w14:paraId="773585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По поршневым кольцам.</w:t>
      </w:r>
    </w:p>
    <w:p w14:paraId="5B4D00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оказание техпомощи на постановку производства поршневых колец для авиационных моторов с одной из иностранных фирм (Италия, Германия, Америка и др.).</w:t>
      </w:r>
    </w:p>
    <w:p w14:paraId="340A3E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 По алюминиевому литейно-ковочному производству.</w:t>
      </w:r>
    </w:p>
    <w:p w14:paraId="07FBCA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американской фирмой – "Американская алюминиевая компания" на оказание техпомощи по литью, ковке, штамповке и термообработке цветных легких и ультра-легких сплавов, а также по литью импеллеров, ковке и штамповке металлических винтов. При заключении договора предусмотреть оказание техпомощи как по проектированию, постройке и подбору оборудования литейного завода, так и по разработке технологических процессов, подбору формовочных земель, спецификации материалов и т.д.</w:t>
      </w:r>
    </w:p>
    <w:p w14:paraId="618F81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Если соглашение с "Американской алюминиевой компанией" не состоится, договор заключить с фирмой Кертис Райт или с фирмой Бон алюминиум компани или с одной из европейских фирм (Италия, Германия).</w:t>
      </w:r>
    </w:p>
    <w:p w14:paraId="595C17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 По изготовлению специальных изделий и деталей.</w:t>
      </w:r>
    </w:p>
    <w:p w14:paraId="3CEF4C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американской фирмой Вендикс на постановку производства карбюраторов типа Стромберг, самопусков Эклипс, электромеханического и электроинерционного типа и тормозных колес.</w:t>
      </w:r>
    </w:p>
    <w:p w14:paraId="435BDD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ж) На механическую обработку и изготовление винтов.</w:t>
      </w:r>
    </w:p>
    <w:p w14:paraId="36450B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американской фирмой Гамильтон на техпомощь на механическую обработку и изготовление винтов из поковок (стальные для втулок и дюралевые для лопастей).</w:t>
      </w:r>
    </w:p>
    <w:p w14:paraId="11DF4F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 По производству клапанов.</w:t>
      </w:r>
    </w:p>
    <w:p w14:paraId="3EF17B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американской фирмой Томсон на техпомощь и постановку производства клапанов к авиамоторам.</w:t>
      </w:r>
    </w:p>
    <w:p w14:paraId="511287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 По производству подшипников.</w:t>
      </w:r>
    </w:p>
    <w:p w14:paraId="4EED51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американской фирмой Адлисон на техпомощь и постановку производства подшипников.</w:t>
      </w:r>
    </w:p>
    <w:p w14:paraId="014FC8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Примечание: Договор с фирмой Адлисон заключить в том случае, если не будет заключен договор с фирмой Бон алюминиум компани на оказание техпомощи и постановку производства алюминиевого литься и подшипников.</w:t>
      </w:r>
    </w:p>
    <w:p w14:paraId="6CD41C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По моторостроению.</w:t>
      </w:r>
    </w:p>
    <w:p w14:paraId="205541CD"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американской фирмой Кертис Райт на оказание техпомощи по проектированию, постройке и оборудованию двух моторостроительных заводов: одного на 10000 мощных моторов водяного охлаждения типа Кертис Конкверрор и другого на 10000 маломощных моторов воздушного охлаждения типа Райт Ж-6 165 л.с. и его модификации и 5000 мощных моторов воздушного охлаждения типа Райт-Циклон.</w:t>
      </w:r>
    </w:p>
    <w:p w14:paraId="01CA0D73"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Приобрести лиценз на вышеуказанные моторы Кертис Конкверрор и Райт во всех его типах.</w:t>
      </w:r>
    </w:p>
    <w:p w14:paraId="3F729C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заключении договоров учесть необходимость обеспечить не только получение техпомощи на существующие образцы и методы изготовления, но также и по развитию образцов и методов.</w:t>
      </w:r>
    </w:p>
    <w:p w14:paraId="2ADECC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Вместе с тем, при заключении договоров не связывать получение иностранной техпомощи и приобретение лицензов с покупкой оборудования у данных фирм, ориентируясь прежде всего на отечественное машиностроение.</w:t>
      </w:r>
    </w:p>
    <w:p w14:paraId="404923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Приобретение техпомощи необходимо связать с максимальным укреплением позиций собственного опытного строительства.</w:t>
      </w:r>
    </w:p>
    <w:p w14:paraId="50E454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 частности, необходимо добиться у фирм, с которыми будут заключать договора, права использования опыта и знания в области научно-исследовательских лабораторий, изучения методики, закупки специальной аппаратуры и установок и привлечения работников этих лабораторий для руководства отдельными темами в наших лабораториях.</w:t>
      </w:r>
    </w:p>
    <w:p w14:paraId="628B5C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Считая необходимой максимальную экономию в расходовании валюты, поручить комиссии в составе Павлуновского, Розенгольца (с правом замены по его указанию), Баранова, Кагановича, Алксниса, Гольцмана, Гая и Горянова пересмотреть все требования на валюту по оборудованию и на техпомощь, с изысканием всех возможностей базироваться на производство и технику внутри СССР. Созыв комиссии за Павлуновским.</w:t>
      </w:r>
    </w:p>
    <w:p w14:paraId="17738F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единогласном решении комиссии приступить к заключению договоров.</w:t>
      </w:r>
    </w:p>
    <w:p w14:paraId="4754B4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Срок работы комиссии – месячный.</w:t>
      </w:r>
    </w:p>
    <w:p w14:paraId="178A85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Неотложные договора рассмотреть и внести в декадный срок.</w:t>
      </w:r>
    </w:p>
    <w:p w14:paraId="382C57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Разрешить немедленно же приступить к заключению договора с американскими фирмами на техпомощь по алюминиевому литью, ковке и штамповке в пределах суммы валюты в 1 млн. долларов.</w:t>
      </w:r>
    </w:p>
    <w:p w14:paraId="181CDB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III.</w:t>
      </w:r>
    </w:p>
    <w:p w14:paraId="26149A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выполнению плана строительства и программы 1931 годп</w:t>
      </w:r>
    </w:p>
    <w:p w14:paraId="7F75B99D"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Утвердить программу производства авиапромышленности в 1931 году.</w:t>
      </w:r>
    </w:p>
    <w:p w14:paraId="625EB0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самолетам:</w:t>
      </w:r>
    </w:p>
    <w:p w14:paraId="65AD95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Р-5 – 680</w:t>
      </w:r>
    </w:p>
    <w:p w14:paraId="4F598E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ТБ1 – 146</w:t>
      </w:r>
    </w:p>
    <w:p w14:paraId="39BBBB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Р-6 – 50</w:t>
      </w:r>
    </w:p>
    <w:p w14:paraId="721348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Истребители – 376</w:t>
      </w:r>
    </w:p>
    <w:p w14:paraId="68DF9D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ТБ3 – 3</w:t>
      </w:r>
    </w:p>
    <w:p w14:paraId="65A0A5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У-2 (учебные) – 809</w:t>
      </w:r>
    </w:p>
    <w:p w14:paraId="5EF60B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С-62-бис (Савойя) – 30</w:t>
      </w:r>
    </w:p>
    <w:p w14:paraId="201B78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ТШ (штурмовые) – 10</w:t>
      </w:r>
    </w:p>
    <w:p w14:paraId="58F3AB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АНТ9 – 114</w:t>
      </w:r>
    </w:p>
    <w:p w14:paraId="16FD7F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К-5 – 205</w:t>
      </w:r>
    </w:p>
    <w:p w14:paraId="161AF0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У-1 – 105</w:t>
      </w:r>
    </w:p>
    <w:p w14:paraId="227E7D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Р-1 – 302</w:t>
      </w:r>
    </w:p>
    <w:p w14:paraId="69ABB7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АП-2 – 55</w:t>
      </w:r>
    </w:p>
    <w:p w14:paraId="7BB8CC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П-1 – 15</w:t>
      </w:r>
    </w:p>
    <w:p w14:paraId="7B7844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 - 2900</w:t>
      </w:r>
    </w:p>
    <w:p w14:paraId="4FF028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т.ч. ВВС - 2024</w:t>
      </w:r>
    </w:p>
    <w:p w14:paraId="4B5AD7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моторам:</w:t>
      </w:r>
    </w:p>
    <w:p w14:paraId="76FBFA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М-17 – 900</w:t>
      </w:r>
    </w:p>
    <w:p w14:paraId="3BD2A2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М-22 – 281</w:t>
      </w:r>
    </w:p>
    <w:p w14:paraId="1AA3BE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М-11 – 971</w:t>
      </w:r>
    </w:p>
    <w:p w14:paraId="16C4E3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М-15 – 430</w:t>
      </w:r>
    </w:p>
    <w:p w14:paraId="1A6217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М-27 – 150</w:t>
      </w:r>
    </w:p>
    <w:p w14:paraId="40206F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М-26 – 410</w:t>
      </w:r>
    </w:p>
    <w:p w14:paraId="376213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М-19 – 10</w:t>
      </w:r>
    </w:p>
    <w:p w14:paraId="489526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М-34 – 8</w:t>
      </w:r>
    </w:p>
    <w:p w14:paraId="1CE63B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ЮVН – 10</w:t>
      </w:r>
    </w:p>
    <w:p w14:paraId="4795DA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 – 3170</w:t>
      </w:r>
    </w:p>
    <w:p w14:paraId="5ADAEE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т.ч. для ВВС – 2090</w:t>
      </w:r>
    </w:p>
    <w:p w14:paraId="1BF2082E"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Обязать ВАО выполнить весь заказ по запчастям и моторам М5 и М2 до 15 октября 1931 года.</w:t>
      </w:r>
    </w:p>
    <w:p w14:paraId="2F308FC6"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целях своевременного обеспечения заводов ВАО оборудованием для выполнения большой программы 1932 года:</w:t>
      </w:r>
    </w:p>
    <w:p w14:paraId="750868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комиссии Павлуновского рассмотреть и доложить СТО в декадный срок вопрос об увеличении импортного контингента ВСНХ в 1931 году на 6,5 млн. рублей на закупку оборудования для заводов авиапрома;</w:t>
      </w:r>
    </w:p>
    <w:p w14:paraId="5E92AB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обязать НКВТ в наикратчайший срок разместить полностью все заказы на оборудование для авиапромышленности по всем ассигнованиям 1931 года;</w:t>
      </w:r>
    </w:p>
    <w:p w14:paraId="3BD666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обязать ВСНХ полностью разместить все потребное для авиапромышленности оборудование в 1931 году на заводах Союза.</w:t>
      </w:r>
    </w:p>
    <w:p w14:paraId="2B322282"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обеспечения программы 1931 года принять следующие мероприятия:</w:t>
      </w:r>
    </w:p>
    <w:p w14:paraId="3D62A7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обязать ВАО командировать за границу для освоения опыта иностранных фирм необходимое количество работников и в первую очередь: по заводу № 24 – 8 инженеров, 8 мастеров, 8 рабочих; по заводу № 26 – 6 инженеров, 4 мастера в Германию на завод БМВ в порядке действующего договора на техпомощь и лицензию; по заводу № 29 – во Францию на завод Гном и Рон 10 инженеров и 10 мастеров в в порядке действующего договора на техпомощь и лицензию;</w:t>
      </w:r>
    </w:p>
    <w:p w14:paraId="0CCEFD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обязать ВАО завербовать за границей 45 инженеров и 200 мастеров и рабочих;</w:t>
      </w:r>
    </w:p>
    <w:p w14:paraId="7BD6D8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обязать ВСНХ обеспечить подачу заводу № 26 в июле 200 тонн шамота и в дальнейшем, начиная с августа по 50 тонн в месяц.</w:t>
      </w:r>
    </w:p>
    <w:p w14:paraId="7C44DB77"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основу реконструкции старых заводов и нового строительства положить строгую техническую специализацию, внедрение новейших совершенных методов обработки, а также привлечение и использование иностранной техпомощи.</w:t>
      </w:r>
    </w:p>
    <w:p w14:paraId="78A44F26"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плане развития авиапромышленности предусмотреть массовое производство маломощных самолетов и моторов.</w:t>
      </w:r>
    </w:p>
    <w:p w14:paraId="527D6CCC"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Предложить президиуму ВСНХ осуществлять постоянное и систематическое руководство и контроль за развертыванием капитального строительства авиапромышленности и обеспечить последнее всем необходимым для выполнения плана в точно указанные сроки.</w:t>
      </w:r>
    </w:p>
    <w:p w14:paraId="30C3C206"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Создать при управлении по капитальному строительству ВАО мощный проектный отдел.</w:t>
      </w:r>
    </w:p>
    <w:p w14:paraId="60F739F1"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Обязать президиум ВСНХ выделить на местах специальные строительные конторы для строительства ВАО.</w:t>
      </w:r>
    </w:p>
    <w:p w14:paraId="0776C39F"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Отнести капитальное строительство авиапромышленности к группе ударных строительств, находящихся под специальным наблюдением.</w:t>
      </w:r>
    </w:p>
    <w:p w14:paraId="723B61E8"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Обязать Союзстрой Иванова обеспечить выполнение в срок проектов и чертежей для строительных работ ВАО.</w:t>
      </w:r>
    </w:p>
    <w:p w14:paraId="6B27F57E"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Выделить для ВАО 120 грузовых и 30 легковых машин не позднее 1 ноября 1931 года.</w:t>
      </w:r>
    </w:p>
    <w:p w14:paraId="7701D87C"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Ввиду привлечения большого числа специалистов, в том числе и иностранных, обязать Моссовет не позднее 1 января 1932 года предоставить ВАО 75 квартир и ВОГВФ – 25 квартир.</w:t>
      </w:r>
    </w:p>
    <w:p w14:paraId="1CDAF4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IV. По заводу № 39.</w:t>
      </w:r>
    </w:p>
    <w:p w14:paraId="16E94C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Обязать ВСНХ и НКВМ в течение 1931 года выпустить 20 самолетов (перехватчиков) и 6 тяжелых бомбовозов ТБ5.</w:t>
      </w:r>
    </w:p>
    <w:p w14:paraId="0F2567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V. По кадрам.</w:t>
      </w:r>
    </w:p>
    <w:p w14:paraId="290E25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……………………………..(7429, 92-102).</w:t>
      </w:r>
    </w:p>
    <w:p w14:paraId="1EB73F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6FD57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июля 1931 в соответствии с решением Политбюро ЦК ВКП (б) о строительстве Уфимского моторного завода от 15 июля, Башкирскому обкому партии поручили определить место его расположения, под стройку была отведена площадь возле села Богородское на реке Уфе, километрах в двадцати от центра города.</w:t>
      </w:r>
    </w:p>
    <w:p w14:paraId="700B63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июля Президиум ВСНХ СССР своим постановлением закрепил сроки начала строительства завода и организовал для этой цели 17-й государственный строительный трест, позже переименованный в строительно-монтажный.</w:t>
      </w:r>
    </w:p>
    <w:p w14:paraId="7FFE35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Башкирский обком партии создал постоянный комитет содействия строительству завода: Самсонов — председатель, Ягудин — заместитель, члены комитета — Петровский, Логинов, Бычков, Бакаев и другие. Обком же направил на стройку 111 ответственных работников.</w:t>
      </w:r>
    </w:p>
    <w:p w14:paraId="564B18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Выполнение плана, обеспечение рабочей силой, материально-техническое снабжение, жилищно-бытовые условия, культурное обслуживание — ничто не ускользало от пристального внимания партийных органов. Если требовалось, обком входил с предложениями в Центральный Комитет партии. ЦК ВКП (б) в 1934—1935 гг. принимал решения об ускорении строительства Уфимского моторного завода и увеличении его финансирования.</w:t>
      </w:r>
    </w:p>
    <w:p w14:paraId="1A006A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Обком партии выдвинул лозунг: «Моторный строит вся Башкирия». В районах республики шла мобилизация молодежи. К 1934 году на стройке трудились 3600 рабочих, среди них башкиры составляли 11 процентов, татары — 11, русские — 67; много было женщин (14 процентов). </w:t>
      </w:r>
    </w:p>
    <w:p w14:paraId="1D0326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Начальником строительства сначала был И. И. Желтов, которого в скором времени сменил В. Ф. Грачев, присланный сюда из Москвы Главным управлением тракторно-автомобильной промышленности (ГУТАП). Он был начальником стройки и одновременно директором завода. </w:t>
      </w:r>
    </w:p>
    <w:p w14:paraId="1CF10F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 1933 году был создан партком Моторостроя. Секретарем парткома избрали Ф. В. Шагимарданова. Это был очень деятельный человек, горячий трибун, опытный пропагандист. Он часто выступал перед рабочими, держался свободно, и слушать его было интересно. На заводе его любили и ценили.</w:t>
      </w:r>
    </w:p>
    <w:p w14:paraId="66E7A7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Как вспоминал позднее полковник запаса Д. К. Жеребцов, работавший на стройке десятником, тогда преобладал ручной труд, не было ни машин, ни механизмов. Земляные работы вели артели землекопов, грунт из котлованов вывозили на телегах-грабарках. Гвозди составляли такой дефицит, что прорабы придумали должность гвоздодера. Молодые ребята с утра до вечера вытаскивали гвозди из старой опалубки, чтобы использовать их вторично. Кирпич на объект подавали козоносы. Так называли грузчиков, которые на «козе», закрепленной на спине, носили наверх кирпичи.</w:t>
      </w:r>
    </w:p>
    <w:p w14:paraId="6024BE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Строительная площадка раскинулась широко. Вязкие болота, леса, озера, заросшие камышом, бездорожье — ни пройти, ни проехать. Заболоченная местность затрудняла закладку фундамента, доставку строительных материалов. Требовались средства и время, чтобы осушить болота, расчистить лесные заросли, подготовить строительные площадки. Порой приходилось рыть отводные каналы, спускать озера и болотные воды в овраги, реки , делать земляные насыпи.</w:t>
      </w:r>
    </w:p>
    <w:p w14:paraId="7CAC03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Первыми должны были ввести в строй малолитейный, кузнечный и инструментальный цехи. С расчисткой площадки сразу же закладывались их фундаменты.</w:t>
      </w:r>
    </w:p>
    <w:p w14:paraId="6E1B5D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Одновременно строилось жилье, почта, телеграф, телефонная станция, прокладывались шоссе до города Уфы, железная дорога от станции Черниковка.</w:t>
      </w:r>
    </w:p>
    <w:p w14:paraId="2AD6BD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первый же год было выстроено почти сто бараков. Их заселяли немедленно: ощущался недостаток жилья. Позже количество бараков выросло до четырехсот, но и этого было мало — на моторный прибывали люди со всех концов страны. Сотни рабочих жили в палатках. За станцией Черниковка возник большой палаточный городок. Весной 1935 года на стройку прибыл отряд казахов-кочевников (с семьями, на арбах, со своими верблюдами) во главе с Бетангалеевым. Неподалеку от завода они поставили юрты, возвели кухонные очаги. Казахи перевозили строительные материалы на повозках, запряженных верблюдами. Бывало, длиннющие караваны верблюдов тянулись по дорогам в сопровождении своих хозяев.</w:t>
      </w:r>
    </w:p>
    <w:p w14:paraId="0B23FA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 приближением зимы казахам построили семь благоустроенных бараков. Однако кочевники отказались от всех удобств. Тогда руководство создало Бетангалееву образцовую квартиру. Обставили ее мебелью — столы, стулья, кровати, шкафы, повесили оконные и дверные занавески, выдали постельное белье. </w:t>
      </w:r>
    </w:p>
    <w:p w14:paraId="7E3ADA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Казахи с любопытством рассматривали квартиру своего бригадира. Многие согласились на переезд в такие квартиры. Но расставались с кочевым бытом трудно. Вместо кроватей сделали общие нары, даже зимой не закрывали окон и посреди комнаты ставили юрту, прямо на полу разжигали очаг. Преимущества городского быта постигали постепенно, день за днем. Позже казахи-кочевники освоились, отмечали новоселья, приглашали гостей из дирекции, парткома и постройкома, угощали их национальными блюдами, подавали кумыс. Пели под домбру народные песни.</w:t>
      </w:r>
    </w:p>
    <w:p w14:paraId="32EF37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Многие рабочие, прибывшие на стройку, не имели ни опыта, ни квалификации. На виду была краснознаменная бригада мастера Мичугина из Магнитогорска. Она привезла с собой богатый опыт всесоюзной стройки. </w:t>
      </w:r>
    </w:p>
    <w:p w14:paraId="1E2E60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отличие от крупных машиностроительных заводов первой пятилетки — Сталинградского, Челябинского и других, Уфимский моторный целиком и полностью проектировался советскими специалистами.</w:t>
      </w:r>
    </w:p>
    <w:p w14:paraId="744B7E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 первых же дней стройка находилась под неослабным вниманием центральных и республиканских органов. Госплан СССР включил Уфимский моторный завод в число ударных строек страны. О размахе строительства можно судить хотя бы по тому, что сюда ежедневно поступало 300 вагонов строительных материалов. Лишь только в одном 1934 году стройка должна была получить 150 тысяч кубометров леса; 45 тысяч тонн цемента; 12 тысяч тонн железа, 50 тысяч кубометров бутового камня, 340 тысяч кубометров гравия, 50 миллионов штук кирпича, 230 тысяч тонн стекла. </w:t>
      </w:r>
    </w:p>
    <w:p w14:paraId="0F35AF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Вырастали корпуса цехов, и в них устанавливались новые металлорежущие станки, кузнечно-прессовое и литейное оборудование. Однако с оборудованием были проблемы. Сначала оно было заказано в Германии. Однако с утверждением там фашистского строя деловые отношения с этой страной претерпели большие изменения, и договор на поставку оборудования для Уфимского моторного завода не был выполнен. Приходилось рассчитывать лишь на свои силы и возможности. Моторный завод стал получать оборудование с отечественных заводов, из Москвы, Ленинграда, Горького, Харькова, Одессы и Краснодара. </w:t>
      </w:r>
    </w:p>
    <w:p w14:paraId="198FA3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Обком партии был главным штабом ударной стройки. Особой его заботой стала подготовка национальных кадров–рабочих и специалистов. В школах ФЗУ создавались подготовительные группы для тех, кто не имел необходимого образования. </w:t>
      </w:r>
    </w:p>
    <w:p w14:paraId="367F58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 притоком в промышленность башкир, татар и представителей других национальностей рабочий класс республики, а вместе с ним коллектив уфимских моторостроителей становился многонациональным. </w:t>
      </w:r>
    </w:p>
    <w:p w14:paraId="4E782C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Интересна судьба Гатията Рахматуллина. На стройку он пришел в лаптях и онучах, в грубых самотканых портках. «Я знал только, как плести лапти да пастуший кнут», — рассказывал он позднее. Гатият научился писать и читать, стал комсомольцем, стахановцем. За первые три года освоил три специальности: каменщика, бетонщика и штукатура. </w:t>
      </w:r>
    </w:p>
    <w:p w14:paraId="734EED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декабре 1935 года Рахматуллин оштукатурил 89 квадратных метров (578 процентов нормы) и перекрыл рекорд московского рабочего Позднякова, о котором тогда писали все газеты. Молодой стахановец был занесен на Доску почета, и ему вне очереди выделили квартиру в благоустроенном доме. Рахматуллина избрали делегатом VIII Всесоюзного съезда Советов, он стал депутатом Верховного Совета БАССР.</w:t>
      </w:r>
    </w:p>
    <w:p w14:paraId="3606CF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1938 году Москва снарядила агитсамолет «Крокодил» по маршруту: Москва — Орск — Магнитогорск — Уфа — Челябинск — Караганда — Кемерово — Новосибирск — Свердловск. На борту агитсамолета находились знатные труженики страны, знатоки своего дела, умельцы. Среди них был и Гатият. Он обучил своим приемам 335 человек, и ЦК профсоюза строителей премировал его путевкой в Гагры.</w:t>
      </w:r>
    </w:p>
    <w:p w14:paraId="3E65B4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Моторный еще строился, но для него уже заранее готовились рабочие кадры на заводах Сталинграда, Челябинска, Горького. В канун 16-й годовщины Октября башкирские моторостроители собрали первый комбайновый мотор У-5 на линиях челябинского тракторного завода.</w:t>
      </w:r>
    </w:p>
    <w:p w14:paraId="5ED0A7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1934 года стройку посетила делегация рабочих скандинавских стран. Среди них были металлисты, строители, текстильщики. Иностранцы изумлялись размаху строительства. Их интересовали люди. Они расспрашивали, кто откуда пришел, кем был и кем стал, где учился, чего достиг, и поражались услышанному.</w:t>
      </w:r>
    </w:p>
    <w:p w14:paraId="05B636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сентября 1934 года состоялся пуск малолитейного цеха. А накануне прошло партийно-комсомольское собрание. На нем присутствовали башкирские писатели. С большим докладом о первом Всесоюзном съезде писателей перед рабочими выступил председатель БашЦИКа, известный литератор Афзал Тагиров.</w:t>
      </w:r>
    </w:p>
    <w:p w14:paraId="3A44BA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Затем все участники собрания под музыку духового оркестра направились в цех. 12 часов ночи. Цех забит людьми. Здесь ударники и руководители стройки, партийные и советские работники, писатели, журналисты. В 12.30 ночи с 14 на 15 сентября появился первый чугун моторного завода. Он хлынул под бурные аплодисменты, под музыку духового оркестра и пение «Интернационала».</w:t>
      </w:r>
    </w:p>
    <w:p w14:paraId="79B3FD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1935 году завод дал первые десять комбайновых моторов У-5 и пять дизель-моторов «Коджу». Необходимо было организовать их серийный выпуск.</w:t>
      </w:r>
    </w:p>
    <w:p w14:paraId="0923E1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Осенью 1938 года на завод приехал прославленный летчик-полярник М. В. Водопьянов. Отважный полярник рассказал о полете на Северный полюс, о развитии советской авиации и растущей мощи Красной Армии.</w:t>
      </w:r>
    </w:p>
    <w:p w14:paraId="408618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Проверка первых опытных двигателей У-5 проводилась на поле Сосновского совхоза близ Омска. Комбайнеры отметили его достоинства: надежность, длительную работу без ремонта, экономичный расход горючего. Опытный двигатель за 25 дней ни разу не вышел из строя. Всего он проработал свыше 300 часов.</w:t>
      </w:r>
    </w:p>
    <w:p w14:paraId="7370E4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1938 году комбайны с моторами УМЗ успешно вели уборку на полях Краснодарского края, Куйбышевского зерносовхоза, Магнитогорского совхоза. Государственный экзамен У-5 выдержал с честью.</w:t>
      </w:r>
    </w:p>
    <w:p w14:paraId="4D0D39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1939 году вспыхнула вторая мировая война. В Кремле состоялось заседание Совета Труда и Обороны с участием секретарей обкомов партии, директоров и главных инженеров крупных заводов. Было решено создать в Уфе и ряде других городов новые машиностроительные заводы. В Уфе базой для нового предприятия стал завод комбайновых моторов и площадка, подготовленная для строительства дизельного завода.</w:t>
      </w:r>
    </w:p>
    <w:p w14:paraId="0F6355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Вновь созданные предприятия в срочном порядке оборудовались под выпуск авиационных моторов М-105. Завод на Верхней Волге стал головным (11882). </w:t>
      </w:r>
    </w:p>
    <w:p w14:paraId="70C7F8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641AA1F" w14:textId="77777777" w:rsidR="009D1B9A" w:rsidRPr="00142305" w:rsidRDefault="009D1B9A" w:rsidP="009D1B9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25 июля 1931 г. Постановление Совета Труда и Обороны (СТО) № 158 утвердило «Программу производства авиапромышленности на 1931 г.». Ниже она представлена в виде Таблицы 2.2.</w:t>
      </w:r>
    </w:p>
    <w:p w14:paraId="5028655E" w14:textId="77777777" w:rsidR="009D1B9A" w:rsidRPr="009D1B9A" w:rsidRDefault="009D1B9A" w:rsidP="009D1B9A">
      <w:pPr>
        <w:pStyle w:val="aff1"/>
        <w:spacing w:line="240" w:lineRule="auto"/>
        <w:rPr>
          <w:rFonts w:ascii="Times New Roman" w:hAnsi="Times New Roman" w:cs="Times New Roman"/>
          <w:i w:val="0"/>
          <w:iCs w:val="0"/>
          <w:color w:val="0070C0"/>
          <w:sz w:val="16"/>
          <w:szCs w:val="16"/>
          <w:lang w:val="ru-RU"/>
        </w:rPr>
      </w:pPr>
      <w:r w:rsidRPr="009D1B9A">
        <w:rPr>
          <w:rFonts w:ascii="Times New Roman" w:hAnsi="Times New Roman" w:cs="Times New Roman"/>
          <w:i w:val="0"/>
          <w:iCs w:val="0"/>
          <w:color w:val="0070C0"/>
          <w:sz w:val="16"/>
          <w:szCs w:val="16"/>
          <w:lang w:val="ru-RU"/>
        </w:rPr>
        <w:t>Таблица 2.2 Программа производства авиапромышленности на 1931 г. (Военно-воздушные силы России. Неизвестные документы (1931-1967 гг.). - М.: Из</w:t>
      </w:r>
      <w:r w:rsidRPr="009D1B9A">
        <w:rPr>
          <w:rFonts w:ascii="Times New Roman" w:hAnsi="Times New Roman" w:cs="Times New Roman"/>
          <w:i w:val="0"/>
          <w:iCs w:val="0"/>
          <w:color w:val="0070C0"/>
          <w:sz w:val="16"/>
          <w:szCs w:val="16"/>
          <w:lang w:val="ru-RU"/>
        </w:rPr>
        <w:softHyphen/>
        <w:t>дательский Дом «Вестник Воздушного Флота», 2003. - 318 л. - Л. 11-12)</w:t>
      </w:r>
    </w:p>
    <w:tbl>
      <w:tblPr>
        <w:tblOverlap w:val="never"/>
        <w:tblW w:w="0" w:type="auto"/>
        <w:tblLayout w:type="fixed"/>
        <w:tblCellMar>
          <w:left w:w="10" w:type="dxa"/>
          <w:right w:w="10" w:type="dxa"/>
        </w:tblCellMar>
        <w:tblLook w:val="0000" w:firstRow="0" w:lastRow="0" w:firstColumn="0" w:lastColumn="0" w:noHBand="0" w:noVBand="0"/>
      </w:tblPr>
      <w:tblGrid>
        <w:gridCol w:w="580"/>
        <w:gridCol w:w="1469"/>
        <w:gridCol w:w="1469"/>
        <w:gridCol w:w="1462"/>
        <w:gridCol w:w="1476"/>
      </w:tblGrid>
      <w:tr w:rsidR="009D1B9A" w:rsidRPr="00142305" w14:paraId="3ACA1186" w14:textId="77777777" w:rsidTr="009D1B9A">
        <w:trPr>
          <w:trHeight w:hRule="exact" w:val="198"/>
        </w:trPr>
        <w:tc>
          <w:tcPr>
            <w:tcW w:w="580" w:type="dxa"/>
            <w:tcBorders>
              <w:top w:val="single" w:sz="4" w:space="0" w:color="auto"/>
              <w:left w:val="single" w:sz="4" w:space="0" w:color="auto"/>
            </w:tcBorders>
            <w:shd w:val="clear" w:color="auto" w:fill="FFFFFF"/>
            <w:vAlign w:val="bottom"/>
          </w:tcPr>
          <w:p w14:paraId="38C59599"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 п.п.</w:t>
            </w:r>
          </w:p>
        </w:tc>
        <w:tc>
          <w:tcPr>
            <w:tcW w:w="1469" w:type="dxa"/>
            <w:tcBorders>
              <w:top w:val="single" w:sz="4" w:space="0" w:color="auto"/>
              <w:left w:val="single" w:sz="4" w:space="0" w:color="auto"/>
            </w:tcBorders>
            <w:shd w:val="clear" w:color="auto" w:fill="FFFFFF"/>
            <w:vAlign w:val="bottom"/>
          </w:tcPr>
          <w:p w14:paraId="0F08EF3E"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Тип самолета</w:t>
            </w:r>
          </w:p>
        </w:tc>
        <w:tc>
          <w:tcPr>
            <w:tcW w:w="1469" w:type="dxa"/>
            <w:tcBorders>
              <w:top w:val="single" w:sz="4" w:space="0" w:color="auto"/>
              <w:left w:val="single" w:sz="4" w:space="0" w:color="auto"/>
            </w:tcBorders>
            <w:shd w:val="clear" w:color="auto" w:fill="FFFFFF"/>
            <w:vAlign w:val="bottom"/>
          </w:tcPr>
          <w:p w14:paraId="64CEDD23"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Количество сам-в</w:t>
            </w:r>
          </w:p>
        </w:tc>
        <w:tc>
          <w:tcPr>
            <w:tcW w:w="1462" w:type="dxa"/>
            <w:tcBorders>
              <w:top w:val="single" w:sz="4" w:space="0" w:color="auto"/>
              <w:left w:val="single" w:sz="4" w:space="0" w:color="auto"/>
            </w:tcBorders>
            <w:shd w:val="clear" w:color="auto" w:fill="FFFFFF"/>
            <w:vAlign w:val="bottom"/>
          </w:tcPr>
          <w:p w14:paraId="6F0669B8"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Тип мотора</w:t>
            </w:r>
          </w:p>
        </w:tc>
        <w:tc>
          <w:tcPr>
            <w:tcW w:w="1476" w:type="dxa"/>
            <w:tcBorders>
              <w:top w:val="single" w:sz="4" w:space="0" w:color="auto"/>
              <w:left w:val="single" w:sz="4" w:space="0" w:color="auto"/>
              <w:right w:val="single" w:sz="4" w:space="0" w:color="auto"/>
            </w:tcBorders>
            <w:shd w:val="clear" w:color="auto" w:fill="FFFFFF"/>
            <w:vAlign w:val="bottom"/>
          </w:tcPr>
          <w:p w14:paraId="6412A829"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Количество мот-в</w:t>
            </w:r>
          </w:p>
        </w:tc>
      </w:tr>
      <w:tr w:rsidR="009D1B9A" w:rsidRPr="00142305" w14:paraId="1DAAD720" w14:textId="77777777" w:rsidTr="009D1B9A">
        <w:trPr>
          <w:trHeight w:hRule="exact" w:val="191"/>
        </w:trPr>
        <w:tc>
          <w:tcPr>
            <w:tcW w:w="580" w:type="dxa"/>
            <w:tcBorders>
              <w:top w:val="single" w:sz="4" w:space="0" w:color="auto"/>
              <w:left w:val="single" w:sz="4" w:space="0" w:color="auto"/>
            </w:tcBorders>
            <w:shd w:val="clear" w:color="auto" w:fill="FFFFFF"/>
            <w:vAlign w:val="bottom"/>
          </w:tcPr>
          <w:p w14:paraId="750F1958"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1469" w:type="dxa"/>
            <w:tcBorders>
              <w:top w:val="single" w:sz="4" w:space="0" w:color="auto"/>
              <w:left w:val="single" w:sz="4" w:space="0" w:color="auto"/>
            </w:tcBorders>
            <w:shd w:val="clear" w:color="auto" w:fill="FFFFFF"/>
            <w:vAlign w:val="bottom"/>
          </w:tcPr>
          <w:p w14:paraId="5F4C32BD"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Р-5</w:t>
            </w:r>
          </w:p>
        </w:tc>
        <w:tc>
          <w:tcPr>
            <w:tcW w:w="1469" w:type="dxa"/>
            <w:tcBorders>
              <w:top w:val="single" w:sz="4" w:space="0" w:color="auto"/>
              <w:left w:val="single" w:sz="4" w:space="0" w:color="auto"/>
            </w:tcBorders>
            <w:shd w:val="clear" w:color="auto" w:fill="FFFFFF"/>
            <w:vAlign w:val="bottom"/>
          </w:tcPr>
          <w:p w14:paraId="09435A8D"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680</w:t>
            </w:r>
          </w:p>
        </w:tc>
        <w:tc>
          <w:tcPr>
            <w:tcW w:w="1462" w:type="dxa"/>
            <w:tcBorders>
              <w:top w:val="single" w:sz="4" w:space="0" w:color="auto"/>
              <w:left w:val="single" w:sz="4" w:space="0" w:color="auto"/>
            </w:tcBorders>
            <w:shd w:val="clear" w:color="auto" w:fill="FFFFFF"/>
            <w:vAlign w:val="bottom"/>
          </w:tcPr>
          <w:p w14:paraId="77F5772F"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М-17</w:t>
            </w:r>
          </w:p>
        </w:tc>
        <w:tc>
          <w:tcPr>
            <w:tcW w:w="1476" w:type="dxa"/>
            <w:tcBorders>
              <w:top w:val="single" w:sz="4" w:space="0" w:color="auto"/>
              <w:left w:val="single" w:sz="4" w:space="0" w:color="auto"/>
              <w:right w:val="single" w:sz="4" w:space="0" w:color="auto"/>
            </w:tcBorders>
            <w:shd w:val="clear" w:color="auto" w:fill="FFFFFF"/>
            <w:vAlign w:val="bottom"/>
          </w:tcPr>
          <w:p w14:paraId="1EEA4D79"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900</w:t>
            </w:r>
          </w:p>
        </w:tc>
      </w:tr>
      <w:tr w:rsidR="009D1B9A" w:rsidRPr="00142305" w14:paraId="524D7301" w14:textId="77777777" w:rsidTr="009D1B9A">
        <w:trPr>
          <w:trHeight w:hRule="exact" w:val="194"/>
        </w:trPr>
        <w:tc>
          <w:tcPr>
            <w:tcW w:w="580" w:type="dxa"/>
            <w:tcBorders>
              <w:top w:val="single" w:sz="4" w:space="0" w:color="auto"/>
              <w:left w:val="single" w:sz="4" w:space="0" w:color="auto"/>
            </w:tcBorders>
            <w:shd w:val="clear" w:color="auto" w:fill="FFFFFF"/>
            <w:vAlign w:val="bottom"/>
          </w:tcPr>
          <w:p w14:paraId="3E0BBAFF"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w:t>
            </w:r>
          </w:p>
        </w:tc>
        <w:tc>
          <w:tcPr>
            <w:tcW w:w="1469" w:type="dxa"/>
            <w:tcBorders>
              <w:top w:val="single" w:sz="4" w:space="0" w:color="auto"/>
              <w:left w:val="single" w:sz="4" w:space="0" w:color="auto"/>
            </w:tcBorders>
            <w:shd w:val="clear" w:color="auto" w:fill="FFFFFF"/>
            <w:vAlign w:val="bottom"/>
          </w:tcPr>
          <w:p w14:paraId="63119057"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ТБ-1</w:t>
            </w:r>
          </w:p>
        </w:tc>
        <w:tc>
          <w:tcPr>
            <w:tcW w:w="1469" w:type="dxa"/>
            <w:tcBorders>
              <w:top w:val="single" w:sz="4" w:space="0" w:color="auto"/>
              <w:left w:val="single" w:sz="4" w:space="0" w:color="auto"/>
            </w:tcBorders>
            <w:shd w:val="clear" w:color="auto" w:fill="FFFFFF"/>
            <w:vAlign w:val="bottom"/>
          </w:tcPr>
          <w:p w14:paraId="33DB534A"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146</w:t>
            </w:r>
          </w:p>
        </w:tc>
        <w:tc>
          <w:tcPr>
            <w:tcW w:w="1462" w:type="dxa"/>
            <w:tcBorders>
              <w:top w:val="single" w:sz="4" w:space="0" w:color="auto"/>
              <w:left w:val="single" w:sz="4" w:space="0" w:color="auto"/>
            </w:tcBorders>
            <w:shd w:val="clear" w:color="auto" w:fill="FFFFFF"/>
            <w:vAlign w:val="bottom"/>
          </w:tcPr>
          <w:p w14:paraId="00171720"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М-22</w:t>
            </w:r>
          </w:p>
        </w:tc>
        <w:tc>
          <w:tcPr>
            <w:tcW w:w="1476" w:type="dxa"/>
            <w:tcBorders>
              <w:top w:val="single" w:sz="4" w:space="0" w:color="auto"/>
              <w:left w:val="single" w:sz="4" w:space="0" w:color="auto"/>
              <w:right w:val="single" w:sz="4" w:space="0" w:color="auto"/>
            </w:tcBorders>
            <w:shd w:val="clear" w:color="auto" w:fill="FFFFFF"/>
            <w:vAlign w:val="bottom"/>
          </w:tcPr>
          <w:p w14:paraId="10DEE6EB"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281</w:t>
            </w:r>
          </w:p>
        </w:tc>
      </w:tr>
      <w:tr w:rsidR="009D1B9A" w:rsidRPr="00142305" w14:paraId="08395A26" w14:textId="77777777" w:rsidTr="009D1B9A">
        <w:trPr>
          <w:trHeight w:hRule="exact" w:val="191"/>
        </w:trPr>
        <w:tc>
          <w:tcPr>
            <w:tcW w:w="580" w:type="dxa"/>
            <w:tcBorders>
              <w:top w:val="single" w:sz="4" w:space="0" w:color="auto"/>
              <w:left w:val="single" w:sz="4" w:space="0" w:color="auto"/>
            </w:tcBorders>
            <w:shd w:val="clear" w:color="auto" w:fill="FFFFFF"/>
            <w:vAlign w:val="bottom"/>
          </w:tcPr>
          <w:p w14:paraId="0041C640"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w:t>
            </w:r>
          </w:p>
        </w:tc>
        <w:tc>
          <w:tcPr>
            <w:tcW w:w="1469" w:type="dxa"/>
            <w:tcBorders>
              <w:top w:val="single" w:sz="4" w:space="0" w:color="auto"/>
              <w:left w:val="single" w:sz="4" w:space="0" w:color="auto"/>
            </w:tcBorders>
            <w:shd w:val="clear" w:color="auto" w:fill="FFFFFF"/>
            <w:vAlign w:val="bottom"/>
          </w:tcPr>
          <w:p w14:paraId="765F4131"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Р-6</w:t>
            </w:r>
          </w:p>
        </w:tc>
        <w:tc>
          <w:tcPr>
            <w:tcW w:w="1469" w:type="dxa"/>
            <w:tcBorders>
              <w:top w:val="single" w:sz="4" w:space="0" w:color="auto"/>
              <w:left w:val="single" w:sz="4" w:space="0" w:color="auto"/>
            </w:tcBorders>
            <w:shd w:val="clear" w:color="auto" w:fill="FFFFFF"/>
            <w:vAlign w:val="bottom"/>
          </w:tcPr>
          <w:p w14:paraId="3F54DAA1"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50</w:t>
            </w:r>
          </w:p>
        </w:tc>
        <w:tc>
          <w:tcPr>
            <w:tcW w:w="1462" w:type="dxa"/>
            <w:tcBorders>
              <w:top w:val="single" w:sz="4" w:space="0" w:color="auto"/>
              <w:left w:val="single" w:sz="4" w:space="0" w:color="auto"/>
            </w:tcBorders>
            <w:shd w:val="clear" w:color="auto" w:fill="FFFFFF"/>
            <w:vAlign w:val="bottom"/>
          </w:tcPr>
          <w:p w14:paraId="35543505"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М-11</w:t>
            </w:r>
          </w:p>
        </w:tc>
        <w:tc>
          <w:tcPr>
            <w:tcW w:w="1476" w:type="dxa"/>
            <w:tcBorders>
              <w:top w:val="single" w:sz="4" w:space="0" w:color="auto"/>
              <w:left w:val="single" w:sz="4" w:space="0" w:color="auto"/>
              <w:right w:val="single" w:sz="4" w:space="0" w:color="auto"/>
            </w:tcBorders>
            <w:shd w:val="clear" w:color="auto" w:fill="FFFFFF"/>
            <w:vAlign w:val="bottom"/>
          </w:tcPr>
          <w:p w14:paraId="7A82D52F"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971</w:t>
            </w:r>
          </w:p>
        </w:tc>
      </w:tr>
      <w:tr w:rsidR="009D1B9A" w:rsidRPr="00142305" w14:paraId="6513E8B4" w14:textId="77777777" w:rsidTr="009D1B9A">
        <w:trPr>
          <w:trHeight w:hRule="exact" w:val="191"/>
        </w:trPr>
        <w:tc>
          <w:tcPr>
            <w:tcW w:w="580" w:type="dxa"/>
            <w:tcBorders>
              <w:top w:val="single" w:sz="4" w:space="0" w:color="auto"/>
              <w:left w:val="single" w:sz="4" w:space="0" w:color="auto"/>
            </w:tcBorders>
            <w:shd w:val="clear" w:color="auto" w:fill="FFFFFF"/>
            <w:vAlign w:val="bottom"/>
          </w:tcPr>
          <w:p w14:paraId="1B4410D7"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w:t>
            </w:r>
          </w:p>
        </w:tc>
        <w:tc>
          <w:tcPr>
            <w:tcW w:w="1469" w:type="dxa"/>
            <w:tcBorders>
              <w:top w:val="single" w:sz="4" w:space="0" w:color="auto"/>
              <w:left w:val="single" w:sz="4" w:space="0" w:color="auto"/>
            </w:tcBorders>
            <w:shd w:val="clear" w:color="auto" w:fill="FFFFFF"/>
            <w:vAlign w:val="bottom"/>
          </w:tcPr>
          <w:p w14:paraId="1D46C1F4"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Истребители</w:t>
            </w:r>
          </w:p>
        </w:tc>
        <w:tc>
          <w:tcPr>
            <w:tcW w:w="1469" w:type="dxa"/>
            <w:tcBorders>
              <w:top w:val="single" w:sz="4" w:space="0" w:color="auto"/>
              <w:left w:val="single" w:sz="4" w:space="0" w:color="auto"/>
            </w:tcBorders>
            <w:shd w:val="clear" w:color="auto" w:fill="FFFFFF"/>
            <w:vAlign w:val="bottom"/>
          </w:tcPr>
          <w:p w14:paraId="3E8B69CF"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376</w:t>
            </w:r>
          </w:p>
        </w:tc>
        <w:tc>
          <w:tcPr>
            <w:tcW w:w="1462" w:type="dxa"/>
            <w:tcBorders>
              <w:top w:val="single" w:sz="4" w:space="0" w:color="auto"/>
              <w:left w:val="single" w:sz="4" w:space="0" w:color="auto"/>
            </w:tcBorders>
            <w:shd w:val="clear" w:color="auto" w:fill="FFFFFF"/>
            <w:vAlign w:val="bottom"/>
          </w:tcPr>
          <w:p w14:paraId="0566FE93"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М-15</w:t>
            </w:r>
          </w:p>
        </w:tc>
        <w:tc>
          <w:tcPr>
            <w:tcW w:w="1476" w:type="dxa"/>
            <w:tcBorders>
              <w:top w:val="single" w:sz="4" w:space="0" w:color="auto"/>
              <w:left w:val="single" w:sz="4" w:space="0" w:color="auto"/>
              <w:right w:val="single" w:sz="4" w:space="0" w:color="auto"/>
            </w:tcBorders>
            <w:shd w:val="clear" w:color="auto" w:fill="FFFFFF"/>
            <w:vAlign w:val="bottom"/>
          </w:tcPr>
          <w:p w14:paraId="5B40EEBE"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430</w:t>
            </w:r>
          </w:p>
        </w:tc>
      </w:tr>
      <w:tr w:rsidR="009D1B9A" w:rsidRPr="00142305" w14:paraId="6A393778" w14:textId="77777777" w:rsidTr="009D1B9A">
        <w:trPr>
          <w:trHeight w:hRule="exact" w:val="194"/>
        </w:trPr>
        <w:tc>
          <w:tcPr>
            <w:tcW w:w="580" w:type="dxa"/>
            <w:tcBorders>
              <w:top w:val="single" w:sz="4" w:space="0" w:color="auto"/>
              <w:left w:val="single" w:sz="4" w:space="0" w:color="auto"/>
            </w:tcBorders>
            <w:shd w:val="clear" w:color="auto" w:fill="FFFFFF"/>
            <w:vAlign w:val="bottom"/>
          </w:tcPr>
          <w:p w14:paraId="47D340FE"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w:t>
            </w:r>
          </w:p>
        </w:tc>
        <w:tc>
          <w:tcPr>
            <w:tcW w:w="1469" w:type="dxa"/>
            <w:tcBorders>
              <w:top w:val="single" w:sz="4" w:space="0" w:color="auto"/>
              <w:left w:val="single" w:sz="4" w:space="0" w:color="auto"/>
            </w:tcBorders>
            <w:shd w:val="clear" w:color="auto" w:fill="FFFFFF"/>
            <w:vAlign w:val="bottom"/>
          </w:tcPr>
          <w:p w14:paraId="0E7136EE"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ТБ-3</w:t>
            </w:r>
          </w:p>
        </w:tc>
        <w:tc>
          <w:tcPr>
            <w:tcW w:w="1469" w:type="dxa"/>
            <w:tcBorders>
              <w:top w:val="single" w:sz="4" w:space="0" w:color="auto"/>
              <w:left w:val="single" w:sz="4" w:space="0" w:color="auto"/>
            </w:tcBorders>
            <w:shd w:val="clear" w:color="auto" w:fill="FFFFFF"/>
            <w:vAlign w:val="bottom"/>
          </w:tcPr>
          <w:p w14:paraId="2854F618"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w:t>
            </w:r>
          </w:p>
        </w:tc>
        <w:tc>
          <w:tcPr>
            <w:tcW w:w="1462" w:type="dxa"/>
            <w:tcBorders>
              <w:top w:val="single" w:sz="4" w:space="0" w:color="auto"/>
              <w:left w:val="single" w:sz="4" w:space="0" w:color="auto"/>
            </w:tcBorders>
            <w:shd w:val="clear" w:color="auto" w:fill="FFFFFF"/>
            <w:vAlign w:val="bottom"/>
          </w:tcPr>
          <w:p w14:paraId="5E71C1F2"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М-27</w:t>
            </w:r>
          </w:p>
        </w:tc>
        <w:tc>
          <w:tcPr>
            <w:tcW w:w="1476" w:type="dxa"/>
            <w:tcBorders>
              <w:top w:val="single" w:sz="4" w:space="0" w:color="auto"/>
              <w:left w:val="single" w:sz="4" w:space="0" w:color="auto"/>
              <w:right w:val="single" w:sz="4" w:space="0" w:color="auto"/>
            </w:tcBorders>
            <w:shd w:val="clear" w:color="auto" w:fill="FFFFFF"/>
            <w:vAlign w:val="bottom"/>
          </w:tcPr>
          <w:p w14:paraId="4D2A48D7"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150</w:t>
            </w:r>
          </w:p>
        </w:tc>
      </w:tr>
      <w:tr w:rsidR="009D1B9A" w:rsidRPr="00142305" w14:paraId="1F8B8BDC" w14:textId="77777777" w:rsidTr="009D1B9A">
        <w:trPr>
          <w:trHeight w:hRule="exact" w:val="191"/>
        </w:trPr>
        <w:tc>
          <w:tcPr>
            <w:tcW w:w="580" w:type="dxa"/>
            <w:tcBorders>
              <w:top w:val="single" w:sz="4" w:space="0" w:color="auto"/>
              <w:left w:val="single" w:sz="4" w:space="0" w:color="auto"/>
            </w:tcBorders>
            <w:shd w:val="clear" w:color="auto" w:fill="FFFFFF"/>
            <w:vAlign w:val="bottom"/>
          </w:tcPr>
          <w:p w14:paraId="3011EEDB"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6</w:t>
            </w:r>
          </w:p>
        </w:tc>
        <w:tc>
          <w:tcPr>
            <w:tcW w:w="1469" w:type="dxa"/>
            <w:tcBorders>
              <w:top w:val="single" w:sz="4" w:space="0" w:color="auto"/>
              <w:left w:val="single" w:sz="4" w:space="0" w:color="auto"/>
            </w:tcBorders>
            <w:shd w:val="clear" w:color="auto" w:fill="FFFFFF"/>
            <w:vAlign w:val="bottom"/>
          </w:tcPr>
          <w:p w14:paraId="3B050F7E"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У-2 (учебные)</w:t>
            </w:r>
          </w:p>
        </w:tc>
        <w:tc>
          <w:tcPr>
            <w:tcW w:w="1469" w:type="dxa"/>
            <w:tcBorders>
              <w:top w:val="single" w:sz="4" w:space="0" w:color="auto"/>
              <w:left w:val="single" w:sz="4" w:space="0" w:color="auto"/>
            </w:tcBorders>
            <w:shd w:val="clear" w:color="auto" w:fill="FFFFFF"/>
            <w:vAlign w:val="bottom"/>
          </w:tcPr>
          <w:p w14:paraId="4C3016A3"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809</w:t>
            </w:r>
          </w:p>
        </w:tc>
        <w:tc>
          <w:tcPr>
            <w:tcW w:w="1462" w:type="dxa"/>
            <w:tcBorders>
              <w:top w:val="single" w:sz="4" w:space="0" w:color="auto"/>
              <w:left w:val="single" w:sz="4" w:space="0" w:color="auto"/>
            </w:tcBorders>
            <w:shd w:val="clear" w:color="auto" w:fill="FFFFFF"/>
            <w:vAlign w:val="bottom"/>
          </w:tcPr>
          <w:p w14:paraId="6BE13817"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М-26</w:t>
            </w:r>
          </w:p>
        </w:tc>
        <w:tc>
          <w:tcPr>
            <w:tcW w:w="1476" w:type="dxa"/>
            <w:tcBorders>
              <w:top w:val="single" w:sz="4" w:space="0" w:color="auto"/>
              <w:left w:val="single" w:sz="4" w:space="0" w:color="auto"/>
              <w:right w:val="single" w:sz="4" w:space="0" w:color="auto"/>
            </w:tcBorders>
            <w:shd w:val="clear" w:color="auto" w:fill="FFFFFF"/>
            <w:vAlign w:val="bottom"/>
          </w:tcPr>
          <w:p w14:paraId="3A31B222"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410</w:t>
            </w:r>
          </w:p>
        </w:tc>
      </w:tr>
      <w:tr w:rsidR="009D1B9A" w:rsidRPr="00142305" w14:paraId="1126775D" w14:textId="77777777" w:rsidTr="009D1B9A">
        <w:trPr>
          <w:trHeight w:hRule="exact" w:val="194"/>
        </w:trPr>
        <w:tc>
          <w:tcPr>
            <w:tcW w:w="580" w:type="dxa"/>
            <w:tcBorders>
              <w:top w:val="single" w:sz="4" w:space="0" w:color="auto"/>
              <w:left w:val="single" w:sz="4" w:space="0" w:color="auto"/>
            </w:tcBorders>
            <w:shd w:val="clear" w:color="auto" w:fill="FFFFFF"/>
            <w:vAlign w:val="bottom"/>
          </w:tcPr>
          <w:p w14:paraId="478131AA"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w:t>
            </w:r>
          </w:p>
        </w:tc>
        <w:tc>
          <w:tcPr>
            <w:tcW w:w="1469" w:type="dxa"/>
            <w:tcBorders>
              <w:top w:val="single" w:sz="4" w:space="0" w:color="auto"/>
              <w:left w:val="single" w:sz="4" w:space="0" w:color="auto"/>
            </w:tcBorders>
            <w:shd w:val="clear" w:color="auto" w:fill="FFFFFF"/>
            <w:vAlign w:val="bottom"/>
          </w:tcPr>
          <w:p w14:paraId="425B302F"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С-62-бис (Савойя)</w:t>
            </w:r>
          </w:p>
        </w:tc>
        <w:tc>
          <w:tcPr>
            <w:tcW w:w="1469" w:type="dxa"/>
            <w:tcBorders>
              <w:top w:val="single" w:sz="4" w:space="0" w:color="auto"/>
              <w:left w:val="single" w:sz="4" w:space="0" w:color="auto"/>
            </w:tcBorders>
            <w:shd w:val="clear" w:color="auto" w:fill="FFFFFF"/>
            <w:vAlign w:val="bottom"/>
          </w:tcPr>
          <w:p w14:paraId="3F54445B"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30</w:t>
            </w:r>
          </w:p>
        </w:tc>
        <w:tc>
          <w:tcPr>
            <w:tcW w:w="1462" w:type="dxa"/>
            <w:tcBorders>
              <w:top w:val="single" w:sz="4" w:space="0" w:color="auto"/>
              <w:left w:val="single" w:sz="4" w:space="0" w:color="auto"/>
            </w:tcBorders>
            <w:shd w:val="clear" w:color="auto" w:fill="FFFFFF"/>
            <w:vAlign w:val="bottom"/>
          </w:tcPr>
          <w:p w14:paraId="1ECF2343"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М-19</w:t>
            </w:r>
          </w:p>
        </w:tc>
        <w:tc>
          <w:tcPr>
            <w:tcW w:w="1476" w:type="dxa"/>
            <w:tcBorders>
              <w:top w:val="single" w:sz="4" w:space="0" w:color="auto"/>
              <w:left w:val="single" w:sz="4" w:space="0" w:color="auto"/>
              <w:right w:val="single" w:sz="4" w:space="0" w:color="auto"/>
            </w:tcBorders>
            <w:shd w:val="clear" w:color="auto" w:fill="FFFFFF"/>
            <w:vAlign w:val="bottom"/>
          </w:tcPr>
          <w:p w14:paraId="0B8890C4"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w:t>
            </w:r>
          </w:p>
        </w:tc>
      </w:tr>
      <w:tr w:rsidR="009D1B9A" w:rsidRPr="00142305" w14:paraId="278535DF" w14:textId="77777777" w:rsidTr="009D1B9A">
        <w:trPr>
          <w:trHeight w:hRule="exact" w:val="191"/>
        </w:trPr>
        <w:tc>
          <w:tcPr>
            <w:tcW w:w="580" w:type="dxa"/>
            <w:tcBorders>
              <w:top w:val="single" w:sz="4" w:space="0" w:color="auto"/>
              <w:left w:val="single" w:sz="4" w:space="0" w:color="auto"/>
            </w:tcBorders>
            <w:shd w:val="clear" w:color="auto" w:fill="FFFFFF"/>
            <w:vAlign w:val="bottom"/>
          </w:tcPr>
          <w:p w14:paraId="0BBDDB31"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8</w:t>
            </w:r>
          </w:p>
        </w:tc>
        <w:tc>
          <w:tcPr>
            <w:tcW w:w="1469" w:type="dxa"/>
            <w:tcBorders>
              <w:top w:val="single" w:sz="4" w:space="0" w:color="auto"/>
              <w:left w:val="single" w:sz="4" w:space="0" w:color="auto"/>
            </w:tcBorders>
            <w:shd w:val="clear" w:color="auto" w:fill="FFFFFF"/>
            <w:vAlign w:val="bottom"/>
          </w:tcPr>
          <w:p w14:paraId="0D8EA751"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ТШ (штурмовые)</w:t>
            </w:r>
          </w:p>
        </w:tc>
        <w:tc>
          <w:tcPr>
            <w:tcW w:w="1469" w:type="dxa"/>
            <w:tcBorders>
              <w:top w:val="single" w:sz="4" w:space="0" w:color="auto"/>
              <w:left w:val="single" w:sz="4" w:space="0" w:color="auto"/>
            </w:tcBorders>
            <w:shd w:val="clear" w:color="auto" w:fill="FFFFFF"/>
            <w:vAlign w:val="bottom"/>
          </w:tcPr>
          <w:p w14:paraId="34B590F7"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w:t>
            </w:r>
          </w:p>
        </w:tc>
        <w:tc>
          <w:tcPr>
            <w:tcW w:w="1462" w:type="dxa"/>
            <w:tcBorders>
              <w:top w:val="single" w:sz="4" w:space="0" w:color="auto"/>
              <w:left w:val="single" w:sz="4" w:space="0" w:color="auto"/>
            </w:tcBorders>
            <w:shd w:val="clear" w:color="auto" w:fill="FFFFFF"/>
            <w:vAlign w:val="bottom"/>
          </w:tcPr>
          <w:p w14:paraId="34871299"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М-34</w:t>
            </w:r>
          </w:p>
        </w:tc>
        <w:tc>
          <w:tcPr>
            <w:tcW w:w="1476" w:type="dxa"/>
            <w:tcBorders>
              <w:top w:val="single" w:sz="4" w:space="0" w:color="auto"/>
              <w:left w:val="single" w:sz="4" w:space="0" w:color="auto"/>
              <w:right w:val="single" w:sz="4" w:space="0" w:color="auto"/>
            </w:tcBorders>
            <w:shd w:val="clear" w:color="auto" w:fill="FFFFFF"/>
            <w:vAlign w:val="bottom"/>
          </w:tcPr>
          <w:p w14:paraId="3CE13A45"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8</w:t>
            </w:r>
          </w:p>
        </w:tc>
      </w:tr>
      <w:tr w:rsidR="009D1B9A" w:rsidRPr="00142305" w14:paraId="48A355E6" w14:textId="77777777" w:rsidTr="009D1B9A">
        <w:trPr>
          <w:trHeight w:hRule="exact" w:val="194"/>
        </w:trPr>
        <w:tc>
          <w:tcPr>
            <w:tcW w:w="580" w:type="dxa"/>
            <w:tcBorders>
              <w:top w:val="single" w:sz="4" w:space="0" w:color="auto"/>
              <w:left w:val="single" w:sz="4" w:space="0" w:color="auto"/>
            </w:tcBorders>
            <w:shd w:val="clear" w:color="auto" w:fill="FFFFFF"/>
            <w:vAlign w:val="bottom"/>
          </w:tcPr>
          <w:p w14:paraId="3C706675"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9</w:t>
            </w:r>
          </w:p>
        </w:tc>
        <w:tc>
          <w:tcPr>
            <w:tcW w:w="1469" w:type="dxa"/>
            <w:tcBorders>
              <w:top w:val="single" w:sz="4" w:space="0" w:color="auto"/>
              <w:left w:val="single" w:sz="4" w:space="0" w:color="auto"/>
            </w:tcBorders>
            <w:shd w:val="clear" w:color="auto" w:fill="FFFFFF"/>
            <w:vAlign w:val="bottom"/>
          </w:tcPr>
          <w:p w14:paraId="3F17640E"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АНТ-9</w:t>
            </w:r>
          </w:p>
        </w:tc>
        <w:tc>
          <w:tcPr>
            <w:tcW w:w="1469" w:type="dxa"/>
            <w:tcBorders>
              <w:top w:val="single" w:sz="4" w:space="0" w:color="auto"/>
              <w:left w:val="single" w:sz="4" w:space="0" w:color="auto"/>
            </w:tcBorders>
            <w:shd w:val="clear" w:color="auto" w:fill="FFFFFF"/>
            <w:vAlign w:val="bottom"/>
          </w:tcPr>
          <w:p w14:paraId="7F6646D9"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114</w:t>
            </w:r>
          </w:p>
        </w:tc>
        <w:tc>
          <w:tcPr>
            <w:tcW w:w="1462" w:type="dxa"/>
            <w:tcBorders>
              <w:top w:val="single" w:sz="4" w:space="0" w:color="auto"/>
              <w:left w:val="single" w:sz="4" w:space="0" w:color="auto"/>
            </w:tcBorders>
            <w:shd w:val="clear" w:color="auto" w:fill="FFFFFF"/>
            <w:vAlign w:val="bottom"/>
          </w:tcPr>
          <w:p w14:paraId="11B8E3E7"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КУН</w:t>
            </w:r>
          </w:p>
        </w:tc>
        <w:tc>
          <w:tcPr>
            <w:tcW w:w="1476" w:type="dxa"/>
            <w:tcBorders>
              <w:top w:val="single" w:sz="4" w:space="0" w:color="auto"/>
              <w:left w:val="single" w:sz="4" w:space="0" w:color="auto"/>
              <w:right w:val="single" w:sz="4" w:space="0" w:color="auto"/>
            </w:tcBorders>
            <w:shd w:val="clear" w:color="auto" w:fill="FFFFFF"/>
            <w:vAlign w:val="bottom"/>
          </w:tcPr>
          <w:p w14:paraId="7D0BCC23"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w:t>
            </w:r>
          </w:p>
        </w:tc>
      </w:tr>
      <w:tr w:rsidR="009D1B9A" w:rsidRPr="00142305" w14:paraId="474E8ED9" w14:textId="77777777" w:rsidTr="009D1B9A">
        <w:trPr>
          <w:trHeight w:hRule="exact" w:val="187"/>
        </w:trPr>
        <w:tc>
          <w:tcPr>
            <w:tcW w:w="580" w:type="dxa"/>
            <w:tcBorders>
              <w:top w:val="single" w:sz="4" w:space="0" w:color="auto"/>
              <w:left w:val="single" w:sz="4" w:space="0" w:color="auto"/>
            </w:tcBorders>
            <w:shd w:val="clear" w:color="auto" w:fill="FFFFFF"/>
            <w:vAlign w:val="bottom"/>
          </w:tcPr>
          <w:p w14:paraId="3D2323B5"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w:t>
            </w:r>
          </w:p>
        </w:tc>
        <w:tc>
          <w:tcPr>
            <w:tcW w:w="1469" w:type="dxa"/>
            <w:tcBorders>
              <w:top w:val="single" w:sz="4" w:space="0" w:color="auto"/>
              <w:left w:val="single" w:sz="4" w:space="0" w:color="auto"/>
            </w:tcBorders>
            <w:shd w:val="clear" w:color="auto" w:fill="FFFFFF"/>
            <w:vAlign w:val="bottom"/>
          </w:tcPr>
          <w:p w14:paraId="081DB7B7"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К-5</w:t>
            </w:r>
          </w:p>
        </w:tc>
        <w:tc>
          <w:tcPr>
            <w:tcW w:w="1469" w:type="dxa"/>
            <w:tcBorders>
              <w:top w:val="single" w:sz="4" w:space="0" w:color="auto"/>
              <w:left w:val="single" w:sz="4" w:space="0" w:color="auto"/>
            </w:tcBorders>
            <w:shd w:val="clear" w:color="auto" w:fill="FFFFFF"/>
            <w:vAlign w:val="bottom"/>
          </w:tcPr>
          <w:p w14:paraId="771D9C9A"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205</w:t>
            </w:r>
          </w:p>
        </w:tc>
        <w:tc>
          <w:tcPr>
            <w:tcW w:w="1462" w:type="dxa"/>
            <w:tcBorders>
              <w:top w:val="single" w:sz="4" w:space="0" w:color="auto"/>
              <w:left w:val="single" w:sz="4" w:space="0" w:color="auto"/>
            </w:tcBorders>
            <w:shd w:val="clear" w:color="auto" w:fill="FFFFFF"/>
          </w:tcPr>
          <w:p w14:paraId="460DB7D5" w14:textId="77777777" w:rsidR="009D1B9A" w:rsidRPr="00142305" w:rsidRDefault="009D1B9A" w:rsidP="00DC550A">
            <w:pPr>
              <w:spacing w:after="0" w:line="240" w:lineRule="auto"/>
              <w:jc w:val="both"/>
              <w:rPr>
                <w:rFonts w:ascii="Times New Roman" w:hAnsi="Times New Roman"/>
                <w:color w:val="0070C0"/>
                <w:sz w:val="16"/>
                <w:szCs w:val="16"/>
              </w:rPr>
            </w:pPr>
          </w:p>
        </w:tc>
        <w:tc>
          <w:tcPr>
            <w:tcW w:w="1476" w:type="dxa"/>
            <w:tcBorders>
              <w:top w:val="single" w:sz="4" w:space="0" w:color="auto"/>
              <w:left w:val="single" w:sz="4" w:space="0" w:color="auto"/>
              <w:right w:val="single" w:sz="4" w:space="0" w:color="auto"/>
            </w:tcBorders>
            <w:shd w:val="clear" w:color="auto" w:fill="FFFFFF"/>
            <w:vAlign w:val="bottom"/>
          </w:tcPr>
          <w:p w14:paraId="175231D6"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r>
      <w:tr w:rsidR="009D1B9A" w:rsidRPr="00142305" w14:paraId="6DBF08D6" w14:textId="77777777" w:rsidTr="009D1B9A">
        <w:trPr>
          <w:trHeight w:hRule="exact" w:val="187"/>
        </w:trPr>
        <w:tc>
          <w:tcPr>
            <w:tcW w:w="580" w:type="dxa"/>
            <w:tcBorders>
              <w:top w:val="single" w:sz="4" w:space="0" w:color="auto"/>
              <w:left w:val="single" w:sz="4" w:space="0" w:color="auto"/>
            </w:tcBorders>
            <w:shd w:val="clear" w:color="auto" w:fill="FFFFFF"/>
            <w:vAlign w:val="bottom"/>
          </w:tcPr>
          <w:p w14:paraId="2BCAE5D6"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11</w:t>
            </w:r>
          </w:p>
        </w:tc>
        <w:tc>
          <w:tcPr>
            <w:tcW w:w="1469" w:type="dxa"/>
            <w:tcBorders>
              <w:top w:val="single" w:sz="4" w:space="0" w:color="auto"/>
              <w:left w:val="single" w:sz="4" w:space="0" w:color="auto"/>
            </w:tcBorders>
            <w:shd w:val="clear" w:color="auto" w:fill="FFFFFF"/>
            <w:vAlign w:val="bottom"/>
          </w:tcPr>
          <w:p w14:paraId="21E015C4"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У-1</w:t>
            </w:r>
          </w:p>
        </w:tc>
        <w:tc>
          <w:tcPr>
            <w:tcW w:w="1469" w:type="dxa"/>
            <w:tcBorders>
              <w:top w:val="single" w:sz="4" w:space="0" w:color="auto"/>
              <w:left w:val="single" w:sz="4" w:space="0" w:color="auto"/>
            </w:tcBorders>
            <w:shd w:val="clear" w:color="auto" w:fill="FFFFFF"/>
            <w:vAlign w:val="bottom"/>
          </w:tcPr>
          <w:p w14:paraId="2CAFBD92"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105</w:t>
            </w:r>
          </w:p>
        </w:tc>
        <w:tc>
          <w:tcPr>
            <w:tcW w:w="1462" w:type="dxa"/>
            <w:tcBorders>
              <w:top w:val="single" w:sz="4" w:space="0" w:color="auto"/>
              <w:left w:val="single" w:sz="4" w:space="0" w:color="auto"/>
            </w:tcBorders>
            <w:shd w:val="clear" w:color="auto" w:fill="FFFFFF"/>
          </w:tcPr>
          <w:p w14:paraId="6D085ACF" w14:textId="77777777" w:rsidR="009D1B9A" w:rsidRPr="00142305" w:rsidRDefault="009D1B9A" w:rsidP="00DC550A">
            <w:pPr>
              <w:spacing w:after="0" w:line="240" w:lineRule="auto"/>
              <w:jc w:val="both"/>
              <w:rPr>
                <w:rFonts w:ascii="Times New Roman" w:hAnsi="Times New Roman"/>
                <w:color w:val="0070C0"/>
                <w:sz w:val="16"/>
                <w:szCs w:val="16"/>
              </w:rPr>
            </w:pPr>
          </w:p>
        </w:tc>
        <w:tc>
          <w:tcPr>
            <w:tcW w:w="1476" w:type="dxa"/>
            <w:tcBorders>
              <w:top w:val="single" w:sz="4" w:space="0" w:color="auto"/>
              <w:left w:val="single" w:sz="4" w:space="0" w:color="auto"/>
              <w:right w:val="single" w:sz="4" w:space="0" w:color="auto"/>
            </w:tcBorders>
            <w:shd w:val="clear" w:color="auto" w:fill="FFFFFF"/>
            <w:vAlign w:val="bottom"/>
          </w:tcPr>
          <w:p w14:paraId="7490B00E"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r>
      <w:tr w:rsidR="009D1B9A" w:rsidRPr="00142305" w14:paraId="5303A9D2" w14:textId="77777777" w:rsidTr="009D1B9A">
        <w:trPr>
          <w:trHeight w:hRule="exact" w:val="187"/>
        </w:trPr>
        <w:tc>
          <w:tcPr>
            <w:tcW w:w="580" w:type="dxa"/>
            <w:tcBorders>
              <w:top w:val="single" w:sz="4" w:space="0" w:color="auto"/>
              <w:left w:val="single" w:sz="4" w:space="0" w:color="auto"/>
            </w:tcBorders>
            <w:shd w:val="clear" w:color="auto" w:fill="FFFFFF"/>
            <w:vAlign w:val="bottom"/>
          </w:tcPr>
          <w:p w14:paraId="54C2EE68"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lastRenderedPageBreak/>
              <w:t>12</w:t>
            </w:r>
          </w:p>
        </w:tc>
        <w:tc>
          <w:tcPr>
            <w:tcW w:w="1469" w:type="dxa"/>
            <w:tcBorders>
              <w:top w:val="single" w:sz="4" w:space="0" w:color="auto"/>
              <w:left w:val="single" w:sz="4" w:space="0" w:color="auto"/>
            </w:tcBorders>
            <w:shd w:val="clear" w:color="auto" w:fill="FFFFFF"/>
            <w:vAlign w:val="bottom"/>
          </w:tcPr>
          <w:p w14:paraId="5540DE93"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Р-1</w:t>
            </w:r>
          </w:p>
        </w:tc>
        <w:tc>
          <w:tcPr>
            <w:tcW w:w="1469" w:type="dxa"/>
            <w:tcBorders>
              <w:top w:val="single" w:sz="4" w:space="0" w:color="auto"/>
              <w:left w:val="single" w:sz="4" w:space="0" w:color="auto"/>
            </w:tcBorders>
            <w:shd w:val="clear" w:color="auto" w:fill="FFFFFF"/>
            <w:vAlign w:val="bottom"/>
          </w:tcPr>
          <w:p w14:paraId="34A7A297"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302</w:t>
            </w:r>
          </w:p>
        </w:tc>
        <w:tc>
          <w:tcPr>
            <w:tcW w:w="1462" w:type="dxa"/>
            <w:tcBorders>
              <w:top w:val="single" w:sz="4" w:space="0" w:color="auto"/>
              <w:left w:val="single" w:sz="4" w:space="0" w:color="auto"/>
            </w:tcBorders>
            <w:shd w:val="clear" w:color="auto" w:fill="FFFFFF"/>
          </w:tcPr>
          <w:p w14:paraId="1E1557FE" w14:textId="77777777" w:rsidR="009D1B9A" w:rsidRPr="00142305" w:rsidRDefault="009D1B9A" w:rsidP="00DC550A">
            <w:pPr>
              <w:spacing w:after="0" w:line="240" w:lineRule="auto"/>
              <w:jc w:val="both"/>
              <w:rPr>
                <w:rFonts w:ascii="Times New Roman" w:hAnsi="Times New Roman"/>
                <w:color w:val="0070C0"/>
                <w:sz w:val="16"/>
                <w:szCs w:val="16"/>
              </w:rPr>
            </w:pPr>
          </w:p>
        </w:tc>
        <w:tc>
          <w:tcPr>
            <w:tcW w:w="1476" w:type="dxa"/>
            <w:tcBorders>
              <w:top w:val="single" w:sz="4" w:space="0" w:color="auto"/>
              <w:left w:val="single" w:sz="4" w:space="0" w:color="auto"/>
              <w:right w:val="single" w:sz="4" w:space="0" w:color="auto"/>
            </w:tcBorders>
            <w:shd w:val="clear" w:color="auto" w:fill="FFFFFF"/>
            <w:vAlign w:val="bottom"/>
          </w:tcPr>
          <w:p w14:paraId="33DD7CA6"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r>
      <w:tr w:rsidR="009D1B9A" w:rsidRPr="00142305" w14:paraId="08C4B77A" w14:textId="77777777" w:rsidTr="009D1B9A">
        <w:trPr>
          <w:trHeight w:hRule="exact" w:val="187"/>
        </w:trPr>
        <w:tc>
          <w:tcPr>
            <w:tcW w:w="580" w:type="dxa"/>
            <w:tcBorders>
              <w:top w:val="single" w:sz="4" w:space="0" w:color="auto"/>
              <w:left w:val="single" w:sz="4" w:space="0" w:color="auto"/>
            </w:tcBorders>
            <w:shd w:val="clear" w:color="auto" w:fill="FFFFFF"/>
            <w:vAlign w:val="bottom"/>
          </w:tcPr>
          <w:p w14:paraId="4E96BBFF"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13</w:t>
            </w:r>
          </w:p>
        </w:tc>
        <w:tc>
          <w:tcPr>
            <w:tcW w:w="1469" w:type="dxa"/>
            <w:tcBorders>
              <w:top w:val="single" w:sz="4" w:space="0" w:color="auto"/>
              <w:left w:val="single" w:sz="4" w:space="0" w:color="auto"/>
            </w:tcBorders>
            <w:shd w:val="clear" w:color="auto" w:fill="FFFFFF"/>
            <w:vAlign w:val="bottom"/>
          </w:tcPr>
          <w:p w14:paraId="07B71642"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АП-2</w:t>
            </w:r>
          </w:p>
        </w:tc>
        <w:tc>
          <w:tcPr>
            <w:tcW w:w="1469" w:type="dxa"/>
            <w:tcBorders>
              <w:top w:val="single" w:sz="4" w:space="0" w:color="auto"/>
              <w:left w:val="single" w:sz="4" w:space="0" w:color="auto"/>
            </w:tcBorders>
            <w:shd w:val="clear" w:color="auto" w:fill="FFFFFF"/>
            <w:vAlign w:val="bottom"/>
          </w:tcPr>
          <w:p w14:paraId="15DD95AE"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55</w:t>
            </w:r>
          </w:p>
        </w:tc>
        <w:tc>
          <w:tcPr>
            <w:tcW w:w="1462" w:type="dxa"/>
            <w:tcBorders>
              <w:top w:val="single" w:sz="4" w:space="0" w:color="auto"/>
              <w:left w:val="single" w:sz="4" w:space="0" w:color="auto"/>
            </w:tcBorders>
            <w:shd w:val="clear" w:color="auto" w:fill="FFFFFF"/>
          </w:tcPr>
          <w:p w14:paraId="70C3F46C" w14:textId="77777777" w:rsidR="009D1B9A" w:rsidRPr="00142305" w:rsidRDefault="009D1B9A" w:rsidP="00DC550A">
            <w:pPr>
              <w:spacing w:after="0" w:line="240" w:lineRule="auto"/>
              <w:jc w:val="both"/>
              <w:rPr>
                <w:rFonts w:ascii="Times New Roman" w:hAnsi="Times New Roman"/>
                <w:color w:val="0070C0"/>
                <w:sz w:val="16"/>
                <w:szCs w:val="16"/>
              </w:rPr>
            </w:pPr>
          </w:p>
        </w:tc>
        <w:tc>
          <w:tcPr>
            <w:tcW w:w="1476" w:type="dxa"/>
            <w:tcBorders>
              <w:top w:val="single" w:sz="4" w:space="0" w:color="auto"/>
              <w:left w:val="single" w:sz="4" w:space="0" w:color="auto"/>
              <w:right w:val="single" w:sz="4" w:space="0" w:color="auto"/>
            </w:tcBorders>
            <w:shd w:val="clear" w:color="auto" w:fill="FFFFFF"/>
            <w:vAlign w:val="bottom"/>
          </w:tcPr>
          <w:p w14:paraId="2884C6A0"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r>
      <w:tr w:rsidR="009D1B9A" w:rsidRPr="00142305" w14:paraId="31E8E3F2" w14:textId="77777777" w:rsidTr="009D1B9A">
        <w:trPr>
          <w:trHeight w:hRule="exact" w:val="187"/>
        </w:trPr>
        <w:tc>
          <w:tcPr>
            <w:tcW w:w="580" w:type="dxa"/>
            <w:tcBorders>
              <w:top w:val="single" w:sz="4" w:space="0" w:color="auto"/>
              <w:left w:val="single" w:sz="4" w:space="0" w:color="auto"/>
            </w:tcBorders>
            <w:shd w:val="clear" w:color="auto" w:fill="FFFFFF"/>
            <w:vAlign w:val="bottom"/>
          </w:tcPr>
          <w:p w14:paraId="7DBF8481"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14</w:t>
            </w:r>
          </w:p>
        </w:tc>
        <w:tc>
          <w:tcPr>
            <w:tcW w:w="1469" w:type="dxa"/>
            <w:tcBorders>
              <w:top w:val="single" w:sz="4" w:space="0" w:color="auto"/>
              <w:left w:val="single" w:sz="4" w:space="0" w:color="auto"/>
            </w:tcBorders>
            <w:shd w:val="clear" w:color="auto" w:fill="FFFFFF"/>
            <w:vAlign w:val="bottom"/>
          </w:tcPr>
          <w:p w14:paraId="374B4A1E"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П-1</w:t>
            </w:r>
          </w:p>
        </w:tc>
        <w:tc>
          <w:tcPr>
            <w:tcW w:w="1469" w:type="dxa"/>
            <w:tcBorders>
              <w:top w:val="single" w:sz="4" w:space="0" w:color="auto"/>
              <w:left w:val="single" w:sz="4" w:space="0" w:color="auto"/>
            </w:tcBorders>
            <w:shd w:val="clear" w:color="auto" w:fill="FFFFFF"/>
            <w:vAlign w:val="bottom"/>
          </w:tcPr>
          <w:p w14:paraId="5E67211C"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15</w:t>
            </w:r>
          </w:p>
        </w:tc>
        <w:tc>
          <w:tcPr>
            <w:tcW w:w="1462" w:type="dxa"/>
            <w:tcBorders>
              <w:top w:val="single" w:sz="4" w:space="0" w:color="auto"/>
              <w:left w:val="single" w:sz="4" w:space="0" w:color="auto"/>
            </w:tcBorders>
            <w:shd w:val="clear" w:color="auto" w:fill="FFFFFF"/>
          </w:tcPr>
          <w:p w14:paraId="356E2290" w14:textId="77777777" w:rsidR="009D1B9A" w:rsidRPr="00142305" w:rsidRDefault="009D1B9A" w:rsidP="00DC550A">
            <w:pPr>
              <w:spacing w:after="0" w:line="240" w:lineRule="auto"/>
              <w:jc w:val="both"/>
              <w:rPr>
                <w:rFonts w:ascii="Times New Roman" w:hAnsi="Times New Roman"/>
                <w:color w:val="0070C0"/>
                <w:sz w:val="16"/>
                <w:szCs w:val="16"/>
              </w:rPr>
            </w:pPr>
          </w:p>
        </w:tc>
        <w:tc>
          <w:tcPr>
            <w:tcW w:w="1476" w:type="dxa"/>
            <w:tcBorders>
              <w:top w:val="single" w:sz="4" w:space="0" w:color="auto"/>
              <w:left w:val="single" w:sz="4" w:space="0" w:color="auto"/>
              <w:right w:val="single" w:sz="4" w:space="0" w:color="auto"/>
            </w:tcBorders>
            <w:shd w:val="clear" w:color="auto" w:fill="FFFFFF"/>
            <w:vAlign w:val="bottom"/>
          </w:tcPr>
          <w:p w14:paraId="5D30BDA9"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r>
      <w:tr w:rsidR="009D1B9A" w:rsidRPr="00142305" w14:paraId="52A7D01C" w14:textId="77777777" w:rsidTr="009D1B9A">
        <w:trPr>
          <w:trHeight w:hRule="exact" w:val="187"/>
        </w:trPr>
        <w:tc>
          <w:tcPr>
            <w:tcW w:w="580" w:type="dxa"/>
            <w:tcBorders>
              <w:top w:val="single" w:sz="4" w:space="0" w:color="auto"/>
              <w:left w:val="single" w:sz="4" w:space="0" w:color="auto"/>
            </w:tcBorders>
            <w:shd w:val="clear" w:color="auto" w:fill="FFFFFF"/>
            <w:vAlign w:val="bottom"/>
          </w:tcPr>
          <w:p w14:paraId="4E7D95CD"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Всего</w:t>
            </w:r>
          </w:p>
        </w:tc>
        <w:tc>
          <w:tcPr>
            <w:tcW w:w="1469" w:type="dxa"/>
            <w:tcBorders>
              <w:top w:val="single" w:sz="4" w:space="0" w:color="auto"/>
              <w:left w:val="single" w:sz="4" w:space="0" w:color="auto"/>
            </w:tcBorders>
            <w:shd w:val="clear" w:color="auto" w:fill="FFFFFF"/>
            <w:vAlign w:val="bottom"/>
          </w:tcPr>
          <w:p w14:paraId="42E8BFFA"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1469" w:type="dxa"/>
            <w:tcBorders>
              <w:top w:val="single" w:sz="4" w:space="0" w:color="auto"/>
              <w:left w:val="single" w:sz="4" w:space="0" w:color="auto"/>
            </w:tcBorders>
            <w:shd w:val="clear" w:color="auto" w:fill="FFFFFF"/>
            <w:vAlign w:val="bottom"/>
          </w:tcPr>
          <w:p w14:paraId="76199FE0"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2 900, в том числе для ВВС - 2 024</w:t>
            </w:r>
          </w:p>
        </w:tc>
        <w:tc>
          <w:tcPr>
            <w:tcW w:w="1462" w:type="dxa"/>
            <w:tcBorders>
              <w:top w:val="single" w:sz="4" w:space="0" w:color="auto"/>
              <w:left w:val="single" w:sz="4" w:space="0" w:color="auto"/>
            </w:tcBorders>
            <w:shd w:val="clear" w:color="auto" w:fill="FFFFFF"/>
          </w:tcPr>
          <w:p w14:paraId="50174E35" w14:textId="77777777" w:rsidR="009D1B9A" w:rsidRPr="00142305" w:rsidRDefault="009D1B9A" w:rsidP="00DC550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w:t>
            </w:r>
          </w:p>
        </w:tc>
        <w:tc>
          <w:tcPr>
            <w:tcW w:w="1476" w:type="dxa"/>
            <w:tcBorders>
              <w:top w:val="single" w:sz="4" w:space="0" w:color="auto"/>
              <w:left w:val="single" w:sz="4" w:space="0" w:color="auto"/>
              <w:right w:val="single" w:sz="4" w:space="0" w:color="auto"/>
            </w:tcBorders>
            <w:shd w:val="clear" w:color="auto" w:fill="FFFFFF"/>
            <w:vAlign w:val="bottom"/>
          </w:tcPr>
          <w:p w14:paraId="29202E95" w14:textId="77777777" w:rsidR="009D1B9A" w:rsidRPr="00142305" w:rsidRDefault="009D1B9A"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3 170, в том числе для ВВС - 2 090</w:t>
            </w:r>
          </w:p>
        </w:tc>
      </w:tr>
    </w:tbl>
    <w:p w14:paraId="0AE7B50A" w14:textId="77777777" w:rsidR="009D1B9A" w:rsidRPr="009D1B9A" w:rsidRDefault="009D1B9A" w:rsidP="009D1B9A">
      <w:pPr>
        <w:pStyle w:val="aff1"/>
        <w:spacing w:line="240" w:lineRule="auto"/>
        <w:rPr>
          <w:rFonts w:ascii="Times New Roman" w:hAnsi="Times New Roman" w:cs="Times New Roman"/>
          <w:i w:val="0"/>
          <w:iCs w:val="0"/>
          <w:color w:val="0070C0"/>
          <w:sz w:val="16"/>
          <w:szCs w:val="16"/>
          <w:lang w:val="ru-RU"/>
        </w:rPr>
      </w:pPr>
      <w:r w:rsidRPr="009D1B9A">
        <w:rPr>
          <w:rFonts w:ascii="Times New Roman" w:hAnsi="Times New Roman" w:cs="Times New Roman"/>
          <w:i w:val="0"/>
          <w:iCs w:val="0"/>
          <w:color w:val="0070C0"/>
          <w:sz w:val="16"/>
          <w:szCs w:val="16"/>
          <w:lang w:val="ru-RU"/>
        </w:rPr>
        <w:t>Согласно этой Программе в конце 1931 г. в войска должны были поступить более двух тысяч самолетов. В подавляющем большинстве это должны были быть самолеты новых типов (24068).</w:t>
      </w:r>
    </w:p>
    <w:p w14:paraId="76190590" w14:textId="77777777" w:rsidR="009D1B9A" w:rsidRPr="00142305" w:rsidRDefault="009D1B9A" w:rsidP="009D1B9A">
      <w:pPr>
        <w:spacing w:after="0" w:line="240" w:lineRule="auto"/>
        <w:jc w:val="both"/>
        <w:rPr>
          <w:rFonts w:ascii="Times New Roman" w:hAnsi="Times New Roman"/>
          <w:color w:val="0070C0"/>
          <w:sz w:val="16"/>
          <w:szCs w:val="16"/>
        </w:rPr>
      </w:pPr>
    </w:p>
    <w:p w14:paraId="38F769B6" w14:textId="77777777" w:rsidR="009D1B9A" w:rsidRPr="00142305" w:rsidRDefault="009D1B9A" w:rsidP="009D1B9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25 июля 1931 г. вышло Постановлении № 158 Совета Труда и Обороны (СТО), в котором указывалось: «Констатировать, что постановления Правительства от 5.Ш-30 г., [неразборчиво].1Х-30 г. и от 11.1.-31 г. в отношении развития авиапромышленно</w:t>
      </w:r>
      <w:r w:rsidRPr="00142305">
        <w:rPr>
          <w:rFonts w:ascii="Times New Roman" w:hAnsi="Times New Roman"/>
          <w:color w:val="0070C0"/>
          <w:sz w:val="16"/>
          <w:szCs w:val="16"/>
        </w:rPr>
        <w:softHyphen/>
        <w:t>сти проводятся в жизнь явно неудовлетворительно. В особом квартале 1930 г. и в первом полугодии 1931 г. планы как по строительству, так и по производству фактически сорваны. (...) Констатировать, что авиационная промышленность переданная в целях ее улучшения в июле 1930 г. в ведение НКВМ, где и находи</w:t>
      </w:r>
      <w:r w:rsidRPr="00142305">
        <w:rPr>
          <w:rFonts w:ascii="Times New Roman" w:hAnsi="Times New Roman"/>
          <w:color w:val="0070C0"/>
          <w:sz w:val="16"/>
          <w:szCs w:val="16"/>
        </w:rPr>
        <w:softHyphen/>
        <w:t>лась по март 1931 г., на самом деле никакого улучшения не достигла, а наоборот, пошла вниз, ввиду чего создалась необходимость обратной ее передачи в ведение ВСНХ» (Военно-воздушные силы России. Неизвестные документы (1931-1967 гг.). - М.: Из</w:t>
      </w:r>
      <w:r w:rsidRPr="00142305">
        <w:rPr>
          <w:rFonts w:ascii="Times New Roman" w:hAnsi="Times New Roman"/>
          <w:color w:val="0070C0"/>
          <w:sz w:val="16"/>
          <w:szCs w:val="16"/>
        </w:rPr>
        <w:softHyphen/>
        <w:t>дательский Дом «Вестник Воздушного Флота», 2003. - 318 л. - Л. 4) (24968).</w:t>
      </w:r>
    </w:p>
    <w:p w14:paraId="069F4376" w14:textId="77777777" w:rsidR="009D1B9A" w:rsidRPr="00142305" w:rsidRDefault="009D1B9A" w:rsidP="009D1B9A">
      <w:pPr>
        <w:spacing w:after="0" w:line="240" w:lineRule="auto"/>
        <w:jc w:val="both"/>
        <w:rPr>
          <w:rFonts w:ascii="Times New Roman" w:hAnsi="Times New Roman"/>
          <w:color w:val="0070C0"/>
          <w:sz w:val="16"/>
          <w:szCs w:val="16"/>
        </w:rPr>
      </w:pPr>
    </w:p>
    <w:p w14:paraId="42837D29" w14:textId="77777777" w:rsidR="00A77F55" w:rsidRPr="005E779E" w:rsidRDefault="00A77F5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июля 1931 г.</w:t>
      </w:r>
    </w:p>
    <w:p w14:paraId="49656C87" w14:textId="77777777" w:rsidR="00A77F55" w:rsidRPr="005E779E" w:rsidRDefault="00A77F5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ПРИКАЗ</w:t>
      </w:r>
    </w:p>
    <w:p w14:paraId="530160B1" w14:textId="77777777" w:rsidR="00A77F55" w:rsidRPr="005E779E" w:rsidRDefault="00A77F5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РЕВОЛЮЦИОННОГО ВОЕННОГО СОВЕТА СОЮЗА СОВЕТСКИХ СОЦИАЛИСТИЧЕСКИХ РЕСПУБЛИК</w:t>
      </w:r>
    </w:p>
    <w:p w14:paraId="76E7447C" w14:textId="77777777" w:rsidR="00A77F55" w:rsidRPr="005E779E" w:rsidRDefault="00A77F5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№119</w:t>
      </w:r>
    </w:p>
    <w:p w14:paraId="213B2F40" w14:textId="77777777" w:rsidR="00A77F55" w:rsidRPr="005E779E" w:rsidRDefault="00A77F5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июля 1931 г. г. Москва</w:t>
      </w:r>
    </w:p>
    <w:p w14:paraId="76907ACB" w14:textId="77777777" w:rsidR="00A77F55" w:rsidRPr="005E779E" w:rsidRDefault="00A77F5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 присвоении отдельному авиационному отряду по испытанию морских самолетов Научно-испытательного института ВВС РККА наименования: «Отдельный авиационный отряд по испытанию морских самолетов инженер-летчика Коровкина»</w:t>
      </w:r>
    </w:p>
    <w:p w14:paraId="1FC3C811" w14:textId="77777777" w:rsidR="00A77F55" w:rsidRPr="005E779E" w:rsidRDefault="00A77F5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увековечения памяти военного инженера-механика воздушного флота военно-морского летчика Коровкина Митрофана Андреевича, погибшего при выполнении специального служебного задания, присвоить отдельному авиационному отряду по испытанию морских самолетов Научно-испытательного института ВВС РККА наименование:</w:t>
      </w:r>
    </w:p>
    <w:p w14:paraId="34DEF3A4" w14:textId="77777777" w:rsidR="00A77F55" w:rsidRPr="005E779E" w:rsidRDefault="00A77F5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«Отдельный авиационный отряд по испытанию морских самолетов имени инженера-летчика Коровкина».</w:t>
      </w:r>
    </w:p>
    <w:p w14:paraId="6835AEA5" w14:textId="77777777" w:rsidR="00A77F55" w:rsidRPr="005E779E" w:rsidRDefault="00A77F5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Заместитель Народного Комиссара по Военным и Морским Делам Председателя РВС СССР</w:t>
      </w:r>
    </w:p>
    <w:p w14:paraId="6E79E880" w14:textId="77777777" w:rsidR="00A77F55" w:rsidRPr="005E779E" w:rsidRDefault="00A77F5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Тухачевский (18518).</w:t>
      </w:r>
    </w:p>
    <w:p w14:paraId="55D95A4E" w14:textId="77777777" w:rsidR="00A77F55" w:rsidRPr="005E779E" w:rsidRDefault="00A77F55" w:rsidP="000B7A6C">
      <w:pPr>
        <w:spacing w:after="0" w:line="240" w:lineRule="auto"/>
        <w:jc w:val="both"/>
        <w:rPr>
          <w:rFonts w:ascii="Times New Roman" w:hAnsi="Times New Roman"/>
          <w:color w:val="000000" w:themeColor="text1"/>
          <w:sz w:val="16"/>
          <w:szCs w:val="16"/>
        </w:rPr>
      </w:pPr>
    </w:p>
    <w:p w14:paraId="0E6A3A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июля 1931 в Ленинград прилетел дирижабль LZ-127 "Граф Цеппелин" под управлением Г.Эккенера (438,625) для начала поисков дирижабля "Норге" (233,84). На нем с 26 по 30 июля 1931 летали несколько русских (438,625). Потом полетел в Архангельск и затем через Баренцево море к Земле Франца-Иосифа. Достиг бухты Тихой за 34 час. и сев на воду обменялся почтой с пароходом Малыгин.</w:t>
      </w:r>
    </w:p>
    <w:p w14:paraId="1C42DF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C8A70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июля 1931 г. – В Ленинград прилетел дирижабль «Граф Цеппелин» для участия в экспедиции на Советский Север. От СССР в состав экипажа дирижабля вошли Р.Л. Самойлович, П.А. Молчанов, Ф.Ф. Ассберг и Э.А. Кренкель (11013).</w:t>
      </w:r>
    </w:p>
    <w:p w14:paraId="7601CA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DCDFC1B" w14:textId="77777777" w:rsidR="0005751F" w:rsidRPr="005E779E" w:rsidRDefault="0005751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июля в 1931 году на Комендантский аэродром прибыл немецкий дирижабль ("цеппелин") "ЛЦ-127". Он совершал перелет из Берлина в Арктику, к Новой Земле (14963).</w:t>
      </w:r>
    </w:p>
    <w:p w14:paraId="224D655D" w14:textId="77777777" w:rsidR="0005751F" w:rsidRPr="005E779E" w:rsidRDefault="0005751F" w:rsidP="000B7A6C">
      <w:pPr>
        <w:spacing w:after="0" w:line="240" w:lineRule="auto"/>
        <w:jc w:val="both"/>
        <w:rPr>
          <w:rFonts w:ascii="Times New Roman" w:hAnsi="Times New Roman"/>
          <w:color w:val="000000" w:themeColor="text1"/>
          <w:sz w:val="16"/>
          <w:szCs w:val="16"/>
        </w:rPr>
      </w:pPr>
    </w:p>
    <w:p w14:paraId="0E365430" w14:textId="77777777" w:rsidR="003562F3" w:rsidRPr="005E779E" w:rsidRDefault="003562F3" w:rsidP="000B7A6C">
      <w:pPr>
        <w:pStyle w:val="a3"/>
        <w:widowControl/>
        <w:autoSpaceDE/>
        <w:autoSpaceDN/>
        <w:adjustRightInd/>
        <w:rPr>
          <w:color w:val="000000" w:themeColor="text1"/>
          <w:lang w:val="ru-RU"/>
        </w:rPr>
      </w:pPr>
      <w:r w:rsidRPr="005E779E">
        <w:rPr>
          <w:color w:val="000000" w:themeColor="text1"/>
          <w:lang w:val="ru-RU"/>
        </w:rPr>
        <w:t>На вечер 25 июля 1931 г. пришелся второй прилет «Графа Цеппелина» в Россию, теперь уже в Ленинград. Дирижабль имел на борту группу советских ученых во главе с директором Арктического института про</w:t>
      </w:r>
      <w:r w:rsidRPr="005E779E">
        <w:rPr>
          <w:color w:val="000000" w:themeColor="text1"/>
          <w:lang w:val="ru-RU"/>
        </w:rPr>
        <w:softHyphen/>
        <w:t>фессором Р.Л. Самойловичем и, спеша на Север, пользовался гостеприимством при</w:t>
      </w:r>
      <w:r w:rsidRPr="005E779E">
        <w:rPr>
          <w:color w:val="000000" w:themeColor="text1"/>
          <w:lang w:val="ru-RU"/>
        </w:rPr>
        <w:softHyphen/>
        <w:t>нимающей его стороны всего 15 ч. Поэтому банкетные речи, втом числе и комвойскЛе- нинградского военного округа И.П. Белова, были кратки. Пополнив запасы газа с заранее доставленного из Германии минизавода концерна «Сименс-Шуккерт», 12-127 отбыл в 11.00 утра курсом на Архангельск.</w:t>
      </w:r>
    </w:p>
    <w:p w14:paraId="55488024" w14:textId="77777777" w:rsidR="003562F3" w:rsidRPr="005E779E" w:rsidRDefault="003562F3" w:rsidP="000B7A6C">
      <w:pPr>
        <w:pStyle w:val="a3"/>
        <w:widowControl/>
        <w:autoSpaceDE/>
        <w:autoSpaceDN/>
        <w:adjustRightInd/>
        <w:rPr>
          <w:color w:val="000000" w:themeColor="text1"/>
          <w:lang w:val="ru-RU"/>
        </w:rPr>
      </w:pPr>
      <w:r w:rsidRPr="005E779E">
        <w:rPr>
          <w:color w:val="000000" w:themeColor="text1"/>
          <w:lang w:val="ru-RU"/>
        </w:rPr>
        <w:t>Через 91 ч (столько продлился весь полет в Арктику) цеппелин, кстати, осна</w:t>
      </w:r>
      <w:r w:rsidRPr="005E779E">
        <w:rPr>
          <w:color w:val="000000" w:themeColor="text1"/>
          <w:lang w:val="ru-RU"/>
        </w:rPr>
        <w:softHyphen/>
        <w:t>щенный прекрасной аэрофотографической аппаратурой, вторично появился над Ленин</w:t>
      </w:r>
      <w:r w:rsidRPr="005E779E">
        <w:rPr>
          <w:color w:val="000000" w:themeColor="text1"/>
          <w:lang w:val="ru-RU"/>
        </w:rPr>
        <w:softHyphen/>
        <w:t>градом, сделал два круга над аэродромом, сбросил принятую в Баренцевом море с ледокола «Малыгин» почту и, сославшись на надвигающуюся грозу, убыл восвояси. Необъяснимая спешка всего предпри</w:t>
      </w:r>
      <w:r w:rsidRPr="005E779E">
        <w:rPr>
          <w:color w:val="000000" w:themeColor="text1"/>
          <w:lang w:val="ru-RU"/>
        </w:rPr>
        <w:softHyphen/>
        <w:t>ятия осталась одной из тайн германской дипломатии или, скорее, военной разведки Рейхсвера (12732).</w:t>
      </w:r>
    </w:p>
    <w:p w14:paraId="5968C296" w14:textId="77777777" w:rsidR="003562F3" w:rsidRPr="005E779E" w:rsidRDefault="003562F3" w:rsidP="000B7A6C">
      <w:pPr>
        <w:pStyle w:val="a3"/>
        <w:widowControl/>
        <w:autoSpaceDE/>
        <w:autoSpaceDN/>
        <w:adjustRightInd/>
        <w:rPr>
          <w:color w:val="000000" w:themeColor="text1"/>
          <w:lang w:val="ru-RU"/>
        </w:rPr>
      </w:pPr>
    </w:p>
    <w:p w14:paraId="02B43181" w14:textId="77777777" w:rsidR="00135C09" w:rsidRPr="00142305" w:rsidRDefault="00135C09" w:rsidP="00135C09">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26 июля 1931 г. угром дирижабль «Граф Цепелин» вылетел из Ленинграда, пролетел над Архангельском, а татем взял курс па Землю Франца-Иосифа, где в бухте Тнхой о. Гукера находился пароход «Малыгин». Достигнув его, дирижабль приводнился, и между ними произошёл обмен почтой. Путь в эту точку от Ленинграда занял всего 34,5 часа. Набрав высоту, «Цеппелин» пролетел над наименее изученными к тому времени западной и северной частями архипелага и провёл аэрофотосъёмку. Незаходящее солн</w:t>
      </w:r>
      <w:r w:rsidRPr="00142305">
        <w:rPr>
          <w:rStyle w:val="aff0"/>
          <w:rFonts w:ascii="Times New Roman" w:hAnsi="Times New Roman" w:cs="Times New Roman"/>
          <w:color w:val="0070C0"/>
          <w:spacing w:val="0"/>
          <w:sz w:val="16"/>
          <w:szCs w:val="16"/>
        </w:rPr>
        <w:softHyphen/>
        <w:t>це и хорошая погода способствовали успеху дела. Учёные выявили и исправили несколько ошибок на картах. Попутно, но просьбе У. Нобиле, они тщетно пытались найти следы пропавшего дирижабля «Италия». Нод руководством про</w:t>
      </w:r>
      <w:r w:rsidRPr="00142305">
        <w:rPr>
          <w:rStyle w:val="aff0"/>
          <w:rFonts w:ascii="Times New Roman" w:hAnsi="Times New Roman" w:cs="Times New Roman"/>
          <w:color w:val="0070C0"/>
          <w:spacing w:val="0"/>
          <w:sz w:val="16"/>
          <w:szCs w:val="16"/>
        </w:rPr>
        <w:softHyphen/>
        <w:t>фессора И.А. Молчанова члены научной группы выпустили несколько шаров-зондов и получили ценные сведения о верхних слоях арктической атмосферы.</w:t>
      </w:r>
    </w:p>
    <w:p w14:paraId="55DBD99C" w14:textId="77777777" w:rsidR="00135C09" w:rsidRPr="00142305" w:rsidRDefault="00135C09" w:rsidP="00135C09">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Миновав о. Рудольфа, дирижабль взял курс на Север</w:t>
      </w:r>
      <w:r w:rsidRPr="00142305">
        <w:rPr>
          <w:rStyle w:val="aff0"/>
          <w:rFonts w:ascii="Times New Roman" w:hAnsi="Times New Roman" w:cs="Times New Roman"/>
          <w:color w:val="0070C0"/>
          <w:spacing w:val="0"/>
          <w:sz w:val="16"/>
          <w:szCs w:val="16"/>
        </w:rPr>
        <w:softHyphen/>
        <w:t>ную Землю. По значимости получаемой информации всего ищи час его полёта заменял месяцы и годы предыдущих экспедиций. Буквально каждые пять минут фотоаппараты фиксировали новый, ещё неизвестный географам остров. По этому поводу командир «Цеппелина» X. Экснер шутил, что Самойлович падал в обморок от подобного неслыханного урожая маленьких, но до того неизвестных земель».</w:t>
      </w:r>
    </w:p>
    <w:p w14:paraId="6E3814E8" w14:textId="77777777" w:rsidR="00135C09" w:rsidRPr="00142305" w:rsidRDefault="00135C09" w:rsidP="00135C09">
      <w:pPr>
        <w:spacing w:after="0" w:line="240" w:lineRule="auto"/>
        <w:jc w:val="both"/>
        <w:rPr>
          <w:rStyle w:val="aff0"/>
          <w:rFonts w:ascii="Times New Roman" w:hAnsi="Times New Roman" w:cs="Times New Roman"/>
          <w:color w:val="0070C0"/>
          <w:spacing w:val="0"/>
          <w:sz w:val="16"/>
          <w:szCs w:val="16"/>
        </w:rPr>
      </w:pPr>
      <w:r w:rsidRPr="00142305">
        <w:rPr>
          <w:rStyle w:val="aff0"/>
          <w:rFonts w:ascii="Times New Roman" w:hAnsi="Times New Roman" w:cs="Times New Roman"/>
          <w:color w:val="0070C0"/>
          <w:spacing w:val="0"/>
          <w:sz w:val="16"/>
          <w:szCs w:val="16"/>
        </w:rPr>
        <w:t>Ко времени посещения дирижаблем Северной Земли гам уже находилась четвёрка советских полярников под руководством Н.Н. Урванцева, занимавшаяся описанием островов. В планы воздушной экспедиции входили не толь</w:t>
      </w:r>
      <w:r w:rsidRPr="00142305">
        <w:rPr>
          <w:rStyle w:val="aff0"/>
          <w:rFonts w:ascii="Times New Roman" w:hAnsi="Times New Roman" w:cs="Times New Roman"/>
          <w:color w:val="0070C0"/>
          <w:spacing w:val="0"/>
          <w:sz w:val="16"/>
          <w:szCs w:val="16"/>
        </w:rPr>
        <w:softHyphen/>
        <w:t>ко облёт и съёмка архипелага, но и посещение полярной ганцип на о. Домашнем. Экипаж «Цеппелина» намеревался доставить зимовщикам почту и продовольствие, а также забрать коллекцию образцов горных пород и геолога Г.А. Уша</w:t>
      </w:r>
      <w:r w:rsidRPr="00142305">
        <w:rPr>
          <w:rStyle w:val="aff0"/>
          <w:rFonts w:ascii="Times New Roman" w:hAnsi="Times New Roman" w:cs="Times New Roman"/>
          <w:color w:val="0070C0"/>
          <w:spacing w:val="0"/>
          <w:sz w:val="16"/>
          <w:szCs w:val="16"/>
        </w:rPr>
        <w:softHyphen/>
        <w:t>кова. Но из-за густого тумана их встреча не состоялась.</w:t>
      </w:r>
    </w:p>
    <w:p w14:paraId="7886F3F3" w14:textId="77777777" w:rsidR="00135C09" w:rsidRPr="00142305" w:rsidRDefault="00135C09" w:rsidP="00135C09">
      <w:pPr>
        <w:spacing w:after="0" w:line="240" w:lineRule="auto"/>
        <w:jc w:val="both"/>
        <w:rPr>
          <w:rStyle w:val="aff0"/>
          <w:rFonts w:ascii="Times New Roman" w:hAnsi="Times New Roman" w:cs="Times New Roman"/>
          <w:color w:val="0070C0"/>
          <w:spacing w:val="0"/>
          <w:sz w:val="16"/>
          <w:szCs w:val="16"/>
        </w:rPr>
      </w:pPr>
      <w:r w:rsidRPr="00142305">
        <w:rPr>
          <w:rStyle w:val="aff0"/>
          <w:rFonts w:ascii="Times New Roman" w:hAnsi="Times New Roman" w:cs="Times New Roman"/>
          <w:color w:val="0070C0"/>
          <w:spacing w:val="0"/>
          <w:sz w:val="16"/>
          <w:szCs w:val="16"/>
        </w:rPr>
        <w:t>Густая облачность к востоку от Северной Земли и не</w:t>
      </w:r>
      <w:r w:rsidRPr="00142305">
        <w:rPr>
          <w:rStyle w:val="aff0"/>
          <w:rFonts w:ascii="Times New Roman" w:hAnsi="Times New Roman" w:cs="Times New Roman"/>
          <w:color w:val="0070C0"/>
          <w:spacing w:val="0"/>
          <w:sz w:val="16"/>
          <w:szCs w:val="16"/>
        </w:rPr>
        <w:softHyphen/>
        <w:t>обходимость экономии горючего заставили экипаж «Цеп</w:t>
      </w:r>
      <w:r w:rsidRPr="00142305">
        <w:rPr>
          <w:rStyle w:val="aff0"/>
          <w:rFonts w:ascii="Times New Roman" w:hAnsi="Times New Roman" w:cs="Times New Roman"/>
          <w:color w:val="0070C0"/>
          <w:spacing w:val="0"/>
          <w:sz w:val="16"/>
          <w:szCs w:val="16"/>
        </w:rPr>
        <w:softHyphen/>
        <w:t>пелина» отказаться от посещения Новосибирскнх островов. Дирижабль повернул на юг, пролетел над озером Таймыр, горами Бырраша и достиг о. Диксон. Далее он пересёк Кар</w:t>
      </w:r>
      <w:r w:rsidRPr="00142305">
        <w:rPr>
          <w:rStyle w:val="aff0"/>
          <w:rFonts w:ascii="Times New Roman" w:hAnsi="Times New Roman" w:cs="Times New Roman"/>
          <w:color w:val="0070C0"/>
          <w:spacing w:val="0"/>
          <w:sz w:val="16"/>
          <w:szCs w:val="16"/>
        </w:rPr>
        <w:softHyphen/>
        <w:t xml:space="preserve">ское море и добрался до самой северной точки Новой Земли - мыса Желания. По распоряжению Р.Л.Самойловича было тщательно заснято восточное побережье Северного острова. Над проливом Маточкин Шар </w:t>
      </w:r>
      <w:r w:rsidRPr="00142305">
        <w:rPr>
          <w:rStyle w:val="aff0"/>
          <w:rFonts w:ascii="Times New Roman" w:hAnsi="Times New Roman" w:cs="Times New Roman"/>
          <w:color w:val="0070C0"/>
          <w:spacing w:val="0"/>
          <w:sz w:val="16"/>
          <w:szCs w:val="16"/>
          <w:lang w:val="en-US"/>
        </w:rPr>
        <w:t>LZ</w:t>
      </w:r>
      <w:r w:rsidRPr="00142305">
        <w:rPr>
          <w:rStyle w:val="aff0"/>
          <w:rFonts w:ascii="Times New Roman" w:hAnsi="Times New Roman" w:cs="Times New Roman"/>
          <w:color w:val="0070C0"/>
          <w:spacing w:val="0"/>
          <w:sz w:val="16"/>
          <w:szCs w:val="16"/>
        </w:rPr>
        <w:t>-127 перелетел на западное побережье архипелага, откуда взял курс на Архангельск и Ленинград. Пролетая над аэродромом в Гатчине, экипаж сбросил на парашютах полученную от «Малыгина» почту. Уже вечером 30 июля «Цеппелин» встречали на столичном аэродроме Темпельхоф ликующие берлинцы. За 106 лётных часов дирижабль преодолел 13200 километров, основная часть из которых приходилась па безлюдные просторы Северного Ледовитого океана. Географические, картогра</w:t>
      </w:r>
      <w:r w:rsidRPr="00142305">
        <w:rPr>
          <w:rStyle w:val="aff0"/>
          <w:rFonts w:ascii="Times New Roman" w:hAnsi="Times New Roman" w:cs="Times New Roman"/>
          <w:color w:val="0070C0"/>
          <w:spacing w:val="0"/>
          <w:sz w:val="16"/>
          <w:szCs w:val="16"/>
        </w:rPr>
        <w:softHyphen/>
        <w:t>фические и метеорологические результаты оказались бесценными.</w:t>
      </w:r>
    </w:p>
    <w:p w14:paraId="6C49B23A" w14:textId="77777777" w:rsidR="00135C09" w:rsidRPr="00142305" w:rsidRDefault="00135C09" w:rsidP="00135C09">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Р.Л. Самойлович, отвечавший за проведение аэрофотосъёмки и наблюдения за конфигурацией суши, записал: «За 106 часов арктического полёта дирижабль про</w:t>
      </w:r>
      <w:r w:rsidRPr="00142305">
        <w:rPr>
          <w:rStyle w:val="aff0"/>
          <w:rFonts w:ascii="Times New Roman" w:hAnsi="Times New Roman" w:cs="Times New Roman"/>
          <w:color w:val="0070C0"/>
          <w:spacing w:val="0"/>
          <w:sz w:val="16"/>
          <w:szCs w:val="16"/>
        </w:rPr>
        <w:softHyphen/>
        <w:t>делал такую работу, которую при нормальных экспедициях на ледоколах можно выполнить лишь в 2 3 года упорной, настойчивой работы» (25653).</w:t>
      </w:r>
    </w:p>
    <w:p w14:paraId="62474C23" w14:textId="77777777" w:rsidR="00135C09" w:rsidRPr="00142305" w:rsidRDefault="00135C09" w:rsidP="00135C09">
      <w:pPr>
        <w:spacing w:after="0" w:line="240" w:lineRule="auto"/>
        <w:jc w:val="both"/>
        <w:rPr>
          <w:rFonts w:ascii="Times New Roman" w:hAnsi="Times New Roman"/>
          <w:color w:val="0070C0"/>
          <w:sz w:val="16"/>
          <w:szCs w:val="16"/>
        </w:rPr>
      </w:pPr>
    </w:p>
    <w:p w14:paraId="22FDE8B5" w14:textId="77777777" w:rsidR="00875C4A"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01D53708" w14:textId="77777777" w:rsidR="00875C4A" w:rsidRPr="005E779E" w:rsidRDefault="00875C4A"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BACE820" w14:textId="77777777" w:rsidR="00875C4A" w:rsidRPr="005E779E" w:rsidRDefault="00875C4A"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25 июля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Протокол заседания Политбюро ЦК ВКП(б) №51. 19. О Сталинградском тракторном заводе (ПБ от 10 декабря 1930 г., пр. № 20, п. 4/10) (Орджоникидзе). (Политбюро... Т. 2. С. 196) (12416).</w:t>
      </w:r>
    </w:p>
    <w:p w14:paraId="6351F2A2" w14:textId="77777777" w:rsidR="00875C4A" w:rsidRPr="005E779E" w:rsidRDefault="00875C4A" w:rsidP="000B7A6C">
      <w:pPr>
        <w:spacing w:after="0" w:line="240" w:lineRule="auto"/>
        <w:jc w:val="both"/>
        <w:rPr>
          <w:rFonts w:ascii="Times New Roman" w:hAnsi="Times New Roman"/>
          <w:color w:val="000000" w:themeColor="text1"/>
          <w:sz w:val="16"/>
          <w:szCs w:val="16"/>
          <w:u w:color="002060"/>
        </w:rPr>
      </w:pPr>
    </w:p>
    <w:p w14:paraId="59D62E0E" w14:textId="77777777" w:rsidR="0005751F" w:rsidRPr="005E779E" w:rsidRDefault="0005751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июля в 1931 году в Челябинске Государственная комиссия принимает в эксплуатацию первую очередь ферросплавного завода. (Ныне ЧЭМК - Челябинский Электрометаллургический Комбинат) (14963).</w:t>
      </w:r>
    </w:p>
    <w:p w14:paraId="08B1BCEF" w14:textId="77777777" w:rsidR="0005751F" w:rsidRPr="005E779E" w:rsidRDefault="0005751F" w:rsidP="000B7A6C">
      <w:pPr>
        <w:spacing w:after="0" w:line="240" w:lineRule="auto"/>
        <w:jc w:val="both"/>
        <w:rPr>
          <w:rFonts w:ascii="Times New Roman" w:hAnsi="Times New Roman"/>
          <w:color w:val="000000" w:themeColor="text1"/>
          <w:sz w:val="16"/>
          <w:szCs w:val="16"/>
        </w:rPr>
      </w:pPr>
    </w:p>
    <w:p w14:paraId="25A9DB3E"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004C98C4"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58D56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 июля 1931 появились новые требования ВВС к ДИП (АНТ-29) с АПК-8 в 103 мм и скоростью 350 км/час (1454,22) и был открыт заказ (2693,15).</w:t>
      </w:r>
    </w:p>
    <w:p w14:paraId="6A3732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2A13A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 июля 1931 года ВСНХ издал приказ, которым предлагалось Всесоюзному электротехническому объединению (ВЭО) приступить к проектированию электровозного завода.</w:t>
      </w:r>
    </w:p>
    <w:p w14:paraId="5E59AF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Строительно-подготовительные работы были начаты в июне 1932 года, но выполнены в этом году в незначительном объеме.</w:t>
      </w:r>
    </w:p>
    <w:p w14:paraId="31BC0E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Строительная площадка была перенесена ближе к ст. Ступино, в 12 км северо-западнее Каширы.</w:t>
      </w:r>
    </w:p>
    <w:p w14:paraId="169152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Окончательное утверждение Правительством генерального плана и генеральной сметы Каширского электровозного завода состоялось 13 сентября 1935 года (Постановление СТО № 572).</w:t>
      </w:r>
    </w:p>
    <w:p w14:paraId="602430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Срок пуска электровозного завода был установлен на начало 1936 года.</w:t>
      </w:r>
    </w:p>
    <w:p w14:paraId="676132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основании решения Правительства, приказом НКТП от 3 марта 1936 года за № 46с было предложено:</w:t>
      </w:r>
    </w:p>
    <w:p w14:paraId="16E812A9"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Строительную площадку Каширского электровозного завода передать из ведения Главэнергопрома в Глававиапром.</w:t>
      </w:r>
    </w:p>
    <w:p w14:paraId="6020ABD8"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Глававиапрому развернуть на базе стройплощадки элеткровозного завода строительство нового авиационного комбината, в первую очередь – завода винтов переменного шага и самопусков.</w:t>
      </w:r>
    </w:p>
    <w:p w14:paraId="606D5E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этом же заводе организовать производство мелких паровых турбин от 1 до 3 тыс. киловатт.</w:t>
      </w:r>
    </w:p>
    <w:p w14:paraId="5EC0D7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Этим же приказом строительству авиакомбината было присвоено наименование «Комбинат № 150» (9504).</w:t>
      </w:r>
    </w:p>
    <w:p w14:paraId="271C10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 А. Назаров</w:t>
      </w:r>
    </w:p>
    <w:p w14:paraId="7AC32A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Адрес: ст. Ступино Московской области</w:t>
      </w:r>
    </w:p>
    <w:p w14:paraId="2C45ED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Производственный профиль – прокат (листы), прессованные прутки, профили и трубы из алюминиевых сплавов; жаропрочные спецсплавы для авиамоторостроения; штамповки из стали и титана</w:t>
      </w:r>
    </w:p>
    <w:p w14:paraId="11BF95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 150 расположен в Ступино в 99 км от Москвы в сторону Каширы.</w:t>
      </w:r>
    </w:p>
    <w:p w14:paraId="7DE1CC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 150 создан на базе строительства Каширского электровозного завода, начатого в 1932 году в соответствии с решениями Партии и Правительства об электрификации ж/д траснпорта.</w:t>
      </w:r>
    </w:p>
    <w:p w14:paraId="5A7903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Технический проект и генеральная смета Комбината № 150 были утверждены в январе 1937 года в составе следующих заводов:</w:t>
      </w:r>
    </w:p>
    <w:p w14:paraId="6F8EA530"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Металлических винтов переменного шага с выпуском 38000 штук в год.</w:t>
      </w:r>
    </w:p>
    <w:p w14:paraId="4E641C1F"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Самопусков различных систем, общим количеством 124000 штук в год.</w:t>
      </w:r>
    </w:p>
    <w:p w14:paraId="7197AA80"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Самолетов учебных и тренировочных – 1000 штук в год.</w:t>
      </w:r>
    </w:p>
    <w:p w14:paraId="6274D7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Производство винтов и самопусков было намечено замкнутым циклом с изготовлением на комбинате № 150 кузнечной заготовки и литья.</w:t>
      </w:r>
    </w:p>
    <w:p w14:paraId="376EC7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Производство самолетов осуществлялось с нормальной кооперацией со смежными заводами по моторам, приборам, колесам.</w:t>
      </w:r>
    </w:p>
    <w:p w14:paraId="2FE121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Комбинат начал свою производственную деятельность с 1 января 1937 года (выпуск винтов).</w:t>
      </w:r>
    </w:p>
    <w:p w14:paraId="6AC48D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1937 и 1938 годы были периодом формирования Комбината № 150 как действующего предприятия авиапромышленности.</w:t>
      </w:r>
    </w:p>
    <w:p w14:paraId="117EFD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эти годы винтовое производство Комбината № 150 выпускало металлические винты изменяемого в полете шага типов ВИШ-3, ВИШ-6, ВИШ-21, В-25. Самолетостроительное производство выпускало учебно-тренировочные самолеты типа УТ-1.</w:t>
      </w:r>
    </w:p>
    <w:p w14:paraId="4FC58B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Производство самопусков организовано не было.</w:t>
      </w:r>
    </w:p>
    <w:p w14:paraId="687D5A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Данные о количестве винтов всех типов, выпущенных комбинатом № 150 с начала производства и до его прекращения: 1937 год – 355 штук</w:t>
      </w:r>
    </w:p>
    <w:p w14:paraId="2C17A1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1938 год – 4322 штук 1939 год – 7605 штук 1940 год – 11865 штук до 14 октября 1941 года – 12084 штук Итого – 36231 штук</w:t>
      </w:r>
    </w:p>
    <w:p w14:paraId="21A346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Производство самолетов на Комбинате № 150 было прекращено в конце июня 1939 года согласно приказу НКАП и в дальнейшем не возобновлялось.</w:t>
      </w:r>
    </w:p>
    <w:p w14:paraId="0FD12A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Постановлением Экономсовета от 29 марта 1938 года за № 161-31с было предложено организовать на Комбината № 150 производство проката листов из алюминиевых сплавов и для этой цели начать строительство соответствующих производственных корпусов (производство № 4).</w:t>
      </w:r>
    </w:p>
    <w:p w14:paraId="6646EA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Выпуск продукции прокатным производством был начат в апреле 1940 года. В 1941 году, к началу ВОВ, Комбинат № 150 имел в своем составе три основных производства: винтовое, прокатное и кузнечное.</w:t>
      </w:r>
    </w:p>
    <w:p w14:paraId="499FDA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основании Постановления ГКО от 8 октября 1941 года за № 741сс и приказа НКАП № 1053сс от 9 октября 1941 года Комбинат № 150 был эвакуирован. Выпуск продукции комбината был прекращен с 14 октября 1941 года, когда начался демонтаж оборудования.</w:t>
      </w:r>
    </w:p>
    <w:p w14:paraId="148256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Эвакуация комбината была произведена за время с 9 октября по 5 декабря 1941 года. Винтовое производство было перебазировано на ст. Безымянка (близ Куйбышева), металлургическое на ст. УАЗ Южно-Уральской ж/д (Каменск).</w:t>
      </w:r>
    </w:p>
    <w:p w14:paraId="673E52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эвакуации из Ступино, винтовое производство было организовано в самостоятельный завод № 35 НКАП на ст. Безымянка.</w:t>
      </w:r>
    </w:p>
    <w:p w14:paraId="5CFE79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Каменске оборудование металлургического производства из-за отсутствия производственных площадей смонтировано не было и во время нахождения в эвакуации не работало.</w:t>
      </w:r>
    </w:p>
    <w:p w14:paraId="29927A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Металлургическое производство Комбината № 150 на основании Постановления ГКО от 16 февраля 1942 года за № 1292с, по приказу НКАП № 143с от 20 февраля 1942 года, было возвращено из Каменска на прежние площади в Ступино на правах самостоятельного завода.</w:t>
      </w:r>
    </w:p>
    <w:p w14:paraId="736B6A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Заводу был присвоен номер 150.</w:t>
      </w:r>
    </w:p>
    <w:p w14:paraId="7ACEE7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этого времени завод № 150 начал развиваться как предприятие металлургического профиля по производству различных видов проката из алюминиевых сплавов. В течение февраля-марта 1942 года была проведена реэвакуация завода. С 1945-46 гг. Начинается новый этап в развитии завода.</w:t>
      </w:r>
    </w:p>
    <w:p w14:paraId="6E88A8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НКАП от 16 января 1945 года за № 9с на завод № 150 было перебазировано с завода № 49 производство жаропрочных спецсплавов и резцов с пластинами из твердых сплавов.</w:t>
      </w:r>
    </w:p>
    <w:p w14:paraId="0BADA0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1945 году по приказу НКАП № 161с от 20 апреля 1945 года на заводе вновь была начата организация винтового производства на основе трофейного оборудования, прибывшего из Германии.</w:t>
      </w:r>
    </w:p>
    <w:p w14:paraId="1EEA01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Однако, в 1946 году это производство было выделено в самостоятельный завод № 120 МАП и вошло в состав завода № 150 (приказ МАП № 155с от 25 марта 1946 года).</w:t>
      </w:r>
    </w:p>
    <w:p w14:paraId="12532E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настоящее время этот завод, вместе с ОКБ-120, руководимым гл. конструктором Ждановым К.И. существует на площадях, переданных ему заводом № 150 по приказу МАП.</w:t>
      </w:r>
    </w:p>
    <w:p w14:paraId="1C2C8E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Начальником строительства Каширского электровозного завода и впоследствии Комбината № 150 за период с августа 1932 года до ноября 1940 года являлся Визирян Г.В., который с начала пуска завода в эксплуатацию (1937 год) одновременно был директором Комбината № 150.</w:t>
      </w:r>
    </w:p>
    <w:p w14:paraId="74633A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конца 1940 года до эвакуации директором Комбината № 150 был Окунев И.В. После возвращения завода из эвакуации до 28 июня 1951 года директором был Белов А.Ф.</w:t>
      </w:r>
    </w:p>
    <w:p w14:paraId="1DB54E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Директором завода № 150 с 29 июня 1952 года является Назаров А.И. (9504).</w:t>
      </w:r>
    </w:p>
    <w:p w14:paraId="4F8F3E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563AB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26-30 июля 1931 советские ученые и специалисты проф. Р.Л.Самойлович, аэролог П.А.Молчанов, и Ф.Ф.Ассберг и радист Э.Т.Кренкель приняли участие в арктическом полете дирижабля ЛЦ-127 Граф Цеппелин под управления Г.Эккенера. Дирижабль прибыл из Берлина в Ленинград, взял советских специалистов и отправился в район Земли Франца-Иосифа, Северной Земли, Таймырского полуострова и вернулся в Ленинград. 106 час. полета (438,626).</w:t>
      </w:r>
    </w:p>
    <w:p w14:paraId="1BBD83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06BCC07"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527EF74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BE1CE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 июля 1931 на третий день испытаний, когда на танк поставили башню от Т-12, у Т-24 при движении по мягкому грунту загорелся двигатель: “...тов. Владимиров остановил танк, помог экипажу покинуть машину, открыл двигатель и сбил 75% пламени штатным огнетушителем, после чего одел противогаз, забрался в моторное отделение и полностью потушил огонь песком и одеждой...” (4243,23).</w:t>
      </w:r>
    </w:p>
    <w:p w14:paraId="50B88E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74001ED" w14:textId="77777777" w:rsidR="00135C09" w:rsidRPr="00142305" w:rsidRDefault="00135C09" w:rsidP="00135C0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26 июля 1931 г. на ХПЗ была в основ</w:t>
      </w:r>
      <w:r w:rsidRPr="00142305">
        <w:rPr>
          <w:rFonts w:ascii="Times New Roman" w:hAnsi="Times New Roman"/>
          <w:color w:val="0070C0"/>
          <w:sz w:val="16"/>
          <w:szCs w:val="16"/>
        </w:rPr>
        <w:softHyphen/>
        <w:t>ном завершена работа над чертежами и технологической документацией. Оп</w:t>
      </w:r>
      <w:r w:rsidRPr="00142305">
        <w:rPr>
          <w:rFonts w:ascii="Times New Roman" w:hAnsi="Times New Roman"/>
          <w:color w:val="0070C0"/>
          <w:sz w:val="16"/>
          <w:szCs w:val="16"/>
        </w:rPr>
        <w:softHyphen/>
        <w:t>ределился и круг заводов-смежников. Изготовителем корпусов, траков гусе</w:t>
      </w:r>
      <w:r w:rsidRPr="00142305">
        <w:rPr>
          <w:rFonts w:ascii="Times New Roman" w:hAnsi="Times New Roman"/>
          <w:color w:val="0070C0"/>
          <w:sz w:val="16"/>
          <w:szCs w:val="16"/>
        </w:rPr>
        <w:softHyphen/>
        <w:t>ниц, поковок, стального и цветного ли</w:t>
      </w:r>
      <w:r w:rsidRPr="00142305">
        <w:rPr>
          <w:rFonts w:ascii="Times New Roman" w:hAnsi="Times New Roman"/>
          <w:color w:val="0070C0"/>
          <w:sz w:val="16"/>
          <w:szCs w:val="16"/>
        </w:rPr>
        <w:softHyphen/>
        <w:t>тья назначался ХПЗ. Поставщиком бро</w:t>
      </w:r>
      <w:r w:rsidRPr="00142305">
        <w:rPr>
          <w:rFonts w:ascii="Times New Roman" w:hAnsi="Times New Roman"/>
          <w:color w:val="0070C0"/>
          <w:sz w:val="16"/>
          <w:szCs w:val="16"/>
        </w:rPr>
        <w:softHyphen/>
        <w:t>ни для корпусов и башен и стальных цельнотянутых труб — Ижорский завод. Пружины подвески должны были посту</w:t>
      </w:r>
      <w:r w:rsidRPr="00142305">
        <w:rPr>
          <w:rFonts w:ascii="Times New Roman" w:hAnsi="Times New Roman"/>
          <w:color w:val="0070C0"/>
          <w:sz w:val="16"/>
          <w:szCs w:val="16"/>
        </w:rPr>
        <w:softHyphen/>
        <w:t>пать с завода «Большевик» или с завода имени С.М. Буденного, радиаторы — с радиаторного завода в Москве.</w:t>
      </w:r>
    </w:p>
    <w:p w14:paraId="6D96C7AC" w14:textId="77777777" w:rsidR="00135C09" w:rsidRPr="00142305" w:rsidRDefault="00135C09" w:rsidP="00135C0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Любопытно отметить, что разработка документации велась на основе черте</w:t>
      </w:r>
      <w:r w:rsidRPr="00142305">
        <w:rPr>
          <w:rFonts w:ascii="Times New Roman" w:hAnsi="Times New Roman"/>
          <w:color w:val="0070C0"/>
          <w:sz w:val="16"/>
          <w:szCs w:val="16"/>
        </w:rPr>
        <w:softHyphen/>
        <w:t>жей, полученных от Кристи, тогда как сами танки М.1931 прибыли на завод только в январе 1932 года. В бумагах за</w:t>
      </w:r>
      <w:r w:rsidRPr="00142305">
        <w:rPr>
          <w:rFonts w:ascii="Times New Roman" w:hAnsi="Times New Roman"/>
          <w:color w:val="0070C0"/>
          <w:sz w:val="16"/>
          <w:szCs w:val="16"/>
        </w:rPr>
        <w:softHyphen/>
        <w:t>вода они фигурировали под названиями «Оригинал I» и «Оригинал II», причем на ходу была лишь первая машина.</w:t>
      </w:r>
    </w:p>
    <w:p w14:paraId="4C7704F3" w14:textId="77777777" w:rsidR="00135C09" w:rsidRPr="00142305" w:rsidRDefault="00135C09" w:rsidP="00135C0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изготовлению первых шести проб</w:t>
      </w:r>
      <w:r w:rsidRPr="00142305">
        <w:rPr>
          <w:rFonts w:ascii="Times New Roman" w:hAnsi="Times New Roman"/>
          <w:color w:val="0070C0"/>
          <w:sz w:val="16"/>
          <w:szCs w:val="16"/>
        </w:rPr>
        <w:softHyphen/>
        <w:t>ных машин БТ-2 планировалось присту</w:t>
      </w:r>
      <w:r w:rsidRPr="00142305">
        <w:rPr>
          <w:rFonts w:ascii="Times New Roman" w:hAnsi="Times New Roman"/>
          <w:color w:val="0070C0"/>
          <w:sz w:val="16"/>
          <w:szCs w:val="16"/>
        </w:rPr>
        <w:softHyphen/>
        <w:t>пить 15 июня с таким расчетом, чтобы сдать их к 1 ноября. Но к указанному сроку были выпущены всего три БТ, ко</w:t>
      </w:r>
      <w:r w:rsidRPr="00142305">
        <w:rPr>
          <w:rFonts w:ascii="Times New Roman" w:hAnsi="Times New Roman"/>
          <w:color w:val="0070C0"/>
          <w:sz w:val="16"/>
          <w:szCs w:val="16"/>
        </w:rPr>
        <w:softHyphen/>
        <w:t>торые и были показаны на параде 7 ноя</w:t>
      </w:r>
      <w:r w:rsidRPr="00142305">
        <w:rPr>
          <w:rFonts w:ascii="Times New Roman" w:hAnsi="Times New Roman"/>
          <w:color w:val="0070C0"/>
          <w:sz w:val="16"/>
          <w:szCs w:val="16"/>
        </w:rPr>
        <w:softHyphen/>
        <w:t>бря 1931 года. Причем все эти танки имели корпуса и башни из обычной ста</w:t>
      </w:r>
      <w:r w:rsidRPr="00142305">
        <w:rPr>
          <w:rFonts w:ascii="Times New Roman" w:hAnsi="Times New Roman"/>
          <w:color w:val="0070C0"/>
          <w:sz w:val="16"/>
          <w:szCs w:val="16"/>
        </w:rPr>
        <w:softHyphen/>
        <w:t>ли. (Всего изготовили 13 таких корпусов и 66 башен, так как завод не сумел сразу освоить их производство из брони. В по</w:t>
      </w:r>
      <w:r w:rsidRPr="00142305">
        <w:rPr>
          <w:rFonts w:ascii="Times New Roman" w:hAnsi="Times New Roman"/>
          <w:color w:val="0070C0"/>
          <w:sz w:val="16"/>
          <w:szCs w:val="16"/>
        </w:rPr>
        <w:softHyphen/>
        <w:t>следующем часть из них заменили на броневые.) Планом на 1931 год предусматривался выпуск 50 БТ-2, но реально построили только три вышеупомянутых машины, которые к тому же не были приняты военной приемкой.</w:t>
      </w:r>
    </w:p>
    <w:p w14:paraId="0D05B4AC" w14:textId="77777777" w:rsidR="00135C09" w:rsidRPr="00142305" w:rsidRDefault="00135C09" w:rsidP="00135C0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 освоении серийного производст</w:t>
      </w:r>
      <w:r w:rsidRPr="00142305">
        <w:rPr>
          <w:rFonts w:ascii="Times New Roman" w:hAnsi="Times New Roman"/>
          <w:color w:val="0070C0"/>
          <w:sz w:val="16"/>
          <w:szCs w:val="16"/>
        </w:rPr>
        <w:softHyphen/>
        <w:t>ва на заводе столкнулись со значитель</w:t>
      </w:r>
      <w:r w:rsidRPr="00142305">
        <w:rPr>
          <w:rFonts w:ascii="Times New Roman" w:hAnsi="Times New Roman"/>
          <w:color w:val="0070C0"/>
          <w:sz w:val="16"/>
          <w:szCs w:val="16"/>
        </w:rPr>
        <w:softHyphen/>
        <w:t>ными трудностями, которых никто не ждал. Прежде всего, имевшаяся произ</w:t>
      </w:r>
      <w:r w:rsidRPr="00142305">
        <w:rPr>
          <w:rFonts w:ascii="Times New Roman" w:hAnsi="Times New Roman"/>
          <w:color w:val="0070C0"/>
          <w:sz w:val="16"/>
          <w:szCs w:val="16"/>
        </w:rPr>
        <w:softHyphen/>
        <w:t>водственная база ХПЗ не была рассчи</w:t>
      </w:r>
      <w:r w:rsidRPr="00142305">
        <w:rPr>
          <w:rFonts w:ascii="Times New Roman" w:hAnsi="Times New Roman"/>
          <w:color w:val="0070C0"/>
          <w:sz w:val="16"/>
          <w:szCs w:val="16"/>
        </w:rPr>
        <w:softHyphen/>
        <w:t>тана на изготовление столь большого количества танков, а ввод в строй но</w:t>
      </w:r>
      <w:r w:rsidRPr="00142305">
        <w:rPr>
          <w:rFonts w:ascii="Times New Roman" w:hAnsi="Times New Roman"/>
          <w:color w:val="0070C0"/>
          <w:sz w:val="16"/>
          <w:szCs w:val="16"/>
        </w:rPr>
        <w:softHyphen/>
        <w:t>вых цехов задерживался не только из-за отсутствия необходимого оборудова</w:t>
      </w:r>
      <w:r w:rsidRPr="00142305">
        <w:rPr>
          <w:rFonts w:ascii="Times New Roman" w:hAnsi="Times New Roman"/>
          <w:color w:val="0070C0"/>
          <w:sz w:val="16"/>
          <w:szCs w:val="16"/>
        </w:rPr>
        <w:softHyphen/>
        <w:t>ния (которое в основном закупалось за границей), но и стройматериалов — на</w:t>
      </w:r>
      <w:r w:rsidRPr="00142305">
        <w:rPr>
          <w:rFonts w:ascii="Times New Roman" w:hAnsi="Times New Roman"/>
          <w:color w:val="0070C0"/>
          <w:sz w:val="16"/>
          <w:szCs w:val="16"/>
        </w:rPr>
        <w:softHyphen/>
        <w:t>пример цемента, кстати, тоже импорт</w:t>
      </w:r>
      <w:r w:rsidRPr="00142305">
        <w:rPr>
          <w:rFonts w:ascii="Times New Roman" w:hAnsi="Times New Roman"/>
          <w:color w:val="0070C0"/>
          <w:sz w:val="16"/>
          <w:szCs w:val="16"/>
        </w:rPr>
        <w:softHyphen/>
        <w:t>ного. Возникли проблемы с разработ</w:t>
      </w:r>
      <w:r w:rsidRPr="00142305">
        <w:rPr>
          <w:rFonts w:ascii="Times New Roman" w:hAnsi="Times New Roman"/>
          <w:color w:val="0070C0"/>
          <w:sz w:val="16"/>
          <w:szCs w:val="16"/>
        </w:rPr>
        <w:softHyphen/>
        <w:t>кой и внедрением техпроцесса — танки Кристи не были рассчитаны на массо</w:t>
      </w:r>
      <w:r w:rsidRPr="00142305">
        <w:rPr>
          <w:rFonts w:ascii="Times New Roman" w:hAnsi="Times New Roman"/>
          <w:color w:val="0070C0"/>
          <w:sz w:val="16"/>
          <w:szCs w:val="16"/>
        </w:rPr>
        <w:softHyphen/>
        <w:t>вый выпуск, фактически это были опытные образцы, к тому же изготов</w:t>
      </w:r>
      <w:r w:rsidRPr="00142305">
        <w:rPr>
          <w:rFonts w:ascii="Times New Roman" w:hAnsi="Times New Roman"/>
          <w:color w:val="0070C0"/>
          <w:sz w:val="16"/>
          <w:szCs w:val="16"/>
        </w:rPr>
        <w:softHyphen/>
        <w:t>ленные высококвалифицированными рабочими (25009).</w:t>
      </w:r>
    </w:p>
    <w:p w14:paraId="2EF0EE85" w14:textId="77777777" w:rsidR="00135C09" w:rsidRPr="00142305" w:rsidRDefault="00135C09" w:rsidP="00135C09">
      <w:pPr>
        <w:spacing w:after="0" w:line="240" w:lineRule="auto"/>
        <w:jc w:val="both"/>
        <w:rPr>
          <w:rFonts w:ascii="Times New Roman" w:hAnsi="Times New Roman"/>
          <w:color w:val="0070C0"/>
          <w:sz w:val="16"/>
          <w:szCs w:val="16"/>
        </w:rPr>
      </w:pPr>
    </w:p>
    <w:p w14:paraId="6BFB3B75" w14:textId="77777777" w:rsidR="00135C09" w:rsidRPr="00142305" w:rsidRDefault="00135C09" w:rsidP="00135C0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26 июля 1931 года на ХПЗ завершились работы над документацией по Б-Т. В августе 1931 года Гинзбург и другие инженеры КБ-3 ВОАО вернулись в Москву, а руководство танковым КБ (Т-2) ХПЗ временно принял Н.М. Тоскин.</w:t>
      </w:r>
    </w:p>
    <w:p w14:paraId="2024DADC" w14:textId="77777777" w:rsidR="00135C09" w:rsidRPr="00142305" w:rsidRDefault="00135C09" w:rsidP="00135C0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Тоскин был в США, где договаривался как с самим Кристи, так и с его работниками. Благодаря его деятельности удалось вытянуть часть документации по танку, которую Кристи не предоставил сам. Соответственно, Тоскин остался "смотрящим" на ХПЗ, при этом он оставался на службе в УММ КА, находясь в составе его НТК (научно-техническом комитете). И лишаться такого сотрудника УММ КА не планировало.</w:t>
      </w:r>
    </w:p>
    <w:p w14:paraId="40ECFE5E" w14:textId="77777777" w:rsidR="00135C09" w:rsidRPr="00142305" w:rsidRDefault="00135C09" w:rsidP="00135C0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Еще на стадии переработки танка Кристи силами КБ-3 ВОАО в его конструкцию было внесено немало изменений. Например, изменена носовая формы корпуса, с нуля разработана башня, переделаны крепления ленивцев (исходная конструкция оказалась хлипкой, она ломалась на испытаниях танка М1940). И это стало только началом. Уже в 1931 году был поднят вопрос о замене мотора Либерти на что-то более современное и мощное. Первым делом на повестке дня всплыл М-17 (BMW VI), тогда же запустили работы по дизельному мотору, который позже стал именоваться как БД-2 и далее В-2 (25678).</w:t>
      </w:r>
    </w:p>
    <w:p w14:paraId="5EE72AD2" w14:textId="77777777" w:rsidR="00135C09" w:rsidRPr="00142305" w:rsidRDefault="00135C09" w:rsidP="00135C09">
      <w:pPr>
        <w:spacing w:after="0" w:line="240" w:lineRule="auto"/>
        <w:jc w:val="both"/>
        <w:rPr>
          <w:rFonts w:ascii="Times New Roman" w:hAnsi="Times New Roman"/>
          <w:color w:val="0070C0"/>
          <w:sz w:val="16"/>
          <w:szCs w:val="16"/>
        </w:rPr>
      </w:pPr>
    </w:p>
    <w:p w14:paraId="0CE46B27" w14:textId="4D228A4B" w:rsidR="00135C09" w:rsidRPr="005E779E" w:rsidRDefault="00135C09" w:rsidP="00135C09">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Армия</w:t>
      </w:r>
      <w:r w:rsidRPr="005E779E">
        <w:rPr>
          <w:rFonts w:ascii="Times New Roman" w:hAnsi="Times New Roman"/>
          <w:i/>
          <w:iCs/>
          <w:color w:val="000000" w:themeColor="text1"/>
          <w:sz w:val="16"/>
          <w:szCs w:val="16"/>
        </w:rPr>
        <w:t>:</w:t>
      </w:r>
    </w:p>
    <w:p w14:paraId="31EF724A" w14:textId="77777777" w:rsidR="00135C09" w:rsidRPr="005E779E" w:rsidRDefault="00135C09" w:rsidP="00135C09">
      <w:pPr>
        <w:autoSpaceDE w:val="0"/>
        <w:autoSpaceDN w:val="0"/>
        <w:adjustRightInd w:val="0"/>
        <w:spacing w:after="0" w:line="240" w:lineRule="auto"/>
        <w:jc w:val="both"/>
        <w:rPr>
          <w:rFonts w:ascii="Times New Roman" w:hAnsi="Times New Roman"/>
          <w:iCs/>
          <w:color w:val="000000" w:themeColor="text1"/>
          <w:sz w:val="16"/>
          <w:szCs w:val="16"/>
        </w:rPr>
      </w:pPr>
    </w:p>
    <w:p w14:paraId="37F4EDD6" w14:textId="77777777" w:rsidR="00135C09" w:rsidRPr="00142305" w:rsidRDefault="00135C09" w:rsidP="00135C09">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26 июля 1931 года Приказом № 04/110 стрелковый баталь</w:t>
      </w:r>
      <w:r w:rsidRPr="00142305">
        <w:rPr>
          <w:rStyle w:val="aff0"/>
          <w:rFonts w:ascii="Times New Roman" w:hAnsi="Times New Roman" w:cs="Times New Roman"/>
          <w:color w:val="0070C0"/>
          <w:spacing w:val="0"/>
          <w:sz w:val="16"/>
          <w:szCs w:val="16"/>
        </w:rPr>
        <w:softHyphen/>
        <w:t>он получил артиллерийский взвод в составе двух 20-мм автомати</w:t>
      </w:r>
      <w:r w:rsidRPr="00142305">
        <w:rPr>
          <w:rStyle w:val="aff0"/>
          <w:rFonts w:ascii="Times New Roman" w:hAnsi="Times New Roman" w:cs="Times New Roman"/>
          <w:color w:val="0070C0"/>
          <w:spacing w:val="0"/>
          <w:sz w:val="16"/>
          <w:szCs w:val="16"/>
        </w:rPr>
        <w:softHyphen/>
        <w:t>ческих пушек и одной 76-мм мортиры. 37-мм батальонные пушки и 58-мм минометы были объявлены устаревшими и подлежали снятию с вооружения. Однако 20-мм пушки были изготовлены ма</w:t>
      </w:r>
      <w:r w:rsidRPr="00142305">
        <w:rPr>
          <w:rStyle w:val="aff0"/>
          <w:rFonts w:ascii="Times New Roman" w:hAnsi="Times New Roman" w:cs="Times New Roman"/>
          <w:color w:val="0070C0"/>
          <w:spacing w:val="0"/>
          <w:sz w:val="16"/>
          <w:szCs w:val="16"/>
        </w:rPr>
        <w:softHyphen/>
        <w:t>лой серией, а 76-мм мортиры вообще не приняты на вооружение, так что 58-мм минометы оставались на вооружении до начала мас</w:t>
      </w:r>
      <w:r w:rsidRPr="00142305">
        <w:rPr>
          <w:rStyle w:val="aff0"/>
          <w:rFonts w:ascii="Times New Roman" w:hAnsi="Times New Roman" w:cs="Times New Roman"/>
          <w:color w:val="0070C0"/>
          <w:spacing w:val="0"/>
          <w:sz w:val="16"/>
          <w:szCs w:val="16"/>
        </w:rPr>
        <w:softHyphen/>
        <w:t>сового производства 82-мм минометов, созданных по схеме мни</w:t>
      </w:r>
      <w:r w:rsidRPr="00142305">
        <w:rPr>
          <w:rStyle w:val="aff0"/>
          <w:rFonts w:ascii="Times New Roman" w:hAnsi="Times New Roman" w:cs="Times New Roman"/>
          <w:color w:val="0070C0"/>
          <w:spacing w:val="0"/>
          <w:sz w:val="16"/>
          <w:szCs w:val="16"/>
        </w:rPr>
        <w:softHyphen/>
        <w:t>мого треугольника (25439).</w:t>
      </w:r>
    </w:p>
    <w:p w14:paraId="4A5503D5" w14:textId="77777777" w:rsidR="00135C09" w:rsidRPr="00142305" w:rsidRDefault="00135C09" w:rsidP="00135C09">
      <w:pPr>
        <w:spacing w:after="0" w:line="240" w:lineRule="auto"/>
        <w:jc w:val="both"/>
        <w:rPr>
          <w:rFonts w:ascii="Times New Roman" w:hAnsi="Times New Roman"/>
          <w:color w:val="0070C0"/>
          <w:sz w:val="16"/>
          <w:szCs w:val="16"/>
        </w:rPr>
      </w:pPr>
    </w:p>
    <w:p w14:paraId="532C7994"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6C410BF6"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674DD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 июля 1931 в Томской области вспыхнуло восстание спецпереселенцев Парбигской комендатуры Сиблага. В востании участвовало до 1, 5 тысяч человек (10687).</w:t>
      </w:r>
    </w:p>
    <w:p w14:paraId="1C611D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4AB5C10"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4CF7C6C6"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89188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 июля 1931 ушел в отставку президент Чили и 4 октября был избран Х.Монтеро (3907,168).</w:t>
      </w:r>
    </w:p>
    <w:p w14:paraId="622F5A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DAC7743"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6C682E9D"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3D11EB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июля 1931 года состоялось совещание под председательством начальника 1 управления УВВС Хрипина по вопросу о ходе работ по разрешению конструкторских вопросов Гроховского и о выполнении плана работ конструкторского бюро до конца 1931 года (6770):</w:t>
      </w:r>
    </w:p>
    <w:p w14:paraId="3895337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Протокол совещания под председательством начальника 1 управления УВВС Хрипина по вопросу о ходе работ по разрешению конструкторских вопросов Гроховского и о выполнении плана работ конструкторского бюро до конца 1931 года</w:t>
      </w:r>
    </w:p>
    <w:p w14:paraId="4EE4515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заслушивании доклада Гроховского и по обмене мнениями по вопросам о ходе технических испытаний технических средств Гроховского для высадки десанта и о выполнении плана работ конструкторским отделом НИИ совещание постановляет:</w:t>
      </w:r>
    </w:p>
    <w:p w14:paraId="28117323"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Автоматическая кабина (люлька).</w:t>
      </w:r>
    </w:p>
    <w:p w14:paraId="407ADB3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Конструкцию автоматической кабины признать достаточно доработанной и с точки зрения безопасности сбрасывания и с точки зрения надежности. Эта конструкция позволяет одновременное компактное сбрасывание людей и не требует от сбрасываемых никакой предварительной подготовки, что следует одобрить и с тактической и с технической стороны.</w:t>
      </w:r>
    </w:p>
    <w:p w14:paraId="443863C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Применение этих кабин с успехом может иметь место с самолетов легкого типа для целей сбрасывания одиночных людей.</w:t>
      </w:r>
    </w:p>
    <w:p w14:paraId="4257EBB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Применение кабин на тяжелых машинах для массового сбрасывания с точки зрения тактической чрезвычайно ценно и его надо одобрить.</w:t>
      </w:r>
    </w:p>
    <w:p w14:paraId="41FA5D9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установления тактических норм применения люлек на различных типах самолетов (радиус действия, потолок, скорость) – необходимо произвести дополнительные испытания.</w:t>
      </w:r>
    </w:p>
    <w:p w14:paraId="3CE6283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Вследствие вредных лобовых сопротивлений, резко понижающих летно-технические свойства самолетов, признать необходимым поставить работы по конструированию приспособлений для механического сбрасывания людей с парашютами изнутри самолета</w:t>
      </w:r>
    </w:p>
    <w:p w14:paraId="64A20AE4"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Парашютная клеть для выбрасывания группы людей (с большим парашютом).</w:t>
      </w:r>
    </w:p>
    <w:p w14:paraId="3788B42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основании отсутствия достаточного опыта по сбрасыванию больших парашютов поставить применение его для сбрасывания людей в зависимость от разрешения надежного сбрасывания тяжелых грузов.</w:t>
      </w:r>
    </w:p>
    <w:p w14:paraId="12742884"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Испытание больших парашютов для сбрасывания тяжелых грузов</w:t>
      </w:r>
    </w:p>
    <w:p w14:paraId="0D431C7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Продолжать работы по испытанию больших парашютов для сбрасывания тяжелых грузов, имея задание добиться скорости сбрасывания до 3 м/сек. для перехода к безопасному сбрасыванию людей. Учитывая условия облачности добиваться возможности сбрасывания тяжелых грузов с высоты 200 м.</w:t>
      </w:r>
    </w:p>
    <w:p w14:paraId="62A7797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Исходя из характера сбрасываемых грузов, нагрузки на парашют определить на: 40 кг, 80 кг, комбинации 80 кг парашютов для поднятия различных грузов до 1000 кг, 1500 кг и 2000 кг.</w:t>
      </w:r>
    </w:p>
    <w:p w14:paraId="4DEA9BB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целях достижения по возможности прицельного сбрасывания грузов с больших высот (3000 м) с последующим погашением большой скорости сбрасывания на низкой высоте, поручить Гроховскому использовать принципы конструкции парашютов Остехбюро, применяемых для прицельного сбрасывания ВОМИЗ и ТОРПЕД.</w:t>
      </w:r>
    </w:p>
    <w:p w14:paraId="3C64E07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Группа приборов приспособленных для сбрасывания грузов с бреющего полета</w:t>
      </w:r>
    </w:p>
    <w:p w14:paraId="05045AC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тактической стороны сбрасывание грузов на бреющем полете считать чрезвычайно ценным. Осуществленные конструкции признать обеспечивающими сбрасывание грузов. Для обеспечения возможности сбрасывания людей произвести опыты, как в смысле изыскания наивыгоднейшей формы авиабусов, так и условий местности, для чего произвести испытания по сбрасыванию в различных условиях и лишь после удовлетворительных результатов с грузами – перейти к сбрасыванию людей.</w:t>
      </w:r>
    </w:p>
    <w:p w14:paraId="131A349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Большие авиабусы ограничить конструктивными данными под ТБ-1.</w:t>
      </w:r>
    </w:p>
    <w:p w14:paraId="6F60719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Приборы для сбрасывания орудий, танков, автомобилей и др. военных предметов</w:t>
      </w:r>
    </w:p>
    <w:p w14:paraId="61F203B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Признать целесообразным сбрасывание с бреющего полета предметов военного вооружения. Принятую разработку конструкции для сбрасывания орудий довести до конца.</w:t>
      </w:r>
    </w:p>
    <w:p w14:paraId="1C868D3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 воздушных мешках Т-3 и Т-2</w:t>
      </w:r>
    </w:p>
    <w:p w14:paraId="70E4D7E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Признать Т-3 и Т-2 целесообразными для тактического применения как давших положительные результаты при неоднократных испытаниях.</w:t>
      </w:r>
    </w:p>
    <w:p w14:paraId="163C10C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Конструктивные приспособления для сбрасывания воды и консервов</w:t>
      </w:r>
    </w:p>
    <w:p w14:paraId="195CD4B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Одобрить.</w:t>
      </w:r>
    </w:p>
    <w:p w14:paraId="19589D2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Кабина беспосадочной загрузки самолетов</w:t>
      </w:r>
    </w:p>
    <w:p w14:paraId="7792085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(связь с землей, подхватывание предметов и людей).</w:t>
      </w:r>
    </w:p>
    <w:p w14:paraId="385687E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Признать очевидной тактическую целесообразность конструкции. Гроховскому ускорить работы.</w:t>
      </w:r>
    </w:p>
    <w:p w14:paraId="6AA9BAC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Комбинированный комбинезон с парашютной сумкой для сбрасывания людей (со снаряжением).</w:t>
      </w:r>
    </w:p>
    <w:p w14:paraId="0C6E83A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BCD1E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Считать этот комбинезон пригодным для сбрасывания людей, а вопрос возможности дальнейшей в нем работы бойца – изучить.</w:t>
      </w:r>
    </w:p>
    <w:p w14:paraId="14CDE5B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План работ конструкторского отдела НИИ</w:t>
      </w:r>
    </w:p>
    <w:p w14:paraId="39F2399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Внести в намеченный план изменения и уточнения согласно решений принятых в данном протоколе. Работу закончить не позднее 5 августа 1931 года (Претензии конструкторского отдела НИИ) (6770, 142-143).</w:t>
      </w:r>
    </w:p>
    <w:p w14:paraId="1C97C10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D4F0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июля 1931 состоялась конференция директоров заводов авиапромышленности (1028,116).</w:t>
      </w:r>
    </w:p>
    <w:p w14:paraId="781579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AD47E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июля 1931 Президиум ВСНХ СССР своим постановлением закрепил сроки начала строительства завода и организовал для этой цели 17-й государственный строительный трест, позже переименованный в строительно-монтажный.</w:t>
      </w:r>
    </w:p>
    <w:p w14:paraId="750949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Башкирский обком партии создал постоянный комитет содействия строительству завода: Самсонов — председатель, Ягудин — заместитель, члены комитета — Петровский, Логинов, Бычков, Бакаев и другие. Обком же направил на стройку 111 ответственных работников.</w:t>
      </w:r>
    </w:p>
    <w:p w14:paraId="0045AF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Выполнение плана, обеспечение рабочей силой, материально-техническое снабжение, жилищно-бытовые условия, культурное обслуживание — ничто не ускользало от пристального внимания партийных органов. Если требовалось, обком входил с предложениями в Центральный Комитет партии. ЦК ВКП (б) в 1934—1935 гг. принимал решения об ускорении строительства Уфимского моторного завода и увеличении его финансирования.</w:t>
      </w:r>
    </w:p>
    <w:p w14:paraId="0C7AF6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Обком партии выдвинул лозунг: «Моторный строит вся Башкирия». В районах республики шла мобилизация молодежи. К 1934 году на стройке трудились 3600 рабочих, среди них башкиры составляли 11 процентов, татары — 11, русские — 67; много было женщин (14 процентов). </w:t>
      </w:r>
    </w:p>
    <w:p w14:paraId="6448EF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Начальником строительства сначала был И. И. Желтов, которого в скором времени сменил В. Ф. Грачев, присланный сюда из Москвы Главным управлением тракторно-автомобильной промышленности (ГУТАП). Он был начальником стройки и одновременно директором завода. </w:t>
      </w:r>
    </w:p>
    <w:p w14:paraId="5D1ABF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1933 году был создан партком Моторостроя. Секретарем парткома избрали Ф. В. Шагимарданова. Это был очень деятельный человек, горячий трибун, опытный пропагандист. Он часто выступал перед рабочими, держался свободно, и слушать его было интересно. На заводе его любили и ценили.</w:t>
      </w:r>
    </w:p>
    <w:p w14:paraId="663D8A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Как вспоминал позднее полковник запаса Д. К. Жеребцов, работавший на стройке десятником, тогда преобладал ручной труд, не было ни машин, ни механизмов. Земляные работы вели артели землекопов, грунт из котлованов вывозили на телегах-грабарках. Гвозди составляли такой дефицит, что прорабы придумали должность гвоздодера. Молодые ребята с утра до вечера вытаскивали гвозди из старой опалубки, чтобы использовать их вторично. Кирпич на объект подавали козоносы. Так называли грузчиков, которые на «козе», закрепленной на спине, носили наверх кирпичи.</w:t>
      </w:r>
    </w:p>
    <w:p w14:paraId="61E5AF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Строительная площадка раскинулась широко. Вязкие болота, леса, озера, заросшие камышом, бездорожье — ни пройти, ни проехать. Заболоченная местность затрудняла закладку фундамента, доставку строительных материалов. Требовались средства и время, чтобы осушить болота, расчистить лесные заросли, подготовить строительные площадки. Порой приходилось рыть отводные каналы, спускать озера и болотные воды в овраги, реки , делать земляные насыпи.</w:t>
      </w:r>
    </w:p>
    <w:p w14:paraId="437849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Первыми должны были ввести в строй малолитейный, кузнечный и инструментальный цехи. С расчисткой площадки сразу же закладывались их фундаменты.</w:t>
      </w:r>
    </w:p>
    <w:p w14:paraId="78AE68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Одновременно строилось жилье, почта, телеграф, телефонная станция, прокладывались шоссе до города Уфы, железная дорога от станции Черниковка.</w:t>
      </w:r>
    </w:p>
    <w:p w14:paraId="55F1B8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первый же год было выстроено почти сто бараков. Их заселяли немедленно: ощущался недостаток жилья. Позже количество бараков выросло до четырехсот, но и этого было мало — на моторный прибывали люди со всех концов страны. Сотни рабочих жили в палатках. За станцией Черниковка возник большой палаточный городок. Весной 1935 года на стройку прибыл отряд казахов-кочевников (с семьями, на арбах, со своими верблюдами) во главе с Бетангалеевым. Неподалеку от завода они поставили юрты, возвели кухонные очаги. Казахи перевозили строительные материалы на повозках, запряженных верблюдами. Бывало, длиннющие караваны верблюдов тянулись по дорогам в сопровождении своих хозяев.</w:t>
      </w:r>
    </w:p>
    <w:p w14:paraId="353E99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 приближением зимы казахам построили семь благоустроенных бараков. Однако кочевники отказались от всех удобств. Тогда руководство создало Бетангалееву образцовую квартиру. Обставили ее мебелью — столы, стулья, кровати, шкафы, повесили оконные и дверные занавески, выдали постельное белье. </w:t>
      </w:r>
    </w:p>
    <w:p w14:paraId="3D8DEF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Казахи с любопытством рассматривали квартиру своего бригадира. Многие согласились на переезд в такие квартиры. Но расставались с кочевым бытом трудно. Вместо кроватей сделали общие нары, даже зимой не закрывали окон и посреди комнаты ставили юрту, прямо на полу разжигали очаг. Преимущества городского быта постигали постепенно, день за днем. Позже казахи-кочевники освоились, отмечали новоселья, приглашали гостей из дирекции, парткома и постройкома, угощали их национальными блюдами, подавали кумыс. Пели под домбру народные песни.</w:t>
      </w:r>
    </w:p>
    <w:p w14:paraId="092FD1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Многие рабочие, прибывшие на стройку, не имели ни опыта, ни квалификации. На виду была краснознаменная бригада мастера Мичугина из Магнитогорска. Она привезла с собой богатый опыт всесоюзной стройки. </w:t>
      </w:r>
    </w:p>
    <w:p w14:paraId="0A7E60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отличие от крупных машиностроительных заводов первой пятилетки — Сталинградского, Челябинского и других, Уфимский моторный целиком и полностью проектировался советскими специалистами.</w:t>
      </w:r>
    </w:p>
    <w:p w14:paraId="2D4618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 первых же дней стройка находилась под неослабным вниманием центральных и республиканских органов. Госплан СССР включил Уфимский моторный завод в число ударных строек страны. О размахе строительства можно судить хотя бы по тому, что сюда ежедневно поступало 300 вагонов строительных материалов. Лишь только в одном 1934 году стройка должна была получить 150 тысяч кубометров леса; 45 тысяч тонн цемента; 12 тысяч тонн железа, 50 тысяч кубометров бутового камня, 340 тысяч кубометров гравия, 50 миллионов штук кирпича, 230 тысяч тонн стекла. </w:t>
      </w:r>
    </w:p>
    <w:p w14:paraId="7523FD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Вырастали корпуса цехов, и в них устанавливались новые металлорежущие станки, кузнечно-прессовое и литейное оборудование. Однако с оборудованием были проблемы. Сначала оно было заказано в Германии. Однако с утверждением там фашистского строя деловые отношения с этой страной претерпели большие изменения, и договор на поставку оборудования для Уфимского моторного завода не был выполнен. Приходилось рассчитывать лишь на свои силы и возможности. Моторный завод стал получать оборудование с отечественных заводов, из Москвы, Ленинграда, Горького, Харькова, Одессы и Краснодара. </w:t>
      </w:r>
    </w:p>
    <w:p w14:paraId="00CDFE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Обком партии был главным штабом ударной стройки. Особой его заботой стала подготовка национальных кадров–рабочих и специалистов. В школах ФЗУ создавались подготовительные группы для тех, кто не имел необходимого образования. </w:t>
      </w:r>
    </w:p>
    <w:p w14:paraId="79B0A1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 притоком в промышленность башкир, татар и представителей других национальностей рабочий класс республики, а вместе с ним коллектив уфимских моторостроителей становился многонациональным. </w:t>
      </w:r>
    </w:p>
    <w:p w14:paraId="0824CD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Интересна судьба Гатията Рахматуллина. На стройку он пришел в лаптях и онучах, в грубых самотканых портках. «Я знал только, как плести лапти да пастуший кнут», — рассказывал он позднее. Гатият научился писать и читать, стал комсомольцем, стахановцем. За первые три года освоил три специальности: каменщика, бетонщика и штукатура. </w:t>
      </w:r>
    </w:p>
    <w:p w14:paraId="06E451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декабре 1935 года Рахматуллин оштукатурил 89 квадратных метров (578 процентов нормы) и перекрыл рекорд московского рабочего Позднякова, о котором тогда писали все газеты. Молодой стахановец был занесен на Доску почета, и ему вне очереди выделили квартиру в благоустроенном доме. Рахматуллина избрали делегатом VIII Всесоюзного съезда Советов, он стал депутатом Верховного Совета БАССР.</w:t>
      </w:r>
    </w:p>
    <w:p w14:paraId="002699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1938 году Москва снарядила агитсамолет «Крокодил» по маршруту: Москва — Орск — Магнитогорск — Уфа — Челябинск — Караганда — Кемерово — Новосибирск — Свердловск. На борту агитсамолета находились знатные труженики страны, знатоки своего дела, умельцы. Среди них был и Гатият. Он обучил своим приемам 335 человек, и ЦК профсоюза строителей премировал его путевкой в Гагры.</w:t>
      </w:r>
    </w:p>
    <w:p w14:paraId="63C89A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Моторный еще строился, но для него уже заранее готовились рабочие кадры на заводах Сталинграда, Челябинска, Горького. В канун 16-й годовщины Октября башкирские моторостроители собрали первый комбайновый мотор У-5 на линиях челябинского тракторного завода.</w:t>
      </w:r>
    </w:p>
    <w:p w14:paraId="21EB33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1934 года стройку посетила делегация рабочих скандинавских стран. Среди них были металлисты, строители, текстильщики. Иностранцы изумлялись размаху строительства. Их интересовали люди. Они расспрашивали, кто откуда пришел, кем был и кем стал, где учился, чего достиг, и поражались услышанному.</w:t>
      </w:r>
    </w:p>
    <w:p w14:paraId="572C94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сентября 1934 года состоялся пуск малолитейного цеха. А накануне прошло партийно-комсомольское собрание. На нем присутствовали башкирские писатели. С большим докладом о первом Всесоюзном съезде писателей перед рабочими выступил председатель БашЦИКа, известный литератор Афзал Тагиров.</w:t>
      </w:r>
    </w:p>
    <w:p w14:paraId="64547C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Затем все участники собрания под музыку духового оркестра направились в цех. 12 часов ночи. Цех забит людьми. Здесь ударники и руководители стройки, партийные и советские работники, писатели, журналисты. В 12.30 ночи с 14 на 15 сентября появился первый чугун моторного завода. Он хлынул под бурные аплодисменты, под музыку духового оркестра и пение «Интернационала».</w:t>
      </w:r>
    </w:p>
    <w:p w14:paraId="182D65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1935 году завод дал первые десять комбайновых моторов У-5 и пять дизель-моторов «Коджу». Необходимо было организовать их серийный выпуск.</w:t>
      </w:r>
    </w:p>
    <w:p w14:paraId="209049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Осенью 1938 года на завод приехал прославленный летчик-полярник М. В. Водопьянов. Отважный полярник рассказал о полете на Северный полюс, о развитии советской авиации и растущей мощи Красной Армии.</w:t>
      </w:r>
    </w:p>
    <w:p w14:paraId="5A726C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Проверка первых опытных двигателей У-5 проводилась на поле Сосновского совхоза близ Омска. Комбайнеры отметили его достоинства: надежность, длительную работу без ремонта, экономичный расход горючего. Опытный двигатель за 25 дней ни разу не вышел из строя. Всего он проработал свыше 300 часов.</w:t>
      </w:r>
    </w:p>
    <w:p w14:paraId="72C8FA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1938 году комбайны с моторами УМЗ успешно вели уборку на полях Краснодарского края, Куйбышевского зерносовхоза, Магнитогорского совхоза. Государственный экзамен У-5 выдержал с честью.</w:t>
      </w:r>
    </w:p>
    <w:p w14:paraId="234CD0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1939 году вспыхнула вторая мировая война. В Кремле состоялось заседание Совета Труда и Обороны с участием секретарей обкомов партии, директоров и главных инженеров крупных заводов. Было решено создать в Уфе и ряде других городов новые машиностроительные заводы. В Уфе базой для нового предприятия стал завод комбайновых моторов и площадка, подготовленная для строительства дизельного завода.</w:t>
      </w:r>
    </w:p>
    <w:p w14:paraId="54E474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Вновь созданные предприятия в срочном порядке оборудовались под выпуск авиационных моторов М-105. Завод на Верхней Волге стал головным (11882). </w:t>
      </w:r>
    </w:p>
    <w:p w14:paraId="5B567E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046E9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июля 1931 завершился перелет на К-5 по маршруту Харьков-Москва-Пенза-Оренбург-Кустанай-Акмолинск-Павлодар-Семипалатинск-Алма-Ата - 34 часа (70,168).</w:t>
      </w:r>
    </w:p>
    <w:p w14:paraId="5B6B2E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9D16024" w14:textId="77777777" w:rsidR="003562F3" w:rsidRPr="005E779E" w:rsidRDefault="003562F3" w:rsidP="000B7A6C">
      <w:pPr>
        <w:pStyle w:val="a3"/>
        <w:autoSpaceDE/>
        <w:autoSpaceDN/>
        <w:adjustRightInd/>
        <w:rPr>
          <w:rStyle w:val="66"/>
          <w:rFonts w:ascii="Times New Roman" w:eastAsia="Calibri" w:hAnsi="Times New Roman"/>
          <w:color w:val="000000" w:themeColor="text1"/>
          <w:sz w:val="16"/>
          <w:szCs w:val="16"/>
          <w:lang w:val="ru-RU"/>
        </w:rPr>
      </w:pPr>
      <w:r w:rsidRPr="005E779E">
        <w:rPr>
          <w:color w:val="000000" w:themeColor="text1"/>
          <w:lang w:val="ru-RU"/>
        </w:rPr>
        <w:t>27 июля 1931 г. появился первый акт инспекторского осмотра хода работ на земельном участке в 187 га к западу от платформы «Долгопруд</w:t>
      </w:r>
      <w:r w:rsidRPr="005E779E">
        <w:rPr>
          <w:color w:val="000000" w:themeColor="text1"/>
          <w:lang w:val="ru-RU"/>
        </w:rPr>
        <w:softHyphen/>
        <w:t>ная» Савеловской ж/дороги представителями «Аэро</w:t>
      </w:r>
      <w:r w:rsidRPr="005E779E">
        <w:rPr>
          <w:color w:val="000000" w:themeColor="text1"/>
          <w:lang w:val="ru-RU"/>
        </w:rPr>
        <w:softHyphen/>
        <w:t>флота» В Москве и Ле</w:t>
      </w:r>
      <w:r w:rsidRPr="005E779E">
        <w:rPr>
          <w:color w:val="000000" w:themeColor="text1"/>
          <w:lang w:val="ru-RU"/>
        </w:rPr>
        <w:softHyphen/>
        <w:t>нинграде был спешно издан сборник статей «Строим эскадру дирижаблей им. Ленина» с предисловием еще одного «воздухопла</w:t>
      </w:r>
      <w:r w:rsidRPr="005E779E">
        <w:rPr>
          <w:color w:val="000000" w:themeColor="text1"/>
          <w:lang w:val="ru-RU"/>
        </w:rPr>
        <w:softHyphen/>
        <w:t>вателя» - врача Н.А. Семашко. Профессор МГУ с пафосом оратора-большевика вещал на всю голодающую Россию: «Ни секунды нельзя сомневаться, что идея об эскадре дирижаблей будет реализована и уже от себя предложил включить в нее седьмой корабль - «Сталин». Ему вторили строки автора статьи «Дирижабль и Воздухопла</w:t>
      </w:r>
      <w:r w:rsidRPr="005E779E">
        <w:rPr>
          <w:color w:val="000000" w:themeColor="text1"/>
          <w:lang w:val="ru-RU"/>
        </w:rPr>
        <w:softHyphen/>
        <w:t>вание» в Большой советской энциклопедии под редакцией О.Ю. Шмидта: «...</w:t>
      </w:r>
      <w:r w:rsidRPr="005E779E">
        <w:rPr>
          <w:rStyle w:val="66"/>
          <w:rFonts w:ascii="Times New Roman" w:eastAsia="Calibri" w:hAnsi="Times New Roman"/>
          <w:color w:val="000000" w:themeColor="text1"/>
          <w:sz w:val="16"/>
          <w:szCs w:val="16"/>
          <w:lang w:val="ru-RU"/>
        </w:rPr>
        <w:t xml:space="preserve"> Несмотря на большие трудности освоения технологии строительства и эксплуатации цеппелинов, в Советском Союзе имеются все предпосылки для овладения этой вершиной капиталисти</w:t>
      </w:r>
      <w:r w:rsidRPr="005E779E">
        <w:rPr>
          <w:rStyle w:val="66"/>
          <w:rFonts w:ascii="Times New Roman" w:eastAsia="Calibri" w:hAnsi="Times New Roman"/>
          <w:color w:val="000000" w:themeColor="text1"/>
          <w:sz w:val="16"/>
          <w:szCs w:val="16"/>
          <w:lang w:val="ru-RU"/>
        </w:rPr>
        <w:softHyphen/>
        <w:t>ческой промышленности. И можно с полной уверенностью сказать, что в недалеком бу</w:t>
      </w:r>
      <w:r w:rsidRPr="005E779E">
        <w:rPr>
          <w:rStyle w:val="66"/>
          <w:rFonts w:ascii="Times New Roman" w:eastAsia="Calibri" w:hAnsi="Times New Roman"/>
          <w:color w:val="000000" w:themeColor="text1"/>
          <w:sz w:val="16"/>
          <w:szCs w:val="16"/>
          <w:lang w:val="ru-RU"/>
        </w:rPr>
        <w:softHyphen/>
        <w:t>дущем и у нас появятся советские цеппелины в эскадре им. Ленина» (12732).</w:t>
      </w:r>
    </w:p>
    <w:p w14:paraId="30621541" w14:textId="77777777" w:rsidR="003562F3" w:rsidRPr="005E779E" w:rsidRDefault="003562F3" w:rsidP="000B7A6C">
      <w:pPr>
        <w:pStyle w:val="a3"/>
        <w:autoSpaceDE/>
        <w:autoSpaceDN/>
        <w:adjustRightInd/>
        <w:rPr>
          <w:color w:val="000000" w:themeColor="text1"/>
          <w:lang w:val="ru-RU"/>
        </w:rPr>
      </w:pPr>
    </w:p>
    <w:p w14:paraId="455127AC" w14:textId="77777777" w:rsidR="00494647" w:rsidRPr="005E779E" w:rsidRDefault="00494647"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lastRenderedPageBreak/>
        <w:t>Другие оборонные отрасли:</w:t>
      </w:r>
    </w:p>
    <w:p w14:paraId="556BBDD6" w14:textId="77777777" w:rsidR="00494647" w:rsidRPr="005E779E" w:rsidRDefault="00494647"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AF9574B" w14:textId="77777777" w:rsidR="00494647" w:rsidRPr="005E779E" w:rsidRDefault="00494647"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27 июля 1931 года первым на "Большевике" построили не Т-26, а ТММ-1. Разработка М.В. Данченко форсировалась по той причине, что там стояли агрегаты грузовика Я-5 и мотор "Геркулес". А еще явно имелись некоторые соображения по поводу мотора Vickers Mk.E. Напрямую это не говорилось, но то, что мотор имел склонность к перегреву, не секрет. Больше того, в январе 1931 года С.А, Гинзбург предлагал "скрестить" Т-26 и Т-19. От 26-го предлагалось взять ходовую часть и трансмиссию. Впрочем, долго эта идея не прожила, хотя идея смены английского мотора витала чуть ли не всё время производства танка (20740).</w:t>
      </w:r>
    </w:p>
    <w:p w14:paraId="5A96B89A" w14:textId="77777777" w:rsidR="00494647" w:rsidRPr="005E779E" w:rsidRDefault="00494647"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DD61FBA"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5A8BF67D"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67C0408" w14:textId="77777777" w:rsidR="001B5144" w:rsidRPr="005E779E" w:rsidRDefault="001B514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27 июля в 1931 году впервые поднят в воздух прототип «Stag Lane» «J9184» английского тяжелого бомбардировщика </w:t>
      </w:r>
      <w:hyperlink r:id="rId164" w:tgtFrame="_blank" w:history="1">
        <w:r w:rsidRPr="005E779E">
          <w:rPr>
            <w:rFonts w:ascii="Times New Roman" w:hAnsi="Times New Roman"/>
            <w:color w:val="000000" w:themeColor="text1"/>
            <w:sz w:val="16"/>
            <w:szCs w:val="16"/>
          </w:rPr>
          <w:t xml:space="preserve">«de Havilland» «D.H.72». </w:t>
        </w:r>
      </w:hyperlink>
      <w:r w:rsidRPr="005E779E">
        <w:rPr>
          <w:rFonts w:ascii="Times New Roman" w:hAnsi="Times New Roman"/>
          <w:color w:val="000000" w:themeColor="text1"/>
          <w:sz w:val="16"/>
          <w:szCs w:val="16"/>
        </w:rPr>
        <w:t>В конце ноября самолет был доставлен «Martlesham Heath» для проведения испытаний в составе No.22 Squadron. К этому времени Авиационное Министерство заметно охладело к идее вооружения ВВС тяжелыми бомбардировщиками (на это серьезно повлияло решения Женевской конвенции о запрещении строительства бомбардировщиков) и в сентябре 1932 года спецификация B.22/27 была аннулирована, что привело к закрытию проекта «D.H.72» (14965).</w:t>
      </w:r>
    </w:p>
    <w:p w14:paraId="1EB392F5" w14:textId="77777777" w:rsidR="001B5144" w:rsidRPr="005E779E" w:rsidRDefault="001B5144" w:rsidP="000B7A6C">
      <w:pPr>
        <w:spacing w:after="0" w:line="240" w:lineRule="auto"/>
        <w:jc w:val="both"/>
        <w:rPr>
          <w:rFonts w:ascii="Times New Roman" w:hAnsi="Times New Roman"/>
          <w:color w:val="000000" w:themeColor="text1"/>
          <w:sz w:val="16"/>
          <w:szCs w:val="16"/>
        </w:rPr>
      </w:pPr>
    </w:p>
    <w:p w14:paraId="589E28ED" w14:textId="77777777" w:rsidR="00494647" w:rsidRPr="005E779E" w:rsidRDefault="0049464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июля 1931 на собрании в Чикаго, штат Иллинойс, основана Международная ассоциация пилотов воздушных линий (20804).</w:t>
      </w:r>
    </w:p>
    <w:p w14:paraId="4694E2B7" w14:textId="77777777" w:rsidR="00494647" w:rsidRPr="005E779E" w:rsidRDefault="00494647" w:rsidP="000B7A6C">
      <w:pPr>
        <w:spacing w:after="0" w:line="240" w:lineRule="auto"/>
        <w:jc w:val="both"/>
        <w:rPr>
          <w:rFonts w:ascii="Times New Roman" w:hAnsi="Times New Roman"/>
          <w:color w:val="000000" w:themeColor="text1"/>
          <w:sz w:val="16"/>
          <w:szCs w:val="16"/>
        </w:rPr>
      </w:pPr>
    </w:p>
    <w:p w14:paraId="6A1971A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июля 1931 у Мукдена убит японский капитан Накумара, что послужило поводом для вторжения Японии в Манчжурию (4962).</w:t>
      </w:r>
    </w:p>
    <w:p w14:paraId="6D29294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D03D02" w14:textId="2F8E3AC8" w:rsidR="00535A7C" w:rsidRPr="005E779E" w:rsidRDefault="00535A7C" w:rsidP="000B7A6C">
      <w:pPr>
        <w:autoSpaceDE w:val="0"/>
        <w:autoSpaceDN w:val="0"/>
        <w:adjustRightInd w:val="0"/>
        <w:spacing w:after="0" w:line="240" w:lineRule="auto"/>
        <w:jc w:val="both"/>
        <w:rPr>
          <w:rFonts w:ascii="Times New Roman" w:hAnsi="Times New Roman"/>
          <w:i/>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50047D98" w14:textId="77777777" w:rsidR="00535A7C" w:rsidRPr="005E779E" w:rsidRDefault="00535A7C" w:rsidP="000B7A6C">
      <w:pPr>
        <w:autoSpaceDE w:val="0"/>
        <w:autoSpaceDN w:val="0"/>
        <w:adjustRightInd w:val="0"/>
        <w:spacing w:after="0" w:line="240" w:lineRule="auto"/>
        <w:jc w:val="both"/>
        <w:rPr>
          <w:rFonts w:ascii="Times New Roman" w:hAnsi="Times New Roman"/>
          <w:i/>
          <w:iCs/>
          <w:color w:val="000000" w:themeColor="text1"/>
          <w:sz w:val="16"/>
          <w:szCs w:val="16"/>
        </w:rPr>
      </w:pPr>
    </w:p>
    <w:p w14:paraId="57530830" w14:textId="77777777" w:rsidR="00535A7C" w:rsidRPr="005E779E" w:rsidRDefault="00535A7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28 июля 1930 г. Всесоюзное авиационное объединение (ВАО) при Главном управлении металлопромышленности ВСНХ СССР было подчинено Наркомвоенмору, а с 10.01.1932 г. – Наркомату тяжелой промышленности и преобразовано в Главное управление авиапромышленности (24115).</w:t>
      </w:r>
    </w:p>
    <w:p w14:paraId="276DED5C" w14:textId="77777777" w:rsidR="00535A7C" w:rsidRPr="005E779E" w:rsidRDefault="00535A7C" w:rsidP="000B7A6C">
      <w:pPr>
        <w:spacing w:after="0" w:line="240" w:lineRule="auto"/>
        <w:jc w:val="both"/>
        <w:rPr>
          <w:rFonts w:ascii="Times New Roman" w:hAnsi="Times New Roman"/>
          <w:color w:val="000000" w:themeColor="text1"/>
          <w:sz w:val="16"/>
          <w:szCs w:val="16"/>
        </w:rPr>
      </w:pPr>
    </w:p>
    <w:p w14:paraId="5F21189A" w14:textId="02C16320" w:rsidR="00875C4A"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13B9B260" w14:textId="77777777" w:rsidR="00875C4A" w:rsidRPr="005E779E" w:rsidRDefault="00875C4A"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5FCCBF7"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28 июля 1931</w:t>
      </w:r>
      <w:r w:rsidRPr="005E779E">
        <w:rPr>
          <w:rFonts w:ascii="Times New Roman" w:hAnsi="Times New Roman"/>
          <w:color w:val="000000" w:themeColor="text1"/>
          <w:sz w:val="16"/>
          <w:szCs w:val="16"/>
        </w:rPr>
        <w:t>Политбюро ЦК ВКП (б) одобрило решение ВСНХ о замене коллегиального управления трестов единоначалием по примеру объединения «Уголь» (12265).</w:t>
      </w:r>
    </w:p>
    <w:p w14:paraId="5E299A52"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7D122296" w14:textId="77777777" w:rsidR="001B5144"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3BC5DCCA" w14:textId="77777777" w:rsidR="001B5144" w:rsidRPr="005E779E" w:rsidRDefault="001B5144"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0B3F472" w14:textId="77777777" w:rsidR="001B5144" w:rsidRPr="005E779E" w:rsidRDefault="001B514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 июля в 1931 году первый в мире беспосадочный полёт через Тихий океан. Кругосветный перелёт был совершен американскими лётчиками Клайдом Пангборном и Хью Херндоном из США в Японию на «Bellanca» «CH-400» «Miss Veedol». Перелёт они благополучно завершили 15 октября 1931. Усовершенствованный вариант самолетов семейства «Pacemaker «моноплан «Bellanca» «CH-400» «Skyrocket» впервые поднялся в воздух в 1930 году с силовой установкой «Pratt &amp; Whitney» «Wasp С» мощностью 425 л.с. Кроме колесного шасси предусматривалась так же установка поплавков «Идо». «Skyrocket» имел скорость только на 8 км/час выше, чем самолет «Pacemaker». Технические характеристики Экипаж: один пилот. Вместимость: 5 пассажиров. Длина: 27 футов. Размах Крыльев: 46 футов 4 дюймов (14.1 м). Силовая Установка: 1 Ч Pratt &amp; Whitney Wasp 420 л.с.(313 Квт). Максимальная скорость: 155 mph (249 км/ч). Дальность: 670 миль (1,080 км) (14966).</w:t>
      </w:r>
    </w:p>
    <w:p w14:paraId="02B582B3" w14:textId="77777777" w:rsidR="001B5144" w:rsidRPr="005E779E" w:rsidRDefault="001B5144" w:rsidP="000B7A6C">
      <w:pPr>
        <w:spacing w:after="0" w:line="240" w:lineRule="auto"/>
        <w:jc w:val="both"/>
        <w:rPr>
          <w:rFonts w:ascii="Times New Roman" w:hAnsi="Times New Roman"/>
          <w:color w:val="000000" w:themeColor="text1"/>
          <w:sz w:val="16"/>
          <w:szCs w:val="16"/>
        </w:rPr>
      </w:pPr>
    </w:p>
    <w:p w14:paraId="41B7C092" w14:textId="77777777" w:rsidR="00494647" w:rsidRPr="005E779E" w:rsidRDefault="0049464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28-31 июля 1931 Рассел Нортон Бордмен и Джон Луи Polando на Bellanca Special J-300 Cape Cod, регистрация NR761W, с двигателем 300 л.с. (220 кВт) Райт J-6 Вихрь и совершают безпосадочный перелет от Floyd Bennett Field,з Нью-Йорка в Стамбул, Турция , за 49 часов 20 минут, установив рекорд расстояния в 5011,8 миль (8 065,7 км). Это первый известный беспосадочный перелет, который преодолеет расстояние от 5000 до 8000 километров (20804).</w:t>
      </w:r>
    </w:p>
    <w:p w14:paraId="41636AC5" w14:textId="77777777" w:rsidR="00494647" w:rsidRPr="005E779E" w:rsidRDefault="00494647" w:rsidP="000B7A6C">
      <w:pPr>
        <w:spacing w:after="0" w:line="240" w:lineRule="auto"/>
        <w:jc w:val="both"/>
        <w:rPr>
          <w:rFonts w:ascii="Times New Roman" w:hAnsi="Times New Roman"/>
          <w:color w:val="000000" w:themeColor="text1"/>
          <w:sz w:val="16"/>
          <w:szCs w:val="16"/>
        </w:rPr>
      </w:pPr>
    </w:p>
    <w:p w14:paraId="44853E58" w14:textId="77777777" w:rsidR="00855AE1" w:rsidRPr="00142305" w:rsidRDefault="00855AE1" w:rsidP="00855AE1">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28 июля 1931 г. ранним утром из Бруклина был начат полет в Турцию. Пилоты Р. Бордман и Дж. Поланд летели на самолете СН-300 с большой метеорологической картой, делали специальные навигационное счисление и таким образом координировали свой полет. Помимо топлива и моторного мас</w:t>
      </w:r>
      <w:r w:rsidRPr="00142305">
        <w:rPr>
          <w:rStyle w:val="aff0"/>
          <w:rFonts w:ascii="Times New Roman" w:hAnsi="Times New Roman" w:cs="Times New Roman"/>
          <w:color w:val="0070C0"/>
          <w:spacing w:val="0"/>
          <w:sz w:val="16"/>
          <w:szCs w:val="16"/>
        </w:rPr>
        <w:softHyphen/>
        <w:t>ла в самолете находилась сумка, содержащая тысячу открыток, 16 копий газет «Нью-Йорк тайме», одна из которых была потом передана Ататюрку, а также письмо Ататюрку из турецкого кон</w:t>
      </w:r>
      <w:r w:rsidRPr="00142305">
        <w:rPr>
          <w:rStyle w:val="aff0"/>
          <w:rFonts w:ascii="Times New Roman" w:hAnsi="Times New Roman" w:cs="Times New Roman"/>
          <w:color w:val="0070C0"/>
          <w:spacing w:val="0"/>
          <w:sz w:val="16"/>
          <w:szCs w:val="16"/>
        </w:rPr>
        <w:softHyphen/>
        <w:t>сульства в Бостоне. На самолете не было ни радио, ни туалета, ни парашютов, ни спасательной шлюпки. Находящийся на са</w:t>
      </w:r>
      <w:r w:rsidRPr="00142305">
        <w:rPr>
          <w:rStyle w:val="aff0"/>
          <w:rFonts w:ascii="Times New Roman" w:hAnsi="Times New Roman" w:cs="Times New Roman"/>
          <w:color w:val="0070C0"/>
          <w:spacing w:val="0"/>
          <w:sz w:val="16"/>
          <w:szCs w:val="16"/>
        </w:rPr>
        <w:softHyphen/>
        <w:t>молете авиагоризонт во время полета не работал должным об</w:t>
      </w:r>
      <w:r w:rsidRPr="00142305">
        <w:rPr>
          <w:rStyle w:val="aff0"/>
          <w:rFonts w:ascii="Times New Roman" w:hAnsi="Times New Roman" w:cs="Times New Roman"/>
          <w:color w:val="0070C0"/>
          <w:spacing w:val="0"/>
          <w:sz w:val="16"/>
          <w:szCs w:val="16"/>
        </w:rPr>
        <w:softHyphen/>
        <w:t>разом. Установленный барограф, который записывал полетную информацию, был опечатан до полета представителями ФАИ с целью предотвращения фальсификации. Он был вынут из само</w:t>
      </w:r>
      <w:r w:rsidRPr="00142305">
        <w:rPr>
          <w:rStyle w:val="aff0"/>
          <w:rFonts w:ascii="Times New Roman" w:hAnsi="Times New Roman" w:cs="Times New Roman"/>
          <w:color w:val="0070C0"/>
          <w:spacing w:val="0"/>
          <w:sz w:val="16"/>
          <w:szCs w:val="16"/>
        </w:rPr>
        <w:softHyphen/>
        <w:t>лета сразу же после того, как тот совершил посадку в Стамбу</w:t>
      </w:r>
      <w:r w:rsidRPr="00142305">
        <w:rPr>
          <w:rStyle w:val="aff0"/>
          <w:rFonts w:ascii="Times New Roman" w:hAnsi="Times New Roman" w:cs="Times New Roman"/>
          <w:color w:val="0070C0"/>
          <w:spacing w:val="0"/>
          <w:sz w:val="16"/>
          <w:szCs w:val="16"/>
        </w:rPr>
        <w:softHyphen/>
        <w:t>ле, а затем направлен в Париж в дипломатическом мешке для определения рекорда.</w:t>
      </w:r>
    </w:p>
    <w:p w14:paraId="46B5943A" w14:textId="77777777" w:rsidR="00855AE1" w:rsidRPr="00142305" w:rsidRDefault="00855AE1" w:rsidP="00855AE1">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Когда пилоты приземлились в 1 ч 8 мин. по местному време</w:t>
      </w:r>
      <w:r w:rsidRPr="00142305">
        <w:rPr>
          <w:rStyle w:val="aff0"/>
          <w:rFonts w:ascii="Times New Roman" w:hAnsi="Times New Roman" w:cs="Times New Roman"/>
          <w:color w:val="0070C0"/>
          <w:spacing w:val="0"/>
          <w:sz w:val="16"/>
          <w:szCs w:val="16"/>
        </w:rPr>
        <w:softHyphen/>
        <w:t>ни 30 июля, топлива в их баках оставалось примерно на 15 минут полета. Расстояние 8066 км было преодолено за 49 ч 8 мин. Гу</w:t>
      </w:r>
      <w:r w:rsidRPr="00142305">
        <w:rPr>
          <w:rStyle w:val="aff0"/>
          <w:rFonts w:ascii="Times New Roman" w:hAnsi="Times New Roman" w:cs="Times New Roman"/>
          <w:color w:val="0070C0"/>
          <w:spacing w:val="0"/>
          <w:sz w:val="16"/>
          <w:szCs w:val="16"/>
        </w:rPr>
        <w:softHyphen/>
        <w:t>бернатор Стамбула, а также американский посол встречали само</w:t>
      </w:r>
      <w:r w:rsidRPr="00142305">
        <w:rPr>
          <w:rStyle w:val="aff0"/>
          <w:rFonts w:ascii="Times New Roman" w:hAnsi="Times New Roman" w:cs="Times New Roman"/>
          <w:color w:val="0070C0"/>
          <w:spacing w:val="0"/>
          <w:sz w:val="16"/>
          <w:szCs w:val="16"/>
        </w:rPr>
        <w:softHyphen/>
        <w:t>лет в аэропорту. После краткой встречи пилоты были доставле</w:t>
      </w:r>
      <w:r w:rsidRPr="00142305">
        <w:rPr>
          <w:rStyle w:val="aff0"/>
          <w:rFonts w:ascii="Times New Roman" w:hAnsi="Times New Roman" w:cs="Times New Roman"/>
          <w:color w:val="0070C0"/>
          <w:spacing w:val="0"/>
          <w:sz w:val="16"/>
          <w:szCs w:val="16"/>
        </w:rPr>
        <w:softHyphen/>
        <w:t>ны в Пера Палас Отель. По чистой случайности в это время в Стамбуле находились предыдущие рекордсмены по дальности полета — французы Д. Костэ и М. Беллонт. Французские пило</w:t>
      </w:r>
      <w:r w:rsidRPr="00142305">
        <w:rPr>
          <w:rStyle w:val="aff0"/>
          <w:rFonts w:ascii="Times New Roman" w:hAnsi="Times New Roman" w:cs="Times New Roman"/>
          <w:color w:val="0070C0"/>
          <w:spacing w:val="0"/>
          <w:sz w:val="16"/>
          <w:szCs w:val="16"/>
        </w:rPr>
        <w:softHyphen/>
        <w:t>ты входили в состав авиационной делегации, которая продавала Турции свои новые военные самолеты. Они надеялись встре</w:t>
      </w:r>
      <w:r w:rsidRPr="00142305">
        <w:rPr>
          <w:rStyle w:val="aff0"/>
          <w:rFonts w:ascii="Times New Roman" w:hAnsi="Times New Roman" w:cs="Times New Roman"/>
          <w:color w:val="0070C0"/>
          <w:spacing w:val="0"/>
          <w:sz w:val="16"/>
          <w:szCs w:val="16"/>
        </w:rPr>
        <w:softHyphen/>
        <w:t>титься с премьер-министром, но тот был занят американскими пилотами. Ататюрк игнорировал французских летчиков, и их делегация улетела домой, не продав ни одного самолета (25675).</w:t>
      </w:r>
    </w:p>
    <w:p w14:paraId="3F04623E" w14:textId="77777777" w:rsidR="00855AE1" w:rsidRPr="00142305" w:rsidRDefault="00855AE1" w:rsidP="00855AE1">
      <w:pPr>
        <w:spacing w:after="0" w:line="240" w:lineRule="auto"/>
        <w:jc w:val="both"/>
        <w:rPr>
          <w:rFonts w:ascii="Times New Roman" w:hAnsi="Times New Roman"/>
          <w:color w:val="0070C0"/>
          <w:sz w:val="16"/>
          <w:szCs w:val="16"/>
        </w:rPr>
      </w:pPr>
    </w:p>
    <w:p w14:paraId="0863B2DF"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73D1BE12"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075BE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 июля 1931 г. высокоплан "Белланка" с бортовым номером NR 796W и именем собственным на борту "Miss Veedol" летчиков Пэнгборна и Херндона совершил плановую посадку в московском аэропорту Этот перелет американцев, который относился к скоростным перелетам вокруг света с промежуточными посадками (11941).</w:t>
      </w:r>
    </w:p>
    <w:p w14:paraId="5008DD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F2C1CD7"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lang w:val="en-US"/>
        </w:rPr>
      </w:pPr>
      <w:r w:rsidRPr="005E779E">
        <w:rPr>
          <w:rFonts w:ascii="Times New Roman" w:hAnsi="Times New Roman"/>
          <w:i/>
          <w:iCs/>
          <w:color w:val="000000" w:themeColor="text1"/>
          <w:sz w:val="16"/>
          <w:szCs w:val="16"/>
        </w:rPr>
        <w:t>За</w:t>
      </w:r>
      <w:r w:rsidRPr="005E779E">
        <w:rPr>
          <w:rFonts w:ascii="Times New Roman" w:hAnsi="Times New Roman"/>
          <w:i/>
          <w:iCs/>
          <w:color w:val="000000" w:themeColor="text1"/>
          <w:sz w:val="16"/>
          <w:szCs w:val="16"/>
          <w:lang w:val="en-US"/>
        </w:rPr>
        <w:t xml:space="preserve"> </w:t>
      </w:r>
      <w:r w:rsidRPr="005E779E">
        <w:rPr>
          <w:rFonts w:ascii="Times New Roman" w:hAnsi="Times New Roman"/>
          <w:i/>
          <w:iCs/>
          <w:color w:val="000000" w:themeColor="text1"/>
          <w:sz w:val="16"/>
          <w:szCs w:val="16"/>
        </w:rPr>
        <w:t>рубежом</w:t>
      </w:r>
      <w:r w:rsidRPr="005E779E">
        <w:rPr>
          <w:rFonts w:ascii="Times New Roman" w:hAnsi="Times New Roman"/>
          <w:i/>
          <w:iCs/>
          <w:color w:val="000000" w:themeColor="text1"/>
          <w:sz w:val="16"/>
          <w:szCs w:val="16"/>
          <w:lang w:val="en-US"/>
        </w:rPr>
        <w:t>:</w:t>
      </w:r>
    </w:p>
    <w:p w14:paraId="5A5B67C1"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7FA836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lang w:val="en-US"/>
        </w:rPr>
        <w:t>July 29-August 26 1931 Colonel and Mrs. Lindbergh made survey flight to Japan in Sirius seaplane, via Alaska and Siberia (1038).</w:t>
      </w:r>
    </w:p>
    <w:p w14:paraId="733F88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p w14:paraId="676DBC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29 июля по 26 августа 1931 п и миссис Линдберг совершили перелет в Японию через Аляску, а далее - Сибирь (3908,337).</w:t>
      </w:r>
    </w:p>
    <w:p w14:paraId="77DFFF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7579313"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25B23804"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11BAB7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30 июля по 15 августа 1931 в НИИ ВВС проходил первый этап испытаний (образца для серии) самолета И5 № 18 с мотором М15.</w:t>
      </w:r>
    </w:p>
    <w:p w14:paraId="5D8D24E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Результаты испытания (образца для серии) самолета И5 № 18 с мотором М15</w:t>
      </w:r>
    </w:p>
    <w:p w14:paraId="0ACCBE3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Выводы были сделаны на основании двух разновременных испытаний одного и того же самолета.</w:t>
      </w:r>
    </w:p>
    <w:p w14:paraId="6BAAA5E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Первый раз испытывался самолет И5 № 18 с мотором М15 № 6. Испытание было начато 30 июля 1931 года и прервано 15 августа 1931 года из-за поломки рамы моторной установки. Самолет И5 № 18 после ремонта вторично был предъявлен для испытания 10 октября 1931 года с другим мотором М15 № 24109 и с тем же винтом.</w:t>
      </w:r>
    </w:p>
    <w:p w14:paraId="0CAAE81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И5 № 18 построен по типу серийных самолетов, т.е. отдельные части самолета изготовлялись на заводах №№ 39, 1 и 22, а вся сборка самолета произведена заводом № 39.</w:t>
      </w:r>
    </w:p>
    <w:p w14:paraId="13972A5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сообщению завода № 39 данный самолет в сравнении с И5 Юп VI усилен ………….</w:t>
      </w:r>
    </w:p>
    <w:p w14:paraId="294090A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Цель испытаний</w:t>
      </w:r>
    </w:p>
    <w:p w14:paraId="2CFABF0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За период с 12 декабря 1930 года по 1 февраля 1931 года и с 6 мая 1931 года по 15 июня 1931 года испытывался самолет И5 № 3 с мотором М15. Этот самолет не имел целого ряда деталей, требующихся для установки вооружения и оборудования и имел конструкцию (капотаж, моторы, установка пулеметов) отличную от предполагаемой в серийной постройке, поэтому полученные летные данные не могли быть показаны для серийных самолетов И5-М15. Установка вооружения на самолете И5 № 3 носила макетный характер, вследствие чего вооружение не могло быть испытано. Поэтому заводом № 39 был дан на испытание в НИИ ВВС другой самолет И5 № 18 с мотором М15, который должен быть принят как образец для серии. Данный самолет мог быть испытан только в отношении летных данных, так </w:t>
      </w:r>
      <w:r w:rsidRPr="005E779E">
        <w:rPr>
          <w:rFonts w:ascii="Times New Roman" w:hAnsi="Times New Roman"/>
          <w:color w:val="000000" w:themeColor="text1"/>
          <w:sz w:val="16"/>
          <w:szCs w:val="16"/>
        </w:rPr>
        <w:lastRenderedPageBreak/>
        <w:t>как вооружение его не было отлажено (при заводских испытаниях был отмечен перегрев верхних пулеметов и трещины у трубы нижних пулеметов) и правые пулеметы не имели левых приемников.</w:t>
      </w:r>
    </w:p>
    <w:p w14:paraId="2A7F06E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 самолета И5-М15 отличается от вооружения самолета И5-ЮпVI тем, что верхние пулеметы разнесены на 40 мм больше и у нижних пулеметов поставлены трубы.</w:t>
      </w:r>
    </w:p>
    <w:p w14:paraId="663958F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Ход испытания</w:t>
      </w:r>
    </w:p>
    <w:p w14:paraId="41179FC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 период первого испытания самолет И5 № 18 произвел следующие полеты:</w:t>
      </w:r>
    </w:p>
    <w:p w14:paraId="425A56A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 июля 1931 года – полет на определение скороподъемности и горизонтальных скоростей на высотах 5000, 4000, 2000, 1000 м –45 минут</w:t>
      </w:r>
    </w:p>
    <w:p w14:paraId="1EBB6D6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августа 1931 года – полет с целью определения скороподъемности, потолка и горизонтальных скоростей на высотах 7000, 6000, 5000 м. Определение расхода горючего на высоте 5000 м – 2 часа 5 минут</w:t>
      </w:r>
    </w:p>
    <w:p w14:paraId="17610AB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августа 1931 года – полет на управляемость на 5000 и 3000 м. Определение расхода горючего на высоте 3000 м – 2 часа 20 минут</w:t>
      </w:r>
    </w:p>
    <w:p w14:paraId="00E509D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 время второго испытания произведены следующие полеты:</w:t>
      </w:r>
    </w:p>
    <w:p w14:paraId="6DB649A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октября 1931 года - полет на управляемость и фигуры на высоте 1000 м. Полет с целью определения горизонтальных скоростей на высоте 100 м – 1 час 30 минут</w:t>
      </w:r>
    </w:p>
    <w:p w14:paraId="0534646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Испытание прервано из-за поломки самолета при вынужденной посадке. Вынужденная посадка произошла вследствие прекращения подачи бензина.</w:t>
      </w:r>
    </w:p>
    <w:p w14:paraId="45FBEB6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w:t>
      </w:r>
    </w:p>
    <w:p w14:paraId="6C81B1A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основании произведенных испытаний можно установить, что самолет И5 при постановке на него мотора М15 в серийной постройке будет иметь как худшие летные данные, так и меньший радиус действия, чем с мотором ЮпVI (6964, 32-40).</w:t>
      </w:r>
    </w:p>
    <w:p w14:paraId="4689C74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AE1C99"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 июля 1931 начались спы</w:t>
      </w:r>
      <w:r w:rsidRPr="005E779E">
        <w:rPr>
          <w:rFonts w:ascii="Times New Roman" w:hAnsi="Times New Roman"/>
          <w:color w:val="000000" w:themeColor="text1"/>
          <w:sz w:val="16"/>
          <w:szCs w:val="16"/>
        </w:rPr>
        <w:softHyphen/>
        <w:t>тания в НИИ ВВС И-5 № 18 с двигателем М-15 №6 и были прерваны 15 августа 1931 года по причине поломки мо</w:t>
      </w:r>
      <w:r w:rsidRPr="005E779E">
        <w:rPr>
          <w:rFonts w:ascii="Times New Roman" w:hAnsi="Times New Roman"/>
          <w:color w:val="000000" w:themeColor="text1"/>
          <w:sz w:val="16"/>
          <w:szCs w:val="16"/>
        </w:rPr>
        <w:softHyphen/>
        <w:t>торамы. После ремонта самолет предъявили к тестированию с новым двигателем - М-15 №24109. Полеты начались 10 октября, а че</w:t>
      </w:r>
      <w:r w:rsidRPr="005E779E">
        <w:rPr>
          <w:rFonts w:ascii="Times New Roman" w:hAnsi="Times New Roman"/>
          <w:color w:val="000000" w:themeColor="text1"/>
          <w:sz w:val="16"/>
          <w:szCs w:val="16"/>
        </w:rPr>
        <w:softHyphen/>
        <w:t>рез несколько дней самолет потерпел аварию при выполнении вынужденной посад</w:t>
      </w:r>
      <w:r w:rsidRPr="005E779E">
        <w:rPr>
          <w:rFonts w:ascii="Times New Roman" w:hAnsi="Times New Roman"/>
          <w:color w:val="000000" w:themeColor="text1"/>
          <w:sz w:val="16"/>
          <w:szCs w:val="16"/>
        </w:rPr>
        <w:softHyphen/>
        <w:t>ки. Дальнейшая судьба машины не просле</w:t>
      </w:r>
      <w:r w:rsidRPr="005E779E">
        <w:rPr>
          <w:rFonts w:ascii="Times New Roman" w:hAnsi="Times New Roman"/>
          <w:color w:val="000000" w:themeColor="text1"/>
          <w:sz w:val="16"/>
          <w:szCs w:val="16"/>
        </w:rPr>
        <w:softHyphen/>
        <w:t>живается, однако из переписки завода №39 известно, что какой-то И-5 с М-15 потерпел аварию и не восстанавливался (вероятно это был И-5 №18).</w:t>
      </w:r>
    </w:p>
    <w:p w14:paraId="688BE974"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Несмотря на аварию, основные выводы в отношении дальнейшего использования двигателя М-15 были получены. В частно</w:t>
      </w:r>
      <w:r w:rsidRPr="005E779E">
        <w:rPr>
          <w:rFonts w:ascii="Times New Roman" w:hAnsi="Times New Roman"/>
          <w:color w:val="000000" w:themeColor="text1"/>
          <w:sz w:val="16"/>
          <w:szCs w:val="16"/>
        </w:rPr>
        <w:softHyphen/>
        <w:t>сти, указывалось, что серийные И-5 с М-15 будут обладать худшими летными данными и меньшим радиусом действия, чем И-5 с дви</w:t>
      </w:r>
      <w:r w:rsidRPr="005E779E">
        <w:rPr>
          <w:rFonts w:ascii="Times New Roman" w:hAnsi="Times New Roman"/>
          <w:color w:val="000000" w:themeColor="text1"/>
          <w:sz w:val="16"/>
          <w:szCs w:val="16"/>
        </w:rPr>
        <w:softHyphen/>
        <w:t>гателем «Юпитер» VI. Максимальная полет</w:t>
      </w:r>
      <w:r w:rsidRPr="005E779E">
        <w:rPr>
          <w:rFonts w:ascii="Times New Roman" w:hAnsi="Times New Roman"/>
          <w:color w:val="000000" w:themeColor="text1"/>
          <w:sz w:val="16"/>
          <w:szCs w:val="16"/>
        </w:rPr>
        <w:softHyphen/>
        <w:t>ная скорость самолета с М -15 оказалась нем</w:t>
      </w:r>
      <w:r w:rsidRPr="005E779E">
        <w:rPr>
          <w:rFonts w:ascii="Times New Roman" w:hAnsi="Times New Roman"/>
          <w:color w:val="000000" w:themeColor="text1"/>
          <w:sz w:val="16"/>
          <w:szCs w:val="16"/>
        </w:rPr>
        <w:softHyphen/>
        <w:t>ного выше, а скороподъемность чуть ниже, чем у второго опытного экземпляра.</w:t>
      </w:r>
    </w:p>
    <w:p w14:paraId="5A87F91B"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 Ю-У1Скорость макс, на 1000 м (км/ч)</w:t>
      </w:r>
    </w:p>
    <w:p w14:paraId="2D6C6537"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набора 3000 м (мин) (12295).</w:t>
      </w:r>
    </w:p>
    <w:p w14:paraId="3273B1BE" w14:textId="77777777" w:rsidR="00875C4A" w:rsidRPr="005E779E" w:rsidRDefault="00875C4A" w:rsidP="000B7A6C">
      <w:pPr>
        <w:spacing w:after="0" w:line="240" w:lineRule="auto"/>
        <w:jc w:val="both"/>
        <w:rPr>
          <w:rFonts w:ascii="Times New Roman" w:hAnsi="Times New Roman"/>
          <w:color w:val="000000" w:themeColor="text1"/>
          <w:sz w:val="16"/>
          <w:szCs w:val="16"/>
        </w:rPr>
      </w:pPr>
    </w:p>
    <w:p w14:paraId="1B7699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 июля 1931 г. и.о. зам. нач. 2 отдела НИИ ВВС Квитко писал письмо N 436с в 8 сектор 3 Управления УВВС.</w:t>
      </w:r>
    </w:p>
    <w:p w14:paraId="2FF6DD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сем препровождаются результаты предварительных испытаний опытного самолета И5 с мотором М15.</w:t>
      </w:r>
    </w:p>
    <w:p w14:paraId="2C99B9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И5-М15 был начат гос. испытанием в НИИ УВВС 12 декабря 1930 г., но ввиду неисправности мотора испытание было прервано 1 февраля 31 г. За указанный период произведено всего 8 полетов.</w:t>
      </w:r>
    </w:p>
    <w:p w14:paraId="2064A2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Испытание самолета было продолжено при вторичном получении самолета с новым мотором 6 мая 1931 г.</w:t>
      </w:r>
    </w:p>
    <w:p w14:paraId="4FBA98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Испытывался в первый раз самолет И5 N 3 (XVI съезд) постройки ЦКБ, с мотором 2М15 N 2, постройки завода N 24.</w:t>
      </w:r>
    </w:p>
    <w:p w14:paraId="446F15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вторичном испытании тот же самолет имел мотор М15 N 18, постройки завода N 24.</w:t>
      </w:r>
    </w:p>
    <w:p w14:paraId="748C68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w:t>
      </w:r>
    </w:p>
    <w:p w14:paraId="498AC6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Поскольку самолет И5-М15 N 3 не является по своей конструкции идентичным тому, который предположен к серийной постройке, не мог быть испытан на стрельбу считать, что на основе его испытания нельзя дать заключения о самолете И5-М15, предназначенного к серийной постройке (3290,41-58).</w:t>
      </w:r>
    </w:p>
    <w:p w14:paraId="6BF810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6ABC8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 июля 1931 начались испытания в НИИ ВВС И-5 № 18 с двигателем М-15 № 6, которые были прерваны 15 августа 1931 г. по причине по</w:t>
      </w:r>
      <w:r w:rsidRPr="005E779E">
        <w:rPr>
          <w:rFonts w:ascii="Times New Roman" w:hAnsi="Times New Roman"/>
          <w:color w:val="000000" w:themeColor="text1"/>
          <w:sz w:val="16"/>
          <w:szCs w:val="16"/>
        </w:rPr>
        <w:softHyphen/>
        <w:t>ломки моторамы. После ремонта самолет предъявили к тестированию с новым двигате</w:t>
      </w:r>
      <w:r w:rsidRPr="005E779E">
        <w:rPr>
          <w:rFonts w:ascii="Times New Roman" w:hAnsi="Times New Roman"/>
          <w:color w:val="000000" w:themeColor="text1"/>
          <w:sz w:val="16"/>
          <w:szCs w:val="16"/>
        </w:rPr>
        <w:softHyphen/>
        <w:t>лем - М-15 № 24109. Полеты начались 10 ок</w:t>
      </w:r>
      <w:r w:rsidRPr="005E779E">
        <w:rPr>
          <w:rFonts w:ascii="Times New Roman" w:hAnsi="Times New Roman"/>
          <w:color w:val="000000" w:themeColor="text1"/>
          <w:sz w:val="16"/>
          <w:szCs w:val="16"/>
        </w:rPr>
        <w:softHyphen/>
        <w:t>тября, а через несколько дней самолет потерпел аварию при выполнении вынужденной по</w:t>
      </w:r>
      <w:r w:rsidRPr="005E779E">
        <w:rPr>
          <w:rFonts w:ascii="Times New Roman" w:hAnsi="Times New Roman"/>
          <w:color w:val="000000" w:themeColor="text1"/>
          <w:sz w:val="16"/>
          <w:szCs w:val="16"/>
        </w:rPr>
        <w:softHyphen/>
        <w:t>садки. Дальнейшая судьба машины не просле живется, однако из переписки завода №39 известно, что какой-то И-5 с М-15 потерпел аварию и не восстанавливался (вероятно это был И-5 №18).</w:t>
      </w:r>
    </w:p>
    <w:p w14:paraId="2748E4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 смотря на аварию, основные выводы в отношении испытывавшегося самолета были, получены. В частности, указывалось, что се</w:t>
      </w:r>
      <w:r w:rsidRPr="005E779E">
        <w:rPr>
          <w:rFonts w:ascii="Times New Roman" w:hAnsi="Times New Roman"/>
          <w:color w:val="000000" w:themeColor="text1"/>
          <w:sz w:val="16"/>
          <w:szCs w:val="16"/>
        </w:rPr>
        <w:softHyphen/>
        <w:t>рийные И-5 с М-15 будут обладать худшими летными данными и меньшим радиусом дей</w:t>
      </w:r>
      <w:r w:rsidRPr="005E779E">
        <w:rPr>
          <w:rFonts w:ascii="Times New Roman" w:hAnsi="Times New Roman"/>
          <w:color w:val="000000" w:themeColor="text1"/>
          <w:sz w:val="16"/>
          <w:szCs w:val="16"/>
        </w:rPr>
        <w:softHyphen/>
        <w:t>ствия, чем И-5 с двигателем «Юпитер» VI. Максимальная полетная скорость самолета с М-15 оказалась немного выше, а скороподъем</w:t>
      </w:r>
      <w:r w:rsidRPr="005E779E">
        <w:rPr>
          <w:rFonts w:ascii="Times New Roman" w:hAnsi="Times New Roman"/>
          <w:color w:val="000000" w:themeColor="text1"/>
          <w:sz w:val="16"/>
          <w:szCs w:val="16"/>
        </w:rPr>
        <w:softHyphen/>
        <w:t>ность чуть ниже, чем у второго опытного эк</w:t>
      </w:r>
      <w:r w:rsidRPr="005E779E">
        <w:rPr>
          <w:rFonts w:ascii="Times New Roman" w:hAnsi="Times New Roman"/>
          <w:color w:val="000000" w:themeColor="text1"/>
          <w:sz w:val="16"/>
          <w:szCs w:val="16"/>
        </w:rPr>
        <w:softHyphen/>
        <w:t>земпляра.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1002C3" w:rsidRPr="005E779E" w14:paraId="20C24957" w14:textId="77777777">
        <w:tc>
          <w:tcPr>
            <w:tcW w:w="3736" w:type="dxa"/>
            <w:tcBorders>
              <w:top w:val="single" w:sz="12" w:space="0" w:color="auto"/>
            </w:tcBorders>
          </w:tcPr>
          <w:p w14:paraId="32609A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736" w:type="dxa"/>
            <w:tcBorders>
              <w:top w:val="single" w:sz="12" w:space="0" w:color="auto"/>
            </w:tcBorders>
          </w:tcPr>
          <w:p w14:paraId="3F156A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 М-15</w:t>
            </w:r>
          </w:p>
        </w:tc>
        <w:tc>
          <w:tcPr>
            <w:tcW w:w="3736" w:type="dxa"/>
            <w:tcBorders>
              <w:top w:val="single" w:sz="12" w:space="0" w:color="auto"/>
            </w:tcBorders>
          </w:tcPr>
          <w:p w14:paraId="339972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 Ю</w:t>
            </w:r>
            <w:r w:rsidRPr="005E779E">
              <w:rPr>
                <w:rFonts w:ascii="Times New Roman" w:hAnsi="Times New Roman"/>
                <w:color w:val="000000" w:themeColor="text1"/>
                <w:sz w:val="16"/>
                <w:szCs w:val="16"/>
                <w:lang w:val="en-US"/>
              </w:rPr>
              <w:t>-VI</w:t>
            </w:r>
          </w:p>
        </w:tc>
      </w:tr>
      <w:tr w:rsidR="001002C3" w:rsidRPr="005E779E" w14:paraId="1B5DA121" w14:textId="77777777">
        <w:tc>
          <w:tcPr>
            <w:tcW w:w="3736" w:type="dxa"/>
          </w:tcPr>
          <w:p w14:paraId="58845A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Скорость максимальная на 1000 м (км/ч)</w:t>
            </w:r>
          </w:p>
        </w:tc>
        <w:tc>
          <w:tcPr>
            <w:tcW w:w="3736" w:type="dxa"/>
          </w:tcPr>
          <w:p w14:paraId="689F66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266</w:t>
            </w:r>
          </w:p>
        </w:tc>
        <w:tc>
          <w:tcPr>
            <w:tcW w:w="3736" w:type="dxa"/>
          </w:tcPr>
          <w:p w14:paraId="462BDA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258</w:t>
            </w:r>
          </w:p>
        </w:tc>
      </w:tr>
      <w:tr w:rsidR="001002C3" w:rsidRPr="005E779E" w14:paraId="61F5898B" w14:textId="77777777">
        <w:tc>
          <w:tcPr>
            <w:tcW w:w="3736" w:type="dxa"/>
            <w:tcBorders>
              <w:bottom w:val="single" w:sz="12" w:space="0" w:color="auto"/>
            </w:tcBorders>
          </w:tcPr>
          <w:p w14:paraId="71FB2B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набора 3000 м (мин.)</w:t>
            </w:r>
          </w:p>
        </w:tc>
        <w:tc>
          <w:tcPr>
            <w:tcW w:w="3736" w:type="dxa"/>
            <w:tcBorders>
              <w:bottom w:val="single" w:sz="12" w:space="0" w:color="auto"/>
            </w:tcBorders>
          </w:tcPr>
          <w:p w14:paraId="4BD310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4,75</w:t>
            </w:r>
          </w:p>
        </w:tc>
        <w:tc>
          <w:tcPr>
            <w:tcW w:w="3736" w:type="dxa"/>
            <w:tcBorders>
              <w:bottom w:val="single" w:sz="12" w:space="0" w:color="auto"/>
            </w:tcBorders>
          </w:tcPr>
          <w:p w14:paraId="7B2BFF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4,68</w:t>
            </w:r>
          </w:p>
        </w:tc>
      </w:tr>
    </w:tbl>
    <w:p w14:paraId="23AA94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тем, значительные усилия, потра</w:t>
      </w:r>
      <w:r w:rsidRPr="005E779E">
        <w:rPr>
          <w:rFonts w:ascii="Times New Roman" w:hAnsi="Times New Roman"/>
          <w:color w:val="000000" w:themeColor="text1"/>
          <w:sz w:val="16"/>
          <w:szCs w:val="16"/>
        </w:rPr>
        <w:softHyphen/>
        <w:t>ченные на внедрение М-15 в производство, и большие на него надежды обусловили про</w:t>
      </w:r>
      <w:r w:rsidRPr="005E779E">
        <w:rPr>
          <w:rFonts w:ascii="Times New Roman" w:hAnsi="Times New Roman"/>
          <w:color w:val="000000" w:themeColor="text1"/>
          <w:sz w:val="16"/>
          <w:szCs w:val="16"/>
        </w:rPr>
        <w:softHyphen/>
        <w:t>должение работ по его внедрению. Было ре</w:t>
      </w:r>
      <w:r w:rsidRPr="005E779E">
        <w:rPr>
          <w:rFonts w:ascii="Times New Roman" w:hAnsi="Times New Roman"/>
          <w:color w:val="000000" w:themeColor="text1"/>
          <w:sz w:val="16"/>
          <w:szCs w:val="16"/>
        </w:rPr>
        <w:softHyphen/>
        <w:t>шено, что в числе первой сотни серийных истребителей должны быть 10 машин с М-15, поэтому еще один самолет оснастили таким двигателем. Он прибыл на аэродром 25 но</w:t>
      </w:r>
      <w:r w:rsidRPr="005E779E">
        <w:rPr>
          <w:rFonts w:ascii="Times New Roman" w:hAnsi="Times New Roman"/>
          <w:color w:val="000000" w:themeColor="text1"/>
          <w:sz w:val="16"/>
          <w:szCs w:val="16"/>
        </w:rPr>
        <w:softHyphen/>
        <w:t>ября 1931 г., далее доводился в бригаде С.А. Кочеригина, в которой готовили чертежи для серийного производства. Впрочем, уже в конце 1931 г. от использования М-15 отказа</w:t>
      </w:r>
      <w:r w:rsidRPr="005E779E">
        <w:rPr>
          <w:rFonts w:ascii="Times New Roman" w:hAnsi="Times New Roman"/>
          <w:color w:val="000000" w:themeColor="text1"/>
          <w:sz w:val="16"/>
          <w:szCs w:val="16"/>
        </w:rPr>
        <w:softHyphen/>
        <w:t>лись и более И-5 с этими двигателями не строились (11974).</w:t>
      </w:r>
    </w:p>
    <w:p w14:paraId="6213C2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B1940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 июля 1931 года приступили к испытаниям доработанного серийного истребителя И-5 № 18. Его собрали на заводе № 39 из узлов собственного производства и доставленных с завода № 1. Кое-что на заказ изготовили на заводе № 22 в подмосковных Филях. Лонжероны крыльев и нижний лонжерон фюзеляжа по сравнению с опытными образцами И-5 усилили, одинарные ленты расчалок заменили двойными, ввели дополнительный подкос в мотораме. На самолёте стоял мотор М-15 № 6 из опытной малой серии. Уже при пробных запусках двигателя выявилась тряска в некоторых диапазонах оборотов, всё вокруг забрызгивало маслом. На этой машине совершили всего один полёт, закончившийся аварией. 5 августа на малой высоте мотор заглох - к нему перестал поступать бензин. При вынужденной посадке машина получила серьёзные повреждения. При разборке в магистрали возле крана нашли обрывок мешковины. Истребитель увезли на завод для ремонта, а 10 октября вернули, но уже с серийным мотором, новой моторамой и изменённым капотом. Этот двигатель работал лучше предыдущего, но расход масла оставался чрезмерно большим.</w:t>
      </w:r>
    </w:p>
    <w:p w14:paraId="02D9C6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мере освоения производства И-5 с "юпитерами" и М-22 отношение к замыслу модернизировать истребитель путём установки М-15 постепенно менялось. Мотор Бессонова долго и мучительно доводился. В 1930 г. его дважды выставляли на государственные испытания. Ни один из образцов не проработал даже заявленных 25 часов до переборки нагнетателя. Лучший из них продержался 15 часов до разрушения коленчатого вала.</w:t>
      </w:r>
    </w:p>
    <w:p w14:paraId="779999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Оргвыводы были сделаны в духе времени. "Вредитель" Бессонов остался на заводе, но как арестант в составе конструкторского бюро ОГПУ, разрабатывавшего мощный Х-образный двигатель ФЭД ("Феликс Эдмундович Дзержинский"), Работа по М-15 продолжалась без него.</w:t>
      </w:r>
    </w:p>
    <w:p w14:paraId="5AABEE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Один из моторов второй серии ("Б") в январе 1931 г. опять выставили на госиспытания. На 41-м часу развалился фланец крепления одного из цилиндров. Назначенная УВВС комиссия признала двигатель не прошедшим испытания.</w:t>
      </w:r>
    </w:p>
    <w:p w14:paraId="10D987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Вместо обещанных первоначально 650 л.с. максимальную мощность М-15 снизили до 600 л.с., а затем вообще до 450 л.с. Ресурс в 25 часов до замены подшипников нагнетателя военных ни с какого боку не устраивал. В НИИ ВВС подготовили заключение, в котором сравнивались М-15 и М-22. В нём отмечалось: "В тактическом отношении М-22 стоит выше М-15... При наличии меньшего веса на 25 кгр по мощности имеет несомненное превосходство..." Действительно, французский двигатель мог развить, пусть и в течение всего двух минут, мощность 585 л.с. При этом он расходовал меньше масла и бензина. По важнейшим характеристикам М-15 уступал и принятому за прототип "Хорнету" - при большем весе он развивал меньшую мощность. Что касается надёжности, то их вообще нельзя было сравнивать. Общий вывод специалистов НИИ ВВС гласил: "М-15 в конструктивном отношении полностью недоработан". Более того, они сочли, что этот двигатель не имеет перспектив развития.</w:t>
      </w:r>
    </w:p>
    <w:p w14:paraId="04286F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УВВС беспокоили и рапорты военных приёмщиков с завода № 24. За десять дней февраля 1931 г. в ходе заводских испытаний вышли из строя восемь двигателей. Детали моторов подгонялись при монтаже и были невзаимозаменяемы. Всю серию "Б" после предъявления военпред отклонил и потребовал довести её до уровня требований технических условий (11997).</w:t>
      </w:r>
    </w:p>
    <w:p w14:paraId="1E49D2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10CD7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 июля 1931 был готов АНТ-14 (346,52). В серию не пошла из-за отсутствия производственной базы для гражданских машин (514).</w:t>
      </w:r>
    </w:p>
    <w:p w14:paraId="34A8B7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6653D60" w14:textId="77777777" w:rsidR="00984EA8" w:rsidRPr="005E779E" w:rsidRDefault="00984E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 июля 1931 г. была завершена постройка АНТ-14 и в ночь на второе августа АНТ—14 перевезли на аэродром (23474).</w:t>
      </w:r>
    </w:p>
    <w:p w14:paraId="04F0602C" w14:textId="77777777" w:rsidR="00984EA8" w:rsidRPr="005E779E" w:rsidRDefault="00984EA8" w:rsidP="000B7A6C">
      <w:pPr>
        <w:spacing w:after="0" w:line="240" w:lineRule="auto"/>
        <w:jc w:val="both"/>
        <w:rPr>
          <w:rFonts w:ascii="Times New Roman" w:hAnsi="Times New Roman"/>
          <w:color w:val="000000" w:themeColor="text1"/>
          <w:sz w:val="16"/>
          <w:szCs w:val="16"/>
        </w:rPr>
      </w:pPr>
    </w:p>
    <w:p w14:paraId="479408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30 июля по 2 августа 1931 был второй украинский перелет на К-5 (70,165).</w:t>
      </w:r>
    </w:p>
    <w:p w14:paraId="1523A5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43FB4E9" w14:textId="77777777" w:rsidR="00855AE1" w:rsidRPr="00142305" w:rsidRDefault="00855AE1" w:rsidP="00855AE1">
      <w:pPr>
        <w:spacing w:after="0" w:line="240" w:lineRule="auto"/>
        <w:jc w:val="both"/>
        <w:rPr>
          <w:rStyle w:val="aff0"/>
          <w:rFonts w:ascii="Times New Roman" w:hAnsi="Times New Roman" w:cs="Times New Roman"/>
          <w:color w:val="0070C0"/>
          <w:spacing w:val="0"/>
          <w:sz w:val="16"/>
          <w:szCs w:val="16"/>
        </w:rPr>
      </w:pPr>
      <w:r w:rsidRPr="00142305">
        <w:rPr>
          <w:rStyle w:val="aff0"/>
          <w:rFonts w:ascii="Times New Roman" w:hAnsi="Times New Roman" w:cs="Times New Roman"/>
          <w:color w:val="0070C0"/>
          <w:spacing w:val="0"/>
          <w:sz w:val="16"/>
          <w:szCs w:val="16"/>
        </w:rPr>
        <w:lastRenderedPageBreak/>
        <w:t>30 июля 1931 г. вечером «Цеппелин» встречали на столичном аэродроме Темпельхоф ликующие берлинцы. За 106 лётных часов дирижабль преодолел 13200 километров, основная часть из которых приходилась па безлюдные просторы Северного Ледовитого океана. Географические, картогра</w:t>
      </w:r>
      <w:r w:rsidRPr="00142305">
        <w:rPr>
          <w:rStyle w:val="aff0"/>
          <w:rFonts w:ascii="Times New Roman" w:hAnsi="Times New Roman" w:cs="Times New Roman"/>
          <w:color w:val="0070C0"/>
          <w:spacing w:val="0"/>
          <w:sz w:val="16"/>
          <w:szCs w:val="16"/>
        </w:rPr>
        <w:softHyphen/>
        <w:t>фические и метеорологические результаты оказались бесценными.</w:t>
      </w:r>
    </w:p>
    <w:p w14:paraId="6B0BFA2D" w14:textId="77777777" w:rsidR="00855AE1" w:rsidRPr="00142305" w:rsidRDefault="00855AE1" w:rsidP="00855AE1">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Р.Л. Самойлович, отвечавший за проведение аэрофотосъёмки и наблюдения за конфигурацией суши, записал: «За 106 часов арктического полёта дирижабль про</w:t>
      </w:r>
      <w:r w:rsidRPr="00142305">
        <w:rPr>
          <w:rStyle w:val="aff0"/>
          <w:rFonts w:ascii="Times New Roman" w:hAnsi="Times New Roman" w:cs="Times New Roman"/>
          <w:color w:val="0070C0"/>
          <w:spacing w:val="0"/>
          <w:sz w:val="16"/>
          <w:szCs w:val="16"/>
        </w:rPr>
        <w:softHyphen/>
        <w:t>делал такую работу, которую при нормальных экспедициях на ледоколах можно выполнить лишь в 2 3 года упорной, настойчивой работы» (25653).</w:t>
      </w:r>
    </w:p>
    <w:p w14:paraId="45897EA4" w14:textId="77777777" w:rsidR="00855AE1" w:rsidRPr="00142305" w:rsidRDefault="00855AE1" w:rsidP="00855AE1">
      <w:pPr>
        <w:spacing w:after="0" w:line="240" w:lineRule="auto"/>
        <w:jc w:val="both"/>
        <w:rPr>
          <w:rFonts w:ascii="Times New Roman" w:hAnsi="Times New Roman"/>
          <w:color w:val="0070C0"/>
          <w:sz w:val="16"/>
          <w:szCs w:val="16"/>
        </w:rPr>
      </w:pPr>
    </w:p>
    <w:p w14:paraId="13999BF4" w14:textId="77777777" w:rsidR="00875C4A"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070088C8" w14:textId="77777777" w:rsidR="00875C4A" w:rsidRPr="005E779E" w:rsidRDefault="00875C4A"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A8C096B"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30 июля 1931</w:t>
      </w:r>
      <w:r w:rsidRPr="005E779E">
        <w:rPr>
          <w:rFonts w:ascii="Times New Roman" w:hAnsi="Times New Roman"/>
          <w:color w:val="000000" w:themeColor="text1"/>
          <w:sz w:val="16"/>
          <w:szCs w:val="16"/>
        </w:rPr>
        <w:t>Политбюро ЦК ВКП (б) приняло постановление о перспективах развития цветной металлургии (12265).</w:t>
      </w:r>
    </w:p>
    <w:p w14:paraId="29522085"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4EB64F34"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43096345"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A321EB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 июля 1931 ЦК ВКП(б) утвердил постановление об издании «Истории гражданской войны» (4962).</w:t>
      </w:r>
    </w:p>
    <w:p w14:paraId="4FD030D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EF497C"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76E2BA30"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30DC0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C 31 июля по 11 августа 1931 г. проходили испытания самолета И5 N 5 с ЮVI с утоненными консолями.</w:t>
      </w:r>
    </w:p>
    <w:p w14:paraId="71A72C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Цель работы</w:t>
      </w:r>
    </w:p>
    <w:p w14:paraId="356FC7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Испытание самолета на штопор.</w:t>
      </w:r>
    </w:p>
    <w:p w14:paraId="1C3489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Краткий вывод</w:t>
      </w:r>
    </w:p>
    <w:p w14:paraId="2678BD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Введение в коробку крыльев утоненных консолей не дало улучшение характера штопора. Добавочные пластины ухудшают управляемость.</w:t>
      </w:r>
    </w:p>
    <w:p w14:paraId="00FE9B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Летных дней на испытание - 5</w:t>
      </w:r>
    </w:p>
    <w:p w14:paraId="429C84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Количество полетов - 9</w:t>
      </w:r>
    </w:p>
    <w:p w14:paraId="09902F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Налетано часов - 4 час. 10 мин. (3289,84-95).</w:t>
      </w:r>
    </w:p>
    <w:p w14:paraId="7B8B41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84E8B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июля 1931 на заводе 39 им. Менжинского начали строить АИР-5 (машина 49) А.С.Я. Работа шла неровно, в зависимости от хода выполнения основной программы завода. Помогали комсомольская и осоавиахимовская организации. В июле 1931 многотиражка “Менжинец” писала: “Совет Осоавиахима завода 39 им. Менжинского, учитывая всю важность выполнения плана создания мощной сети воздушного сообщения в 42000 км и отвечая на обращение ЦС Осоавиахима - рапортует, что организация Осоавиахима Краснознаменного завода 39 включилась в работу по содействию развития ГА. Осоавиахимом взято шефство над пассажирским самолетом конструкции т Яковлева, который явится ценным вкладом в нашу ГА.” Построили за 3 месяца к годовщине ОР (3977,6).</w:t>
      </w:r>
    </w:p>
    <w:p w14:paraId="684583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DC20E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 июля 1931 за № 433/5 появился План работ опытного самолетостроения АГОС ЦАГИ на 1931-1934 (светокопия) (351).</w:t>
      </w:r>
    </w:p>
    <w:p w14:paraId="28C355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8A904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 июля 1931 было создано Рыбинское КБ моторостроения (274).</w:t>
      </w:r>
    </w:p>
    <w:p w14:paraId="372D2D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B298C2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 июля 1931 г. было организовано Рыбинское КБ моторостроения (6395).</w:t>
      </w:r>
    </w:p>
    <w:p w14:paraId="63F2985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CCB628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 июля 1931 организовано Рыбинское КБ моторостроения (4963 ).</w:t>
      </w:r>
    </w:p>
    <w:p w14:paraId="51909B5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A4CDB2" w14:textId="77777777" w:rsidR="001B5144" w:rsidRPr="005E779E" w:rsidRDefault="001B514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 июля в 1931 году образовано Рыбинское КБ моторостроения (РКБМ) , ведущий разработчик двигателей для самолетов, вертолетов и др. В 1997 г. РКБМ объединилось с ОАО "Рыбинские моторы", в 1998 г. произошло объединение ВМЗ и ОАО "Рыбинские моторы", в 2001 г. - слияние ОАО "Рыбинские моторы" и ОАО "А.Люлька-Сатурн" и образование ОАО "НПО "Сатурн" - одного из лидеров отечественного двигателестроения (14969).</w:t>
      </w:r>
    </w:p>
    <w:p w14:paraId="5474051F" w14:textId="77777777" w:rsidR="001B5144" w:rsidRPr="005E779E" w:rsidRDefault="001B5144" w:rsidP="000B7A6C">
      <w:pPr>
        <w:spacing w:after="0" w:line="240" w:lineRule="auto"/>
        <w:jc w:val="both"/>
        <w:rPr>
          <w:rFonts w:ascii="Times New Roman" w:hAnsi="Times New Roman"/>
          <w:color w:val="000000" w:themeColor="text1"/>
          <w:sz w:val="16"/>
          <w:szCs w:val="16"/>
        </w:rPr>
      </w:pPr>
    </w:p>
    <w:p w14:paraId="01F55FD7"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3D6A6BF6"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6BC80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31 июля и 6 августа 1931. Из протокола заседания Политбюро № 49, 1931 г.</w:t>
      </w:r>
    </w:p>
    <w:p w14:paraId="7893FD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Об издании "Истории Гражданской войны" </w:t>
      </w:r>
    </w:p>
    <w:p w14:paraId="60784D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 Утвердить главную редакцию "Истории Гражданской войны" в составе тт. Горького, Сталина, Молотова, Кирова, Ворошилова, Бубнова и Гамарника. </w:t>
      </w:r>
    </w:p>
    <w:p w14:paraId="024A13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б) Поручить главной редакции: </w:t>
      </w:r>
    </w:p>
    <w:p w14:paraId="6EE8C9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 Представить на утверждение Политбюро составы политической и художественной редакций; </w:t>
      </w:r>
    </w:p>
    <w:p w14:paraId="7385E5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 рассмотреть вопрос о программе "Истории Гражданской войны"; </w:t>
      </w:r>
    </w:p>
    <w:p w14:paraId="72C8E9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издать обращение по вопросу об истории Гражданской войны за подписью т. Горького (11652).</w:t>
      </w:r>
    </w:p>
    <w:p w14:paraId="20B685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51912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31 июля и 6 августа 1931. Из протокола заседания Политбюро № 54, 1931 г.</w:t>
      </w:r>
    </w:p>
    <w:p w14:paraId="7DE9F5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Вопросы ОГПУ</w:t>
      </w:r>
    </w:p>
    <w:p w14:paraId="1382E6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 Никого из коммунистов, работающих в органах ОГПУ или вне этих органов, как в центре, так и на местах, не арестовывать без ведома и согласия ЦК ВКП(б). </w:t>
      </w:r>
    </w:p>
    <w:p w14:paraId="1FC288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 Никого из специалистов (инженерно-технический персонал, военные, агрономы, врачи и т. п.) не арестовывать без согласия соответствующего наркома (союзного или республиканского), в случае же разногласия вопрос переносить в ЦК ВКП(б). </w:t>
      </w:r>
    </w:p>
    <w:p w14:paraId="04EF15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 Граждан, арестованных по обвинению в политическом преступлении, не держать без допроса более чем три месяца, после чего дело должно быть ликвидировано либо передачей суду, либо самостоятельным решением коллегии ОГПУ. </w:t>
      </w:r>
    </w:p>
    <w:p w14:paraId="631A3E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Все приговоры к высшей мере наказания, выносимые коллегией ОГПУ, вносить на утверждение ЦК ВКП(б) (11652).</w:t>
      </w:r>
    </w:p>
    <w:p w14:paraId="00D305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A8306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31 июля и 6 августа 1931. Из протокола заседания Политбюро № 54, 1931 г.</w:t>
      </w:r>
    </w:p>
    <w:p w14:paraId="4F968A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 темпах дальнейшей коллективизации и задачах укрепления колхозов</w:t>
      </w:r>
    </w:p>
    <w:p w14:paraId="5D3AE9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...Разъяснить, что мерилом завершения в основном коллективизации того или иного района является не обязательный охват всех 100% бедняцко-середняцких хозяйств, а вовлечение в колхозы не менее 68-70% крестьянских хозяйств с охватом не менее 75-80% посевных площадей крестьянских хозяйств... (11652).</w:t>
      </w:r>
    </w:p>
    <w:p w14:paraId="3812C5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322CDB3" w14:textId="77777777" w:rsidR="00511EE8"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Внешняя политика:</w:t>
      </w:r>
    </w:p>
    <w:p w14:paraId="293A2605" w14:textId="77777777" w:rsidR="00511EE8" w:rsidRPr="005E779E" w:rsidRDefault="00511EE8"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6D14710" w14:textId="77777777" w:rsidR="00511EE8" w:rsidRPr="005E779E" w:rsidRDefault="00511EE8"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 июля 1931 г. аргентинская полиция арестовала сотрудников советской организации «Южамторг» в Буэнос-Айресе. После окончания следствия полиция передала аргентинскому правительству доклад, в котором против «Южамторга» выдвигались обвинения в том, что он якобы «в скрытой форме руководил коммунистической пропагандой» и проводил политику демпинга. 20 августа 1931 г. аргентинское правительство лишило «Южамторг» прав юридического лица (ДВП. Т. XIV. С. 807, 808). 3 сентября 1931 г. ПБ обсудило этот вопрос и приняло решение «Центр по торговле со странами Южной Америки перенести в Уругвай[...] В целях сохранения возможности для возвращения в Аргентину принять меры формального сохранения «Южамторга», для чего, в случае надобности, поднять в верховном суде Аргентины судебный процесс о признании декрета о ликвидации «Южамторга» незаконным» (РГАСПИ. Ф. 17. Оп. 162. Д. 10. Л. 182–183) (17281).</w:t>
      </w:r>
    </w:p>
    <w:p w14:paraId="15A001F6" w14:textId="3D1C1A4A" w:rsidR="00511EE8" w:rsidRPr="005E779E" w:rsidRDefault="00511EE8" w:rsidP="000B7A6C">
      <w:pPr>
        <w:autoSpaceDE w:val="0"/>
        <w:autoSpaceDN w:val="0"/>
        <w:adjustRightInd w:val="0"/>
        <w:spacing w:after="0" w:line="240" w:lineRule="auto"/>
        <w:jc w:val="both"/>
        <w:rPr>
          <w:rFonts w:ascii="Times New Roman" w:hAnsi="Times New Roman"/>
          <w:color w:val="000000" w:themeColor="text1"/>
          <w:sz w:val="16"/>
          <w:szCs w:val="16"/>
        </w:rPr>
      </w:pPr>
    </w:p>
    <w:p w14:paraId="7A296112" w14:textId="69F45C32" w:rsidR="00494647" w:rsidRPr="005E779E" w:rsidRDefault="00494647" w:rsidP="000B7A6C">
      <w:pPr>
        <w:autoSpaceDE w:val="0"/>
        <w:autoSpaceDN w:val="0"/>
        <w:adjustRightInd w:val="0"/>
        <w:spacing w:after="0" w:line="240" w:lineRule="auto"/>
        <w:jc w:val="both"/>
        <w:rPr>
          <w:rFonts w:ascii="Times New Roman" w:hAnsi="Times New Roman"/>
          <w:i/>
          <w:iCs/>
          <w:color w:val="000000" w:themeColor="text1"/>
          <w:sz w:val="16"/>
          <w:szCs w:val="16"/>
        </w:rPr>
      </w:pPr>
      <w:r w:rsidRPr="005E779E">
        <w:rPr>
          <w:rFonts w:ascii="Times New Roman" w:hAnsi="Times New Roman"/>
          <w:i/>
          <w:iCs/>
          <w:color w:val="000000" w:themeColor="text1"/>
          <w:sz w:val="16"/>
          <w:szCs w:val="16"/>
        </w:rPr>
        <w:t>За рубежом:</w:t>
      </w:r>
    </w:p>
    <w:p w14:paraId="192F8B89" w14:textId="77777777" w:rsidR="00494647" w:rsidRPr="005E779E" w:rsidRDefault="00494647" w:rsidP="000B7A6C">
      <w:pPr>
        <w:autoSpaceDE w:val="0"/>
        <w:autoSpaceDN w:val="0"/>
        <w:adjustRightInd w:val="0"/>
        <w:spacing w:after="0" w:line="240" w:lineRule="auto"/>
        <w:jc w:val="both"/>
        <w:rPr>
          <w:rFonts w:ascii="Times New Roman" w:hAnsi="Times New Roman"/>
          <w:i/>
          <w:iCs/>
          <w:color w:val="000000" w:themeColor="text1"/>
          <w:sz w:val="16"/>
          <w:szCs w:val="16"/>
        </w:rPr>
      </w:pPr>
    </w:p>
    <w:p w14:paraId="595A7665" w14:textId="77777777" w:rsidR="00494647" w:rsidRPr="005E779E" w:rsidRDefault="00494647" w:rsidP="000B7A6C">
      <w:pPr>
        <w:spacing w:after="0" w:line="240" w:lineRule="auto"/>
        <w:jc w:val="both"/>
        <w:rPr>
          <w:rFonts w:ascii="Times New Roman" w:hAnsi="Times New Roman"/>
          <w:color w:val="000000" w:themeColor="text1"/>
          <w:sz w:val="16"/>
          <w:szCs w:val="16"/>
          <w:shd w:val="clear" w:color="auto" w:fill="FFFFFF"/>
        </w:rPr>
      </w:pPr>
      <w:r w:rsidRPr="005E779E">
        <w:rPr>
          <w:rFonts w:ascii="Times New Roman" w:hAnsi="Times New Roman"/>
          <w:color w:val="000000" w:themeColor="text1"/>
          <w:sz w:val="16"/>
          <w:szCs w:val="16"/>
          <w:shd w:val="clear" w:color="auto" w:fill="FFFFFF"/>
        </w:rPr>
        <w:t xml:space="preserve">31 июля 1931 в 11.53 Американские летчики Херндон (Hugh Herndon) и Пангборн (Clyde Pangborn) планировали из Нью-Йорка без посадки достичь Москвы, а затем попытаться превзойти результат Поста и Гэтти в кругосветном перелете, прибыли в Москву. </w:t>
      </w:r>
    </w:p>
    <w:p w14:paraId="7E7CE564" w14:textId="77777777" w:rsidR="00494647" w:rsidRPr="005E779E" w:rsidRDefault="00494647" w:rsidP="000B7A6C">
      <w:pPr>
        <w:spacing w:after="0" w:line="240" w:lineRule="auto"/>
        <w:jc w:val="both"/>
        <w:rPr>
          <w:rFonts w:ascii="Times New Roman" w:hAnsi="Times New Roman"/>
          <w:color w:val="000000" w:themeColor="text1"/>
          <w:sz w:val="16"/>
          <w:szCs w:val="16"/>
          <w:shd w:val="clear" w:color="auto" w:fill="FFFFFF"/>
        </w:rPr>
      </w:pPr>
      <w:r w:rsidRPr="005E779E">
        <w:rPr>
          <w:rFonts w:ascii="Times New Roman" w:hAnsi="Times New Roman"/>
          <w:color w:val="000000" w:themeColor="text1"/>
          <w:sz w:val="16"/>
          <w:szCs w:val="16"/>
          <w:shd w:val="clear" w:color="auto" w:fill="FFFFFF"/>
        </w:rPr>
        <w:t>Они вылетели на самолете «Беланка Скайрокет» (Bellanca Skyrocket) с собственным именем «Мисс Видол» (Miss Veedol) 28 июля. Однако уже на первом этапе полет не заладился. Из-за тумана 29 июля им пришлось вынужденно приземлиться в Англии у деревни Мойлгрув (Moylgrove, в 6 км от Кардигана). 30 июля они перелетели в Кройдон, а затем в Берлин.</w:t>
      </w:r>
    </w:p>
    <w:p w14:paraId="18793254" w14:textId="77777777" w:rsidR="00494647" w:rsidRPr="005E779E" w:rsidRDefault="00494647" w:rsidP="000B7A6C">
      <w:pPr>
        <w:spacing w:after="0" w:line="240" w:lineRule="auto"/>
        <w:jc w:val="both"/>
        <w:rPr>
          <w:rFonts w:ascii="Times New Roman" w:hAnsi="Times New Roman"/>
          <w:color w:val="000000" w:themeColor="text1"/>
          <w:sz w:val="16"/>
          <w:szCs w:val="16"/>
          <w:shd w:val="clear" w:color="auto" w:fill="FFFFFF"/>
        </w:rPr>
      </w:pPr>
      <w:r w:rsidRPr="005E779E">
        <w:rPr>
          <w:rFonts w:ascii="Times New Roman" w:hAnsi="Times New Roman"/>
          <w:color w:val="000000" w:themeColor="text1"/>
          <w:sz w:val="16"/>
          <w:szCs w:val="16"/>
          <w:shd w:val="clear" w:color="auto" w:fill="FFFFFF"/>
        </w:rPr>
        <w:t xml:space="preserve">Вылетев в тот же день на восток, летчики сделали вынужденную посадку у станции Джетыгар в 230 км от Кустаная (Казахстан). 2 августа они совершили посадки в Омске и Чите. Когда 3 августа пилоты прибыли в Хабаровск, их опережение результата Поста составляло 27 часов. Однако внезапная перемена погоды со штормовым </w:t>
      </w:r>
      <w:r w:rsidRPr="005E779E">
        <w:rPr>
          <w:rFonts w:ascii="Times New Roman" w:hAnsi="Times New Roman"/>
          <w:color w:val="000000" w:themeColor="text1"/>
          <w:sz w:val="16"/>
          <w:szCs w:val="16"/>
          <w:shd w:val="clear" w:color="auto" w:fill="FFFFFF"/>
        </w:rPr>
        <w:lastRenderedPageBreak/>
        <w:t>ветром задержала вылет самолета на три дня. Дальше бороться за рекорд не имело смысла. В этой обстановке Клайд Пэнгборн решает осуществить беспосадочный перелет из Токио в США. Еще никто не летал по этому маршруту во время кругосветных полетов и не получил приза, установленного издательством «Асахи Симбун». 6 августа американцы вылетели в Токио, чтобы предпринять полет через Тихий океан. Месяц ушел на переговоры и решение организационных вопросов.</w:t>
      </w:r>
    </w:p>
    <w:p w14:paraId="7C8C83DF" w14:textId="77777777" w:rsidR="00494647" w:rsidRPr="005E779E" w:rsidRDefault="00494647" w:rsidP="000B7A6C">
      <w:pPr>
        <w:spacing w:after="0" w:line="240" w:lineRule="auto"/>
        <w:jc w:val="both"/>
        <w:rPr>
          <w:rFonts w:ascii="Times New Roman" w:hAnsi="Times New Roman"/>
          <w:color w:val="000000" w:themeColor="text1"/>
          <w:sz w:val="16"/>
          <w:szCs w:val="16"/>
          <w:shd w:val="clear" w:color="auto" w:fill="FFFFFF"/>
        </w:rPr>
      </w:pPr>
      <w:r w:rsidRPr="005E779E">
        <w:rPr>
          <w:rFonts w:ascii="Times New Roman" w:hAnsi="Times New Roman"/>
          <w:color w:val="000000" w:themeColor="text1"/>
          <w:sz w:val="16"/>
          <w:szCs w:val="16"/>
          <w:shd w:val="clear" w:color="auto" w:fill="FFFFFF"/>
        </w:rPr>
        <w:t>Интересно, что и этот план Херндона и Пангборна был на грани провала – 6 сентября из Японии в Сиэтл вылетели американцы Дон Мойл (Don Moyle) и Сесил Аллен (Cecil Allen). Однако скоро они столкнулись с плохой погодой, сбились с курса и были вынуждены приземлиться на одном из Алеутских островов. Спустя несколько дней они смогли добраться до Камчатки, где заправились, по некоторым воспоминаниям, то ли разбавителем краски, то ли дизельным топливом, и улетели на Аляску, в Ном.</w:t>
      </w:r>
    </w:p>
    <w:p w14:paraId="35AC0D87" w14:textId="77777777" w:rsidR="00494647" w:rsidRPr="005E779E" w:rsidRDefault="0049464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shd w:val="clear" w:color="auto" w:fill="FFFFFF"/>
        </w:rPr>
        <w:t>Только 4 октября Херндон и Пангборн стартовали в Америку, вылетев со взлетной полосы, построенной на пляже Сабуширо, в префектуре Аомори, к северу от Токио. За 41 час 31 минуту полета ими было пройдено более 7000 км. Их «Беланка» приземлилась в городе Уэнатчи (Wenatchee) в 150 км восточнее Сиэтла. За совершенный перелет Пэнгборн и Херндон получили чек на 5000 фунтов стерлингов (21438).</w:t>
      </w:r>
    </w:p>
    <w:p w14:paraId="248FD647" w14:textId="77777777" w:rsidR="00494647" w:rsidRPr="005E779E" w:rsidRDefault="00494647" w:rsidP="000B7A6C">
      <w:pPr>
        <w:spacing w:after="0" w:line="240" w:lineRule="auto"/>
        <w:jc w:val="both"/>
        <w:rPr>
          <w:rFonts w:ascii="Times New Roman" w:hAnsi="Times New Roman"/>
          <w:color w:val="000000" w:themeColor="text1"/>
          <w:sz w:val="16"/>
          <w:szCs w:val="16"/>
        </w:rPr>
      </w:pPr>
    </w:p>
    <w:p w14:paraId="36780958"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360B39AE"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7B091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июле 1931 УВВС дало ЦАГИ ТТ на морской крейсер - 6 т бомб со скоростью 300 км/ч на 1000 км радиус (80,277).</w:t>
      </w:r>
    </w:p>
    <w:p w14:paraId="7BC49B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CBFCFC3" w14:textId="77777777" w:rsidR="00984EA8" w:rsidRPr="005E779E" w:rsidRDefault="00984E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июле 1931 г. ЦАГИ получило от УВВС тактико-технические требо</w:t>
      </w:r>
      <w:r w:rsidRPr="005E779E">
        <w:rPr>
          <w:rFonts w:ascii="Times New Roman" w:hAnsi="Times New Roman"/>
          <w:color w:val="000000" w:themeColor="text1"/>
          <w:sz w:val="16"/>
          <w:szCs w:val="16"/>
        </w:rPr>
        <w:softHyphen/>
        <w:t>вания к гидросамолету, предназ</w:t>
      </w:r>
      <w:r w:rsidRPr="005E779E">
        <w:rPr>
          <w:rFonts w:ascii="Times New Roman" w:hAnsi="Times New Roman"/>
          <w:color w:val="000000" w:themeColor="text1"/>
          <w:sz w:val="16"/>
          <w:szCs w:val="16"/>
        </w:rPr>
        <w:softHyphen/>
        <w:t>начавшемуся для нанесения бомбовых ударов и дальней морской разведки. По ТТТ он должен был иметь:</w:t>
      </w:r>
    </w:p>
    <w:p w14:paraId="159258F0" w14:textId="77777777" w:rsidR="00984EA8" w:rsidRPr="005E779E" w:rsidRDefault="00984E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скорость</w:t>
      </w:r>
      <w:r w:rsidRPr="005E779E">
        <w:rPr>
          <w:rFonts w:ascii="Times New Roman" w:hAnsi="Times New Roman"/>
          <w:color w:val="000000" w:themeColor="text1"/>
          <w:sz w:val="16"/>
          <w:szCs w:val="16"/>
        </w:rPr>
        <w:tab/>
        <w:t>300 км/ч</w:t>
      </w:r>
    </w:p>
    <w:p w14:paraId="2A6AB4A6" w14:textId="77777777" w:rsidR="00984EA8" w:rsidRPr="005E779E" w:rsidRDefault="00984E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w:t>
      </w:r>
      <w:r w:rsidRPr="005E779E">
        <w:rPr>
          <w:rFonts w:ascii="Times New Roman" w:hAnsi="Times New Roman"/>
          <w:color w:val="000000" w:themeColor="text1"/>
          <w:sz w:val="16"/>
          <w:szCs w:val="16"/>
        </w:rPr>
        <w:tab/>
        <w:t>1000 км</w:t>
      </w:r>
    </w:p>
    <w:p w14:paraId="5AA10664" w14:textId="77777777" w:rsidR="00984EA8" w:rsidRPr="005E779E" w:rsidRDefault="00984E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массу бомбовой нагрузки</w:t>
      </w:r>
      <w:r w:rsidRPr="005E779E">
        <w:rPr>
          <w:rFonts w:ascii="Times New Roman" w:hAnsi="Times New Roman"/>
          <w:color w:val="000000" w:themeColor="text1"/>
          <w:sz w:val="16"/>
          <w:szCs w:val="16"/>
        </w:rPr>
        <w:tab/>
        <w:t>6000 кг</w:t>
      </w:r>
    </w:p>
    <w:p w14:paraId="6E7F0C1B" w14:textId="77777777" w:rsidR="00984EA8" w:rsidRPr="005E779E" w:rsidRDefault="00984E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Экипаж должен был состоять из 5—6 человек.</w:t>
      </w:r>
    </w:p>
    <w:p w14:paraId="1B006996" w14:textId="77777777" w:rsidR="00984EA8" w:rsidRPr="005E779E" w:rsidRDefault="00984E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Машина получила название МК—1 — «Морской крейсер первый». В КБ ей присвоили очередное обозначение — АНТ-22.</w:t>
      </w:r>
    </w:p>
    <w:p w14:paraId="79DF6A0B" w14:textId="77777777" w:rsidR="00984EA8" w:rsidRPr="005E779E" w:rsidRDefault="00984E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Ведущим инженером, как и раньше по гидросамолетам, назначили И.И. По- госского. После его гибели 15 апреля 1934 г. на самолете АНТ—27 работу воз</w:t>
      </w:r>
      <w:r w:rsidRPr="005E779E">
        <w:rPr>
          <w:rFonts w:ascii="Times New Roman" w:hAnsi="Times New Roman"/>
          <w:color w:val="000000" w:themeColor="text1"/>
          <w:sz w:val="16"/>
          <w:szCs w:val="16"/>
        </w:rPr>
        <w:softHyphen/>
        <w:t>главил А.П. Голубков.</w:t>
      </w:r>
    </w:p>
    <w:p w14:paraId="0AF41DF0" w14:textId="77777777" w:rsidR="00984EA8" w:rsidRPr="005E779E" w:rsidRDefault="00984E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заданных в ТТТ параметрах ма</w:t>
      </w:r>
      <w:r w:rsidRPr="005E779E">
        <w:rPr>
          <w:rFonts w:ascii="Times New Roman" w:hAnsi="Times New Roman"/>
          <w:color w:val="000000" w:themeColor="text1"/>
          <w:sz w:val="16"/>
          <w:szCs w:val="16"/>
        </w:rPr>
        <w:softHyphen/>
        <w:t>шина получалась довольно большой. Ис</w:t>
      </w:r>
      <w:r w:rsidRPr="005E779E">
        <w:rPr>
          <w:rFonts w:ascii="Times New Roman" w:hAnsi="Times New Roman"/>
          <w:color w:val="000000" w:themeColor="text1"/>
          <w:sz w:val="16"/>
          <w:szCs w:val="16"/>
        </w:rPr>
        <w:softHyphen/>
        <w:t>следования и расчеты показали, что обычная однолодочная схема приведет к значительным весовым и аэродинамиче</w:t>
      </w:r>
      <w:r w:rsidRPr="005E779E">
        <w:rPr>
          <w:rFonts w:ascii="Times New Roman" w:hAnsi="Times New Roman"/>
          <w:color w:val="000000" w:themeColor="text1"/>
          <w:sz w:val="16"/>
          <w:szCs w:val="16"/>
        </w:rPr>
        <w:softHyphen/>
        <w:t>ским потерям. В результате остановились на схеме самолета-катамарана. Комиссия приняла макет и началась постройка. Ее окончание планировалось на 1 сентября 1933 г., но из-за отсутствия моторов само</w:t>
      </w:r>
      <w:r w:rsidRPr="005E779E">
        <w:rPr>
          <w:rFonts w:ascii="Times New Roman" w:hAnsi="Times New Roman"/>
          <w:color w:val="000000" w:themeColor="text1"/>
          <w:sz w:val="16"/>
          <w:szCs w:val="16"/>
        </w:rPr>
        <w:softHyphen/>
        <w:t>лет был готов только в июле 1934 г.</w:t>
      </w:r>
    </w:p>
    <w:p w14:paraId="522D3011" w14:textId="77777777" w:rsidR="00984EA8" w:rsidRPr="005E779E" w:rsidRDefault="00984EA8" w:rsidP="000B7A6C">
      <w:pPr>
        <w:spacing w:after="0" w:line="240" w:lineRule="auto"/>
        <w:jc w:val="both"/>
        <w:rPr>
          <w:rFonts w:ascii="Times New Roman" w:hAnsi="Times New Roman"/>
          <w:color w:val="000000" w:themeColor="text1"/>
          <w:sz w:val="16"/>
          <w:szCs w:val="16"/>
        </w:rPr>
      </w:pPr>
    </w:p>
    <w:p w14:paraId="300EB7F2" w14:textId="77777777" w:rsidR="00984EA8" w:rsidRPr="005E779E" w:rsidRDefault="00984E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июле 1931 г. ЦАГИ закончил и представил на рассмотрение НИИ ВВС эскизный проект самолета МИ-3.</w:t>
      </w:r>
    </w:p>
    <w:p w14:paraId="3FB39947" w14:textId="77777777" w:rsidR="00984EA8" w:rsidRPr="005E779E" w:rsidRDefault="00984E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Проектируемый ЦАГИ самолет под шифром МИ-3, по нормам прочности относился к 8-й группе 2-го класса. Экипаж самолета состоял из четырех человек, конструкция самолета - цельнометаллический моноплан, с низко расположенным крылом. Фюзеляж - овального сечения, оперение двухкилевое, шасси - убирающиеся в полете, с масляно-пневматической амортизацией. Вооружение самолета - передняя установка с двумя тяжелыми пулеметами. Средняя установка с двумя тяжелыми пулеметами. Задняя установка с одним пулеметом, нижняя задняя установка с одним пулеметом.</w:t>
      </w:r>
    </w:p>
    <w:p w14:paraId="680C14E1" w14:textId="77777777" w:rsidR="00984EA8" w:rsidRPr="005E779E" w:rsidRDefault="00984E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Несмотря на то, что расчетные данные самолета в отношении посадочной скорости, разбега и пробега не удовлетворяли техническим требованиям, эскизный проект УВВС был утвержден. Тем не менее, новый самолет ЦАГИ не только не уступал находящимся в эксплоатации самолетам, но и превышал их данные в отношении скорости, потолка и грузоподъемности.</w:t>
      </w:r>
    </w:p>
    <w:p w14:paraId="3289DEA5" w14:textId="77777777" w:rsidR="00984EA8" w:rsidRPr="005E779E" w:rsidRDefault="00984E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Эскизный проект ЦАГИ был утвержден, и УВВС предложило ВАО предоставить ЦАГИ мотор который обеспечил бы указанные выше расчетные данные самолета. В качестве такого мотора был выбран мотор М-34 с номинальной мощностью 750 л.с. (23345).</w:t>
      </w:r>
    </w:p>
    <w:p w14:paraId="6E2F30C9" w14:textId="77777777" w:rsidR="00984EA8" w:rsidRPr="005E779E" w:rsidRDefault="00984EA8" w:rsidP="000B7A6C">
      <w:pPr>
        <w:spacing w:after="0" w:line="240" w:lineRule="auto"/>
        <w:jc w:val="both"/>
        <w:rPr>
          <w:rFonts w:ascii="Times New Roman" w:hAnsi="Times New Roman"/>
          <w:color w:val="000000" w:themeColor="text1"/>
          <w:sz w:val="16"/>
          <w:szCs w:val="16"/>
        </w:rPr>
      </w:pPr>
    </w:p>
    <w:p w14:paraId="236F8ED9" w14:textId="77777777" w:rsidR="00984EA8" w:rsidRPr="005E779E" w:rsidRDefault="00984E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июле 1931 ЦАГИ представило на рассмотрение НИИ ВВС эскизный проект истребителя МИ-3 (заводское обозначение АНТ—21). Проект был утвержден, несмотря на не</w:t>
      </w:r>
      <w:r w:rsidRPr="005E779E">
        <w:rPr>
          <w:rFonts w:ascii="Times New Roman" w:hAnsi="Times New Roman"/>
          <w:color w:val="000000" w:themeColor="text1"/>
          <w:sz w:val="16"/>
          <w:szCs w:val="16"/>
        </w:rPr>
        <w:softHyphen/>
        <w:t>которые отклонения от требований ВВС:</w:t>
      </w:r>
    </w:p>
    <w:p w14:paraId="09C7F02E" w14:textId="77777777" w:rsidR="00984EA8" w:rsidRPr="005E779E" w:rsidRDefault="00984E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w:t>
      </w:r>
    </w:p>
    <w:tbl>
      <w:tblPr>
        <w:tblOverlap w:val="never"/>
        <w:tblW w:w="0" w:type="auto"/>
        <w:tblLayout w:type="fixed"/>
        <w:tblCellMar>
          <w:left w:w="10" w:type="dxa"/>
          <w:right w:w="10" w:type="dxa"/>
        </w:tblCellMar>
        <w:tblLook w:val="04A0" w:firstRow="1" w:lastRow="0" w:firstColumn="1" w:lastColumn="0" w:noHBand="0" w:noVBand="1"/>
      </w:tblPr>
      <w:tblGrid>
        <w:gridCol w:w="2045"/>
        <w:gridCol w:w="811"/>
        <w:gridCol w:w="562"/>
      </w:tblGrid>
      <w:tr w:rsidR="00984EA8" w:rsidRPr="005E779E" w14:paraId="0DD1C8FC" w14:textId="77777777" w:rsidTr="004B2EA4">
        <w:trPr>
          <w:trHeight w:val="235"/>
        </w:trPr>
        <w:tc>
          <w:tcPr>
            <w:tcW w:w="2045" w:type="dxa"/>
          </w:tcPr>
          <w:p w14:paraId="5655C3EA" w14:textId="77777777" w:rsidR="00984EA8" w:rsidRPr="005E779E" w:rsidRDefault="00984E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скорость, км/ч</w:t>
            </w:r>
          </w:p>
        </w:tc>
        <w:tc>
          <w:tcPr>
            <w:tcW w:w="811" w:type="dxa"/>
          </w:tcPr>
          <w:p w14:paraId="3349D27B" w14:textId="77777777" w:rsidR="00984EA8" w:rsidRPr="005E779E" w:rsidRDefault="00984E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w:t>
            </w:r>
          </w:p>
        </w:tc>
        <w:tc>
          <w:tcPr>
            <w:tcW w:w="562" w:type="dxa"/>
          </w:tcPr>
          <w:p w14:paraId="321C96CB" w14:textId="77777777" w:rsidR="00984EA8" w:rsidRPr="005E779E" w:rsidRDefault="00984E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320</w:t>
            </w:r>
          </w:p>
        </w:tc>
      </w:tr>
      <w:tr w:rsidR="00984EA8" w:rsidRPr="005E779E" w14:paraId="16E70023" w14:textId="77777777" w:rsidTr="004B2EA4">
        <w:trPr>
          <w:trHeight w:val="643"/>
        </w:trPr>
        <w:tc>
          <w:tcPr>
            <w:tcW w:w="2045" w:type="dxa"/>
            <w:vAlign w:val="bottom"/>
          </w:tcPr>
          <w:p w14:paraId="441819DA" w14:textId="77777777" w:rsidR="00984EA8" w:rsidRPr="005E779E" w:rsidRDefault="00984E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скорость</w:t>
            </w:r>
          </w:p>
          <w:p w14:paraId="6BA4A3C6" w14:textId="77777777" w:rsidR="00984EA8" w:rsidRPr="005E779E" w:rsidRDefault="00984E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посадочная, км/ч время набора высоты</w:t>
            </w:r>
          </w:p>
        </w:tc>
        <w:tc>
          <w:tcPr>
            <w:tcW w:w="811" w:type="dxa"/>
            <w:vAlign w:val="center"/>
          </w:tcPr>
          <w:p w14:paraId="262BCC22" w14:textId="77777777" w:rsidR="00984EA8" w:rsidRPr="005E779E" w:rsidRDefault="00984E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90-100</w:t>
            </w:r>
          </w:p>
        </w:tc>
        <w:tc>
          <w:tcPr>
            <w:tcW w:w="562" w:type="dxa"/>
            <w:vAlign w:val="center"/>
          </w:tcPr>
          <w:p w14:paraId="7942E8B9" w14:textId="77777777" w:rsidR="00984EA8" w:rsidRPr="005E779E" w:rsidRDefault="00984E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w:t>
            </w:r>
          </w:p>
        </w:tc>
      </w:tr>
      <w:tr w:rsidR="00984EA8" w:rsidRPr="005E779E" w14:paraId="1408078E" w14:textId="77777777" w:rsidTr="004B2EA4">
        <w:trPr>
          <w:trHeight w:val="206"/>
        </w:trPr>
        <w:tc>
          <w:tcPr>
            <w:tcW w:w="2045" w:type="dxa"/>
          </w:tcPr>
          <w:p w14:paraId="36FD0D2A" w14:textId="77777777" w:rsidR="00984EA8" w:rsidRPr="005E779E" w:rsidRDefault="00984E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 м, мин</w:t>
            </w:r>
          </w:p>
        </w:tc>
        <w:tc>
          <w:tcPr>
            <w:tcW w:w="811" w:type="dxa"/>
          </w:tcPr>
          <w:p w14:paraId="24EEE4EB" w14:textId="77777777" w:rsidR="00984EA8" w:rsidRPr="005E779E" w:rsidRDefault="00984E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12-14</w:t>
            </w:r>
          </w:p>
        </w:tc>
        <w:tc>
          <w:tcPr>
            <w:tcW w:w="562" w:type="dxa"/>
          </w:tcPr>
          <w:p w14:paraId="7BD0CAFB" w14:textId="77777777" w:rsidR="00984EA8" w:rsidRPr="005E779E" w:rsidRDefault="00984E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w:t>
            </w:r>
          </w:p>
        </w:tc>
      </w:tr>
      <w:tr w:rsidR="00984EA8" w:rsidRPr="005E779E" w14:paraId="6AF856BE" w14:textId="77777777" w:rsidTr="004B2EA4">
        <w:trPr>
          <w:trHeight w:val="221"/>
        </w:trPr>
        <w:tc>
          <w:tcPr>
            <w:tcW w:w="2045" w:type="dxa"/>
            <w:vAlign w:val="bottom"/>
          </w:tcPr>
          <w:p w14:paraId="13169C8B" w14:textId="77777777" w:rsidR="00984EA8" w:rsidRPr="005E779E" w:rsidRDefault="00984E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потолок, м</w:t>
            </w:r>
          </w:p>
        </w:tc>
        <w:tc>
          <w:tcPr>
            <w:tcW w:w="811" w:type="dxa"/>
            <w:vAlign w:val="bottom"/>
          </w:tcPr>
          <w:p w14:paraId="65803EAF" w14:textId="77777777" w:rsidR="00984EA8" w:rsidRPr="005E779E" w:rsidRDefault="00984E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7000</w:t>
            </w:r>
          </w:p>
        </w:tc>
        <w:tc>
          <w:tcPr>
            <w:tcW w:w="562" w:type="dxa"/>
            <w:vAlign w:val="bottom"/>
          </w:tcPr>
          <w:p w14:paraId="03F1B6A4" w14:textId="77777777" w:rsidR="00984EA8" w:rsidRPr="005E779E" w:rsidRDefault="00984E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8300</w:t>
            </w:r>
          </w:p>
        </w:tc>
      </w:tr>
      <w:tr w:rsidR="00984EA8" w:rsidRPr="005E779E" w14:paraId="5ACD2B8A" w14:textId="77777777" w:rsidTr="004B2EA4">
        <w:trPr>
          <w:trHeight w:val="221"/>
        </w:trPr>
        <w:tc>
          <w:tcPr>
            <w:tcW w:w="2045" w:type="dxa"/>
            <w:vAlign w:val="bottom"/>
          </w:tcPr>
          <w:p w14:paraId="54249475" w14:textId="77777777" w:rsidR="00984EA8" w:rsidRPr="005E779E" w:rsidRDefault="00984E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дальность, км</w:t>
            </w:r>
          </w:p>
        </w:tc>
        <w:tc>
          <w:tcPr>
            <w:tcW w:w="811" w:type="dxa"/>
            <w:vAlign w:val="bottom"/>
          </w:tcPr>
          <w:p w14:paraId="1A6039D4" w14:textId="77777777" w:rsidR="00984EA8" w:rsidRPr="005E779E" w:rsidRDefault="00984E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юоо</w:t>
            </w:r>
          </w:p>
        </w:tc>
        <w:tc>
          <w:tcPr>
            <w:tcW w:w="562" w:type="dxa"/>
            <w:vAlign w:val="bottom"/>
          </w:tcPr>
          <w:p w14:paraId="78972E03" w14:textId="77777777" w:rsidR="00984EA8" w:rsidRPr="005E779E" w:rsidRDefault="00984E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ЮОО</w:t>
            </w:r>
          </w:p>
        </w:tc>
      </w:tr>
      <w:tr w:rsidR="00984EA8" w:rsidRPr="005E779E" w14:paraId="6E75BF33" w14:textId="77777777" w:rsidTr="004B2EA4">
        <w:trPr>
          <w:trHeight w:val="226"/>
        </w:trPr>
        <w:tc>
          <w:tcPr>
            <w:tcW w:w="2045" w:type="dxa"/>
          </w:tcPr>
          <w:p w14:paraId="0C0C301E" w14:textId="77777777" w:rsidR="00984EA8" w:rsidRPr="005E779E" w:rsidRDefault="00984E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разбег, м</w:t>
            </w:r>
          </w:p>
        </w:tc>
        <w:tc>
          <w:tcPr>
            <w:tcW w:w="811" w:type="dxa"/>
          </w:tcPr>
          <w:p w14:paraId="4A9EA05A" w14:textId="77777777" w:rsidR="00984EA8" w:rsidRPr="005E779E" w:rsidRDefault="00984E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w:t>
            </w:r>
          </w:p>
        </w:tc>
        <w:tc>
          <w:tcPr>
            <w:tcW w:w="562" w:type="dxa"/>
          </w:tcPr>
          <w:p w14:paraId="427A720A" w14:textId="77777777" w:rsidR="00984EA8" w:rsidRPr="005E779E" w:rsidRDefault="00984E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130</w:t>
            </w:r>
          </w:p>
        </w:tc>
      </w:tr>
      <w:tr w:rsidR="00984EA8" w:rsidRPr="005E779E" w14:paraId="28350958" w14:textId="77777777" w:rsidTr="004B2EA4">
        <w:trPr>
          <w:trHeight w:val="221"/>
        </w:trPr>
        <w:tc>
          <w:tcPr>
            <w:tcW w:w="2045" w:type="dxa"/>
          </w:tcPr>
          <w:p w14:paraId="3634F200" w14:textId="77777777" w:rsidR="00984EA8" w:rsidRPr="005E779E" w:rsidRDefault="00984E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пробег (с тормозами), м</w:t>
            </w:r>
          </w:p>
        </w:tc>
        <w:tc>
          <w:tcPr>
            <w:tcW w:w="811" w:type="dxa"/>
          </w:tcPr>
          <w:p w14:paraId="2834C830" w14:textId="77777777" w:rsidR="00984EA8" w:rsidRPr="005E779E" w:rsidRDefault="00984E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80</w:t>
            </w:r>
          </w:p>
        </w:tc>
        <w:tc>
          <w:tcPr>
            <w:tcW w:w="562" w:type="dxa"/>
          </w:tcPr>
          <w:p w14:paraId="0BF09948" w14:textId="77777777" w:rsidR="00984EA8" w:rsidRPr="005E779E" w:rsidRDefault="00984E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315</w:t>
            </w:r>
          </w:p>
        </w:tc>
      </w:tr>
    </w:tbl>
    <w:p w14:paraId="15B43290" w14:textId="77777777" w:rsidR="00984EA8" w:rsidRPr="005E779E" w:rsidRDefault="00984E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(23474).</w:t>
      </w:r>
    </w:p>
    <w:p w14:paraId="3D047DA1" w14:textId="77777777" w:rsidR="00984EA8" w:rsidRPr="005E779E" w:rsidRDefault="00984EA8" w:rsidP="000B7A6C">
      <w:pPr>
        <w:spacing w:after="0" w:line="240" w:lineRule="auto"/>
        <w:jc w:val="both"/>
        <w:rPr>
          <w:rFonts w:ascii="Times New Roman" w:hAnsi="Times New Roman"/>
          <w:color w:val="000000" w:themeColor="text1"/>
          <w:sz w:val="16"/>
          <w:szCs w:val="16"/>
        </w:rPr>
      </w:pPr>
    </w:p>
    <w:p w14:paraId="70544F9E" w14:textId="77777777" w:rsidR="00984EA8" w:rsidRPr="005E779E" w:rsidRDefault="00984E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июле 1931 г. ЦАГИ закончил и представил на рассмотрение НИИ ВВС эскизный проект самолета МИ-3 (АНТ-21) (24197).</w:t>
      </w:r>
    </w:p>
    <w:p w14:paraId="6D7F6133" w14:textId="77777777" w:rsidR="00984EA8" w:rsidRPr="005E779E" w:rsidRDefault="00984E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Проектируемый ЦАГИ самолет под шифром МИ-3 (АНТ-21), по нормам прочности относился к 8-й группе 2-го класса. Экипаж самолета состоял из четырех человек, конструкция самолета - цельнометаллический моноплан, с низко расположенным крылом. Фюзеляж - овального сечения, оперение двухкилевое, шасси - убирающиеся в полете, с масляно-пневматической аммортизацией. Вооружение самолета - передняя установка с двумя тяжелыми пулеметами. Средняя установка с двумя тяжелыми пулеметами. Задняя установка с одним пулеметом, нижняя задняя установка с одним пулеметом.</w:t>
      </w:r>
    </w:p>
    <w:p w14:paraId="4AC0C4A8" w14:textId="77777777" w:rsidR="00984EA8" w:rsidRPr="005E779E" w:rsidRDefault="00984E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Несмотря на то, что расчетные данные самолета в отношении посадочной скорости, разбега и пробега не удовлетворяли техническим требованиям, эскизный проект УВВС был утвержден. Тем не менее, новый самолет ЦАГИ не только не уступал находящимся в эксплоатации самолетам, но и превышал их данные в отношении скорости, потолка и грузоподъемности.</w:t>
      </w:r>
    </w:p>
    <w:p w14:paraId="604546DB" w14:textId="77777777" w:rsidR="00984EA8" w:rsidRPr="005E779E" w:rsidRDefault="00984E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Эскизный проект ЦАГИ МИ-3 (АНТ-21) был утвержден, и УВВС предложило ВАО предоставить ЦАГИ мотор который обеспечил бы указанные выше расчетные данные самолета. В качестве такого мотора был выбран мотор М-34 с номинальной мощностью 750 л.с. (24197)</w:t>
      </w:r>
    </w:p>
    <w:p w14:paraId="5CBC39FD" w14:textId="77777777" w:rsidR="00984EA8" w:rsidRPr="005E779E" w:rsidRDefault="00984EA8" w:rsidP="000B7A6C">
      <w:pPr>
        <w:spacing w:after="0" w:line="240" w:lineRule="auto"/>
        <w:jc w:val="both"/>
        <w:rPr>
          <w:rFonts w:ascii="Times New Roman" w:hAnsi="Times New Roman"/>
          <w:color w:val="000000" w:themeColor="text1"/>
          <w:sz w:val="16"/>
          <w:szCs w:val="16"/>
        </w:rPr>
      </w:pPr>
    </w:p>
    <w:p w14:paraId="2DBA1320" w14:textId="77777777" w:rsidR="00602635" w:rsidRPr="00142305" w:rsidRDefault="00602635" w:rsidP="0060263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июля 1931 г. г. московский завод № 22 в Филях - предприятие, имевшее наибольший в стра</w:t>
      </w:r>
      <w:r w:rsidRPr="00142305">
        <w:rPr>
          <w:rFonts w:ascii="Times New Roman" w:hAnsi="Times New Roman"/>
          <w:color w:val="0070C0"/>
          <w:sz w:val="16"/>
          <w:szCs w:val="16"/>
        </w:rPr>
        <w:softHyphen/>
        <w:t>не опыт постройки цельнометаллических самолетов, начал подготовку к серийному выпуску бомбардировщика ТБ-3. В плане заку</w:t>
      </w:r>
      <w:r w:rsidRPr="00142305">
        <w:rPr>
          <w:rFonts w:ascii="Times New Roman" w:hAnsi="Times New Roman"/>
          <w:color w:val="0070C0"/>
          <w:sz w:val="16"/>
          <w:szCs w:val="16"/>
        </w:rPr>
        <w:softHyphen/>
        <w:t>пок новой техники для ВВС, утвержденном в феврале 1930 г., значилось, что в 1930/31 финансовом году от промышленности должны получить первые восемь ТБ-3. Позже цифру корректировали - до конца 1931 г. рассчитывали принять пять бомбар</w:t>
      </w:r>
      <w:r w:rsidRPr="00142305">
        <w:rPr>
          <w:rFonts w:ascii="Times New Roman" w:hAnsi="Times New Roman"/>
          <w:color w:val="0070C0"/>
          <w:sz w:val="16"/>
          <w:szCs w:val="16"/>
        </w:rPr>
        <w:softHyphen/>
        <w:t>дировщиков, потом только три.</w:t>
      </w:r>
    </w:p>
    <w:p w14:paraId="567C74DC" w14:textId="77777777" w:rsidR="00602635" w:rsidRPr="00142305" w:rsidRDefault="00602635" w:rsidP="0060263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Но и этого сделать не удалось - за</w:t>
      </w:r>
      <w:r w:rsidRPr="00142305">
        <w:rPr>
          <w:rFonts w:ascii="Times New Roman" w:hAnsi="Times New Roman"/>
          <w:color w:val="0070C0"/>
          <w:sz w:val="16"/>
          <w:szCs w:val="16"/>
        </w:rPr>
        <w:softHyphen/>
        <w:t>держивали нехватка металла, комплек</w:t>
      </w:r>
      <w:r w:rsidRPr="00142305">
        <w:rPr>
          <w:rFonts w:ascii="Times New Roman" w:hAnsi="Times New Roman"/>
          <w:color w:val="0070C0"/>
          <w:sz w:val="16"/>
          <w:szCs w:val="16"/>
        </w:rPr>
        <w:softHyphen/>
        <w:t>тующих, неопределенность с составом и размещением оборудования и вооружения. Головной самолет завода № 22 (№ 2201), управляемый экипажем П.И. Лозовского, совершил первый полет 27 февраля 1932 г. в присутствии наркома тяжелой промыш</w:t>
      </w:r>
      <w:r w:rsidRPr="00142305">
        <w:rPr>
          <w:rFonts w:ascii="Times New Roman" w:hAnsi="Times New Roman"/>
          <w:color w:val="0070C0"/>
          <w:sz w:val="16"/>
          <w:szCs w:val="16"/>
        </w:rPr>
        <w:softHyphen/>
        <w:t>ленности ГК. Орджоникидзе, которому тогда подчинялось и самолетостроение (24937).</w:t>
      </w:r>
    </w:p>
    <w:p w14:paraId="7F9C0BA3" w14:textId="77777777" w:rsidR="00602635" w:rsidRPr="00142305" w:rsidRDefault="00602635" w:rsidP="00602635">
      <w:pPr>
        <w:spacing w:after="0" w:line="240" w:lineRule="auto"/>
        <w:jc w:val="both"/>
        <w:rPr>
          <w:rFonts w:ascii="Times New Roman" w:hAnsi="Times New Roman"/>
          <w:color w:val="0070C0"/>
          <w:sz w:val="16"/>
          <w:szCs w:val="16"/>
        </w:rPr>
      </w:pPr>
    </w:p>
    <w:p w14:paraId="408424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июле 1931 проходили испытания МР-3бис (МР-5) Д.П.Г. с деревянной лодкой, проводившиеся по инициативе И.В.Четверикова на Москве реке. Устарел (92,378).</w:t>
      </w:r>
    </w:p>
    <w:p w14:paraId="2877B0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2C5FA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июле 1931 г. на Р-5 испытали дисковые колеса (но без тормозов), но в серию их не пустили, поскольку диски делали из дефицитного тогда импортного дюралевого листа. В феврале 1930 г. тормозные колеса для Р-5 заказали в Америке, у фирмы "Бендикс", но затем квоту по валюте урезали, и этот пункт исключили. Тем не менее уже в следующем году появилось постановление Совнаркома, требовавшее в 1932 г. сдать ВВС 100 самолетов с тормозами, на этот раз отечественной конструкции. Гидравлические тормоза спроектировали в ЦАГИ, взяв за основу образец фирмы "Виккерс". Чтобы их включить, летчик должен был использовать длинный рычаг, соединенный с гидронасосом. В 1932 г. опытные образцы прошли испытания сначала в ОЭЛИД, а затем в НИИ ВВС. Пробег уменьшался почти вдвое. Но работали тормоза не очень- то надежно, масло из системы подтекало. Отмечалось запаздывание при включении и выключении, неравномерное торможение правого и левого колес, приводившее к неуправляемому развороту. А самое главное, при значительном количестве горючего в верхних баках неопытный летчик запросто мог поставить машину на нос (12034).</w:t>
      </w:r>
    </w:p>
    <w:p w14:paraId="503212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C03A97A" w14:textId="0B8A3695"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 июле 1931 г. Л.И. Сутугин (аэродинамик) и С.А. Кочеригин (конструктор) представили УВВС два варианта проекта, из которых одобрили первый. Позднее построили два опытных образца. Оба самолета имели сильно измененное (фактически новое) верхнее крыло. Его законцовки стали почти прямоугольными. По всей передней кромке (кроме центроплана) разместили предкрылки, на задней, между элеронами - закрылки. Предкрылки срабатывали автоматически, от перепада давления. Механизм управления ими стоял в передней части центроплана, потеснив верхние бензобаки. Закрылки управлялись тросовым механизмом, срабатывавшим при нажатии пилотом рычага по левому борту кабины. На нижнем крыле смонтировали вторую пару элеронов. Хвостовое оперение немного увеличили по сравнению с серийным Р-5.</w:t>
      </w:r>
    </w:p>
    <w:p w14:paraId="238988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Первый самолет передали на испытания в НИИ ВВС 5 мая 1932 г. Механизация крыла позволила снизить посадочную скорость с 86 до 70 км/ч и улучшить поведение самолета на малых скоростях, но за счет ухудшения скороподъемности и уменьшения максимальной скорости.</w:t>
      </w:r>
    </w:p>
    <w:p w14:paraId="6E40FF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Вторая машина, отличавшаяся наличием вооружения, попала в НИИ в начале января 1933 г. Летал на ней пилот Козлов. Испытания, проходившие до 25 марта, опять показали, что посадочная скорость уменьшилась, а допустимый угол атаки - увеличился. Разбег стал короче. Но максимальная скорость полета упала, а устойчивость с выпущенными закрылками стала существенно хуже, чем без них. Пришли к выводу, что для столь тихоходного самолета, как Р-5, "разрезное" крыло существенного выигрыша не даст. Для этого самолета сделали шасси с тормозными колесами, но неизвестно, летал ли он с ним. Хотя в августе 1933 г. военные планировали постройку десяти таких машин для войсковых испытаний, в серийное производство варианте разрезным крылом внедрять не стали. Работы по доводке второго самолета как экспериментального шли до августа 1934 г. (12034).</w:t>
      </w:r>
    </w:p>
    <w:p w14:paraId="4E968F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637A92D" w14:textId="6D7C569D" w:rsidR="00602635" w:rsidRPr="00142305" w:rsidRDefault="00602635" w:rsidP="0060263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июле 1931 г. руководители работ по разрезному крылу для Р-5 Л.И. Сутугин (аэро</w:t>
      </w:r>
      <w:r w:rsidRPr="00142305">
        <w:rPr>
          <w:rFonts w:ascii="Times New Roman" w:hAnsi="Times New Roman"/>
          <w:color w:val="0070C0"/>
          <w:sz w:val="16"/>
          <w:szCs w:val="16"/>
        </w:rPr>
        <w:softHyphen/>
        <w:t>динамик) и С.А. Кочеригин (конструктор)</w:t>
      </w:r>
      <w:r w:rsidR="00FE094E">
        <w:rPr>
          <w:rFonts w:ascii="Times New Roman" w:hAnsi="Times New Roman"/>
          <w:color w:val="0070C0"/>
          <w:sz w:val="16"/>
          <w:szCs w:val="16"/>
        </w:rPr>
        <w:t xml:space="preserve"> </w:t>
      </w:r>
      <w:r w:rsidRPr="00142305">
        <w:rPr>
          <w:rFonts w:ascii="Times New Roman" w:hAnsi="Times New Roman"/>
          <w:color w:val="0070C0"/>
          <w:sz w:val="16"/>
          <w:szCs w:val="16"/>
        </w:rPr>
        <w:t>представили УВВС два варианта проекта, из которых одобрили первый. Позднее построили два опытных образ</w:t>
      </w:r>
      <w:r w:rsidRPr="00142305">
        <w:rPr>
          <w:rFonts w:ascii="Times New Roman" w:hAnsi="Times New Roman"/>
          <w:color w:val="0070C0"/>
          <w:sz w:val="16"/>
          <w:szCs w:val="16"/>
        </w:rPr>
        <w:softHyphen/>
        <w:t>ца. Оба самолета имели сильно измененное (фактически новое) верхнее крыло. Его законцовки стали почти пря</w:t>
      </w:r>
      <w:r w:rsidRPr="00142305">
        <w:rPr>
          <w:rFonts w:ascii="Times New Roman" w:hAnsi="Times New Roman"/>
          <w:color w:val="0070C0"/>
          <w:sz w:val="16"/>
          <w:szCs w:val="16"/>
        </w:rPr>
        <w:softHyphen/>
        <w:t>моугольными. По всей передней кромке (кроме центроп</w:t>
      </w:r>
      <w:r w:rsidRPr="00142305">
        <w:rPr>
          <w:rFonts w:ascii="Times New Roman" w:hAnsi="Times New Roman"/>
          <w:color w:val="0070C0"/>
          <w:sz w:val="16"/>
          <w:szCs w:val="16"/>
        </w:rPr>
        <w:softHyphen/>
        <w:t>лана) разместили предкрылки, на задней, между элерона</w:t>
      </w:r>
      <w:r w:rsidRPr="00142305">
        <w:rPr>
          <w:rFonts w:ascii="Times New Roman" w:hAnsi="Times New Roman"/>
          <w:color w:val="0070C0"/>
          <w:sz w:val="16"/>
          <w:szCs w:val="16"/>
        </w:rPr>
        <w:softHyphen/>
        <w:t>ми — закрылки. Предкрылки срабатывали автоматически, от перепада давления. Механизм управления ими стоял в передней части центроплана, потеснив верхние бензоба</w:t>
      </w:r>
      <w:r w:rsidRPr="00142305">
        <w:rPr>
          <w:rFonts w:ascii="Times New Roman" w:hAnsi="Times New Roman"/>
          <w:color w:val="0070C0"/>
          <w:sz w:val="16"/>
          <w:szCs w:val="16"/>
        </w:rPr>
        <w:softHyphen/>
        <w:t>ки. Закрылки управлялись тросовым механизмом, сраба</w:t>
      </w:r>
      <w:r w:rsidRPr="00142305">
        <w:rPr>
          <w:rFonts w:ascii="Times New Roman" w:hAnsi="Times New Roman"/>
          <w:color w:val="0070C0"/>
          <w:sz w:val="16"/>
          <w:szCs w:val="16"/>
        </w:rPr>
        <w:softHyphen/>
        <w:t>тывавшим при нажатии пилотом рычага по левому бор</w:t>
      </w:r>
      <w:r w:rsidRPr="00142305">
        <w:rPr>
          <w:rFonts w:ascii="Times New Roman" w:hAnsi="Times New Roman"/>
          <w:color w:val="0070C0"/>
          <w:sz w:val="16"/>
          <w:szCs w:val="16"/>
        </w:rPr>
        <w:softHyphen/>
        <w:t>ту кабины. На нижнем крыле смонтировали вторую па</w:t>
      </w:r>
      <w:r w:rsidRPr="00142305">
        <w:rPr>
          <w:rFonts w:ascii="Times New Roman" w:hAnsi="Times New Roman"/>
          <w:color w:val="0070C0"/>
          <w:sz w:val="16"/>
          <w:szCs w:val="16"/>
        </w:rPr>
        <w:softHyphen/>
        <w:t>ру элеронов. Хвостовое оперение немного увеличили по сравнению с серийным Р-5 (24990).</w:t>
      </w:r>
    </w:p>
    <w:p w14:paraId="60620427" w14:textId="77777777" w:rsidR="00602635" w:rsidRPr="00142305" w:rsidRDefault="00602635" w:rsidP="00602635">
      <w:pPr>
        <w:spacing w:after="0" w:line="240" w:lineRule="auto"/>
        <w:jc w:val="both"/>
        <w:rPr>
          <w:rFonts w:ascii="Times New Roman" w:hAnsi="Times New Roman"/>
          <w:color w:val="0070C0"/>
          <w:sz w:val="16"/>
          <w:szCs w:val="16"/>
        </w:rPr>
      </w:pPr>
    </w:p>
    <w:p w14:paraId="68B9EA95" w14:textId="77777777" w:rsidR="00602635" w:rsidRPr="00142305" w:rsidRDefault="00602635" w:rsidP="0060263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июле 1931 г. впервые ис</w:t>
      </w:r>
      <w:r w:rsidRPr="00142305">
        <w:rPr>
          <w:rFonts w:ascii="Times New Roman" w:hAnsi="Times New Roman"/>
          <w:color w:val="0070C0"/>
          <w:sz w:val="16"/>
          <w:szCs w:val="16"/>
        </w:rPr>
        <w:softHyphen/>
        <w:t>пытали дисковые колеса для Р-5 (но без тормозов). Но в серию их не пустили, посколь</w:t>
      </w:r>
      <w:r w:rsidRPr="00142305">
        <w:rPr>
          <w:rFonts w:ascii="Times New Roman" w:hAnsi="Times New Roman"/>
          <w:color w:val="0070C0"/>
          <w:sz w:val="16"/>
          <w:szCs w:val="16"/>
        </w:rPr>
        <w:softHyphen/>
        <w:t>ку диски делали из дефицитного тогда импортного дюра</w:t>
      </w:r>
      <w:r w:rsidRPr="00142305">
        <w:rPr>
          <w:rFonts w:ascii="Times New Roman" w:hAnsi="Times New Roman"/>
          <w:color w:val="0070C0"/>
          <w:sz w:val="16"/>
          <w:szCs w:val="16"/>
        </w:rPr>
        <w:softHyphen/>
        <w:t>левого листа (24990).</w:t>
      </w:r>
    </w:p>
    <w:p w14:paraId="3F69489F" w14:textId="77777777" w:rsidR="00602635" w:rsidRPr="00142305" w:rsidRDefault="00602635" w:rsidP="00602635">
      <w:pPr>
        <w:spacing w:after="0" w:line="240" w:lineRule="auto"/>
        <w:jc w:val="both"/>
        <w:rPr>
          <w:rFonts w:ascii="Times New Roman" w:hAnsi="Times New Roman"/>
          <w:color w:val="0070C0"/>
          <w:sz w:val="16"/>
          <w:szCs w:val="16"/>
        </w:rPr>
      </w:pPr>
    </w:p>
    <w:p w14:paraId="04D2FBF7" w14:textId="4E859249" w:rsidR="003250DD" w:rsidRPr="005E779E" w:rsidRDefault="003250D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июле 1931 г.А.Н.Т.</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обратился за помощью в УВВС. к С.А. Меженинову:</w:t>
      </w:r>
    </w:p>
    <w:p w14:paraId="2D18E5FC" w14:textId="77777777" w:rsidR="003250DD" w:rsidRPr="005E779E" w:rsidRDefault="003250D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«Сергеи Александрвич.</w:t>
      </w:r>
    </w:p>
    <w:p w14:paraId="2F3BB151" w14:textId="77777777" w:rsidR="003250DD" w:rsidRPr="005E779E" w:rsidRDefault="003250D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Разворачивание работ по проектиро</w:t>
      </w:r>
      <w:r w:rsidRPr="005E779E">
        <w:rPr>
          <w:rFonts w:ascii="Times New Roman" w:hAnsi="Times New Roman"/>
          <w:color w:val="000000" w:themeColor="text1"/>
          <w:sz w:val="16"/>
          <w:szCs w:val="16"/>
        </w:rPr>
        <w:softHyphen/>
        <w:t>ванию пассажирского самолета АНТ-20 (модификация ТБ-4) задерживается из-за того, что до сего времени еще не утверж</w:t>
      </w:r>
      <w:r w:rsidRPr="005E779E">
        <w:rPr>
          <w:rFonts w:ascii="Times New Roman" w:hAnsi="Times New Roman"/>
          <w:color w:val="000000" w:themeColor="text1"/>
          <w:sz w:val="16"/>
          <w:szCs w:val="16"/>
        </w:rPr>
        <w:softHyphen/>
        <w:t>ден УВВС эскизный проект его в смысле использования машины как военного агре</w:t>
      </w:r>
      <w:r w:rsidRPr="005E779E">
        <w:rPr>
          <w:rFonts w:ascii="Times New Roman" w:hAnsi="Times New Roman"/>
          <w:color w:val="000000" w:themeColor="text1"/>
          <w:sz w:val="16"/>
          <w:szCs w:val="16"/>
        </w:rPr>
        <w:softHyphen/>
        <w:t>гата. В НАГИ имеется в масштабе 1/10 макет самолета и в том же масштабе выполнен ряд специальных объектов, под</w:t>
      </w:r>
      <w:r w:rsidRPr="005E779E">
        <w:rPr>
          <w:rFonts w:ascii="Times New Roman" w:hAnsi="Times New Roman"/>
          <w:color w:val="000000" w:themeColor="text1"/>
          <w:sz w:val="16"/>
          <w:szCs w:val="16"/>
        </w:rPr>
        <w:softHyphen/>
        <w:t>лежащих транспортировке на самолете.</w:t>
      </w:r>
    </w:p>
    <w:p w14:paraId="200E2FD1" w14:textId="77777777" w:rsidR="003250DD" w:rsidRPr="005E779E" w:rsidRDefault="003250D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Настоящим очень прошу Вас приехать в ближайшие же дни к нам в Институт и рассмотреть предлагаемый проект (кото</w:t>
      </w:r>
      <w:r w:rsidRPr="005E779E">
        <w:rPr>
          <w:rFonts w:ascii="Times New Roman" w:hAnsi="Times New Roman"/>
          <w:color w:val="000000" w:themeColor="text1"/>
          <w:sz w:val="16"/>
          <w:szCs w:val="16"/>
        </w:rPr>
        <w:softHyphen/>
        <w:t>рый. кстати сказать, в пассажирском ва</w:t>
      </w:r>
      <w:r w:rsidRPr="005E779E">
        <w:rPr>
          <w:rFonts w:ascii="Times New Roman" w:hAnsi="Times New Roman"/>
          <w:color w:val="000000" w:themeColor="text1"/>
          <w:sz w:val="16"/>
          <w:szCs w:val="16"/>
        </w:rPr>
        <w:softHyphen/>
        <w:t>рианте уже принят начальником ВО ГВФ к постройке).</w:t>
      </w:r>
    </w:p>
    <w:p w14:paraId="5B4D3207" w14:textId="77777777" w:rsidR="003250DD" w:rsidRPr="005E779E" w:rsidRDefault="003250D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Очень желательно, чтобы Ваш приезд осуществился бы до 5-го сего августа.</w:t>
      </w:r>
    </w:p>
    <w:p w14:paraId="3B850CDC" w14:textId="77777777" w:rsidR="003250DD" w:rsidRPr="005E779E" w:rsidRDefault="003250D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Туполев».</w:t>
      </w:r>
    </w:p>
    <w:p w14:paraId="7A4B3759" w14:textId="77777777" w:rsidR="003250DD" w:rsidRPr="005E779E" w:rsidRDefault="003250D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всей видимости, ясного ответа КБ так и не получило (21240).</w:t>
      </w:r>
    </w:p>
    <w:p w14:paraId="329752F6" w14:textId="77777777" w:rsidR="003250DD" w:rsidRPr="005E779E" w:rsidRDefault="003250DD" w:rsidP="000B7A6C">
      <w:pPr>
        <w:spacing w:after="0" w:line="240" w:lineRule="auto"/>
        <w:jc w:val="both"/>
        <w:rPr>
          <w:rFonts w:ascii="Times New Roman" w:hAnsi="Times New Roman"/>
          <w:color w:val="000000" w:themeColor="text1"/>
          <w:sz w:val="16"/>
          <w:szCs w:val="16"/>
        </w:rPr>
      </w:pPr>
    </w:p>
    <w:p w14:paraId="29F42959" w14:textId="77777777" w:rsidR="00984EA8" w:rsidRPr="005E779E" w:rsidRDefault="00984E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июле 1931 г. в ЦКБ-39 были закончены и утверждены плановые проекты летающих лодок ЦКБ-28 и ЦКБ-29, на основе которых далее был построен самолет Ш-5. Но в то время проект был отложен почти на четыре года (23559).</w:t>
      </w:r>
    </w:p>
    <w:p w14:paraId="16E300CB" w14:textId="77777777" w:rsidR="00984EA8" w:rsidRPr="005E779E" w:rsidRDefault="00984EA8" w:rsidP="000B7A6C">
      <w:pPr>
        <w:spacing w:after="0" w:line="240" w:lineRule="auto"/>
        <w:jc w:val="both"/>
        <w:rPr>
          <w:rFonts w:ascii="Times New Roman" w:hAnsi="Times New Roman"/>
          <w:color w:val="000000" w:themeColor="text1"/>
          <w:sz w:val="16"/>
          <w:szCs w:val="16"/>
        </w:rPr>
      </w:pPr>
    </w:p>
    <w:p w14:paraId="0104EA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июле 1931 был утвержден проект Ш-5, который проходил под номерами 28 и 29 в плане ЦКБ (1076,917).</w:t>
      </w:r>
    </w:p>
    <w:p w14:paraId="34AD7B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244B873" w14:textId="77777777" w:rsidR="00602635" w:rsidRPr="00142305" w:rsidRDefault="00602635" w:rsidP="0060263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w:t>
      </w:r>
      <w:r w:rsidRPr="00142305">
        <w:rPr>
          <w:rFonts w:ascii="Times New Roman" w:hAnsi="Times New Roman"/>
          <w:color w:val="0070C0"/>
          <w:sz w:val="16"/>
          <w:szCs w:val="16"/>
        </w:rPr>
        <w:softHyphen/>
        <w:t>ле 1931 г. после обсуждения на Техническом совете ЦКБ самолеты для аэрофотосъемки, где решили унифицировать проекты, сделав из них один комбини</w:t>
      </w:r>
      <w:r w:rsidRPr="00142305">
        <w:rPr>
          <w:rFonts w:ascii="Times New Roman" w:hAnsi="Times New Roman"/>
          <w:color w:val="0070C0"/>
          <w:sz w:val="16"/>
          <w:szCs w:val="16"/>
        </w:rPr>
        <w:softHyphen/>
        <w:t>рованный — сухопутный с приставным по</w:t>
      </w:r>
      <w:r w:rsidRPr="00142305">
        <w:rPr>
          <w:rFonts w:ascii="Times New Roman" w:hAnsi="Times New Roman"/>
          <w:color w:val="0070C0"/>
          <w:sz w:val="16"/>
          <w:szCs w:val="16"/>
        </w:rPr>
        <w:softHyphen/>
        <w:t>плавком, проект утвердили, и в Морском отделе ЦКБ началась его детальная разработка как № 28/29 или Ш-5.</w:t>
      </w:r>
    </w:p>
    <w:p w14:paraId="7164DEA1" w14:textId="77777777" w:rsidR="00602635" w:rsidRPr="00142305" w:rsidRDefault="00602635" w:rsidP="0060263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Изготовление опытного образца велось на заводе опытных конструкций (ЗОК) НИИ ГВФ на окраине Центрального аэродрома Москвы. Конструкция самолета смешанная. Фюзеляж с вертикальным оперением ферменный, свар</w:t>
      </w:r>
      <w:r w:rsidRPr="00142305">
        <w:rPr>
          <w:rFonts w:ascii="Times New Roman" w:hAnsi="Times New Roman"/>
          <w:color w:val="0070C0"/>
          <w:sz w:val="16"/>
          <w:szCs w:val="16"/>
        </w:rPr>
        <w:softHyphen/>
        <w:t>ной из хромомолибденовых труб. Основной отъемный поплавок и боковые поплавки ос</w:t>
      </w:r>
      <w:r w:rsidRPr="00142305">
        <w:rPr>
          <w:rFonts w:ascii="Times New Roman" w:hAnsi="Times New Roman"/>
          <w:color w:val="0070C0"/>
          <w:sz w:val="16"/>
          <w:szCs w:val="16"/>
        </w:rPr>
        <w:softHyphen/>
        <w:t>тойчивости деревянные, крыло и оперение с каркасом из дюралюминия с последующим покрытием полотном. Два вынесенных над крылом двигателя М-22 снабжались металли</w:t>
      </w:r>
      <w:r w:rsidRPr="00142305">
        <w:rPr>
          <w:rFonts w:ascii="Times New Roman" w:hAnsi="Times New Roman"/>
          <w:color w:val="0070C0"/>
          <w:sz w:val="16"/>
          <w:szCs w:val="16"/>
        </w:rPr>
        <w:softHyphen/>
        <w:t>ческими воздушными винтами с переставным на земле шагом.</w:t>
      </w:r>
    </w:p>
    <w:p w14:paraId="45BDB1EF" w14:textId="77777777" w:rsidR="00602635" w:rsidRPr="00142305" w:rsidRDefault="00602635" w:rsidP="0060263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Практически с начала постройки Ш-5 рас</w:t>
      </w:r>
      <w:r w:rsidRPr="00142305">
        <w:rPr>
          <w:rFonts w:ascii="Times New Roman" w:hAnsi="Times New Roman"/>
          <w:color w:val="0070C0"/>
          <w:sz w:val="16"/>
          <w:szCs w:val="16"/>
        </w:rPr>
        <w:softHyphen/>
        <w:t>сматривался как самолет многоцелевого на</w:t>
      </w:r>
      <w:r w:rsidRPr="00142305">
        <w:rPr>
          <w:rFonts w:ascii="Times New Roman" w:hAnsi="Times New Roman"/>
          <w:color w:val="0070C0"/>
          <w:sz w:val="16"/>
          <w:szCs w:val="16"/>
        </w:rPr>
        <w:softHyphen/>
        <w:t>значения, предназначенный не только для аэ</w:t>
      </w:r>
      <w:r w:rsidRPr="00142305">
        <w:rPr>
          <w:rFonts w:ascii="Times New Roman" w:hAnsi="Times New Roman"/>
          <w:color w:val="0070C0"/>
          <w:sz w:val="16"/>
          <w:szCs w:val="16"/>
        </w:rPr>
        <w:softHyphen/>
        <w:t>рофотосъемки, но и как пассажирский, сани</w:t>
      </w:r>
      <w:r w:rsidRPr="00142305">
        <w:rPr>
          <w:rFonts w:ascii="Times New Roman" w:hAnsi="Times New Roman"/>
          <w:color w:val="0070C0"/>
          <w:sz w:val="16"/>
          <w:szCs w:val="16"/>
        </w:rPr>
        <w:softHyphen/>
        <w:t>тарный, транспортный. В фюзеляже установи</w:t>
      </w:r>
      <w:r w:rsidRPr="00142305">
        <w:rPr>
          <w:rFonts w:ascii="Times New Roman" w:hAnsi="Times New Roman"/>
          <w:color w:val="0070C0"/>
          <w:sz w:val="16"/>
          <w:szCs w:val="16"/>
        </w:rPr>
        <w:softHyphen/>
        <w:t>ли 12 пассажирских сидений, предусмотрели возможность их замены носилками на 8 ране</w:t>
      </w:r>
      <w:r w:rsidRPr="00142305">
        <w:rPr>
          <w:rFonts w:ascii="Times New Roman" w:hAnsi="Times New Roman"/>
          <w:color w:val="0070C0"/>
          <w:sz w:val="16"/>
          <w:szCs w:val="16"/>
        </w:rPr>
        <w:softHyphen/>
        <w:t>ных, в борту прорезали большую дверь, а ввер</w:t>
      </w:r>
      <w:r w:rsidRPr="00142305">
        <w:rPr>
          <w:rFonts w:ascii="Times New Roman" w:hAnsi="Times New Roman"/>
          <w:color w:val="0070C0"/>
          <w:sz w:val="16"/>
          <w:szCs w:val="16"/>
        </w:rPr>
        <w:softHyphen/>
        <w:t>ху грузовой люк (25013).</w:t>
      </w:r>
    </w:p>
    <w:p w14:paraId="196009F3" w14:textId="77777777" w:rsidR="00602635" w:rsidRPr="00142305" w:rsidRDefault="00602635" w:rsidP="00602635">
      <w:pPr>
        <w:spacing w:after="0" w:line="240" w:lineRule="auto"/>
        <w:jc w:val="both"/>
        <w:rPr>
          <w:rFonts w:ascii="Times New Roman" w:hAnsi="Times New Roman"/>
          <w:color w:val="0070C0"/>
          <w:sz w:val="16"/>
          <w:szCs w:val="16"/>
        </w:rPr>
      </w:pPr>
    </w:p>
    <w:p w14:paraId="7E78CA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июле 1931 для проведения войсковых испытаний в 9-й бригаде создали отряд торпедоносцев из двух ТБ-1, оснащенных теми же торпедными мостами, что ЮГ-1 весом 300 кг, которые производили серийно в 1932-1933 (561,6).</w:t>
      </w:r>
    </w:p>
    <w:p w14:paraId="7AF7E9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3C2CD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июле 1931 был построен И-12 (АНТ-23) (80,151).</w:t>
      </w:r>
    </w:p>
    <w:p w14:paraId="3342EB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другим данным - 1 июля 1931</w:t>
      </w:r>
    </w:p>
    <w:p w14:paraId="29425F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A7224BF" w14:textId="77777777" w:rsidR="00602635" w:rsidRPr="00142305" w:rsidRDefault="00602635" w:rsidP="00602635">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В июле 1931 г. И-12 АНТ-23, который был закончен постройкой в начале лета, уже появился на аэродроме. Понадобился, однако, еще целый месяц для доделок систем и доводки винтомоторной группы. 29 августа состоялся первый полет, который показал вполне удовлетворительные характеристики. Переделки машины, однако, продолжались. Выяснилось, что двойное вертикальное оперение, находящееся вне зоны обдувки воздушных винтов, неэффективно на рулежке и на пробеге. Поэтому уже в процессе испытаний установили однокилевое оперение, необходимую же сткость обеспечивали подкосы, соединяющие киль со стабилизатором. Была увеличена площадь элеронов (по причине перекомпенсации). После этой доработки задняя кромка элеронов стала выступать за контур крыла (25213).</w:t>
      </w:r>
    </w:p>
    <w:p w14:paraId="77F8777E" w14:textId="77777777" w:rsidR="00602635" w:rsidRPr="00142305" w:rsidRDefault="00602635" w:rsidP="00602635">
      <w:pPr>
        <w:spacing w:after="0" w:line="240" w:lineRule="auto"/>
        <w:jc w:val="both"/>
        <w:rPr>
          <w:rFonts w:ascii="Times New Roman" w:hAnsi="Times New Roman"/>
          <w:color w:val="0070C0"/>
          <w:sz w:val="16"/>
          <w:szCs w:val="16"/>
        </w:rPr>
      </w:pPr>
    </w:p>
    <w:p w14:paraId="725297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июле 1931 УВВС сообщило ЦАГИ требования к вооружению самолета АНТ-14 (346,53).</w:t>
      </w:r>
    </w:p>
    <w:p w14:paraId="6596AC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Это была бомбардировочная версия с установкой пулеметных оборонительных точек (2072,63).</w:t>
      </w:r>
    </w:p>
    <w:p w14:paraId="60581B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2B09498" w14:textId="77777777" w:rsidR="00984EA8" w:rsidRPr="005E779E" w:rsidRDefault="00984E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июле 1931 г. УВВС сообщило ЦАГИ требования к вооруже</w:t>
      </w:r>
      <w:r w:rsidRPr="005E779E">
        <w:rPr>
          <w:rFonts w:ascii="Times New Roman" w:hAnsi="Times New Roman"/>
          <w:color w:val="000000" w:themeColor="text1"/>
          <w:sz w:val="16"/>
          <w:szCs w:val="16"/>
        </w:rPr>
        <w:softHyphen/>
        <w:t>нию самолета АНТ-14 в военной версии. Оборонительное вооруже</w:t>
      </w:r>
      <w:r w:rsidRPr="005E779E">
        <w:rPr>
          <w:rFonts w:ascii="Times New Roman" w:hAnsi="Times New Roman"/>
          <w:color w:val="000000" w:themeColor="text1"/>
          <w:sz w:val="16"/>
          <w:szCs w:val="16"/>
        </w:rPr>
        <w:softHyphen/>
        <w:t>ние должно было включать спаренную пулеметную установку у переднего стрел ка и такую же — у заднего, по одному тя</w:t>
      </w:r>
      <w:r w:rsidRPr="005E779E">
        <w:rPr>
          <w:rFonts w:ascii="Times New Roman" w:hAnsi="Times New Roman"/>
          <w:color w:val="000000" w:themeColor="text1"/>
          <w:sz w:val="16"/>
          <w:szCs w:val="16"/>
        </w:rPr>
        <w:softHyphen/>
        <w:t>желому пулемету у стрелков в средней и хвостовой частях фюзеляжа, а также по два пулемета у каждого из стрелков опус</w:t>
      </w:r>
      <w:r w:rsidRPr="005E779E">
        <w:rPr>
          <w:rFonts w:ascii="Times New Roman" w:hAnsi="Times New Roman"/>
          <w:color w:val="000000" w:themeColor="text1"/>
          <w:sz w:val="16"/>
          <w:szCs w:val="16"/>
        </w:rPr>
        <w:softHyphen/>
        <w:t>кающихся подкрыльных башен.</w:t>
      </w:r>
    </w:p>
    <w:p w14:paraId="1B413B7A" w14:textId="77777777" w:rsidR="00984EA8" w:rsidRPr="005E779E" w:rsidRDefault="00984E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Предусматривалась подвеска бомб ка</w:t>
      </w:r>
      <w:r w:rsidRPr="005E779E">
        <w:rPr>
          <w:rFonts w:ascii="Times New Roman" w:hAnsi="Times New Roman"/>
          <w:color w:val="000000" w:themeColor="text1"/>
          <w:sz w:val="16"/>
          <w:szCs w:val="16"/>
        </w:rPr>
        <w:softHyphen/>
        <w:t>либра 250 или 500 кг. Максимальная масса бомбовой нагрузки — 4000 кг.</w:t>
      </w:r>
    </w:p>
    <w:p w14:paraId="309369E6" w14:textId="77777777" w:rsidR="00984EA8" w:rsidRPr="005E779E" w:rsidRDefault="00984E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Документы о дальнейшей судьбе воен</w:t>
      </w:r>
      <w:r w:rsidRPr="005E779E">
        <w:rPr>
          <w:rFonts w:ascii="Times New Roman" w:hAnsi="Times New Roman"/>
          <w:color w:val="000000" w:themeColor="text1"/>
          <w:sz w:val="16"/>
          <w:szCs w:val="16"/>
        </w:rPr>
        <w:softHyphen/>
        <w:t>ного варианта не найдены (23474).</w:t>
      </w:r>
    </w:p>
    <w:p w14:paraId="22526756" w14:textId="77777777" w:rsidR="00984EA8" w:rsidRPr="005E779E" w:rsidRDefault="00984EA8" w:rsidP="000B7A6C">
      <w:pPr>
        <w:spacing w:after="0" w:line="240" w:lineRule="auto"/>
        <w:jc w:val="both"/>
        <w:rPr>
          <w:rFonts w:ascii="Times New Roman" w:hAnsi="Times New Roman"/>
          <w:color w:val="000000" w:themeColor="text1"/>
          <w:sz w:val="16"/>
          <w:szCs w:val="16"/>
        </w:rPr>
      </w:pPr>
    </w:p>
    <w:p w14:paraId="2F1F3A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июле 1931 г., когда опытный образец еще не поднимался в воздух, были сформулированы требования к бомбардировочному варианту АНТ-14. Самолет должен был нести 4000 кг бомб. Максимальный калибр определялся в 500 кг. Оборонительное вооружение складывалось из десяти пулеметов, в том числе двух крупнокалиберных; в том числе предусматривались две турели со спаренными пулеметами (спереди и сзади) и две башни со спаренными установками, выдвигавшиеся вниз из крыла.</w:t>
      </w:r>
    </w:p>
    <w:p w14:paraId="5C1B8C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1933 г. выполнялся эскизный проект военной модификации АНТ-14 с четырьмя моторами М-34Р и новыми носовой и хвостовой частью. Вооружение у него было послабее. Самолет предполагалось вооружить четырьмя 7,62-мм пулеметами. Три ручных пулемета Д П (пехотных, именно так записано в документах) располагались в носовой части фюзеляжа, сверху и за вертикальным оперением (с боезапасом по 15 дисков на каждый), а переносной ДА (с 16 дисками) на шкворне стрелял через бортовые окна. Из носовой установки вел огонь штурман, из верхней - борттехник, из кормовой - стрелок. Переносным пулеметом оперировал радист.</w:t>
      </w:r>
    </w:p>
    <w:p w14:paraId="27D934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Предусматривались две радиостанции: 11-СК (у радиста) и 15-СУ (у штурмана). Основным назначением машины считалась перевозка солдат и военных грузов, а также высадка воздушных десантов, но при монтаже в салоне многоярусных коек самолет превращался в санитарный. Военный АНТ-14 при необходимости мог быть использован и как ночной бомбардировщик. Бомбы при этом укладывались во внутренние кассеты в бывшем пассажирском салоне.</w:t>
      </w:r>
    </w:p>
    <w:p w14:paraId="52ACDD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Такие военно-транспортные машины собирались серийно строить на заводе № 22 в Филях. В сентябре 1933 г. руководство этого предприятия обратилось в ГУАП за разрешением на постройку опытного образца, но, видимо, получило отказ. В Осконбюро ВВС разрабатывали десантный вариант АНТ-14 на 50 парашютистов, которые </w:t>
      </w:r>
      <w:r w:rsidRPr="005E779E">
        <w:rPr>
          <w:rFonts w:ascii="Times New Roman" w:hAnsi="Times New Roman"/>
          <w:color w:val="000000" w:themeColor="text1"/>
          <w:sz w:val="16"/>
          <w:szCs w:val="16"/>
        </w:rPr>
        <w:lastRenderedPageBreak/>
        <w:t>должны были покидать машину по наклонным трубам, какие можно увидеть сейчас на детских площадках. Прорабатывали также вариант "бензиноносца" - танкера для дозаправки в воздухе тяжелого бомбардировщика ТБ-4. Он мог, по расчетам, нести дополнительно около 2500 кг топлива.</w:t>
      </w:r>
    </w:p>
    <w:p w14:paraId="4CB2FC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Изучалась также возможность доработки при необходимости обычного пассажирского АНТ-14 для военных целей - как транспортного или "вспомогательного бомбардировщика", аналогично подобному проекту для АНТ-9. Все эти работы были прекращены после принятия решения об отказе от запуска АНТ-14 в серию (12036).</w:t>
      </w:r>
    </w:p>
    <w:p w14:paraId="098C0F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85DE060" w14:textId="77777777" w:rsidR="00F27123" w:rsidRPr="00142305" w:rsidRDefault="00F27123" w:rsidP="00F2712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июле 1931 г., когда его опытный об</w:t>
      </w:r>
      <w:r w:rsidRPr="00142305">
        <w:rPr>
          <w:rFonts w:ascii="Times New Roman" w:hAnsi="Times New Roman"/>
          <w:color w:val="0070C0"/>
          <w:sz w:val="16"/>
          <w:szCs w:val="16"/>
        </w:rPr>
        <w:softHyphen/>
        <w:t>разец еще не поднимался в воздух, бы</w:t>
      </w:r>
      <w:r w:rsidRPr="00142305">
        <w:rPr>
          <w:rFonts w:ascii="Times New Roman" w:hAnsi="Times New Roman"/>
          <w:color w:val="0070C0"/>
          <w:sz w:val="16"/>
          <w:szCs w:val="16"/>
        </w:rPr>
        <w:softHyphen/>
        <w:t>ли сформулированы требования к бомбардировочному варианту АНТ-14. Самолет должен был нести 4000 кг бомб. Максимальный калибр определялся в 500 кг. Оборонительное вооружение складывал ось из де</w:t>
      </w:r>
      <w:r w:rsidRPr="00142305">
        <w:rPr>
          <w:rFonts w:ascii="Times New Roman" w:hAnsi="Times New Roman"/>
          <w:color w:val="0070C0"/>
          <w:sz w:val="16"/>
          <w:szCs w:val="16"/>
        </w:rPr>
        <w:softHyphen/>
        <w:t>сяти пулеметов, в том числе двух крупнокалиберных; в том числе предусматривались две турели со спаренными пуле</w:t>
      </w:r>
      <w:r w:rsidRPr="00142305">
        <w:rPr>
          <w:rFonts w:ascii="Times New Roman" w:hAnsi="Times New Roman"/>
          <w:color w:val="0070C0"/>
          <w:sz w:val="16"/>
          <w:szCs w:val="16"/>
        </w:rPr>
        <w:softHyphen/>
        <w:t>метами (спереди и сзади) и две башни со спаренными уста</w:t>
      </w:r>
      <w:r w:rsidRPr="00142305">
        <w:rPr>
          <w:rFonts w:ascii="Times New Roman" w:hAnsi="Times New Roman"/>
          <w:color w:val="0070C0"/>
          <w:sz w:val="16"/>
          <w:szCs w:val="16"/>
        </w:rPr>
        <w:softHyphen/>
        <w:t>новками, выдвигавшиеся вниз из крыла (24977).</w:t>
      </w:r>
    </w:p>
    <w:p w14:paraId="04759945" w14:textId="77777777" w:rsidR="00F27123" w:rsidRPr="00142305" w:rsidRDefault="00F27123" w:rsidP="00F27123">
      <w:pPr>
        <w:spacing w:after="0" w:line="240" w:lineRule="auto"/>
        <w:jc w:val="both"/>
        <w:rPr>
          <w:rFonts w:ascii="Times New Roman" w:hAnsi="Times New Roman"/>
          <w:color w:val="0070C0"/>
          <w:sz w:val="16"/>
          <w:szCs w:val="16"/>
        </w:rPr>
      </w:pPr>
    </w:p>
    <w:p w14:paraId="5D457D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июле 1931 года М-23 установили на АИР-2, а позднее и на АИР-4, который успешно прошел государственные испытания. В 1932 году были выполнены рабочие чертежи для его серийного выпуска с М-23. Школе ФЗУ завода №24 поручили изготовить серию в 30 моторов М-23 для этого самолета. Предполагалось в 1933 году конструктивно довести АИР-4 с М-23, превратив его в учебно-тренировочную машину. Осоавиахим запланировал на вторую пятилетку непрерывное увеличение количества АИР-4 С М-23 - с пяти самолетов в 1933 году до 276 в 1937-м и решил ассигновать на эту программу 3,7 млн. рублей. Тем не менее двигатель М-23 в серию так и не пошел, что повлияло и на дальнейшую судьбу самолетов, для которых он предназначался. А это были не только АИРы А. С. Яковлева, но и самолеты А. Н. Грацианского, В. К. Грибовского, А. С. Москалева. Неспособность Осоавиахима и авиационной промышленности наладить производство маломощных моторов привела к тому, что ни одна даже самая удачная отечественная авиетка не выпускалась тогда большой серией. Поставлять для них в больших количествах импортные, оплачиваемые валютой моторы, было немыслимо (11981).</w:t>
      </w:r>
    </w:p>
    <w:p w14:paraId="4DFE23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9995D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июле 1931 было подготовлено заключение по гос. испытаниям АНТ-8 МДР-2, на котором Нач. ВВС РККА наложил резолюцию: “Решение вопроса о введении на вооружение...отложить до окончания испытаний и проверки технических изменений, до получения результатов испытаний МДР-3 завода 39.” (4269,18).</w:t>
      </w:r>
    </w:p>
    <w:p w14:paraId="7BAE83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A98B625" w14:textId="77777777" w:rsidR="00602635" w:rsidRPr="00142305" w:rsidRDefault="00602635" w:rsidP="0060263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июле 1931 года вышло заключение по испытанию МДР-2 АНТ-8, на которое начальник ВВС РККА нало</w:t>
      </w:r>
      <w:r w:rsidRPr="00142305">
        <w:rPr>
          <w:rFonts w:ascii="Times New Roman" w:hAnsi="Times New Roman"/>
          <w:color w:val="0070C0"/>
          <w:sz w:val="16"/>
          <w:szCs w:val="16"/>
        </w:rPr>
        <w:softHyphen/>
        <w:t>жил резолюцию: «Решение вопроса о введении на вооружение ... отложить до оконча</w:t>
      </w:r>
      <w:r w:rsidRPr="00142305">
        <w:rPr>
          <w:rFonts w:ascii="Times New Roman" w:hAnsi="Times New Roman"/>
          <w:color w:val="0070C0"/>
          <w:sz w:val="16"/>
          <w:szCs w:val="16"/>
        </w:rPr>
        <w:softHyphen/>
        <w:t>ния испытании и проверки технических изменений, до получения результатов испытаний МДР-3 завода № 39».</w:t>
      </w:r>
    </w:p>
    <w:p w14:paraId="2F908EBF" w14:textId="77777777" w:rsidR="00602635" w:rsidRPr="00142305" w:rsidRDefault="00602635" w:rsidP="0060263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результатам зимних летных испытаний МДР-2 доработали. Увеличили водоизме</w:t>
      </w:r>
      <w:r w:rsidRPr="00142305">
        <w:rPr>
          <w:rFonts w:ascii="Times New Roman" w:hAnsi="Times New Roman"/>
          <w:color w:val="0070C0"/>
          <w:sz w:val="16"/>
          <w:szCs w:val="16"/>
        </w:rPr>
        <w:softHyphen/>
        <w:t>щение поплавков и площадь руля направления. Повторные испытания в октябре - ноябре 1931 года показали, что мореходность улучшилась, но посадочная скорость оставалась довольно высокой - 115 км/ч (24991).</w:t>
      </w:r>
    </w:p>
    <w:p w14:paraId="57C0FF0A" w14:textId="77777777" w:rsidR="00602635" w:rsidRPr="00142305" w:rsidRDefault="00602635" w:rsidP="00602635">
      <w:pPr>
        <w:spacing w:after="0" w:line="240" w:lineRule="auto"/>
        <w:jc w:val="both"/>
        <w:rPr>
          <w:rFonts w:ascii="Times New Roman" w:hAnsi="Times New Roman"/>
          <w:color w:val="0070C0"/>
          <w:sz w:val="16"/>
          <w:szCs w:val="16"/>
        </w:rPr>
      </w:pPr>
    </w:p>
    <w:p w14:paraId="70E8CC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июле 1931 КБ А.Н.Т. получило ТТТ от УВВС к гидросамолету для дальней морской разведки - потом сделали АНТ-22 (МК-1) (2072,69).</w:t>
      </w:r>
    </w:p>
    <w:p w14:paraId="2E0393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A4726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июле 1931 г. Управление ВВС выдало новое задание на гораздо большую по размерам машину. Теперь требовался "морской крейсер" с бомбовой нагрузкой 6000 кг. Задачами самолета считались разведка отдаленных районов моря и нанесение ударов бомбами и торпедами. Максимальная скорость задавалась равной 300 км/ч, а радиус действия - 1000 км. Машине присвоили обозначение МК-1; в ЦАГИ ее назвали АНТ-22. Проектирование вели в бригаде гидросамолетов КОСОС, руководимой И.И. Погосским. По расчетам такому самолету требовалось крыло с размахом около 50 м и площадью 300 м2. При классической схеме лодка получалась офомной, высокой и широкой. Чтобы обеспечить ей остойчивость, потребовались бы либо "жабры" большого объема, либо очень немаленькие подкрыльные поплавки. Вспомнив о работе над АНТ-11, предложили использовать катамаранную схему с расстоянием между осями фюзеляжей в 15 м. По оси самолета из крыла выступала кабина экипажа.</w:t>
      </w:r>
    </w:p>
    <w:p w14:paraId="769923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Лодки были двухреданными. Они выполнялись не "зеркальными", а совершенно одинаковыми и симметричными. Это упрощало производство и ремонт. Форму днища определили после протасок различных моделей в гидроканале. Развитая носовая часть корпуса обеспечивала хорошую мореходность. По-настояшему герметичны были только нижние широкие части лодок, которые фактически являлись поплавками. Сверху они закрывались водонепроницаемым полом с люками. Выше шла более легкая конструкция. Обшивка лодок была гладкой. Клепку, чтобы не проступала вода, делали на сурике.</w:t>
      </w:r>
    </w:p>
    <w:p w14:paraId="6BF29B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Крыло по конструкции было похоже на ТБ-3. Четыре ферменных лонжерона из дюралевых труб, ферменные же нервюры, стрингеры в виде трехгранных балок из листа с отверстиями для облегчения и гофрированная обшивка.</w:t>
      </w:r>
    </w:p>
    <w:p w14:paraId="5546F5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Мотоустановка АНТ-22 состояла из шести двигателей М-34Р. Они размещались тремя тандемными парами - две над лодками и одна по оси самолета над центропланом и кабиной экипажа. Похоже, использовалась та же самая установка, что монтировалась на фюзеляже ТБ-4. В каждой гондоле один двигатель работал с тянущим винтом, другой - с толкающим. Общий для пары радиатор размещался сверху. Крыло хорошо защищало приподнятые вверх двигатели от брызг при взлете и посадке. </w:t>
      </w:r>
    </w:p>
    <w:p w14:paraId="1E5630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Хвостовая часть каждой лодки заканчивалась присоединенным на болтах килем. Кили соединялись стабилизатором, превращавшим конструкцию в жесткую раму. Стабилизатор специально разместили в плоскости осей воздушных винтов, чтобы повысить эффективность работы рулей. Внешние части стабилизатора, выступавшие за кили, могли в полете менять угол установки.</w:t>
      </w:r>
    </w:p>
    <w:p w14:paraId="6B9E44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Экипаж состоял из 11 человек. В центральной кабине сидели два пилота, штурман и бортмеханик. Последний располагался во втором ярусе, над летчиками, и имел люк для выхода на крыло. В лодках размещались шесть стрелков, а в носовой части правой - еще радист со станцией ПСК-1.</w:t>
      </w:r>
    </w:p>
    <w:p w14:paraId="31B648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МК-1 имел мощное вооружение: шесть пулеметов и две пушки, боезапас 600 снарядов и 14 ООО патронов. В каждой лодке находились пулемет ШКАС, спарка ДА-2 и 20-мм пушка "Эрликон", но размещение их было не одинаково. В кормовых установках в обоих случаях монтировались пулеметы ДА-2, пушка в левой лодке стояла на средней турели, а в правой - на передней. Соответственно менялось положение пулеметов ШКАС. Все установки выполнялись экранированными, с остекленными целлулоидом колпаками.</w:t>
      </w:r>
    </w:p>
    <w:p w14:paraId="39196E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Как уже говорилось, максимальная бомбовая нагрузка равнялась 6000 кг, нормальная - 5000 кг. Бомбы укладывались в восьми отсеках в центроплане, где монтировались кассетные держатели для 32 бомб по 100 кг. Бомбы более крупного калибра, вплоть до шести по 1000 кг, крепились на наружных балках. Вместо бомб снаружи можно было нести четыре торпеды по 1200 кг (например, ТАН-27). По-ви- димому, вместо торпед предусматривалась и загрузка авиационных мин. Реально в перегрузку огромный самолет мог поднять гораздо больше.</w:t>
      </w:r>
    </w:p>
    <w:p w14:paraId="1FB188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Постройку опытного образца МК-1 осуществляли в большом цехе Завода опытных конструкций с 1933 г. (12036).</w:t>
      </w:r>
    </w:p>
    <w:p w14:paraId="78CBD2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B8B3647" w14:textId="77777777" w:rsidR="00855AE1" w:rsidRPr="00142305" w:rsidRDefault="00855AE1" w:rsidP="00855AE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июле 1931 г. Управление ВВС выдало новое задание на гораздо большую по размерам летающую лодку. Теперь требовался «морской крейсер» с бомбовой нагрузкой 6000 кг. Задача</w:t>
      </w:r>
      <w:r w:rsidRPr="00142305">
        <w:rPr>
          <w:rFonts w:ascii="Times New Roman" w:hAnsi="Times New Roman"/>
          <w:color w:val="0070C0"/>
          <w:sz w:val="16"/>
          <w:szCs w:val="16"/>
        </w:rPr>
        <w:softHyphen/>
        <w:t>ми самолета считались разведка отдаленных районов моря и нанесение ударов бомбами и торпедами. Максимальная скорость задавалась равной 300 км/ч, а радиус действия — 1000 км. Машине присвоили обозначение MK-1; в ЦАГИ ее назвали АНТ -22. Проектирование вели в бригаде гидро</w:t>
      </w:r>
      <w:r w:rsidRPr="00142305">
        <w:rPr>
          <w:rFonts w:ascii="Times New Roman" w:hAnsi="Times New Roman"/>
          <w:color w:val="0070C0"/>
          <w:sz w:val="16"/>
          <w:szCs w:val="16"/>
        </w:rPr>
        <w:softHyphen/>
        <w:t>самолетов КОСОС, руководимой И.И. Погосским. По рас</w:t>
      </w:r>
      <w:r w:rsidRPr="00142305">
        <w:rPr>
          <w:rFonts w:ascii="Times New Roman" w:hAnsi="Times New Roman"/>
          <w:color w:val="0070C0"/>
          <w:sz w:val="16"/>
          <w:szCs w:val="16"/>
        </w:rPr>
        <w:softHyphen/>
        <w:t>четам такому самолету требовалось крыло с размахом около 50 м и площадью 300 м</w:t>
      </w:r>
      <w:r w:rsidRPr="00142305">
        <w:rPr>
          <w:rFonts w:ascii="Times New Roman" w:hAnsi="Times New Roman"/>
          <w:color w:val="0070C0"/>
          <w:sz w:val="16"/>
          <w:szCs w:val="16"/>
          <w:vertAlign w:val="superscript"/>
        </w:rPr>
        <w:t>2</w:t>
      </w:r>
      <w:r w:rsidRPr="00142305">
        <w:rPr>
          <w:rFonts w:ascii="Times New Roman" w:hAnsi="Times New Roman"/>
          <w:color w:val="0070C0"/>
          <w:sz w:val="16"/>
          <w:szCs w:val="16"/>
        </w:rPr>
        <w:t>. При классической схеме лодка по</w:t>
      </w:r>
      <w:r w:rsidRPr="00142305">
        <w:rPr>
          <w:rFonts w:ascii="Times New Roman" w:hAnsi="Times New Roman"/>
          <w:color w:val="0070C0"/>
          <w:sz w:val="16"/>
          <w:szCs w:val="16"/>
        </w:rPr>
        <w:softHyphen/>
        <w:t>лучалась огромной, высокой и широкой. Чтобы обеспечить ей остойчивость, потребовались бы либо «жабры» большого объема, либо очень немаленькие подкрыльные поплавки. Вспомнив о работе над АНТ-11, предложили использовать катамаранную схему с расстоянием между осями фюзеля</w:t>
      </w:r>
      <w:r w:rsidRPr="00142305">
        <w:rPr>
          <w:rFonts w:ascii="Times New Roman" w:hAnsi="Times New Roman"/>
          <w:color w:val="0070C0"/>
          <w:sz w:val="16"/>
          <w:szCs w:val="16"/>
        </w:rPr>
        <w:softHyphen/>
        <w:t>жей в 15 м. По оси самолета из крыла высыпала кабина эки</w:t>
      </w:r>
      <w:r w:rsidRPr="00142305">
        <w:rPr>
          <w:rFonts w:ascii="Times New Roman" w:hAnsi="Times New Roman"/>
          <w:color w:val="0070C0"/>
          <w:sz w:val="16"/>
          <w:szCs w:val="16"/>
        </w:rPr>
        <w:softHyphen/>
        <w:t>пажа.</w:t>
      </w:r>
    </w:p>
    <w:p w14:paraId="56AE2E37" w14:textId="77777777" w:rsidR="00855AE1" w:rsidRPr="00142305" w:rsidRDefault="00855AE1" w:rsidP="00855AE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Лодки были двухреданными. Они выполнялись не «зер</w:t>
      </w:r>
      <w:r w:rsidRPr="00142305">
        <w:rPr>
          <w:rFonts w:ascii="Times New Roman" w:hAnsi="Times New Roman"/>
          <w:color w:val="0070C0"/>
          <w:sz w:val="16"/>
          <w:szCs w:val="16"/>
        </w:rPr>
        <w:softHyphen/>
        <w:t>кальными», а совершенно одинаковыми и симметричными. Это упрощало производство и ремонт. Форму днища опре</w:t>
      </w:r>
      <w:r w:rsidRPr="00142305">
        <w:rPr>
          <w:rFonts w:ascii="Times New Roman" w:hAnsi="Times New Roman"/>
          <w:color w:val="0070C0"/>
          <w:sz w:val="16"/>
          <w:szCs w:val="16"/>
        </w:rPr>
        <w:softHyphen/>
        <w:t>делили после протасок различных моделей в гидроканале. Развитая носовая часть корпуса обеспечивала хорошую мо</w:t>
      </w:r>
      <w:r w:rsidRPr="00142305">
        <w:rPr>
          <w:rFonts w:ascii="Times New Roman" w:hAnsi="Times New Roman"/>
          <w:color w:val="0070C0"/>
          <w:sz w:val="16"/>
          <w:szCs w:val="16"/>
        </w:rPr>
        <w:softHyphen/>
        <w:t>реходность. По-настоящему герметичны были только ниж</w:t>
      </w:r>
      <w:r w:rsidRPr="00142305">
        <w:rPr>
          <w:rFonts w:ascii="Times New Roman" w:hAnsi="Times New Roman"/>
          <w:color w:val="0070C0"/>
          <w:sz w:val="16"/>
          <w:szCs w:val="16"/>
        </w:rPr>
        <w:softHyphen/>
        <w:t>ние широкие части лодок, которые фактически являлись поплавками. Сверху они закрывались водонепроницаемым полом с люками. Выше шла более легкая конструкция</w:t>
      </w:r>
      <w:r w:rsidRPr="00142305">
        <w:rPr>
          <w:rFonts w:ascii="Times New Roman" w:hAnsi="Times New Roman"/>
          <w:smallCaps/>
          <w:color w:val="0070C0"/>
          <w:sz w:val="16"/>
          <w:szCs w:val="16"/>
        </w:rPr>
        <w:t>.</w:t>
      </w:r>
      <w:r w:rsidRPr="00142305">
        <w:rPr>
          <w:rFonts w:ascii="Times New Roman" w:hAnsi="Times New Roman"/>
          <w:color w:val="0070C0"/>
          <w:sz w:val="16"/>
          <w:szCs w:val="16"/>
        </w:rPr>
        <w:t xml:space="preserve"> Об</w:t>
      </w:r>
      <w:r w:rsidRPr="00142305">
        <w:rPr>
          <w:rFonts w:ascii="Times New Roman" w:hAnsi="Times New Roman"/>
          <w:color w:val="0070C0"/>
          <w:sz w:val="16"/>
          <w:szCs w:val="16"/>
        </w:rPr>
        <w:softHyphen/>
        <w:t>шивка лодок была гладкой. Клепку, чтобы не проступала вода, делали на сурике.</w:t>
      </w:r>
    </w:p>
    <w:p w14:paraId="732FC786" w14:textId="77777777" w:rsidR="00855AE1" w:rsidRPr="00142305" w:rsidRDefault="00855AE1" w:rsidP="00855AE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Крыло по конструкции было похоже на ТБ-З. Четыре ферменных лонжерона из дюралевых труб, ферменные же нервюры, стрингеры в виде трехгранных балок из листа с отверстиями для облегчения и гофрированная обшивка.</w:t>
      </w:r>
    </w:p>
    <w:p w14:paraId="0B064DD4" w14:textId="77777777" w:rsidR="00855AE1" w:rsidRPr="00142305" w:rsidRDefault="00855AE1" w:rsidP="00855AE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Мотоустановка АНТ-22 состояла из шести двигателей М-З4Р. Они размещались тремя тандемными парами — две надлодками и одна по оси самолета над центропланом и ка</w:t>
      </w:r>
      <w:r w:rsidRPr="00142305">
        <w:rPr>
          <w:rFonts w:ascii="Times New Roman" w:hAnsi="Times New Roman"/>
          <w:color w:val="0070C0"/>
          <w:sz w:val="16"/>
          <w:szCs w:val="16"/>
        </w:rPr>
        <w:softHyphen/>
        <w:t>биной экипажа. Похоже, использовалась та же самая уста</w:t>
      </w:r>
      <w:r w:rsidRPr="00142305">
        <w:rPr>
          <w:rFonts w:ascii="Times New Roman" w:hAnsi="Times New Roman"/>
          <w:color w:val="0070C0"/>
          <w:sz w:val="16"/>
          <w:szCs w:val="16"/>
        </w:rPr>
        <w:softHyphen/>
        <w:t>новка, что монтировалась на фюзеляже ТБ-4. В каждой гон</w:t>
      </w:r>
      <w:r w:rsidRPr="00142305">
        <w:rPr>
          <w:rFonts w:ascii="Times New Roman" w:hAnsi="Times New Roman"/>
          <w:color w:val="0070C0"/>
          <w:sz w:val="16"/>
          <w:szCs w:val="16"/>
        </w:rPr>
        <w:softHyphen/>
        <w:t>доле один двигатель работал с тянущим винтом, другой — с толкающим. Общий для пары радиатор размещался сверху. Крыло хорошо защищало приподнятые вверх двигатели от брызг при взлете и посадке.</w:t>
      </w:r>
    </w:p>
    <w:p w14:paraId="0BE47218" w14:textId="77777777" w:rsidR="00855AE1" w:rsidRPr="00142305" w:rsidRDefault="00855AE1" w:rsidP="00855AE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Хвостовая часть каждой лодки заканчивалась присо</w:t>
      </w:r>
      <w:r w:rsidRPr="00142305">
        <w:rPr>
          <w:rFonts w:ascii="Times New Roman" w:hAnsi="Times New Roman"/>
          <w:color w:val="0070C0"/>
          <w:sz w:val="16"/>
          <w:szCs w:val="16"/>
        </w:rPr>
        <w:softHyphen/>
        <w:t>единенным на болтах килем. Кили соединялись стабили</w:t>
      </w:r>
      <w:r w:rsidRPr="00142305">
        <w:rPr>
          <w:rFonts w:ascii="Times New Roman" w:hAnsi="Times New Roman"/>
          <w:color w:val="0070C0"/>
          <w:sz w:val="16"/>
          <w:szCs w:val="16"/>
        </w:rPr>
        <w:softHyphen/>
        <w:t>затором, превращавшим конструкцию в жесткую раму. Стабилизатор специально разместили в плоскости осей воздушных винтов, чтобы повысить эффективность работы рулей. Внешние части стабилизатора, выступавшие за кили, могли в полете менять угол установки.</w:t>
      </w:r>
    </w:p>
    <w:p w14:paraId="55F9BF69" w14:textId="77777777" w:rsidR="00855AE1" w:rsidRPr="00142305" w:rsidRDefault="00855AE1" w:rsidP="00855AE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Экипаж состоял из 11 человек. В центральной кабине си</w:t>
      </w:r>
      <w:r w:rsidRPr="00142305">
        <w:rPr>
          <w:rFonts w:ascii="Times New Roman" w:hAnsi="Times New Roman"/>
          <w:color w:val="0070C0"/>
          <w:sz w:val="16"/>
          <w:szCs w:val="16"/>
        </w:rPr>
        <w:softHyphen/>
        <w:t>дели два пилота, штурман и бортмеханик. Последний рас</w:t>
      </w:r>
      <w:r w:rsidRPr="00142305">
        <w:rPr>
          <w:rFonts w:ascii="Times New Roman" w:hAnsi="Times New Roman"/>
          <w:color w:val="0070C0"/>
          <w:sz w:val="16"/>
          <w:szCs w:val="16"/>
        </w:rPr>
        <w:softHyphen/>
        <w:t>полагался во втором ярусе, над летчиками, и имел люк для выхода на крыло. В лодках размещались шесть стрелков, а в носовой части правой - еще радист со станцией ПСК-l.</w:t>
      </w:r>
    </w:p>
    <w:p w14:paraId="6930FDED" w14:textId="77777777" w:rsidR="00855AE1" w:rsidRPr="00142305" w:rsidRDefault="00855AE1" w:rsidP="00855AE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МК-I имел мощное вооружение: шесть пулеметов и две пушки, боезапас 600 снарядов и 14 000 патронов. В каждой лодке находились пулемет ШКАС, спарка ДА-2 и 20-мм пушка «Эрликон», но размещение их было не одинаково. В кормовых установках в обоих случаях монтировались пуле</w:t>
      </w:r>
      <w:r w:rsidRPr="00142305">
        <w:rPr>
          <w:rFonts w:ascii="Times New Roman" w:hAnsi="Times New Roman"/>
          <w:color w:val="0070C0"/>
          <w:sz w:val="16"/>
          <w:szCs w:val="16"/>
        </w:rPr>
        <w:softHyphen/>
        <w:t xml:space="preserve">меты ДА-2, пушка в левой лодке стояла </w:t>
      </w:r>
      <w:r w:rsidRPr="00142305">
        <w:rPr>
          <w:rFonts w:ascii="Times New Roman" w:hAnsi="Times New Roman"/>
          <w:color w:val="0070C0"/>
          <w:sz w:val="16"/>
          <w:szCs w:val="16"/>
        </w:rPr>
        <w:lastRenderedPageBreak/>
        <w:t>на средней турели, а в правой - на передней. Соответственно менялось положе</w:t>
      </w:r>
      <w:r w:rsidRPr="00142305">
        <w:rPr>
          <w:rFonts w:ascii="Times New Roman" w:hAnsi="Times New Roman"/>
          <w:color w:val="0070C0"/>
          <w:sz w:val="16"/>
          <w:szCs w:val="16"/>
        </w:rPr>
        <w:softHyphen/>
        <w:t>ние пулеметов ШКАС. Все установки выполнялись экрани</w:t>
      </w:r>
      <w:r w:rsidRPr="00142305">
        <w:rPr>
          <w:rFonts w:ascii="Times New Roman" w:hAnsi="Times New Roman"/>
          <w:color w:val="0070C0"/>
          <w:sz w:val="16"/>
          <w:szCs w:val="16"/>
        </w:rPr>
        <w:softHyphen/>
        <w:t>рованными, с остекленными целлулоидом колпаками.</w:t>
      </w:r>
    </w:p>
    <w:p w14:paraId="178A64B0" w14:textId="77777777" w:rsidR="00855AE1" w:rsidRPr="00142305" w:rsidRDefault="00855AE1" w:rsidP="00855AE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Как уже говорилось, максимальная бомбовая нагрузка равнялась 6000 кг, нормальная — 5000 кг. Бомбы уклады</w:t>
      </w:r>
      <w:r w:rsidRPr="00142305">
        <w:rPr>
          <w:rFonts w:ascii="Times New Roman" w:hAnsi="Times New Roman"/>
          <w:color w:val="0070C0"/>
          <w:sz w:val="16"/>
          <w:szCs w:val="16"/>
        </w:rPr>
        <w:softHyphen/>
        <w:t>вались в восьми отсеках в центроплане, где монтировались кассетные держатели для 32 бомб по 100 кг. Бомбы более крупного калибра, вплоть до шести по 1000 кг, крепились на наружных балках. Вместо бомб снаружи можно было не</w:t>
      </w:r>
      <w:r w:rsidRPr="00142305">
        <w:rPr>
          <w:rFonts w:ascii="Times New Roman" w:hAnsi="Times New Roman"/>
          <w:color w:val="0070C0"/>
          <w:sz w:val="16"/>
          <w:szCs w:val="16"/>
        </w:rPr>
        <w:softHyphen/>
        <w:t>сти четыре торпеды по 1200 кг (например, ТАН-27). По-ви</w:t>
      </w:r>
      <w:r w:rsidRPr="00142305">
        <w:rPr>
          <w:rFonts w:ascii="Times New Roman" w:hAnsi="Times New Roman"/>
          <w:color w:val="0070C0"/>
          <w:sz w:val="16"/>
          <w:szCs w:val="16"/>
        </w:rPr>
        <w:softHyphen/>
        <w:t>димому, вместо торпед предусматривалась и загрузка авиа</w:t>
      </w:r>
      <w:r w:rsidRPr="00142305">
        <w:rPr>
          <w:rFonts w:ascii="Times New Roman" w:hAnsi="Times New Roman"/>
          <w:color w:val="0070C0"/>
          <w:sz w:val="16"/>
          <w:szCs w:val="16"/>
        </w:rPr>
        <w:softHyphen/>
        <w:t>ционных мин. Реально в перегрузку огромный самолет мог поднять гораздо больше (24977).</w:t>
      </w:r>
    </w:p>
    <w:p w14:paraId="33456385" w14:textId="77777777" w:rsidR="00855AE1" w:rsidRPr="00142305" w:rsidRDefault="00855AE1" w:rsidP="00855AE1">
      <w:pPr>
        <w:spacing w:after="0" w:line="240" w:lineRule="auto"/>
        <w:jc w:val="both"/>
        <w:rPr>
          <w:rFonts w:ascii="Times New Roman" w:hAnsi="Times New Roman"/>
          <w:color w:val="0070C0"/>
          <w:sz w:val="16"/>
          <w:szCs w:val="16"/>
        </w:rPr>
      </w:pPr>
    </w:p>
    <w:p w14:paraId="451DF80A" w14:textId="77777777" w:rsidR="00602635" w:rsidRPr="00142305" w:rsidRDefault="00602635" w:rsidP="0060263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июле 1931 г. Управление ВВС выдало ЦАГИ задание на разработку гидросамолета грузоподъемностью шесть тонн. Самолет дол</w:t>
      </w:r>
      <w:r w:rsidRPr="00142305">
        <w:rPr>
          <w:rFonts w:ascii="Times New Roman" w:hAnsi="Times New Roman"/>
          <w:color w:val="0070C0"/>
          <w:sz w:val="16"/>
          <w:szCs w:val="16"/>
        </w:rPr>
        <w:softHyphen/>
        <w:t>жен был летать со скоростью 300 км/ч и иметь радиус действия 1000 км. Оборонительное вооружение задавалось из четырех-пяти пулеметов и двух-трех пушек.</w:t>
      </w:r>
    </w:p>
    <w:p w14:paraId="29C180D5" w14:textId="77777777" w:rsidR="00602635" w:rsidRPr="00142305" w:rsidRDefault="00602635" w:rsidP="0060263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одном из архивных документов обнаружилось, что самолет предназна</w:t>
      </w:r>
      <w:r w:rsidRPr="00142305">
        <w:rPr>
          <w:rFonts w:ascii="Times New Roman" w:hAnsi="Times New Roman"/>
          <w:color w:val="0070C0"/>
          <w:sz w:val="16"/>
          <w:szCs w:val="16"/>
        </w:rPr>
        <w:softHyphen/>
        <w:t>чался для транспортировки малых подводных лодок. Что это были за лодки, неизвестно, но исходя из его грузоподъемности водоизмещение субмарины не должно было превышать 13 тонн. В 1936 году проходило испытание автономное подводное специ</w:t>
      </w:r>
      <w:r w:rsidRPr="00142305">
        <w:rPr>
          <w:rFonts w:ascii="Times New Roman" w:hAnsi="Times New Roman"/>
          <w:color w:val="0070C0"/>
          <w:sz w:val="16"/>
          <w:szCs w:val="16"/>
        </w:rPr>
        <w:softHyphen/>
        <w:t>альное судно «АПСС», созданное под руководством В.И. Бекаури, водоизмещением 7,2/8,2 тонны, что позволяло его транспортировать самолетом типа МК-1 (24991).</w:t>
      </w:r>
    </w:p>
    <w:p w14:paraId="7F78461D" w14:textId="77777777" w:rsidR="00602635" w:rsidRPr="00142305" w:rsidRDefault="00602635" w:rsidP="00602635">
      <w:pPr>
        <w:spacing w:after="0" w:line="240" w:lineRule="auto"/>
        <w:jc w:val="both"/>
        <w:rPr>
          <w:rFonts w:ascii="Times New Roman" w:hAnsi="Times New Roman"/>
          <w:color w:val="0070C0"/>
          <w:sz w:val="16"/>
          <w:szCs w:val="16"/>
        </w:rPr>
      </w:pPr>
    </w:p>
    <w:p w14:paraId="3E67CE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июле 1931 был смотр авиации, на который приезжал И.В.С., A.К.Орджоникидзе. В.П.Чкалов летал на И-5 и после этого смотра Н.Н.П. заменили высшую меру на 10 лет лагерей (191,22).</w:t>
      </w:r>
    </w:p>
    <w:p w14:paraId="2F7091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отношении Н.Н.П. - не совсем корректно, так как 10 лет лагерей были даны еще 18 марта 1931.</w:t>
      </w:r>
    </w:p>
    <w:p w14:paraId="0C7771C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54FC1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июле 1931 г. официально сдали головной образец М-17Б. К 10 июня через военную приемку прошли семь таких моторов. На М-17Б стали ставить отечественные карбюраторы и бензонасосы. Ранее их импортировали из Франции. Советский карбюратор К-17, соз</w:t>
      </w:r>
      <w:r w:rsidRPr="005E779E">
        <w:rPr>
          <w:rFonts w:ascii="Times New Roman" w:hAnsi="Times New Roman"/>
          <w:color w:val="000000" w:themeColor="text1"/>
          <w:sz w:val="16"/>
          <w:szCs w:val="16"/>
        </w:rPr>
        <w:softHyphen/>
        <w:t>данный на заводе № 24, впервые испытали на М-17 в апреле 1931 г. Серийные моторы в 1930 г. выпускались только со степенью сжатия 6,0. Первые опытные высотные М-17 со степенью сжатия 7,3 изготовили в ноябре 1930 г. Далее серии включали двигатели с обеими степенями сжатия в разном соотношении. Первой такой серией стала серия «3» в феврале 1931 г., в которую вошли 20 моторов М-17Е7,3. Позднее появи</w:t>
      </w:r>
      <w:r w:rsidRPr="005E779E">
        <w:rPr>
          <w:rFonts w:ascii="Times New Roman" w:hAnsi="Times New Roman"/>
          <w:color w:val="000000" w:themeColor="text1"/>
          <w:sz w:val="16"/>
          <w:szCs w:val="16"/>
        </w:rPr>
        <w:softHyphen/>
        <w:t>лись целые серии высотных двигателей. Например, все моторы, входив</w:t>
      </w:r>
      <w:r w:rsidRPr="005E779E">
        <w:rPr>
          <w:rFonts w:ascii="Times New Roman" w:hAnsi="Times New Roman"/>
          <w:color w:val="000000" w:themeColor="text1"/>
          <w:sz w:val="16"/>
          <w:szCs w:val="16"/>
        </w:rPr>
        <w:softHyphen/>
        <w:t>шие в серию «Л», имели степень сжатия 7,3. Практически с самого начала освоения производства М-17 формирова</w:t>
      </w:r>
      <w:r w:rsidRPr="005E779E">
        <w:rPr>
          <w:rFonts w:ascii="Times New Roman" w:hAnsi="Times New Roman"/>
          <w:color w:val="000000" w:themeColor="text1"/>
          <w:sz w:val="16"/>
          <w:szCs w:val="16"/>
        </w:rPr>
        <w:softHyphen/>
        <w:t>лись планы его последующей модернизации. При этом не только следова</w:t>
      </w:r>
      <w:r w:rsidRPr="005E779E">
        <w:rPr>
          <w:rFonts w:ascii="Times New Roman" w:hAnsi="Times New Roman"/>
          <w:color w:val="000000" w:themeColor="text1"/>
          <w:sz w:val="16"/>
          <w:szCs w:val="16"/>
        </w:rPr>
        <w:softHyphen/>
        <w:t>ли путями, уже проторенными немецкими конструкторами, но и пытались внести нечто свое. В частности, в план опытных работ, утвержденный Реввоенсоветом 1 октября 1930 г., вошел «М-17 с 4-х клапанной голов</w:t>
      </w:r>
      <w:r w:rsidRPr="005E779E">
        <w:rPr>
          <w:rFonts w:ascii="Times New Roman" w:hAnsi="Times New Roman"/>
          <w:color w:val="000000" w:themeColor="text1"/>
          <w:sz w:val="16"/>
          <w:szCs w:val="16"/>
        </w:rPr>
        <w:softHyphen/>
        <w:t>кой», который хотели выставить на госиспытания к 1 июня 1931 г. Никаких материалов об этой работе найти не удалось. Но в 1933-1934 гг. под руководством военпреда Рогова М-17 форсировали по оборотам до 800 л.с. Испытания усовершенствованного двигателя проходили в апреле 1934 г. Изготовили не менее трех экземпляров, один из которых установили на персональный Р-5 начальника ВВС Я.И. Алксниса. Однако на серийное производство эти работы, в сущности, не повлияли. Это было связано с появлением отечественного двигателя М-34, соз</w:t>
      </w:r>
      <w:r w:rsidRPr="005E779E">
        <w:rPr>
          <w:rFonts w:ascii="Times New Roman" w:hAnsi="Times New Roman"/>
          <w:color w:val="000000" w:themeColor="text1"/>
          <w:sz w:val="16"/>
          <w:szCs w:val="16"/>
        </w:rPr>
        <w:softHyphen/>
        <w:t>данного под руководством А.А. Микулина. Его специально делали, чтобы заменить М-17, под те же габариты и посадочные места. Этот мотор был, безусловно, перспективнее, чем устаревающий «БМВ» с его рубашками отдельных цилиндров. Внедрение М-34 в производство в 1933 г. сразу снизило интерес к созданию новых модификаций немецкого двигателя. Предполагалось, что мотор Микулина полностью вытеснит М-17 из за</w:t>
      </w:r>
      <w:r w:rsidRPr="005E779E">
        <w:rPr>
          <w:rFonts w:ascii="Times New Roman" w:hAnsi="Times New Roman"/>
          <w:color w:val="000000" w:themeColor="text1"/>
          <w:sz w:val="16"/>
          <w:szCs w:val="16"/>
        </w:rPr>
        <w:softHyphen/>
        <w:t>водских цехов. И действительно, выпуск М-17 рос до 1934 г., когда достигли пика — 5662 мотора в год. При этом завод № 26 тогда обеспечивал около полови</w:t>
      </w:r>
      <w:r w:rsidRPr="005E779E">
        <w:rPr>
          <w:rFonts w:ascii="Times New Roman" w:hAnsi="Times New Roman"/>
          <w:color w:val="000000" w:themeColor="text1"/>
          <w:sz w:val="16"/>
          <w:szCs w:val="16"/>
        </w:rPr>
        <w:softHyphen/>
        <w:t>ны всего производства авиадвигателей в стране. Далее же начался спад (11852).</w:t>
      </w:r>
    </w:p>
    <w:p w14:paraId="2058EB6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4BCCD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июле 1931 г. небольшая лаборатория двигателей внутреннего сгорания получила задание на разработку авиадизеля Н-3. Далее стала УИДВС (его иногда сокращенно именовали также УкрИДВС). Институт возглавлял Я.М. Майер. Непосредственно конструированием занимался от</w:t>
      </w:r>
      <w:r w:rsidRPr="005E779E">
        <w:rPr>
          <w:rFonts w:ascii="Times New Roman" w:hAnsi="Times New Roman"/>
          <w:color w:val="000000" w:themeColor="text1"/>
          <w:sz w:val="16"/>
          <w:szCs w:val="16"/>
        </w:rPr>
        <w:softHyphen/>
        <w:t>дел Г.И. Аптекмана. В январе 1932 г. был представлен эскизный проект дизеля, названного АД-1. Он также являлся 12-цилиндровым, выполнял</w:t>
      </w:r>
      <w:r w:rsidRPr="005E779E">
        <w:rPr>
          <w:rFonts w:ascii="Times New Roman" w:hAnsi="Times New Roman"/>
          <w:color w:val="000000" w:themeColor="text1"/>
          <w:sz w:val="16"/>
          <w:szCs w:val="16"/>
        </w:rPr>
        <w:softHyphen/>
        <w:t>ся по У-образной схеме и имел водяное охлаждение. Опытный образец АД-1 изготовили в конце 1934 г. Он проходил стендовые испытания, но отставал от конкурента — Н-1 (АН-1) из ЦИАМ. С 1935 г. там работали также над дизелем для дирижабля. УНИАДИ (он уже назывался так) переориентировался на дизели для танков. Среди созданных там двигателей был и очень удачный БД-2, за</w:t>
      </w:r>
      <w:r w:rsidRPr="005E779E">
        <w:rPr>
          <w:rFonts w:ascii="Times New Roman" w:hAnsi="Times New Roman"/>
          <w:color w:val="000000" w:themeColor="text1"/>
          <w:sz w:val="16"/>
          <w:szCs w:val="16"/>
        </w:rPr>
        <w:softHyphen/>
        <w:t>пущенный затем в серию как В-2. Его ставили на танки Т-34, КВ, ИС и самоходные орудия на их базе, артиллерийские тягачи «Ворошиловец». В мае 1935 г. разработали авиационный вариант БД-2 — БД-2 А с ПЦН от мотора АМ-34РН. Этот дизель проходил стендовые, а с января 1936 г. — летные испытания на биплане Р-5. На 1937 г. УНИАДИ планировали про</w:t>
      </w:r>
      <w:r w:rsidRPr="005E779E">
        <w:rPr>
          <w:rFonts w:ascii="Times New Roman" w:hAnsi="Times New Roman"/>
          <w:color w:val="000000" w:themeColor="text1"/>
          <w:sz w:val="16"/>
          <w:szCs w:val="16"/>
        </w:rPr>
        <w:softHyphen/>
        <w:t>ектирование дизеля АД-3 (11852).</w:t>
      </w:r>
    </w:p>
    <w:p w14:paraId="0CFD7E8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EC3D5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июле 1931 г. выдали задание на Н-3 Лаборатории двигателей вну</w:t>
      </w:r>
      <w:r w:rsidRPr="005E779E">
        <w:rPr>
          <w:rFonts w:ascii="Times New Roman" w:hAnsi="Times New Roman"/>
          <w:color w:val="000000" w:themeColor="text1"/>
          <w:sz w:val="16"/>
          <w:szCs w:val="16"/>
        </w:rPr>
        <w:softHyphen/>
        <w:t>треннего сгорания (впоследствии УИДВС и УНИАДИ) в Харькове. Проек</w:t>
      </w:r>
      <w:r w:rsidRPr="005E779E">
        <w:rPr>
          <w:rFonts w:ascii="Times New Roman" w:hAnsi="Times New Roman"/>
          <w:color w:val="000000" w:themeColor="text1"/>
          <w:sz w:val="16"/>
          <w:szCs w:val="16"/>
        </w:rPr>
        <w:softHyphen/>
        <w:t>тирование велось под руководством Я.М. Майера и Г.И. Аптекмана. Осо</w:t>
      </w:r>
      <w:r w:rsidRPr="005E779E">
        <w:rPr>
          <w:rFonts w:ascii="Times New Roman" w:hAnsi="Times New Roman"/>
          <w:color w:val="000000" w:themeColor="text1"/>
          <w:sz w:val="16"/>
          <w:szCs w:val="16"/>
        </w:rPr>
        <w:softHyphen/>
        <w:t>бенностями конструкции являлись развал блоков под углом 45° и заливка силовых шпилек в алюминиевый картер. Опытный образец был закончен осенью 1934 г., испытывался с декабря 1934 г. по июнь 1935 г. Мощность оказалась ниже проектной, и приоритет отдали дизелю АН-1, разработан</w:t>
      </w:r>
      <w:r w:rsidRPr="005E779E">
        <w:rPr>
          <w:rFonts w:ascii="Times New Roman" w:hAnsi="Times New Roman"/>
          <w:color w:val="000000" w:themeColor="text1"/>
          <w:sz w:val="16"/>
          <w:szCs w:val="16"/>
        </w:rPr>
        <w:softHyphen/>
        <w:t>ному в ЦИАМ. Изготовлены три экземпляра.</w:t>
      </w:r>
    </w:p>
    <w:p w14:paraId="48F9F7D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Характеристики:</w:t>
      </w:r>
    </w:p>
    <w:p w14:paraId="38A5C6A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12-цилиндровый, рядный У-образный, четырехтактный, водяного охлаждения;</w:t>
      </w:r>
    </w:p>
    <w:p w14:paraId="4AC2BC7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мощность по проекту 500 л.с. (реально 427 л.с.);</w:t>
      </w:r>
    </w:p>
    <w:p w14:paraId="2BC4621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диаметр цилиндра/ход поршня 150/165 мм;</w:t>
      </w:r>
    </w:p>
    <w:p w14:paraId="27F2FB4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вес 650 кг (по заданию).</w:t>
      </w:r>
    </w:p>
    <w:p w14:paraId="2F9F534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Н-4 (АН-4)</w:t>
      </w:r>
    </w:p>
    <w:p w14:paraId="0E4A74E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Этот дизель проектировался в 1931-1932 гг. сначала в ИПЭ, а затем в ХАЙ в Харькове под руководством заведующего кафедрой авиамото</w:t>
      </w:r>
      <w:r w:rsidRPr="005E779E">
        <w:rPr>
          <w:rFonts w:ascii="Times New Roman" w:hAnsi="Times New Roman"/>
          <w:color w:val="000000" w:themeColor="text1"/>
          <w:sz w:val="16"/>
          <w:szCs w:val="16"/>
        </w:rPr>
        <w:softHyphen/>
        <w:t>ростроения профессора В.Т. Цветкова. В 1932 г. завод им. Лозовского в Харькове строил опытную одноцилиндровую установку. Данных о по</w:t>
      </w:r>
      <w:r w:rsidRPr="005E779E">
        <w:rPr>
          <w:rFonts w:ascii="Times New Roman" w:hAnsi="Times New Roman"/>
          <w:color w:val="000000" w:themeColor="text1"/>
          <w:sz w:val="16"/>
          <w:szCs w:val="16"/>
        </w:rPr>
        <w:softHyphen/>
        <w:t>стройке и испытании опытных образцов Н-4 в целом нет.</w:t>
      </w:r>
    </w:p>
    <w:p w14:paraId="59739EE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Характеристики:</w:t>
      </w:r>
    </w:p>
    <w:p w14:paraId="43A3EDB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Двухтактный дизель, водяного охлаждения;</w:t>
      </w:r>
    </w:p>
    <w:p w14:paraId="02E3719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мощность по заданию 500-600 л.с.;</w:t>
      </w:r>
    </w:p>
    <w:p w14:paraId="6A89FEE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вес 500-600 кг (11852).</w:t>
      </w:r>
    </w:p>
    <w:p w14:paraId="4B04DB9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68B0A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июле 1931 года Гроховский писал письмо зам. председателя и начальнику вооружения РККА Тухачевскому:</w:t>
      </w:r>
    </w:p>
    <w:p w14:paraId="0F4EDCF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1929 году мною предложено 54 изобретения. Все мои предложения одобрены, 18 изобретений мною проработаны и сданы на снабжение в ВВС. Последняя демонстрация показала о ряде еще изобретений, которые можно передать в промышленность.</w:t>
      </w:r>
    </w:p>
    <w:p w14:paraId="5F802D8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535F4B3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 эти изобретения и патенты я передаю безвозмездно для усиления боевой мощи Красной Армии и прошу о премировании ниже упомянутых товарищей, которые проявили лучшими ударниками по подготовке опытных экземпляров моих изобретений.</w:t>
      </w:r>
    </w:p>
    <w:p w14:paraId="09D464A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342629F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Прошу о премировании первых четырех автомобилями «Форд» и последних трех мотоциклами (6770, 34-35).</w:t>
      </w:r>
    </w:p>
    <w:p w14:paraId="3723E32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6CD6E5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июле 1931 Гроховский писал письмо зам. председателя и начальнику вооружения Тухачевскому:</w:t>
      </w:r>
    </w:p>
    <w:p w14:paraId="420FA58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июля 1931 года Вам была устроена демонстрация моих изобретений в области воздушной пехоты. Неудачу с воздушными мешками, велосипедами и с орудием я отношу к недостаточному количеству испытаний на самолетах, которые мне не давались и тормозились зам. начальника НИИ Фроловским …………………… (о борьбе института с ним – Гроховским).</w:t>
      </w:r>
    </w:p>
    <w:p w14:paraId="6D4EDBE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05560F6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Согласно программы демонстрации я должен был произвести прыжок вместе с автомобилем. В последний момент я изменил свое решение и произвел прыжок из автоматических кабин с командой воздушных бойцов. При сбрасывании автомобиля парашют не раскрылся и авто «Форд» был разбит. После демонстрации все мои объекты были арестованы зам. начальника НИИ Фроловским ……………….. Все это было сделано для того, чтобы выяснить на другой день состояние моих изобретений. Утром был вскрыт ангар, подсчитаны убытки и Фроловским было дано приказание сдать все объекты обратно мне.</w:t>
      </w:r>
    </w:p>
    <w:p w14:paraId="519A5D3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29F66BD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осмотра нераскрывшегося парашюта был установлен факт вредительства.</w:t>
      </w:r>
    </w:p>
    <w:p w14:paraId="6D9493D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77F86C6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Написанный мною труд «Книга воздушной пехоты», где я описываю свои конструкции мною была сдана редактору НИИ с таким расчетом, чтобы можно было ее отпечатать к демонстрации для передачи членам РВС. В последние дни выпуск книги без всякого основания был запрещен Дубенским.</w:t>
      </w:r>
    </w:p>
    <w:p w14:paraId="1064A33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7FD5193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Все эти факты и факты, описанные мною в письмах наркому Ворошилову делают работу мою невозможной, больше работать в таких условиях я не могу и сегодня мною был подан рапорт начальнику НИИ Дубенскому о снятии меня с должности начальника конструкторского отдела с переводом из НИИ на летную должность в строевую часть (6769, 29-31).</w:t>
      </w:r>
    </w:p>
    <w:p w14:paraId="2D35365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492B97" w14:textId="77777777" w:rsidR="00602635" w:rsidRPr="00142305" w:rsidRDefault="00602635" w:rsidP="0060263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июле 1931 г. Во время демонстрации новой техники заместителю нар</w:t>
      </w:r>
      <w:r w:rsidRPr="00142305">
        <w:rPr>
          <w:rFonts w:ascii="Times New Roman" w:hAnsi="Times New Roman"/>
          <w:color w:val="0070C0"/>
          <w:sz w:val="16"/>
          <w:szCs w:val="16"/>
        </w:rPr>
        <w:softHyphen/>
        <w:t>кома обороны М.Н. Тухачевскому Грохов</w:t>
      </w:r>
      <w:r w:rsidRPr="00142305">
        <w:rPr>
          <w:rFonts w:ascii="Times New Roman" w:hAnsi="Times New Roman"/>
          <w:color w:val="0070C0"/>
          <w:sz w:val="16"/>
          <w:szCs w:val="16"/>
        </w:rPr>
        <w:softHyphen/>
        <w:t>ский хотел приземлиться прямо в автомобиле и с форсом подъехать к трибуне с начальством. Но Тухачевский запре</w:t>
      </w:r>
      <w:r w:rsidRPr="00142305">
        <w:rPr>
          <w:rFonts w:ascii="Times New Roman" w:hAnsi="Times New Roman"/>
          <w:color w:val="0070C0"/>
          <w:sz w:val="16"/>
          <w:szCs w:val="16"/>
        </w:rPr>
        <w:softHyphen/>
        <w:t>тил рискованный номер. И, оказалось, не зря. Купол лоп</w:t>
      </w:r>
      <w:r w:rsidRPr="00142305">
        <w:rPr>
          <w:rFonts w:ascii="Times New Roman" w:hAnsi="Times New Roman"/>
          <w:color w:val="0070C0"/>
          <w:sz w:val="16"/>
          <w:szCs w:val="16"/>
        </w:rPr>
        <w:softHyphen/>
        <w:t>нул, машина грохнулась на колеса, которые полетели в раз</w:t>
      </w:r>
      <w:r w:rsidRPr="00142305">
        <w:rPr>
          <w:rFonts w:ascii="Times New Roman" w:hAnsi="Times New Roman"/>
          <w:color w:val="0070C0"/>
          <w:sz w:val="16"/>
          <w:szCs w:val="16"/>
        </w:rPr>
        <w:softHyphen/>
        <w:t>ные стороны. ОГПУ провело расследование, но вредителей не нашло. Подвеску Гроховского выпустили в нескольких экземплярах, предпочтя ее аналогичной конструкции ин</w:t>
      </w:r>
      <w:r w:rsidRPr="00142305">
        <w:rPr>
          <w:rFonts w:ascii="Times New Roman" w:hAnsi="Times New Roman"/>
          <w:color w:val="0070C0"/>
          <w:sz w:val="16"/>
          <w:szCs w:val="16"/>
        </w:rPr>
        <w:softHyphen/>
        <w:t>женера Благина (24977).</w:t>
      </w:r>
    </w:p>
    <w:p w14:paraId="0519E83F" w14:textId="77777777" w:rsidR="00602635" w:rsidRPr="00142305" w:rsidRDefault="00602635" w:rsidP="00602635">
      <w:pPr>
        <w:spacing w:after="0" w:line="240" w:lineRule="auto"/>
        <w:jc w:val="both"/>
        <w:rPr>
          <w:rFonts w:ascii="Times New Roman" w:hAnsi="Times New Roman"/>
          <w:color w:val="0070C0"/>
          <w:sz w:val="16"/>
          <w:szCs w:val="16"/>
        </w:rPr>
      </w:pPr>
    </w:p>
    <w:p w14:paraId="6D7255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июле 1931 на ХПЗ им Коминтерна по заданию УММ РККА началось проектирование 12 цилиндрового дизеля в 400 нр с использованием опыта АН-1 и АД-1 (3879,37).</w:t>
      </w:r>
    </w:p>
    <w:p w14:paraId="564E0F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BB9C9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июле 1931 г. лаборатория двигателей внутреннего сгорания в Харькове получила, как и ЦИАМ, на эскизный проект мощного авиационного дизеля. Небольшая лаборатория, насчитывавшая всего 45 сотрудников и шесть станков, выросла в Украинский научно-исследовательский авиадизельный институт (УНИАДИ), который возглавил Я.М. Майер, прежде заведовавший "подотделом тепловых двигателей" ХПЗ (9021).</w:t>
      </w:r>
    </w:p>
    <w:p w14:paraId="716F9C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1C65F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июле 1931 г. выдали задание на разработку дизеля Н-3 Лаборатории двигателей внутреннего сгорания (позднее УкрИДВС) в Харькове. Проектирование велось под руководством Я.М. Майера и Г.И. Аптекмана. Этот 12-цилиндровый V-образный дизель имел массу 650 кг, диаметр и ход поршня - 150 и 165 мм, соответственно. Опытный образец закончили постройкой только осенью 1934 г., дизель испытывался с декабря 1934 г. по июнь 1935 г. И хотя мощность двигателя оказалась ниже проектной (427 л.с.), значение этой работы трудно переоценить, поскольку именно эта конструкция легла в основу знаменитого танкового дизеля В-2. Двухтактный дизель Н-4 сконструировала в ХАИ группа профессора Цветкова. Разработку проекта завершили в 1934 г. По своим расчетным характеристикам Н-4 получался одним из лучших. Дизель Н-5 создавался арестованными "врагами народа" в Особом КБ НКВД при заводе № 24 в Москве. В работе участвовали Б.С. Стечкин, Н.Р. Брилинг и А.А. Бессонов. О степени "враждебности" арестантов свидетельствовало другое название двигателя - ФЭД-8 ("Феликс Эдмундович Дзержинский - восьмой"). 24-цилиндровый Х-образный дизель имел смешанное клапанно-щелевое газораспределение. Был изготовлен опытный образец, проходивший стендовые испытания. После ликвидации Особого бюро доводка ФЭД-8 продолжалась в ЦИАМ вплоть до 1934 г., но положительных результатов добиться не удалось. Другим образцом технического творчества заключенных являлся исключительно оригинальный дизель Н-6 (МСК), также спроектированный в Особом КБ НКВД Стечкиным и Курчевским (отсюда МСК - "Мотор Стечкина-Курчевского"). Двигатель имел необычное для звездообразной компоновки четное количество цилиндров - шесть, причем каждый из них обслуживался отдельным цилиндром шестицилиндрового поршневого компрессора (нагнетателя). В 1932 г. опытный образец МСК изготовили в мастерских ЦИАМ и подвергли стендовым испытаниям. Увы, и эта конструкция оказалась нежизнеспособной (9035).</w:t>
      </w:r>
    </w:p>
    <w:p w14:paraId="123982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35680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июле 1931 г. на самолете ТБ-1 смонтировали комплект из восьми укороченных балок Дер-13бис, сведенных в два "агрегата". Все это весило 149 кг. Испытания прошли удачно, но сочли, что столько бомбодержателей не нужно.</w:t>
      </w:r>
    </w:p>
    <w:p w14:paraId="68976E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Кассеты Дер-9 позволяли нести внутри фюзеляжа бомбы только сравнительно небольшого калибра. Те, что покрупнее, подвешивались на двух балках Дер-13 под центропланом. Максимально снаружи можно было брать две бомбы по 250 кг; грузоподъемность бомбардировщика при этом использовалась не полностью. Поэтому в НИИ ВВС вели эксперименты с новыми вариантами наружной подвески.</w:t>
      </w:r>
    </w:p>
    <w:p w14:paraId="1471F3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сначала попытались добавить две балки Дер-15 (под 500-кг бомбы) и две Дер-5 для мелких боеприпасов. Затем опробовали вариант из двух Дер-15 и двух Дер-16 (для 100-кг бомб).</w:t>
      </w:r>
    </w:p>
    <w:p w14:paraId="729EF4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феврале 1932 г. проверили конструкцию с четырьмя обычными Дер-13. Выбрали "золотую середину", ограничившись шестью балками, стоящими по три друг за другом и увязанными в единый съемный мост.</w:t>
      </w:r>
    </w:p>
    <w:p w14:paraId="57269B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Этот вариант был одобрен УВВС. Промышленности заказали партию мостов под обозначением Дер-13-6, которые ставились на бомбардировщики на заводах при ремонте или непосредственно в воинских частях. К середине августа 1932 г. успели модернизировать бомбовое вооружение на 75 машинах (12001).</w:t>
      </w:r>
    </w:p>
    <w:p w14:paraId="7F28B6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7F3D1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июле 1931 г. ВОМИЗу-250 представили на войсковые испытания, но выяснилось, что Остехбюро еще ни разу не сбрасывало ее с самолета. Поэтому войсковые испытания отложили, дав возможность ОТБ отладить конструкцию после опробования в воздухе. МАВ-2 испытывали в июле-октябре 1932 г. на Копейском озере, а затем в ноябре - в Копорском заливе. Полигонные испытания тогда прекратили из-за неудовлетворительной работы механизма расцепки мины и якоря. Конструкцию доработали и вновь испытывали в Финском заливе в июле-сентябре 1933 г. Тяжелую и громоздкую МАВ-2 поплавковый ТБ-1 а поднять не мог, колесный ТБ-1 взлетал с ней, но за счет значительного сокращения запаса горючего, а следовательно, уменьшения радиуса действия. Единственным полноценным носителем ВОМИЗы-250 являлся четырехмоторный ТБ-3. В ходе доработки вес мины уменьшили до 1330 кг. В 1934 г. промышленности запланировали выпуск 100 усовершенствованных МАВ-2. Позднее последовали новые заказы. Всего в 30-х годах изготовили около 200 таких мин. В 1936 г. производство, а точнее переделка, мин МАВ-1 и МАВ-2 было прекращено.</w:t>
      </w:r>
    </w:p>
    <w:p w14:paraId="3FC380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Мины, сбрасывавшиеся с парашютами, обладали двумя существенными недостатками: значительным временем спуска и большим отклонением от точки прицеливания, обусловленным сносом от ветра. Попытались обойтись без парашютов (12002).</w:t>
      </w:r>
    </w:p>
    <w:p w14:paraId="4A1C29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5828E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июле 1931 П.И.Б. был назначен членом Президиума ВСНХ СССР и начальником ВАО (373,79).</w:t>
      </w:r>
    </w:p>
    <w:p w14:paraId="6CAFC5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E49B2F3"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5C62EC9E"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A1C4928" w14:textId="77777777" w:rsidR="00EC6BCC" w:rsidRPr="005E779E" w:rsidRDefault="00EC6BC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июле-августе 1931 г. на Научном исследовательском артиллерийском полигоне (НИАП) проведена стрельба с целью подбора зарядов к Б-4 (15132).</w:t>
      </w:r>
    </w:p>
    <w:p w14:paraId="0A2F629E" w14:textId="77777777" w:rsidR="00EC6BCC" w:rsidRPr="005E779E" w:rsidRDefault="00EC6BCC" w:rsidP="000B7A6C">
      <w:pPr>
        <w:spacing w:after="0" w:line="240" w:lineRule="auto"/>
        <w:jc w:val="both"/>
        <w:rPr>
          <w:rFonts w:ascii="Times New Roman" w:hAnsi="Times New Roman"/>
          <w:color w:val="000000" w:themeColor="text1"/>
          <w:sz w:val="16"/>
          <w:szCs w:val="16"/>
        </w:rPr>
      </w:pPr>
    </w:p>
    <w:p w14:paraId="56E70E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июле 1931 к концу испытаний Т-12 на полигон доставили Т-24 с новым корпусом. Всего изготовили 3 (4243,23).</w:t>
      </w:r>
    </w:p>
    <w:p w14:paraId="7915F3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A3734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июле 1931 года на НИАПе был испытан стрельбой на танке ТГ опытный образец пушки ТГ, изготовленный на заводе "Большевик". В 30-е годы при проектировании тяжелых и средних танков конструкторы не могли удержаться от соблазна поставить в танк 76-мм зенитную пушку обр. 1914/15 г. системы Лендера. Качающаяся часть этой пушки отличалась от 76-мм пушки обр. 1902 года наличием вертикального клинового полуавтоматического затвора и, соответственно, большей скорострельностью. Первым пушку Лендера установил на танке ТГ немецкий конструктор Гроте. Модернизированная им пушка получила индекс ТГ. В целом испытания пушки ТГ прошли удачно, но танк был забракован (3861).</w:t>
      </w:r>
    </w:p>
    <w:p w14:paraId="12EBA6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41A3E11" w14:textId="77777777" w:rsidR="00602635" w:rsidRPr="00142305" w:rsidRDefault="00602635" w:rsidP="00602635">
      <w:pPr>
        <w:spacing w:after="0" w:line="240" w:lineRule="auto"/>
        <w:jc w:val="both"/>
        <w:rPr>
          <w:rStyle w:val="aff0"/>
          <w:rFonts w:ascii="Times New Roman" w:hAnsi="Times New Roman" w:cs="Times New Roman"/>
          <w:color w:val="0070C0"/>
          <w:spacing w:val="0"/>
          <w:sz w:val="16"/>
          <w:szCs w:val="16"/>
        </w:rPr>
      </w:pPr>
      <w:r w:rsidRPr="00142305">
        <w:rPr>
          <w:rStyle w:val="aff0"/>
          <w:rFonts w:ascii="Times New Roman" w:hAnsi="Times New Roman" w:cs="Times New Roman"/>
          <w:color w:val="0070C0"/>
          <w:spacing w:val="0"/>
          <w:sz w:val="16"/>
          <w:szCs w:val="16"/>
        </w:rPr>
        <w:t>В июле 1931 г. на НИАПе испытывался опытный образец пушки ТГ, который был изготовлен на заводе «Большевик». Пушка ТЮ представляла собой 76-мм зенитную пушку обр. 1914/15 г. системы Лендера, у которой качающаяся часть отличалась от 76-мм пушки обр. 1902 г. наличием вертикального клинового полуавтоматического затвора и соответственно большей скорострельностью.</w:t>
      </w:r>
    </w:p>
    <w:p w14:paraId="6DCBDCE0" w14:textId="77777777" w:rsidR="00602635" w:rsidRPr="00142305" w:rsidRDefault="00602635" w:rsidP="00602635">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В целом испытания пушки ТГ прошли удачно, но танк был забракован (25440).</w:t>
      </w:r>
    </w:p>
    <w:p w14:paraId="40E58140" w14:textId="77777777" w:rsidR="00602635" w:rsidRPr="00142305" w:rsidRDefault="00602635" w:rsidP="00602635">
      <w:pPr>
        <w:spacing w:after="0" w:line="240" w:lineRule="auto"/>
        <w:jc w:val="both"/>
        <w:rPr>
          <w:rFonts w:ascii="Times New Roman" w:hAnsi="Times New Roman"/>
          <w:color w:val="0070C0"/>
          <w:sz w:val="16"/>
          <w:szCs w:val="16"/>
        </w:rPr>
      </w:pPr>
    </w:p>
    <w:p w14:paraId="755535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июле 1931 под председательством Тухачевского и с участием И.Т.Смилги и Мартиновича, представлявших ВССНХ, а также А.И.Егорова, И.А.Халепского и Лд.Будняка, представлявших НКВМ, состоялось заседание по производству танков, на котором были установлены показатели производства на 1931 и 1932. Идея Тухачевского по использованию новых мощностей авто и тракторной промышленности одержала верх. Исхоодя из мощности ГАЗ в 140000 автомашин в военное время можно было выпустить 28000-35000 танкеток, а на СТЗ - до 12000 легких танков Т-26 (9089,154).</w:t>
      </w:r>
    </w:p>
    <w:p w14:paraId="60E4B5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10510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июле 1931 КБ № 3 ВОАО под руководством С.А.Гинзбурга был разработан танк Т-28 (прототип 2) (9527,134).</w:t>
      </w:r>
    </w:p>
    <w:p w14:paraId="7A4F09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5312D0B" w14:textId="77777777" w:rsidR="00EC6BCC" w:rsidRPr="005E779E" w:rsidRDefault="00EC6BC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июле 1931 г. КБ под руководством Гинзбурга представило проект танка под индексом Т-28. В пояснительной записке говорилось, что в основу проекта положены следующие ТТТ:</w:t>
      </w:r>
    </w:p>
    <w:p w14:paraId="0A99EAD2" w14:textId="2FF995D7" w:rsidR="00EC6BCC" w:rsidRPr="005E779E" w:rsidRDefault="00EC6BC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Спроектировать танк среднего веса — 16 т.</w:t>
      </w:r>
    </w:p>
    <w:p w14:paraId="4DD23C60" w14:textId="427511F3" w:rsidR="00EC6BCC" w:rsidRPr="005E779E" w:rsidRDefault="00EC6BC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Положить в основу конструкции 16-тонного танка опыт отечественного танкостроения.</w:t>
      </w:r>
    </w:p>
    <w:p w14:paraId="156310A9" w14:textId="17EACD89" w:rsidR="00EC6BCC" w:rsidRPr="005E779E" w:rsidRDefault="00EC6BC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В основу общего расположения агрегатов положить конструкцию 16-тонного танка «Виккерс».</w:t>
      </w:r>
    </w:p>
    <w:p w14:paraId="1482D872" w14:textId="77777777" w:rsidR="00EC6BCC" w:rsidRPr="005E779E" w:rsidRDefault="00EC6BC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Исходя из расчётов, в танке предполагалось установить мотор М-5 в 400 л. с. В ходе работы над опытным образцом в конструкцию танка вносили изменения: вместо двигателя М5 установили более мощный М17 в 500 л. с., вместо 45-мм орудия (из-за его отсутствия) установили 37-мм пушку ПС-2, машину изготовили из обычной (небронированной) стали (15132).</w:t>
      </w:r>
    </w:p>
    <w:p w14:paraId="7AB657F7" w14:textId="77777777" w:rsidR="00EC6BCC" w:rsidRPr="005E779E" w:rsidRDefault="00EC6BCC" w:rsidP="000B7A6C">
      <w:pPr>
        <w:spacing w:after="0" w:line="240" w:lineRule="auto"/>
        <w:jc w:val="both"/>
        <w:rPr>
          <w:rFonts w:ascii="Times New Roman" w:hAnsi="Times New Roman"/>
          <w:color w:val="000000" w:themeColor="text1"/>
          <w:sz w:val="16"/>
          <w:szCs w:val="16"/>
        </w:rPr>
      </w:pPr>
    </w:p>
    <w:p w14:paraId="3ED15372" w14:textId="77777777" w:rsidR="00602635" w:rsidRPr="00142305" w:rsidRDefault="00602635" w:rsidP="0060263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июле 1931 года оба проекта 16-тонного танка были готовы. Проект академии отличался от «Виккерса» более мощным двигателем (предполагалось установить М-5) и ходовой частью с тремя тележками от танка Т-26, что, по мнению проектировщиков, должно было облегчить серийное производство. КБ ВОАО представило проект танка под индексом Т-28. Его основными разработчиками были начальник КБ С. Гинзбург, заместитель начальника В. Заславский и инженеры-конструкторы О. Иванов и А. Гаккель. В пояснительной записке к Т-28 говорилось:</w:t>
      </w:r>
    </w:p>
    <w:p w14:paraId="7F7B20F7" w14:textId="77777777" w:rsidR="00602635" w:rsidRPr="00142305" w:rsidRDefault="00602635" w:rsidP="0060263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основу проекта положены следующие тактико-технические требования:</w:t>
      </w:r>
    </w:p>
    <w:p w14:paraId="31AC9ACB" w14:textId="77777777" w:rsidR="00602635" w:rsidRPr="00142305" w:rsidRDefault="00602635" w:rsidP="0060263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Спроектировать танк среднего веса 16000 кг – с большим радиусом действия для мехсоединений.</w:t>
      </w:r>
    </w:p>
    <w:p w14:paraId="45BB2959" w14:textId="77777777" w:rsidR="00602635" w:rsidRPr="00142305" w:rsidRDefault="00602635" w:rsidP="0060263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Положить в основу конструкции 16-тонного танка опыт испытания танков в ТЕКО и отечественный опыт танкостроения.</w:t>
      </w:r>
    </w:p>
    <w:p w14:paraId="382E1FBD" w14:textId="77777777" w:rsidR="00602635" w:rsidRPr="00142305" w:rsidRDefault="00602635" w:rsidP="0060263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основу общего расположения агрегатов положена конструкция 16-тонного танка «Виккерс».</w:t>
      </w:r>
    </w:p>
    <w:p w14:paraId="5C84586B" w14:textId="77777777" w:rsidR="00602635" w:rsidRPr="00142305" w:rsidRDefault="00602635" w:rsidP="0060263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Исходя из расчетов в танке предполагается установить мотор М-5 в 400 л.с. с теми же доделками, что и для БТ, коробку скоростей по типу Т-26 и бортовые фрикционы конструкции Кристи. Движитель по компоновке типа 16-тонного «Виккерса», гусеничная цепь по типу Т-26 с шириной, доведенной до 380 мм. Нижняя подвеска спроектирована в основном по типу танка фирмы «Крупп» в ТЕКО и состоит из следующих частей: гусеничной рамы (коробки), приклепанной к бортовой бронекорпуса со съемной стенкой, открывающейся в виде трех дверец. Внутри этой коробки монтируется вся нижняя подвеска и ящик для запасных частей объемом в 1/4 м3 (на борт).</w:t>
      </w:r>
    </w:p>
    <w:p w14:paraId="5C40FB01" w14:textId="77777777" w:rsidR="00602635" w:rsidRPr="00142305" w:rsidRDefault="00602635" w:rsidP="0060263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Система подвески спроектирована в виде 2-х тележек на каждую сторону. Каждая тележка имеет по три свечи с двумя парами катков, связанных между собой двумя парами балансиров.</w:t>
      </w:r>
    </w:p>
    <w:p w14:paraId="43EA320D" w14:textId="77777777" w:rsidR="00602635" w:rsidRPr="00142305" w:rsidRDefault="00602635" w:rsidP="0060263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Корпус – вертикальная броня 16–17 мм, листы носа 20 мм, крыша 10 мм, дно 8 мм.</w:t>
      </w:r>
    </w:p>
    <w:p w14:paraId="0A8EEAA7" w14:textId="77777777" w:rsidR="00602635" w:rsidRPr="00142305" w:rsidRDefault="00602635" w:rsidP="0060263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Большая башня проектируется со спаренной установкой 45 мм пушки и пулемета ДТ, по типу установленной на танке БТ, с механическим приводом вращения и перископическим прицелом. Параллельно разрабатывается башня с комбинированным механизмом вращения – механико-электрическим. Конструкция малых башен по типу танка Т-26 с пулеметами ДТ» (24998).</w:t>
      </w:r>
    </w:p>
    <w:p w14:paraId="27CCB88D" w14:textId="77777777" w:rsidR="00602635" w:rsidRPr="00142305" w:rsidRDefault="00602635" w:rsidP="0060263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марте 1936 г. Нор</w:t>
      </w:r>
      <w:r w:rsidRPr="00142305">
        <w:rPr>
          <w:rFonts w:ascii="Times New Roman" w:hAnsi="Times New Roman"/>
          <w:color w:val="0070C0"/>
          <w:sz w:val="16"/>
          <w:szCs w:val="16"/>
        </w:rPr>
        <w:softHyphen/>
        <w:t>троп приступил к работе над новым штурмовиком. Проект, названный «модель 7» (позже его стали называть «модель 7А»), первоначально создавался как личная инициатива, без како</w:t>
      </w:r>
      <w:r w:rsidRPr="00142305">
        <w:rPr>
          <w:rFonts w:ascii="Times New Roman" w:hAnsi="Times New Roman"/>
          <w:color w:val="0070C0"/>
          <w:sz w:val="16"/>
          <w:szCs w:val="16"/>
        </w:rPr>
        <w:softHyphen/>
        <w:t>го-либо задания. Работали над ним сам Джек Нортроп и ведущий конструктор Эд Хсйне- ман, впоследствии тоже ставший весьма из</w:t>
      </w:r>
      <w:r w:rsidRPr="00142305">
        <w:rPr>
          <w:rFonts w:ascii="Times New Roman" w:hAnsi="Times New Roman"/>
          <w:color w:val="0070C0"/>
          <w:sz w:val="16"/>
          <w:szCs w:val="16"/>
        </w:rPr>
        <w:softHyphen/>
        <w:t>вестным. На чертежах появился изящный цельнометаллический свободнонесуший мо</w:t>
      </w:r>
      <w:r w:rsidRPr="00142305">
        <w:rPr>
          <w:rFonts w:ascii="Times New Roman" w:hAnsi="Times New Roman"/>
          <w:color w:val="0070C0"/>
          <w:sz w:val="16"/>
          <w:szCs w:val="16"/>
        </w:rPr>
        <w:softHyphen/>
        <w:t>ноплан с двумя звездообразными моторами Пратт-Уитни R-985 «Уосп Джуниор» мощ</w:t>
      </w:r>
      <w:r w:rsidRPr="00142305">
        <w:rPr>
          <w:rFonts w:ascii="Times New Roman" w:hAnsi="Times New Roman"/>
          <w:color w:val="0070C0"/>
          <w:sz w:val="16"/>
          <w:szCs w:val="16"/>
        </w:rPr>
        <w:softHyphen/>
        <w:t>ностью по 425 л.с. Конструкторы избрали классическую аэродинамическую схему, но в духе времени внесли в проект множество но</w:t>
      </w:r>
      <w:r w:rsidRPr="00142305">
        <w:rPr>
          <w:rFonts w:ascii="Times New Roman" w:hAnsi="Times New Roman"/>
          <w:color w:val="0070C0"/>
          <w:sz w:val="16"/>
          <w:szCs w:val="16"/>
        </w:rPr>
        <w:softHyphen/>
        <w:t>винок. Гладкая обшивка, полностью закры</w:t>
      </w:r>
      <w:r w:rsidRPr="00142305">
        <w:rPr>
          <w:rFonts w:ascii="Times New Roman" w:hAnsi="Times New Roman"/>
          <w:color w:val="0070C0"/>
          <w:sz w:val="16"/>
          <w:szCs w:val="16"/>
        </w:rPr>
        <w:softHyphen/>
        <w:t>тые кабины экипажа, винты-автоматы. Верх</w:t>
      </w:r>
      <w:r w:rsidRPr="00142305">
        <w:rPr>
          <w:rFonts w:ascii="Times New Roman" w:hAnsi="Times New Roman"/>
          <w:color w:val="0070C0"/>
          <w:sz w:val="16"/>
          <w:szCs w:val="16"/>
        </w:rPr>
        <w:softHyphen/>
        <w:t>няя турель имела два положения: полетное (втянутое) и боевое (поднятое). Но самым необычным выглядело шасси. Уборка колес в полете тогда была уже не новостью; у «мо</w:t>
      </w:r>
      <w:r w:rsidRPr="00142305">
        <w:rPr>
          <w:rFonts w:ascii="Times New Roman" w:hAnsi="Times New Roman"/>
          <w:color w:val="0070C0"/>
          <w:sz w:val="16"/>
          <w:szCs w:val="16"/>
        </w:rPr>
        <w:softHyphen/>
        <w:t>дели 7» шасси в воздухе убиралось гидропри</w:t>
      </w:r>
      <w:r w:rsidRPr="00142305">
        <w:rPr>
          <w:rFonts w:ascii="Times New Roman" w:hAnsi="Times New Roman"/>
          <w:color w:val="0070C0"/>
          <w:sz w:val="16"/>
          <w:szCs w:val="16"/>
        </w:rPr>
        <w:softHyphen/>
        <w:t>водом. Зато оно было трехколесным! (24998).</w:t>
      </w:r>
    </w:p>
    <w:p w14:paraId="73D0AF51" w14:textId="77777777" w:rsidR="00602635" w:rsidRPr="00142305" w:rsidRDefault="00602635" w:rsidP="00602635">
      <w:pPr>
        <w:spacing w:after="0" w:line="240" w:lineRule="auto"/>
        <w:jc w:val="both"/>
        <w:rPr>
          <w:rFonts w:ascii="Times New Roman" w:hAnsi="Times New Roman"/>
          <w:color w:val="0070C0"/>
          <w:sz w:val="16"/>
          <w:szCs w:val="16"/>
        </w:rPr>
      </w:pPr>
    </w:p>
    <w:p w14:paraId="405994A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июле 1931 г. оба проекта (ТТКБ ВОАО Гинзбурга и ВТА Дзержинского) в целом были готовы. Про</w:t>
      </w:r>
      <w:r w:rsidRPr="005E779E">
        <w:rPr>
          <w:rFonts w:ascii="Times New Roman" w:hAnsi="Times New Roman"/>
          <w:color w:val="000000" w:themeColor="text1"/>
          <w:sz w:val="16"/>
          <w:szCs w:val="16"/>
        </w:rPr>
        <w:softHyphen/>
        <w:t>ект ВОАО выглядел следующим образом:</w:t>
      </w:r>
    </w:p>
    <w:p w14:paraId="47A93A5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«КРАТКАЯ ПОЯСНИТЕЛЬНАЯ ЗАПИСКАК ПРЕДВАРИТЕЛЬНОМУ ПРОЭКТУ 16-ти тонного ТАНКА Т-28.</w:t>
      </w:r>
    </w:p>
    <w:p w14:paraId="4230DE3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Общие основания</w:t>
      </w:r>
    </w:p>
    <w:p w14:paraId="67CAF64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основу проэкта положены следующие тактико-техни</w:t>
      </w:r>
      <w:r w:rsidRPr="005E779E">
        <w:rPr>
          <w:rFonts w:ascii="Times New Roman" w:hAnsi="Times New Roman"/>
          <w:color w:val="000000" w:themeColor="text1"/>
          <w:sz w:val="16"/>
          <w:szCs w:val="16"/>
        </w:rPr>
        <w:softHyphen/>
        <w:t>ческие требования:</w:t>
      </w:r>
    </w:p>
    <w:p w14:paraId="705697A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Спроэктировать танк среднего веса/16000 тонн/с боль</w:t>
      </w:r>
      <w:r w:rsidRPr="005E779E">
        <w:rPr>
          <w:rFonts w:ascii="Times New Roman" w:hAnsi="Times New Roman"/>
          <w:color w:val="000000" w:themeColor="text1"/>
          <w:sz w:val="16"/>
          <w:szCs w:val="16"/>
        </w:rPr>
        <w:softHyphen/>
        <w:t>шим радиусом действия для механизированных соединений.</w:t>
      </w:r>
    </w:p>
    <w:p w14:paraId="45057CD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Положить в основу конструкции «16-ти тонный танк» Виккерса опыт танков в ТЕКО и отечественный опыт танкостроения.</w:t>
      </w:r>
    </w:p>
    <w:p w14:paraId="7E926E4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Общие данные к проэкту.</w:t>
      </w:r>
    </w:p>
    <w:p w14:paraId="529ECDB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Общая компановка танка.</w:t>
      </w:r>
    </w:p>
    <w:p w14:paraId="31472A5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основу общего расположения аггрегатов, вооружения и об»емов положена конструкция «16-ти тонного танка Вик</w:t>
      </w:r>
      <w:r w:rsidRPr="005E779E">
        <w:rPr>
          <w:rFonts w:ascii="Times New Roman" w:hAnsi="Times New Roman"/>
          <w:color w:val="000000" w:themeColor="text1"/>
          <w:sz w:val="16"/>
          <w:szCs w:val="16"/>
        </w:rPr>
        <w:softHyphen/>
        <w:t>керса».</w:t>
      </w:r>
    </w:p>
    <w:p w14:paraId="122F45C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носовой части танка находится место водителя, по сторонам от водителя и несколько сзади расположены две пу</w:t>
      </w:r>
      <w:r w:rsidRPr="005E779E">
        <w:rPr>
          <w:rFonts w:ascii="Times New Roman" w:hAnsi="Times New Roman"/>
          <w:color w:val="000000" w:themeColor="text1"/>
          <w:sz w:val="16"/>
          <w:szCs w:val="16"/>
        </w:rPr>
        <w:softHyphen/>
        <w:t>леметные башни; за пулеметными башнями расположена большая башня.</w:t>
      </w:r>
    </w:p>
    <w:p w14:paraId="3A94FA2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Боевое помещение отделяется от моторного перегород</w:t>
      </w:r>
      <w:r w:rsidRPr="005E779E">
        <w:rPr>
          <w:rFonts w:ascii="Times New Roman" w:hAnsi="Times New Roman"/>
          <w:color w:val="000000" w:themeColor="text1"/>
          <w:sz w:val="16"/>
          <w:szCs w:val="16"/>
        </w:rPr>
        <w:softHyphen/>
        <w:t>кой, в которой имеется дверка для доступа к мотору изнут</w:t>
      </w:r>
      <w:r w:rsidRPr="005E779E">
        <w:rPr>
          <w:rFonts w:ascii="Times New Roman" w:hAnsi="Times New Roman"/>
          <w:color w:val="000000" w:themeColor="text1"/>
          <w:sz w:val="16"/>
          <w:szCs w:val="16"/>
        </w:rPr>
        <w:softHyphen/>
        <w:t>ри танка.</w:t>
      </w:r>
    </w:p>
    <w:p w14:paraId="004C69C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кормовой части танка, отделенной перегородкой от моторного помещения располагается коробка скоростей, бор</w:t>
      </w:r>
      <w:r w:rsidRPr="005E779E">
        <w:rPr>
          <w:rFonts w:ascii="Times New Roman" w:hAnsi="Times New Roman"/>
          <w:color w:val="000000" w:themeColor="text1"/>
          <w:sz w:val="16"/>
          <w:szCs w:val="16"/>
        </w:rPr>
        <w:softHyphen/>
        <w:t>товые фрикционы и бортовая передача, по обеим сторонам коробки скоростей по бортам располагаются бензиновые ба</w:t>
      </w:r>
      <w:r w:rsidRPr="005E779E">
        <w:rPr>
          <w:rFonts w:ascii="Times New Roman" w:hAnsi="Times New Roman"/>
          <w:color w:val="000000" w:themeColor="text1"/>
          <w:sz w:val="16"/>
          <w:szCs w:val="16"/>
        </w:rPr>
        <w:softHyphen/>
        <w:t>ки, изолированные броневыми перегородками.</w:t>
      </w:r>
    </w:p>
    <w:p w14:paraId="0E81D99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Моторная установка</w:t>
      </w:r>
    </w:p>
    <w:p w14:paraId="2684825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Исходя из данных тягового расчета в танке устанавли</w:t>
      </w:r>
      <w:r w:rsidRPr="005E779E">
        <w:rPr>
          <w:rFonts w:ascii="Times New Roman" w:hAnsi="Times New Roman"/>
          <w:color w:val="000000" w:themeColor="text1"/>
          <w:sz w:val="16"/>
          <w:szCs w:val="16"/>
        </w:rPr>
        <w:softHyphen/>
        <w:t>вается мотор типа М5-400 с теми же доделками, что и для танка Б-Т.</w:t>
      </w:r>
    </w:p>
    <w:p w14:paraId="4488423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Расположение мотора и конструкция водяного охлажде</w:t>
      </w:r>
      <w:r w:rsidRPr="005E779E">
        <w:rPr>
          <w:rFonts w:ascii="Times New Roman" w:hAnsi="Times New Roman"/>
          <w:color w:val="000000" w:themeColor="text1"/>
          <w:sz w:val="16"/>
          <w:szCs w:val="16"/>
        </w:rPr>
        <w:softHyphen/>
        <w:t>ния по типу Кристи.</w:t>
      </w:r>
    </w:p>
    <w:p w14:paraId="3A5FF28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Радиаторы несколько раздвинуты с целью получения дос</w:t>
      </w:r>
      <w:r w:rsidRPr="005E779E">
        <w:rPr>
          <w:rFonts w:ascii="Times New Roman" w:hAnsi="Times New Roman"/>
          <w:color w:val="000000" w:themeColor="text1"/>
          <w:sz w:val="16"/>
          <w:szCs w:val="16"/>
        </w:rPr>
        <w:softHyphen/>
        <w:t>тупа к мотору изнутри.</w:t>
      </w:r>
    </w:p>
    <w:p w14:paraId="0DE8A6C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Направление потока охлаждающего воздуха тоже по типу «Кристи», а именно — воздух засасывается вентилятором через I радиаторы сверху и выталкивается назад через корму, омывая по дороге трансмиссию, выхлопные патрубки и глушитель. -</w:t>
      </w:r>
    </w:p>
    <w:p w14:paraId="3153B3F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Конструкция вентилятора и главного сцепления мотора типа «Кристи», считая принятую систему водяного охлажде</w:t>
      </w:r>
      <w:r w:rsidRPr="005E779E">
        <w:rPr>
          <w:rFonts w:ascii="Times New Roman" w:hAnsi="Times New Roman"/>
          <w:color w:val="000000" w:themeColor="text1"/>
          <w:sz w:val="16"/>
          <w:szCs w:val="16"/>
        </w:rPr>
        <w:softHyphen/>
        <w:t>ния наиболее надежной в процессе дальнейшей разработки и де</w:t>
      </w:r>
      <w:r w:rsidRPr="005E779E">
        <w:rPr>
          <w:rFonts w:ascii="Times New Roman" w:hAnsi="Times New Roman"/>
          <w:color w:val="000000" w:themeColor="text1"/>
          <w:sz w:val="16"/>
          <w:szCs w:val="16"/>
        </w:rPr>
        <w:softHyphen/>
        <w:t>талировки проэкта будет спроектирована и испытана также система с более мощным вентилятором «СИРОККО».</w:t>
      </w:r>
    </w:p>
    <w:p w14:paraId="732B7B4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Трансмиссия</w:t>
      </w:r>
    </w:p>
    <w:p w14:paraId="6625DC6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продолжении оси коленчатого вала сзади мотора уста</w:t>
      </w:r>
      <w:r w:rsidRPr="005E779E">
        <w:rPr>
          <w:rFonts w:ascii="Times New Roman" w:hAnsi="Times New Roman"/>
          <w:color w:val="000000" w:themeColor="text1"/>
          <w:sz w:val="16"/>
          <w:szCs w:val="16"/>
        </w:rPr>
        <w:softHyphen/>
        <w:t>новлена коробка скоростей нормального шестеренчатого типа с валами параллельно продольной оси танка. Общая схема трансмиссии проделана по схеме «16-ти тонного танка Вик-керса» и Т-26. Бортовые фрикционы конструкции Кристи...</w:t>
      </w:r>
    </w:p>
    <w:p w14:paraId="5585A53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Движитель</w:t>
      </w:r>
    </w:p>
    <w:p w14:paraId="031F757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Спроэктирован по общей компановке по типу «16-ти тонного танка Виккерса», т.е. принято ведущее колесо зад</w:t>
      </w:r>
      <w:r w:rsidRPr="005E779E">
        <w:rPr>
          <w:rFonts w:ascii="Times New Roman" w:hAnsi="Times New Roman"/>
          <w:color w:val="000000" w:themeColor="text1"/>
          <w:sz w:val="16"/>
          <w:szCs w:val="16"/>
        </w:rPr>
        <w:softHyphen/>
        <w:t>ним, подвеска на свечах в гусеничной раме (коробке) и жест</w:t>
      </w:r>
      <w:r w:rsidRPr="005E779E">
        <w:rPr>
          <w:rFonts w:ascii="Times New Roman" w:hAnsi="Times New Roman"/>
          <w:color w:val="000000" w:themeColor="text1"/>
          <w:sz w:val="16"/>
          <w:szCs w:val="16"/>
        </w:rPr>
        <w:softHyphen/>
        <w:t>кая верхняя подвеска на катках.</w:t>
      </w:r>
    </w:p>
    <w:p w14:paraId="68E9105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гусеничная цепь типа Т-26 с шириной доведенной от 300 мм до 380 мм./подобно танкам в ТЕКО/, с целью понижения удельного давления до 0,4 кгр. на кв. см. Шаг звена принят в 130 мм. Высота направляющего гребня спроэктирована в 80 мм. Способ производственного выполнения тот же, что ц Т-26.</w:t>
      </w:r>
    </w:p>
    <w:p w14:paraId="5024E4D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ведущие колеса типа Т-26, но с усиленными зубчатыми венцами.</w:t>
      </w:r>
    </w:p>
    <w:p w14:paraId="326B4FD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в/ленивец/холостое колесо/подрезиненный со с»емными бандажами и аммортизаторами натяжения простого ком</w:t>
      </w:r>
      <w:r w:rsidRPr="005E779E">
        <w:rPr>
          <w:rFonts w:ascii="Times New Roman" w:hAnsi="Times New Roman"/>
          <w:color w:val="000000" w:themeColor="text1"/>
          <w:sz w:val="16"/>
          <w:szCs w:val="16"/>
        </w:rPr>
        <w:softHyphen/>
        <w:t>пактного типа на кривошипе: Подрезинивание ленивца необ</w:t>
      </w:r>
      <w:r w:rsidRPr="005E779E">
        <w:rPr>
          <w:rFonts w:ascii="Times New Roman" w:hAnsi="Times New Roman"/>
          <w:color w:val="000000" w:themeColor="text1"/>
          <w:sz w:val="16"/>
          <w:szCs w:val="16"/>
        </w:rPr>
        <w:softHyphen/>
        <w:t>ходимо вследствие большой скорости движения и значитель</w:t>
      </w:r>
      <w:r w:rsidRPr="005E779E">
        <w:rPr>
          <w:rFonts w:ascii="Times New Roman" w:hAnsi="Times New Roman"/>
          <w:color w:val="000000" w:themeColor="text1"/>
          <w:sz w:val="16"/>
          <w:szCs w:val="16"/>
        </w:rPr>
        <w:softHyphen/>
        <w:t>ного веса гусениц танка.</w:t>
      </w:r>
    </w:p>
    <w:p w14:paraId="59E3A9A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верхняя подвеска с жесткими подрезиненными катками укреплена кронштейнами на бортах корпуса. Подвеска сдела</w:t>
      </w:r>
      <w:r w:rsidRPr="005E779E">
        <w:rPr>
          <w:rFonts w:ascii="Times New Roman" w:hAnsi="Times New Roman"/>
          <w:color w:val="000000" w:themeColor="text1"/>
          <w:sz w:val="16"/>
          <w:szCs w:val="16"/>
        </w:rPr>
        <w:softHyphen/>
        <w:t>на по типу Т-26 и 16-ти тооного танка Виккерса.</w:t>
      </w:r>
    </w:p>
    <w:p w14:paraId="0DEF3EE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 нижняя подвеска — спроэктирована в основном по типу «Танка КР в ТЕКО». На каждой стороне состоит из несколь</w:t>
      </w:r>
      <w:r w:rsidRPr="005E779E">
        <w:rPr>
          <w:rFonts w:ascii="Times New Roman" w:hAnsi="Times New Roman"/>
          <w:color w:val="000000" w:themeColor="text1"/>
          <w:sz w:val="16"/>
          <w:szCs w:val="16"/>
        </w:rPr>
        <w:softHyphen/>
        <w:t>ких деталей: Гусеничной рамы /коробки/, приклепанной к бор</w:t>
      </w:r>
      <w:r w:rsidRPr="005E779E">
        <w:rPr>
          <w:rFonts w:ascii="Times New Roman" w:hAnsi="Times New Roman"/>
          <w:color w:val="000000" w:themeColor="text1"/>
          <w:sz w:val="16"/>
          <w:szCs w:val="16"/>
        </w:rPr>
        <w:softHyphen/>
        <w:t>товой броне корпуса, со с»емной стенкой/открывается в виде трех дверец/. Внутри этой коробки монтируется вся ниж</w:t>
      </w:r>
      <w:r w:rsidRPr="005E779E">
        <w:rPr>
          <w:rFonts w:ascii="Times New Roman" w:hAnsi="Times New Roman"/>
          <w:color w:val="000000" w:themeColor="text1"/>
          <w:sz w:val="16"/>
          <w:szCs w:val="16"/>
        </w:rPr>
        <w:softHyphen/>
        <w:t>няя подвеска и ящик для запчастей и инструмента об»емом в 1/8 куб метра /на обе стороны в 1/4 куб. метра/. После уста</w:t>
      </w:r>
      <w:r w:rsidRPr="005E779E">
        <w:rPr>
          <w:rFonts w:ascii="Times New Roman" w:hAnsi="Times New Roman"/>
          <w:color w:val="000000" w:themeColor="text1"/>
          <w:sz w:val="16"/>
          <w:szCs w:val="16"/>
        </w:rPr>
        <w:softHyphen/>
        <w:t>новки всех, деталей закрытая наглухо коробка изолирует пол</w:t>
      </w:r>
      <w:r w:rsidRPr="005E779E">
        <w:rPr>
          <w:rFonts w:ascii="Times New Roman" w:hAnsi="Times New Roman"/>
          <w:color w:val="000000" w:themeColor="text1"/>
          <w:sz w:val="16"/>
          <w:szCs w:val="16"/>
        </w:rPr>
        <w:softHyphen/>
        <w:t>ностью наиболее уязвимые детали подвески от попадания грязи и повреждений...</w:t>
      </w:r>
    </w:p>
    <w:p w14:paraId="2E4C433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Система подвески. Спроэктирована в виде двух тележек на каждую сторону. Каждая тележка имеет по три свечи, с двумя парами катков, связанных между собой двумя парами балансиров, согласно схемы ниже.</w:t>
      </w:r>
    </w:p>
    <w:p w14:paraId="3EBA4F2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Такая конструкция подвески и тележек обладает следу</w:t>
      </w:r>
      <w:r w:rsidRPr="005E779E">
        <w:rPr>
          <w:rFonts w:ascii="Times New Roman" w:hAnsi="Times New Roman"/>
          <w:color w:val="000000" w:themeColor="text1"/>
          <w:sz w:val="16"/>
          <w:szCs w:val="16"/>
        </w:rPr>
        <w:softHyphen/>
        <w:t>ющими достоинствами...</w:t>
      </w:r>
    </w:p>
    <w:p w14:paraId="0C7C107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Подъем одного из катков тележки на препятствии уравнивается перемещениями других катков таки образом, что центр тяжести машины перемещается вверх всего на 1/15 высоты перемещения катков на препятствии./в тележке Т-26 эта величина составляет 1/8/, что делает машину чрезвычайно элластичной при движении по пересеченной мес</w:t>
      </w:r>
      <w:r w:rsidRPr="005E779E">
        <w:rPr>
          <w:rFonts w:ascii="Times New Roman" w:hAnsi="Times New Roman"/>
          <w:color w:val="000000" w:themeColor="text1"/>
          <w:sz w:val="16"/>
          <w:szCs w:val="16"/>
        </w:rPr>
        <w:softHyphen/>
        <w:t>тности и допускает развитие больших скоростей движения без ущерба управления и стрельбы с хода. Опыт доказал возможность производства стрельбы при движении по целине, пахоте на скорости около 20 клм/час с результатами не ниже результатов стрельб из Т-26 на скорости 12-15 клм/час.</w:t>
      </w:r>
    </w:p>
    <w:p w14:paraId="0E8FA78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Для облегчения поворотливости танка давление под катками без ущерба взаимозаменяемости и прочности распределяется не по прямой, а ступенчато/по кривой/, что при-Еяиясаети характер поворота танка к повороту танков с жесткой подвеской/танк Рикардо поворачивающийся на малой опорной поверхности гучениц, приближающей поворот к повороту на одной точке/.</w:t>
      </w:r>
    </w:p>
    <w:p w14:paraId="3819BB4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Таким образом применение этого типа подвески облегчит работу танка на повороте, улучшить его управляемость и снизит напряжения в его аггрегатах.</w:t>
      </w:r>
    </w:p>
    <w:p w14:paraId="4E32949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Привода управления</w:t>
      </w:r>
    </w:p>
    <w:p w14:paraId="057A6F9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Схема приводов, благодаря симметричному расположе</w:t>
      </w:r>
      <w:r w:rsidRPr="005E779E">
        <w:rPr>
          <w:rFonts w:ascii="Times New Roman" w:hAnsi="Times New Roman"/>
          <w:color w:val="000000" w:themeColor="text1"/>
          <w:sz w:val="16"/>
          <w:szCs w:val="16"/>
        </w:rPr>
        <w:softHyphen/>
        <w:t>нию КПП и фрикционов, а также размещения водителя на оеи, получается в виде простой схемы.</w:t>
      </w:r>
    </w:p>
    <w:p w14:paraId="4517E9C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 тяги будут работать только на растяжение или сжатие, кулиса и рычаг переключения нормального автомо</w:t>
      </w:r>
      <w:r w:rsidRPr="005E779E">
        <w:rPr>
          <w:rFonts w:ascii="Times New Roman" w:hAnsi="Times New Roman"/>
          <w:color w:val="000000" w:themeColor="text1"/>
          <w:sz w:val="16"/>
          <w:szCs w:val="16"/>
        </w:rPr>
        <w:softHyphen/>
        <w:t>бильного типа.</w:t>
      </w:r>
    </w:p>
    <w:p w14:paraId="4170E6D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Управление фрикционами и тормозами двух вариантов по типу Т-26 — рычажное, или даже рулевое.</w:t>
      </w:r>
    </w:p>
    <w:p w14:paraId="235494A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Корпус</w:t>
      </w:r>
    </w:p>
    <w:p w14:paraId="7ED6CC1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Конструкция корпуса имеет простую гладкую форму и рассчитана на склепанный или сварной тип.</w:t>
      </w:r>
    </w:p>
    <w:p w14:paraId="1161566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Толщина всех вертикальных листов принята 16-17 мм, что при цементированной броне будет эквивалентно 20 мм толщине легированной брони. Вертикальные листы носовой части в 20мм крыша в 10мм и дно в 8мм.</w:t>
      </w:r>
    </w:p>
    <w:p w14:paraId="5E3C1CD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корпусе имеются следующие люки: передние водителя, задние к трансмиссии, верхний к мотору и нижний к коробке скоростей. Кроме того имеются отверстия на крыше под по</w:t>
      </w:r>
      <w:r w:rsidRPr="005E779E">
        <w:rPr>
          <w:rFonts w:ascii="Times New Roman" w:hAnsi="Times New Roman"/>
          <w:color w:val="000000" w:themeColor="text1"/>
          <w:sz w:val="16"/>
          <w:szCs w:val="16"/>
        </w:rPr>
        <w:softHyphen/>
        <w:t>гоны трех башен и жалюзи радиаторов.</w:t>
      </w:r>
    </w:p>
    <w:p w14:paraId="432BF84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Башни и вооружение</w:t>
      </w:r>
    </w:p>
    <w:p w14:paraId="08E11CF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Танк имеет три башни: Большая центральная башня идее малые. Большая центральная проэктируется со спаренной установкой 45-мм пушки и пулемета Дегтярева. Конструк</w:t>
      </w:r>
      <w:r w:rsidRPr="005E779E">
        <w:rPr>
          <w:rFonts w:ascii="Times New Roman" w:hAnsi="Times New Roman"/>
          <w:color w:val="000000" w:themeColor="text1"/>
          <w:sz w:val="16"/>
          <w:szCs w:val="16"/>
        </w:rPr>
        <w:softHyphen/>
        <w:t>ция башни по типу устанавливаемому на танке Б-Тс меха</w:t>
      </w:r>
      <w:r w:rsidRPr="005E779E">
        <w:rPr>
          <w:rFonts w:ascii="Times New Roman" w:hAnsi="Times New Roman"/>
          <w:color w:val="000000" w:themeColor="text1"/>
          <w:sz w:val="16"/>
          <w:szCs w:val="16"/>
        </w:rPr>
        <w:softHyphen/>
        <w:t>ническим приводом вращения и перископическим прицелом. Параллельно будет разработана башня с комбинированным поворотным механизмом механически-электрическим.</w:t>
      </w:r>
    </w:p>
    <w:p w14:paraId="3F208FF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Электрический привод со скоростью полного оборота в 5-10 секунд и механический в 50-60 секунд, т.е. будут две скорос</w:t>
      </w:r>
      <w:r w:rsidRPr="005E779E">
        <w:rPr>
          <w:rFonts w:ascii="Times New Roman" w:hAnsi="Times New Roman"/>
          <w:color w:val="000000" w:themeColor="text1"/>
          <w:sz w:val="16"/>
          <w:szCs w:val="16"/>
        </w:rPr>
        <w:softHyphen/>
        <w:t>ти вращения башни. Одна для быстрой-грубой наводки баш</w:t>
      </w:r>
      <w:r w:rsidRPr="005E779E">
        <w:rPr>
          <w:rFonts w:ascii="Times New Roman" w:hAnsi="Times New Roman"/>
          <w:color w:val="000000" w:themeColor="text1"/>
          <w:sz w:val="16"/>
          <w:szCs w:val="16"/>
        </w:rPr>
        <w:softHyphen/>
        <w:t>ни/перекидки башни/и вторая для точной наводки/подводки/. Конструкция малых башен по типу Т-26 с вооружением один пулемет Дегтярева. Правя малая башня для командира танка. Левая — для радиста. В обеих малых дашнях также как в фонаре водителя широко применяется непробиваемое стекло.</w:t>
      </w:r>
    </w:p>
    <w:p w14:paraId="5F3FA99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285A85F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ОБЩИЕ ВЫВОДЫ</w:t>
      </w:r>
    </w:p>
    <w:p w14:paraId="33D2025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Разработанный в данном предварительном проэкте танк является по своей доработке лучшей и наиболее совер</w:t>
      </w:r>
      <w:r w:rsidRPr="005E779E">
        <w:rPr>
          <w:rFonts w:ascii="Times New Roman" w:hAnsi="Times New Roman"/>
          <w:color w:val="000000" w:themeColor="text1"/>
          <w:sz w:val="16"/>
          <w:szCs w:val="16"/>
        </w:rPr>
        <w:softHyphen/>
        <w:t>шенной конструкцией танка среднего веса, полностью охва</w:t>
      </w:r>
      <w:r w:rsidRPr="005E779E">
        <w:rPr>
          <w:rFonts w:ascii="Times New Roman" w:hAnsi="Times New Roman"/>
          <w:color w:val="000000" w:themeColor="text1"/>
          <w:sz w:val="16"/>
          <w:szCs w:val="16"/>
        </w:rPr>
        <w:softHyphen/>
        <w:t>тывающей весь известный нам положительный опыт по по</w:t>
      </w:r>
      <w:r w:rsidRPr="005E779E">
        <w:rPr>
          <w:rFonts w:ascii="Times New Roman" w:hAnsi="Times New Roman"/>
          <w:color w:val="000000" w:themeColor="text1"/>
          <w:sz w:val="16"/>
          <w:szCs w:val="16"/>
        </w:rPr>
        <w:softHyphen/>
        <w:t>добным конструкциям как заграничным, так и нашим.</w:t>
      </w:r>
    </w:p>
    <w:p w14:paraId="1AB1750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частности, его отличие от лучшего современного 16-ти тонного танка Виккерса следующее:</w:t>
      </w:r>
    </w:p>
    <w:p w14:paraId="24E2DC0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Установка в два раза более мощного мотора на Т-28 поднимает его проходимость, подвижность, а следователь</w:t>
      </w:r>
      <w:r w:rsidRPr="005E779E">
        <w:rPr>
          <w:rFonts w:ascii="Times New Roman" w:hAnsi="Times New Roman"/>
          <w:color w:val="000000" w:themeColor="text1"/>
          <w:sz w:val="16"/>
          <w:szCs w:val="16"/>
        </w:rPr>
        <w:softHyphen/>
        <w:t>но, и среднюю скорость Т-28 примерно в такой ровности, как скорость движения по пересеченному профилю между авто</w:t>
      </w:r>
      <w:r w:rsidRPr="005E779E">
        <w:rPr>
          <w:rFonts w:ascii="Times New Roman" w:hAnsi="Times New Roman"/>
          <w:color w:val="000000" w:themeColor="text1"/>
          <w:sz w:val="16"/>
          <w:szCs w:val="16"/>
        </w:rPr>
        <w:softHyphen/>
        <w:t>мобилями форда типа АА и Т.</w:t>
      </w:r>
    </w:p>
    <w:p w14:paraId="2E1F5CD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Более современная подвеска на Т-28 обеспечит: действи</w:t>
      </w:r>
      <w:r w:rsidRPr="005E779E">
        <w:rPr>
          <w:rFonts w:ascii="Times New Roman" w:hAnsi="Times New Roman"/>
          <w:color w:val="000000" w:themeColor="text1"/>
          <w:sz w:val="16"/>
          <w:szCs w:val="16"/>
        </w:rPr>
        <w:softHyphen/>
        <w:t>тельную стрельбу с танка на больших скоростях движения...</w:t>
      </w:r>
    </w:p>
    <w:p w14:paraId="0438B63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Детальная разработка проекта и постройка двух пер</w:t>
      </w:r>
      <w:r w:rsidRPr="005E779E">
        <w:rPr>
          <w:rFonts w:ascii="Times New Roman" w:hAnsi="Times New Roman"/>
          <w:color w:val="000000" w:themeColor="text1"/>
          <w:sz w:val="16"/>
          <w:szCs w:val="16"/>
        </w:rPr>
        <w:softHyphen/>
        <w:t>вых образцов может быть проделана в следующие сроки:</w:t>
      </w:r>
    </w:p>
    <w:p w14:paraId="0EB2175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детальная проработка общей компановки, сборочных чертежей аггрегатов и основных ведущих деталей к 1/Х1 — сг.</w:t>
      </w:r>
    </w:p>
    <w:p w14:paraId="6137595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разработка детальных рабочих чертежей для опытно</w:t>
      </w:r>
      <w:r w:rsidRPr="005E779E">
        <w:rPr>
          <w:rFonts w:ascii="Times New Roman" w:hAnsi="Times New Roman"/>
          <w:color w:val="000000" w:themeColor="text1"/>
          <w:sz w:val="16"/>
          <w:szCs w:val="16"/>
        </w:rPr>
        <w:softHyphen/>
        <w:t>го цеха с 1/Хпо 15 XII — сг</w:t>
      </w:r>
    </w:p>
    <w:p w14:paraId="236C84C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начало спуска рабочих чертежей в производство с 1/Х1 сг.</w:t>
      </w:r>
    </w:p>
    <w:p w14:paraId="152DA18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выпуск 2-х опытных образцов к 1-му Мая 1932 года.</w:t>
      </w:r>
    </w:p>
    <w:p w14:paraId="129A817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 КОНСТР. БЮРО № 3 /Гинзбург/</w:t>
      </w:r>
    </w:p>
    <w:p w14:paraId="4C65D91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НАЧАЛЬНИКА /Заславский/</w:t>
      </w:r>
    </w:p>
    <w:p w14:paraId="7A465B4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ИНЖЕНЕР-КОНСТРУКТОР /Иванов/</w:t>
      </w:r>
    </w:p>
    <w:p w14:paraId="7828089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ИНЖЕНЕР-КОНСТРУКТОР /Гаккелъ/»</w:t>
      </w:r>
    </w:p>
    <w:p w14:paraId="32DF187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Проект их конкурентов — факультета механизации и мо</w:t>
      </w:r>
      <w:r w:rsidRPr="005E779E">
        <w:rPr>
          <w:rFonts w:ascii="Times New Roman" w:hAnsi="Times New Roman"/>
          <w:color w:val="000000" w:themeColor="text1"/>
          <w:sz w:val="16"/>
          <w:szCs w:val="16"/>
        </w:rPr>
        <w:softHyphen/>
        <w:t>торизации Академии им. Ф. Дзержинского под индексом ВТА отличался применением в подвеске тележек танка Т-26, что, по мнению проектировщиков, должно было упростить производство танка на существующем оборудовании.</w:t>
      </w:r>
    </w:p>
    <w:p w14:paraId="33BA9EA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 сравнение проектов показало, что танк ВТА имел массу недоработок с точки зрения чрезмерной нагрузки на тележку подвески (при массе вдвое большей, чем Т-26, танк имел лишь 6 тележек вместо 4, КПП оказалась пере</w:t>
      </w:r>
      <w:r w:rsidRPr="005E779E">
        <w:rPr>
          <w:rFonts w:ascii="Times New Roman" w:hAnsi="Times New Roman"/>
          <w:color w:val="000000" w:themeColor="text1"/>
          <w:sz w:val="16"/>
          <w:szCs w:val="16"/>
        </w:rPr>
        <w:softHyphen/>
        <w:t>груженной, не была продумана система вентиляции, высо</w:t>
      </w:r>
      <w:r w:rsidRPr="005E779E">
        <w:rPr>
          <w:rFonts w:ascii="Times New Roman" w:hAnsi="Times New Roman"/>
          <w:color w:val="000000" w:themeColor="text1"/>
          <w:sz w:val="16"/>
          <w:szCs w:val="16"/>
        </w:rPr>
        <w:softHyphen/>
        <w:t>кий подъем носа ограничивал обзор механика-водителя перед танком, не продумано размещение бензобаков, кото</w:t>
      </w:r>
      <w:r w:rsidRPr="005E779E">
        <w:rPr>
          <w:rFonts w:ascii="Times New Roman" w:hAnsi="Times New Roman"/>
          <w:color w:val="000000" w:themeColor="text1"/>
          <w:sz w:val="16"/>
          <w:szCs w:val="16"/>
        </w:rPr>
        <w:softHyphen/>
        <w:t>рые пришлось бы разбрасывать по всем свободным местам корпуса, которых в танке и так осталось крайне мало.</w:t>
      </w:r>
    </w:p>
    <w:p w14:paraId="1965CF4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 это предопределило выбор в пользу танка Т-28 кон</w:t>
      </w:r>
      <w:r w:rsidRPr="005E779E">
        <w:rPr>
          <w:rFonts w:ascii="Times New Roman" w:hAnsi="Times New Roman"/>
          <w:color w:val="000000" w:themeColor="text1"/>
          <w:sz w:val="16"/>
          <w:szCs w:val="16"/>
        </w:rPr>
        <w:softHyphen/>
        <w:t>струкции ВОАО (10733,229).</w:t>
      </w:r>
    </w:p>
    <w:p w14:paraId="71CCAEE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5DC567" w14:textId="77777777" w:rsidR="00EC6BCC" w:rsidRPr="005E779E" w:rsidRDefault="00EC6BC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июле 1931 г. приступили к сборке первых 10 машин Т-26, так называемой «установочной партии». Конструкция их почти полностью повторяла «виккерсы». Единственным отличием от английской машины была установка в правой башне 37-мм пушки Гочкиса (ПС-1), а в левой — 7,62-мм пулемёта ДТ (на английских машинах стояли пулемёты «Виккерс»). Изготовление этих танков велось по временной технологии из обычной (не броневой) стали. Фактически велась индивидуальная сборка каждого танка, но выпуск первых Т-26 в условиях неподготовленного производства был необходим для отладки приспособлений и опробования технологии производства танков (15132).</w:t>
      </w:r>
    </w:p>
    <w:p w14:paraId="2C6AEE57" w14:textId="77777777" w:rsidR="00EC6BCC" w:rsidRPr="005E779E" w:rsidRDefault="00EC6BCC" w:rsidP="000B7A6C">
      <w:pPr>
        <w:spacing w:after="0" w:line="240" w:lineRule="auto"/>
        <w:jc w:val="both"/>
        <w:rPr>
          <w:rFonts w:ascii="Times New Roman" w:hAnsi="Times New Roman"/>
          <w:color w:val="000000" w:themeColor="text1"/>
          <w:sz w:val="16"/>
          <w:szCs w:val="16"/>
        </w:rPr>
      </w:pPr>
    </w:p>
    <w:p w14:paraId="20F52E5E" w14:textId="77777777" w:rsidR="00602635" w:rsidRPr="00142305" w:rsidRDefault="00602635" w:rsidP="0060263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июле 1931 года на заводе Большевик приступили к сборке первых 10 машин Т-26 так называемой установочной партии, конструкция которых практически полностью повторяла англий</w:t>
      </w:r>
      <w:r w:rsidRPr="00142305">
        <w:rPr>
          <w:rFonts w:ascii="Times New Roman" w:hAnsi="Times New Roman"/>
          <w:color w:val="0070C0"/>
          <w:sz w:val="16"/>
          <w:szCs w:val="16"/>
        </w:rPr>
        <w:softHyphen/>
        <w:t>ский «Виккерс». Единственным отличием от английской машины, помимо низкого каче</w:t>
      </w:r>
      <w:r w:rsidRPr="00142305">
        <w:rPr>
          <w:rFonts w:ascii="Times New Roman" w:hAnsi="Times New Roman"/>
          <w:color w:val="0070C0"/>
          <w:sz w:val="16"/>
          <w:szCs w:val="16"/>
        </w:rPr>
        <w:softHyphen/>
        <w:t>ства изготовления, была установка в правой башне 37-мм пушки Гочкиса (ПС-1), а в ле</w:t>
      </w:r>
      <w:r w:rsidRPr="00142305">
        <w:rPr>
          <w:rFonts w:ascii="Times New Roman" w:hAnsi="Times New Roman"/>
          <w:color w:val="0070C0"/>
          <w:sz w:val="16"/>
          <w:szCs w:val="16"/>
        </w:rPr>
        <w:softHyphen/>
        <w:t>вой - 7,62-мм пулемета ДТ (на английских машинах стояли пулеметы «Виккерс» в ра</w:t>
      </w:r>
      <w:r w:rsidRPr="00142305">
        <w:rPr>
          <w:rFonts w:ascii="Times New Roman" w:hAnsi="Times New Roman"/>
          <w:color w:val="0070C0"/>
          <w:sz w:val="16"/>
          <w:szCs w:val="16"/>
        </w:rPr>
        <w:softHyphen/>
        <w:t>мочных крестовинах башен). Изготовление этих танков велось по временной технологии из обычной (не броневой) стали, при этом ни о какой взаимозаменяемости агрегатов не могло идти и речи. Фактически велась инди</w:t>
      </w:r>
      <w:r w:rsidRPr="00142305">
        <w:rPr>
          <w:rFonts w:ascii="Times New Roman" w:hAnsi="Times New Roman"/>
          <w:color w:val="0070C0"/>
          <w:sz w:val="16"/>
          <w:szCs w:val="16"/>
        </w:rPr>
        <w:softHyphen/>
        <w:t>видуальная сборка каждого танка с пригон</w:t>
      </w:r>
      <w:r w:rsidRPr="00142305">
        <w:rPr>
          <w:rFonts w:ascii="Times New Roman" w:hAnsi="Times New Roman"/>
          <w:color w:val="0070C0"/>
          <w:sz w:val="16"/>
          <w:szCs w:val="16"/>
        </w:rPr>
        <w:softHyphen/>
        <w:t>кой узлов и деталей «по месту». Несмотря на это, качество сборки машин установочной партии было довольно низким. Но выпуск первых Т-26 в условиях неподготовленной производственной базы был необходим для отладки приспособлений и опробования тех</w:t>
      </w:r>
      <w:r w:rsidRPr="00142305">
        <w:rPr>
          <w:rFonts w:ascii="Times New Roman" w:hAnsi="Times New Roman"/>
          <w:color w:val="0070C0"/>
          <w:sz w:val="16"/>
          <w:szCs w:val="16"/>
        </w:rPr>
        <w:softHyphen/>
        <w:t>нологии производства танков (24999).</w:t>
      </w:r>
    </w:p>
    <w:p w14:paraId="79009E44" w14:textId="77777777" w:rsidR="00602635" w:rsidRPr="00142305" w:rsidRDefault="00602635" w:rsidP="00602635">
      <w:pPr>
        <w:spacing w:after="0" w:line="240" w:lineRule="auto"/>
        <w:jc w:val="both"/>
        <w:rPr>
          <w:rFonts w:ascii="Times New Roman" w:hAnsi="Times New Roman"/>
          <w:color w:val="0070C0"/>
          <w:sz w:val="16"/>
          <w:szCs w:val="16"/>
        </w:rPr>
      </w:pPr>
    </w:p>
    <w:p w14:paraId="1D4644FE" w14:textId="77777777" w:rsidR="00EC6BCC" w:rsidRPr="005E779E" w:rsidRDefault="00EC6BCC" w:rsidP="000B7A6C">
      <w:pPr>
        <w:pStyle w:val="a3"/>
        <w:rPr>
          <w:color w:val="000000" w:themeColor="text1"/>
          <w:lang w:val="ru-RU"/>
        </w:rPr>
      </w:pPr>
      <w:r w:rsidRPr="005E779E">
        <w:rPr>
          <w:color w:val="000000" w:themeColor="text1"/>
          <w:lang w:val="ru-RU"/>
        </w:rPr>
        <w:t>В июле 1930 г. на фирму «Виккерс-Армстронг» был отправлен проект установки вооружения в башне 12-тонного танка, выполненный нашими кон</w:t>
      </w:r>
      <w:r w:rsidRPr="005E779E">
        <w:rPr>
          <w:color w:val="000000" w:themeColor="text1"/>
          <w:lang w:val="ru-RU"/>
        </w:rPr>
        <w:softHyphen/>
        <w:t>структорами, и принят англичанами без возражений. Предлагалось также заказать дополнительно три башни, полностью адаптированные под установку отечественного вооружения, для замены башен первых трех поставленных машин. Демонтированные при этом «родные» башни пла</w:t>
      </w:r>
      <w:r w:rsidRPr="005E779E">
        <w:rPr>
          <w:color w:val="000000" w:themeColor="text1"/>
          <w:lang w:val="ru-RU"/>
        </w:rPr>
        <w:softHyphen/>
        <w:t>нировалось использовать в качестве запасных (15745).</w:t>
      </w:r>
    </w:p>
    <w:p w14:paraId="2BD17F65" w14:textId="77777777" w:rsidR="00EC6BCC" w:rsidRPr="005E779E" w:rsidRDefault="00EC6BCC" w:rsidP="000B7A6C">
      <w:pPr>
        <w:pStyle w:val="a3"/>
        <w:rPr>
          <w:color w:val="000000" w:themeColor="text1"/>
          <w:lang w:val="ru-RU"/>
        </w:rPr>
      </w:pPr>
    </w:p>
    <w:p w14:paraId="14B5E221" w14:textId="77777777" w:rsidR="00FA27D7" w:rsidRPr="005E779E" w:rsidRDefault="00FA27D7"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В июле 1931 года, согласно планам, сдавались первые образцы Т-26, позже сроком указывалось 1 августа. Следует отметить, что изначально предполагалось копировать Vickers Mk.E практически полностью, разве что решались мелкие недостатки вроде отсутствующих смотровых щелей у створки люка механика-водителя и башен. При этом в левой башне предполагалось ставить пулемет ДТ, а в правой - 37-мм пушку "большой мощности". Именовалась она как 37-мм танковая пушка обр.1930 года, но более известна как Б-3. Разрабатывалось орудие с 1927 года, предполагалось, что его поставят в башни Т-18 и Т-20, но они их так и не дождались. Существенным отличием данного орудия было использование боеприпасов от 37-мм немецкой пушки Tak 29, которая у нас проходила как "пушка Рейнметалл". Начальная скорость бронебойного снаряда составляла 670 м/с, а на дистанции 1000 метров этот снаряд пробивал плиту толщиной 18 мм, поставленную под углом 30 градусов от вертикали. Для сравнения, бронебойный снаряд пушки "Гочкис" пробивал на той же дистанции плиту толщиной 16 мм, установленную под тем же углом. После ряда доводочных работ Б-3 приняли на вооружение одновременно с Т-26, то есть 13 февраля 1931 года. Таким образом, с самого начала Т-26 предполагался именно с пушечно-пулеметным вооружением. По планам, до конца 1931 года завод "Большевик" должен был сдать 300 танков Т-26 (из них 70 в октябре, 100 в ноябре и 120 в декабре). Одновременно был сделан заказ на 200 пушек Б-3 (20740).</w:t>
      </w:r>
    </w:p>
    <w:p w14:paraId="20B0CADB" w14:textId="77777777" w:rsidR="00FA27D7" w:rsidRPr="005E779E" w:rsidRDefault="00FA27D7" w:rsidP="000B7A6C">
      <w:pPr>
        <w:spacing w:after="0" w:line="240" w:lineRule="auto"/>
        <w:jc w:val="both"/>
        <w:rPr>
          <w:rFonts w:ascii="Times New Roman" w:eastAsia="Times New Roman" w:hAnsi="Times New Roman"/>
          <w:color w:val="000000" w:themeColor="text1"/>
          <w:sz w:val="16"/>
          <w:szCs w:val="16"/>
          <w:lang w:eastAsia="ru-RU"/>
        </w:rPr>
      </w:pPr>
    </w:p>
    <w:p w14:paraId="3962F63F" w14:textId="77777777" w:rsidR="00FA27D7" w:rsidRPr="005E779E" w:rsidRDefault="00FA27D7"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В июле 1931 года всё же работы по Т-26 форсировались. Собрали первый мотор, имелись корпуса для двух опытных машин, проработали проект сварного корпуса и двухместной башни под 45-мм пушку (это другая пушка, более ранняя, нежели та, про которую подумали). Позже башню, по требованию УММ, переделали под 37-мм пушку. Тем не менее, ни о каких 30 танках в 1931 году не шло и речи. Две опытные машины, которые сдали в августе 1931 года, осенью-зимой использовались как стенды для испытания моторов. А фактически за 1931 год сдали всего 17 машин из 120 предъявленных. Из них 10 машин относилось к танкам установочной партии, а остальные уже отличались, прежде всего башнями. Доработанные, при участии КБ-3 ВОАО, башни получили выступы наверху со смотровыми лючками. Это не только увеличило внутренний объем башни, но и улучшило обзорность. Шаг заклепок на корпусе, по сравнению с Vickers Mk.E, уменьшился, также внесли изменения в светотехнику. Еще больше изменений оказалось внутри. Кстати говоря, электрооборудование танка имело марку Bosch (20740).</w:t>
      </w:r>
    </w:p>
    <w:p w14:paraId="248D9BB1" w14:textId="77777777" w:rsidR="00FA27D7" w:rsidRPr="005E779E" w:rsidRDefault="00FA27D7" w:rsidP="000B7A6C">
      <w:pPr>
        <w:spacing w:after="0" w:line="240" w:lineRule="auto"/>
        <w:jc w:val="both"/>
        <w:rPr>
          <w:rFonts w:ascii="Times New Roman" w:eastAsia="Times New Roman" w:hAnsi="Times New Roman"/>
          <w:color w:val="000000" w:themeColor="text1"/>
          <w:sz w:val="16"/>
          <w:szCs w:val="16"/>
          <w:lang w:eastAsia="ru-RU"/>
        </w:rPr>
      </w:pPr>
    </w:p>
    <w:p w14:paraId="1F1105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июле 1931 НТК УММ РККА рассмотрело проекты танков и выбрало пототип 2 КБ № 3 ВОАО, разработанный под руководством С.А.Гинзбурга О.М.Ивановым и А.Б.Гаккелем (9527,119).</w:t>
      </w:r>
    </w:p>
    <w:p w14:paraId="6B0283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F116452" w14:textId="77777777" w:rsidR="00017026" w:rsidRPr="00142305" w:rsidRDefault="00017026" w:rsidP="000170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В июле 1931 года Особое Конструкторское Бюро (фактически тюремное КБ) представило проект 11-тонного колесно-гусеничного танка. Из особенностей этого танка было то, что он был еще и плавающий. Нет, это не самодеятельность: существовали ТТТ на средний плавающий танк, причем прообраз машины как раз в это время испытывался. Речь идет о Großtraktor, который, если кто забыл, умел плавать. Правда, делал это плохо и на испытаниях утонул. Идею немцы забросили, а вот у нас нет. Так появился проект советского «Гросстрактора», который исследователи записали в легкий танк. На самом же деле ПТ-1, так назывался этот танк, создавался как средний танк. Причем у немцев срисовали даже размещение командира в передней-правой части корпуса, вместо башни. Эту работу, ведущим инженером которой являлся Н.А. Астров, утвердили для постройки. Кроме того, и ТГ-1 тоже не совсем забросили. Называя его «мощным танком», было решено работы продолжить, отказавшись от услуг Гроте. Работы возглавил Барыков, а «улучшенный ТГ» переименовали в… Т-35. На практике этот самый «улучшенный ТГ» был совершенно </w:t>
      </w:r>
      <w:r w:rsidRPr="00142305">
        <w:rPr>
          <w:rFonts w:ascii="Times New Roman" w:hAnsi="Times New Roman"/>
          <w:color w:val="0070C0"/>
          <w:sz w:val="16"/>
          <w:szCs w:val="16"/>
        </w:rPr>
        <w:lastRenderedPageBreak/>
        <w:t>новым танком, тем не менее, шел он по линии «раздувания» машины, изначально имевшей боевую массу 18-19 тонн. Больше того, изначально Т-35 указывался как «средний танк» (25464).</w:t>
      </w:r>
    </w:p>
    <w:p w14:paraId="49425E27" w14:textId="77777777" w:rsidR="00017026" w:rsidRPr="00142305" w:rsidRDefault="00017026" w:rsidP="00017026">
      <w:pPr>
        <w:spacing w:after="0" w:line="240" w:lineRule="auto"/>
        <w:jc w:val="both"/>
        <w:rPr>
          <w:rFonts w:ascii="Times New Roman" w:hAnsi="Times New Roman"/>
          <w:color w:val="0070C0"/>
          <w:sz w:val="16"/>
          <w:szCs w:val="16"/>
        </w:rPr>
      </w:pPr>
    </w:p>
    <w:p w14:paraId="5A7A87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июле 1931 г. на ХПЗ по заданию УММ РККА началось проектирование четырехтактного, двенадцатицилиндрового V-образного быстроходного дизеля мощностью 400 л.с. (295 кВт).</w:t>
      </w:r>
    </w:p>
    <w:p w14:paraId="299B22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28 апреля 1933 г. первый образец дизеля, получившего название БД-2, был размещен на стенде для испытаний. Испытания выявили много дефектов, конструктивных и производственных недостатков. Началась трудная, кропотливая конструкторская доводка дизеля. В ноябре 1933 г. вместо авиационного мотора «Либерти» в опытный танк БТ-2 был установлен быстроходный дизель БД-2 № 1. Пробные пробеговые испытания танка с новым двигателем по территории завода были «первыми шагами» нового типа танкового двигателя - дизель-мотора. </w:t>
      </w:r>
    </w:p>
    <w:p w14:paraId="3F7D39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Дизель в танке работал устойчиво, но сильно дымил. На этих и последующих испытаниях было выявлено много недостатков. После проведения большого объема конструкторских работ большую часть из них удалось устранить. С середины 1937 г. усовершенствованный дизель получил наименование В-2. Первые Государственные испытания В-2 состоялись в апреле - мае 1938 г. К концу 1938 г. заводом были изготовлены первые 50 дизелей. Создание первого в мире серийного быстроходного танкового дизельного двигателя В-2 явилось огромным достижением отечественного танкостроения, которое трудно переоценить. С его появлением начался процесс оснащения отечественных танков дизельными двигателями (11715).</w:t>
      </w:r>
    </w:p>
    <w:p w14:paraId="42251D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4EAC6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июле 1931 в Кубинке был создан Научно-испытательный бронетанковый полигон (9527,10).</w:t>
      </w:r>
    </w:p>
    <w:p w14:paraId="5DD652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21FCBBC"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июля по ноябрь 1931 г. на НИАБТП проводились Государственные испытания трактора «Сталинец» №3 с четырехскоростной коробкой передач. Машину обмерили, взвесили, отдинамометрировали и после обкатки направили на испытания. По программе, утвержденной 4-й секцией НТКУММ, целью испытаний являлось определение тяговых и скоростных качеств трактора при перевозке тяжелых орудий АРГК, прочности и надежности, удобства обслуживания, расхода горючего и проходимости. «Сталинец-3» испытывался совместно с американским прототипом и на некоторых этапах – параллельно с трактором №2.</w:t>
      </w:r>
    </w:p>
    <w:p w14:paraId="18D79F86"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Планировалось испытать трактор пробегом на 100 км с грузом 10-11,5 т, причем 50 км предполагалось пройти по дорогам с твердым покрытием и 50 км – по грунтовым. Кроме того, в ходе испытаний выполнялись выезды и снятия с артиллерийских позиций, осуществлялось движение по местности с ямами и ухабами, преодолевались подъемы, броды, участки с песчаным грунтом и заболоченные участки. Всего в ходе испытаний трактор №3 прошел 311 км по шоссе и 134 км по грунту.</w:t>
      </w:r>
    </w:p>
    <w:p w14:paraId="230FA250"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то же время был выявлен ряд серьезных дефектов, связанных с надежностью трактора. Произошло ослабление болтов, крепящих мотор к раме трактора, что объяснили несоответствием диаметра болтов размеру отверстий в лапах мотора и раме. Погнулись края вилки сцепного прибора, и шкворневой болт оказался зажатым в лапах вилки. Дважды отламывался край кронштейна, поддерживающего бензобак. Фрикционы гусениц грелись и пробуксовывали, в результате чего терялось управление(проблему устранили вытачиванием дополнительных шайб 100 мм для лучшего сжатия пружин). Оборвалось крепление радиатора к блоку мотора, в результате радиатор наклонился вперед и задел кожухом за вентилятор. Это привело к поломке его лопастей, которые пришлось приваривать. Были срезаны болты крепления радиатора. Срезались и заменялись трижды болты, крепящие салазки ленивцев. Получила повреждения рама трактора. Бензобак терял герметичность в швах и соединениях, и его пришлось четыре раза запаивать.</w:t>
      </w:r>
    </w:p>
    <w:p w14:paraId="29D29E3F"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 эксплуатационных недостатков было отмечено отсутствие краника для слива воды из помпы.</w:t>
      </w:r>
    </w:p>
    <w:p w14:paraId="100D9FCC"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итогам испытаний было составлено заключение:</w:t>
      </w:r>
    </w:p>
    <w:p w14:paraId="75B7FE78"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«Трактор «Сталинец 3»имеет все преимущества тракторов «Катерпиллер»:</w:t>
      </w:r>
    </w:p>
    <w:p w14:paraId="2EAA25A0"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Хорошую проходимость по мягким грунтам и песку. Со 155 мм пушкой легко преодолевает пески, где пушка погружается до 50 см.</w:t>
      </w:r>
    </w:p>
    <w:p w14:paraId="5072317B"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Удобен и прост в управлении и обслуживании.</w:t>
      </w:r>
    </w:p>
    <w:p w14:paraId="47E12B07"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Скорости на грунтовых дорогах все четыре легко используются. По ровной дороге трактор может все время итти на четвертой передаче, в худших местах на третьей и лишь в особо трудных условиях на второй или первой передаче, но увеличение скоростей повлекло за собой следующее:</w:t>
      </w:r>
    </w:p>
    <w:p w14:paraId="243C823D"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пробуксовывание дисков фрикционов, чем нарушается управление,</w:t>
      </w:r>
    </w:p>
    <w:p w14:paraId="405D17B5"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срезывание болтов напраляющих передних колес гусениц, особенно по дорогам с твердым покрытием,</w:t>
      </w:r>
    </w:p>
    <w:p w14:paraId="4E634169"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то же болтов на соединительных траверсах рам гусениц и даже поломку этих траверсов,</w:t>
      </w:r>
    </w:p>
    <w:p w14:paraId="50D13DFF"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поломку кронштейнов бензобака, разрыв бензопроводов, ослабление швов и заклепок бензобака,</w:t>
      </w:r>
    </w:p>
    <w:p w14:paraId="06444C36"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 если бы была на машине крыша типа «Катерпиллер», то она бы быстро поломала кронштейны от тряски.</w:t>
      </w:r>
    </w:p>
    <w:p w14:paraId="052C6EAA"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Трактор «Сталинец» с четырехскоростной коробкой передач является хорошим типом трактора для перевозки тяжелых орудий Артиллерии Резерва Главного Командования, но при условии увеличения прочности указанных слабых деталей и обязательного введения съемных или постоянных резиновых башмаков на гусеницы для езды по твердым дорогам, без каковых по таким дорогам его пускать нельзя».</w:t>
      </w:r>
    </w:p>
    <w:p w14:paraId="149E2855"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Окончательный вывод о принятии на вооружение быстроходной версии трактора предстояло сделать на основании результатов зимних испытаний. На эти испытания поступили «Сталинец» №3 с четырехскоростной коробкой скоростей и образец №4, подобный американскому прототипу, но без установки тента. Испытания проходили в Подмосковье совместно с «Sixty», трактором КПД конструкции АТТБ ОГПУ и некоторыми другими.</w:t>
      </w:r>
    </w:p>
    <w:p w14:paraId="127DFDAD"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движении на малых скоростях трактор №3 не вызвал серьезных нареканий. Однако с ростом скорости движения полностью повторились все выявленные летом дефекты: были срезаны болты в направляющих ленивцев, поломаны кронштейны бензобака, а в самом бензобаке от тряски образовалась течь. «Эти же неисправности сразу вывели трактор из строя при настоящем пробеге по мерзлому шоссе. Трактор «Катерпиллер-американский», шедший со средней скоростью 4 км/ч, никаких поломок не имел».</w:t>
      </w:r>
    </w:p>
    <w:p w14:paraId="0679A38D"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Если первоначально низкая надежность «Сталинца-3» могла объясняться недостатками изготовления первых, пока еще опытных, тракторов, то теперь уже было очевидно, что речь шла о конструктивном несовершенстве машины.</w:t>
      </w:r>
    </w:p>
    <w:p w14:paraId="03841990"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ТТХ трактора «Сталинец» №3 по данным госиспытаний 1932 г. Марка трактора Сталинец Год изготовления 1931 Мощность двигателя, л.с. 60 Габаритные размеры, мм: длина 4010 ширина 2440 высота 2760 клиренс 385 высота тягового крюка над землей 500 Вес (без водителя), кг 9935 Скорости движения, км/ч: 1-я скорость 3,3 2-я скорость 5,2 3-я скорость 7,8 4-я скорость 13,0 задний ход 4,4 Число оборотов при максимальной мощности, об/мин 650 Тип топлива Бензин и лигроин Тип карбюратора Энсайн АА Способ подачи топлива Вакуум-аппарат Запас топлива, л 352 Система смазки Коренные и шатунные подшипники от шестеренчатого насоса. Цилиндры, поршни, пальцы, подшипники кулачкового вала, кулачки и толкатели - рабрызгиванием. Тип радиатора системы охлаждения Трубчатый Зажигание Магнето Сцепление Сухое однодисковое Тип коробки передач Шестеренчатая Передача на ведущие колеса Коническими и тарельчатыми шестернями и многодисковыми фрикционами Тип трака гусеничного движителя Стальные с несъемными шпорами Число траков гусеничного движителя, мм 33x2 Опорная длина гусеницы, мм 2500 Удельное давление на грунт, кг/см? 0,46 Система подрессоривания Пружины Ширина хода, мм 2250 Ширина колеи, мм 1845.</w:t>
      </w:r>
    </w:p>
    <w:p w14:paraId="7DD56BC5"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Трактор №4 в целом продемонстрировал удовлетворительную надежность и основные эксплуатационные показатели на уровне прототипа. Из общих недостатков тракторов №3 и №4 были отмечены беззащитность водителя перед непогодой и отсутствие осветительных приборов.</w:t>
      </w:r>
    </w:p>
    <w:p w14:paraId="7F946930" w14:textId="77777777" w:rsidR="00875C4A" w:rsidRPr="005E779E" w:rsidRDefault="00875C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Таким образом, трактор №3 не мог быть рекомендован к серийному производству и принятию на вооружение. Однако на основе полученных результатов конструирования и испытаний тракторов КПД и «Сталинец-3» работы по созданию быстроходной армейской версии челябинского трактора были продолжены и в конечном итоге привели к появлению достаточно удачной машины С-2 (12132).</w:t>
      </w:r>
    </w:p>
    <w:p w14:paraId="7B9443C1" w14:textId="77777777" w:rsidR="00875C4A" w:rsidRPr="005E779E" w:rsidRDefault="00875C4A" w:rsidP="000B7A6C">
      <w:pPr>
        <w:spacing w:after="0" w:line="240" w:lineRule="auto"/>
        <w:jc w:val="both"/>
        <w:rPr>
          <w:rFonts w:ascii="Times New Roman" w:hAnsi="Times New Roman"/>
          <w:color w:val="000000" w:themeColor="text1"/>
          <w:sz w:val="16"/>
          <w:szCs w:val="16"/>
        </w:rPr>
      </w:pPr>
    </w:p>
    <w:p w14:paraId="67981A6A" w14:textId="77777777" w:rsidR="00017026" w:rsidRPr="00142305" w:rsidRDefault="00017026" w:rsidP="00017026">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В июле 1931 г. завод сдал послед</w:t>
      </w:r>
      <w:r w:rsidRPr="00142305">
        <w:rPr>
          <w:rStyle w:val="aff0"/>
          <w:rFonts w:ascii="Times New Roman" w:hAnsi="Times New Roman" w:cs="Times New Roman"/>
          <w:color w:val="0070C0"/>
          <w:spacing w:val="0"/>
          <w:sz w:val="16"/>
          <w:szCs w:val="16"/>
        </w:rPr>
        <w:softHyphen/>
        <w:t>нюю партию АМО Ф-15 в количестве 58 шт. На АМО полным ходом шла первая рекон</w:t>
      </w:r>
      <w:r w:rsidRPr="00142305">
        <w:rPr>
          <w:rStyle w:val="aff0"/>
          <w:rFonts w:ascii="Times New Roman" w:hAnsi="Times New Roman" w:cs="Times New Roman"/>
          <w:color w:val="0070C0"/>
          <w:spacing w:val="0"/>
          <w:sz w:val="16"/>
          <w:szCs w:val="16"/>
        </w:rPr>
        <w:softHyphen/>
        <w:t>струкция для организации поточного конвей</w:t>
      </w:r>
      <w:r w:rsidRPr="00142305">
        <w:rPr>
          <w:rStyle w:val="aff0"/>
          <w:rFonts w:ascii="Times New Roman" w:hAnsi="Times New Roman" w:cs="Times New Roman"/>
          <w:color w:val="0070C0"/>
          <w:spacing w:val="0"/>
          <w:sz w:val="16"/>
          <w:szCs w:val="16"/>
        </w:rPr>
        <w:softHyphen/>
        <w:t>ерного производства более приспособлен</w:t>
      </w:r>
      <w:r w:rsidRPr="00142305">
        <w:rPr>
          <w:rStyle w:val="aff0"/>
          <w:rFonts w:ascii="Times New Roman" w:hAnsi="Times New Roman" w:cs="Times New Roman"/>
          <w:color w:val="0070C0"/>
          <w:spacing w:val="0"/>
          <w:sz w:val="16"/>
          <w:szCs w:val="16"/>
        </w:rPr>
        <w:softHyphen/>
        <w:t>ных для этого автомобилей АМО-2 и АМО-3: объемы выпуска выросли до 20 тыс. грузо</w:t>
      </w:r>
      <w:r w:rsidRPr="00142305">
        <w:rPr>
          <w:rStyle w:val="aff0"/>
          <w:rFonts w:ascii="Times New Roman" w:hAnsi="Times New Roman" w:cs="Times New Roman"/>
          <w:color w:val="0070C0"/>
          <w:spacing w:val="0"/>
          <w:sz w:val="16"/>
          <w:szCs w:val="16"/>
        </w:rPr>
        <w:softHyphen/>
        <w:t>вых машин в год. Высокая себестоимость из</w:t>
      </w:r>
      <w:r w:rsidRPr="00142305">
        <w:rPr>
          <w:rStyle w:val="aff0"/>
          <w:rFonts w:ascii="Times New Roman" w:hAnsi="Times New Roman" w:cs="Times New Roman"/>
          <w:color w:val="0070C0"/>
          <w:spacing w:val="0"/>
          <w:sz w:val="16"/>
          <w:szCs w:val="16"/>
        </w:rPr>
        <w:softHyphen/>
        <w:t>готовления АМО Ф-15 (в 1927–1928 гг. – 8500 руб.) значительно превышала себестои</w:t>
      </w:r>
      <w:r w:rsidRPr="00142305">
        <w:rPr>
          <w:rStyle w:val="aff0"/>
          <w:rFonts w:ascii="Times New Roman" w:hAnsi="Times New Roman" w:cs="Times New Roman"/>
          <w:color w:val="0070C0"/>
          <w:spacing w:val="0"/>
          <w:sz w:val="16"/>
          <w:szCs w:val="16"/>
        </w:rPr>
        <w:softHyphen/>
        <w:t>мость 1,5-тонных автомобилей Форд-А (800– 900 руб.) и даже 2,5-тонных АМО-2, цена которых с запасным колесом и шоферским инструментом составляла 6068 руб.</w:t>
      </w:r>
    </w:p>
    <w:p w14:paraId="513A449A" w14:textId="77777777" w:rsidR="00017026" w:rsidRPr="00142305" w:rsidRDefault="00017026" w:rsidP="00017026">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За восемь лет на АМО собрали 5983 гру</w:t>
      </w:r>
      <w:r w:rsidRPr="00142305">
        <w:rPr>
          <w:rStyle w:val="aff0"/>
          <w:rFonts w:ascii="Times New Roman" w:hAnsi="Times New Roman" w:cs="Times New Roman"/>
          <w:color w:val="0070C0"/>
          <w:spacing w:val="0"/>
          <w:sz w:val="16"/>
          <w:szCs w:val="16"/>
        </w:rPr>
        <w:softHyphen/>
        <w:t>зовика АМО Ф-15. Общее количество построенных заводом автомобилей всех типов на этом шасси (грузовые, легковые, автобусы, фургоны, шасси и др.) оценивается в пределах 6483–6492 единиц (25112).</w:t>
      </w:r>
    </w:p>
    <w:p w14:paraId="43669798" w14:textId="77777777" w:rsidR="00017026" w:rsidRPr="00142305" w:rsidRDefault="00017026" w:rsidP="00017026">
      <w:pPr>
        <w:spacing w:after="0" w:line="240" w:lineRule="auto"/>
        <w:jc w:val="both"/>
        <w:rPr>
          <w:rFonts w:ascii="Times New Roman" w:hAnsi="Times New Roman"/>
          <w:color w:val="0070C0"/>
          <w:sz w:val="16"/>
          <w:szCs w:val="16"/>
        </w:rPr>
      </w:pPr>
    </w:p>
    <w:p w14:paraId="01F843EB"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июле 1931 года, на 3-м Всесоюзном пробеге советских мотоциклов, сравнили три машины «Тремасс» с тремя «Красный Октябрь», доработанными по советам П. В. Можарова. Лучшими оказались последние, хотя техническая комиссия отметила и у них ряд недостатков, больше производственного характера. Например, водителям приходилось не раз менять некачественно изготовленные магнето, прерыватели, конуса маховика и колес, ломались неважно закаленные шестерни. Но сам мотоцикл оказался неплохим.</w:t>
      </w:r>
    </w:p>
    <w:p w14:paraId="2C524B24"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Вскоре после пробега «Красный Октябрь» получил заказ сразу на 4050 машин и аванс в миллион рублей. Его следовало погасить в 1933 году, одновременно обеспечив выпуск до 10 тыс. мотоциклов в год.</w:t>
      </w:r>
    </w:p>
    <w:p w14:paraId="6C196378"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1934 года производство Л-300 на «Промете» начали сворачивать, расширяя его на «Красном Октябре». Не прекращая серийного выпуска, конструкторы совершенствовали эту модель, позже на ее базе создали экспериментальный, усиленный Л-350.</w:t>
      </w:r>
    </w:p>
    <w:p w14:paraId="2509D6B3"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О прочности и надежности мотоциклов Л-300 свидетельствовали и такие оригинальные соревнования, как прыжки с трамплина. В 1936 году Ф. Филонов, оторвавшись от него, пролетел на Л-300 почти 13 м. Поэтому вряд ли стоит удивляться тому, что эту машину широко применяли в Красной Армии для связи и ближней разведки, а в школах Автодора на ней учили будущих водителей.</w:t>
      </w:r>
    </w:p>
    <w:p w14:paraId="057E5E48"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...Возможно, некоторые читатели помнят довоенный кинофильм «Тимур и его команда». Так вот, герой этой картины едет именно на Л-300...</w:t>
      </w:r>
    </w:p>
    <w:p w14:paraId="5BF3AE0C"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Теперь о первых советских серийных мотоциклах напоминают около двух десятков чудом уцелевших экземпляров Л-300, пять из которых хранятся в Московском Политехническом музее. Причем один, что называется, на ходу...(11396).</w:t>
      </w:r>
    </w:p>
    <w:p w14:paraId="2E68DD8C"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081F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июле 1931 года Гипромезом был утвержден проект строительства НТМК. До конца того же года были построены щебеночный карьер, бетонный заводик и лесопилка. На стройку, общая стоимость которой была определена почти в 440 млн. рублей, планировалось закупить несколько мощных американских экскаваторов, однако сделка сорвалась, и вместо них было приобретено только 6 устаревших и слабых английских машин. Изначально строительство НТМК велось в авральном режиме, было слабо проработано, что вообще было характерно для всех объектов советской индустриализации тех лет, где участие иностранцев было или минимальным или же оно вообще отсутствовало. Первой проблемой – после отсутствия единого плана, стала нехватка рабочей силы. В результате чего темпы строительства оказались в два раза ниже, и в 1931 году удалось освоить лишь 18 из 30 млн. рублей, заложенных в финансирование проекта (11514).</w:t>
      </w:r>
    </w:p>
    <w:p w14:paraId="3ABB89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7A804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июле 1931 г. был спущен на воду и сдан в эксплуатацию в декабре следующего года Головной лесовоз "Волголес", заложенный на ленинградском заводеим. А. Марта в 1930 г. Заводом им. А. Марта построены также "Двинолес", "Комилес", "Севзаплес", "Экспортлес" (затем "Максим Горький"), "Северолес" (затем "Кузнец Лесов"), "Клара Цеткин" и "Лесбел" (затем "Вторая пятилетка"), т. е. всего восемь лесовозов, включая головной. Два судна — "Мурманлес" и "Старый большевик" — построила Северная верфь в Ленинграде. Кроме этого два однотипных судна — "Коллек</w:t>
      </w:r>
      <w:r w:rsidRPr="005E779E">
        <w:rPr>
          <w:rFonts w:ascii="Times New Roman" w:hAnsi="Times New Roman"/>
          <w:color w:val="000000" w:themeColor="text1"/>
          <w:sz w:val="16"/>
          <w:szCs w:val="16"/>
        </w:rPr>
        <w:softHyphen/>
        <w:t>тивизация" и "Строительство" — построены в 1932—1939 гг. нико</w:t>
      </w:r>
      <w:r w:rsidRPr="005E779E">
        <w:rPr>
          <w:rFonts w:ascii="Times New Roman" w:hAnsi="Times New Roman"/>
          <w:color w:val="000000" w:themeColor="text1"/>
          <w:sz w:val="16"/>
          <w:szCs w:val="16"/>
        </w:rPr>
        <w:softHyphen/>
        <w:t>лаевским заводом им. 61 Коммунара. В ходе постройки они были переоборудованы в рудовозы для линии Камыш-Бурун—Мариу</w:t>
      </w:r>
      <w:r w:rsidRPr="005E779E">
        <w:rPr>
          <w:rFonts w:ascii="Times New Roman" w:hAnsi="Times New Roman"/>
          <w:color w:val="000000" w:themeColor="text1"/>
          <w:sz w:val="16"/>
          <w:szCs w:val="16"/>
        </w:rPr>
        <w:softHyphen/>
        <w:t>поль, а заодно получили новые названия — "Анатолий Серов" и "Полина Осипенко" соответственно.</w:t>
      </w:r>
    </w:p>
    <w:p w14:paraId="13B7BD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Суда типа "Волголес" были крупнее и значительно мореходнее средних лесовозов, имели близкую к ним архитектуру корпуса, но при этом шесть главных отсеков, три трюма с пятью люками. Кор</w:t>
      </w:r>
      <w:r w:rsidRPr="005E779E">
        <w:rPr>
          <w:rFonts w:ascii="Times New Roman" w:hAnsi="Times New Roman"/>
          <w:color w:val="000000" w:themeColor="text1"/>
          <w:sz w:val="16"/>
          <w:szCs w:val="16"/>
        </w:rPr>
        <w:softHyphen/>
        <w:t>пус оставался клепаным, но при сборке надстроек применялась и сварка. Главное отличие заключалось в энергетической установке: вместо паровой машины был установлен двухтактный дизельный двигатель системы Зульцера производства завода "Русский дизель".</w:t>
      </w:r>
    </w:p>
    <w:p w14:paraId="0AFFF8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целом большие лесовозы оказались хотя и тихоходными, но удобными для перевозок судами. Именно суда этого типа были во время войны избраны для перевозки особо крупногабаритных гру</w:t>
      </w:r>
      <w:r w:rsidRPr="005E779E">
        <w:rPr>
          <w:rFonts w:ascii="Times New Roman" w:hAnsi="Times New Roman"/>
          <w:color w:val="000000" w:themeColor="text1"/>
          <w:sz w:val="16"/>
          <w:szCs w:val="16"/>
        </w:rPr>
        <w:softHyphen/>
        <w:t>зов-паровозов (3898).</w:t>
      </w:r>
    </w:p>
    <w:p w14:paraId="18EE7C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488379C" w14:textId="77777777" w:rsidR="00984EA8" w:rsidRPr="005E779E" w:rsidRDefault="00984E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июля 1931 года И.П. Павлуновский находился в должности заместителя председателя ВСНХ (то есть был заместителем Г.К. Орджоникидзе) по военной промышленности. В 1932 г. ВСНХ и его управленческие структуры были расформированы. Управление военпромом было сосредоточено в Главном военно-мобилизационном управлении (ГВМУ) в рамках вновь созданного Наркомата тяжелой промышленности СССР под руководством Г.К. Орджоникидзе. Возглавил ГВМУ и стал фактически правой рукой наркома тяжпрома именно И.П. Павлуновский. А в 1934 г. он стал кандидатом в члены ЦК ВКП(б). Тогда как карьера А.Ф. Толоконцева стала медленно стремиться в противоположном направлении. В 1933 г. он из Управления машиностроения и металлообработки перешел на должность начальника Главточмаша Наркомата тяжпрома, а в 1934 г. был выведен из состава кандидатов в члены ЦК ВКП(б). Однако итог обоих оказался одинаковым: в 1937 г. они были арестованы и впоследствии расстреляны [49] (23536).</w:t>
      </w:r>
    </w:p>
    <w:p w14:paraId="48CA063B" w14:textId="77777777" w:rsidR="00984EA8" w:rsidRPr="005E779E" w:rsidRDefault="00984EA8" w:rsidP="000B7A6C">
      <w:pPr>
        <w:spacing w:after="0" w:line="240" w:lineRule="auto"/>
        <w:jc w:val="both"/>
        <w:rPr>
          <w:rFonts w:ascii="Times New Roman" w:hAnsi="Times New Roman"/>
          <w:color w:val="000000" w:themeColor="text1"/>
          <w:sz w:val="16"/>
          <w:szCs w:val="16"/>
        </w:rPr>
      </w:pPr>
    </w:p>
    <w:p w14:paraId="10182335"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090B70DD"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083B934" w14:textId="77777777" w:rsidR="003250DD" w:rsidRPr="005E779E" w:rsidRDefault="003250D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июле 1931 г. Тухачевский обсуждает вопрос об использовании военно-воздушных сил в качестве сдерживающего фактора в случае военного конфликта с Японией (9089). </w:t>
      </w:r>
    </w:p>
    <w:p w14:paraId="3864E7D1" w14:textId="77777777" w:rsidR="003250DD" w:rsidRPr="005E779E" w:rsidRDefault="003250DD" w:rsidP="000B7A6C">
      <w:pPr>
        <w:spacing w:after="0" w:line="240" w:lineRule="auto"/>
        <w:jc w:val="both"/>
        <w:rPr>
          <w:rFonts w:ascii="Times New Roman" w:hAnsi="Times New Roman"/>
          <w:color w:val="000000" w:themeColor="text1"/>
          <w:sz w:val="16"/>
          <w:szCs w:val="16"/>
        </w:rPr>
      </w:pPr>
    </w:p>
    <w:p w14:paraId="121E144C" w14:textId="77777777" w:rsidR="003250DD" w:rsidRPr="005E779E" w:rsidRDefault="003250D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июле 1931 были подготовлены Бюджетные предложения армии и Госплана по бюджету на 1932 г. (млн. рублей)</w:t>
      </w:r>
    </w:p>
    <w:tbl>
      <w:tblPr>
        <w:tblW w:w="10456" w:type="dxa"/>
        <w:tblLook w:val="04A0" w:firstRow="1" w:lastRow="0" w:firstColumn="1" w:lastColumn="0" w:noHBand="0" w:noVBand="1"/>
      </w:tblPr>
      <w:tblGrid>
        <w:gridCol w:w="2614"/>
        <w:gridCol w:w="2614"/>
        <w:gridCol w:w="2614"/>
        <w:gridCol w:w="2614"/>
      </w:tblGrid>
      <w:tr w:rsidR="001002C3" w:rsidRPr="005E779E" w14:paraId="23F8588C" w14:textId="77777777" w:rsidTr="00027DFA">
        <w:tc>
          <w:tcPr>
            <w:tcW w:w="2614" w:type="dxa"/>
          </w:tcPr>
          <w:p w14:paraId="26FD5325" w14:textId="77777777" w:rsidR="003250DD" w:rsidRPr="005E779E" w:rsidRDefault="003250DD" w:rsidP="000B7A6C">
            <w:pPr>
              <w:spacing w:after="0" w:line="240" w:lineRule="auto"/>
              <w:jc w:val="both"/>
              <w:rPr>
                <w:rFonts w:ascii="Times New Roman" w:hAnsi="Times New Roman"/>
                <w:color w:val="000000" w:themeColor="text1"/>
                <w:sz w:val="16"/>
                <w:szCs w:val="16"/>
              </w:rPr>
            </w:pPr>
          </w:p>
        </w:tc>
        <w:tc>
          <w:tcPr>
            <w:tcW w:w="2614" w:type="dxa"/>
          </w:tcPr>
          <w:p w14:paraId="5F6B7A5F" w14:textId="77777777" w:rsidR="003250DD" w:rsidRPr="005E779E" w:rsidRDefault="003250DD" w:rsidP="000B7A6C">
            <w:pPr>
              <w:spacing w:after="0" w:line="240" w:lineRule="auto"/>
              <w:jc w:val="both"/>
              <w:rPr>
                <w:rFonts w:ascii="Times New Roman" w:hAnsi="Times New Roman"/>
                <w:color w:val="000000" w:themeColor="text1"/>
                <w:sz w:val="16"/>
                <w:szCs w:val="16"/>
              </w:rPr>
            </w:pPr>
            <w:r w:rsidRPr="005E779E">
              <w:rPr>
                <w:rFonts w:ascii="Times New Roman" w:eastAsia="Times New Roman" w:hAnsi="Times New Roman"/>
                <w:color w:val="000000" w:themeColor="text1"/>
                <w:sz w:val="16"/>
                <w:szCs w:val="16"/>
                <w:lang w:eastAsia="ru-RU"/>
              </w:rPr>
              <w:t>Одобренный план на 1931 г.</w:t>
            </w:r>
          </w:p>
        </w:tc>
        <w:tc>
          <w:tcPr>
            <w:tcW w:w="2614" w:type="dxa"/>
          </w:tcPr>
          <w:p w14:paraId="394276BD" w14:textId="77777777" w:rsidR="003250DD" w:rsidRPr="005E779E" w:rsidRDefault="003250DD" w:rsidP="000B7A6C">
            <w:pPr>
              <w:spacing w:after="0" w:line="240" w:lineRule="auto"/>
              <w:jc w:val="both"/>
              <w:rPr>
                <w:rFonts w:ascii="Times New Roman" w:hAnsi="Times New Roman"/>
                <w:color w:val="000000" w:themeColor="text1"/>
                <w:sz w:val="16"/>
                <w:szCs w:val="16"/>
              </w:rPr>
            </w:pPr>
            <w:r w:rsidRPr="005E779E">
              <w:rPr>
                <w:rFonts w:ascii="Times New Roman" w:eastAsia="Times New Roman" w:hAnsi="Times New Roman"/>
                <w:color w:val="000000" w:themeColor="text1"/>
                <w:sz w:val="16"/>
                <w:szCs w:val="16"/>
                <w:lang w:eastAsia="ru-RU"/>
              </w:rPr>
              <w:t>Проект НКВМ</w:t>
            </w:r>
          </w:p>
        </w:tc>
        <w:tc>
          <w:tcPr>
            <w:tcW w:w="2614" w:type="dxa"/>
          </w:tcPr>
          <w:p w14:paraId="45D1FD89" w14:textId="77777777" w:rsidR="003250DD" w:rsidRPr="005E779E" w:rsidRDefault="003250D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Проект Госплана</w:t>
            </w:r>
          </w:p>
        </w:tc>
      </w:tr>
      <w:tr w:rsidR="001002C3" w:rsidRPr="005E779E" w14:paraId="6D583406" w14:textId="77777777" w:rsidTr="00027DFA">
        <w:tc>
          <w:tcPr>
            <w:tcW w:w="2614" w:type="dxa"/>
          </w:tcPr>
          <w:p w14:paraId="0969BC4B" w14:textId="77777777" w:rsidR="003250DD" w:rsidRPr="005E779E" w:rsidRDefault="003250D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Оборонные заказы промышленности</w:t>
            </w:r>
          </w:p>
        </w:tc>
        <w:tc>
          <w:tcPr>
            <w:tcW w:w="2614" w:type="dxa"/>
          </w:tcPr>
          <w:p w14:paraId="38693D06" w14:textId="77777777" w:rsidR="003250DD" w:rsidRPr="005E779E" w:rsidRDefault="003250DD"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hAnsi="Times New Roman"/>
                <w:color w:val="000000" w:themeColor="text1"/>
                <w:sz w:val="16"/>
                <w:szCs w:val="16"/>
              </w:rPr>
              <w:t>852,4</w:t>
            </w:r>
          </w:p>
        </w:tc>
        <w:tc>
          <w:tcPr>
            <w:tcW w:w="2614" w:type="dxa"/>
          </w:tcPr>
          <w:p w14:paraId="3856D65D" w14:textId="77777777" w:rsidR="003250DD" w:rsidRPr="005E779E" w:rsidRDefault="003250DD"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hAnsi="Times New Roman"/>
                <w:color w:val="000000" w:themeColor="text1"/>
                <w:sz w:val="16"/>
                <w:szCs w:val="16"/>
              </w:rPr>
              <w:t>1629,3</w:t>
            </w:r>
          </w:p>
        </w:tc>
        <w:tc>
          <w:tcPr>
            <w:tcW w:w="2614" w:type="dxa"/>
          </w:tcPr>
          <w:p w14:paraId="766A76B0" w14:textId="77777777" w:rsidR="003250DD" w:rsidRPr="005E779E" w:rsidRDefault="003250D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1320,0</w:t>
            </w:r>
          </w:p>
        </w:tc>
      </w:tr>
      <w:tr w:rsidR="001002C3" w:rsidRPr="005E779E" w14:paraId="09CD5E0F" w14:textId="77777777" w:rsidTr="00027DFA">
        <w:tc>
          <w:tcPr>
            <w:tcW w:w="2614" w:type="dxa"/>
          </w:tcPr>
          <w:p w14:paraId="6BD0AE35" w14:textId="77777777" w:rsidR="003250DD" w:rsidRPr="005E779E" w:rsidRDefault="003250D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Строительство</w:t>
            </w:r>
          </w:p>
        </w:tc>
        <w:tc>
          <w:tcPr>
            <w:tcW w:w="2614" w:type="dxa"/>
          </w:tcPr>
          <w:p w14:paraId="3FB813FA" w14:textId="77777777" w:rsidR="003250DD" w:rsidRPr="005E779E" w:rsidRDefault="003250D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210,1</w:t>
            </w:r>
          </w:p>
        </w:tc>
        <w:tc>
          <w:tcPr>
            <w:tcW w:w="2614" w:type="dxa"/>
          </w:tcPr>
          <w:p w14:paraId="13E326E1" w14:textId="77777777" w:rsidR="003250DD" w:rsidRPr="005E779E" w:rsidRDefault="003250D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350,0</w:t>
            </w:r>
          </w:p>
        </w:tc>
        <w:tc>
          <w:tcPr>
            <w:tcW w:w="2614" w:type="dxa"/>
          </w:tcPr>
          <w:p w14:paraId="0C573D0A" w14:textId="77777777" w:rsidR="003250DD" w:rsidRPr="005E779E" w:rsidRDefault="003250D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w:t>
            </w:r>
          </w:p>
        </w:tc>
      </w:tr>
      <w:tr w:rsidR="001002C3" w:rsidRPr="005E779E" w14:paraId="5189967E" w14:textId="77777777" w:rsidTr="00027DFA">
        <w:tc>
          <w:tcPr>
            <w:tcW w:w="2614" w:type="dxa"/>
          </w:tcPr>
          <w:p w14:paraId="269E2C7C" w14:textId="77777777" w:rsidR="003250DD" w:rsidRPr="005E779E" w:rsidRDefault="003250D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Расходы по эксплуатации</w:t>
            </w:r>
          </w:p>
        </w:tc>
        <w:tc>
          <w:tcPr>
            <w:tcW w:w="2614" w:type="dxa"/>
          </w:tcPr>
          <w:p w14:paraId="1D1D4C05" w14:textId="77777777" w:rsidR="003250DD" w:rsidRPr="005E779E" w:rsidRDefault="003250D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68,1</w:t>
            </w:r>
          </w:p>
        </w:tc>
        <w:tc>
          <w:tcPr>
            <w:tcW w:w="2614" w:type="dxa"/>
          </w:tcPr>
          <w:p w14:paraId="07FA0D6C" w14:textId="77777777" w:rsidR="003250DD" w:rsidRPr="005E779E" w:rsidRDefault="003250D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101,6</w:t>
            </w:r>
          </w:p>
        </w:tc>
        <w:tc>
          <w:tcPr>
            <w:tcW w:w="2614" w:type="dxa"/>
          </w:tcPr>
          <w:p w14:paraId="1EE1A527" w14:textId="77777777" w:rsidR="003250DD" w:rsidRPr="005E779E" w:rsidRDefault="003250D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90</w:t>
            </w:r>
          </w:p>
        </w:tc>
      </w:tr>
      <w:tr w:rsidR="001002C3" w:rsidRPr="005E779E" w14:paraId="0023B07C" w14:textId="77777777" w:rsidTr="00027DFA">
        <w:tc>
          <w:tcPr>
            <w:tcW w:w="2614" w:type="dxa"/>
          </w:tcPr>
          <w:p w14:paraId="265F4AFF" w14:textId="77777777" w:rsidR="003250DD" w:rsidRPr="005E779E" w:rsidRDefault="003250D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Денежное содержание</w:t>
            </w:r>
          </w:p>
        </w:tc>
        <w:tc>
          <w:tcPr>
            <w:tcW w:w="2614" w:type="dxa"/>
          </w:tcPr>
          <w:p w14:paraId="30CCEFB4" w14:textId="77777777" w:rsidR="003250DD" w:rsidRPr="005E779E" w:rsidRDefault="003250D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659,4</w:t>
            </w:r>
          </w:p>
        </w:tc>
        <w:tc>
          <w:tcPr>
            <w:tcW w:w="2614" w:type="dxa"/>
          </w:tcPr>
          <w:p w14:paraId="4114A8C7" w14:textId="77777777" w:rsidR="003250DD" w:rsidRPr="005E779E" w:rsidRDefault="003250D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904,6</w:t>
            </w:r>
          </w:p>
        </w:tc>
        <w:tc>
          <w:tcPr>
            <w:tcW w:w="2614" w:type="dxa"/>
          </w:tcPr>
          <w:p w14:paraId="509BB2B5" w14:textId="77777777" w:rsidR="003250DD" w:rsidRPr="005E779E" w:rsidRDefault="003250D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804</w:t>
            </w:r>
          </w:p>
        </w:tc>
      </w:tr>
      <w:tr w:rsidR="001002C3" w:rsidRPr="005E779E" w14:paraId="3B98D188" w14:textId="77777777" w:rsidTr="00027DFA">
        <w:tc>
          <w:tcPr>
            <w:tcW w:w="2614" w:type="dxa"/>
          </w:tcPr>
          <w:p w14:paraId="743639A5" w14:textId="77777777" w:rsidR="003250DD" w:rsidRPr="005E779E" w:rsidRDefault="003250D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Весь оборонный бюджет</w:t>
            </w:r>
          </w:p>
        </w:tc>
        <w:tc>
          <w:tcPr>
            <w:tcW w:w="2614" w:type="dxa"/>
          </w:tcPr>
          <w:p w14:paraId="5F4E5C69" w14:textId="77777777" w:rsidR="003250DD" w:rsidRPr="005E779E" w:rsidRDefault="003250D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1790,0</w:t>
            </w:r>
          </w:p>
        </w:tc>
        <w:tc>
          <w:tcPr>
            <w:tcW w:w="2614" w:type="dxa"/>
          </w:tcPr>
          <w:p w14:paraId="5C3C1EE8" w14:textId="77777777" w:rsidR="003250DD" w:rsidRPr="005E779E" w:rsidRDefault="003250D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2985,5</w:t>
            </w:r>
          </w:p>
        </w:tc>
        <w:tc>
          <w:tcPr>
            <w:tcW w:w="2614" w:type="dxa"/>
          </w:tcPr>
          <w:p w14:paraId="097A804D" w14:textId="77777777" w:rsidR="003250DD" w:rsidRPr="005E779E" w:rsidRDefault="003250D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2514</w:t>
            </w:r>
          </w:p>
        </w:tc>
      </w:tr>
    </w:tbl>
    <w:p w14:paraId="70AB13CA" w14:textId="77777777" w:rsidR="003250DD" w:rsidRPr="005E779E" w:rsidRDefault="003250D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Источник:РГАЭ. Ф.4372. Оп.91. Д.1149. Л.21об. Предложения Штаба РККА и Снитко, Госплан, июль 1931 г. (9089).</w:t>
      </w:r>
    </w:p>
    <w:p w14:paraId="6E230DDD" w14:textId="77777777" w:rsidR="003250DD" w:rsidRPr="005E779E" w:rsidRDefault="003250DD" w:rsidP="000B7A6C">
      <w:pPr>
        <w:spacing w:after="0" w:line="240" w:lineRule="auto"/>
        <w:jc w:val="both"/>
        <w:rPr>
          <w:rFonts w:ascii="Times New Roman" w:hAnsi="Times New Roman"/>
          <w:color w:val="000000" w:themeColor="text1"/>
          <w:sz w:val="16"/>
          <w:szCs w:val="16"/>
        </w:rPr>
      </w:pPr>
    </w:p>
    <w:p w14:paraId="16F582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июля 1931 г. мятежные туркменские племена в Каракумах начали систематически нападать на военные посты и станции железной дороги. Туркменскую авиагруппу существенно усилили. Дополнительные самолеты двумя эшелонами с промежуточными посадками в Чарджуе и Мерве перелетели из Ташкента в Кызыл-Арват. Всего там собралось 28 Р-ЗЛД, один Ю-13, два Р-5 и один АНТ-9. Затем эти машины рассредоточили по передовым аэродромам, снабжавшимся в основном караванами верблюдов. Операциями командовал комбриг Богослов.</w:t>
      </w:r>
    </w:p>
    <w:p w14:paraId="638E46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Красная Армия начала Каракумский поход. Одну группировку войск высадили в порту Красноводск на Каспийском море. Она включала мотопехоту, броневики и танкетки. Туда также перелетело звено Р-ЗЛД.</w:t>
      </w:r>
    </w:p>
    <w:p w14:paraId="644177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 Красноводска сводный механизированный отряд двинулся в пустыню, пробираясь от колодца к колодцу. Там, где находили подходящие площадки, принимали транспортные самолеты Ю-13 с бензином и маслом для техники. Регулярно велась воздушная разведка, являвшаяся единственным средством получать оперативную информацию о противнике. Самолеты доставляли приказы, различные документы, карты, а также свежие газеты.</w:t>
      </w:r>
    </w:p>
    <w:p w14:paraId="3E8FAD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Уже с 14 августа авиация начала наносить удары по становищам мятежных племен. У колодца Аджи-Кую самолеты из Красноводска нашли пять глинобитных построек и около 40 юрт. Рядом паслись верблюды и лошади. Решили, что это "становище банды", и сбросили бомбы.И так почти каждый день. 21 августа три Р-ЗЛД встретили 70 - 80 всадников у колодца Накар-Кую. На них израсходовали 24 мелкие бомбы и 1000 патронов. В рапорте командир звена написал: "Отмечено значительное поражение людского состава". Басмачи тоже стреляли по самолетам. Но потерь летчики не имели. Зато 24 августа у кишлака Каравиколь разбился Р-ЗЛД, пытавшийся принять с земли донесение "кошкой".</w:t>
      </w:r>
    </w:p>
    <w:p w14:paraId="28FCE8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Похоже, что основное внимание при действиях авиации уделялось устрашению местного населения. Почти половина вылетов с бомбометанием осуществлялась по становищам, где на одного боеспособного мужчину приходилось свыше десятка женщин, детей и стариков. Вот как это описывалось в рапорте: "При появлении самолетов все живое покидает аул, укрываясь в барханах и зарослях саксаула... Количество аулов и юрт в районе действия авиации значительно уменьшилось". Правда, в некоторых случаях совершались так называемые "демонстративные" налеты. Машины просто на малой высоте несколько раз проходили над селением. Да и при бомбометании предпочитали скорее эффектность, чем эффективность. Брали в основном фугасные бомбы, от которых было много шума и пыли, а не осколочные, реально поражавшие людей.</w:t>
      </w:r>
    </w:p>
    <w:p w14:paraId="097999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Охотились самолеты и за караванами. Так, 28 августа близ колодца Герли-Ата разгромили караван из 250 - 300 верблюдов, сопровождаемый 70 всадниками.</w:t>
      </w:r>
    </w:p>
    <w:p w14:paraId="18F1E5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Туркмены не отсиживались в обороне. 24 августа 1931 г. одна из банд атаковала передовой аэродром. Все находившиеся на нем, около 40 человек, взялись за оружие и отстояли самолеты.</w:t>
      </w:r>
    </w:p>
    <w:p w14:paraId="12ED60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 августа банда Хакмурата осадила железнодорожную станцию Джебель. На помощь небольшому отряду красноармейцев и ополченцев вылетела группа Р-ЗЛД, которую вел Калюжнов. Самолеты сбросили бомбы, причем отличился экипаж Н.Д. Груздева, подавивший ключевую позицию противника у водокачки, а затем начали штурмовать пулеметным огнем. На самолете Калюжнова пулей пробило бензобак, но, ежеминутно рискуя взорваться, он продолжал атаки, пока басмачи не начали отступать. И только после этого совершил вынужденную посадку.</w:t>
      </w:r>
    </w:p>
    <w:p w14:paraId="378965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сентября пилота М.Ф. Мищенко отправили с донесением к командиру механизированного отряда Ломанову. При взлете от места стоянки отряда летчик в километре от него обнаружил засаду басмачей. Успев набрать высоту всего 50 м, он сразу ринулся в атаку. Бандиты встретили самолет ружейными залпами в упор и достигли двух попаданий. Находчивость пилота дала время мотоотряду развернуться в боевые порядки и смять засаду.</w:t>
      </w:r>
    </w:p>
    <w:p w14:paraId="2CF677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Механизированный отряд имел два крупных боя с туркменами, оба в начале сентября: у становища Туар и у колодца Чагыл. В обоих случаях атака поддерживалась авиацией, хотя, по сообщениям, "мощная бомбежка паники не вызвала". По меркам среднеазиатского театра, это действительно был серьезный удар. Так, Чагыл, который обороняли 600 человек, три дня бомбили и обстреливали 22 самолета, сбросив 392 бомбы. Конечно, кочевники не смогли устоять против артиллерии, авиации и танкеток. Оставив семьи и скот, мужчины отошли в пустыню. Потери красноармейцев были мизерны (правда, туркменам удалось сжечь одну танкетку). Отходящих преследовала авиация, обрушившая на их головы еще 150 бомб.</w:t>
      </w:r>
    </w:p>
    <w:p w14:paraId="064A59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С другой стороны навстречу в пески двигалась Хорезмская группа: моторизованный отряд ОГПУ и Туркменская кавбригада. Их поддерживали девять само- летов-разведчиков и один транспортный Ю-13. Хорезмская группа серьезного сопротивления не встретила. 18 сентября летнаб Мальцев нашел большое становище в урочище Кесекли. На следующий день туда подошел отряд ОГПУ. С рассветом по становищу отбомбились три Р-ЗЛД 40-го ао, несколько выстрелов сделала единственная пушка чекистов, а затем вперед двинулись грузовики с пулеметами. Но становище сдалось без боя. Пленных не могли даже сосчитать: в урочище пряталось около 20 000 человек с большим количеством скота. Их стоянки растянулись на 25 - 30 км.</w:t>
      </w:r>
    </w:p>
    <w:p w14:paraId="6D65B4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Позже авиацию использовали в основном для разведки и связи. Был случай, когда командир 35-го ао Калюжнов отправился искать мотомехотряд ОГПУ. Он долго летал и, наконец, увидел внизу следы машин. По ним летчик нашел отряд и сбросил вымпел с приказом. На бомбометание летали сравнительно редко. Несколько вылетов с бомбами сделали в районе Ташауза.</w:t>
      </w:r>
    </w:p>
    <w:p w14:paraId="71BBDE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концу сентября вся Туркменская авиагруппа уже была на грани потери боеспособности. Моторесурс был на исходе, поскольку летали вдвое больше нормы ("эксплуатация самолетов хищническая", сообщали из 35-го ао), запас бензина кончался, экипажи устали. Особенно страдали от нехватки воды. В одном случае даже собрали фляги у наземного состава, чтобы залить воду в радиаторы самолетов.</w:t>
      </w:r>
    </w:p>
    <w:p w14:paraId="4F4F16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Потери в технике имелись только за счет аварий. Из личного состава не в катастрофе погиб начальник штаба 37-й аэ А.Р Янко. Его убили в воздухе во время фотографирования стоянки басмачей у озера Джамала. Несколькими месяцами ранее летнаб Балакирев получил ранение в руку.</w:t>
      </w:r>
    </w:p>
    <w:p w14:paraId="2815FF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 экипажи имели большой налет, поскольку проводили в воздухе до шести - восьми часов в день. В некоторых случаях совершали за день до трех вылетов. Только за август - октябрь авиаторы сбросили 1875 бомб и расстреляли 25 883 патрона.</w:t>
      </w:r>
    </w:p>
    <w:p w14:paraId="6EEE1E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Хотя официально операции закончились в ноябре 1931 г., в пустыне оставили звено 40-го ао. Правда, его деятельность ограничили разведкой и демонстративными полетами (11985).</w:t>
      </w:r>
    </w:p>
    <w:p w14:paraId="400996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AE225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июле 1931 " торпедную ячейку", созданную 25 мая 1931 приказом Алксниса по предложению НИИ ВВС в составе 9-й авиабригады на Черном море, переименовали в торпедный отряд, который занимался испытаниями нового оружия. Командовал отрядом летчик Морозов. Машины базировались на аэродроме в Каче.</w:t>
      </w:r>
    </w:p>
    <w:p w14:paraId="60BBC3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ТБ-1 оснащались универсальным под- фюзеляжным мостом ОТБ, позволявшим подвеску высотной торпеды ВВС-15 и мины ВОМИЗА-ЮО, обладавших очень схожими парашютными системами с несколькими куполами, постепенно гасившими скорость падения, а также торпеды ВВС-12 для сбрасывания с бреющего полета.</w:t>
      </w:r>
    </w:p>
    <w:p w14:paraId="1E3FF3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Испытания мин и торпед проводились с марта 1932 г., а в сентябре перешли в стадию войсковых, когда торпедами попробовали поражать различные цели. Главной целью являлся линкор "Парижская Коммуна". Сбрасывали так, чтобы торпеда прошла заведомо мимо корабля. Дело в том, что не имелось "мнущихся" (учебных) боевых отделений. В октябре во время маневров флота пара ТБ-1 залпом сбросила торпеды по буксируемому щиту в 15 милях от Херсонесского маяка. Обе торпеды промахнулись. Трудно было учесть снос парашютов ветром. Но механизмы торпед отработали исправно. Всего до 14 ноября выполнили девять сбрасываний. Поскольку в первую очередь всех интересовала баллистика системы, то часто сбрасывались "болванки" - габаритно-весовые макеты без "начинки".</w:t>
      </w:r>
    </w:p>
    <w:p w14:paraId="16610A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Параллельно с колесными морским летчикам начали поставлять самолеты на поплавках. К концу сентября 1931 г. в 62-й эскадрилье 4-й авиабригады на Балтике уже имелись три ЮГ-1 и три ТБ-1 П. Последние использовали для испытаний торпеды ВВС-12. После доработки ее приняли на вооружение как ТАН-12, а ВВС-15 - как ТАВ-15. Мина ВОМИЗА-1СЮ получила новое обозначение МАВ-1, в 1933 г. ее модернизировали, несколько облегчив и упростив.</w:t>
      </w:r>
    </w:p>
    <w:p w14:paraId="23EADA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1933 г. арсенал морской авиации пополнился более мощной торпедой ТАВ-12. Она была прочнее, чем ТАВ-15 и позволяла сброс на скорости до 180 км/ч. Кроме того, у нее была выше скорость и втрое большая дальность хода. Парашютная система у торпед обоих типов была унифицирована. В 1934 - 1936 гг. под руководством В.И. Алферова доработали ТАН-12, получив модификацию ТАН-12А. Количество парашютов уменьшили с четырех до двух, а жесткий короб заменили мягкой упаковкой, при этом вес парашютной системы уменьшился с 450 до 120 кг, а время спуска с высоты 2000 м - с 55 до 45 с. Той же парашютной системой оснастили ТАВ-15, получив ТАВ-15А. Эти мины и торпеды стали основным вооружением советской минно-торпедной авиации в 1930-х гг.</w:t>
      </w:r>
    </w:p>
    <w:p w14:paraId="03D55F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1932 г. по постановлению Реввоенсовета приступили к формированию первых боевых частей минно-торпедной авиации. В их число вошли 121-я эскадрилья на Балтике, отряд в составе 124-й эскадрильи на Черном море и 1-я эскадрилья в составе Морских сил Дальнего Востока. По штату торпедной эскадрилье полагалось 12 машин. Эскадрилья делилась на три отряда. Все эти части создавались на базе уже существующих, но имевших другое назначение. Например, чтобы усилить морскую авиацию на Дальнем Востоке, которому придавалось особое значение, в марте 1932 г. в Хабаровск перебросили 51-ю эскадрилью из Воронежа, переименованную в 1-ю.</w:t>
      </w:r>
    </w:p>
    <w:p w14:paraId="2BC9BD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 процесс сдерживался медленным поступлением мостов, мин и торпед. Реально к декабрю 1932 г. ВВС РККА имели в общей сложности лишь десять самолетов, оснащенных надлежащим образом: четыре на Черном море, столько же на Балтике и три на Дальнем Востоке. Для них на складах лежали 27 боевых торпед и всего четыре мины. Соответственно, задержалась и специальная подготовка экипажей. Так, освоение высотного торпедометания в 1-й эскадрилье первым начал отряд П.И. Сучко весной 1933 г. (12001).</w:t>
      </w:r>
    </w:p>
    <w:p w14:paraId="75814D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C7432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июле 1931 года в пайке 400 г хлеба ржаного заменены равным количеством хлеба пшеничного; вместо 20 г жиров животных был установлен отпуск 30 г масла растительного; увеличились нормы выдачи сахара (9090).</w:t>
      </w:r>
    </w:p>
    <w:p w14:paraId="10D16E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D77FA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июле 1931 Тухачевский обсуждал вопрос об использовании ВВС в качестве сдерживающего фактора в случае конфликта с Японией. Оказалось - во время, т.к. в сентябре Япония торглась в Манчжурию (089,148).</w:t>
      </w:r>
    </w:p>
    <w:p w14:paraId="0ED03F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621325E"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22963FAE"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B0E744B" w14:textId="77777777" w:rsidR="003159CA" w:rsidRPr="005E779E" w:rsidRDefault="003159C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июле 1931 состоялся первый полет Macchi MC72 (20804).</w:t>
      </w:r>
    </w:p>
    <w:p w14:paraId="34903E88" w14:textId="77777777" w:rsidR="003159CA" w:rsidRPr="005E779E" w:rsidRDefault="003159CA" w:rsidP="000B7A6C">
      <w:pPr>
        <w:spacing w:after="0" w:line="240" w:lineRule="auto"/>
        <w:jc w:val="both"/>
        <w:rPr>
          <w:rFonts w:ascii="Times New Roman" w:hAnsi="Times New Roman"/>
          <w:color w:val="000000" w:themeColor="text1"/>
          <w:sz w:val="16"/>
          <w:szCs w:val="16"/>
        </w:rPr>
      </w:pPr>
    </w:p>
    <w:p w14:paraId="7915AF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июле и сентябре 1931 г. в ходе переговоров с германским канцлером Х. Брюнингрм в Париже и Берлине в обмен на крупную финансовую помощь Франция потребовала от Германии «политического перемирия» и неувеличения Берлином своих военных расходов. В течение всего 1931 г французская дипломатия, пытаясь склонить Берлин на свою сторону, работала на то, чтобы расстроить отношения Германии и Советского Союза. В ходе сентябрьских переговоров в Берлине Лаваль запугивал германских политиков опасностью «большевизации». После анализа бесед с французскими политиками Лавалем и Брианом министр иностранных дел Германии Ю. Курциус сделал вывод: «У меня сложилось впечатление, что для французов прежде всего важно оттеснить нас от России» (Ахтамзян А. А. Указ, соч., с. 278.). Встречное движение было и со стороны Германии. Так, Ф. фон Папен, сменивший Брюнинга на посту канцлера Германии 4 июля 1932 г., предложил французам «германо-франко-польский союз для захвата Украины» (Heinrich Bruning. Memoiren. Stuttgart, 1970. S. 616.). В дни завершения работы Лозаннской конференции в июле 1932 г. Папен предложил Франции сотрудничество генштабов двух стран с целью образования затем антисоветского фронта. Параллельно французы усилили дипломатический натиск и на Москву, предложив ей 20 апреля 1931 г. заключить пакт о ненападении. Но когда 10 августа 1931 г. Бриан и советский полпред В. С. Довгалевский парафировали текст пакта, французы выдвинули условием подписания пакта заключение СССР аналогичного пакта с Польшей. Спустя два месяца, 14 октября 1931 г. Литвинов предложил польскому поверенному в Москве подписать советско-польский пакт о ненападении. 25 июля 1932 г. он был подписан, а 29 ноября 1932 г. состоялось подписание и советско-французского пакта о ненападении. При этом Париж пытался представить дело таким образом, что переговоры о пакте были начаты по инициативе Москвы, и Париж пошел на них лишь после того, как поверил, что аналогичные переговоры ведутся также между Москвой и Варшавой. За всеми этими французскими шагами стоял замысел рассорить Германию с СССР и в конечном счете перетянуть Берлин на свою сторону, продемонстрировав ему сначала ненадежность Москвы как стратегического союзника. Ведь, действительно, получалось, что СССР заключил пакты с двумя злейшими противниками Германии, против которых в Берлине были обращены взоры практически всех политических партий страны, жившей идеей пересмотра границ. Однако Москва, сыграв «парижскую партию», сумела доказать Берлину тщетность всех усилий французов. И не случайно тогдашний канцлер Германии Брюнинг в своих мемуарах по этому поводу писал: «С весны 1931 года французы то и дело безрезультатно пытались отколоть от нас Россию» (Heinrich Bruning. Memoiren. Stuttgart, 1970. S. 616.). Симптоматичны в этой связи следующие слова Брюнинга: «Мы отпустим мизинец России, за который держимся сейчас, только тогда, когда будем твердо держать в своих руках руку Франции». Но этой-то «руки Франции» как раз и не было. Не случайно Брюнинг, сожалея впоследствии о начавшихся портиться тогда советско-германских отношениях, отметил: «Основа для полного отхода от России была заложена без какой-либо выгоды для нас взамен» (Ахтамзян А. А. Указ, соч, с. 277—278.). Таким образом, Парижу таки удалось добиться одной из своих целей — между Москвой и Берлином пролегла тень недоверия, а германская пресса истолковала переговоры СССР с Францией и Польшей и последующее заключение соответствующих пактов о ненападении как «взрыв» Рапалло. Москва свою «податливость» Франции объясняла реализацией политики безопасности, выражавшейся в заключении ряда двусторонних пактов о ненападении со своими соседями Турцией, Ираном, Афганистаном, той же Германией (11784).</w:t>
      </w:r>
    </w:p>
    <w:p w14:paraId="4FFBCC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91CBC84" w14:textId="77777777" w:rsidR="00017026" w:rsidRPr="00142305" w:rsidRDefault="00017026" w:rsidP="00017026">
      <w:pPr>
        <w:spacing w:after="0" w:line="240" w:lineRule="auto"/>
        <w:jc w:val="both"/>
        <w:rPr>
          <w:rStyle w:val="aff0"/>
          <w:rFonts w:ascii="Times New Roman" w:hAnsi="Times New Roman" w:cs="Times New Roman"/>
          <w:color w:val="0070C0"/>
          <w:spacing w:val="0"/>
          <w:sz w:val="16"/>
          <w:szCs w:val="16"/>
        </w:rPr>
      </w:pPr>
      <w:r w:rsidRPr="00142305">
        <w:rPr>
          <w:rStyle w:val="aff0"/>
          <w:rFonts w:ascii="Times New Roman" w:hAnsi="Times New Roman" w:cs="Times New Roman"/>
          <w:color w:val="0070C0"/>
          <w:spacing w:val="0"/>
          <w:sz w:val="16"/>
          <w:szCs w:val="16"/>
        </w:rPr>
        <w:t>В июле 1931 г. Бри</w:t>
      </w:r>
      <w:r w:rsidRPr="00142305">
        <w:rPr>
          <w:rStyle w:val="aff0"/>
          <w:rFonts w:ascii="Times New Roman" w:hAnsi="Times New Roman" w:cs="Times New Roman"/>
          <w:color w:val="0070C0"/>
          <w:spacing w:val="0"/>
          <w:sz w:val="16"/>
          <w:szCs w:val="16"/>
        </w:rPr>
        <w:softHyphen/>
        <w:t xml:space="preserve">танское министерство авиации выпустило техническое задание </w:t>
      </w:r>
      <w:r w:rsidRPr="00142305">
        <w:rPr>
          <w:rStyle w:val="aff0"/>
          <w:rFonts w:ascii="Times New Roman" w:hAnsi="Times New Roman" w:cs="Times New Roman"/>
          <w:color w:val="0070C0"/>
          <w:spacing w:val="0"/>
          <w:sz w:val="16"/>
          <w:szCs w:val="16"/>
          <w:lang w:val="en-US"/>
        </w:rPr>
        <w:t>G</w:t>
      </w:r>
      <w:r w:rsidRPr="00142305">
        <w:rPr>
          <w:rStyle w:val="aff0"/>
          <w:rFonts w:ascii="Times New Roman" w:hAnsi="Times New Roman" w:cs="Times New Roman"/>
          <w:color w:val="0070C0"/>
          <w:spacing w:val="0"/>
          <w:sz w:val="16"/>
          <w:szCs w:val="16"/>
        </w:rPr>
        <w:t>.4/31 на современную машину различного назначения. Новый самолет должен был бомбить днем и ночью, в горизонтальном полете и с пикирования, наносить штурмовые удары и вести разведку. Затем добавили функции торпедоносца, патрульного самолета и даже перехватчика и истребителя сопровождения.</w:t>
      </w:r>
    </w:p>
    <w:p w14:paraId="4E78D6A4" w14:textId="77777777" w:rsidR="00017026" w:rsidRPr="00142305" w:rsidRDefault="00017026" w:rsidP="00017026">
      <w:pPr>
        <w:spacing w:after="0" w:line="240" w:lineRule="auto"/>
        <w:jc w:val="both"/>
        <w:rPr>
          <w:rStyle w:val="aff0"/>
          <w:rFonts w:ascii="Times New Roman" w:hAnsi="Times New Roman" w:cs="Times New Roman"/>
          <w:color w:val="0070C0"/>
          <w:spacing w:val="0"/>
          <w:sz w:val="16"/>
          <w:szCs w:val="16"/>
        </w:rPr>
      </w:pPr>
      <w:r w:rsidRPr="00142305">
        <w:rPr>
          <w:rStyle w:val="aff0"/>
          <w:rFonts w:ascii="Times New Roman" w:hAnsi="Times New Roman" w:cs="Times New Roman"/>
          <w:color w:val="0070C0"/>
          <w:spacing w:val="0"/>
          <w:sz w:val="16"/>
          <w:szCs w:val="16"/>
        </w:rPr>
        <w:lastRenderedPageBreak/>
        <w:t>Большинство английских фирм отнеслись положительно к заданию. Было рассмотрено 11 различных проектов самолетов, среди них 8 бипланов и 3 моноплана, причем фирмы «Бри</w:t>
      </w:r>
      <w:r w:rsidRPr="00142305">
        <w:rPr>
          <w:rStyle w:val="aff0"/>
          <w:rFonts w:ascii="Times New Roman" w:hAnsi="Times New Roman" w:cs="Times New Roman"/>
          <w:color w:val="0070C0"/>
          <w:spacing w:val="0"/>
          <w:sz w:val="16"/>
          <w:szCs w:val="16"/>
        </w:rPr>
        <w:softHyphen/>
        <w:t>столь» и «Виккерс» представили самолеты обеих схем. Кон</w:t>
      </w:r>
      <w:r w:rsidRPr="00142305">
        <w:rPr>
          <w:rStyle w:val="aff0"/>
          <w:rFonts w:ascii="Times New Roman" w:hAnsi="Times New Roman" w:cs="Times New Roman"/>
          <w:color w:val="0070C0"/>
          <w:spacing w:val="0"/>
          <w:sz w:val="16"/>
          <w:szCs w:val="16"/>
        </w:rPr>
        <w:softHyphen/>
        <w:t>структоры фирмы «Виккерс» разработали сразу три проекта: биплан «Тип 253», моноплан «Тип 246» и еще один моноплан с двигателем «Кестрел».</w:t>
      </w:r>
    </w:p>
    <w:p w14:paraId="0CCF1E62" w14:textId="77777777" w:rsidR="00017026" w:rsidRPr="00142305" w:rsidRDefault="00017026" w:rsidP="00017026">
      <w:pPr>
        <w:spacing w:after="0" w:line="240" w:lineRule="auto"/>
        <w:jc w:val="both"/>
        <w:rPr>
          <w:rStyle w:val="aff0"/>
          <w:rFonts w:ascii="Times New Roman" w:hAnsi="Times New Roman" w:cs="Times New Roman"/>
          <w:color w:val="0070C0"/>
          <w:spacing w:val="0"/>
          <w:sz w:val="16"/>
          <w:szCs w:val="16"/>
        </w:rPr>
      </w:pPr>
      <w:r w:rsidRPr="00142305">
        <w:rPr>
          <w:rStyle w:val="aff0"/>
          <w:rFonts w:ascii="Times New Roman" w:hAnsi="Times New Roman" w:cs="Times New Roman"/>
          <w:color w:val="0070C0"/>
          <w:spacing w:val="0"/>
          <w:sz w:val="16"/>
          <w:szCs w:val="16"/>
        </w:rPr>
        <w:t>Из 11 конкурсных машин только 3 про</w:t>
      </w:r>
      <w:r w:rsidRPr="00142305">
        <w:rPr>
          <w:rStyle w:val="aff0"/>
          <w:rFonts w:ascii="Times New Roman" w:hAnsi="Times New Roman" w:cs="Times New Roman"/>
          <w:color w:val="0070C0"/>
          <w:spacing w:val="0"/>
          <w:sz w:val="16"/>
          <w:szCs w:val="16"/>
        </w:rPr>
        <w:softHyphen/>
        <w:t>тотипа имели официальный заказ.</w:t>
      </w:r>
    </w:p>
    <w:p w14:paraId="00CD500D" w14:textId="77777777" w:rsidR="00017026" w:rsidRPr="00142305" w:rsidRDefault="00017026" w:rsidP="00017026">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Работами по самолетам Виккерс «Тип 253» и «Тип 246» руководил Барнс Н. Уоллес, который ранее занимался строительством дирижаблей. Он изобрел уникальную «геодезическую» конструкцию строительства планера самолета (геодезической линией называется кратчайшая кривая, соеди</w:t>
      </w:r>
      <w:r w:rsidRPr="00142305">
        <w:rPr>
          <w:rStyle w:val="aff0"/>
          <w:rFonts w:ascii="Times New Roman" w:hAnsi="Times New Roman" w:cs="Times New Roman"/>
          <w:color w:val="0070C0"/>
          <w:spacing w:val="0"/>
          <w:sz w:val="16"/>
          <w:szCs w:val="16"/>
        </w:rPr>
        <w:softHyphen/>
        <w:t>няющая две точки на криволинейной поверхности). Она по</w:t>
      </w:r>
      <w:r w:rsidRPr="00142305">
        <w:rPr>
          <w:rStyle w:val="aff0"/>
          <w:rFonts w:ascii="Times New Roman" w:hAnsi="Times New Roman" w:cs="Times New Roman"/>
          <w:color w:val="0070C0"/>
          <w:spacing w:val="0"/>
          <w:sz w:val="16"/>
          <w:szCs w:val="16"/>
        </w:rPr>
        <w:softHyphen/>
        <w:t>зволяла обеспечить максимум прочности при минимуме веса. Каркас фюзеляжа состоял из коробчатых шпангоутов, которые были соединены трубчатыми лонжеронами и геодезической сет</w:t>
      </w:r>
      <w:r w:rsidRPr="00142305">
        <w:rPr>
          <w:rStyle w:val="aff0"/>
          <w:rFonts w:ascii="Times New Roman" w:hAnsi="Times New Roman" w:cs="Times New Roman"/>
          <w:color w:val="0070C0"/>
          <w:spacing w:val="0"/>
          <w:sz w:val="16"/>
          <w:szCs w:val="16"/>
        </w:rPr>
        <w:softHyphen/>
        <w:t>кой, составленной из криволинейных элементов. Эти элементы различной длины и кривизны получали фасонной прокаткой металлических полос. Особенность «геодезической» конструк</w:t>
      </w:r>
      <w:r w:rsidRPr="00142305">
        <w:rPr>
          <w:rStyle w:val="aff0"/>
          <w:rFonts w:ascii="Times New Roman" w:hAnsi="Times New Roman" w:cs="Times New Roman"/>
          <w:color w:val="0070C0"/>
          <w:spacing w:val="0"/>
          <w:sz w:val="16"/>
          <w:szCs w:val="16"/>
        </w:rPr>
        <w:softHyphen/>
        <w:t>ции заключается в замене работающей на изгиб и кручение обшивки геодезической сеткой, обтянутой полотном. Эта кон</w:t>
      </w:r>
      <w:r w:rsidRPr="00142305">
        <w:rPr>
          <w:rStyle w:val="aff0"/>
          <w:rFonts w:ascii="Times New Roman" w:hAnsi="Times New Roman" w:cs="Times New Roman"/>
          <w:color w:val="0070C0"/>
          <w:spacing w:val="0"/>
          <w:sz w:val="16"/>
          <w:szCs w:val="16"/>
        </w:rPr>
        <w:softHyphen/>
        <w:t>струкция, позволяющая полностью использовать внутренние объемы, придавала самолету обтекаемую форму и жесткость, а также была очень легка. По этой конструкции на фирме «Вик</w:t>
      </w:r>
      <w:r w:rsidRPr="00142305">
        <w:rPr>
          <w:rStyle w:val="aff0"/>
          <w:rFonts w:ascii="Times New Roman" w:hAnsi="Times New Roman" w:cs="Times New Roman"/>
          <w:color w:val="0070C0"/>
          <w:spacing w:val="0"/>
          <w:sz w:val="16"/>
          <w:szCs w:val="16"/>
        </w:rPr>
        <w:softHyphen/>
        <w:t>керс» в дальнейшем были построены еще два самолета: бомбар</w:t>
      </w:r>
      <w:r w:rsidRPr="00142305">
        <w:rPr>
          <w:rStyle w:val="aff0"/>
          <w:rFonts w:ascii="Times New Roman" w:hAnsi="Times New Roman" w:cs="Times New Roman"/>
          <w:color w:val="0070C0"/>
          <w:spacing w:val="0"/>
          <w:sz w:val="16"/>
          <w:szCs w:val="16"/>
        </w:rPr>
        <w:softHyphen/>
        <w:t xml:space="preserve">дировщик «Веллингтон» (1936 г.) и пассажирский самолет </w:t>
      </w:r>
      <w:r w:rsidRPr="00142305">
        <w:rPr>
          <w:rStyle w:val="aff0"/>
          <w:rFonts w:ascii="Times New Roman" w:hAnsi="Times New Roman" w:cs="Times New Roman"/>
          <w:color w:val="0070C0"/>
          <w:spacing w:val="0"/>
          <w:sz w:val="16"/>
          <w:szCs w:val="16"/>
          <w:lang w:val="en-US"/>
        </w:rPr>
        <w:t>V</w:t>
      </w:r>
      <w:r w:rsidRPr="00142305">
        <w:rPr>
          <w:rStyle w:val="aff0"/>
          <w:rFonts w:ascii="Times New Roman" w:hAnsi="Times New Roman" w:cs="Times New Roman"/>
          <w:color w:val="0070C0"/>
          <w:spacing w:val="0"/>
          <w:sz w:val="16"/>
          <w:szCs w:val="16"/>
        </w:rPr>
        <w:t>.</w:t>
      </w:r>
      <w:r w:rsidRPr="00142305">
        <w:rPr>
          <w:rStyle w:val="aff0"/>
          <w:rFonts w:ascii="Times New Roman" w:hAnsi="Times New Roman" w:cs="Times New Roman"/>
          <w:color w:val="0070C0"/>
          <w:spacing w:val="0"/>
          <w:sz w:val="16"/>
          <w:szCs w:val="16"/>
          <w:lang w:val="en-US"/>
        </w:rPr>
        <w:t>C</w:t>
      </w:r>
      <w:r w:rsidRPr="00142305">
        <w:rPr>
          <w:rStyle w:val="aff0"/>
          <w:rFonts w:ascii="Times New Roman" w:hAnsi="Times New Roman" w:cs="Times New Roman"/>
          <w:color w:val="0070C0"/>
          <w:spacing w:val="0"/>
          <w:sz w:val="16"/>
          <w:szCs w:val="16"/>
        </w:rPr>
        <w:t>.1 «Викинг» (1944 г.) (25675).</w:t>
      </w:r>
    </w:p>
    <w:p w14:paraId="5F84A9E9" w14:textId="77777777" w:rsidR="00017026" w:rsidRPr="00142305" w:rsidRDefault="00017026" w:rsidP="00017026">
      <w:pPr>
        <w:spacing w:after="0" w:line="240" w:lineRule="auto"/>
        <w:jc w:val="both"/>
        <w:rPr>
          <w:rFonts w:ascii="Times New Roman" w:hAnsi="Times New Roman"/>
          <w:color w:val="0070C0"/>
          <w:sz w:val="16"/>
          <w:szCs w:val="16"/>
        </w:rPr>
      </w:pPr>
    </w:p>
    <w:p w14:paraId="09E1FB89"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3D7B7BD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54B46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июле-октябре 1932 г. на Копейском озере, а затем в ноябре - в Копорском заливе испытывали мину МАВ-2 (ВОМИЗА-250). Полигонные испытания тогда прекратили из-за неудовлетворительной работы механизма расцепки мины и якоря. Конструкцию доработали и вновь испытывали в Финском заливе в июле-сентябре 1933 г. Тяжелую и громоздкую МАВ-2 поплавковый ТБ-1 а поднять не мог, колесный ТБ-1 взлетал с ней, но за счет значительного сокращения запаса горючего, а следовательно, уменьшения радиуса действия. Единственным полноценным носителем ВОМИЗы-250 являлся четырехмоторный ТБ-3. В ходе доработки вес мины уменьшили до 1330 кг. В 1934 г. промышленности запланировали выпуск 100 усовершенствованных МАВ-2. Позднее последовали новые заказы. Всего в 30-х годах изготовили около 200 таких мин. В 1936 г. производство, а точнее переделка, мин МАВ-1 и МАВ-2 было прекращено.</w:t>
      </w:r>
    </w:p>
    <w:p w14:paraId="73CFAF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Мины, сбрасывавшиеся с парашютами, обладали двумя существенными недостатками: значительным временем спуска и большим отклонением от точки прицеливания, обусловленным сносом от ветра. Попытались обойтись без парашютов (12002).</w:t>
      </w:r>
    </w:p>
    <w:p w14:paraId="019226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EDB18EB"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1657E038"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44172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июле-августе 1931 года на НИАПе проведены стрельбы с целью подбора зарядов к 203-мм гаубице Б-4. Серийное производство гаубиц Б-4 было начато на заводе "Большевик" в 1932 году (3861).</w:t>
      </w:r>
    </w:p>
    <w:p w14:paraId="1DC12E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DFFFC5B" w14:textId="77777777" w:rsidR="003159CA" w:rsidRPr="005E779E" w:rsidRDefault="003159C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июле-августе 1931 года на Научно-исследовательский артиллерийский полигон (НИАП), под Ленинградом были проведены стрельбы для подбора зарядов для 203 мм гаубицы Б-4. Испытания продлились целый год, в течение которого в конструкцию орудия и лафета было внесено большое количество изменений и дополнений. Гаубица изо всех сил сопротивлялась испытателям — достаточно сказать, что при стрельбе полным зарядом весной 1932 года у одного из первых образцов разорвало ствол. Тем не менее в том же году на заводе «Большевик» началось серийное производство. Одновременно была проведена модернизация гаубицы, позволившая улучшить баллистику. На тот же лафет наложили более длинный (на три калибра) и прочный ствол. Орудия со старым стволом получили наименование «Б-4 малой мощности» (ММ), а с новым стволом — «Б-4 большой мощности» (БМ). Эти гаубицы отличались и по устройству казенника: его бородка у БМ сзади имела вид прямоугольника с острыми краями, а у ММ сужена кверху и скруглена. Иных внешних отличий орудия не имели. Постепенно в ходе заводских ремонтов все гаубицы ММ были переделаны в вариант БМ (22974).</w:t>
      </w:r>
    </w:p>
    <w:p w14:paraId="408118A2" w14:textId="77777777" w:rsidR="003159CA" w:rsidRPr="005E779E" w:rsidRDefault="003159CA" w:rsidP="000B7A6C">
      <w:pPr>
        <w:spacing w:after="0" w:line="240" w:lineRule="auto"/>
        <w:jc w:val="both"/>
        <w:rPr>
          <w:rFonts w:ascii="Times New Roman" w:hAnsi="Times New Roman"/>
          <w:color w:val="000000" w:themeColor="text1"/>
          <w:sz w:val="16"/>
          <w:szCs w:val="16"/>
        </w:rPr>
      </w:pPr>
    </w:p>
    <w:p w14:paraId="613BE8A7" w14:textId="77777777" w:rsidR="00017026" w:rsidRPr="00142305" w:rsidRDefault="00017026" w:rsidP="000170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периоде июля по ноябрь 1931 г. на НИАБТП проводились государственные испытания трактора «Сталинец» №3 Челябинского опытного завода с четырехскоростной коробкой передач Машину обмерили, взвесили, отдинамометрировали и после обкатки направили на испытания. По программе, утвержденной 4-й секцией НТКУММ, целью испытаний являлось определение тяговых и скоростных качеств трактора при перевозке тяжелых орудий АРГК, прочности и надежности, удобства обслуживания, расхода горючего и проходимости. «Сталинец-3» испытывался совместно с американским прототипом и на некоторых этапах – параллельно с трактором №2.</w:t>
      </w:r>
    </w:p>
    <w:p w14:paraId="5259334C" w14:textId="77777777" w:rsidR="00017026" w:rsidRPr="00142305" w:rsidRDefault="00017026" w:rsidP="000170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Планировалось испытать трактор пробегом на 100 км с грузом 10-11,5 т, причем 50 км предполагалось пройти по дорогам с твердым покрытием и 50 км – по грунтовым. Кроме того, в ходе испытаний выполнялись выезды и снятия с артиллерийских позиций, осуществлялось движение по местности с ямами и ухабами, преодолевались подъемы, броды, участки с песчаным грунтом и заболоченные участки. Всего в ходе испытаний трактор №3 прошел 311 км по шоссе и 134 км по грунту.</w:t>
      </w:r>
    </w:p>
    <w:p w14:paraId="4311CFEA" w14:textId="77777777" w:rsidR="00017026" w:rsidRPr="00142305" w:rsidRDefault="00017026" w:rsidP="000170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Был выявлен ряд серьезных дефектов, связанных с надежностью трактора. Произошло ослабление болтов, крепящих мотор к раме трактора, что объяснили несоответствием диаметра болтов размеру отверстий в лапах мотора и раме. Погнулись края вилки сцепного прибора, и шкворневой болт оказался зажатым в лапах вилки. Дважды отламывался край кронштейна, поддерживающего бензобак. Фрикционы гусениц грелись и пробуксовывали, в результате чего терялось управление (проблему устранили вытачиванием дополнительных шайб 100 мм для лучшего сжатия пружин). Оборвалось крепление радиатора к блоку мотора, в результате радиатор наклонился вперед и задел кожухом за вентилятор. Это привело к поломке его лопастей, которые пришлось приваривать. Были срезаны болты крепления радиатора. Срезались и заменялись трижды болты, крепящие салазки ленивцев. Получила повреждения рама трактора. Бензобак терял герметичность в швах и соединениях, и его пришлось четыре раза запаивать.</w:t>
      </w:r>
    </w:p>
    <w:p w14:paraId="1D620DAA" w14:textId="77777777" w:rsidR="00017026" w:rsidRPr="00142305" w:rsidRDefault="00017026" w:rsidP="000170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Из эксплуатационных недостатков было отмечено отсутствие краника для слива воды из помпы.</w:t>
      </w:r>
    </w:p>
    <w:p w14:paraId="55B2FB70" w14:textId="77777777" w:rsidR="00017026" w:rsidRPr="00142305" w:rsidRDefault="00017026" w:rsidP="000170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итогам испытаний было составлено заключение:</w:t>
      </w:r>
    </w:p>
    <w:p w14:paraId="4E64D8DE" w14:textId="77777777" w:rsidR="00017026" w:rsidRPr="00142305" w:rsidRDefault="00017026" w:rsidP="000170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«Трактор «Сталинец 3» имеет все преимущества тракторов «Катерпиллер»:</w:t>
      </w:r>
    </w:p>
    <w:p w14:paraId="0DE0AD0B" w14:textId="77777777" w:rsidR="00017026" w:rsidRPr="00142305" w:rsidRDefault="00017026" w:rsidP="000170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Хорошую проходимость по мягким грунтам и песку. Со 155 мм пушкой легко преодолевает пески, где пушка погружается до 50 см.</w:t>
      </w:r>
    </w:p>
    <w:p w14:paraId="7F5B4427" w14:textId="77777777" w:rsidR="00017026" w:rsidRPr="00142305" w:rsidRDefault="00017026" w:rsidP="000170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 Удобен и прост в управлении и обслуживании.</w:t>
      </w:r>
    </w:p>
    <w:p w14:paraId="6B527F1B" w14:textId="77777777" w:rsidR="00017026" w:rsidRPr="00142305" w:rsidRDefault="00017026" w:rsidP="000170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 Скорости на грунтовых дорогах все четыре легко используются. По ровной дороге трактор может все время игги на четвертой передаче, в худших местах на третьей и лишь в особо трудных условиях на второй или первой передаче, но увеличение скоростей повлекло за собой следующее:</w:t>
      </w:r>
    </w:p>
    <w:p w14:paraId="56E32139" w14:textId="77777777" w:rsidR="00017026" w:rsidRPr="00142305" w:rsidRDefault="00017026" w:rsidP="000170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а) пробуксовывание дисков фрикционов, чем нарушается управление,</w:t>
      </w:r>
    </w:p>
    <w:p w14:paraId="627E6FA1" w14:textId="77777777" w:rsidR="00017026" w:rsidRPr="00142305" w:rsidRDefault="00017026" w:rsidP="000170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б) срезывание болтов напраляющих передних колес гусениц, особенно по дорогам с твердым покрытием,</w:t>
      </w:r>
    </w:p>
    <w:p w14:paraId="278D7138" w14:textId="77777777" w:rsidR="00017026" w:rsidRPr="00142305" w:rsidRDefault="00017026" w:rsidP="000170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то же болтов на соединительных траверсах рам гусениц и даже поломку этих траверсов,</w:t>
      </w:r>
    </w:p>
    <w:p w14:paraId="783D433D" w14:textId="77777777" w:rsidR="00017026" w:rsidRPr="00142305" w:rsidRDefault="00017026" w:rsidP="000170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г) поломку кронштейнов бензобака, разрыв бензопроводов, ослабление швов и заклепок бензобака,</w:t>
      </w:r>
    </w:p>
    <w:p w14:paraId="61496974" w14:textId="77777777" w:rsidR="00017026" w:rsidRPr="00142305" w:rsidRDefault="00017026" w:rsidP="000170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 если бы была на машине крыша типа «Катерпиллер», то она бы быстро поломала кронштейны от тряски.</w:t>
      </w:r>
    </w:p>
    <w:p w14:paraId="585F6F5D" w14:textId="77777777" w:rsidR="00017026" w:rsidRPr="00142305" w:rsidRDefault="00017026" w:rsidP="000170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Трактор «Сталинец» с четырехскоростной коробкой передач является хорошим типом трактора для перевозки тяжелых орудий Артиллерии Резерва Главного Командования, но при условии увеличения прочности указанных слабых деталей и обязательного введения съемных или постоянных резиновых башмаков на гусеницы для езды по твердым дорогам, без каковых по таким дорогам его пускать нельзя».</w:t>
      </w:r>
    </w:p>
    <w:p w14:paraId="60403606" w14:textId="77777777" w:rsidR="00017026" w:rsidRPr="00142305" w:rsidRDefault="00017026" w:rsidP="000170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Окончательный вывод о принятии на вооружение быстроходной версии трактора предстояло сделать на основании результатов зимних испытаний. На эти испытания поступили «Сталинец» №3 с четырехскоростной коробкой скоростей и образец №4, подобный американскому прототипу, но без установки тента. Испытания проходили в Подмосковье совместно с «Sixty», трактором КПД конструкции АТТБ ОГПУ и некоторыми другими.</w:t>
      </w:r>
    </w:p>
    <w:p w14:paraId="1A656BF5" w14:textId="77777777" w:rsidR="00017026" w:rsidRPr="00142305" w:rsidRDefault="00017026" w:rsidP="000170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 движении на малых скоростях трактор №3 не вызвал серьезных нареканий. Однако с ростом скорости движения полностью повторились все выявленные летом дефекты: были срезаны болты в направляющих ленивцев, поломаны кронштейны бензобака, а в самом бензобаке от тряски образовалась течь.</w:t>
      </w:r>
    </w:p>
    <w:p w14:paraId="3FEB5F6F" w14:textId="77777777" w:rsidR="00017026" w:rsidRPr="00142305" w:rsidRDefault="00017026" w:rsidP="000170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«Эти же неисправности сразу вывели трактор из строя при настоящем пробеге по мерзлому шоссе. Трактор «Катерпиллер-американский», шедший со средней скоростью 4 км/ч, никаких поломок не имел».</w:t>
      </w:r>
    </w:p>
    <w:p w14:paraId="43B8FF77" w14:textId="77777777" w:rsidR="00017026" w:rsidRPr="00142305" w:rsidRDefault="00017026" w:rsidP="000170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Если первоначально низкая надежность «Сталинца-3» могла объясняться недостатками изготовления первых, пока еще опытных, тракторов, то теперь уже было очевидно, что речь шла о конструктивном несовершенстве машины.</w:t>
      </w:r>
    </w:p>
    <w:p w14:paraId="2B2D3F6A" w14:textId="77777777" w:rsidR="00017026" w:rsidRPr="00142305" w:rsidRDefault="00017026" w:rsidP="000170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Трактор №4 в целом продемонстрировал удовлетворительную надежность и основные эксплуатационные показатели на уровне прототипа. Из общих недостатков тракторов №3 и №4 были отмечены беззащитность водителя перед непогодой и отсутствие осветительных приборов.</w:t>
      </w:r>
    </w:p>
    <w:p w14:paraId="01E68E6B" w14:textId="77777777" w:rsidR="00017026" w:rsidRPr="00142305" w:rsidRDefault="00017026" w:rsidP="000170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Таким образом, трактор №3 не мог быть рекомендован к серийному производству и принятию на вооружение. Однако на основе полученных результатов конструирования и испытаний тракторов КПД и «Сталинец-3» работы по созданию быстроходной армейской версии челябинского трактора были продолжены и в конечном итоге привели к появлению достаточно удачной машины С-2.</w:t>
      </w:r>
    </w:p>
    <w:p w14:paraId="04F2483C" w14:textId="77777777" w:rsidR="00017026" w:rsidRPr="00142305" w:rsidRDefault="00017026" w:rsidP="000170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качестве прототипа серийной машины был окончательно утвержден трактор №4 (25588).</w:t>
      </w:r>
    </w:p>
    <w:p w14:paraId="5DC9E377" w14:textId="77777777" w:rsidR="00017026" w:rsidRPr="00142305" w:rsidRDefault="00017026" w:rsidP="00017026">
      <w:pPr>
        <w:spacing w:after="0" w:line="240" w:lineRule="auto"/>
        <w:jc w:val="both"/>
        <w:rPr>
          <w:rFonts w:ascii="Times New Roman" w:hAnsi="Times New Roman"/>
          <w:color w:val="0070C0"/>
          <w:sz w:val="16"/>
          <w:szCs w:val="16"/>
        </w:rPr>
      </w:pPr>
    </w:p>
    <w:p w14:paraId="1731D12E"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lastRenderedPageBreak/>
        <w:t>Авиапромышленность:</w:t>
      </w:r>
    </w:p>
    <w:p w14:paraId="6D328316"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5DBD7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августу 1931 г. была проведена обкатка и предварительное испытание "полномасштабного" мотора М-34 (9028).</w:t>
      </w:r>
    </w:p>
    <w:p w14:paraId="1DEFFA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917F8D0" w14:textId="77777777" w:rsidR="003159CA" w:rsidRPr="005E779E" w:rsidRDefault="003159CA"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27B14677" w14:textId="77777777" w:rsidR="003159CA" w:rsidRPr="005E779E" w:rsidRDefault="003159CA"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3F1C7F6" w14:textId="77777777" w:rsidR="003159CA" w:rsidRPr="005E779E" w:rsidRDefault="003159CA" w:rsidP="000B7A6C">
      <w:pPr>
        <w:spacing w:after="0" w:line="240" w:lineRule="auto"/>
        <w:jc w:val="both"/>
        <w:rPr>
          <w:rFonts w:ascii="Times New Roman" w:hAnsi="Times New Roman"/>
          <w:color w:val="000000" w:themeColor="text1"/>
          <w:sz w:val="16"/>
          <w:szCs w:val="16"/>
          <w:shd w:val="clear" w:color="auto" w:fill="FFFFFF"/>
        </w:rPr>
      </w:pPr>
      <w:r w:rsidRPr="005E779E">
        <w:rPr>
          <w:rFonts w:ascii="Times New Roman" w:hAnsi="Times New Roman"/>
          <w:color w:val="000000" w:themeColor="text1"/>
          <w:sz w:val="16"/>
          <w:szCs w:val="16"/>
          <w:shd w:val="clear" w:color="auto" w:fill="FFFFFF"/>
        </w:rPr>
        <w:t>К августу 1931 года Бекаури отработал свой комплекс по телеуправлению катеров. Нарком по военным и морским делам К.Е. Ворошилов назначил комиссию для заключительных сравнительных испытаний этого комплекса и комплекса Шорина. Бекаури размещал станцию управления на корабле, а Шорин – на самолете, с которого, как он считал, можно раньше обнаружить корабли противника и вывести в атаку на них радиоуправляемые катера. Для автоматического расчета курса атаки Бекаури включил в свой комплекс счетно-решающий прибор. В комплексе же Шорина курс рассчитывал по карте оператор.</w:t>
      </w:r>
    </w:p>
    <w:p w14:paraId="2D90FC4A" w14:textId="77777777" w:rsidR="003159CA" w:rsidRPr="005E779E" w:rsidRDefault="003159C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shd w:val="clear" w:color="auto" w:fill="FFFFFF"/>
        </w:rPr>
        <w:t>«Испытания проводили в Финском заливе, – вспоминал контр-адмирал Б.В. Никитин, участник испытаний, – Катера, управляемые с самолета (аппаратурой А.Ф. Шорина) или с корабля (аппаратурой В.И. Бекаури), по радиокомандам отходили от причала, выходили в море, маневрировали, устремлялись в атаку и производили пуск торпед. Проводились атаки и по прикрытому дымовой завесой кораблю-цели &lt;…&gt; Оператор на самолете оказался в лучшем положении, чем тот, что находился на корабле управления: наблюдению с корабля мешала дымовая завеса. Комиссия предложила принять на вооружение комплекс А.Ф. Шорина. Остехбюро предложили доработать свою аппаратуру» (22290).</w:t>
      </w:r>
    </w:p>
    <w:p w14:paraId="2E2B6725" w14:textId="77777777" w:rsidR="003159CA" w:rsidRPr="005E779E" w:rsidRDefault="003159CA" w:rsidP="000B7A6C">
      <w:pPr>
        <w:spacing w:after="0" w:line="240" w:lineRule="auto"/>
        <w:jc w:val="both"/>
        <w:rPr>
          <w:rFonts w:ascii="Times New Roman" w:hAnsi="Times New Roman"/>
          <w:color w:val="000000" w:themeColor="text1"/>
          <w:sz w:val="16"/>
          <w:szCs w:val="16"/>
        </w:rPr>
      </w:pPr>
    </w:p>
    <w:p w14:paraId="1A744F9B"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7B1EA055"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0F9D1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августа 1931, 13 июля 1931 и в апреле 1932 был рассмотрен макет самолетов МИ3-2М34 опытный и дублер (7415, 16).</w:t>
      </w:r>
    </w:p>
    <w:p w14:paraId="6AE5B4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94486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августа 1931 года появился Протокол совещания по рассмотрению плана опытного строительства моторов и самолетов и по внедрению опытных образцов в серию в 1932 и 33 г.г.</w:t>
      </w:r>
    </w:p>
    <w:p w14:paraId="24E165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Председатель: зам. начальника ВВС Меженинов</w:t>
      </w:r>
    </w:p>
    <w:p w14:paraId="760899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Секретарь: Квитко</w:t>
      </w:r>
    </w:p>
    <w:p w14:paraId="42F15E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План опытного моторостроения:</w:t>
      </w:r>
    </w:p>
    <w:p w14:paraId="40CBF7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Установить для производства в 1932 году два мотора воздушного охлаждения: М11 и М22.</w:t>
      </w:r>
    </w:p>
    <w:p w14:paraId="6BEFA6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 М26 не выпускать; на самолеты запроектированное под М26 ставить М22.</w:t>
      </w:r>
    </w:p>
    <w:p w14:paraId="63D953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Т.к. М-11 своей мощностью не обеспечивает нужного развития гражданской авиации поставить перед ВАО требование довести его мощность до 160-170 л.с.</w:t>
      </w:r>
    </w:p>
    <w:p w14:paraId="236BC2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Мотор М-15, как мало освоенный в производстве и уступающий своими качествами М-22 (мощность меньше, вес больше) - в производство не пускать.</w:t>
      </w:r>
    </w:p>
    <w:p w14:paraId="781E14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Моторы М22 и М-11 строить на 29 заводе и в Перми (на новом заводе).</w:t>
      </w:r>
    </w:p>
    <w:p w14:paraId="350882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II.</w:t>
      </w:r>
    </w:p>
    <w:p w14:paraId="22872C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моторах водяного охлаждения установить след. типы:</w:t>
      </w:r>
    </w:p>
    <w:p w14:paraId="36B4D4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Как основной мотор к строящимся в 1932 году самолетам - производить М-17.</w:t>
      </w:r>
    </w:p>
    <w:p w14:paraId="523D2C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В 32 году вводить в производстве М-34, с таким расчетом, чтобы к середине 33 года М-17 сошел с производства.</w:t>
      </w:r>
    </w:p>
    <w:p w14:paraId="0FDB36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Оба мотора делать на 26 заводе.</w:t>
      </w:r>
    </w:p>
    <w:p w14:paraId="67BE74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гидроавиации в 32 году на 24 заводе строятся М-27 и опытная серия ФЭД"ов.</w:t>
      </w:r>
    </w:p>
    <w:p w14:paraId="107C8E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33 году 24 завод должен перейти на производство М-44.</w:t>
      </w:r>
    </w:p>
    <w:p w14:paraId="1579C3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Таким образом из моторов должны производиться в 1932 и 1933 году М-11, М-22, М-17, М-27, М-34, ФЭД, М-44 (или М-35).</w:t>
      </w:r>
    </w:p>
    <w:p w14:paraId="7B5AA5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опытному самолетостроению:</w:t>
      </w:r>
    </w:p>
    <w:p w14:paraId="5F8972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Основным учебным самолетом оставить У2. Для морских школ МУ2 и А-1 (амфибия Шаврова).</w:t>
      </w:r>
    </w:p>
    <w:p w14:paraId="36EB6D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Самолеты делать на 23 и 21 заводах.</w:t>
      </w:r>
    </w:p>
    <w:p w14:paraId="00D371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Армейским разведчиком оставить Р-5. Производить его на 1-м заводе.</w:t>
      </w:r>
    </w:p>
    <w:p w14:paraId="4AB644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Одноместный истребитель на 32 год оставить с воздушным охлаждением И5, с водяным охлаждением И7, строить на 1-м заводе.</w:t>
      </w:r>
    </w:p>
    <w:p w14:paraId="4D762A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Легким бомбардировщиком оставить Р-5, крейсером-бомбардировщиком Р-6.</w:t>
      </w:r>
    </w:p>
    <w:p w14:paraId="494AFF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ТБ1 с производства в 1932 году снять.</w:t>
      </w:r>
    </w:p>
    <w:p w14:paraId="5D3A6A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Основным тяжелым бомбардировщиком для производства 1932 г. оставить ТБ3, резервным, заложенным для гражданского воздушного флота ТБ5.</w:t>
      </w:r>
    </w:p>
    <w:p w14:paraId="251AB6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получения тактического опыта иметь одну эскадр. с вооружением ТБ5.</w:t>
      </w:r>
    </w:p>
    <w:p w14:paraId="0CCCB6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ТШ построить небольшую серию на 21 заводе.</w:t>
      </w:r>
    </w:p>
    <w:p w14:paraId="247FE6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И12 и МИ3 построить опытные серии на 22 завод (по МИ3 во второй половине года).</w:t>
      </w:r>
    </w:p>
    <w:p w14:paraId="59C6AA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II.</w:t>
      </w:r>
    </w:p>
    <w:p w14:paraId="358CC0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морской авиации:</w:t>
      </w:r>
    </w:p>
    <w:p w14:paraId="73AE8D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Поставить на поплавки Р5, небольшая серия.</w:t>
      </w:r>
    </w:p>
    <w:p w14:paraId="0A84B3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Разведчиком иметь S-62.</w:t>
      </w:r>
    </w:p>
    <w:p w14:paraId="1FE5E3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Торпедоносцем ТБ1- а на поплавках.</w:t>
      </w:r>
    </w:p>
    <w:p w14:paraId="514ED4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Тяж. бомбардировщиком МДР3.</w:t>
      </w:r>
    </w:p>
    <w:p w14:paraId="582BA0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Т.о. в 32 году в производстве остаются:</w:t>
      </w:r>
    </w:p>
    <w:p w14:paraId="1CCB14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У2, А1, Р5, И5, И7, Р6, ТБ3, ТБ5, ТШ, И12, МИ3, 62, МДР3 и ставятся на поплавки У2 и ТБ1.</w:t>
      </w:r>
    </w:p>
    <w:p w14:paraId="35DB54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III.</w:t>
      </w:r>
    </w:p>
    <w:p w14:paraId="3A3C97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33 года оставить в производстве: У2, Р9, МИ3, И12, И5, ТБ4 и ТБ5 и один двухместн. истребитель. (3029,1-2).</w:t>
      </w:r>
    </w:p>
    <w:p w14:paraId="417FCD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Проект</w:t>
      </w:r>
    </w:p>
    <w:p w14:paraId="5EF3A8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Постановление РВС</w:t>
      </w:r>
    </w:p>
    <w:p w14:paraId="4491A3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 сокращении типов моторов и самолетов ВВС и унификации</w:t>
      </w:r>
    </w:p>
    <w:p w14:paraId="223F5A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военных и гражданских моторов и самолетов".</w:t>
      </w:r>
    </w:p>
    <w:p w14:paraId="73840D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августа 1931 года</w:t>
      </w:r>
    </w:p>
    <w:p w14:paraId="2C1735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Считать необходимым оставление на производстве в 1932 году следующих авиационных моторов:</w:t>
      </w:r>
    </w:p>
    <w:p w14:paraId="116F71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М-11 - для учебных самолетов и спортивной авиации;</w:t>
      </w:r>
    </w:p>
    <w:p w14:paraId="7B73EC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М-22 - (воздушного охлаждения) - обычный, с нагнетателем и редуктором;</w:t>
      </w:r>
    </w:p>
    <w:p w14:paraId="294851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М-17 - с последующей заменой его на М-34 по окончании государственных испытаний последнего;</w:t>
      </w:r>
    </w:p>
    <w:p w14:paraId="5660AE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ФЭД - в опытной серии.</w:t>
      </w:r>
    </w:p>
    <w:p w14:paraId="561835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Начальнику ВВС совместно с начальником ВАО уточнить порядок и срок снятия с производства всех остальных типов моторов и замены М-17 производством М-34, а также специализацию заводов по установленным типам моторов.</w:t>
      </w:r>
    </w:p>
    <w:p w14:paraId="79D4AE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Ограничить число типов самолетов следующими образцами, оставляемыми в производстве в 1932 году:</w:t>
      </w:r>
    </w:p>
    <w:p w14:paraId="6F40B4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И-5 - с М-22;</w:t>
      </w:r>
    </w:p>
    <w:p w14:paraId="2066AC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И-7 - с М-17 с последующей установкой М-34;</w:t>
      </w:r>
    </w:p>
    <w:p w14:paraId="1DE8B9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Р-5 - с М-17 с последующей установкой М-34 - на колесах и поплавках.</w:t>
      </w:r>
    </w:p>
    <w:p w14:paraId="040F2A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Р-6 - с 2М-17 с последующей установкой 2М-34 - на колесах и поплавках;</w:t>
      </w:r>
    </w:p>
    <w:p w14:paraId="54E1D6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Т-Ш - с М-17 с последующей установкой М-34;</w:t>
      </w:r>
    </w:p>
    <w:p w14:paraId="76DC5E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ТБ-3 - с 4М-17 с последующей установкой 4М-34;</w:t>
      </w:r>
    </w:p>
    <w:p w14:paraId="7F26ED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МДР3 - с 4М-22.</w:t>
      </w:r>
    </w:p>
    <w:p w14:paraId="1378DF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Савойя 62 бис с "АССО" с последующей установкой М-34;</w:t>
      </w:r>
    </w:p>
    <w:p w14:paraId="1F2A34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У-2 с М-11 на колесах и поплавках.</w:t>
      </w:r>
    </w:p>
    <w:p w14:paraId="3133FD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Сверх этих основных типов разрешить заказ в опытной серии для войсковых испытаний: истребитель пушечный (выбор типа произвести после испытаний И-12 и самолета N 7 не позже 1 октября 1931 года), самолет ТБ-5 под мотор ФЭД и амфибию Шаврова (в качестве самолета связи и сопровождения в болотистых местностях).</w:t>
      </w:r>
    </w:p>
    <w:p w14:paraId="32A183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Начальнику ВВС с начальником ВАО установить специализацию заводов по этим типам самолетов и сроки снятия с производства остальных типов самолетов.</w:t>
      </w:r>
    </w:p>
    <w:p w14:paraId="794F0D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Считать необходимым установить максимальный стандарт военных и гражданских моторов и самолетов, в частности:</w:t>
      </w:r>
    </w:p>
    <w:p w14:paraId="68C922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а) тяжелые пассажирские самолеты должны совпадать по конструкции с тяжелыми бомбардировщиками, почтовые - с разведчиками, легкие пассажирские - с легкими бомбардировщиками в связи с чем воспретить конструирование и постройку не унифицированных образцов для гражданской авиации;</w:t>
      </w:r>
    </w:p>
    <w:p w14:paraId="073623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из унифицированных образцов самолетов считать возможным оставить в производстве 1932 года только К-5 и АНТ-9 с М-26 с последующей установкой на последний М-22.</w:t>
      </w:r>
    </w:p>
    <w:p w14:paraId="42F976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 концу 1933 года прекратить производство моторов для гражданской авиации, не принятых на вооружение в ВВС.</w:t>
      </w:r>
    </w:p>
    <w:p w14:paraId="775208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Просить Президиум ВСНХ:</w:t>
      </w:r>
    </w:p>
    <w:p w14:paraId="212D43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Обязать ВАО в самом срочном порядке приспособить самолет Р-5 под пассажирских самолет легкого типа;</w:t>
      </w:r>
    </w:p>
    <w:p w14:paraId="6087BD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случае получения положительных результатов отказаться от производства в дальнейшем самолета К-5;</w:t>
      </w:r>
    </w:p>
    <w:p w14:paraId="528BD3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Обязать ВАО на одном из готовых самолетов АНТ-9 заменить моторы М-26 моторами М-22 и представить самолет на государственные испытания не позже 1 января 1932 года. (3029,8-9).</w:t>
      </w:r>
    </w:p>
    <w:p w14:paraId="594563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EAD49DF" w14:textId="77777777" w:rsidR="002206BB" w:rsidRPr="005E779E" w:rsidRDefault="002206B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августа 1931 г. на совещании по плану строительства авиации на 1932-1933 гг. в Москве решили: «…из унифицированных образцов самолетов считать возможным оставить в производстве 1932 года только К-5 и АНТ-9…». Более дорогих трехмоторных цельнометаллических самолетов Туполева построили 67, а харьковских К-5 к концу 1934 г. сдали 258, это был первый массовый советский пассажирский самолет (22829).</w:t>
      </w:r>
    </w:p>
    <w:p w14:paraId="78F7C055" w14:textId="77777777" w:rsidR="002206BB" w:rsidRPr="005E779E" w:rsidRDefault="002206BB" w:rsidP="000B7A6C">
      <w:pPr>
        <w:spacing w:after="0" w:line="240" w:lineRule="auto"/>
        <w:jc w:val="both"/>
        <w:rPr>
          <w:rFonts w:ascii="Times New Roman" w:hAnsi="Times New Roman"/>
          <w:color w:val="000000" w:themeColor="text1"/>
          <w:sz w:val="16"/>
          <w:szCs w:val="16"/>
        </w:rPr>
      </w:pPr>
    </w:p>
    <w:p w14:paraId="2E164C44" w14:textId="77777777" w:rsidR="00A56BD5" w:rsidRPr="005E779E" w:rsidRDefault="00A56BD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августа 1931 г. проведено совещание по рассмотрению плана опытного строительства моторов и самолетов и по внедрению опытных образцов в серию в 1932 и 1933 г.г. под председательством зам. начальника ВВС Меженинова, на котором было предложено внести в этот план выпуск двигателей М-34 в т.ч. для самолетов И-7, но моторы М-19 и М-27 упомянуты не были и отмечено, что самолет И-7 будет запускаться в производство с двигателем М-17 (24331).</w:t>
      </w:r>
    </w:p>
    <w:p w14:paraId="28789383" w14:textId="77777777" w:rsidR="00A56BD5" w:rsidRPr="005E779E" w:rsidRDefault="00A56BD5" w:rsidP="000B7A6C">
      <w:pPr>
        <w:spacing w:after="0" w:line="240" w:lineRule="auto"/>
        <w:jc w:val="both"/>
        <w:rPr>
          <w:rFonts w:ascii="Times New Roman" w:hAnsi="Times New Roman"/>
          <w:color w:val="000000" w:themeColor="text1"/>
          <w:sz w:val="16"/>
          <w:szCs w:val="16"/>
        </w:rPr>
      </w:pPr>
    </w:p>
    <w:p w14:paraId="2E8053A8" w14:textId="77777777" w:rsidR="00980FCB" w:rsidRPr="005E779E" w:rsidRDefault="00980FC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августа 1931 г. на техническом совете Объединенного технического бюро Всесоюзного авиаци</w:t>
      </w:r>
      <w:r w:rsidRPr="005E779E">
        <w:rPr>
          <w:rFonts w:ascii="Times New Roman" w:hAnsi="Times New Roman"/>
          <w:color w:val="000000" w:themeColor="text1"/>
          <w:sz w:val="16"/>
          <w:szCs w:val="16"/>
        </w:rPr>
        <w:softHyphen/>
        <w:t>онного объединения данная тематика значилась в повест</w:t>
      </w:r>
      <w:r w:rsidRPr="005E779E">
        <w:rPr>
          <w:rFonts w:ascii="Times New Roman" w:hAnsi="Times New Roman"/>
          <w:color w:val="000000" w:themeColor="text1"/>
          <w:sz w:val="16"/>
          <w:szCs w:val="16"/>
        </w:rPr>
        <w:softHyphen/>
        <w:t>ке дня. Пункт «о рекордных самолетах» в перечне обсуж</w:t>
      </w:r>
      <w:r w:rsidRPr="005E779E">
        <w:rPr>
          <w:rFonts w:ascii="Times New Roman" w:hAnsi="Times New Roman"/>
          <w:color w:val="000000" w:themeColor="text1"/>
          <w:sz w:val="16"/>
          <w:szCs w:val="16"/>
        </w:rPr>
        <w:softHyphen/>
        <w:t>даемых вопросов шел последним и для большинства уча</w:t>
      </w:r>
      <w:r w:rsidRPr="005E779E">
        <w:rPr>
          <w:rFonts w:ascii="Times New Roman" w:hAnsi="Times New Roman"/>
          <w:color w:val="000000" w:themeColor="text1"/>
          <w:sz w:val="16"/>
          <w:szCs w:val="16"/>
        </w:rPr>
        <w:softHyphen/>
        <w:t>стников оказался неожиданностью. Это не помешало немедленно создать свою комиссию под председательст</w:t>
      </w:r>
      <w:r w:rsidRPr="005E779E">
        <w:rPr>
          <w:rFonts w:ascii="Times New Roman" w:hAnsi="Times New Roman"/>
          <w:color w:val="000000" w:themeColor="text1"/>
          <w:sz w:val="16"/>
          <w:szCs w:val="16"/>
        </w:rPr>
        <w:softHyphen/>
        <w:t>вом С.А. Кочеригина, которой надлежало разобраться с этой новой заботой. Постановили следующее: «Отметить, что ЦАГИ не ставил себе задачей и не прорабатывал воз</w:t>
      </w:r>
      <w:r w:rsidRPr="005E779E">
        <w:rPr>
          <w:rFonts w:ascii="Times New Roman" w:hAnsi="Times New Roman"/>
          <w:color w:val="000000" w:themeColor="text1"/>
          <w:sz w:val="16"/>
          <w:szCs w:val="16"/>
        </w:rPr>
        <w:softHyphen/>
        <w:t>можностей проектирования и постройки рекордных само</w:t>
      </w:r>
      <w:r w:rsidRPr="005E779E">
        <w:rPr>
          <w:rFonts w:ascii="Times New Roman" w:hAnsi="Times New Roman"/>
          <w:color w:val="000000" w:themeColor="text1"/>
          <w:sz w:val="16"/>
          <w:szCs w:val="16"/>
        </w:rPr>
        <w:softHyphen/>
        <w:t>летов по заданию начальника ВАО т. Баранова, а посему в комиссию т. Кочеригина и под его председательством включить т.т. Туполева, Чернышова, Мариамова и Беляев</w:t>
      </w:r>
      <w:r w:rsidRPr="005E779E">
        <w:rPr>
          <w:rFonts w:ascii="Times New Roman" w:hAnsi="Times New Roman"/>
          <w:color w:val="000000" w:themeColor="text1"/>
          <w:sz w:val="16"/>
          <w:szCs w:val="16"/>
        </w:rPr>
        <w:softHyphen/>
        <w:t>ского без права замены. Поручить комиссии к 8 августа с.г. предоставить все соображения с конкретными предложе</w:t>
      </w:r>
      <w:r w:rsidRPr="005E779E">
        <w:rPr>
          <w:rFonts w:ascii="Times New Roman" w:hAnsi="Times New Roman"/>
          <w:color w:val="000000" w:themeColor="text1"/>
          <w:sz w:val="16"/>
          <w:szCs w:val="16"/>
        </w:rPr>
        <w:softHyphen/>
        <w:t>ниями, увязав с ИАМ (Институт авиамоторостроения - М.М.) вопросы получения моторов, а равно дать сообра</w:t>
      </w:r>
      <w:r w:rsidRPr="005E779E">
        <w:rPr>
          <w:rFonts w:ascii="Times New Roman" w:hAnsi="Times New Roman"/>
          <w:color w:val="000000" w:themeColor="text1"/>
          <w:sz w:val="16"/>
          <w:szCs w:val="16"/>
        </w:rPr>
        <w:softHyphen/>
        <w:t>жения, под какие рекорды и где будут рекордные самоле</w:t>
      </w:r>
      <w:r w:rsidRPr="005E779E">
        <w:rPr>
          <w:rFonts w:ascii="Times New Roman" w:hAnsi="Times New Roman"/>
          <w:color w:val="000000" w:themeColor="text1"/>
          <w:sz w:val="16"/>
          <w:szCs w:val="16"/>
        </w:rPr>
        <w:softHyphen/>
        <w:t>ты проектироваться и строиться, а также наметить сроки выхода на испытание. Комиссия также должна дать при</w:t>
      </w:r>
      <w:r w:rsidRPr="005E779E">
        <w:rPr>
          <w:rFonts w:ascii="Times New Roman" w:hAnsi="Times New Roman"/>
          <w:color w:val="000000" w:themeColor="text1"/>
          <w:sz w:val="16"/>
          <w:szCs w:val="16"/>
        </w:rPr>
        <w:softHyphen/>
        <w:t>мерную потребность в материалах, приборах, винтах, а так</w:t>
      </w:r>
      <w:r w:rsidRPr="005E779E">
        <w:rPr>
          <w:rFonts w:ascii="Times New Roman" w:hAnsi="Times New Roman"/>
          <w:color w:val="000000" w:themeColor="text1"/>
          <w:sz w:val="16"/>
          <w:szCs w:val="16"/>
        </w:rPr>
        <w:softHyphen/>
        <w:t>же наметить в скольких экземплярах будут строиться как моторы, так и рекордные самолеты» (20362).</w:t>
      </w:r>
    </w:p>
    <w:p w14:paraId="0C1615D3" w14:textId="77777777" w:rsidR="00980FCB" w:rsidRPr="005E779E" w:rsidRDefault="00980FCB" w:rsidP="000B7A6C">
      <w:pPr>
        <w:shd w:val="clear" w:color="auto" w:fill="FFFFFF"/>
        <w:spacing w:after="0" w:line="240" w:lineRule="auto"/>
        <w:jc w:val="both"/>
        <w:rPr>
          <w:rFonts w:ascii="Times New Roman" w:hAnsi="Times New Roman"/>
          <w:color w:val="000000" w:themeColor="text1"/>
          <w:sz w:val="16"/>
          <w:szCs w:val="16"/>
        </w:rPr>
      </w:pPr>
    </w:p>
    <w:p w14:paraId="55F3E3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августа 1931 в 19 часов 30 минут на аэродроме в Боково в Иркутске совершил посадку самолет, ведомый английской летчицей Эмс Джексон (Эми Джонсон). Гостью встречали представители иностранного отдела крайисполкома и крайсовета Осоавиахима. Джексон сообщила, что ее перелет от Москвы до Иркутска состоялся благополучно. После краткого отдыха летчица 2 августа вылетела в Цицикар (Китай) (11884).</w:t>
      </w:r>
    </w:p>
    <w:p w14:paraId="085FDA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03E97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1 августа 1931 года в ГВФ числятся всего четыре АНТ-3 - три в Сибирском управлении и один в отряде им. "Правды". В 1-м квартале 1932 г. разбились еще два П-3. К середине года во всем Гражданском воздушном флоте осталось лишь семь самолетов этого типа, три из них - в 3-й объединенной авиашколе. С начала 1933 г. упоминания об этих машинах в документах вообще исчезают (11985).</w:t>
      </w:r>
    </w:p>
    <w:p w14:paraId="5C5609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BB66C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августа 1931 был подготовлен Отчет по испытанию бомбодержателей "Дер-16" и их установки на самолете ТБ-1.</w:t>
      </w:r>
    </w:p>
    <w:p w14:paraId="507238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w:t>
      </w:r>
    </w:p>
    <w:p w14:paraId="48E003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Бомбодержатель "Дер-16" испытание выдержал и допускается на войсковые испытания в частях ВВС (3208).</w:t>
      </w:r>
    </w:p>
    <w:p w14:paraId="54E606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783DA00"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384EF656"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84D0D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 по 11 августа 1931 года были проведены испытания 107-мм минометов МС-107 в Гороховце на минометном полигоне химической группы. В Гороховец прибыла рота, вооруженная восемью химическими минометами МС-107. Испытывались химические и дымовые мины. Дымовые мины снаряжены фосфором весом 7,4 кг. На испытаниях в Гороховце дальность стрельбы миной весом 7,4 кг под углом 45 оказалась 2050 м. В ходе испытаний выяснилось: Осколочного действия мины не имеют совершенно, если не считать отрыва горловины и дробления запаянного стакана, которые, как правило, остаются в воронке. На всех зарядах на углах 45-55 система в основном устойчива. Большое боковое и продольное рассеивания исключается возможность стрельбы по отдельным огневым точкам. Постоянные недолеты почти исключают возможность стрельбы через голову своих войск. Система излишне утяжелена около 90 кг, особенно ствол 47,9 кг. Носка ствола одним человеком невозможна, а двоим неудобна. Ударник дает осечки. Опорная плита дает прогибы. Ноги миномета носят на плече, а плиту за веревку в руках (как портфель). Дымный порох в хвостовом запальном патроне давал большой нагар, а дым демаскировал миномет. У взрывателя нет мгновенного действия. Для определения действия отравляющего вещества при взрыве мин использовано 20 животных. Минометы МС-107 выпускались небольшими сериями (3861).</w:t>
      </w:r>
    </w:p>
    <w:p w14:paraId="4F1ADD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19261B4" w14:textId="77777777" w:rsidR="002206BB" w:rsidRPr="005E779E" w:rsidRDefault="002206BB" w:rsidP="000B7A6C">
      <w:pPr>
        <w:pStyle w:val="Default"/>
        <w:jc w:val="both"/>
        <w:rPr>
          <w:color w:val="000000" w:themeColor="text1"/>
          <w:sz w:val="16"/>
          <w:szCs w:val="16"/>
        </w:rPr>
      </w:pPr>
      <w:r w:rsidRPr="005E779E">
        <w:rPr>
          <w:color w:val="000000" w:themeColor="text1"/>
          <w:sz w:val="16"/>
          <w:szCs w:val="16"/>
        </w:rPr>
        <w:t xml:space="preserve">В период с 1 по 11 августа 1931 г. на минометном полигоне химической группы Гороховецкого лагерного сбора были проведены технические испытания МС-107 обр. 1931 г., результаты которых в целом были неудовлетворительные. Система вызвала серьезные нарекания как к материальной части (материал трубы был из вязкого металла, подставка неустойчива, опорная плита получила деформацию), так и к минам. По окончании испытаний руководством ВОХИМУ было дано указание о срочной доработке чертежей с устранением </w:t>
      </w:r>
    </w:p>
    <w:p w14:paraId="77BB0AE8" w14:textId="77777777" w:rsidR="002206BB" w:rsidRPr="005E779E" w:rsidRDefault="002206BB" w:rsidP="000B7A6C">
      <w:pPr>
        <w:spacing w:after="0" w:line="240" w:lineRule="auto"/>
        <w:jc w:val="both"/>
        <w:rPr>
          <w:rFonts w:ascii="Times New Roman" w:eastAsia="TimesNewRomanPSMT" w:hAnsi="Times New Roman"/>
          <w:color w:val="000000" w:themeColor="text1"/>
          <w:sz w:val="16"/>
          <w:szCs w:val="16"/>
        </w:rPr>
      </w:pPr>
      <w:r w:rsidRPr="005E779E">
        <w:rPr>
          <w:rFonts w:ascii="Times New Roman" w:hAnsi="Times New Roman"/>
          <w:color w:val="000000" w:themeColor="text1"/>
          <w:sz w:val="16"/>
          <w:szCs w:val="16"/>
        </w:rPr>
        <w:t>выявленных недостатков к 20 сентября.380 Опытные стрельбы, проведенные 23 сентября, показали, что наиболее перспективным для данной системы является использование схемы «мнимого треугольника», которая применялась в минометах Стокса-Брандта, однако для проверки этой гипотезы руководством ВОХИМУ было принято решение о разработке группой «Д» двух проектов 107-мм химических минометов – по схеме реального треугольника (к началу октября 1931 г.) и «мнимого» треугольника (к декабрю 1931 г.)381 (20074)</w:t>
      </w:r>
    </w:p>
    <w:p w14:paraId="5D9E6249" w14:textId="77777777" w:rsidR="002206BB" w:rsidRPr="005E779E" w:rsidRDefault="002206BB" w:rsidP="000B7A6C">
      <w:pPr>
        <w:spacing w:after="0" w:line="240" w:lineRule="auto"/>
        <w:jc w:val="both"/>
        <w:rPr>
          <w:rFonts w:ascii="Times New Roman" w:eastAsia="TimesNewRomanPSMT" w:hAnsi="Times New Roman"/>
          <w:color w:val="000000" w:themeColor="text1"/>
          <w:sz w:val="16"/>
          <w:szCs w:val="16"/>
        </w:rPr>
      </w:pPr>
    </w:p>
    <w:p w14:paraId="0FAEA049" w14:textId="77777777" w:rsidR="00561C4E" w:rsidRPr="00142305" w:rsidRDefault="00561C4E" w:rsidP="00561C4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1 по 11 августа 1931 г. были проведены испытания химических 107-мм минометов – МС-107 в Гороховце на минометном полигоне химической группы. В Гороховец прибыла рота, вооруженная восемью химическими минометами МС-107. Испытывались химические и дымовые мины.</w:t>
      </w:r>
    </w:p>
    <w:p w14:paraId="3947D142" w14:textId="77777777" w:rsidR="00561C4E" w:rsidRPr="00142305" w:rsidRDefault="00561C4E" w:rsidP="00561C4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Дымовые мины снаряжены фосфором весом 7,4 кг.</w:t>
      </w:r>
    </w:p>
    <w:p w14:paraId="1333A86C" w14:textId="77777777" w:rsidR="00561C4E" w:rsidRPr="00142305" w:rsidRDefault="00561C4E" w:rsidP="00561C4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Для определения действия отравляющего вещества при взрыве мин было использовано 20 животных. Отчет об этом до сих пор строго засекречен.</w:t>
      </w:r>
    </w:p>
    <w:p w14:paraId="3FD0E9BD" w14:textId="77777777" w:rsidR="00561C4E" w:rsidRPr="00142305" w:rsidRDefault="00561C4E" w:rsidP="00561C4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Минометы МС-107 выпускались небольшими сериями. К весне 1933 г. в частях они использовались только как учебные. Чтобы запутать «шпионов», а заодно и краскомов, в ряде документов миномет МС-107 именовался «минометом обр. 1928/30 г.». На самом деле в 1928 г. этого миномета и в проекте не было.</w:t>
      </w:r>
    </w:p>
    <w:p w14:paraId="4CA3BB78" w14:textId="77777777" w:rsidR="00561C4E" w:rsidRPr="00142305" w:rsidRDefault="00561C4E" w:rsidP="00561C4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107-мм миномет ХМ-107 (ХМ – химический миномет) представлял собой модернизацию миномета МС-107.</w:t>
      </w:r>
    </w:p>
    <w:p w14:paraId="405BD332" w14:textId="77777777" w:rsidR="00561C4E" w:rsidRPr="00142305" w:rsidRDefault="00561C4E" w:rsidP="00561C4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Стрельба из миномета ХМ-107 велась минами с восемью перьями. Вес мин от 6,5 кг до 7,2 кг. Мины снаряжались веществами СОВ, НОВ и фосфором. Ипритная мина заражала площадь 80—100 кв. м, а мина с НОВ создавала дымовое облако площадью около 80 кв. м с концентрацией отравляющего вещества не менее 3 мг/ литр в момент взрыва. Фосфорная мина создавала дымовое облако шириной 10 м и длиной по ветру около 100 м.</w:t>
      </w:r>
    </w:p>
    <w:p w14:paraId="1DC1EE85" w14:textId="77777777" w:rsidR="00561C4E" w:rsidRPr="00142305" w:rsidRDefault="00561C4E" w:rsidP="00561C4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Миномет ХМ-107 производился серийно (25385).</w:t>
      </w:r>
    </w:p>
    <w:p w14:paraId="33E8377D" w14:textId="77777777" w:rsidR="00561C4E" w:rsidRPr="00142305" w:rsidRDefault="00561C4E" w:rsidP="00561C4E">
      <w:pPr>
        <w:spacing w:after="0" w:line="240" w:lineRule="auto"/>
        <w:jc w:val="both"/>
        <w:rPr>
          <w:rFonts w:ascii="Times New Roman" w:hAnsi="Times New Roman"/>
          <w:color w:val="0070C0"/>
          <w:sz w:val="16"/>
          <w:szCs w:val="16"/>
        </w:rPr>
      </w:pPr>
    </w:p>
    <w:p w14:paraId="549F849B" w14:textId="77777777" w:rsidR="00875C4A" w:rsidRPr="005E779E" w:rsidRDefault="00875C4A"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1 августа</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Постановление СТО СССР № 167сс о пересмотре цен на военные изделия Патрубвзрывтреста (ГА РФ. Ф. Р?8418. Оп. 28. Д. 1а. Л. 53) (12415).</w:t>
      </w:r>
    </w:p>
    <w:p w14:paraId="06AF0754" w14:textId="77777777" w:rsidR="00875C4A" w:rsidRPr="005E779E" w:rsidRDefault="00875C4A" w:rsidP="000B7A6C">
      <w:pPr>
        <w:spacing w:after="0" w:line="240" w:lineRule="auto"/>
        <w:jc w:val="both"/>
        <w:rPr>
          <w:rFonts w:ascii="Times New Roman" w:hAnsi="Times New Roman"/>
          <w:color w:val="000000" w:themeColor="text1"/>
          <w:sz w:val="16"/>
          <w:szCs w:val="16"/>
          <w:u w:color="002060"/>
        </w:rPr>
      </w:pPr>
    </w:p>
    <w:p w14:paraId="03B8CCE7" w14:textId="77777777" w:rsidR="00024EF9" w:rsidRPr="005E779E" w:rsidRDefault="00024EF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августа 1931 СТО одобрил предложенния РВС по увеличению производства танков - “большую танковую программу” (9089,149).</w:t>
      </w:r>
    </w:p>
    <w:p w14:paraId="639973E9" w14:textId="77777777" w:rsidR="00024EF9" w:rsidRPr="005E779E" w:rsidRDefault="00024EF9" w:rsidP="000B7A6C">
      <w:pPr>
        <w:autoSpaceDE w:val="0"/>
        <w:autoSpaceDN w:val="0"/>
        <w:adjustRightInd w:val="0"/>
        <w:spacing w:after="0" w:line="240" w:lineRule="auto"/>
        <w:jc w:val="both"/>
        <w:rPr>
          <w:rFonts w:ascii="Times New Roman" w:hAnsi="Times New Roman"/>
          <w:color w:val="000000" w:themeColor="text1"/>
          <w:sz w:val="16"/>
          <w:szCs w:val="16"/>
        </w:rPr>
      </w:pPr>
    </w:p>
    <w:p w14:paraId="1100A21D" w14:textId="77777777" w:rsidR="009E3773" w:rsidRPr="005E779E" w:rsidRDefault="009E3773" w:rsidP="000B7A6C">
      <w:pPr>
        <w:pStyle w:val="rtejustify"/>
        <w:spacing w:before="0" w:after="0"/>
        <w:rPr>
          <w:color w:val="000000" w:themeColor="text1"/>
          <w:sz w:val="16"/>
          <w:szCs w:val="16"/>
        </w:rPr>
      </w:pPr>
      <w:r w:rsidRPr="005E779E">
        <w:rPr>
          <w:color w:val="000000" w:themeColor="text1"/>
          <w:sz w:val="16"/>
          <w:szCs w:val="16"/>
        </w:rPr>
        <w:t>1 августа 1931 г. в принятом постановлении Комиссии обороны по программе танкостроения и по броне, говорилось:</w:t>
      </w:r>
    </w:p>
    <w:p w14:paraId="6057FEA9" w14:textId="77777777" w:rsidR="009E3773" w:rsidRPr="005E779E" w:rsidRDefault="009E3773" w:rsidP="000B7A6C">
      <w:pPr>
        <w:pStyle w:val="rtejustify"/>
        <w:spacing w:before="0" w:after="0"/>
        <w:rPr>
          <w:color w:val="000000" w:themeColor="text1"/>
          <w:sz w:val="16"/>
          <w:szCs w:val="16"/>
        </w:rPr>
      </w:pPr>
      <w:r w:rsidRPr="005E779E">
        <w:rPr>
          <w:color w:val="000000" w:themeColor="text1"/>
          <w:sz w:val="16"/>
          <w:szCs w:val="16"/>
        </w:rPr>
        <w:t>«I. По программе танкостроения: в развитие постановления инстанции от 20 февраля 1931 г. по программе танкостроения в военное время установить к концу 1932 г. реально обеспеченную мощность по годовой подаче танков: по танкам I эшелона: танкеток Т</w:t>
      </w:r>
      <w:r w:rsidRPr="005E779E">
        <w:rPr>
          <w:color w:val="000000" w:themeColor="text1"/>
          <w:sz w:val="16"/>
          <w:szCs w:val="16"/>
        </w:rPr>
        <w:noBreakHyphen/>
        <w:t>27 — 16 тыс., танков малых Т</w:t>
      </w:r>
      <w:r w:rsidRPr="005E779E">
        <w:rPr>
          <w:color w:val="000000" w:themeColor="text1"/>
          <w:sz w:val="16"/>
          <w:szCs w:val="16"/>
        </w:rPr>
        <w:noBreakHyphen/>
        <w:t xml:space="preserve">26 — 13,8 тыс., танков средних (БТ типа «Кристи») — 2 тыс.; по танкам II эшелона: сопровождения пехоты — 8,2 тыс. II. По броне: 1. В соответствии с утвержденной программой танкостроения промышленности обеспечить потребность брони: для танков I эшелона — 46 тыс. т, для танков II эшелона — 16,5 тыс. т, для бронемашин, бронепоездов — 2,5 тыс. т; итого — 65 тыс. т». Для обеспечения потребности в броне планировалось подготовить броневые базы на Ижорском, Кулебакском, Мариупольском заводах и </w:t>
      </w:r>
      <w:r w:rsidRPr="005E779E">
        <w:rPr>
          <w:color w:val="000000" w:themeColor="text1"/>
          <w:sz w:val="16"/>
          <w:szCs w:val="16"/>
        </w:rPr>
        <w:lastRenderedPageBreak/>
        <w:t>Подольском крекингзаводе. Президиуму ВСНХ СССР было поручено в двухмесячный срок проработать мероприятия о создании броневой базы на Урале, а также организовать на Ижорском заводе бюро по цементации брони. (ГА РФ. Ф. Р</w:t>
      </w:r>
      <w:r w:rsidRPr="005E779E">
        <w:rPr>
          <w:color w:val="000000" w:themeColor="text1"/>
          <w:sz w:val="16"/>
          <w:szCs w:val="16"/>
        </w:rPr>
        <w:noBreakHyphen/>
        <w:t>8418. Оп. 5. Д. 59. Л. 1</w:t>
      </w:r>
      <w:r w:rsidRPr="005E779E">
        <w:rPr>
          <w:color w:val="000000" w:themeColor="text1"/>
          <w:sz w:val="16"/>
          <w:szCs w:val="16"/>
        </w:rPr>
        <w:noBreakHyphen/>
        <w:t>3).</w:t>
      </w:r>
    </w:p>
    <w:p w14:paraId="2AD18837" w14:textId="77777777" w:rsidR="009E3773" w:rsidRPr="005E779E" w:rsidRDefault="009E37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Архив: РГВА. Ф. 31811. Оп. 2. Д. 54. Л. 65—66 об. Копия. </w:t>
      </w:r>
    </w:p>
    <w:p w14:paraId="43637242" w14:textId="77777777" w:rsidR="009E3773" w:rsidRPr="005E779E" w:rsidRDefault="009E37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Источник: Становление оборонно-промышленного комплекса СССР (1927-1932). М. 2008, стр. 575-578 (12539).</w:t>
      </w:r>
    </w:p>
    <w:p w14:paraId="5923245E" w14:textId="77777777" w:rsidR="009E3773" w:rsidRPr="005E779E" w:rsidRDefault="009E3773" w:rsidP="000B7A6C">
      <w:pPr>
        <w:autoSpaceDE w:val="0"/>
        <w:autoSpaceDN w:val="0"/>
        <w:adjustRightInd w:val="0"/>
        <w:spacing w:after="0" w:line="240" w:lineRule="auto"/>
        <w:jc w:val="both"/>
        <w:rPr>
          <w:rFonts w:ascii="Times New Roman" w:hAnsi="Times New Roman"/>
          <w:color w:val="000000" w:themeColor="text1"/>
          <w:sz w:val="16"/>
          <w:szCs w:val="16"/>
        </w:rPr>
      </w:pPr>
    </w:p>
    <w:p w14:paraId="07D051E5" w14:textId="77777777" w:rsidR="00980FCB" w:rsidRPr="005E779E" w:rsidRDefault="00980FCB"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eastAsia="Times New Roman" w:hAnsi="Times New Roman"/>
          <w:color w:val="000000" w:themeColor="text1"/>
          <w:sz w:val="16"/>
          <w:szCs w:val="16"/>
          <w:lang w:eastAsia="ru-RU"/>
        </w:rPr>
        <w:t>1 августа 1931 г. Комиссия обороны приняла программу по выпуску к концу 1932 г. 8200 танков сопровождения. Несколькими месяцами позже провал этих планов стал совершенно очевидным, и сектор обороны Госплана доложил КО "о неподготовленности к постановке производства к концу 1932 г. танков сопровождения в количествах, указанных постановлением Комиссии Обороны СНК СССР от 1. VIII. с. г." (Протокол заседания в Секторе Обороны Госплана СССР от 6.11.1931 // РГАЭ. Ф. 4372. Оп. 91- Д 770. Л.4. В документе пояснялось, что образец по танку сопровождения ТМ-1 не испытан НКВМ и не принят им на вооружение, а по модели ТМ-2 "нет даже опытного образца", "ввиду чего ВАТО не имеет исходных данных для подготовки строительства, обеспечивающего подачу заводами к концу 1932 г. 8200 единиц танков сопровождения" (Там же).) (22725).</w:t>
      </w:r>
    </w:p>
    <w:p w14:paraId="5DE26348" w14:textId="77777777" w:rsidR="00980FCB" w:rsidRPr="005E779E" w:rsidRDefault="00980FCB" w:rsidP="000B7A6C">
      <w:pPr>
        <w:shd w:val="clear" w:color="auto" w:fill="FFFFFF"/>
        <w:spacing w:after="0" w:line="240" w:lineRule="auto"/>
        <w:jc w:val="both"/>
        <w:rPr>
          <w:rFonts w:ascii="Times New Roman" w:hAnsi="Times New Roman"/>
          <w:color w:val="000000" w:themeColor="text1"/>
          <w:sz w:val="16"/>
          <w:szCs w:val="16"/>
        </w:rPr>
      </w:pPr>
    </w:p>
    <w:p w14:paraId="343714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августа 1931 г. ТК АНТ-5 прошел испытания и был принят флотом. За ним последовали девять серий катеров, ПОЛУЧИВШИХ обозначение Г-5 (глиссирующий - пятый) (6002,29).</w:t>
      </w:r>
    </w:p>
    <w:p w14:paraId="401C16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084E15C" w14:textId="77777777" w:rsidR="003F4143" w:rsidRPr="005E779E" w:rsidRDefault="003F4143"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bCs/>
          <w:iCs/>
          <w:color w:val="000000" w:themeColor="text1"/>
          <w:sz w:val="16"/>
          <w:szCs w:val="16"/>
        </w:rPr>
        <w:t>1 августа — 15 сентября 1931 г.</w:t>
      </w:r>
      <w:r w:rsidRPr="005E779E">
        <w:rPr>
          <w:rFonts w:ascii="Times New Roman" w:hAnsi="Times New Roman"/>
          <w:color w:val="000000" w:themeColor="text1"/>
          <w:sz w:val="16"/>
          <w:szCs w:val="16"/>
        </w:rPr>
        <w:t xml:space="preserve"> Тактико-технические испытания средств химической борьбы, выполненные на специализированном полигоне во Фролищах. Прошли проверку многие средства химического нападения перед их постановкой на вооружение. Среди них были такие новые по тем временам средства, как мортира Стокса, боевые химические машины, химические фугасы,. В очередной раз были испытаны шашки ядовитого дыма (17133).</w:t>
      </w:r>
    </w:p>
    <w:p w14:paraId="54C6345A" w14:textId="77777777" w:rsidR="003F4143" w:rsidRPr="005E779E" w:rsidRDefault="003F4143" w:rsidP="000B7A6C">
      <w:pPr>
        <w:shd w:val="clear" w:color="auto" w:fill="FFFFFF"/>
        <w:spacing w:after="0" w:line="240" w:lineRule="auto"/>
        <w:jc w:val="both"/>
        <w:rPr>
          <w:rFonts w:ascii="Times New Roman" w:hAnsi="Times New Roman"/>
          <w:color w:val="000000" w:themeColor="text1"/>
          <w:sz w:val="16"/>
          <w:szCs w:val="16"/>
        </w:rPr>
      </w:pPr>
    </w:p>
    <w:p w14:paraId="52D347CC" w14:textId="77777777" w:rsidR="003F4143"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0E76348E" w14:textId="77777777" w:rsidR="003F4143" w:rsidRPr="005E779E" w:rsidRDefault="003F4143"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7CADE16" w14:textId="77777777" w:rsidR="003F4143" w:rsidRPr="005E779E" w:rsidRDefault="003F414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 августа в 1931 году </w:t>
      </w:r>
      <w:hyperlink r:id="rId165" w:tgtFrame="_blank" w:history="1">
        <w:r w:rsidRPr="005E779E">
          <w:rPr>
            <w:rFonts w:ascii="Times New Roman" w:hAnsi="Times New Roman"/>
            <w:color w:val="000000" w:themeColor="text1"/>
            <w:sz w:val="16"/>
            <w:szCs w:val="16"/>
          </w:rPr>
          <w:t xml:space="preserve">Постановление ЦИК СССР N 12, СНК СССР N 644 от 01.08.1931 "Об улучшении бытовых условий инженерно-технических работников" </w:t>
        </w:r>
      </w:hyperlink>
    </w:p>
    <w:p w14:paraId="6CB6DC2A" w14:textId="77777777" w:rsidR="003F4143" w:rsidRPr="005E779E" w:rsidRDefault="003F4143" w:rsidP="000B7A6C">
      <w:pPr>
        <w:spacing w:after="0" w:line="240" w:lineRule="auto"/>
        <w:jc w:val="both"/>
        <w:rPr>
          <w:rFonts w:ascii="Times New Roman" w:hAnsi="Times New Roman"/>
          <w:color w:val="000000" w:themeColor="text1"/>
          <w:sz w:val="16"/>
          <w:szCs w:val="16"/>
        </w:rPr>
      </w:pPr>
    </w:p>
    <w:p w14:paraId="3E291FDC"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4AB80447"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088EA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августа 1931 Великобритания получила франко-американский займ (3907,168).</w:t>
      </w:r>
    </w:p>
    <w:p w14:paraId="6FAAD1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7220ECE"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409EA1B8"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0AEE2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ночь на 2 августа 1931 АНТ-14 перевезли на аэродром (346,52).</w:t>
      </w:r>
    </w:p>
    <w:p w14:paraId="70255D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47973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2 августа по 7 ноября 1931 двигатель, получивший обозначение М-34, успешно прошел 100-часовые госиспытания (9028).</w:t>
      </w:r>
    </w:p>
    <w:p w14:paraId="2249DF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711874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2 августа по 7 ноября 1931 М-34 успешно прошел 100-часовые госиспытания и в нача</w:t>
      </w:r>
      <w:r w:rsidRPr="005E779E">
        <w:rPr>
          <w:rFonts w:ascii="Times New Roman" w:hAnsi="Times New Roman"/>
          <w:color w:val="000000" w:themeColor="text1"/>
          <w:sz w:val="16"/>
          <w:szCs w:val="16"/>
        </w:rPr>
        <w:softHyphen/>
        <w:t>ле 1932 г. был передан в серийное производство на завод № 24 (Москва). Разработка мощного авиамотора, ставшего первым отече</w:t>
      </w:r>
      <w:r w:rsidRPr="005E779E">
        <w:rPr>
          <w:rFonts w:ascii="Times New Roman" w:hAnsi="Times New Roman"/>
          <w:color w:val="000000" w:themeColor="text1"/>
          <w:sz w:val="16"/>
          <w:szCs w:val="16"/>
        </w:rPr>
        <w:softHyphen/>
        <w:t>ственным серийным, совпала с созданием и становлением Централь</w:t>
      </w:r>
      <w:r w:rsidRPr="005E779E">
        <w:rPr>
          <w:rFonts w:ascii="Times New Roman" w:hAnsi="Times New Roman"/>
          <w:color w:val="000000" w:themeColor="text1"/>
          <w:sz w:val="16"/>
          <w:szCs w:val="16"/>
        </w:rPr>
        <w:softHyphen/>
        <w:t>ного института авиационного моторостроения (ЦИАМ), куда Микулин был назначен главным конструктором. М-34 обладал вы</w:t>
      </w:r>
      <w:r w:rsidRPr="005E779E">
        <w:rPr>
          <w:rFonts w:ascii="Times New Roman" w:hAnsi="Times New Roman"/>
          <w:color w:val="000000" w:themeColor="text1"/>
          <w:sz w:val="16"/>
          <w:szCs w:val="16"/>
        </w:rPr>
        <w:softHyphen/>
        <w:t>дающимися для своего времени техническими данными и превосхо</w:t>
      </w:r>
      <w:r w:rsidRPr="005E779E">
        <w:rPr>
          <w:rFonts w:ascii="Times New Roman" w:hAnsi="Times New Roman"/>
          <w:color w:val="000000" w:themeColor="text1"/>
          <w:sz w:val="16"/>
          <w:szCs w:val="16"/>
        </w:rPr>
        <w:softHyphen/>
        <w:t>дил лучшие зарубежные образцы. Его номинальная мощность составила 750 л. с., а взлетная — 850 л. с. при сухой массе 535 кг. На</w:t>
      </w:r>
      <w:r w:rsidRPr="005E779E">
        <w:rPr>
          <w:rFonts w:ascii="Times New Roman" w:hAnsi="Times New Roman"/>
          <w:color w:val="000000" w:themeColor="text1"/>
          <w:sz w:val="16"/>
          <w:szCs w:val="16"/>
        </w:rPr>
        <w:softHyphen/>
        <w:t>ша страна получила мощный мотор, являвшийся выдающимся достижени</w:t>
      </w:r>
      <w:r w:rsidRPr="005E779E">
        <w:rPr>
          <w:rFonts w:ascii="Times New Roman" w:hAnsi="Times New Roman"/>
          <w:color w:val="000000" w:themeColor="text1"/>
          <w:sz w:val="16"/>
          <w:szCs w:val="16"/>
        </w:rPr>
        <w:softHyphen/>
        <w:t>ем мирового моторостроения. В конструкции М-34 имелся целый ряд нововведений. Одним из них явля</w:t>
      </w:r>
      <w:r w:rsidRPr="005E779E">
        <w:rPr>
          <w:rFonts w:ascii="Times New Roman" w:hAnsi="Times New Roman"/>
          <w:color w:val="000000" w:themeColor="text1"/>
          <w:sz w:val="16"/>
          <w:szCs w:val="16"/>
        </w:rPr>
        <w:softHyphen/>
        <w:t>лась силовая схема блока, так называе</w:t>
      </w:r>
      <w:r w:rsidRPr="005E779E">
        <w:rPr>
          <w:rFonts w:ascii="Times New Roman" w:hAnsi="Times New Roman"/>
          <w:color w:val="000000" w:themeColor="text1"/>
          <w:sz w:val="16"/>
          <w:szCs w:val="16"/>
        </w:rPr>
        <w:softHyphen/>
        <w:t>мая схема «сжатой рубашки и свободной гильзы&gt;&gt;, которая обеспечи</w:t>
      </w:r>
      <w:r w:rsidRPr="005E779E">
        <w:rPr>
          <w:rFonts w:ascii="Times New Roman" w:hAnsi="Times New Roman"/>
          <w:color w:val="000000" w:themeColor="text1"/>
          <w:sz w:val="16"/>
          <w:szCs w:val="16"/>
        </w:rPr>
        <w:softHyphen/>
        <w:t>ла исключительно высокую жесткость системы и позволила в дальнейшем значительно форсировать мотор. Ци</w:t>
      </w:r>
      <w:r w:rsidRPr="005E779E">
        <w:rPr>
          <w:rFonts w:ascii="Times New Roman" w:hAnsi="Times New Roman"/>
          <w:color w:val="000000" w:themeColor="text1"/>
          <w:sz w:val="16"/>
          <w:szCs w:val="16"/>
        </w:rPr>
        <w:softHyphen/>
        <w:t>линдровый блок, включающий шесть цилиндров одного ряда, состоит из от</w:t>
      </w:r>
      <w:r w:rsidRPr="005E779E">
        <w:rPr>
          <w:rFonts w:ascii="Times New Roman" w:hAnsi="Times New Roman"/>
          <w:color w:val="000000" w:themeColor="text1"/>
          <w:sz w:val="16"/>
          <w:szCs w:val="16"/>
        </w:rPr>
        <w:softHyphen/>
        <w:t>дельной головки, отдельной рубашки, выполненных из алюминиевого сплаизготовить буквально с «белка») (с кальки) первые двигатели. После 38 часов заводских испытаний моторы предъявили на стендовые го</w:t>
      </w:r>
      <w:r w:rsidRPr="005E779E">
        <w:rPr>
          <w:rFonts w:ascii="Times New Roman" w:hAnsi="Times New Roman"/>
          <w:color w:val="000000" w:themeColor="text1"/>
          <w:sz w:val="16"/>
          <w:szCs w:val="16"/>
        </w:rPr>
        <w:softHyphen/>
        <w:t>сударственные испытания, которые успешно завершились в ноябре 1931 г. Конечно, многие узлы и детали потребовали доводки. Этот самый тяжелый период в создании любого мотора лег на плечи заво</w:t>
      </w:r>
      <w:r w:rsidRPr="005E779E">
        <w:rPr>
          <w:rFonts w:ascii="Times New Roman" w:hAnsi="Times New Roman"/>
          <w:color w:val="000000" w:themeColor="text1"/>
          <w:sz w:val="16"/>
          <w:szCs w:val="16"/>
        </w:rPr>
        <w:softHyphen/>
        <w:t>да № 26. Именно он дал путевку в жизнь уникальному мотору М-34. Первые М-34 проходили испытания с импортным карбюратором, однако в ЦИАМе конструкторы К.А. Стариков и А.М. Добротвор-ский разработали свой, отечественный, с которым в 1932 г. двигатель был предъявлен на повторные государственные испытания. В октя</w:t>
      </w:r>
      <w:r w:rsidRPr="005E779E">
        <w:rPr>
          <w:rFonts w:ascii="Times New Roman" w:hAnsi="Times New Roman"/>
          <w:color w:val="000000" w:themeColor="text1"/>
          <w:sz w:val="16"/>
          <w:szCs w:val="16"/>
        </w:rPr>
        <w:softHyphen/>
        <w:t>бре 1933 г. самолет ТБ-3 с мотором М-34 прошел летные госиспыта</w:t>
      </w:r>
      <w:r w:rsidRPr="005E779E">
        <w:rPr>
          <w:rFonts w:ascii="Times New Roman" w:hAnsi="Times New Roman"/>
          <w:color w:val="000000" w:themeColor="text1"/>
          <w:sz w:val="16"/>
          <w:szCs w:val="16"/>
        </w:rPr>
        <w:softHyphen/>
        <w:t>ния, и двигатель был запущен в серию, но уже на заводе № 24 в Москве (Рыбинские производственные мощности были задейство</w:t>
      </w:r>
      <w:r w:rsidRPr="005E779E">
        <w:rPr>
          <w:rFonts w:ascii="Times New Roman" w:hAnsi="Times New Roman"/>
          <w:color w:val="000000" w:themeColor="text1"/>
          <w:sz w:val="16"/>
          <w:szCs w:val="16"/>
        </w:rPr>
        <w:softHyphen/>
        <w:t>ваны на выпуск моторов М-17). Тогда же, в конце 1931 г., было решено назначить Марьямова ди</w:t>
      </w:r>
      <w:r w:rsidRPr="005E779E">
        <w:rPr>
          <w:rFonts w:ascii="Times New Roman" w:hAnsi="Times New Roman"/>
          <w:color w:val="000000" w:themeColor="text1"/>
          <w:sz w:val="16"/>
          <w:szCs w:val="16"/>
        </w:rPr>
        <w:softHyphen/>
        <w:t>ректором завода имени Фрунзе. Умещался тогда завод на крохотной площадке. Прямо перед входом тянулась дорога. Сзади — кладбище с церковью у входа, поч</w:t>
      </w:r>
      <w:r w:rsidRPr="005E779E">
        <w:rPr>
          <w:rFonts w:ascii="Times New Roman" w:hAnsi="Times New Roman"/>
          <w:color w:val="000000" w:themeColor="text1"/>
          <w:sz w:val="16"/>
          <w:szCs w:val="16"/>
        </w:rPr>
        <w:softHyphen/>
        <w:t>ти напротив — застава с биржей извозчиков. А дальше за заводом тя</w:t>
      </w:r>
      <w:r w:rsidRPr="005E779E">
        <w:rPr>
          <w:rFonts w:ascii="Times New Roman" w:hAnsi="Times New Roman"/>
          <w:color w:val="000000" w:themeColor="text1"/>
          <w:sz w:val="16"/>
          <w:szCs w:val="16"/>
        </w:rPr>
        <w:softHyphen/>
        <w:t>нулись плантации цветов. Территория предприятия была обнесена дощатым забором. Для расширения производства потребовалась ко</w:t>
      </w:r>
      <w:r w:rsidRPr="005E779E">
        <w:rPr>
          <w:rFonts w:ascii="Times New Roman" w:hAnsi="Times New Roman"/>
          <w:color w:val="000000" w:themeColor="text1"/>
          <w:sz w:val="16"/>
          <w:szCs w:val="16"/>
        </w:rPr>
        <w:softHyphen/>
        <w:t>ренная реконструкция. На стройке многие тысячи людей работали в три смены. Одновре</w:t>
      </w:r>
      <w:r w:rsidRPr="005E779E">
        <w:rPr>
          <w:rFonts w:ascii="Times New Roman" w:hAnsi="Times New Roman"/>
          <w:color w:val="000000" w:themeColor="text1"/>
          <w:sz w:val="16"/>
          <w:szCs w:val="16"/>
        </w:rPr>
        <w:softHyphen/>
        <w:t>менно строились три корпуса, в том числе корпус механических це</w:t>
      </w:r>
      <w:r w:rsidRPr="005E779E">
        <w:rPr>
          <w:rFonts w:ascii="Times New Roman" w:hAnsi="Times New Roman"/>
          <w:color w:val="000000" w:themeColor="text1"/>
          <w:sz w:val="16"/>
          <w:szCs w:val="16"/>
        </w:rPr>
        <w:softHyphen/>
        <w:t>хов, который и сегодня самый крупный на заводе. Рядом возводился кузнечно-термический цех, а с другой стороны — инструментальный корпус. Все работы велись исключительно вручную. Лопата, кирка, носилки, конная подвода — вот и вся «механизация». Если до реконструкции завода на обеих территориях от силы ра</w:t>
      </w:r>
      <w:r w:rsidRPr="005E779E">
        <w:rPr>
          <w:rFonts w:ascii="Times New Roman" w:hAnsi="Times New Roman"/>
          <w:color w:val="000000" w:themeColor="text1"/>
          <w:sz w:val="16"/>
          <w:szCs w:val="16"/>
        </w:rPr>
        <w:softHyphen/>
        <w:t>ботало около тысячи человек, то после реконструкции численность предполагалось довести до 10 000 работников. Конечно, освоение серийного выпуска нового мощного советского мотора было задачей очень непростой (10781).</w:t>
      </w:r>
    </w:p>
    <w:p w14:paraId="46806A7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813A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августа 1931 на гос. испытания был предъявлен М-34 750 нр и прошел их удовлетворительно (2281,67).</w:t>
      </w:r>
    </w:p>
    <w:p w14:paraId="43B720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367B9E6"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1D53AB1C"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DD822F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августа 1931 г. Комитет обороны принимает постанов</w:t>
      </w:r>
      <w:r w:rsidRPr="005E779E">
        <w:rPr>
          <w:rFonts w:ascii="Times New Roman" w:hAnsi="Times New Roman"/>
          <w:color w:val="000000" w:themeColor="text1"/>
          <w:sz w:val="16"/>
          <w:szCs w:val="16"/>
        </w:rPr>
        <w:softHyphen/>
        <w:t>ление о программе танкостроения в условиях военного времени. Согласно постановлению в течение первого года войны отечественная тяжелая промышленность должна была обеспечить наличие в армии в угрожаемый период:</w:t>
      </w:r>
    </w:p>
    <w:p w14:paraId="57C3519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танков Т-26 - 13 800 танков, исполнители «Больше</w:t>
      </w:r>
      <w:r w:rsidRPr="005E779E">
        <w:rPr>
          <w:rFonts w:ascii="Times New Roman" w:hAnsi="Times New Roman"/>
          <w:color w:val="000000" w:themeColor="text1"/>
          <w:sz w:val="16"/>
          <w:szCs w:val="16"/>
        </w:rPr>
        <w:softHyphen/>
        <w:t>вик» и СТЗ;</w:t>
      </w:r>
    </w:p>
    <w:p w14:paraId="7B1E46E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танков ТММ-1/ТММ-2 - 8 200 танков, исполнители «АМО» и Ярославский завод;</w:t>
      </w:r>
    </w:p>
    <w:p w14:paraId="5393E4F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танков БТ - 2 000 танков, исполнитель КПЗ;</w:t>
      </w:r>
    </w:p>
    <w:p w14:paraId="6BC39CB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-танкеток 7427— 16000 танков, исполнитель Автоза</w:t>
      </w:r>
      <w:r w:rsidRPr="005E779E">
        <w:rPr>
          <w:rFonts w:ascii="Times New Roman" w:hAnsi="Times New Roman"/>
          <w:color w:val="000000" w:themeColor="text1"/>
          <w:sz w:val="16"/>
          <w:szCs w:val="16"/>
        </w:rPr>
        <w:softHyphen/>
        <w:t>вод 2 и Щижегородский] АЗ.</w:t>
      </w:r>
    </w:p>
    <w:p w14:paraId="4A60E3A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 — 40 000 танков...” (10733,178).</w:t>
      </w:r>
    </w:p>
    <w:p w14:paraId="020AC4E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30AB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августа 1931 Комитетом обороны принята программа танкостроения в условиях военного времени, согласно ей тяжелая промышленность СССР должна обеспечить наличие в армии:</w:t>
      </w:r>
    </w:p>
    <w:p w14:paraId="502024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танков Т-26 — 13800, исполнители СТЗ и „Большевик?;</w:t>
      </w:r>
    </w:p>
    <w:p w14:paraId="7C1E00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танков БТ — 2000, исполнитель ХПЗ;</w:t>
      </w:r>
    </w:p>
    <w:p w14:paraId="25F9CC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танкеток Т-27 — 16000, исполнитель Автозавод 2 и НАЗ;</w:t>
      </w:r>
    </w:p>
    <w:p w14:paraId="7B3500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иных танков — 8200, исполнители „АМО? и Ярославский завод.</w:t>
      </w:r>
    </w:p>
    <w:p w14:paraId="3B5B03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 — 40000 танков.»</w:t>
      </w:r>
    </w:p>
    <w:p w14:paraId="2D9FC7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Понятно, что в начале тридцатых о подобной программе можно было говорить только как о деле далекой перспективы. Проанализировав возможности завода «Большевик» Комитет Обороны разрешил (!) КБ «Большевика» вносить любые изменения в конструкцию и методику изготовления танков, не снижающие их боевые качества. Осенью 1931 года начинают делать новую повышенную цилиндрическую башню со смотровым окном, мотор отодвинули на 77 мм ближе к корме, с начала 1932-го года были введены новый бензобак и маслобак (11809).</w:t>
      </w:r>
    </w:p>
    <w:p w14:paraId="65A2AA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C715731" w14:textId="77777777" w:rsidR="00024EF9" w:rsidRPr="005E779E" w:rsidRDefault="00024EF9"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2 августа</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Постановление СТО СССР № 168сс об ассигновании ВСНХ СССР на усиление оборотных средств военной промышленности в III квартале 1931 г. (ГА РФ. Ф. Р?8418. Оп. 28. Д. 1а. Л. 54) (12415).</w:t>
      </w:r>
    </w:p>
    <w:p w14:paraId="132AB7BD" w14:textId="77777777" w:rsidR="00024EF9" w:rsidRPr="005E779E" w:rsidRDefault="00024EF9" w:rsidP="000B7A6C">
      <w:pPr>
        <w:spacing w:after="0" w:line="240" w:lineRule="auto"/>
        <w:jc w:val="both"/>
        <w:rPr>
          <w:rFonts w:ascii="Times New Roman" w:hAnsi="Times New Roman"/>
          <w:color w:val="000000" w:themeColor="text1"/>
          <w:sz w:val="16"/>
          <w:szCs w:val="16"/>
          <w:u w:color="002060"/>
        </w:rPr>
      </w:pPr>
    </w:p>
    <w:p w14:paraId="68D78554"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2F22E625"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8E3F2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августа 1931 вышло постановление ЦК ВКП(б) о темпах коллективизации и об укреплении колхозов (1348,199).</w:t>
      </w:r>
    </w:p>
    <w:p w14:paraId="0BD0A4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E48EDE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2 августа 1931 вышло Постановление ЦК о темпах коллективизации и об укреплении колхозов (3960, 300).</w:t>
      </w:r>
    </w:p>
    <w:p w14:paraId="2EDCD92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841D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августа 1931 вышло Постановление ЦК ВКП(б) "О темпах дальнейшей коллективизации и задачах по укреплению колхозов". В постановлении отмечено о завершении сплошной коллективизации на Северном Кавказе, в Поволжье, на Урале, на Украине, в Крыму и Молдавской АССР (10687).</w:t>
      </w:r>
    </w:p>
    <w:p w14:paraId="0C6565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905C81E"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5DDAE563"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19EF3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августа 1931 В.Пост и П.Гетти прибыли в Хабаровск на Веге (542,7).</w:t>
      </w:r>
    </w:p>
    <w:p w14:paraId="39F1B0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8008D49" w14:textId="77777777" w:rsidR="00024EF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1838E251" w14:textId="77777777" w:rsidR="00024EF9" w:rsidRPr="005E779E" w:rsidRDefault="00024EF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94F0B20" w14:textId="77777777" w:rsidR="00024EF9" w:rsidRPr="005E779E" w:rsidRDefault="00024EF9" w:rsidP="000B7A6C">
      <w:pPr>
        <w:pStyle w:val="rtejustify"/>
        <w:spacing w:before="0" w:after="0"/>
        <w:rPr>
          <w:color w:val="000000" w:themeColor="text1"/>
          <w:sz w:val="16"/>
          <w:szCs w:val="16"/>
        </w:rPr>
      </w:pPr>
      <w:r w:rsidRPr="005E779E">
        <w:rPr>
          <w:rStyle w:val="af0"/>
          <w:i w:val="0"/>
          <w:color w:val="000000" w:themeColor="text1"/>
          <w:sz w:val="16"/>
          <w:szCs w:val="16"/>
        </w:rPr>
        <w:t>3 августа 1931 г. Протокол Реввоенсовета № 27.</w:t>
      </w:r>
      <w:r w:rsidRPr="005E779E">
        <w:rPr>
          <w:color w:val="000000" w:themeColor="text1"/>
          <w:sz w:val="16"/>
          <w:szCs w:val="16"/>
        </w:rPr>
        <w:t xml:space="preserve"> 1. Итоги опытной мобилизации промышленности в 1930 г. и план опытных мобилизаций осени 1931 г. (Егоров, Ефимов). 7. Система бронепоездного вооружения РККА (Халепский, Егоров). 8. Полевое водоснабжение (Потапов). 9. О состоянии работ по телемеханике (Ефимов). 14. Состояние работ по опытному самолето- и моторостроению (Меженинов). (РГВА. Ф. 4. Оп. 18. Д. 21. Л. 34, 35, 36) (12342).</w:t>
      </w:r>
    </w:p>
    <w:p w14:paraId="486AB253" w14:textId="77777777" w:rsidR="00024EF9" w:rsidRPr="005E779E" w:rsidRDefault="00024EF9" w:rsidP="000B7A6C">
      <w:pPr>
        <w:pStyle w:val="rtejustify"/>
        <w:spacing w:before="0" w:after="0"/>
        <w:rPr>
          <w:color w:val="000000" w:themeColor="text1"/>
          <w:sz w:val="16"/>
          <w:szCs w:val="16"/>
        </w:rPr>
      </w:pPr>
    </w:p>
    <w:p w14:paraId="37346AC4" w14:textId="77777777" w:rsidR="00561C4E" w:rsidRPr="005E779E" w:rsidRDefault="00561C4E" w:rsidP="00561C4E">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70F0A2EA" w14:textId="77777777" w:rsidR="00561C4E" w:rsidRPr="005E779E" w:rsidRDefault="00561C4E" w:rsidP="00561C4E">
      <w:pPr>
        <w:autoSpaceDE w:val="0"/>
        <w:autoSpaceDN w:val="0"/>
        <w:adjustRightInd w:val="0"/>
        <w:spacing w:after="0" w:line="240" w:lineRule="auto"/>
        <w:jc w:val="both"/>
        <w:rPr>
          <w:rFonts w:ascii="Times New Roman" w:hAnsi="Times New Roman"/>
          <w:iCs/>
          <w:color w:val="000000" w:themeColor="text1"/>
          <w:sz w:val="16"/>
          <w:szCs w:val="16"/>
        </w:rPr>
      </w:pPr>
    </w:p>
    <w:p w14:paraId="481F1B00" w14:textId="77777777" w:rsidR="00561C4E" w:rsidRPr="00142305" w:rsidRDefault="00561C4E" w:rsidP="00561C4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4 августа 1930 г. на опытном истребителе Д-2 при проведении испытаний разбился летчик НИИ ВВС Чекарев. И хотя в катастрофе осталось много невыясненного, Комиссия занялась анализом деятельности Поликарпова. Кроме того, в это же время в адрес Комиссии поступили несколько писем, раскрывающих его «преступную деятельность».</w:t>
      </w:r>
    </w:p>
    <w:p w14:paraId="6C5BA996" w14:textId="77777777" w:rsidR="00561C4E" w:rsidRPr="00142305" w:rsidRDefault="00561C4E" w:rsidP="00561C4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А дело было вот в чем. Успешно руководя (несмотря на заключение) конструкторской бригадой, Николай Николаевич не мог спокойно наблюдать, как посредственный инженер К. А. Петров, перешедший с завода № 25 в ЦКБ на должность заведующего секцией фюзеляжа, неумелыми действиями губит ее работу. По взаимной договоренности с работающим там персоналом Н. Н. Поликарпов перед началом рабочего дня приходил в секцию фюзеляжа, заслушивал сообщения по текущим вопросам, давал руководящие указания. Во время официальных оперативок, проводимых Петровым, коллектив секции молча пропускал его задания мимо ушей, выполняя лишь то, что было согласовано с Поликарповым. В один прекрасный день все раскрылось. После разгоревшегося скандала в самом конце сентября 1930 г. Николай Николаевич был смещен с занимаемой должности и переведен на должность старшего инженера по расчетам. Его бригадой стал руководить С. А. Кочеригин.</w:t>
      </w:r>
    </w:p>
    <w:p w14:paraId="1385D07D" w14:textId="77777777" w:rsidR="00561C4E" w:rsidRPr="00142305" w:rsidRDefault="00561C4E" w:rsidP="00561C4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Вот как это событие описывает Петров в своей докладной записке в Комиссию по «чистке»:</w:t>
      </w:r>
    </w:p>
    <w:p w14:paraId="0F9BFB98" w14:textId="77777777" w:rsidR="00561C4E" w:rsidRPr="00142305" w:rsidRDefault="00561C4E" w:rsidP="00561C4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«…Утром рано прихожу на работу и вижу, что работами секции руководит Поликарпов, распределяя задания. Я выслушал, немедленно пошел к Яценко [в то время зав. Конструкторским отделом] и поставил вопрос ребром: «Кто ответственен за работу секции, я или Поликарпов?»… Очевидно, этот разговор пошел вверх по начальству, и вскоре инж. Поликарпов очутился в Расчетном отделе». </w:t>
      </w:r>
    </w:p>
    <w:p w14:paraId="6E0FA1D3" w14:textId="77777777" w:rsidR="00561C4E" w:rsidRPr="00142305" w:rsidRDefault="00561C4E" w:rsidP="00561C4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По-видимому, от более крупных неприятностей Николая Николаевича спасло лишь то, что он и так находился в заключении и что над ним висел приговор о расстреле.</w:t>
      </w:r>
    </w:p>
    <w:p w14:paraId="68C010EA" w14:textId="77777777" w:rsidR="00561C4E" w:rsidRPr="00142305" w:rsidRDefault="00561C4E" w:rsidP="00561C4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Впрочем, потом, оказавшись в трудном положении, Петров не постеснялся обратиться за помощью к Поликарпову, но Николай Николаевич оставил его просьбы без внимания.</w:t>
      </w:r>
    </w:p>
    <w:p w14:paraId="2B55C530" w14:textId="24291E41" w:rsidR="00561C4E" w:rsidRPr="00142305" w:rsidRDefault="00561C4E" w:rsidP="00561C4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«…А сейчас пошла работа по старинке, как она делалась до момента ареста того же инженера Поликарпова; нет-нет да маска спадает: «Я арестант — мое дело маленькое». Фраза, которая изредка срывается с</w:t>
      </w:r>
      <w:r w:rsidR="00FE094E">
        <w:rPr>
          <w:rFonts w:ascii="Times New Roman" w:hAnsi="Times New Roman"/>
          <w:color w:val="0070C0"/>
          <w:sz w:val="16"/>
          <w:szCs w:val="16"/>
        </w:rPr>
        <w:t xml:space="preserve"> </w:t>
      </w:r>
      <w:r w:rsidRPr="00142305">
        <w:rPr>
          <w:rFonts w:ascii="Times New Roman" w:hAnsi="Times New Roman"/>
          <w:color w:val="0070C0"/>
          <w:sz w:val="16"/>
          <w:szCs w:val="16"/>
        </w:rPr>
        <w:t>[его] языка, —</w:t>
      </w:r>
      <w:r w:rsidR="00FE094E">
        <w:rPr>
          <w:rFonts w:ascii="Times New Roman" w:hAnsi="Times New Roman"/>
          <w:color w:val="0070C0"/>
          <w:sz w:val="16"/>
          <w:szCs w:val="16"/>
        </w:rPr>
        <w:t xml:space="preserve"> </w:t>
      </w:r>
      <w:r w:rsidRPr="00142305">
        <w:rPr>
          <w:rFonts w:ascii="Times New Roman" w:hAnsi="Times New Roman"/>
          <w:color w:val="0070C0"/>
          <w:sz w:val="16"/>
          <w:szCs w:val="16"/>
        </w:rPr>
        <w:t>писал в Комиссию К. А. Петров. — Когда я принял работы по сам. «Ш» и когда в первые дни дальнейшей проработки я натолкнулся на кучу детских ошибок в конструкции, когда обнаружилось, что отдельные узлы самолета не увязаны с каркасом его между собой, и когда я узнал, что почти все эти чертежи находятся в производстве в работе, я обратился к инж. Поликарпову и сказал: «Николай Николаевич, ведь эти работы надо приостановить, пока мы не выверили всего». Ответ был прост: «А, ерунда, сделают и выбросят, а потом ты дашь новые чертежи» (25035).</w:t>
      </w:r>
    </w:p>
    <w:p w14:paraId="147A96A9" w14:textId="77777777" w:rsidR="00561C4E" w:rsidRPr="00142305" w:rsidRDefault="00561C4E" w:rsidP="00561C4E">
      <w:pPr>
        <w:spacing w:after="0" w:line="240" w:lineRule="auto"/>
        <w:jc w:val="both"/>
        <w:rPr>
          <w:rFonts w:ascii="Times New Roman" w:hAnsi="Times New Roman"/>
          <w:color w:val="0070C0"/>
          <w:sz w:val="16"/>
          <w:szCs w:val="16"/>
        </w:rPr>
      </w:pPr>
    </w:p>
    <w:p w14:paraId="404802FA"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25A70F15"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4FA5F70"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августа 1931, на четыре дня раньше намеченного срока, мотоциклы вернулись в Харьков в хорошем, пригодном для дальнейшей эксплуатации состоянии. 3500 километров были пройдены без единой аварии или поломки.</w:t>
      </w:r>
    </w:p>
    <w:p w14:paraId="642C181D"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Что представлял собой харьковский мотоцикл модели "М"? Двигатель: одноцилиндровый, четырехтактный, рабочим объемом 350 куб. см., типа "Харлей-Дэвидсон", со степенью сжатия 4,1. Число оборотов 4500 (90 км/час). Поршень алюминиевый. Смазка двигателя производилась ручным и механическим насосами. Карбюратор типа "Шеблер-де-люкс" производства Конотопского машиностроительного завода. Число скоростей - 3. Передача "цепь-цепь". Передняя вилка имела 3 пружины, из них средняя - противодействующая. Внутри поставлены резиновые ограничители. На руле - 2 фары. Аккумулятор на 6 </w:t>
      </w:r>
      <w:r w:rsidRPr="005E779E">
        <w:rPr>
          <w:rFonts w:ascii="Times New Roman" w:hAnsi="Times New Roman"/>
          <w:color w:val="000000" w:themeColor="text1"/>
          <w:sz w:val="16"/>
          <w:szCs w:val="16"/>
          <w:lang w:val="en-AU"/>
        </w:rPr>
        <w:t>V</w:t>
      </w:r>
      <w:r w:rsidRPr="005E779E">
        <w:rPr>
          <w:rFonts w:ascii="Times New Roman" w:hAnsi="Times New Roman"/>
          <w:color w:val="000000" w:themeColor="text1"/>
          <w:sz w:val="16"/>
          <w:szCs w:val="16"/>
        </w:rPr>
        <w:t>, 12 А/ч. Шины высокого давления 680</w:t>
      </w:r>
      <w:r w:rsidRPr="005E779E">
        <w:rPr>
          <w:rFonts w:ascii="Times New Roman" w:hAnsi="Times New Roman"/>
          <w:color w:val="000000" w:themeColor="text1"/>
          <w:sz w:val="16"/>
          <w:szCs w:val="16"/>
          <w:lang w:val="en-AU"/>
        </w:rPr>
        <w:t>x</w:t>
      </w:r>
      <w:r w:rsidRPr="005E779E">
        <w:rPr>
          <w:rFonts w:ascii="Times New Roman" w:hAnsi="Times New Roman"/>
          <w:color w:val="000000" w:themeColor="text1"/>
          <w:sz w:val="16"/>
          <w:szCs w:val="16"/>
        </w:rPr>
        <w:t>90. В колесах по 40 спиц. Спицы, обода и ниппели изготовлены на Харьковском велозаводе. Вес мотоцикла - 135 кг, база - 1400 мм. Бак емкостью 11,5 л горючего и 275 мл масла - из листового железа. Расход топлива - 3,5 л на 100 км. Седло с двумя работающими на растяжение пружинами. Все 6 мотоциклов модели "М" имели идентичную конструкцию и различались лишь окраской, степенью никелировки и формой рам, баков для горючего, рычагов переключения передач и противогрязевых щитков (11602).</w:t>
      </w:r>
    </w:p>
    <w:p w14:paraId="0AA5F4DE"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AFA472" w14:textId="77777777" w:rsidR="00024EF9" w:rsidRPr="005E779E" w:rsidRDefault="00024EF9"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4 августа 1931 </w:t>
      </w:r>
      <w:r w:rsidRPr="005E779E">
        <w:rPr>
          <w:rFonts w:ascii="Times New Roman" w:hAnsi="Times New Roman"/>
          <w:color w:val="000000" w:themeColor="text1"/>
          <w:sz w:val="16"/>
          <w:szCs w:val="16"/>
        </w:rPr>
        <w:t>Политбюро ЦК ВКП (б) приняло решение о строительстве судостроительного завода в Хабаровске (12265).</w:t>
      </w:r>
    </w:p>
    <w:p w14:paraId="3C445AF1" w14:textId="77777777" w:rsidR="00024EF9" w:rsidRPr="005E779E" w:rsidRDefault="00024EF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2561ABDD"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2F0B0EBC"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64106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августа 1931 вышло постановление РВС о проектировании и строительстве МК-1 6М34РН (351).</w:t>
      </w:r>
    </w:p>
    <w:p w14:paraId="17AE01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97298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августа 1931 постановлением РВС срок представления ТБ-4 6М-34 был отсрочен до 1 мая 1932 (3029).</w:t>
      </w:r>
    </w:p>
    <w:p w14:paraId="0C51D6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A9E981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августа 1931 года Постановлением РВС срок представления самолета ТБ-4 с шестью моторами М-34 на гос. испытания отсрочен до 1 мая 1932 года (6919).</w:t>
      </w:r>
    </w:p>
    <w:p w14:paraId="713E391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204B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августа 1931 у И-5 М-15 № 18 вог время испытаний на малой высоте мотор заглох - к нему перестал поступать бензин. При вынужденной посадке машина получила серьёзные повреждения. При разборке в магистрали возле крана нашли обрывок мешковины. Истребитель увезли на завод для ремонта, а 10 октября вернули, но уже с серийным мотором, новой моторамой и изменённым капотом. Этот двигатель работал лучше предыдущего, но расход масла оставался чрезмерно большим.</w:t>
      </w:r>
    </w:p>
    <w:p w14:paraId="2102C6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мере освоения производства И-5 с "юпитерами" и М-22 отношение к замыслу модернизировать истребитель путём установки М-15 постепенно менялось. Мотор Бессонова долго и мучительно доводился. В 1930 г. его дважды выставляли на государственные испытания. Ни один из образцов не проработал даже заявленных 25 часов до переборки нагнетателя. Лучший из них продержался 15 часов до разрушения коленчатого вала.</w:t>
      </w:r>
    </w:p>
    <w:p w14:paraId="027A2A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Оргвыводы были сделаны в духе времени. "Вредитель" Бессонов остался на заводе, но как арестант в составе конструкторского бюро ОГПУ, разрабатывавшего мощный Х-образный двигатель ФЭД ("Феликс Эдмундович Дзержинский"), Работа по М-15 продолжалась без него.</w:t>
      </w:r>
    </w:p>
    <w:p w14:paraId="23AF16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Один из моторов второй серии ("Б") в январе 1931 г. опять выставили на госиспытания. На 41-м часу развалился фланец крепления одного из цилиндров. Назначенная УВВС комиссия признала двигатель не прошедшим испытания.</w:t>
      </w:r>
    </w:p>
    <w:p w14:paraId="0EF161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Вместо обещанных первоначально 650 л.с. максимальную мощность М-15 снизили до 600 л.с., а затем вообще до 450 л.с. Ресурс в 25 часов до замены подшипников нагнетателя военных ни с какого боку не устраивал. В НИИ ВВС подготовили заключение, в котором сравнивались М-15 и М-22. В нём отмечалось: "В тактическом отношении М-22 стоит выше М-15... При наличии меньшего веса на 25 кгр по мощности имеет несомненное превосходство..." Действительно, французский двигатель мог развить, пусть и в течение всего двух минут, мощность 585 л.с. При этом он расходовал меньше масла и бензина. По важнейшим характеристикам М-15 уступал и принятому за прототип "Хорнету" - при большем весе он развивал меньшую мощность. Что касается надёжности, то их вообще нельзя было сравнивать. Общий вывод специалистов НИИ ВВС гласил: "М-15 в конструктивном отношении полностью недоработан". Более того, они сочли, что этот двигатель не имеет перспектив развития.</w:t>
      </w:r>
    </w:p>
    <w:p w14:paraId="5D2FED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УВВС беспокоили и рапорты военных приёмщиков с завода № 24. За десять дней февраля 1931 г. в ходе заводских испытаний вышли из строя восемь двигателей. Детали моторов подгонялись при монтаже и были невзаимозаменяемы. Всю серию "Б" после предъявления военпред отклонил и потребовал довести её до уровня требований технических условий (11997).</w:t>
      </w:r>
    </w:p>
    <w:p w14:paraId="12AB5F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37D432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5 августа 1931 г. Реввоенсовет издал поста</w:t>
      </w:r>
      <w:r w:rsidRPr="005E779E">
        <w:rPr>
          <w:rFonts w:ascii="Times New Roman" w:hAnsi="Times New Roman"/>
          <w:color w:val="000000" w:themeColor="text1"/>
          <w:sz w:val="16"/>
          <w:szCs w:val="16"/>
        </w:rPr>
        <w:softHyphen/>
        <w:t>новление о сокращении типажа самолетов и моторов. В соответствии с ним в планах заводов и институтов оставили только наиболее перспек</w:t>
      </w:r>
      <w:r w:rsidRPr="005E779E">
        <w:rPr>
          <w:rFonts w:ascii="Times New Roman" w:hAnsi="Times New Roman"/>
          <w:color w:val="000000" w:themeColor="text1"/>
          <w:sz w:val="16"/>
          <w:szCs w:val="16"/>
        </w:rPr>
        <w:softHyphen/>
        <w:t>тивные и наилучшим образом проработанные проекты (11852).</w:t>
      </w:r>
    </w:p>
    <w:p w14:paraId="0786A32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2D396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августа 1931 г. вышло постановление Реввоен</w:t>
      </w:r>
      <w:r w:rsidRPr="005E779E">
        <w:rPr>
          <w:rFonts w:ascii="Times New Roman" w:hAnsi="Times New Roman"/>
          <w:color w:val="000000" w:themeColor="text1"/>
          <w:sz w:val="16"/>
          <w:szCs w:val="16"/>
        </w:rPr>
        <w:softHyphen/>
        <w:t>совета СССР о сокращении количества типов авиамоторов, находящихся в серийном производстве. Оставляли только М-11, М-17, М-22 и М-28. Высокая аварийность самолетов АНТ-9 и К-5 с двигателями М-26 и М-15 соответственно нанесла дополнительный удар по их репутации. Моторы сняли с производства, а вскоре и с эксплуатации. Выпущено 406 экз. В военной авиации М-15 был вытеснен (в основном, из-за низкой надежности) мотором М-22. В январе 1932 г. он проиграл сравнительные испытания в НИИ ВВС двигателю М-22. Все построенные М-15 передали для эксплуатации в гражданскую авиацию.</w:t>
      </w:r>
    </w:p>
    <w:p w14:paraId="08FEF28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Характеристики М-15:</w:t>
      </w:r>
    </w:p>
    <w:p w14:paraId="37AB69B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9-цилиндровый, звездообразный, четырехтактный, воздушного охлаж</w:t>
      </w:r>
      <w:r w:rsidRPr="005E779E">
        <w:rPr>
          <w:rFonts w:ascii="Times New Roman" w:hAnsi="Times New Roman"/>
          <w:color w:val="000000" w:themeColor="text1"/>
          <w:sz w:val="16"/>
          <w:szCs w:val="16"/>
        </w:rPr>
        <w:softHyphen/>
        <w:t>дения;</w:t>
      </w:r>
    </w:p>
    <w:p w14:paraId="4603FD5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мощность 450/660 л.с.;</w:t>
      </w:r>
    </w:p>
    <w:p w14:paraId="221B5E6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диаметр цилиндра/ход поршня 150/170 мм;</w:t>
      </w:r>
    </w:p>
    <w:p w14:paraId="0F01872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объем 27,02 л;</w:t>
      </w:r>
    </w:p>
    <w:p w14:paraId="48AAFF6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степень сжатия 5,4 (фактически 5,5-5,7);</w:t>
      </w:r>
    </w:p>
    <w:p w14:paraId="631494D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безредукторный;</w:t>
      </w:r>
    </w:p>
    <w:p w14:paraId="279DE89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мощность и вес в зависимости от модификации и серии;</w:t>
      </w:r>
    </w:p>
    <w:p w14:paraId="6FF0104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имел ПЦН и синхронизатор. Известны варианты:</w:t>
      </w:r>
    </w:p>
    <w:p w14:paraId="67ADCC4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М-15, первоначальный вариант. Изготовлен в двух опытных экзем</w:t>
      </w:r>
      <w:r w:rsidRPr="005E779E">
        <w:rPr>
          <w:rFonts w:ascii="Times New Roman" w:hAnsi="Times New Roman"/>
          <w:color w:val="000000" w:themeColor="text1"/>
          <w:sz w:val="16"/>
          <w:szCs w:val="16"/>
        </w:rPr>
        <w:softHyphen/>
        <w:t>плярах. Мощность по проекту 500/600 л.с., вес 420 кг.</w:t>
      </w:r>
    </w:p>
    <w:p w14:paraId="1181F70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2М-15, второй вариант конструкции с усиленными головками цилин</w:t>
      </w:r>
      <w:r w:rsidRPr="005E779E">
        <w:rPr>
          <w:rFonts w:ascii="Times New Roman" w:hAnsi="Times New Roman"/>
          <w:color w:val="000000" w:themeColor="text1"/>
          <w:sz w:val="16"/>
          <w:szCs w:val="16"/>
        </w:rPr>
        <w:softHyphen/>
        <w:t>дров, новыми клапанами. Выпускался серийно как М-15. Мощность 450/550 л.с. (по проекту 500/650 л.с.). Вес у серии «А» — 419,5 кг, У серии «Г» — 450 кг. На серии «Б» укорочен коленвал. усилены | крепления головок цилиндров, усилена шестерня привода ПЦН. На серии «В» введены новые клапанные пружины, усиленные гайки кре</w:t>
      </w:r>
      <w:r w:rsidRPr="005E779E">
        <w:rPr>
          <w:rFonts w:ascii="Times New Roman" w:hAnsi="Times New Roman"/>
          <w:color w:val="000000" w:themeColor="text1"/>
          <w:sz w:val="16"/>
          <w:szCs w:val="16"/>
        </w:rPr>
        <w:softHyphen/>
        <w:t>пления цилиндров, цельные тяги клапанных рычагов. - М-15а, проект усовершенствованной модификации с мощностью 500 л.с., весом 400 кг.</w:t>
      </w:r>
    </w:p>
    <w:p w14:paraId="41EF062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 устанавливался на самолетах К-5, И-5 (опытные образцы), пред</w:t>
      </w:r>
      <w:r w:rsidRPr="005E779E">
        <w:rPr>
          <w:rFonts w:ascii="Times New Roman" w:hAnsi="Times New Roman"/>
          <w:color w:val="000000" w:themeColor="text1"/>
          <w:sz w:val="16"/>
          <w:szCs w:val="16"/>
        </w:rPr>
        <w:softHyphen/>
        <w:t>лагался для установки на И-4 (11852).</w:t>
      </w:r>
    </w:p>
    <w:p w14:paraId="09CC305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М-26 разработан под руководством А.А. Бессонова на заводе № 24 для заме</w:t>
      </w:r>
      <w:r w:rsidRPr="005E779E">
        <w:rPr>
          <w:rFonts w:ascii="Times New Roman" w:hAnsi="Times New Roman"/>
          <w:color w:val="000000" w:themeColor="text1"/>
          <w:sz w:val="16"/>
          <w:szCs w:val="16"/>
        </w:rPr>
        <w:softHyphen/>
        <w:t>ны импортных моторов Райт 36 с использованием деталей и узлов мотора М-15. Проектировался с сентября 1928 г. по февраль 1929 г. Первоначаль</w:t>
      </w:r>
      <w:r w:rsidRPr="005E779E">
        <w:rPr>
          <w:rFonts w:ascii="Times New Roman" w:hAnsi="Times New Roman"/>
          <w:color w:val="000000" w:themeColor="text1"/>
          <w:sz w:val="16"/>
          <w:szCs w:val="16"/>
        </w:rPr>
        <w:softHyphen/>
        <w:t>но именовался «переходный по М15», позже появилось название КИМ (Коммунистический интернационал молодежи). Опытные образцы испы</w:t>
      </w:r>
      <w:r w:rsidRPr="005E779E">
        <w:rPr>
          <w:rFonts w:ascii="Times New Roman" w:hAnsi="Times New Roman"/>
          <w:color w:val="000000" w:themeColor="text1"/>
          <w:sz w:val="16"/>
          <w:szCs w:val="16"/>
        </w:rPr>
        <w:softHyphen/>
        <w:t>тывались в 1930 г. М-26 дважды представлялся на госиспытания (в июне 1930 г. и в феврале 1931 г.), во втором случае прошел их успешно. Се</w:t>
      </w:r>
      <w:r w:rsidRPr="005E779E">
        <w:rPr>
          <w:rFonts w:ascii="Times New Roman" w:hAnsi="Times New Roman"/>
          <w:color w:val="000000" w:themeColor="text1"/>
          <w:sz w:val="16"/>
          <w:szCs w:val="16"/>
        </w:rPr>
        <w:softHyphen/>
        <w:t>рийное производство велось на заводе № 24 (Москва) в 1931-1933 гг. Вы</w:t>
      </w:r>
      <w:r w:rsidRPr="005E779E">
        <w:rPr>
          <w:rFonts w:ascii="Times New Roman" w:hAnsi="Times New Roman"/>
          <w:color w:val="000000" w:themeColor="text1"/>
          <w:sz w:val="16"/>
          <w:szCs w:val="16"/>
        </w:rPr>
        <w:softHyphen/>
        <w:t>пущено 445 экз. Мотор эксплуатировался только в гражданской авиации. Снят с производства и с эксплуатации в связи с низкой надежностью.</w:t>
      </w:r>
    </w:p>
    <w:p w14:paraId="7966F3C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Характеристики:</w:t>
      </w:r>
    </w:p>
    <w:p w14:paraId="7DA2533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7-цилиндровый, звездообразный, четырехтактный, воздушного охлаж</w:t>
      </w:r>
      <w:r w:rsidRPr="005E779E">
        <w:rPr>
          <w:rFonts w:ascii="Times New Roman" w:hAnsi="Times New Roman"/>
          <w:color w:val="000000" w:themeColor="text1"/>
          <w:sz w:val="16"/>
          <w:szCs w:val="16"/>
        </w:rPr>
        <w:softHyphen/>
        <w:t>дения;</w:t>
      </w:r>
    </w:p>
    <w:p w14:paraId="5760051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мощность 270/300 л.с. (по проекту 300/350 л.с.);</w:t>
      </w:r>
    </w:p>
    <w:p w14:paraId="19AFB9D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диаметр цилиндра/ход поршня 150/170 мм;</w:t>
      </w:r>
    </w:p>
    <w:p w14:paraId="0579445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объем 21,0 л;</w:t>
      </w:r>
    </w:p>
    <w:p w14:paraId="183EE81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степень сжатия 5,4;</w:t>
      </w:r>
    </w:p>
    <w:p w14:paraId="405B70B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безредукторный;</w:t>
      </w:r>
    </w:p>
    <w:p w14:paraId="0EFFB73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вес по проекту 300 кг, фактический — 375 кг (без втулки винта);</w:t>
      </w:r>
    </w:p>
    <w:p w14:paraId="0325265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имел ПЦН.</w:t>
      </w:r>
    </w:p>
    <w:p w14:paraId="433D355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Устанавливался на серийных самолетах АНТ-9, «Сталь-2», автожире А-4 (малая серия). Предлагалось использование в проекте самолета МФС. Существовал мотор 1946 г. под тем же обозначением (11852).</w:t>
      </w:r>
    </w:p>
    <w:p w14:paraId="1E33507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A31F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августа 1931 года состоялось совещание по вопросу о колесах и пневматиках для тяжелых самолетов</w:t>
      </w:r>
    </w:p>
    <w:p w14:paraId="5A0D9F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Доклад Вахмистрова о постоянных разрывах покрышек и камер 2000х450 "Пальмер" при испытании самолета ТБ3. Покрышки рвутся по борту около обода колеса.</w:t>
      </w:r>
    </w:p>
    <w:p w14:paraId="57BFB0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Причина разрыва покрышек неясна.</w:t>
      </w:r>
    </w:p>
    <w:p w14:paraId="6FE81D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Слушали доклады представителей промышленности о строительстве колес и пневматиков больших размеров.</w:t>
      </w:r>
    </w:p>
    <w:p w14:paraId="36B252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заводе Каучук налажено серийное производство пневматиков 900х200.</w:t>
      </w:r>
    </w:p>
    <w:p w14:paraId="7213FE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Изготовлена одна покрышка 1600х350, но на заводе не испытана из-за отсутствия бандажей. Размер 1300х350 может быть пущен в серийное производство по получении заказа от УВВС. Кроме того приступлено к изготовлению покрышки 200х450, каковая будет готова в январе 1932 года.</w:t>
      </w:r>
    </w:p>
    <w:p w14:paraId="041ED8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Имеется заказ на изготовление для Украины пневматиков баллонного типа 2000х900. Вообще переход на пневматики баллонного и полубалонного типа представляет большой интерес, но со стороны УВВС по этой линии нет заказов, однако завод "Каучук" кое-какие работы уже производит.</w:t>
      </w:r>
    </w:p>
    <w:p w14:paraId="2E6CCD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заводе N 1 налажено производство колес 900х200. Колеса больших размеров находятся в стадии разработки. Колесо 1300х300 строится и будет собрано в августе с.г.</w:t>
      </w:r>
    </w:p>
    <w:p w14:paraId="1F1887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Признать, что размер 2000х450 не является предельным и изготовление колес этого размера считать безусловно необходимым, т.к. при постройке самолетов больших размеров, уже запроектированных ЦАГИ, именно этот размер понадобится для монтировки как сдвоенные.</w:t>
      </w:r>
    </w:p>
    <w:p w14:paraId="0B02E6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Вопрос о переходе на сдвоенные колеса должен быть разрешен в ближайшее время, поэтому предложить ЦАГИ в срочном порядке спроектировать и поставить тележку под сдвоенные колеса для самолета ТБ-1 (3217,183-184).</w:t>
      </w:r>
    </w:p>
    <w:p w14:paraId="0962EC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31A4CEB"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1305AFD6"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C375D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5 августа 1931 г. было сделано заявление главнокомандующему райхсвером по вопросу о связях с Советским Союзом об окончвательном отказе от сотрудничества с СССР. Пытаясь избежать открытого конфликта с командующим райхсвера, оно указало на важность сохранения для германского флота дружественных отношений с США и Великобританией. К этому примешивалось твердое убеждение в том, что сотрудничество с советским флотом германским ВМС «ничего не дает». Данное утверждение было справедливым. И в Турции, и в Финляндии, и в Испании, и на Балтийском побережье самой Германии германский V флот сумел создать не только базы по обучению личного состава, но и наладить производство морских самолетов, подлодок, военно-морского оборудования. Но это, как говорится, «была только одна сторона медали», поскольку советское судостроение, как губка, впитывало в себя то, что удавалось получить от германских учителей, пусть даже предлагавшийся материал и являло собой, так сказать, «товар второй свежести». Уже в 1927 г. на предприятиях судостроительной промышленности были заложены первые советские подводные лодки типа «Декабрист». В 1930 — 1931 гг. они вошли в состав советского ВМФ. Параллельно разрабатывались проекты подлодок типа «Ленинец» и «Щука», они стали поступать на вооружение с 1933 г. (Горшков С. Г. Указ. соч. С. 222-223.). В годы второй и третьей пятилеток судостроительная промышленность в СССР выпускала также подлодку типа «М», созданную Б. М. Малининым. Было организовано производство подлодок типа «П» и «С», создан проект крейсерской подлодки типа «К» большого водоизмещения с сильным вооружением (Боевой путь Советского Военно-Морского Флота. М., 1967, с. 165.). Исследователь из США А. Сатгон считает, что германская делегация во главе со Шпиндлером в июне 1926г. передала-таки Советскому Союзу «планы наиболее удачных проектов германских подводных лодок». Он полагает, что немецкая подводная лодка типа «B-III» была «наиболее удачной конструкцией из всех, когда-либо выпускавшихся». По его мнению, советская подлодка типа «Щука» основана на немецком проекте «B-III», а подлодка типа «С» — на немецком проекте типа «VII» (Sutton Antony. </w:t>
      </w:r>
      <w:r w:rsidRPr="005E779E">
        <w:rPr>
          <w:rFonts w:ascii="Times New Roman" w:hAnsi="Times New Roman"/>
          <w:color w:val="000000" w:themeColor="text1"/>
          <w:sz w:val="16"/>
          <w:szCs w:val="16"/>
          <w:lang w:val="en-US"/>
        </w:rPr>
        <w:t xml:space="preserve">National Suicide: Millitary Aid to the Soviet Union. New Rochell, New York, 1973. </w:t>
      </w:r>
      <w:r w:rsidRPr="005E779E">
        <w:rPr>
          <w:rFonts w:ascii="Times New Roman" w:hAnsi="Times New Roman"/>
          <w:color w:val="000000" w:themeColor="text1"/>
          <w:sz w:val="16"/>
          <w:szCs w:val="16"/>
        </w:rPr>
        <w:t>P. 152-153.). Сложно, конечно же, представить себе, что советское судостроение, у которого, по мнению германских профессионалов, «нечему было учиться», «вдруг» - смогло разработать несколько перспективных моделей подводных лодок. Пусть даже конструкторы-судостроители Б. М. Малинин, А. Н. Крылов, В. П. Костенко и др. и являлись талантами-самородками, но пройти мимо готовых проектов, переданных немцами, а также иной конкретной немецкой помощи, они вряд ли могли. В 1930 г. был заключен ряд контрактов с фирмами, специализировавшимися на производстве вооружения и технических средств для ВМС: с фирмой «Атлас» — о поставке в СССР установок по электроакустике; с фирмой «Аугсбург-Нюрнберг» — о поставке дизельмоторов; с фирмой «Сименс-Шуккерт» — о поставке электрического рулевого аппарата; с фирмой «Аншютц» — о поставке компасов; с фирмой «Браун-Бовери» — о поставке аппаратов для переключения и т. д. Вполне закономерным было заключение в 1933 г. лицензионного договора с фирмой «Дешимаг» о разработке проекта средней подводной лодки (Дмитриев В. И. Советское подводное кораблестроение. М., 1990, с. 134-135.) (11784).</w:t>
      </w:r>
    </w:p>
    <w:p w14:paraId="5314E4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38CC4C0" w14:textId="77777777" w:rsidR="00A77F55" w:rsidRPr="005E779E" w:rsidRDefault="00A77F5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5 августа 1931 г. командование германских ВМС сделало заявление главнокомандующему райхсвером по вопросу о связях с Советским Союзом. Пытаясь избежать открытого конфликта с командующим райхсвера, оно указало на важность сохранения для германского флота дружественных отношений с США и Великобританией. К этому примешивалось твердое убеждение в том, что сотрудничество с советским флотом германским ВМС «ничего не дает». Данное утверждение было </w:t>
      </w:r>
      <w:r w:rsidRPr="005E779E">
        <w:rPr>
          <w:rFonts w:ascii="Times New Roman" w:hAnsi="Times New Roman"/>
          <w:color w:val="000000" w:themeColor="text1"/>
          <w:sz w:val="16"/>
          <w:szCs w:val="16"/>
        </w:rPr>
        <w:lastRenderedPageBreak/>
        <w:t xml:space="preserve">справедливым. И в Турции, и в Финляндии, и в Испании, и на Балтийском побережье самой Германии германский флот сумел создать не только базы по обучению личного состава, но и наладить производство морских самолетов, подлодок, военно-морского оборудования (18265) </w:t>
      </w:r>
    </w:p>
    <w:p w14:paraId="2A64E3B3" w14:textId="77777777" w:rsidR="00A77F55" w:rsidRPr="005E779E" w:rsidRDefault="00A77F55" w:rsidP="000B7A6C">
      <w:pPr>
        <w:spacing w:after="0" w:line="240" w:lineRule="auto"/>
        <w:jc w:val="both"/>
        <w:rPr>
          <w:rFonts w:ascii="Times New Roman" w:hAnsi="Times New Roman"/>
          <w:color w:val="000000" w:themeColor="text1"/>
          <w:sz w:val="16"/>
          <w:szCs w:val="16"/>
        </w:rPr>
      </w:pPr>
    </w:p>
    <w:p w14:paraId="7B801D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августа 1931 г. Политбюро ЦК ВКП(б) принимает постановление о технической пропаганде, ставшее основой для принятия решения о создании в системе Наркомтяжпрома СССР специального Управления, которое должно было координировать и осуществлять работы по строительству Центрального музея техники и Всесоюзной постоянной выставки техники. К концу 1932 г. в составе Управления были созданы 17 секторов. Первые экспонаты поступили в апреле 1932 г. С 1934 г. работы, связанные с организацией и проектированием Дворца техники стали свертываться. Это объяснялось не только трудностями финансирования грандиозного проекта, но и опалой Николая Бухарина. В июне 1935 г. Управление по организации и строительству Дворца техники было расформировано. Его имущество было передано Главстройпому НКТП СССР, а экспонаты - на хранение соответствующим музеям и институтам (9872).</w:t>
      </w:r>
    </w:p>
    <w:p w14:paraId="7D0117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DFFB125"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453BAE62"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D9DCC8E" w14:textId="77777777" w:rsidR="003F4143" w:rsidRPr="005E779E" w:rsidRDefault="003F414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августа в 1931 году ЦК ВКП(б) принял постановление о технической пропаганде, в котором радиовещанию было предложено обеспечить регулярное проведение пропаганды технических знаний. В связи с этим радио начало готовить циклы передач «Техническая пропаганда», «За технику социалистической промышленности», «Технику — массам!» Радио пропагандировало также агрономические и зоотехнические знания (14974).</w:t>
      </w:r>
    </w:p>
    <w:p w14:paraId="49BD2D17" w14:textId="77777777" w:rsidR="003F4143" w:rsidRPr="005E779E" w:rsidRDefault="003F4143" w:rsidP="000B7A6C">
      <w:pPr>
        <w:spacing w:after="0" w:line="240" w:lineRule="auto"/>
        <w:jc w:val="both"/>
        <w:rPr>
          <w:rFonts w:ascii="Times New Roman" w:hAnsi="Times New Roman"/>
          <w:color w:val="000000" w:themeColor="text1"/>
          <w:sz w:val="16"/>
          <w:szCs w:val="16"/>
        </w:rPr>
      </w:pPr>
    </w:p>
    <w:p w14:paraId="7977AC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августа 1931 года принимает согласованное предложение с ОГПУ и НКПС о досрочном освобождении от наказания специалистов, передаваемых ОГПУ для работы на транспорте с оставлением им наказания условным и о применении к освобожденным гласного надзора ОГПУ (11248).</w:t>
      </w:r>
    </w:p>
    <w:p w14:paraId="7F2014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A47F250" w14:textId="77777777" w:rsidR="00B23ECB" w:rsidRPr="005E779E" w:rsidRDefault="00B23ECB"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6527C6F8" w14:textId="77777777" w:rsidR="00B23ECB" w:rsidRPr="005E779E" w:rsidRDefault="00B23ECB"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4FC78BC" w14:textId="77777777" w:rsidR="00B23ECB" w:rsidRPr="005E779E" w:rsidRDefault="00B23EC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августа 1931 года — первый полёт автожира Wilford WRK Gyroplane. /США/</w:t>
      </w:r>
    </w:p>
    <w:p w14:paraId="54B0A255" w14:textId="77777777" w:rsidR="00B23ECB" w:rsidRPr="005E779E" w:rsidRDefault="00B23EC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1928 году инженер Эдвард Вилфорд (Edward Wilford) путешествовал по Европе. Он обратил внимание на автожир немцев Вальтера Ризелера и Вальтера Крейслера (Walter Rieseler / Walter Kreisler). Проект Вилфорду понравился, и он приобрёл патент на него. В 1930 году инженер начинает строить автожир WRK Gyroplane (WRK — по первым буквам фамилий Wilford, Rieseler и Kreisler).</w:t>
      </w:r>
    </w:p>
    <w:p w14:paraId="17506F26" w14:textId="77777777" w:rsidR="00B23ECB" w:rsidRPr="005E779E" w:rsidRDefault="00B23EC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WRK Gyroplane был одноместным автожиром с 4-лопастным несущим винтом и автоматом перекоса оригинальной конструкции. Этим он выгодно отличался от автожиров испанца Хуана де ла Сьерва (Juan de la Cierva). Известно, что WRK Gyroplane оснащался 3 различными двигателями. С мотором Cirrus Mark III (85 л.с.) развивал скорость до 150 км/ч.</w:t>
      </w:r>
    </w:p>
    <w:p w14:paraId="03C4B73C" w14:textId="77777777" w:rsidR="00B23ECB" w:rsidRPr="005E779E" w:rsidRDefault="00B23EC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Вилдфорд испытывал и дорабатывал свой автожир на протяжении 1931-34 годов. Он показывал хорошие лётные характеристики, но в серийное производство не пошёл. Построили лишь 1 экземпляр WRK Gyroplane (22300).</w:t>
      </w:r>
    </w:p>
    <w:p w14:paraId="2CB635A4" w14:textId="77777777" w:rsidR="00B23ECB" w:rsidRPr="005E779E" w:rsidRDefault="00B23ECB" w:rsidP="000B7A6C">
      <w:pPr>
        <w:shd w:val="clear" w:color="auto" w:fill="FFFFFF"/>
        <w:spacing w:after="0" w:line="240" w:lineRule="auto"/>
        <w:jc w:val="both"/>
        <w:rPr>
          <w:rFonts w:ascii="Times New Roman" w:hAnsi="Times New Roman"/>
          <w:color w:val="000000" w:themeColor="text1"/>
          <w:sz w:val="16"/>
          <w:szCs w:val="16"/>
        </w:rPr>
      </w:pPr>
    </w:p>
    <w:p w14:paraId="0CB74A9B"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6EB5C930"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EF42F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августа 1931 был утвержден устав Всесоюзного объединения ГВФ (271,126).</w:t>
      </w:r>
    </w:p>
    <w:p w14:paraId="08BEB0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49FB788" w14:textId="5DE04472" w:rsidR="004A207C" w:rsidRPr="005E779E" w:rsidRDefault="004A207C" w:rsidP="000B7A6C">
      <w:pPr>
        <w:shd w:val="clear" w:color="auto" w:fill="FFFFFF"/>
        <w:spacing w:after="0" w:line="240" w:lineRule="auto"/>
        <w:jc w:val="both"/>
        <w:textAlignment w:val="top"/>
        <w:rPr>
          <w:rFonts w:ascii="Times New Roman" w:hAnsi="Times New Roman"/>
          <w:color w:val="000000" w:themeColor="text1"/>
          <w:sz w:val="16"/>
          <w:szCs w:val="16"/>
        </w:rPr>
      </w:pPr>
      <w:r w:rsidRPr="005E779E">
        <w:rPr>
          <w:rFonts w:ascii="Times New Roman" w:hAnsi="Times New Roman"/>
          <w:color w:val="000000" w:themeColor="text1"/>
          <w:sz w:val="16"/>
          <w:szCs w:val="16"/>
        </w:rPr>
        <w:t>6 августа 1931 года Постановлением СТО от 6 августа 1931 года утвержден Устав ВО ГВФ (20226)</w:t>
      </w:r>
    </w:p>
    <w:p w14:paraId="0E50B161" w14:textId="77777777" w:rsidR="004A207C" w:rsidRPr="005E779E" w:rsidRDefault="004A207C" w:rsidP="000B7A6C">
      <w:pPr>
        <w:shd w:val="clear" w:color="auto" w:fill="FFFFFF"/>
        <w:spacing w:after="0" w:line="240" w:lineRule="auto"/>
        <w:jc w:val="both"/>
        <w:textAlignment w:val="top"/>
        <w:rPr>
          <w:rFonts w:ascii="Times New Roman" w:hAnsi="Times New Roman"/>
          <w:color w:val="000000" w:themeColor="text1"/>
          <w:sz w:val="16"/>
          <w:szCs w:val="16"/>
        </w:rPr>
      </w:pPr>
    </w:p>
    <w:p w14:paraId="1684806D" w14:textId="77777777" w:rsidR="00024EF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743F9C1A" w14:textId="77777777" w:rsidR="00024EF9" w:rsidRPr="005E779E" w:rsidRDefault="00024EF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7548EBA" w14:textId="77777777" w:rsidR="00024EF9" w:rsidRPr="005E779E" w:rsidRDefault="00024EF9"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6 августа 1931 </w:t>
      </w:r>
      <w:r w:rsidRPr="005E779E">
        <w:rPr>
          <w:rFonts w:ascii="Times New Roman" w:hAnsi="Times New Roman"/>
          <w:color w:val="000000" w:themeColor="text1"/>
          <w:sz w:val="16"/>
          <w:szCs w:val="16"/>
        </w:rPr>
        <w:t>Политбюро ЦК ВКП (б) приняло решение об отсрочке призыва в Красную Армию квалифицированных рабочих и инженерно-технического персонала СТЗ, ХТЗ, Нижегородского автозавода, АМО, Магнитостроя, Березников, Уралмашстроя и Кузнецкстроя; утвердило проект постановления ЦК ВКП (б) «Об организации технической пропаганды» (12265).</w:t>
      </w:r>
    </w:p>
    <w:p w14:paraId="11F44406" w14:textId="77777777" w:rsidR="00024EF9" w:rsidRPr="005E779E" w:rsidRDefault="00024EF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62E25479"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1FCF8BF0"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83831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6 августа 1931 года Политбюро ЦК ВКП(б) принимает решение информировать секретарей нац. ЦК крайкомов, обкомов, об изменениях в составе ОГПУ. Был утвержден предложенный комиссией Политбюро проект письма секретарям нач. ЦК, крайкомов и обкомов, которым поручалось дать разъяснение узкому активу работников ГПУ о причинах последних перемен в руководящем составе ОГПУ: </w:t>
      </w:r>
    </w:p>
    <w:p w14:paraId="1EDC82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 Т.т. Мессинг и Бельский отстранены от работы в ОГПУ, тов. Ольский снят с работы в Особом отделе, а т. Евдокимов снят с должности начальника секретно-оперативного управления с направлением его в Туркестан на должность ПП на том основании, что: </w:t>
      </w:r>
    </w:p>
    <w:p w14:paraId="0C80DB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эти товарищи вели внутри ОГПУ совершенно нетерпимую групповую борьбу против руководства ОГПУ;</w:t>
      </w:r>
    </w:p>
    <w:p w14:paraId="4671E1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б) они распространяли среди работников ОГПУ совершенно не соответствующие действительности, разлагающие слухи о том, что дела о вредительстве в военном ведомстве являются «дутыми» делами; </w:t>
      </w:r>
    </w:p>
    <w:p w14:paraId="19F3D5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они расшатывали тем самым железную дисциплину среди работников ОГПУ.</w:t>
      </w:r>
    </w:p>
    <w:p w14:paraId="3A562C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 Тов. Акулов переведен на должность 1-го зам. пред. ОГПУ, т. Балицкий на должность 3-го зам. пред. ОГПУ, а тов. Булатов назначен завед. отделом кадров ОГПУ для того, чтобы поднять на должную высоту дело формирования обучения и распределения кадров ОГПУ. </w:t>
      </w:r>
    </w:p>
    <w:p w14:paraId="16F1E2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 ЦК отмечает разговоры и шушуканье о «внутренней слабости» органов ОГПУ и «неправильности» лишений их практической работы, как слухи, идущие без сомнения из враждебного лагеря и подхваченные по глупости некоторыми горе-коммунистами». </w:t>
      </w:r>
    </w:p>
    <w:p w14:paraId="5879F1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4. ЦК считает, что ОГПУ есть и остается отлаженным мечом рабочего класса, метко и умело разящим врага, честно и умело выполняющим свой долг перед Советской властью». </w:t>
      </w:r>
    </w:p>
    <w:p w14:paraId="594100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письме подчеркивается наряду с борьбой против руководства ОГПУ, распространения слухов о фальсификации дел о вредительстве только в военном ведомстве, но в данном случае не могло быть полного перечисления сфальсифицированных дел, так как это ставило бы под сомнения всю проведенную компанию по борьбе с вредительством (11248).</w:t>
      </w:r>
    </w:p>
    <w:p w14:paraId="2DBB59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5247D47" w14:textId="77777777" w:rsidR="004A207C" w:rsidRPr="005E779E" w:rsidRDefault="004A207C"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33E6C417" w14:textId="77777777" w:rsidR="004A207C" w:rsidRPr="005E779E" w:rsidRDefault="004A207C"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FC5F48F" w14:textId="77777777" w:rsidR="004A207C" w:rsidRPr="005E779E" w:rsidRDefault="004A207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августа 1931 Transcontinental и Western Air открывают первую в США услугу грузовых авиаперевозок, отправляя скот из Сент-Луиса, штат Миссури, в Ньюарк, штат Нью-Джерси (20804).</w:t>
      </w:r>
    </w:p>
    <w:p w14:paraId="4843FA19" w14:textId="77777777" w:rsidR="004A207C" w:rsidRPr="005E779E" w:rsidRDefault="004A207C" w:rsidP="000B7A6C">
      <w:pPr>
        <w:spacing w:after="0" w:line="240" w:lineRule="auto"/>
        <w:jc w:val="both"/>
        <w:rPr>
          <w:rFonts w:ascii="Times New Roman" w:hAnsi="Times New Roman"/>
          <w:color w:val="000000" w:themeColor="text1"/>
          <w:sz w:val="16"/>
          <w:szCs w:val="16"/>
        </w:rPr>
      </w:pPr>
    </w:p>
    <w:p w14:paraId="07628B09"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6A7C82FA"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5B99F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августа 1931 вышел приказ начальника УВВС, утвердивший Л.Минова инспектором ВВС РККА по парашютному делу и поручил "руководство и контроль за экспериментальными и изыскательскими работами, наблюдение за производством и испытанием серийных и опытных парашютов, общее руководство подготовкой и проведением специальных учений по высадке парашютных десантов..." - то есть против П.И.Гроховского. Л.Г.Минов не одобрил люльки с принудительным выбрасыванием как психологически некомфортные (1101,97).</w:t>
      </w:r>
    </w:p>
    <w:p w14:paraId="7D1CE3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855869B" w14:textId="77777777" w:rsidR="003F4143"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6419D088" w14:textId="77777777" w:rsidR="003F4143" w:rsidRPr="005E779E" w:rsidRDefault="003F4143"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D61E4A5" w14:textId="77777777" w:rsidR="003F4143" w:rsidRPr="005E779E" w:rsidRDefault="003F414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начале августа 1931 года на Балтике проходили учения, на которых присутствовал только что назначенный начальником Морских Сил Владимир Митрофанович Орлов. По его указанию подготовились к показательной торпедной атаке радиоуправляемым катером системы Шорина с фактическим пуском учебных торпед. Получив сигнал о приближении с запада эскадры, катер вывели на Красногорский рейд. Здесь поднявшийся в воздух самолет ЮГ-1 взял управление катером на себя. На самолете находился Аксель Иванович Берг. Он сам работал на приборах и отлично вывел катер в торпедную атаку: сказался опыт командования подводной лодкой. Торпеды прошли, как и положено при учебных стрельбах, под килем линкора. Понятно, что работа Шорина, продемонстрированная так наглядно, получила высокую оценку начальника Морских Сил. Тогда же, в августе, нарком по военным и морским делам К.Е. Ворошилов назначил комиссию, которая должна была провести заключительные испытания комплексов А.Ф. Шорина и В.И. Бекаури. В состав комиссии вошли представители флота и армии, научных конструкторских институтов </w:t>
      </w:r>
      <w:r w:rsidRPr="005E779E">
        <w:rPr>
          <w:rFonts w:ascii="Times New Roman" w:hAnsi="Times New Roman"/>
          <w:color w:val="000000" w:themeColor="text1"/>
          <w:sz w:val="16"/>
          <w:szCs w:val="16"/>
        </w:rPr>
        <w:lastRenderedPageBreak/>
        <w:t>и промышленности. Возглавлял ее инспектор Морских Сил Петр Иванович Смирнов-Светловский, всесторонне эрудированный флотский специалист. Испытания проводили в Финском заливе. Катера, управляемые с самолета (с аппаратурой А.Ф. Шорина) или с корабля (аппаратурой В.И. Бекаури), по радиокомандам отходили от причала, выходили в море, маневрировали, устремлялись в атаку и производили пуск торпед. Проводились атаки и по прикрытому дымовой завесой кораблю-цели. Как и предвидел В.И. Бекаури, оператор на самолете оказался в лучшем положении, чем тот, что находился на корабле управления: наблюдению с корабля мешала дымовая завеса. Так выявился существенный недостаток комплекса Остехбюро. Программа предусматривала и работу комплексов в условиях радиопомех. Чтобы выполнить эту часть испытаний, А.Ф. Шорин создал специальный передатчик помех. Эта опытная разработка положила начало новому оригинальному направлению в деятельности лаборатории. И вот испытания закончены. Комиссия предложила принять на вооружение комплекс А.Ф. Шорина. Остехбюро предложили доработать свою аппаратуру, чтобы обеспечить возможность атаки прикрытых дымзавесами кораблей, — предполагалось использовать для этого самолет. Испытания комплекса В.И. Бекаури решили возобновить в 1932 году (15117).</w:t>
      </w:r>
    </w:p>
    <w:p w14:paraId="3F8D75B8" w14:textId="77777777" w:rsidR="003F4143" w:rsidRPr="005E779E" w:rsidRDefault="003F4143" w:rsidP="000B7A6C">
      <w:pPr>
        <w:spacing w:after="0" w:line="240" w:lineRule="auto"/>
        <w:jc w:val="both"/>
        <w:rPr>
          <w:rFonts w:ascii="Times New Roman" w:hAnsi="Times New Roman"/>
          <w:color w:val="000000" w:themeColor="text1"/>
          <w:sz w:val="16"/>
          <w:szCs w:val="16"/>
        </w:rPr>
      </w:pPr>
    </w:p>
    <w:p w14:paraId="31800898" w14:textId="77777777" w:rsidR="00561C4E" w:rsidRPr="00142305" w:rsidRDefault="00561C4E" w:rsidP="00561C4E">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В начале августа 1931 года на Балтике проходили учения, на которых присутствовал только что назначенный начальником Морских Сил Владимир Митрофанович Орлов. По его указанию подготовились к показательной торпедной атаке радиоуправляемым катером системы Шорина с фактическим пуском учебных торпед.</w:t>
      </w:r>
    </w:p>
    <w:p w14:paraId="17D68D55" w14:textId="77777777" w:rsidR="00561C4E" w:rsidRPr="00142305" w:rsidRDefault="00561C4E" w:rsidP="00561C4E">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Получив сигнал о приближении с запада эскадры, катер был выведен на Красногорский рейд. Здесь поднявшийся в воздух самолет ЮГ-1 взял управление катером на себя. На самолете находился Аксель Иванович Берг. Он сам работал на приборах и отлично вывел катер в торпедную атаку: сказался опыт командования подводной лодкой. Торпеды прошли, как и положено при учебных стрельбах, под килем линкора. Понятно, что работа Шорина, продемонстрированная так наглядно, получила высокую оценку начальника Морских Сил.</w:t>
      </w:r>
    </w:p>
    <w:p w14:paraId="1CF8AEC0" w14:textId="77777777" w:rsidR="00561C4E" w:rsidRPr="00142305" w:rsidRDefault="00561C4E" w:rsidP="00561C4E">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Тогда же, в августе, нарком по военным и морским делам К.Е. Ворошилов назначил комиссию, которая должна была провести заключительные испытания комплексов А.Ф. Шорина и В.И. Бекаури. В состав комиссии вошли представители флота и армии, научных конструкторских институтов и промышленности. Возглавлял ее инспектор Морских Сил Петр Иванович Смирнов-Светловский, всесторонне эрудированный флотский специалист.</w:t>
      </w:r>
    </w:p>
    <w:p w14:paraId="0B54D06C" w14:textId="77777777" w:rsidR="00561C4E" w:rsidRPr="00142305" w:rsidRDefault="00561C4E" w:rsidP="00561C4E">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Испытания проводили в Финском заливе. Катера, управляемые с самолета (с аппаратурой А.Ф. Шорина) или с корабля (аппаратурой В.И. Бекаури), по радиокомандам отходили от причала, выходили в море, маневрировали, устремлялись в атаку и производили пуск торпед. Проводились атаки и по прикрытому дымовой завесой кораблю-цели. Как и предвидел В.И. Бекаури, оператор на самолете оказался в лучшем положении, чем тот, что находился на корабле управления: наблюдению с корабля мешала дымовая завеса. Так выявился существенный недостаток комплекса Остехбюро.</w:t>
      </w:r>
    </w:p>
    <w:p w14:paraId="4FCC7C73" w14:textId="77777777" w:rsidR="00561C4E" w:rsidRPr="00142305" w:rsidRDefault="00561C4E" w:rsidP="00561C4E">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Программа предусматривала и работу комплексов в условиях радиопомех. Чтобы выполнить эту часть испытаний, А.Ф. Шорин создал специальный передатчик помех. Эта опытная разработка положила начало новому оригинальному направлению в деятельности лаборатории.</w:t>
      </w:r>
    </w:p>
    <w:p w14:paraId="72CF30F9" w14:textId="77777777" w:rsidR="00561C4E" w:rsidRPr="00142305" w:rsidRDefault="00561C4E" w:rsidP="00561C4E">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И вот испытания закончены. Комиссия предложила принять на вооружение комплекс А.Ф. Шорина. Остехбюро предложили доработать свою аппаратуру, чтобы обеспечить возможность атаки прикрытых дымзавесами кораблей, — предполагалось использовать для этого самолет. Испытания комплекса В.И. Бекаури решили возобновить в 1932 году (25213).</w:t>
      </w:r>
    </w:p>
    <w:p w14:paraId="1196C190" w14:textId="77777777" w:rsidR="00561C4E" w:rsidRPr="00142305" w:rsidRDefault="00561C4E" w:rsidP="00561C4E">
      <w:pPr>
        <w:spacing w:after="0" w:line="240" w:lineRule="auto"/>
        <w:jc w:val="both"/>
        <w:rPr>
          <w:rFonts w:ascii="Times New Roman" w:hAnsi="Times New Roman"/>
          <w:color w:val="0070C0"/>
          <w:sz w:val="16"/>
          <w:szCs w:val="16"/>
        </w:rPr>
      </w:pPr>
    </w:p>
    <w:p w14:paraId="30E9DD46"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16DAA092"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C4EC838" w14:textId="77777777" w:rsidR="003F4143" w:rsidRPr="005E779E" w:rsidRDefault="003F414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7 августа в 1931 году </w:t>
      </w:r>
      <w:hyperlink r:id="rId166" w:tgtFrame="_blank" w:history="1">
        <w:r w:rsidRPr="005E779E">
          <w:rPr>
            <w:rFonts w:ascii="Times New Roman" w:hAnsi="Times New Roman"/>
            <w:color w:val="000000" w:themeColor="text1"/>
            <w:sz w:val="16"/>
            <w:szCs w:val="16"/>
          </w:rPr>
          <w:t xml:space="preserve">Постановление СТО СССР от 07.08.1931 N 338 "О цветной металлургии" </w:t>
        </w:r>
      </w:hyperlink>
    </w:p>
    <w:p w14:paraId="5563FB9C" w14:textId="77777777" w:rsidR="003F4143" w:rsidRPr="005E779E" w:rsidRDefault="003F4143" w:rsidP="000B7A6C">
      <w:pPr>
        <w:spacing w:after="0" w:line="240" w:lineRule="auto"/>
        <w:jc w:val="both"/>
        <w:rPr>
          <w:rFonts w:ascii="Times New Roman" w:hAnsi="Times New Roman"/>
          <w:color w:val="000000" w:themeColor="text1"/>
          <w:sz w:val="16"/>
          <w:szCs w:val="16"/>
        </w:rPr>
      </w:pPr>
    </w:p>
    <w:p w14:paraId="77B885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ав</w:t>
      </w:r>
      <w:r w:rsidRPr="005E779E">
        <w:rPr>
          <w:rFonts w:ascii="Times New Roman" w:hAnsi="Times New Roman"/>
          <w:color w:val="000000" w:themeColor="text1"/>
          <w:sz w:val="16"/>
          <w:szCs w:val="16"/>
        </w:rPr>
        <w:softHyphen/>
        <w:t>густа 1931 г. после всесторонних испытаний L-55 под английским обозначением вошла в состав Морских сил Балтийского моря. Со</w:t>
      </w:r>
      <w:r w:rsidRPr="005E779E">
        <w:rPr>
          <w:rFonts w:ascii="Times New Roman" w:hAnsi="Times New Roman"/>
          <w:color w:val="000000" w:themeColor="text1"/>
          <w:sz w:val="16"/>
          <w:szCs w:val="16"/>
        </w:rPr>
        <w:softHyphen/>
        <w:t>хранение обозначения бьшо сделано из престижных соображений согласно прежней российской традиции сохранения старых наиме</w:t>
      </w:r>
      <w:r w:rsidRPr="005E779E">
        <w:rPr>
          <w:rFonts w:ascii="Times New Roman" w:hAnsi="Times New Roman"/>
          <w:color w:val="000000" w:themeColor="text1"/>
          <w:sz w:val="16"/>
          <w:szCs w:val="16"/>
        </w:rPr>
        <w:softHyphen/>
        <w:t>нований кораблей-трофеев. С декабря 1932 г. лодка стала имено</w:t>
      </w:r>
      <w:r w:rsidRPr="005E779E">
        <w:rPr>
          <w:rFonts w:ascii="Times New Roman" w:hAnsi="Times New Roman"/>
          <w:color w:val="000000" w:themeColor="text1"/>
          <w:sz w:val="16"/>
          <w:szCs w:val="16"/>
        </w:rPr>
        <w:softHyphen/>
        <w:t>ваться Л-55 (3898).</w:t>
      </w:r>
    </w:p>
    <w:p w14:paraId="7CF047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8F40C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августа 1931 г. над восстановленной английской L-55 взвился военно-морской флаг Страны Советов. Лодка L-55, поднятая со дна моря и отремонтированная в Кронштадте, в июне 1919 г. вторглась в территориальные воды Советской Республики и была потоплена в Копорском заливе эсминцами Азард и Гавриил. Испытаниями руководил уполномоченный Постоянной комиссии Я. К. Зубарев. Командовал лодкой В. С. Воробьев. За три недели программа испытаний была выполнена (10700).</w:t>
      </w:r>
    </w:p>
    <w:p w14:paraId="35939F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8AF8ADD" w14:textId="77777777" w:rsidR="00561C4E" w:rsidRPr="00142305" w:rsidRDefault="00561C4E" w:rsidP="00561C4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7 августа 1931 г. отремонтирована английская подлодка L-55 была и введена в строй под своим старым названием – Л-55. Кстати, в ходе ремонта в 1934–1935 гг. её дизель «Виккерс» заменили на коломенский дизель 42БМб, созданный по германскому образцу.</w:t>
      </w:r>
    </w:p>
    <w:p w14:paraId="116F0A51" w14:textId="77777777" w:rsidR="00561C4E" w:rsidRPr="00142305" w:rsidRDefault="00561C4E" w:rsidP="00561C4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Лодка Л-55 находилась в боевом строю до 1942 г. А 11 мая 1942 г. переоборудована в плавучую зарядовую станцию ПЗС-2. Любопытно, что она 1–4 декабря 1944 г. своим ходом перешла из Кронштадта в Ханко, где обеспечивала действия подводных лодок Балтийского флота (25184).</w:t>
      </w:r>
    </w:p>
    <w:p w14:paraId="6BEB8A95" w14:textId="77777777" w:rsidR="00561C4E" w:rsidRPr="00142305" w:rsidRDefault="00561C4E" w:rsidP="00561C4E">
      <w:pPr>
        <w:spacing w:after="0" w:line="240" w:lineRule="auto"/>
        <w:jc w:val="both"/>
        <w:rPr>
          <w:rFonts w:ascii="Times New Roman" w:hAnsi="Times New Roman"/>
          <w:color w:val="0070C0"/>
          <w:sz w:val="16"/>
          <w:szCs w:val="16"/>
        </w:rPr>
      </w:pPr>
    </w:p>
    <w:p w14:paraId="7B5C9B84"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2AC7191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31AE7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7 и 13 августа 1931. Из протокола заседания Политбюро № 55, 1931 г.</w:t>
      </w:r>
    </w:p>
    <w:p w14:paraId="2A3FE4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 Северном канале </w:t>
      </w:r>
    </w:p>
    <w:p w14:paraId="70267E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 Отклонить предложение тт. Янсона и Прокофьева об отсрочке строительства Беломорского канала. </w:t>
      </w:r>
    </w:p>
    <w:p w14:paraId="0FD17E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б) Поручить СНК рассмотреть в декадный срок смету расходов по строительству канала и отпустить необходимые до конца года средства. </w:t>
      </w:r>
    </w:p>
    <w:p w14:paraId="72E168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Поручить СТО рассмотреть в декадный срок заявку на стройматериалы и отпустить необходимые стройматериалы строительству (11652).</w:t>
      </w:r>
    </w:p>
    <w:p w14:paraId="4C6451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FA38F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7 и 13 августа 1931. Из протокола заседания Политбюро № 55, 1931 г.</w:t>
      </w:r>
    </w:p>
    <w:p w14:paraId="00CF78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 организации летом 1933 г. Всемирной спартакиады</w:t>
      </w:r>
    </w:p>
    <w:p w14:paraId="324A8F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 Разрешить Всесоюзному Совету физической культуры организовать летом 1933 г. Всемирную спартакиаду как праздник окончания пятилетки. </w:t>
      </w:r>
    </w:p>
    <w:p w14:paraId="717EBF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б) Поручить Президиуму ЦИК СССР наметить необходимые мероприятия, обеспечивающие проведение праздника. Одним из мероприятий наметить постройку нового стадиона на 100 000 чел. зрителей с необходимым количеством площадок для физкультурных и спортивных занятий. Отпустить в 1932 г. на постройку стадиона 3 млн рублей. </w:t>
      </w:r>
    </w:p>
    <w:p w14:paraId="2675F9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Всю подготовительную работу к Спартакиаде за границей проводить через Красный спортивный интернационал, поставив задачей широкое развертывание массовой работы в виде отборочных соревнований фабрик и заводов (11652).</w:t>
      </w:r>
    </w:p>
    <w:p w14:paraId="170231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15F8513" w14:textId="77777777" w:rsidR="004A207C" w:rsidRPr="005E779E" w:rsidRDefault="004A207C"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58810FA7" w14:textId="77777777" w:rsidR="004A207C" w:rsidRPr="005E779E" w:rsidRDefault="004A207C"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CF7DF49" w14:textId="77777777" w:rsidR="004A207C" w:rsidRPr="005E779E" w:rsidRDefault="004A207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августа 1931 состоялся первый полет RWD-5 (20804).</w:t>
      </w:r>
    </w:p>
    <w:p w14:paraId="4C3DF1D9" w14:textId="77777777" w:rsidR="004A207C" w:rsidRPr="005E779E" w:rsidRDefault="004A207C" w:rsidP="000B7A6C">
      <w:pPr>
        <w:spacing w:after="0" w:line="240" w:lineRule="auto"/>
        <w:jc w:val="both"/>
        <w:rPr>
          <w:rFonts w:ascii="Times New Roman" w:hAnsi="Times New Roman"/>
          <w:color w:val="000000" w:themeColor="text1"/>
          <w:sz w:val="16"/>
          <w:szCs w:val="16"/>
        </w:rPr>
      </w:pPr>
    </w:p>
    <w:p w14:paraId="4A42EEE0"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04D2D8AD"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7CF1B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августа 1931 закончились испытания двигателя М-15 450 нр А.А.Бессонова. Сначала прошел 100 час. на станке, а затем - на К-5 (438,626).</w:t>
      </w:r>
    </w:p>
    <w:p w14:paraId="4F5AD4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A97E2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августа 1931 л Clyde Pangborn и Hugh Herndon Jr прилетели из Хабаровска в Токио для того, чтобы совершить первый беспосадочный перелет через Тихий Океан. Немедленно были арестованы и просидели 7 недель (2883).</w:t>
      </w:r>
    </w:p>
    <w:p w14:paraId="5FDB65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ED30D96"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01BD2503"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0419E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августа 1931 года постановление Комиссии обороны определяло создание на СТЗ нескольких цехов танкосборочного производства. Эти цеха в советских документах шли с приставкой "спец". Мощности планировались таким образом, чтобы уже с 1932 года цеха в режиме мирного времени могли выпускать 100 танков в месяц, а в военное время - до 1200 Т-26 и 500 комплектов запчастей. К концу 1931 года здания спеццехов были построены, однако, как докладывал глава НКВМ (наркомат военных и морских дел) М.Н. Тухачевский в записке от 8 декабря 1931 года В.М. Молотову, "к монтажу оборудования еще не приступили, так как последнее не было импортировано, что ставит под угрозу выполнение программы" (11580).</w:t>
      </w:r>
    </w:p>
    <w:p w14:paraId="00745A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Стоимость оборудования для спеццехов была на 1932 год установлена в размере 3 млн. золотых рублей (1,5 млн. долларов США). К июню 1932 года ситуация в цехах была такова:</w:t>
      </w:r>
    </w:p>
    <w:p w14:paraId="0AD167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сталелитейный цех №2 - из-за дрязг между руководством завода и НКТП (наркомат тяжелой промышленности) не был решен вопрос с импортом;</w:t>
      </w:r>
    </w:p>
    <w:p w14:paraId="1E7205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 опытный цех (сборочный) достраивался;</w:t>
      </w:r>
    </w:p>
    <w:p w14:paraId="173E2E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сталелитейный цех №1 - начаты опыты по цветному и чугунному литью.</w:t>
      </w:r>
    </w:p>
    <w:p w14:paraId="478843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Самый оптимистичный прогноз (ВМТО) говорил о выпуске танков лишь с января 1933 года. Однако, как не сложно догадаться, прогноз не сбылся. В постановлении Нижне-Волжского крайисполкома ВКП (б) от 15 июля 1933 года прямо говорились, что цеха не были готовы и к середине 1933 года. </w:t>
      </w:r>
    </w:p>
    <w:p w14:paraId="519878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"Литейный цех готов на 68%, обе электропечи запущены в эксплуатацию, в цехе более 100 вагонов не вывезенной земли. В механосборочном цехе №2 строительство завершено, монтаж выполнен только на 60%".</w:t>
      </w:r>
    </w:p>
    <w:p w14:paraId="615C87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 в механосборочном цехе должно было стоять 188 станков (114 импортных и 74 советских). Низкие темпы работ в докладе крайисполкома объяснялись следующими проблемами: нехватка порядка 6000 рабочих (строителей, монтажников), отсутствие проводов и кабелей, необходимость ждать выполнения заказа в Великобритании на поставку оттуда двух мощных компрессоров. Компрессоры были заказаны на август 1933 года, но поступили с опозданием (11580).</w:t>
      </w:r>
    </w:p>
    <w:p w14:paraId="35BEBD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18564B3"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25751C71"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8D0E6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августа 1931 года в циркуляре ВСНХ прямо указывалось на неправильную политику прокуратуры при ведении следствия в отношении инженерно-технических работников, обвинявшихся во вредительстве. Отныне всякие уголовные преследования были возможны только после соответствующего разрешения дирекции предприятий; категорически запрещалось привлекать к уголовной ответственности за производственный риск. Органы власти впервые пошли дальше простого признания ошибок и перегибов. В циркуляре указывалось, что для исправления допущенных ошибок в неправильном осуждении специалистов и возможности загладить совершенные правонарушения на всех предприятиях и в учреждениях, где работали данные специалисты, должны быть немедленно учреждены комиссии, которые, если осужденный характеризуется положительно, уполномочены ставить вопрос об освобождении его от отбывания принудительных работ со снятием судимости. В циркуляре еще раз подчеркивалось требование об улучшении быта специалистов и членов их семей. Им должны были представляться уже не только коммунальные льготы и отдельное жилье, но и денежные пособия, дома отдыха и т.п. (11025).</w:t>
      </w:r>
    </w:p>
    <w:p w14:paraId="213338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51764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августа 1931 коллегия ОГПУ вынесла решение по делу академиков - историков С.Платонова, Е. Тарле, Н. Лихачева и др., приговорив их как участников монархического заговора к ссылке на различные сроки (3908,336).</w:t>
      </w:r>
    </w:p>
    <w:p w14:paraId="2D753D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5D5CF79" w14:textId="77777777" w:rsidR="003F4143" w:rsidRPr="005E779E" w:rsidRDefault="003F414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августа в 1931 году коллегия ОГПУ вынесла приговор по «Академическому делу». 29 ученых, в том числе академики Николай Лихачев, Сергей Платонов, Евгений Тарле и другие, были отправлены в ссылку (14977).</w:t>
      </w:r>
    </w:p>
    <w:p w14:paraId="7684F9AB" w14:textId="77777777" w:rsidR="003F4143" w:rsidRPr="005E779E" w:rsidRDefault="003F4143" w:rsidP="000B7A6C">
      <w:pPr>
        <w:spacing w:after="0" w:line="240" w:lineRule="auto"/>
        <w:jc w:val="both"/>
        <w:rPr>
          <w:rFonts w:ascii="Times New Roman" w:hAnsi="Times New Roman"/>
          <w:color w:val="000000" w:themeColor="text1"/>
          <w:sz w:val="16"/>
          <w:szCs w:val="16"/>
        </w:rPr>
      </w:pPr>
    </w:p>
    <w:p w14:paraId="666B1579"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3523A2A4"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32345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8 августа 1931 года президент США Герберт Гувер торжественно окрестил готовый к эксплуатации дирижабль именем «Акрон» — по названию города, вблизи которого строился. Неприятности, начавшиеся еще при наземных испытаниях в ангаре, привели к тому, что ZRS-4 впервые поднялся в воздух только 25 августа со ста тринадцатью человеками на борту. Первый полет прошел нормально, единственным существенным конструктивным недостатком были слишком большие усилия на рулях. Уже во [429] время девятого полета, который длился 48 часов, ZRS-4 пролетел 3200 км, посетив Сент-Луис, Чикаго, Милуоки и везде вызывая огромный энтузиазм у населения и заторы на дорогах. </w:t>
      </w:r>
    </w:p>
    <w:p w14:paraId="6B3588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Конструкция ZRS-4 содержала несколько интересных новинок. Каркас корпуса состоял из 12 основных и 33 вспомогательных жестких переборок, 36 вертикальных профилей и 3 килей. Конструкция в целом была очень прочной и могла выдерживать большие нагрузки. Внутри жесткого корпуса размещались 12 газовых отсеков с максимальным объемом 194 000 куб. м и номинальным — 184 000 куб. м (следует помнить, что объем газового отсека мог меняться в зависимости от высоты подъема дирижабля и атмосферных условий). В боковых килях было установлено 8 рядных двенадцатицилиндровых двигателей «Майбах» VL-II мощностью по 560 л. с. Каждый мотор вращал один двухлопастной винт НАСА диаметром 5 м. Винты были реверсивными, как тянущими, так и толкающим, они могли разворачиваться в горизонтальной плоскости, что давало возможность опускаться или подниматься, лететь вперед или назад. В корпусе размещалось 110 топливных баков с общей емкостью от 50 до 57 т и от 1,1 до 5 т масла. Максимальный вес водяного балласта составлял 102 т, но обычно летали с девятью тоннами. Были установлены 2 электрогенератора «Вестингауз» по 8 кВт с напряжением 110 В, приводимых в действие двумя бензомоторами мощностью по 41 л. с. </w:t>
      </w:r>
    </w:p>
    <w:p w14:paraId="7FC31B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Штатный экипаж состоял из 16 офицеров и 75 военнослужащих, но обычно летало не более 50 человек. Основной конструктивной новинкой дирижабля стал внутренний [430] ангар в передней части оболочки снизу, в котором размещались 5 одноместных бипланов. В этом случае экипаж увеличивался на 5 летчиков и 15 человек технического персонала, обслуживающих самолеты, и сопутствующее оборудование. На начальной стадии испытаний самолетное оборудование еще не было установлено. ZSR-4 весил 187 т, из которых 114 т были собственным весом дирижабля и 73 т составляли полезный груз. </w:t>
      </w:r>
    </w:p>
    <w:p w14:paraId="7AFF04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Основная гондола управления «Акрона» располагалась впереди нижней части фюзеляжа, но в случае необходимости можно было управлять дирижаблем из дополнительной кабины, расположенной на набегающей грани нижней части вертикального хвостового оперения. Основные помещения для размещения экипажа находились в боковых килях, а наблюдательные кабины с возможностью установки пулеметов — спереди над причальным устройством, сверху оболочки и оконечности хвостовой части корабля. </w:t>
      </w:r>
    </w:p>
    <w:p w14:paraId="245010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процессе испытаний были проверены большие водяные конденсаторы, работающие на выхлопных газах и установленные с обеих сторон оболочки над моторами. В работе они показали себя не с лучшей стороны, часто отказывали и в дальнейшем во время эксплуатации были постоянным источником неприятностей. Однако основной проблемой стало то, что, несмотря на все усилия, не удавалось достигнуть контрактной скорости 128 км/ч. Ситуация изменилась в лучшую сторону только тогда, когда установили воздушные [431] винты «Хартцелл», благодаря чему удалось увеличить горизонтальную скорость до 127 км/ч (11324).</w:t>
      </w:r>
    </w:p>
    <w:p w14:paraId="2E9157F2" w14:textId="77777777" w:rsidR="005C4849" w:rsidRPr="005E779E" w:rsidRDefault="005C4849" w:rsidP="000B7A6C">
      <w:pPr>
        <w:spacing w:after="0" w:line="240" w:lineRule="auto"/>
        <w:jc w:val="both"/>
        <w:rPr>
          <w:rFonts w:ascii="Times New Roman" w:hAnsi="Times New Roman"/>
          <w:color w:val="000000" w:themeColor="text1"/>
          <w:sz w:val="16"/>
          <w:szCs w:val="16"/>
        </w:rPr>
      </w:pPr>
    </w:p>
    <w:p w14:paraId="353898A8" w14:textId="77777777" w:rsidR="00942BC7" w:rsidRPr="005E779E" w:rsidRDefault="00942BC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августа 1931 г. в городе Акрон штата Огайо состоялось крещение дири</w:t>
      </w:r>
      <w:r w:rsidRPr="005E779E">
        <w:rPr>
          <w:rFonts w:ascii="Times New Roman" w:hAnsi="Times New Roman"/>
          <w:color w:val="000000" w:themeColor="text1"/>
          <w:sz w:val="16"/>
          <w:szCs w:val="16"/>
        </w:rPr>
        <w:softHyphen/>
        <w:t>жабля ZRS-4 «Акрон» - воздушного авианосца. «Крестной» выступала Лу Генри Гувер (Lou Henry Hoover; 1874-1944), жена президента США Герберта К. Гувера (Herbert Clark Hoover; 1874-1964).</w:t>
      </w:r>
    </w:p>
    <w:p w14:paraId="57452B76" w14:textId="77777777" w:rsidR="00942BC7" w:rsidRPr="005E779E" w:rsidRDefault="00942BC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тем временам дирижабль имел действи</w:t>
      </w:r>
      <w:r w:rsidRPr="005E779E">
        <w:rPr>
          <w:rFonts w:ascii="Times New Roman" w:hAnsi="Times New Roman"/>
          <w:color w:val="000000" w:themeColor="text1"/>
          <w:sz w:val="16"/>
          <w:szCs w:val="16"/>
        </w:rPr>
        <w:softHyphen/>
        <w:t>тельно колоссальные размеры: длину 239 м, диаметр 40 м, номинальный объем (95 % от мак</w:t>
      </w:r>
      <w:r w:rsidRPr="005E779E">
        <w:rPr>
          <w:rFonts w:ascii="Times New Roman" w:hAnsi="Times New Roman"/>
          <w:color w:val="000000" w:themeColor="text1"/>
          <w:sz w:val="16"/>
          <w:szCs w:val="16"/>
        </w:rPr>
        <w:softHyphen/>
        <w:t>симального, ибо следует помнить, что объем газового отсека мог меняться в зависимости от высоты подъема дирижабля и атмосферных условий) 184000 м3 Полезная нагрузка около 75 т. Силовая установка — восемь бензино</w:t>
      </w:r>
      <w:r w:rsidRPr="005E779E">
        <w:rPr>
          <w:rFonts w:ascii="Times New Roman" w:hAnsi="Times New Roman"/>
          <w:color w:val="000000" w:themeColor="text1"/>
          <w:sz w:val="16"/>
          <w:szCs w:val="16"/>
        </w:rPr>
        <w:softHyphen/>
        <w:t>вых двигателей Maybach VL-2 по 560 л. с. каж</w:t>
      </w:r>
      <w:r w:rsidRPr="005E779E">
        <w:rPr>
          <w:rFonts w:ascii="Times New Roman" w:hAnsi="Times New Roman"/>
          <w:color w:val="000000" w:themeColor="text1"/>
          <w:sz w:val="16"/>
          <w:szCs w:val="16"/>
        </w:rPr>
        <w:softHyphen/>
        <w:t>дый, скорость максимальная 128 км/ч, крей</w:t>
      </w:r>
      <w:r w:rsidRPr="005E779E">
        <w:rPr>
          <w:rFonts w:ascii="Times New Roman" w:hAnsi="Times New Roman"/>
          <w:color w:val="000000" w:themeColor="text1"/>
          <w:sz w:val="16"/>
          <w:szCs w:val="16"/>
        </w:rPr>
        <w:softHyphen/>
        <w:t>серская — 90 км/ч. Дальность полета 17 000 км (на скорости 90 км/ч). Штатный экипаж состоял из 16 офицеров и 75 матросов и старшин, но обычно летало не более 50 человек. В слу чае наличия на борту самолетов экипаж увеличивался на пять летчи</w:t>
      </w:r>
      <w:r w:rsidRPr="005E779E">
        <w:rPr>
          <w:rFonts w:ascii="Times New Roman" w:hAnsi="Times New Roman"/>
          <w:color w:val="000000" w:themeColor="text1"/>
          <w:sz w:val="16"/>
          <w:szCs w:val="16"/>
        </w:rPr>
        <w:softHyphen/>
        <w:t>ков и 15 человек технического персонала, обслуживающих самолеты, и сопутствующее оборудование. Вооружение — четыре самолета (хотя на практике дело ограничивалось тремя машинами) и пять 12,7-мм пуле</w:t>
      </w:r>
      <w:r w:rsidRPr="005E779E">
        <w:rPr>
          <w:rFonts w:ascii="Times New Roman" w:hAnsi="Times New Roman"/>
          <w:color w:val="000000" w:themeColor="text1"/>
          <w:sz w:val="16"/>
          <w:szCs w:val="16"/>
        </w:rPr>
        <w:softHyphen/>
        <w:t>метов. И, что весьма немаловажно, стоимость такого боевого комплекса была во много раз меньше, чем стоимость кораблей, необходимых для выполнения аналогичного задания.</w:t>
      </w:r>
    </w:p>
    <w:p w14:paraId="13A1442F" w14:textId="77777777" w:rsidR="00942BC7" w:rsidRPr="005E779E" w:rsidRDefault="00942BC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Конструкция ZRS-4 содержала несколько интересных новинок. Метал</w:t>
      </w:r>
      <w:r w:rsidRPr="005E779E">
        <w:rPr>
          <w:rFonts w:ascii="Times New Roman" w:hAnsi="Times New Roman"/>
          <w:color w:val="000000" w:themeColor="text1"/>
          <w:sz w:val="16"/>
          <w:szCs w:val="16"/>
        </w:rPr>
        <w:softHyphen/>
        <w:t>лический каркас корпуса состоял из 12 основных и 33 вспомогательных жестких переборок, 36 вертикальных профилей и 3 килей. Конструкция в целом была весьма прочной и могла выдерживать большие нагрузки (увы, прочность все же имела предел). Внутри жесткого корпуса раз</w:t>
      </w:r>
      <w:r w:rsidRPr="005E779E">
        <w:rPr>
          <w:rFonts w:ascii="Times New Roman" w:hAnsi="Times New Roman"/>
          <w:color w:val="000000" w:themeColor="text1"/>
          <w:sz w:val="16"/>
          <w:szCs w:val="16"/>
        </w:rPr>
        <w:softHyphen/>
        <w:t>мещались 12 газовых отсеков, заполненных гелием. Благодаря уста</w:t>
      </w:r>
      <w:r w:rsidRPr="005E779E">
        <w:rPr>
          <w:rFonts w:ascii="Times New Roman" w:hAnsi="Times New Roman"/>
          <w:color w:val="000000" w:themeColor="text1"/>
          <w:sz w:val="16"/>
          <w:szCs w:val="16"/>
        </w:rPr>
        <w:softHyphen/>
        <w:t>новке двигателей внутри каркаса удачно были решены вопросы аэро</w:t>
      </w:r>
      <w:r w:rsidRPr="005E779E">
        <w:rPr>
          <w:rFonts w:ascii="Times New Roman" w:hAnsi="Times New Roman"/>
          <w:color w:val="000000" w:themeColor="text1"/>
          <w:sz w:val="16"/>
          <w:szCs w:val="16"/>
        </w:rPr>
        <w:softHyphen/>
        <w:t>динамики, поэтому у американского дирижабля скорость была выше, чем у английских и немецких при равной с ними мощности двигателей. Каждый мотор вращал один двухлопастной винт диаметром 5 м. Винты были реверсивными, как тянущими, так и толкающим, они могли разво</w:t>
      </w:r>
      <w:r w:rsidRPr="005E779E">
        <w:rPr>
          <w:rFonts w:ascii="Times New Roman" w:hAnsi="Times New Roman"/>
          <w:color w:val="000000" w:themeColor="text1"/>
          <w:sz w:val="16"/>
          <w:szCs w:val="16"/>
        </w:rPr>
        <w:softHyphen/>
        <w:t>рачиваться в горизонтальной плоскости, что давало возможность опу</w:t>
      </w:r>
      <w:r w:rsidRPr="005E779E">
        <w:rPr>
          <w:rFonts w:ascii="Times New Roman" w:hAnsi="Times New Roman"/>
          <w:color w:val="000000" w:themeColor="text1"/>
          <w:sz w:val="16"/>
          <w:szCs w:val="16"/>
        </w:rPr>
        <w:softHyphen/>
        <w:t>скаться или подниматься, лететь вперед или назад. В корпусе размеща</w:t>
      </w:r>
      <w:r w:rsidRPr="005E779E">
        <w:rPr>
          <w:rFonts w:ascii="Times New Roman" w:hAnsi="Times New Roman"/>
          <w:color w:val="000000" w:themeColor="text1"/>
          <w:sz w:val="16"/>
          <w:szCs w:val="16"/>
        </w:rPr>
        <w:softHyphen/>
        <w:t>лось 110 баков, способных сместить 57 т топлива и до 5 т масла. Глав</w:t>
      </w:r>
      <w:r w:rsidRPr="005E779E">
        <w:rPr>
          <w:rFonts w:ascii="Times New Roman" w:hAnsi="Times New Roman"/>
          <w:color w:val="000000" w:themeColor="text1"/>
          <w:sz w:val="16"/>
          <w:szCs w:val="16"/>
        </w:rPr>
        <w:softHyphen/>
        <w:t>ная гондола управления «Акрона» располагалась впереди нижней части фюзеляжа, но в случае необходимости можно было управлять дирижа</w:t>
      </w:r>
      <w:r w:rsidRPr="005E779E">
        <w:rPr>
          <w:rFonts w:ascii="Times New Roman" w:hAnsi="Times New Roman"/>
          <w:color w:val="000000" w:themeColor="text1"/>
          <w:sz w:val="16"/>
          <w:szCs w:val="16"/>
        </w:rPr>
        <w:softHyphen/>
        <w:t>блем из резервной кабины, расположенной в нижней части вертикаль</w:t>
      </w:r>
      <w:r w:rsidRPr="005E779E">
        <w:rPr>
          <w:rFonts w:ascii="Times New Roman" w:hAnsi="Times New Roman"/>
          <w:color w:val="000000" w:themeColor="text1"/>
          <w:sz w:val="16"/>
          <w:szCs w:val="16"/>
        </w:rPr>
        <w:softHyphen/>
        <w:t>ного хвостового оперения. Каюты для размещения экипажа находились в боковых килях, а наблюдательные кабины с возможностью установки пулеметов — спереди (над причальным устройством), сверху оболочки и в оконечности хвостовой части корабля.</w:t>
      </w:r>
    </w:p>
    <w:p w14:paraId="2CC16B49" w14:textId="77777777" w:rsidR="00942BC7" w:rsidRPr="005E779E" w:rsidRDefault="00942BC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Прием на борт самолетов осуществлялся прямо в полете с помо</w:t>
      </w:r>
      <w:r w:rsidRPr="005E779E">
        <w:rPr>
          <w:rFonts w:ascii="Times New Roman" w:hAnsi="Times New Roman"/>
          <w:color w:val="000000" w:themeColor="text1"/>
          <w:sz w:val="16"/>
          <w:szCs w:val="16"/>
        </w:rPr>
        <w:softHyphen/>
        <w:t>щью специальной выдвижной трапеции. Истребители цеплялись за нее, через специальный проем в днище втягивались внутрь и размещались в просторном отсеке-ангаре, где легко помещались четыре машины типа F9C-2 «Сперроухоук» фирмы «Кертисс», а также находилось оборудова</w:t>
      </w:r>
      <w:r w:rsidRPr="005E779E">
        <w:rPr>
          <w:rFonts w:ascii="Times New Roman" w:hAnsi="Times New Roman"/>
          <w:color w:val="000000" w:themeColor="text1"/>
          <w:sz w:val="16"/>
          <w:szCs w:val="16"/>
        </w:rPr>
        <w:softHyphen/>
        <w:t>ние для их обслуживания. При необходимости, пятый самолет мог оста</w:t>
      </w:r>
      <w:r w:rsidRPr="005E779E">
        <w:rPr>
          <w:rFonts w:ascii="Times New Roman" w:hAnsi="Times New Roman"/>
          <w:color w:val="000000" w:themeColor="text1"/>
          <w:sz w:val="16"/>
          <w:szCs w:val="16"/>
        </w:rPr>
        <w:softHyphen/>
        <w:t>ваться на внешней подвеске. Выпуск крылатых машин осуществлялся в обратном порядке: аэроплан выдвигался из ангара, запускался дви</w:t>
      </w:r>
      <w:r w:rsidRPr="005E779E">
        <w:rPr>
          <w:rFonts w:ascii="Times New Roman" w:hAnsi="Times New Roman"/>
          <w:color w:val="000000" w:themeColor="text1"/>
          <w:sz w:val="16"/>
          <w:szCs w:val="16"/>
        </w:rPr>
        <w:softHyphen/>
        <w:t>гатель, и летчик уходил в свободный полет. Как ни странно, «садиться» на дирижабль было не сложнее, чем на аэродром. Крюк и «трапеция» были небольшими, но и скорость бипланов 1920-х гг. была невелика и легко уравновешивалась скоростью дирижабля. А самое приятное — процедура была куда безопаснее, чем в случае с взлетно-посадочной полосой. Промахнись пилот или попади в сваливание, он просто уходил вниз и повторял попытку, а на обычном аэродроме была бы авария.</w:t>
      </w:r>
    </w:p>
    <w:p w14:paraId="133D8971" w14:textId="77777777" w:rsidR="00942BC7" w:rsidRPr="005E779E" w:rsidRDefault="00942BC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Так как F9 были самолетами-истребителями, обычно считается, что их единственной задачей была защита дирижабля. Однако это не так: машины применялись и для ведения воздушной разведки, что позво</w:t>
      </w:r>
      <w:r w:rsidRPr="005E779E">
        <w:rPr>
          <w:rFonts w:ascii="Times New Roman" w:hAnsi="Times New Roman"/>
          <w:color w:val="000000" w:themeColor="text1"/>
          <w:sz w:val="16"/>
          <w:szCs w:val="16"/>
        </w:rPr>
        <w:softHyphen/>
        <w:t>ляло значительно расширить зону патрулирования, и для передачи срочных депеш на базу (ведь их скорость была почти в три раза выше, чем у авиаматки). Поэтому «Сперроухоуки» сохранили шасси и были оснащены соответствующей аппаратурой для ведения разведки. Выбор именно этих истребителей, скорее всего, был обусловлен тем, что из-за жестких габаритных ограничений на борту дирижабля решили использовать самые маленькие боевые машины из производи</w:t>
      </w:r>
      <w:r w:rsidRPr="005E779E">
        <w:rPr>
          <w:rFonts w:ascii="Times New Roman" w:hAnsi="Times New Roman"/>
          <w:color w:val="000000" w:themeColor="text1"/>
          <w:sz w:val="16"/>
          <w:szCs w:val="16"/>
        </w:rPr>
        <w:softHyphen/>
        <w:t>мых в Америке. За 1932 г. самолеты выполнили 401 стыковку с «Акро</w:t>
      </w:r>
      <w:r w:rsidRPr="005E779E">
        <w:rPr>
          <w:rFonts w:ascii="Times New Roman" w:hAnsi="Times New Roman"/>
          <w:color w:val="000000" w:themeColor="text1"/>
          <w:sz w:val="16"/>
          <w:szCs w:val="16"/>
        </w:rPr>
        <w:softHyphen/>
        <w:t>ном» без каких-либо происшествий. Американцы сформировали спе</w:t>
      </w:r>
      <w:r w:rsidRPr="005E779E">
        <w:rPr>
          <w:rFonts w:ascii="Times New Roman" w:hAnsi="Times New Roman"/>
          <w:color w:val="000000" w:themeColor="text1"/>
          <w:sz w:val="16"/>
          <w:szCs w:val="16"/>
        </w:rPr>
        <w:softHyphen/>
      </w:r>
      <w:r w:rsidRPr="005E779E">
        <w:rPr>
          <w:rFonts w:ascii="Times New Roman" w:hAnsi="Times New Roman"/>
          <w:color w:val="000000" w:themeColor="text1"/>
          <w:sz w:val="16"/>
          <w:szCs w:val="16"/>
        </w:rPr>
        <w:lastRenderedPageBreak/>
        <w:t>циальную эскадрилью для этих двух исполинов, ее возглавил лейте</w:t>
      </w:r>
      <w:r w:rsidRPr="005E779E">
        <w:rPr>
          <w:rFonts w:ascii="Times New Roman" w:hAnsi="Times New Roman"/>
          <w:color w:val="000000" w:themeColor="text1"/>
          <w:sz w:val="16"/>
          <w:szCs w:val="16"/>
        </w:rPr>
        <w:softHyphen/>
        <w:t>нант Дэниел Уорд Харриган (Daniel Ward Harrigan; 1900-1980), опыт</w:t>
      </w:r>
      <w:r w:rsidRPr="005E779E">
        <w:rPr>
          <w:rFonts w:ascii="Times New Roman" w:hAnsi="Times New Roman"/>
          <w:color w:val="000000" w:themeColor="text1"/>
          <w:sz w:val="16"/>
          <w:szCs w:val="16"/>
        </w:rPr>
        <w:softHyphen/>
        <w:t>ный пилот-испытатель. Первая историческая «посадка» на «Акрон» была выполнены лейтенантами Дэниел У. Харриган и Ховард Л. Янг (Howard L. Young; 1906-1989) на учебном двухместном «Консолидэй- тед» N2Y (Consolidated N2Y) (22730).</w:t>
      </w:r>
    </w:p>
    <w:p w14:paraId="3ACE7730" w14:textId="77777777" w:rsidR="00942BC7" w:rsidRPr="005E779E" w:rsidRDefault="00942BC7" w:rsidP="000B7A6C">
      <w:pPr>
        <w:spacing w:after="0" w:line="240" w:lineRule="auto"/>
        <w:jc w:val="both"/>
        <w:rPr>
          <w:rFonts w:ascii="Times New Roman" w:hAnsi="Times New Roman"/>
          <w:color w:val="000000" w:themeColor="text1"/>
          <w:sz w:val="16"/>
          <w:szCs w:val="16"/>
        </w:rPr>
      </w:pPr>
    </w:p>
    <w:p w14:paraId="4E0D5138" w14:textId="77777777" w:rsidR="00561C4E" w:rsidRPr="00142305" w:rsidRDefault="00561C4E" w:rsidP="00561C4E">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 xml:space="preserve">8 августа 1931 года дирижабль </w:t>
      </w:r>
      <w:r w:rsidRPr="00142305">
        <w:rPr>
          <w:rStyle w:val="aff0"/>
          <w:rFonts w:ascii="Times New Roman" w:hAnsi="Times New Roman" w:cs="Times New Roman"/>
          <w:color w:val="0070C0"/>
          <w:spacing w:val="0"/>
          <w:sz w:val="16"/>
          <w:szCs w:val="16"/>
          <w:lang w:val="en-US"/>
        </w:rPr>
        <w:t>ZRS</w:t>
      </w:r>
      <w:r w:rsidRPr="00142305">
        <w:rPr>
          <w:rStyle w:val="aff0"/>
          <w:rFonts w:ascii="Times New Roman" w:hAnsi="Times New Roman" w:cs="Times New Roman"/>
          <w:color w:val="0070C0"/>
          <w:spacing w:val="0"/>
          <w:sz w:val="16"/>
          <w:szCs w:val="16"/>
        </w:rPr>
        <w:t>-4 оторвался от пола ан</w:t>
      </w:r>
      <w:r w:rsidRPr="00142305">
        <w:rPr>
          <w:rStyle w:val="aff0"/>
          <w:rFonts w:ascii="Times New Roman" w:hAnsi="Times New Roman" w:cs="Times New Roman"/>
          <w:color w:val="0070C0"/>
          <w:spacing w:val="0"/>
          <w:sz w:val="16"/>
          <w:szCs w:val="16"/>
        </w:rPr>
        <w:softHyphen/>
        <w:t>гара и был благословлён миссис Лу Генри Гувер, женой пре</w:t>
      </w:r>
      <w:r w:rsidRPr="00142305">
        <w:rPr>
          <w:rStyle w:val="aff0"/>
          <w:rFonts w:ascii="Times New Roman" w:hAnsi="Times New Roman" w:cs="Times New Roman"/>
          <w:color w:val="0070C0"/>
          <w:spacing w:val="0"/>
          <w:sz w:val="16"/>
          <w:szCs w:val="16"/>
        </w:rPr>
        <w:softHyphen/>
        <w:t>зидента США Герберта Гувера. Готовый к эксплуатации дирижабль торже</w:t>
      </w:r>
      <w:r w:rsidRPr="00142305">
        <w:rPr>
          <w:rStyle w:val="aff0"/>
          <w:rFonts w:ascii="Times New Roman" w:hAnsi="Times New Roman" w:cs="Times New Roman"/>
          <w:color w:val="0070C0"/>
          <w:spacing w:val="0"/>
          <w:sz w:val="16"/>
          <w:szCs w:val="16"/>
        </w:rPr>
        <w:softHyphen/>
        <w:t xml:space="preserve">ственно окрестили именем </w:t>
      </w:r>
      <w:r w:rsidRPr="00142305">
        <w:rPr>
          <w:rStyle w:val="aff0"/>
          <w:rFonts w:ascii="Times New Roman" w:hAnsi="Times New Roman" w:cs="Times New Roman"/>
          <w:color w:val="0070C0"/>
          <w:spacing w:val="0"/>
          <w:sz w:val="16"/>
          <w:szCs w:val="16"/>
          <w:lang w:val="en-US"/>
        </w:rPr>
        <w:t>Akron</w:t>
      </w:r>
      <w:r w:rsidRPr="00142305">
        <w:rPr>
          <w:rStyle w:val="aff0"/>
          <w:rFonts w:ascii="Times New Roman" w:hAnsi="Times New Roman" w:cs="Times New Roman"/>
          <w:color w:val="0070C0"/>
          <w:spacing w:val="0"/>
          <w:sz w:val="16"/>
          <w:szCs w:val="16"/>
        </w:rPr>
        <w:t xml:space="preserve"> по названию города в штате Огайо, вблизи ко</w:t>
      </w:r>
      <w:r w:rsidRPr="00142305">
        <w:rPr>
          <w:rStyle w:val="aff0"/>
          <w:rFonts w:ascii="Times New Roman" w:hAnsi="Times New Roman" w:cs="Times New Roman"/>
          <w:color w:val="0070C0"/>
          <w:spacing w:val="0"/>
          <w:sz w:val="16"/>
          <w:szCs w:val="16"/>
        </w:rPr>
        <w:softHyphen/>
        <w:t xml:space="preserve">торого он строился. Первый полёт </w:t>
      </w:r>
      <w:r w:rsidRPr="00142305">
        <w:rPr>
          <w:rStyle w:val="aff0"/>
          <w:rFonts w:ascii="Times New Roman" w:hAnsi="Times New Roman" w:cs="Times New Roman"/>
          <w:color w:val="0070C0"/>
          <w:spacing w:val="0"/>
          <w:sz w:val="16"/>
          <w:szCs w:val="16"/>
          <w:lang w:val="en-US"/>
        </w:rPr>
        <w:t>Akron</w:t>
      </w:r>
      <w:r w:rsidRPr="00142305">
        <w:rPr>
          <w:rStyle w:val="aff0"/>
          <w:rFonts w:ascii="Times New Roman" w:hAnsi="Times New Roman" w:cs="Times New Roman"/>
          <w:color w:val="0070C0"/>
          <w:spacing w:val="0"/>
          <w:sz w:val="16"/>
          <w:szCs w:val="16"/>
        </w:rPr>
        <w:t xml:space="preserve"> совершил 23 сентября вокруг Клив</w:t>
      </w:r>
      <w:r w:rsidRPr="00142305">
        <w:rPr>
          <w:rStyle w:val="aff0"/>
          <w:rFonts w:ascii="Times New Roman" w:hAnsi="Times New Roman" w:cs="Times New Roman"/>
          <w:color w:val="0070C0"/>
          <w:spacing w:val="0"/>
          <w:sz w:val="16"/>
          <w:szCs w:val="16"/>
        </w:rPr>
        <w:softHyphen/>
        <w:t xml:space="preserve">ленда, а 21 октября покинул воздушный док корпорации </w:t>
      </w:r>
      <w:r w:rsidRPr="00142305">
        <w:rPr>
          <w:rStyle w:val="aff0"/>
          <w:rFonts w:ascii="Times New Roman" w:hAnsi="Times New Roman" w:cs="Times New Roman"/>
          <w:color w:val="0070C0"/>
          <w:spacing w:val="0"/>
          <w:sz w:val="16"/>
          <w:szCs w:val="16"/>
          <w:lang w:val="en-US"/>
        </w:rPr>
        <w:t>Goodyear</w:t>
      </w:r>
      <w:r w:rsidRPr="00142305">
        <w:rPr>
          <w:rStyle w:val="aff0"/>
          <w:rFonts w:ascii="Times New Roman" w:hAnsi="Times New Roman" w:cs="Times New Roman"/>
          <w:color w:val="0070C0"/>
          <w:spacing w:val="0"/>
          <w:sz w:val="16"/>
          <w:szCs w:val="16"/>
        </w:rPr>
        <w:t>-</w:t>
      </w:r>
      <w:r w:rsidRPr="00142305">
        <w:rPr>
          <w:rStyle w:val="aff0"/>
          <w:rFonts w:ascii="Times New Roman" w:hAnsi="Times New Roman" w:cs="Times New Roman"/>
          <w:color w:val="0070C0"/>
          <w:spacing w:val="0"/>
          <w:sz w:val="16"/>
          <w:szCs w:val="16"/>
          <w:lang w:val="en-US"/>
        </w:rPr>
        <w:t>Zeppelin</w:t>
      </w:r>
      <w:r w:rsidRPr="00142305">
        <w:rPr>
          <w:rStyle w:val="aff0"/>
          <w:rFonts w:ascii="Times New Roman" w:hAnsi="Times New Roman" w:cs="Times New Roman"/>
          <w:color w:val="0070C0"/>
          <w:spacing w:val="0"/>
          <w:sz w:val="16"/>
          <w:szCs w:val="16"/>
        </w:rPr>
        <w:t xml:space="preserve"> и направился на авиабазу Лейкхёрст, где 27 октября в День ВМС США был при</w:t>
      </w:r>
      <w:r w:rsidRPr="00142305">
        <w:rPr>
          <w:rStyle w:val="aff0"/>
          <w:rFonts w:ascii="Times New Roman" w:hAnsi="Times New Roman" w:cs="Times New Roman"/>
          <w:color w:val="0070C0"/>
          <w:spacing w:val="0"/>
          <w:sz w:val="16"/>
          <w:szCs w:val="16"/>
        </w:rPr>
        <w:softHyphen/>
        <w:t>нят на вооружение.</w:t>
      </w:r>
    </w:p>
    <w:p w14:paraId="6FF1A962" w14:textId="77777777" w:rsidR="00561C4E" w:rsidRPr="00142305" w:rsidRDefault="00561C4E" w:rsidP="00561C4E">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 xml:space="preserve">В отличие от конструкции традиционных цеппелинов, элементы каркаса </w:t>
      </w:r>
      <w:r w:rsidRPr="00142305">
        <w:rPr>
          <w:rStyle w:val="aff0"/>
          <w:rFonts w:ascii="Times New Roman" w:hAnsi="Times New Roman" w:cs="Times New Roman"/>
          <w:color w:val="0070C0"/>
          <w:spacing w:val="0"/>
          <w:sz w:val="16"/>
          <w:szCs w:val="16"/>
          <w:lang w:val="en-US"/>
        </w:rPr>
        <w:t>Akron</w:t>
      </w:r>
      <w:r w:rsidRPr="00142305">
        <w:rPr>
          <w:rStyle w:val="aff0"/>
          <w:rFonts w:ascii="Times New Roman" w:hAnsi="Times New Roman" w:cs="Times New Roman"/>
          <w:color w:val="0070C0"/>
          <w:spacing w:val="0"/>
          <w:sz w:val="16"/>
          <w:szCs w:val="16"/>
        </w:rPr>
        <w:t xml:space="preserve"> был изготовлены из нового сплава дюралюминия, а сам каркас был несу</w:t>
      </w:r>
      <w:r w:rsidRPr="00142305">
        <w:rPr>
          <w:rStyle w:val="aff0"/>
          <w:rFonts w:ascii="Times New Roman" w:hAnsi="Times New Roman" w:cs="Times New Roman"/>
          <w:color w:val="0070C0"/>
          <w:spacing w:val="0"/>
          <w:sz w:val="16"/>
          <w:szCs w:val="16"/>
        </w:rPr>
        <w:softHyphen/>
        <w:t xml:space="preserve">щим без тросовых растяжек. Длина дирижабля достигала239,3 м, максимальный диаметр 40,5 м. Внутри корпуса стояло восемь бензиновых двигателей </w:t>
      </w:r>
      <w:r w:rsidRPr="00142305">
        <w:rPr>
          <w:rStyle w:val="aff0"/>
          <w:rFonts w:ascii="Times New Roman" w:hAnsi="Times New Roman" w:cs="Times New Roman"/>
          <w:color w:val="0070C0"/>
          <w:spacing w:val="0"/>
          <w:sz w:val="16"/>
          <w:szCs w:val="16"/>
          <w:lang w:val="en-US"/>
        </w:rPr>
        <w:t>Maybach</w:t>
      </w:r>
      <w:r w:rsidRPr="00142305">
        <w:rPr>
          <w:rStyle w:val="aff0"/>
          <w:rFonts w:ascii="Times New Roman" w:hAnsi="Times New Roman" w:cs="Times New Roman"/>
          <w:color w:val="0070C0"/>
          <w:spacing w:val="0"/>
          <w:sz w:val="16"/>
          <w:szCs w:val="16"/>
        </w:rPr>
        <w:t xml:space="preserve"> </w:t>
      </w:r>
      <w:r w:rsidRPr="00142305">
        <w:rPr>
          <w:rStyle w:val="aff0"/>
          <w:rFonts w:ascii="Times New Roman" w:hAnsi="Times New Roman" w:cs="Times New Roman"/>
          <w:color w:val="0070C0"/>
          <w:spacing w:val="0"/>
          <w:sz w:val="16"/>
          <w:szCs w:val="16"/>
          <w:lang w:val="en-US"/>
        </w:rPr>
        <w:t>VL</w:t>
      </w:r>
      <w:r w:rsidRPr="00142305">
        <w:rPr>
          <w:rStyle w:val="aff0"/>
          <w:rFonts w:ascii="Times New Roman" w:hAnsi="Times New Roman" w:cs="Times New Roman"/>
          <w:color w:val="0070C0"/>
          <w:spacing w:val="0"/>
          <w:sz w:val="16"/>
          <w:szCs w:val="16"/>
        </w:rPr>
        <w:t>II мощностью по 560 л. с. Каждый вращал двухлопастной винт с фиксированным шагом диаметром 4,89 м через карданный вал и коническую передачу (25618).</w:t>
      </w:r>
    </w:p>
    <w:p w14:paraId="24FBFEDA" w14:textId="77777777" w:rsidR="00561C4E" w:rsidRPr="00142305" w:rsidRDefault="00561C4E" w:rsidP="00561C4E">
      <w:pPr>
        <w:spacing w:after="0" w:line="240" w:lineRule="auto"/>
        <w:jc w:val="both"/>
        <w:rPr>
          <w:rFonts w:ascii="Times New Roman" w:hAnsi="Times New Roman"/>
          <w:color w:val="0070C0"/>
          <w:sz w:val="16"/>
          <w:szCs w:val="16"/>
        </w:rPr>
      </w:pPr>
    </w:p>
    <w:p w14:paraId="18E79850" w14:textId="77777777" w:rsidR="003F4143" w:rsidRPr="005E779E" w:rsidRDefault="003F414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августа в 1931 году в полете над Англией на одном из моторов «Н.Р.42Е», "Ганнибал" (Hannibal) отлетела небольшая деталь и разрушила винт, причем разлетевшимися осколками были повреждены еще два пропеллера. Экипажу ничего не оставалось, как садиться на первое попавшееся поле. К счастью, никто не пострадал, но самолет получил серьезные повреждения (полностью было разрушено хвостовое оперение) от столкновения с деревьями. Пострадавший "Ганнибал" доставили в Кройдон, где начали ремонтировать, но к полетам он вернулся лишь через несколько месяцев (14977).</w:t>
      </w:r>
    </w:p>
    <w:p w14:paraId="07CAEDC9" w14:textId="77777777" w:rsidR="003F4143" w:rsidRPr="005E779E" w:rsidRDefault="003F4143" w:rsidP="000B7A6C">
      <w:pPr>
        <w:spacing w:after="0" w:line="240" w:lineRule="auto"/>
        <w:jc w:val="both"/>
        <w:rPr>
          <w:rFonts w:ascii="Times New Roman" w:hAnsi="Times New Roman"/>
          <w:color w:val="000000" w:themeColor="text1"/>
          <w:sz w:val="16"/>
          <w:szCs w:val="16"/>
        </w:rPr>
      </w:pPr>
    </w:p>
    <w:p w14:paraId="0F10FEC1" w14:textId="77777777" w:rsidR="003F4143"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1A09F793" w14:textId="77777777" w:rsidR="003F4143" w:rsidRPr="005E779E" w:rsidRDefault="003F4143"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C312976" w14:textId="77777777" w:rsidR="00326F0F" w:rsidRPr="005E779E" w:rsidRDefault="00326F0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августа 1931, после того, как двигатель Ford 5-AT-B Trimotor NC9662 компании American Airways отделяется вскоре после взлета из муниципального аэропорта Цинциннати в Цинциннати, штат Огайо , для полета в Атланту, штат Джорджия, его пилот пытается вернуться в аэропорт для экстренной посадка . Он не попадает на взлетно-посадочную полосу, а затем пытается приземлиться на берегу реки Литтл-Майами, но самолет ударяется о мягкий песок, убивая всех шести человек на борту (20804).</w:t>
      </w:r>
    </w:p>
    <w:p w14:paraId="15106504" w14:textId="77777777" w:rsidR="00326F0F" w:rsidRPr="005E779E" w:rsidRDefault="00326F0F" w:rsidP="000B7A6C">
      <w:pPr>
        <w:spacing w:after="0" w:line="240" w:lineRule="auto"/>
        <w:jc w:val="both"/>
        <w:rPr>
          <w:rFonts w:ascii="Times New Roman" w:hAnsi="Times New Roman"/>
          <w:color w:val="000000" w:themeColor="text1"/>
          <w:sz w:val="16"/>
          <w:szCs w:val="16"/>
        </w:rPr>
      </w:pPr>
    </w:p>
    <w:p w14:paraId="0B6B84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августа 1931 коммунисты вместе с фашистами голосовали на референдуме за роспуск социал-демократического Ландтага Пруссии (3240).</w:t>
      </w:r>
    </w:p>
    <w:p w14:paraId="36C691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ABCE036"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3AF26889"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0A11F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C 10 по 16 августа 1931 проходили испытания самолета И7 БМВ VI. Самолет И7 БМВ VI опытный, постройки завода N 1. На основании произведенных испытаний НИИ посчитал, что самолет И7 БМВ VI не отвечает по своим летным данным требованиям к современным одноместным истребителям и полагает целесообразной постройку самолета для вооружения нескольких эскадрилий, исходя: 1. легкой возможности замены на самолете И7 М17, мотором М34, после чего самолет сможет получить полетные данные современного одноместного истребителя; 2. трудности эксплуатации и понижению летных данных самолета И5 ЮVI в зимних условиях.</w:t>
      </w:r>
    </w:p>
    <w:p w14:paraId="403F28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Летных дней на испытание - 5</w:t>
      </w:r>
    </w:p>
    <w:p w14:paraId="521223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Количество полетов - 24</w:t>
      </w:r>
    </w:p>
    <w:p w14:paraId="1CDE5B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Налетано часов - 11 час. 40 мин. (3269).</w:t>
      </w:r>
    </w:p>
    <w:p w14:paraId="196A6D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2E7C86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10 по 16 августа 1931 года проходили испытания самолета И7 БМВ VI</w:t>
      </w:r>
    </w:p>
    <w:p w14:paraId="3100B28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И7 БМВ VI 3 – опытный постройки завода № 1.</w:t>
      </w:r>
    </w:p>
    <w:p w14:paraId="02CC951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Цель работы</w:t>
      </w:r>
    </w:p>
    <w:p w14:paraId="7D8177B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Испытание опытного самолета с полетным весом 1740 кг.</w:t>
      </w:r>
    </w:p>
    <w:p w14:paraId="6ADA7CD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Испытание начато – 10 августа 1931 года</w:t>
      </w:r>
    </w:p>
    <w:p w14:paraId="5AF3973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Испытание закончено 16 августа 1931 года</w:t>
      </w:r>
    </w:p>
    <w:p w14:paraId="4DFD473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Летных дней на испытание – 5</w:t>
      </w:r>
    </w:p>
    <w:p w14:paraId="08A0E25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Количество полетов – 24</w:t>
      </w:r>
    </w:p>
    <w:p w14:paraId="1F17FEA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Налетано часов – 11 час. 40 мин.</w:t>
      </w:r>
    </w:p>
    <w:p w14:paraId="7690CE0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w:t>
      </w:r>
    </w:p>
    <w:p w14:paraId="2C3C53A2"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И7 БМВ VI в таком виде, в каком он поступил с завода на испытание, как не отвечающий требованиям предъявляемым к современным истребителям по летным данным и по вооружению на массовое снабжение ВВС рекомендован быть не может.</w:t>
      </w:r>
    </w:p>
    <w:p w14:paraId="21614226"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Ввиду того, что в постройке для снабжения ВВС нет другого истребителя с мотором водяного охлаждения, а также ввиду отсутствия надежных приспособлений облегчающих эксплуатацию моторов воздушного охлаждения в зимних условиях, НИИ признает целесообразным постройку серии самолетов И7 М-17 для вооружения нескольких эскадрилий (6771).</w:t>
      </w:r>
    </w:p>
    <w:p w14:paraId="2B336C8B"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00CB5A" w14:textId="77777777" w:rsidR="00A56BD5" w:rsidRPr="005E779E" w:rsidRDefault="00A56BD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августа 1931 г. самолет И-7 принят на Государственные испытания на базе НОА (НИИ ВВС РККА) с пулеметным вооружением (24331).</w:t>
      </w:r>
    </w:p>
    <w:p w14:paraId="0086438B" w14:textId="77777777" w:rsidR="00A56BD5" w:rsidRPr="005E779E" w:rsidRDefault="00A56BD5" w:rsidP="000B7A6C">
      <w:pPr>
        <w:spacing w:after="0" w:line="240" w:lineRule="auto"/>
        <w:jc w:val="both"/>
        <w:rPr>
          <w:rFonts w:ascii="Times New Roman" w:hAnsi="Times New Roman"/>
          <w:color w:val="000000" w:themeColor="text1"/>
          <w:sz w:val="16"/>
          <w:szCs w:val="16"/>
        </w:rPr>
      </w:pPr>
    </w:p>
    <w:p w14:paraId="6ED7E7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10 августа 1931 должен был быт готов И-4 с разрезным крылом. Не известно, сделали ли (346,22).</w:t>
      </w:r>
    </w:p>
    <w:p w14:paraId="6BE9BB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0B9CC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августа 1931 на И-4 поставили поплавки, но так и не испытали, так как решили, что истребитель на поплавках не нужен (1454,20).</w:t>
      </w:r>
    </w:p>
    <w:p w14:paraId="72D5B8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C1800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августа 1931 года начальник НИИ ВВС С.В.И. писал письмо N 275 с зам. начальника ВВС Меженинову.</w:t>
      </w:r>
    </w:p>
    <w:p w14:paraId="0FE1C7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НИИ ВОГФ закончило испытания амфибии конструктора Шаврова при чем получены следующие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1002C3" w:rsidRPr="005E779E" w14:paraId="0B5CEA49" w14:textId="77777777">
        <w:tc>
          <w:tcPr>
            <w:tcW w:w="2818" w:type="dxa"/>
          </w:tcPr>
          <w:p w14:paraId="63AD70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0FCA63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Амфибии</w:t>
            </w:r>
          </w:p>
        </w:tc>
        <w:tc>
          <w:tcPr>
            <w:tcW w:w="2818" w:type="dxa"/>
          </w:tcPr>
          <w:p w14:paraId="624EFD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Лодки</w:t>
            </w:r>
          </w:p>
        </w:tc>
      </w:tr>
      <w:tr w:rsidR="001002C3" w:rsidRPr="005E779E" w14:paraId="2F2416D6" w14:textId="77777777">
        <w:tc>
          <w:tcPr>
            <w:tcW w:w="2818" w:type="dxa"/>
          </w:tcPr>
          <w:p w14:paraId="0694A2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 скорость км/час/обороты</w:t>
            </w:r>
          </w:p>
        </w:tc>
        <w:tc>
          <w:tcPr>
            <w:tcW w:w="2818" w:type="dxa"/>
          </w:tcPr>
          <w:p w14:paraId="0F18A0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136,5/1620</w:t>
            </w:r>
          </w:p>
        </w:tc>
        <w:tc>
          <w:tcPr>
            <w:tcW w:w="2818" w:type="dxa"/>
          </w:tcPr>
          <w:p w14:paraId="3EC538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145,7/1650</w:t>
            </w:r>
          </w:p>
        </w:tc>
      </w:tr>
      <w:tr w:rsidR="001002C3" w:rsidRPr="005E779E" w14:paraId="0F9CAF67" w14:textId="77777777">
        <w:tc>
          <w:tcPr>
            <w:tcW w:w="2818" w:type="dxa"/>
          </w:tcPr>
          <w:p w14:paraId="168CD6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Средняя скорость</w:t>
            </w:r>
          </w:p>
        </w:tc>
        <w:tc>
          <w:tcPr>
            <w:tcW w:w="2818" w:type="dxa"/>
          </w:tcPr>
          <w:p w14:paraId="34070C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123,5/1550</w:t>
            </w:r>
          </w:p>
        </w:tc>
        <w:tc>
          <w:tcPr>
            <w:tcW w:w="2818" w:type="dxa"/>
          </w:tcPr>
          <w:p w14:paraId="0D65A5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120,6/1500</w:t>
            </w:r>
          </w:p>
        </w:tc>
      </w:tr>
      <w:tr w:rsidR="001002C3" w:rsidRPr="005E779E" w14:paraId="7C57B863" w14:textId="77777777">
        <w:tc>
          <w:tcPr>
            <w:tcW w:w="2818" w:type="dxa"/>
          </w:tcPr>
          <w:p w14:paraId="0901BE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Миним. скорость</w:t>
            </w:r>
          </w:p>
        </w:tc>
        <w:tc>
          <w:tcPr>
            <w:tcW w:w="2818" w:type="dxa"/>
          </w:tcPr>
          <w:p w14:paraId="22F674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102,5/1250</w:t>
            </w:r>
          </w:p>
        </w:tc>
        <w:tc>
          <w:tcPr>
            <w:tcW w:w="2818" w:type="dxa"/>
          </w:tcPr>
          <w:p w14:paraId="63F300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98,5/1250</w:t>
            </w:r>
          </w:p>
        </w:tc>
      </w:tr>
      <w:tr w:rsidR="001002C3" w:rsidRPr="005E779E" w14:paraId="524D4621" w14:textId="77777777">
        <w:tc>
          <w:tcPr>
            <w:tcW w:w="2818" w:type="dxa"/>
          </w:tcPr>
          <w:p w14:paraId="4C49B1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Потолок практ.</w:t>
            </w:r>
          </w:p>
        </w:tc>
        <w:tc>
          <w:tcPr>
            <w:tcW w:w="2818" w:type="dxa"/>
          </w:tcPr>
          <w:p w14:paraId="421B94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3330</w:t>
            </w:r>
          </w:p>
        </w:tc>
        <w:tc>
          <w:tcPr>
            <w:tcW w:w="2818" w:type="dxa"/>
          </w:tcPr>
          <w:p w14:paraId="3718ED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3650</w:t>
            </w:r>
          </w:p>
        </w:tc>
      </w:tr>
    </w:tbl>
    <w:p w14:paraId="79883C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Отзыв летчика Шварца, производившего испытания в основном следующий:</w:t>
      </w:r>
    </w:p>
    <w:p w14:paraId="7A89A6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Обзор у самолета хороший. При разбеге в штиль самолет легко выходит на редан, после чего быстро набирает скорость и в среднем н 9-10-й секунде отрывается.</w:t>
      </w:r>
    </w:p>
    <w:p w14:paraId="0DD4C6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время взлета с земли требуется поднятие хвоста и самолет поставленный в линию полета на 9-10-й секунде отрывается при разбеге в 110-115 метров.</w:t>
      </w:r>
    </w:p>
    <w:p w14:paraId="36CA74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посадку самолет, как лодка очень легок, как сухопутный несколько строже ввиду низкого расположения шасси.</w:t>
      </w:r>
    </w:p>
    <w:p w14:paraId="0FD83B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Посадочная скорость по прибору 60-70 км/час. Руление на воде удовлетворительное...</w:t>
      </w:r>
    </w:p>
    <w:p w14:paraId="756393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НИИ ВОГФ делает по этому самолету следующее заключение:</w:t>
      </w:r>
    </w:p>
    <w:p w14:paraId="082DDB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Самолет обладает хорошими летными и аэродинамическими качествами, а также удобен в эксплуатации.</w:t>
      </w:r>
    </w:p>
    <w:p w14:paraId="624070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Самолет может быть применяем на различные задания и в основном как учебная лодка.</w:t>
      </w:r>
    </w:p>
    <w:p w14:paraId="5D1E3C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основании этого считает возможным постройку серии.</w:t>
      </w:r>
    </w:p>
    <w:p w14:paraId="6BFD6B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ближайшее время самолет перелетит в Москву на Центральный аэродром, где и можно будет решить вопрос о его использовании для военных целей, т.к. возможно за счет перегрузки в 160 кг поместить военный груз и в частности пулемет для обстрела задней полусферы. (2969,14-16).</w:t>
      </w:r>
    </w:p>
    <w:p w14:paraId="741FAE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E7F5E00" w14:textId="77777777" w:rsidR="002759FC" w:rsidRPr="005E779E" w:rsidRDefault="002759F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августа в 1931 году дата образования ОАО «Казанское моторостроительно-производственное объединение» (бывший завод N16). ОАО КМПО осуществляет восстановление и ремонт двигателей «НК-8-2У», «НК-86» для самолетов «Ту-154Б», «Ил-86», осваивает производство турбореактивного двухконтурного двигателя «AИ-22» для самолетов «Ту-324» и «ЯК-48», двигателя «НК-93», деталей и узлов авиационных двигателей «Pratt &amp; Whitney», сборку и испытания двигателей «PW 207» для вертолетов. Освоено производство силовых двигателей «НК-16СТ» и «НК-16-18СТ», двигателя «НК-38СТ», газоперекачивающего агрегата ГПА-16 "Волга" и автоматической газораспределительной станции (АГРС) "Исток" и др (14979).</w:t>
      </w:r>
    </w:p>
    <w:p w14:paraId="77462201" w14:textId="77777777" w:rsidR="002759FC" w:rsidRPr="005E779E" w:rsidRDefault="002759FC" w:rsidP="000B7A6C">
      <w:pPr>
        <w:spacing w:after="0" w:line="240" w:lineRule="auto"/>
        <w:jc w:val="both"/>
        <w:rPr>
          <w:rFonts w:ascii="Times New Roman" w:hAnsi="Times New Roman"/>
          <w:color w:val="000000" w:themeColor="text1"/>
          <w:sz w:val="16"/>
          <w:szCs w:val="16"/>
        </w:rPr>
      </w:pPr>
    </w:p>
    <w:p w14:paraId="589371E1" w14:textId="45A742A5" w:rsidR="002759FC" w:rsidRPr="005E779E" w:rsidRDefault="002759F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10 августа 1931 г.</w:t>
      </w:r>
      <w:r w:rsidRPr="005E779E">
        <w:rPr>
          <w:rFonts w:ascii="Times New Roman" w:hAnsi="Times New Roman"/>
          <w:color w:val="000000" w:themeColor="text1"/>
          <w:sz w:val="16"/>
          <w:szCs w:val="16"/>
          <w:vertAlign w:val="superscript"/>
        </w:rPr>
        <w:t>143</w:t>
      </w:r>
      <w:r w:rsidRPr="005E779E">
        <w:rPr>
          <w:rFonts w:ascii="Times New Roman" w:hAnsi="Times New Roman"/>
          <w:color w:val="000000" w:themeColor="text1"/>
          <w:sz w:val="16"/>
          <w:szCs w:val="16"/>
        </w:rPr>
        <w:t xml:space="preserve"> считается официальным днем рождения завода (Завод № 16 ВСНХ, НКТП, НКОП, Завод № 16 им. Сталина НКАП, МАП, п/я 735, Казанское Моторостроительное ПО (КМПО), ОАО «КМПО» / г. Воронеж ул. Кольцовская;</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Казань с. Караваево/ /Татарстан 420036</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Казань ул. Дементьева, 1 тел. 54-14-32, 71-94-01/ /Московское представительство: тел. 755-42-39/). С 1932 г. - в ведении самолетного треста ГУАП НКТП. В 02.1937 г. - в ведении 1ГУ НКОП. По пр. № ЗЗсс от 1/3.02.1938 г. передан в ведение созданного ГУ авиационного моторостроения, в 12.1938 г. - в ведении 18ГУ.</w:t>
      </w:r>
    </w:p>
    <w:p w14:paraId="2B84A5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1930-34 г. производил ремонт двигателей М-17 и М-22, ремонт самолетов ТБ-1, ТБ-3, Р-6, И-4. В 1934 г. строился ТШ-2 С.А. Кочёригина.</w:t>
      </w:r>
    </w:p>
    <w:p w14:paraId="1AD859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1934 г. перепрофилирован на производство авиадвигателей. Приказом № 0032 от 8.02.1937 г. заводу предписано к 1.04.1937 г. сдать в эксплуатацию* главный корпус и термический цех. Приказом № 0127 от 7.06.1937 г. предписано в 3 квартале 1937 г. внедрить в серию форсированные М-11Д и М-11Е; к 1.10.1937 г. перевести ОКО завода в помещение бывших авиамастерских. Производственная программа завода на 1937 г.: 3500 М-11, головная серия 100 шт. «Рено» (вместе с заводом № 24). «В связи с невыполнением заводом правительственного задания по освоению выпуска лицензионных моторов» пр. № 73с от 4/8.03.1938 г. требовалось обеспечить к 15.04.1938 г. сборку первых 5 моторов МВ-6, во 2-м квартале - выпуск 15, в 3-м - 30, в 4-м - 55 моторов; начать работы по подготовке производства МВ-4 и МВ-12 с выпуском до конца года 45 шт. МВ-4 и 10 МВ-12. В соответствии с пост, правительства № 223сс от 10.09.1938 г. и пр. № 381сс от 29.09.1938 г. требовалось освоить и выпустить в 1938 г. лицензионные моторы: МВ-6 100 шт., МВ-4 250 шт., МВ-12 10 шт.</w:t>
      </w:r>
    </w:p>
    <w:p w14:paraId="78DC08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1939 г. проектная мощность завода составляла: МВ-4, -6,-12-11 тыс. в год, М-11 - 5 тыс. шт. В 01.1940 г. завод переведен на выпуск М-105, на 1941 г. утвержден план по выпуску 2000 М-105, 1100 М-62 и 300 МВ-6.</w:t>
      </w:r>
      <w:r w:rsidRPr="005E779E">
        <w:rPr>
          <w:rFonts w:ascii="Times New Roman" w:hAnsi="Times New Roman"/>
          <w:color w:val="000000" w:themeColor="text1"/>
          <w:sz w:val="16"/>
          <w:szCs w:val="16"/>
          <w:vertAlign w:val="superscript"/>
        </w:rPr>
        <w:t>144</w:t>
      </w:r>
    </w:p>
    <w:p w14:paraId="2C4207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имел филиал в Воронеже - Завод им. Сталина. Руководитель - Д.А. Морозов (затем- директор завода № 154). Зам. гл. конструктора филиала по маломощным моторам (09.1940 г.-)- М.А. Коссов. Сюда в 09.1940 г. передано с завода № 16 производство маломощных моторов (М-11 и МВ-6). В соответствии с пост. СНК от 26.07.1940 г. и приказом НКАП № 193сс от 3.03.1941 г. Завод им. Сталина получил самостоятельность и наименование ГС завод № 154 им. Сталина ЗГУ НКАП.</w:t>
      </w:r>
    </w:p>
    <w:p w14:paraId="7C3814F2" w14:textId="7517AA2E"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Пост. ГКО № 741с от 8.10.1941 г. и приказом № 1053сс от 9.10.1941 г. завод эвакуирован в</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Казань на площадку завода № 27 НКАП. Приказом № 1145сс от 20.11.1941 г. образован единый завод № 16 НКАП объединением завода № 16 НКАП и завода № 27 НКАП. Позже влит еще завод № 489 НКАП. В 1941 г. на завод № 16 в Казань эвакуировалась ГДЛ из Ленинграда.</w:t>
      </w:r>
    </w:p>
    <w:p w14:paraId="0E888B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площадке эвакуированного завода по приказу № 1090с от 28.12.1941 г. организованы мастерские по ремонту двигателей М-11, М-88, М-89, М-105, М-35, М-38. Действовал цех по производству 82-мм батальонных минометов. Начальник мастерских- А.И. Седов. В соответствии с пост. СНК № 913-472сс от 11.06.1942 г. и приказом № 287с от 16.04.1942 г. мастерские должны были получить наименование ГС завод № 444 НКАП. Возможно, так и было некоторое время. Но затем по приказу № 185с от 2.04.1943 г. на площадке бывшего завода № 16 организован завод по ремонту авиамоторов и производству запчастей, который получил наименование завод № 265 при ЗГУ НКАП.</w:t>
      </w:r>
    </w:p>
    <w:p w14:paraId="274AD3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30.05.1942 г. вышло постановление ГКО № 1831 об увеличении выпуска на заводе мотора М-105Р. В соответствии с пост. ГКО № 2412 от 14.10.1942 г. завод перешел с производства М-105Р на М-105ПФ, 25.12.1942 г. вышло постановление ГКО № 2654 об ускорении перевода завода только на выпуск М-105ПФ.</w:t>
      </w:r>
    </w:p>
    <w:p w14:paraId="7CA773E7" w14:textId="2183A5C3"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Приказом МАП № 241 заводу поручено производство трофейного ТРД БМВ-004 с выпуском в 1945 г. 30 двигателей. В соответствии с пост. ГКО в 1946 г. на завод передано 1232 единицы (150 вагонов) трофейного оборудования с завода БМВ в</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Басдорф (Германия).</w:t>
      </w:r>
    </w:p>
    <w:p w14:paraId="3F165F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1946 г. на старую площадку завода в Воронеже реэвакуирован завод № 154 из Андижана.</w:t>
      </w:r>
    </w:p>
    <w:p w14:paraId="5868F1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закрытия в 1948 г. ОКБ-16 С.Д. Колосов продолжил работать на заводе № 16 МАП по газотурбинной установке М-1 для ВМФ. С 05.1954 г. он назначен гл. конструктором СКБ газотурбинных установок на ЮТЗ.</w:t>
      </w:r>
    </w:p>
    <w:p w14:paraId="4CF4C0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1950 г. создан турбовинтовой двигатель для кораблей ТРДВ-1 (5200 л. е.).</w:t>
      </w:r>
    </w:p>
    <w:p w14:paraId="6492E8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ПСМ № 3193-1214 от 10.07.1952 г. на заводе начата подготовка к производству двигателя АМ-3 для Ту-16.</w:t>
      </w:r>
    </w:p>
    <w:p w14:paraId="72FDC2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1948-67 г. завод имел наименование «п/я 735». В соответствии с пост. СМ СССР № 713-342 от 26.06.1957 г. передан в ведение СНХ РСФСР.</w:t>
      </w:r>
    </w:p>
    <w:p w14:paraId="0C16E2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1976 г. - Казанское МПО, с 1993 г. - ОАО «КМПО». В 03.1997 г. вошло в ФПГ «Двигатели НК».</w:t>
      </w:r>
      <w:r w:rsidRPr="005E779E">
        <w:rPr>
          <w:rFonts w:ascii="Times New Roman" w:hAnsi="Times New Roman"/>
          <w:color w:val="000000" w:themeColor="text1"/>
          <w:sz w:val="16"/>
          <w:szCs w:val="16"/>
          <w:vertAlign w:val="superscript"/>
        </w:rPr>
        <w:t>50</w:t>
      </w:r>
      <w:r w:rsidRPr="005E779E">
        <w:rPr>
          <w:rFonts w:ascii="Times New Roman" w:hAnsi="Times New Roman"/>
          <w:color w:val="000000" w:themeColor="text1"/>
          <w:sz w:val="16"/>
          <w:szCs w:val="16"/>
        </w:rPr>
        <w:t xml:space="preserve"> По решению правительства № 22-р от 9.01.2004 г. вошло в перечень стратегических предприятий.</w:t>
      </w:r>
    </w:p>
    <w:p w14:paraId="6500D0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2002 г. велись работы по организации участка сборки и испытаний ТВлД </w:t>
      </w:r>
      <w:r w:rsidRPr="005E779E">
        <w:rPr>
          <w:rFonts w:ascii="Times New Roman" w:hAnsi="Times New Roman"/>
          <w:color w:val="000000" w:themeColor="text1"/>
          <w:sz w:val="16"/>
          <w:szCs w:val="16"/>
          <w:lang w:val="en-US"/>
        </w:rPr>
        <w:t>PW</w:t>
      </w:r>
      <w:r w:rsidRPr="005E779E">
        <w:rPr>
          <w:rFonts w:ascii="Times New Roman" w:hAnsi="Times New Roman"/>
          <w:color w:val="000000" w:themeColor="text1"/>
          <w:sz w:val="16"/>
          <w:szCs w:val="16"/>
        </w:rPr>
        <w:t>207 для вертолета «Ансат».</w:t>
      </w:r>
    </w:p>
    <w:p w14:paraId="6B4961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Численность персонала (2003 г.)- около 12. 000 чел.</w:t>
      </w:r>
    </w:p>
    <w:p w14:paraId="7928C5E2" w14:textId="6E41B9E3"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(-06-29.08.1937 г.)-</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Г.С. Девдариани (снят), (29.08.1937 г.-)- М.М. Лукин, (-09.1941 г.-)- В.И. Сухорукое, (-08.1942-04.1945 г.-)- М.М. Лукин, (03.1946 г.)- Тарасов, (1960-е</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Р.Е. Загребельный. Гендиректор (1968-82 г.)- П.А. Витер, (1982-2003 г.-)- А.Ф. Павлов,</w:t>
      </w:r>
      <w:r w:rsidRPr="005E779E">
        <w:rPr>
          <w:rFonts w:ascii="Times New Roman" w:hAnsi="Times New Roman"/>
          <w:color w:val="000000" w:themeColor="text1"/>
          <w:sz w:val="16"/>
          <w:szCs w:val="16"/>
          <w:vertAlign w:val="superscript"/>
        </w:rPr>
        <w:t>49</w:t>
      </w:r>
      <w:r w:rsidRPr="005E779E">
        <w:rPr>
          <w:rFonts w:ascii="Times New Roman" w:hAnsi="Times New Roman"/>
          <w:color w:val="000000" w:themeColor="text1"/>
          <w:sz w:val="16"/>
          <w:szCs w:val="16"/>
        </w:rPr>
        <w:t xml:space="preserve"> (-10.2004-05 г.-&gt; Д.З. Каримуллин.</w:t>
      </w:r>
    </w:p>
    <w:p w14:paraId="2C3C69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директора: (06.1937 г.)- М.П. Макарук; начальник филиала (1940-41 г.)- ДА. Морозов; по производству (1975 г.-)- А.Ф. Павлов; по ПВО и охране (25.12.1938 г.-)- А.С. Хорошилов. Помощник директора по найму и увольнению (27.11.1938 г.-)- И.И. Карпов.</w:t>
      </w:r>
    </w:p>
    <w:p w14:paraId="24AC5E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Коммерческий директор (10.2004 г.)- А.В. Березкин.</w:t>
      </w:r>
    </w:p>
    <w:p w14:paraId="03C1F7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конструктор (1937 г.)- А.С. Назаров (переведен из ОКБ-29, в том же году арестован из-за катастрофы «7211»), (-1941 г.)- С.Д. Колосов, (1954-63 г.)- П.Ф. Зубец, (2002 г.)- И.Х. Фахрутдинов.</w:t>
      </w:r>
    </w:p>
    <w:p w14:paraId="4338F2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инженер (06.1937 г.)- М.П. Макарук, (2002 г.)- М. Г. Хабибуллин.</w:t>
      </w:r>
      <w:r w:rsidRPr="005E779E">
        <w:rPr>
          <w:rFonts w:ascii="Times New Roman" w:hAnsi="Times New Roman"/>
          <w:color w:val="000000" w:themeColor="text1"/>
          <w:sz w:val="16"/>
          <w:szCs w:val="16"/>
          <w:vertAlign w:val="superscript"/>
        </w:rPr>
        <w:t>69</w:t>
      </w:r>
    </w:p>
    <w:p w14:paraId="7ABFEF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 Серийного КБ (01.1942-04.1944 г.)- С.Д. Колосов.</w:t>
      </w:r>
    </w:p>
    <w:p w14:paraId="305542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Производство: ПД: М-11 (1935-37-), МВ-4, МВ-6, МВ-12, М-105Р (1941-42), М-105ПФ (1942-); ТРД РД-20, РД-500, АЛ-3, ВК-1, РД-ЗМ-500, НК-4, НК-8-2, НК-8-3 (1967-76)- 100, НК-8-4 (1964-79), НК-8-4К- 15, НК-8-2У (1972-2004-)- более 2500, НК-16, НК-86 (1980-2004-), НК-87 (1986-), НК-93 (2004), АИ-22 (2004), поршневой П- 800 (2004), М29П (2004); корпуса для РДТТ 5С47 (1960-е); приводы для газоперекачивающих агрегатов НК- 16СТ, НК-38СТ (2002), ГТ-009, ГПА-8,16; ремонт НК-8-2У, НК-86 (2002); автоматическая газораспределительная станция АГРС «Исток»; гидромеханическая передача для городских автобусов; газовая турбина для ТЭЦ (2004) (11982).</w:t>
      </w:r>
    </w:p>
    <w:p w14:paraId="51EC7E1B" w14:textId="77777777" w:rsidR="008C31FB" w:rsidRPr="005E779E" w:rsidRDefault="008C31FB"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8AEAAAC"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5FD672A8"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0F97F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августа 1931 года Политбюро ЦКВКП(б) утверждает Миронова Л. Г. начальником ЭКУ ОГПУ СССР. Возвращенный в центр и назначенный руководителем Центрального ЭКУ НКВД СССР, Миронов направил все усилия по созданию тюрем-шарашек в большинстве крупных промышленных центров России. Его чрезмерное рвение в работе привело к тому, что в правительство стало поступать много жалоб от ученых и специалистов на необоснованность их ареста и помещения в тюрьмы-шарашки (12107).</w:t>
      </w:r>
    </w:p>
    <w:p w14:paraId="3EA513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DD9B550" w14:textId="77777777" w:rsidR="00A77F55" w:rsidRPr="005E779E" w:rsidRDefault="00A77F5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августа 1931 года Политбюро ЦКВКП(б) утверждает Миронова Л. Г. начальником ЭКУ ОГПУ СССР. Возвращенный в центр и назначенный руководителем Центрального ЭКУ НКВД СССР, Миронов направил все усилия по созданию тюрем-шарашек в большинстве крупных промышленных центров России. Его чрезмерное рвение в работе привело к тому, что в правительство стало поступать много жалоб от ученых и специалистов на необоснованность их ареста и помещения в тюрьмы-шарашки. Реагируя на письма трудящихся, 28.08.31 г. Серго Орджоникидзе направил Председателю Высшего Совета Народного Хозяйства Л. М. Кагановичу письмо следующего содержания: (АП РФ Ф. 3. Оп. 58. Д. 142). «До сих пор в ряде мест у местных органов ГПУ имеются свои проектные и конструкторские бюро (в Баку, Ростове, Ленинграде, Новосибирске, Москве, Урале, Харькове и т. д.), в которых работают арестованные инженеры. Я думаю, что в настоящее время такое использование инженеров нецелесообразно. Мы освободили значительное количество специалистов.), надо освободить и остальных, конечно, за исключением особо злостных и ликвидировать все существующие проектные и конструкторские бюро при ОГПУ, передав их промышленности» (18668).</w:t>
      </w:r>
    </w:p>
    <w:p w14:paraId="040DB01B" w14:textId="77777777" w:rsidR="00A77F55" w:rsidRPr="005E779E" w:rsidRDefault="00A77F55" w:rsidP="000B7A6C">
      <w:pPr>
        <w:spacing w:after="0" w:line="240" w:lineRule="auto"/>
        <w:jc w:val="both"/>
        <w:rPr>
          <w:rFonts w:ascii="Times New Roman" w:hAnsi="Times New Roman"/>
          <w:color w:val="000000" w:themeColor="text1"/>
          <w:sz w:val="16"/>
          <w:szCs w:val="16"/>
        </w:rPr>
      </w:pPr>
    </w:p>
    <w:p w14:paraId="1C29C0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10 августа 1931 г. постановлением Политбюро были изгнаны из ОГПУ 2-й зам. пред ОГПУ С.А. Мессинг, ПП ОГПУ по Московской области Л.Н. Бельский, начальник секретно-оперативного управления и член коллегии ОГПУ Е.Г. Евдокимов и Ольский, которым было предъявлено обвинение в том, что «эти товарищи... распространяли среди работников ОГПУ совершенно не соответствующие действительности разлагающие слухи о том, что дело о вредительстве в военном ведомстве является “дутым” делом» (имелось в виду не только дело «михайловцев», но и проведенная тогда же операция «Весна» </w:t>
      </w:r>
      <w:r w:rsidRPr="005E779E">
        <w:rPr>
          <w:rFonts w:ascii="Times New Roman" w:hAnsi="Times New Roman"/>
          <w:color w:val="000000" w:themeColor="text1"/>
          <w:sz w:val="16"/>
          <w:szCs w:val="16"/>
          <w:vertAlign w:val="superscript"/>
        </w:rPr>
        <w:t>6</w:t>
      </w:r>
      <w:r w:rsidRPr="005E779E">
        <w:rPr>
          <w:rFonts w:ascii="Times New Roman" w:hAnsi="Times New Roman"/>
          <w:color w:val="000000" w:themeColor="text1"/>
          <w:sz w:val="16"/>
          <w:szCs w:val="16"/>
        </w:rPr>
        <w:t>) и своими «разговорами и шушуканьями» расшатывали «железную дисциплину среди работников ОГПУ».(11329).</w:t>
      </w:r>
    </w:p>
    <w:p w14:paraId="08D6F6EF"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9CBDC9B" w14:textId="77777777" w:rsidR="00A77F55" w:rsidRPr="005E779E" w:rsidRDefault="00A77F5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августа 1931</w:t>
      </w:r>
    </w:p>
    <w:p w14:paraId="5CDAFF79" w14:textId="77777777" w:rsidR="00A77F55" w:rsidRPr="005E779E" w:rsidRDefault="00A77F5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Протокол № 55 заседания Политбюро ЦК ВКП(б) от 10 августа 1931 года</w:t>
      </w:r>
    </w:p>
    <w:p w14:paraId="5887A4A4" w14:textId="77777777" w:rsidR="00A77F55" w:rsidRPr="005E779E" w:rsidRDefault="00A77F5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Заседание Политбюро ЦК ВКП(б) от 10</w:t>
      </w:r>
      <w:r w:rsidRPr="005E779E">
        <w:rPr>
          <w:rFonts w:ascii="Times New Roman" w:hAnsi="Times New Roman"/>
          <w:color w:val="000000" w:themeColor="text1"/>
          <w:sz w:val="16"/>
          <w:szCs w:val="16"/>
        </w:rPr>
        <w:noBreakHyphen/>
        <w:t>го августа 1931 года.</w:t>
      </w:r>
    </w:p>
    <w:p w14:paraId="66C3FFB1" w14:textId="77777777" w:rsidR="00A77F55" w:rsidRPr="005E779E" w:rsidRDefault="00A77F5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 9/22: О результатах использования договоров техпомощи хозяйственным организациям</w:t>
      </w:r>
    </w:p>
    <w:p w14:paraId="08351A85" w14:textId="77777777" w:rsidR="00A77F55" w:rsidRPr="005E779E" w:rsidRDefault="00A77F5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(ПБ от 5.V.31 г., пр. № 36, п. 16, из прил. п. 14).</w:t>
      </w:r>
    </w:p>
    <w:p w14:paraId="78472566" w14:textId="77777777" w:rsidR="00A77F55" w:rsidRPr="005E779E" w:rsidRDefault="00A77F5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(Менжинский, Орджоникидзе, Розенгольц, Микоян, Рухимович, Андреев).</w:t>
      </w:r>
    </w:p>
    <w:p w14:paraId="5C72A606" w14:textId="77777777" w:rsidR="00A77F55" w:rsidRPr="005E779E" w:rsidRDefault="00A77F5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Утвердить предложения комиссии о пересмотре договоров по технической помощи и о порядке их заключения (</w:t>
      </w:r>
      <w:hyperlink r:id="rId167" w:history="1">
        <w:r w:rsidRPr="005E779E">
          <w:rPr>
            <w:rStyle w:val="a5"/>
            <w:rFonts w:ascii="Times New Roman" w:hAnsi="Times New Roman"/>
            <w:color w:val="000000" w:themeColor="text1"/>
            <w:sz w:val="16"/>
            <w:szCs w:val="16"/>
          </w:rPr>
          <w:t>см. приложение № 2</w:t>
        </w:r>
      </w:hyperlink>
      <w:r w:rsidRPr="005E779E">
        <w:rPr>
          <w:rFonts w:ascii="Times New Roman" w:hAnsi="Times New Roman"/>
          <w:color w:val="000000" w:themeColor="text1"/>
          <w:sz w:val="16"/>
          <w:szCs w:val="16"/>
        </w:rPr>
        <w:t>).</w:t>
      </w:r>
    </w:p>
    <w:p w14:paraId="35582AA4" w14:textId="77777777" w:rsidR="00A77F55" w:rsidRPr="005E779E" w:rsidRDefault="00A77F5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Окончательное редактирование проекта постановления поручить т.т. Кагановичу и Орджоникидзе.</w:t>
      </w:r>
    </w:p>
    <w:p w14:paraId="1268B617" w14:textId="77777777" w:rsidR="00A77F55" w:rsidRPr="005E779E" w:rsidRDefault="00A77F5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Приложение № 2</w:t>
      </w:r>
    </w:p>
    <w:p w14:paraId="561E4208" w14:textId="77777777" w:rsidR="00A77F55" w:rsidRPr="005E779E" w:rsidRDefault="00A77F5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к п. 9/22 пр. ПБ № 55.</w:t>
      </w:r>
    </w:p>
    <w:p w14:paraId="61D81727" w14:textId="77777777" w:rsidR="00A77F55" w:rsidRPr="005E779E" w:rsidRDefault="00A77F5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Окончательная редакция.</w:t>
      </w:r>
    </w:p>
    <w:p w14:paraId="39FD22BD" w14:textId="77777777" w:rsidR="00A77F55" w:rsidRPr="005E779E" w:rsidRDefault="00A77F5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Постановление ЦК ВКП(б) от 10.VIII.1931 г.</w:t>
      </w:r>
    </w:p>
    <w:p w14:paraId="3F2A71E5" w14:textId="77777777" w:rsidR="00A77F55" w:rsidRPr="005E779E" w:rsidRDefault="00A77F5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 пересмотре договоров по технической помощи и о порядке их заключения.</w:t>
      </w:r>
    </w:p>
    <w:p w14:paraId="5A6031BC" w14:textId="77777777" w:rsidR="00A77F55" w:rsidRPr="005E779E" w:rsidRDefault="00A77F5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ЦК констатирует, что несмотря на то, что за истекшие два месяца со стороны ВСНХ и хозяйственных объединений произошли некоторые сдвиги в части исполнения решения ПБ по вопросу технической помощи, привлекаемой из заграницы (приняты меры к расторжению и пересмотру невыгодных и дублирующих договоров, указаиных в постановлении ПБ от 5.V.31 г.; в ВСНХ и объединениях выделены лица, персонально отвечающие за правильное использование договоров на инотехпомощь; по некоторым объединениям осуществляется пункт решения ПБ о привлечении к участию по реализации договоров на инотехпомощь научно-исследовательских институтов и инженерно-технических сил).</w:t>
      </w:r>
    </w:p>
    <w:p w14:paraId="3760E771" w14:textId="77777777" w:rsidR="00A77F55" w:rsidRPr="005E779E" w:rsidRDefault="00A77F5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По большей чести уже заключенных договоров продолжают оставаться основные ненормальности, которые были отмечены в решениях ПБ от 5.V.1931 г.:</w:t>
      </w:r>
    </w:p>
    <w:p w14:paraId="1B9BB458" w14:textId="77777777" w:rsidR="00A77F55" w:rsidRPr="005E779E" w:rsidRDefault="00A77F5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существующие договора по целому ряду отраслей промышленности нарушаются, с одной стороны, по вине инофирм (“Форд-Мотор и Кº”, “РИВ”, “Крупп-Грузенберг”, “Бютаст” (Рейнметалл) и т. д.), причем со стороны ВСНХ и хозобъединений по этим нарушениям, как правило, настойчивых претензий не предъявляется; с другой стороны — продолжают хоз. объединения выносить целый ряд непродуманных изменений в заключенные договора, что по существу предоставляет право инофирмам, оказывающим техпомощь, извращать смысл заключенных договоров (фирма “Дац”, РИВ и др.).</w:t>
      </w:r>
    </w:p>
    <w:p w14:paraId="3F6242B9" w14:textId="77777777" w:rsidR="00A77F55" w:rsidRPr="005E779E" w:rsidRDefault="00A77F5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До сего времени продолжают действовать договора, заключенные несвоевременно и под которые совершенно не обеспечена производственная база, вследствие чего договора по существу не используются (договор с “Крупп-Грузенберг”, “Гумбольд” и др.).</w:t>
      </w:r>
    </w:p>
    <w:p w14:paraId="37A69A3C" w14:textId="77777777" w:rsidR="00A77F55" w:rsidRPr="005E779E" w:rsidRDefault="00A77F5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То же в отношении фирм, оказывающих техпомощь в части устаревших конструкций, по которым собственными силами достигнуты значительные нововведения против условий, заключенных на инотехпомощь (договор с “МАН”, “Петролифер”, “Борзиг” и др.).</w:t>
      </w:r>
    </w:p>
    <w:p w14:paraId="0D77C046" w14:textId="77777777" w:rsidR="00A77F55" w:rsidRPr="005E779E" w:rsidRDefault="00A77F5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По целому ряду договоров продолжают поступать чертежи, не соответствующие требованиям нашей промышленности, а зачастую совершенно устаревшие, присылаемые инофирмами из своих архивов (фирма “Гумбольд”).</w:t>
      </w:r>
    </w:p>
    <w:p w14:paraId="4617F40D" w14:textId="77777777" w:rsidR="00A77F55" w:rsidRPr="005E779E" w:rsidRDefault="00A77F5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 Недостаточно налажен контроль за присылаемым фирмами оборудованием по договорам, почему продолжает поступать дефектное оборудование, а иногда совершенно непригодное (“Форд”).</w:t>
      </w:r>
    </w:p>
    <w:p w14:paraId="1FFA8086" w14:textId="77777777" w:rsidR="00A77F55" w:rsidRPr="005E779E" w:rsidRDefault="00A77F5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 Значительно часты случаи,когда фирмы, в нарушение договорных обязательств, присылают свои чертежи не на кальках, что вызывает задержку во времени и в затрате излишних средств.</w:t>
      </w:r>
    </w:p>
    <w:p w14:paraId="68215A70" w14:textId="77777777" w:rsidR="00A77F55" w:rsidRPr="005E779E" w:rsidRDefault="00A77F5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ж) Отметить недопустимость действий хоз. объединений, когда выполненные фирмами по договорам проекты и чертежи продолжают оставаться в стенах этих объединений длительное время без всякого использования (фирма “Крупп-Грузенберг”, договор с инж. Бурель и др.).</w:t>
      </w:r>
    </w:p>
    <w:p w14:paraId="629758A5" w14:textId="77777777" w:rsidR="00A77F55" w:rsidRPr="005E779E" w:rsidRDefault="00A77F5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 Не выполнен пункт (за исключением Сталинградского тракторного завода) по договору с “Фордом” по поверке квалификации специалистов, привлеченных по договорам инотехпомощи.</w:t>
      </w:r>
    </w:p>
    <w:p w14:paraId="6330A99A" w14:textId="77777777" w:rsidR="00A77F55" w:rsidRPr="005E779E" w:rsidRDefault="00A77F5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 Как правило, в 1931 г. не выполнены наши права по договорам по посылке наших специалистов на заводы и предприятия фирм, с коими заключены договора.</w:t>
      </w:r>
    </w:p>
    <w:p w14:paraId="5CE755DB" w14:textId="77777777" w:rsidR="00A77F55" w:rsidRPr="005E779E" w:rsidRDefault="00A77F5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Несмотря на фактическое выделение лиц, отвечающих за выполнение договоров по инотехпомощи, в массе по хозяйственным объединениям это выделение носит еще формальный характер и систематический контроль отсутствует.</w:t>
      </w:r>
    </w:p>
    <w:p w14:paraId="31D59564" w14:textId="77777777" w:rsidR="00A77F55" w:rsidRPr="005E779E" w:rsidRDefault="00A77F5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Считая невыполненным постановление ПБ от 5.V.1931 г. п.п. 1, 3, 4, 5, 8, 9, 10, 11 и 13; предложить ВСНХ в месячный срок обеспечить выполнение решении ПБ от 5.V.1931 г.</w:t>
      </w:r>
    </w:p>
    <w:p w14:paraId="69D0E735" w14:textId="77777777" w:rsidR="00A77F55" w:rsidRPr="005E779E" w:rsidRDefault="00A77F5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(18117).</w:t>
      </w:r>
    </w:p>
    <w:p w14:paraId="0E42B9D8" w14:textId="77777777" w:rsidR="00A77F55" w:rsidRPr="005E779E" w:rsidRDefault="00A77F55" w:rsidP="000B7A6C">
      <w:pPr>
        <w:spacing w:after="0" w:line="240" w:lineRule="auto"/>
        <w:jc w:val="both"/>
        <w:rPr>
          <w:rFonts w:ascii="Times New Roman" w:hAnsi="Times New Roman"/>
          <w:color w:val="000000" w:themeColor="text1"/>
          <w:sz w:val="16"/>
          <w:szCs w:val="16"/>
        </w:rPr>
      </w:pPr>
    </w:p>
    <w:p w14:paraId="30E041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10 августа 1931 г. Правительством было принято решение о строительстве судостроительного завода на Дальнем Востоке. 9.04.1932г. утверждена площадка для строительства Амурской верфи в селе Пермском на левом берегу Амура возле Силинских озер (Завод № 199 НКОП, Завод № 199 им. Ленинского комсомола НКСП, Амурская верфь, Амурский судостроительный завод (АСЗ) НКТП, НКОП, Завод им. Ленинского комсомола, ОАО «АСЗ» /г. Комсомольск-на-Амуре п/я 199 «Доки» (1938г.)/ /681000 г. Комсомольск-на-Амуре Хабаровского кр. Аллея труда, 1 тел. 43-224/). К 08.1932г. был разработан комплексный проект завода. Строительство получило название «Дальпромстрой». </w:t>
      </w:r>
    </w:p>
    <w:p w14:paraId="264DEC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Днем основания завода считается 1.07.1932 г., 12.06.1933 г. заложен первый камень первого цеха завода. Начальником строительства был сначала Н. Г. Оксман, затем- И. Жданов. Строил трест Дальстрой, в 1936 г. для ускорения строительства сформирован военно-строительный корпус численностью 15.000 чел. В 07.1934 г. построена электростанция. Первая очередь завода вступила в строй 1.07.1936 г., но продолжал строиться вплоть до начала ВОВ. Впервые в мире на заводе реализовано проектное решение, предложенное инженером В.П. Костенко: из-за большого колебания паводкового уровня воды Амура (до 10 м) для постройки кораблей сооружены не традиционные наклонные стапели, а горизонтальные стапельные места в наливных доках, перекрытых отапливаемыми эллингами, в которых размещались козловые и мостовые краны. Наливной док имел глубоководную прорезь, по которой после спуска воды из дока судно выводилось в естественную акваторию. Строилось 9 доков в трех группах: малые доки в эллинге А (№ 3, 5), средние Б, большие В длиной 114...210 м с общим наливным бассейном. Группа В введена в строй в 1938 г., группа А - в 1940 г. Кроме того завод имел достроечную набережную, цеха: корпусной, сборочно-монтажный, котельный, механический, литейный, дизель-турбинный; плаз, склад стали. Проектная мощность завода- крейсер, 4 лидера эсминцев и 6 ПЛ в год. 25.05.1935 г. на стапеле № 1 был заложен первый корабль - ПЛ-заградитель Л-11 Х1-й серии. Приказом № 0023 от 3.02.1937 г. утверждены работы по капстроительству на 1937 г.: сдать в эксплуатацию группу корпусных цехов (кроме эллинга № 2 и малярно-такелажного цеха), группу гидро-технических сооружений (кроме дока № 2 и береговых устройств), турбо-дизельный и контрагентский цехи, литейный и кузнечно-прессовый цехи, 2-ю очередь ТЭЦ.</w:t>
      </w:r>
    </w:p>
    <w:p w14:paraId="166D34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 время строительства был организован строительный участок - филиал завода № 198. Для достройки в нем лидеров пр. 38бис, изготовление которых было начато в Николаеве, был организован цех № 2 («Доки»), а действовавшая временная верфь получила название цех № 1. Пр. № 444сс от 25.11.1938 г. заводу предписано построить достроечную базу завода в Совгавани.</w:t>
      </w:r>
    </w:p>
    <w:p w14:paraId="7678B0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 НКОП № Обсс от 30.12.1936 г. АСЗ переименован в завод № 199 (эта дата считается днем рождения завода), немного позже получил имя Ленинского комсомола. 22.04.1937 г. вышел пр. НКОП № 0088 о приемке АСЗ от НКТП в НКОП по состоянию на 1.03.1937 г.</w:t>
      </w:r>
      <w:r w:rsidRPr="005E779E">
        <w:rPr>
          <w:rFonts w:ascii="Times New Roman" w:hAnsi="Times New Roman"/>
          <w:color w:val="000000" w:themeColor="text1"/>
          <w:sz w:val="16"/>
          <w:szCs w:val="16"/>
          <w:vertAlign w:val="superscript"/>
        </w:rPr>
        <w:t>139</w:t>
      </w:r>
      <w:r w:rsidRPr="005E779E">
        <w:rPr>
          <w:rFonts w:ascii="Times New Roman" w:hAnsi="Times New Roman"/>
          <w:color w:val="000000" w:themeColor="text1"/>
          <w:sz w:val="16"/>
          <w:szCs w:val="16"/>
        </w:rPr>
        <w:t>, в 05.1937 г. - в ведении 2ГУ. Пр. № 14 от 16.01.1938 г. утвержден Устав завода. В 02.1939 г. передан из 2ГУ НКОП в ведение ЗГУ НКСП.</w:t>
      </w:r>
    </w:p>
    <w:p w14:paraId="0F213A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Приказом № 249сс от 17.07.1938 г. заводу предписано заложить два крейсера типа «Максим Горький».</w:t>
      </w:r>
    </w:p>
    <w:p w14:paraId="08CFD8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 № 335 от 1.09.1938 г. для производства работ по контрольно-измерительным приборам на заводе с 1.09.1938 г. организовано отделение Московской проектно-монтажной конторы треста «Теплоконтроль».</w:t>
      </w:r>
    </w:p>
    <w:p w14:paraId="28AA4B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годы ВОВ сюда эвакуирована часть заводов № 103, № 189, № 194 и № 638 НКСП.</w:t>
      </w:r>
    </w:p>
    <w:p w14:paraId="28206B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 ГКО № 2710 от 6.01.1943 г. крейсер «Калинин» пр. 26бис постройки завода передан в состав ВМФ.</w:t>
      </w:r>
    </w:p>
    <w:p w14:paraId="7EC56E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21.12.1943 г. вышло постановление ГКО № 4820 о мероприятиях по обеспечению строительства боевых кораблей на заводе.</w:t>
      </w:r>
    </w:p>
    <w:p w14:paraId="772024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войны продолжено строительство завода. В 1953 г. завершено строительство группы доков Б.</w:t>
      </w:r>
    </w:p>
    <w:p w14:paraId="2737CE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Специализация завода - производство ПЛ, в т.ч. атомных. Водоизмещение строившихся ПЛ было ограничено возможностями их последующей транспортировки по Амуру в плавучем доке. Для строительства ПЛ был реконструирован основной судостроительный комплекс: в каждом из доков были оборудованы стапельные линии, на которых по рельсам перемещались корпуса ПЛ, строившихся поточно-позиционным методом.</w:t>
      </w:r>
    </w:p>
    <w:p w14:paraId="2303C2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1960-61 г. начаты работы по созданию сдаточной базы завода в пос. Большой Камень недалеко от завода «Звезда» (вероято, далее это - завод «Восток»).</w:t>
      </w:r>
    </w:p>
    <w:p w14:paraId="6236EF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1993 г.- Амурский ССЗ. В 2001 г. вошел в ОАО «Концерн средне- и малотоннажного кораблестроения». В 2004 г.- ОАО «Амурский судостроительный завод». В соответствии с Указом Президента РФ № 394 от 21.03.2007 г. и распоряжением правительства от 06.2007 г. планировалось вхождение предприятия в один из 7 создаваемых в России судостроительных холдингов ОСК- ОАО «ДЦСС». К 1.12.2008 г. предприятие частично (20% акций) вошло в состав ДЦСС.</w:t>
      </w:r>
    </w:p>
    <w:p w14:paraId="709343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Выпускал также изделия судового и общего машиностроения, мостовые опоры, резервуары, насосы, плуги.</w:t>
      </w:r>
    </w:p>
    <w:p w14:paraId="5CA10E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2005 г. всего построено 396 судов: 194 военных (в т.ч. 41 дизельная и 56 АЛЛ), 202- гражданских.</w:t>
      </w:r>
      <w:r w:rsidRPr="005E779E">
        <w:rPr>
          <w:rFonts w:ascii="Times New Roman" w:hAnsi="Times New Roman"/>
          <w:color w:val="000000" w:themeColor="text1"/>
          <w:sz w:val="16"/>
          <w:szCs w:val="16"/>
          <w:vertAlign w:val="superscript"/>
        </w:rPr>
        <w:t>101</w:t>
      </w:r>
    </w:p>
    <w:p w14:paraId="29B12C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Имел филиал (2004-08 г.)- завод «Восток» ( г. Большой Камень).</w:t>
      </w:r>
    </w:p>
    <w:p w14:paraId="0CFF4A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Численность персонала (1937 г.)- 3664 чел., (1.01.1946 г.)- 7800 чел.</w:t>
      </w:r>
    </w:p>
    <w:p w14:paraId="38D4D1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(1936-3.08.1937 г.)- И.М. Жданов (репрессирован), (3.08.1937-41 г.-)- А.Л. Токарев.</w:t>
      </w:r>
      <w:r w:rsidRPr="005E779E">
        <w:rPr>
          <w:rFonts w:ascii="Times New Roman" w:hAnsi="Times New Roman"/>
          <w:color w:val="000000" w:themeColor="text1"/>
          <w:sz w:val="16"/>
          <w:szCs w:val="16"/>
          <w:vertAlign w:val="superscript"/>
        </w:rPr>
        <w:t>61</w:t>
      </w:r>
      <w:r w:rsidRPr="005E779E">
        <w:rPr>
          <w:rFonts w:ascii="Times New Roman" w:hAnsi="Times New Roman"/>
          <w:color w:val="000000" w:themeColor="text1"/>
          <w:sz w:val="16"/>
          <w:szCs w:val="16"/>
        </w:rPr>
        <w:t xml:space="preserve"> Гендиректор (1990-е-06.2005; 12.02.2009 г.-)- Н. Повзык, (06.2005-12.02.2009 г.)- А.И. Адаменя.</w:t>
      </w:r>
    </w:p>
    <w:p w14:paraId="5777695B" w14:textId="0F8CFA4A"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 строительства (1932 г.-)- Н. Г. Оксман. Зам. директора (29.03.1936 г.-)- П. Г. Гойнкис. Зам. гендиректора: по производству (2008 г.)-</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Васильев; (-06.2005 г.)- А.И. Адаменя.</w:t>
      </w:r>
    </w:p>
    <w:p w14:paraId="1B11BA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инженер (29.03.1936-9.05.1938 г.-)- П. Г. Гойнкис; и.о. (-1938 г.)- З. Г. Сгибнев; В.Ф. Ивочкин, (2008 г.)- А. Меринов.</w:t>
      </w:r>
    </w:p>
    <w:p w14:paraId="12201C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Начальники цехов: № 2 (13.12.1935 г.-)- К.Ф. Терлецкий.</w:t>
      </w:r>
    </w:p>
    <w:p w14:paraId="74EB7D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начальника цеха: № 19 (2008 г.)- В. Стародубов.</w:t>
      </w:r>
    </w:p>
    <w:p w14:paraId="092896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 УКС (02.1937 г.)- Я.П. Варенцов.</w:t>
      </w:r>
    </w:p>
    <w:p w14:paraId="752D99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Начальники отделов: ППО (02.1938 г.)- З. Г. Сгибнев.</w:t>
      </w:r>
    </w:p>
    <w:p w14:paraId="71546C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Гл. строители: (1938-42 г.-)- А.З. Голданд (пр. 26бис). Строители кораблей: (12.1935 г.-)- К.Ф. Терлецкий (пр. 38бис), (1930-е)- В.Ф. Ивочкин (пр. 38бис).</w:t>
      </w:r>
    </w:p>
    <w:p w14:paraId="4ED7E9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Уполномоченный завода во Владивостоке (1.09.1938 г.-)- З. Г. Сгибнев.</w:t>
      </w:r>
    </w:p>
    <w:p w14:paraId="4C350A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Производство: ПЛ. сборка лодок завода им. Марта Л-11 (зак. 284, 05.1935-38), Л-12 (зак. 286, 05.1935-38); типа «Щ» (1936-37)- 2; пр. 613 (1954-57)- 11; пр. 629 (1959-62)- 22 (вместе с заводом 402), (1960-е, сборка в Китае)- 2; пр. 877 «Варшавянка» («Палтус») Б-248 (-1980), (1980-2000)- 15; пр. 971; спасательная пр. 940 «Ленок» (БС-257, 1978; БС-486, 1979)- 2; АПЛ: с КР П-5 пр. 659 (12.1958-06.1961), (1961-63)- 4; стратегические ракетоносцы: с Д-5 пр. 667А (1967-74)- 10, 667АУ, 667Б (1972-77)- 8; многоцелевая пр. 671РТМ (1977-92&gt; 26 (вместе с ЛАО); пр. 675 с КР П-6 (1963-68)- 22; мишень пр. 690 (1967-69)- 4; спасательная пр. 940 (1976-79)- 2; пр. 971 «Щука-Б» головная К-284 «Акула» (1983-91)- 7, К-152 «Нерпа» достроена по пр. 971И (зак. 518, 1993- 06.2006), еще 1 заложена в 1980-х, на 2006 г. не достроена; «Дракон» («Самара», 1994); эсминцы: пр. 7 «Решительный» (-10.1937), «Ретивый», «Расторопный», «Передовой» («Разъяренный», «Развитой»), «Поспешный» («Решительный»), «Проворный» («Ревностный») (1941), «Пылкий» («Редкий») (1942), всего (-1944)- 7; пр. 30 «Внушительный», «Выносливый», «Властный» (1940-), «Ведущий», «Внезапный» (09.1941-), пр. 30К (1947-48)- 3, пр. ЗОбис (1949-52)- 18; пр. 56 (1955-57)- 7, 56М «Неудержимый» (-12.1958); пр. 57бис «Гордый» (1959-61); крейсеры: легкие пр. 26бис «Калинин» (06.1938-05.1942), «Лазарь Каганович» (08.1938- 05.1944); сторожевики: пр. 29к «Альбатрос» (12.1939-45), «Буревестник» (1947); пр. 50 (1954)- 7; лидеры: пр. 38бис «Киев» (№ 267, «Орджоникидзе», «Баку») (03.1936-07.1938), «Тифлис» (№ 268, «Тбилиси») (08.1936- 09.1939); большой охотник пр. 122а «Связист» (1945); корвет пр. 20380 «Совершенный» (07.2006-); железнодорожные паромы пр. 723 «Волга», «Дон» (1944-45), «Амур», «Комсомольск» (1951); несамоходный артиллерийский щит пр. 436 (1949-52); транспортно-ледокольное судно- 10; сухогруз ледового плавания пр. 550 «Амгуема» (1962-)- 13 (вместе с заводом 873); плавбаза для перезарядки реакторов АПЛ пр. 326 (1960-66)- 4; плавучие доки: транспортные пр. 764 (1956-58)- 7 (вместе с заводом 189), пр. 769, пр. 769А (1958-64)- всего 4, пр. 1757, пр. 17571 (1970-е), док-эллинг пр. 1780 (1970-е); транспортно-буксирное судно </w:t>
      </w:r>
      <w:r w:rsidRPr="005E779E">
        <w:rPr>
          <w:rFonts w:ascii="Times New Roman" w:hAnsi="Times New Roman"/>
          <w:color w:val="000000" w:themeColor="text1"/>
          <w:sz w:val="16"/>
          <w:szCs w:val="16"/>
          <w:lang w:val="en-US"/>
        </w:rPr>
        <w:t>UT</w:t>
      </w:r>
      <w:r w:rsidRPr="005E779E">
        <w:rPr>
          <w:rFonts w:ascii="Times New Roman" w:hAnsi="Times New Roman"/>
          <w:color w:val="000000" w:themeColor="text1"/>
          <w:sz w:val="16"/>
          <w:szCs w:val="16"/>
        </w:rPr>
        <w:t>-722 для Вьетнама (2000- е); танкер-химовоз для Германии (2000-е)- 4; единственное в мире судно сейсморазведки пр. 3383 «Сагар Самикша» для Индии (2006); буксир-кантовщик пр. 01710 «Вагис» (-06.2006); судно по переработке жидких радиоактивных отходов «Ландыш» (-1998); артиллерийские снаряды (ВОВ)- 161.500, авиабомбы ФАБ-250 (ВОВ)- 5120, ФАБ-100 (ВОВ)- 40895, головки авиабомб, минометные плиты (ВОВ)- 6049; энергетический модуль для морской платформы «Моликпак» (2000- е);</w:t>
      </w:r>
    </w:p>
    <w:p w14:paraId="29D430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капремонт: ПЛ: типа «Щ» (-1944)- 9, типа «М» (-1944)- 4</w:t>
      </w:r>
      <w:r w:rsidRPr="005E779E">
        <w:rPr>
          <w:rFonts w:ascii="Times New Roman" w:hAnsi="Times New Roman"/>
          <w:color w:val="000000" w:themeColor="text1"/>
          <w:sz w:val="16"/>
          <w:szCs w:val="16"/>
          <w:vertAlign w:val="superscript"/>
        </w:rPr>
        <w:t>90</w:t>
      </w:r>
      <w:r w:rsidRPr="005E779E">
        <w:rPr>
          <w:rFonts w:ascii="Times New Roman" w:hAnsi="Times New Roman"/>
          <w:color w:val="000000" w:themeColor="text1"/>
          <w:sz w:val="16"/>
          <w:szCs w:val="16"/>
        </w:rPr>
        <w:t>; мониторов (ВОВ)- 3; тральщиков (ВОВ)- 24; переоборудование ПЛ пр. 659 в пр. 659Т (1968-74)- 5 (вместе с заводом 892); модернизация: плавучих технических баз перезарядки реакторов ЯЭУ пр. 326 по пр. 326М (1970-е); 2 дизельных ПЛ (2006), 1 АПЛ (2006); буровой платформы «Моликпак», «Орлан» для США (2000-е).</w:t>
      </w:r>
    </w:p>
    <w:p w14:paraId="4C4AC6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«Восток», ОАО «Завод судового оборудования «Восток»</w:t>
      </w:r>
    </w:p>
    <w:p w14:paraId="6BA6A91A" w14:textId="4AFA6739"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/692804</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Большой Камень Приморского кр. ул. Колхозная, 1Б/</w:t>
      </w:r>
    </w:p>
    <w:p w14:paraId="73B233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1960-61 г. начаты работы по созданию сдаточной базы завода № 199 в пос. Большой Камень недалеко от завода «Звезда» (далее это - завод «Восток»).</w:t>
      </w:r>
    </w:p>
    <w:p w14:paraId="16713B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Филиал АСЗ, достроечная база (2004-08 г.).</w:t>
      </w:r>
    </w:p>
    <w:p w14:paraId="111330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Переоборудование АПЛ К-55, К-178 пр. 658 в пр. 658Т (торпедная) (1970-е).</w:t>
      </w:r>
    </w:p>
    <w:p w14:paraId="28452C27" w14:textId="34F1D932"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(-2008-09 г.-)-</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Вагин.</w:t>
      </w:r>
    </w:p>
    <w:p w14:paraId="00BBA6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Начальники цехов: сдаточно-монтажного (1975 г.-)- Л. Г. Мещеряков (11982).</w:t>
      </w:r>
    </w:p>
    <w:p w14:paraId="39F5A1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F311D2A" w14:textId="77777777" w:rsidR="00024EF9" w:rsidRPr="005E779E" w:rsidRDefault="00024EF9"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10 августа 1931 </w:t>
      </w:r>
      <w:r w:rsidRPr="005E779E">
        <w:rPr>
          <w:rFonts w:ascii="Times New Roman" w:hAnsi="Times New Roman"/>
          <w:color w:val="000000" w:themeColor="text1"/>
          <w:sz w:val="16"/>
          <w:szCs w:val="16"/>
        </w:rPr>
        <w:t>Политбюро ЦК ВКП (б) приняло постановление о пересмотре договоров о техническом содействии и порядке их заключения (12265).</w:t>
      </w:r>
    </w:p>
    <w:p w14:paraId="3A38893C" w14:textId="77777777" w:rsidR="00024EF9" w:rsidRPr="005E779E" w:rsidRDefault="00024EF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57B5025B" w14:textId="77777777" w:rsidR="00623D4C" w:rsidRPr="005E779E" w:rsidRDefault="00623D4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10 августа 1931 г. за рекордно короткий срок в 100 рабочих дней несмотря на высокую сложность технических задач, рабочий проект паровоза 1-5-1 был завершен. В августе рабочие чертежи паровоза типа 1-5-1 были переданы на Луганский паровозостроительный завод, и первый паровоз был построен всего за 70 дней.</w:t>
      </w:r>
    </w:p>
    <w:p w14:paraId="56283ACB" w14:textId="77777777" w:rsidR="00623D4C" w:rsidRPr="005E779E" w:rsidRDefault="00623D4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октября был поставлен вопрос об имени для нового паровоза. И тогда ударная бригада «золотниковых тяг и маятников» во главе с Шугаевым предложила:</w:t>
      </w:r>
    </w:p>
    <w:p w14:paraId="60646080" w14:textId="77777777" w:rsidR="00623D4C" w:rsidRPr="005E779E" w:rsidRDefault="00623D4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честь одного из лучших наркомов путей сообщения, организатора борьбы за обновление и реконструкцию социалистического транспорта, чекиста, непримиримого борца с контрреволюцией, саботажем и вредительством, верного часового пролетарской страны, железного Феликса Дзержинского, назвать его именем паровоз типа 1-5-1, присвоив ему серию «ФД».</w:t>
      </w:r>
    </w:p>
    <w:p w14:paraId="05D6F7C7" w14:textId="77777777" w:rsidR="00623D4C" w:rsidRPr="005E779E" w:rsidRDefault="00623D4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 октября 1931 года новый паровоз ФД был представлен общественности.</w:t>
      </w:r>
    </w:p>
    <w:p w14:paraId="22EC48A3" w14:textId="77777777" w:rsidR="00623D4C" w:rsidRPr="005E779E" w:rsidRDefault="00623D4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ноября 1931 года состав, ведомый ФД20-1, выехал с рабочей делегацией Луганского паровозостроительного завода и прибыл в Москву 6 ноября, в канун празднования революции.</w:t>
      </w:r>
    </w:p>
    <w:p w14:paraId="5DAB69A8" w14:textId="77777777" w:rsidR="00623D4C" w:rsidRPr="005E779E" w:rsidRDefault="00623D4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Проектирование и постройка первого паровоза серии заняли рекордно короткий срок — 170 дней, и это при том, что на нём было применено множество нововведений, которые кардинально изменили советскую школу паровозостроения. Являлся одним из мощнейших советских серийных паровозов и имел среди них самую высокую силу тяги.</w:t>
      </w:r>
    </w:p>
    <w:p w14:paraId="14014712" w14:textId="77777777" w:rsidR="00623D4C" w:rsidRPr="005E779E" w:rsidRDefault="00623D4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тендере второго опытного паровоза была надпись: «Техника в период реконструкции решает всё». И. Сталин.</w:t>
      </w:r>
    </w:p>
    <w:p w14:paraId="10104CBE" w14:textId="77777777" w:rsidR="00623D4C" w:rsidRPr="005E779E" w:rsidRDefault="00623D4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Служебный вес паровоза: 134,4 т</w:t>
      </w:r>
    </w:p>
    <w:p w14:paraId="5C5CC846" w14:textId="77777777" w:rsidR="00623D4C" w:rsidRPr="005E779E" w:rsidRDefault="00623D4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Мощность: до 3100 л. с.</w:t>
      </w:r>
    </w:p>
    <w:p w14:paraId="6E7C088F" w14:textId="77777777" w:rsidR="00623D4C" w:rsidRPr="005E779E" w:rsidRDefault="00623D4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Конструкционная скорость: 85 км/ч</w:t>
      </w:r>
    </w:p>
    <w:p w14:paraId="27613BB4" w14:textId="7B040344" w:rsidR="00623D4C" w:rsidRPr="005E779E" w:rsidRDefault="00623D4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октября 1931 г. был построен первый паровоз типа 1-5-1. 6 ноября 1931 г., к XIV годовщине Великой Октябрьской социалистической революции, паровоз ФД20-1, самый мощный и сильный серийный грузовой паровоз в истории СССР, привез поезд с рабочей делегацией завода из Луганска в Москву</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(21166).</w:t>
      </w:r>
    </w:p>
    <w:p w14:paraId="583C35A4" w14:textId="77777777" w:rsidR="00623D4C" w:rsidRPr="005E779E" w:rsidRDefault="00623D4C" w:rsidP="000B7A6C">
      <w:pPr>
        <w:spacing w:after="0" w:line="240" w:lineRule="auto"/>
        <w:jc w:val="both"/>
        <w:rPr>
          <w:rFonts w:ascii="Times New Roman" w:hAnsi="Times New Roman"/>
          <w:color w:val="000000" w:themeColor="text1"/>
          <w:sz w:val="16"/>
          <w:szCs w:val="16"/>
        </w:rPr>
      </w:pPr>
    </w:p>
    <w:p w14:paraId="25F58662" w14:textId="77777777" w:rsidR="008C31FB"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5731314C" w14:textId="77777777" w:rsidR="008C31FB" w:rsidRPr="005E779E" w:rsidRDefault="008C31FB"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53D0655" w14:textId="77777777" w:rsidR="008C31FB" w:rsidRPr="005E779E" w:rsidRDefault="008C31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августа в 1931 году Институт экономики Комакадемии объединён с экономическим институтом красной профессуры (директор экономического института Комакадемии в 1932—1936 Квиринг). В 1930 году в Москве основан Институт экономики Академии Наук СССР; теперь Институт Экономики Российской Академии Наук. Институт Экономики Российской Академии наук — научно-исследовательское учреждение (Москва). Был создан на базе экономической и кооперативной секций и присоединенного к ней Института экономики Российской ассоциации научно-исследовательских институтов общественных наук (РАНИОН) в Коммунистической академии. Награжден орденом Трудового Красного Знамени (1980). С 1922 года в Социалистической академии действовал кабинет экономики, предшественник Института экономики Комакадемии. 8 июля 1930 г. Институт экономики Комакадемии объединён с Институтом экономики РАНИОН. 15 февраля 1936 г. реорганизация Экономического и Аграрного институтов Комакадемии в единый Институт экономики с включением его в систему Академии Наук СССР. В 1941—1943 гг. институт находился в эвакуации в Алма-Ате. 4 октября 1947 г. Институт мирового хозяйства и мировой политики и Институт экономики были объединены в единый Институт экономики в системе Академии Наук СССР. В структуру института входят: Центр политико-экономических исследований; Центр инвестиций и инноваций; Центр макроэкономической стратегии; Центр исследований рынка труда и социальных процессов; Центр социально-экономических проблем федерализма; Центр институциональных и микроэкономических исследований; Центр финансово-банковских исследований; Центр информации. В 2005 г. было осуществлено объединение Института экономики и Института международных экономических и политических исследований (ИМЭПИ РАН, бывший Институт экономики мировой социалистической системы Академии наук СССР) — последний вошел в структуру Института экономики в качестве филиала под названием Отделение международных экономических и политических исследований (ОМЭПИ). В структуру отделения входит Центр внешнеэкономических исследований. Институт осуществляет подготовку аспирантов по специальностям: 08.00.01 — экономическая теория;08.00.05 — экономика и управление народным хозяйством; 08.00.10 — финансы, денежное обращение и кредит; 08.00.14 — мировая экономика и др. Институт является одним из учредителей журнала «Вопросы экономики» (14979).</w:t>
      </w:r>
    </w:p>
    <w:p w14:paraId="6128968F" w14:textId="77777777" w:rsidR="008C31FB" w:rsidRPr="005E779E" w:rsidRDefault="008C31FB" w:rsidP="000B7A6C">
      <w:pPr>
        <w:spacing w:after="0" w:line="240" w:lineRule="auto"/>
        <w:jc w:val="both"/>
        <w:rPr>
          <w:rFonts w:ascii="Times New Roman" w:hAnsi="Times New Roman"/>
          <w:color w:val="000000" w:themeColor="text1"/>
          <w:sz w:val="16"/>
          <w:szCs w:val="16"/>
        </w:rPr>
      </w:pPr>
    </w:p>
    <w:p w14:paraId="6D24E82E"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Внешняя политика:</w:t>
      </w:r>
    </w:p>
    <w:p w14:paraId="3BEC0CB2"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9AFD6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августа 1931 г. когда Бриан и советский полпред В. С. Довгалевский парафировали текст пакта, французы выдвинули условием подписания пакта заключение СССР аналогичного пакта с Польшей. Спустя два месяца, 14 октября 1931 г. Литвинов предложил польскому поверенному в Москве подписать советско-польский пакт о ненападении. 25 июля 1932 г. он был подписан, а 29 ноября 1932 г. состоялось подписание и советско-французского пакта о ненападении. При этом Париж пытался представить дело таким образом, что переговоры о пакте были начаты по инициативе Москвы, и Париж пошел на них лишь после того, как поверил, что аналогичные переговоры ведутся также между Москвой и Варшавой. За всеми этими французскими шагами стоял замысел рассорить Германию с СССР и в конечном счете перетянуть Берлин на свою сторону, продемонстрировав ему сначала ненадежность Москвы как стратегического союзника. Ведь, действительно, получалось, что СССР заключил пакты с двумя злейшими противниками Германии, против которых в Берлине были обращены взоры практически всех политических партий страны, жившей идеей пересмотра границ. Однако Москва, сыграв «парижскую партию», сумела доказать Берлину тщетность всех усилий французов. И не случайно тогдашний канцлер Германии Брюнинг в своих мемуарах по этому поводу писал: «С весны 1931 года французы то и дело безрезультатно пытались отколоть от нас Россию» (Heinrich Bruning. Memoiren. Stuttgart, 1970. S. 616.). Симптоматичны в этой связи следующие слова Брюнинга: «Мы отпустим мизинец России, за который держимся сейчас, только тогда, когда будем твердо держать в своих руках руку Франции». Но этой-то «руки Франции» как раз и не было. Не случайно Брюнинг, сожалея впоследствии о начавшихся портиться тогда советско-германских отношениях, отметил: «Основа для полного отхода от России была заложена без какой-</w:t>
      </w:r>
      <w:r w:rsidRPr="005E779E">
        <w:rPr>
          <w:rFonts w:ascii="Times New Roman" w:hAnsi="Times New Roman"/>
          <w:color w:val="000000" w:themeColor="text1"/>
          <w:sz w:val="16"/>
          <w:szCs w:val="16"/>
        </w:rPr>
        <w:lastRenderedPageBreak/>
        <w:t>либо выгоды для нас взамен» (Ахтамзян А. А. Указ, соч, с. 277—278.). Таким образом, Парижу таки удалось добиться одной из своих целей — между Москвой и Берлином пролегла тень недоверия, а германская пресса истолковала переговоры СССР с Францией и Польшей и последующее заключение соответствующих пактов о ненападении как «взрыв» Рапалло. Москва свою «податливость» Франции объясняла реализацией политики безопасности, выражавшейся в заключении ряда двусторонних пактов о ненападении со своими соседями Турцией, Ираном, Афганистаном, той же Германией (11784).</w:t>
      </w:r>
    </w:p>
    <w:p w14:paraId="19BF95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5D69EDF" w14:textId="77777777" w:rsidR="00A77F55" w:rsidRPr="005E779E" w:rsidRDefault="00A77F5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августа 1931 г. когда Бриан и советский полпред В. С. Довгалевский парафировали текст пакта, французы выдвинули условием подписания пакта заключение СССР аналогичного пакта с Польшей. Спустя два месяца, 14 октября 1931 г. Литвинов предложил польскому поверенному в Москве подписать советско-польский пакт о ненападении. 25 июля 1932 г. он был подписан, а 29 ноября 1932 г. состоялось подписание и советско-французского пакта о ненападении. При этом Париж пытался представить дело таким образом, что переговоры о пакте были начаты по инициативе Москвы, и Париж пошел на них лишь после того, как поверил, что аналогичные переговоры ведутся также между Москвой и Варшавой. За всеми этими французскими шагами стоял замысел рассорить Германию с СССР и в конечном счете перетянуть Берлин на свою сторону, продемонстрировав ему сначала ненадежность Москвы как стратегического союзника. Ведь, действительно, получалось, что СССР заключил пакты с двумя злейшими противниками Германии, против которых в Берлине были обращены взоры практически всех политических партий страны, жившей идеей пересмотра границ.</w:t>
      </w:r>
    </w:p>
    <w:p w14:paraId="7599AF45" w14:textId="77777777" w:rsidR="00A77F55" w:rsidRPr="005E779E" w:rsidRDefault="00A77F5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Однако Москва, сыграв «парижскую партию», сумела доказать Берлину тщетность всех усилий французов (18265).</w:t>
      </w:r>
    </w:p>
    <w:p w14:paraId="23E5D73D" w14:textId="77777777" w:rsidR="00A77F55" w:rsidRPr="005E779E" w:rsidRDefault="00A77F55" w:rsidP="000B7A6C">
      <w:pPr>
        <w:spacing w:after="0" w:line="240" w:lineRule="auto"/>
        <w:jc w:val="both"/>
        <w:rPr>
          <w:rFonts w:ascii="Times New Roman" w:hAnsi="Times New Roman"/>
          <w:color w:val="000000" w:themeColor="text1"/>
          <w:sz w:val="16"/>
          <w:szCs w:val="16"/>
        </w:rPr>
      </w:pPr>
    </w:p>
    <w:p w14:paraId="6700871B" w14:textId="77777777" w:rsidR="00CE289C" w:rsidRPr="005E779E" w:rsidRDefault="00CE289C"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10 августа 1931 г. был парафирован договор о ненападении между СССР и Францией (Подробный анализ см.: Wo</w:t>
      </w:r>
      <w:r w:rsidRPr="005E779E">
        <w:rPr>
          <w:rFonts w:ascii="Times New Roman" w:eastAsia="Times New Roman" w:hAnsi="Times New Roman"/>
          <w:color w:val="000000" w:themeColor="text1"/>
          <w:sz w:val="16"/>
          <w:szCs w:val="16"/>
          <w:lang w:val="en-US" w:eastAsia="ru-RU"/>
        </w:rPr>
        <w:t>l</w:t>
      </w:r>
      <w:r w:rsidRPr="005E779E">
        <w:rPr>
          <w:rFonts w:ascii="Times New Roman" w:eastAsia="Times New Roman" w:hAnsi="Times New Roman"/>
          <w:color w:val="000000" w:themeColor="text1"/>
          <w:sz w:val="16"/>
          <w:szCs w:val="16"/>
          <w:lang w:eastAsia="ru-RU"/>
        </w:rPr>
        <w:t xml:space="preserve">os М. Francja - ZSSR- Stosunki polityczne w latach 1924-1932. Torun, 2004. S. 474-523) (22725). </w:t>
      </w:r>
    </w:p>
    <w:p w14:paraId="1A4BF42C" w14:textId="77777777" w:rsidR="00CE289C" w:rsidRPr="005E779E" w:rsidRDefault="00CE289C" w:rsidP="000B7A6C">
      <w:pPr>
        <w:spacing w:after="0" w:line="240" w:lineRule="auto"/>
        <w:jc w:val="both"/>
        <w:rPr>
          <w:rFonts w:ascii="Times New Roman" w:eastAsia="Times New Roman" w:hAnsi="Times New Roman"/>
          <w:color w:val="000000" w:themeColor="text1"/>
          <w:sz w:val="16"/>
          <w:szCs w:val="16"/>
          <w:lang w:eastAsia="ru-RU"/>
        </w:rPr>
      </w:pPr>
    </w:p>
    <w:p w14:paraId="437F0BA9"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7BEF3DB0"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41E8D5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августа 1931 г. первый в мире самолёт подобной схемы - моно</w:t>
      </w:r>
      <w:r w:rsidRPr="005E779E">
        <w:rPr>
          <w:rFonts w:ascii="Times New Roman" w:hAnsi="Times New Roman"/>
          <w:color w:val="000000" w:themeColor="text1"/>
          <w:sz w:val="16"/>
          <w:szCs w:val="16"/>
        </w:rPr>
        <w:softHyphen/>
        <w:t>план Мак. 10 с двигателем 1оггате Ю.12Ь — поднялся в воздух. В 1921 г. Махонин вместе с се</w:t>
      </w:r>
      <w:r w:rsidRPr="005E779E">
        <w:rPr>
          <w:rFonts w:ascii="Times New Roman" w:hAnsi="Times New Roman"/>
          <w:color w:val="000000" w:themeColor="text1"/>
          <w:sz w:val="16"/>
          <w:szCs w:val="16"/>
        </w:rPr>
        <w:softHyphen/>
        <w:t>мьёй эмигрировал во Францию и сумел создать успешную авиастро</w:t>
      </w:r>
      <w:r w:rsidRPr="005E779E">
        <w:rPr>
          <w:rFonts w:ascii="Times New Roman" w:hAnsi="Times New Roman"/>
          <w:color w:val="000000" w:themeColor="text1"/>
          <w:sz w:val="16"/>
          <w:szCs w:val="16"/>
        </w:rPr>
        <w:softHyphen/>
        <w:t>ительную фирму. Завод Махонина серийно выпускал бесхвостые пла</w:t>
      </w:r>
      <w:r w:rsidRPr="005E779E">
        <w:rPr>
          <w:rFonts w:ascii="Times New Roman" w:hAnsi="Times New Roman"/>
          <w:color w:val="000000" w:themeColor="text1"/>
          <w:sz w:val="16"/>
          <w:szCs w:val="16"/>
        </w:rPr>
        <w:softHyphen/>
        <w:t>неры Фовеля (Раиуе!). Сам же вла</w:t>
      </w:r>
      <w:r w:rsidRPr="005E779E">
        <w:rPr>
          <w:rFonts w:ascii="Times New Roman" w:hAnsi="Times New Roman"/>
          <w:color w:val="000000" w:themeColor="text1"/>
          <w:sz w:val="16"/>
          <w:szCs w:val="16"/>
        </w:rPr>
        <w:softHyphen/>
        <w:t>делец в 1929 г. получил патент на самолёт с раздвижным крылом. Если Бакшаев надвигал на кры</w:t>
      </w:r>
      <w:r w:rsidRPr="005E779E">
        <w:rPr>
          <w:rFonts w:ascii="Times New Roman" w:hAnsi="Times New Roman"/>
          <w:color w:val="000000" w:themeColor="text1"/>
          <w:sz w:val="16"/>
          <w:szCs w:val="16"/>
        </w:rPr>
        <w:softHyphen/>
        <w:t>ло дополнительные секции от бор</w:t>
      </w:r>
      <w:r w:rsidRPr="005E779E">
        <w:rPr>
          <w:rFonts w:ascii="Times New Roman" w:hAnsi="Times New Roman"/>
          <w:color w:val="000000" w:themeColor="text1"/>
          <w:sz w:val="16"/>
          <w:szCs w:val="16"/>
        </w:rPr>
        <w:softHyphen/>
        <w:t>тов фюзеляжа, то у Махонина уд</w:t>
      </w:r>
      <w:r w:rsidRPr="005E779E">
        <w:rPr>
          <w:rFonts w:ascii="Times New Roman" w:hAnsi="Times New Roman"/>
          <w:color w:val="000000" w:themeColor="text1"/>
          <w:sz w:val="16"/>
          <w:szCs w:val="16"/>
        </w:rPr>
        <w:softHyphen/>
        <w:t>линённые консоли выдвигались из законцовок крыла. В результате росла не только площадь, но и уд</w:t>
      </w:r>
      <w:r w:rsidRPr="005E779E">
        <w:rPr>
          <w:rFonts w:ascii="Times New Roman" w:hAnsi="Times New Roman"/>
          <w:color w:val="000000" w:themeColor="text1"/>
          <w:sz w:val="16"/>
          <w:szCs w:val="16"/>
        </w:rPr>
        <w:softHyphen/>
        <w:t>линение крыла (что сказывалось на уменьшении индуктивного сопро</w:t>
      </w:r>
      <w:r w:rsidRPr="005E779E">
        <w:rPr>
          <w:rFonts w:ascii="Times New Roman" w:hAnsi="Times New Roman"/>
          <w:color w:val="000000" w:themeColor="text1"/>
          <w:sz w:val="16"/>
          <w:szCs w:val="16"/>
        </w:rPr>
        <w:softHyphen/>
        <w:t>тивления). В 1935 г. появился еще один «раздвижной» самолёт Мак.101 с мощным мотором Споте-КЬопе К14 и убирающимися шасси - явная заявка на прототип истребителя. Но, как и Бакшаев, заинтересо</w:t>
      </w:r>
      <w:r w:rsidRPr="005E779E">
        <w:rPr>
          <w:rFonts w:ascii="Times New Roman" w:hAnsi="Times New Roman"/>
          <w:color w:val="000000" w:themeColor="text1"/>
          <w:sz w:val="16"/>
          <w:szCs w:val="16"/>
        </w:rPr>
        <w:softHyphen/>
        <w:t>вать в те годы своими идеями пра</w:t>
      </w:r>
      <w:r w:rsidRPr="005E779E">
        <w:rPr>
          <w:rFonts w:ascii="Times New Roman" w:hAnsi="Times New Roman"/>
          <w:color w:val="000000" w:themeColor="text1"/>
          <w:sz w:val="16"/>
          <w:szCs w:val="16"/>
        </w:rPr>
        <w:softHyphen/>
        <w:t>вительство или военных Махонин не смог. И хотя в 1947 г. он постро</w:t>
      </w:r>
      <w:r w:rsidRPr="005E779E">
        <w:rPr>
          <w:rFonts w:ascii="Times New Roman" w:hAnsi="Times New Roman"/>
          <w:color w:val="000000" w:themeColor="text1"/>
          <w:sz w:val="16"/>
          <w:szCs w:val="16"/>
        </w:rPr>
        <w:softHyphen/>
        <w:t>ил ещё один самолет подобной схе</w:t>
      </w:r>
      <w:r w:rsidRPr="005E779E">
        <w:rPr>
          <w:rFonts w:ascii="Times New Roman" w:hAnsi="Times New Roman"/>
          <w:color w:val="000000" w:themeColor="text1"/>
          <w:sz w:val="16"/>
          <w:szCs w:val="16"/>
        </w:rPr>
        <w:softHyphen/>
        <w:t>мы (Мак.123 с трофейным двигате</w:t>
      </w:r>
      <w:r w:rsidRPr="005E779E">
        <w:rPr>
          <w:rFonts w:ascii="Times New Roman" w:hAnsi="Times New Roman"/>
          <w:color w:val="000000" w:themeColor="text1"/>
          <w:sz w:val="16"/>
          <w:szCs w:val="16"/>
        </w:rPr>
        <w:softHyphen/>
        <w:t>лем ВМ\А/-80Ш), все его летатель</w:t>
      </w:r>
      <w:r w:rsidRPr="005E779E">
        <w:rPr>
          <w:rFonts w:ascii="Times New Roman" w:hAnsi="Times New Roman"/>
          <w:color w:val="000000" w:themeColor="text1"/>
          <w:sz w:val="16"/>
          <w:szCs w:val="16"/>
        </w:rPr>
        <w:softHyphen/>
        <w:t>ные аппараты так и остались опыт</w:t>
      </w:r>
      <w:r w:rsidRPr="005E779E">
        <w:rPr>
          <w:rFonts w:ascii="Times New Roman" w:hAnsi="Times New Roman"/>
          <w:color w:val="000000" w:themeColor="text1"/>
          <w:sz w:val="16"/>
          <w:szCs w:val="16"/>
        </w:rPr>
        <w:softHyphen/>
        <w:t>ными конструкциями. Идея изменения площади и даже формы крыла вновь оказалась вос</w:t>
      </w:r>
      <w:r w:rsidRPr="005E779E">
        <w:rPr>
          <w:rFonts w:ascii="Times New Roman" w:hAnsi="Times New Roman"/>
          <w:color w:val="000000" w:themeColor="text1"/>
          <w:sz w:val="16"/>
          <w:szCs w:val="16"/>
        </w:rPr>
        <w:softHyphen/>
        <w:t>требованной позднее, в 1960-е годы, когда во многих странах по</w:t>
      </w:r>
      <w:r w:rsidRPr="005E779E">
        <w:rPr>
          <w:rFonts w:ascii="Times New Roman" w:hAnsi="Times New Roman"/>
          <w:color w:val="000000" w:themeColor="text1"/>
          <w:sz w:val="16"/>
          <w:szCs w:val="16"/>
        </w:rPr>
        <w:softHyphen/>
        <w:t>явились сверхзвуковые самолёты с большой скоростью полета (11846).</w:t>
      </w:r>
    </w:p>
    <w:p w14:paraId="4320F4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253D7E3"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458DFE8D"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36B2D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августа 1931 г. закончились испытания самолета И5 N 5 с ЮVI с утоненными консолями, которые проходили с 31 июля 1931.</w:t>
      </w:r>
    </w:p>
    <w:p w14:paraId="71CED5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Цель работы</w:t>
      </w:r>
    </w:p>
    <w:p w14:paraId="26DFF8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Испытание самолета на штопор.</w:t>
      </w:r>
    </w:p>
    <w:p w14:paraId="7948FD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Краткий вывод</w:t>
      </w:r>
    </w:p>
    <w:p w14:paraId="00249F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Введение в коробку крыльев утоненных консолей не дало улучшение характера штопора. Добавочные пластины ухудшают управляемость.</w:t>
      </w:r>
    </w:p>
    <w:p w14:paraId="180505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Летных дней на испытание - 5</w:t>
      </w:r>
    </w:p>
    <w:p w14:paraId="13C0E2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Количество полетов - 9</w:t>
      </w:r>
    </w:p>
    <w:p w14:paraId="69C730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Налетано часов - 4 час. 10 мин. (3289,84-95).</w:t>
      </w:r>
    </w:p>
    <w:p w14:paraId="19A61B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C02E630" w14:textId="77777777" w:rsidR="008B2BB8" w:rsidRPr="005E779E" w:rsidRDefault="008B2B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августа 1931 г., когда Государственные испытания И-7 только начались, на совещание по типам самолетов у начальника ВВС Баранова постановили оставить в плане заказов 1932 г. истребитель И-7 наряду с отечественным И-5, при этом в дополнение к выпуску самолета И-7 на заводе №1 в Москве, развернуть его серийное производство и на заводе №135 в Харькове.</w:t>
      </w:r>
    </w:p>
    <w:p w14:paraId="1645ADBC" w14:textId="77777777" w:rsidR="008B2BB8" w:rsidRPr="005E779E" w:rsidRDefault="008B2B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Приводимые в ряде источников сведения о выпуске самолетов И-7 на заводе №292 в г. Саратов (перепрофилирован из завода сельхозтехники «Стройкомбайн» или «Саркомбайн», передан ВАО решением от 31.12.31 г.) ничем не подтверждены и сомнительны, т.к. завод удалось укомплектовать оборудованием I очереди и ввести в строй только в 1937-1938 г. и тогда он приступив к выпуску самолетов Р-10 (24331).</w:t>
      </w:r>
    </w:p>
    <w:p w14:paraId="0A26C72A" w14:textId="77777777" w:rsidR="008B2BB8" w:rsidRPr="005E779E" w:rsidRDefault="008B2BB8" w:rsidP="000B7A6C">
      <w:pPr>
        <w:spacing w:after="0" w:line="240" w:lineRule="auto"/>
        <w:jc w:val="both"/>
        <w:rPr>
          <w:rFonts w:ascii="Times New Roman" w:hAnsi="Times New Roman"/>
          <w:color w:val="000000" w:themeColor="text1"/>
          <w:sz w:val="16"/>
          <w:szCs w:val="16"/>
        </w:rPr>
      </w:pPr>
    </w:p>
    <w:p w14:paraId="3111FCFF" w14:textId="77777777" w:rsidR="008B2BB8" w:rsidRPr="005E779E" w:rsidRDefault="008B2B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11 по 16 августа 1931 г. на Государственных испытаниях самолета И-7 за пять летных дней сделано 24 полета общей продолжительностью 11 час. 40 мин. (24331).</w:t>
      </w:r>
    </w:p>
    <w:p w14:paraId="1A23991B" w14:textId="77777777" w:rsidR="008B2BB8" w:rsidRPr="005E779E" w:rsidRDefault="008B2BB8" w:rsidP="000B7A6C">
      <w:pPr>
        <w:spacing w:after="0" w:line="240" w:lineRule="auto"/>
        <w:jc w:val="both"/>
        <w:rPr>
          <w:rFonts w:ascii="Times New Roman" w:hAnsi="Times New Roman"/>
          <w:color w:val="000000" w:themeColor="text1"/>
          <w:sz w:val="16"/>
          <w:szCs w:val="16"/>
        </w:rPr>
      </w:pPr>
    </w:p>
    <w:p w14:paraId="1481D8A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августа 1931 г. в кабинете начальника ЦАГИ Н.М.Харламова состоялось специальное совещание о мероприятиях по переводу серийного производства Р-5 на разрезные крылья. На нем присутствовал начальник 3-й бригады ЦКБ Н.Н.Поликарпов. По ряду причин в дальнейшем в этих работах Николай Николаевич непо</w:t>
      </w:r>
      <w:r w:rsidRPr="005E779E">
        <w:rPr>
          <w:rFonts w:ascii="Times New Roman" w:hAnsi="Times New Roman"/>
          <w:color w:val="000000" w:themeColor="text1"/>
          <w:sz w:val="16"/>
          <w:szCs w:val="16"/>
        </w:rPr>
        <w:softHyphen/>
        <w:t>средственного участия не принимал, хотя и консульти</w:t>
      </w:r>
      <w:r w:rsidRPr="005E779E">
        <w:rPr>
          <w:rFonts w:ascii="Times New Roman" w:hAnsi="Times New Roman"/>
          <w:color w:val="000000" w:themeColor="text1"/>
          <w:sz w:val="16"/>
          <w:szCs w:val="16"/>
        </w:rPr>
        <w:softHyphen/>
        <w:t>ровал проектирование. Верхнее крыло бипланной коробки Р-5 было почти прямоугольной формы. На нем установили автомати</w:t>
      </w:r>
      <w:r w:rsidRPr="005E779E">
        <w:rPr>
          <w:rFonts w:ascii="Times New Roman" w:hAnsi="Times New Roman"/>
          <w:color w:val="000000" w:themeColor="text1"/>
          <w:sz w:val="16"/>
          <w:szCs w:val="16"/>
        </w:rPr>
        <w:softHyphen/>
        <w:t>ческие предкрылки. Кроме того, на верхнем и нижнем крыльях имелись щитки-закрылки (10667).</w:t>
      </w:r>
    </w:p>
    <w:p w14:paraId="5460653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F2E4F6" w14:textId="77777777" w:rsidR="00561C4E" w:rsidRPr="00142305" w:rsidRDefault="00561C4E" w:rsidP="00561C4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11 августа 1931 г. в кабинете начальника ЦАГИ Н. М. Харламова состоялось специальное совещание о мероприятиях по переводу серийного производства Р-5 на разрезные крылья. На нем присутствовал начальник 3-й бригады ЦКБ Н. Н. Поликарпов. По ряду причин в дальнейшем в этих работах Николай Николаевич участия не принимал, хотя и консультировал проектирование.</w:t>
      </w:r>
    </w:p>
    <w:p w14:paraId="6346964B" w14:textId="77777777" w:rsidR="00561C4E" w:rsidRPr="00142305" w:rsidRDefault="00561C4E" w:rsidP="00561C4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Верхнее крыло бипланной коробки было сделано почти прямоугольной формы. На нем установили автоматические предкрылки. На верхнем и нижнем крыльях — щитки-закрылки.</w:t>
      </w:r>
    </w:p>
    <w:p w14:paraId="2600AECA" w14:textId="77777777" w:rsidR="00561C4E" w:rsidRPr="00142305" w:rsidRDefault="00561C4E" w:rsidP="00561C4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1933 г. построили два экземпляра Р-5 с разрезными крыльями (№ 4681 и № 5563), имеющих некоторые различия в конструкции. На первом из них для улучшения управляемости на малых скоростях напротив элеронов на верхнем крыле установили интерцепторы. В процессе испытаний выяснилось, что посадочная скорость снизилась до 66–75 км/ч, однако потолок и максимальная скорость полета стали несколько хуже. В целом результаты испытаний признаны удовлетворительными (25035).</w:t>
      </w:r>
    </w:p>
    <w:p w14:paraId="033E324F" w14:textId="77777777" w:rsidR="00561C4E" w:rsidRPr="00142305" w:rsidRDefault="00561C4E" w:rsidP="00561C4E">
      <w:pPr>
        <w:spacing w:after="0" w:line="240" w:lineRule="auto"/>
        <w:jc w:val="both"/>
        <w:rPr>
          <w:rFonts w:ascii="Times New Roman" w:hAnsi="Times New Roman"/>
          <w:color w:val="0070C0"/>
          <w:sz w:val="16"/>
          <w:szCs w:val="16"/>
        </w:rPr>
      </w:pPr>
    </w:p>
    <w:p w14:paraId="7D8E15E7" w14:textId="2DDFB808" w:rsidR="00C6668D" w:rsidRPr="005E779E" w:rsidRDefault="00C6668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августа 1931 г. на совещании в УВВС было решено заказать войсковую серию до 12 самолетов И-12 (АНТ-23) в случае удовлетворительных результатов от испытания этой машины.</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 xml:space="preserve"> Результаты испытаний были неудовлетворительными, и заказ дан не был (23136).</w:t>
      </w:r>
    </w:p>
    <w:p w14:paraId="4EEB3946" w14:textId="77777777" w:rsidR="00C6668D" w:rsidRPr="005E779E" w:rsidRDefault="00C6668D" w:rsidP="000B7A6C">
      <w:pPr>
        <w:spacing w:after="0" w:line="240" w:lineRule="auto"/>
        <w:jc w:val="both"/>
        <w:rPr>
          <w:rFonts w:ascii="Times New Roman" w:hAnsi="Times New Roman"/>
          <w:color w:val="000000" w:themeColor="text1"/>
          <w:sz w:val="16"/>
          <w:szCs w:val="16"/>
        </w:rPr>
      </w:pPr>
    </w:p>
    <w:p w14:paraId="1117C8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августа 1931 года состоялось совещание по типам самолетов у начальника ВВС.</w:t>
      </w:r>
    </w:p>
    <w:p w14:paraId="587FF1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Сухопутные самолеты:</w:t>
      </w:r>
    </w:p>
    <w:p w14:paraId="3F7243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Истребители:</w:t>
      </w:r>
    </w:p>
    <w:p w14:paraId="1D9E37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Оставить в плане заказов 1932 года И5 и И7.</w:t>
      </w:r>
    </w:p>
    <w:p w14:paraId="59CBC0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Штурмовики:</w:t>
      </w:r>
    </w:p>
    <w:p w14:paraId="789717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Принимая во внимание, что ТШ под М-27 даст, по-видимому, небольшое улучшение по сравнению с ТШ под М17 (большой вес, габариты, обороты, расход горючего) и, так как ТШ под М-17 имеет преимущество в виде простого и быстрого перевооружения под мотор м-34, несомненно лучший, чем М-27, производить ТШ под М-17 с последующим переходом самолетов под М-34.</w:t>
      </w:r>
    </w:p>
    <w:p w14:paraId="576A44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Разведчики:</w:t>
      </w:r>
    </w:p>
    <w:p w14:paraId="22DC74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Иметь в плане один тип Р-5, он же легкий бомбардировщик.</w:t>
      </w:r>
    </w:p>
    <w:p w14:paraId="7E7620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Тяжелые самолеты:</w:t>
      </w:r>
    </w:p>
    <w:p w14:paraId="14C47D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Иметь в плане заказов ТБ-3 и Р-6.</w:t>
      </w:r>
    </w:p>
    <w:p w14:paraId="51004F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 Учебные самолеты:</w:t>
      </w:r>
    </w:p>
    <w:p w14:paraId="13ED06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Иметь У-2.</w:t>
      </w:r>
    </w:p>
    <w:p w14:paraId="07302A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ДИ3, в том в каком он предъявлен на гос. испытания, в производство не внедрять, по получении нового более современного типа 2 местного истребителя, поставить вопрос о его внедрении в серию.</w:t>
      </w:r>
    </w:p>
    <w:p w14:paraId="5DD4F6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ТБ1 с производства по плану 1932 года снять, заменив Р-6.</w:t>
      </w:r>
    </w:p>
    <w:p w14:paraId="4E0009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Заказать в опытных сериях следующие типы самолетов:</w:t>
      </w:r>
    </w:p>
    <w:p w14:paraId="726CC3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ТБ-5, примерно на 1 эскадрилью, в количестве 12 шт.</w:t>
      </w:r>
    </w:p>
    <w:p w14:paraId="51A597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Перехватчик (N 7) - на 2 эск. в количестве 75 шт.</w:t>
      </w:r>
    </w:p>
    <w:p w14:paraId="58B942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И-12 в небольшой опытной серии (до 12 шт.) в случае получения более или менее удовлетворит. результатов от испытания этой машины.</w:t>
      </w:r>
    </w:p>
    <w:p w14:paraId="563859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Морские:</w:t>
      </w:r>
    </w:p>
    <w:p w14:paraId="4ABE19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Савойя 62 бис, как основной, под АССО с последующим переходом на М-34, отказавшись от М-27.</w:t>
      </w:r>
    </w:p>
    <w:p w14:paraId="79E237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МДР-3 в качестве основного типа дальнего морского разведчика, отказавшись от МДР-2.</w:t>
      </w:r>
    </w:p>
    <w:p w14:paraId="766B85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Тяжелую морскую авиацию вооружать ТБ3 или Р6 в зависимости от назначения, или на колесах или на поплавках.</w:t>
      </w:r>
    </w:p>
    <w:p w14:paraId="15E3C2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Поставить в план в качестве учебного самолета М-У2. Допустить опытную серию Шаврова в качестве самолета связи и сопровождения в болотистых районах.</w:t>
      </w:r>
    </w:p>
    <w:p w14:paraId="5D9F7D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Р5 на поплавках в качестве опытной серии.</w:t>
      </w:r>
    </w:p>
    <w:p w14:paraId="4AAB9F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А1 - в качестве опытной серии.</w:t>
      </w:r>
    </w:p>
    <w:p w14:paraId="351608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Поплавки и шасси к Р-6 (опытн. экз.).</w:t>
      </w:r>
    </w:p>
    <w:p w14:paraId="294B03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заводам:</w:t>
      </w:r>
    </w:p>
    <w:p w14:paraId="3DCEE5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Поставить производство: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1002C3" w:rsidRPr="005E779E" w14:paraId="1CD3B569" w14:textId="77777777">
        <w:tc>
          <w:tcPr>
            <w:tcW w:w="3757" w:type="dxa"/>
          </w:tcPr>
          <w:p w14:paraId="45466F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На заводе </w:t>
            </w:r>
          </w:p>
        </w:tc>
        <w:tc>
          <w:tcPr>
            <w:tcW w:w="3757" w:type="dxa"/>
          </w:tcPr>
          <w:p w14:paraId="3A384C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398A151" w14:textId="77777777">
        <w:tc>
          <w:tcPr>
            <w:tcW w:w="3757" w:type="dxa"/>
          </w:tcPr>
          <w:p w14:paraId="00E340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N 1</w:t>
            </w:r>
          </w:p>
        </w:tc>
        <w:tc>
          <w:tcPr>
            <w:tcW w:w="3757" w:type="dxa"/>
          </w:tcPr>
          <w:p w14:paraId="293439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Р5 и ТШ</w:t>
            </w:r>
          </w:p>
        </w:tc>
      </w:tr>
      <w:tr w:rsidR="001002C3" w:rsidRPr="005E779E" w14:paraId="1729B877" w14:textId="77777777">
        <w:tc>
          <w:tcPr>
            <w:tcW w:w="3757" w:type="dxa"/>
          </w:tcPr>
          <w:p w14:paraId="21717D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N 21</w:t>
            </w:r>
          </w:p>
        </w:tc>
        <w:tc>
          <w:tcPr>
            <w:tcW w:w="3757" w:type="dxa"/>
          </w:tcPr>
          <w:p w14:paraId="19EC3E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 и учебных</w:t>
            </w:r>
          </w:p>
        </w:tc>
      </w:tr>
      <w:tr w:rsidR="001002C3" w:rsidRPr="005E779E" w14:paraId="19E24B9D" w14:textId="77777777">
        <w:tc>
          <w:tcPr>
            <w:tcW w:w="3757" w:type="dxa"/>
          </w:tcPr>
          <w:p w14:paraId="36967B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N 22</w:t>
            </w:r>
          </w:p>
        </w:tc>
        <w:tc>
          <w:tcPr>
            <w:tcW w:w="3757" w:type="dxa"/>
          </w:tcPr>
          <w:p w14:paraId="45F9C4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Р6, ТБ3, АНТ-9</w:t>
            </w:r>
          </w:p>
        </w:tc>
      </w:tr>
      <w:tr w:rsidR="001002C3" w:rsidRPr="005E779E" w14:paraId="49D424BB" w14:textId="77777777">
        <w:tc>
          <w:tcPr>
            <w:tcW w:w="3757" w:type="dxa"/>
          </w:tcPr>
          <w:p w14:paraId="197B7E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N 23 </w:t>
            </w:r>
          </w:p>
        </w:tc>
        <w:tc>
          <w:tcPr>
            <w:tcW w:w="3757" w:type="dxa"/>
          </w:tcPr>
          <w:p w14:paraId="31A95F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У2, МУ2</w:t>
            </w:r>
          </w:p>
        </w:tc>
      </w:tr>
      <w:tr w:rsidR="001002C3" w:rsidRPr="005E779E" w14:paraId="1582614C" w14:textId="77777777">
        <w:tc>
          <w:tcPr>
            <w:tcW w:w="3757" w:type="dxa"/>
          </w:tcPr>
          <w:p w14:paraId="6A9200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N 31</w:t>
            </w:r>
          </w:p>
        </w:tc>
        <w:tc>
          <w:tcPr>
            <w:tcW w:w="3757" w:type="dxa"/>
          </w:tcPr>
          <w:p w14:paraId="7E1C0F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МДР3, Савойя, поплавки ХАЗ К5, И7.</w:t>
            </w:r>
          </w:p>
        </w:tc>
      </w:tr>
    </w:tbl>
    <w:p w14:paraId="45DB60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Гражданские самолеты:</w:t>
      </w:r>
    </w:p>
    <w:p w14:paraId="0C018C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Допустить в качестве гражданских самолетов следующие типы:</w:t>
      </w:r>
    </w:p>
    <w:p w14:paraId="3289FE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АНТ-9 под М-26, с постановкой производства опытных экз. под М-22.</w:t>
      </w:r>
    </w:p>
    <w:p w14:paraId="72FB30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К5 - под М-15.</w:t>
      </w:r>
    </w:p>
    <w:p w14:paraId="297F69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ТБ3 - в качестве пассажирской машины.</w:t>
      </w:r>
    </w:p>
    <w:p w14:paraId="1806C6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качестве морского пассажирского самолета иметь МДР-3.</w:t>
      </w:r>
    </w:p>
    <w:p w14:paraId="56F916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8202"/>
      </w:tblGrid>
      <w:tr w:rsidR="001002C3" w:rsidRPr="005E779E" w14:paraId="079616DB" w14:textId="77777777">
        <w:tc>
          <w:tcPr>
            <w:tcW w:w="2254" w:type="dxa"/>
          </w:tcPr>
          <w:p w14:paraId="2CF35A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Завод </w:t>
            </w:r>
          </w:p>
        </w:tc>
        <w:tc>
          <w:tcPr>
            <w:tcW w:w="8202" w:type="dxa"/>
          </w:tcPr>
          <w:p w14:paraId="0EEF26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8F43A4E" w14:textId="77777777">
        <w:tc>
          <w:tcPr>
            <w:tcW w:w="2254" w:type="dxa"/>
          </w:tcPr>
          <w:p w14:paraId="23F78D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N 26</w:t>
            </w:r>
          </w:p>
        </w:tc>
        <w:tc>
          <w:tcPr>
            <w:tcW w:w="8202" w:type="dxa"/>
          </w:tcPr>
          <w:p w14:paraId="6B05CF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М-17, каковой считать на 1932 год основным для этого завода.</w:t>
            </w:r>
          </w:p>
        </w:tc>
      </w:tr>
      <w:tr w:rsidR="001002C3" w:rsidRPr="005E779E" w14:paraId="37F83FF5" w14:textId="77777777">
        <w:tc>
          <w:tcPr>
            <w:tcW w:w="2254" w:type="dxa"/>
          </w:tcPr>
          <w:p w14:paraId="2C6D9F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N 24</w:t>
            </w:r>
          </w:p>
        </w:tc>
        <w:tc>
          <w:tcPr>
            <w:tcW w:w="8202" w:type="dxa"/>
          </w:tcPr>
          <w:p w14:paraId="049735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Основным для этого завода считать М-34, затем ФЭД в виде опытн. серии. Допустить М15 и М26 на первое полугодие 1932 года</w:t>
            </w:r>
          </w:p>
        </w:tc>
      </w:tr>
      <w:tr w:rsidR="001002C3" w:rsidRPr="005E779E" w14:paraId="2449222D" w14:textId="77777777">
        <w:tc>
          <w:tcPr>
            <w:tcW w:w="2254" w:type="dxa"/>
          </w:tcPr>
          <w:p w14:paraId="49BA7A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N 29</w:t>
            </w:r>
          </w:p>
        </w:tc>
        <w:tc>
          <w:tcPr>
            <w:tcW w:w="8202" w:type="dxa"/>
          </w:tcPr>
          <w:p w14:paraId="11EF4C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М-11 и М-22 с переносом М-22 с середины 1932 года на Пермский завод N 19, имея в виду развитие М-22-Н. </w:t>
            </w:r>
          </w:p>
        </w:tc>
      </w:tr>
      <w:tr w:rsidR="001002C3" w:rsidRPr="005E779E" w14:paraId="2AD00B06" w14:textId="77777777">
        <w:tc>
          <w:tcPr>
            <w:tcW w:w="2254" w:type="dxa"/>
          </w:tcPr>
          <w:p w14:paraId="24B0E0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202" w:type="dxa"/>
          </w:tcPr>
          <w:p w14:paraId="30904C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М-11 - модифицировать на 165 л.с.</w:t>
            </w:r>
          </w:p>
        </w:tc>
      </w:tr>
    </w:tbl>
    <w:p w14:paraId="0A43A5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Исходя из вышеуказанного, считать абсолютно необходимым всемерно форсировать производство М-34 и немедленно начать подготовку его к серийному производству на заводе N 24 (3217,275-277).</w:t>
      </w:r>
    </w:p>
    <w:p w14:paraId="602FC0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1F38969" w14:textId="4F137D91" w:rsidR="00561C4E" w:rsidRPr="005E779E" w:rsidRDefault="00561C4E" w:rsidP="00561C4E">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Другие оборонные отрасли</w:t>
      </w:r>
      <w:r w:rsidRPr="005E779E">
        <w:rPr>
          <w:rFonts w:ascii="Times New Roman" w:hAnsi="Times New Roman"/>
          <w:i/>
          <w:iCs/>
          <w:color w:val="000000" w:themeColor="text1"/>
          <w:sz w:val="16"/>
          <w:szCs w:val="16"/>
        </w:rPr>
        <w:t>:</w:t>
      </w:r>
    </w:p>
    <w:p w14:paraId="06EB74EA" w14:textId="77777777" w:rsidR="00561C4E" w:rsidRPr="005E779E" w:rsidRDefault="00561C4E" w:rsidP="00561C4E">
      <w:pPr>
        <w:autoSpaceDE w:val="0"/>
        <w:autoSpaceDN w:val="0"/>
        <w:adjustRightInd w:val="0"/>
        <w:spacing w:after="0" w:line="240" w:lineRule="auto"/>
        <w:jc w:val="both"/>
        <w:rPr>
          <w:rFonts w:ascii="Times New Roman" w:hAnsi="Times New Roman"/>
          <w:iCs/>
          <w:color w:val="000000" w:themeColor="text1"/>
          <w:sz w:val="16"/>
          <w:szCs w:val="16"/>
        </w:rPr>
      </w:pPr>
    </w:p>
    <w:p w14:paraId="224371DF" w14:textId="77777777" w:rsidR="00561C4E" w:rsidRPr="00142305" w:rsidRDefault="00561C4E" w:rsidP="00561C4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11 августа 1931 года начальник УММ РККА И. Халепский направил заместителю наркома оборо</w:t>
      </w:r>
      <w:r w:rsidRPr="00142305">
        <w:rPr>
          <w:rFonts w:ascii="Times New Roman" w:hAnsi="Times New Roman"/>
          <w:color w:val="0070C0"/>
          <w:sz w:val="16"/>
          <w:szCs w:val="16"/>
        </w:rPr>
        <w:softHyphen/>
        <w:t>ны М. Тухачевскому следующее предло</w:t>
      </w:r>
      <w:r w:rsidRPr="00142305">
        <w:rPr>
          <w:rFonts w:ascii="Times New Roman" w:hAnsi="Times New Roman"/>
          <w:color w:val="0070C0"/>
          <w:sz w:val="16"/>
          <w:szCs w:val="16"/>
        </w:rPr>
        <w:softHyphen/>
        <w:t>жение:</w:t>
      </w:r>
    </w:p>
    <w:p w14:paraId="10744F3B" w14:textId="77777777" w:rsidR="00561C4E" w:rsidRPr="00142305" w:rsidRDefault="00561C4E" w:rsidP="00561C4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«Для обеспечения моторами програм</w:t>
      </w:r>
      <w:r w:rsidRPr="00142305">
        <w:rPr>
          <w:rFonts w:ascii="Times New Roman" w:hAnsi="Times New Roman"/>
          <w:color w:val="0070C0"/>
          <w:sz w:val="16"/>
          <w:szCs w:val="16"/>
        </w:rPr>
        <w:softHyphen/>
        <w:t>мы выпуска танков БТ в 1932 году возни</w:t>
      </w:r>
      <w:r w:rsidRPr="00142305">
        <w:rPr>
          <w:rFonts w:ascii="Times New Roman" w:hAnsi="Times New Roman"/>
          <w:color w:val="0070C0"/>
          <w:sz w:val="16"/>
          <w:szCs w:val="16"/>
        </w:rPr>
        <w:softHyphen/>
        <w:t>кает необходимость вновь наладить из</w:t>
      </w:r>
      <w:r w:rsidRPr="00142305">
        <w:rPr>
          <w:rFonts w:ascii="Times New Roman" w:hAnsi="Times New Roman"/>
          <w:color w:val="0070C0"/>
          <w:sz w:val="16"/>
          <w:szCs w:val="16"/>
        </w:rPr>
        <w:softHyphen/>
        <w:t>готовление двигателей М-5 («Либерти») на одном из наших авиационных заво</w:t>
      </w:r>
      <w:r w:rsidRPr="00142305">
        <w:rPr>
          <w:rFonts w:ascii="Times New Roman" w:hAnsi="Times New Roman"/>
          <w:color w:val="0070C0"/>
          <w:sz w:val="16"/>
          <w:szCs w:val="16"/>
        </w:rPr>
        <w:softHyphen/>
        <w:t>дов. Так как целесообразнее использо</w:t>
      </w:r>
      <w:r w:rsidRPr="00142305">
        <w:rPr>
          <w:rFonts w:ascii="Times New Roman" w:hAnsi="Times New Roman"/>
          <w:color w:val="0070C0"/>
          <w:sz w:val="16"/>
          <w:szCs w:val="16"/>
        </w:rPr>
        <w:softHyphen/>
        <w:t>вать для БТ серийный авиамотор, нахо</w:t>
      </w:r>
      <w:r w:rsidRPr="00142305">
        <w:rPr>
          <w:rFonts w:ascii="Times New Roman" w:hAnsi="Times New Roman"/>
          <w:color w:val="0070C0"/>
          <w:sz w:val="16"/>
          <w:szCs w:val="16"/>
        </w:rPr>
        <w:softHyphen/>
        <w:t>дящийся на производстве, для того, что</w:t>
      </w:r>
      <w:r w:rsidRPr="00142305">
        <w:rPr>
          <w:rFonts w:ascii="Times New Roman" w:hAnsi="Times New Roman"/>
          <w:color w:val="0070C0"/>
          <w:sz w:val="16"/>
          <w:szCs w:val="16"/>
        </w:rPr>
        <w:softHyphen/>
        <w:t>бы избежать принятия на производства мотора М-5, встает вопрос об использо</w:t>
      </w:r>
      <w:r w:rsidRPr="00142305">
        <w:rPr>
          <w:rFonts w:ascii="Times New Roman" w:hAnsi="Times New Roman"/>
          <w:color w:val="0070C0"/>
          <w:sz w:val="16"/>
          <w:szCs w:val="16"/>
        </w:rPr>
        <w:softHyphen/>
        <w:t>вании в БТ мотора М-17.</w:t>
      </w:r>
    </w:p>
    <w:p w14:paraId="59104E64" w14:textId="77777777" w:rsidR="00561C4E" w:rsidRPr="00142305" w:rsidRDefault="00561C4E" w:rsidP="00561C4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Прошу Вашего согласия на замену в БТ мотора М-5 на мотор М-17».</w:t>
      </w:r>
    </w:p>
    <w:p w14:paraId="619C48DD" w14:textId="77777777" w:rsidR="00561C4E" w:rsidRPr="00142305" w:rsidRDefault="00561C4E" w:rsidP="00561C4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Но эти планы встретили противодей</w:t>
      </w:r>
      <w:r w:rsidRPr="00142305">
        <w:rPr>
          <w:rFonts w:ascii="Times New Roman" w:hAnsi="Times New Roman"/>
          <w:color w:val="0070C0"/>
          <w:sz w:val="16"/>
          <w:szCs w:val="16"/>
        </w:rPr>
        <w:softHyphen/>
        <w:t>ствие со стороны Начвоенвоздухосил РККА Я. И. Алксниса. В своей доклад</w:t>
      </w:r>
      <w:r w:rsidRPr="00142305">
        <w:rPr>
          <w:rFonts w:ascii="Times New Roman" w:hAnsi="Times New Roman"/>
          <w:color w:val="0070C0"/>
          <w:sz w:val="16"/>
          <w:szCs w:val="16"/>
        </w:rPr>
        <w:softHyphen/>
        <w:t>ной записке, направленной Тухачевско</w:t>
      </w:r>
      <w:r w:rsidRPr="00142305">
        <w:rPr>
          <w:rFonts w:ascii="Times New Roman" w:hAnsi="Times New Roman"/>
          <w:color w:val="0070C0"/>
          <w:sz w:val="16"/>
          <w:szCs w:val="16"/>
        </w:rPr>
        <w:softHyphen/>
        <w:t>му, он сообщал, что в 1932 году только для установки на новые самолеты потре</w:t>
      </w:r>
      <w:r w:rsidRPr="00142305">
        <w:rPr>
          <w:rFonts w:ascii="Times New Roman" w:hAnsi="Times New Roman"/>
          <w:color w:val="0070C0"/>
          <w:sz w:val="16"/>
          <w:szCs w:val="16"/>
        </w:rPr>
        <w:softHyphen/>
        <w:t>буется (не считая запасных) 3000 мото</w:t>
      </w:r>
      <w:r w:rsidRPr="00142305">
        <w:rPr>
          <w:rFonts w:ascii="Times New Roman" w:hAnsi="Times New Roman"/>
          <w:color w:val="0070C0"/>
          <w:sz w:val="16"/>
          <w:szCs w:val="16"/>
        </w:rPr>
        <w:softHyphen/>
        <w:t>ров М-17, а промышленность сможет дать их всего 2000. Таким образом, писал в заключении Алкснис «без сокращения числа действующих самолетов в строе</w:t>
      </w:r>
      <w:r w:rsidRPr="00142305">
        <w:rPr>
          <w:rFonts w:ascii="Times New Roman" w:hAnsi="Times New Roman"/>
          <w:color w:val="0070C0"/>
          <w:sz w:val="16"/>
          <w:szCs w:val="16"/>
        </w:rPr>
        <w:softHyphen/>
        <w:t>вых частях и школах ВВС ни в 1931-м, ни в 1932 году выделить моторы для тан</w:t>
      </w:r>
      <w:r w:rsidRPr="00142305">
        <w:rPr>
          <w:rFonts w:ascii="Times New Roman" w:hAnsi="Times New Roman"/>
          <w:color w:val="0070C0"/>
          <w:sz w:val="16"/>
          <w:szCs w:val="16"/>
        </w:rPr>
        <w:softHyphen/>
        <w:t>ков невозможно».</w:t>
      </w:r>
    </w:p>
    <w:p w14:paraId="43A42DC3" w14:textId="77777777" w:rsidR="00561C4E" w:rsidRPr="00142305" w:rsidRDefault="00561C4E" w:rsidP="00561C4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Пришлось собирать по авиачастям РККА отслужившие свой срок на само</w:t>
      </w:r>
      <w:r w:rsidRPr="00142305">
        <w:rPr>
          <w:rFonts w:ascii="Times New Roman" w:hAnsi="Times New Roman"/>
          <w:color w:val="0070C0"/>
          <w:sz w:val="16"/>
          <w:szCs w:val="16"/>
        </w:rPr>
        <w:softHyphen/>
        <w:t>летах двигатели М-5, и после переборки ставить на танки. Правда, состояние мо</w:t>
      </w:r>
      <w:r w:rsidRPr="00142305">
        <w:rPr>
          <w:rFonts w:ascii="Times New Roman" w:hAnsi="Times New Roman"/>
          <w:color w:val="0070C0"/>
          <w:sz w:val="16"/>
          <w:szCs w:val="16"/>
        </w:rPr>
        <w:softHyphen/>
        <w:t>торов оставляло желать лучшего, а коли</w:t>
      </w:r>
      <w:r w:rsidRPr="00142305">
        <w:rPr>
          <w:rFonts w:ascii="Times New Roman" w:hAnsi="Times New Roman"/>
          <w:color w:val="0070C0"/>
          <w:sz w:val="16"/>
          <w:szCs w:val="16"/>
        </w:rPr>
        <w:softHyphen/>
        <w:t>чество совершенно недостаточным. Что</w:t>
      </w:r>
      <w:r w:rsidRPr="00142305">
        <w:rPr>
          <w:rFonts w:ascii="Times New Roman" w:hAnsi="Times New Roman"/>
          <w:color w:val="0070C0"/>
          <w:sz w:val="16"/>
          <w:szCs w:val="16"/>
        </w:rPr>
        <w:softHyphen/>
        <w:t>бы хоть как-то выйти из положения, осе</w:t>
      </w:r>
      <w:r w:rsidRPr="00142305">
        <w:rPr>
          <w:rFonts w:ascii="Times New Roman" w:hAnsi="Times New Roman"/>
          <w:color w:val="0070C0"/>
          <w:sz w:val="16"/>
          <w:szCs w:val="16"/>
        </w:rPr>
        <w:softHyphen/>
        <w:t>нью 1931 года для покупки «Либерти» в САСШ отправился В. Свиридов, при</w:t>
      </w:r>
      <w:r w:rsidRPr="00142305">
        <w:rPr>
          <w:rFonts w:ascii="Times New Roman" w:hAnsi="Times New Roman"/>
          <w:color w:val="0070C0"/>
          <w:sz w:val="16"/>
          <w:szCs w:val="16"/>
        </w:rPr>
        <w:softHyphen/>
        <w:t>чем разрешалось приобретать даже быв</w:t>
      </w:r>
      <w:r w:rsidRPr="00142305">
        <w:rPr>
          <w:rFonts w:ascii="Times New Roman" w:hAnsi="Times New Roman"/>
          <w:color w:val="0070C0"/>
          <w:sz w:val="16"/>
          <w:szCs w:val="16"/>
        </w:rPr>
        <w:softHyphen/>
        <w:t>шие в употреблении двигателей, если они имели хорошее состояние. В резуль</w:t>
      </w:r>
      <w:r w:rsidRPr="00142305">
        <w:rPr>
          <w:rFonts w:ascii="Times New Roman" w:hAnsi="Times New Roman"/>
          <w:color w:val="0070C0"/>
          <w:sz w:val="16"/>
          <w:szCs w:val="16"/>
        </w:rPr>
        <w:softHyphen/>
        <w:t>тате проблему с моторами для БТ уда</w:t>
      </w:r>
      <w:r w:rsidRPr="00142305">
        <w:rPr>
          <w:rFonts w:ascii="Times New Roman" w:hAnsi="Times New Roman"/>
          <w:color w:val="0070C0"/>
          <w:sz w:val="16"/>
          <w:szCs w:val="16"/>
        </w:rPr>
        <w:softHyphen/>
        <w:t>лось решить, причем состояние отлетав</w:t>
      </w:r>
      <w:r w:rsidRPr="00142305">
        <w:rPr>
          <w:rFonts w:ascii="Times New Roman" w:hAnsi="Times New Roman"/>
          <w:color w:val="0070C0"/>
          <w:sz w:val="16"/>
          <w:szCs w:val="16"/>
        </w:rPr>
        <w:softHyphen/>
        <w:t>ших американских «Либерти» было зна</w:t>
      </w:r>
      <w:r w:rsidRPr="00142305">
        <w:rPr>
          <w:rFonts w:ascii="Times New Roman" w:hAnsi="Times New Roman"/>
          <w:color w:val="0070C0"/>
          <w:sz w:val="16"/>
          <w:szCs w:val="16"/>
        </w:rPr>
        <w:softHyphen/>
        <w:t>чительно лучше отечественных: (25009).</w:t>
      </w:r>
    </w:p>
    <w:p w14:paraId="0C7C65C3" w14:textId="77777777" w:rsidR="00561C4E" w:rsidRPr="00142305" w:rsidRDefault="00561C4E" w:rsidP="00561C4E">
      <w:pPr>
        <w:spacing w:after="0" w:line="240" w:lineRule="auto"/>
        <w:jc w:val="both"/>
        <w:rPr>
          <w:rFonts w:ascii="Times New Roman" w:hAnsi="Times New Roman"/>
          <w:color w:val="0070C0"/>
          <w:sz w:val="16"/>
          <w:szCs w:val="16"/>
        </w:rPr>
      </w:pPr>
    </w:p>
    <w:p w14:paraId="22FC2C16"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3F34098E"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BFDEF49" w14:textId="77777777" w:rsidR="00CE289C" w:rsidRPr="005E779E" w:rsidRDefault="00CE289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августа 1931 - Первый полет прототипа Bleriot 5190, дальней летающей лодки, разработанной французской фирмой Bleriot - Bleriot 5190 Santos Dumont. Bleriot 5190 была оборудована четырьмя двигателями Hispano-Suiza 12Nbr мощностью 650 л.с. Летающая лодка получившая наименование Santos Dumont была предназначена для трансатлантических полетов. Авиационное Министерство Франции в 1935 году заказало фирме еще три экземпляра Bleriot 5190. Большинство средств фирмы было инвестировано в этот проект и когда на следующий год заказ без каких-то объяснений был отменен фирма потерпела крах, а Луи Блерио умер от сердечного приступа (22402).</w:t>
      </w:r>
    </w:p>
    <w:p w14:paraId="57D1AFB7" w14:textId="77777777" w:rsidR="00CE289C" w:rsidRPr="005E779E" w:rsidRDefault="00CE289C" w:rsidP="000B7A6C">
      <w:pPr>
        <w:spacing w:after="0" w:line="240" w:lineRule="auto"/>
        <w:jc w:val="both"/>
        <w:rPr>
          <w:rFonts w:ascii="Times New Roman" w:hAnsi="Times New Roman"/>
          <w:color w:val="000000" w:themeColor="text1"/>
          <w:sz w:val="16"/>
          <w:szCs w:val="16"/>
        </w:rPr>
      </w:pPr>
    </w:p>
    <w:p w14:paraId="224EE469" w14:textId="7A1B811E" w:rsidR="00CE289C" w:rsidRPr="005E779E" w:rsidRDefault="00CE289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августа 1931 - Первый полет первого образца французского экспериментального самолета конструкции русского эмигранта И.И. Махонина Mak.10 оснащенного двигателем Lorraine 12Eb мощностью 480 л.с. Особенностью самолета было</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крыло с изменяемым размахом (длина крыла изменялась от 13 до 21 м, а площадь от 19 до 33 м2). Внешние части консолей могли телескопически втягиваться внутрь корневых частей крыла (22402).</w:t>
      </w:r>
    </w:p>
    <w:p w14:paraId="479D5D52" w14:textId="77777777" w:rsidR="00CE289C" w:rsidRPr="005E779E" w:rsidRDefault="00CE289C" w:rsidP="000B7A6C">
      <w:pPr>
        <w:spacing w:after="0" w:line="240" w:lineRule="auto"/>
        <w:jc w:val="both"/>
        <w:rPr>
          <w:rFonts w:ascii="Times New Roman" w:hAnsi="Times New Roman"/>
          <w:color w:val="000000" w:themeColor="text1"/>
          <w:sz w:val="16"/>
          <w:szCs w:val="16"/>
        </w:rPr>
      </w:pPr>
    </w:p>
    <w:p w14:paraId="4A5F63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августа 1931 Великобритания присоединилась к меморандуму Гувера об отсрочке на год выплат Германией по репарациям (3186).</w:t>
      </w:r>
    </w:p>
    <w:p w14:paraId="488A59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E99CB0F"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6D100D09"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BD105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на И-8 (АНТ-13) заменили мотор, ГО и шасси и продолжили испытания (140,34). 12 августа состоялся первый вылет после доработок и испытания продолжались до апреля 1932. На гос. испытания не передавали (346,51).</w:t>
      </w:r>
    </w:p>
    <w:p w14:paraId="3CD013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59A1D8F" w14:textId="77777777" w:rsidR="00024EF9" w:rsidRPr="005E779E" w:rsidRDefault="00024EF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августа 1931 года улучшенный И-8 совершил очередной полет. О дальней</w:t>
      </w:r>
      <w:r w:rsidRPr="005E779E">
        <w:rPr>
          <w:rFonts w:ascii="Times New Roman" w:hAnsi="Times New Roman"/>
          <w:color w:val="000000" w:themeColor="text1"/>
          <w:sz w:val="16"/>
          <w:szCs w:val="16"/>
        </w:rPr>
        <w:softHyphen/>
        <w:t>шей судьбе машины известно только, что ее доводки и усовершенствования продолжа</w:t>
      </w:r>
      <w:r w:rsidRPr="005E779E">
        <w:rPr>
          <w:rFonts w:ascii="Times New Roman" w:hAnsi="Times New Roman"/>
          <w:color w:val="000000" w:themeColor="text1"/>
          <w:sz w:val="16"/>
          <w:szCs w:val="16"/>
        </w:rPr>
        <w:softHyphen/>
        <w:t>лись до 1932 года включительно. Результаты испытаний самолета после переделок пока неизвестны (12295).</w:t>
      </w:r>
    </w:p>
    <w:p w14:paraId="546CA6FA" w14:textId="77777777" w:rsidR="00024EF9" w:rsidRPr="005E779E" w:rsidRDefault="00024EF9" w:rsidP="000B7A6C">
      <w:pPr>
        <w:spacing w:after="0" w:line="240" w:lineRule="auto"/>
        <w:jc w:val="both"/>
        <w:rPr>
          <w:rFonts w:ascii="Times New Roman" w:hAnsi="Times New Roman"/>
          <w:color w:val="000000" w:themeColor="text1"/>
          <w:sz w:val="16"/>
          <w:szCs w:val="16"/>
        </w:rPr>
      </w:pPr>
    </w:p>
    <w:p w14:paraId="1FA7E1A0" w14:textId="77777777" w:rsidR="00D210DB" w:rsidRPr="005E779E" w:rsidRDefault="00D210D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августа 1931 г. состоялся первый вылет И-8 (АНТ-13) после доработок. Испытания и попытки довести самолет продолжались до апреля 1932 г., но безуспешно. На госу</w:t>
      </w:r>
      <w:r w:rsidRPr="005E779E">
        <w:rPr>
          <w:rFonts w:ascii="Times New Roman" w:hAnsi="Times New Roman"/>
          <w:color w:val="000000" w:themeColor="text1"/>
          <w:sz w:val="16"/>
          <w:szCs w:val="16"/>
        </w:rPr>
        <w:softHyphen/>
        <w:t>дарственные испытания И—8 не передали, тема была закрыта. Главной причиной, определившей такую судьбу самолета, - было отсутствие мощных высотных оте</w:t>
      </w:r>
      <w:r w:rsidRPr="005E779E">
        <w:rPr>
          <w:rFonts w:ascii="Times New Roman" w:hAnsi="Times New Roman"/>
          <w:color w:val="000000" w:themeColor="text1"/>
          <w:sz w:val="16"/>
          <w:szCs w:val="16"/>
        </w:rPr>
        <w:softHyphen/>
        <w:t>чественных двигателей.</w:t>
      </w:r>
    </w:p>
    <w:p w14:paraId="06877EFC" w14:textId="77777777" w:rsidR="00D210DB" w:rsidRPr="005E779E" w:rsidRDefault="00D210D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Его не передавали на государственные испытания, поскольку тема была закрыта из-за отсутствия подходящих двигателей. Серийно самолет не строился (23474).</w:t>
      </w:r>
    </w:p>
    <w:p w14:paraId="171F4471" w14:textId="77777777" w:rsidR="00D210DB" w:rsidRPr="005E779E" w:rsidRDefault="00D210DB" w:rsidP="000B7A6C">
      <w:pPr>
        <w:spacing w:after="0" w:line="240" w:lineRule="auto"/>
        <w:jc w:val="both"/>
        <w:rPr>
          <w:rFonts w:ascii="Times New Roman" w:hAnsi="Times New Roman"/>
          <w:color w:val="000000" w:themeColor="text1"/>
          <w:sz w:val="16"/>
          <w:szCs w:val="16"/>
        </w:rPr>
      </w:pPr>
    </w:p>
    <w:p w14:paraId="674EAF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августа 1931 года на Центральном аэродроме состоялась демонстрации агитсредств Гроховского проработанных конструкторским отделом НИИ - испытание агитшаров Федорова и прибора Кольцова</w:t>
      </w:r>
    </w:p>
    <w:p w14:paraId="50A4CE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Программа демонстрации агитсредств Гроховского проработанных конструкторским отделом НИИ - испытание агитшаров Федорова и прибора Кольцова:</w:t>
      </w:r>
    </w:p>
    <w:p w14:paraId="5D924E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Парашютная дистанционная агитбомба.</w:t>
      </w:r>
    </w:p>
    <w:p w14:paraId="50D699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Сбрасывание с самолета Р-1.</w:t>
      </w:r>
    </w:p>
    <w:p w14:paraId="53D3C2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Бомба может сбрасываться с любых высот, не требующая установок дистанций в воздухе.</w:t>
      </w:r>
    </w:p>
    <w:p w14:paraId="7DCEB5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Ударная агитбомба.</w:t>
      </w:r>
    </w:p>
    <w:p w14:paraId="7E20B8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Сбрасывание с самолета Р-1.</w:t>
      </w:r>
    </w:p>
    <w:p w14:paraId="4861A0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Сбрасывание с любых высот без установок на дистанцию.</w:t>
      </w:r>
    </w:p>
    <w:p w14:paraId="645445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Транспортный парашют Г-2.</w:t>
      </w:r>
    </w:p>
    <w:p w14:paraId="10085D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Сбрасывание с самолета Р-1.</w:t>
      </w:r>
    </w:p>
    <w:p w14:paraId="2C07A9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Снабжение газетами разбросанных частей.</w:t>
      </w:r>
    </w:p>
    <w:p w14:paraId="3D0A2E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Транспортные мешки Г-3.</w:t>
      </w:r>
    </w:p>
    <w:p w14:paraId="4AB389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Сбрасывание с самолета Р-1.</w:t>
      </w:r>
    </w:p>
    <w:p w14:paraId="64BE4B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Сбрасывание радиоаппаратуры.</w:t>
      </w:r>
    </w:p>
    <w:p w14:paraId="7369B6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Прибор Кольцова.</w:t>
      </w:r>
    </w:p>
    <w:p w14:paraId="3987CB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Залистовывание местности литературой.</w:t>
      </w:r>
    </w:p>
    <w:p w14:paraId="299453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Сбрасывание с самолета Р-1.</w:t>
      </w:r>
    </w:p>
    <w:p w14:paraId="3A5D61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Летающий парашют.</w:t>
      </w:r>
    </w:p>
    <w:p w14:paraId="2B72AE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Залистовывание местности у неприятеля.</w:t>
      </w:r>
    </w:p>
    <w:p w14:paraId="69AFF5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Летающая громкоговорящая установка.</w:t>
      </w:r>
    </w:p>
    <w:p w14:paraId="1E7A73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Запуск производится на территории неприятеля.</w:t>
      </w:r>
    </w:p>
    <w:p w14:paraId="5A9B4C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Агитшары Федорова.</w:t>
      </w:r>
    </w:p>
    <w:p w14:paraId="12C722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Выпуск агитшаров для залистовывания местности литературой (3505,57).</w:t>
      </w:r>
    </w:p>
    <w:p w14:paraId="7C708C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4CFD7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августа 1931 года начальник 1-го сектора Управления ВВС Вольников писал письмо N 316/00190 начальнику 8-го сектора 5 Упр. штаба РККА.</w:t>
      </w:r>
    </w:p>
    <w:p w14:paraId="348C24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сем препровождаю справку о наличии самолетов на 1-е июля 1931 года и предполагаемом наличии их на 1-е января 1932 года.</w:t>
      </w:r>
    </w:p>
    <w:p w14:paraId="7F5556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Справка о наличии самолетов на 1-е июля 1931 года и предполагаемом наличии их на 1-е января 1932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tblGrid>
      <w:tr w:rsidR="001002C3" w:rsidRPr="005E779E" w14:paraId="33DFE5B8" w14:textId="77777777">
        <w:tc>
          <w:tcPr>
            <w:tcW w:w="2254" w:type="dxa"/>
          </w:tcPr>
          <w:p w14:paraId="07F578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самолетов</w:t>
            </w:r>
          </w:p>
        </w:tc>
        <w:tc>
          <w:tcPr>
            <w:tcW w:w="2254" w:type="dxa"/>
          </w:tcPr>
          <w:p w14:paraId="6F17DB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Наличие на 1 июля1931 г.</w:t>
            </w:r>
          </w:p>
        </w:tc>
        <w:tc>
          <w:tcPr>
            <w:tcW w:w="2254" w:type="dxa"/>
          </w:tcPr>
          <w:p w14:paraId="014AF6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Предполагаем. наличие на1 января 1932 г.</w:t>
            </w:r>
          </w:p>
        </w:tc>
      </w:tr>
      <w:tr w:rsidR="001002C3" w:rsidRPr="005E779E" w14:paraId="1D928A33" w14:textId="77777777">
        <w:tc>
          <w:tcPr>
            <w:tcW w:w="2254" w:type="dxa"/>
          </w:tcPr>
          <w:p w14:paraId="2F7C8D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 М-22</w:t>
            </w:r>
          </w:p>
        </w:tc>
        <w:tc>
          <w:tcPr>
            <w:tcW w:w="2254" w:type="dxa"/>
          </w:tcPr>
          <w:p w14:paraId="584A5B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21/4</w:t>
            </w:r>
          </w:p>
        </w:tc>
        <w:tc>
          <w:tcPr>
            <w:tcW w:w="2254" w:type="dxa"/>
          </w:tcPr>
          <w:p w14:paraId="37B108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182</w:t>
            </w:r>
          </w:p>
        </w:tc>
      </w:tr>
      <w:tr w:rsidR="001002C3" w:rsidRPr="005E779E" w14:paraId="3BA95579" w14:textId="77777777">
        <w:tc>
          <w:tcPr>
            <w:tcW w:w="2254" w:type="dxa"/>
          </w:tcPr>
          <w:p w14:paraId="19CC8B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И-4 М-22</w:t>
            </w:r>
          </w:p>
        </w:tc>
        <w:tc>
          <w:tcPr>
            <w:tcW w:w="2254" w:type="dxa"/>
          </w:tcPr>
          <w:p w14:paraId="5717AB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137/16</w:t>
            </w:r>
          </w:p>
        </w:tc>
        <w:tc>
          <w:tcPr>
            <w:tcW w:w="2254" w:type="dxa"/>
          </w:tcPr>
          <w:p w14:paraId="421BB2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w:t>
            </w:r>
          </w:p>
        </w:tc>
      </w:tr>
      <w:tr w:rsidR="001002C3" w:rsidRPr="005E779E" w14:paraId="6D4FE856" w14:textId="77777777">
        <w:tc>
          <w:tcPr>
            <w:tcW w:w="2254" w:type="dxa"/>
          </w:tcPr>
          <w:p w14:paraId="6A40DB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И-3 М-17</w:t>
            </w:r>
          </w:p>
        </w:tc>
        <w:tc>
          <w:tcPr>
            <w:tcW w:w="2254" w:type="dxa"/>
          </w:tcPr>
          <w:p w14:paraId="553551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297/15</w:t>
            </w:r>
          </w:p>
        </w:tc>
        <w:tc>
          <w:tcPr>
            <w:tcW w:w="2254" w:type="dxa"/>
          </w:tcPr>
          <w:p w14:paraId="7991E6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270</w:t>
            </w:r>
          </w:p>
        </w:tc>
      </w:tr>
      <w:tr w:rsidR="001002C3" w:rsidRPr="005E779E" w14:paraId="64B0D942" w14:textId="77777777">
        <w:tc>
          <w:tcPr>
            <w:tcW w:w="2254" w:type="dxa"/>
          </w:tcPr>
          <w:p w14:paraId="2D912F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И-7 М-17</w:t>
            </w:r>
          </w:p>
        </w:tc>
        <w:tc>
          <w:tcPr>
            <w:tcW w:w="2254" w:type="dxa"/>
          </w:tcPr>
          <w:p w14:paraId="35D1FF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2254" w:type="dxa"/>
          </w:tcPr>
          <w:p w14:paraId="544135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w:t>
            </w:r>
          </w:p>
        </w:tc>
      </w:tr>
      <w:tr w:rsidR="001002C3" w:rsidRPr="005E779E" w14:paraId="1887ABC9" w14:textId="77777777">
        <w:tc>
          <w:tcPr>
            <w:tcW w:w="2254" w:type="dxa"/>
          </w:tcPr>
          <w:p w14:paraId="6F8BB4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И-2 и И-2бис</w:t>
            </w:r>
          </w:p>
        </w:tc>
        <w:tc>
          <w:tcPr>
            <w:tcW w:w="2254" w:type="dxa"/>
          </w:tcPr>
          <w:p w14:paraId="5D8B54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74/19</w:t>
            </w:r>
          </w:p>
        </w:tc>
        <w:tc>
          <w:tcPr>
            <w:tcW w:w="2254" w:type="dxa"/>
          </w:tcPr>
          <w:p w14:paraId="452431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54</w:t>
            </w:r>
          </w:p>
        </w:tc>
      </w:tr>
      <w:tr w:rsidR="001002C3" w:rsidRPr="005E779E" w14:paraId="36D7913D" w14:textId="77777777">
        <w:tc>
          <w:tcPr>
            <w:tcW w:w="2254" w:type="dxa"/>
          </w:tcPr>
          <w:p w14:paraId="27D60B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Р-6 М-17</w:t>
            </w:r>
          </w:p>
        </w:tc>
        <w:tc>
          <w:tcPr>
            <w:tcW w:w="2254" w:type="dxa"/>
          </w:tcPr>
          <w:p w14:paraId="5980FA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2254" w:type="dxa"/>
          </w:tcPr>
          <w:p w14:paraId="44060A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w:t>
            </w:r>
          </w:p>
        </w:tc>
      </w:tr>
      <w:tr w:rsidR="001002C3" w:rsidRPr="005E779E" w14:paraId="2DB2E538" w14:textId="77777777">
        <w:tc>
          <w:tcPr>
            <w:tcW w:w="2254" w:type="dxa"/>
          </w:tcPr>
          <w:p w14:paraId="06EBA6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Р-5 М-17</w:t>
            </w:r>
          </w:p>
        </w:tc>
        <w:tc>
          <w:tcPr>
            <w:tcW w:w="2254" w:type="dxa"/>
          </w:tcPr>
          <w:p w14:paraId="194E39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114/2</w:t>
            </w:r>
          </w:p>
        </w:tc>
        <w:tc>
          <w:tcPr>
            <w:tcW w:w="2254" w:type="dxa"/>
          </w:tcPr>
          <w:p w14:paraId="68F583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605</w:t>
            </w:r>
          </w:p>
        </w:tc>
      </w:tr>
      <w:tr w:rsidR="001002C3" w:rsidRPr="005E779E" w14:paraId="4AFF9F7B" w14:textId="77777777">
        <w:tc>
          <w:tcPr>
            <w:tcW w:w="2254" w:type="dxa"/>
          </w:tcPr>
          <w:p w14:paraId="431063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МР-5 М-17</w:t>
            </w:r>
          </w:p>
        </w:tc>
        <w:tc>
          <w:tcPr>
            <w:tcW w:w="2254" w:type="dxa"/>
          </w:tcPr>
          <w:p w14:paraId="66C004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2254" w:type="dxa"/>
          </w:tcPr>
          <w:p w14:paraId="6F6D31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w:t>
            </w:r>
          </w:p>
        </w:tc>
      </w:tr>
      <w:tr w:rsidR="001002C3" w:rsidRPr="005E779E" w14:paraId="3E04B3D1" w14:textId="77777777">
        <w:tc>
          <w:tcPr>
            <w:tcW w:w="2254" w:type="dxa"/>
          </w:tcPr>
          <w:p w14:paraId="4B9610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Р-1 М-5</w:t>
            </w:r>
          </w:p>
        </w:tc>
        <w:tc>
          <w:tcPr>
            <w:tcW w:w="2254" w:type="dxa"/>
          </w:tcPr>
          <w:p w14:paraId="5713DC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1223/284</w:t>
            </w:r>
          </w:p>
        </w:tc>
        <w:tc>
          <w:tcPr>
            <w:tcW w:w="2254" w:type="dxa"/>
          </w:tcPr>
          <w:p w14:paraId="2FED4F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1443</w:t>
            </w:r>
          </w:p>
        </w:tc>
      </w:tr>
      <w:tr w:rsidR="001002C3" w:rsidRPr="005E779E" w14:paraId="30361BDD" w14:textId="77777777">
        <w:tc>
          <w:tcPr>
            <w:tcW w:w="2254" w:type="dxa"/>
          </w:tcPr>
          <w:p w14:paraId="557333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МР-М-5</w:t>
            </w:r>
          </w:p>
        </w:tc>
        <w:tc>
          <w:tcPr>
            <w:tcW w:w="2254" w:type="dxa"/>
          </w:tcPr>
          <w:p w14:paraId="3F91D9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58/12</w:t>
            </w:r>
          </w:p>
        </w:tc>
        <w:tc>
          <w:tcPr>
            <w:tcW w:w="2254" w:type="dxa"/>
          </w:tcPr>
          <w:p w14:paraId="594B13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w:t>
            </w:r>
          </w:p>
        </w:tc>
      </w:tr>
      <w:tr w:rsidR="001002C3" w:rsidRPr="005E779E" w14:paraId="33C9EE90" w14:textId="77777777">
        <w:tc>
          <w:tcPr>
            <w:tcW w:w="2254" w:type="dxa"/>
          </w:tcPr>
          <w:p w14:paraId="26D7B5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ТШ-2-х моторн.</w:t>
            </w:r>
          </w:p>
        </w:tc>
        <w:tc>
          <w:tcPr>
            <w:tcW w:w="2254" w:type="dxa"/>
          </w:tcPr>
          <w:p w14:paraId="3C4D07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2254" w:type="dxa"/>
          </w:tcPr>
          <w:p w14:paraId="721F3F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w:t>
            </w:r>
          </w:p>
        </w:tc>
      </w:tr>
      <w:tr w:rsidR="001002C3" w:rsidRPr="005E779E" w14:paraId="7164457C" w14:textId="77777777">
        <w:tc>
          <w:tcPr>
            <w:tcW w:w="2254" w:type="dxa"/>
          </w:tcPr>
          <w:p w14:paraId="64D1D7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ТБ-1 на поплавк.</w:t>
            </w:r>
          </w:p>
        </w:tc>
        <w:tc>
          <w:tcPr>
            <w:tcW w:w="2254" w:type="dxa"/>
          </w:tcPr>
          <w:p w14:paraId="613C14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2254" w:type="dxa"/>
          </w:tcPr>
          <w:p w14:paraId="58DB55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w:t>
            </w:r>
          </w:p>
        </w:tc>
      </w:tr>
      <w:tr w:rsidR="001002C3" w:rsidRPr="005E779E" w14:paraId="36CE28B9" w14:textId="77777777">
        <w:tc>
          <w:tcPr>
            <w:tcW w:w="2254" w:type="dxa"/>
          </w:tcPr>
          <w:p w14:paraId="2ECA90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ТБ-3</w:t>
            </w:r>
          </w:p>
        </w:tc>
        <w:tc>
          <w:tcPr>
            <w:tcW w:w="2254" w:type="dxa"/>
          </w:tcPr>
          <w:p w14:paraId="2C05DD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7806C5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E1EAFC6" w14:textId="77777777">
        <w:tc>
          <w:tcPr>
            <w:tcW w:w="2254" w:type="dxa"/>
          </w:tcPr>
          <w:p w14:paraId="1DFD14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САВ.62бис</w:t>
            </w:r>
          </w:p>
        </w:tc>
        <w:tc>
          <w:tcPr>
            <w:tcW w:w="2254" w:type="dxa"/>
          </w:tcPr>
          <w:p w14:paraId="10F539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2254" w:type="dxa"/>
          </w:tcPr>
          <w:p w14:paraId="2A9FC3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w:t>
            </w:r>
          </w:p>
        </w:tc>
      </w:tr>
      <w:tr w:rsidR="001002C3" w:rsidRPr="005E779E" w14:paraId="4D4A9A9E" w14:textId="77777777">
        <w:tc>
          <w:tcPr>
            <w:tcW w:w="2254" w:type="dxa"/>
          </w:tcPr>
          <w:p w14:paraId="0A4A22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Д-ВАЛЬ</w:t>
            </w:r>
          </w:p>
        </w:tc>
        <w:tc>
          <w:tcPr>
            <w:tcW w:w="2254" w:type="dxa"/>
          </w:tcPr>
          <w:p w14:paraId="59263D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15/4</w:t>
            </w:r>
          </w:p>
        </w:tc>
        <w:tc>
          <w:tcPr>
            <w:tcW w:w="2254" w:type="dxa"/>
          </w:tcPr>
          <w:p w14:paraId="2B21DD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w:t>
            </w:r>
          </w:p>
        </w:tc>
      </w:tr>
      <w:tr w:rsidR="001002C3" w:rsidRPr="005E779E" w14:paraId="495D8443" w14:textId="77777777">
        <w:tc>
          <w:tcPr>
            <w:tcW w:w="2254" w:type="dxa"/>
          </w:tcPr>
          <w:p w14:paraId="421A85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НД-55</w:t>
            </w:r>
          </w:p>
        </w:tc>
        <w:tc>
          <w:tcPr>
            <w:tcW w:w="2254" w:type="dxa"/>
          </w:tcPr>
          <w:p w14:paraId="0E9294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18/2</w:t>
            </w:r>
          </w:p>
        </w:tc>
        <w:tc>
          <w:tcPr>
            <w:tcW w:w="2254" w:type="dxa"/>
          </w:tcPr>
          <w:p w14:paraId="286518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w:t>
            </w:r>
          </w:p>
        </w:tc>
      </w:tr>
      <w:tr w:rsidR="001002C3" w:rsidRPr="005E779E" w14:paraId="2D6EC76A" w14:textId="77777777">
        <w:tc>
          <w:tcPr>
            <w:tcW w:w="2254" w:type="dxa"/>
          </w:tcPr>
          <w:p w14:paraId="23A7D9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У-1</w:t>
            </w:r>
          </w:p>
        </w:tc>
        <w:tc>
          <w:tcPr>
            <w:tcW w:w="2254" w:type="dxa"/>
          </w:tcPr>
          <w:p w14:paraId="79456C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271/54</w:t>
            </w:r>
          </w:p>
        </w:tc>
        <w:tc>
          <w:tcPr>
            <w:tcW w:w="2254" w:type="dxa"/>
          </w:tcPr>
          <w:p w14:paraId="776309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w:t>
            </w:r>
          </w:p>
        </w:tc>
      </w:tr>
      <w:tr w:rsidR="001002C3" w:rsidRPr="005E779E" w14:paraId="2C33B7AD" w14:textId="77777777">
        <w:tc>
          <w:tcPr>
            <w:tcW w:w="2254" w:type="dxa"/>
          </w:tcPr>
          <w:p w14:paraId="0DE4F5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У-2</w:t>
            </w:r>
          </w:p>
        </w:tc>
        <w:tc>
          <w:tcPr>
            <w:tcW w:w="2254" w:type="dxa"/>
          </w:tcPr>
          <w:p w14:paraId="23A5D2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70/8</w:t>
            </w:r>
          </w:p>
        </w:tc>
        <w:tc>
          <w:tcPr>
            <w:tcW w:w="2254" w:type="dxa"/>
          </w:tcPr>
          <w:p w14:paraId="2B77C0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400</w:t>
            </w:r>
          </w:p>
        </w:tc>
      </w:tr>
      <w:tr w:rsidR="001002C3" w:rsidRPr="005E779E" w14:paraId="39CC212A" w14:textId="77777777">
        <w:tc>
          <w:tcPr>
            <w:tcW w:w="2254" w:type="dxa"/>
          </w:tcPr>
          <w:p w14:paraId="571A34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МУ-1</w:t>
            </w:r>
          </w:p>
        </w:tc>
        <w:tc>
          <w:tcPr>
            <w:tcW w:w="2254" w:type="dxa"/>
          </w:tcPr>
          <w:p w14:paraId="236864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25/12</w:t>
            </w:r>
          </w:p>
        </w:tc>
        <w:tc>
          <w:tcPr>
            <w:tcW w:w="2254" w:type="dxa"/>
          </w:tcPr>
          <w:p w14:paraId="76F1EA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w:t>
            </w:r>
          </w:p>
        </w:tc>
      </w:tr>
      <w:tr w:rsidR="001002C3" w:rsidRPr="005E779E" w14:paraId="32D4B225" w14:textId="77777777">
        <w:tc>
          <w:tcPr>
            <w:tcW w:w="2254" w:type="dxa"/>
          </w:tcPr>
          <w:p w14:paraId="67210B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АНТ-9</w:t>
            </w:r>
          </w:p>
        </w:tc>
        <w:tc>
          <w:tcPr>
            <w:tcW w:w="2254" w:type="dxa"/>
          </w:tcPr>
          <w:p w14:paraId="79D311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w:t>
            </w:r>
          </w:p>
        </w:tc>
        <w:tc>
          <w:tcPr>
            <w:tcW w:w="2254" w:type="dxa"/>
          </w:tcPr>
          <w:p w14:paraId="314157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w:t>
            </w:r>
          </w:p>
        </w:tc>
      </w:tr>
      <w:tr w:rsidR="001002C3" w:rsidRPr="005E779E" w14:paraId="532E9696" w14:textId="77777777">
        <w:tc>
          <w:tcPr>
            <w:tcW w:w="2254" w:type="dxa"/>
          </w:tcPr>
          <w:p w14:paraId="24C30E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Р-3 М-5</w:t>
            </w:r>
          </w:p>
        </w:tc>
        <w:tc>
          <w:tcPr>
            <w:tcW w:w="2254" w:type="dxa"/>
          </w:tcPr>
          <w:p w14:paraId="6A19EF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3/9</w:t>
            </w:r>
          </w:p>
        </w:tc>
        <w:tc>
          <w:tcPr>
            <w:tcW w:w="2254" w:type="dxa"/>
          </w:tcPr>
          <w:p w14:paraId="000ECF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w:t>
            </w:r>
          </w:p>
        </w:tc>
      </w:tr>
      <w:tr w:rsidR="001002C3" w:rsidRPr="005E779E" w14:paraId="144933F4" w14:textId="77777777">
        <w:tc>
          <w:tcPr>
            <w:tcW w:w="2254" w:type="dxa"/>
          </w:tcPr>
          <w:p w14:paraId="3D53DC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Р3-ЛД</w:t>
            </w:r>
          </w:p>
        </w:tc>
        <w:tc>
          <w:tcPr>
            <w:tcW w:w="2254" w:type="dxa"/>
          </w:tcPr>
          <w:p w14:paraId="554E33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53/29</w:t>
            </w:r>
          </w:p>
        </w:tc>
        <w:tc>
          <w:tcPr>
            <w:tcW w:w="2254" w:type="dxa"/>
          </w:tcPr>
          <w:p w14:paraId="342BED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73</w:t>
            </w:r>
          </w:p>
        </w:tc>
      </w:tr>
      <w:tr w:rsidR="001002C3" w:rsidRPr="005E779E" w14:paraId="5F9B83A5" w14:textId="77777777">
        <w:tc>
          <w:tcPr>
            <w:tcW w:w="2254" w:type="dxa"/>
          </w:tcPr>
          <w:p w14:paraId="575ADD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w:t>
            </w:r>
          </w:p>
        </w:tc>
        <w:tc>
          <w:tcPr>
            <w:tcW w:w="2254" w:type="dxa"/>
          </w:tcPr>
          <w:p w14:paraId="53DE10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2464/478</w:t>
            </w:r>
          </w:p>
        </w:tc>
        <w:tc>
          <w:tcPr>
            <w:tcW w:w="2254" w:type="dxa"/>
          </w:tcPr>
          <w:p w14:paraId="093209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3814</w:t>
            </w:r>
          </w:p>
        </w:tc>
      </w:tr>
    </w:tbl>
    <w:p w14:paraId="6C1645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Примечание: Знаменателем показаны самолеты, находящиеся в ремонте. (2992,106-107).</w:t>
      </w:r>
    </w:p>
    <w:p w14:paraId="2D707E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FAEA32A" w14:textId="77777777" w:rsidR="00B152B2" w:rsidRPr="005E779E" w:rsidRDefault="00B152B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августа 1931. На лугу возле деревни Щукино прошли финальные соревнования летающих авиамоделей (18724).</w:t>
      </w:r>
    </w:p>
    <w:p w14:paraId="79B6695B" w14:textId="77777777" w:rsidR="00B152B2" w:rsidRPr="005E779E" w:rsidRDefault="00B152B2" w:rsidP="000B7A6C">
      <w:pPr>
        <w:spacing w:after="0" w:line="240" w:lineRule="auto"/>
        <w:jc w:val="both"/>
        <w:rPr>
          <w:rFonts w:ascii="Times New Roman" w:hAnsi="Times New Roman"/>
          <w:color w:val="000000" w:themeColor="text1"/>
          <w:sz w:val="16"/>
          <w:szCs w:val="16"/>
        </w:rPr>
      </w:pPr>
    </w:p>
    <w:p w14:paraId="2F818DD1" w14:textId="2C447555" w:rsidR="008B2BB8" w:rsidRPr="005E779E" w:rsidRDefault="008B2BB8" w:rsidP="000B7A6C">
      <w:pPr>
        <w:autoSpaceDE w:val="0"/>
        <w:autoSpaceDN w:val="0"/>
        <w:adjustRightInd w:val="0"/>
        <w:spacing w:after="0" w:line="240" w:lineRule="auto"/>
        <w:jc w:val="both"/>
        <w:rPr>
          <w:rFonts w:ascii="Times New Roman" w:hAnsi="Times New Roman"/>
          <w:i/>
          <w:iCs/>
          <w:color w:val="000000" w:themeColor="text1"/>
          <w:sz w:val="16"/>
          <w:szCs w:val="16"/>
        </w:rPr>
      </w:pPr>
      <w:r w:rsidRPr="005E779E">
        <w:rPr>
          <w:rFonts w:ascii="Times New Roman" w:hAnsi="Times New Roman"/>
          <w:i/>
          <w:iCs/>
          <w:color w:val="000000" w:themeColor="text1"/>
          <w:sz w:val="16"/>
          <w:szCs w:val="16"/>
        </w:rPr>
        <w:t>Армия:</w:t>
      </w:r>
    </w:p>
    <w:p w14:paraId="2B773B40" w14:textId="77777777" w:rsidR="008B2BB8" w:rsidRPr="005E779E" w:rsidRDefault="008B2BB8" w:rsidP="000B7A6C">
      <w:pPr>
        <w:autoSpaceDE w:val="0"/>
        <w:autoSpaceDN w:val="0"/>
        <w:adjustRightInd w:val="0"/>
        <w:spacing w:after="0" w:line="240" w:lineRule="auto"/>
        <w:jc w:val="both"/>
        <w:rPr>
          <w:rFonts w:ascii="Times New Roman" w:hAnsi="Times New Roman"/>
          <w:i/>
          <w:iCs/>
          <w:color w:val="000000" w:themeColor="text1"/>
          <w:sz w:val="16"/>
          <w:szCs w:val="16"/>
        </w:rPr>
      </w:pPr>
    </w:p>
    <w:p w14:paraId="1828CFAF" w14:textId="77777777" w:rsidR="008B2BB8" w:rsidRPr="005E779E" w:rsidRDefault="008B2B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августа 1931 г. начальник 1-го сектора Управления ВВС Вольников письмом № 316/00190 начальнику 8-го сектора 5-го Управления штаба РККА направил о наличии самолетов на 1 июля 1931 года и предполагаемом наличии их на 1 января 1932 г. в которой указано, что на эту дату самолет И-3 по-прежнему остается основным истребителем и их имеется 279 (264 исправных и 15 в ремонте), а на 1 января 1932 г. их предполагается иметь 270, начав замену новым истребителем И-5. Число самолетов И-2 и И-2бис уменьшено до 74 (55 исправных) и к 1 января 1932 г. должно быть сокращено до 54, И-4 остается 137 (121 исправный), а будет 150, самолетов И-5 в строю 21 (17 исправных), а будет 182, также к 1 января 1932 г. ожидается иметь 40 истребителей И-7. Самолет И-3 считается устаревшим.</w:t>
      </w:r>
    </w:p>
    <w:p w14:paraId="70B42059" w14:textId="77777777" w:rsidR="008B2BB8" w:rsidRPr="005E779E" w:rsidRDefault="008B2BB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этом долгое время не было официальной инструкции по технике пилотирования самолета И-3 – она была составлена только в 1932 г. после проведения специальных испытаний на пикирование (24887).</w:t>
      </w:r>
    </w:p>
    <w:p w14:paraId="4949E3E1" w14:textId="77777777" w:rsidR="008B2BB8" w:rsidRPr="005E779E" w:rsidRDefault="008B2BB8" w:rsidP="000B7A6C">
      <w:pPr>
        <w:spacing w:after="0" w:line="240" w:lineRule="auto"/>
        <w:jc w:val="both"/>
        <w:rPr>
          <w:rFonts w:ascii="Times New Roman" w:hAnsi="Times New Roman"/>
          <w:color w:val="000000" w:themeColor="text1"/>
          <w:sz w:val="16"/>
          <w:szCs w:val="16"/>
        </w:rPr>
      </w:pPr>
    </w:p>
    <w:p w14:paraId="65FE8377" w14:textId="77777777" w:rsidR="00D210DB" w:rsidRPr="005E779E" w:rsidRDefault="00D210D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августа 1931 г. в СССР в Москве начальник 1-го сектора Управления ВВС Вольников письмом № 316/00190 начальнику 8-го сектора 5 Упр. штаба РККА направил справку о наличии самолетов на 1 июля 1931 г. и предполагаемом наличии их на 1 января 1932 г. Согласно этому документу самыми устаревшими истребителями в советской авиации были 74 самолета И-2 и И-2бис конструкции Д.П. Григоровича – их в ремонте было 19 из указанного числа, а оставить на плановую дату следовало 40.</w:t>
      </w:r>
    </w:p>
    <w:p w14:paraId="700668E9" w14:textId="77777777" w:rsidR="00D210DB" w:rsidRPr="005E779E" w:rsidRDefault="00D210D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Эксплуатация самолета И-2 конструкции Д.П. Григоровича в военной авиации СССР продолжалась до 1933 г. (23560).</w:t>
      </w:r>
    </w:p>
    <w:p w14:paraId="40F39613" w14:textId="77777777" w:rsidR="00D210DB" w:rsidRPr="005E779E" w:rsidRDefault="00D210DB" w:rsidP="000B7A6C">
      <w:pPr>
        <w:spacing w:after="0" w:line="240" w:lineRule="auto"/>
        <w:jc w:val="both"/>
        <w:rPr>
          <w:rFonts w:ascii="Times New Roman" w:hAnsi="Times New Roman"/>
          <w:color w:val="000000" w:themeColor="text1"/>
          <w:sz w:val="16"/>
          <w:szCs w:val="16"/>
        </w:rPr>
      </w:pPr>
    </w:p>
    <w:p w14:paraId="4092ACF0" w14:textId="77777777" w:rsidR="00561C4E" w:rsidRPr="00142305" w:rsidRDefault="00561C4E" w:rsidP="00561C4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12 августа 1931 г. в СССР в Москве начальник 1-го сектора Управления ВВС Вольников письмом № 316/00190 начальнику 8-го сектора 5 Упр. штаба РККА направил справку о наличии самолетов на 1 июля 1931 г. и предполагаемом наличии их на 1 января 1932 г. Согласно этому документу самыми устаревшими истребителями в советской авиации были 74 самолета И-2 и И-2бис конструкции Д.П. Григоровича – их в ремонте было 19 из указанного числа, а оставить на плановую дату следовало 40 (25206).</w:t>
      </w:r>
    </w:p>
    <w:p w14:paraId="56013C8B" w14:textId="77777777" w:rsidR="00561C4E" w:rsidRPr="00142305" w:rsidRDefault="00561C4E" w:rsidP="00561C4E">
      <w:pPr>
        <w:spacing w:after="0" w:line="240" w:lineRule="auto"/>
        <w:jc w:val="both"/>
        <w:rPr>
          <w:rFonts w:ascii="Times New Roman" w:hAnsi="Times New Roman"/>
          <w:color w:val="0070C0"/>
          <w:sz w:val="16"/>
          <w:szCs w:val="16"/>
        </w:rPr>
      </w:pPr>
    </w:p>
    <w:p w14:paraId="65F4C5DC" w14:textId="182A57CE" w:rsidR="008C31FB"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7A578839" w14:textId="77777777" w:rsidR="008C31FB" w:rsidRPr="005E779E" w:rsidRDefault="008C31FB"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B11E3DA" w14:textId="77777777" w:rsidR="008C31FB" w:rsidRPr="005E779E" w:rsidRDefault="008C31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12 августа в 1931 году на польском самолете </w:t>
      </w:r>
      <w:hyperlink r:id="rId168" w:tgtFrame="_blank" w:history="1">
        <w:r w:rsidRPr="005E779E">
          <w:rPr>
            <w:rFonts w:ascii="Times New Roman" w:hAnsi="Times New Roman"/>
            <w:color w:val="000000" w:themeColor="text1"/>
            <w:sz w:val="16"/>
            <w:szCs w:val="16"/>
          </w:rPr>
          <w:t xml:space="preserve">«RWD-7» </w:t>
        </w:r>
      </w:hyperlink>
      <w:r w:rsidRPr="005E779E">
        <w:rPr>
          <w:rFonts w:ascii="Times New Roman" w:hAnsi="Times New Roman"/>
          <w:color w:val="000000" w:themeColor="text1"/>
          <w:sz w:val="16"/>
          <w:szCs w:val="16"/>
        </w:rPr>
        <w:t>был установлен мировой рекорд скорости для легких спортивных самолетов - 178 км/ч. Уже в конце сентября самолет покорил еще один мировой рекорд в этом классе – «RWD-7» поднялся на высоту 6023 метра. «RWD-7» был разработан как рекордный самолет. Его конструкторами были три молодых инженера - Станислав Рогальский, Станислав Вигура и Йержи Дрзвеций. Они использовали в конструкции самолета ряд решений опробованных ими в ранних моделях – «RWD-2» и «RWD-4». Единственный построенный экземпляр «RWD-7» взлетел в июле 1931 года, пилотируемый Йержи Дрзвецием (14981).</w:t>
      </w:r>
    </w:p>
    <w:p w14:paraId="485EE076" w14:textId="77777777" w:rsidR="008C31FB" w:rsidRPr="005E779E" w:rsidRDefault="008C31FB" w:rsidP="000B7A6C">
      <w:pPr>
        <w:spacing w:after="0" w:line="240" w:lineRule="auto"/>
        <w:jc w:val="both"/>
        <w:rPr>
          <w:rFonts w:ascii="Times New Roman" w:hAnsi="Times New Roman"/>
          <w:color w:val="000000" w:themeColor="text1"/>
          <w:sz w:val="16"/>
          <w:szCs w:val="16"/>
        </w:rPr>
      </w:pPr>
    </w:p>
    <w:p w14:paraId="7AD5E688"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7AF9DD2C"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EA6E5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13 августа 1931 закончились гос. испытания второго экземпляра И-5, которые шли с 13 июля 1931 и по результатам решили принять на вооружение (222,6).</w:t>
      </w:r>
    </w:p>
    <w:p w14:paraId="43B4F9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0C901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августа 1931 закончились гос. испытания самолета И5 - М22 N 21117 эталона на 1933 год, которые проходили с 13 июля 1931.</w:t>
      </w:r>
    </w:p>
    <w:p w14:paraId="0A4C76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Цель испытания:</w:t>
      </w:r>
    </w:p>
    <w:p w14:paraId="326635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Определение возможности использования самолета И5 N 21117 как эталона для постройки самолетов И5 М22 в 1933 году.</w:t>
      </w:r>
    </w:p>
    <w:p w14:paraId="160CA2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Определение летных данных самолета, отличающегося от серии И5 выпуска 1932 года с установкой: металлического винта, поворотных стоек, обтекателей на колесах, электровооружением, новым подогревателем и заменой помпы АМ на помпу типа Хорнет.</w:t>
      </w:r>
    </w:p>
    <w:p w14:paraId="7DCCD1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w:t>
      </w:r>
    </w:p>
    <w:p w14:paraId="3581B0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И5-М22 эталон на 1933 год утвердить лишь после устранения частично на самолете, частично в чертежах дефектов обнаруженных при испытании. Устранение дефектов самолетному тресту провести не позднее 20 июля 1933 года.</w:t>
      </w:r>
    </w:p>
    <w:p w14:paraId="4B5709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Испытание самолета И5 ЮVI</w:t>
      </w:r>
    </w:p>
    <w:p w14:paraId="651BB0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И-5 N2 постройки ЦКБ - мотор Гном Рон _Юпитер_ VI 480 НР N 42071</w:t>
      </w:r>
    </w:p>
    <w:p w14:paraId="724D34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Краткий журнал прохождения работ:</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1002C3" w:rsidRPr="005E779E" w14:paraId="4AB6A5CE" w14:textId="77777777">
        <w:tc>
          <w:tcPr>
            <w:tcW w:w="5636" w:type="dxa"/>
          </w:tcPr>
          <w:p w14:paraId="16D93F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Испытание начато</w:t>
            </w:r>
          </w:p>
        </w:tc>
        <w:tc>
          <w:tcPr>
            <w:tcW w:w="5636" w:type="dxa"/>
          </w:tcPr>
          <w:p w14:paraId="276AE3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июля 1931 года</w:t>
            </w:r>
          </w:p>
        </w:tc>
      </w:tr>
      <w:tr w:rsidR="001002C3" w:rsidRPr="005E779E" w14:paraId="4969D4BF" w14:textId="77777777">
        <w:tc>
          <w:tcPr>
            <w:tcW w:w="5636" w:type="dxa"/>
          </w:tcPr>
          <w:p w14:paraId="5C03BE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Испытание закончено</w:t>
            </w:r>
          </w:p>
        </w:tc>
        <w:tc>
          <w:tcPr>
            <w:tcW w:w="5636" w:type="dxa"/>
          </w:tcPr>
          <w:p w14:paraId="16A4C0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августа 1931 года</w:t>
            </w:r>
          </w:p>
        </w:tc>
      </w:tr>
      <w:tr w:rsidR="001002C3" w:rsidRPr="005E779E" w14:paraId="7B64B29A" w14:textId="77777777">
        <w:tc>
          <w:tcPr>
            <w:tcW w:w="5636" w:type="dxa"/>
          </w:tcPr>
          <w:p w14:paraId="7C138B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Летных дней </w:t>
            </w:r>
          </w:p>
        </w:tc>
        <w:tc>
          <w:tcPr>
            <w:tcW w:w="5636" w:type="dxa"/>
          </w:tcPr>
          <w:p w14:paraId="14DCF3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w:t>
            </w:r>
          </w:p>
        </w:tc>
      </w:tr>
    </w:tbl>
    <w:p w14:paraId="6124B4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 самолет находился на испытаниях 31 день.</w:t>
      </w:r>
    </w:p>
    <w:p w14:paraId="5826FA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w:t>
      </w:r>
    </w:p>
    <w:p w14:paraId="6A61B7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основании произведенных испытаний НИИ считает:</w:t>
      </w:r>
    </w:p>
    <w:p w14:paraId="41B797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Что самолет И-5 ЮVI, обладая хорошими летными и эксплуатационными данными может быть признан современным истребителем.</w:t>
      </w:r>
    </w:p>
    <w:p w14:paraId="3B46A0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устранении недочетов и при получении удовлетворительных результатов испытания вооружения и оборудования самолет И-5 может быть принят на вооружение ВВС (3915).</w:t>
      </w:r>
    </w:p>
    <w:p w14:paraId="1F83A9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90825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августа 1931 г. И-5 прошел государственные испытания с положительной оценкой, которые проходили с 13 июля. Был сделан вывод о целесообразности принятия самоле</w:t>
      </w:r>
      <w:r w:rsidRPr="005E779E">
        <w:rPr>
          <w:rFonts w:ascii="Times New Roman" w:hAnsi="Times New Roman"/>
          <w:color w:val="000000" w:themeColor="text1"/>
          <w:sz w:val="16"/>
          <w:szCs w:val="16"/>
        </w:rPr>
        <w:softHyphen/>
        <w:t>та на вооружение ВВС РККА. Эта рекомендация «зад</w:t>
      </w:r>
      <w:r w:rsidRPr="005E779E">
        <w:rPr>
          <w:rFonts w:ascii="Times New Roman" w:hAnsi="Times New Roman"/>
          <w:color w:val="000000" w:themeColor="text1"/>
          <w:sz w:val="16"/>
          <w:szCs w:val="16"/>
        </w:rPr>
        <w:softHyphen/>
        <w:t>ним числом» официально утверждала уже принятое решение (10667).</w:t>
      </w:r>
    </w:p>
    <w:p w14:paraId="689C03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2BDCA3E" w14:textId="77777777" w:rsidR="006D430D" w:rsidRPr="00142305" w:rsidRDefault="006D430D" w:rsidP="006D430D">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13 августа 1930 г. ряд ведущих авиационных специалистов и руководителей обратились в СНК СССР с предло</w:t>
      </w:r>
      <w:r w:rsidRPr="00142305">
        <w:rPr>
          <w:rStyle w:val="aff0"/>
          <w:rFonts w:ascii="Times New Roman" w:hAnsi="Times New Roman" w:cs="Times New Roman"/>
          <w:color w:val="0070C0"/>
          <w:spacing w:val="0"/>
          <w:sz w:val="16"/>
          <w:szCs w:val="16"/>
        </w:rPr>
        <w:softHyphen/>
        <w:t>жением об организации научно-исследовательских работ в области моторостроения. В результате ряда преобразований и переводов из ЦАГИ и Научного автомоторного института (НАМИ) в декабре 1930 г. был создан Институт авиационного моторостроения (ИАМ) во главе с И.Э. Марьямовым. Помимо решения научно-исследовательских задач ИАМ (с 1932 г. – Центральный институт авиационного моторо</w:t>
      </w:r>
      <w:r w:rsidRPr="00142305">
        <w:rPr>
          <w:rStyle w:val="aff0"/>
          <w:rFonts w:ascii="Times New Roman" w:hAnsi="Times New Roman" w:cs="Times New Roman"/>
          <w:color w:val="0070C0"/>
          <w:spacing w:val="0"/>
          <w:sz w:val="16"/>
          <w:szCs w:val="16"/>
        </w:rPr>
        <w:softHyphen/>
        <w:t>строения – ЦИАМ) поручались конструирование, изготовление и доводка нескольких образцов авиад</w:t>
      </w:r>
      <w:r w:rsidRPr="00142305">
        <w:rPr>
          <w:rStyle w:val="aff0"/>
          <w:rFonts w:ascii="Times New Roman" w:hAnsi="Times New Roman" w:cs="Times New Roman"/>
          <w:color w:val="0070C0"/>
          <w:spacing w:val="0"/>
          <w:sz w:val="16"/>
          <w:szCs w:val="16"/>
        </w:rPr>
        <w:softHyphen/>
        <w:t>вигателей. Одним из таких образцов был начатый проектированием конструктором А.А. Микулиным еще в 1928 г. 12-цицилиндровый V-образный мотор жидкостного охлаждения М-34 (25145).</w:t>
      </w:r>
    </w:p>
    <w:p w14:paraId="16047548" w14:textId="77777777" w:rsidR="006D430D" w:rsidRPr="00142305" w:rsidRDefault="006D430D" w:rsidP="006D430D">
      <w:pPr>
        <w:spacing w:after="0" w:line="240" w:lineRule="auto"/>
        <w:jc w:val="both"/>
        <w:rPr>
          <w:rFonts w:ascii="Times New Roman" w:hAnsi="Times New Roman"/>
          <w:color w:val="0070C0"/>
          <w:sz w:val="16"/>
          <w:szCs w:val="16"/>
        </w:rPr>
      </w:pPr>
    </w:p>
    <w:p w14:paraId="4442D2CF" w14:textId="77777777" w:rsidR="00024EF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529E1AF3" w14:textId="77777777" w:rsidR="00024EF9" w:rsidRPr="005E779E" w:rsidRDefault="00024EF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67CCE9F" w14:textId="77777777" w:rsidR="00024EF9" w:rsidRPr="005E779E" w:rsidRDefault="00024EF9" w:rsidP="000B7A6C">
      <w:pPr>
        <w:pStyle w:val="rtejustify"/>
        <w:spacing w:before="0" w:after="0"/>
        <w:rPr>
          <w:color w:val="000000" w:themeColor="text1"/>
          <w:sz w:val="16"/>
          <w:szCs w:val="16"/>
        </w:rPr>
      </w:pPr>
      <w:r w:rsidRPr="005E779E">
        <w:rPr>
          <w:rStyle w:val="af0"/>
          <w:i w:val="0"/>
          <w:color w:val="000000" w:themeColor="text1"/>
          <w:sz w:val="16"/>
          <w:szCs w:val="16"/>
        </w:rPr>
        <w:t xml:space="preserve">13 августа 1931 г. Протокол Реввоенсовета № 29. </w:t>
      </w:r>
      <w:r w:rsidRPr="005E779E">
        <w:rPr>
          <w:color w:val="000000" w:themeColor="text1"/>
          <w:sz w:val="16"/>
          <w:szCs w:val="16"/>
        </w:rPr>
        <w:t>2. Итоги опытной мобилизации промышленности в 1930 г. и план опытных мобилизаций осени 1931 г. (в частности доклад Смилги о ходе выполнения МПС постановления Президиума ВСНХ по докладу Ефимова) (Кузнецов). 10. О состоянии работ по матчасти воздухоплавания (Алкснис). 16. О расширении функций Научно-авто-тракторного института соответственно потребностям РККА (Халепский). 24. Импортный план на 1932 г. (Гиттис). (РГВА. Ф. 4. Оп. 18. Д. 21. Л. 81, 84, 85, 87) (12342).</w:t>
      </w:r>
    </w:p>
    <w:p w14:paraId="4D0F6448" w14:textId="77777777" w:rsidR="00024EF9" w:rsidRPr="005E779E" w:rsidRDefault="00024EF9" w:rsidP="000B7A6C">
      <w:pPr>
        <w:pStyle w:val="rtejustify"/>
        <w:spacing w:before="0" w:after="0"/>
        <w:rPr>
          <w:color w:val="000000" w:themeColor="text1"/>
          <w:sz w:val="16"/>
          <w:szCs w:val="16"/>
        </w:rPr>
      </w:pPr>
    </w:p>
    <w:p w14:paraId="6286F2AC" w14:textId="77777777" w:rsidR="00024EF9" w:rsidRPr="005E779E" w:rsidRDefault="00024EF9"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13 августа 1931 </w:t>
      </w:r>
      <w:r w:rsidRPr="005E779E">
        <w:rPr>
          <w:rFonts w:ascii="Times New Roman" w:hAnsi="Times New Roman"/>
          <w:color w:val="000000" w:themeColor="text1"/>
          <w:sz w:val="16"/>
          <w:szCs w:val="16"/>
        </w:rPr>
        <w:t>ЦИК и СНК приняли постановление «О введении в действие положения о фондах премирования за достижения по выполнению и перевыполнению промфинплана, а также за изобретения, технические усовершенствования и рационализаторские предложения» (12265).</w:t>
      </w:r>
    </w:p>
    <w:p w14:paraId="6E18AC7D" w14:textId="77777777" w:rsidR="00024EF9" w:rsidRPr="005E779E" w:rsidRDefault="00024EF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439E28DA" w14:textId="77777777" w:rsidR="008C31FB"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25920D56" w14:textId="77777777" w:rsidR="008C31FB" w:rsidRPr="005E779E" w:rsidRDefault="008C31FB"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F16636C" w14:textId="77777777" w:rsidR="008C31FB" w:rsidRPr="005E779E" w:rsidRDefault="008C31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13 августа в 1931 году в небо поднялся первый четырехмоторный </w:t>
      </w:r>
      <w:hyperlink r:id="rId169" w:tgtFrame="_blank" w:history="1">
        <w:r w:rsidRPr="005E779E">
          <w:rPr>
            <w:rFonts w:ascii="Times New Roman" w:hAnsi="Times New Roman"/>
            <w:color w:val="000000" w:themeColor="text1"/>
            <w:sz w:val="16"/>
            <w:szCs w:val="16"/>
          </w:rPr>
          <w:t xml:space="preserve">«H.P.42W» "Геракл" ("Неracle" ) «G-AAXC». </w:t>
        </w:r>
      </w:hyperlink>
      <w:r w:rsidRPr="005E779E">
        <w:rPr>
          <w:rFonts w:ascii="Times New Roman" w:hAnsi="Times New Roman"/>
          <w:color w:val="000000" w:themeColor="text1"/>
          <w:sz w:val="16"/>
          <w:szCs w:val="16"/>
        </w:rPr>
        <w:t>После устранения неполадок с выхлопными трубами на верхних двигателях "Геракл" перелетел на основную базу "Империал Эйруэйз" в Кройдоне (14982).</w:t>
      </w:r>
    </w:p>
    <w:p w14:paraId="48F11581" w14:textId="77777777" w:rsidR="008C31FB" w:rsidRPr="005E779E" w:rsidRDefault="008C31FB" w:rsidP="000B7A6C">
      <w:pPr>
        <w:spacing w:after="0" w:line="240" w:lineRule="auto"/>
        <w:jc w:val="both"/>
        <w:rPr>
          <w:rFonts w:ascii="Times New Roman" w:hAnsi="Times New Roman"/>
          <w:color w:val="000000" w:themeColor="text1"/>
          <w:sz w:val="16"/>
          <w:szCs w:val="16"/>
        </w:rPr>
      </w:pPr>
    </w:p>
    <w:p w14:paraId="63D2C5A9"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27F5CF65"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C2217D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августа 1931 г. был выполнен первый полет цельнометаллического пассажирского самолета АНТ-14 "Правда" (6395).</w:t>
      </w:r>
    </w:p>
    <w:p w14:paraId="62F9EEF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5091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(13 - 274) (15 - 438,626) августа 1931 состоялся первый полет АНТ-14 в Москве (71,183), а 15 августа - второй (92,437). Летал М.М.Громов (346,52) и И.Ф.Козлов (438,626). В авиаэскадрилье МГ использовался для платных полетов над Москвой почти 10 лет. 1000 полетов, 40 тыс. пассажиров без проблем. Два раза летал в Харьков и один раз в Ленинград (92,437). Затем в 1942 его перевезли в Парк Горького и он стал первым в стране авиа кинотеатром для детей (77,106).</w:t>
      </w:r>
    </w:p>
    <w:p w14:paraId="12DF69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FD2FC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августа 1931 года был выпущен пассажирский самолет АНТ-14 на 2,5 месяца раньше срока. После упомянутой даты самолет АНТ-14 произвел несколько пробных полетов в воздухе, показавших его высокие качества и значительные преимущества перед подобными самолетами, конструируемыми за границей.</w:t>
      </w:r>
    </w:p>
    <w:p w14:paraId="7C1F3F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этого самолет АНТ-14 полетов не производил, в эксплуатацию не вступил и не был сдан до середины сентября. Причиной этого стало то, что самолет был недоделан: в нем отсутствует телефонное сообщение между пилотами и командиром корабля, электропроводка для освещения, испорчен центральный мотор и т.д. (7753, 190).</w:t>
      </w:r>
    </w:p>
    <w:p w14:paraId="55D2FB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D878B18" w14:textId="77777777" w:rsidR="005F6ACD" w:rsidRPr="005E779E" w:rsidRDefault="005F6ACD" w:rsidP="000B7A6C">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14 августа 1931 года летчик-испытатель М.М. Громов впервые поднял в воздух пятимоторный самолет-гигант АНТ-14, способный перевозить до 36 пассажиров. Однако потребность в столь большом самолете на авиалиниях пока не возникла, и АНТ-14 остался в единственном экземпляре, став в 1933 году флагманом эскадрильи имени Максима Горького, получив собственное наименование – «Правда» (21249).</w:t>
      </w:r>
    </w:p>
    <w:p w14:paraId="73EFE318" w14:textId="77777777" w:rsidR="005F6ACD" w:rsidRPr="005E779E" w:rsidRDefault="005F6ACD" w:rsidP="000B7A6C">
      <w:pPr>
        <w:spacing w:after="0" w:line="240" w:lineRule="auto"/>
        <w:jc w:val="both"/>
        <w:rPr>
          <w:rFonts w:ascii="Times New Roman" w:hAnsi="Times New Roman"/>
          <w:color w:val="000000" w:themeColor="text1"/>
          <w:sz w:val="16"/>
          <w:szCs w:val="16"/>
          <w:lang w:eastAsia="ru-RU" w:bidi="ru-RU"/>
        </w:rPr>
      </w:pPr>
    </w:p>
    <w:p w14:paraId="1A0F97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августа 1931 г. состоялся первый полет опытного образца АНТ-14, второй имел место на следующий день. Машину в обоих случаях пилотировал М.М. Громов. При полетном весе 17 530 кг самолет имел максимальную скорость 236 км/ч и дальность порядка 1200 км. АНТ-14 отличался неплохой устойчивостью и управляемостью. Испытания прошли без всяких осложнений. Выявив возможность увеличения нагрузки, конструкторы проработали новый вариант компоновки салона на 36 пассажирских мест.</w:t>
      </w:r>
    </w:p>
    <w:p w14:paraId="6344A0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1932 г. Главное управление ГВФ пыталось заказать у промышленности 30 АНТ-14, но заявка не была принята ГУАП в связи с перегрузкой военными заказами. В серийное производство АНТ-14 так и не попал.</w:t>
      </w:r>
    </w:p>
    <w:p w14:paraId="5AD64D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Однако этот самолет рассматривался не только как гражданский. Собственно, чисто гражданских машин в нашей стране в тот период вообще не было. Каждый пассажирский самолет с самого начала проектировался с учетом возможного военного применения. Технические задания обязательно согласовывались с Управлением ВВС, а опытно-конструкторские работы по пассажирскому самолетостроению наполовину финансировались военными. Им гражданские самолеты нужны были как транспортные и вспомогательные бомбардировщики (12036).</w:t>
      </w:r>
    </w:p>
    <w:p w14:paraId="6A7153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8ABC11F" w14:textId="77777777" w:rsidR="008C31FB" w:rsidRPr="005E779E" w:rsidRDefault="008C31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14 августа в 1931 году первый полет цельнометаллического пассажирского самолета </w:t>
      </w:r>
      <w:hyperlink r:id="rId170" w:tgtFrame="_blank" w:history="1">
        <w:r w:rsidRPr="005E779E">
          <w:rPr>
            <w:rFonts w:ascii="Times New Roman" w:hAnsi="Times New Roman"/>
            <w:color w:val="000000" w:themeColor="text1"/>
            <w:sz w:val="16"/>
            <w:szCs w:val="16"/>
          </w:rPr>
          <w:t xml:space="preserve">«АНТ-14» «Правда», </w:t>
        </w:r>
      </w:hyperlink>
      <w:r w:rsidRPr="005E779E">
        <w:rPr>
          <w:rFonts w:ascii="Times New Roman" w:hAnsi="Times New Roman"/>
          <w:color w:val="000000" w:themeColor="text1"/>
          <w:sz w:val="16"/>
          <w:szCs w:val="16"/>
        </w:rPr>
        <w:t>М.М.Громов. Этот пассажирский самолет на 35 мест с 5-ю моторами строился для предполагавшейся трансконтинентальной линии Москва-Владивосток. Серия не строилась, поскольку из-за малого пассажиропотока использование самолета было нерентабельным. Самолет «АНТ-14» быд флагманом агитэскадрильи имени М.Горького (14983).</w:t>
      </w:r>
    </w:p>
    <w:p w14:paraId="101C88B3" w14:textId="77777777" w:rsidR="008C31FB" w:rsidRPr="005E779E" w:rsidRDefault="008C31FB" w:rsidP="000B7A6C">
      <w:pPr>
        <w:spacing w:after="0" w:line="240" w:lineRule="auto"/>
        <w:jc w:val="both"/>
        <w:rPr>
          <w:rFonts w:ascii="Times New Roman" w:hAnsi="Times New Roman"/>
          <w:color w:val="000000" w:themeColor="text1"/>
          <w:sz w:val="16"/>
          <w:szCs w:val="16"/>
        </w:rPr>
      </w:pPr>
    </w:p>
    <w:p w14:paraId="57F627E2" w14:textId="77777777" w:rsidR="00D210DB" w:rsidRPr="005E779E" w:rsidRDefault="00D210D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августа 1931г. М.М. Громов впер</w:t>
      </w:r>
      <w:r w:rsidRPr="005E779E">
        <w:rPr>
          <w:rFonts w:ascii="Times New Roman" w:hAnsi="Times New Roman"/>
          <w:color w:val="000000" w:themeColor="text1"/>
          <w:sz w:val="16"/>
          <w:szCs w:val="16"/>
        </w:rPr>
        <w:softHyphen/>
        <w:t>вые поднял АНТ—14 в воздух. На следующий день состоялся второй полет. По оценке Громова, «самолет в воздухе вел АНТ-14. У колеса стоит себя прекрасно, легко управлялся и мало реагировал на воздушные течения». Ипытания прошли без всяких осложнений.</w:t>
      </w:r>
    </w:p>
    <w:p w14:paraId="1965009D" w14:textId="77777777" w:rsidR="00D210DB" w:rsidRPr="005E779E" w:rsidRDefault="00D210D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Оказалось, что количество кресел можно АНТ-14 на Центральном увеличить еще на четыре, тогда машина сможет брать 36 пассажиров (23474).</w:t>
      </w:r>
    </w:p>
    <w:p w14:paraId="52D55602" w14:textId="77777777" w:rsidR="00D210DB" w:rsidRPr="005E779E" w:rsidRDefault="00D210DB" w:rsidP="000B7A6C">
      <w:pPr>
        <w:spacing w:after="0" w:line="240" w:lineRule="auto"/>
        <w:jc w:val="both"/>
        <w:rPr>
          <w:rFonts w:ascii="Times New Roman" w:hAnsi="Times New Roman"/>
          <w:color w:val="000000" w:themeColor="text1"/>
          <w:sz w:val="16"/>
          <w:szCs w:val="16"/>
        </w:rPr>
      </w:pPr>
    </w:p>
    <w:p w14:paraId="35539941" w14:textId="77777777" w:rsidR="006D430D" w:rsidRPr="00142305" w:rsidRDefault="006D430D" w:rsidP="006D430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 xml:space="preserve">14 августа 1931 </w:t>
      </w:r>
      <w:r w:rsidRPr="00142305">
        <w:rPr>
          <w:rFonts w:ascii="Times New Roman" w:hAnsi="Times New Roman"/>
          <w:smallCaps/>
          <w:color w:val="0070C0"/>
          <w:sz w:val="16"/>
          <w:szCs w:val="16"/>
        </w:rPr>
        <w:t>г.</w:t>
      </w:r>
      <w:r w:rsidRPr="00142305">
        <w:rPr>
          <w:rFonts w:ascii="Times New Roman" w:hAnsi="Times New Roman"/>
          <w:color w:val="0070C0"/>
          <w:sz w:val="16"/>
          <w:szCs w:val="16"/>
        </w:rPr>
        <w:t xml:space="preserve"> состоялся первый полет опытного образца АНТ-14</w:t>
      </w:r>
      <w:r w:rsidRPr="00142305">
        <w:rPr>
          <w:rFonts w:ascii="Times New Roman" w:hAnsi="Times New Roman"/>
          <w:smallCaps/>
          <w:color w:val="0070C0"/>
          <w:sz w:val="16"/>
          <w:szCs w:val="16"/>
        </w:rPr>
        <w:t>,</w:t>
      </w:r>
      <w:r w:rsidRPr="00142305">
        <w:rPr>
          <w:rFonts w:ascii="Times New Roman" w:hAnsi="Times New Roman"/>
          <w:color w:val="0070C0"/>
          <w:sz w:val="16"/>
          <w:szCs w:val="16"/>
        </w:rPr>
        <w:t xml:space="preserve"> второй имел место на следующий день. Ма</w:t>
      </w:r>
      <w:r w:rsidRPr="00142305">
        <w:rPr>
          <w:rFonts w:ascii="Times New Roman" w:hAnsi="Times New Roman"/>
          <w:color w:val="0070C0"/>
          <w:sz w:val="16"/>
          <w:szCs w:val="16"/>
        </w:rPr>
        <w:softHyphen/>
        <w:t>шину в обоих случаях пилотировал М.М. Громов. При по</w:t>
      </w:r>
      <w:r w:rsidRPr="00142305">
        <w:rPr>
          <w:rFonts w:ascii="Times New Roman" w:hAnsi="Times New Roman"/>
          <w:color w:val="0070C0"/>
          <w:sz w:val="16"/>
          <w:szCs w:val="16"/>
        </w:rPr>
        <w:softHyphen/>
        <w:t xml:space="preserve">летном весе 17 530 </w:t>
      </w:r>
      <w:r w:rsidRPr="00142305">
        <w:rPr>
          <w:rFonts w:ascii="Times New Roman" w:hAnsi="Times New Roman"/>
          <w:smallCaps/>
          <w:color w:val="0070C0"/>
          <w:sz w:val="16"/>
          <w:szCs w:val="16"/>
        </w:rPr>
        <w:t>кг</w:t>
      </w:r>
      <w:r w:rsidRPr="00142305">
        <w:rPr>
          <w:rFonts w:ascii="Times New Roman" w:hAnsi="Times New Roman"/>
          <w:color w:val="0070C0"/>
          <w:sz w:val="16"/>
          <w:szCs w:val="16"/>
        </w:rPr>
        <w:t xml:space="preserve"> самолет имел максимальную скорость 236 км/ч и дальность порядка 1200 км. АНТ -14 отличался неплохой устойчивостью и управляемостью. Испытания прошли без всяких осложнений. Выявив возможность уве</w:t>
      </w:r>
      <w:r w:rsidRPr="00142305">
        <w:rPr>
          <w:rFonts w:ascii="Times New Roman" w:hAnsi="Times New Roman"/>
          <w:color w:val="0070C0"/>
          <w:sz w:val="16"/>
          <w:szCs w:val="16"/>
        </w:rPr>
        <w:softHyphen/>
        <w:t>личения нагрузки, конструкторы проработали новый вари</w:t>
      </w:r>
      <w:r w:rsidRPr="00142305">
        <w:rPr>
          <w:rFonts w:ascii="Times New Roman" w:hAnsi="Times New Roman"/>
          <w:color w:val="0070C0"/>
          <w:sz w:val="16"/>
          <w:szCs w:val="16"/>
        </w:rPr>
        <w:softHyphen/>
        <w:t>ант компоновки салона на 36 пассажирских мест.</w:t>
      </w:r>
    </w:p>
    <w:p w14:paraId="632B1154" w14:textId="77777777" w:rsidR="006D430D" w:rsidRPr="00142305" w:rsidRDefault="006D430D" w:rsidP="006D430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1932 г. Главное управление ГВФ пыталось заказать у промышленности 30 АНТ -14, но заявка не была принята ГУАП в связи с перегрузкой военными заказами. В серий</w:t>
      </w:r>
      <w:r w:rsidRPr="00142305">
        <w:rPr>
          <w:rFonts w:ascii="Times New Roman" w:hAnsi="Times New Roman"/>
          <w:color w:val="0070C0"/>
          <w:sz w:val="16"/>
          <w:szCs w:val="16"/>
        </w:rPr>
        <w:softHyphen/>
        <w:t>ное производство АНТ -14 так и не попал.</w:t>
      </w:r>
    </w:p>
    <w:p w14:paraId="06449EA2" w14:textId="77777777" w:rsidR="006D430D" w:rsidRPr="00142305" w:rsidRDefault="006D430D" w:rsidP="006D430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Этот самолет рассматривался не только как гражданский. Собственно. чисто гражданских машин в на</w:t>
      </w:r>
      <w:r w:rsidRPr="00142305">
        <w:rPr>
          <w:rFonts w:ascii="Times New Roman" w:hAnsi="Times New Roman"/>
          <w:color w:val="0070C0"/>
          <w:sz w:val="16"/>
          <w:szCs w:val="16"/>
        </w:rPr>
        <w:softHyphen/>
        <w:t>шей стране в тот период вообще не было. Каждый пасса</w:t>
      </w:r>
      <w:r w:rsidRPr="00142305">
        <w:rPr>
          <w:rFonts w:ascii="Times New Roman" w:hAnsi="Times New Roman"/>
          <w:color w:val="0070C0"/>
          <w:sz w:val="16"/>
          <w:szCs w:val="16"/>
        </w:rPr>
        <w:softHyphen/>
        <w:t>жирский самолет с самого начала проектировался с учетом возможного военного применения. Технические задания обязательно согласовывались с Управлением ВВС, а опыт</w:t>
      </w:r>
      <w:r w:rsidRPr="00142305">
        <w:rPr>
          <w:rFonts w:ascii="Times New Roman" w:hAnsi="Times New Roman"/>
          <w:color w:val="0070C0"/>
          <w:sz w:val="16"/>
          <w:szCs w:val="16"/>
        </w:rPr>
        <w:softHyphen/>
        <w:t>но-конструкторские работы по пассажирскому самоле</w:t>
      </w:r>
      <w:r w:rsidRPr="00142305">
        <w:rPr>
          <w:rFonts w:ascii="Times New Roman" w:hAnsi="Times New Roman"/>
          <w:color w:val="0070C0"/>
          <w:sz w:val="16"/>
          <w:szCs w:val="16"/>
        </w:rPr>
        <w:softHyphen/>
        <w:t>тостроению наполовину финансировались военными. Им гражданские самолеты нужны были как транспортные и вспомогательные бомбардировщики (24977).</w:t>
      </w:r>
    </w:p>
    <w:p w14:paraId="11865B89" w14:textId="77777777" w:rsidR="006D430D" w:rsidRPr="00142305" w:rsidRDefault="006D430D" w:rsidP="006D430D">
      <w:pPr>
        <w:spacing w:after="0" w:line="240" w:lineRule="auto"/>
        <w:jc w:val="both"/>
        <w:rPr>
          <w:rFonts w:ascii="Times New Roman" w:hAnsi="Times New Roman"/>
          <w:color w:val="0070C0"/>
          <w:sz w:val="16"/>
          <w:szCs w:val="16"/>
        </w:rPr>
      </w:pPr>
    </w:p>
    <w:p w14:paraId="31B4E49D"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03B32D9C"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BE973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14 по 22 августа 1931 г. на НИАПе из ЛМК было сделано 102 выстрела. Максимальный угол возвышения, при котором возможна стрельба, +43°, то есть ЛМК фактически не могла использоваться как мортира, стреляющая под углом возвышения свыше 45°.</w:t>
      </w:r>
    </w:p>
    <w:p w14:paraId="160451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1930 г. заводу № 7 был выдан заказ на 100 ЛМК, но завод ухитрился сорвать этот заказ.</w:t>
      </w:r>
    </w:p>
    <w:p w14:paraId="3EB1E0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1933 г. заводом № 8 было изготовлено 9 ЛМК, которые проходили войсковые испытания в московской Пролетарской стрелковой дивизии. В октябре 1933 г. дивизия проводила учения с ЛМК (по две мортиры на роту). Результаты испытаний: система неустойчива; скорострельность — 8 выстр/мин вместо предполагаемых 10–12; при дальности 1400 м рассеивание 150 м.</w:t>
      </w:r>
    </w:p>
    <w:p w14:paraId="48F6FE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вооружение ЛМК принята не была и больше не заказывалась.</w:t>
      </w:r>
    </w:p>
    <w:p w14:paraId="46990E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1931 г. Курчевским была спроектирована 76,2-мм легкая мортира (ЛМК). Мортира предназначалась для вооружения стрелковой роты. Ствол мортиры ребристый. Заряжание с дула. Затвора не было. Подъемный и поворотный механизмы винтовые. Колеса сплошные дисковые.</w:t>
      </w:r>
    </w:p>
    <w:p w14:paraId="78CC63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Данные легкой мортиры Курчевского </w:t>
      </w:r>
    </w:p>
    <w:p w14:paraId="54041E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Калибр, мм — 76,2</w:t>
      </w:r>
    </w:p>
    <w:p w14:paraId="3D08F2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Длина ствола без воронки, мм/клб — 605/8</w:t>
      </w:r>
    </w:p>
    <w:p w14:paraId="1B5E8B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Длина воронки (сопла), мм — 550</w:t>
      </w:r>
    </w:p>
    <w:p w14:paraId="15264B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Угол ВН, град — ?10°; +60°</w:t>
      </w:r>
    </w:p>
    <w:p w14:paraId="791858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Угол ГН, град — 4°30?</w:t>
      </w:r>
    </w:p>
    <w:p w14:paraId="35FAB4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Высота системы в боевом и походном (на руках) положении, мм — 750</w:t>
      </w:r>
    </w:p>
    <w:p w14:paraId="6DEB4E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Длина станин (длина станка от оси до края), мм — 900</w:t>
      </w:r>
    </w:p>
    <w:p w14:paraId="772A4B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Ширина хода, мм — 510</w:t>
      </w:r>
    </w:p>
    <w:p w14:paraId="2C8C64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Диаметр колеса, мм — 300</w:t>
      </w:r>
    </w:p>
    <w:p w14:paraId="20E7C0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Высота системы в сложенном положении, мм — 490</w:t>
      </w:r>
    </w:p>
    <w:p w14:paraId="75BDF2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ствола с воронкой, кг — 21,2</w:t>
      </w:r>
    </w:p>
    <w:p w14:paraId="1317A5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воронки (сопло), кг — 4,20</w:t>
      </w:r>
    </w:p>
    <w:p w14:paraId="0D2C0D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прицела, кг — 1,5</w:t>
      </w:r>
    </w:p>
    <w:p w14:paraId="6E20F5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станка, кг — 14,15</w:t>
      </w:r>
    </w:p>
    <w:p w14:paraId="01716D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системы, кг — 38</w:t>
      </w:r>
    </w:p>
    <w:p w14:paraId="7773CF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Скорострельность, выстр/мин: расчетная — 10–12</w:t>
      </w:r>
    </w:p>
    <w:p w14:paraId="30E36C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практическая — 8</w:t>
      </w:r>
    </w:p>
    <w:p w14:paraId="1FD2A9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перехода из боевого положения в походное, с — 20–30</w:t>
      </w:r>
    </w:p>
    <w:p w14:paraId="6FAE2B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Собственно, ЛМК и мортирой назвать нельзя. Видимо, Курчевский не знал, что мортира — это орудие, основной задачей которого является стрельба под углом свыше 45°. А ЛМК только по тактико-техническим характеристикам, поданным Курчевским в Артуправление РККА, могла вести стрельбу под углом 60°. Конструктивно ствол опытного образца мог быть опущен до 57°, но действие газовой струи физически не позволяло стрелять под углом больше 43°. Да и тогда действие раскаленных газов было опасно для расчета.</w:t>
      </w:r>
    </w:p>
    <w:p w14:paraId="07B86A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стрельбе из мортиры использовались опытные легкие снаряды весом от 3,2 до 4 кг. Выстрел унитарный. Заряд 320 г пороха ВЛ помещался в сгорающую гильзу из нитроткани с деревянным поддоном. Длина гильзы 112 мм.</w:t>
      </w:r>
    </w:p>
    <w:p w14:paraId="48D793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Максимальное давление в канале составляло 1800 кг/см2.</w:t>
      </w:r>
    </w:p>
    <w:p w14:paraId="113B5B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Первый образец 76-мм легкой мортиры Курчевского был изготовлен на заводе № 8. После заводских испытаний в объеме 100 выстрелов его отправили на полигонные испытания. На НИАП мортира прибыла 12 августа 1931 г. (12091).</w:t>
      </w:r>
    </w:p>
    <w:p w14:paraId="2D2C45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67D4147" w14:textId="77777777" w:rsidR="008C31FB" w:rsidRPr="005E779E" w:rsidRDefault="008C31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14 по 22 августа 1931 г. на НИАПе из ЛМК было сделано 102 выстрела. В начале 1931 г. Курчевским была спроектирована 76,2-мм легкая мортира (ЛМК). Мортира предназначалась для вооружения стрелковой роты. Ствол мортиры ребристый. Заряжание с дула. Затвора не было. Подъемный и поворотный механизмы винтовые. Колеса сплошные дисковые.</w:t>
      </w:r>
    </w:p>
    <w:p w14:paraId="5E3E08CC" w14:textId="77777777" w:rsidR="008C31FB" w:rsidRPr="005E779E" w:rsidRDefault="008C31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Максимальный угол возвышения, при котором возможна стрельба +43°, то есть ЛМК фактически не могла использоваться как мортира, стреляющая под углом возвышения свыше 45°.</w:t>
      </w:r>
    </w:p>
    <w:p w14:paraId="0CE4694E" w14:textId="77777777" w:rsidR="008C31FB" w:rsidRPr="005E779E" w:rsidRDefault="008C31FB"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Данные легкой мортиры Курчевского</w:t>
      </w:r>
    </w:p>
    <w:p w14:paraId="31A89E18" w14:textId="77777777" w:rsidR="008C31FB" w:rsidRPr="005E779E" w:rsidRDefault="008C31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Калибр, мм …… 76,2</w:t>
      </w:r>
    </w:p>
    <w:p w14:paraId="2CC5C082" w14:textId="77777777" w:rsidR="008C31FB" w:rsidRPr="005E779E" w:rsidRDefault="008C31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Длина ствола без воронки, мм/клб …… 605/8</w:t>
      </w:r>
    </w:p>
    <w:p w14:paraId="39770123" w14:textId="77777777" w:rsidR="008C31FB" w:rsidRPr="005E779E" w:rsidRDefault="008C31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Длина воронки (сопла), мм …… 550</w:t>
      </w:r>
    </w:p>
    <w:p w14:paraId="25736140" w14:textId="77777777" w:rsidR="008C31FB" w:rsidRPr="005E779E" w:rsidRDefault="008C31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Угол ВН, град …… -10°; +60°</w:t>
      </w:r>
    </w:p>
    <w:p w14:paraId="56669D4E" w14:textId="77777777" w:rsidR="008C31FB" w:rsidRPr="005E779E" w:rsidRDefault="008C31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Угол ГН, град …… ±4°30'</w:t>
      </w:r>
    </w:p>
    <w:p w14:paraId="39AD96FF" w14:textId="77777777" w:rsidR="008C31FB" w:rsidRPr="005E779E" w:rsidRDefault="008C31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Высота системы в боевом и походном (на руках) положении, мм …… 750</w:t>
      </w:r>
    </w:p>
    <w:p w14:paraId="5386906C" w14:textId="77777777" w:rsidR="008C31FB" w:rsidRPr="005E779E" w:rsidRDefault="008C31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Длина станин (длина станка от оси до края), мм …… 900</w:t>
      </w:r>
    </w:p>
    <w:p w14:paraId="6C5F6CA1" w14:textId="77777777" w:rsidR="008C31FB" w:rsidRPr="005E779E" w:rsidRDefault="008C31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Ширина хода, мм …… 510</w:t>
      </w:r>
    </w:p>
    <w:p w14:paraId="23D73DD2" w14:textId="77777777" w:rsidR="008C31FB" w:rsidRPr="005E779E" w:rsidRDefault="008C31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Диаметр колеса, мм …… 300</w:t>
      </w:r>
    </w:p>
    <w:p w14:paraId="136B7955" w14:textId="77777777" w:rsidR="008C31FB" w:rsidRPr="005E779E" w:rsidRDefault="008C31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Высота системы в сложенном положении, мм …… 490</w:t>
      </w:r>
    </w:p>
    <w:p w14:paraId="1D1A75C4" w14:textId="77777777" w:rsidR="008C31FB" w:rsidRPr="005E779E" w:rsidRDefault="008C31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ствола с воронкой, кг …… 21,2</w:t>
      </w:r>
    </w:p>
    <w:p w14:paraId="1B24A969" w14:textId="77777777" w:rsidR="008C31FB" w:rsidRPr="005E779E" w:rsidRDefault="008C31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воронки (сопло), кг …… 4,20</w:t>
      </w:r>
    </w:p>
    <w:p w14:paraId="6883E660" w14:textId="77777777" w:rsidR="008C31FB" w:rsidRPr="005E779E" w:rsidRDefault="008C31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прицела, кг …… 1,5</w:t>
      </w:r>
    </w:p>
    <w:p w14:paraId="2729EAC9" w14:textId="77777777" w:rsidR="008C31FB" w:rsidRPr="005E779E" w:rsidRDefault="008C31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станка, кг …… 14,15</w:t>
      </w:r>
    </w:p>
    <w:p w14:paraId="0E20E8CE" w14:textId="77777777" w:rsidR="008C31FB" w:rsidRPr="005E779E" w:rsidRDefault="008C31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системы, кг …… 38</w:t>
      </w:r>
    </w:p>
    <w:p w14:paraId="1F8FDAC3" w14:textId="77777777" w:rsidR="008C31FB" w:rsidRPr="005E779E" w:rsidRDefault="008C31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Скорострельность, выстр/мин.</w:t>
      </w:r>
    </w:p>
    <w:p w14:paraId="6CC83FF5" w14:textId="77777777" w:rsidR="008C31FB" w:rsidRPr="005E779E" w:rsidRDefault="008C31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расчетная …… 10—12</w:t>
      </w:r>
    </w:p>
    <w:p w14:paraId="594A8107" w14:textId="77777777" w:rsidR="008C31FB" w:rsidRPr="005E779E" w:rsidRDefault="008C31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практическая …… 8</w:t>
      </w:r>
    </w:p>
    <w:p w14:paraId="1A44E075" w14:textId="77777777" w:rsidR="008C31FB" w:rsidRPr="005E779E" w:rsidRDefault="008C31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перехода из боевого положения в походное, с …… 20—30</w:t>
      </w:r>
    </w:p>
    <w:p w14:paraId="5F63A618" w14:textId="77777777" w:rsidR="008C31FB" w:rsidRPr="005E779E" w:rsidRDefault="008C31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Собственно ЛМК и мортирой назвать нельзя. Видимо, Курчевский не знал, что мортира — это орудие, основной задачей которого является стрельба под углом свыше 45°. А ЛМК только по тактико-техническим характеристикам, поданным Курчевским в Артуправление РККА, могла вести стрельбу под углом 60°. Конструктивно ствол опытного образца мог быть опущен до 57°, но действие газовой струи физически не позволяло стрелять под углом больше 43°. Да и тогда действие раскаленных газов было опасно для расчета.</w:t>
      </w:r>
    </w:p>
    <w:p w14:paraId="0CE7CC66" w14:textId="77777777" w:rsidR="008C31FB" w:rsidRPr="005E779E" w:rsidRDefault="008C31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стрельбе из мортиры использовались опытные легкие снаряды весом от 3,2 до 4 кг. Выстрел унитарный. Заряд 320 г пороха ВЛ помещался в сгорающую гильзу из нитроткани с деревянным поддоном. Длина гильзы 112 мм.</w:t>
      </w:r>
    </w:p>
    <w:p w14:paraId="33992B30" w14:textId="77777777" w:rsidR="008C31FB" w:rsidRPr="005E779E" w:rsidRDefault="008C31FB"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Баллистические данные, полученные на испытаниях</w:t>
      </w:r>
    </w:p>
    <w:p w14:paraId="161AAAE1" w14:textId="77777777" w:rsidR="008C31FB" w:rsidRPr="005E779E" w:rsidRDefault="008C31FB"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vertAlign w:val="superscript"/>
        </w:rPr>
        <w:t>Вес снаряда, кг …… Начальная скорость, м/с — Дальностям — Угол, град. — Давление в канале, кг/см2</w:t>
      </w:r>
    </w:p>
    <w:p w14:paraId="181A366F" w14:textId="77777777" w:rsidR="008C31FB" w:rsidRPr="005E779E" w:rsidRDefault="008C31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3,9 …… 173,6 — 1200 — 15° </w:t>
      </w:r>
    </w:p>
    <w:p w14:paraId="40A6F8BF" w14:textId="77777777" w:rsidR="008C31FB" w:rsidRPr="005E779E" w:rsidRDefault="008C31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 xml:space="preserve">3,2 …… 205,2 — 3000 — 35° </w:t>
      </w:r>
    </w:p>
    <w:p w14:paraId="60A1889B" w14:textId="77777777" w:rsidR="008C31FB" w:rsidRPr="005E779E" w:rsidRDefault="008C31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 …… 170 — 2200 — 41º — 1600</w:t>
      </w:r>
    </w:p>
    <w:p w14:paraId="30029E9E" w14:textId="77777777" w:rsidR="008C31FB" w:rsidRPr="005E779E" w:rsidRDefault="008C31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Максимальное давление в канале составляло 1800 кг/см</w:t>
      </w:r>
      <w:r w:rsidRPr="005E779E">
        <w:rPr>
          <w:rFonts w:ascii="Times New Roman" w:hAnsi="Times New Roman"/>
          <w:color w:val="000000" w:themeColor="text1"/>
          <w:sz w:val="16"/>
          <w:szCs w:val="16"/>
          <w:vertAlign w:val="superscript"/>
        </w:rPr>
        <w:t>2</w:t>
      </w:r>
      <w:r w:rsidRPr="005E779E">
        <w:rPr>
          <w:rFonts w:ascii="Times New Roman" w:hAnsi="Times New Roman"/>
          <w:color w:val="000000" w:themeColor="text1"/>
          <w:sz w:val="16"/>
          <w:szCs w:val="16"/>
        </w:rPr>
        <w:t>.</w:t>
      </w:r>
    </w:p>
    <w:p w14:paraId="6F8BD3FC" w14:textId="77777777" w:rsidR="008C31FB" w:rsidRPr="005E779E" w:rsidRDefault="008C31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Первый образец 76-мм легкой мортиры Курчевского был изготовлен на заводе № 8. После заводских испытаний в объеме 100 выстрелов его отправили на полигонные испытания. На НИАП мортира прибыла 12 августа 1931 г.</w:t>
      </w:r>
    </w:p>
    <w:p w14:paraId="62505A6A" w14:textId="77777777" w:rsidR="008C31FB" w:rsidRPr="005E779E" w:rsidRDefault="008C31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1930 г. заводу № 7 был выдан заказ на 100 ЛМК, но завод ухитрился сорвать этот заказ.</w:t>
      </w:r>
    </w:p>
    <w:p w14:paraId="3FA975B1" w14:textId="77777777" w:rsidR="008C31FB" w:rsidRPr="005E779E" w:rsidRDefault="008C31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1933 г. заводом № 8 было изготовлено 9 ЛМК, которые проходили войсковые испытания в Московской Пролетарской стрелковой дивизии. В октябре 1933 г. дивизия проводила учения с ЛМК (по две мортиры на роту). Результаты испытаний: система неустойчива; скорострельность 8 выстр./мин. вместо предполагаемых 10-12; при дальности 1400 м рассеивание 150 м.</w:t>
      </w:r>
    </w:p>
    <w:p w14:paraId="6314D154" w14:textId="77777777" w:rsidR="008C31FB" w:rsidRPr="005E779E" w:rsidRDefault="008C31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вооружение ЛМК принята не была и больше не заказывалась (15117).</w:t>
      </w:r>
    </w:p>
    <w:p w14:paraId="30AF6F0A" w14:textId="77777777" w:rsidR="008C31FB" w:rsidRPr="005E779E" w:rsidRDefault="008C31FB" w:rsidP="000B7A6C">
      <w:pPr>
        <w:spacing w:after="0" w:line="240" w:lineRule="auto"/>
        <w:jc w:val="both"/>
        <w:rPr>
          <w:rFonts w:ascii="Times New Roman" w:hAnsi="Times New Roman"/>
          <w:color w:val="000000" w:themeColor="text1"/>
          <w:sz w:val="16"/>
          <w:szCs w:val="16"/>
        </w:rPr>
      </w:pPr>
    </w:p>
    <w:p w14:paraId="5E3C98A6" w14:textId="77777777" w:rsidR="006D430D" w:rsidRPr="00142305" w:rsidRDefault="006D430D" w:rsidP="006D430D">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С 14 по 22 августа 1931 г. на НИАПе из легкой мортиры ЛМК было сделано 102 выстрела. Максимальный угол возвышения, при котором возможна стрельба, — +43°, то есть ЛМК фактически не могла использоваться как мортира, стреляющая под углом возвышения свыше 45°.</w:t>
      </w:r>
    </w:p>
    <w:p w14:paraId="55B8FBF5" w14:textId="77777777" w:rsidR="006D430D" w:rsidRPr="00142305" w:rsidRDefault="006D430D" w:rsidP="006D430D">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В 1930 г. заводу № 7 был выдан заказ на 100 ЛМК, но завод ухитрился сорвать этот заказ.</w:t>
      </w:r>
    </w:p>
    <w:p w14:paraId="34A6D62C" w14:textId="77777777" w:rsidR="006D430D" w:rsidRPr="00142305" w:rsidRDefault="006D430D" w:rsidP="006D430D">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В 1933 г. заводом № 8 было изготовлено 9 ЛМК, которые проходили войсковые испытания в Московской Пролетарской стрелковой дивизии. В октябре 1933 г. дивизия проводила учения с ЛМК (по две мортиры на роту). Результаты испытаний: система неустойчива; скорострельность 8 выстр./ мин. вместо предполагаемых 10-12; при дальности 1400 м рассеивание 150 м. На вооружение ЛМК принята не была и больше не заказывалась (25213).</w:t>
      </w:r>
    </w:p>
    <w:p w14:paraId="7F732C99" w14:textId="77777777" w:rsidR="006D430D" w:rsidRPr="00142305" w:rsidRDefault="006D430D" w:rsidP="006D430D">
      <w:pPr>
        <w:spacing w:after="0" w:line="240" w:lineRule="auto"/>
        <w:jc w:val="both"/>
        <w:rPr>
          <w:rFonts w:ascii="Times New Roman" w:hAnsi="Times New Roman"/>
          <w:color w:val="0070C0"/>
          <w:sz w:val="16"/>
          <w:szCs w:val="16"/>
        </w:rPr>
      </w:pPr>
    </w:p>
    <w:p w14:paraId="55439F35" w14:textId="77777777" w:rsidR="00024EF9" w:rsidRPr="005E779E" w:rsidRDefault="00024EF9"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14 августа</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Постановление СНК СССР № 169сс о милитаризации рабочих и служащих полевых органов НКПС (ГА РФ. Ф. Р?8418. Оп. 28. Д. 14а. Л. 54) (12415).</w:t>
      </w:r>
    </w:p>
    <w:p w14:paraId="1E3FA686" w14:textId="77777777" w:rsidR="00024EF9" w:rsidRPr="005E779E" w:rsidRDefault="00024EF9"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Постановление СНК СССР № 170сс об утверждении Положения об обсервационных пунктах (карантинах) на военное время (ГА РФ. Ф. Р?8418. Оп. 28. Д. 14а. Л. 55?59) (12415).</w:t>
      </w:r>
    </w:p>
    <w:p w14:paraId="0AE4163C" w14:textId="77777777" w:rsidR="00024EF9" w:rsidRPr="005E779E" w:rsidRDefault="00024EF9"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Постановление СНК СССР № 171с об отсрочках по призыву па действительную военную службу в 1931 г. для промышленности (ГА РФ. Ф. Р?8418. Оп. 28. Д. 14а. Л. 60) (12415).</w:t>
      </w:r>
    </w:p>
    <w:p w14:paraId="6B35AE12" w14:textId="77777777" w:rsidR="00024EF9" w:rsidRPr="005E779E" w:rsidRDefault="00024EF9"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Постановление СТО СССР № 174сс об обеспечении оборонительного и казарменного строительства НКВМ (ГА РФ. Ф. Р?8418. Оп. 28. Д. 1а. Л. 55?57) (12415).</w:t>
      </w:r>
    </w:p>
    <w:p w14:paraId="0563E42D" w14:textId="77777777" w:rsidR="00024EF9" w:rsidRPr="005E779E" w:rsidRDefault="00024EF9" w:rsidP="000B7A6C">
      <w:pPr>
        <w:spacing w:after="0" w:line="240" w:lineRule="auto"/>
        <w:jc w:val="both"/>
        <w:rPr>
          <w:rFonts w:ascii="Times New Roman" w:hAnsi="Times New Roman"/>
          <w:color w:val="000000" w:themeColor="text1"/>
          <w:sz w:val="16"/>
          <w:szCs w:val="16"/>
          <w:u w:color="002060"/>
        </w:rPr>
      </w:pPr>
    </w:p>
    <w:p w14:paraId="64353ABB" w14:textId="77777777" w:rsidR="00024EF9" w:rsidRPr="005E779E" w:rsidRDefault="00024EF9"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14 августа 1931 </w:t>
      </w:r>
      <w:r w:rsidRPr="005E779E">
        <w:rPr>
          <w:rFonts w:ascii="Times New Roman" w:hAnsi="Times New Roman"/>
          <w:color w:val="000000" w:themeColor="text1"/>
          <w:sz w:val="16"/>
          <w:szCs w:val="16"/>
        </w:rPr>
        <w:t>Политбюро ЦК В(КП(б) одобрило директивы по контрольным цифрам на 1932 г., указав на необходимость при составлении встречных планов исходить из утвержденного правительством народнохозяйственного плана (12265).</w:t>
      </w:r>
    </w:p>
    <w:p w14:paraId="691B1476" w14:textId="77777777" w:rsidR="00024EF9" w:rsidRPr="005E779E" w:rsidRDefault="00024EF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4EECEEB9"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728F12B6"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5CDB2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14 и 20 августа 1931. Из протокола заседания Политбюро № 56, 1931 г.</w:t>
      </w:r>
    </w:p>
    <w:p w14:paraId="6F3FDF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 создании Комиссии по разгрузке Москвы </w:t>
      </w:r>
    </w:p>
    <w:p w14:paraId="006512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Принять предложение Секретариата ЦК об организации Комиссии Политбюро (с последующим оформлением ее как комиссии СНК РСФСР) по разгрузке Москвы от различных учреждений и учебных заведений, которые могут быть переведены в другие города СССР (11652).</w:t>
      </w:r>
    </w:p>
    <w:p w14:paraId="409455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5B176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14 и 20 августа 1931. Из протокола заседания Политбюро № 56, 1931 г.</w:t>
      </w:r>
    </w:p>
    <w:p w14:paraId="54091E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 положении с топливом</w:t>
      </w:r>
    </w:p>
    <w:p w14:paraId="7CD814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Для выработки проекта создать Комиссию... Комиссии исходить из следующих директив: </w:t>
      </w:r>
    </w:p>
    <w:p w14:paraId="0888A6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 конкретно установить, какие железные дороги могут быть переведены на нефть, какие — на дрова и какие должны оставаться на угле; </w:t>
      </w:r>
    </w:p>
    <w:p w14:paraId="7D61BF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 установить, какие район и предприятия могут быть освобождены от снабжения донецким топливом и переведены на местное... </w:t>
      </w:r>
    </w:p>
    <w:p w14:paraId="2A09F8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разработать меры максимального увеличения добычи топлива: угля, дров, торфа,— в особенности обеспечение выбора торфа (11652).</w:t>
      </w:r>
    </w:p>
    <w:p w14:paraId="5B8177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0CA0F2D"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32B4FB27"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413DDC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августа 1931 бывший президент Литвы профессор Вольдемарс и 23 его сторонника обвинены литовским судом в заговоре с целью захвата власти (4962).</w:t>
      </w:r>
    </w:p>
    <w:p w14:paraId="693040F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38E824"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512EB7E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852A28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августа 1931 в НИИ ВВС закончился первый этап испытаний (образца для серии) самолета И5 № 18 с мотором М15, которые проходили с 30 июля 1931.</w:t>
      </w:r>
    </w:p>
    <w:p w14:paraId="65325EB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Результаты испытания (образца для серии) самолета И5 № 18 с мотором М15</w:t>
      </w:r>
    </w:p>
    <w:p w14:paraId="5869C4B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Выводы были сделаны на основании двух разновременных испытаний одного и того же самолета.</w:t>
      </w:r>
    </w:p>
    <w:p w14:paraId="6CAB851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Первый раз испытывался самолет И5 № 18 с мотором М15 № 6. Испытание было начато 30 июля 1931 года и прервано 15 августа 1931 года из-за поломки рамы моторной установки. Самолет И5 № 18 после ремонта вторично был предъявлен для испытания 10 октября 1931 года с другим мотором М15 № 24109 и с тем же винтом.</w:t>
      </w:r>
    </w:p>
    <w:p w14:paraId="0B1D34B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И5 № 18 построен по типу серийных самолетов, т.е. отдельные части самолета изготовлялись на заводах №№ 39, 1 и 22, а вся сборка самолета произведена заводом № 39.</w:t>
      </w:r>
    </w:p>
    <w:p w14:paraId="7A7D4D3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сообщению завода № 39 данный самолет в сравнении с И5 Юп VI усилен ………….</w:t>
      </w:r>
    </w:p>
    <w:p w14:paraId="3407276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Цель испытаний</w:t>
      </w:r>
    </w:p>
    <w:p w14:paraId="11800CD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 период с 12 декабря 1930 года по 1 февраля 1931 года и с 6 мая 1931 года по 15 июня 1931 года испытывался самолет И5 № 3 с мотором М15. Этот самолет не имел целого ряда деталей, требующихся для установки вооружения и оборудования и имел конструкцию (капотаж, моторы, установка пулеметов) отличную от предполагаемой в серийной постройке, поэтому полученные летные данные не могли быть показаны для серийных самолетов И5-М15. Установка вооружения на самолете И5 № 3 носила макетный характер, вследствие чего вооружение не могло быть испытано. Поэтому заводом № 39 был дан на испытание в НИИ ВВС другой самолет И5 № 18 с мотором М15, который должен быть принят как образец для серии. Данный самолет мог быть испытан только в отношении летных данных, так как вооружение его не было отлажено (при заводских испытаниях был отмечен перегрев верхних пулеметов и трещины у трубы нижних пулеметов) и правые пулеметы не имели левых приемников.</w:t>
      </w:r>
    </w:p>
    <w:p w14:paraId="7878525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 самолета И5-М15 отличается от вооружения самолета И5-ЮпVI тем, что верхние пулеметы разнесены на 40 мм больше и у нижних пулеметов поставлены трубы.</w:t>
      </w:r>
    </w:p>
    <w:p w14:paraId="3AFBB81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Ход испытания</w:t>
      </w:r>
    </w:p>
    <w:p w14:paraId="65D1EDC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 период первого испытания самолет И5 № 18 произвел следующие полеты:</w:t>
      </w:r>
    </w:p>
    <w:p w14:paraId="419C81B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 июля 1931 года – полет на определение скороподъемности и горизонтальных скоростей на высотах 5000, 4000, 2000, 1000 м –45 минут</w:t>
      </w:r>
    </w:p>
    <w:p w14:paraId="2C29958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августа 1931 года – полет с целью определения скороподъемности, потолка и горизонтальных скоростей на высотах 7000, 6000, 5000 м. Определение расхода горючего на высоте 5000 м – 2 часа 5 минут</w:t>
      </w:r>
    </w:p>
    <w:p w14:paraId="52598D5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августа 1931 года – полет на управляемость на 5000 и 3000 м. Определение расхода горючего на высоте 3000 м – 2 часа 20 минут</w:t>
      </w:r>
    </w:p>
    <w:p w14:paraId="509133A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 время второго испытания произведены следующие полеты:</w:t>
      </w:r>
    </w:p>
    <w:p w14:paraId="6D76713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октября 1931 года - полет на управляемость и фигуры на высоте 1000 м. Полет с целью определения горизонтальных скоростей на высоте 100 м – 1 час 30 минут</w:t>
      </w:r>
    </w:p>
    <w:p w14:paraId="73E240F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Испытание прервано из-за поломки самолета при вынужденной посадке. Вынужденная посадка произошла вследствие прекращения подачи бензина.</w:t>
      </w:r>
    </w:p>
    <w:p w14:paraId="49E42D6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w:t>
      </w:r>
    </w:p>
    <w:p w14:paraId="51AEE69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основании произведенных испытаний можно установить, что самолет И5 при постановке на него мотора М15 в серийной постройке будет иметь как худшие летные данные, так и меньший радиус действия, чем с мотором ЮпVI (6964, 32-40).</w:t>
      </w:r>
    </w:p>
    <w:p w14:paraId="3DD119B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D3E8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августа 1931 г. разоруженному гражданскому варианту Р-5 присвоили обозначение П-5. В мастерских ВВС эти машины проходили необходимую доработку. Под полом задней кабины и за ней оборудовались грузовые отсеки. Всего можно было взять 400 кг: два пассажира и их багаж или только груз - 250 кг в задней кабине, 70 кг под полом и 80 кг сзади. В перегрузку можно было подвесить под крыльями цилиндрические грузовые контейнеры, называвшиеся "баллонами" или "сигарами" (12034).</w:t>
      </w:r>
    </w:p>
    <w:p w14:paraId="719DAF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B6B24F5" w14:textId="77777777" w:rsidR="006D430D" w:rsidRPr="00142305" w:rsidRDefault="006D430D" w:rsidP="006D430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15 августа 1931 г. разоруженному гражданскому вари</w:t>
      </w:r>
      <w:r w:rsidRPr="00142305">
        <w:rPr>
          <w:rFonts w:ascii="Times New Roman" w:hAnsi="Times New Roman"/>
          <w:color w:val="0070C0"/>
          <w:sz w:val="16"/>
          <w:szCs w:val="16"/>
        </w:rPr>
        <w:softHyphen/>
        <w:t>анту Р-5 присвоили обозначение П-5. В мастерских ВВС эти машины проходили необходимую доработку. Под по</w:t>
      </w:r>
      <w:r w:rsidRPr="00142305">
        <w:rPr>
          <w:rFonts w:ascii="Times New Roman" w:hAnsi="Times New Roman"/>
          <w:color w:val="0070C0"/>
          <w:sz w:val="16"/>
          <w:szCs w:val="16"/>
        </w:rPr>
        <w:softHyphen/>
        <w:t>лом задней кабины и за ней оборудовались грузовые от</w:t>
      </w:r>
      <w:r w:rsidRPr="00142305">
        <w:rPr>
          <w:rFonts w:ascii="Times New Roman" w:hAnsi="Times New Roman"/>
          <w:color w:val="0070C0"/>
          <w:sz w:val="16"/>
          <w:szCs w:val="16"/>
        </w:rPr>
        <w:softHyphen/>
        <w:t>секи. Всего можно было взять 400 кг: два пассажира и их багаж или только груз — 250 кг в задней кабине, 70 кг под полом и 80 кг сзади. В перегрузку можно было подвесить под крыльями цилиндрические грузовые контейнеры, на</w:t>
      </w:r>
      <w:r w:rsidRPr="00142305">
        <w:rPr>
          <w:rFonts w:ascii="Times New Roman" w:hAnsi="Times New Roman"/>
          <w:color w:val="0070C0"/>
          <w:sz w:val="16"/>
          <w:szCs w:val="16"/>
        </w:rPr>
        <w:softHyphen/>
        <w:t>зывавшиеся «баллонами» или «сигарами» (24990).</w:t>
      </w:r>
    </w:p>
    <w:p w14:paraId="0875C00C" w14:textId="77777777" w:rsidR="006D430D" w:rsidRPr="00142305" w:rsidRDefault="006D430D" w:rsidP="006D430D">
      <w:pPr>
        <w:spacing w:after="0" w:line="240" w:lineRule="auto"/>
        <w:jc w:val="both"/>
        <w:rPr>
          <w:rFonts w:ascii="Times New Roman" w:hAnsi="Times New Roman"/>
          <w:color w:val="0070C0"/>
          <w:sz w:val="16"/>
          <w:szCs w:val="16"/>
        </w:rPr>
      </w:pPr>
    </w:p>
    <w:p w14:paraId="28553559" w14:textId="77777777" w:rsidR="006D430D" w:rsidRPr="00142305" w:rsidRDefault="006D430D" w:rsidP="006D430D">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15 августа 1931 года самолетам Р-1 был присвоен индекс П-1. Эксплуатировались они не очень долго, но известно о четырех П-1, летавших в Украинском и За</w:t>
      </w:r>
      <w:r w:rsidRPr="00142305">
        <w:rPr>
          <w:rStyle w:val="aff0"/>
          <w:rFonts w:ascii="Times New Roman" w:hAnsi="Times New Roman" w:cs="Times New Roman"/>
          <w:color w:val="0070C0"/>
          <w:spacing w:val="0"/>
          <w:sz w:val="16"/>
          <w:szCs w:val="16"/>
        </w:rPr>
        <w:softHyphen/>
        <w:t>кавказском управлениях Аэрофлота до середины 1930-х годов (25673).</w:t>
      </w:r>
    </w:p>
    <w:p w14:paraId="67EC5884" w14:textId="77777777" w:rsidR="006D430D" w:rsidRPr="00142305" w:rsidRDefault="006D430D" w:rsidP="006D430D">
      <w:pPr>
        <w:spacing w:after="0" w:line="240" w:lineRule="auto"/>
        <w:jc w:val="both"/>
        <w:rPr>
          <w:rFonts w:ascii="Times New Roman" w:hAnsi="Times New Roman"/>
          <w:color w:val="0070C0"/>
          <w:sz w:val="16"/>
          <w:szCs w:val="16"/>
        </w:rPr>
      </w:pPr>
    </w:p>
    <w:p w14:paraId="496E95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августа 1931 г. по причине по</w:t>
      </w:r>
      <w:r w:rsidRPr="005E779E">
        <w:rPr>
          <w:rFonts w:ascii="Times New Roman" w:hAnsi="Times New Roman"/>
          <w:color w:val="000000" w:themeColor="text1"/>
          <w:sz w:val="16"/>
          <w:szCs w:val="16"/>
        </w:rPr>
        <w:softHyphen/>
        <w:t>ломки моторамы были прерваны испытания в НИИ ВВС И-5 № 18 с двигателем М-15 № 6, которые начались 30 июля 1931. После ремонта самолет предъявили к тестированию с новым двигате</w:t>
      </w:r>
      <w:r w:rsidRPr="005E779E">
        <w:rPr>
          <w:rFonts w:ascii="Times New Roman" w:hAnsi="Times New Roman"/>
          <w:color w:val="000000" w:themeColor="text1"/>
          <w:sz w:val="16"/>
          <w:szCs w:val="16"/>
        </w:rPr>
        <w:softHyphen/>
        <w:t>лем - М-15 № 24109. Полеты начались 10 ок</w:t>
      </w:r>
      <w:r w:rsidRPr="005E779E">
        <w:rPr>
          <w:rFonts w:ascii="Times New Roman" w:hAnsi="Times New Roman"/>
          <w:color w:val="000000" w:themeColor="text1"/>
          <w:sz w:val="16"/>
          <w:szCs w:val="16"/>
        </w:rPr>
        <w:softHyphen/>
        <w:t>тября, а через несколько дней самолет потерпел аварию при выполнении вынужденной по</w:t>
      </w:r>
      <w:r w:rsidRPr="005E779E">
        <w:rPr>
          <w:rFonts w:ascii="Times New Roman" w:hAnsi="Times New Roman"/>
          <w:color w:val="000000" w:themeColor="text1"/>
          <w:sz w:val="16"/>
          <w:szCs w:val="16"/>
        </w:rPr>
        <w:softHyphen/>
        <w:t>садки. Дальнейшая судьба машины не просле живется, однако из переписки завода №39 известно, что какой-то И-5 с М-15 потерпел аварию и не восстанавливался (вероятно это был И-5 №18).</w:t>
      </w:r>
    </w:p>
    <w:p w14:paraId="325AFE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 смотря на аварию, основные выводы в отношении испытывавшегося самолета были, получены. В частности, указывалось, что се</w:t>
      </w:r>
      <w:r w:rsidRPr="005E779E">
        <w:rPr>
          <w:rFonts w:ascii="Times New Roman" w:hAnsi="Times New Roman"/>
          <w:color w:val="000000" w:themeColor="text1"/>
          <w:sz w:val="16"/>
          <w:szCs w:val="16"/>
        </w:rPr>
        <w:softHyphen/>
        <w:t>рийные И-5 с М-15 будут обладать худшими летными данными и меньшим радиусом дей</w:t>
      </w:r>
      <w:r w:rsidRPr="005E779E">
        <w:rPr>
          <w:rFonts w:ascii="Times New Roman" w:hAnsi="Times New Roman"/>
          <w:color w:val="000000" w:themeColor="text1"/>
          <w:sz w:val="16"/>
          <w:szCs w:val="16"/>
        </w:rPr>
        <w:softHyphen/>
        <w:t>ствия, чем И-5 с двигателем «Юпитер» VI. Максимальная полетная скорость самолета с М-15 оказалась немного выше, а скороподъем</w:t>
      </w:r>
      <w:r w:rsidRPr="005E779E">
        <w:rPr>
          <w:rFonts w:ascii="Times New Roman" w:hAnsi="Times New Roman"/>
          <w:color w:val="000000" w:themeColor="text1"/>
          <w:sz w:val="16"/>
          <w:szCs w:val="16"/>
        </w:rPr>
        <w:softHyphen/>
        <w:t>ность чуть ниже, чем у второго опытного эк</w:t>
      </w:r>
      <w:r w:rsidRPr="005E779E">
        <w:rPr>
          <w:rFonts w:ascii="Times New Roman" w:hAnsi="Times New Roman"/>
          <w:color w:val="000000" w:themeColor="text1"/>
          <w:sz w:val="16"/>
          <w:szCs w:val="16"/>
        </w:rPr>
        <w:softHyphen/>
        <w:t>земпляра.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1002C3" w:rsidRPr="005E779E" w14:paraId="62BA07D8" w14:textId="77777777">
        <w:tc>
          <w:tcPr>
            <w:tcW w:w="3736" w:type="dxa"/>
            <w:tcBorders>
              <w:top w:val="single" w:sz="12" w:space="0" w:color="auto"/>
            </w:tcBorders>
          </w:tcPr>
          <w:p w14:paraId="67EFED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736" w:type="dxa"/>
            <w:tcBorders>
              <w:top w:val="single" w:sz="12" w:space="0" w:color="auto"/>
            </w:tcBorders>
          </w:tcPr>
          <w:p w14:paraId="7A744E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 М-15</w:t>
            </w:r>
          </w:p>
        </w:tc>
        <w:tc>
          <w:tcPr>
            <w:tcW w:w="3736" w:type="dxa"/>
            <w:tcBorders>
              <w:top w:val="single" w:sz="12" w:space="0" w:color="auto"/>
            </w:tcBorders>
          </w:tcPr>
          <w:p w14:paraId="5AF777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 Ю</w:t>
            </w:r>
            <w:r w:rsidRPr="005E779E">
              <w:rPr>
                <w:rFonts w:ascii="Times New Roman" w:hAnsi="Times New Roman"/>
                <w:color w:val="000000" w:themeColor="text1"/>
                <w:sz w:val="16"/>
                <w:szCs w:val="16"/>
                <w:lang w:val="en-US"/>
              </w:rPr>
              <w:t>-VI</w:t>
            </w:r>
          </w:p>
        </w:tc>
      </w:tr>
      <w:tr w:rsidR="001002C3" w:rsidRPr="005E779E" w14:paraId="6ADEA7D9" w14:textId="77777777">
        <w:tc>
          <w:tcPr>
            <w:tcW w:w="3736" w:type="dxa"/>
          </w:tcPr>
          <w:p w14:paraId="15CBD6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Скорость максимальная на 1000 м (км/ч)</w:t>
            </w:r>
          </w:p>
        </w:tc>
        <w:tc>
          <w:tcPr>
            <w:tcW w:w="3736" w:type="dxa"/>
          </w:tcPr>
          <w:p w14:paraId="47ED7E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266</w:t>
            </w:r>
          </w:p>
        </w:tc>
        <w:tc>
          <w:tcPr>
            <w:tcW w:w="3736" w:type="dxa"/>
          </w:tcPr>
          <w:p w14:paraId="7D16B3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258</w:t>
            </w:r>
          </w:p>
        </w:tc>
      </w:tr>
      <w:tr w:rsidR="001002C3" w:rsidRPr="005E779E" w14:paraId="099F6D3F" w14:textId="77777777">
        <w:tc>
          <w:tcPr>
            <w:tcW w:w="3736" w:type="dxa"/>
            <w:tcBorders>
              <w:bottom w:val="single" w:sz="12" w:space="0" w:color="auto"/>
            </w:tcBorders>
          </w:tcPr>
          <w:p w14:paraId="7ADA12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набора 3000 м (мин.)</w:t>
            </w:r>
          </w:p>
        </w:tc>
        <w:tc>
          <w:tcPr>
            <w:tcW w:w="3736" w:type="dxa"/>
            <w:tcBorders>
              <w:bottom w:val="single" w:sz="12" w:space="0" w:color="auto"/>
            </w:tcBorders>
          </w:tcPr>
          <w:p w14:paraId="1AFF4E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4,75</w:t>
            </w:r>
          </w:p>
        </w:tc>
        <w:tc>
          <w:tcPr>
            <w:tcW w:w="3736" w:type="dxa"/>
            <w:tcBorders>
              <w:bottom w:val="single" w:sz="12" w:space="0" w:color="auto"/>
            </w:tcBorders>
          </w:tcPr>
          <w:p w14:paraId="4F68FC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4,68</w:t>
            </w:r>
          </w:p>
        </w:tc>
      </w:tr>
    </w:tbl>
    <w:p w14:paraId="442EB9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тем, значительные усилия, потра</w:t>
      </w:r>
      <w:r w:rsidRPr="005E779E">
        <w:rPr>
          <w:rFonts w:ascii="Times New Roman" w:hAnsi="Times New Roman"/>
          <w:color w:val="000000" w:themeColor="text1"/>
          <w:sz w:val="16"/>
          <w:szCs w:val="16"/>
        </w:rPr>
        <w:softHyphen/>
        <w:t>ченные на внедрение М-15 в производство, и большие на него надежды обусловили про</w:t>
      </w:r>
      <w:r w:rsidRPr="005E779E">
        <w:rPr>
          <w:rFonts w:ascii="Times New Roman" w:hAnsi="Times New Roman"/>
          <w:color w:val="000000" w:themeColor="text1"/>
          <w:sz w:val="16"/>
          <w:szCs w:val="16"/>
        </w:rPr>
        <w:softHyphen/>
        <w:t>должение работ по его внедрению. Было ре</w:t>
      </w:r>
      <w:r w:rsidRPr="005E779E">
        <w:rPr>
          <w:rFonts w:ascii="Times New Roman" w:hAnsi="Times New Roman"/>
          <w:color w:val="000000" w:themeColor="text1"/>
          <w:sz w:val="16"/>
          <w:szCs w:val="16"/>
        </w:rPr>
        <w:softHyphen/>
        <w:t>шено, что в числе первой сотни серийных истребителей должны быть 10 машин с М-15, поэтому еще один самолет оснастили таким двигателем. Он прибыл на аэродром 25 но</w:t>
      </w:r>
      <w:r w:rsidRPr="005E779E">
        <w:rPr>
          <w:rFonts w:ascii="Times New Roman" w:hAnsi="Times New Roman"/>
          <w:color w:val="000000" w:themeColor="text1"/>
          <w:sz w:val="16"/>
          <w:szCs w:val="16"/>
        </w:rPr>
        <w:softHyphen/>
        <w:t>ября 1931 г., далее доводился в бригаде С.А. Кочеригина, в которой готовили чертежи для серийного производства. Впрочем, уже в конце 1931 г. от использования М-15 отказа</w:t>
      </w:r>
      <w:r w:rsidRPr="005E779E">
        <w:rPr>
          <w:rFonts w:ascii="Times New Roman" w:hAnsi="Times New Roman"/>
          <w:color w:val="000000" w:themeColor="text1"/>
          <w:sz w:val="16"/>
          <w:szCs w:val="16"/>
        </w:rPr>
        <w:softHyphen/>
        <w:t>лись и более И-5 с этими двигателями не строились (11974).</w:t>
      </w:r>
    </w:p>
    <w:p w14:paraId="4F7CB1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DC3E6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августа 1931 г. Комиссией НИИ ВВС и ЦАГИ был осмотрен АНТ-9 переданный ВОГВФ в ЦАГИ ВАО в мае 1931 и найден ряд недоделок, срок устранения которых был установлен 20.08.31 г. Впоследствии по плану ВАО срок переоборудования указанного самолета был установлен 1.10.31 г. (3045,19).</w:t>
      </w:r>
    </w:p>
    <w:p w14:paraId="5F646A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A5C87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августа 1931 г. состоялся второй полет опытного образца АНТ-14. Машину как и впервый раз пилотировал М.М. Громов. При полетном весе 17 530 кг самолет имел максимальную скорость 236 км/ч и дальность порядка 1200 км. АНТ-14 отличался неплохой устойчивостью и управляемостью. Испытания прошли без всяких осложнений. Выявив возможность увеличения нагрузки, конструкторы проработали новый вариант компоновки салона на 36 пассажирских мест.</w:t>
      </w:r>
    </w:p>
    <w:p w14:paraId="3AC227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1932 г. Главное управление ГВФ пыталось заказать у промышленности 30 АНТ-14, но заявка не была принята ГУАП в связи с перегрузкой военными заказами. В серийное производство АНТ-14 так и не попал.</w:t>
      </w:r>
    </w:p>
    <w:p w14:paraId="456961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Однако этот самолет рассматривался не только как гражданский. Собственно, чисто гражданских машин в нашей стране в тот период вообще не было. Каждый пассажирский самолет с самого начала проектировался с учетом возможного военного применения. Технические задания обязательно согласовывались с Управлением ВВС, а опытно-конструкторские работы по пассажирскому самолетостроению наполовину финансировались военными. Им гражданские самолеты нужны были как транспортные и вспомогательные бомбардировщики (12036).</w:t>
      </w:r>
    </w:p>
    <w:p w14:paraId="76C0DB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E5B275D" w14:textId="77777777" w:rsidR="00C0063F" w:rsidRPr="005E779E" w:rsidRDefault="00C0063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августа 1931 г. состоялся первый испытательный полет пятимоторного самолета АНТ-14 "Правда" конструкции ОКБ А.Н.Туполева. Испытывали М.М.Гроиов и И.Ф.Козлов. АНТ-14 был построен заводом опытных конструкций ЦАГИ в одном экземпляре и являлся в свое время одним из крупнейших в мире и первым пятимоторным в СССР. АНТ-14 - 36-местный пассажирский высокоплан с моторами Бристоль ”Юпитер” по 480 л.с., дальнейшее развитие пассажирского АНТ-9. Его данные: размах - |41м; длина - 26 м; высота - 5,4 м; площадь крыльев - 240 м2; вес пустого - 11 тн; полетный вес - 17,5 тн; скорость максимальная - 235 км/ч; посадочная - 90 км/ч; потолох - 4500 м.; экипаж - 5 человек.</w:t>
      </w:r>
    </w:p>
    <w:p w14:paraId="1A01F227" w14:textId="77777777" w:rsidR="00C0063F" w:rsidRPr="005E779E" w:rsidRDefault="00C0063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Эксплуатировался как флагманский самолет в агитэскадрилии имени М.Горького, где совершил более тысячи агитполетов с пассажирами.</w:t>
      </w:r>
    </w:p>
    <w:p w14:paraId="57B39410" w14:textId="77777777" w:rsidR="00C0063F" w:rsidRPr="005E779E" w:rsidRDefault="00C0063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/«Красная звезда» за 17 августа 1931; материалы В.Б.Шаврова/ (23370).</w:t>
      </w:r>
    </w:p>
    <w:p w14:paraId="1F44181C" w14:textId="77777777" w:rsidR="00C0063F" w:rsidRPr="005E779E" w:rsidRDefault="00C0063F" w:rsidP="000B7A6C">
      <w:pPr>
        <w:spacing w:after="0" w:line="240" w:lineRule="auto"/>
        <w:jc w:val="both"/>
        <w:rPr>
          <w:rFonts w:ascii="Times New Roman" w:hAnsi="Times New Roman"/>
          <w:color w:val="000000" w:themeColor="text1"/>
          <w:sz w:val="16"/>
          <w:szCs w:val="16"/>
        </w:rPr>
      </w:pPr>
    </w:p>
    <w:p w14:paraId="5FB8A88F" w14:textId="77777777" w:rsidR="006D430D" w:rsidRPr="00142305" w:rsidRDefault="006D430D" w:rsidP="006D430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15 августа 1931 г. комиссия из пред</w:t>
      </w:r>
      <w:r w:rsidRPr="00142305">
        <w:rPr>
          <w:rFonts w:ascii="Times New Roman" w:hAnsi="Times New Roman"/>
          <w:color w:val="0070C0"/>
          <w:sz w:val="16"/>
          <w:szCs w:val="16"/>
        </w:rPr>
        <w:softHyphen/>
        <w:t>ставителей НИИ ВВС и ЦАГИ осмотрела готовый «бомбовоз АНТ-9». Все бомбо</w:t>
      </w:r>
      <w:r w:rsidRPr="00142305">
        <w:rPr>
          <w:rFonts w:ascii="Times New Roman" w:hAnsi="Times New Roman"/>
          <w:color w:val="0070C0"/>
          <w:sz w:val="16"/>
          <w:szCs w:val="16"/>
        </w:rPr>
        <w:softHyphen/>
        <w:t>вое вооружение уже смонтировали вмес</w:t>
      </w:r>
      <w:r w:rsidRPr="00142305">
        <w:rPr>
          <w:rFonts w:ascii="Times New Roman" w:hAnsi="Times New Roman"/>
          <w:color w:val="0070C0"/>
          <w:sz w:val="16"/>
          <w:szCs w:val="16"/>
        </w:rPr>
        <w:softHyphen/>
        <w:t>те с тросовой проводкой, оборудовали место бомбардира. А вот кронштейны для пулеметов в окнах и нижнем люке отсутствовали. Пулеметы в походном по</w:t>
      </w:r>
      <w:r w:rsidRPr="00142305">
        <w:rPr>
          <w:rFonts w:ascii="Times New Roman" w:hAnsi="Times New Roman"/>
          <w:color w:val="0070C0"/>
          <w:sz w:val="16"/>
          <w:szCs w:val="16"/>
        </w:rPr>
        <w:softHyphen/>
        <w:t>ложении должны были крепиться ремня</w:t>
      </w:r>
      <w:r w:rsidRPr="00142305">
        <w:rPr>
          <w:rFonts w:ascii="Times New Roman" w:hAnsi="Times New Roman"/>
          <w:color w:val="0070C0"/>
          <w:sz w:val="16"/>
          <w:szCs w:val="16"/>
        </w:rPr>
        <w:softHyphen/>
        <w:t>ми. У боковых окон с огневыми точками предусмотрели шторки от задувания. Ту</w:t>
      </w:r>
      <w:r w:rsidRPr="00142305">
        <w:rPr>
          <w:rFonts w:ascii="Times New Roman" w:hAnsi="Times New Roman"/>
          <w:color w:val="0070C0"/>
          <w:sz w:val="16"/>
          <w:szCs w:val="16"/>
        </w:rPr>
        <w:softHyphen/>
        <w:t>рель сзади имелась, для стрелка сделали подвесное сиденье. А вот мешков для сбора стреляных гильз не было. На са</w:t>
      </w:r>
      <w:r w:rsidRPr="00142305">
        <w:rPr>
          <w:rFonts w:ascii="Times New Roman" w:hAnsi="Times New Roman"/>
          <w:color w:val="0070C0"/>
          <w:sz w:val="16"/>
          <w:szCs w:val="16"/>
        </w:rPr>
        <w:softHyphen/>
        <w:t>молете установили радиостанцию 13-СК и фотоустановку под аппарат Поттэ 1Б, но вопреки заданию - неподвижную. Ко</w:t>
      </w:r>
      <w:r w:rsidRPr="00142305">
        <w:rPr>
          <w:rFonts w:ascii="Times New Roman" w:hAnsi="Times New Roman"/>
          <w:color w:val="0070C0"/>
          <w:sz w:val="16"/>
          <w:szCs w:val="16"/>
        </w:rPr>
        <w:softHyphen/>
        <w:t>миссия сочла, что военный АНТ-9 можно допустить к испытаниям.</w:t>
      </w:r>
    </w:p>
    <w:p w14:paraId="4A27618C" w14:textId="77777777" w:rsidR="006D430D" w:rsidRPr="00142305" w:rsidRDefault="006D430D" w:rsidP="006D430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Машину передали в НИИ ВВС, там до конца 1931 г. она прошла примерно поло</w:t>
      </w:r>
      <w:r w:rsidRPr="00142305">
        <w:rPr>
          <w:rFonts w:ascii="Times New Roman" w:hAnsi="Times New Roman"/>
          <w:color w:val="0070C0"/>
          <w:sz w:val="16"/>
          <w:szCs w:val="16"/>
        </w:rPr>
        <w:softHyphen/>
        <w:t>вину намеченной программы испытаний и была забракована. Основной вклад в неудачу, конечно, внесли ненадежные мо</w:t>
      </w:r>
      <w:r w:rsidRPr="00142305">
        <w:rPr>
          <w:rFonts w:ascii="Times New Roman" w:hAnsi="Times New Roman"/>
          <w:color w:val="0070C0"/>
          <w:sz w:val="16"/>
          <w:szCs w:val="16"/>
        </w:rPr>
        <w:softHyphen/>
        <w:t>торы М-26, но и других дефектов нашли немало (24949).</w:t>
      </w:r>
    </w:p>
    <w:p w14:paraId="63D60B67" w14:textId="77777777" w:rsidR="006D430D" w:rsidRPr="00142305" w:rsidRDefault="006D430D" w:rsidP="006D430D">
      <w:pPr>
        <w:spacing w:after="0" w:line="240" w:lineRule="auto"/>
        <w:jc w:val="both"/>
        <w:rPr>
          <w:rFonts w:ascii="Times New Roman" w:hAnsi="Times New Roman"/>
          <w:color w:val="0070C0"/>
          <w:sz w:val="16"/>
          <w:szCs w:val="16"/>
        </w:rPr>
      </w:pPr>
    </w:p>
    <w:p w14:paraId="5FC0F2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августа 1931 были закончены проект и чертежи мотора М-38 (2310,130).</w:t>
      </w:r>
    </w:p>
    <w:p w14:paraId="081F35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05072CE" w14:textId="77D5CF46"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августа 1931 г. на базе авиаремонтных мастерских был создан АРЗ, позднее- Завод № 21 ГА (Завод № 21 ГВФ, ГА, ОАО «Санкт-Петербургская авиаремонтная компания» (СПАРК) /196210</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Ленинград, Санкт-Петербург ул. Пилотов, 12 тел. 104-16-06/).</w:t>
      </w:r>
    </w:p>
    <w:p w14:paraId="195120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10.1993 г. завод № 21 ГА преобразован в АО «СПАРК».</w:t>
      </w:r>
    </w:p>
    <w:p w14:paraId="584A5C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Имелся (2006 г.) центр технического обслуживания вертолетов в Веракрузе (Мексика). В 07.2007 г. из состава ОАО выделено НПО «Спарк».</w:t>
      </w:r>
    </w:p>
    <w:p w14:paraId="37DB6F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Численность персонала (2002 г.)- 650 чел.</w:t>
      </w:r>
    </w:p>
    <w:p w14:paraId="784E6A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(1996 г.)- Б.А. Дмитриев. Гендиректор (-1998-2002 г.-)- Ю.Т. Морозов, (2006 г.)- Ю. Борисов.</w:t>
      </w:r>
    </w:p>
    <w:p w14:paraId="73489E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Коммерческий директор (2002 г.)- О.А. Забава. Технический директор (2002 г.)- С.В. Одинокин.</w:t>
      </w:r>
    </w:p>
    <w:p w14:paraId="43F138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Производство: самолеты АК-1, Ф-2, Ш-2 (1930-е), Ж-1, Ж-4, СХ-1.</w:t>
      </w:r>
    </w:p>
    <w:p w14:paraId="180E55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Ремонт: самолеты У-2, Ш-2, Р-5, П-5, МП-1, Ф-1, СХ-1, АНТ-9, ТБ-1, Ли-2, Як-12Р, Ан-2, Ил-14, Ми-4, Ка-15, Ка-18, Ми-8 (1967-2004-), Ми-14, Ми-17 (-1999-2004-), Ка-32 (-1999-2004-), Ми-26;</w:t>
      </w:r>
      <w:r w:rsidRPr="005E779E">
        <w:rPr>
          <w:rFonts w:ascii="Times New Roman" w:hAnsi="Times New Roman"/>
          <w:color w:val="000000" w:themeColor="text1"/>
          <w:sz w:val="16"/>
          <w:szCs w:val="16"/>
          <w:vertAlign w:val="superscript"/>
        </w:rPr>
        <w:t>69</w:t>
      </w:r>
      <w:r w:rsidRPr="005E779E">
        <w:rPr>
          <w:rFonts w:ascii="Times New Roman" w:hAnsi="Times New Roman"/>
          <w:color w:val="000000" w:themeColor="text1"/>
          <w:sz w:val="16"/>
          <w:szCs w:val="16"/>
        </w:rPr>
        <w:t xml:space="preserve"> двигатели: М-5, М-11, М-17 (11982).</w:t>
      </w:r>
    </w:p>
    <w:p w14:paraId="78FFBAF8" w14:textId="77777777" w:rsidR="008344B7" w:rsidRPr="005E779E" w:rsidRDefault="008344B7"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B4C03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августа 1931 г. своим приказом от Тухачевский выделил газодина</w:t>
      </w:r>
      <w:r w:rsidRPr="005E779E">
        <w:rPr>
          <w:rFonts w:ascii="Times New Roman" w:hAnsi="Times New Roman"/>
          <w:color w:val="000000" w:themeColor="text1"/>
          <w:sz w:val="16"/>
          <w:szCs w:val="16"/>
        </w:rPr>
        <w:softHyphen/>
        <w:t>мическую лабораторию из состава АНИИ и через Управление военных изобретений подчинил себе, чтобы сотрудников не отвлекали на науч</w:t>
      </w:r>
      <w:r w:rsidRPr="005E779E">
        <w:rPr>
          <w:rFonts w:ascii="Times New Roman" w:hAnsi="Times New Roman"/>
          <w:color w:val="000000" w:themeColor="text1"/>
          <w:sz w:val="16"/>
          <w:szCs w:val="16"/>
        </w:rPr>
        <w:softHyphen/>
        <w:t>ные работы, не связанные с ракетной техникой. Не ограничиваясь об</w:t>
      </w:r>
      <w:r w:rsidRPr="005E779E">
        <w:rPr>
          <w:rFonts w:ascii="Times New Roman" w:hAnsi="Times New Roman"/>
          <w:color w:val="000000" w:themeColor="text1"/>
          <w:sz w:val="16"/>
          <w:szCs w:val="16"/>
        </w:rPr>
        <w:softHyphen/>
        <w:t>щим руководством, он вникал в суть исследований, неоднократно посе</w:t>
      </w:r>
      <w:r w:rsidRPr="005E779E">
        <w:rPr>
          <w:rFonts w:ascii="Times New Roman" w:hAnsi="Times New Roman"/>
          <w:color w:val="000000" w:themeColor="text1"/>
          <w:sz w:val="16"/>
          <w:szCs w:val="16"/>
        </w:rPr>
        <w:softHyphen/>
        <w:t>щал ГДЛ и присутствовал на стендовых и полигонных испытаниях ра</w:t>
      </w:r>
      <w:r w:rsidRPr="005E779E">
        <w:rPr>
          <w:rFonts w:ascii="Times New Roman" w:hAnsi="Times New Roman"/>
          <w:color w:val="000000" w:themeColor="text1"/>
          <w:sz w:val="16"/>
          <w:szCs w:val="16"/>
        </w:rPr>
        <w:softHyphen/>
        <w:t>кетных двигателей и динамореактивных пушек, подолгу беседовал с уче</w:t>
      </w:r>
      <w:r w:rsidRPr="005E779E">
        <w:rPr>
          <w:rFonts w:ascii="Times New Roman" w:hAnsi="Times New Roman"/>
          <w:color w:val="000000" w:themeColor="text1"/>
          <w:sz w:val="16"/>
          <w:szCs w:val="16"/>
        </w:rPr>
        <w:softHyphen/>
        <w:t>ными и конструкторами. Именно при содействии начальника вооружений РККА в ГДЛ созда</w:t>
      </w:r>
      <w:r w:rsidRPr="005E779E">
        <w:rPr>
          <w:rFonts w:ascii="Times New Roman" w:hAnsi="Times New Roman"/>
          <w:color w:val="000000" w:themeColor="text1"/>
          <w:sz w:val="16"/>
          <w:szCs w:val="16"/>
        </w:rPr>
        <w:softHyphen/>
        <w:t>ли очень приличную по тем временам научно-экспериментальную базу и серьезно расширили исследовательские и конструкторские работы над твердотопливными и жидкостными ракетными двигателями. В первые посещения ГДЛ молодой ученый С.П.Королев постоянно изумлялся уровню их технического оснащения: «Меня поразила научно-экспери</w:t>
      </w:r>
      <w:r w:rsidRPr="005E779E">
        <w:rPr>
          <w:rFonts w:ascii="Times New Roman" w:hAnsi="Times New Roman"/>
          <w:color w:val="000000" w:themeColor="text1"/>
          <w:sz w:val="16"/>
          <w:szCs w:val="16"/>
        </w:rPr>
        <w:softHyphen/>
        <w:t>ментальная база, которой располагали ленинградцы. Она была несрав</w:t>
      </w:r>
      <w:r w:rsidRPr="005E779E">
        <w:rPr>
          <w:rFonts w:ascii="Times New Roman" w:hAnsi="Times New Roman"/>
          <w:color w:val="000000" w:themeColor="text1"/>
          <w:sz w:val="16"/>
          <w:szCs w:val="16"/>
        </w:rPr>
        <w:softHyphen/>
        <w:t>нимо лучше нашей. Мы стали свидетелями большого размаха работ, ог</w:t>
      </w:r>
      <w:r w:rsidRPr="005E779E">
        <w:rPr>
          <w:rFonts w:ascii="Times New Roman" w:hAnsi="Times New Roman"/>
          <w:color w:val="000000" w:themeColor="text1"/>
          <w:sz w:val="16"/>
          <w:szCs w:val="16"/>
        </w:rPr>
        <w:softHyphen/>
        <w:t>ромного энтузиазма, с которым здесь велись эксперименты» (11402).</w:t>
      </w:r>
    </w:p>
    <w:p w14:paraId="023DFAA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C4E2BC"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августа в 1931 году два АНТ-9 выбросили в районе Красного Села под Ленинградом 19 парашютистов с целью захвата площадки для посадочного десанта. С парашютами приземлились также тяжелое вооружение, включавшее пулеметы, две динамореактивные (безоткатные) пушки, и боеприпасы. После того, как парашютисты заняли оборону, на площадку села эскадрилья бомбардировщиков «ТБ-1» (14984).</w:t>
      </w:r>
    </w:p>
    <w:p w14:paraId="023AFD87" w14:textId="77777777" w:rsidR="008344B7" w:rsidRPr="005E779E" w:rsidRDefault="008344B7" w:rsidP="000B7A6C">
      <w:pPr>
        <w:spacing w:after="0" w:line="240" w:lineRule="auto"/>
        <w:jc w:val="both"/>
        <w:rPr>
          <w:rFonts w:ascii="Times New Roman" w:hAnsi="Times New Roman"/>
          <w:color w:val="000000" w:themeColor="text1"/>
          <w:sz w:val="16"/>
          <w:szCs w:val="16"/>
        </w:rPr>
      </w:pPr>
    </w:p>
    <w:p w14:paraId="2C1CC324" w14:textId="77777777" w:rsidR="005C4849" w:rsidRPr="005E779E" w:rsidRDefault="00874B1E" w:rsidP="000B7A6C">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6676FE2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7E018A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августа 1931-го из ворот ХТЗ выехал первый трактор. Недостатки качества восполнялись валом: в апреле 1935-го с конвейера ХТЗ сошел 100-тысячный трактор! Успех был очевиден, и завод наградили орденами Ленина и Трудового Красного Знамени. А вскоре доверили и более ответственное дело: перевели в 1936 г. с выпуска колесных тракторов СХТЗ-15/30 на гусеничные - СХТЗ-НАТИ I ТА. Уже в 1938-м завод производил их более 1000 в месяц с перспективой создания танкового и танкоремонтного производства [63, с. 228]. В полном объеме она осталась нереализованной (11438).</w:t>
      </w:r>
    </w:p>
    <w:p w14:paraId="1C199A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D42ED6D" w14:textId="77777777" w:rsidR="00024EF9" w:rsidRPr="005E779E" w:rsidRDefault="00024EF9"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15 августа 1931 </w:t>
      </w:r>
      <w:r w:rsidRPr="005E779E">
        <w:rPr>
          <w:rFonts w:ascii="Times New Roman" w:hAnsi="Times New Roman"/>
          <w:color w:val="000000" w:themeColor="text1"/>
          <w:sz w:val="16"/>
          <w:szCs w:val="16"/>
        </w:rPr>
        <w:t>Политбюро ЦК ВКП (б) одобрило работу комиссий по зарплате в угольной промышленности и черной металлургии; приняло постановления: о производстве землечерпалок, об обеспечении угольной промышленности и жилищного строительства в Донбассе рабочей силой, о перспективах развития цветной металлургии на вторую пятилетку и о капитальных работах на 1932 г.; утвердило проект постановления ЦК ВКП (б) «О мероприятиях по улучшению баланса угля в СССР», поручив ВСНХ совместно с Московским обкомом ВКП (б) рассмотреть вопрос об увеличении строительства шахт в Подмосковном бассейне (12265).</w:t>
      </w:r>
    </w:p>
    <w:p w14:paraId="2B9B1EB4" w14:textId="77777777" w:rsidR="00024EF9" w:rsidRPr="005E779E" w:rsidRDefault="00024EF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78F5AA64"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0396B7B7"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812A4D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августа 1931 г. состоялась первая учебная комбинированная воздуш</w:t>
      </w:r>
      <w:r w:rsidRPr="005E779E">
        <w:rPr>
          <w:rFonts w:ascii="Times New Roman" w:hAnsi="Times New Roman"/>
          <w:color w:val="000000" w:themeColor="text1"/>
          <w:sz w:val="16"/>
          <w:szCs w:val="16"/>
        </w:rPr>
        <w:softHyphen/>
        <w:t>но-десантная операция с участием ТБ-1. В тот день сначала из двух АНТ-9 в районе Красного села под Ленинградом десантировались 19 бойцов парашютно-десантного отряда. После захвата обозначенной площадки и обеспечения круговой обороны здесь при</w:t>
      </w:r>
      <w:r w:rsidRPr="005E779E">
        <w:rPr>
          <w:rFonts w:ascii="Times New Roman" w:hAnsi="Times New Roman"/>
          <w:color w:val="000000" w:themeColor="text1"/>
          <w:sz w:val="16"/>
          <w:szCs w:val="16"/>
        </w:rPr>
        <w:softHyphen/>
        <w:t>землилась эскадрилья ТБ-1, доставившая отряд Е.Д. Лукина с оружием, боеприпаса</w:t>
      </w:r>
      <w:r w:rsidRPr="005E779E">
        <w:rPr>
          <w:rFonts w:ascii="Times New Roman" w:hAnsi="Times New Roman"/>
          <w:color w:val="000000" w:themeColor="text1"/>
          <w:sz w:val="16"/>
          <w:szCs w:val="16"/>
        </w:rPr>
        <w:softHyphen/>
        <w:t>ми и автомашинами. Тщательно отрепети</w:t>
      </w:r>
      <w:r w:rsidRPr="005E779E">
        <w:rPr>
          <w:rFonts w:ascii="Times New Roman" w:hAnsi="Times New Roman"/>
          <w:color w:val="000000" w:themeColor="text1"/>
          <w:sz w:val="16"/>
          <w:szCs w:val="16"/>
        </w:rPr>
        <w:softHyphen/>
        <w:t>рованная операция прошла за считанные минуты. Операцию повторили на аэродро</w:t>
      </w:r>
      <w:r w:rsidRPr="005E779E">
        <w:rPr>
          <w:rFonts w:ascii="Times New Roman" w:hAnsi="Times New Roman"/>
          <w:color w:val="000000" w:themeColor="text1"/>
          <w:sz w:val="16"/>
          <w:szCs w:val="16"/>
        </w:rPr>
        <w:softHyphen/>
        <w:t>ме в Гатчине. Затем по просьбе командую</w:t>
      </w:r>
      <w:r w:rsidRPr="005E779E">
        <w:rPr>
          <w:rFonts w:ascii="Times New Roman" w:hAnsi="Times New Roman"/>
          <w:color w:val="000000" w:themeColor="text1"/>
          <w:sz w:val="16"/>
          <w:szCs w:val="16"/>
        </w:rPr>
        <w:softHyphen/>
        <w:t>щего войсками Киевского военного округа отряд по воздуху перебазировали в Киев. Здесь при проведении войсковых маневров в районе Могилевки осуществили две ком</w:t>
      </w:r>
      <w:r w:rsidRPr="005E779E">
        <w:rPr>
          <w:rFonts w:ascii="Times New Roman" w:hAnsi="Times New Roman"/>
          <w:color w:val="000000" w:themeColor="text1"/>
          <w:sz w:val="16"/>
          <w:szCs w:val="16"/>
        </w:rPr>
        <w:softHyphen/>
        <w:t>бинированные операции 10 и 14 сентября. Парашютистов сбрасывали из трех АНТ-9, затем эскадрилья ТБ-1 приземлялась и выгружала технику и вооружение. Хотя первые эксперименты оказались вполне успешными, новый род войск все еще находился в зачаточном состоянии, и требовалось вести дальнейшее совершен</w:t>
      </w:r>
      <w:r w:rsidRPr="005E779E">
        <w:rPr>
          <w:rFonts w:ascii="Times New Roman" w:hAnsi="Times New Roman"/>
          <w:color w:val="000000" w:themeColor="text1"/>
          <w:sz w:val="16"/>
          <w:szCs w:val="16"/>
        </w:rPr>
        <w:softHyphen/>
        <w:t>ствование техники и снаряжения. В апреле-мае 1933 г. в каждом военном округе сфор</w:t>
      </w:r>
      <w:r w:rsidRPr="005E779E">
        <w:rPr>
          <w:rFonts w:ascii="Times New Roman" w:hAnsi="Times New Roman"/>
          <w:color w:val="000000" w:themeColor="text1"/>
          <w:sz w:val="16"/>
          <w:szCs w:val="16"/>
        </w:rPr>
        <w:softHyphen/>
        <w:t>мировали отдельные стрелковые батальо</w:t>
      </w:r>
      <w:r w:rsidRPr="005E779E">
        <w:rPr>
          <w:rFonts w:ascii="Times New Roman" w:hAnsi="Times New Roman"/>
          <w:color w:val="000000" w:themeColor="text1"/>
          <w:sz w:val="16"/>
          <w:szCs w:val="16"/>
        </w:rPr>
        <w:softHyphen/>
        <w:t>ны особого назначения (ОСБОН), куда по штату входили 2 У-2, 2 Р-5 и 1 ТБ-1. В сформированную бригаду Особого назна</w:t>
      </w:r>
      <w:r w:rsidRPr="005E779E">
        <w:rPr>
          <w:rFonts w:ascii="Times New Roman" w:hAnsi="Times New Roman"/>
          <w:color w:val="000000" w:themeColor="text1"/>
          <w:sz w:val="16"/>
          <w:szCs w:val="16"/>
        </w:rPr>
        <w:softHyphen/>
        <w:t>чения в Детском Селе сначала предполага</w:t>
      </w:r>
      <w:r w:rsidRPr="005E779E">
        <w:rPr>
          <w:rFonts w:ascii="Times New Roman" w:hAnsi="Times New Roman"/>
          <w:color w:val="000000" w:themeColor="text1"/>
          <w:sz w:val="16"/>
          <w:szCs w:val="16"/>
        </w:rPr>
        <w:softHyphen/>
        <w:t>ли направить 6 ТБ-1, затем 3 ТБ-3 и ЗТБ-1. В конце мая 1933 г. начались сборы десант</w:t>
      </w:r>
      <w:r w:rsidRPr="005E779E">
        <w:rPr>
          <w:rFonts w:ascii="Times New Roman" w:hAnsi="Times New Roman"/>
          <w:color w:val="000000" w:themeColor="text1"/>
          <w:sz w:val="16"/>
          <w:szCs w:val="16"/>
        </w:rPr>
        <w:softHyphen/>
        <w:t>ных отделений стрелковых дивизий в Мо</w:t>
      </w:r>
      <w:r w:rsidRPr="005E779E">
        <w:rPr>
          <w:rFonts w:ascii="Times New Roman" w:hAnsi="Times New Roman"/>
          <w:color w:val="000000" w:themeColor="text1"/>
          <w:sz w:val="16"/>
          <w:szCs w:val="16"/>
        </w:rPr>
        <w:softHyphen/>
        <w:t>нино под Москвой и в Гатчине под Ленин</w:t>
      </w:r>
      <w:r w:rsidRPr="005E779E">
        <w:rPr>
          <w:rFonts w:ascii="Times New Roman" w:hAnsi="Times New Roman"/>
          <w:color w:val="000000" w:themeColor="text1"/>
          <w:sz w:val="16"/>
          <w:szCs w:val="16"/>
        </w:rPr>
        <w:softHyphen/>
        <w:t>градом. Парашютные прыжки осуществля</w:t>
      </w:r>
      <w:r w:rsidRPr="005E779E">
        <w:rPr>
          <w:rFonts w:ascii="Times New Roman" w:hAnsi="Times New Roman"/>
          <w:color w:val="000000" w:themeColor="text1"/>
          <w:sz w:val="16"/>
          <w:szCs w:val="16"/>
        </w:rPr>
        <w:softHyphen/>
        <w:t>ли из ТБ-1, оборудованных кабинами КП-1 системы Гроховского. Впрочем, уже в 1934-35 гг. для осуществления в ходе уче</w:t>
      </w:r>
      <w:r w:rsidRPr="005E779E">
        <w:rPr>
          <w:rFonts w:ascii="Times New Roman" w:hAnsi="Times New Roman"/>
          <w:color w:val="000000" w:themeColor="text1"/>
          <w:sz w:val="16"/>
          <w:szCs w:val="16"/>
        </w:rPr>
        <w:softHyphen/>
        <w:t>ний массовых десантов применили ТБ-3, а ТБ-1 с подвесными кабинами использова</w:t>
      </w:r>
      <w:r w:rsidRPr="005E779E">
        <w:rPr>
          <w:rFonts w:ascii="Times New Roman" w:hAnsi="Times New Roman"/>
          <w:color w:val="000000" w:themeColor="text1"/>
          <w:sz w:val="16"/>
          <w:szCs w:val="16"/>
        </w:rPr>
        <w:softHyphen/>
        <w:t>ли для тренировок (11286).</w:t>
      </w:r>
    </w:p>
    <w:p w14:paraId="0E4AE99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F0B1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августа 1931 г. на маневрах Ленинградского округа в районе Красного Села после захвата аэродрома парашютистами эскадрилья ТБ-1 доставила туда посадочный десант. В сентябре отряд принимал участие в маневрах на Украине. Применяли подфюзеляжные кабины, грузовые мешки и контейнеры, а также подвеску ПД-А. Два десанта были выброшены 10 и 14 сентября. Успех учений был омрачен катастрофой самолета, перевозившего пикап. Возвращаясь с маневров, он со всеми находившимися на борту людьми разбился из-за отказа одного двигателя (12001).</w:t>
      </w:r>
    </w:p>
    <w:p w14:paraId="2EE205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FEC70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августа десант парашютистов захватил аэродром "противника", на который перебазировалась одна из эскадрилий ТБ-1. 10 и 14 сентября последние сами использовались для перевозки десантников. После захвата площадок выброшенными с трехмоторных АНТ-9 парашютистами тяжелые бомбардировщики начали приземляться там с пехотой на борту (12024).</w:t>
      </w:r>
    </w:p>
    <w:p w14:paraId="1CA1D5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875A887" w14:textId="77777777" w:rsidR="006D430D" w:rsidRPr="00142305" w:rsidRDefault="006D430D" w:rsidP="006D430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15 августа 1931 года их экипажи несколько дооборудованных ТБ-1 которые свели в отряд, дислоцировавшийся под Ленинградом, участвовали в маневрах Ленинградского округа в районе Красного Села. Спустя месяц эскадрилья участвовала в маневрах на Украине. В качестве транспортных самолетов ТБ-1 использовался в ВВС до 1940 года, но как бомбардировщик не применялся в боевых действиях (24991).</w:t>
      </w:r>
    </w:p>
    <w:p w14:paraId="44CF1BD5" w14:textId="77777777" w:rsidR="006D430D" w:rsidRPr="00142305" w:rsidRDefault="006D430D" w:rsidP="006D430D">
      <w:pPr>
        <w:spacing w:after="0" w:line="240" w:lineRule="auto"/>
        <w:jc w:val="both"/>
        <w:rPr>
          <w:rFonts w:ascii="Times New Roman" w:hAnsi="Times New Roman"/>
          <w:color w:val="0070C0"/>
          <w:sz w:val="16"/>
          <w:szCs w:val="16"/>
        </w:rPr>
      </w:pPr>
    </w:p>
    <w:p w14:paraId="586B9D95" w14:textId="77777777" w:rsidR="006D430D" w:rsidRPr="00142305" w:rsidRDefault="006D430D" w:rsidP="006D430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15 августа 1931 г. в ходе учений на Украине десант парашютистов захватил аэро</w:t>
      </w:r>
      <w:r w:rsidRPr="00142305">
        <w:rPr>
          <w:rFonts w:ascii="Times New Roman" w:hAnsi="Times New Roman"/>
          <w:color w:val="0070C0"/>
          <w:sz w:val="16"/>
          <w:szCs w:val="16"/>
        </w:rPr>
        <w:softHyphen/>
        <w:t>дром «противника», на который перебазировалась одна из эскадрилий ТБ-1. 10 и 14 сентября последние сами исполь</w:t>
      </w:r>
      <w:r w:rsidRPr="00142305">
        <w:rPr>
          <w:rFonts w:ascii="Times New Roman" w:hAnsi="Times New Roman"/>
          <w:color w:val="0070C0"/>
          <w:sz w:val="16"/>
          <w:szCs w:val="16"/>
        </w:rPr>
        <w:softHyphen/>
        <w:t>зовались для перевозки десантников. После захвата площа</w:t>
      </w:r>
      <w:r w:rsidRPr="00142305">
        <w:rPr>
          <w:rFonts w:ascii="Times New Roman" w:hAnsi="Times New Roman"/>
          <w:color w:val="0070C0"/>
          <w:sz w:val="16"/>
          <w:szCs w:val="16"/>
        </w:rPr>
        <w:softHyphen/>
        <w:t>док выброшенными с трехмоторных АНТ-9 парашютиста</w:t>
      </w:r>
      <w:r w:rsidRPr="00142305">
        <w:rPr>
          <w:rFonts w:ascii="Times New Roman" w:hAnsi="Times New Roman"/>
          <w:color w:val="0070C0"/>
          <w:sz w:val="16"/>
          <w:szCs w:val="16"/>
        </w:rPr>
        <w:softHyphen/>
        <w:t>ми тяжелые бомбардировщики начали приземляться там с пехотой на борту (24977).</w:t>
      </w:r>
    </w:p>
    <w:p w14:paraId="338949DA" w14:textId="77777777" w:rsidR="006D430D" w:rsidRPr="00142305" w:rsidRDefault="006D430D" w:rsidP="006D430D">
      <w:pPr>
        <w:spacing w:after="0" w:line="240" w:lineRule="auto"/>
        <w:jc w:val="both"/>
        <w:rPr>
          <w:rFonts w:ascii="Times New Roman" w:hAnsi="Times New Roman"/>
          <w:color w:val="0070C0"/>
          <w:sz w:val="16"/>
          <w:szCs w:val="16"/>
        </w:rPr>
      </w:pPr>
    </w:p>
    <w:p w14:paraId="07874E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г. десантники впервые участвовали в крупных маневрах Красной армии на Украине. Из специальной техники применяли подфюзеляжные кабины, грузовые мешки и контейнеры. 15 августа группа парашютистов захватила аэродром условного противника, на который села эскадрилья ТБ-1 (12036).</w:t>
      </w:r>
    </w:p>
    <w:p w14:paraId="6CDDA8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E906D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августа 1931 с двух АНТ-9 в районе Красного Села вбрасывали десант - 19 парашютистов и ДРП (522,5).</w:t>
      </w:r>
    </w:p>
    <w:p w14:paraId="55D1E5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2776217" w14:textId="77777777" w:rsidR="00C6668D" w:rsidRPr="005E779E" w:rsidRDefault="00C6668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августа 1931 г. в районе Красного Села во время первой показательной операции из двух самолетов АНТ-9 одновременно высадились на парашютах 19 бойцов ПДО. 20 августа была выполнена повторная высадка парашютного десанта в составе 20 бойцов ПДО с двух самолетов АНТ-9. ПДО в итоге совершил 237 прыжков (Архив ЦДА и К. Ф. 50. Оп. 1. Д. 2. Л. 22). 1 Одновременно производилась съемка учебного кинофильма, который должен был ознакомить командиров РККА с порядком формирования, подготовкой и проведением операций ПДО. Фильм из 4-х частей (1.300 метров) был заснят за 8 с половиной съемочных дней и после просмотра получил отличную оценку. Картину снимал оператор Сидоров, работавший с Миновым в 1930 г. в Воронеже над учебным фильмом «Парашют», премированным Политуправлением РККА и Правлением Союзкино (Архив ЦДА и К. Ф. 50. Оп. 1. Д. 2. Л. 25). (21402).</w:t>
      </w:r>
    </w:p>
    <w:p w14:paraId="78FAEB36" w14:textId="77777777" w:rsidR="00C6668D" w:rsidRPr="005E779E" w:rsidRDefault="00C6668D" w:rsidP="000B7A6C">
      <w:pPr>
        <w:spacing w:after="0" w:line="240" w:lineRule="auto"/>
        <w:jc w:val="both"/>
        <w:rPr>
          <w:rFonts w:ascii="Times New Roman" w:hAnsi="Times New Roman"/>
          <w:color w:val="000000" w:themeColor="text1"/>
          <w:sz w:val="16"/>
          <w:szCs w:val="16"/>
        </w:rPr>
      </w:pPr>
    </w:p>
    <w:p w14:paraId="49953334" w14:textId="77777777" w:rsidR="00D210DB" w:rsidRPr="005E779E" w:rsidRDefault="00D210D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августа 1931 десант парашютистов «захватил» аэродром «противника», на который перебазировалась одна из эскадрилий ТБ-1.10 и 14 сентяб</w:t>
      </w:r>
      <w:r w:rsidRPr="005E779E">
        <w:rPr>
          <w:rFonts w:ascii="Times New Roman" w:hAnsi="Times New Roman"/>
          <w:color w:val="000000" w:themeColor="text1"/>
          <w:sz w:val="16"/>
          <w:szCs w:val="16"/>
        </w:rPr>
        <w:softHyphen/>
        <w:t>ря последние сами использовались для перевозки десантников. После захвата площадок выброшенными с трёхмоторных АНТ-9 парашютис</w:t>
      </w:r>
      <w:r w:rsidRPr="005E779E">
        <w:rPr>
          <w:rFonts w:ascii="Times New Roman" w:hAnsi="Times New Roman"/>
          <w:color w:val="000000" w:themeColor="text1"/>
          <w:sz w:val="16"/>
          <w:szCs w:val="16"/>
        </w:rPr>
        <w:softHyphen/>
        <w:t>тами тяжёлые бомбардировщики начали приземляться там с пехотой на борту (23469).</w:t>
      </w:r>
    </w:p>
    <w:p w14:paraId="7BDA1D57" w14:textId="77777777" w:rsidR="00D210DB" w:rsidRPr="005E779E" w:rsidRDefault="00D210DB" w:rsidP="000B7A6C">
      <w:pPr>
        <w:spacing w:after="0" w:line="240" w:lineRule="auto"/>
        <w:jc w:val="both"/>
        <w:rPr>
          <w:rFonts w:ascii="Times New Roman" w:hAnsi="Times New Roman"/>
          <w:color w:val="000000" w:themeColor="text1"/>
          <w:sz w:val="16"/>
          <w:szCs w:val="16"/>
        </w:rPr>
      </w:pPr>
    </w:p>
    <w:p w14:paraId="70502D01" w14:textId="77777777" w:rsidR="00B152B2" w:rsidRPr="005E779E" w:rsidRDefault="00B152B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августа 1931 г. новый начальник Штаба РККА А. И. Егоров, сменивший в июне 1931 г. Б. М. Шапошникова, информировал Реввоенсовет СССР — план работы Военной Академии на 1930/31 год «по всем признакам построен на учете опыта и позаимствован у Германской Военной Академии» (18265).</w:t>
      </w:r>
    </w:p>
    <w:p w14:paraId="4EDB6F88" w14:textId="77777777" w:rsidR="00B152B2" w:rsidRPr="005E779E" w:rsidRDefault="00B152B2" w:rsidP="000B7A6C">
      <w:pPr>
        <w:spacing w:after="0" w:line="240" w:lineRule="auto"/>
        <w:jc w:val="both"/>
        <w:rPr>
          <w:rFonts w:ascii="Times New Roman" w:hAnsi="Times New Roman"/>
          <w:color w:val="000000" w:themeColor="text1"/>
          <w:sz w:val="16"/>
          <w:szCs w:val="16"/>
        </w:rPr>
      </w:pPr>
    </w:p>
    <w:p w14:paraId="53528B19" w14:textId="77777777" w:rsidR="00B152B2" w:rsidRPr="005E779E" w:rsidRDefault="00B152B2"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20AF1DFE" w14:textId="77777777" w:rsidR="00B152B2" w:rsidRPr="005E779E" w:rsidRDefault="00B152B2"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91E5FED" w14:textId="77777777" w:rsidR="00B152B2" w:rsidRPr="005E779E" w:rsidRDefault="00B152B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августа 1931 года Постановление ЦК ВКП(б) «Об издательской работе» отметило рост изданий технической книги с 11 млн. экземпляров в 1929 году до 40 млн. экземпляров в 1930 году. Однако «ввиду важности на данном этапе задач овладения техникой и распространения технических знаний этот вид литературы должен быть поставлен в особое положение…». Из системы ОГИЗа было выделено и передано в ведение ВСНХ государственное техническое издательство (Гостехиздат). Гостехиздат должен был организовать издание переводной технической литературы и справочников по различным отраслям производства и техники, вести свою работу в тесной связи с научно-исследовательскими институтами. «Вся издательская работа должна вестись под углом всесторонней помощи социалистическому строительству, подъёма теории на высшую ступень и сочетания её с практикой…» (19546).</w:t>
      </w:r>
    </w:p>
    <w:p w14:paraId="1D531251" w14:textId="77777777" w:rsidR="00B152B2" w:rsidRPr="005E779E" w:rsidRDefault="00B152B2" w:rsidP="000B7A6C">
      <w:pPr>
        <w:spacing w:after="0" w:line="240" w:lineRule="auto"/>
        <w:jc w:val="both"/>
        <w:rPr>
          <w:rFonts w:ascii="Times New Roman" w:hAnsi="Times New Roman"/>
          <w:color w:val="000000" w:themeColor="text1"/>
          <w:sz w:val="16"/>
          <w:szCs w:val="16"/>
        </w:rPr>
      </w:pPr>
    </w:p>
    <w:p w14:paraId="30B4AA38" w14:textId="77777777" w:rsidR="00CE289C" w:rsidRPr="005E779E" w:rsidRDefault="00CE289C"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1DF2E117" w14:textId="77777777" w:rsidR="00CE289C" w:rsidRPr="005E779E" w:rsidRDefault="00CE289C"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1672322" w14:textId="77777777" w:rsidR="00C6668D" w:rsidRPr="005E779E" w:rsidRDefault="00C6668D" w:rsidP="000B7A6C">
      <w:pPr>
        <w:spacing w:after="0" w:line="240" w:lineRule="auto"/>
        <w:jc w:val="both"/>
        <w:rPr>
          <w:rFonts w:ascii="Times New Roman" w:hAnsi="Times New Roman"/>
          <w:color w:val="000000" w:themeColor="text1"/>
          <w:sz w:val="16"/>
          <w:szCs w:val="16"/>
          <w:shd w:val="clear" w:color="auto" w:fill="FFFFFF"/>
        </w:rPr>
      </w:pPr>
      <w:r w:rsidRPr="005E779E">
        <w:rPr>
          <w:rFonts w:ascii="Times New Roman" w:hAnsi="Times New Roman"/>
          <w:color w:val="000000" w:themeColor="text1"/>
          <w:sz w:val="16"/>
          <w:szCs w:val="16"/>
          <w:shd w:val="clear" w:color="auto" w:fill="FFFFFF"/>
        </w:rPr>
        <w:t>15 августа 1931 Чарльз (Charles Augustus Lindbergh Jr.) и Энн Линдберги (Anne Morrow Lindbergh), заправив полные баки, вылетели ранним утром из Нома, пересекли Беренгов пролив и совершили посадку у острова Карагинского. Американцев встретили гостеприимные местные жители, которые угостили их земляникой с молоком и оставили самые теплые воспоминания. Еще четыре часа полета – и посадка в Авачинской бухте Петропавловск-Камчатского.</w:t>
      </w:r>
    </w:p>
    <w:p w14:paraId="3CBB9C3B" w14:textId="77777777" w:rsidR="00C6668D" w:rsidRPr="005E779E" w:rsidRDefault="00C6668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shd w:val="clear" w:color="auto" w:fill="FFFFFF"/>
        </w:rPr>
        <w:t>19 августа начался новый этап перелета, который для Линдбергов оказался самым сложным. Они должны были преодолеть около полутора тысяч километров и произвести посадку в японском Немуро, но вскоре после взлета из Петропавловска-Камчатского попали в такой туман, что вынуждены были произвести посадку у острова Кетой. Приводнение оказалось жестким и вызвало повреждение конструкции самолета. Ночь супруги провели в самолете в открытом море. Утро принесло облегчение, неподалеку они увидели японское судно, которое отбуксировало самолет в уютную бухту Броутон на острове Симушир, где Линдбергу удалось починить самолет. 22 августа авиаторы продолжили путь, но туман вновь заставил произвести посадку, на этот раз на Итурупе. Немуро был, наконец, достигнут 23 августа (21438).</w:t>
      </w:r>
    </w:p>
    <w:p w14:paraId="046544DA" w14:textId="77777777" w:rsidR="00C6668D" w:rsidRPr="005E779E" w:rsidRDefault="00C6668D" w:rsidP="000B7A6C">
      <w:pPr>
        <w:spacing w:after="0" w:line="240" w:lineRule="auto"/>
        <w:jc w:val="both"/>
        <w:rPr>
          <w:rFonts w:ascii="Times New Roman" w:hAnsi="Times New Roman"/>
          <w:color w:val="000000" w:themeColor="text1"/>
          <w:sz w:val="16"/>
          <w:szCs w:val="16"/>
        </w:rPr>
      </w:pPr>
    </w:p>
    <w:p w14:paraId="16F273C9"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6E50AEFF"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85669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середине августа 1931 начались работы по переоборудованию К-5 N 185 в трехместный бомбардировщик. Бомб - 450-500 кг. Также должны были поставить пулемет ПВ-1 для стрельбы через винт с 250 патронами и двух ДА с 630 патронами. Плюс рация и фотоаппарат. Исследования возможности велись с 1 апреля 1929 (70,175).</w:t>
      </w:r>
    </w:p>
    <w:p w14:paraId="16218B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FE93D26"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51DB952C"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FF6A5E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16 августа 1931 года закончились испытания самолета И7 БМВ VI, которые проходили с 10 16 августа 1931 года (6771).</w:t>
      </w:r>
    </w:p>
    <w:p w14:paraId="6448795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И7 БМВ VI 3 – опытный постройки завода № 1.</w:t>
      </w:r>
    </w:p>
    <w:p w14:paraId="4B6415B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Цель работы</w:t>
      </w:r>
    </w:p>
    <w:p w14:paraId="59A2B54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Испытание опытного самолета с полетным весом 1740 кг.</w:t>
      </w:r>
    </w:p>
    <w:p w14:paraId="521202F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Испытание начато – 10 августа 1931 года</w:t>
      </w:r>
    </w:p>
    <w:p w14:paraId="1807CBB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Испытание закончено 16 августа 1931 года</w:t>
      </w:r>
    </w:p>
    <w:p w14:paraId="7E1E0D9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Летных дней на испытание – 5</w:t>
      </w:r>
    </w:p>
    <w:p w14:paraId="61FCD80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Количество полетов – 24</w:t>
      </w:r>
    </w:p>
    <w:p w14:paraId="3BF7C9B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Налетано часов – 11 час. 40 мин.</w:t>
      </w:r>
    </w:p>
    <w:p w14:paraId="2C02A7D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w:t>
      </w:r>
    </w:p>
    <w:p w14:paraId="7CEE5ABD"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И7 БМВ VI в таком виде, в каком он поступил с завода на испытание, как не отвечающий требованиям предъявляемым к современным истребителям по летным данным и по вооружению на массовое снабжение ВВС рекомендован быть не может.</w:t>
      </w:r>
    </w:p>
    <w:p w14:paraId="5F1C1139"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Ввиду того, что в постройке для снабжения ВВС нет другого истребителя с мотором водяного охлаждения, а также ввиду отсутствия надежных приспособлений облегчающих эксплуатацию моторов воздушного охлаждения в зимних условиях, НИИ признает целесообразным постройку серии самолетов И7 М-17 для вооружения нескольких эскадрилий (6771).</w:t>
      </w:r>
    </w:p>
    <w:p w14:paraId="52CDAE9E"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B0C7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 августа 1931 закончились испытания самолета И7 БМВ VI, которые проходили с 10 августа 1931. Самолет И7 БМВ VI опытный, постройки завода N 1. На основании произведенных испытаний НИИ посчитал, что самолет И7 БМВ VI не отвечает по своим летным данным требованиям к современным одноместным истребителям и полагает целесообразной постройку самолета для вооружения нескольких эскадрилий, исходя: 1. легкой возможности замены на самолете И7 М17, мотором М34, после чего самолет сможет получить полетные данные современного одноместного истребителя; 2. трудности эксплуатации и понижению летных данных самолета И5 ЮVI в зимних условиях.</w:t>
      </w:r>
    </w:p>
    <w:p w14:paraId="13DCAD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Летных дней на испытание - 5</w:t>
      </w:r>
    </w:p>
    <w:p w14:paraId="13F402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Количество полетов - 24</w:t>
      </w:r>
    </w:p>
    <w:p w14:paraId="12FDE1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Налетано часов - 11 час. 40 мин. (3269).</w:t>
      </w:r>
    </w:p>
    <w:p w14:paraId="30B3EB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4536661" w14:textId="77777777" w:rsidR="00D210DB" w:rsidRPr="005E779E" w:rsidRDefault="00D210D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 августа 1931 г. Государственные испытания самолета И-7 завершены и оформлен отчет по их результатам, где сказано (цитата):</w:t>
      </w:r>
    </w:p>
    <w:p w14:paraId="2E8B6F0E" w14:textId="77777777" w:rsidR="00D210DB" w:rsidRPr="005E779E" w:rsidRDefault="00D210D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И7 БМВ VI в таком виде, в каком он поступил с завода на испытание, как не отвечающий требованиям предъявляемым к современным истребителям по летным данным и по вооружению на массовое снабжение ВВС рекомендован быть не может. Ввиду того, что в постройке для снабжения ВВС нет другого истребителя с мотором водяного охлаждения, а также ввиду отсутствия надежных приспособлений облегчающих эксплуатацию моторов воздушного охлаждения в зимних условиях, НИИ признает целесообразным постройку серии самолетов И7 М-17 для вооружения нескольких эскадрилий, исходя: 1. легкой возможности замены на самолете И7 М17, мотором М34, после чего самолет сможет получить полетные данные современного одноместного истребителя; 2. трудности эксплуатации и понижению летных данных самолета И5 ЮVI в зимних условиях» (24331).</w:t>
      </w:r>
    </w:p>
    <w:p w14:paraId="3630416E" w14:textId="77777777" w:rsidR="00D210DB" w:rsidRPr="005E779E" w:rsidRDefault="00D210DB" w:rsidP="000B7A6C">
      <w:pPr>
        <w:spacing w:after="0" w:line="240" w:lineRule="auto"/>
        <w:jc w:val="both"/>
        <w:rPr>
          <w:rFonts w:ascii="Times New Roman" w:hAnsi="Times New Roman"/>
          <w:color w:val="000000" w:themeColor="text1"/>
          <w:sz w:val="16"/>
          <w:szCs w:val="16"/>
        </w:rPr>
      </w:pPr>
    </w:p>
    <w:p w14:paraId="01573A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 августа 1931 года ЦАГИ рапортом на имя Сталина, Кагановича, Орджоникидзе, Ворошилова, Баранова и начальника ВОГВФ Гольцмана сообщило о том, что ЦАГИ выпущен 14 августа 1931 года пассажирский самолет АНТ-14 на 2,5 месяца раньше срока. После упомянутой даты самолет АНТ-14 произвел несколько пробных полетов в воздухе, показавших его высокие качества и значительные преимущества перед подобными самолетами, конструируемыми за границей.</w:t>
      </w:r>
    </w:p>
    <w:p w14:paraId="0A7968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этого самолет АНТ-14 полетов не производил, в эксплуатацию не вступил и не был сдан до середины сентября. Причиной этого стало то, что самолет был недоделан: в нем отсутствует телефонное сообщение между пилотами и командиром корабля, электропроводка для освещения, испорчен центральный мотор и т.д. (7753, 190).</w:t>
      </w:r>
    </w:p>
    <w:p w14:paraId="6E99B7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A0F7A00"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5EC803D3"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A47ADD7"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 августа в 1931 году СНК СССР принял постановление «О развитии приемно-передающей радиовещательной сети». В нем указывалось на необходимость форсировать развитие технической базы радиовещания, обеспечить радиовещательными станциями все союзные и автономные республики, края и области (Собрание законов и распоряжений Рабоче-Крестьянского правительства СССР. Москва, Политиздат, 1931, страница 654) (14985).</w:t>
      </w:r>
    </w:p>
    <w:p w14:paraId="6AE4D211" w14:textId="77777777" w:rsidR="008344B7" w:rsidRPr="005E779E" w:rsidRDefault="008344B7" w:rsidP="000B7A6C">
      <w:pPr>
        <w:spacing w:after="0" w:line="240" w:lineRule="auto"/>
        <w:jc w:val="both"/>
        <w:rPr>
          <w:rFonts w:ascii="Times New Roman" w:hAnsi="Times New Roman"/>
          <w:color w:val="000000" w:themeColor="text1"/>
          <w:sz w:val="16"/>
          <w:szCs w:val="16"/>
        </w:rPr>
      </w:pPr>
    </w:p>
    <w:p w14:paraId="675BC2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 августа 1931 г. Приказом ВОМТ контора "Азотмашстрой"получает сокращенное название Гипроазотмаш. В начале 30-х годов контора была преобразована в институт, который, начиная с 1931 г., назывался: Государственный институт проектирования азотного машиностроения "Гипроазотмаш", Государственный научно-исследовательский институт азотного машиностроения "Гипроазотмаш", Государственный экспериментально-конструкторский институт азотного машиностроения "Гипроазотмаш", Государственный институт азотного машиностроения "Гипроазотмаш". В 1941 г. институт переименован в Государственный институт химического и бумажного машиностроения "Гипрохимбуммаш" и эвакуирован в г. Свердловск. Приказом Наркомата минометного вооружения СССР от 18 августа 1942 г. на базе Гипрохимбуммаша, Экспериментально-конструкторского института химического машиностроения "ЭКИхиммаш" и Конструкторского бюро Киевского завода "Большевик" организован Научно-исследовательский институт химического машиностроения "НИИхиммаш" (12102).</w:t>
      </w:r>
    </w:p>
    <w:p w14:paraId="46425B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AB69EBF"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4AF5018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4490A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 августа 1931 вышло постановление СНК N 174с о создании специальных (трудовых) поселений ГУЛАГ для высланного кулачества, а потом на эту же тему были постановления N 775.146с от 20 апреля 1933 и N 1796.393с от 21 августа 1933 (4081).</w:t>
      </w:r>
    </w:p>
    <w:p w14:paraId="7127F5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4F6CE7E"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2B5C8254"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700A0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 августа 1931 г. зав. контрольно-испытательным отделом зав. N 22 Егутко писал письмо N 44/825с в УВВС.</w:t>
      </w:r>
    </w:p>
    <w:p w14:paraId="0E0A68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сем препровождаются результаты серийного испытания самолета ТБ1 N 704.</w:t>
      </w:r>
    </w:p>
    <w:p w14:paraId="4055D2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Акт</w:t>
      </w:r>
    </w:p>
    <w:p w14:paraId="3771BB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Специального испытания типа ТБ1, серии N 1 построенного на зав. N 22 с 2 моторами типа М-17 НР 616-646 NN 26261-26255.</w:t>
      </w:r>
    </w:p>
    <w:p w14:paraId="2136BE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предъявлен заводом для производства испытаний 26 июня 1931 г.</w:t>
      </w:r>
    </w:p>
    <w:p w14:paraId="4C34B1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Испытание начато 24 июня 1931 г.</w:t>
      </w:r>
    </w:p>
    <w:p w14:paraId="1C79C5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Испытание окончено 3 июля 1931 г.</w:t>
      </w:r>
    </w:p>
    <w:p w14:paraId="06ACB1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основании сего материала и акта по серийному испытанию комиссия считает возможным данную серию самолетов признать кондиционной (3263).</w:t>
      </w:r>
    </w:p>
    <w:p w14:paraId="2A1EB5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7201D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 августа 1931 года начальник ЦАГИ С. Друян, начальник Отдела авиации, гидроавиации и опытного самолетостроения Туполев и начальник части пассажирского самолетостроения Архангельский писали письмо Сталину, Кагановичу, Орджоникидзе, Ворошилову, Баранову, Гольцману</w:t>
      </w:r>
    </w:p>
    <w:p w14:paraId="262AE9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Рапорт</w:t>
      </w:r>
    </w:p>
    <w:p w14:paraId="5745BF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 14 августа 1931 года выпущен в воздух пассажирский самолет АНТ-14.</w:t>
      </w:r>
    </w:p>
    <w:p w14:paraId="29BEAA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Цельнометаллический 41-местный гигант, снабженный 5 моторами, общей мощностью 2400 л.с. является крупнейшей ступенью в осуществлении лозунга партии "Догнать и перегнать" капиталистические страны.</w:t>
      </w:r>
    </w:p>
    <w:p w14:paraId="12A7FE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Выпуском самолета АНТ-14 в области сухопутной пассажирской авиации обогнал Америку, Англию, Францию и Японию, не имеющих ни одной машины такого тоннажа и вместе с Германией и Италией, имеющих всего лишь по одной опытной военной машине такого типа, становится на первое место в мире.</w:t>
      </w:r>
    </w:p>
    <w:p w14:paraId="51D2D4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Свой подарок 14-й Годовщине Октября в виде этой опытной машины, ЦАГИ передает Союзу на 2,5 месяца раньше срока и заверяет, что им будут приложены все силы к срочному внедрению самолета в серийное производство (7753, 191).</w:t>
      </w:r>
    </w:p>
    <w:p w14:paraId="203A31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1CD191F" w14:textId="77777777" w:rsidR="005F6ACD" w:rsidRPr="005E779E" w:rsidRDefault="005F6AC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К 17 августа 1931 г. на таганрогском заводе № 31 изготовили лодку первого са</w:t>
      </w:r>
      <w:r w:rsidRPr="005E779E">
        <w:rPr>
          <w:rFonts w:ascii="Times New Roman" w:hAnsi="Times New Roman"/>
          <w:color w:val="000000" w:themeColor="text1"/>
          <w:sz w:val="16"/>
          <w:szCs w:val="16"/>
          <w:lang w:eastAsia="ru-RU" w:bidi="ru-RU"/>
        </w:rPr>
        <w:softHyphen/>
        <w:t xml:space="preserve">молета </w:t>
      </w:r>
      <w:r w:rsidRPr="005E779E">
        <w:rPr>
          <w:rFonts w:ascii="Times New Roman" w:hAnsi="Times New Roman"/>
          <w:color w:val="000000" w:themeColor="text1"/>
          <w:sz w:val="16"/>
          <w:szCs w:val="16"/>
          <w:lang w:val="en-US" w:bidi="en-US"/>
        </w:rPr>
        <w:t>S</w:t>
      </w:r>
      <w:r w:rsidRPr="005E779E">
        <w:rPr>
          <w:rFonts w:ascii="Times New Roman" w:hAnsi="Times New Roman"/>
          <w:color w:val="000000" w:themeColor="text1"/>
          <w:sz w:val="16"/>
          <w:szCs w:val="16"/>
          <w:lang w:bidi="en-US"/>
        </w:rPr>
        <w:t>-62</w:t>
      </w:r>
      <w:r w:rsidRPr="005E779E">
        <w:rPr>
          <w:rFonts w:ascii="Times New Roman" w:hAnsi="Times New Roman"/>
          <w:color w:val="000000" w:themeColor="text1"/>
          <w:sz w:val="16"/>
          <w:szCs w:val="16"/>
          <w:lang w:val="en-US" w:bidi="en-US"/>
        </w:rPr>
        <w:t>bis</w:t>
      </w:r>
      <w:r w:rsidRPr="005E779E">
        <w:rPr>
          <w:rFonts w:ascii="Times New Roman" w:hAnsi="Times New Roman"/>
          <w:color w:val="000000" w:themeColor="text1"/>
          <w:sz w:val="16"/>
          <w:szCs w:val="16"/>
          <w:lang w:eastAsia="ru-RU" w:bidi="ru-RU"/>
        </w:rPr>
        <w:t>. 28 ноября заводчане отрапортовали «наверх», что машина почти готова, не успели только обтянуть плоскости полотном и смонтировать оборудование. Но уже на следующий день кто-то из рабочих по ошибке оставил на ночь открытым паровой вентиль в цехе (гнутые деревян</w:t>
      </w:r>
      <w:r w:rsidRPr="005E779E">
        <w:rPr>
          <w:rFonts w:ascii="Times New Roman" w:hAnsi="Times New Roman"/>
          <w:color w:val="000000" w:themeColor="text1"/>
          <w:sz w:val="16"/>
          <w:szCs w:val="16"/>
          <w:lang w:eastAsia="ru-RU" w:bidi="ru-RU"/>
        </w:rPr>
        <w:softHyphen/>
        <w:t>ные детали предварительно распаривали). К утру все межкрыльевые стойки и подмоторные брусья перекосились и растрескались.</w:t>
      </w:r>
    </w:p>
    <w:p w14:paraId="544979A6" w14:textId="77777777" w:rsidR="005F6ACD" w:rsidRPr="005E779E" w:rsidRDefault="005F6ACD" w:rsidP="000B7A6C">
      <w:pPr>
        <w:spacing w:after="0" w:line="240" w:lineRule="auto"/>
        <w:jc w:val="both"/>
        <w:rPr>
          <w:rFonts w:ascii="Times New Roman" w:hAnsi="Times New Roman"/>
          <w:color w:val="000000" w:themeColor="text1"/>
          <w:sz w:val="16"/>
          <w:szCs w:val="16"/>
          <w:lang w:eastAsia="ru-RU" w:bidi="ru-RU"/>
        </w:rPr>
      </w:pPr>
      <w:r w:rsidRPr="005E779E">
        <w:rPr>
          <w:rFonts w:ascii="Times New Roman" w:hAnsi="Times New Roman"/>
          <w:color w:val="000000" w:themeColor="text1"/>
          <w:sz w:val="16"/>
          <w:szCs w:val="16"/>
          <w:lang w:eastAsia="ru-RU" w:bidi="ru-RU"/>
        </w:rPr>
        <w:lastRenderedPageBreak/>
        <w:t>В попытке спасти ситуацию завод обратился в ВАО с просьбой уменьшить план до 30 самолетов, а пять первых считать опытными. Эта маленькая хитрость позволяла су</w:t>
      </w:r>
      <w:r w:rsidRPr="005E779E">
        <w:rPr>
          <w:rFonts w:ascii="Times New Roman" w:hAnsi="Times New Roman"/>
          <w:color w:val="000000" w:themeColor="text1"/>
          <w:sz w:val="16"/>
          <w:szCs w:val="16"/>
          <w:lang w:eastAsia="ru-RU" w:bidi="ru-RU"/>
        </w:rPr>
        <w:softHyphen/>
        <w:t>щественно отклоняться от требований к серийным ма</w:t>
      </w:r>
      <w:r w:rsidRPr="005E779E">
        <w:rPr>
          <w:rFonts w:ascii="Times New Roman" w:hAnsi="Times New Roman"/>
          <w:color w:val="000000" w:themeColor="text1"/>
          <w:sz w:val="16"/>
          <w:szCs w:val="16"/>
          <w:lang w:eastAsia="ru-RU" w:bidi="ru-RU"/>
        </w:rPr>
        <w:softHyphen/>
        <w:t>шинам. ВАО с предложением завода согласился, но зато на следующий, 1932 г., от предприятия потребовали вы</w:t>
      </w:r>
      <w:r w:rsidRPr="005E779E">
        <w:rPr>
          <w:rFonts w:ascii="Times New Roman" w:hAnsi="Times New Roman"/>
          <w:color w:val="000000" w:themeColor="text1"/>
          <w:sz w:val="16"/>
          <w:szCs w:val="16"/>
          <w:lang w:eastAsia="ru-RU" w:bidi="ru-RU"/>
        </w:rPr>
        <w:softHyphen/>
        <w:t>пустить уже 110 лодок. При этом первые 50 машин долж</w:t>
      </w:r>
      <w:r w:rsidRPr="005E779E">
        <w:rPr>
          <w:rFonts w:ascii="Times New Roman" w:hAnsi="Times New Roman"/>
          <w:color w:val="000000" w:themeColor="text1"/>
          <w:sz w:val="16"/>
          <w:szCs w:val="16"/>
          <w:lang w:eastAsia="ru-RU" w:bidi="ru-RU"/>
        </w:rPr>
        <w:softHyphen/>
        <w:t>ны были оснащаться двигателями «Ассо», 10-20 следую</w:t>
      </w:r>
      <w:r w:rsidRPr="005E779E">
        <w:rPr>
          <w:rFonts w:ascii="Times New Roman" w:hAnsi="Times New Roman"/>
          <w:color w:val="000000" w:themeColor="text1"/>
          <w:sz w:val="16"/>
          <w:szCs w:val="16"/>
          <w:lang w:eastAsia="ru-RU" w:bidi="ru-RU"/>
        </w:rPr>
        <w:softHyphen/>
        <w:t>щих — новыми отечественными моторами М-27 (тоже 18-ци</w:t>
      </w:r>
      <w:r w:rsidRPr="005E779E">
        <w:rPr>
          <w:rFonts w:ascii="Times New Roman" w:hAnsi="Times New Roman"/>
          <w:color w:val="000000" w:themeColor="text1"/>
          <w:sz w:val="16"/>
          <w:szCs w:val="16"/>
          <w:lang w:eastAsia="ru-RU" w:bidi="ru-RU"/>
        </w:rPr>
        <w:softHyphen/>
        <w:t xml:space="preserve">линдровыми, </w:t>
      </w:r>
      <w:r w:rsidRPr="005E779E">
        <w:rPr>
          <w:rFonts w:ascii="Times New Roman" w:hAnsi="Times New Roman"/>
          <w:color w:val="000000" w:themeColor="text1"/>
          <w:sz w:val="16"/>
          <w:szCs w:val="16"/>
          <w:lang w:val="en-US" w:bidi="en-US"/>
        </w:rPr>
        <w:t>W</w:t>
      </w:r>
      <w:r w:rsidRPr="005E779E">
        <w:rPr>
          <w:rFonts w:ascii="Times New Roman" w:hAnsi="Times New Roman"/>
          <w:color w:val="000000" w:themeColor="text1"/>
          <w:sz w:val="16"/>
          <w:szCs w:val="16"/>
          <w:lang w:eastAsia="ru-RU" w:bidi="ru-RU"/>
        </w:rPr>
        <w:t>-образными, как «Ассо»), а все остальные — двигателями М-34. Машины с М-27 предназначались для гражданской авиации, с М-34 — для ВВС. Проектирование вариантов с М-27 и М-34 начали на заводе №31, но с кон</w:t>
      </w:r>
      <w:r w:rsidRPr="005E779E">
        <w:rPr>
          <w:rFonts w:ascii="Times New Roman" w:hAnsi="Times New Roman"/>
          <w:color w:val="000000" w:themeColor="text1"/>
          <w:sz w:val="16"/>
          <w:szCs w:val="16"/>
          <w:lang w:eastAsia="ru-RU" w:bidi="ru-RU"/>
        </w:rPr>
        <w:softHyphen/>
        <w:t>ца года все материалы передали в ЦАГИ (20325).</w:t>
      </w:r>
    </w:p>
    <w:p w14:paraId="21CCC8C5" w14:textId="77777777" w:rsidR="005F6ACD" w:rsidRPr="005E779E" w:rsidRDefault="005F6ACD" w:rsidP="000B7A6C">
      <w:pPr>
        <w:spacing w:after="0" w:line="240" w:lineRule="auto"/>
        <w:jc w:val="both"/>
        <w:rPr>
          <w:rFonts w:ascii="Times New Roman" w:hAnsi="Times New Roman"/>
          <w:color w:val="000000" w:themeColor="text1"/>
          <w:sz w:val="16"/>
          <w:szCs w:val="16"/>
        </w:rPr>
      </w:pPr>
    </w:p>
    <w:p w14:paraId="73997A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 августа 1931 у П.И.Б. состоялось совещание по вопросам разработки планов опытного моторо- и самолетостроения на 1931-1934 гг. (351).</w:t>
      </w:r>
    </w:p>
    <w:p w14:paraId="61EB5C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D3CDB88" w14:textId="77777777" w:rsidR="00AE4CBE"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42BEC36D" w14:textId="77777777" w:rsidR="00AE4CBE" w:rsidRPr="005E779E" w:rsidRDefault="00AE4CBE"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B5C1054" w14:textId="77777777" w:rsidR="009E2993" w:rsidRPr="005E779E" w:rsidRDefault="009E2993"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17 августа 1931 г. губернатор Техаса Стерлинг силой остановил нефтедобычу (</w:t>
      </w:r>
      <w:r w:rsidRPr="005E779E">
        <w:rPr>
          <w:rFonts w:ascii="Times New Roman" w:eastAsia="Times New Roman" w:hAnsi="Times New Roman"/>
          <w:bCs/>
          <w:iCs/>
          <w:color w:val="000000" w:themeColor="text1"/>
          <w:sz w:val="16"/>
          <w:szCs w:val="16"/>
          <w:lang w:eastAsia="ru-RU"/>
        </w:rPr>
        <w:t>Д.Ергин «Добыча», М., ДеНово, 1999):</w:t>
      </w:r>
    </w:p>
    <w:p w14:paraId="05EB374B" w14:textId="77777777" w:rsidR="009E2993" w:rsidRPr="005E779E" w:rsidRDefault="009E2993"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bCs/>
          <w:color w:val="000000" w:themeColor="text1"/>
          <w:sz w:val="16"/>
          <w:szCs w:val="16"/>
          <w:lang w:eastAsia="ru-RU"/>
        </w:rPr>
        <w:t xml:space="preserve">«К августу 1931 года и Восточный Техас, и весь нефтяной рынок США находились в состоянии полной анархии. В Восточном Техасе добывалось уже более миллиона баррелей в день, что составляло почти половину всех потребностей Америки, и цена сырой нефти рухнула до тринадцати центов за баррель. Нефть из Техаса стоила в Европе даже дешевле российской. Цены на нефть на выходе с буровой в Техасе и повсюду в США были настолько ниже себестоимости, составлявшей в среднем восемьдесят центов за баррель, что грозило крахом большинству нефтедобывающих компаний, как в Техасе, так и по всей стране. На следующий день после того, как нефтедобытчики Восточного Техаса призвали добровольно прекратить добычу, чтобы содействовать подъему цен, уровень добычи еще вырос. Воздух наполнялся ожесточением, говорили, что завозят динамит, чтобы взорвать скважины и трубопроводы. Экономика Техаса, а также, вероятно, закон и порядок, были на грани краха. Губернатор Техаса Росс Стерлинг, основатель и экспредседатель «Хамбл ойл», колебался. Однако выхода не было, приходилось действовать. Он объявил войну за Восточный Техас. </w:t>
      </w:r>
      <w:r w:rsidRPr="005E779E">
        <w:rPr>
          <w:rFonts w:ascii="Times New Roman" w:eastAsia="Times New Roman" w:hAnsi="Times New Roman"/>
          <w:color w:val="000000" w:themeColor="text1"/>
          <w:sz w:val="16"/>
          <w:szCs w:val="16"/>
          <w:lang w:eastAsia="ru-RU"/>
        </w:rPr>
        <w:t xml:space="preserve">17 августа 1931 года </w:t>
      </w:r>
      <w:r w:rsidRPr="005E779E">
        <w:rPr>
          <w:rFonts w:ascii="Times New Roman" w:eastAsia="Times New Roman" w:hAnsi="Times New Roman"/>
          <w:bCs/>
          <w:color w:val="000000" w:themeColor="text1"/>
          <w:sz w:val="16"/>
          <w:szCs w:val="16"/>
          <w:lang w:eastAsia="ru-RU"/>
        </w:rPr>
        <w:t>губернатор заявил, что Восточный Техас находится «в состоянии мятежа» и «открытого бунта», и послал к скважинам несколько тысяч национальных гвардейцев и техасских рейнджеров. Они отправились в путь на лошадях, поскольку недавние дожди размыли дороги, сделав их непроходимыми для автомобилей. Лагерь разбили на месте, которое впоследствии окрестили «Холм борьбы за рационирование», и в течение нескольких дней «армия губернатора» остановила добычу. Непривычная тишина повисла над всем Восточным Техасом. Работа на месторождениях замерла. Даже курам, растолстевшим на насекомых, слетавшихся на свет горящих газовых факелов, пришлось «вернуться к прозаической „до-нефтяной“ практике копания червей». Вспомогательные работы тоже встали. Генерал, командовавший Национальной гвардией, запретил ношение «пляжных пижам» — «спецодежды» проституток, и их бизнес тоже начал хиреть. Мораторий на добычу работал — цены в отрасли повышались.» (17325).</w:t>
      </w:r>
    </w:p>
    <w:p w14:paraId="2BB4E461" w14:textId="77777777" w:rsidR="009E2993" w:rsidRPr="005E779E" w:rsidRDefault="009E2993" w:rsidP="000B7A6C">
      <w:pPr>
        <w:autoSpaceDE w:val="0"/>
        <w:autoSpaceDN w:val="0"/>
        <w:adjustRightInd w:val="0"/>
        <w:spacing w:after="0" w:line="240" w:lineRule="auto"/>
        <w:jc w:val="both"/>
        <w:rPr>
          <w:rFonts w:ascii="Times New Roman" w:hAnsi="Times New Roman"/>
          <w:color w:val="000000" w:themeColor="text1"/>
          <w:sz w:val="16"/>
          <w:szCs w:val="16"/>
        </w:rPr>
      </w:pPr>
    </w:p>
    <w:p w14:paraId="55AA368D"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7DFBACD7"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B22AA58"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августа 1931 г. Приказом № 354 Всесоюзного объединения Гражданского воздушного флота (ВОГВФ) была организована База опытного строительства и эксплуатации дирижаблей (БОСЭД), которая 7 декабря 1931 г. Приказом № 462 ВОГВФ была переименована в производственно-эксплуатационное предприятие строительства и эксплуатации дирижаблей («Дирижаблестрой») (15797).</w:t>
      </w:r>
    </w:p>
    <w:p w14:paraId="3BEDBDB9" w14:textId="77777777" w:rsidR="008344B7" w:rsidRPr="005E779E" w:rsidRDefault="008344B7" w:rsidP="000B7A6C">
      <w:pPr>
        <w:spacing w:after="0" w:line="240" w:lineRule="auto"/>
        <w:jc w:val="both"/>
        <w:rPr>
          <w:rFonts w:ascii="Times New Roman" w:hAnsi="Times New Roman"/>
          <w:color w:val="000000" w:themeColor="text1"/>
          <w:sz w:val="16"/>
          <w:szCs w:val="16"/>
        </w:rPr>
      </w:pPr>
    </w:p>
    <w:p w14:paraId="2A942E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августа 1931 был создан ГИРД, но это не совсем точно, так как правильнее - 1-20 сентября 1931 (388,56).</w:t>
      </w:r>
    </w:p>
    <w:p w14:paraId="11BCA1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C9E08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18-21 августа 1931 Н-2 Комсеверопути (Липп, Страубе, Петров - 438,627) летал на ликвидацию эпизоотии Сибирской язвы среди оленей (442,67) из Игарки в Дудинку и за 5 дней облетел п/о в поисках стад, садясь на озера в тундре, перевозя ветработников (438,627).</w:t>
      </w:r>
    </w:p>
    <w:p w14:paraId="25B9D2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4EEBBD8" w14:textId="77777777" w:rsidR="00190C71" w:rsidRPr="005E779E" w:rsidRDefault="00190C7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18-22 августа 1931 г. на Таймырском полуострове среди оленьих стад появилась эпизоотия сибирской язвы, угрожавшая гибелью поголовья оленей. Нуно было срочно доставить к оленьим стадам ветеринарную помощь с медикаментами. Никаким иным путем это не могло быть выполнено в срок. Положение было спасено экипажем самолета "Комсеверопуть" /Э.М.Липп, Г. А.Страубе/, немедленно прилетевшим из Игарки на Таймыо. В течение пятя дней летчики облетали полуостров в поисках оленьих стад, садясь на озера среди тундры, перевозя ветеринаров от одного пункта к другому. Героическая работа летчиков была оценена Таймырским окружным исполкомом.</w:t>
      </w:r>
    </w:p>
    <w:p w14:paraId="75A90A88" w14:textId="77777777" w:rsidR="00190C71" w:rsidRPr="005E779E" w:rsidRDefault="00190C7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/А.Гольцман. Гражданская авнация, 1932, стр. 100-101/ (23370).</w:t>
      </w:r>
    </w:p>
    <w:p w14:paraId="71060508" w14:textId="77777777" w:rsidR="00190C71" w:rsidRPr="005E779E" w:rsidRDefault="00190C71" w:rsidP="000B7A6C">
      <w:pPr>
        <w:spacing w:after="0" w:line="240" w:lineRule="auto"/>
        <w:jc w:val="both"/>
        <w:rPr>
          <w:rFonts w:ascii="Times New Roman" w:hAnsi="Times New Roman"/>
          <w:color w:val="000000" w:themeColor="text1"/>
          <w:sz w:val="16"/>
          <w:szCs w:val="16"/>
        </w:rPr>
      </w:pPr>
    </w:p>
    <w:p w14:paraId="64C6853B"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Внешняя политика:</w:t>
      </w:r>
    </w:p>
    <w:p w14:paraId="2EF2026D"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553C8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августа 1931 г. Брюнинг разъяснил деловым кругам из сталелитейного объединения Германии, что, отклоняя «русские заказы», на сохранении которых настаивали промышленники, он руководствовался тем, что во всем мире полагали, что эти заказы используются для военных целей. Именно в это время в Германии появились слухи, из которых следовало, что германское правительство договорилось с министром иностранных дел Франции Брианом о том, что в случае учета германских интересов на Женевской конференции по разоружению Германия прекратит сотрудничество с Красной Армией. Их распространение было напрямую связано с планами Папена и Рёхберга заключить союз с Францией за счет СССР (Rolf-Dieter Muller. Op. cit.. S. 220-221.) (11784).</w:t>
      </w:r>
    </w:p>
    <w:p w14:paraId="4A4CD7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0F89761" w14:textId="77777777" w:rsidR="00006DDF" w:rsidRPr="005E779E" w:rsidRDefault="00006D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августа 1931 г. Брюнинг разъяснил деловым кругам из сталелитейного объединения Германии, что, отклоняя «русские заказы», на сохранении которых настаивали промышленники, он руководствовался тем, что во всем мире полагали, что эти заказы используются для военных целей. Именно в это время в Германии появились слухи, из которых следовало, что германское правительство договорилось с министром иностранных дел Франции Брианом о том, что в случае учета германских интересов на Женевской конференции по разоружению Германия прекратит сотрудничество с Красной Армией. Их распространение было напрямую связано с планами Папена и Рёхберга заключить союз с Францией за счет СССР (19269).</w:t>
      </w:r>
    </w:p>
    <w:p w14:paraId="5BD40295" w14:textId="77777777" w:rsidR="00006DDF" w:rsidRPr="005E779E" w:rsidRDefault="00006DDF" w:rsidP="000B7A6C">
      <w:pPr>
        <w:spacing w:after="0" w:line="240" w:lineRule="auto"/>
        <w:jc w:val="both"/>
        <w:rPr>
          <w:rFonts w:ascii="Times New Roman" w:hAnsi="Times New Roman"/>
          <w:color w:val="000000" w:themeColor="text1"/>
          <w:sz w:val="16"/>
          <w:szCs w:val="16"/>
        </w:rPr>
      </w:pPr>
    </w:p>
    <w:p w14:paraId="6F73FD9F"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4FD5ACD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CE6E71A" w14:textId="77777777" w:rsidR="005F6ACD" w:rsidRPr="005E779E" w:rsidRDefault="005F6ACD" w:rsidP="000B7A6C">
      <w:pPr>
        <w:spacing w:after="0" w:line="240" w:lineRule="auto"/>
        <w:jc w:val="both"/>
        <w:rPr>
          <w:rFonts w:ascii="Times New Roman" w:hAnsi="Times New Roman"/>
          <w:color w:val="000000" w:themeColor="text1"/>
          <w:sz w:val="16"/>
          <w:szCs w:val="16"/>
          <w:shd w:val="clear" w:color="auto" w:fill="FFFFFF"/>
        </w:rPr>
      </w:pPr>
      <w:r w:rsidRPr="005E779E">
        <w:rPr>
          <w:rFonts w:ascii="Times New Roman" w:hAnsi="Times New Roman"/>
          <w:color w:val="000000" w:themeColor="text1"/>
          <w:sz w:val="16"/>
          <w:szCs w:val="16"/>
          <w:shd w:val="clear" w:color="auto" w:fill="FFFFFF"/>
        </w:rPr>
        <w:t>18 августа 1931 на самолете «Юнкерс» A.50 «Юниор» (Junior) немецкая летчица Марга фон Эцдорф (Marga Wolff gen. von Etzdorf) вылетела из Берлина. Из-за плохой погоды через три часа ей пришлось приземлиться в Кенигсберге. Несмотря на это, через одиннадцать часов она добралась до Москвы. Оттуда она полетела через Нижний Новгород и Казань. На третий день своего путешествия она пересекла Уральские горы, а затем, по Транссибирской магистрали вышла к Новосибирску. На следующий день она добралась до озера Байкал, совершив посадку в Иркутске. В Мукдене она сделала остановку на сутки, из-за задержки с оформлением визы. Для дозаправки, перед пересечением Японского моря, Марга совершила посадку в Корее. Вечером того же дня она приземлилась в Хиросиме. На следующий день была Осака, и, наконец, после облета многочисленных военных запретных зон – Токио.</w:t>
      </w:r>
    </w:p>
    <w:p w14:paraId="213CA843" w14:textId="77777777" w:rsidR="005F6ACD" w:rsidRPr="005E779E" w:rsidRDefault="005F6AC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shd w:val="clear" w:color="auto" w:fill="FFFFFF"/>
        </w:rPr>
        <w:t>В столицу Японии Марга фон Эцдорф прибыла 29 августа. Тысячи людей приветствовали рекордсмену в аэропорту Токио. Поскольку Эми Джонсон летела вместе с бортмехаником, имя Марги фон Эцдорф осталось в истории как имя первой женщины, совершивший одиночный полет в Японию (21438).</w:t>
      </w:r>
    </w:p>
    <w:p w14:paraId="2F0FE7AF" w14:textId="77777777" w:rsidR="005F6ACD" w:rsidRPr="005E779E" w:rsidRDefault="005F6ACD" w:rsidP="000B7A6C">
      <w:pPr>
        <w:spacing w:after="0" w:line="240" w:lineRule="auto"/>
        <w:jc w:val="both"/>
        <w:rPr>
          <w:rFonts w:ascii="Times New Roman" w:hAnsi="Times New Roman"/>
          <w:color w:val="000000" w:themeColor="text1"/>
          <w:sz w:val="16"/>
          <w:szCs w:val="16"/>
        </w:rPr>
      </w:pPr>
    </w:p>
    <w:p w14:paraId="53551D35" w14:textId="77777777" w:rsidR="00AE4CBE" w:rsidRPr="005E779E" w:rsidRDefault="00AE4CBE"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18 августа 1931 г. из поселка Лонгиир на Шпицбергене подлодка «Наутилус» с американскими исследователями поплыла к Северному полюсу. Руководил научной экспедицией Харальд Свердруп – член команды Руаля Амундсена, всей американской экспедицией командовал Уилкинс. 19 августа лодка подошла ко льдам, 22 августа сломался руль глубины, лодка потеряла возможность погружения. После ряда попыток «поднырнуть под лед» экспедиция повернула к Шпицбергену. Лодка на одну минуту по широте не дошла до 82º (17325).</w:t>
      </w:r>
    </w:p>
    <w:p w14:paraId="034E5752" w14:textId="77777777" w:rsidR="00AE4CBE" w:rsidRPr="005E779E" w:rsidRDefault="00AE4CBE"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F7888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августа 1931 Япония начала войну против Китая (3263,451).</w:t>
      </w:r>
    </w:p>
    <w:p w14:paraId="7E2615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6012FDE"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августа в 1931 году Япония начинает войну против Китая. Первая из серий "больших" войн после окончания ПМВ (14987).</w:t>
      </w:r>
    </w:p>
    <w:p w14:paraId="46962367" w14:textId="77777777" w:rsidR="008344B7" w:rsidRPr="005E779E" w:rsidRDefault="008344B7" w:rsidP="000B7A6C">
      <w:pPr>
        <w:spacing w:after="0" w:line="240" w:lineRule="auto"/>
        <w:jc w:val="both"/>
        <w:rPr>
          <w:rFonts w:ascii="Times New Roman" w:hAnsi="Times New Roman"/>
          <w:color w:val="000000" w:themeColor="text1"/>
          <w:sz w:val="16"/>
          <w:szCs w:val="16"/>
        </w:rPr>
      </w:pPr>
    </w:p>
    <w:p w14:paraId="08D8F266"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05D7ED94"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7C1F4E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19 ав</w:t>
      </w:r>
      <w:r w:rsidRPr="005E779E">
        <w:rPr>
          <w:rFonts w:ascii="Times New Roman" w:hAnsi="Times New Roman"/>
          <w:color w:val="000000" w:themeColor="text1"/>
          <w:sz w:val="16"/>
          <w:szCs w:val="16"/>
        </w:rPr>
        <w:softHyphen/>
        <w:t>густа 1931 г. проект М-22Р, выполненный на деньги ГВФ, был готов. В плане опытно-конструкторских работ, утвержденном Реввоенсоветом, обозначили два основных направления совершенствования М-22 — его хо</w:t>
      </w:r>
      <w:r w:rsidRPr="005E779E">
        <w:rPr>
          <w:rFonts w:ascii="Times New Roman" w:hAnsi="Times New Roman"/>
          <w:color w:val="000000" w:themeColor="text1"/>
          <w:sz w:val="16"/>
          <w:szCs w:val="16"/>
        </w:rPr>
        <w:softHyphen/>
        <w:t>тели оснастить редуктором и нагнетателем. Эти варианты получили обозна</w:t>
      </w:r>
      <w:r w:rsidRPr="005E779E">
        <w:rPr>
          <w:rFonts w:ascii="Times New Roman" w:hAnsi="Times New Roman"/>
          <w:color w:val="000000" w:themeColor="text1"/>
          <w:sz w:val="16"/>
          <w:szCs w:val="16"/>
        </w:rPr>
        <w:softHyphen/>
        <w:t>чения соответственно М-22Р и М-22Н. Чертежи редуктора типа «Фарман» от модификации 9Акх были получены из Франции. Редукторному варианту придавали большое значение, его собирались устанавливать на бомбардиров</w:t>
      </w:r>
      <w:r w:rsidRPr="005E779E">
        <w:rPr>
          <w:rFonts w:ascii="Times New Roman" w:hAnsi="Times New Roman"/>
          <w:color w:val="000000" w:themeColor="text1"/>
          <w:sz w:val="16"/>
          <w:szCs w:val="16"/>
        </w:rPr>
        <w:softHyphen/>
        <w:t xml:space="preserve">щиках и пассажирских самолетах. Его разработка шла согласно планам как ВВС, так и ГВФ. Государственные испытания М-22Р и М-22Н планировали на октябрь — ноябрь 1931 г. Гражданский воздушный флот пытался добиться создания специального «арктического» М-22 для эксплуатации в </w:t>
      </w:r>
      <w:r w:rsidRPr="005E779E">
        <w:rPr>
          <w:rFonts w:ascii="Times New Roman" w:hAnsi="Times New Roman"/>
          <w:color w:val="000000" w:themeColor="text1"/>
          <w:sz w:val="16"/>
          <w:szCs w:val="16"/>
        </w:rPr>
        <w:lastRenderedPageBreak/>
        <w:t>северных районах страны, но завод отказался от работ по этой модификации.Разработку новых вариантов М-22 вел Технико-конструкторский отдел завода № 29, который возглавил А.С. Назаров (1899-1997). Од</w:t>
      </w:r>
      <w:r w:rsidRPr="005E779E">
        <w:rPr>
          <w:rFonts w:ascii="Times New Roman" w:hAnsi="Times New Roman"/>
          <w:color w:val="000000" w:themeColor="text1"/>
          <w:sz w:val="16"/>
          <w:szCs w:val="16"/>
        </w:rPr>
        <w:softHyphen/>
        <w:t>нако никаких данных о постройке опытного образца нет. Проектировался и М-22Н, также не дошедший до стадии изготовления. Возможно, это объясняется тем, что во внеплановом порядке, за счет заво</w:t>
      </w:r>
      <w:r w:rsidRPr="005E779E">
        <w:rPr>
          <w:rFonts w:ascii="Times New Roman" w:hAnsi="Times New Roman"/>
          <w:color w:val="000000" w:themeColor="text1"/>
          <w:sz w:val="16"/>
          <w:szCs w:val="16"/>
        </w:rPr>
        <w:softHyphen/>
        <w:t>да, Назаров работал над более глубокой модернизацией М-22. Проект М-22У, созданный в апреле — мае 1932 г., объединил ПЦН по типу М-22Н с новы</w:t>
      </w:r>
      <w:r w:rsidRPr="005E779E">
        <w:rPr>
          <w:rFonts w:ascii="Times New Roman" w:hAnsi="Times New Roman"/>
          <w:color w:val="000000" w:themeColor="text1"/>
          <w:sz w:val="16"/>
          <w:szCs w:val="16"/>
        </w:rPr>
        <w:softHyphen/>
        <w:t>ми головками цилиндров (сделанными по типу американского мотора Пратт-Уитни «Хорнет»), большей площадью оребрения цилиндров и шлицевым но</w:t>
      </w:r>
      <w:r w:rsidRPr="005E779E">
        <w:rPr>
          <w:rFonts w:ascii="Times New Roman" w:hAnsi="Times New Roman"/>
          <w:color w:val="000000" w:themeColor="text1"/>
          <w:sz w:val="16"/>
          <w:szCs w:val="16"/>
        </w:rPr>
        <w:softHyphen/>
        <w:t>ском коленвала (под ВИШ). Назаров внес в М-22У еще целый ряд изменений. Предназначался новый двигатель в первую очередь для истребителей. Проект был представлен в УВВС и внесен в план 1933 г. уже как М-58. М-58 изготовили в нескольких экземплярах и испытали на стенде. В ходе доводки мощность мотора постепенно подняли до 800 л.с. «Ахил</w:t>
      </w:r>
      <w:r w:rsidRPr="005E779E">
        <w:rPr>
          <w:rFonts w:ascii="Times New Roman" w:hAnsi="Times New Roman"/>
          <w:color w:val="000000" w:themeColor="text1"/>
          <w:sz w:val="16"/>
          <w:szCs w:val="16"/>
        </w:rPr>
        <w:softHyphen/>
        <w:t>лесовой пятой» его являлся нагнетатель, надежность которого была невы</w:t>
      </w:r>
      <w:r w:rsidRPr="005E779E">
        <w:rPr>
          <w:rFonts w:ascii="Times New Roman" w:hAnsi="Times New Roman"/>
          <w:color w:val="000000" w:themeColor="text1"/>
          <w:sz w:val="16"/>
          <w:szCs w:val="16"/>
        </w:rPr>
        <w:softHyphen/>
        <w:t>сокой. Это вынудило перейти к промежуточной модификации М-58МН с уменьшенным наддувом. Такой двигатель удовлетворительно прошел за</w:t>
      </w:r>
      <w:r w:rsidRPr="005E779E">
        <w:rPr>
          <w:rFonts w:ascii="Times New Roman" w:hAnsi="Times New Roman"/>
          <w:color w:val="000000" w:themeColor="text1"/>
          <w:sz w:val="16"/>
          <w:szCs w:val="16"/>
        </w:rPr>
        <w:softHyphen/>
        <w:t>водские, а в сентябре 1934 г. — государственные испытания. В ноябре 1935 г. — мае 1936 г. он летал на самолете УТИ-3 (двухместном учебном варианте И-16) в НИИ ВВС. Но длительность доводки в значительной мере обесценила М-58. Хотя на малых высотах он превосходил по мощности М-25 (Райт 8Я-1820-РЗ) и М-75 (Гном-Рон 9К). выше 3000 м оба этих мотора давали существенный выигрыш. Таким образом, внедрение М-58МН в серию шло бы вразрез с официально провозглашенным курсом на освоение высотных моторов для истребитель</w:t>
      </w:r>
      <w:r w:rsidRPr="005E779E">
        <w:rPr>
          <w:rFonts w:ascii="Times New Roman" w:hAnsi="Times New Roman"/>
          <w:color w:val="000000" w:themeColor="text1"/>
          <w:sz w:val="16"/>
          <w:szCs w:val="16"/>
        </w:rPr>
        <w:softHyphen/>
        <w:t>ной авиации. Кроме того, выпуск базового М-22 к моменту завершения ис</w:t>
      </w:r>
      <w:r w:rsidRPr="005E779E">
        <w:rPr>
          <w:rFonts w:ascii="Times New Roman" w:hAnsi="Times New Roman"/>
          <w:color w:val="000000" w:themeColor="text1"/>
          <w:sz w:val="16"/>
          <w:szCs w:val="16"/>
        </w:rPr>
        <w:softHyphen/>
        <w:t>пытаний уже прекратили. В Запорожье запускали в серию принципиально отличные от него по конструкции М-85 (Гном-Рон 14Кгзё) и М-75. «Последний гвоздь в крышку гроба» М-58 забил начальник ВВС РККА Я.И. Алкснис, начертавший на акте утверждения отчета НИИ ВВС об испытаниях М-58МН резолюцию: «при наличии М-25 интереса не пред</w:t>
      </w:r>
      <w:r w:rsidRPr="005E779E">
        <w:rPr>
          <w:rFonts w:ascii="Times New Roman" w:hAnsi="Times New Roman"/>
          <w:color w:val="000000" w:themeColor="text1"/>
          <w:sz w:val="16"/>
          <w:szCs w:val="16"/>
        </w:rPr>
        <w:softHyphen/>
        <w:t>ставляет». Все работы по М-58 после этого прекратили. На этом завершилась история советских «Юпитеров». Их место на заводе № 29 заняли семейства двигателей, основывавшиеся на других типах, созданных конструкторами фирмы «Гном-Рон» — «Мистраль» и «Мистраль Мажор» (11852).</w:t>
      </w:r>
    </w:p>
    <w:p w14:paraId="76DDD76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9C6F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 августа 1931 женщины (В.Федорова и А.Чиркова) в Гатчине впервые спрыгнули с самолета на парашюте свободного падения, а первой было Л.Кулешова, которую сбросили из кассеты 9 июля 1931 (438,625).</w:t>
      </w:r>
    </w:p>
    <w:p w14:paraId="076750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2DB2705" w14:textId="77777777" w:rsidR="00190C71" w:rsidRPr="005E779E" w:rsidRDefault="00190C7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 августа 1931 г. в Гатчине жены авиаработников местного гарнизона Вера Федорова к Анастасия Чиркова первыми из советских женщин совершили прыжок с самолета на парашюте свободного действия системы Ирвинг. Прыжок оказался заразительным примером для других женщин, среди которых не замедлили появиться и парашютистки-рекордсменки.</w:t>
      </w:r>
    </w:p>
    <w:p w14:paraId="3C74D3B7" w14:textId="77777777" w:rsidR="00190C71" w:rsidRPr="005E779E" w:rsidRDefault="00190C7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/ВВФ,1934, № 8/ (23370).</w:t>
      </w:r>
    </w:p>
    <w:p w14:paraId="21959BB3" w14:textId="77777777" w:rsidR="00190C71" w:rsidRPr="005E779E" w:rsidRDefault="00190C71" w:rsidP="000B7A6C">
      <w:pPr>
        <w:autoSpaceDE w:val="0"/>
        <w:autoSpaceDN w:val="0"/>
        <w:adjustRightInd w:val="0"/>
        <w:spacing w:after="0" w:line="240" w:lineRule="auto"/>
        <w:jc w:val="both"/>
        <w:rPr>
          <w:rFonts w:ascii="Times New Roman" w:hAnsi="Times New Roman"/>
          <w:i/>
          <w:iCs/>
          <w:color w:val="000000" w:themeColor="text1"/>
          <w:sz w:val="16"/>
          <w:szCs w:val="16"/>
        </w:rPr>
      </w:pPr>
    </w:p>
    <w:p w14:paraId="218A91DC" w14:textId="405BECBB"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5C0A6DD3"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7242DBE" w14:textId="77777777" w:rsidR="008344B7" w:rsidRPr="005E779E" w:rsidRDefault="008344B7" w:rsidP="000B7A6C">
      <w:pPr>
        <w:spacing w:after="0" w:line="240" w:lineRule="auto"/>
        <w:jc w:val="both"/>
        <w:rPr>
          <w:rStyle w:val="af0"/>
          <w:rFonts w:ascii="Times New Roman" w:hAnsi="Times New Roman"/>
          <w:i w:val="0"/>
          <w:color w:val="000000" w:themeColor="text1"/>
          <w:sz w:val="16"/>
          <w:szCs w:val="16"/>
        </w:rPr>
      </w:pPr>
      <w:r w:rsidRPr="005E779E">
        <w:rPr>
          <w:rFonts w:ascii="Times New Roman" w:hAnsi="Times New Roman"/>
          <w:bCs/>
          <w:color w:val="000000" w:themeColor="text1"/>
          <w:sz w:val="16"/>
          <w:szCs w:val="16"/>
        </w:rPr>
        <w:t>19 августа 1931 г. — Докладная записка заместителя наркома по военным и морским делам СССР М. Н. Тухачевского председателю Комиссии обороны В. М. Молотову о состоянии работ по реализации программы артиллерийского вооружения РККА</w:t>
      </w:r>
    </w:p>
    <w:p w14:paraId="61FB8FB0" w14:textId="77777777" w:rsidR="00024EF9" w:rsidRPr="005E779E" w:rsidRDefault="00024EF9" w:rsidP="000B7A6C">
      <w:pPr>
        <w:spacing w:after="0" w:line="240" w:lineRule="auto"/>
        <w:jc w:val="both"/>
        <w:rPr>
          <w:rFonts w:ascii="Times New Roman" w:hAnsi="Times New Roman"/>
          <w:color w:val="000000" w:themeColor="text1"/>
          <w:sz w:val="16"/>
          <w:szCs w:val="16"/>
        </w:rPr>
      </w:pPr>
      <w:r w:rsidRPr="005E779E">
        <w:rPr>
          <w:rStyle w:val="af0"/>
          <w:rFonts w:ascii="Times New Roman" w:hAnsi="Times New Roman"/>
          <w:i w:val="0"/>
          <w:color w:val="000000" w:themeColor="text1"/>
          <w:sz w:val="16"/>
          <w:szCs w:val="16"/>
        </w:rPr>
        <w:t>Совершенно секретно.</w:t>
      </w:r>
    </w:p>
    <w:p w14:paraId="0AC43F96" w14:textId="77777777" w:rsidR="00024EF9" w:rsidRPr="005E779E" w:rsidRDefault="00024EF9" w:rsidP="000B7A6C">
      <w:pPr>
        <w:pStyle w:val="rtejustify"/>
        <w:spacing w:before="0" w:after="0"/>
        <w:rPr>
          <w:color w:val="000000" w:themeColor="text1"/>
          <w:sz w:val="16"/>
          <w:szCs w:val="16"/>
        </w:rPr>
      </w:pPr>
      <w:r w:rsidRPr="005E779E">
        <w:rPr>
          <w:color w:val="000000" w:themeColor="text1"/>
          <w:sz w:val="16"/>
          <w:szCs w:val="16"/>
        </w:rPr>
        <w:t>Выполнение правительственного постановления по артиллерийскому вооружению от 19 апреля 1931 г. в ряде важнейших пунктов находится под угрозой срыва. Не останавливаясь на работах менее важного значения и на работах, по коим выявилось сравнительно небольшое опоздание против установленных правительственной директивой сроков, докладываю:</w:t>
      </w:r>
    </w:p>
    <w:p w14:paraId="25C81F82" w14:textId="77777777" w:rsidR="00024EF9" w:rsidRPr="005E779E" w:rsidRDefault="00024EF9" w:rsidP="000B7A6C">
      <w:pPr>
        <w:pStyle w:val="rtejustify"/>
        <w:spacing w:before="0" w:after="0"/>
        <w:rPr>
          <w:color w:val="000000" w:themeColor="text1"/>
          <w:sz w:val="16"/>
          <w:szCs w:val="16"/>
        </w:rPr>
      </w:pPr>
      <w:r w:rsidRPr="005E779E">
        <w:rPr>
          <w:color w:val="000000" w:themeColor="text1"/>
          <w:sz w:val="16"/>
          <w:szCs w:val="16"/>
        </w:rPr>
        <w:t>1. 122</w:t>
      </w:r>
      <w:r w:rsidRPr="005E779E">
        <w:rPr>
          <w:color w:val="000000" w:themeColor="text1"/>
          <w:sz w:val="16"/>
          <w:szCs w:val="16"/>
        </w:rPr>
        <w:noBreakHyphen/>
        <w:t>мм дивизионная гаубица. Задание: испытание двух образцов провести в 1931 г. До сих пор не закончены даже рабочие чертежи. Сроки изготовления образцов заводом им. Молотова даются — март 1932 г., вследствие чего окончание испытаний можно ожидать к середине 1932 г.</w:t>
      </w:r>
    </w:p>
    <w:p w14:paraId="096D72AE" w14:textId="77777777" w:rsidR="00024EF9" w:rsidRPr="005E779E" w:rsidRDefault="00024EF9" w:rsidP="000B7A6C">
      <w:pPr>
        <w:pStyle w:val="rtejustify"/>
        <w:spacing w:before="0" w:after="0"/>
        <w:rPr>
          <w:color w:val="000000" w:themeColor="text1"/>
          <w:sz w:val="16"/>
          <w:szCs w:val="16"/>
        </w:rPr>
      </w:pPr>
      <w:r w:rsidRPr="005E779E">
        <w:rPr>
          <w:color w:val="000000" w:themeColor="text1"/>
          <w:sz w:val="16"/>
          <w:szCs w:val="16"/>
        </w:rPr>
        <w:t>2. 203</w:t>
      </w:r>
      <w:r w:rsidRPr="005E779E">
        <w:rPr>
          <w:color w:val="000000" w:themeColor="text1"/>
          <w:sz w:val="16"/>
          <w:szCs w:val="16"/>
        </w:rPr>
        <w:noBreakHyphen/>
        <w:t>мм мортира. Задание: испытать два опытных образца в 1931 г. В сентябре с. г. будет готов только один образец — завода «Красный Путиловец». По второму образцу — системы конструкторского бюро № 2 Орудийно-арсенального объединения (немецкого) — только в октябре будут закончены рабочие чертежи, и при этих условиях изготовление образца нельзя ожидать ранее II квартала 1932 г.</w:t>
      </w:r>
    </w:p>
    <w:p w14:paraId="46D53662" w14:textId="77777777" w:rsidR="00024EF9" w:rsidRPr="005E779E" w:rsidRDefault="00024EF9" w:rsidP="000B7A6C">
      <w:pPr>
        <w:pStyle w:val="rtejustify"/>
        <w:spacing w:before="0" w:after="0"/>
        <w:rPr>
          <w:color w:val="000000" w:themeColor="text1"/>
          <w:sz w:val="16"/>
          <w:szCs w:val="16"/>
        </w:rPr>
      </w:pPr>
      <w:r w:rsidRPr="005E779E">
        <w:rPr>
          <w:color w:val="000000" w:themeColor="text1"/>
          <w:sz w:val="16"/>
          <w:szCs w:val="16"/>
        </w:rPr>
        <w:t>3. 152</w:t>
      </w:r>
      <w:r w:rsidRPr="005E779E">
        <w:rPr>
          <w:color w:val="000000" w:themeColor="text1"/>
          <w:sz w:val="16"/>
          <w:szCs w:val="16"/>
        </w:rPr>
        <w:noBreakHyphen/>
        <w:t>мм дальнобойная пушка с дальностью 32 км. Задание: к 1931 г. закончить все испытания. До сих пор не закончены чертежи, срок окончания коих завод «Большевик» устанавливает 1 декабря 1931 г. При этом условии завод определяет срок сдачи всей системы — август 1932 г.</w:t>
      </w:r>
    </w:p>
    <w:p w14:paraId="7C9417C7" w14:textId="77777777" w:rsidR="00024EF9" w:rsidRPr="005E779E" w:rsidRDefault="00024EF9" w:rsidP="000B7A6C">
      <w:pPr>
        <w:pStyle w:val="rtejustify"/>
        <w:spacing w:before="0" w:after="0"/>
        <w:rPr>
          <w:color w:val="000000" w:themeColor="text1"/>
          <w:sz w:val="16"/>
          <w:szCs w:val="16"/>
        </w:rPr>
      </w:pPr>
      <w:r w:rsidRPr="005E779E">
        <w:rPr>
          <w:color w:val="000000" w:themeColor="text1"/>
          <w:sz w:val="16"/>
          <w:szCs w:val="16"/>
        </w:rPr>
        <w:t>4. 305</w:t>
      </w:r>
      <w:r w:rsidRPr="005E779E">
        <w:rPr>
          <w:color w:val="000000" w:themeColor="text1"/>
          <w:sz w:val="16"/>
          <w:szCs w:val="16"/>
        </w:rPr>
        <w:noBreakHyphen/>
        <w:t>мм гаубица. Задание: к весне 1932 г. изготовить 3 орудия. Задание поручено конструкторскому бюро № 2 Орудийно-арсенального объединения (немецкому). К разработке проекта не приступлено. В последнее время дано задание на проектирование гаубицы быв. вредителю инженеру Чернявскому, при котором организуется конструкторская группа. Задание правительства по этой системе приходится считать сорванным.</w:t>
      </w:r>
    </w:p>
    <w:p w14:paraId="586126C0" w14:textId="77777777" w:rsidR="00024EF9" w:rsidRPr="005E779E" w:rsidRDefault="00024EF9" w:rsidP="000B7A6C">
      <w:pPr>
        <w:pStyle w:val="rtejustify"/>
        <w:spacing w:before="0" w:after="0"/>
        <w:rPr>
          <w:color w:val="000000" w:themeColor="text1"/>
          <w:sz w:val="16"/>
          <w:szCs w:val="16"/>
        </w:rPr>
      </w:pPr>
      <w:r w:rsidRPr="005E779E">
        <w:rPr>
          <w:color w:val="000000" w:themeColor="text1"/>
          <w:sz w:val="16"/>
          <w:szCs w:val="16"/>
        </w:rPr>
        <w:t>5. 305</w:t>
      </w:r>
      <w:r w:rsidRPr="005E779E">
        <w:rPr>
          <w:color w:val="000000" w:themeColor="text1"/>
          <w:sz w:val="16"/>
          <w:szCs w:val="16"/>
        </w:rPr>
        <w:noBreakHyphen/>
        <w:t>мм мортира. Задание: к началу 1932 г. изготовить опытный образец. Сделаны только эскизные проекты заводом «Красный Путиловец» и конструкторским бюро № 2 Орудийно-арсенального объединения. Сроки изготовления обоих образцов промышленностью указываются — конец 1932 г. — начало 1933 г.</w:t>
      </w:r>
    </w:p>
    <w:p w14:paraId="22187E86" w14:textId="77777777" w:rsidR="00024EF9" w:rsidRPr="005E779E" w:rsidRDefault="00024EF9" w:rsidP="000B7A6C">
      <w:pPr>
        <w:pStyle w:val="rtejustify"/>
        <w:spacing w:before="0" w:after="0"/>
        <w:rPr>
          <w:color w:val="000000" w:themeColor="text1"/>
          <w:sz w:val="16"/>
          <w:szCs w:val="16"/>
        </w:rPr>
      </w:pPr>
      <w:r w:rsidRPr="005E779E">
        <w:rPr>
          <w:color w:val="000000" w:themeColor="text1"/>
          <w:sz w:val="16"/>
          <w:szCs w:val="16"/>
        </w:rPr>
        <w:t>Строительство тяжелой артиллерии находится под угрозой и со стороны обеспечения снарядами. Изготовляемые по программе 1931 и 1932 гг. тяжелые гаубицы и мортиры предусматривается обеспечить в размере всего 100</w:t>
      </w:r>
      <w:r w:rsidRPr="005E779E">
        <w:rPr>
          <w:color w:val="000000" w:themeColor="text1"/>
          <w:sz w:val="16"/>
          <w:szCs w:val="16"/>
        </w:rPr>
        <w:noBreakHyphen/>
        <w:t>150 выстрелами на орудие. Однако размещение в промышленности и этой минимальной программы встречает значительные затруднения.</w:t>
      </w:r>
    </w:p>
    <w:p w14:paraId="20BAAE4D" w14:textId="77777777" w:rsidR="00024EF9" w:rsidRPr="005E779E" w:rsidRDefault="00024EF9" w:rsidP="000B7A6C">
      <w:pPr>
        <w:pStyle w:val="rtejustify"/>
        <w:spacing w:before="0" w:after="0"/>
        <w:rPr>
          <w:color w:val="000000" w:themeColor="text1"/>
          <w:sz w:val="16"/>
          <w:szCs w:val="16"/>
        </w:rPr>
      </w:pPr>
      <w:r w:rsidRPr="005E779E">
        <w:rPr>
          <w:color w:val="000000" w:themeColor="text1"/>
          <w:sz w:val="16"/>
          <w:szCs w:val="16"/>
        </w:rPr>
        <w:t>Выявившийся в настоящее время несомненный срыв правительственной директивы в ряде важнейших ее пунктов является следствием того, что промышленность не приняла необходимых практических мероприятий по обеспечению ее выполнения. Ни по укомплектованию артиллерийских конструкторских бюро и производственных мастерских техническим составом за счет внутрипромышленной мобилизации технических сил, ни по расширению опытных производственных единиц заводов никаких реальных мероприятий проведено не было. Не приступлено до сих пор и к. реальному строительству опытного завода.</w:t>
      </w:r>
    </w:p>
    <w:p w14:paraId="34BD8EB9" w14:textId="77777777" w:rsidR="00024EF9" w:rsidRPr="005E779E" w:rsidRDefault="00024EF9" w:rsidP="000B7A6C">
      <w:pPr>
        <w:pStyle w:val="rtejustify"/>
        <w:spacing w:before="0" w:after="0"/>
        <w:rPr>
          <w:color w:val="000000" w:themeColor="text1"/>
          <w:sz w:val="16"/>
          <w:szCs w:val="16"/>
        </w:rPr>
      </w:pPr>
      <w:r w:rsidRPr="005E779E">
        <w:rPr>
          <w:color w:val="000000" w:themeColor="text1"/>
          <w:sz w:val="16"/>
          <w:szCs w:val="16"/>
        </w:rPr>
        <w:t>Докладывая о вышеизложенном, прошу обязать ВСНХ в декадный срок разработать и доложить программу практических мероприятий по обеспечению выполнения директивы правительства от 19 апреля.</w:t>
      </w:r>
    </w:p>
    <w:p w14:paraId="6719255F" w14:textId="77777777" w:rsidR="00024EF9" w:rsidRPr="005E779E" w:rsidRDefault="00024EF9" w:rsidP="000B7A6C">
      <w:pPr>
        <w:pStyle w:val="ae"/>
        <w:spacing w:before="0" w:after="0"/>
        <w:jc w:val="both"/>
        <w:rPr>
          <w:color w:val="000000" w:themeColor="text1"/>
          <w:sz w:val="16"/>
          <w:szCs w:val="16"/>
        </w:rPr>
      </w:pPr>
      <w:r w:rsidRPr="005E779E">
        <w:rPr>
          <w:rStyle w:val="af0"/>
          <w:i w:val="0"/>
          <w:color w:val="000000" w:themeColor="text1"/>
          <w:sz w:val="16"/>
          <w:szCs w:val="16"/>
        </w:rPr>
        <w:t xml:space="preserve">Зам. наркома по военным и морским делам и зам. председателя РВС СССР </w:t>
      </w:r>
      <w:hyperlink r:id="rId171" w:history="1">
        <w:r w:rsidRPr="005E779E">
          <w:rPr>
            <w:rStyle w:val="af0"/>
            <w:i w:val="0"/>
            <w:color w:val="000000" w:themeColor="text1"/>
            <w:sz w:val="16"/>
            <w:szCs w:val="16"/>
          </w:rPr>
          <w:t>Тухачевский</w:t>
        </w:r>
      </w:hyperlink>
    </w:p>
    <w:p w14:paraId="4ABBA95E" w14:textId="77777777" w:rsidR="00024EF9" w:rsidRPr="005E779E" w:rsidRDefault="00024EF9" w:rsidP="000B7A6C">
      <w:pPr>
        <w:pStyle w:val="ae"/>
        <w:spacing w:before="0" w:after="0"/>
        <w:jc w:val="both"/>
        <w:rPr>
          <w:color w:val="000000" w:themeColor="text1"/>
          <w:sz w:val="16"/>
          <w:szCs w:val="16"/>
        </w:rPr>
      </w:pPr>
      <w:r w:rsidRPr="005E779E">
        <w:rPr>
          <w:color w:val="000000" w:themeColor="text1"/>
          <w:sz w:val="16"/>
          <w:szCs w:val="16"/>
        </w:rPr>
        <w:t>ГАРФ, Ф, Р-8418. Оп, 5, Д. 89. Л. 12—13. Подлинник.</w:t>
      </w:r>
    </w:p>
    <w:p w14:paraId="1C5D5EA8" w14:textId="77777777" w:rsidR="00024EF9" w:rsidRPr="005E779E" w:rsidRDefault="00024EF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Архив: ГАРФ, Ф, Р-8418. Оп, 5, Д. 89. Л. 12—13. Подлинник. </w:t>
      </w:r>
    </w:p>
    <w:p w14:paraId="45050EE6" w14:textId="77777777" w:rsidR="00024EF9" w:rsidRPr="005E779E" w:rsidRDefault="00024EF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Источник: Становление оборонно-промышленного комплекса СССР (1927-1932). М. 2008, стр. 560-561 (12532).</w:t>
      </w:r>
    </w:p>
    <w:p w14:paraId="6E196C69" w14:textId="77777777" w:rsidR="00024EF9" w:rsidRPr="005E779E" w:rsidRDefault="00024EF9" w:rsidP="000B7A6C">
      <w:pPr>
        <w:spacing w:after="0" w:line="240" w:lineRule="auto"/>
        <w:jc w:val="both"/>
        <w:rPr>
          <w:rFonts w:ascii="Times New Roman" w:hAnsi="Times New Roman"/>
          <w:color w:val="000000" w:themeColor="text1"/>
          <w:sz w:val="16"/>
          <w:szCs w:val="16"/>
        </w:rPr>
      </w:pPr>
    </w:p>
    <w:p w14:paraId="6060F6B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 августа 1931 третий всосоюзный мотопробег прибыл в Москву. Технический финиш состоялся на 11-м километре Серпуховского шоссе, где пробег официально завершился. После трёхдневного отдыха, 23 августа шесть мото</w:t>
      </w:r>
      <w:r w:rsidRPr="005E779E">
        <w:rPr>
          <w:rFonts w:ascii="Times New Roman" w:hAnsi="Times New Roman"/>
          <w:color w:val="000000" w:themeColor="text1"/>
          <w:sz w:val="16"/>
          <w:szCs w:val="16"/>
        </w:rPr>
        <w:softHyphen/>
        <w:t>циклов Л-300 без сопровождения отправились в Ленинград и 25 августа прибыли к месту старта, пройдя дополнительно 752 км. Мотоциклисты в пробеге преодолевали большие трудности: обваливались мосты под тяжестью автомашин сопровождения, под дождём на грунтовой дороге приходилось двигаться на низ</w:t>
      </w:r>
      <w:r w:rsidRPr="005E779E">
        <w:rPr>
          <w:rFonts w:ascii="Times New Roman" w:hAnsi="Times New Roman"/>
          <w:color w:val="000000" w:themeColor="text1"/>
          <w:sz w:val="16"/>
          <w:szCs w:val="16"/>
        </w:rPr>
        <w:softHyphen/>
        <w:t>шей передаче со скоростью не более 5 км/ч. Обновлённые Л-300 показали себя лучше серийных, так как у них переднее крыло не забивалось грязью, и магнето не выходило из строя благодаря за</w:t>
      </w:r>
      <w:r w:rsidRPr="005E779E">
        <w:rPr>
          <w:rFonts w:ascii="Times New Roman" w:hAnsi="Times New Roman"/>
          <w:color w:val="000000" w:themeColor="text1"/>
          <w:sz w:val="16"/>
          <w:szCs w:val="16"/>
        </w:rPr>
        <w:softHyphen/>
        <w:t>щищённости от влаги. На участке Нижний Новгород-Сталинград температура металлических деталей мотоциклов поднималась до 54 °С. Пыль забивала стыки сопрягающихся деталей. Однако обновлённым Л-300 это не вредило. На трассе пробега участники ощущали внимание встречавших людей и организаций: на оста</w:t>
      </w:r>
      <w:r w:rsidRPr="005E779E">
        <w:rPr>
          <w:rFonts w:ascii="Times New Roman" w:hAnsi="Times New Roman"/>
          <w:color w:val="000000" w:themeColor="text1"/>
          <w:sz w:val="16"/>
          <w:szCs w:val="16"/>
        </w:rPr>
        <w:softHyphen/>
        <w:t>новках и дневках, в городах и даже небольших населённых пунк</w:t>
      </w:r>
      <w:r w:rsidRPr="005E779E">
        <w:rPr>
          <w:rFonts w:ascii="Times New Roman" w:hAnsi="Times New Roman"/>
          <w:color w:val="000000" w:themeColor="text1"/>
          <w:sz w:val="16"/>
          <w:szCs w:val="16"/>
        </w:rPr>
        <w:softHyphen/>
        <w:t>тах проходили митинги [4.42].</w:t>
      </w:r>
    </w:p>
    <w:p w14:paraId="02E502E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Руководители заинтересованных организаций, техническая комиссия, автодоровская общественность, участники пробега, -многие признавали успех мероприятия. Экспериментальные Л-300 выдержали дорожные испытание. Отмеченные недостатки отно</w:t>
      </w:r>
      <w:r w:rsidRPr="005E779E">
        <w:rPr>
          <w:rFonts w:ascii="Times New Roman" w:hAnsi="Times New Roman"/>
          <w:color w:val="000000" w:themeColor="text1"/>
          <w:sz w:val="16"/>
          <w:szCs w:val="16"/>
        </w:rPr>
        <w:softHyphen/>
        <w:t>сились не к конструкторским недоработкам, а к технологическим огрехам, что представлялось исправимым и открывало возмож</w:t>
      </w:r>
      <w:r w:rsidRPr="005E779E">
        <w:rPr>
          <w:rFonts w:ascii="Times New Roman" w:hAnsi="Times New Roman"/>
          <w:color w:val="000000" w:themeColor="text1"/>
          <w:sz w:val="16"/>
          <w:szCs w:val="16"/>
        </w:rPr>
        <w:softHyphen/>
        <w:t>ность освоения в серийном производстве нового Л-300 [4.40].</w:t>
      </w:r>
    </w:p>
    <w:p w14:paraId="26AE060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Заместитель председателя ВСНХ СССР А.П. Медведев за</w:t>
      </w:r>
      <w:r w:rsidRPr="005E779E">
        <w:rPr>
          <w:rFonts w:ascii="Times New Roman" w:hAnsi="Times New Roman"/>
          <w:color w:val="000000" w:themeColor="text1"/>
          <w:sz w:val="16"/>
          <w:szCs w:val="16"/>
        </w:rPr>
        <w:softHyphen/>
        <w:t>явил в прессе, что к концу первой пятилетки выпустят 25 тыс. мо</w:t>
      </w:r>
      <w:r w:rsidRPr="005E779E">
        <w:rPr>
          <w:rFonts w:ascii="Times New Roman" w:hAnsi="Times New Roman"/>
          <w:color w:val="000000" w:themeColor="text1"/>
          <w:sz w:val="16"/>
          <w:szCs w:val="16"/>
        </w:rPr>
        <w:softHyphen/>
        <w:t>тоциклов [4.43], в чем специалисты сомневались. Для прояснения ситуации председатель мотоциклетной секции АВТОДОР С.С. Каменев поручил создать бригаду, чтобы встретиться с руко</w:t>
      </w:r>
      <w:r w:rsidRPr="005E779E">
        <w:rPr>
          <w:rFonts w:ascii="Times New Roman" w:hAnsi="Times New Roman"/>
          <w:color w:val="000000" w:themeColor="text1"/>
          <w:sz w:val="16"/>
          <w:szCs w:val="16"/>
        </w:rPr>
        <w:softHyphen/>
        <w:t>водством ВСНХ, ВАТО и заинтересованных в мотоциклострое-нии трестов и прояснить положение дел. Выявили настораживаю</w:t>
      </w:r>
      <w:r w:rsidRPr="005E779E">
        <w:rPr>
          <w:rFonts w:ascii="Times New Roman" w:hAnsi="Times New Roman"/>
          <w:color w:val="000000" w:themeColor="text1"/>
          <w:sz w:val="16"/>
          <w:szCs w:val="16"/>
        </w:rPr>
        <w:softHyphen/>
        <w:t>щие факты: в ВСНХ не понимали роль и значение мотоциклов для СССР; председатель правления ВАТО Михайлов категориче</w:t>
      </w:r>
      <w:r w:rsidRPr="005E779E">
        <w:rPr>
          <w:rFonts w:ascii="Times New Roman" w:hAnsi="Times New Roman"/>
          <w:color w:val="000000" w:themeColor="text1"/>
          <w:sz w:val="16"/>
          <w:szCs w:val="16"/>
        </w:rPr>
        <w:softHyphen/>
        <w:t>ски отказал продолжить выпуск мотоциклов Л-300 на заводе «Красный Октябрь»; на ХАЗе мотоциклы изготовили не по рас</w:t>
      </w:r>
      <w:r w:rsidRPr="005E779E">
        <w:rPr>
          <w:rFonts w:ascii="Times New Roman" w:hAnsi="Times New Roman"/>
          <w:color w:val="000000" w:themeColor="text1"/>
          <w:sz w:val="16"/>
          <w:szCs w:val="16"/>
        </w:rPr>
        <w:softHyphen/>
        <w:t>поряжению ВСНХ СССР, а благодаря увлечённости мотоцикла</w:t>
      </w:r>
      <w:r w:rsidRPr="005E779E">
        <w:rPr>
          <w:rFonts w:ascii="Times New Roman" w:hAnsi="Times New Roman"/>
          <w:color w:val="000000" w:themeColor="text1"/>
          <w:sz w:val="16"/>
          <w:szCs w:val="16"/>
        </w:rPr>
        <w:softHyphen/>
        <w:t>ми работников завода и председателя ВСНХ Украинской совет</w:t>
      </w:r>
      <w:r w:rsidRPr="005E779E">
        <w:rPr>
          <w:rFonts w:ascii="Times New Roman" w:hAnsi="Times New Roman"/>
          <w:color w:val="000000" w:themeColor="text1"/>
          <w:sz w:val="16"/>
          <w:szCs w:val="16"/>
        </w:rPr>
        <w:softHyphen/>
        <w:t>ской социалистической республики (УССР) Сухомлинова [4.44] (11429).</w:t>
      </w:r>
    </w:p>
    <w:p w14:paraId="7D2A22C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84C372"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044ACB34"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46234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 августа 1931 Франция предоставила займ Венгрии (3907,168).</w:t>
      </w:r>
    </w:p>
    <w:p w14:paraId="068E7F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3C590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 августа 1931 в докладе Лейтона - Уиггина было рекомендовано продлить на шесть месяцев иностранную финансовую помощь Германии (3907,168).</w:t>
      </w:r>
    </w:p>
    <w:p w14:paraId="6D3BD7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BB87B02"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5F53BEC9"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ACB14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20 августа 1931 г. на заседании мобилизационного отдела Управления ГВФ рассматривалось задание на "транспорт-грузовоз" ТБ-8. Назначением его считались перевозки грузов, высадка десантов и ночное бомбометание. Самолет должен был перевозить различные грузы, включая тяжелую военную технику, с весом до 15 т. Как бомбардировщик, он нес столько же бомб калибром от 250 до 2000 кг, либо баки для отравляющих веществ. Последнее было записано следующим образом: "должен допускать переоборудование под химсамолет". Летные данные были типичны для поколения гигантов: максимальная скорость 250 км/ч при посадочной всего 75 - 80 км/ч (что вряд ли удалось бы выполнить при отсутствии механизации крыла), нормальная дальность 1500 км (максимальная - 2000 км). Оборонительное вооружение складывалось из четырех крупнокалиберных (12,7-мм) пулеметов (двух спереди и двух сзади) и одного 7,62-мм пулемета, стреляющего вниз-назад. Боезапас состоял из 1600 крупнокалиберных патронов и 250 обычных. ТБ-8 планировали вывести на государственные испытания 1 октября 1933 г. (12024).</w:t>
      </w:r>
    </w:p>
    <w:p w14:paraId="4BE489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1666A36" w14:textId="77777777" w:rsidR="00D46C8E" w:rsidRPr="00142305" w:rsidRDefault="00D46C8E" w:rsidP="00D46C8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20 августа 1931 г. на заседании мобилизационного отдела Управления ГВФ рассматривались требования, предъявляемые к «транс</w:t>
      </w:r>
      <w:r w:rsidRPr="00142305">
        <w:rPr>
          <w:rFonts w:ascii="Times New Roman" w:hAnsi="Times New Roman"/>
          <w:color w:val="0070C0"/>
          <w:sz w:val="16"/>
          <w:szCs w:val="16"/>
        </w:rPr>
        <w:softHyphen/>
        <w:t>порту-грузовозу» ТБ-8. Назначением его считались перевозки гру</w:t>
      </w:r>
      <w:r w:rsidRPr="00142305">
        <w:rPr>
          <w:rFonts w:ascii="Times New Roman" w:hAnsi="Times New Roman"/>
          <w:color w:val="0070C0"/>
          <w:sz w:val="16"/>
          <w:szCs w:val="16"/>
        </w:rPr>
        <w:softHyphen/>
        <w:t>зов, высадка десантов и ночное бомбометание. Самолет должен был перевозить различные грузы, включая тяже</w:t>
      </w:r>
      <w:r w:rsidRPr="00142305">
        <w:rPr>
          <w:rFonts w:ascii="Times New Roman" w:hAnsi="Times New Roman"/>
          <w:color w:val="0070C0"/>
          <w:sz w:val="16"/>
          <w:szCs w:val="16"/>
        </w:rPr>
        <w:softHyphen/>
        <w:t>лую военную технику, с весом до 15 т. Как бомбардиров</w:t>
      </w:r>
      <w:r w:rsidRPr="00142305">
        <w:rPr>
          <w:rFonts w:ascii="Times New Roman" w:hAnsi="Times New Roman"/>
          <w:color w:val="0070C0"/>
          <w:sz w:val="16"/>
          <w:szCs w:val="16"/>
        </w:rPr>
        <w:softHyphen/>
        <w:t>щик, он нес столько же бомб калибром от 250 до 2000 кг, либо баки для отравляющих веществ. Последнее было запи</w:t>
      </w:r>
      <w:r w:rsidRPr="00142305">
        <w:rPr>
          <w:rFonts w:ascii="Times New Roman" w:hAnsi="Times New Roman"/>
          <w:color w:val="0070C0"/>
          <w:sz w:val="16"/>
          <w:szCs w:val="16"/>
        </w:rPr>
        <w:softHyphen/>
        <w:t>сано следующим образом: «должен допускать переоборудо</w:t>
      </w:r>
      <w:r w:rsidRPr="00142305">
        <w:rPr>
          <w:rFonts w:ascii="Times New Roman" w:hAnsi="Times New Roman"/>
          <w:color w:val="0070C0"/>
          <w:sz w:val="16"/>
          <w:szCs w:val="16"/>
        </w:rPr>
        <w:softHyphen/>
        <w:t>вание под химсамолет». Летные данные были типичны для поколения гигантов: максимальная скорость 250 км/ч при посадочной всего 75-80 км/ч (что вряд ли удалось бы вы</w:t>
      </w:r>
      <w:r w:rsidRPr="00142305">
        <w:rPr>
          <w:rFonts w:ascii="Times New Roman" w:hAnsi="Times New Roman"/>
          <w:color w:val="0070C0"/>
          <w:sz w:val="16"/>
          <w:szCs w:val="16"/>
        </w:rPr>
        <w:softHyphen/>
        <w:t>полнить при отсутствии механизации крыла), нормальная дальность 1500 км (максимальная — 2000 км). Оборонитель</w:t>
      </w:r>
      <w:r w:rsidRPr="00142305">
        <w:rPr>
          <w:rFonts w:ascii="Times New Roman" w:hAnsi="Times New Roman"/>
          <w:color w:val="0070C0"/>
          <w:sz w:val="16"/>
          <w:szCs w:val="16"/>
        </w:rPr>
        <w:softHyphen/>
        <w:t>ное вооружение складывалось из четырех крупнокалибер</w:t>
      </w:r>
      <w:r w:rsidRPr="00142305">
        <w:rPr>
          <w:rFonts w:ascii="Times New Roman" w:hAnsi="Times New Roman"/>
          <w:color w:val="0070C0"/>
          <w:sz w:val="16"/>
          <w:szCs w:val="16"/>
        </w:rPr>
        <w:softHyphen/>
        <w:t>ных (12,7-мм) пулеметов (двух спереди и двух сзади) и од</w:t>
      </w:r>
      <w:r w:rsidRPr="00142305">
        <w:rPr>
          <w:rFonts w:ascii="Times New Roman" w:hAnsi="Times New Roman"/>
          <w:color w:val="0070C0"/>
          <w:sz w:val="16"/>
          <w:szCs w:val="16"/>
        </w:rPr>
        <w:softHyphen/>
        <w:t>ного 7,62-мм пулемета, стреляющего вниз-назад. Боезапас состоял из 1600 крупнокалиберных патронов и 250 обыч</w:t>
      </w:r>
      <w:r w:rsidRPr="00142305">
        <w:rPr>
          <w:rFonts w:ascii="Times New Roman" w:hAnsi="Times New Roman"/>
          <w:color w:val="0070C0"/>
          <w:sz w:val="16"/>
          <w:szCs w:val="16"/>
        </w:rPr>
        <w:softHyphen/>
        <w:t>ных. ТБ-8 планировали вывести на государственные испы</w:t>
      </w:r>
      <w:r w:rsidRPr="00142305">
        <w:rPr>
          <w:rFonts w:ascii="Times New Roman" w:hAnsi="Times New Roman"/>
          <w:color w:val="0070C0"/>
          <w:sz w:val="16"/>
          <w:szCs w:val="16"/>
        </w:rPr>
        <w:softHyphen/>
        <w:t>тания 1 октября 1933 г. (24977).</w:t>
      </w:r>
    </w:p>
    <w:p w14:paraId="51054F0A" w14:textId="77777777" w:rsidR="00D46C8E" w:rsidRPr="00142305" w:rsidRDefault="00D46C8E" w:rsidP="00D46C8E">
      <w:pPr>
        <w:spacing w:after="0" w:line="240" w:lineRule="auto"/>
        <w:jc w:val="both"/>
        <w:rPr>
          <w:rFonts w:ascii="Times New Roman" w:hAnsi="Times New Roman"/>
          <w:color w:val="0070C0"/>
          <w:sz w:val="16"/>
          <w:szCs w:val="16"/>
        </w:rPr>
      </w:pPr>
    </w:p>
    <w:p w14:paraId="198D71CB" w14:textId="77777777" w:rsidR="00511EE8"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625340E6" w14:textId="77777777" w:rsidR="00511EE8" w:rsidRPr="005E779E" w:rsidRDefault="00511EE8"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EEDB4B0" w14:textId="77777777" w:rsidR="00511EE8" w:rsidRPr="005E779E" w:rsidRDefault="00511EE8"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августа 1931 г. ПБ утвердило цифру заказов в Америке на оборудование для заводов АМО, Харьковского тракторного, Автостроя и Днепростроя в 3,9 млн руб. до конца 1931 г. По вопросу о заказах в Америке для Магнитогорска, Кузнецкстроя и других предприятий было решено запросить мнение Сталина (РГАСПИ. Ф. 17. Оп. 162. Д. 10. Л. 165). Как сообщал Каганович, по этому вопросу возник острый конфликт (см. документ № 17). 25 августа ПБ приняло предложения Сталина, изложенные в его телеграмме (см. документ № 24). Валютной комиссии было поручено срочно разработать конкретные мероприятия по реализации предложений Сталина и внести их на утверждение ПБ. Наркому внешней торговли Розенгольцу поручалось приостановить размещение заказов в Америке (Там же. Л. 170). 30 августа ПБ утвердило постановление валютной комиссии, в котором содержалось поручение ВСНХ к 5 сентября представить в ПБ доклад о переносе заказов из Америки в Европу и СССР. Наркомвнешторг в четырехдневный срок должен был сообщить ВСНХ, какие американские заказы приостановлены, представить список договоров, которые можно расторгнуть. Предусматривалось, что расторжение договоров будет производиться только с разрешения ПБ (Там же. Л. 179) (17281).</w:t>
      </w:r>
    </w:p>
    <w:p w14:paraId="70398473" w14:textId="77777777" w:rsidR="00511EE8" w:rsidRPr="005E779E" w:rsidRDefault="00511EE8" w:rsidP="000B7A6C">
      <w:pPr>
        <w:autoSpaceDE w:val="0"/>
        <w:autoSpaceDN w:val="0"/>
        <w:adjustRightInd w:val="0"/>
        <w:spacing w:after="0" w:line="240" w:lineRule="auto"/>
        <w:jc w:val="both"/>
        <w:rPr>
          <w:rFonts w:ascii="Times New Roman" w:hAnsi="Times New Roman"/>
          <w:color w:val="000000" w:themeColor="text1"/>
          <w:sz w:val="16"/>
          <w:szCs w:val="16"/>
        </w:rPr>
      </w:pPr>
    </w:p>
    <w:p w14:paraId="135B719B" w14:textId="77777777" w:rsidR="007210D8" w:rsidRPr="005E779E" w:rsidRDefault="007210D8" w:rsidP="007210D8">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36220F3E" w14:textId="77777777" w:rsidR="007210D8" w:rsidRPr="005E779E" w:rsidRDefault="007210D8" w:rsidP="007210D8">
      <w:pPr>
        <w:autoSpaceDE w:val="0"/>
        <w:autoSpaceDN w:val="0"/>
        <w:adjustRightInd w:val="0"/>
        <w:spacing w:after="0" w:line="240" w:lineRule="auto"/>
        <w:jc w:val="both"/>
        <w:rPr>
          <w:rFonts w:ascii="Times New Roman" w:hAnsi="Times New Roman"/>
          <w:iCs/>
          <w:color w:val="000000" w:themeColor="text1"/>
          <w:sz w:val="16"/>
          <w:szCs w:val="16"/>
        </w:rPr>
      </w:pPr>
    </w:p>
    <w:p w14:paraId="3FEE9225" w14:textId="77777777" w:rsidR="007210D8" w:rsidRPr="00142305" w:rsidRDefault="007210D8" w:rsidP="007210D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22 августа 1931 г. на имя Сталина, Орджоникидзе и Баранова поступил рапорт, в котором говорилось об изобретении нового сплава, именуемого «альплата ЦАГИ». Однако, позже выяснилось, что «сплав ЦАГИ не является оригинальным, никаких преимуществ перед сплавом завода № 1 не имеет и кремний введен в сплав по странному недоразумению». Таким образом, это был фальшивый рапорт, вводящий руководство в заблуждение (25126).</w:t>
      </w:r>
    </w:p>
    <w:p w14:paraId="3E697DAB" w14:textId="77777777" w:rsidR="007210D8" w:rsidRPr="00142305" w:rsidRDefault="007210D8" w:rsidP="007210D8">
      <w:pPr>
        <w:spacing w:after="0" w:line="240" w:lineRule="auto"/>
        <w:jc w:val="both"/>
        <w:rPr>
          <w:rFonts w:ascii="Times New Roman" w:hAnsi="Times New Roman"/>
          <w:color w:val="0070C0"/>
          <w:sz w:val="16"/>
          <w:szCs w:val="16"/>
        </w:rPr>
      </w:pPr>
    </w:p>
    <w:p w14:paraId="699B18AD" w14:textId="77777777" w:rsidR="008344B7"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7E0E8A13" w14:textId="77777777" w:rsidR="008344B7" w:rsidRPr="005E779E" w:rsidRDefault="008344B7"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ED3E3F5"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 августа 1931 г. на НИАПе закончились испытания ЛМК, которые шли с 14 августа. Было сделано 102 выстрела. В начале 1931 г. Курчевским была спроектирована 76,2-мм легкая мортира (ЛМК). Мортира предназначалась для вооружения стрелковой роты. Ствол мортиры ребристый. Заряжание с дула. Затвора не было. Подъемный и поворотный механизмы винтовые. Колеса сплошные дисковые.</w:t>
      </w:r>
    </w:p>
    <w:p w14:paraId="71DCD497"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Максимальный угол возвышения, при котором возможна стрельба +43°, то есть ЛМК фактически не могла использоваться как мортира, стреляющая под углом возвышения свыше 45°.</w:t>
      </w:r>
    </w:p>
    <w:p w14:paraId="3FD4939A" w14:textId="77777777" w:rsidR="008344B7" w:rsidRPr="005E779E" w:rsidRDefault="008344B7"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Данные легкой мортиры Курчевского</w:t>
      </w:r>
    </w:p>
    <w:p w14:paraId="592F4067"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Калибр, мм …… 76,2</w:t>
      </w:r>
    </w:p>
    <w:p w14:paraId="04C697DF"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Длина ствола без воронки, мм/клб …… 605/8</w:t>
      </w:r>
    </w:p>
    <w:p w14:paraId="51BD016E"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Длина воронки (сопла), мм …… 550</w:t>
      </w:r>
    </w:p>
    <w:p w14:paraId="5AECB45F"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Угол ВН, град …… -10°; +60°</w:t>
      </w:r>
    </w:p>
    <w:p w14:paraId="45D0916E"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Угол ГН, град …… ±4°30'</w:t>
      </w:r>
    </w:p>
    <w:p w14:paraId="6D67F888"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Высота системы в боевом и походном (на руках) положении, мм …… 750</w:t>
      </w:r>
    </w:p>
    <w:p w14:paraId="48B675DD"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Длина станин (длина станка от оси до края), мм …… 900</w:t>
      </w:r>
    </w:p>
    <w:p w14:paraId="1AD46DE3"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Ширина хода, мм …… 510</w:t>
      </w:r>
    </w:p>
    <w:p w14:paraId="628865B2"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Диаметр колеса, мм …… 300</w:t>
      </w:r>
    </w:p>
    <w:p w14:paraId="25B23B67"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Высота системы в сложенном положении, мм …… 490</w:t>
      </w:r>
    </w:p>
    <w:p w14:paraId="419D9ACF"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ствола с воронкой, кг …… 21,2</w:t>
      </w:r>
    </w:p>
    <w:p w14:paraId="5648E079"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воронки (сопло), кг …… 4,20</w:t>
      </w:r>
    </w:p>
    <w:p w14:paraId="44D863AA"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прицела, кг …… 1,5</w:t>
      </w:r>
    </w:p>
    <w:p w14:paraId="3C744534"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станка, кг …… 14,15</w:t>
      </w:r>
    </w:p>
    <w:p w14:paraId="538FAA91"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системы, кг …… 38</w:t>
      </w:r>
    </w:p>
    <w:p w14:paraId="498F4BE0"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Скорострельность, выстр/мин.</w:t>
      </w:r>
    </w:p>
    <w:p w14:paraId="195EA9FE"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расчетная …… 10—12</w:t>
      </w:r>
    </w:p>
    <w:p w14:paraId="5FAC320A"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практическая …… 8</w:t>
      </w:r>
    </w:p>
    <w:p w14:paraId="6C088F62"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перехода из боевого положения в походное, с …… 20—30</w:t>
      </w:r>
    </w:p>
    <w:p w14:paraId="1F719612"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Собственно ЛМК и мортирой назвать нельзя. Видимо, Курчевский не знал, что мортира — это орудие, основной задачей которого является стрельба под углом свыше 45°. А ЛМК только по тактико-техническим характеристикам, поданным Курчевским в Артуправление РККА, могла вести стрельбу под углом 60°. Конструктивно ствол опытного образца мог быть опущен до 57°, но действие газовой струи физически не позволяло стрелять под углом больше 43°. Да и тогда действие раскаленных газов было опасно для расчета.</w:t>
      </w:r>
    </w:p>
    <w:p w14:paraId="6396E091"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стрельбе из мортиры использовались опытные легкие снаряды весом от 3,2 до 4 кг. Выстрел унитарный. Заряд 320 г пороха ВЛ помещался в сгорающую гильзу из нитроткани с деревянным поддоном. Длина гильзы 112 мм.</w:t>
      </w:r>
    </w:p>
    <w:p w14:paraId="2E320513" w14:textId="77777777" w:rsidR="008344B7" w:rsidRPr="005E779E" w:rsidRDefault="008344B7"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Баллистические данные, полученные на испытаниях</w:t>
      </w:r>
    </w:p>
    <w:p w14:paraId="4FF9810B" w14:textId="77777777" w:rsidR="008344B7" w:rsidRPr="005E779E" w:rsidRDefault="008344B7"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vertAlign w:val="superscript"/>
        </w:rPr>
        <w:t>Вес снаряда, кг …… Начальная скорость, м/с — Дальностям — Угол, град. — Давление в канале, кг/см2</w:t>
      </w:r>
    </w:p>
    <w:p w14:paraId="31D8665A"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3,9 …… 173,6 — 1200 — 15° </w:t>
      </w:r>
    </w:p>
    <w:p w14:paraId="55DB5EFD"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3,2 …… 205,2 — 3000 — 35° </w:t>
      </w:r>
    </w:p>
    <w:p w14:paraId="5BD7F703"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 …… 170 — 2200 — 41º — 1600</w:t>
      </w:r>
    </w:p>
    <w:p w14:paraId="072C0589"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Максимальное давление в канале составляло 1800 кг/см</w:t>
      </w:r>
      <w:r w:rsidRPr="005E779E">
        <w:rPr>
          <w:rFonts w:ascii="Times New Roman" w:hAnsi="Times New Roman"/>
          <w:color w:val="000000" w:themeColor="text1"/>
          <w:sz w:val="16"/>
          <w:szCs w:val="16"/>
          <w:vertAlign w:val="superscript"/>
        </w:rPr>
        <w:t>2</w:t>
      </w:r>
      <w:r w:rsidRPr="005E779E">
        <w:rPr>
          <w:rFonts w:ascii="Times New Roman" w:hAnsi="Times New Roman"/>
          <w:color w:val="000000" w:themeColor="text1"/>
          <w:sz w:val="16"/>
          <w:szCs w:val="16"/>
        </w:rPr>
        <w:t>.</w:t>
      </w:r>
    </w:p>
    <w:p w14:paraId="3EDD0B46"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Первый образец 76-мм легкой мортиры Курчевского был изготовлен на заводе № 8. После заводских испытаний в объеме 100 выстрелов его отправили на полигонные испытания. На НИАП мортира прибыла 12 августа 1931 г.</w:t>
      </w:r>
    </w:p>
    <w:p w14:paraId="4106403D"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1930 г. заводу № 7 был выдан заказ на 100 ЛМК, но завод ухитрился сорвать этот заказ.</w:t>
      </w:r>
    </w:p>
    <w:p w14:paraId="27DB4CC3"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1933 г. заводом № 8 было изготовлено 9 ЛМК, которые проходили войсковые испытания в Московской Пролетарской стрелковой дивизии. В октябре 1933 г. дивизия проводила учения с ЛМК (по две мортиры на роту). Результаты испытаний: система неустойчива; скорострельность 8 выстр./мин. вместо предполагаемых 10-12; при дальности 1400 м рассеивание 150 м.</w:t>
      </w:r>
    </w:p>
    <w:p w14:paraId="231C9E32"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вооружение ЛМК принята не была и больше не заказывалась (15117).</w:t>
      </w:r>
    </w:p>
    <w:p w14:paraId="1BEDB756" w14:textId="77777777" w:rsidR="008344B7" w:rsidRPr="005E779E" w:rsidRDefault="008344B7" w:rsidP="000B7A6C">
      <w:pPr>
        <w:spacing w:after="0" w:line="240" w:lineRule="auto"/>
        <w:jc w:val="both"/>
        <w:rPr>
          <w:rFonts w:ascii="Times New Roman" w:hAnsi="Times New Roman"/>
          <w:color w:val="000000" w:themeColor="text1"/>
          <w:sz w:val="16"/>
          <w:szCs w:val="16"/>
        </w:rPr>
      </w:pPr>
    </w:p>
    <w:p w14:paraId="099F298C"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 августа 1931 года по просьбе военных командир бронедивизиоиа ОПТУ Шустинский направил в УММ РККА «Доклад о результатах изучения и испытания опытных тяжелых бронедрезин системы тов. Дыренкова, проведенных в период обучения команды с 25 июля по 14 августа 1931 года». В целом, результаты по мотоброневагонам Д-2 и Д-3 были следующими:</w:t>
      </w:r>
    </w:p>
    <w:p w14:paraId="3A09A864"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«I. Испытание движением.</w:t>
      </w:r>
    </w:p>
    <w:p w14:paraId="1F8DD793"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Мотоброневагон Д-3 прошел своим ходом 1464 км со средней скоростью 50 км/ч и предельной 70 км/ч.</w:t>
      </w:r>
    </w:p>
    <w:p w14:paraId="1F93F4AD"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Мотоброневагон Д-2 прошел своим ходом 3247 км, из которых 1128 на прицепке к бронепоезду, 106 км с нагрузкой двух груженых двухосных платформ (буксовал), и ни одного случая отказа в работе мотора и в целом мотовагона не было. Средняя скорость мотоброневагона 45 - 50 км/ч.</w:t>
      </w:r>
    </w:p>
    <w:p w14:paraId="0A1E5543"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II. Испытания стрельбой.</w:t>
      </w:r>
    </w:p>
    <w:p w14:paraId="48B99899"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 сделано по 39 выстрелов из каждой пушки, повреждения систем не было. Как вывод необходимо отметить исключительную устойчивость мотоброневагона Д-2 при стрельбе в отличии от бронеплощадок бронепоездов, где колебание всей площадки доходит до 15 с в среднем, отсюда при частой стрельбе бывает колоссальное рассеивании снарядов.</w:t>
      </w:r>
    </w:p>
    <w:p w14:paraId="131FF456"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III. Вооружение мотоброневагонов Д-2 и Д-3.</w:t>
      </w:r>
    </w:p>
    <w:p w14:paraId="4BED370C"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 МБВ Д-2 расположение пулеметов Максима у водителя весьма неудачно. В остальном все огневые точки расположены целесообразно.</w:t>
      </w:r>
    </w:p>
    <w:p w14:paraId="66659CDA"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 7б-мм короткими противо-штурмовыми пушками обр. 1913 г. слабое.</w:t>
      </w:r>
    </w:p>
    <w:p w14:paraId="633F3AB3"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Расположение пулеметных установок у Д-3 неудачное исходя из того, что по пути установлены два пулемета Максима, а на борта только пулеметы ДТ, которые имеют малые углы возвышения вследствие того, что мешают крышки ведущих колес, а установки пулеметов Максима имеют малый горизонтальный обстрел из-за того, что мешают буфера.</w:t>
      </w:r>
    </w:p>
    <w:p w14:paraId="0BBBC743"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Общие замечания.</w:t>
      </w:r>
    </w:p>
    <w:p w14:paraId="3DD80DD6"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МБВ Д-2 и Д-3 поступили не вполне законченном виде:</w:t>
      </w:r>
    </w:p>
    <w:p w14:paraId="2497A2EF"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Полное отсутствие средств управления огнем;</w:t>
      </w:r>
    </w:p>
    <w:p w14:paraId="68527CA5"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Укладка для запасных частей и патронов отсутствует;</w:t>
      </w:r>
    </w:p>
    <w:p w14:paraId="3F84AD45"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Командирские рубки частично не имеют стекол.</w:t>
      </w:r>
    </w:p>
    <w:p w14:paraId="5FF7F60C"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Выводы и замечания.</w:t>
      </w:r>
    </w:p>
    <w:p w14:paraId="46A71D39"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Конструкция Д-2 и Д-3 по форме бронированного корпуса: размер машин, прочность, низкая посадка от рельсов дает исключительную устойчивость при стрельбе из пушек, тяговая сила, приличная скорость, насыщенность огневыми средствами.</w:t>
      </w:r>
    </w:p>
    <w:p w14:paraId="1418FF02"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Делая из вышеуказанного вывод, можно отметить как положительные стороны: Д-2, Д-3 обладают большой подвижностью, значительным радиусом действия, могуществом артиллерийского и пулеметного огня, малые мертвые пространства (почти равные нулю). Если сравнить их с бронеплощадками и бронедрезинами всех существующих систем, то равных единиц Д-2 нет.</w:t>
      </w:r>
    </w:p>
    <w:p w14:paraId="1DFBA767"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наличием положительных сторон имеется и ряд недоделок конструктивного характера, которые сводятся:</w:t>
      </w:r>
    </w:p>
    <w:p w14:paraId="5A51CC52"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Усовершенствовать систему охлаждения Д-2, Д-3, которая весьма ненадежна.</w:t>
      </w:r>
    </w:p>
    <w:p w14:paraId="0F183E95"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Усовершенствовать переключение скоростей и, по возможности, упростить управление МБВ (разбросанность рычагов управления).</w:t>
      </w:r>
    </w:p>
    <w:p w14:paraId="302596F9"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Отрегулировать клапана воздушных тормозов.</w:t>
      </w:r>
    </w:p>
    <w:p w14:paraId="2D1D94D1"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У Д-3 понизить крышки колес, тем самым увеличить углы обстрела четырех пулеметов.</w:t>
      </w:r>
    </w:p>
    <w:p w14:paraId="62E2DEE7"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Командирскую рубку (стробоскоп) усовершенствовать. Оборудовать ее средствами управления огнем, внутренней связью и радиостанцией.</w:t>
      </w:r>
    </w:p>
    <w:p w14:paraId="348E40F9"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Оборудовать МБВ соответствующей вентиляцией.</w:t>
      </w:r>
    </w:p>
    <w:p w14:paraId="505F705D"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Оборудовать соответствующие стеллажи для снарядов, патронов и ЗИП.</w:t>
      </w:r>
    </w:p>
    <w:p w14:paraId="78668CCD"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вооружению.</w:t>
      </w:r>
    </w:p>
    <w:p w14:paraId="11349FB1"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МБВ Д-2: заменить противоштурмовые пушки обр. 1913 г. на более совершенные обр. 1903/30 или 1915 г.</w:t>
      </w:r>
    </w:p>
    <w:p w14:paraId="2ADF0FA9"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МБВ Д-3: а). Пулеметные установки Максима перераспределить, разместив их во все стороны, а не только в лобовой части, перенести по одному на борта.</w:t>
      </w:r>
    </w:p>
    <w:p w14:paraId="4A688F60"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Нормальным вооружением МБВ Д-3 необходимо считать 1 37-мм пушку, 4 пулемета Максима и 1 - 3 ДТ.</w:t>
      </w:r>
    </w:p>
    <w:p w14:paraId="28512C92"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Мотоброневагоны испытывались в незаконченном виде и не имели никаких подсобных материалов кроме моего наблюдения при постройке, а потому все детали боевых качеств полностью не выявлены.</w:t>
      </w:r>
    </w:p>
    <w:p w14:paraId="4D279695"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устранении отмеченных недостатков и при окончательном оборудовании мотоброневагоны должны подвергнуться вторичному и более детальному исследованию и изучению. Наиболее приемлемый (по моему мнению) для замены существующих несовершенных бронелетучек, как самостоятельных оперативно-боевых единиц линейных органов ТО ОПТУ является мотоброневагон Д-2 «Менжинский» (15624).</w:t>
      </w:r>
    </w:p>
    <w:p w14:paraId="02C8BF27" w14:textId="77777777" w:rsidR="008344B7" w:rsidRPr="005E779E" w:rsidRDefault="008344B7" w:rsidP="000B7A6C">
      <w:pPr>
        <w:spacing w:after="0" w:line="240" w:lineRule="auto"/>
        <w:jc w:val="both"/>
        <w:rPr>
          <w:rFonts w:ascii="Times New Roman" w:hAnsi="Times New Roman"/>
          <w:color w:val="000000" w:themeColor="text1"/>
          <w:sz w:val="16"/>
          <w:szCs w:val="16"/>
        </w:rPr>
      </w:pPr>
    </w:p>
    <w:p w14:paraId="6A59F9A8" w14:textId="77777777" w:rsidR="00006DDF" w:rsidRPr="005E779E" w:rsidRDefault="00006D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 августа 1931 года по просьбе военных командир бронедивизиона ОПТУ Шустин-ский направил в УММ РККА «Доклад о результатах изучения и испытания опытных тяжелых бронедрезин системы тов. Дыренкова, проведенных в период обучения команды с 25 июля по 14 августа 1931 года». В целом, результаты по мотоброневагонам Д-2 и Д-3 были следующими: </w:t>
      </w:r>
    </w:p>
    <w:p w14:paraId="18CB8E9B" w14:textId="77777777" w:rsidR="00006DDF" w:rsidRPr="005E779E" w:rsidRDefault="00006D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«L Испытание движением. </w:t>
      </w:r>
    </w:p>
    <w:p w14:paraId="542AA25B" w14:textId="77777777" w:rsidR="00006DDF" w:rsidRPr="005E779E" w:rsidRDefault="00006D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Мотоброневагон Д-3 прошел своим ходом 14б4 км со средней скоростью 50 км/ч и предельной 70 км/ч. </w:t>
      </w:r>
    </w:p>
    <w:p w14:paraId="02A352EE" w14:textId="77777777" w:rsidR="00006DDF" w:rsidRPr="005E779E" w:rsidRDefault="00006D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Мотоброневагон Д-2 прошел своим ходом 3247 км, из которых 1128 на прицепке к бронепоезду, 106 км с нагрузкой двух груженых двухосных платформ (буксовал), и ни одного случая отказа в работе мотора и в целом мотовагона не было. Средняя скорость мото-броневагона 45 - 50 км/ч. </w:t>
      </w:r>
    </w:p>
    <w:p w14:paraId="4EB12E15" w14:textId="77777777" w:rsidR="00006DDF" w:rsidRPr="005E779E" w:rsidRDefault="00006D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II. Испытания стрельбой. </w:t>
      </w:r>
    </w:p>
    <w:p w14:paraId="7E41A941" w14:textId="77777777" w:rsidR="00006DDF" w:rsidRPr="005E779E" w:rsidRDefault="00006D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 сделано по 39 выстрелов из каждой пушки, повреждения систем не было. Как вывод необходимо отметить исключительную устойчивость мотоброневагона Д-2 при стрельбе в отличии от бронеплощадок бронепоездов, где колебание всей площадки доходит до 15 с в среднем, отсюда при частой стрельбе бывает колоссальное рассеивании снарядов. </w:t>
      </w:r>
    </w:p>
    <w:p w14:paraId="38071A59" w14:textId="77777777" w:rsidR="00006DDF" w:rsidRPr="005E779E" w:rsidRDefault="00006D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III. Вооружение мотоброневагонов Д-2 и Д-3. </w:t>
      </w:r>
    </w:p>
    <w:p w14:paraId="038AAC5E" w14:textId="77777777" w:rsidR="00006DDF" w:rsidRPr="005E779E" w:rsidRDefault="00006D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У МБВ Д-2 расположение пулеметов Максима у водителя весьма неудачно. В остальном все огневые точки расположены целесообразно. </w:t>
      </w:r>
    </w:p>
    <w:p w14:paraId="7A033211" w14:textId="77777777" w:rsidR="00006DDF" w:rsidRPr="005E779E" w:rsidRDefault="00006D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Вооружение 76-мм короткими противо-штурмовыми пушками обр. 1913 г. слабое. </w:t>
      </w:r>
    </w:p>
    <w:p w14:paraId="67A49E8C" w14:textId="77777777" w:rsidR="00006DDF" w:rsidRPr="005E779E" w:rsidRDefault="00006D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Расположение пулеметных установок у Д-3 неудачное исходя из того, что по пути установлены два пулемета Максима, а на борта только пулеметы ДТ, которые имеют малые углы возвышения вследствие того, что мешают крышки ведущих колес, а установки пулеметов Максима имеют малый горизонтальный обстрел из-за того, что мешают буфера. </w:t>
      </w:r>
    </w:p>
    <w:p w14:paraId="3163621D" w14:textId="77777777" w:rsidR="00006DDF" w:rsidRPr="005E779E" w:rsidRDefault="00006D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Общие замечания. </w:t>
      </w:r>
    </w:p>
    <w:p w14:paraId="4CB7B2AC" w14:textId="77777777" w:rsidR="00006DDF" w:rsidRPr="005E779E" w:rsidRDefault="00006D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МБВ Д-2 и Д-3 поступили не вполне законченном виде: </w:t>
      </w:r>
    </w:p>
    <w:p w14:paraId="3E4E5CE8" w14:textId="77777777" w:rsidR="00006DDF" w:rsidRPr="005E779E" w:rsidRDefault="00006D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Полное отсутствие средств управления огнем; </w:t>
      </w:r>
    </w:p>
    <w:p w14:paraId="5F4F03C0" w14:textId="77777777" w:rsidR="00006DDF" w:rsidRPr="005E779E" w:rsidRDefault="00006D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Укладка для запасных частей и патронов отсутствует; </w:t>
      </w:r>
    </w:p>
    <w:p w14:paraId="754FC3EC" w14:textId="77777777" w:rsidR="00006DDF" w:rsidRPr="005E779E" w:rsidRDefault="00006D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Командирские рубки частично не имеют стекол. </w:t>
      </w:r>
    </w:p>
    <w:p w14:paraId="101C3983" w14:textId="77777777" w:rsidR="00006DDF" w:rsidRPr="005E779E" w:rsidRDefault="00006D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Выводы и замечания. </w:t>
      </w:r>
    </w:p>
    <w:p w14:paraId="25D704F9" w14:textId="77777777" w:rsidR="00006DDF" w:rsidRPr="005E779E" w:rsidRDefault="00006D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Конструкция Д-2 и Д-3 по форме бронированного корпуса: размер машин, прочность, низкая посадка от рельсов дает исключительную устойчивость при стрельбе из пушек, тяговая сила, приличная скорость, насыщенность огневыми средствами. </w:t>
      </w:r>
    </w:p>
    <w:p w14:paraId="44E688A4" w14:textId="77777777" w:rsidR="00006DDF" w:rsidRPr="005E779E" w:rsidRDefault="00006D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Делая из вышеуказанного вывод, можно отметить как положительные стороны: Д-2, Д-3 обладают большой подвижностью, значительным радиусом действия, могуществом артиллерийского и пулеметного огня, малые мертвые пространства (почти равные нулю). Если сравнить их с бронеплощадками и бронедрезинами всех существующих систем, то равных единиц Д-2 нет. </w:t>
      </w:r>
    </w:p>
    <w:p w14:paraId="5B14E0A8" w14:textId="77777777" w:rsidR="00006DDF" w:rsidRPr="005E779E" w:rsidRDefault="00006D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наличием положительных сторон имеется и ряд недоделок конструктивного характера, которые сводятся: </w:t>
      </w:r>
    </w:p>
    <w:p w14:paraId="4AFB6825" w14:textId="77777777" w:rsidR="00006DDF" w:rsidRPr="005E779E" w:rsidRDefault="00006D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Усовершенствовать систему охлаждения Д-2, Д-3, которая весьма ненадежна. </w:t>
      </w:r>
    </w:p>
    <w:p w14:paraId="29D7287D" w14:textId="77777777" w:rsidR="00006DDF" w:rsidRPr="005E779E" w:rsidRDefault="00006D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Усовершенствовать переключение скоростей и, по возможности, упростить управление МБВ (разбросанность рычагов управления). </w:t>
      </w:r>
    </w:p>
    <w:p w14:paraId="3E38FD1B" w14:textId="77777777" w:rsidR="00006DDF" w:rsidRPr="005E779E" w:rsidRDefault="00006D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Отрегулировать клапана воздушных тормозов. </w:t>
      </w:r>
    </w:p>
    <w:p w14:paraId="2B52C967" w14:textId="77777777" w:rsidR="00006DDF" w:rsidRPr="005E779E" w:rsidRDefault="00006D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У Д-3 понизить крышки колес, тем самым увеличить углы обстрела четырех пулеметов. </w:t>
      </w:r>
    </w:p>
    <w:p w14:paraId="22055108" w14:textId="77777777" w:rsidR="00006DDF" w:rsidRPr="005E779E" w:rsidRDefault="00006D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Командирскую рубку (стробоскоп) усовершенствовать. Оборудовать ее средствами управления огнем, внутренней связью и радиостанцией. </w:t>
      </w:r>
    </w:p>
    <w:p w14:paraId="410266DD" w14:textId="77777777" w:rsidR="00006DDF" w:rsidRPr="005E779E" w:rsidRDefault="00006D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Оборудовать МБВ соответствующей вентиляцией. </w:t>
      </w:r>
    </w:p>
    <w:p w14:paraId="143106A7" w14:textId="77777777" w:rsidR="00006DDF" w:rsidRPr="005E779E" w:rsidRDefault="00006D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Оборудовать соответствующие стеллажи для снарядов, патронов и ЗИП. </w:t>
      </w:r>
    </w:p>
    <w:p w14:paraId="37D8EA64" w14:textId="77777777" w:rsidR="00006DDF" w:rsidRPr="005E779E" w:rsidRDefault="00006D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вооружению. </w:t>
      </w:r>
    </w:p>
    <w:p w14:paraId="17A4E13C" w14:textId="77777777" w:rsidR="00006DDF" w:rsidRPr="005E779E" w:rsidRDefault="00006D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МБВ Д-2: заменить противоштурмовые пушки обр. 1913 г. на более совершенные обр. 1903/30 или 1915 г. </w:t>
      </w:r>
    </w:p>
    <w:p w14:paraId="2B618BA5" w14:textId="77777777" w:rsidR="00006DDF" w:rsidRPr="005E779E" w:rsidRDefault="00006D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МБВ Д-3: а). Пулеметные установки Максима перераспределить, разместив их во все стороны, а не только в лобовой части, перенести по одному на борта. </w:t>
      </w:r>
    </w:p>
    <w:p w14:paraId="58371268" w14:textId="77777777" w:rsidR="00006DDF" w:rsidRPr="005E779E" w:rsidRDefault="00006D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Нормальным вооружением МБВ Д-3 необходимо считать 1 37-мм пушку , 4 пулемета Максима и 1-3 ДТ. </w:t>
      </w:r>
    </w:p>
    <w:p w14:paraId="53C9F4F9" w14:textId="77777777" w:rsidR="00006DDF" w:rsidRPr="005E779E" w:rsidRDefault="00006D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Мотоброневагоны испытывались в незаконченном виде и не имели никаких подсобных материалов кроме моего наблюдения </w:t>
      </w:r>
    </w:p>
    <w:p w14:paraId="05C7E275" w14:textId="77777777" w:rsidR="00006DDF" w:rsidRPr="005E779E" w:rsidRDefault="00006D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постройке, а потому все детали боевых качеств полностью не выявлены. </w:t>
      </w:r>
    </w:p>
    <w:p w14:paraId="6047487E" w14:textId="77777777" w:rsidR="00006DDF" w:rsidRPr="005E779E" w:rsidRDefault="00006D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По устранении отмеченных недостатков и при окончательном оборудовании мотобро-невагоны должны подвергнуться вторичному и более детальному исследованию и изучению. Наиболее приемлемый (по моему мнению) для замены существующих несовершенных броне-летучек, как самостоятельных оперативно-боевых единиц линейных органов ТО ОПТУ является мотоброневагон Д-2 «Менжинский» (18626).</w:t>
      </w:r>
    </w:p>
    <w:p w14:paraId="29B4E723" w14:textId="77777777" w:rsidR="00006DDF" w:rsidRPr="005E779E" w:rsidRDefault="00006DDF" w:rsidP="000B7A6C">
      <w:pPr>
        <w:spacing w:after="0" w:line="240" w:lineRule="auto"/>
        <w:jc w:val="both"/>
        <w:rPr>
          <w:rFonts w:ascii="Times New Roman" w:hAnsi="Times New Roman"/>
          <w:color w:val="000000" w:themeColor="text1"/>
          <w:sz w:val="16"/>
          <w:szCs w:val="16"/>
        </w:rPr>
      </w:pPr>
    </w:p>
    <w:p w14:paraId="38F26116" w14:textId="77777777" w:rsidR="007210D8" w:rsidRPr="00142305" w:rsidRDefault="007210D8" w:rsidP="007210D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22 августа 1931 года по просьбе военных командир бронедивизиоиа ОПТУ Шустинский направил в УММ РККА «Доклад о результатах изучения и испытания опытных тяжелых бронедрезин системы тов. Дыренкова, проведенных в период обучения команды с 25 июля по 14 августа 1931 года». В целом, результаты по мотоброневагонам Д-2 и Д-3 были следующими:</w:t>
      </w:r>
    </w:p>
    <w:p w14:paraId="45835771" w14:textId="77777777" w:rsidR="007210D8" w:rsidRPr="00142305" w:rsidRDefault="007210D8" w:rsidP="007210D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«I. Испытание движением.</w:t>
      </w:r>
    </w:p>
    <w:p w14:paraId="5ABE6AB5" w14:textId="77777777" w:rsidR="007210D8" w:rsidRPr="00142305" w:rsidRDefault="007210D8" w:rsidP="007210D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Мотоброневагон Д-3 прошел своим ходом 1464 км со средней скоростью 50 км/ч и предельной 70 км/ч.</w:t>
      </w:r>
    </w:p>
    <w:p w14:paraId="561087BB" w14:textId="77777777" w:rsidR="007210D8" w:rsidRPr="00142305" w:rsidRDefault="007210D8" w:rsidP="007210D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 Мотоброневагон Д-2 прошел своим ходом 3247 км, из которых 1128 на прицепке к бронепоезду, 106 км с нагрузкой двух груженых двухосных платформ (буксовал), и ни одного случая отказа в работе мотора и в целом мотовагона не было. Средняя скорость мотоброневагона 45 — 50 км/ч.</w:t>
      </w:r>
    </w:p>
    <w:p w14:paraId="5333F2F0" w14:textId="77777777" w:rsidR="007210D8" w:rsidRPr="00142305" w:rsidRDefault="007210D8" w:rsidP="007210D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II. Испытания стрельбой.</w:t>
      </w:r>
    </w:p>
    <w:p w14:paraId="0AFBD182" w14:textId="77777777" w:rsidR="007210D8" w:rsidRPr="00142305" w:rsidRDefault="007210D8" w:rsidP="007210D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Всего сделано по 39 выстрелов из каждой пушки, повреждения систем не было. Как вывод необходимо отметить исключительную устойчивость мотоброневагона Д-2 при стрельбе в отличии от бронеплощадок бронепоездов, где колебание всей площадки доходит до 15 с в среднем, отсюда при частой стрельбе бывает колоссальное рассеивании снарядов.</w:t>
      </w:r>
    </w:p>
    <w:p w14:paraId="79A1266A" w14:textId="77777777" w:rsidR="007210D8" w:rsidRPr="00142305" w:rsidRDefault="007210D8" w:rsidP="007210D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III. Вооружение мотоброневагонов Д-2 и Д-3.</w:t>
      </w:r>
    </w:p>
    <w:p w14:paraId="364BA792" w14:textId="77777777" w:rsidR="007210D8" w:rsidRPr="00142305" w:rsidRDefault="007210D8" w:rsidP="007210D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У МБВ Д-2 расположение пулеметов Максима у водителя весьма неудачно. В остальном все огневые точки расположены целесообразно.</w:t>
      </w:r>
    </w:p>
    <w:p w14:paraId="0F6857A5" w14:textId="77777777" w:rsidR="007210D8" w:rsidRPr="00142305" w:rsidRDefault="007210D8" w:rsidP="007210D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 Вооружение 7б-мм короткими противо-штурмовыми пушками обр. 1913 г. слабое.</w:t>
      </w:r>
    </w:p>
    <w:p w14:paraId="30F712FC" w14:textId="77777777" w:rsidR="007210D8" w:rsidRPr="00142305" w:rsidRDefault="007210D8" w:rsidP="007210D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 Расположение пулеметных установок у Д-3 неудачное исходя из того, что по пути установлены два пулемета Максима, а на борта только пулеметы ДТ, которые имеют малые углы возвышения вследствие того, что мешают крышки ведущих колес, а установки пулеметов Максима имеют малый горизонтальный обстрел из-за того, что мешают буфера.</w:t>
      </w:r>
    </w:p>
    <w:p w14:paraId="11A01050" w14:textId="77777777" w:rsidR="007210D8" w:rsidRPr="00142305" w:rsidRDefault="007210D8" w:rsidP="007210D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Общие замечания.</w:t>
      </w:r>
    </w:p>
    <w:p w14:paraId="449E7A78" w14:textId="77777777" w:rsidR="007210D8" w:rsidRPr="00142305" w:rsidRDefault="007210D8" w:rsidP="007210D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МБВ Д-2 и Д-3 поступили не вполне законченном виде:</w:t>
      </w:r>
    </w:p>
    <w:p w14:paraId="0ECD2A49" w14:textId="77777777" w:rsidR="007210D8" w:rsidRPr="00142305" w:rsidRDefault="007210D8" w:rsidP="007210D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а. Полное отсутствие средств управления огнем;</w:t>
      </w:r>
    </w:p>
    <w:p w14:paraId="6FDBDA14" w14:textId="77777777" w:rsidR="007210D8" w:rsidRPr="00142305" w:rsidRDefault="007210D8" w:rsidP="007210D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б. Укладка для запасных частей и патронов отсутствует;</w:t>
      </w:r>
    </w:p>
    <w:p w14:paraId="604A2DDF" w14:textId="77777777" w:rsidR="007210D8" w:rsidRPr="00142305" w:rsidRDefault="007210D8" w:rsidP="007210D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Командирские рубки частично не имеют стекол.</w:t>
      </w:r>
    </w:p>
    <w:p w14:paraId="18CEA08D" w14:textId="77777777" w:rsidR="007210D8" w:rsidRPr="00142305" w:rsidRDefault="007210D8" w:rsidP="007210D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Выводы и замечания.</w:t>
      </w:r>
    </w:p>
    <w:p w14:paraId="49F20136" w14:textId="77777777" w:rsidR="007210D8" w:rsidRPr="00142305" w:rsidRDefault="007210D8" w:rsidP="007210D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Конструкция Д-2 и Д-3 по форме бронированного корпуса: размер машин, прочность, низкая посадка от рельсов дает исключительную устойчивость при стрельбе из пушек, тяговая сила, приличная скорость, насыщенность огневыми средствами.</w:t>
      </w:r>
    </w:p>
    <w:p w14:paraId="6425531A" w14:textId="77777777" w:rsidR="007210D8" w:rsidRPr="00142305" w:rsidRDefault="007210D8" w:rsidP="007210D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Делая из вышеуказанного вывод, можно отметить как положительные стороны: Д-2, Д-3 обладают большой подвижностью, значительным радиусом действия, могуществом артиллерийского и пулеметного огня, малые мертвые пространства (почти равные нулю). Если сравнить их с бронеплощадками и бронедрезинами всех существующих систем, то равных единиц Д-2 нет.</w:t>
      </w:r>
    </w:p>
    <w:p w14:paraId="06F1E829" w14:textId="77777777" w:rsidR="007210D8" w:rsidRPr="00142305" w:rsidRDefault="007210D8" w:rsidP="007210D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наличием положительных сторон имеется и ряд недоделок конструктивного характера, которые сводятся:</w:t>
      </w:r>
    </w:p>
    <w:p w14:paraId="09642CF6" w14:textId="77777777" w:rsidR="007210D8" w:rsidRPr="00142305" w:rsidRDefault="007210D8" w:rsidP="007210D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Усовершенствовать систему охлаждения Д-2, Д-3, которая весьма ненадежна.</w:t>
      </w:r>
    </w:p>
    <w:p w14:paraId="631D9874" w14:textId="77777777" w:rsidR="007210D8" w:rsidRPr="00142305" w:rsidRDefault="007210D8" w:rsidP="007210D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 Усовершенствовать переключение скоростей и, по возможности, упростить управление МБВ (разбросанность рычагов управления).</w:t>
      </w:r>
    </w:p>
    <w:p w14:paraId="016E9819" w14:textId="77777777" w:rsidR="007210D8" w:rsidRPr="00142305" w:rsidRDefault="007210D8" w:rsidP="007210D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 Отрегулировать клапана воздушных тормозов.</w:t>
      </w:r>
    </w:p>
    <w:p w14:paraId="0ACDB786" w14:textId="77777777" w:rsidR="007210D8" w:rsidRPr="00142305" w:rsidRDefault="007210D8" w:rsidP="007210D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4. У Д-3 понизить крышки колес, тем самым увеличить углы обстрела четырех пулеметов.</w:t>
      </w:r>
    </w:p>
    <w:p w14:paraId="11064B41" w14:textId="77777777" w:rsidR="007210D8" w:rsidRPr="00142305" w:rsidRDefault="007210D8" w:rsidP="007210D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5. Командирскую рубку (стробоскоп) усовершенствовать. Оборудовать ее средствами управления огнем, внутренней связью и радиостанцией.</w:t>
      </w:r>
    </w:p>
    <w:p w14:paraId="3981A4BD" w14:textId="77777777" w:rsidR="007210D8" w:rsidRPr="00142305" w:rsidRDefault="007210D8" w:rsidP="007210D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6. Оборудовать МБВ соответствующей вентиляцией.</w:t>
      </w:r>
    </w:p>
    <w:p w14:paraId="3D99B79F" w14:textId="77777777" w:rsidR="007210D8" w:rsidRPr="00142305" w:rsidRDefault="007210D8" w:rsidP="007210D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7. Оборудовать соответствующие стеллажи для снарядов, патронов и ЗИП.</w:t>
      </w:r>
    </w:p>
    <w:p w14:paraId="4D261F89" w14:textId="77777777" w:rsidR="007210D8" w:rsidRPr="00142305" w:rsidRDefault="007210D8" w:rsidP="007210D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вооружению.</w:t>
      </w:r>
    </w:p>
    <w:p w14:paraId="4A949D44" w14:textId="77777777" w:rsidR="007210D8" w:rsidRPr="00142305" w:rsidRDefault="007210D8" w:rsidP="007210D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МБВ Д-2: заменить противоштурмовые пушки обр. 1913 г. на более совершенные обр. 1903/30 или 1915 г.</w:t>
      </w:r>
    </w:p>
    <w:p w14:paraId="42621305" w14:textId="77777777" w:rsidR="007210D8" w:rsidRPr="00142305" w:rsidRDefault="007210D8" w:rsidP="007210D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МБВ Д-3: а). Пулеметные установки Максима перераспределить, разместив их во все стороны, а не только в лобовой части, перенести по одному на борта.</w:t>
      </w:r>
    </w:p>
    <w:p w14:paraId="47806E13" w14:textId="77777777" w:rsidR="007210D8" w:rsidRPr="00142305" w:rsidRDefault="007210D8" w:rsidP="007210D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Нормальным вооружением МБВ Д-3 необходимо считать 1 37-мм пушку, 4 пулемета Максима и 1 — 3 ДТ.</w:t>
      </w:r>
    </w:p>
    <w:p w14:paraId="250B9EC7" w14:textId="77777777" w:rsidR="007210D8" w:rsidRPr="00142305" w:rsidRDefault="007210D8" w:rsidP="007210D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Мотоброневагоны испытывались в незаконченном виде и не имели никаких подсобных материалов кроме моего наблюдения при постройке, а потому все детали боевых качеств полностью не выявлены.</w:t>
      </w:r>
    </w:p>
    <w:p w14:paraId="49D703E5" w14:textId="77777777" w:rsidR="007210D8" w:rsidRPr="00142305" w:rsidRDefault="007210D8" w:rsidP="007210D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устранении отмеченных недостатков и при окончательном оборудовании мотоброневагоны должны подвергнуться вторичному и более детальному исследованию и изучению. Наиболее приемлемый (по моему мнению) для замены существующих несовершенных бронелетучек, как самостоятельных оперативно-боевых единиц линейных органов ТО ОПТУ является мотоброневагон Д-2 «Менжинский» (25568).</w:t>
      </w:r>
    </w:p>
    <w:p w14:paraId="58BD4C98" w14:textId="77777777" w:rsidR="007210D8" w:rsidRPr="00142305" w:rsidRDefault="007210D8" w:rsidP="007210D8">
      <w:pPr>
        <w:spacing w:after="0" w:line="240" w:lineRule="auto"/>
        <w:jc w:val="both"/>
        <w:rPr>
          <w:rFonts w:ascii="Times New Roman" w:hAnsi="Times New Roman"/>
          <w:color w:val="0070C0"/>
          <w:sz w:val="16"/>
          <w:szCs w:val="16"/>
        </w:rPr>
      </w:pPr>
    </w:p>
    <w:p w14:paraId="1C13E9A2"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42F69D01"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9F20F3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 августа 1931 Михаил Булгаков завершил пьесу «Адам и Ева» (4962).</w:t>
      </w:r>
    </w:p>
    <w:p w14:paraId="263DD73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7641F5"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2CCD19D7"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3650BA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августа 1931 года Начальник НИИ ВВС Дубенский утвердил результаты Испытания самолета И7 БМВ VI</w:t>
      </w:r>
    </w:p>
    <w:p w14:paraId="667D92A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И7 БМВ VI 3 – опытный постройки завода № 1.</w:t>
      </w:r>
    </w:p>
    <w:p w14:paraId="7A703AA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Цель работы</w:t>
      </w:r>
    </w:p>
    <w:p w14:paraId="3E88048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Испытание опытного самолета с полетным весом 1740 кг.</w:t>
      </w:r>
    </w:p>
    <w:p w14:paraId="03223DF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Испытание начато – 10августа 1931 года</w:t>
      </w:r>
    </w:p>
    <w:p w14:paraId="53AF991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Испытание закончено 16 августа 1931 года</w:t>
      </w:r>
    </w:p>
    <w:p w14:paraId="12913DA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Летных дней на испытание – 5</w:t>
      </w:r>
    </w:p>
    <w:p w14:paraId="68F7444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Количество полетов – 24</w:t>
      </w:r>
    </w:p>
    <w:p w14:paraId="71022C8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Налетано часов – 11 час. 40 мин.</w:t>
      </w:r>
    </w:p>
    <w:p w14:paraId="7B72483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w:t>
      </w:r>
    </w:p>
    <w:p w14:paraId="6A499A2E"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И7 БМВ VI в таком виде, в каком он поступил с завода на испытание, как не отвечающий требованиям предъявляемым к современным истребителям по летным данным и по вооружению на массовое снабжение ВВС рекомендован быть не может.</w:t>
      </w:r>
    </w:p>
    <w:p w14:paraId="24ACD112"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Ввиду того, что в постройке для снабжения ВВС нет другого истребителя с мотором водяного охлаждения, а также ввиду отсутствия надежных приспособлений облегчающих эксплуатацию моторов воздушного охлаждения в зимних условиях, НИИ признает целесообразным постройку серии самолетов И7 М-17 для вооружения нескольких эскадрилий (6771).</w:t>
      </w:r>
    </w:p>
    <w:p w14:paraId="14DD6AC5"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E1F45C" w14:textId="77777777" w:rsidR="00D210DB" w:rsidRPr="005E779E" w:rsidRDefault="00D210D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августа 1931 г. Начальник НИИ ВВС Дубенский утвердил результаты Испытания самолета И-7 БМВ VI (24331).</w:t>
      </w:r>
    </w:p>
    <w:p w14:paraId="74684130" w14:textId="77777777" w:rsidR="00D210DB" w:rsidRPr="005E779E" w:rsidRDefault="00D210DB" w:rsidP="000B7A6C">
      <w:pPr>
        <w:spacing w:after="0" w:line="240" w:lineRule="auto"/>
        <w:jc w:val="both"/>
        <w:rPr>
          <w:rFonts w:ascii="Times New Roman" w:hAnsi="Times New Roman"/>
          <w:color w:val="000000" w:themeColor="text1"/>
          <w:sz w:val="16"/>
          <w:szCs w:val="16"/>
        </w:rPr>
      </w:pPr>
    </w:p>
    <w:p w14:paraId="0D55C9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августа 1931 закончились гос. испытания АНТ-6 (ТБ-3) с БМВ-6, которые проходили с 29 апреля 1931 (1017,169). Закончить испытания не успели, так как износились покрышки Пальмер и решили поставить тандемные тележки с отечественными покрышками (1854,7)</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1002C3" w:rsidRPr="005E779E" w14:paraId="2D1660F0" w14:textId="77777777">
        <w:tc>
          <w:tcPr>
            <w:tcW w:w="5636" w:type="dxa"/>
          </w:tcPr>
          <w:p w14:paraId="2F11CE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 произведено</w:t>
            </w:r>
          </w:p>
        </w:tc>
        <w:tc>
          <w:tcPr>
            <w:tcW w:w="5636" w:type="dxa"/>
          </w:tcPr>
          <w:p w14:paraId="59264A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полетов</w:t>
            </w:r>
          </w:p>
        </w:tc>
      </w:tr>
      <w:tr w:rsidR="001002C3" w:rsidRPr="005E779E" w14:paraId="751F595B" w14:textId="77777777">
        <w:tc>
          <w:tcPr>
            <w:tcW w:w="5636" w:type="dxa"/>
          </w:tcPr>
          <w:p w14:paraId="4E9199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Общей продолжительностью</w:t>
            </w:r>
          </w:p>
        </w:tc>
        <w:tc>
          <w:tcPr>
            <w:tcW w:w="5636" w:type="dxa"/>
          </w:tcPr>
          <w:p w14:paraId="42A954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час. 49 мин.</w:t>
            </w:r>
          </w:p>
        </w:tc>
      </w:tr>
    </w:tbl>
    <w:p w14:paraId="4EB3E7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августа 1931 года полеты ТБ3 с 4-мя моторами БМВ VI Е-7,3. 500/730 НР были прекращены вследствие непригдности колес. Полеты начались 29 апреля 1931 года самолет был выпущен в воздух после перестановки моторов и переделок.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1002C3" w:rsidRPr="005E779E" w14:paraId="6A95D080" w14:textId="77777777">
        <w:tc>
          <w:tcPr>
            <w:tcW w:w="5636" w:type="dxa"/>
          </w:tcPr>
          <w:p w14:paraId="66D270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 произведено</w:t>
            </w:r>
          </w:p>
        </w:tc>
        <w:tc>
          <w:tcPr>
            <w:tcW w:w="5636" w:type="dxa"/>
          </w:tcPr>
          <w:p w14:paraId="322C5A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полетов</w:t>
            </w:r>
          </w:p>
        </w:tc>
      </w:tr>
      <w:tr w:rsidR="001002C3" w:rsidRPr="005E779E" w14:paraId="292B54F7" w14:textId="77777777">
        <w:tc>
          <w:tcPr>
            <w:tcW w:w="5636" w:type="dxa"/>
          </w:tcPr>
          <w:p w14:paraId="106CB4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Общей продолжительностью</w:t>
            </w:r>
          </w:p>
        </w:tc>
        <w:tc>
          <w:tcPr>
            <w:tcW w:w="5636" w:type="dxa"/>
          </w:tcPr>
          <w:p w14:paraId="3558C2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час. 49 мин. (3214)</w:t>
            </w:r>
          </w:p>
        </w:tc>
      </w:tr>
    </w:tbl>
    <w:p w14:paraId="7E6749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w:t>
      </w:r>
    </w:p>
    <w:p w14:paraId="5B84D8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Самолет ТБ3-4М17 при условии доделки его вооружения (установка подкрыльных башен, бомбодержателей и др.) может быть рекомендован на вооружения ВВС в качестве тяжелого бомбардировщика.</w:t>
      </w:r>
    </w:p>
    <w:p w14:paraId="127F69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Полеты на самолете ТБ3-4М17 на колесах с покрышками "Пальмер" 2000х450 - прекратить (3214).</w:t>
      </w:r>
    </w:p>
    <w:p w14:paraId="3CF692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A712D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23 августа 1931 покрышки ТБ-3 (АНТ-6) изодрали совсем и полеты пришлось прекратить. Резины на огромные колеса ТБ-3 в СССР не нашлось - купили в Англии, у фирмы «Палмер". «Палмеровские» покрышки по нынешним временам выглядели совершенно необычно: каждая из них состояла из трех частей - середины и боковин, стягивавшихся металлическими крючками, а сверху на все это натягивалось прорезиненное полотно. Тем не менее, в целом испытатели опять дали высокую оценку работе туполевцев: "На разбеге самолет прост, устойчив, тенденций к заворотам и прыжкам нет... Посадка проста и никаких особенностей не имеет». «Вообще управление самолета ненормально тяжело, в особенности управление элеронами», "Анализ полученных летных данных и грузоподъемности ТБЗ-4БМВVIЕ=7.3 позволяет отнести его к лучшим мировым самолётам". Машину рекомендовали принять на вооружение ВВС РККА. Но добавили и «ложку дегтя»: "Приходится констатировать, что самолёт... обладает совершенно недоделанным вооружением и по существу s таком виде тяжелым бомбовозом не является" (8887).</w:t>
      </w:r>
    </w:p>
    <w:p w14:paraId="42ED64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7D332D0" w14:textId="77777777" w:rsidR="00D210DB" w:rsidRPr="005E779E" w:rsidRDefault="00D210D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августа 1931 г. второй этап госиспытаний АНТ-6 пришлось прекратить из-за плохого качества покрышек колес фирмы Palmer. Испытания не были доведены до кон</w:t>
      </w:r>
      <w:r w:rsidRPr="005E779E">
        <w:rPr>
          <w:rFonts w:ascii="Times New Roman" w:hAnsi="Times New Roman"/>
          <w:color w:val="000000" w:themeColor="text1"/>
          <w:sz w:val="16"/>
          <w:szCs w:val="16"/>
        </w:rPr>
        <w:softHyphen/>
        <w:t>ца. НИИ ВВС обратился в ЦАГИ с просьбой разработать новую конструкцию шасси под сдвоенные оте</w:t>
      </w:r>
      <w:r w:rsidRPr="005E779E">
        <w:rPr>
          <w:rFonts w:ascii="Times New Roman" w:hAnsi="Times New Roman"/>
          <w:color w:val="000000" w:themeColor="text1"/>
          <w:sz w:val="16"/>
          <w:szCs w:val="16"/>
        </w:rPr>
        <w:softHyphen/>
        <w:t>чественные колеса меньшего диаметра. В выводах по результатам испытаний от</w:t>
      </w:r>
      <w:r w:rsidRPr="005E779E">
        <w:rPr>
          <w:rFonts w:ascii="Times New Roman" w:hAnsi="Times New Roman"/>
          <w:color w:val="000000" w:themeColor="text1"/>
          <w:sz w:val="16"/>
          <w:szCs w:val="16"/>
        </w:rPr>
        <w:softHyphen/>
        <w:t>мечалось, что «при установке нового шасси, моторов М—17 и полного ком</w:t>
      </w:r>
      <w:r w:rsidRPr="005E779E">
        <w:rPr>
          <w:rFonts w:ascii="Times New Roman" w:hAnsi="Times New Roman"/>
          <w:color w:val="000000" w:themeColor="text1"/>
          <w:sz w:val="16"/>
          <w:szCs w:val="16"/>
        </w:rPr>
        <w:softHyphen/>
        <w:t>плекта вооружения ТБ—3 может быть ре</w:t>
      </w:r>
      <w:r w:rsidRPr="005E779E">
        <w:rPr>
          <w:rFonts w:ascii="Times New Roman" w:hAnsi="Times New Roman"/>
          <w:color w:val="000000" w:themeColor="text1"/>
          <w:sz w:val="16"/>
          <w:szCs w:val="16"/>
        </w:rPr>
        <w:softHyphen/>
        <w:t>комендован ВВС в качестве тяжелого бомбардировщика». После выполнения требуемых доработок государственные испытания головного АНТ—6 с моторами BMW VI были продолжены (23474).</w:t>
      </w:r>
    </w:p>
    <w:p w14:paraId="0C51255D" w14:textId="77777777" w:rsidR="00D210DB" w:rsidRPr="005E779E" w:rsidRDefault="00D210DB" w:rsidP="000B7A6C">
      <w:pPr>
        <w:spacing w:after="0" w:line="240" w:lineRule="auto"/>
        <w:jc w:val="both"/>
        <w:rPr>
          <w:rFonts w:ascii="Times New Roman" w:hAnsi="Times New Roman"/>
          <w:color w:val="000000" w:themeColor="text1"/>
          <w:sz w:val="16"/>
          <w:szCs w:val="16"/>
        </w:rPr>
      </w:pPr>
    </w:p>
    <w:p w14:paraId="28457E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августа 1931 года в НИИ ГВФ поступил другой (второй) экземпляр К-5 с частично устраненными дефектами. Самолет был испытан и условно утвержден для производства (7738, 12-10).</w:t>
      </w:r>
    </w:p>
    <w:p w14:paraId="0D0E6E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DBEDD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августа 1931 года начальник ВВС Алкснис писал письмо N 248 зам. пред. СНК Куйбышеву.</w:t>
      </w:r>
    </w:p>
    <w:p w14:paraId="1E45A9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выработанному МПС проекту плана развертывания авиапромышленности.</w:t>
      </w:r>
    </w:p>
    <w:p w14:paraId="718F55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При составлении проекта развертывания авиапромышленности МПС сократил намеченную директивными инстанциями программу авиапромышленности на 1934 г. (22600 самолетов и 62000 авиамоторов), задав на этот год программу в 18800 самолетов и 47000 авиамоторов (не считая маломощных).</w:t>
      </w:r>
    </w:p>
    <w:p w14:paraId="22DA20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Программу в 22600 самолетов и 62000 авиамоторов МПС предлагает отодвинуть на 1935 год.</w:t>
      </w:r>
    </w:p>
    <w:p w14:paraId="251FFE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Изучение всех материалов по развитию сырьевых баз авиапромышленности убеждает в том, что к 1934 году все основные заводы поставщики ВАО будут иметь достаточные мощности для подачи авиапромышленности нужных количеств сырья и полуфабрикатов.</w:t>
      </w:r>
    </w:p>
    <w:p w14:paraId="5775DA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основании изложенного, прихожу к выводу о необоснованности предлагаемого МПС отодвигания намеченной программы 1934 года на 1935 год.</w:t>
      </w:r>
    </w:p>
    <w:p w14:paraId="5F556B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Предлагаемое МПС производство танковых двигателей на авиамоторных заводах нельзя признать целесообразным.</w:t>
      </w:r>
    </w:p>
    <w:p w14:paraId="6AFFD0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Практикуемая до сих пор установка на танках авиамоторов с незначительными изменениями, является мерой временной.</w:t>
      </w:r>
    </w:p>
    <w:p w14:paraId="72E290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Необходимо поставить вопрос о постройке специального завода для производства танковых моторов. (3047,67-68).</w:t>
      </w:r>
    </w:p>
    <w:p w14:paraId="78D956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4DDD9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августа 1931 подготовлена таблица:</w:t>
      </w:r>
    </w:p>
    <w:p w14:paraId="0DFC29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Потребность в моторах по типам</w:t>
      </w:r>
    </w:p>
    <w:p w14:paraId="1DCE76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Вариант 1-й: на самолеты ставятся моторы, написанные под чертой в графе “количество”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1002C3" w:rsidRPr="005E779E" w14:paraId="747B1C6C" w14:textId="77777777">
        <w:tc>
          <w:tcPr>
            <w:tcW w:w="5604" w:type="dxa"/>
            <w:gridSpan w:val="3"/>
            <w:tcBorders>
              <w:top w:val="single" w:sz="12" w:space="0" w:color="auto"/>
            </w:tcBorders>
          </w:tcPr>
          <w:p w14:paraId="14B6D4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1933</w:t>
            </w:r>
          </w:p>
        </w:tc>
        <w:tc>
          <w:tcPr>
            <w:tcW w:w="5604" w:type="dxa"/>
            <w:gridSpan w:val="3"/>
            <w:tcBorders>
              <w:top w:val="single" w:sz="12" w:space="0" w:color="auto"/>
            </w:tcBorders>
          </w:tcPr>
          <w:p w14:paraId="44FB37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1934</w:t>
            </w:r>
          </w:p>
        </w:tc>
      </w:tr>
      <w:tr w:rsidR="001002C3" w:rsidRPr="005E779E" w14:paraId="539EB5AA" w14:textId="77777777">
        <w:tc>
          <w:tcPr>
            <w:tcW w:w="1868" w:type="dxa"/>
          </w:tcPr>
          <w:p w14:paraId="31FE58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Наименование</w:t>
            </w:r>
          </w:p>
        </w:tc>
        <w:tc>
          <w:tcPr>
            <w:tcW w:w="1868" w:type="dxa"/>
          </w:tcPr>
          <w:p w14:paraId="0590CE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Количество норм. вариантов</w:t>
            </w:r>
          </w:p>
        </w:tc>
        <w:tc>
          <w:tcPr>
            <w:tcW w:w="1868" w:type="dxa"/>
          </w:tcPr>
          <w:p w14:paraId="1F5AD2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Примечание</w:t>
            </w:r>
          </w:p>
        </w:tc>
        <w:tc>
          <w:tcPr>
            <w:tcW w:w="1868" w:type="dxa"/>
          </w:tcPr>
          <w:p w14:paraId="7A3880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Наименование</w:t>
            </w:r>
          </w:p>
        </w:tc>
        <w:tc>
          <w:tcPr>
            <w:tcW w:w="1868" w:type="dxa"/>
          </w:tcPr>
          <w:p w14:paraId="649D27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Количество норм. вариантов</w:t>
            </w:r>
          </w:p>
        </w:tc>
        <w:tc>
          <w:tcPr>
            <w:tcW w:w="1868" w:type="dxa"/>
          </w:tcPr>
          <w:p w14:paraId="7BFDD3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Примечание</w:t>
            </w:r>
          </w:p>
        </w:tc>
      </w:tr>
      <w:tr w:rsidR="001002C3" w:rsidRPr="005E779E" w14:paraId="4DC649E3" w14:textId="77777777">
        <w:tc>
          <w:tcPr>
            <w:tcW w:w="1868" w:type="dxa"/>
          </w:tcPr>
          <w:p w14:paraId="0AAC0C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М11 - Ж6</w:t>
            </w:r>
          </w:p>
        </w:tc>
        <w:tc>
          <w:tcPr>
            <w:tcW w:w="1868" w:type="dxa"/>
          </w:tcPr>
          <w:p w14:paraId="055D11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2400</w:t>
            </w:r>
          </w:p>
        </w:tc>
        <w:tc>
          <w:tcPr>
            <w:tcW w:w="1868" w:type="dxa"/>
          </w:tcPr>
          <w:p w14:paraId="5E7E5A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305913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645C75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2400</w:t>
            </w:r>
          </w:p>
        </w:tc>
        <w:tc>
          <w:tcPr>
            <w:tcW w:w="1868" w:type="dxa"/>
          </w:tcPr>
          <w:p w14:paraId="4A0C1D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5E779E" w14:paraId="7E71F005" w14:textId="77777777">
        <w:tc>
          <w:tcPr>
            <w:tcW w:w="1868" w:type="dxa"/>
          </w:tcPr>
          <w:p w14:paraId="4B0D6D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М12, 22, РЦ</w:t>
            </w:r>
          </w:p>
        </w:tc>
        <w:tc>
          <w:tcPr>
            <w:tcW w:w="1868" w:type="dxa"/>
          </w:tcPr>
          <w:p w14:paraId="5D3147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3600</w:t>
            </w:r>
          </w:p>
        </w:tc>
        <w:tc>
          <w:tcPr>
            <w:tcW w:w="1868" w:type="dxa"/>
          </w:tcPr>
          <w:p w14:paraId="4688C6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082607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360A04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5070</w:t>
            </w:r>
          </w:p>
        </w:tc>
        <w:tc>
          <w:tcPr>
            <w:tcW w:w="1868" w:type="dxa"/>
          </w:tcPr>
          <w:p w14:paraId="396BFA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5E779E" w14:paraId="46B471AB" w14:textId="77777777">
        <w:tc>
          <w:tcPr>
            <w:tcW w:w="1868" w:type="dxa"/>
          </w:tcPr>
          <w:p w14:paraId="7411EF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М26</w:t>
            </w:r>
          </w:p>
        </w:tc>
        <w:tc>
          <w:tcPr>
            <w:tcW w:w="1868" w:type="dxa"/>
          </w:tcPr>
          <w:p w14:paraId="6F1502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1800</w:t>
            </w:r>
          </w:p>
        </w:tc>
        <w:tc>
          <w:tcPr>
            <w:tcW w:w="1868" w:type="dxa"/>
          </w:tcPr>
          <w:p w14:paraId="141B6E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7B77FB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44F876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2250</w:t>
            </w:r>
          </w:p>
        </w:tc>
        <w:tc>
          <w:tcPr>
            <w:tcW w:w="1868" w:type="dxa"/>
          </w:tcPr>
          <w:p w14:paraId="0AD5CA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5E779E" w14:paraId="3ACD8C13" w14:textId="77777777">
        <w:tc>
          <w:tcPr>
            <w:tcW w:w="1868" w:type="dxa"/>
          </w:tcPr>
          <w:p w14:paraId="137982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М38</w:t>
            </w:r>
          </w:p>
        </w:tc>
        <w:tc>
          <w:tcPr>
            <w:tcW w:w="1868" w:type="dxa"/>
          </w:tcPr>
          <w:p w14:paraId="377DA5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w:t>
            </w:r>
          </w:p>
        </w:tc>
        <w:tc>
          <w:tcPr>
            <w:tcW w:w="1868" w:type="dxa"/>
          </w:tcPr>
          <w:p w14:paraId="6A45D5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141261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2020F1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3000</w:t>
            </w:r>
          </w:p>
        </w:tc>
        <w:tc>
          <w:tcPr>
            <w:tcW w:w="1868" w:type="dxa"/>
          </w:tcPr>
          <w:p w14:paraId="2AD14E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заменяется на М22</w:t>
            </w:r>
          </w:p>
        </w:tc>
      </w:tr>
      <w:tr w:rsidR="001002C3" w:rsidRPr="005E779E" w14:paraId="19647C60" w14:textId="77777777">
        <w:tc>
          <w:tcPr>
            <w:tcW w:w="1868" w:type="dxa"/>
          </w:tcPr>
          <w:p w14:paraId="7A8394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Моторов воздушного охлаждения</w:t>
            </w:r>
          </w:p>
        </w:tc>
        <w:tc>
          <w:tcPr>
            <w:tcW w:w="1868" w:type="dxa"/>
          </w:tcPr>
          <w:p w14:paraId="24EAF6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7800</w:t>
            </w:r>
          </w:p>
        </w:tc>
        <w:tc>
          <w:tcPr>
            <w:tcW w:w="1868" w:type="dxa"/>
          </w:tcPr>
          <w:p w14:paraId="64FE93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156D15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14D329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12720</w:t>
            </w:r>
          </w:p>
        </w:tc>
        <w:tc>
          <w:tcPr>
            <w:tcW w:w="1868" w:type="dxa"/>
          </w:tcPr>
          <w:p w14:paraId="03F998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5E779E" w14:paraId="0BD8B207" w14:textId="77777777">
        <w:tc>
          <w:tcPr>
            <w:tcW w:w="1868" w:type="dxa"/>
          </w:tcPr>
          <w:p w14:paraId="3F0424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М17</w:t>
            </w:r>
          </w:p>
        </w:tc>
        <w:tc>
          <w:tcPr>
            <w:tcW w:w="1868" w:type="dxa"/>
          </w:tcPr>
          <w:p w14:paraId="1D0584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3000</w:t>
            </w:r>
          </w:p>
        </w:tc>
        <w:tc>
          <w:tcPr>
            <w:tcW w:w="1868" w:type="dxa"/>
          </w:tcPr>
          <w:p w14:paraId="77A99D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 М34 может быть частично заменен М17 на самолетах Р5</w:t>
            </w:r>
          </w:p>
        </w:tc>
        <w:tc>
          <w:tcPr>
            <w:tcW w:w="1868" w:type="dxa"/>
          </w:tcPr>
          <w:p w14:paraId="411C8E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F8253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3600</w:t>
            </w:r>
          </w:p>
        </w:tc>
        <w:tc>
          <w:tcPr>
            <w:tcW w:w="1868" w:type="dxa"/>
          </w:tcPr>
          <w:p w14:paraId="45C75A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5E779E" w14:paraId="480E9CF5" w14:textId="77777777">
        <w:tc>
          <w:tcPr>
            <w:tcW w:w="1868" w:type="dxa"/>
          </w:tcPr>
          <w:p w14:paraId="13325F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М32</w:t>
            </w:r>
          </w:p>
        </w:tc>
        <w:tc>
          <w:tcPr>
            <w:tcW w:w="1868" w:type="dxa"/>
          </w:tcPr>
          <w:p w14:paraId="0E84C5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w:t>
            </w:r>
          </w:p>
        </w:tc>
        <w:tc>
          <w:tcPr>
            <w:tcW w:w="1868" w:type="dxa"/>
          </w:tcPr>
          <w:p w14:paraId="16A229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661409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29AE40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w:t>
            </w:r>
          </w:p>
        </w:tc>
        <w:tc>
          <w:tcPr>
            <w:tcW w:w="1868" w:type="dxa"/>
          </w:tcPr>
          <w:p w14:paraId="1CF6ED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5E779E" w14:paraId="7534DA7E" w14:textId="77777777">
        <w:tc>
          <w:tcPr>
            <w:tcW w:w="1868" w:type="dxa"/>
          </w:tcPr>
          <w:p w14:paraId="73A82C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М34</w:t>
            </w:r>
          </w:p>
        </w:tc>
        <w:tc>
          <w:tcPr>
            <w:tcW w:w="1868" w:type="dxa"/>
          </w:tcPr>
          <w:p w14:paraId="15C618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4175</w:t>
            </w:r>
          </w:p>
        </w:tc>
        <w:tc>
          <w:tcPr>
            <w:tcW w:w="1868" w:type="dxa"/>
          </w:tcPr>
          <w:p w14:paraId="6B9672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05A93F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48FFFF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9690</w:t>
            </w:r>
          </w:p>
        </w:tc>
        <w:tc>
          <w:tcPr>
            <w:tcW w:w="1868" w:type="dxa"/>
          </w:tcPr>
          <w:p w14:paraId="1FF0D5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5E779E" w14:paraId="49D8D77D" w14:textId="77777777">
        <w:tc>
          <w:tcPr>
            <w:tcW w:w="1868" w:type="dxa"/>
          </w:tcPr>
          <w:p w14:paraId="07AF11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М36</w:t>
            </w:r>
          </w:p>
        </w:tc>
        <w:tc>
          <w:tcPr>
            <w:tcW w:w="1868" w:type="dxa"/>
          </w:tcPr>
          <w:p w14:paraId="625092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w:t>
            </w:r>
          </w:p>
        </w:tc>
        <w:tc>
          <w:tcPr>
            <w:tcW w:w="1868" w:type="dxa"/>
          </w:tcPr>
          <w:p w14:paraId="4823A3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1A357A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10967C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390</w:t>
            </w:r>
          </w:p>
        </w:tc>
        <w:tc>
          <w:tcPr>
            <w:tcW w:w="1868" w:type="dxa"/>
          </w:tcPr>
          <w:p w14:paraId="783FFC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5E779E" w14:paraId="754252E2" w14:textId="77777777">
        <w:tc>
          <w:tcPr>
            <w:tcW w:w="1868" w:type="dxa"/>
          </w:tcPr>
          <w:p w14:paraId="1ECFBA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Моторов водяного охлаждения</w:t>
            </w:r>
          </w:p>
        </w:tc>
        <w:tc>
          <w:tcPr>
            <w:tcW w:w="1868" w:type="dxa"/>
          </w:tcPr>
          <w:p w14:paraId="2224C7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7175</w:t>
            </w:r>
          </w:p>
        </w:tc>
        <w:tc>
          <w:tcPr>
            <w:tcW w:w="1868" w:type="dxa"/>
          </w:tcPr>
          <w:p w14:paraId="7813C8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2A0707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6ABBFF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13680</w:t>
            </w:r>
          </w:p>
        </w:tc>
        <w:tc>
          <w:tcPr>
            <w:tcW w:w="1868" w:type="dxa"/>
          </w:tcPr>
          <w:p w14:paraId="494B9F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5E779E" w14:paraId="45385E8F" w14:textId="77777777">
        <w:tc>
          <w:tcPr>
            <w:tcW w:w="1868" w:type="dxa"/>
            <w:tcBorders>
              <w:bottom w:val="single" w:sz="12" w:space="0" w:color="auto"/>
            </w:tcBorders>
          </w:tcPr>
          <w:p w14:paraId="0C728C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w:t>
            </w:r>
          </w:p>
        </w:tc>
        <w:tc>
          <w:tcPr>
            <w:tcW w:w="1868" w:type="dxa"/>
            <w:tcBorders>
              <w:bottom w:val="single" w:sz="12" w:space="0" w:color="auto"/>
            </w:tcBorders>
          </w:tcPr>
          <w:p w14:paraId="218519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14975</w:t>
            </w:r>
          </w:p>
        </w:tc>
        <w:tc>
          <w:tcPr>
            <w:tcW w:w="1868" w:type="dxa"/>
            <w:tcBorders>
              <w:bottom w:val="single" w:sz="12" w:space="0" w:color="auto"/>
            </w:tcBorders>
          </w:tcPr>
          <w:p w14:paraId="0A42D2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Borders>
              <w:bottom w:val="single" w:sz="12" w:space="0" w:color="auto"/>
            </w:tcBorders>
          </w:tcPr>
          <w:p w14:paraId="409939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Borders>
              <w:bottom w:val="single" w:sz="12" w:space="0" w:color="auto"/>
            </w:tcBorders>
          </w:tcPr>
          <w:p w14:paraId="514EFA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26400</w:t>
            </w:r>
          </w:p>
        </w:tc>
        <w:tc>
          <w:tcPr>
            <w:tcW w:w="1868" w:type="dxa"/>
            <w:tcBorders>
              <w:bottom w:val="single" w:sz="12" w:space="0" w:color="auto"/>
            </w:tcBorders>
          </w:tcPr>
          <w:p w14:paraId="5DEC16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bl>
    <w:p w14:paraId="1E9073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Вариант 2-й: истребители строятся под М32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1002C3" w:rsidRPr="005E779E" w14:paraId="5F328149" w14:textId="77777777">
        <w:tc>
          <w:tcPr>
            <w:tcW w:w="1868" w:type="dxa"/>
            <w:tcBorders>
              <w:top w:val="single" w:sz="12" w:space="0" w:color="auto"/>
            </w:tcBorders>
          </w:tcPr>
          <w:p w14:paraId="26A566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32597E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2E525F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292877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М22, 15, РЦ</w:t>
            </w:r>
          </w:p>
        </w:tc>
        <w:tc>
          <w:tcPr>
            <w:tcW w:w="1868" w:type="dxa"/>
            <w:tcBorders>
              <w:top w:val="single" w:sz="12" w:space="0" w:color="auto"/>
            </w:tcBorders>
          </w:tcPr>
          <w:p w14:paraId="108D48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2370</w:t>
            </w:r>
          </w:p>
        </w:tc>
        <w:tc>
          <w:tcPr>
            <w:tcW w:w="1868" w:type="dxa"/>
            <w:tcBorders>
              <w:top w:val="single" w:sz="12" w:space="0" w:color="auto"/>
            </w:tcBorders>
          </w:tcPr>
          <w:p w14:paraId="17136C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5E779E" w14:paraId="68F5ACE5" w14:textId="77777777">
        <w:tc>
          <w:tcPr>
            <w:tcW w:w="1868" w:type="dxa"/>
          </w:tcPr>
          <w:p w14:paraId="2F96AD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428AFB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68DECB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462411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М38</w:t>
            </w:r>
          </w:p>
        </w:tc>
        <w:tc>
          <w:tcPr>
            <w:tcW w:w="1868" w:type="dxa"/>
          </w:tcPr>
          <w:p w14:paraId="70ADF1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w:t>
            </w:r>
          </w:p>
        </w:tc>
        <w:tc>
          <w:tcPr>
            <w:tcW w:w="1868" w:type="dxa"/>
          </w:tcPr>
          <w:p w14:paraId="5C05E3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5E779E" w14:paraId="181A29CB" w14:textId="77777777">
        <w:tc>
          <w:tcPr>
            <w:tcW w:w="1868" w:type="dxa"/>
          </w:tcPr>
          <w:p w14:paraId="33F6AF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19BD40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0C682B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135CC6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М32</w:t>
            </w:r>
          </w:p>
        </w:tc>
        <w:tc>
          <w:tcPr>
            <w:tcW w:w="1868" w:type="dxa"/>
          </w:tcPr>
          <w:p w14:paraId="6927A3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5700</w:t>
            </w:r>
          </w:p>
        </w:tc>
        <w:tc>
          <w:tcPr>
            <w:tcW w:w="1868" w:type="dxa"/>
          </w:tcPr>
          <w:p w14:paraId="30BE85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5E779E" w14:paraId="490EC824" w14:textId="77777777">
        <w:tc>
          <w:tcPr>
            <w:tcW w:w="1868" w:type="dxa"/>
            <w:tcBorders>
              <w:bottom w:val="single" w:sz="12" w:space="0" w:color="auto"/>
            </w:tcBorders>
          </w:tcPr>
          <w:p w14:paraId="3EC207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прочие моторы по варианту 1</w:t>
            </w:r>
          </w:p>
        </w:tc>
        <w:tc>
          <w:tcPr>
            <w:tcW w:w="1868" w:type="dxa"/>
            <w:tcBorders>
              <w:bottom w:val="single" w:sz="12" w:space="0" w:color="auto"/>
            </w:tcBorders>
          </w:tcPr>
          <w:p w14:paraId="349BCB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Borders>
              <w:bottom w:val="single" w:sz="12" w:space="0" w:color="auto"/>
            </w:tcBorders>
          </w:tcPr>
          <w:p w14:paraId="57CF7E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Borders>
              <w:bottom w:val="single" w:sz="12" w:space="0" w:color="auto"/>
            </w:tcBorders>
          </w:tcPr>
          <w:p w14:paraId="4E2B60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Borders>
              <w:bottom w:val="single" w:sz="12" w:space="0" w:color="auto"/>
            </w:tcBorders>
          </w:tcPr>
          <w:p w14:paraId="712E56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Borders>
              <w:bottom w:val="single" w:sz="12" w:space="0" w:color="auto"/>
            </w:tcBorders>
          </w:tcPr>
          <w:p w14:paraId="19CC2E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bl>
    <w:p w14:paraId="5720E1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Вариант 3-й: вместо ТБ3 принят к постройке ТБ5 на заводу № 18</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1002C3" w:rsidRPr="005E779E" w14:paraId="042C07FE" w14:textId="77777777">
        <w:tc>
          <w:tcPr>
            <w:tcW w:w="1868" w:type="dxa"/>
            <w:tcBorders>
              <w:top w:val="single" w:sz="12" w:space="0" w:color="auto"/>
            </w:tcBorders>
          </w:tcPr>
          <w:p w14:paraId="23813F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М17</w:t>
            </w:r>
          </w:p>
        </w:tc>
        <w:tc>
          <w:tcPr>
            <w:tcW w:w="1868" w:type="dxa"/>
            <w:tcBorders>
              <w:top w:val="single" w:sz="12" w:space="0" w:color="auto"/>
            </w:tcBorders>
          </w:tcPr>
          <w:p w14:paraId="307FCF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1800</w:t>
            </w:r>
          </w:p>
        </w:tc>
        <w:tc>
          <w:tcPr>
            <w:tcW w:w="1868" w:type="dxa"/>
            <w:tcBorders>
              <w:top w:val="single" w:sz="12" w:space="0" w:color="auto"/>
            </w:tcBorders>
          </w:tcPr>
          <w:p w14:paraId="3258B8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Borders>
              <w:top w:val="single" w:sz="12" w:space="0" w:color="auto"/>
            </w:tcBorders>
          </w:tcPr>
          <w:p w14:paraId="109F55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М17</w:t>
            </w:r>
          </w:p>
        </w:tc>
        <w:tc>
          <w:tcPr>
            <w:tcW w:w="1868" w:type="dxa"/>
            <w:tcBorders>
              <w:top w:val="single" w:sz="12" w:space="0" w:color="auto"/>
            </w:tcBorders>
          </w:tcPr>
          <w:p w14:paraId="4B9048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w:t>
            </w:r>
          </w:p>
        </w:tc>
        <w:tc>
          <w:tcPr>
            <w:tcW w:w="1868" w:type="dxa"/>
            <w:tcBorders>
              <w:top w:val="single" w:sz="12" w:space="0" w:color="auto"/>
            </w:tcBorders>
          </w:tcPr>
          <w:p w14:paraId="7927BA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5E779E" w14:paraId="4774C871" w14:textId="77777777">
        <w:tc>
          <w:tcPr>
            <w:tcW w:w="1868" w:type="dxa"/>
            <w:tcBorders>
              <w:bottom w:val="single" w:sz="12" w:space="0" w:color="auto"/>
            </w:tcBorders>
          </w:tcPr>
          <w:p w14:paraId="283B56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М22, 15</w:t>
            </w:r>
          </w:p>
        </w:tc>
        <w:tc>
          <w:tcPr>
            <w:tcW w:w="1868" w:type="dxa"/>
            <w:tcBorders>
              <w:bottom w:val="single" w:sz="12" w:space="0" w:color="auto"/>
            </w:tcBorders>
          </w:tcPr>
          <w:p w14:paraId="076860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4800</w:t>
            </w:r>
          </w:p>
        </w:tc>
        <w:tc>
          <w:tcPr>
            <w:tcW w:w="1868" w:type="dxa"/>
            <w:tcBorders>
              <w:bottom w:val="single" w:sz="12" w:space="0" w:color="auto"/>
            </w:tcBorders>
          </w:tcPr>
          <w:p w14:paraId="4A4A7E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Borders>
              <w:bottom w:val="single" w:sz="12" w:space="0" w:color="auto"/>
            </w:tcBorders>
          </w:tcPr>
          <w:p w14:paraId="26EB19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М22, 15</w:t>
            </w:r>
          </w:p>
        </w:tc>
        <w:tc>
          <w:tcPr>
            <w:tcW w:w="1868" w:type="dxa"/>
            <w:tcBorders>
              <w:bottom w:val="single" w:sz="12" w:space="0" w:color="auto"/>
            </w:tcBorders>
          </w:tcPr>
          <w:p w14:paraId="2442FA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8670</w:t>
            </w:r>
          </w:p>
        </w:tc>
        <w:tc>
          <w:tcPr>
            <w:tcW w:w="1868" w:type="dxa"/>
            <w:tcBorders>
              <w:bottom w:val="single" w:sz="12" w:space="0" w:color="auto"/>
            </w:tcBorders>
          </w:tcPr>
          <w:p w14:paraId="388AFF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bl>
    <w:p w14:paraId="663A6F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(351).</w:t>
      </w:r>
    </w:p>
    <w:p w14:paraId="6AD30E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августа 1931 подготовлена таблица:</w:t>
      </w:r>
    </w:p>
    <w:p w14:paraId="3DF1A7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Снабжение моторами серийной постройки самолетов</w:t>
      </w:r>
    </w:p>
    <w:p w14:paraId="7AC59C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/Моторы, не вошедшие в таблицу, сохраняют количества постройки/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1002C3" w:rsidRPr="005E779E" w14:paraId="13367918" w14:textId="77777777">
        <w:tc>
          <w:tcPr>
            <w:tcW w:w="1868" w:type="dxa"/>
            <w:tcBorders>
              <w:top w:val="single" w:sz="12" w:space="0" w:color="auto"/>
            </w:tcBorders>
          </w:tcPr>
          <w:p w14:paraId="0A0BF8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04" w:type="dxa"/>
            <w:gridSpan w:val="3"/>
            <w:tcBorders>
              <w:top w:val="single" w:sz="12" w:space="0" w:color="auto"/>
            </w:tcBorders>
          </w:tcPr>
          <w:p w14:paraId="084BC4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1933</w:t>
            </w:r>
          </w:p>
        </w:tc>
        <w:tc>
          <w:tcPr>
            <w:tcW w:w="3736" w:type="dxa"/>
            <w:gridSpan w:val="2"/>
            <w:tcBorders>
              <w:top w:val="single" w:sz="12" w:space="0" w:color="auto"/>
            </w:tcBorders>
          </w:tcPr>
          <w:p w14:paraId="5DC96B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1934</w:t>
            </w:r>
          </w:p>
        </w:tc>
      </w:tr>
      <w:tr w:rsidR="001002C3" w:rsidRPr="005E779E" w14:paraId="42F35B91" w14:textId="77777777">
        <w:tc>
          <w:tcPr>
            <w:tcW w:w="1868" w:type="dxa"/>
          </w:tcPr>
          <w:p w14:paraId="2BD03B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Вариант 2-й</w:t>
            </w:r>
          </w:p>
        </w:tc>
        <w:tc>
          <w:tcPr>
            <w:tcW w:w="1868" w:type="dxa"/>
          </w:tcPr>
          <w:p w14:paraId="6E95D6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Марка</w:t>
            </w:r>
          </w:p>
        </w:tc>
        <w:tc>
          <w:tcPr>
            <w:tcW w:w="1868" w:type="dxa"/>
          </w:tcPr>
          <w:p w14:paraId="054048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Подача</w:t>
            </w:r>
          </w:p>
        </w:tc>
        <w:tc>
          <w:tcPr>
            <w:tcW w:w="1868" w:type="dxa"/>
          </w:tcPr>
          <w:p w14:paraId="0E3953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Потребность</w:t>
            </w:r>
          </w:p>
        </w:tc>
        <w:tc>
          <w:tcPr>
            <w:tcW w:w="1868" w:type="dxa"/>
          </w:tcPr>
          <w:p w14:paraId="483EAB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Марка</w:t>
            </w:r>
          </w:p>
        </w:tc>
        <w:tc>
          <w:tcPr>
            <w:tcW w:w="1868" w:type="dxa"/>
          </w:tcPr>
          <w:p w14:paraId="27354D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Подача</w:t>
            </w:r>
          </w:p>
        </w:tc>
      </w:tr>
      <w:tr w:rsidR="001002C3" w:rsidRPr="005E779E" w14:paraId="3D84554B" w14:textId="77777777">
        <w:tc>
          <w:tcPr>
            <w:tcW w:w="1868" w:type="dxa"/>
          </w:tcPr>
          <w:p w14:paraId="0D0CAD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Истребители строятся под мотор водяного охлаждения вместо воздушного: под М32 вместо РЦ, М22, М15, М38</w:t>
            </w:r>
          </w:p>
        </w:tc>
        <w:tc>
          <w:tcPr>
            <w:tcW w:w="1868" w:type="dxa"/>
          </w:tcPr>
          <w:p w14:paraId="3A70BF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25DA4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D8228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56253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М22</w:t>
            </w:r>
          </w:p>
        </w:tc>
        <w:tc>
          <w:tcPr>
            <w:tcW w:w="1868" w:type="dxa"/>
          </w:tcPr>
          <w:p w14:paraId="582FD1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5E779E" w14:paraId="3D4352CB" w14:textId="77777777">
        <w:tc>
          <w:tcPr>
            <w:tcW w:w="1868" w:type="dxa"/>
          </w:tcPr>
          <w:p w14:paraId="18C8F0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6FBFE2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2F69CD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08F19F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3882BA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М15</w:t>
            </w:r>
          </w:p>
        </w:tc>
        <w:tc>
          <w:tcPr>
            <w:tcW w:w="1868" w:type="dxa"/>
          </w:tcPr>
          <w:p w14:paraId="0A3563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5E779E" w14:paraId="506C7F31" w14:textId="77777777">
        <w:tc>
          <w:tcPr>
            <w:tcW w:w="1868" w:type="dxa"/>
          </w:tcPr>
          <w:p w14:paraId="5ACC17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62C0B0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1546DB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5A5BD0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0F509B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РЦ</w:t>
            </w:r>
          </w:p>
        </w:tc>
        <w:tc>
          <w:tcPr>
            <w:tcW w:w="1868" w:type="dxa"/>
          </w:tcPr>
          <w:p w14:paraId="2269D0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5E779E" w14:paraId="57425790" w14:textId="77777777">
        <w:tc>
          <w:tcPr>
            <w:tcW w:w="1868" w:type="dxa"/>
          </w:tcPr>
          <w:p w14:paraId="6D5866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7351AB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1F1E76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6EAAE1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2CACB3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М38</w:t>
            </w:r>
          </w:p>
        </w:tc>
        <w:tc>
          <w:tcPr>
            <w:tcW w:w="1868" w:type="dxa"/>
          </w:tcPr>
          <w:p w14:paraId="786860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5E779E" w14:paraId="680D5D53" w14:textId="77777777">
        <w:tc>
          <w:tcPr>
            <w:tcW w:w="1868" w:type="dxa"/>
          </w:tcPr>
          <w:p w14:paraId="27260C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79ACE9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798D13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342369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4D94FF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М22</w:t>
            </w:r>
          </w:p>
        </w:tc>
        <w:tc>
          <w:tcPr>
            <w:tcW w:w="1868" w:type="dxa"/>
          </w:tcPr>
          <w:p w14:paraId="6810D0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5E779E" w14:paraId="3D98A442" w14:textId="77777777">
        <w:tc>
          <w:tcPr>
            <w:tcW w:w="1868" w:type="dxa"/>
          </w:tcPr>
          <w:p w14:paraId="63C223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Итого излишек воздушного охлаждения</w:t>
            </w:r>
          </w:p>
        </w:tc>
        <w:tc>
          <w:tcPr>
            <w:tcW w:w="1868" w:type="dxa"/>
          </w:tcPr>
          <w:p w14:paraId="29C970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2FDFEA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3C3F66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673EE2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728043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5E779E" w14:paraId="5870E3DD" w14:textId="77777777">
        <w:tc>
          <w:tcPr>
            <w:tcW w:w="1868" w:type="dxa"/>
          </w:tcPr>
          <w:p w14:paraId="23E258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lastRenderedPageBreak/>
              <w:t>Итого недостаток водяного охлаждения</w:t>
            </w:r>
          </w:p>
        </w:tc>
        <w:tc>
          <w:tcPr>
            <w:tcW w:w="1868" w:type="dxa"/>
          </w:tcPr>
          <w:p w14:paraId="3D7204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5A2B24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4433EF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177197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7BC53A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5E779E" w14:paraId="6C98A4AA" w14:textId="77777777">
        <w:tc>
          <w:tcPr>
            <w:tcW w:w="1868" w:type="dxa"/>
          </w:tcPr>
          <w:p w14:paraId="7DE287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Вариант 3-й</w:t>
            </w:r>
          </w:p>
        </w:tc>
        <w:tc>
          <w:tcPr>
            <w:tcW w:w="1868" w:type="dxa"/>
          </w:tcPr>
          <w:p w14:paraId="767706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4F3345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7CF889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65BC09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79D7F3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5E779E" w14:paraId="7DB02304" w14:textId="77777777">
        <w:tc>
          <w:tcPr>
            <w:tcW w:w="1868" w:type="dxa"/>
          </w:tcPr>
          <w:p w14:paraId="36F20B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 строится под мотор воздушного охлаждения (строится ТБ5-4М22, М15, РЦ, М38 вместо ТБ3-4М17, М34)</w:t>
            </w:r>
          </w:p>
        </w:tc>
        <w:tc>
          <w:tcPr>
            <w:tcW w:w="1868" w:type="dxa"/>
          </w:tcPr>
          <w:p w14:paraId="7EA6EC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М22</w:t>
            </w:r>
          </w:p>
        </w:tc>
        <w:tc>
          <w:tcPr>
            <w:tcW w:w="1868" w:type="dxa"/>
          </w:tcPr>
          <w:p w14:paraId="64D61C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051CD4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3E0375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М22</w:t>
            </w:r>
          </w:p>
        </w:tc>
        <w:tc>
          <w:tcPr>
            <w:tcW w:w="1868" w:type="dxa"/>
          </w:tcPr>
          <w:p w14:paraId="25B3CC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5E779E" w14:paraId="0E4DBF55" w14:textId="77777777">
        <w:tc>
          <w:tcPr>
            <w:tcW w:w="1868" w:type="dxa"/>
          </w:tcPr>
          <w:p w14:paraId="693C5A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B5EFE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М15</w:t>
            </w:r>
          </w:p>
        </w:tc>
        <w:tc>
          <w:tcPr>
            <w:tcW w:w="1868" w:type="dxa"/>
          </w:tcPr>
          <w:p w14:paraId="164BBA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2500</w:t>
            </w:r>
          </w:p>
        </w:tc>
        <w:tc>
          <w:tcPr>
            <w:tcW w:w="1868" w:type="dxa"/>
          </w:tcPr>
          <w:p w14:paraId="724492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4800</w:t>
            </w:r>
          </w:p>
        </w:tc>
        <w:tc>
          <w:tcPr>
            <w:tcW w:w="1868" w:type="dxa"/>
          </w:tcPr>
          <w:p w14:paraId="4BBDBF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М15</w:t>
            </w:r>
          </w:p>
        </w:tc>
        <w:tc>
          <w:tcPr>
            <w:tcW w:w="1868" w:type="dxa"/>
          </w:tcPr>
          <w:p w14:paraId="49604B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5E779E" w14:paraId="76D7372B" w14:textId="77777777">
        <w:tc>
          <w:tcPr>
            <w:tcW w:w="1868" w:type="dxa"/>
          </w:tcPr>
          <w:p w14:paraId="57B1D9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CF1D1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РЦ</w:t>
            </w:r>
          </w:p>
        </w:tc>
        <w:tc>
          <w:tcPr>
            <w:tcW w:w="1868" w:type="dxa"/>
          </w:tcPr>
          <w:p w14:paraId="43F099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003825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04F075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РЦ</w:t>
            </w:r>
          </w:p>
        </w:tc>
        <w:tc>
          <w:tcPr>
            <w:tcW w:w="1868" w:type="dxa"/>
          </w:tcPr>
          <w:p w14:paraId="17CEE2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5E779E" w14:paraId="1DEC75E7" w14:textId="77777777">
        <w:tc>
          <w:tcPr>
            <w:tcW w:w="1868" w:type="dxa"/>
          </w:tcPr>
          <w:p w14:paraId="396C59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CBC1D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М17</w:t>
            </w:r>
          </w:p>
        </w:tc>
        <w:tc>
          <w:tcPr>
            <w:tcW w:w="1868" w:type="dxa"/>
          </w:tcPr>
          <w:p w14:paraId="27BED0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6000</w:t>
            </w:r>
          </w:p>
        </w:tc>
        <w:tc>
          <w:tcPr>
            <w:tcW w:w="1868" w:type="dxa"/>
          </w:tcPr>
          <w:p w14:paraId="5E4516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1800</w:t>
            </w:r>
          </w:p>
        </w:tc>
        <w:tc>
          <w:tcPr>
            <w:tcW w:w="1868" w:type="dxa"/>
          </w:tcPr>
          <w:p w14:paraId="1B8E68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М17</w:t>
            </w:r>
          </w:p>
        </w:tc>
        <w:tc>
          <w:tcPr>
            <w:tcW w:w="1868" w:type="dxa"/>
          </w:tcPr>
          <w:p w14:paraId="415967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5E779E" w14:paraId="20845F1D" w14:textId="77777777">
        <w:tc>
          <w:tcPr>
            <w:tcW w:w="1868" w:type="dxa"/>
          </w:tcPr>
          <w:p w14:paraId="1373EF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Итого излишек воздушного охлаждения</w:t>
            </w:r>
          </w:p>
        </w:tc>
        <w:tc>
          <w:tcPr>
            <w:tcW w:w="1868" w:type="dxa"/>
          </w:tcPr>
          <w:p w14:paraId="61A54C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D8651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4EDED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4200</w:t>
            </w:r>
          </w:p>
        </w:tc>
        <w:tc>
          <w:tcPr>
            <w:tcW w:w="1868" w:type="dxa"/>
          </w:tcPr>
          <w:p w14:paraId="76AB15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C55BE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5E779E" w14:paraId="1AF2D966" w14:textId="77777777">
        <w:tc>
          <w:tcPr>
            <w:tcW w:w="1868" w:type="dxa"/>
          </w:tcPr>
          <w:p w14:paraId="1141A3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Итого недостаток водяного охлаждения</w:t>
            </w:r>
          </w:p>
        </w:tc>
        <w:tc>
          <w:tcPr>
            <w:tcW w:w="1868" w:type="dxa"/>
          </w:tcPr>
          <w:p w14:paraId="1E2334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7AA25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57145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2300</w:t>
            </w:r>
          </w:p>
        </w:tc>
        <w:tc>
          <w:tcPr>
            <w:tcW w:w="1868" w:type="dxa"/>
          </w:tcPr>
          <w:p w14:paraId="458842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75E62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5E779E" w14:paraId="289D2328" w14:textId="77777777">
        <w:tc>
          <w:tcPr>
            <w:tcW w:w="1868" w:type="dxa"/>
          </w:tcPr>
          <w:p w14:paraId="718AE3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случае совмещения 2 и 3 вариантов</w:t>
            </w:r>
          </w:p>
        </w:tc>
        <w:tc>
          <w:tcPr>
            <w:tcW w:w="1868" w:type="dxa"/>
          </w:tcPr>
          <w:p w14:paraId="785280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01966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96FC4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FD410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5869F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C31210B" w14:textId="77777777">
        <w:tc>
          <w:tcPr>
            <w:tcW w:w="1868" w:type="dxa"/>
          </w:tcPr>
          <w:p w14:paraId="2F5A83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Итого излишек воздушного охлаждения</w:t>
            </w:r>
          </w:p>
        </w:tc>
        <w:tc>
          <w:tcPr>
            <w:tcW w:w="1868" w:type="dxa"/>
          </w:tcPr>
          <w:p w14:paraId="3E8614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8DA62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CF1A1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868" w:type="dxa"/>
          </w:tcPr>
          <w:p w14:paraId="4CD2B4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A56BA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5E779E" w14:paraId="57BD9FE8" w14:textId="77777777">
        <w:tc>
          <w:tcPr>
            <w:tcW w:w="1868" w:type="dxa"/>
          </w:tcPr>
          <w:p w14:paraId="03CD94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Итого недостаток водяного охлаждения</w:t>
            </w:r>
          </w:p>
        </w:tc>
        <w:tc>
          <w:tcPr>
            <w:tcW w:w="1868" w:type="dxa"/>
          </w:tcPr>
          <w:p w14:paraId="00D5A5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F4A55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1CA6C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4200</w:t>
            </w:r>
          </w:p>
        </w:tc>
        <w:tc>
          <w:tcPr>
            <w:tcW w:w="1868" w:type="dxa"/>
          </w:tcPr>
          <w:p w14:paraId="4DBF6C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3ACD0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5E779E" w14:paraId="1EF423E7" w14:textId="77777777">
        <w:tc>
          <w:tcPr>
            <w:tcW w:w="1868" w:type="dxa"/>
          </w:tcPr>
          <w:p w14:paraId="20AC68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 недостаток воздушного охлаждения</w:t>
            </w:r>
          </w:p>
        </w:tc>
        <w:tc>
          <w:tcPr>
            <w:tcW w:w="1868" w:type="dxa"/>
          </w:tcPr>
          <w:p w14:paraId="113BE6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20FE2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6604D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868" w:type="dxa"/>
          </w:tcPr>
          <w:p w14:paraId="6798E1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F154B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5E779E" w14:paraId="0948E52B" w14:textId="77777777">
        <w:tc>
          <w:tcPr>
            <w:tcW w:w="1868" w:type="dxa"/>
          </w:tcPr>
          <w:p w14:paraId="171206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 излишек водяного охлаждения</w:t>
            </w:r>
          </w:p>
        </w:tc>
        <w:tc>
          <w:tcPr>
            <w:tcW w:w="1868" w:type="dxa"/>
          </w:tcPr>
          <w:p w14:paraId="297CE0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6BD78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DCB47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2300</w:t>
            </w:r>
          </w:p>
        </w:tc>
        <w:tc>
          <w:tcPr>
            <w:tcW w:w="1868" w:type="dxa"/>
          </w:tcPr>
          <w:p w14:paraId="1A72E0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41589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5E779E" w14:paraId="398D7B11" w14:textId="77777777">
        <w:tc>
          <w:tcPr>
            <w:tcW w:w="1868" w:type="dxa"/>
            <w:tcBorders>
              <w:bottom w:val="single" w:sz="12" w:space="0" w:color="auto"/>
            </w:tcBorders>
          </w:tcPr>
          <w:p w14:paraId="4C8C6B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w:t>
            </w:r>
          </w:p>
        </w:tc>
        <w:tc>
          <w:tcPr>
            <w:tcW w:w="5604" w:type="dxa"/>
            <w:gridSpan w:val="3"/>
            <w:tcBorders>
              <w:bottom w:val="single" w:sz="12" w:space="0" w:color="auto"/>
            </w:tcBorders>
          </w:tcPr>
          <w:p w14:paraId="41F78A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Бомбардировщики необходимо строить под водяное охлаждение (по варианту 1)</w:t>
            </w:r>
          </w:p>
        </w:tc>
        <w:tc>
          <w:tcPr>
            <w:tcW w:w="3736" w:type="dxa"/>
            <w:gridSpan w:val="2"/>
            <w:tcBorders>
              <w:bottom w:val="single" w:sz="12" w:space="0" w:color="auto"/>
            </w:tcBorders>
          </w:tcPr>
          <w:p w14:paraId="5085D6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Часть истребителей необходимо строить под воздушное и часть под водяное охлаждение</w:t>
            </w:r>
          </w:p>
        </w:tc>
      </w:tr>
    </w:tbl>
    <w:p w14:paraId="03B70E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(351)</w:t>
      </w:r>
    </w:p>
    <w:p w14:paraId="20BF76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августа 1931 подготовлена таблица:</w:t>
      </w:r>
    </w:p>
    <w:p w14:paraId="6C3FAC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Снабжение моторами серийной постройки самолетов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567"/>
        <w:gridCol w:w="708"/>
        <w:gridCol w:w="939"/>
        <w:gridCol w:w="939"/>
        <w:gridCol w:w="939"/>
        <w:gridCol w:w="939"/>
        <w:gridCol w:w="939"/>
        <w:gridCol w:w="939"/>
        <w:gridCol w:w="939"/>
        <w:gridCol w:w="939"/>
        <w:gridCol w:w="939"/>
        <w:gridCol w:w="939"/>
      </w:tblGrid>
      <w:tr w:rsidR="001002C3" w:rsidRPr="005E779E" w14:paraId="6952AEE4" w14:textId="77777777">
        <w:tc>
          <w:tcPr>
            <w:tcW w:w="534" w:type="dxa"/>
            <w:tcBorders>
              <w:top w:val="single" w:sz="12" w:space="0" w:color="auto"/>
            </w:tcBorders>
          </w:tcPr>
          <w:p w14:paraId="61B9C3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п/п</w:t>
            </w:r>
          </w:p>
        </w:tc>
        <w:tc>
          <w:tcPr>
            <w:tcW w:w="567" w:type="dxa"/>
            <w:tcBorders>
              <w:top w:val="single" w:sz="12" w:space="0" w:color="auto"/>
            </w:tcBorders>
          </w:tcPr>
          <w:p w14:paraId="2E9B3F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заводов</w:t>
            </w:r>
          </w:p>
        </w:tc>
        <w:tc>
          <w:tcPr>
            <w:tcW w:w="708" w:type="dxa"/>
            <w:tcBorders>
              <w:top w:val="single" w:sz="12" w:space="0" w:color="auto"/>
            </w:tcBorders>
          </w:tcPr>
          <w:p w14:paraId="14DC88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Род мотора</w:t>
            </w:r>
          </w:p>
        </w:tc>
        <w:tc>
          <w:tcPr>
            <w:tcW w:w="3756" w:type="dxa"/>
            <w:gridSpan w:val="4"/>
            <w:tcBorders>
              <w:top w:val="single" w:sz="12" w:space="0" w:color="auto"/>
            </w:tcBorders>
          </w:tcPr>
          <w:p w14:paraId="6B6772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1932</w:t>
            </w:r>
          </w:p>
        </w:tc>
        <w:tc>
          <w:tcPr>
            <w:tcW w:w="3756" w:type="dxa"/>
            <w:gridSpan w:val="4"/>
            <w:tcBorders>
              <w:top w:val="single" w:sz="12" w:space="0" w:color="auto"/>
            </w:tcBorders>
          </w:tcPr>
          <w:p w14:paraId="7AA862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1933</w:t>
            </w:r>
          </w:p>
        </w:tc>
        <w:tc>
          <w:tcPr>
            <w:tcW w:w="1878" w:type="dxa"/>
            <w:gridSpan w:val="2"/>
            <w:tcBorders>
              <w:top w:val="single" w:sz="12" w:space="0" w:color="auto"/>
            </w:tcBorders>
          </w:tcPr>
          <w:p w14:paraId="28D0B2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1934</w:t>
            </w:r>
          </w:p>
        </w:tc>
      </w:tr>
      <w:tr w:rsidR="001002C3" w:rsidRPr="005E779E" w14:paraId="7D7396E8" w14:textId="77777777">
        <w:tc>
          <w:tcPr>
            <w:tcW w:w="534" w:type="dxa"/>
          </w:tcPr>
          <w:p w14:paraId="240C4D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71082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F7756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034DC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Марка</w:t>
            </w:r>
          </w:p>
        </w:tc>
        <w:tc>
          <w:tcPr>
            <w:tcW w:w="939" w:type="dxa"/>
          </w:tcPr>
          <w:p w14:paraId="470188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Подача</w:t>
            </w:r>
          </w:p>
        </w:tc>
        <w:tc>
          <w:tcPr>
            <w:tcW w:w="939" w:type="dxa"/>
          </w:tcPr>
          <w:p w14:paraId="20DA7E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Потребн.</w:t>
            </w:r>
          </w:p>
        </w:tc>
        <w:tc>
          <w:tcPr>
            <w:tcW w:w="939" w:type="dxa"/>
          </w:tcPr>
          <w:p w14:paraId="79321A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Примечание</w:t>
            </w:r>
          </w:p>
        </w:tc>
        <w:tc>
          <w:tcPr>
            <w:tcW w:w="939" w:type="dxa"/>
          </w:tcPr>
          <w:p w14:paraId="122901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Марка</w:t>
            </w:r>
          </w:p>
        </w:tc>
        <w:tc>
          <w:tcPr>
            <w:tcW w:w="939" w:type="dxa"/>
          </w:tcPr>
          <w:p w14:paraId="4A37D8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Подача</w:t>
            </w:r>
          </w:p>
        </w:tc>
        <w:tc>
          <w:tcPr>
            <w:tcW w:w="939" w:type="dxa"/>
          </w:tcPr>
          <w:p w14:paraId="5B790F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Потребн.</w:t>
            </w:r>
          </w:p>
        </w:tc>
        <w:tc>
          <w:tcPr>
            <w:tcW w:w="939" w:type="dxa"/>
          </w:tcPr>
          <w:p w14:paraId="4E4BBE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Примечание</w:t>
            </w:r>
          </w:p>
        </w:tc>
        <w:tc>
          <w:tcPr>
            <w:tcW w:w="939" w:type="dxa"/>
          </w:tcPr>
          <w:p w14:paraId="4AD55F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Марка</w:t>
            </w:r>
          </w:p>
        </w:tc>
        <w:tc>
          <w:tcPr>
            <w:tcW w:w="939" w:type="dxa"/>
          </w:tcPr>
          <w:p w14:paraId="76B0F3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Подача</w:t>
            </w:r>
          </w:p>
        </w:tc>
      </w:tr>
      <w:tr w:rsidR="001002C3" w:rsidRPr="005E779E" w14:paraId="76AADD77" w14:textId="77777777">
        <w:tc>
          <w:tcPr>
            <w:tcW w:w="534" w:type="dxa"/>
          </w:tcPr>
          <w:p w14:paraId="567147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567" w:type="dxa"/>
          </w:tcPr>
          <w:p w14:paraId="52DF57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w:t>
            </w:r>
          </w:p>
        </w:tc>
        <w:tc>
          <w:tcPr>
            <w:tcW w:w="708" w:type="dxa"/>
          </w:tcPr>
          <w:p w14:paraId="5D2BF4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Возд. Охл.</w:t>
            </w:r>
          </w:p>
        </w:tc>
        <w:tc>
          <w:tcPr>
            <w:tcW w:w="939" w:type="dxa"/>
          </w:tcPr>
          <w:p w14:paraId="7A4560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М11</w:t>
            </w:r>
          </w:p>
        </w:tc>
        <w:tc>
          <w:tcPr>
            <w:tcW w:w="939" w:type="dxa"/>
          </w:tcPr>
          <w:p w14:paraId="52945C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640</w:t>
            </w:r>
          </w:p>
        </w:tc>
        <w:tc>
          <w:tcPr>
            <w:tcW w:w="939" w:type="dxa"/>
          </w:tcPr>
          <w:p w14:paraId="20B53A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38F94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63C48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М11</w:t>
            </w:r>
          </w:p>
        </w:tc>
        <w:tc>
          <w:tcPr>
            <w:tcW w:w="939" w:type="dxa"/>
          </w:tcPr>
          <w:p w14:paraId="21AA82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2000</w:t>
            </w:r>
          </w:p>
        </w:tc>
        <w:tc>
          <w:tcPr>
            <w:tcW w:w="939" w:type="dxa"/>
          </w:tcPr>
          <w:p w14:paraId="2567D3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2400</w:t>
            </w:r>
          </w:p>
        </w:tc>
        <w:tc>
          <w:tcPr>
            <w:tcW w:w="939" w:type="dxa"/>
          </w:tcPr>
          <w:p w14:paraId="1B2018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Запас в потр. 100%</w:t>
            </w:r>
          </w:p>
        </w:tc>
        <w:tc>
          <w:tcPr>
            <w:tcW w:w="939" w:type="dxa"/>
          </w:tcPr>
          <w:p w14:paraId="395D1B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939" w:type="dxa"/>
          </w:tcPr>
          <w:p w14:paraId="43E657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7654FDE" w14:textId="77777777">
        <w:tc>
          <w:tcPr>
            <w:tcW w:w="534" w:type="dxa"/>
          </w:tcPr>
          <w:p w14:paraId="13FF1E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D30FA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B1213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F7BCE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М22</w:t>
            </w:r>
          </w:p>
        </w:tc>
        <w:tc>
          <w:tcPr>
            <w:tcW w:w="939" w:type="dxa"/>
          </w:tcPr>
          <w:p w14:paraId="6BAF3B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1720</w:t>
            </w:r>
          </w:p>
        </w:tc>
        <w:tc>
          <w:tcPr>
            <w:tcW w:w="939" w:type="dxa"/>
          </w:tcPr>
          <w:p w14:paraId="3C9905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586F6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59FED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М22</w:t>
            </w:r>
          </w:p>
        </w:tc>
        <w:tc>
          <w:tcPr>
            <w:tcW w:w="939" w:type="dxa"/>
          </w:tcPr>
          <w:p w14:paraId="5356D6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2000</w:t>
            </w:r>
          </w:p>
        </w:tc>
        <w:tc>
          <w:tcPr>
            <w:tcW w:w="939" w:type="dxa"/>
          </w:tcPr>
          <w:p w14:paraId="458236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2900</w:t>
            </w:r>
          </w:p>
        </w:tc>
        <w:tc>
          <w:tcPr>
            <w:tcW w:w="939" w:type="dxa"/>
          </w:tcPr>
          <w:p w14:paraId="2F69D6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 хватает</w:t>
            </w:r>
          </w:p>
        </w:tc>
        <w:tc>
          <w:tcPr>
            <w:tcW w:w="939" w:type="dxa"/>
          </w:tcPr>
          <w:p w14:paraId="0A5CA4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М22</w:t>
            </w:r>
          </w:p>
        </w:tc>
        <w:tc>
          <w:tcPr>
            <w:tcW w:w="939" w:type="dxa"/>
          </w:tcPr>
          <w:p w14:paraId="1F2848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4000</w:t>
            </w:r>
          </w:p>
        </w:tc>
      </w:tr>
      <w:tr w:rsidR="001002C3" w:rsidRPr="005E779E" w14:paraId="6A097196" w14:textId="77777777">
        <w:tc>
          <w:tcPr>
            <w:tcW w:w="534" w:type="dxa"/>
          </w:tcPr>
          <w:p w14:paraId="34B5E4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11DD8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105DC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8EC6F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1885C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758A5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ECE35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7EB8F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2F35F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DA282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E6E43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72827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М33</w:t>
            </w:r>
          </w:p>
        </w:tc>
        <w:tc>
          <w:tcPr>
            <w:tcW w:w="939" w:type="dxa"/>
          </w:tcPr>
          <w:p w14:paraId="2A8FCF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1500</w:t>
            </w:r>
          </w:p>
        </w:tc>
      </w:tr>
      <w:tr w:rsidR="001002C3" w:rsidRPr="005E779E" w14:paraId="1BEFB9DE" w14:textId="77777777">
        <w:tc>
          <w:tcPr>
            <w:tcW w:w="534" w:type="dxa"/>
          </w:tcPr>
          <w:p w14:paraId="075770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08271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74647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E32D3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w:t>
            </w:r>
          </w:p>
        </w:tc>
        <w:tc>
          <w:tcPr>
            <w:tcW w:w="939" w:type="dxa"/>
          </w:tcPr>
          <w:p w14:paraId="4EDDE8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2360</w:t>
            </w:r>
          </w:p>
        </w:tc>
        <w:tc>
          <w:tcPr>
            <w:tcW w:w="939" w:type="dxa"/>
          </w:tcPr>
          <w:p w14:paraId="323247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DF938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D02D6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0F906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4000</w:t>
            </w:r>
          </w:p>
        </w:tc>
        <w:tc>
          <w:tcPr>
            <w:tcW w:w="939" w:type="dxa"/>
          </w:tcPr>
          <w:p w14:paraId="0C69AB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CDD00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574F7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34C29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5500</w:t>
            </w:r>
          </w:p>
        </w:tc>
      </w:tr>
      <w:tr w:rsidR="001002C3" w:rsidRPr="005E779E" w14:paraId="2AD5E1F2" w14:textId="77777777">
        <w:tc>
          <w:tcPr>
            <w:tcW w:w="534" w:type="dxa"/>
          </w:tcPr>
          <w:p w14:paraId="56BA29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567" w:type="dxa"/>
          </w:tcPr>
          <w:p w14:paraId="3ECF73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w:t>
            </w:r>
          </w:p>
        </w:tc>
        <w:tc>
          <w:tcPr>
            <w:tcW w:w="708" w:type="dxa"/>
          </w:tcPr>
          <w:p w14:paraId="379DFA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Возд. Охл.</w:t>
            </w:r>
          </w:p>
        </w:tc>
        <w:tc>
          <w:tcPr>
            <w:tcW w:w="939" w:type="dxa"/>
          </w:tcPr>
          <w:p w14:paraId="42AE1F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CF44C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31E2D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7CB64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0E5BD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М15</w:t>
            </w:r>
          </w:p>
        </w:tc>
        <w:tc>
          <w:tcPr>
            <w:tcW w:w="939" w:type="dxa"/>
          </w:tcPr>
          <w:p w14:paraId="489EBD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w:t>
            </w:r>
          </w:p>
        </w:tc>
        <w:tc>
          <w:tcPr>
            <w:tcW w:w="939" w:type="dxa"/>
          </w:tcPr>
          <w:p w14:paraId="0CCF34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700</w:t>
            </w:r>
          </w:p>
        </w:tc>
        <w:tc>
          <w:tcPr>
            <w:tcW w:w="939" w:type="dxa"/>
          </w:tcPr>
          <w:p w14:paraId="0430A7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99A82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М15</w:t>
            </w:r>
          </w:p>
        </w:tc>
        <w:tc>
          <w:tcPr>
            <w:tcW w:w="939" w:type="dxa"/>
          </w:tcPr>
          <w:p w14:paraId="17942E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2250</w:t>
            </w:r>
          </w:p>
        </w:tc>
      </w:tr>
      <w:tr w:rsidR="001002C3" w:rsidRPr="005E779E" w14:paraId="12D545C4" w14:textId="77777777">
        <w:tc>
          <w:tcPr>
            <w:tcW w:w="534" w:type="dxa"/>
          </w:tcPr>
          <w:p w14:paraId="6A49D3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D4BBB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D75E9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F92D6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F3478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B02A4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F6CA6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63F2F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М26</w:t>
            </w:r>
          </w:p>
        </w:tc>
        <w:tc>
          <w:tcPr>
            <w:tcW w:w="939" w:type="dxa"/>
          </w:tcPr>
          <w:p w14:paraId="110CCE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1500</w:t>
            </w:r>
          </w:p>
        </w:tc>
        <w:tc>
          <w:tcPr>
            <w:tcW w:w="939" w:type="dxa"/>
          </w:tcPr>
          <w:p w14:paraId="3366A8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1800</w:t>
            </w:r>
          </w:p>
        </w:tc>
        <w:tc>
          <w:tcPr>
            <w:tcW w:w="939" w:type="dxa"/>
          </w:tcPr>
          <w:p w14:paraId="045088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08E58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М26</w:t>
            </w:r>
          </w:p>
        </w:tc>
        <w:tc>
          <w:tcPr>
            <w:tcW w:w="939" w:type="dxa"/>
          </w:tcPr>
          <w:p w14:paraId="0FE302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2250</w:t>
            </w:r>
          </w:p>
        </w:tc>
      </w:tr>
      <w:tr w:rsidR="001002C3" w:rsidRPr="005E779E" w14:paraId="4EAF8A30" w14:textId="77777777">
        <w:tc>
          <w:tcPr>
            <w:tcW w:w="534" w:type="dxa"/>
          </w:tcPr>
          <w:p w14:paraId="1AE236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3487B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EC29B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ACF90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w:t>
            </w:r>
          </w:p>
        </w:tc>
        <w:tc>
          <w:tcPr>
            <w:tcW w:w="939" w:type="dxa"/>
          </w:tcPr>
          <w:p w14:paraId="17E1F5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285FF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9B25A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A5028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040E5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2000</w:t>
            </w:r>
          </w:p>
        </w:tc>
        <w:tc>
          <w:tcPr>
            <w:tcW w:w="939" w:type="dxa"/>
          </w:tcPr>
          <w:p w14:paraId="54B8C6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FA667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DDF10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18B79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4500</w:t>
            </w:r>
          </w:p>
        </w:tc>
      </w:tr>
      <w:tr w:rsidR="001002C3" w:rsidRPr="005E779E" w14:paraId="5583BEC3" w14:textId="77777777">
        <w:tc>
          <w:tcPr>
            <w:tcW w:w="534" w:type="dxa"/>
          </w:tcPr>
          <w:p w14:paraId="3F5542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tc>
        <w:tc>
          <w:tcPr>
            <w:tcW w:w="567" w:type="dxa"/>
          </w:tcPr>
          <w:p w14:paraId="44E729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Новый</w:t>
            </w:r>
          </w:p>
        </w:tc>
        <w:tc>
          <w:tcPr>
            <w:tcW w:w="708" w:type="dxa"/>
          </w:tcPr>
          <w:p w14:paraId="7338FD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Возд. Охл.</w:t>
            </w:r>
          </w:p>
        </w:tc>
        <w:tc>
          <w:tcPr>
            <w:tcW w:w="939" w:type="dxa"/>
          </w:tcPr>
          <w:p w14:paraId="6C648F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8E4C3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B2B3D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4D92F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B100D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1DA64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25C46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91242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C9240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1CFA1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2200</w:t>
            </w:r>
          </w:p>
        </w:tc>
      </w:tr>
      <w:tr w:rsidR="001002C3" w:rsidRPr="005E779E" w14:paraId="35F61939" w14:textId="77777777">
        <w:tc>
          <w:tcPr>
            <w:tcW w:w="534" w:type="dxa"/>
          </w:tcPr>
          <w:p w14:paraId="3A3A2B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4A31C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08636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7D449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623A0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FCC2F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74B38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BB071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AFA69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39F2C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C8CD8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263E9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DF39D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w:t>
            </w:r>
          </w:p>
        </w:tc>
      </w:tr>
      <w:tr w:rsidR="001002C3" w:rsidRPr="005E779E" w14:paraId="50E6D27F" w14:textId="77777777">
        <w:tc>
          <w:tcPr>
            <w:tcW w:w="534" w:type="dxa"/>
          </w:tcPr>
          <w:p w14:paraId="3D326B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26299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B970F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D41F6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w:t>
            </w:r>
          </w:p>
        </w:tc>
        <w:tc>
          <w:tcPr>
            <w:tcW w:w="939" w:type="dxa"/>
          </w:tcPr>
          <w:p w14:paraId="4697C0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6CDBA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D7E0A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77169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4F7F6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7AF6F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055C2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505B8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79101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2700</w:t>
            </w:r>
          </w:p>
        </w:tc>
      </w:tr>
      <w:tr w:rsidR="001002C3" w:rsidRPr="005E779E" w14:paraId="175EF9BA" w14:textId="77777777">
        <w:tc>
          <w:tcPr>
            <w:tcW w:w="534" w:type="dxa"/>
          </w:tcPr>
          <w:p w14:paraId="42261F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BA5FC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9C877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AA347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 моторов воздушного охл.</w:t>
            </w:r>
          </w:p>
        </w:tc>
        <w:tc>
          <w:tcPr>
            <w:tcW w:w="939" w:type="dxa"/>
          </w:tcPr>
          <w:p w14:paraId="44E930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10072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9325A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BD7DB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301BD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6000</w:t>
            </w:r>
          </w:p>
        </w:tc>
        <w:tc>
          <w:tcPr>
            <w:tcW w:w="939" w:type="dxa"/>
          </w:tcPr>
          <w:p w14:paraId="44BC71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78000</w:t>
            </w:r>
          </w:p>
        </w:tc>
        <w:tc>
          <w:tcPr>
            <w:tcW w:w="939" w:type="dxa"/>
          </w:tcPr>
          <w:p w14:paraId="0C6201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6DC49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C0503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12700</w:t>
            </w:r>
          </w:p>
        </w:tc>
      </w:tr>
      <w:tr w:rsidR="001002C3" w:rsidRPr="005E779E" w14:paraId="7CAFFE8B" w14:textId="77777777">
        <w:tc>
          <w:tcPr>
            <w:tcW w:w="534" w:type="dxa"/>
          </w:tcPr>
          <w:p w14:paraId="319F20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w:t>
            </w:r>
          </w:p>
        </w:tc>
        <w:tc>
          <w:tcPr>
            <w:tcW w:w="567" w:type="dxa"/>
          </w:tcPr>
          <w:p w14:paraId="40B35B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w:t>
            </w:r>
          </w:p>
        </w:tc>
        <w:tc>
          <w:tcPr>
            <w:tcW w:w="708" w:type="dxa"/>
          </w:tcPr>
          <w:p w14:paraId="3BCE66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Водяного охл.</w:t>
            </w:r>
          </w:p>
        </w:tc>
        <w:tc>
          <w:tcPr>
            <w:tcW w:w="939" w:type="dxa"/>
          </w:tcPr>
          <w:p w14:paraId="783C86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М17</w:t>
            </w:r>
          </w:p>
        </w:tc>
        <w:tc>
          <w:tcPr>
            <w:tcW w:w="939" w:type="dxa"/>
          </w:tcPr>
          <w:p w14:paraId="44FAA5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939" w:type="dxa"/>
          </w:tcPr>
          <w:p w14:paraId="5EACF1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BB9A3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BD383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М17</w:t>
            </w:r>
          </w:p>
        </w:tc>
        <w:tc>
          <w:tcPr>
            <w:tcW w:w="939" w:type="dxa"/>
          </w:tcPr>
          <w:p w14:paraId="4C57B1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6000</w:t>
            </w:r>
          </w:p>
        </w:tc>
        <w:tc>
          <w:tcPr>
            <w:tcW w:w="939" w:type="dxa"/>
          </w:tcPr>
          <w:p w14:paraId="5B4F35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939" w:type="dxa"/>
          </w:tcPr>
          <w:p w14:paraId="08D148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Резерв и запчасти</w:t>
            </w:r>
          </w:p>
        </w:tc>
        <w:tc>
          <w:tcPr>
            <w:tcW w:w="939" w:type="dxa"/>
          </w:tcPr>
          <w:p w14:paraId="5FDE11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М17</w:t>
            </w:r>
          </w:p>
        </w:tc>
        <w:tc>
          <w:tcPr>
            <w:tcW w:w="939" w:type="dxa"/>
          </w:tcPr>
          <w:p w14:paraId="654AAB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r>
      <w:tr w:rsidR="001002C3" w:rsidRPr="005E779E" w14:paraId="5CE549A5" w14:textId="77777777">
        <w:tc>
          <w:tcPr>
            <w:tcW w:w="534" w:type="dxa"/>
          </w:tcPr>
          <w:p w14:paraId="06C522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3D1A9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D4DAC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7DDF2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8AFC4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A1AC6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03BEA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58F62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8B5FD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8BFF6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77023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3FEBF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F0C7B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w:t>
            </w:r>
          </w:p>
        </w:tc>
      </w:tr>
      <w:tr w:rsidR="001002C3" w:rsidRPr="005E779E" w14:paraId="5F94D63C" w14:textId="77777777">
        <w:tc>
          <w:tcPr>
            <w:tcW w:w="534" w:type="dxa"/>
          </w:tcPr>
          <w:p w14:paraId="634714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8F909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4DD27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344AC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w:t>
            </w:r>
          </w:p>
        </w:tc>
        <w:tc>
          <w:tcPr>
            <w:tcW w:w="939" w:type="dxa"/>
          </w:tcPr>
          <w:p w14:paraId="2CAC42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939" w:type="dxa"/>
          </w:tcPr>
          <w:p w14:paraId="678B2F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19ACB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A8237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09FBC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6000</w:t>
            </w:r>
          </w:p>
        </w:tc>
        <w:tc>
          <w:tcPr>
            <w:tcW w:w="939" w:type="dxa"/>
          </w:tcPr>
          <w:p w14:paraId="4B1F7C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20A7B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72EFB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08313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6000</w:t>
            </w:r>
          </w:p>
        </w:tc>
      </w:tr>
      <w:tr w:rsidR="001002C3" w:rsidRPr="005E779E" w14:paraId="1288CE5B" w14:textId="77777777">
        <w:tc>
          <w:tcPr>
            <w:tcW w:w="534" w:type="dxa"/>
          </w:tcPr>
          <w:p w14:paraId="6BEBB8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w:t>
            </w:r>
          </w:p>
        </w:tc>
        <w:tc>
          <w:tcPr>
            <w:tcW w:w="567" w:type="dxa"/>
          </w:tcPr>
          <w:p w14:paraId="4D0B44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w:t>
            </w:r>
          </w:p>
        </w:tc>
        <w:tc>
          <w:tcPr>
            <w:tcW w:w="708" w:type="dxa"/>
          </w:tcPr>
          <w:p w14:paraId="443CE4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Водяного охл.</w:t>
            </w:r>
          </w:p>
        </w:tc>
        <w:tc>
          <w:tcPr>
            <w:tcW w:w="939" w:type="dxa"/>
          </w:tcPr>
          <w:p w14:paraId="6F0F6D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М15</w:t>
            </w:r>
          </w:p>
        </w:tc>
        <w:tc>
          <w:tcPr>
            <w:tcW w:w="939" w:type="dxa"/>
          </w:tcPr>
          <w:p w14:paraId="3DE9FB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46282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24353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BF72C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48514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07781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3B686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C48BB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D4B73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7301F07" w14:textId="77777777">
        <w:tc>
          <w:tcPr>
            <w:tcW w:w="534" w:type="dxa"/>
          </w:tcPr>
          <w:p w14:paraId="256121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A4A08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53D07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15E74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М26</w:t>
            </w:r>
          </w:p>
        </w:tc>
        <w:tc>
          <w:tcPr>
            <w:tcW w:w="939" w:type="dxa"/>
          </w:tcPr>
          <w:p w14:paraId="0F976F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F9FDA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298DA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D0776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24A9E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3BA48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C8315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BEB03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20439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CAE148E" w14:textId="77777777">
        <w:tc>
          <w:tcPr>
            <w:tcW w:w="534" w:type="dxa"/>
          </w:tcPr>
          <w:p w14:paraId="0C2344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FF9AF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8C267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51AD9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М27</w:t>
            </w:r>
          </w:p>
        </w:tc>
        <w:tc>
          <w:tcPr>
            <w:tcW w:w="939" w:type="dxa"/>
          </w:tcPr>
          <w:p w14:paraId="720C5A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F07A7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3C429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76E05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2D367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326A9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D3543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F58F3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28829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CE908F4" w14:textId="77777777">
        <w:tc>
          <w:tcPr>
            <w:tcW w:w="534" w:type="dxa"/>
          </w:tcPr>
          <w:p w14:paraId="3D5776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F72DA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436F4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B5F91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М34</w:t>
            </w:r>
          </w:p>
        </w:tc>
        <w:tc>
          <w:tcPr>
            <w:tcW w:w="939" w:type="dxa"/>
          </w:tcPr>
          <w:p w14:paraId="7C57EE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45EF5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9EB69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7398B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М34</w:t>
            </w:r>
          </w:p>
        </w:tc>
        <w:tc>
          <w:tcPr>
            <w:tcW w:w="939" w:type="dxa"/>
          </w:tcPr>
          <w:p w14:paraId="35B3A5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4000</w:t>
            </w:r>
          </w:p>
        </w:tc>
        <w:tc>
          <w:tcPr>
            <w:tcW w:w="939" w:type="dxa"/>
          </w:tcPr>
          <w:p w14:paraId="47CE30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4175</w:t>
            </w:r>
          </w:p>
        </w:tc>
        <w:tc>
          <w:tcPr>
            <w:tcW w:w="939" w:type="dxa"/>
          </w:tcPr>
          <w:p w14:paraId="4C281C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недостаток замещается М17</w:t>
            </w:r>
          </w:p>
        </w:tc>
        <w:tc>
          <w:tcPr>
            <w:tcW w:w="939" w:type="dxa"/>
          </w:tcPr>
          <w:p w14:paraId="39D1D8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2644C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9000</w:t>
            </w:r>
          </w:p>
        </w:tc>
      </w:tr>
      <w:tr w:rsidR="001002C3" w:rsidRPr="005E779E" w14:paraId="00636C4D" w14:textId="77777777">
        <w:tc>
          <w:tcPr>
            <w:tcW w:w="534" w:type="dxa"/>
          </w:tcPr>
          <w:p w14:paraId="33094A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w:t>
            </w:r>
          </w:p>
        </w:tc>
        <w:tc>
          <w:tcPr>
            <w:tcW w:w="567" w:type="dxa"/>
          </w:tcPr>
          <w:p w14:paraId="066C18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Новый</w:t>
            </w:r>
          </w:p>
        </w:tc>
        <w:tc>
          <w:tcPr>
            <w:tcW w:w="708" w:type="dxa"/>
          </w:tcPr>
          <w:p w14:paraId="7C01CA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Водяного охл.</w:t>
            </w:r>
          </w:p>
        </w:tc>
        <w:tc>
          <w:tcPr>
            <w:tcW w:w="939" w:type="dxa"/>
          </w:tcPr>
          <w:p w14:paraId="6BC9D9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9A1E8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36C5F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F95D4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212A8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0EA32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3A504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CB832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1765C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4D0FC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9CBE52D" w14:textId="77777777">
        <w:tc>
          <w:tcPr>
            <w:tcW w:w="534" w:type="dxa"/>
          </w:tcPr>
          <w:p w14:paraId="013E82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61093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4FA6E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67FE2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 моторов водяного охлажд.</w:t>
            </w:r>
          </w:p>
        </w:tc>
        <w:tc>
          <w:tcPr>
            <w:tcW w:w="939" w:type="dxa"/>
          </w:tcPr>
          <w:p w14:paraId="132EBF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36ED6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E1C56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03B66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1CB5C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10000</w:t>
            </w:r>
          </w:p>
        </w:tc>
        <w:tc>
          <w:tcPr>
            <w:tcW w:w="939" w:type="dxa"/>
          </w:tcPr>
          <w:p w14:paraId="219871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7175</w:t>
            </w:r>
          </w:p>
        </w:tc>
        <w:tc>
          <w:tcPr>
            <w:tcW w:w="939" w:type="dxa"/>
          </w:tcPr>
          <w:p w14:paraId="703462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4BE01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85AAD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15000</w:t>
            </w:r>
          </w:p>
        </w:tc>
      </w:tr>
      <w:tr w:rsidR="001002C3" w:rsidRPr="005E779E" w14:paraId="63DDA80C" w14:textId="77777777">
        <w:tc>
          <w:tcPr>
            <w:tcW w:w="534" w:type="dxa"/>
            <w:tcBorders>
              <w:bottom w:val="single" w:sz="12" w:space="0" w:color="auto"/>
            </w:tcBorders>
          </w:tcPr>
          <w:p w14:paraId="5E23C1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1CC4D5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Borders>
              <w:bottom w:val="single" w:sz="12" w:space="0" w:color="auto"/>
            </w:tcBorders>
          </w:tcPr>
          <w:p w14:paraId="4637C2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bottom w:val="single" w:sz="12" w:space="0" w:color="auto"/>
            </w:tcBorders>
          </w:tcPr>
          <w:p w14:paraId="6435B4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 всех моторов</w:t>
            </w:r>
          </w:p>
        </w:tc>
        <w:tc>
          <w:tcPr>
            <w:tcW w:w="939" w:type="dxa"/>
            <w:tcBorders>
              <w:bottom w:val="single" w:sz="12" w:space="0" w:color="auto"/>
            </w:tcBorders>
          </w:tcPr>
          <w:p w14:paraId="7B680F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bottom w:val="single" w:sz="12" w:space="0" w:color="auto"/>
            </w:tcBorders>
          </w:tcPr>
          <w:p w14:paraId="621DCD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bottom w:val="single" w:sz="12" w:space="0" w:color="auto"/>
            </w:tcBorders>
          </w:tcPr>
          <w:p w14:paraId="2C741E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bottom w:val="single" w:sz="12" w:space="0" w:color="auto"/>
            </w:tcBorders>
          </w:tcPr>
          <w:p w14:paraId="7DB698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bottom w:val="single" w:sz="12" w:space="0" w:color="auto"/>
            </w:tcBorders>
          </w:tcPr>
          <w:p w14:paraId="60F93C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16000</w:t>
            </w:r>
          </w:p>
        </w:tc>
        <w:tc>
          <w:tcPr>
            <w:tcW w:w="939" w:type="dxa"/>
            <w:tcBorders>
              <w:bottom w:val="single" w:sz="12" w:space="0" w:color="auto"/>
            </w:tcBorders>
          </w:tcPr>
          <w:p w14:paraId="548898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14975</w:t>
            </w:r>
          </w:p>
        </w:tc>
        <w:tc>
          <w:tcPr>
            <w:tcW w:w="939" w:type="dxa"/>
            <w:tcBorders>
              <w:bottom w:val="single" w:sz="12" w:space="0" w:color="auto"/>
            </w:tcBorders>
          </w:tcPr>
          <w:p w14:paraId="1756C8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bottom w:val="single" w:sz="12" w:space="0" w:color="auto"/>
            </w:tcBorders>
          </w:tcPr>
          <w:p w14:paraId="7760FA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bottom w:val="single" w:sz="12" w:space="0" w:color="auto"/>
            </w:tcBorders>
          </w:tcPr>
          <w:p w14:paraId="5E8308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27700</w:t>
            </w:r>
          </w:p>
        </w:tc>
      </w:tr>
    </w:tbl>
    <w:p w14:paraId="4984BE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Примечание: 1/ в графе потребность принят запас по учебным из числа выпускаемых</w:t>
      </w:r>
    </w:p>
    <w:p w14:paraId="0485B0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Таблица расчитана на 1-й вариант строительства</w:t>
      </w:r>
    </w:p>
    <w:p w14:paraId="17CCE8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Программа получения моторов, необходимых ОКБ (351).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1819"/>
        <w:gridCol w:w="466"/>
        <w:gridCol w:w="466"/>
        <w:gridCol w:w="466"/>
        <w:gridCol w:w="466"/>
        <w:gridCol w:w="466"/>
        <w:gridCol w:w="466"/>
        <w:gridCol w:w="466"/>
        <w:gridCol w:w="466"/>
        <w:gridCol w:w="466"/>
        <w:gridCol w:w="466"/>
        <w:gridCol w:w="466"/>
        <w:gridCol w:w="466"/>
        <w:gridCol w:w="466"/>
        <w:gridCol w:w="466"/>
        <w:gridCol w:w="466"/>
        <w:gridCol w:w="466"/>
        <w:gridCol w:w="466"/>
        <w:gridCol w:w="466"/>
        <w:gridCol w:w="466"/>
      </w:tblGrid>
      <w:tr w:rsidR="001002C3" w:rsidRPr="005E779E" w14:paraId="223E6F0F" w14:textId="77777777">
        <w:tc>
          <w:tcPr>
            <w:tcW w:w="534" w:type="dxa"/>
            <w:tcBorders>
              <w:top w:val="single" w:sz="12" w:space="0" w:color="auto"/>
            </w:tcBorders>
          </w:tcPr>
          <w:p w14:paraId="2AFCD6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п/п</w:t>
            </w:r>
          </w:p>
        </w:tc>
        <w:tc>
          <w:tcPr>
            <w:tcW w:w="1819" w:type="dxa"/>
            <w:tcBorders>
              <w:top w:val="single" w:sz="12" w:space="0" w:color="auto"/>
            </w:tcBorders>
          </w:tcPr>
          <w:p w14:paraId="40B1EB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Тип мотора</w:t>
            </w:r>
          </w:p>
        </w:tc>
        <w:tc>
          <w:tcPr>
            <w:tcW w:w="2796" w:type="dxa"/>
            <w:gridSpan w:val="6"/>
            <w:tcBorders>
              <w:top w:val="single" w:sz="12" w:space="0" w:color="auto"/>
            </w:tcBorders>
          </w:tcPr>
          <w:p w14:paraId="04AADF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w:t>
            </w:r>
          </w:p>
        </w:tc>
        <w:tc>
          <w:tcPr>
            <w:tcW w:w="6058" w:type="dxa"/>
            <w:gridSpan w:val="13"/>
            <w:tcBorders>
              <w:top w:val="single" w:sz="12" w:space="0" w:color="auto"/>
            </w:tcBorders>
          </w:tcPr>
          <w:p w14:paraId="2A3DDC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1932</w:t>
            </w:r>
          </w:p>
        </w:tc>
      </w:tr>
      <w:tr w:rsidR="001002C3" w:rsidRPr="005E779E" w14:paraId="203DD405" w14:textId="77777777">
        <w:tc>
          <w:tcPr>
            <w:tcW w:w="534" w:type="dxa"/>
          </w:tcPr>
          <w:p w14:paraId="503759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19" w:type="dxa"/>
          </w:tcPr>
          <w:p w14:paraId="765F65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4D0E7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w:t>
            </w:r>
          </w:p>
        </w:tc>
        <w:tc>
          <w:tcPr>
            <w:tcW w:w="466" w:type="dxa"/>
          </w:tcPr>
          <w:p w14:paraId="1D3DA4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w:t>
            </w:r>
          </w:p>
        </w:tc>
        <w:tc>
          <w:tcPr>
            <w:tcW w:w="466" w:type="dxa"/>
          </w:tcPr>
          <w:p w14:paraId="60ED47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w:t>
            </w:r>
          </w:p>
        </w:tc>
        <w:tc>
          <w:tcPr>
            <w:tcW w:w="466" w:type="dxa"/>
          </w:tcPr>
          <w:p w14:paraId="09D462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w:t>
            </w:r>
          </w:p>
        </w:tc>
        <w:tc>
          <w:tcPr>
            <w:tcW w:w="466" w:type="dxa"/>
          </w:tcPr>
          <w:p w14:paraId="33D5D3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w:t>
            </w:r>
          </w:p>
        </w:tc>
        <w:tc>
          <w:tcPr>
            <w:tcW w:w="466" w:type="dxa"/>
          </w:tcPr>
          <w:p w14:paraId="2D2A4C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w:t>
            </w:r>
          </w:p>
        </w:tc>
        <w:tc>
          <w:tcPr>
            <w:tcW w:w="466" w:type="dxa"/>
          </w:tcPr>
          <w:p w14:paraId="4ABB9C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466" w:type="dxa"/>
          </w:tcPr>
          <w:p w14:paraId="1A7FDE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466" w:type="dxa"/>
          </w:tcPr>
          <w:p w14:paraId="368C98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tc>
        <w:tc>
          <w:tcPr>
            <w:tcW w:w="466" w:type="dxa"/>
          </w:tcPr>
          <w:p w14:paraId="4AC775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w:t>
            </w:r>
          </w:p>
        </w:tc>
        <w:tc>
          <w:tcPr>
            <w:tcW w:w="466" w:type="dxa"/>
          </w:tcPr>
          <w:p w14:paraId="60F3D8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w:t>
            </w:r>
          </w:p>
        </w:tc>
        <w:tc>
          <w:tcPr>
            <w:tcW w:w="466" w:type="dxa"/>
          </w:tcPr>
          <w:p w14:paraId="05B5B8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w:t>
            </w:r>
          </w:p>
        </w:tc>
        <w:tc>
          <w:tcPr>
            <w:tcW w:w="466" w:type="dxa"/>
          </w:tcPr>
          <w:p w14:paraId="276E58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w:t>
            </w:r>
          </w:p>
        </w:tc>
        <w:tc>
          <w:tcPr>
            <w:tcW w:w="466" w:type="dxa"/>
          </w:tcPr>
          <w:p w14:paraId="4F3D27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w:t>
            </w:r>
          </w:p>
        </w:tc>
        <w:tc>
          <w:tcPr>
            <w:tcW w:w="466" w:type="dxa"/>
          </w:tcPr>
          <w:p w14:paraId="781DA0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w:t>
            </w:r>
          </w:p>
        </w:tc>
        <w:tc>
          <w:tcPr>
            <w:tcW w:w="466" w:type="dxa"/>
          </w:tcPr>
          <w:p w14:paraId="23A4AD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w:t>
            </w:r>
          </w:p>
        </w:tc>
        <w:tc>
          <w:tcPr>
            <w:tcW w:w="466" w:type="dxa"/>
          </w:tcPr>
          <w:p w14:paraId="7F9604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w:t>
            </w:r>
          </w:p>
        </w:tc>
        <w:tc>
          <w:tcPr>
            <w:tcW w:w="466" w:type="dxa"/>
          </w:tcPr>
          <w:p w14:paraId="392A18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w:t>
            </w:r>
          </w:p>
        </w:tc>
        <w:tc>
          <w:tcPr>
            <w:tcW w:w="466" w:type="dxa"/>
          </w:tcPr>
          <w:p w14:paraId="1EFE63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w:t>
            </w:r>
          </w:p>
        </w:tc>
      </w:tr>
      <w:tr w:rsidR="001002C3" w:rsidRPr="005E779E" w14:paraId="08F59A7B" w14:textId="77777777">
        <w:tc>
          <w:tcPr>
            <w:tcW w:w="534" w:type="dxa"/>
          </w:tcPr>
          <w:p w14:paraId="7EFB75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1819" w:type="dxa"/>
          </w:tcPr>
          <w:p w14:paraId="0FD18D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М27 без ред.</w:t>
            </w:r>
          </w:p>
        </w:tc>
        <w:tc>
          <w:tcPr>
            <w:tcW w:w="466" w:type="dxa"/>
          </w:tcPr>
          <w:p w14:paraId="7525D4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75A02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w:t>
            </w:r>
          </w:p>
        </w:tc>
        <w:tc>
          <w:tcPr>
            <w:tcW w:w="466" w:type="dxa"/>
          </w:tcPr>
          <w:p w14:paraId="632A00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D616D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466" w:type="dxa"/>
          </w:tcPr>
          <w:p w14:paraId="7DB6EE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466" w:type="dxa"/>
          </w:tcPr>
          <w:p w14:paraId="6DE22B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w:t>
            </w:r>
          </w:p>
        </w:tc>
        <w:tc>
          <w:tcPr>
            <w:tcW w:w="466" w:type="dxa"/>
          </w:tcPr>
          <w:p w14:paraId="18BD6A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5AEDD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080BF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643F3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tc>
        <w:tc>
          <w:tcPr>
            <w:tcW w:w="466" w:type="dxa"/>
          </w:tcPr>
          <w:p w14:paraId="67E827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0419D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466" w:type="dxa"/>
          </w:tcPr>
          <w:p w14:paraId="0056F0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24F15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466" w:type="dxa"/>
          </w:tcPr>
          <w:p w14:paraId="4F0B89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8AE1A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A2A3A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12212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325B7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w:t>
            </w:r>
          </w:p>
        </w:tc>
      </w:tr>
      <w:tr w:rsidR="001002C3" w:rsidRPr="005E779E" w14:paraId="166F5627" w14:textId="77777777">
        <w:tc>
          <w:tcPr>
            <w:tcW w:w="534" w:type="dxa"/>
          </w:tcPr>
          <w:p w14:paraId="513419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1819" w:type="dxa"/>
          </w:tcPr>
          <w:p w14:paraId="56B9B1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ФЭД без ред.</w:t>
            </w:r>
          </w:p>
        </w:tc>
        <w:tc>
          <w:tcPr>
            <w:tcW w:w="466" w:type="dxa"/>
          </w:tcPr>
          <w:p w14:paraId="2CE5C6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601F6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44E78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16880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11A5A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B186A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2BC14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469D5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466" w:type="dxa"/>
          </w:tcPr>
          <w:p w14:paraId="4B1E1F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D9AD1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77169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4EEA3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20067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48367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018AD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DC85E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AE632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C257B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504DB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r>
      <w:tr w:rsidR="001002C3" w:rsidRPr="005E779E" w14:paraId="0272B9B7" w14:textId="77777777">
        <w:tc>
          <w:tcPr>
            <w:tcW w:w="534" w:type="dxa"/>
          </w:tcPr>
          <w:p w14:paraId="4848E4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tc>
        <w:tc>
          <w:tcPr>
            <w:tcW w:w="1819" w:type="dxa"/>
          </w:tcPr>
          <w:p w14:paraId="2F6902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ФЭД с ред.</w:t>
            </w:r>
          </w:p>
        </w:tc>
        <w:tc>
          <w:tcPr>
            <w:tcW w:w="466" w:type="dxa"/>
          </w:tcPr>
          <w:p w14:paraId="6A9987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EF44B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D0CF9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5C896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B4440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45F6E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C2477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E064F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w:t>
            </w:r>
          </w:p>
        </w:tc>
        <w:tc>
          <w:tcPr>
            <w:tcW w:w="466" w:type="dxa"/>
          </w:tcPr>
          <w:p w14:paraId="23120B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6576A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2AA25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w:t>
            </w:r>
          </w:p>
        </w:tc>
        <w:tc>
          <w:tcPr>
            <w:tcW w:w="466" w:type="dxa"/>
          </w:tcPr>
          <w:p w14:paraId="34705B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56316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573B4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2E63E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601AA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90477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B6402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6C1C3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w:t>
            </w:r>
          </w:p>
        </w:tc>
      </w:tr>
      <w:tr w:rsidR="001002C3" w:rsidRPr="005E779E" w14:paraId="14D66E37" w14:textId="77777777">
        <w:tc>
          <w:tcPr>
            <w:tcW w:w="534" w:type="dxa"/>
          </w:tcPr>
          <w:p w14:paraId="064B4C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w:t>
            </w:r>
          </w:p>
        </w:tc>
        <w:tc>
          <w:tcPr>
            <w:tcW w:w="1819" w:type="dxa"/>
          </w:tcPr>
          <w:p w14:paraId="11D09A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М34 без ред. и нагн.</w:t>
            </w:r>
          </w:p>
        </w:tc>
        <w:tc>
          <w:tcPr>
            <w:tcW w:w="466" w:type="dxa"/>
          </w:tcPr>
          <w:p w14:paraId="0AC98D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13492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8F0ED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DC2BF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33958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A0BFA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89510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9A349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tc>
        <w:tc>
          <w:tcPr>
            <w:tcW w:w="466" w:type="dxa"/>
          </w:tcPr>
          <w:p w14:paraId="785376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50324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4A94D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E0982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DE294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862D4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26E0B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2B1B0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5D57E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A5C1D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AD83E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tc>
      </w:tr>
      <w:tr w:rsidR="001002C3" w:rsidRPr="005E779E" w14:paraId="4DDCD3C4" w14:textId="77777777">
        <w:tc>
          <w:tcPr>
            <w:tcW w:w="534" w:type="dxa"/>
          </w:tcPr>
          <w:p w14:paraId="014EDE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w:t>
            </w:r>
          </w:p>
        </w:tc>
        <w:tc>
          <w:tcPr>
            <w:tcW w:w="1819" w:type="dxa"/>
          </w:tcPr>
          <w:p w14:paraId="49CD73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М34 с нагнет.</w:t>
            </w:r>
          </w:p>
        </w:tc>
        <w:tc>
          <w:tcPr>
            <w:tcW w:w="466" w:type="dxa"/>
          </w:tcPr>
          <w:p w14:paraId="69DFEB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E4ACD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6B813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ED9E9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8D2D0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A8BA8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AC17A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B81D0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E2CA8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tc>
        <w:tc>
          <w:tcPr>
            <w:tcW w:w="466" w:type="dxa"/>
          </w:tcPr>
          <w:p w14:paraId="424E8F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AEF2E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4C836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FD6CF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EF4AA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B3013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E68E8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9BE59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w:t>
            </w:r>
          </w:p>
        </w:tc>
        <w:tc>
          <w:tcPr>
            <w:tcW w:w="466" w:type="dxa"/>
          </w:tcPr>
          <w:p w14:paraId="66794A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62112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w:t>
            </w:r>
          </w:p>
        </w:tc>
      </w:tr>
      <w:tr w:rsidR="001002C3" w:rsidRPr="005E779E" w14:paraId="3E4A2097" w14:textId="77777777">
        <w:tc>
          <w:tcPr>
            <w:tcW w:w="534" w:type="dxa"/>
          </w:tcPr>
          <w:p w14:paraId="2BB4E4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w:t>
            </w:r>
          </w:p>
        </w:tc>
        <w:tc>
          <w:tcPr>
            <w:tcW w:w="1819" w:type="dxa"/>
          </w:tcPr>
          <w:p w14:paraId="55A4D0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М34 с ред. и нагнет.</w:t>
            </w:r>
          </w:p>
        </w:tc>
        <w:tc>
          <w:tcPr>
            <w:tcW w:w="466" w:type="dxa"/>
          </w:tcPr>
          <w:p w14:paraId="2EDCBE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580BF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732C1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13015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CC6E1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4D7C7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4FA38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E43FC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143F8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7A389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7E291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A0693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94F25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C6188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4C6A8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42E9C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B260A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w:t>
            </w:r>
          </w:p>
        </w:tc>
        <w:tc>
          <w:tcPr>
            <w:tcW w:w="466" w:type="dxa"/>
          </w:tcPr>
          <w:p w14:paraId="0D6302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A66A1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w:t>
            </w:r>
          </w:p>
        </w:tc>
      </w:tr>
      <w:tr w:rsidR="001002C3" w:rsidRPr="005E779E" w14:paraId="7BCAEF3B" w14:textId="77777777">
        <w:tc>
          <w:tcPr>
            <w:tcW w:w="534" w:type="dxa"/>
          </w:tcPr>
          <w:p w14:paraId="3CD121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w:t>
            </w:r>
          </w:p>
        </w:tc>
        <w:tc>
          <w:tcPr>
            <w:tcW w:w="1819" w:type="dxa"/>
          </w:tcPr>
          <w:p w14:paraId="3E0264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М35 без ред.</w:t>
            </w:r>
          </w:p>
        </w:tc>
        <w:tc>
          <w:tcPr>
            <w:tcW w:w="466" w:type="dxa"/>
          </w:tcPr>
          <w:p w14:paraId="7CD3FA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B40A3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9D61D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6486F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3E131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13CDA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6A3A4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ED940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F8EDD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6C90E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A42D7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15ED9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ED281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CB5F4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B6C1B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D56B3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229EB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D4F20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F9615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1002C3" w:rsidRPr="005E779E" w14:paraId="7AF302AC" w14:textId="77777777">
        <w:tc>
          <w:tcPr>
            <w:tcW w:w="534" w:type="dxa"/>
          </w:tcPr>
          <w:p w14:paraId="334892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w:t>
            </w:r>
          </w:p>
        </w:tc>
        <w:tc>
          <w:tcPr>
            <w:tcW w:w="1819" w:type="dxa"/>
          </w:tcPr>
          <w:p w14:paraId="022F2A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М35 с ред.</w:t>
            </w:r>
          </w:p>
        </w:tc>
        <w:tc>
          <w:tcPr>
            <w:tcW w:w="466" w:type="dxa"/>
          </w:tcPr>
          <w:p w14:paraId="667860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32311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36E63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CFB4F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02630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40F40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83550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06AF8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2C0FA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05B78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03574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DBECA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B7767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EB85B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18C9D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A8192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7E21C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87A8B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052FE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1002C3" w:rsidRPr="005E779E" w14:paraId="5F2A8151" w14:textId="77777777">
        <w:tc>
          <w:tcPr>
            <w:tcW w:w="534" w:type="dxa"/>
          </w:tcPr>
          <w:p w14:paraId="57BA88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w:t>
            </w:r>
          </w:p>
        </w:tc>
        <w:tc>
          <w:tcPr>
            <w:tcW w:w="1819" w:type="dxa"/>
          </w:tcPr>
          <w:p w14:paraId="2A2103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М44 с ред.</w:t>
            </w:r>
          </w:p>
        </w:tc>
        <w:tc>
          <w:tcPr>
            <w:tcW w:w="466" w:type="dxa"/>
          </w:tcPr>
          <w:p w14:paraId="4F909D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9E965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9D9E1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6B0D4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8DE6A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79FAC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3A80B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0BDBA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9A608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1A85C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2EC7B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55773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6FB66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59A11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2AC3D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4BC64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A6457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68076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95F11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1002C3" w:rsidRPr="005E779E" w14:paraId="06FA2C4D" w14:textId="77777777">
        <w:tc>
          <w:tcPr>
            <w:tcW w:w="534" w:type="dxa"/>
          </w:tcPr>
          <w:p w14:paraId="7CAFDA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w:t>
            </w:r>
          </w:p>
        </w:tc>
        <w:tc>
          <w:tcPr>
            <w:tcW w:w="1819" w:type="dxa"/>
          </w:tcPr>
          <w:p w14:paraId="015AF4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М38 без ред.</w:t>
            </w:r>
          </w:p>
        </w:tc>
        <w:tc>
          <w:tcPr>
            <w:tcW w:w="466" w:type="dxa"/>
          </w:tcPr>
          <w:p w14:paraId="1953F4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4C63F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47896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130B7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50E07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63CB6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24180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5D96A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0DD67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8E7DD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22CA7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61246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6309B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1C670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4DB52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tc>
        <w:tc>
          <w:tcPr>
            <w:tcW w:w="466" w:type="dxa"/>
          </w:tcPr>
          <w:p w14:paraId="4CE802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BB8E9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FE28A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0DF70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tc>
      </w:tr>
      <w:tr w:rsidR="001002C3" w:rsidRPr="005E779E" w14:paraId="16FC8BDE" w14:textId="77777777">
        <w:tc>
          <w:tcPr>
            <w:tcW w:w="534" w:type="dxa"/>
          </w:tcPr>
          <w:p w14:paraId="468241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w:t>
            </w:r>
          </w:p>
        </w:tc>
        <w:tc>
          <w:tcPr>
            <w:tcW w:w="1819" w:type="dxa"/>
          </w:tcPr>
          <w:p w14:paraId="0E0AD5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М32 с ред. и нагн.</w:t>
            </w:r>
          </w:p>
        </w:tc>
        <w:tc>
          <w:tcPr>
            <w:tcW w:w="466" w:type="dxa"/>
          </w:tcPr>
          <w:p w14:paraId="509F29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51777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05921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66A83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F5064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A2AD3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80BCC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7BD3F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226AB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07B34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19C1A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CB96A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03939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E6774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1F6B2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466" w:type="dxa"/>
          </w:tcPr>
          <w:p w14:paraId="003395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5E86F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0FEF2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FBAA9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r>
      <w:tr w:rsidR="001002C3" w:rsidRPr="005E779E" w14:paraId="51CD5270" w14:textId="77777777">
        <w:tc>
          <w:tcPr>
            <w:tcW w:w="534" w:type="dxa"/>
          </w:tcPr>
          <w:p w14:paraId="718E88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w:t>
            </w:r>
          </w:p>
        </w:tc>
        <w:tc>
          <w:tcPr>
            <w:tcW w:w="1819" w:type="dxa"/>
          </w:tcPr>
          <w:p w14:paraId="040F1A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М22 без ред.</w:t>
            </w:r>
          </w:p>
        </w:tc>
        <w:tc>
          <w:tcPr>
            <w:tcW w:w="466" w:type="dxa"/>
          </w:tcPr>
          <w:p w14:paraId="527F6E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DAD2D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7B881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C41E7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w:t>
            </w:r>
          </w:p>
        </w:tc>
        <w:tc>
          <w:tcPr>
            <w:tcW w:w="466" w:type="dxa"/>
          </w:tcPr>
          <w:p w14:paraId="075A45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w:t>
            </w:r>
          </w:p>
        </w:tc>
        <w:tc>
          <w:tcPr>
            <w:tcW w:w="466" w:type="dxa"/>
          </w:tcPr>
          <w:p w14:paraId="2D180F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w:t>
            </w:r>
          </w:p>
        </w:tc>
        <w:tc>
          <w:tcPr>
            <w:tcW w:w="466" w:type="dxa"/>
          </w:tcPr>
          <w:p w14:paraId="0F0A99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w:t>
            </w:r>
          </w:p>
        </w:tc>
        <w:tc>
          <w:tcPr>
            <w:tcW w:w="466" w:type="dxa"/>
          </w:tcPr>
          <w:p w14:paraId="24AAA6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466" w:type="dxa"/>
          </w:tcPr>
          <w:p w14:paraId="41C475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8E20F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37AD7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AA591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CCDF5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448DA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9E5C6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F0504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w:t>
            </w:r>
          </w:p>
        </w:tc>
        <w:tc>
          <w:tcPr>
            <w:tcW w:w="466" w:type="dxa"/>
          </w:tcPr>
          <w:p w14:paraId="5E9C51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DE3C0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55751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w:t>
            </w:r>
          </w:p>
        </w:tc>
      </w:tr>
      <w:tr w:rsidR="001002C3" w:rsidRPr="005E779E" w14:paraId="54ED5286" w14:textId="77777777">
        <w:tc>
          <w:tcPr>
            <w:tcW w:w="534" w:type="dxa"/>
          </w:tcPr>
          <w:p w14:paraId="4CE070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w:t>
            </w:r>
          </w:p>
        </w:tc>
        <w:tc>
          <w:tcPr>
            <w:tcW w:w="1819" w:type="dxa"/>
          </w:tcPr>
          <w:p w14:paraId="593762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М22 с ред.</w:t>
            </w:r>
          </w:p>
        </w:tc>
        <w:tc>
          <w:tcPr>
            <w:tcW w:w="466" w:type="dxa"/>
          </w:tcPr>
          <w:p w14:paraId="3CCFDE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DA08B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31EC4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E5BDA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4DD98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4377C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FBE1D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B8B04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F494A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9BBC5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39F1C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tc>
        <w:tc>
          <w:tcPr>
            <w:tcW w:w="466" w:type="dxa"/>
          </w:tcPr>
          <w:p w14:paraId="0A10EB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628E4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9CD14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B9E41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1384F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8499D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B1B7F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902A1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tc>
      </w:tr>
      <w:tr w:rsidR="001002C3" w:rsidRPr="005E779E" w14:paraId="0BEA6FF4" w14:textId="77777777">
        <w:tc>
          <w:tcPr>
            <w:tcW w:w="534" w:type="dxa"/>
          </w:tcPr>
          <w:p w14:paraId="2F83B4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w:t>
            </w:r>
          </w:p>
        </w:tc>
        <w:tc>
          <w:tcPr>
            <w:tcW w:w="1819" w:type="dxa"/>
          </w:tcPr>
          <w:p w14:paraId="6AA0FF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М26</w:t>
            </w:r>
          </w:p>
        </w:tc>
        <w:tc>
          <w:tcPr>
            <w:tcW w:w="466" w:type="dxa"/>
          </w:tcPr>
          <w:p w14:paraId="3D7B36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AF042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466" w:type="dxa"/>
          </w:tcPr>
          <w:p w14:paraId="2E29D3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5A408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0ECD4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tc>
        <w:tc>
          <w:tcPr>
            <w:tcW w:w="466" w:type="dxa"/>
          </w:tcPr>
          <w:p w14:paraId="289280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w:t>
            </w:r>
          </w:p>
        </w:tc>
        <w:tc>
          <w:tcPr>
            <w:tcW w:w="466" w:type="dxa"/>
          </w:tcPr>
          <w:p w14:paraId="176612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1CD45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AF2B5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C178F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EF694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4BD51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DDA1A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3408A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DFCA9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0FE93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165AC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49BF3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DD3A8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1002C3" w:rsidRPr="005E779E" w14:paraId="6D46BD6F" w14:textId="77777777">
        <w:tc>
          <w:tcPr>
            <w:tcW w:w="534" w:type="dxa"/>
          </w:tcPr>
          <w:p w14:paraId="3BD588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w:t>
            </w:r>
          </w:p>
        </w:tc>
        <w:tc>
          <w:tcPr>
            <w:tcW w:w="1819" w:type="dxa"/>
          </w:tcPr>
          <w:p w14:paraId="09EE24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М17</w:t>
            </w:r>
          </w:p>
        </w:tc>
        <w:tc>
          <w:tcPr>
            <w:tcW w:w="466" w:type="dxa"/>
          </w:tcPr>
          <w:p w14:paraId="0FF258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F32C8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A4110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466" w:type="dxa"/>
          </w:tcPr>
          <w:p w14:paraId="6D2AF8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491CC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865D0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466" w:type="dxa"/>
          </w:tcPr>
          <w:p w14:paraId="45046A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57C33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8C8F8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0ED47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9E958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7F106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w:t>
            </w:r>
          </w:p>
        </w:tc>
        <w:tc>
          <w:tcPr>
            <w:tcW w:w="466" w:type="dxa"/>
          </w:tcPr>
          <w:p w14:paraId="2493B8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20839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08F72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A3892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750F0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7258E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6DC52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w:t>
            </w:r>
          </w:p>
        </w:tc>
      </w:tr>
      <w:tr w:rsidR="001002C3" w:rsidRPr="005E779E" w14:paraId="3DFF29D7" w14:textId="77777777">
        <w:tc>
          <w:tcPr>
            <w:tcW w:w="534" w:type="dxa"/>
          </w:tcPr>
          <w:p w14:paraId="4DDE2D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w:t>
            </w:r>
          </w:p>
        </w:tc>
        <w:tc>
          <w:tcPr>
            <w:tcW w:w="1819" w:type="dxa"/>
          </w:tcPr>
          <w:p w14:paraId="5F7820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М11</w:t>
            </w:r>
          </w:p>
        </w:tc>
        <w:tc>
          <w:tcPr>
            <w:tcW w:w="466" w:type="dxa"/>
          </w:tcPr>
          <w:p w14:paraId="1E79BE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F9D1E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9B730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3DADA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466" w:type="dxa"/>
          </w:tcPr>
          <w:p w14:paraId="0E019F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F57F6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466" w:type="dxa"/>
          </w:tcPr>
          <w:p w14:paraId="1CA8FA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tc>
        <w:tc>
          <w:tcPr>
            <w:tcW w:w="466" w:type="dxa"/>
          </w:tcPr>
          <w:p w14:paraId="198DAC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B2533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D3C1F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68CBA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FDFBB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5290C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2D5F1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4A354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8DD4B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CABE4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96E35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40925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tc>
      </w:tr>
      <w:tr w:rsidR="001002C3" w:rsidRPr="005E779E" w14:paraId="48353EDD" w14:textId="77777777">
        <w:tc>
          <w:tcPr>
            <w:tcW w:w="534" w:type="dxa"/>
          </w:tcPr>
          <w:p w14:paraId="00F4F5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w:t>
            </w:r>
          </w:p>
        </w:tc>
        <w:tc>
          <w:tcPr>
            <w:tcW w:w="1819" w:type="dxa"/>
          </w:tcPr>
          <w:p w14:paraId="508195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РЦ</w:t>
            </w:r>
          </w:p>
        </w:tc>
        <w:tc>
          <w:tcPr>
            <w:tcW w:w="466" w:type="dxa"/>
          </w:tcPr>
          <w:p w14:paraId="165C12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547D6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FF6C7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94522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C58F2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B5359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78AFC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A0EDC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729BA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6DA0B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5E7C7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7CDD2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E1E43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A224D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1160A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5ABD6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C4E87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BA529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A4871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645B578" w14:textId="77777777">
        <w:tc>
          <w:tcPr>
            <w:tcW w:w="534" w:type="dxa"/>
          </w:tcPr>
          <w:p w14:paraId="3DB988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w:t>
            </w:r>
          </w:p>
        </w:tc>
        <w:tc>
          <w:tcPr>
            <w:tcW w:w="1819" w:type="dxa"/>
          </w:tcPr>
          <w:p w14:paraId="11AF51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РЦ Ж6</w:t>
            </w:r>
          </w:p>
        </w:tc>
        <w:tc>
          <w:tcPr>
            <w:tcW w:w="466" w:type="dxa"/>
          </w:tcPr>
          <w:p w14:paraId="0DDE75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A404D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FF591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AC8C3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3106E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86D03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924FE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B512B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3F95D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08626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5909A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78AE8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71176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3FF0C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A9D79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64001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466" w:type="dxa"/>
          </w:tcPr>
          <w:p w14:paraId="307DF9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BE7F4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C9F4C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r>
      <w:tr w:rsidR="001002C3" w:rsidRPr="005E779E" w14:paraId="0E8EF563" w14:textId="77777777">
        <w:tc>
          <w:tcPr>
            <w:tcW w:w="534" w:type="dxa"/>
          </w:tcPr>
          <w:p w14:paraId="7B4F8B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w:t>
            </w:r>
          </w:p>
        </w:tc>
        <w:tc>
          <w:tcPr>
            <w:tcW w:w="1819" w:type="dxa"/>
          </w:tcPr>
          <w:p w14:paraId="35AA24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М15</w:t>
            </w:r>
          </w:p>
        </w:tc>
        <w:tc>
          <w:tcPr>
            <w:tcW w:w="466" w:type="dxa"/>
          </w:tcPr>
          <w:p w14:paraId="5B50A2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F8856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C6135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466" w:type="dxa"/>
          </w:tcPr>
          <w:p w14:paraId="685628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C5DEA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9EED6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466" w:type="dxa"/>
          </w:tcPr>
          <w:p w14:paraId="6AA073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87B2D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88486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F15E1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57F99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B38E2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0597D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44069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621F7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02EF5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48A91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309E2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D38FE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770EFAC" w14:textId="77777777">
        <w:tc>
          <w:tcPr>
            <w:tcW w:w="534" w:type="dxa"/>
          </w:tcPr>
          <w:p w14:paraId="1D6895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w:t>
            </w:r>
          </w:p>
        </w:tc>
        <w:tc>
          <w:tcPr>
            <w:tcW w:w="1819" w:type="dxa"/>
          </w:tcPr>
          <w:p w14:paraId="5048CF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М38 спец.</w:t>
            </w:r>
          </w:p>
        </w:tc>
        <w:tc>
          <w:tcPr>
            <w:tcW w:w="466" w:type="dxa"/>
          </w:tcPr>
          <w:p w14:paraId="143C8B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1D2D6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080AC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354D5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88E54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7517D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C56EE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E1A45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0E872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06E10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98C71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BE06D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BDE40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84EF7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874D8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5B56E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C508F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466" w:type="dxa"/>
          </w:tcPr>
          <w:p w14:paraId="499997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4471E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r>
      <w:tr w:rsidR="001002C3" w:rsidRPr="005E779E" w14:paraId="48911DF2" w14:textId="77777777">
        <w:tc>
          <w:tcPr>
            <w:tcW w:w="534" w:type="dxa"/>
            <w:tcBorders>
              <w:bottom w:val="single" w:sz="12" w:space="0" w:color="auto"/>
            </w:tcBorders>
          </w:tcPr>
          <w:p w14:paraId="22A779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19" w:type="dxa"/>
            <w:tcBorders>
              <w:bottom w:val="single" w:sz="12" w:space="0" w:color="auto"/>
            </w:tcBorders>
          </w:tcPr>
          <w:p w14:paraId="0DFFDD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w:t>
            </w:r>
          </w:p>
        </w:tc>
        <w:tc>
          <w:tcPr>
            <w:tcW w:w="466" w:type="dxa"/>
            <w:tcBorders>
              <w:bottom w:val="single" w:sz="12" w:space="0" w:color="auto"/>
            </w:tcBorders>
          </w:tcPr>
          <w:p w14:paraId="2BDA30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6C7C36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743ABA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0C09EF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743689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6B393E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36</w:t>
            </w:r>
          </w:p>
        </w:tc>
        <w:tc>
          <w:tcPr>
            <w:tcW w:w="466" w:type="dxa"/>
            <w:tcBorders>
              <w:bottom w:val="single" w:sz="12" w:space="0" w:color="auto"/>
            </w:tcBorders>
          </w:tcPr>
          <w:p w14:paraId="0E15A1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6EE812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581BDD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400B49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0C2048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4D9453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4E450C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4A05ED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608273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07867B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4D2B43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0FCCD5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402AE4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bl>
    <w:p w14:paraId="0236AE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Примечание: 1/ В настоящую таблицу включены моторы для программных заданий</w:t>
      </w:r>
    </w:p>
    <w:p w14:paraId="06D5DE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Некоторые цифры даети ЦИАМ (351).</w:t>
      </w:r>
    </w:p>
    <w:p w14:paraId="55BA65EE"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AE541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августа 1931 в систему ВАО были переданы ЦАГИ и ЦИАМ (80,417).</w:t>
      </w:r>
    </w:p>
    <w:p w14:paraId="78148B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0DBD73A" w14:textId="77777777" w:rsidR="00190C71" w:rsidRPr="005E779E" w:rsidRDefault="00190C7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августа 1931 г. в Ленинграде, на заводе имени К.Е.Ворошилова получен сплав для самолетостроения - "альплата-ЦАГИ", представляющий собой сплав алюминия высокой прочности, защищенный снаружи чистым алюминием. Получены также и полуфабрикаты из него: листы, гофр, прокат. ЦАГИ счел необходимым прекратить производство дюралюминия и перевести все заводы на производство "альплата-ЦАГИ".</w:t>
      </w:r>
    </w:p>
    <w:p w14:paraId="6CDCAB14" w14:textId="77777777" w:rsidR="00190C71" w:rsidRPr="005E779E" w:rsidRDefault="00190C7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/«Известия ЦИК СССР» за 22 августа 1931; рапорт начальника ЦАГИ/ (23370).</w:t>
      </w:r>
    </w:p>
    <w:p w14:paraId="689C0464" w14:textId="77777777" w:rsidR="00190C71" w:rsidRPr="005E779E" w:rsidRDefault="00190C71" w:rsidP="000B7A6C">
      <w:pPr>
        <w:spacing w:after="0" w:line="240" w:lineRule="auto"/>
        <w:jc w:val="both"/>
        <w:rPr>
          <w:rFonts w:ascii="Times New Roman" w:hAnsi="Times New Roman"/>
          <w:color w:val="000000" w:themeColor="text1"/>
          <w:sz w:val="16"/>
          <w:szCs w:val="16"/>
        </w:rPr>
      </w:pPr>
    </w:p>
    <w:p w14:paraId="47309E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августа 1931 в 20 часов на Боковском аэродроме в Иркутске приземлился самолет, ведомый немецкой летчицей Эрцдорф, совершающей перелет по линии Берлин-Токио. Вылетела на восток 24 августа (11884).</w:t>
      </w:r>
    </w:p>
    <w:p w14:paraId="2F310D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7EA2E37"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3DFB99D2"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848DCB6" w14:textId="77777777" w:rsidR="00024EF9" w:rsidRPr="005E779E" w:rsidRDefault="00024EF9" w:rsidP="000B7A6C">
      <w:pPr>
        <w:pStyle w:val="rtejustify"/>
        <w:spacing w:before="0" w:after="0"/>
        <w:rPr>
          <w:color w:val="000000" w:themeColor="text1"/>
          <w:sz w:val="16"/>
          <w:szCs w:val="16"/>
        </w:rPr>
      </w:pPr>
      <w:r w:rsidRPr="005E779E">
        <w:rPr>
          <w:rStyle w:val="af0"/>
          <w:i w:val="0"/>
          <w:color w:val="000000" w:themeColor="text1"/>
          <w:sz w:val="16"/>
          <w:szCs w:val="16"/>
        </w:rPr>
        <w:t xml:space="preserve">23 августа 1931 г. Протокол Реввоенсовета № 30. </w:t>
      </w:r>
      <w:r w:rsidRPr="005E779E">
        <w:rPr>
          <w:color w:val="000000" w:themeColor="text1"/>
          <w:sz w:val="16"/>
          <w:szCs w:val="16"/>
        </w:rPr>
        <w:t>1. О строительстве ВМС в связи с постановлением правительства от 11 июля с. г. (Орлов, Егоров). 3. Сообщение Смилги и Тухачевского о ходе выполнения решения ВСНХ по докладу Ефимова о системе мобилизации промышленности (Тухачевский, Смилга). 8. О сокращении типов самолетов и моторов в производстве и унификации типов самолетов и моторов гражданской авиацией с военными (Тухачевский). 14. О расчетах НКВМ с промышленностью по заказам 1931 г. (Хрулев). 15. Об отпуске 250 тыс. руб. на работы по конструированию и постройке спецустановок и приборов для обучения летчиков из резерва по § 10 ст. 14 (Хрулев). 16. Об оплате заказов Военно-технической академии РККА на сумму 1052 тыс. руб. (Хрулев). (РГВА. Ф. 4. Оп. 18. Д. 21. Л. 97, 98, 99</w:t>
      </w:r>
      <w:r w:rsidRPr="005E779E">
        <w:rPr>
          <w:color w:val="000000" w:themeColor="text1"/>
          <w:sz w:val="16"/>
          <w:szCs w:val="16"/>
        </w:rPr>
        <w:noBreakHyphen/>
        <w:t>100, 101</w:t>
      </w:r>
      <w:r w:rsidRPr="005E779E">
        <w:rPr>
          <w:color w:val="000000" w:themeColor="text1"/>
          <w:sz w:val="16"/>
          <w:szCs w:val="16"/>
        </w:rPr>
        <w:noBreakHyphen/>
        <w:t>103) (12342).</w:t>
      </w:r>
    </w:p>
    <w:p w14:paraId="1E4820A4" w14:textId="77777777" w:rsidR="00024EF9" w:rsidRPr="005E779E" w:rsidRDefault="00024EF9" w:rsidP="000B7A6C">
      <w:pPr>
        <w:pStyle w:val="rtejustify"/>
        <w:spacing w:before="0" w:after="0"/>
        <w:rPr>
          <w:color w:val="000000" w:themeColor="text1"/>
          <w:sz w:val="16"/>
          <w:szCs w:val="16"/>
        </w:rPr>
      </w:pPr>
    </w:p>
    <w:p w14:paraId="7B354E24" w14:textId="77777777" w:rsidR="00D210DB" w:rsidRPr="005E779E" w:rsidRDefault="00D210D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августа 1931 г., еще до окончания работ по проектированию дизеля, исполняющий обязанности директора НАТИ Е.Л. Зелинский проинформировал начальника Мобилизационно-плановой секции ВСНХ СССР И.Т. Смилге о необходимости скорейшего выбора завода, подходящего для изготовления опытного образца дизеля Д-300. Руководство ВАТО поддержало институт в этом вопросе и со своей стороны 7 сентября 1931 г. отправило И.Т. Смилге письмо № 2112сс.</w:t>
      </w:r>
    </w:p>
    <w:p w14:paraId="4703A926" w14:textId="77777777" w:rsidR="00D210DB" w:rsidRPr="005E779E" w:rsidRDefault="00D210DB" w:rsidP="000B7A6C">
      <w:pPr>
        <w:spacing w:after="0" w:line="240" w:lineRule="auto"/>
        <w:jc w:val="both"/>
        <w:rPr>
          <w:rFonts w:ascii="Times New Roman" w:hAnsi="Times New Roman"/>
          <w:color w:val="000000" w:themeColor="text1"/>
          <w:sz w:val="16"/>
          <w:szCs w:val="16"/>
        </w:rPr>
      </w:pPr>
    </w:p>
    <w:p w14:paraId="5018E40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августа 1931 шесть мото</w:t>
      </w:r>
      <w:r w:rsidRPr="005E779E">
        <w:rPr>
          <w:rFonts w:ascii="Times New Roman" w:hAnsi="Times New Roman"/>
          <w:color w:val="000000" w:themeColor="text1"/>
          <w:sz w:val="16"/>
          <w:szCs w:val="16"/>
        </w:rPr>
        <w:softHyphen/>
        <w:t>циклов Л-300 без сопровождения отправились в Ленинград и 25 августа прибыли к месту старта, пройдя дополнительно 752 км. Мотоциклисты в пробеге преодолевали большие трудности: обваливались мосты под тяжестью автомашин сопровождения, под дождём на грунтовой дороге приходилось двигаться на низ</w:t>
      </w:r>
      <w:r w:rsidRPr="005E779E">
        <w:rPr>
          <w:rFonts w:ascii="Times New Roman" w:hAnsi="Times New Roman"/>
          <w:color w:val="000000" w:themeColor="text1"/>
          <w:sz w:val="16"/>
          <w:szCs w:val="16"/>
        </w:rPr>
        <w:softHyphen/>
        <w:t>шей передаче со скоростью не более 5 км/ч. Обновлённые Л-300 показали себя лучше серийных, так как у них переднее крыло не забивалось грязью, и магнето не выходило из строя благодаря за</w:t>
      </w:r>
      <w:r w:rsidRPr="005E779E">
        <w:rPr>
          <w:rFonts w:ascii="Times New Roman" w:hAnsi="Times New Roman"/>
          <w:color w:val="000000" w:themeColor="text1"/>
          <w:sz w:val="16"/>
          <w:szCs w:val="16"/>
        </w:rPr>
        <w:softHyphen/>
        <w:t>щищённости от влаги. На участке Нижний Новгород-Сталинград температура металлических деталей мотоциклов поднималась до 54 °С. Пыль забивала стыки сопрягающихся деталей. Однако обновлённым Л-300 это не вредило. На трассе пробега участники ощущали внимание встречавших людей и организаций: на оста</w:t>
      </w:r>
      <w:r w:rsidRPr="005E779E">
        <w:rPr>
          <w:rFonts w:ascii="Times New Roman" w:hAnsi="Times New Roman"/>
          <w:color w:val="000000" w:themeColor="text1"/>
          <w:sz w:val="16"/>
          <w:szCs w:val="16"/>
        </w:rPr>
        <w:softHyphen/>
        <w:t>новках и дневках, в городах и даже небольших населённых пунк</w:t>
      </w:r>
      <w:r w:rsidRPr="005E779E">
        <w:rPr>
          <w:rFonts w:ascii="Times New Roman" w:hAnsi="Times New Roman"/>
          <w:color w:val="000000" w:themeColor="text1"/>
          <w:sz w:val="16"/>
          <w:szCs w:val="16"/>
        </w:rPr>
        <w:softHyphen/>
        <w:t>тах проходили митинги [4.42]. Руководители заинтересованных организаций, техническая комиссия, автодоровская общественность, участники пробега, -многие признавали успех мероприятия. Экспериментальные Л-300 выдержали дорожные испытание. Отмеченные недостатки отно</w:t>
      </w:r>
      <w:r w:rsidRPr="005E779E">
        <w:rPr>
          <w:rFonts w:ascii="Times New Roman" w:hAnsi="Times New Roman"/>
          <w:color w:val="000000" w:themeColor="text1"/>
          <w:sz w:val="16"/>
          <w:szCs w:val="16"/>
        </w:rPr>
        <w:softHyphen/>
        <w:t>сились не к конструкторским недоработкам, а к технологическим огрехам, что представлялось исправимым и открывало возмож</w:t>
      </w:r>
      <w:r w:rsidRPr="005E779E">
        <w:rPr>
          <w:rFonts w:ascii="Times New Roman" w:hAnsi="Times New Roman"/>
          <w:color w:val="000000" w:themeColor="text1"/>
          <w:sz w:val="16"/>
          <w:szCs w:val="16"/>
        </w:rPr>
        <w:softHyphen/>
        <w:t>ность освоения в серийном производстве нового Л-300 [4.40]. Заместитель председателя ВСНХ СССР А.П. Медведев за</w:t>
      </w:r>
      <w:r w:rsidRPr="005E779E">
        <w:rPr>
          <w:rFonts w:ascii="Times New Roman" w:hAnsi="Times New Roman"/>
          <w:color w:val="000000" w:themeColor="text1"/>
          <w:sz w:val="16"/>
          <w:szCs w:val="16"/>
        </w:rPr>
        <w:softHyphen/>
        <w:t>явил в прессе, что к концу первой пятилетки выпустят 25 тыс. мо</w:t>
      </w:r>
      <w:r w:rsidRPr="005E779E">
        <w:rPr>
          <w:rFonts w:ascii="Times New Roman" w:hAnsi="Times New Roman"/>
          <w:color w:val="000000" w:themeColor="text1"/>
          <w:sz w:val="16"/>
          <w:szCs w:val="16"/>
        </w:rPr>
        <w:softHyphen/>
        <w:t>тоциклов [4.43], в чем специалисты сомневались. Для прояснения ситуации председатель мотоциклетной секции АВТОДОР С.С. Каменев поручил создать бригаду, чтобы встретиться с руко</w:t>
      </w:r>
      <w:r w:rsidRPr="005E779E">
        <w:rPr>
          <w:rFonts w:ascii="Times New Roman" w:hAnsi="Times New Roman"/>
          <w:color w:val="000000" w:themeColor="text1"/>
          <w:sz w:val="16"/>
          <w:szCs w:val="16"/>
        </w:rPr>
        <w:softHyphen/>
        <w:t>водством ВСНХ, ВАТО и заинтересованных в мотоциклострое-нии трестов и прояснить положение дел. Выявили настораживаю</w:t>
      </w:r>
      <w:r w:rsidRPr="005E779E">
        <w:rPr>
          <w:rFonts w:ascii="Times New Roman" w:hAnsi="Times New Roman"/>
          <w:color w:val="000000" w:themeColor="text1"/>
          <w:sz w:val="16"/>
          <w:szCs w:val="16"/>
        </w:rPr>
        <w:softHyphen/>
        <w:t>щие факты: в ВСНХ не понимали роль и значение мотоциклов для СССР; председатель правления ВАТО Михайлов категориче</w:t>
      </w:r>
      <w:r w:rsidRPr="005E779E">
        <w:rPr>
          <w:rFonts w:ascii="Times New Roman" w:hAnsi="Times New Roman"/>
          <w:color w:val="000000" w:themeColor="text1"/>
          <w:sz w:val="16"/>
          <w:szCs w:val="16"/>
        </w:rPr>
        <w:softHyphen/>
        <w:t>ски отказал продолжить выпуск мотоциклов Л-300 на заводе «Красный Октябрь»; на ХАЗе мотоциклы изготовили не по рас</w:t>
      </w:r>
      <w:r w:rsidRPr="005E779E">
        <w:rPr>
          <w:rFonts w:ascii="Times New Roman" w:hAnsi="Times New Roman"/>
          <w:color w:val="000000" w:themeColor="text1"/>
          <w:sz w:val="16"/>
          <w:szCs w:val="16"/>
        </w:rPr>
        <w:softHyphen/>
        <w:t>поряжению ВСНХ СССР, а благодаря увлечённости мотоцикла</w:t>
      </w:r>
      <w:r w:rsidRPr="005E779E">
        <w:rPr>
          <w:rFonts w:ascii="Times New Roman" w:hAnsi="Times New Roman"/>
          <w:color w:val="000000" w:themeColor="text1"/>
          <w:sz w:val="16"/>
          <w:szCs w:val="16"/>
        </w:rPr>
        <w:softHyphen/>
        <w:t>ми работников завода и председателя ВСНХ Украинской совет</w:t>
      </w:r>
      <w:r w:rsidRPr="005E779E">
        <w:rPr>
          <w:rFonts w:ascii="Times New Roman" w:hAnsi="Times New Roman"/>
          <w:color w:val="000000" w:themeColor="text1"/>
          <w:sz w:val="16"/>
          <w:szCs w:val="16"/>
        </w:rPr>
        <w:softHyphen/>
        <w:t>ской социалистической республики (УССР) Сухомлинова [4.44] (11429).</w:t>
      </w:r>
    </w:p>
    <w:p w14:paraId="65F1DAE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68C13E" w14:textId="77777777" w:rsidR="00B40CB2" w:rsidRPr="005E779E" w:rsidRDefault="00B40CB2"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6FCA26C3" w14:textId="77777777" w:rsidR="00B40CB2" w:rsidRPr="005E779E" w:rsidRDefault="00B40CB2"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93DEC5E" w14:textId="77777777" w:rsidR="00B40CB2" w:rsidRPr="005E779E" w:rsidRDefault="00B40CB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августа 1931 г. Совнарком СССР назначил Ротерта начальником строительства московского метро, а его заместителем инженера К. С. Финкеля{359}.</w:t>
      </w:r>
    </w:p>
    <w:p w14:paraId="17A1B0C9" w14:textId="77777777" w:rsidR="00B40CB2" w:rsidRPr="005E779E" w:rsidRDefault="00B40CB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г. Булганин поручил Ротерту и Финкелю заняться подготовкой структуры и положения об организации, ведающей строительством метро, которую предстояло основать при Моссовете под названием Метрострой. В распоряжение инженеров Булганиным было выделено 50 тыс. руб. и 4 комнаты в доме по ул. Ильинка, 3, в непосредственной близости от Кремля{362}.За два дня Ротерт. и Финкель набросали проект Положения о Метрострое и предложили его вниманию Моссовета{363}.В документе прямо говорилось о строительстве «городской скоростной дороги на собственном (подземном) полотне», т. е. о метрополитене{364}.</w:t>
      </w:r>
    </w:p>
    <w:p w14:paraId="3107D24E" w14:textId="77777777" w:rsidR="00B40CB2" w:rsidRPr="005E779E" w:rsidRDefault="00B40CB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сентября 1931 Совнарком РСФСР утвердил Положение о Метрострое и присвоил объекту ранг «ударной стройки», т. е. особо срочной, что давало преимущества при распределенииресурсов{365}. 2октября 1931 г. документ был принят Совнаркомом СССР, причем ранее он прошел экспертизу в ВСНХ и Наркомате финансов{366}и по просьбе Булганина{367}дополнен двумя пунктами: рабочие и финансовые планы Метростроя должны утверждаться Советом Труда и Обороны, руководитель Метростроя и его заместитель назначаются Совнаркомом СССР{368}.Измененную версию Положения Совнарком РСФСР утвердил еще раз 13 октября 1931 г.{369}Совет Труда и Обороны 13 ноября 1931 г. включил Метрострой в список ударных строек{370}.Тем самым была завершена фаза институционализации и обеспечен приоритетный статус строительства (18299).</w:t>
      </w:r>
    </w:p>
    <w:p w14:paraId="141BD886" w14:textId="77777777" w:rsidR="00B40CB2" w:rsidRPr="005E779E" w:rsidRDefault="00B40CB2" w:rsidP="000B7A6C">
      <w:pPr>
        <w:spacing w:after="0" w:line="240" w:lineRule="auto"/>
        <w:jc w:val="both"/>
        <w:rPr>
          <w:rFonts w:ascii="Times New Roman" w:hAnsi="Times New Roman"/>
          <w:color w:val="000000" w:themeColor="text1"/>
          <w:sz w:val="16"/>
          <w:szCs w:val="16"/>
        </w:rPr>
      </w:pPr>
    </w:p>
    <w:p w14:paraId="0B4E4C86" w14:textId="77777777" w:rsidR="00B40CB2" w:rsidRPr="005E779E" w:rsidRDefault="00B40CB2"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23 августа 1931 г.</w:t>
      </w:r>
    </w:p>
    <w:p w14:paraId="55DA5ADD" w14:textId="77777777" w:rsidR="00B40CB2" w:rsidRPr="005E779E" w:rsidRDefault="00B40CB2"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Распоряжение о «постоянном допуске» к Л. К. Рамзину сотрудников ОКБ № 11. 23 августа 1931 г.</w:t>
      </w:r>
    </w:p>
    <w:p w14:paraId="34DCB43E" w14:textId="77777777" w:rsidR="00B40CB2" w:rsidRPr="005E779E" w:rsidRDefault="00B40CB2"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Источник: </w:t>
      </w:r>
    </w:p>
    <w:p w14:paraId="11FB6DD7" w14:textId="77777777" w:rsidR="00B40CB2" w:rsidRPr="005E779E" w:rsidRDefault="00B40CB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5B1973C" w14:textId="77777777" w:rsidR="00B40CB2" w:rsidRPr="005E779E" w:rsidRDefault="00B40CB2"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Архив: </w:t>
      </w:r>
    </w:p>
    <w:p w14:paraId="3903D999" w14:textId="77777777" w:rsidR="00B40CB2" w:rsidRPr="005E779E" w:rsidRDefault="00B40CB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РГАЭ. Ф.38. Oп. 1. Д.2. Л.66</w:t>
      </w:r>
    </w:p>
    <w:p w14:paraId="63BFA5B6" w14:textId="77777777" w:rsidR="00B40CB2" w:rsidRPr="005E779E" w:rsidRDefault="00B40CB2" w:rsidP="000B7A6C">
      <w:pPr>
        <w:pStyle w:val="rteright"/>
        <w:spacing w:before="0" w:after="0"/>
        <w:jc w:val="both"/>
        <w:rPr>
          <w:color w:val="000000" w:themeColor="text1"/>
          <w:sz w:val="16"/>
          <w:szCs w:val="16"/>
        </w:rPr>
      </w:pPr>
      <w:r w:rsidRPr="005E779E">
        <w:rPr>
          <w:color w:val="000000" w:themeColor="text1"/>
          <w:sz w:val="16"/>
          <w:szCs w:val="16"/>
        </w:rPr>
        <w:t>[23] августа 1931 г.</w:t>
      </w:r>
    </w:p>
    <w:p w14:paraId="4A451CDF" w14:textId="77777777" w:rsidR="00B40CB2" w:rsidRPr="005E779E" w:rsidRDefault="00B40CB2" w:rsidP="000B7A6C">
      <w:pPr>
        <w:pStyle w:val="rtecenter"/>
        <w:spacing w:before="0" w:after="0"/>
        <w:jc w:val="both"/>
        <w:rPr>
          <w:color w:val="000000" w:themeColor="text1"/>
          <w:sz w:val="16"/>
          <w:szCs w:val="16"/>
        </w:rPr>
      </w:pPr>
      <w:r w:rsidRPr="005E779E">
        <w:rPr>
          <w:color w:val="000000" w:themeColor="text1"/>
          <w:sz w:val="16"/>
          <w:szCs w:val="16"/>
        </w:rPr>
        <w:t>НАЧАЛЬНИКУ ТЮРЕМНОГО ОТДЕЛА</w:t>
      </w:r>
    </w:p>
    <w:p w14:paraId="5871641D" w14:textId="77777777" w:rsidR="00B40CB2" w:rsidRPr="005E779E" w:rsidRDefault="00B40CB2" w:rsidP="000B7A6C">
      <w:pPr>
        <w:pStyle w:val="rtecenter"/>
        <w:spacing w:before="0" w:after="0"/>
        <w:jc w:val="both"/>
        <w:rPr>
          <w:color w:val="000000" w:themeColor="text1"/>
          <w:sz w:val="16"/>
          <w:szCs w:val="16"/>
        </w:rPr>
      </w:pPr>
      <w:r w:rsidRPr="005E779E">
        <w:rPr>
          <w:color w:val="000000" w:themeColor="text1"/>
          <w:sz w:val="16"/>
          <w:szCs w:val="16"/>
        </w:rPr>
        <w:t>тов. ПОПОВУ</w:t>
      </w:r>
    </w:p>
    <w:p w14:paraId="111A82DB" w14:textId="77777777" w:rsidR="00B40CB2" w:rsidRPr="005E779E" w:rsidRDefault="00B40CB2" w:rsidP="000B7A6C">
      <w:pPr>
        <w:pStyle w:val="rtejustify"/>
        <w:spacing w:before="0" w:after="0"/>
        <w:rPr>
          <w:color w:val="000000" w:themeColor="text1"/>
          <w:sz w:val="16"/>
          <w:szCs w:val="16"/>
        </w:rPr>
      </w:pPr>
      <w:r w:rsidRPr="005E779E">
        <w:rPr>
          <w:color w:val="000000" w:themeColor="text1"/>
          <w:sz w:val="16"/>
          <w:szCs w:val="16"/>
        </w:rPr>
        <w:t>ЭКУ ОГПУ просит сделать соответствующее распоряжение Коменданту Бутырского изолятора о постоянном допуске к осужденному Л. К. РАМЗИНУ в сопровождении нашего Уполномоченного тов. НАУМИНА следующих лиц: НОВИ, РЕВОКАТОВА, БУЛАШЕВИЧА, БРАЦЛОВА, КУБЫНИНА, САЛМЕНКОВА, ФЮНЕР и ПУГОВКИНА.</w:t>
      </w:r>
    </w:p>
    <w:p w14:paraId="411AC8A0" w14:textId="77777777" w:rsidR="00B40CB2" w:rsidRPr="005E779E" w:rsidRDefault="00B40CB2" w:rsidP="000B7A6C">
      <w:pPr>
        <w:pStyle w:val="rtejustify"/>
        <w:spacing w:before="0" w:after="0"/>
        <w:rPr>
          <w:color w:val="000000" w:themeColor="text1"/>
          <w:sz w:val="16"/>
          <w:szCs w:val="16"/>
        </w:rPr>
      </w:pPr>
      <w:r w:rsidRPr="005E779E">
        <w:rPr>
          <w:color w:val="000000" w:themeColor="text1"/>
          <w:sz w:val="16"/>
          <w:szCs w:val="16"/>
        </w:rPr>
        <w:t>Начальник ЭКУ ОГПУ (Миронов)</w:t>
      </w:r>
    </w:p>
    <w:p w14:paraId="3B8F7D63" w14:textId="77777777" w:rsidR="00B40CB2" w:rsidRPr="005E779E" w:rsidRDefault="00B40CB2" w:rsidP="000B7A6C">
      <w:pPr>
        <w:pStyle w:val="rtejustify"/>
        <w:spacing w:before="0" w:after="0"/>
        <w:rPr>
          <w:color w:val="000000" w:themeColor="text1"/>
          <w:sz w:val="16"/>
          <w:szCs w:val="16"/>
        </w:rPr>
      </w:pPr>
      <w:r w:rsidRPr="005E779E">
        <w:rPr>
          <w:color w:val="000000" w:themeColor="text1"/>
          <w:sz w:val="16"/>
          <w:szCs w:val="16"/>
        </w:rPr>
        <w:t>Начальник Тех. Отд. ЭКУ ОГПУ (Горянов)</w:t>
      </w:r>
    </w:p>
    <w:p w14:paraId="0ACA21F3" w14:textId="77777777" w:rsidR="00B40CB2" w:rsidRPr="005E779E" w:rsidRDefault="00B40CB2" w:rsidP="000B7A6C">
      <w:pPr>
        <w:pStyle w:val="ae"/>
        <w:spacing w:before="0" w:after="0"/>
        <w:jc w:val="both"/>
        <w:rPr>
          <w:color w:val="000000" w:themeColor="text1"/>
          <w:sz w:val="16"/>
          <w:szCs w:val="16"/>
        </w:rPr>
      </w:pPr>
      <w:r w:rsidRPr="005E779E">
        <w:rPr>
          <w:rStyle w:val="af0"/>
          <w:i w:val="0"/>
          <w:color w:val="000000" w:themeColor="text1"/>
          <w:sz w:val="16"/>
          <w:szCs w:val="16"/>
        </w:rPr>
        <w:t>РГАЭ. Ф.38. Oп. 1.Д.2.Л.66. Машинописная копия того времени. Вверху листа слева напечатано «августа 1931 года» (число отсутствует), вверху по центру штампом — дата «23 АВГ 1931» и номер документа (датируется по дате штампа). Внизу слева напечатано «НАУМИН» (19068).</w:t>
      </w:r>
    </w:p>
    <w:p w14:paraId="078518BC" w14:textId="77777777" w:rsidR="00B40CB2" w:rsidRPr="005E779E" w:rsidRDefault="00B40CB2" w:rsidP="000B7A6C">
      <w:pPr>
        <w:spacing w:after="0" w:line="240" w:lineRule="auto"/>
        <w:jc w:val="both"/>
        <w:rPr>
          <w:rFonts w:ascii="Times New Roman" w:hAnsi="Times New Roman"/>
          <w:color w:val="000000" w:themeColor="text1"/>
          <w:sz w:val="16"/>
          <w:szCs w:val="16"/>
        </w:rPr>
      </w:pPr>
    </w:p>
    <w:p w14:paraId="18129348"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Внешняя политика:</w:t>
      </w:r>
    </w:p>
    <w:p w14:paraId="1BA8E05D"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8B413E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 августа 1931 СССР и Франция подписали пакт о ненападении (4962).</w:t>
      </w:r>
    </w:p>
    <w:p w14:paraId="6F6C164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160AB0" w14:textId="77777777" w:rsidR="00075367" w:rsidRPr="005E779E" w:rsidRDefault="00075367"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24 августа 1931 Польша предложила возобновить начатое в 1926-1927 гг. обсуждение проблемы советско-польского пакта о ненападении. В сентябре советское руководство после некоторых колебаний решило вступить в переговоры с Польшей о заключении такого пакта, отдавая себе отчет в том, что они неизбежно повлекут за собой аналогичные переговоры со всеми другими западными соседствующими государствами (См.: КЕН О. H., РУПАСОВ А. И. Политбюро ЦК ВКП(б) и отношения с западными соседними государствами (конец 1920-1930-х гг.): Проблемы - Документы - Опыт комментария. Часть 1: Декабрь 1928 - июнь 1934 г, СПб., 2000. С. 95-96, 253-255,258-265) (22725).</w:t>
      </w:r>
    </w:p>
    <w:p w14:paraId="34A4D748" w14:textId="77777777" w:rsidR="00075367" w:rsidRPr="005E779E" w:rsidRDefault="00075367" w:rsidP="000B7A6C">
      <w:pPr>
        <w:spacing w:after="0" w:line="240" w:lineRule="auto"/>
        <w:jc w:val="both"/>
        <w:rPr>
          <w:rFonts w:ascii="Times New Roman" w:hAnsi="Times New Roman"/>
          <w:color w:val="000000" w:themeColor="text1"/>
          <w:sz w:val="16"/>
          <w:szCs w:val="16"/>
        </w:rPr>
      </w:pPr>
    </w:p>
    <w:p w14:paraId="20A06735" w14:textId="77777777" w:rsidR="008344B7"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44A430FF" w14:textId="77777777" w:rsidR="008344B7" w:rsidRPr="005E779E" w:rsidRDefault="008344B7"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9F8912F"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 августа в 1931 году состоялся первый полет самолета «de Havilland D.H.81» «Swallow Moth» (14992).</w:t>
      </w:r>
    </w:p>
    <w:p w14:paraId="7FE69D26" w14:textId="77777777" w:rsidR="008344B7" w:rsidRPr="005E779E" w:rsidRDefault="008344B7" w:rsidP="000B7A6C">
      <w:pPr>
        <w:spacing w:after="0" w:line="240" w:lineRule="auto"/>
        <w:jc w:val="both"/>
        <w:rPr>
          <w:rFonts w:ascii="Times New Roman" w:hAnsi="Times New Roman"/>
          <w:color w:val="000000" w:themeColor="text1"/>
          <w:sz w:val="16"/>
          <w:szCs w:val="16"/>
        </w:rPr>
      </w:pPr>
    </w:p>
    <w:p w14:paraId="4D27BC48"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24 августа в 1931 году состоялся первый полет самолета </w:t>
      </w:r>
      <w:hyperlink r:id="rId172" w:tgtFrame="_blank" w:history="1">
        <w:r w:rsidRPr="005E779E">
          <w:rPr>
            <w:rFonts w:ascii="Times New Roman" w:hAnsi="Times New Roman"/>
            <w:color w:val="000000" w:themeColor="text1"/>
            <w:sz w:val="16"/>
            <w:szCs w:val="16"/>
          </w:rPr>
          <w:t xml:space="preserve">«de Havilland» «D.H.81» «Swallow Moth», </w:t>
        </w:r>
      </w:hyperlink>
      <w:r w:rsidRPr="005E779E">
        <w:rPr>
          <w:rFonts w:ascii="Times New Roman" w:hAnsi="Times New Roman"/>
          <w:color w:val="000000" w:themeColor="text1"/>
          <w:sz w:val="16"/>
          <w:szCs w:val="16"/>
        </w:rPr>
        <w:t>который представлял собой двухместный низкоплан с открытой кабиной, оборудованный двигателем «Gipsy IV» мощностью 80 л.с. Поскольку производственные мощности были загружены, проект был прерван и лишь через несколько лет возобновлен. Цельнодеревянный опытный самолет «D.H.94» «Moth Minor» впервые поднялся в воздух 22 июня 1937г., пилотируемый капитаном Джеффри де Хэвиллендом. К началу Второй мировой войны было собрано около 70 экземпляров, включая 9 самолетов «Moth Minor Coupе» с более просторной задней частью фюзеляжа и откидывающимся на петлях фонарем кабины. В начале 1940 г. чертежи, шаблоны, агрегаты и законченные, но не поставленные планеры были отправлены в компанию «de Нavilland Aircraft Pty Ltd» в Сиднее. Более 40 произведенных ею самолетов было поставлено в австралийские ВВС (14992).</w:t>
      </w:r>
    </w:p>
    <w:p w14:paraId="086EEB34" w14:textId="77777777" w:rsidR="008344B7" w:rsidRPr="005E779E" w:rsidRDefault="008344B7" w:rsidP="000B7A6C">
      <w:pPr>
        <w:spacing w:after="0" w:line="240" w:lineRule="auto"/>
        <w:jc w:val="both"/>
        <w:rPr>
          <w:rFonts w:ascii="Times New Roman" w:hAnsi="Times New Roman"/>
          <w:color w:val="000000" w:themeColor="text1"/>
          <w:sz w:val="16"/>
          <w:szCs w:val="16"/>
        </w:rPr>
      </w:pPr>
    </w:p>
    <w:p w14:paraId="2241E396" w14:textId="77777777" w:rsidR="008344B7" w:rsidRPr="005E779E" w:rsidRDefault="008344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24 августа в 1931 году первый прототип аргентинского самолёта, получившего обозначение </w:t>
      </w:r>
      <w:hyperlink r:id="rId173" w:tgtFrame="_blank" w:history="1">
        <w:r w:rsidRPr="005E779E">
          <w:rPr>
            <w:rFonts w:ascii="Times New Roman" w:hAnsi="Times New Roman"/>
            <w:color w:val="000000" w:themeColor="text1"/>
            <w:sz w:val="16"/>
            <w:szCs w:val="16"/>
          </w:rPr>
          <w:t xml:space="preserve">«Ае.С.1» </w:t>
        </w:r>
      </w:hyperlink>
      <w:r w:rsidRPr="005E779E">
        <w:rPr>
          <w:rFonts w:ascii="Times New Roman" w:hAnsi="Times New Roman"/>
          <w:color w:val="000000" w:themeColor="text1"/>
          <w:sz w:val="16"/>
          <w:szCs w:val="16"/>
        </w:rPr>
        <w:t>(Гражданский самолёт тип 1), был представлен на официальные испытания. «Ае.С.1» стал первым самолётом чисто аргентинской постройки. Государственное предприятие «la Fabrica Militar de Aviones» («FMA» - «Авиационная Военная Фабрика») была основана в 1926 г. и первое время выпускала по лицензии учебные самолёты «Avro 504R» "Gosport" и истребители «Bristol» «F.2B» и «Devoitine» «D.21». Со временем, приобретя необходимый опыт в авиастроении, аргентинские инженеры получили заказ на проектирование и постройку машины собственной конструкции. Самолёт строился по классической в те годы схеме - крыло выполнялось из дерева, а фюзеляж и некоторые другие элементы конструкции собирались из стали. Шасси было трехопорным, неубираемым с хвостовым костылем. Закрытая кабина, в зависимости от варианта использования, могла вмещать 1-2 пассажиров. На самолёте установили 5-цилндровый радиальный мотор «Armstrong-Siddley» "Mongoose" (150 л.с.) с кольцом Тауненда. Имеется также упоминание о попытке опробования двигателя «Gnome-Rhone» (110 л.с.), но эти данные не находят официального подтверждения (14992).</w:t>
      </w:r>
    </w:p>
    <w:p w14:paraId="54C4C616" w14:textId="77777777" w:rsidR="008344B7" w:rsidRPr="005E779E" w:rsidRDefault="008344B7" w:rsidP="000B7A6C">
      <w:pPr>
        <w:spacing w:after="0" w:line="240" w:lineRule="auto"/>
        <w:jc w:val="both"/>
        <w:rPr>
          <w:rFonts w:ascii="Times New Roman" w:hAnsi="Times New Roman"/>
          <w:color w:val="000000" w:themeColor="text1"/>
          <w:sz w:val="16"/>
          <w:szCs w:val="16"/>
        </w:rPr>
      </w:pPr>
    </w:p>
    <w:p w14:paraId="1BF0169B"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649FFF44"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910AE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августа 1931 состоялся первый полет самолета с раздвижными крыльями француза И.Махонина (237,162).</w:t>
      </w:r>
    </w:p>
    <w:p w14:paraId="3FF29E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01BFF5D" w14:textId="77777777" w:rsidR="001B6E91" w:rsidRPr="005E779E" w:rsidRDefault="001B6E9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25 августа 1931 в пояснительной записке на имя начальника ВАО Баранова к варианту проекта плана стро</w:t>
      </w:r>
      <w:r w:rsidRPr="005E779E">
        <w:rPr>
          <w:rFonts w:ascii="Times New Roman" w:hAnsi="Times New Roman"/>
          <w:color w:val="000000" w:themeColor="text1"/>
          <w:sz w:val="16"/>
          <w:szCs w:val="16"/>
          <w:lang w:eastAsia="ru-RU" w:bidi="ru-RU"/>
        </w:rPr>
        <w:softHyphen/>
        <w:t>ительства опытных самолетов до 1934 г., разработанного ЦКБ, отмеча</w:t>
      </w:r>
      <w:r w:rsidRPr="005E779E">
        <w:rPr>
          <w:rFonts w:ascii="Times New Roman" w:hAnsi="Times New Roman"/>
          <w:color w:val="000000" w:themeColor="text1"/>
          <w:sz w:val="16"/>
          <w:szCs w:val="16"/>
          <w:lang w:eastAsia="ru-RU" w:bidi="ru-RU"/>
        </w:rPr>
        <w:softHyphen/>
        <w:t>лось, что всего в программе опытных ра</w:t>
      </w:r>
      <w:r w:rsidRPr="005E779E">
        <w:rPr>
          <w:rFonts w:ascii="Times New Roman" w:hAnsi="Times New Roman"/>
          <w:color w:val="000000" w:themeColor="text1"/>
          <w:sz w:val="16"/>
          <w:szCs w:val="16"/>
          <w:lang w:eastAsia="ru-RU" w:bidi="ru-RU"/>
        </w:rPr>
        <w:softHyphen/>
        <w:t>бот предполагается построить четыре са</w:t>
      </w:r>
      <w:r w:rsidRPr="005E779E">
        <w:rPr>
          <w:rFonts w:ascii="Times New Roman" w:hAnsi="Times New Roman"/>
          <w:color w:val="000000" w:themeColor="text1"/>
          <w:sz w:val="16"/>
          <w:szCs w:val="16"/>
          <w:lang w:eastAsia="ru-RU" w:bidi="ru-RU"/>
        </w:rPr>
        <w:softHyphen/>
        <w:t>молета штурмового назначения: ТШ-2 М-27 и ЛШ-4 М-22 с передачей в серий</w:t>
      </w:r>
      <w:r w:rsidRPr="005E779E">
        <w:rPr>
          <w:rFonts w:ascii="Times New Roman" w:hAnsi="Times New Roman"/>
          <w:color w:val="000000" w:themeColor="text1"/>
          <w:sz w:val="16"/>
          <w:szCs w:val="16"/>
          <w:lang w:eastAsia="ru-RU" w:bidi="ru-RU"/>
        </w:rPr>
        <w:softHyphen/>
        <w:t>ное производство в 1932 г., а также ТШ-3 М-34 и ЛШ-5 (на базе перспективных ис</w:t>
      </w:r>
      <w:r w:rsidRPr="005E779E">
        <w:rPr>
          <w:rFonts w:ascii="Times New Roman" w:hAnsi="Times New Roman"/>
          <w:color w:val="000000" w:themeColor="text1"/>
          <w:sz w:val="16"/>
          <w:szCs w:val="16"/>
          <w:lang w:eastAsia="ru-RU" w:bidi="ru-RU"/>
        </w:rPr>
        <w:softHyphen/>
        <w:t>требителей И-9, И-10, И-11) с передачей в серийное производство в 1934 г.</w:t>
      </w:r>
    </w:p>
    <w:p w14:paraId="3D20607C" w14:textId="77777777" w:rsidR="001B6E91" w:rsidRPr="005E779E" w:rsidRDefault="001B6E9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Появление в плане тяжелого штур</w:t>
      </w:r>
      <w:r w:rsidRPr="005E779E">
        <w:rPr>
          <w:rFonts w:ascii="Times New Roman" w:hAnsi="Times New Roman"/>
          <w:color w:val="000000" w:themeColor="text1"/>
          <w:sz w:val="16"/>
          <w:szCs w:val="16"/>
          <w:lang w:eastAsia="ru-RU" w:bidi="ru-RU"/>
        </w:rPr>
        <w:softHyphen/>
        <w:t>мовика ТШ-3 с мотором М-34 вполне за</w:t>
      </w:r>
      <w:r w:rsidRPr="005E779E">
        <w:rPr>
          <w:rFonts w:ascii="Times New Roman" w:hAnsi="Times New Roman"/>
          <w:color w:val="000000" w:themeColor="text1"/>
          <w:sz w:val="16"/>
          <w:szCs w:val="16"/>
          <w:lang w:eastAsia="ru-RU" w:bidi="ru-RU"/>
        </w:rPr>
        <w:softHyphen/>
        <w:t>кономерно, так как в ЦКБ понимали, что «простая» замена на самолете ТШ-2 мо</w:t>
      </w:r>
      <w:r w:rsidRPr="005E779E">
        <w:rPr>
          <w:rFonts w:ascii="Times New Roman" w:hAnsi="Times New Roman"/>
          <w:color w:val="000000" w:themeColor="text1"/>
          <w:sz w:val="16"/>
          <w:szCs w:val="16"/>
          <w:lang w:eastAsia="ru-RU" w:bidi="ru-RU"/>
        </w:rPr>
        <w:softHyphen/>
        <w:t>тора М-17 на мотор М-34 потребует пере</w:t>
      </w:r>
      <w:r w:rsidRPr="005E779E">
        <w:rPr>
          <w:rFonts w:ascii="Times New Roman" w:hAnsi="Times New Roman"/>
          <w:color w:val="000000" w:themeColor="text1"/>
          <w:sz w:val="16"/>
          <w:szCs w:val="16"/>
          <w:lang w:eastAsia="ru-RU" w:bidi="ru-RU"/>
        </w:rPr>
        <w:softHyphen/>
        <w:t>делок винтомоторной группы, да и самой машины. На это может уйти много вре</w:t>
      </w:r>
      <w:r w:rsidRPr="005E779E">
        <w:rPr>
          <w:rFonts w:ascii="Times New Roman" w:hAnsi="Times New Roman"/>
          <w:color w:val="000000" w:themeColor="text1"/>
          <w:sz w:val="16"/>
          <w:szCs w:val="16"/>
          <w:lang w:eastAsia="ru-RU" w:bidi="ru-RU"/>
        </w:rPr>
        <w:softHyphen/>
        <w:t>мени. Между тем ТШ-2 самолет уже да</w:t>
      </w:r>
      <w:r w:rsidRPr="005E779E">
        <w:rPr>
          <w:rFonts w:ascii="Times New Roman" w:hAnsi="Times New Roman"/>
          <w:color w:val="000000" w:themeColor="text1"/>
          <w:sz w:val="16"/>
          <w:szCs w:val="16"/>
          <w:lang w:eastAsia="ru-RU" w:bidi="ru-RU"/>
        </w:rPr>
        <w:softHyphen/>
        <w:t>леко не современный и за время дора</w:t>
      </w:r>
      <w:r w:rsidRPr="005E779E">
        <w:rPr>
          <w:rFonts w:ascii="Times New Roman" w:hAnsi="Times New Roman"/>
          <w:color w:val="000000" w:themeColor="text1"/>
          <w:sz w:val="16"/>
          <w:szCs w:val="16"/>
          <w:lang w:eastAsia="ru-RU" w:bidi="ru-RU"/>
        </w:rPr>
        <w:softHyphen/>
        <w:t>ботки устареет еще более. По этой при</w:t>
      </w:r>
      <w:r w:rsidRPr="005E779E">
        <w:rPr>
          <w:rFonts w:ascii="Times New Roman" w:hAnsi="Times New Roman"/>
          <w:color w:val="000000" w:themeColor="text1"/>
          <w:sz w:val="16"/>
          <w:szCs w:val="16"/>
          <w:lang w:eastAsia="ru-RU" w:bidi="ru-RU"/>
        </w:rPr>
        <w:softHyphen/>
        <w:t>чине и было принято решение строить новый вариант штурмовика специально под мотор М-34.</w:t>
      </w:r>
    </w:p>
    <w:p w14:paraId="1E225CC0" w14:textId="77777777" w:rsidR="001B6E91" w:rsidRPr="005E779E" w:rsidRDefault="001B6E91" w:rsidP="000B7A6C">
      <w:pPr>
        <w:spacing w:after="0" w:line="240" w:lineRule="auto"/>
        <w:jc w:val="both"/>
        <w:rPr>
          <w:rFonts w:ascii="Times New Roman" w:hAnsi="Times New Roman"/>
          <w:color w:val="000000" w:themeColor="text1"/>
          <w:sz w:val="16"/>
          <w:szCs w:val="16"/>
          <w:lang w:eastAsia="ru-RU" w:bidi="ru-RU"/>
        </w:rPr>
      </w:pPr>
      <w:r w:rsidRPr="005E779E">
        <w:rPr>
          <w:rFonts w:ascii="Times New Roman" w:hAnsi="Times New Roman"/>
          <w:color w:val="000000" w:themeColor="text1"/>
          <w:sz w:val="16"/>
          <w:szCs w:val="16"/>
          <w:lang w:eastAsia="ru-RU" w:bidi="ru-RU"/>
        </w:rPr>
        <w:t>Отметим, что в плане четко прослежи</w:t>
      </w:r>
      <w:r w:rsidRPr="005E779E">
        <w:rPr>
          <w:rFonts w:ascii="Times New Roman" w:hAnsi="Times New Roman"/>
          <w:color w:val="000000" w:themeColor="text1"/>
          <w:sz w:val="16"/>
          <w:szCs w:val="16"/>
          <w:lang w:eastAsia="ru-RU" w:bidi="ru-RU"/>
        </w:rPr>
        <w:softHyphen/>
        <w:t>вается система: легкий штурмовик - штур</w:t>
      </w:r>
      <w:r w:rsidRPr="005E779E">
        <w:rPr>
          <w:rFonts w:ascii="Times New Roman" w:hAnsi="Times New Roman"/>
          <w:color w:val="000000" w:themeColor="text1"/>
          <w:sz w:val="16"/>
          <w:szCs w:val="16"/>
          <w:lang w:eastAsia="ru-RU" w:bidi="ru-RU"/>
        </w:rPr>
        <w:softHyphen/>
        <w:t>мовая модернизация серийного истреби</w:t>
      </w:r>
      <w:r w:rsidRPr="005E779E">
        <w:rPr>
          <w:rFonts w:ascii="Times New Roman" w:hAnsi="Times New Roman"/>
          <w:color w:val="000000" w:themeColor="text1"/>
          <w:sz w:val="16"/>
          <w:szCs w:val="16"/>
          <w:lang w:eastAsia="ru-RU" w:bidi="ru-RU"/>
        </w:rPr>
        <w:softHyphen/>
        <w:t>теля, тяжелый бронированный штурмо</w:t>
      </w:r>
      <w:r w:rsidRPr="005E779E">
        <w:rPr>
          <w:rFonts w:ascii="Times New Roman" w:hAnsi="Times New Roman"/>
          <w:color w:val="000000" w:themeColor="text1"/>
          <w:sz w:val="16"/>
          <w:szCs w:val="16"/>
          <w:lang w:eastAsia="ru-RU" w:bidi="ru-RU"/>
        </w:rPr>
        <w:softHyphen/>
        <w:t>вик- специальная разработка или глубо</w:t>
      </w:r>
      <w:r w:rsidRPr="005E779E">
        <w:rPr>
          <w:rFonts w:ascii="Times New Roman" w:hAnsi="Times New Roman"/>
          <w:color w:val="000000" w:themeColor="text1"/>
          <w:sz w:val="16"/>
          <w:szCs w:val="16"/>
          <w:lang w:eastAsia="ru-RU" w:bidi="ru-RU"/>
        </w:rPr>
        <w:softHyphen/>
        <w:t>кая модификация серийного разведчика или легкого бомбардировщика (21062).</w:t>
      </w:r>
    </w:p>
    <w:p w14:paraId="71B66DDE" w14:textId="77777777" w:rsidR="006E79F2" w:rsidRPr="005E779E" w:rsidRDefault="006E79F2" w:rsidP="000B7A6C">
      <w:pPr>
        <w:autoSpaceDE w:val="0"/>
        <w:autoSpaceDN w:val="0"/>
        <w:adjustRightInd w:val="0"/>
        <w:spacing w:after="0" w:line="240" w:lineRule="auto"/>
        <w:jc w:val="both"/>
        <w:rPr>
          <w:rFonts w:ascii="Times New Roman" w:hAnsi="Times New Roman"/>
          <w:color w:val="000000" w:themeColor="text1"/>
          <w:sz w:val="16"/>
          <w:szCs w:val="16"/>
        </w:rPr>
      </w:pPr>
    </w:p>
    <w:p w14:paraId="59AE533E" w14:textId="3B02B3BF"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пояснительной записке к плану опытного строительства, отпечатанной 25 августа 1931, п. 5. "Уменьшение количества типов, находящихся в постройке и на снабжении достигается путем применения модификаций, например: штурмовик должен быть модификацией разведчика или истребителя, пассажирские самолеты - бомбардировщиков (351).</w:t>
      </w:r>
    </w:p>
    <w:p w14:paraId="0FBC68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Интересно, кто решил и почему вновь вставили ТШ-2 и ТШ-3.</w:t>
      </w:r>
    </w:p>
    <w:p w14:paraId="4A0ACD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Судя по материалу "Обеспечение серийного строительства заводами" ЛШ должен был быть модификацией истребителя (351).</w:t>
      </w:r>
    </w:p>
    <w:p w14:paraId="1B84870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августа была подготовлена:</w:t>
      </w:r>
    </w:p>
    <w:p w14:paraId="463D2BE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smallCaps/>
          <w:color w:val="000000" w:themeColor="text1"/>
          <w:sz w:val="16"/>
          <w:szCs w:val="16"/>
        </w:rPr>
        <w:t>пояснительная записка.</w:t>
      </w:r>
    </w:p>
    <w:p w14:paraId="33CA094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плану опытного строительства.</w:t>
      </w:r>
    </w:p>
    <w:p w14:paraId="68D2796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Таблица “план выпуска самолетов из опытного строительства и внедрения их в серию”</w:t>
      </w:r>
    </w:p>
    <w:p w14:paraId="6D8930D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составлении плана в основу положено разрешение следующих вопросов:</w:t>
      </w:r>
    </w:p>
    <w:p w14:paraId="4324D8E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val="en-US"/>
        </w:rPr>
        <w:t>I</w:t>
      </w:r>
      <w:r w:rsidRPr="005E779E">
        <w:rPr>
          <w:rFonts w:ascii="Times New Roman" w:hAnsi="Times New Roman"/>
          <w:color w:val="000000" w:themeColor="text1"/>
          <w:sz w:val="16"/>
          <w:szCs w:val="16"/>
        </w:rPr>
        <w:t>/ Своевременно сменить устаревшие типы самолетов находящиеся на снабжении</w:t>
      </w:r>
    </w:p>
    <w:p w14:paraId="77A182A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Обеспечить смену самолетами более высоакого качества.</w:t>
      </w:r>
    </w:p>
    <w:p w14:paraId="0A1E737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Подготовить выпуск серийных самолетов к серийному выпуску новых моторов.</w:t>
      </w:r>
    </w:p>
    <w:p w14:paraId="4D3FC58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Обеспечить введение на снабжение новых видов вооруженных самолетов.</w:t>
      </w:r>
    </w:p>
    <w:p w14:paraId="228A12E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Свести количество типов, ваходящихся на снабжении к наимень</w:t>
      </w:r>
      <w:r w:rsidRPr="005E779E">
        <w:rPr>
          <w:rFonts w:ascii="Times New Roman" w:hAnsi="Times New Roman"/>
          <w:color w:val="000000" w:themeColor="text1"/>
          <w:sz w:val="16"/>
          <w:szCs w:val="16"/>
        </w:rPr>
        <w:softHyphen/>
        <w:t>шему.</w:t>
      </w:r>
    </w:p>
    <w:p w14:paraId="2604049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Вести экспериментальные работы для выявления дальнейших перспектив и возможностей строительства.</w:t>
      </w:r>
    </w:p>
    <w:p w14:paraId="03317C3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Разрешение перечисленных вопросов выразилось в следующем:</w:t>
      </w:r>
    </w:p>
    <w:p w14:paraId="1C77E00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Смена типов</w:t>
      </w:r>
    </w:p>
    <w:p w14:paraId="3DDABC1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пулеметный истребитель И5 сменяется полностью следующим типом в 34-м году. Более ранняя смена невозможна, так как пуск в серию проверенного на войсковых испытаниях истре</w:t>
      </w:r>
      <w:r w:rsidRPr="005E779E">
        <w:rPr>
          <w:rFonts w:ascii="Times New Roman" w:hAnsi="Times New Roman"/>
          <w:color w:val="000000" w:themeColor="text1"/>
          <w:sz w:val="16"/>
          <w:szCs w:val="16"/>
        </w:rPr>
        <w:softHyphen/>
        <w:t>бителя возможен в 33-м году.</w:t>
      </w:r>
    </w:p>
    <w:p w14:paraId="0B6EDB1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Разведчик сменяется в 34-м году по тем же причинам.</w:t>
      </w:r>
    </w:p>
    <w:p w14:paraId="36D8745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Смена крейсера Р6, бомбардировщика ТБ1 и учебного У2 - производится в сроки, когда предыдущие типы можно считать устаревшими.</w:t>
      </w:r>
    </w:p>
    <w:p w14:paraId="28F4567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2. Обеспечение высокого качества нового типа достигается тем, что примерно в одно время выпускается несколько самолетов, и один из них, показавший при испытаниях лучшие данные;</w:t>
      </w:r>
    </w:p>
    <w:p w14:paraId="40A709A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так выпускаются И5-бис, И9, И10 и И11, Р8 и Р9 и т.д.</w:t>
      </w:r>
    </w:p>
    <w:p w14:paraId="6329F20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Подготовка выпуска серийных самолетов к выпуску новых моторов достигается тем, что первые опытные самолеты проектируются под мотор, выходящий несколько позже, и выпускается с существующим мотором для предварительно</w:t>
      </w:r>
      <w:r w:rsidRPr="005E779E">
        <w:rPr>
          <w:rFonts w:ascii="Times New Roman" w:hAnsi="Times New Roman"/>
          <w:color w:val="000000" w:themeColor="text1"/>
          <w:sz w:val="16"/>
          <w:szCs w:val="16"/>
        </w:rPr>
        <w:softHyphen/>
        <w:t>го летного и эксплоатационного испытания. По выходе ново</w:t>
      </w:r>
      <w:r w:rsidRPr="005E779E">
        <w:rPr>
          <w:rFonts w:ascii="Times New Roman" w:hAnsi="Times New Roman"/>
          <w:color w:val="000000" w:themeColor="text1"/>
          <w:sz w:val="16"/>
          <w:szCs w:val="16"/>
        </w:rPr>
        <w:softHyphen/>
        <w:t>го мотора последний устанавливается на данный самолет и в таком виде внедряется в серию.</w:t>
      </w:r>
    </w:p>
    <w:p w14:paraId="5B36F6B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Так выпускаются Р8-М27, Р9-М127, ТБ4-6-ФЭД, К7-6-ФЭД и т.д., благодаря чему имеется полная возможность использо</w:t>
      </w:r>
      <w:r w:rsidRPr="005E779E">
        <w:rPr>
          <w:rFonts w:ascii="Times New Roman" w:hAnsi="Times New Roman"/>
          <w:color w:val="000000" w:themeColor="text1"/>
          <w:sz w:val="16"/>
          <w:szCs w:val="16"/>
        </w:rPr>
        <w:softHyphen/>
        <w:t>вать М34 в 34-м году.</w:t>
      </w:r>
    </w:p>
    <w:p w14:paraId="66A4CF0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Введение новых видов вооруженных самолетов предусмотрено выпуском пушечных истребителей, морских самолетов спец. назначения и т.д. И-линейн., МДР, МК, КОР, СПЛ и т.д.</w:t>
      </w:r>
    </w:p>
    <w:p w14:paraId="5BA84BD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Уменьшение количества типов находящиеся в постройке и на снабжении достигается применением модификаций, например:</w:t>
      </w:r>
    </w:p>
    <w:p w14:paraId="6272455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штурмовик должен бнть модификацией разведчика или истре</w:t>
      </w:r>
      <w:r w:rsidRPr="005E779E">
        <w:rPr>
          <w:rFonts w:ascii="Times New Roman" w:hAnsi="Times New Roman"/>
          <w:color w:val="000000" w:themeColor="text1"/>
          <w:sz w:val="16"/>
          <w:szCs w:val="16"/>
        </w:rPr>
        <w:softHyphen/>
        <w:t>бителя, пассажирские самолеты - бомбардировщиков.</w:t>
      </w:r>
    </w:p>
    <w:p w14:paraId="54DA99A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Экспериментальные работы введены у виде рекордных самолетов и параболы.</w:t>
      </w:r>
    </w:p>
    <w:p w14:paraId="6144A7D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 Таблица “загрузка серийных самолетостроительных заводов в 1931-1935 г.”</w:t>
      </w:r>
    </w:p>
    <w:p w14:paraId="21E750E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Мощности заводов, количество и распределение самолетов по типам показано по данным Планового сектора ВАО.</w:t>
      </w:r>
    </w:p>
    <w:p w14:paraId="42175C1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Начало серийного производства самолетов вытекает из сро</w:t>
      </w:r>
      <w:r w:rsidRPr="005E779E">
        <w:rPr>
          <w:rFonts w:ascii="Times New Roman" w:hAnsi="Times New Roman"/>
          <w:color w:val="000000" w:themeColor="text1"/>
          <w:sz w:val="16"/>
          <w:szCs w:val="16"/>
        </w:rPr>
        <w:softHyphen/>
        <w:t xml:space="preserve">ков внпуска опытного образца /см. табл. </w:t>
      </w:r>
      <w:r w:rsidRPr="005E779E">
        <w:rPr>
          <w:rFonts w:ascii="Times New Roman" w:hAnsi="Times New Roman"/>
          <w:color w:val="000000" w:themeColor="text1"/>
          <w:sz w:val="16"/>
          <w:szCs w:val="16"/>
          <w:lang w:val="en-US"/>
        </w:rPr>
        <w:t>I</w:t>
      </w:r>
      <w:r w:rsidRPr="005E779E">
        <w:rPr>
          <w:rFonts w:ascii="Times New Roman" w:hAnsi="Times New Roman"/>
          <w:color w:val="000000" w:themeColor="text1"/>
          <w:sz w:val="16"/>
          <w:szCs w:val="16"/>
        </w:rPr>
        <w:t>/.</w:t>
      </w:r>
    </w:p>
    <w:p w14:paraId="15341A8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При подсчете графы "потребность” принят запас моторов для истребителей 100% и для прочих - 50% от количества вы</w:t>
      </w:r>
      <w:r w:rsidRPr="005E779E">
        <w:rPr>
          <w:rFonts w:ascii="Times New Roman" w:hAnsi="Times New Roman"/>
          <w:color w:val="000000" w:themeColor="text1"/>
          <w:sz w:val="16"/>
          <w:szCs w:val="16"/>
        </w:rPr>
        <w:softHyphen/>
        <w:t>пускаемых самолетов.</w:t>
      </w:r>
    </w:p>
    <w:p w14:paraId="0AEB37F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 Таблица “Потребность в моторах по типам" является выбор</w:t>
      </w:r>
      <w:r w:rsidRPr="005E779E">
        <w:rPr>
          <w:rFonts w:ascii="Times New Roman" w:hAnsi="Times New Roman"/>
          <w:color w:val="000000" w:themeColor="text1"/>
          <w:sz w:val="16"/>
          <w:szCs w:val="16"/>
        </w:rPr>
        <w:softHyphen/>
        <w:t>кой из таблицы П количеств моторов по типам и годам и освещает возможные варианты в зависимости от выбора типа для серии.</w:t>
      </w:r>
    </w:p>
    <w:p w14:paraId="7CCDCC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1У. Таблица "Снабжение моторами серийной постройки самолетов” является разбивкой предыдущей таблицы по моторостроительным заводам, сообразно, их мощности, по данным Планового сектора ВАО.</w:t>
      </w:r>
    </w:p>
    <w:p w14:paraId="7E1EB9F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 Таблица "Снабжение моторами серийной постройки самолетов" - вар. 2-й и 3-й освещает перспективы баланса моторов водяного и воздушного охлаждения, в зависимости от выбора типа самолета для серийной постройки.</w:t>
      </w:r>
    </w:p>
    <w:p w14:paraId="7BD0BD2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У1. Таблица “Программа получения моторов, необходимых ОКБ” является увязкой подачи моторов ОКБ с выпуском их с моторостроительных заводов и ИАМ. (351,14).</w:t>
      </w:r>
    </w:p>
    <w:p w14:paraId="11F5503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августа была подготовлена справка:</w:t>
      </w:r>
    </w:p>
    <w:p w14:paraId="0B13401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ОБЕСПЕЧЕНИЕ СЕРИЙНОГО СТРОИТЕЛЬСТВА ЗАВОДАМИ.</w:t>
      </w:r>
    </w:p>
    <w:p w14:paraId="7C8ECB0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Для выполнения программного заданяя Штаба УВВС РККА по выпуску самолетов, ОКБ считает необходимым постройку и окончание постройки следующих заводов:</w:t>
      </w:r>
    </w:p>
    <w:p w14:paraId="0D10DF5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Новый завод для массовое постройки истребителей и их модификаций /легкий штурмовик/ мощностью в 6000 единиц в год; завод должен быть пущен в 33 г. и в этом году выпустить первые серии.</w:t>
      </w:r>
    </w:p>
    <w:p w14:paraId="5B54947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Завод № 18 предназначается для массовой постройки металлических /колъчуг-алюминиевых/ бомбардировщиков большого тоннажа; завод должен быть расширен до мощности в 1500 единиц в год и в 32 году начат задел первых серий.</w:t>
      </w:r>
    </w:p>
    <w:p w14:paraId="56D0C29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Харьковский завод тяжелых самолетов /Х.Т./ предназначается для постройки самолетов-гигантов. Мощное завода должна быть 800 единиц в год</w:t>
      </w:r>
      <w:r w:rsidRPr="005E779E">
        <w:rPr>
          <w:rFonts w:ascii="Times New Roman" w:hAnsi="Times New Roman"/>
          <w:smallCaps/>
          <w:color w:val="000000" w:themeColor="text1"/>
          <w:sz w:val="16"/>
          <w:szCs w:val="16"/>
        </w:rPr>
        <w:t xml:space="preserve">. </w:t>
      </w:r>
      <w:r w:rsidRPr="005E779E">
        <w:rPr>
          <w:rFonts w:ascii="Times New Roman" w:hAnsi="Times New Roman"/>
          <w:color w:val="000000" w:themeColor="text1"/>
          <w:sz w:val="16"/>
          <w:szCs w:val="16"/>
        </w:rPr>
        <w:t>Завод должен быть пущен ранее против имеющегося плана, а именно: в 1933 г должен бить начат задел первой серии.</w:t>
      </w:r>
    </w:p>
    <w:p w14:paraId="21C5220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Новый завод в гор. Ейске для серийного выпуска желых морских самолетов; мощность завода - 300 единиц в год</w:t>
      </w:r>
      <w:r w:rsidRPr="005E779E">
        <w:rPr>
          <w:rFonts w:ascii="Times New Roman" w:hAnsi="Times New Roman"/>
          <w:smallCaps/>
          <w:color w:val="000000" w:themeColor="text1"/>
          <w:sz w:val="16"/>
          <w:szCs w:val="16"/>
        </w:rPr>
        <w:t>; з</w:t>
      </w:r>
      <w:r w:rsidRPr="005E779E">
        <w:rPr>
          <w:rFonts w:ascii="Times New Roman" w:hAnsi="Times New Roman"/>
          <w:color w:val="000000" w:themeColor="text1"/>
          <w:sz w:val="16"/>
          <w:szCs w:val="16"/>
        </w:rPr>
        <w:t>авод должен начать задел первых серий в 1933 г.</w:t>
      </w:r>
    </w:p>
    <w:p w14:paraId="22B60E0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Новый завод массового выпуска легких спортивных самолетов; мощность - 3000 единиц в год; заводдолжен дать выпуск первых серий в 1934 г.</w:t>
      </w:r>
    </w:p>
    <w:p w14:paraId="3D43F21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Новый завод в непосредственной близости от ОКБ для выпуска небольшими сериями самолетов малого тоннажа различного типа. Завод должен иметь мощность до 1000 в год. Первые серии должны быть выпущены в 1934 г.</w:t>
      </w:r>
    </w:p>
    <w:p w14:paraId="72AB18E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 для самолетостроения требуется: 4 новых завода и достройка двух строящихся.</w:t>
      </w:r>
    </w:p>
    <w:p w14:paraId="28E7006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Мощность самолетостроительных заводов по годам - см. таблицу "Загрузка серийных заводов".</w:t>
      </w:r>
    </w:p>
    <w:p w14:paraId="410748F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 Ддя обеспечения моторами выпускаемых самолетов должны быть построены в окончены оледующие моторостроятельные заводы:.</w:t>
      </w:r>
    </w:p>
    <w:p w14:paraId="4F86BB2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Завод № 19 предназначается для массового выпуска моторов воздушного охлаждения и должен иметь мощнность 5600 единиц в год. Первые серии моторов должны быть выпущены в 1933 г.</w:t>
      </w:r>
    </w:p>
    <w:p w14:paraId="7EC7242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Новый завод моторов воздушногоохлаждения; мощность 15000 единиц в год; выпуск первой сери должна быть в 1934 г.</w:t>
      </w:r>
    </w:p>
    <w:p w14:paraId="38C1F91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Новый завод моторов водяного охлаждения /предназначается для постройки лицензионных моторов/. Первыа серии должны быть выпущены в 1935 году.</w:t>
      </w:r>
    </w:p>
    <w:p w14:paraId="047D4E1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 для моторостроения требуется:</w:t>
      </w:r>
    </w:p>
    <w:p w14:paraId="562A337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Постройка двух новых заводов в достройка одного. Мощности заводов по годам см. Таблицу № 4.</w:t>
      </w:r>
    </w:p>
    <w:p w14:paraId="2C05CF1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Ввиду того, что на 1935 год назнчена постройка одних и тех же моторов на нескольких заводах, например:М38 на № 19 и № 29 и М34 и М35 - на заводах № 24 и 26, надо рассмотреть распределение работа между заводами с точки зрения кооперация заводов (351).</w:t>
      </w:r>
    </w:p>
    <w:p w14:paraId="75E5DA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DEDEF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августа 1931 был подписан Отчет по испытанию авиационных патронов калибра 7,62 мм Подольского завода N 17 стрельбой с самолета Р-1 М-5 в НИИ ВВС.</w:t>
      </w:r>
    </w:p>
    <w:p w14:paraId="7C1318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Стрельба производилась из пулемета ПВ-1 (3208,224-237).</w:t>
      </w:r>
    </w:p>
    <w:p w14:paraId="038F78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21854AA"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6A74BB59"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B442B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августа 1931 г. Сталин писал Кагановичу: «Ввиду валютных затруднений и неприемлемых условий кредита в Америке высказываюсь против каких бы то ни было новых заказов на Америку. Предлагаю воспретить дачу новых заказов на Америку, прервать всякие уже начатые переговоры о новых заказах и по возможности порвать уже заключенные договора о старых заказах с переносом заказов в Европу или на наши собственные заводы. Предлагаю не делать никаких исключений из этого правила ни для Магнитогорска и Кузнецстроя, ни для Харьковстроя, Днепростроя, АМО и Автостроя». Здесь перечислены практически только объекты Кана (за исключением Днепростроя) (11598).</w:t>
      </w:r>
    </w:p>
    <w:p w14:paraId="2132D8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69DDD25" w14:textId="77777777" w:rsidR="00024EF9" w:rsidRPr="005E779E" w:rsidRDefault="00024EF9"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25 августа 1931 </w:t>
      </w:r>
      <w:r w:rsidRPr="005E779E">
        <w:rPr>
          <w:rFonts w:ascii="Times New Roman" w:hAnsi="Times New Roman"/>
          <w:color w:val="000000" w:themeColor="text1"/>
          <w:sz w:val="16"/>
          <w:szCs w:val="16"/>
        </w:rPr>
        <w:t>Политбюро ЦК ВКП (б) предложило ВСНХ провести вербовку демобилизованных красноармейцев для Донбасса; приняло решения: об освобождении от призыва в Красную Армию 10 тыс. квалифицированных рабочих и инженерно-технических работников заводов «Стали», «Востокстали», Авиатреста и тяжелого машиностроения; об освобождении от сбора на военную подготовку в территориальные войска рабочих, угольной промышленности Донбасса; приняло предложение комиссии о развитии шахтного строительства, постройке заводов горного оборудования и создании третьей угольной базы - Карагандинского бассейна (12265).</w:t>
      </w:r>
    </w:p>
    <w:p w14:paraId="6139B77F" w14:textId="77777777" w:rsidR="00024EF9" w:rsidRPr="005E779E" w:rsidRDefault="00024EF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7E4161EB"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2D566BF5"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1A7CA3A" w14:textId="77777777" w:rsidR="002E083D" w:rsidRPr="005E779E" w:rsidRDefault="002E08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августа 1931 - Состоялся первый полёт самолёта de Havilland D.H.81 Swallow Moth, который представлял собой двухместный низкоплан с открытой кабиной, оборудованный двигателем Gipsy IV мощностью 80 л.с. Поскольку производственные мощности были загружены, проект был прерван и лишь через несколько лет возобновлён. Цельнодеревянный опытный самолёт D.H.94 Moth Minor впервые поднялся в воздух 22 июня 1937г., пилотируемый капитаном Джеффри де Хэвиллендом. К началу Второй мировой войны было собрано около 70 экземпляров, включая 9 самолётов Moth Minor Coupе с более просторной задней частью фюзеляжа и откидывающимся на петлях фонарём кабины. В начале 1940г. чертежи, шаблоны, агрегаты и законченные, но не поставленные планеры были отправлены в компанию de Нavilland Aircraft Pty Ltd в Сиднее. Более 40 произведённых ею самолётов было поставлено в австралийские ВВС (22388).</w:t>
      </w:r>
    </w:p>
    <w:p w14:paraId="2D05F2E8" w14:textId="77777777" w:rsidR="002E083D" w:rsidRPr="005E779E" w:rsidRDefault="002E083D" w:rsidP="000B7A6C">
      <w:pPr>
        <w:spacing w:after="0" w:line="240" w:lineRule="auto"/>
        <w:jc w:val="both"/>
        <w:rPr>
          <w:rFonts w:ascii="Times New Roman" w:hAnsi="Times New Roman"/>
          <w:color w:val="000000" w:themeColor="text1"/>
          <w:sz w:val="16"/>
          <w:szCs w:val="16"/>
        </w:rPr>
      </w:pPr>
    </w:p>
    <w:p w14:paraId="67786B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25 августа 1931 ZRS-4 Акрон впервые поднялся в воздух только со ста тринадцатью человеками на борту. Первый полет прошел нормально, единственным существенным конструктивным недостатком были слишком большие усилия на рулях. Уже во [429] время девятого полета, который длился 48 часов, ZRS-4 пролетел 3200 км, посетив Сент-Луис, Чикаго, Милуоки и везде вызывая огромный энтузиазм у населения и заторы на дорогах. </w:t>
      </w:r>
    </w:p>
    <w:p w14:paraId="11D209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Конструкция ZRS-4 содержала несколько интересных новинок. Каркас корпуса состоял из 12 основных и 33 вспомогательных жестких переборок, 36 вертикальных профилей и 3 килей. Конструкция в целом была очень прочной и могла выдерживать большие нагрузки. Внутри жесткого корпуса размещались 12 газовых отсеков с максимальным объемом 194 000 куб. м и номинальным — 184 000 куб. м (следует помнить, что объем газового отсека мог меняться в зависимости от высоты подъема дирижабля и атмосферных условий). В боковых килях было установлено 8 рядных двенадцатицилиндровых двигателей «Майбах» VL-II мощностью по 560 л. с. Каждый мотор вращал один двухлопастной винт НАСА диаметром 5 м. Винты были реверсивными, как тянущими, так и толкающим, они могли разворачиваться в горизонтальной плоскости, что давало возможность опускаться или подниматься, лететь вперед или назад. В корпусе размещалось 110 топливных баков с общей </w:t>
      </w:r>
      <w:r w:rsidRPr="005E779E">
        <w:rPr>
          <w:rFonts w:ascii="Times New Roman" w:hAnsi="Times New Roman"/>
          <w:color w:val="000000" w:themeColor="text1"/>
          <w:sz w:val="16"/>
          <w:szCs w:val="16"/>
        </w:rPr>
        <w:lastRenderedPageBreak/>
        <w:t xml:space="preserve">емкостью от 50 до 57 т и от 1,1 до 5 т масла. Максимальный вес водяного балласта составлял 102 т, но обычно летали с девятью тоннами. Были установлены 2 электрогенератора «Вестингауз» по 8 кВт с напряжением 110 В, приводимых в действие двумя бензомоторами мощностью по 41 л. с. </w:t>
      </w:r>
    </w:p>
    <w:p w14:paraId="41D153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Штатный экипаж состоял из 16 офицеров и 75 военнослужащих, но обычно летало не более 50 человек. Основной конструктивной новинкой дирижабля стал внутренний [430] ангар в передней части оболочки снизу, в котором размещались 5 одноместных бипланов. В этом случае экипаж увеличивался на 5 летчиков и 15 человек технического персонала, обслуживающих самолеты, и сопутствующее оборудование. На начальной стадии испытаний самолетное оборудование еще не было установлено. ZSR-4 весил 187 т, из которых 114 т были собственным весом дирижабля и 73 т составляли полезный груз. </w:t>
      </w:r>
    </w:p>
    <w:p w14:paraId="166FE0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Основная гондола управления «Акрона» располагалась впереди нижней части фюзеляжа, но в случае необходимости можно было управлять дирижаблем из дополнительной кабины, расположенной на набегающей грани нижней части вертикального хвостового оперения. Основные помещения для размещения экипажа находились в боковых килях, а наблюдательные кабины с возможностью установки пулеметов — спереди над причальным устройством, сверху оболочки и оконечности хвостовой части корабля. </w:t>
      </w:r>
    </w:p>
    <w:p w14:paraId="5CFBC6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процессе испытаний были проверены большие водяные конденсаторы, работающие на выхлопных газах и установленные с обеих сторон оболочки над моторами. В работе они показали себя не с лучшей стороны, часто отказывали и в дальнейшем во время эксплуатации были постоянным источником неприятностей. Однако основной проблемой стало то, что, несмотря на все усилия, не удавалось достигнуть контрактной скорости 128 км/ч. Ситуация изменилась в лучшую сторону только тогда, когда установили воздушные [431] винты «Хартцелл», благодаря чему удалось увеличить горизонтальную скорость до 127 км/ч (11324).</w:t>
      </w:r>
    </w:p>
    <w:p w14:paraId="420888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C766C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25 августа 1931 по 7 июня 1935 в Англии было Национальное правительство Р.Макдональда (2443,406).</w:t>
      </w:r>
    </w:p>
    <w:p w14:paraId="4625E2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660ADC8"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35F7A86D"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9051E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 августа 1931 был напечатан рапорт Зам. нач. ОКБ и директора завода им. Менжинского Нач. ВАО П.И.Б. в исполнение протокола от 17 августа 1931, при котором был представлен план опытного и серийного самолетостроения и моторостроения (351).</w:t>
      </w:r>
    </w:p>
    <w:p w14:paraId="546101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Пожалуй 17 - ошибка, так как ЦАГИ в то время еще не имело отношения к ВАО.</w:t>
      </w:r>
    </w:p>
    <w:p w14:paraId="2872F4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пояснительной записке к плану опытного строительства, отпечатанной 25 августа, п. 5. "Уменьшение количества типов, находящихся в постройке и на снабжении достигается путем применения модификаций, например: штурмовик должен быть модификацией разведчика или истребителя, пассажирские самолеты - бомбардировщиков (351).</w:t>
      </w:r>
    </w:p>
    <w:p w14:paraId="5D24EC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Интересно, кто решил и почему вновь вставили ТШ-2 и ТШ-3.</w:t>
      </w:r>
    </w:p>
    <w:p w14:paraId="6C88466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Начальнику ВАО т. П.И.Баранову.</w:t>
      </w:r>
    </w:p>
    <w:p w14:paraId="4302315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Нач. ОКБ и Директора Заводы им. Менжинского т. Н.Е.Пауфлера</w:t>
      </w:r>
    </w:p>
    <w:p w14:paraId="462ABDF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РАПОРТ.</w:t>
      </w:r>
    </w:p>
    <w:p w14:paraId="70C6F99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 исполнение протокола от 17 августа а.г.при представляю план опытного и серярного самолетостроения г моторостроения.</w:t>
      </w:r>
    </w:p>
    <w:p w14:paraId="1C61BA3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составлений плана принято в основу следующее:</w:t>
      </w:r>
    </w:p>
    <w:p w14:paraId="6C30EDB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Разбивка типов самолетов по системе вооружения.</w:t>
      </w:r>
    </w:p>
    <w:p w14:paraId="2C1DB39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Сведение количества типов самолетов до минимума</w:t>
      </w:r>
    </w:p>
    <w:p w14:paraId="0A7EB33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Полное совмещение гражданских самолетов с военными</w:t>
      </w:r>
    </w:p>
    <w:p w14:paraId="39AD3FC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Периодическая сменность типов самолетов новьши более высокого качества.</w:t>
      </w:r>
    </w:p>
    <w:p w14:paraId="4673D0F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Увязка выпуска опытных и серийных самолетов с выпуском моторов.</w:t>
      </w:r>
    </w:p>
    <w:p w14:paraId="6424654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Использование лицензионных нотогов “Райт-Цикл” и "Райт Ж6”.</w:t>
      </w:r>
    </w:p>
    <w:p w14:paraId="634D3A1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Внедрение опытных образцов в серию исходя из реальных возможностей серийного производства.</w:t>
      </w:r>
    </w:p>
    <w:p w14:paraId="24B974A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Производство экспериментальных работ и выпуск нескольких опытных образцов для выбора одного идущего в серию.</w:t>
      </w:r>
    </w:p>
    <w:p w14:paraId="79BCA8F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Учет необходимости постройки новых заводов.</w:t>
      </w:r>
    </w:p>
    <w:p w14:paraId="55AA1EE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Считаю необходимым отметить,что мотор "Кертисс-Конкверрор" в существующей виде к использованию не иамечен, вследствие малой мощности и отсутствия высотности, т.к. к намеченному сроку его серийного выпуска в 1933 он устареет.</w:t>
      </w:r>
    </w:p>
    <w:p w14:paraId="7A719A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Поэтому предлагаю поставить в производство такой лицензионный мотор Кертисса, качества которого будут явно выше наших моторов выпуска 1933-34 г. не только по удельной мощности, но и по высотности.</w:t>
      </w:r>
    </w:p>
    <w:p w14:paraId="73430A5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данным Планового Сектора ВАО мощность Завода № 1 недостаточна для выпуска намеченного планом количества разведчиков, вследствие чего выпуск этих самолетов разбит на 2 завода: № 1 - 5000 шт. и № 31 - 1800 шт. в 1935году.</w:t>
      </w:r>
    </w:p>
    <w:p w14:paraId="6DF13E1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Ввиду того, что взаимозаменяемость частей самолетов, выпускаемых с 2-х заводов будет затруднена, считаю необхо</w:t>
      </w:r>
      <w:r w:rsidRPr="005E779E">
        <w:rPr>
          <w:rFonts w:ascii="Times New Roman" w:hAnsi="Times New Roman"/>
          <w:color w:val="000000" w:themeColor="text1"/>
          <w:sz w:val="16"/>
          <w:szCs w:val="16"/>
        </w:rPr>
        <w:softHyphen/>
        <w:t>димым создание особой Комиссии для обследования возможно</w:t>
      </w:r>
      <w:r w:rsidRPr="005E779E">
        <w:rPr>
          <w:rFonts w:ascii="Times New Roman" w:hAnsi="Times New Roman"/>
          <w:color w:val="000000" w:themeColor="text1"/>
          <w:sz w:val="16"/>
          <w:szCs w:val="16"/>
        </w:rPr>
        <w:softHyphen/>
        <w:t>стей выпуска всего количества разведчиков с Завода № 1 путем превращения его в комбинат /т.е.постройка одного - двух маленьких специальных заводов, напр, завод под крылья; завод под шасси/.</w:t>
      </w:r>
    </w:p>
    <w:p w14:paraId="5AE6F98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Под заводом при О.К.Б. мыслится постройка завода, мощностью от 500 до 1000 шт. в год, находящегося также как и зав. № 39 в ведении ОКБ, в целях освобождения крупных се</w:t>
      </w:r>
      <w:r w:rsidRPr="005E779E">
        <w:rPr>
          <w:rFonts w:ascii="Times New Roman" w:hAnsi="Times New Roman"/>
          <w:color w:val="000000" w:themeColor="text1"/>
          <w:sz w:val="16"/>
          <w:szCs w:val="16"/>
        </w:rPr>
        <w:softHyphen/>
        <w:t>рийных заводов от множества типов и мелких партий.</w:t>
      </w:r>
    </w:p>
    <w:p w14:paraId="69FE8FE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Ввиду того, что на 1935 г. число моторных заводов превышает число выпускаемых типов моторов, вероятно необходима будет кооперация моторных заводов во избежание построрки одних и тех же деталей моторов на нескольких заводах.</w:t>
      </w:r>
    </w:p>
    <w:p w14:paraId="65E4243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Цифры плановых заданий ВВС и мощности заводов, ОКБ получило от Планового сектора ВАО.</w:t>
      </w:r>
    </w:p>
    <w:p w14:paraId="7C4DC61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экз. плана при сем прилагается.</w:t>
      </w:r>
    </w:p>
    <w:p w14:paraId="4EB4589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Отп. 3 экз. ?б/УИ-31гТ</w:t>
      </w:r>
    </w:p>
    <w:p w14:paraId="77B7473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НАЧ. ОКБ</w:t>
      </w:r>
    </w:p>
    <w:p w14:paraId="4D34B3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/Пауфлер/</w:t>
      </w:r>
    </w:p>
    <w:p w14:paraId="79D11C3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августа была подготовлена:</w:t>
      </w:r>
    </w:p>
    <w:p w14:paraId="6633933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smallCaps/>
          <w:color w:val="000000" w:themeColor="text1"/>
          <w:sz w:val="16"/>
          <w:szCs w:val="16"/>
        </w:rPr>
        <w:t>пояснительная записка.</w:t>
      </w:r>
    </w:p>
    <w:p w14:paraId="63A371E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плану опытного строительства.</w:t>
      </w:r>
    </w:p>
    <w:p w14:paraId="1056A63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Таблица “план выпуска самолетов из опытного строительства и внедрения их в серию”</w:t>
      </w:r>
    </w:p>
    <w:p w14:paraId="6733048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составлении плана в основу положено разрешение следующих вопросов:</w:t>
      </w:r>
    </w:p>
    <w:p w14:paraId="2B42E2D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val="en-US"/>
        </w:rPr>
        <w:t>I</w:t>
      </w:r>
      <w:r w:rsidRPr="005E779E">
        <w:rPr>
          <w:rFonts w:ascii="Times New Roman" w:hAnsi="Times New Roman"/>
          <w:color w:val="000000" w:themeColor="text1"/>
          <w:sz w:val="16"/>
          <w:szCs w:val="16"/>
        </w:rPr>
        <w:t>/ Своевременно сменить устаревшие типы самолетов находящиеся на снабжении</w:t>
      </w:r>
    </w:p>
    <w:p w14:paraId="4004A2A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Обеспечить смену самолетами более высоакого качества.</w:t>
      </w:r>
    </w:p>
    <w:p w14:paraId="0CE1A18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Подготовить выпуск серийных самолетов к серийному выпуску новых моторов.</w:t>
      </w:r>
    </w:p>
    <w:p w14:paraId="46FDF03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Обеспечить введение на снабжение новых видов вооруженных самолетов.</w:t>
      </w:r>
    </w:p>
    <w:p w14:paraId="16F433D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Свести количество типов, ваходящихся на снабжении к наимень</w:t>
      </w:r>
      <w:r w:rsidRPr="005E779E">
        <w:rPr>
          <w:rFonts w:ascii="Times New Roman" w:hAnsi="Times New Roman"/>
          <w:color w:val="000000" w:themeColor="text1"/>
          <w:sz w:val="16"/>
          <w:szCs w:val="16"/>
        </w:rPr>
        <w:softHyphen/>
        <w:t>шему.</w:t>
      </w:r>
    </w:p>
    <w:p w14:paraId="3176514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Вести экспериментальные работы для выявления дальнейших перспектив и возможностей строительства.</w:t>
      </w:r>
    </w:p>
    <w:p w14:paraId="23188F7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Разрешение перечисленных вопросов выразилось в следующем:</w:t>
      </w:r>
    </w:p>
    <w:p w14:paraId="0043D7E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Смена типов</w:t>
      </w:r>
    </w:p>
    <w:p w14:paraId="45BEFB2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пулеметный истребитель И5 сменяется полностью следующим типом в 34-м году. Более ранняя смена невозможна, так как пуск в серию проверенного на войсковых испытаниях истре</w:t>
      </w:r>
      <w:r w:rsidRPr="005E779E">
        <w:rPr>
          <w:rFonts w:ascii="Times New Roman" w:hAnsi="Times New Roman"/>
          <w:color w:val="000000" w:themeColor="text1"/>
          <w:sz w:val="16"/>
          <w:szCs w:val="16"/>
        </w:rPr>
        <w:softHyphen/>
        <w:t>бителя возможен в 33-м году.</w:t>
      </w:r>
    </w:p>
    <w:p w14:paraId="4AB51A0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Разведчик сменяется в 34-м году по тем же причинам.</w:t>
      </w:r>
    </w:p>
    <w:p w14:paraId="20B3414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Смена крейсера Р6, бомбардировщика ТБ1 и учебного У2 - производится в сроки, когда предыдущие типы можно считать устаревшими.</w:t>
      </w:r>
    </w:p>
    <w:p w14:paraId="17DBFB0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Обеспечение высокого качества нового типа достигается тем, что примерно в одно время выпускается несколько самолетов, и один из них, показавший при испытаниях лучшие данные;</w:t>
      </w:r>
    </w:p>
    <w:p w14:paraId="6D39811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так выпускаются И5-бис, И9, И10 и И11, Р8 и Р9 и т.д.</w:t>
      </w:r>
    </w:p>
    <w:p w14:paraId="521A823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Подготовка выпуска серийных самолетов к выпуску новых моторов достигается тем, что первые опытные самолеты проектируются под мотор, выходящий несколько позже, и выпускается с существующим мотором для предварительно</w:t>
      </w:r>
      <w:r w:rsidRPr="005E779E">
        <w:rPr>
          <w:rFonts w:ascii="Times New Roman" w:hAnsi="Times New Roman"/>
          <w:color w:val="000000" w:themeColor="text1"/>
          <w:sz w:val="16"/>
          <w:szCs w:val="16"/>
        </w:rPr>
        <w:softHyphen/>
        <w:t>го летного и эксплоатационного испытания. По выходе ново</w:t>
      </w:r>
      <w:r w:rsidRPr="005E779E">
        <w:rPr>
          <w:rFonts w:ascii="Times New Roman" w:hAnsi="Times New Roman"/>
          <w:color w:val="000000" w:themeColor="text1"/>
          <w:sz w:val="16"/>
          <w:szCs w:val="16"/>
        </w:rPr>
        <w:softHyphen/>
        <w:t>го мотора последний устанавливается на данный самолет и в таком виде внедряется в серию.</w:t>
      </w:r>
    </w:p>
    <w:p w14:paraId="5E021B4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Так выпускаются Р8-М27, Р9-М127, ТБ4-6-ФЭД, К7-6-ФЭД и т.д., благодаря чему имеется полная возможность использо</w:t>
      </w:r>
      <w:r w:rsidRPr="005E779E">
        <w:rPr>
          <w:rFonts w:ascii="Times New Roman" w:hAnsi="Times New Roman"/>
          <w:color w:val="000000" w:themeColor="text1"/>
          <w:sz w:val="16"/>
          <w:szCs w:val="16"/>
        </w:rPr>
        <w:softHyphen/>
        <w:t>вать М34 в 34-м году.</w:t>
      </w:r>
    </w:p>
    <w:p w14:paraId="11DD151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Введение новых видов вооруженных самолетов предусмотрено выпуском пушечных истребителей, морских самолетов спец. назначения и т.д. И-линейн., МДР, МК, КОР, СПЛ и т.д.</w:t>
      </w:r>
    </w:p>
    <w:p w14:paraId="697FB45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Уменьшение количества типов находящиеся в постройке и на снабжении достигается применением модификаций, например:</w:t>
      </w:r>
    </w:p>
    <w:p w14:paraId="6336D11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штурмовик должен бнть модификацией разведчика или истре</w:t>
      </w:r>
      <w:r w:rsidRPr="005E779E">
        <w:rPr>
          <w:rFonts w:ascii="Times New Roman" w:hAnsi="Times New Roman"/>
          <w:color w:val="000000" w:themeColor="text1"/>
          <w:sz w:val="16"/>
          <w:szCs w:val="16"/>
        </w:rPr>
        <w:softHyphen/>
        <w:t>бителя, пассажирские самолеты - бомбардировщиков.</w:t>
      </w:r>
    </w:p>
    <w:p w14:paraId="4900248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Экспериментальные работы введены у виде рекордных самолетов и параболы.</w:t>
      </w:r>
    </w:p>
    <w:p w14:paraId="2585A88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 Таблица “загрузка серийных самолетостроительных заводов в 1931-1935 г.”</w:t>
      </w:r>
    </w:p>
    <w:p w14:paraId="139F355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Мощности заводов, количество и распределение самолетов по типам показано по данным Планового сектора ВАО.</w:t>
      </w:r>
    </w:p>
    <w:p w14:paraId="5DCCF19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Начало серийного производства самолетов вытекает из сро</w:t>
      </w:r>
      <w:r w:rsidRPr="005E779E">
        <w:rPr>
          <w:rFonts w:ascii="Times New Roman" w:hAnsi="Times New Roman"/>
          <w:color w:val="000000" w:themeColor="text1"/>
          <w:sz w:val="16"/>
          <w:szCs w:val="16"/>
        </w:rPr>
        <w:softHyphen/>
        <w:t xml:space="preserve">ков внпуска опытного образца /см. табл. </w:t>
      </w:r>
      <w:r w:rsidRPr="005E779E">
        <w:rPr>
          <w:rFonts w:ascii="Times New Roman" w:hAnsi="Times New Roman"/>
          <w:color w:val="000000" w:themeColor="text1"/>
          <w:sz w:val="16"/>
          <w:szCs w:val="16"/>
          <w:lang w:val="en-US"/>
        </w:rPr>
        <w:t>I</w:t>
      </w:r>
      <w:r w:rsidRPr="005E779E">
        <w:rPr>
          <w:rFonts w:ascii="Times New Roman" w:hAnsi="Times New Roman"/>
          <w:color w:val="000000" w:themeColor="text1"/>
          <w:sz w:val="16"/>
          <w:szCs w:val="16"/>
        </w:rPr>
        <w:t>/.</w:t>
      </w:r>
    </w:p>
    <w:p w14:paraId="1A5DECA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При подсчете графы "потребность” принят запас моторов для истребителей 100% и для прочих - 50% от количества вы</w:t>
      </w:r>
      <w:r w:rsidRPr="005E779E">
        <w:rPr>
          <w:rFonts w:ascii="Times New Roman" w:hAnsi="Times New Roman"/>
          <w:color w:val="000000" w:themeColor="text1"/>
          <w:sz w:val="16"/>
          <w:szCs w:val="16"/>
        </w:rPr>
        <w:softHyphen/>
        <w:t>пускаемых самолетов.</w:t>
      </w:r>
    </w:p>
    <w:p w14:paraId="204D7E1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 Таблица “Потребность в моторах по типам" является выбор</w:t>
      </w:r>
      <w:r w:rsidRPr="005E779E">
        <w:rPr>
          <w:rFonts w:ascii="Times New Roman" w:hAnsi="Times New Roman"/>
          <w:color w:val="000000" w:themeColor="text1"/>
          <w:sz w:val="16"/>
          <w:szCs w:val="16"/>
        </w:rPr>
        <w:softHyphen/>
        <w:t>кой из таблицы П количеств моторов по типам и годам и освещает возможные варианты в зависимости от выбора типа для серии.</w:t>
      </w:r>
    </w:p>
    <w:p w14:paraId="57EC13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1У. Таблица "Снабжение моторами серийной постройки самолетов” является разбивкой предыдущей таблицы по моторостроительным заводам, сообразно, их мощности, по данным Планового сектора ВАО.</w:t>
      </w:r>
    </w:p>
    <w:p w14:paraId="16B4DDB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 Таблица "Снабжение моторами серийной постройки самолетов" - вар. 2-й и 3-й освещает перспективы баланса моторов водяного и воздушного охлаждения, в зависимости от выбора типа самолета для серийной постройки.</w:t>
      </w:r>
    </w:p>
    <w:p w14:paraId="33AB2CA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У1. Таблица “Программа получения моторов, необходимых ОКБ” является увязкой подачи моторов ОКБ с выпуском их с моторостроительных заводов и ИАМ. (351,14).</w:t>
      </w:r>
    </w:p>
    <w:p w14:paraId="48DD7EE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августа была подготовлена справка:</w:t>
      </w:r>
    </w:p>
    <w:p w14:paraId="745940A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ОБЕСПЕЧЕНИЕ СЕРИЙНОГО СТРОИТЕЛЬСТВА ЗАВОДАМИ.</w:t>
      </w:r>
    </w:p>
    <w:p w14:paraId="1F12020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Для выполнения программного заданяя Штаба УВВС РККА по выпуску самолетов, ОКБ считает необходимым постройку и окончание постройки следующих заводов:</w:t>
      </w:r>
    </w:p>
    <w:p w14:paraId="10E4018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Новый завод для массовое постройки истребителей и их модификаций /легкий штурмовик/ мощностью в 6000 единиц в год; завод должен быть пущен в 33 г. и в этом году выпустить первые серии.</w:t>
      </w:r>
    </w:p>
    <w:p w14:paraId="161BB37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Завод № 18 предназначается для массовой постройки металлических /колъчуг-алюминиевых/ бомбардировщиков большого тоннажа; завод должен быть расширен до мощности в 1500 единиц в год и в 32 году начат задел первых серий.</w:t>
      </w:r>
    </w:p>
    <w:p w14:paraId="3FBFEB9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Харьковский завод тяжелых самолетов /Х.Т./ предназначается для постройки самолетов-гигантов. Мощное завода должна быть 800 единиц в год</w:t>
      </w:r>
      <w:r w:rsidRPr="005E779E">
        <w:rPr>
          <w:rFonts w:ascii="Times New Roman" w:hAnsi="Times New Roman"/>
          <w:smallCaps/>
          <w:color w:val="000000" w:themeColor="text1"/>
          <w:sz w:val="16"/>
          <w:szCs w:val="16"/>
        </w:rPr>
        <w:t xml:space="preserve">. </w:t>
      </w:r>
      <w:r w:rsidRPr="005E779E">
        <w:rPr>
          <w:rFonts w:ascii="Times New Roman" w:hAnsi="Times New Roman"/>
          <w:color w:val="000000" w:themeColor="text1"/>
          <w:sz w:val="16"/>
          <w:szCs w:val="16"/>
        </w:rPr>
        <w:t>Завод должен быть пущен ранее против имеющегося плана, а именно: в 1933 г должен бить начат задел первой серии.</w:t>
      </w:r>
    </w:p>
    <w:p w14:paraId="40BEBFA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Новый завод в гор. Ейске для серийного выпуска желых морских самолетов; мощность завода - 300 единиц в год</w:t>
      </w:r>
      <w:r w:rsidRPr="005E779E">
        <w:rPr>
          <w:rFonts w:ascii="Times New Roman" w:hAnsi="Times New Roman"/>
          <w:smallCaps/>
          <w:color w:val="000000" w:themeColor="text1"/>
          <w:sz w:val="16"/>
          <w:szCs w:val="16"/>
        </w:rPr>
        <w:t>; з</w:t>
      </w:r>
      <w:r w:rsidRPr="005E779E">
        <w:rPr>
          <w:rFonts w:ascii="Times New Roman" w:hAnsi="Times New Roman"/>
          <w:color w:val="000000" w:themeColor="text1"/>
          <w:sz w:val="16"/>
          <w:szCs w:val="16"/>
        </w:rPr>
        <w:t>авод должен начать задел первых серий в 1933 г.</w:t>
      </w:r>
    </w:p>
    <w:p w14:paraId="70CB266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Новый завод массового выпуска легких спортивных самолетов; мощность - 3000 единиц в год; заводдолжен дать выпуск первых серий в 1934 г.</w:t>
      </w:r>
    </w:p>
    <w:p w14:paraId="3C8E561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Новый завод в непосредственной близости от ОКБ для выпуска небольшими сериями самолетов малого тоннажа различного типа. Завод должен иметь мощность до 1000 в год. Первые серии должны быть выпущены в 1934 г.</w:t>
      </w:r>
    </w:p>
    <w:p w14:paraId="3B890A8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 для самолетостроения требуется: 4 новых завода и достройка двух строящихся.</w:t>
      </w:r>
    </w:p>
    <w:p w14:paraId="13654E3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Мощность самолетостроительных заводов по годам - см. таблицу "Загрузка серийных заводов".</w:t>
      </w:r>
    </w:p>
    <w:p w14:paraId="3076227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 Ддя обеспечения моторами выпускаемых самолетов должны быть построены в окончены оледующие моторостроятельные заводы:.</w:t>
      </w:r>
    </w:p>
    <w:p w14:paraId="3F14251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Завод № 19 предназначается для массового выпуска моторов воздушного охлаждения и должен иметь мощнность 5600 единиц в год. Первые серии моторов должны быть выпущены в 1933 г.</w:t>
      </w:r>
    </w:p>
    <w:p w14:paraId="02DEB2C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Новый завод моторов воздушногоохлаждения; мощность 15000 единиц в год; выпуск первой сери должна быть в 1934 г.</w:t>
      </w:r>
    </w:p>
    <w:p w14:paraId="347C44B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Новый завод моторов водяного охлаждения /предназначается для постройки лицензионных моторов/. Первыа серии должны быть выпущены в 1935 году.</w:t>
      </w:r>
    </w:p>
    <w:p w14:paraId="1E651FF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 для моторостроения требуется:</w:t>
      </w:r>
    </w:p>
    <w:p w14:paraId="2887038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Постройка двух новых заводов в достройка одного. Мощности заводов по годам см. Таблицу № 4.</w:t>
      </w:r>
    </w:p>
    <w:p w14:paraId="5E9FBEA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Ввиду того, что на 1935 год назнчена постройка одних и тех же моторов на нескольких заводах, например:М38 на № 19 и № 29 и М34 и М35 - на заводах № 24 и 26, надо рассмотреть распределение работа между заводами с точки зрения кооперация заводов (351).</w:t>
      </w:r>
    </w:p>
    <w:p w14:paraId="316271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69AFA94" w14:textId="0BAB7B48" w:rsidR="00EB3E6D" w:rsidRPr="005E779E" w:rsidRDefault="00EB3E6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 августа 1931 г. при Наркомземе СССР созданы Управление сельскохозяйственной авиации (СХА) и Научно-исследовательский институт СХА. Управление СХА объединило и возглавило всю работу авиации в сельском и лесном хозяйстве, осуществляя свое руководство через сеть республиканских и областных /краевых/ авиабаз СХА. В 1932 году Управление СХА было реорганизовано в трест сельско-хозяйственнеой авиации ГВФ, НИИ СXA был объединен с НИИ ГВВ (23370).</w:t>
      </w:r>
    </w:p>
    <w:p w14:paraId="128BE17A" w14:textId="77777777" w:rsidR="00EB3E6D" w:rsidRPr="005E779E" w:rsidRDefault="00EB3E6D" w:rsidP="000B7A6C">
      <w:pPr>
        <w:spacing w:after="0" w:line="240" w:lineRule="auto"/>
        <w:jc w:val="both"/>
        <w:rPr>
          <w:rFonts w:ascii="Times New Roman" w:hAnsi="Times New Roman"/>
          <w:color w:val="000000" w:themeColor="text1"/>
          <w:sz w:val="16"/>
          <w:szCs w:val="16"/>
        </w:rPr>
      </w:pPr>
    </w:p>
    <w:p w14:paraId="28A62B21"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09D1643D"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0FF24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августа 1931 состоялся первый полет АНТ-23 (И-12, Бауманский комсомолец). Летал И.Ф.Козлов (2072,70).</w:t>
      </w:r>
    </w:p>
    <w:p w14:paraId="17178A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другим данным - 29 августа 1931.</w:t>
      </w:r>
    </w:p>
    <w:p w14:paraId="7D3A5F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37DC9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августа 1931 (61,127) (17 августа - 71,184) приказом начальника Всесоюзного авиационного объединения (ВАО) П.И.Баранова (62,649) N 265 было принято решение о сосредоточении всего опытного авиастроения в едином Центральном конструкторском бюро (ЦКБ) ЦАГИ (24,52).</w:t>
      </w:r>
    </w:p>
    <w:p w14:paraId="4BA08B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другим данным ЦКБ ВАО было подчинено ЦАГИ только в октябре 1931, когда начальником ЦКБ и, одновременно, зам. начальника ЦАГИ - стал С.В.И. (80,417).</w:t>
      </w:r>
    </w:p>
    <w:p w14:paraId="691789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Это разумно, так как соответствующий приказ по ЦАГИ вышел только 27 сентября (61,127).</w:t>
      </w:r>
    </w:p>
    <w:p w14:paraId="46F855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Начальником ЦКБ в ЦАГИ стал директор завода 39 Н.Е.Пауфлер (71,185). Есть мнение Незваля, что именно Пауфлер - гепеуст, начальник ЦКБ (109,137), а не П.И.Баранов был инициатором объединения ЦКБ и ЦАГИ.</w:t>
      </w:r>
    </w:p>
    <w:p w14:paraId="3FF325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Якобы А.Н.Т. в это время был за границей и приехав пошел жаловаться К.Е.Ворошилову и нормального слияния (на 900 чел.) - не получилось (79,126).</w:t>
      </w:r>
    </w:p>
    <w:p w14:paraId="6DFBEB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Существует несколько мнений по поводу вхождения в ЦКБ АГОС от полного (62, 649) до невхождения.</w:t>
      </w:r>
    </w:p>
    <w:p w14:paraId="748F02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Согласно второму мнению, АГОС под руководством А.Н.Туполева, выделенный из ЦАГИ, и ГРОС не вошли в ЦКБ и продолжали работать самостоятельно (92,408).</w:t>
      </w:r>
    </w:p>
    <w:p w14:paraId="2D528C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Идея была в том, чтобы объединить опытное самолетостроение под единым техническим и административным руководством (что звучит странно, так как далее мы узнаем, что такого руководства по существу не было). ЦКБ ВАО было создано НКВД в противовес КБ А.Н.Туполева чтобы доказать, что самолеты можно делать намного быстрее, так сказать стахановскими методами. Действительно, в ЦКБ получилось быстро, но дело в том, что туда были собраны хорошие конструкторы с заделами, которые явились результатом длительной работы на старых местах.</w:t>
      </w:r>
    </w:p>
    <w:p w14:paraId="52E022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Сауке считает, что решение о создании ЦКБ выло выражением аппаратных игр. АГОС ЦАГИ заканчивал подготовку к серийному производству ТБ-3 (АНТ-6) и был лучшим в авиапромышленности. ВАО же хотел выделится через свое ЦКБ слив с ним АГОС. Вторым фактором, согласно Сауке, было обострение классовой борьбы с приближающейся победой социализма. Работники-вредители перевоспитались в рамках ЦКБ-39 НКВД и А.Н.Туполев - бедный, но дворянин и брат попа - должен был быть заменен партийным товарищем (61,128).</w:t>
      </w:r>
    </w:p>
    <w:p w14:paraId="7B9C65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9DEA920" w14:textId="77777777" w:rsidR="00B24706" w:rsidRPr="005E779E" w:rsidRDefault="00B247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27 августа 1931 года</w:t>
      </w:r>
      <w:r w:rsidRPr="005E779E">
        <w:rPr>
          <w:rFonts w:ascii="Times New Roman" w:hAnsi="Times New Roman"/>
          <w:color w:val="000000" w:themeColor="text1"/>
          <w:sz w:val="16"/>
          <w:szCs w:val="16"/>
        </w:rPr>
        <w:t xml:space="preserve"> Приказом по Всесоюзному авиационному объединению (ВАО) №265 ЦКБ и ЦАГИ объединили в единую организацию - ЦКБ-ЦАГИ. Старшим поставили Е.С. Пауфлера. Очевидно, руководство ОГПУ сумело доказать, что строительство советской авиации в обозримом будущем невозможно без твердой чекистской руки. В результате и произошло событие, получившее в народе известность как "свадьба"</w:t>
      </w:r>
      <w:r w:rsidRPr="005E779E">
        <w:rPr>
          <w:rStyle w:val="ucoz-forum-post"/>
          <w:rFonts w:ascii="Times New Roman" w:eastAsia="Times New Roman" w:hAnsi="Times New Roman"/>
          <w:color w:val="000000" w:themeColor="text1"/>
          <w:sz w:val="16"/>
          <w:szCs w:val="16"/>
        </w:rPr>
        <w:t xml:space="preserve"> (14751)</w:t>
      </w:r>
      <w:r w:rsidRPr="005E779E">
        <w:rPr>
          <w:rFonts w:ascii="Times New Roman" w:hAnsi="Times New Roman"/>
          <w:color w:val="000000" w:themeColor="text1"/>
          <w:sz w:val="16"/>
          <w:szCs w:val="16"/>
        </w:rPr>
        <w:t>.</w:t>
      </w:r>
    </w:p>
    <w:p w14:paraId="2E0B0A04" w14:textId="77777777" w:rsidR="00B24706" w:rsidRPr="005E779E" w:rsidRDefault="00B24706" w:rsidP="000B7A6C">
      <w:pPr>
        <w:spacing w:after="0" w:line="240" w:lineRule="auto"/>
        <w:jc w:val="both"/>
        <w:rPr>
          <w:rFonts w:ascii="Times New Roman" w:hAnsi="Times New Roman"/>
          <w:bCs/>
          <w:color w:val="000000" w:themeColor="text1"/>
          <w:sz w:val="16"/>
          <w:szCs w:val="16"/>
        </w:rPr>
      </w:pPr>
    </w:p>
    <w:p w14:paraId="788C09AD" w14:textId="77777777" w:rsidR="00024EF9" w:rsidRPr="005E779E" w:rsidRDefault="00024EF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августа 1931 г. при</w:t>
      </w:r>
      <w:r w:rsidRPr="005E779E">
        <w:rPr>
          <w:rFonts w:ascii="Times New Roman" w:hAnsi="Times New Roman"/>
          <w:color w:val="000000" w:themeColor="text1"/>
          <w:sz w:val="16"/>
          <w:szCs w:val="16"/>
        </w:rPr>
        <w:softHyphen/>
        <w:t>казом по Всесоюзному авиационному объ</w:t>
      </w:r>
      <w:r w:rsidRPr="005E779E">
        <w:rPr>
          <w:rFonts w:ascii="Times New Roman" w:hAnsi="Times New Roman"/>
          <w:color w:val="000000" w:themeColor="text1"/>
          <w:sz w:val="16"/>
          <w:szCs w:val="16"/>
        </w:rPr>
        <w:softHyphen/>
        <w:t>единению (ВАО) №265 от 27 августа 1931 г. ЦКБ и ЦАГИ объединялись в единую про</w:t>
      </w:r>
      <w:r w:rsidRPr="005E779E">
        <w:rPr>
          <w:rFonts w:ascii="Times New Roman" w:hAnsi="Times New Roman"/>
          <w:color w:val="000000" w:themeColor="text1"/>
          <w:sz w:val="16"/>
          <w:szCs w:val="16"/>
        </w:rPr>
        <w:softHyphen/>
        <w:t>ектную организацию — ЦКБ-ЦАГИ. Остро</w:t>
      </w:r>
      <w:r w:rsidRPr="005E779E">
        <w:rPr>
          <w:rFonts w:ascii="Times New Roman" w:hAnsi="Times New Roman"/>
          <w:color w:val="000000" w:themeColor="text1"/>
          <w:sz w:val="16"/>
          <w:szCs w:val="16"/>
        </w:rPr>
        <w:softHyphen/>
        <w:t>словы окрестили соединение двух организа</w:t>
      </w:r>
      <w:r w:rsidRPr="005E779E">
        <w:rPr>
          <w:rFonts w:ascii="Times New Roman" w:hAnsi="Times New Roman"/>
          <w:color w:val="000000" w:themeColor="text1"/>
          <w:sz w:val="16"/>
          <w:szCs w:val="16"/>
        </w:rPr>
        <w:softHyphen/>
        <w:t>ций «свадьбой». От ОГПУ командовать новой структурой назначили Е.С. Пауфлера, по тех</w:t>
      </w:r>
      <w:r w:rsidRPr="005E779E">
        <w:rPr>
          <w:rFonts w:ascii="Times New Roman" w:hAnsi="Times New Roman"/>
          <w:color w:val="000000" w:themeColor="text1"/>
          <w:sz w:val="16"/>
          <w:szCs w:val="16"/>
        </w:rPr>
        <w:softHyphen/>
        <w:t>нической части начальником объединенной организации стал С.В. Ильюшин (12295).</w:t>
      </w:r>
    </w:p>
    <w:p w14:paraId="2F5C23F7" w14:textId="77777777" w:rsidR="00024EF9" w:rsidRPr="005E779E" w:rsidRDefault="00024EF9" w:rsidP="000B7A6C">
      <w:pPr>
        <w:spacing w:after="0" w:line="240" w:lineRule="auto"/>
        <w:jc w:val="both"/>
        <w:rPr>
          <w:rFonts w:ascii="Times New Roman" w:hAnsi="Times New Roman"/>
          <w:color w:val="000000" w:themeColor="text1"/>
          <w:sz w:val="16"/>
          <w:szCs w:val="16"/>
        </w:rPr>
      </w:pPr>
    </w:p>
    <w:p w14:paraId="7CDC86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августа 1931 г. Приказом ВАО Центральное конструкторское бюро завода № 39 сливалось с ЦАГИ и объединялось с отделом авиации, гидроавиации и опытного строительства (АГОС) ЦАГИ. Новое структурное подразделение ЦАГИ получило название ЦКБ ЦАГИ по самолетостроению. Начальником ЦАГИ был назначен Н.Е.Пауфлер, а его заместителем и начальником ЦКБ ЦАГИ - С.В.Ильюшин. Заместителем С.В.Ильюшина по ЦКБ ЦАГИ стал А.Н.Туполев (9528).</w:t>
      </w:r>
    </w:p>
    <w:p w14:paraId="332B8E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906E1C7" w14:textId="77777777" w:rsidR="005E0521" w:rsidRPr="005E779E" w:rsidRDefault="005E0521" w:rsidP="000B7A6C">
      <w:pPr>
        <w:pStyle w:val="rtejustify"/>
        <w:shd w:val="clear" w:color="auto" w:fill="FFFFFF"/>
        <w:spacing w:before="0" w:after="0"/>
        <w:rPr>
          <w:color w:val="000000" w:themeColor="text1"/>
          <w:sz w:val="16"/>
          <w:szCs w:val="16"/>
        </w:rPr>
      </w:pPr>
      <w:r w:rsidRPr="005E779E">
        <w:rPr>
          <w:color w:val="000000" w:themeColor="text1"/>
          <w:sz w:val="16"/>
          <w:szCs w:val="16"/>
        </w:rPr>
        <w:t>27 августа 1931 года произошло слияние Центрального конструкторского бюро (ЦКБ) Всесоюзного авиационно-промышленного объединения (ВАО) с ЦАГИ, в связи с чем, ЦКБ ВАО и АГОС ЦАГИ объединили в ЦКБ ЦАГИ по самолетостроению (19171).</w:t>
      </w:r>
    </w:p>
    <w:p w14:paraId="08104CE3" w14:textId="77777777" w:rsidR="005E0521" w:rsidRPr="005E779E" w:rsidRDefault="005E0521" w:rsidP="000B7A6C">
      <w:pPr>
        <w:pStyle w:val="rtejustify"/>
        <w:shd w:val="clear" w:color="auto" w:fill="FFFFFF"/>
        <w:spacing w:before="0" w:after="0"/>
        <w:rPr>
          <w:color w:val="000000" w:themeColor="text1"/>
          <w:sz w:val="16"/>
          <w:szCs w:val="16"/>
        </w:rPr>
      </w:pPr>
    </w:p>
    <w:p w14:paraId="74625FC7" w14:textId="77777777" w:rsidR="005E0521" w:rsidRPr="005E779E" w:rsidRDefault="005E052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августа 1931 г. Приказом начальника ВАО №265 предписывалось объединить в единое целое ЦАГИ и Центральное конструкторское бюро (ЦКБ) с заводом №39 им. Менжинского (19727).</w:t>
      </w:r>
    </w:p>
    <w:p w14:paraId="7D0141C9" w14:textId="77777777" w:rsidR="005E0521" w:rsidRPr="005E779E" w:rsidRDefault="005E0521" w:rsidP="000B7A6C">
      <w:pPr>
        <w:spacing w:after="0" w:line="240" w:lineRule="auto"/>
        <w:jc w:val="both"/>
        <w:rPr>
          <w:rFonts w:ascii="Times New Roman" w:hAnsi="Times New Roman"/>
          <w:color w:val="000000" w:themeColor="text1"/>
          <w:sz w:val="16"/>
          <w:szCs w:val="16"/>
        </w:rPr>
      </w:pPr>
    </w:p>
    <w:p w14:paraId="3445BCD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августа 1931 г. приказом по ВАО за номером 265 ЦКБ было вве</w:t>
      </w:r>
      <w:r w:rsidRPr="005E779E">
        <w:rPr>
          <w:rFonts w:ascii="Times New Roman" w:hAnsi="Times New Roman"/>
          <w:color w:val="000000" w:themeColor="text1"/>
          <w:sz w:val="16"/>
          <w:szCs w:val="16"/>
        </w:rPr>
        <w:softHyphen/>
        <w:t>дено в состав ЦАГИ, а начальником ЦАГИ назначен Н.Е.Пауфлер. В ЦКБ включили конструкторские бригады ЦАГИ, ранее подчинявшиеся главному инже</w:t>
      </w:r>
      <w:r w:rsidRPr="005E779E">
        <w:rPr>
          <w:rFonts w:ascii="Times New Roman" w:hAnsi="Times New Roman"/>
          <w:color w:val="000000" w:themeColor="text1"/>
          <w:sz w:val="16"/>
          <w:szCs w:val="16"/>
        </w:rPr>
        <w:softHyphen/>
        <w:t>неру А.Н.Туполеву.</w:t>
      </w:r>
    </w:p>
    <w:p w14:paraId="7269A7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Новое задание бригады № 3 предусматривало разра</w:t>
      </w:r>
      <w:r w:rsidRPr="005E779E">
        <w:rPr>
          <w:rFonts w:ascii="Times New Roman" w:hAnsi="Times New Roman"/>
          <w:color w:val="000000" w:themeColor="text1"/>
          <w:sz w:val="16"/>
          <w:szCs w:val="16"/>
        </w:rPr>
        <w:softHyphen/>
        <w:t>ботку пассажирского самолета, разведчика Р-11, истре</w:t>
      </w:r>
      <w:r w:rsidRPr="005E779E">
        <w:rPr>
          <w:rFonts w:ascii="Times New Roman" w:hAnsi="Times New Roman"/>
          <w:color w:val="000000" w:themeColor="text1"/>
          <w:sz w:val="16"/>
          <w:szCs w:val="16"/>
        </w:rPr>
        <w:softHyphen/>
        <w:t>бителя И-13. В рабочем дневнике, который Поликарпов вел с сентября по октябрь 1931 г., по часам расписан ход работ над проектами. Несколько записей:</w:t>
      </w:r>
    </w:p>
    <w:p w14:paraId="5A48999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«21-ое сентября 1931 г.</w:t>
      </w:r>
    </w:p>
    <w:p w14:paraId="2E3A5C6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8,5-12. Обработка результатов статиспытаний лонж. № 12</w:t>
      </w:r>
    </w:p>
    <w:p w14:paraId="0FF6B32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12-14,5. Расчет крепежа радиатора сам. № 11</w:t>
      </w:r>
    </w:p>
    <w:p w14:paraId="0642D42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14,5-15. Обработка результатов статиспытаний лонж. № 12</w:t>
      </w:r>
    </w:p>
    <w:p w14:paraId="4CD29E5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15-17,5. Заседание в ЗАО ЦАГИ (дорога)</w:t>
      </w:r>
    </w:p>
    <w:p w14:paraId="47120B5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17,5-22. Доклад в ЗАО ЦАГИ...</w:t>
      </w:r>
    </w:p>
    <w:p w14:paraId="1A4A9D6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9-ое октября 1931 г.</w:t>
      </w:r>
    </w:p>
    <w:p w14:paraId="3B84DE6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8-9,5. Совещание с т. Фоминым по ИЗбис</w:t>
      </w:r>
    </w:p>
    <w:p w14:paraId="7355879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9,5-11. Осмотр вспомог. матер, по пассажирскому и Р11 с летчиком т. Козловым</w:t>
      </w:r>
    </w:p>
    <w:p w14:paraId="333F61B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11-4. Работы по пассажирск. и по И-13</w:t>
      </w:r>
    </w:p>
    <w:p w14:paraId="21950D7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4-7. Обсуждение технич. требований по И-13 и пассажирск.» (10667).</w:t>
      </w:r>
    </w:p>
    <w:p w14:paraId="6E3343F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41CDE4" w14:textId="77777777" w:rsidR="00D70EBF" w:rsidRPr="00142305" w:rsidRDefault="00D70EBF" w:rsidP="00D70EB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27 августа 1931 г. приказом по ВАО за номером 265 ЦКБ было введено в состав ЦАГИ, а начальником ЦАГИ был назначен Н. Е. Пауфлер. В ЦКБ включили конструкторские бригады ЦАГИ, ранее подчинявшиеся главному инженеру А. Н. Туполеву.</w:t>
      </w:r>
    </w:p>
    <w:p w14:paraId="7184786B" w14:textId="77777777" w:rsidR="00D70EBF" w:rsidRPr="00142305" w:rsidRDefault="00D70EBF" w:rsidP="00D70EB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Новое задание бригады № 3 предусматривало разработку пассажирского самолета, разведчика Р-11, истребителя И-13. В кратком рабочем дневнике, который Поликарпов вел с сентября по октябрь 1931 г., по часам расписан ход работ над проектами. Приведем несколько записей:</w:t>
      </w:r>
    </w:p>
    <w:p w14:paraId="020CA3DA" w14:textId="77777777" w:rsidR="00D70EBF" w:rsidRPr="00142305" w:rsidRDefault="00D70EBF" w:rsidP="00D70EBF">
      <w:pPr>
        <w:pStyle w:val="Cite0"/>
        <w:jc w:val="left"/>
        <w:rPr>
          <w:color w:val="0070C0"/>
          <w:sz w:val="16"/>
          <w:szCs w:val="16"/>
        </w:rPr>
      </w:pPr>
      <w:r w:rsidRPr="00142305">
        <w:rPr>
          <w:color w:val="0070C0"/>
          <w:sz w:val="16"/>
          <w:szCs w:val="16"/>
        </w:rPr>
        <w:t xml:space="preserve">«21 сентября 1931 г. </w:t>
      </w:r>
    </w:p>
    <w:p w14:paraId="39F682CA" w14:textId="77777777" w:rsidR="00D70EBF" w:rsidRPr="00142305" w:rsidRDefault="00D70EBF" w:rsidP="00D70EBF">
      <w:pPr>
        <w:pStyle w:val="Cite0"/>
        <w:jc w:val="left"/>
        <w:rPr>
          <w:color w:val="0070C0"/>
          <w:sz w:val="16"/>
          <w:szCs w:val="16"/>
        </w:rPr>
      </w:pPr>
      <w:r w:rsidRPr="00142305">
        <w:rPr>
          <w:color w:val="0070C0"/>
          <w:sz w:val="16"/>
          <w:szCs w:val="16"/>
        </w:rPr>
        <w:t xml:space="preserve">8.5-12 Обработка результатов статиспытаний лонж. № 12 </w:t>
      </w:r>
    </w:p>
    <w:p w14:paraId="410459C0" w14:textId="77777777" w:rsidR="00D70EBF" w:rsidRPr="00142305" w:rsidRDefault="00D70EBF" w:rsidP="00D70EBF">
      <w:pPr>
        <w:pStyle w:val="Cite0"/>
        <w:jc w:val="left"/>
        <w:rPr>
          <w:color w:val="0070C0"/>
          <w:sz w:val="16"/>
          <w:szCs w:val="16"/>
        </w:rPr>
      </w:pPr>
      <w:r w:rsidRPr="00142305">
        <w:rPr>
          <w:color w:val="0070C0"/>
          <w:sz w:val="16"/>
          <w:szCs w:val="16"/>
        </w:rPr>
        <w:t xml:space="preserve">12–14,5 Расчет крепежа радиатора сам. № 11 </w:t>
      </w:r>
    </w:p>
    <w:p w14:paraId="5EF3E77A" w14:textId="77777777" w:rsidR="00D70EBF" w:rsidRPr="00142305" w:rsidRDefault="00D70EBF" w:rsidP="00D70EBF">
      <w:pPr>
        <w:pStyle w:val="Cite0"/>
        <w:jc w:val="left"/>
        <w:rPr>
          <w:color w:val="0070C0"/>
          <w:sz w:val="16"/>
          <w:szCs w:val="16"/>
        </w:rPr>
      </w:pPr>
      <w:r w:rsidRPr="00142305">
        <w:rPr>
          <w:color w:val="0070C0"/>
          <w:sz w:val="16"/>
          <w:szCs w:val="16"/>
        </w:rPr>
        <w:t xml:space="preserve">14.5-15 Обработка результатов статиспытаний лонж. 12 </w:t>
      </w:r>
    </w:p>
    <w:p w14:paraId="4E040D29" w14:textId="77777777" w:rsidR="00D70EBF" w:rsidRPr="00142305" w:rsidRDefault="00D70EBF" w:rsidP="00D70EBF">
      <w:pPr>
        <w:pStyle w:val="Cite0"/>
        <w:jc w:val="left"/>
        <w:rPr>
          <w:color w:val="0070C0"/>
          <w:sz w:val="16"/>
          <w:szCs w:val="16"/>
        </w:rPr>
      </w:pPr>
      <w:r w:rsidRPr="00142305">
        <w:rPr>
          <w:color w:val="0070C0"/>
          <w:sz w:val="16"/>
          <w:szCs w:val="16"/>
        </w:rPr>
        <w:t xml:space="preserve">15–17,5 Заседание в ЭАО ЦАГИ (дорога) </w:t>
      </w:r>
    </w:p>
    <w:p w14:paraId="0C79AF92" w14:textId="77777777" w:rsidR="00D70EBF" w:rsidRPr="00142305" w:rsidRDefault="00D70EBF" w:rsidP="00D70EBF">
      <w:pPr>
        <w:pStyle w:val="Cite0"/>
        <w:jc w:val="left"/>
        <w:rPr>
          <w:color w:val="0070C0"/>
          <w:sz w:val="16"/>
          <w:szCs w:val="16"/>
        </w:rPr>
      </w:pPr>
      <w:r w:rsidRPr="00142305">
        <w:rPr>
          <w:color w:val="0070C0"/>
          <w:sz w:val="16"/>
          <w:szCs w:val="16"/>
        </w:rPr>
        <w:t xml:space="preserve">17.5-22 Доклад в ЭАО ЦАГИ… </w:t>
      </w:r>
    </w:p>
    <w:p w14:paraId="33512711" w14:textId="77777777" w:rsidR="00D70EBF" w:rsidRPr="00142305" w:rsidRDefault="00D70EBF" w:rsidP="00D70EBF">
      <w:pPr>
        <w:pStyle w:val="Cite0"/>
        <w:jc w:val="left"/>
        <w:rPr>
          <w:color w:val="0070C0"/>
          <w:sz w:val="16"/>
          <w:szCs w:val="16"/>
        </w:rPr>
      </w:pPr>
      <w:r w:rsidRPr="00142305">
        <w:rPr>
          <w:color w:val="0070C0"/>
          <w:sz w:val="16"/>
          <w:szCs w:val="16"/>
        </w:rPr>
        <w:t xml:space="preserve">9 октября 1931 г. </w:t>
      </w:r>
    </w:p>
    <w:p w14:paraId="4B548567" w14:textId="77777777" w:rsidR="00D70EBF" w:rsidRPr="00142305" w:rsidRDefault="00D70EBF" w:rsidP="00D70EBF">
      <w:pPr>
        <w:pStyle w:val="Cite0"/>
        <w:jc w:val="left"/>
        <w:rPr>
          <w:color w:val="0070C0"/>
          <w:sz w:val="16"/>
          <w:szCs w:val="16"/>
        </w:rPr>
      </w:pPr>
      <w:r w:rsidRPr="00142305">
        <w:rPr>
          <w:color w:val="0070C0"/>
          <w:sz w:val="16"/>
          <w:szCs w:val="16"/>
        </w:rPr>
        <w:t xml:space="preserve">8–9,5 Совещание с т. Фоминым по И-5бис </w:t>
      </w:r>
    </w:p>
    <w:p w14:paraId="048E8C2D" w14:textId="77777777" w:rsidR="00D70EBF" w:rsidRPr="00142305" w:rsidRDefault="00D70EBF" w:rsidP="00D70EBF">
      <w:pPr>
        <w:pStyle w:val="Cite0"/>
        <w:jc w:val="left"/>
        <w:rPr>
          <w:color w:val="0070C0"/>
          <w:sz w:val="16"/>
          <w:szCs w:val="16"/>
        </w:rPr>
      </w:pPr>
      <w:r w:rsidRPr="00142305">
        <w:rPr>
          <w:color w:val="0070C0"/>
          <w:sz w:val="16"/>
          <w:szCs w:val="16"/>
        </w:rPr>
        <w:t xml:space="preserve">9.5-11 0смотр вспомог. матер. по пассажирскому и Р11 с летчиком т. Козловым </w:t>
      </w:r>
    </w:p>
    <w:p w14:paraId="6BA43FF6" w14:textId="77777777" w:rsidR="00D70EBF" w:rsidRPr="00142305" w:rsidRDefault="00D70EBF" w:rsidP="00D70EBF">
      <w:pPr>
        <w:pStyle w:val="Cite0"/>
        <w:jc w:val="left"/>
        <w:rPr>
          <w:color w:val="0070C0"/>
          <w:sz w:val="16"/>
          <w:szCs w:val="16"/>
        </w:rPr>
      </w:pPr>
      <w:r w:rsidRPr="00142305">
        <w:rPr>
          <w:color w:val="0070C0"/>
          <w:sz w:val="16"/>
          <w:szCs w:val="16"/>
        </w:rPr>
        <w:t xml:space="preserve">11-4 Работы по пассажирск. и по И-13 </w:t>
      </w:r>
    </w:p>
    <w:p w14:paraId="1736A141" w14:textId="77777777" w:rsidR="00D70EBF" w:rsidRPr="00142305" w:rsidRDefault="00D70EBF" w:rsidP="00D70EBF">
      <w:pPr>
        <w:pStyle w:val="Cite0"/>
        <w:jc w:val="left"/>
        <w:rPr>
          <w:color w:val="0070C0"/>
          <w:sz w:val="16"/>
          <w:szCs w:val="16"/>
        </w:rPr>
      </w:pPr>
      <w:r w:rsidRPr="00142305">
        <w:rPr>
          <w:color w:val="0070C0"/>
          <w:sz w:val="16"/>
          <w:szCs w:val="16"/>
        </w:rPr>
        <w:t xml:space="preserve">4–7 Обсуждение технич. требований по И-13 и пассажирск.» (25035). </w:t>
      </w:r>
    </w:p>
    <w:p w14:paraId="25D4E8D9" w14:textId="77777777" w:rsidR="00D70EBF" w:rsidRPr="00142305" w:rsidRDefault="00D70EBF" w:rsidP="00D70EBF">
      <w:pPr>
        <w:spacing w:after="0" w:line="240" w:lineRule="auto"/>
        <w:jc w:val="both"/>
        <w:rPr>
          <w:rFonts w:ascii="Times New Roman" w:hAnsi="Times New Roman"/>
          <w:color w:val="0070C0"/>
          <w:sz w:val="16"/>
          <w:szCs w:val="16"/>
        </w:rPr>
      </w:pPr>
    </w:p>
    <w:p w14:paraId="3FC3F0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августа 1931 г. приказом по Всесоюзному авиационному объединению (ВАО) №265 ЦКБ и ЦАГИ объединялись в единую про</w:t>
      </w:r>
      <w:r w:rsidRPr="005E779E">
        <w:rPr>
          <w:rFonts w:ascii="Times New Roman" w:hAnsi="Times New Roman"/>
          <w:color w:val="000000" w:themeColor="text1"/>
          <w:sz w:val="16"/>
          <w:szCs w:val="16"/>
        </w:rPr>
        <w:softHyphen/>
        <w:t>ектную организацию - ЦКБ-ЦАГИ. Остро</w:t>
      </w:r>
      <w:r w:rsidRPr="005E779E">
        <w:rPr>
          <w:rFonts w:ascii="Times New Roman" w:hAnsi="Times New Roman"/>
          <w:color w:val="000000" w:themeColor="text1"/>
          <w:sz w:val="16"/>
          <w:szCs w:val="16"/>
        </w:rPr>
        <w:softHyphen/>
        <w:t>словы окрестили их соединение «свадьбой». От ОГПУ командовать новой структурой на</w:t>
      </w:r>
      <w:r w:rsidRPr="005E779E">
        <w:rPr>
          <w:rFonts w:ascii="Times New Roman" w:hAnsi="Times New Roman"/>
          <w:color w:val="000000" w:themeColor="text1"/>
          <w:sz w:val="16"/>
          <w:szCs w:val="16"/>
        </w:rPr>
        <w:softHyphen/>
        <w:t>значили Е.С. Пауфлера, по технической части начальником объединенной организации стал С.В. Ильюшин (11974).</w:t>
      </w:r>
    </w:p>
    <w:p w14:paraId="5AF392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D3BB6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августа 1931 г. по приказу ВАО № 265 от в 09.1931 г. ЦКБ было перебазировано с завода и влито в АГОС ЦАГИ, образовав единое ЦКБ ЦАГИ. По приказу начальника ЦАГИ от 25.05.1932 г. ЦКБ преобразовано в Сектор опытного строительства (СОС ЦАГИ) во главе с Ильюшиным. Основой СОС стал Конструкторский отдел (КОСОС), состоящий из специализированных бригад во главе с А.Н. Туполевым. Кроме того, организованы таже отделы: внедрения в серию (начальник- И.М. Косткин); эксплуатации и летных испытаний (К.К. Стоман); ЗОК.</w:t>
      </w:r>
    </w:p>
    <w:p w14:paraId="06E6194A" w14:textId="4EC90139"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ГУАП от 13.01.1933 г. ЦКБ снова отделено от ЦАГИ, вернулось на завод № 39 и получило название ЦКБ-39. При разделении в состав ЦКБ перешли в полном составе бригады разведчиков и морских самолетов, часть БОК, 18 чел. из бригады истребителей во главе с Поликарповым, часть бригады вооружения во главе с Мальцевым, небольшие группы по 3-5 чел. из других бригад. К 15.02.1933 г. формирование ЦКБ было завершено, работало 6 бригад. Разместилось ЦКБ на третьем, последнем, этаже одного из цехов завода (сейчас это здание на территории МАПО). С 1932 г. В составе ЦКБ работала конструкторская группа под руководством А.С. Яковлева, создан самолет АИР-6 (первый полет 2.05.1932</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В 1934 г. переведена на завод № 115.</w:t>
      </w:r>
    </w:p>
    <w:p w14:paraId="4464E8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1934 г. начато выделение бригад из состава ЦКБ в самостоятельные КБ, в этом же году большинство бригад переведены на серийные заводы. В 1936 г. с образованием ОКБ-39 гл. конструктора С.В. Ильюшина ЦКБ расформировано.</w:t>
      </w:r>
    </w:p>
    <w:p w14:paraId="6E2FAE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Численность персонала (1931 г.)- около 500 чел.</w:t>
      </w:r>
    </w:p>
    <w:p w14:paraId="364E11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 (1926-28 г.-)- Б.Ф. Гончаров (арестован), (27.08.1931-ЗЗ г.)- С.В. Ильюшин.</w:t>
      </w:r>
    </w:p>
    <w:p w14:paraId="6BF2C0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начальника (1931 г.-)- А.Н. Туполев, (1933 г.-)- С.А. Кочеригин.</w:t>
      </w:r>
    </w:p>
    <w:p w14:paraId="5AD0C9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конструктор (06.1931 г.-)- Д.П. Григорович, (1933 г.-)- С.В. Ильюшин.</w:t>
      </w:r>
    </w:p>
    <w:p w14:paraId="16D767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Начальники бригад (1934 г.)- А.А. Дубровин, В.К. Таиров, В.П. Яценко.</w:t>
      </w:r>
    </w:p>
    <w:p w14:paraId="609EAA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начальника бригады (1935 г.-)- А.А. Сеньков.</w:t>
      </w:r>
    </w:p>
    <w:p w14:paraId="41FA19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Летчики-испытатели: (1935 г.)- В.К. Коккинаки (11092).</w:t>
      </w:r>
    </w:p>
    <w:p w14:paraId="32B44F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1069509" w14:textId="77777777" w:rsidR="002E083D" w:rsidRPr="005E779E" w:rsidRDefault="002E08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ав</w:t>
      </w:r>
      <w:r w:rsidRPr="005E779E">
        <w:rPr>
          <w:rFonts w:ascii="Times New Roman" w:hAnsi="Times New Roman"/>
          <w:color w:val="000000" w:themeColor="text1"/>
          <w:sz w:val="16"/>
          <w:szCs w:val="16"/>
        </w:rPr>
        <w:softHyphen/>
        <w:t>густа 1931 г. Центральное конструкторское бюро и Цент</w:t>
      </w:r>
      <w:r w:rsidRPr="005E779E">
        <w:rPr>
          <w:rFonts w:ascii="Times New Roman" w:hAnsi="Times New Roman"/>
          <w:color w:val="000000" w:themeColor="text1"/>
          <w:sz w:val="16"/>
          <w:szCs w:val="16"/>
        </w:rPr>
        <w:softHyphen/>
        <w:t>ральный аэрогидродинамический институт превратили в Объединенное техническое бюро (ОТБ) - ЦКБ-ЦАГИ. Ру</w:t>
      </w:r>
      <w:r w:rsidRPr="005E779E">
        <w:rPr>
          <w:rFonts w:ascii="Times New Roman" w:hAnsi="Times New Roman"/>
          <w:color w:val="000000" w:themeColor="text1"/>
          <w:sz w:val="16"/>
          <w:szCs w:val="16"/>
        </w:rPr>
        <w:softHyphen/>
        <w:t>ководителем этой организации назначили представителя ОГПУ Е.С. Пауфлера. Сергей Александрович в новой ор</w:t>
      </w:r>
      <w:r w:rsidRPr="005E779E">
        <w:rPr>
          <w:rFonts w:ascii="Times New Roman" w:hAnsi="Times New Roman"/>
          <w:color w:val="000000" w:themeColor="text1"/>
          <w:sz w:val="16"/>
          <w:szCs w:val="16"/>
        </w:rPr>
        <w:softHyphen/>
        <w:t>ганизации значится как начальник конструкторского бюро ЦАГИ, в другом документе он указан как начальник отде</w:t>
      </w:r>
      <w:r w:rsidRPr="005E779E">
        <w:rPr>
          <w:rFonts w:ascii="Times New Roman" w:hAnsi="Times New Roman"/>
          <w:color w:val="000000" w:themeColor="text1"/>
          <w:sz w:val="16"/>
          <w:szCs w:val="16"/>
        </w:rPr>
        <w:softHyphen/>
        <w:t>ла новых проектов, а далее значится начальником отдела КОСОС (Конструкторский отдел сектора опытного самоле</w:t>
      </w:r>
      <w:r w:rsidRPr="005E779E">
        <w:rPr>
          <w:rFonts w:ascii="Times New Roman" w:hAnsi="Times New Roman"/>
          <w:color w:val="000000" w:themeColor="text1"/>
          <w:sz w:val="16"/>
          <w:szCs w:val="16"/>
        </w:rPr>
        <w:softHyphen/>
        <w:t>тостроения) ЦАГИ (20362).</w:t>
      </w:r>
    </w:p>
    <w:p w14:paraId="04905922" w14:textId="77777777" w:rsidR="002E083D" w:rsidRPr="005E779E" w:rsidRDefault="002E083D" w:rsidP="000B7A6C">
      <w:pPr>
        <w:shd w:val="clear" w:color="auto" w:fill="FFFFFF"/>
        <w:spacing w:after="0" w:line="240" w:lineRule="auto"/>
        <w:jc w:val="both"/>
        <w:rPr>
          <w:rFonts w:ascii="Times New Roman" w:hAnsi="Times New Roman"/>
          <w:color w:val="000000" w:themeColor="text1"/>
          <w:sz w:val="16"/>
          <w:szCs w:val="16"/>
        </w:rPr>
      </w:pPr>
    </w:p>
    <w:p w14:paraId="30B81F2E" w14:textId="77777777" w:rsidR="002E083D" w:rsidRPr="005E779E" w:rsidRDefault="002E08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августа 1931 г. Центральное конструктор</w:t>
      </w:r>
      <w:r w:rsidRPr="005E779E">
        <w:rPr>
          <w:rFonts w:ascii="Times New Roman" w:hAnsi="Times New Roman"/>
          <w:color w:val="000000" w:themeColor="text1"/>
          <w:sz w:val="16"/>
          <w:szCs w:val="16"/>
        </w:rPr>
        <w:softHyphen/>
        <w:t>ское бюро (ЦКБ) и ЦАГИ объединили в единую организа</w:t>
      </w:r>
      <w:r w:rsidRPr="005E779E">
        <w:rPr>
          <w:rFonts w:ascii="Times New Roman" w:hAnsi="Times New Roman"/>
          <w:color w:val="000000" w:themeColor="text1"/>
          <w:sz w:val="16"/>
          <w:szCs w:val="16"/>
        </w:rPr>
        <w:softHyphen/>
        <w:t>цию — ЦКБ-ЦАГИ, деятельность которой осуществлялась под патронажем ОГПУ. От органов ГПУ руководить новой организацией назначили Е.С. Пауфлера, а технической частью стал заведовать С.В. Ильюшин. Для БОК указанные изменения выразились в том, что производственные во</w:t>
      </w:r>
      <w:r w:rsidRPr="005E779E">
        <w:rPr>
          <w:rFonts w:ascii="Times New Roman" w:hAnsi="Times New Roman"/>
          <w:color w:val="000000" w:themeColor="text1"/>
          <w:sz w:val="16"/>
          <w:szCs w:val="16"/>
        </w:rPr>
        <w:softHyphen/>
        <w:t>просы решались на двух территориях, размещенных в разных районах Москвы. В частности, изготовление гон</w:t>
      </w:r>
      <w:r w:rsidRPr="005E779E">
        <w:rPr>
          <w:rFonts w:ascii="Times New Roman" w:hAnsi="Times New Roman"/>
          <w:color w:val="000000" w:themeColor="text1"/>
          <w:sz w:val="16"/>
          <w:szCs w:val="16"/>
        </w:rPr>
        <w:softHyphen/>
        <w:t>долы стратостата «СССР» велось с октября 1931 г. на за</w:t>
      </w:r>
      <w:r w:rsidRPr="005E779E">
        <w:rPr>
          <w:rFonts w:ascii="Times New Roman" w:hAnsi="Times New Roman"/>
          <w:color w:val="000000" w:themeColor="text1"/>
          <w:sz w:val="16"/>
          <w:szCs w:val="16"/>
        </w:rPr>
        <w:softHyphen/>
        <w:t>воде №39, а стратосферный самолет строился на заводе опытных конструкций (ЗОК) ЦАГИ, вступившем в строй 1 января 1932 г. При этом наиболее важным делом счи</w:t>
      </w:r>
      <w:r w:rsidRPr="005E779E">
        <w:rPr>
          <w:rFonts w:ascii="Times New Roman" w:hAnsi="Times New Roman"/>
          <w:color w:val="000000" w:themeColor="text1"/>
          <w:sz w:val="16"/>
          <w:szCs w:val="16"/>
        </w:rPr>
        <w:softHyphen/>
        <w:t>талось разрешение проблемы самолета, способного осуществлять длительные полеты на больших высотах. Полеты таких самолетов (стратопланов) предполагались на высотах 10—12 км, где разряженная атмосфера позволя</w:t>
      </w:r>
      <w:r w:rsidRPr="005E779E">
        <w:rPr>
          <w:rFonts w:ascii="Times New Roman" w:hAnsi="Times New Roman"/>
          <w:color w:val="000000" w:themeColor="text1"/>
          <w:sz w:val="16"/>
          <w:szCs w:val="16"/>
        </w:rPr>
        <w:softHyphen/>
        <w:t>ла развивать большие полетные скорости и не зависеть от капризов погоды, поэтому особенно заманчивыми они представлялись для военного применения.</w:t>
      </w:r>
    </w:p>
    <w:p w14:paraId="2290F989" w14:textId="77777777" w:rsidR="002E083D" w:rsidRPr="005E779E" w:rsidRDefault="002E08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создании стратоплана предстояло решить следую</w:t>
      </w:r>
      <w:r w:rsidRPr="005E779E">
        <w:rPr>
          <w:rFonts w:ascii="Times New Roman" w:hAnsi="Times New Roman"/>
          <w:color w:val="000000" w:themeColor="text1"/>
          <w:sz w:val="16"/>
          <w:szCs w:val="16"/>
        </w:rPr>
        <w:softHyphen/>
        <w:t>щие задачи:</w:t>
      </w:r>
    </w:p>
    <w:p w14:paraId="2EC1BDBC" w14:textId="77777777" w:rsidR="002E083D" w:rsidRPr="005E779E" w:rsidRDefault="002E08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исследование аэродинамики высотных аппаратов;</w:t>
      </w:r>
    </w:p>
    <w:p w14:paraId="59989B47" w14:textId="77777777" w:rsidR="002E083D" w:rsidRPr="005E779E" w:rsidRDefault="002E08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создание герметичной кабины экипажа;</w:t>
      </w:r>
    </w:p>
    <w:p w14:paraId="4E89E5A8" w14:textId="77777777" w:rsidR="002E083D" w:rsidRPr="005E779E" w:rsidRDefault="002E08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осуществление проводки органов управления из гер</w:t>
      </w:r>
      <w:r w:rsidRPr="005E779E">
        <w:rPr>
          <w:rFonts w:ascii="Times New Roman" w:hAnsi="Times New Roman"/>
          <w:color w:val="000000" w:themeColor="text1"/>
          <w:sz w:val="16"/>
          <w:szCs w:val="16"/>
        </w:rPr>
        <w:softHyphen/>
        <w:t>мокабины;</w:t>
      </w:r>
    </w:p>
    <w:p w14:paraId="1B3C4955" w14:textId="77777777" w:rsidR="002E083D" w:rsidRPr="005E779E" w:rsidRDefault="002E08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обеспечение работы приборного оборудования в гер</w:t>
      </w:r>
      <w:r w:rsidRPr="005E779E">
        <w:rPr>
          <w:rFonts w:ascii="Times New Roman" w:hAnsi="Times New Roman"/>
          <w:color w:val="000000" w:themeColor="text1"/>
          <w:sz w:val="16"/>
          <w:szCs w:val="16"/>
        </w:rPr>
        <w:softHyphen/>
        <w:t>мокабине;</w:t>
      </w:r>
    </w:p>
    <w:p w14:paraId="72D5F98C" w14:textId="77777777" w:rsidR="002E083D" w:rsidRPr="005E779E" w:rsidRDefault="002E08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создание комфортных условий работы экипажа;</w:t>
      </w:r>
    </w:p>
    <w:p w14:paraId="15D36E7E" w14:textId="77777777" w:rsidR="002E083D" w:rsidRPr="005E779E" w:rsidRDefault="002E083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создание специальной моторной установки, надежно работающей в условиях разреженного воздуха и низких температур (-55°...-70° С) (20363).</w:t>
      </w:r>
    </w:p>
    <w:p w14:paraId="6B428A59" w14:textId="77777777" w:rsidR="002E083D" w:rsidRPr="005E779E" w:rsidRDefault="002E083D" w:rsidP="000B7A6C">
      <w:pPr>
        <w:spacing w:after="0" w:line="240" w:lineRule="auto"/>
        <w:jc w:val="both"/>
        <w:rPr>
          <w:rFonts w:ascii="Times New Roman" w:hAnsi="Times New Roman"/>
          <w:color w:val="000000" w:themeColor="text1"/>
          <w:sz w:val="16"/>
          <w:szCs w:val="16"/>
        </w:rPr>
      </w:pPr>
    </w:p>
    <w:p w14:paraId="4A1F0129" w14:textId="77777777" w:rsidR="005D140D" w:rsidRPr="005E779E" w:rsidRDefault="005D140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августа 1931 года приказом по ВАО за номером 265 ЦКБ было введено в состав ЦАГИ, а начальником ЦАГИ был назначен Н.Е. Пауфлер. В ЦКБ включили конструкторские бригады ЦАГИ, ранее подчинявшиеся главному инженеру А.Н. Туполеву.</w:t>
      </w:r>
    </w:p>
    <w:p w14:paraId="227C5631" w14:textId="77777777" w:rsidR="005D140D" w:rsidRPr="005E779E" w:rsidRDefault="005D140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Новое задание бригады №3 пред</w:t>
      </w:r>
      <w:r w:rsidRPr="005E779E">
        <w:rPr>
          <w:rFonts w:ascii="Times New Roman" w:hAnsi="Times New Roman"/>
          <w:color w:val="000000" w:themeColor="text1"/>
          <w:sz w:val="16"/>
          <w:szCs w:val="16"/>
        </w:rPr>
        <w:softHyphen/>
        <w:t>усматривало разработку пассажирского самолета, разведчика Р 11, истребителя И-13 с мотором М 32 (его еще только предстояло создать). В кратком рабочем дневнике, который Поликарпов вел с сентября по октябрь 1931 г., по часам расписан ход работ над проектами.</w:t>
      </w:r>
    </w:p>
    <w:p w14:paraId="1703568B" w14:textId="77777777" w:rsidR="005D140D" w:rsidRPr="005E779E" w:rsidRDefault="005D140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Пока не назначили начальника ЦКБ, общим руководством деятельности занимался главный инженер ЦАГИ А.Н. Туполев. Он придерживался мне</w:t>
      </w:r>
      <w:r w:rsidRPr="005E779E">
        <w:rPr>
          <w:rFonts w:ascii="Times New Roman" w:hAnsi="Times New Roman"/>
          <w:color w:val="000000" w:themeColor="text1"/>
          <w:sz w:val="16"/>
          <w:szCs w:val="16"/>
        </w:rPr>
        <w:softHyphen/>
        <w:t>ния, что конструкция опытных самоле</w:t>
      </w:r>
      <w:r w:rsidRPr="005E779E">
        <w:rPr>
          <w:rFonts w:ascii="Times New Roman" w:hAnsi="Times New Roman"/>
          <w:color w:val="000000" w:themeColor="text1"/>
          <w:sz w:val="16"/>
          <w:szCs w:val="16"/>
        </w:rPr>
        <w:softHyphen/>
        <w:t>тов бригады №3 должна быть цельно</w:t>
      </w:r>
      <w:r w:rsidRPr="005E779E">
        <w:rPr>
          <w:rFonts w:ascii="Times New Roman" w:hAnsi="Times New Roman"/>
          <w:color w:val="000000" w:themeColor="text1"/>
          <w:sz w:val="16"/>
          <w:szCs w:val="16"/>
        </w:rPr>
        <w:softHyphen/>
        <w:t>металлической. Николай Николаевич же считал необходимым вести разработку самолетов смешанной конструкции. Кроме того, он протестовал против мелочной опеки со стороны Туполева в вопросах проектирования. Проте</w:t>
      </w:r>
      <w:r w:rsidRPr="005E779E">
        <w:rPr>
          <w:rFonts w:ascii="Times New Roman" w:hAnsi="Times New Roman"/>
          <w:color w:val="000000" w:themeColor="text1"/>
          <w:sz w:val="16"/>
          <w:szCs w:val="16"/>
        </w:rPr>
        <w:softHyphen/>
        <w:t>стовал против требований Туполева «проштемпелевать» по «традиции» (как это делалось в других бригадах ЦАГИ) проект своими инициалами АНТ (Анд</w:t>
      </w:r>
      <w:r w:rsidRPr="005E779E">
        <w:rPr>
          <w:rFonts w:ascii="Times New Roman" w:hAnsi="Times New Roman"/>
          <w:color w:val="000000" w:themeColor="text1"/>
          <w:sz w:val="16"/>
          <w:szCs w:val="16"/>
        </w:rPr>
        <w:softHyphen/>
        <w:t>рей Николаевич Туполев) с номером 32. Сказывался и груз их прошлых взаимо</w:t>
      </w:r>
      <w:r w:rsidRPr="005E779E">
        <w:rPr>
          <w:rFonts w:ascii="Times New Roman" w:hAnsi="Times New Roman"/>
          <w:color w:val="000000" w:themeColor="text1"/>
          <w:sz w:val="16"/>
          <w:szCs w:val="16"/>
        </w:rPr>
        <w:softHyphen/>
        <w:t>отношений. Назревал конфликт.</w:t>
      </w:r>
    </w:p>
    <w:p w14:paraId="761BC392" w14:textId="77777777" w:rsidR="005D140D" w:rsidRPr="005E779E" w:rsidRDefault="005D140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Однажды в ноябре 1931 г. на совещании в кабинете Туполева на</w:t>
      </w:r>
      <w:r w:rsidRPr="005E779E">
        <w:rPr>
          <w:rFonts w:ascii="Times New Roman" w:hAnsi="Times New Roman"/>
          <w:color w:val="000000" w:themeColor="text1"/>
          <w:sz w:val="16"/>
          <w:szCs w:val="16"/>
        </w:rPr>
        <w:softHyphen/>
        <w:t>чавшийся было спокойным разговор по работам бригады №3, дошел до высшей точки кипения. Туполев вы</w:t>
      </w:r>
      <w:r w:rsidRPr="005E779E">
        <w:rPr>
          <w:rFonts w:ascii="Times New Roman" w:hAnsi="Times New Roman"/>
          <w:color w:val="000000" w:themeColor="text1"/>
          <w:sz w:val="16"/>
          <w:szCs w:val="16"/>
        </w:rPr>
        <w:softHyphen/>
        <w:t>разил свое мнение, что задание на истребитель И-13 бригада №3 смогла бы быстро выполнить, взяв за основу спроектированный ранее П.О. Сухим истребитель И-8 (АНТ-13), который проходил в то время испытания. Он считал, что требовалось лишь немного усилить его конструкцию и улучшить аэродинамику самолета, а потому дал указания о немедленном проведении этой работы.</w:t>
      </w:r>
    </w:p>
    <w:p w14:paraId="222AB745" w14:textId="77777777" w:rsidR="005D140D" w:rsidRPr="005E779E" w:rsidRDefault="005D140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Николай Николаевич сослался на различие требований к машинам, сказал, что только его проект может наиболее полно удовлетворить их и что брать за основу И-8 он не собирается.</w:t>
      </w:r>
    </w:p>
    <w:p w14:paraId="5BC59606" w14:textId="77777777" w:rsidR="005D140D" w:rsidRPr="005E779E" w:rsidRDefault="005D140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Самолюбивый Андрей Нико</w:t>
      </w:r>
      <w:r w:rsidRPr="005E779E">
        <w:rPr>
          <w:rFonts w:ascii="Times New Roman" w:hAnsi="Times New Roman"/>
          <w:color w:val="000000" w:themeColor="text1"/>
          <w:sz w:val="16"/>
          <w:szCs w:val="16"/>
        </w:rPr>
        <w:softHyphen/>
        <w:t>лаевич был буквально взбешен отказом Н.Н. Поликарпова. По воспоминаниям инженера Тара</w:t>
      </w:r>
      <w:r w:rsidRPr="005E779E">
        <w:rPr>
          <w:rFonts w:ascii="Times New Roman" w:hAnsi="Times New Roman"/>
          <w:color w:val="000000" w:themeColor="text1"/>
          <w:sz w:val="16"/>
          <w:szCs w:val="16"/>
        </w:rPr>
        <w:softHyphen/>
        <w:t>сова, Туполев вскочил, опрокинув стулья. «Я этого (мат) сукина сына навек в рядовых инженерах сгною, он у меня забудет, как самолеты проектируются», - в ярости кричал Андрей Николаевич. Немедленно последовал приказ о смещении Н.Н. Поликарпова с должности начальника бригады №3. Его перевели в рядовые инженеры и поручили проверку проектов, анализ результатов статических испытаний, пересадив за рабочий стол в главное здание ЦАГИ, что, безусловно, не соответствовало ни его квалификации, ни опыту. Нес</w:t>
      </w:r>
      <w:r w:rsidRPr="005E779E">
        <w:rPr>
          <w:rFonts w:ascii="Times New Roman" w:hAnsi="Times New Roman"/>
          <w:color w:val="000000" w:themeColor="text1"/>
          <w:sz w:val="16"/>
          <w:szCs w:val="16"/>
        </w:rPr>
        <w:softHyphen/>
        <w:t>праведливо. Обидно...</w:t>
      </w:r>
    </w:p>
    <w:p w14:paraId="46195AB7" w14:textId="77777777" w:rsidR="005D140D" w:rsidRPr="005E779E" w:rsidRDefault="005D140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написанных Поликарповым заметках несколькими скупыми словами дана его оценка произо</w:t>
      </w:r>
      <w:r w:rsidRPr="005E779E">
        <w:rPr>
          <w:rFonts w:ascii="Times New Roman" w:hAnsi="Times New Roman"/>
          <w:color w:val="000000" w:themeColor="text1"/>
          <w:sz w:val="16"/>
          <w:szCs w:val="16"/>
        </w:rPr>
        <w:softHyphen/>
        <w:t>шедшим событиям: «Мои разногла</w:t>
      </w:r>
      <w:r w:rsidRPr="005E779E">
        <w:rPr>
          <w:rFonts w:ascii="Times New Roman" w:hAnsi="Times New Roman"/>
          <w:color w:val="000000" w:themeColor="text1"/>
          <w:sz w:val="16"/>
          <w:szCs w:val="16"/>
        </w:rPr>
        <w:softHyphen/>
        <w:t>сия с Туполевым принципиальные, захват ЦАГИ, проверка проектов, проверка статиспытаний, жесткий контроль и безответственность. Наше переселение в ЦАГИ «для оздо</w:t>
      </w:r>
      <w:r w:rsidRPr="005E779E">
        <w:rPr>
          <w:rFonts w:ascii="Times New Roman" w:hAnsi="Times New Roman"/>
          <w:color w:val="000000" w:themeColor="text1"/>
          <w:sz w:val="16"/>
          <w:szCs w:val="16"/>
        </w:rPr>
        <w:softHyphen/>
        <w:t>ровления». Перелом и гонения.</w:t>
      </w:r>
    </w:p>
    <w:p w14:paraId="55BA05F5" w14:textId="77777777" w:rsidR="005D140D" w:rsidRPr="005E779E" w:rsidRDefault="005D140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Зажим в ЦАГИ: смещение в ноябре 1931 года, снятие программы (раз</w:t>
      </w:r>
      <w:r w:rsidRPr="005E779E">
        <w:rPr>
          <w:rFonts w:ascii="Times New Roman" w:hAnsi="Times New Roman"/>
          <w:color w:val="000000" w:themeColor="text1"/>
          <w:sz w:val="16"/>
          <w:szCs w:val="16"/>
        </w:rPr>
        <w:softHyphen/>
        <w:t>ведчики и истребители), вынужден</w:t>
      </w:r>
      <w:r w:rsidRPr="005E779E">
        <w:rPr>
          <w:rFonts w:ascii="Times New Roman" w:hAnsi="Times New Roman"/>
          <w:color w:val="000000" w:themeColor="text1"/>
          <w:sz w:val="16"/>
          <w:szCs w:val="16"/>
        </w:rPr>
        <w:softHyphen/>
        <w:t>ное безделье до июля 1932 года...».</w:t>
      </w:r>
    </w:p>
    <w:p w14:paraId="5C835BEC" w14:textId="77777777" w:rsidR="005D140D" w:rsidRPr="005E779E" w:rsidRDefault="005D140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Конечно же, Николай Николае</w:t>
      </w:r>
      <w:r w:rsidRPr="005E779E">
        <w:rPr>
          <w:rFonts w:ascii="Times New Roman" w:hAnsi="Times New Roman"/>
          <w:color w:val="000000" w:themeColor="text1"/>
          <w:sz w:val="16"/>
          <w:szCs w:val="16"/>
        </w:rPr>
        <w:softHyphen/>
        <w:t>вич не сидел, сложа руки, однако отрыв от любимого дела он воспри</w:t>
      </w:r>
      <w:r w:rsidRPr="005E779E">
        <w:rPr>
          <w:rFonts w:ascii="Times New Roman" w:hAnsi="Times New Roman"/>
          <w:color w:val="000000" w:themeColor="text1"/>
          <w:sz w:val="16"/>
          <w:szCs w:val="16"/>
        </w:rPr>
        <w:softHyphen/>
        <w:t>нимал очень тяжело.</w:t>
      </w:r>
    </w:p>
    <w:p w14:paraId="366A575C" w14:textId="77777777" w:rsidR="005D140D" w:rsidRPr="005E779E" w:rsidRDefault="005D140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Вместо него бригаду возглавил инженер Бертош, один из участни</w:t>
      </w:r>
      <w:r w:rsidRPr="005E779E">
        <w:rPr>
          <w:rFonts w:ascii="Times New Roman" w:hAnsi="Times New Roman"/>
          <w:color w:val="000000" w:themeColor="text1"/>
          <w:sz w:val="16"/>
          <w:szCs w:val="16"/>
        </w:rPr>
        <w:softHyphen/>
        <w:t>ков проектирования И-8, который взялся за разработку конструкции истребителя И-13 в соответствии с указаниями А.Н. Туполева (23406).</w:t>
      </w:r>
    </w:p>
    <w:p w14:paraId="28A62A1B" w14:textId="77777777" w:rsidR="005D140D" w:rsidRPr="005E779E" w:rsidRDefault="005D140D" w:rsidP="000B7A6C">
      <w:pPr>
        <w:spacing w:after="0" w:line="240" w:lineRule="auto"/>
        <w:jc w:val="both"/>
        <w:rPr>
          <w:rFonts w:ascii="Times New Roman" w:hAnsi="Times New Roman"/>
          <w:color w:val="000000" w:themeColor="text1"/>
          <w:sz w:val="16"/>
          <w:szCs w:val="16"/>
        </w:rPr>
      </w:pPr>
    </w:p>
    <w:p w14:paraId="09AA24CE" w14:textId="77777777" w:rsidR="005D140D" w:rsidRPr="005E779E" w:rsidRDefault="005D140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августа 1931 г. (согласно книге [Сауке М.Б. Неизвестный Туполев. М.: КЦНТИ «Оригинал», - 1995 г.] 17 августа) приказом №265 начальника Всесоюзного авиационного объединения (ВАО) П.И. Баранова принято решение о сосредоточении всего опытного авиастроения в едином Центральном конструкторском бюро (ЦКБ) ЦАГИ. Руководство общей организацией возложено на Е. Пауфлера.</w:t>
      </w:r>
    </w:p>
    <w:p w14:paraId="5F52A1E4" w14:textId="77777777" w:rsidR="005D140D" w:rsidRPr="005E779E" w:rsidRDefault="005D140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Руководство конструкторской части ЦАГИ в лице начальника конструкторской его части АГОС (Авиация и гидроавиация – опытное строительство) А.Н. Туполева было против объединения, тем не менее, соответствующий приказ по ЦАГИ вышел в сентябре 1931 г.</w:t>
      </w:r>
    </w:p>
    <w:p w14:paraId="0019845E" w14:textId="77777777" w:rsidR="005D140D" w:rsidRPr="005E779E" w:rsidRDefault="005D140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то же время не найдено никаких указаний на то, что были какие-то решения о присвоении самолетам разработки АГОС и далее КОСОС А.Н. Туполева внутренних обозначений ЦБ-номер – они продолжали обозначаться АНТ-номер вплоть до 1937 г., когда обозначения АНТ были отменены.</w:t>
      </w:r>
    </w:p>
    <w:p w14:paraId="6DF7CA22" w14:textId="77777777" w:rsidR="005D140D" w:rsidRPr="005E779E" w:rsidRDefault="005D140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Летом 1931 г. начались испытания истребителя И-Зет конструкции Д.П. Григоровича. Несмотря на недостатки его вооружения (динамо-реактивные пушки Курчевского, активным сторонником которых был маршал Тухачевский), они закончились сравнительным успехом – самолет под нажимом Тухачевского приняли на вооружение. Григорович и Курчевский создавали вокруг него (как и вокруг других объектов с ДРПК) атмосферу чрезмерной секретности, которая замедляла работы, а целью имела обособление КБ Григоровича и Курчевского. Григорович начал добиваться выхода своей группы из ЦКБ и перевода его с завода №39 на другое предприятие, где, как он надеялся, за ним не будет контроля со стороны ОГПУ. Это было возможно при условии передачи производства самолета И-Зет на другой серийный завод.</w:t>
      </w:r>
    </w:p>
    <w:p w14:paraId="56127F33" w14:textId="77777777" w:rsidR="005D140D" w:rsidRPr="005E779E" w:rsidRDefault="005D140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Летом 1931 г. выпущен опытный образец двухместного истребителя ДИ-3 разработки ЦКБ-39. Его Государственные испытания закончились 12 июля того же года – как и предыдущий Д-2, на вооружение он не принят. Была предпринята попытка переделать его в административный самолет с размещением курьера в задней кабине, но и она оказалась безуспешной.</w:t>
      </w:r>
    </w:p>
    <w:p w14:paraId="1EA6B0F4" w14:textId="77777777" w:rsidR="005D140D" w:rsidRPr="005E779E" w:rsidRDefault="005D140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Поскольку нужда в двухместном истребителе сохранялась, Ильюшин добился выделения в составе ЦКБ особой группы для разработки таких самолетов, которую возглавил В.П. Яценко. Хотя в некоторых источниках утверждается, что Ильюшин даже противился этому, есть документы, доказывающие, что в силу отставания в этом направлении он сам подготовил приказ и утвердил перевод этих конструкторов, ранее входивших в бригаду штурмовиков Кочеригина. В конечном итоге группа Яценко все же разработала тип, принятый на вооружение – ДИ-6, но к тому времени интерес к таким самолетам во всем мире уже ослаб (23559).</w:t>
      </w:r>
    </w:p>
    <w:p w14:paraId="7BDF49EB" w14:textId="77777777" w:rsidR="005D140D" w:rsidRPr="005E779E" w:rsidRDefault="005D140D" w:rsidP="000B7A6C">
      <w:pPr>
        <w:spacing w:after="0" w:line="240" w:lineRule="auto"/>
        <w:jc w:val="both"/>
        <w:rPr>
          <w:rFonts w:ascii="Times New Roman" w:hAnsi="Times New Roman"/>
          <w:color w:val="000000" w:themeColor="text1"/>
          <w:sz w:val="16"/>
          <w:szCs w:val="16"/>
        </w:rPr>
      </w:pPr>
    </w:p>
    <w:p w14:paraId="4023AEF0" w14:textId="77777777" w:rsidR="005D140D" w:rsidRPr="005E779E" w:rsidRDefault="005D140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27 августа 1931 г. приказом №265 начальника ВАО П.И. Баранова принято решение о сосредоточении всего опытного авиастроения СССР в едином Центральном конструкторском бюро (ЦКБ) ЦАГИ, куда вливались существующие ранее как самостоятельные организации – ЦКБ авиационной промышленности на авиазаводе №39 (ЦКБ ОГПУ, ЦКБ-39) и Центральный аэрогидродинамический институт с его конструкторской частью АГОС (Авиация и гидроавиация – опытное строительство).</w:t>
      </w:r>
    </w:p>
    <w:p w14:paraId="33FAFCB0" w14:textId="77777777" w:rsidR="005D140D" w:rsidRPr="005E779E" w:rsidRDefault="005D140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Общее административное руководство общей организацией возложено на Е. Пауфлера, но научные и конструкторские вопросы решались ЦКБ и ЦАГИ по-прежнему раздельно (24115).</w:t>
      </w:r>
    </w:p>
    <w:p w14:paraId="3EBCBB10" w14:textId="77777777" w:rsidR="005D140D" w:rsidRPr="005E779E" w:rsidRDefault="005D140D" w:rsidP="000B7A6C">
      <w:pPr>
        <w:spacing w:after="0" w:line="240" w:lineRule="auto"/>
        <w:jc w:val="both"/>
        <w:rPr>
          <w:rFonts w:ascii="Times New Roman" w:hAnsi="Times New Roman"/>
          <w:color w:val="000000" w:themeColor="text1"/>
          <w:sz w:val="16"/>
          <w:szCs w:val="16"/>
        </w:rPr>
      </w:pPr>
    </w:p>
    <w:p w14:paraId="4A5FBFE9"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5652211D"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7CD3C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 августа 1931 Начальник ЦАГИ издал приказ N 158 о реорганизации "опытного завода АГОС" в ЗОК, начальником которого стал А.А.Осипов (1018,7).</w:t>
      </w:r>
    </w:p>
    <w:p w14:paraId="079EF0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C351D52" w14:textId="77777777" w:rsidR="00D70EBF" w:rsidRPr="00142305" w:rsidRDefault="00D70EBF" w:rsidP="00D70EB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28 августа 1931 г. самолётостро</w:t>
      </w:r>
      <w:r w:rsidRPr="00142305">
        <w:rPr>
          <w:rFonts w:ascii="Times New Roman" w:hAnsi="Times New Roman"/>
          <w:color w:val="0070C0"/>
          <w:sz w:val="16"/>
          <w:szCs w:val="16"/>
        </w:rPr>
        <w:softHyphen/>
        <w:t>ительная секция ВАС приняла решение отказаться от серийного производства МУ-3, включив вместо него в план таганрогского завода № 31 на 1932 г. 100 экземпляров Ш-2, которые собирались распределить между ВВС и ГВФ. Кстати сказать, в документах ВАО тогда амфи</w:t>
      </w:r>
      <w:r w:rsidRPr="00142305">
        <w:rPr>
          <w:rFonts w:ascii="Times New Roman" w:hAnsi="Times New Roman"/>
          <w:color w:val="0070C0"/>
          <w:sz w:val="16"/>
          <w:szCs w:val="16"/>
        </w:rPr>
        <w:softHyphen/>
        <w:t>бия значилась как Ш-2, а у ВВС числи</w:t>
      </w:r>
      <w:r w:rsidRPr="00142305">
        <w:rPr>
          <w:rFonts w:ascii="Times New Roman" w:hAnsi="Times New Roman"/>
          <w:color w:val="0070C0"/>
          <w:sz w:val="16"/>
          <w:szCs w:val="16"/>
        </w:rPr>
        <w:softHyphen/>
        <w:t>лась как А1 -М11 (24952).</w:t>
      </w:r>
    </w:p>
    <w:p w14:paraId="2CB2B95E" w14:textId="77777777" w:rsidR="00D70EBF" w:rsidRPr="00142305" w:rsidRDefault="00D70EBF" w:rsidP="00D70EBF">
      <w:pPr>
        <w:spacing w:after="0" w:line="240" w:lineRule="auto"/>
        <w:jc w:val="both"/>
        <w:rPr>
          <w:rFonts w:ascii="Times New Roman" w:hAnsi="Times New Roman"/>
          <w:color w:val="0070C0"/>
          <w:sz w:val="16"/>
          <w:szCs w:val="16"/>
        </w:rPr>
      </w:pPr>
    </w:p>
    <w:p w14:paraId="777E3F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 августа 1931 У.Нобиле посетил ЦАГИ (273,294).</w:t>
      </w:r>
    </w:p>
    <w:p w14:paraId="4161EC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4BD5B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 августа 1931 при Наркомземе создали Управление сельскохозяйственной авиации и специальный НИИ - НИИСХА (438,627).</w:t>
      </w:r>
    </w:p>
    <w:p w14:paraId="4F7B95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20F9BC3" w14:textId="77777777" w:rsidR="00750CB4" w:rsidRPr="005E779E" w:rsidRDefault="00750CB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28 августа 1931 г. постановлением Наркомзема СССР создали сельхозавиабазу в Полтаве (21698)</w:t>
      </w:r>
    </w:p>
    <w:p w14:paraId="4BD75551" w14:textId="77777777" w:rsidR="00750CB4" w:rsidRPr="005E779E" w:rsidRDefault="00750CB4" w:rsidP="000B7A6C">
      <w:pPr>
        <w:spacing w:after="0" w:line="240" w:lineRule="auto"/>
        <w:jc w:val="both"/>
        <w:rPr>
          <w:rFonts w:ascii="Times New Roman" w:hAnsi="Times New Roman"/>
          <w:color w:val="000000" w:themeColor="text1"/>
          <w:sz w:val="16"/>
          <w:szCs w:val="16"/>
        </w:rPr>
      </w:pPr>
    </w:p>
    <w:p w14:paraId="533517E5"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36E28D00"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C48068D" w14:textId="77777777" w:rsidR="00B24706" w:rsidRPr="005E779E" w:rsidRDefault="00B247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 августа 1931 г., рагируя на письма «трудящихся», Серго Орджоникидзе направил Председателю Высшего Совета Народного Хозяйства Л.М. Кагановичу письмо следующего содержания: (АП РФ Ф.3. Оп.58. Д.142).</w:t>
      </w:r>
    </w:p>
    <w:p w14:paraId="623028FC" w14:textId="77777777" w:rsidR="00B24706" w:rsidRPr="005E779E" w:rsidRDefault="00B247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 сих пор в ряде мест у местных органов ГПУ имеются свои проектные и конструкторские бюро (в Баку, Ростове, Ленинграде, Новосибирске, Москве, Урале, Харькове и т.д.) в которых работают арестованные инженеры. Я думаю, что в настоящее время такое использование инженеров нецелесообразно.</w:t>
      </w:r>
    </w:p>
    <w:p w14:paraId="6CA13C9C" w14:textId="77777777" w:rsidR="00B24706" w:rsidRPr="005E779E" w:rsidRDefault="00B247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Мы освободили значительное количество специалистов. Надо освободить и остальных, конечно, за исключением особо злостных и ликвидировать все существующие проектные и конструкторские бюро при ОГПУ, передав их промышленности» (15719).</w:t>
      </w:r>
    </w:p>
    <w:p w14:paraId="009F308D" w14:textId="77777777" w:rsidR="00B24706" w:rsidRPr="005E779E" w:rsidRDefault="00B24706" w:rsidP="000B7A6C">
      <w:pPr>
        <w:spacing w:after="0" w:line="240" w:lineRule="auto"/>
        <w:jc w:val="both"/>
        <w:rPr>
          <w:rFonts w:ascii="Times New Roman" w:hAnsi="Times New Roman"/>
          <w:color w:val="000000" w:themeColor="text1"/>
          <w:sz w:val="16"/>
          <w:szCs w:val="16"/>
        </w:rPr>
      </w:pPr>
    </w:p>
    <w:p w14:paraId="761638B5" w14:textId="77777777" w:rsidR="00B24706" w:rsidRPr="005E779E" w:rsidRDefault="00B247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28 августа 1931 г. — Служебная записка председателя ВСНХ СССР С. Орджоникидзе секретарю ЦК ВКП(б) Л. М. Кагановичу о передаче промышленности проектных и конструкторских бюро при ОГПУ СССР</w:t>
      </w:r>
    </w:p>
    <w:p w14:paraId="4D8A6D64" w14:textId="77777777" w:rsidR="003E28CB" w:rsidRPr="005E779E" w:rsidRDefault="003E28CB" w:rsidP="000B7A6C">
      <w:pPr>
        <w:spacing w:after="0" w:line="240" w:lineRule="auto"/>
        <w:jc w:val="both"/>
        <w:rPr>
          <w:rFonts w:ascii="Times New Roman" w:hAnsi="Times New Roman"/>
          <w:color w:val="000000" w:themeColor="text1"/>
          <w:sz w:val="16"/>
          <w:szCs w:val="16"/>
        </w:rPr>
      </w:pPr>
      <w:r w:rsidRPr="005E779E">
        <w:rPr>
          <w:rStyle w:val="af0"/>
          <w:rFonts w:ascii="Times New Roman" w:hAnsi="Times New Roman"/>
          <w:i w:val="0"/>
          <w:color w:val="000000" w:themeColor="text1"/>
          <w:sz w:val="16"/>
          <w:szCs w:val="16"/>
        </w:rPr>
        <w:t>Совершенно секретно.</w:t>
      </w:r>
    </w:p>
    <w:p w14:paraId="52938173" w14:textId="77777777" w:rsidR="003E28CB" w:rsidRPr="005E779E" w:rsidRDefault="003E28CB" w:rsidP="000B7A6C">
      <w:pPr>
        <w:pStyle w:val="rtejustify"/>
        <w:spacing w:before="0" w:after="0"/>
        <w:rPr>
          <w:color w:val="000000" w:themeColor="text1"/>
          <w:sz w:val="16"/>
          <w:szCs w:val="16"/>
        </w:rPr>
      </w:pPr>
      <w:r w:rsidRPr="005E779E">
        <w:rPr>
          <w:color w:val="000000" w:themeColor="text1"/>
          <w:sz w:val="16"/>
          <w:szCs w:val="16"/>
        </w:rPr>
        <w:t>До сих пор в ряде мест у местных органов ГПУ имеются свои проектные и конструкторские бюро (в Баку, Ростове, Ленинграде, Новосибирске, Москве, Урале, Харькове и т. д.), в которых работают арестованные инженеры. Я думаю, что в настоящее время такое использование инженеров нецелесообразно. Мы освободили значительное количество специалистов, надо освободить и остальных, конечно, за исключением особо злостных, и ликвидировать все существующие проектные и конструкторские бюро при ОГПУ, передав их промышленности.</w:t>
      </w:r>
    </w:p>
    <w:p w14:paraId="7FD9F6BC" w14:textId="77777777" w:rsidR="003E28CB" w:rsidRPr="005E779E" w:rsidRDefault="003E28CB" w:rsidP="000B7A6C">
      <w:pPr>
        <w:pStyle w:val="ae"/>
        <w:spacing w:before="0" w:after="0"/>
        <w:jc w:val="both"/>
        <w:rPr>
          <w:color w:val="000000" w:themeColor="text1"/>
          <w:sz w:val="16"/>
          <w:szCs w:val="16"/>
        </w:rPr>
      </w:pPr>
      <w:hyperlink r:id="rId174" w:history="1">
        <w:r w:rsidRPr="005E779E">
          <w:rPr>
            <w:rStyle w:val="af0"/>
            <w:i w:val="0"/>
            <w:color w:val="000000" w:themeColor="text1"/>
            <w:sz w:val="16"/>
            <w:szCs w:val="16"/>
          </w:rPr>
          <w:t>С. Орджоникидзе</w:t>
        </w:r>
      </w:hyperlink>
    </w:p>
    <w:p w14:paraId="67DB81F5" w14:textId="77777777" w:rsidR="003E28CB" w:rsidRPr="005E779E" w:rsidRDefault="003E28CB" w:rsidP="000B7A6C">
      <w:pPr>
        <w:pStyle w:val="ae"/>
        <w:spacing w:before="0" w:after="0"/>
        <w:jc w:val="both"/>
        <w:rPr>
          <w:color w:val="000000" w:themeColor="text1"/>
          <w:sz w:val="16"/>
          <w:szCs w:val="16"/>
        </w:rPr>
      </w:pPr>
      <w:r w:rsidRPr="005E779E">
        <w:rPr>
          <w:color w:val="000000" w:themeColor="text1"/>
          <w:sz w:val="16"/>
          <w:szCs w:val="16"/>
        </w:rPr>
        <w:t>АП РФ. Ф. 3. Оп. 58. Д. 142. Л. 23. Подлинник.</w:t>
      </w:r>
    </w:p>
    <w:p w14:paraId="6B1570FD" w14:textId="77777777" w:rsidR="003E28CB" w:rsidRPr="005E779E" w:rsidRDefault="003E28C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Архив: АП РФ. Ф. 3. Оп. 58. Д. 142. Л. 23. Подлинник. </w:t>
      </w:r>
    </w:p>
    <w:p w14:paraId="309C83B6" w14:textId="77777777" w:rsidR="003E28CB" w:rsidRPr="005E779E" w:rsidRDefault="003E28C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Источник: Становление оборонно-промышленного комплекса СССР (1927-1932). М. 2008, стр. 561 (12533).</w:t>
      </w:r>
    </w:p>
    <w:p w14:paraId="7F75A2DF" w14:textId="77777777" w:rsidR="003E28CB" w:rsidRPr="005E779E" w:rsidRDefault="003E28CB" w:rsidP="000B7A6C">
      <w:pPr>
        <w:spacing w:after="0" w:line="240" w:lineRule="auto"/>
        <w:jc w:val="both"/>
        <w:rPr>
          <w:rFonts w:ascii="Times New Roman" w:hAnsi="Times New Roman"/>
          <w:color w:val="000000" w:themeColor="text1"/>
          <w:sz w:val="16"/>
          <w:szCs w:val="16"/>
        </w:rPr>
      </w:pPr>
    </w:p>
    <w:p w14:paraId="5EF64955" w14:textId="77777777" w:rsidR="00EA3943" w:rsidRPr="005E779E" w:rsidRDefault="00EA3943" w:rsidP="000B7A6C">
      <w:pPr>
        <w:pStyle w:val="312"/>
        <w:overflowPunct/>
        <w:autoSpaceDE/>
        <w:autoSpaceDN/>
        <w:adjustRightInd/>
        <w:spacing w:line="240" w:lineRule="auto"/>
        <w:ind w:firstLine="0"/>
        <w:textAlignment w:val="auto"/>
        <w:rPr>
          <w:color w:val="000000" w:themeColor="text1"/>
          <w:sz w:val="16"/>
          <w:szCs w:val="16"/>
        </w:rPr>
      </w:pPr>
      <w:r w:rsidRPr="005E779E">
        <w:rPr>
          <w:color w:val="000000" w:themeColor="text1"/>
          <w:sz w:val="16"/>
          <w:szCs w:val="16"/>
        </w:rPr>
        <w:t xml:space="preserve">28 августа </w:t>
      </w:r>
      <w:smartTag w:uri="urn:schemas-microsoft-com:office:smarttags" w:element="metricconverter">
        <w:smartTagPr>
          <w:attr w:name="ProductID" w:val="1931 г"/>
        </w:smartTagPr>
        <w:r w:rsidRPr="005E779E">
          <w:rPr>
            <w:color w:val="000000" w:themeColor="text1"/>
            <w:sz w:val="16"/>
            <w:szCs w:val="16"/>
          </w:rPr>
          <w:t>1931 г</w:t>
        </w:r>
      </w:smartTag>
      <w:r w:rsidRPr="005E779E">
        <w:rPr>
          <w:color w:val="000000" w:themeColor="text1"/>
          <w:sz w:val="16"/>
          <w:szCs w:val="16"/>
        </w:rPr>
        <w:t>.Письмо С. Орджоникидзе Л.М. Кагановичу о конструкторских бюро при ОГПУ СССР</w:t>
      </w:r>
    </w:p>
    <w:p w14:paraId="296839B1" w14:textId="77777777" w:rsidR="00EA3943" w:rsidRPr="005E779E" w:rsidRDefault="00EA3943"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секретно</w:t>
      </w:r>
    </w:p>
    <w:p w14:paraId="1E79FFCA" w14:textId="77777777" w:rsidR="00EA3943" w:rsidRPr="005E779E" w:rsidRDefault="00EA3943"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Председатель Высшего Совета Народного Хозяйства</w:t>
      </w:r>
    </w:p>
    <w:p w14:paraId="49569C9C" w14:textId="2236680A" w:rsidR="00EA3943" w:rsidRPr="005E779E" w:rsidRDefault="00EA3943" w:rsidP="000B7A6C">
      <w:pPr>
        <w:shd w:val="clear" w:color="auto" w:fill="FFFFFF"/>
        <w:spacing w:after="0" w:line="240" w:lineRule="auto"/>
        <w:jc w:val="both"/>
        <w:rPr>
          <w:rFonts w:ascii="Times New Roman" w:hAnsi="Times New Roman"/>
          <w:color w:val="000000" w:themeColor="text1"/>
          <w:sz w:val="16"/>
          <w:szCs w:val="16"/>
          <w:vertAlign w:val="subscript"/>
        </w:rPr>
      </w:pPr>
      <w:r w:rsidRPr="005E779E">
        <w:rPr>
          <w:rFonts w:ascii="Times New Roman" w:hAnsi="Times New Roman"/>
          <w:color w:val="000000" w:themeColor="text1"/>
          <w:sz w:val="16"/>
          <w:szCs w:val="16"/>
        </w:rPr>
        <w:lastRenderedPageBreak/>
        <w:t>В ЦК ВКП(б)</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 xml:space="preserve"> </w:t>
      </w:r>
    </w:p>
    <w:p w14:paraId="1AC2D74E" w14:textId="77777777" w:rsidR="00EA3943" w:rsidRPr="005E779E" w:rsidRDefault="00EA3943"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Тов. КАГАНОВИЧУ</w:t>
      </w:r>
    </w:p>
    <w:p w14:paraId="3FCA7B84" w14:textId="7E0BEC2A" w:rsidR="00EA3943" w:rsidRPr="005E779E" w:rsidRDefault="00EA3943" w:rsidP="000B7A6C">
      <w:pPr>
        <w:shd w:val="clear" w:color="auto" w:fill="FFFFFF"/>
        <w:spacing w:after="0" w:line="240" w:lineRule="auto"/>
        <w:jc w:val="both"/>
        <w:rPr>
          <w:rFonts w:ascii="Times New Roman" w:hAnsi="Times New Roman"/>
          <w:color w:val="000000" w:themeColor="text1"/>
          <w:sz w:val="16"/>
          <w:szCs w:val="16"/>
          <w:vertAlign w:val="subscript"/>
        </w:rPr>
      </w:pPr>
      <w:r w:rsidRPr="005E779E">
        <w:rPr>
          <w:rFonts w:ascii="Times New Roman" w:hAnsi="Times New Roman"/>
          <w:color w:val="000000" w:themeColor="text1"/>
          <w:sz w:val="16"/>
          <w:szCs w:val="16"/>
        </w:rPr>
        <w:t>До сих пор в ряде мест у местных органов ГПУ имеются свои проектные и конструкторские бюро (в Баку, Ростове, Ленинграде, Новосибирске, Москве, Урале, Харькове и</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т.д.) в которых работают арестованные инженеры. Я думаю, что в настоящее время такое использование инженеров нецелесообразно. Мы освободили</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значительное количество специалистов, надо освободить и</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остальных, конечно, за исключением особо злостных и ликвидировать все существующие проектные и</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конструкторские бюро при ОГПУ, передав их промышленности</w:t>
      </w:r>
      <w:r w:rsidRPr="005E779E">
        <w:rPr>
          <w:rFonts w:ascii="Times New Roman" w:hAnsi="Times New Roman"/>
          <w:color w:val="000000" w:themeColor="text1"/>
          <w:sz w:val="16"/>
          <w:szCs w:val="16"/>
          <w:vertAlign w:val="subscript"/>
        </w:rPr>
        <w:t>.</w:t>
      </w:r>
    </w:p>
    <w:p w14:paraId="55F148EC" w14:textId="77777777" w:rsidR="00EA3943" w:rsidRPr="005E779E" w:rsidRDefault="00EA3943"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ОРДЖОНИКИДЗЕ</w:t>
      </w:r>
    </w:p>
    <w:p w14:paraId="24877B00" w14:textId="77777777" w:rsidR="00EA3943" w:rsidRPr="005E779E" w:rsidRDefault="00EA3943"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АП РФ Ф.3., Оп.58., Д.142., л. 23 (17486)</w:t>
      </w:r>
    </w:p>
    <w:p w14:paraId="7C866CBD" w14:textId="77777777" w:rsidR="00EA3943" w:rsidRPr="005E779E" w:rsidRDefault="00EA3943" w:rsidP="000B7A6C">
      <w:pPr>
        <w:spacing w:after="0" w:line="240" w:lineRule="auto"/>
        <w:jc w:val="both"/>
        <w:rPr>
          <w:rFonts w:ascii="Times New Roman" w:hAnsi="Times New Roman"/>
          <w:color w:val="000000" w:themeColor="text1"/>
          <w:sz w:val="16"/>
          <w:szCs w:val="16"/>
        </w:rPr>
      </w:pPr>
    </w:p>
    <w:p w14:paraId="4C0682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28 августа 1931 г. реагируя на письма трудящихся Серго Орджоникидзе направил Председателю Высшего Совета Народного Хозяйства Л. М. Кагановичу письмо следующего содержания: (АП РФ Ф. 3. Оп. 58. Д. 142). </w:t>
      </w:r>
    </w:p>
    <w:p w14:paraId="30C09BC3"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"До сих пор в ряде мест у местных органов ГПУ имеются свои проектные и конструкторские бюро (в Баку, Ростове, Ленинграде, Новосибирске, Москве, Урале, Харькове и т. д.), в которых работают арестованные инженеры. Я думаю, что в настоящее время такое использование инженеров нецелесообразно. </w:t>
      </w:r>
    </w:p>
    <w:p w14:paraId="682443A1"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Мы освободили значительное количество специалистов.), надо освободить и остальных, конечно, за исключением особо злостных и ликвидировать все существующие проектные и конструкторские бюро при ОГПУ, передав их промышленности".</w:t>
      </w:r>
    </w:p>
    <w:p w14:paraId="524375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свою очередь, Секретариат коллегии ОГПУ 7.09.31 г. направил Кагановичу Письмо (АП РФ Ф. 3. Оп. 58. Д. 142), в котором доказывал невозможность ликвидации шарашек и освобождении специалистов, находящихся в Конструкторских Бюро при ОГПУ в Москве, Ленинграде, Зап. Сибири, в Ростове-на-Дону и других городах. </w:t>
      </w:r>
    </w:p>
    <w:p w14:paraId="0108D6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письме Миронов перечислил контингенты заключенных, которые в Конструкторских Бюро при ОГПУ работают над созданием технических средств, способных в значительной степени повысить обороноспособность СССР: Шпионов 74 Террористов 9 Руководит, вред, организаций 98 Диверсантов 44 Членов промпартий 14 Активных к/революционеров 184 Подследственных 160 </w:t>
      </w:r>
    </w:p>
    <w:p w14:paraId="4B1372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Разве можно их использовать без присмотра служб ОГПУ… </w:t>
      </w:r>
    </w:p>
    <w:p w14:paraId="4423B4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Возможно, что в работе начальника ЭКУ Миронова Л. Г. по созданию тюрем-шарашек были определенные перегибы, поскольку, в связи очередным поворотом в сталинской политике, Миронов за свое чрезмерное рвение в работе по организации шарашек, 1.07.37 г. был осужден к ВМН и расстрелян 29.08.38 г. </w:t>
      </w:r>
    </w:p>
    <w:p w14:paraId="28DB69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Аналогичная судьба постигла столь же фанатичного его первого заместителя Горянова-Горного (Бенковича) Анатолия Георгиевича. Возглавивший организацию центрального конструкторского бюро на авиазаводе № 39, он в Бутырской тюрьме оборудовал несколько камер чертежными досками и другими необходимыми чертежными принадлежностями, создав около 200 рабочих мест для конструкторов. </w:t>
      </w:r>
    </w:p>
    <w:p w14:paraId="045AC0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Чтобы заполнить "вакансии" создаваемой шарашки, было арестовано более 200 ученых, полтора десятка членов и членов-корреспондентов Академии наук, более двух десятков докторов наук и профессоров, а также значительное количество рабочих авиастроения. </w:t>
      </w:r>
    </w:p>
    <w:p w14:paraId="28984D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Анатолий Горянов был признан "врагом народа" следом за Львом Мироновым 23.07.37 г. и расстрелян 27.10.37 г. по приговору ВК ВС СССР с лишением всех наград и почестей (12107).</w:t>
      </w:r>
    </w:p>
    <w:p w14:paraId="75ECFC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FB0C375" w14:textId="77777777" w:rsidR="00845B8A" w:rsidRPr="005E779E" w:rsidRDefault="00845B8A" w:rsidP="000B7A6C">
      <w:pPr>
        <w:pStyle w:val="ae"/>
        <w:shd w:val="clear" w:color="auto" w:fill="FFFFFF"/>
        <w:spacing w:before="0" w:after="0"/>
        <w:jc w:val="both"/>
        <w:rPr>
          <w:color w:val="000000" w:themeColor="text1"/>
          <w:sz w:val="16"/>
          <w:szCs w:val="16"/>
        </w:rPr>
      </w:pPr>
      <w:r w:rsidRPr="005E779E">
        <w:rPr>
          <w:color w:val="000000" w:themeColor="text1"/>
          <w:sz w:val="16"/>
          <w:szCs w:val="16"/>
        </w:rPr>
        <w:t>28 августа 1931 г., реагируя на письма «трудящихся» Серго Орджоникидзе направил Председателю Высшего Совета Народного Хозяйства Л.М. Кагановичу письмо следующего содержания: (АП РФ Ф.3. Оп.58. Д.142).</w:t>
      </w:r>
    </w:p>
    <w:p w14:paraId="5B471693" w14:textId="77777777" w:rsidR="00845B8A" w:rsidRPr="005E779E" w:rsidRDefault="00845B8A" w:rsidP="000B7A6C">
      <w:pPr>
        <w:pStyle w:val="ae"/>
        <w:shd w:val="clear" w:color="auto" w:fill="FFFFFF"/>
        <w:spacing w:before="0" w:after="0"/>
        <w:jc w:val="both"/>
        <w:rPr>
          <w:color w:val="000000" w:themeColor="text1"/>
          <w:sz w:val="16"/>
          <w:szCs w:val="16"/>
        </w:rPr>
      </w:pPr>
      <w:r w:rsidRPr="005E779E">
        <w:rPr>
          <w:color w:val="000000" w:themeColor="text1"/>
          <w:sz w:val="16"/>
          <w:szCs w:val="16"/>
        </w:rPr>
        <w:t>«До сих пор в ряде мест у местных органов ГПУ имеются свои проектные и конструкторские бюро (в Баку, Ростове, Ленинграде, Новосибирске, Москве, Урале, Харькове и т.д.) в которых работают арестованные инженеры. Я думаю, что в настоящее время такое использование инженеров нецелесообразно.</w:t>
      </w:r>
    </w:p>
    <w:p w14:paraId="5139F2A6" w14:textId="77777777" w:rsidR="00845B8A" w:rsidRPr="005E779E" w:rsidRDefault="00845B8A" w:rsidP="000B7A6C">
      <w:pPr>
        <w:pStyle w:val="ae"/>
        <w:shd w:val="clear" w:color="auto" w:fill="FFFFFF"/>
        <w:spacing w:before="0" w:after="0"/>
        <w:jc w:val="both"/>
        <w:rPr>
          <w:color w:val="000000" w:themeColor="text1"/>
          <w:sz w:val="16"/>
          <w:szCs w:val="16"/>
        </w:rPr>
      </w:pPr>
      <w:r w:rsidRPr="005E779E">
        <w:rPr>
          <w:color w:val="000000" w:themeColor="text1"/>
          <w:sz w:val="16"/>
          <w:szCs w:val="16"/>
        </w:rPr>
        <w:t>Мы освободили значительное количество специалистов. Надо освободить и остальных, конечно, за исключением особо злостных и ликвидировать все существующие проектные и конструкторские бюро при ОГПУ, передав их промышленности».</w:t>
      </w:r>
    </w:p>
    <w:p w14:paraId="371E9DB3" w14:textId="77777777" w:rsidR="00845B8A" w:rsidRPr="005E779E" w:rsidRDefault="00845B8A" w:rsidP="000B7A6C">
      <w:pPr>
        <w:pStyle w:val="ae"/>
        <w:shd w:val="clear" w:color="auto" w:fill="FFFFFF"/>
        <w:spacing w:before="0" w:after="0"/>
        <w:jc w:val="both"/>
        <w:rPr>
          <w:color w:val="000000" w:themeColor="text1"/>
          <w:sz w:val="16"/>
          <w:szCs w:val="16"/>
        </w:rPr>
      </w:pPr>
      <w:r w:rsidRPr="005E779E">
        <w:rPr>
          <w:color w:val="000000" w:themeColor="text1"/>
          <w:sz w:val="16"/>
          <w:szCs w:val="16"/>
        </w:rPr>
        <w:t>7 сентября 1931 г., вВ свою очередь, Секретариат коллегии ОГПУ направил Кагановичу Письмо. (АП РФ Ф.3. Оп.58. Д.142), в котором доказывал невозможность ликвидации шарашек и освобождении специалистов, находящихся в Конструкторских Бюро при ОГПУ в Москве, Ленинграде, Зап. Сибири в Ростове на Дону и других городах.</w:t>
      </w:r>
    </w:p>
    <w:p w14:paraId="2C94BC3D" w14:textId="77777777" w:rsidR="00845B8A" w:rsidRPr="005E779E" w:rsidRDefault="00845B8A" w:rsidP="000B7A6C">
      <w:pPr>
        <w:pStyle w:val="ae"/>
        <w:shd w:val="clear" w:color="auto" w:fill="FFFFFF"/>
        <w:spacing w:before="0" w:after="0"/>
        <w:jc w:val="both"/>
        <w:rPr>
          <w:color w:val="000000" w:themeColor="text1"/>
          <w:sz w:val="16"/>
          <w:szCs w:val="16"/>
        </w:rPr>
      </w:pPr>
      <w:r w:rsidRPr="005E779E">
        <w:rPr>
          <w:color w:val="000000" w:themeColor="text1"/>
          <w:sz w:val="16"/>
          <w:szCs w:val="16"/>
        </w:rPr>
        <w:t>В письме Миронов перечислил контингенты заключенных, которые в Конструкторских Бюро при ОГПУ, работают над созданием технических средств, способных в значительной степени повысить обороноспособность СССР:</w:t>
      </w:r>
    </w:p>
    <w:p w14:paraId="61062C53" w14:textId="77777777" w:rsidR="00845B8A" w:rsidRPr="005E779E" w:rsidRDefault="00845B8A" w:rsidP="000B7A6C">
      <w:pPr>
        <w:pStyle w:val="ae"/>
        <w:shd w:val="clear" w:color="auto" w:fill="FFFFFF"/>
        <w:spacing w:before="0" w:after="0"/>
        <w:jc w:val="both"/>
        <w:rPr>
          <w:color w:val="000000" w:themeColor="text1"/>
          <w:sz w:val="16"/>
          <w:szCs w:val="16"/>
        </w:rPr>
      </w:pPr>
      <w:r w:rsidRPr="005E779E">
        <w:rPr>
          <w:color w:val="000000" w:themeColor="text1"/>
          <w:sz w:val="16"/>
          <w:szCs w:val="16"/>
        </w:rPr>
        <w:t>Шпионов.......................................</w:t>
      </w:r>
    </w:p>
    <w:p w14:paraId="44DF66E3" w14:textId="77777777" w:rsidR="00845B8A" w:rsidRPr="005E779E" w:rsidRDefault="00845B8A" w:rsidP="000B7A6C">
      <w:pPr>
        <w:pStyle w:val="ae"/>
        <w:shd w:val="clear" w:color="auto" w:fill="FFFFFF"/>
        <w:spacing w:before="0" w:after="0"/>
        <w:jc w:val="both"/>
        <w:rPr>
          <w:color w:val="000000" w:themeColor="text1"/>
          <w:sz w:val="16"/>
          <w:szCs w:val="16"/>
        </w:rPr>
      </w:pPr>
      <w:r w:rsidRPr="005E779E">
        <w:rPr>
          <w:color w:val="000000" w:themeColor="text1"/>
          <w:sz w:val="16"/>
          <w:szCs w:val="16"/>
        </w:rPr>
        <w:t>Террористов..................................</w:t>
      </w:r>
    </w:p>
    <w:p w14:paraId="497ADA2C" w14:textId="77777777" w:rsidR="00845B8A" w:rsidRPr="005E779E" w:rsidRDefault="00845B8A" w:rsidP="000B7A6C">
      <w:pPr>
        <w:pStyle w:val="ae"/>
        <w:shd w:val="clear" w:color="auto" w:fill="FFFFFF"/>
        <w:spacing w:before="0" w:after="0"/>
        <w:jc w:val="both"/>
        <w:rPr>
          <w:color w:val="000000" w:themeColor="text1"/>
          <w:sz w:val="16"/>
          <w:szCs w:val="16"/>
        </w:rPr>
      </w:pPr>
      <w:r w:rsidRPr="005E779E">
        <w:rPr>
          <w:color w:val="000000" w:themeColor="text1"/>
          <w:sz w:val="16"/>
          <w:szCs w:val="16"/>
        </w:rPr>
        <w:t>Руководит. вред. организаций...</w:t>
      </w:r>
    </w:p>
    <w:p w14:paraId="09109D4F" w14:textId="77777777" w:rsidR="00845B8A" w:rsidRPr="005E779E" w:rsidRDefault="00845B8A" w:rsidP="000B7A6C">
      <w:pPr>
        <w:pStyle w:val="ae"/>
        <w:shd w:val="clear" w:color="auto" w:fill="FFFFFF"/>
        <w:spacing w:before="0" w:after="0"/>
        <w:jc w:val="both"/>
        <w:rPr>
          <w:color w:val="000000" w:themeColor="text1"/>
          <w:sz w:val="16"/>
          <w:szCs w:val="16"/>
        </w:rPr>
      </w:pPr>
      <w:r w:rsidRPr="005E779E">
        <w:rPr>
          <w:color w:val="000000" w:themeColor="text1"/>
          <w:sz w:val="16"/>
          <w:szCs w:val="16"/>
        </w:rPr>
        <w:t>Диверсантов..................................</w:t>
      </w:r>
    </w:p>
    <w:p w14:paraId="5D6F9293" w14:textId="77777777" w:rsidR="00845B8A" w:rsidRPr="005E779E" w:rsidRDefault="00845B8A" w:rsidP="000B7A6C">
      <w:pPr>
        <w:pStyle w:val="ae"/>
        <w:shd w:val="clear" w:color="auto" w:fill="FFFFFF"/>
        <w:spacing w:before="0" w:after="0"/>
        <w:jc w:val="both"/>
        <w:rPr>
          <w:color w:val="000000" w:themeColor="text1"/>
          <w:sz w:val="16"/>
          <w:szCs w:val="16"/>
        </w:rPr>
      </w:pPr>
      <w:r w:rsidRPr="005E779E">
        <w:rPr>
          <w:color w:val="000000" w:themeColor="text1"/>
          <w:sz w:val="16"/>
          <w:szCs w:val="16"/>
        </w:rPr>
        <w:t>Членов промпартий.....................</w:t>
      </w:r>
    </w:p>
    <w:p w14:paraId="1C56F80E" w14:textId="77777777" w:rsidR="00845B8A" w:rsidRPr="005E779E" w:rsidRDefault="00845B8A" w:rsidP="000B7A6C">
      <w:pPr>
        <w:pStyle w:val="ae"/>
        <w:shd w:val="clear" w:color="auto" w:fill="FFFFFF"/>
        <w:spacing w:before="0" w:after="0"/>
        <w:jc w:val="both"/>
        <w:rPr>
          <w:color w:val="000000" w:themeColor="text1"/>
          <w:sz w:val="16"/>
          <w:szCs w:val="16"/>
        </w:rPr>
      </w:pPr>
      <w:r w:rsidRPr="005E779E">
        <w:rPr>
          <w:color w:val="000000" w:themeColor="text1"/>
          <w:sz w:val="16"/>
          <w:szCs w:val="16"/>
        </w:rPr>
        <w:t>Активных к/революционеров....</w:t>
      </w:r>
    </w:p>
    <w:p w14:paraId="4F770514" w14:textId="77777777" w:rsidR="00845B8A" w:rsidRPr="005E779E" w:rsidRDefault="00845B8A" w:rsidP="000B7A6C">
      <w:pPr>
        <w:pStyle w:val="ae"/>
        <w:shd w:val="clear" w:color="auto" w:fill="FFFFFF"/>
        <w:spacing w:before="0" w:after="0"/>
        <w:jc w:val="both"/>
        <w:rPr>
          <w:color w:val="000000" w:themeColor="text1"/>
          <w:sz w:val="16"/>
          <w:szCs w:val="16"/>
        </w:rPr>
      </w:pPr>
      <w:r w:rsidRPr="005E779E">
        <w:rPr>
          <w:color w:val="000000" w:themeColor="text1"/>
          <w:sz w:val="16"/>
          <w:szCs w:val="16"/>
        </w:rPr>
        <w:t xml:space="preserve"> Подследственных…………160.</w:t>
      </w:r>
    </w:p>
    <w:p w14:paraId="240AC1DC" w14:textId="77777777" w:rsidR="00845B8A" w:rsidRPr="005E779E" w:rsidRDefault="00845B8A" w:rsidP="000B7A6C">
      <w:pPr>
        <w:pStyle w:val="ae"/>
        <w:shd w:val="clear" w:color="auto" w:fill="FFFFFF"/>
        <w:spacing w:before="0" w:after="0"/>
        <w:jc w:val="both"/>
        <w:rPr>
          <w:color w:val="000000" w:themeColor="text1"/>
          <w:sz w:val="16"/>
          <w:szCs w:val="16"/>
        </w:rPr>
      </w:pPr>
      <w:r w:rsidRPr="005E779E">
        <w:rPr>
          <w:color w:val="000000" w:themeColor="text1"/>
          <w:sz w:val="16"/>
          <w:szCs w:val="16"/>
        </w:rPr>
        <w:t>Как можно таких врагов народа оставлять без присмотра?</w:t>
      </w:r>
    </w:p>
    <w:p w14:paraId="4BBBD67C" w14:textId="77777777" w:rsidR="00845B8A" w:rsidRPr="005E779E" w:rsidRDefault="00845B8A" w:rsidP="000B7A6C">
      <w:pPr>
        <w:pStyle w:val="ae"/>
        <w:shd w:val="clear" w:color="auto" w:fill="FFFFFF"/>
        <w:spacing w:before="0" w:after="0"/>
        <w:jc w:val="both"/>
        <w:rPr>
          <w:color w:val="000000" w:themeColor="text1"/>
          <w:sz w:val="16"/>
          <w:szCs w:val="16"/>
        </w:rPr>
      </w:pPr>
      <w:r w:rsidRPr="005E779E">
        <w:rPr>
          <w:color w:val="000000" w:themeColor="text1"/>
          <w:sz w:val="16"/>
          <w:szCs w:val="16"/>
        </w:rPr>
        <w:t>Несомненно, Орджоникидзе прекрасно понимал, какими средствами добыты у ученых и специалистов признания в шпионской и террористической деятельности, но ставить под сомнение деятельность ОГПУ в тот период не было возможности.</w:t>
      </w:r>
    </w:p>
    <w:p w14:paraId="00202A6B" w14:textId="77777777" w:rsidR="00845B8A" w:rsidRPr="005E779E" w:rsidRDefault="00845B8A" w:rsidP="000B7A6C">
      <w:pPr>
        <w:pStyle w:val="ae"/>
        <w:shd w:val="clear" w:color="auto" w:fill="FFFFFF"/>
        <w:spacing w:before="0" w:after="0"/>
        <w:jc w:val="both"/>
        <w:rPr>
          <w:color w:val="000000" w:themeColor="text1"/>
          <w:sz w:val="16"/>
          <w:szCs w:val="16"/>
        </w:rPr>
      </w:pPr>
      <w:r w:rsidRPr="005E779E">
        <w:rPr>
          <w:color w:val="000000" w:themeColor="text1"/>
          <w:sz w:val="16"/>
          <w:szCs w:val="16"/>
        </w:rPr>
        <w:t>Тем более что это было лучшее из худшего, поскольку их признания на допросах тянули на ВМН.</w:t>
      </w:r>
    </w:p>
    <w:p w14:paraId="6D07F667" w14:textId="77777777" w:rsidR="00845B8A" w:rsidRPr="005E779E" w:rsidRDefault="00845B8A" w:rsidP="000B7A6C">
      <w:pPr>
        <w:pStyle w:val="ae"/>
        <w:shd w:val="clear" w:color="auto" w:fill="FFFFFF"/>
        <w:spacing w:before="0" w:after="0"/>
        <w:jc w:val="both"/>
        <w:rPr>
          <w:color w:val="000000" w:themeColor="text1"/>
          <w:sz w:val="16"/>
          <w:szCs w:val="16"/>
        </w:rPr>
      </w:pPr>
      <w:r w:rsidRPr="005E779E">
        <w:rPr>
          <w:color w:val="000000" w:themeColor="text1"/>
          <w:sz w:val="16"/>
          <w:szCs w:val="16"/>
        </w:rPr>
        <w:t>Возможно, что в работе начальника ЭКУ Миронова Л.Г. по созданию тюрем-шарашек были определенные перегибы, поскольку, в связи очередным поворотом в Сталинской политике, Миронов (Коган Лейба Гиршевич) за чрезмерное рвение в работе по организации шарашек, 1.07.37г. был осужден к ВМН и расстрелян 29.08.38 г. (19585).</w:t>
      </w:r>
    </w:p>
    <w:p w14:paraId="6584BBB6" w14:textId="77777777" w:rsidR="00845B8A" w:rsidRPr="005E779E" w:rsidRDefault="00845B8A" w:rsidP="000B7A6C">
      <w:pPr>
        <w:spacing w:after="0" w:line="240" w:lineRule="auto"/>
        <w:jc w:val="both"/>
        <w:rPr>
          <w:rFonts w:ascii="Times New Roman" w:hAnsi="Times New Roman"/>
          <w:color w:val="000000" w:themeColor="text1"/>
          <w:sz w:val="16"/>
          <w:szCs w:val="16"/>
        </w:rPr>
      </w:pPr>
    </w:p>
    <w:p w14:paraId="30222BBB" w14:textId="290E7245" w:rsidR="00845B8A" w:rsidRPr="005E779E" w:rsidRDefault="00845B8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 августа 1931 г. Председатель ВСНХ Орджоникидзе напра</w:t>
      </w:r>
      <w:r w:rsidRPr="005E779E">
        <w:rPr>
          <w:rFonts w:ascii="Times New Roman" w:hAnsi="Times New Roman"/>
          <w:color w:val="000000" w:themeColor="text1"/>
          <w:sz w:val="16"/>
          <w:szCs w:val="16"/>
        </w:rPr>
        <w:softHyphen/>
        <w:t>вил в ЦК ВКП(б) служебную записку следующего содержания: “В проектных и конструкторских бюро местных органов ГПУ (Баку, Ростов, Ленинград, Харьков, Новосибирск, Москва и т.д.)</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работают арестованные инженеры. Такое их использование не</w:t>
      </w:r>
      <w:r w:rsidRPr="005E779E">
        <w:rPr>
          <w:rFonts w:ascii="Times New Roman" w:hAnsi="Times New Roman"/>
          <w:color w:val="000000" w:themeColor="text1"/>
          <w:sz w:val="16"/>
          <w:szCs w:val="16"/>
        </w:rPr>
        <w:softHyphen/>
        <w:t>целесообразно. Значительное их количество надо освободить, за исключением наиболее злостных вредителей, а конструкторские бюро передать промышленности”.</w:t>
      </w:r>
    </w:p>
    <w:p w14:paraId="29F46D04" w14:textId="77777777" w:rsidR="00845B8A" w:rsidRPr="005E779E" w:rsidRDefault="00845B8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Ответ ОГПУ был крайне примечательным. В справке, подпи</w:t>
      </w:r>
      <w:r w:rsidRPr="005E779E">
        <w:rPr>
          <w:rFonts w:ascii="Times New Roman" w:hAnsi="Times New Roman"/>
          <w:color w:val="000000" w:themeColor="text1"/>
          <w:sz w:val="16"/>
          <w:szCs w:val="16"/>
        </w:rPr>
        <w:softHyphen/>
        <w:t>санной зампредом ОГПУ Акуловым и начальником ЭКУ ОГПУ Мироновым, давалась подробная характеристика состава и дея</w:t>
      </w:r>
      <w:r w:rsidRPr="005E779E">
        <w:rPr>
          <w:rFonts w:ascii="Times New Roman" w:hAnsi="Times New Roman"/>
          <w:color w:val="000000" w:themeColor="text1"/>
          <w:sz w:val="16"/>
          <w:szCs w:val="16"/>
        </w:rPr>
        <w:softHyphen/>
        <w:t>тельности ОКБ и ОТБ в области авиации, танкостроения, артил</w:t>
      </w:r>
      <w:r w:rsidRPr="005E779E">
        <w:rPr>
          <w:rFonts w:ascii="Times New Roman" w:hAnsi="Times New Roman"/>
          <w:color w:val="000000" w:themeColor="text1"/>
          <w:sz w:val="16"/>
          <w:szCs w:val="16"/>
        </w:rPr>
        <w:softHyphen/>
        <w:t>лерии, военной химии, судостроения и т.д. Например, в авиацион</w:t>
      </w:r>
      <w:r w:rsidRPr="005E779E">
        <w:rPr>
          <w:rFonts w:ascii="Times New Roman" w:hAnsi="Times New Roman"/>
          <w:color w:val="000000" w:themeColor="text1"/>
          <w:sz w:val="16"/>
          <w:szCs w:val="16"/>
        </w:rPr>
        <w:softHyphen/>
        <w:t>ном ОКБ работало 26 инженеров: 9 из них были представлены как руководители вредительских организаций, 8 - как шпионы иностранных разведок, остальные определены как “активисты вредительских организаций”. За короткий период своего сущест</w:t>
      </w:r>
      <w:r w:rsidRPr="005E779E">
        <w:rPr>
          <w:rFonts w:ascii="Times New Roman" w:hAnsi="Times New Roman"/>
          <w:color w:val="000000" w:themeColor="text1"/>
          <w:sz w:val="16"/>
          <w:szCs w:val="16"/>
        </w:rPr>
        <w:softHyphen/>
        <w:t>вования ОКБ был построен и сдан истребитель И-5, бронирован</w:t>
      </w:r>
      <w:r w:rsidRPr="005E779E">
        <w:rPr>
          <w:rFonts w:ascii="Times New Roman" w:hAnsi="Times New Roman"/>
          <w:color w:val="000000" w:themeColor="text1"/>
          <w:sz w:val="16"/>
          <w:szCs w:val="16"/>
        </w:rPr>
        <w:softHyphen/>
        <w:t>ный штурмовик, бомбовоз ТБ-5, в постройке находился морской дальний разведчик. “Группа не может быть раскассирована, - за</w:t>
      </w:r>
      <w:r w:rsidRPr="005E779E">
        <w:rPr>
          <w:rFonts w:ascii="Times New Roman" w:hAnsi="Times New Roman"/>
          <w:color w:val="000000" w:themeColor="text1"/>
          <w:sz w:val="16"/>
          <w:szCs w:val="16"/>
        </w:rPr>
        <w:softHyphen/>
        <w:t>ключало ОГПУ, - так как это сказалось бы на опытном самоле</w:t>
      </w:r>
      <w:r w:rsidRPr="005E779E">
        <w:rPr>
          <w:rFonts w:ascii="Times New Roman" w:hAnsi="Times New Roman"/>
          <w:color w:val="000000" w:themeColor="text1"/>
          <w:sz w:val="16"/>
          <w:szCs w:val="16"/>
        </w:rPr>
        <w:softHyphen/>
        <w:t>тостроении... Сложность момента опытного строительства тре</w:t>
      </w:r>
      <w:r w:rsidRPr="005E779E">
        <w:rPr>
          <w:rFonts w:ascii="Times New Roman" w:hAnsi="Times New Roman"/>
          <w:color w:val="000000" w:themeColor="text1"/>
          <w:sz w:val="16"/>
          <w:szCs w:val="16"/>
        </w:rPr>
        <w:softHyphen/>
        <w:t>бует специального режима, который может быть обеспечен только в ОКБ”. То же соображение касалось танкового Остех- бюро, где работал 31 арестованный специалист. Промышленно</w:t>
      </w:r>
      <w:r w:rsidRPr="005E779E">
        <w:rPr>
          <w:rFonts w:ascii="Times New Roman" w:hAnsi="Times New Roman"/>
          <w:color w:val="000000" w:themeColor="text1"/>
          <w:sz w:val="16"/>
          <w:szCs w:val="16"/>
        </w:rPr>
        <w:softHyphen/>
        <w:t>сти их передать нельзя, заключало ОГПУ, так как передача заня</w:t>
      </w:r>
      <w:r w:rsidRPr="005E779E">
        <w:rPr>
          <w:rFonts w:ascii="Times New Roman" w:hAnsi="Times New Roman"/>
          <w:color w:val="000000" w:themeColor="text1"/>
          <w:sz w:val="16"/>
          <w:szCs w:val="16"/>
        </w:rPr>
        <w:softHyphen/>
        <w:t>ла бы такое количество времени, которое потребовалось бы для завершения работ, и отрицательно сказалось бы на результатах развития бронетехники.</w:t>
      </w:r>
    </w:p>
    <w:p w14:paraId="21070241" w14:textId="77777777" w:rsidR="00845B8A" w:rsidRPr="005E779E" w:rsidRDefault="00845B8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 согласно справке, в различных ОТБ и ОКБ работало около 400 специалистов, подавляющее большинство из них было связано с военными разработками. Необходимость сохранения особых бюро чаще всего оправдывалась первоочередностью оборонных задач, угрозой их срыва. Очень хитро ОГПУ исполь</w:t>
      </w:r>
      <w:r w:rsidRPr="005E779E">
        <w:rPr>
          <w:rFonts w:ascii="Times New Roman" w:hAnsi="Times New Roman"/>
          <w:color w:val="000000" w:themeColor="text1"/>
          <w:sz w:val="16"/>
          <w:szCs w:val="16"/>
        </w:rPr>
        <w:softHyphen/>
        <w:t>зовало оговорку о “злостных вредителях”. Если специалисты проходили по так называемым открытым процессам, например, Промпартии, то в этом случае, по мнению ОГПУ, нельзя было и “заикаться” об их освобождении. Разумеется, особые бюро рабо</w:t>
      </w:r>
      <w:r w:rsidRPr="005E779E">
        <w:rPr>
          <w:rFonts w:ascii="Times New Roman" w:hAnsi="Times New Roman"/>
          <w:color w:val="000000" w:themeColor="text1"/>
          <w:sz w:val="16"/>
          <w:szCs w:val="16"/>
        </w:rPr>
        <w:softHyphen/>
        <w:t>тали не только в военной области, но и в гражданских отраслях, где их сохранение оправдывалось особой важностью и срочно</w:t>
      </w:r>
      <w:r w:rsidRPr="005E779E">
        <w:rPr>
          <w:rFonts w:ascii="Times New Roman" w:hAnsi="Times New Roman"/>
          <w:color w:val="000000" w:themeColor="text1"/>
          <w:sz w:val="16"/>
          <w:szCs w:val="16"/>
        </w:rPr>
        <w:softHyphen/>
        <w:t>стью задач, а в случае группы, работающей над котлом высоко</w:t>
      </w:r>
      <w:r w:rsidRPr="005E779E">
        <w:rPr>
          <w:rFonts w:ascii="Times New Roman" w:hAnsi="Times New Roman"/>
          <w:color w:val="000000" w:themeColor="text1"/>
          <w:sz w:val="16"/>
          <w:szCs w:val="16"/>
        </w:rPr>
        <w:softHyphen/>
        <w:t>го давления, указывалось, что ее нельзя передавать в промыш</w:t>
      </w:r>
      <w:r w:rsidRPr="005E779E">
        <w:rPr>
          <w:rFonts w:ascii="Times New Roman" w:hAnsi="Times New Roman"/>
          <w:color w:val="000000" w:themeColor="text1"/>
          <w:sz w:val="16"/>
          <w:szCs w:val="16"/>
        </w:rPr>
        <w:softHyphen/>
        <w:t>ленность, так как ею руководит Рамзин, а остальные участники - активные члены Промпартии.</w:t>
      </w:r>
    </w:p>
    <w:p w14:paraId="24EE3C40" w14:textId="77777777" w:rsidR="00845B8A" w:rsidRPr="005E779E" w:rsidRDefault="00845B8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Особенно поражает лицемерие чекистов в случае обосно</w:t>
      </w:r>
      <w:r w:rsidRPr="005E779E">
        <w:rPr>
          <w:rFonts w:ascii="Times New Roman" w:hAnsi="Times New Roman"/>
          <w:color w:val="000000" w:themeColor="text1"/>
          <w:sz w:val="16"/>
          <w:szCs w:val="16"/>
        </w:rPr>
        <w:softHyphen/>
        <w:t>вания необходимости особого бюро по составлению плана электрификации СССР, отдельных районов и отраслей. Оказывается, решение столь важной государственной задачи мож</w:t>
      </w:r>
      <w:r w:rsidRPr="005E779E">
        <w:rPr>
          <w:rFonts w:ascii="Times New Roman" w:hAnsi="Times New Roman"/>
          <w:color w:val="000000" w:themeColor="text1"/>
          <w:sz w:val="16"/>
          <w:szCs w:val="16"/>
        </w:rPr>
        <w:softHyphen/>
        <w:t>но было доверить “вредителям”, “шпионам”, “диверсантам”, “террористам”. То же самое касалось текстильной промыш</w:t>
      </w:r>
      <w:r w:rsidRPr="005E779E">
        <w:rPr>
          <w:rFonts w:ascii="Times New Roman" w:hAnsi="Times New Roman"/>
          <w:color w:val="000000" w:themeColor="text1"/>
          <w:sz w:val="16"/>
          <w:szCs w:val="16"/>
        </w:rPr>
        <w:softHyphen/>
        <w:t>ленности, где последним было поручено составить план ее ре</w:t>
      </w:r>
      <w:r w:rsidRPr="005E779E">
        <w:rPr>
          <w:rFonts w:ascii="Times New Roman" w:hAnsi="Times New Roman"/>
          <w:color w:val="000000" w:themeColor="text1"/>
          <w:sz w:val="16"/>
          <w:szCs w:val="16"/>
        </w:rPr>
        <w:softHyphen/>
        <w:t>конструкции. Передать означенное бюро в промышленность “означало бы разбросать коллектив по отдельным фабри</w:t>
      </w:r>
      <w:r w:rsidRPr="005E779E">
        <w:rPr>
          <w:rFonts w:ascii="Times New Roman" w:hAnsi="Times New Roman"/>
          <w:color w:val="000000" w:themeColor="text1"/>
          <w:sz w:val="16"/>
          <w:szCs w:val="16"/>
        </w:rPr>
        <w:softHyphen/>
        <w:t>кам” - заключало ОГПУ</w:t>
      </w:r>
      <w:bookmarkStart w:id="43" w:name="_ednref68"/>
      <w:r w:rsidRPr="005E779E">
        <w:rPr>
          <w:rFonts w:ascii="Times New Roman" w:hAnsi="Times New Roman"/>
          <w:color w:val="000000" w:themeColor="text1"/>
          <w:sz w:val="16"/>
          <w:szCs w:val="16"/>
        </w:rPr>
        <w:t xml:space="preserve"> (18393)</w:t>
      </w:r>
      <w:bookmarkEnd w:id="43"/>
      <w:r w:rsidRPr="005E779E">
        <w:rPr>
          <w:rFonts w:ascii="Times New Roman" w:hAnsi="Times New Roman"/>
          <w:color w:val="000000" w:themeColor="text1"/>
          <w:sz w:val="16"/>
          <w:szCs w:val="16"/>
        </w:rPr>
        <w:t>.</w:t>
      </w:r>
    </w:p>
    <w:p w14:paraId="628A2569" w14:textId="77777777" w:rsidR="00845B8A" w:rsidRPr="005E779E" w:rsidRDefault="00845B8A" w:rsidP="000B7A6C">
      <w:pPr>
        <w:spacing w:after="0" w:line="240" w:lineRule="auto"/>
        <w:jc w:val="both"/>
        <w:rPr>
          <w:rFonts w:ascii="Times New Roman" w:hAnsi="Times New Roman"/>
          <w:color w:val="000000" w:themeColor="text1"/>
          <w:sz w:val="16"/>
          <w:szCs w:val="16"/>
        </w:rPr>
      </w:pPr>
    </w:p>
    <w:p w14:paraId="68CA15E4" w14:textId="77777777" w:rsidR="00845B8A" w:rsidRPr="005E779E" w:rsidRDefault="00845B8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 августа 1931 г. Серго Орджоникидзе направил Председателю Высшего Совета Народного Хозяйства Л. М. Кагановичу письмо следующего содержания: (АП РФ Ф. 3. Оп. 58. Д. 142). «До сих пор в ряде мест у местных органов ГПУ имеются свои проектные и конструкторские бюро (в Баку, Ростове, Ленинграде, Новосибирске, Москве, Урале, Харькове и т. д.), в которых работают арестованные инженеры. Я думаю, что в настоящее время такое использование инженеров нецелесообразно. Мы освободили значительное количество специалистов.), надо освободить и остальных, конечно, за исключением особо злостных и ликвидировать все существующие проектные и конструкторские бюро при ОГПУ, передав их промышленности» (18668).</w:t>
      </w:r>
    </w:p>
    <w:p w14:paraId="2BB6C97C" w14:textId="77777777" w:rsidR="00845B8A" w:rsidRPr="005E779E" w:rsidRDefault="00845B8A" w:rsidP="000B7A6C">
      <w:pPr>
        <w:spacing w:after="0" w:line="240" w:lineRule="auto"/>
        <w:jc w:val="both"/>
        <w:rPr>
          <w:rFonts w:ascii="Times New Roman" w:hAnsi="Times New Roman"/>
          <w:color w:val="000000" w:themeColor="text1"/>
          <w:sz w:val="16"/>
          <w:szCs w:val="16"/>
        </w:rPr>
      </w:pPr>
    </w:p>
    <w:p w14:paraId="1E5C64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28 августа 1931 вышел приказ Нач. вооружения РККА “О системе химического вооружения” (9527,179).</w:t>
      </w:r>
    </w:p>
    <w:p w14:paraId="599A96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A2CC2EC" w14:textId="77777777" w:rsidR="00D70EBF" w:rsidRPr="00142305" w:rsidRDefault="00D70EBF" w:rsidP="00D70EB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28 августа 1931 года вышел приказ начальника вооружений РККА «О системе химического вооружения». В соответствии с этим документом УММ и ВОХИМУ следовало приступить к разработке «тан</w:t>
      </w:r>
      <w:r w:rsidRPr="00142305">
        <w:rPr>
          <w:rFonts w:ascii="Times New Roman" w:hAnsi="Times New Roman"/>
          <w:color w:val="0070C0"/>
          <w:sz w:val="16"/>
          <w:szCs w:val="16"/>
        </w:rPr>
        <w:softHyphen/>
        <w:t>ка-распылителя» и других образцов для химического оснащения мотомеханизированных частей (25021).</w:t>
      </w:r>
    </w:p>
    <w:p w14:paraId="123E95DA" w14:textId="77777777" w:rsidR="00D70EBF" w:rsidRPr="00142305" w:rsidRDefault="00D70EBF" w:rsidP="00D70EBF">
      <w:pPr>
        <w:spacing w:after="0" w:line="240" w:lineRule="auto"/>
        <w:jc w:val="both"/>
        <w:rPr>
          <w:rFonts w:ascii="Times New Roman" w:hAnsi="Times New Roman"/>
          <w:color w:val="0070C0"/>
          <w:sz w:val="16"/>
          <w:szCs w:val="16"/>
        </w:rPr>
      </w:pPr>
    </w:p>
    <w:p w14:paraId="1A9AD0DD" w14:textId="77777777" w:rsidR="003E28CB" w:rsidRPr="005E779E" w:rsidRDefault="003E28C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 августа 1931 г. вышел приказ начальника вооружений РККА «О системе химического вооружения» В соответствии с этим документом УММ и ВОХИМУ следовало приступить к разработке «танка-распылителя» и других образцов для химического оснащения мотомеханизированных частей. Однако фактически проектирование бронированных военных химических машин началось раньше (12253).</w:t>
      </w:r>
    </w:p>
    <w:p w14:paraId="404B7EAF" w14:textId="77777777" w:rsidR="003E28CB" w:rsidRPr="005E779E" w:rsidRDefault="003E28CB" w:rsidP="000B7A6C">
      <w:pPr>
        <w:spacing w:after="0" w:line="240" w:lineRule="auto"/>
        <w:jc w:val="both"/>
        <w:rPr>
          <w:rFonts w:ascii="Times New Roman" w:hAnsi="Times New Roman"/>
          <w:color w:val="000000" w:themeColor="text1"/>
          <w:sz w:val="16"/>
          <w:szCs w:val="16"/>
        </w:rPr>
      </w:pPr>
    </w:p>
    <w:p w14:paraId="2B47D5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28 августа 1931 г. </w:t>
      </w:r>
    </w:p>
    <w:p w14:paraId="7DD9EF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Председатель Высшего Совета Народного Хозяйства писал письмо</w:t>
      </w:r>
    </w:p>
    <w:p w14:paraId="2CD06A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ЦК ВКП(б) </w:t>
      </w:r>
    </w:p>
    <w:p w14:paraId="529950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Тов. КАГАНОВИЧУ </w:t>
      </w:r>
    </w:p>
    <w:p w14:paraId="5EB14C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 - секретно </w:t>
      </w:r>
    </w:p>
    <w:p w14:paraId="52C393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До сих пор в ряде мест у местных органов ГПУ имеются свои проектные и конструкторские бюро (в Баку, Ростове, Ленинграде, Новосибирске, Москве, Урале, Харькове и т.д.) в которых работают арестованные инженеры. Я думаю, что в настоящее время такое использование инженеров нецелесообразно. Мы освободили значительное количество специалистов, надо освободить и остальных, конечно, за исключением особо злостных и ликвидировать все существующие проектные и конструкторские бюро при ОГПУ, передав их промышленности. </w:t>
      </w:r>
    </w:p>
    <w:p w14:paraId="3405BC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 ОРДЖОНИКИДЗЕ </w:t>
      </w:r>
    </w:p>
    <w:p w14:paraId="5B0EF4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АП РФ Ф.3., Оп.58., Д.142., л. 23 (11462).</w:t>
      </w:r>
    </w:p>
    <w:p w14:paraId="67D0AE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BB8317F"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744FB3D8"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0B356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 августа 1931 постоянная палата Международного суда в Гааге вынесла решение о том, что намечаемый таможенный союз между Германией и Австрией противоречит Женевским протоколам от 24 октября 1922 (3481).</w:t>
      </w:r>
    </w:p>
    <w:p w14:paraId="6AFA64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2E03389"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0E25D7D4"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CD5975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 августа 1931 г. был выполнен первый полет двухбалочного истребителя АНТ-23 (И-12) (6395).</w:t>
      </w:r>
    </w:p>
    <w:p w14:paraId="091AB3D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7279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 августа 1931 состоялся первый полет АНТ-23 (И-12, Бауманский комсомолец) (109,237). Летал И.Ф.Козлов (109,237).</w:t>
      </w:r>
    </w:p>
    <w:p w14:paraId="22A187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9D45263" w14:textId="77777777" w:rsidR="00731A41" w:rsidRPr="005E779E" w:rsidRDefault="00731A41" w:rsidP="000B7A6C">
      <w:pPr>
        <w:pStyle w:val="rtecenter"/>
        <w:shd w:val="clear" w:color="auto" w:fill="FFFFFF"/>
        <w:spacing w:before="0" w:after="0"/>
        <w:jc w:val="both"/>
        <w:textAlignment w:val="baseline"/>
        <w:rPr>
          <w:color w:val="000000" w:themeColor="text1"/>
          <w:sz w:val="16"/>
          <w:szCs w:val="16"/>
        </w:rPr>
      </w:pPr>
      <w:r w:rsidRPr="005E779E">
        <w:rPr>
          <w:color w:val="000000" w:themeColor="text1"/>
          <w:sz w:val="16"/>
          <w:szCs w:val="16"/>
        </w:rPr>
        <w:t>29 августа 1931 года начальник летной части ОЭЛИД И.Ф. Козлов совершил на И-12 первый полет. Начавшиеся заводские летные испытания выявили необходимость переделки вертикального оперения, костылей и замены заднего воздушного винта (19172).</w:t>
      </w:r>
    </w:p>
    <w:p w14:paraId="51695CE1" w14:textId="77777777" w:rsidR="00731A41" w:rsidRPr="005E779E" w:rsidRDefault="00731A41" w:rsidP="000B7A6C">
      <w:pPr>
        <w:pStyle w:val="rtecenter"/>
        <w:shd w:val="clear" w:color="auto" w:fill="FFFFFF"/>
        <w:spacing w:before="0" w:after="0"/>
        <w:jc w:val="both"/>
        <w:textAlignment w:val="baseline"/>
        <w:rPr>
          <w:color w:val="000000" w:themeColor="text1"/>
          <w:sz w:val="16"/>
          <w:szCs w:val="16"/>
        </w:rPr>
      </w:pPr>
    </w:p>
    <w:p w14:paraId="521D17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другим данным 29 августа 1931 начались гос. испытания И-12 (АНТ-23) (80,151).</w:t>
      </w:r>
    </w:p>
    <w:p w14:paraId="41189B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третьим данным -27 августа 1931 (2072,70).</w:t>
      </w:r>
    </w:p>
    <w:p w14:paraId="681E9E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Пришлось доделывать и переделывать до осени. Двухкилевое оперение заменили на однокилевое. Меняли капотирование переднего двигателя (2693,14).</w:t>
      </w:r>
    </w:p>
    <w:p w14:paraId="79ADE5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F481ED5" w14:textId="77777777" w:rsidR="00B24706" w:rsidRPr="005E779E" w:rsidRDefault="00B247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 августа</w:t>
      </w:r>
      <w:r w:rsidRPr="005E779E">
        <w:rPr>
          <w:rStyle w:val="ucoz-forum-post"/>
          <w:rFonts w:ascii="Times New Roman" w:eastAsia="Times New Roman" w:hAnsi="Times New Roman"/>
          <w:color w:val="000000" w:themeColor="text1"/>
          <w:sz w:val="16"/>
          <w:szCs w:val="16"/>
        </w:rPr>
        <w:t xml:space="preserve"> 1931. Первый полет двухбалочного истребителя И-12 «Бауманский комсомолец» (АНТ-23), И.Ф.Козлов </w:t>
      </w:r>
    </w:p>
    <w:p w14:paraId="2CD391BE" w14:textId="77777777" w:rsidR="00B24706" w:rsidRPr="005E779E" w:rsidRDefault="00B24706" w:rsidP="000B7A6C">
      <w:pPr>
        <w:spacing w:after="0" w:line="240" w:lineRule="auto"/>
        <w:jc w:val="both"/>
        <w:rPr>
          <w:rFonts w:ascii="Times New Roman" w:hAnsi="Times New Roman"/>
          <w:color w:val="000000" w:themeColor="text1"/>
          <w:sz w:val="16"/>
          <w:szCs w:val="16"/>
        </w:rPr>
      </w:pPr>
    </w:p>
    <w:p w14:paraId="7FBE24ED" w14:textId="77777777" w:rsidR="00EC4A8C" w:rsidRPr="005E779E" w:rsidRDefault="00EC4A8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 августа 1931 г. И.Ф. Козлов выполнил на самолете И-12 (АНТ-23, без б/№) первый полет. Вероятно, первая попытка взлета была предпринята 27.08.31 г. и она была неудачной. 21.07.31 г. была выполнена первая рулежка. Результат был неудовлетворительный – самолет на малых скоростях управлялся плохо (23136).</w:t>
      </w:r>
    </w:p>
    <w:p w14:paraId="3C9B91EE" w14:textId="77777777" w:rsidR="00EC4A8C" w:rsidRPr="005E779E" w:rsidRDefault="00EC4A8C" w:rsidP="000B7A6C">
      <w:pPr>
        <w:spacing w:after="0" w:line="240" w:lineRule="auto"/>
        <w:jc w:val="both"/>
        <w:rPr>
          <w:rFonts w:ascii="Times New Roman" w:hAnsi="Times New Roman"/>
          <w:color w:val="000000" w:themeColor="text1"/>
          <w:sz w:val="16"/>
          <w:szCs w:val="16"/>
        </w:rPr>
      </w:pPr>
    </w:p>
    <w:p w14:paraId="4B8B00FC" w14:textId="77777777" w:rsidR="00B24706" w:rsidRPr="005E779E" w:rsidRDefault="00B247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29 августа 1931 г. по 28 сентября 1932 г. И-12 находился на испытаниях, выполнил 21 полёт, общей продолжительностью 8 час 59 мин. В процессе испытаний проведено множество доработок и переделок самолёта. При последних полётах выявилась необходимость усиле</w:t>
      </w:r>
      <w:r w:rsidRPr="005E779E">
        <w:rPr>
          <w:rFonts w:ascii="Times New Roman" w:hAnsi="Times New Roman"/>
          <w:color w:val="000000" w:themeColor="text1"/>
          <w:sz w:val="16"/>
          <w:szCs w:val="16"/>
        </w:rPr>
        <w:softHyphen/>
        <w:t>ния крепления стыков газоотводящих труб, с последую</w:t>
      </w:r>
      <w:r w:rsidRPr="005E779E">
        <w:rPr>
          <w:rFonts w:ascii="Times New Roman" w:hAnsi="Times New Roman"/>
          <w:color w:val="000000" w:themeColor="text1"/>
          <w:sz w:val="16"/>
          <w:szCs w:val="16"/>
        </w:rPr>
        <w:softHyphen/>
        <w:t>щим проведением полных испытаний пушек. Самолёт разобрали — двигатели и консоли крыла сдали на склад, а центроплан с кабиной, пушками и хвостовым оперением отправили на завод № 8 для доводки (АПК-4) (15823).</w:t>
      </w:r>
    </w:p>
    <w:p w14:paraId="2EB1B105" w14:textId="77777777" w:rsidR="00B24706" w:rsidRPr="005E779E" w:rsidRDefault="00B24706" w:rsidP="000B7A6C">
      <w:pPr>
        <w:spacing w:after="0" w:line="240" w:lineRule="auto"/>
        <w:jc w:val="both"/>
        <w:rPr>
          <w:rFonts w:ascii="Times New Roman" w:hAnsi="Times New Roman"/>
          <w:color w:val="000000" w:themeColor="text1"/>
          <w:sz w:val="16"/>
          <w:szCs w:val="16"/>
        </w:rPr>
      </w:pPr>
    </w:p>
    <w:p w14:paraId="71E0CE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 августа 1935 состоялся первый полет И-12 (АНТ-23), который показал вполне удовлетворительные характеристики. Переделки машины, однако, продолжались. Выяснилось, что двойное вертикальное оперение, находящееся вне зоны обдувки воздушных винтов, неэффективно на рулежке и на пробеге. Поэтому уже в процессе испытаний установили однокилевое оперение, необходимую жесткость обеспечивали подкосы, соединяющие киль со стабилизатором. Была увеличена площадь элеронов (по причине перекомпенсации). После этой доработки задняя кромка элеронов стала выступать за контур крыла.</w:t>
      </w:r>
    </w:p>
    <w:p w14:paraId="586895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для истребителя И-12 было изготовлено две 76-мм пушки АПК-5. Пушка имела несколько меньший вес, чем АПК-4 (65 кг). Баллистические данные были близки к АПК-4 (вес снаряда 3,0 кг, вес заряда 0,6 кг). Испытания АПК-5 для определения баллистических данных были проведены 26 февраля 1931 г. на НИАПе. Начальная скорость оказалась 397 м/с. Первые наземные стрельбы И-12 с АПК-5 состоялись 11 ноября 1931 г. на аэродроме НИИ ВВС.</w:t>
      </w:r>
    </w:p>
    <w:p w14:paraId="3F4DBB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Отстрелялись вполне успешно, однако при возвращении в Москву самолет подломал костыли. Ремонт потянул за собой очередные доделки и улучшения. На аэродроме И-12 оказался лишь спустя три месяца, в феврале 1932 г. После опробования машины в воздухе 8 февраля летчик-испытатель Иван Фролович Козлов перегнал И-12 на аэродром в Монино, где были продолжены наземные огневые испытания (12091).</w:t>
      </w:r>
    </w:p>
    <w:p w14:paraId="2427EC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43FFB13" w14:textId="77777777" w:rsidR="008A27D1" w:rsidRPr="005E779E" w:rsidRDefault="008A27D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 августа 1931 г. летчик И.Ф. Козлов совершил первый полет на АНТ—23 Затем начались испытания. После каждо</w:t>
      </w:r>
      <w:r w:rsidRPr="005E779E">
        <w:rPr>
          <w:rFonts w:ascii="Times New Roman" w:hAnsi="Times New Roman"/>
          <w:color w:val="000000" w:themeColor="text1"/>
          <w:sz w:val="16"/>
          <w:szCs w:val="16"/>
        </w:rPr>
        <w:softHyphen/>
        <w:t>го полета выявлялись те или иные недостатки, устранение которых отнимало много времени. Только 11 ноября 1931 г. на монинском полигоне на земле опробо</w:t>
      </w:r>
      <w:r w:rsidRPr="005E779E">
        <w:rPr>
          <w:rFonts w:ascii="Times New Roman" w:hAnsi="Times New Roman"/>
          <w:color w:val="000000" w:themeColor="text1"/>
          <w:sz w:val="16"/>
          <w:szCs w:val="16"/>
        </w:rPr>
        <w:softHyphen/>
        <w:t>вали установленные на машине пушки АПК—4 калибра 76 мм. После восьми вы</w:t>
      </w:r>
      <w:r w:rsidRPr="005E779E">
        <w:rPr>
          <w:rFonts w:ascii="Times New Roman" w:hAnsi="Times New Roman"/>
          <w:color w:val="000000" w:themeColor="text1"/>
          <w:sz w:val="16"/>
          <w:szCs w:val="16"/>
        </w:rPr>
        <w:softHyphen/>
        <w:t>стрелов никаких повреждений конструк</w:t>
      </w:r>
      <w:r w:rsidRPr="005E779E">
        <w:rPr>
          <w:rFonts w:ascii="Times New Roman" w:hAnsi="Times New Roman"/>
          <w:color w:val="000000" w:themeColor="text1"/>
          <w:sz w:val="16"/>
          <w:szCs w:val="16"/>
        </w:rPr>
        <w:softHyphen/>
        <w:t>ции не обнаружили. В феврале 1932 г. провели повторные испытания, выпустив 26 снарядов. Они выявили необходи</w:t>
      </w:r>
      <w:r w:rsidRPr="005E779E">
        <w:rPr>
          <w:rFonts w:ascii="Times New Roman" w:hAnsi="Times New Roman"/>
          <w:color w:val="000000" w:themeColor="text1"/>
          <w:sz w:val="16"/>
          <w:szCs w:val="16"/>
        </w:rPr>
        <w:softHyphen/>
        <w:t>мость переделки хвостового оперения, требовалась и регулировка механизма ле</w:t>
      </w:r>
      <w:r w:rsidRPr="005E779E">
        <w:rPr>
          <w:rFonts w:ascii="Times New Roman" w:hAnsi="Times New Roman"/>
          <w:color w:val="000000" w:themeColor="text1"/>
          <w:sz w:val="16"/>
          <w:szCs w:val="16"/>
        </w:rPr>
        <w:softHyphen/>
        <w:t>вой пушки.</w:t>
      </w:r>
    </w:p>
    <w:p w14:paraId="458FE0B1" w14:textId="77777777" w:rsidR="008A27D1" w:rsidRPr="005E779E" w:rsidRDefault="008A27D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доработок, 21 марта 1932 г., И—12 поднялся в воздух для проведения боевых стрельб. Каждую пушку зарядили двумя снарядами массой по 0,56 кг. На заводские испытания, высоте 1000 м И.Ф. Козлов выстрелил из левой пушки. В последующие минуты ему пришлось применить все свое мастерство, чтобы посадить поврежденную машину. При осмотре обнаружили, что разорвало диффузор, сорваны обтекатели, оборва</w:t>
      </w:r>
      <w:r w:rsidRPr="005E779E">
        <w:rPr>
          <w:rFonts w:ascii="Times New Roman" w:hAnsi="Times New Roman"/>
          <w:color w:val="000000" w:themeColor="text1"/>
          <w:sz w:val="16"/>
          <w:szCs w:val="16"/>
        </w:rPr>
        <w:softHyphen/>
        <w:t>лись тросы управления стабилизатором. За спасение опытного самолета летчика наградили орденом Красной Звезды.</w:t>
      </w:r>
    </w:p>
    <w:p w14:paraId="3BABC982" w14:textId="77777777" w:rsidR="008A27D1" w:rsidRPr="005E779E" w:rsidRDefault="008A27D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отремонтировали, и испы</w:t>
      </w:r>
      <w:r w:rsidRPr="005E779E">
        <w:rPr>
          <w:rFonts w:ascii="Times New Roman" w:hAnsi="Times New Roman"/>
          <w:color w:val="000000" w:themeColor="text1"/>
          <w:sz w:val="16"/>
          <w:szCs w:val="16"/>
        </w:rPr>
        <w:softHyphen/>
        <w:t>тания продолжились до 28 сентября 1932 г. Затем И—12 разобрали и перевез</w:t>
      </w:r>
      <w:r w:rsidRPr="005E779E">
        <w:rPr>
          <w:rFonts w:ascii="Times New Roman" w:hAnsi="Times New Roman"/>
          <w:color w:val="000000" w:themeColor="text1"/>
          <w:sz w:val="16"/>
          <w:szCs w:val="16"/>
        </w:rPr>
        <w:softHyphen/>
        <w:t>ли на завод для укрепления стыков в тру</w:t>
      </w:r>
      <w:r w:rsidRPr="005E779E">
        <w:rPr>
          <w:rFonts w:ascii="Times New Roman" w:hAnsi="Times New Roman"/>
          <w:color w:val="000000" w:themeColor="text1"/>
          <w:sz w:val="16"/>
          <w:szCs w:val="16"/>
        </w:rPr>
        <w:softHyphen/>
        <w:t>бах-балках и доводки АПК. Больше на испытания самолет не передавался.</w:t>
      </w:r>
    </w:p>
    <w:p w14:paraId="485E4696" w14:textId="77777777" w:rsidR="008A27D1" w:rsidRPr="005E779E" w:rsidRDefault="008A27D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 свою «жизнь» АНТ—23 совершил 21 полет, пробыв в воздухе почти 9 часов. Испытания самолета затянулись, а в июне 1934 года работы по этой необычной машине прекратили (23474).</w:t>
      </w:r>
    </w:p>
    <w:p w14:paraId="63C6B178" w14:textId="77777777" w:rsidR="008A27D1" w:rsidRPr="005E779E" w:rsidRDefault="008A27D1" w:rsidP="000B7A6C">
      <w:pPr>
        <w:spacing w:after="0" w:line="240" w:lineRule="auto"/>
        <w:jc w:val="both"/>
        <w:rPr>
          <w:rFonts w:ascii="Times New Roman" w:hAnsi="Times New Roman"/>
          <w:color w:val="000000" w:themeColor="text1"/>
          <w:sz w:val="16"/>
          <w:szCs w:val="16"/>
        </w:rPr>
      </w:pPr>
    </w:p>
    <w:p w14:paraId="31B4621E" w14:textId="77777777" w:rsidR="008A27D1" w:rsidRPr="005E779E" w:rsidRDefault="008A27D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 августа 1931 г. начались испытания И-12. Самолёт долго дово</w:t>
      </w:r>
      <w:r w:rsidRPr="005E779E">
        <w:rPr>
          <w:rFonts w:ascii="Times New Roman" w:hAnsi="Times New Roman"/>
          <w:color w:val="000000" w:themeColor="text1"/>
          <w:sz w:val="16"/>
          <w:szCs w:val="16"/>
        </w:rPr>
        <w:softHyphen/>
        <w:t>дился. 12 марта 1933 г. случилось ЧП. При стрельбе из левой пушки произошёл взрыв, был разорван диффузор, сорваны обтекатели, по</w:t>
      </w:r>
      <w:r w:rsidRPr="005E779E">
        <w:rPr>
          <w:rFonts w:ascii="Times New Roman" w:hAnsi="Times New Roman"/>
          <w:color w:val="000000" w:themeColor="text1"/>
          <w:sz w:val="16"/>
          <w:szCs w:val="16"/>
        </w:rPr>
        <w:softHyphen/>
        <w:t>вреждены тросы управления... Лётчик-испытатель И. Ф. Козлов с большим трудом довёл и посадил И-12 на аэродроме. Какое-то время самолёт доводился, но на лётные испытания больше не передавался (23595).</w:t>
      </w:r>
    </w:p>
    <w:p w14:paraId="7024E878" w14:textId="77777777" w:rsidR="008A27D1" w:rsidRPr="005E779E" w:rsidRDefault="008A27D1" w:rsidP="000B7A6C">
      <w:pPr>
        <w:spacing w:after="0" w:line="240" w:lineRule="auto"/>
        <w:jc w:val="both"/>
        <w:rPr>
          <w:rFonts w:ascii="Times New Roman" w:hAnsi="Times New Roman"/>
          <w:color w:val="000000" w:themeColor="text1"/>
          <w:sz w:val="16"/>
          <w:szCs w:val="16"/>
        </w:rPr>
      </w:pPr>
    </w:p>
    <w:p w14:paraId="2BDDB82A" w14:textId="77777777" w:rsidR="00B279D8" w:rsidRPr="00142305" w:rsidRDefault="00B279D8" w:rsidP="00B279D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29 августа 1931 года И Ф Козлов совершил на И-12 АНТ-23 первый полет. Во время испытаний не обошлось без «приключе</w:t>
      </w:r>
      <w:r w:rsidRPr="00142305">
        <w:rPr>
          <w:rFonts w:ascii="Times New Roman" w:hAnsi="Times New Roman"/>
          <w:color w:val="0070C0"/>
          <w:sz w:val="16"/>
          <w:szCs w:val="16"/>
        </w:rPr>
        <w:softHyphen/>
        <w:t>ний». Так, 12 марта 1932 года при первом же выстреле из АПК-4 снаряд разорвался в стволе, оборвав тросы управления элеронами. Летчик Козлов сумел посадить раненую машину. На ее доводку ушло еще полгода, но ожидаемых летных характеристик так и не достигли (24991).</w:t>
      </w:r>
    </w:p>
    <w:p w14:paraId="73EEF766" w14:textId="77777777" w:rsidR="00B279D8" w:rsidRPr="00142305" w:rsidRDefault="00B279D8" w:rsidP="00B279D8">
      <w:pPr>
        <w:spacing w:after="0" w:line="240" w:lineRule="auto"/>
        <w:jc w:val="both"/>
        <w:rPr>
          <w:rFonts w:ascii="Times New Roman" w:hAnsi="Times New Roman"/>
          <w:color w:val="0070C0"/>
          <w:sz w:val="16"/>
          <w:szCs w:val="16"/>
        </w:rPr>
      </w:pPr>
    </w:p>
    <w:p w14:paraId="31960395" w14:textId="77777777" w:rsidR="00B279D8" w:rsidRPr="00142305" w:rsidRDefault="00B279D8" w:rsidP="00B279D8">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29 августа 1931 г. состоялся первый полет И-12 АНТ-23, который показал вполне удовлетворительные характеристики. Переделки машины, однако, продолжались. Выяснилось, что двойное вертикальное оперение, находящееся вне зоны обдувки воздушных винтов, неэффективно на рулежке и на пробеге. Поэтому уже в процессе испытаний установили однокилевое оперение, необходимую жесткость обеспечивали подкосы, соединяющие киль со стабилизатором. Была увеличена площадь элеронов (по причине перекомпенсации). После этой доработки задняя кромка элеронов стала выступать за контур крыла (25213).</w:t>
      </w:r>
    </w:p>
    <w:p w14:paraId="63144AF6" w14:textId="77777777" w:rsidR="00B279D8" w:rsidRPr="00142305" w:rsidRDefault="00B279D8" w:rsidP="00B279D8">
      <w:pPr>
        <w:spacing w:after="0" w:line="240" w:lineRule="auto"/>
        <w:jc w:val="both"/>
        <w:rPr>
          <w:rFonts w:ascii="Times New Roman" w:hAnsi="Times New Roman"/>
          <w:color w:val="0070C0"/>
          <w:sz w:val="16"/>
          <w:szCs w:val="16"/>
        </w:rPr>
      </w:pPr>
    </w:p>
    <w:p w14:paraId="1C8CA56C" w14:textId="77777777" w:rsidR="00B279D8" w:rsidRPr="00142305" w:rsidRDefault="00B279D8" w:rsidP="00B279D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29 августа 1931 г. лётчик-испытатель И. Ф. Козлов выполнил на И-12 первый полёт, однако машина больше стояла в ремонте, чем была в воздухе (25056).</w:t>
      </w:r>
    </w:p>
    <w:p w14:paraId="5AB2E2D8" w14:textId="77777777" w:rsidR="00B279D8" w:rsidRPr="00142305" w:rsidRDefault="00B279D8" w:rsidP="00B279D8">
      <w:pPr>
        <w:spacing w:after="0" w:line="240" w:lineRule="auto"/>
        <w:jc w:val="both"/>
        <w:rPr>
          <w:rFonts w:ascii="Times New Roman" w:hAnsi="Times New Roman"/>
          <w:color w:val="0070C0"/>
          <w:sz w:val="16"/>
          <w:szCs w:val="16"/>
        </w:rPr>
      </w:pPr>
    </w:p>
    <w:p w14:paraId="1BB564AB" w14:textId="77777777" w:rsidR="00B279D8" w:rsidRPr="00142305" w:rsidRDefault="00B279D8" w:rsidP="00B279D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29 августа 1931 года состоялся первый полет АНТ-23 И-12, который продемонстрировал вполне приемлемые характеристики. Тем не менее, доработки самолета продолжились. Выяснилось, что двойное вертикальное оперение, расположенное вне зоны обдува винтами, оказалось неэффективным при рулении и пробеге. Поэтому в ходе испытаний установили однокилевое оперение, необходимую жесткость которого обеспечили подкосы. Из-за перекомпенсации потребовалось увеличить площадь элеронов, в результате чего их задняя кромка стала выступать за контур крыла. Капотирование переднего двигателя с индивидуальными обтекателями для каждого цилиндра оказалось не совсем удачным. Во время одного из полетов несколько обтекателей сорвало, и они повредили задний винт.</w:t>
      </w:r>
    </w:p>
    <w:p w14:paraId="18E3B2B0" w14:textId="77777777" w:rsidR="00B279D8" w:rsidRPr="00142305" w:rsidRDefault="00B279D8" w:rsidP="00B279D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Новый капот для переднего «Юпитера», представлявший собой нечто среднее между кольцом Тауненда и капотом тоннельного типа, был с небольшими изменениями позаимствован с опытного истребителя И-4бис. Многократно переделывалось крепление горизонтального оперения, объединенное в одну силовую схему с костылями шасси, которые при рулении постоянно деформировали бугельную подвеску стабилизатора (25642).</w:t>
      </w:r>
    </w:p>
    <w:p w14:paraId="724AD71C" w14:textId="77777777" w:rsidR="00B279D8" w:rsidRPr="00142305" w:rsidRDefault="00B279D8" w:rsidP="00B279D8">
      <w:pPr>
        <w:spacing w:after="0" w:line="240" w:lineRule="auto"/>
        <w:jc w:val="both"/>
        <w:rPr>
          <w:rFonts w:ascii="Times New Roman" w:hAnsi="Times New Roman"/>
          <w:color w:val="0070C0"/>
          <w:sz w:val="16"/>
          <w:szCs w:val="16"/>
        </w:rPr>
      </w:pPr>
    </w:p>
    <w:p w14:paraId="2A9841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 августа 1931 Зам. Нач. ОКБ и Директора Завода им. Менжинского Н.Е.Пауфлер направил рапорт (сопроводительное письмо) за № 433/7 и 433/8 Начальнику ВАО П.И.Баранову с прилагаемыми (351):</w:t>
      </w:r>
    </w:p>
    <w:p w14:paraId="2E03CF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Пояснительной записка к плану опытного строительства</w:t>
      </w:r>
    </w:p>
    <w:p w14:paraId="633F74B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августа была подготовлена:</w:t>
      </w:r>
    </w:p>
    <w:p w14:paraId="146EB9A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smallCaps/>
          <w:color w:val="000000" w:themeColor="text1"/>
          <w:sz w:val="16"/>
          <w:szCs w:val="16"/>
        </w:rPr>
        <w:t>пояснительная записка.</w:t>
      </w:r>
    </w:p>
    <w:p w14:paraId="76D3FAB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плану опытного строительства.</w:t>
      </w:r>
    </w:p>
    <w:p w14:paraId="3D4695F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Таблица “план выпуска самолетов из опытного строительства и внедрения их в серию”</w:t>
      </w:r>
    </w:p>
    <w:p w14:paraId="57F45A9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составлении плана в основу положено разрешение следующих вопросов:</w:t>
      </w:r>
    </w:p>
    <w:p w14:paraId="5443D9E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val="en-US"/>
        </w:rPr>
        <w:t>I</w:t>
      </w:r>
      <w:r w:rsidRPr="005E779E">
        <w:rPr>
          <w:rFonts w:ascii="Times New Roman" w:hAnsi="Times New Roman"/>
          <w:color w:val="000000" w:themeColor="text1"/>
          <w:sz w:val="16"/>
          <w:szCs w:val="16"/>
        </w:rPr>
        <w:t>/ Своевременно сменить устаревшие типы самолетов находящиеся на снабжении</w:t>
      </w:r>
    </w:p>
    <w:p w14:paraId="4A0B293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Обеспечить смену самолетами более высоакого качества.</w:t>
      </w:r>
    </w:p>
    <w:p w14:paraId="2939FD7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Подготовить выпуск серийных самолетов к серийному выпуску новых моторов.</w:t>
      </w:r>
    </w:p>
    <w:p w14:paraId="30BCFB0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Обеспечить введение на снабжение новых видов вооруженных самолетов.</w:t>
      </w:r>
    </w:p>
    <w:p w14:paraId="5CF6CB4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Свести количество типов, ваходящихся на снабжении к наимень</w:t>
      </w:r>
      <w:r w:rsidRPr="005E779E">
        <w:rPr>
          <w:rFonts w:ascii="Times New Roman" w:hAnsi="Times New Roman"/>
          <w:color w:val="000000" w:themeColor="text1"/>
          <w:sz w:val="16"/>
          <w:szCs w:val="16"/>
        </w:rPr>
        <w:softHyphen/>
        <w:t>шему.</w:t>
      </w:r>
    </w:p>
    <w:p w14:paraId="02E1422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Вести экспериментальные работы для выявления дальнейших перспектив и возможностей строительства.</w:t>
      </w:r>
    </w:p>
    <w:p w14:paraId="16B49AF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Разрешение перечисленных вопросов выразилось в следующем:</w:t>
      </w:r>
    </w:p>
    <w:p w14:paraId="29A95DF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Смена типов</w:t>
      </w:r>
    </w:p>
    <w:p w14:paraId="618740C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пулеметный истребитель И5 сменяется полностью следующим типом в 34-м году. Более ранняя смена невозможна, так как пуск в серию проверенного на войсковых испытаниях истре</w:t>
      </w:r>
      <w:r w:rsidRPr="005E779E">
        <w:rPr>
          <w:rFonts w:ascii="Times New Roman" w:hAnsi="Times New Roman"/>
          <w:color w:val="000000" w:themeColor="text1"/>
          <w:sz w:val="16"/>
          <w:szCs w:val="16"/>
        </w:rPr>
        <w:softHyphen/>
        <w:t>бителя возможен в 33-м году.</w:t>
      </w:r>
    </w:p>
    <w:p w14:paraId="1CCCB69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Разведчик сменяется в 34-м году по тем же причинам.</w:t>
      </w:r>
    </w:p>
    <w:p w14:paraId="7484627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Смена крейсера Р6, бомбардировщика ТБ1 и учебного У2 - производится в сроки, когда предыдущие типы можно считать устаревшими.</w:t>
      </w:r>
    </w:p>
    <w:p w14:paraId="15C34DB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Обеспечение высокого качества нового типа достигается тем, что примерно в одно время выпускается несколько самолетов, и один из них, показавший при испытаниях лучшие данные;</w:t>
      </w:r>
    </w:p>
    <w:p w14:paraId="008A677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так выпускаются И5-бис, И9, И10 и И11, Р8 и Р9 и т.д.</w:t>
      </w:r>
    </w:p>
    <w:p w14:paraId="58AEFF5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Подготовка выпуска серийных самолетов к выпуску новых моторов достигается тем, что первые опытные самолеты проектируются под мотор, выходящий несколько позже, и выпускается с существующим мотором для предварительно</w:t>
      </w:r>
      <w:r w:rsidRPr="005E779E">
        <w:rPr>
          <w:rFonts w:ascii="Times New Roman" w:hAnsi="Times New Roman"/>
          <w:color w:val="000000" w:themeColor="text1"/>
          <w:sz w:val="16"/>
          <w:szCs w:val="16"/>
        </w:rPr>
        <w:softHyphen/>
        <w:t>го летного и эксплоатационного испытания. По выходе ново</w:t>
      </w:r>
      <w:r w:rsidRPr="005E779E">
        <w:rPr>
          <w:rFonts w:ascii="Times New Roman" w:hAnsi="Times New Roman"/>
          <w:color w:val="000000" w:themeColor="text1"/>
          <w:sz w:val="16"/>
          <w:szCs w:val="16"/>
        </w:rPr>
        <w:softHyphen/>
        <w:t>го мотора последний устанавливается на данный самолет и в таком виде внедряется в серию.</w:t>
      </w:r>
    </w:p>
    <w:p w14:paraId="4C877E2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Так выпускаются Р8-М27, Р9-М127, ТБ4-6-ФЭД, К7-6-ФЭД и т.д., благодаря чему имеется полная возможность использо</w:t>
      </w:r>
      <w:r w:rsidRPr="005E779E">
        <w:rPr>
          <w:rFonts w:ascii="Times New Roman" w:hAnsi="Times New Roman"/>
          <w:color w:val="000000" w:themeColor="text1"/>
          <w:sz w:val="16"/>
          <w:szCs w:val="16"/>
        </w:rPr>
        <w:softHyphen/>
        <w:t>вать М34 в 34-м году.</w:t>
      </w:r>
    </w:p>
    <w:p w14:paraId="04FFB50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Введение новых видов вооруженных самолетов предусмотрено выпуском пушечных истребителей, морских самолетов спец. назначения и т.д. И-линейн., МДР, МК, КОР, СПЛ и т.д.</w:t>
      </w:r>
    </w:p>
    <w:p w14:paraId="60CF8D2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Уменьшение количества типов находящиеся в постройке и на снабжении достигается применением модификаций, например:</w:t>
      </w:r>
    </w:p>
    <w:p w14:paraId="1565F37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штурмовик должен бнть модификацией разведчика или истре</w:t>
      </w:r>
      <w:r w:rsidRPr="005E779E">
        <w:rPr>
          <w:rFonts w:ascii="Times New Roman" w:hAnsi="Times New Roman"/>
          <w:color w:val="000000" w:themeColor="text1"/>
          <w:sz w:val="16"/>
          <w:szCs w:val="16"/>
        </w:rPr>
        <w:softHyphen/>
        <w:t>бителя, пассажирские самолеты - бомбардировщиков.</w:t>
      </w:r>
    </w:p>
    <w:p w14:paraId="033928B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Экспериментальные работы введены у виде рекордных самолетов и параболы.</w:t>
      </w:r>
    </w:p>
    <w:p w14:paraId="42DAE4B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 Таблица “загрузка серийных самолетостроительных заводов в 1931-1935 г.”</w:t>
      </w:r>
    </w:p>
    <w:p w14:paraId="628444B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Мощности заводов, количество и распределение самолетов по типам показано по данным Планового сектора ВАО.</w:t>
      </w:r>
    </w:p>
    <w:p w14:paraId="074C752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Начало серийного производства самолетов вытекает из сро</w:t>
      </w:r>
      <w:r w:rsidRPr="005E779E">
        <w:rPr>
          <w:rFonts w:ascii="Times New Roman" w:hAnsi="Times New Roman"/>
          <w:color w:val="000000" w:themeColor="text1"/>
          <w:sz w:val="16"/>
          <w:szCs w:val="16"/>
        </w:rPr>
        <w:softHyphen/>
        <w:t xml:space="preserve">ков внпуска опытного образца /см. табл. </w:t>
      </w:r>
      <w:r w:rsidRPr="005E779E">
        <w:rPr>
          <w:rFonts w:ascii="Times New Roman" w:hAnsi="Times New Roman"/>
          <w:color w:val="000000" w:themeColor="text1"/>
          <w:sz w:val="16"/>
          <w:szCs w:val="16"/>
          <w:lang w:val="en-US"/>
        </w:rPr>
        <w:t>I</w:t>
      </w:r>
      <w:r w:rsidRPr="005E779E">
        <w:rPr>
          <w:rFonts w:ascii="Times New Roman" w:hAnsi="Times New Roman"/>
          <w:color w:val="000000" w:themeColor="text1"/>
          <w:sz w:val="16"/>
          <w:szCs w:val="16"/>
        </w:rPr>
        <w:t>/.</w:t>
      </w:r>
    </w:p>
    <w:p w14:paraId="1B37F34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При подсчете графы "потребность” принят запас моторов для истребителей 100% и для прочих - 50% от количества вы</w:t>
      </w:r>
      <w:r w:rsidRPr="005E779E">
        <w:rPr>
          <w:rFonts w:ascii="Times New Roman" w:hAnsi="Times New Roman"/>
          <w:color w:val="000000" w:themeColor="text1"/>
          <w:sz w:val="16"/>
          <w:szCs w:val="16"/>
        </w:rPr>
        <w:softHyphen/>
        <w:t>пускаемых самолетов.</w:t>
      </w:r>
    </w:p>
    <w:p w14:paraId="4C7C998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 Таблица “Потребность в моторах по типам" является выбор</w:t>
      </w:r>
      <w:r w:rsidRPr="005E779E">
        <w:rPr>
          <w:rFonts w:ascii="Times New Roman" w:hAnsi="Times New Roman"/>
          <w:color w:val="000000" w:themeColor="text1"/>
          <w:sz w:val="16"/>
          <w:szCs w:val="16"/>
        </w:rPr>
        <w:softHyphen/>
        <w:t>кой из таблицы П количеств моторов по типам и годам и освещает возможные варианты в зависимости от выбора типа для серии.</w:t>
      </w:r>
    </w:p>
    <w:p w14:paraId="631B76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1У. Таблица "Снабжение моторами серийной постройки самолетов” является разбивкой предыдущей таблицы по моторостроительным заводам, сообразно, их мощности, по данным Планового сектора ВАО.</w:t>
      </w:r>
    </w:p>
    <w:p w14:paraId="2FACB2F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 Таблица "Снабжение моторами серийной постройки самолетов" - вар. 2-й и 3-й освещает перспективы баланса моторов водяного и воздушного охлаждения, в зависимости от выбора типа самолета для серийной постройки.</w:t>
      </w:r>
    </w:p>
    <w:p w14:paraId="0F597E2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У1. Таблица “Программа получения моторов, необходимых ОКБ” является увязкой подачи моторов ОКБ с выпуском их с моторостроительных заводов и ИАМ. (351,14).</w:t>
      </w:r>
    </w:p>
    <w:p w14:paraId="774A47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Обеспечение серийного строительства заводами</w:t>
      </w:r>
    </w:p>
    <w:p w14:paraId="77B0AFC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августа была подготовлена справка:</w:t>
      </w:r>
    </w:p>
    <w:p w14:paraId="5054435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ОБЕСПЕЧЕНИЕ СЕРИЙНОГО СТРОИТЕЛЬСТВА ЗАВОДАМИ.</w:t>
      </w:r>
    </w:p>
    <w:p w14:paraId="4BA7C5D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Для выполнения программного заданяя Штаба УВВС РККА по выпуску самолетов, ОКБ считает необходимым постройку и окончание постройки следующих заводов:</w:t>
      </w:r>
    </w:p>
    <w:p w14:paraId="7E5E425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Новый завод для массовое постройки истребителей и их модификаций /легкий штурмовик/ мощностью в 6000 единиц в год; завод должен быть пущен в 33 г. и в этом году выпустить первые серии.</w:t>
      </w:r>
    </w:p>
    <w:p w14:paraId="0122FC8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Завод № 18 предназначается для массовой постройки металлических /колъчуг-алюминиевых/ бомбардировщиков большого тоннажа; завод должен быть расширен до мощности в 1500 единиц в год и в 32 году начат задел первых серий.</w:t>
      </w:r>
    </w:p>
    <w:p w14:paraId="363DF46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Харьковский завод тяжелых самолетов /Х.Т./ предназначается для постройки самолетов-гигантов. Мощное завода должна быть 800 единиц в год</w:t>
      </w:r>
      <w:r w:rsidRPr="005E779E">
        <w:rPr>
          <w:rFonts w:ascii="Times New Roman" w:hAnsi="Times New Roman"/>
          <w:smallCaps/>
          <w:color w:val="000000" w:themeColor="text1"/>
          <w:sz w:val="16"/>
          <w:szCs w:val="16"/>
        </w:rPr>
        <w:t xml:space="preserve">. </w:t>
      </w:r>
      <w:r w:rsidRPr="005E779E">
        <w:rPr>
          <w:rFonts w:ascii="Times New Roman" w:hAnsi="Times New Roman"/>
          <w:color w:val="000000" w:themeColor="text1"/>
          <w:sz w:val="16"/>
          <w:szCs w:val="16"/>
        </w:rPr>
        <w:t>Завод должен быть пущен ранее против имеющегося плана, а именно: в 1933 г должен бить начат задел первой серии.</w:t>
      </w:r>
    </w:p>
    <w:p w14:paraId="01D5B97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Новый завод в гор. Ейске для серийного выпуска желых морских самолетов; мощность завода - 300 единиц в год</w:t>
      </w:r>
      <w:r w:rsidRPr="005E779E">
        <w:rPr>
          <w:rFonts w:ascii="Times New Roman" w:hAnsi="Times New Roman"/>
          <w:smallCaps/>
          <w:color w:val="000000" w:themeColor="text1"/>
          <w:sz w:val="16"/>
          <w:szCs w:val="16"/>
        </w:rPr>
        <w:t>; з</w:t>
      </w:r>
      <w:r w:rsidRPr="005E779E">
        <w:rPr>
          <w:rFonts w:ascii="Times New Roman" w:hAnsi="Times New Roman"/>
          <w:color w:val="000000" w:themeColor="text1"/>
          <w:sz w:val="16"/>
          <w:szCs w:val="16"/>
        </w:rPr>
        <w:t>авод должен начать задел первых серий в 1933 г.</w:t>
      </w:r>
    </w:p>
    <w:p w14:paraId="7F39937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Новый завод массового выпуска легких спортивных самолетов; мощность - 3000 единиц в год; заводдолжен дать выпуск первых серий в 1934 г.</w:t>
      </w:r>
    </w:p>
    <w:p w14:paraId="5EDB897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Новый завод в непосредственной близости от ОКБ для выпуска небольшими сериями самолетов малого тоннажа различного типа. Завод должен иметь мощность до 1000 в год. Первые серии должны быть выпущены в 1934 г.</w:t>
      </w:r>
    </w:p>
    <w:p w14:paraId="2735520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 для самолетостроения требуется: 4 новых завода и достройка двух строящихся.</w:t>
      </w:r>
    </w:p>
    <w:p w14:paraId="4399A2E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Мощность самолетостроительных заводов по годам - см. таблицу "Загрузка серийных заводов".</w:t>
      </w:r>
    </w:p>
    <w:p w14:paraId="780C2EA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 Ддя обеспечения моторами выпускаемых самолетов должны быть построены в окончены оледующие моторостроятельные заводы:.</w:t>
      </w:r>
    </w:p>
    <w:p w14:paraId="066653E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Завод № 19 предназначается для массового выпуска моторов воздушного охлаждения и должен иметь мощнность 5600 единиц в год. Первые серии моторов должны быть выпущены в 1933 г.</w:t>
      </w:r>
    </w:p>
    <w:p w14:paraId="1EAD5E0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Новый завод моторов воздушногоохлаждения; мощность 15000 единиц в год; выпуск первой сери должна быть в 1934 г.</w:t>
      </w:r>
    </w:p>
    <w:p w14:paraId="7BFCB9E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Новый завод моторов водяного охлаждения /предназначается для постройки лицензионных моторов/. Первыа серии должны быть выпущены в 1935 году.</w:t>
      </w:r>
    </w:p>
    <w:p w14:paraId="29740BA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 для моторостроения требуется:</w:t>
      </w:r>
    </w:p>
    <w:p w14:paraId="63F0364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Постройка двух новых заводов в достройка одного. Мощности заводов по годам см. Таблицу № 4.</w:t>
      </w:r>
    </w:p>
    <w:p w14:paraId="115EFA2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Ввиду того, что на 1935 год назнчена постройка одних и тех же моторов на нескольких заводах, например:М38 на № 19 и № 29 и М34 и М35 - на заводах № 24 и 26, надо рассмотреть распределение работа между заводами с точки зрения кооперация заводов (351).</w:t>
      </w:r>
    </w:p>
    <w:p w14:paraId="03AF01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Сравнение унифицированной программы, намеченной УВВС и ОКБ на 1931-1934 гг.</w:t>
      </w:r>
    </w:p>
    <w:p w14:paraId="6BD2F3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Самолеты опытного самолетостроения ОКБ на 1931-1934 (по униф. программе)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1719"/>
        <w:gridCol w:w="1520"/>
        <w:gridCol w:w="1750"/>
        <w:gridCol w:w="3799"/>
      </w:tblGrid>
      <w:tr w:rsidR="001002C3" w:rsidRPr="005E779E" w14:paraId="4FE96D0C" w14:textId="77777777">
        <w:tc>
          <w:tcPr>
            <w:tcW w:w="1668" w:type="dxa"/>
          </w:tcPr>
          <w:p w14:paraId="16E54B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Тип</w:t>
            </w:r>
          </w:p>
        </w:tc>
        <w:tc>
          <w:tcPr>
            <w:tcW w:w="1719" w:type="dxa"/>
          </w:tcPr>
          <w:p w14:paraId="757FFE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Намечено ВВС</w:t>
            </w:r>
          </w:p>
        </w:tc>
        <w:tc>
          <w:tcPr>
            <w:tcW w:w="1520" w:type="dxa"/>
          </w:tcPr>
          <w:p w14:paraId="4A438E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Добавлено ОКБ</w:t>
            </w:r>
          </w:p>
        </w:tc>
        <w:tc>
          <w:tcPr>
            <w:tcW w:w="1750" w:type="dxa"/>
          </w:tcPr>
          <w:p w14:paraId="1CC53F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 в программе</w:t>
            </w:r>
          </w:p>
        </w:tc>
        <w:tc>
          <w:tcPr>
            <w:tcW w:w="3799" w:type="dxa"/>
          </w:tcPr>
          <w:p w14:paraId="5631CF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Будет в серии</w:t>
            </w:r>
          </w:p>
        </w:tc>
      </w:tr>
      <w:tr w:rsidR="001002C3" w:rsidRPr="005E779E" w14:paraId="0DA7F912" w14:textId="77777777">
        <w:tc>
          <w:tcPr>
            <w:tcW w:w="1668" w:type="dxa"/>
          </w:tcPr>
          <w:p w14:paraId="49093D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Истребитель</w:t>
            </w:r>
          </w:p>
        </w:tc>
        <w:tc>
          <w:tcPr>
            <w:tcW w:w="1719" w:type="dxa"/>
          </w:tcPr>
          <w:p w14:paraId="027CBC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065FA7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И5бис</w:t>
            </w:r>
          </w:p>
        </w:tc>
        <w:tc>
          <w:tcPr>
            <w:tcW w:w="1750" w:type="dxa"/>
          </w:tcPr>
          <w:p w14:paraId="1EB7DA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И5бис</w:t>
            </w:r>
          </w:p>
        </w:tc>
        <w:tc>
          <w:tcPr>
            <w:tcW w:w="3799" w:type="dxa"/>
          </w:tcPr>
          <w:p w14:paraId="0E37CC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8A5BA00" w14:textId="77777777">
        <w:tc>
          <w:tcPr>
            <w:tcW w:w="1668" w:type="dxa"/>
          </w:tcPr>
          <w:p w14:paraId="000AEB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одноместный</w:t>
            </w:r>
          </w:p>
        </w:tc>
        <w:tc>
          <w:tcPr>
            <w:tcW w:w="1719" w:type="dxa"/>
          </w:tcPr>
          <w:p w14:paraId="3DEF4E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209504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И9-М34</w:t>
            </w:r>
          </w:p>
        </w:tc>
        <w:tc>
          <w:tcPr>
            <w:tcW w:w="1750" w:type="dxa"/>
          </w:tcPr>
          <w:p w14:paraId="0FD484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И9-М34</w:t>
            </w:r>
          </w:p>
        </w:tc>
        <w:tc>
          <w:tcPr>
            <w:tcW w:w="3799" w:type="dxa"/>
          </w:tcPr>
          <w:p w14:paraId="66E274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A039E18" w14:textId="77777777">
        <w:tc>
          <w:tcPr>
            <w:tcW w:w="1668" w:type="dxa"/>
          </w:tcPr>
          <w:p w14:paraId="28DD5A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пулеметный</w:t>
            </w:r>
          </w:p>
        </w:tc>
        <w:tc>
          <w:tcPr>
            <w:tcW w:w="1719" w:type="dxa"/>
          </w:tcPr>
          <w:p w14:paraId="4ED5A7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7584EB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И10-РП</w:t>
            </w:r>
          </w:p>
        </w:tc>
        <w:tc>
          <w:tcPr>
            <w:tcW w:w="1750" w:type="dxa"/>
          </w:tcPr>
          <w:p w14:paraId="074F0E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И10-РП</w:t>
            </w:r>
          </w:p>
        </w:tc>
        <w:tc>
          <w:tcPr>
            <w:tcW w:w="3799" w:type="dxa"/>
          </w:tcPr>
          <w:p w14:paraId="7EF577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 пул.</w:t>
            </w:r>
          </w:p>
        </w:tc>
      </w:tr>
      <w:tr w:rsidR="001002C3" w:rsidRPr="005E779E" w14:paraId="07F998F9" w14:textId="77777777">
        <w:tc>
          <w:tcPr>
            <w:tcW w:w="1668" w:type="dxa"/>
          </w:tcPr>
          <w:p w14:paraId="67D4C5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68B058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5034EB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ИП-М32</w:t>
            </w:r>
          </w:p>
        </w:tc>
        <w:tc>
          <w:tcPr>
            <w:tcW w:w="1750" w:type="dxa"/>
          </w:tcPr>
          <w:p w14:paraId="19433B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ИП-М32</w:t>
            </w:r>
          </w:p>
        </w:tc>
        <w:tc>
          <w:tcPr>
            <w:tcW w:w="3799" w:type="dxa"/>
          </w:tcPr>
          <w:p w14:paraId="4346A3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32080CF" w14:textId="77777777">
        <w:tc>
          <w:tcPr>
            <w:tcW w:w="1668" w:type="dxa"/>
          </w:tcPr>
          <w:p w14:paraId="0D6E37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Истребитель</w:t>
            </w:r>
          </w:p>
        </w:tc>
        <w:tc>
          <w:tcPr>
            <w:tcW w:w="1719" w:type="dxa"/>
          </w:tcPr>
          <w:p w14:paraId="584BD9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И13</w:t>
            </w:r>
          </w:p>
        </w:tc>
        <w:tc>
          <w:tcPr>
            <w:tcW w:w="1520" w:type="dxa"/>
          </w:tcPr>
          <w:p w14:paraId="70E469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05A8B2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И13</w:t>
            </w:r>
          </w:p>
        </w:tc>
        <w:tc>
          <w:tcPr>
            <w:tcW w:w="3799" w:type="dxa"/>
          </w:tcPr>
          <w:p w14:paraId="33DC3D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9C17212" w14:textId="77777777">
        <w:tc>
          <w:tcPr>
            <w:tcW w:w="1668" w:type="dxa"/>
          </w:tcPr>
          <w:p w14:paraId="30FA5C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одноместный</w:t>
            </w:r>
          </w:p>
        </w:tc>
        <w:tc>
          <w:tcPr>
            <w:tcW w:w="1719" w:type="dxa"/>
          </w:tcPr>
          <w:p w14:paraId="0FC698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И12-2М22</w:t>
            </w:r>
          </w:p>
        </w:tc>
        <w:tc>
          <w:tcPr>
            <w:tcW w:w="1520" w:type="dxa"/>
          </w:tcPr>
          <w:p w14:paraId="50C925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4F9D80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И12-2М22</w:t>
            </w:r>
          </w:p>
        </w:tc>
        <w:tc>
          <w:tcPr>
            <w:tcW w:w="3799" w:type="dxa"/>
          </w:tcPr>
          <w:p w14:paraId="685FAE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00B102C" w14:textId="77777777">
        <w:tc>
          <w:tcPr>
            <w:tcW w:w="1668" w:type="dxa"/>
          </w:tcPr>
          <w:p w14:paraId="4D41EB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пушечный</w:t>
            </w:r>
          </w:p>
        </w:tc>
        <w:tc>
          <w:tcPr>
            <w:tcW w:w="1719" w:type="dxa"/>
          </w:tcPr>
          <w:p w14:paraId="74F7CB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61480B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И7-М22</w:t>
            </w:r>
          </w:p>
        </w:tc>
        <w:tc>
          <w:tcPr>
            <w:tcW w:w="1750" w:type="dxa"/>
          </w:tcPr>
          <w:p w14:paraId="23F8B6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И7-М22</w:t>
            </w:r>
          </w:p>
        </w:tc>
        <w:tc>
          <w:tcPr>
            <w:tcW w:w="3799" w:type="dxa"/>
          </w:tcPr>
          <w:p w14:paraId="177935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 лин.</w:t>
            </w:r>
          </w:p>
        </w:tc>
      </w:tr>
      <w:tr w:rsidR="001002C3" w:rsidRPr="005E779E" w14:paraId="4113BA7B" w14:textId="77777777">
        <w:tc>
          <w:tcPr>
            <w:tcW w:w="1668" w:type="dxa"/>
          </w:tcPr>
          <w:p w14:paraId="637821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12B0E4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27468F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ИП2-2М38</w:t>
            </w:r>
          </w:p>
        </w:tc>
        <w:tc>
          <w:tcPr>
            <w:tcW w:w="1750" w:type="dxa"/>
          </w:tcPr>
          <w:p w14:paraId="58F9F5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ИП2-2М38</w:t>
            </w:r>
          </w:p>
        </w:tc>
        <w:tc>
          <w:tcPr>
            <w:tcW w:w="3799" w:type="dxa"/>
          </w:tcPr>
          <w:p w14:paraId="085507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00B4ABE" w14:textId="77777777">
        <w:tc>
          <w:tcPr>
            <w:tcW w:w="1668" w:type="dxa"/>
          </w:tcPr>
          <w:p w14:paraId="2CE5E3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Истребитель</w:t>
            </w:r>
          </w:p>
        </w:tc>
        <w:tc>
          <w:tcPr>
            <w:tcW w:w="1719" w:type="dxa"/>
          </w:tcPr>
          <w:p w14:paraId="0A58E8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ДИ4-Керт.</w:t>
            </w:r>
          </w:p>
        </w:tc>
        <w:tc>
          <w:tcPr>
            <w:tcW w:w="1520" w:type="dxa"/>
          </w:tcPr>
          <w:p w14:paraId="0FE41A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3CE718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799" w:type="dxa"/>
          </w:tcPr>
          <w:p w14:paraId="08AD6B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069AF03" w14:textId="77777777">
        <w:tc>
          <w:tcPr>
            <w:tcW w:w="1668" w:type="dxa"/>
          </w:tcPr>
          <w:p w14:paraId="4C3F12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Двухместный</w:t>
            </w:r>
          </w:p>
        </w:tc>
        <w:tc>
          <w:tcPr>
            <w:tcW w:w="1719" w:type="dxa"/>
          </w:tcPr>
          <w:p w14:paraId="2AA330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5178ED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ДИ7-М34</w:t>
            </w:r>
          </w:p>
        </w:tc>
        <w:tc>
          <w:tcPr>
            <w:tcW w:w="1750" w:type="dxa"/>
          </w:tcPr>
          <w:p w14:paraId="274A66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ДИ7-М34</w:t>
            </w:r>
          </w:p>
        </w:tc>
        <w:tc>
          <w:tcPr>
            <w:tcW w:w="3799" w:type="dxa"/>
          </w:tcPr>
          <w:p w14:paraId="6C3B77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A1ABB32" w14:textId="77777777">
        <w:tc>
          <w:tcPr>
            <w:tcW w:w="1668" w:type="dxa"/>
          </w:tcPr>
          <w:p w14:paraId="316BD7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112D0E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ДИ6-М34</w:t>
            </w:r>
          </w:p>
        </w:tc>
        <w:tc>
          <w:tcPr>
            <w:tcW w:w="1520" w:type="dxa"/>
          </w:tcPr>
          <w:p w14:paraId="088419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4ED033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ДИ6-М34</w:t>
            </w:r>
          </w:p>
        </w:tc>
        <w:tc>
          <w:tcPr>
            <w:tcW w:w="3799" w:type="dxa"/>
          </w:tcPr>
          <w:p w14:paraId="245D4B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w:t>
            </w:r>
          </w:p>
        </w:tc>
      </w:tr>
      <w:tr w:rsidR="001002C3" w:rsidRPr="005E779E" w14:paraId="5AC821F2" w14:textId="77777777">
        <w:tc>
          <w:tcPr>
            <w:tcW w:w="1668" w:type="dxa"/>
          </w:tcPr>
          <w:p w14:paraId="5E8C34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Разведчик</w:t>
            </w:r>
          </w:p>
        </w:tc>
        <w:tc>
          <w:tcPr>
            <w:tcW w:w="1719" w:type="dxa"/>
          </w:tcPr>
          <w:p w14:paraId="43C9A2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Р10-М35</w:t>
            </w:r>
          </w:p>
        </w:tc>
        <w:tc>
          <w:tcPr>
            <w:tcW w:w="1520" w:type="dxa"/>
          </w:tcPr>
          <w:p w14:paraId="297948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2CE154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Р10-М35</w:t>
            </w:r>
          </w:p>
        </w:tc>
        <w:tc>
          <w:tcPr>
            <w:tcW w:w="3799" w:type="dxa"/>
          </w:tcPr>
          <w:p w14:paraId="5B7CB8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Р10</w:t>
            </w:r>
          </w:p>
        </w:tc>
      </w:tr>
      <w:tr w:rsidR="001002C3" w:rsidRPr="005E779E" w14:paraId="44A4DF57" w14:textId="77777777">
        <w:tc>
          <w:tcPr>
            <w:tcW w:w="1668" w:type="dxa"/>
          </w:tcPr>
          <w:p w14:paraId="4ACB21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6DCB24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Р8-М27/34</w:t>
            </w:r>
          </w:p>
        </w:tc>
        <w:tc>
          <w:tcPr>
            <w:tcW w:w="1520" w:type="dxa"/>
          </w:tcPr>
          <w:p w14:paraId="254071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345A1B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Р8-М34</w:t>
            </w:r>
          </w:p>
        </w:tc>
        <w:tc>
          <w:tcPr>
            <w:tcW w:w="3799" w:type="dxa"/>
          </w:tcPr>
          <w:p w14:paraId="7FD5B5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D4510DE" w14:textId="77777777">
        <w:tc>
          <w:tcPr>
            <w:tcW w:w="1668" w:type="dxa"/>
          </w:tcPr>
          <w:p w14:paraId="0418D2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476216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Р9-2М26</w:t>
            </w:r>
          </w:p>
        </w:tc>
        <w:tc>
          <w:tcPr>
            <w:tcW w:w="1520" w:type="dxa"/>
          </w:tcPr>
          <w:p w14:paraId="190E1A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4D2757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799" w:type="dxa"/>
          </w:tcPr>
          <w:p w14:paraId="794593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F713E85" w14:textId="77777777">
        <w:tc>
          <w:tcPr>
            <w:tcW w:w="1668" w:type="dxa"/>
          </w:tcPr>
          <w:p w14:paraId="5DA501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1E3262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0DFC32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Р11-М27/34</w:t>
            </w:r>
          </w:p>
        </w:tc>
        <w:tc>
          <w:tcPr>
            <w:tcW w:w="1750" w:type="dxa"/>
          </w:tcPr>
          <w:p w14:paraId="1F23E9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Р11-М27/34</w:t>
            </w:r>
          </w:p>
        </w:tc>
        <w:tc>
          <w:tcPr>
            <w:tcW w:w="3799" w:type="dxa"/>
          </w:tcPr>
          <w:p w14:paraId="3FAF9E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Разведчик</w:t>
            </w:r>
          </w:p>
        </w:tc>
      </w:tr>
      <w:tr w:rsidR="001002C3" w:rsidRPr="005E779E" w14:paraId="29552760" w14:textId="77777777">
        <w:tc>
          <w:tcPr>
            <w:tcW w:w="1668" w:type="dxa"/>
          </w:tcPr>
          <w:p w14:paraId="46784C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Крейсер</w:t>
            </w:r>
          </w:p>
        </w:tc>
        <w:tc>
          <w:tcPr>
            <w:tcW w:w="1719" w:type="dxa"/>
          </w:tcPr>
          <w:p w14:paraId="101349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МИ3-2М34</w:t>
            </w:r>
          </w:p>
        </w:tc>
        <w:tc>
          <w:tcPr>
            <w:tcW w:w="1520" w:type="dxa"/>
          </w:tcPr>
          <w:p w14:paraId="4EF51B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2C1A2D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МИ3-2М34</w:t>
            </w:r>
          </w:p>
        </w:tc>
        <w:tc>
          <w:tcPr>
            <w:tcW w:w="3799" w:type="dxa"/>
          </w:tcPr>
          <w:p w14:paraId="03492D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 1936</w:t>
            </w:r>
          </w:p>
        </w:tc>
      </w:tr>
      <w:tr w:rsidR="001002C3" w:rsidRPr="005E779E" w14:paraId="40D7AC7B" w14:textId="77777777">
        <w:tc>
          <w:tcPr>
            <w:tcW w:w="1668" w:type="dxa"/>
          </w:tcPr>
          <w:p w14:paraId="42D466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696522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СК1-2М35</w:t>
            </w:r>
          </w:p>
        </w:tc>
        <w:tc>
          <w:tcPr>
            <w:tcW w:w="1520" w:type="dxa"/>
          </w:tcPr>
          <w:p w14:paraId="67EDB2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24F642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СК1-2М35</w:t>
            </w:r>
          </w:p>
        </w:tc>
        <w:tc>
          <w:tcPr>
            <w:tcW w:w="3799" w:type="dxa"/>
          </w:tcPr>
          <w:p w14:paraId="166BCE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1936</w:t>
            </w:r>
          </w:p>
        </w:tc>
      </w:tr>
      <w:tr w:rsidR="001002C3" w:rsidRPr="005E779E" w14:paraId="4AC4E9BB" w14:textId="77777777">
        <w:tc>
          <w:tcPr>
            <w:tcW w:w="1668" w:type="dxa"/>
          </w:tcPr>
          <w:p w14:paraId="2D00D2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Штурмовые</w:t>
            </w:r>
          </w:p>
        </w:tc>
        <w:tc>
          <w:tcPr>
            <w:tcW w:w="1719" w:type="dxa"/>
          </w:tcPr>
          <w:p w14:paraId="1396C2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ЛБШ3</w:t>
            </w:r>
          </w:p>
        </w:tc>
        <w:tc>
          <w:tcPr>
            <w:tcW w:w="1520" w:type="dxa"/>
          </w:tcPr>
          <w:p w14:paraId="19A8B7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789E07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ТШ3-М34</w:t>
            </w:r>
          </w:p>
        </w:tc>
        <w:tc>
          <w:tcPr>
            <w:tcW w:w="3799" w:type="dxa"/>
          </w:tcPr>
          <w:p w14:paraId="61A324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1B3DBFA" w14:textId="77777777">
        <w:tc>
          <w:tcPr>
            <w:tcW w:w="1668" w:type="dxa"/>
          </w:tcPr>
          <w:p w14:paraId="7F4795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784FB3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ЛШ-4</w:t>
            </w:r>
          </w:p>
        </w:tc>
        <w:tc>
          <w:tcPr>
            <w:tcW w:w="1520" w:type="dxa"/>
          </w:tcPr>
          <w:p w14:paraId="24B8B3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5CC621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ЛШ-4</w:t>
            </w:r>
          </w:p>
        </w:tc>
        <w:tc>
          <w:tcPr>
            <w:tcW w:w="3799" w:type="dxa"/>
          </w:tcPr>
          <w:p w14:paraId="380D4F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ЛШ (мод. И)</w:t>
            </w:r>
          </w:p>
        </w:tc>
      </w:tr>
      <w:tr w:rsidR="001002C3" w:rsidRPr="005E779E" w14:paraId="3F7705E5" w14:textId="77777777">
        <w:tc>
          <w:tcPr>
            <w:tcW w:w="1668" w:type="dxa"/>
          </w:tcPr>
          <w:p w14:paraId="1C0AEA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69D3F5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0376E7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ТШ3-М34</w:t>
            </w:r>
          </w:p>
        </w:tc>
        <w:tc>
          <w:tcPr>
            <w:tcW w:w="1750" w:type="dxa"/>
          </w:tcPr>
          <w:p w14:paraId="03A40F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ТШ3-М34</w:t>
            </w:r>
          </w:p>
        </w:tc>
        <w:tc>
          <w:tcPr>
            <w:tcW w:w="3799" w:type="dxa"/>
          </w:tcPr>
          <w:p w14:paraId="47EBE3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ТШ (мод. Р)</w:t>
            </w:r>
          </w:p>
        </w:tc>
      </w:tr>
      <w:tr w:rsidR="001002C3" w:rsidRPr="005E779E" w14:paraId="20AD70C8" w14:textId="77777777">
        <w:tc>
          <w:tcPr>
            <w:tcW w:w="1668" w:type="dxa"/>
          </w:tcPr>
          <w:p w14:paraId="542A06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6B3A9F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42F72E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ЛШ-5</w:t>
            </w:r>
          </w:p>
        </w:tc>
        <w:tc>
          <w:tcPr>
            <w:tcW w:w="1750" w:type="dxa"/>
          </w:tcPr>
          <w:p w14:paraId="1FBBB3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ЛШ-5</w:t>
            </w:r>
          </w:p>
        </w:tc>
        <w:tc>
          <w:tcPr>
            <w:tcW w:w="3799" w:type="dxa"/>
          </w:tcPr>
          <w:p w14:paraId="7ED3DC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64E3D3E" w14:textId="77777777">
        <w:tc>
          <w:tcPr>
            <w:tcW w:w="1668" w:type="dxa"/>
          </w:tcPr>
          <w:p w14:paraId="38CC79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Бомбардировщик</w:t>
            </w:r>
          </w:p>
        </w:tc>
        <w:tc>
          <w:tcPr>
            <w:tcW w:w="1719" w:type="dxa"/>
          </w:tcPr>
          <w:p w14:paraId="176F62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27249E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ТБ3-4М34</w:t>
            </w:r>
          </w:p>
        </w:tc>
        <w:tc>
          <w:tcPr>
            <w:tcW w:w="1750" w:type="dxa"/>
          </w:tcPr>
          <w:p w14:paraId="42D048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ТБ3-4М34</w:t>
            </w:r>
          </w:p>
        </w:tc>
        <w:tc>
          <w:tcPr>
            <w:tcW w:w="3799" w:type="dxa"/>
          </w:tcPr>
          <w:p w14:paraId="4B8C09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634768A" w14:textId="77777777">
        <w:tc>
          <w:tcPr>
            <w:tcW w:w="1668" w:type="dxa"/>
          </w:tcPr>
          <w:p w14:paraId="129065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488111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ТБ5</w:t>
            </w:r>
          </w:p>
        </w:tc>
        <w:tc>
          <w:tcPr>
            <w:tcW w:w="1520" w:type="dxa"/>
          </w:tcPr>
          <w:p w14:paraId="1A8CA9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214966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ТБ5</w:t>
            </w:r>
          </w:p>
        </w:tc>
        <w:tc>
          <w:tcPr>
            <w:tcW w:w="3799" w:type="dxa"/>
          </w:tcPr>
          <w:p w14:paraId="17EDBB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w:t>
            </w:r>
          </w:p>
        </w:tc>
      </w:tr>
      <w:tr w:rsidR="001002C3" w:rsidRPr="005E779E" w14:paraId="5967790C" w14:textId="77777777">
        <w:tc>
          <w:tcPr>
            <w:tcW w:w="1668" w:type="dxa"/>
          </w:tcPr>
          <w:p w14:paraId="75B457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227FAC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17128C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АНТ14-5М22</w:t>
            </w:r>
          </w:p>
        </w:tc>
        <w:tc>
          <w:tcPr>
            <w:tcW w:w="1750" w:type="dxa"/>
          </w:tcPr>
          <w:p w14:paraId="3D92B9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АНТ14-5М22</w:t>
            </w:r>
          </w:p>
        </w:tc>
        <w:tc>
          <w:tcPr>
            <w:tcW w:w="3799" w:type="dxa"/>
          </w:tcPr>
          <w:p w14:paraId="40DC2A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E6500AF" w14:textId="77777777">
        <w:tc>
          <w:tcPr>
            <w:tcW w:w="1668" w:type="dxa"/>
          </w:tcPr>
          <w:p w14:paraId="719BAE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7C94A3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К7</w:t>
            </w:r>
          </w:p>
        </w:tc>
        <w:tc>
          <w:tcPr>
            <w:tcW w:w="1520" w:type="dxa"/>
          </w:tcPr>
          <w:p w14:paraId="6D4042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553890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К7</w:t>
            </w:r>
          </w:p>
        </w:tc>
        <w:tc>
          <w:tcPr>
            <w:tcW w:w="3799" w:type="dxa"/>
          </w:tcPr>
          <w:p w14:paraId="761D55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7F4D1DB" w14:textId="77777777">
        <w:tc>
          <w:tcPr>
            <w:tcW w:w="1668" w:type="dxa"/>
          </w:tcPr>
          <w:p w14:paraId="63D831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780266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ТБ6</w:t>
            </w:r>
          </w:p>
        </w:tc>
        <w:tc>
          <w:tcPr>
            <w:tcW w:w="1520" w:type="dxa"/>
          </w:tcPr>
          <w:p w14:paraId="0F1FD0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528E3F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ТБ6</w:t>
            </w:r>
          </w:p>
        </w:tc>
        <w:tc>
          <w:tcPr>
            <w:tcW w:w="3799" w:type="dxa"/>
          </w:tcPr>
          <w:p w14:paraId="3625EC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 гигант</w:t>
            </w:r>
          </w:p>
        </w:tc>
      </w:tr>
      <w:tr w:rsidR="001002C3" w:rsidRPr="005E779E" w14:paraId="4B205EEA" w14:textId="77777777">
        <w:tc>
          <w:tcPr>
            <w:tcW w:w="1668" w:type="dxa"/>
          </w:tcPr>
          <w:p w14:paraId="36239C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0F43EB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ТБ4</w:t>
            </w:r>
          </w:p>
        </w:tc>
        <w:tc>
          <w:tcPr>
            <w:tcW w:w="1520" w:type="dxa"/>
          </w:tcPr>
          <w:p w14:paraId="3B9EEA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5A9761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ТБ4</w:t>
            </w:r>
          </w:p>
        </w:tc>
        <w:tc>
          <w:tcPr>
            <w:tcW w:w="3799" w:type="dxa"/>
          </w:tcPr>
          <w:p w14:paraId="7C8666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7CBCCB9" w14:textId="77777777">
        <w:tc>
          <w:tcPr>
            <w:tcW w:w="1668" w:type="dxa"/>
          </w:tcPr>
          <w:p w14:paraId="33E613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1C82E2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К5-М15</w:t>
            </w:r>
          </w:p>
        </w:tc>
        <w:tc>
          <w:tcPr>
            <w:tcW w:w="1520" w:type="dxa"/>
          </w:tcPr>
          <w:p w14:paraId="64290C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15D2BE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К5-М15</w:t>
            </w:r>
          </w:p>
        </w:tc>
        <w:tc>
          <w:tcPr>
            <w:tcW w:w="3799" w:type="dxa"/>
          </w:tcPr>
          <w:p w14:paraId="50EBF9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К5-М15</w:t>
            </w:r>
          </w:p>
        </w:tc>
      </w:tr>
      <w:tr w:rsidR="001002C3" w:rsidRPr="005E779E" w14:paraId="343D1A81" w14:textId="77777777">
        <w:tc>
          <w:tcPr>
            <w:tcW w:w="1668" w:type="dxa"/>
          </w:tcPr>
          <w:p w14:paraId="307982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40977D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АНТ9-3М26</w:t>
            </w:r>
          </w:p>
        </w:tc>
        <w:tc>
          <w:tcPr>
            <w:tcW w:w="1520" w:type="dxa"/>
          </w:tcPr>
          <w:p w14:paraId="0EB9FA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0FB98E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АНТ9-3М26</w:t>
            </w:r>
          </w:p>
        </w:tc>
        <w:tc>
          <w:tcPr>
            <w:tcW w:w="3799" w:type="dxa"/>
          </w:tcPr>
          <w:p w14:paraId="5CA801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АНТ-9</w:t>
            </w:r>
          </w:p>
        </w:tc>
      </w:tr>
      <w:tr w:rsidR="001002C3" w:rsidRPr="005E779E" w14:paraId="2C163844" w14:textId="77777777">
        <w:tc>
          <w:tcPr>
            <w:tcW w:w="1668" w:type="dxa"/>
          </w:tcPr>
          <w:p w14:paraId="272E84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3EB05A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ТБ7</w:t>
            </w:r>
          </w:p>
        </w:tc>
        <w:tc>
          <w:tcPr>
            <w:tcW w:w="1520" w:type="dxa"/>
          </w:tcPr>
          <w:p w14:paraId="0E9C92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27B314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СТБ7</w:t>
            </w:r>
          </w:p>
        </w:tc>
        <w:tc>
          <w:tcPr>
            <w:tcW w:w="3799" w:type="dxa"/>
          </w:tcPr>
          <w:p w14:paraId="1C16A7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СТБ</w:t>
            </w:r>
          </w:p>
        </w:tc>
      </w:tr>
      <w:tr w:rsidR="001002C3" w:rsidRPr="005E779E" w14:paraId="789EC261" w14:textId="77777777">
        <w:tc>
          <w:tcPr>
            <w:tcW w:w="1668" w:type="dxa"/>
          </w:tcPr>
          <w:p w14:paraId="6B7940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25B2FA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ТБ8</w:t>
            </w:r>
          </w:p>
        </w:tc>
        <w:tc>
          <w:tcPr>
            <w:tcW w:w="1520" w:type="dxa"/>
          </w:tcPr>
          <w:p w14:paraId="5E4594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2E61E4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799" w:type="dxa"/>
          </w:tcPr>
          <w:p w14:paraId="7C8440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5499F4D" w14:textId="77777777">
        <w:tc>
          <w:tcPr>
            <w:tcW w:w="1668" w:type="dxa"/>
          </w:tcPr>
          <w:p w14:paraId="7D9400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31ED5C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ТБ9</w:t>
            </w:r>
          </w:p>
        </w:tc>
        <w:tc>
          <w:tcPr>
            <w:tcW w:w="1520" w:type="dxa"/>
          </w:tcPr>
          <w:p w14:paraId="7A00A9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067297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799" w:type="dxa"/>
          </w:tcPr>
          <w:p w14:paraId="752205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F4E3B67" w14:textId="77777777">
        <w:tc>
          <w:tcPr>
            <w:tcW w:w="1668" w:type="dxa"/>
          </w:tcPr>
          <w:p w14:paraId="647116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Морской</w:t>
            </w:r>
          </w:p>
        </w:tc>
        <w:tc>
          <w:tcPr>
            <w:tcW w:w="1719" w:type="dxa"/>
          </w:tcPr>
          <w:p w14:paraId="618966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МБР3</w:t>
            </w:r>
          </w:p>
        </w:tc>
        <w:tc>
          <w:tcPr>
            <w:tcW w:w="1520" w:type="dxa"/>
          </w:tcPr>
          <w:p w14:paraId="6F33E5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34F312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МБР3</w:t>
            </w:r>
          </w:p>
        </w:tc>
        <w:tc>
          <w:tcPr>
            <w:tcW w:w="3799" w:type="dxa"/>
          </w:tcPr>
          <w:p w14:paraId="6C2054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МБР3</w:t>
            </w:r>
          </w:p>
        </w:tc>
      </w:tr>
      <w:tr w:rsidR="001002C3" w:rsidRPr="005E779E" w14:paraId="5D3A0DF7" w14:textId="77777777">
        <w:tc>
          <w:tcPr>
            <w:tcW w:w="1668" w:type="dxa"/>
          </w:tcPr>
          <w:p w14:paraId="6749B1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разведчик</w:t>
            </w:r>
          </w:p>
        </w:tc>
        <w:tc>
          <w:tcPr>
            <w:tcW w:w="1719" w:type="dxa"/>
          </w:tcPr>
          <w:p w14:paraId="113D18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МДР3</w:t>
            </w:r>
          </w:p>
        </w:tc>
        <w:tc>
          <w:tcPr>
            <w:tcW w:w="1520" w:type="dxa"/>
          </w:tcPr>
          <w:p w14:paraId="6FE233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53ED13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МДР3</w:t>
            </w:r>
          </w:p>
        </w:tc>
        <w:tc>
          <w:tcPr>
            <w:tcW w:w="3799" w:type="dxa"/>
          </w:tcPr>
          <w:p w14:paraId="491F9F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МДР3</w:t>
            </w:r>
          </w:p>
        </w:tc>
      </w:tr>
      <w:tr w:rsidR="001002C3" w:rsidRPr="005E779E" w14:paraId="3B7B8C51" w14:textId="77777777">
        <w:tc>
          <w:tcPr>
            <w:tcW w:w="1668" w:type="dxa"/>
          </w:tcPr>
          <w:p w14:paraId="173699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24B3EB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МК</w:t>
            </w:r>
          </w:p>
        </w:tc>
        <w:tc>
          <w:tcPr>
            <w:tcW w:w="1520" w:type="dxa"/>
          </w:tcPr>
          <w:p w14:paraId="2555EE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6CBB64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МК</w:t>
            </w:r>
          </w:p>
        </w:tc>
        <w:tc>
          <w:tcPr>
            <w:tcW w:w="3799" w:type="dxa"/>
          </w:tcPr>
          <w:p w14:paraId="6C1D4F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МК</w:t>
            </w:r>
          </w:p>
        </w:tc>
      </w:tr>
      <w:tr w:rsidR="001002C3" w:rsidRPr="005E779E" w14:paraId="5B7B26D6" w14:textId="77777777">
        <w:tc>
          <w:tcPr>
            <w:tcW w:w="1668" w:type="dxa"/>
          </w:tcPr>
          <w:p w14:paraId="0DC2C2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Морской</w:t>
            </w:r>
          </w:p>
        </w:tc>
        <w:tc>
          <w:tcPr>
            <w:tcW w:w="1719" w:type="dxa"/>
          </w:tcPr>
          <w:p w14:paraId="03BD3D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0DFD13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МТБ</w:t>
            </w:r>
          </w:p>
        </w:tc>
        <w:tc>
          <w:tcPr>
            <w:tcW w:w="1750" w:type="dxa"/>
          </w:tcPr>
          <w:p w14:paraId="40EF3D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МТБ</w:t>
            </w:r>
          </w:p>
        </w:tc>
        <w:tc>
          <w:tcPr>
            <w:tcW w:w="3799" w:type="dxa"/>
          </w:tcPr>
          <w:p w14:paraId="351757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МТБ</w:t>
            </w:r>
          </w:p>
        </w:tc>
      </w:tr>
      <w:tr w:rsidR="001002C3" w:rsidRPr="005E779E" w14:paraId="548CDDA2" w14:textId="77777777">
        <w:tc>
          <w:tcPr>
            <w:tcW w:w="1668" w:type="dxa"/>
          </w:tcPr>
          <w:p w14:paraId="1E8DD1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бомбардировщик</w:t>
            </w:r>
          </w:p>
        </w:tc>
        <w:tc>
          <w:tcPr>
            <w:tcW w:w="1719" w:type="dxa"/>
          </w:tcPr>
          <w:p w14:paraId="41B8B0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656748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4652C5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799" w:type="dxa"/>
          </w:tcPr>
          <w:p w14:paraId="706457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3F5D592" w14:textId="77777777">
        <w:tc>
          <w:tcPr>
            <w:tcW w:w="1668" w:type="dxa"/>
          </w:tcPr>
          <w:p w14:paraId="3B1F69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Специальные</w:t>
            </w:r>
          </w:p>
        </w:tc>
        <w:tc>
          <w:tcPr>
            <w:tcW w:w="1719" w:type="dxa"/>
          </w:tcPr>
          <w:p w14:paraId="3F31FC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7BAEDD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КОР</w:t>
            </w:r>
          </w:p>
        </w:tc>
        <w:tc>
          <w:tcPr>
            <w:tcW w:w="1750" w:type="dxa"/>
          </w:tcPr>
          <w:p w14:paraId="7E70D4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КОР</w:t>
            </w:r>
          </w:p>
        </w:tc>
        <w:tc>
          <w:tcPr>
            <w:tcW w:w="3799" w:type="dxa"/>
          </w:tcPr>
          <w:p w14:paraId="49A32C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ADF325B" w14:textId="77777777">
        <w:tc>
          <w:tcPr>
            <w:tcW w:w="1668" w:type="dxa"/>
          </w:tcPr>
          <w:p w14:paraId="590F0B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312695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30427C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СПЛ</w:t>
            </w:r>
          </w:p>
        </w:tc>
        <w:tc>
          <w:tcPr>
            <w:tcW w:w="1750" w:type="dxa"/>
          </w:tcPr>
          <w:p w14:paraId="01A111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СПЛ</w:t>
            </w:r>
          </w:p>
        </w:tc>
        <w:tc>
          <w:tcPr>
            <w:tcW w:w="3799" w:type="dxa"/>
          </w:tcPr>
          <w:p w14:paraId="1B244E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BB377F0" w14:textId="77777777">
        <w:tc>
          <w:tcPr>
            <w:tcW w:w="1668" w:type="dxa"/>
          </w:tcPr>
          <w:p w14:paraId="3F9BB9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543A26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55DB3A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МФС</w:t>
            </w:r>
          </w:p>
        </w:tc>
        <w:tc>
          <w:tcPr>
            <w:tcW w:w="1750" w:type="dxa"/>
          </w:tcPr>
          <w:p w14:paraId="5667B4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МФС</w:t>
            </w:r>
          </w:p>
        </w:tc>
        <w:tc>
          <w:tcPr>
            <w:tcW w:w="3799" w:type="dxa"/>
          </w:tcPr>
          <w:p w14:paraId="638E0D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28BAF14" w14:textId="77777777">
        <w:tc>
          <w:tcPr>
            <w:tcW w:w="1668" w:type="dxa"/>
          </w:tcPr>
          <w:p w14:paraId="0F0D1A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04C0E1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Х1-2М34</w:t>
            </w:r>
          </w:p>
        </w:tc>
        <w:tc>
          <w:tcPr>
            <w:tcW w:w="1520" w:type="dxa"/>
          </w:tcPr>
          <w:p w14:paraId="768968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106DB7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799" w:type="dxa"/>
          </w:tcPr>
          <w:p w14:paraId="5C1527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06CDE7F" w14:textId="77777777">
        <w:tc>
          <w:tcPr>
            <w:tcW w:w="1668" w:type="dxa"/>
          </w:tcPr>
          <w:p w14:paraId="33C856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27B1FE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ЛХ1-2М26</w:t>
            </w:r>
          </w:p>
        </w:tc>
        <w:tc>
          <w:tcPr>
            <w:tcW w:w="1520" w:type="dxa"/>
          </w:tcPr>
          <w:p w14:paraId="727C10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1C8BD6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799" w:type="dxa"/>
          </w:tcPr>
          <w:p w14:paraId="3BA2D2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EB49CBB" w14:textId="77777777">
        <w:tc>
          <w:tcPr>
            <w:tcW w:w="1668" w:type="dxa"/>
          </w:tcPr>
          <w:p w14:paraId="1BA0AE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7E52D1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ЛС1-М48</w:t>
            </w:r>
          </w:p>
        </w:tc>
        <w:tc>
          <w:tcPr>
            <w:tcW w:w="1520" w:type="dxa"/>
          </w:tcPr>
          <w:p w14:paraId="4A2C5D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2318A5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799" w:type="dxa"/>
          </w:tcPr>
          <w:p w14:paraId="0395A3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32B9D92" w14:textId="77777777">
        <w:tc>
          <w:tcPr>
            <w:tcW w:w="1668" w:type="dxa"/>
          </w:tcPr>
          <w:p w14:paraId="11ED81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5F9F6D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СС1-М26</w:t>
            </w:r>
          </w:p>
        </w:tc>
        <w:tc>
          <w:tcPr>
            <w:tcW w:w="1520" w:type="dxa"/>
          </w:tcPr>
          <w:p w14:paraId="023A49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11289B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799" w:type="dxa"/>
          </w:tcPr>
          <w:p w14:paraId="5DF1E0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7A06BE7" w14:textId="77777777">
        <w:tc>
          <w:tcPr>
            <w:tcW w:w="1668" w:type="dxa"/>
          </w:tcPr>
          <w:p w14:paraId="5B48B2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0EFA3E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ВС2-2М26</w:t>
            </w:r>
          </w:p>
        </w:tc>
        <w:tc>
          <w:tcPr>
            <w:tcW w:w="1520" w:type="dxa"/>
          </w:tcPr>
          <w:p w14:paraId="312F52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7F83C8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799" w:type="dxa"/>
          </w:tcPr>
          <w:p w14:paraId="7DAA41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82739F6" w14:textId="77777777">
        <w:tc>
          <w:tcPr>
            <w:tcW w:w="1668" w:type="dxa"/>
          </w:tcPr>
          <w:p w14:paraId="305835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430E9B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ПБ1</w:t>
            </w:r>
          </w:p>
        </w:tc>
        <w:tc>
          <w:tcPr>
            <w:tcW w:w="1520" w:type="dxa"/>
          </w:tcPr>
          <w:p w14:paraId="226911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33D203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799" w:type="dxa"/>
          </w:tcPr>
          <w:p w14:paraId="1AE757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BE406EB" w14:textId="77777777">
        <w:tc>
          <w:tcPr>
            <w:tcW w:w="1668" w:type="dxa"/>
          </w:tcPr>
          <w:p w14:paraId="53E75C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6DE499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Э-1</w:t>
            </w:r>
          </w:p>
        </w:tc>
        <w:tc>
          <w:tcPr>
            <w:tcW w:w="1520" w:type="dxa"/>
          </w:tcPr>
          <w:p w14:paraId="75DA41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511AD7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799" w:type="dxa"/>
          </w:tcPr>
          <w:p w14:paraId="0DC439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22F45E7" w14:textId="77777777">
        <w:tc>
          <w:tcPr>
            <w:tcW w:w="1668" w:type="dxa"/>
          </w:tcPr>
          <w:p w14:paraId="35EA44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773FC4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Э-2</w:t>
            </w:r>
          </w:p>
        </w:tc>
        <w:tc>
          <w:tcPr>
            <w:tcW w:w="1520" w:type="dxa"/>
          </w:tcPr>
          <w:p w14:paraId="644F85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59B8B4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799" w:type="dxa"/>
          </w:tcPr>
          <w:p w14:paraId="1DF95B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4E50082" w14:textId="77777777">
        <w:tc>
          <w:tcPr>
            <w:tcW w:w="1668" w:type="dxa"/>
          </w:tcPr>
          <w:p w14:paraId="6A996E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1B3519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Г-2</w:t>
            </w:r>
          </w:p>
        </w:tc>
        <w:tc>
          <w:tcPr>
            <w:tcW w:w="1520" w:type="dxa"/>
          </w:tcPr>
          <w:p w14:paraId="5F17E2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325398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799" w:type="dxa"/>
          </w:tcPr>
          <w:p w14:paraId="4C1E63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BFA4160" w14:textId="77777777">
        <w:tc>
          <w:tcPr>
            <w:tcW w:w="1668" w:type="dxa"/>
          </w:tcPr>
          <w:p w14:paraId="205153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6AFFC1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А-2</w:t>
            </w:r>
          </w:p>
        </w:tc>
        <w:tc>
          <w:tcPr>
            <w:tcW w:w="1520" w:type="dxa"/>
          </w:tcPr>
          <w:p w14:paraId="70AC9E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2945E8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799" w:type="dxa"/>
          </w:tcPr>
          <w:p w14:paraId="7A06A5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717B1C2" w14:textId="77777777">
        <w:tc>
          <w:tcPr>
            <w:tcW w:w="1668" w:type="dxa"/>
          </w:tcPr>
          <w:p w14:paraId="7AAADD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08100B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Р-1</w:t>
            </w:r>
          </w:p>
        </w:tc>
        <w:tc>
          <w:tcPr>
            <w:tcW w:w="1520" w:type="dxa"/>
          </w:tcPr>
          <w:p w14:paraId="6AA8A2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626A49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799" w:type="dxa"/>
          </w:tcPr>
          <w:p w14:paraId="228A84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FC4C8F1" w14:textId="77777777">
        <w:tc>
          <w:tcPr>
            <w:tcW w:w="1668" w:type="dxa"/>
          </w:tcPr>
          <w:p w14:paraId="230B1E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7C8C59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2F45CA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Рек 1</w:t>
            </w:r>
          </w:p>
        </w:tc>
        <w:tc>
          <w:tcPr>
            <w:tcW w:w="1750" w:type="dxa"/>
          </w:tcPr>
          <w:p w14:paraId="236D98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Рек 1</w:t>
            </w:r>
          </w:p>
        </w:tc>
        <w:tc>
          <w:tcPr>
            <w:tcW w:w="3799" w:type="dxa"/>
          </w:tcPr>
          <w:p w14:paraId="3E7E56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F6A5585" w14:textId="77777777">
        <w:tc>
          <w:tcPr>
            <w:tcW w:w="1668" w:type="dxa"/>
          </w:tcPr>
          <w:p w14:paraId="0B5D89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1E62D7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50EEAC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Рек 2</w:t>
            </w:r>
          </w:p>
        </w:tc>
        <w:tc>
          <w:tcPr>
            <w:tcW w:w="1750" w:type="dxa"/>
          </w:tcPr>
          <w:p w14:paraId="6F6A6C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Рек 2</w:t>
            </w:r>
          </w:p>
        </w:tc>
        <w:tc>
          <w:tcPr>
            <w:tcW w:w="3799" w:type="dxa"/>
          </w:tcPr>
          <w:p w14:paraId="60CACE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184F209" w14:textId="77777777">
        <w:tc>
          <w:tcPr>
            <w:tcW w:w="1668" w:type="dxa"/>
          </w:tcPr>
          <w:p w14:paraId="0D5FAA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2A2B52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5AFE68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Рек 3</w:t>
            </w:r>
          </w:p>
        </w:tc>
        <w:tc>
          <w:tcPr>
            <w:tcW w:w="1750" w:type="dxa"/>
          </w:tcPr>
          <w:p w14:paraId="6D05FE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Рек 3</w:t>
            </w:r>
          </w:p>
        </w:tc>
        <w:tc>
          <w:tcPr>
            <w:tcW w:w="3799" w:type="dxa"/>
          </w:tcPr>
          <w:p w14:paraId="19EFD9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92E2C9B" w14:textId="77777777">
        <w:tc>
          <w:tcPr>
            <w:tcW w:w="1668" w:type="dxa"/>
          </w:tcPr>
          <w:p w14:paraId="044610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0EF1C2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6BC72C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Парабола</w:t>
            </w:r>
          </w:p>
        </w:tc>
        <w:tc>
          <w:tcPr>
            <w:tcW w:w="1750" w:type="dxa"/>
          </w:tcPr>
          <w:p w14:paraId="52FCBA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Парабола</w:t>
            </w:r>
          </w:p>
        </w:tc>
        <w:tc>
          <w:tcPr>
            <w:tcW w:w="3799" w:type="dxa"/>
          </w:tcPr>
          <w:p w14:paraId="449A29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2371AB4" w14:textId="77777777">
        <w:tc>
          <w:tcPr>
            <w:tcW w:w="1668" w:type="dxa"/>
          </w:tcPr>
          <w:p w14:paraId="2B722F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Учебные</w:t>
            </w:r>
          </w:p>
        </w:tc>
        <w:tc>
          <w:tcPr>
            <w:tcW w:w="1719" w:type="dxa"/>
          </w:tcPr>
          <w:p w14:paraId="569F5C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3ABBD6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У3-РЖ6</w:t>
            </w:r>
          </w:p>
        </w:tc>
        <w:tc>
          <w:tcPr>
            <w:tcW w:w="1750" w:type="dxa"/>
          </w:tcPr>
          <w:p w14:paraId="532371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У3-РЖ</w:t>
            </w:r>
          </w:p>
        </w:tc>
        <w:tc>
          <w:tcPr>
            <w:tcW w:w="3799" w:type="dxa"/>
          </w:tcPr>
          <w:p w14:paraId="11D5CD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4439F2E" w14:textId="77777777">
        <w:tc>
          <w:tcPr>
            <w:tcW w:w="1668" w:type="dxa"/>
          </w:tcPr>
          <w:p w14:paraId="27083D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021E48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5EBFCB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У4-РЖ6</w:t>
            </w:r>
          </w:p>
        </w:tc>
        <w:tc>
          <w:tcPr>
            <w:tcW w:w="1750" w:type="dxa"/>
          </w:tcPr>
          <w:p w14:paraId="7EDBD7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У4-РЖ</w:t>
            </w:r>
          </w:p>
        </w:tc>
        <w:tc>
          <w:tcPr>
            <w:tcW w:w="3799" w:type="dxa"/>
          </w:tcPr>
          <w:p w14:paraId="52F4CC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61460AA" w14:textId="77777777">
        <w:tc>
          <w:tcPr>
            <w:tcW w:w="1668" w:type="dxa"/>
          </w:tcPr>
          <w:p w14:paraId="013E66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51EF1E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5D750B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С1-РЖ6</w:t>
            </w:r>
          </w:p>
        </w:tc>
        <w:tc>
          <w:tcPr>
            <w:tcW w:w="1750" w:type="dxa"/>
          </w:tcPr>
          <w:p w14:paraId="6E35DD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С1-РЖ</w:t>
            </w:r>
          </w:p>
        </w:tc>
        <w:tc>
          <w:tcPr>
            <w:tcW w:w="3799" w:type="dxa"/>
          </w:tcPr>
          <w:p w14:paraId="2383E5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bl>
    <w:p w14:paraId="26CD16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Сравнение наметки строительства типов самолетов в серии в 1931-1935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93"/>
        <w:gridCol w:w="992"/>
        <w:gridCol w:w="851"/>
        <w:gridCol w:w="850"/>
        <w:gridCol w:w="851"/>
        <w:gridCol w:w="850"/>
        <w:gridCol w:w="851"/>
        <w:gridCol w:w="708"/>
        <w:gridCol w:w="709"/>
        <w:gridCol w:w="851"/>
        <w:gridCol w:w="848"/>
      </w:tblGrid>
      <w:tr w:rsidR="001002C3" w:rsidRPr="005E779E" w14:paraId="21ECCC8F" w14:textId="77777777">
        <w:tc>
          <w:tcPr>
            <w:tcW w:w="2093" w:type="dxa"/>
          </w:tcPr>
          <w:p w14:paraId="24D799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Тип самолета</w:t>
            </w:r>
          </w:p>
        </w:tc>
        <w:tc>
          <w:tcPr>
            <w:tcW w:w="992" w:type="dxa"/>
          </w:tcPr>
          <w:p w14:paraId="7E1875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Намечено планом ОКБ</w:t>
            </w:r>
          </w:p>
        </w:tc>
        <w:tc>
          <w:tcPr>
            <w:tcW w:w="851" w:type="dxa"/>
          </w:tcPr>
          <w:p w14:paraId="0B72A5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8535D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13D3F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5B1CF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16D79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Намечено планом УВВС</w:t>
            </w:r>
          </w:p>
        </w:tc>
        <w:tc>
          <w:tcPr>
            <w:tcW w:w="708" w:type="dxa"/>
          </w:tcPr>
          <w:p w14:paraId="0FD660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E3FBA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DE3AC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Pr>
          <w:p w14:paraId="025214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E0CBFC0" w14:textId="77777777">
        <w:tc>
          <w:tcPr>
            <w:tcW w:w="2093" w:type="dxa"/>
          </w:tcPr>
          <w:p w14:paraId="14704C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3304D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w:t>
            </w:r>
          </w:p>
        </w:tc>
        <w:tc>
          <w:tcPr>
            <w:tcW w:w="851" w:type="dxa"/>
          </w:tcPr>
          <w:p w14:paraId="5F1672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1932</w:t>
            </w:r>
          </w:p>
        </w:tc>
        <w:tc>
          <w:tcPr>
            <w:tcW w:w="850" w:type="dxa"/>
          </w:tcPr>
          <w:p w14:paraId="7B423B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1933</w:t>
            </w:r>
          </w:p>
        </w:tc>
        <w:tc>
          <w:tcPr>
            <w:tcW w:w="851" w:type="dxa"/>
          </w:tcPr>
          <w:p w14:paraId="36F9BF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1934</w:t>
            </w:r>
          </w:p>
        </w:tc>
        <w:tc>
          <w:tcPr>
            <w:tcW w:w="850" w:type="dxa"/>
          </w:tcPr>
          <w:p w14:paraId="263D6A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1935</w:t>
            </w:r>
          </w:p>
        </w:tc>
        <w:tc>
          <w:tcPr>
            <w:tcW w:w="851" w:type="dxa"/>
          </w:tcPr>
          <w:p w14:paraId="1D30B2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w:t>
            </w:r>
          </w:p>
        </w:tc>
        <w:tc>
          <w:tcPr>
            <w:tcW w:w="708" w:type="dxa"/>
          </w:tcPr>
          <w:p w14:paraId="704836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1932</w:t>
            </w:r>
          </w:p>
        </w:tc>
        <w:tc>
          <w:tcPr>
            <w:tcW w:w="709" w:type="dxa"/>
          </w:tcPr>
          <w:p w14:paraId="1D52E5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1933</w:t>
            </w:r>
          </w:p>
        </w:tc>
        <w:tc>
          <w:tcPr>
            <w:tcW w:w="851" w:type="dxa"/>
          </w:tcPr>
          <w:p w14:paraId="10350C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1934</w:t>
            </w:r>
          </w:p>
        </w:tc>
        <w:tc>
          <w:tcPr>
            <w:tcW w:w="848" w:type="dxa"/>
          </w:tcPr>
          <w:p w14:paraId="5E3338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1935</w:t>
            </w:r>
          </w:p>
        </w:tc>
      </w:tr>
      <w:tr w:rsidR="001002C3" w:rsidRPr="005E779E" w14:paraId="2B880915" w14:textId="77777777">
        <w:tc>
          <w:tcPr>
            <w:tcW w:w="2093" w:type="dxa"/>
          </w:tcPr>
          <w:p w14:paraId="7A251C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Истребитель одном. пул.</w:t>
            </w:r>
          </w:p>
        </w:tc>
        <w:tc>
          <w:tcPr>
            <w:tcW w:w="992" w:type="dxa"/>
          </w:tcPr>
          <w:p w14:paraId="7CCC5F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И5,И7</w:t>
            </w:r>
          </w:p>
        </w:tc>
        <w:tc>
          <w:tcPr>
            <w:tcW w:w="851" w:type="dxa"/>
          </w:tcPr>
          <w:p w14:paraId="47746C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w:t>
            </w:r>
          </w:p>
        </w:tc>
        <w:tc>
          <w:tcPr>
            <w:tcW w:w="850" w:type="dxa"/>
          </w:tcPr>
          <w:p w14:paraId="586D77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И5бис</w:t>
            </w:r>
          </w:p>
        </w:tc>
        <w:tc>
          <w:tcPr>
            <w:tcW w:w="851" w:type="dxa"/>
          </w:tcPr>
          <w:p w14:paraId="7A8512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Ипул.</w:t>
            </w:r>
          </w:p>
        </w:tc>
        <w:tc>
          <w:tcPr>
            <w:tcW w:w="850" w:type="dxa"/>
          </w:tcPr>
          <w:p w14:paraId="5E242F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Ипул.</w:t>
            </w:r>
          </w:p>
        </w:tc>
        <w:tc>
          <w:tcPr>
            <w:tcW w:w="851" w:type="dxa"/>
          </w:tcPr>
          <w:p w14:paraId="2D3516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 И7</w:t>
            </w:r>
          </w:p>
        </w:tc>
        <w:tc>
          <w:tcPr>
            <w:tcW w:w="708" w:type="dxa"/>
          </w:tcPr>
          <w:p w14:paraId="68AEB5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 И7</w:t>
            </w:r>
          </w:p>
        </w:tc>
        <w:tc>
          <w:tcPr>
            <w:tcW w:w="709" w:type="dxa"/>
          </w:tcPr>
          <w:p w14:paraId="116681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51" w:type="dxa"/>
          </w:tcPr>
          <w:p w14:paraId="248DBF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48" w:type="dxa"/>
          </w:tcPr>
          <w:p w14:paraId="6CFC71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1002C3" w:rsidRPr="005E779E" w14:paraId="4EF417C6" w14:textId="77777777">
        <w:tc>
          <w:tcPr>
            <w:tcW w:w="2093" w:type="dxa"/>
          </w:tcPr>
          <w:p w14:paraId="1CD13C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Истребитель одном. пуш.</w:t>
            </w:r>
          </w:p>
        </w:tc>
        <w:tc>
          <w:tcPr>
            <w:tcW w:w="992" w:type="dxa"/>
          </w:tcPr>
          <w:p w14:paraId="22118E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51" w:type="dxa"/>
          </w:tcPr>
          <w:p w14:paraId="169CE2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50" w:type="dxa"/>
          </w:tcPr>
          <w:p w14:paraId="1BA8BC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Илин.</w:t>
            </w:r>
          </w:p>
        </w:tc>
        <w:tc>
          <w:tcPr>
            <w:tcW w:w="851" w:type="dxa"/>
          </w:tcPr>
          <w:p w14:paraId="3361FE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Илин.</w:t>
            </w:r>
          </w:p>
        </w:tc>
        <w:tc>
          <w:tcPr>
            <w:tcW w:w="850" w:type="dxa"/>
          </w:tcPr>
          <w:p w14:paraId="516549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Илин.</w:t>
            </w:r>
          </w:p>
        </w:tc>
        <w:tc>
          <w:tcPr>
            <w:tcW w:w="851" w:type="dxa"/>
          </w:tcPr>
          <w:p w14:paraId="35CE27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08" w:type="dxa"/>
          </w:tcPr>
          <w:p w14:paraId="40DD93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09" w:type="dxa"/>
          </w:tcPr>
          <w:p w14:paraId="0F66B8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Ипуш.</w:t>
            </w:r>
          </w:p>
        </w:tc>
        <w:tc>
          <w:tcPr>
            <w:tcW w:w="851" w:type="dxa"/>
          </w:tcPr>
          <w:p w14:paraId="72D0F1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Ипуш.</w:t>
            </w:r>
          </w:p>
        </w:tc>
        <w:tc>
          <w:tcPr>
            <w:tcW w:w="848" w:type="dxa"/>
          </w:tcPr>
          <w:p w14:paraId="54DA1F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1002C3" w:rsidRPr="005E779E" w14:paraId="775F2A5C" w14:textId="77777777">
        <w:tc>
          <w:tcPr>
            <w:tcW w:w="2093" w:type="dxa"/>
          </w:tcPr>
          <w:p w14:paraId="0540E0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Истребитель двухместн.</w:t>
            </w:r>
          </w:p>
        </w:tc>
        <w:tc>
          <w:tcPr>
            <w:tcW w:w="992" w:type="dxa"/>
          </w:tcPr>
          <w:p w14:paraId="24FE97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51" w:type="dxa"/>
          </w:tcPr>
          <w:p w14:paraId="55F7E2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50" w:type="dxa"/>
          </w:tcPr>
          <w:p w14:paraId="21B6D7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51" w:type="dxa"/>
          </w:tcPr>
          <w:p w14:paraId="7E7BE9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w:t>
            </w:r>
          </w:p>
        </w:tc>
        <w:tc>
          <w:tcPr>
            <w:tcW w:w="850" w:type="dxa"/>
          </w:tcPr>
          <w:p w14:paraId="72C8FA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w:t>
            </w:r>
          </w:p>
        </w:tc>
        <w:tc>
          <w:tcPr>
            <w:tcW w:w="851" w:type="dxa"/>
          </w:tcPr>
          <w:p w14:paraId="2336CB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08" w:type="dxa"/>
          </w:tcPr>
          <w:p w14:paraId="0831F5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09" w:type="dxa"/>
          </w:tcPr>
          <w:p w14:paraId="7FA187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w:t>
            </w:r>
          </w:p>
        </w:tc>
        <w:tc>
          <w:tcPr>
            <w:tcW w:w="851" w:type="dxa"/>
          </w:tcPr>
          <w:p w14:paraId="72E693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w:t>
            </w:r>
          </w:p>
        </w:tc>
        <w:tc>
          <w:tcPr>
            <w:tcW w:w="848" w:type="dxa"/>
          </w:tcPr>
          <w:p w14:paraId="12B2FB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1002C3" w:rsidRPr="005E779E" w14:paraId="73DD993E" w14:textId="77777777">
        <w:tc>
          <w:tcPr>
            <w:tcW w:w="2093" w:type="dxa"/>
          </w:tcPr>
          <w:p w14:paraId="18E8FB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Разведчик</w:t>
            </w:r>
          </w:p>
        </w:tc>
        <w:tc>
          <w:tcPr>
            <w:tcW w:w="992" w:type="dxa"/>
          </w:tcPr>
          <w:p w14:paraId="3D05C6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Р1, Р5</w:t>
            </w:r>
          </w:p>
        </w:tc>
        <w:tc>
          <w:tcPr>
            <w:tcW w:w="851" w:type="dxa"/>
          </w:tcPr>
          <w:p w14:paraId="21A0DF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Р5</w:t>
            </w:r>
          </w:p>
        </w:tc>
        <w:tc>
          <w:tcPr>
            <w:tcW w:w="850" w:type="dxa"/>
          </w:tcPr>
          <w:p w14:paraId="33981A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Р5</w:t>
            </w:r>
          </w:p>
        </w:tc>
        <w:tc>
          <w:tcPr>
            <w:tcW w:w="851" w:type="dxa"/>
          </w:tcPr>
          <w:p w14:paraId="6D2F4B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w:t>
            </w:r>
          </w:p>
        </w:tc>
        <w:tc>
          <w:tcPr>
            <w:tcW w:w="850" w:type="dxa"/>
          </w:tcPr>
          <w:p w14:paraId="4A8307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w:t>
            </w:r>
          </w:p>
        </w:tc>
        <w:tc>
          <w:tcPr>
            <w:tcW w:w="851" w:type="dxa"/>
          </w:tcPr>
          <w:p w14:paraId="1FB9C9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Р1, Р5</w:t>
            </w:r>
          </w:p>
        </w:tc>
        <w:tc>
          <w:tcPr>
            <w:tcW w:w="708" w:type="dxa"/>
          </w:tcPr>
          <w:p w14:paraId="357D26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Р5</w:t>
            </w:r>
          </w:p>
        </w:tc>
        <w:tc>
          <w:tcPr>
            <w:tcW w:w="709" w:type="dxa"/>
          </w:tcPr>
          <w:p w14:paraId="1D4B7F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Р8</w:t>
            </w:r>
          </w:p>
        </w:tc>
        <w:tc>
          <w:tcPr>
            <w:tcW w:w="851" w:type="dxa"/>
          </w:tcPr>
          <w:p w14:paraId="746397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ВС2</w:t>
            </w:r>
          </w:p>
        </w:tc>
        <w:tc>
          <w:tcPr>
            <w:tcW w:w="848" w:type="dxa"/>
          </w:tcPr>
          <w:p w14:paraId="2BC306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1002C3" w:rsidRPr="005E779E" w14:paraId="2850366B" w14:textId="77777777">
        <w:tc>
          <w:tcPr>
            <w:tcW w:w="2093" w:type="dxa"/>
          </w:tcPr>
          <w:p w14:paraId="174CCE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Разведчик скор.</w:t>
            </w:r>
          </w:p>
        </w:tc>
        <w:tc>
          <w:tcPr>
            <w:tcW w:w="992" w:type="dxa"/>
          </w:tcPr>
          <w:p w14:paraId="789D72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51" w:type="dxa"/>
          </w:tcPr>
          <w:p w14:paraId="4B2B8E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50" w:type="dxa"/>
          </w:tcPr>
          <w:p w14:paraId="610DFF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51" w:type="dxa"/>
          </w:tcPr>
          <w:p w14:paraId="711884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Р10</w:t>
            </w:r>
          </w:p>
        </w:tc>
        <w:tc>
          <w:tcPr>
            <w:tcW w:w="850" w:type="dxa"/>
          </w:tcPr>
          <w:p w14:paraId="549455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Р10</w:t>
            </w:r>
          </w:p>
        </w:tc>
        <w:tc>
          <w:tcPr>
            <w:tcW w:w="851" w:type="dxa"/>
          </w:tcPr>
          <w:p w14:paraId="599344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08" w:type="dxa"/>
          </w:tcPr>
          <w:p w14:paraId="01B14D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09" w:type="dxa"/>
          </w:tcPr>
          <w:p w14:paraId="09EB22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Р9</w:t>
            </w:r>
          </w:p>
        </w:tc>
        <w:tc>
          <w:tcPr>
            <w:tcW w:w="851" w:type="dxa"/>
          </w:tcPr>
          <w:p w14:paraId="1C8DB5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Р10</w:t>
            </w:r>
          </w:p>
        </w:tc>
        <w:tc>
          <w:tcPr>
            <w:tcW w:w="848" w:type="dxa"/>
          </w:tcPr>
          <w:p w14:paraId="0381DE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1002C3" w:rsidRPr="005E779E" w14:paraId="4D7FF63C" w14:textId="77777777">
        <w:tc>
          <w:tcPr>
            <w:tcW w:w="2093" w:type="dxa"/>
          </w:tcPr>
          <w:p w14:paraId="28446C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Крейсер</w:t>
            </w:r>
          </w:p>
        </w:tc>
        <w:tc>
          <w:tcPr>
            <w:tcW w:w="992" w:type="dxa"/>
          </w:tcPr>
          <w:p w14:paraId="64010A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Р6</w:t>
            </w:r>
          </w:p>
        </w:tc>
        <w:tc>
          <w:tcPr>
            <w:tcW w:w="851" w:type="dxa"/>
          </w:tcPr>
          <w:p w14:paraId="170716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Р6</w:t>
            </w:r>
          </w:p>
        </w:tc>
        <w:tc>
          <w:tcPr>
            <w:tcW w:w="850" w:type="dxa"/>
          </w:tcPr>
          <w:p w14:paraId="05F130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Р6</w:t>
            </w:r>
          </w:p>
        </w:tc>
        <w:tc>
          <w:tcPr>
            <w:tcW w:w="851" w:type="dxa"/>
          </w:tcPr>
          <w:p w14:paraId="10D87B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МИ3</w:t>
            </w:r>
          </w:p>
        </w:tc>
        <w:tc>
          <w:tcPr>
            <w:tcW w:w="850" w:type="dxa"/>
          </w:tcPr>
          <w:p w14:paraId="5C1648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МИ3</w:t>
            </w:r>
          </w:p>
        </w:tc>
        <w:tc>
          <w:tcPr>
            <w:tcW w:w="851" w:type="dxa"/>
          </w:tcPr>
          <w:p w14:paraId="5DDE98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Р6</w:t>
            </w:r>
          </w:p>
        </w:tc>
        <w:tc>
          <w:tcPr>
            <w:tcW w:w="708" w:type="dxa"/>
          </w:tcPr>
          <w:p w14:paraId="3F871A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Р6</w:t>
            </w:r>
          </w:p>
        </w:tc>
        <w:tc>
          <w:tcPr>
            <w:tcW w:w="709" w:type="dxa"/>
          </w:tcPr>
          <w:p w14:paraId="3D0998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МИ3</w:t>
            </w:r>
          </w:p>
        </w:tc>
        <w:tc>
          <w:tcPr>
            <w:tcW w:w="851" w:type="dxa"/>
          </w:tcPr>
          <w:p w14:paraId="341A0F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w:t>
            </w:r>
          </w:p>
        </w:tc>
        <w:tc>
          <w:tcPr>
            <w:tcW w:w="848" w:type="dxa"/>
          </w:tcPr>
          <w:p w14:paraId="66BF21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1002C3" w:rsidRPr="005E779E" w14:paraId="616F80BA" w14:textId="77777777">
        <w:tc>
          <w:tcPr>
            <w:tcW w:w="2093" w:type="dxa"/>
          </w:tcPr>
          <w:p w14:paraId="411629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Штурмовик</w:t>
            </w:r>
          </w:p>
        </w:tc>
        <w:tc>
          <w:tcPr>
            <w:tcW w:w="992" w:type="dxa"/>
          </w:tcPr>
          <w:p w14:paraId="0A5414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51" w:type="dxa"/>
          </w:tcPr>
          <w:p w14:paraId="569279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ТШ2</w:t>
            </w:r>
          </w:p>
        </w:tc>
        <w:tc>
          <w:tcPr>
            <w:tcW w:w="850" w:type="dxa"/>
          </w:tcPr>
          <w:p w14:paraId="4C5BC0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51" w:type="dxa"/>
          </w:tcPr>
          <w:p w14:paraId="76E770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ТШ3</w:t>
            </w:r>
          </w:p>
        </w:tc>
        <w:tc>
          <w:tcPr>
            <w:tcW w:w="850" w:type="dxa"/>
          </w:tcPr>
          <w:p w14:paraId="27C88B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ТШ3</w:t>
            </w:r>
          </w:p>
        </w:tc>
        <w:tc>
          <w:tcPr>
            <w:tcW w:w="851" w:type="dxa"/>
          </w:tcPr>
          <w:p w14:paraId="539C9D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08" w:type="dxa"/>
          </w:tcPr>
          <w:p w14:paraId="3A4840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ТШ2</w:t>
            </w:r>
          </w:p>
        </w:tc>
        <w:tc>
          <w:tcPr>
            <w:tcW w:w="709" w:type="dxa"/>
          </w:tcPr>
          <w:p w14:paraId="00DFD3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ЛБШ3</w:t>
            </w:r>
          </w:p>
        </w:tc>
        <w:tc>
          <w:tcPr>
            <w:tcW w:w="851" w:type="dxa"/>
          </w:tcPr>
          <w:p w14:paraId="25B853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ЛБШ3</w:t>
            </w:r>
          </w:p>
        </w:tc>
        <w:tc>
          <w:tcPr>
            <w:tcW w:w="848" w:type="dxa"/>
          </w:tcPr>
          <w:p w14:paraId="2B6875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1002C3" w:rsidRPr="005E779E" w14:paraId="79CCA1A0" w14:textId="77777777">
        <w:tc>
          <w:tcPr>
            <w:tcW w:w="2093" w:type="dxa"/>
          </w:tcPr>
          <w:p w14:paraId="0DAA58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B24DC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51" w:type="dxa"/>
          </w:tcPr>
          <w:p w14:paraId="3025EE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ЛШ4</w:t>
            </w:r>
          </w:p>
        </w:tc>
        <w:tc>
          <w:tcPr>
            <w:tcW w:w="850" w:type="dxa"/>
          </w:tcPr>
          <w:p w14:paraId="3A2EA5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51" w:type="dxa"/>
          </w:tcPr>
          <w:p w14:paraId="2A7F2E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ЛШ5</w:t>
            </w:r>
          </w:p>
        </w:tc>
        <w:tc>
          <w:tcPr>
            <w:tcW w:w="850" w:type="dxa"/>
          </w:tcPr>
          <w:p w14:paraId="6C29CB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ЛШ5</w:t>
            </w:r>
          </w:p>
        </w:tc>
        <w:tc>
          <w:tcPr>
            <w:tcW w:w="851" w:type="dxa"/>
          </w:tcPr>
          <w:p w14:paraId="1A8276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08" w:type="dxa"/>
          </w:tcPr>
          <w:p w14:paraId="19F7E1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09" w:type="dxa"/>
          </w:tcPr>
          <w:p w14:paraId="558989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51" w:type="dxa"/>
          </w:tcPr>
          <w:p w14:paraId="186FBC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48" w:type="dxa"/>
          </w:tcPr>
          <w:p w14:paraId="1190C4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1002C3" w:rsidRPr="005E779E" w14:paraId="07759142" w14:textId="77777777">
        <w:tc>
          <w:tcPr>
            <w:tcW w:w="2093" w:type="dxa"/>
          </w:tcPr>
          <w:p w14:paraId="3A6166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Бомбардировщики</w:t>
            </w:r>
          </w:p>
        </w:tc>
        <w:tc>
          <w:tcPr>
            <w:tcW w:w="992" w:type="dxa"/>
          </w:tcPr>
          <w:p w14:paraId="4593A1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ТБ1</w:t>
            </w:r>
          </w:p>
        </w:tc>
        <w:tc>
          <w:tcPr>
            <w:tcW w:w="851" w:type="dxa"/>
          </w:tcPr>
          <w:p w14:paraId="4B96B5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50" w:type="dxa"/>
          </w:tcPr>
          <w:p w14:paraId="6FADD1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51" w:type="dxa"/>
          </w:tcPr>
          <w:p w14:paraId="7A4730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50" w:type="dxa"/>
          </w:tcPr>
          <w:p w14:paraId="180ABE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51" w:type="dxa"/>
          </w:tcPr>
          <w:p w14:paraId="6F368B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ТБ1</w:t>
            </w:r>
          </w:p>
        </w:tc>
        <w:tc>
          <w:tcPr>
            <w:tcW w:w="708" w:type="dxa"/>
          </w:tcPr>
          <w:p w14:paraId="1A9FB9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09" w:type="dxa"/>
          </w:tcPr>
          <w:p w14:paraId="7CACBE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51" w:type="dxa"/>
          </w:tcPr>
          <w:p w14:paraId="0A2806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48" w:type="dxa"/>
          </w:tcPr>
          <w:p w14:paraId="3C9A53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1002C3" w:rsidRPr="005E779E" w14:paraId="290F3531" w14:textId="77777777">
        <w:tc>
          <w:tcPr>
            <w:tcW w:w="2093" w:type="dxa"/>
          </w:tcPr>
          <w:p w14:paraId="445255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5A28A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ТБ3</w:t>
            </w:r>
          </w:p>
        </w:tc>
        <w:tc>
          <w:tcPr>
            <w:tcW w:w="851" w:type="dxa"/>
          </w:tcPr>
          <w:p w14:paraId="67AB6B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ТБ3</w:t>
            </w:r>
          </w:p>
        </w:tc>
        <w:tc>
          <w:tcPr>
            <w:tcW w:w="850" w:type="dxa"/>
          </w:tcPr>
          <w:p w14:paraId="363DFF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w:t>
            </w:r>
          </w:p>
        </w:tc>
        <w:tc>
          <w:tcPr>
            <w:tcW w:w="851" w:type="dxa"/>
          </w:tcPr>
          <w:p w14:paraId="0386FE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w:t>
            </w:r>
          </w:p>
        </w:tc>
        <w:tc>
          <w:tcPr>
            <w:tcW w:w="850" w:type="dxa"/>
          </w:tcPr>
          <w:p w14:paraId="6CE995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w:t>
            </w:r>
          </w:p>
        </w:tc>
        <w:tc>
          <w:tcPr>
            <w:tcW w:w="851" w:type="dxa"/>
          </w:tcPr>
          <w:p w14:paraId="580F9A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w:t>
            </w:r>
          </w:p>
        </w:tc>
        <w:tc>
          <w:tcPr>
            <w:tcW w:w="708" w:type="dxa"/>
          </w:tcPr>
          <w:p w14:paraId="69A63F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w:t>
            </w:r>
          </w:p>
        </w:tc>
        <w:tc>
          <w:tcPr>
            <w:tcW w:w="709" w:type="dxa"/>
          </w:tcPr>
          <w:p w14:paraId="29E36F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w:t>
            </w:r>
          </w:p>
        </w:tc>
        <w:tc>
          <w:tcPr>
            <w:tcW w:w="851" w:type="dxa"/>
          </w:tcPr>
          <w:p w14:paraId="153B8E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w:t>
            </w:r>
          </w:p>
        </w:tc>
        <w:tc>
          <w:tcPr>
            <w:tcW w:w="848" w:type="dxa"/>
          </w:tcPr>
          <w:p w14:paraId="28DC5E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1002C3" w:rsidRPr="005E779E" w14:paraId="48E1B0A0" w14:textId="77777777">
        <w:tc>
          <w:tcPr>
            <w:tcW w:w="2093" w:type="dxa"/>
          </w:tcPr>
          <w:p w14:paraId="477850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DBCA9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АНТ9</w:t>
            </w:r>
          </w:p>
        </w:tc>
        <w:tc>
          <w:tcPr>
            <w:tcW w:w="851" w:type="dxa"/>
          </w:tcPr>
          <w:p w14:paraId="79CC43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АНТ9</w:t>
            </w:r>
          </w:p>
        </w:tc>
        <w:tc>
          <w:tcPr>
            <w:tcW w:w="850" w:type="dxa"/>
          </w:tcPr>
          <w:p w14:paraId="2C39AC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АНТ9</w:t>
            </w:r>
          </w:p>
        </w:tc>
        <w:tc>
          <w:tcPr>
            <w:tcW w:w="851" w:type="dxa"/>
          </w:tcPr>
          <w:p w14:paraId="3BACC8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АНТ9</w:t>
            </w:r>
          </w:p>
        </w:tc>
        <w:tc>
          <w:tcPr>
            <w:tcW w:w="850" w:type="dxa"/>
          </w:tcPr>
          <w:p w14:paraId="6E9502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АНТ9</w:t>
            </w:r>
          </w:p>
        </w:tc>
        <w:tc>
          <w:tcPr>
            <w:tcW w:w="851" w:type="dxa"/>
          </w:tcPr>
          <w:p w14:paraId="657DDE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08" w:type="dxa"/>
          </w:tcPr>
          <w:p w14:paraId="28C182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09" w:type="dxa"/>
          </w:tcPr>
          <w:p w14:paraId="22CA52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51" w:type="dxa"/>
          </w:tcPr>
          <w:p w14:paraId="46C788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48" w:type="dxa"/>
          </w:tcPr>
          <w:p w14:paraId="6FC08C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1002C3" w:rsidRPr="005E779E" w14:paraId="70444B61" w14:textId="77777777">
        <w:tc>
          <w:tcPr>
            <w:tcW w:w="2093" w:type="dxa"/>
          </w:tcPr>
          <w:p w14:paraId="1541B3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49508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К5</w:t>
            </w:r>
          </w:p>
        </w:tc>
        <w:tc>
          <w:tcPr>
            <w:tcW w:w="851" w:type="dxa"/>
          </w:tcPr>
          <w:p w14:paraId="347798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К5</w:t>
            </w:r>
          </w:p>
        </w:tc>
        <w:tc>
          <w:tcPr>
            <w:tcW w:w="850" w:type="dxa"/>
          </w:tcPr>
          <w:p w14:paraId="6B27BB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К5</w:t>
            </w:r>
          </w:p>
        </w:tc>
        <w:tc>
          <w:tcPr>
            <w:tcW w:w="851" w:type="dxa"/>
          </w:tcPr>
          <w:p w14:paraId="6E4645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К5</w:t>
            </w:r>
          </w:p>
        </w:tc>
        <w:tc>
          <w:tcPr>
            <w:tcW w:w="850" w:type="dxa"/>
          </w:tcPr>
          <w:p w14:paraId="18F4CB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К5</w:t>
            </w:r>
          </w:p>
        </w:tc>
        <w:tc>
          <w:tcPr>
            <w:tcW w:w="851" w:type="dxa"/>
          </w:tcPr>
          <w:p w14:paraId="022219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08" w:type="dxa"/>
          </w:tcPr>
          <w:p w14:paraId="713E82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09" w:type="dxa"/>
          </w:tcPr>
          <w:p w14:paraId="061574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51" w:type="dxa"/>
          </w:tcPr>
          <w:p w14:paraId="0033CB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48" w:type="dxa"/>
          </w:tcPr>
          <w:p w14:paraId="5E07E7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1002C3" w:rsidRPr="005E779E" w14:paraId="25AAEF63" w14:textId="77777777">
        <w:tc>
          <w:tcPr>
            <w:tcW w:w="2093" w:type="dxa"/>
          </w:tcPr>
          <w:p w14:paraId="070CB9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E47A1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51" w:type="dxa"/>
          </w:tcPr>
          <w:p w14:paraId="6D1845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50" w:type="dxa"/>
          </w:tcPr>
          <w:p w14:paraId="572CCA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51" w:type="dxa"/>
          </w:tcPr>
          <w:p w14:paraId="6C5FAC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ТБгиг.</w:t>
            </w:r>
          </w:p>
        </w:tc>
        <w:tc>
          <w:tcPr>
            <w:tcW w:w="850" w:type="dxa"/>
          </w:tcPr>
          <w:p w14:paraId="2D5E9F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ТБгиг.</w:t>
            </w:r>
          </w:p>
        </w:tc>
        <w:tc>
          <w:tcPr>
            <w:tcW w:w="851" w:type="dxa"/>
          </w:tcPr>
          <w:p w14:paraId="22117D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08" w:type="dxa"/>
          </w:tcPr>
          <w:p w14:paraId="13FBF0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09" w:type="dxa"/>
          </w:tcPr>
          <w:p w14:paraId="43341D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ТБгиг.</w:t>
            </w:r>
          </w:p>
        </w:tc>
        <w:tc>
          <w:tcPr>
            <w:tcW w:w="851" w:type="dxa"/>
          </w:tcPr>
          <w:p w14:paraId="416532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ТБгиг.</w:t>
            </w:r>
          </w:p>
        </w:tc>
        <w:tc>
          <w:tcPr>
            <w:tcW w:w="848" w:type="dxa"/>
          </w:tcPr>
          <w:p w14:paraId="625303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1002C3" w:rsidRPr="005E779E" w14:paraId="0DC2FA02" w14:textId="77777777">
        <w:tc>
          <w:tcPr>
            <w:tcW w:w="2093" w:type="dxa"/>
          </w:tcPr>
          <w:p w14:paraId="29AE74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4C642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51" w:type="dxa"/>
          </w:tcPr>
          <w:p w14:paraId="64F466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50" w:type="dxa"/>
          </w:tcPr>
          <w:p w14:paraId="0F1E73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51" w:type="dxa"/>
          </w:tcPr>
          <w:p w14:paraId="1E5180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50" w:type="dxa"/>
          </w:tcPr>
          <w:p w14:paraId="37B1B9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СТБ</w:t>
            </w:r>
          </w:p>
        </w:tc>
        <w:tc>
          <w:tcPr>
            <w:tcW w:w="851" w:type="dxa"/>
          </w:tcPr>
          <w:p w14:paraId="381791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08" w:type="dxa"/>
          </w:tcPr>
          <w:p w14:paraId="7B3AD6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09" w:type="dxa"/>
          </w:tcPr>
          <w:p w14:paraId="1B47E1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51" w:type="dxa"/>
          </w:tcPr>
          <w:p w14:paraId="2FA5F2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ПБ</w:t>
            </w:r>
          </w:p>
        </w:tc>
        <w:tc>
          <w:tcPr>
            <w:tcW w:w="848" w:type="dxa"/>
          </w:tcPr>
          <w:p w14:paraId="0C64B0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1002C3" w:rsidRPr="005E779E" w14:paraId="1B8F0316" w14:textId="77777777">
        <w:tc>
          <w:tcPr>
            <w:tcW w:w="2093" w:type="dxa"/>
          </w:tcPr>
          <w:p w14:paraId="0BFDC7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Морск. разв.</w:t>
            </w:r>
          </w:p>
        </w:tc>
        <w:tc>
          <w:tcPr>
            <w:tcW w:w="992" w:type="dxa"/>
          </w:tcPr>
          <w:p w14:paraId="21EC18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С62</w:t>
            </w:r>
          </w:p>
        </w:tc>
        <w:tc>
          <w:tcPr>
            <w:tcW w:w="851" w:type="dxa"/>
          </w:tcPr>
          <w:p w14:paraId="796C50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С62</w:t>
            </w:r>
          </w:p>
        </w:tc>
        <w:tc>
          <w:tcPr>
            <w:tcW w:w="850" w:type="dxa"/>
          </w:tcPr>
          <w:p w14:paraId="4B600A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МБР3</w:t>
            </w:r>
          </w:p>
        </w:tc>
        <w:tc>
          <w:tcPr>
            <w:tcW w:w="851" w:type="dxa"/>
          </w:tcPr>
          <w:p w14:paraId="3E8C95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МБР3</w:t>
            </w:r>
          </w:p>
        </w:tc>
        <w:tc>
          <w:tcPr>
            <w:tcW w:w="850" w:type="dxa"/>
          </w:tcPr>
          <w:p w14:paraId="3256D0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МБР3</w:t>
            </w:r>
          </w:p>
        </w:tc>
        <w:tc>
          <w:tcPr>
            <w:tcW w:w="851" w:type="dxa"/>
          </w:tcPr>
          <w:p w14:paraId="479664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С62</w:t>
            </w:r>
          </w:p>
        </w:tc>
        <w:tc>
          <w:tcPr>
            <w:tcW w:w="708" w:type="dxa"/>
          </w:tcPr>
          <w:p w14:paraId="6F893D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С62</w:t>
            </w:r>
          </w:p>
        </w:tc>
        <w:tc>
          <w:tcPr>
            <w:tcW w:w="709" w:type="dxa"/>
          </w:tcPr>
          <w:p w14:paraId="7F05B4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МБР</w:t>
            </w:r>
          </w:p>
        </w:tc>
        <w:tc>
          <w:tcPr>
            <w:tcW w:w="851" w:type="dxa"/>
          </w:tcPr>
          <w:p w14:paraId="18DEAD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МБР</w:t>
            </w:r>
          </w:p>
        </w:tc>
        <w:tc>
          <w:tcPr>
            <w:tcW w:w="848" w:type="dxa"/>
          </w:tcPr>
          <w:p w14:paraId="31C2DC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1002C3" w:rsidRPr="005E779E" w14:paraId="1B695751" w14:textId="77777777">
        <w:tc>
          <w:tcPr>
            <w:tcW w:w="2093" w:type="dxa"/>
          </w:tcPr>
          <w:p w14:paraId="587633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99E59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51" w:type="dxa"/>
          </w:tcPr>
          <w:p w14:paraId="5AD672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МДР</w:t>
            </w:r>
          </w:p>
        </w:tc>
        <w:tc>
          <w:tcPr>
            <w:tcW w:w="850" w:type="dxa"/>
          </w:tcPr>
          <w:p w14:paraId="70025A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МДР</w:t>
            </w:r>
          </w:p>
        </w:tc>
        <w:tc>
          <w:tcPr>
            <w:tcW w:w="851" w:type="dxa"/>
          </w:tcPr>
          <w:p w14:paraId="254BAB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МДР</w:t>
            </w:r>
          </w:p>
        </w:tc>
        <w:tc>
          <w:tcPr>
            <w:tcW w:w="850" w:type="dxa"/>
          </w:tcPr>
          <w:p w14:paraId="62EFC4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МДР</w:t>
            </w:r>
          </w:p>
        </w:tc>
        <w:tc>
          <w:tcPr>
            <w:tcW w:w="851" w:type="dxa"/>
          </w:tcPr>
          <w:p w14:paraId="234155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08" w:type="dxa"/>
          </w:tcPr>
          <w:p w14:paraId="1C7833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МДР</w:t>
            </w:r>
          </w:p>
        </w:tc>
        <w:tc>
          <w:tcPr>
            <w:tcW w:w="709" w:type="dxa"/>
          </w:tcPr>
          <w:p w14:paraId="4A5AF4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МДР</w:t>
            </w:r>
          </w:p>
        </w:tc>
        <w:tc>
          <w:tcPr>
            <w:tcW w:w="851" w:type="dxa"/>
          </w:tcPr>
          <w:p w14:paraId="1E51B4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48" w:type="dxa"/>
          </w:tcPr>
          <w:p w14:paraId="3F78E1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1002C3" w:rsidRPr="005E779E" w14:paraId="4647B712" w14:textId="77777777">
        <w:tc>
          <w:tcPr>
            <w:tcW w:w="2093" w:type="dxa"/>
          </w:tcPr>
          <w:p w14:paraId="334785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9D1FB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51" w:type="dxa"/>
          </w:tcPr>
          <w:p w14:paraId="679AA7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50" w:type="dxa"/>
          </w:tcPr>
          <w:p w14:paraId="332911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51" w:type="dxa"/>
          </w:tcPr>
          <w:p w14:paraId="499621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МК</w:t>
            </w:r>
          </w:p>
        </w:tc>
        <w:tc>
          <w:tcPr>
            <w:tcW w:w="850" w:type="dxa"/>
          </w:tcPr>
          <w:p w14:paraId="1F9DBC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МК</w:t>
            </w:r>
          </w:p>
        </w:tc>
        <w:tc>
          <w:tcPr>
            <w:tcW w:w="851" w:type="dxa"/>
          </w:tcPr>
          <w:p w14:paraId="015A3F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08" w:type="dxa"/>
          </w:tcPr>
          <w:p w14:paraId="7E4EC1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09" w:type="dxa"/>
          </w:tcPr>
          <w:p w14:paraId="2E5FCC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51" w:type="dxa"/>
          </w:tcPr>
          <w:p w14:paraId="2C2F05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МК</w:t>
            </w:r>
          </w:p>
        </w:tc>
        <w:tc>
          <w:tcPr>
            <w:tcW w:w="848" w:type="dxa"/>
          </w:tcPr>
          <w:p w14:paraId="22E500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1002C3" w:rsidRPr="005E779E" w14:paraId="2D03BFC2" w14:textId="77777777">
        <w:tc>
          <w:tcPr>
            <w:tcW w:w="2093" w:type="dxa"/>
          </w:tcPr>
          <w:p w14:paraId="484718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Морск. Бомбард.</w:t>
            </w:r>
          </w:p>
        </w:tc>
        <w:tc>
          <w:tcPr>
            <w:tcW w:w="992" w:type="dxa"/>
          </w:tcPr>
          <w:p w14:paraId="6A79A8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51" w:type="dxa"/>
          </w:tcPr>
          <w:p w14:paraId="584E06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50" w:type="dxa"/>
          </w:tcPr>
          <w:p w14:paraId="4459A6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51" w:type="dxa"/>
          </w:tcPr>
          <w:p w14:paraId="3E46A5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50" w:type="dxa"/>
          </w:tcPr>
          <w:p w14:paraId="3757D3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МТБ</w:t>
            </w:r>
          </w:p>
        </w:tc>
        <w:tc>
          <w:tcPr>
            <w:tcW w:w="851" w:type="dxa"/>
          </w:tcPr>
          <w:p w14:paraId="3F6373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08" w:type="dxa"/>
          </w:tcPr>
          <w:p w14:paraId="6551B3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09" w:type="dxa"/>
          </w:tcPr>
          <w:p w14:paraId="0A4F38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51" w:type="dxa"/>
          </w:tcPr>
          <w:p w14:paraId="1C483E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48" w:type="dxa"/>
          </w:tcPr>
          <w:p w14:paraId="1A7F9F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1002C3" w:rsidRPr="005E779E" w14:paraId="0C4A0DE3" w14:textId="77777777">
        <w:tc>
          <w:tcPr>
            <w:tcW w:w="2093" w:type="dxa"/>
          </w:tcPr>
          <w:p w14:paraId="03E039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Специальн.</w:t>
            </w:r>
          </w:p>
        </w:tc>
        <w:tc>
          <w:tcPr>
            <w:tcW w:w="992" w:type="dxa"/>
          </w:tcPr>
          <w:p w14:paraId="4C0B2D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51" w:type="dxa"/>
          </w:tcPr>
          <w:p w14:paraId="63E642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50" w:type="dxa"/>
          </w:tcPr>
          <w:p w14:paraId="1389E5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51" w:type="dxa"/>
          </w:tcPr>
          <w:p w14:paraId="2C29D6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КОР</w:t>
            </w:r>
          </w:p>
        </w:tc>
        <w:tc>
          <w:tcPr>
            <w:tcW w:w="850" w:type="dxa"/>
          </w:tcPr>
          <w:p w14:paraId="5C14D1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КОР</w:t>
            </w:r>
          </w:p>
        </w:tc>
        <w:tc>
          <w:tcPr>
            <w:tcW w:w="851" w:type="dxa"/>
          </w:tcPr>
          <w:p w14:paraId="25AB2A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08" w:type="dxa"/>
          </w:tcPr>
          <w:p w14:paraId="327F1D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09" w:type="dxa"/>
          </w:tcPr>
          <w:p w14:paraId="5198C7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51" w:type="dxa"/>
          </w:tcPr>
          <w:p w14:paraId="6D1EB8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48" w:type="dxa"/>
          </w:tcPr>
          <w:p w14:paraId="4EA789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1002C3" w:rsidRPr="005E779E" w14:paraId="14EC6DE9" w14:textId="77777777">
        <w:tc>
          <w:tcPr>
            <w:tcW w:w="2093" w:type="dxa"/>
          </w:tcPr>
          <w:p w14:paraId="10036D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E8F45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51" w:type="dxa"/>
          </w:tcPr>
          <w:p w14:paraId="09588A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50" w:type="dxa"/>
          </w:tcPr>
          <w:p w14:paraId="24B39F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51" w:type="dxa"/>
          </w:tcPr>
          <w:p w14:paraId="19EE9E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СПЛ</w:t>
            </w:r>
          </w:p>
        </w:tc>
        <w:tc>
          <w:tcPr>
            <w:tcW w:w="850" w:type="dxa"/>
          </w:tcPr>
          <w:p w14:paraId="7250BD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СПЛ</w:t>
            </w:r>
          </w:p>
        </w:tc>
        <w:tc>
          <w:tcPr>
            <w:tcW w:w="851" w:type="dxa"/>
          </w:tcPr>
          <w:p w14:paraId="1E7C18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08" w:type="dxa"/>
          </w:tcPr>
          <w:p w14:paraId="19D16A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09" w:type="dxa"/>
          </w:tcPr>
          <w:p w14:paraId="11F4BF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51" w:type="dxa"/>
          </w:tcPr>
          <w:p w14:paraId="7553A0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48" w:type="dxa"/>
          </w:tcPr>
          <w:p w14:paraId="2452BB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1002C3" w:rsidRPr="005E779E" w14:paraId="040FDA0F" w14:textId="77777777">
        <w:tc>
          <w:tcPr>
            <w:tcW w:w="2093" w:type="dxa"/>
          </w:tcPr>
          <w:p w14:paraId="4D4131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9039C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51" w:type="dxa"/>
          </w:tcPr>
          <w:p w14:paraId="7A9436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50" w:type="dxa"/>
          </w:tcPr>
          <w:p w14:paraId="22EB26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51" w:type="dxa"/>
          </w:tcPr>
          <w:p w14:paraId="323BA3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МФС</w:t>
            </w:r>
          </w:p>
        </w:tc>
        <w:tc>
          <w:tcPr>
            <w:tcW w:w="850" w:type="dxa"/>
          </w:tcPr>
          <w:p w14:paraId="34F075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МФС</w:t>
            </w:r>
          </w:p>
        </w:tc>
        <w:tc>
          <w:tcPr>
            <w:tcW w:w="851" w:type="dxa"/>
          </w:tcPr>
          <w:p w14:paraId="07CB37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08" w:type="dxa"/>
          </w:tcPr>
          <w:p w14:paraId="1A22DD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09" w:type="dxa"/>
          </w:tcPr>
          <w:p w14:paraId="4693B8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51" w:type="dxa"/>
          </w:tcPr>
          <w:p w14:paraId="2C2037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48" w:type="dxa"/>
          </w:tcPr>
          <w:p w14:paraId="6AF2EA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1002C3" w:rsidRPr="005E779E" w14:paraId="1B4D1E1B" w14:textId="77777777">
        <w:tc>
          <w:tcPr>
            <w:tcW w:w="2093" w:type="dxa"/>
          </w:tcPr>
          <w:p w14:paraId="6F2D2D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Учебные</w:t>
            </w:r>
          </w:p>
        </w:tc>
        <w:tc>
          <w:tcPr>
            <w:tcW w:w="992" w:type="dxa"/>
          </w:tcPr>
          <w:p w14:paraId="3324DB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У2</w:t>
            </w:r>
          </w:p>
        </w:tc>
        <w:tc>
          <w:tcPr>
            <w:tcW w:w="851" w:type="dxa"/>
          </w:tcPr>
          <w:p w14:paraId="281130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У2</w:t>
            </w:r>
          </w:p>
        </w:tc>
        <w:tc>
          <w:tcPr>
            <w:tcW w:w="850" w:type="dxa"/>
          </w:tcPr>
          <w:p w14:paraId="3676B1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У2</w:t>
            </w:r>
          </w:p>
        </w:tc>
        <w:tc>
          <w:tcPr>
            <w:tcW w:w="851" w:type="dxa"/>
          </w:tcPr>
          <w:p w14:paraId="02927E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У2</w:t>
            </w:r>
          </w:p>
        </w:tc>
        <w:tc>
          <w:tcPr>
            <w:tcW w:w="850" w:type="dxa"/>
          </w:tcPr>
          <w:p w14:paraId="49180A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w:t>
            </w:r>
          </w:p>
        </w:tc>
        <w:tc>
          <w:tcPr>
            <w:tcW w:w="851" w:type="dxa"/>
          </w:tcPr>
          <w:p w14:paraId="3A5FF2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У2</w:t>
            </w:r>
          </w:p>
        </w:tc>
        <w:tc>
          <w:tcPr>
            <w:tcW w:w="708" w:type="dxa"/>
          </w:tcPr>
          <w:p w14:paraId="0DF2E8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У2</w:t>
            </w:r>
          </w:p>
        </w:tc>
        <w:tc>
          <w:tcPr>
            <w:tcW w:w="709" w:type="dxa"/>
          </w:tcPr>
          <w:p w14:paraId="3AC8E0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У2, МУ3</w:t>
            </w:r>
          </w:p>
        </w:tc>
        <w:tc>
          <w:tcPr>
            <w:tcW w:w="851" w:type="dxa"/>
          </w:tcPr>
          <w:p w14:paraId="474FAE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У2, МУ3</w:t>
            </w:r>
          </w:p>
        </w:tc>
        <w:tc>
          <w:tcPr>
            <w:tcW w:w="848" w:type="dxa"/>
          </w:tcPr>
          <w:p w14:paraId="56D3ED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1002C3" w:rsidRPr="005E779E" w14:paraId="3E914E72" w14:textId="77777777">
        <w:tc>
          <w:tcPr>
            <w:tcW w:w="2093" w:type="dxa"/>
          </w:tcPr>
          <w:p w14:paraId="7888AA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DF48A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51" w:type="dxa"/>
          </w:tcPr>
          <w:p w14:paraId="197D1B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50" w:type="dxa"/>
          </w:tcPr>
          <w:p w14:paraId="6F87BB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51" w:type="dxa"/>
          </w:tcPr>
          <w:p w14:paraId="4520B7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С1</w:t>
            </w:r>
          </w:p>
        </w:tc>
        <w:tc>
          <w:tcPr>
            <w:tcW w:w="850" w:type="dxa"/>
          </w:tcPr>
          <w:p w14:paraId="131FE2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С1</w:t>
            </w:r>
          </w:p>
        </w:tc>
        <w:tc>
          <w:tcPr>
            <w:tcW w:w="851" w:type="dxa"/>
          </w:tcPr>
          <w:p w14:paraId="494BFD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08" w:type="dxa"/>
          </w:tcPr>
          <w:p w14:paraId="034ED8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09" w:type="dxa"/>
          </w:tcPr>
          <w:p w14:paraId="02C8B8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51" w:type="dxa"/>
          </w:tcPr>
          <w:p w14:paraId="695CD0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48" w:type="dxa"/>
          </w:tcPr>
          <w:p w14:paraId="28B839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bl>
    <w:p w14:paraId="677B3F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(351).</w:t>
      </w:r>
    </w:p>
    <w:p w14:paraId="7E4DA9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Количество типов самолетов, намеченных УВВС и ОКБ в серии в 1931-1934 гг. (сравнительная таблица)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1002C3" w:rsidRPr="005E779E" w14:paraId="560866CE" w14:textId="77777777">
        <w:tc>
          <w:tcPr>
            <w:tcW w:w="3757" w:type="dxa"/>
          </w:tcPr>
          <w:p w14:paraId="047021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w:t>
            </w:r>
          </w:p>
        </w:tc>
        <w:tc>
          <w:tcPr>
            <w:tcW w:w="3757" w:type="dxa"/>
          </w:tcPr>
          <w:p w14:paraId="5CCCCF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Намеч. УВВС</w:t>
            </w:r>
          </w:p>
        </w:tc>
        <w:tc>
          <w:tcPr>
            <w:tcW w:w="3757" w:type="dxa"/>
          </w:tcPr>
          <w:p w14:paraId="383B4D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 И7, Р1, Р5, Р6, ТБ1, У2</w:t>
            </w:r>
          </w:p>
        </w:tc>
      </w:tr>
      <w:tr w:rsidR="001002C3" w:rsidRPr="005E779E" w14:paraId="2F3BFB57" w14:textId="77777777">
        <w:tc>
          <w:tcPr>
            <w:tcW w:w="3757" w:type="dxa"/>
          </w:tcPr>
          <w:p w14:paraId="1B5CE0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55241F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Намеч. ОКБ</w:t>
            </w:r>
          </w:p>
        </w:tc>
        <w:tc>
          <w:tcPr>
            <w:tcW w:w="3757" w:type="dxa"/>
          </w:tcPr>
          <w:p w14:paraId="65DECB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 И7, Р1, Р5, Р6, ТБ1, У2, АНТ9, К5</w:t>
            </w:r>
          </w:p>
        </w:tc>
      </w:tr>
      <w:tr w:rsidR="001002C3" w:rsidRPr="005E779E" w14:paraId="039B40EB" w14:textId="77777777">
        <w:tc>
          <w:tcPr>
            <w:tcW w:w="3757" w:type="dxa"/>
          </w:tcPr>
          <w:p w14:paraId="2B2609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1932</w:t>
            </w:r>
          </w:p>
        </w:tc>
        <w:tc>
          <w:tcPr>
            <w:tcW w:w="3757" w:type="dxa"/>
          </w:tcPr>
          <w:p w14:paraId="6D599F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Намеч. УВВС</w:t>
            </w:r>
          </w:p>
        </w:tc>
        <w:tc>
          <w:tcPr>
            <w:tcW w:w="3757" w:type="dxa"/>
          </w:tcPr>
          <w:p w14:paraId="225074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 И7, ДИ3, ТШ2, Р5, Р6, ТБ, -, -, С62, У2</w:t>
            </w:r>
          </w:p>
        </w:tc>
      </w:tr>
      <w:tr w:rsidR="001002C3" w:rsidRPr="005E779E" w14:paraId="7CD86A50" w14:textId="77777777">
        <w:tc>
          <w:tcPr>
            <w:tcW w:w="3757" w:type="dxa"/>
          </w:tcPr>
          <w:p w14:paraId="76162B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4B7F38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Намеч. ОКБ</w:t>
            </w:r>
          </w:p>
        </w:tc>
        <w:tc>
          <w:tcPr>
            <w:tcW w:w="3757" w:type="dxa"/>
          </w:tcPr>
          <w:p w14:paraId="6A98A3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 -, -, ТШ2, Р5, Р6, ТБ3, АНТ9, К5, С62, МДР, У2</w:t>
            </w:r>
          </w:p>
        </w:tc>
      </w:tr>
      <w:tr w:rsidR="001002C3" w:rsidRPr="005E779E" w14:paraId="26565BC6" w14:textId="77777777">
        <w:tc>
          <w:tcPr>
            <w:tcW w:w="3757" w:type="dxa"/>
          </w:tcPr>
          <w:p w14:paraId="157388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1933</w:t>
            </w:r>
          </w:p>
        </w:tc>
        <w:tc>
          <w:tcPr>
            <w:tcW w:w="3757" w:type="dxa"/>
          </w:tcPr>
          <w:p w14:paraId="0C5614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Намеч. УВВС</w:t>
            </w:r>
          </w:p>
        </w:tc>
        <w:tc>
          <w:tcPr>
            <w:tcW w:w="3757" w:type="dxa"/>
          </w:tcPr>
          <w:p w14:paraId="5D6C7F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ИП1, ДИП1, МИ3, Р8, Р9, ЛБШ3, ТБ3, ТБ4, МДР3, У2, МУ3</w:t>
            </w:r>
          </w:p>
        </w:tc>
      </w:tr>
      <w:tr w:rsidR="001002C3" w:rsidRPr="005E779E" w14:paraId="499AD04C" w14:textId="77777777">
        <w:tc>
          <w:tcPr>
            <w:tcW w:w="3757" w:type="dxa"/>
          </w:tcPr>
          <w:p w14:paraId="5A0B90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08B902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Намеч. ОКБ</w:t>
            </w:r>
          </w:p>
        </w:tc>
        <w:tc>
          <w:tcPr>
            <w:tcW w:w="3757" w:type="dxa"/>
          </w:tcPr>
          <w:p w14:paraId="3C9C0C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 Илин., -, Р5, -, -, ТБ, -, МДР, ИБР3, У2, -, Р6, АНТ9, К5</w:t>
            </w:r>
          </w:p>
        </w:tc>
      </w:tr>
      <w:tr w:rsidR="001002C3" w:rsidRPr="005E779E" w14:paraId="1EEE05CC" w14:textId="77777777">
        <w:tc>
          <w:tcPr>
            <w:tcW w:w="3757" w:type="dxa"/>
          </w:tcPr>
          <w:p w14:paraId="5335C1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1934</w:t>
            </w:r>
          </w:p>
        </w:tc>
        <w:tc>
          <w:tcPr>
            <w:tcW w:w="3757" w:type="dxa"/>
          </w:tcPr>
          <w:p w14:paraId="5042FB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Намеч. УВВС</w:t>
            </w:r>
          </w:p>
        </w:tc>
        <w:tc>
          <w:tcPr>
            <w:tcW w:w="3757" w:type="dxa"/>
          </w:tcPr>
          <w:p w14:paraId="34B856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ИП1, ДИП, К1, -, Р10, -, ВС2, ПБ1, Х1, ЛБШ3, ТБ3, ТБ4, МК, МБР3, -, У2, - МУ3, -, -, -, -, -</w:t>
            </w:r>
          </w:p>
        </w:tc>
      </w:tr>
      <w:tr w:rsidR="001002C3" w:rsidRPr="005E779E" w14:paraId="21456A60" w14:textId="77777777">
        <w:tc>
          <w:tcPr>
            <w:tcW w:w="3757" w:type="dxa"/>
          </w:tcPr>
          <w:p w14:paraId="2C612D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271902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Намеч. ОКБ</w:t>
            </w:r>
          </w:p>
        </w:tc>
        <w:tc>
          <w:tcPr>
            <w:tcW w:w="3757" w:type="dxa"/>
          </w:tcPr>
          <w:p w14:paraId="058A2F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Ипул., Илин., ДИ, -, МИ3, Р10, Р, -, -, -, -, ТБ, ТБгиг., МК, МБР3, МДР, У2, С1, -, АНТ9, К5, КОР, СПЛ, МФС</w:t>
            </w:r>
          </w:p>
        </w:tc>
      </w:tr>
    </w:tbl>
    <w:p w14:paraId="7F0EB0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(351).</w:t>
      </w:r>
    </w:p>
    <w:p w14:paraId="719DBC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августа 1931 подготовлена таблица:</w:t>
      </w:r>
    </w:p>
    <w:p w14:paraId="4B4F0C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Потребность в моторах по типам</w:t>
      </w:r>
    </w:p>
    <w:p w14:paraId="328F37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Вариант 1-й: на самолеты ставятся моторы, написанные под чертой в графе “количество”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1002C3" w:rsidRPr="005E779E" w14:paraId="1A1022CF" w14:textId="77777777">
        <w:tc>
          <w:tcPr>
            <w:tcW w:w="5604" w:type="dxa"/>
            <w:gridSpan w:val="3"/>
            <w:tcBorders>
              <w:top w:val="single" w:sz="12" w:space="0" w:color="auto"/>
            </w:tcBorders>
          </w:tcPr>
          <w:p w14:paraId="3B459A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1933</w:t>
            </w:r>
          </w:p>
        </w:tc>
        <w:tc>
          <w:tcPr>
            <w:tcW w:w="5604" w:type="dxa"/>
            <w:gridSpan w:val="3"/>
            <w:tcBorders>
              <w:top w:val="single" w:sz="12" w:space="0" w:color="auto"/>
            </w:tcBorders>
          </w:tcPr>
          <w:p w14:paraId="7852C3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1934</w:t>
            </w:r>
          </w:p>
        </w:tc>
      </w:tr>
      <w:tr w:rsidR="001002C3" w:rsidRPr="005E779E" w14:paraId="34B01ED2" w14:textId="77777777">
        <w:tc>
          <w:tcPr>
            <w:tcW w:w="1868" w:type="dxa"/>
          </w:tcPr>
          <w:p w14:paraId="781415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Наименование</w:t>
            </w:r>
          </w:p>
        </w:tc>
        <w:tc>
          <w:tcPr>
            <w:tcW w:w="1868" w:type="dxa"/>
          </w:tcPr>
          <w:p w14:paraId="357944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Количество норм. вариантов</w:t>
            </w:r>
          </w:p>
        </w:tc>
        <w:tc>
          <w:tcPr>
            <w:tcW w:w="1868" w:type="dxa"/>
          </w:tcPr>
          <w:p w14:paraId="08412C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Примечание</w:t>
            </w:r>
          </w:p>
        </w:tc>
        <w:tc>
          <w:tcPr>
            <w:tcW w:w="1868" w:type="dxa"/>
          </w:tcPr>
          <w:p w14:paraId="474F87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Наименование</w:t>
            </w:r>
          </w:p>
        </w:tc>
        <w:tc>
          <w:tcPr>
            <w:tcW w:w="1868" w:type="dxa"/>
          </w:tcPr>
          <w:p w14:paraId="5102E8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Количество норм. вариантов</w:t>
            </w:r>
          </w:p>
        </w:tc>
        <w:tc>
          <w:tcPr>
            <w:tcW w:w="1868" w:type="dxa"/>
          </w:tcPr>
          <w:p w14:paraId="779F48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Примечание</w:t>
            </w:r>
          </w:p>
        </w:tc>
      </w:tr>
      <w:tr w:rsidR="001002C3" w:rsidRPr="005E779E" w14:paraId="78F25BA6" w14:textId="77777777">
        <w:tc>
          <w:tcPr>
            <w:tcW w:w="1868" w:type="dxa"/>
          </w:tcPr>
          <w:p w14:paraId="639B3C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М11 - Ж6</w:t>
            </w:r>
          </w:p>
        </w:tc>
        <w:tc>
          <w:tcPr>
            <w:tcW w:w="1868" w:type="dxa"/>
          </w:tcPr>
          <w:p w14:paraId="555A94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2400</w:t>
            </w:r>
          </w:p>
        </w:tc>
        <w:tc>
          <w:tcPr>
            <w:tcW w:w="1868" w:type="dxa"/>
          </w:tcPr>
          <w:p w14:paraId="0F107E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06C266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6AEE27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2400</w:t>
            </w:r>
          </w:p>
        </w:tc>
        <w:tc>
          <w:tcPr>
            <w:tcW w:w="1868" w:type="dxa"/>
          </w:tcPr>
          <w:p w14:paraId="4D7ABE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5E779E" w14:paraId="6D919EEF" w14:textId="77777777">
        <w:tc>
          <w:tcPr>
            <w:tcW w:w="1868" w:type="dxa"/>
          </w:tcPr>
          <w:p w14:paraId="04B2D6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М12, 22, РЦ</w:t>
            </w:r>
          </w:p>
        </w:tc>
        <w:tc>
          <w:tcPr>
            <w:tcW w:w="1868" w:type="dxa"/>
          </w:tcPr>
          <w:p w14:paraId="5BE96A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3600</w:t>
            </w:r>
          </w:p>
        </w:tc>
        <w:tc>
          <w:tcPr>
            <w:tcW w:w="1868" w:type="dxa"/>
          </w:tcPr>
          <w:p w14:paraId="24AB3D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58693A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57EAFD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5070</w:t>
            </w:r>
          </w:p>
        </w:tc>
        <w:tc>
          <w:tcPr>
            <w:tcW w:w="1868" w:type="dxa"/>
          </w:tcPr>
          <w:p w14:paraId="6D18DA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5E779E" w14:paraId="2DDE585E" w14:textId="77777777">
        <w:tc>
          <w:tcPr>
            <w:tcW w:w="1868" w:type="dxa"/>
          </w:tcPr>
          <w:p w14:paraId="068B35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М26</w:t>
            </w:r>
          </w:p>
        </w:tc>
        <w:tc>
          <w:tcPr>
            <w:tcW w:w="1868" w:type="dxa"/>
          </w:tcPr>
          <w:p w14:paraId="259CDB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1800</w:t>
            </w:r>
          </w:p>
        </w:tc>
        <w:tc>
          <w:tcPr>
            <w:tcW w:w="1868" w:type="dxa"/>
          </w:tcPr>
          <w:p w14:paraId="0D982D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22292D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20BEE6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2250</w:t>
            </w:r>
          </w:p>
        </w:tc>
        <w:tc>
          <w:tcPr>
            <w:tcW w:w="1868" w:type="dxa"/>
          </w:tcPr>
          <w:p w14:paraId="56A5B3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5E779E" w14:paraId="365184F3" w14:textId="77777777">
        <w:tc>
          <w:tcPr>
            <w:tcW w:w="1868" w:type="dxa"/>
          </w:tcPr>
          <w:p w14:paraId="45F0CB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М38</w:t>
            </w:r>
          </w:p>
        </w:tc>
        <w:tc>
          <w:tcPr>
            <w:tcW w:w="1868" w:type="dxa"/>
          </w:tcPr>
          <w:p w14:paraId="41B697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w:t>
            </w:r>
          </w:p>
        </w:tc>
        <w:tc>
          <w:tcPr>
            <w:tcW w:w="1868" w:type="dxa"/>
          </w:tcPr>
          <w:p w14:paraId="14F179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0EC6BE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797720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3000</w:t>
            </w:r>
          </w:p>
        </w:tc>
        <w:tc>
          <w:tcPr>
            <w:tcW w:w="1868" w:type="dxa"/>
          </w:tcPr>
          <w:p w14:paraId="6A1EAF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заменяется на М22</w:t>
            </w:r>
          </w:p>
        </w:tc>
      </w:tr>
      <w:tr w:rsidR="001002C3" w:rsidRPr="005E779E" w14:paraId="62A409D5" w14:textId="77777777">
        <w:tc>
          <w:tcPr>
            <w:tcW w:w="1868" w:type="dxa"/>
          </w:tcPr>
          <w:p w14:paraId="70663F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Моторов воздушного охлаждения</w:t>
            </w:r>
          </w:p>
        </w:tc>
        <w:tc>
          <w:tcPr>
            <w:tcW w:w="1868" w:type="dxa"/>
          </w:tcPr>
          <w:p w14:paraId="1DA03B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7800</w:t>
            </w:r>
          </w:p>
        </w:tc>
        <w:tc>
          <w:tcPr>
            <w:tcW w:w="1868" w:type="dxa"/>
          </w:tcPr>
          <w:p w14:paraId="2721B5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5343A8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6595E4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12720</w:t>
            </w:r>
          </w:p>
        </w:tc>
        <w:tc>
          <w:tcPr>
            <w:tcW w:w="1868" w:type="dxa"/>
          </w:tcPr>
          <w:p w14:paraId="427020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5E779E" w14:paraId="4B7BA4B0" w14:textId="77777777">
        <w:tc>
          <w:tcPr>
            <w:tcW w:w="1868" w:type="dxa"/>
          </w:tcPr>
          <w:p w14:paraId="4A1A2C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М17</w:t>
            </w:r>
          </w:p>
        </w:tc>
        <w:tc>
          <w:tcPr>
            <w:tcW w:w="1868" w:type="dxa"/>
          </w:tcPr>
          <w:p w14:paraId="691CFD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3000</w:t>
            </w:r>
          </w:p>
        </w:tc>
        <w:tc>
          <w:tcPr>
            <w:tcW w:w="1868" w:type="dxa"/>
          </w:tcPr>
          <w:p w14:paraId="18334B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 М34 может быть частично заменен М17 на самолетах Р5</w:t>
            </w:r>
          </w:p>
        </w:tc>
        <w:tc>
          <w:tcPr>
            <w:tcW w:w="1868" w:type="dxa"/>
          </w:tcPr>
          <w:p w14:paraId="02DD1A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75048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3600</w:t>
            </w:r>
          </w:p>
        </w:tc>
        <w:tc>
          <w:tcPr>
            <w:tcW w:w="1868" w:type="dxa"/>
          </w:tcPr>
          <w:p w14:paraId="5DFCEF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5E779E" w14:paraId="097F795C" w14:textId="77777777">
        <w:tc>
          <w:tcPr>
            <w:tcW w:w="1868" w:type="dxa"/>
          </w:tcPr>
          <w:p w14:paraId="6169C2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М32</w:t>
            </w:r>
          </w:p>
        </w:tc>
        <w:tc>
          <w:tcPr>
            <w:tcW w:w="1868" w:type="dxa"/>
          </w:tcPr>
          <w:p w14:paraId="315610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w:t>
            </w:r>
          </w:p>
        </w:tc>
        <w:tc>
          <w:tcPr>
            <w:tcW w:w="1868" w:type="dxa"/>
          </w:tcPr>
          <w:p w14:paraId="4DC393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630369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150156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w:t>
            </w:r>
          </w:p>
        </w:tc>
        <w:tc>
          <w:tcPr>
            <w:tcW w:w="1868" w:type="dxa"/>
          </w:tcPr>
          <w:p w14:paraId="6F5E23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5E779E" w14:paraId="7C91C409" w14:textId="77777777">
        <w:tc>
          <w:tcPr>
            <w:tcW w:w="1868" w:type="dxa"/>
          </w:tcPr>
          <w:p w14:paraId="7A5F78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М34</w:t>
            </w:r>
          </w:p>
        </w:tc>
        <w:tc>
          <w:tcPr>
            <w:tcW w:w="1868" w:type="dxa"/>
          </w:tcPr>
          <w:p w14:paraId="3B9E4A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4175</w:t>
            </w:r>
          </w:p>
        </w:tc>
        <w:tc>
          <w:tcPr>
            <w:tcW w:w="1868" w:type="dxa"/>
          </w:tcPr>
          <w:p w14:paraId="42AA2E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15D976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52AAB1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9690</w:t>
            </w:r>
          </w:p>
        </w:tc>
        <w:tc>
          <w:tcPr>
            <w:tcW w:w="1868" w:type="dxa"/>
          </w:tcPr>
          <w:p w14:paraId="7970EF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5E779E" w14:paraId="2AD6E78C" w14:textId="77777777">
        <w:tc>
          <w:tcPr>
            <w:tcW w:w="1868" w:type="dxa"/>
          </w:tcPr>
          <w:p w14:paraId="7F1A76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М36</w:t>
            </w:r>
          </w:p>
        </w:tc>
        <w:tc>
          <w:tcPr>
            <w:tcW w:w="1868" w:type="dxa"/>
          </w:tcPr>
          <w:p w14:paraId="353CD4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w:t>
            </w:r>
          </w:p>
        </w:tc>
        <w:tc>
          <w:tcPr>
            <w:tcW w:w="1868" w:type="dxa"/>
          </w:tcPr>
          <w:p w14:paraId="79B26F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4D6C52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4F9D1A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390</w:t>
            </w:r>
          </w:p>
        </w:tc>
        <w:tc>
          <w:tcPr>
            <w:tcW w:w="1868" w:type="dxa"/>
          </w:tcPr>
          <w:p w14:paraId="58FE32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5E779E" w14:paraId="1429479F" w14:textId="77777777">
        <w:tc>
          <w:tcPr>
            <w:tcW w:w="1868" w:type="dxa"/>
          </w:tcPr>
          <w:p w14:paraId="117DB6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Моторов водяного охлаждения</w:t>
            </w:r>
          </w:p>
        </w:tc>
        <w:tc>
          <w:tcPr>
            <w:tcW w:w="1868" w:type="dxa"/>
          </w:tcPr>
          <w:p w14:paraId="1ECE77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7175</w:t>
            </w:r>
          </w:p>
        </w:tc>
        <w:tc>
          <w:tcPr>
            <w:tcW w:w="1868" w:type="dxa"/>
          </w:tcPr>
          <w:p w14:paraId="71CF56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3A4449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68B75A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13680</w:t>
            </w:r>
          </w:p>
        </w:tc>
        <w:tc>
          <w:tcPr>
            <w:tcW w:w="1868" w:type="dxa"/>
          </w:tcPr>
          <w:p w14:paraId="5D189C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5E779E" w14:paraId="0DCBFA00" w14:textId="77777777">
        <w:tc>
          <w:tcPr>
            <w:tcW w:w="1868" w:type="dxa"/>
            <w:tcBorders>
              <w:bottom w:val="single" w:sz="12" w:space="0" w:color="auto"/>
            </w:tcBorders>
          </w:tcPr>
          <w:p w14:paraId="0EAD5E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w:t>
            </w:r>
          </w:p>
        </w:tc>
        <w:tc>
          <w:tcPr>
            <w:tcW w:w="1868" w:type="dxa"/>
            <w:tcBorders>
              <w:bottom w:val="single" w:sz="12" w:space="0" w:color="auto"/>
            </w:tcBorders>
          </w:tcPr>
          <w:p w14:paraId="2C18CA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14975</w:t>
            </w:r>
          </w:p>
        </w:tc>
        <w:tc>
          <w:tcPr>
            <w:tcW w:w="1868" w:type="dxa"/>
            <w:tcBorders>
              <w:bottom w:val="single" w:sz="12" w:space="0" w:color="auto"/>
            </w:tcBorders>
          </w:tcPr>
          <w:p w14:paraId="4E133B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Borders>
              <w:bottom w:val="single" w:sz="12" w:space="0" w:color="auto"/>
            </w:tcBorders>
          </w:tcPr>
          <w:p w14:paraId="52DED0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Borders>
              <w:bottom w:val="single" w:sz="12" w:space="0" w:color="auto"/>
            </w:tcBorders>
          </w:tcPr>
          <w:p w14:paraId="48F77C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26400</w:t>
            </w:r>
          </w:p>
        </w:tc>
        <w:tc>
          <w:tcPr>
            <w:tcW w:w="1868" w:type="dxa"/>
            <w:tcBorders>
              <w:bottom w:val="single" w:sz="12" w:space="0" w:color="auto"/>
            </w:tcBorders>
          </w:tcPr>
          <w:p w14:paraId="596188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bl>
    <w:p w14:paraId="65428D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Вариант 2-й: истребители строятся под М32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1002C3" w:rsidRPr="005E779E" w14:paraId="2132BA1C" w14:textId="77777777">
        <w:tc>
          <w:tcPr>
            <w:tcW w:w="1868" w:type="dxa"/>
            <w:tcBorders>
              <w:top w:val="single" w:sz="12" w:space="0" w:color="auto"/>
            </w:tcBorders>
          </w:tcPr>
          <w:p w14:paraId="453DDD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715517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6880FC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377239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М22, 15, РЦ</w:t>
            </w:r>
          </w:p>
        </w:tc>
        <w:tc>
          <w:tcPr>
            <w:tcW w:w="1868" w:type="dxa"/>
            <w:tcBorders>
              <w:top w:val="single" w:sz="12" w:space="0" w:color="auto"/>
            </w:tcBorders>
          </w:tcPr>
          <w:p w14:paraId="340758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2370</w:t>
            </w:r>
          </w:p>
        </w:tc>
        <w:tc>
          <w:tcPr>
            <w:tcW w:w="1868" w:type="dxa"/>
            <w:tcBorders>
              <w:top w:val="single" w:sz="12" w:space="0" w:color="auto"/>
            </w:tcBorders>
          </w:tcPr>
          <w:p w14:paraId="18E841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5E779E" w14:paraId="2234F1CE" w14:textId="77777777">
        <w:tc>
          <w:tcPr>
            <w:tcW w:w="1868" w:type="dxa"/>
          </w:tcPr>
          <w:p w14:paraId="321A98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415234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09B864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01F5DA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М38</w:t>
            </w:r>
          </w:p>
        </w:tc>
        <w:tc>
          <w:tcPr>
            <w:tcW w:w="1868" w:type="dxa"/>
          </w:tcPr>
          <w:p w14:paraId="4FC294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w:t>
            </w:r>
          </w:p>
        </w:tc>
        <w:tc>
          <w:tcPr>
            <w:tcW w:w="1868" w:type="dxa"/>
          </w:tcPr>
          <w:p w14:paraId="76B894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5E779E" w14:paraId="23521F17" w14:textId="77777777">
        <w:tc>
          <w:tcPr>
            <w:tcW w:w="1868" w:type="dxa"/>
          </w:tcPr>
          <w:p w14:paraId="642D32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350270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3993BE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73F6CC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М32</w:t>
            </w:r>
          </w:p>
        </w:tc>
        <w:tc>
          <w:tcPr>
            <w:tcW w:w="1868" w:type="dxa"/>
          </w:tcPr>
          <w:p w14:paraId="5E1ECA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5700</w:t>
            </w:r>
          </w:p>
        </w:tc>
        <w:tc>
          <w:tcPr>
            <w:tcW w:w="1868" w:type="dxa"/>
          </w:tcPr>
          <w:p w14:paraId="5E5CA5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5E779E" w14:paraId="4FFFCA08" w14:textId="77777777">
        <w:tc>
          <w:tcPr>
            <w:tcW w:w="1868" w:type="dxa"/>
            <w:tcBorders>
              <w:bottom w:val="single" w:sz="12" w:space="0" w:color="auto"/>
            </w:tcBorders>
          </w:tcPr>
          <w:p w14:paraId="207F78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прочие моторы по варианту 1</w:t>
            </w:r>
          </w:p>
        </w:tc>
        <w:tc>
          <w:tcPr>
            <w:tcW w:w="1868" w:type="dxa"/>
            <w:tcBorders>
              <w:bottom w:val="single" w:sz="12" w:space="0" w:color="auto"/>
            </w:tcBorders>
          </w:tcPr>
          <w:p w14:paraId="554CA9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Borders>
              <w:bottom w:val="single" w:sz="12" w:space="0" w:color="auto"/>
            </w:tcBorders>
          </w:tcPr>
          <w:p w14:paraId="790AA1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Borders>
              <w:bottom w:val="single" w:sz="12" w:space="0" w:color="auto"/>
            </w:tcBorders>
          </w:tcPr>
          <w:p w14:paraId="27EABB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Borders>
              <w:bottom w:val="single" w:sz="12" w:space="0" w:color="auto"/>
            </w:tcBorders>
          </w:tcPr>
          <w:p w14:paraId="731AA0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Borders>
              <w:bottom w:val="single" w:sz="12" w:space="0" w:color="auto"/>
            </w:tcBorders>
          </w:tcPr>
          <w:p w14:paraId="5F941B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bl>
    <w:p w14:paraId="22F66F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Вариант 3-й: вместо ТБ3 принят к постройке ТБ5 на заводу № 18</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1002C3" w:rsidRPr="005E779E" w14:paraId="510D7602" w14:textId="77777777">
        <w:tc>
          <w:tcPr>
            <w:tcW w:w="1868" w:type="dxa"/>
            <w:tcBorders>
              <w:top w:val="single" w:sz="12" w:space="0" w:color="auto"/>
            </w:tcBorders>
          </w:tcPr>
          <w:p w14:paraId="632305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М17</w:t>
            </w:r>
          </w:p>
        </w:tc>
        <w:tc>
          <w:tcPr>
            <w:tcW w:w="1868" w:type="dxa"/>
            <w:tcBorders>
              <w:top w:val="single" w:sz="12" w:space="0" w:color="auto"/>
            </w:tcBorders>
          </w:tcPr>
          <w:p w14:paraId="519C10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1800</w:t>
            </w:r>
          </w:p>
        </w:tc>
        <w:tc>
          <w:tcPr>
            <w:tcW w:w="1868" w:type="dxa"/>
            <w:tcBorders>
              <w:top w:val="single" w:sz="12" w:space="0" w:color="auto"/>
            </w:tcBorders>
          </w:tcPr>
          <w:p w14:paraId="6B370F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Borders>
              <w:top w:val="single" w:sz="12" w:space="0" w:color="auto"/>
            </w:tcBorders>
          </w:tcPr>
          <w:p w14:paraId="3A5CD2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М17</w:t>
            </w:r>
          </w:p>
        </w:tc>
        <w:tc>
          <w:tcPr>
            <w:tcW w:w="1868" w:type="dxa"/>
            <w:tcBorders>
              <w:top w:val="single" w:sz="12" w:space="0" w:color="auto"/>
            </w:tcBorders>
          </w:tcPr>
          <w:p w14:paraId="160B9F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w:t>
            </w:r>
          </w:p>
        </w:tc>
        <w:tc>
          <w:tcPr>
            <w:tcW w:w="1868" w:type="dxa"/>
            <w:tcBorders>
              <w:top w:val="single" w:sz="12" w:space="0" w:color="auto"/>
            </w:tcBorders>
          </w:tcPr>
          <w:p w14:paraId="57040A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5E779E" w14:paraId="7F1103E6" w14:textId="77777777">
        <w:tc>
          <w:tcPr>
            <w:tcW w:w="1868" w:type="dxa"/>
            <w:tcBorders>
              <w:bottom w:val="single" w:sz="12" w:space="0" w:color="auto"/>
            </w:tcBorders>
          </w:tcPr>
          <w:p w14:paraId="0C7512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М22, 15</w:t>
            </w:r>
          </w:p>
        </w:tc>
        <w:tc>
          <w:tcPr>
            <w:tcW w:w="1868" w:type="dxa"/>
            <w:tcBorders>
              <w:bottom w:val="single" w:sz="12" w:space="0" w:color="auto"/>
            </w:tcBorders>
          </w:tcPr>
          <w:p w14:paraId="025C47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4800</w:t>
            </w:r>
          </w:p>
        </w:tc>
        <w:tc>
          <w:tcPr>
            <w:tcW w:w="1868" w:type="dxa"/>
            <w:tcBorders>
              <w:bottom w:val="single" w:sz="12" w:space="0" w:color="auto"/>
            </w:tcBorders>
          </w:tcPr>
          <w:p w14:paraId="293F5D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Borders>
              <w:bottom w:val="single" w:sz="12" w:space="0" w:color="auto"/>
            </w:tcBorders>
          </w:tcPr>
          <w:p w14:paraId="7EE1D0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М22, 15</w:t>
            </w:r>
          </w:p>
        </w:tc>
        <w:tc>
          <w:tcPr>
            <w:tcW w:w="1868" w:type="dxa"/>
            <w:tcBorders>
              <w:bottom w:val="single" w:sz="12" w:space="0" w:color="auto"/>
            </w:tcBorders>
          </w:tcPr>
          <w:p w14:paraId="381277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8670</w:t>
            </w:r>
          </w:p>
        </w:tc>
        <w:tc>
          <w:tcPr>
            <w:tcW w:w="1868" w:type="dxa"/>
            <w:tcBorders>
              <w:bottom w:val="single" w:sz="12" w:space="0" w:color="auto"/>
            </w:tcBorders>
          </w:tcPr>
          <w:p w14:paraId="378B88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bl>
    <w:p w14:paraId="4ACF8E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(351).</w:t>
      </w:r>
    </w:p>
    <w:p w14:paraId="17AA39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августа 1931 подготовлена таблица:</w:t>
      </w:r>
    </w:p>
    <w:p w14:paraId="787E90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Снабжение моторами серийной постройки самолетов</w:t>
      </w:r>
    </w:p>
    <w:p w14:paraId="2A879F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/Моторы, не вошедшие в таблицу, сохраняют количества постройки/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1002C3" w:rsidRPr="005E779E" w14:paraId="11852B9A" w14:textId="77777777">
        <w:tc>
          <w:tcPr>
            <w:tcW w:w="1868" w:type="dxa"/>
            <w:tcBorders>
              <w:top w:val="single" w:sz="12" w:space="0" w:color="auto"/>
            </w:tcBorders>
          </w:tcPr>
          <w:p w14:paraId="3005E8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04" w:type="dxa"/>
            <w:gridSpan w:val="3"/>
            <w:tcBorders>
              <w:top w:val="single" w:sz="12" w:space="0" w:color="auto"/>
            </w:tcBorders>
          </w:tcPr>
          <w:p w14:paraId="6DA5D3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1933</w:t>
            </w:r>
          </w:p>
        </w:tc>
        <w:tc>
          <w:tcPr>
            <w:tcW w:w="3736" w:type="dxa"/>
            <w:gridSpan w:val="2"/>
            <w:tcBorders>
              <w:top w:val="single" w:sz="12" w:space="0" w:color="auto"/>
            </w:tcBorders>
          </w:tcPr>
          <w:p w14:paraId="0DB5C6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1934</w:t>
            </w:r>
          </w:p>
        </w:tc>
      </w:tr>
      <w:tr w:rsidR="001002C3" w:rsidRPr="005E779E" w14:paraId="11C67EDB" w14:textId="77777777">
        <w:tc>
          <w:tcPr>
            <w:tcW w:w="1868" w:type="dxa"/>
          </w:tcPr>
          <w:p w14:paraId="3CE66C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Вариант 2-й</w:t>
            </w:r>
          </w:p>
        </w:tc>
        <w:tc>
          <w:tcPr>
            <w:tcW w:w="1868" w:type="dxa"/>
          </w:tcPr>
          <w:p w14:paraId="6ED164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Марка</w:t>
            </w:r>
          </w:p>
        </w:tc>
        <w:tc>
          <w:tcPr>
            <w:tcW w:w="1868" w:type="dxa"/>
          </w:tcPr>
          <w:p w14:paraId="721A8D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Подача</w:t>
            </w:r>
          </w:p>
        </w:tc>
        <w:tc>
          <w:tcPr>
            <w:tcW w:w="1868" w:type="dxa"/>
          </w:tcPr>
          <w:p w14:paraId="7FA9BB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Потребность</w:t>
            </w:r>
          </w:p>
        </w:tc>
        <w:tc>
          <w:tcPr>
            <w:tcW w:w="1868" w:type="dxa"/>
          </w:tcPr>
          <w:p w14:paraId="2D89E8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Марка</w:t>
            </w:r>
          </w:p>
        </w:tc>
        <w:tc>
          <w:tcPr>
            <w:tcW w:w="1868" w:type="dxa"/>
          </w:tcPr>
          <w:p w14:paraId="1E99EA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Подача</w:t>
            </w:r>
          </w:p>
        </w:tc>
      </w:tr>
      <w:tr w:rsidR="001002C3" w:rsidRPr="005E779E" w14:paraId="77173EF7" w14:textId="77777777">
        <w:tc>
          <w:tcPr>
            <w:tcW w:w="1868" w:type="dxa"/>
          </w:tcPr>
          <w:p w14:paraId="06FD54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Истребители строятся под мотор водяного охлаждения вместо воздушного: под М32 вместо РЦ, М22, М15, М38</w:t>
            </w:r>
          </w:p>
        </w:tc>
        <w:tc>
          <w:tcPr>
            <w:tcW w:w="1868" w:type="dxa"/>
          </w:tcPr>
          <w:p w14:paraId="3F931A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95F92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287F3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495D3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М22</w:t>
            </w:r>
          </w:p>
        </w:tc>
        <w:tc>
          <w:tcPr>
            <w:tcW w:w="1868" w:type="dxa"/>
          </w:tcPr>
          <w:p w14:paraId="22CEEA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5E779E" w14:paraId="4B516BBE" w14:textId="77777777">
        <w:tc>
          <w:tcPr>
            <w:tcW w:w="1868" w:type="dxa"/>
          </w:tcPr>
          <w:p w14:paraId="51D784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540D10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144181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301DDB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0469A7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М15</w:t>
            </w:r>
          </w:p>
        </w:tc>
        <w:tc>
          <w:tcPr>
            <w:tcW w:w="1868" w:type="dxa"/>
          </w:tcPr>
          <w:p w14:paraId="6455D1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5E779E" w14:paraId="034FB95B" w14:textId="77777777">
        <w:tc>
          <w:tcPr>
            <w:tcW w:w="1868" w:type="dxa"/>
          </w:tcPr>
          <w:p w14:paraId="0D9F23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2D2695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3C4345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7BC156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431C17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РЦ</w:t>
            </w:r>
          </w:p>
        </w:tc>
        <w:tc>
          <w:tcPr>
            <w:tcW w:w="1868" w:type="dxa"/>
          </w:tcPr>
          <w:p w14:paraId="27ABC2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5E779E" w14:paraId="1138B41E" w14:textId="77777777">
        <w:tc>
          <w:tcPr>
            <w:tcW w:w="1868" w:type="dxa"/>
          </w:tcPr>
          <w:p w14:paraId="24868A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586A5B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033311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593831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5BD081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М38</w:t>
            </w:r>
          </w:p>
        </w:tc>
        <w:tc>
          <w:tcPr>
            <w:tcW w:w="1868" w:type="dxa"/>
          </w:tcPr>
          <w:p w14:paraId="6908C9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5E779E" w14:paraId="328F050F" w14:textId="77777777">
        <w:tc>
          <w:tcPr>
            <w:tcW w:w="1868" w:type="dxa"/>
          </w:tcPr>
          <w:p w14:paraId="47629C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2D29C7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36CF7A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50A46D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4EFAE4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М22</w:t>
            </w:r>
          </w:p>
        </w:tc>
        <w:tc>
          <w:tcPr>
            <w:tcW w:w="1868" w:type="dxa"/>
          </w:tcPr>
          <w:p w14:paraId="0A1068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5E779E" w14:paraId="29A8E3C9" w14:textId="77777777">
        <w:tc>
          <w:tcPr>
            <w:tcW w:w="1868" w:type="dxa"/>
          </w:tcPr>
          <w:p w14:paraId="33C1E7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Итого излишек воздушного охлаждения</w:t>
            </w:r>
          </w:p>
        </w:tc>
        <w:tc>
          <w:tcPr>
            <w:tcW w:w="1868" w:type="dxa"/>
          </w:tcPr>
          <w:p w14:paraId="30DE6F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605D3E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744357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568A11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09DACA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5E779E" w14:paraId="7C70DB73" w14:textId="77777777">
        <w:tc>
          <w:tcPr>
            <w:tcW w:w="1868" w:type="dxa"/>
          </w:tcPr>
          <w:p w14:paraId="4F3754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Итого недостаток водяного охлаждения</w:t>
            </w:r>
          </w:p>
        </w:tc>
        <w:tc>
          <w:tcPr>
            <w:tcW w:w="1868" w:type="dxa"/>
          </w:tcPr>
          <w:p w14:paraId="18A38C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554FC1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6FAE5F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0FA0DE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298F60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5E779E" w14:paraId="07A4EC4E" w14:textId="77777777">
        <w:tc>
          <w:tcPr>
            <w:tcW w:w="1868" w:type="dxa"/>
          </w:tcPr>
          <w:p w14:paraId="109FBA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Вариант 3-й</w:t>
            </w:r>
          </w:p>
        </w:tc>
        <w:tc>
          <w:tcPr>
            <w:tcW w:w="1868" w:type="dxa"/>
          </w:tcPr>
          <w:p w14:paraId="5ACDEC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2904C2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36A408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4DEA9B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3C4D96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5E779E" w14:paraId="42D4A793" w14:textId="77777777">
        <w:tc>
          <w:tcPr>
            <w:tcW w:w="1868" w:type="dxa"/>
          </w:tcPr>
          <w:p w14:paraId="5D0A21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ТБ строится под мотор воздушного </w:t>
            </w:r>
            <w:r w:rsidRPr="005E779E">
              <w:rPr>
                <w:rFonts w:ascii="Times New Roman" w:hAnsi="Times New Roman"/>
                <w:color w:val="000000" w:themeColor="text1"/>
                <w:sz w:val="16"/>
                <w:szCs w:val="16"/>
              </w:rPr>
              <w:lastRenderedPageBreak/>
              <w:t>охлаждения (строится ТБ5-4М22, М15, РЦ, М38 вместо ТБ3-4М17, М34)</w:t>
            </w:r>
          </w:p>
        </w:tc>
        <w:tc>
          <w:tcPr>
            <w:tcW w:w="1868" w:type="dxa"/>
          </w:tcPr>
          <w:p w14:paraId="68BDFC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М22</w:t>
            </w:r>
          </w:p>
        </w:tc>
        <w:tc>
          <w:tcPr>
            <w:tcW w:w="1868" w:type="dxa"/>
          </w:tcPr>
          <w:p w14:paraId="5B9AD8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5E6A7F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36BAD7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М22</w:t>
            </w:r>
          </w:p>
        </w:tc>
        <w:tc>
          <w:tcPr>
            <w:tcW w:w="1868" w:type="dxa"/>
          </w:tcPr>
          <w:p w14:paraId="38DAF4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5E779E" w14:paraId="6E0F2C1A" w14:textId="77777777">
        <w:tc>
          <w:tcPr>
            <w:tcW w:w="1868" w:type="dxa"/>
          </w:tcPr>
          <w:p w14:paraId="732D89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4FF9C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М15</w:t>
            </w:r>
          </w:p>
        </w:tc>
        <w:tc>
          <w:tcPr>
            <w:tcW w:w="1868" w:type="dxa"/>
          </w:tcPr>
          <w:p w14:paraId="4D3621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2500</w:t>
            </w:r>
          </w:p>
        </w:tc>
        <w:tc>
          <w:tcPr>
            <w:tcW w:w="1868" w:type="dxa"/>
          </w:tcPr>
          <w:p w14:paraId="30B6B1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4800</w:t>
            </w:r>
          </w:p>
        </w:tc>
        <w:tc>
          <w:tcPr>
            <w:tcW w:w="1868" w:type="dxa"/>
          </w:tcPr>
          <w:p w14:paraId="6BB808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М15</w:t>
            </w:r>
          </w:p>
        </w:tc>
        <w:tc>
          <w:tcPr>
            <w:tcW w:w="1868" w:type="dxa"/>
          </w:tcPr>
          <w:p w14:paraId="0E2CF7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5E779E" w14:paraId="283A9D2B" w14:textId="77777777">
        <w:tc>
          <w:tcPr>
            <w:tcW w:w="1868" w:type="dxa"/>
          </w:tcPr>
          <w:p w14:paraId="571BD4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1C6A4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РЦ</w:t>
            </w:r>
          </w:p>
        </w:tc>
        <w:tc>
          <w:tcPr>
            <w:tcW w:w="1868" w:type="dxa"/>
          </w:tcPr>
          <w:p w14:paraId="1CB41E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450035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340BC4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РЦ</w:t>
            </w:r>
          </w:p>
        </w:tc>
        <w:tc>
          <w:tcPr>
            <w:tcW w:w="1868" w:type="dxa"/>
          </w:tcPr>
          <w:p w14:paraId="427547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5E779E" w14:paraId="43F78264" w14:textId="77777777">
        <w:tc>
          <w:tcPr>
            <w:tcW w:w="1868" w:type="dxa"/>
          </w:tcPr>
          <w:p w14:paraId="6BAC42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A7963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М17</w:t>
            </w:r>
          </w:p>
        </w:tc>
        <w:tc>
          <w:tcPr>
            <w:tcW w:w="1868" w:type="dxa"/>
          </w:tcPr>
          <w:p w14:paraId="2DF7E1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6000</w:t>
            </w:r>
          </w:p>
        </w:tc>
        <w:tc>
          <w:tcPr>
            <w:tcW w:w="1868" w:type="dxa"/>
          </w:tcPr>
          <w:p w14:paraId="19A540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1800</w:t>
            </w:r>
          </w:p>
        </w:tc>
        <w:tc>
          <w:tcPr>
            <w:tcW w:w="1868" w:type="dxa"/>
          </w:tcPr>
          <w:p w14:paraId="73B525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М17</w:t>
            </w:r>
          </w:p>
        </w:tc>
        <w:tc>
          <w:tcPr>
            <w:tcW w:w="1868" w:type="dxa"/>
          </w:tcPr>
          <w:p w14:paraId="07758E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5E779E" w14:paraId="7CEA313C" w14:textId="77777777">
        <w:tc>
          <w:tcPr>
            <w:tcW w:w="1868" w:type="dxa"/>
          </w:tcPr>
          <w:p w14:paraId="09520D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Итого излишек воздушного охлаждения</w:t>
            </w:r>
          </w:p>
        </w:tc>
        <w:tc>
          <w:tcPr>
            <w:tcW w:w="1868" w:type="dxa"/>
          </w:tcPr>
          <w:p w14:paraId="2BE437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D3457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C03CD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4200</w:t>
            </w:r>
          </w:p>
        </w:tc>
        <w:tc>
          <w:tcPr>
            <w:tcW w:w="1868" w:type="dxa"/>
          </w:tcPr>
          <w:p w14:paraId="08F90B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542C0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5E779E" w14:paraId="00DB14F0" w14:textId="77777777">
        <w:tc>
          <w:tcPr>
            <w:tcW w:w="1868" w:type="dxa"/>
          </w:tcPr>
          <w:p w14:paraId="3F6FCB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Итого недостаток водяного охлаждения</w:t>
            </w:r>
          </w:p>
        </w:tc>
        <w:tc>
          <w:tcPr>
            <w:tcW w:w="1868" w:type="dxa"/>
          </w:tcPr>
          <w:p w14:paraId="3EE56F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2F3A8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8A304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2300</w:t>
            </w:r>
          </w:p>
        </w:tc>
        <w:tc>
          <w:tcPr>
            <w:tcW w:w="1868" w:type="dxa"/>
          </w:tcPr>
          <w:p w14:paraId="00ED9C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68755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5E779E" w14:paraId="2A9189B1" w14:textId="77777777">
        <w:tc>
          <w:tcPr>
            <w:tcW w:w="1868" w:type="dxa"/>
          </w:tcPr>
          <w:p w14:paraId="6FBEF0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случае совмещения 2 и 3 вариантов</w:t>
            </w:r>
          </w:p>
        </w:tc>
        <w:tc>
          <w:tcPr>
            <w:tcW w:w="1868" w:type="dxa"/>
          </w:tcPr>
          <w:p w14:paraId="0B217E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EEE3F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4F586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A2D20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03ACB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C7BE2D0" w14:textId="77777777">
        <w:tc>
          <w:tcPr>
            <w:tcW w:w="1868" w:type="dxa"/>
          </w:tcPr>
          <w:p w14:paraId="2C5C06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Итого излишек воздушного охлаждения</w:t>
            </w:r>
          </w:p>
        </w:tc>
        <w:tc>
          <w:tcPr>
            <w:tcW w:w="1868" w:type="dxa"/>
          </w:tcPr>
          <w:p w14:paraId="61833B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29C98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C87D3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868" w:type="dxa"/>
          </w:tcPr>
          <w:p w14:paraId="11CD13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36D8B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5E779E" w14:paraId="0277DDDF" w14:textId="77777777">
        <w:tc>
          <w:tcPr>
            <w:tcW w:w="1868" w:type="dxa"/>
          </w:tcPr>
          <w:p w14:paraId="57B919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Итого недостаток водяного охлаждения</w:t>
            </w:r>
          </w:p>
        </w:tc>
        <w:tc>
          <w:tcPr>
            <w:tcW w:w="1868" w:type="dxa"/>
          </w:tcPr>
          <w:p w14:paraId="731EED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49539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BDCD1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4200</w:t>
            </w:r>
          </w:p>
        </w:tc>
        <w:tc>
          <w:tcPr>
            <w:tcW w:w="1868" w:type="dxa"/>
          </w:tcPr>
          <w:p w14:paraId="116009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C66E5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5E779E" w14:paraId="004170C8" w14:textId="77777777">
        <w:tc>
          <w:tcPr>
            <w:tcW w:w="1868" w:type="dxa"/>
          </w:tcPr>
          <w:p w14:paraId="4B8763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 недостаток воздушного охлаждения</w:t>
            </w:r>
          </w:p>
        </w:tc>
        <w:tc>
          <w:tcPr>
            <w:tcW w:w="1868" w:type="dxa"/>
          </w:tcPr>
          <w:p w14:paraId="23F33F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5DB30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4DB35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868" w:type="dxa"/>
          </w:tcPr>
          <w:p w14:paraId="68A347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B0595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5E779E" w14:paraId="3D0D8DFA" w14:textId="77777777">
        <w:tc>
          <w:tcPr>
            <w:tcW w:w="1868" w:type="dxa"/>
          </w:tcPr>
          <w:p w14:paraId="69904C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 излишек водяного охлаждения</w:t>
            </w:r>
          </w:p>
        </w:tc>
        <w:tc>
          <w:tcPr>
            <w:tcW w:w="1868" w:type="dxa"/>
          </w:tcPr>
          <w:p w14:paraId="5FCFB1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DCD2E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38DB4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2300</w:t>
            </w:r>
          </w:p>
        </w:tc>
        <w:tc>
          <w:tcPr>
            <w:tcW w:w="1868" w:type="dxa"/>
          </w:tcPr>
          <w:p w14:paraId="6E5FF3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21F7D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1002C3" w:rsidRPr="005E779E" w14:paraId="535700E1" w14:textId="77777777">
        <w:tc>
          <w:tcPr>
            <w:tcW w:w="1868" w:type="dxa"/>
            <w:tcBorders>
              <w:bottom w:val="single" w:sz="12" w:space="0" w:color="auto"/>
            </w:tcBorders>
          </w:tcPr>
          <w:p w14:paraId="4C0C8E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w:t>
            </w:r>
          </w:p>
        </w:tc>
        <w:tc>
          <w:tcPr>
            <w:tcW w:w="5604" w:type="dxa"/>
            <w:gridSpan w:val="3"/>
            <w:tcBorders>
              <w:bottom w:val="single" w:sz="12" w:space="0" w:color="auto"/>
            </w:tcBorders>
          </w:tcPr>
          <w:p w14:paraId="18C1E1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Бомбардировщики необходимо строить под водяное охлаждение (по варианту 1)</w:t>
            </w:r>
          </w:p>
        </w:tc>
        <w:tc>
          <w:tcPr>
            <w:tcW w:w="3736" w:type="dxa"/>
            <w:gridSpan w:val="2"/>
            <w:tcBorders>
              <w:bottom w:val="single" w:sz="12" w:space="0" w:color="auto"/>
            </w:tcBorders>
          </w:tcPr>
          <w:p w14:paraId="60FFE0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Часть истребителей необходимо строить под воздушное и часть под водяное охлаждение</w:t>
            </w:r>
          </w:p>
        </w:tc>
      </w:tr>
    </w:tbl>
    <w:p w14:paraId="4BC988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(351)</w:t>
      </w:r>
    </w:p>
    <w:p w14:paraId="0D7E3C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августа 1931 подготовлена таблица:</w:t>
      </w:r>
    </w:p>
    <w:p w14:paraId="3EE2D3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Снабжение моторами серийной постройки самолетов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567"/>
        <w:gridCol w:w="708"/>
        <w:gridCol w:w="939"/>
        <w:gridCol w:w="939"/>
        <w:gridCol w:w="939"/>
        <w:gridCol w:w="939"/>
        <w:gridCol w:w="939"/>
        <w:gridCol w:w="939"/>
        <w:gridCol w:w="939"/>
        <w:gridCol w:w="939"/>
        <w:gridCol w:w="939"/>
        <w:gridCol w:w="939"/>
      </w:tblGrid>
      <w:tr w:rsidR="001002C3" w:rsidRPr="005E779E" w14:paraId="6751B749" w14:textId="77777777">
        <w:tc>
          <w:tcPr>
            <w:tcW w:w="534" w:type="dxa"/>
            <w:tcBorders>
              <w:top w:val="single" w:sz="12" w:space="0" w:color="auto"/>
            </w:tcBorders>
          </w:tcPr>
          <w:p w14:paraId="1EDDDA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п/п</w:t>
            </w:r>
          </w:p>
        </w:tc>
        <w:tc>
          <w:tcPr>
            <w:tcW w:w="567" w:type="dxa"/>
            <w:tcBorders>
              <w:top w:val="single" w:sz="12" w:space="0" w:color="auto"/>
            </w:tcBorders>
          </w:tcPr>
          <w:p w14:paraId="400E62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заводов</w:t>
            </w:r>
          </w:p>
        </w:tc>
        <w:tc>
          <w:tcPr>
            <w:tcW w:w="708" w:type="dxa"/>
            <w:tcBorders>
              <w:top w:val="single" w:sz="12" w:space="0" w:color="auto"/>
            </w:tcBorders>
          </w:tcPr>
          <w:p w14:paraId="02F002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Род мотора</w:t>
            </w:r>
          </w:p>
        </w:tc>
        <w:tc>
          <w:tcPr>
            <w:tcW w:w="3756" w:type="dxa"/>
            <w:gridSpan w:val="4"/>
            <w:tcBorders>
              <w:top w:val="single" w:sz="12" w:space="0" w:color="auto"/>
            </w:tcBorders>
          </w:tcPr>
          <w:p w14:paraId="4CA16C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1932</w:t>
            </w:r>
          </w:p>
        </w:tc>
        <w:tc>
          <w:tcPr>
            <w:tcW w:w="3756" w:type="dxa"/>
            <w:gridSpan w:val="4"/>
            <w:tcBorders>
              <w:top w:val="single" w:sz="12" w:space="0" w:color="auto"/>
            </w:tcBorders>
          </w:tcPr>
          <w:p w14:paraId="67CE08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1933</w:t>
            </w:r>
          </w:p>
        </w:tc>
        <w:tc>
          <w:tcPr>
            <w:tcW w:w="1878" w:type="dxa"/>
            <w:gridSpan w:val="2"/>
            <w:tcBorders>
              <w:top w:val="single" w:sz="12" w:space="0" w:color="auto"/>
            </w:tcBorders>
          </w:tcPr>
          <w:p w14:paraId="6618FA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1934</w:t>
            </w:r>
          </w:p>
        </w:tc>
      </w:tr>
      <w:tr w:rsidR="001002C3" w:rsidRPr="005E779E" w14:paraId="1DDB8A1B" w14:textId="77777777">
        <w:tc>
          <w:tcPr>
            <w:tcW w:w="534" w:type="dxa"/>
          </w:tcPr>
          <w:p w14:paraId="44F15C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A6B64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50116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5D304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Марка</w:t>
            </w:r>
          </w:p>
        </w:tc>
        <w:tc>
          <w:tcPr>
            <w:tcW w:w="939" w:type="dxa"/>
          </w:tcPr>
          <w:p w14:paraId="5B5C4A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Подача</w:t>
            </w:r>
          </w:p>
        </w:tc>
        <w:tc>
          <w:tcPr>
            <w:tcW w:w="939" w:type="dxa"/>
          </w:tcPr>
          <w:p w14:paraId="7E9345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Потребн.</w:t>
            </w:r>
          </w:p>
        </w:tc>
        <w:tc>
          <w:tcPr>
            <w:tcW w:w="939" w:type="dxa"/>
          </w:tcPr>
          <w:p w14:paraId="72DB1D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Примечание</w:t>
            </w:r>
          </w:p>
        </w:tc>
        <w:tc>
          <w:tcPr>
            <w:tcW w:w="939" w:type="dxa"/>
          </w:tcPr>
          <w:p w14:paraId="5B10F6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Марка</w:t>
            </w:r>
          </w:p>
        </w:tc>
        <w:tc>
          <w:tcPr>
            <w:tcW w:w="939" w:type="dxa"/>
          </w:tcPr>
          <w:p w14:paraId="34C351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Подача</w:t>
            </w:r>
          </w:p>
        </w:tc>
        <w:tc>
          <w:tcPr>
            <w:tcW w:w="939" w:type="dxa"/>
          </w:tcPr>
          <w:p w14:paraId="441ACF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Потребн.</w:t>
            </w:r>
          </w:p>
        </w:tc>
        <w:tc>
          <w:tcPr>
            <w:tcW w:w="939" w:type="dxa"/>
          </w:tcPr>
          <w:p w14:paraId="53A1E0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Примечание</w:t>
            </w:r>
          </w:p>
        </w:tc>
        <w:tc>
          <w:tcPr>
            <w:tcW w:w="939" w:type="dxa"/>
          </w:tcPr>
          <w:p w14:paraId="04222B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Марка</w:t>
            </w:r>
          </w:p>
        </w:tc>
        <w:tc>
          <w:tcPr>
            <w:tcW w:w="939" w:type="dxa"/>
          </w:tcPr>
          <w:p w14:paraId="2DE0A3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Подача</w:t>
            </w:r>
          </w:p>
        </w:tc>
      </w:tr>
      <w:tr w:rsidR="001002C3" w:rsidRPr="005E779E" w14:paraId="5A6D878D" w14:textId="77777777">
        <w:tc>
          <w:tcPr>
            <w:tcW w:w="534" w:type="dxa"/>
          </w:tcPr>
          <w:p w14:paraId="0A4DEE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567" w:type="dxa"/>
          </w:tcPr>
          <w:p w14:paraId="6AC828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w:t>
            </w:r>
          </w:p>
        </w:tc>
        <w:tc>
          <w:tcPr>
            <w:tcW w:w="708" w:type="dxa"/>
          </w:tcPr>
          <w:p w14:paraId="1BB9F4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Возд. Охл.</w:t>
            </w:r>
          </w:p>
        </w:tc>
        <w:tc>
          <w:tcPr>
            <w:tcW w:w="939" w:type="dxa"/>
          </w:tcPr>
          <w:p w14:paraId="47EE6E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М11</w:t>
            </w:r>
          </w:p>
        </w:tc>
        <w:tc>
          <w:tcPr>
            <w:tcW w:w="939" w:type="dxa"/>
          </w:tcPr>
          <w:p w14:paraId="210639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640</w:t>
            </w:r>
          </w:p>
        </w:tc>
        <w:tc>
          <w:tcPr>
            <w:tcW w:w="939" w:type="dxa"/>
          </w:tcPr>
          <w:p w14:paraId="06E610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32044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7E043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М11</w:t>
            </w:r>
          </w:p>
        </w:tc>
        <w:tc>
          <w:tcPr>
            <w:tcW w:w="939" w:type="dxa"/>
          </w:tcPr>
          <w:p w14:paraId="017A16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2000</w:t>
            </w:r>
          </w:p>
        </w:tc>
        <w:tc>
          <w:tcPr>
            <w:tcW w:w="939" w:type="dxa"/>
          </w:tcPr>
          <w:p w14:paraId="43B49A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2400</w:t>
            </w:r>
          </w:p>
        </w:tc>
        <w:tc>
          <w:tcPr>
            <w:tcW w:w="939" w:type="dxa"/>
          </w:tcPr>
          <w:p w14:paraId="02888C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Запас в потр. 100%</w:t>
            </w:r>
          </w:p>
        </w:tc>
        <w:tc>
          <w:tcPr>
            <w:tcW w:w="939" w:type="dxa"/>
          </w:tcPr>
          <w:p w14:paraId="4B8E39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939" w:type="dxa"/>
          </w:tcPr>
          <w:p w14:paraId="2A45FF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D73F53B" w14:textId="77777777">
        <w:tc>
          <w:tcPr>
            <w:tcW w:w="534" w:type="dxa"/>
          </w:tcPr>
          <w:p w14:paraId="36F61C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AC01E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74D48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AD367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М22</w:t>
            </w:r>
          </w:p>
        </w:tc>
        <w:tc>
          <w:tcPr>
            <w:tcW w:w="939" w:type="dxa"/>
          </w:tcPr>
          <w:p w14:paraId="2B4049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1720</w:t>
            </w:r>
          </w:p>
        </w:tc>
        <w:tc>
          <w:tcPr>
            <w:tcW w:w="939" w:type="dxa"/>
          </w:tcPr>
          <w:p w14:paraId="5C4908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8CF8E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DAAA2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М22</w:t>
            </w:r>
          </w:p>
        </w:tc>
        <w:tc>
          <w:tcPr>
            <w:tcW w:w="939" w:type="dxa"/>
          </w:tcPr>
          <w:p w14:paraId="261FDC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2000</w:t>
            </w:r>
          </w:p>
        </w:tc>
        <w:tc>
          <w:tcPr>
            <w:tcW w:w="939" w:type="dxa"/>
          </w:tcPr>
          <w:p w14:paraId="2F6A47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2900</w:t>
            </w:r>
          </w:p>
        </w:tc>
        <w:tc>
          <w:tcPr>
            <w:tcW w:w="939" w:type="dxa"/>
          </w:tcPr>
          <w:p w14:paraId="1B406C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 хватает</w:t>
            </w:r>
          </w:p>
        </w:tc>
        <w:tc>
          <w:tcPr>
            <w:tcW w:w="939" w:type="dxa"/>
          </w:tcPr>
          <w:p w14:paraId="118255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М22</w:t>
            </w:r>
          </w:p>
        </w:tc>
        <w:tc>
          <w:tcPr>
            <w:tcW w:w="939" w:type="dxa"/>
          </w:tcPr>
          <w:p w14:paraId="501C01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4000</w:t>
            </w:r>
          </w:p>
        </w:tc>
      </w:tr>
      <w:tr w:rsidR="001002C3" w:rsidRPr="005E779E" w14:paraId="5E748452" w14:textId="77777777">
        <w:tc>
          <w:tcPr>
            <w:tcW w:w="534" w:type="dxa"/>
          </w:tcPr>
          <w:p w14:paraId="4493BA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255EB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53E38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F08FC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6BD62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A68FF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930B1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C107E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FD290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BF7C2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AEBB1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EF658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М33</w:t>
            </w:r>
          </w:p>
        </w:tc>
        <w:tc>
          <w:tcPr>
            <w:tcW w:w="939" w:type="dxa"/>
          </w:tcPr>
          <w:p w14:paraId="5BA4DB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1500</w:t>
            </w:r>
          </w:p>
        </w:tc>
      </w:tr>
      <w:tr w:rsidR="001002C3" w:rsidRPr="005E779E" w14:paraId="1EC4DDCF" w14:textId="77777777">
        <w:tc>
          <w:tcPr>
            <w:tcW w:w="534" w:type="dxa"/>
          </w:tcPr>
          <w:p w14:paraId="37052E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CDAC5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FD5F3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DF3A7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w:t>
            </w:r>
          </w:p>
        </w:tc>
        <w:tc>
          <w:tcPr>
            <w:tcW w:w="939" w:type="dxa"/>
          </w:tcPr>
          <w:p w14:paraId="6780A6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2360</w:t>
            </w:r>
          </w:p>
        </w:tc>
        <w:tc>
          <w:tcPr>
            <w:tcW w:w="939" w:type="dxa"/>
          </w:tcPr>
          <w:p w14:paraId="4D7D4D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B0C96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CF22C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18F0C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4000</w:t>
            </w:r>
          </w:p>
        </w:tc>
        <w:tc>
          <w:tcPr>
            <w:tcW w:w="939" w:type="dxa"/>
          </w:tcPr>
          <w:p w14:paraId="27E3AC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4538B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42565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9A15E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5500</w:t>
            </w:r>
          </w:p>
        </w:tc>
      </w:tr>
      <w:tr w:rsidR="001002C3" w:rsidRPr="005E779E" w14:paraId="303FEA57" w14:textId="77777777">
        <w:tc>
          <w:tcPr>
            <w:tcW w:w="534" w:type="dxa"/>
          </w:tcPr>
          <w:p w14:paraId="017E0A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567" w:type="dxa"/>
          </w:tcPr>
          <w:p w14:paraId="5B74AB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w:t>
            </w:r>
          </w:p>
        </w:tc>
        <w:tc>
          <w:tcPr>
            <w:tcW w:w="708" w:type="dxa"/>
          </w:tcPr>
          <w:p w14:paraId="25E877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Возд. Охл.</w:t>
            </w:r>
          </w:p>
        </w:tc>
        <w:tc>
          <w:tcPr>
            <w:tcW w:w="939" w:type="dxa"/>
          </w:tcPr>
          <w:p w14:paraId="623400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FFF8E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A0BFC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8F304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DF940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М15</w:t>
            </w:r>
          </w:p>
        </w:tc>
        <w:tc>
          <w:tcPr>
            <w:tcW w:w="939" w:type="dxa"/>
          </w:tcPr>
          <w:p w14:paraId="0E2603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w:t>
            </w:r>
          </w:p>
        </w:tc>
        <w:tc>
          <w:tcPr>
            <w:tcW w:w="939" w:type="dxa"/>
          </w:tcPr>
          <w:p w14:paraId="636D94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700</w:t>
            </w:r>
          </w:p>
        </w:tc>
        <w:tc>
          <w:tcPr>
            <w:tcW w:w="939" w:type="dxa"/>
          </w:tcPr>
          <w:p w14:paraId="7DEFDD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60D31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М15</w:t>
            </w:r>
          </w:p>
        </w:tc>
        <w:tc>
          <w:tcPr>
            <w:tcW w:w="939" w:type="dxa"/>
          </w:tcPr>
          <w:p w14:paraId="732367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2250</w:t>
            </w:r>
          </w:p>
        </w:tc>
      </w:tr>
      <w:tr w:rsidR="001002C3" w:rsidRPr="005E779E" w14:paraId="20621637" w14:textId="77777777">
        <w:tc>
          <w:tcPr>
            <w:tcW w:w="534" w:type="dxa"/>
          </w:tcPr>
          <w:p w14:paraId="1F0DE9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3D490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CB1AE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78C93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6F2D8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D732F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6FE69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92F8C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М26</w:t>
            </w:r>
          </w:p>
        </w:tc>
        <w:tc>
          <w:tcPr>
            <w:tcW w:w="939" w:type="dxa"/>
          </w:tcPr>
          <w:p w14:paraId="402E5F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1500</w:t>
            </w:r>
          </w:p>
        </w:tc>
        <w:tc>
          <w:tcPr>
            <w:tcW w:w="939" w:type="dxa"/>
          </w:tcPr>
          <w:p w14:paraId="4E21BA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1800</w:t>
            </w:r>
          </w:p>
        </w:tc>
        <w:tc>
          <w:tcPr>
            <w:tcW w:w="939" w:type="dxa"/>
          </w:tcPr>
          <w:p w14:paraId="7EEA25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7BC47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М26</w:t>
            </w:r>
          </w:p>
        </w:tc>
        <w:tc>
          <w:tcPr>
            <w:tcW w:w="939" w:type="dxa"/>
          </w:tcPr>
          <w:p w14:paraId="0D1602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2250</w:t>
            </w:r>
          </w:p>
        </w:tc>
      </w:tr>
      <w:tr w:rsidR="001002C3" w:rsidRPr="005E779E" w14:paraId="46331315" w14:textId="77777777">
        <w:tc>
          <w:tcPr>
            <w:tcW w:w="534" w:type="dxa"/>
          </w:tcPr>
          <w:p w14:paraId="6DFB0D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33659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72127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DF191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w:t>
            </w:r>
          </w:p>
        </w:tc>
        <w:tc>
          <w:tcPr>
            <w:tcW w:w="939" w:type="dxa"/>
          </w:tcPr>
          <w:p w14:paraId="375E47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6EDA2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57E2F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4E6C4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40483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2000</w:t>
            </w:r>
          </w:p>
        </w:tc>
        <w:tc>
          <w:tcPr>
            <w:tcW w:w="939" w:type="dxa"/>
          </w:tcPr>
          <w:p w14:paraId="3C2655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5B7C0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572B5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CB711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4500</w:t>
            </w:r>
          </w:p>
        </w:tc>
      </w:tr>
      <w:tr w:rsidR="001002C3" w:rsidRPr="005E779E" w14:paraId="319D1EB6" w14:textId="77777777">
        <w:tc>
          <w:tcPr>
            <w:tcW w:w="534" w:type="dxa"/>
          </w:tcPr>
          <w:p w14:paraId="306FE1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tc>
        <w:tc>
          <w:tcPr>
            <w:tcW w:w="567" w:type="dxa"/>
          </w:tcPr>
          <w:p w14:paraId="4F2024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Новый</w:t>
            </w:r>
          </w:p>
        </w:tc>
        <w:tc>
          <w:tcPr>
            <w:tcW w:w="708" w:type="dxa"/>
          </w:tcPr>
          <w:p w14:paraId="1F1E24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Возд. Охл.</w:t>
            </w:r>
          </w:p>
        </w:tc>
        <w:tc>
          <w:tcPr>
            <w:tcW w:w="939" w:type="dxa"/>
          </w:tcPr>
          <w:p w14:paraId="62748D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C6EDA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3CE26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6AD7F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8F3D4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D3120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0A733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98263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A34CE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6E531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2200</w:t>
            </w:r>
          </w:p>
        </w:tc>
      </w:tr>
      <w:tr w:rsidR="001002C3" w:rsidRPr="005E779E" w14:paraId="4C045B8F" w14:textId="77777777">
        <w:tc>
          <w:tcPr>
            <w:tcW w:w="534" w:type="dxa"/>
          </w:tcPr>
          <w:p w14:paraId="73AFF3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02C98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9F06B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75F20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76A68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83EB8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93B9F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F5BBD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D92A6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E05E3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2FE46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FE6D7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5EA63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w:t>
            </w:r>
          </w:p>
        </w:tc>
      </w:tr>
      <w:tr w:rsidR="001002C3" w:rsidRPr="005E779E" w14:paraId="478716CE" w14:textId="77777777">
        <w:tc>
          <w:tcPr>
            <w:tcW w:w="534" w:type="dxa"/>
          </w:tcPr>
          <w:p w14:paraId="5E3968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B7815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8EC83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46F3E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w:t>
            </w:r>
          </w:p>
        </w:tc>
        <w:tc>
          <w:tcPr>
            <w:tcW w:w="939" w:type="dxa"/>
          </w:tcPr>
          <w:p w14:paraId="0ABA2F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3BEA2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36B87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F2E6C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3031E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9BF23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4D06C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AD28A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A0547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2700</w:t>
            </w:r>
          </w:p>
        </w:tc>
      </w:tr>
      <w:tr w:rsidR="001002C3" w:rsidRPr="005E779E" w14:paraId="11BBE8E5" w14:textId="77777777">
        <w:tc>
          <w:tcPr>
            <w:tcW w:w="534" w:type="dxa"/>
          </w:tcPr>
          <w:p w14:paraId="2482B7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5D1FA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386E8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981A8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 моторов воздушного охл.</w:t>
            </w:r>
          </w:p>
        </w:tc>
        <w:tc>
          <w:tcPr>
            <w:tcW w:w="939" w:type="dxa"/>
          </w:tcPr>
          <w:p w14:paraId="4E17AB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D1A0A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B1BB1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073AE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0F816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6000</w:t>
            </w:r>
          </w:p>
        </w:tc>
        <w:tc>
          <w:tcPr>
            <w:tcW w:w="939" w:type="dxa"/>
          </w:tcPr>
          <w:p w14:paraId="187B1A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78000</w:t>
            </w:r>
          </w:p>
        </w:tc>
        <w:tc>
          <w:tcPr>
            <w:tcW w:w="939" w:type="dxa"/>
          </w:tcPr>
          <w:p w14:paraId="45A70F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51515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4DF9D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12700</w:t>
            </w:r>
          </w:p>
        </w:tc>
      </w:tr>
      <w:tr w:rsidR="001002C3" w:rsidRPr="005E779E" w14:paraId="277B47D6" w14:textId="77777777">
        <w:tc>
          <w:tcPr>
            <w:tcW w:w="534" w:type="dxa"/>
          </w:tcPr>
          <w:p w14:paraId="70E25C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w:t>
            </w:r>
          </w:p>
        </w:tc>
        <w:tc>
          <w:tcPr>
            <w:tcW w:w="567" w:type="dxa"/>
          </w:tcPr>
          <w:p w14:paraId="370B32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w:t>
            </w:r>
          </w:p>
        </w:tc>
        <w:tc>
          <w:tcPr>
            <w:tcW w:w="708" w:type="dxa"/>
          </w:tcPr>
          <w:p w14:paraId="438E82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Водяного охл.</w:t>
            </w:r>
          </w:p>
        </w:tc>
        <w:tc>
          <w:tcPr>
            <w:tcW w:w="939" w:type="dxa"/>
          </w:tcPr>
          <w:p w14:paraId="4D3A5E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М17</w:t>
            </w:r>
          </w:p>
        </w:tc>
        <w:tc>
          <w:tcPr>
            <w:tcW w:w="939" w:type="dxa"/>
          </w:tcPr>
          <w:p w14:paraId="5341BC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939" w:type="dxa"/>
          </w:tcPr>
          <w:p w14:paraId="1BE071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C6716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9C3C9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М17</w:t>
            </w:r>
          </w:p>
        </w:tc>
        <w:tc>
          <w:tcPr>
            <w:tcW w:w="939" w:type="dxa"/>
          </w:tcPr>
          <w:p w14:paraId="17285C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6000</w:t>
            </w:r>
          </w:p>
        </w:tc>
        <w:tc>
          <w:tcPr>
            <w:tcW w:w="939" w:type="dxa"/>
          </w:tcPr>
          <w:p w14:paraId="027939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939" w:type="dxa"/>
          </w:tcPr>
          <w:p w14:paraId="7FAF75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Резерв и запчасти</w:t>
            </w:r>
          </w:p>
        </w:tc>
        <w:tc>
          <w:tcPr>
            <w:tcW w:w="939" w:type="dxa"/>
          </w:tcPr>
          <w:p w14:paraId="093362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М17</w:t>
            </w:r>
          </w:p>
        </w:tc>
        <w:tc>
          <w:tcPr>
            <w:tcW w:w="939" w:type="dxa"/>
          </w:tcPr>
          <w:p w14:paraId="136868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r>
      <w:tr w:rsidR="001002C3" w:rsidRPr="005E779E" w14:paraId="5CE9B6AB" w14:textId="77777777">
        <w:tc>
          <w:tcPr>
            <w:tcW w:w="534" w:type="dxa"/>
          </w:tcPr>
          <w:p w14:paraId="3F7FAA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FC058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10FBA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36D14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AA7B6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F0997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E15D4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6760E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A27B0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FAA27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DB4FB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33323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BD747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w:t>
            </w:r>
          </w:p>
        </w:tc>
      </w:tr>
      <w:tr w:rsidR="001002C3" w:rsidRPr="005E779E" w14:paraId="4021E741" w14:textId="77777777">
        <w:tc>
          <w:tcPr>
            <w:tcW w:w="534" w:type="dxa"/>
          </w:tcPr>
          <w:p w14:paraId="0D11B7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BB3F3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19ECB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3E6A8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w:t>
            </w:r>
          </w:p>
        </w:tc>
        <w:tc>
          <w:tcPr>
            <w:tcW w:w="939" w:type="dxa"/>
          </w:tcPr>
          <w:p w14:paraId="42D5D8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939" w:type="dxa"/>
          </w:tcPr>
          <w:p w14:paraId="20D1CD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BC73F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5EE95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CE503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6000</w:t>
            </w:r>
          </w:p>
        </w:tc>
        <w:tc>
          <w:tcPr>
            <w:tcW w:w="939" w:type="dxa"/>
          </w:tcPr>
          <w:p w14:paraId="78C142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933CE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38163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5DDFC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6000</w:t>
            </w:r>
          </w:p>
        </w:tc>
      </w:tr>
      <w:tr w:rsidR="001002C3" w:rsidRPr="005E779E" w14:paraId="77836FE5" w14:textId="77777777">
        <w:tc>
          <w:tcPr>
            <w:tcW w:w="534" w:type="dxa"/>
          </w:tcPr>
          <w:p w14:paraId="6FB18C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w:t>
            </w:r>
          </w:p>
        </w:tc>
        <w:tc>
          <w:tcPr>
            <w:tcW w:w="567" w:type="dxa"/>
          </w:tcPr>
          <w:p w14:paraId="096A7C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w:t>
            </w:r>
          </w:p>
        </w:tc>
        <w:tc>
          <w:tcPr>
            <w:tcW w:w="708" w:type="dxa"/>
          </w:tcPr>
          <w:p w14:paraId="553175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Водяного охл.</w:t>
            </w:r>
          </w:p>
        </w:tc>
        <w:tc>
          <w:tcPr>
            <w:tcW w:w="939" w:type="dxa"/>
          </w:tcPr>
          <w:p w14:paraId="656C93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М15</w:t>
            </w:r>
          </w:p>
        </w:tc>
        <w:tc>
          <w:tcPr>
            <w:tcW w:w="939" w:type="dxa"/>
          </w:tcPr>
          <w:p w14:paraId="115478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09082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2FD31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66C20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D287E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57DB2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22C58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A3909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93D16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BD87EC3" w14:textId="77777777">
        <w:tc>
          <w:tcPr>
            <w:tcW w:w="534" w:type="dxa"/>
          </w:tcPr>
          <w:p w14:paraId="0868A4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17A68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FFD9B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F32A9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М26</w:t>
            </w:r>
          </w:p>
        </w:tc>
        <w:tc>
          <w:tcPr>
            <w:tcW w:w="939" w:type="dxa"/>
          </w:tcPr>
          <w:p w14:paraId="55A7FF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90295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32AE6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FD081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D0945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7C55E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9C5F0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9A236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F03B2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3D1E098" w14:textId="77777777">
        <w:tc>
          <w:tcPr>
            <w:tcW w:w="534" w:type="dxa"/>
          </w:tcPr>
          <w:p w14:paraId="0B83BA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79E90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91EAF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93515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М27</w:t>
            </w:r>
          </w:p>
        </w:tc>
        <w:tc>
          <w:tcPr>
            <w:tcW w:w="939" w:type="dxa"/>
          </w:tcPr>
          <w:p w14:paraId="7495B3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E06CB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5BA53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82634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CAC9E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54993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2BAF0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8A8A5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8DE50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40A3733" w14:textId="77777777">
        <w:tc>
          <w:tcPr>
            <w:tcW w:w="534" w:type="dxa"/>
          </w:tcPr>
          <w:p w14:paraId="15A1EF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0748C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2307E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95F49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М34</w:t>
            </w:r>
          </w:p>
        </w:tc>
        <w:tc>
          <w:tcPr>
            <w:tcW w:w="939" w:type="dxa"/>
          </w:tcPr>
          <w:p w14:paraId="07A112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95C8D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EB81D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83E7A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М34</w:t>
            </w:r>
          </w:p>
        </w:tc>
        <w:tc>
          <w:tcPr>
            <w:tcW w:w="939" w:type="dxa"/>
          </w:tcPr>
          <w:p w14:paraId="0FF021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4000</w:t>
            </w:r>
          </w:p>
        </w:tc>
        <w:tc>
          <w:tcPr>
            <w:tcW w:w="939" w:type="dxa"/>
          </w:tcPr>
          <w:p w14:paraId="0A2EFC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4175</w:t>
            </w:r>
          </w:p>
        </w:tc>
        <w:tc>
          <w:tcPr>
            <w:tcW w:w="939" w:type="dxa"/>
          </w:tcPr>
          <w:p w14:paraId="479D86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недостаток замещается М17</w:t>
            </w:r>
          </w:p>
        </w:tc>
        <w:tc>
          <w:tcPr>
            <w:tcW w:w="939" w:type="dxa"/>
          </w:tcPr>
          <w:p w14:paraId="01416F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6624B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9000</w:t>
            </w:r>
          </w:p>
        </w:tc>
      </w:tr>
      <w:tr w:rsidR="001002C3" w:rsidRPr="005E779E" w14:paraId="20EFEAEF" w14:textId="77777777">
        <w:tc>
          <w:tcPr>
            <w:tcW w:w="534" w:type="dxa"/>
          </w:tcPr>
          <w:p w14:paraId="56F482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w:t>
            </w:r>
          </w:p>
        </w:tc>
        <w:tc>
          <w:tcPr>
            <w:tcW w:w="567" w:type="dxa"/>
          </w:tcPr>
          <w:p w14:paraId="7D39CD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Новый</w:t>
            </w:r>
          </w:p>
        </w:tc>
        <w:tc>
          <w:tcPr>
            <w:tcW w:w="708" w:type="dxa"/>
          </w:tcPr>
          <w:p w14:paraId="2D85E0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Водяного охл.</w:t>
            </w:r>
          </w:p>
        </w:tc>
        <w:tc>
          <w:tcPr>
            <w:tcW w:w="939" w:type="dxa"/>
          </w:tcPr>
          <w:p w14:paraId="0404A2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0E80A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0EB1F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72BA5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06C0A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BD263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136E0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1551B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91DCC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72852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A2EDB2E" w14:textId="77777777">
        <w:tc>
          <w:tcPr>
            <w:tcW w:w="534" w:type="dxa"/>
          </w:tcPr>
          <w:p w14:paraId="2F148E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2AD3B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ACD58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2C179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 моторов водяного охлажд.</w:t>
            </w:r>
          </w:p>
        </w:tc>
        <w:tc>
          <w:tcPr>
            <w:tcW w:w="939" w:type="dxa"/>
          </w:tcPr>
          <w:p w14:paraId="535B79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74395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6DE5D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BBFBA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56AAC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10000</w:t>
            </w:r>
          </w:p>
        </w:tc>
        <w:tc>
          <w:tcPr>
            <w:tcW w:w="939" w:type="dxa"/>
          </w:tcPr>
          <w:p w14:paraId="38765E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7175</w:t>
            </w:r>
          </w:p>
        </w:tc>
        <w:tc>
          <w:tcPr>
            <w:tcW w:w="939" w:type="dxa"/>
          </w:tcPr>
          <w:p w14:paraId="301306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4F3CF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86FF5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15000</w:t>
            </w:r>
          </w:p>
        </w:tc>
      </w:tr>
      <w:tr w:rsidR="001002C3" w:rsidRPr="005E779E" w14:paraId="7FAF9AD0" w14:textId="77777777">
        <w:tc>
          <w:tcPr>
            <w:tcW w:w="534" w:type="dxa"/>
            <w:tcBorders>
              <w:bottom w:val="single" w:sz="12" w:space="0" w:color="auto"/>
            </w:tcBorders>
          </w:tcPr>
          <w:p w14:paraId="729B6E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4FF732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Borders>
              <w:bottom w:val="single" w:sz="12" w:space="0" w:color="auto"/>
            </w:tcBorders>
          </w:tcPr>
          <w:p w14:paraId="595B10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bottom w:val="single" w:sz="12" w:space="0" w:color="auto"/>
            </w:tcBorders>
          </w:tcPr>
          <w:p w14:paraId="15A74B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 всех моторов</w:t>
            </w:r>
          </w:p>
        </w:tc>
        <w:tc>
          <w:tcPr>
            <w:tcW w:w="939" w:type="dxa"/>
            <w:tcBorders>
              <w:bottom w:val="single" w:sz="12" w:space="0" w:color="auto"/>
            </w:tcBorders>
          </w:tcPr>
          <w:p w14:paraId="4DFA9B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bottom w:val="single" w:sz="12" w:space="0" w:color="auto"/>
            </w:tcBorders>
          </w:tcPr>
          <w:p w14:paraId="22357E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bottom w:val="single" w:sz="12" w:space="0" w:color="auto"/>
            </w:tcBorders>
          </w:tcPr>
          <w:p w14:paraId="794589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bottom w:val="single" w:sz="12" w:space="0" w:color="auto"/>
            </w:tcBorders>
          </w:tcPr>
          <w:p w14:paraId="7BC6F9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bottom w:val="single" w:sz="12" w:space="0" w:color="auto"/>
            </w:tcBorders>
          </w:tcPr>
          <w:p w14:paraId="1B6D7D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16000</w:t>
            </w:r>
          </w:p>
        </w:tc>
        <w:tc>
          <w:tcPr>
            <w:tcW w:w="939" w:type="dxa"/>
            <w:tcBorders>
              <w:bottom w:val="single" w:sz="12" w:space="0" w:color="auto"/>
            </w:tcBorders>
          </w:tcPr>
          <w:p w14:paraId="5276E0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14975</w:t>
            </w:r>
          </w:p>
        </w:tc>
        <w:tc>
          <w:tcPr>
            <w:tcW w:w="939" w:type="dxa"/>
            <w:tcBorders>
              <w:bottom w:val="single" w:sz="12" w:space="0" w:color="auto"/>
            </w:tcBorders>
          </w:tcPr>
          <w:p w14:paraId="3581B5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bottom w:val="single" w:sz="12" w:space="0" w:color="auto"/>
            </w:tcBorders>
          </w:tcPr>
          <w:p w14:paraId="4C15E8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bottom w:val="single" w:sz="12" w:space="0" w:color="auto"/>
            </w:tcBorders>
          </w:tcPr>
          <w:p w14:paraId="7F807F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27700</w:t>
            </w:r>
          </w:p>
        </w:tc>
      </w:tr>
    </w:tbl>
    <w:p w14:paraId="0ED324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Примечание: 1/ в графе потребность принят запас по учебным из числа выпускаемых</w:t>
      </w:r>
    </w:p>
    <w:p w14:paraId="553DAD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Таблица расчитана на 1-й вариант строительства</w:t>
      </w:r>
    </w:p>
    <w:p w14:paraId="3A3735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Программа получения моторов, необходимых ОКБ (351).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1819"/>
        <w:gridCol w:w="466"/>
        <w:gridCol w:w="466"/>
        <w:gridCol w:w="466"/>
        <w:gridCol w:w="466"/>
        <w:gridCol w:w="466"/>
        <w:gridCol w:w="466"/>
        <w:gridCol w:w="466"/>
        <w:gridCol w:w="466"/>
        <w:gridCol w:w="466"/>
        <w:gridCol w:w="466"/>
        <w:gridCol w:w="466"/>
        <w:gridCol w:w="466"/>
        <w:gridCol w:w="466"/>
        <w:gridCol w:w="466"/>
        <w:gridCol w:w="466"/>
        <w:gridCol w:w="466"/>
        <w:gridCol w:w="466"/>
        <w:gridCol w:w="466"/>
        <w:gridCol w:w="466"/>
      </w:tblGrid>
      <w:tr w:rsidR="001002C3" w:rsidRPr="005E779E" w14:paraId="1E66B342" w14:textId="77777777">
        <w:tc>
          <w:tcPr>
            <w:tcW w:w="534" w:type="dxa"/>
            <w:tcBorders>
              <w:top w:val="single" w:sz="12" w:space="0" w:color="auto"/>
            </w:tcBorders>
          </w:tcPr>
          <w:p w14:paraId="72FE6D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п/п</w:t>
            </w:r>
          </w:p>
        </w:tc>
        <w:tc>
          <w:tcPr>
            <w:tcW w:w="1819" w:type="dxa"/>
            <w:tcBorders>
              <w:top w:val="single" w:sz="12" w:space="0" w:color="auto"/>
            </w:tcBorders>
          </w:tcPr>
          <w:p w14:paraId="25C68B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Тип мотора</w:t>
            </w:r>
          </w:p>
        </w:tc>
        <w:tc>
          <w:tcPr>
            <w:tcW w:w="2796" w:type="dxa"/>
            <w:gridSpan w:val="6"/>
            <w:tcBorders>
              <w:top w:val="single" w:sz="12" w:space="0" w:color="auto"/>
            </w:tcBorders>
          </w:tcPr>
          <w:p w14:paraId="4CDC61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w:t>
            </w:r>
          </w:p>
        </w:tc>
        <w:tc>
          <w:tcPr>
            <w:tcW w:w="6058" w:type="dxa"/>
            <w:gridSpan w:val="13"/>
            <w:tcBorders>
              <w:top w:val="single" w:sz="12" w:space="0" w:color="auto"/>
            </w:tcBorders>
          </w:tcPr>
          <w:p w14:paraId="3DA282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1932</w:t>
            </w:r>
          </w:p>
        </w:tc>
      </w:tr>
      <w:tr w:rsidR="001002C3" w:rsidRPr="005E779E" w14:paraId="0F88F683" w14:textId="77777777">
        <w:tc>
          <w:tcPr>
            <w:tcW w:w="534" w:type="dxa"/>
          </w:tcPr>
          <w:p w14:paraId="64F7B6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19" w:type="dxa"/>
          </w:tcPr>
          <w:p w14:paraId="0E15D0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5F8B9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w:t>
            </w:r>
          </w:p>
        </w:tc>
        <w:tc>
          <w:tcPr>
            <w:tcW w:w="466" w:type="dxa"/>
          </w:tcPr>
          <w:p w14:paraId="61E944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w:t>
            </w:r>
          </w:p>
        </w:tc>
        <w:tc>
          <w:tcPr>
            <w:tcW w:w="466" w:type="dxa"/>
          </w:tcPr>
          <w:p w14:paraId="4CE807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w:t>
            </w:r>
          </w:p>
        </w:tc>
        <w:tc>
          <w:tcPr>
            <w:tcW w:w="466" w:type="dxa"/>
          </w:tcPr>
          <w:p w14:paraId="7C728F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w:t>
            </w:r>
          </w:p>
        </w:tc>
        <w:tc>
          <w:tcPr>
            <w:tcW w:w="466" w:type="dxa"/>
          </w:tcPr>
          <w:p w14:paraId="51FC1C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w:t>
            </w:r>
          </w:p>
        </w:tc>
        <w:tc>
          <w:tcPr>
            <w:tcW w:w="466" w:type="dxa"/>
          </w:tcPr>
          <w:p w14:paraId="4FDB69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w:t>
            </w:r>
          </w:p>
        </w:tc>
        <w:tc>
          <w:tcPr>
            <w:tcW w:w="466" w:type="dxa"/>
          </w:tcPr>
          <w:p w14:paraId="2F7790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466" w:type="dxa"/>
          </w:tcPr>
          <w:p w14:paraId="18F072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466" w:type="dxa"/>
          </w:tcPr>
          <w:p w14:paraId="5B71AB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tc>
        <w:tc>
          <w:tcPr>
            <w:tcW w:w="466" w:type="dxa"/>
          </w:tcPr>
          <w:p w14:paraId="32D58B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w:t>
            </w:r>
          </w:p>
        </w:tc>
        <w:tc>
          <w:tcPr>
            <w:tcW w:w="466" w:type="dxa"/>
          </w:tcPr>
          <w:p w14:paraId="456809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w:t>
            </w:r>
          </w:p>
        </w:tc>
        <w:tc>
          <w:tcPr>
            <w:tcW w:w="466" w:type="dxa"/>
          </w:tcPr>
          <w:p w14:paraId="434A13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w:t>
            </w:r>
          </w:p>
        </w:tc>
        <w:tc>
          <w:tcPr>
            <w:tcW w:w="466" w:type="dxa"/>
          </w:tcPr>
          <w:p w14:paraId="0BE7EE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w:t>
            </w:r>
          </w:p>
        </w:tc>
        <w:tc>
          <w:tcPr>
            <w:tcW w:w="466" w:type="dxa"/>
          </w:tcPr>
          <w:p w14:paraId="5BC21F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w:t>
            </w:r>
          </w:p>
        </w:tc>
        <w:tc>
          <w:tcPr>
            <w:tcW w:w="466" w:type="dxa"/>
          </w:tcPr>
          <w:p w14:paraId="412DD5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w:t>
            </w:r>
          </w:p>
        </w:tc>
        <w:tc>
          <w:tcPr>
            <w:tcW w:w="466" w:type="dxa"/>
          </w:tcPr>
          <w:p w14:paraId="1669DC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w:t>
            </w:r>
          </w:p>
        </w:tc>
        <w:tc>
          <w:tcPr>
            <w:tcW w:w="466" w:type="dxa"/>
          </w:tcPr>
          <w:p w14:paraId="764E57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w:t>
            </w:r>
          </w:p>
        </w:tc>
        <w:tc>
          <w:tcPr>
            <w:tcW w:w="466" w:type="dxa"/>
          </w:tcPr>
          <w:p w14:paraId="367DDC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w:t>
            </w:r>
          </w:p>
        </w:tc>
        <w:tc>
          <w:tcPr>
            <w:tcW w:w="466" w:type="dxa"/>
          </w:tcPr>
          <w:p w14:paraId="1587A3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w:t>
            </w:r>
          </w:p>
        </w:tc>
      </w:tr>
      <w:tr w:rsidR="001002C3" w:rsidRPr="005E779E" w14:paraId="6E5F554C" w14:textId="77777777">
        <w:tc>
          <w:tcPr>
            <w:tcW w:w="534" w:type="dxa"/>
          </w:tcPr>
          <w:p w14:paraId="1465BF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1819" w:type="dxa"/>
          </w:tcPr>
          <w:p w14:paraId="1E7C0E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М27 без ред.</w:t>
            </w:r>
          </w:p>
        </w:tc>
        <w:tc>
          <w:tcPr>
            <w:tcW w:w="466" w:type="dxa"/>
          </w:tcPr>
          <w:p w14:paraId="185303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3BF45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w:t>
            </w:r>
          </w:p>
        </w:tc>
        <w:tc>
          <w:tcPr>
            <w:tcW w:w="466" w:type="dxa"/>
          </w:tcPr>
          <w:p w14:paraId="1BD65B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979A5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466" w:type="dxa"/>
          </w:tcPr>
          <w:p w14:paraId="1ADBEF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466" w:type="dxa"/>
          </w:tcPr>
          <w:p w14:paraId="0272F1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w:t>
            </w:r>
          </w:p>
        </w:tc>
        <w:tc>
          <w:tcPr>
            <w:tcW w:w="466" w:type="dxa"/>
          </w:tcPr>
          <w:p w14:paraId="0EB053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D89A4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48411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9ADE0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tc>
        <w:tc>
          <w:tcPr>
            <w:tcW w:w="466" w:type="dxa"/>
          </w:tcPr>
          <w:p w14:paraId="3E78C5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A3EF3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466" w:type="dxa"/>
          </w:tcPr>
          <w:p w14:paraId="1C1C1A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D28D3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466" w:type="dxa"/>
          </w:tcPr>
          <w:p w14:paraId="224ADB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CE299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C394D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D6F7B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8F306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w:t>
            </w:r>
          </w:p>
        </w:tc>
      </w:tr>
      <w:tr w:rsidR="001002C3" w:rsidRPr="005E779E" w14:paraId="21732460" w14:textId="77777777">
        <w:tc>
          <w:tcPr>
            <w:tcW w:w="534" w:type="dxa"/>
          </w:tcPr>
          <w:p w14:paraId="5A5832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1819" w:type="dxa"/>
          </w:tcPr>
          <w:p w14:paraId="049471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ФЭД без ред.</w:t>
            </w:r>
          </w:p>
        </w:tc>
        <w:tc>
          <w:tcPr>
            <w:tcW w:w="466" w:type="dxa"/>
          </w:tcPr>
          <w:p w14:paraId="4DC28C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B9D25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6BEAF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C6010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C5B60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89304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B24F8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46569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466" w:type="dxa"/>
          </w:tcPr>
          <w:p w14:paraId="7182C8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15224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7613B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843BF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A1356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2D8CC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22DD2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30214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1D6B8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574A0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65121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r>
      <w:tr w:rsidR="001002C3" w:rsidRPr="005E779E" w14:paraId="2A81C1CE" w14:textId="77777777">
        <w:tc>
          <w:tcPr>
            <w:tcW w:w="534" w:type="dxa"/>
          </w:tcPr>
          <w:p w14:paraId="59474D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tc>
        <w:tc>
          <w:tcPr>
            <w:tcW w:w="1819" w:type="dxa"/>
          </w:tcPr>
          <w:p w14:paraId="1F6654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ФЭД с ред.</w:t>
            </w:r>
          </w:p>
        </w:tc>
        <w:tc>
          <w:tcPr>
            <w:tcW w:w="466" w:type="dxa"/>
          </w:tcPr>
          <w:p w14:paraId="33BF2C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826BD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13E73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3DD86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48D92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641D9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732D9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4C40F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w:t>
            </w:r>
          </w:p>
        </w:tc>
        <w:tc>
          <w:tcPr>
            <w:tcW w:w="466" w:type="dxa"/>
          </w:tcPr>
          <w:p w14:paraId="10886A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C6E63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1EEB8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w:t>
            </w:r>
          </w:p>
        </w:tc>
        <w:tc>
          <w:tcPr>
            <w:tcW w:w="466" w:type="dxa"/>
          </w:tcPr>
          <w:p w14:paraId="0E334A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0BE61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2AE4F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43274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EA5E9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E035C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200B0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F9176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w:t>
            </w:r>
          </w:p>
        </w:tc>
      </w:tr>
      <w:tr w:rsidR="001002C3" w:rsidRPr="005E779E" w14:paraId="23CD406D" w14:textId="77777777">
        <w:tc>
          <w:tcPr>
            <w:tcW w:w="534" w:type="dxa"/>
          </w:tcPr>
          <w:p w14:paraId="4EF4CD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w:t>
            </w:r>
          </w:p>
        </w:tc>
        <w:tc>
          <w:tcPr>
            <w:tcW w:w="1819" w:type="dxa"/>
          </w:tcPr>
          <w:p w14:paraId="20714E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М34 без ред. и нагн.</w:t>
            </w:r>
          </w:p>
        </w:tc>
        <w:tc>
          <w:tcPr>
            <w:tcW w:w="466" w:type="dxa"/>
          </w:tcPr>
          <w:p w14:paraId="35CF4D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CCC29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F504B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66349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A1664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81A77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A5499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A8789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tc>
        <w:tc>
          <w:tcPr>
            <w:tcW w:w="466" w:type="dxa"/>
          </w:tcPr>
          <w:p w14:paraId="7CA989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F0C32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1EA60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77DD3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12B7C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C431F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61A23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3D632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B5C56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064E7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A0B6F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tc>
      </w:tr>
      <w:tr w:rsidR="001002C3" w:rsidRPr="005E779E" w14:paraId="2528C9AF" w14:textId="77777777">
        <w:tc>
          <w:tcPr>
            <w:tcW w:w="534" w:type="dxa"/>
          </w:tcPr>
          <w:p w14:paraId="142D62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w:t>
            </w:r>
          </w:p>
        </w:tc>
        <w:tc>
          <w:tcPr>
            <w:tcW w:w="1819" w:type="dxa"/>
          </w:tcPr>
          <w:p w14:paraId="2C2A83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М34 с нагнет.</w:t>
            </w:r>
          </w:p>
        </w:tc>
        <w:tc>
          <w:tcPr>
            <w:tcW w:w="466" w:type="dxa"/>
          </w:tcPr>
          <w:p w14:paraId="760796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C2A05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331A5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2AD6B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20CCF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085B2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42CD4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6E15D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ECC4B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tc>
        <w:tc>
          <w:tcPr>
            <w:tcW w:w="466" w:type="dxa"/>
          </w:tcPr>
          <w:p w14:paraId="6E6E6F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DC2BC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2D57F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38631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E163D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651E5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EDCED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C924C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w:t>
            </w:r>
          </w:p>
        </w:tc>
        <w:tc>
          <w:tcPr>
            <w:tcW w:w="466" w:type="dxa"/>
          </w:tcPr>
          <w:p w14:paraId="439E39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80A10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w:t>
            </w:r>
          </w:p>
        </w:tc>
      </w:tr>
      <w:tr w:rsidR="001002C3" w:rsidRPr="005E779E" w14:paraId="1A435659" w14:textId="77777777">
        <w:tc>
          <w:tcPr>
            <w:tcW w:w="534" w:type="dxa"/>
          </w:tcPr>
          <w:p w14:paraId="28CE12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w:t>
            </w:r>
          </w:p>
        </w:tc>
        <w:tc>
          <w:tcPr>
            <w:tcW w:w="1819" w:type="dxa"/>
          </w:tcPr>
          <w:p w14:paraId="04B0F6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М34 с ред. и нагнет.</w:t>
            </w:r>
          </w:p>
        </w:tc>
        <w:tc>
          <w:tcPr>
            <w:tcW w:w="466" w:type="dxa"/>
          </w:tcPr>
          <w:p w14:paraId="13DA8A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1FCB6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6E8F3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1C68A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8B27E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2B98D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3876D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D7EF4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A7A7C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7FEA2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EB8B2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E9432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65BBF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8DD85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56828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7E84C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5DD6B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w:t>
            </w:r>
          </w:p>
        </w:tc>
        <w:tc>
          <w:tcPr>
            <w:tcW w:w="466" w:type="dxa"/>
          </w:tcPr>
          <w:p w14:paraId="0A7F9F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D1218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w:t>
            </w:r>
          </w:p>
        </w:tc>
      </w:tr>
      <w:tr w:rsidR="001002C3" w:rsidRPr="005E779E" w14:paraId="3D5C18C4" w14:textId="77777777">
        <w:tc>
          <w:tcPr>
            <w:tcW w:w="534" w:type="dxa"/>
          </w:tcPr>
          <w:p w14:paraId="245458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w:t>
            </w:r>
          </w:p>
        </w:tc>
        <w:tc>
          <w:tcPr>
            <w:tcW w:w="1819" w:type="dxa"/>
          </w:tcPr>
          <w:p w14:paraId="52CEE5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М35 без ред.</w:t>
            </w:r>
          </w:p>
        </w:tc>
        <w:tc>
          <w:tcPr>
            <w:tcW w:w="466" w:type="dxa"/>
          </w:tcPr>
          <w:p w14:paraId="663F2B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06A97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44124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21835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5DB1D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20B3A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3CBF6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2CCD1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69A12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FB7F4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F252C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01FAF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A9BAA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0E6AA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C16E8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5EA00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D1E66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24B68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1EEB3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1002C3" w:rsidRPr="005E779E" w14:paraId="18934C63" w14:textId="77777777">
        <w:tc>
          <w:tcPr>
            <w:tcW w:w="534" w:type="dxa"/>
          </w:tcPr>
          <w:p w14:paraId="112EEE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w:t>
            </w:r>
          </w:p>
        </w:tc>
        <w:tc>
          <w:tcPr>
            <w:tcW w:w="1819" w:type="dxa"/>
          </w:tcPr>
          <w:p w14:paraId="507200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М35 с ред.</w:t>
            </w:r>
          </w:p>
        </w:tc>
        <w:tc>
          <w:tcPr>
            <w:tcW w:w="466" w:type="dxa"/>
          </w:tcPr>
          <w:p w14:paraId="409244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64A4D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B85E4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A9D45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E7178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22B6F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76A01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8CCFC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AFD40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08F64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80D8A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A7EEB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22478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C2C13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201BB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77D57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EA1AA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B20B8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158D9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1002C3" w:rsidRPr="005E779E" w14:paraId="7047DF92" w14:textId="77777777">
        <w:tc>
          <w:tcPr>
            <w:tcW w:w="534" w:type="dxa"/>
          </w:tcPr>
          <w:p w14:paraId="65E627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w:t>
            </w:r>
          </w:p>
        </w:tc>
        <w:tc>
          <w:tcPr>
            <w:tcW w:w="1819" w:type="dxa"/>
          </w:tcPr>
          <w:p w14:paraId="49794E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М44 с ред.</w:t>
            </w:r>
          </w:p>
        </w:tc>
        <w:tc>
          <w:tcPr>
            <w:tcW w:w="466" w:type="dxa"/>
          </w:tcPr>
          <w:p w14:paraId="4DCEE3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4EA73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15CB0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BE99D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C4AC3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B47B3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8B91A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0295D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DE3D7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8C955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EDF76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DE2B9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DF0FF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18262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2197E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71E95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B4B25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CDFAB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BB816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1002C3" w:rsidRPr="005E779E" w14:paraId="3CCA3BF4" w14:textId="77777777">
        <w:tc>
          <w:tcPr>
            <w:tcW w:w="534" w:type="dxa"/>
          </w:tcPr>
          <w:p w14:paraId="1058C4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w:t>
            </w:r>
          </w:p>
        </w:tc>
        <w:tc>
          <w:tcPr>
            <w:tcW w:w="1819" w:type="dxa"/>
          </w:tcPr>
          <w:p w14:paraId="3881A6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М38 без ред.</w:t>
            </w:r>
          </w:p>
        </w:tc>
        <w:tc>
          <w:tcPr>
            <w:tcW w:w="466" w:type="dxa"/>
          </w:tcPr>
          <w:p w14:paraId="60E0AD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666F5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6E690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643DD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484B4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20714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4BB49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FF605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C2D9F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D3FF2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94486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4F852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57E88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236F3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11641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tc>
        <w:tc>
          <w:tcPr>
            <w:tcW w:w="466" w:type="dxa"/>
          </w:tcPr>
          <w:p w14:paraId="4DD198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CC125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8D5BF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B2886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tc>
      </w:tr>
      <w:tr w:rsidR="001002C3" w:rsidRPr="005E779E" w14:paraId="110F1067" w14:textId="77777777">
        <w:tc>
          <w:tcPr>
            <w:tcW w:w="534" w:type="dxa"/>
          </w:tcPr>
          <w:p w14:paraId="356AC2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w:t>
            </w:r>
          </w:p>
        </w:tc>
        <w:tc>
          <w:tcPr>
            <w:tcW w:w="1819" w:type="dxa"/>
          </w:tcPr>
          <w:p w14:paraId="5BB67C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М32 с ред. и нагн.</w:t>
            </w:r>
          </w:p>
        </w:tc>
        <w:tc>
          <w:tcPr>
            <w:tcW w:w="466" w:type="dxa"/>
          </w:tcPr>
          <w:p w14:paraId="02E38A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E54B4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2AEEA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B5BBD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981FE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B0543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3F9D2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21C6A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73017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B096F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405E8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1B04A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32996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D7FE0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DD0AD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466" w:type="dxa"/>
          </w:tcPr>
          <w:p w14:paraId="39A972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4A467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21136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95B5D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r>
      <w:tr w:rsidR="001002C3" w:rsidRPr="005E779E" w14:paraId="1EB20AF0" w14:textId="77777777">
        <w:tc>
          <w:tcPr>
            <w:tcW w:w="534" w:type="dxa"/>
          </w:tcPr>
          <w:p w14:paraId="09F4F9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w:t>
            </w:r>
          </w:p>
        </w:tc>
        <w:tc>
          <w:tcPr>
            <w:tcW w:w="1819" w:type="dxa"/>
          </w:tcPr>
          <w:p w14:paraId="1605A2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М22 без ред.</w:t>
            </w:r>
          </w:p>
        </w:tc>
        <w:tc>
          <w:tcPr>
            <w:tcW w:w="466" w:type="dxa"/>
          </w:tcPr>
          <w:p w14:paraId="7129A8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635E2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C4E92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D5190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w:t>
            </w:r>
          </w:p>
        </w:tc>
        <w:tc>
          <w:tcPr>
            <w:tcW w:w="466" w:type="dxa"/>
          </w:tcPr>
          <w:p w14:paraId="2D1287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w:t>
            </w:r>
          </w:p>
        </w:tc>
        <w:tc>
          <w:tcPr>
            <w:tcW w:w="466" w:type="dxa"/>
          </w:tcPr>
          <w:p w14:paraId="3ADE26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w:t>
            </w:r>
          </w:p>
        </w:tc>
        <w:tc>
          <w:tcPr>
            <w:tcW w:w="466" w:type="dxa"/>
          </w:tcPr>
          <w:p w14:paraId="776517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w:t>
            </w:r>
          </w:p>
        </w:tc>
        <w:tc>
          <w:tcPr>
            <w:tcW w:w="466" w:type="dxa"/>
          </w:tcPr>
          <w:p w14:paraId="7C3174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466" w:type="dxa"/>
          </w:tcPr>
          <w:p w14:paraId="105CE5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6E027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05901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19A1E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09100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5CBF1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C0F03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70EAC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w:t>
            </w:r>
          </w:p>
        </w:tc>
        <w:tc>
          <w:tcPr>
            <w:tcW w:w="466" w:type="dxa"/>
          </w:tcPr>
          <w:p w14:paraId="78F77C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95DBE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C71A4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w:t>
            </w:r>
          </w:p>
        </w:tc>
      </w:tr>
      <w:tr w:rsidR="001002C3" w:rsidRPr="005E779E" w14:paraId="002AFA8A" w14:textId="77777777">
        <w:tc>
          <w:tcPr>
            <w:tcW w:w="534" w:type="dxa"/>
          </w:tcPr>
          <w:p w14:paraId="2F5A4C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w:t>
            </w:r>
          </w:p>
        </w:tc>
        <w:tc>
          <w:tcPr>
            <w:tcW w:w="1819" w:type="dxa"/>
          </w:tcPr>
          <w:p w14:paraId="362AA8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М22 с ред.</w:t>
            </w:r>
          </w:p>
        </w:tc>
        <w:tc>
          <w:tcPr>
            <w:tcW w:w="466" w:type="dxa"/>
          </w:tcPr>
          <w:p w14:paraId="1D83C5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329A9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0603F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76834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3C423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6A2DF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17108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861E8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F2E04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3707E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D9F4A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tc>
        <w:tc>
          <w:tcPr>
            <w:tcW w:w="466" w:type="dxa"/>
          </w:tcPr>
          <w:p w14:paraId="72FAE6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E5D0A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26D00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AC3A0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DF799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EDA44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6710D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A0D6D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tc>
      </w:tr>
      <w:tr w:rsidR="001002C3" w:rsidRPr="005E779E" w14:paraId="2BBD422B" w14:textId="77777777">
        <w:tc>
          <w:tcPr>
            <w:tcW w:w="534" w:type="dxa"/>
          </w:tcPr>
          <w:p w14:paraId="0BDA25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w:t>
            </w:r>
          </w:p>
        </w:tc>
        <w:tc>
          <w:tcPr>
            <w:tcW w:w="1819" w:type="dxa"/>
          </w:tcPr>
          <w:p w14:paraId="4AE6F1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М26</w:t>
            </w:r>
          </w:p>
        </w:tc>
        <w:tc>
          <w:tcPr>
            <w:tcW w:w="466" w:type="dxa"/>
          </w:tcPr>
          <w:p w14:paraId="18C2C6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357B3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466" w:type="dxa"/>
          </w:tcPr>
          <w:p w14:paraId="56861B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1DE27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2AEC3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tc>
        <w:tc>
          <w:tcPr>
            <w:tcW w:w="466" w:type="dxa"/>
          </w:tcPr>
          <w:p w14:paraId="3598AB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w:t>
            </w:r>
          </w:p>
        </w:tc>
        <w:tc>
          <w:tcPr>
            <w:tcW w:w="466" w:type="dxa"/>
          </w:tcPr>
          <w:p w14:paraId="3CF1F5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96637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1657D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D8074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41378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9FAFC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CBACA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50360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D88F8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ABC3E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2B504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583B8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94EB6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1002C3" w:rsidRPr="005E779E" w14:paraId="4104A3BD" w14:textId="77777777">
        <w:tc>
          <w:tcPr>
            <w:tcW w:w="534" w:type="dxa"/>
          </w:tcPr>
          <w:p w14:paraId="16A03F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w:t>
            </w:r>
          </w:p>
        </w:tc>
        <w:tc>
          <w:tcPr>
            <w:tcW w:w="1819" w:type="dxa"/>
          </w:tcPr>
          <w:p w14:paraId="1CACBC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М17</w:t>
            </w:r>
          </w:p>
        </w:tc>
        <w:tc>
          <w:tcPr>
            <w:tcW w:w="466" w:type="dxa"/>
          </w:tcPr>
          <w:p w14:paraId="29B5B3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AAF66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5FB59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466" w:type="dxa"/>
          </w:tcPr>
          <w:p w14:paraId="4697BF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6A6E4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B9273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466" w:type="dxa"/>
          </w:tcPr>
          <w:p w14:paraId="0C59B7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8F0EC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DC078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BCC87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07B69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995C5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w:t>
            </w:r>
          </w:p>
        </w:tc>
        <w:tc>
          <w:tcPr>
            <w:tcW w:w="466" w:type="dxa"/>
          </w:tcPr>
          <w:p w14:paraId="71CD0A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22491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FE6F2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9E802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4A18C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4A33C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56579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w:t>
            </w:r>
          </w:p>
        </w:tc>
      </w:tr>
      <w:tr w:rsidR="001002C3" w:rsidRPr="005E779E" w14:paraId="6AD357FB" w14:textId="77777777">
        <w:tc>
          <w:tcPr>
            <w:tcW w:w="534" w:type="dxa"/>
          </w:tcPr>
          <w:p w14:paraId="6A0A6D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w:t>
            </w:r>
          </w:p>
        </w:tc>
        <w:tc>
          <w:tcPr>
            <w:tcW w:w="1819" w:type="dxa"/>
          </w:tcPr>
          <w:p w14:paraId="2D1925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М11</w:t>
            </w:r>
          </w:p>
        </w:tc>
        <w:tc>
          <w:tcPr>
            <w:tcW w:w="466" w:type="dxa"/>
          </w:tcPr>
          <w:p w14:paraId="38CD99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28F28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908C5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09317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466" w:type="dxa"/>
          </w:tcPr>
          <w:p w14:paraId="160B54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BB35A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466" w:type="dxa"/>
          </w:tcPr>
          <w:p w14:paraId="3AA7A0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tc>
        <w:tc>
          <w:tcPr>
            <w:tcW w:w="466" w:type="dxa"/>
          </w:tcPr>
          <w:p w14:paraId="4BD1F1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03931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D1FC5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6E367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D1826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29475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45AC4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93D6B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43EF7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EA8F5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2E815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C8023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tc>
      </w:tr>
      <w:tr w:rsidR="001002C3" w:rsidRPr="005E779E" w14:paraId="75C424B6" w14:textId="77777777">
        <w:tc>
          <w:tcPr>
            <w:tcW w:w="534" w:type="dxa"/>
          </w:tcPr>
          <w:p w14:paraId="48E32D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w:t>
            </w:r>
          </w:p>
        </w:tc>
        <w:tc>
          <w:tcPr>
            <w:tcW w:w="1819" w:type="dxa"/>
          </w:tcPr>
          <w:p w14:paraId="4E44F3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РЦ</w:t>
            </w:r>
          </w:p>
        </w:tc>
        <w:tc>
          <w:tcPr>
            <w:tcW w:w="466" w:type="dxa"/>
          </w:tcPr>
          <w:p w14:paraId="463174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2405E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A8623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71865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E05A2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93B5B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529F7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5F6BC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5B8EE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2AE6A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83FEC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7713E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E693F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6B1E3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1718F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C9062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A2D74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CC81B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3CB9F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4DBEDE9" w14:textId="77777777">
        <w:tc>
          <w:tcPr>
            <w:tcW w:w="534" w:type="dxa"/>
          </w:tcPr>
          <w:p w14:paraId="00C148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w:t>
            </w:r>
          </w:p>
        </w:tc>
        <w:tc>
          <w:tcPr>
            <w:tcW w:w="1819" w:type="dxa"/>
          </w:tcPr>
          <w:p w14:paraId="1206AC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РЦ Ж6</w:t>
            </w:r>
          </w:p>
        </w:tc>
        <w:tc>
          <w:tcPr>
            <w:tcW w:w="466" w:type="dxa"/>
          </w:tcPr>
          <w:p w14:paraId="250D6F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F6DF4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8435C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B33EC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20F2F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B9F03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E5EE9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A2423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76269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56E30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F465D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985DB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F3308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3DDD0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F933A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E466E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466" w:type="dxa"/>
          </w:tcPr>
          <w:p w14:paraId="2F0832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877FB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DFBED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r>
      <w:tr w:rsidR="001002C3" w:rsidRPr="005E779E" w14:paraId="2A684601" w14:textId="77777777">
        <w:tc>
          <w:tcPr>
            <w:tcW w:w="534" w:type="dxa"/>
          </w:tcPr>
          <w:p w14:paraId="2442C8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w:t>
            </w:r>
          </w:p>
        </w:tc>
        <w:tc>
          <w:tcPr>
            <w:tcW w:w="1819" w:type="dxa"/>
          </w:tcPr>
          <w:p w14:paraId="310D14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М15</w:t>
            </w:r>
          </w:p>
        </w:tc>
        <w:tc>
          <w:tcPr>
            <w:tcW w:w="466" w:type="dxa"/>
          </w:tcPr>
          <w:p w14:paraId="5DCC5A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3A815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25AC6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466" w:type="dxa"/>
          </w:tcPr>
          <w:p w14:paraId="4F8C5D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6DFBD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08120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466" w:type="dxa"/>
          </w:tcPr>
          <w:p w14:paraId="54BF8C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37ADC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B5CCA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1E336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4BA44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8EFDB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4BCE1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D2C84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FEC73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D090B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F086A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0E5E8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F249B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474186D" w14:textId="77777777">
        <w:tc>
          <w:tcPr>
            <w:tcW w:w="534" w:type="dxa"/>
          </w:tcPr>
          <w:p w14:paraId="7D524F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w:t>
            </w:r>
          </w:p>
        </w:tc>
        <w:tc>
          <w:tcPr>
            <w:tcW w:w="1819" w:type="dxa"/>
          </w:tcPr>
          <w:p w14:paraId="59BA47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М38 спец.</w:t>
            </w:r>
          </w:p>
        </w:tc>
        <w:tc>
          <w:tcPr>
            <w:tcW w:w="466" w:type="dxa"/>
          </w:tcPr>
          <w:p w14:paraId="5A630C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4F2AE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D296A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8F71E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B4A7A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3477D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8999E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86B4A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70467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EF917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4F824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E8AE3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141DA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67A81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4C561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32C4A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52BCD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466" w:type="dxa"/>
          </w:tcPr>
          <w:p w14:paraId="7C7D83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634D8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r>
      <w:tr w:rsidR="001002C3" w:rsidRPr="005E779E" w14:paraId="3B017ACC" w14:textId="77777777">
        <w:tc>
          <w:tcPr>
            <w:tcW w:w="534" w:type="dxa"/>
            <w:tcBorders>
              <w:bottom w:val="single" w:sz="12" w:space="0" w:color="auto"/>
            </w:tcBorders>
          </w:tcPr>
          <w:p w14:paraId="54D9FD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19" w:type="dxa"/>
            <w:tcBorders>
              <w:bottom w:val="single" w:sz="12" w:space="0" w:color="auto"/>
            </w:tcBorders>
          </w:tcPr>
          <w:p w14:paraId="49D7DF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w:t>
            </w:r>
          </w:p>
        </w:tc>
        <w:tc>
          <w:tcPr>
            <w:tcW w:w="466" w:type="dxa"/>
            <w:tcBorders>
              <w:bottom w:val="single" w:sz="12" w:space="0" w:color="auto"/>
            </w:tcBorders>
          </w:tcPr>
          <w:p w14:paraId="79A9BB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7F99BB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47CDF8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43D1C8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6203AF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426361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36</w:t>
            </w:r>
          </w:p>
        </w:tc>
        <w:tc>
          <w:tcPr>
            <w:tcW w:w="466" w:type="dxa"/>
            <w:tcBorders>
              <w:bottom w:val="single" w:sz="12" w:space="0" w:color="auto"/>
            </w:tcBorders>
          </w:tcPr>
          <w:p w14:paraId="798E3F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6114E8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7A2A50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4460F7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56F878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15432F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4D74C0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131B76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1F995F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59EBB9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433F85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76EDB2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17F55D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bl>
    <w:p w14:paraId="42D0C1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Примечание: 1/ В настоящую таблицу включены моторы для программных заданий</w:t>
      </w:r>
    </w:p>
    <w:p w14:paraId="5D9AFE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Некоторые цифры даети ЦИАМ (351).</w:t>
      </w:r>
    </w:p>
    <w:p w14:paraId="1E308888"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6F282E0" w14:textId="77777777" w:rsidR="008153C6"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6093B16D" w14:textId="77777777" w:rsidR="008153C6" w:rsidRPr="005E779E" w:rsidRDefault="008153C6"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D0A8B93" w14:textId="77777777" w:rsidR="00DC65A1" w:rsidRPr="005E779E" w:rsidRDefault="00DC65A1" w:rsidP="000B7A6C">
      <w:pPr>
        <w:spacing w:after="0" w:line="240" w:lineRule="auto"/>
        <w:jc w:val="both"/>
        <w:rPr>
          <w:rFonts w:ascii="Times New Roman" w:hAnsi="Times New Roman"/>
          <w:color w:val="000000" w:themeColor="text1"/>
          <w:sz w:val="16"/>
          <w:szCs w:val="16"/>
        </w:rPr>
      </w:pPr>
      <w:r w:rsidRPr="005E779E">
        <w:rPr>
          <w:rStyle w:val="ucoz-forum-post"/>
          <w:rFonts w:ascii="Times New Roman" w:eastAsia="Times New Roman" w:hAnsi="Times New Roman"/>
          <w:bCs/>
          <w:color w:val="000000" w:themeColor="text1"/>
          <w:sz w:val="16"/>
          <w:szCs w:val="16"/>
        </w:rPr>
        <w:t xml:space="preserve">29 августа </w:t>
      </w:r>
      <w:r w:rsidRPr="005E779E">
        <w:rPr>
          <w:rFonts w:ascii="Times New Roman" w:hAnsi="Times New Roman"/>
          <w:color w:val="000000" w:themeColor="text1"/>
          <w:sz w:val="16"/>
          <w:szCs w:val="16"/>
        </w:rPr>
        <w:t>в 1931 году Иван Булгаков пишет из Парижа своему старшему брату Михаилу Булгакову: "Работаю сейчас музыкантом на балалайке, в качестве оркестранта и солиста. Я… женат, у меня дочка Ира. Ей сейчас скоро 7 лет. О тебе все мои хорошо осведомлены и любят тебя, радуются твоими радостями, болеют твоею болью" (14753).</w:t>
      </w:r>
    </w:p>
    <w:p w14:paraId="38994C3C" w14:textId="5E9FA1A9" w:rsidR="00DC65A1" w:rsidRPr="005E779E" w:rsidRDefault="00DC65A1" w:rsidP="000B7A6C">
      <w:pPr>
        <w:spacing w:after="0" w:line="240" w:lineRule="auto"/>
        <w:jc w:val="both"/>
        <w:rPr>
          <w:rFonts w:ascii="Times New Roman" w:hAnsi="Times New Roman"/>
          <w:color w:val="000000" w:themeColor="text1"/>
          <w:sz w:val="16"/>
          <w:szCs w:val="16"/>
        </w:rPr>
      </w:pPr>
    </w:p>
    <w:p w14:paraId="2D09BC38" w14:textId="680484DD" w:rsidR="00E331AC" w:rsidRPr="005E779E" w:rsidRDefault="00E331AC" w:rsidP="000B7A6C">
      <w:pPr>
        <w:spacing w:after="0" w:line="240" w:lineRule="auto"/>
        <w:jc w:val="both"/>
        <w:rPr>
          <w:rFonts w:ascii="Times New Roman" w:hAnsi="Times New Roman"/>
          <w:i/>
          <w:iCs/>
          <w:color w:val="000000" w:themeColor="text1"/>
          <w:sz w:val="16"/>
          <w:szCs w:val="16"/>
        </w:rPr>
      </w:pPr>
      <w:r w:rsidRPr="005E779E">
        <w:rPr>
          <w:rFonts w:ascii="Times New Roman" w:hAnsi="Times New Roman"/>
          <w:i/>
          <w:iCs/>
          <w:color w:val="000000" w:themeColor="text1"/>
          <w:sz w:val="16"/>
          <w:szCs w:val="16"/>
        </w:rPr>
        <w:t>За рубежом:</w:t>
      </w:r>
    </w:p>
    <w:p w14:paraId="65E0C7BE" w14:textId="77777777" w:rsidR="00E331AC" w:rsidRPr="005E779E" w:rsidRDefault="00E331AC" w:rsidP="000B7A6C">
      <w:pPr>
        <w:spacing w:after="0" w:line="240" w:lineRule="auto"/>
        <w:jc w:val="both"/>
        <w:rPr>
          <w:rFonts w:ascii="Times New Roman" w:hAnsi="Times New Roman"/>
          <w:i/>
          <w:iCs/>
          <w:color w:val="000000" w:themeColor="text1"/>
          <w:sz w:val="16"/>
          <w:szCs w:val="16"/>
        </w:rPr>
      </w:pPr>
    </w:p>
    <w:p w14:paraId="5C2B6470" w14:textId="77777777" w:rsidR="00E331AC" w:rsidRPr="005E779E" w:rsidRDefault="00E331A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 августа 1931 немецкий дирижабль Graf Zeppelin открывает воздушное сообщение между Германией и Бразилией (20804).</w:t>
      </w:r>
    </w:p>
    <w:p w14:paraId="07B8FBC6" w14:textId="77777777" w:rsidR="00E331AC" w:rsidRPr="005E779E" w:rsidRDefault="00E331AC" w:rsidP="000B7A6C">
      <w:pPr>
        <w:spacing w:after="0" w:line="240" w:lineRule="auto"/>
        <w:jc w:val="both"/>
        <w:rPr>
          <w:rFonts w:ascii="Times New Roman" w:hAnsi="Times New Roman"/>
          <w:color w:val="000000" w:themeColor="text1"/>
          <w:sz w:val="16"/>
          <w:szCs w:val="16"/>
        </w:rPr>
      </w:pPr>
    </w:p>
    <w:p w14:paraId="6C0E7EB9"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032072C0"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EDEE6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 августа 1931 состоялось Заседание у П.И.Баранова по вопросам Программы моторных заводов на 1932 и Программа самолетных заводов на 1932 (черновая рукопись) (351).</w:t>
      </w:r>
    </w:p>
    <w:p w14:paraId="1849F3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810B92A"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649C7DC3"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29185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30 августа 1931 г. за № П59/12-РС </w:t>
      </w:r>
    </w:p>
    <w:p w14:paraId="03AFA3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Т.т.Орджоникидзе,Акулову бфла подготовлена:</w:t>
      </w:r>
    </w:p>
    <w:p w14:paraId="041EA6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Выписка из протокола № 59 заседания Политбюро ЦК от 30 августа 1931 г. </w:t>
      </w:r>
    </w:p>
    <w:p w14:paraId="26EA5F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Решение Политбюро от 30.УШ.31Г </w:t>
      </w:r>
    </w:p>
    <w:p w14:paraId="086821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просьбе т.Акулова отложить вопрос о конструкторских бюро при ГПУ до следующего заседания Политбюро, поручив т.т.Орджоникидзе и Акулову внести согласованное предложение.</w:t>
      </w:r>
    </w:p>
    <w:p w14:paraId="1DDE6E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СЕКРЕТАРЬ ЦК</w:t>
      </w:r>
    </w:p>
    <w:p w14:paraId="7936CF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АП РФ Ф.3., Оп.58., Д.142., л. 1 (11462).</w:t>
      </w:r>
    </w:p>
    <w:p w14:paraId="46D0CD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3785D41" w14:textId="77777777" w:rsidR="003E28CB" w:rsidRPr="005E779E" w:rsidRDefault="003E28CB"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30 августа</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Протокол заседания Политбюро ЦК ВКП(б) №59. 3/12. О конструкторских бюро. (Орджоникидзе, Акулов). Постановили: по просьбе т. Акулова отложить вопрос о конструкторских бюро при ГПУ до следующего заседания Политбюро, поручив т. Орджоникидзе и Акулову внести согласованное предложение. (РГАСПИ. Ф. 17. Оп. 162. Д. 10. Л. 175) (12416).</w:t>
      </w:r>
    </w:p>
    <w:p w14:paraId="4B9E58E2" w14:textId="77777777" w:rsidR="003E28CB" w:rsidRPr="005E779E" w:rsidRDefault="003E28CB" w:rsidP="000B7A6C">
      <w:pPr>
        <w:spacing w:after="0" w:line="240" w:lineRule="auto"/>
        <w:jc w:val="both"/>
        <w:rPr>
          <w:rFonts w:ascii="Times New Roman" w:hAnsi="Times New Roman"/>
          <w:color w:val="000000" w:themeColor="text1"/>
          <w:sz w:val="16"/>
          <w:szCs w:val="16"/>
          <w:u w:color="002060"/>
        </w:rPr>
      </w:pPr>
    </w:p>
    <w:p w14:paraId="14C4C0E1" w14:textId="77777777" w:rsidR="00EF159B" w:rsidRPr="005E779E" w:rsidRDefault="00EF159B"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30 августа 1931 г. ПБ рассмотрело по предложению Орджоникидзе и Акулова вопрос «О конструкторских бюро». Решение было отложено, ПБ поручило Орджоникидзе и Акулову внести согласованное предложение (РГАСПИ. Ф. 17. Оп. 162. Д. 10. Л. 175). После телеграммы Сталина 20 сентября 1931 г. ПБ постановило (Оставить конструкторские бюро при ОПТУ (Там же. Оп. 3. Д. 849. Л. 3). При этом ПБ приняло предложение Акулова и Орджоникидзе об освобождении некоторой части инженеров для работы в ВСНХ по списку, согласованному между Акуловым и Орджоникидзе (Там же. Оп. 162. Д. П. Л. 10).</w:t>
      </w:r>
    </w:p>
    <w:p w14:paraId="5B2824FE" w14:textId="77777777" w:rsidR="00EF159B" w:rsidRPr="005E779E" w:rsidRDefault="00EF159B"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bCs/>
          <w:color w:val="000000" w:themeColor="text1"/>
          <w:sz w:val="16"/>
          <w:szCs w:val="16"/>
          <w:lang w:eastAsia="ru-RU"/>
        </w:rPr>
        <w:t>14 сентября 1931 г. Сталин — Кагановичу, Ягоде</w:t>
      </w:r>
    </w:p>
    <w:p w14:paraId="2E201963" w14:textId="77777777" w:rsidR="00EF159B" w:rsidRPr="005E779E" w:rsidRDefault="00EF159B"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Кагановичу, копия Ягоде. Считаю преждевременной передачу конструкторских бюро ОПТУ в ведение ВСНХ</w:t>
      </w:r>
      <w:r w:rsidRPr="005E779E">
        <w:rPr>
          <w:rFonts w:ascii="Times New Roman" w:eastAsia="Times New Roman" w:hAnsi="Times New Roman"/>
          <w:color w:val="000000" w:themeColor="text1"/>
          <w:sz w:val="16"/>
          <w:szCs w:val="16"/>
          <w:vertAlign w:val="superscript"/>
          <w:lang w:eastAsia="ru-RU"/>
        </w:rPr>
        <w:t>1</w:t>
      </w:r>
      <w:r w:rsidRPr="005E779E">
        <w:rPr>
          <w:rFonts w:ascii="Times New Roman" w:eastAsia="Times New Roman" w:hAnsi="Times New Roman"/>
          <w:color w:val="000000" w:themeColor="text1"/>
          <w:sz w:val="16"/>
          <w:szCs w:val="16"/>
          <w:lang w:eastAsia="ru-RU"/>
        </w:rPr>
        <w:t>. Сталин. №38 10.45 14/IX — 31 г.2</w:t>
      </w:r>
    </w:p>
    <w:p w14:paraId="207AC122" w14:textId="77777777" w:rsidR="00EF159B" w:rsidRPr="005E779E" w:rsidRDefault="00EF159B"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Ф. </w:t>
      </w:r>
      <w:r w:rsidRPr="005E779E">
        <w:rPr>
          <w:rFonts w:ascii="Times New Roman" w:eastAsia="Times New Roman" w:hAnsi="Times New Roman"/>
          <w:iCs/>
          <w:color w:val="000000" w:themeColor="text1"/>
          <w:sz w:val="16"/>
          <w:szCs w:val="16"/>
          <w:lang w:eastAsia="ru-RU"/>
        </w:rPr>
        <w:t>558. Оп. 11. Д. 76. Л. 64. Автограф</w:t>
      </w:r>
      <w:r w:rsidRPr="005E779E">
        <w:rPr>
          <w:rFonts w:ascii="Times New Roman" w:eastAsia="Times New Roman" w:hAnsi="Times New Roman"/>
          <w:color w:val="000000" w:themeColor="text1"/>
          <w:sz w:val="16"/>
          <w:szCs w:val="16"/>
          <w:lang w:eastAsia="ru-RU"/>
        </w:rPr>
        <w:t xml:space="preserve"> (17281).</w:t>
      </w:r>
    </w:p>
    <w:p w14:paraId="20500AD9" w14:textId="77777777" w:rsidR="00EF159B" w:rsidRPr="005E779E" w:rsidRDefault="00EF159B" w:rsidP="000B7A6C">
      <w:pPr>
        <w:spacing w:after="0" w:line="240" w:lineRule="auto"/>
        <w:jc w:val="both"/>
        <w:rPr>
          <w:rFonts w:ascii="Times New Roman" w:hAnsi="Times New Roman"/>
          <w:color w:val="000000" w:themeColor="text1"/>
          <w:sz w:val="16"/>
          <w:szCs w:val="16"/>
          <w:u w:color="002060"/>
        </w:rPr>
      </w:pPr>
    </w:p>
    <w:p w14:paraId="39BCE3F9" w14:textId="77777777" w:rsidR="004D6C70" w:rsidRPr="005E779E" w:rsidRDefault="004D6C70"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30 августа Политбюро утвердило постановления валютной комиссии о размещении в Германии заказов на вагонные оси и колеса и об импорте качественных сталей на 5 млн руб. На заседаниях Политбюро, проходивших незадолго до отъезда Сталина в отпуск, 28 и 30 июля 1931 г., по предложению Сталина была установлена окончательная цифра импортных контингентов черного металла: завоз в 1931 г. для ВСНХ 1.300 тыс. тонн проката плюс 100 тыс. тонн уже завезенного. чугуна. Оба решения принимались по предложению руководства ВСНХ, Орджоникидзе. Получив это известие, Сталин и Молотов послали в Москву телеграмму, осуждавшую эти меры. 5 сентября в ответ на протест Сталина и Молотова Политбюро поручило Рудзутаку, Кагановичу и Орджоникидзе составить телеграмму Сталину и Молотову, а до получения ответа от них задержать выдачу заказа. Руководителям ВСНХ и Наркомата внешней торговли поручалось также «дать сегодня же точный подсчет остатков от контингентов ВСНХ». Сообщая об этом решении, Рудзутак, Каганович и Орджоникидзе ссылались на образование у ВСНХ экономии по импорту, за счет которой и предлагалось произвести закупки стали, вагонных колес и осей. Причем, как сообщал Каганович, на заседании Политбюро Орджоникидзе фактически требовал проигнорировать претензии Сталина. Реакция Сталина была резкой. Почувствовав некоторое сопротивление, он вместе с Молотовым 6 сентября послал в Москву ультиматум: «В случае вашего несогласия предлагаем специальное заседание Политбюро с вызовом нас обоих». Под таким нажимом, хотя и не сразу, а только 8 сентября, Политбюро отменило свое решение от 30 августа об импорте качественной стали, вагонных колес и осей, предложив Наркомвнешторгу приостановить всякие переговоры о даче этих заказов. На следующий день, 9 сентября, проявляя характерную для этого периода осторожность, Сталин послал дружески-внушающие письма Орджоникидзе и Кагановичу (17281).</w:t>
      </w:r>
    </w:p>
    <w:p w14:paraId="1E82A9B1" w14:textId="77777777" w:rsidR="004D6C70" w:rsidRPr="005E779E" w:rsidRDefault="004D6C70" w:rsidP="000B7A6C">
      <w:pPr>
        <w:spacing w:after="0" w:line="240" w:lineRule="auto"/>
        <w:jc w:val="both"/>
        <w:rPr>
          <w:rFonts w:ascii="Times New Roman" w:hAnsi="Times New Roman"/>
          <w:color w:val="000000" w:themeColor="text1"/>
          <w:sz w:val="16"/>
          <w:szCs w:val="16"/>
          <w:u w:color="002060"/>
        </w:rPr>
      </w:pPr>
    </w:p>
    <w:p w14:paraId="145CA3F2" w14:textId="77777777" w:rsidR="005A4219" w:rsidRPr="005E779E" w:rsidRDefault="005A4219"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30 августа 1931 Комиссия Куйбышева на своем первом заседании в присутствии Гамарника, Левичева, Ботнера и Лудри заслушала доклад заместителя начальника МПС ВСНХ Смилги и признала принятую программу судостроения на 1932-1935 гг. непосильной для промышленности. </w:t>
      </w:r>
    </w:p>
    <w:p w14:paraId="410A4565" w14:textId="77777777" w:rsidR="005A4219" w:rsidRPr="005E779E" w:rsidRDefault="005A4219"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На подготовительной стадии деятельности комиссии Куйбышева в установки КО были внесены изменения, и мобилизационно-плановый сектор ВСНХ получил задание рассчитать ресурсы исходя из необходимости постройки 4 крейсеров, 46 эсминцев, 142 (подругам данным - 178) подводных лодок, 244 торпедных катеров (включая лидеры), а всего 436 единиц общим водоизмещением 248 тыс. т (с учетом вспомогательных судов - около 300 тыс. т). По оценке начальника МПС ВСНХ </w:t>
      </w:r>
      <w:r w:rsidRPr="005E779E">
        <w:rPr>
          <w:rFonts w:ascii="Times New Roman" w:eastAsia="Times New Roman" w:hAnsi="Times New Roman"/>
          <w:color w:val="000000" w:themeColor="text1"/>
          <w:sz w:val="16"/>
          <w:szCs w:val="16"/>
          <w:lang w:eastAsia="ru-RU"/>
        </w:rPr>
        <w:lastRenderedPageBreak/>
        <w:t>Мартиновича, такая определенная программа 1932-1935 гг. "при крайнем напряжении производственных сил и соответствующей помощи извне может быть выполнена в заданном УВМС объеме и сроки" (Упоминание о "помощи извне" диктовалось тем фактом, что в годы первой пятилетки "пополнение тоннажа морского транспортного флота за счет отечественного судостроения обеспечивалось менее чем на 50%" (ГРИБОВСКИЙ В. Ю. И ДР. Указ. СОЧ. С. 10)). Дополнительные инвестиции в промышленность должны были составить 473 млн руб., а ассигнования на постройку по основной программе УВМС - "ориентировочно" 1700 млн руб.; требовалась также дополнительная подготовка кадров и иностранная техническая помощь (Докладная записка Начальника МПС и Члена Президиума ВСНХ СССР Мартиновича "О результатах проработки промышленностью в первом приближении возможное выполнения заданий УВМС по судостроительной программе 1932-1935 гг.-&gt; [не позднее 30.08.1931] (неподписанный экземпляр)// РГА ВМФ. Ф. Р-1483. Он. 1.Д 128. Л. 53-71).</w:t>
      </w:r>
    </w:p>
    <w:p w14:paraId="4214FC4C" w14:textId="77777777" w:rsidR="005A4219" w:rsidRPr="005E779E" w:rsidRDefault="005A4219"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Соломоново решение включало в себя, во-первых, поручение "Госплану и ВСНХ с участием НКВМ еще раз представить расчеты по варианту, представленному промышленностью, и разработать ориентировочный вариант с оттяжкой срока выполнения всей программы до конца 1936 г.". Во-вторых, комиссия постановила "считать необходимой разработку НКВМ второго варианта программы морского судостроения в 1932-1935 гг., исходя из 1) исключения постройки крейсеров; 2) пересмотра соотношения между подлодками малого и большого тоннажа; 3) постройки 40 миноносцев (вместо 48); 4) максимального сокращения размера ассигнований, в особенности на 1932 г.", и т. д. (Протокол № 1 заседания комиссии т. Куйбышева по строительству морского флота от 30.08.1931 // РГВА Ф. 4. Оп. 14. Д. 417. Л. 30). Для заказов ВМС на ближайший год было выделено 210 млн. руб., т. е. около половины намечавшихся ассигнований в среднегодовом исчислении (План заказов Наркомвоенмора на 1932 г. Приложение № 3 к протоколу Комиссии т. Куйбышева от 6.09.1931 // Там же. Л. 16. По времени и по существу эта акция совпала с попыткой возглавлявшегося Куйбышевым Госплана пересмотреть ввиду растущих экономических затруднений планы развития тяжелой промышленности, утвержденные ранее политическим руководством (см.: DAVIES RW, KULEVNIUK О. Gosplan //Decision-making in the Stalinist command economy, 1932-1937 / Ed. by E. A Rees. N. Y, 1997. P. 39-40)). Однако вскоре установленные комиссией лимиты морского строительства были изменены; в начале ноября ей были представлены результаты наработки нового варианта программы (200 подводных лодок, 45 эсминцев, 250 торпедных катеров) (Сопроводительная записка Начальника МПС и Члена Президиума ВСНХ СССР Мартиновича Председателю комиссии по строительству морского флота Куйбышеву, Заместителю Председателя ВСНХ Павлуновскому, Секретарю ЦК ВКП(б) Каганович)^, Заместителю Наркома по Военным и Морским Делам Тухачевскому, Начальнику ВМС РККА Орлову, Начальнику II (технического) Управления УВхМС РККА Сивкову, в СО Госплана СССР "По вопросу военной морской пятилетки", 04.11.1931 // РГА ВМФ. Ф. Р-1483-Оп. 1.Д. 128. Л. 16.) (22725).</w:t>
      </w:r>
    </w:p>
    <w:p w14:paraId="708E71CD" w14:textId="77777777" w:rsidR="005A4219" w:rsidRPr="005E779E" w:rsidRDefault="005A4219" w:rsidP="000B7A6C">
      <w:pPr>
        <w:autoSpaceDE w:val="0"/>
        <w:autoSpaceDN w:val="0"/>
        <w:adjustRightInd w:val="0"/>
        <w:spacing w:after="0" w:line="240" w:lineRule="auto"/>
        <w:jc w:val="both"/>
        <w:rPr>
          <w:rFonts w:ascii="Times New Roman" w:hAnsi="Times New Roman"/>
          <w:i/>
          <w:iCs/>
          <w:color w:val="000000" w:themeColor="text1"/>
          <w:sz w:val="16"/>
          <w:szCs w:val="16"/>
        </w:rPr>
      </w:pPr>
    </w:p>
    <w:p w14:paraId="15B4A3CD" w14:textId="3A1FC9D3" w:rsidR="0047409F"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4DFCA14D" w14:textId="77777777" w:rsidR="0047409F" w:rsidRPr="005E779E" w:rsidRDefault="0047409F"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FC4D8CB" w14:textId="77777777" w:rsidR="0047409F" w:rsidRPr="005E779E" w:rsidRDefault="0047409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 августа 1931 г. Протокол ПБ № 59 п.7/16: Об Интуристе (ПБ от 20-8-1931, протокол № 57, п. 14/40; Енукидзе, Гринько, Розенгольц, Антипов, Курц). Решено принять с поправками внесенный комиссией проект постановления о развитии туризма в СССР. Для развития иностранного туризма в СССР постановление определяло ряд направлений деятельности: I. По заграничной работе. 1. «Интуристу» развернуть сеть заграничных представительств. 2. Поручить Орграспреду ЦК мобилизовать 20 ответственных товарищей для руководящей работы заграницей и 50 человек – для аппарата «Интуриста» в СССР. II. По капитальному строительству и гостиничному фонду. 4. Передать «Интуристу» на арендных началах ряд гостиниц в Москве, Ленинграде, Одессе, Киеве, Ялте и Владивостоке. 5. Наметить строительство ряда новых гостиниц. 6. Предложить «Интуристу» для обслуживания туристов из трудящихся и менее обеспеченных слоев населения установить в гостиницах удешевленные цены. 9. Приравнять строительство «Интуриста» по линии финансирования и снабжения стройматериалами и оборудованием к разрядам ударных. III. Торговля. 12. Поручить НКВТ и НКСнабу разработать план развертывания лавочной сети, как на местах наибольшего скопления интуристов, так и по пути следования интуристов и транзитных пассажиров. IV. По обмену инвалюты. 13. Поручить НКФ СССР, совместно с Госбанком и «Интуристом» разработать мероприятия, упрощающие и облегчающие иностранцам обмен валюты на советские деньги. V. По железнодорожному и водному транспорту. 14. Предоставить «Интуристу» право первоочередного получения билетов по заявленной броне во всех вагонах бывшего Международного общества спальных вагонов как в СССР, так и за границей. 15. Обязать НКПС выполнить постановление СТО от 2-12-1930 об изготовлении 30 спальных вагонов в шестимесячный срок. 16. Принять решительные меры к искоренению антисанитарного состояния вагонов. 17. Изъять из ведения Совторгфлота и передать в ведение «Интуриста» продажу билетов иностранных пароходных линий и продажу билетов на пароходы заграничных рейсов Совторгфлота. 18. Предоставить «Интуристу» исключительное право заключения договоров с иностранными пароходными компаниями на трансатлантические перевозки пассажиров. Все договора, заключенные «Интуристом» с иностранными пароходными компаниями, должны иметь последующее утверждение Наркомвода. 21. Обязать Наркомснаб и ВСНХ удовлетворять заявки «Интуриста» на снабжение его гостиниц, пароходов и поездов, в первую очередь. VI. По воздушным путям. 23. Обязать Управление ГВФ обеспечить усиленное движение пассажирских самолетов на ряде линий. VII. По автотранспорту. 25. Предложить СТО обеспечить «Интурист» к 1-4-1932 автомашинами внутреннего производства. VIII. По питанию 26. Предложить НКСнабу, НКПС и НКВоду организовать специальное снабжение интуристов продуктами питания. IX. Политика цен. Общую ответственность за выполнение программы по интуризму на 1932 год возложить на председателя правления «Интуриста» Курц (15896).</w:t>
      </w:r>
    </w:p>
    <w:p w14:paraId="6DBDCB12" w14:textId="77777777" w:rsidR="0047409F" w:rsidRPr="005E779E" w:rsidRDefault="0047409F" w:rsidP="000B7A6C">
      <w:pPr>
        <w:spacing w:after="0" w:line="240" w:lineRule="auto"/>
        <w:jc w:val="both"/>
        <w:rPr>
          <w:rFonts w:ascii="Times New Roman" w:hAnsi="Times New Roman"/>
          <w:color w:val="000000" w:themeColor="text1"/>
          <w:sz w:val="16"/>
          <w:szCs w:val="16"/>
        </w:rPr>
      </w:pPr>
    </w:p>
    <w:p w14:paraId="25245DF6"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7F3579E9"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192CDC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 августа 1931 в Афинах обнаружена древняя статуя римского императора Адриана (4962).</w:t>
      </w:r>
    </w:p>
    <w:p w14:paraId="37ED98D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0C9358"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4A7D75C1"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A1B3E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 августа 1931 г. начальник 2 отдела НИИ ВВС Горощенко писал письмо N 489с начальнику УВВС.</w:t>
      </w:r>
    </w:p>
    <w:p w14:paraId="12333F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сем представляется сводка "Испытание самолета И7 БМВ VI".</w:t>
      </w:r>
    </w:p>
    <w:p w14:paraId="530BD5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И7 БМВ VI опытный, постройки завода N 1.</w:t>
      </w:r>
    </w:p>
    <w:p w14:paraId="07F837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основании произведенных испытаний НИИ считает, что самолет И7 БМВ VI не отвечает по своим летным данным требованиям к современным одноместным истребителям и полагает целесообразной постройку самолета для вооружения нескольких эскадрилий, исходя: 1. легкой возможности замены на самолете И7 М17, мотором М34, после чего самолет сможет получить полетные данные современного одноместного истребителя; 2. трудности эксплуатации и понижению летных данных самолета И5 ЮVI в зимних условиях.</w:t>
      </w:r>
    </w:p>
    <w:p w14:paraId="5864A8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Испытание начато 10.08.1931 г.</w:t>
      </w:r>
    </w:p>
    <w:p w14:paraId="289FC6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Испытание закончено 16.08.1931 г.</w:t>
      </w:r>
    </w:p>
    <w:p w14:paraId="1494E4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Летных дней на испытание - 5</w:t>
      </w:r>
    </w:p>
    <w:p w14:paraId="2F079D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Количество полетов - 24</w:t>
      </w:r>
    </w:p>
    <w:p w14:paraId="522909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Налетано часов - 11 час. 40 мин. (3269).</w:t>
      </w:r>
    </w:p>
    <w:p w14:paraId="0B4FFF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801E3BA" w14:textId="77777777" w:rsidR="008A27D1" w:rsidRPr="005E779E" w:rsidRDefault="008A27D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 августа 1931 г. начальник 2-го отдела НИИ ВВС Горощенко письмом № 489с направил результаты испытаний самолета И-7 начальнику УВВС.</w:t>
      </w:r>
    </w:p>
    <w:p w14:paraId="6B8A1C67" w14:textId="77777777" w:rsidR="008A27D1" w:rsidRPr="005E779E" w:rsidRDefault="008A27D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завершения летной программы Государственных испытаний самолет передан на отстрел вооружения на полигон в Кунцево под Москвой (24331).</w:t>
      </w:r>
    </w:p>
    <w:p w14:paraId="2C708059" w14:textId="77777777" w:rsidR="008A27D1" w:rsidRPr="005E779E" w:rsidRDefault="008A27D1" w:rsidP="000B7A6C">
      <w:pPr>
        <w:spacing w:after="0" w:line="240" w:lineRule="auto"/>
        <w:jc w:val="both"/>
        <w:rPr>
          <w:rFonts w:ascii="Times New Roman" w:hAnsi="Times New Roman"/>
          <w:color w:val="000000" w:themeColor="text1"/>
          <w:sz w:val="16"/>
          <w:szCs w:val="16"/>
        </w:rPr>
      </w:pPr>
    </w:p>
    <w:p w14:paraId="16FC05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 августа 1931 ВАО запросил с заводов и КБ фотоснимки производимых и разрабатываемых самолетов (2375,8).</w:t>
      </w:r>
    </w:p>
    <w:p w14:paraId="5D60A9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5B1692F" w14:textId="516CAACF" w:rsidR="00A202EB" w:rsidRPr="005E779E" w:rsidRDefault="00A202EB" w:rsidP="00A202EB">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w:t>
      </w:r>
      <w:r>
        <w:rPr>
          <w:rFonts w:ascii="Times New Roman" w:hAnsi="Times New Roman"/>
          <w:i/>
          <w:iCs/>
          <w:color w:val="000000" w:themeColor="text1"/>
          <w:sz w:val="16"/>
          <w:szCs w:val="16"/>
        </w:rPr>
        <w:t>рмия</w:t>
      </w:r>
      <w:r w:rsidRPr="005E779E">
        <w:rPr>
          <w:rFonts w:ascii="Times New Roman" w:hAnsi="Times New Roman"/>
          <w:i/>
          <w:iCs/>
          <w:color w:val="000000" w:themeColor="text1"/>
          <w:sz w:val="16"/>
          <w:szCs w:val="16"/>
        </w:rPr>
        <w:t>:</w:t>
      </w:r>
    </w:p>
    <w:p w14:paraId="121D1382" w14:textId="77777777" w:rsidR="00A202EB" w:rsidRPr="005E779E" w:rsidRDefault="00A202EB" w:rsidP="00A202EB">
      <w:pPr>
        <w:autoSpaceDE w:val="0"/>
        <w:autoSpaceDN w:val="0"/>
        <w:adjustRightInd w:val="0"/>
        <w:spacing w:after="0" w:line="240" w:lineRule="auto"/>
        <w:jc w:val="both"/>
        <w:rPr>
          <w:rFonts w:ascii="Times New Roman" w:hAnsi="Times New Roman"/>
          <w:iCs/>
          <w:color w:val="000000" w:themeColor="text1"/>
          <w:sz w:val="16"/>
          <w:szCs w:val="16"/>
        </w:rPr>
      </w:pPr>
    </w:p>
    <w:p w14:paraId="2CBCCE98" w14:textId="77777777" w:rsidR="00A202EB" w:rsidRPr="00142305" w:rsidRDefault="00A202EB" w:rsidP="00A202E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31 августа 1931 г. по результатам проверки складского хозяйства в ВВС БВО вышел приказ РВС СССР № 067 «О недопустимом состоянии денежного хозяйства и безобразных фактах нарушения сметной дисциплины на 9-м авиаскладе и объявлении выговора начальнику снабжения ВВС БВО т. Цыбаневу и начальнику 9-го авиа</w:t>
      </w:r>
      <w:r w:rsidRPr="00142305">
        <w:rPr>
          <w:rFonts w:ascii="Times New Roman" w:hAnsi="Times New Roman"/>
          <w:color w:val="0070C0"/>
          <w:sz w:val="16"/>
          <w:szCs w:val="16"/>
        </w:rPr>
        <w:softHyphen/>
        <w:t>склада т. Клебанову» (РГВА. Ф. 4. Оп. 15а. Д. 307. Л. 12) (24968).</w:t>
      </w:r>
    </w:p>
    <w:p w14:paraId="624E5DBB" w14:textId="77777777" w:rsidR="00A202EB" w:rsidRPr="00142305" w:rsidRDefault="00A202EB" w:rsidP="00A202EB">
      <w:pPr>
        <w:spacing w:after="0" w:line="240" w:lineRule="auto"/>
        <w:jc w:val="both"/>
        <w:rPr>
          <w:rFonts w:ascii="Times New Roman" w:hAnsi="Times New Roman"/>
          <w:color w:val="0070C0"/>
          <w:sz w:val="16"/>
          <w:szCs w:val="16"/>
        </w:rPr>
      </w:pPr>
    </w:p>
    <w:p w14:paraId="60453FE3"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5BB0CCB1"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8A98B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августа 1931 морской отдел НИИ ВВС в Севастополе закончил госиспытания ТБ-1 на поплавках, начатые 15 июня. Поплавковый вариант в АГОС назвали ТБ-1 а ("а" - от "аква" - "вода").</w:t>
      </w:r>
    </w:p>
    <w:p w14:paraId="0B53C8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Увеличение веса пустого самолета и дополнительное аэродинамическое сопротивление от поплавков, разумеется, снизили данные машины. Максимальная скорость не превышала 185 км/ч, потолок - 3620 м. Существенно ухудшились маневренность и скороподъемность. Тем не менее, результаты признали удовлетворительными. По сравнению с имевшимися в морских эскадрильях поплавковыми ЮГ-1 и летающими лодками "Валь", ТБ-1а выгодно отличался возможностью несения боеприпасов крупных калибров, необходимых для поражения боевых кораблей. Машину приняли на вооружение ВВС РККА.</w:t>
      </w:r>
    </w:p>
    <w:p w14:paraId="283F90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Начали готовиться к серийному производству поплавков. Английский образец обмерили и выполнили чертежи. Серию хотели поручить заводу № 22, но он был перегружен другими заказами. В результате документацию и поплавок-образец перевезли в Таганрог. Там их стали производить под названием "тип Ж" и устанавливать на самолеты, прибывавшие из Москвы.</w:t>
      </w:r>
    </w:p>
    <w:p w14:paraId="29A861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Монтаж поплавков велся уже после прекращения производства ТБ-1. Всего доработке подверглись 66 самолетов. Серийные поплавковые бомбардировщики именовали ТБ-1П или иногда МТБ-1.</w:t>
      </w:r>
    </w:p>
    <w:p w14:paraId="3BAFEB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Принятие на вооружение ТБ-1П сделало ненужным серийное производство другой машины, ТОМ-1. Этот самолет разрабатывался с августа 1928 г. в конструкторском бюро при заводе № 28 под руководством приглашенного из Франции конструктора П. Ришара. По схеме он был близок к ТБ-1П, но получился больше, тяжелее и имел гладкую, а не гофрированную обшивку. Опытный образец ТОМ-1 изготовили в декабре 1931 г. Хотя эта машина значительно превосходила ТБ-1 а по летным данным, от ее запуска в серию отказались из-за технологической сложности и дороговизны конструкции (12001).</w:t>
      </w:r>
    </w:p>
    <w:p w14:paraId="66FD60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A72EC28" w14:textId="77777777" w:rsidR="005E6A6F" w:rsidRPr="005E779E" w:rsidRDefault="005E6A6F" w:rsidP="000B7A6C">
      <w:pPr>
        <w:spacing w:after="0" w:line="240" w:lineRule="auto"/>
        <w:jc w:val="both"/>
        <w:rPr>
          <w:rFonts w:ascii="Times New Roman" w:hAnsi="Times New Roman"/>
          <w:color w:val="000000" w:themeColor="text1"/>
          <w:sz w:val="16"/>
          <w:szCs w:val="16"/>
          <w:lang w:eastAsia="ru-RU" w:bidi="ru-RU"/>
        </w:rPr>
      </w:pPr>
      <w:r w:rsidRPr="005E779E">
        <w:rPr>
          <w:rFonts w:ascii="Times New Roman" w:hAnsi="Times New Roman"/>
          <w:color w:val="000000" w:themeColor="text1"/>
          <w:sz w:val="16"/>
          <w:szCs w:val="16"/>
          <w:lang w:eastAsia="ru-RU" w:bidi="ru-RU"/>
        </w:rPr>
        <w:t>До конца августа 1931 в Севастополе испытывали поплавковый вариант ТБ-1, сделанный в Таганроге, который в АГОС назвали ТБ-1а («а» — от «аква», «вода»).</w:t>
      </w:r>
    </w:p>
    <w:p w14:paraId="15DA7C05" w14:textId="77777777" w:rsidR="005E6A6F" w:rsidRPr="005E779E" w:rsidRDefault="005E6A6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Увеличение веса пустого самолета и дополнительное аэ</w:t>
      </w:r>
      <w:r w:rsidRPr="005E779E">
        <w:rPr>
          <w:rFonts w:ascii="Times New Roman" w:hAnsi="Times New Roman"/>
          <w:color w:val="000000" w:themeColor="text1"/>
          <w:sz w:val="16"/>
          <w:szCs w:val="16"/>
          <w:lang w:eastAsia="ru-RU" w:bidi="ru-RU"/>
        </w:rPr>
        <w:softHyphen/>
        <w:t>родинамическое сопротивление от поплавков, разумеет</w:t>
      </w:r>
      <w:r w:rsidRPr="005E779E">
        <w:rPr>
          <w:rFonts w:ascii="Times New Roman" w:hAnsi="Times New Roman"/>
          <w:color w:val="000000" w:themeColor="text1"/>
          <w:sz w:val="16"/>
          <w:szCs w:val="16"/>
          <w:lang w:eastAsia="ru-RU" w:bidi="ru-RU"/>
        </w:rPr>
        <w:softHyphen/>
        <w:t>ся, снизили данные машины. Максимальная скорость не превышала 185 км/ч, потолок — 3620 м. Существенно ухудшились маневренность и скороподъемность. Тем не менее, результаты признали удовлетворительными. По сравнению с имевшимися в морских эскадрильях поплав</w:t>
      </w:r>
      <w:r w:rsidRPr="005E779E">
        <w:rPr>
          <w:rFonts w:ascii="Times New Roman" w:hAnsi="Times New Roman"/>
          <w:color w:val="000000" w:themeColor="text1"/>
          <w:sz w:val="16"/>
          <w:szCs w:val="16"/>
          <w:lang w:eastAsia="ru-RU" w:bidi="ru-RU"/>
        </w:rPr>
        <w:softHyphen/>
        <w:t>ковыми ЮГ-1 и летающими лодками «Валь», ТБ-1а выгод</w:t>
      </w:r>
      <w:r w:rsidRPr="005E779E">
        <w:rPr>
          <w:rFonts w:ascii="Times New Roman" w:hAnsi="Times New Roman"/>
          <w:color w:val="000000" w:themeColor="text1"/>
          <w:sz w:val="16"/>
          <w:szCs w:val="16"/>
          <w:lang w:eastAsia="ru-RU" w:bidi="ru-RU"/>
        </w:rPr>
        <w:softHyphen/>
        <w:t>но отличался возможностью несения боеприпасов крупных калибров, необходимых для поражения боевых кораблей. Машину приняли на вооружение ВВС РККА.</w:t>
      </w:r>
    </w:p>
    <w:p w14:paraId="79D49C36" w14:textId="77777777" w:rsidR="005E6A6F" w:rsidRPr="005E779E" w:rsidRDefault="005E6A6F" w:rsidP="000B7A6C">
      <w:pPr>
        <w:spacing w:after="0" w:line="240" w:lineRule="auto"/>
        <w:jc w:val="both"/>
        <w:rPr>
          <w:rFonts w:ascii="Times New Roman" w:hAnsi="Times New Roman"/>
          <w:color w:val="000000" w:themeColor="text1"/>
          <w:sz w:val="16"/>
          <w:szCs w:val="16"/>
          <w:lang w:eastAsia="ru-RU" w:bidi="ru-RU"/>
        </w:rPr>
      </w:pPr>
      <w:r w:rsidRPr="005E779E">
        <w:rPr>
          <w:rFonts w:ascii="Times New Roman" w:hAnsi="Times New Roman"/>
          <w:color w:val="000000" w:themeColor="text1"/>
          <w:sz w:val="16"/>
          <w:szCs w:val="16"/>
          <w:lang w:eastAsia="ru-RU" w:bidi="ru-RU"/>
        </w:rPr>
        <w:t>Начали готовиться к серийному производству поплавков. Английский образец обмерили и выполнили чертежи. Се</w:t>
      </w:r>
      <w:r w:rsidRPr="005E779E">
        <w:rPr>
          <w:rFonts w:ascii="Times New Roman" w:hAnsi="Times New Roman"/>
          <w:color w:val="000000" w:themeColor="text1"/>
          <w:sz w:val="16"/>
          <w:szCs w:val="16"/>
          <w:lang w:eastAsia="ru-RU" w:bidi="ru-RU"/>
        </w:rPr>
        <w:softHyphen/>
        <w:t>рию хотели поручить заводу №22 в Филях, но он был пе</w:t>
      </w:r>
      <w:r w:rsidRPr="005E779E">
        <w:rPr>
          <w:rFonts w:ascii="Times New Roman" w:hAnsi="Times New Roman"/>
          <w:color w:val="000000" w:themeColor="text1"/>
          <w:sz w:val="16"/>
          <w:szCs w:val="16"/>
          <w:lang w:eastAsia="ru-RU" w:bidi="ru-RU"/>
        </w:rPr>
        <w:softHyphen/>
        <w:t>регружен другими заказами. В результате документацию и поплавок-образец перевезли на завод №31 в Таганрог. Там их стали производить под обозначением тип «Ж» и ус</w:t>
      </w:r>
      <w:r w:rsidRPr="005E779E">
        <w:rPr>
          <w:rFonts w:ascii="Times New Roman" w:hAnsi="Times New Roman"/>
          <w:color w:val="000000" w:themeColor="text1"/>
          <w:sz w:val="16"/>
          <w:szCs w:val="16"/>
          <w:lang w:eastAsia="ru-RU" w:bidi="ru-RU"/>
        </w:rPr>
        <w:softHyphen/>
        <w:t>танавливать на самолеты, прибывавшие из Москвы. Мон</w:t>
      </w:r>
      <w:r w:rsidRPr="005E779E">
        <w:rPr>
          <w:rFonts w:ascii="Times New Roman" w:hAnsi="Times New Roman"/>
          <w:color w:val="000000" w:themeColor="text1"/>
          <w:sz w:val="16"/>
          <w:szCs w:val="16"/>
          <w:lang w:eastAsia="ru-RU" w:bidi="ru-RU"/>
        </w:rPr>
        <w:softHyphen/>
        <w:t>таж поплавков велся уже после прекращения собственно производства ТБ-1. Всего доработке подверглись 66 са</w:t>
      </w:r>
      <w:r w:rsidRPr="005E779E">
        <w:rPr>
          <w:rFonts w:ascii="Times New Roman" w:hAnsi="Times New Roman"/>
          <w:color w:val="000000" w:themeColor="text1"/>
          <w:sz w:val="16"/>
          <w:szCs w:val="16"/>
          <w:lang w:eastAsia="ru-RU" w:bidi="ru-RU"/>
        </w:rPr>
        <w:softHyphen/>
        <w:t>молетов. Серийные поплавковые бомбардировщики име</w:t>
      </w:r>
      <w:r w:rsidRPr="005E779E">
        <w:rPr>
          <w:rFonts w:ascii="Times New Roman" w:hAnsi="Times New Roman"/>
          <w:color w:val="000000" w:themeColor="text1"/>
          <w:sz w:val="16"/>
          <w:szCs w:val="16"/>
          <w:lang w:eastAsia="ru-RU" w:bidi="ru-RU"/>
        </w:rPr>
        <w:softHyphen/>
        <w:t>новали ТБ-1П или иногда МТБ-1.</w:t>
      </w:r>
    </w:p>
    <w:p w14:paraId="6C79BFFF" w14:textId="77777777" w:rsidR="005E6A6F" w:rsidRPr="005E779E" w:rsidRDefault="005E6A6F" w:rsidP="000B7A6C">
      <w:pPr>
        <w:spacing w:after="0" w:line="240" w:lineRule="auto"/>
        <w:jc w:val="both"/>
        <w:rPr>
          <w:rFonts w:ascii="Times New Roman" w:hAnsi="Times New Roman"/>
          <w:color w:val="000000" w:themeColor="text1"/>
          <w:sz w:val="16"/>
          <w:szCs w:val="16"/>
          <w:lang w:eastAsia="ru-RU" w:bidi="ru-RU"/>
        </w:rPr>
      </w:pPr>
      <w:r w:rsidRPr="005E779E">
        <w:rPr>
          <w:rFonts w:ascii="Times New Roman" w:hAnsi="Times New Roman"/>
          <w:color w:val="000000" w:themeColor="text1"/>
          <w:sz w:val="16"/>
          <w:szCs w:val="16"/>
          <w:lang w:eastAsia="ru-RU" w:bidi="ru-RU"/>
        </w:rPr>
        <w:t>Всего на авиазаводе №31 в Таганроге было выпущено более сотни комплектов поплавков «Ж». По сравнению с прототипом были изменены обводы поплавка и увеличе</w:t>
      </w:r>
      <w:r w:rsidRPr="005E779E">
        <w:rPr>
          <w:rFonts w:ascii="Times New Roman" w:hAnsi="Times New Roman"/>
          <w:color w:val="000000" w:themeColor="text1"/>
          <w:sz w:val="16"/>
          <w:szCs w:val="16"/>
          <w:lang w:eastAsia="ru-RU" w:bidi="ru-RU"/>
        </w:rPr>
        <w:softHyphen/>
        <w:t>на его длина. Отмечалось, что качество поплавков, за ис</w:t>
      </w:r>
      <w:r w:rsidRPr="005E779E">
        <w:rPr>
          <w:rFonts w:ascii="Times New Roman" w:hAnsi="Times New Roman"/>
          <w:color w:val="000000" w:themeColor="text1"/>
          <w:sz w:val="16"/>
          <w:szCs w:val="16"/>
          <w:lang w:eastAsia="ru-RU" w:bidi="ru-RU"/>
        </w:rPr>
        <w:softHyphen/>
        <w:t>ключением массы, ничем не уступало английским. При из</w:t>
      </w:r>
      <w:r w:rsidRPr="005E779E">
        <w:rPr>
          <w:rFonts w:ascii="Times New Roman" w:hAnsi="Times New Roman"/>
          <w:color w:val="000000" w:themeColor="text1"/>
          <w:sz w:val="16"/>
          <w:szCs w:val="16"/>
          <w:lang w:eastAsia="ru-RU" w:bidi="ru-RU"/>
        </w:rPr>
        <w:softHyphen/>
        <w:t>готовлении поплавков завод успешно освоил герметичную клепку, что было большим достижением. Примечательно, что при сравнительных испытаниях на водонепроницае</w:t>
      </w:r>
      <w:r w:rsidRPr="005E779E">
        <w:rPr>
          <w:rFonts w:ascii="Times New Roman" w:hAnsi="Times New Roman"/>
          <w:color w:val="000000" w:themeColor="text1"/>
          <w:sz w:val="16"/>
          <w:szCs w:val="16"/>
          <w:lang w:eastAsia="ru-RU" w:bidi="ru-RU"/>
        </w:rPr>
        <w:softHyphen/>
        <w:t>мость английский прототип оказался в этом отношении значительно хуже отечественных изделий (20325).</w:t>
      </w:r>
    </w:p>
    <w:p w14:paraId="15C7878F" w14:textId="77777777" w:rsidR="005E6A6F" w:rsidRPr="005E779E" w:rsidRDefault="005E6A6F" w:rsidP="000B7A6C">
      <w:pPr>
        <w:spacing w:after="0" w:line="240" w:lineRule="auto"/>
        <w:jc w:val="both"/>
        <w:rPr>
          <w:rFonts w:ascii="Times New Roman" w:hAnsi="Times New Roman"/>
          <w:color w:val="000000" w:themeColor="text1"/>
          <w:sz w:val="16"/>
          <w:szCs w:val="16"/>
          <w:lang w:eastAsia="ru-RU" w:bidi="ru-RU"/>
        </w:rPr>
      </w:pPr>
    </w:p>
    <w:p w14:paraId="2165C71E"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589497BF"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78E70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августа 1931 было в основном закончено изготовление Т-19, которое началось в июне 1931. Оказался перетяжеленным и сложным в производстве и дорогим - 96 тыс. руб. Работы - свернули, решив, что Виккерс - лучше (4243,16).</w:t>
      </w:r>
    </w:p>
    <w:p w14:paraId="0E6C76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214F5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августа 1931 г. Таубин направляет в Артиллерийское управление РККА свои чертежи автоматического гранатомёта, выполненные с помощью студента-сокурсника Е. Бергольцева. В течение двух лет решается судьба этой разработки, и, наконец, в 1933 г. Главное военно-мобилизационное управление посылает Таубина в г. Ковров, на инструментальный завод №2, где вместе с группой специалистов он создаёт опытный образец автоматического гранатомёта. Весной 1934 г. группу Якова Таубина переводят в Москву. Здесь создаётся ОКБ-16 Наркомата тяжёлой промышленности. В период с 1935 по 1938 гг. ОКБ-16, возглавляемое Таубиным, разрабатывает и совершенствует пехотный автоматический гранатомёт. Новое оружие имело калибр 40,8 мм и вначале использовало боеприпасы, созданные на базе штатной винтовочной гранаты системы Дьяконова (затем, в 1938 г., в ОКБ-16 разработали боеприпас новой конструкции; калибр при этом остался прежним). Гранатомёт позволял вести стрельбу как одиночными выстрелами, так и очередями, мог стрелять настильным огнём и по навесной траектории. Треножный станок, на который он устанавливался в первых модификациях конструкции, позднее был заменён колёсным станком. Модернизация позволила снизить общий вес установки почти в два раза — с 73 до 38 кг. В 1938 г., когда работа над гранатомётом подходила к концу, Таубин получил дачный участок в Старых Горках (дом построен в 1939 г.). Гостями здесь нередко были К.Е. Ворошилов и С.М. Будённый. Работа по созданию автоматического гранатомёта велась при поддержке заместителя наркома обороны М.Н. Тухачевского (с 1936 г. — 1-го заместителя наркома обороны и начальника Управления боевой подготовки). В 1937 г. Тухачевский был расстрелян, и это повлияло на судьбу как нового оружия, так и его разработчика. В 1939 г. на должность начальника Артиллерийского управления назначили Г.И. Кулика, с которым Таубин вступил в открытую конфронтацию, борясь за своё изобретение (11867).</w:t>
      </w:r>
    </w:p>
    <w:p w14:paraId="29286B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EC28606"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579C5CDC"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4A345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 второй половине августа 1931 г. руководящие органы промышленности выдвинули очередную идею, способную, как казалось, улучшить процесс создания авиатехники. В результате, последовало объединение ЦКБ и ЦАГИ в единую проектную организацию под общим контролем органов ГПУ. В авианароде это событие получило название «свадьбы» (6593).</w:t>
      </w:r>
    </w:p>
    <w:p w14:paraId="269EE6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90A8B44"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648D7C47"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2E5A2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г. к ЦКБ присоединили и конструкторские коллективы ЦАГИ. Образовалось единственное в стране авиационное конструкторское бюро - громоздкая и плохо управляемая организация. Его начальником назначили С.В.Ильюшина.</w:t>
      </w:r>
    </w:p>
    <w:p w14:paraId="5E86F3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Внутренние склоки и противоречия раздирали коллектив ЦКБ. Напряженные отношения в руководстве ЦКБ и ЦАГИ не способствовали успешному завершению работ (9536,4).</w:t>
      </w:r>
    </w:p>
    <w:p w14:paraId="7A330F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FB7A9F7" w14:textId="77777777" w:rsidR="005504A8" w:rsidRPr="005E779E" w:rsidRDefault="005504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г., в самый разгар работ по подготовке к летным испытаниям АНТ—14 и запуску в серию гиганта АНТ—6, появляется необъяснимый при</w:t>
      </w:r>
      <w:r w:rsidRPr="005E779E">
        <w:rPr>
          <w:rFonts w:ascii="Times New Roman" w:hAnsi="Times New Roman"/>
          <w:color w:val="000000" w:themeColor="text1"/>
          <w:sz w:val="16"/>
          <w:szCs w:val="16"/>
        </w:rPr>
        <w:softHyphen/>
        <w:t>каз Всесоюзного авиационного объедине</w:t>
      </w:r>
      <w:r w:rsidRPr="005E779E">
        <w:rPr>
          <w:rFonts w:ascii="Times New Roman" w:hAnsi="Times New Roman"/>
          <w:color w:val="000000" w:themeColor="text1"/>
          <w:sz w:val="16"/>
          <w:szCs w:val="16"/>
        </w:rPr>
        <w:softHyphen/>
        <w:t>ния (преемника Авиатреста). Согласно этому распоряжению, Центральное кон</w:t>
      </w:r>
      <w:r w:rsidRPr="005E779E">
        <w:rPr>
          <w:rFonts w:ascii="Times New Roman" w:hAnsi="Times New Roman"/>
          <w:color w:val="000000" w:themeColor="text1"/>
          <w:sz w:val="16"/>
          <w:szCs w:val="16"/>
        </w:rPr>
        <w:softHyphen/>
        <w:t>структорское бюро (ЦКБ) завода №39 им. Менжинского объединялось с АГОС ЦАГИ в единое конструкторское бюро самолетостроения (ЦКБ ЦАГИ). Его на</w:t>
      </w:r>
      <w:r w:rsidRPr="005E779E">
        <w:rPr>
          <w:rFonts w:ascii="Times New Roman" w:hAnsi="Times New Roman"/>
          <w:color w:val="000000" w:themeColor="text1"/>
          <w:sz w:val="16"/>
          <w:szCs w:val="16"/>
        </w:rPr>
        <w:softHyphen/>
        <w:t>чальником назначили Н.Е. Пауфлера, а руководителем конструкторского отде</w:t>
      </w:r>
      <w:r w:rsidRPr="005E779E">
        <w:rPr>
          <w:rFonts w:ascii="Times New Roman" w:hAnsi="Times New Roman"/>
          <w:color w:val="000000" w:themeColor="text1"/>
          <w:sz w:val="16"/>
          <w:szCs w:val="16"/>
        </w:rPr>
        <w:softHyphen/>
        <w:t>ла — С.В. Ильюшина.</w:t>
      </w:r>
    </w:p>
    <w:p w14:paraId="34003A2E" w14:textId="77777777" w:rsidR="005504A8" w:rsidRPr="005E779E" w:rsidRDefault="005504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Новообразованная структура просуще</w:t>
      </w:r>
      <w:r w:rsidRPr="005E779E">
        <w:rPr>
          <w:rFonts w:ascii="Times New Roman" w:hAnsi="Times New Roman"/>
          <w:color w:val="000000" w:themeColor="text1"/>
          <w:sz w:val="16"/>
          <w:szCs w:val="16"/>
        </w:rPr>
        <w:softHyphen/>
        <w:t>ствовала недолго. Следующее изменение последовало в мае 1932 г.: ЦКБ преобра</w:t>
      </w:r>
      <w:r w:rsidRPr="005E779E">
        <w:rPr>
          <w:rFonts w:ascii="Times New Roman" w:hAnsi="Times New Roman"/>
          <w:color w:val="000000" w:themeColor="text1"/>
          <w:sz w:val="16"/>
          <w:szCs w:val="16"/>
        </w:rPr>
        <w:softHyphen/>
        <w:t>зовали в СОС — Сектор опытного строи</w:t>
      </w:r>
      <w:r w:rsidRPr="005E779E">
        <w:rPr>
          <w:rFonts w:ascii="Times New Roman" w:hAnsi="Times New Roman"/>
          <w:color w:val="000000" w:themeColor="text1"/>
          <w:sz w:val="16"/>
          <w:szCs w:val="16"/>
        </w:rPr>
        <w:softHyphen/>
        <w:t>тельства, начальником которого стал С.В. Ильюшин. СОС делился на ряд под</w:t>
      </w:r>
      <w:r w:rsidRPr="005E779E">
        <w:rPr>
          <w:rFonts w:ascii="Times New Roman" w:hAnsi="Times New Roman"/>
          <w:color w:val="000000" w:themeColor="text1"/>
          <w:sz w:val="16"/>
          <w:szCs w:val="16"/>
        </w:rPr>
        <w:softHyphen/>
        <w:t>разделений на правах самостоятельных отделов. Одним из них был и конструк</w:t>
      </w:r>
      <w:r w:rsidRPr="005E779E">
        <w:rPr>
          <w:rFonts w:ascii="Times New Roman" w:hAnsi="Times New Roman"/>
          <w:color w:val="000000" w:themeColor="text1"/>
          <w:sz w:val="16"/>
          <w:szCs w:val="16"/>
        </w:rPr>
        <w:softHyphen/>
        <w:t>торский отдел (КО), который оставили Туполеву. Сложилась парадоксальная си</w:t>
      </w:r>
      <w:r w:rsidRPr="005E779E">
        <w:rPr>
          <w:rFonts w:ascii="Times New Roman" w:hAnsi="Times New Roman"/>
          <w:color w:val="000000" w:themeColor="text1"/>
          <w:sz w:val="16"/>
          <w:szCs w:val="16"/>
        </w:rPr>
        <w:softHyphen/>
        <w:t>туация. Конструктор, обогативший миро</w:t>
      </w:r>
      <w:r w:rsidRPr="005E779E">
        <w:rPr>
          <w:rFonts w:ascii="Times New Roman" w:hAnsi="Times New Roman"/>
          <w:color w:val="000000" w:themeColor="text1"/>
          <w:sz w:val="16"/>
          <w:szCs w:val="16"/>
        </w:rPr>
        <w:softHyphen/>
        <w:t>вую авиацию новыми идеями, успешно воплотивший их в жизнь, оказался в под</w:t>
      </w:r>
      <w:r w:rsidRPr="005E779E">
        <w:rPr>
          <w:rFonts w:ascii="Times New Roman" w:hAnsi="Times New Roman"/>
          <w:color w:val="000000" w:themeColor="text1"/>
          <w:sz w:val="16"/>
          <w:szCs w:val="16"/>
        </w:rPr>
        <w:softHyphen/>
        <w:t>чинении у людей, еще ничем серьезным в этой области себя не проявивших. Была создана гигантская чиновничья, надуман</w:t>
      </w:r>
      <w:r w:rsidRPr="005E779E">
        <w:rPr>
          <w:rFonts w:ascii="Times New Roman" w:hAnsi="Times New Roman"/>
          <w:color w:val="000000" w:themeColor="text1"/>
          <w:sz w:val="16"/>
          <w:szCs w:val="16"/>
        </w:rPr>
        <w:softHyphen/>
        <w:t>ная, нежизнеспособная организация, своего рода авиационная Вавилонская башня. Естественно, КБ не могло с этим согласиться. Борьба за восстановление здравого смысла, сопровождавшаяся письмами в ВСНХ, СНК, ЦК ВКП(б), длилась полтора года. 13 января 1933 г. гордиев узел был разрублен прика</w:t>
      </w:r>
      <w:r w:rsidRPr="005E779E">
        <w:rPr>
          <w:rFonts w:ascii="Times New Roman" w:hAnsi="Times New Roman"/>
          <w:color w:val="000000" w:themeColor="text1"/>
          <w:sz w:val="16"/>
          <w:szCs w:val="16"/>
        </w:rPr>
        <w:softHyphen/>
        <w:t>зом начальника ГУАП П.И. Баранова (23474).</w:t>
      </w:r>
    </w:p>
    <w:p w14:paraId="07C4BB33" w14:textId="77777777" w:rsidR="005504A8" w:rsidRPr="005E779E" w:rsidRDefault="005504A8" w:rsidP="000B7A6C">
      <w:pPr>
        <w:spacing w:after="0" w:line="240" w:lineRule="auto"/>
        <w:jc w:val="both"/>
        <w:rPr>
          <w:rFonts w:ascii="Times New Roman" w:hAnsi="Times New Roman"/>
          <w:color w:val="000000" w:themeColor="text1"/>
          <w:sz w:val="16"/>
          <w:szCs w:val="16"/>
        </w:rPr>
      </w:pPr>
    </w:p>
    <w:p w14:paraId="74BFED42" w14:textId="77777777" w:rsidR="002C4AC9" w:rsidRPr="00142305" w:rsidRDefault="002C4AC9" w:rsidP="002C4AC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августе 1931 года на самолете И-8 – АНТ-13 заме</w:t>
      </w:r>
      <w:r w:rsidRPr="00142305">
        <w:rPr>
          <w:rFonts w:ascii="Times New Roman" w:hAnsi="Times New Roman"/>
          <w:color w:val="0070C0"/>
          <w:sz w:val="16"/>
          <w:szCs w:val="16"/>
        </w:rPr>
        <w:softHyphen/>
        <w:t>нили двигатель, горизонтальное оперение и шасси. В таком виде машина проходила испы</w:t>
      </w:r>
      <w:r w:rsidRPr="00142305">
        <w:rPr>
          <w:rFonts w:ascii="Times New Roman" w:hAnsi="Times New Roman"/>
          <w:color w:val="0070C0"/>
          <w:sz w:val="16"/>
          <w:szCs w:val="16"/>
        </w:rPr>
        <w:softHyphen/>
        <w:t>тания до 1932 года, но их результаты неизвестны (24991).</w:t>
      </w:r>
    </w:p>
    <w:p w14:paraId="01FDE654" w14:textId="77777777" w:rsidR="002C4AC9" w:rsidRPr="00142305" w:rsidRDefault="002C4AC9" w:rsidP="002C4AC9">
      <w:pPr>
        <w:spacing w:after="0" w:line="240" w:lineRule="auto"/>
        <w:jc w:val="both"/>
        <w:rPr>
          <w:rFonts w:ascii="Times New Roman" w:hAnsi="Times New Roman"/>
          <w:color w:val="0070C0"/>
          <w:sz w:val="16"/>
          <w:szCs w:val="16"/>
        </w:rPr>
      </w:pPr>
    </w:p>
    <w:p w14:paraId="13E39D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г. С.В.Ильюшина зачислили в резерв РККА и откомандировывается на работу в авиационную промышленность (9528).</w:t>
      </w:r>
    </w:p>
    <w:p w14:paraId="1E2C1C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D4A4B3A"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года самолет И-12 с двумя пушками ДРП был выпущен на заводские испытания. После первых полетов в самом самолете пришлось изменить костыли и хвостовое оперение (7416, 58-59).</w:t>
      </w:r>
    </w:p>
    <w:p w14:paraId="46349F33"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6BCC4B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началась постройка АНТ-23бис (И-12бис) (514). Именно эту машину - дублер - называли Бауманский комсомолец (2072,70).</w:t>
      </w:r>
    </w:p>
    <w:p w14:paraId="176754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213A1A5" w14:textId="77777777" w:rsidR="00A522A1" w:rsidRPr="005E779E" w:rsidRDefault="00A522A1" w:rsidP="000B7A6C">
      <w:pPr>
        <w:tabs>
          <w:tab w:val="left" w:pos="240"/>
        </w:tabs>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г. по инициативе Бауманской комсомольской организации, взявшей на себя сбор средств, и комсомольской организации ЦАГИ, принявшей на себя обяза</w:t>
      </w:r>
      <w:r w:rsidRPr="005E779E">
        <w:rPr>
          <w:rFonts w:ascii="Times New Roman" w:hAnsi="Times New Roman"/>
          <w:color w:val="000000" w:themeColor="text1"/>
          <w:sz w:val="16"/>
          <w:szCs w:val="16"/>
        </w:rPr>
        <w:softHyphen/>
        <w:t>тельство отработать на производстве по 60 часов начали строить второй экземпляр И-12бис «Бауманский комсомолец» («заказ 7077»).</w:t>
      </w:r>
    </w:p>
    <w:p w14:paraId="762D3C76" w14:textId="77777777" w:rsidR="00A522A1" w:rsidRPr="005E779E" w:rsidRDefault="00A522A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связи с тем, что И-12бис рассматривался как модификация первого экземпляра И-12, работа по дублёру шла медленно из-за постоянных изменений в конструкции. Кроме того, конструкторский коллектив часто менялся, а временами вообще отсутст</w:t>
      </w:r>
      <w:r w:rsidRPr="005E779E">
        <w:rPr>
          <w:rFonts w:ascii="Times New Roman" w:hAnsi="Times New Roman"/>
          <w:color w:val="000000" w:themeColor="text1"/>
          <w:sz w:val="16"/>
          <w:szCs w:val="16"/>
        </w:rPr>
        <w:softHyphen/>
        <w:t>вовал. Со стороны шефов машине также уделялось мало внимания. В результате на 1 января 1934 г. готовность самолёта составила 84,9% (15823).</w:t>
      </w:r>
    </w:p>
    <w:p w14:paraId="40756F15" w14:textId="77777777" w:rsidR="00A522A1" w:rsidRPr="005E779E" w:rsidRDefault="00A522A1" w:rsidP="000B7A6C">
      <w:pPr>
        <w:spacing w:after="0" w:line="240" w:lineRule="auto"/>
        <w:jc w:val="both"/>
        <w:rPr>
          <w:rFonts w:ascii="Times New Roman" w:hAnsi="Times New Roman"/>
          <w:color w:val="000000" w:themeColor="text1"/>
          <w:sz w:val="16"/>
          <w:szCs w:val="16"/>
        </w:rPr>
      </w:pPr>
    </w:p>
    <w:p w14:paraId="743347FA" w14:textId="77777777" w:rsidR="00C15EF0" w:rsidRPr="005E779E" w:rsidRDefault="00C15EF0" w:rsidP="000B7A6C">
      <w:pPr>
        <w:pStyle w:val="rtejustify"/>
        <w:shd w:val="clear" w:color="auto" w:fill="FFFFFF"/>
        <w:spacing w:before="0" w:after="0"/>
        <w:rPr>
          <w:color w:val="000000" w:themeColor="text1"/>
          <w:sz w:val="16"/>
          <w:szCs w:val="16"/>
        </w:rPr>
      </w:pPr>
      <w:r w:rsidRPr="005E779E">
        <w:rPr>
          <w:color w:val="000000" w:themeColor="text1"/>
          <w:sz w:val="16"/>
          <w:szCs w:val="16"/>
        </w:rPr>
        <w:lastRenderedPageBreak/>
        <w:t>В августе 1931 года по инициативе Бауманской комсомольской организации, взявшей на себя сбор средств, и комсомольской организации ЦАГИ, принявшей на себя обязательство отработать на производстве по 60 часов, начали строить второй экземпляр самолета И-12бис «Бауманский комсомолец» (заказ 7077).</w:t>
      </w:r>
    </w:p>
    <w:p w14:paraId="6E5D295E" w14:textId="77777777" w:rsidR="00C15EF0" w:rsidRPr="005E779E" w:rsidRDefault="00C15EF0" w:rsidP="000B7A6C">
      <w:pPr>
        <w:pStyle w:val="rtejustify"/>
        <w:shd w:val="clear" w:color="auto" w:fill="FFFFFF"/>
        <w:spacing w:before="0" w:after="0"/>
        <w:rPr>
          <w:color w:val="000000" w:themeColor="text1"/>
          <w:sz w:val="16"/>
          <w:szCs w:val="16"/>
        </w:rPr>
      </w:pPr>
      <w:r w:rsidRPr="005E779E">
        <w:rPr>
          <w:color w:val="000000" w:themeColor="text1"/>
          <w:sz w:val="16"/>
          <w:szCs w:val="16"/>
        </w:rPr>
        <w:t>В связи с тем, что самолет И-12бис рассматривался как модификация первого экземпляра И-12, работа по дублеру шла медленно из-за постоянных изменений в конструкции. Кроме того, конструкторский коллектив часто менялся, а временами вообще отсутствовал. Со стороны шефов машине также уделялось мало внимания. В результате на 1 января 1934 года готовность самолета составила – 84,9% (19172).</w:t>
      </w:r>
    </w:p>
    <w:p w14:paraId="0708FC8E" w14:textId="77777777" w:rsidR="00C15EF0" w:rsidRPr="005E779E" w:rsidRDefault="00C15EF0" w:rsidP="000B7A6C">
      <w:pPr>
        <w:pStyle w:val="rtejustify"/>
        <w:shd w:val="clear" w:color="auto" w:fill="FFFFFF"/>
        <w:spacing w:before="0" w:after="0"/>
        <w:rPr>
          <w:color w:val="000000" w:themeColor="text1"/>
          <w:sz w:val="16"/>
          <w:szCs w:val="16"/>
        </w:rPr>
      </w:pPr>
    </w:p>
    <w:p w14:paraId="44DEFDA7" w14:textId="77777777" w:rsidR="005504A8" w:rsidRPr="005E779E" w:rsidRDefault="005504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г. КБ приступило к по</w:t>
      </w:r>
      <w:r w:rsidRPr="005E779E">
        <w:rPr>
          <w:rFonts w:ascii="Times New Roman" w:hAnsi="Times New Roman"/>
          <w:color w:val="000000" w:themeColor="text1"/>
          <w:sz w:val="16"/>
          <w:szCs w:val="16"/>
        </w:rPr>
        <w:softHyphen/>
        <w:t>стройке дублера - И —12 бис. Работа проводилась по инициативе Бауманской комсомольской организации, взявшей шефство над этой машиной. Поэтому у нее появилось второе название — «Бау</w:t>
      </w:r>
      <w:r w:rsidRPr="005E779E">
        <w:rPr>
          <w:rFonts w:ascii="Times New Roman" w:hAnsi="Times New Roman"/>
          <w:color w:val="000000" w:themeColor="text1"/>
          <w:sz w:val="16"/>
          <w:szCs w:val="16"/>
        </w:rPr>
        <w:softHyphen/>
        <w:t>манский комсомолец». Необходимо бы</w:t>
      </w:r>
      <w:r w:rsidRPr="005E779E">
        <w:rPr>
          <w:rFonts w:ascii="Times New Roman" w:hAnsi="Times New Roman"/>
          <w:color w:val="000000" w:themeColor="text1"/>
          <w:sz w:val="16"/>
          <w:szCs w:val="16"/>
        </w:rPr>
        <w:softHyphen/>
        <w:t>ло учесть все недостатки, выявленные на первой машине. Испытания И—12 требовали все новых доработок, что очень сказывалось на нормальной рабо</w:t>
      </w:r>
      <w:r w:rsidRPr="005E779E">
        <w:rPr>
          <w:rFonts w:ascii="Times New Roman" w:hAnsi="Times New Roman"/>
          <w:color w:val="000000" w:themeColor="text1"/>
          <w:sz w:val="16"/>
          <w:szCs w:val="16"/>
        </w:rPr>
        <w:softHyphen/>
        <w:t>те по И—12 бис. В начале июня 1934 г. работы по дублеру прекратили (23474).</w:t>
      </w:r>
    </w:p>
    <w:p w14:paraId="39B5CC21" w14:textId="77777777" w:rsidR="005504A8" w:rsidRPr="005E779E" w:rsidRDefault="005504A8" w:rsidP="000B7A6C">
      <w:pPr>
        <w:spacing w:after="0" w:line="240" w:lineRule="auto"/>
        <w:jc w:val="both"/>
        <w:rPr>
          <w:rFonts w:ascii="Times New Roman" w:hAnsi="Times New Roman"/>
          <w:color w:val="000000" w:themeColor="text1"/>
          <w:sz w:val="16"/>
          <w:szCs w:val="16"/>
        </w:rPr>
      </w:pPr>
    </w:p>
    <w:p w14:paraId="7ECD7B5F"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года был выпущен самолет И4-ЮVI с разрезным крылом. Самолет был испытан, дано заключение (6780).</w:t>
      </w:r>
    </w:p>
    <w:p w14:paraId="2C02D6A9"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F1E1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в ЦАГИ изготовили поплавки для И-4, но НИИ ВВС признал мореходность излишне низкой. Разрабатывали и разрезное крыло (1060,53).</w:t>
      </w:r>
    </w:p>
    <w:p w14:paraId="716A3F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40098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на И-8 (АНТ-13) заменили двигатель, горизонтальное оперение и шасси (1454,22).</w:t>
      </w:r>
    </w:p>
    <w:p w14:paraId="75F999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1A392E5" w14:textId="77777777" w:rsidR="0001378D" w:rsidRPr="005E779E" w:rsidRDefault="0001378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В августе 1931 г. была го</w:t>
      </w:r>
      <w:r w:rsidRPr="005E779E">
        <w:rPr>
          <w:rFonts w:ascii="Times New Roman" w:hAnsi="Times New Roman"/>
          <w:color w:val="000000" w:themeColor="text1"/>
          <w:sz w:val="16"/>
          <w:szCs w:val="16"/>
          <w:lang w:eastAsia="ru-RU" w:bidi="ru-RU"/>
        </w:rPr>
        <w:softHyphen/>
        <w:t>това первая таганрогская пятерка Р-5. На всех машинах военная при</w:t>
      </w:r>
      <w:r w:rsidRPr="005E779E">
        <w:rPr>
          <w:rFonts w:ascii="Times New Roman" w:hAnsi="Times New Roman"/>
          <w:color w:val="000000" w:themeColor="text1"/>
          <w:sz w:val="16"/>
          <w:szCs w:val="16"/>
          <w:lang w:eastAsia="ru-RU" w:bidi="ru-RU"/>
        </w:rPr>
        <w:softHyphen/>
        <w:t>емка обнаружила несоответствие чертежам, некомплект оборудования, а вооружения вообще не было. Однако УВВС все-таки согласилось их принять. В свою очередь, руководство ВАО поняло бесперспективность распыле</w:t>
      </w:r>
      <w:r w:rsidRPr="005E779E">
        <w:rPr>
          <w:rFonts w:ascii="Times New Roman" w:hAnsi="Times New Roman"/>
          <w:color w:val="000000" w:themeColor="text1"/>
          <w:sz w:val="16"/>
          <w:szCs w:val="16"/>
          <w:lang w:eastAsia="ru-RU" w:bidi="ru-RU"/>
        </w:rPr>
        <w:softHyphen/>
        <w:t>ния сил и, чтобы как-то помочь таганрожцам, сняло с за</w:t>
      </w:r>
      <w:r w:rsidRPr="005E779E">
        <w:rPr>
          <w:rFonts w:ascii="Times New Roman" w:hAnsi="Times New Roman"/>
          <w:color w:val="000000" w:themeColor="text1"/>
          <w:sz w:val="16"/>
          <w:szCs w:val="16"/>
          <w:lang w:eastAsia="ru-RU" w:bidi="ru-RU"/>
        </w:rPr>
        <w:softHyphen/>
        <w:t>вода №31 задание по строительству самолетов Р-5.</w:t>
      </w:r>
    </w:p>
    <w:p w14:paraId="1B471C75" w14:textId="77777777" w:rsidR="0001378D" w:rsidRPr="005E779E" w:rsidRDefault="0001378D" w:rsidP="000B7A6C">
      <w:pPr>
        <w:spacing w:after="0" w:line="240" w:lineRule="auto"/>
        <w:jc w:val="both"/>
        <w:rPr>
          <w:rFonts w:ascii="Times New Roman" w:hAnsi="Times New Roman"/>
          <w:color w:val="000000" w:themeColor="text1"/>
          <w:sz w:val="16"/>
          <w:szCs w:val="16"/>
          <w:lang w:eastAsia="ru-RU" w:bidi="ru-RU"/>
        </w:rPr>
      </w:pPr>
      <w:r w:rsidRPr="005E779E">
        <w:rPr>
          <w:rFonts w:ascii="Times New Roman" w:hAnsi="Times New Roman"/>
          <w:color w:val="000000" w:themeColor="text1"/>
          <w:sz w:val="16"/>
          <w:szCs w:val="16"/>
          <w:lang w:eastAsia="ru-RU" w:bidi="ru-RU"/>
        </w:rPr>
        <w:t>Тем не менее, в производственную программу 1932 г. был включен, кроме уже находящихся в производстве са</w:t>
      </w:r>
      <w:r w:rsidRPr="005E779E">
        <w:rPr>
          <w:rFonts w:ascii="Times New Roman" w:hAnsi="Times New Roman"/>
          <w:color w:val="000000" w:themeColor="text1"/>
          <w:sz w:val="16"/>
          <w:szCs w:val="16"/>
          <w:lang w:eastAsia="ru-RU" w:bidi="ru-RU"/>
        </w:rPr>
        <w:softHyphen/>
        <w:t>молетов, еще один тип — амфибия Ш-2, а в конце перво</w:t>
      </w:r>
      <w:r w:rsidRPr="005E779E">
        <w:rPr>
          <w:rFonts w:ascii="Times New Roman" w:hAnsi="Times New Roman"/>
          <w:color w:val="000000" w:themeColor="text1"/>
          <w:sz w:val="16"/>
          <w:szCs w:val="16"/>
          <w:lang w:eastAsia="ru-RU" w:bidi="ru-RU"/>
        </w:rPr>
        <w:softHyphen/>
        <w:t>го квартала пришла директива об освоении еще двух — Р-6 и АНТ-9 (20325).</w:t>
      </w:r>
    </w:p>
    <w:p w14:paraId="121B7000" w14:textId="77777777" w:rsidR="0001378D" w:rsidRPr="005E779E" w:rsidRDefault="0001378D" w:rsidP="000B7A6C">
      <w:pPr>
        <w:spacing w:after="0" w:line="240" w:lineRule="auto"/>
        <w:jc w:val="both"/>
        <w:rPr>
          <w:rFonts w:ascii="Times New Roman" w:hAnsi="Times New Roman"/>
          <w:color w:val="000000" w:themeColor="text1"/>
          <w:sz w:val="16"/>
          <w:szCs w:val="16"/>
        </w:rPr>
      </w:pPr>
    </w:p>
    <w:p w14:paraId="0391AF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на гидробазе в Таганроге закончились гос. испытания ТБ-1 с поплавками от ЮГ-1, которые проходили с 15 июня 1931 (346,17).</w:t>
      </w:r>
    </w:p>
    <w:p w14:paraId="06FFC1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CABFD8A" w14:textId="77777777" w:rsidR="003E28CB" w:rsidRPr="005E779E" w:rsidRDefault="003E28CB"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в Севастополе завершили испытания ТОМ-1 Ришара, но отказались от него в пользу ТБ-1а на поплавках, так как был сложнее (561,5). Испытания велись с начала года и ими руководили Н.И.Камов и Н.А.Камкин. Машина была не плохой, но уже был ТБ-1 (553,164).</w:t>
      </w:r>
    </w:p>
    <w:p w14:paraId="0D2A5E8B" w14:textId="77777777" w:rsidR="003E28CB" w:rsidRPr="005E779E" w:rsidRDefault="003E28CB" w:rsidP="000B7A6C">
      <w:pPr>
        <w:autoSpaceDE w:val="0"/>
        <w:autoSpaceDN w:val="0"/>
        <w:adjustRightInd w:val="0"/>
        <w:spacing w:after="0" w:line="240" w:lineRule="auto"/>
        <w:jc w:val="both"/>
        <w:rPr>
          <w:rFonts w:ascii="Times New Roman" w:hAnsi="Times New Roman"/>
          <w:color w:val="000000" w:themeColor="text1"/>
          <w:sz w:val="16"/>
          <w:szCs w:val="16"/>
        </w:rPr>
      </w:pPr>
    </w:p>
    <w:p w14:paraId="2D79B1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уже почти готовый Р-6 стоял на заводе № 22 без вооружения - оно не прибыло в срок. Представители УВВС практически до последнего момента вносили изменения в свои требования. Так, 6 июля очередная комиссия, побывавшая на заводе, потребовала перенести трубку Пито, усилить балки бомбодержателей и обшивку под ними, еще раз перекомпоновать оборудование в кабинах, ввести лаз от летнаба к пилоту. Это вызвало взрыв негодования у Туполева: "УВВС переписывается, а самолеты завод уже строит..." В итоге военные согласились внести часть изменений со 2-й серии. Головной же самолет № 2201 выпустили на испытания некомплектным - практически без вооружения и многих элементов оборудования (12036).</w:t>
      </w:r>
    </w:p>
    <w:p w14:paraId="30AC54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E29E695" w14:textId="77777777" w:rsidR="003E28CB" w:rsidRPr="005E779E" w:rsidRDefault="003E28C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на опытном образце Р-6 провели испытания вооружения. В течение двух дней с Р-6 осуществляли бомбометание. Самолет нёс шесть укороченных балок Дер-7 под центропланом, механический сбрасыватель Сбр-8 и немецкий бомбовый прицел Герц П 110. Оборудование в основном работало удовлетворительно, но отметили, что крепление бомбодержателей недостаточно прочно (гофр прогибался), установка прицела недоработана, а сбрасывать более чем по две бомбы одновременно очень тяжело. Последнее было характерно вообще длявсех механических сбрасывателей. Вывод испытателей: «В целом принять».</w:t>
      </w:r>
    </w:p>
    <w:p w14:paraId="087FC437" w14:textId="77777777" w:rsidR="003E28CB" w:rsidRPr="005E779E" w:rsidRDefault="003E28C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Затем настала очередь стрелкового вооружения. Опытный образец Р-6, как позже и серийные машины, нёс две турели Тур-5: переднюю и заднюю. Последняя могла перекатываться поперёк фюзеляжа, что увеличивало углы обстрела вбок и позволяло стрелять вниз. На каждой из Тур-5 стояли два пулемёта ДА. В нижней выпускающейся башне размещалась установка конструкции ЦКБ-39 с ещё одним ДА. После испытаний в воздухе последовал вердикт: «Вооружение испытания выдержало». В качестве замечаний отметили тесноту носовой кабины и указали ещё 15 мелких дефектов. К требованию дополнительно установить два неподвижных пулемёта ПВ-1, выдвинутому в октябре 1930 г., уже не возвращались (12264).</w:t>
      </w:r>
    </w:p>
    <w:p w14:paraId="28971C8B" w14:textId="77777777" w:rsidR="003E28CB" w:rsidRPr="005E779E" w:rsidRDefault="003E28CB" w:rsidP="000B7A6C">
      <w:pPr>
        <w:spacing w:after="0" w:line="240" w:lineRule="auto"/>
        <w:jc w:val="both"/>
        <w:rPr>
          <w:rFonts w:ascii="Times New Roman" w:hAnsi="Times New Roman"/>
          <w:color w:val="000000" w:themeColor="text1"/>
          <w:sz w:val="16"/>
          <w:szCs w:val="16"/>
        </w:rPr>
      </w:pPr>
    </w:p>
    <w:p w14:paraId="482EBA91" w14:textId="77777777" w:rsidR="003E28CB" w:rsidRPr="005E779E" w:rsidRDefault="003E28C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августа 1931 г. ЦКБ и ЦАГИ действовали как единая орга</w:t>
      </w:r>
      <w:r w:rsidRPr="005E779E">
        <w:rPr>
          <w:rFonts w:ascii="Times New Roman" w:hAnsi="Times New Roman"/>
          <w:color w:val="000000" w:themeColor="text1"/>
          <w:sz w:val="16"/>
          <w:szCs w:val="16"/>
        </w:rPr>
        <w:softHyphen/>
        <w:t>низация, в доводках ТБ-5 принимали участие и «цаговские» сотрудники. Летчик- испытатель М.М. Громов в 1930 г. перешел работать в ЦАГИ, где успешно провел испытания опытного бомбар</w:t>
      </w:r>
      <w:r w:rsidRPr="005E779E">
        <w:rPr>
          <w:rFonts w:ascii="Times New Roman" w:hAnsi="Times New Roman"/>
          <w:color w:val="000000" w:themeColor="text1"/>
          <w:sz w:val="16"/>
          <w:szCs w:val="16"/>
        </w:rPr>
        <w:softHyphen/>
        <w:t>дировщика ТБ-3. В 1932 г. ему довелось полетать на ТБ-5 и один из таких полетов отме</w:t>
      </w:r>
      <w:r w:rsidRPr="005E779E">
        <w:rPr>
          <w:rFonts w:ascii="Times New Roman" w:hAnsi="Times New Roman"/>
          <w:color w:val="000000" w:themeColor="text1"/>
          <w:sz w:val="16"/>
          <w:szCs w:val="16"/>
        </w:rPr>
        <w:softHyphen/>
        <w:t xml:space="preserve">тился аварийной ситуацией: </w:t>
      </w:r>
      <w:r w:rsidRPr="005E779E">
        <w:rPr>
          <w:rStyle w:val="81"/>
          <w:rFonts w:ascii="Times New Roman" w:hAnsi="Times New Roman" w:cs="Times New Roman"/>
          <w:color w:val="000000" w:themeColor="text1"/>
        </w:rPr>
        <w:t>«Перед тем как перейти на работу летчиком-испытателем из НОА в ЦАГИ в 1930 г., мне пришлось выполнить послед</w:t>
      </w:r>
      <w:r w:rsidRPr="005E779E">
        <w:rPr>
          <w:rStyle w:val="81"/>
          <w:rFonts w:ascii="Times New Roman" w:hAnsi="Times New Roman" w:cs="Times New Roman"/>
          <w:color w:val="000000" w:themeColor="text1"/>
        </w:rPr>
        <w:softHyphen/>
        <w:t>ний испытательный полет в НОА, решивший судьбу четы</w:t>
      </w:r>
      <w:r w:rsidRPr="005E779E">
        <w:rPr>
          <w:rStyle w:val="81"/>
          <w:rFonts w:ascii="Times New Roman" w:hAnsi="Times New Roman" w:cs="Times New Roman"/>
          <w:color w:val="000000" w:themeColor="text1"/>
        </w:rPr>
        <w:softHyphen/>
        <w:t>рехмоторного бомбардиров</w:t>
      </w:r>
      <w:r w:rsidRPr="005E779E">
        <w:rPr>
          <w:rStyle w:val="81"/>
          <w:rFonts w:ascii="Times New Roman" w:hAnsi="Times New Roman" w:cs="Times New Roman"/>
          <w:color w:val="000000" w:themeColor="text1"/>
        </w:rPr>
        <w:softHyphen/>
        <w:t>щика Григоровича. Самолет был оснащен множеством приборов и представлял собой моноплан с высоким расположением крыльев. С каждой стороны под крылом находилось по два мотора, расположенных тандемом (один за другим — один спе</w:t>
      </w:r>
      <w:r w:rsidRPr="005E779E">
        <w:rPr>
          <w:rStyle w:val="81"/>
          <w:rFonts w:ascii="Times New Roman" w:hAnsi="Times New Roman" w:cs="Times New Roman"/>
          <w:color w:val="000000" w:themeColor="text1"/>
        </w:rPr>
        <w:softHyphen/>
        <w:t>реди крыла, другой - сзади). Моторы - воздушного охлаж</w:t>
      </w:r>
      <w:r w:rsidRPr="005E779E">
        <w:rPr>
          <w:rStyle w:val="81"/>
          <w:rFonts w:ascii="Times New Roman" w:hAnsi="Times New Roman" w:cs="Times New Roman"/>
          <w:color w:val="000000" w:themeColor="text1"/>
        </w:rPr>
        <w:softHyphen/>
        <w:t>дения. Перегородка отделяла переднюю кабину от хвостовой части. Два пилотских места. На одном разместился я, на другом - штурман, записы</w:t>
      </w:r>
      <w:r w:rsidRPr="005E779E">
        <w:rPr>
          <w:rStyle w:val="81"/>
          <w:rFonts w:ascii="Times New Roman" w:hAnsi="Times New Roman" w:cs="Times New Roman"/>
          <w:color w:val="000000" w:themeColor="text1"/>
        </w:rPr>
        <w:softHyphen/>
        <w:t>вавший показания приборов. В хвостовой части были двое — Макс Аркадьевич Тайц и Александр Васильевич Чеса</w:t>
      </w:r>
      <w:r w:rsidRPr="005E779E">
        <w:rPr>
          <w:rStyle w:val="81"/>
          <w:rFonts w:ascii="Times New Roman" w:hAnsi="Times New Roman" w:cs="Times New Roman"/>
          <w:color w:val="000000" w:themeColor="text1"/>
        </w:rPr>
        <w:softHyphen/>
        <w:t>лов, ставшие впоследствии крупными учеными. В турели на хвосте находился инженер Даниил Степанович Зосим. Сообщения, связи между передней и задней кабинами не было. Более того, нас разделяла сплошная стенка</w:t>
      </w:r>
      <w:r w:rsidRPr="005E779E">
        <w:rPr>
          <w:rStyle w:val="8"/>
          <w:rFonts w:ascii="Times New Roman" w:hAnsi="Times New Roman" w:cs="Times New Roman"/>
          <w:i w:val="0"/>
          <w:color w:val="000000" w:themeColor="text1"/>
        </w:rPr>
        <w:t xml:space="preserve"> (как видим, воспоминания Михаила Громова не согла</w:t>
      </w:r>
      <w:r w:rsidRPr="005E779E">
        <w:rPr>
          <w:rStyle w:val="8"/>
          <w:rFonts w:ascii="Times New Roman" w:hAnsi="Times New Roman" w:cs="Times New Roman"/>
          <w:i w:val="0"/>
          <w:color w:val="000000" w:themeColor="text1"/>
        </w:rPr>
        <w:softHyphen/>
        <w:t>суются с заявленной в описании самолета способностью экипажа передвигаться по нему от носа до хвоста).</w:t>
      </w:r>
    </w:p>
    <w:p w14:paraId="43B81DC0" w14:textId="77777777" w:rsidR="003E28CB" w:rsidRPr="005E779E" w:rsidRDefault="003E28CB" w:rsidP="000B7A6C">
      <w:pPr>
        <w:pStyle w:val="80"/>
        <w:shd w:val="clear" w:color="auto" w:fill="auto"/>
        <w:spacing w:line="240" w:lineRule="auto"/>
        <w:jc w:val="both"/>
        <w:rPr>
          <w:rFonts w:ascii="Times New Roman" w:hAnsi="Times New Roman" w:cs="Times New Roman"/>
          <w:color w:val="000000" w:themeColor="text1"/>
        </w:rPr>
      </w:pPr>
      <w:r w:rsidRPr="005E779E">
        <w:rPr>
          <w:rFonts w:ascii="Times New Roman" w:hAnsi="Times New Roman" w:cs="Times New Roman"/>
          <w:color w:val="000000" w:themeColor="text1"/>
        </w:rPr>
        <w:t>Мы взлетели с Центрального аэро</w:t>
      </w:r>
      <w:r w:rsidRPr="005E779E">
        <w:rPr>
          <w:rFonts w:ascii="Times New Roman" w:hAnsi="Times New Roman" w:cs="Times New Roman"/>
          <w:color w:val="000000" w:themeColor="text1"/>
        </w:rPr>
        <w:softHyphen/>
        <w:t>дрома и, постепенно набирая высоту, облетели Москву с юга, дойдя до ее юго- западных окраин. Определив потолок, начали спуск, снова обходя Москву с юга, то есть, оставляя ее справа от нашего самолета. Когда полет совершался уже над южной окраиной Москвы на высоте примерно пятисот метров, я вдруг услышал душераздирающий крик механика:</w:t>
      </w:r>
    </w:p>
    <w:p w14:paraId="095A16C2" w14:textId="77777777" w:rsidR="003E28CB" w:rsidRPr="005E779E" w:rsidRDefault="003E28CB" w:rsidP="000B7A6C">
      <w:pPr>
        <w:pStyle w:val="80"/>
        <w:numPr>
          <w:ilvl w:val="0"/>
          <w:numId w:val="2"/>
        </w:numPr>
        <w:shd w:val="clear" w:color="auto" w:fill="auto"/>
        <w:tabs>
          <w:tab w:val="left" w:pos="463"/>
        </w:tabs>
        <w:autoSpaceDE/>
        <w:autoSpaceDN/>
        <w:adjustRightInd/>
        <w:spacing w:line="240" w:lineRule="auto"/>
        <w:jc w:val="both"/>
        <w:rPr>
          <w:rFonts w:ascii="Times New Roman" w:hAnsi="Times New Roman" w:cs="Times New Roman"/>
          <w:color w:val="000000" w:themeColor="text1"/>
        </w:rPr>
      </w:pPr>
      <w:r w:rsidRPr="005E779E">
        <w:rPr>
          <w:rFonts w:ascii="Times New Roman" w:hAnsi="Times New Roman" w:cs="Times New Roman"/>
          <w:color w:val="000000" w:themeColor="text1"/>
        </w:rPr>
        <w:t>Михал Михалыч, пожар! Горим!</w:t>
      </w:r>
    </w:p>
    <w:p w14:paraId="6027D94E" w14:textId="77777777" w:rsidR="003E28CB" w:rsidRPr="005E779E" w:rsidRDefault="003E28CB" w:rsidP="000B7A6C">
      <w:pPr>
        <w:pStyle w:val="80"/>
        <w:shd w:val="clear" w:color="auto" w:fill="auto"/>
        <w:spacing w:line="240" w:lineRule="auto"/>
        <w:jc w:val="both"/>
        <w:rPr>
          <w:rFonts w:ascii="Times New Roman" w:hAnsi="Times New Roman" w:cs="Times New Roman"/>
          <w:color w:val="000000" w:themeColor="text1"/>
        </w:rPr>
      </w:pPr>
      <w:r w:rsidRPr="005E779E">
        <w:rPr>
          <w:rFonts w:ascii="Times New Roman" w:hAnsi="Times New Roman" w:cs="Times New Roman"/>
          <w:color w:val="000000" w:themeColor="text1"/>
        </w:rPr>
        <w:t>Оглянулся влево назад и увидел,</w:t>
      </w:r>
    </w:p>
    <w:p w14:paraId="73C87474" w14:textId="77777777" w:rsidR="003E28CB" w:rsidRPr="005E779E" w:rsidRDefault="003E28CB" w:rsidP="000B7A6C">
      <w:pPr>
        <w:pStyle w:val="80"/>
        <w:shd w:val="clear" w:color="auto" w:fill="auto"/>
        <w:spacing w:line="240" w:lineRule="auto"/>
        <w:jc w:val="both"/>
        <w:rPr>
          <w:rFonts w:ascii="Times New Roman" w:hAnsi="Times New Roman" w:cs="Times New Roman"/>
          <w:color w:val="000000" w:themeColor="text1"/>
        </w:rPr>
      </w:pPr>
      <w:r w:rsidRPr="005E779E">
        <w:rPr>
          <w:rFonts w:ascii="Times New Roman" w:hAnsi="Times New Roman" w:cs="Times New Roman"/>
          <w:color w:val="000000" w:themeColor="text1"/>
        </w:rPr>
        <w:t>что задний мотор нашего ТБ-5 объят пламенем.</w:t>
      </w:r>
    </w:p>
    <w:p w14:paraId="6C286E4A" w14:textId="77777777" w:rsidR="003E28CB" w:rsidRPr="005E779E" w:rsidRDefault="003E28CB" w:rsidP="000B7A6C">
      <w:pPr>
        <w:pStyle w:val="80"/>
        <w:numPr>
          <w:ilvl w:val="0"/>
          <w:numId w:val="2"/>
        </w:numPr>
        <w:shd w:val="clear" w:color="auto" w:fill="auto"/>
        <w:tabs>
          <w:tab w:val="left" w:pos="458"/>
        </w:tabs>
        <w:autoSpaceDE/>
        <w:autoSpaceDN/>
        <w:adjustRightInd/>
        <w:spacing w:line="240" w:lineRule="auto"/>
        <w:jc w:val="both"/>
        <w:rPr>
          <w:rFonts w:ascii="Times New Roman" w:hAnsi="Times New Roman" w:cs="Times New Roman"/>
          <w:color w:val="000000" w:themeColor="text1"/>
        </w:rPr>
      </w:pPr>
      <w:r w:rsidRPr="005E779E">
        <w:rPr>
          <w:rFonts w:ascii="Times New Roman" w:hAnsi="Times New Roman" w:cs="Times New Roman"/>
          <w:color w:val="000000" w:themeColor="text1"/>
        </w:rPr>
        <w:t>Закрой бензин!</w:t>
      </w:r>
    </w:p>
    <w:p w14:paraId="661BF94D" w14:textId="77777777" w:rsidR="003E28CB" w:rsidRPr="005E779E" w:rsidRDefault="003E28CB" w:rsidP="000B7A6C">
      <w:pPr>
        <w:pStyle w:val="80"/>
        <w:shd w:val="clear" w:color="auto" w:fill="auto"/>
        <w:spacing w:line="240" w:lineRule="auto"/>
        <w:jc w:val="both"/>
        <w:rPr>
          <w:rFonts w:ascii="Times New Roman" w:hAnsi="Times New Roman" w:cs="Times New Roman"/>
          <w:color w:val="000000" w:themeColor="text1"/>
        </w:rPr>
      </w:pPr>
      <w:r w:rsidRPr="005E779E">
        <w:rPr>
          <w:rFonts w:ascii="Times New Roman" w:hAnsi="Times New Roman" w:cs="Times New Roman"/>
          <w:color w:val="000000" w:themeColor="text1"/>
        </w:rPr>
        <w:t>Механик молниеносно юркнул к себе в кабину, но в момент закрытия доступа бен</w:t>
      </w:r>
      <w:r w:rsidRPr="005E779E">
        <w:rPr>
          <w:rFonts w:ascii="Times New Roman" w:hAnsi="Times New Roman" w:cs="Times New Roman"/>
          <w:color w:val="000000" w:themeColor="text1"/>
        </w:rPr>
        <w:softHyphen/>
        <w:t>зина в моторы я почувствовал какой-то удар. Винты продолжали вращаться. Мгновенно перевел самолете правое скольжение, чтобы пламя не зажгло фюзеляж. Через несколько секунд посмотрел еще раз. Пожара не было, но и заднего мотора я не увидел. «Неужели мотор оторвался и убил кого-нибудь на земле?» — пронеслось в мозгу.</w:t>
      </w:r>
    </w:p>
    <w:p w14:paraId="5A37F8E1" w14:textId="77777777" w:rsidR="003E28CB" w:rsidRPr="005E779E" w:rsidRDefault="003E28CB" w:rsidP="000B7A6C">
      <w:pPr>
        <w:pStyle w:val="80"/>
        <w:shd w:val="clear" w:color="auto" w:fill="auto"/>
        <w:spacing w:line="240" w:lineRule="auto"/>
        <w:jc w:val="both"/>
        <w:rPr>
          <w:rFonts w:ascii="Times New Roman" w:hAnsi="Times New Roman" w:cs="Times New Roman"/>
          <w:color w:val="000000" w:themeColor="text1"/>
        </w:rPr>
      </w:pPr>
      <w:r w:rsidRPr="005E779E">
        <w:rPr>
          <w:rFonts w:ascii="Times New Roman" w:hAnsi="Times New Roman" w:cs="Times New Roman"/>
          <w:color w:val="000000" w:themeColor="text1"/>
        </w:rPr>
        <w:t>Штурман, сидевший рядом, влез с ногами на сиденье и приготовился выпрыг</w:t>
      </w:r>
      <w:r w:rsidRPr="005E779E">
        <w:rPr>
          <w:rFonts w:ascii="Times New Roman" w:hAnsi="Times New Roman" w:cs="Times New Roman"/>
          <w:color w:val="000000" w:themeColor="text1"/>
        </w:rPr>
        <w:softHyphen/>
        <w:t>нуть с парашютом. Я ему пригрозил кула</w:t>
      </w:r>
      <w:r w:rsidRPr="005E779E">
        <w:rPr>
          <w:rFonts w:ascii="Times New Roman" w:hAnsi="Times New Roman" w:cs="Times New Roman"/>
          <w:color w:val="000000" w:themeColor="text1"/>
        </w:rPr>
        <w:softHyphen/>
        <w:t>ком: сидеть! Планирую и вижу, что дотянуть до Московского аэродрома не могу, так как на скольжении потерял высоту. Иду на аэродром в Филях. Остается сто метров высоты. Под нами провода с током высокого напряжения, пасется скот. Вижу, что и до аэродрома в Филях немного недотягиваю. Кричу механику:</w:t>
      </w:r>
    </w:p>
    <w:p w14:paraId="3053BDE2" w14:textId="77777777" w:rsidR="003E28CB" w:rsidRPr="005E779E" w:rsidRDefault="003E28CB" w:rsidP="000B7A6C">
      <w:pPr>
        <w:pStyle w:val="80"/>
        <w:numPr>
          <w:ilvl w:val="0"/>
          <w:numId w:val="2"/>
        </w:numPr>
        <w:shd w:val="clear" w:color="auto" w:fill="auto"/>
        <w:tabs>
          <w:tab w:val="left" w:pos="463"/>
        </w:tabs>
        <w:autoSpaceDE/>
        <w:autoSpaceDN/>
        <w:adjustRightInd/>
        <w:spacing w:line="240" w:lineRule="auto"/>
        <w:jc w:val="both"/>
        <w:rPr>
          <w:rFonts w:ascii="Times New Roman" w:hAnsi="Times New Roman" w:cs="Times New Roman"/>
          <w:color w:val="000000" w:themeColor="text1"/>
        </w:rPr>
      </w:pPr>
      <w:r w:rsidRPr="005E779E">
        <w:rPr>
          <w:rFonts w:ascii="Times New Roman" w:hAnsi="Times New Roman" w:cs="Times New Roman"/>
          <w:color w:val="000000" w:themeColor="text1"/>
        </w:rPr>
        <w:t>Включай бензин!</w:t>
      </w:r>
    </w:p>
    <w:p w14:paraId="17A86165" w14:textId="77777777" w:rsidR="003E28CB" w:rsidRPr="005E779E" w:rsidRDefault="003E28CB" w:rsidP="000B7A6C">
      <w:pPr>
        <w:pStyle w:val="80"/>
        <w:shd w:val="clear" w:color="auto" w:fill="auto"/>
        <w:spacing w:line="240" w:lineRule="auto"/>
        <w:jc w:val="both"/>
        <w:rPr>
          <w:rFonts w:ascii="Times New Roman" w:hAnsi="Times New Roman" w:cs="Times New Roman"/>
          <w:color w:val="000000" w:themeColor="text1"/>
        </w:rPr>
      </w:pPr>
      <w:r w:rsidRPr="005E779E">
        <w:rPr>
          <w:rFonts w:ascii="Times New Roman" w:hAnsi="Times New Roman" w:cs="Times New Roman"/>
          <w:color w:val="000000" w:themeColor="text1"/>
        </w:rPr>
        <w:t>Мы над границей аэродрома. Выклю</w:t>
      </w:r>
      <w:r w:rsidRPr="005E779E">
        <w:rPr>
          <w:rFonts w:ascii="Times New Roman" w:hAnsi="Times New Roman" w:cs="Times New Roman"/>
          <w:color w:val="000000" w:themeColor="text1"/>
        </w:rPr>
        <w:softHyphen/>
        <w:t>чаю моторы. Приземляемся. Схожу на землю, и, о чудо, — мотор застрял на шасси и не зажал колеса. Никто не убит! Какая радость! Но бледный Макс Аркадьевич Тайц мне сообщает, что, когда отвалился мотор, Александр Васильевич Чесалов выпрыгнул с парашютом.</w:t>
      </w:r>
    </w:p>
    <w:p w14:paraId="31AD0E73" w14:textId="77777777" w:rsidR="003E28CB" w:rsidRPr="005E779E" w:rsidRDefault="003E28CB" w:rsidP="000B7A6C">
      <w:pPr>
        <w:pStyle w:val="80"/>
        <w:numPr>
          <w:ilvl w:val="0"/>
          <w:numId w:val="2"/>
        </w:numPr>
        <w:shd w:val="clear" w:color="auto" w:fill="auto"/>
        <w:tabs>
          <w:tab w:val="left" w:pos="457"/>
        </w:tabs>
        <w:autoSpaceDE/>
        <w:autoSpaceDN/>
        <w:adjustRightInd/>
        <w:spacing w:line="240" w:lineRule="auto"/>
        <w:jc w:val="both"/>
        <w:rPr>
          <w:rFonts w:ascii="Times New Roman" w:hAnsi="Times New Roman" w:cs="Times New Roman"/>
          <w:color w:val="000000" w:themeColor="text1"/>
        </w:rPr>
      </w:pPr>
      <w:r w:rsidRPr="005E779E">
        <w:rPr>
          <w:rFonts w:ascii="Times New Roman" w:hAnsi="Times New Roman" w:cs="Times New Roman"/>
          <w:color w:val="000000" w:themeColor="text1"/>
        </w:rPr>
        <w:t>Мы видели, что парашют раскрылся. Чесалов приземлился благополучно.</w:t>
      </w:r>
    </w:p>
    <w:p w14:paraId="57101270" w14:textId="77777777" w:rsidR="003E28CB" w:rsidRPr="005E779E" w:rsidRDefault="003E28CB" w:rsidP="000B7A6C">
      <w:pPr>
        <w:pStyle w:val="80"/>
        <w:shd w:val="clear" w:color="auto" w:fill="auto"/>
        <w:spacing w:line="240" w:lineRule="auto"/>
        <w:jc w:val="both"/>
        <w:rPr>
          <w:rFonts w:ascii="Times New Roman" w:hAnsi="Times New Roman" w:cs="Times New Roman"/>
          <w:color w:val="000000" w:themeColor="text1"/>
        </w:rPr>
      </w:pPr>
      <w:r w:rsidRPr="005E779E">
        <w:rPr>
          <w:rFonts w:ascii="Times New Roman" w:hAnsi="Times New Roman" w:cs="Times New Roman"/>
          <w:color w:val="000000" w:themeColor="text1"/>
        </w:rPr>
        <w:t>От ангара в это время к нам бежали почти все механики, работавшие около самолетов. Они наблюдали весь наш «спектакль» в воздухе: громадное пламя, затем прыжок с парашютом человека, и вот посадка с мотором на шасси. Меня подхватили на руки и начали качать...</w:t>
      </w:r>
    </w:p>
    <w:p w14:paraId="1EA04987" w14:textId="77777777" w:rsidR="003E28CB" w:rsidRPr="005E779E" w:rsidRDefault="003E28C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Мне и на этот раз - и не в последний! — конечно, повезло»</w:t>
      </w:r>
    </w:p>
    <w:p w14:paraId="063176AB" w14:textId="77777777" w:rsidR="003E28CB" w:rsidRPr="005E779E" w:rsidRDefault="003E28C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описанной аварийной посадки ТБ-5 вплоть до декабря 1932 г. находился на аэродроме 22-го завода (12611).</w:t>
      </w:r>
    </w:p>
    <w:p w14:paraId="32A2418F" w14:textId="77777777" w:rsidR="003E28CB" w:rsidRPr="005E779E" w:rsidRDefault="003E28CB" w:rsidP="000B7A6C">
      <w:pPr>
        <w:spacing w:after="0" w:line="240" w:lineRule="auto"/>
        <w:jc w:val="both"/>
        <w:rPr>
          <w:rFonts w:ascii="Times New Roman" w:hAnsi="Times New Roman"/>
          <w:color w:val="000000" w:themeColor="text1"/>
          <w:sz w:val="16"/>
          <w:szCs w:val="16"/>
        </w:rPr>
      </w:pPr>
    </w:p>
    <w:p w14:paraId="15B9D0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г. появилась первая таганрогская пятерка Р-5. На всех машинах приемка обнаружила несоответствия чертежам, некомплект оборудования, а вооружения вообще не было. Однако УВВС все-таки согласилось их принять. Руководство ВАО поняло бесперспективность распыления сил и сняло с завода N° 31 план по Р-5. Весь обьем производства лег на завод № 1. Массовый выпуск начали двумя сериями, в которых было 50 и 80 машин. Часть запланированных для них нововведений опробовали на специально построенном самолете N° 4316. На нем установили изготовленный в Рыбинске мотор М-17 (советскую копию BMW VI) и усиленное шасси. 3-я серия начиналась с самолета № 4534. На нем увеличили окно в полу, поставили пилоту зеркало для обзора назад. Затем внедрили увеличенные радиаторы, стойки и подкосы шасси из труб большего диаметра, более прочное сиденье летнаба. С 16-го Р-5 этой серии появились подфюзеляжные бомбодержатели Дер-13. Некоторые самолеты с конца 1930 г. комплектовались пулеметами ДА. Улучшили дренаж и снабдили резиновыми прокладками люки в центроплане. Всего за 1931 г. в конструкцию внесли более 150 изменений (11936).</w:t>
      </w:r>
    </w:p>
    <w:p w14:paraId="14888D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5B176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 августе 1931 г. первая пятерка Р-5 завода № 31 была готова. Во всех машинах военная приемка обнаружила несоответствие чертежам, оборудование устанавливалось некомплектно, а вооружения вообще не было. Но УВВС все-таки согласилось их принять. Руководство ВАО поняло бесперспективность распыления сил и сняло с завода № 31 план по Р-5.</w:t>
      </w:r>
    </w:p>
    <w:p w14:paraId="14268D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Весь объем производства в итоге лег на плечи завода № 1, неустанно совершенствовавшего машину. Массовое производство начали двумя сериями: в первой из них было 50 машин, во второй - 80.</w:t>
      </w:r>
    </w:p>
    <w:p w14:paraId="2603E6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Перед этим часть запланированных на них нововведений опробовали на специально построенной машине № 4316. На ней установили изготовленный в Рыбинске мотор М-17 (советскую копию BMW VI) и усиленное (из груб большего диаметра) шасси. В ноябре 1930 г. и то, и другое было одобрено для внедрения в производство.</w:t>
      </w:r>
    </w:p>
    <w:p w14:paraId="7EB711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3-я серия (она же 1-я серия 1930/31 гг.) начиналась с самолета № 4534. На ней увеличили окно в полу (по типу изготовленного в НИИ ВВС на четвертой опытной машине), поставили пилоту зеркальце для обзора назад. Затем внедрили увеличенные радиаторы (их досылали в части и к машинам более раннего выпуска), стойки и подкосы шасси из труб увеличенного диаметра, более прочное сиденье для летнаба. С 16-го Р-5 этой серии появились подфюзеляжные бомбодержатели Дер-13. Некоторые самолеты с конца 1930 г. комплектовались новыми пулеметами ДА на той же турели (установку ДА-2 начали разрабатывать в октябре 1930 г.). УВВС требовало внедрить их еще на 2-й серии, но завод не успел получить пулеметы. На машинах, выпущенных ранее, "Лыоисы" меняли на ДА уже непосредственно в строевых частях ВВС; первоначально устанавливаш только по одному пулемету. Улучшили дренаж и сделали водонепроницаемые, на резиновых прокладках, люки в центроплане. Всего за 1931 г. в конструкцию самолета внесли более 150 изменений (12034).</w:t>
      </w:r>
    </w:p>
    <w:p w14:paraId="501756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E801868" w14:textId="77777777" w:rsidR="002C4AC9" w:rsidRPr="00142305" w:rsidRDefault="002C4AC9" w:rsidP="002C4AC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ав</w:t>
      </w:r>
      <w:r w:rsidRPr="00142305">
        <w:rPr>
          <w:rFonts w:ascii="Times New Roman" w:hAnsi="Times New Roman"/>
          <w:color w:val="0070C0"/>
          <w:sz w:val="16"/>
          <w:szCs w:val="16"/>
        </w:rPr>
        <w:softHyphen/>
        <w:t>густе 1931 г. на заводе № 39 начали постройку опытного образца поплавкового Р-5. Поплавки изготовил московский завод № 28, специализировавшийся на воздушных винтах и лыжах. Р-5а хотели сначала опробовать на Москве-реке, а затем отвезти на Черное море для государственных испытаний. Но, отставая от графика более чем на пять месяцев, ма</w:t>
      </w:r>
      <w:r w:rsidRPr="00142305">
        <w:rPr>
          <w:rFonts w:ascii="Times New Roman" w:hAnsi="Times New Roman"/>
          <w:color w:val="0070C0"/>
          <w:sz w:val="16"/>
          <w:szCs w:val="16"/>
        </w:rPr>
        <w:softHyphen/>
        <w:t>шину смогли выпустить только к зиме, когда Москва-река уже покрылась льдом. Самолет отправили в Севастополь (24990).</w:t>
      </w:r>
    </w:p>
    <w:p w14:paraId="333504A1" w14:textId="77777777" w:rsidR="002C4AC9" w:rsidRPr="00142305" w:rsidRDefault="002C4AC9" w:rsidP="002C4AC9">
      <w:pPr>
        <w:spacing w:after="0" w:line="240" w:lineRule="auto"/>
        <w:jc w:val="both"/>
        <w:rPr>
          <w:rFonts w:ascii="Times New Roman" w:hAnsi="Times New Roman"/>
          <w:color w:val="0070C0"/>
          <w:sz w:val="16"/>
          <w:szCs w:val="16"/>
        </w:rPr>
      </w:pPr>
    </w:p>
    <w:p w14:paraId="13FF6CD5" w14:textId="77777777" w:rsidR="002C4AC9" w:rsidRPr="00142305" w:rsidRDefault="002C4AC9" w:rsidP="002C4AC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августе 1931 г. с опозданием на год завод № 31 сдал первые пять Р-5. Во всех машинах военная при</w:t>
      </w:r>
      <w:r w:rsidRPr="00142305">
        <w:rPr>
          <w:rFonts w:ascii="Times New Roman" w:hAnsi="Times New Roman"/>
          <w:color w:val="0070C0"/>
          <w:sz w:val="16"/>
          <w:szCs w:val="16"/>
        </w:rPr>
        <w:softHyphen/>
        <w:t>емка обнаружила несоответствие чертежам, оборудование устанавливалось некомплектно, а вооружения вообще не было. Но УВВС все-таки согласилось их принять. Руко</w:t>
      </w:r>
      <w:r w:rsidRPr="00142305">
        <w:rPr>
          <w:rFonts w:ascii="Times New Roman" w:hAnsi="Times New Roman"/>
          <w:color w:val="0070C0"/>
          <w:sz w:val="16"/>
          <w:szCs w:val="16"/>
        </w:rPr>
        <w:softHyphen/>
        <w:t>водство ВАО поняло бесперспективность распыления сил и сняло с завода № 31 план по Р-5.</w:t>
      </w:r>
    </w:p>
    <w:p w14:paraId="48FEE0C6" w14:textId="77777777" w:rsidR="002C4AC9" w:rsidRPr="00142305" w:rsidRDefault="002C4AC9" w:rsidP="002C4AC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Весь объем производства в итоге лег на плечи завода № 1, неустанно совершенствовавшего машину. Массовое про</w:t>
      </w:r>
      <w:r w:rsidRPr="00142305">
        <w:rPr>
          <w:rFonts w:ascii="Times New Roman" w:hAnsi="Times New Roman"/>
          <w:color w:val="0070C0"/>
          <w:sz w:val="16"/>
          <w:szCs w:val="16"/>
        </w:rPr>
        <w:softHyphen/>
        <w:t>изводство начали двумя сериями: в первой из них было 50 машин, во второй — 80 (24990).</w:t>
      </w:r>
    </w:p>
    <w:p w14:paraId="7501EB03" w14:textId="77777777" w:rsidR="002C4AC9" w:rsidRPr="00142305" w:rsidRDefault="002C4AC9" w:rsidP="002C4AC9">
      <w:pPr>
        <w:spacing w:after="0" w:line="240" w:lineRule="auto"/>
        <w:jc w:val="both"/>
        <w:rPr>
          <w:rFonts w:ascii="Times New Roman" w:hAnsi="Times New Roman"/>
          <w:color w:val="0070C0"/>
          <w:sz w:val="16"/>
          <w:szCs w:val="16"/>
        </w:rPr>
      </w:pPr>
    </w:p>
    <w:p w14:paraId="2A6140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Д.П.Г. передал на испытания ДИ-3 (346,55).</w:t>
      </w:r>
    </w:p>
    <w:p w14:paraId="6FFA65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41555C9" w14:textId="77777777" w:rsidR="00A522A1" w:rsidRPr="005E779E" w:rsidRDefault="00A522A1"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года истребитель ДИ-3 вышел на испытания. Его отличительной особенностью было разнесенное вертикальное оперение, кстати, впервые в отечественных конструкциях самолетов для удобства ведения огня с задней точки. ДИ-3 на испытаниях показал неплохие летные качества, близкие к И-5, но в ходе испытаний из-за многих доводок оказался перетяжеленным, и его первоначальные характеристики снизились. На Государственных испытаниях он показал скорость у земли 256 км/ч, а потолок 6300 м. Военных такие показатели уже не удовлетворяли, и на вооружение ДИ-3 принят не был (15223).</w:t>
      </w:r>
    </w:p>
    <w:p w14:paraId="71890251" w14:textId="77777777" w:rsidR="00A522A1" w:rsidRPr="005E779E" w:rsidRDefault="00A522A1" w:rsidP="000B7A6C">
      <w:pPr>
        <w:shd w:val="clear" w:color="auto" w:fill="FFFFFF"/>
        <w:spacing w:after="0" w:line="240" w:lineRule="auto"/>
        <w:jc w:val="both"/>
        <w:rPr>
          <w:rFonts w:ascii="Times New Roman" w:hAnsi="Times New Roman"/>
          <w:color w:val="000000" w:themeColor="text1"/>
          <w:sz w:val="16"/>
          <w:szCs w:val="16"/>
        </w:rPr>
      </w:pPr>
    </w:p>
    <w:p w14:paraId="302AD8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после успешного завершения работ по И-5 большую группу специалистов ВТ, включая Н.Н.П. перевели в АГОС ЦАГИ и эту-то группу и возглавлял Е.Н.Пауфлер. Тут-то АГОС и стал КОСОС и были созданы новые бригады (222,25).</w:t>
      </w:r>
    </w:p>
    <w:p w14:paraId="76CD43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BA3D4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в течение двух дней испытывали вооружение АНТ-7 (Р-6). На машине было 7 укороченных балок Дер-7 под центропланом, механический Сбр-8 и немецкий бомбардировочный прицел Герц F1110. испытали и Тур-5 с ДА (2671,14).</w:t>
      </w:r>
    </w:p>
    <w:p w14:paraId="170EB4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A3B3E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г. начали постройку опытного образца Р-5а. Поплавки изготовил московский завод № 28. Отставая от графика более, чем на 5 месяцев, машину смогли выпустить только к зиме. Москва- река уже замерзла, и самолет отправили в Севастополь. Там 31 декабря состоялся первый полет. Заводские испытания длились меньше месяца, а Государственные проходили с 27 января по 17 апреля 1932 г. Больший вес (поплавковое шасси было тяжелее колесного на 390 кг) и увеличившееся аэродинамическое сопротивление серьезно ухудшили летные данные по сравнению с колесным вариантом. Кроме того, отмечалось, что от воздействия воды коробилась обшивка. Винт сильно страдал от брызг на взлете, они попадали и во всасывающий патрубок карбюратора. От тряски на волнах замки бомбодержателей разбалтывались, из-за чего на взлете несколько раз роняли бомбы. Завершить Госиспытания не удалось - по специальному распоряжению в мае 1932 г. машину отправили в экспедицию на Крайний Север.</w:t>
      </w:r>
    </w:p>
    <w:p w14:paraId="3DD850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1933 г. предполагалось изготовить 50 Р-5а. Производство организовывалось следующим образом. Сами самолеты и рамы под поплавки делали в Москве. Все узлы, отличавшиеся от сухопутного варианта, производил отдельный цех, чтобы не мешать массовому выпуску. Поплавки выпускал завод № 45 в Севастополе. Он же комплекси- ровал все морское оборудование. Сборка могла осуществляться в Севастополе или Москве. В первом случае самолеты улетали из столицы на колесах (к Р-5а требовали придавать сменное колесное шасси).</w:t>
      </w:r>
    </w:p>
    <w:p w14:paraId="2E8956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Фактически выпуск Р-5а наладили только в конце года. Головная машина № 6763 прошла Госиспытания в Севастополе с 12 декабря 1933 г. по 14 января 1934 г. Облетывал ее пилот Ершов. Несмотря на некоторый рост взлетного веса, все показатели улучшились по сравнению с опытным образцом. Немного повысилась скорость, вырос практический потолок, существенно уменьшилось время набора высоты 3000 м.</w:t>
      </w:r>
    </w:p>
    <w:p w14:paraId="65C43E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Серийные машины имели усиленный каркас передней части фюзеляжа и измененную мотораму. В поплавках размещались банки для аварийного запаса продовольствия и пресной воды. Для того чтобы можно было извлечь самолет из воды краном, на центроплане верхнего крыла сделали скобы, усилили передний лонжерон центроплана и стойки кабана.</w:t>
      </w:r>
    </w:p>
    <w:p w14:paraId="349BBE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20 марта 1934 г. военную приемку прошли 13 Р-5а. Всего до конца 1935 г. построили 111 самолетов этой модификации (11936).</w:t>
      </w:r>
    </w:p>
    <w:p w14:paraId="55E26B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A54EA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г. на заводе № 39 начали постройку опытного образца морского Р-5а. Поплавки изготовил московский завод № 28, специализировавшийся на воздушных винтах и лыжах. Р-5а хотели сначала опробовать на Москве-реке, а затем отвезти на Черное море для государственных испытаний. Но, отставая от графика более чем на пять месяцев, машину смогли выпустить только к зиме, когда Москва-река уже покрылась льдом.</w:t>
      </w:r>
    </w:p>
    <w:p w14:paraId="56C08E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отправили в Севастополь. Там 31 декабря 1931 г. состоялся первый полет. Заводские испытания длились меньше месяца. Государственные испытания шли там же, в Севастополе, где располагался Особый морской отдел (ОМО)НИИ ВВС.Онивелисьс27январяпо 17апреля 1932г. Больший вес (поплавковое шасси было тяжелее колесного на 390 кг) и увеличившееся аэродинамическое сопротивление серьезно ухудшили летные данные по сравнению с колесным вариантом. Но при этом пилотаж оказался значительно проще, чем у старого МР-1. Новый самолет оказан с я гораздо менее "строг" в управлении.</w:t>
      </w:r>
    </w:p>
    <w:p w14:paraId="34379C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Недостатки в основном были связаны с приспособлением сухопутной машины к полетам с воды. Прочность поплавков оказалась недостаточной. Каркас разбалтывался, а обшивка коробилась. Внутрь поплавков поступала вода. Винт сильно страдал от брызг на взлете, они попадали и во всасывающий патрубок карбюратора. Это могло привести к остановке мотора в самый ответственный момент. От тряски на волнах замки бомбодержателей разбалтывались. Из-за этого на взлете несколько раз роняли бомбы в воду.</w:t>
      </w:r>
    </w:p>
    <w:p w14:paraId="546A47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Завершить государственные испытания не удалось, по специальному распоряжению в мае 1932 г. машину отправили в экспедицию на Крайний Север (12034).</w:t>
      </w:r>
    </w:p>
    <w:p w14:paraId="0C4812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3FD0171" w14:textId="77777777" w:rsidR="00A522A1" w:rsidRPr="005E779E" w:rsidRDefault="00A522A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г. на базе авиамотодесантного отряда Ленинградского военного округа проводились первые войсковые испытания экспериментальной партии подкрыльных опрокидывающихся люлек, предназначенных для автоматической выброски с этого же самолета людей, снабженных десантными парашютами системы Гроховского. Однако итоги испытаний показали, что предлагаемый способ выброски не мог быть принят на вооружение ввиду крайней сложности. Предельно напряженное состояние десантников, в полном одиночестве лежащих в люльках в течение всего полета, неожиданность момента сброса и полная беспомощность совершающего прыжок в случае каких-либо неполадок отрицательно действовали на психологическое состояние воинов (15506).</w:t>
      </w:r>
    </w:p>
    <w:p w14:paraId="5C2D31CD" w14:textId="77777777" w:rsidR="00A522A1" w:rsidRPr="005E779E" w:rsidRDefault="00A522A1" w:rsidP="000B7A6C">
      <w:pPr>
        <w:spacing w:after="0" w:line="240" w:lineRule="auto"/>
        <w:jc w:val="both"/>
        <w:rPr>
          <w:rFonts w:ascii="Times New Roman" w:hAnsi="Times New Roman"/>
          <w:color w:val="000000" w:themeColor="text1"/>
          <w:sz w:val="16"/>
          <w:szCs w:val="16"/>
        </w:rPr>
      </w:pPr>
    </w:p>
    <w:p w14:paraId="3E504BB8" w14:textId="77777777" w:rsidR="005504A8" w:rsidRPr="005E779E" w:rsidRDefault="005504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г. Реввоенсовет принял ре</w:t>
      </w:r>
      <w:r w:rsidRPr="005E779E">
        <w:rPr>
          <w:rFonts w:ascii="Times New Roman" w:hAnsi="Times New Roman"/>
          <w:color w:val="000000" w:themeColor="text1"/>
          <w:sz w:val="16"/>
          <w:szCs w:val="16"/>
        </w:rPr>
        <w:softHyphen/>
        <w:t>шение прекратить покупку за рубежом двигателей для опытных самолетов. Все новые машины должны были создаваться под отечественные образцы (23513).</w:t>
      </w:r>
    </w:p>
    <w:p w14:paraId="2975B979" w14:textId="77777777" w:rsidR="005504A8" w:rsidRPr="005E779E" w:rsidRDefault="005504A8" w:rsidP="000B7A6C">
      <w:pPr>
        <w:spacing w:after="0" w:line="240" w:lineRule="auto"/>
        <w:jc w:val="both"/>
        <w:rPr>
          <w:rFonts w:ascii="Times New Roman" w:hAnsi="Times New Roman"/>
          <w:color w:val="000000" w:themeColor="text1"/>
          <w:sz w:val="16"/>
          <w:szCs w:val="16"/>
        </w:rPr>
      </w:pPr>
    </w:p>
    <w:p w14:paraId="4CDC78F0" w14:textId="77777777" w:rsidR="00A522A1" w:rsidRPr="005E779E" w:rsidRDefault="00A522A1" w:rsidP="000B7A6C">
      <w:pPr>
        <w:pStyle w:val="a3"/>
        <w:rPr>
          <w:color w:val="000000" w:themeColor="text1"/>
          <w:lang w:val="ru-RU"/>
        </w:rPr>
      </w:pPr>
      <w:r w:rsidRPr="005E779E">
        <w:rPr>
          <w:color w:val="000000" w:themeColor="text1"/>
          <w:lang w:val="ru-RU"/>
        </w:rPr>
        <w:t>В августе 1931 г. при обсуж</w:t>
      </w:r>
      <w:r w:rsidRPr="005E779E">
        <w:rPr>
          <w:color w:val="000000" w:themeColor="text1"/>
          <w:lang w:val="ru-RU"/>
        </w:rPr>
        <w:softHyphen/>
        <w:t>дении планов строительства рекордных самолетов денежные средства добро</w:t>
      </w:r>
      <w:r w:rsidRPr="005E779E">
        <w:rPr>
          <w:color w:val="000000" w:themeColor="text1"/>
          <w:lang w:val="ru-RU"/>
        </w:rPr>
        <w:softHyphen/>
        <w:t>вольной оборонной организации еще упоминались, в частности назывались 600 тыс. руб., собранные у трудящихся на развитие авиации. Начальник Все</w:t>
      </w:r>
      <w:r w:rsidRPr="005E779E">
        <w:rPr>
          <w:color w:val="000000" w:themeColor="text1"/>
          <w:lang w:val="ru-RU"/>
        </w:rPr>
        <w:softHyphen/>
        <w:t>союзного авиационного объединения, а в недавнем прошлом начальник ВВС РККА (до июня 1931 г.) П.И. Баранов прямо предложил руководителю ЦАГИ Н.М. Харламову (официально назначен начальником ЦАГИ в январе 1932 г.) направить эти достаточно немалые деньги Осоавиахима в ЦАГИ на по</w:t>
      </w:r>
      <w:r w:rsidRPr="005E779E">
        <w:rPr>
          <w:color w:val="000000" w:themeColor="text1"/>
          <w:lang w:val="ru-RU"/>
        </w:rPr>
        <w:softHyphen/>
        <w:t>стройку самолета РД (АНТ-25). Однако передать общественные средства на</w:t>
      </w:r>
      <w:r w:rsidRPr="005E779E">
        <w:rPr>
          <w:color w:val="000000" w:themeColor="text1"/>
          <w:lang w:val="ru-RU"/>
        </w:rPr>
        <w:softHyphen/>
        <w:t>прямую в промышленность оказалось непросто, согласия в этом вопросе у руководства не наблюдалось, поэто</w:t>
      </w:r>
      <w:r w:rsidRPr="005E779E">
        <w:rPr>
          <w:color w:val="000000" w:themeColor="text1"/>
          <w:lang w:val="ru-RU"/>
        </w:rPr>
        <w:softHyphen/>
        <w:t>му решили изыскать другой вариант. В конечном счете деньги перечислили в МАИ, где решили с участием молодых сотрудников и студентов спроектиро</w:t>
      </w:r>
      <w:r w:rsidRPr="005E779E">
        <w:rPr>
          <w:color w:val="000000" w:themeColor="text1"/>
          <w:lang w:val="ru-RU"/>
        </w:rPr>
        <w:softHyphen/>
        <w:t xml:space="preserve">вать и построить еще один рекордный самолет. Если ЦАГИ поручили </w:t>
      </w:r>
      <w:r w:rsidRPr="005E779E">
        <w:rPr>
          <w:color w:val="000000" w:themeColor="text1"/>
          <w:lang w:val="ru-RU"/>
        </w:rPr>
        <w:lastRenderedPageBreak/>
        <w:t>создать самолет с дальностью полета 13000 км, то учебному институту выдали задание на подобный летательный аппарат, также с двигателем М-34, способный пролететь без посадки 5000 км.</w:t>
      </w:r>
    </w:p>
    <w:p w14:paraId="41186581" w14:textId="77777777" w:rsidR="00A522A1" w:rsidRPr="005E779E" w:rsidRDefault="00A522A1" w:rsidP="000B7A6C">
      <w:pPr>
        <w:pStyle w:val="a3"/>
        <w:rPr>
          <w:color w:val="000000" w:themeColor="text1"/>
          <w:lang w:val="ru-RU"/>
        </w:rPr>
      </w:pPr>
      <w:r w:rsidRPr="005E779E">
        <w:rPr>
          <w:color w:val="000000" w:themeColor="text1"/>
          <w:lang w:val="ru-RU"/>
        </w:rPr>
        <w:t>Странная идея с заранее ограничен</w:t>
      </w:r>
      <w:r w:rsidRPr="005E779E">
        <w:rPr>
          <w:color w:val="000000" w:themeColor="text1"/>
          <w:lang w:val="ru-RU"/>
        </w:rPr>
        <w:softHyphen/>
        <w:t>ной дальностью полета, скорее всего, объяснялась сомнением, что в учебном институте, существующем с 1930 г. и не имеющем ни конструкторов, ни производственников, ни оборудова</w:t>
      </w:r>
      <w:r w:rsidRPr="005E779E">
        <w:rPr>
          <w:color w:val="000000" w:themeColor="text1"/>
          <w:lang w:val="ru-RU"/>
        </w:rPr>
        <w:softHyphen/>
        <w:t>ния, действительно смогут создать дальний самолет (15746).</w:t>
      </w:r>
    </w:p>
    <w:p w14:paraId="5FFAE94B" w14:textId="77777777" w:rsidR="00A522A1" w:rsidRPr="005E779E" w:rsidRDefault="00A522A1" w:rsidP="000B7A6C">
      <w:pPr>
        <w:pStyle w:val="a3"/>
        <w:rPr>
          <w:color w:val="000000" w:themeColor="text1"/>
          <w:lang w:val="ru-RU"/>
        </w:rPr>
      </w:pPr>
    </w:p>
    <w:p w14:paraId="37D4BD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при Реввоенсовете создали спецкомиссию по постройке рекордного самолета (92,484).</w:t>
      </w:r>
    </w:p>
    <w:p w14:paraId="777707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C5C54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г. в ЦАГИ приступили к подготовке эскизных проектов дальнего и высотного самолетов. Причем ос новным направлением указанной деятельности считалось создание аппарата для достижения рекорда дальности полета. Дополнительным стимулом к созданию такой машины стали события, связанные с неудачными попытками перелетов в августе-сентябре 1931 г. двух французских монопланов Девуатин D.33. Неизвестно, на каких условиях, но останки, по крайней мере, одного разбившегося француза остались на территории СССР. Вне всякого сомнения, D.33 обстоятельно изучили, а полученную информацию использовали при создании своего сверхдальнего самолета. Однако главным обстоятельством, способствующим развитию событий, стали успешные испытания нового авиационного двигателя М-34, закончившиеся глубокой осенью 1931 года (11941).</w:t>
      </w:r>
    </w:p>
    <w:p w14:paraId="6D120B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85EB2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начальник УВВС Я.И.Алкснис и зам. начальника ЦАГИ А.Н.Т. представили в Реввоенсовет совместную докладную записку с приложенным эскизным проектом самолета для побития рекорда дальности в простых условиях погоды, который м.б. и ДБ. Плюс план мероприятий, включая постройку спец. ВПП (80,332).</w:t>
      </w:r>
    </w:p>
    <w:p w14:paraId="13F934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Видно таким образом А.Н.Т. добивался независимости.</w:t>
      </w:r>
    </w:p>
    <w:p w14:paraId="5A6949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другим данным комиссия была создана 7 декабря 1931. Нет, 7 декабря вышло постановление Правительства (2072,71).</w:t>
      </w:r>
    </w:p>
    <w:p w14:paraId="14250E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715FD0F" w14:textId="77777777" w:rsidR="0001378D" w:rsidRPr="005E779E" w:rsidRDefault="0001378D" w:rsidP="000B7A6C">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В августе 1931 года, когда начальник ВВС РККА Я.И. Алкснис и конструктор ЦАГИ А.Н. Туполев представили в Реввоенсовет СССР совместную докладную записку с эскизным проектом самолета для установления мирового рекорда дальности полета. 4 декабря 1931 года, рассмотрев и всесторонне обсудив предложение Алксниса и Туполева, председатель РВС СССР К.Е. Ворошилов обратился в правительство с докладом о постройке рекордного самолета и об организации дальнего перелета. 7 декабря 1931 года вышло постановление СНК СССР в котором с революционным оптимизмом ставилась задача «об организации летом 1932 года полета на предельную дальность и о постройке для этой цели самолета конструкции А.Н. Туполева АНТ-25 под мотор М-34 с проектной дальностью 13000 км» (21249).</w:t>
      </w:r>
    </w:p>
    <w:p w14:paraId="4199F28E" w14:textId="77777777" w:rsidR="0001378D" w:rsidRPr="005E779E" w:rsidRDefault="0001378D" w:rsidP="000B7A6C">
      <w:pPr>
        <w:shd w:val="clear" w:color="auto" w:fill="FFFFFF"/>
        <w:spacing w:after="0" w:line="240" w:lineRule="auto"/>
        <w:jc w:val="both"/>
        <w:rPr>
          <w:rFonts w:ascii="Times New Roman" w:hAnsi="Times New Roman"/>
          <w:color w:val="000000" w:themeColor="text1"/>
          <w:sz w:val="16"/>
          <w:szCs w:val="16"/>
          <w:shd w:val="clear" w:color="auto" w:fill="FFFFFF"/>
        </w:rPr>
      </w:pPr>
    </w:p>
    <w:p w14:paraId="010D2F1A" w14:textId="77777777" w:rsidR="005504A8" w:rsidRPr="005E779E" w:rsidRDefault="005504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года при Реввоенсовете была создана специальная комиссия под председательством К. Е. Ворошилова по организации и содействию в постройке советского сверхдальнего самолета, идея которого родилась в ЦАГИ. В эту комиссию также вошли нарком тяжелой промышленности Г. К. Орджоникидзе, начальник Главкоавиа наркомата М. А. Рухимович, академик О. Ю. Шмидт, командующий ВВС Я. И. Алкснис и А. Н. Туполев.</w:t>
      </w:r>
    </w:p>
    <w:p w14:paraId="71D4AFF7" w14:textId="77777777" w:rsidR="005504A8" w:rsidRPr="005E779E" w:rsidRDefault="005504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Результатом их работы стало правительственное решение от 7 декабря 1931 года о строительстве самолета РД, способного выполнить беспосадочный полет на дальность до 13 000 км. Одновременно началось рассмотрение и возможных трасс для будущих сверхдальних перелетов, поскольку для получения рекордного результата не хватало даже огромных размеров СССР. Не хватало и опыта организации и проведения столь дальних перелетов, в связи с чем этой комиссией был поставлен вопрос о необходимости создания меньшего по размерам самолета с дальностью беспосадочного полета до 5000 км. За такой «промежуточный» самолет и взялся известный авиаконструктор Дмитрий Павлович Григорович, возглавлявший тогда кафедру конструкции и проектирования самолетов МАИ (24213).</w:t>
      </w:r>
    </w:p>
    <w:p w14:paraId="076F876D" w14:textId="77777777" w:rsidR="005504A8" w:rsidRPr="005E779E" w:rsidRDefault="005504A8" w:rsidP="000B7A6C">
      <w:pPr>
        <w:spacing w:after="0" w:line="240" w:lineRule="auto"/>
        <w:jc w:val="both"/>
        <w:rPr>
          <w:rFonts w:ascii="Times New Roman" w:hAnsi="Times New Roman"/>
          <w:color w:val="000000" w:themeColor="text1"/>
          <w:sz w:val="16"/>
          <w:szCs w:val="16"/>
        </w:rPr>
      </w:pPr>
    </w:p>
    <w:p w14:paraId="5CAB26CE" w14:textId="77777777" w:rsidR="005504A8" w:rsidRPr="005E779E" w:rsidRDefault="005504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г. начальник ВВС РККА Я.И. Алкснис и заместитель началь</w:t>
      </w:r>
      <w:r w:rsidRPr="005E779E">
        <w:rPr>
          <w:rFonts w:ascii="Times New Roman" w:hAnsi="Times New Roman"/>
          <w:color w:val="000000" w:themeColor="text1"/>
          <w:sz w:val="16"/>
          <w:szCs w:val="16"/>
        </w:rPr>
        <w:softHyphen/>
        <w:t>ника Центрального конструкторского бюро (ЦКБ) Центрального Аэрогидроди- намического института (ЦАГИ) А.Н. Тупо</w:t>
      </w:r>
      <w:r w:rsidRPr="005E779E">
        <w:rPr>
          <w:rFonts w:ascii="Times New Roman" w:hAnsi="Times New Roman"/>
          <w:color w:val="000000" w:themeColor="text1"/>
          <w:sz w:val="16"/>
          <w:szCs w:val="16"/>
        </w:rPr>
        <w:softHyphen/>
        <w:t>лев представили в РВС СССР докладную записку с приложенным к ней эскизным проектом самолёта для побития рекор</w:t>
      </w:r>
      <w:r w:rsidRPr="005E779E">
        <w:rPr>
          <w:rFonts w:ascii="Times New Roman" w:hAnsi="Times New Roman"/>
          <w:color w:val="000000" w:themeColor="text1"/>
          <w:sz w:val="16"/>
          <w:szCs w:val="16"/>
        </w:rPr>
        <w:softHyphen/>
        <w:t>да дальности. Эта машина, по их мнению, могла быть использована и в варианте дальнего бомбардировщика, и разведчи</w:t>
      </w:r>
      <w:r w:rsidRPr="005E779E">
        <w:rPr>
          <w:rFonts w:ascii="Times New Roman" w:hAnsi="Times New Roman"/>
          <w:color w:val="000000" w:themeColor="text1"/>
          <w:sz w:val="16"/>
          <w:szCs w:val="16"/>
        </w:rPr>
        <w:softHyphen/>
        <w:t>ка, имеющего большой радиус действия и несущего относительно небольшую бом</w:t>
      </w:r>
      <w:r w:rsidRPr="005E779E">
        <w:rPr>
          <w:rFonts w:ascii="Times New Roman" w:hAnsi="Times New Roman"/>
          <w:color w:val="000000" w:themeColor="text1"/>
          <w:sz w:val="16"/>
          <w:szCs w:val="16"/>
        </w:rPr>
        <w:softHyphen/>
        <w:t>бовую или иную нагрузки.</w:t>
      </w:r>
    </w:p>
    <w:p w14:paraId="2CFC8E3F" w14:textId="77777777" w:rsidR="005504A8" w:rsidRPr="005E779E" w:rsidRDefault="005504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Имея на руках доклад Я.И. Алксниса и расчёты А.Н. Туполева, председатель РВС СССР К.Е. Ворошилов 4 декабря 1931 г. обратился в правительство с докладом об организации дальнего перелёта и о постройке специального одномоторного рекордного самолёта в двух экземплярах по проекту А.Н. Туполева под модернизи</w:t>
      </w:r>
      <w:r w:rsidRPr="005E779E">
        <w:rPr>
          <w:rFonts w:ascii="Times New Roman" w:hAnsi="Times New Roman"/>
          <w:color w:val="000000" w:themeColor="text1"/>
          <w:sz w:val="16"/>
          <w:szCs w:val="16"/>
        </w:rPr>
        <w:softHyphen/>
        <w:t>рованный двигатель М-34Р (24309).</w:t>
      </w:r>
    </w:p>
    <w:p w14:paraId="6FE9BF74" w14:textId="77777777" w:rsidR="005504A8" w:rsidRPr="005E779E" w:rsidRDefault="005504A8" w:rsidP="000B7A6C">
      <w:pPr>
        <w:spacing w:after="0" w:line="240" w:lineRule="auto"/>
        <w:jc w:val="both"/>
        <w:rPr>
          <w:rFonts w:ascii="Times New Roman" w:hAnsi="Times New Roman"/>
          <w:color w:val="000000" w:themeColor="text1"/>
          <w:sz w:val="16"/>
          <w:szCs w:val="16"/>
        </w:rPr>
      </w:pPr>
    </w:p>
    <w:p w14:paraId="6CAB4C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г. при обсуждении планов строительства рекордных самолетов денежные средства добровольной оборонной организации еще упоминались, в частности назывались 600 тысяч рублей, собранных у трудящихся на развитие авиации. Начальник Всесоюзного авиационного объединения, а в недавнем прошлом начальник ВВС РККА (до июня 1931 г.) П.И.Баранов прямо предложил руководителю ЦАГИ Н.М.Харламову (официально назначен начальником ЦАГИ в январе 1932 г.) направить эти достаточно немалые деньги Осоавиахима в ЦАГИ на постройку самолета РД. Однако согласия в руководстве по распределению финансов не наблюдалось, поэтому в конечном итоге деньги перечислили в МАИ, где решили с участием молодых сотрудников и студентов спроектировать и построить еще один рекордный самолет. Если ЦАГИ поручили создать самолет с дальностью 13000 км, то учебному институту выдали задание на подобный летательный аппарат (также с двигателем М-34), обладающий дальностью 5000 км.</w:t>
      </w:r>
    </w:p>
    <w:p w14:paraId="02AF17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Странная идея с заранее ограниченной дальностью полета объяснялась, скорее всего, сомнением, что в учебном институте, существующем с 1930 г. и не имеющем ни конструкторов, ни производственников, ни оборудованного производства действительно смогут создать такой летательный аппарат. В декабре 1931 г. по вышеупомянутым причинам руководство института пыталось отказаться от порученного задания. Неизвестно, на каких условиях, но взяться за создание рекордного самолета неожиданно согласился новый заведующий кафедрой конструкции и проектирования самолетов МАИ Дмитрий Павлович Григорович. Чуть позднее создание РД-МАИ определили как процесс "привлечения студентов к проектно- конструкторской работе в порядке выполнения учебной практики и получения производственных навыков". Постепенно сформировалась группа, в которую вошли студенты П.Д.Грушин, М.М.Пашинин, Л.П.Курбала, В.А.Федулов, А.П.Щекин и другие. Расчеты на прочность выполнил В.Д.Яровицкий. С оформлением учебно-производственных мастерских изготовлением самолета руководил С.М.Беляйкин.</w:t>
      </w:r>
    </w:p>
    <w:p w14:paraId="121972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Основным конструкционным материалом для новой машины избрали сталь, в основном - коррозионно-стойкую Энерж-6 - поэтому скоро в отношении самолета начали использовать определение Сталь-МАИ.</w:t>
      </w:r>
    </w:p>
    <w:p w14:paraId="75586D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Это был одномоторный низкоплан с трапециевидным крылом и веретенообразным фюзеляжем, двухместной кабиной, закрытой общим фонарем. Посадка в самолет осуществлялась при помощи дверей и открывающейся части фонаря. Предусматривался третий член экипажа - для него оборудовали небольшой отсек с иллюминаторами за основной кабиной.</w:t>
      </w:r>
    </w:p>
    <w:p w14:paraId="5C76DA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Практически вся конструкция фюзеляжа, крыла и оперения была выполнена точечной и роликовой электросваркой из катаных листовых профилей, обшивка крыла и фюзеляжа из тонкого листа толщиной 0,3-0,5 мм с частыми отбортовками (рифтами или зигами) с шагом 80 мм.</w:t>
      </w:r>
    </w:p>
    <w:p w14:paraId="569FCD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Силовая установка включала двигатель М-34Р мощностью 830 л.е., в отношении которого указывалось, что он ранее экспонировался на выставке, поэтому отличался особой тщательностью отделки (возможно, это был макетный вариант, полученный для проведения увя- зочных работ по винтомоторной группе).</w:t>
      </w:r>
    </w:p>
    <w:p w14:paraId="4B95B2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Шасси самолета состояло из двух под- крыльевых опор с пневматической амортизацией и хвостового колеса. Основные стойки по замыслу убирались в крыло при помощи ручного привода. В 1934 г. по планам ГУАП такое шасси построили (использовалось обозначение Сталь-МАИ-2), однако на практике самолет оборудовали неубираемым шасси.</w:t>
      </w:r>
    </w:p>
    <w:p w14:paraId="48DDDF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принятыми правилами 16 июля 1933 г. НИИ ВВС подготовило ИТ для военной модификации. Такой вариант разрабатывался и был утвержден 15 октября 1933 г. Главным конструктором Григоровичем и инженером П.М.Крейсоном (являлся начальником бригады №6 ЦКБ, которая осуществляла весовые расчеты, взвешивание, статические испытания).</w:t>
      </w:r>
    </w:p>
    <w:p w14:paraId="02CB15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Основные расчетные технические и летные характеристики РД-МАИ*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1002C3" w:rsidRPr="005E779E" w14:paraId="0E97139D" w14:textId="77777777">
        <w:tc>
          <w:tcPr>
            <w:tcW w:w="5156" w:type="dxa"/>
            <w:tcBorders>
              <w:top w:val="single" w:sz="12" w:space="0" w:color="auto"/>
            </w:tcBorders>
          </w:tcPr>
          <w:p w14:paraId="440131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Размах крыла (м)</w:t>
            </w:r>
          </w:p>
        </w:tc>
        <w:tc>
          <w:tcPr>
            <w:tcW w:w="5156" w:type="dxa"/>
            <w:tcBorders>
              <w:top w:val="single" w:sz="12" w:space="0" w:color="auto"/>
            </w:tcBorders>
          </w:tcPr>
          <w:p w14:paraId="7CD83C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18,0</w:t>
            </w:r>
          </w:p>
        </w:tc>
      </w:tr>
      <w:tr w:rsidR="001002C3" w:rsidRPr="005E779E" w14:paraId="29E6494A" w14:textId="77777777">
        <w:tc>
          <w:tcPr>
            <w:tcW w:w="5156" w:type="dxa"/>
          </w:tcPr>
          <w:p w14:paraId="54D818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Площадь крыла (м2)</w:t>
            </w:r>
          </w:p>
        </w:tc>
        <w:tc>
          <w:tcPr>
            <w:tcW w:w="5156" w:type="dxa"/>
          </w:tcPr>
          <w:p w14:paraId="012600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40,5</w:t>
            </w:r>
          </w:p>
        </w:tc>
      </w:tr>
      <w:tr w:rsidR="001002C3" w:rsidRPr="005E779E" w14:paraId="1C4A0309" w14:textId="77777777">
        <w:tc>
          <w:tcPr>
            <w:tcW w:w="5156" w:type="dxa"/>
          </w:tcPr>
          <w:p w14:paraId="029662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Длина самолета (м)</w:t>
            </w:r>
          </w:p>
        </w:tc>
        <w:tc>
          <w:tcPr>
            <w:tcW w:w="5156" w:type="dxa"/>
          </w:tcPr>
          <w:p w14:paraId="5E3B19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11,5</w:t>
            </w:r>
          </w:p>
        </w:tc>
      </w:tr>
      <w:tr w:rsidR="001002C3" w:rsidRPr="005E779E" w14:paraId="5D88FB82" w14:textId="77777777">
        <w:tc>
          <w:tcPr>
            <w:tcW w:w="5156" w:type="dxa"/>
          </w:tcPr>
          <w:p w14:paraId="5E6340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Высота в линии полета (м)</w:t>
            </w:r>
          </w:p>
        </w:tc>
        <w:tc>
          <w:tcPr>
            <w:tcW w:w="5156" w:type="dxa"/>
          </w:tcPr>
          <w:p w14:paraId="209DB7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4,03</w:t>
            </w:r>
          </w:p>
        </w:tc>
      </w:tr>
      <w:tr w:rsidR="001002C3" w:rsidRPr="005E779E" w14:paraId="3F351B8A" w14:textId="77777777">
        <w:tc>
          <w:tcPr>
            <w:tcW w:w="5156" w:type="dxa"/>
          </w:tcPr>
          <w:p w14:paraId="6B2592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пустого (кг)</w:t>
            </w:r>
          </w:p>
        </w:tc>
        <w:tc>
          <w:tcPr>
            <w:tcW w:w="5156" w:type="dxa"/>
          </w:tcPr>
          <w:p w14:paraId="1B8458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2410</w:t>
            </w:r>
          </w:p>
        </w:tc>
      </w:tr>
      <w:tr w:rsidR="001002C3" w:rsidRPr="005E779E" w14:paraId="7B6C0766" w14:textId="77777777">
        <w:tc>
          <w:tcPr>
            <w:tcW w:w="5156" w:type="dxa"/>
          </w:tcPr>
          <w:p w14:paraId="736E50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Полетный вес (кг)</w:t>
            </w:r>
          </w:p>
        </w:tc>
        <w:tc>
          <w:tcPr>
            <w:tcW w:w="5156" w:type="dxa"/>
          </w:tcPr>
          <w:p w14:paraId="6A05CB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 3850-4600</w:t>
            </w:r>
          </w:p>
        </w:tc>
      </w:tr>
      <w:tr w:rsidR="001002C3" w:rsidRPr="005E779E" w14:paraId="5F979D0E" w14:textId="77777777">
        <w:tc>
          <w:tcPr>
            <w:tcW w:w="5156" w:type="dxa"/>
          </w:tcPr>
          <w:p w14:paraId="7A64D3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Горючее (кг)</w:t>
            </w:r>
          </w:p>
        </w:tc>
        <w:tc>
          <w:tcPr>
            <w:tcW w:w="5156" w:type="dxa"/>
          </w:tcPr>
          <w:p w14:paraId="09215A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1000-1800</w:t>
            </w:r>
          </w:p>
        </w:tc>
      </w:tr>
      <w:tr w:rsidR="001002C3" w:rsidRPr="005E779E" w14:paraId="65FF9E83" w14:textId="77777777">
        <w:tc>
          <w:tcPr>
            <w:tcW w:w="5156" w:type="dxa"/>
          </w:tcPr>
          <w:p w14:paraId="567113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скорость (км/ч) ....</w:t>
            </w:r>
          </w:p>
        </w:tc>
        <w:tc>
          <w:tcPr>
            <w:tcW w:w="5156" w:type="dxa"/>
          </w:tcPr>
          <w:p w14:paraId="4B06FC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330-350</w:t>
            </w:r>
          </w:p>
        </w:tc>
      </w:tr>
      <w:tr w:rsidR="001002C3" w:rsidRPr="005E779E" w14:paraId="5AE18EF1" w14:textId="77777777">
        <w:tc>
          <w:tcPr>
            <w:tcW w:w="5156" w:type="dxa"/>
          </w:tcPr>
          <w:p w14:paraId="1A70FF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Крейсерская скорость (км/ч)</w:t>
            </w:r>
          </w:p>
        </w:tc>
        <w:tc>
          <w:tcPr>
            <w:tcW w:w="5156" w:type="dxa"/>
          </w:tcPr>
          <w:p w14:paraId="7BF757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 290-300</w:t>
            </w:r>
          </w:p>
        </w:tc>
      </w:tr>
      <w:tr w:rsidR="001002C3" w:rsidRPr="005E779E" w14:paraId="50A358AE" w14:textId="77777777">
        <w:tc>
          <w:tcPr>
            <w:tcW w:w="5156" w:type="dxa"/>
          </w:tcPr>
          <w:p w14:paraId="1A35A3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Потолок(м) </w:t>
            </w:r>
          </w:p>
        </w:tc>
        <w:tc>
          <w:tcPr>
            <w:tcW w:w="5156" w:type="dxa"/>
          </w:tcPr>
          <w:p w14:paraId="16BFA1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 6000</w:t>
            </w:r>
          </w:p>
        </w:tc>
      </w:tr>
      <w:tr w:rsidR="001002C3" w:rsidRPr="005E779E" w14:paraId="76951573" w14:textId="77777777">
        <w:tc>
          <w:tcPr>
            <w:tcW w:w="5156" w:type="dxa"/>
            <w:tcBorders>
              <w:bottom w:val="single" w:sz="12" w:space="0" w:color="auto"/>
            </w:tcBorders>
          </w:tcPr>
          <w:p w14:paraId="258DF9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Дальность полета (км)</w:t>
            </w:r>
          </w:p>
        </w:tc>
        <w:tc>
          <w:tcPr>
            <w:tcW w:w="5156" w:type="dxa"/>
            <w:tcBorders>
              <w:bottom w:val="single" w:sz="12" w:space="0" w:color="auto"/>
            </w:tcBorders>
          </w:tcPr>
          <w:p w14:paraId="52A3F2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 3250-6000</w:t>
            </w:r>
          </w:p>
        </w:tc>
      </w:tr>
    </w:tbl>
    <w:p w14:paraId="5064C3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Подписано с таким названием: "Главный конструктор Григорович 28 ноября 1933 г".</w:t>
      </w:r>
    </w:p>
    <w:p w14:paraId="44B886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Постепенно Д.П.Григорович переключился на другие работы, в частности на создание истребителей с динамо-реактивными пушками, поэтому техническое руководство процессом создания Сталь-МАИ спустя некоторое время перешло к П.Д.Грушину. В 1933 г. в институте окончательно оформилось конструкторское бюро, которое получило официальное наименование 0КБ-1 и в дальнейшем функционировало как полноценное КБ с главным конструктором Грушиным во главе (11941).</w:t>
      </w:r>
    </w:p>
    <w:p w14:paraId="760841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5C7CA44" w14:textId="77777777" w:rsidR="00DD21BF" w:rsidRPr="005E779E" w:rsidRDefault="00DD21BF"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В августе 1931 г. при обсуждении планов строительства рекордных самолётов денежные средства добровольной оборонной организации ещё упоминались. В частности, начальник Всесоюзного авиационного объединения, а в недавнем прошлом начальник ВВС РККА, П.И. Баранов предложил направить более полумиллиона осоавиахимовских рублей в ЦАГИ на постройку самолёта РД (АНТ-25). Однако передать общественные средства напрямую в промышленность оказалось непросто, согласия в этом вопросе у руководства не наблюдалось. Тогда решили передать деньги для постройки дальних стальных самолётов в Московский авиационный институт (17489).</w:t>
      </w:r>
    </w:p>
    <w:p w14:paraId="4CA758E9" w14:textId="77777777" w:rsidR="00DD21BF" w:rsidRPr="005E779E" w:rsidRDefault="00DD21BF" w:rsidP="000B7A6C">
      <w:pPr>
        <w:spacing w:after="0" w:line="240" w:lineRule="auto"/>
        <w:jc w:val="both"/>
        <w:rPr>
          <w:rFonts w:ascii="Times New Roman" w:eastAsia="Times New Roman" w:hAnsi="Times New Roman"/>
          <w:color w:val="000000" w:themeColor="text1"/>
          <w:sz w:val="16"/>
          <w:szCs w:val="16"/>
          <w:lang w:eastAsia="ru-RU"/>
        </w:rPr>
      </w:pPr>
    </w:p>
    <w:p w14:paraId="535DE704" w14:textId="77777777" w:rsidR="002C4AC9" w:rsidRPr="00142305" w:rsidRDefault="002C4AC9" w:rsidP="002C4AC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августе 1931 г. начальник ВВС РККА Я.И. Алкснис и А.Н. Туполев представили в РВС совместную докладную записку с приложенным эскизным проектом са</w:t>
      </w:r>
      <w:r w:rsidRPr="00142305">
        <w:rPr>
          <w:rFonts w:ascii="Times New Roman" w:hAnsi="Times New Roman"/>
          <w:color w:val="0070C0"/>
          <w:sz w:val="16"/>
          <w:szCs w:val="16"/>
        </w:rPr>
        <w:softHyphen/>
        <w:t>молета для побития рекорда дальности, который мог использоваться также в ва</w:t>
      </w:r>
      <w:r w:rsidRPr="00142305">
        <w:rPr>
          <w:rFonts w:ascii="Times New Roman" w:hAnsi="Times New Roman"/>
          <w:color w:val="0070C0"/>
          <w:sz w:val="16"/>
          <w:szCs w:val="16"/>
        </w:rPr>
        <w:softHyphen/>
        <w:t>рианте дальнего бомбардировщика (24946).</w:t>
      </w:r>
    </w:p>
    <w:p w14:paraId="5474742C" w14:textId="77777777" w:rsidR="002C4AC9" w:rsidRPr="00142305" w:rsidRDefault="002C4AC9" w:rsidP="002C4AC9">
      <w:pPr>
        <w:spacing w:after="0" w:line="240" w:lineRule="auto"/>
        <w:jc w:val="both"/>
        <w:rPr>
          <w:rFonts w:ascii="Times New Roman" w:hAnsi="Times New Roman"/>
          <w:color w:val="0070C0"/>
          <w:sz w:val="16"/>
          <w:szCs w:val="16"/>
        </w:rPr>
      </w:pPr>
    </w:p>
    <w:p w14:paraId="12998F28" w14:textId="77777777" w:rsidR="002C4AC9" w:rsidRPr="00142305" w:rsidRDefault="002C4AC9" w:rsidP="002C4AC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августе 1931 г. при обсуждении планов строительства рекордных самолетов на денежные средства добровольной оборонной организации Авиахим, в частности назывались 600 тысяч рублей, собранных у трудящихся на развитие авиации, начальник Всесоюзного авиационного объединения, а в недавнем прошлом начальник ВВС РККА (до июня 1931 г.) П.И.Баранов прямо предложил руководителю ЦАГИ Н.М.Харламову (официально назначен начальником ЦАГИ в январе 1932 г.) направить эти достаточно немалые деньги Осоавиахима в ЦАГИ на постройку самолета РД.</w:t>
      </w:r>
    </w:p>
    <w:p w14:paraId="2815BCD6" w14:textId="77777777" w:rsidR="002C4AC9" w:rsidRPr="00142305" w:rsidRDefault="002C4AC9" w:rsidP="002C4AC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Однако согласия в руководстве по распределению финансов не наблюдалось, поэтому в конечном итоге деньги перечислили в МАИ, где решили с участием молодых сотрудников и студентов спроектировать и построить еще один рекордный самолет. Если ЦАГИ поручили создать самолет с дальностью 13000 км, то учебному институту выдали задание на подобный летательный аппарат (также с двигателем М-34), обладающий дальностью 5000 км.</w:t>
      </w:r>
    </w:p>
    <w:p w14:paraId="64FA2645" w14:textId="77777777" w:rsidR="002C4AC9" w:rsidRPr="00142305" w:rsidRDefault="002C4AC9" w:rsidP="002C4AC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Странная идея с заранее ограниченной дальностью полета объяснялась, скорее всего, сомнением, что в учебном институте, существующем с 1930 г. и не имеющем ни конструкторов, ни производственников, ни оборудованного производства действительно смогут создать такой летательный аппарат (25198).</w:t>
      </w:r>
    </w:p>
    <w:p w14:paraId="6B9B1EAC" w14:textId="77777777" w:rsidR="002C4AC9" w:rsidRPr="00142305" w:rsidRDefault="002C4AC9" w:rsidP="002C4AC9">
      <w:pPr>
        <w:spacing w:after="0" w:line="240" w:lineRule="auto"/>
        <w:jc w:val="both"/>
        <w:rPr>
          <w:rFonts w:ascii="Times New Roman" w:hAnsi="Times New Roman"/>
          <w:color w:val="0070C0"/>
          <w:sz w:val="16"/>
          <w:szCs w:val="16"/>
        </w:rPr>
      </w:pPr>
    </w:p>
    <w:p w14:paraId="4B0AC4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проходили испытания ДИ-3 Д.П.Г. Оказался близким к И-5 (92,416).</w:t>
      </w:r>
    </w:p>
    <w:p w14:paraId="771005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CB5DD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на ХАЗ приступили к переделке К-5 N 185 в бомбардировщик (70,175).</w:t>
      </w:r>
    </w:p>
    <w:p w14:paraId="27F36E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0E8CB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началось серийное производство Ка-5 (446,366).</w:t>
      </w:r>
    </w:p>
    <w:p w14:paraId="3DE4BD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B38A05D" w14:textId="77777777" w:rsidR="00DD21BF" w:rsidRPr="005E779E" w:rsidRDefault="00DD21BF"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В августе 1931 в мастерских Военно-воздушной академии была изготовлена модель ТБ-1 с двумя истребителями на крыле. Её продувки в аэродинамической трубе показали, что устойчивость и управляемость «звена» в полёте будет нормальной даже при взлёте только одного истребителя, запаса рулей достаточно. Помощь в работе оказали сотрудники ЦАГИ: расчётом на прочность руководил В.Н. Беляев, аэродинамическими исследованиями — Белостоцкий, разработкой конструкторской документации — инженеры Д.Л. Привен и И.И. Никитенко.</w:t>
      </w:r>
    </w:p>
    <w:p w14:paraId="166CCF8D" w14:textId="77777777" w:rsidR="00DD21BF" w:rsidRPr="005E779E" w:rsidRDefault="00DD21BF"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Для крепления истребителей на бомбардировщике на каждой плоскости последнего установили по три фермы из стальных труб. Две короткие передние, оснащенные замками от бомбодержателей, предназначались для фиксации оси шасси И-4, третья, более длинная — для удержания хвоста в горизонтальном положении; она крепилась к нижней части шпангоута истребителя за сидением лётчика. Самолёты закатывали на крыло по установленным на козла деревянным помостам с направляющими для колёс (17489).</w:t>
      </w:r>
    </w:p>
    <w:p w14:paraId="67631DCD" w14:textId="77777777" w:rsidR="00DD21BF" w:rsidRPr="005E779E" w:rsidRDefault="00DD21BF" w:rsidP="000B7A6C">
      <w:pPr>
        <w:spacing w:after="0" w:line="240" w:lineRule="auto"/>
        <w:jc w:val="both"/>
        <w:rPr>
          <w:rFonts w:ascii="Times New Roman" w:eastAsia="Times New Roman" w:hAnsi="Times New Roman"/>
          <w:color w:val="000000" w:themeColor="text1"/>
          <w:sz w:val="16"/>
          <w:szCs w:val="16"/>
          <w:lang w:eastAsia="ru-RU"/>
        </w:rPr>
      </w:pPr>
    </w:p>
    <w:p w14:paraId="607B29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ДВ СССР-Н2 участвовал в борьбе с оленьей эпизоотией (ее также называли сибирской язвой) на Таймыре. Экипаж Я.С.Липпа, взяв на борт ветеринаров и вакцину, ежедневно вылетал на поиски оленьих стойбищ. За время борьбы с эпизоотией налет СССР-Н2 составил 32 часа и 5,5 тыс. км (11970).</w:t>
      </w:r>
    </w:p>
    <w:p w14:paraId="6FF5C5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299A5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Есть мнение, что в августе 1931 под председательством К.Е.В. было проведено "большое совещание", на котором решили, что в дополнение к тяжелому нужен и дальний бомбардировщик (554,4).</w:t>
      </w:r>
    </w:p>
    <w:p w14:paraId="1B7ECA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ECB75E7" w14:textId="77777777" w:rsidR="0001378D" w:rsidRPr="005E779E" w:rsidRDefault="0001378D" w:rsidP="000B7A6C">
      <w:pPr>
        <w:pStyle w:val="ae"/>
        <w:spacing w:before="0" w:after="0"/>
        <w:jc w:val="both"/>
        <w:textAlignment w:val="baseline"/>
        <w:rPr>
          <w:color w:val="000000" w:themeColor="text1"/>
          <w:sz w:val="16"/>
          <w:szCs w:val="16"/>
        </w:rPr>
      </w:pPr>
      <w:r w:rsidRPr="005E779E">
        <w:rPr>
          <w:color w:val="000000" w:themeColor="text1"/>
          <w:sz w:val="16"/>
          <w:szCs w:val="16"/>
          <w:bdr w:val="none" w:sz="0" w:space="0" w:color="auto" w:frame="1"/>
        </w:rPr>
        <w:t>В августе 1931 г. Реввоенсовет принял решение прекратить покупку за рубежом двигателей для опытных самолетов. Все новые машины должны были создаваться под отечественные образцы.</w:t>
      </w:r>
    </w:p>
    <w:p w14:paraId="2E76D16C" w14:textId="77777777" w:rsidR="0001378D" w:rsidRPr="005E779E" w:rsidRDefault="0001378D" w:rsidP="000B7A6C">
      <w:pPr>
        <w:pStyle w:val="ae"/>
        <w:spacing w:before="0" w:after="0"/>
        <w:jc w:val="both"/>
        <w:textAlignment w:val="baseline"/>
        <w:rPr>
          <w:color w:val="000000" w:themeColor="text1"/>
          <w:sz w:val="16"/>
          <w:szCs w:val="16"/>
          <w:bdr w:val="none" w:sz="0" w:space="0" w:color="auto" w:frame="1"/>
        </w:rPr>
      </w:pPr>
      <w:r w:rsidRPr="005E779E">
        <w:rPr>
          <w:color w:val="000000" w:themeColor="text1"/>
          <w:sz w:val="16"/>
          <w:szCs w:val="16"/>
          <w:bdr w:val="none" w:sz="0" w:space="0" w:color="auto" w:frame="1"/>
        </w:rPr>
        <w:t>Но это не исключало ввоз иностранных моторов с целью их изучения. Постановлением СТО об опытном строительстве в 1929-33 годах предусматривалось покупать для этих целей по 10 двигателей в год. Так, осенью 1932 г. в Москву доставили мотор Роллс-Ройс «Кестрел», вызвавший большой интерес у наших специалистов (20442).</w:t>
      </w:r>
    </w:p>
    <w:p w14:paraId="1F4CE00C" w14:textId="77777777" w:rsidR="0001378D" w:rsidRPr="005E779E" w:rsidRDefault="0001378D" w:rsidP="000B7A6C">
      <w:pPr>
        <w:pStyle w:val="ae"/>
        <w:spacing w:before="0" w:after="0"/>
        <w:jc w:val="both"/>
        <w:textAlignment w:val="baseline"/>
        <w:rPr>
          <w:color w:val="000000" w:themeColor="text1"/>
          <w:sz w:val="16"/>
          <w:szCs w:val="16"/>
          <w:bdr w:val="none" w:sz="0" w:space="0" w:color="auto" w:frame="1"/>
        </w:rPr>
      </w:pPr>
    </w:p>
    <w:p w14:paraId="03352C4E" w14:textId="77777777" w:rsidR="002C4AC9" w:rsidRPr="00142305" w:rsidRDefault="002C4AC9" w:rsidP="002C4AC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августе 1931 г. начали испытывать первый опытный образец М-34. Микулин внес в этот двигатель много оригинальный идей. В частности, в нем впервые применили новую силовую схему блока со сво</w:t>
      </w:r>
      <w:r w:rsidRPr="00142305">
        <w:rPr>
          <w:rFonts w:ascii="Times New Roman" w:hAnsi="Times New Roman"/>
          <w:color w:val="0070C0"/>
          <w:sz w:val="16"/>
          <w:szCs w:val="16"/>
        </w:rPr>
        <w:softHyphen/>
        <w:t>бодной гильзой и стяжкой длинными сквозными шпилька</w:t>
      </w:r>
      <w:r w:rsidRPr="00142305">
        <w:rPr>
          <w:rFonts w:ascii="Times New Roman" w:hAnsi="Times New Roman"/>
          <w:color w:val="0070C0"/>
          <w:sz w:val="16"/>
          <w:szCs w:val="16"/>
        </w:rPr>
        <w:softHyphen/>
        <w:t>ми. Эту схему в разных вариантах потом неоднократно при</w:t>
      </w:r>
      <w:r w:rsidRPr="00142305">
        <w:rPr>
          <w:rFonts w:ascii="Times New Roman" w:hAnsi="Times New Roman"/>
          <w:color w:val="0070C0"/>
          <w:sz w:val="16"/>
          <w:szCs w:val="16"/>
        </w:rPr>
        <w:softHyphen/>
        <w:t>меняли различные советские и иностранные конструкторы. М-34 стал одним из немногих по-настоящему удачных оте</w:t>
      </w:r>
      <w:r w:rsidRPr="00142305">
        <w:rPr>
          <w:rFonts w:ascii="Times New Roman" w:hAnsi="Times New Roman"/>
          <w:color w:val="0070C0"/>
          <w:sz w:val="16"/>
          <w:szCs w:val="16"/>
        </w:rPr>
        <w:softHyphen/>
        <w:t>чественных авиамоторов начала 30-х годов. Его запустили в массовое производство на заводе № 24 (ныне «Салют») в Москве и делали в тысячах экземпляров (24977).</w:t>
      </w:r>
    </w:p>
    <w:p w14:paraId="29F162E3" w14:textId="77777777" w:rsidR="002C4AC9" w:rsidRPr="00142305" w:rsidRDefault="002C4AC9" w:rsidP="002C4AC9">
      <w:pPr>
        <w:spacing w:after="0" w:line="240" w:lineRule="auto"/>
        <w:jc w:val="both"/>
        <w:rPr>
          <w:rFonts w:ascii="Times New Roman" w:hAnsi="Times New Roman"/>
          <w:color w:val="0070C0"/>
          <w:sz w:val="16"/>
          <w:szCs w:val="16"/>
        </w:rPr>
      </w:pPr>
    </w:p>
    <w:p w14:paraId="2C6B5AF0" w14:textId="77777777" w:rsidR="002C4AC9" w:rsidRPr="00142305" w:rsidRDefault="002C4AC9" w:rsidP="002C4AC9">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 xml:space="preserve">В августе 1931 г. начали испытывать первый опытный образец М-34. Верный себе, Микулин внес в этот двигатель много оригинальных идей. В отличие от </w:t>
      </w:r>
      <w:r w:rsidRPr="00142305">
        <w:rPr>
          <w:rStyle w:val="aff0"/>
          <w:rFonts w:ascii="Times New Roman" w:hAnsi="Times New Roman" w:cs="Times New Roman"/>
          <w:color w:val="0070C0"/>
          <w:spacing w:val="0"/>
          <w:sz w:val="16"/>
          <w:szCs w:val="16"/>
          <w:lang w:val="en-US"/>
        </w:rPr>
        <w:t>BMW</w:t>
      </w:r>
      <w:r w:rsidRPr="00142305">
        <w:rPr>
          <w:rStyle w:val="aff0"/>
          <w:rFonts w:ascii="Times New Roman" w:hAnsi="Times New Roman" w:cs="Times New Roman"/>
          <w:color w:val="0070C0"/>
          <w:spacing w:val="0"/>
          <w:sz w:val="16"/>
          <w:szCs w:val="16"/>
        </w:rPr>
        <w:t xml:space="preserve"> </w:t>
      </w:r>
      <w:r w:rsidRPr="00142305">
        <w:rPr>
          <w:rStyle w:val="aff0"/>
          <w:rFonts w:ascii="Times New Roman" w:hAnsi="Times New Roman" w:cs="Times New Roman"/>
          <w:color w:val="0070C0"/>
          <w:spacing w:val="0"/>
          <w:sz w:val="16"/>
          <w:szCs w:val="16"/>
          <w:lang w:val="en-US"/>
        </w:rPr>
        <w:t>VI</w:t>
      </w:r>
      <w:r w:rsidRPr="00142305">
        <w:rPr>
          <w:rStyle w:val="aff0"/>
          <w:rFonts w:ascii="Times New Roman" w:hAnsi="Times New Roman" w:cs="Times New Roman"/>
          <w:color w:val="0070C0"/>
          <w:spacing w:val="0"/>
          <w:sz w:val="16"/>
          <w:szCs w:val="16"/>
        </w:rPr>
        <w:t>, на смену которому он создавался, М-34 был спроектирован блочным и имел центральное сочленение шатунов. Впервые нашла применение новая силовая схема блока со свободной гильзой и стяжкой длинными сквозными шпильками. Эту схему в разных вариантах потом неоднократно применяли советские и иностранные конструкторы (25145).</w:t>
      </w:r>
    </w:p>
    <w:p w14:paraId="2D8C63B5" w14:textId="77777777" w:rsidR="002C4AC9" w:rsidRPr="00142305" w:rsidRDefault="002C4AC9" w:rsidP="002C4AC9">
      <w:pPr>
        <w:spacing w:after="0" w:line="240" w:lineRule="auto"/>
        <w:jc w:val="both"/>
        <w:rPr>
          <w:rFonts w:ascii="Times New Roman" w:hAnsi="Times New Roman"/>
          <w:color w:val="0070C0"/>
          <w:sz w:val="16"/>
          <w:szCs w:val="16"/>
        </w:rPr>
      </w:pPr>
    </w:p>
    <w:p w14:paraId="6A3582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закончилось проектирование М-34Р (2281,67).</w:t>
      </w:r>
    </w:p>
    <w:p w14:paraId="21EF10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B4CA09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г. было закончено проектирование варианта мотора с редукто</w:t>
      </w:r>
      <w:r w:rsidRPr="005E779E">
        <w:rPr>
          <w:rFonts w:ascii="Times New Roman" w:hAnsi="Times New Roman"/>
          <w:color w:val="000000" w:themeColor="text1"/>
          <w:sz w:val="16"/>
          <w:szCs w:val="16"/>
        </w:rPr>
        <w:softHyphen/>
        <w:t>ром (М-34Р), модификация М-34РБ (Б — для бомбардировщика). Редуктор для мотора был необходим, потому что его применение резко повышало коэффициент полезного действия винта и, как ре</w:t>
      </w:r>
      <w:r w:rsidRPr="005E779E">
        <w:rPr>
          <w:rFonts w:ascii="Times New Roman" w:hAnsi="Times New Roman"/>
          <w:color w:val="000000" w:themeColor="text1"/>
          <w:sz w:val="16"/>
          <w:szCs w:val="16"/>
        </w:rPr>
        <w:softHyphen/>
        <w:t>зультат, сразу же возрастала скорость самолета. Проектировал ре</w:t>
      </w:r>
      <w:r w:rsidRPr="005E779E">
        <w:rPr>
          <w:rFonts w:ascii="Times New Roman" w:hAnsi="Times New Roman"/>
          <w:color w:val="000000" w:themeColor="text1"/>
          <w:sz w:val="16"/>
          <w:szCs w:val="16"/>
        </w:rPr>
        <w:softHyphen/>
        <w:t>дуктор старый приятель Микулина, Владимир Антонович Доллежаль. Применение редуктора на М-34, стоявшего на туполев-ском бомбардировщике ТБ-3, позволило увеличить скорость само</w:t>
      </w:r>
      <w:r w:rsidRPr="005E779E">
        <w:rPr>
          <w:rFonts w:ascii="Times New Roman" w:hAnsi="Times New Roman"/>
          <w:color w:val="000000" w:themeColor="text1"/>
          <w:sz w:val="16"/>
          <w:szCs w:val="16"/>
        </w:rPr>
        <w:softHyphen/>
        <w:t>лета более чем на 70 км/ч (10781).</w:t>
      </w:r>
    </w:p>
    <w:p w14:paraId="75BA49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6AB42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г. начали испытывать первый образец М-34. Еще с 1928 г. началась проработка конструк</w:t>
      </w:r>
      <w:r w:rsidRPr="005E779E">
        <w:rPr>
          <w:rFonts w:ascii="Times New Roman" w:hAnsi="Times New Roman"/>
          <w:color w:val="000000" w:themeColor="text1"/>
          <w:sz w:val="16"/>
          <w:szCs w:val="16"/>
        </w:rPr>
        <w:softHyphen/>
        <w:t>ции мощного 12-цилиндрового У-образного мотора М-34. С 1930 г. ЭТИ работы перенесли в только что созданный Институт авиационного моторостроения (ИАМ, позднее ЦИАМ), куда перешел и Микулин. Верный себе, Микулин внес в этот двига</w:t>
      </w:r>
      <w:r w:rsidRPr="005E779E">
        <w:rPr>
          <w:rFonts w:ascii="Times New Roman" w:hAnsi="Times New Roman"/>
          <w:color w:val="000000" w:themeColor="text1"/>
          <w:sz w:val="16"/>
          <w:szCs w:val="16"/>
        </w:rPr>
        <w:softHyphen/>
        <w:t>тель много оригинальных идей. В частности, в нем впервые применили новую силовую схему блока со свободной гильзой и стяжкой длинными сквозными шпильками. Эту схему в разных вариантах потом неоднократно применяли различные советские и иностранные конструкторы. М-34 стал одним из немногих по-настоящему удачных отечественных авиамоторов начала 30-х годов. Его запустили в массовое производство на заводе № 24 в Москве и делали в тысячах экземпляров. Эти двигатели стояли на та</w:t>
      </w:r>
      <w:r w:rsidRPr="005E779E">
        <w:rPr>
          <w:rFonts w:ascii="Times New Roman" w:hAnsi="Times New Roman"/>
          <w:color w:val="000000" w:themeColor="text1"/>
          <w:sz w:val="16"/>
          <w:szCs w:val="16"/>
        </w:rPr>
        <w:softHyphen/>
        <w:t>ких известных самолетах, как боевые ТБ-3 и МБР-2, рекордные АНТ-25 (РД), на которых экипажи Чкалова и Громова совершили беспосадочные перелеты в США, и огромный «Максим Горький» (МГ). Удачный М-34 должен был стать основой для целого семейства моторов разной мощности и различных компоновочных схем. Готовили одноряд</w:t>
      </w:r>
      <w:r w:rsidRPr="005E779E">
        <w:rPr>
          <w:rFonts w:ascii="Times New Roman" w:hAnsi="Times New Roman"/>
          <w:color w:val="000000" w:themeColor="text1"/>
          <w:sz w:val="16"/>
          <w:szCs w:val="16"/>
        </w:rPr>
        <w:softHyphen/>
        <w:t>ный, двухзальный, перевернутый двигатели с использованием узлов М-34. Экспериментировали с этиленгликолевым и комбинированным (гликолево-воздушным) охлаждением. Работали над установкой пушки в развале ци</w:t>
      </w:r>
      <w:r w:rsidRPr="005E779E">
        <w:rPr>
          <w:rFonts w:ascii="Times New Roman" w:hAnsi="Times New Roman"/>
          <w:color w:val="000000" w:themeColor="text1"/>
          <w:sz w:val="16"/>
          <w:szCs w:val="16"/>
        </w:rPr>
        <w:softHyphen/>
        <w:t>линдров и тандемной установкой из двух М-34, работающих через коак</w:t>
      </w:r>
      <w:r w:rsidRPr="005E779E">
        <w:rPr>
          <w:rFonts w:ascii="Times New Roman" w:hAnsi="Times New Roman"/>
          <w:color w:val="000000" w:themeColor="text1"/>
          <w:sz w:val="16"/>
          <w:szCs w:val="16"/>
        </w:rPr>
        <w:softHyphen/>
        <w:t>сиальные валы на винты противовращения. Но все эти конструкции остались лишь в проектах или опытных об</w:t>
      </w:r>
      <w:r w:rsidRPr="005E779E">
        <w:rPr>
          <w:rFonts w:ascii="Times New Roman" w:hAnsi="Times New Roman"/>
          <w:color w:val="000000" w:themeColor="text1"/>
          <w:sz w:val="16"/>
          <w:szCs w:val="16"/>
        </w:rPr>
        <w:softHyphen/>
        <w:t>разцах. Зато сам М-34 многократно модифицировался. Появились его ва</w:t>
      </w:r>
      <w:r w:rsidRPr="005E779E">
        <w:rPr>
          <w:rFonts w:ascii="Times New Roman" w:hAnsi="Times New Roman"/>
          <w:color w:val="000000" w:themeColor="text1"/>
          <w:sz w:val="16"/>
          <w:szCs w:val="16"/>
        </w:rPr>
        <w:softHyphen/>
        <w:t>рианты с редуктором и нагнетателем, с непосредственным впрыском и турбонаддувом. Специальные модификации М-34 выпускались для танков, самоходных орудий, торпедных катеров и речных бронекатеров. Вместе с Микулиным над этими модификациями работали В.М. Яковлев, разрабо</w:t>
      </w:r>
      <w:r w:rsidRPr="005E779E">
        <w:rPr>
          <w:rFonts w:ascii="Times New Roman" w:hAnsi="Times New Roman"/>
          <w:color w:val="000000" w:themeColor="text1"/>
          <w:sz w:val="16"/>
          <w:szCs w:val="16"/>
        </w:rPr>
        <w:softHyphen/>
        <w:t>тавший реверс-муфту для катерного ГАМ-34, и В.А. Добрынин, с декабря 1934 г. являвшийся главным конструктором завода № 24, на котором де</w:t>
      </w:r>
      <w:r w:rsidRPr="005E779E">
        <w:rPr>
          <w:rFonts w:ascii="Times New Roman" w:hAnsi="Times New Roman"/>
          <w:color w:val="000000" w:themeColor="text1"/>
          <w:sz w:val="16"/>
          <w:szCs w:val="16"/>
        </w:rPr>
        <w:softHyphen/>
        <w:t>лались все микулинские моторы. Для мотора М-34Н Микулин спроектировал первый в России двухскоростной приводной нагнетатель. Правда, в серию этот двигатель запу</w:t>
      </w:r>
      <w:r w:rsidRPr="005E779E">
        <w:rPr>
          <w:rFonts w:ascii="Times New Roman" w:hAnsi="Times New Roman"/>
          <w:color w:val="000000" w:themeColor="text1"/>
          <w:sz w:val="16"/>
          <w:szCs w:val="16"/>
        </w:rPr>
        <w:softHyphen/>
        <w:t xml:space="preserve">стили с более простым и надежным односкоростным ПЦН конструкции Данилевского. В ознаменование заслуг Микулина Комитет обороны СССР 9 августа 1936 г. переименовал двигатель в АМ-34 по его инициалам. Самого Микулина назначили главным конструктором завода № 24. Микулин продолжал совершенствовать удачный мотор, форсируя его по наддуву и оборотам. Но затянувшаяся доводка модификации АМ-34ФРН привела к недовольству со стороны </w:t>
      </w:r>
      <w:r w:rsidRPr="005E779E">
        <w:rPr>
          <w:rFonts w:ascii="Times New Roman" w:hAnsi="Times New Roman"/>
          <w:color w:val="000000" w:themeColor="text1"/>
          <w:sz w:val="16"/>
          <w:szCs w:val="16"/>
        </w:rPr>
        <w:lastRenderedPageBreak/>
        <w:t>руководства авиапромышленности. Микулина сняли с должности главного конструктора, оставив за ним толь</w:t>
      </w:r>
      <w:r w:rsidRPr="005E779E">
        <w:rPr>
          <w:rFonts w:ascii="Times New Roman" w:hAnsi="Times New Roman"/>
          <w:color w:val="000000" w:themeColor="text1"/>
          <w:sz w:val="16"/>
          <w:szCs w:val="16"/>
        </w:rPr>
        <w:softHyphen/>
        <w:t>ко работы по развитию АМ-34. В годы сталинских репрессий неудачи могли дорого обойтись беспартийному инженеру, но от участи «врага на</w:t>
      </w:r>
      <w:r w:rsidRPr="005E779E">
        <w:rPr>
          <w:rFonts w:ascii="Times New Roman" w:hAnsi="Times New Roman"/>
          <w:color w:val="000000" w:themeColor="text1"/>
          <w:sz w:val="16"/>
          <w:szCs w:val="16"/>
        </w:rPr>
        <w:softHyphen/>
        <w:t>рода» его, видимо, избавили нашумевшие перелеты в Америку. Двигатель М-34РД вместе с самолетом РД успешно выставлялся за рубежом. А затем последовали новые успе</w:t>
      </w:r>
      <w:r w:rsidRPr="005E779E">
        <w:rPr>
          <w:rFonts w:ascii="Times New Roman" w:hAnsi="Times New Roman"/>
          <w:color w:val="000000" w:themeColor="text1"/>
          <w:sz w:val="16"/>
          <w:szCs w:val="16"/>
        </w:rPr>
        <w:softHyphen/>
        <w:t>хи. Они были связаны с мотором АМ-35, являвшимся развитием АМ-34ФРНВ. Его модификация АМ-35А была выпущена более чем в 4000 эк</w:t>
      </w:r>
      <w:r w:rsidRPr="005E779E">
        <w:rPr>
          <w:rFonts w:ascii="Times New Roman" w:hAnsi="Times New Roman"/>
          <w:color w:val="000000" w:themeColor="text1"/>
          <w:sz w:val="16"/>
          <w:szCs w:val="16"/>
        </w:rPr>
        <w:softHyphen/>
        <w:t>земпляров и устанавливалась на ис</w:t>
      </w:r>
      <w:r w:rsidRPr="005E779E">
        <w:rPr>
          <w:rFonts w:ascii="Times New Roman" w:hAnsi="Times New Roman"/>
          <w:color w:val="000000" w:themeColor="text1"/>
          <w:sz w:val="16"/>
          <w:szCs w:val="16"/>
        </w:rPr>
        <w:softHyphen/>
        <w:t>требителях МиГ-1 и МиГ-3, актив</w:t>
      </w:r>
      <w:r w:rsidRPr="005E779E">
        <w:rPr>
          <w:rFonts w:ascii="Times New Roman" w:hAnsi="Times New Roman"/>
          <w:color w:val="000000" w:themeColor="text1"/>
          <w:sz w:val="16"/>
          <w:szCs w:val="16"/>
        </w:rPr>
        <w:softHyphen/>
        <w:t>но применявшихся в начале Великой Отечественной войны. Его монти</w:t>
      </w:r>
      <w:r w:rsidRPr="005E779E">
        <w:rPr>
          <w:rFonts w:ascii="Times New Roman" w:hAnsi="Times New Roman"/>
          <w:color w:val="000000" w:themeColor="text1"/>
          <w:sz w:val="16"/>
          <w:szCs w:val="16"/>
        </w:rPr>
        <w:softHyphen/>
        <w:t>ровали также на тяжелых бомбар</w:t>
      </w:r>
      <w:r w:rsidRPr="005E779E">
        <w:rPr>
          <w:rFonts w:ascii="Times New Roman" w:hAnsi="Times New Roman"/>
          <w:color w:val="000000" w:themeColor="text1"/>
          <w:sz w:val="16"/>
          <w:szCs w:val="16"/>
        </w:rPr>
        <w:softHyphen/>
        <w:t>дировщиках ТБ-7 (Пе-8). Этим же двигателем был оснащен опытный образец штурмовика ЦКБ-55 (БШ-2). Но в серию этот самолет, выпускав</w:t>
      </w:r>
      <w:r w:rsidRPr="005E779E">
        <w:rPr>
          <w:rFonts w:ascii="Times New Roman" w:hAnsi="Times New Roman"/>
          <w:color w:val="000000" w:themeColor="text1"/>
          <w:sz w:val="16"/>
          <w:szCs w:val="16"/>
        </w:rPr>
        <w:softHyphen/>
        <w:t>шийся в огромных количествах под обозначением Ил-2, пошел со спе</w:t>
      </w:r>
      <w:r w:rsidRPr="005E779E">
        <w:rPr>
          <w:rFonts w:ascii="Times New Roman" w:hAnsi="Times New Roman"/>
          <w:color w:val="000000" w:themeColor="text1"/>
          <w:sz w:val="16"/>
          <w:szCs w:val="16"/>
        </w:rPr>
        <w:softHyphen/>
        <w:t>циальным низковысотным мотором АМ-38, сделанным на базе того же АМ-35А. В работе и над АМ-35, и над АМ-38 большую роль сыграл за</w:t>
      </w:r>
      <w:r w:rsidRPr="005E779E">
        <w:rPr>
          <w:rFonts w:ascii="Times New Roman" w:hAnsi="Times New Roman"/>
          <w:color w:val="000000" w:themeColor="text1"/>
          <w:sz w:val="16"/>
          <w:szCs w:val="16"/>
        </w:rPr>
        <w:softHyphen/>
        <w:t>меститель Микулина М.Р. Флисский. 1940 г. был удачным для Микулина. Завод № 24 наращивал производство его моторов, самого его удостоили звания Героя Социалистическою Труда. После этого развитие двигателей, непрерывной цепочкой шедших от М-34, разветвилось на два направления. Но при этом оба они были тесно взаимосвязаны, и зачастую удачные решения, полученные для одной вет</w:t>
      </w:r>
      <w:r w:rsidRPr="005E779E">
        <w:rPr>
          <w:rFonts w:ascii="Times New Roman" w:hAnsi="Times New Roman"/>
          <w:color w:val="000000" w:themeColor="text1"/>
          <w:sz w:val="16"/>
          <w:szCs w:val="16"/>
        </w:rPr>
        <w:softHyphen/>
        <w:t>ви, заимствовались для другой. Кроме этого, многие узлы и агрегаты яв</w:t>
      </w:r>
      <w:r w:rsidRPr="005E779E">
        <w:rPr>
          <w:rFonts w:ascii="Times New Roman" w:hAnsi="Times New Roman"/>
          <w:color w:val="000000" w:themeColor="text1"/>
          <w:sz w:val="16"/>
          <w:szCs w:val="16"/>
        </w:rPr>
        <w:softHyphen/>
        <w:t>лялись унифицированными и использовались во всех моторах семейства. Первое направление — двигатели для штурмовиков: оптимизированные для малых высот, неприхотливые к качеству бензина и масла. Эта ветвь была начата АМ-38. Развитием ее стали АМ-38Ф (серия с октября 1942 г.) и АМ-42 (прошел госиспытания в апреле 1944 г.). Они выпускались круп</w:t>
      </w:r>
      <w:r w:rsidRPr="005E779E">
        <w:rPr>
          <w:rFonts w:ascii="Times New Roman" w:hAnsi="Times New Roman"/>
          <w:color w:val="000000" w:themeColor="text1"/>
          <w:sz w:val="16"/>
          <w:szCs w:val="16"/>
        </w:rPr>
        <w:softHyphen/>
        <w:t>ными сериями заводом № 24, в войну эвакуированным в Куйбышев (ныне Самару) и там оставшимся, и заводом № 45, организованным в 1942 г. в старых цехах этого предприятия в Москве. «Летающие танки» Ил-2 с двигателями АМ-38 и АМ-38Ф действовали на всех фронтах и флотах, в конце войны к ним присоединились и более современные Ил-10 с АМ-42. Ил-10 позднее приняли участие и в боевых действиях в Корее и состояли на вооружении советских ВВС до середины 50-х годов. Двигатели для штурмовиков создавались в конструкторском бюро за</w:t>
      </w:r>
      <w:r w:rsidRPr="005E779E">
        <w:rPr>
          <w:rFonts w:ascii="Times New Roman" w:hAnsi="Times New Roman"/>
          <w:color w:val="000000" w:themeColor="text1"/>
          <w:sz w:val="16"/>
          <w:szCs w:val="16"/>
        </w:rPr>
        <w:softHyphen/>
        <w:t>вода № 24 в Куйбышеве. Микулин некоторое время являлся главным конструктором сразу трех предприятий — заводов № 24 в Куйбышеве, № 45 в Москве и нового опытного завода № 300 тоже в Москве. Затем обязанности разделили: Микулин остался руководить двумя коллективами в Москве, а в Куйбышеве главным конструктором назначили Флисско-го. Поэтому последующие моторы для штурмовиков создавались уже без прямого участия Микулина и обозначались в документах без букв «АМ». Тем не менее между Москвой и Куйбышевом шел постоянный обмен до</w:t>
      </w:r>
      <w:r w:rsidRPr="005E779E">
        <w:rPr>
          <w:rFonts w:ascii="Times New Roman" w:hAnsi="Times New Roman"/>
          <w:color w:val="000000" w:themeColor="text1"/>
          <w:sz w:val="16"/>
          <w:szCs w:val="16"/>
        </w:rPr>
        <w:softHyphen/>
        <w:t>кументацией и образцами узлов. Дальнейшим развитием АМ-42 стали М-43, М-44, М-45, М-46 и М-47. Последний из них, мощностью 3000 л.с., в 1948 г. испытывался на опыт</w:t>
      </w:r>
      <w:r w:rsidRPr="005E779E">
        <w:rPr>
          <w:rFonts w:ascii="Times New Roman" w:hAnsi="Times New Roman"/>
          <w:color w:val="000000" w:themeColor="text1"/>
          <w:sz w:val="16"/>
          <w:szCs w:val="16"/>
        </w:rPr>
        <w:softHyphen/>
        <w:t>ном штурмовике Ил-20. После этого завод перешел на выпуск ТРД, а работы по поршневой технике свернули. Правда, в 1951 г. восстановили выпуск АМ-42, но более никаких крупных конструкторских работ по его модернизации не вели. Вторым направлением развития «потомков» М-34 являлись мощные вы</w:t>
      </w:r>
      <w:r w:rsidRPr="005E779E">
        <w:rPr>
          <w:rFonts w:ascii="Times New Roman" w:hAnsi="Times New Roman"/>
          <w:color w:val="000000" w:themeColor="text1"/>
          <w:sz w:val="16"/>
          <w:szCs w:val="16"/>
        </w:rPr>
        <w:softHyphen/>
        <w:t>сотные двигатели для истребителей и скоростных бомбардировщиков. Эта линия происходила от АМ-35А. С 1939 г. Микулин разрабатывал его усо</w:t>
      </w:r>
      <w:r w:rsidRPr="005E779E">
        <w:rPr>
          <w:rFonts w:ascii="Times New Roman" w:hAnsi="Times New Roman"/>
          <w:color w:val="000000" w:themeColor="text1"/>
          <w:sz w:val="16"/>
          <w:szCs w:val="16"/>
        </w:rPr>
        <w:softHyphen/>
        <w:t>вершенствованный вариант с интеркулером, названный АМ-37. В апреле 1941 г. этот мотор прошел госиспытания, и его приняли к серийному производству. Но АМ-37 был достаточно «сырым», и осенью того же года после выпуска небольшой серии его с производства сняли. Микулин не успокоился и создал АМ-39 с двухскоростным ПЦН, мощность которого в 1944-1945 гг. довел до 2130 л.с. Работы по нему велись на опытном заводе № 300 в Лужниках, в Москве, специально выделенном для кон</w:t>
      </w:r>
      <w:r w:rsidRPr="005E779E">
        <w:rPr>
          <w:rFonts w:ascii="Times New Roman" w:hAnsi="Times New Roman"/>
          <w:color w:val="000000" w:themeColor="text1"/>
          <w:sz w:val="16"/>
          <w:szCs w:val="16"/>
        </w:rPr>
        <w:softHyphen/>
        <w:t>структорского бюро Микулина. АМ-39 во многом унифицировался сначала с АМ-38Ф, а затем с АМ-42, поэтому к изготовлению узлов опытных об</w:t>
      </w:r>
      <w:r w:rsidRPr="005E779E">
        <w:rPr>
          <w:rFonts w:ascii="Times New Roman" w:hAnsi="Times New Roman"/>
          <w:color w:val="000000" w:themeColor="text1"/>
          <w:sz w:val="16"/>
          <w:szCs w:val="16"/>
        </w:rPr>
        <w:softHyphen/>
        <w:t>разцов привлекли серийные заводы № 24 и № 45. Новый мотор проходил стендовые и летные испытания. Варианты с турбонаддувом испытывались на опытных истребителях-перехватчиках МиГ-7 (И-224) Микояна, а мо</w:t>
      </w:r>
      <w:r w:rsidRPr="005E779E">
        <w:rPr>
          <w:rFonts w:ascii="Times New Roman" w:hAnsi="Times New Roman"/>
          <w:color w:val="000000" w:themeColor="text1"/>
          <w:sz w:val="16"/>
          <w:szCs w:val="16"/>
        </w:rPr>
        <w:softHyphen/>
        <w:t>дификации с меньшей высотностью — на опытных бомбардировщиках Туполева, в т.ч. на самолетах малой серии Ту-10 («68»). В апреле 1944 г. АМ-39 прошел государственные испытания, но в серийное производство не запускался. Совершенствование этого мотора продолжалось до 1946 г. Вообще эта ветвь развития «потомков» М-34 получилась менее удачной, ни один из ее двигателей не стал столь массовым, как моторы для штур</w:t>
      </w:r>
      <w:r w:rsidRPr="005E779E">
        <w:rPr>
          <w:rFonts w:ascii="Times New Roman" w:hAnsi="Times New Roman"/>
          <w:color w:val="000000" w:themeColor="text1"/>
          <w:sz w:val="16"/>
          <w:szCs w:val="16"/>
        </w:rPr>
        <w:softHyphen/>
        <w:t>мовиков. В целом все поршневые двигатели Микулина представляли собой непре</w:t>
      </w:r>
      <w:r w:rsidRPr="005E779E">
        <w:rPr>
          <w:rFonts w:ascii="Times New Roman" w:hAnsi="Times New Roman"/>
          <w:color w:val="000000" w:themeColor="text1"/>
          <w:sz w:val="16"/>
          <w:szCs w:val="16"/>
        </w:rPr>
        <w:softHyphen/>
        <w:t>рывную цепочку развития одной базовой конструкции, сохранявшей как общую компоновку и силовую схему, так и размерения цилиндров. При этом при неизменном объеме максимальная мощность от ранних М-34 до М-47 выросла более чем в три раза. Следует отметить также, что в то время, когда многие советские конструкторы авиамоторов исходно оттал</w:t>
      </w:r>
      <w:r w:rsidRPr="005E779E">
        <w:rPr>
          <w:rFonts w:ascii="Times New Roman" w:hAnsi="Times New Roman"/>
          <w:color w:val="000000" w:themeColor="text1"/>
          <w:sz w:val="16"/>
          <w:szCs w:val="16"/>
        </w:rPr>
        <w:softHyphen/>
        <w:t>кивались от иностранных образцов или узлов других отечественных дви</w:t>
      </w:r>
      <w:r w:rsidRPr="005E779E">
        <w:rPr>
          <w:rFonts w:ascii="Times New Roman" w:hAnsi="Times New Roman"/>
          <w:color w:val="000000" w:themeColor="text1"/>
          <w:sz w:val="16"/>
          <w:szCs w:val="16"/>
        </w:rPr>
        <w:softHyphen/>
        <w:t>гателей, Микулин упорно шел своим оригинальным путем, лишь изредка заимствуя удачные элементы у других. Правда, зачастую это приводило к длительной доводке, за время которой двигатель начинал отставать от конструкций конкурентов. Зато другие конструкторы в ряде проектов использовали не только идеи Микулина, но и целые узлы его двигателей. Так, в целом ряде проектов А.П. Ро и Е.В. Урмина применены блоки мотора М-34. Нагнетатели от АМ-38 устанавливались на дизеле АЧ-ЗОБ А.Д. Чаромского и ряде по</w:t>
      </w:r>
      <w:r w:rsidRPr="005E779E">
        <w:rPr>
          <w:rFonts w:ascii="Times New Roman" w:hAnsi="Times New Roman"/>
          <w:color w:val="000000" w:themeColor="text1"/>
          <w:sz w:val="16"/>
          <w:szCs w:val="16"/>
        </w:rPr>
        <w:softHyphen/>
        <w:t>слевоенных танковых двигателей. Заслуги Микулина в развитии отечественного авиамоторостроения в годы войны четырежды принесли ему Сталинские премии (в 1941, 1942, 1943, 1946 гг.). В 1943 г. его избрали действительным членом Академии наук, хотя конструктор формально так и не получил высшего образова</w:t>
      </w:r>
      <w:r w:rsidRPr="005E779E">
        <w:rPr>
          <w:rFonts w:ascii="Times New Roman" w:hAnsi="Times New Roman"/>
          <w:color w:val="000000" w:themeColor="text1"/>
          <w:sz w:val="16"/>
          <w:szCs w:val="16"/>
        </w:rPr>
        <w:softHyphen/>
        <w:t>ния (11852).</w:t>
      </w:r>
    </w:p>
    <w:p w14:paraId="731B8D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30374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г. был завершен проект М-48. В марте — мае 1931 г. двигатель М-48 разрабатывался в КБ завода № 29 (Запорожье) под руководством А.С. Назарова. Использовал часть узлов и агрегатов двигателя М-11 и унифицировался с моторами М-49 и М-51, входившими в то же семейство. Изготовлены и испытаны опытные образцы (с июня 1932 г., 3 экз.). В 1934 г. демон</w:t>
      </w:r>
      <w:r w:rsidRPr="005E779E">
        <w:rPr>
          <w:rFonts w:ascii="Times New Roman" w:hAnsi="Times New Roman"/>
          <w:color w:val="000000" w:themeColor="text1"/>
          <w:sz w:val="16"/>
          <w:szCs w:val="16"/>
        </w:rPr>
        <w:softHyphen/>
        <w:t>стрировался на выставке в Париже как достижение советской авиапромышленности. В 1935 г. проходил летные испытания на самолете У-3. В серийное производство М-48 не запускался. Послужил основой для разработки мотора МГ-21. Характеристики:</w:t>
      </w:r>
    </w:p>
    <w:p w14:paraId="3699303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7-цилиндровый, звездообразный, четырехтактный, воздушного охлаждения, с ПЦН;</w:t>
      </w:r>
    </w:p>
    <w:p w14:paraId="2DDC508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мощность 165/210 л.с.;</w:t>
      </w:r>
    </w:p>
    <w:p w14:paraId="780B317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диаметр цилиндра/ход поршня 125/140 мм;</w:t>
      </w:r>
    </w:p>
    <w:p w14:paraId="6076D42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степень сжатия 5,0;</w:t>
      </w:r>
    </w:p>
    <w:p w14:paraId="49B53E6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полный рабочий объем 12,0 л;</w:t>
      </w:r>
    </w:p>
    <w:p w14:paraId="49288AC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вес 194 кг.</w:t>
      </w:r>
    </w:p>
    <w:p w14:paraId="3361C4F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Использование М-48 предусма</w:t>
      </w:r>
      <w:r w:rsidRPr="005E779E">
        <w:rPr>
          <w:rFonts w:ascii="Times New Roman" w:hAnsi="Times New Roman"/>
          <w:color w:val="000000" w:themeColor="text1"/>
          <w:sz w:val="16"/>
          <w:szCs w:val="16"/>
        </w:rPr>
        <w:softHyphen/>
        <w:t>тривалось в проекте легкого само</w:t>
      </w:r>
      <w:r w:rsidRPr="005E779E">
        <w:rPr>
          <w:rFonts w:ascii="Times New Roman" w:hAnsi="Times New Roman"/>
          <w:color w:val="000000" w:themeColor="text1"/>
          <w:sz w:val="16"/>
          <w:szCs w:val="16"/>
        </w:rPr>
        <w:softHyphen/>
        <w:t>лета связи ЦКБ-9 (11852).</w:t>
      </w:r>
    </w:p>
    <w:p w14:paraId="48CD560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6A03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г. на заводе № 29 завершили проект семицилиндрового М-48 с мощностью до 210 л.с., которыйотставал от М-51 примерно на полгода. С июня 1932 г. изготовили три опытных образца М-48, из которых только один был полностью собран и проходил стендовые испытания. Мотор сочли настолько удачным, что в 1934 г. его отправили на выставку в Париж. Авиаконструкторам поручили использовать этот двигатель в проектах новых самолетов. Его, например, закладывали в проект разведчика ЦКБ-9. В 1935 г. М-48 проходил летные испытания на учебном самолете У-3, который, однако, в серию не запустили (11478).</w:t>
      </w:r>
    </w:p>
    <w:p w14:paraId="6611CE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86195F7" w14:textId="77777777" w:rsidR="002C4AC9" w:rsidRPr="00142305" w:rsidRDefault="002C4AC9" w:rsidP="002C4AC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августе 1931 г. на заводе № 29 в Запорожье завершили проект семицилиндрового М-48 с мощностью до 210 л.с., отставал от М-51 примерно на полгода С июня 1932 г. изготовили три опытных образца М-48, из которых только один был полностью собран и проходил стендовые испытания. Мотор сочли настолько удачным, что в 1934 г. его отправили на выставку в Париж. Авиаконструкторам поручили использовать этот двигатель в проектах новых самолетов. Его, например, закладывали в проект разведчика ЦКБ-9. В 1935 г. М-48 проходил летные испытания на учебном самолете У-3, который, однако, в серию не запустили (25397).</w:t>
      </w:r>
    </w:p>
    <w:p w14:paraId="32C3083D" w14:textId="77777777" w:rsidR="002C4AC9" w:rsidRPr="00142305" w:rsidRDefault="002C4AC9" w:rsidP="002C4AC9">
      <w:pPr>
        <w:spacing w:after="0" w:line="240" w:lineRule="auto"/>
        <w:jc w:val="both"/>
        <w:rPr>
          <w:rFonts w:ascii="Times New Roman" w:hAnsi="Times New Roman"/>
          <w:color w:val="0070C0"/>
          <w:sz w:val="16"/>
          <w:szCs w:val="16"/>
        </w:rPr>
      </w:pPr>
    </w:p>
    <w:p w14:paraId="541F77E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г. на заводе № 29 завершили серию «В» М-22, а сдавали в сентябре. Только на третьей серии (серии «В») из 40 двигателей удалось достичь ресурса 100 часов. На этой серии ввели фиксированные вкладыши глав</w:t>
      </w:r>
      <w:r w:rsidRPr="005E779E">
        <w:rPr>
          <w:rFonts w:ascii="Times New Roman" w:hAnsi="Times New Roman"/>
          <w:color w:val="000000" w:themeColor="text1"/>
          <w:sz w:val="16"/>
          <w:szCs w:val="16"/>
        </w:rPr>
        <w:softHyphen/>
        <w:t>ных шатунов вместо плавающих. Уже все детали моторов выполнялись из советских материалов, но импорт некоторых агрегатов продолжался. Фактически весь 1931 г. ушел на доводку конструкции и развертывание производства. За год сделали всего 68 М-22. Это вынуждало продолжать импорт готовых «Юпитеров» из Франции. Существенный рост поставки двигателей из Запорожья начался с 1932 г., когда выпустили 357 штук. Далее в почти неизменном виде М-22 изготовлялся до конца 1935 г. Освоение выпуска М-22 в 1933-1934 гг. планировалось и на новом за</w:t>
      </w:r>
      <w:r w:rsidRPr="005E779E">
        <w:rPr>
          <w:rFonts w:ascii="Times New Roman" w:hAnsi="Times New Roman"/>
          <w:color w:val="000000" w:themeColor="text1"/>
          <w:sz w:val="16"/>
          <w:szCs w:val="16"/>
        </w:rPr>
        <w:softHyphen/>
        <w:t>воде № 19 в Перми. Но реально ни одного мотора этого типа там не собрали, в связи с тем, что это предприятие переоснастили под произ</w:t>
      </w:r>
      <w:r w:rsidRPr="005E779E">
        <w:rPr>
          <w:rFonts w:ascii="Times New Roman" w:hAnsi="Times New Roman"/>
          <w:color w:val="000000" w:themeColor="text1"/>
          <w:sz w:val="16"/>
          <w:szCs w:val="16"/>
        </w:rPr>
        <w:softHyphen/>
        <w:t>водство М-25 (советской копии американского Райт «Циклон»). Всего выпустили более 2500 советских «Юпитеров». Этот двигатель являлся основным в истребительной авиации ВВС РККА в первой по</w:t>
      </w:r>
      <w:r w:rsidRPr="005E779E">
        <w:rPr>
          <w:rFonts w:ascii="Times New Roman" w:hAnsi="Times New Roman"/>
          <w:color w:val="000000" w:themeColor="text1"/>
          <w:sz w:val="16"/>
          <w:szCs w:val="16"/>
        </w:rPr>
        <w:softHyphen/>
        <w:t>ловине 30-х годов (11852).</w:t>
      </w:r>
    </w:p>
    <w:p w14:paraId="5648A84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6D465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г. некий Гантман с завода БНК предложил свою ком</w:t>
      </w:r>
      <w:r w:rsidRPr="005E779E">
        <w:rPr>
          <w:rFonts w:ascii="Times New Roman" w:hAnsi="Times New Roman"/>
          <w:color w:val="000000" w:themeColor="text1"/>
          <w:sz w:val="16"/>
          <w:szCs w:val="16"/>
        </w:rPr>
        <w:softHyphen/>
        <w:t>поновку четырехтактного бензинового двигателя. У него фактически два перевернутых 6-цилиндровых мотора стояли параллельно, каждый со сво</w:t>
      </w:r>
      <w:r w:rsidRPr="005E779E">
        <w:rPr>
          <w:rFonts w:ascii="Times New Roman" w:hAnsi="Times New Roman"/>
          <w:color w:val="000000" w:themeColor="text1"/>
          <w:sz w:val="16"/>
          <w:szCs w:val="16"/>
        </w:rPr>
        <w:softHyphen/>
        <w:t>им ПЦН, и работали на общий редуктор. Между двигателями устанавли</w:t>
      </w:r>
      <w:r w:rsidRPr="005E779E">
        <w:rPr>
          <w:rFonts w:ascii="Times New Roman" w:hAnsi="Times New Roman"/>
          <w:color w:val="000000" w:themeColor="text1"/>
          <w:sz w:val="16"/>
          <w:szCs w:val="16"/>
        </w:rPr>
        <w:softHyphen/>
        <w:t>валась пушка, ствол которой проходил через полый выходной вал редук</w:t>
      </w:r>
      <w:r w:rsidRPr="005E779E">
        <w:rPr>
          <w:rFonts w:ascii="Times New Roman" w:hAnsi="Times New Roman"/>
          <w:color w:val="000000" w:themeColor="text1"/>
          <w:sz w:val="16"/>
          <w:szCs w:val="16"/>
        </w:rPr>
        <w:softHyphen/>
        <w:t>тора. Проект Гантмана рассмотрели, но не нашли в нем преимуществ по сравнению с более традиционной схемой У-образного двигателя. Проект, выполненный инженером Гантманом на заводе БНК в 1931 г.</w:t>
      </w:r>
    </w:p>
    <w:p w14:paraId="47309CE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Характеристики:</w:t>
      </w:r>
    </w:p>
    <w:p w14:paraId="2EFFF1D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12-цилиндровый, двухрядный, перевернутый, с двумя коленвалами и двумя ПЦН;</w:t>
      </w:r>
    </w:p>
    <w:p w14:paraId="2BEE314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редукторный;</w:t>
      </w:r>
    </w:p>
    <w:p w14:paraId="6BE55F0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объем 14,25 л;</w:t>
      </w:r>
    </w:p>
    <w:p w14:paraId="597AD75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мощность 360 л.с.;</w:t>
      </w:r>
    </w:p>
    <w:p w14:paraId="58A4427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вес 340 кг;</w:t>
      </w:r>
    </w:p>
    <w:p w14:paraId="309737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предусмотрена установка пушки (11852).</w:t>
      </w:r>
    </w:p>
    <w:p w14:paraId="343F131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CCBB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в Москве создали ГИРД при ЦС Осоавиахима и в октябре - аналогичная группа образовалась в Ленинграде (177,156).</w:t>
      </w:r>
    </w:p>
    <w:p w14:paraId="3352CA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A3B8B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августе 1931 г. при Осоавиахиме сформировалась ГИРД (группа по изучению реактивного движения), называвшаяся вначале МосГИРД, затем- Центральная ГИРД (ЦГИРД). В 04.1932 г. было принято решение о создании Опытного ракетного завода ЦГИРДа. Вначале (в 1933 г. была там) группа располагалась в Москве, в подвале дома № 19 по ул. Садово-Спасской, вместе с ЦКБ по планерам Осоавиахима, которое возглавлял Антонов. В 1932 г. в ГИРД организовано 4 бригады, занимавшиеся разработкой: 1) жидкостных двигателей для ракетоплана; 2) жидкостных баллистических ракет; 3) ПВРД, газодинамических испытательных установок; 4) ракетопланов и крылатых ракет. Начальником ЦГИРДа и Оытного завода был С.П. Королев. Здесь также работали Б.И. Черановский, В.П. Ветчинкин, Н.К. Федоренков, И.П. Фортиков. </w:t>
      </w:r>
    </w:p>
    <w:p w14:paraId="2969ED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Бригада № 1 по ЖРД создана из группы, перешедшей из ИАМ. Руководитель (-28.03.1933 г.)- Ф.А. Цандер (умер), (1933 г.-)- Л.К. Корнеев. Работали: А.И. Полярный, Л.С. Душкин, Э.П. Шептицкий. Созданы двигатели: ОР-2; ракеты: ГИРД-Х (1933 г.), КПД-1 (1934 г.). Затем на базе бригады создано КБ-7 РНИИ.</w:t>
      </w:r>
    </w:p>
    <w:p w14:paraId="5FC8FA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Бригада № 2 жидкостных баллистических ракет. Руководитель- М.К. Тихонравов. Работали: В.А. Андреев, В.Н. Галковский, Н.И. Ефремов, В.С. Зуев, З.И. Круглова, О.К. Паровина, Е.И. Снегирева, Н.И. Шульгина, Ф.Л. Якайтис.Разработаы: двигатель РДА-1; ракеты: «05» с ОРМ-50 (1933 г.), «07», «09» (запущена 17.08.1933 г.).</w:t>
      </w:r>
    </w:p>
    <w:p w14:paraId="3C4B5A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Бригада № 3 по ПВРД. Руководитель- Ю.А. Победоносцев. Работали: Л. Э. Брюкер, М.С. Кисенко, И.А. Меркулов, О.С. Оганесов, А.Б. Рязанкин, Г.В. Шибалов. Созданы: установка ИУ-1, экспериментальная камера сгорания ЭК-3 для испытаний ПВРД (1933 г.).</w:t>
      </w:r>
    </w:p>
    <w:p w14:paraId="31E559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Бригада № 4 по КР. Руководитель (1932 г.-)- С.П. Королев, Н.А. Железняков, А.В. Чесалов, Е.С. Щетинков. Создан ракетоплан РП-1 (планер БИЧ-11 с двигателем ОР-2). </w:t>
      </w:r>
    </w:p>
    <w:p w14:paraId="46A2D2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Существовала также Ленинградская группа- ЛенГИРД, созданная 13.11.1931 г., одним из организаторов которой был Н.А. Рынин.84 </w:t>
      </w:r>
    </w:p>
    <w:p w14:paraId="6F621C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РВС № 113 от 21.09.1933 г. на базе ГИРД ОСОАВИАХИМ основан РНИИ РККА. Также на базе МосГИРД было организовано КБ-7, занимавшееся жидкостными баллистическими ракетами.</w:t>
      </w:r>
    </w:p>
    <w:p w14:paraId="21DB60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постановлению СТО № 104 от 31.10.1933 г. РНИИ с филиалом передан в НКТП. В 1934 г. в него вошла группа по РД из ГДЛ при Управлении военных изобретений (г. Ленинград) под руководством В.П. Глушко. Вначале находился на Лихачевском ш.</w:t>
      </w:r>
    </w:p>
    <w:p w14:paraId="78172A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Работы по ЖРД, РДТТ, ПВРД, ракетам, газогенераторам торпед, порохам.</w:t>
      </w:r>
    </w:p>
    <w:p w14:paraId="2BC090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составе РНИИ организован сектор (отдел) КР, которым руководили: А.И. Стеняев, С.П. Королев, В.И. Дудаков. Позже, в 1935-36 г. создана отдельная бригада КР с РДТТ. </w:t>
      </w:r>
    </w:p>
    <w:p w14:paraId="1563C0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Велись работы под руководством В.И. Дудакова по созданию стартовых ускорителей с РДТТ для самолетов: У-1 (1931 г.), ТБ-1 (1933 г.). Спроектирована и построена экспериментальная пороховая катапульта для запуска самолета с борта корабля (1935 г.).39</w:t>
      </w:r>
    </w:p>
    <w:p w14:paraId="2ED177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1933-40 г. под руководством Б.С. Петропавловского создан ряд пороховых РС.</w:t>
      </w:r>
    </w:p>
    <w:p w14:paraId="34E3AB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1936 г. на базе ракеты «05» создана ракета «Авиавнито» с двигателем 12К (запущена 6.04.1936 г.). </w:t>
      </w:r>
    </w:p>
    <w:p w14:paraId="1D2985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Созданы и испытаны КР: «06/I» (Щетинков, 1934 г.), «06/III» («216») (1936 г.), «212» (Королев, 1939 г.).</w:t>
      </w:r>
    </w:p>
    <w:p w14:paraId="5CE9EE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Под руководством М.П. Дрязгова созданы КР с РДТТ: «48» (1935 г.), экспериментальная зенитная «217» (1936 г.).</w:t>
      </w:r>
    </w:p>
    <w:p w14:paraId="1561F1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1936 г. под руководством 1937 г. Королёва и Щетинкова создан ракетоплан РП-218, в 1937 г.- РП-318-1 с двигателем ОРМ-65 конструкции Глушко.</w:t>
      </w:r>
    </w:p>
    <w:p w14:paraId="698D23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Под руководством С.А. Пивоварова создан гироскопический автомат ГПС-2 для КР «216».</w:t>
      </w:r>
    </w:p>
    <w:p w14:paraId="669D35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19.05.1939 г.. испытана ракета Р-3 с ПВРД И.А. Меркулова.59 </w:t>
      </w:r>
    </w:p>
    <w:p w14:paraId="3811B1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2.01.1937 г. институт передан в НКОП и преобразован в НИИ-3 НКОП. В 1941 г.- в ведении НКБ.</w:t>
      </w:r>
    </w:p>
    <w:p w14:paraId="19D135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После ареста в 1938 г. Глушко и Королева их отделы были объединены в один под руководством Л.С. Душкина. Продолжены работы по ракетоплану РП-318-1 (ведущий конструктор- А.В. Палло). После успешных испытаний РП-318-1 был разобран, а после начала войны уничтожен. В соответствии с постановлением ГКО от 08.1941 г. отделу Душкина было поручено создание ЖРД РДА-1-1100 для истребителя БИ. </w:t>
      </w:r>
    </w:p>
    <w:p w14:paraId="09F607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20-х числах октября 1941 г. институт эвакуирован в Свердловск.</w:t>
      </w:r>
    </w:p>
    <w:p w14:paraId="3E8361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 1942 г.- ГИРТ (Государственный институт реактивной техники) при СНК СССР. По постановлению ГКО № 4306с от 11.10.1943 г. и приказу НКАП № 666с от 5.11.1943 г. в подчинение ГИРТ с 7.11.1943 г. передан завод № 55 НКАП в качестве производственной базы. В ГИРТ переведены все сотрудники бывшего ОКБ А.А. Архангельского, а также М.Р. Бисноват.СМ-3-4/97 </w:t>
      </w:r>
    </w:p>
    <w:p w14:paraId="51300E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Создан самолет «302П» (Ко-3) с ЖРД Душкина (гл. конструктор- Костиков, первый полет в 10.1943 г.).</w:t>
      </w:r>
    </w:p>
    <w:p w14:paraId="3B9669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Постановлением ГОКО № 5201сс от 18.02.1944 г. было указано на «нетерпимое положение с реактивной техникой» и ГИРТ был ликвидирован. Одновременно все сооружения и кадры были переданы в НКАП (приказ № 111с от 18.02.1944 г.) и стали основой для образования Научно-исследовательского института реактивной авиации (НИРА) НКАП. Приказом № 115с от 18.02.1944 г. начальником временно назначен В.И. Поликовский. По приказу № 149сс от 28.02.1944 г. НИРА объединен с заводом № 293 (вместе с ОКБ-293) и преобразован в НИИ-1, в ведении 7ГУ НКАП.</w:t>
      </w:r>
    </w:p>
    <w:p w14:paraId="14582A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Началось сосредоточение в институте основных кадров по реактивной технике. Сюда переведены: из ОКБ-293 - ЭКБ-3 М.М. Бондарюка (создан отдел ПВРД, далее- КБ-2 НИИ-1, с 10.1950 г.- самостоятельное ОКБ-670); из ЦИАМ - А.М. Люлька (выдано задание на создание ТРД тягой 1250 кг); группа В.П. Глушко; группа Л.С. Душкина; группа А.М. Исаева (ОКО при НИИ-1).</w:t>
      </w:r>
    </w:p>
    <w:p w14:paraId="1571EC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И.Ф. Флоров, работавший в ОКБ-293, в 07.1944 г. назначен начальником самолетного сектора № 43 НИИ-1 по приказу № 370сс от 30.05.1944 г. (с 1948 г.- в ЦИАМ). Здесь же с конца 1944 г. по 02.1945 г. работал А.А. Боровков. Создан самолет «4302» (1946 г.).</w:t>
      </w:r>
    </w:p>
    <w:p w14:paraId="4E805B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Приказом № 364с от 29.05.1944 г. начальником НИИ-1 назначен П.И. Федоров, 1-м замом по научно-исследовательской работе- В.Ф. Болховитинов. Приказом № 656с от 11.11.1944 г. НИИ-1 передан в 18ГУ, основное направление- реактивное двигателестроение. В 03.1946 г. в связи с ликвидацией 18ГУ передан в 8ГУ, с 1.10.1951 г.- в 6ГУ.</w:t>
      </w:r>
    </w:p>
    <w:p w14:paraId="2D5206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03.1946 г. из НИИ-1 МАП на завод № 81 МАП переведена группа конструкторов (9 чел.), занимавшаяся установками РС. По приказу № 182сс от 30.03.1946 г. СКБ А.М. Люльки переведено на самостоятельную опытную базу- завод № 165 МАП, в состав его ОКБ передан личный состав отдела № 21 НИИ-1.</w:t>
      </w:r>
    </w:p>
    <w:p w14:paraId="3EC110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1947 г. Келдышем разработан проект ракетного самолета с 2-мя ПВРД и ЖРД.</w:t>
      </w:r>
    </w:p>
    <w:p w14:paraId="0F975E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1.07.1948 г. НИИ-1 являлся филиалом ЦИАМ (приказ № 440с от 21.06.1948 г.). В соответствии с постановлением СМ СССР от 10.03.1952 г. НИИ-1 МАП стал самостоятельным и получил также название НИИ РД (реактивных двигателей)59.</w:t>
      </w:r>
    </w:p>
    <w:p w14:paraId="3D2181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 НИИ-88 в институт переведена лаборатория по автоматической астрокоррекции под руководством И.М. Лисовича.</w:t>
      </w:r>
    </w:p>
    <w:p w14:paraId="4967E4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 1950-х г., после выделения всех конструкторских организаций в самостоятельные, институт занимается НИР в ракетно-космической области и двигателестроении. </w:t>
      </w:r>
    </w:p>
    <w:p w14:paraId="31B670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1954 г. создана лаборатория № 6 (руководитель- К.П. Осминин) по динамике КР.</w:t>
      </w:r>
    </w:p>
    <w:p w14:paraId="3EFD07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1950-е г. построена стендовая испытательная база в Тураево.</w:t>
      </w:r>
    </w:p>
    <w:p w14:paraId="0C284C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1954 г. институт принимает активное участие в работах по МБР Р-7, МКР «Буран» и «Буря».</w:t>
      </w:r>
    </w:p>
    <w:p w14:paraId="0105F1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1955 г. образован филиал по системам управления КР (начальник- Р.Г. Чачикян; гл. конструкторы: по астронавигации- И.М. Лисович, по автопилоту- Г.Н. Толстоусов).59 </w:t>
      </w:r>
    </w:p>
    <w:p w14:paraId="5C10E5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1956-57 г. построен газодинамический тепловой стенд Ц-12Т для испытаний ракет.59 </w:t>
      </w:r>
    </w:p>
    <w:p w14:paraId="0F32BE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1950-е г. существовала лаборатория систем управления (руководитель- Б.В. Раушенбах). Разработаны системы ориентации КА на основе солнечных и лунных датчиков (Башкин, Князев). Затем группа Б.В. Раушенбаха переведена в ОКБ-1 ГКОТ.</w:t>
      </w:r>
    </w:p>
    <w:p w14:paraId="28D0F9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1965 г. НИИ-1 ГКАТ передан в подчинение 2ГУ МОМ и по приказу от 6.03.1966 г. преобразован в НИИТП (тепловых процессов). В 1990-х г. передан в РКА. В 1995 г. переименован в Исследовательский центр им М.В. Келдыша. По Указу Президента РФ № 1009 от 4.08.2004 г. вошел в число стратегических оборонных предприятий.</w:t>
      </w:r>
    </w:p>
    <w:p w14:paraId="73F14B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1960-е г.: научное обеспечение разработок ЖРД и теплозащиты головных частей ракет (1954-57 г.- БР Р-7 и МКР «Буря»), решение задач по выводу в космос КА. Проведены первые фундаментальные исследования ядерных ракетных двигателей (с конца 1950-х). Разработаны схемы электрических плазменных двигателей торцевого типа (А.А. Поротников). </w:t>
      </w:r>
    </w:p>
    <w:p w14:paraId="0AFBFD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1965 г. НИИТП- головная научно-исследовательская организация ракетного двигателестроения.</w:t>
      </w:r>
    </w:p>
    <w:p w14:paraId="003234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Принимал участие в программе создания ОК «Буран». </w:t>
      </w:r>
    </w:p>
    <w:p w14:paraId="212008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1970-80-е г.- научное обеспечение создания РДТТ для БРК.</w:t>
      </w:r>
    </w:p>
    <w:p w14:paraId="650009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начале 1980-х г. создан плазмогенератор «Марабу», создающих вокруг движущегося объекта плазменную оболочку, снижающую радиолокационную заметность объекта.63 </w:t>
      </w:r>
    </w:p>
    <w:p w14:paraId="4D803D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Разработана технология создания в ионосфере плазменно-паровых облаков, отражающих РЛ-излучение (работал Ю.А. Уткин). Испытания установки «Мажор» проведены на космической станции «Мир».63 </w:t>
      </w:r>
    </w:p>
    <w:p w14:paraId="4BD03A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2000 г.: работы по ракетно-космическим энергоустановкам, исследования в области термодинамики. </w:t>
      </w:r>
    </w:p>
    <w:p w14:paraId="0E5162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Направления деятельности (2005 г.): исследования и разработки по ракетным двигателям для РКТ (ЖРД нового поколения, электроракетные двигатели); НИОКР по изделиям РКТ, подбор материалов и топлив; НИР по экологически чистым технологиям при производстве и эксплуатации РКТ; разработка технологий для военной, научной и народнохозяйственной техники; разработка энергосберегающих технологий.</w:t>
      </w:r>
    </w:p>
    <w:p w14:paraId="634C8D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Создан отдел «Водородной энергетики» (зам. начальника отдела (2005 г.)- В. Смоляров). Работы по водородным топливным элементам.</w:t>
      </w:r>
    </w:p>
    <w:p w14:paraId="0AE47B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 (1933-37 г.)- И.Т. Клейменов (репрессирован), (1937-40 г.)- Б.М. Слонимер, (1941 г.)- Н.А. Монаков, (1941 г.)- А.Н. Фоменко, (1942-02.1944 г.)- генерал-майор А.Г. Костиков (отстранен, затем репрессирован), (02.1944-)- В.И. Поликовский, (05.1944 г.-)- П.И. Федоров, (1945-46 г.)- Я.Л. Бибиков, генерал-майор ИАС, (11.1946 г.-)- М.В. Келдыш, (1948-49 г.)- В.В. Владимиров, (1949-51 г.)- В.А. Окулов, (1951-55 г.)- А.Т. Туманов, (1955-88 г.)- В.Я. Лихушин. Директор (1988-2005 г.-)- академик А.С. Коротеев.</w:t>
      </w:r>
    </w:p>
    <w:p w14:paraId="7A58DF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Научный руководитель (1948-61 г.)- академик М.В. Келдыш.</w:t>
      </w:r>
    </w:p>
    <w:p w14:paraId="3E7D53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начальника (1933 г.-)- С.П. Королев; по научной части - В.Ф. Болховитинов (05.1944-46 г.). Зам. директора (2003 г.)- А.М. Губертов; по ВЭС (2005 г.)- А.А. Кленчев.</w:t>
      </w:r>
    </w:p>
    <w:p w14:paraId="690358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инженер (1940-41 г.)- А.Г. Костиков. Начальник КБ (1943 г.-)- А.Я. Березняк.</w:t>
      </w:r>
    </w:p>
    <w:p w14:paraId="4068E4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Работали: (03.1938; 1944 г.) - А.П. Артемьев (РС), А.П. Ваничев, Л.А. Воскресенский, И.И. Гвай (РС), (-1937 г.)-В.П. Глушко (репрессирован, работал в ОТБ НКВД на заводе № 8), (1933- 44 г.-)- Л.С. Душкин, (1941 г.)- В.С. Зуев (ПВРД), (1930-е; 1944-)- А.М. Исаев, (-04.1938 г.)- С.П. Королев (репрессирован), (-1937 г.)- Г.Э. Лангемак (репрессирован), А.М. Люлька, В.П. Мишин, (1936-45; 1958-96 г.)- А.В. Палло (ведущий инженер по ЖРД), Г.И. Петров, Н.А. Пилюгин, Ю.А. Победоносцев (РС для «Катюши»), (-1936-38 г.-)- Б.В. Раушенбах (расчеты), (-1934-41 г.-)- М.К. Тихонравов (затем- в НИИ-4 МО), Б.Е. Черток, (1941 г.)- Е.С. Щетинков (ПВРД). </w:t>
      </w:r>
    </w:p>
    <w:p w14:paraId="1316B7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Создано: РС: РС-82 (пнв в 1937 г.), РС-132 (пнв в 1938 г.); М-13 (пнв в 1941 г.), М-13УК (пнв в 1943 г.), М-13ДД (пнв в 1944 г.), М-20 (1941 г.) для БМ-13 «Катюша» ; М-8 (пнв в 1941 г.) для БМ-8 «Катюша»; М-30 (пнв в 1942 г.), М-31 (пнв в 1943 г.), М-31УК (пнв в 1944 г.) для БМ-31;58 самолеты с ЖРД: «302» (1943), «4302» (1946), «4303» (1947); СЭДУ- солнечная энергодвигательная установка с СТРД- солнечным тепловым ракетным двигателем.</w:t>
      </w:r>
    </w:p>
    <w:p w14:paraId="69885F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НИИ-1 НКАП, МАП, ГКАТ, РНИИ (ракетный) РККА, НКТП, НИИ-3 НКОП, НКБ, ГИРТ при СНК, НИРА НКАП, НИИ РД МАП, НИИТП (тепловых процессов) МОМ, НИИТП им. М.В. Келдыша РКА, ФГУП «Исследовательский центр им. М.В. Келдыша» РАКА</w:t>
      </w:r>
    </w:p>
    <w:p w14:paraId="2FC603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125438 г. Москва, ул. Онежская, 8/10 тел. 456-46-08, 456-87-56 www.kerc.msk.ru (10776).</w:t>
      </w:r>
    </w:p>
    <w:p w14:paraId="5A8BD0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КБ-7 РНИИ</w:t>
      </w:r>
    </w:p>
    <w:p w14:paraId="40CC49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Создано в 1935 г. на базе бригады ЖРД ГИРДа. Работы по жидкостным ракетам.</w:t>
      </w:r>
    </w:p>
    <w:p w14:paraId="783AE6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Построена испытательная станция, в состав которой вошли: башня для огневых испытаний, пультовая, помещение для сборки ракет, электротехническая и керамическая лаборатории.</w:t>
      </w:r>
    </w:p>
    <w:p w14:paraId="06BCAF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 (1935 г.)- Л.К. Корнеев.</w:t>
      </w:r>
    </w:p>
    <w:p w14:paraId="0FA7E2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начальника (08.1935 г.)- А.И. Полярный.</w:t>
      </w:r>
    </w:p>
    <w:p w14:paraId="36AC3B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Работали: (1935 г.-)- М.Г. Воробьев, П.И. Иванов (нач. группы аэродинамики), Е.М. Курило (электротехника), А.С. Раецкий, Э.П. Шептицкий (нач. конструкторской группы); (1937 г.)- М.Ю. Голлендер (нач. керамической лаборатории), Ф.Л. Якайтис, В.С. Зуев, А.Б. Ионов.</w:t>
      </w:r>
    </w:p>
    <w:p w14:paraId="08777C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Создано: ракеты: Р-03, Р-06 (1936 г.), АНИР-5, Р-07, ЭНИР-7, Р-05, Р-10 (1939 г.); порохо-жидкостный двигатель М-17, М-29е для Р-05.</w:t>
      </w:r>
    </w:p>
    <w:p w14:paraId="6AE0E6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Филиал № 1 НИИ-1</w:t>
      </w:r>
    </w:p>
    <w:p w14:paraId="50FCB1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Химки Московской обл./</w:t>
      </w:r>
    </w:p>
    <w:p w14:paraId="094508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 293 НКАП действовал в составе НИИ-1 по приказу № 149сс от 28.02.1944 г., далее- на правах филиала № 1 (по приказу № 370сс от 30.05.1944 г.). Здесь же работала группа (ОКО) А.М. Исаева по ЖРД.</w:t>
      </w:r>
    </w:p>
    <w:p w14:paraId="385E75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постановлением СМ от 31.05.1946 г. и приказами № 361сс от 7.06.1946 г. и № 373с от 14.07.1946 г. в 7ГУ на базе филиала № 1 вновь образован самостоятельный завод № 293 НКАП (в связи с прекращением работ по самолетостроению в НИИ-1 и непригодности для работ по ЖРД) и передан как опытная база гл. конструктору М.Р. Бисновату. Группа А.М. Исаева переведена на основную территорию НИИ-1. Березняк в 12.1946 г. назначен зам. гл. конструктора ОКБ-2 завода № 1 МАП.</w:t>
      </w:r>
    </w:p>
    <w:p w14:paraId="1ADE1F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 филиала (01.1946 г.)- Нейман.</w:t>
      </w:r>
    </w:p>
    <w:p w14:paraId="567978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 КБ филиала (06.1946 г.)- А.Я. Березняк.</w:t>
      </w:r>
    </w:p>
    <w:p w14:paraId="0D1602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Филиал № 2 НИИ-1</w:t>
      </w:r>
    </w:p>
    <w:p w14:paraId="205C31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Москва Ново-Владыкино/</w:t>
      </w:r>
    </w:p>
    <w:p w14:paraId="0BD999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 655с от 11.11.1944 г. для развития работ по реактивному вооружению на бывшей территории завода № 482 НКАП (которая была передана полностью со всеми зданиями, оставшимся оборудованием и персоналом) во Владыкино образована база НИИ-1 по данной тематике. По приказу № 699с от 27.12.1944 г. база стала филиалом № 2 НИИ-1 по реактивному вооружению.</w:t>
      </w:r>
    </w:p>
    <w:p w14:paraId="35EA25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 НИИ-1 сюда переведены сектора № 5, № 9, лаборатория «Е» и НИХЛ (химлаборатория) со всем личным составом и оборудованием. Продолжены работы по снарядам М-13ДД, М-20.</w:t>
      </w:r>
    </w:p>
    <w:p w14:paraId="72B7C3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постановлением СМ СССР № 1017-419сс от 13.05.1946 г. и приказом МАП/ МСХМ № 318сс/126сс от 24.05.1946 г. для концентрации работ по пороховым РС из системы МАП в ведение МСХМ передан филиал № 2 НИИ-1 МАП (со всеми сооружениями и штатом сотрудников~ 350 чел.) с образованием на его базе КБ-2 МСХМ. В числе переведенных были начальник филиала Победоносцев, начальник отдела Е.А. Печерский и др.</w:t>
      </w:r>
    </w:p>
    <w:p w14:paraId="0EE00D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базе бывшего филиала и ГЦКБ-1 МСХМ образован специализированный НИИ пороховых РС (с 1.04.1947 г. получивший название НИИ-1 МСХМ).</w:t>
      </w:r>
    </w:p>
    <w:p w14:paraId="446679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 филиала (1944-46 г.)- Ю.А. Победоносцев.</w:t>
      </w:r>
    </w:p>
    <w:p w14:paraId="2A3EAB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начальника/ гл. инженер (1944 г.)- Н.В. Климовицкий.</w:t>
      </w:r>
    </w:p>
    <w:p w14:paraId="413EC9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КБ-1, ОКБ-1 при НИИ-1 МАП гл. конструктора Л.С. Душкина</w:t>
      </w:r>
    </w:p>
    <w:p w14:paraId="20C0FD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Л.С. Душкин работал в ГИРДе, с 1933 г.- в РНИИ, в моторной лаборатории. С 01.1938 г. возглавлял в НИИ-3 НКБ отдел по ЖРД. </w:t>
      </w:r>
    </w:p>
    <w:p w14:paraId="26C677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приказом НКАП № 433сс/ов от 11.06.1942 г. для ускорения работ по реактивным двигателям планировалось перевести группу Душкина (В.А. Штоколов, А.В. Палло и др.) из НИИ-3 на завод № 293. Однако, по имеющейся информации, группа Душкина не была переведена и продолжала работать в НИИ-3 и затем в НИИ-1.</w:t>
      </w:r>
    </w:p>
    <w:p w14:paraId="26D768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Проводились работы по ускорителю самолета С-155 и ускорителю для Е-50.</w:t>
      </w:r>
    </w:p>
    <w:p w14:paraId="30D748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Душкин до 04.1946 г.- начальник отдела № 13 НИИ-1. В 04.1946 г.- гл. конструктор КБ-1 при НИИ-1.</w:t>
      </w:r>
    </w:p>
    <w:p w14:paraId="4DF601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1949 г. ОКБ-1 входило в состав ЦИАМ (вместе с НИИ-1).</w:t>
      </w:r>
    </w:p>
    <w:p w14:paraId="71A1E0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постановлением СМ СССР № 2473-973 от 10.06.1950 г. ОКБ-1 гл. конструктора Л.С. Душкина было ликвидировано, личный состав перевели в ОКБ-456, другие лаборатории НИИ-1.76 В 1955 г. Л.С. Душкин возглавил ОКБ-165-1.</w:t>
      </w:r>
    </w:p>
    <w:p w14:paraId="6A1D66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Работали: (1949 г.)- Преображенский, Чурков.</w:t>
      </w:r>
    </w:p>
    <w:p w14:paraId="04E01E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Создано: ЖРД: ОР-10 («02» для «216»), РД-12К, РДА-1-150 для РП-318, РДК-150, РДА-300, КРД-604 для «604», Д-1-А-1100 для «БИ», Д-1-Т для торпеды РТ-45 (1932-42 г.); РД-КС-1 (1946), РД-КС-3, РД-2М (1945), РД-2М3В для «302», РД-2М3ВФ для самолета «5» (1946), РД-3М, РД-КС-5, УС-2500.</w:t>
      </w:r>
    </w:p>
    <w:p w14:paraId="250FDB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КБ-2 при НИИ-1 МАП гл. конструктора М.М. Бондарюка</w:t>
      </w:r>
    </w:p>
    <w:p w14:paraId="6C70B9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 149сс от 28.02.1944 г. ЭКБ-3 НИИ ГВФ М.М. Бондарюка вместе с ОКБ-293 влили в состав НИИ-1. Далее оно преобразовано в отдел прямоточных двигателей, а вскоре- и в КБ-2. Сначала Бондарюк- руководитель и конструктор КБ, а с 08.1947 г.- гл. конструктор КБ-2 (в 1949 г. по совместительству работал в отделе № 5 НИИ-88).</w:t>
      </w:r>
    </w:p>
    <w:p w14:paraId="3B9184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дальнейшего ускорения работ и из-за потребности в собственной экспериментальной базе 1.10.1950 г. КБ-2 выделилось в самостоятельную организацию и получило название ОКБ-670 МАП, гл. конструктор- М.М. Бондарюк.</w:t>
      </w:r>
    </w:p>
    <w:p w14:paraId="589C1A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конструктор (08.1947-10.1950 г.)- М.М. Бондарюк.</w:t>
      </w:r>
    </w:p>
    <w:p w14:paraId="77A99E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гл. конструктора – Г.А. Варшавский.</w:t>
      </w:r>
    </w:p>
    <w:p w14:paraId="4135DD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Работали: И.М. Вишнепольский, Ю.Н. Глазунов, Е.Я. Губер, Н.Д. Домарев, Ю.К. Ефимов, И.А. Куратов, И.Б. Леванов, А.Ф. Макеев, С.И. Платонов, С.М. Родин.</w:t>
      </w:r>
    </w:p>
    <w:p w14:paraId="4A8123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Создано: ПВРД: РД-430 для Ла-126 и Ла-138 (1948); проект РД-165 для установки на НВ вертолета И.П. Братухина; РД-350; проект РД-007 для «10Х» (1948); РД-700 (РД-1, 1948); первый двухконтурный РД-1А для РС «Шторм»(1949-50), РД-550 для мишени ЛМ-15 (1949).</w:t>
      </w:r>
    </w:p>
    <w:p w14:paraId="5748E3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КБ-3 при НИИ-1 МАП гл. конструктора Г.Я. Диллона</w:t>
      </w:r>
    </w:p>
    <w:p w14:paraId="223CF0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Также- это отдел вооружения № 52 НИИ-1.</w:t>
      </w:r>
    </w:p>
    <w:p w14:paraId="16E158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1942 г. под руководством Г.Я. Диллона и его зама В.П. Голикова начаты исследования и разработка реактивной авиационной торпеды РАТ (работали Ю.Б. Гермейер, В.А. Андреев, О.Т. Сазонова, Я.Л. Рудницкий). Закладывалась серия на заводе № 500.</w:t>
      </w:r>
    </w:p>
    <w:p w14:paraId="5E158F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1944 г. Диллон работал в филиале № 2 НИИ-1 по РС.</w:t>
      </w:r>
    </w:p>
    <w:p w14:paraId="7C1F56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1948 г. действовало КБ-3 при НИИ-1. Разработан пороховой ускоритель У-5 для самолетов (1948 г., планировался выпуск на заводе № 500).</w:t>
      </w:r>
    </w:p>
    <w:p w14:paraId="5934EB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Видимо, после передачи филиала № 2 НИИ-1 в МСХМ и образования НИИ-1 МСХМ группа Диллона действовала там (по разным сведениям, или из отдела № 52 НИИ-1 МАП, или из НИИ-1 МСХМ, группа Г.Я. Диллона из 16 чел., зам.- В.П. Голиков, к 07.1946 г. переведена с тематикой по РАТ-52 в НИИ-2 МАП).</w:t>
      </w:r>
    </w:p>
    <w:p w14:paraId="5E373D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СКБ НИИ-1 МАП гл. конструктора А.М. Люльки</w:t>
      </w:r>
    </w:p>
    <w:p w14:paraId="084CF5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Москва Лихоборы/</w:t>
      </w:r>
    </w:p>
    <w:p w14:paraId="0B6B05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Организовано при институте по приказу № 185с от 13.03.1944 г. для развития работ по ГТД. Одновременно гл. конструктором утвержден А.М. Люлька, группа которого со всем заделом и оборудованием была переведена из ЦИАМ. Работы по ТРД С-18, создан в 1945 г. Затем на его базе создан ТР-1.</w:t>
      </w:r>
    </w:p>
    <w:p w14:paraId="23D034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МАП № 182сс от 30.03.1946 г. для расширения работ СКБ переведено на самостоятельную базу- завод № 165 и получило название ОКБ-165 МАП.</w:t>
      </w:r>
    </w:p>
    <w:p w14:paraId="058C9A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конструктор (03.1944-03.1946 г.)- А.М. Люлька.</w:t>
      </w:r>
    </w:p>
    <w:p w14:paraId="7E1412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ОКО при НИИ-1 МАП </w:t>
      </w:r>
    </w:p>
    <w:p w14:paraId="63283B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Химки, г. Москва/</w:t>
      </w:r>
    </w:p>
    <w:p w14:paraId="197A2A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Опытно-конструкторский отдел сформирован в институте в 1944 г. Проводил работы по ЖРД.</w:t>
      </w:r>
    </w:p>
    <w:p w14:paraId="7EAD7C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Основу отдела составила группа двигателистов бывшего ОКБ-293, влитого в НИИ-1. Создан ЖРД РД-1 для «БИ», У-400-10 для экспериментальных летающих моделей ЛМ-6, ЛМ-9, ЛМ-12 (1946-47 г.), ЖРД-ускоритель СУ-1500; разрабатывался одноразовый РД У-12500 (1946 г.). </w:t>
      </w:r>
    </w:p>
    <w:p w14:paraId="609CE3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 отдела (-04.1946 г.)- А.М. Исаев. В 04.1946 г. Исаев возглавил ОТБ-2 в Германии (по некоторым данным, перед поездкой в Германию Исаев работал начальником цеха завода № 500).</w:t>
      </w:r>
    </w:p>
    <w:p w14:paraId="7DD88F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До 06.1946 г. ОКО располагался на территории филиала № 1 НИИ-1 в Химках. Затем по приказу № 361сс от 7.06.1946 г. ОКО переведен на основную территорию НИИ-1. </w:t>
      </w:r>
    </w:p>
    <w:p w14:paraId="780493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05.1948 г. в связи с большей перспективностью работ по ЖРД для РКТ ОКО Исаева переведен в НИИ-88 МВ, где образовал отдел № 9.</w:t>
      </w:r>
    </w:p>
    <w:p w14:paraId="629F97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Филиал НИИ-1 МАП</w:t>
      </w:r>
    </w:p>
    <w:p w14:paraId="1F7D01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Создан в составе института в 1955 г. для работ по системам управления КР. </w:t>
      </w:r>
    </w:p>
    <w:p w14:paraId="19BFB2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Создана астронавигационная система «Земля» для МКР «Буран» и аналогичная система для МКР «Буря». Гл. конструкторы систем- И.М. Лисович, Г.И. Толстоусов. В связи с прекращением работ по МКР остановлены работы и по астронавигации.</w:t>
      </w:r>
    </w:p>
    <w:p w14:paraId="6A2E89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Руководитель (1955-59 г.)- Р.Г. Чачикян (в 1942-51 г. работал на заводах № 122 НКАП, № 224 НКАП; с 1959 г.- гл. конструктор ОКБ-133 МАП).</w:t>
      </w:r>
    </w:p>
    <w:p w14:paraId="165CC5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1962 г. в 4ГУ ГКАТ действовал филиал НИИ-1 (начальник- А.В. Ежов).</w:t>
      </w:r>
    </w:p>
    <w:p w14:paraId="0017FB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Филиал № 2 НИИ-1 МАП, п/я 10, НИИ Машиностроения МОМ, ГУП «НИИ Машиностроения» </w:t>
      </w:r>
    </w:p>
    <w:p w14:paraId="33136B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/624790 г. Нижняя Салда Свердловской обл., ул. Строителей, 72 тел. (34345) 217-03/</w:t>
      </w:r>
    </w:p>
    <w:p w14:paraId="0B20BC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Создан в соответствии с постановлением правительства № 2132 от 26.12.1956 г. как предприятие п/я 10 для проведения экспериментальных исследований по ЖРД, работающих на специальных топливах. Построен ряд стендов и опытное производство (в 1962 г.- испытательный комплекс 101, в 1963 г.- гидролаборатория, в 1964 г. –механосборочный корпус). Затем, в 1970-х г. созданы испытательные комплексы № 201 и 301. В 1980 г. введен в строй испытательный комплекс для ЖРД, работающих на криогенных компонентах топлива.</w:t>
      </w:r>
    </w:p>
    <w:p w14:paraId="01F685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Постепенно, кроме сопровождения работ различных ОКБ по ЖРД, в филиале начались самостоятельные ОКР по ЖРД малой тяги, с 1981 г.- головное предприятие в этой области. Принимал участие в программе создания ОК «Буран».</w:t>
      </w:r>
    </w:p>
    <w:p w14:paraId="697A67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1981 г. филиал, п/я 10, преобразован в самостоятельный НИИ Машиностроения и передан в ведение 12ГУ МОМ. Разработка ЖРД, ракетных двигателей малой тяги. Создано более 30 ЖРДМТ.</w:t>
      </w:r>
    </w:p>
    <w:p w14:paraId="17D7AE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w:t>
      </w:r>
    </w:p>
    <w:p w14:paraId="4846F6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филиала (1957-66 г.)- М.Г. Миронов.</w:t>
      </w:r>
    </w:p>
    <w:p w14:paraId="655A13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(1981 г.)- В.И. Чепак, (-2000-02 г.-)- Б.А. Некрасов.</w:t>
      </w:r>
    </w:p>
    <w:p w14:paraId="4B9910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конструктор (2002 г.)- Е.Г. Ларин.</w:t>
      </w:r>
    </w:p>
    <w:p w14:paraId="4A1E66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Зам. директора по НИР (2002 г.)- Е.Г. Ларин.69 </w:t>
      </w:r>
    </w:p>
    <w:p w14:paraId="0B4630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Создано: ЖРД: РДМТ-0.8, РДМТ-5 для передвижения космонавтов в открытом космосе, РДМТ-100, РДМТ-12, РДМТ-50, РДМТ-135, РДМТ-200, РДМТ-400.50 </w:t>
      </w:r>
    </w:p>
    <w:p w14:paraId="1EC8D4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КБ «Пламя» при НИИТП МОМ, НПВО «Пламя» МОМ, ЗАО «ОКБ «Пламя»</w:t>
      </w:r>
    </w:p>
    <w:p w14:paraId="19890B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КБ «Пламя» образовано при НИИТП в 1978 г. из группы конструкторов ОКБ-670 во главе с И.Б. Левановым, переведенных в 1972 г. в ОКБ-4-300 для продолжения работ по ПВРД.</w:t>
      </w:r>
    </w:p>
    <w:p w14:paraId="39927F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1991 г. КБ преобразовано в самостоятельное НПВО «Пламя» МОМ. Размещалось в помещениях НИИТП. Весной 1994 г. было принято решение о преобразовании НПВО «Пламя» в ОКБ, входящее в состав НИИТП, а в 04.1994 г. НПВО ликвидировано. Коллектив перебазировался на другую территорию, где было образовано ЗАО «ОКБ «Пламя». В 02.1998 г. ОКБ ДУ «Пламя» вошло в состав ГНПЦ «Звезда-Стрела».</w:t>
      </w:r>
    </w:p>
    <w:p w14:paraId="443E01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1970-х г. велись работы по ядерному ПВРД для низколетящей КР. Работы по СПВРД для ПКР «Яхонт» (испытания- с 1987 г.). Работы по ГПВРД по программе «Орел»</w:t>
      </w:r>
    </w:p>
    <w:p w14:paraId="19C72C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Руководитель (1978-99 г.-)- И.Б. Леванов.</w:t>
      </w:r>
    </w:p>
    <w:p w14:paraId="0901CF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конструктор (1978-99 г.-)- И.Б. Леванов (10776).</w:t>
      </w:r>
    </w:p>
    <w:p w14:paraId="258A43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45E6C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C августа 1931 специальный отряд "Правда" стал доставлять матрицы в Ленинград, Харьков, Грозный, Одессу, Казань, Ростов-на-Дону, Тифлис, Свердловск (442,60).</w:t>
      </w:r>
    </w:p>
    <w:p w14:paraId="7576D6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B0099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был основан завод № 384</w:t>
      </w:r>
    </w:p>
    <w:p w14:paraId="111A59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Год ввода в эксплуатацию:</w:t>
      </w:r>
    </w:p>
    <w:p w14:paraId="3AF868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частичного – ноябрь-декабрь 1940 года</w:t>
      </w:r>
    </w:p>
    <w:p w14:paraId="66D1F3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Реконструированный с влившимися в него заводами №№ 234, 451, 338</w:t>
      </w:r>
    </w:p>
    <w:p w14:paraId="1F69E7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Характер производства –крупносерийное</w:t>
      </w:r>
    </w:p>
    <w:p w14:paraId="3CED71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производства –моторостроение</w:t>
      </w:r>
    </w:p>
    <w:p w14:paraId="7C1A66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Адрес: Баш. АССР, Уфа, ст. Черниковка, п/я 20</w:t>
      </w:r>
    </w:p>
    <w:p w14:paraId="1BDE9A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Производство: моторы М-105Р, М-105П и гр. комплекты.</w:t>
      </w:r>
    </w:p>
    <w:p w14:paraId="45C6E8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 384 – реконструированное предприятие на базе Уфимского моторного завода НКСМ. В августе 1941 года по решению Правительства в завод влились эвакуированные заводы №№ 234, 451 и передан строившийся в Уфе завод № 338. Завод № 384 размещается на двух площадках, расстояние между ними 5 км. В связи со слиянием указанных выше заводов, проект завода № 384 разрабатывается заново (9339).</w:t>
      </w:r>
    </w:p>
    <w:p w14:paraId="7AD6971D" w14:textId="2C9D1416"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B10F855" w14:textId="77777777" w:rsidR="003B2F50" w:rsidRPr="005E779E" w:rsidRDefault="003B2F50" w:rsidP="000B7A6C">
      <w:pPr>
        <w:pStyle w:val="5b"/>
        <w:spacing w:line="240" w:lineRule="auto"/>
        <w:jc w:val="both"/>
        <w:rPr>
          <w:color w:val="000000" w:themeColor="text1"/>
          <w:sz w:val="16"/>
          <w:szCs w:val="16"/>
          <w:lang w:bidi="ru-RU"/>
        </w:rPr>
      </w:pPr>
      <w:r w:rsidRPr="005E779E">
        <w:rPr>
          <w:color w:val="000000" w:themeColor="text1"/>
          <w:sz w:val="16"/>
          <w:szCs w:val="16"/>
          <w:lang w:bidi="ru-RU"/>
        </w:rPr>
        <w:t>В августе 1931 Гольцман снова отправился в Берлин, где к переговорам подключился советский торгпред в Германии Исидор Любимов.</w:t>
      </w:r>
    </w:p>
    <w:p w14:paraId="4EC1BC66" w14:textId="77777777" w:rsidR="003B2F50" w:rsidRPr="005E779E" w:rsidRDefault="003B2F50" w:rsidP="000B7A6C">
      <w:pPr>
        <w:pStyle w:val="5b"/>
        <w:spacing w:line="240" w:lineRule="auto"/>
        <w:jc w:val="both"/>
        <w:rPr>
          <w:color w:val="000000" w:themeColor="text1"/>
          <w:sz w:val="16"/>
          <w:szCs w:val="16"/>
        </w:rPr>
      </w:pPr>
      <w:r w:rsidRPr="005E779E">
        <w:rPr>
          <w:color w:val="000000" w:themeColor="text1"/>
          <w:sz w:val="16"/>
          <w:szCs w:val="16"/>
          <w:lang w:bidi="ru-RU"/>
        </w:rPr>
        <w:t>Наркомфин считал каждый цент, каждую марку. Любая трата от нескольких сотен долларов и выше требовала специального постановления Политбюро. На дирижаблях можно было сэкономить: задача не первоочередная. Политбюро решило поторговаться с немцами:</w:t>
      </w:r>
    </w:p>
    <w:p w14:paraId="7965703D" w14:textId="76A1913C" w:rsidR="003B2F50" w:rsidRPr="005E779E" w:rsidRDefault="00665549" w:rsidP="000B7A6C">
      <w:pPr>
        <w:pStyle w:val="5b"/>
        <w:tabs>
          <w:tab w:val="left" w:pos="250"/>
        </w:tabs>
        <w:spacing w:line="240" w:lineRule="auto"/>
        <w:jc w:val="both"/>
        <w:rPr>
          <w:color w:val="000000" w:themeColor="text1"/>
          <w:sz w:val="16"/>
          <w:szCs w:val="16"/>
        </w:rPr>
      </w:pPr>
      <w:r w:rsidRPr="005E779E">
        <w:rPr>
          <w:color w:val="000000" w:themeColor="text1"/>
          <w:sz w:val="16"/>
          <w:szCs w:val="16"/>
          <w:lang w:bidi="ru-RU"/>
        </w:rPr>
        <w:t xml:space="preserve">1. </w:t>
      </w:r>
      <w:r w:rsidR="003B2F50" w:rsidRPr="005E779E">
        <w:rPr>
          <w:color w:val="000000" w:themeColor="text1"/>
          <w:sz w:val="16"/>
          <w:szCs w:val="16"/>
          <w:lang w:bidi="ru-RU"/>
        </w:rPr>
        <w:t>Согласиться на дальнейшее ведение переговоров с фирмой «Цеппелин» на базе предварительного договора, подписанного тов. Гольцманом и г. Экенером. Предложить тов. Гольцману выехать для продолжения переговоров в Германию.</w:t>
      </w:r>
    </w:p>
    <w:p w14:paraId="438FD689" w14:textId="48CFA425" w:rsidR="003B2F50" w:rsidRPr="005E779E" w:rsidRDefault="00665549" w:rsidP="000B7A6C">
      <w:pPr>
        <w:pStyle w:val="5b"/>
        <w:tabs>
          <w:tab w:val="left" w:pos="255"/>
        </w:tabs>
        <w:spacing w:line="240" w:lineRule="auto"/>
        <w:jc w:val="both"/>
        <w:rPr>
          <w:color w:val="000000" w:themeColor="text1"/>
          <w:sz w:val="16"/>
          <w:szCs w:val="16"/>
        </w:rPr>
      </w:pPr>
      <w:r w:rsidRPr="005E779E">
        <w:rPr>
          <w:color w:val="000000" w:themeColor="text1"/>
          <w:sz w:val="16"/>
          <w:szCs w:val="16"/>
          <w:lang w:bidi="ru-RU"/>
        </w:rPr>
        <w:t xml:space="preserve">2. </w:t>
      </w:r>
      <w:r w:rsidR="003B2F50" w:rsidRPr="005E779E">
        <w:rPr>
          <w:color w:val="000000" w:themeColor="text1"/>
          <w:sz w:val="16"/>
          <w:szCs w:val="16"/>
          <w:lang w:bidi="ru-RU"/>
        </w:rPr>
        <w:t>Дать т. Гольцману следующие директивы:</w:t>
      </w:r>
    </w:p>
    <w:p w14:paraId="002621B6" w14:textId="1C329455" w:rsidR="003B2F50" w:rsidRPr="005E779E" w:rsidRDefault="00665549" w:rsidP="000B7A6C">
      <w:pPr>
        <w:pStyle w:val="5b"/>
        <w:tabs>
          <w:tab w:val="left" w:pos="260"/>
        </w:tabs>
        <w:spacing w:line="240" w:lineRule="auto"/>
        <w:jc w:val="both"/>
        <w:rPr>
          <w:color w:val="000000" w:themeColor="text1"/>
          <w:sz w:val="16"/>
          <w:szCs w:val="16"/>
        </w:rPr>
      </w:pPr>
      <w:r w:rsidRPr="005E779E">
        <w:rPr>
          <w:color w:val="000000" w:themeColor="text1"/>
          <w:sz w:val="16"/>
          <w:szCs w:val="16"/>
          <w:lang w:bidi="ru-RU"/>
        </w:rPr>
        <w:t xml:space="preserve">а) </w:t>
      </w:r>
      <w:r w:rsidR="003B2F50" w:rsidRPr="005E779E">
        <w:rPr>
          <w:color w:val="000000" w:themeColor="text1"/>
          <w:sz w:val="16"/>
          <w:szCs w:val="16"/>
          <w:lang w:bidi="ru-RU"/>
        </w:rPr>
        <w:t>Общую сумму наших платежей фирме «Цеппелин» снизить с 5.000.000 марок до 4.000.000 марок.</w:t>
      </w:r>
    </w:p>
    <w:p w14:paraId="51E7F1B9" w14:textId="14709888" w:rsidR="003B2F50" w:rsidRPr="005E779E" w:rsidRDefault="00632CC3" w:rsidP="000B7A6C">
      <w:pPr>
        <w:pStyle w:val="5b"/>
        <w:tabs>
          <w:tab w:val="left" w:pos="260"/>
        </w:tabs>
        <w:spacing w:line="240" w:lineRule="auto"/>
        <w:jc w:val="both"/>
        <w:rPr>
          <w:color w:val="000000" w:themeColor="text1"/>
          <w:sz w:val="16"/>
          <w:szCs w:val="16"/>
        </w:rPr>
      </w:pPr>
      <w:r w:rsidRPr="005E779E">
        <w:rPr>
          <w:color w:val="000000" w:themeColor="text1"/>
          <w:sz w:val="16"/>
          <w:szCs w:val="16"/>
          <w:lang w:bidi="ru-RU"/>
        </w:rPr>
        <w:t xml:space="preserve">б) </w:t>
      </w:r>
      <w:r w:rsidR="003B2F50" w:rsidRPr="005E779E">
        <w:rPr>
          <w:color w:val="000000" w:themeColor="text1"/>
          <w:sz w:val="16"/>
          <w:szCs w:val="16"/>
          <w:lang w:bidi="ru-RU"/>
        </w:rPr>
        <w:t>Валютные платежи текущего года ограничить 150.000 марок.</w:t>
      </w:r>
    </w:p>
    <w:p w14:paraId="4A311F4C" w14:textId="73191BEA" w:rsidR="003B2F50" w:rsidRPr="005E779E" w:rsidRDefault="00632CC3" w:rsidP="000B7A6C">
      <w:pPr>
        <w:pStyle w:val="5b"/>
        <w:tabs>
          <w:tab w:val="left" w:pos="255"/>
        </w:tabs>
        <w:spacing w:line="240" w:lineRule="auto"/>
        <w:jc w:val="both"/>
        <w:rPr>
          <w:color w:val="000000" w:themeColor="text1"/>
          <w:sz w:val="16"/>
          <w:szCs w:val="16"/>
        </w:rPr>
      </w:pPr>
      <w:r w:rsidRPr="005E779E">
        <w:rPr>
          <w:color w:val="000000" w:themeColor="text1"/>
          <w:sz w:val="16"/>
          <w:szCs w:val="16"/>
          <w:lang w:bidi="ru-RU"/>
        </w:rPr>
        <w:t xml:space="preserve">в) </w:t>
      </w:r>
      <w:r w:rsidR="003B2F50" w:rsidRPr="005E779E">
        <w:rPr>
          <w:color w:val="000000" w:themeColor="text1"/>
          <w:sz w:val="16"/>
          <w:szCs w:val="16"/>
          <w:lang w:bidi="ru-RU"/>
        </w:rPr>
        <w:t>Срок остальных платежей построить по согласованию с т. Розенгольцем таким образом, чтобы большая часть (не менее 50 %) была нами выплачена после выполнения фирмой основных своих обязательств и, в частности, после постройки в СССР первого большого дирижабля.</w:t>
      </w:r>
    </w:p>
    <w:p w14:paraId="71F8A1D7" w14:textId="30222181" w:rsidR="003B2F50" w:rsidRPr="005E779E" w:rsidRDefault="003B2F50" w:rsidP="000B7A6C">
      <w:pPr>
        <w:pStyle w:val="5b"/>
        <w:spacing w:line="240" w:lineRule="auto"/>
        <w:jc w:val="both"/>
        <w:rPr>
          <w:color w:val="000000" w:themeColor="text1"/>
          <w:sz w:val="16"/>
          <w:szCs w:val="16"/>
        </w:rPr>
      </w:pPr>
      <w:r w:rsidRPr="005E779E">
        <w:rPr>
          <w:color w:val="000000" w:themeColor="text1"/>
          <w:sz w:val="16"/>
          <w:szCs w:val="16"/>
          <w:lang w:bidi="ru-RU"/>
        </w:rPr>
        <w:t>Немцы соглашались уменьшить общую сумму договора до 4,5 млн марок, но уступить ещё больше отказались. Выполнить указание Политбюро Гольцману так и не удалось, и переговоры постепенно заглохли (23192).</w:t>
      </w:r>
    </w:p>
    <w:p w14:paraId="1C66F666" w14:textId="77777777" w:rsidR="003B2F50" w:rsidRPr="005E779E" w:rsidRDefault="003B2F50" w:rsidP="000B7A6C">
      <w:pPr>
        <w:autoSpaceDE w:val="0"/>
        <w:autoSpaceDN w:val="0"/>
        <w:adjustRightInd w:val="0"/>
        <w:spacing w:after="0" w:line="240" w:lineRule="auto"/>
        <w:jc w:val="both"/>
        <w:rPr>
          <w:rFonts w:ascii="Times New Roman" w:hAnsi="Times New Roman"/>
          <w:color w:val="000000" w:themeColor="text1"/>
          <w:sz w:val="16"/>
          <w:szCs w:val="16"/>
        </w:rPr>
      </w:pPr>
    </w:p>
    <w:p w14:paraId="644528F5" w14:textId="77777777" w:rsidR="002C4AC9" w:rsidRPr="00142305" w:rsidRDefault="002C4AC9" w:rsidP="002C4AC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августе 1931 г. в Ленинградском филиале ОСКОНБЮРО предстояло провести очередной эк</w:t>
      </w:r>
      <w:r w:rsidRPr="00142305">
        <w:rPr>
          <w:rFonts w:ascii="Times New Roman" w:hAnsi="Times New Roman"/>
          <w:color w:val="0070C0"/>
          <w:sz w:val="16"/>
          <w:szCs w:val="16"/>
        </w:rPr>
        <w:softHyphen/>
        <w:t>сперимент по десантированию тяжелой техники - сбросить с ТБ-1 легковую автомашину. По мнению конструкторов, все заранее просчитали и предусмот</w:t>
      </w:r>
      <w:r w:rsidRPr="00142305">
        <w:rPr>
          <w:rFonts w:ascii="Times New Roman" w:hAnsi="Times New Roman"/>
          <w:color w:val="0070C0"/>
          <w:sz w:val="16"/>
          <w:szCs w:val="16"/>
        </w:rPr>
        <w:softHyphen/>
        <w:t>рели, но, к сожалению, повторилась обычная карти</w:t>
      </w:r>
      <w:r w:rsidRPr="00142305">
        <w:rPr>
          <w:rFonts w:ascii="Times New Roman" w:hAnsi="Times New Roman"/>
          <w:color w:val="0070C0"/>
          <w:sz w:val="16"/>
          <w:szCs w:val="16"/>
        </w:rPr>
        <w:softHyphen/>
        <w:t>на: купол парашюта разорвался, и на земле валялась груда металлолома...</w:t>
      </w:r>
    </w:p>
    <w:p w14:paraId="4C4118B1" w14:textId="77777777" w:rsidR="002C4AC9" w:rsidRPr="00142305" w:rsidRDefault="002C4AC9" w:rsidP="002C4AC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Наутро Гроховский рассказал сотрудникам, что причина неудач ему ясна: тяжелый груз в свободном падении набирает в своем падении колоссальную ки</w:t>
      </w:r>
      <w:r w:rsidRPr="00142305">
        <w:rPr>
          <w:rFonts w:ascii="Times New Roman" w:hAnsi="Times New Roman"/>
          <w:color w:val="0070C0"/>
          <w:sz w:val="16"/>
          <w:szCs w:val="16"/>
        </w:rPr>
        <w:softHyphen/>
        <w:t>нетическую энергию, пока не будет выбрана длина парашютных строп. Как только стропы натягивают</w:t>
      </w:r>
      <w:r w:rsidRPr="00142305">
        <w:rPr>
          <w:rFonts w:ascii="Times New Roman" w:hAnsi="Times New Roman"/>
          <w:color w:val="0070C0"/>
          <w:sz w:val="16"/>
          <w:szCs w:val="16"/>
        </w:rPr>
        <w:softHyphen/>
        <w:t>ся, вся энергия передается на купол парашюта. Такой удар ни один парашют выдержать не может. Решение задачи возможно при следующем подходе к ней:</w:t>
      </w:r>
    </w:p>
    <w:p w14:paraId="785D2865" w14:textId="77777777" w:rsidR="002C4AC9" w:rsidRPr="00142305" w:rsidRDefault="002C4AC9" w:rsidP="002C4AC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Сначала вытяжной парашют вытягивает из сумки грузовой парашют, купол которого наполняется пото</w:t>
      </w:r>
      <w:r w:rsidRPr="00142305">
        <w:rPr>
          <w:rFonts w:ascii="Times New Roman" w:hAnsi="Times New Roman"/>
          <w:color w:val="0070C0"/>
          <w:sz w:val="16"/>
          <w:szCs w:val="16"/>
        </w:rPr>
        <w:softHyphen/>
        <w:t>ком воздуха. В полете грузовой парашют отстает от са</w:t>
      </w:r>
      <w:r w:rsidRPr="00142305">
        <w:rPr>
          <w:rFonts w:ascii="Times New Roman" w:hAnsi="Times New Roman"/>
          <w:color w:val="0070C0"/>
          <w:sz w:val="16"/>
          <w:szCs w:val="16"/>
        </w:rPr>
        <w:softHyphen/>
        <w:t>молета и происходит вытягивание строп, соединяющих купол парашюта с грузом, находящимся закрепленным на самолете. Когда все стропы грузового парашюта вы</w:t>
      </w:r>
      <w:r w:rsidRPr="00142305">
        <w:rPr>
          <w:rFonts w:ascii="Times New Roman" w:hAnsi="Times New Roman"/>
          <w:color w:val="0070C0"/>
          <w:sz w:val="16"/>
          <w:szCs w:val="16"/>
        </w:rPr>
        <w:softHyphen/>
        <w:t>браны и натянуты, усилие от них передается на замок, крепящий груз к самолету. В момент достижения рас</w:t>
      </w:r>
      <w:r w:rsidRPr="00142305">
        <w:rPr>
          <w:rFonts w:ascii="Times New Roman" w:hAnsi="Times New Roman"/>
          <w:color w:val="0070C0"/>
          <w:sz w:val="16"/>
          <w:szCs w:val="16"/>
        </w:rPr>
        <w:softHyphen/>
        <w:t>четного усилия замок открывается, и груз вытягивается из самолета и повисает под куполом парашюта. Проис</w:t>
      </w:r>
      <w:r w:rsidRPr="00142305">
        <w:rPr>
          <w:rFonts w:ascii="Times New Roman" w:hAnsi="Times New Roman"/>
          <w:color w:val="0070C0"/>
          <w:sz w:val="16"/>
          <w:szCs w:val="16"/>
        </w:rPr>
        <w:softHyphen/>
        <w:t>ходит плавное опускание груза на землю. Необходимо сделать такой расчет, который позволил бы получить автоматическое раскрытие замка.</w:t>
      </w:r>
    </w:p>
    <w:p w14:paraId="28E3B2B0" w14:textId="77777777" w:rsidR="002C4AC9" w:rsidRPr="00142305" w:rsidRDefault="002C4AC9" w:rsidP="002C4AC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Вскоре такую систему разработали, и Гроховский доложил об этом Я.И. Алкснису. Тот сообщил, что пе</w:t>
      </w:r>
      <w:r w:rsidRPr="00142305">
        <w:rPr>
          <w:rFonts w:ascii="Times New Roman" w:hAnsi="Times New Roman"/>
          <w:color w:val="0070C0"/>
          <w:sz w:val="16"/>
          <w:szCs w:val="16"/>
        </w:rPr>
        <w:softHyphen/>
        <w:t>редает заявку в ЦАГИ, от которого должен получить официальное разрешение на проведение эксперимента или его отказ. Потянулись дни ожидания.</w:t>
      </w:r>
    </w:p>
    <w:p w14:paraId="424AD77D" w14:textId="77777777" w:rsidR="002C4AC9" w:rsidRPr="00142305" w:rsidRDefault="002C4AC9" w:rsidP="002C4AC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Неожиданно друзья Гроховского сообщили ему, что на следующий день ЦАГИ даст отрицательное заклю</w:t>
      </w:r>
      <w:r w:rsidRPr="00142305">
        <w:rPr>
          <w:rFonts w:ascii="Times New Roman" w:hAnsi="Times New Roman"/>
          <w:color w:val="0070C0"/>
          <w:sz w:val="16"/>
          <w:szCs w:val="16"/>
        </w:rPr>
        <w:softHyphen/>
        <w:t>чение по сбросу тяжелых грузов методом Гроховского.</w:t>
      </w:r>
    </w:p>
    <w:p w14:paraId="4C39B02D" w14:textId="77777777" w:rsidR="002C4AC9" w:rsidRPr="00142305" w:rsidRDefault="002C4AC9" w:rsidP="002C4AC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Узнав об этом, Гроховский собрал участников разра</w:t>
      </w:r>
      <w:r w:rsidRPr="00142305">
        <w:rPr>
          <w:rFonts w:ascii="Times New Roman" w:hAnsi="Times New Roman"/>
          <w:color w:val="0070C0"/>
          <w:sz w:val="16"/>
          <w:szCs w:val="16"/>
        </w:rPr>
        <w:softHyphen/>
        <w:t>ботки и сообщил им, что он решил произвести сброс под свою ответственность до получения Алкснисом заключе</w:t>
      </w:r>
      <w:r w:rsidRPr="00142305">
        <w:rPr>
          <w:rFonts w:ascii="Times New Roman" w:hAnsi="Times New Roman"/>
          <w:color w:val="0070C0"/>
          <w:sz w:val="16"/>
          <w:szCs w:val="16"/>
        </w:rPr>
        <w:softHyphen/>
        <w:t>ния ЦАГИ и попросил, чтобы на следующий день рано ут</w:t>
      </w:r>
      <w:r w:rsidRPr="00142305">
        <w:rPr>
          <w:rFonts w:ascii="Times New Roman" w:hAnsi="Times New Roman"/>
          <w:color w:val="0070C0"/>
          <w:sz w:val="16"/>
          <w:szCs w:val="16"/>
        </w:rPr>
        <w:softHyphen/>
        <w:t>ром самолет был бы полностью готов к выполнению экспе</w:t>
      </w:r>
      <w:r w:rsidRPr="00142305">
        <w:rPr>
          <w:rFonts w:ascii="Times New Roman" w:hAnsi="Times New Roman"/>
          <w:color w:val="0070C0"/>
          <w:sz w:val="16"/>
          <w:szCs w:val="16"/>
        </w:rPr>
        <w:softHyphen/>
        <w:t>римента.</w:t>
      </w:r>
    </w:p>
    <w:p w14:paraId="5C28790D" w14:textId="77777777" w:rsidR="002C4AC9" w:rsidRPr="00142305" w:rsidRDefault="002C4AC9" w:rsidP="002C4AC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Назавтра в назначенное время А.Ф. Анисимов ко</w:t>
      </w:r>
      <w:r w:rsidRPr="00142305">
        <w:rPr>
          <w:rFonts w:ascii="Times New Roman" w:hAnsi="Times New Roman"/>
          <w:color w:val="0070C0"/>
          <w:sz w:val="16"/>
          <w:szCs w:val="16"/>
        </w:rPr>
        <w:softHyphen/>
        <w:t>зырнул Гроховскому и направился к самолету с уже прогретыми двигателями и установленным для сброса «объектом Х-43» весом в тонну (бочка с песком). ...Все окончилось благополучно: «объект Х-43» плавно опус</w:t>
      </w:r>
      <w:r w:rsidRPr="00142305">
        <w:rPr>
          <w:rFonts w:ascii="Times New Roman" w:hAnsi="Times New Roman"/>
          <w:color w:val="0070C0"/>
          <w:sz w:val="16"/>
          <w:szCs w:val="16"/>
        </w:rPr>
        <w:softHyphen/>
        <w:t>тился на поле аэродрома.</w:t>
      </w:r>
    </w:p>
    <w:p w14:paraId="17B8C53C" w14:textId="77777777" w:rsidR="002C4AC9" w:rsidRPr="00142305" w:rsidRDefault="002C4AC9" w:rsidP="002C4AC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После приземления ТБ-1 у Гроховского состоялся тя</w:t>
      </w:r>
      <w:r w:rsidRPr="00142305">
        <w:rPr>
          <w:rFonts w:ascii="Times New Roman" w:hAnsi="Times New Roman"/>
          <w:color w:val="0070C0"/>
          <w:sz w:val="16"/>
          <w:szCs w:val="16"/>
        </w:rPr>
        <w:softHyphen/>
        <w:t>желый телефонный разговор с Алкснисом, закончившийся словами конструктора: «.. .Во всем виноват я один. На</w:t>
      </w:r>
      <w:r w:rsidRPr="00142305">
        <w:rPr>
          <w:rFonts w:ascii="Times New Roman" w:hAnsi="Times New Roman"/>
          <w:color w:val="0070C0"/>
          <w:sz w:val="16"/>
          <w:szCs w:val="16"/>
        </w:rPr>
        <w:softHyphen/>
        <w:t>казывать надо только меня (25004).</w:t>
      </w:r>
    </w:p>
    <w:p w14:paraId="26735CA6" w14:textId="77777777" w:rsidR="002C4AC9" w:rsidRPr="00142305" w:rsidRDefault="002C4AC9" w:rsidP="002C4AC9">
      <w:pPr>
        <w:spacing w:after="0" w:line="240" w:lineRule="auto"/>
        <w:jc w:val="both"/>
        <w:rPr>
          <w:rFonts w:ascii="Times New Roman" w:hAnsi="Times New Roman"/>
          <w:color w:val="0070C0"/>
          <w:sz w:val="16"/>
          <w:szCs w:val="16"/>
        </w:rPr>
      </w:pPr>
    </w:p>
    <w:p w14:paraId="3E2F71EC" w14:textId="77777777" w:rsidR="002C4AC9" w:rsidRPr="00142305" w:rsidRDefault="002C4AC9" w:rsidP="002C4AC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августе 1931 года Михаил Тухачевский, став заместителем председателя Реввоенсовета и начальником вооружений РККА, подчинил ГДЛ непосредственно себе. В письме начальнику Военно-технической академии РККА Тухачевский сообщал:</w:t>
      </w:r>
    </w:p>
    <w:p w14:paraId="3D3237B0" w14:textId="77777777" w:rsidR="002C4AC9" w:rsidRPr="00142305" w:rsidRDefault="002C4AC9" w:rsidP="002C4AC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«Ленинградская Газодинамическая лаборатория Техштаба, работающая над вопросами реактивного двигателя и его применения в различных областях военной техники, достигла в настоящее время существенных и ценных результатов. Эти результаты имеются в области научно-исследовательской и теоретической работы ГДЛ, и в деле проведения практических испытаний и опытов с различного рода реактивными снарядами и приборами, и в деле подбора ценных кадров работников-реактивистов» (25404).</w:t>
      </w:r>
    </w:p>
    <w:p w14:paraId="4A8F2351" w14:textId="77777777" w:rsidR="002C4AC9" w:rsidRPr="00142305" w:rsidRDefault="002C4AC9" w:rsidP="002C4AC9">
      <w:pPr>
        <w:spacing w:after="0" w:line="240" w:lineRule="auto"/>
        <w:jc w:val="both"/>
        <w:rPr>
          <w:rFonts w:ascii="Times New Roman" w:hAnsi="Times New Roman"/>
          <w:color w:val="0070C0"/>
          <w:sz w:val="16"/>
          <w:szCs w:val="16"/>
        </w:rPr>
      </w:pPr>
    </w:p>
    <w:p w14:paraId="34ADB92D" w14:textId="77777777" w:rsidR="007A00EA" w:rsidRPr="005E779E" w:rsidRDefault="007A00E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г. на ст. Долгопрудная, в 18 км от Москвы начато строительство дирижаблестроительной базы - двух эллингов, причальной мачт, мастерских и школы для подготовки пилотов-дирижаблистов. Начальником базы был назначен инженер Ф.Ф.Ассберг.</w:t>
      </w:r>
    </w:p>
    <w:p w14:paraId="07A5B19E" w14:textId="77777777" w:rsidR="007A00EA" w:rsidRPr="005E779E" w:rsidRDefault="007A00E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/«Вечерняя Москва» за 28 августа 1931 г./ (23370).</w:t>
      </w:r>
    </w:p>
    <w:p w14:paraId="7A9BB733" w14:textId="77777777" w:rsidR="007A00EA" w:rsidRPr="005E779E" w:rsidRDefault="007A00EA" w:rsidP="000B7A6C">
      <w:pPr>
        <w:spacing w:after="0" w:line="240" w:lineRule="auto"/>
        <w:jc w:val="both"/>
        <w:rPr>
          <w:rFonts w:ascii="Times New Roman" w:hAnsi="Times New Roman"/>
          <w:color w:val="000000" w:themeColor="text1"/>
          <w:sz w:val="16"/>
          <w:szCs w:val="16"/>
        </w:rPr>
      </w:pPr>
    </w:p>
    <w:p w14:paraId="157029B3"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0AFC7CBD"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34A27CB" w14:textId="77777777" w:rsidR="003E28CB" w:rsidRPr="005E779E" w:rsidRDefault="003E28C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августа 1931 г. ВОООП было преобразовано в ВОАО – Всесоюзное орудийно-арсенальное объединение (начальник-Д.Ф. Будняк), в составе которого в октябре 1932 г. был создан Всесоюзный трест специального машиностроения – Спецмаштрест (начальник – К.А. Нейман), функционировавший до января 1937 г. В состав этого первого всесоюзного органа управления танковым производством вошли следующие заводы: Машиностроительный им. Ворошилова (№174) и «Красный Октябрь» (№234) – в Ленинграде; завод №2 ВАТО (впоследствии – завод N937) – в Москве; Харьковский паровозостроительный завод им. Коминтерна (№183), а также Танковое бюро №3 – в Москве и Государственный проектный институт – Спецмашпроект. С 1935 г. большинство танковых заводов стали номерными.</w:t>
      </w:r>
    </w:p>
    <w:p w14:paraId="1EE55504" w14:textId="77777777" w:rsidR="003E28CB" w:rsidRPr="005E779E" w:rsidRDefault="003E28CB" w:rsidP="000B7A6C">
      <w:pPr>
        <w:spacing w:after="0" w:line="240" w:lineRule="auto"/>
        <w:jc w:val="both"/>
        <w:rPr>
          <w:rFonts w:ascii="Times New Roman" w:hAnsi="Times New Roman"/>
          <w:color w:val="000000" w:themeColor="text1"/>
          <w:sz w:val="16"/>
          <w:szCs w:val="16"/>
        </w:rPr>
      </w:pPr>
    </w:p>
    <w:p w14:paraId="5EFB2BC1" w14:textId="77777777" w:rsidR="003E28CB" w:rsidRPr="005E779E" w:rsidRDefault="003E28C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г. ХПЗ сдал заказчику всего три танка Т-24, окончательную сборку еще трех машин завод не смог завершить из-за отсутствия башен, которые к этому времени не поставил Ижорский завод. Недостающие башни на завод поступили только в сентябре. Всего до 15 октября 1931 г. Ижорский завод отправил на ХПЗ 25 больших и 25 малых башен (12303).</w:t>
      </w:r>
    </w:p>
    <w:p w14:paraId="64CA78E2" w14:textId="77777777" w:rsidR="003E28CB" w:rsidRPr="005E779E" w:rsidRDefault="003E28CB" w:rsidP="000B7A6C">
      <w:pPr>
        <w:spacing w:after="0" w:line="240" w:lineRule="auto"/>
        <w:jc w:val="both"/>
        <w:rPr>
          <w:rFonts w:ascii="Times New Roman" w:hAnsi="Times New Roman"/>
          <w:color w:val="000000" w:themeColor="text1"/>
          <w:sz w:val="16"/>
          <w:szCs w:val="16"/>
        </w:rPr>
      </w:pPr>
    </w:p>
    <w:p w14:paraId="7FEAF955" w14:textId="77777777" w:rsidR="00EB262B" w:rsidRPr="00142305" w:rsidRDefault="00EB262B" w:rsidP="00EB262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августе 1931 г. ХПЗ сдал заказчику всего три танка Т-24, окончательную сборку еще трех машин завод не смог завершить из-за отсутствия башен, которые к этому времени не поставил Ижорский завод. Недостающие башни на завод поступили только в сентябре. Всего до 15 октября 1931 г. Ижорский завод отправил на ХПЗ 25 больших и 25 малых башен (25479).</w:t>
      </w:r>
    </w:p>
    <w:p w14:paraId="746C2B43" w14:textId="77777777" w:rsidR="00EB262B" w:rsidRPr="00142305" w:rsidRDefault="00EB262B" w:rsidP="00EB262B">
      <w:pPr>
        <w:spacing w:after="0" w:line="240" w:lineRule="auto"/>
        <w:jc w:val="both"/>
        <w:rPr>
          <w:rFonts w:ascii="Times New Roman" w:hAnsi="Times New Roman"/>
          <w:color w:val="0070C0"/>
          <w:sz w:val="16"/>
          <w:szCs w:val="16"/>
        </w:rPr>
      </w:pPr>
    </w:p>
    <w:p w14:paraId="468C53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опытный цех завода Большевик совместно с военным складом 60 в Брянске (основная база по постройке и модернизации бронепоездов РККА) спроектировал и изготовил установку 76-мм полевой пушки обр. 1902 на шасси трактора Коммунар 9ГУ, получившего обозначение СУ-2 (4306).</w:t>
      </w:r>
    </w:p>
    <w:p w14:paraId="107BFB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F672A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совместными усилиями завода Большевик и военного склада № 60 (Брянск) была разработана САУ СУ-2 на основе трактора Коммунар 9ГУ. Изготовили и опытный образец (9527,270).</w:t>
      </w:r>
    </w:p>
    <w:p w14:paraId="33CEAE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AF820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по указанию М.Н.Тухачевского КБ ВОАО была поручена окончательная доработка проекта танка прототип 2, впоследствии ставшего Т-28 (9527,119).</w:t>
      </w:r>
    </w:p>
    <w:p w14:paraId="3BF3AD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44B47A0" w14:textId="77777777" w:rsidR="0001378D" w:rsidRPr="005E779E" w:rsidRDefault="0001378D" w:rsidP="000B7A6C">
      <w:pPr>
        <w:shd w:val="clear" w:color="auto" w:fill="FFFFFF"/>
        <w:spacing w:after="0" w:line="240" w:lineRule="auto"/>
        <w:jc w:val="both"/>
        <w:rPr>
          <w:rFonts w:ascii="Times New Roman" w:hAnsi="Times New Roman"/>
          <w:color w:val="000000" w:themeColor="text1"/>
          <w:sz w:val="16"/>
          <w:szCs w:val="16"/>
          <w:shd w:val="clear" w:color="auto" w:fill="FFFFFF"/>
        </w:rPr>
      </w:pPr>
      <w:r w:rsidRPr="005E779E">
        <w:rPr>
          <w:rFonts w:ascii="Times New Roman" w:hAnsi="Times New Roman"/>
          <w:color w:val="000000" w:themeColor="text1"/>
          <w:sz w:val="16"/>
          <w:szCs w:val="16"/>
          <w:shd w:val="clear" w:color="auto" w:fill="FFFFFF"/>
        </w:rPr>
        <w:t>В августе 1931 года Халепский впервые доложил о Т-28, а год спустя построили опытный образец.</w:t>
      </w:r>
    </w:p>
    <w:p w14:paraId="27078929" w14:textId="77777777" w:rsidR="0001378D" w:rsidRPr="005E779E" w:rsidRDefault="0001378D"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shd w:val="clear" w:color="auto" w:fill="FFFFFF"/>
        </w:rPr>
        <w:t>Постановка в серию Б-Т (позже БТ-2) не означала, что от средних танков отказались. Дело в том, что от Vickers просочилась кое-какая информация по среднему танку A6. Так сложилось, что данная машина имела ту же самую массу, как и советские маневренные танки - 16 тонн. Также заинтересовало 3-башенное расположение вооружения. В результате, по указанию Халепского, была начата работа по похожему танку, получившему обозначение Т-28. В этой истории есть некоторые заблуждения. Во-первых, ни на каком "Виккерсе" Гинзбург не был. Во-вторых, от A6 была взята только общая концепция. А вот немецких наработок в танке имелось гораздо больше. Это ходовая часть Großtraktor Krupp, спаренная установка вооружения, да и мотор М-17 также был немецким (BMW VI). Ведущим инженером проекта являлся О.И. Иванов, главным конструктором Гинзбург, имел к данной конструкции отношение и Заславский. Также на КБ-3 ВОАО свалилось задание на разработку разведывательного танка-амфибии по аналогии с английским танком A4E1. Так появился проект Т-33 (ведущий инженер М.П. Зигель). Машину сделали, что называется, по фотографиям, поскольку документации не имелось, зато имелся похожий по конструкции тягач Vickers (20375).</w:t>
      </w:r>
    </w:p>
    <w:p w14:paraId="6725C109" w14:textId="77777777" w:rsidR="0001378D" w:rsidRPr="005E779E" w:rsidRDefault="0001378D" w:rsidP="000B7A6C">
      <w:pPr>
        <w:shd w:val="clear" w:color="auto" w:fill="FFFFFF"/>
        <w:spacing w:after="0" w:line="240" w:lineRule="auto"/>
        <w:jc w:val="both"/>
        <w:rPr>
          <w:rFonts w:ascii="Times New Roman" w:hAnsi="Times New Roman"/>
          <w:color w:val="000000" w:themeColor="text1"/>
          <w:sz w:val="16"/>
          <w:szCs w:val="16"/>
        </w:rPr>
      </w:pPr>
    </w:p>
    <w:p w14:paraId="0E41D8DC" w14:textId="77777777" w:rsidR="00A522A1" w:rsidRPr="005E779E" w:rsidRDefault="00A522A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г. началось серийное производство Т-26. Танки, в отличие от предсерийных машин, получили новые башни увеличенной высоты со смотровыми окнами. Серийное производство сразу выявило много различных проблем. Броневые листы, поставляемые Ижорским заводом, имели большое количество дефектов, двигатели более сложной конструкции, чем у танка Т-19, постоянно выходили из строя, были и другие проблемы. Тем не менее, до конца года завод изготовил 120 Т-26, из которых военная приемка приняла 100 машин. Несмотря на невыполнение программы 1931 г., заводу задали в план 1932 г. выпуск 3000(!) Т 26. Выпуск такого количества танков на площадях завода, расположенных вдоль Невы, был невозможен, поэтому было принято решение о выделении машиностроительного отдела завода в самостоятельное производство с размещением его на «новых местах» (15132).</w:t>
      </w:r>
    </w:p>
    <w:p w14:paraId="0F29384E" w14:textId="77777777" w:rsidR="00A522A1" w:rsidRPr="005E779E" w:rsidRDefault="00A522A1" w:rsidP="000B7A6C">
      <w:pPr>
        <w:spacing w:after="0" w:line="240" w:lineRule="auto"/>
        <w:jc w:val="both"/>
        <w:rPr>
          <w:rFonts w:ascii="Times New Roman" w:hAnsi="Times New Roman"/>
          <w:color w:val="000000" w:themeColor="text1"/>
          <w:sz w:val="16"/>
          <w:szCs w:val="16"/>
        </w:rPr>
      </w:pPr>
    </w:p>
    <w:p w14:paraId="3B61CD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проходил, но не выдержал ходовые испытания из-за перегруза шасси, низкой скорости, плохой проходимости химический гусеничный БТР, разработанный летом 1931 ОКИБ УММ РККА Н.И.Дыренкова на шасси трактора Коммунар (9527,179).</w:t>
      </w:r>
    </w:p>
    <w:p w14:paraId="321B0D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2E0052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г. в ходе работ по сборке первых Т-26, корпус одного из «Виккерсов», после испытания на нем башни отечественного производства, был доставлен на за</w:t>
      </w:r>
      <w:r w:rsidRPr="005E779E">
        <w:rPr>
          <w:rFonts w:ascii="Times New Roman" w:hAnsi="Times New Roman"/>
          <w:color w:val="000000" w:themeColor="text1"/>
          <w:sz w:val="16"/>
          <w:szCs w:val="16"/>
        </w:rPr>
        <w:softHyphen/>
        <w:t>вод им. Орджоникидзе для изучения его брони. В ходе ис</w:t>
      </w:r>
      <w:r w:rsidRPr="005E779E">
        <w:rPr>
          <w:rFonts w:ascii="Times New Roman" w:hAnsi="Times New Roman"/>
          <w:color w:val="000000" w:themeColor="text1"/>
          <w:sz w:val="16"/>
          <w:szCs w:val="16"/>
        </w:rPr>
        <w:softHyphen/>
        <w:t>следований отдельные детали корпуса подвергались обстре</w:t>
      </w:r>
      <w:r w:rsidRPr="005E779E">
        <w:rPr>
          <w:rFonts w:ascii="Times New Roman" w:hAnsi="Times New Roman"/>
          <w:color w:val="000000" w:themeColor="text1"/>
          <w:sz w:val="16"/>
          <w:szCs w:val="16"/>
        </w:rPr>
        <w:softHyphen/>
        <w:t>лу простой остроконечной пулей и бронебойной пулей типа АУ-30 из винтовки и пулемета «максим» с дистанции около -50 метров. Простой же остроконечной пулей обстрел велся в основном по заклепочным соединениям. Всего из винтовки было выпущено 85 простых и 30 бронебойных пуль, а из пулемета - 250 простых и 130 бронебойных. При обстреле простыми пулями в швах было выбито 3 заклепки, а также 9 заклепок оказались со срезанными и 10 — с поврежденными головками. Кроме того, 6 заклепок были расшатаны, но на боеспособность танка все это никак не повлияло. Некоторые листы корпуса после их снятия с каркаса танка были подвергнуты дополнительному усиленному обстрелу и исследованию химического состава и микрострук</w:t>
      </w:r>
      <w:r w:rsidRPr="005E779E">
        <w:rPr>
          <w:rFonts w:ascii="Times New Roman" w:hAnsi="Times New Roman"/>
          <w:color w:val="000000" w:themeColor="text1"/>
          <w:sz w:val="16"/>
          <w:szCs w:val="16"/>
        </w:rPr>
        <w:softHyphen/>
        <w:t>туры по сравнению с такими же листами Ижорского завода. В частности, отмечалось, что 13 (12,7)-мм и 10 (9,8)-мм бро</w:t>
      </w:r>
      <w:r w:rsidRPr="005E779E">
        <w:rPr>
          <w:rFonts w:ascii="Times New Roman" w:hAnsi="Times New Roman"/>
          <w:color w:val="000000" w:themeColor="text1"/>
          <w:sz w:val="16"/>
          <w:szCs w:val="16"/>
        </w:rPr>
        <w:softHyphen/>
        <w:t>невые листы, из которых изготавливались башни и перед</w:t>
      </w:r>
      <w:r w:rsidRPr="005E779E">
        <w:rPr>
          <w:rFonts w:ascii="Times New Roman" w:hAnsi="Times New Roman"/>
          <w:color w:val="000000" w:themeColor="text1"/>
          <w:sz w:val="16"/>
          <w:szCs w:val="16"/>
        </w:rPr>
        <w:softHyphen/>
        <w:t>ний лист подбашенной коробки «Виккерса», были изготов</w:t>
      </w:r>
      <w:r w:rsidRPr="005E779E">
        <w:rPr>
          <w:rFonts w:ascii="Times New Roman" w:hAnsi="Times New Roman"/>
          <w:color w:val="000000" w:themeColor="text1"/>
          <w:sz w:val="16"/>
          <w:szCs w:val="16"/>
        </w:rPr>
        <w:softHyphen/>
        <w:t>лены из «цементованной брони очень хорошего качества» (по спецификации фирмы «Виккерс» - S.t.a. Plat), 5-мм листы крыши и дна были выполнены, напротив, из гомоген</w:t>
      </w:r>
      <w:r w:rsidRPr="005E779E">
        <w:rPr>
          <w:rFonts w:ascii="Times New Roman" w:hAnsi="Times New Roman"/>
          <w:color w:val="000000" w:themeColor="text1"/>
          <w:sz w:val="16"/>
          <w:szCs w:val="16"/>
        </w:rPr>
        <w:softHyphen/>
        <w:t>ной брони «весьма посредственного качества выделки». Сравнение английской брони с поданными образцами брони Ижорского завода оказалось не в пользу последней, но связано это было главным образом с недостатком в СССР современного металлургического оборудования. Ввиду неготовности Ижорского завода к выпуску бро</w:t>
      </w:r>
      <w:r w:rsidRPr="005E779E">
        <w:rPr>
          <w:rFonts w:ascii="Times New Roman" w:hAnsi="Times New Roman"/>
          <w:color w:val="000000" w:themeColor="text1"/>
          <w:sz w:val="16"/>
          <w:szCs w:val="16"/>
        </w:rPr>
        <w:softHyphen/>
        <w:t>невых листов требуемого качества первый заказ на 15 тан</w:t>
      </w:r>
      <w:r w:rsidRPr="005E779E">
        <w:rPr>
          <w:rFonts w:ascii="Times New Roman" w:hAnsi="Times New Roman"/>
          <w:color w:val="000000" w:themeColor="text1"/>
          <w:sz w:val="16"/>
          <w:szCs w:val="16"/>
        </w:rPr>
        <w:softHyphen/>
        <w:t>ков предписывалось выполнить с корпусами из простой или броневой незакаленной стали (10733,175).</w:t>
      </w:r>
    </w:p>
    <w:p w14:paraId="7732F6E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5C9135" w14:textId="77777777" w:rsidR="00EB262B" w:rsidRPr="00142305" w:rsidRDefault="00EB262B" w:rsidP="00EB262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августе 1931 года на заводе «Большевик» началось серийное производство танков Т-26, которые, в отличие от предсерийных машин, получили новые башни увеличенной высоты со смотровым окном. Эти башни были более приспособлены для массового про</w:t>
      </w:r>
      <w:r w:rsidRPr="00142305">
        <w:rPr>
          <w:rFonts w:ascii="Times New Roman" w:hAnsi="Times New Roman"/>
          <w:color w:val="0070C0"/>
          <w:sz w:val="16"/>
          <w:szCs w:val="16"/>
        </w:rPr>
        <w:softHyphen/>
        <w:t>изводства на существующем оборудовании.</w:t>
      </w:r>
    </w:p>
    <w:p w14:paraId="053B49DE" w14:textId="77777777" w:rsidR="00EB262B" w:rsidRPr="00142305" w:rsidRDefault="00EB262B" w:rsidP="00EB262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Серийное производство танков Т-26 сразу же выявило большое количество различных проблем. Так, броневые корпуса и башни, поступавшие с Ижорского завода, имели большое количество трещин. Многие из кор</w:t>
      </w:r>
      <w:r w:rsidRPr="00142305">
        <w:rPr>
          <w:rFonts w:ascii="Times New Roman" w:hAnsi="Times New Roman"/>
          <w:color w:val="0070C0"/>
          <w:sz w:val="16"/>
          <w:szCs w:val="16"/>
        </w:rPr>
        <w:softHyphen/>
        <w:t>пусов имели толщину брони 10 мм (вместо планируемых 13 мм) - сразу наладить произ</w:t>
      </w:r>
      <w:r w:rsidRPr="00142305">
        <w:rPr>
          <w:rFonts w:ascii="Times New Roman" w:hAnsi="Times New Roman"/>
          <w:color w:val="0070C0"/>
          <w:sz w:val="16"/>
          <w:szCs w:val="16"/>
        </w:rPr>
        <w:softHyphen/>
        <w:t>водство бронелистов необходимой толщины не смогли из-за большого количества брака. Двигатели Т-26, при их видимой простоте по сравнению с отечественными разработками (например, по сравнению с мотором танка Т-19), требовали более высокой культуры производства, которой на отечественных за</w:t>
      </w:r>
      <w:r w:rsidRPr="00142305">
        <w:rPr>
          <w:rFonts w:ascii="Times New Roman" w:hAnsi="Times New Roman"/>
          <w:color w:val="0070C0"/>
          <w:sz w:val="16"/>
          <w:szCs w:val="16"/>
        </w:rPr>
        <w:softHyphen/>
        <w:t>водах еще не было. Поэтому двигатели по</w:t>
      </w:r>
      <w:r w:rsidRPr="00142305">
        <w:rPr>
          <w:rFonts w:ascii="Times New Roman" w:hAnsi="Times New Roman"/>
          <w:color w:val="0070C0"/>
          <w:sz w:val="16"/>
          <w:szCs w:val="16"/>
        </w:rPr>
        <w:softHyphen/>
        <w:t>стоянно выходили из строя, не успевая прой</w:t>
      </w:r>
      <w:r w:rsidRPr="00142305">
        <w:rPr>
          <w:rFonts w:ascii="Times New Roman" w:hAnsi="Times New Roman"/>
          <w:color w:val="0070C0"/>
          <w:sz w:val="16"/>
          <w:szCs w:val="16"/>
        </w:rPr>
        <w:softHyphen/>
        <w:t>ти даже минимальный километраж. Кроме того, «рассыпались» коробки перемены пере</w:t>
      </w:r>
      <w:r w:rsidRPr="00142305">
        <w:rPr>
          <w:rFonts w:ascii="Times New Roman" w:hAnsi="Times New Roman"/>
          <w:color w:val="0070C0"/>
          <w:sz w:val="16"/>
          <w:szCs w:val="16"/>
        </w:rPr>
        <w:softHyphen/>
        <w:t xml:space="preserve">дач, лопались рессоры подвески </w:t>
      </w:r>
      <w:r w:rsidRPr="00142305">
        <w:rPr>
          <w:rFonts w:ascii="Times New Roman" w:hAnsi="Times New Roman"/>
          <w:color w:val="0070C0"/>
          <w:sz w:val="16"/>
          <w:szCs w:val="16"/>
        </w:rPr>
        <w:lastRenderedPageBreak/>
        <w:t>и траки, крошилась резина опорных катков. Тем не менее, с огромными трудностями завод «Большевик» до конца года изготовил все- го120 Т-26, из которых удалось сдать военной приемке 100 машин (как минимум 35 имели корпуса и башни из не броневой стали). Впоследствии, при ремонте машин, плани</w:t>
      </w:r>
      <w:r w:rsidRPr="00142305">
        <w:rPr>
          <w:rFonts w:ascii="Times New Roman" w:hAnsi="Times New Roman"/>
          <w:color w:val="0070C0"/>
          <w:sz w:val="16"/>
          <w:szCs w:val="16"/>
        </w:rPr>
        <w:softHyphen/>
        <w:t>ровалось установить на них корпуса из пол</w:t>
      </w:r>
      <w:r w:rsidRPr="00142305">
        <w:rPr>
          <w:rFonts w:ascii="Times New Roman" w:hAnsi="Times New Roman"/>
          <w:color w:val="0070C0"/>
          <w:sz w:val="16"/>
          <w:szCs w:val="16"/>
        </w:rPr>
        <w:softHyphen/>
        <w:t>ноценной брони. Кроме того, заводу предпи</w:t>
      </w:r>
      <w:r w:rsidRPr="00142305">
        <w:rPr>
          <w:rFonts w:ascii="Times New Roman" w:hAnsi="Times New Roman"/>
          <w:color w:val="0070C0"/>
          <w:sz w:val="16"/>
          <w:szCs w:val="16"/>
        </w:rPr>
        <w:softHyphen/>
        <w:t>сывалось заменить на большинстве сданных танков двигатели, так как при работе под на</w:t>
      </w:r>
      <w:r w:rsidRPr="00142305">
        <w:rPr>
          <w:rFonts w:ascii="Times New Roman" w:hAnsi="Times New Roman"/>
          <w:color w:val="0070C0"/>
          <w:sz w:val="16"/>
          <w:szCs w:val="16"/>
        </w:rPr>
        <w:softHyphen/>
        <w:t>грузкой они «издавали множественные по</w:t>
      </w:r>
      <w:r w:rsidRPr="00142305">
        <w:rPr>
          <w:rFonts w:ascii="Times New Roman" w:hAnsi="Times New Roman"/>
          <w:color w:val="0070C0"/>
          <w:sz w:val="16"/>
          <w:szCs w:val="16"/>
        </w:rPr>
        <w:softHyphen/>
        <w:t>сторонние шумы и испытывали перебои» (24999).</w:t>
      </w:r>
    </w:p>
    <w:p w14:paraId="4E8D722F" w14:textId="77777777" w:rsidR="00EB262B" w:rsidRPr="00142305" w:rsidRDefault="00EB262B" w:rsidP="00EB262B">
      <w:pPr>
        <w:spacing w:after="0" w:line="240" w:lineRule="auto"/>
        <w:jc w:val="both"/>
        <w:rPr>
          <w:rFonts w:ascii="Times New Roman" w:hAnsi="Times New Roman"/>
          <w:color w:val="0070C0"/>
          <w:sz w:val="16"/>
          <w:szCs w:val="16"/>
        </w:rPr>
      </w:pPr>
    </w:p>
    <w:p w14:paraId="79378D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года КБ АВО-5 был разработан и построен танк ТГ-1, После его испытаний, от дальнейших услуг Гротте и немецких инженеров по ряду причин отказались. АВО-5 было реорганизовано, и его возглавил молодой и энергичный инженер Н. В. Барыков, работавший ранее заместителем Гротте. В состав КБ вошли также конструкторы М.П.Зигель, Б.А.Андрыхевич, А.Б.Гаккель, Я.В.Обухов и другие. Новое КБ получило от УММ РККА задание "К 1 августа 1932 года разработать и построить новый 35-тонный танк прорыва типа ТГ". Этой машине присвоили индекс Т-35 (3862).</w:t>
      </w:r>
    </w:p>
    <w:p w14:paraId="6335C8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154E44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г., когда от услуг «бюро Гротто» решено было отказаться, АВО-5 возглавил Н. Барыков, работав</w:t>
      </w:r>
      <w:r w:rsidRPr="005E779E">
        <w:rPr>
          <w:rFonts w:ascii="Times New Roman" w:hAnsi="Times New Roman"/>
          <w:color w:val="000000" w:themeColor="text1"/>
          <w:sz w:val="16"/>
          <w:szCs w:val="16"/>
        </w:rPr>
        <w:softHyphen/>
        <w:t>ший у Э. Гроте заместителем по общим вопросам. Главным заданием для бюро было в срок не позднее 1 августа 1932 г. спроектировать тяжелый танк нового типа под индексом Т-35. Так как конструкция ходовой части ТГ позволяла без изменений увеличить массу танка до 40 т, предписывалось использовать для Т-35 ходовую танка Гроте, а компоновку по типу Т-32 третьего варианта. Проектирование танка Т-32 велось по скорректирован</w:t>
      </w:r>
      <w:r w:rsidRPr="005E779E">
        <w:rPr>
          <w:rFonts w:ascii="Times New Roman" w:hAnsi="Times New Roman"/>
          <w:color w:val="000000" w:themeColor="text1"/>
          <w:sz w:val="16"/>
          <w:szCs w:val="16"/>
        </w:rPr>
        <w:softHyphen/>
        <w:t>ным ТТТ танка Т-30 с 1931 г. под руководством Н. Барыко</w:t>
      </w:r>
      <w:r w:rsidRPr="005E779E">
        <w:rPr>
          <w:rFonts w:ascii="Times New Roman" w:hAnsi="Times New Roman"/>
          <w:color w:val="000000" w:themeColor="text1"/>
          <w:sz w:val="16"/>
          <w:szCs w:val="16"/>
        </w:rPr>
        <w:softHyphen/>
        <w:t>ва и М. Зигеля. Его боевой вес должен был составлять 50 т, вооружение из одной 76-мм пушки и двух 37-мм пушек большой мощности при трех- или пятибашенной схеме. Толщина брони должна была составить 30-40 мм. На танк планировалось установить авиамотор АМБ мощностью 750 л.с. Но работы затянулись, ведь занимались проектом лишь двое указанных конструкторов, которых и без того посто</w:t>
      </w:r>
      <w:r w:rsidRPr="005E779E">
        <w:rPr>
          <w:rFonts w:ascii="Times New Roman" w:hAnsi="Times New Roman"/>
          <w:color w:val="000000" w:themeColor="text1"/>
          <w:sz w:val="16"/>
          <w:szCs w:val="16"/>
        </w:rPr>
        <w:softHyphen/>
        <w:t>янно отвлекали на проведение более неотложных работ. Кроме того, опыта проектирования трансмиссий для ма</w:t>
      </w:r>
      <w:r w:rsidRPr="005E779E">
        <w:rPr>
          <w:rFonts w:ascii="Times New Roman" w:hAnsi="Times New Roman"/>
          <w:color w:val="000000" w:themeColor="text1"/>
          <w:sz w:val="16"/>
          <w:szCs w:val="16"/>
        </w:rPr>
        <w:softHyphen/>
        <w:t>шин такой массы и такой мощности в СССР тогда не было, и потому эскизный проект Т-32 с середины 1931 г. практи</w:t>
      </w:r>
      <w:r w:rsidRPr="005E779E">
        <w:rPr>
          <w:rFonts w:ascii="Times New Roman" w:hAnsi="Times New Roman"/>
          <w:color w:val="000000" w:themeColor="text1"/>
          <w:sz w:val="16"/>
          <w:szCs w:val="16"/>
        </w:rPr>
        <w:softHyphen/>
        <w:t>чески был заморожен (10733,260).</w:t>
      </w:r>
    </w:p>
    <w:p w14:paraId="50C5D2E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A13501" w14:textId="77777777" w:rsidR="00EB262B" w:rsidRPr="00142305" w:rsidRDefault="00EB262B" w:rsidP="00EB262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ав</w:t>
      </w:r>
      <w:r w:rsidRPr="00142305">
        <w:rPr>
          <w:rFonts w:ascii="Times New Roman" w:hAnsi="Times New Roman"/>
          <w:color w:val="0070C0"/>
          <w:sz w:val="16"/>
          <w:szCs w:val="16"/>
        </w:rPr>
        <w:softHyphen/>
        <w:t>густе 1931 года советское правительство отказалось от услуг Гроте и его инженеров и они вернулись в Германию (25010).</w:t>
      </w:r>
    </w:p>
    <w:p w14:paraId="5F7B4E50" w14:textId="77777777" w:rsidR="00EB262B" w:rsidRPr="00142305" w:rsidRDefault="00EB262B" w:rsidP="00EB262B">
      <w:pPr>
        <w:spacing w:after="0" w:line="240" w:lineRule="auto"/>
        <w:jc w:val="both"/>
        <w:rPr>
          <w:rFonts w:ascii="Times New Roman" w:hAnsi="Times New Roman"/>
          <w:color w:val="0070C0"/>
          <w:sz w:val="16"/>
          <w:szCs w:val="16"/>
        </w:rPr>
      </w:pPr>
    </w:p>
    <w:p w14:paraId="47D4B2C0" w14:textId="77777777" w:rsidR="00CA6452" w:rsidRPr="005E779E" w:rsidRDefault="00CA6452"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августа 1931 года под руководством Н. И. Дыренков</w:t>
      </w:r>
      <w:r w:rsidRPr="005E779E">
        <w:rPr>
          <w:rFonts w:ascii="Times New Roman" w:hAnsi="Times New Roman"/>
          <w:color w:val="000000" w:themeColor="text1"/>
          <w:sz w:val="16"/>
          <w:szCs w:val="16"/>
          <w:lang w:val="en-US"/>
        </w:rPr>
        <w:t>f</w:t>
      </w:r>
      <w:r w:rsidRPr="005E779E">
        <w:rPr>
          <w:rFonts w:ascii="Times New Roman" w:hAnsi="Times New Roman"/>
          <w:color w:val="000000" w:themeColor="text1"/>
          <w:sz w:val="16"/>
          <w:szCs w:val="16"/>
        </w:rPr>
        <w:t xml:space="preserve"> разрабатывалась бронедрезина Д-37. «На колеса» она встала только в марте 1932 года, и первые же прогоны выявили множество технических недоработок в ее конструкции. В своем первоначальном виде Д-37 имела несущий сварной корпус, состоящий из двух частей (верхней и нижней) соединяющихся на болтах. К нижней части крепились ходовая часть и силовая установка. В качестве последней использовался 40-сильный двигатель автомобиля Форд-АА (ГАЗ-АА), соединенный с реверсивной коробкой передач (четыре скорости вперед и назад). При массе около 8 тонн силовая установка обеспечивала Д-37 скорость до 75 км/час. На крыше верхней части корпуса монтировалась вращающаяся башня от бронеавтомобиля Д-13 с 37-мм пушкой Гочкиса и пулеметом ДТ. Еще два пулемета ДТ размещались в шаровых установках по бортам корпуса. Кроме этого, Д-37 оснащалась зенитной установкой, размещенной в задней части бронедрезины. При стрельбе спаренная зенитная установка пулеметов Максим поднималась наружу через большой двустворчатый люк. Экипаж Д-37 состоял из шести человек. В ходе дальнейших длительных доработок на Д-37 сначала попытались установить башню оригинальной конструкции, вооруженную 76-мм пушкой образца 1927 года, но при испытаниях выявилось, что конструкция орудийной установки в целом неудачна, а работа орудийного расчета существенно затруднена. К тому же с такой орудийной установкой масса дрезины превысила допустимые пределы. В результате Д-37 продолжали модернизировать дальше, установив вместо неудачной башни, несколько доработанную башню танка Т-26, вооруженную 45-мм пушкой (отказались от кормовой ниши, где в танке хранилась часть боекомплекта или устанавливалась радиостанция, сделав в задней стенке башни двустворчатый люк). С установкой новой башни изменился и индекс опытной бронедрезины — вместо Д-37 она теперь стала называться ДТ-45 (дрезина тяжелая с 45-мм пушкой). Дополнительно дрезину оборудовали приспособлением для самостоятельного перемещения на параллельный железнодорожный путь (механизм выключения рессор, два домкрата и две пары разъемных балок). При необходимости перевода дрезины на соседнее полотно сначала отключались рессоры, чтобы при подъеме корпуса на домкратах колеса поднимались вместе с ним, не выбирая прогиба рессор. Затем при помощи двух домкратов дрезину подымали, чтобы реборды колес оказались над рельсами. На рельсы укладывались балки, по которым могли двигаться две пары специально для этого предназначенных роликов, закрепленных внизу на передней и задней частях корпуса. После этого по балкам дрезину перекатывали на соседний путь. Такое техническое решение позволяло переходить на соседнее полотно для объезда разбитых участков путей или же пропускать другие поезда. Масса дрезины достигла 8,4 тонны, а экипаж увеличился до семи человек (22743).</w:t>
      </w:r>
    </w:p>
    <w:p w14:paraId="45DA4265" w14:textId="77777777" w:rsidR="00CA6452" w:rsidRPr="005E779E" w:rsidRDefault="00CA6452" w:rsidP="000B7A6C">
      <w:pPr>
        <w:shd w:val="clear" w:color="auto" w:fill="FFFFFF"/>
        <w:spacing w:after="0" w:line="240" w:lineRule="auto"/>
        <w:jc w:val="both"/>
        <w:rPr>
          <w:rFonts w:ascii="Times New Roman" w:hAnsi="Times New Roman"/>
          <w:color w:val="000000" w:themeColor="text1"/>
          <w:sz w:val="16"/>
          <w:szCs w:val="16"/>
        </w:rPr>
      </w:pPr>
    </w:p>
    <w:p w14:paraId="5039C0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г. происходит разукрупнение ВЭО, в ре зультате чего создается Всесоюзное электрослаботочное объединение (ВЭСО). В его состав вошли 9 заводов и 3 центральные лаборатории, из которых 6 заводов и 2 лаборатории находились в Ленинграде. Правление ВЭСО располагалось в Ле нинграде на ул. Гоголя, 14. ВЭСО просуществовало два года, сделав за этот непродолжительный пе риод очень многое для развития техники связи. 1 сентября 1933 г. его функции по управлению слаботочной промышленностью были переданы вновь созданно му Главному управлению электрослаботочной промышленности (Главэспрому), действовавшему в составе Народного комиссариата тяжелой промышленности (НКТП) (11870).</w:t>
      </w:r>
    </w:p>
    <w:p w14:paraId="528FC9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1439C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августу 1931 года Бекаури отработал свой комплекс радиоуправления. Нарком по военным и морским делам К. Е. Ворошилов назначил комиссию для заключительных испытаний. "Испытани проводили в Финском заливе. Катера, управляемые с самолета (аппаратурой А. Ф. Шорина) или с корабля (аппаратурой В. И. Бекаури), по радиокомандам отходили от причала, выходили в море, маневрировали, устремлялись в атаку и производили пуск торпед. Проводились атаки и по прикрытому дымовой завесой кораблю-цели... Оператор на самолете оказалс в лучшем положении, чем тот, что находился на корабле управления: наблюдению с корабля мешала дымовая завеса... Комиссия предложила принять на вооружение комплекс А. Ф. Шорина. Остехбюро предложили доработать свою аппаратуру". После этого радиоуправляемые торпедные катера (их тогда называли катерами волнового управления) запустили в серию, а на флотах началось формирование специальных отрядов и дивизионов, продемонстрировавших возможности нового оружия на зачетном флотском учении осенью 1937 года. Отрабатывался бой с эскадрой "противника" на минно-артиллерийской позиции. Когда соединение, изображающее вражескую эскадру, появилось в западной части залива, более полусотни радиоуправляемых катеров, прорыва дымовые завесы, устремились с трех сторон на корабли "противника" и атаковали их торпедами. После учения дивизион радиоуправляемых катеров получил высокую оценку командования, отметившего, что во время операции отказов техники не было (10261).</w:t>
      </w:r>
    </w:p>
    <w:p w14:paraId="49E684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B888D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авгу</w:t>
      </w:r>
      <w:r w:rsidRPr="005E779E">
        <w:rPr>
          <w:rFonts w:ascii="Times New Roman" w:hAnsi="Times New Roman"/>
          <w:color w:val="000000" w:themeColor="text1"/>
          <w:sz w:val="16"/>
          <w:szCs w:val="16"/>
        </w:rPr>
        <w:softHyphen/>
        <w:t>сту 1931 г. Бекаури представил комплекс радиоуправления катером. Нарком по военным и морским делам К.Б. Ворошилов назначил комис</w:t>
      </w:r>
      <w:r w:rsidRPr="005E779E">
        <w:rPr>
          <w:rFonts w:ascii="Times New Roman" w:hAnsi="Times New Roman"/>
          <w:color w:val="000000" w:themeColor="text1"/>
          <w:sz w:val="16"/>
          <w:szCs w:val="16"/>
        </w:rPr>
        <w:softHyphen/>
        <w:t>сию для заключительных испытаний. «Испытания проводи</w:t>
      </w:r>
      <w:r w:rsidRPr="005E779E">
        <w:rPr>
          <w:rFonts w:ascii="Times New Roman" w:hAnsi="Times New Roman"/>
          <w:color w:val="000000" w:themeColor="text1"/>
          <w:sz w:val="16"/>
          <w:szCs w:val="16"/>
        </w:rPr>
        <w:softHyphen/>
        <w:t>ли в Финском заливе, — вспоминает контр-адмирал Б.В. Ни</w:t>
      </w:r>
      <w:r w:rsidRPr="005E779E">
        <w:rPr>
          <w:rFonts w:ascii="Times New Roman" w:hAnsi="Times New Roman"/>
          <w:color w:val="000000" w:themeColor="text1"/>
          <w:sz w:val="16"/>
          <w:szCs w:val="16"/>
        </w:rPr>
        <w:softHyphen/>
        <w:t>китин, в годы войны служивший на катерах. — Катера, уп</w:t>
      </w:r>
      <w:r w:rsidRPr="005E779E">
        <w:rPr>
          <w:rFonts w:ascii="Times New Roman" w:hAnsi="Times New Roman"/>
          <w:color w:val="000000" w:themeColor="text1"/>
          <w:sz w:val="16"/>
          <w:szCs w:val="16"/>
        </w:rPr>
        <w:softHyphen/>
        <w:t>равляемые с самолета (аппаратурой А.Ф. Шорина) или с ко</w:t>
      </w:r>
      <w:r w:rsidRPr="005E779E">
        <w:rPr>
          <w:rFonts w:ascii="Times New Roman" w:hAnsi="Times New Roman"/>
          <w:color w:val="000000" w:themeColor="text1"/>
          <w:sz w:val="16"/>
          <w:szCs w:val="16"/>
        </w:rPr>
        <w:softHyphen/>
        <w:t>рабля (аппаратурой В.И. Бекаури), по радиокомандам отхо</w:t>
      </w:r>
      <w:r w:rsidRPr="005E779E">
        <w:rPr>
          <w:rFonts w:ascii="Times New Roman" w:hAnsi="Times New Roman"/>
          <w:color w:val="000000" w:themeColor="text1"/>
          <w:sz w:val="16"/>
          <w:szCs w:val="16"/>
        </w:rPr>
        <w:softHyphen/>
        <w:t>дили от причала, выходили в море, маневрировали, устрем</w:t>
      </w:r>
      <w:r w:rsidRPr="005E779E">
        <w:rPr>
          <w:rFonts w:ascii="Times New Roman" w:hAnsi="Times New Roman"/>
          <w:color w:val="000000" w:themeColor="text1"/>
          <w:sz w:val="16"/>
          <w:szCs w:val="16"/>
        </w:rPr>
        <w:softHyphen/>
        <w:t>лялись в атаку и производили пуск торпед. Проводились атат ки и по прикрытому дымовой завесой кораблю-цели... Опера</w:t>
      </w:r>
      <w:r w:rsidRPr="005E779E">
        <w:rPr>
          <w:rFonts w:ascii="Times New Roman" w:hAnsi="Times New Roman"/>
          <w:color w:val="000000" w:themeColor="text1"/>
          <w:sz w:val="16"/>
          <w:szCs w:val="16"/>
        </w:rPr>
        <w:softHyphen/>
        <w:t>тор на самолете оказался в лучшем положении, чем тот, что находился на корабле управления: наблюдению с корабля ме</w:t>
      </w:r>
      <w:r w:rsidRPr="005E779E">
        <w:rPr>
          <w:rFonts w:ascii="Times New Roman" w:hAnsi="Times New Roman"/>
          <w:color w:val="000000" w:themeColor="text1"/>
          <w:sz w:val="16"/>
          <w:szCs w:val="16"/>
        </w:rPr>
        <w:softHyphen/>
        <w:t>шала дымовая завеса... Комиссия предложила принять на во</w:t>
      </w:r>
      <w:r w:rsidRPr="005E779E">
        <w:rPr>
          <w:rFonts w:ascii="Times New Roman" w:hAnsi="Times New Roman"/>
          <w:color w:val="000000" w:themeColor="text1"/>
          <w:sz w:val="16"/>
          <w:szCs w:val="16"/>
        </w:rPr>
        <w:softHyphen/>
        <w:t>оружение комплекс А.Ф. Шорина. Остехбюро предложили до</w:t>
      </w:r>
      <w:r w:rsidRPr="005E779E">
        <w:rPr>
          <w:rFonts w:ascii="Times New Roman" w:hAnsi="Times New Roman"/>
          <w:color w:val="000000" w:themeColor="text1"/>
          <w:sz w:val="16"/>
          <w:szCs w:val="16"/>
        </w:rPr>
        <w:softHyphen/>
        <w:t>работать свою аппаратуру» (10675).</w:t>
      </w:r>
    </w:p>
    <w:p w14:paraId="309D5B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FDAA0BB" w14:textId="77777777" w:rsidR="00A522A1" w:rsidRPr="005E779E" w:rsidRDefault="00A522A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нарком по военным и морским делам К.Е. Ворошилов назначил комиссию, которая должна была провести заключительные испытания комплексов телеуправления судов А.Ф. Шорина и В.И. Бекаури. В состав комиссии вошли представители флота и армии, научных конструкторских институтов и промышленности. Возглавлял ее инспектор Морских Сил Петр Иванович Смирнов-Светловский, всесторонне эрудированный флотский специалист. Испытания проводили в Финском заливе. Катера, управляемые с самолета (с аппаратурой А.Ф. Шорина) или с корабля (аппаратурой В.И. Бекаури), по радиокомандам отходили от причала, выходили в море, маневрировали, устремлялись в атаку и производили пуск торпед. Проводились атаки и по прикрытому дымовой завесой кораблю-цели. Как и предвидел В.И. Бекаури, оператор на самолете оказался в лучшем положении, чем тот, что находился на корабле управления: наблюдению с корабля мешала дымовая завеса. Так выявился существенный недостаток комплекса Остехбюро. Программа предусматривала и работу комплексов в условиях радиопомех. Чтобы выполнить эту часть испытаний, А.Ф. Шорин создал специальный передатчик помех. Эта опытная разработка положила начало новому оригинальному направлению в деятельности лаборатории. И вот испытания закончены. Комиссия предложила принять на вооружение комплекс А.Ф. Шорина. Остехбюро предложили доработать свою аппаратуру, чтобы обеспечить возможность атаки прикрытых дымзавесами кораблей, — предполагалось использовать для этого самолет. Испытания комплекса В.И. Бекаури решили возобновить в 1932 году (15117).</w:t>
      </w:r>
    </w:p>
    <w:p w14:paraId="2154DF2E" w14:textId="77777777" w:rsidR="00A522A1" w:rsidRPr="005E779E" w:rsidRDefault="00A522A1" w:rsidP="000B7A6C">
      <w:pPr>
        <w:spacing w:after="0" w:line="240" w:lineRule="auto"/>
        <w:jc w:val="both"/>
        <w:rPr>
          <w:rFonts w:ascii="Times New Roman" w:hAnsi="Times New Roman"/>
          <w:color w:val="000000" w:themeColor="text1"/>
          <w:sz w:val="16"/>
          <w:szCs w:val="16"/>
        </w:rPr>
      </w:pPr>
    </w:p>
    <w:p w14:paraId="5002B8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августе 1931 года Таубин разработал первый вариант проекта автоматического гранатомета под ружейную гранату Дьяконова. Отсюда и появился калибр его системы в 40,8-мм. Вскоре после оформления проект был направлен в Артиллерийское управление РККА. После рассмотрения его в АУ был выдан заказ на изготовление опытных образцов оружия. На Ковровском инструментальном заводе № 2 было изготовлено два первых опытных образца гранатомёта, получившего обозначение «АГ-ТБ» (автоматический гранатомёт – Таубина и Бергольца). Испытания гранатомёта были проведены в 1933 году. В 1934 году для продолжения работ по гранатомётам на основе конструкторской группы было создано специальное КБТ (конструкторское бюро Таубина) под руководством Я. Г. Таубина. В 1930-е годы КБТ работало над автоматическими гранатомётами других калибров. В 1934 году на базе конструкции 40,8-мм автоматического гранатомёта АГ-ТБ был разработан проект 76,2-мм гранатомёта для батальонного звена. Вскоре его направили в ГАУ. С 1937 года оно получило наименование ОКБ-16 Наркомата оборонной промышленности. На первых образцах автоматика работала за счёт отвода газов из канала ствола. В 1936 году был создан вариант системы с новой схемой автоматики, </w:t>
      </w:r>
      <w:r w:rsidRPr="005E779E">
        <w:rPr>
          <w:rFonts w:ascii="Times New Roman" w:hAnsi="Times New Roman"/>
          <w:color w:val="000000" w:themeColor="text1"/>
          <w:sz w:val="16"/>
          <w:szCs w:val="16"/>
        </w:rPr>
        <w:lastRenderedPageBreak/>
        <w:t>основанной на энергии отката ствола при его длинном ходе. За время отработки конструкции путём последовательных модернизаций и улучшения его конструкции масса гранатомёта была снижена почти в два раза. Первоначально для гранатомёта конструкции Таубина был создан треножный станок, но в последствии его заменили лёгким колесным станком по типу станка пулемёта «Максим». Войсковые испытания в разных округах РККА гранатомёт прошёл в 1937 году, испытывался он и в частях НКВД. В 1937-1938 годах проводились сравнительные испытания миномётов и гранатомётов ротного звена различных конструкций, участвовал в них и автоматический гранатомёт Таубина. По результатам испытаний на вооружение был принят 50-мм ротный миномёт образца 1938 года конструкции Б. И. Шавырина. Для гранатомёта оставалось место в ВМС РККА (10780).</w:t>
      </w:r>
    </w:p>
    <w:p w14:paraId="137A9E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22EA243" w14:textId="69AD964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г. завод (ГС завод № 208 ИМ. Коминтерна НКОП, НКАП, НКЭП, п/я 89, Радиотелеграфный завод Морского ведомства, Петроградский государственный радиотелеграфный завод им. Коминтерна ВСНХ, Радиозавод им. Коминтерна НКТП, Завод-лаборатория мощного радиостроения им. Коминтерна, Комбинат мощного радиостроения (КМРС) им. Коминтерна НКТП, Новосибирский завод им. Коминтерна МРП, ОАО «Новосибирский завод им. Коминтерна» /г. Ленинград;</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Новосибирск/ /630015</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Новосибирск ул. Планетная, 32/) переименован в Радиозавод им. Коминтерна. С 1930 г. - в ведении ВЭО, с 1931 г. - ВЭСО ВСНХ, с 1932 г. - ВЭСО НКТП, с конца 1933 г.- в ведении «Главэспрома» НКТП. В 02.1934 г. переименован в завод-лабораторию мощного радиостроения им. Коминтерна, 1.03.1935 г. завод преобразован в КМРС им. Коминтерна. В его составе- ОРПУ.</w:t>
      </w:r>
      <w:r w:rsidRPr="005E779E">
        <w:rPr>
          <w:rFonts w:ascii="Times New Roman" w:hAnsi="Times New Roman"/>
          <w:color w:val="000000" w:themeColor="text1"/>
          <w:sz w:val="16"/>
          <w:szCs w:val="16"/>
          <w:vertAlign w:val="superscript"/>
        </w:rPr>
        <w:t>101</w:t>
      </w:r>
      <w:r w:rsidRPr="005E779E">
        <w:rPr>
          <w:rFonts w:ascii="Times New Roman" w:hAnsi="Times New Roman"/>
          <w:color w:val="000000" w:themeColor="text1"/>
          <w:sz w:val="16"/>
          <w:szCs w:val="16"/>
        </w:rPr>
        <w:t xml:space="preserve"> По пр. НКОП № Обсс от 30.12.1936 г. КМРС им. Коминтерна переименован в завод № 208 им. Коминтерна 5ГУ НКОП, приказом № 116 от 31.03.1937 г. утвержден Устав ГС завода № 208 им. Коминтерна.'</w:t>
      </w:r>
      <w:r w:rsidRPr="005E779E">
        <w:rPr>
          <w:rFonts w:ascii="Times New Roman" w:hAnsi="Times New Roman"/>
          <w:color w:val="000000" w:themeColor="text1"/>
          <w:sz w:val="16"/>
          <w:szCs w:val="16"/>
          <w:vertAlign w:val="superscript"/>
        </w:rPr>
        <w:t>39</w:t>
      </w:r>
      <w:r w:rsidRPr="005E779E">
        <w:rPr>
          <w:rFonts w:ascii="Times New Roman" w:hAnsi="Times New Roman"/>
          <w:color w:val="000000" w:themeColor="text1"/>
          <w:sz w:val="16"/>
          <w:szCs w:val="16"/>
        </w:rPr>
        <w:t xml:space="preserve"> С 01.1939 г. из 5ГУ НКОП передан в НКАП. Устав завода утвержден в 01.1939 г. По Указу Президиума ВС от 17.04.1940 г. и приказу НКАП/НКЭП № 105/5 от 23.04.1940 г. завод передан в ведение вновь образованного НКЭП.</w:t>
      </w:r>
    </w:p>
    <w:p w14:paraId="3213D3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кварцевой лаборатории разработаны техпроцессы и аппаратура для изготовления высокоточных пьезо- кварцевых эталонов частоты. Разработаны все антенные мачты-башни для мощных радиостанций (Ю.А. Савицкий).</w:t>
      </w:r>
    </w:p>
    <w:p w14:paraId="3DB277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Имелись лаборатории: Военно-морская (1932-34 г.), кварцевая (1937 г.), отраслевая радиолаборатория измерительных устройств (1937 г.).</w:t>
      </w:r>
    </w:p>
    <w:p w14:paraId="028C5F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22.10.1934 г. заводу поручена разработка опытных станций радиообнаружения самолетов в метровом и дециметровом диапазонах «Вега» и «Конус».</w:t>
      </w:r>
    </w:p>
    <w:p w14:paraId="5E346D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Приказом № 0020 от 3.02.1937 г. заводу предписано создать к 1.01.1938 г. мощности по производству аэродромных радиостанций - 20 шт. в год. Приказом № 0063 от 27.03.1937 г. заводу выдано задание в 1937 г. наладить выпуск радио-измерительной аппаратуры: изготовить опытные частотно-измерительные гетеродины, субстандарты частоты, отдельные мультивибраторы, </w:t>
      </w:r>
      <w:r w:rsidRPr="005E779E">
        <w:rPr>
          <w:rFonts w:ascii="Times New Roman" w:hAnsi="Times New Roman"/>
          <w:color w:val="000000" w:themeColor="text1"/>
          <w:sz w:val="16"/>
          <w:szCs w:val="16"/>
          <w:lang w:val="en-US"/>
        </w:rPr>
        <w:t>KB</w:t>
      </w:r>
      <w:r w:rsidRPr="005E779E">
        <w:rPr>
          <w:rFonts w:ascii="Times New Roman" w:hAnsi="Times New Roman"/>
          <w:color w:val="000000" w:themeColor="text1"/>
          <w:sz w:val="16"/>
          <w:szCs w:val="16"/>
        </w:rPr>
        <w:t xml:space="preserve"> и ДВ модулированные гетеродины, катодные осциллографы, ламповые вольтметры и мосты для измерения емкости и самоиндукции.</w:t>
      </w:r>
    </w:p>
    <w:p w14:paraId="1C4A35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решению СНК № СО-2195 от 15.07.1937 г. и пр. № 0175 от 10.08.1937 г. завод № 208 был реорганизован: В его составе оставлены предприятия № 1 и 2; предприятия № 3, 4 и 5 объединены в институт мощного радиостроения - институт № 33 5ГУ НКОП; предприятие № 6 выделено в самостоятельную лабораторию № 34 5ГУ НКОП.</w:t>
      </w:r>
    </w:p>
    <w:p w14:paraId="66026C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1937 г. строилась радиостанция им. Косиора ( г. Киев). В 06.1941 г. изготовлен войсковой подвижный РЛ комплекс «Редут» (РУС-2).</w:t>
      </w:r>
    </w:p>
    <w:p w14:paraId="060B5F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 № 151 от 19.04.1938 г. заводу требовалось сдать к 25.04.1938 г. строительству № 11 ( г. Алма-Ата) передатчик мощностью 150 кВт.</w:t>
      </w:r>
    </w:p>
    <w:p w14:paraId="7D622C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Приказом № 156с от 7/10.05.1938 г. была подчеркнута неудовлетворительная работа завода (план 1937 г. выполнен на 33,1%). Этим же приказом требовалось создать в 1938 г. лабораторию и КБ по модернизации и конструированию объектов мощного радиостроения.</w:t>
      </w:r>
    </w:p>
    <w:p w14:paraId="3A4DC9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пост. ГКО № 99сс от 11.07.1941 г. основная часть завода № 208 НКЭП эвакуирована в Новосибирск на площадку мебельной фабрики «Стандарт», в помещения Педагогического и Сельскохозяйственного институтов. По пр. НКЭП № 231сс от 16.08.1941 г. эвакуированные в Новосибирск цеха реорганизованы в самостоятельный завод № 615, по пр. № 325с от 27.10.1941 г. «в связи с окончанием эвакуации большей части оборудования» завод № 615 был переименован в ГС завод № 208 им. Коминтерна.</w:t>
      </w:r>
      <w:r w:rsidRPr="005E779E">
        <w:rPr>
          <w:rFonts w:ascii="Times New Roman" w:hAnsi="Times New Roman"/>
          <w:color w:val="000000" w:themeColor="text1"/>
          <w:sz w:val="16"/>
          <w:szCs w:val="16"/>
          <w:vertAlign w:val="superscript"/>
        </w:rPr>
        <w:t>149</w:t>
      </w:r>
    </w:p>
    <w:p w14:paraId="552B9C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Выпускал мощные радиостанции (единственный завод в СССР). В годы войны создана антенная лаборатория (П.П. Кузнецов).</w:t>
      </w:r>
    </w:p>
    <w:p w14:paraId="052E8C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Ленинграде на базе оставшегося оборудования по пр. № 325с от 27.10.1941 г. организован новый завод</w:t>
      </w:r>
    </w:p>
    <w:p w14:paraId="65D5BF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№615.</w:t>
      </w:r>
    </w:p>
    <w:p w14:paraId="54338CBA" w14:textId="7B83592A"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соответствии с пост. ГКО № 3686сс от 4.07.1943 г. завод № 208 передан в ведение созданного ГУ </w:t>
      </w:r>
      <w:r w:rsidRPr="005E779E">
        <w:rPr>
          <w:rFonts w:ascii="Times New Roman" w:hAnsi="Times New Roman"/>
          <w:color w:val="000000" w:themeColor="text1"/>
          <w:sz w:val="16"/>
          <w:szCs w:val="16"/>
          <w:lang w:val="en-US"/>
        </w:rPr>
        <w:t>PJI</w:t>
      </w:r>
      <w:r w:rsidRPr="005E779E">
        <w:rPr>
          <w:rFonts w:ascii="Times New Roman" w:hAnsi="Times New Roman"/>
          <w:color w:val="000000" w:themeColor="text1"/>
          <w:sz w:val="16"/>
          <w:szCs w:val="16"/>
        </w:rPr>
        <w:t xml:space="preserve"> промышленности НКЭП. В 1960-е</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 в ведении Управления радиотехнической и электронной промышленности Западно-Сибирского СНХ. В ~ 1983 г. на базе завода создано Сибирское ПО им. Коминтерна.</w:t>
      </w:r>
    </w:p>
    <w:p w14:paraId="58AA9568" w14:textId="28777C46"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1960-е</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выпускал станции обнаружения и целеуказания.</w:t>
      </w:r>
      <w:r w:rsidRPr="005E779E">
        <w:rPr>
          <w:rFonts w:ascii="Times New Roman" w:hAnsi="Times New Roman"/>
          <w:color w:val="000000" w:themeColor="text1"/>
          <w:sz w:val="16"/>
          <w:szCs w:val="16"/>
          <w:vertAlign w:val="superscript"/>
        </w:rPr>
        <w:t>80</w:t>
      </w:r>
    </w:p>
    <w:p w14:paraId="2332AED2" w14:textId="66A7C4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1979 г. создан Тувинский филиал завода (с 1980-х</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 Тувинский машиностроительный завод).</w:t>
      </w:r>
    </w:p>
    <w:p w14:paraId="6A6961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67C72E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Численность персонала (1915 г.)- около 300 чел.</w:t>
      </w:r>
    </w:p>
    <w:p w14:paraId="5F55886B" w14:textId="37761A5D"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(-01-14.07.1937 г.)- М.А. Гущин, (14.07.1937-17.12.1938 г.)- А.И. Васильев, (17.12.1938 г.-)- В.П. Виноградов. И.О. Гендиректора (2007 г.)-</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Г.Н. Голубев.</w:t>
      </w:r>
    </w:p>
    <w:p w14:paraId="6F5F63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Зам. директора (01.1937 г.)- </w:t>
      </w:r>
      <w:r w:rsidRPr="005E779E">
        <w:rPr>
          <w:rFonts w:ascii="Times New Roman" w:hAnsi="Times New Roman"/>
          <w:color w:val="000000" w:themeColor="text1"/>
          <w:sz w:val="16"/>
          <w:szCs w:val="16"/>
          <w:lang w:val="en-US"/>
        </w:rPr>
        <w:t>A</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JI</w:t>
      </w:r>
      <w:r w:rsidRPr="005E779E">
        <w:rPr>
          <w:rFonts w:ascii="Times New Roman" w:hAnsi="Times New Roman"/>
          <w:color w:val="000000" w:themeColor="text1"/>
          <w:sz w:val="16"/>
          <w:szCs w:val="16"/>
        </w:rPr>
        <w:t xml:space="preserve">. Минц, (-27.03.1937; 16.05.1937 г.-)- </w:t>
      </w:r>
      <w:r w:rsidRPr="005E779E">
        <w:rPr>
          <w:rFonts w:ascii="Times New Roman" w:hAnsi="Times New Roman"/>
          <w:color w:val="000000" w:themeColor="text1"/>
          <w:sz w:val="16"/>
          <w:szCs w:val="16"/>
          <w:lang w:val="en-US"/>
        </w:rPr>
        <w:t>B</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C</w:t>
      </w:r>
      <w:r w:rsidRPr="005E779E">
        <w:rPr>
          <w:rFonts w:ascii="Times New Roman" w:hAnsi="Times New Roman"/>
          <w:color w:val="000000" w:themeColor="text1"/>
          <w:sz w:val="16"/>
          <w:szCs w:val="16"/>
        </w:rPr>
        <w:t>. Курков. Помощник директора по найму и увольнению (28.09.1938 г.-)- А.Е. Фомичев.</w:t>
      </w:r>
    </w:p>
    <w:p w14:paraId="396DEF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инженер (-01-27.03.1937 г.)- А.Л. Минц, (27.03-05.1937 г.-)- А.И. Васильев, (02.1938 г.)- Н.А. Романов, (1948-50 г.)- ЯЛ. Беликов.</w:t>
      </w:r>
    </w:p>
    <w:p w14:paraId="4989D6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гл. инженера (1928 г.-)- А.Л. Минц, В.Е. Гайслер.</w:t>
      </w:r>
    </w:p>
    <w:p w14:paraId="47E733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Заведующий производством (1930-е)- А. Г. Громов.</w:t>
      </w:r>
    </w:p>
    <w:p w14:paraId="0BA90A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Научный руководитель (1936 г.-)- А.Л. Минц.</w:t>
      </w:r>
    </w:p>
    <w:p w14:paraId="6F118E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Заведующий мастерскими- А. Г. Громов. Начальники цехов: выпускного (-1947 г.)- А.К. Володин; (-1948 г.)- Я.П. Беликов, (-1953 г.)- В.В. Райзберг, (1930-е)- А.А. Форштер.</w:t>
      </w:r>
    </w:p>
    <w:p w14:paraId="0F857D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начальника цеха: (-1945 г.)- А.В. Загорянский.</w:t>
      </w:r>
    </w:p>
    <w:p w14:paraId="0F3B9D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Начальники отделов: радиовещательных передатчиков (1937 г.)- З.И. Модель; (1925-26 г.)- А.Ф. Шорин, (-1935 г.)- А.А. Форштер, А.А. Пистолькорс.</w:t>
      </w:r>
    </w:p>
    <w:p w14:paraId="7D0978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Заведующие лабораторией: А.А. Пистолькорс. Начальники лабораторий: кварцевой- П.П. Куровский; ЦЗТЛ- В.Е. Гайслер; отраслевой радиолаборатории измерительных устройств- П.П. Куровский; (1946 г.-)- В.Е. Гайслер, (</w:t>
      </w:r>
      <w:r w:rsidRPr="005E779E">
        <w:rPr>
          <w:rFonts w:ascii="Times New Roman" w:hAnsi="Times New Roman"/>
          <w:color w:val="000000" w:themeColor="text1"/>
          <w:sz w:val="16"/>
          <w:szCs w:val="16"/>
          <w:lang w:val="en-US"/>
        </w:rPr>
        <w:t>BOB</w:t>
      </w:r>
      <w:r w:rsidRPr="005E779E">
        <w:rPr>
          <w:rFonts w:ascii="Times New Roman" w:hAnsi="Times New Roman"/>
          <w:color w:val="000000" w:themeColor="text1"/>
          <w:sz w:val="16"/>
          <w:szCs w:val="16"/>
        </w:rPr>
        <w:t>)- А.В. Загорянский, (1950-е; 1981-92 г.)- В.В. Райзберг, (-1941 г.)- И.Л. Эристов.</w:t>
      </w:r>
    </w:p>
    <w:p w14:paraId="6F6C25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Начальники бюро: проектно-монтажного (-1936 г.)- А.А. Пистолькорс.</w:t>
      </w:r>
    </w:p>
    <w:p w14:paraId="22F398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Руководители групп: по проектированию радиостанции им. Косиора (1937 г.)- В.Д. Селивохин.</w:t>
      </w:r>
    </w:p>
    <w:p w14:paraId="7630E4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 строительства радиостанции им. Косиора (1937 г.)- В.Д. Селивохин.</w:t>
      </w:r>
    </w:p>
    <w:p w14:paraId="4CAF0C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начальника строительства по техчасти радиостанции им. Косиора (1937 г.)- В.А. Енютин.</w:t>
      </w:r>
    </w:p>
    <w:p w14:paraId="72894A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Создано: радиолокатор наведения луча прожектора на самолеты РАП-150 (1948).</w:t>
      </w:r>
    </w:p>
    <w:p w14:paraId="17ED19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Производство: первый отечественный триод ЛЭ-1 (1922-);</w:t>
      </w:r>
      <w:r w:rsidRPr="005E779E">
        <w:rPr>
          <w:rFonts w:ascii="Times New Roman" w:hAnsi="Times New Roman"/>
          <w:color w:val="000000" w:themeColor="text1"/>
          <w:sz w:val="16"/>
          <w:szCs w:val="16"/>
          <w:vertAlign w:val="superscript"/>
        </w:rPr>
        <w:t>103</w:t>
      </w:r>
      <w:r w:rsidRPr="005E779E">
        <w:rPr>
          <w:rFonts w:ascii="Times New Roman" w:hAnsi="Times New Roman"/>
          <w:color w:val="000000" w:themeColor="text1"/>
          <w:sz w:val="16"/>
          <w:szCs w:val="16"/>
        </w:rPr>
        <w:t xml:space="preserve"> радиопеленгаторы: «Градус», для ПЛ «Пассат», типа «Телефункен» (1937); объект «Норд» (1938); РЛС: «Редут» РУС-2, 5Н64, 1С 12 для ЗРК «Круг», П-40;</w:t>
      </w:r>
      <w:r w:rsidRPr="005E779E">
        <w:rPr>
          <w:rFonts w:ascii="Times New Roman" w:hAnsi="Times New Roman"/>
          <w:color w:val="000000" w:themeColor="text1"/>
          <w:sz w:val="16"/>
          <w:szCs w:val="16"/>
          <w:vertAlign w:val="superscript"/>
        </w:rPr>
        <w:t xml:space="preserve">130 </w:t>
      </w:r>
      <w:r w:rsidRPr="005E779E">
        <w:rPr>
          <w:rFonts w:ascii="Times New Roman" w:hAnsi="Times New Roman"/>
          <w:color w:val="000000" w:themeColor="text1"/>
          <w:sz w:val="16"/>
          <w:szCs w:val="16"/>
        </w:rPr>
        <w:t>радиодальномер 1РЛ111Д; изделия 1Л23-6, 1Л24, 76Е6 системы опознавания «Пароль»; радиоприемник ФЭБ (11982).</w:t>
      </w:r>
    </w:p>
    <w:p w14:paraId="7E0B0E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94B31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г. Сталин счел более выгодным заказы на оборудование для всех строящихся промышленных предприятий по возможности переместить из Америки в Европу. В 1932 г. контракт с фирмой Кана был разорван, точнее не продлен. Попытка Альберта Кана лично добиться продления контракта успеха в Москве не имела и его сотрудники покинули Москву.</w:t>
      </w:r>
    </w:p>
    <w:p w14:paraId="24C1F4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Сталин писал Кагановичу 25 августа 1931 г.: «Ввиду валютных затруднений и неприемлемых условий кредита в Америке высказываюсь против каких бы то ни было новых заказов на Америку. Предлагаю воспретить дачу новых заказов на Америку, прервать всякие уже начатые переговоры о новых заказах и по возможности порвать уже заключенные договора о старых заказах с переносом заказов в Европу или на наши собственные заводы. Предлагаю не делать никаких исключений из этого правила ни для Магнитогорска и Кузнецстроя, ни для Харьковстроя, Днепростроя, АМО и Автостроя». Здесь перечислены практически только объекты Кана (за исключением Днепростроя) (11598).</w:t>
      </w:r>
    </w:p>
    <w:p w14:paraId="3FD209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7D26E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августе 1931 года в Халилово приехала комиссия ВСНХ СССР, которая детально изучила результаты разведывательных работ. По итогам ее работы было признано, что Халиловский железорудный район может стать крупной сырьевой базой для всего проекта Урало-Кузнецкого комбината. Но еще до этого, в июне 1931 года ВСНХ принимает решение о начале строительства на базе халиловских руд и карагандинских углей крупного металлургического комбината. Сроки при этом ставятся достаточно ограниченные – полный запуск комбината запланирован на 1936 год. </w:t>
      </w:r>
    </w:p>
    <w:p w14:paraId="5EE177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 том, как в следующие 5 лет шло строительство, известно мало. Геологи продолжали проводить исследования, однако реального возведения промышленного объекта черной металлургии не происходило. Одной из причин стали проволочки с проектированием. Только в 1933 году «Гипромез» и «Гипроруда» разработали проектное задание на строительство Халиловского металлургического завода. Предлагалось построить рудник, сортировочную фабрику, доменный, мартеновский и прокатный цехи. </w:t>
      </w:r>
    </w:p>
    <w:p w14:paraId="0AAF51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всей видимости, в силу нехватки финансовых средств и рабочей силы, строительство было заморожено. На тот момент это не было случаем уникальным – точно также были заморожены проекты Бакальского (Челябинского) и Нижнетагильского меткомбинатов. Объективно страна не могла одновременно тянуть строительство полудюжины крупных металлургических производств (вместе с КМК, Магниткой, Азовсталью и т.п.) (11540).</w:t>
      </w:r>
    </w:p>
    <w:p w14:paraId="02D8C7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1627B1C" w14:textId="77777777" w:rsidR="00C15EF0" w:rsidRPr="005E779E" w:rsidRDefault="00C15EF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 августе 1931 года в опытноконструкторском и испытательном бюро началась разработка бронедрезины Д-37 (18626).</w:t>
      </w:r>
    </w:p>
    <w:p w14:paraId="4A19CC79" w14:textId="77777777" w:rsidR="00C15EF0" w:rsidRPr="005E779E" w:rsidRDefault="00C15EF0" w:rsidP="000B7A6C">
      <w:pPr>
        <w:spacing w:after="0" w:line="240" w:lineRule="auto"/>
        <w:jc w:val="both"/>
        <w:rPr>
          <w:rFonts w:ascii="Times New Roman" w:hAnsi="Times New Roman"/>
          <w:color w:val="000000" w:themeColor="text1"/>
          <w:sz w:val="16"/>
          <w:szCs w:val="16"/>
        </w:rPr>
      </w:pPr>
    </w:p>
    <w:p w14:paraId="5AC60CA1" w14:textId="77777777" w:rsidR="00C15EF0" w:rsidRPr="005E779E" w:rsidRDefault="00C15EF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г. происходит разукрупнение ВЭО, в ре</w:t>
      </w:r>
      <w:r w:rsidRPr="005E779E">
        <w:rPr>
          <w:rFonts w:ascii="Times New Roman" w:hAnsi="Times New Roman"/>
          <w:color w:val="000000" w:themeColor="text1"/>
          <w:sz w:val="16"/>
          <w:szCs w:val="16"/>
        </w:rPr>
        <w:softHyphen/>
        <w:t>зультате чего создается Всесоюзное электрослаботочное объединение (ВЭСО). В его состав вошли 9 заводов и 3 центральные лаборатории, из которых 6 заводов и 2 лаборатории находились в Ленинграде. Правление ВЭСО располагалось в Ле</w:t>
      </w:r>
      <w:r w:rsidRPr="005E779E">
        <w:rPr>
          <w:rFonts w:ascii="Times New Roman" w:hAnsi="Times New Roman"/>
          <w:color w:val="000000" w:themeColor="text1"/>
          <w:sz w:val="16"/>
          <w:szCs w:val="16"/>
        </w:rPr>
        <w:softHyphen/>
        <w:t>нинграде на ул. Гоголя, 14.</w:t>
      </w:r>
    </w:p>
    <w:p w14:paraId="7ADF720C" w14:textId="77777777" w:rsidR="00C15EF0" w:rsidRPr="005E779E" w:rsidRDefault="00C15EF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ВЭСО просуществовало два года, сделав за этот непродолжительный пе</w:t>
      </w:r>
      <w:r w:rsidRPr="005E779E">
        <w:rPr>
          <w:rFonts w:ascii="Times New Roman" w:hAnsi="Times New Roman"/>
          <w:color w:val="000000" w:themeColor="text1"/>
          <w:sz w:val="16"/>
          <w:szCs w:val="16"/>
        </w:rPr>
        <w:softHyphen/>
        <w:t>риод очень многое для развития техники связи. 1 сентября 1933 г. его функции по управлению слаботочной промышленностью были переданы вновь созданно</w:t>
      </w:r>
      <w:r w:rsidRPr="005E779E">
        <w:rPr>
          <w:rFonts w:ascii="Times New Roman" w:hAnsi="Times New Roman"/>
          <w:color w:val="000000" w:themeColor="text1"/>
          <w:sz w:val="16"/>
          <w:szCs w:val="16"/>
        </w:rPr>
        <w:softHyphen/>
        <w:t>му Главному управлению электрослаботочной промышленности (Главэспрому), действовавшему в составе Народного комиссариата тяжелой промышленности (НКТП) (19098).</w:t>
      </w:r>
    </w:p>
    <w:p w14:paraId="69273656" w14:textId="77777777" w:rsidR="00C15EF0" w:rsidRPr="005E779E" w:rsidRDefault="00C15EF0" w:rsidP="000B7A6C">
      <w:pPr>
        <w:spacing w:after="0" w:line="240" w:lineRule="auto"/>
        <w:jc w:val="both"/>
        <w:rPr>
          <w:rFonts w:ascii="Times New Roman" w:hAnsi="Times New Roman"/>
          <w:color w:val="000000" w:themeColor="text1"/>
          <w:sz w:val="16"/>
          <w:szCs w:val="16"/>
        </w:rPr>
      </w:pPr>
    </w:p>
    <w:p w14:paraId="205C6460" w14:textId="77777777" w:rsidR="00C15EF0" w:rsidRPr="005E779E" w:rsidRDefault="00C15EF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г., в ходе очередного этапа реформы системы управления промышленностью, происходит разукрупнение ВЭО, и создается Всесоюзное электрослаботочное объединение (ВЭСО). В его состав вошли девять электрослаботочных заводов и три центральные лаборатории, из которых шесть заводов и две лаборатории находились в Ленинграде. Правление ВЭСО во главе с В.И. Романовским разместилось в Ленинграде на ул. Гоголя, 14. В начале 1932 г., после упразднения ВСНХ, объединение вошло в состав Наркомата тяжелой промышленности (НКТП). Именно ВЭСО довелось решать сложнейшие задачи организации массового производства средств связи в условиях не виданного до тех пор форсирования военных заказов в 1931 г. и «большого скачка» 1932 г. (18297)</w:t>
      </w:r>
    </w:p>
    <w:p w14:paraId="13837644" w14:textId="77777777" w:rsidR="00C15EF0" w:rsidRPr="005E779E" w:rsidRDefault="00C15EF0" w:rsidP="000B7A6C">
      <w:pPr>
        <w:spacing w:after="0" w:line="240" w:lineRule="auto"/>
        <w:jc w:val="both"/>
        <w:rPr>
          <w:rFonts w:ascii="Times New Roman" w:hAnsi="Times New Roman"/>
          <w:color w:val="000000" w:themeColor="text1"/>
          <w:sz w:val="16"/>
          <w:szCs w:val="16"/>
        </w:rPr>
      </w:pPr>
    </w:p>
    <w:p w14:paraId="355CDB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года "бывшая подданная Великобритании" L-55 вступила в боевой строй подводных сил Балтийского флота под тем же номером - 55. В Великой Отечественной войне использовалась как зарядная станция, а затем была отправлена на переплавку. Следует заметить, что подъем лодки L-55 привел к максимальному развертыванию работ подводной экспедиции. Говорили, что сам Сталин заинтересовался работой ЭПРОНа и возможностью поднять затопленный в 1918 году под Новороссийском линкор "Свободная Россия" - для усиления Черноморского флота. В сентябре 28-го эпроновскую партию даже хотели отправить в китайский Нанкин для подъема парохода "Память Ленина", затопленного русскими белогвардейцами незадолго до этого (11628).</w:t>
      </w:r>
    </w:p>
    <w:p w14:paraId="466944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F686F99"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748E1BD8"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DE849FE" w14:textId="77777777" w:rsidR="002C4AC9" w:rsidRPr="00142305" w:rsidRDefault="002C4AC9" w:rsidP="002C4AC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августе 1931 г. с новыми машинами Р-5 познакомили не</w:t>
      </w:r>
      <w:r w:rsidRPr="00142305">
        <w:rPr>
          <w:rFonts w:ascii="Times New Roman" w:hAnsi="Times New Roman"/>
          <w:color w:val="0070C0"/>
          <w:sz w:val="16"/>
          <w:szCs w:val="16"/>
        </w:rPr>
        <w:softHyphen/>
        <w:t>мцев, считавшихся тогда потенциальными союзниками. В летной школе в Липецке, где готовили кадры для военной авиации Германии, прошли совместные учения. С нашей стороны в них участвовало звено Р-5, с немецкой — от</w:t>
      </w:r>
      <w:r w:rsidRPr="00142305">
        <w:rPr>
          <w:rFonts w:ascii="Times New Roman" w:hAnsi="Times New Roman"/>
          <w:color w:val="0070C0"/>
          <w:sz w:val="16"/>
          <w:szCs w:val="16"/>
        </w:rPr>
        <w:softHyphen/>
        <w:t>ряд истребителей Фоккер D.XI 11. Отряд был разбит на три звена с пилотами разной степени подготовленности. На</w:t>
      </w:r>
      <w:r w:rsidRPr="00142305">
        <w:rPr>
          <w:rFonts w:ascii="Times New Roman" w:hAnsi="Times New Roman"/>
          <w:color w:val="0070C0"/>
          <w:sz w:val="16"/>
          <w:szCs w:val="16"/>
        </w:rPr>
        <w:softHyphen/>
        <w:t>ши разведчики совершали налет на условную цель, немцы одним звеном атаковали их. «Фоккеры» были оснащены фотокинопулеметами, что позволяло контролировать ре</w:t>
      </w:r>
      <w:r w:rsidRPr="00142305">
        <w:rPr>
          <w:rFonts w:ascii="Times New Roman" w:hAnsi="Times New Roman"/>
          <w:color w:val="0070C0"/>
          <w:sz w:val="16"/>
          <w:szCs w:val="16"/>
        </w:rPr>
        <w:softHyphen/>
        <w:t>зультаты боя. Для пущей объективности на одном из Р-5 в заднюю кабину посадили стрелка-немца.</w:t>
      </w:r>
    </w:p>
    <w:p w14:paraId="636B82E4" w14:textId="77777777" w:rsidR="002C4AC9" w:rsidRPr="00142305" w:rsidRDefault="002C4AC9" w:rsidP="002C4AC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 атаке разведчики смыкались, поддерживая друг друга огнем, и быстро уходили вперед. Поскольку «фоккер» уступал в скорости Р-5, успешно нападать удавалось только при наличии преимущества в высоте, сверху-сзади, разгоняясь в крутом пикировании (24990).</w:t>
      </w:r>
    </w:p>
    <w:p w14:paraId="2E895B11" w14:textId="77777777" w:rsidR="002C4AC9" w:rsidRPr="00142305" w:rsidRDefault="002C4AC9" w:rsidP="002C4AC9">
      <w:pPr>
        <w:spacing w:after="0" w:line="240" w:lineRule="auto"/>
        <w:jc w:val="both"/>
        <w:rPr>
          <w:rFonts w:ascii="Times New Roman" w:hAnsi="Times New Roman"/>
          <w:color w:val="0070C0"/>
          <w:sz w:val="16"/>
          <w:szCs w:val="16"/>
        </w:rPr>
      </w:pPr>
    </w:p>
    <w:p w14:paraId="0ACF10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г. десантники впервые участвовали в крупных маневрах Красной армии на Украине. Из специальной техники применяли подфюзеляжные кабины, грузовые мешки и контейнеры. 15 августа группа парашютистов захватила аэродром условного противника, на который села эскадрилья ТБ-1 (12036).</w:t>
      </w:r>
    </w:p>
    <w:p w14:paraId="44B6E3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2E30211" w14:textId="77777777" w:rsidR="00EB262B" w:rsidRPr="00142305" w:rsidRDefault="00EB262B" w:rsidP="00EB262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августе 1931 г. десантники впервые участвовали в крупных маневрах Красной армии на Украине. Из специ</w:t>
      </w:r>
      <w:r w:rsidRPr="00142305">
        <w:rPr>
          <w:rFonts w:ascii="Times New Roman" w:hAnsi="Times New Roman"/>
          <w:color w:val="0070C0"/>
          <w:sz w:val="16"/>
          <w:szCs w:val="16"/>
        </w:rPr>
        <w:softHyphen/>
        <w:t>альной техники применяли подфюзеляжные кабины, гру</w:t>
      </w:r>
      <w:r w:rsidRPr="00142305">
        <w:rPr>
          <w:rFonts w:ascii="Times New Roman" w:hAnsi="Times New Roman"/>
          <w:color w:val="0070C0"/>
          <w:sz w:val="16"/>
          <w:szCs w:val="16"/>
        </w:rPr>
        <w:softHyphen/>
        <w:t>зовые мешки и контейнеры (24977).</w:t>
      </w:r>
    </w:p>
    <w:p w14:paraId="39D32B7B" w14:textId="77777777" w:rsidR="00EB262B" w:rsidRPr="00142305" w:rsidRDefault="00EB262B" w:rsidP="00EB262B">
      <w:pPr>
        <w:spacing w:after="0" w:line="240" w:lineRule="auto"/>
        <w:jc w:val="both"/>
        <w:rPr>
          <w:rFonts w:ascii="Times New Roman" w:hAnsi="Times New Roman"/>
          <w:color w:val="0070C0"/>
          <w:sz w:val="16"/>
          <w:szCs w:val="16"/>
        </w:rPr>
      </w:pPr>
    </w:p>
    <w:p w14:paraId="7537D756" w14:textId="77777777" w:rsidR="00EB262B" w:rsidRPr="00142305" w:rsidRDefault="00EB262B" w:rsidP="00EB262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августе 1931 г. начались активные боевые действия против басмачей в Туркмении. И главным козырем советского командования стала именно авиация. Туркменскую авиагруппу значительно усилили, перебросив дополнительные самолеты из Ташкента. Всего там было собрано 28 Р-3ЛД, один «Юнкерс» Ю-13, два Р-5 и один АНТ-9. Причем «новинку» Р-5 отправили на войсковые испытания и на них летали исключительно командир группы Богослов и командир 37-й эскадрильи И.А. Назарчук. Советским летчикам приказали обстреливать и бомбить все подряд: авиаудары наносились по скоплениям людей, скоту и любым строениям. Причем уничтожение скота объяснялось стремлением лишить басмачей источников питания. Приказ, отданный авиаторам, формулировал это так: «В песках все - басмачи».</w:t>
      </w:r>
    </w:p>
    <w:p w14:paraId="7A4CED48" w14:textId="77777777" w:rsidR="00EB262B" w:rsidRPr="00142305" w:rsidRDefault="00EB262B" w:rsidP="00EB262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этой операции практически впервые наземные войска стали учиться взаимодействовать с авиаторами посредством так называемых «полотнищ Попхэма» - больших полос белой ткани. С их помощью на земле выкладывали кодовые сообщения. Кроме того, свое местонахождение красноармейцы обозначали цветными ракетами. Впоследствии эта практика была распространена на весь Военно-воздушный флот (25029).</w:t>
      </w:r>
    </w:p>
    <w:p w14:paraId="7437EAD9" w14:textId="77777777" w:rsidR="00EB262B" w:rsidRPr="00142305" w:rsidRDefault="00EB262B" w:rsidP="00EB262B">
      <w:pPr>
        <w:spacing w:after="0" w:line="240" w:lineRule="auto"/>
        <w:jc w:val="both"/>
        <w:rPr>
          <w:rFonts w:ascii="Times New Roman" w:hAnsi="Times New Roman"/>
          <w:color w:val="0070C0"/>
          <w:sz w:val="16"/>
          <w:szCs w:val="16"/>
        </w:rPr>
      </w:pPr>
    </w:p>
    <w:p w14:paraId="3748F36F"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Внешняя политика:</w:t>
      </w:r>
    </w:p>
    <w:p w14:paraId="04AFBAC6"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49D02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г. с Р-5 познакомили немцев, считавшихся тогда потенциальными союзниками. В летной школе в Липецке, где готовили кадры для военной авиации Германии, прошли совместные учения. С нашей стороны в них участвовало звено Р-5, с немецкой - отряд истребителей Фоккер D.XI 11. Огряд был разбит на три звена с пилотами разной степени подготовленности. Наши разведчики совершали налет на условную цель, немцы одним звеном атаковали их. "Фоккеры" были оснащены фотокинопулеметами, что позволяло контролировать результаты боя. Для пущей объективности на одном из Р-5 в заднюю кабину посадили стрелка-немца.</w:t>
      </w:r>
    </w:p>
    <w:p w14:paraId="767277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атаке разведчики смыкались, поддерживая друг друга огнем, и быстро уходили вперед. Поскольку "фоккер" уступал в скорости Р-5, успешно нападать удавалось только при наличия преимущества в высоте, сверху-сзади, разгоняясь в крутом пикировании.</w:t>
      </w:r>
    </w:p>
    <w:p w14:paraId="204FC4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Через два месяца Р-5 среди других самолетов также показали немецкой военной делегации на Центральном аэродроме в Москве (12034).</w:t>
      </w:r>
    </w:p>
    <w:p w14:paraId="2F3A50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B3535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началась разработка проекта договора о ненападении между СССР и Францией (1348,242).</w:t>
      </w:r>
    </w:p>
    <w:p w14:paraId="734D26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1B97E89"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7438486D"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EE14C6B" w14:textId="77777777" w:rsidR="00EB262B" w:rsidRPr="00142305" w:rsidRDefault="00EB262B" w:rsidP="00EB262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августе 1931 года было завершено создание самой знаменитой «Раду</w:t>
      </w:r>
      <w:r w:rsidRPr="00142305">
        <w:rPr>
          <w:rFonts w:ascii="Times New Roman" w:hAnsi="Times New Roman"/>
          <w:color w:val="0070C0"/>
          <w:sz w:val="16"/>
          <w:szCs w:val="16"/>
        </w:rPr>
        <w:softHyphen/>
        <w:t>ги», известной как Couzinet 70, строительство которой началась в августе 1930 года. Как и предыдущие, она предназначалась для скоростной перевозки почтовых грузов на большие расстояния. Самолет имел фюзеляж прямоугольного поперечного сечения, плавно переходящий в вертикальное оперение. Конструкция планера полностью деревянная с гладкой фанерной обшивкой всех поверхностей. Выступающие части, такие как основные стойки шасси и даже хвостовое колесо, были оснащены обтекателями. Сопряжение крыла и фюзеляжа также имело обтекатели (зализы). Крейсерская скорость у земли составляла 230-250 км/ч, что для 1930 года считалось очень высоким показателем. Дальность полета - 3 854 км. Самолет мог продолжать горизонтальный полет на двух моторах. В случае остановки одного из кры</w:t>
      </w:r>
      <w:r w:rsidRPr="00142305">
        <w:rPr>
          <w:rFonts w:ascii="Times New Roman" w:hAnsi="Times New Roman"/>
          <w:color w:val="0070C0"/>
          <w:sz w:val="16"/>
          <w:szCs w:val="16"/>
        </w:rPr>
        <w:softHyphen/>
        <w:t>льевых двигателей механическая система управления приводила педали в исходное положение после того, как руль направле</w:t>
      </w:r>
      <w:r w:rsidRPr="00142305">
        <w:rPr>
          <w:rFonts w:ascii="Times New Roman" w:hAnsi="Times New Roman"/>
          <w:color w:val="0070C0"/>
          <w:sz w:val="16"/>
          <w:szCs w:val="16"/>
        </w:rPr>
        <w:softHyphen/>
        <w:t>ния был отклонен.</w:t>
      </w:r>
    </w:p>
    <w:p w14:paraId="243D9FFB" w14:textId="77777777" w:rsidR="00EB262B" w:rsidRPr="00142305" w:rsidRDefault="00EB262B" w:rsidP="00EB262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Экипаж самолета состоял из первого пилота - командира корабля, второго пило</w:t>
      </w:r>
      <w:r w:rsidRPr="00142305">
        <w:rPr>
          <w:rFonts w:ascii="Times New Roman" w:hAnsi="Times New Roman"/>
          <w:color w:val="0070C0"/>
          <w:sz w:val="16"/>
          <w:szCs w:val="16"/>
        </w:rPr>
        <w:softHyphen/>
        <w:t>та - механика, штурмана, радиста и бортме</w:t>
      </w:r>
      <w:r w:rsidRPr="00142305">
        <w:rPr>
          <w:rFonts w:ascii="Times New Roman" w:hAnsi="Times New Roman"/>
          <w:color w:val="0070C0"/>
          <w:sz w:val="16"/>
          <w:szCs w:val="16"/>
        </w:rPr>
        <w:softHyphen/>
        <w:t>ханика. Оборудование фюзеляжа позволяло дополнительно взять на борт одного-двух пассажиров. Два отсека, в центральной и задней частях фюзеляжа, предназначались для размещения почтовых грузов. Бортме</w:t>
      </w:r>
      <w:r w:rsidRPr="00142305">
        <w:rPr>
          <w:rFonts w:ascii="Times New Roman" w:hAnsi="Times New Roman"/>
          <w:color w:val="0070C0"/>
          <w:sz w:val="16"/>
          <w:szCs w:val="16"/>
        </w:rPr>
        <w:softHyphen/>
        <w:t>ханик имел доступ к центральному двига</w:t>
      </w:r>
      <w:r w:rsidRPr="00142305">
        <w:rPr>
          <w:rFonts w:ascii="Times New Roman" w:hAnsi="Times New Roman"/>
          <w:color w:val="0070C0"/>
          <w:sz w:val="16"/>
          <w:szCs w:val="16"/>
        </w:rPr>
        <w:softHyphen/>
        <w:t>телю через дверцу в переднем шпангоуте, а к боковым двигателям - через лазы в передней кромке консолей крыла.</w:t>
      </w:r>
    </w:p>
    <w:p w14:paraId="6B2F2471" w14:textId="77777777" w:rsidR="00EB262B" w:rsidRPr="00142305" w:rsidRDefault="00EB262B" w:rsidP="00EB262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Крыло - деревянное двухлонжеронное с фанерной обшивкой. В каждой консоли крыла разместили по пять топливных баков емкостью 1 235, 1 100, 957, 800 и 610 л. В центральной части крыла находился бак на 880 л.</w:t>
      </w:r>
    </w:p>
    <w:p w14:paraId="0A95EF1A" w14:textId="77777777" w:rsidR="00EB262B" w:rsidRPr="00142305" w:rsidRDefault="00EB262B" w:rsidP="00EB262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Силовая установка самолета состояла из трех 12-цилиндровых двигателей Hispano-Suiza 12 Nb мощностью по 650 л.с. Боковые двигатели были установлены под углом 3° к продольной оси, что при выходе одного из них из строя уменьшало нагрузку на руль направления (24916).</w:t>
      </w:r>
    </w:p>
    <w:p w14:paraId="3502693A" w14:textId="77777777" w:rsidR="00EB262B" w:rsidRPr="00142305" w:rsidRDefault="00EB262B" w:rsidP="00EB262B">
      <w:pPr>
        <w:spacing w:after="0" w:line="240" w:lineRule="auto"/>
        <w:jc w:val="both"/>
        <w:rPr>
          <w:rFonts w:ascii="Times New Roman" w:hAnsi="Times New Roman"/>
          <w:color w:val="0070C0"/>
          <w:sz w:val="16"/>
          <w:szCs w:val="16"/>
        </w:rPr>
      </w:pPr>
    </w:p>
    <w:p w14:paraId="6CB63DC4" w14:textId="77777777" w:rsidR="00C52535" w:rsidRPr="005E779E" w:rsidRDefault="00C5253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августе 1931 состоялся первый полет Бернар 81 GR Антуан Пайяр (20804). </w:t>
      </w:r>
    </w:p>
    <w:p w14:paraId="266C6E2F" w14:textId="77777777" w:rsidR="00C52535" w:rsidRPr="005E779E" w:rsidRDefault="00C52535" w:rsidP="000B7A6C">
      <w:pPr>
        <w:spacing w:after="0" w:line="240" w:lineRule="auto"/>
        <w:jc w:val="both"/>
        <w:rPr>
          <w:rFonts w:ascii="Times New Roman" w:hAnsi="Times New Roman"/>
          <w:color w:val="000000" w:themeColor="text1"/>
          <w:sz w:val="16"/>
          <w:szCs w:val="16"/>
        </w:rPr>
      </w:pPr>
    </w:p>
    <w:p w14:paraId="28CBBCCB" w14:textId="77777777" w:rsidR="00C52535" w:rsidRPr="005E779E" w:rsidRDefault="00C5253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1931 г. ракета Небеля «Репульсор-4» на жидком кислороде, спирте и бензине во время испытаний поднялась на высоту 1600 м. Не смотря на неплохие результаты, попытка Небеля в 1933 г. получить государственный заказ на свои ракеты потерпела неудачу. Вместо него Военно-техническое управление вермахта пригласило Вернера фон Брауна, который в это же время в Куммерсдорфе (близ Берлина) начал работу над проектом с условным индексом А-1 (22685).</w:t>
      </w:r>
    </w:p>
    <w:p w14:paraId="2B1688AC" w14:textId="77777777" w:rsidR="00C52535" w:rsidRPr="005E779E" w:rsidRDefault="00C52535" w:rsidP="000B7A6C">
      <w:pPr>
        <w:spacing w:after="0" w:line="240" w:lineRule="auto"/>
        <w:jc w:val="both"/>
        <w:rPr>
          <w:rFonts w:ascii="Times New Roman" w:hAnsi="Times New Roman"/>
          <w:color w:val="000000" w:themeColor="text1"/>
          <w:sz w:val="16"/>
          <w:szCs w:val="16"/>
        </w:rPr>
      </w:pPr>
    </w:p>
    <w:p w14:paraId="2E3F64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августе 1931 года в Германии был испытан одноручечный «Repulsor», достиг высоты около 2 км и благополучно опустился на землю с помощью парашюта. После этого было построено еще несколько таких ракет, две из которых имели большие размеры при том же двигателе. «Repulsor-4» более удачной моделью. Фактически эта ракета ничем не отличалась от предыдущей, но была собран по несколько другой схеме: здесь была сознательно применена такая же направляющая ручка, что и у последних ракет англичанина Конгрева. Она устанавливалась вдоль оси ракетного двигателя. Двигатель, заключенный в небольшой кожух водяного охлаждения, помещался в верхней части ракеты. Две стойки и два топливных трубопровода служили станком, на котором устанавливалась ракета. На опорах крепился бак с </w:t>
      </w:r>
      <w:r w:rsidRPr="005E779E">
        <w:rPr>
          <w:rFonts w:ascii="Times New Roman" w:hAnsi="Times New Roman"/>
          <w:color w:val="000000" w:themeColor="text1"/>
          <w:sz w:val="16"/>
          <w:szCs w:val="16"/>
        </w:rPr>
        <w:lastRenderedPageBreak/>
        <w:t>кислородом. Бензиновый бак помещался ниже бака с кислородом, а парашютный контейнер с лопастями стабилизаторов – ниже бака с бензином. Эта модель получила название «одноручечный репульсор», а последующие типы именовались «двухручечными».</w:t>
      </w:r>
    </w:p>
    <w:p w14:paraId="5109DE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«Одноручечные репульсоры», в целях безопасности не полностью заправленные топливом, поднимались на высоту до 1,6 км. Одна из этих ракет, случайно взлетев под углом, покрыла расстояние свыше 4,8 км (11688).</w:t>
      </w:r>
    </w:p>
    <w:p w14:paraId="02A664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441E82F" w14:textId="01B3566B" w:rsidR="001E2DBB" w:rsidRPr="005E779E" w:rsidRDefault="001E2DBB" w:rsidP="001E2DBB">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Другие оборонные отрасли</w:t>
      </w:r>
      <w:r w:rsidRPr="005E779E">
        <w:rPr>
          <w:rFonts w:ascii="Times New Roman" w:hAnsi="Times New Roman"/>
          <w:i/>
          <w:iCs/>
          <w:color w:val="000000" w:themeColor="text1"/>
          <w:sz w:val="16"/>
          <w:szCs w:val="16"/>
        </w:rPr>
        <w:t>:</w:t>
      </w:r>
    </w:p>
    <w:p w14:paraId="3F752007" w14:textId="77777777" w:rsidR="001E2DBB" w:rsidRPr="005E779E" w:rsidRDefault="001E2DBB" w:rsidP="001E2DBB">
      <w:pPr>
        <w:autoSpaceDE w:val="0"/>
        <w:autoSpaceDN w:val="0"/>
        <w:adjustRightInd w:val="0"/>
        <w:spacing w:after="0" w:line="240" w:lineRule="auto"/>
        <w:jc w:val="both"/>
        <w:rPr>
          <w:rFonts w:ascii="Times New Roman" w:hAnsi="Times New Roman"/>
          <w:iCs/>
          <w:color w:val="000000" w:themeColor="text1"/>
          <w:sz w:val="16"/>
          <w:szCs w:val="16"/>
        </w:rPr>
      </w:pPr>
    </w:p>
    <w:p w14:paraId="39D6AE90" w14:textId="77777777" w:rsidR="001E2DBB" w:rsidRPr="00142305" w:rsidRDefault="001E2DBB" w:rsidP="001E2DBB">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В августе – октябре 1931 г. на участке Брянск – Карачев прошли испытания двух бронепоездов: модернизированного сормовского и изготовленного по чертежам военсклада № 60 (</w:t>
      </w:r>
      <w:r w:rsidRPr="00142305">
        <w:rPr>
          <w:rStyle w:val="2f"/>
          <w:rFonts w:eastAsiaTheme="majorEastAsia"/>
          <w:color w:val="0070C0"/>
          <w:sz w:val="16"/>
          <w:szCs w:val="16"/>
        </w:rPr>
        <w:t>РГВА. Ф. 31811. Оп. 2. Д. 105. Л. 67.</w:t>
      </w:r>
      <w:r w:rsidRPr="00142305">
        <w:rPr>
          <w:rStyle w:val="aff0"/>
          <w:rFonts w:ascii="Times New Roman" w:hAnsi="Times New Roman" w:cs="Times New Roman"/>
          <w:color w:val="0070C0"/>
          <w:spacing w:val="0"/>
          <w:sz w:val="16"/>
          <w:szCs w:val="16"/>
        </w:rPr>
        <w:t>). 3 ноября полученные результаты рассматривались на заседании научно-технического комитета УММ РККА, посвященном модернизации бронепоездов.</w:t>
      </w:r>
    </w:p>
    <w:p w14:paraId="7BF3A3A0" w14:textId="77777777" w:rsidR="001E2DBB" w:rsidRPr="00142305" w:rsidRDefault="001E2DBB" w:rsidP="001E2DBB">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В ходе обсуждения комитет пришел к решению, что проект военсклада № 60 имеет ряд преимуществ: вписывается в габарит европейских железных дорог, броня обеспечивает защиту при обстреле 7,62-мм простой винтовочной пулей со всех дистанций, а бронебойной с дистанции 400 шагов (280 м) и выше, бронеплощадки имеют увеличенный возимый боекомплект (540 выстрелов к орудиям и 10000 патронов к пулеметам), а установка смотровых оптических приборов, телефонной, рупорной, световой связи и электроосвещения значительно улучшают действия команды. В выводах отмечалось: «Проведенная модернизация бронепоездов позволяет управлять в бою как соединением (дивизион), так и отдельными единицами. Из средств ПВО на тендере оставить одну спаренную установку пулеметов Максима с броневым прикрытием для защиты прислуги от наземного огня.</w:t>
      </w:r>
    </w:p>
    <w:p w14:paraId="4CD91EBF" w14:textId="77777777" w:rsidR="001E2DBB" w:rsidRPr="00142305" w:rsidRDefault="001E2DBB" w:rsidP="001E2DBB">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Особо отмечается необходимость срочного выполнения опытных работ по установке в рубках бронепаровозов бронепоездов типа военсклада № 60 предложенных управлением связи РККА стандартных радиостанций типа 72ТК» (</w:t>
      </w:r>
      <w:r w:rsidRPr="001E2DBB">
        <w:rPr>
          <w:rStyle w:val="aff4"/>
          <w:rFonts w:ascii="Times New Roman" w:hAnsi="Times New Roman" w:cs="Times New Roman"/>
          <w:i w:val="0"/>
          <w:iCs w:val="0"/>
          <w:color w:val="0070C0"/>
          <w:sz w:val="16"/>
          <w:szCs w:val="16"/>
          <w:lang w:val="ru-RU"/>
        </w:rPr>
        <w:t>РГВА. Ф. 31811. Оп. 2. Д. 105. Л. 80.</w:t>
      </w:r>
      <w:r w:rsidRPr="00142305">
        <w:rPr>
          <w:rStyle w:val="aff0"/>
          <w:rFonts w:ascii="Times New Roman" w:hAnsi="Times New Roman" w:cs="Times New Roman"/>
          <w:color w:val="0070C0"/>
          <w:spacing w:val="0"/>
          <w:sz w:val="16"/>
          <w:szCs w:val="16"/>
        </w:rPr>
        <w:t>).</w:t>
      </w:r>
    </w:p>
    <w:p w14:paraId="407D5556" w14:textId="77777777" w:rsidR="001E2DBB" w:rsidRPr="00142305" w:rsidRDefault="001E2DBB" w:rsidP="001E2DBB">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По результатам этого заседания было принято решение о бронировании паровозов по проекту военного склада № 60 и постепенной замене ими бронепаровозов, изготовленных в 1918 – 1920 годах. К серийному производству также принимались легкие бронеплощадки типа военного склада № 60. Планом на 1932 год предусматривалось изготовить в мастерских военного склада № 60 14 бронепаровозов и 26 легких бронеплощадок по разработанным в мастерских чертежам.</w:t>
      </w:r>
    </w:p>
    <w:p w14:paraId="233F96D1" w14:textId="77777777" w:rsidR="001E2DBB" w:rsidRPr="00142305" w:rsidRDefault="001E2DBB" w:rsidP="001E2DBB">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При выполнении плана предусматривалось широко использовать «все имеющиеся материалы на поступающих объектах и внутренние ресурсы склада (нижегородская броня и прочее)», а также не изготавливать бронеплощадки полностью, а приводить уже имеющиеся площадки постройки 1918-1920 г. к разработанному проекту стандартной площадки типа военсклада № 60 (</w:t>
      </w:r>
      <w:r w:rsidRPr="001E2DBB">
        <w:rPr>
          <w:rStyle w:val="aff4"/>
          <w:rFonts w:ascii="Times New Roman" w:hAnsi="Times New Roman" w:cs="Times New Roman"/>
          <w:i w:val="0"/>
          <w:iCs w:val="0"/>
          <w:color w:val="0070C0"/>
          <w:sz w:val="16"/>
          <w:szCs w:val="16"/>
          <w:lang w:val="ru-RU"/>
        </w:rPr>
        <w:t>РГВА. Ф. 31811. Оп. 1 Д. 362. Л. 23, 25, 27.</w:t>
      </w:r>
      <w:r w:rsidRPr="00142305">
        <w:rPr>
          <w:rStyle w:val="aff0"/>
          <w:rFonts w:ascii="Times New Roman" w:hAnsi="Times New Roman" w:cs="Times New Roman"/>
          <w:color w:val="0070C0"/>
          <w:spacing w:val="0"/>
          <w:sz w:val="16"/>
          <w:szCs w:val="16"/>
        </w:rPr>
        <w:t>). На них ставились башни с 76-мм орудиями на новых тумбовых установках, выпуск которых организовали на заводе «Красный Профинтерн» в Брянске. От ранее использовавшихся они отличались меньшей массой (их изготавливали литыми, а не клепаными) и более простой конструкцией.</w:t>
      </w:r>
    </w:p>
    <w:p w14:paraId="598989D8" w14:textId="77777777" w:rsidR="001E2DBB" w:rsidRPr="00142305" w:rsidRDefault="001E2DBB" w:rsidP="001E2DBB">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План 1932 года выполнить не удалось – Ижорский завод в Ленинграде, который должен был поставлять броневой лист в Брянск, не смог отгрузить его в необходимом количестве. Проблемы с броневым листом были и в последующем. Так, в марте 1933 года представитель военного склада № 60 сообщал в УММ РККА о полном отсутствии брони для изготовления бронепоездов (</w:t>
      </w:r>
      <w:r w:rsidRPr="001E2DBB">
        <w:rPr>
          <w:rStyle w:val="aff4"/>
          <w:rFonts w:ascii="Times New Roman" w:hAnsi="Times New Roman" w:cs="Times New Roman"/>
          <w:i w:val="0"/>
          <w:iCs w:val="0"/>
          <w:color w:val="0070C0"/>
          <w:sz w:val="16"/>
          <w:szCs w:val="16"/>
          <w:lang w:val="ru-RU"/>
        </w:rPr>
        <w:t>РГВА. Ф. 31811. Оп. 2. Д. 246. Л. 84.</w:t>
      </w:r>
      <w:r w:rsidRPr="00142305">
        <w:rPr>
          <w:rStyle w:val="aff0"/>
          <w:rFonts w:ascii="Times New Roman" w:hAnsi="Times New Roman" w:cs="Times New Roman"/>
          <w:color w:val="0070C0"/>
          <w:spacing w:val="0"/>
          <w:sz w:val="16"/>
          <w:szCs w:val="16"/>
        </w:rPr>
        <w:t>). Для выхода из этой ситуации было принято решение об использовании вместо отсутствующих бронелистов толщиной 10 и 15 мм листов толщиной 13, 15 и 16 мм, которые были забракованы при изготовлении броневых корпусов танков. При этом требовалось, чтобы эти листы не пробивались 7,62-мм бронебойной винтовочной пулей с дистанции 50 м (25635).</w:t>
      </w:r>
    </w:p>
    <w:p w14:paraId="0C7A0CF9" w14:textId="77777777" w:rsidR="001E2DBB" w:rsidRPr="00142305" w:rsidRDefault="001E2DBB" w:rsidP="001E2DBB">
      <w:pPr>
        <w:spacing w:after="0" w:line="240" w:lineRule="auto"/>
        <w:jc w:val="both"/>
        <w:rPr>
          <w:rFonts w:ascii="Times New Roman" w:hAnsi="Times New Roman"/>
          <w:color w:val="0070C0"/>
          <w:sz w:val="16"/>
          <w:szCs w:val="16"/>
        </w:rPr>
      </w:pPr>
    </w:p>
    <w:p w14:paraId="445F9EC5"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235AD106"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E119B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 сентябре 1931 г. ТБ-1 приняли участие в маневрах Красной Армии на Украине. При этом они применялись в качестве дневных и ночных бомбардировщиков, дальних разведчиков и военно-транспортных самолетов (12001).</w:t>
      </w:r>
    </w:p>
    <w:p w14:paraId="3483E8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389E2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августе-сентябре 1931 г. новые самолеты ТБ-1 приняли участие в маневрах Красной армии на Украине. При этом они применялись в качестве дневных и ночных бомбардировщиков, дальних разведчиков и военно-транспортных самолетов. 15 августа десант парашютистов захватил аэродром "противника", на который перебазировалась одна из эскадрилий ТБ-1. 10 и 14 сентября последние сами использовались для перевозки десантников. После захвата площадок выброшенными с трехмоторных АНТ-9 парашютистами тяжелые бомбардировщики начали приземляться там с пехотой на борту (12024).</w:t>
      </w:r>
    </w:p>
    <w:p w14:paraId="1BC5C4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D2048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августе-сентябре 1931 г. новые самолеты ТБ-1 приняли участие в маневрах Красной армии на Украине. При этом они применялись в качестве дневных и ночных бомбардировщиков, дальних разведчиков и военно-транспортных самолетов. 15 августа десант парашютистов захватил аэродром "противника", на который перебазировалась одна из эскадрилий ТБ-1. 10 и 14 сентября последние сами использовались для перевозки десантников. После захвата площадок выброшенными с трехмоторных АНТ-9 парашютистами тяжелые бомбардировщики начали приземляться там с пехотой на борту (12036).</w:t>
      </w:r>
    </w:p>
    <w:p w14:paraId="2A9BB3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B1C0EE0" w14:textId="77777777" w:rsidR="005504A8" w:rsidRPr="005E779E" w:rsidRDefault="005504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августе-сентябре 1931 г. новые самолёты ТБ-1 приняли участие в манёв</w:t>
      </w:r>
      <w:r w:rsidRPr="005E779E">
        <w:rPr>
          <w:rFonts w:ascii="Times New Roman" w:hAnsi="Times New Roman"/>
          <w:color w:val="000000" w:themeColor="text1"/>
          <w:sz w:val="16"/>
          <w:szCs w:val="16"/>
        </w:rPr>
        <w:softHyphen/>
        <w:t>рах Красной армии на Украине. При этом они применялись в каче</w:t>
      </w:r>
      <w:r w:rsidRPr="005E779E">
        <w:rPr>
          <w:rFonts w:ascii="Times New Roman" w:hAnsi="Times New Roman"/>
          <w:color w:val="000000" w:themeColor="text1"/>
          <w:sz w:val="16"/>
          <w:szCs w:val="16"/>
        </w:rPr>
        <w:softHyphen/>
        <w:t>стве дневных и ночных бомбарди</w:t>
      </w:r>
      <w:r w:rsidRPr="005E779E">
        <w:rPr>
          <w:rFonts w:ascii="Times New Roman" w:hAnsi="Times New Roman"/>
          <w:color w:val="000000" w:themeColor="text1"/>
          <w:sz w:val="16"/>
          <w:szCs w:val="16"/>
        </w:rPr>
        <w:softHyphen/>
        <w:t>ровщиков, дальних разведчиков и военно-транспортных самолётов. 15 августа десант парашютистов «захватил» аэродром «противника», на который перебазировалась одна из эскадрилий ТБ-1.10 и 14 сентяб</w:t>
      </w:r>
      <w:r w:rsidRPr="005E779E">
        <w:rPr>
          <w:rFonts w:ascii="Times New Roman" w:hAnsi="Times New Roman"/>
          <w:color w:val="000000" w:themeColor="text1"/>
          <w:sz w:val="16"/>
          <w:szCs w:val="16"/>
        </w:rPr>
        <w:softHyphen/>
        <w:t>ря последние сами использовались для перевозки десантников. После захвата площадок выброшенными с трёхмоторных АНТ-9 парашютис</w:t>
      </w:r>
      <w:r w:rsidRPr="005E779E">
        <w:rPr>
          <w:rFonts w:ascii="Times New Roman" w:hAnsi="Times New Roman"/>
          <w:color w:val="000000" w:themeColor="text1"/>
          <w:sz w:val="16"/>
          <w:szCs w:val="16"/>
        </w:rPr>
        <w:softHyphen/>
        <w:t>тами тяжёлые бомбардировщики начали приземляться там с пехотой на борту (23469).</w:t>
      </w:r>
    </w:p>
    <w:p w14:paraId="4D90F68E" w14:textId="77777777" w:rsidR="005504A8" w:rsidRPr="005E779E" w:rsidRDefault="005504A8" w:rsidP="000B7A6C">
      <w:pPr>
        <w:spacing w:after="0" w:line="240" w:lineRule="auto"/>
        <w:jc w:val="both"/>
        <w:rPr>
          <w:rFonts w:ascii="Times New Roman" w:hAnsi="Times New Roman"/>
          <w:color w:val="000000" w:themeColor="text1"/>
          <w:sz w:val="16"/>
          <w:szCs w:val="16"/>
        </w:rPr>
      </w:pPr>
    </w:p>
    <w:p w14:paraId="3AE6177C" w14:textId="77777777" w:rsidR="001E2DBB" w:rsidRPr="00142305" w:rsidRDefault="001E2DBB" w:rsidP="001E2DB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августе - сентябре 1931 г. новые машины ТБ-1 приняли участие в маневрах Красной Армии на Украине. При этом они применялись в качестве дневных и ночных бомбарди</w:t>
      </w:r>
      <w:r w:rsidRPr="00142305">
        <w:rPr>
          <w:rFonts w:ascii="Times New Roman" w:hAnsi="Times New Roman"/>
          <w:color w:val="0070C0"/>
          <w:sz w:val="16"/>
          <w:szCs w:val="16"/>
        </w:rPr>
        <w:softHyphen/>
        <w:t>ровщиков, дальних разведчиков и военно-транспортных самолетов (25004).</w:t>
      </w:r>
    </w:p>
    <w:p w14:paraId="281FCE9C" w14:textId="77777777" w:rsidR="001E2DBB" w:rsidRPr="00142305" w:rsidRDefault="001E2DBB" w:rsidP="001E2DBB">
      <w:pPr>
        <w:spacing w:after="0" w:line="240" w:lineRule="auto"/>
        <w:jc w:val="both"/>
        <w:rPr>
          <w:rFonts w:ascii="Times New Roman" w:hAnsi="Times New Roman"/>
          <w:color w:val="0070C0"/>
          <w:sz w:val="16"/>
          <w:szCs w:val="16"/>
        </w:rPr>
      </w:pPr>
    </w:p>
    <w:p w14:paraId="6745F2FD" w14:textId="77777777" w:rsidR="001E2DBB" w:rsidRPr="00142305" w:rsidRDefault="001E2DBB" w:rsidP="001E2DB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августе-сентябре 1931 г. новые самолеты ТБ-1 приняли участие в маневрах Красной армии на Украине. При этом они применялись в качестве дневных и ночных бомбарди</w:t>
      </w:r>
      <w:r w:rsidRPr="00142305">
        <w:rPr>
          <w:rFonts w:ascii="Times New Roman" w:hAnsi="Times New Roman"/>
          <w:color w:val="0070C0"/>
          <w:sz w:val="16"/>
          <w:szCs w:val="16"/>
        </w:rPr>
        <w:softHyphen/>
        <w:t>ровщиков, дальних разведчиков и военно-транспортных самолетов. 15 августа десант парашютистов захватил аэро</w:t>
      </w:r>
      <w:r w:rsidRPr="00142305">
        <w:rPr>
          <w:rFonts w:ascii="Times New Roman" w:hAnsi="Times New Roman"/>
          <w:color w:val="0070C0"/>
          <w:sz w:val="16"/>
          <w:szCs w:val="16"/>
        </w:rPr>
        <w:softHyphen/>
        <w:t>дром «противника», на который перебазировалась одна из</w:t>
      </w:r>
      <w:bookmarkStart w:id="44" w:name="bookmark35"/>
      <w:r w:rsidRPr="00142305">
        <w:rPr>
          <w:rFonts w:ascii="Times New Roman" w:hAnsi="Times New Roman"/>
          <w:color w:val="0070C0"/>
          <w:sz w:val="16"/>
          <w:szCs w:val="16"/>
        </w:rPr>
        <w:t xml:space="preserve"> эскадрилий ТБ-1. 10 и 14 сентября последние сами исполь</w:t>
      </w:r>
      <w:r w:rsidRPr="00142305">
        <w:rPr>
          <w:rFonts w:ascii="Times New Roman" w:hAnsi="Times New Roman"/>
          <w:color w:val="0070C0"/>
          <w:sz w:val="16"/>
          <w:szCs w:val="16"/>
        </w:rPr>
        <w:softHyphen/>
        <w:t>зовались для перевозки десантников. После захвата площа</w:t>
      </w:r>
      <w:r w:rsidRPr="00142305">
        <w:rPr>
          <w:rFonts w:ascii="Times New Roman" w:hAnsi="Times New Roman"/>
          <w:color w:val="0070C0"/>
          <w:sz w:val="16"/>
          <w:szCs w:val="16"/>
        </w:rPr>
        <w:softHyphen/>
        <w:t>док выброшенными с трехмоторных АНТ-9 парашютиста</w:t>
      </w:r>
      <w:r w:rsidRPr="00142305">
        <w:rPr>
          <w:rFonts w:ascii="Times New Roman" w:hAnsi="Times New Roman"/>
          <w:color w:val="0070C0"/>
          <w:sz w:val="16"/>
          <w:szCs w:val="16"/>
        </w:rPr>
        <w:softHyphen/>
        <w:t>ми тяжелые бомбардировщики начали приземляться там с пехотой на борту (24977).</w:t>
      </w:r>
      <w:bookmarkEnd w:id="44"/>
    </w:p>
    <w:p w14:paraId="0187B638" w14:textId="77777777" w:rsidR="001E2DBB" w:rsidRPr="00142305" w:rsidRDefault="001E2DBB" w:rsidP="001E2DBB">
      <w:pPr>
        <w:spacing w:after="0" w:line="240" w:lineRule="auto"/>
        <w:jc w:val="both"/>
        <w:rPr>
          <w:rFonts w:ascii="Times New Roman" w:hAnsi="Times New Roman"/>
          <w:color w:val="0070C0"/>
          <w:sz w:val="16"/>
          <w:szCs w:val="16"/>
        </w:rPr>
      </w:pPr>
    </w:p>
    <w:p w14:paraId="4E6641CF" w14:textId="77777777" w:rsidR="001E2DBB" w:rsidRPr="00142305" w:rsidRDefault="001E2DBB" w:rsidP="001E2DB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августе-сентябре 1931 года десантники нештатного отряда парашютистов, созданного 18 марта 1931 г. в Ленинградском военном округе, впервые участвовали в крупных маневрах Красной армии на Украине. Из специальной техники применяли подфюзеляжные кабины, грузовые мешки и контейнеры. 15 августа группа парашютистов захватила аэродром условного противника, на который села эскадрилья ТБ-1. 10 и 14 сентября парашютные десанты сочетались с посадочными. Десантники, выпрыгнув с трехмоторных АНТ-9, подготовили площадки, на которые приземлились бомбардировщики с людьми и оружием. На одном из самолетов доставили автомобиль. Для приехавшего на учения начальства и иностранных атташе организовали демонстрационный сброс трехместного "авиабуса".</w:t>
      </w:r>
    </w:p>
    <w:p w14:paraId="43F77645" w14:textId="77777777" w:rsidR="001E2DBB" w:rsidRPr="00142305" w:rsidRDefault="001E2DBB" w:rsidP="001E2DB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Учения завершились полным успехом, но этот успех несколько омрачила катастрофа, произошедшая сразу после их окончания. Принадлежавший десантному отряду ТБ-1, под которым был подвешен пикап, взлетел, чтобы вернуться на постоянное место дислокации. Самолет был сильно перегружен. Кроме автомобиля, он нес различное имущество. На борту находилось семь человек. При наборе высоты отказал один из моторов (как потом выяснилось, оборвался шатун). Пилот решил сделать круг и сесть на ту же площадку, но он недооценил создаваемого наружной подвеской пикирующего момента. Самолет врезался в землю, все находившиеся на его борту погибли.</w:t>
      </w:r>
    </w:p>
    <w:p w14:paraId="078112BB" w14:textId="77777777" w:rsidR="001E2DBB" w:rsidRPr="00142305" w:rsidRDefault="001E2DBB" w:rsidP="001E2DB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1932 г. нештатный "особый отряд №3" превратили в штатный. Началось формирование еще трех отрядов, переименованных затем в батальоны особого назначения. От обычных стрелковых батальонов они отличались тщательным отбором личного состава и большей насыщенностью автоматическим оружием. Предполагалось, что это будут небольшие мобильные подразделения, обладающие высокой огневой мощью. Каждый батальон особого назначения имел около 150-200 человек личного состава, 18 пулеметов, шесть легких пушек, пять автомобилей, восемь мотоциклов и 36 велосипедов. Батальоны дислоцировались в Ленинградском, Московском, Белорусском и Украинском военных округах. Позднее их стало восемь, в том числе два на Дальнем Востоке и один в Забайкалье. Каждому из них придавался авиационный отряд для тренировок. Батальоны особого назначения входили в состав ВВС (25356).</w:t>
      </w:r>
    </w:p>
    <w:p w14:paraId="7DB8455B" w14:textId="77777777" w:rsidR="001E2DBB" w:rsidRPr="00142305" w:rsidRDefault="001E2DBB" w:rsidP="001E2DBB">
      <w:pPr>
        <w:spacing w:after="0" w:line="240" w:lineRule="auto"/>
        <w:jc w:val="both"/>
        <w:rPr>
          <w:rFonts w:ascii="Times New Roman" w:hAnsi="Times New Roman"/>
          <w:color w:val="0070C0"/>
          <w:sz w:val="16"/>
          <w:szCs w:val="16"/>
        </w:rPr>
      </w:pPr>
    </w:p>
    <w:p w14:paraId="324E70CE" w14:textId="2E2E7526"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Внешняя политика:</w:t>
      </w:r>
    </w:p>
    <w:p w14:paraId="064A6FCC"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0AF9A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лета 1931 И.В.С. якобы встретился с А.Г. в районе Поти на яхте А.Г. (3797).</w:t>
      </w:r>
    </w:p>
    <w:p w14:paraId="258A23F0" w14:textId="77777777" w:rsidR="005504A8" w:rsidRPr="005E779E" w:rsidRDefault="005504A8" w:rsidP="000B7A6C">
      <w:pPr>
        <w:spacing w:after="0" w:line="240" w:lineRule="auto"/>
        <w:jc w:val="both"/>
        <w:rPr>
          <w:rFonts w:ascii="Times New Roman" w:hAnsi="Times New Roman"/>
          <w:color w:val="000000" w:themeColor="text1"/>
          <w:sz w:val="16"/>
          <w:szCs w:val="16"/>
        </w:rPr>
      </w:pPr>
    </w:p>
    <w:p w14:paraId="3F9166FC" w14:textId="1FAAC9E6" w:rsidR="005504A8" w:rsidRPr="005E779E" w:rsidRDefault="005504A8" w:rsidP="000B7A6C">
      <w:pPr>
        <w:autoSpaceDE w:val="0"/>
        <w:autoSpaceDN w:val="0"/>
        <w:adjustRightInd w:val="0"/>
        <w:spacing w:after="0" w:line="240" w:lineRule="auto"/>
        <w:jc w:val="both"/>
        <w:rPr>
          <w:rFonts w:ascii="Times New Roman" w:hAnsi="Times New Roman"/>
          <w:i/>
          <w:iCs/>
          <w:color w:val="000000" w:themeColor="text1"/>
          <w:sz w:val="16"/>
          <w:szCs w:val="16"/>
        </w:rPr>
      </w:pPr>
      <w:r w:rsidRPr="005E779E">
        <w:rPr>
          <w:rFonts w:ascii="Times New Roman" w:hAnsi="Times New Roman"/>
          <w:i/>
          <w:iCs/>
          <w:color w:val="000000" w:themeColor="text1"/>
          <w:sz w:val="16"/>
          <w:szCs w:val="16"/>
        </w:rPr>
        <w:t>За рубежлм:</w:t>
      </w:r>
    </w:p>
    <w:p w14:paraId="48289F3F" w14:textId="77777777" w:rsidR="005504A8" w:rsidRPr="005E779E" w:rsidRDefault="005504A8" w:rsidP="000B7A6C">
      <w:pPr>
        <w:autoSpaceDE w:val="0"/>
        <w:autoSpaceDN w:val="0"/>
        <w:adjustRightInd w:val="0"/>
        <w:spacing w:after="0" w:line="240" w:lineRule="auto"/>
        <w:jc w:val="both"/>
        <w:rPr>
          <w:rFonts w:ascii="Times New Roman" w:hAnsi="Times New Roman"/>
          <w:i/>
          <w:iCs/>
          <w:color w:val="000000" w:themeColor="text1"/>
          <w:sz w:val="16"/>
          <w:szCs w:val="16"/>
        </w:rPr>
      </w:pPr>
    </w:p>
    <w:p w14:paraId="59721B96" w14:textId="77777777" w:rsidR="005504A8" w:rsidRPr="005E779E" w:rsidRDefault="005504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конце лета 1931 г. прототип Ju-52 принимал участие в перелете Balkan Vorfurflug (демонстрационный перелет по Балканам). Перед перелетом машины несколько модернизировали, к примеру, два первых круглых иллюминатора заменили прямоугольными окнами. Капот двигателя был окрашен черной цвет, а на борту фюзеляжа </w:t>
      </w:r>
      <w:r w:rsidRPr="005E779E">
        <w:rPr>
          <w:rFonts w:ascii="Times New Roman" w:hAnsi="Times New Roman"/>
          <w:color w:val="000000" w:themeColor="text1"/>
          <w:sz w:val="16"/>
          <w:szCs w:val="16"/>
        </w:rPr>
        <w:lastRenderedPageBreak/>
        <w:t>ниже кабины черной краской сделана надпись «JUNKERS». Сам самолет не окрашивался и имел цвет натурального дюралюминия. Маршрут протяженностью 6000 км пролегал по Венгрии, Румынии, Болгарии, Югославии, Австрии и Чехословакии. Местные средства массовой информации хвалили чудо немецкой техники, но из-за поразившего Европу экономического спада заказов на Ju-52 не последовало, не смотря на весь этот PR (24200).</w:t>
      </w:r>
    </w:p>
    <w:p w14:paraId="6AA15FF1" w14:textId="77777777" w:rsidR="005504A8" w:rsidRPr="005E779E" w:rsidRDefault="005504A8" w:rsidP="000B7A6C">
      <w:pPr>
        <w:autoSpaceDE w:val="0"/>
        <w:autoSpaceDN w:val="0"/>
        <w:adjustRightInd w:val="0"/>
        <w:spacing w:after="0" w:line="240" w:lineRule="auto"/>
        <w:jc w:val="both"/>
        <w:rPr>
          <w:rFonts w:ascii="Times New Roman" w:hAnsi="Times New Roman"/>
          <w:i/>
          <w:iCs/>
          <w:color w:val="000000" w:themeColor="text1"/>
          <w:sz w:val="16"/>
          <w:szCs w:val="16"/>
        </w:rPr>
      </w:pPr>
    </w:p>
    <w:p w14:paraId="3351323E" w14:textId="76104E86"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4D014AFD"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8D7E279" w14:textId="77777777" w:rsidR="008A46C1" w:rsidRPr="00142305" w:rsidRDefault="008A46C1" w:rsidP="008A46C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осени 1931 г. АНТ-23 И-12 был в достаточной степени готов к испытаниям пушечного вооружения. Первые наземные стрельбы состоялись 11 ноября на аэродроме НИИ ВВС. Стрельбы прошли вполне успешно, однако при возвращении в Москву самолет повредил костыли шасси. Ремонт сопровождался очередными доработками, и И-12 вернулся на аэродром только через три месяца. 8 февраля 1931 года, после проверки машины в воздухе, летчик-испытатель И.Ф. Козлов перегнал этот истребитель в Монино, где продолжились наземные огневые испытания (25642).</w:t>
      </w:r>
    </w:p>
    <w:p w14:paraId="1D18289B" w14:textId="77777777" w:rsidR="008A46C1" w:rsidRPr="00142305" w:rsidRDefault="008A46C1" w:rsidP="008A46C1">
      <w:pPr>
        <w:spacing w:after="0" w:line="240" w:lineRule="auto"/>
        <w:jc w:val="both"/>
        <w:rPr>
          <w:rFonts w:ascii="Times New Roman" w:hAnsi="Times New Roman"/>
          <w:color w:val="0070C0"/>
          <w:sz w:val="16"/>
          <w:szCs w:val="16"/>
        </w:rPr>
      </w:pPr>
    </w:p>
    <w:p w14:paraId="45A6BD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осени 1931 г. изготовление первого образца МБР-2 подходило к концу, и тут Бериев узнал, что двигатель М-27 не будет строиться серийно. Судьба его детища мгновенно повисла на волоске, поскольку директор завода №39 дал распоряжение о немедленном прекращении работ по "машине № 25".</w:t>
      </w:r>
    </w:p>
    <w:p w14:paraId="28B81F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Разработка рабочих чертежей "машины №25" (в обиходе "четвертак") и передача их на завод прошли довольно быстро. Проблемы начались, как только чертежи опытного гидросамолёта спустили в производство. Цеха завода № 39 были плотно загружены плановыми заказами, поэтому детали для "машины №25", которая фактически находилась на положении инициативной разработки, изготавливались в последнюю очередь.</w:t>
      </w:r>
    </w:p>
    <w:p w14:paraId="3AA952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Чтобы как-то выйти из этого положения и не дать своему самолёту превратиться</w:t>
      </w:r>
    </w:p>
    <w:p w14:paraId="0CC6D8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"долгострой", Бериев, что было в духе времени, обратился за помощью в комитет комсомола завода. Его просьба нашла отклик, и комсомольцы взяли шефство над машиной и приняли активное участие в её строительстве.</w:t>
      </w:r>
    </w:p>
    <w:p w14:paraId="435A0A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поисках выхода Бериев решает установить на МБР-2 выпускавшийся серийно двигатель М-17 (советскую копию немецкого BMW VI). Это тоже был 12-цилиндровый мотор водяного охлаждения, но V-образной схемы. Однако по сравнению с М-27 он имел меньшую мощность, что не позволяло получить заявленные в проекте лётно-технические характеристики, но другого варианта не было. Обратившись к директору предприятия с предложением об установке мотора М-17 на свой самолёт, Георгий Михайлович получил решительный отказ, мотивированный тем, что в плане опытных работ завода, утвержденном правительством, "машины № 25" нет.</w:t>
      </w:r>
    </w:p>
    <w:p w14:paraId="704A78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 Бериева оставался последний шанс: напрямую обратиться к одному из руководителей ВАО Н.М. Харламову. Внимательно выслушав конструктора, Харламов тут же связался по телефону с директором завода и дал распоряжение о завершении постройки опытного образца МБР-2 с мотором М-17.</w:t>
      </w:r>
    </w:p>
    <w:p w14:paraId="73F8E8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Постройка МБР-2 возобновилась. Переделка его под новый двигатель не требовала больших затрат, и к концу года машина была собрана. Первый образец получил импортный мотор BMW VIE7.3 с толкающим четырёхлопастным деревянным винтом (12003).</w:t>
      </w:r>
    </w:p>
    <w:p w14:paraId="2EFC20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91DF337" w14:textId="77777777" w:rsidR="008A46C1" w:rsidRPr="00142305" w:rsidRDefault="008A46C1" w:rsidP="008A46C1">
      <w:pPr>
        <w:spacing w:after="0" w:line="240" w:lineRule="auto"/>
        <w:jc w:val="both"/>
        <w:rPr>
          <w:rFonts w:ascii="Times New Roman" w:hAnsi="Times New Roman"/>
          <w:color w:val="0070C0"/>
          <w:sz w:val="16"/>
          <w:szCs w:val="16"/>
        </w:rPr>
      </w:pPr>
      <w:r w:rsidRPr="00142305">
        <w:rPr>
          <w:rStyle w:val="aff0"/>
          <w:rFonts w:ascii="Times New Roman" w:eastAsiaTheme="minorHAnsi" w:hAnsi="Times New Roman" w:cs="Times New Roman"/>
          <w:color w:val="0070C0"/>
          <w:spacing w:val="0"/>
          <w:sz w:val="16"/>
          <w:szCs w:val="16"/>
        </w:rPr>
        <w:t>К осени 1931 г. постройка пер</w:t>
      </w:r>
      <w:r w:rsidRPr="00142305">
        <w:rPr>
          <w:rStyle w:val="aff0"/>
          <w:rFonts w:ascii="Times New Roman" w:eastAsiaTheme="minorHAnsi" w:hAnsi="Times New Roman" w:cs="Times New Roman"/>
          <w:color w:val="0070C0"/>
          <w:spacing w:val="0"/>
          <w:sz w:val="16"/>
          <w:szCs w:val="16"/>
        </w:rPr>
        <w:softHyphen/>
        <w:t>вого прототипа МБР-2 подходила к концу, и тут Бериев узнает, что дви</w:t>
      </w:r>
      <w:r w:rsidRPr="00142305">
        <w:rPr>
          <w:rStyle w:val="aff0"/>
          <w:rFonts w:ascii="Times New Roman" w:eastAsiaTheme="minorHAnsi" w:hAnsi="Times New Roman" w:cs="Times New Roman"/>
          <w:color w:val="0070C0"/>
          <w:spacing w:val="0"/>
          <w:sz w:val="16"/>
          <w:szCs w:val="16"/>
        </w:rPr>
        <w:softHyphen/>
        <w:t>гатель М-27 не будет строиться се</w:t>
      </w:r>
      <w:r w:rsidRPr="00142305">
        <w:rPr>
          <w:rStyle w:val="aff0"/>
          <w:rFonts w:ascii="Times New Roman" w:eastAsiaTheme="minorHAnsi" w:hAnsi="Times New Roman" w:cs="Times New Roman"/>
          <w:color w:val="0070C0"/>
          <w:spacing w:val="0"/>
          <w:sz w:val="16"/>
          <w:szCs w:val="16"/>
        </w:rPr>
        <w:softHyphen/>
        <w:t>рийно. Судьба самолета ЦКБ-25 мгновенно повисла на волоске, поскольку ди</w:t>
      </w:r>
      <w:r w:rsidRPr="00142305">
        <w:rPr>
          <w:rStyle w:val="aff0"/>
          <w:rFonts w:ascii="Times New Roman" w:eastAsiaTheme="minorHAnsi" w:hAnsi="Times New Roman" w:cs="Times New Roman"/>
          <w:color w:val="0070C0"/>
          <w:spacing w:val="0"/>
          <w:sz w:val="16"/>
          <w:szCs w:val="16"/>
        </w:rPr>
        <w:softHyphen/>
        <w:t>ректор завода №39 дал распоряже</w:t>
      </w:r>
      <w:r w:rsidRPr="00142305">
        <w:rPr>
          <w:rStyle w:val="aff0"/>
          <w:rFonts w:ascii="Times New Roman" w:eastAsiaTheme="minorHAnsi" w:hAnsi="Times New Roman" w:cs="Times New Roman"/>
          <w:color w:val="0070C0"/>
          <w:spacing w:val="0"/>
          <w:sz w:val="16"/>
          <w:szCs w:val="16"/>
        </w:rPr>
        <w:softHyphen/>
        <w:t>ние о немедленном прекращении работ по оставшейся без мотора «машине №25».</w:t>
      </w:r>
    </w:p>
    <w:p w14:paraId="6D0870CD" w14:textId="77777777" w:rsidR="008A46C1" w:rsidRPr="00142305" w:rsidRDefault="008A46C1" w:rsidP="008A46C1">
      <w:pPr>
        <w:spacing w:after="0" w:line="240" w:lineRule="auto"/>
        <w:jc w:val="both"/>
        <w:rPr>
          <w:rStyle w:val="aff0"/>
          <w:rFonts w:ascii="Times New Roman" w:eastAsiaTheme="minorHAnsi" w:hAnsi="Times New Roman" w:cs="Times New Roman"/>
          <w:color w:val="0070C0"/>
          <w:spacing w:val="0"/>
          <w:sz w:val="16"/>
          <w:szCs w:val="16"/>
        </w:rPr>
      </w:pPr>
      <w:r w:rsidRPr="00142305">
        <w:rPr>
          <w:rStyle w:val="aff0"/>
          <w:rFonts w:ascii="Times New Roman" w:eastAsiaTheme="minorHAnsi" w:hAnsi="Times New Roman" w:cs="Times New Roman"/>
          <w:color w:val="0070C0"/>
          <w:spacing w:val="0"/>
          <w:sz w:val="16"/>
          <w:szCs w:val="16"/>
        </w:rPr>
        <w:t>В поисках выхода из сложив</w:t>
      </w:r>
      <w:r w:rsidRPr="00142305">
        <w:rPr>
          <w:rStyle w:val="aff0"/>
          <w:rFonts w:ascii="Times New Roman" w:eastAsiaTheme="minorHAnsi" w:hAnsi="Times New Roman" w:cs="Times New Roman"/>
          <w:color w:val="0070C0"/>
          <w:spacing w:val="0"/>
          <w:sz w:val="16"/>
          <w:szCs w:val="16"/>
        </w:rPr>
        <w:softHyphen/>
        <w:t>шейся тупиковой ситуации ГМ. Бе</w:t>
      </w:r>
      <w:r w:rsidRPr="00142305">
        <w:rPr>
          <w:rStyle w:val="aff0"/>
          <w:rFonts w:ascii="Times New Roman" w:eastAsiaTheme="minorHAnsi" w:hAnsi="Times New Roman" w:cs="Times New Roman"/>
          <w:color w:val="0070C0"/>
          <w:spacing w:val="0"/>
          <w:sz w:val="16"/>
          <w:szCs w:val="16"/>
        </w:rPr>
        <w:softHyphen/>
        <w:t>риев решает установить на МБР-2 выпускавшийся серийно двигатель М-17. Однако он, по сравнению с М-27, имел меньшую мощность, что не позволяло получить заяв</w:t>
      </w:r>
      <w:r w:rsidRPr="00142305">
        <w:rPr>
          <w:rStyle w:val="aff0"/>
          <w:rFonts w:ascii="Times New Roman" w:eastAsiaTheme="minorHAnsi" w:hAnsi="Times New Roman" w:cs="Times New Roman"/>
          <w:color w:val="0070C0"/>
          <w:spacing w:val="0"/>
          <w:sz w:val="16"/>
          <w:szCs w:val="16"/>
        </w:rPr>
        <w:softHyphen/>
        <w:t>ленные в проекте летно-техничес</w:t>
      </w:r>
      <w:r w:rsidRPr="00142305">
        <w:rPr>
          <w:rStyle w:val="aff0"/>
          <w:rFonts w:ascii="Times New Roman" w:eastAsiaTheme="minorHAnsi" w:hAnsi="Times New Roman" w:cs="Times New Roman"/>
          <w:color w:val="0070C0"/>
          <w:spacing w:val="0"/>
          <w:sz w:val="16"/>
          <w:szCs w:val="16"/>
        </w:rPr>
        <w:softHyphen/>
        <w:t>кие характеристики, но другого вы</w:t>
      </w:r>
      <w:r w:rsidRPr="00142305">
        <w:rPr>
          <w:rStyle w:val="aff0"/>
          <w:rFonts w:ascii="Times New Roman" w:eastAsiaTheme="minorHAnsi" w:hAnsi="Times New Roman" w:cs="Times New Roman"/>
          <w:color w:val="0070C0"/>
          <w:spacing w:val="0"/>
          <w:sz w:val="16"/>
          <w:szCs w:val="16"/>
        </w:rPr>
        <w:softHyphen/>
        <w:t>хода не было. Обратившись с пред</w:t>
      </w:r>
      <w:r w:rsidRPr="00142305">
        <w:rPr>
          <w:rStyle w:val="aff0"/>
          <w:rFonts w:ascii="Times New Roman" w:eastAsiaTheme="minorHAnsi" w:hAnsi="Times New Roman" w:cs="Times New Roman"/>
          <w:color w:val="0070C0"/>
          <w:spacing w:val="0"/>
          <w:sz w:val="16"/>
          <w:szCs w:val="16"/>
        </w:rPr>
        <w:softHyphen/>
        <w:t>ложением об установке М-17 на «машину №25» к директору завода №39, ГМ. Бериев получил реши</w:t>
      </w:r>
      <w:r w:rsidRPr="00142305">
        <w:rPr>
          <w:rStyle w:val="aff0"/>
          <w:rFonts w:ascii="Times New Roman" w:eastAsiaTheme="minorHAnsi" w:hAnsi="Times New Roman" w:cs="Times New Roman"/>
          <w:color w:val="0070C0"/>
          <w:spacing w:val="0"/>
          <w:sz w:val="16"/>
          <w:szCs w:val="16"/>
        </w:rPr>
        <w:softHyphen/>
        <w:t>тельный отказ, мотивированный тем, что в плане опытных работ за</w:t>
      </w:r>
      <w:r w:rsidRPr="00142305">
        <w:rPr>
          <w:rStyle w:val="aff0"/>
          <w:rFonts w:ascii="Times New Roman" w:eastAsiaTheme="minorHAnsi" w:hAnsi="Times New Roman" w:cs="Times New Roman"/>
          <w:color w:val="0070C0"/>
          <w:spacing w:val="0"/>
          <w:sz w:val="16"/>
          <w:szCs w:val="16"/>
        </w:rPr>
        <w:softHyphen/>
        <w:t>вода, утвержденном Правительст</w:t>
      </w:r>
      <w:r w:rsidRPr="00142305">
        <w:rPr>
          <w:rStyle w:val="aff0"/>
          <w:rFonts w:ascii="Times New Roman" w:eastAsiaTheme="minorHAnsi" w:hAnsi="Times New Roman" w:cs="Times New Roman"/>
          <w:color w:val="0070C0"/>
          <w:spacing w:val="0"/>
          <w:sz w:val="16"/>
          <w:szCs w:val="16"/>
        </w:rPr>
        <w:softHyphen/>
        <w:t>вом, этой машины нет.</w:t>
      </w:r>
    </w:p>
    <w:p w14:paraId="77DC50EB" w14:textId="77777777" w:rsidR="008A46C1" w:rsidRPr="00142305" w:rsidRDefault="008A46C1" w:rsidP="008A46C1">
      <w:pPr>
        <w:spacing w:after="0" w:line="240" w:lineRule="auto"/>
        <w:jc w:val="both"/>
        <w:rPr>
          <w:rFonts w:ascii="Times New Roman" w:hAnsi="Times New Roman"/>
          <w:color w:val="0070C0"/>
          <w:sz w:val="16"/>
          <w:szCs w:val="16"/>
        </w:rPr>
      </w:pPr>
      <w:r w:rsidRPr="00142305">
        <w:rPr>
          <w:rStyle w:val="aff0"/>
          <w:rFonts w:ascii="Times New Roman" w:eastAsiaTheme="minorHAnsi" w:hAnsi="Times New Roman" w:cs="Times New Roman"/>
          <w:color w:val="0070C0"/>
          <w:spacing w:val="0"/>
          <w:sz w:val="16"/>
          <w:szCs w:val="16"/>
        </w:rPr>
        <w:t>Как вспоминал сам Георгий Ми</w:t>
      </w:r>
      <w:r w:rsidRPr="00142305">
        <w:rPr>
          <w:rStyle w:val="aff0"/>
          <w:rFonts w:ascii="Times New Roman" w:eastAsiaTheme="minorHAnsi" w:hAnsi="Times New Roman" w:cs="Times New Roman"/>
          <w:color w:val="0070C0"/>
          <w:spacing w:val="0"/>
          <w:sz w:val="16"/>
          <w:szCs w:val="16"/>
        </w:rPr>
        <w:softHyphen/>
        <w:t>хайлович: «У меня остался послед</w:t>
      </w:r>
      <w:r w:rsidRPr="00142305">
        <w:rPr>
          <w:rStyle w:val="aff0"/>
          <w:rFonts w:ascii="Times New Roman" w:eastAsiaTheme="minorHAnsi" w:hAnsi="Times New Roman" w:cs="Times New Roman"/>
          <w:color w:val="0070C0"/>
          <w:spacing w:val="0"/>
          <w:sz w:val="16"/>
          <w:szCs w:val="16"/>
        </w:rPr>
        <w:softHyphen/>
      </w:r>
    </w:p>
    <w:p w14:paraId="5A194FAA" w14:textId="77777777" w:rsidR="008A46C1" w:rsidRPr="00142305" w:rsidRDefault="008A46C1" w:rsidP="008A46C1">
      <w:pPr>
        <w:spacing w:after="0" w:line="240" w:lineRule="auto"/>
        <w:jc w:val="both"/>
        <w:rPr>
          <w:rFonts w:ascii="Times New Roman" w:hAnsi="Times New Roman"/>
          <w:color w:val="0070C0"/>
          <w:sz w:val="16"/>
          <w:szCs w:val="16"/>
        </w:rPr>
      </w:pPr>
      <w:r w:rsidRPr="00142305">
        <w:rPr>
          <w:rStyle w:val="aff0"/>
          <w:rFonts w:ascii="Times New Roman" w:eastAsiaTheme="minorHAnsi" w:hAnsi="Times New Roman" w:cs="Times New Roman"/>
          <w:color w:val="0070C0"/>
          <w:spacing w:val="0"/>
          <w:sz w:val="16"/>
          <w:szCs w:val="16"/>
        </w:rPr>
        <w:t>ний выход - обратиться с этим во</w:t>
      </w:r>
      <w:r w:rsidRPr="00142305">
        <w:rPr>
          <w:rStyle w:val="aff0"/>
          <w:rFonts w:ascii="Times New Roman" w:eastAsiaTheme="minorHAnsi" w:hAnsi="Times New Roman" w:cs="Times New Roman"/>
          <w:color w:val="0070C0"/>
          <w:spacing w:val="0"/>
          <w:sz w:val="16"/>
          <w:szCs w:val="16"/>
        </w:rPr>
        <w:softHyphen/>
        <w:t>просом к одному из руководителей ВАО Н. М. Харламову.</w:t>
      </w:r>
    </w:p>
    <w:p w14:paraId="1812162F" w14:textId="77777777" w:rsidR="008A46C1" w:rsidRPr="00142305" w:rsidRDefault="008A46C1" w:rsidP="008A46C1">
      <w:pPr>
        <w:spacing w:after="0" w:line="240" w:lineRule="auto"/>
        <w:jc w:val="both"/>
        <w:rPr>
          <w:rFonts w:ascii="Times New Roman" w:hAnsi="Times New Roman"/>
          <w:color w:val="0070C0"/>
          <w:sz w:val="16"/>
          <w:szCs w:val="16"/>
        </w:rPr>
      </w:pPr>
      <w:r w:rsidRPr="00142305">
        <w:rPr>
          <w:rStyle w:val="aff0"/>
          <w:rFonts w:ascii="Times New Roman" w:eastAsiaTheme="minorHAnsi" w:hAnsi="Times New Roman" w:cs="Times New Roman"/>
          <w:color w:val="0070C0"/>
          <w:spacing w:val="0"/>
          <w:sz w:val="16"/>
          <w:szCs w:val="16"/>
        </w:rPr>
        <w:t>На приеме у Харламова я по</w:t>
      </w:r>
      <w:r w:rsidRPr="00142305">
        <w:rPr>
          <w:rStyle w:val="aff0"/>
          <w:rFonts w:ascii="Times New Roman" w:eastAsiaTheme="minorHAnsi" w:hAnsi="Times New Roman" w:cs="Times New Roman"/>
          <w:color w:val="0070C0"/>
          <w:spacing w:val="0"/>
          <w:sz w:val="16"/>
          <w:szCs w:val="16"/>
        </w:rPr>
        <w:softHyphen/>
        <w:t>дробно доложил ему обо всей про</w:t>
      </w:r>
      <w:r w:rsidRPr="00142305">
        <w:rPr>
          <w:rStyle w:val="aff0"/>
          <w:rFonts w:ascii="Times New Roman" w:eastAsiaTheme="minorHAnsi" w:hAnsi="Times New Roman" w:cs="Times New Roman"/>
          <w:color w:val="0070C0"/>
          <w:spacing w:val="0"/>
          <w:sz w:val="16"/>
          <w:szCs w:val="16"/>
        </w:rPr>
        <w:softHyphen/>
        <w:t>деланной по самолету работе и о своем предложении по поводу ус</w:t>
      </w:r>
      <w:r w:rsidRPr="00142305">
        <w:rPr>
          <w:rStyle w:val="aff0"/>
          <w:rFonts w:ascii="Times New Roman" w:eastAsiaTheme="minorHAnsi" w:hAnsi="Times New Roman" w:cs="Times New Roman"/>
          <w:color w:val="0070C0"/>
          <w:spacing w:val="0"/>
          <w:sz w:val="16"/>
          <w:szCs w:val="16"/>
        </w:rPr>
        <w:softHyphen/>
        <w:t>тановки на нем мотора М-17. Нико</w:t>
      </w:r>
      <w:r w:rsidRPr="00142305">
        <w:rPr>
          <w:rStyle w:val="aff0"/>
          <w:rFonts w:ascii="Times New Roman" w:eastAsiaTheme="minorHAnsi" w:hAnsi="Times New Roman" w:cs="Times New Roman"/>
          <w:color w:val="0070C0"/>
          <w:spacing w:val="0"/>
          <w:sz w:val="16"/>
          <w:szCs w:val="16"/>
        </w:rPr>
        <w:softHyphen/>
        <w:t>лай Михайлович, внимательно вы</w:t>
      </w:r>
      <w:r w:rsidRPr="00142305">
        <w:rPr>
          <w:rStyle w:val="aff0"/>
          <w:rFonts w:ascii="Times New Roman" w:eastAsiaTheme="minorHAnsi" w:hAnsi="Times New Roman" w:cs="Times New Roman"/>
          <w:color w:val="0070C0"/>
          <w:spacing w:val="0"/>
          <w:sz w:val="16"/>
          <w:szCs w:val="16"/>
        </w:rPr>
        <w:softHyphen/>
        <w:t>слушав меня, тут же связался по те</w:t>
      </w:r>
      <w:r w:rsidRPr="00142305">
        <w:rPr>
          <w:rStyle w:val="aff0"/>
          <w:rFonts w:ascii="Times New Roman" w:eastAsiaTheme="minorHAnsi" w:hAnsi="Times New Roman" w:cs="Times New Roman"/>
          <w:color w:val="0070C0"/>
          <w:spacing w:val="0"/>
          <w:sz w:val="16"/>
          <w:szCs w:val="16"/>
        </w:rPr>
        <w:softHyphen/>
        <w:t>лефону с директором завода и дал распоряжение о завершении пост</w:t>
      </w:r>
      <w:r w:rsidRPr="00142305">
        <w:rPr>
          <w:rStyle w:val="aff0"/>
          <w:rFonts w:ascii="Times New Roman" w:eastAsiaTheme="minorHAnsi" w:hAnsi="Times New Roman" w:cs="Times New Roman"/>
          <w:color w:val="0070C0"/>
          <w:spacing w:val="0"/>
          <w:sz w:val="16"/>
          <w:szCs w:val="16"/>
        </w:rPr>
        <w:softHyphen/>
        <w:t>ройки опытной машины МБР-2 с выбранным мною мотором».</w:t>
      </w:r>
    </w:p>
    <w:p w14:paraId="08E9D25C" w14:textId="77777777" w:rsidR="008A46C1" w:rsidRPr="00142305" w:rsidRDefault="008A46C1" w:rsidP="008A46C1">
      <w:pPr>
        <w:spacing w:after="0" w:line="240" w:lineRule="auto"/>
        <w:jc w:val="both"/>
        <w:rPr>
          <w:rFonts w:ascii="Times New Roman" w:hAnsi="Times New Roman"/>
          <w:color w:val="0070C0"/>
          <w:sz w:val="16"/>
          <w:szCs w:val="16"/>
        </w:rPr>
      </w:pPr>
      <w:r w:rsidRPr="00142305">
        <w:rPr>
          <w:rStyle w:val="aff0"/>
          <w:rFonts w:ascii="Times New Roman" w:eastAsiaTheme="minorHAnsi" w:hAnsi="Times New Roman" w:cs="Times New Roman"/>
          <w:color w:val="0070C0"/>
          <w:spacing w:val="0"/>
          <w:sz w:val="16"/>
          <w:szCs w:val="16"/>
        </w:rPr>
        <w:t>После звонка Харламова пост</w:t>
      </w:r>
      <w:r w:rsidRPr="00142305">
        <w:rPr>
          <w:rStyle w:val="aff0"/>
          <w:rFonts w:ascii="Times New Roman" w:eastAsiaTheme="minorHAnsi" w:hAnsi="Times New Roman" w:cs="Times New Roman"/>
          <w:color w:val="0070C0"/>
          <w:spacing w:val="0"/>
          <w:sz w:val="16"/>
          <w:szCs w:val="16"/>
        </w:rPr>
        <w:softHyphen/>
        <w:t>ройка МБР-2 возобновилась. Пере</w:t>
      </w:r>
      <w:r w:rsidRPr="00142305">
        <w:rPr>
          <w:rStyle w:val="aff0"/>
          <w:rFonts w:ascii="Times New Roman" w:eastAsiaTheme="minorHAnsi" w:hAnsi="Times New Roman" w:cs="Times New Roman"/>
          <w:color w:val="0070C0"/>
          <w:spacing w:val="0"/>
          <w:sz w:val="16"/>
          <w:szCs w:val="16"/>
        </w:rPr>
        <w:softHyphen/>
        <w:t>делка самолета под новый двига</w:t>
      </w:r>
      <w:r w:rsidRPr="00142305">
        <w:rPr>
          <w:rStyle w:val="aff0"/>
          <w:rFonts w:ascii="Times New Roman" w:eastAsiaTheme="minorHAnsi" w:hAnsi="Times New Roman" w:cs="Times New Roman"/>
          <w:color w:val="0070C0"/>
          <w:spacing w:val="0"/>
          <w:sz w:val="16"/>
          <w:szCs w:val="16"/>
        </w:rPr>
        <w:softHyphen/>
        <w:t>тель не требовала больших затрат, и к концу года машина была собра</w:t>
      </w:r>
      <w:r w:rsidRPr="00142305">
        <w:rPr>
          <w:rStyle w:val="aff0"/>
          <w:rFonts w:ascii="Times New Roman" w:eastAsiaTheme="minorHAnsi" w:hAnsi="Times New Roman" w:cs="Times New Roman"/>
          <w:color w:val="0070C0"/>
          <w:spacing w:val="0"/>
          <w:sz w:val="16"/>
          <w:szCs w:val="16"/>
        </w:rPr>
        <w:softHyphen/>
        <w:t>на. Первый прототип получил дви</w:t>
      </w:r>
      <w:r w:rsidRPr="00142305">
        <w:rPr>
          <w:rStyle w:val="aff0"/>
          <w:rFonts w:ascii="Times New Roman" w:eastAsiaTheme="minorHAnsi" w:hAnsi="Times New Roman" w:cs="Times New Roman"/>
          <w:color w:val="0070C0"/>
          <w:spacing w:val="0"/>
          <w:sz w:val="16"/>
          <w:szCs w:val="16"/>
        </w:rPr>
        <w:softHyphen/>
        <w:t xml:space="preserve">гатель </w:t>
      </w:r>
      <w:r w:rsidRPr="00142305">
        <w:rPr>
          <w:rStyle w:val="aff0"/>
          <w:rFonts w:ascii="Times New Roman" w:eastAsiaTheme="minorHAnsi" w:hAnsi="Times New Roman" w:cs="Times New Roman"/>
          <w:color w:val="0070C0"/>
          <w:spacing w:val="0"/>
          <w:sz w:val="16"/>
          <w:szCs w:val="16"/>
          <w:lang w:val="en-US"/>
        </w:rPr>
        <w:t>BMW</w:t>
      </w:r>
      <w:r w:rsidRPr="00142305">
        <w:rPr>
          <w:rStyle w:val="aff0"/>
          <w:rFonts w:ascii="Times New Roman" w:eastAsiaTheme="minorHAnsi" w:hAnsi="Times New Roman" w:cs="Times New Roman"/>
          <w:color w:val="0070C0"/>
          <w:spacing w:val="0"/>
          <w:sz w:val="16"/>
          <w:szCs w:val="16"/>
        </w:rPr>
        <w:t>-</w:t>
      </w:r>
      <w:r w:rsidRPr="00142305">
        <w:rPr>
          <w:rStyle w:val="aff0"/>
          <w:rFonts w:ascii="Times New Roman" w:eastAsiaTheme="minorHAnsi" w:hAnsi="Times New Roman" w:cs="Times New Roman"/>
          <w:color w:val="0070C0"/>
          <w:spacing w:val="0"/>
          <w:sz w:val="16"/>
          <w:szCs w:val="16"/>
          <w:lang w:val="en-US"/>
        </w:rPr>
        <w:t>VIE</w:t>
      </w:r>
      <w:r w:rsidRPr="00142305">
        <w:rPr>
          <w:rStyle w:val="aff0"/>
          <w:rFonts w:ascii="Times New Roman" w:eastAsiaTheme="minorHAnsi" w:hAnsi="Times New Roman" w:cs="Times New Roman"/>
          <w:color w:val="0070C0"/>
          <w:spacing w:val="0"/>
          <w:sz w:val="16"/>
          <w:szCs w:val="16"/>
        </w:rPr>
        <w:t>7.3 с толкающим четырехлопастным деревянным винтом, что, впрочем, дела не меня</w:t>
      </w:r>
      <w:r w:rsidRPr="00142305">
        <w:rPr>
          <w:rStyle w:val="aff0"/>
          <w:rFonts w:ascii="Times New Roman" w:eastAsiaTheme="minorHAnsi" w:hAnsi="Times New Roman" w:cs="Times New Roman"/>
          <w:color w:val="0070C0"/>
          <w:spacing w:val="0"/>
          <w:sz w:val="16"/>
          <w:szCs w:val="16"/>
        </w:rPr>
        <w:softHyphen/>
        <w:t>ло, поскольку М-17 был его лицен</w:t>
      </w:r>
      <w:r w:rsidRPr="00142305">
        <w:rPr>
          <w:rStyle w:val="aff0"/>
          <w:rFonts w:ascii="Times New Roman" w:eastAsiaTheme="minorHAnsi" w:hAnsi="Times New Roman" w:cs="Times New Roman"/>
          <w:color w:val="0070C0"/>
          <w:spacing w:val="0"/>
          <w:sz w:val="16"/>
          <w:szCs w:val="16"/>
        </w:rPr>
        <w:softHyphen/>
        <w:t>зионным аналогом. Были проведе</w:t>
      </w:r>
      <w:r w:rsidRPr="00142305">
        <w:rPr>
          <w:rStyle w:val="aff0"/>
          <w:rFonts w:ascii="Times New Roman" w:eastAsiaTheme="minorHAnsi" w:hAnsi="Times New Roman" w:cs="Times New Roman"/>
          <w:color w:val="0070C0"/>
          <w:spacing w:val="0"/>
          <w:sz w:val="16"/>
          <w:szCs w:val="16"/>
        </w:rPr>
        <w:softHyphen/>
        <w:t>ны статические испытания крыла и оперения, центровка самолета (25061).</w:t>
      </w:r>
    </w:p>
    <w:p w14:paraId="0D37B944" w14:textId="77777777" w:rsidR="008A46C1" w:rsidRPr="00142305" w:rsidRDefault="008A46C1" w:rsidP="008A46C1">
      <w:pPr>
        <w:spacing w:after="0" w:line="240" w:lineRule="auto"/>
        <w:jc w:val="both"/>
        <w:rPr>
          <w:rFonts w:ascii="Times New Roman" w:hAnsi="Times New Roman"/>
          <w:color w:val="0070C0"/>
          <w:sz w:val="16"/>
          <w:szCs w:val="16"/>
        </w:rPr>
      </w:pPr>
    </w:p>
    <w:p w14:paraId="43DB8E4D" w14:textId="77777777" w:rsidR="005504A8" w:rsidRPr="005E779E" w:rsidRDefault="005504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осени 1931 г. штат ЦКБ-39 достиг 500 человек (в нем уже не осталось заключенных), и были планы по его дальнейшему расширению (23559).</w:t>
      </w:r>
    </w:p>
    <w:p w14:paraId="58EEFB9C" w14:textId="77777777" w:rsidR="005504A8" w:rsidRPr="005E779E" w:rsidRDefault="005504A8" w:rsidP="000B7A6C">
      <w:pPr>
        <w:spacing w:after="0" w:line="240" w:lineRule="auto"/>
        <w:jc w:val="both"/>
        <w:rPr>
          <w:rFonts w:ascii="Times New Roman" w:hAnsi="Times New Roman"/>
          <w:color w:val="000000" w:themeColor="text1"/>
          <w:sz w:val="16"/>
          <w:szCs w:val="16"/>
        </w:rPr>
      </w:pPr>
    </w:p>
    <w:p w14:paraId="0AF8C931" w14:textId="77777777" w:rsidR="008A46C1" w:rsidRPr="00142305" w:rsidRDefault="008A46C1" w:rsidP="008A46C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осени 1931 года над разными проектами в ЦКБ (центральное конструкторское бюро) работало приблизительно 500 человек. Однако из</w:t>
      </w:r>
      <w:r w:rsidRPr="00142305">
        <w:rPr>
          <w:rFonts w:ascii="Times New Roman" w:hAnsi="Times New Roman"/>
          <w:color w:val="0070C0"/>
          <w:sz w:val="16"/>
          <w:szCs w:val="16"/>
        </w:rPr>
        <w:noBreakHyphen/>
        <w:t>за неопытности, слишком большой рабочей нагрузки и других факторов, надежды Сталина на быструю разработку новых конструкций самолетов не были реализованы. В результате, в 1932 году ЦКБ был реорганизован. Система централизованного планирования, заменялась системой отдельных проектных групп – бригад, которые имели собственную специализацию по различным типам самолётов. Руководителем ЦКБ был назначен Ильюшин. Поликарпов руководил вновь сформированной «второй бригадой» специализировавшейся на проектировании истребителей (25069).</w:t>
      </w:r>
    </w:p>
    <w:p w14:paraId="054B1D51" w14:textId="77777777" w:rsidR="008A46C1" w:rsidRPr="00142305" w:rsidRDefault="008A46C1" w:rsidP="008A46C1">
      <w:pPr>
        <w:spacing w:after="0" w:line="240" w:lineRule="auto"/>
        <w:jc w:val="both"/>
        <w:rPr>
          <w:rFonts w:ascii="Times New Roman" w:hAnsi="Times New Roman"/>
          <w:color w:val="0070C0"/>
          <w:sz w:val="16"/>
          <w:szCs w:val="16"/>
        </w:rPr>
      </w:pPr>
    </w:p>
    <w:p w14:paraId="1967BEA4" w14:textId="77EB373C" w:rsidR="005C4849" w:rsidRPr="005E779E" w:rsidRDefault="005504A8"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Другое оборонные отрасли:</w:t>
      </w:r>
    </w:p>
    <w:p w14:paraId="3C095A77"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AE09242" w14:textId="77777777" w:rsidR="005504A8" w:rsidRPr="005E779E" w:rsidRDefault="005504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сентябрю 1931 заводская газета завода № 15 сообщала:</w:t>
      </w:r>
    </w:p>
    <w:p w14:paraId="7457C1D2" w14:textId="77777777" w:rsidR="005504A8" w:rsidRPr="005E779E" w:rsidRDefault="005504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«План строительства должен быть выполнен. Для решения этой задачи администрация, общественно-партийные организации постройки № 16 должны мобилизовать все силы.</w:t>
      </w:r>
    </w:p>
    <w:p w14:paraId="65B378F1" w14:textId="77777777" w:rsidR="005504A8" w:rsidRPr="005E779E" w:rsidRDefault="005504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Всякие ссылки на планы, материалы, нехватки рабочей силы и подобные причины надо прекратить. Уже давно пора уточнить процент осуществления стройфинплана с заказчиком, так как имеющиеся разногласия тормозят дело.</w:t>
      </w:r>
    </w:p>
    <w:p w14:paraId="3133A5DF" w14:textId="77777777" w:rsidR="005504A8" w:rsidRPr="005E779E" w:rsidRDefault="005504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1 августа по сведению начальника работ стройфинплан выполнен на 22 проц., а по указаниям заказчика – на 19 проц. Ни у того, ни у другого нет точных данных. Однако общее состояние завода явно неудовлетворительно. Стройка затрудняется отсутствием чертежей, недостатком пиломатериалов и других принадлежностей: болтов, шайб и т. д.</w:t>
      </w:r>
    </w:p>
    <w:p w14:paraId="256F1A34" w14:textId="77777777" w:rsidR="005504A8" w:rsidRPr="005E779E" w:rsidRDefault="005504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серьезном отношении инженерно-технического персонала, партийно-комсомольской массы и рабочего актива можно ускорить срок и увеличить процент реализации стройфинплана. Соцсоревнование и ударничество развернуто недостаточно. Не связаны договором ведущие профессии: каменщики и плотники.</w:t>
      </w:r>
    </w:p>
    <w:p w14:paraId="324D0D97" w14:textId="77777777" w:rsidR="005504A8" w:rsidRPr="005E779E" w:rsidRDefault="005504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Партколлектив и постройком должны в ближайший день провести эту работу.</w:t>
      </w:r>
    </w:p>
    <w:p w14:paraId="510F2562" w14:textId="77777777" w:rsidR="005504A8" w:rsidRPr="005E779E" w:rsidRDefault="005504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Обязанность адмтехперсонала – заставить по-боевому справляться не только себя, но и низовые звенья.</w:t>
      </w:r>
    </w:p>
    <w:p w14:paraId="4D19FE09" w14:textId="77777777" w:rsidR="005504A8" w:rsidRPr="005E779E" w:rsidRDefault="005504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Надо спешить. Нельзя барак № 1 засыпать целые 2 недели, нельзя начинать каменную кладку без бута и трепела для промзоны и теплых растворов на мастерские. Болты для фермы засыпаются слишком долго.</w:t>
      </w:r>
    </w:p>
    <w:p w14:paraId="79338C83" w14:textId="77777777" w:rsidR="005504A8" w:rsidRPr="005E779E" w:rsidRDefault="005504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Учтя все недостатки производства, мы пообещаемся в последующее время наладить руководство и исполнение так, чтобы до наступления холодов каменная кладка и железобетон были закончены, а также деревянные оборудования помещений. Темпы нам помогут»[21]. (24153).</w:t>
      </w:r>
    </w:p>
    <w:p w14:paraId="49A27759" w14:textId="77777777" w:rsidR="005504A8" w:rsidRPr="005E779E" w:rsidRDefault="005504A8" w:rsidP="000B7A6C">
      <w:pPr>
        <w:spacing w:after="0" w:line="240" w:lineRule="auto"/>
        <w:jc w:val="both"/>
        <w:rPr>
          <w:rFonts w:ascii="Times New Roman" w:hAnsi="Times New Roman"/>
          <w:color w:val="000000" w:themeColor="text1"/>
          <w:sz w:val="16"/>
          <w:szCs w:val="16"/>
        </w:rPr>
      </w:pPr>
    </w:p>
    <w:p w14:paraId="7066014C" w14:textId="77777777" w:rsidR="008A46C1" w:rsidRPr="00142305" w:rsidRDefault="008A46C1" w:rsidP="008A46C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осени 1931 года конструкторы в составе Инженеров Асафонова, Алек</w:t>
      </w:r>
      <w:r w:rsidRPr="00142305">
        <w:rPr>
          <w:rFonts w:ascii="Times New Roman" w:hAnsi="Times New Roman"/>
          <w:color w:val="0070C0"/>
          <w:sz w:val="16"/>
          <w:szCs w:val="16"/>
        </w:rPr>
        <w:softHyphen/>
        <w:t>сеева и Скворцова, которые с начала года начали проектиро</w:t>
      </w:r>
      <w:r w:rsidRPr="00142305">
        <w:rPr>
          <w:rFonts w:ascii="Times New Roman" w:hAnsi="Times New Roman"/>
          <w:color w:val="0070C0"/>
          <w:sz w:val="16"/>
          <w:szCs w:val="16"/>
        </w:rPr>
        <w:softHyphen/>
        <w:t>вание маневренного (среднего) танка, используя опыт работ по ТГ, представи</w:t>
      </w:r>
      <w:r w:rsidRPr="00142305">
        <w:rPr>
          <w:rFonts w:ascii="Times New Roman" w:hAnsi="Times New Roman"/>
          <w:color w:val="0070C0"/>
          <w:sz w:val="16"/>
          <w:szCs w:val="16"/>
        </w:rPr>
        <w:softHyphen/>
        <w:t xml:space="preserve">ли на рассмотрение несколько проектов </w:t>
      </w:r>
    </w:p>
    <w:p w14:paraId="144CA2D8" w14:textId="77777777" w:rsidR="008A46C1" w:rsidRPr="00142305" w:rsidRDefault="008A46C1" w:rsidP="008A46C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Первый вариант, получивший обо</w:t>
      </w:r>
      <w:r w:rsidRPr="00142305">
        <w:rPr>
          <w:rFonts w:ascii="Times New Roman" w:hAnsi="Times New Roman"/>
          <w:color w:val="0070C0"/>
          <w:sz w:val="16"/>
          <w:szCs w:val="16"/>
        </w:rPr>
        <w:softHyphen/>
        <w:t>значение Т-1001 или ТА-1, имел клас</w:t>
      </w:r>
      <w:r w:rsidRPr="00142305">
        <w:rPr>
          <w:rFonts w:ascii="Times New Roman" w:hAnsi="Times New Roman"/>
          <w:color w:val="0070C0"/>
          <w:sz w:val="16"/>
          <w:szCs w:val="16"/>
        </w:rPr>
        <w:softHyphen/>
        <w:t>сическую схему компоновки — отделе</w:t>
      </w:r>
      <w:r w:rsidRPr="00142305">
        <w:rPr>
          <w:rFonts w:ascii="Times New Roman" w:hAnsi="Times New Roman"/>
          <w:color w:val="0070C0"/>
          <w:sz w:val="16"/>
          <w:szCs w:val="16"/>
        </w:rPr>
        <w:softHyphen/>
        <w:t>ние управления впереди, боевое в цен</w:t>
      </w:r>
      <w:r w:rsidRPr="00142305">
        <w:rPr>
          <w:rFonts w:ascii="Times New Roman" w:hAnsi="Times New Roman"/>
          <w:color w:val="0070C0"/>
          <w:sz w:val="16"/>
          <w:szCs w:val="16"/>
        </w:rPr>
        <w:softHyphen/>
        <w:t>тре и моторно-трансмиссионное сзади. Машина имела двухъярусное размеще</w:t>
      </w:r>
      <w:r w:rsidRPr="00142305">
        <w:rPr>
          <w:rFonts w:ascii="Times New Roman" w:hAnsi="Times New Roman"/>
          <w:color w:val="0070C0"/>
          <w:sz w:val="16"/>
          <w:szCs w:val="16"/>
        </w:rPr>
        <w:softHyphen/>
        <w:t>ние вооружения в верхней башне 37-мм, а в нижней — 76-мм орудия. Башни куполообразной формы вращались не</w:t>
      </w:r>
      <w:r w:rsidRPr="00142305">
        <w:rPr>
          <w:rFonts w:ascii="Times New Roman" w:hAnsi="Times New Roman"/>
          <w:color w:val="0070C0"/>
          <w:sz w:val="16"/>
          <w:szCs w:val="16"/>
        </w:rPr>
        <w:softHyphen/>
        <w:t>зависимо друг от друга. 37-мм пушка с углом обстрела по вертикали +65 гра</w:t>
      </w:r>
      <w:r w:rsidRPr="00142305">
        <w:rPr>
          <w:rFonts w:ascii="Times New Roman" w:hAnsi="Times New Roman"/>
          <w:color w:val="0070C0"/>
          <w:sz w:val="16"/>
          <w:szCs w:val="16"/>
        </w:rPr>
        <w:softHyphen/>
        <w:t>дусов, что обеспечивало возможность ведения огня по самолетам. Кроме того, ТА-1 вооружался тремя пулеметами Максима в шаровых установках — один в отделении управления, слева от меха</w:t>
      </w:r>
      <w:r w:rsidRPr="00142305">
        <w:rPr>
          <w:rFonts w:ascii="Times New Roman" w:hAnsi="Times New Roman"/>
          <w:color w:val="0070C0"/>
          <w:sz w:val="16"/>
          <w:szCs w:val="16"/>
        </w:rPr>
        <w:softHyphen/>
        <w:t>ника-водителя, и два в кормовой части нижней башни с 76-мм орудием. Соглас</w:t>
      </w:r>
      <w:r w:rsidRPr="00142305">
        <w:rPr>
          <w:rFonts w:ascii="Times New Roman" w:hAnsi="Times New Roman"/>
          <w:color w:val="0070C0"/>
          <w:sz w:val="16"/>
          <w:szCs w:val="16"/>
        </w:rPr>
        <w:softHyphen/>
        <w:t>но пояснительной записке, возимый бо</w:t>
      </w:r>
      <w:r w:rsidRPr="00142305">
        <w:rPr>
          <w:rFonts w:ascii="Times New Roman" w:hAnsi="Times New Roman"/>
          <w:color w:val="0070C0"/>
          <w:sz w:val="16"/>
          <w:szCs w:val="16"/>
        </w:rPr>
        <w:softHyphen/>
        <w:t>екомплект был рассчитан «на 10 минут непрерывной стрельбы».</w:t>
      </w:r>
    </w:p>
    <w:p w14:paraId="5B0FF10A" w14:textId="77777777" w:rsidR="008A46C1" w:rsidRPr="00142305" w:rsidRDefault="008A46C1" w:rsidP="008A46C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Броневая защита выполнялась из 13— 20 мм бронелистов, для сборки которых предполагалось широкое использование электросварки. В качестве силовой уста</w:t>
      </w:r>
      <w:r w:rsidRPr="00142305">
        <w:rPr>
          <w:rFonts w:ascii="Times New Roman" w:hAnsi="Times New Roman"/>
          <w:color w:val="0070C0"/>
          <w:sz w:val="16"/>
          <w:szCs w:val="16"/>
        </w:rPr>
        <w:softHyphen/>
        <w:t>новки планировалось использовать дви</w:t>
      </w:r>
      <w:r w:rsidRPr="00142305">
        <w:rPr>
          <w:rFonts w:ascii="Times New Roman" w:hAnsi="Times New Roman"/>
          <w:color w:val="0070C0"/>
          <w:sz w:val="16"/>
          <w:szCs w:val="16"/>
        </w:rPr>
        <w:softHyphen/>
        <w:t>гатель BMW-VI, производство которо</w:t>
      </w:r>
      <w:r w:rsidRPr="00142305">
        <w:rPr>
          <w:rFonts w:ascii="Times New Roman" w:hAnsi="Times New Roman"/>
          <w:color w:val="0070C0"/>
          <w:sz w:val="16"/>
          <w:szCs w:val="16"/>
        </w:rPr>
        <w:softHyphen/>
        <w:t>го под индексом М-17 велось в то вре</w:t>
      </w:r>
      <w:r w:rsidRPr="00142305">
        <w:rPr>
          <w:rFonts w:ascii="Times New Roman" w:hAnsi="Times New Roman"/>
          <w:color w:val="0070C0"/>
          <w:sz w:val="16"/>
          <w:szCs w:val="16"/>
        </w:rPr>
        <w:softHyphen/>
        <w:t>мя в Советском Союзе. Трансмиссия включала коробку перемены передач, два бортовых фрикциона и два бортовых редуктора. В ТА-1 планировалось ис</w:t>
      </w:r>
      <w:r w:rsidRPr="00142305">
        <w:rPr>
          <w:rFonts w:ascii="Times New Roman" w:hAnsi="Times New Roman"/>
          <w:color w:val="0070C0"/>
          <w:sz w:val="16"/>
          <w:szCs w:val="16"/>
        </w:rPr>
        <w:softHyphen/>
        <w:t>пользовать сервоприводы для управле</w:t>
      </w:r>
      <w:r w:rsidRPr="00142305">
        <w:rPr>
          <w:rFonts w:ascii="Times New Roman" w:hAnsi="Times New Roman"/>
          <w:color w:val="0070C0"/>
          <w:sz w:val="16"/>
          <w:szCs w:val="16"/>
        </w:rPr>
        <w:softHyphen/>
        <w:t>ния трансмиссией.</w:t>
      </w:r>
    </w:p>
    <w:p w14:paraId="0D9EEBCC" w14:textId="77777777" w:rsidR="008A46C1" w:rsidRPr="00142305" w:rsidRDefault="008A46C1" w:rsidP="008A46C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ходовой части использовалось пять опорных и три поддерживающих катка, ленивец и звездочка (на борт). Все катки имели наружную резиновую амортиза</w:t>
      </w:r>
      <w:r w:rsidRPr="00142305">
        <w:rPr>
          <w:rFonts w:ascii="Times New Roman" w:hAnsi="Times New Roman"/>
          <w:color w:val="0070C0"/>
          <w:sz w:val="16"/>
          <w:szCs w:val="16"/>
        </w:rPr>
        <w:softHyphen/>
        <w:t>цию. В качестве упругого элемента под</w:t>
      </w:r>
      <w:r w:rsidRPr="00142305">
        <w:rPr>
          <w:rFonts w:ascii="Times New Roman" w:hAnsi="Times New Roman"/>
          <w:color w:val="0070C0"/>
          <w:sz w:val="16"/>
          <w:szCs w:val="16"/>
        </w:rPr>
        <w:softHyphen/>
        <w:t>вески использовались спиральные пру</w:t>
      </w:r>
      <w:r w:rsidRPr="00142305">
        <w:rPr>
          <w:rFonts w:ascii="Times New Roman" w:hAnsi="Times New Roman"/>
          <w:color w:val="0070C0"/>
          <w:sz w:val="16"/>
          <w:szCs w:val="16"/>
        </w:rPr>
        <w:softHyphen/>
        <w:t>жины, гусеницы планировалось изготав</w:t>
      </w:r>
      <w:r w:rsidRPr="00142305">
        <w:rPr>
          <w:rFonts w:ascii="Times New Roman" w:hAnsi="Times New Roman"/>
          <w:color w:val="0070C0"/>
          <w:sz w:val="16"/>
          <w:szCs w:val="16"/>
        </w:rPr>
        <w:softHyphen/>
        <w:t>ливать из штампованных траков.</w:t>
      </w:r>
    </w:p>
    <w:p w14:paraId="24C89873" w14:textId="77777777" w:rsidR="008A46C1" w:rsidRPr="00142305" w:rsidRDefault="008A46C1" w:rsidP="008A46C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Экипаж ТА-1 состоял из пяти чело</w:t>
      </w:r>
      <w:r w:rsidRPr="00142305">
        <w:rPr>
          <w:rFonts w:ascii="Times New Roman" w:hAnsi="Times New Roman"/>
          <w:color w:val="0070C0"/>
          <w:sz w:val="16"/>
          <w:szCs w:val="16"/>
        </w:rPr>
        <w:softHyphen/>
        <w:t>век — механика-водителя, пулеметчика, командира, заряжающего и артиллери</w:t>
      </w:r>
      <w:r w:rsidRPr="00142305">
        <w:rPr>
          <w:rFonts w:ascii="Times New Roman" w:hAnsi="Times New Roman"/>
          <w:color w:val="0070C0"/>
          <w:sz w:val="16"/>
          <w:szCs w:val="16"/>
        </w:rPr>
        <w:softHyphen/>
        <w:t>ста 37-мм орудия. Расчетная масса ТА-1 составляла 18,2 т, а максимальная ско</w:t>
      </w:r>
      <w:r w:rsidRPr="00142305">
        <w:rPr>
          <w:rFonts w:ascii="Times New Roman" w:hAnsi="Times New Roman"/>
          <w:color w:val="0070C0"/>
          <w:sz w:val="16"/>
          <w:szCs w:val="16"/>
        </w:rPr>
        <w:softHyphen/>
        <w:t>рость — 50 км/ч.</w:t>
      </w:r>
    </w:p>
    <w:p w14:paraId="3E8D351D" w14:textId="77777777" w:rsidR="008A46C1" w:rsidRPr="00142305" w:rsidRDefault="008A46C1" w:rsidP="008A46C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Еще в ходе работ по ТА-1 конструкто</w:t>
      </w:r>
      <w:r w:rsidRPr="00142305">
        <w:rPr>
          <w:rFonts w:ascii="Times New Roman" w:hAnsi="Times New Roman"/>
          <w:color w:val="0070C0"/>
          <w:sz w:val="16"/>
          <w:szCs w:val="16"/>
        </w:rPr>
        <w:softHyphen/>
        <w:t>ры приступили к проектированию вто</w:t>
      </w:r>
      <w:r w:rsidRPr="00142305">
        <w:rPr>
          <w:rFonts w:ascii="Times New Roman" w:hAnsi="Times New Roman"/>
          <w:color w:val="0070C0"/>
          <w:sz w:val="16"/>
          <w:szCs w:val="16"/>
        </w:rPr>
        <w:softHyphen/>
        <w:t>рого варианта танка, получившего обо</w:t>
      </w:r>
      <w:r w:rsidRPr="00142305">
        <w:rPr>
          <w:rFonts w:ascii="Times New Roman" w:hAnsi="Times New Roman"/>
          <w:color w:val="0070C0"/>
          <w:sz w:val="16"/>
          <w:szCs w:val="16"/>
        </w:rPr>
        <w:softHyphen/>
        <w:t>значение Т-1002 или ТА-2. Эта маши</w:t>
      </w:r>
      <w:r w:rsidRPr="00142305">
        <w:rPr>
          <w:rFonts w:ascii="Times New Roman" w:hAnsi="Times New Roman"/>
          <w:color w:val="0070C0"/>
          <w:sz w:val="16"/>
          <w:szCs w:val="16"/>
        </w:rPr>
        <w:softHyphen/>
        <w:t>на, представляла дальнейшее развитие ТА-1, но в отличие от него имела колес</w:t>
      </w:r>
      <w:r w:rsidRPr="00142305">
        <w:rPr>
          <w:rFonts w:ascii="Times New Roman" w:hAnsi="Times New Roman"/>
          <w:color w:val="0070C0"/>
          <w:sz w:val="16"/>
          <w:szCs w:val="16"/>
        </w:rPr>
        <w:softHyphen/>
        <w:t>но-гусеничный ход. Силовая установ</w:t>
      </w:r>
      <w:r w:rsidRPr="00142305">
        <w:rPr>
          <w:rFonts w:ascii="Times New Roman" w:hAnsi="Times New Roman"/>
          <w:color w:val="0070C0"/>
          <w:sz w:val="16"/>
          <w:szCs w:val="16"/>
        </w:rPr>
        <w:softHyphen/>
        <w:t>ка, а также артиллерийское вооружение и его размещение осталось прежним. А количество пулеметов увеличилось до пяти — еще два Максима в шаровых установках смонтировали в бортах кор</w:t>
      </w:r>
      <w:r w:rsidRPr="00142305">
        <w:rPr>
          <w:rFonts w:ascii="Times New Roman" w:hAnsi="Times New Roman"/>
          <w:color w:val="0070C0"/>
          <w:sz w:val="16"/>
          <w:szCs w:val="16"/>
        </w:rPr>
        <w:softHyphen/>
        <w:t>пуса.</w:t>
      </w:r>
    </w:p>
    <w:p w14:paraId="4A3B825C" w14:textId="77777777" w:rsidR="008A46C1" w:rsidRPr="00142305" w:rsidRDefault="008A46C1" w:rsidP="008A46C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ходовой части ТА-2 использовались три пары обрезиненных опорных кат</w:t>
      </w:r>
      <w:r w:rsidRPr="00142305">
        <w:rPr>
          <w:rFonts w:ascii="Times New Roman" w:hAnsi="Times New Roman"/>
          <w:color w:val="0070C0"/>
          <w:sz w:val="16"/>
          <w:szCs w:val="16"/>
        </w:rPr>
        <w:softHyphen/>
        <w:t>ков большого диаметра, а между первым и вторым имелась тележка с двумя малы</w:t>
      </w:r>
      <w:r w:rsidRPr="00142305">
        <w:rPr>
          <w:rFonts w:ascii="Times New Roman" w:hAnsi="Times New Roman"/>
          <w:color w:val="0070C0"/>
          <w:sz w:val="16"/>
          <w:szCs w:val="16"/>
        </w:rPr>
        <w:softHyphen/>
        <w:t>ми опорными катками. При движении на колесах, тележка поднималась, перед</w:t>
      </w:r>
      <w:r w:rsidRPr="00142305">
        <w:rPr>
          <w:rFonts w:ascii="Times New Roman" w:hAnsi="Times New Roman"/>
          <w:color w:val="0070C0"/>
          <w:sz w:val="16"/>
          <w:szCs w:val="16"/>
        </w:rPr>
        <w:softHyphen/>
        <w:t>няя пара катков была управляемой, а две задних пары были ведущими. Привод к ним осуществлялся от бортовых редук</w:t>
      </w:r>
      <w:r w:rsidRPr="00142305">
        <w:rPr>
          <w:rFonts w:ascii="Times New Roman" w:hAnsi="Times New Roman"/>
          <w:color w:val="0070C0"/>
          <w:sz w:val="16"/>
          <w:szCs w:val="16"/>
        </w:rPr>
        <w:softHyphen/>
        <w:t>торов танка через шестеренчатые редук</w:t>
      </w:r>
      <w:r w:rsidRPr="00142305">
        <w:rPr>
          <w:rFonts w:ascii="Times New Roman" w:hAnsi="Times New Roman"/>
          <w:color w:val="0070C0"/>
          <w:sz w:val="16"/>
          <w:szCs w:val="16"/>
        </w:rPr>
        <w:softHyphen/>
        <w:t>торы (гитары), расположенные по бор</w:t>
      </w:r>
      <w:r w:rsidRPr="00142305">
        <w:rPr>
          <w:rFonts w:ascii="Times New Roman" w:hAnsi="Times New Roman"/>
          <w:color w:val="0070C0"/>
          <w:sz w:val="16"/>
          <w:szCs w:val="16"/>
        </w:rPr>
        <w:softHyphen/>
        <w:t>там. Из-за крайне плотной компоновки моторно-трансмиссионного отделения для управления танком ТА-2 использо</w:t>
      </w:r>
      <w:r w:rsidRPr="00142305">
        <w:rPr>
          <w:rFonts w:ascii="Times New Roman" w:hAnsi="Times New Roman"/>
          <w:color w:val="0070C0"/>
          <w:sz w:val="16"/>
          <w:szCs w:val="16"/>
        </w:rPr>
        <w:softHyphen/>
        <w:t>вали сервоприводы.</w:t>
      </w:r>
    </w:p>
    <w:p w14:paraId="6804E1AE" w14:textId="77777777" w:rsidR="008A46C1" w:rsidRPr="00142305" w:rsidRDefault="008A46C1" w:rsidP="008A46C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Боекомплект машины уменьшили — теперь он был рассчитан на «ведение не</w:t>
      </w:r>
      <w:r w:rsidRPr="00142305">
        <w:rPr>
          <w:rFonts w:ascii="Times New Roman" w:hAnsi="Times New Roman"/>
          <w:color w:val="0070C0"/>
          <w:sz w:val="16"/>
          <w:szCs w:val="16"/>
        </w:rPr>
        <w:softHyphen/>
        <w:t>прерывной стрельбы в течение 6 минут».</w:t>
      </w:r>
    </w:p>
    <w:p w14:paraId="1E52BD62" w14:textId="77777777" w:rsidR="008A46C1" w:rsidRPr="00142305" w:rsidRDefault="008A46C1" w:rsidP="008A46C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Экипаж ТА-2 состоял из пяти человек, расчетная масса машины — 27 т, макси</w:t>
      </w:r>
      <w:r w:rsidRPr="00142305">
        <w:rPr>
          <w:rFonts w:ascii="Times New Roman" w:hAnsi="Times New Roman"/>
          <w:color w:val="0070C0"/>
          <w:sz w:val="16"/>
          <w:szCs w:val="16"/>
        </w:rPr>
        <w:softHyphen/>
        <w:t>мальная скорость по шоссе на гусени</w:t>
      </w:r>
      <w:r w:rsidRPr="00142305">
        <w:rPr>
          <w:rFonts w:ascii="Times New Roman" w:hAnsi="Times New Roman"/>
          <w:color w:val="0070C0"/>
          <w:sz w:val="16"/>
          <w:szCs w:val="16"/>
        </w:rPr>
        <w:softHyphen/>
        <w:t>цах составляла 50 км/ч, а на колесах — 80 км/ч.</w:t>
      </w:r>
    </w:p>
    <w:p w14:paraId="67382507" w14:textId="77777777" w:rsidR="008A46C1" w:rsidRPr="00142305" w:rsidRDefault="008A46C1" w:rsidP="008A46C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Помимо ТА-1 и ТА-2 эта группа кон</w:t>
      </w:r>
      <w:r w:rsidRPr="00142305">
        <w:rPr>
          <w:rFonts w:ascii="Times New Roman" w:hAnsi="Times New Roman"/>
          <w:color w:val="0070C0"/>
          <w:sz w:val="16"/>
          <w:szCs w:val="16"/>
        </w:rPr>
        <w:softHyphen/>
        <w:t>структоров разработала и проект тяжелого колесно-гусеничного танка Т-1003 или ТА-3 (25010).</w:t>
      </w:r>
    </w:p>
    <w:p w14:paraId="6FF161DF" w14:textId="77777777" w:rsidR="008A46C1" w:rsidRPr="00142305" w:rsidRDefault="008A46C1" w:rsidP="008A46C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Расчетная масса маши</w:t>
      </w:r>
      <w:r w:rsidRPr="00142305">
        <w:rPr>
          <w:rFonts w:ascii="Times New Roman" w:hAnsi="Times New Roman"/>
          <w:color w:val="0070C0"/>
          <w:sz w:val="16"/>
          <w:szCs w:val="16"/>
        </w:rPr>
        <w:softHyphen/>
        <w:t>ны составляла 32,5 т, броневая защита 15</w:t>
      </w:r>
      <w:r w:rsidRPr="00142305">
        <w:rPr>
          <w:rFonts w:ascii="Times New Roman" w:hAnsi="Times New Roman"/>
          <w:color w:val="0070C0"/>
          <w:sz w:val="16"/>
          <w:szCs w:val="16"/>
        </w:rPr>
        <w:softHyphen/>
        <w:t>35 мм. Вооружение ТА-3 включало себя 76 и 37-мм пушки и пять пулеметов ДТ В отли</w:t>
      </w:r>
      <w:r w:rsidRPr="00142305">
        <w:rPr>
          <w:rFonts w:ascii="Times New Roman" w:hAnsi="Times New Roman"/>
          <w:color w:val="0070C0"/>
          <w:sz w:val="16"/>
          <w:szCs w:val="16"/>
        </w:rPr>
        <w:softHyphen/>
        <w:t>чие от ТА-1 и ТА-2 этот танк имел только одну башню - в ней размещались два орудия (при</w:t>
      </w:r>
      <w:r w:rsidRPr="00142305">
        <w:rPr>
          <w:rFonts w:ascii="Times New Roman" w:hAnsi="Times New Roman"/>
          <w:color w:val="0070C0"/>
          <w:sz w:val="16"/>
          <w:szCs w:val="16"/>
        </w:rPr>
        <w:softHyphen/>
        <w:t>чем они имели независимое друг от друга на</w:t>
      </w:r>
      <w:r w:rsidRPr="00142305">
        <w:rPr>
          <w:rFonts w:ascii="Times New Roman" w:hAnsi="Times New Roman"/>
          <w:color w:val="0070C0"/>
          <w:sz w:val="16"/>
          <w:szCs w:val="16"/>
        </w:rPr>
        <w:softHyphen/>
        <w:t>ведение), а также два пулемета ДТ (в кормо</w:t>
      </w:r>
      <w:r w:rsidRPr="00142305">
        <w:rPr>
          <w:rFonts w:ascii="Times New Roman" w:hAnsi="Times New Roman"/>
          <w:color w:val="0070C0"/>
          <w:sz w:val="16"/>
          <w:szCs w:val="16"/>
        </w:rPr>
        <w:softHyphen/>
        <w:t>вой части башни). Кроме того, по одному ДТ установили в бортах и лобовом листе корпу</w:t>
      </w:r>
      <w:r w:rsidRPr="00142305">
        <w:rPr>
          <w:rFonts w:ascii="Times New Roman" w:hAnsi="Times New Roman"/>
          <w:color w:val="0070C0"/>
          <w:sz w:val="16"/>
          <w:szCs w:val="16"/>
        </w:rPr>
        <w:softHyphen/>
        <w:t>са. Экипаж танка состоял из шести человек.</w:t>
      </w:r>
    </w:p>
    <w:p w14:paraId="1A448A2C" w14:textId="77777777" w:rsidR="008A46C1" w:rsidRPr="00142305" w:rsidRDefault="008A46C1" w:rsidP="008A46C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Ходовая часть ТА-3, как и на предыдущих вариантах, прикрывалась броневым фаль</w:t>
      </w:r>
      <w:r w:rsidRPr="00142305">
        <w:rPr>
          <w:rFonts w:ascii="Times New Roman" w:hAnsi="Times New Roman"/>
          <w:color w:val="0070C0"/>
          <w:sz w:val="16"/>
          <w:szCs w:val="16"/>
        </w:rPr>
        <w:softHyphen/>
        <w:t>шбортом. При движении на колесах управляемыми являлась два передних опорных катка большого диаметра. При этом для обеспече</w:t>
      </w:r>
      <w:r w:rsidRPr="00142305">
        <w:rPr>
          <w:rFonts w:ascii="Times New Roman" w:hAnsi="Times New Roman"/>
          <w:color w:val="0070C0"/>
          <w:sz w:val="16"/>
          <w:szCs w:val="16"/>
        </w:rPr>
        <w:softHyphen/>
        <w:t>ния им возможности поворота, прикрываю</w:t>
      </w:r>
      <w:r w:rsidRPr="00142305">
        <w:rPr>
          <w:rFonts w:ascii="Times New Roman" w:hAnsi="Times New Roman"/>
          <w:color w:val="0070C0"/>
          <w:sz w:val="16"/>
          <w:szCs w:val="16"/>
        </w:rPr>
        <w:softHyphen/>
        <w:t>щие их бронелисты фальшборта выполнялись откидными на петлях. Кроме того, по две пары опорных катков с каждого борта при пе</w:t>
      </w:r>
      <w:r w:rsidRPr="00142305">
        <w:rPr>
          <w:rFonts w:ascii="Times New Roman" w:hAnsi="Times New Roman"/>
          <w:color w:val="0070C0"/>
          <w:sz w:val="16"/>
          <w:szCs w:val="16"/>
        </w:rPr>
        <w:softHyphen/>
        <w:t>реходе на колесный ход вывешивались. Конструкция тележек ходовой части во мно</w:t>
      </w:r>
      <w:r w:rsidRPr="00142305">
        <w:rPr>
          <w:rFonts w:ascii="Times New Roman" w:hAnsi="Times New Roman"/>
          <w:color w:val="0070C0"/>
          <w:sz w:val="16"/>
          <w:szCs w:val="16"/>
        </w:rPr>
        <w:softHyphen/>
        <w:t>гом была заимствована у проекта ТА-2.</w:t>
      </w:r>
    </w:p>
    <w:p w14:paraId="52756BA9" w14:textId="77777777" w:rsidR="008A46C1" w:rsidRPr="00142305" w:rsidRDefault="008A46C1" w:rsidP="008A46C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качестве силовой установки предпола</w:t>
      </w:r>
      <w:r w:rsidRPr="00142305">
        <w:rPr>
          <w:rFonts w:ascii="Times New Roman" w:hAnsi="Times New Roman"/>
          <w:color w:val="0070C0"/>
          <w:sz w:val="16"/>
          <w:szCs w:val="16"/>
        </w:rPr>
        <w:softHyphen/>
        <w:t>галось использование 500-сильного авиаци</w:t>
      </w:r>
      <w:r w:rsidRPr="00142305">
        <w:rPr>
          <w:rFonts w:ascii="Times New Roman" w:hAnsi="Times New Roman"/>
          <w:color w:val="0070C0"/>
          <w:sz w:val="16"/>
          <w:szCs w:val="16"/>
        </w:rPr>
        <w:softHyphen/>
        <w:t>онного двигателя М-17, конструкция транс</w:t>
      </w:r>
      <w:r w:rsidRPr="00142305">
        <w:rPr>
          <w:rFonts w:ascii="Times New Roman" w:hAnsi="Times New Roman"/>
          <w:color w:val="0070C0"/>
          <w:sz w:val="16"/>
          <w:szCs w:val="16"/>
        </w:rPr>
        <w:softHyphen/>
        <w:t>миссии и системы пневмосервоуправления заимствовалась у ТА-2. Но в отличие от по</w:t>
      </w:r>
      <w:r w:rsidRPr="00142305">
        <w:rPr>
          <w:rFonts w:ascii="Times New Roman" w:hAnsi="Times New Roman"/>
          <w:color w:val="0070C0"/>
          <w:sz w:val="16"/>
          <w:szCs w:val="16"/>
        </w:rPr>
        <w:softHyphen/>
        <w:t>следнего, коробка перемены передач раз</w:t>
      </w:r>
      <w:r w:rsidRPr="00142305">
        <w:rPr>
          <w:rFonts w:ascii="Times New Roman" w:hAnsi="Times New Roman"/>
          <w:color w:val="0070C0"/>
          <w:sz w:val="16"/>
          <w:szCs w:val="16"/>
        </w:rPr>
        <w:softHyphen/>
        <w:t>мещалась не продольно, а поперек корпуса. Предполагалось, что на гусеницах ТА-3 смо</w:t>
      </w:r>
      <w:r w:rsidRPr="00142305">
        <w:rPr>
          <w:rFonts w:ascii="Times New Roman" w:hAnsi="Times New Roman"/>
          <w:color w:val="0070C0"/>
          <w:sz w:val="16"/>
          <w:szCs w:val="16"/>
        </w:rPr>
        <w:softHyphen/>
        <w:t>жет разгоняться до 45 км/ч, а на гусеницах - до 70 км/ч.</w:t>
      </w:r>
    </w:p>
    <w:p w14:paraId="7DB01CA4" w14:textId="77777777" w:rsidR="008A46C1" w:rsidRPr="00142305" w:rsidRDefault="008A46C1" w:rsidP="008A46C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качестве приборов наблюдения на ТА-3 использовались стробоскопы. Танк оснащал</w:t>
      </w:r>
      <w:r w:rsidRPr="00142305">
        <w:rPr>
          <w:rFonts w:ascii="Times New Roman" w:hAnsi="Times New Roman"/>
          <w:color w:val="0070C0"/>
          <w:sz w:val="16"/>
          <w:szCs w:val="16"/>
        </w:rPr>
        <w:softHyphen/>
        <w:t>ся радиостанцией с довольно высокой ан</w:t>
      </w:r>
      <w:r w:rsidRPr="00142305">
        <w:rPr>
          <w:rFonts w:ascii="Times New Roman" w:hAnsi="Times New Roman"/>
          <w:color w:val="0070C0"/>
          <w:sz w:val="16"/>
          <w:szCs w:val="16"/>
        </w:rPr>
        <w:softHyphen/>
        <w:t>тенной, которая перевозилась в разобранном виде. Для защиты от отравляющих веществ, в случае их использования противником, внутри танка при помощи специальных ком</w:t>
      </w:r>
      <w:r w:rsidRPr="00142305">
        <w:rPr>
          <w:rFonts w:ascii="Times New Roman" w:hAnsi="Times New Roman"/>
          <w:color w:val="0070C0"/>
          <w:sz w:val="16"/>
          <w:szCs w:val="16"/>
        </w:rPr>
        <w:softHyphen/>
        <w:t>прессоров создавалось избыточное давление, а также применялись воздушные фильтры (25014).</w:t>
      </w:r>
    </w:p>
    <w:p w14:paraId="6847AF25" w14:textId="77777777" w:rsidR="008A46C1" w:rsidRPr="00142305" w:rsidRDefault="008A46C1" w:rsidP="008A46C1">
      <w:pPr>
        <w:spacing w:after="0" w:line="240" w:lineRule="auto"/>
        <w:jc w:val="both"/>
        <w:rPr>
          <w:rFonts w:ascii="Times New Roman" w:hAnsi="Times New Roman"/>
          <w:color w:val="0070C0"/>
          <w:sz w:val="16"/>
          <w:szCs w:val="16"/>
        </w:rPr>
      </w:pPr>
    </w:p>
    <w:p w14:paraId="78D6BFEC" w14:textId="77777777" w:rsidR="005504A8" w:rsidRPr="005E779E" w:rsidRDefault="005504A8"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618DBE63" w14:textId="77777777" w:rsidR="005504A8" w:rsidRPr="005E779E" w:rsidRDefault="005504A8"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DE06C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сентября 1931 года начальник 2-го отдела НИИ Горощенко писал письмо N 498с начальнику ВВС.</w:t>
      </w:r>
    </w:p>
    <w:p w14:paraId="35B36D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сем препровождается сводка результатов полетных испытаний самолета ТБ3 с 4-мя моторами БМВ VI Е-7,3. 500/730 НР.</w:t>
      </w:r>
    </w:p>
    <w:p w14:paraId="3F74C1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выпущен в воздух после перестановки моторов и переделок 29 апреля 1931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1002C3" w:rsidRPr="005E779E" w14:paraId="571F4A56" w14:textId="77777777">
        <w:tc>
          <w:tcPr>
            <w:tcW w:w="5636" w:type="dxa"/>
          </w:tcPr>
          <w:p w14:paraId="7D2370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 произведено</w:t>
            </w:r>
          </w:p>
        </w:tc>
        <w:tc>
          <w:tcPr>
            <w:tcW w:w="5636" w:type="dxa"/>
          </w:tcPr>
          <w:p w14:paraId="53935B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полетов</w:t>
            </w:r>
          </w:p>
        </w:tc>
      </w:tr>
      <w:tr w:rsidR="001002C3" w:rsidRPr="005E779E" w14:paraId="527F8DD0" w14:textId="77777777">
        <w:tc>
          <w:tcPr>
            <w:tcW w:w="5636" w:type="dxa"/>
          </w:tcPr>
          <w:p w14:paraId="66739A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Общей продолжительностью</w:t>
            </w:r>
          </w:p>
        </w:tc>
        <w:tc>
          <w:tcPr>
            <w:tcW w:w="5636" w:type="dxa"/>
          </w:tcPr>
          <w:p w14:paraId="7C0121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час. 49 мин.</w:t>
            </w:r>
          </w:p>
        </w:tc>
      </w:tr>
    </w:tbl>
    <w:p w14:paraId="027043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Полеты прекращены 23 августа 1931 года вследствие непригодности колес.</w:t>
      </w:r>
    </w:p>
    <w:p w14:paraId="27CEBE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w:t>
      </w:r>
    </w:p>
    <w:p w14:paraId="417B0F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ТБ3-4М17 при условии доделки его вооружения (установка подкрыльных башен, бомбодержателей и др.) может быть рекомендован на вооружения ВВС в качестве тяжелого бомбардировщика.</w:t>
      </w:r>
    </w:p>
    <w:p w14:paraId="29180F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Полеты на самолете ТБ3-4М17 на колесах с покрышками "Пальмер" 2000х450 - прекратить (3214).</w:t>
      </w:r>
    </w:p>
    <w:p w14:paraId="1B1B01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61D14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сентября 1931 года начальник 2 отдела НИИ ВВС Горощенко писал письмо N 497с начальнику ВВС.</w:t>
      </w:r>
    </w:p>
    <w:p w14:paraId="54B408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сем препровождаются результаты испытания самолета И5 Юп. VII.</w:t>
      </w:r>
    </w:p>
    <w:p w14:paraId="19B496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Испытывался самолет И5 за N 31 постройки ЦКБ с мотором Юпитер VII за N 6026. Самолет ничем не отличается от принятого на вооружение самолета И5 Юп. VI за исключением мотора.</w:t>
      </w:r>
    </w:p>
    <w:p w14:paraId="3FF39A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Цель испытаний</w:t>
      </w:r>
    </w:p>
    <w:p w14:paraId="7F7C82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испытывался с целью определить летные данные самолета И5 при установке на него высотного мотора Юп. VII.</w:t>
      </w:r>
    </w:p>
    <w:p w14:paraId="66B347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w:t>
      </w:r>
    </w:p>
    <w:p w14:paraId="06D8F5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Самолет И5 ЮVII имеет бесспорные преимущества по сравнению с самолетом И5 ЮVI, как в горизонтальных скоростях и маневренности на боевых высотах, так и в потолке.</w:t>
      </w:r>
    </w:p>
    <w:p w14:paraId="4C4E1D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Считать целесообразным замену мотора М22 на самолете И5 мотором М22 Н. (3290,66-83).</w:t>
      </w:r>
    </w:p>
    <w:p w14:paraId="6BCA57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C8C93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 по 29 (c 11 по 23 - 1017,162) сентября 1931 в НИИ ВВС проходил испытания моноплан типа парасоль, переделанный КБ А.Н.Т. из серийного И-4 N 1514. Улучшения ЛТХ было незначительным (346,22).</w:t>
      </w:r>
    </w:p>
    <w:p w14:paraId="4802D3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6357F63"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 по 29 сентября 1931 г. переделанный в моноплан парасоль с управляемыми предкрылками серийная машина АНТ-5 №1514 испытывалась в НИИ ВВС. Улучшение летных характеристик было столь незначительным, что даль</w:t>
      </w:r>
      <w:r w:rsidRPr="005E779E">
        <w:rPr>
          <w:rFonts w:ascii="Times New Roman" w:hAnsi="Times New Roman"/>
          <w:color w:val="000000" w:themeColor="text1"/>
          <w:sz w:val="16"/>
          <w:szCs w:val="16"/>
        </w:rPr>
        <w:softHyphen/>
        <w:t>нейшие работы признали нецелесооб</w:t>
      </w:r>
      <w:r w:rsidRPr="005E779E">
        <w:rPr>
          <w:rFonts w:ascii="Times New Roman" w:hAnsi="Times New Roman"/>
          <w:color w:val="000000" w:themeColor="text1"/>
          <w:sz w:val="16"/>
          <w:szCs w:val="16"/>
        </w:rPr>
        <w:softHyphen/>
        <w:t>разными (23474).</w:t>
      </w:r>
    </w:p>
    <w:p w14:paraId="7D64E828" w14:textId="77777777" w:rsidR="007F1987" w:rsidRPr="005E779E" w:rsidRDefault="007F1987" w:rsidP="000B7A6C">
      <w:pPr>
        <w:spacing w:after="0" w:line="240" w:lineRule="auto"/>
        <w:jc w:val="both"/>
        <w:rPr>
          <w:rFonts w:ascii="Times New Roman" w:hAnsi="Times New Roman"/>
          <w:color w:val="000000" w:themeColor="text1"/>
          <w:sz w:val="16"/>
          <w:szCs w:val="16"/>
        </w:rPr>
      </w:pPr>
    </w:p>
    <w:p w14:paraId="2F83BA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сентября 1931 был закончен проект и чертежи мотора М-48, а работа велась с 13 марта 1931 (2310,130).</w:t>
      </w:r>
    </w:p>
    <w:p w14:paraId="6BA07E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714FB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сентября 1931 состоялся первый полет дирижабля Комсомольская Правда и прошли 50 км (1040,15).</w:t>
      </w:r>
    </w:p>
    <w:p w14:paraId="4AFBB3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5295AC7" w14:textId="77777777" w:rsidR="000F3BEF" w:rsidRPr="005E779E" w:rsidRDefault="000F3BE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сентября 1931 г. дирижабль «СССР В-4» прошел расстояние в 50 км за 1ч 06 мин на высоте 500 м. За 1931 г. на «СССР В-4» совершено 25 полетов. 7 ноября 1932 г. во время парада над Красной площадью прошли четыре советских дирижабля: В-1, В-2, В-3 и В-4. Среди них — маевский дирижабль мягкого типа, объемом 2500 куб.м «Комсомольская правда». Дирижабль «Комсомольская правда» стал хорошей базой для производственной и летной практики. Кроме того, он долго использовался для агитационных и учебных целей (15730).</w:t>
      </w:r>
    </w:p>
    <w:p w14:paraId="0E8C5718" w14:textId="77777777" w:rsidR="000F3BEF" w:rsidRPr="005E779E" w:rsidRDefault="000F3BEF" w:rsidP="000B7A6C">
      <w:pPr>
        <w:spacing w:after="0" w:line="240" w:lineRule="auto"/>
        <w:jc w:val="both"/>
        <w:rPr>
          <w:rFonts w:ascii="Times New Roman" w:hAnsi="Times New Roman"/>
          <w:color w:val="000000" w:themeColor="text1"/>
          <w:sz w:val="16"/>
          <w:szCs w:val="16"/>
        </w:rPr>
      </w:pPr>
    </w:p>
    <w:p w14:paraId="466E06DC" w14:textId="77777777" w:rsidR="00952B99" w:rsidRPr="005E779E" w:rsidRDefault="00952B9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сентября 1931 г. дирижабль Комсомольская правда наполнили га</w:t>
      </w:r>
      <w:r w:rsidRPr="005E779E">
        <w:rPr>
          <w:rFonts w:ascii="Times New Roman" w:hAnsi="Times New Roman"/>
          <w:color w:val="000000" w:themeColor="text1"/>
          <w:sz w:val="16"/>
          <w:szCs w:val="16"/>
        </w:rPr>
        <w:softHyphen/>
        <w:t>зом. 10 сентября состоялся его первый полёт с экипажем в составе командира Е.М. Оппма- на, механика Козлова и Ф.Ф. Ассберга. «Комсо</w:t>
      </w:r>
      <w:r w:rsidRPr="005E779E">
        <w:rPr>
          <w:rFonts w:ascii="Times New Roman" w:hAnsi="Times New Roman"/>
          <w:color w:val="000000" w:themeColor="text1"/>
          <w:sz w:val="16"/>
          <w:szCs w:val="16"/>
        </w:rPr>
        <w:softHyphen/>
        <w:t>мольская правда» выполнила круг над Кунцевым на высоте 200 м, пробыв в полёте 56 минут. За</w:t>
      </w:r>
      <w:r w:rsidRPr="005E779E">
        <w:rPr>
          <w:rFonts w:ascii="Times New Roman" w:hAnsi="Times New Roman"/>
          <w:color w:val="000000" w:themeColor="text1"/>
          <w:sz w:val="16"/>
          <w:szCs w:val="16"/>
        </w:rPr>
        <w:softHyphen/>
        <w:t>тем на дирижабле приступили к учебным полё</w:t>
      </w:r>
      <w:r w:rsidRPr="005E779E">
        <w:rPr>
          <w:rFonts w:ascii="Times New Roman" w:hAnsi="Times New Roman"/>
          <w:color w:val="000000" w:themeColor="text1"/>
          <w:sz w:val="16"/>
          <w:szCs w:val="16"/>
        </w:rPr>
        <w:softHyphen/>
        <w:t>там. На эффективности учебной работы сказыва</w:t>
      </w:r>
      <w:r w:rsidRPr="005E779E">
        <w:rPr>
          <w:rFonts w:ascii="Times New Roman" w:hAnsi="Times New Roman"/>
          <w:color w:val="000000" w:themeColor="text1"/>
          <w:sz w:val="16"/>
          <w:szCs w:val="16"/>
        </w:rPr>
        <w:softHyphen/>
        <w:t>лись трудности со снабжением газом и подвозом необходимых материалов. Полёты были сопря</w:t>
      </w:r>
      <w:r w:rsidRPr="005E779E">
        <w:rPr>
          <w:rFonts w:ascii="Times New Roman" w:hAnsi="Times New Roman"/>
          <w:color w:val="000000" w:themeColor="text1"/>
          <w:sz w:val="16"/>
          <w:szCs w:val="16"/>
        </w:rPr>
        <w:softHyphen/>
        <w:t>жены с известным риском, вызванным неудоб</w:t>
      </w:r>
      <w:r w:rsidRPr="005E779E">
        <w:rPr>
          <w:rFonts w:ascii="Times New Roman" w:hAnsi="Times New Roman"/>
          <w:color w:val="000000" w:themeColor="text1"/>
          <w:sz w:val="16"/>
          <w:szCs w:val="16"/>
        </w:rPr>
        <w:softHyphen/>
        <w:t>ными подходами к посадочной площадке. При</w:t>
      </w:r>
      <w:r w:rsidRPr="005E779E">
        <w:rPr>
          <w:rFonts w:ascii="Times New Roman" w:hAnsi="Times New Roman"/>
          <w:color w:val="000000" w:themeColor="text1"/>
          <w:sz w:val="16"/>
          <w:szCs w:val="16"/>
        </w:rPr>
        <w:softHyphen/>
        <w:t>знавалась неудовлетворительной и сама площад</w:t>
      </w:r>
      <w:r w:rsidRPr="005E779E">
        <w:rPr>
          <w:rFonts w:ascii="Times New Roman" w:hAnsi="Times New Roman"/>
          <w:color w:val="000000" w:themeColor="text1"/>
          <w:sz w:val="16"/>
          <w:szCs w:val="16"/>
        </w:rPr>
        <w:softHyphen/>
        <w:t>ка, усеянная пнями и частично мелким кустар</w:t>
      </w:r>
      <w:r w:rsidRPr="005E779E">
        <w:rPr>
          <w:rFonts w:ascii="Times New Roman" w:hAnsi="Times New Roman"/>
          <w:color w:val="000000" w:themeColor="text1"/>
          <w:sz w:val="16"/>
          <w:szCs w:val="16"/>
        </w:rPr>
        <w:softHyphen/>
        <w:t>ником. 19 сентября посадку произвели неудачно, и дирижабль, попав на дерево, прорвал оболочку. Полёты возобновились только через месяц как учебно-агитационные. В каждом из них прини</w:t>
      </w:r>
      <w:r w:rsidRPr="005E779E">
        <w:rPr>
          <w:rFonts w:ascii="Times New Roman" w:hAnsi="Times New Roman"/>
          <w:color w:val="000000" w:themeColor="text1"/>
          <w:sz w:val="16"/>
          <w:szCs w:val="16"/>
        </w:rPr>
        <w:softHyphen/>
        <w:t>мали участие 7-10 человек. Сами полёты выпол</w:t>
      </w:r>
      <w:r w:rsidRPr="005E779E">
        <w:rPr>
          <w:rFonts w:ascii="Times New Roman" w:hAnsi="Times New Roman"/>
          <w:color w:val="000000" w:themeColor="text1"/>
          <w:sz w:val="16"/>
          <w:szCs w:val="16"/>
        </w:rPr>
        <w:softHyphen/>
        <w:t>нялись над рабочими кварталами столицы, над АМО, заводом «Каучук», ЦАГИ и т. д. (20120)</w:t>
      </w:r>
    </w:p>
    <w:p w14:paraId="060A11D3" w14:textId="77777777" w:rsidR="00952B99" w:rsidRPr="005E779E" w:rsidRDefault="00952B99" w:rsidP="000B7A6C">
      <w:pPr>
        <w:spacing w:after="0" w:line="240" w:lineRule="auto"/>
        <w:jc w:val="both"/>
        <w:rPr>
          <w:rFonts w:ascii="Times New Roman" w:hAnsi="Times New Roman"/>
          <w:color w:val="000000" w:themeColor="text1"/>
          <w:sz w:val="16"/>
          <w:szCs w:val="16"/>
        </w:rPr>
      </w:pPr>
    </w:p>
    <w:p w14:paraId="38F5DC2E"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4B0CADD9"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0762F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1 сентября 1931 г. по данным РКИ СССР коэффициент использования импортного оборудования на многих заводах и стройках составлял 20 — 30%. Причины тому — слабый контроль за его своевременной установкой и комплектностью, неумение обращаться с машинами, отсутствие инвентаризации и учёта использования, «беспризорность» оборудования, за которое уплачена валюта.</w:t>
      </w:r>
    </w:p>
    <w:p w14:paraId="10FDC1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переломном, критически важном этапе появления первенцев советской индустрии техническая помощь играла решающую роль, но именно тогда она и встречала наибольшее сопротивление. Имели место не только сотрудничество, но и ожесточённая борьба нового и старого, западной и молодой советской деловых культур. В последней перемешивались бесхозяйственность и энтузиазм, «закрепощение» и текучка кадров, в том числе руководящих, стремление учиться у Запада и оковы устаревшего опыта. Мелочная экономия уживалась с колоссальными потерями, вера в волшебную силу решений партии и правительства — с технической необеспеченностью «великих строек», головотяпство — с уверенностью в преимуществах советской системы.</w:t>
      </w:r>
    </w:p>
    <w:p w14:paraId="71FF81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Американские проектные и строительные компании внедрили в своей стране принципиально новую организацию работ, невиданно быструю и экономичную, которую не знала ни Европа, ни Россия. Стальные и железобетонные конструкции не рассчитывались, а выпускались промышленным способом по определённым стандартам. Их оставалось только подобрать по каталогам. Весь объём проектных и строительных работ фирма делала сами и сдавала объекты «под ключ», не привлекая подрядчиков со стороны, что давало большой выигрыш времени. Не требовались и подробные рабочие чертежи. Их быстро выполняли в карандаше, а размножали на </w:t>
      </w:r>
      <w:r w:rsidRPr="005E779E">
        <w:rPr>
          <w:rFonts w:ascii="Times New Roman" w:hAnsi="Times New Roman"/>
          <w:color w:val="000000" w:themeColor="text1"/>
          <w:sz w:val="16"/>
          <w:szCs w:val="16"/>
        </w:rPr>
        <w:lastRenderedPageBreak/>
        <w:t>светокопировальных машинах. Чертежи готовились и утверждались одновременно с рытьём котлована, строительные конструкции заказывали по телефону и доставляли прямо к началу строительства. Американцы экономили не на стали и бетоне, а на снижении трудоёмкости работ и ускорении монтажа.</w:t>
      </w:r>
    </w:p>
    <w:p w14:paraId="720F4B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Советские проектировщики, особенно с дореволюционным стажем, всё делали наоборот. Они добивались снижения веса несущих конструкций, скрупулёзно рассчитывали каждую ферму и балку, чтобы сэкономить дефицитные сталь и бетон. Чертежи переносили с ватмана на кальку, что отнимало массу времени, не гарантировало от ошибок и увеличивало себестоимость проекта. Из-за дешевизны рабочей силы трудоёмкость строительных работ не имела принципиального значения (11520).</w:t>
      </w:r>
    </w:p>
    <w:p w14:paraId="4FBEE5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97726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сентября 1931 г. была подготовлена Справка Наркомата РКИ СССР в СНК СССР об использовании импортного оборудования промышленностью ВСНХ СССР</w:t>
      </w:r>
    </w:p>
    <w:p w14:paraId="1B16B0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Произведенное НК РКИ СССР обследование использования импортного оборудования (охвачено 235 предприятий) выявило неблагополучие на этом участке работы:</w:t>
      </w:r>
    </w:p>
    <w:p w14:paraId="507838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 Большое количество импортного оборудования бездействует в течение долгого времени. Из прилагаемых сводок видно, что только по 183 предприятиям имеется на 9900 тыс. руб. оборудования, неиспользованного свыше года, по 184 предприятиям совершенно не нужного им оборудования на 4200 тыс. руб. Основная часть бездействующего (по 183 предприятиям) оборудования падает на электростроительство 37%, цементную промышленность 9%, металлургическую 9%, металлообрабатывающую 11%, химическую 5%. </w:t>
      </w:r>
    </w:p>
    <w:p w14:paraId="2F14A0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Основными причинами неиспользования импортного оборудования являются - отпуск предприятиям средств на приобретение импортного оборудования без контроля и проверки степени использования уже имеющегося на предприятиях оборудования, некомплектное поступление оборудования, разрыв между сроками прибытия импортного оборудования и сопряженного с ним внутреннего оборудования и сроками строительства, отсутствие твердых сроков производства монтажа для разных видов оборудования (в связи с чем монтаж затягивается на 8-12 мес. и больше).</w:t>
      </w:r>
    </w:p>
    <w:p w14:paraId="454B7C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 Низок коэффициент использования действующего импортного оборудования. Слабая постановка инвентаризации и паспортизации не дала возможности получить достаточный материал о степени использования имеющегося на предприятиях импортного оборудования. Но и неполные данные, полученные обследованием, указывают на весьма низкий коэффициент использования оборудования. Так, по данным НК РКИ Украины на Николаевском заводе им. Марти из 55 станков только три загружены на 100%, 12 - на 75%, остальные 40 в большинстве на 30-35, некоторые на 20%; по ХЭМЗу из 446 станков только 255 работают в 3 смены, причем ряд станков, загруженных в одну смену, используются лишь на 14-19; по Амвросиевским цементным заводам загруженность печей в особом квартале составляла 72%, мельниц 64%, прессов 68%. </w:t>
      </w:r>
    </w:p>
    <w:p w14:paraId="7BE91D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Аналогичные результаты дают материалы остальных НК РКИ. Особенно плохо обстоит дело с использованием строительных механизмов. Так, на Магнитострое процент полезной работы экскаваторов за 8 месяцев (октябрь 30 г. - май 31 г.) составлял 22,9%. Основными причинами такого слабого использования импортного оборудования являются обезличка, отсутствие периодического осмотра оборудования и планово-предупредительного его ремонта, необспеченность предприятий необходимыми инструкциями по уходу за оборудованием.</w:t>
      </w:r>
    </w:p>
    <w:p w14:paraId="39272B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Отсутствует хозрасчет в деле использования импортного оборудования и недостаточно наблюдение со стороны ведомств-заказчиков и их объединений за его правильным и своевременным использованием.</w:t>
      </w:r>
    </w:p>
    <w:p w14:paraId="2EBA35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Благодаря неправильно построенной системе отпускных цен на импорт, превращающей получаемые из-за границы машины и станки в самый дешевый вид оборудования (в несколько раз дешевле союзного), многие предприятия стремятся к импорту даже в тех случаях, когда аналогичное оборудование может быть изготовлено на советских заводах. В связи с этим ряд предприятий, вследствие ограниченности импортных контингентов лишается возможности получить крайне необходимое им заграничное оборудование.</w:t>
      </w:r>
    </w:p>
    <w:p w14:paraId="38AA7E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области наблюдения за использованием оборудования необходимо подчеркнуть прежде всего отсутствие инвентаризации и паспортизации оборудования. Так, по заводу им. Ворошилова со¬вершенно отсутствует паспортизация, вследствие чего невозможно установить, сколько продукции должен дать каждый агрегат, процент его загруженности и соответствие его требованиям производственного процесса.</w:t>
      </w:r>
    </w:p>
    <w:p w14:paraId="7FB650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ХЭМЗе из 250 обследованных станков паспорта имеются лишь у 78. Кроме того, почти общим для всех предприятий является отсутствие лиц, ответственных за состояние импортного оборудоания, слабо поставленная работа по учету рекламаций и отсутствие жестких сроков приемки оборудования. Представляя на утверждение СНК СССР свое постановление, НК РКИ СССР указывает, что предлагаемые мероприятия не могут устранить всех недочетов в деле использования импортного оборудования, так как всякая неувязка в плане реконструкции или капитального строительства, всякая задержка в плановом развертывании проектных земляных и прочих строительных работ неизбежно вызывает частичное омертвление капитала, затраченного на приобретение заграничного оборудования.</w:t>
      </w:r>
    </w:p>
    <w:p w14:paraId="102D7B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НК РКИ СССР считает необходимым в первую очередь обеспечить использование всего выявленного оборудования, ненужного заводам, а также устранить ту беспризорность, которая наблюдалась в этом деле, уничтожить «кампанейский» характер работы по наблюдению за использованием (импортного) оборудования и превратить эту работу в предмет постоянной и повседневной работы наших промышленных и импортных объединений, а также органов НК РКИ.</w:t>
      </w:r>
    </w:p>
    <w:p w14:paraId="3BDC32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Замнаркома РКИ СССР - Антипов</w:t>
      </w:r>
    </w:p>
    <w:p w14:paraId="099437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Руководитель группы внешней торговли - Гришин</w:t>
      </w:r>
    </w:p>
    <w:p w14:paraId="162259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Источник: ГАРФ. Ф. Р-5446. Оп. 7. Д. 89. Л. 4-5 (11534).</w:t>
      </w:r>
    </w:p>
    <w:p w14:paraId="3EDC1D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D52BD03" w14:textId="77777777" w:rsidR="000E62C2" w:rsidRPr="005E779E" w:rsidRDefault="000E62C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 сентября 1931 года ЦРЛ стала самостоятельным предприятием» (18297).</w:t>
      </w:r>
    </w:p>
    <w:p w14:paraId="0A29CE4C" w14:textId="77777777" w:rsidR="000E62C2" w:rsidRPr="005E779E" w:rsidRDefault="000E62C2" w:rsidP="000B7A6C">
      <w:pPr>
        <w:spacing w:after="0" w:line="240" w:lineRule="auto"/>
        <w:jc w:val="both"/>
        <w:rPr>
          <w:rFonts w:ascii="Times New Roman" w:hAnsi="Times New Roman"/>
          <w:color w:val="000000" w:themeColor="text1"/>
          <w:sz w:val="16"/>
          <w:szCs w:val="16"/>
        </w:rPr>
      </w:pPr>
    </w:p>
    <w:p w14:paraId="00DBE18D"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0E688A95"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B993DF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 сентября по 20 октября 1931 года один бронедивизион поддерживал части отдельной узбекской сводной бригады, проводившей операцию по уничтожению банды Бекджан-Хана в Хорезмском оазисе. Несмотря на тяжелые условия местности, БА-27 оказали существенную помощь своим войскам. Например, 26 сентября мотоотряд (3 БА-27 и 5 грузовиков с пулеметами) настиг у колодца Шорджа часть банды и в результате короткого боя разгромил ее. Бан</w:t>
      </w:r>
      <w:r w:rsidRPr="005E779E">
        <w:rPr>
          <w:rFonts w:ascii="Times New Roman" w:hAnsi="Times New Roman"/>
          <w:color w:val="000000" w:themeColor="text1"/>
          <w:sz w:val="16"/>
          <w:szCs w:val="16"/>
        </w:rPr>
        <w:softHyphen/>
        <w:t>да потеряла весь обоз и большое количество пленных (11284).</w:t>
      </w:r>
    </w:p>
    <w:p w14:paraId="20EBD94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FEE269" w14:textId="77777777" w:rsidR="00E733EC" w:rsidRPr="00142305" w:rsidRDefault="00E733EC" w:rsidP="00E733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период с 1 сентября по 20 октября 1931 года один бронедивизион поддерживал части отдельной узбекской сводной бригады, проводившей операцию по уничтожению банды Бекджан-хана в Хорезмском оазисе. Несмотря на тяжелые условия местности, БА-27 оказали существенную помощь своим войскам. Например, 26 сентября мотоотряд (3 БА-27 и 5 грузовиков с пулеметами) настиг у колодца Шорджа часть банды и в быстротечном бою разгромил ее. Банда потеряла весь обоз; было взято большое количество пленных (25119).</w:t>
      </w:r>
    </w:p>
    <w:p w14:paraId="05409DDB" w14:textId="77777777" w:rsidR="00E733EC" w:rsidRPr="00142305" w:rsidRDefault="00E733EC" w:rsidP="00E733EC">
      <w:pPr>
        <w:spacing w:after="0" w:line="240" w:lineRule="auto"/>
        <w:jc w:val="both"/>
        <w:rPr>
          <w:rFonts w:ascii="Times New Roman" w:hAnsi="Times New Roman"/>
          <w:color w:val="0070C0"/>
          <w:sz w:val="16"/>
          <w:szCs w:val="16"/>
        </w:rPr>
      </w:pPr>
    </w:p>
    <w:p w14:paraId="12FC64F3" w14:textId="77777777" w:rsidR="000F3BEF"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77B9690F" w14:textId="77777777" w:rsidR="000F3BEF" w:rsidRPr="005E779E" w:rsidRDefault="000F3BEF"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F0059CA" w14:textId="77777777" w:rsidR="000F3BEF" w:rsidRPr="005E779E" w:rsidRDefault="000F3BEF" w:rsidP="000B7A6C">
      <w:pPr>
        <w:spacing w:after="0" w:line="240" w:lineRule="auto"/>
        <w:jc w:val="both"/>
        <w:rPr>
          <w:rStyle w:val="ucoz-forum-post"/>
          <w:rFonts w:ascii="Times New Roman" w:eastAsia="Times New Roman" w:hAnsi="Times New Roman"/>
          <w:color w:val="000000" w:themeColor="text1"/>
          <w:sz w:val="16"/>
          <w:szCs w:val="16"/>
        </w:rPr>
      </w:pPr>
      <w:r w:rsidRPr="005E779E">
        <w:rPr>
          <w:rStyle w:val="ucoz-forum-post"/>
          <w:rFonts w:ascii="Times New Roman" w:eastAsia="Times New Roman" w:hAnsi="Times New Roman"/>
          <w:bCs/>
          <w:color w:val="000000" w:themeColor="text1"/>
          <w:sz w:val="16"/>
          <w:szCs w:val="16"/>
        </w:rPr>
        <w:t>1 сентября 1931 года</w:t>
      </w:r>
      <w:r w:rsidRPr="005E779E">
        <w:rPr>
          <w:rStyle w:val="ucoz-forum-post"/>
          <w:rFonts w:ascii="Times New Roman" w:eastAsia="Times New Roman" w:hAnsi="Times New Roman"/>
          <w:color w:val="000000" w:themeColor="text1"/>
          <w:sz w:val="16"/>
          <w:szCs w:val="16"/>
        </w:rPr>
        <w:t xml:space="preserve"> Польский PWS-52 rajdowy (дальний), выполнил дальний рейд Варшава - Салоники - Варшава, налетав 2700 км (с двумя посадками). Эти полеты показали, что идея полет вокруг света невыполнима и от нее отказались. Ещё осенью 1930 года капитан Йозеф Левоневский решил выполнить полет вокруг света по маршруту Северная Африка - Южная Африка - Аляска - Камчатка - Азия. При этом он планировал перелететь Атлантику. В 1931 году ему передали PWS-52, который он начали модифицировать. Прежде всего он установил в багажном отделении дополнительный бак на 368 литров топлива, за двигателем - еще на 55 и на месте второго пилота - бак на 168 литров. Кроме того, была усилена конструкция и поставлен более мощный движок. В конце апреля самолет, получивший обозначение облетали. А в августе 1931 года летчик выполнил на нем пробный полет вокруг Польши дальностью 1755 км (14756).</w:t>
      </w:r>
    </w:p>
    <w:p w14:paraId="6B815F3D" w14:textId="77777777" w:rsidR="000F3BEF" w:rsidRPr="005E779E" w:rsidRDefault="000F3BEF" w:rsidP="000B7A6C">
      <w:pPr>
        <w:spacing w:after="0" w:line="240" w:lineRule="auto"/>
        <w:jc w:val="both"/>
        <w:rPr>
          <w:rStyle w:val="ucoz-forum-post"/>
          <w:rFonts w:ascii="Times New Roman" w:eastAsia="Times New Roman" w:hAnsi="Times New Roman"/>
          <w:color w:val="000000" w:themeColor="text1"/>
          <w:sz w:val="16"/>
          <w:szCs w:val="16"/>
        </w:rPr>
      </w:pPr>
    </w:p>
    <w:p w14:paraId="5D2FA497"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07CA1165"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E0A0F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сентября 1931 года пом. начальника ЦКБ завода N 39 писал письмо N 1381с в УВВС.</w:t>
      </w:r>
    </w:p>
    <w:p w14:paraId="130864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Ваш N 038317.</w:t>
      </w:r>
    </w:p>
    <w:p w14:paraId="440BDC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Настоящим сообщаем, что конкурс на тормозные колеса не дал никаких положительных результатов.</w:t>
      </w:r>
    </w:p>
    <w:p w14:paraId="161515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текущего года ЦКБ завода N 39 приступило к проектированию тормозного колеса 900х200 и механизма управления ими.</w:t>
      </w:r>
    </w:p>
    <w:p w14:paraId="41DA1A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данное время изготовление опытного образца закончено, произведены все статические испытания его, испытания дали положительные результаты и завод приступил к постройке первой серии этих колес в количестве 10 штук.</w:t>
      </w:r>
    </w:p>
    <w:p w14:paraId="67306D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Хвостовые колеса до сих пор нами не применялись. В данное же время запроектировано хвостовое колесо, которое и будет монтировано на одном из очередных опытных самолетов в процессе его постройки (3217,194).</w:t>
      </w:r>
    </w:p>
    <w:p w14:paraId="47E178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FDCC6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сентября 1931 состоялось заседание у Зам. пред. РВС СССР т. Тухачевского с участием Нач. ВВС Алксниса и Нач. ВАО П.И.Б. и т.д. по вопросу "О пересмотре развития мощностей заводов ВАО". Определяли нарастающим до 1 января 1935 (2329,286).</w:t>
      </w:r>
    </w:p>
    <w:p w14:paraId="43A4B2D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 р о т о к о л</w:t>
      </w:r>
    </w:p>
    <w:p w14:paraId="206E78F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Заседания у Зам. Пред. РВС СССР тов. Тухачевского</w:t>
      </w:r>
    </w:p>
    <w:p w14:paraId="49245E4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Присутствовали: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93"/>
        <w:gridCol w:w="2093"/>
      </w:tblGrid>
      <w:tr w:rsidR="001002C3" w:rsidRPr="005E779E" w14:paraId="3AF3AD3F" w14:textId="77777777">
        <w:tc>
          <w:tcPr>
            <w:tcW w:w="2093" w:type="dxa"/>
            <w:tcBorders>
              <w:top w:val="single" w:sz="12" w:space="0" w:color="auto"/>
            </w:tcBorders>
          </w:tcPr>
          <w:p w14:paraId="1342620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Пред. РВС СССР</w:t>
            </w:r>
          </w:p>
        </w:tc>
        <w:tc>
          <w:tcPr>
            <w:tcW w:w="2093" w:type="dxa"/>
            <w:tcBorders>
              <w:top w:val="single" w:sz="12" w:space="0" w:color="auto"/>
            </w:tcBorders>
          </w:tcPr>
          <w:p w14:paraId="74B766E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Тухачевский</w:t>
            </w:r>
          </w:p>
        </w:tc>
      </w:tr>
      <w:tr w:rsidR="001002C3" w:rsidRPr="005E779E" w14:paraId="3AFA5707" w14:textId="77777777">
        <w:tc>
          <w:tcPr>
            <w:tcW w:w="2093" w:type="dxa"/>
          </w:tcPr>
          <w:p w14:paraId="314A112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Нач.ВВС</w:t>
            </w:r>
          </w:p>
        </w:tc>
        <w:tc>
          <w:tcPr>
            <w:tcW w:w="2093" w:type="dxa"/>
          </w:tcPr>
          <w:p w14:paraId="0180885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Алкснис</w:t>
            </w:r>
          </w:p>
        </w:tc>
      </w:tr>
      <w:tr w:rsidR="001002C3" w:rsidRPr="005E779E" w14:paraId="524E9B9D" w14:textId="77777777">
        <w:tc>
          <w:tcPr>
            <w:tcW w:w="2093" w:type="dxa"/>
          </w:tcPr>
          <w:p w14:paraId="30E98BF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 ВАО</w:t>
            </w:r>
          </w:p>
        </w:tc>
        <w:tc>
          <w:tcPr>
            <w:tcW w:w="2093" w:type="dxa"/>
          </w:tcPr>
          <w:p w14:paraId="0AAAB78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Баранов </w:t>
            </w:r>
          </w:p>
        </w:tc>
      </w:tr>
      <w:tr w:rsidR="001002C3" w:rsidRPr="005E779E" w14:paraId="499C45FF" w14:textId="77777777">
        <w:tc>
          <w:tcPr>
            <w:tcW w:w="2093" w:type="dxa"/>
          </w:tcPr>
          <w:p w14:paraId="2CB4C86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Нач. ВАО</w:t>
            </w:r>
          </w:p>
        </w:tc>
        <w:tc>
          <w:tcPr>
            <w:tcW w:w="2093" w:type="dxa"/>
          </w:tcPr>
          <w:p w14:paraId="2E77EBC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Побережский </w:t>
            </w:r>
          </w:p>
        </w:tc>
      </w:tr>
      <w:tr w:rsidR="001002C3" w:rsidRPr="005E779E" w14:paraId="56AABDC9" w14:textId="77777777">
        <w:tc>
          <w:tcPr>
            <w:tcW w:w="2093" w:type="dxa"/>
          </w:tcPr>
          <w:p w14:paraId="0B361D4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 ИАМ</w:t>
            </w:r>
          </w:p>
        </w:tc>
        <w:tc>
          <w:tcPr>
            <w:tcW w:w="2093" w:type="dxa"/>
          </w:tcPr>
          <w:p w14:paraId="360E1E3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Марьямов</w:t>
            </w:r>
          </w:p>
        </w:tc>
      </w:tr>
      <w:tr w:rsidR="001002C3" w:rsidRPr="005E779E" w14:paraId="639BE843" w14:textId="77777777">
        <w:tc>
          <w:tcPr>
            <w:tcW w:w="2093" w:type="dxa"/>
          </w:tcPr>
          <w:p w14:paraId="6F3FA7A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 Зав. 24</w:t>
            </w:r>
          </w:p>
        </w:tc>
        <w:tc>
          <w:tcPr>
            <w:tcW w:w="2093" w:type="dxa"/>
          </w:tcPr>
          <w:p w14:paraId="780E9CA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Огарченко</w:t>
            </w:r>
          </w:p>
        </w:tc>
      </w:tr>
      <w:tr w:rsidR="001002C3" w:rsidRPr="005E779E" w14:paraId="2DFF37B8" w14:textId="77777777">
        <w:tc>
          <w:tcPr>
            <w:tcW w:w="2093" w:type="dxa"/>
          </w:tcPr>
          <w:p w14:paraId="6F2A447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93" w:type="dxa"/>
          </w:tcPr>
          <w:p w14:paraId="4391087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Швецов</w:t>
            </w:r>
          </w:p>
        </w:tc>
      </w:tr>
      <w:tr w:rsidR="001002C3" w:rsidRPr="005E779E" w14:paraId="1D21F1AF" w14:textId="77777777">
        <w:tc>
          <w:tcPr>
            <w:tcW w:w="2093" w:type="dxa"/>
          </w:tcPr>
          <w:p w14:paraId="330949F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УВВС</w:t>
            </w:r>
          </w:p>
        </w:tc>
        <w:tc>
          <w:tcPr>
            <w:tcW w:w="2093" w:type="dxa"/>
          </w:tcPr>
          <w:p w14:paraId="0666499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Брелис</w:t>
            </w:r>
          </w:p>
        </w:tc>
      </w:tr>
      <w:tr w:rsidR="001002C3" w:rsidRPr="005E779E" w14:paraId="2691B429" w14:textId="77777777">
        <w:tc>
          <w:tcPr>
            <w:tcW w:w="2093" w:type="dxa"/>
          </w:tcPr>
          <w:p w14:paraId="3A41998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НИИ ВВС</w:t>
            </w:r>
          </w:p>
        </w:tc>
        <w:tc>
          <w:tcPr>
            <w:tcW w:w="2093" w:type="dxa"/>
          </w:tcPr>
          <w:p w14:paraId="01AB601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Аузам</w:t>
            </w:r>
          </w:p>
        </w:tc>
      </w:tr>
      <w:tr w:rsidR="001002C3" w:rsidRPr="005E779E" w14:paraId="6EA9BC0A" w14:textId="77777777">
        <w:tc>
          <w:tcPr>
            <w:tcW w:w="2093" w:type="dxa"/>
          </w:tcPr>
          <w:p w14:paraId="3EB95B0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93" w:type="dxa"/>
          </w:tcPr>
          <w:p w14:paraId="67E59C4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Ганулич</w:t>
            </w:r>
          </w:p>
        </w:tc>
      </w:tr>
      <w:tr w:rsidR="001002C3" w:rsidRPr="005E779E" w14:paraId="3D03C7F9" w14:textId="77777777">
        <w:tc>
          <w:tcPr>
            <w:tcW w:w="2093" w:type="dxa"/>
          </w:tcPr>
          <w:p w14:paraId="009FC0D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93" w:type="dxa"/>
          </w:tcPr>
          <w:p w14:paraId="0BB5156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Рогов</w:t>
            </w:r>
          </w:p>
        </w:tc>
      </w:tr>
      <w:tr w:rsidR="001002C3" w:rsidRPr="005E779E" w14:paraId="38F25507" w14:textId="77777777">
        <w:tc>
          <w:tcPr>
            <w:tcW w:w="2093" w:type="dxa"/>
          </w:tcPr>
          <w:p w14:paraId="551B647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93" w:type="dxa"/>
          </w:tcPr>
          <w:p w14:paraId="16EA635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Дутенский</w:t>
            </w:r>
          </w:p>
        </w:tc>
      </w:tr>
      <w:tr w:rsidR="001002C3" w:rsidRPr="005E779E" w14:paraId="5D361B8D" w14:textId="77777777">
        <w:tc>
          <w:tcPr>
            <w:tcW w:w="2093" w:type="dxa"/>
            <w:tcBorders>
              <w:bottom w:val="single" w:sz="12" w:space="0" w:color="auto"/>
            </w:tcBorders>
          </w:tcPr>
          <w:p w14:paraId="43B4C58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ВОГФ</w:t>
            </w:r>
          </w:p>
        </w:tc>
        <w:tc>
          <w:tcPr>
            <w:tcW w:w="2093" w:type="dxa"/>
            <w:tcBorders>
              <w:bottom w:val="single" w:sz="12" w:space="0" w:color="auto"/>
            </w:tcBorders>
          </w:tcPr>
          <w:p w14:paraId="0909EF8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Анвельт</w:t>
            </w:r>
          </w:p>
        </w:tc>
      </w:tr>
    </w:tbl>
    <w:p w14:paraId="7FCBDB7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вопросу: О пересмотре развития мощностей заводов ВАО.</w:t>
      </w:r>
    </w:p>
    <w:p w14:paraId="4AAE7B7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 О С Т.А Н О В И Л И:</w:t>
      </w:r>
    </w:p>
    <w:p w14:paraId="22C3FA3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Протокол совещания Нач. ВАО тов. Баранова и Нач. ВВС т. Алксниса, определяющий специализацию; об"ем, задачи и темпы наростания до 1/1-35 г. мощностей заводов ВАО утвердить.</w:t>
      </w:r>
    </w:p>
    <w:p w14:paraId="53631CB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В течение 1932 года построить самолетный завод специальных конструкций и начать постройку завода морского самолетостроения сокончанием его в 1933 году.</w:t>
      </w:r>
    </w:p>
    <w:p w14:paraId="1C50B72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Считать целесообразным в 1932 году начать постройку нового завода моторов водяного охлаждения. Достройку этого завода произвести при условии получения ассигнований сверх 400.000 т.р.</w:t>
      </w:r>
    </w:p>
    <w:p w14:paraId="5F8F088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Завод маломощных моторов строить для производства моторов 3-х, 5-ти и 7-ми цилиндровых на мощность 15.000 шт. рассчетных З-х цилиндровых-моторов.</w:t>
      </w:r>
    </w:p>
    <w:p w14:paraId="0D46966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Моторный завод для танков включить в план развития Авиапромышленности по особой специальной смете, сверх ассигнований опрделенных для развития Авипромышленности. Тип мотора установить Кертиес-Конкверор.</w:t>
      </w:r>
    </w:p>
    <w:p w14:paraId="6803ECB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Посттройку и организацию производства на этом заводе произвести с привлечением техпомощи от фирмы Кертесс, заключив о ней соответствующий договор.</w:t>
      </w:r>
    </w:p>
    <w:p w14:paraId="799C19E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Безусловно в 1933 году начать постройку завода моторов воздушного охлаждения для производства 5.000 моторов Райт-Циклон и 5000 моторов Райт-Ж 6 со всеми его модификациями.</w:t>
      </w:r>
    </w:p>
    <w:p w14:paraId="749A26A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Пстройку и организацию производства на этом заводе произвести с привлечением техпомощи от Фирмы Райт, заключив с ней соответствующий договор.</w:t>
      </w:r>
    </w:p>
    <w:p w14:paraId="58C8D0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Считать необходимым поставить перед ВСНХ СССР вопрос об организации специальньх заводов по станкостроению, могущих частично начиная с 1932 года удовлетворять потребность Авиапромшленности в станках как качественно, так и количественно (2329,286).</w:t>
      </w:r>
    </w:p>
    <w:p w14:paraId="2AF082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Сравнительная таблица данных характеристик самолетов серийного производства начала и конца первой пятилетки и опытных самолетов, намеченных к внедрению в серийное производство в 1933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878"/>
        <w:gridCol w:w="682"/>
        <w:gridCol w:w="567"/>
        <w:gridCol w:w="1134"/>
        <w:gridCol w:w="1085"/>
        <w:gridCol w:w="885"/>
        <w:gridCol w:w="885"/>
        <w:gridCol w:w="885"/>
        <w:gridCol w:w="698"/>
        <w:gridCol w:w="1109"/>
        <w:gridCol w:w="459"/>
        <w:gridCol w:w="1271"/>
      </w:tblGrid>
      <w:tr w:rsidR="001002C3" w:rsidRPr="005E779E" w14:paraId="59343601" w14:textId="77777777">
        <w:tc>
          <w:tcPr>
            <w:tcW w:w="675" w:type="dxa"/>
            <w:tcBorders>
              <w:top w:val="single" w:sz="12" w:space="0" w:color="auto"/>
            </w:tcBorders>
          </w:tcPr>
          <w:p w14:paraId="67C366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Год производства</w:t>
            </w:r>
          </w:p>
        </w:tc>
        <w:tc>
          <w:tcPr>
            <w:tcW w:w="878" w:type="dxa"/>
            <w:tcBorders>
              <w:top w:val="single" w:sz="12" w:space="0" w:color="auto"/>
            </w:tcBorders>
          </w:tcPr>
          <w:p w14:paraId="4E4F05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Марка (тип)</w:t>
            </w:r>
          </w:p>
        </w:tc>
        <w:tc>
          <w:tcPr>
            <w:tcW w:w="682" w:type="dxa"/>
            <w:tcBorders>
              <w:top w:val="single" w:sz="12" w:space="0" w:color="auto"/>
            </w:tcBorders>
          </w:tcPr>
          <w:p w14:paraId="4880D3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Число и мощность моторов</w:t>
            </w:r>
          </w:p>
        </w:tc>
        <w:tc>
          <w:tcPr>
            <w:tcW w:w="567" w:type="dxa"/>
            <w:tcBorders>
              <w:top w:val="single" w:sz="12" w:space="0" w:color="auto"/>
            </w:tcBorders>
          </w:tcPr>
          <w:p w14:paraId="11382C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Скорость</w:t>
            </w:r>
          </w:p>
        </w:tc>
        <w:tc>
          <w:tcPr>
            <w:tcW w:w="1134" w:type="dxa"/>
            <w:tcBorders>
              <w:top w:val="single" w:sz="12" w:space="0" w:color="auto"/>
            </w:tcBorders>
          </w:tcPr>
          <w:p w14:paraId="32FE2C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12" w:space="0" w:color="auto"/>
            </w:tcBorders>
          </w:tcPr>
          <w:p w14:paraId="5BEC3C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подъема на 5000 м</w:t>
            </w:r>
          </w:p>
        </w:tc>
        <w:tc>
          <w:tcPr>
            <w:tcW w:w="885" w:type="dxa"/>
            <w:tcBorders>
              <w:top w:val="single" w:sz="12" w:space="0" w:color="auto"/>
            </w:tcBorders>
          </w:tcPr>
          <w:p w14:paraId="10CC40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Потолок к м</w:t>
            </w:r>
          </w:p>
        </w:tc>
        <w:tc>
          <w:tcPr>
            <w:tcW w:w="885" w:type="dxa"/>
            <w:tcBorders>
              <w:top w:val="single" w:sz="12" w:space="0" w:color="auto"/>
            </w:tcBorders>
          </w:tcPr>
          <w:p w14:paraId="06CD2E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Полный полезный вес в кг</w:t>
            </w:r>
          </w:p>
        </w:tc>
        <w:tc>
          <w:tcPr>
            <w:tcW w:w="885" w:type="dxa"/>
            <w:tcBorders>
              <w:top w:val="single" w:sz="12" w:space="0" w:color="auto"/>
            </w:tcBorders>
          </w:tcPr>
          <w:p w14:paraId="088A8A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Полная нагрузка в кг</w:t>
            </w:r>
          </w:p>
        </w:tc>
        <w:tc>
          <w:tcPr>
            <w:tcW w:w="698" w:type="dxa"/>
            <w:tcBorders>
              <w:top w:val="single" w:sz="12" w:space="0" w:color="auto"/>
            </w:tcBorders>
          </w:tcPr>
          <w:p w14:paraId="45ED6A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Продолжительность (час) или дальность (км)</w:t>
            </w:r>
          </w:p>
        </w:tc>
        <w:tc>
          <w:tcPr>
            <w:tcW w:w="1109" w:type="dxa"/>
            <w:tcBorders>
              <w:top w:val="single" w:sz="12" w:space="0" w:color="auto"/>
            </w:tcBorders>
          </w:tcPr>
          <w:p w14:paraId="40259B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 (пушек и пулеметов, бомб)</w:t>
            </w:r>
          </w:p>
        </w:tc>
        <w:tc>
          <w:tcPr>
            <w:tcW w:w="459" w:type="dxa"/>
            <w:tcBorders>
              <w:top w:val="single" w:sz="12" w:space="0" w:color="auto"/>
            </w:tcBorders>
          </w:tcPr>
          <w:p w14:paraId="7DD0FC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Экипаж</w:t>
            </w:r>
          </w:p>
        </w:tc>
        <w:tc>
          <w:tcPr>
            <w:tcW w:w="1271" w:type="dxa"/>
            <w:tcBorders>
              <w:top w:val="single" w:sz="12" w:space="0" w:color="auto"/>
            </w:tcBorders>
          </w:tcPr>
          <w:p w14:paraId="558137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Материал конструкции</w:t>
            </w:r>
          </w:p>
        </w:tc>
      </w:tr>
      <w:tr w:rsidR="001002C3" w:rsidRPr="005E779E" w14:paraId="5BB3A749" w14:textId="77777777">
        <w:tc>
          <w:tcPr>
            <w:tcW w:w="675" w:type="dxa"/>
          </w:tcPr>
          <w:p w14:paraId="4308AF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78" w:type="dxa"/>
          </w:tcPr>
          <w:p w14:paraId="3F4D84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Pr>
          <w:p w14:paraId="1BD45C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CDA92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 земли</w:t>
            </w:r>
          </w:p>
        </w:tc>
        <w:tc>
          <w:tcPr>
            <w:tcW w:w="1134" w:type="dxa"/>
          </w:tcPr>
          <w:p w14:paraId="282A16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5000 м</w:t>
            </w:r>
          </w:p>
        </w:tc>
        <w:tc>
          <w:tcPr>
            <w:tcW w:w="1085" w:type="dxa"/>
          </w:tcPr>
          <w:p w14:paraId="71BC06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85" w:type="dxa"/>
          </w:tcPr>
          <w:p w14:paraId="55451F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85" w:type="dxa"/>
          </w:tcPr>
          <w:p w14:paraId="57DAF0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85" w:type="dxa"/>
          </w:tcPr>
          <w:p w14:paraId="054D15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698" w:type="dxa"/>
          </w:tcPr>
          <w:p w14:paraId="794327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09" w:type="dxa"/>
          </w:tcPr>
          <w:p w14:paraId="205A3E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59" w:type="dxa"/>
          </w:tcPr>
          <w:p w14:paraId="4120B2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271" w:type="dxa"/>
          </w:tcPr>
          <w:p w14:paraId="1E69CB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100067B" w14:textId="77777777">
        <w:tc>
          <w:tcPr>
            <w:tcW w:w="675" w:type="dxa"/>
          </w:tcPr>
          <w:p w14:paraId="162570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Разведчики (легкие бомбардировщики)</w:t>
            </w:r>
          </w:p>
        </w:tc>
        <w:tc>
          <w:tcPr>
            <w:tcW w:w="878" w:type="dxa"/>
          </w:tcPr>
          <w:p w14:paraId="354805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Pr>
          <w:p w14:paraId="26FF3F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94228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A0567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6C649C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85" w:type="dxa"/>
          </w:tcPr>
          <w:p w14:paraId="6AE0F3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85" w:type="dxa"/>
          </w:tcPr>
          <w:p w14:paraId="52E13C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85" w:type="dxa"/>
          </w:tcPr>
          <w:p w14:paraId="25DD37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698" w:type="dxa"/>
          </w:tcPr>
          <w:p w14:paraId="32A540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09" w:type="dxa"/>
          </w:tcPr>
          <w:p w14:paraId="08A81C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59" w:type="dxa"/>
          </w:tcPr>
          <w:p w14:paraId="34578F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271" w:type="dxa"/>
          </w:tcPr>
          <w:p w14:paraId="1E1830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F4A6CAA" w14:textId="77777777">
        <w:tc>
          <w:tcPr>
            <w:tcW w:w="675" w:type="dxa"/>
          </w:tcPr>
          <w:p w14:paraId="190560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1928</w:t>
            </w:r>
          </w:p>
        </w:tc>
        <w:tc>
          <w:tcPr>
            <w:tcW w:w="878" w:type="dxa"/>
          </w:tcPr>
          <w:p w14:paraId="7E53AA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Р1-М5</w:t>
            </w:r>
          </w:p>
        </w:tc>
        <w:tc>
          <w:tcPr>
            <w:tcW w:w="682" w:type="dxa"/>
          </w:tcPr>
          <w:p w14:paraId="6ABBEE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1х400</w:t>
            </w:r>
          </w:p>
        </w:tc>
        <w:tc>
          <w:tcPr>
            <w:tcW w:w="567" w:type="dxa"/>
          </w:tcPr>
          <w:p w14:paraId="46AF20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185</w:t>
            </w:r>
          </w:p>
        </w:tc>
        <w:tc>
          <w:tcPr>
            <w:tcW w:w="1134" w:type="dxa"/>
          </w:tcPr>
          <w:p w14:paraId="478585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181 (2000 м)</w:t>
            </w:r>
          </w:p>
        </w:tc>
        <w:tc>
          <w:tcPr>
            <w:tcW w:w="1085" w:type="dxa"/>
          </w:tcPr>
          <w:p w14:paraId="685EAA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 на 3000</w:t>
            </w:r>
          </w:p>
        </w:tc>
        <w:tc>
          <w:tcPr>
            <w:tcW w:w="885" w:type="dxa"/>
          </w:tcPr>
          <w:p w14:paraId="12BE1E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5250</w:t>
            </w:r>
          </w:p>
        </w:tc>
        <w:tc>
          <w:tcPr>
            <w:tcW w:w="885" w:type="dxa"/>
          </w:tcPr>
          <w:p w14:paraId="229680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2196</w:t>
            </w:r>
          </w:p>
        </w:tc>
        <w:tc>
          <w:tcPr>
            <w:tcW w:w="885" w:type="dxa"/>
          </w:tcPr>
          <w:p w14:paraId="02C7B9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750</w:t>
            </w:r>
          </w:p>
        </w:tc>
        <w:tc>
          <w:tcPr>
            <w:tcW w:w="698" w:type="dxa"/>
          </w:tcPr>
          <w:p w14:paraId="4312B0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ч</w:t>
            </w:r>
          </w:p>
        </w:tc>
        <w:tc>
          <w:tcPr>
            <w:tcW w:w="1109" w:type="dxa"/>
          </w:tcPr>
          <w:p w14:paraId="3F098E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3хпул</w:t>
            </w:r>
          </w:p>
          <w:p w14:paraId="6CBCA0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 кг</w:t>
            </w:r>
          </w:p>
        </w:tc>
        <w:tc>
          <w:tcPr>
            <w:tcW w:w="459" w:type="dxa"/>
          </w:tcPr>
          <w:p w14:paraId="1B5C40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1271" w:type="dxa"/>
          </w:tcPr>
          <w:p w14:paraId="3D1C3C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дерево</w:t>
            </w:r>
          </w:p>
        </w:tc>
      </w:tr>
      <w:tr w:rsidR="001002C3" w:rsidRPr="005E779E" w14:paraId="2673B584" w14:textId="77777777">
        <w:tc>
          <w:tcPr>
            <w:tcW w:w="675" w:type="dxa"/>
          </w:tcPr>
          <w:p w14:paraId="6537B8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1932</w:t>
            </w:r>
          </w:p>
        </w:tc>
        <w:tc>
          <w:tcPr>
            <w:tcW w:w="878" w:type="dxa"/>
          </w:tcPr>
          <w:p w14:paraId="25A86B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Р5-М17</w:t>
            </w:r>
          </w:p>
        </w:tc>
        <w:tc>
          <w:tcPr>
            <w:tcW w:w="682" w:type="dxa"/>
          </w:tcPr>
          <w:p w14:paraId="494325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1х500</w:t>
            </w:r>
          </w:p>
        </w:tc>
        <w:tc>
          <w:tcPr>
            <w:tcW w:w="567" w:type="dxa"/>
          </w:tcPr>
          <w:p w14:paraId="2FFE69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218</w:t>
            </w:r>
          </w:p>
        </w:tc>
        <w:tc>
          <w:tcPr>
            <w:tcW w:w="1134" w:type="dxa"/>
          </w:tcPr>
          <w:p w14:paraId="4E2D12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160</w:t>
            </w:r>
          </w:p>
        </w:tc>
        <w:tc>
          <w:tcPr>
            <w:tcW w:w="1085" w:type="dxa"/>
          </w:tcPr>
          <w:p w14:paraId="322D46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41</w:t>
            </w:r>
          </w:p>
        </w:tc>
        <w:tc>
          <w:tcPr>
            <w:tcW w:w="885" w:type="dxa"/>
          </w:tcPr>
          <w:p w14:paraId="0DE7F5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5250</w:t>
            </w:r>
          </w:p>
        </w:tc>
        <w:tc>
          <w:tcPr>
            <w:tcW w:w="885" w:type="dxa"/>
          </w:tcPr>
          <w:p w14:paraId="16B362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2955</w:t>
            </w:r>
          </w:p>
        </w:tc>
        <w:tc>
          <w:tcPr>
            <w:tcW w:w="885" w:type="dxa"/>
          </w:tcPr>
          <w:p w14:paraId="7ACE2A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787</w:t>
            </w:r>
          </w:p>
        </w:tc>
        <w:tc>
          <w:tcPr>
            <w:tcW w:w="698" w:type="dxa"/>
          </w:tcPr>
          <w:p w14:paraId="5244B2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ч</w:t>
            </w:r>
          </w:p>
        </w:tc>
        <w:tc>
          <w:tcPr>
            <w:tcW w:w="1109" w:type="dxa"/>
          </w:tcPr>
          <w:p w14:paraId="308C5B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3хпул</w:t>
            </w:r>
          </w:p>
          <w:p w14:paraId="139E64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 кг</w:t>
            </w:r>
          </w:p>
        </w:tc>
        <w:tc>
          <w:tcPr>
            <w:tcW w:w="459" w:type="dxa"/>
          </w:tcPr>
          <w:p w14:paraId="3E930A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1271" w:type="dxa"/>
          </w:tcPr>
          <w:p w14:paraId="29FB3D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дерево</w:t>
            </w:r>
          </w:p>
        </w:tc>
      </w:tr>
      <w:tr w:rsidR="001002C3" w:rsidRPr="005E779E" w14:paraId="14993092" w14:textId="77777777">
        <w:tc>
          <w:tcPr>
            <w:tcW w:w="675" w:type="dxa"/>
          </w:tcPr>
          <w:p w14:paraId="400744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Истребители (одноместные)</w:t>
            </w:r>
          </w:p>
        </w:tc>
        <w:tc>
          <w:tcPr>
            <w:tcW w:w="878" w:type="dxa"/>
          </w:tcPr>
          <w:p w14:paraId="71CE2C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Pr>
          <w:p w14:paraId="0D86CF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7E59E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F038D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16589A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85" w:type="dxa"/>
          </w:tcPr>
          <w:p w14:paraId="60209E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85" w:type="dxa"/>
          </w:tcPr>
          <w:p w14:paraId="5E7CA7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85" w:type="dxa"/>
          </w:tcPr>
          <w:p w14:paraId="6F330A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698" w:type="dxa"/>
          </w:tcPr>
          <w:p w14:paraId="14316B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09" w:type="dxa"/>
          </w:tcPr>
          <w:p w14:paraId="46F04D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59" w:type="dxa"/>
          </w:tcPr>
          <w:p w14:paraId="0BE030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271" w:type="dxa"/>
          </w:tcPr>
          <w:p w14:paraId="32BCEB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535702A" w14:textId="77777777">
        <w:tc>
          <w:tcPr>
            <w:tcW w:w="675" w:type="dxa"/>
          </w:tcPr>
          <w:p w14:paraId="53E907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1929</w:t>
            </w:r>
          </w:p>
        </w:tc>
        <w:tc>
          <w:tcPr>
            <w:tcW w:w="878" w:type="dxa"/>
          </w:tcPr>
          <w:p w14:paraId="2DCC48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И3-БМВ4</w:t>
            </w:r>
          </w:p>
        </w:tc>
        <w:tc>
          <w:tcPr>
            <w:tcW w:w="682" w:type="dxa"/>
          </w:tcPr>
          <w:p w14:paraId="110E44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1х500</w:t>
            </w:r>
          </w:p>
        </w:tc>
        <w:tc>
          <w:tcPr>
            <w:tcW w:w="567" w:type="dxa"/>
          </w:tcPr>
          <w:p w14:paraId="6B6159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278</w:t>
            </w:r>
          </w:p>
        </w:tc>
        <w:tc>
          <w:tcPr>
            <w:tcW w:w="1134" w:type="dxa"/>
          </w:tcPr>
          <w:p w14:paraId="10C212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252</w:t>
            </w:r>
          </w:p>
        </w:tc>
        <w:tc>
          <w:tcPr>
            <w:tcW w:w="1085" w:type="dxa"/>
          </w:tcPr>
          <w:p w14:paraId="004C01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w:t>
            </w:r>
          </w:p>
        </w:tc>
        <w:tc>
          <w:tcPr>
            <w:tcW w:w="885" w:type="dxa"/>
          </w:tcPr>
          <w:p w14:paraId="7EEB1E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7000</w:t>
            </w:r>
          </w:p>
        </w:tc>
        <w:tc>
          <w:tcPr>
            <w:tcW w:w="885" w:type="dxa"/>
          </w:tcPr>
          <w:p w14:paraId="1D0C5D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1850</w:t>
            </w:r>
          </w:p>
        </w:tc>
        <w:tc>
          <w:tcPr>
            <w:tcW w:w="885" w:type="dxa"/>
          </w:tcPr>
          <w:p w14:paraId="7E6076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440</w:t>
            </w:r>
          </w:p>
        </w:tc>
        <w:tc>
          <w:tcPr>
            <w:tcW w:w="698" w:type="dxa"/>
          </w:tcPr>
          <w:p w14:paraId="55ABE1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575 км</w:t>
            </w:r>
          </w:p>
        </w:tc>
        <w:tc>
          <w:tcPr>
            <w:tcW w:w="1109" w:type="dxa"/>
          </w:tcPr>
          <w:p w14:paraId="3DFABF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2хпул</w:t>
            </w:r>
          </w:p>
          <w:p w14:paraId="57848F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820 патр.</w:t>
            </w:r>
          </w:p>
        </w:tc>
        <w:tc>
          <w:tcPr>
            <w:tcW w:w="459" w:type="dxa"/>
          </w:tcPr>
          <w:p w14:paraId="13828B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1271" w:type="dxa"/>
          </w:tcPr>
          <w:p w14:paraId="123FD0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дерево</w:t>
            </w:r>
          </w:p>
        </w:tc>
      </w:tr>
      <w:tr w:rsidR="001002C3" w:rsidRPr="005E779E" w14:paraId="4A282D76" w14:textId="77777777">
        <w:tc>
          <w:tcPr>
            <w:tcW w:w="675" w:type="dxa"/>
          </w:tcPr>
          <w:p w14:paraId="5E1CC3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1932</w:t>
            </w:r>
          </w:p>
        </w:tc>
        <w:tc>
          <w:tcPr>
            <w:tcW w:w="878" w:type="dxa"/>
          </w:tcPr>
          <w:p w14:paraId="108A2F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И5-М22</w:t>
            </w:r>
          </w:p>
        </w:tc>
        <w:tc>
          <w:tcPr>
            <w:tcW w:w="682" w:type="dxa"/>
          </w:tcPr>
          <w:p w14:paraId="205BF1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1х480</w:t>
            </w:r>
          </w:p>
        </w:tc>
        <w:tc>
          <w:tcPr>
            <w:tcW w:w="567" w:type="dxa"/>
          </w:tcPr>
          <w:p w14:paraId="025EED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278</w:t>
            </w:r>
          </w:p>
        </w:tc>
        <w:tc>
          <w:tcPr>
            <w:tcW w:w="1134" w:type="dxa"/>
          </w:tcPr>
          <w:p w14:paraId="0ED752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252</w:t>
            </w:r>
          </w:p>
        </w:tc>
        <w:tc>
          <w:tcPr>
            <w:tcW w:w="1085" w:type="dxa"/>
          </w:tcPr>
          <w:p w14:paraId="7576B3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10:24</w:t>
            </w:r>
          </w:p>
        </w:tc>
        <w:tc>
          <w:tcPr>
            <w:tcW w:w="885" w:type="dxa"/>
          </w:tcPr>
          <w:p w14:paraId="65E25A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7800</w:t>
            </w:r>
          </w:p>
        </w:tc>
        <w:tc>
          <w:tcPr>
            <w:tcW w:w="885" w:type="dxa"/>
          </w:tcPr>
          <w:p w14:paraId="37BE74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1350-1415</w:t>
            </w:r>
          </w:p>
        </w:tc>
        <w:tc>
          <w:tcPr>
            <w:tcW w:w="885" w:type="dxa"/>
          </w:tcPr>
          <w:p w14:paraId="209196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412-475</w:t>
            </w:r>
          </w:p>
        </w:tc>
        <w:tc>
          <w:tcPr>
            <w:tcW w:w="698" w:type="dxa"/>
          </w:tcPr>
          <w:p w14:paraId="0C49B7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655</w:t>
            </w:r>
          </w:p>
        </w:tc>
        <w:tc>
          <w:tcPr>
            <w:tcW w:w="1109" w:type="dxa"/>
          </w:tcPr>
          <w:p w14:paraId="030801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2-4хпул</w:t>
            </w:r>
          </w:p>
          <w:p w14:paraId="6520BB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1200-2200 патр.</w:t>
            </w:r>
          </w:p>
        </w:tc>
        <w:tc>
          <w:tcPr>
            <w:tcW w:w="459" w:type="dxa"/>
          </w:tcPr>
          <w:p w14:paraId="33CD21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1271" w:type="dxa"/>
          </w:tcPr>
          <w:p w14:paraId="5F7FF0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смешанная</w:t>
            </w:r>
          </w:p>
        </w:tc>
      </w:tr>
      <w:tr w:rsidR="001002C3" w:rsidRPr="005E779E" w14:paraId="7977337F" w14:textId="77777777">
        <w:tc>
          <w:tcPr>
            <w:tcW w:w="675" w:type="dxa"/>
          </w:tcPr>
          <w:p w14:paraId="0264D7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1932</w:t>
            </w:r>
          </w:p>
        </w:tc>
        <w:tc>
          <w:tcPr>
            <w:tcW w:w="878" w:type="dxa"/>
          </w:tcPr>
          <w:p w14:paraId="71A9E0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И7-М17</w:t>
            </w:r>
          </w:p>
        </w:tc>
        <w:tc>
          <w:tcPr>
            <w:tcW w:w="682" w:type="dxa"/>
          </w:tcPr>
          <w:p w14:paraId="1D08B9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1х500</w:t>
            </w:r>
          </w:p>
        </w:tc>
        <w:tc>
          <w:tcPr>
            <w:tcW w:w="567" w:type="dxa"/>
          </w:tcPr>
          <w:p w14:paraId="72D337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290</w:t>
            </w:r>
          </w:p>
        </w:tc>
        <w:tc>
          <w:tcPr>
            <w:tcW w:w="1134" w:type="dxa"/>
          </w:tcPr>
          <w:p w14:paraId="2C027D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277</w:t>
            </w:r>
          </w:p>
        </w:tc>
        <w:tc>
          <w:tcPr>
            <w:tcW w:w="1085" w:type="dxa"/>
          </w:tcPr>
          <w:p w14:paraId="76856D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11:28</w:t>
            </w:r>
          </w:p>
        </w:tc>
        <w:tc>
          <w:tcPr>
            <w:tcW w:w="885" w:type="dxa"/>
          </w:tcPr>
          <w:p w14:paraId="77D48B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7200</w:t>
            </w:r>
          </w:p>
        </w:tc>
        <w:tc>
          <w:tcPr>
            <w:tcW w:w="885" w:type="dxa"/>
          </w:tcPr>
          <w:p w14:paraId="3009F3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1790</w:t>
            </w:r>
          </w:p>
        </w:tc>
        <w:tc>
          <w:tcPr>
            <w:tcW w:w="885" w:type="dxa"/>
          </w:tcPr>
          <w:p w14:paraId="08CA54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433</w:t>
            </w:r>
          </w:p>
        </w:tc>
        <w:tc>
          <w:tcPr>
            <w:tcW w:w="698" w:type="dxa"/>
          </w:tcPr>
          <w:p w14:paraId="551326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700</w:t>
            </w:r>
          </w:p>
        </w:tc>
        <w:tc>
          <w:tcPr>
            <w:tcW w:w="1109" w:type="dxa"/>
          </w:tcPr>
          <w:p w14:paraId="5AC7A7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2хпул</w:t>
            </w:r>
          </w:p>
          <w:p w14:paraId="3877C6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1200 патр.</w:t>
            </w:r>
          </w:p>
        </w:tc>
        <w:tc>
          <w:tcPr>
            <w:tcW w:w="459" w:type="dxa"/>
          </w:tcPr>
          <w:p w14:paraId="65F4C6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1271" w:type="dxa"/>
          </w:tcPr>
          <w:p w14:paraId="7A7F1C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смешанная</w:t>
            </w:r>
          </w:p>
        </w:tc>
      </w:tr>
      <w:tr w:rsidR="001002C3" w:rsidRPr="005E779E" w14:paraId="606A60A1" w14:textId="77777777">
        <w:tc>
          <w:tcPr>
            <w:tcW w:w="675" w:type="dxa"/>
          </w:tcPr>
          <w:p w14:paraId="6CFF8D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В.Бомбардировщики</w:t>
            </w:r>
          </w:p>
        </w:tc>
        <w:tc>
          <w:tcPr>
            <w:tcW w:w="878" w:type="dxa"/>
          </w:tcPr>
          <w:p w14:paraId="22D492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Pr>
          <w:p w14:paraId="4FFACA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333E3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8BDD2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054ADC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85" w:type="dxa"/>
          </w:tcPr>
          <w:p w14:paraId="240A4D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85" w:type="dxa"/>
          </w:tcPr>
          <w:p w14:paraId="3A4787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85" w:type="dxa"/>
          </w:tcPr>
          <w:p w14:paraId="6535D1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698" w:type="dxa"/>
          </w:tcPr>
          <w:p w14:paraId="5CAA96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09" w:type="dxa"/>
          </w:tcPr>
          <w:p w14:paraId="1760EE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59" w:type="dxa"/>
          </w:tcPr>
          <w:p w14:paraId="7CAEAD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271" w:type="dxa"/>
          </w:tcPr>
          <w:p w14:paraId="5451C7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1FB5556" w14:textId="77777777">
        <w:tc>
          <w:tcPr>
            <w:tcW w:w="675" w:type="dxa"/>
          </w:tcPr>
          <w:p w14:paraId="6C09EE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1930</w:t>
            </w:r>
          </w:p>
        </w:tc>
        <w:tc>
          <w:tcPr>
            <w:tcW w:w="878" w:type="dxa"/>
          </w:tcPr>
          <w:p w14:paraId="542016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ТБ1-2М17</w:t>
            </w:r>
          </w:p>
        </w:tc>
        <w:tc>
          <w:tcPr>
            <w:tcW w:w="682" w:type="dxa"/>
          </w:tcPr>
          <w:p w14:paraId="6E10BC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2х500</w:t>
            </w:r>
          </w:p>
        </w:tc>
        <w:tc>
          <w:tcPr>
            <w:tcW w:w="567" w:type="dxa"/>
          </w:tcPr>
          <w:p w14:paraId="132926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180-204</w:t>
            </w:r>
          </w:p>
        </w:tc>
        <w:tc>
          <w:tcPr>
            <w:tcW w:w="1134" w:type="dxa"/>
          </w:tcPr>
          <w:p w14:paraId="2CC51D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185 (3000)</w:t>
            </w:r>
          </w:p>
        </w:tc>
        <w:tc>
          <w:tcPr>
            <w:tcW w:w="1085" w:type="dxa"/>
          </w:tcPr>
          <w:p w14:paraId="210EF4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 на 3000</w:t>
            </w:r>
          </w:p>
        </w:tc>
        <w:tc>
          <w:tcPr>
            <w:tcW w:w="885" w:type="dxa"/>
          </w:tcPr>
          <w:p w14:paraId="55BCDC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4800</w:t>
            </w:r>
          </w:p>
        </w:tc>
        <w:tc>
          <w:tcPr>
            <w:tcW w:w="885" w:type="dxa"/>
          </w:tcPr>
          <w:p w14:paraId="495C07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6800</w:t>
            </w:r>
          </w:p>
        </w:tc>
        <w:tc>
          <w:tcPr>
            <w:tcW w:w="885" w:type="dxa"/>
          </w:tcPr>
          <w:p w14:paraId="6A878D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2285</w:t>
            </w:r>
          </w:p>
        </w:tc>
        <w:tc>
          <w:tcPr>
            <w:tcW w:w="698" w:type="dxa"/>
          </w:tcPr>
          <w:p w14:paraId="6D5823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840</w:t>
            </w:r>
          </w:p>
        </w:tc>
        <w:tc>
          <w:tcPr>
            <w:tcW w:w="1109" w:type="dxa"/>
          </w:tcPr>
          <w:p w14:paraId="695115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6хпул</w:t>
            </w:r>
          </w:p>
          <w:p w14:paraId="66BD44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730-1500 кг бомб</w:t>
            </w:r>
          </w:p>
        </w:tc>
        <w:tc>
          <w:tcPr>
            <w:tcW w:w="459" w:type="dxa"/>
          </w:tcPr>
          <w:p w14:paraId="05F1B2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w:t>
            </w:r>
          </w:p>
        </w:tc>
        <w:tc>
          <w:tcPr>
            <w:tcW w:w="1271" w:type="dxa"/>
          </w:tcPr>
          <w:p w14:paraId="245167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дюраль</w:t>
            </w:r>
          </w:p>
        </w:tc>
      </w:tr>
      <w:tr w:rsidR="001002C3" w:rsidRPr="005E779E" w14:paraId="2EAD8299" w14:textId="77777777">
        <w:tc>
          <w:tcPr>
            <w:tcW w:w="675" w:type="dxa"/>
          </w:tcPr>
          <w:p w14:paraId="0205AF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1932</w:t>
            </w:r>
          </w:p>
        </w:tc>
        <w:tc>
          <w:tcPr>
            <w:tcW w:w="878" w:type="dxa"/>
          </w:tcPr>
          <w:p w14:paraId="2F3A7E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ТБ-3-4М17</w:t>
            </w:r>
          </w:p>
        </w:tc>
        <w:tc>
          <w:tcPr>
            <w:tcW w:w="682" w:type="dxa"/>
          </w:tcPr>
          <w:p w14:paraId="72149E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4х500</w:t>
            </w:r>
          </w:p>
        </w:tc>
        <w:tc>
          <w:tcPr>
            <w:tcW w:w="567" w:type="dxa"/>
          </w:tcPr>
          <w:p w14:paraId="1C0B61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213</w:t>
            </w:r>
          </w:p>
        </w:tc>
        <w:tc>
          <w:tcPr>
            <w:tcW w:w="1134" w:type="dxa"/>
          </w:tcPr>
          <w:p w14:paraId="7B9F83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3172CA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47 на 3000</w:t>
            </w:r>
          </w:p>
        </w:tc>
        <w:tc>
          <w:tcPr>
            <w:tcW w:w="885" w:type="dxa"/>
          </w:tcPr>
          <w:p w14:paraId="1BCEC5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3700</w:t>
            </w:r>
          </w:p>
        </w:tc>
        <w:tc>
          <w:tcPr>
            <w:tcW w:w="885" w:type="dxa"/>
          </w:tcPr>
          <w:p w14:paraId="666FFA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17200</w:t>
            </w:r>
          </w:p>
        </w:tc>
        <w:tc>
          <w:tcPr>
            <w:tcW w:w="885" w:type="dxa"/>
          </w:tcPr>
          <w:p w14:paraId="70E29F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6020-6250</w:t>
            </w:r>
          </w:p>
        </w:tc>
        <w:tc>
          <w:tcPr>
            <w:tcW w:w="698" w:type="dxa"/>
          </w:tcPr>
          <w:p w14:paraId="4100C8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09" w:type="dxa"/>
          </w:tcPr>
          <w:p w14:paraId="5614EF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6хпул</w:t>
            </w:r>
          </w:p>
          <w:p w14:paraId="7C3345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2000 кг бомб</w:t>
            </w:r>
          </w:p>
        </w:tc>
        <w:tc>
          <w:tcPr>
            <w:tcW w:w="459" w:type="dxa"/>
          </w:tcPr>
          <w:p w14:paraId="5607C6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w:t>
            </w:r>
          </w:p>
        </w:tc>
        <w:tc>
          <w:tcPr>
            <w:tcW w:w="1271" w:type="dxa"/>
          </w:tcPr>
          <w:p w14:paraId="034FFD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дюраль</w:t>
            </w:r>
          </w:p>
        </w:tc>
      </w:tr>
      <w:tr w:rsidR="001002C3" w:rsidRPr="005E779E" w14:paraId="2E93DED8" w14:textId="77777777">
        <w:tc>
          <w:tcPr>
            <w:tcW w:w="675" w:type="dxa"/>
          </w:tcPr>
          <w:p w14:paraId="5177EB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Учебн</w:t>
            </w:r>
            <w:r w:rsidRPr="005E779E">
              <w:rPr>
                <w:rFonts w:ascii="Times New Roman" w:hAnsi="Times New Roman"/>
                <w:color w:val="000000" w:themeColor="text1"/>
                <w:sz w:val="16"/>
                <w:szCs w:val="16"/>
              </w:rPr>
              <w:lastRenderedPageBreak/>
              <w:t>ые самолеты</w:t>
            </w:r>
          </w:p>
        </w:tc>
        <w:tc>
          <w:tcPr>
            <w:tcW w:w="878" w:type="dxa"/>
          </w:tcPr>
          <w:p w14:paraId="00889B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Pr>
          <w:p w14:paraId="13B66F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8D9E3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9EB20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0C46BC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85" w:type="dxa"/>
          </w:tcPr>
          <w:p w14:paraId="10AA08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85" w:type="dxa"/>
          </w:tcPr>
          <w:p w14:paraId="6619FF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85" w:type="dxa"/>
          </w:tcPr>
          <w:p w14:paraId="0E706F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698" w:type="dxa"/>
          </w:tcPr>
          <w:p w14:paraId="0A7700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09" w:type="dxa"/>
          </w:tcPr>
          <w:p w14:paraId="124AC6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59" w:type="dxa"/>
          </w:tcPr>
          <w:p w14:paraId="59AED2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271" w:type="dxa"/>
          </w:tcPr>
          <w:p w14:paraId="22D05D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4B63A37" w14:textId="77777777">
        <w:tc>
          <w:tcPr>
            <w:tcW w:w="675" w:type="dxa"/>
          </w:tcPr>
          <w:p w14:paraId="79D8C7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1928</w:t>
            </w:r>
          </w:p>
        </w:tc>
        <w:tc>
          <w:tcPr>
            <w:tcW w:w="878" w:type="dxa"/>
          </w:tcPr>
          <w:p w14:paraId="0C5FF6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У2-М2</w:t>
            </w:r>
          </w:p>
        </w:tc>
        <w:tc>
          <w:tcPr>
            <w:tcW w:w="682" w:type="dxa"/>
          </w:tcPr>
          <w:p w14:paraId="587505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1х120</w:t>
            </w:r>
          </w:p>
        </w:tc>
        <w:tc>
          <w:tcPr>
            <w:tcW w:w="567" w:type="dxa"/>
          </w:tcPr>
          <w:p w14:paraId="1C698C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132</w:t>
            </w:r>
          </w:p>
        </w:tc>
        <w:tc>
          <w:tcPr>
            <w:tcW w:w="1134" w:type="dxa"/>
          </w:tcPr>
          <w:p w14:paraId="183D4C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122 (2000)</w:t>
            </w:r>
          </w:p>
        </w:tc>
        <w:tc>
          <w:tcPr>
            <w:tcW w:w="1085" w:type="dxa"/>
          </w:tcPr>
          <w:p w14:paraId="02A5E9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на 3000</w:t>
            </w:r>
          </w:p>
        </w:tc>
        <w:tc>
          <w:tcPr>
            <w:tcW w:w="885" w:type="dxa"/>
          </w:tcPr>
          <w:p w14:paraId="31F66D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4500</w:t>
            </w:r>
          </w:p>
        </w:tc>
        <w:tc>
          <w:tcPr>
            <w:tcW w:w="885" w:type="dxa"/>
          </w:tcPr>
          <w:p w14:paraId="55C544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840</w:t>
            </w:r>
          </w:p>
        </w:tc>
        <w:tc>
          <w:tcPr>
            <w:tcW w:w="885" w:type="dxa"/>
          </w:tcPr>
          <w:p w14:paraId="0BDD59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240</w:t>
            </w:r>
          </w:p>
        </w:tc>
        <w:tc>
          <w:tcPr>
            <w:tcW w:w="698" w:type="dxa"/>
          </w:tcPr>
          <w:p w14:paraId="45C698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09" w:type="dxa"/>
          </w:tcPr>
          <w:p w14:paraId="6EE728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459" w:type="dxa"/>
          </w:tcPr>
          <w:p w14:paraId="3504D3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1271" w:type="dxa"/>
          </w:tcPr>
          <w:p w14:paraId="152919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дерево</w:t>
            </w:r>
          </w:p>
        </w:tc>
      </w:tr>
      <w:tr w:rsidR="001002C3" w:rsidRPr="005E779E" w14:paraId="6FF86DED" w14:textId="77777777">
        <w:tc>
          <w:tcPr>
            <w:tcW w:w="675" w:type="dxa"/>
          </w:tcPr>
          <w:p w14:paraId="3DE43C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1932</w:t>
            </w:r>
          </w:p>
        </w:tc>
        <w:tc>
          <w:tcPr>
            <w:tcW w:w="878" w:type="dxa"/>
          </w:tcPr>
          <w:p w14:paraId="77EE0E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У2-М11</w:t>
            </w:r>
          </w:p>
        </w:tc>
        <w:tc>
          <w:tcPr>
            <w:tcW w:w="682" w:type="dxa"/>
          </w:tcPr>
          <w:p w14:paraId="02BE01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1х100</w:t>
            </w:r>
          </w:p>
        </w:tc>
        <w:tc>
          <w:tcPr>
            <w:tcW w:w="567" w:type="dxa"/>
          </w:tcPr>
          <w:p w14:paraId="4E51CF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w:t>
            </w:r>
          </w:p>
        </w:tc>
        <w:tc>
          <w:tcPr>
            <w:tcW w:w="1134" w:type="dxa"/>
          </w:tcPr>
          <w:p w14:paraId="338174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140 (3000)</w:t>
            </w:r>
          </w:p>
        </w:tc>
        <w:tc>
          <w:tcPr>
            <w:tcW w:w="1085" w:type="dxa"/>
          </w:tcPr>
          <w:p w14:paraId="086036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на 3000</w:t>
            </w:r>
          </w:p>
        </w:tc>
        <w:tc>
          <w:tcPr>
            <w:tcW w:w="885" w:type="dxa"/>
          </w:tcPr>
          <w:p w14:paraId="6E08AC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3820</w:t>
            </w:r>
          </w:p>
        </w:tc>
        <w:tc>
          <w:tcPr>
            <w:tcW w:w="885" w:type="dxa"/>
          </w:tcPr>
          <w:p w14:paraId="5DD0C2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890</w:t>
            </w:r>
          </w:p>
        </w:tc>
        <w:tc>
          <w:tcPr>
            <w:tcW w:w="885" w:type="dxa"/>
          </w:tcPr>
          <w:p w14:paraId="2CBD50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255</w:t>
            </w:r>
          </w:p>
        </w:tc>
        <w:tc>
          <w:tcPr>
            <w:tcW w:w="698" w:type="dxa"/>
          </w:tcPr>
          <w:p w14:paraId="75C68C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ч.</w:t>
            </w:r>
          </w:p>
        </w:tc>
        <w:tc>
          <w:tcPr>
            <w:tcW w:w="1109" w:type="dxa"/>
          </w:tcPr>
          <w:p w14:paraId="5D0AEA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459" w:type="dxa"/>
          </w:tcPr>
          <w:p w14:paraId="06DA70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1271" w:type="dxa"/>
          </w:tcPr>
          <w:p w14:paraId="052177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дерево</w:t>
            </w:r>
          </w:p>
        </w:tc>
      </w:tr>
      <w:tr w:rsidR="001002C3" w:rsidRPr="005E779E" w14:paraId="17F691D4" w14:textId="77777777">
        <w:tc>
          <w:tcPr>
            <w:tcW w:w="675" w:type="dxa"/>
          </w:tcPr>
          <w:p w14:paraId="289E0D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Опытные, намеченные к серии в 1933</w:t>
            </w:r>
          </w:p>
        </w:tc>
        <w:tc>
          <w:tcPr>
            <w:tcW w:w="878" w:type="dxa"/>
          </w:tcPr>
          <w:p w14:paraId="527E1F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Pr>
          <w:p w14:paraId="4B97B3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5DE4F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C9D01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7E5CB0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85" w:type="dxa"/>
          </w:tcPr>
          <w:p w14:paraId="44EF1A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85" w:type="dxa"/>
          </w:tcPr>
          <w:p w14:paraId="23D0AB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85" w:type="dxa"/>
          </w:tcPr>
          <w:p w14:paraId="1746A7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698" w:type="dxa"/>
          </w:tcPr>
          <w:p w14:paraId="0C9C0B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09" w:type="dxa"/>
          </w:tcPr>
          <w:p w14:paraId="5969F5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59" w:type="dxa"/>
          </w:tcPr>
          <w:p w14:paraId="50FBB3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271" w:type="dxa"/>
          </w:tcPr>
          <w:p w14:paraId="633233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A0C9A2F" w14:textId="77777777">
        <w:tc>
          <w:tcPr>
            <w:tcW w:w="675" w:type="dxa"/>
          </w:tcPr>
          <w:p w14:paraId="69453B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истребитель одноместный</w:t>
            </w:r>
          </w:p>
        </w:tc>
        <w:tc>
          <w:tcPr>
            <w:tcW w:w="878" w:type="dxa"/>
          </w:tcPr>
          <w:p w14:paraId="1FFADF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И13-М32</w:t>
            </w:r>
          </w:p>
        </w:tc>
        <w:tc>
          <w:tcPr>
            <w:tcW w:w="682" w:type="dxa"/>
          </w:tcPr>
          <w:p w14:paraId="764C8D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1х800</w:t>
            </w:r>
          </w:p>
        </w:tc>
        <w:tc>
          <w:tcPr>
            <w:tcW w:w="567" w:type="dxa"/>
          </w:tcPr>
          <w:p w14:paraId="71D1F1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34" w:type="dxa"/>
          </w:tcPr>
          <w:p w14:paraId="1E30BE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350-400</w:t>
            </w:r>
          </w:p>
        </w:tc>
        <w:tc>
          <w:tcPr>
            <w:tcW w:w="1085" w:type="dxa"/>
          </w:tcPr>
          <w:p w14:paraId="4F009A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7-8</w:t>
            </w:r>
          </w:p>
        </w:tc>
        <w:tc>
          <w:tcPr>
            <w:tcW w:w="885" w:type="dxa"/>
          </w:tcPr>
          <w:p w14:paraId="653647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8-9000</w:t>
            </w:r>
          </w:p>
        </w:tc>
        <w:tc>
          <w:tcPr>
            <w:tcW w:w="885" w:type="dxa"/>
          </w:tcPr>
          <w:p w14:paraId="6E7313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85" w:type="dxa"/>
          </w:tcPr>
          <w:p w14:paraId="4FC43B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698" w:type="dxa"/>
          </w:tcPr>
          <w:p w14:paraId="363763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w:t>
            </w:r>
          </w:p>
        </w:tc>
        <w:tc>
          <w:tcPr>
            <w:tcW w:w="1109" w:type="dxa"/>
          </w:tcPr>
          <w:p w14:paraId="05DE83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2-4хпул</w:t>
            </w:r>
          </w:p>
        </w:tc>
        <w:tc>
          <w:tcPr>
            <w:tcW w:w="459" w:type="dxa"/>
          </w:tcPr>
          <w:p w14:paraId="445806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1271" w:type="dxa"/>
          </w:tcPr>
          <w:p w14:paraId="7FEF4A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дюраль, сталь</w:t>
            </w:r>
          </w:p>
        </w:tc>
      </w:tr>
      <w:tr w:rsidR="001002C3" w:rsidRPr="005E779E" w14:paraId="01C7DDFD" w14:textId="77777777">
        <w:tc>
          <w:tcPr>
            <w:tcW w:w="675" w:type="dxa"/>
          </w:tcPr>
          <w:p w14:paraId="7083BA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78" w:type="dxa"/>
          </w:tcPr>
          <w:p w14:paraId="0888D2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И14-М38</w:t>
            </w:r>
          </w:p>
        </w:tc>
        <w:tc>
          <w:tcPr>
            <w:tcW w:w="682" w:type="dxa"/>
          </w:tcPr>
          <w:p w14:paraId="03FA36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1х550</w:t>
            </w:r>
          </w:p>
        </w:tc>
        <w:tc>
          <w:tcPr>
            <w:tcW w:w="567" w:type="dxa"/>
          </w:tcPr>
          <w:p w14:paraId="3112B0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34" w:type="dxa"/>
          </w:tcPr>
          <w:p w14:paraId="34F8AF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340-400</w:t>
            </w:r>
          </w:p>
        </w:tc>
        <w:tc>
          <w:tcPr>
            <w:tcW w:w="1085" w:type="dxa"/>
          </w:tcPr>
          <w:p w14:paraId="437E07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7-8</w:t>
            </w:r>
          </w:p>
        </w:tc>
        <w:tc>
          <w:tcPr>
            <w:tcW w:w="885" w:type="dxa"/>
          </w:tcPr>
          <w:p w14:paraId="550498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9-10000</w:t>
            </w:r>
          </w:p>
        </w:tc>
        <w:tc>
          <w:tcPr>
            <w:tcW w:w="885" w:type="dxa"/>
          </w:tcPr>
          <w:p w14:paraId="2C5C27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85" w:type="dxa"/>
          </w:tcPr>
          <w:p w14:paraId="66752B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698" w:type="dxa"/>
          </w:tcPr>
          <w:p w14:paraId="3813D8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w:t>
            </w:r>
          </w:p>
        </w:tc>
        <w:tc>
          <w:tcPr>
            <w:tcW w:w="1109" w:type="dxa"/>
          </w:tcPr>
          <w:p w14:paraId="6C5AD8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459" w:type="dxa"/>
          </w:tcPr>
          <w:p w14:paraId="741F40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1271" w:type="dxa"/>
          </w:tcPr>
          <w:p w14:paraId="6DF241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дюраль, сталь</w:t>
            </w:r>
          </w:p>
        </w:tc>
      </w:tr>
      <w:tr w:rsidR="001002C3" w:rsidRPr="005E779E" w14:paraId="56833E5C" w14:textId="77777777">
        <w:tc>
          <w:tcPr>
            <w:tcW w:w="675" w:type="dxa"/>
          </w:tcPr>
          <w:p w14:paraId="6B9BEA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Истребитель многоместный</w:t>
            </w:r>
          </w:p>
        </w:tc>
        <w:tc>
          <w:tcPr>
            <w:tcW w:w="878" w:type="dxa"/>
          </w:tcPr>
          <w:p w14:paraId="57832E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МИ3-2М34</w:t>
            </w:r>
          </w:p>
        </w:tc>
        <w:tc>
          <w:tcPr>
            <w:tcW w:w="682" w:type="dxa"/>
          </w:tcPr>
          <w:p w14:paraId="5E97C8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2х750</w:t>
            </w:r>
          </w:p>
        </w:tc>
        <w:tc>
          <w:tcPr>
            <w:tcW w:w="567" w:type="dxa"/>
          </w:tcPr>
          <w:p w14:paraId="7FF5F7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34" w:type="dxa"/>
          </w:tcPr>
          <w:p w14:paraId="1A13BD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w:t>
            </w:r>
          </w:p>
        </w:tc>
        <w:tc>
          <w:tcPr>
            <w:tcW w:w="1085" w:type="dxa"/>
          </w:tcPr>
          <w:p w14:paraId="025A13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15-18</w:t>
            </w:r>
          </w:p>
        </w:tc>
        <w:tc>
          <w:tcPr>
            <w:tcW w:w="885" w:type="dxa"/>
          </w:tcPr>
          <w:p w14:paraId="54BBFE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7-8000</w:t>
            </w:r>
          </w:p>
        </w:tc>
        <w:tc>
          <w:tcPr>
            <w:tcW w:w="885" w:type="dxa"/>
          </w:tcPr>
          <w:p w14:paraId="4B0F5D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85" w:type="dxa"/>
          </w:tcPr>
          <w:p w14:paraId="277B0C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698" w:type="dxa"/>
          </w:tcPr>
          <w:p w14:paraId="368DB1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w:t>
            </w:r>
          </w:p>
        </w:tc>
        <w:tc>
          <w:tcPr>
            <w:tcW w:w="1109" w:type="dxa"/>
          </w:tcPr>
          <w:p w14:paraId="74E3F3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7хпул</w:t>
            </w:r>
          </w:p>
        </w:tc>
        <w:tc>
          <w:tcPr>
            <w:tcW w:w="459" w:type="dxa"/>
          </w:tcPr>
          <w:p w14:paraId="680F03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tc>
        <w:tc>
          <w:tcPr>
            <w:tcW w:w="1271" w:type="dxa"/>
          </w:tcPr>
          <w:p w14:paraId="22FCC7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дюраль</w:t>
            </w:r>
          </w:p>
        </w:tc>
      </w:tr>
      <w:tr w:rsidR="001002C3" w:rsidRPr="005E779E" w14:paraId="55A61300" w14:textId="77777777">
        <w:tc>
          <w:tcPr>
            <w:tcW w:w="675" w:type="dxa"/>
          </w:tcPr>
          <w:p w14:paraId="03FC25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Тяжелый бомбардировщик</w:t>
            </w:r>
          </w:p>
        </w:tc>
        <w:tc>
          <w:tcPr>
            <w:tcW w:w="878" w:type="dxa"/>
          </w:tcPr>
          <w:p w14:paraId="7B2C87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ТБ4-6М34</w:t>
            </w:r>
          </w:p>
        </w:tc>
        <w:tc>
          <w:tcPr>
            <w:tcW w:w="682" w:type="dxa"/>
          </w:tcPr>
          <w:p w14:paraId="766A13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6х750</w:t>
            </w:r>
          </w:p>
        </w:tc>
        <w:tc>
          <w:tcPr>
            <w:tcW w:w="567" w:type="dxa"/>
          </w:tcPr>
          <w:p w14:paraId="5E7677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220</w:t>
            </w:r>
          </w:p>
        </w:tc>
        <w:tc>
          <w:tcPr>
            <w:tcW w:w="1134" w:type="dxa"/>
          </w:tcPr>
          <w:p w14:paraId="01C165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 (3000)</w:t>
            </w:r>
          </w:p>
        </w:tc>
        <w:tc>
          <w:tcPr>
            <w:tcW w:w="1085" w:type="dxa"/>
          </w:tcPr>
          <w:p w14:paraId="735C88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на 3000</w:t>
            </w:r>
          </w:p>
        </w:tc>
        <w:tc>
          <w:tcPr>
            <w:tcW w:w="885" w:type="dxa"/>
          </w:tcPr>
          <w:p w14:paraId="3FFAB1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885" w:type="dxa"/>
          </w:tcPr>
          <w:p w14:paraId="0F7A01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31000</w:t>
            </w:r>
          </w:p>
        </w:tc>
        <w:tc>
          <w:tcPr>
            <w:tcW w:w="885" w:type="dxa"/>
          </w:tcPr>
          <w:p w14:paraId="569D59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10600</w:t>
            </w:r>
          </w:p>
        </w:tc>
        <w:tc>
          <w:tcPr>
            <w:tcW w:w="698" w:type="dxa"/>
          </w:tcPr>
          <w:p w14:paraId="6D6E20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09" w:type="dxa"/>
          </w:tcPr>
          <w:p w14:paraId="34D6A5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12хпул</w:t>
            </w:r>
          </w:p>
          <w:p w14:paraId="2990C4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7000 бомб</w:t>
            </w:r>
          </w:p>
        </w:tc>
        <w:tc>
          <w:tcPr>
            <w:tcW w:w="459" w:type="dxa"/>
          </w:tcPr>
          <w:p w14:paraId="31DEBF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271" w:type="dxa"/>
          </w:tcPr>
          <w:p w14:paraId="496F80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дюраль</w:t>
            </w:r>
          </w:p>
        </w:tc>
      </w:tr>
      <w:tr w:rsidR="007122AB" w:rsidRPr="005E779E" w14:paraId="5B93ECD6" w14:textId="77777777">
        <w:tc>
          <w:tcPr>
            <w:tcW w:w="675" w:type="dxa"/>
            <w:tcBorders>
              <w:bottom w:val="single" w:sz="12" w:space="0" w:color="auto"/>
            </w:tcBorders>
          </w:tcPr>
          <w:p w14:paraId="5F33CC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78" w:type="dxa"/>
            <w:tcBorders>
              <w:bottom w:val="single" w:sz="12" w:space="0" w:color="auto"/>
            </w:tcBorders>
          </w:tcPr>
          <w:p w14:paraId="613A35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К7-7М34</w:t>
            </w:r>
          </w:p>
        </w:tc>
        <w:tc>
          <w:tcPr>
            <w:tcW w:w="682" w:type="dxa"/>
            <w:tcBorders>
              <w:bottom w:val="single" w:sz="12" w:space="0" w:color="auto"/>
            </w:tcBorders>
          </w:tcPr>
          <w:p w14:paraId="112737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67" w:type="dxa"/>
            <w:tcBorders>
              <w:bottom w:val="single" w:sz="12" w:space="0" w:color="auto"/>
            </w:tcBorders>
          </w:tcPr>
          <w:p w14:paraId="288DD7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bottom w:val="single" w:sz="12" w:space="0" w:color="auto"/>
            </w:tcBorders>
          </w:tcPr>
          <w:p w14:paraId="648E7C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213 (2000)</w:t>
            </w:r>
          </w:p>
        </w:tc>
        <w:tc>
          <w:tcPr>
            <w:tcW w:w="1085" w:type="dxa"/>
            <w:tcBorders>
              <w:bottom w:val="single" w:sz="12" w:space="0" w:color="auto"/>
            </w:tcBorders>
          </w:tcPr>
          <w:p w14:paraId="495625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85" w:type="dxa"/>
            <w:tcBorders>
              <w:bottom w:val="single" w:sz="12" w:space="0" w:color="auto"/>
            </w:tcBorders>
          </w:tcPr>
          <w:p w14:paraId="08E7A5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3650</w:t>
            </w:r>
          </w:p>
        </w:tc>
        <w:tc>
          <w:tcPr>
            <w:tcW w:w="885" w:type="dxa"/>
            <w:tcBorders>
              <w:bottom w:val="single" w:sz="12" w:space="0" w:color="auto"/>
            </w:tcBorders>
          </w:tcPr>
          <w:p w14:paraId="39BEB8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35000</w:t>
            </w:r>
          </w:p>
        </w:tc>
        <w:tc>
          <w:tcPr>
            <w:tcW w:w="885" w:type="dxa"/>
            <w:tcBorders>
              <w:bottom w:val="single" w:sz="12" w:space="0" w:color="auto"/>
            </w:tcBorders>
          </w:tcPr>
          <w:p w14:paraId="64A77C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698" w:type="dxa"/>
            <w:tcBorders>
              <w:bottom w:val="single" w:sz="12" w:space="0" w:color="auto"/>
            </w:tcBorders>
          </w:tcPr>
          <w:p w14:paraId="0850BF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2000 км</w:t>
            </w:r>
          </w:p>
        </w:tc>
        <w:tc>
          <w:tcPr>
            <w:tcW w:w="1109" w:type="dxa"/>
            <w:tcBorders>
              <w:bottom w:val="single" w:sz="12" w:space="0" w:color="auto"/>
            </w:tcBorders>
          </w:tcPr>
          <w:p w14:paraId="1CDBB4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459" w:type="dxa"/>
            <w:tcBorders>
              <w:bottom w:val="single" w:sz="12" w:space="0" w:color="auto"/>
            </w:tcBorders>
          </w:tcPr>
          <w:p w14:paraId="33BAC4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271" w:type="dxa"/>
            <w:tcBorders>
              <w:bottom w:val="single" w:sz="12" w:space="0" w:color="auto"/>
            </w:tcBorders>
          </w:tcPr>
          <w:p w14:paraId="1F214D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сталь</w:t>
            </w:r>
          </w:p>
        </w:tc>
      </w:tr>
    </w:tbl>
    <w:p w14:paraId="54F1C6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A685ABE"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706E0828"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83BDE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сентября 1931 г. начинаются совместные войсковые испытания торпедных катеров волнового управления с системами ОТБ и ЦЛПС (центральная лаборатория проводной связи, руководитель А. Ф.Шорин), закончившиеся победой последней. Аппаратура ЦЛПС в 1932 г. была установлена на 30 катерах типа Ш-4 на Балтийском и Черном морях, где они составляли костяк «москитных сил» (переоборудовали все находившиеся в строю единицы). Главным преимуществом аппаратуры ЦЛПС была возможность управления катером с самолета. На испытаниях использовался поплавковый ТБ-1, а серийную аппаратуру устанавливали на летающих лодках «Савойя С-62 бис» (МБР-4). Их, в свою очередь, сменили МБР-2 спецсерии В-4, оказавшиеся к 1941 г. единственным типом самолетов-водителей радиоуправляемых катеров. Обе системы управления поставлялись на флоты параллельно. Преимуществом детища Остехбюро было наличие счетно-решающего прибора, позволявшего упростить расчет курса выхода в торпедную атаку. Полагалось по одному самолету-водителю на два катера с аппаратурой ЦЛПС или на один - с ОТБ. Оснащение катеров той или другой системой определялось на стадии строительства корпуса, переделать что-либо впоследствии было невозможно, равно как и установить волновое управление на катере, не предназначавшемся к тому первоначально. В состав экипажа вводился седьмой человек - электрик по спецоборудованию. Тактическое использование катеров совершенствовалось: предполагалось каждый второй оснастить увеличенным в два раза комплектом дымаппаратуры, или системой МТК-б с повышенной производительностью. Прорабатывались варианты увеличения числа катеров, управляемых с одной станции, до четырех. Системе управления катерами усовершенствованного образца присвоили наименование «Вольт-Р», а аппаратуре самолета - «Кварц» (6002).</w:t>
      </w:r>
    </w:p>
    <w:p w14:paraId="3BCABA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97E23E7" w14:textId="77777777" w:rsidR="00BF73AF" w:rsidRPr="005E779E" w:rsidRDefault="00BF73AF" w:rsidP="000B7A6C">
      <w:pPr>
        <w:spacing w:after="0" w:line="240" w:lineRule="auto"/>
        <w:jc w:val="both"/>
        <w:rPr>
          <w:rFonts w:ascii="Times New Roman" w:hAnsi="Times New Roman"/>
          <w:color w:val="000000" w:themeColor="text1"/>
          <w:sz w:val="16"/>
          <w:szCs w:val="16"/>
          <w:shd w:val="clear" w:color="auto" w:fill="FFFFFF"/>
        </w:rPr>
      </w:pPr>
      <w:r w:rsidRPr="005E779E">
        <w:rPr>
          <w:rFonts w:ascii="Times New Roman" w:hAnsi="Times New Roman"/>
          <w:color w:val="000000" w:themeColor="text1"/>
          <w:sz w:val="16"/>
          <w:szCs w:val="16"/>
          <w:shd w:val="clear" w:color="auto" w:fill="FFFFFF"/>
        </w:rPr>
        <w:t>2 сентября 1931 года начало совместных войсковых испытаний торпедных катеров волнового управления систем Остехбюро и ЦЛПС (Центральная лаборатория проводной связи).</w:t>
      </w:r>
    </w:p>
    <w:p w14:paraId="37342F36" w14:textId="77777777" w:rsidR="00BF73AF" w:rsidRPr="005E779E" w:rsidRDefault="00BF73AF" w:rsidP="000B7A6C">
      <w:pPr>
        <w:spacing w:after="0" w:line="240" w:lineRule="auto"/>
        <w:jc w:val="both"/>
        <w:rPr>
          <w:rFonts w:ascii="Times New Roman" w:hAnsi="Times New Roman"/>
          <w:color w:val="000000" w:themeColor="text1"/>
          <w:sz w:val="16"/>
          <w:szCs w:val="16"/>
          <w:shd w:val="clear" w:color="auto" w:fill="FFFFFF"/>
        </w:rPr>
      </w:pPr>
      <w:r w:rsidRPr="005E779E">
        <w:rPr>
          <w:rFonts w:ascii="Times New Roman" w:hAnsi="Times New Roman"/>
          <w:color w:val="000000" w:themeColor="text1"/>
          <w:sz w:val="16"/>
          <w:szCs w:val="16"/>
          <w:shd w:val="clear" w:color="auto" w:fill="FFFFFF"/>
        </w:rPr>
        <w:t>Нарком по военным и морским делам К.Е. Ворошилов назначил комиссию для заключительных испытаний.</w:t>
      </w:r>
    </w:p>
    <w:p w14:paraId="6803F060" w14:textId="77777777" w:rsidR="00BF73AF" w:rsidRPr="005E779E" w:rsidRDefault="00BF73AF" w:rsidP="000B7A6C">
      <w:pPr>
        <w:spacing w:after="0" w:line="240" w:lineRule="auto"/>
        <w:jc w:val="both"/>
        <w:rPr>
          <w:rFonts w:ascii="Times New Roman" w:hAnsi="Times New Roman"/>
          <w:color w:val="000000" w:themeColor="text1"/>
          <w:sz w:val="16"/>
          <w:szCs w:val="16"/>
          <w:shd w:val="clear" w:color="auto" w:fill="FFFFFF"/>
        </w:rPr>
      </w:pPr>
      <w:r w:rsidRPr="005E779E">
        <w:rPr>
          <w:rFonts w:ascii="Times New Roman" w:hAnsi="Times New Roman"/>
          <w:color w:val="000000" w:themeColor="text1"/>
          <w:sz w:val="16"/>
          <w:szCs w:val="16"/>
          <w:shd w:val="clear" w:color="auto" w:fill="FFFFFF"/>
        </w:rPr>
        <w:t xml:space="preserve">Отдел специальной аппаратуры (ОСА) ЦРЛ А.Ф. Шорина. Бекаури размещал станцию управления на корабле, а Шорин – на самолете, с которого, как он считал, можно раньше обнаружить корабли противника и вывести в атаку на них радиоуправляемые катера. Для автоматического расчета курса атаки Бекаури включил в свой комплекс счетно-решающий прибор. В комплексе же Шорина курс рассчитывал по карте оператор. </w:t>
      </w:r>
    </w:p>
    <w:p w14:paraId="7A2970D5" w14:textId="77777777" w:rsidR="00BF73AF" w:rsidRPr="005E779E" w:rsidRDefault="00BF73AF" w:rsidP="000B7A6C">
      <w:pPr>
        <w:spacing w:after="0" w:line="240" w:lineRule="auto"/>
        <w:jc w:val="both"/>
        <w:rPr>
          <w:rFonts w:ascii="Times New Roman" w:hAnsi="Times New Roman"/>
          <w:color w:val="000000" w:themeColor="text1"/>
          <w:sz w:val="16"/>
          <w:szCs w:val="16"/>
          <w:shd w:val="clear" w:color="auto" w:fill="FFFFFF"/>
        </w:rPr>
      </w:pPr>
      <w:r w:rsidRPr="005E779E">
        <w:rPr>
          <w:rFonts w:ascii="Times New Roman" w:hAnsi="Times New Roman"/>
          <w:color w:val="000000" w:themeColor="text1"/>
          <w:sz w:val="16"/>
          <w:szCs w:val="16"/>
          <w:shd w:val="clear" w:color="auto" w:fill="FFFFFF"/>
        </w:rPr>
        <w:t>«Испытания проводили в Финском заливе, – вспоминал контр-адмирал Б.В. Никитин, участник испытаний, – Катера, управляемые с самолета (аппаратурой А.Ф. Шорина) или с корабля (аппаратурой В.И. Бекаури), по радиокомандам отходили от причала, выходили в море, маневрировали, устремлялись в атаку и производили пуск торпед. Проводились атаки и по прикрытому дымовой завесой кораблю-цели &lt;…&gt; Оператор на самолете оказался в лучшем положении, чем тот, что находился на корабле управления: наблюдению с корабля мешала дымовая завеса. Комиссия предложила принять на вооружение комплекс А.Ф. Шорина. Остехбюро предложили доработать свою аппаратуру».</w:t>
      </w:r>
    </w:p>
    <w:p w14:paraId="22DA930B" w14:textId="77777777" w:rsidR="00BF73AF" w:rsidRPr="005E779E" w:rsidRDefault="00BF73A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shd w:val="clear" w:color="auto" w:fill="FFFFFF"/>
        </w:rPr>
        <w:t>23 ноября 1931 года успешно завершены войсковые испытания катеров волнового управления системы ЦЛПС образца 1930 – 1931 годов (22290).</w:t>
      </w:r>
    </w:p>
    <w:p w14:paraId="3647C39F" w14:textId="77777777" w:rsidR="00BF73AF" w:rsidRPr="005E779E" w:rsidRDefault="00BF73AF" w:rsidP="000B7A6C">
      <w:pPr>
        <w:spacing w:after="0" w:line="240" w:lineRule="auto"/>
        <w:jc w:val="both"/>
        <w:rPr>
          <w:rFonts w:ascii="Times New Roman" w:hAnsi="Times New Roman"/>
          <w:color w:val="000000" w:themeColor="text1"/>
          <w:sz w:val="16"/>
          <w:szCs w:val="16"/>
        </w:rPr>
      </w:pPr>
    </w:p>
    <w:p w14:paraId="2DE58CCD" w14:textId="77777777" w:rsidR="00346741" w:rsidRPr="005E779E" w:rsidRDefault="0034674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сентября 1931 г. начало совместных войсковых испытаний торпедных катеров волнового управления систем Остехбюро и ЦЛПС (Центральная лаборатория проводной связи) (22288).</w:t>
      </w:r>
    </w:p>
    <w:p w14:paraId="5A575835" w14:textId="77777777" w:rsidR="00346741" w:rsidRPr="005E779E" w:rsidRDefault="00346741" w:rsidP="000B7A6C">
      <w:pPr>
        <w:spacing w:after="0" w:line="240" w:lineRule="auto"/>
        <w:jc w:val="both"/>
        <w:rPr>
          <w:rFonts w:ascii="Times New Roman" w:hAnsi="Times New Roman"/>
          <w:color w:val="000000" w:themeColor="text1"/>
          <w:sz w:val="16"/>
          <w:szCs w:val="16"/>
        </w:rPr>
      </w:pPr>
    </w:p>
    <w:p w14:paraId="64B6B191" w14:textId="14B90F64" w:rsidR="00150954" w:rsidRPr="005E779E" w:rsidRDefault="00150954" w:rsidP="000B7A6C">
      <w:pPr>
        <w:autoSpaceDE w:val="0"/>
        <w:autoSpaceDN w:val="0"/>
        <w:adjustRightInd w:val="0"/>
        <w:spacing w:after="0" w:line="240" w:lineRule="auto"/>
        <w:jc w:val="both"/>
        <w:rPr>
          <w:rFonts w:ascii="Times New Roman" w:hAnsi="Times New Roman"/>
          <w:i/>
          <w:iCs/>
          <w:color w:val="000000" w:themeColor="text1"/>
          <w:sz w:val="16"/>
          <w:szCs w:val="16"/>
        </w:rPr>
      </w:pPr>
      <w:r w:rsidRPr="005E779E">
        <w:rPr>
          <w:rFonts w:ascii="Times New Roman" w:hAnsi="Times New Roman"/>
          <w:i/>
          <w:iCs/>
          <w:color w:val="000000" w:themeColor="text1"/>
          <w:sz w:val="16"/>
          <w:szCs w:val="16"/>
        </w:rPr>
        <w:t>Армия:</w:t>
      </w:r>
    </w:p>
    <w:p w14:paraId="1BC096E3" w14:textId="77777777" w:rsidR="00150954" w:rsidRPr="005E779E" w:rsidRDefault="00150954" w:rsidP="000B7A6C">
      <w:pPr>
        <w:autoSpaceDE w:val="0"/>
        <w:autoSpaceDN w:val="0"/>
        <w:adjustRightInd w:val="0"/>
        <w:spacing w:after="0" w:line="240" w:lineRule="auto"/>
        <w:jc w:val="both"/>
        <w:rPr>
          <w:rFonts w:ascii="Times New Roman" w:hAnsi="Times New Roman"/>
          <w:i/>
          <w:iCs/>
          <w:color w:val="000000" w:themeColor="text1"/>
          <w:sz w:val="16"/>
          <w:szCs w:val="16"/>
        </w:rPr>
      </w:pPr>
    </w:p>
    <w:p w14:paraId="1A903863" w14:textId="77777777" w:rsidR="00150954" w:rsidRPr="005E779E" w:rsidRDefault="0015095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сентября 1931 г. в районе Брянска при полете в тумане на самолете Р-5 погибли известные военные летчики: начальник главной инспекции ВВС Петр Христофорович Межерауп и его помощник - Виктор Осипович Писаренко.</w:t>
      </w:r>
    </w:p>
    <w:p w14:paraId="29CFE543" w14:textId="77777777" w:rsidR="00150954" w:rsidRPr="005E779E" w:rsidRDefault="0015095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П.Х.Межерауп /род.1895/ начал службу в авиации в 1916 году мотористом, а в 1919 году стал летчиком. В гражданскую войну был комиссаром авиации 8-й армии, командиром Казанского авиаотряда, начальником воздушного флота Туркфронта. В 1924 году во главе отряда совершил выдающийся по тому времени перелет Ташкент-Кабул, а в 1926 году - не менее важный перелет Москва-Анкара. В 1927-30 гг. командовал ВВС Ленинградского военного округа, после чего занимал пост начальника главной инспекции ВВС. Межераун был награжден орденами Красного знамени, бухарским, хорезмским и афганским.</w:t>
      </w:r>
    </w:p>
    <w:p w14:paraId="279B1721" w14:textId="77777777" w:rsidR="00150954" w:rsidRPr="005E779E" w:rsidRDefault="0015095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В.О.Писаренко /род. 1897/ начал службу в авиации в 1918 году мотористом, потом был летнабом. В 1923 году окончил летную школу, после чего был инструктором в севастопольской школе, где лично построил одну из первых в СССР авиэток. С 1926 года Писаренко служил в НИИ ВВС, где построил вторую авиетку и одним из первых начал практиковать полеты по приборам. С 1930 года был помощником начальника главной инспекции ВВС.</w:t>
      </w:r>
    </w:p>
    <w:p w14:paraId="03D31406" w14:textId="77777777" w:rsidR="00150954" w:rsidRPr="005E779E" w:rsidRDefault="0015095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/«Красная звезда» за 13 сентября 1931; ВВВ, 1931 № 9/ (23370).</w:t>
      </w:r>
    </w:p>
    <w:p w14:paraId="53B3E526" w14:textId="77777777" w:rsidR="00150954" w:rsidRPr="005E779E" w:rsidRDefault="00150954" w:rsidP="000B7A6C">
      <w:pPr>
        <w:spacing w:after="0" w:line="240" w:lineRule="auto"/>
        <w:jc w:val="both"/>
        <w:rPr>
          <w:rFonts w:ascii="Times New Roman" w:hAnsi="Times New Roman"/>
          <w:color w:val="000000" w:themeColor="text1"/>
          <w:sz w:val="16"/>
          <w:szCs w:val="16"/>
        </w:rPr>
      </w:pPr>
    </w:p>
    <w:p w14:paraId="6B6A8494" w14:textId="4FC6E15D"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706D0A23"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B66488A"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го сентября 1931 года состоялось окончательное принятие макета АНТ-21, МИ-3 в ЦАГИ (23345).</w:t>
      </w:r>
    </w:p>
    <w:p w14:paraId="0DF9B1D9" w14:textId="77777777" w:rsidR="007F1987" w:rsidRPr="005E779E" w:rsidRDefault="007F1987" w:rsidP="000B7A6C">
      <w:pPr>
        <w:spacing w:after="0" w:line="240" w:lineRule="auto"/>
        <w:jc w:val="both"/>
        <w:rPr>
          <w:rFonts w:ascii="Times New Roman" w:hAnsi="Times New Roman"/>
          <w:color w:val="000000" w:themeColor="text1"/>
          <w:sz w:val="16"/>
          <w:szCs w:val="16"/>
        </w:rPr>
      </w:pPr>
    </w:p>
    <w:p w14:paraId="3F2891E5"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сентября 1931 г. макет М-3 был принят после доработок по замечаниям макетной комиссии. Он имел двухкилевое вертикальное опере</w:t>
      </w:r>
      <w:r w:rsidRPr="005E779E">
        <w:rPr>
          <w:rFonts w:ascii="Times New Roman" w:hAnsi="Times New Roman"/>
          <w:color w:val="000000" w:themeColor="text1"/>
          <w:sz w:val="16"/>
          <w:szCs w:val="16"/>
        </w:rPr>
        <w:softHyphen/>
        <w:t>ние с большими рулями направления и низкорасположенный стабилизатор. Обшивка фюзеляжа была гладкой, а крыла и оперения — гофрированной. Машина имела значительно меньшие размеры, более мощные двигатели и улучшенную аэродинамику. Шасси стало убираю</w:t>
      </w:r>
      <w:r w:rsidRPr="005E779E">
        <w:rPr>
          <w:rFonts w:ascii="Times New Roman" w:hAnsi="Times New Roman"/>
          <w:color w:val="000000" w:themeColor="text1"/>
          <w:sz w:val="16"/>
          <w:szCs w:val="16"/>
        </w:rPr>
        <w:softHyphen/>
        <w:t>щимся, кабины экипажа — полузакры</w:t>
      </w:r>
      <w:r w:rsidRPr="005E779E">
        <w:rPr>
          <w:rFonts w:ascii="Times New Roman" w:hAnsi="Times New Roman"/>
          <w:color w:val="000000" w:themeColor="text1"/>
          <w:sz w:val="16"/>
          <w:szCs w:val="16"/>
        </w:rPr>
        <w:softHyphen/>
        <w:t>тыми.</w:t>
      </w:r>
    </w:p>
    <w:p w14:paraId="1271E3A6"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Первый опытный самолет планиро</w:t>
      </w:r>
      <w:r w:rsidRPr="005E779E">
        <w:rPr>
          <w:rFonts w:ascii="Times New Roman" w:hAnsi="Times New Roman"/>
          <w:color w:val="000000" w:themeColor="text1"/>
          <w:sz w:val="16"/>
          <w:szCs w:val="16"/>
        </w:rPr>
        <w:softHyphen/>
        <w:t>валось вооружить шестью пулеметами калибра 7,62 мм: два ПВ—1 — в носовой установке, два неподвижных ПВ—1 — в корневых частях крыла, по одному пу</w:t>
      </w:r>
      <w:r w:rsidRPr="005E779E">
        <w:rPr>
          <w:rFonts w:ascii="Times New Roman" w:hAnsi="Times New Roman"/>
          <w:color w:val="000000" w:themeColor="text1"/>
          <w:sz w:val="16"/>
          <w:szCs w:val="16"/>
        </w:rPr>
        <w:softHyphen/>
        <w:t>лемету ПВ—1 или ДА — на средней и нижней подвижных установках.</w:t>
      </w:r>
    </w:p>
    <w:p w14:paraId="36370889"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Постройка самолета потребовала проведения большого объема экспери</w:t>
      </w:r>
      <w:r w:rsidRPr="005E779E">
        <w:rPr>
          <w:rFonts w:ascii="Times New Roman" w:hAnsi="Times New Roman"/>
          <w:color w:val="000000" w:themeColor="text1"/>
          <w:sz w:val="16"/>
          <w:szCs w:val="16"/>
        </w:rPr>
        <w:softHyphen/>
        <w:t>ментальных работ по шасси и моторному оборудованию. Поэтому машина была готова только к 26 апреля 1933 г. Воору</w:t>
      </w:r>
      <w:r w:rsidRPr="005E779E">
        <w:rPr>
          <w:rFonts w:ascii="Times New Roman" w:hAnsi="Times New Roman"/>
          <w:color w:val="000000" w:themeColor="text1"/>
          <w:sz w:val="16"/>
          <w:szCs w:val="16"/>
        </w:rPr>
        <w:softHyphen/>
        <w:t>жение на ней не устанавливалось (23474).</w:t>
      </w:r>
    </w:p>
    <w:p w14:paraId="784F3034" w14:textId="77777777" w:rsidR="007F1987" w:rsidRPr="005E779E" w:rsidRDefault="007F1987" w:rsidP="000B7A6C">
      <w:pPr>
        <w:spacing w:after="0" w:line="240" w:lineRule="auto"/>
        <w:jc w:val="both"/>
        <w:rPr>
          <w:rFonts w:ascii="Times New Roman" w:hAnsi="Times New Roman"/>
          <w:color w:val="000000" w:themeColor="text1"/>
          <w:sz w:val="16"/>
          <w:szCs w:val="16"/>
        </w:rPr>
      </w:pPr>
    </w:p>
    <w:p w14:paraId="10F94330"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го сентября 1931 года в связи с рядом переделок предложенных макетной комиссией, состоялось окончательное принятие макета МИ-3 (АНТ-21) (24197).</w:t>
      </w:r>
    </w:p>
    <w:p w14:paraId="45934B80" w14:textId="77777777" w:rsidR="007F1987" w:rsidRPr="005E779E" w:rsidRDefault="007F1987" w:rsidP="000B7A6C">
      <w:pPr>
        <w:spacing w:after="0" w:line="240" w:lineRule="auto"/>
        <w:jc w:val="both"/>
        <w:rPr>
          <w:rFonts w:ascii="Times New Roman" w:hAnsi="Times New Roman"/>
          <w:color w:val="000000" w:themeColor="text1"/>
          <w:sz w:val="16"/>
          <w:szCs w:val="16"/>
        </w:rPr>
      </w:pPr>
    </w:p>
    <w:p w14:paraId="222AE1F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сентября 1931 года вышел Приказ по НИИ ВВС № 23/с:</w:t>
      </w:r>
    </w:p>
    <w:p w14:paraId="622BA74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сентября 1931 года в 17 часов на Кузнецовском полигоне в присутствии членов РВС были назначены к демонстрации опытные работы Конструкторского отдела.</w:t>
      </w:r>
    </w:p>
    <w:p w14:paraId="3FBE4EB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(Плохая организация демонстрации, опоздание начала демонстрации).</w:t>
      </w:r>
    </w:p>
    <w:p w14:paraId="02DF04E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40CC92E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Образцы агитбомб сбрасывались не сразу, а после 3-х – 4-х заходов.</w:t>
      </w:r>
    </w:p>
    <w:p w14:paraId="032D42A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Некоторые пункты программы испытаний вовсе показаны не были из-за неготовности материальной части.</w:t>
      </w:r>
    </w:p>
    <w:p w14:paraId="7A61CB4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результате демонстрация опытных работ оказалась сорванной.</w:t>
      </w:r>
    </w:p>
    <w:p w14:paraId="14BFD31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Приказываю:</w:t>
      </w:r>
    </w:p>
    <w:p w14:paraId="1E10D1D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064E4A4C"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 наложении строгого дисциплинарного взыскания на начальника Конструкторского отдела Гроховского за халатное и безответственное отношение его к своим обязанностям по обеспечению программы испытаний и организации таковых – выхожу с представлением перед начальником ВВС (6770, 201-203).</w:t>
      </w:r>
    </w:p>
    <w:p w14:paraId="0484F36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[Гроховский Павел Игнатьевич]</w:t>
      </w:r>
    </w:p>
    <w:p w14:paraId="7B7A1C7D"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6A3ED76"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29D979B2"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71E737D" w14:textId="77777777" w:rsidR="003E28CB" w:rsidRPr="005E779E" w:rsidRDefault="003E28CB" w:rsidP="000B7A6C">
      <w:pPr>
        <w:pStyle w:val="rtejustify"/>
        <w:spacing w:before="0" w:after="0"/>
        <w:rPr>
          <w:color w:val="000000" w:themeColor="text1"/>
          <w:sz w:val="16"/>
          <w:szCs w:val="16"/>
        </w:rPr>
      </w:pPr>
      <w:r w:rsidRPr="005E779E">
        <w:rPr>
          <w:rStyle w:val="af0"/>
          <w:i w:val="0"/>
          <w:color w:val="000000" w:themeColor="text1"/>
          <w:sz w:val="16"/>
          <w:szCs w:val="16"/>
        </w:rPr>
        <w:t xml:space="preserve">3 сентября 1931 г. Протокол Реввоенсовета №31. </w:t>
      </w:r>
      <w:r w:rsidRPr="005E779E">
        <w:rPr>
          <w:color w:val="000000" w:themeColor="text1"/>
          <w:sz w:val="16"/>
          <w:szCs w:val="16"/>
        </w:rPr>
        <w:t>6. Изменения и дополнения системы бронетанкового вооружения РККА в части самоходной артиллерии (Халепский). 7. Состояние работ по бронетанковой системе (Халепский). 8. Об универсальном гусеничном шасси инженера Дыренкова (Тухачевский). 9. Результаты параллельного испытания «Интернационала», «Павези», «Линке-Гофман» и «Самуа» (Халепский). 10. О зенитных средствах ПВО (Роговский). 11. О проектировании сверхмощного орудия (Тухачевский). (Д. 21. Л. 117) (12342).</w:t>
      </w:r>
    </w:p>
    <w:p w14:paraId="06414360" w14:textId="77777777" w:rsidR="003E28CB" w:rsidRPr="005E779E" w:rsidRDefault="003E28CB" w:rsidP="000B7A6C">
      <w:pPr>
        <w:pStyle w:val="rtejustify"/>
        <w:spacing w:before="0" w:after="0"/>
        <w:rPr>
          <w:color w:val="000000" w:themeColor="text1"/>
          <w:sz w:val="16"/>
          <w:szCs w:val="16"/>
        </w:rPr>
      </w:pPr>
    </w:p>
    <w:p w14:paraId="10C27FDC" w14:textId="77777777" w:rsidR="003E28CB" w:rsidRPr="005E779E" w:rsidRDefault="003E28CB"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сентября 1931 при НАТИ ВАТО был организован специальный отдел, ведающий НИОКР по вопросам механизации и моторизации РККА. Нач. станл зам. Дир. НАТИ Н.И.Дыренков (9527,13).</w:t>
      </w:r>
    </w:p>
    <w:p w14:paraId="10AFE76D" w14:textId="77777777" w:rsidR="003E28CB" w:rsidRPr="005E779E" w:rsidRDefault="003E28CB"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4E0588" w14:textId="77777777" w:rsidR="000F3BEF"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17371072" w14:textId="77777777" w:rsidR="000F3BEF" w:rsidRPr="005E779E" w:rsidRDefault="000F3BEF"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67E9751" w14:textId="77777777" w:rsidR="000F3BEF" w:rsidRPr="005E779E" w:rsidRDefault="000F3BEF" w:rsidP="000B7A6C">
      <w:pPr>
        <w:spacing w:after="0" w:line="240" w:lineRule="auto"/>
        <w:jc w:val="both"/>
        <w:rPr>
          <w:rStyle w:val="ucoz-forum-post"/>
          <w:rFonts w:ascii="Times New Roman" w:eastAsia="Times New Roman" w:hAnsi="Times New Roman"/>
          <w:color w:val="000000" w:themeColor="text1"/>
          <w:sz w:val="16"/>
          <w:szCs w:val="16"/>
        </w:rPr>
      </w:pPr>
      <w:r w:rsidRPr="005E779E">
        <w:rPr>
          <w:rStyle w:val="ucoz-forum-post"/>
          <w:rFonts w:ascii="Times New Roman" w:eastAsia="Times New Roman" w:hAnsi="Times New Roman"/>
          <w:bCs/>
          <w:color w:val="000000" w:themeColor="text1"/>
          <w:sz w:val="16"/>
          <w:szCs w:val="16"/>
        </w:rPr>
        <w:t>3 сентября 1931 года</w:t>
      </w:r>
      <w:r w:rsidRPr="005E779E">
        <w:rPr>
          <w:rStyle w:val="ucoz-forum-post"/>
          <w:rFonts w:ascii="Times New Roman" w:eastAsia="Times New Roman" w:hAnsi="Times New Roman"/>
          <w:color w:val="000000" w:themeColor="text1"/>
          <w:sz w:val="16"/>
          <w:szCs w:val="16"/>
        </w:rPr>
        <w:t xml:space="preserve"> Знаменитый пилот гоночных самолётов Джеймс Дулитл (Jimmy Doolittle), победитель гонок на приз Шнайдера (Schneider Trophy) 1925 года, гонок на приз Бендикса 1931 года, и позднее возглавивший рейд на Токио в 1942 году, на Gee Bee Model R-1 Super Sportster на 3-километровой базе установил новый рекорд скорости для сухопутных самолётов, равный 296,298 миль/час (14758).</w:t>
      </w:r>
    </w:p>
    <w:p w14:paraId="317FD738" w14:textId="77777777" w:rsidR="000F3BEF" w:rsidRPr="005E779E" w:rsidRDefault="000F3BEF" w:rsidP="000B7A6C">
      <w:pPr>
        <w:spacing w:after="0" w:line="240" w:lineRule="auto"/>
        <w:jc w:val="both"/>
        <w:rPr>
          <w:rStyle w:val="ucoz-forum-post"/>
          <w:rFonts w:ascii="Times New Roman" w:eastAsia="Times New Roman" w:hAnsi="Times New Roman"/>
          <w:color w:val="000000" w:themeColor="text1"/>
          <w:sz w:val="16"/>
          <w:szCs w:val="16"/>
        </w:rPr>
      </w:pPr>
    </w:p>
    <w:p w14:paraId="590939B3" w14:textId="77777777" w:rsidR="0032095F" w:rsidRPr="005E779E" w:rsidRDefault="0032095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сентября 1931 итальянцы и французы обратились к Аэроклубу Великобритании с просьбой перенести гонку ха Кубок Шнейдера на следующий год. Однако англичане не были бы англичанами, если бы пошли навстречу. Устав турнира говорил, что устроитель гонки обязан ее перенести на более поздний срок, если тому будет мешать погода, а все прочее — на его добрую волю (22725).</w:t>
      </w:r>
    </w:p>
    <w:p w14:paraId="51F777AB" w14:textId="77777777" w:rsidR="0032095F" w:rsidRPr="005E779E" w:rsidRDefault="0032095F" w:rsidP="000B7A6C">
      <w:pPr>
        <w:spacing w:after="0" w:line="240" w:lineRule="auto"/>
        <w:jc w:val="both"/>
        <w:rPr>
          <w:rFonts w:ascii="Times New Roman" w:hAnsi="Times New Roman"/>
          <w:color w:val="000000" w:themeColor="text1"/>
          <w:sz w:val="16"/>
          <w:szCs w:val="16"/>
        </w:rPr>
      </w:pPr>
    </w:p>
    <w:p w14:paraId="10703C30"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3CC1C3CC"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0813216" w14:textId="77777777" w:rsidR="00935E1C" w:rsidRPr="005E779E" w:rsidRDefault="00935E1C"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СЕНТЯБРЯ 1931 ГОДА ЗАПИСКА М.И. КАЛМАНОВИЧА «ОБ ОЦЕНКЕ ЭМИССИИ»</w:t>
      </w:r>
    </w:p>
    <w:p w14:paraId="276B730D" w14:textId="77777777" w:rsidR="00935E1C" w:rsidRPr="005E779E" w:rsidRDefault="00935E1C"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ТОВ. МОЛОТОВУ В.М.</w:t>
      </w:r>
    </w:p>
    <w:p w14:paraId="60297357" w14:textId="77777777" w:rsidR="00935E1C" w:rsidRPr="005E779E" w:rsidRDefault="00935E1C"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Я сообщил Вам телеграммой об эмиссии. В этой записке даю некоторую оценку. Эмиссию надо считать немалой, ибо проектированная в плане эмиссия в один миллиард восемьсот миллионов рублей должна была бы быть допущена при условии полного выполнения народно-хозяйственного плана в третьем квартале. Вы знаете уровень выполнения плана. В кассовом плане отмечается слабая реализация товаров, объясняемая, с одной стороны, неповоротливостью кооперации, а с другой – неотгрузкой товаров промышленностью, якобы по причине неподачи вагонов и недостатка местного транспорта. Месячный фонд зарплаты вырос в [третьем] квартале до одного миллиарда восьмисот сорока трех миллионов рублей против месячного в один миллиард пятьсот пятьдесят миллионов во втором квартале. В июле и две декады августа выручка от всех товаров и по всем организациям наличными была в два миллиарда восемьсот восемьдесят восемь миллионов рублей, а выплата Госбанком зарплаты наличными была три миллиарда пятьдесят семь миллионов рублей. Таким образом, выручка от товаров и водки даже не покрывала фонда зарплаты. Это положение нетерпимо. Причины увеличенного фонда зарплаты объясняются, с одной стороны, развернувшимся капитальным строительством, а с другой стороны – повышением зарплаты хозяйственниками, которые не учитывают, что повышение зарплаты должно обязательно повлечь поднятие производительности труда. С коммерческими ценами неблагополучно. На местах часть товаров лежит. В ресторанах выручка ничтожна, потому что перегиб в ценах.</w:t>
      </w:r>
    </w:p>
    <w:p w14:paraId="313AC498" w14:textId="10A9C6E8" w:rsidR="00935E1C" w:rsidRPr="005E779E" w:rsidRDefault="00935E1C"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сентября 1931 года</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Калманович</w:t>
      </w:r>
    </w:p>
    <w:p w14:paraId="3694DBF4" w14:textId="77777777" w:rsidR="00935E1C" w:rsidRPr="005E779E" w:rsidRDefault="00935E1C"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РГАЭ, ф. 2324, оп. 30, д. 25, л. 43–43 об. (17249).</w:t>
      </w:r>
    </w:p>
    <w:p w14:paraId="07C6E63A" w14:textId="77777777" w:rsidR="00935E1C" w:rsidRPr="005E779E" w:rsidRDefault="00935E1C" w:rsidP="000B7A6C">
      <w:pPr>
        <w:autoSpaceDE w:val="0"/>
        <w:autoSpaceDN w:val="0"/>
        <w:adjustRightInd w:val="0"/>
        <w:spacing w:after="0" w:line="240" w:lineRule="auto"/>
        <w:jc w:val="both"/>
        <w:rPr>
          <w:rFonts w:ascii="Times New Roman" w:hAnsi="Times New Roman"/>
          <w:color w:val="000000" w:themeColor="text1"/>
          <w:sz w:val="16"/>
          <w:szCs w:val="16"/>
        </w:rPr>
      </w:pPr>
    </w:p>
    <w:p w14:paraId="4E2A7318" w14:textId="77777777" w:rsidR="00301740" w:rsidRPr="005E779E" w:rsidRDefault="003017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сентября 1931 г.</w:t>
      </w:r>
    </w:p>
    <w:p w14:paraId="4D8E44F2" w14:textId="77777777" w:rsidR="00301740" w:rsidRPr="005E779E" w:rsidRDefault="003017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Записка ВСНХ СССР в Политбюро ЦК ВКП(б) о размещении заказов в США</w:t>
      </w:r>
    </w:p>
    <w:p w14:paraId="65F7E0F6" w14:textId="77777777" w:rsidR="00301740" w:rsidRPr="005E779E" w:rsidRDefault="003017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 позднее 5 сентября 1931 г.</w:t>
      </w:r>
    </w:p>
    <w:p w14:paraId="717E3087" w14:textId="77777777" w:rsidR="00301740" w:rsidRPr="005E779E" w:rsidRDefault="003017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связи с решением приостановить всякую выдачу наших заказов в Америке ниже приводится краткое описание состояния портфеля нереализованных поручений и крупнейших промобъединений ВСНХ СССР, а также новых поручений, подлежащих размещению в Америке по самому характеру заказываемых объектов оборудования.</w:t>
      </w:r>
    </w:p>
    <w:p w14:paraId="1118B237" w14:textId="77777777" w:rsidR="00301740" w:rsidRPr="005E779E" w:rsidRDefault="003017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объединению ВАТО</w:t>
      </w:r>
    </w:p>
    <w:p w14:paraId="7B79B587" w14:textId="77777777" w:rsidR="00301740" w:rsidRPr="005E779E" w:rsidRDefault="003017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Автострой: из общей суммы 4 милл. руб. около половины (т. е. 2,1 милл. руб.) падает на запасные части к заказанным уже американским станкам; помимо того около 300 тыс, руб, составляет инструмент к специальным станкам, который вместе с запчастями должен прибыть на завод одновременно с основным оборудованием. Пресса в количестве 156 шт. стоимостью около 325 тыс. руб. хотя и изготовляются в Германии, но сроки поставки их из Германии приходятся на 5—6 месяцев после пуска завода (май—июнь 1932 г.). Последнее в равной степени относится и к оборудования автозавода (станков на 40 тыс. руб. и оборудованию колесного и кузовного цехов - на 790 тыс. руб.), получить</w:t>
      </w:r>
    </w:p>
    <w:p w14:paraId="0735FC2D" w14:textId="77777777" w:rsidR="00301740" w:rsidRPr="005E779E" w:rsidRDefault="003017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Харьковский тракторный завод нуждается в заказе специального инструмента на 350 тыс. руб. и 2-го комплекта металломоделей на 400 тыс. руб., ибо при порче моделей 1-го комплекта нарушится немедленно все производство; заказать 2-й комплект в других странах нельзя.</w:t>
      </w:r>
    </w:p>
    <w:p w14:paraId="3D17EED7" w14:textId="77777777" w:rsidR="00301740" w:rsidRPr="005E779E" w:rsidRDefault="003017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Сталинградский тракторный завод ожидает получения запчастей и инструмента к специальным американским станкам на сумму около 400 тыс. руб.</w:t>
      </w:r>
    </w:p>
    <w:p w14:paraId="5A327330" w14:textId="77777777" w:rsidR="00301740" w:rsidRPr="005E779E" w:rsidRDefault="003017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Господшипникстрой требует заказа в Америке на 2 милл. руб. ковочных машин для кузнечного цеха, ибо попытка разместить заказы в Англии и Италии не дала положительного результата.</w:t>
      </w:r>
    </w:p>
    <w:p w14:paraId="5C79E468" w14:textId="77777777" w:rsidR="00301740" w:rsidRPr="005E779E" w:rsidRDefault="003017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случае неполучения ковочных машин в установленный срок, кузнечный цех, являющийся основным цехом завода, задержит пуск всего завода. Шлифовальные станки типа «Хилд» на 700 тыс. руб. хотя и могут быть заказаны в Германии на американских условиях кредита и цен, однако качество оборудования будет ниже.</w:t>
      </w:r>
    </w:p>
    <w:p w14:paraId="4B3C602B" w14:textId="77777777" w:rsidR="00301740" w:rsidRPr="005E779E" w:rsidRDefault="003017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Завод «Красная Этна»1, который должен изготовлять болто-заклепочные изделия для Нижегородского автозавода, нуждается в получении из Америки специальных станков на сумму около 150 тыс. руб.; без них снабжение автозавода будет невозможно.</w:t>
      </w:r>
    </w:p>
    <w:p w14:paraId="66422B29" w14:textId="77777777" w:rsidR="00301740" w:rsidRPr="005E779E" w:rsidRDefault="003017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Ярославский автозавод ожидает получения из Америки 700 комплектов агрегатов (моторов) стоимостью примерно на 1 милл. руб. для грузовых машин. В Германии можно было бы найти подходящий тип мотора, но цена его будет вдвое дороже американской фирмы «Геркулес», предоставляющей к тому кредит в среднем 12-14 мес.</w:t>
      </w:r>
    </w:p>
    <w:p w14:paraId="137EA00F" w14:textId="77777777" w:rsidR="00301740" w:rsidRPr="005E779E" w:rsidRDefault="003017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общем, по ВАТО поручений, не могущих быть переброшенными на Европу, из вышеперечисленных 9 милл. руб. будет на сумму около 3.7 милл. руб.: остальное оборудование на сумму около 7,1 милл. руб. хотя и может быть передано для реализации на Европе, но эта передача связана с вышеуказанными последствиями.</w:t>
      </w:r>
    </w:p>
    <w:p w14:paraId="7BCF22F5" w14:textId="77777777" w:rsidR="00301740" w:rsidRPr="005E779E" w:rsidRDefault="003017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объединению Востокосталь</w:t>
      </w:r>
    </w:p>
    <w:p w14:paraId="547D0418" w14:textId="77777777" w:rsidR="00301740" w:rsidRPr="005E779E" w:rsidRDefault="003017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1. Магнитострой: для пуска первой и второй печей первой очереди требуется целый ряд объектов оборудования, как-то: клапана, фильтры, регуляторы, сигнализационное устройство, фибры, трубы, тормоза к кранам, сцепки, рукава к фурнам и т.п. на общую сумму около 325 тыс. руб., каковое оборудование по своему характеру является чисто американским и в Европе не изготовляется.</w:t>
      </w:r>
    </w:p>
    <w:p w14:paraId="5B12E68E" w14:textId="77777777" w:rsidR="00301740" w:rsidRPr="005E779E" w:rsidRDefault="003017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3-й и 4-й печей (пускаемых в ход 1.02.32 г.) потребно специальное засыпное устройство (лебедки «Отисса», вращающиеся распределители системы «Макки» и прочее) стоимостью около 370 тыс. руб., а также клапана «Клинга» и шнеки-сменители на сумму около 200 тыс. руб., которых в Европе получить нельзя.</w:t>
      </w:r>
    </w:p>
    <w:p w14:paraId="7F23CD9E" w14:textId="77777777" w:rsidR="00301740" w:rsidRPr="005E779E" w:rsidRDefault="003017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Кузнецкстрой: для 1-й и 2-й печей необходимо чисто американское оборудование, которое не удалось разместить в Европе, а именно: оборудование бассейнов «Дорра» (отстойники), запчасти к американским экскаваторам, тормоза к кранам и сцепки - на сумму 250 тыс. руб.</w:t>
      </w:r>
    </w:p>
    <w:p w14:paraId="1B942627" w14:textId="77777777" w:rsidR="00301740" w:rsidRPr="005E779E" w:rsidRDefault="003017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Востокоруде необходим гусеничный ход к американским экскаваторам, без чего последние не смогут работать (на сумму 33 тыс. руб.).</w:t>
      </w:r>
    </w:p>
    <w:p w14:paraId="1D887478" w14:textId="77777777" w:rsidR="00301740" w:rsidRPr="005E779E" w:rsidRDefault="003017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 по Востокостали, безусловно, необходимо выдать срочных заказов на сумму около 1175 тыс. руб.; остальное оборудование примерно на сумму около 1775 тыс. руб. предстоит попытаться разместить в Европе.</w:t>
      </w:r>
    </w:p>
    <w:p w14:paraId="16E8F251" w14:textId="77777777" w:rsidR="00301740" w:rsidRPr="005E779E" w:rsidRDefault="003017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объединению ВЭО</w:t>
      </w:r>
    </w:p>
    <w:p w14:paraId="01A4D549" w14:textId="77777777" w:rsidR="00301740" w:rsidRPr="005E779E" w:rsidRDefault="003017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Из задержанных реализацией поручений, находящихся в Амторге на общую сумму около 900 тыс. руб., часть в размере 315 тыс. руб. составляет специальное оборудование, предназначенное для изготовления электрического оборудования для автотракторной промышленности (фирмы «Авто-Лайт»), Неполучение этого оборудования повлечет срыв удовлетворения Нижегородского автозавода, АМО и тракторных заводов электрооборудованием, поставляемым ВЭО.</w:t>
      </w:r>
    </w:p>
    <w:p w14:paraId="2B970C6A" w14:textId="77777777" w:rsidR="00301740" w:rsidRPr="005E779E" w:rsidRDefault="003017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Далее - около 200 тыс. руб. составляют отдельные детали, как-то: переключатели и выводы для высоковольтных трансформаторов, получение которых в Европе невозможно (по сведениям комиссии т. Жукова).</w:t>
      </w:r>
    </w:p>
    <w:p w14:paraId="5CC40F81" w14:textId="77777777" w:rsidR="00301740" w:rsidRPr="005E779E" w:rsidRDefault="003017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Остальное техснабжение (на сумму около 385 тыс. руб.), представляющее из себя также специальные предметы и материалы, быть может, удастся разместить в Европе.</w:t>
      </w:r>
    </w:p>
    <w:p w14:paraId="6893BAC3" w14:textId="77777777" w:rsidR="00301740" w:rsidRPr="005E779E" w:rsidRDefault="003017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Из задержанных реализацией поручений, находящихся в им[портном] объединении] в Москве на общую сумму около 580 тыс. руб., составляют части генераторов Днепростроя 2-й очереди (200 тыс. руб.), заказать которые в Европе невозможно, ибо их изготовляет только Америка, фирма «Джин», по чертежам которой изготовляются эти генераторы.</w:t>
      </w:r>
    </w:p>
    <w:p w14:paraId="0670CCC5" w14:textId="77777777" w:rsidR="00301740" w:rsidRPr="005E779E" w:rsidRDefault="003017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Кроме того, на 100 тыс. руб. имеется специальное оборудование, изготовляемое только фирмами, с коими заключены договора на техническую помощь (автоматы - 5 тыс. руб.; 12-ти ходовая машина для изготовления кабр[ированного] каб[еля] - 17 тыс. руб.; обмоточная машина - 18 тыс. руб.; пресса - 25 тыс. руб. и т.д.) и без получения каковых предметов освоение технической помощи, стоящей нам больших денег, будет невозможно.</w:t>
      </w:r>
    </w:p>
    <w:p w14:paraId="306C53B2" w14:textId="77777777" w:rsidR="00301740" w:rsidRPr="005E779E" w:rsidRDefault="003017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В счет дополнительного контингента, испрашиваемого ВЭО в сумме 2140 тыс.” руб., требуются специальные приборы и полуфабрикаты (фирмы «Авто-Лайт») на сумму около 90 тыс. руб. и специальное оборудование для производства электрооборудования для автотракторной промышленности на 200 тыс. руб.; для изготовления обмоток на крупные генераторы и гидрогенераторы 315 тыс. руб. и для изоляционного и лампового производства - 120 тыс. руб. Все эти станки являются патентами фирмы «Авто-Лайт» и «Джин» и могут быть заказаны только у них.</w:t>
      </w:r>
    </w:p>
    <w:p w14:paraId="46D39AFF" w14:textId="77777777" w:rsidR="00301740" w:rsidRPr="005E779E" w:rsidRDefault="003017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 по ВЭО потребно на Америку и не может быть перенесено на Европу заказов на сумму около 1550 тыс. руб. из общей потребности в 3620 тыс. руб.</w:t>
      </w:r>
    </w:p>
    <w:p w14:paraId="3EEDFF7B" w14:textId="77777777" w:rsidR="00301740" w:rsidRPr="005E779E" w:rsidRDefault="003017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объединению Союзнефть</w:t>
      </w:r>
    </w:p>
    <w:p w14:paraId="4B6ED92A" w14:textId="77777777" w:rsidR="00301740" w:rsidRPr="005E779E" w:rsidRDefault="003017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Большая часть оборудования уже заказана и частично получена, однако некоторые предметы подлежат дозаказу, ибо без них не сможет быть использована та часть, которая была уже заказана. Так, например:</w:t>
      </w:r>
    </w:p>
    <w:p w14:paraId="768E0509" w14:textId="77777777" w:rsidR="00301740" w:rsidRPr="005E779E" w:rsidRDefault="003017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трубчатки масляные: из общей суммы 2,5 милл. руб. заказано приблизительно на 1800 тыс. руб.; если остальные 700 тыс. руб. не будут дозаказаны, то предыдущая часть не сможет быть использована;</w:t>
      </w:r>
    </w:p>
    <w:p w14:paraId="41640FDF" w14:textId="77777777" w:rsidR="00301740" w:rsidRPr="005E779E" w:rsidRDefault="003017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части советских крекингов: из общей суммы 900 тыс. руб. заказано до сего времени около 300 тыс. руб.; остальные 600 тыс. руб. подлежат дозаказу, иначе советские крекинги без наличия этих частей, изготовляемых только Америкой, не смогут быть пущены в дело;</w:t>
      </w:r>
    </w:p>
    <w:p w14:paraId="36C1C38A" w14:textId="77777777" w:rsidR="00301740" w:rsidRPr="005E779E" w:rsidRDefault="003017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трубчатки для глубокого отбора: положение с ними аналогичное; заказано пока приблизительно на 700 тыс. руб., требуется дозаказать на 200 тыс. руб.</w:t>
      </w:r>
    </w:p>
    <w:p w14:paraId="427763B1" w14:textId="77777777" w:rsidR="00301740" w:rsidRPr="005E779E" w:rsidRDefault="003017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Таким образом, по Союзнефти необходимо дозаказать оборудования на сумму 1500 тыс. руб.</w:t>
      </w:r>
    </w:p>
    <w:p w14:paraId="79385FFA" w14:textId="77777777" w:rsidR="00301740" w:rsidRPr="005E779E" w:rsidRDefault="003017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объединению Союзлеспром</w:t>
      </w:r>
    </w:p>
    <w:p w14:paraId="02C7027E" w14:textId="77777777" w:rsidR="00301740" w:rsidRPr="005E779E" w:rsidRDefault="003017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Требуется заказать запчасти к тракторам, каковые не смогут быть использованы в должной мере, что в свою очередь повлияет на экспорт леса. Необходимая сумма для этой цели равна 265 тыс. руб.</w:t>
      </w:r>
    </w:p>
    <w:p w14:paraId="27B75B3D" w14:textId="77777777" w:rsidR="00301740" w:rsidRPr="005E779E" w:rsidRDefault="003017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объединению Союзсельмаш</w:t>
      </w:r>
    </w:p>
    <w:p w14:paraId="4034073B" w14:textId="77777777" w:rsidR="00301740" w:rsidRPr="005E779E" w:rsidRDefault="003017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 остающихся к реализации на Америку 286 тыс. руб. 200 тыс. руб. предназначаются для приобретения специального оборудования колесного цеха завода «Коммунар» и цеха комбайнов завода «Россельмаш»; без получения этих частей означенные цеха не могут быть пущены в ход.</w:t>
      </w:r>
    </w:p>
    <w:p w14:paraId="27064BA2" w14:textId="77777777" w:rsidR="00301740" w:rsidRPr="005E779E" w:rsidRDefault="003017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Кроме вышеперечисленных наиболее крупных заявок на Америку, исчисляемых суммой 8390 тыс. руб., имеется целый ряд мелких заявок по многим промобъединениям, которые можно ориентировочно определить суммою около 3610 тыс. руб.</w:t>
      </w:r>
    </w:p>
    <w:p w14:paraId="37906097" w14:textId="77777777" w:rsidR="00301740" w:rsidRPr="005E779E" w:rsidRDefault="003017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неудовлетворении этих заявок будут иметь место последствия, аналогичные тем, о которых сказано выше.</w:t>
      </w:r>
    </w:p>
    <w:p w14:paraId="38D6596C" w14:textId="77777777" w:rsidR="00301740" w:rsidRPr="005E779E" w:rsidRDefault="003017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Общая потребность на неотложные заказы для размещения их в Америке выражается, следовательно, суммой в 10.5 милл. руб.</w:t>
      </w:r>
    </w:p>
    <w:p w14:paraId="1231528A" w14:textId="77777777" w:rsidR="00301740" w:rsidRPr="005E779E" w:rsidRDefault="003017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Из общего американского контингента на 1931 г. в сумме 88 622 тыс. руб. было выдано Амторгом заказов фирмам до 10.08. с.г. на 62 178 тыс. руб. (по данным Наркомвнешторга), выдача заказов на остальную сумму 26 444 тыс. руб. была задержана. </w:t>
      </w:r>
    </w:p>
    <w:p w14:paraId="0938247E" w14:textId="77777777" w:rsidR="00301740" w:rsidRPr="005E779E" w:rsidRDefault="003017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рассмотрении заявок на Америку 21.08. у т. Павлуновского при участии т. Сорокина было снято с контингентов некоторых промобъединений 12 196 тыс. руб. и произведено доассигнование некоторым другим (5940 тыс. руб.), а также резервированы суммы для новых строек, как-то: моторный завод, трехосный АМО, ярославский (12 700 тыс. руб.). Таким образом, вместо остатка контингента на 10.08. - 26 444 тыс. руб. потребность выразится в сумме 32 888 тыс. руб. (26 444 - 12 196 + 5940 + 12 700). Из этой последней суммы после вторичного пересмотра заявок по некоторым крупным объединениям выяснилось, что сумма в 10,5 милл. руб. (см. выше) необходима для покрытия экстренных и самых неотложных потребностей, без чего будет стоять без использования американское оборудование, частично уже завезенное, частично отгруженное и частично заказанное, что вызовет, в свою очередь, омертвление капитала на десятки миллионов рублей.</w:t>
      </w:r>
    </w:p>
    <w:p w14:paraId="49DCBDA1" w14:textId="77777777" w:rsidR="00301740" w:rsidRPr="005E779E" w:rsidRDefault="003017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Особо стоит вопрос о Челябинском тракторном заводе. В настоящее время тов. Ильичев с инженерами находится в Англии и пытается разместить оборудование для ЧТЗ.</w:t>
      </w:r>
    </w:p>
    <w:p w14:paraId="3463AABF" w14:textId="77777777" w:rsidR="00301740" w:rsidRPr="005E779E" w:rsidRDefault="003017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л. 42 сверху приписка Г.К. Орджоникидзе: Эта записка предназначена для ПБ, но прежде чем послать ее в ПБ, посылаю тебе. Серго. 5.09.31 г.</w:t>
      </w:r>
    </w:p>
    <w:p w14:paraId="6E9A3262" w14:textId="77777777" w:rsidR="00301740" w:rsidRPr="005E779E" w:rsidRDefault="003017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АП РФ. Ф. 3. On. 66. Д. 290. Л. 42-48. Подлинник (20759).</w:t>
      </w:r>
    </w:p>
    <w:p w14:paraId="2C8BC101" w14:textId="77777777" w:rsidR="00301740" w:rsidRPr="005E779E" w:rsidRDefault="00301740" w:rsidP="000B7A6C">
      <w:pPr>
        <w:spacing w:after="0" w:line="240" w:lineRule="auto"/>
        <w:jc w:val="both"/>
        <w:rPr>
          <w:rFonts w:ascii="Times New Roman" w:hAnsi="Times New Roman"/>
          <w:color w:val="000000" w:themeColor="text1"/>
          <w:sz w:val="16"/>
          <w:szCs w:val="16"/>
        </w:rPr>
      </w:pPr>
    </w:p>
    <w:p w14:paraId="747AF6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4 и 10 сентября 1931. Из протокола заседания Политбюро № 59, 1931 г.</w:t>
      </w:r>
    </w:p>
    <w:p w14:paraId="2C52EF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 Сахалине </w:t>
      </w:r>
    </w:p>
    <w:p w14:paraId="04BCAE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Ввиду серьезного положения со снабжением продовольствием Сахалина назначить тов. Ягоду (нарком внутренних дел СССР) специальным уполномоченным по обеспечению снабжения Сахалина, возложив на него обязанность принять все необходимые меры, чтобы обеспечить продснабжение Сахалина как на ближайшие месяцы, так и на зиму, и проверить, по чьей вине создалось существующее нетерпимое положение с продовольствием на Сахалине (11652).</w:t>
      </w:r>
    </w:p>
    <w:p w14:paraId="558E43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DB814EC"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2A076D90"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A0300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сентября 1931 было восстание чилийских военных моряков (2443,406).</w:t>
      </w:r>
    </w:p>
    <w:p w14:paraId="602DC0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647E7B4" w14:textId="77777777" w:rsidR="000F3BEF" w:rsidRPr="005E779E" w:rsidRDefault="000F3BEF" w:rsidP="000B7A6C">
      <w:pPr>
        <w:spacing w:after="0" w:line="240" w:lineRule="auto"/>
        <w:jc w:val="both"/>
        <w:rPr>
          <w:rFonts w:ascii="Times New Roman" w:hAnsi="Times New Roman"/>
          <w:color w:val="000000" w:themeColor="text1"/>
          <w:sz w:val="16"/>
          <w:szCs w:val="16"/>
        </w:rPr>
      </w:pPr>
      <w:r w:rsidRPr="005E779E">
        <w:rPr>
          <w:rStyle w:val="ucoz-forum-post"/>
          <w:rFonts w:ascii="Times New Roman" w:eastAsia="Times New Roman" w:hAnsi="Times New Roman"/>
          <w:bCs/>
          <w:color w:val="000000" w:themeColor="text1"/>
          <w:sz w:val="16"/>
          <w:szCs w:val="16"/>
        </w:rPr>
        <w:t xml:space="preserve">4 сентября </w:t>
      </w:r>
      <w:r w:rsidRPr="005E779E">
        <w:rPr>
          <w:rFonts w:ascii="Times New Roman" w:hAnsi="Times New Roman"/>
          <w:color w:val="000000" w:themeColor="text1"/>
          <w:sz w:val="16"/>
          <w:szCs w:val="16"/>
        </w:rPr>
        <w:t>в 1931 году в городе Карсон-Сити, штата Невада, впервые был применен опыт "гуманной", - как называют ее в один голос американские буржуазные газеты, - казни при помощи удушливых газов взамен электрического стула. Казни подвергся молодой мексиканец Луи Чехасья, приговоренный к смерти за убийство. На зрелище присутствовало 80 лиц по особым приглашениям властей штата. Они наблюдали за действием газа с того момента, когда за осужденным захлопнулась дверь комнаты смерти и тюремный надзиратель повернул рычажок. Процесс казни продолжался несколько минут. Судя по составу приглашенной публики, над Чехасья, по-видимому, применялись новые газы и казнь, таким образом, явилась "лабораторным опытом", в котором заинтересовано было военное ведомство (14759).</w:t>
      </w:r>
    </w:p>
    <w:p w14:paraId="1F90C473" w14:textId="77777777" w:rsidR="000F3BEF" w:rsidRPr="005E779E" w:rsidRDefault="000F3BEF" w:rsidP="000B7A6C">
      <w:pPr>
        <w:spacing w:after="0" w:line="240" w:lineRule="auto"/>
        <w:jc w:val="both"/>
        <w:rPr>
          <w:rFonts w:ascii="Times New Roman" w:hAnsi="Times New Roman"/>
          <w:color w:val="000000" w:themeColor="text1"/>
          <w:sz w:val="16"/>
          <w:szCs w:val="16"/>
        </w:rPr>
      </w:pPr>
    </w:p>
    <w:p w14:paraId="0FCD4460"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50C4CD1F"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8FE0B9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сентября 1931 года постановления РВСР самолет ТШ1-2М34 был снят из действующего плана ЦАГИ, но должен был быть предусмотрен в новом плане опытного строительства, в связи с чем ЦАГИ продолжил НИР и расчеты по МТБ3 для последующей проектировки и реализации в новом плане (6919).</w:t>
      </w:r>
    </w:p>
    <w:p w14:paraId="350F2D7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5116DD" w14:textId="77777777" w:rsidR="000F3BEF" w:rsidRPr="005E779E" w:rsidRDefault="000F3BEF"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 xml:space="preserve">5 сентября </w:t>
      </w:r>
      <w:r w:rsidRPr="005E779E">
        <w:rPr>
          <w:rFonts w:ascii="Times New Roman" w:hAnsi="Times New Roman"/>
          <w:color w:val="000000" w:themeColor="text1"/>
          <w:sz w:val="16"/>
          <w:szCs w:val="16"/>
        </w:rPr>
        <w:t>в 1931 году в Запорожье в составе 18-ой авиабригады Украинского военного округа сформированы авиационные мастерские – сейчас Конотопский авиаремонтный завод “Авиакон” (14760).</w:t>
      </w:r>
    </w:p>
    <w:p w14:paraId="1BE6D8D4" w14:textId="77777777" w:rsidR="000F3BEF" w:rsidRPr="005E779E" w:rsidRDefault="000F3BEF" w:rsidP="000B7A6C">
      <w:pPr>
        <w:spacing w:after="0" w:line="240" w:lineRule="auto"/>
        <w:jc w:val="both"/>
        <w:rPr>
          <w:rFonts w:ascii="Times New Roman" w:hAnsi="Times New Roman"/>
          <w:color w:val="000000" w:themeColor="text1"/>
          <w:sz w:val="16"/>
          <w:szCs w:val="16"/>
        </w:rPr>
      </w:pPr>
    </w:p>
    <w:p w14:paraId="02190DDE"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lastRenderedPageBreak/>
        <w:t>Жизнь и внутренняя политика:</w:t>
      </w:r>
    </w:p>
    <w:p w14:paraId="1635B0C1"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4CA8AF3" w14:textId="77777777" w:rsidR="000F3BEF" w:rsidRPr="005E779E" w:rsidRDefault="000F3BEF"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 xml:space="preserve">5 сентября </w:t>
      </w:r>
      <w:r w:rsidRPr="005E779E">
        <w:rPr>
          <w:rFonts w:ascii="Times New Roman" w:hAnsi="Times New Roman"/>
          <w:color w:val="000000" w:themeColor="text1"/>
          <w:sz w:val="16"/>
          <w:szCs w:val="16"/>
        </w:rPr>
        <w:t>в 1931 году принимается постановление ЦК ВКП(б) "О начальной и средней школе", которое ознаменует собой прекращение послереволюционных экспериментов в сфере образования. Вновь вводится единый стандарт обучения, а основной формой становится урок (14760).</w:t>
      </w:r>
    </w:p>
    <w:p w14:paraId="0941448D" w14:textId="77777777" w:rsidR="000F3BEF" w:rsidRPr="005E779E" w:rsidRDefault="000F3BEF" w:rsidP="000B7A6C">
      <w:pPr>
        <w:spacing w:after="0" w:line="240" w:lineRule="auto"/>
        <w:jc w:val="both"/>
        <w:rPr>
          <w:rFonts w:ascii="Times New Roman" w:hAnsi="Times New Roman"/>
          <w:color w:val="000000" w:themeColor="text1"/>
          <w:sz w:val="16"/>
          <w:szCs w:val="16"/>
        </w:rPr>
      </w:pPr>
    </w:p>
    <w:p w14:paraId="27EF98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сентября 1931 года ОГПУ и НКПС в совместной записке (№ 40686) сообщили в ЦК ВКП(б) Кагановичу, что ОГПУ и НКПС наметили еще один дополнительный список инженеров и техников железнодорожного транспорта, отбывающих наказание по приговорам коллегии ОГПУ за вредительство, но могущих быть использованными на транспорте. В представляемый список на 142 человек вошли инженеры и техники различных специальностей железнодорожного транспорта. ОГПУ и НКПС просили санкционировать досрочное освобождение от наказания перечисленным в списке лиц, с оставлением наказания условным и применением к освобожденным гласного надзора ОГПУ (11248).</w:t>
      </w:r>
    </w:p>
    <w:p w14:paraId="2DBA91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9694F58"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0815D9E2"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95470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сентября 1931 г. состоялось заседание в ВАО и определили срок предъявления самолета Р6 серийного для испытаний в НИИ к 7.09.1931 г., однако, самолет был предъявлен лишь 3.10.1931 г. (3273).</w:t>
      </w:r>
    </w:p>
    <w:p w14:paraId="47741B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C6232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сентября 1931 И-4бис был направлен в НИИ ВВС (1454,19).</w:t>
      </w:r>
    </w:p>
    <w:p w14:paraId="6E3127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ED32C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C 6 по 23 сентября 1931 проходили испытания самолета И4 N 1514 ЮVI -480 л.с.</w:t>
      </w:r>
    </w:p>
    <w:p w14:paraId="3658E4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Цель работы</w:t>
      </w:r>
    </w:p>
    <w:p w14:paraId="0B4461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Определение летно-технических данных самолета И4 моноплана и влияние на летные данные разрезного крыла и особого вида капота.</w:t>
      </w:r>
    </w:p>
    <w:p w14:paraId="595827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предъявлен на испытание в НИИ 6 сентября 1931 г.</w:t>
      </w:r>
    </w:p>
    <w:p w14:paraId="25FC60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Испытание закончено 23 сентября 1931 г.</w:t>
      </w:r>
    </w:p>
    <w:p w14:paraId="5E0F1E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Количество полетов - 40</w:t>
      </w:r>
    </w:p>
    <w:p w14:paraId="050126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Налетано часов - 20 час. 14 мин.</w:t>
      </w:r>
    </w:p>
    <w:p w14:paraId="1830C7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w:t>
      </w:r>
    </w:p>
    <w:p w14:paraId="226D5E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Ввиду уменьшения прочности самолета И4-ЮVI моноплана и незначительному улучшению его летных данных, считать переделку построенных самолетов И4-ЮVI под монопланы нерациональной (3262).</w:t>
      </w:r>
    </w:p>
    <w:p w14:paraId="58D632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7525E53" w14:textId="77777777" w:rsidR="002E21EC" w:rsidRPr="005E779E" w:rsidRDefault="002E21E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сентября 1931 года еще до начала лет</w:t>
      </w:r>
      <w:r w:rsidRPr="005E779E">
        <w:rPr>
          <w:rFonts w:ascii="Times New Roman" w:hAnsi="Times New Roman"/>
          <w:color w:val="000000" w:themeColor="text1"/>
          <w:sz w:val="16"/>
          <w:szCs w:val="16"/>
        </w:rPr>
        <w:softHyphen/>
        <w:t>ных испытаний первый опытный экземпляр Сталь-2 зарегистрирова</w:t>
      </w:r>
      <w:r w:rsidRPr="005E779E">
        <w:rPr>
          <w:rFonts w:ascii="Times New Roman" w:hAnsi="Times New Roman"/>
          <w:color w:val="000000" w:themeColor="text1"/>
          <w:sz w:val="16"/>
          <w:szCs w:val="16"/>
        </w:rPr>
        <w:softHyphen/>
        <w:t>ли как СССР-Э7. Именно с таким обозначением он числил</w:t>
      </w:r>
      <w:r w:rsidRPr="005E779E">
        <w:rPr>
          <w:rFonts w:ascii="Times New Roman" w:hAnsi="Times New Roman"/>
          <w:color w:val="000000" w:themeColor="text1"/>
          <w:sz w:val="16"/>
          <w:szCs w:val="16"/>
        </w:rPr>
        <w:softHyphen/>
        <w:t>ся в НИИ ГВФ, где велись доводки и летные тестирования самолета (29365).</w:t>
      </w:r>
    </w:p>
    <w:p w14:paraId="3DF9649A" w14:textId="77777777" w:rsidR="002E21EC" w:rsidRPr="005E779E" w:rsidRDefault="002E21EC" w:rsidP="000B7A6C">
      <w:pPr>
        <w:spacing w:after="0" w:line="240" w:lineRule="auto"/>
        <w:jc w:val="both"/>
        <w:rPr>
          <w:rFonts w:ascii="Times New Roman" w:hAnsi="Times New Roman"/>
          <w:color w:val="000000" w:themeColor="text1"/>
          <w:sz w:val="16"/>
          <w:szCs w:val="16"/>
        </w:rPr>
      </w:pPr>
    </w:p>
    <w:p w14:paraId="3093B307"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сентября 1931 года, по воспоминаниям современников на Ходынском аэро</w:t>
      </w:r>
      <w:r w:rsidRPr="005E779E">
        <w:rPr>
          <w:rFonts w:ascii="Times New Roman" w:hAnsi="Times New Roman"/>
          <w:color w:val="000000" w:themeColor="text1"/>
          <w:sz w:val="16"/>
          <w:szCs w:val="16"/>
        </w:rPr>
        <w:softHyphen/>
        <w:t>дроме Осоавиахима, произошла встреча старшего инженера завода Сергея Павловича Коро</w:t>
      </w:r>
      <w:r w:rsidRPr="005E779E">
        <w:rPr>
          <w:rFonts w:ascii="Times New Roman" w:hAnsi="Times New Roman"/>
          <w:color w:val="000000" w:themeColor="text1"/>
          <w:sz w:val="16"/>
          <w:szCs w:val="16"/>
        </w:rPr>
        <w:softHyphen/>
        <w:t>лева и старшего инженера Института авиационных моторов Фридриха Артуровича Цандера. Королев построил и испыты</w:t>
      </w:r>
      <w:r w:rsidRPr="005E779E">
        <w:rPr>
          <w:rFonts w:ascii="Times New Roman" w:hAnsi="Times New Roman"/>
          <w:color w:val="000000" w:themeColor="text1"/>
          <w:sz w:val="16"/>
          <w:szCs w:val="16"/>
        </w:rPr>
        <w:softHyphen/>
        <w:t>вал планер собственной конструкции. Цандер спроектировал реактивный двигатель. Возможно, здесь, на Ходынке, и роди</w:t>
      </w:r>
      <w:r w:rsidRPr="005E779E">
        <w:rPr>
          <w:rFonts w:ascii="Times New Roman" w:hAnsi="Times New Roman"/>
          <w:color w:val="000000" w:themeColor="text1"/>
          <w:sz w:val="16"/>
          <w:szCs w:val="16"/>
        </w:rPr>
        <w:softHyphen/>
        <w:t>лась идея ракетного планера - летательного аппарата Королева с двигателем Цандера (23510).</w:t>
      </w:r>
    </w:p>
    <w:p w14:paraId="2D47D88E" w14:textId="77777777" w:rsidR="007F1987" w:rsidRPr="005E779E" w:rsidRDefault="007F1987" w:rsidP="000B7A6C">
      <w:pPr>
        <w:spacing w:after="0" w:line="240" w:lineRule="auto"/>
        <w:jc w:val="both"/>
        <w:rPr>
          <w:rFonts w:ascii="Times New Roman" w:hAnsi="Times New Roman"/>
          <w:color w:val="000000" w:themeColor="text1"/>
          <w:sz w:val="16"/>
          <w:szCs w:val="16"/>
        </w:rPr>
      </w:pPr>
    </w:p>
    <w:p w14:paraId="2C545578"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3A5F977D"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04367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сентября 1931 г. пост. Президиума ВСНХ был создан Государственный институт редких и малых металлов (Государственный институт редких и малых металлов ВСНХ, НКТП, Государственный НИИ редких металлов «Гиредмет» НКТП, Государственный НИИ редких и малых металлов «Гиредмет» НКТП, Государственный научно-исследовательский и проектный институт редкометаллической промышленности («Гиредмет») МЦМ, ГНЦ ФГУП «Гиредмет» /г. Москва Пыжевский пер. (1931 г.)/ /119017 г. Москва Б. Толмачевский пер., 5 тел. 234-28-54/). Организатором института была В.И. Глебова. В 1936г. переименован в Государственный НИИ редких металлов «Гиредмет», в 1937г. - в Государственный НИИ редких и малых металлов «Гиредмет». По пр. от 25.07.1958г. Гиредмет объединен с ГСПИ-1 Госплана и преобразован в комплексный Государственный научно- исследовательский и проектный институт редкометаллической промышленности. Институт находился в ведении: ВСНХ (1931-31 г.), НКТП (1932-39г.), НКЦМ (1939-46г.), МЦМ (1946-48; 1950-53; 1954-57; с 1965г.), Минметаллургпрома (1948-59; 1953-54г.), ГлавНИИпроекта при Госплане (1957-60 г.), ГлавНИИ при Госэкономсовете СССР (1960-61 г.), ГК по черной и цветной металлургии (1962-63 г.), ГК по черной и цветной металлургии при Госплане (1963-65г.).</w:t>
      </w:r>
    </w:p>
    <w:p w14:paraId="34E2E8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Вначале институт занимался проблемами тугоплавких материалов и сплавов только в интересах цветной металлургии. В 1931 г. разработана технология получения бериллия (Ю.А. Чернихов).</w:t>
      </w:r>
    </w:p>
    <w:p w14:paraId="7FF220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1938-41 г. введены в эксплуатацию первые цеха по производству редких металлов. 27.11.1941 г. ГКО поручил НКЦветмету приступить к производству урана. В 1943г. дано поручение Гиредмету организовать производство урана. В 12.1944г. был получен первый слиток металлического урана (Н.П. Сажин, З.В. Ершова). После войны институту поручены работы по материалам для атомной промышленности (разведка месторождений, переработка сырья, получение чистых веществ).</w:t>
      </w:r>
    </w:p>
    <w:p w14:paraId="06C383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Направления работ: поиски и изучение сырья, содержащего редкие и малые металлы; разработка и изучение методов методов разведки, рудничной геологии, добычи, эксплуатации и механизации горных работ и обогащения руд и минералов редких и малых металлов; НИОКР в области производства редких металлов и их сплавов, проводниковых и полупроводниковых материалов и высокочистых элементов; разработка и усовершенствование техпроцессов и аппаратуры, применяемых при производстве редких металлов; проектирование предприятий редкометаллической промышленности.</w:t>
      </w:r>
    </w:p>
    <w:p w14:paraId="159154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1935г. в состав института вошел опытный завод.В 1957г. в состав института вошло СКБ РМ. В 1958г. в составе института: СКБ, два опытных технологических завода (в Подольске и «Уралредмет» в Верхней Пышме) и опытный машиностроительный завод «Геоприборцветмет».</w:t>
      </w:r>
    </w:p>
    <w:p w14:paraId="036C34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Институт имел филиалы: Березниковский (создан 26.09.1955г., с 3.09.1956г. передан ВАМИ), Украинский.</w:t>
      </w:r>
    </w:p>
    <w:p w14:paraId="691566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1958г. выращен первый отечественный германий электронной чистоты, в 1959г. - кремний. Далее институтом разработаны практически все отечественные полупроводниковые материалы, в т.ч. групп АЗВ5, А2В6, </w:t>
      </w:r>
      <w:r w:rsidRPr="005E779E">
        <w:rPr>
          <w:rFonts w:ascii="Times New Roman" w:hAnsi="Times New Roman"/>
          <w:color w:val="000000" w:themeColor="text1"/>
          <w:sz w:val="16"/>
          <w:szCs w:val="16"/>
          <w:lang w:val="en-US"/>
        </w:rPr>
        <w:t>SiC</w:t>
      </w:r>
      <w:r w:rsidRPr="005E779E">
        <w:rPr>
          <w:rFonts w:ascii="Times New Roman" w:hAnsi="Times New Roman"/>
          <w:color w:val="000000" w:themeColor="text1"/>
          <w:sz w:val="16"/>
          <w:szCs w:val="16"/>
        </w:rPr>
        <w:t>.</w:t>
      </w:r>
    </w:p>
    <w:p w14:paraId="751C94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Разработана технология извлечения золота из отходов фосфатной глины на Березняковском титановом месторождении.</w:t>
      </w:r>
    </w:p>
    <w:p w14:paraId="648C4D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Институт принимал участие в проектировании заводов, по его проектам построено более 65 объектов (из них около 50 химкомбинатов), в т.ч.: Запорожский титано-магниевый, Донецкий ГХК, Усть-Каменогорский ГХК, Западно-Сибирский полупроводников, Красноярский цветных металлов, Подольский оловянный, ПХМЗ, ОХМЗ, Узбекский твердых сплавов, Ловозерский ГОК, Ташкумырский ГОК, Соликамский магниевый, Иртышский химико-металлургический; обогатительная фабрика Вишневогорского рудоуправления, опытные установки Жилевской обогатительной фабрики; Калгутинский молибдено-вольфрамовый ГОКа; предприятия в Болгарии: заводы: азтнотуковый, полупроводников, силовых кремниевых вентилей, силовых преобразователей тока; комбинаты: цветных металлов, свинцово-цинковый; для Китая: заводы: по производству титана, твердых сплавов, по производству и обработке редких, редкоземельных элементов и их сплавов; для Польши: заводы: алюминиевый, полупроводниковых материалов, стекольный.</w:t>
      </w:r>
      <w:r w:rsidRPr="005E779E">
        <w:rPr>
          <w:rFonts w:ascii="Times New Roman" w:hAnsi="Times New Roman"/>
          <w:color w:val="000000" w:themeColor="text1"/>
          <w:sz w:val="16"/>
          <w:szCs w:val="16"/>
          <w:vertAlign w:val="superscript"/>
        </w:rPr>
        <w:t>137</w:t>
      </w:r>
    </w:p>
    <w:p w14:paraId="757E87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Выполнены работы: «Использование высокодисперсных кольматантов для гидроизоляции промышленных сооружений (1997г.); «Установка для промышленного производства монокристаллического кремния», «Технология получения интерметаллических соединений для никель-металлогидридных аккумуляторов», «Технология обогащения и переработки эвдиалитовых руд - цирконий- и иттрийсодержащего сырья», «Автономные средства измерения «Сенсоры», «Технология производства ниобий-содержащих продуктов» (1998г.); «Организация производства полупроводникового кремния», «Комплексная технология получения высокочистых металлов и изделий из них», «Технология карбидо-кремниевых покрытий» (1999г.); «Установки для выращивания монокристаллов «Редмет-15», «Редмет-30», «Редмет-90», экспериментальная установка для очистки металлов от алюминия в вакууме совместно с НИИ «Изотерм» (1990-е г.); «Разработка получения монокристаллов кадмий-ртуть-телпур», «Получение мишеней из титана высокой чистоты», «Тантал высокой чистоты», «Установка для промышленного производства монокристаллов кремния «Перспектива», «Ниобий высокой чистоты», «Устройство для химической очистки алмазов» (2000 г.); «Новая технология разделения, очистки и получения платиновых металлов», «Эпитаксиальные структуры </w:t>
      </w:r>
      <w:r w:rsidRPr="005E779E">
        <w:rPr>
          <w:rFonts w:ascii="Times New Roman" w:hAnsi="Times New Roman"/>
          <w:color w:val="000000" w:themeColor="text1"/>
          <w:sz w:val="16"/>
          <w:szCs w:val="16"/>
          <w:lang w:val="en-US"/>
        </w:rPr>
        <w:t>Hg</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Cd</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Te</w:t>
      </w:r>
      <w:r w:rsidRPr="005E779E">
        <w:rPr>
          <w:rFonts w:ascii="Times New Roman" w:hAnsi="Times New Roman"/>
          <w:color w:val="000000" w:themeColor="text1"/>
          <w:sz w:val="16"/>
          <w:szCs w:val="16"/>
        </w:rPr>
        <w:t xml:space="preserve"> / </w:t>
      </w:r>
      <w:r w:rsidRPr="005E779E">
        <w:rPr>
          <w:rFonts w:ascii="Times New Roman" w:hAnsi="Times New Roman"/>
          <w:color w:val="000000" w:themeColor="text1"/>
          <w:sz w:val="16"/>
          <w:szCs w:val="16"/>
          <w:lang w:val="en-US"/>
        </w:rPr>
        <w:t>Cd</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Zn</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Te</w:t>
      </w:r>
      <w:r w:rsidRPr="005E779E">
        <w:rPr>
          <w:rFonts w:ascii="Times New Roman" w:hAnsi="Times New Roman"/>
          <w:color w:val="000000" w:themeColor="text1"/>
          <w:sz w:val="16"/>
          <w:szCs w:val="16"/>
        </w:rPr>
        <w:t>», «Мелкодисперсный порошок оксида иттрия» (2001 г.).</w:t>
      </w:r>
    </w:p>
    <w:p w14:paraId="121C1F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Головная организация по разработке и организации производства редкометаллической и полупроводниковой продукции; проводит фундаментальные исследования, разработку технологических схем и аппаратуры, проектирование предприятий, а также стандартизацию и сертификацию материалов на основе редких металлов и полупроводников.</w:t>
      </w:r>
    </w:p>
    <w:p w14:paraId="5BFBEE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2001 г. Китаю передана технология выращивания арсенида галлия. В 2000-е г. разработаны проекты заводов: по производству диоксида титана для Индии; по производству поликремния в г. Ичан (Китай).</w:t>
      </w:r>
    </w:p>
    <w:p w14:paraId="6AEF3E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 состав института входили (2000-е г.): Отделы: физических исследований, химии и химической технологии редких элементов; Испытательный аналитико-сертификационный центр (ИАСЦ); Подразделения: полупроводниковых материалов, проектное, конструкторское; Лаборатории: металлургии редкоземельных металлов, рассеянных элементов, промышленной экологии и охраны природы, физико-химических основ получения веществ особой чистоты; ОХМЗ (2004г.). В 2006г. институт не имел опытного производства.</w:t>
      </w:r>
    </w:p>
    <w:p w14:paraId="774071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ИАСЦ включал в себя подразделения пробоотбора и пробоподготовки, стандартизации и сертификации, лаборатории химических и физико-химических методов анализа, масс-спектрометрии и газового анализа, ядерно- физических методов и группу экоаналитических работ.</w:t>
      </w:r>
    </w:p>
    <w:p w14:paraId="7E5DB4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Указом Президента РФ № 939 от 22.06.1993г. и пост. Правительства № 648 от 5.06.1994г. институту присвоен статус ГНЦ РФ. По Указу Президента РФ № 1009 от 4.08.2004г. вошло в перечень стратегических оборонных предприятий.</w:t>
      </w:r>
    </w:p>
    <w:p w14:paraId="6BF1FE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(1931 г.-)- В.И. Глебова, (2000 г.)- Э.П. Бочкарев, (2000-е)- академик А.В. Елютин, (2006г.)- Ю.Н. Пархоменко.</w:t>
      </w:r>
    </w:p>
    <w:p w14:paraId="3DCF76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директора: по общим вопросам (2000-е)- Д.Б. Аронов; (2007г.)- Ю. Рыбкин.</w:t>
      </w:r>
    </w:p>
    <w:p w14:paraId="5AFF9A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Руководитель ИАСЦ (2000-е)- Ю.А. Карпов.</w:t>
      </w:r>
    </w:p>
    <w:p w14:paraId="1AE09F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руководителя ИАСЦ (2000-е)- В.Г. Мискарьянц.</w:t>
      </w:r>
    </w:p>
    <w:p w14:paraId="3651E7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Заведующие отделами: физических исследований (2000-е)- А.Ф. Орлов; химии и химической технологии редких элементов (2000-е)- А.А. Титов; коммерческим (2000-е)- В.И. Райхштейн.</w:t>
      </w:r>
    </w:p>
    <w:p w14:paraId="7F2EDD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Заведующие лабораториями: металлургии редкоземельных металлов (2000-е)- Ю.Б. Патрикеев; рассеянных элементов (2000-е)- С.С. Фомин; промышленной экологии и охраны природы (2000-е)- В.А. Кожемякин; физико- химических основ получения веществ особой чистоты (2000-е)- Л.А. Нисельсон.</w:t>
      </w:r>
    </w:p>
    <w:p w14:paraId="43E901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Руководители подразделений: проектного (2000-е)- Ю.М. Рыбкин; конструкторского (2000-е)- В.Ю. Жвирблянский (11982).</w:t>
      </w:r>
    </w:p>
    <w:p w14:paraId="5CDA8F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7B8DB5C" w14:textId="77777777" w:rsidR="000F3BEF" w:rsidRPr="005E779E" w:rsidRDefault="000F3BE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сентября в 1931 году постановлением Президиума ВСНХ СССР в Москве создан Государственный институт редких металлов. Ныне ФГУП ГНЦ Российской Федерации «Государственный научно-исследовательский и проектный институт редкометаллической промышленности «Гиредмет» – головная организация в Российской Федерации, решающая проблемы разработки и организации на базе современной технологии производства редкометаллической и полупроводниковой продукции, включая фундаментальные исследования, разработку технологических схем и аппаратуры, проектирование сырьевых, металлургических опытных и промышленных предприятий, а также стандартизацию и сертификацию материалов на основе редких металлов и полупроводников (14761).</w:t>
      </w:r>
    </w:p>
    <w:p w14:paraId="19C43676" w14:textId="77777777" w:rsidR="000F3BEF" w:rsidRPr="005E779E" w:rsidRDefault="000F3BEF" w:rsidP="000B7A6C">
      <w:pPr>
        <w:spacing w:after="0" w:line="240" w:lineRule="auto"/>
        <w:jc w:val="both"/>
        <w:rPr>
          <w:rFonts w:ascii="Times New Roman" w:hAnsi="Times New Roman"/>
          <w:color w:val="000000" w:themeColor="text1"/>
          <w:sz w:val="16"/>
          <w:szCs w:val="16"/>
        </w:rPr>
      </w:pPr>
    </w:p>
    <w:p w14:paraId="1769FEC6" w14:textId="77777777" w:rsidR="00B35C0B" w:rsidRPr="005E779E" w:rsidRDefault="00B35C0B"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6 сентября 1931 г.</w:t>
      </w:r>
    </w:p>
    <w:p w14:paraId="585FA45B" w14:textId="77777777" w:rsidR="00B35C0B" w:rsidRPr="005E779E" w:rsidRDefault="00B35C0B"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Протокол совещания сотрудников Теплотехнического института и представителей ОКБ № 11 об организации работы по проектированию прямоточного котла. 6 сентября 1931 г.</w:t>
      </w:r>
    </w:p>
    <w:p w14:paraId="68311A43" w14:textId="77777777" w:rsidR="00B35C0B" w:rsidRPr="005E779E" w:rsidRDefault="00B35C0B"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Источник: </w:t>
      </w:r>
    </w:p>
    <w:p w14:paraId="3EC96910" w14:textId="77777777" w:rsidR="00B35C0B" w:rsidRPr="005E779E" w:rsidRDefault="00B35C0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FD053CB" w14:textId="77777777" w:rsidR="00B35C0B" w:rsidRPr="005E779E" w:rsidRDefault="00B35C0B"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Архив: </w:t>
      </w:r>
    </w:p>
    <w:p w14:paraId="062B6971" w14:textId="77777777" w:rsidR="00B35C0B" w:rsidRPr="005E779E" w:rsidRDefault="00B35C0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РГАЭ. Ф. 38. Oп. 1. Д. 1. Л. 33-32</w:t>
      </w:r>
    </w:p>
    <w:p w14:paraId="4A78CD98" w14:textId="77777777" w:rsidR="00B35C0B" w:rsidRPr="005E779E" w:rsidRDefault="00B35C0B" w:rsidP="000B7A6C">
      <w:pPr>
        <w:pStyle w:val="rteright"/>
        <w:spacing w:before="0" w:after="0"/>
        <w:jc w:val="both"/>
        <w:rPr>
          <w:color w:val="000000" w:themeColor="text1"/>
          <w:sz w:val="16"/>
          <w:szCs w:val="16"/>
        </w:rPr>
      </w:pPr>
      <w:r w:rsidRPr="005E779E">
        <w:rPr>
          <w:color w:val="000000" w:themeColor="text1"/>
          <w:sz w:val="16"/>
          <w:szCs w:val="16"/>
        </w:rPr>
        <w:t>6 сентября 1931 г.</w:t>
      </w:r>
    </w:p>
    <w:p w14:paraId="17742D3E" w14:textId="77777777" w:rsidR="00B35C0B" w:rsidRPr="005E779E" w:rsidRDefault="00B35C0B" w:rsidP="000B7A6C">
      <w:pPr>
        <w:pStyle w:val="rtecenter"/>
        <w:spacing w:before="0" w:after="0"/>
        <w:jc w:val="both"/>
        <w:rPr>
          <w:color w:val="000000" w:themeColor="text1"/>
          <w:sz w:val="16"/>
          <w:szCs w:val="16"/>
        </w:rPr>
      </w:pPr>
      <w:r w:rsidRPr="005E779E">
        <w:rPr>
          <w:color w:val="000000" w:themeColor="text1"/>
          <w:sz w:val="16"/>
          <w:szCs w:val="16"/>
        </w:rPr>
        <w:t>ПРОТОКОЛ № 13</w:t>
      </w:r>
    </w:p>
    <w:p w14:paraId="5EF86203" w14:textId="77777777" w:rsidR="00B35C0B" w:rsidRPr="005E779E" w:rsidRDefault="00B35C0B" w:rsidP="000B7A6C">
      <w:pPr>
        <w:pStyle w:val="rtecenter"/>
        <w:spacing w:before="0" w:after="0"/>
        <w:jc w:val="both"/>
        <w:rPr>
          <w:color w:val="000000" w:themeColor="text1"/>
          <w:sz w:val="16"/>
          <w:szCs w:val="16"/>
        </w:rPr>
      </w:pPr>
      <w:r w:rsidRPr="005E779E">
        <w:rPr>
          <w:color w:val="000000" w:themeColor="text1"/>
          <w:sz w:val="16"/>
          <w:szCs w:val="16"/>
        </w:rPr>
        <w:t>Посещения Всесоюзного Теплотехнического Института</w:t>
      </w:r>
    </w:p>
    <w:p w14:paraId="79D4F9A8" w14:textId="77777777" w:rsidR="00B35C0B" w:rsidRPr="005E779E" w:rsidRDefault="00B35C0B" w:rsidP="000B7A6C">
      <w:pPr>
        <w:pStyle w:val="rtecenter"/>
        <w:spacing w:before="0" w:after="0"/>
        <w:jc w:val="both"/>
        <w:rPr>
          <w:color w:val="000000" w:themeColor="text1"/>
          <w:sz w:val="16"/>
          <w:szCs w:val="16"/>
        </w:rPr>
      </w:pPr>
      <w:r w:rsidRPr="005E779E">
        <w:rPr>
          <w:color w:val="000000" w:themeColor="text1"/>
          <w:sz w:val="16"/>
          <w:szCs w:val="16"/>
        </w:rPr>
        <w:t>от 6/IX-31 г.</w:t>
      </w:r>
    </w:p>
    <w:p w14:paraId="7A7AA9CC" w14:textId="77777777" w:rsidR="00B35C0B" w:rsidRPr="005E779E" w:rsidRDefault="00B35C0B" w:rsidP="000B7A6C">
      <w:pPr>
        <w:pStyle w:val="rtejustify"/>
        <w:spacing w:before="0" w:after="0"/>
        <w:rPr>
          <w:color w:val="000000" w:themeColor="text1"/>
          <w:sz w:val="16"/>
          <w:szCs w:val="16"/>
        </w:rPr>
      </w:pPr>
      <w:r w:rsidRPr="005E779E">
        <w:rPr>
          <w:color w:val="000000" w:themeColor="text1"/>
          <w:sz w:val="16"/>
          <w:szCs w:val="16"/>
        </w:rPr>
        <w:t>Присутствовали:</w:t>
      </w:r>
    </w:p>
    <w:p w14:paraId="4ED0FC68" w14:textId="77777777" w:rsidR="00B35C0B" w:rsidRPr="005E779E" w:rsidRDefault="00B35C0B" w:rsidP="000B7A6C">
      <w:pPr>
        <w:pStyle w:val="rtejustify"/>
        <w:spacing w:before="0" w:after="0"/>
        <w:rPr>
          <w:color w:val="000000" w:themeColor="text1"/>
          <w:sz w:val="16"/>
          <w:szCs w:val="16"/>
        </w:rPr>
      </w:pPr>
      <w:r w:rsidRPr="005E779E">
        <w:rPr>
          <w:color w:val="000000" w:themeColor="text1"/>
          <w:sz w:val="16"/>
          <w:szCs w:val="16"/>
        </w:rPr>
        <w:t>от ВТИ — директор ВТИ — инженер БРАИЛО Г. П.</w:t>
      </w:r>
    </w:p>
    <w:p w14:paraId="42700104" w14:textId="77777777" w:rsidR="00B35C0B" w:rsidRPr="005E779E" w:rsidRDefault="00B35C0B" w:rsidP="000B7A6C">
      <w:pPr>
        <w:pStyle w:val="rtejustify"/>
        <w:spacing w:before="0" w:after="0"/>
        <w:rPr>
          <w:color w:val="000000" w:themeColor="text1"/>
          <w:sz w:val="16"/>
          <w:szCs w:val="16"/>
        </w:rPr>
      </w:pPr>
      <w:r w:rsidRPr="005E779E">
        <w:rPr>
          <w:color w:val="000000" w:themeColor="text1"/>
          <w:sz w:val="16"/>
          <w:szCs w:val="16"/>
        </w:rPr>
        <w:t>Инженер — Власов О. Е.</w:t>
      </w:r>
    </w:p>
    <w:p w14:paraId="5DE3CB1F" w14:textId="77777777" w:rsidR="00B35C0B" w:rsidRPr="005E779E" w:rsidRDefault="00B35C0B" w:rsidP="000B7A6C">
      <w:pPr>
        <w:pStyle w:val="rtejustify"/>
        <w:spacing w:before="0" w:after="0"/>
        <w:rPr>
          <w:color w:val="000000" w:themeColor="text1"/>
          <w:sz w:val="16"/>
          <w:szCs w:val="16"/>
        </w:rPr>
      </w:pPr>
      <w:r w:rsidRPr="005E779E">
        <w:rPr>
          <w:color w:val="000000" w:themeColor="text1"/>
          <w:sz w:val="16"/>
          <w:szCs w:val="16"/>
        </w:rPr>
        <w:t>Зав. секр[етной] частью ВТИ — Архипенко.</w:t>
      </w:r>
    </w:p>
    <w:p w14:paraId="06F447D8" w14:textId="77777777" w:rsidR="00B35C0B" w:rsidRPr="005E779E" w:rsidRDefault="00B35C0B" w:rsidP="000B7A6C">
      <w:pPr>
        <w:pStyle w:val="rtejustify"/>
        <w:spacing w:before="0" w:after="0"/>
        <w:rPr>
          <w:color w:val="000000" w:themeColor="text1"/>
          <w:sz w:val="16"/>
          <w:szCs w:val="16"/>
        </w:rPr>
      </w:pPr>
      <w:r w:rsidRPr="005E779E">
        <w:rPr>
          <w:color w:val="000000" w:themeColor="text1"/>
          <w:sz w:val="16"/>
          <w:szCs w:val="16"/>
        </w:rPr>
        <w:t>Нач. ОКБ № 11 — Наумин.</w:t>
      </w:r>
    </w:p>
    <w:p w14:paraId="6474EC4E" w14:textId="77777777" w:rsidR="00B35C0B" w:rsidRPr="005E779E" w:rsidRDefault="00B35C0B" w:rsidP="000B7A6C">
      <w:pPr>
        <w:pStyle w:val="rtejustify"/>
        <w:spacing w:before="0" w:after="0"/>
        <w:rPr>
          <w:color w:val="000000" w:themeColor="text1"/>
          <w:sz w:val="16"/>
          <w:szCs w:val="16"/>
        </w:rPr>
      </w:pPr>
      <w:r w:rsidRPr="005E779E">
        <w:rPr>
          <w:color w:val="000000" w:themeColor="text1"/>
          <w:sz w:val="16"/>
          <w:szCs w:val="16"/>
        </w:rPr>
        <w:t>От ОКБ № 11 — Инженер ОКБ № 11 — Салменков А. И.</w:t>
      </w:r>
    </w:p>
    <w:p w14:paraId="749A4712" w14:textId="77777777" w:rsidR="00B35C0B" w:rsidRPr="005E779E" w:rsidRDefault="00B35C0B" w:rsidP="000B7A6C">
      <w:pPr>
        <w:pStyle w:val="rtejustify"/>
        <w:spacing w:before="0" w:after="0"/>
        <w:rPr>
          <w:color w:val="000000" w:themeColor="text1"/>
          <w:sz w:val="16"/>
          <w:szCs w:val="16"/>
        </w:rPr>
      </w:pPr>
      <w:r w:rsidRPr="005E779E">
        <w:rPr>
          <w:color w:val="000000" w:themeColor="text1"/>
          <w:sz w:val="16"/>
          <w:szCs w:val="16"/>
        </w:rPr>
        <w:t>Инженер — Нови Ю. О.</w:t>
      </w:r>
    </w:p>
    <w:p w14:paraId="5DA57C77" w14:textId="77777777" w:rsidR="00B35C0B" w:rsidRPr="005E779E" w:rsidRDefault="00B35C0B" w:rsidP="000B7A6C">
      <w:pPr>
        <w:pStyle w:val="rtejustify"/>
        <w:spacing w:before="0" w:after="0"/>
        <w:rPr>
          <w:color w:val="000000" w:themeColor="text1"/>
          <w:sz w:val="16"/>
          <w:szCs w:val="16"/>
        </w:rPr>
      </w:pPr>
      <w:r w:rsidRPr="005E779E">
        <w:rPr>
          <w:color w:val="000000" w:themeColor="text1"/>
          <w:sz w:val="16"/>
          <w:szCs w:val="16"/>
        </w:rPr>
        <w:t>Комендант ОКБ № 11 — тов. Пуговкин.</w:t>
      </w:r>
    </w:p>
    <w:p w14:paraId="30A4D60C" w14:textId="77777777" w:rsidR="00B35C0B" w:rsidRPr="005E779E" w:rsidRDefault="00B35C0B" w:rsidP="000B7A6C">
      <w:pPr>
        <w:pStyle w:val="rtecenter"/>
        <w:spacing w:before="0" w:after="0"/>
        <w:jc w:val="both"/>
        <w:rPr>
          <w:color w:val="000000" w:themeColor="text1"/>
          <w:sz w:val="16"/>
          <w:szCs w:val="16"/>
        </w:rPr>
      </w:pPr>
      <w:r w:rsidRPr="005E779E">
        <w:rPr>
          <w:color w:val="000000" w:themeColor="text1"/>
          <w:sz w:val="16"/>
          <w:szCs w:val="16"/>
        </w:rPr>
        <w:t>Беседа с Браило Г. П.</w:t>
      </w:r>
    </w:p>
    <w:p w14:paraId="3EB444A7" w14:textId="77777777" w:rsidR="00B35C0B" w:rsidRPr="005E779E" w:rsidRDefault="00B35C0B" w:rsidP="000B7A6C">
      <w:pPr>
        <w:numPr>
          <w:ilvl w:val="0"/>
          <w:numId w:val="22"/>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просьбу тов. Браило об информации его о принципах работы проектируемого котла, состоянии и календарной программы работ, инженер Нови и инженер Салменков указали, что не имея на подобную информацию разрешения от начальника ОКБ тов. Наумина Н. И., они вынуждены отказаться от исполнения его просьбы.</w:t>
      </w:r>
    </w:p>
    <w:p w14:paraId="24BAA0A6" w14:textId="77777777" w:rsidR="00B35C0B" w:rsidRPr="005E779E" w:rsidRDefault="00B35C0B" w:rsidP="000B7A6C">
      <w:pPr>
        <w:numPr>
          <w:ilvl w:val="0"/>
          <w:numId w:val="23"/>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Затем перед тов. Браило инженер Нови и инженер Салменков поставили вопрос о том, в какую линию ВТИ может принять пар от опытного агрегата ОКБ при D = 3,5-5,0 т/ч и t = 275-365°Ц. Давление же отдаваемого пара может быть осуществлено, как 25 атм., так и 8-9 атм.</w:t>
      </w:r>
    </w:p>
    <w:p w14:paraId="26B1BBF3" w14:textId="77777777" w:rsidR="00B35C0B" w:rsidRPr="005E779E" w:rsidRDefault="00B35C0B" w:rsidP="000B7A6C">
      <w:pPr>
        <w:pStyle w:val="rtejustify"/>
        <w:spacing w:before="0" w:after="0"/>
        <w:rPr>
          <w:color w:val="000000" w:themeColor="text1"/>
          <w:sz w:val="16"/>
          <w:szCs w:val="16"/>
        </w:rPr>
      </w:pPr>
      <w:r w:rsidRPr="005E779E">
        <w:rPr>
          <w:color w:val="000000" w:themeColor="text1"/>
          <w:sz w:val="16"/>
          <w:szCs w:val="16"/>
        </w:rPr>
        <w:t>При этом было указано, что в случае отдачи в 25 атмосферную линию, соответствующую арматуру паропровода, начиная от редуктора опытного агрегата — примерно десяток вентилей, нужно будет взять на себя ВТИ-у.</w:t>
      </w:r>
    </w:p>
    <w:p w14:paraId="0B84233C" w14:textId="77777777" w:rsidR="00B35C0B" w:rsidRPr="005E779E" w:rsidRDefault="00B35C0B" w:rsidP="000B7A6C">
      <w:pPr>
        <w:pStyle w:val="rtejustify"/>
        <w:spacing w:before="0" w:after="0"/>
        <w:rPr>
          <w:color w:val="000000" w:themeColor="text1"/>
          <w:sz w:val="16"/>
          <w:szCs w:val="16"/>
        </w:rPr>
      </w:pPr>
      <w:r w:rsidRPr="005E779E">
        <w:rPr>
          <w:color w:val="000000" w:themeColor="text1"/>
          <w:sz w:val="16"/>
          <w:szCs w:val="16"/>
        </w:rPr>
        <w:t>Тов. Браило обещал ответ сообщить 7/IX-31 г. в принципе, не отказываясь дать арматуру в случае приема пара в линию р = 25 атм.</w:t>
      </w:r>
    </w:p>
    <w:p w14:paraId="674872FC" w14:textId="77777777" w:rsidR="00B35C0B" w:rsidRPr="005E779E" w:rsidRDefault="00B35C0B" w:rsidP="000B7A6C">
      <w:pPr>
        <w:pStyle w:val="rtecenter"/>
        <w:spacing w:before="0" w:after="0"/>
        <w:jc w:val="both"/>
        <w:rPr>
          <w:color w:val="000000" w:themeColor="text1"/>
          <w:sz w:val="16"/>
          <w:szCs w:val="16"/>
        </w:rPr>
      </w:pPr>
      <w:r w:rsidRPr="005E779E">
        <w:rPr>
          <w:color w:val="000000" w:themeColor="text1"/>
          <w:sz w:val="16"/>
          <w:szCs w:val="16"/>
        </w:rPr>
        <w:t>Консультация с инженер[ом] Власовым О. Е.</w:t>
      </w:r>
    </w:p>
    <w:p w14:paraId="6170249B" w14:textId="77777777" w:rsidR="00B35C0B" w:rsidRPr="005E779E" w:rsidRDefault="00B35C0B" w:rsidP="000B7A6C">
      <w:pPr>
        <w:numPr>
          <w:ilvl w:val="0"/>
          <w:numId w:val="24"/>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дачи консультации по вопросу о соединении приборов и термопар [t</w:t>
      </w:r>
      <w:r w:rsidRPr="005E779E">
        <w:rPr>
          <w:rFonts w:ascii="Times New Roman" w:hAnsi="Times New Roman"/>
          <w:color w:val="000000" w:themeColor="text1"/>
          <w:sz w:val="16"/>
          <w:szCs w:val="16"/>
          <w:vertAlign w:val="subscript"/>
        </w:rPr>
        <w:t>cp</w:t>
      </w:r>
      <w:r w:rsidRPr="005E779E">
        <w:rPr>
          <w:rFonts w:ascii="Times New Roman" w:hAnsi="Times New Roman"/>
          <w:color w:val="000000" w:themeColor="text1"/>
          <w:sz w:val="16"/>
          <w:szCs w:val="16"/>
        </w:rPr>
        <w:t>], а также для получения конкретного задания, необходимого для проработки вопроса, инженер Власов О. Е. получил вторичную информацию (первая информация — смотри протокол № 4 от 9/VIII-31 г.).</w:t>
      </w:r>
    </w:p>
    <w:p w14:paraId="26394034" w14:textId="77777777" w:rsidR="00B35C0B" w:rsidRPr="005E779E" w:rsidRDefault="00B35C0B" w:rsidP="000B7A6C">
      <w:pPr>
        <w:pStyle w:val="rtejustify"/>
        <w:spacing w:before="0" w:after="0"/>
        <w:rPr>
          <w:color w:val="000000" w:themeColor="text1"/>
          <w:sz w:val="16"/>
          <w:szCs w:val="16"/>
        </w:rPr>
      </w:pPr>
      <w:r w:rsidRPr="005E779E">
        <w:rPr>
          <w:color w:val="000000" w:themeColor="text1"/>
          <w:sz w:val="16"/>
          <w:szCs w:val="16"/>
        </w:rPr>
        <w:t>Для этой цели ему было дано для прочтения технические положения о приборе — «основные положения и принцип работы прибора для опытного определения коэффициента] перехода тепла из протекающей среды на стенку внутри трубки». При этом было указано, что секретной частью в предлагаемой работе являются только</w:t>
      </w:r>
    </w:p>
    <w:p w14:paraId="7D60C1F6" w14:textId="77777777" w:rsidR="00B35C0B" w:rsidRPr="005E779E" w:rsidRDefault="00B35C0B" w:rsidP="000B7A6C">
      <w:pPr>
        <w:pStyle w:val="rtejustify"/>
        <w:spacing w:before="0" w:after="0"/>
        <w:rPr>
          <w:color w:val="000000" w:themeColor="text1"/>
          <w:sz w:val="16"/>
          <w:szCs w:val="16"/>
        </w:rPr>
      </w:pPr>
      <w:r w:rsidRPr="005E779E">
        <w:rPr>
          <w:color w:val="000000" w:themeColor="text1"/>
          <w:sz w:val="16"/>
          <w:szCs w:val="16"/>
        </w:rPr>
        <w:t>а) заказчики</w:t>
      </w:r>
    </w:p>
    <w:p w14:paraId="03FDE79E" w14:textId="77777777" w:rsidR="00B35C0B" w:rsidRPr="005E779E" w:rsidRDefault="00B35C0B" w:rsidP="000B7A6C">
      <w:pPr>
        <w:pStyle w:val="rtejustify"/>
        <w:spacing w:before="0" w:after="0"/>
        <w:rPr>
          <w:color w:val="000000" w:themeColor="text1"/>
          <w:sz w:val="16"/>
          <w:szCs w:val="16"/>
        </w:rPr>
      </w:pPr>
      <w:r w:rsidRPr="005E779E">
        <w:rPr>
          <w:color w:val="000000" w:themeColor="text1"/>
          <w:sz w:val="16"/>
          <w:szCs w:val="16"/>
        </w:rPr>
        <w:t>б) назначение прибора в смысле применения его на предстоящих опытах ОКБ №11.</w:t>
      </w:r>
    </w:p>
    <w:p w14:paraId="3EAB4595" w14:textId="77777777" w:rsidR="00B35C0B" w:rsidRPr="005E779E" w:rsidRDefault="00B35C0B" w:rsidP="000B7A6C">
      <w:pPr>
        <w:pStyle w:val="rtejustify"/>
        <w:spacing w:before="0" w:after="0"/>
        <w:rPr>
          <w:color w:val="000000" w:themeColor="text1"/>
          <w:sz w:val="16"/>
          <w:szCs w:val="16"/>
        </w:rPr>
      </w:pPr>
      <w:r w:rsidRPr="005E779E">
        <w:rPr>
          <w:color w:val="000000" w:themeColor="text1"/>
          <w:sz w:val="16"/>
          <w:szCs w:val="16"/>
        </w:rPr>
        <w:t>По вопросу о схеме соединения приборов а</w:t>
      </w:r>
      <w:r w:rsidRPr="005E779E">
        <w:rPr>
          <w:color w:val="000000" w:themeColor="text1"/>
          <w:sz w:val="16"/>
          <w:szCs w:val="16"/>
          <w:vertAlign w:val="subscript"/>
        </w:rPr>
        <w:t>1</w:t>
      </w:r>
      <w:r w:rsidRPr="005E779E">
        <w:rPr>
          <w:color w:val="000000" w:themeColor="text1"/>
          <w:sz w:val="16"/>
          <w:szCs w:val="16"/>
        </w:rPr>
        <w:t>, и термопар t[-]среды тов. Власов находит, что дифференциальное соединение t</w:t>
      </w:r>
      <w:r w:rsidRPr="005E779E">
        <w:rPr>
          <w:color w:val="000000" w:themeColor="text1"/>
          <w:sz w:val="16"/>
          <w:szCs w:val="16"/>
          <w:vertAlign w:val="subscript"/>
        </w:rPr>
        <w:t>2</w:t>
      </w:r>
      <w:r w:rsidRPr="005E779E">
        <w:rPr>
          <w:color w:val="000000" w:themeColor="text1"/>
          <w:sz w:val="16"/>
          <w:szCs w:val="16"/>
        </w:rPr>
        <w:t> и t[-]среды менее удобно, так как лишает возможности следить непосредственно за постоянством температур и быть уведенным в достижении установившегося состояния.</w:t>
      </w:r>
    </w:p>
    <w:p w14:paraId="4B992CE9" w14:textId="77777777" w:rsidR="00B35C0B" w:rsidRPr="005E779E" w:rsidRDefault="00B35C0B" w:rsidP="000B7A6C">
      <w:pPr>
        <w:numPr>
          <w:ilvl w:val="0"/>
          <w:numId w:val="25"/>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вопросу о последовательном соединении 4-х термопар, припаянных к трубе[,] тов. Власов считает, что при таком соединении мы не получим правильных показаний, так как ток пойдет также и по трубе.</w:t>
      </w:r>
    </w:p>
    <w:p w14:paraId="4E5CC0EF" w14:textId="77777777" w:rsidR="00B35C0B" w:rsidRPr="005E779E" w:rsidRDefault="00B35C0B" w:rsidP="000B7A6C">
      <w:pPr>
        <w:pStyle w:val="rtejustify"/>
        <w:spacing w:before="0" w:after="0"/>
        <w:rPr>
          <w:color w:val="000000" w:themeColor="text1"/>
          <w:sz w:val="16"/>
          <w:szCs w:val="16"/>
        </w:rPr>
      </w:pPr>
      <w:r w:rsidRPr="005E779E">
        <w:rPr>
          <w:color w:val="000000" w:themeColor="text1"/>
          <w:sz w:val="16"/>
          <w:szCs w:val="16"/>
        </w:rPr>
        <w:t>В этом случае показание гальванометра будет давать средние значения между электродвижущей силой одной и четырех термопар.</w:t>
      </w:r>
    </w:p>
    <w:p w14:paraId="576265F1" w14:textId="77777777" w:rsidR="00B35C0B" w:rsidRPr="005E779E" w:rsidRDefault="00B35C0B" w:rsidP="000B7A6C">
      <w:pPr>
        <w:numPr>
          <w:ilvl w:val="0"/>
          <w:numId w:val="26"/>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вопросу о схемах присоединения параллельно включенных термопар к гальванометру тов. Власов находит наиболее удобной схему непосредственного присоединения, т. е. без промежуточных переключателей.</w:t>
      </w:r>
    </w:p>
    <w:p w14:paraId="74EDB593" w14:textId="77777777" w:rsidR="00B35C0B" w:rsidRPr="005E779E" w:rsidRDefault="00B35C0B" w:rsidP="000B7A6C">
      <w:pPr>
        <w:pStyle w:val="rtejustify"/>
        <w:spacing w:before="0" w:after="0"/>
        <w:rPr>
          <w:color w:val="000000" w:themeColor="text1"/>
          <w:sz w:val="16"/>
          <w:szCs w:val="16"/>
        </w:rPr>
      </w:pPr>
      <w:r w:rsidRPr="005E779E">
        <w:rPr>
          <w:color w:val="000000" w:themeColor="text1"/>
          <w:sz w:val="16"/>
          <w:szCs w:val="16"/>
        </w:rPr>
        <w:t>Начальник ОКБ №11: Наумин</w:t>
      </w:r>
    </w:p>
    <w:p w14:paraId="5E5BBF3D" w14:textId="77777777" w:rsidR="00B35C0B" w:rsidRPr="005E779E" w:rsidRDefault="00B35C0B" w:rsidP="000B7A6C">
      <w:pPr>
        <w:pStyle w:val="rtejustify"/>
        <w:spacing w:before="0" w:after="0"/>
        <w:rPr>
          <w:color w:val="000000" w:themeColor="text1"/>
          <w:sz w:val="16"/>
          <w:szCs w:val="16"/>
        </w:rPr>
      </w:pPr>
      <w:r w:rsidRPr="005E779E">
        <w:rPr>
          <w:color w:val="000000" w:themeColor="text1"/>
          <w:sz w:val="16"/>
          <w:szCs w:val="16"/>
        </w:rPr>
        <w:t>Инженер ОКБ № 11: А. Салменков</w:t>
      </w:r>
    </w:p>
    <w:p w14:paraId="00C4644D" w14:textId="77777777" w:rsidR="00B35C0B" w:rsidRPr="005E779E" w:rsidRDefault="00B35C0B" w:rsidP="000B7A6C">
      <w:pPr>
        <w:pStyle w:val="ae"/>
        <w:spacing w:before="0" w:after="0"/>
        <w:jc w:val="both"/>
        <w:rPr>
          <w:color w:val="000000" w:themeColor="text1"/>
          <w:sz w:val="16"/>
          <w:szCs w:val="16"/>
        </w:rPr>
      </w:pPr>
      <w:r w:rsidRPr="005E779E">
        <w:rPr>
          <w:rStyle w:val="af0"/>
          <w:i w:val="0"/>
          <w:color w:val="000000" w:themeColor="text1"/>
          <w:sz w:val="16"/>
          <w:szCs w:val="16"/>
        </w:rPr>
        <w:t>РГАЭ. Ф. 38. Oп. 1. Д. 1. Л. 33-32. Машинописный подлинник, подписи — автографы. Буквенные символы (латиница) в формулах вписаны от руки (19069).</w:t>
      </w:r>
    </w:p>
    <w:p w14:paraId="094888FC" w14:textId="77777777" w:rsidR="00B35C0B" w:rsidRPr="005E779E" w:rsidRDefault="00B35C0B" w:rsidP="000B7A6C">
      <w:pPr>
        <w:spacing w:after="0" w:line="240" w:lineRule="auto"/>
        <w:jc w:val="both"/>
        <w:rPr>
          <w:rFonts w:ascii="Times New Roman" w:hAnsi="Times New Roman"/>
          <w:color w:val="000000" w:themeColor="text1"/>
          <w:sz w:val="16"/>
          <w:szCs w:val="16"/>
        </w:rPr>
      </w:pPr>
    </w:p>
    <w:p w14:paraId="3EBBE911" w14:textId="77777777" w:rsidR="005900BC" w:rsidRPr="005E779E" w:rsidRDefault="005900BC"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49E8F506" w14:textId="77777777" w:rsidR="005900BC" w:rsidRPr="005E779E" w:rsidRDefault="005900BC"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90CC00C" w14:textId="77777777" w:rsidR="005900BC" w:rsidRPr="005E779E" w:rsidRDefault="005900B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Начало сентября 1931. Памятник Минину и Пожарскому от здания ГУМа перенесен к храму Василия Блаженного (18724).</w:t>
      </w:r>
    </w:p>
    <w:p w14:paraId="4930502B" w14:textId="77777777" w:rsidR="005900BC" w:rsidRPr="005E779E" w:rsidRDefault="005900BC" w:rsidP="000B7A6C">
      <w:pPr>
        <w:spacing w:after="0" w:line="240" w:lineRule="auto"/>
        <w:jc w:val="both"/>
        <w:rPr>
          <w:rFonts w:ascii="Times New Roman" w:hAnsi="Times New Roman"/>
          <w:color w:val="000000" w:themeColor="text1"/>
          <w:sz w:val="16"/>
          <w:szCs w:val="16"/>
        </w:rPr>
      </w:pPr>
    </w:p>
    <w:p w14:paraId="5D806A38"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2277D610"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2FFDDBB"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сентября 1931 г. руководство ВАТО поддержало институт и со своей стороны отправило И.Т. Смилге письмо 2112с следующего содержания:</w:t>
      </w:r>
    </w:p>
    <w:p w14:paraId="4CEA1CC9"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Института НАТИ т. Зелинский своим письмом от 27/VIII за № 310 сообщил Вам об угрожающем неизбежным срывом положении дела с производством опытного образца мощного дизель-мотора специального назначения.</w:t>
      </w:r>
    </w:p>
    <w:p w14:paraId="4C5F1A4B"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Целиком разделяя все высказанное т. Зелинским со своей стороны считаю необходимым добавить следующее:</w:t>
      </w:r>
    </w:p>
    <w:p w14:paraId="77808FD3"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Все работы, связанные с легким дизелестроением, являются в настоящее время исключительно актуальными и с точки зрения оборонной имеют огромную ценность. Перевод боевых машин на дизельмоторы ознаменует в деле моторизации РККА полный переворот. Нам необходимо добиться здесь кратчайших сроков с целью возможно опередить в этом наших вероятных противников.</w:t>
      </w:r>
    </w:p>
    <w:p w14:paraId="1A1A9707"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2) Проектирование и постройка легкого мощного дизельмотора ведется у нас впервые. От успеха этой работы в значительной мере будет зависеть весь дальнейший ход легкого дизелестроения и с ним перевод автотранспорта на дизеля. Поэтому, более чем где либо, здесь необходимо исключить все возможные случайные ошибки и неполадки, которые могут затянуть дело и в конечном итоге даже полностью компрометировать его.</w:t>
      </w:r>
    </w:p>
    <w:p w14:paraId="0920A750"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Это возможно только при безукоризненном выполнении опытных образцов, чтобы без всяких колебаний возможную неудачу с ними можно было отнести к недостаткам проекта и вносить в конструкцию мотора необходимые изменения и переделки, а не за счет случайных погрешностей производства (материал, небрежная сборка и т.д.).</w:t>
      </w:r>
    </w:p>
    <w:p w14:paraId="44BF4B47"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 это возможно лишь при постройке опытного мощного дизельмотора на первоклассном мощном машиностроительном заводе. В виду того, что конструкция дизельмотора Д-300 по проекту НАТИ более приблизится к моторам авиационным, чем автомобильным и требует крупных и сложных алюминиевых (или, еще лучше, силюминовых) отливок, постройка его на заводах ВАТО не даст гарантии высококачественного исполнения.</w:t>
      </w:r>
    </w:p>
    <w:p w14:paraId="79B7CADD"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Поэтому со своей стороны считаю необходимым поручить постройку опытных образцов этого мотора одному из авиамоторных заводов ВАО или же заводу Большевик в Ленинграде».</w:t>
      </w:r>
    </w:p>
    <w:p w14:paraId="1AEE8BF4"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[РГАЭ. Ф. 3429. Оп. 16. Д. 187. Л. 218] (24856).</w:t>
      </w:r>
    </w:p>
    <w:p w14:paraId="4C7BD94B" w14:textId="77777777" w:rsidR="007F1987" w:rsidRPr="005E779E" w:rsidRDefault="007F1987" w:rsidP="000B7A6C">
      <w:pPr>
        <w:spacing w:after="0" w:line="240" w:lineRule="auto"/>
        <w:jc w:val="both"/>
        <w:rPr>
          <w:rFonts w:ascii="Times New Roman" w:hAnsi="Times New Roman"/>
          <w:color w:val="000000" w:themeColor="text1"/>
          <w:sz w:val="16"/>
          <w:szCs w:val="16"/>
        </w:rPr>
      </w:pPr>
    </w:p>
    <w:p w14:paraId="464C014A"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сентября 1931 г.</w:t>
      </w:r>
    </w:p>
    <w:p w14:paraId="6CDA5510"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РГАЭ Фонд 3429 Опись 16 Дело 187 лист 218 </w:t>
      </w:r>
    </w:p>
    <w:p w14:paraId="0EFE3735"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Секретно. </w:t>
      </w:r>
    </w:p>
    <w:p w14:paraId="4998B16A"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7/IX-1931 г. </w:t>
      </w:r>
    </w:p>
    <w:p w14:paraId="01DAFC17"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2112с</w:t>
      </w:r>
    </w:p>
    <w:p w14:paraId="4905A3E5"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НАЧАЛЬНИКУ МПС ВСНХ т. СМИЛГЕ </w:t>
      </w:r>
    </w:p>
    <w:p w14:paraId="786D621B"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Копия: Начальнику УММ т. ХАЛЕПСКОМУ </w:t>
      </w:r>
    </w:p>
    <w:p w14:paraId="17599574"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Директору НАТИ т. Зелинскому</w:t>
      </w:r>
    </w:p>
    <w:p w14:paraId="62C74F7E"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По вопросу: о производственной базе для мощного дизельного мотора. </w:t>
      </w:r>
    </w:p>
    <w:p w14:paraId="13417223"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Директор Института НАТИ т. Зелинский своим письмом от 27/VIII за № 310 сообщил Вам об угрожающем неизбежным срывом положении дела с производством опытного образца мощного дизель-мотора специального назначения. </w:t>
      </w:r>
    </w:p>
    <w:p w14:paraId="50C468A1"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Целиком разделяя все высказанное т. Зелинским со своей стороны считаю необходимым добавить следующее: </w:t>
      </w:r>
    </w:p>
    <w:p w14:paraId="19EEC002"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 Все работы, связанные с легким дизелестроением, являются в настоящее время исключительно актуальными и с точки зрения оборонной имеют огромную ценность. Перевод боевых машин на дизельмоторы ознаменует в деле моторизации РККА полный переворот. Нам необходимо добиться здесь кратчайших сроков с целью возможно опередить в этом наших вероятных противников. </w:t>
      </w:r>
    </w:p>
    <w:p w14:paraId="7748C632"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 Проектирование и постройка легкого мощного дизельмотора ведется у нас впервые. От успеха этой работы в значительной мере будет зависеть весь дальнейший ход легкого дизелестроения и с ним перевод автотранспорта на дизеля. Поэтому, более чем где либо, здесь необходимо исключить все возможные случайные ошибки и неполадки, которые могут затянуть дело и в конечном итоге даже полностью компрометировать его. </w:t>
      </w:r>
    </w:p>
    <w:p w14:paraId="3DE85238"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Это возможно только при безукоризненном выполнении опытных образцов, чтобы без всяких колебаний возможную неудачу с ними можно было отнести к недостаткам проекта и вносить в конструкцию мотора необходимые изменения и переделки, а не за счет случайных погрешностей производства (материал, небрежная сборка и т.д.). </w:t>
      </w:r>
    </w:p>
    <w:p w14:paraId="14A6F11C"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Все это возможно лишь при постройке опытного мощного дизельмотора на первоклассном мощном машиностроительном заводе. В виду того, что конструкция дизельмотора Д-300 по проекту НАТИ более приблизится к моторам авиационным, чем автомобильным и требует крупных и сложных алюминиевых (или, еще лучше, силюминовых) отливок, постройка его на заводах ВАТО не даст гарантии высококачественного исполнения. </w:t>
      </w:r>
    </w:p>
    <w:p w14:paraId="637C6C94"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Поэтому со своей стороны считаю необходимым поручить постройку опытных образцов этого мотора одному из авиамоторных заводов ВАО или же заводу Большевик в Ленинграде.</w:t>
      </w:r>
    </w:p>
    <w:p w14:paraId="375E4674"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Зам. Управляющего ВАТО: подпись </w:t>
      </w:r>
    </w:p>
    <w:p w14:paraId="36C19E11"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Начальника Спецсектора подпись</w:t>
      </w:r>
    </w:p>
    <w:p w14:paraId="3CD9C86B"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Отп. 4 экз. </w:t>
      </w:r>
    </w:p>
    <w:p w14:paraId="09EA8D56"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2015/Е </w:t>
      </w:r>
    </w:p>
    <w:p w14:paraId="063CD544"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 Фаусек (24864).</w:t>
      </w:r>
    </w:p>
    <w:p w14:paraId="66CE4DF2" w14:textId="77777777" w:rsidR="007F1987" w:rsidRPr="005E779E" w:rsidRDefault="007F1987" w:rsidP="000B7A6C">
      <w:pPr>
        <w:spacing w:after="0" w:line="240" w:lineRule="auto"/>
        <w:jc w:val="both"/>
        <w:rPr>
          <w:rFonts w:ascii="Times New Roman" w:hAnsi="Times New Roman"/>
          <w:color w:val="000000" w:themeColor="text1"/>
          <w:sz w:val="16"/>
          <w:szCs w:val="16"/>
        </w:rPr>
      </w:pPr>
    </w:p>
    <w:p w14:paraId="6A5BF6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7 cентября 1931 года Кагановичу было доложено, что конструкторские бюро при ОГПУ созданы и работают в Москве, Ленинграде, Зап. Сибири, Ростове-на-Дону. </w:t>
      </w:r>
    </w:p>
    <w:p w14:paraId="651EEC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записке было указано, что в конструкторских бюро работают: 74 шпиона; 9 террористов; 98 руководителей организаций; 44 диверсанта; 14 членов промпартий; 184 контрреволюционера. </w:t>
      </w:r>
    </w:p>
    <w:p w14:paraId="6E712F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 общего числа 423, под следствием находилось 160 (11248).</w:t>
      </w:r>
    </w:p>
    <w:p w14:paraId="0740C5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AF1B545" w14:textId="77777777" w:rsidR="000F3BEF" w:rsidRPr="005E779E" w:rsidRDefault="000F3BE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сентября 1931 г. Секретариат коллегии ОГПУ направил Кагановичу Письмо. (АП РФ Ф.3. Оп.58. Д.142). В котором доказывал невозможность ликвидации шарашек и освобождении специалистов, находящихся в Конструкторских Бюро при ОГПУ в Москве, Ленинграде, Зап. Сибири в Ростове на Дону и других городах (15719).</w:t>
      </w:r>
    </w:p>
    <w:p w14:paraId="05C409D0" w14:textId="77777777" w:rsidR="000F3BEF" w:rsidRPr="005E779E" w:rsidRDefault="000F3BEF" w:rsidP="000B7A6C">
      <w:pPr>
        <w:spacing w:after="0" w:line="240" w:lineRule="auto"/>
        <w:jc w:val="both"/>
        <w:rPr>
          <w:rFonts w:ascii="Times New Roman" w:hAnsi="Times New Roman"/>
          <w:color w:val="000000" w:themeColor="text1"/>
          <w:sz w:val="16"/>
          <w:szCs w:val="16"/>
        </w:rPr>
      </w:pPr>
    </w:p>
    <w:p w14:paraId="4CB919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7 сентября 1931 г. ОГПУ Секретариат коллегии писал за № 40689 </w:t>
      </w:r>
    </w:p>
    <w:p w14:paraId="741BB7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ЦК ВКП(б) тов. КАГАНОВИЧУ</w:t>
      </w:r>
    </w:p>
    <w:p w14:paraId="664E25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Конструкторские Бюро при ОГПУ созданы и работают в Москве, Ленинграде, Зап.Сибири и Ростове на Дону. </w:t>
      </w:r>
    </w:p>
    <w:p w14:paraId="5F0D83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Направляя Вам для ознакомления справку о проделы¬ваемой в этих Бюро работах, считаю необходимым подчеркнуть, что В составе Конструкторских Бюро находится: </w:t>
      </w:r>
    </w:p>
    <w:p w14:paraId="248987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Шпионов .................................. 74 чел. </w:t>
      </w:r>
    </w:p>
    <w:p w14:paraId="4B2C03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Террористов .............................. 9 " </w:t>
      </w:r>
    </w:p>
    <w:p w14:paraId="727E68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Руководит. организ...................... 98 " </w:t>
      </w:r>
    </w:p>
    <w:p w14:paraId="766CD8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Диверсантов ................................ 44 " </w:t>
      </w:r>
    </w:p>
    <w:p w14:paraId="48AF41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Членов промпартий........................ 14 “ </w:t>
      </w:r>
    </w:p>
    <w:p w14:paraId="067444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Активных к/революцион............... 184 " </w:t>
      </w:r>
    </w:p>
    <w:p w14:paraId="35638C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Из общего числа /423/-подследств 160 " </w:t>
      </w:r>
    </w:p>
    <w:p w14:paraId="471C70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Вполне естественно, что освобождение руководителе к/р организаций, шпионов, диверсантов и террористов не представляется возможным. </w:t>
      </w:r>
    </w:p>
    <w:p w14:paraId="29243A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равной степени не могут быть до окончания след¬ствия освобождены 160 человек по коим дела еще не закончены. </w:t>
      </w:r>
    </w:p>
    <w:p w14:paraId="6DD64F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Кроме того, подавляющее большинство работ будут закончены В первой половине 1932 года, почему освобожде¬ние специалистов в данный момент особенно не целесооб¬разно, тем более если учесть, что подавляющий процент работ носят оборонный характер. В Ростовском же ОКБ значительная часть специалистов-ирригаторы и для BСHX ценности не представляют. </w:t>
      </w:r>
    </w:p>
    <w:p w14:paraId="51B355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Справку посылаю Вам до совещания с тов. ОРДЖОНИ¬КИДЗЕ в порядке личной информации. </w:t>
      </w:r>
    </w:p>
    <w:p w14:paraId="67E054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ПРЕД. ОГПУ: АКУЛОВ</w:t>
      </w:r>
    </w:p>
    <w:p w14:paraId="240BAF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СПРАВКА</w:t>
      </w:r>
    </w:p>
    <w:p w14:paraId="6F4E17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u w:val="single"/>
        </w:rPr>
        <w:t xml:space="preserve">о работах заключенных специалистов, работающих в Техническом Отделении ЭКУ ОГПУ. </w:t>
      </w:r>
    </w:p>
    <w:p w14:paraId="21E710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Особые Конструкторские и Технические Бюро /ОКБ, ОТБ/ сконцентрированы в Москве, Ленинграде и Западной Сибири. </w:t>
      </w:r>
    </w:p>
    <w:p w14:paraId="386E7B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Работа, исполняемая заключениями специалистами, делится на проектные, производственные и литературные.</w:t>
      </w:r>
    </w:p>
    <w:p w14:paraId="0179E7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u w:val="single"/>
        </w:rPr>
        <w:t>А В И А Ц ИЯ.</w:t>
      </w:r>
    </w:p>
    <w:p w14:paraId="3CBB1F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Под руководством заключенных специалистов проделаны следующие работы: </w:t>
      </w:r>
    </w:p>
    <w:p w14:paraId="71A847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I. Построен и сдан на вoopyжeние армии "Истребитель" И-5 </w:t>
      </w:r>
    </w:p>
    <w:p w14:paraId="5FD5C2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Истребитель стоит на уровне лучших заграничных образцов. </w:t>
      </w:r>
    </w:p>
    <w:p w14:paraId="26873D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 Построен и сдан на вооружение бронированный штурмовик, для поражения земных целей. </w:t>
      </w:r>
    </w:p>
    <w:p w14:paraId="2D4942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Штурмовик вооружен 12-ми пулеметами и имеет возможность заменить 8-ь пулеметов 400 кгр-ми бомб. </w:t>
      </w:r>
    </w:p>
    <w:p w14:paraId="6E8D85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Ш. Построен и испытывается тяжелый Бомбовоз/ТБ-5/. Бомбо¬воз поднимает до 4000 кгр бомб. </w:t>
      </w:r>
    </w:p>
    <w:p w14:paraId="464A8B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Находятся в постройке. </w:t>
      </w:r>
    </w:p>
    <w:p w14:paraId="34D00C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Морской дальний разведчик. Самолет имеет общие крылья с самолетом ТБ-5. Срок готовности в половине октября 1931 г. </w:t>
      </w:r>
    </w:p>
    <w:p w14:paraId="2C7995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 xml:space="preserve">П. Запроектированы и частично запущены в производство са¬молеты по программе преподанной УВВС. </w:t>
      </w:r>
    </w:p>
    <w:p w14:paraId="4F6B27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Работают 26 инженеров, из н и х : </w:t>
      </w:r>
    </w:p>
    <w:p w14:paraId="5CE68F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Руководителей организаций - 9 чел* </w:t>
      </w:r>
    </w:p>
    <w:p w14:paraId="140AC0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Шпионов - 8 чел. </w:t>
      </w:r>
    </w:p>
    <w:p w14:paraId="7B7AC7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Активных членов организации - 9 чел </w:t>
      </w:r>
    </w:p>
    <w:p w14:paraId="305594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Работа в Бюро в связи с большими задачами по самолето¬строению носит помимо проектных работ, также все работы при¬сущие заводу и учитывается готовностью самолетов. </w:t>
      </w:r>
    </w:p>
    <w:p w14:paraId="5E1DFB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Группа не мотет быть передана вследствие: I.передача группы разношерстной по специальностям повлечет за собой раскассирование специалистов и неминуемо отразиться на опытном самолетостроении; 2. начатые работы естественно будут затор¬можены, что повлечет срыв программы опытного строительства; 3. сложность момента опытного строительства, в связи с физиономией группы, требует специального режима, какой может быть только в ОКБ. </w:t>
      </w:r>
    </w:p>
    <w:p w14:paraId="3F373E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u w:val="single"/>
        </w:rPr>
        <w:t>Т А Н К И.</w:t>
      </w:r>
    </w:p>
    <w:p w14:paraId="45558E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Закончен проект плавающего быстроходного танка приводимого в движение легким быстроходным типом авиационным Дизель мотором /работающим на тяжелом топливе/, имеющего большое вооружение, скорость на гусенице 65 километров и на колесах 74 клм. выйдет из монтажа в конце апреля 1932 г. Производится бронирование трактора КАТЕРПИЛЛЕР и установка на него вместо бензинового двигателя, дизеля на нефти. Данные работы будут за¬кончены в январе 1932 г. Переделка легковой машины "ФОРД" и грузовой полуторатонной машины под легкие брони машины разведочного типа. Все работы вышли из стадии проектирования и запущены в производство. Окончание работ предположено в апреле месяце 1932 г. </w:t>
      </w:r>
    </w:p>
    <w:p w14:paraId="7E470E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Работают 31 чел, из них: </w:t>
      </w:r>
    </w:p>
    <w:p w14:paraId="070D92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Руководителей организации - 6 человек </w:t>
      </w:r>
    </w:p>
    <w:p w14:paraId="2ECC2F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Шпионов - 3 чел. </w:t>
      </w:r>
    </w:p>
    <w:p w14:paraId="6A4161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Диверсантов - 3 " </w:t>
      </w:r>
    </w:p>
    <w:p w14:paraId="69526B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Террористов - 3 “ </w:t>
      </w:r>
    </w:p>
    <w:p w14:paraId="19FCF3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Членов Промпартии - I " </w:t>
      </w:r>
    </w:p>
    <w:p w14:paraId="181E0E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Активных членов организации -15 " </w:t>
      </w:r>
    </w:p>
    <w:p w14:paraId="541AEF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Группа не может быть передана, хотя бы потому, что переда¬ча начатых работ заняла бы такое количество времени, которое потребовалось бы для окончания указанных работ, а самый факт передачи отрицательно отразился бы на работах. </w:t>
      </w:r>
    </w:p>
    <w:p w14:paraId="286459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u w:val="single"/>
        </w:rPr>
        <w:t>АРТИЛЛЕРИЯ.</w:t>
      </w:r>
    </w:p>
    <w:p w14:paraId="2CC956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I. Разработаны и находятся в изготовлении: опытные экземпляры снарядов, дистанционных трубок, гранат, взрывателей; часть коих проходит испытание на НЕАПЕ. </w:t>
      </w:r>
    </w:p>
    <w:p w14:paraId="431089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2.Изготовлен и находится в сборке автоматический станок для отбраковки патронных гильз. Будет закончен к 1/Х-31 г. </w:t>
      </w:r>
    </w:p>
    <w:p w14:paraId="6C7A46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Перечисленные конструкции являются нововведением в артил-лерийское дело и принятие их на вооружение имеет целью по¬вышение боеспособности Красной Армии. Работают 10 человек из них: </w:t>
      </w:r>
    </w:p>
    <w:p w14:paraId="29EBEF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Руководителей организаций - 3 человека </w:t>
      </w:r>
    </w:p>
    <w:p w14:paraId="5B53CF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Диверсантов - 2 " </w:t>
      </w:r>
    </w:p>
    <w:p w14:paraId="394B17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Активных членов организации - 5 ” </w:t>
      </w:r>
    </w:p>
    <w:p w14:paraId="10CB62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Группа не может быть передана, так как передача группы с производимой ею работой займет время, потребное для окончания намеченных работ по плану первой очереди.</w:t>
      </w:r>
    </w:p>
    <w:p w14:paraId="65856F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ДИЗЕЛЯ И МОТОРЫ </w:t>
      </w:r>
    </w:p>
    <w:p w14:paraId="4B0A76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Исправлены, построены и прошли Госиспытания следующие моторы: </w:t>
      </w:r>
    </w:p>
    <w:p w14:paraId="6B6244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I. М-19 - 550 сил 12 цилиндровый, водяного охлаждения, </w:t>
      </w:r>
    </w:p>
    <w:p w14:paraId="33F44A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II. M-I5 - 450-600 сил звездообразный, воздушного охлаждения. Мотор запущен в серию. </w:t>
      </w:r>
    </w:p>
    <w:p w14:paraId="3DCD69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III. М-27 - 850 сил. Дубльвеобразный 18 цилиндровый, водяного охлаждения. Мотор запущен в серию. </w:t>
      </w:r>
    </w:p>
    <w:p w14:paraId="0C646B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1У. ФЭД -1100 - 1200 сил 24 цилиндра, водяного охлаждения. Мотор запущен в серию. </w:t>
      </w:r>
    </w:p>
    <w:p w14:paraId="036CC5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V. изготовляется Дизель мотор мощностью 400 сил с весом 2 кгр. на силу. Мотор предназначен для установки на строющемся танке. Будет закончен в январе 1931 г. </w:t>
      </w:r>
    </w:p>
    <w:p w14:paraId="7EF09D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VI. Приступлено к постройке на Коломенском заводе Дизеля мощностью 3200 сил, предназначенного для установки на строющейся подводной лодке. Срок производства займет 11 месяцев. </w:t>
      </w:r>
    </w:p>
    <w:p w14:paraId="6FDE24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УП. Заканчивается проект Дизель мотора мощностью в 2000 сил 24 цилиндров , с весом I кгр. на силу; Дизель предназ¬начен для установки на самолете. Потребуется время на производство 7 месяцев. Приступлено к постройке Дизель мотора для трактора Катерпиллер мощностью в 60 - 80 сил, постройка ведется кооперированным путем. Будет закончена в конце декабря 1931 г. </w:t>
      </w:r>
    </w:p>
    <w:p w14:paraId="383C91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Работают: б человек, из них: </w:t>
      </w:r>
    </w:p>
    <w:p w14:paraId="06A725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Руководителей организаций - 2 человека </w:t>
      </w:r>
    </w:p>
    <w:p w14:paraId="55599A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Шпионов - 3 " </w:t>
      </w:r>
    </w:p>
    <w:p w14:paraId="698AC9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Активных членов организации - I “ </w:t>
      </w:r>
    </w:p>
    <w:p w14:paraId="0C5D0E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Группа не может быть передана: 1/ передача группы сор¬вет всю начатую работу, т.к. будут распылены технические силы и 2/ передача группы заняла бы такое время, потребное для окончания производимых работ.</w:t>
      </w:r>
    </w:p>
    <w:p w14:paraId="68F09A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u w:val="single"/>
        </w:rPr>
        <w:t>ПОДВОДНЫЕ ЛОДКИ</w:t>
      </w:r>
    </w:p>
    <w:p w14:paraId="71633C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На Балтийской заводе предположена к постройке серия под¬водных лодок новейшей конструкции: </w:t>
      </w:r>
    </w:p>
    <w:p w14:paraId="0710D5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надводная скорость ....... 24 1/2 узла </w:t>
      </w:r>
    </w:p>
    <w:p w14:paraId="2BCCC5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подводная ........................ II “ </w:t>
      </w:r>
    </w:p>
    <w:p w14:paraId="69BEC5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погружение ....... .........40 секунд </w:t>
      </w:r>
    </w:p>
    <w:p w14:paraId="569E72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всплытие .................... 9 минут </w:t>
      </w:r>
    </w:p>
    <w:p w14:paraId="179063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тоннаж .................... 920 тонн. </w:t>
      </w:r>
    </w:p>
    <w:p w14:paraId="19563A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ВООРУЖЕНИЕ ЛОДКИ: </w:t>
      </w:r>
    </w:p>
    <w:p w14:paraId="1C117A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 пушки - 130 мм </w:t>
      </w:r>
    </w:p>
    <w:p w14:paraId="6590D3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 пушка зенитная – 37 мм </w:t>
      </w:r>
    </w:p>
    <w:p w14:paraId="001A1C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6 торпедных аппаратов. </w:t>
      </w:r>
    </w:p>
    <w:p w14:paraId="04D414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Первая лодка спущена на производство; готовность около 30%. Окончание производства быстроходных лодок с Советскими мощными дизелями ноябрь-декабрь 1932 г. </w:t>
      </w:r>
    </w:p>
    <w:p w14:paraId="572CD8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Работают 54 человека, из них: </w:t>
      </w:r>
    </w:p>
    <w:p w14:paraId="6E6C2B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Руководителей организации . . . 13 человек </w:t>
      </w:r>
    </w:p>
    <w:p w14:paraId="46D4CD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Шпионов . . . . . . . 8 “ </w:t>
      </w:r>
    </w:p>
    <w:p w14:paraId="6CD82F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Диверсантов ............................... 3 “ </w:t>
      </w:r>
    </w:p>
    <w:p w14:paraId="3CAAAC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Активных членов организации . . 30 “ </w:t>
      </w:r>
    </w:p>
    <w:p w14:paraId="7AACBA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Группа не может быть передана хотя бы из-за того, что передача такой большой по общему работы займет несравненно большее время потребное для окончания намеченной работы.</w:t>
      </w:r>
    </w:p>
    <w:p w14:paraId="4F838A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u w:val="single"/>
        </w:rPr>
        <w:t>ТРАНСПОРТЕР.</w:t>
      </w:r>
    </w:p>
    <w:p w14:paraId="0452BA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На металлическом заводе имени СТАЛИНА строится железно-дорожный транспортере с установкой на нем 14 дюймового морского орудия. Транспортер будет иметь возможность самостоятельно передвигаться по жел.дор. путям. Срок постройки май 1932 г. </w:t>
      </w:r>
    </w:p>
    <w:p w14:paraId="74D36F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Работают 62 человека, из них: </w:t>
      </w:r>
    </w:p>
    <w:p w14:paraId="6E5FF5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Руководителей организации -10 человек </w:t>
      </w:r>
    </w:p>
    <w:p w14:paraId="724A63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Шпионов ................... - 8 “ </w:t>
      </w:r>
    </w:p>
    <w:p w14:paraId="2AD8E2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Диверсантов ............... - 3 “ </w:t>
      </w:r>
    </w:p>
    <w:p w14:paraId="5D7136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Активных членов организации-30 “ </w:t>
      </w:r>
    </w:p>
    <w:p w14:paraId="5B4473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Работы по Бюро распадается на 2 специальных задания: I/ по вооружения, 2/ по транспортеру. </w:t>
      </w:r>
    </w:p>
    <w:p w14:paraId="6C19E0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Группа не может быть передана по той причине, что передача всей работы займет несравненно больше времени нежели для окончания транспортера.</w:t>
      </w:r>
    </w:p>
    <w:p w14:paraId="37C92D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u w:val="single"/>
        </w:rPr>
        <w:t>АРТПРИБОРЫ</w:t>
      </w:r>
    </w:p>
    <w:p w14:paraId="3BF5FA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 xml:space="preserve">Спроектированы, и строются приборы управления артиллерийским огнем морской и полевой артиллерии. Применение приборов дает большую точность в стрельбе и упрощает механику навод¬ки орудия. Частично строятся и ряд на испытании. Работы будут закончены в мае 1932 г. </w:t>
      </w:r>
    </w:p>
    <w:p w14:paraId="669AFE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Работают 13 человек, из них: </w:t>
      </w:r>
    </w:p>
    <w:p w14:paraId="631E41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Руководителей организаций -2 чел. </w:t>
      </w:r>
    </w:p>
    <w:p w14:paraId="1AC2EE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Шпионов ......................... - 1 “ </w:t>
      </w:r>
    </w:p>
    <w:p w14:paraId="435367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Диверсантов .................... - 1 “ </w:t>
      </w:r>
    </w:p>
    <w:p w14:paraId="71AA65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Активных членов организации - 9 “</w:t>
      </w:r>
    </w:p>
    <w:p w14:paraId="310190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Группа не может быть передана, так как иначе будет сорвано изготовление нужнейших для артиллерии приборов, а сама передача группы займет время равное тому, которое требуется для окончания всей работы.</w:t>
      </w:r>
    </w:p>
    <w:p w14:paraId="2413C4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u w:val="single"/>
        </w:rPr>
        <w:t>ХИМИЯ.</w:t>
      </w:r>
    </w:p>
    <w:p w14:paraId="255E65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I. Лабораторным путем получен гальванический элемент. </w:t>
      </w:r>
    </w:p>
    <w:p w14:paraId="315E8F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Элемент основан на принципе диффузии атомов водорода через тонкую пластинку металла. Количество полученной энергии рав¬но 5 миллиампер на I кв. сант. Ведутся работы по увеличению количества энергии в 2 раза. Этим элемент коренным образом разнится от существующих элементов. Практическое применение элемента: 1. установка на подводной лодке, 2. на электровозах и 3. всевозможные стационарные установки. Производственный элемент будет готов в декабре 1931 г. </w:t>
      </w:r>
    </w:p>
    <w:p w14:paraId="13B51A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 Сконструирован я изготовлен опытный аппарат для взрыва на расстояние по радио, аппарат может дать требуемый взрывной эффект только от тех волн, на которые он настроен, при посылке их в строго определенные промежутки. В настоящее время аппарат проходит испытание и будет изготовляться опытная серия. </w:t>
      </w:r>
    </w:p>
    <w:p w14:paraId="25D939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 Сконструирован и изготовлен опытный срочный взрыватель, дающий взрывной эффект через любой промежуток времени в зависимости от установки его. Практически может быть применен для взрыва минированных полей и других специаль¬ных целей. Находится на испытании. </w:t>
      </w:r>
    </w:p>
    <w:p w14:paraId="198B11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4. Разработан проект реконструкции порохового производства. По всем процессам производства пироксилина и пороха разработана оригинальная аппаратура и машины целиком и полностью механизирующая все производства по принципу по¬точной системы. Реконструкция дает возможность значительно сократить рабочую силу и увеличить мощность существующих пороховых заводов. Проект проводится в жизнь, займет 5 месяцев. </w:t>
      </w:r>
    </w:p>
    <w:p w14:paraId="0728D6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5. Ведутся лабораторные работы по получению новых отравляющих веществ. </w:t>
      </w:r>
    </w:p>
    <w:p w14:paraId="44C233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6. Разработан новый химико-энергетический метод получения из низко-сортного топлива торф, бурые угли и т.д., синтетичес¬кий аммиак, для промышленных и азотистых соединений и высоко-каллорийный газ, обеспечивающий снабжение силовых установок. В осуществление данного метода строится газогенератор и раз¬работана конструкция установки глубокого охлаждения, которая позволит разгонять газ, как водяной, так и коксовый на хими¬чески чистые фракции. Закончены полузаводские опыты по про¬верки метода. Разрабатывается проект постройки опытного завода стоимостью 250000 руб. производительностью 50.000 тонн ам¬миака в сутки. Срок окончания разработки 4 месяца. </w:t>
      </w:r>
    </w:p>
    <w:p w14:paraId="6936DE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7, Разработан способ фракционировки коксового газа. Тех¬нические показатели способа: портативность установки, макси¬мальная экономия в металле, увеличение ассортимента полезных продуктов и выхода их, полное использование коксика, сжиганием в генераторах и получение таким образом водорода, для син¬теза аммиака. Разработана конструкция аппаратуры и машин. Разрабатывается проект опытного завода по описанному способу стоимость 6.000.000 руб.Срок - 6 месяцев. </w:t>
      </w:r>
    </w:p>
    <w:p w14:paraId="78FDD4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8. Построен на 75% опытный обогревательный элемент для коксовых печей Советских конструкций. Элемент предназначается для мощных коксо-бензольных заводов в Кеммерово и Кубахе. Все работы по этой группе будут закончены в конце 1932 г. </w:t>
      </w:r>
    </w:p>
    <w:p w14:paraId="3CD5D0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Работают 43 человека, из них: </w:t>
      </w:r>
    </w:p>
    <w:p w14:paraId="71A650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Руководителей организаций -13 человек </w:t>
      </w:r>
    </w:p>
    <w:p w14:paraId="145AEB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Шпионов ................... - 21 “ </w:t>
      </w:r>
    </w:p>
    <w:p w14:paraId="7EFB1F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Диверсантов ................. - 7 “ </w:t>
      </w:r>
    </w:p>
    <w:p w14:paraId="02E66C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Активных членов организации -2 “ </w:t>
      </w:r>
    </w:p>
    <w:p w14:paraId="5CEB2A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виду важности и сложности начатой работы передача группы заняла бы такое время, которое оттянуло бы окончание на¬чатых работ на продолжительное время. Этим были бы сорваны большой важности работы оборонного значения. </w:t>
      </w:r>
    </w:p>
    <w:p w14:paraId="44CB91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Кроме того группа подобрана из разнородных специалистов, распыление которых в промышленности сделало бы невозможным продолжение начатых работ. </w:t>
      </w:r>
    </w:p>
    <w:p w14:paraId="50A73E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u w:val="single"/>
        </w:rPr>
        <w:t>ЗАЩИТА ПРОТИВ ИПРИТА.</w:t>
      </w:r>
    </w:p>
    <w:p w14:paraId="3B289E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Лабораторным путем добыта резиновая масса, для маски против газа. При толщине резины в 2,4 мм, маска показала устойчивость на иприт около б часов. Полученные результаты проверяются на разные толщины резины от 0,8 мм до 2,4 мм. По сравнению с итальянской маской толщиною в 2,2 мм при устойчивости ее на иприт I час 20 мин. Полученные образцы резины, как видно имеют большие преимущества. Проводится аналитическая работа над военными заграничными масками: итальянской, германской, чехословацкой и американской, по выяснению их устойчивости на иприт. </w:t>
      </w:r>
    </w:p>
    <w:p w14:paraId="20580A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 Изготовляется резиновая масса для пропитки ткани с целью получить иприто-устойчивую одежду с большими показателями, чем имеющиеся на вооружении армии. Срок окончания испытаний механической и ипритовой устойчивости 1/ХП-31 г. </w:t>
      </w:r>
    </w:p>
    <w:p w14:paraId="6C8570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 Приступлено к разработке новой конструкции противоипритовых сапог для чего выработан специальный рецепт резиновой массы, над которой в ближайшем будущем будут произведены необходимые опыты. Цель данной работы получить наиболее иприто-устойчивые сапоги и наиболее легкие для изготовления. Срок изготовления пробного сапога I/XI-3I г. </w:t>
      </w:r>
    </w:p>
    <w:p w14:paraId="564751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4. В связи с переходом от резинового шлема противогаза к полумаске - проводятся работа по конструированию наибо¬лее совершенной полумаски. Срок изготовления пробной полу¬маски I/I-32 г*. </w:t>
      </w:r>
    </w:p>
    <w:p w14:paraId="091D1A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5. Лабораторным путем получен лак для галош, дающий воз-можность вести паровой процесс вулканизации, что сокращает время на 30%., чем понижается себестоимость галош и увеличивается прочность их. Кроме того введением этого лака в резиновую массу отпадает необходимость вводить в нее импортный продукт «глет». Пробная партия галош выпускается к 10 декаб¬ря 1931 г. </w:t>
      </w:r>
    </w:p>
    <w:p w14:paraId="3C8115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Работают 18 человек, из них : </w:t>
      </w:r>
    </w:p>
    <w:p w14:paraId="3F2FEA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Руководителей организации -4 человека </w:t>
      </w:r>
    </w:p>
    <w:p w14:paraId="2C511F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Диверсантов ................ -12 “ </w:t>
      </w:r>
    </w:p>
    <w:p w14:paraId="3F2349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Активных членов организации - 2 " </w:t>
      </w:r>
    </w:p>
    <w:p w14:paraId="47C081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Группа не может быть передана, так как с передачей может быть ликвидирована начатая работа, имеющая большое значе¬ние в области обороны страны. Помимо этого вопрос передачи связан с большими сроками, почему более целесообразно закончить начатую работу. </w:t>
      </w:r>
    </w:p>
    <w:p w14:paraId="3F385D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u w:val="single"/>
        </w:rPr>
        <w:t>ХИМИКО-ЭНЕРГЕТИЧЕСКОЕ МАШИНОСТРОЕНИЕ.</w:t>
      </w:r>
    </w:p>
    <w:p w14:paraId="70694F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I. Спроектирован и находится в изготовлении газогенератор непрерывного действия для газификации торфа и низко¬сортных углей. Детали генератора изготовлены на 70%, окончание работ к I ноября 1931 г. </w:t>
      </w:r>
    </w:p>
    <w:p w14:paraId="131215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 Спроектировал газогенератор легкого типа для тяже¬лого авто-транспорта и тракторов в целях перевода их на ¬твердое топливо. Проект сдан в завод на изготовление. Окончание 1/ХП-31 г. </w:t>
      </w:r>
    </w:p>
    <w:p w14:paraId="37C071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 Закончена проектированием и сдается на изготовление азотно-кислородная установка советской конструкции, производительностью 250 куб.метр кислорода в час. Изготовление установки позволит отказаться от импорта и заграницы. Срок изготовления б месяцев. </w:t>
      </w:r>
    </w:p>
    <w:p w14:paraId="6CE103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4. Приступлено к проектированию установки глубокого охлаждения для фракционировки водяного и коксовых газов. Конструк¬ция установки отличается от заграничных тем, что она не замерзает, как например Кледовские, и Линдовские, и т.п., вследствии чего производительность ее несравненно выше. </w:t>
      </w:r>
    </w:p>
    <w:p w14:paraId="0F56A9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Работают 29 человек, из них: </w:t>
      </w:r>
    </w:p>
    <w:p w14:paraId="0AAD14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Руководителей организации -3 человека </w:t>
      </w:r>
    </w:p>
    <w:p w14:paraId="2D09B4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Шпионов ................... - 5 “ </w:t>
      </w:r>
    </w:p>
    <w:p w14:paraId="6854CC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Диверсантов ............... - 1 “ </w:t>
      </w:r>
    </w:p>
    <w:p w14:paraId="183234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Членов Промпартии .......... - 10 “ </w:t>
      </w:r>
    </w:p>
    <w:p w14:paraId="5902DB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Активных членов организации -10 " </w:t>
      </w:r>
    </w:p>
    <w:p w14:paraId="5DB005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Группа не может быть передана в виду того, что большинство -специалистов, является членами Промпартии, членами террористической организации. Кроме того вся начатая и проводимая ра¬бота с точки зрения химического машиностроения является настолько оригинальной, что распыление специалистов, которое неизбежно произойдет при передачи группы, не даст возможно¬сти продолжать эту работу. </w:t>
      </w:r>
    </w:p>
    <w:p w14:paraId="44D0F0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Кроме того, время, которое уйдет на передачу группы является достаточным для окончания начатых работ. </w:t>
      </w:r>
    </w:p>
    <w:p w14:paraId="1EADCE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u w:val="single"/>
        </w:rPr>
        <w:t>КОТЕЛ ВЫСОКОГО ДАВЛЕНИЯ</w:t>
      </w:r>
    </w:p>
    <w:p w14:paraId="0CCA75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Подготовлен к изготовлению /розданы заказы на изготовление деталей/ без барабанный котел высокого давления от 140 до 299 атм., съем пара 1000 кгр. в час, вес котла 40 тонн. </w:t>
      </w:r>
    </w:p>
    <w:p w14:paraId="4E0D66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сравнении с мировыми котлами Деффлера и Бабкок-Вилькокс сконструированный котел имеет следующие сравнительные данные при одинаковой производительности 100 тн/час пара при 140 атм. </w:t>
      </w:r>
    </w:p>
    <w:p w14:paraId="73170F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ab/>
        <w:t>Котел ОГПУ</w:t>
      </w:r>
      <w:r w:rsidRPr="005E779E">
        <w:rPr>
          <w:rFonts w:ascii="Times New Roman" w:hAnsi="Times New Roman"/>
          <w:color w:val="000000" w:themeColor="text1"/>
          <w:sz w:val="16"/>
          <w:szCs w:val="16"/>
        </w:rPr>
        <w:tab/>
        <w:t>Деффлер</w:t>
      </w:r>
      <w:r w:rsidRPr="005E779E">
        <w:rPr>
          <w:rFonts w:ascii="Times New Roman" w:hAnsi="Times New Roman"/>
          <w:color w:val="000000" w:themeColor="text1"/>
          <w:sz w:val="16"/>
          <w:szCs w:val="16"/>
        </w:rPr>
        <w:tab/>
        <w:t xml:space="preserve">Бабкок </w:t>
      </w:r>
    </w:p>
    <w:p w14:paraId="56B461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w:t>
      </w:r>
      <w:r w:rsidRPr="005E779E">
        <w:rPr>
          <w:rFonts w:ascii="Times New Roman" w:hAnsi="Times New Roman"/>
          <w:color w:val="000000" w:themeColor="text1"/>
          <w:sz w:val="16"/>
          <w:szCs w:val="16"/>
        </w:rPr>
        <w:tab/>
        <w:t>40 тонн</w:t>
      </w:r>
      <w:r w:rsidRPr="005E779E">
        <w:rPr>
          <w:rFonts w:ascii="Times New Roman" w:hAnsi="Times New Roman"/>
          <w:color w:val="000000" w:themeColor="text1"/>
          <w:sz w:val="16"/>
          <w:szCs w:val="16"/>
        </w:rPr>
        <w:tab/>
        <w:t>240 тонн</w:t>
      </w:r>
      <w:r w:rsidRPr="005E779E">
        <w:rPr>
          <w:rFonts w:ascii="Times New Roman" w:hAnsi="Times New Roman"/>
          <w:color w:val="000000" w:themeColor="text1"/>
          <w:sz w:val="16"/>
          <w:szCs w:val="16"/>
        </w:rPr>
        <w:tab/>
        <w:t xml:space="preserve">220 тонн </w:t>
      </w:r>
    </w:p>
    <w:p w14:paraId="611731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Поверхн.нагр. кв. м.</w:t>
      </w:r>
      <w:r w:rsidRPr="005E779E">
        <w:rPr>
          <w:rFonts w:ascii="Times New Roman" w:hAnsi="Times New Roman"/>
          <w:color w:val="000000" w:themeColor="text1"/>
          <w:sz w:val="16"/>
          <w:szCs w:val="16"/>
        </w:rPr>
        <w:tab/>
        <w:t>800</w:t>
      </w:r>
      <w:r w:rsidRPr="005E779E">
        <w:rPr>
          <w:rFonts w:ascii="Times New Roman" w:hAnsi="Times New Roman"/>
          <w:color w:val="000000" w:themeColor="text1"/>
          <w:sz w:val="16"/>
          <w:szCs w:val="16"/>
        </w:rPr>
        <w:tab/>
        <w:t>2800</w:t>
      </w:r>
      <w:r w:rsidRPr="005E779E">
        <w:rPr>
          <w:rFonts w:ascii="Times New Roman" w:hAnsi="Times New Roman"/>
          <w:color w:val="000000" w:themeColor="text1"/>
          <w:sz w:val="16"/>
          <w:szCs w:val="16"/>
        </w:rPr>
        <w:tab/>
        <w:t xml:space="preserve">2800 </w:t>
      </w:r>
    </w:p>
    <w:p w14:paraId="51DACB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Стоимость ....</w:t>
      </w:r>
      <w:r w:rsidRPr="005E779E">
        <w:rPr>
          <w:rFonts w:ascii="Times New Roman" w:hAnsi="Times New Roman"/>
          <w:color w:val="000000" w:themeColor="text1"/>
          <w:sz w:val="16"/>
          <w:szCs w:val="16"/>
        </w:rPr>
        <w:tab/>
        <w:t>8000 р.</w:t>
      </w:r>
      <w:r w:rsidRPr="005E779E">
        <w:rPr>
          <w:rFonts w:ascii="Times New Roman" w:hAnsi="Times New Roman"/>
          <w:color w:val="000000" w:themeColor="text1"/>
          <w:sz w:val="16"/>
          <w:szCs w:val="16"/>
        </w:rPr>
        <w:tab/>
        <w:t>40000 р.</w:t>
      </w:r>
      <w:r w:rsidRPr="005E779E">
        <w:rPr>
          <w:rFonts w:ascii="Times New Roman" w:hAnsi="Times New Roman"/>
          <w:color w:val="000000" w:themeColor="text1"/>
          <w:sz w:val="16"/>
          <w:szCs w:val="16"/>
        </w:rPr>
        <w:tab/>
        <w:t xml:space="preserve">400000 р. </w:t>
      </w:r>
    </w:p>
    <w:p w14:paraId="51C21E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Паропроизв. … </w:t>
      </w:r>
      <w:r w:rsidRPr="005E779E">
        <w:rPr>
          <w:rFonts w:ascii="Times New Roman" w:hAnsi="Times New Roman"/>
          <w:color w:val="000000" w:themeColor="text1"/>
          <w:sz w:val="16"/>
          <w:szCs w:val="16"/>
        </w:rPr>
        <w:tab/>
        <w:t>100 тн/ч</w:t>
      </w:r>
      <w:r w:rsidRPr="005E779E">
        <w:rPr>
          <w:rFonts w:ascii="Times New Roman" w:hAnsi="Times New Roman"/>
          <w:color w:val="000000" w:themeColor="text1"/>
          <w:sz w:val="16"/>
          <w:szCs w:val="16"/>
        </w:rPr>
        <w:tab/>
        <w:t>100тн/ч</w:t>
      </w:r>
      <w:r w:rsidRPr="005E779E">
        <w:rPr>
          <w:rFonts w:ascii="Times New Roman" w:hAnsi="Times New Roman"/>
          <w:color w:val="000000" w:themeColor="text1"/>
          <w:sz w:val="16"/>
          <w:szCs w:val="16"/>
        </w:rPr>
        <w:tab/>
        <w:t xml:space="preserve">100тн/ч </w:t>
      </w:r>
    </w:p>
    <w:p w14:paraId="1F0E68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Давление ....</w:t>
      </w:r>
      <w:r w:rsidRPr="005E779E">
        <w:rPr>
          <w:rFonts w:ascii="Times New Roman" w:hAnsi="Times New Roman"/>
          <w:color w:val="000000" w:themeColor="text1"/>
          <w:sz w:val="16"/>
          <w:szCs w:val="16"/>
        </w:rPr>
        <w:tab/>
        <w:t>140 атм.</w:t>
      </w:r>
      <w:r w:rsidRPr="005E779E">
        <w:rPr>
          <w:rFonts w:ascii="Times New Roman" w:hAnsi="Times New Roman"/>
          <w:color w:val="000000" w:themeColor="text1"/>
          <w:sz w:val="16"/>
          <w:szCs w:val="16"/>
        </w:rPr>
        <w:tab/>
        <w:t>140 атм.</w:t>
      </w:r>
      <w:r w:rsidRPr="005E779E">
        <w:rPr>
          <w:rFonts w:ascii="Times New Roman" w:hAnsi="Times New Roman"/>
          <w:color w:val="000000" w:themeColor="text1"/>
          <w:sz w:val="16"/>
          <w:szCs w:val="16"/>
        </w:rPr>
        <w:tab/>
        <w:t xml:space="preserve">140 атм. </w:t>
      </w:r>
    </w:p>
    <w:p w14:paraId="06DADA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Котел дает против существующих: </w:t>
      </w:r>
    </w:p>
    <w:p w14:paraId="14EFF6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Сокращение металла в 13-20 раз </w:t>
      </w:r>
    </w:p>
    <w:p w14:paraId="54D0F2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себестоимости 11-16 </w:t>
      </w:r>
    </w:p>
    <w:p w14:paraId="6EF237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Полностью освобождает от импорта. Котел целиком разрешает ПРОБЛЕМУ ВЫСОКОГО ДАВЛЕНИЯ. Срок готовности апрель-май 32 г. </w:t>
      </w:r>
    </w:p>
    <w:p w14:paraId="5D45A1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Работают 5 человек, из них: </w:t>
      </w:r>
    </w:p>
    <w:p w14:paraId="535A0E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Руководителей организации - I человек </w:t>
      </w:r>
    </w:p>
    <w:p w14:paraId="40ECF0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Террористов ............... - 4 " </w:t>
      </w:r>
    </w:p>
    <w:p w14:paraId="5CD7BC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Группа не может быть передана по одному тому, что разработка конструкции котла и руководство производством ведется руководителем Промпартии РАМЗИНЫМ, а участники проекта котла являются членами Промпартии и террористической группы ее. </w:t>
      </w:r>
    </w:p>
    <w:p w14:paraId="5B66A7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u w:val="single"/>
        </w:rPr>
        <w:t>БЛЮМИНГ.</w:t>
      </w:r>
    </w:p>
    <w:p w14:paraId="0C3F69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I. Подготовка монтажа построенного блюминга. </w:t>
      </w:r>
    </w:p>
    <w:p w14:paraId="77B065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 Производство ВТОРОГО СОВЕТСКОГО БЛЮМИНГА на Ижорском заводе. </w:t>
      </w:r>
    </w:p>
    <w:p w14:paraId="454556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Работают 18 человек, из них: </w:t>
      </w:r>
    </w:p>
    <w:p w14:paraId="100DB0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Руководителей организации ... 8 чел. </w:t>
      </w:r>
    </w:p>
    <w:p w14:paraId="7825E7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Активных членов организации ... 10 " </w:t>
      </w:r>
    </w:p>
    <w:p w14:paraId="613DBA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Работа Бюро находится в следующем состоянии: </w:t>
      </w:r>
    </w:p>
    <w:p w14:paraId="18389F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На Мокеевском заводе подготовляется фундамент издание для монтажа ПЕРВОГО СОВЕТСКОГО БЛЮМИНГА; попутно с этим ведется работа по разборке всех деталей и подготовка к монтажу. </w:t>
      </w:r>
    </w:p>
    <w:p w14:paraId="4F5BA5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Процент готовности ВТОРОГО СОВЕТСКОГО БЛЮМИНГА на Ижор¬ском заводе около 60. Из указанного видно, что группа в данное время ни в коем случае передана быть не может, ибо передача ее и всех работ во-первых заняло бы слишком боль¬шое время, во-вторых - принимавшему об"единение трудно было бы приспособится к тем формам и темпу работы, какие приняты в ОКБ. Вследствии этого результат передачи отразился бы на сроках как монтажа ПЕРВОГО БЛЮМИНГА, так и на постройки ВТОРОГО БЛЮМИНГА. </w:t>
      </w:r>
    </w:p>
    <w:p w14:paraId="09FB5D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u w:val="single"/>
        </w:rPr>
        <w:t>ЭЛЕКТРОМОТОРЫ</w:t>
      </w:r>
    </w:p>
    <w:p w14:paraId="0B2ED2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Разработана конструкция, спроектирован и находится в постройке электро-мотор мощностью в 7000 лош. Сил, для блюминга. Постройка мотора на сегодняшний день закончена на 90%. Срок середина ноября 1931 г. </w:t>
      </w:r>
    </w:p>
    <w:p w14:paraId="1E5743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Работает 6 человек, из них: </w:t>
      </w:r>
    </w:p>
    <w:p w14:paraId="14C736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Руководителей организации - I человек </w:t>
      </w:r>
    </w:p>
    <w:p w14:paraId="3973D1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Шпионов ................. - 3 “ </w:t>
      </w:r>
    </w:p>
    <w:p w14:paraId="2B4182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Активных членов организации- 2 “ </w:t>
      </w:r>
    </w:p>
    <w:p w14:paraId="0B2D7A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Группа не может быть передана, т.к. передача производи¬мой работы несомненно заняла бы больше времени, чем окончание постройки указанных моторов. </w:t>
      </w:r>
    </w:p>
    <w:p w14:paraId="6AB8F1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u w:val="single"/>
        </w:rPr>
        <w:t>ЭЛЕКТРОЭНЕРГЕТИКА.</w:t>
      </w:r>
    </w:p>
    <w:p w14:paraId="540731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I. Разрабатывается план электрификации СССР. Срок май 32 г. </w:t>
      </w:r>
    </w:p>
    <w:p w14:paraId="330B12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 Разработан конкретный план электрификации отдельных районов СССP / московского Промышленного района, Нижегородского, Ср.Волжского, Урала, Кузбасса, Ср.Азии, Закавказья и т.д. Передается на обсуждение в Энергоцентр. </w:t>
      </w:r>
    </w:p>
    <w:p w14:paraId="4AC5E4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 Разработаны типы и стандарты, как самих районных станций, предназначенных к строительству, так и их силовых установок и агрегатов. Передается в Энергоцентр. </w:t>
      </w:r>
    </w:p>
    <w:p w14:paraId="24D80D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4. Закончен проект и сдан на изготовление в заводы трансформатор большой мощности. Срок 8 месяцев. </w:t>
      </w:r>
    </w:p>
    <w:p w14:paraId="0F99F9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5. Закончен проект и приступлено к изготовлению передвиной электростанции, размещающейся на грузовиках. Станция может быть использована на разнообразных сельско-хозяйственных работах для электросварки и для военных целей, как напр: питание электроэнергией военных прожекторов и пуск тока в проволочное заграждение. Срок март 1932 г. </w:t>
      </w:r>
    </w:p>
    <w:p w14:paraId="20F874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Работают 28 человек, из них: </w:t>
      </w:r>
    </w:p>
    <w:p w14:paraId="768B24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Шпионов ...................... - 9 человек </w:t>
      </w:r>
    </w:p>
    <w:p w14:paraId="52FD48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Диверсантов ................. - 3 " </w:t>
      </w:r>
    </w:p>
    <w:p w14:paraId="59E3EF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Террористов .................. - I " </w:t>
      </w:r>
    </w:p>
    <w:p w14:paraId="186563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Членов Промпартии ....... - 3 “ </w:t>
      </w:r>
    </w:p>
    <w:p w14:paraId="04B14C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Активных членов организации -12 “ </w:t>
      </w:r>
    </w:p>
    <w:p w14:paraId="20CB76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Группа не может быть передана по двум причинам: I/ боль¬шинство специалистов работающих в группе еще не осуждены; 2/ масштаб и сложность проводимой работы займет такое коли¬чество времени, при передачи ее, что будет целесообразнее за¬кончить работу. </w:t>
      </w:r>
    </w:p>
    <w:p w14:paraId="3898BF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u w:val="single"/>
        </w:rPr>
        <w:t>ТЕКСТИЛЬ</w:t>
      </w:r>
      <w:r w:rsidRPr="005E779E">
        <w:rPr>
          <w:rFonts w:ascii="Times New Roman" w:hAnsi="Times New Roman"/>
          <w:color w:val="000000" w:themeColor="text1"/>
          <w:sz w:val="16"/>
          <w:szCs w:val="16"/>
        </w:rPr>
        <w:t>.</w:t>
      </w:r>
    </w:p>
    <w:p w14:paraId="56EB30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I. Ведется исследование отечественного сырья в целях изыскание наивыгоднейшего способа получения катонина, который заменит собою хлопок по ряду производств. Намечен срок 4 месяца. </w:t>
      </w:r>
    </w:p>
    <w:p w14:paraId="17AEF6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 .Разрабатывается разрешение проблемы кенафа. Предоставлено время 2 месяца. </w:t>
      </w:r>
    </w:p>
    <w:p w14:paraId="2E264D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 Ведется разработка ассортимента и определение стандар¬тов текстильных изделий для всей текстильной промышленности СССР. Предоставлено 3 месяца. </w:t>
      </w:r>
    </w:p>
    <w:p w14:paraId="0E8463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4. Разрабатывается план реконструкции текстильной промышленности с установкой на специализацию фабрик. Срок март месяц 1932 г. </w:t>
      </w:r>
    </w:p>
    <w:p w14:paraId="07F1D8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Работают 38 человек, из них: </w:t>
      </w:r>
    </w:p>
    <w:p w14:paraId="640192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Руководителей организаций - 15 человек </w:t>
      </w:r>
    </w:p>
    <w:p w14:paraId="2B6E3D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Шпионов .................... - 4 " </w:t>
      </w:r>
    </w:p>
    <w:p w14:paraId="3F43DC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Диверсантов .................... - 6 “ </w:t>
      </w:r>
    </w:p>
    <w:p w14:paraId="297577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Террористов ................... - I “ </w:t>
      </w:r>
    </w:p>
    <w:p w14:paraId="1A8461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Активных членов организации - 12 “ </w:t>
      </w:r>
    </w:p>
    <w:p w14:paraId="638F14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Группа не может быть передана потому, что передача специалистов промышленности создала бы такое положение, что намечен¬ные работы ни в коем случае не удалось бы довести до конца, т.к. несомненно все специалисты были бы разбросаны по отдель¬ным фабрикам и заняты исключительно текущей работой по той или другой фабрике. </w:t>
      </w:r>
    </w:p>
    <w:p w14:paraId="032149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u w:val="single"/>
        </w:rPr>
        <w:t>УГОЛЬ</w:t>
      </w:r>
    </w:p>
    <w:p w14:paraId="2F1B97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Разработан и проводится в жизнь проект эксплуатации Араличесвского угольного месторождения /Зап.Сибирь/. Работают 21 человек из них: </w:t>
      </w:r>
    </w:p>
    <w:p w14:paraId="509878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Руководителей организацией - 7 человек </w:t>
      </w:r>
    </w:p>
    <w:p w14:paraId="044F59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Шпионов ................... - I " </w:t>
      </w:r>
    </w:p>
    <w:p w14:paraId="731D5D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Членов Промпартии .... - I " </w:t>
      </w:r>
    </w:p>
    <w:p w14:paraId="4898FA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Активных членов организаций- 12 “ </w:t>
      </w:r>
    </w:p>
    <w:p w14:paraId="2FC541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Группа не может быть передана вследствии того, что ру¬ководит рабочими на шахтах, состоящими из ссыльных и заклю¬ченных в лагеря. </w:t>
      </w:r>
    </w:p>
    <w:p w14:paraId="3D77DD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ЗАМ. ПРЕД. ОГПУ / АКУЛОВ / </w:t>
      </w:r>
    </w:p>
    <w:p w14:paraId="3A73C2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 ЭКУ ОГПУ /МИРОНОВ /</w:t>
      </w:r>
    </w:p>
    <w:p w14:paraId="0608DF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СПРАВКА.</w:t>
      </w:r>
    </w:p>
    <w:p w14:paraId="1D6F30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Заключенные специалисты, работающие в Техническом Отделении ЭКУ ОГПУ. </w:t>
      </w:r>
    </w:p>
    <w:p w14:paraId="4DB140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Руководителей организации и групп .... 98 чел. </w:t>
      </w:r>
    </w:p>
    <w:p w14:paraId="2416C2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Шпионов................................................. 74 " </w:t>
      </w:r>
    </w:p>
    <w:p w14:paraId="18389E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Диверсантов............................................ 44 " </w:t>
      </w:r>
    </w:p>
    <w:p w14:paraId="4F2C35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Террористов.......................................... 9 " </w:t>
      </w:r>
    </w:p>
    <w:p w14:paraId="6E0E5E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Членов Промпартии ........ .............. .... 14 “ </w:t>
      </w:r>
    </w:p>
    <w:p w14:paraId="384662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Активных членов организаций .......... 184“ </w:t>
      </w:r>
    </w:p>
    <w:p w14:paraId="7F3093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Из общего числа /423/ -подследственных.. 160 “</w:t>
      </w:r>
    </w:p>
    <w:p w14:paraId="0585BF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НАЧАЛЬНИК ТЕХ. ОТД. ЭКУ ОГПУ </w:t>
      </w:r>
    </w:p>
    <w:p w14:paraId="771BD4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7 сентября 1931 г. </w:t>
      </w:r>
    </w:p>
    <w:p w14:paraId="01C507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АП РФ Ф.3., Оп.58., Д.142., л. 2-19 (11462).</w:t>
      </w:r>
    </w:p>
    <w:p w14:paraId="7EC188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18DEE4F"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сентября 1931 г. — Из справки ОГПУ СССР «О работах заключенных специалистов, работающих в техническом отделении ЭКУ ОГПУ»</w:t>
      </w:r>
    </w:p>
    <w:p w14:paraId="1CFC4077"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Совершенно секретно.</w:t>
      </w:r>
    </w:p>
    <w:p w14:paraId="1441E110"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Особые конструкторские и технические бюро (ОКБ, ОТБ) сконцентрированы в Москве, Ленинграде и Западной Сибири. Работы, исполняемые заключенными специалистами, делятся на проектные, производственные и литературные.</w:t>
      </w:r>
    </w:p>
    <w:p w14:paraId="3E63CF65"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Авиация</w:t>
      </w:r>
    </w:p>
    <w:p w14:paraId="16183275"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Под руководством заключенных специалистов проделаны следующие работы:</w:t>
      </w:r>
    </w:p>
    <w:p w14:paraId="39546109"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I. Построен и сдан на вооружение армии истребитель М</w:t>
      </w:r>
      <w:r w:rsidRPr="005E779E">
        <w:rPr>
          <w:rFonts w:ascii="Times New Roman" w:hAnsi="Times New Roman"/>
          <w:color w:val="000000" w:themeColor="text1"/>
          <w:sz w:val="16"/>
          <w:szCs w:val="16"/>
        </w:rPr>
        <w:noBreakHyphen/>
        <w:t>5 (ВТ</w:t>
      </w:r>
      <w:r w:rsidRPr="005E779E">
        <w:rPr>
          <w:rFonts w:ascii="Times New Roman" w:hAnsi="Times New Roman"/>
          <w:color w:val="000000" w:themeColor="text1"/>
          <w:sz w:val="16"/>
          <w:szCs w:val="16"/>
        </w:rPr>
        <w:noBreakHyphen/>
        <w:t>-ХI). Истребитель стоит на уровне лучших заграничных образцов. II. Построен и сдан на вооружение бронированный штурмовик для поражения земных целей. Штурмовик вооружен 12 пулеметами и имеется возможность заменить 8 пулеметов 400 кг бомб. III. Построен и испытывается тяжелый бомбовоз (ТБ</w:t>
      </w:r>
      <w:r w:rsidRPr="005E779E">
        <w:rPr>
          <w:rFonts w:ascii="Times New Roman" w:hAnsi="Times New Roman"/>
          <w:color w:val="000000" w:themeColor="text1"/>
          <w:sz w:val="16"/>
          <w:szCs w:val="16"/>
        </w:rPr>
        <w:noBreakHyphen/>
        <w:t>5). Бомбовоз поднимает до 4 тыс. кг бомб.</w:t>
      </w:r>
    </w:p>
    <w:p w14:paraId="751B6863"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Находятся в постройке.</w:t>
      </w:r>
    </w:p>
    <w:p w14:paraId="3780A12A"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I. Морской дальний разведчик. Самолет имеет общие крылья с самолетом ТБ-5. Срок готовности в половине октября 1931 г.</w:t>
      </w:r>
    </w:p>
    <w:p w14:paraId="5CB3A432"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II. Запроектированы и частично запущены в производство самолеты по программе, преподанной УВВС.</w:t>
      </w:r>
    </w:p>
    <w:p w14:paraId="72AEE721"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Работают 26 инженеров, из них: руководителей организаций — 9 чел., шпионов — 8 чел., активных членов организации — 9 чел. Работа в бюро в связи с большими задачами по самолетостроению носит, помимо проектных работ, также все работы, присущие заводу, и учитывается готовностью самолетов²*.</w:t>
      </w:r>
    </w:p>
    <w:p w14:paraId="3AE5DC71"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Группа не может быть передана вследствие: 1) передача группы, разношерстной по специальностям, повлечет за собой раскассирование специалистов и неминуемо отразится на опытном самолетостроении; 2) начатые работы, естественно, будут заторможены, что повлечет срыв программы опытного строительства; 3) сложность момента опытного строительства в связи с физиономией группы требует специального режима, какой может быть только в ОКБ.</w:t>
      </w:r>
    </w:p>
    <w:p w14:paraId="1F46B3D8"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Танки</w:t>
      </w:r>
    </w:p>
    <w:p w14:paraId="766E224F"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Закончен проект плавающего быстроходного танка, приводимого в движение легким быстроходным типом авиационным дизель мотором2* (работающим на тяжелом топливе), имеющего большое вооружение, скорость на гусенице 65 км и на колесах 74 км выйдет из монтажа в конце апреля 1932 г. Производится бронирование трактора «Катерпиллер» и установка на него вместо бензинового двигателя дизеля на нефти. Данные работы будут закончены в январе 1932 г. Переделка легковой машины «Форд» и грузовой полуторатонной машины под легкие брони машины разведочного типа. Все работы вышли из стадии проектирования и запущены в производство. Окончание работ предположено в апреле месяце 1932 г.</w:t>
      </w:r>
    </w:p>
    <w:p w14:paraId="7A271D6B"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Работают 31 чел., из них: руководителей организаций — 6 чел., шпионов — 3 чел., диверсантов — 3 чел., террористов — 3 чел., членов Промпартии³* — 1 чел., активных членов организации — 15 чел. Группа не может быть передана, хотя бы потому, что передача начатых работ заняла бы такое количество времени, которое потребовалось бы для окончания указанных работ, а самый факт передачи отрицательно отразился бы на работах.</w:t>
      </w:r>
    </w:p>
    <w:p w14:paraId="49A0814A"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Артиллерия</w:t>
      </w:r>
    </w:p>
    <w:p w14:paraId="2D8CD19F"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Разработаны и находятся в изготовлении: опытные экземпляры снарядов, дистанционных трубок, гранат, взрывателей; часть коих проходит испытание на НИАПе.</w:t>
      </w:r>
    </w:p>
    <w:p w14:paraId="0E527D28"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Изготовлен и находится в сборке автоматический станок для отбраковки патронных гильз. Будет закончен к 1 октября 1931 г.</w:t>
      </w:r>
    </w:p>
    <w:p w14:paraId="0D982A72"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Перечисленные конструкции являются нововведением в артиллерийское дело, и принятие их на вооружение имеет целью повышение боеспособности Красной армии.</w:t>
      </w:r>
    </w:p>
    <w:p w14:paraId="21A112C2"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Работают 10 чел., из них: руководителей организаций — 3 чел., диверсантов — 2 чел., активных членов организации — 5 чел. Группа не может быть передана, так как передача группы с производимой ею работой займет время, потребное для окончания намеченных работ по плану первой очереди.</w:t>
      </w:r>
    </w:p>
    <w:p w14:paraId="3B5970EC"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Дизели и моторы</w:t>
      </w:r>
    </w:p>
    <w:p w14:paraId="714DDC68"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Исправлены, построены и прошли госиспытания следующие моторы:</w:t>
      </w:r>
    </w:p>
    <w:p w14:paraId="530D7758"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I. М</w:t>
      </w:r>
      <w:r w:rsidRPr="005E779E">
        <w:rPr>
          <w:rFonts w:ascii="Times New Roman" w:hAnsi="Times New Roman"/>
          <w:color w:val="000000" w:themeColor="text1"/>
          <w:sz w:val="16"/>
          <w:szCs w:val="16"/>
        </w:rPr>
        <w:noBreakHyphen/>
        <w:t>19 — 550 сил, 12</w:t>
      </w:r>
      <w:r w:rsidRPr="005E779E">
        <w:rPr>
          <w:rFonts w:ascii="Times New Roman" w:hAnsi="Times New Roman"/>
          <w:color w:val="000000" w:themeColor="text1"/>
          <w:sz w:val="16"/>
          <w:szCs w:val="16"/>
        </w:rPr>
        <w:noBreakHyphen/>
        <w:t>цилиндровый, водяного охлаждения.</w:t>
      </w:r>
    </w:p>
    <w:p w14:paraId="46A844A8"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II. М</w:t>
      </w:r>
      <w:r w:rsidRPr="005E779E">
        <w:rPr>
          <w:rFonts w:ascii="Times New Roman" w:hAnsi="Times New Roman"/>
          <w:color w:val="000000" w:themeColor="text1"/>
          <w:sz w:val="16"/>
          <w:szCs w:val="16"/>
        </w:rPr>
        <w:noBreakHyphen/>
        <w:t>15 — 450</w:t>
      </w:r>
      <w:r w:rsidRPr="005E779E">
        <w:rPr>
          <w:rFonts w:ascii="Times New Roman" w:hAnsi="Times New Roman"/>
          <w:color w:val="000000" w:themeColor="text1"/>
          <w:sz w:val="16"/>
          <w:szCs w:val="16"/>
        </w:rPr>
        <w:noBreakHyphen/>
        <w:t>600 сил, звездообразный, воздушного охлаждения. Мотор запущен в серию.</w:t>
      </w:r>
    </w:p>
    <w:p w14:paraId="405ECB21"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III. М</w:t>
      </w:r>
      <w:r w:rsidRPr="005E779E">
        <w:rPr>
          <w:rFonts w:ascii="Times New Roman" w:hAnsi="Times New Roman"/>
          <w:color w:val="000000" w:themeColor="text1"/>
          <w:sz w:val="16"/>
          <w:szCs w:val="16"/>
        </w:rPr>
        <w:noBreakHyphen/>
        <w:t>27 — 850 сил, W</w:t>
      </w:r>
      <w:r w:rsidRPr="005E779E">
        <w:rPr>
          <w:rFonts w:ascii="Times New Roman" w:hAnsi="Times New Roman"/>
          <w:color w:val="000000" w:themeColor="text1"/>
          <w:sz w:val="16"/>
          <w:szCs w:val="16"/>
        </w:rPr>
        <w:noBreakHyphen/>
        <w:t>образный, 18</w:t>
      </w:r>
      <w:r w:rsidRPr="005E779E">
        <w:rPr>
          <w:rFonts w:ascii="Times New Roman" w:hAnsi="Times New Roman"/>
          <w:color w:val="000000" w:themeColor="text1"/>
          <w:sz w:val="16"/>
          <w:szCs w:val="16"/>
        </w:rPr>
        <w:noBreakHyphen/>
        <w:t>цилиндровый, водяного охлаждения. Мотор запущен в серию.</w:t>
      </w:r>
    </w:p>
    <w:p w14:paraId="0FA392A0"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IV. ФЭД</w:t>
      </w:r>
      <w:r w:rsidRPr="005E779E">
        <w:rPr>
          <w:rFonts w:ascii="Times New Roman" w:hAnsi="Times New Roman"/>
          <w:color w:val="000000" w:themeColor="text1"/>
          <w:sz w:val="16"/>
          <w:szCs w:val="16"/>
        </w:rPr>
        <w:noBreakHyphen/>
        <w:t>1100 — 1,2 тыс. сил, 24 цилиндра, водяного охлаждения. Мотор запущен в серию.</w:t>
      </w:r>
    </w:p>
    <w:p w14:paraId="113CAB3E"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V. Изготовляется дизель мотор мощностью 400 сил с весом 2 кг на силу. Мотор предназначен для установки на строящемся танке. Будет закончен в январе 1931 г.</w:t>
      </w:r>
    </w:p>
    <w:p w14:paraId="5F8215F4"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VI. Приступлено к постройке на Коломенском заводе дизеля мощностью 3,2 тыс. сил, предназначенного для установки на строящейся подводной лодке. Срок производства займет 11 месяцев.</w:t>
      </w:r>
    </w:p>
    <w:p w14:paraId="1C9126D5"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VII. Заканчивается проект дизель мотора мощностью в 2 тыс. сил, 24 цилиндра, с весом 1 кг на силу. Дизель предназначен для установки на самолете. Потребуется время на производство 7 месяцев. Приступлено к постройке дизель мотора для трактора «Катерпиллер» мощностью в 60</w:t>
      </w:r>
      <w:r w:rsidRPr="005E779E">
        <w:rPr>
          <w:rFonts w:ascii="Times New Roman" w:hAnsi="Times New Roman"/>
          <w:color w:val="000000" w:themeColor="text1"/>
          <w:sz w:val="16"/>
          <w:szCs w:val="16"/>
        </w:rPr>
        <w:noBreakHyphen/>
        <w:t>80 сил, постройка ведется кооперированным путем. Будет закончена в конце декабря 1931 г.</w:t>
      </w:r>
    </w:p>
    <w:p w14:paraId="078B7028"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Работают 6 чел., из них: руководителей организаций — 2 чел., шпионов — 3 чел., активных членов организации — 1 чел. Группа не может быть передана: 1) передача группы сорвет всю начатую работу, так как будут распылены технические силы и 2) передача группы заняла бы такое время, потребное для окончания производимых работ.</w:t>
      </w:r>
    </w:p>
    <w:p w14:paraId="0B5A598B"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Подводные лодки</w:t>
      </w:r>
    </w:p>
    <w:p w14:paraId="2429E704"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Балтийском заводе предположена к постройке серия подводных лодок новейшей конструкции: надводная скорость — 24,5 узла, подводная — 11 узлов, погружение — 40 с, всплытие — 9 мин, тоннаж — 920 т. Вооружение лодки: 2 пушки — 130 мм, 1 пушка зенитная — 37 мм, 6 торпедных аппаратов.</w:t>
      </w:r>
    </w:p>
    <w:p w14:paraId="76903CCC"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Первая лодка спущена на производство⁴*; готовность — около 30%. Окончание производства быстроходных лодок с советскими мощными дизелями — ноябрь — декабрь 1932 г.</w:t>
      </w:r>
    </w:p>
    <w:p w14:paraId="16794EBB"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Работают 54 чел., из них: руководителей организаций — 13 чел., шпионов — 8 чел., диверсантов — 3 чел., активных членов организации — 30 чел. Группа не может быть передана хотя бы из-за того, что передача такой большой по общему работы займет несравненно большее время, потребное для окончания намеченной работы.</w:t>
      </w:r>
    </w:p>
    <w:p w14:paraId="46CE0FB5"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Транспортер</w:t>
      </w:r>
    </w:p>
    <w:p w14:paraId="6A3D804C"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металлическом заводе им. Сталина строится железнодорожный транспортер с установкой на нем 14</w:t>
      </w:r>
      <w:r w:rsidRPr="005E779E">
        <w:rPr>
          <w:rFonts w:ascii="Times New Roman" w:hAnsi="Times New Roman"/>
          <w:color w:val="000000" w:themeColor="text1"/>
          <w:sz w:val="16"/>
          <w:szCs w:val="16"/>
        </w:rPr>
        <w:noBreakHyphen/>
        <w:t>дюймового морского орудия. Транспортер будет иметь возможность самостоятельно передвигаться по железнодорожным путям. Срок постройки — май 1932 г.</w:t>
      </w:r>
    </w:p>
    <w:p w14:paraId="546FD2E1"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Работают 62 чел., из них: руководителей организаций — 10 чел., шпионов — 8 чел., диверсантов — 3 чел., активных членов организации — 30 чел. Работы по бюро распадаются на 2 специальных задания. 1) по вооружению, 2) по транспортеру. Группа не может быть передана по той причине, что передача всей работы займет несравненно больше времени, нежели для окончания транспортера.</w:t>
      </w:r>
    </w:p>
    <w:p w14:paraId="60F9D176"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Артприборы</w:t>
      </w:r>
    </w:p>
    <w:p w14:paraId="6AE57FE5"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Спроектированы и строятся приборы управления артиллерийским огнем морской и полевой артиллерии. Применение приборов дает большую точность в стрельбе и упрощает механику наводки орудия. Частично [приборы] строятся, и ряд на испытании. Работы будут закончены в мае 1932 г.</w:t>
      </w:r>
    </w:p>
    <w:p w14:paraId="016860D7"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Работают 13 чел., из них руководителей организаций — 2 чел., шпионов — 1 чел., диверсантов — 1 чел., активных членов организации — 9 чел. Группа не может быть передана, так как иначе будет сорвано изготовление нужнейших для артиллерии приборов, а сама передача группы займет время, равное тому, которое требуется для окончания всей работы.</w:t>
      </w:r>
    </w:p>
    <w:p w14:paraId="1C57DA45"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Химия</w:t>
      </w:r>
    </w:p>
    <w:p w14:paraId="715D4B74"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Лабораторным путем получен гальванический элемент. Элемент основан на принципе диффузии атомов водорода через тонкую пластинку металла. Количество полученной энергии равно 5 миллиампер на 1 см². Ведутся работы по увеличению количества энергии в 2 раза. Этим элемент коренным образом разнится от существующих элементов. Практическое применение элемента: 1) установка на подводной лодке, 2) на электровозах и 3) всевозможные стационарные установки. Производственный элемент будет готов в декабре 1931 г.</w:t>
      </w:r>
    </w:p>
    <w:p w14:paraId="232483F0"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Сконструирован и изготовлен опытный аппарат для взрыва на расстоянии по радио, аппарат может дать требуемый взрывной эффект только от тех волн, на которые он настроен, при посылке их в строго определенные промежутки. В настоящее время аппарат проходит испытание и будет изготовляться опытная серия.</w:t>
      </w:r>
    </w:p>
    <w:p w14:paraId="4AE64183"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Сконструирован и изготовлен опытный срочный взрыватель, дающий взрывной эффект через любой промежуток времени в зависимости от установки его. Практически может быть применен для взрыва минированных полей и других специальных целей. Находится на испытании.</w:t>
      </w:r>
    </w:p>
    <w:p w14:paraId="7E6C28AF"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Разработан проект реконструкции порохового производства. По всем процессам производства пироксилина и пороха разработаны оригинальная аппаратура и машины, целиком и полностью механизирующие все производства по принципу поточной системы. Реконструкция дает возможность значительно сократить рабочую силу и увеличить мощность существующих пороховых заводов. Проект проводится в жизнь, займет 5 месяцев.</w:t>
      </w:r>
    </w:p>
    <w:p w14:paraId="1661C992"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Ведутся лабораторные работы по получению новых отравляющих веществ.</w:t>
      </w:r>
    </w:p>
    <w:p w14:paraId="407EB397"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6. Разработан новый химико-энергетический метод получения из низкосортного топлива (торф, бурые угли и т. д.) синтетического аммиака для промышленных и азотистых соединений и высококалорийного газа, обеспечивающего снабжение силовых установок. В осуществление данного метода строится газогенератор и разработана конструкция установки глубокого охлаждения, которая позволит разгонять газ, как водяной, гак и коксовый на химически чистые фракции. Закончены полузаводские опыты по проверке метода. Разрабатывается проект постройки опытного завода стоимостью 2,5 млн. руб. производительностью 50 тыс. т аммиака в сутки. Срок окончания разработки 4 месяца.</w:t>
      </w:r>
    </w:p>
    <w:p w14:paraId="57BC819E"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Разработан способ фракционировки коксового газа. Технические показатели способа: портативность установки, максимальная экономия в металле, увеличение ассортимента полезных продуктов и выхода их, полное использование коксика, сжиганием в генераторах и получение таким образом водорода для синтеза аммиака. Разработаны конструкции аппаратуры и машин. Разрабатывается проект опытного завода по описанному способу, стоимость 6 млн. руб. Срок — 6 месяцев.</w:t>
      </w:r>
    </w:p>
    <w:p w14:paraId="75C57B76"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Построен на 75% опытный обогревательный элемент для коксовых печей советских конструкций. Элемент предназначается для мощных коксобензольных заводов в Кемерово и Кубахе. Все работы по этой группе будут закончены в конце 1932 г.</w:t>
      </w:r>
    </w:p>
    <w:p w14:paraId="341E61BE"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Работают 43 чел., из них: руководителей организаций — 13 чел., шпионов — 21 чел., диверсантов — 7 чел., активных членов организации — 2 чел. Ввиду важности и сложности начатой работы передача группы заняла бы такое время, которое оттянуло бы окончание начатых работ на продолжительное время. Этим были бы сорваны большой важности работы оборонного значения. Кроме того, группа подобрана из разнородных специалистов, распыление которых в промышленности сделало бы невозможным продолжение начатых работ.</w:t>
      </w:r>
    </w:p>
    <w:p w14:paraId="0C9883E1"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Защита против иприта</w:t>
      </w:r>
    </w:p>
    <w:p w14:paraId="5207F7A6" w14:textId="77777777" w:rsidR="003371BD" w:rsidRPr="005E779E" w:rsidRDefault="003371BD" w:rsidP="000B7A6C">
      <w:pPr>
        <w:pStyle w:val="rtejustify"/>
        <w:spacing w:before="0" w:after="0"/>
        <w:rPr>
          <w:color w:val="000000" w:themeColor="text1"/>
          <w:sz w:val="16"/>
          <w:szCs w:val="16"/>
        </w:rPr>
      </w:pPr>
      <w:r w:rsidRPr="005E779E">
        <w:rPr>
          <w:color w:val="000000" w:themeColor="text1"/>
          <w:sz w:val="16"/>
          <w:szCs w:val="16"/>
        </w:rPr>
        <w:t>Лабораторным путем добыта резиновая масса для маски противогаза. При толщине резины в 2,4 мм, маска показала устойчивость на иприт около 6 часов. Полученные результаты проверяются на разные толщины резины от 0,8 мм до 2,4 мм. По сравнению с итальянской маской толщиною в 2,2 мм при устойчивости ее на иприт 1 ч 20 мин. Полученные образцы резины, как видно, имеют большие преимущества. Проводится аналитическая работа над военными заграничными масками: итальянской, германской, чехословацкой и американской, по выяснению их устойчивости на иприт.</w:t>
      </w:r>
    </w:p>
    <w:p w14:paraId="16B47BE4" w14:textId="77777777" w:rsidR="003371BD" w:rsidRPr="005E779E" w:rsidRDefault="003371BD" w:rsidP="000B7A6C">
      <w:pPr>
        <w:pStyle w:val="rtejustify"/>
        <w:spacing w:before="0" w:after="0"/>
        <w:rPr>
          <w:color w:val="000000" w:themeColor="text1"/>
          <w:sz w:val="16"/>
          <w:szCs w:val="16"/>
        </w:rPr>
      </w:pPr>
      <w:r w:rsidRPr="005E779E">
        <w:rPr>
          <w:color w:val="000000" w:themeColor="text1"/>
          <w:sz w:val="16"/>
          <w:szCs w:val="16"/>
        </w:rPr>
        <w:t>2. Изготовляется резиновая масса для пропитки ткани с целью получить ипритоустойчивую одежду с большими показателями, чем имеющиеся на вооружении армии. Срок окончания испытаний механической и ипритовой устойчивости 1 декабря 1931 г.</w:t>
      </w:r>
    </w:p>
    <w:p w14:paraId="2501927A" w14:textId="77777777" w:rsidR="003371BD" w:rsidRPr="005E779E" w:rsidRDefault="003371BD" w:rsidP="000B7A6C">
      <w:pPr>
        <w:pStyle w:val="rtejustify"/>
        <w:spacing w:before="0" w:after="0"/>
        <w:rPr>
          <w:color w:val="000000" w:themeColor="text1"/>
          <w:sz w:val="16"/>
          <w:szCs w:val="16"/>
        </w:rPr>
      </w:pPr>
      <w:r w:rsidRPr="005E779E">
        <w:rPr>
          <w:color w:val="000000" w:themeColor="text1"/>
          <w:sz w:val="16"/>
          <w:szCs w:val="16"/>
        </w:rPr>
        <w:t>3. Приступлено к разработке новой конструкции противоипритовых сапог, для чего выработан специальный рецепт резиновой массы, над которой в ближайшем будущем будут произведены необходимые опыты. Цель данной работы — получить наиболее ипритоустойчивые сапоги и наиболее легкие для изготовления. Срок изготовления пробного сапога 1 декабря 1931 г.</w:t>
      </w:r>
    </w:p>
    <w:p w14:paraId="485D1216" w14:textId="77777777" w:rsidR="003371BD" w:rsidRPr="005E779E" w:rsidRDefault="003371BD" w:rsidP="000B7A6C">
      <w:pPr>
        <w:pStyle w:val="rtejustify"/>
        <w:spacing w:before="0" w:after="0"/>
        <w:rPr>
          <w:color w:val="000000" w:themeColor="text1"/>
          <w:sz w:val="16"/>
          <w:szCs w:val="16"/>
        </w:rPr>
      </w:pPr>
      <w:r w:rsidRPr="005E779E">
        <w:rPr>
          <w:color w:val="000000" w:themeColor="text1"/>
          <w:sz w:val="16"/>
          <w:szCs w:val="16"/>
        </w:rPr>
        <w:t>4. В связи с переходом от резинового шлема противогаза к полумаске проводится работа по конструированию наиболее совершенной полумаски. Срок изготовления пробной полумаски 1 января 1932 г.</w:t>
      </w:r>
    </w:p>
    <w:p w14:paraId="358B9F93" w14:textId="77777777" w:rsidR="003371BD" w:rsidRPr="005E779E" w:rsidRDefault="003371BD" w:rsidP="000B7A6C">
      <w:pPr>
        <w:pStyle w:val="rtejustify"/>
        <w:spacing w:before="0" w:after="0"/>
        <w:rPr>
          <w:color w:val="000000" w:themeColor="text1"/>
          <w:sz w:val="16"/>
          <w:szCs w:val="16"/>
        </w:rPr>
      </w:pPr>
      <w:r w:rsidRPr="005E779E">
        <w:rPr>
          <w:color w:val="000000" w:themeColor="text1"/>
          <w:sz w:val="16"/>
          <w:szCs w:val="16"/>
        </w:rPr>
        <w:t>5. Лабораторным путем получен лак для галош, дающий возможность вести паровой процесс вулканизации, что сокращает время на 30%, чем понижается себестоимость галош и увеличивается прочность их. Кроме того, введением этого лака в резиновую массу отпадает необходимость вводить в нее импортный продукт «глет». Пробная партия галош выпускается к 10 декабря 1931 г.</w:t>
      </w:r>
    </w:p>
    <w:p w14:paraId="48758C1D" w14:textId="77777777" w:rsidR="003371BD" w:rsidRPr="005E779E" w:rsidRDefault="003371BD" w:rsidP="000B7A6C">
      <w:pPr>
        <w:pStyle w:val="rtejustify"/>
        <w:spacing w:before="0" w:after="0"/>
        <w:rPr>
          <w:color w:val="000000" w:themeColor="text1"/>
          <w:sz w:val="16"/>
          <w:szCs w:val="16"/>
        </w:rPr>
      </w:pPr>
      <w:r w:rsidRPr="005E779E">
        <w:rPr>
          <w:color w:val="000000" w:themeColor="text1"/>
          <w:sz w:val="16"/>
          <w:szCs w:val="16"/>
        </w:rPr>
        <w:t>Работают 18 чел., из них: руководителей организации — 4 чел., диверсантов — 12 чел., активных членов организации — 2 чел. Группа не может быть передана, так как с передачей может быть ликвидирована начатая работа, имеющая большое значение в области обороны страны. Помимо этого, вопрос передачи связан с большими сроками, почему более целесообразно закончить начатую работу⁵*.</w:t>
      </w:r>
    </w:p>
    <w:p w14:paraId="608D19D6" w14:textId="77777777" w:rsidR="003371BD" w:rsidRPr="005E779E" w:rsidRDefault="003371BD" w:rsidP="000B7A6C">
      <w:pPr>
        <w:pStyle w:val="ae"/>
        <w:spacing w:before="0" w:after="0"/>
        <w:jc w:val="both"/>
        <w:rPr>
          <w:color w:val="000000" w:themeColor="text1"/>
          <w:sz w:val="16"/>
          <w:szCs w:val="16"/>
        </w:rPr>
      </w:pPr>
      <w:r w:rsidRPr="005E779E">
        <w:rPr>
          <w:rStyle w:val="af0"/>
          <w:i w:val="0"/>
          <w:color w:val="000000" w:themeColor="text1"/>
          <w:sz w:val="16"/>
          <w:szCs w:val="16"/>
        </w:rPr>
        <w:t xml:space="preserve">Зам. председателя ОГПУ </w:t>
      </w:r>
      <w:hyperlink r:id="rId175" w:history="1">
        <w:r w:rsidRPr="005E779E">
          <w:rPr>
            <w:rStyle w:val="af0"/>
            <w:i w:val="0"/>
            <w:color w:val="000000" w:themeColor="text1"/>
            <w:sz w:val="16"/>
            <w:szCs w:val="16"/>
          </w:rPr>
          <w:t>Акулов</w:t>
        </w:r>
      </w:hyperlink>
      <w:r w:rsidRPr="005E779E">
        <w:rPr>
          <w:rStyle w:val="af0"/>
          <w:i w:val="0"/>
          <w:color w:val="000000" w:themeColor="text1"/>
          <w:sz w:val="16"/>
          <w:szCs w:val="16"/>
        </w:rPr>
        <w:t>⁶*</w:t>
      </w:r>
    </w:p>
    <w:p w14:paraId="202516C3" w14:textId="77777777" w:rsidR="003371BD" w:rsidRPr="005E779E" w:rsidRDefault="003371BD" w:rsidP="000B7A6C">
      <w:pPr>
        <w:pStyle w:val="ae"/>
        <w:spacing w:before="0" w:after="0"/>
        <w:jc w:val="both"/>
        <w:rPr>
          <w:color w:val="000000" w:themeColor="text1"/>
          <w:sz w:val="16"/>
          <w:szCs w:val="16"/>
        </w:rPr>
      </w:pPr>
      <w:r w:rsidRPr="005E779E">
        <w:rPr>
          <w:rStyle w:val="af0"/>
          <w:i w:val="0"/>
          <w:color w:val="000000" w:themeColor="text1"/>
          <w:sz w:val="16"/>
          <w:szCs w:val="16"/>
        </w:rPr>
        <w:t xml:space="preserve">Начальник ЭКУ ОГПУ </w:t>
      </w:r>
      <w:hyperlink r:id="rId176" w:history="1">
        <w:r w:rsidRPr="005E779E">
          <w:rPr>
            <w:rStyle w:val="af0"/>
            <w:i w:val="0"/>
            <w:color w:val="000000" w:themeColor="text1"/>
            <w:sz w:val="16"/>
            <w:szCs w:val="16"/>
          </w:rPr>
          <w:t>Миронов</w:t>
        </w:r>
      </w:hyperlink>
    </w:p>
    <w:p w14:paraId="49E6FF85" w14:textId="77777777" w:rsidR="003371BD" w:rsidRPr="005E779E" w:rsidRDefault="003371BD" w:rsidP="000B7A6C">
      <w:pPr>
        <w:pStyle w:val="ae"/>
        <w:spacing w:before="0" w:after="0"/>
        <w:jc w:val="both"/>
        <w:rPr>
          <w:color w:val="000000" w:themeColor="text1"/>
          <w:sz w:val="16"/>
          <w:szCs w:val="16"/>
        </w:rPr>
      </w:pPr>
      <w:r w:rsidRPr="005E779E">
        <w:rPr>
          <w:rStyle w:val="af0"/>
          <w:i w:val="0"/>
          <w:color w:val="000000" w:themeColor="text1"/>
          <w:sz w:val="16"/>
          <w:szCs w:val="16"/>
        </w:rPr>
        <w:t>Примечания</w:t>
      </w:r>
      <w:r w:rsidRPr="005E779E">
        <w:rPr>
          <w:color w:val="000000" w:themeColor="text1"/>
          <w:sz w:val="16"/>
          <w:szCs w:val="16"/>
        </w:rPr>
        <w:t>:</w:t>
      </w:r>
    </w:p>
    <w:p w14:paraId="3DE57280" w14:textId="77777777" w:rsidR="003371BD" w:rsidRPr="005E779E" w:rsidRDefault="003371BD" w:rsidP="000B7A6C">
      <w:pPr>
        <w:pStyle w:val="rtejustify"/>
        <w:spacing w:before="0" w:after="0"/>
        <w:rPr>
          <w:color w:val="000000" w:themeColor="text1"/>
          <w:sz w:val="16"/>
          <w:szCs w:val="16"/>
        </w:rPr>
      </w:pPr>
      <w:r w:rsidRPr="005E779E">
        <w:rPr>
          <w:color w:val="000000" w:themeColor="text1"/>
          <w:sz w:val="16"/>
          <w:szCs w:val="16"/>
          <w:vertAlign w:val="superscript"/>
        </w:rPr>
        <w:t>1</w:t>
      </w:r>
      <w:r w:rsidRPr="005E779E">
        <w:rPr>
          <w:color w:val="000000" w:themeColor="text1"/>
          <w:sz w:val="16"/>
          <w:szCs w:val="16"/>
        </w:rPr>
        <w:t>* Датируется по сопроводительному письму.</w:t>
      </w:r>
    </w:p>
    <w:p w14:paraId="26666288" w14:textId="77777777" w:rsidR="003371BD" w:rsidRPr="005E779E" w:rsidRDefault="003371BD" w:rsidP="000B7A6C">
      <w:pPr>
        <w:pStyle w:val="rtejustify"/>
        <w:spacing w:before="0" w:after="0"/>
        <w:rPr>
          <w:color w:val="000000" w:themeColor="text1"/>
          <w:sz w:val="16"/>
          <w:szCs w:val="16"/>
        </w:rPr>
      </w:pPr>
      <w:r w:rsidRPr="005E779E">
        <w:rPr>
          <w:color w:val="000000" w:themeColor="text1"/>
          <w:sz w:val="16"/>
          <w:szCs w:val="16"/>
          <w:vertAlign w:val="superscript"/>
        </w:rPr>
        <w:t>2</w:t>
      </w:r>
      <w:r w:rsidRPr="005E779E">
        <w:rPr>
          <w:color w:val="000000" w:themeColor="text1"/>
          <w:sz w:val="16"/>
          <w:szCs w:val="16"/>
        </w:rPr>
        <w:t>* Так в тексте.</w:t>
      </w:r>
    </w:p>
    <w:p w14:paraId="40DEC091" w14:textId="77777777" w:rsidR="003371BD" w:rsidRPr="005E779E" w:rsidRDefault="003371BD" w:rsidP="000B7A6C">
      <w:pPr>
        <w:pStyle w:val="rtejustify"/>
        <w:spacing w:before="0" w:after="0"/>
        <w:rPr>
          <w:color w:val="000000" w:themeColor="text1"/>
          <w:sz w:val="16"/>
          <w:szCs w:val="16"/>
        </w:rPr>
      </w:pPr>
      <w:r w:rsidRPr="005E779E">
        <w:rPr>
          <w:color w:val="000000" w:themeColor="text1"/>
          <w:sz w:val="16"/>
          <w:szCs w:val="16"/>
          <w:vertAlign w:val="superscript"/>
        </w:rPr>
        <w:t>3</w:t>
      </w:r>
      <w:r w:rsidRPr="005E779E">
        <w:rPr>
          <w:color w:val="000000" w:themeColor="text1"/>
          <w:sz w:val="16"/>
          <w:szCs w:val="16"/>
        </w:rPr>
        <w:t>* </w:t>
      </w:r>
      <w:r w:rsidRPr="005E779E">
        <w:rPr>
          <w:rStyle w:val="af0"/>
          <w:i w:val="0"/>
          <w:color w:val="000000" w:themeColor="text1"/>
          <w:sz w:val="16"/>
          <w:szCs w:val="16"/>
        </w:rPr>
        <w:t>Промпартия —</w:t>
      </w:r>
      <w:r w:rsidRPr="005E779E">
        <w:rPr>
          <w:color w:val="000000" w:themeColor="text1"/>
          <w:sz w:val="16"/>
          <w:szCs w:val="16"/>
        </w:rPr>
        <w:t xml:space="preserve"> процесс над «Промышленной партией» стал первым в серии крупных публичных процессов 1930</w:t>
      </w:r>
      <w:r w:rsidRPr="005E779E">
        <w:rPr>
          <w:color w:val="000000" w:themeColor="text1"/>
          <w:sz w:val="16"/>
          <w:szCs w:val="16"/>
        </w:rPr>
        <w:noBreakHyphen/>
        <w:t>1931 гг. Сфабрикованные обвинения в связях с белогвардейской эмиграцией, вредительстве, подготовке свержения советской власти были предъявлены восьми обвиняемым, пять из которых (Л. К. Рамзин, И. А. Калинников, В. А. Ларичев, Н. Ф. Чарновский, А. А. Федотов) в декабре 1930 г. были приговорены к расстрелу, остальные — к 10 годам лишения свободы. Впоследствии расстрел был заменен 10</w:t>
      </w:r>
      <w:r w:rsidRPr="005E779E">
        <w:rPr>
          <w:color w:val="000000" w:themeColor="text1"/>
          <w:sz w:val="16"/>
          <w:szCs w:val="16"/>
        </w:rPr>
        <w:noBreakHyphen/>
        <w:t>летним сроком заключения, наказания другим обвиняемым также были снижены. Обвинение опиралось в основном на собственные признания подсудимых, которые выбивались с помощью пыток или запугивания. Когда же дело доходило до доказательств, то, как правило, выяснялось, что речь главным образом шла об отстаивании умеренных темпов развития страны. Кроме основного дела были сфабрикованы так называемые отраслевые дела Промпартии о «вредительстве»: в угольной, нефтяной, текстильной, лесной, цементной, электротехнической, энергетической и металлопромышленности, в химической секции Госплана, в области топливоснабжения, в Наркомате путей сообщения; а также дела «ленинградской группы», «профсоюза инженерно-технических работников», экономической группы в ВСНХ, «отраслевой контрреволюционной организации Промпартии в Госплане» и др. (См.: Процесс Промпартии (25 ноября — 7 декабря 1930 г.): Стенограмма судебного процесса и материалы, приобщенные к делу. М., 1931; СЗ СССР. 1936. № 11. Ст. 92).</w:t>
      </w:r>
    </w:p>
    <w:p w14:paraId="3C8E4741" w14:textId="77777777" w:rsidR="003371BD" w:rsidRPr="005E779E" w:rsidRDefault="003371BD" w:rsidP="000B7A6C">
      <w:pPr>
        <w:pStyle w:val="rtejustify"/>
        <w:spacing w:before="0" w:after="0"/>
        <w:rPr>
          <w:color w:val="000000" w:themeColor="text1"/>
          <w:sz w:val="16"/>
          <w:szCs w:val="16"/>
        </w:rPr>
      </w:pPr>
      <w:r w:rsidRPr="005E779E">
        <w:rPr>
          <w:color w:val="000000" w:themeColor="text1"/>
          <w:sz w:val="16"/>
          <w:szCs w:val="16"/>
          <w:vertAlign w:val="superscript"/>
        </w:rPr>
        <w:t>4</w:t>
      </w:r>
      <w:r w:rsidRPr="005E779E">
        <w:rPr>
          <w:color w:val="000000" w:themeColor="text1"/>
          <w:sz w:val="16"/>
          <w:szCs w:val="16"/>
        </w:rPr>
        <w:t>* Так в тексте.</w:t>
      </w:r>
    </w:p>
    <w:p w14:paraId="39505484" w14:textId="77777777" w:rsidR="003371BD" w:rsidRPr="005E779E" w:rsidRDefault="003371BD" w:rsidP="000B7A6C">
      <w:pPr>
        <w:pStyle w:val="rtejustify"/>
        <w:spacing w:before="0" w:after="0"/>
        <w:rPr>
          <w:color w:val="000000" w:themeColor="text1"/>
          <w:sz w:val="16"/>
          <w:szCs w:val="16"/>
        </w:rPr>
      </w:pPr>
      <w:r w:rsidRPr="005E779E">
        <w:rPr>
          <w:color w:val="000000" w:themeColor="text1"/>
          <w:sz w:val="16"/>
          <w:szCs w:val="16"/>
          <w:vertAlign w:val="superscript"/>
        </w:rPr>
        <w:t>5</w:t>
      </w:r>
      <w:r w:rsidRPr="005E779E">
        <w:rPr>
          <w:color w:val="000000" w:themeColor="text1"/>
          <w:sz w:val="16"/>
          <w:szCs w:val="16"/>
        </w:rPr>
        <w:t>* Опущены разделы: «Химико-энергетическое машиностроение», «Котел высокого давления», «Блюминг», «Электромоторы», «Электроэнергетика», «Текстиль», «Уголь».</w:t>
      </w:r>
    </w:p>
    <w:p w14:paraId="59C725DE" w14:textId="77777777" w:rsidR="003371BD" w:rsidRPr="005E779E" w:rsidRDefault="003371BD" w:rsidP="000B7A6C">
      <w:pPr>
        <w:pStyle w:val="rtejustify"/>
        <w:spacing w:before="0" w:after="0"/>
        <w:rPr>
          <w:color w:val="000000" w:themeColor="text1"/>
          <w:sz w:val="16"/>
          <w:szCs w:val="16"/>
        </w:rPr>
      </w:pPr>
      <w:r w:rsidRPr="005E779E">
        <w:rPr>
          <w:color w:val="000000" w:themeColor="text1"/>
          <w:sz w:val="16"/>
          <w:szCs w:val="16"/>
          <w:vertAlign w:val="superscript"/>
        </w:rPr>
        <w:t>6</w:t>
      </w:r>
      <w:r w:rsidRPr="005E779E">
        <w:rPr>
          <w:color w:val="000000" w:themeColor="text1"/>
          <w:sz w:val="16"/>
          <w:szCs w:val="16"/>
        </w:rPr>
        <w:t>* Подпись И. А. Акулова отсутствует.</w:t>
      </w:r>
    </w:p>
    <w:p w14:paraId="48048E4A" w14:textId="77777777" w:rsidR="003371BD" w:rsidRPr="005E779E" w:rsidRDefault="003371BD" w:rsidP="000B7A6C">
      <w:pPr>
        <w:pStyle w:val="ae"/>
        <w:spacing w:before="0" w:after="0"/>
        <w:jc w:val="both"/>
        <w:rPr>
          <w:color w:val="000000" w:themeColor="text1"/>
          <w:sz w:val="16"/>
          <w:szCs w:val="16"/>
        </w:rPr>
      </w:pPr>
      <w:r w:rsidRPr="005E779E">
        <w:rPr>
          <w:color w:val="000000" w:themeColor="text1"/>
          <w:sz w:val="16"/>
          <w:szCs w:val="16"/>
        </w:rPr>
        <w:t>АП РФ. Ф. 3. Оп. 58. Д. 142. Л. 3—12. Подлинник.</w:t>
      </w:r>
    </w:p>
    <w:p w14:paraId="71D38226"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Архив: АП РФ. Ф. 3. Оп. 58. Д. 142. Л. 3—12. Подлинник. </w:t>
      </w:r>
    </w:p>
    <w:p w14:paraId="5A34E0C4"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Источник: Становление оборонно-промышленного комплекса СССР (1927-1932). М. 2008, стр. 561-566 (12534).</w:t>
      </w:r>
    </w:p>
    <w:p w14:paraId="399FADDF" w14:textId="77777777" w:rsidR="003371BD" w:rsidRPr="005E779E" w:rsidRDefault="003371BD" w:rsidP="000B7A6C">
      <w:pPr>
        <w:spacing w:after="0" w:line="240" w:lineRule="auto"/>
        <w:jc w:val="both"/>
        <w:rPr>
          <w:rFonts w:ascii="Times New Roman" w:hAnsi="Times New Roman"/>
          <w:color w:val="000000" w:themeColor="text1"/>
          <w:sz w:val="16"/>
          <w:szCs w:val="16"/>
        </w:rPr>
      </w:pPr>
    </w:p>
    <w:p w14:paraId="3DDE28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7 сентября 1931 г. Секретариат коллегии ОГПУ направил Кагановичу Письмо (АП РФ Ф. 3. Оп. 58. Д. 142), в котором доказывал невозможность ликвидации шарашек и освобождении специалистов, находящихся в Конструкторских Бюро при ОГПУ в Москве, Ленинграде, Зап. Сибири, в Ростове-на-Дону и других городах. </w:t>
      </w:r>
    </w:p>
    <w:p w14:paraId="0ECCD3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письме Миронов перечислил контингенты заключенных, которые в Конструкторских Бюро при ОГПУ работают над созданием технических средств, способных в значительной степени повысить обороноспособность СССР: Шпионов 74 Террористов 9 Руководит, вред, организаций 98 Диверсантов 44 Членов промпартий 14 Активных к/революционеров 184 Подследственных 160 </w:t>
      </w:r>
    </w:p>
    <w:p w14:paraId="62CBE9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Разве можно их использовать без присмотра служб ОГПУ… </w:t>
      </w:r>
    </w:p>
    <w:p w14:paraId="43BD8E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Возможно, что в работе начальника ЭКУ Миронова Л. Г. по созданию тюрем-шарашек были определенные перегибы, поскольку, в связи очередным поворотом в сталинской политике, Миронов за свое чрезмерное рвение в работе по организации шарашек, 1.07.37 г. был осужден к ВМН и расстрелян 29.08.38 г. </w:t>
      </w:r>
    </w:p>
    <w:p w14:paraId="5A0760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Аналогичная судьба постигла столь же фанатичного его первого заместителя Горянова-Горного (Бенковича) Анатолия Георгиевича. Возглавивший организацию центрального конструкторского бюро на авиазаводе № 39, он в Бутырской тюрьме оборудовал несколько камер чертежными досками и другими необходимыми чертежными принадлежностями, создав около 200 рабочих мест для конструкторов. </w:t>
      </w:r>
    </w:p>
    <w:p w14:paraId="680195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Чтобы заполнить "вакансии" создаваемой шарашки, было арестовано более 200 ученых, полтора десятка членов и членов-корреспондентов Академии наук, более двух десятков докторов наук и профессоров, а также значительное количество рабочих авиастроения. </w:t>
      </w:r>
    </w:p>
    <w:p w14:paraId="1FC7E8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Анатолий Горянов был признан "врагом народа" следом за Львом Мироновым 23.07.37 г. и расстрелян 27.10.37 г. по приговору ВК ВС СССР с лишением всех наград и почестей (12107).</w:t>
      </w:r>
    </w:p>
    <w:p w14:paraId="533FD8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353A336" w14:textId="77777777" w:rsidR="00CE3511" w:rsidRPr="005E779E" w:rsidRDefault="00CE351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сентября 1931 Заместитель председателя ОГПУ тов. Акулов в своей справке о работе ОКБ при этом ведомстве, адресованной секретарю ЦК ВКП(б) тов. Кагановичу (справка №40689 от 07.09.1931 г.), отмечал, что заключенными специалистами (по совместительству, разумеется, — «шпионами», «диверсантами» и «активными членами контрреволюционных организаций») проделаны следующие работы (орфография сохранена):</w:t>
      </w:r>
    </w:p>
    <w:p w14:paraId="4AA9290E" w14:textId="77777777" w:rsidR="00CE3511" w:rsidRPr="005E779E" w:rsidRDefault="00CE351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 Разработан новый химико-энергетический метод получения из низкосортного топлива типа торф, бурые угли и т.д., синтетический аммиак, для промышленных и азотистых соединений и высококалорийный газ, обеспечивающий снабжение силовых установок. В осуществление данного метода строится газогенератор (19606).</w:t>
      </w:r>
    </w:p>
    <w:p w14:paraId="5698E124" w14:textId="77777777" w:rsidR="00CE3511" w:rsidRPr="005E779E" w:rsidRDefault="00CE351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Разработан способ фракционировки коксового газа. Технические показатели способа: портативность установки, максимальная экономия в металле, увеличение ассортимента полезных продуктов и выхода их, полное использование коксита, сжиганием в генераторах и получение, таким образом, водорода, для синтеза аммиака.</w:t>
      </w:r>
    </w:p>
    <w:p w14:paraId="420200DD" w14:textId="77777777" w:rsidR="00CE3511" w:rsidRPr="005E779E" w:rsidRDefault="00CE351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Спроектирован и находится в изготовлении газогенератор непрерывного действия для газификации торфа и низкосортных углей. Детали генератора изготовлены на 70 %, окончание работ к 1-му ноября 1931 г.</w:t>
      </w:r>
    </w:p>
    <w:p w14:paraId="61E7EF81" w14:textId="77777777" w:rsidR="00CE3511" w:rsidRPr="005E779E" w:rsidRDefault="00CE351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Спроектирован газогенератор легкого типа для тяжелого автотранспорта, тракторов и ж.д. мотовозов в целях перевода их на твёрдое топливо. Проект сдан в завод на изготовление. Окончание 1-е декабря 1931 г.» (19606).</w:t>
      </w:r>
    </w:p>
    <w:p w14:paraId="19DC242C" w14:textId="77777777" w:rsidR="00CE3511" w:rsidRPr="005E779E" w:rsidRDefault="00CE3511" w:rsidP="000B7A6C">
      <w:pPr>
        <w:spacing w:after="0" w:line="240" w:lineRule="auto"/>
        <w:jc w:val="both"/>
        <w:rPr>
          <w:rFonts w:ascii="Times New Roman" w:hAnsi="Times New Roman"/>
          <w:color w:val="000000" w:themeColor="text1"/>
          <w:sz w:val="16"/>
          <w:szCs w:val="16"/>
        </w:rPr>
      </w:pPr>
    </w:p>
    <w:p w14:paraId="2D646C93" w14:textId="77777777" w:rsidR="00CE3511" w:rsidRPr="005E779E" w:rsidRDefault="00CE351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7 сентября 1931 г. Секретариат коллегии ОГПУ направил Кагановичу Письмо (АП РФ Ф. 3. Оп. 58. Д. 142), в котором доказывал невозможность ликвидации шарашек и освобождении специалистов, находящихся в Конструкторских Бюро при ОГПУ в Москве, Ленинграде, Зап. Сибири, в Ростове-на-Дону и других городах. В письме </w:t>
      </w:r>
      <w:r w:rsidRPr="005E779E">
        <w:rPr>
          <w:rFonts w:ascii="Times New Roman" w:hAnsi="Times New Roman"/>
          <w:color w:val="000000" w:themeColor="text1"/>
          <w:sz w:val="16"/>
          <w:szCs w:val="16"/>
        </w:rPr>
        <w:lastRenderedPageBreak/>
        <w:t>Миронов перечислил контингенты заключенных, которые в Конструкторских Бюро при ОГПУ работают над созданием технических средств, способных в значительной степени повысить обороноспособность СССР: Шпионов 74 Террористов 9 Руководит, вред, организаций 98 Диверсантов 44 Членов промпартий 14 Активных к/революционеров 184 Подследственных 160 Разве можно их использовать без присмотра служб ОГПУ… Возможно, что в работе начальника ЭКУ Миронова Л. Г. по созданию тюрем-шарашек были определенные перегибы, поскольку, в связи очередным поворотом в сталинской политике, Миронов за свое чрезмерное рвение в работе по организации шарашек, 1.07.37 г. был осужден к ВМН и расстрелян 29.08.38 г. Аналогичная судьба постигла столь же фанатичного его первого заместителя Горянова-Горного (Бенковича) Анатолия Георгиевича. Возглавивший организацию центрального конструкторского бюро на авиазаводе № 39, он в Бутырской тюрьме оборудовал несколько камер чертежными досками и другими необходимыми чертежными принадлежностями, создав около 200 рабочих мест для конструкторов. Чтобы заполнить «вакансии» создаваемой шарашки, было арестовано более 200 ученых, полтора десятка членов и членов-корреспондентов Академии наук, более двух десятков докторов наук и профессоров, а также значительное количество рабочих авиастроения. Анатолий Горянов был признан «врагом народа» следом за Львом Мироновым 23.07.37 г. и расстрелян 27.10.37 г. по приговору ВК ВС СССР с лишением всех наград и почестей (18668).</w:t>
      </w:r>
    </w:p>
    <w:p w14:paraId="00A60CE9" w14:textId="77777777" w:rsidR="00CE3511" w:rsidRPr="005E779E" w:rsidRDefault="00CE3511" w:rsidP="000B7A6C">
      <w:pPr>
        <w:spacing w:after="0" w:line="240" w:lineRule="auto"/>
        <w:jc w:val="both"/>
        <w:rPr>
          <w:rFonts w:ascii="Times New Roman" w:hAnsi="Times New Roman"/>
          <w:color w:val="000000" w:themeColor="text1"/>
          <w:sz w:val="16"/>
          <w:szCs w:val="16"/>
        </w:rPr>
      </w:pPr>
    </w:p>
    <w:p w14:paraId="57D0F5AE" w14:textId="77777777" w:rsidR="00D968D0" w:rsidRPr="00142305" w:rsidRDefault="00D968D0" w:rsidP="00D968D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7 сент. 1931 г.</w:t>
      </w:r>
    </w:p>
    <w:p w14:paraId="066E05CE" w14:textId="77777777" w:rsidR="00D968D0" w:rsidRPr="00142305" w:rsidRDefault="00D968D0" w:rsidP="00D968D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40689</w:t>
      </w:r>
    </w:p>
    <w:p w14:paraId="45E17166" w14:textId="77777777" w:rsidR="00D968D0" w:rsidRPr="00142305" w:rsidRDefault="00D968D0" w:rsidP="00D968D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ЦКВКП(б)</w:t>
      </w:r>
    </w:p>
    <w:p w14:paraId="74C82D6B" w14:textId="77777777" w:rsidR="00D968D0" w:rsidRPr="00142305" w:rsidRDefault="00D968D0" w:rsidP="00D968D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тов. КАГАНОВИЧУ.</w:t>
      </w:r>
    </w:p>
    <w:p w14:paraId="3E835A22" w14:textId="77777777" w:rsidR="00D968D0" w:rsidRPr="00142305" w:rsidRDefault="00D968D0" w:rsidP="00D968D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 досрочно-условном освобождении спецконтингента.</w:t>
      </w:r>
    </w:p>
    <w:p w14:paraId="5025925B" w14:textId="77777777" w:rsidR="00D968D0" w:rsidRPr="00142305" w:rsidRDefault="00D968D0" w:rsidP="00D968D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Конструкторские Бюро при ОГПУ созданы и работают в Москве, Ленинграде, Зап. Сибири и Ростове на Дону. Направляя Вам для ознакомления справку о проделываемой в этих Бюро работах, считаю необходимым подчеркнуть, что в составе Конструкторских Бюро находится:</w:t>
      </w:r>
    </w:p>
    <w:p w14:paraId="4C6C9C40" w14:textId="3F0BA66C" w:rsidR="00D968D0" w:rsidRPr="00142305" w:rsidRDefault="00D968D0" w:rsidP="00D968D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Шпионов</w:t>
      </w:r>
      <w:r w:rsidR="00FE094E">
        <w:rPr>
          <w:rFonts w:ascii="Times New Roman" w:hAnsi="Times New Roman"/>
          <w:color w:val="0070C0"/>
          <w:sz w:val="16"/>
          <w:szCs w:val="16"/>
        </w:rPr>
        <w:t xml:space="preserve">                        </w:t>
      </w:r>
      <w:r w:rsidRPr="00142305">
        <w:rPr>
          <w:rFonts w:ascii="Times New Roman" w:hAnsi="Times New Roman"/>
          <w:color w:val="0070C0"/>
          <w:sz w:val="16"/>
          <w:szCs w:val="16"/>
        </w:rPr>
        <w:t xml:space="preserve"> 74 чел.</w:t>
      </w:r>
    </w:p>
    <w:p w14:paraId="7DB3325D" w14:textId="4ACAF799" w:rsidR="00D968D0" w:rsidRPr="00142305" w:rsidRDefault="00D968D0" w:rsidP="00D968D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Террористов</w:t>
      </w:r>
      <w:r w:rsidR="00FE094E">
        <w:rPr>
          <w:rFonts w:ascii="Times New Roman" w:hAnsi="Times New Roman"/>
          <w:color w:val="0070C0"/>
          <w:sz w:val="16"/>
          <w:szCs w:val="16"/>
        </w:rPr>
        <w:t xml:space="preserve">                       </w:t>
      </w:r>
      <w:r w:rsidRPr="00142305">
        <w:rPr>
          <w:rFonts w:ascii="Times New Roman" w:hAnsi="Times New Roman"/>
          <w:color w:val="0070C0"/>
          <w:sz w:val="16"/>
          <w:szCs w:val="16"/>
        </w:rPr>
        <w:t>9 «</w:t>
      </w:r>
    </w:p>
    <w:p w14:paraId="5EA0284C" w14:textId="63BE5D1D" w:rsidR="00D968D0" w:rsidRPr="00142305" w:rsidRDefault="00D968D0" w:rsidP="00D968D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Руководит, организ.</w:t>
      </w:r>
      <w:r w:rsidR="00FE094E">
        <w:rPr>
          <w:rFonts w:ascii="Times New Roman" w:hAnsi="Times New Roman"/>
          <w:color w:val="0070C0"/>
          <w:sz w:val="16"/>
          <w:szCs w:val="16"/>
        </w:rPr>
        <w:t xml:space="preserve">                </w:t>
      </w:r>
      <w:r w:rsidRPr="00142305">
        <w:rPr>
          <w:rFonts w:ascii="Times New Roman" w:hAnsi="Times New Roman"/>
          <w:color w:val="0070C0"/>
          <w:sz w:val="16"/>
          <w:szCs w:val="16"/>
        </w:rPr>
        <w:t>98 «</w:t>
      </w:r>
    </w:p>
    <w:p w14:paraId="4136D808" w14:textId="4F2D31E9" w:rsidR="00D968D0" w:rsidRPr="00142305" w:rsidRDefault="00D968D0" w:rsidP="00D968D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Диверсантов</w:t>
      </w:r>
      <w:r w:rsidR="00FE094E">
        <w:rPr>
          <w:rFonts w:ascii="Times New Roman" w:hAnsi="Times New Roman"/>
          <w:color w:val="0070C0"/>
          <w:sz w:val="16"/>
          <w:szCs w:val="16"/>
        </w:rPr>
        <w:t xml:space="preserve">                      </w:t>
      </w:r>
      <w:r w:rsidRPr="00142305">
        <w:rPr>
          <w:rFonts w:ascii="Times New Roman" w:hAnsi="Times New Roman"/>
          <w:color w:val="0070C0"/>
          <w:sz w:val="16"/>
          <w:szCs w:val="16"/>
        </w:rPr>
        <w:t>44 «</w:t>
      </w:r>
    </w:p>
    <w:p w14:paraId="700A7E60" w14:textId="00550D66" w:rsidR="00D968D0" w:rsidRPr="00142305" w:rsidRDefault="00D968D0" w:rsidP="00D968D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Членов промпартий</w:t>
      </w:r>
      <w:r w:rsidR="00FE094E">
        <w:rPr>
          <w:rFonts w:ascii="Times New Roman" w:hAnsi="Times New Roman"/>
          <w:color w:val="0070C0"/>
          <w:sz w:val="16"/>
          <w:szCs w:val="16"/>
        </w:rPr>
        <w:t xml:space="preserve">                </w:t>
      </w:r>
      <w:r w:rsidRPr="00142305">
        <w:rPr>
          <w:rFonts w:ascii="Times New Roman" w:hAnsi="Times New Roman"/>
          <w:color w:val="0070C0"/>
          <w:sz w:val="16"/>
          <w:szCs w:val="16"/>
        </w:rPr>
        <w:t>14 «</w:t>
      </w:r>
    </w:p>
    <w:p w14:paraId="5D9F100D" w14:textId="577E5C13" w:rsidR="00D968D0" w:rsidRPr="00142305" w:rsidRDefault="00D968D0" w:rsidP="00D968D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Активных к/революцион.</w:t>
      </w:r>
      <w:r w:rsidR="00FE094E">
        <w:rPr>
          <w:rFonts w:ascii="Times New Roman" w:hAnsi="Times New Roman"/>
          <w:color w:val="0070C0"/>
          <w:sz w:val="16"/>
          <w:szCs w:val="16"/>
        </w:rPr>
        <w:t xml:space="preserve">           </w:t>
      </w:r>
      <w:r w:rsidRPr="00142305">
        <w:rPr>
          <w:rFonts w:ascii="Times New Roman" w:hAnsi="Times New Roman"/>
          <w:color w:val="0070C0"/>
          <w:sz w:val="16"/>
          <w:szCs w:val="16"/>
        </w:rPr>
        <w:t>184 «</w:t>
      </w:r>
    </w:p>
    <w:p w14:paraId="3A37A135" w14:textId="77777777" w:rsidR="00D968D0" w:rsidRPr="00142305" w:rsidRDefault="00D968D0" w:rsidP="00D968D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Из общего числа (423) — подследств. 160 «</w:t>
      </w:r>
    </w:p>
    <w:p w14:paraId="033049F8" w14:textId="77777777" w:rsidR="00D968D0" w:rsidRPr="00142305" w:rsidRDefault="00D968D0" w:rsidP="00D968D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Вполне естественно, что освобождение руководителей к/р организаций, шпионов, диверсантов и террористов не представляется возможным. В равной степени не могут быть до окончания следствия освобождены 160 человек по коим дела еще не закончены.</w:t>
      </w:r>
    </w:p>
    <w:p w14:paraId="6E926F28" w14:textId="77777777" w:rsidR="00D968D0" w:rsidRPr="00142305" w:rsidRDefault="00D968D0" w:rsidP="00D968D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Кроме того, подавляющее большинство работ будут закончены в первой половине 1932 года, почему освобождение специалистов в данный момент особенно не целесообразно, тем более если учесть, что подавляющий процент работ носят оборонный характер. В Ростовском же ОКБ значительная часть специалистов — ирригаторы и для ВСНХ ценности не представляют.</w:t>
      </w:r>
    </w:p>
    <w:p w14:paraId="02BF36FE" w14:textId="77777777" w:rsidR="00D968D0" w:rsidRPr="00142305" w:rsidRDefault="00D968D0" w:rsidP="00D968D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Справку посылаю Вам до совещания с тов. ОРДЖОНИКИДЗЕ в порядке личной информации.</w:t>
      </w:r>
    </w:p>
    <w:p w14:paraId="7CAD5036" w14:textId="64936EE2" w:rsidR="00D968D0" w:rsidRPr="00142305" w:rsidRDefault="00D968D0" w:rsidP="00D968D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ЗАМ ПРЕД ОГПУ:</w:t>
      </w:r>
      <w:r w:rsidR="00FE094E">
        <w:rPr>
          <w:rFonts w:ascii="Times New Roman" w:hAnsi="Times New Roman"/>
          <w:color w:val="0070C0"/>
          <w:sz w:val="16"/>
          <w:szCs w:val="16"/>
        </w:rPr>
        <w:t xml:space="preserve"> </w:t>
      </w:r>
      <w:r w:rsidRPr="00142305">
        <w:rPr>
          <w:rFonts w:ascii="Times New Roman" w:hAnsi="Times New Roman"/>
          <w:color w:val="0070C0"/>
          <w:sz w:val="16"/>
          <w:szCs w:val="16"/>
        </w:rPr>
        <w:t xml:space="preserve"> /АКУЛОВ/</w:t>
      </w:r>
    </w:p>
    <w:p w14:paraId="1FEB32B0" w14:textId="77777777" w:rsidR="00D968D0" w:rsidRPr="00142305" w:rsidRDefault="00D968D0" w:rsidP="00D968D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АПРФ. Ф. 3. Оп. 58. Д. 142. Л. 2 (25371).</w:t>
      </w:r>
    </w:p>
    <w:p w14:paraId="1D04594A" w14:textId="77777777" w:rsidR="00D968D0" w:rsidRPr="00142305" w:rsidRDefault="00D968D0" w:rsidP="00D968D0">
      <w:pPr>
        <w:spacing w:after="0" w:line="240" w:lineRule="auto"/>
        <w:jc w:val="both"/>
        <w:rPr>
          <w:rFonts w:ascii="Times New Roman" w:hAnsi="Times New Roman"/>
          <w:color w:val="0070C0"/>
          <w:sz w:val="16"/>
          <w:szCs w:val="16"/>
        </w:rPr>
      </w:pPr>
    </w:p>
    <w:p w14:paraId="7D4A0163" w14:textId="77777777" w:rsidR="003E28CB" w:rsidRPr="005E779E" w:rsidRDefault="003E28CB"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7 сентября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Постановление СНК СССР № 193с об улучшении рабочего снабжения на предприятиях и новостройках ВАО (ГА РФ. Ф. Р?8418. Оп. 28. Д. 14а. Л. 61?62) (12415).</w:t>
      </w:r>
    </w:p>
    <w:p w14:paraId="1B241C65" w14:textId="77777777" w:rsidR="003E28CB" w:rsidRPr="005E779E" w:rsidRDefault="003E28CB" w:rsidP="000B7A6C">
      <w:pPr>
        <w:spacing w:after="0" w:line="240" w:lineRule="auto"/>
        <w:jc w:val="both"/>
        <w:rPr>
          <w:rFonts w:ascii="Times New Roman" w:hAnsi="Times New Roman"/>
          <w:color w:val="000000" w:themeColor="text1"/>
          <w:sz w:val="16"/>
          <w:szCs w:val="16"/>
          <w:u w:color="002060"/>
        </w:rPr>
      </w:pPr>
    </w:p>
    <w:p w14:paraId="38C1B7BE" w14:textId="7A3D2D73" w:rsidR="007F1987" w:rsidRPr="005E779E" w:rsidRDefault="007F1987" w:rsidP="000B7A6C">
      <w:pPr>
        <w:autoSpaceDE w:val="0"/>
        <w:autoSpaceDN w:val="0"/>
        <w:adjustRightInd w:val="0"/>
        <w:spacing w:after="0" w:line="240" w:lineRule="auto"/>
        <w:jc w:val="both"/>
        <w:rPr>
          <w:rFonts w:ascii="Times New Roman" w:hAnsi="Times New Roman"/>
          <w:i/>
          <w:iCs/>
          <w:color w:val="000000" w:themeColor="text1"/>
          <w:sz w:val="16"/>
          <w:szCs w:val="16"/>
        </w:rPr>
      </w:pPr>
      <w:r w:rsidRPr="005E779E">
        <w:rPr>
          <w:rFonts w:ascii="Times New Roman" w:hAnsi="Times New Roman"/>
          <w:i/>
          <w:iCs/>
          <w:color w:val="000000" w:themeColor="text1"/>
          <w:sz w:val="16"/>
          <w:szCs w:val="16"/>
        </w:rPr>
        <w:t>Внешняя политика:</w:t>
      </w:r>
    </w:p>
    <w:p w14:paraId="354ECE76" w14:textId="77777777" w:rsidR="007F1987" w:rsidRPr="005E779E" w:rsidRDefault="007F1987" w:rsidP="000B7A6C">
      <w:pPr>
        <w:autoSpaceDE w:val="0"/>
        <w:autoSpaceDN w:val="0"/>
        <w:adjustRightInd w:val="0"/>
        <w:spacing w:after="0" w:line="240" w:lineRule="auto"/>
        <w:jc w:val="both"/>
        <w:rPr>
          <w:rFonts w:ascii="Times New Roman" w:hAnsi="Times New Roman"/>
          <w:i/>
          <w:iCs/>
          <w:color w:val="000000" w:themeColor="text1"/>
          <w:sz w:val="16"/>
          <w:szCs w:val="16"/>
        </w:rPr>
      </w:pPr>
    </w:p>
    <w:p w14:paraId="2B53641A"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сентября 1931 г. постоянные трения с госдепартаментом привели к значительному падению товаро</w:t>
      </w:r>
      <w:r w:rsidRPr="005E779E">
        <w:rPr>
          <w:rFonts w:ascii="Times New Roman" w:hAnsi="Times New Roman"/>
          <w:color w:val="000000" w:themeColor="text1"/>
          <w:sz w:val="16"/>
          <w:szCs w:val="16"/>
        </w:rPr>
        <w:softHyphen/>
        <w:t>оборота между Советским Союзом и США советское правительство издало постанов</w:t>
      </w:r>
      <w:r w:rsidRPr="005E779E">
        <w:rPr>
          <w:rFonts w:ascii="Times New Roman" w:hAnsi="Times New Roman"/>
          <w:color w:val="000000" w:themeColor="text1"/>
          <w:sz w:val="16"/>
          <w:szCs w:val="16"/>
        </w:rPr>
        <w:softHyphen/>
        <w:t>ление о прекращении размещения зака</w:t>
      </w:r>
      <w:r w:rsidRPr="005E779E">
        <w:rPr>
          <w:rFonts w:ascii="Times New Roman" w:hAnsi="Times New Roman"/>
          <w:color w:val="000000" w:themeColor="text1"/>
          <w:sz w:val="16"/>
          <w:szCs w:val="16"/>
        </w:rPr>
        <w:softHyphen/>
        <w:t>зов в Америке. Реально действовало оно, похоже, недолго, но, безусловно, оказало свое влияние на контакты во всех областях, в том числе и в отношении авиации (23513).</w:t>
      </w:r>
    </w:p>
    <w:p w14:paraId="39340E1D" w14:textId="77777777" w:rsidR="007F1987" w:rsidRPr="005E779E" w:rsidRDefault="007F1987" w:rsidP="000B7A6C">
      <w:pPr>
        <w:spacing w:after="0" w:line="240" w:lineRule="auto"/>
        <w:jc w:val="both"/>
        <w:rPr>
          <w:rFonts w:ascii="Times New Roman" w:hAnsi="Times New Roman"/>
          <w:color w:val="000000" w:themeColor="text1"/>
          <w:sz w:val="16"/>
          <w:szCs w:val="16"/>
        </w:rPr>
      </w:pPr>
    </w:p>
    <w:p w14:paraId="5361FD39" w14:textId="7AB2B821"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713C45D3"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0B23AA6" w14:textId="77777777" w:rsidR="00947447" w:rsidRPr="005E779E" w:rsidRDefault="0094744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сентября 1931 Герберт Клейтон Уэллс погибает во время воздушных состязаний в Оттумве (20804).</w:t>
      </w:r>
    </w:p>
    <w:p w14:paraId="3080D895" w14:textId="77777777" w:rsidR="00947447" w:rsidRPr="005E779E" w:rsidRDefault="00947447" w:rsidP="000B7A6C">
      <w:pPr>
        <w:spacing w:after="0" w:line="240" w:lineRule="auto"/>
        <w:jc w:val="both"/>
        <w:rPr>
          <w:rFonts w:ascii="Times New Roman" w:hAnsi="Times New Roman"/>
          <w:color w:val="000000" w:themeColor="text1"/>
          <w:sz w:val="16"/>
          <w:szCs w:val="16"/>
        </w:rPr>
      </w:pPr>
    </w:p>
    <w:p w14:paraId="5A01A3A5" w14:textId="77777777" w:rsidR="00947447" w:rsidRPr="005E779E" w:rsidRDefault="0094744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сентября 1931 Лоуэлл Бейлс выигрывает кубок Томпсона 1931 года на гоночном самолете Gee Bee Model Z на Национальных воздушных гонках в Кливленде, штат Огайо , на скорости 236,24 миль в час (380,42 км / час) (20804).</w:t>
      </w:r>
    </w:p>
    <w:p w14:paraId="0BEFD0C7" w14:textId="77777777" w:rsidR="00947447" w:rsidRPr="005E779E" w:rsidRDefault="00947447" w:rsidP="000B7A6C">
      <w:pPr>
        <w:spacing w:after="0" w:line="240" w:lineRule="auto"/>
        <w:jc w:val="both"/>
        <w:rPr>
          <w:rFonts w:ascii="Times New Roman" w:hAnsi="Times New Roman"/>
          <w:color w:val="000000" w:themeColor="text1"/>
          <w:sz w:val="16"/>
          <w:szCs w:val="16"/>
        </w:rPr>
      </w:pPr>
    </w:p>
    <w:p w14:paraId="0A2921FC" w14:textId="77777777" w:rsidR="00947447" w:rsidRPr="005E779E" w:rsidRDefault="0094744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сентября 1931 - Совершил первый полёт прототип амфибии Loire 50.01. Затем последовал длительный период доработок и только летом 1933 года, после замены двигателя, самолёт был подготовлен к серийному выпуску. Самолёт был построен из лёгких сплавов. Консоли крыла, обтянутые полотном, могли складываться. Предусмаривалось двойное управление (22372).</w:t>
      </w:r>
    </w:p>
    <w:p w14:paraId="67098328" w14:textId="77777777" w:rsidR="00947447" w:rsidRPr="005E779E" w:rsidRDefault="00947447" w:rsidP="000B7A6C">
      <w:pPr>
        <w:spacing w:after="0" w:line="240" w:lineRule="auto"/>
        <w:jc w:val="both"/>
        <w:rPr>
          <w:rFonts w:ascii="Times New Roman" w:hAnsi="Times New Roman"/>
          <w:color w:val="000000" w:themeColor="text1"/>
          <w:sz w:val="16"/>
          <w:szCs w:val="16"/>
        </w:rPr>
      </w:pPr>
    </w:p>
    <w:p w14:paraId="304FB2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сентября 1931 Ганди в Лондоне не смог договориться с представителями религиозных меньшинств (3481).</w:t>
      </w:r>
    </w:p>
    <w:p w14:paraId="7C8D31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FA2BA52"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30D2B508"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E77B4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сентября 1931 И-4бис в НИИ ВВС выполнил первый полет (1454,19).</w:t>
      </w:r>
    </w:p>
    <w:p w14:paraId="7148B6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D810E20"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2B07A330"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F0C3F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8 сентября 1931 года председатель НТК УММ Г.Бокис, незадолго до этого посетивший завод Можерез и ознакомившись с ходом работ, докладывал И.Халепскому: "Вам уже известен печальный опыт по изготовлению опытного образца танка Д-4, в результате чего мы не получили машины, а лишь израсходовали около миллиона рублей народных денег. Сам конструктор Дыренков как видно решил, что из этой машины ничего не выйдет и поэтому конструкцию Д-4 бросил и приступил к переконструированию танка по типу Д-5. У меня большие сомнения, что из этой машины что-нибудь выйдет и не будут ли опять потрачены миллионы рублей и в результате опять получим коробку с разными не действующими механизмами. В этом меня убеждает то обстоятельство, что машина Д-5 сохраняет основные механизмы Д-4. При рассмотрении проекта Д-4 в НТК УММ конструктор не представил никаких расчетов к своему проекту, и все объяснения сводились к авторитетным заявлениям, что "обязательно все механизмы будут действовать, что называется на большой палец. Я считаю совершенно излишними проведенные т. Дыренковым затраты на изготовление стальных коробок для определения давления воды на танк. Все это можно было бы сделать теоретически, путем привлечения специалистов, знакомых с расчетами подводных лодок.Все это заставляет меня просить Вас: </w:t>
      </w:r>
    </w:p>
    <w:p w14:paraId="73F893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Поручить т. Дыренкову представить в НТК все основные чертежи Д-5 с необходимыми расчетами.</w:t>
      </w:r>
    </w:p>
    <w:p w14:paraId="22485B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До рассмотрения в НТК проекта и расчетов по танку Д-5 пректатить изготовление отдельных агрегатов по танку этого типа" (10291).</w:t>
      </w:r>
    </w:p>
    <w:p w14:paraId="4CE0A8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A786DAD" w14:textId="77777777" w:rsidR="001E4981" w:rsidRPr="00142305" w:rsidRDefault="001E4981" w:rsidP="001E498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8 сентября 1931 года председатель НТК УММ Г. Бокис, незадолго до этого посетивший за</w:t>
      </w:r>
      <w:r w:rsidRPr="00142305">
        <w:rPr>
          <w:rFonts w:ascii="Times New Roman" w:hAnsi="Times New Roman"/>
          <w:color w:val="0070C0"/>
          <w:sz w:val="16"/>
          <w:szCs w:val="16"/>
        </w:rPr>
        <w:softHyphen/>
        <w:t>вод Можерез и ознакомившись с ходом работ по Д-5, докладывал И. Халепскому:</w:t>
      </w:r>
    </w:p>
    <w:p w14:paraId="79148F30" w14:textId="77777777" w:rsidR="001E4981" w:rsidRPr="00142305" w:rsidRDefault="001E4981" w:rsidP="001E498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«Вам уже известен печальный опыт по изготовлению опытного образца тан</w:t>
      </w:r>
      <w:r w:rsidRPr="00142305">
        <w:rPr>
          <w:rFonts w:ascii="Times New Roman" w:hAnsi="Times New Roman"/>
          <w:color w:val="0070C0"/>
          <w:sz w:val="16"/>
          <w:szCs w:val="16"/>
        </w:rPr>
        <w:softHyphen/>
        <w:t>ка Д-4, в результате чего мы не получи</w:t>
      </w:r>
      <w:r w:rsidRPr="00142305">
        <w:rPr>
          <w:rFonts w:ascii="Times New Roman" w:hAnsi="Times New Roman"/>
          <w:color w:val="0070C0"/>
          <w:sz w:val="16"/>
          <w:szCs w:val="16"/>
        </w:rPr>
        <w:softHyphen/>
        <w:t>ли машины, а лишь израсходовали около миллиона рублей народных денег. Сам конструктор Дыренков как видно ре</w:t>
      </w:r>
      <w:r w:rsidRPr="00142305">
        <w:rPr>
          <w:rFonts w:ascii="Times New Roman" w:hAnsi="Times New Roman"/>
          <w:color w:val="0070C0"/>
          <w:sz w:val="16"/>
          <w:szCs w:val="16"/>
        </w:rPr>
        <w:softHyphen/>
        <w:t>шил, что из этой машины ничего не вы</w:t>
      </w:r>
      <w:r w:rsidRPr="00142305">
        <w:rPr>
          <w:rFonts w:ascii="Times New Roman" w:hAnsi="Times New Roman"/>
          <w:color w:val="0070C0"/>
          <w:sz w:val="16"/>
          <w:szCs w:val="16"/>
        </w:rPr>
        <w:softHyphen/>
        <w:t>йдет и поэтому конструкцию Д-4 бросил и приступил к переконструированию танка по типу Д-5. У меня большие со</w:t>
      </w:r>
      <w:r w:rsidRPr="00142305">
        <w:rPr>
          <w:rFonts w:ascii="Times New Roman" w:hAnsi="Times New Roman"/>
          <w:color w:val="0070C0"/>
          <w:sz w:val="16"/>
          <w:szCs w:val="16"/>
        </w:rPr>
        <w:softHyphen/>
        <w:t>мнения, что из этой машины что-нибудь выйдет и не будут ли опять потрачены миллионы рублей и в результате опять получим коробку с разными не действу</w:t>
      </w:r>
      <w:r w:rsidRPr="00142305">
        <w:rPr>
          <w:rFonts w:ascii="Times New Roman" w:hAnsi="Times New Roman"/>
          <w:color w:val="0070C0"/>
          <w:sz w:val="16"/>
          <w:szCs w:val="16"/>
        </w:rPr>
        <w:softHyphen/>
        <w:t>ющими механизмами. В этом меня убеж</w:t>
      </w:r>
      <w:r w:rsidRPr="00142305">
        <w:rPr>
          <w:rFonts w:ascii="Times New Roman" w:hAnsi="Times New Roman"/>
          <w:color w:val="0070C0"/>
          <w:sz w:val="16"/>
          <w:szCs w:val="16"/>
        </w:rPr>
        <w:softHyphen/>
        <w:t>дает то обстоятельство, что машина Д-5 сохраняет основные механизмы Д-4.</w:t>
      </w:r>
    </w:p>
    <w:p w14:paraId="24C622B2" w14:textId="77777777" w:rsidR="001E4981" w:rsidRPr="00142305" w:rsidRDefault="001E4981" w:rsidP="001E498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 рассмотрении проекта Д-4 в НТК УММ конструктор не представил ни</w:t>
      </w:r>
      <w:r w:rsidRPr="00142305">
        <w:rPr>
          <w:rFonts w:ascii="Times New Roman" w:hAnsi="Times New Roman"/>
          <w:color w:val="0070C0"/>
          <w:sz w:val="16"/>
          <w:szCs w:val="16"/>
        </w:rPr>
        <w:softHyphen/>
        <w:t>каких расчетов к своему проекту, и все объяснения сводились к авторитетным заявлениям, что «обязательно все меха</w:t>
      </w:r>
      <w:r w:rsidRPr="00142305">
        <w:rPr>
          <w:rFonts w:ascii="Times New Roman" w:hAnsi="Times New Roman"/>
          <w:color w:val="0070C0"/>
          <w:sz w:val="16"/>
          <w:szCs w:val="16"/>
        </w:rPr>
        <w:softHyphen/>
        <w:t>низмы будут действовать, что называет</w:t>
      </w:r>
      <w:r w:rsidRPr="00142305">
        <w:rPr>
          <w:rFonts w:ascii="Times New Roman" w:hAnsi="Times New Roman"/>
          <w:color w:val="0070C0"/>
          <w:sz w:val="16"/>
          <w:szCs w:val="16"/>
        </w:rPr>
        <w:softHyphen/>
        <w:t>ся на большой палец.</w:t>
      </w:r>
    </w:p>
    <w:p w14:paraId="602DBCB0" w14:textId="77777777" w:rsidR="001E4981" w:rsidRPr="00142305" w:rsidRDefault="001E4981" w:rsidP="001E498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Я считаю совершенно излишни</w:t>
      </w:r>
      <w:r w:rsidRPr="00142305">
        <w:rPr>
          <w:rFonts w:ascii="Times New Roman" w:hAnsi="Times New Roman"/>
          <w:color w:val="0070C0"/>
          <w:sz w:val="16"/>
          <w:szCs w:val="16"/>
        </w:rPr>
        <w:softHyphen/>
        <w:t>ми проведенные т. Дыренковым затра</w:t>
      </w:r>
      <w:r w:rsidRPr="00142305">
        <w:rPr>
          <w:rFonts w:ascii="Times New Roman" w:hAnsi="Times New Roman"/>
          <w:color w:val="0070C0"/>
          <w:sz w:val="16"/>
          <w:szCs w:val="16"/>
        </w:rPr>
        <w:softHyphen/>
        <w:t>ты на изготовление стальных коробок для определения давления воды на танк. Все это можно было бы сделать теоре</w:t>
      </w:r>
      <w:r w:rsidRPr="00142305">
        <w:rPr>
          <w:rFonts w:ascii="Times New Roman" w:hAnsi="Times New Roman"/>
          <w:color w:val="0070C0"/>
          <w:sz w:val="16"/>
          <w:szCs w:val="16"/>
        </w:rPr>
        <w:softHyphen/>
        <w:t>тически, путем привлечения специали</w:t>
      </w:r>
      <w:r w:rsidRPr="00142305">
        <w:rPr>
          <w:rFonts w:ascii="Times New Roman" w:hAnsi="Times New Roman"/>
          <w:color w:val="0070C0"/>
          <w:sz w:val="16"/>
          <w:szCs w:val="16"/>
        </w:rPr>
        <w:softHyphen/>
        <w:t>стов, знакомых с расчетами подводных лодок.</w:t>
      </w:r>
    </w:p>
    <w:p w14:paraId="55AC845A" w14:textId="77777777" w:rsidR="001E4981" w:rsidRPr="00142305" w:rsidRDefault="001E4981" w:rsidP="001E498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Все это заставляет меня просить Вас:</w:t>
      </w:r>
    </w:p>
    <w:p w14:paraId="565E576C" w14:textId="77777777" w:rsidR="001E4981" w:rsidRPr="00142305" w:rsidRDefault="001E4981" w:rsidP="001E4981">
      <w:pPr>
        <w:widowControl w:val="0"/>
        <w:tabs>
          <w:tab w:val="left" w:pos="447"/>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Поручить т. Дыренкову представить в НТК все основные чертежи Д-5 с необ</w:t>
      </w:r>
      <w:r w:rsidRPr="00142305">
        <w:rPr>
          <w:rFonts w:ascii="Times New Roman" w:hAnsi="Times New Roman"/>
          <w:color w:val="0070C0"/>
          <w:sz w:val="16"/>
          <w:szCs w:val="16"/>
        </w:rPr>
        <w:softHyphen/>
        <w:t>ходимыми расчетами.</w:t>
      </w:r>
    </w:p>
    <w:p w14:paraId="7C4CA532" w14:textId="77777777" w:rsidR="001E4981" w:rsidRPr="00142305" w:rsidRDefault="001E4981" w:rsidP="001E4981">
      <w:pPr>
        <w:widowControl w:val="0"/>
        <w:tabs>
          <w:tab w:val="left" w:pos="442"/>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 До рассмотрения в НТК проекта и расчетов по танку Д-5 прекратить из</w:t>
      </w:r>
      <w:r w:rsidRPr="00142305">
        <w:rPr>
          <w:rFonts w:ascii="Times New Roman" w:hAnsi="Times New Roman"/>
          <w:color w:val="0070C0"/>
          <w:sz w:val="16"/>
          <w:szCs w:val="16"/>
        </w:rPr>
        <w:softHyphen/>
        <w:t>готовление отдельных агрегатов по тан</w:t>
      </w:r>
      <w:r w:rsidRPr="00142305">
        <w:rPr>
          <w:rFonts w:ascii="Times New Roman" w:hAnsi="Times New Roman"/>
          <w:color w:val="0070C0"/>
          <w:sz w:val="16"/>
          <w:szCs w:val="16"/>
        </w:rPr>
        <w:softHyphen/>
        <w:t>ку этого типа».</w:t>
      </w:r>
    </w:p>
    <w:p w14:paraId="236A5CA3" w14:textId="77777777" w:rsidR="001E4981" w:rsidRPr="00142305" w:rsidRDefault="001E4981" w:rsidP="001E498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Д-5, по замыслу Дыренкова, при сохранении гусенич</w:t>
      </w:r>
      <w:r w:rsidRPr="00142305">
        <w:rPr>
          <w:rFonts w:ascii="Times New Roman" w:hAnsi="Times New Roman"/>
          <w:color w:val="0070C0"/>
          <w:sz w:val="16"/>
          <w:szCs w:val="16"/>
        </w:rPr>
        <w:softHyphen/>
        <w:t>но-железнодорожно-подводного хода (от колесного из-за возросшей массы пришлось отказаться) Д-5 имел броню до 35 мм, две башни с 76-мм пушками (они могли втягиваться внутрь) и дви</w:t>
      </w:r>
      <w:r w:rsidRPr="00142305">
        <w:rPr>
          <w:rFonts w:ascii="Times New Roman" w:hAnsi="Times New Roman"/>
          <w:color w:val="0070C0"/>
          <w:sz w:val="16"/>
          <w:szCs w:val="16"/>
        </w:rPr>
        <w:softHyphen/>
        <w:t>гатель М-17. Ориентировочная масса нового танка оставляла 25 т (25010).</w:t>
      </w:r>
    </w:p>
    <w:p w14:paraId="42709B3A" w14:textId="77777777" w:rsidR="001E4981" w:rsidRPr="00142305" w:rsidRDefault="001E4981" w:rsidP="001E4981">
      <w:pPr>
        <w:spacing w:after="0" w:line="240" w:lineRule="auto"/>
        <w:jc w:val="both"/>
        <w:rPr>
          <w:rFonts w:ascii="Times New Roman" w:hAnsi="Times New Roman"/>
          <w:color w:val="0070C0"/>
          <w:sz w:val="16"/>
          <w:szCs w:val="16"/>
        </w:rPr>
      </w:pPr>
    </w:p>
    <w:p w14:paraId="61A538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8 сентября 1931 года первая очередь апатито-нефелиновой фабрики в Кировске была введена в строй. Ввод новой советской фабрики позволил отказаться от ввода марокканских фосфоритов. Отсюда отправили первый эшелон отечественного апатитового концентрата. "Ещё совсем недавно само слово апатит было знакомо лишь минералогам,а сегодня оно волнует тысячи людей. Ради апатита вырастает в Хибинской тундре город..." писал А.Е.Ферсман После начала войны производство приостановилось, оборудование было демонтировано и отправлено в глубь страны. Кировск оказался в прифронтовой полосе и подвергался воздушным бомбардировкам. Комбинат "Апатит" и отдельные организации были переоснащены для выпуска военной продукции. В Кировске на опытном заводе развернулось производство фосфора для зажигательных авиабомб и самовоспломеняющейся смеси"КС" , применяющейся против танков. (9702).</w:t>
      </w:r>
    </w:p>
    <w:p w14:paraId="1A74D4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F156C16"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43E03BC5"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C61BB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сентября 1931 состоялось техническое совещание ЦКБ по ТБ-3 (АНТ-6) и В.М.П. доложил. Решили выпустить серию из 3 машин с БМВ-6, а Вахмистрову, В.М.П. и С.Н.Шишкину поручили рассчитать прочность (1077,123).</w:t>
      </w:r>
    </w:p>
    <w:p w14:paraId="1C6C7D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91D65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сентября 1931 г. в ЦКБ состоялось сове</w:t>
      </w:r>
      <w:r w:rsidRPr="005E779E">
        <w:rPr>
          <w:rFonts w:ascii="Times New Roman" w:hAnsi="Times New Roman"/>
          <w:color w:val="000000" w:themeColor="text1"/>
          <w:sz w:val="16"/>
          <w:szCs w:val="16"/>
        </w:rPr>
        <w:softHyphen/>
        <w:t>щание, посвященное проблемам серии, тре</w:t>
      </w:r>
      <w:r w:rsidRPr="005E779E">
        <w:rPr>
          <w:rFonts w:ascii="Times New Roman" w:hAnsi="Times New Roman"/>
          <w:color w:val="000000" w:themeColor="text1"/>
          <w:sz w:val="16"/>
          <w:szCs w:val="16"/>
        </w:rPr>
        <w:softHyphen/>
        <w:t>буемым доработкам и недостаткам И-5. В ос</w:t>
      </w:r>
      <w:r w:rsidRPr="005E779E">
        <w:rPr>
          <w:rFonts w:ascii="Times New Roman" w:hAnsi="Times New Roman"/>
          <w:color w:val="000000" w:themeColor="text1"/>
          <w:sz w:val="16"/>
          <w:szCs w:val="16"/>
        </w:rPr>
        <w:softHyphen/>
        <w:t>новном нарекания имелись к вооружению. Также предлагалось: смонтировать коллектор на верхние цилиндры двигателя, чтооы вы</w:t>
      </w:r>
      <w:r w:rsidRPr="005E779E">
        <w:rPr>
          <w:rFonts w:ascii="Times New Roman" w:hAnsi="Times New Roman"/>
          <w:color w:val="000000" w:themeColor="text1"/>
          <w:sz w:val="16"/>
          <w:szCs w:val="16"/>
        </w:rPr>
        <w:softHyphen/>
        <w:t>хлопные газы не попадали в кабину, устано</w:t>
      </w:r>
      <w:r w:rsidRPr="005E779E">
        <w:rPr>
          <w:rFonts w:ascii="Times New Roman" w:hAnsi="Times New Roman"/>
          <w:color w:val="000000" w:themeColor="text1"/>
          <w:sz w:val="16"/>
          <w:szCs w:val="16"/>
        </w:rPr>
        <w:softHyphen/>
        <w:t>вить более жесткий пол в кабине, отодвинусь назад обтекатель за головой пилота, а снинсу кресла наклонить назад. Отмечалось, что се</w:t>
      </w:r>
      <w:r w:rsidRPr="005E779E">
        <w:rPr>
          <w:rFonts w:ascii="Times New Roman" w:hAnsi="Times New Roman"/>
          <w:color w:val="000000" w:themeColor="text1"/>
          <w:sz w:val="16"/>
          <w:szCs w:val="16"/>
        </w:rPr>
        <w:softHyphen/>
        <w:t>рийные самолеты стали тяжелее на 70-75 кг. Кроме того, столкнулись с некачественной окраской металлических элементов (краска слезала), поэтому надеялись на опыт авиаза</w:t>
      </w:r>
      <w:r w:rsidRPr="005E779E">
        <w:rPr>
          <w:rFonts w:ascii="Times New Roman" w:hAnsi="Times New Roman"/>
          <w:color w:val="000000" w:themeColor="text1"/>
          <w:sz w:val="16"/>
          <w:szCs w:val="16"/>
        </w:rPr>
        <w:softHyphen/>
        <w:t>вода №22. Эксплуатационники еще жалова</w:t>
      </w:r>
      <w:r w:rsidRPr="005E779E">
        <w:rPr>
          <w:rFonts w:ascii="Times New Roman" w:hAnsi="Times New Roman"/>
          <w:color w:val="000000" w:themeColor="text1"/>
          <w:sz w:val="16"/>
          <w:szCs w:val="16"/>
        </w:rPr>
        <w:softHyphen/>
        <w:t>лись на то, что карбюратор, расположений снизу, в летнее время забивался пылью. Между тем, проблема пыли на полевых аэро</w:t>
      </w:r>
      <w:r w:rsidRPr="005E779E">
        <w:rPr>
          <w:rFonts w:ascii="Times New Roman" w:hAnsi="Times New Roman"/>
          <w:color w:val="000000" w:themeColor="text1"/>
          <w:sz w:val="16"/>
          <w:szCs w:val="16"/>
        </w:rPr>
        <w:softHyphen/>
        <w:t>дромах находилась где-то в стороне от техни</w:t>
      </w:r>
      <w:r w:rsidRPr="005E779E">
        <w:rPr>
          <w:rFonts w:ascii="Times New Roman" w:hAnsi="Times New Roman"/>
          <w:color w:val="000000" w:themeColor="text1"/>
          <w:sz w:val="16"/>
          <w:szCs w:val="16"/>
        </w:rPr>
        <w:softHyphen/>
        <w:t>ческих вопросов, ибо возникла она ранее, существовала много лет позднее, а разрешилась большей частью лишь с появлением бетонных взлетно-посадочных полос. Поднимаемые вопросы призваны были для определения самолета-эталона на следующий год серийного строительства. ВВС, например, требовали оборудовать подогрев карбюрато</w:t>
      </w:r>
      <w:r w:rsidRPr="005E779E">
        <w:rPr>
          <w:rFonts w:ascii="Times New Roman" w:hAnsi="Times New Roman"/>
          <w:color w:val="000000" w:themeColor="text1"/>
          <w:sz w:val="16"/>
          <w:szCs w:val="16"/>
        </w:rPr>
        <w:softHyphen/>
        <w:t>ра и установить обтекатели колес шасси. С учетом всех пожеланий, отмеченных недостат</w:t>
      </w:r>
      <w:r w:rsidRPr="005E779E">
        <w:rPr>
          <w:rFonts w:ascii="Times New Roman" w:hAnsi="Times New Roman"/>
          <w:color w:val="000000" w:themeColor="text1"/>
          <w:sz w:val="16"/>
          <w:szCs w:val="16"/>
        </w:rPr>
        <w:softHyphen/>
        <w:t>ков и внесенных усовершенствований опреде</w:t>
      </w:r>
      <w:r w:rsidRPr="005E779E">
        <w:rPr>
          <w:rFonts w:ascii="Times New Roman" w:hAnsi="Times New Roman"/>
          <w:color w:val="000000" w:themeColor="text1"/>
          <w:sz w:val="16"/>
          <w:szCs w:val="16"/>
        </w:rPr>
        <w:softHyphen/>
        <w:t>лили самолет-эталон на 1932 г. Им стал серий</w:t>
      </w:r>
      <w:r w:rsidRPr="005E779E">
        <w:rPr>
          <w:rFonts w:ascii="Times New Roman" w:hAnsi="Times New Roman"/>
          <w:color w:val="000000" w:themeColor="text1"/>
          <w:sz w:val="16"/>
          <w:szCs w:val="16"/>
        </w:rPr>
        <w:softHyphen/>
        <w:t>ный И-5 №4298 с М-22 №9019 с деревянным воздушным винтом диаметром 2,8 метра, по</w:t>
      </w:r>
      <w:r w:rsidRPr="005E779E">
        <w:rPr>
          <w:rFonts w:ascii="Times New Roman" w:hAnsi="Times New Roman"/>
          <w:color w:val="000000" w:themeColor="text1"/>
          <w:sz w:val="16"/>
          <w:szCs w:val="16"/>
        </w:rPr>
        <w:softHyphen/>
        <w:t>строенный на авиазаводе №1. Он отличался, прежде всего, моторной установкой с кольцом Тауненда, разработку которой произвели в ЦАГИ (позднее говорилось, что теперь в кон</w:t>
      </w:r>
      <w:r w:rsidRPr="005E779E">
        <w:rPr>
          <w:rFonts w:ascii="Times New Roman" w:hAnsi="Times New Roman"/>
          <w:color w:val="000000" w:themeColor="text1"/>
          <w:sz w:val="16"/>
          <w:szCs w:val="16"/>
        </w:rPr>
        <w:softHyphen/>
        <w:t>структорском отделе института действует сквозная бригада по капотам для авиацион</w:t>
      </w:r>
      <w:r w:rsidRPr="005E779E">
        <w:rPr>
          <w:rFonts w:ascii="Times New Roman" w:hAnsi="Times New Roman"/>
          <w:color w:val="000000" w:themeColor="text1"/>
          <w:sz w:val="16"/>
          <w:szCs w:val="16"/>
        </w:rPr>
        <w:softHyphen/>
        <w:t>ных двигателей). Кроме того, И-5 №4298 отличался выносом шасси, креплением пулеметов, педалями ножного управления, на нем смон- тмровали управляемый костыль и открывае</w:t>
      </w:r>
      <w:r w:rsidRPr="005E779E">
        <w:rPr>
          <w:rFonts w:ascii="Times New Roman" w:hAnsi="Times New Roman"/>
          <w:color w:val="000000" w:themeColor="text1"/>
          <w:sz w:val="16"/>
          <w:szCs w:val="16"/>
        </w:rPr>
        <w:softHyphen/>
        <w:t>те створки в кабине летчика. В фюзеляже оборудовали бомбовый отсек для подвески двух 8-10 кг авиабомб на держателях ДЕ'-б, а за сидением пилота установили фотоаппарат «Лотте». После произведенных доработок самолет в очередной раз потяжелел: вес пустого соста</w:t>
      </w:r>
      <w:r w:rsidRPr="005E779E">
        <w:rPr>
          <w:rFonts w:ascii="Times New Roman" w:hAnsi="Times New Roman"/>
          <w:color w:val="000000" w:themeColor="text1"/>
          <w:sz w:val="16"/>
          <w:szCs w:val="16"/>
        </w:rPr>
        <w:softHyphen/>
        <w:t>вит 943,5 кг, полетный вес -1355 кг (11974).</w:t>
      </w:r>
    </w:p>
    <w:p w14:paraId="47D581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4C82E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сентября 1931 П.Х.Межерауп и В.О.Писаренко, которые с сентября 1930 работали в Летной инспекции, разбились в тяжелых метеорологических условиях (172,14) на Р-5 в районе Брянска. Пилотировал В.О.П. (438,629).</w:t>
      </w:r>
    </w:p>
    <w:p w14:paraId="6EB557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DEDC9F1" w14:textId="77777777" w:rsidR="000F3BEF"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66690215" w14:textId="77777777" w:rsidR="000F3BEF" w:rsidRPr="005E779E" w:rsidRDefault="000F3BEF"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581D02B" w14:textId="77777777" w:rsidR="000F3BEF" w:rsidRPr="005E779E" w:rsidRDefault="000F3BEF" w:rsidP="000B7A6C">
      <w:pPr>
        <w:pStyle w:val="a3"/>
        <w:rPr>
          <w:color w:val="000000" w:themeColor="text1"/>
          <w:lang w:val="ru-RU"/>
        </w:rPr>
      </w:pPr>
      <w:r w:rsidRPr="005E779E">
        <w:rPr>
          <w:color w:val="000000" w:themeColor="text1"/>
          <w:lang w:val="ru-RU"/>
        </w:rPr>
        <w:t>9 сентября 1931 г. на пароход «Кооперация» был погружен танк № 11, а 19 сентября на паро</w:t>
      </w:r>
      <w:r w:rsidRPr="005E779E">
        <w:rPr>
          <w:color w:val="000000" w:themeColor="text1"/>
          <w:lang w:val="ru-RU"/>
        </w:rPr>
        <w:softHyphen/>
        <w:t>ход «Сучан» - танк №12. 13-й танк покинул Лон</w:t>
      </w:r>
      <w:r w:rsidRPr="005E779E">
        <w:rPr>
          <w:color w:val="000000" w:themeColor="text1"/>
          <w:lang w:val="ru-RU"/>
        </w:rPr>
        <w:softHyphen/>
        <w:t>дона в конце сентября, 14-й танк - 9 октября. Во второй половине октября прошел испытания последний танк №15, однако его сдача задержалась из-за дефектов в бронелистах башни. Только 10 ноября 1931 г. его погрузили в Лондоне на пароход «Рыков». Таким образом, договор с фирмой «Виккерс-Армс- тронг» был полностью выполнен (15745).</w:t>
      </w:r>
    </w:p>
    <w:p w14:paraId="401BFB15" w14:textId="77777777" w:rsidR="000F3BEF" w:rsidRPr="005E779E" w:rsidRDefault="000F3BEF" w:rsidP="000B7A6C">
      <w:pPr>
        <w:pStyle w:val="a3"/>
        <w:rPr>
          <w:color w:val="000000" w:themeColor="text1"/>
          <w:lang w:val="ru-RU"/>
        </w:rPr>
      </w:pPr>
    </w:p>
    <w:p w14:paraId="5757D7B4" w14:textId="77777777" w:rsidR="001E4981" w:rsidRPr="00142305" w:rsidRDefault="001E4981" w:rsidP="001E498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9 сентября 1931 г. на пароход «Кооперация» был погружен танк Виккерс № 11, а 19 сентября на пароход «Сучан» – танк № 12. 13-й танк покинул Лондон в конце сентября, 14-й танк – 9 октября. Во второй половине октября прошел испытания последний танк № 15, однако его сдача задержалась из-за дефектов в бронелистах башни. Только 10 ноября 1931 г. его погрузили в Лондоне на пароход «Рыков». Таким образом, договор с фирмой «Виккерс-Армстронг» был полностью выполнен (25184).</w:t>
      </w:r>
    </w:p>
    <w:p w14:paraId="5FFAF56C" w14:textId="77777777" w:rsidR="001E4981" w:rsidRPr="00142305" w:rsidRDefault="001E4981" w:rsidP="001E4981">
      <w:pPr>
        <w:spacing w:after="0" w:line="240" w:lineRule="auto"/>
        <w:jc w:val="both"/>
        <w:rPr>
          <w:rFonts w:ascii="Times New Roman" w:hAnsi="Times New Roman"/>
          <w:color w:val="0070C0"/>
          <w:sz w:val="16"/>
          <w:szCs w:val="16"/>
        </w:rPr>
      </w:pPr>
    </w:p>
    <w:p w14:paraId="0C7C18F8" w14:textId="77777777" w:rsidR="000F3BEF" w:rsidRPr="005E779E" w:rsidRDefault="000F3BEF" w:rsidP="000B7A6C">
      <w:pPr>
        <w:widowControl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9 сентября </w:t>
      </w:r>
      <w:smartTag w:uri="urn:schemas-microsoft-com:office:smarttags" w:element="metricconverter">
        <w:smartTagPr>
          <w:attr w:name="ProductID" w:val="1945 г"/>
        </w:smartTagPr>
        <w:r w:rsidRPr="005E779E">
          <w:rPr>
            <w:rFonts w:ascii="Times New Roman" w:hAnsi="Times New Roman"/>
            <w:color w:val="000000" w:themeColor="text1"/>
            <w:sz w:val="16"/>
            <w:szCs w:val="16"/>
          </w:rPr>
          <w:t>1931 г</w:t>
        </w:r>
      </w:smartTag>
      <w:r w:rsidRPr="005E779E">
        <w:rPr>
          <w:rFonts w:ascii="Times New Roman" w:hAnsi="Times New Roman"/>
          <w:color w:val="000000" w:themeColor="text1"/>
          <w:sz w:val="16"/>
          <w:szCs w:val="16"/>
        </w:rPr>
        <w:t xml:space="preserve">. объявляется мобилизация комсомольской организации края на помощь Автострою. Из числа мобилизованных комсомольцев создалась ударная дивизия с соответствующими подразделениями: полками, батальонами, ротами, взводами и отделениями. К концу сентября на площадку Автостроя прибыли около 3 тыс. комсомольцев. На земляных работах в системе Водоканалстроя и на других участках строительства бойцы комсомольской дивизии работали каждый за двоих, по 12-14 и более часов в сутки. С участка Водоканалстроя комсомольцы перешли на строительство соцгорода, сборку щитовых домов, прокладку внутризаводской железной дороги. Везде они показывали образцы героического труда. Автозаводский райком (Автозаводский райком образован в августе </w:t>
      </w:r>
      <w:smartTag w:uri="urn:schemas-microsoft-com:office:smarttags" w:element="metricconverter">
        <w:smartTagPr>
          <w:attr w:name="ProductID" w:val="1945 г"/>
        </w:smartTagPr>
        <w:r w:rsidRPr="005E779E">
          <w:rPr>
            <w:rFonts w:ascii="Times New Roman" w:hAnsi="Times New Roman"/>
            <w:color w:val="000000" w:themeColor="text1"/>
            <w:sz w:val="16"/>
            <w:szCs w:val="16"/>
          </w:rPr>
          <w:t>1931 г</w:t>
        </w:r>
      </w:smartTag>
      <w:r w:rsidRPr="005E779E">
        <w:rPr>
          <w:rFonts w:ascii="Times New Roman" w:hAnsi="Times New Roman"/>
          <w:color w:val="000000" w:themeColor="text1"/>
          <w:sz w:val="16"/>
          <w:szCs w:val="16"/>
        </w:rPr>
        <w:t>.) партии объявил октябрь месяцем штурма. Все коммунисты, комсомольцы, члены профсоюзов, рабочие и служащие Автостроя днем выполняли свои основные обязанности, а вечером с 18 до 23 часов работали на строительной площадке. В октябрьских субботниках по завершению строительства автозавода участвовало 194 046 рабочих и служащих нижегородских предприятий и учреждений, из них 114 тыс. коммунистов и комсомольцев. Они выполнили в октябре работ на сумму 548 187 рублей. В подготовке к пуску завода сложной задачей был монтаж оборудования. В более чем 30 огромных корпусах предстояло смонтировать 4500 станков и агрегатов, 8 тыс. электромоторов. Таких масштабов машиностроительные заводы СССР еще не знали. Монтажных работ на Нижегородском автозаводе было на 20 млн. руб. больше, чем на Сталинградском и Харьковском тракторных заводах, вместе взятых.</w:t>
      </w:r>
    </w:p>
    <w:p w14:paraId="0FD68863" w14:textId="77777777" w:rsidR="000F3BEF" w:rsidRPr="005E779E" w:rsidRDefault="000F3BEF" w:rsidP="000B7A6C">
      <w:pPr>
        <w:widowControl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Монтажные работы велись в сложных условиях. Не хватало мостовых кранов, такелажных приспособлений. Но рабочие смело преодолевали эти трудности. Уже в июне </w:t>
      </w:r>
      <w:smartTag w:uri="urn:schemas-microsoft-com:office:smarttags" w:element="metricconverter">
        <w:smartTagPr>
          <w:attr w:name="ProductID" w:val="1945 г"/>
        </w:smartTagPr>
        <w:r w:rsidRPr="005E779E">
          <w:rPr>
            <w:rFonts w:ascii="Times New Roman" w:hAnsi="Times New Roman"/>
            <w:color w:val="000000" w:themeColor="text1"/>
            <w:sz w:val="16"/>
            <w:szCs w:val="16"/>
          </w:rPr>
          <w:t>1931 г</w:t>
        </w:r>
      </w:smartTag>
      <w:r w:rsidRPr="005E779E">
        <w:rPr>
          <w:rFonts w:ascii="Times New Roman" w:hAnsi="Times New Roman"/>
          <w:color w:val="000000" w:themeColor="text1"/>
          <w:sz w:val="16"/>
          <w:szCs w:val="16"/>
        </w:rPr>
        <w:t xml:space="preserve">. на Автострое был проведен монтаж самой крупной в СССР электроподстанции. Эта победа радовала еще и потому, что электроподстанция была смонтирована полностью на отечественном оборудовании, не уступавшем по качеству первоклассному заграничному. В поставке импортного оборудования в Нижний Новгород большую помощь оказывали ленинградцы. Оборудование с пароходов на платформы грузили сверхударными темпами. Первый эшелон, украшенный плакатами и лозунгами «В срок оборудование Автострою!», вышел в Нижний Новгород 26 сентября </w:t>
      </w:r>
      <w:smartTag w:uri="urn:schemas-microsoft-com:office:smarttags" w:element="metricconverter">
        <w:smartTagPr>
          <w:attr w:name="ProductID" w:val="1945 г"/>
        </w:smartTagPr>
        <w:r w:rsidRPr="005E779E">
          <w:rPr>
            <w:rFonts w:ascii="Times New Roman" w:hAnsi="Times New Roman"/>
            <w:color w:val="000000" w:themeColor="text1"/>
            <w:sz w:val="16"/>
            <w:szCs w:val="16"/>
          </w:rPr>
          <w:t>1931 г</w:t>
        </w:r>
      </w:smartTag>
      <w:r w:rsidRPr="005E779E">
        <w:rPr>
          <w:rFonts w:ascii="Times New Roman" w:hAnsi="Times New Roman"/>
          <w:color w:val="000000" w:themeColor="text1"/>
          <w:sz w:val="16"/>
          <w:szCs w:val="16"/>
        </w:rPr>
        <w:t xml:space="preserve">.В проведении монтажа автостроевцам помогали рабочие предприятий ряда городов. Монтировать кузницу №2, например, пришла рабочая бригада сормовичей. С 6 человек она быстро выросла до 60, в нее влились монтажники, прибывшие из Одессы, Ташкента, Саратова и других городов. Особенно трудоемким оказался монтаж пресса «Гамильтон». Его нижняя станина, весившая 400 пудов, была доставлена в цех в перевернутом виде. И эту громадину нужно было вернуть в рабочее состояние, не касаясь пола, а подъемные краны еще не были установлены. На выручку пришла смекалка 53-летнего такелажника, старого сормовского рабочего Василия Ивановича Маресова. Он рассказывал, что за полдня при помощи балансировки талей станина была перевернута. Монтажники бригады В.И. Маресова работали по 16-20 часов в сутки, иногда уходили в 4 часа утра, чтобы, отдохнув несколько часов, снова идти на работу. И пресс «Гамильтон» был смонтирован не к 20 декабря, как планировалось, а к 13 декабря </w:t>
      </w:r>
      <w:smartTag w:uri="urn:schemas-microsoft-com:office:smarttags" w:element="metricconverter">
        <w:smartTagPr>
          <w:attr w:name="ProductID" w:val="1945 г"/>
        </w:smartTagPr>
        <w:r w:rsidRPr="005E779E">
          <w:rPr>
            <w:rFonts w:ascii="Times New Roman" w:hAnsi="Times New Roman"/>
            <w:color w:val="000000" w:themeColor="text1"/>
            <w:sz w:val="16"/>
            <w:szCs w:val="16"/>
          </w:rPr>
          <w:t>1931 г</w:t>
        </w:r>
      </w:smartTag>
      <w:r w:rsidRPr="005E779E">
        <w:rPr>
          <w:rFonts w:ascii="Times New Roman" w:hAnsi="Times New Roman"/>
          <w:color w:val="000000" w:themeColor="text1"/>
          <w:sz w:val="16"/>
          <w:szCs w:val="16"/>
        </w:rPr>
        <w:t>. Почти круглосуточно проводился монтаж ТЭЦ – крупнейшего и сложнейшего сооружения автозавода. Достаточно сказать, что оборудование для нее весом в 4500 т было доставлено на 320 платформах (15218).</w:t>
      </w:r>
    </w:p>
    <w:p w14:paraId="343AEA79" w14:textId="514F42AA" w:rsidR="000F3BEF" w:rsidRPr="005E779E" w:rsidRDefault="000F3BEF" w:rsidP="000B7A6C">
      <w:pPr>
        <w:widowControl w:val="0"/>
        <w:spacing w:after="0" w:line="240" w:lineRule="auto"/>
        <w:jc w:val="both"/>
        <w:rPr>
          <w:rFonts w:ascii="Times New Roman" w:hAnsi="Times New Roman"/>
          <w:color w:val="000000" w:themeColor="text1"/>
          <w:sz w:val="16"/>
          <w:szCs w:val="16"/>
        </w:rPr>
      </w:pPr>
    </w:p>
    <w:p w14:paraId="68BD55E9" w14:textId="180A4D35" w:rsidR="00295B66" w:rsidRPr="005E779E" w:rsidRDefault="00295B66" w:rsidP="000B7A6C">
      <w:pPr>
        <w:widowControl w:val="0"/>
        <w:spacing w:after="0" w:line="240" w:lineRule="auto"/>
        <w:jc w:val="both"/>
        <w:rPr>
          <w:rFonts w:ascii="Times New Roman" w:hAnsi="Times New Roman"/>
          <w:i/>
          <w:iCs/>
          <w:color w:val="000000" w:themeColor="text1"/>
          <w:sz w:val="16"/>
          <w:szCs w:val="16"/>
        </w:rPr>
      </w:pPr>
      <w:r w:rsidRPr="005E779E">
        <w:rPr>
          <w:rFonts w:ascii="Times New Roman" w:hAnsi="Times New Roman"/>
          <w:i/>
          <w:iCs/>
          <w:color w:val="000000" w:themeColor="text1"/>
          <w:sz w:val="16"/>
          <w:szCs w:val="16"/>
        </w:rPr>
        <w:t>Армия:</w:t>
      </w:r>
    </w:p>
    <w:p w14:paraId="076F58DF" w14:textId="77777777" w:rsidR="00295B66" w:rsidRPr="005E779E" w:rsidRDefault="00295B66" w:rsidP="000B7A6C">
      <w:pPr>
        <w:widowControl w:val="0"/>
        <w:spacing w:after="0" w:line="240" w:lineRule="auto"/>
        <w:jc w:val="both"/>
        <w:rPr>
          <w:rFonts w:ascii="Times New Roman" w:hAnsi="Times New Roman"/>
          <w:i/>
          <w:iCs/>
          <w:color w:val="000000" w:themeColor="text1"/>
          <w:sz w:val="16"/>
          <w:szCs w:val="16"/>
        </w:rPr>
      </w:pPr>
    </w:p>
    <w:p w14:paraId="508B2154" w14:textId="77777777" w:rsidR="00295B66" w:rsidRPr="005E779E" w:rsidRDefault="00295B6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сентября 1931 г. началась операция в приграничных районах Туркмении и быв</w:t>
      </w:r>
      <w:r w:rsidRPr="005E779E">
        <w:rPr>
          <w:rFonts w:ascii="Times New Roman" w:hAnsi="Times New Roman"/>
          <w:color w:val="000000" w:themeColor="text1"/>
          <w:sz w:val="16"/>
          <w:szCs w:val="16"/>
        </w:rPr>
        <w:softHyphen/>
        <w:t>шем Хорезмском округе Узбекистана, которая поддерживалась крупными силами авиации. При ее проведении были задействованы 40-й и 35-й авиаот</w:t>
      </w:r>
      <w:r w:rsidRPr="005E779E">
        <w:rPr>
          <w:rFonts w:ascii="Times New Roman" w:hAnsi="Times New Roman"/>
          <w:color w:val="000000" w:themeColor="text1"/>
          <w:sz w:val="16"/>
          <w:szCs w:val="16"/>
        </w:rPr>
        <w:softHyphen/>
        <w:t>ряды, а также 37-я авиаэскадрилья ВВС — всего более 40 самолетов различ</w:t>
      </w:r>
      <w:r w:rsidRPr="005E779E">
        <w:rPr>
          <w:rFonts w:ascii="Times New Roman" w:hAnsi="Times New Roman"/>
          <w:color w:val="000000" w:themeColor="text1"/>
          <w:sz w:val="16"/>
          <w:szCs w:val="16"/>
        </w:rPr>
        <w:softHyphen/>
        <w:t>ных типов (Ветеран границы. 2002. № 3. С. 19) (20402).</w:t>
      </w:r>
    </w:p>
    <w:p w14:paraId="048A864F" w14:textId="77777777" w:rsidR="00295B66" w:rsidRPr="005E779E" w:rsidRDefault="00295B66" w:rsidP="000B7A6C">
      <w:pPr>
        <w:spacing w:after="0" w:line="240" w:lineRule="auto"/>
        <w:jc w:val="both"/>
        <w:rPr>
          <w:rFonts w:ascii="Times New Roman" w:hAnsi="Times New Roman"/>
          <w:color w:val="000000" w:themeColor="text1"/>
          <w:sz w:val="16"/>
          <w:szCs w:val="16"/>
        </w:rPr>
      </w:pPr>
    </w:p>
    <w:p w14:paraId="5341F9C0"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251713C4"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15E17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сентября 1931 года начальник ВОГВФ Гольцман писал письмо № 10-01-14 начальнику ЦАГИ и начальнику ВАО</w:t>
      </w:r>
    </w:p>
    <w:p w14:paraId="11C9A5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 августа 1931 года Вы сообщили рапортом на имя Сталина, Кагановича, Орджоникидзе, Ворошилова, Баранова и мое о том, что Вами выпущен 14 августа 1931 года пассажирский самолет АНТ-14 на 2,5 месяца раньше срока. Самолет АНТ-14 действительно после упомянутого рапорта произвел несколько пробных полетов в воздухе, показавших его высокие качества и значительные преимущества перед подобными самолетами, конструируемыми за границей.</w:t>
      </w:r>
    </w:p>
    <w:p w14:paraId="7FE428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К сожалению, после этого самолет АНТ-14 полетов не производил, в эксплуатацию не вступил и Вами не сдан до настоящего момента. Причиной этого является то обстоятельство, что самолет недоделан: в нем отсутствует телефонное сообщение между пилотами и командиром корабля, электропроводка для освещения, испорчен центральный мотор и т.д. К сожалению, ЦАГИ ничего не предпринимает для того, чтобы в самом срочном порядке исправить все указанные недостатки и выпустить этот воздушный корабль не только на словах, но и на деле.</w:t>
      </w:r>
    </w:p>
    <w:p w14:paraId="6EEBA9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Считаю, что ЦК партии не нуждается в рапортах, вводящих его в заблуждение ………………….(7753, 190).</w:t>
      </w:r>
    </w:p>
    <w:p w14:paraId="61CF45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79767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и 14 сентября 1931 на маневрах Украинского ВО под Могилевом с трех АНТ-9 высаживались комбинированные парашютно-посадочные десанты (10542,28).</w:t>
      </w:r>
    </w:p>
    <w:p w14:paraId="366B34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9CCF4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сентября 1931 года за N 55/8сс Постановление комиссии Куйбышева В.В. по вопросу о развитии авиапромышленности на период 1932-35 г.г.:</w:t>
      </w:r>
    </w:p>
    <w:p w14:paraId="56D61B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Постановили:</w:t>
      </w:r>
    </w:p>
    <w:p w14:paraId="6EDE6F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Утвердить следующий объем задания и номенклатуру изделий, для выполнения которых должны развиваться заводы ВАО.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1552"/>
        <w:gridCol w:w="1552"/>
        <w:gridCol w:w="1552"/>
        <w:gridCol w:w="2432"/>
      </w:tblGrid>
      <w:tr w:rsidR="001002C3" w:rsidRPr="005E779E" w14:paraId="161FEAFB" w14:textId="77777777">
        <w:tc>
          <w:tcPr>
            <w:tcW w:w="3369" w:type="dxa"/>
          </w:tcPr>
          <w:p w14:paraId="665E26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Самолеты:</w:t>
            </w:r>
          </w:p>
        </w:tc>
        <w:tc>
          <w:tcPr>
            <w:tcW w:w="1552" w:type="dxa"/>
          </w:tcPr>
          <w:p w14:paraId="44F2A8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2C3389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503B61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11055F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E011CB6" w14:textId="77777777">
        <w:tc>
          <w:tcPr>
            <w:tcW w:w="3369" w:type="dxa"/>
          </w:tcPr>
          <w:p w14:paraId="61865F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Истребителей</w:t>
            </w:r>
          </w:p>
        </w:tc>
        <w:tc>
          <w:tcPr>
            <w:tcW w:w="1552" w:type="dxa"/>
          </w:tcPr>
          <w:p w14:paraId="7AFDF9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7C584C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627432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1ECC48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3500 шт.</w:t>
            </w:r>
          </w:p>
        </w:tc>
      </w:tr>
      <w:tr w:rsidR="001002C3" w:rsidRPr="005E779E" w14:paraId="59F839AF" w14:textId="77777777">
        <w:tc>
          <w:tcPr>
            <w:tcW w:w="3369" w:type="dxa"/>
          </w:tcPr>
          <w:p w14:paraId="2BB72E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Разведчиков и легк. бомбар.</w:t>
            </w:r>
          </w:p>
        </w:tc>
        <w:tc>
          <w:tcPr>
            <w:tcW w:w="1552" w:type="dxa"/>
          </w:tcPr>
          <w:p w14:paraId="2D7D3A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383F18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6794AF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4E1D6D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8000 шт.</w:t>
            </w:r>
          </w:p>
        </w:tc>
      </w:tr>
      <w:tr w:rsidR="001002C3" w:rsidRPr="005E779E" w14:paraId="783505D4" w14:textId="77777777">
        <w:tc>
          <w:tcPr>
            <w:tcW w:w="3369" w:type="dxa"/>
          </w:tcPr>
          <w:p w14:paraId="22C9C6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Штурмовиков легк. и тяж.</w:t>
            </w:r>
          </w:p>
        </w:tc>
        <w:tc>
          <w:tcPr>
            <w:tcW w:w="1552" w:type="dxa"/>
          </w:tcPr>
          <w:p w14:paraId="31C9DF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289B95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73B62F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2F5C04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1800 шт.</w:t>
            </w:r>
          </w:p>
        </w:tc>
      </w:tr>
      <w:tr w:rsidR="001002C3" w:rsidRPr="005E779E" w14:paraId="59CF72A0" w14:textId="77777777">
        <w:tc>
          <w:tcPr>
            <w:tcW w:w="3369" w:type="dxa"/>
          </w:tcPr>
          <w:p w14:paraId="252D96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Учебных</w:t>
            </w:r>
          </w:p>
        </w:tc>
        <w:tc>
          <w:tcPr>
            <w:tcW w:w="1552" w:type="dxa"/>
          </w:tcPr>
          <w:p w14:paraId="60E5D4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6C0E2C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76D56E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74F443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4000 шт.</w:t>
            </w:r>
          </w:p>
        </w:tc>
      </w:tr>
      <w:tr w:rsidR="001002C3" w:rsidRPr="005E779E" w14:paraId="2AD80220" w14:textId="77777777">
        <w:tc>
          <w:tcPr>
            <w:tcW w:w="3369" w:type="dxa"/>
          </w:tcPr>
          <w:p w14:paraId="066D43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Морских ближних</w:t>
            </w:r>
          </w:p>
        </w:tc>
        <w:tc>
          <w:tcPr>
            <w:tcW w:w="1552" w:type="dxa"/>
          </w:tcPr>
          <w:p w14:paraId="28B835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3DE383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5C2B57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05CD2A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400 шт.</w:t>
            </w:r>
          </w:p>
        </w:tc>
      </w:tr>
      <w:tr w:rsidR="001002C3" w:rsidRPr="005E779E" w14:paraId="19526943" w14:textId="77777777">
        <w:tc>
          <w:tcPr>
            <w:tcW w:w="3369" w:type="dxa"/>
          </w:tcPr>
          <w:p w14:paraId="3BD650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Морских дальн. т. МДР3</w:t>
            </w:r>
          </w:p>
        </w:tc>
        <w:tc>
          <w:tcPr>
            <w:tcW w:w="1552" w:type="dxa"/>
          </w:tcPr>
          <w:p w14:paraId="27CEC4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424CFA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1E3727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44F580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2C337D3" w14:textId="77777777">
        <w:tc>
          <w:tcPr>
            <w:tcW w:w="3369" w:type="dxa"/>
          </w:tcPr>
          <w:p w14:paraId="099CEB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(расчетн.)</w:t>
            </w:r>
          </w:p>
        </w:tc>
        <w:tc>
          <w:tcPr>
            <w:tcW w:w="1552" w:type="dxa"/>
          </w:tcPr>
          <w:p w14:paraId="63FDEE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1FC117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4DAFA8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66EB7A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 шт.</w:t>
            </w:r>
          </w:p>
        </w:tc>
      </w:tr>
      <w:tr w:rsidR="001002C3" w:rsidRPr="005E779E" w14:paraId="166D9C19" w14:textId="77777777">
        <w:tc>
          <w:tcPr>
            <w:tcW w:w="3369" w:type="dxa"/>
          </w:tcPr>
          <w:p w14:paraId="464190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Морских дальн. т. МТБ3</w:t>
            </w:r>
          </w:p>
        </w:tc>
        <w:tc>
          <w:tcPr>
            <w:tcW w:w="1552" w:type="dxa"/>
          </w:tcPr>
          <w:p w14:paraId="5C4848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5C1FF6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5147A4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448AA8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0745166" w14:textId="77777777">
        <w:tc>
          <w:tcPr>
            <w:tcW w:w="3369" w:type="dxa"/>
          </w:tcPr>
          <w:p w14:paraId="060A2D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(расчетн.)</w:t>
            </w:r>
          </w:p>
        </w:tc>
        <w:tc>
          <w:tcPr>
            <w:tcW w:w="1552" w:type="dxa"/>
          </w:tcPr>
          <w:p w14:paraId="4F8AAB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15DD15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5DA025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63CD92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 шт.</w:t>
            </w:r>
          </w:p>
        </w:tc>
      </w:tr>
      <w:tr w:rsidR="001002C3" w:rsidRPr="005E779E" w14:paraId="5A6D266C" w14:textId="77777777">
        <w:tc>
          <w:tcPr>
            <w:tcW w:w="3369" w:type="dxa"/>
          </w:tcPr>
          <w:p w14:paraId="696393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Сухопутн. тяж. </w:t>
            </w:r>
          </w:p>
        </w:tc>
        <w:tc>
          <w:tcPr>
            <w:tcW w:w="1552" w:type="dxa"/>
          </w:tcPr>
          <w:p w14:paraId="2C20EF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ТБ-3</w:t>
            </w:r>
          </w:p>
        </w:tc>
        <w:tc>
          <w:tcPr>
            <w:tcW w:w="1552" w:type="dxa"/>
          </w:tcPr>
          <w:p w14:paraId="0691DD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1500 шт. </w:t>
            </w:r>
          </w:p>
        </w:tc>
        <w:tc>
          <w:tcPr>
            <w:tcW w:w="1552" w:type="dxa"/>
          </w:tcPr>
          <w:p w14:paraId="24E44D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экв. к </w:t>
            </w:r>
          </w:p>
        </w:tc>
        <w:tc>
          <w:tcPr>
            <w:tcW w:w="2432" w:type="dxa"/>
          </w:tcPr>
          <w:p w14:paraId="656B24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ТБ-3 - 1500 шт.</w:t>
            </w:r>
          </w:p>
        </w:tc>
      </w:tr>
      <w:tr w:rsidR="001002C3" w:rsidRPr="005E779E" w14:paraId="77311EFE" w14:textId="77777777">
        <w:tc>
          <w:tcPr>
            <w:tcW w:w="3369" w:type="dxa"/>
          </w:tcPr>
          <w:p w14:paraId="2867ED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3602BF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ТБ-1</w:t>
            </w:r>
          </w:p>
        </w:tc>
        <w:tc>
          <w:tcPr>
            <w:tcW w:w="1552" w:type="dxa"/>
          </w:tcPr>
          <w:p w14:paraId="227677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1500 шт. </w:t>
            </w:r>
          </w:p>
        </w:tc>
        <w:tc>
          <w:tcPr>
            <w:tcW w:w="1552" w:type="dxa"/>
          </w:tcPr>
          <w:p w14:paraId="35D4B2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2432" w:type="dxa"/>
          </w:tcPr>
          <w:p w14:paraId="3BDBB8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ТБ-3 - 600</w:t>
            </w:r>
          </w:p>
        </w:tc>
      </w:tr>
      <w:tr w:rsidR="001002C3" w:rsidRPr="005E779E" w14:paraId="2E8A96B1" w14:textId="77777777">
        <w:tc>
          <w:tcPr>
            <w:tcW w:w="3369" w:type="dxa"/>
          </w:tcPr>
          <w:p w14:paraId="327EE6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4963F3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К7</w:t>
            </w:r>
          </w:p>
        </w:tc>
        <w:tc>
          <w:tcPr>
            <w:tcW w:w="1552" w:type="dxa"/>
          </w:tcPr>
          <w:p w14:paraId="1A78DD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 шт.</w:t>
            </w:r>
          </w:p>
        </w:tc>
        <w:tc>
          <w:tcPr>
            <w:tcW w:w="1552" w:type="dxa"/>
          </w:tcPr>
          <w:p w14:paraId="29DF41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2432" w:type="dxa"/>
          </w:tcPr>
          <w:p w14:paraId="74D51B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ТБ-3 - 1600</w:t>
            </w:r>
          </w:p>
        </w:tc>
      </w:tr>
      <w:tr w:rsidR="001002C3" w:rsidRPr="005E779E" w14:paraId="03535DF3" w14:textId="77777777">
        <w:tc>
          <w:tcPr>
            <w:tcW w:w="3369" w:type="dxa"/>
          </w:tcPr>
          <w:p w14:paraId="15C3D9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158164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К-14</w:t>
            </w:r>
          </w:p>
        </w:tc>
        <w:tc>
          <w:tcPr>
            <w:tcW w:w="1552" w:type="dxa"/>
          </w:tcPr>
          <w:p w14:paraId="1FF9B9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 шт.</w:t>
            </w:r>
          </w:p>
        </w:tc>
        <w:tc>
          <w:tcPr>
            <w:tcW w:w="1552" w:type="dxa"/>
          </w:tcPr>
          <w:p w14:paraId="4A55E6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2432" w:type="dxa"/>
          </w:tcPr>
          <w:p w14:paraId="5C6AAB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ТБ-3 - 800</w:t>
            </w:r>
          </w:p>
        </w:tc>
      </w:tr>
      <w:tr w:rsidR="001002C3" w:rsidRPr="005E779E" w14:paraId="6E0279C4" w14:textId="77777777">
        <w:tc>
          <w:tcPr>
            <w:tcW w:w="3369" w:type="dxa"/>
          </w:tcPr>
          <w:p w14:paraId="3047F0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52E1FA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w:t>
            </w:r>
          </w:p>
        </w:tc>
        <w:tc>
          <w:tcPr>
            <w:tcW w:w="1552" w:type="dxa"/>
          </w:tcPr>
          <w:p w14:paraId="426614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3800 шт.</w:t>
            </w:r>
          </w:p>
        </w:tc>
        <w:tc>
          <w:tcPr>
            <w:tcW w:w="1552" w:type="dxa"/>
          </w:tcPr>
          <w:p w14:paraId="6121B8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659DB3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3800 шт.</w:t>
            </w:r>
          </w:p>
        </w:tc>
      </w:tr>
      <w:tr w:rsidR="001002C3" w:rsidRPr="005E779E" w14:paraId="636D7074" w14:textId="77777777">
        <w:tc>
          <w:tcPr>
            <w:tcW w:w="3369" w:type="dxa"/>
          </w:tcPr>
          <w:p w14:paraId="70063B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Специальных</w:t>
            </w:r>
          </w:p>
        </w:tc>
        <w:tc>
          <w:tcPr>
            <w:tcW w:w="1552" w:type="dxa"/>
          </w:tcPr>
          <w:p w14:paraId="3A23B6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07239C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7C4181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781BF4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 шт.</w:t>
            </w:r>
          </w:p>
        </w:tc>
      </w:tr>
      <w:tr w:rsidR="001002C3" w:rsidRPr="005E779E" w14:paraId="4D3F7905" w14:textId="77777777">
        <w:tc>
          <w:tcPr>
            <w:tcW w:w="3369" w:type="dxa"/>
          </w:tcPr>
          <w:p w14:paraId="788010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Авиэток</w:t>
            </w:r>
          </w:p>
        </w:tc>
        <w:tc>
          <w:tcPr>
            <w:tcW w:w="1552" w:type="dxa"/>
          </w:tcPr>
          <w:p w14:paraId="63F64F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7B5583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1A98F1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786B73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12000 шт.</w:t>
            </w:r>
          </w:p>
        </w:tc>
      </w:tr>
      <w:tr w:rsidR="001002C3" w:rsidRPr="005E779E" w14:paraId="00595A37" w14:textId="77777777">
        <w:tc>
          <w:tcPr>
            <w:tcW w:w="3369" w:type="dxa"/>
          </w:tcPr>
          <w:p w14:paraId="1712A2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40E2F3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5D9422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16F6B9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w:t>
            </w:r>
          </w:p>
        </w:tc>
        <w:tc>
          <w:tcPr>
            <w:tcW w:w="2432" w:type="dxa"/>
          </w:tcPr>
          <w:p w14:paraId="123B19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34300 шт.</w:t>
            </w:r>
          </w:p>
        </w:tc>
      </w:tr>
      <w:tr w:rsidR="001002C3" w:rsidRPr="005E779E" w14:paraId="662F9117" w14:textId="77777777">
        <w:tc>
          <w:tcPr>
            <w:tcW w:w="3369" w:type="dxa"/>
          </w:tcPr>
          <w:p w14:paraId="7EE69E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Моторы.</w:t>
            </w:r>
          </w:p>
        </w:tc>
        <w:tc>
          <w:tcPr>
            <w:tcW w:w="1552" w:type="dxa"/>
          </w:tcPr>
          <w:p w14:paraId="706759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47D5AD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6B7D4F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4161F6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5CB61FA" w14:textId="77777777">
        <w:tc>
          <w:tcPr>
            <w:tcW w:w="3369" w:type="dxa"/>
          </w:tcPr>
          <w:p w14:paraId="49DE1B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Водян. охлажд. типа М-34- М-35</w:t>
            </w:r>
          </w:p>
        </w:tc>
        <w:tc>
          <w:tcPr>
            <w:tcW w:w="1552" w:type="dxa"/>
          </w:tcPr>
          <w:p w14:paraId="68E0A8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0DBEA2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656D37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29F562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25000 шт.</w:t>
            </w:r>
          </w:p>
        </w:tc>
      </w:tr>
      <w:tr w:rsidR="001002C3" w:rsidRPr="005E779E" w14:paraId="6BFC1F57" w14:textId="77777777">
        <w:tc>
          <w:tcPr>
            <w:tcW w:w="3369" w:type="dxa"/>
          </w:tcPr>
          <w:p w14:paraId="267A85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552" w:type="dxa"/>
          </w:tcPr>
          <w:p w14:paraId="4565CB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552" w:type="dxa"/>
          </w:tcPr>
          <w:p w14:paraId="6D4C49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Кертис М-32</w:t>
            </w:r>
          </w:p>
        </w:tc>
        <w:tc>
          <w:tcPr>
            <w:tcW w:w="1552" w:type="dxa"/>
          </w:tcPr>
          <w:p w14:paraId="22A382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75C6F0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10000 шт.</w:t>
            </w:r>
          </w:p>
        </w:tc>
      </w:tr>
      <w:tr w:rsidR="001002C3" w:rsidRPr="005E779E" w14:paraId="55710F1F" w14:textId="77777777">
        <w:tc>
          <w:tcPr>
            <w:tcW w:w="3369" w:type="dxa"/>
          </w:tcPr>
          <w:p w14:paraId="424B47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5CF3FC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17351E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6BE30E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w:t>
            </w:r>
          </w:p>
        </w:tc>
        <w:tc>
          <w:tcPr>
            <w:tcW w:w="2432" w:type="dxa"/>
          </w:tcPr>
          <w:p w14:paraId="00A1AC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35000 шт.</w:t>
            </w:r>
          </w:p>
        </w:tc>
      </w:tr>
      <w:tr w:rsidR="001002C3" w:rsidRPr="005E779E" w14:paraId="6A5CA6C3" w14:textId="77777777">
        <w:tc>
          <w:tcPr>
            <w:tcW w:w="3369" w:type="dxa"/>
          </w:tcPr>
          <w:p w14:paraId="6D5DEF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Воздушн. охлажд. типа М-11</w:t>
            </w:r>
          </w:p>
        </w:tc>
        <w:tc>
          <w:tcPr>
            <w:tcW w:w="1552" w:type="dxa"/>
          </w:tcPr>
          <w:p w14:paraId="47BED0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7E5EFB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1CD9F8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711C6B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6000 шт.</w:t>
            </w:r>
          </w:p>
        </w:tc>
      </w:tr>
      <w:tr w:rsidR="001002C3" w:rsidRPr="005E779E" w14:paraId="060D7AD0" w14:textId="77777777">
        <w:tc>
          <w:tcPr>
            <w:tcW w:w="3369" w:type="dxa"/>
          </w:tcPr>
          <w:p w14:paraId="7F7687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552" w:type="dxa"/>
          </w:tcPr>
          <w:p w14:paraId="012782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552" w:type="dxa"/>
          </w:tcPr>
          <w:p w14:paraId="63CCB3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М-22</w:t>
            </w:r>
          </w:p>
        </w:tc>
        <w:tc>
          <w:tcPr>
            <w:tcW w:w="1552" w:type="dxa"/>
          </w:tcPr>
          <w:p w14:paraId="3F1536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2BDADA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6000 шт.</w:t>
            </w:r>
          </w:p>
        </w:tc>
      </w:tr>
      <w:tr w:rsidR="001002C3" w:rsidRPr="005E779E" w14:paraId="3AED6B20" w14:textId="77777777">
        <w:tc>
          <w:tcPr>
            <w:tcW w:w="3369" w:type="dxa"/>
          </w:tcPr>
          <w:p w14:paraId="4E2D20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552" w:type="dxa"/>
          </w:tcPr>
          <w:p w14:paraId="343E1B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552" w:type="dxa"/>
          </w:tcPr>
          <w:p w14:paraId="4DA432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Райт</w:t>
            </w:r>
          </w:p>
        </w:tc>
        <w:tc>
          <w:tcPr>
            <w:tcW w:w="1552" w:type="dxa"/>
          </w:tcPr>
          <w:p w14:paraId="2F2323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7218C2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10000 шт.</w:t>
            </w:r>
          </w:p>
        </w:tc>
      </w:tr>
      <w:tr w:rsidR="001002C3" w:rsidRPr="005E779E" w14:paraId="3A351ED8" w14:textId="77777777">
        <w:tc>
          <w:tcPr>
            <w:tcW w:w="3369" w:type="dxa"/>
          </w:tcPr>
          <w:p w14:paraId="41338F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 них мощн. по типу</w:t>
            </w:r>
          </w:p>
        </w:tc>
        <w:tc>
          <w:tcPr>
            <w:tcW w:w="1552" w:type="dxa"/>
          </w:tcPr>
          <w:p w14:paraId="722287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31AB48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131068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779214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DD0385E" w14:textId="77777777">
        <w:tc>
          <w:tcPr>
            <w:tcW w:w="3369" w:type="dxa"/>
          </w:tcPr>
          <w:p w14:paraId="22ED0F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Райт-Циклон - 5000 шт.)</w:t>
            </w:r>
          </w:p>
        </w:tc>
        <w:tc>
          <w:tcPr>
            <w:tcW w:w="1552" w:type="dxa"/>
          </w:tcPr>
          <w:p w14:paraId="7B7D27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0B6999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6D2C23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w:t>
            </w:r>
          </w:p>
        </w:tc>
        <w:tc>
          <w:tcPr>
            <w:tcW w:w="2432" w:type="dxa"/>
          </w:tcPr>
          <w:p w14:paraId="5159D1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22000 шт.</w:t>
            </w:r>
          </w:p>
        </w:tc>
      </w:tr>
      <w:tr w:rsidR="001002C3" w:rsidRPr="005E779E" w14:paraId="6C04741E" w14:textId="77777777">
        <w:tc>
          <w:tcPr>
            <w:tcW w:w="3369" w:type="dxa"/>
          </w:tcPr>
          <w:p w14:paraId="380F5F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Маломощных моторов</w:t>
            </w:r>
          </w:p>
        </w:tc>
        <w:tc>
          <w:tcPr>
            <w:tcW w:w="1552" w:type="dxa"/>
          </w:tcPr>
          <w:p w14:paraId="40DE7D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32808E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08E310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09E9DE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15000 шт.</w:t>
            </w:r>
          </w:p>
        </w:tc>
      </w:tr>
      <w:tr w:rsidR="001002C3" w:rsidRPr="005E779E" w14:paraId="75A3A34E" w14:textId="77777777">
        <w:tc>
          <w:tcPr>
            <w:tcW w:w="3369" w:type="dxa"/>
          </w:tcPr>
          <w:p w14:paraId="01E797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Нефтяных-"-</w:t>
            </w:r>
          </w:p>
        </w:tc>
        <w:tc>
          <w:tcPr>
            <w:tcW w:w="1552" w:type="dxa"/>
          </w:tcPr>
          <w:p w14:paraId="2C9A23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3040F5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471C35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203393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1500 шт.</w:t>
            </w:r>
          </w:p>
        </w:tc>
      </w:tr>
      <w:tr w:rsidR="001002C3" w:rsidRPr="005E779E" w14:paraId="6609846B" w14:textId="77777777">
        <w:tc>
          <w:tcPr>
            <w:tcW w:w="3369" w:type="dxa"/>
          </w:tcPr>
          <w:p w14:paraId="21BCF0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68759A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02B838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705574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w:t>
            </w:r>
          </w:p>
        </w:tc>
        <w:tc>
          <w:tcPr>
            <w:tcW w:w="2432" w:type="dxa"/>
          </w:tcPr>
          <w:p w14:paraId="196C2D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73500 шт.</w:t>
            </w:r>
          </w:p>
        </w:tc>
      </w:tr>
      <w:tr w:rsidR="001002C3" w:rsidRPr="005E779E" w14:paraId="01ADD6BA" w14:textId="77777777">
        <w:tc>
          <w:tcPr>
            <w:tcW w:w="3369" w:type="dxa"/>
          </w:tcPr>
          <w:p w14:paraId="1629F3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моторов типа Кертис</w:t>
            </w:r>
          </w:p>
        </w:tc>
        <w:tc>
          <w:tcPr>
            <w:tcW w:w="1552" w:type="dxa"/>
          </w:tcPr>
          <w:p w14:paraId="626604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7EC818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5D51FA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2D005A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B282CF8" w14:textId="77777777">
        <w:tc>
          <w:tcPr>
            <w:tcW w:w="3369" w:type="dxa"/>
          </w:tcPr>
          <w:p w14:paraId="051344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танков, глиссеров и т.д.</w:t>
            </w:r>
          </w:p>
        </w:tc>
        <w:tc>
          <w:tcPr>
            <w:tcW w:w="1552" w:type="dxa"/>
          </w:tcPr>
          <w:p w14:paraId="4F41A0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23AD4C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4A51EB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43D270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10000 шт. (2329)</w:t>
            </w:r>
          </w:p>
        </w:tc>
      </w:tr>
    </w:tbl>
    <w:p w14:paraId="4F5226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Утвердить следующие темпы развития мощностей авиазаводов по годам.</w:t>
      </w:r>
    </w:p>
    <w:p w14:paraId="1D96E3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Самолетные заводы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850"/>
        <w:gridCol w:w="1977"/>
        <w:gridCol w:w="1977"/>
        <w:gridCol w:w="1977"/>
        <w:gridCol w:w="1977"/>
        <w:gridCol w:w="1977"/>
      </w:tblGrid>
      <w:tr w:rsidR="001002C3" w:rsidRPr="005E779E" w14:paraId="18027D04" w14:textId="77777777">
        <w:tc>
          <w:tcPr>
            <w:tcW w:w="534" w:type="dxa"/>
            <w:tcBorders>
              <w:top w:val="single" w:sz="12" w:space="0" w:color="auto"/>
            </w:tcBorders>
          </w:tcPr>
          <w:p w14:paraId="409524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п/п</w:t>
            </w:r>
          </w:p>
        </w:tc>
        <w:tc>
          <w:tcPr>
            <w:tcW w:w="850" w:type="dxa"/>
            <w:tcBorders>
              <w:top w:val="single" w:sz="12" w:space="0" w:color="auto"/>
            </w:tcBorders>
          </w:tcPr>
          <w:p w14:paraId="34A3AB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05EEFE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завода</w:t>
            </w:r>
          </w:p>
        </w:tc>
        <w:tc>
          <w:tcPr>
            <w:tcW w:w="1977" w:type="dxa"/>
            <w:tcBorders>
              <w:top w:val="single" w:sz="12" w:space="0" w:color="auto"/>
            </w:tcBorders>
          </w:tcPr>
          <w:p w14:paraId="3C977C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Назначение самолетов</w:t>
            </w:r>
          </w:p>
        </w:tc>
        <w:tc>
          <w:tcPr>
            <w:tcW w:w="1977" w:type="dxa"/>
            <w:tcBorders>
              <w:top w:val="single" w:sz="12" w:space="0" w:color="auto"/>
            </w:tcBorders>
          </w:tcPr>
          <w:p w14:paraId="1A8745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1/1-32</w:t>
            </w:r>
          </w:p>
        </w:tc>
        <w:tc>
          <w:tcPr>
            <w:tcW w:w="1977" w:type="dxa"/>
            <w:tcBorders>
              <w:top w:val="single" w:sz="12" w:space="0" w:color="auto"/>
            </w:tcBorders>
          </w:tcPr>
          <w:p w14:paraId="528E72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1/1-33</w:t>
            </w:r>
          </w:p>
        </w:tc>
        <w:tc>
          <w:tcPr>
            <w:tcW w:w="1977" w:type="dxa"/>
            <w:tcBorders>
              <w:top w:val="single" w:sz="12" w:space="0" w:color="auto"/>
            </w:tcBorders>
          </w:tcPr>
          <w:p w14:paraId="3DCDE0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1/1-34</w:t>
            </w:r>
          </w:p>
        </w:tc>
        <w:tc>
          <w:tcPr>
            <w:tcW w:w="1977" w:type="dxa"/>
            <w:tcBorders>
              <w:top w:val="single" w:sz="12" w:space="0" w:color="auto"/>
            </w:tcBorders>
          </w:tcPr>
          <w:p w14:paraId="1E17F4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1/1\-35</w:t>
            </w:r>
          </w:p>
        </w:tc>
      </w:tr>
      <w:tr w:rsidR="001002C3" w:rsidRPr="005E779E" w14:paraId="6675797A" w14:textId="77777777">
        <w:tc>
          <w:tcPr>
            <w:tcW w:w="534" w:type="dxa"/>
          </w:tcPr>
          <w:p w14:paraId="3282D1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850" w:type="dxa"/>
          </w:tcPr>
          <w:p w14:paraId="5FB1CD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w:t>
            </w:r>
          </w:p>
        </w:tc>
        <w:tc>
          <w:tcPr>
            <w:tcW w:w="1977" w:type="dxa"/>
          </w:tcPr>
          <w:p w14:paraId="431D26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Истребители</w:t>
            </w:r>
          </w:p>
        </w:tc>
        <w:tc>
          <w:tcPr>
            <w:tcW w:w="1977" w:type="dxa"/>
          </w:tcPr>
          <w:p w14:paraId="5052A4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1200</w:t>
            </w:r>
          </w:p>
        </w:tc>
        <w:tc>
          <w:tcPr>
            <w:tcW w:w="1977" w:type="dxa"/>
          </w:tcPr>
          <w:p w14:paraId="0D74DE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2400</w:t>
            </w:r>
          </w:p>
        </w:tc>
        <w:tc>
          <w:tcPr>
            <w:tcW w:w="1977" w:type="dxa"/>
          </w:tcPr>
          <w:p w14:paraId="5789DD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2400</w:t>
            </w:r>
          </w:p>
        </w:tc>
        <w:tc>
          <w:tcPr>
            <w:tcW w:w="1977" w:type="dxa"/>
          </w:tcPr>
          <w:p w14:paraId="5F0BE5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3500</w:t>
            </w:r>
          </w:p>
        </w:tc>
      </w:tr>
      <w:tr w:rsidR="001002C3" w:rsidRPr="005E779E" w14:paraId="3F92C3CB" w14:textId="77777777">
        <w:tc>
          <w:tcPr>
            <w:tcW w:w="534" w:type="dxa"/>
          </w:tcPr>
          <w:p w14:paraId="43C220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850" w:type="dxa"/>
          </w:tcPr>
          <w:p w14:paraId="095E01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1977" w:type="dxa"/>
          </w:tcPr>
          <w:p w14:paraId="767777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Разведчики</w:t>
            </w:r>
          </w:p>
        </w:tc>
        <w:tc>
          <w:tcPr>
            <w:tcW w:w="1977" w:type="dxa"/>
          </w:tcPr>
          <w:p w14:paraId="6038F0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977" w:type="dxa"/>
          </w:tcPr>
          <w:p w14:paraId="036159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3500</w:t>
            </w:r>
          </w:p>
        </w:tc>
        <w:tc>
          <w:tcPr>
            <w:tcW w:w="1977" w:type="dxa"/>
          </w:tcPr>
          <w:p w14:paraId="48AD24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3500</w:t>
            </w:r>
          </w:p>
        </w:tc>
        <w:tc>
          <w:tcPr>
            <w:tcW w:w="1977" w:type="dxa"/>
          </w:tcPr>
          <w:p w14:paraId="355601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3500</w:t>
            </w:r>
          </w:p>
        </w:tc>
      </w:tr>
      <w:tr w:rsidR="001002C3" w:rsidRPr="005E779E" w14:paraId="79CBA6C0" w14:textId="77777777">
        <w:tc>
          <w:tcPr>
            <w:tcW w:w="534" w:type="dxa"/>
          </w:tcPr>
          <w:p w14:paraId="7C6E1F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tc>
        <w:tc>
          <w:tcPr>
            <w:tcW w:w="850" w:type="dxa"/>
          </w:tcPr>
          <w:p w14:paraId="27B2F3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w:t>
            </w:r>
          </w:p>
        </w:tc>
        <w:tc>
          <w:tcPr>
            <w:tcW w:w="1977" w:type="dxa"/>
          </w:tcPr>
          <w:p w14:paraId="1734A0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Разведчики</w:t>
            </w:r>
          </w:p>
        </w:tc>
        <w:tc>
          <w:tcPr>
            <w:tcW w:w="1977" w:type="dxa"/>
          </w:tcPr>
          <w:p w14:paraId="590C01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1150</w:t>
            </w:r>
          </w:p>
        </w:tc>
        <w:tc>
          <w:tcPr>
            <w:tcW w:w="1977" w:type="dxa"/>
          </w:tcPr>
          <w:p w14:paraId="3CA51C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2400</w:t>
            </w:r>
          </w:p>
        </w:tc>
        <w:tc>
          <w:tcPr>
            <w:tcW w:w="1977" w:type="dxa"/>
          </w:tcPr>
          <w:p w14:paraId="25389C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2400</w:t>
            </w:r>
          </w:p>
        </w:tc>
        <w:tc>
          <w:tcPr>
            <w:tcW w:w="1977" w:type="dxa"/>
          </w:tcPr>
          <w:p w14:paraId="07E867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2400</w:t>
            </w:r>
          </w:p>
        </w:tc>
      </w:tr>
      <w:tr w:rsidR="001002C3" w:rsidRPr="005E779E" w14:paraId="6CDCC4AD" w14:textId="77777777">
        <w:tc>
          <w:tcPr>
            <w:tcW w:w="534" w:type="dxa"/>
          </w:tcPr>
          <w:p w14:paraId="14C91F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w:t>
            </w:r>
          </w:p>
        </w:tc>
        <w:tc>
          <w:tcPr>
            <w:tcW w:w="850" w:type="dxa"/>
          </w:tcPr>
          <w:p w14:paraId="02D574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ХАЗ</w:t>
            </w:r>
          </w:p>
        </w:tc>
        <w:tc>
          <w:tcPr>
            <w:tcW w:w="1977" w:type="dxa"/>
          </w:tcPr>
          <w:p w14:paraId="51F496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Разведчики</w:t>
            </w:r>
          </w:p>
        </w:tc>
        <w:tc>
          <w:tcPr>
            <w:tcW w:w="1977" w:type="dxa"/>
          </w:tcPr>
          <w:p w14:paraId="2F2D29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w:t>
            </w:r>
          </w:p>
        </w:tc>
        <w:tc>
          <w:tcPr>
            <w:tcW w:w="1977" w:type="dxa"/>
          </w:tcPr>
          <w:p w14:paraId="729618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w:t>
            </w:r>
          </w:p>
        </w:tc>
        <w:tc>
          <w:tcPr>
            <w:tcW w:w="1977" w:type="dxa"/>
          </w:tcPr>
          <w:p w14:paraId="033338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w:t>
            </w:r>
          </w:p>
        </w:tc>
        <w:tc>
          <w:tcPr>
            <w:tcW w:w="1977" w:type="dxa"/>
          </w:tcPr>
          <w:p w14:paraId="5F1612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w:t>
            </w:r>
          </w:p>
        </w:tc>
      </w:tr>
      <w:tr w:rsidR="001002C3" w:rsidRPr="005E779E" w14:paraId="4E649020" w14:textId="77777777">
        <w:tc>
          <w:tcPr>
            <w:tcW w:w="534" w:type="dxa"/>
          </w:tcPr>
          <w:p w14:paraId="6C720F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w:t>
            </w:r>
          </w:p>
        </w:tc>
        <w:tc>
          <w:tcPr>
            <w:tcW w:w="850" w:type="dxa"/>
          </w:tcPr>
          <w:p w14:paraId="6EBBC0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01</w:t>
            </w:r>
          </w:p>
        </w:tc>
        <w:tc>
          <w:tcPr>
            <w:tcW w:w="1977" w:type="dxa"/>
          </w:tcPr>
          <w:p w14:paraId="33CD3D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Штурмовики</w:t>
            </w:r>
          </w:p>
        </w:tc>
        <w:tc>
          <w:tcPr>
            <w:tcW w:w="1977" w:type="dxa"/>
          </w:tcPr>
          <w:p w14:paraId="63B508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977" w:type="dxa"/>
          </w:tcPr>
          <w:p w14:paraId="330DBD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977" w:type="dxa"/>
          </w:tcPr>
          <w:p w14:paraId="313A5D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w:t>
            </w:r>
          </w:p>
        </w:tc>
        <w:tc>
          <w:tcPr>
            <w:tcW w:w="1977" w:type="dxa"/>
          </w:tcPr>
          <w:p w14:paraId="272195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1800</w:t>
            </w:r>
          </w:p>
        </w:tc>
      </w:tr>
      <w:tr w:rsidR="001002C3" w:rsidRPr="005E779E" w14:paraId="355A18AF" w14:textId="77777777">
        <w:tc>
          <w:tcPr>
            <w:tcW w:w="534" w:type="dxa"/>
          </w:tcPr>
          <w:p w14:paraId="02F9FE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w:t>
            </w:r>
          </w:p>
        </w:tc>
        <w:tc>
          <w:tcPr>
            <w:tcW w:w="850" w:type="dxa"/>
          </w:tcPr>
          <w:p w14:paraId="4BB7B7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w:t>
            </w:r>
          </w:p>
        </w:tc>
        <w:tc>
          <w:tcPr>
            <w:tcW w:w="1977" w:type="dxa"/>
          </w:tcPr>
          <w:p w14:paraId="6206AA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Учебные</w:t>
            </w:r>
          </w:p>
        </w:tc>
        <w:tc>
          <w:tcPr>
            <w:tcW w:w="1977" w:type="dxa"/>
          </w:tcPr>
          <w:p w14:paraId="34C4DF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w:t>
            </w:r>
          </w:p>
        </w:tc>
        <w:tc>
          <w:tcPr>
            <w:tcW w:w="1977" w:type="dxa"/>
          </w:tcPr>
          <w:p w14:paraId="7FC5E6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w:t>
            </w:r>
          </w:p>
        </w:tc>
        <w:tc>
          <w:tcPr>
            <w:tcW w:w="1977" w:type="dxa"/>
          </w:tcPr>
          <w:p w14:paraId="6615C5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w:t>
            </w:r>
          </w:p>
        </w:tc>
        <w:tc>
          <w:tcPr>
            <w:tcW w:w="1977" w:type="dxa"/>
          </w:tcPr>
          <w:p w14:paraId="6C4F32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1002C3" w:rsidRPr="005E779E" w14:paraId="5A15F590" w14:textId="77777777">
        <w:tc>
          <w:tcPr>
            <w:tcW w:w="534" w:type="dxa"/>
          </w:tcPr>
          <w:p w14:paraId="5C71C9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43977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977" w:type="dxa"/>
          </w:tcPr>
          <w:p w14:paraId="7BA348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Авиетки</w:t>
            </w:r>
          </w:p>
        </w:tc>
        <w:tc>
          <w:tcPr>
            <w:tcW w:w="1977" w:type="dxa"/>
          </w:tcPr>
          <w:p w14:paraId="4224FE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977" w:type="dxa"/>
          </w:tcPr>
          <w:p w14:paraId="20381A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977" w:type="dxa"/>
          </w:tcPr>
          <w:p w14:paraId="235AC1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977" w:type="dxa"/>
          </w:tcPr>
          <w:p w14:paraId="6BB000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r>
      <w:tr w:rsidR="001002C3" w:rsidRPr="005E779E" w14:paraId="1464E360" w14:textId="77777777">
        <w:tc>
          <w:tcPr>
            <w:tcW w:w="534" w:type="dxa"/>
          </w:tcPr>
          <w:p w14:paraId="177A68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w:t>
            </w:r>
          </w:p>
        </w:tc>
        <w:tc>
          <w:tcPr>
            <w:tcW w:w="850" w:type="dxa"/>
          </w:tcPr>
          <w:p w14:paraId="4E0A08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02</w:t>
            </w:r>
          </w:p>
        </w:tc>
        <w:tc>
          <w:tcPr>
            <w:tcW w:w="1977" w:type="dxa"/>
          </w:tcPr>
          <w:p w14:paraId="71EA37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Учебные</w:t>
            </w:r>
          </w:p>
        </w:tc>
        <w:tc>
          <w:tcPr>
            <w:tcW w:w="1977" w:type="dxa"/>
          </w:tcPr>
          <w:p w14:paraId="41514D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977" w:type="dxa"/>
          </w:tcPr>
          <w:p w14:paraId="6717B6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977" w:type="dxa"/>
          </w:tcPr>
          <w:p w14:paraId="13B080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4000</w:t>
            </w:r>
          </w:p>
        </w:tc>
        <w:tc>
          <w:tcPr>
            <w:tcW w:w="1977" w:type="dxa"/>
          </w:tcPr>
          <w:p w14:paraId="753885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4000</w:t>
            </w:r>
          </w:p>
        </w:tc>
      </w:tr>
      <w:tr w:rsidR="001002C3" w:rsidRPr="005E779E" w14:paraId="4BB1B910" w14:textId="77777777">
        <w:tc>
          <w:tcPr>
            <w:tcW w:w="534" w:type="dxa"/>
          </w:tcPr>
          <w:p w14:paraId="7D7395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64478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977" w:type="dxa"/>
          </w:tcPr>
          <w:p w14:paraId="1BDE4E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Авиетки</w:t>
            </w:r>
          </w:p>
        </w:tc>
        <w:tc>
          <w:tcPr>
            <w:tcW w:w="1977" w:type="dxa"/>
          </w:tcPr>
          <w:p w14:paraId="3A7424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977" w:type="dxa"/>
          </w:tcPr>
          <w:p w14:paraId="14B4F8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977" w:type="dxa"/>
          </w:tcPr>
          <w:p w14:paraId="7DA5CF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4000</w:t>
            </w:r>
          </w:p>
        </w:tc>
        <w:tc>
          <w:tcPr>
            <w:tcW w:w="1977" w:type="dxa"/>
          </w:tcPr>
          <w:p w14:paraId="5D0CB6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4000</w:t>
            </w:r>
          </w:p>
        </w:tc>
      </w:tr>
      <w:tr w:rsidR="001002C3" w:rsidRPr="005E779E" w14:paraId="5AC7F6C8" w14:textId="77777777">
        <w:tc>
          <w:tcPr>
            <w:tcW w:w="534" w:type="dxa"/>
          </w:tcPr>
          <w:p w14:paraId="7C1583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w:t>
            </w:r>
          </w:p>
        </w:tc>
        <w:tc>
          <w:tcPr>
            <w:tcW w:w="850" w:type="dxa"/>
          </w:tcPr>
          <w:p w14:paraId="606502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03</w:t>
            </w:r>
          </w:p>
        </w:tc>
        <w:tc>
          <w:tcPr>
            <w:tcW w:w="1977" w:type="dxa"/>
          </w:tcPr>
          <w:p w14:paraId="1E21BF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Морские</w:t>
            </w:r>
          </w:p>
        </w:tc>
        <w:tc>
          <w:tcPr>
            <w:tcW w:w="1977" w:type="dxa"/>
          </w:tcPr>
          <w:p w14:paraId="0FB533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977" w:type="dxa"/>
          </w:tcPr>
          <w:p w14:paraId="357590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w:t>
            </w:r>
          </w:p>
        </w:tc>
        <w:tc>
          <w:tcPr>
            <w:tcW w:w="1977" w:type="dxa"/>
          </w:tcPr>
          <w:p w14:paraId="7A2FEA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700</w:t>
            </w:r>
          </w:p>
        </w:tc>
        <w:tc>
          <w:tcPr>
            <w:tcW w:w="1977" w:type="dxa"/>
          </w:tcPr>
          <w:p w14:paraId="1B3852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700</w:t>
            </w:r>
          </w:p>
        </w:tc>
      </w:tr>
      <w:tr w:rsidR="001002C3" w:rsidRPr="005E779E" w14:paraId="64167E5F" w14:textId="77777777">
        <w:tc>
          <w:tcPr>
            <w:tcW w:w="534" w:type="dxa"/>
          </w:tcPr>
          <w:p w14:paraId="44534B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w:t>
            </w:r>
          </w:p>
        </w:tc>
        <w:tc>
          <w:tcPr>
            <w:tcW w:w="850" w:type="dxa"/>
          </w:tcPr>
          <w:p w14:paraId="4A7A7B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w:t>
            </w:r>
          </w:p>
        </w:tc>
        <w:tc>
          <w:tcPr>
            <w:tcW w:w="1977" w:type="dxa"/>
          </w:tcPr>
          <w:p w14:paraId="57E60E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Тяжелые</w:t>
            </w:r>
          </w:p>
        </w:tc>
        <w:tc>
          <w:tcPr>
            <w:tcW w:w="1977" w:type="dxa"/>
          </w:tcPr>
          <w:p w14:paraId="2FC93E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640</w:t>
            </w:r>
          </w:p>
        </w:tc>
        <w:tc>
          <w:tcPr>
            <w:tcW w:w="1977" w:type="dxa"/>
          </w:tcPr>
          <w:p w14:paraId="566E56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1500</w:t>
            </w:r>
          </w:p>
        </w:tc>
        <w:tc>
          <w:tcPr>
            <w:tcW w:w="1977" w:type="dxa"/>
          </w:tcPr>
          <w:p w14:paraId="61EA6C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1500</w:t>
            </w:r>
          </w:p>
        </w:tc>
        <w:tc>
          <w:tcPr>
            <w:tcW w:w="1977" w:type="dxa"/>
          </w:tcPr>
          <w:p w14:paraId="7944EB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1500</w:t>
            </w:r>
          </w:p>
        </w:tc>
      </w:tr>
      <w:tr w:rsidR="001002C3" w:rsidRPr="005E779E" w14:paraId="1F4AB6DE" w14:textId="77777777">
        <w:tc>
          <w:tcPr>
            <w:tcW w:w="534" w:type="dxa"/>
          </w:tcPr>
          <w:p w14:paraId="4DFAE2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w:t>
            </w:r>
          </w:p>
        </w:tc>
        <w:tc>
          <w:tcPr>
            <w:tcW w:w="850" w:type="dxa"/>
          </w:tcPr>
          <w:p w14:paraId="2CC470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w:t>
            </w:r>
          </w:p>
        </w:tc>
        <w:tc>
          <w:tcPr>
            <w:tcW w:w="1977" w:type="dxa"/>
          </w:tcPr>
          <w:p w14:paraId="071445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Тяжелые</w:t>
            </w:r>
          </w:p>
        </w:tc>
        <w:tc>
          <w:tcPr>
            <w:tcW w:w="1977" w:type="dxa"/>
          </w:tcPr>
          <w:p w14:paraId="2FA849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977" w:type="dxa"/>
          </w:tcPr>
          <w:p w14:paraId="660C08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w:t>
            </w:r>
          </w:p>
        </w:tc>
        <w:tc>
          <w:tcPr>
            <w:tcW w:w="1977" w:type="dxa"/>
          </w:tcPr>
          <w:p w14:paraId="76C06F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1500</w:t>
            </w:r>
          </w:p>
        </w:tc>
        <w:tc>
          <w:tcPr>
            <w:tcW w:w="1977" w:type="dxa"/>
          </w:tcPr>
          <w:p w14:paraId="4F7039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1500</w:t>
            </w:r>
          </w:p>
        </w:tc>
      </w:tr>
      <w:tr w:rsidR="001002C3" w:rsidRPr="005E779E" w14:paraId="75A03D6C" w14:textId="77777777">
        <w:tc>
          <w:tcPr>
            <w:tcW w:w="534" w:type="dxa"/>
          </w:tcPr>
          <w:p w14:paraId="10562D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w:t>
            </w:r>
          </w:p>
        </w:tc>
        <w:tc>
          <w:tcPr>
            <w:tcW w:w="850" w:type="dxa"/>
          </w:tcPr>
          <w:p w14:paraId="550E13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04</w:t>
            </w:r>
          </w:p>
        </w:tc>
        <w:tc>
          <w:tcPr>
            <w:tcW w:w="1977" w:type="dxa"/>
          </w:tcPr>
          <w:p w14:paraId="181288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Тяжелые</w:t>
            </w:r>
          </w:p>
        </w:tc>
        <w:tc>
          <w:tcPr>
            <w:tcW w:w="1977" w:type="dxa"/>
          </w:tcPr>
          <w:p w14:paraId="1A08D8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977" w:type="dxa"/>
          </w:tcPr>
          <w:p w14:paraId="606585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977" w:type="dxa"/>
          </w:tcPr>
          <w:p w14:paraId="31B02C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w:t>
            </w:r>
          </w:p>
        </w:tc>
        <w:tc>
          <w:tcPr>
            <w:tcW w:w="1977" w:type="dxa"/>
          </w:tcPr>
          <w:p w14:paraId="4EB7A0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800</w:t>
            </w:r>
          </w:p>
        </w:tc>
      </w:tr>
      <w:tr w:rsidR="001002C3" w:rsidRPr="005E779E" w14:paraId="39B1432C" w14:textId="77777777">
        <w:tc>
          <w:tcPr>
            <w:tcW w:w="534" w:type="dxa"/>
          </w:tcPr>
          <w:p w14:paraId="1F6142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w:t>
            </w:r>
          </w:p>
        </w:tc>
        <w:tc>
          <w:tcPr>
            <w:tcW w:w="850" w:type="dxa"/>
          </w:tcPr>
          <w:p w14:paraId="714058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05</w:t>
            </w:r>
          </w:p>
        </w:tc>
        <w:tc>
          <w:tcPr>
            <w:tcW w:w="1977" w:type="dxa"/>
          </w:tcPr>
          <w:p w14:paraId="4C8C3A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Специальные</w:t>
            </w:r>
          </w:p>
        </w:tc>
        <w:tc>
          <w:tcPr>
            <w:tcW w:w="1977" w:type="dxa"/>
          </w:tcPr>
          <w:p w14:paraId="3AB07E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977" w:type="dxa"/>
          </w:tcPr>
          <w:p w14:paraId="1FEA73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w:t>
            </w:r>
          </w:p>
        </w:tc>
        <w:tc>
          <w:tcPr>
            <w:tcW w:w="1977" w:type="dxa"/>
          </w:tcPr>
          <w:p w14:paraId="005103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w:t>
            </w:r>
          </w:p>
        </w:tc>
        <w:tc>
          <w:tcPr>
            <w:tcW w:w="1977" w:type="dxa"/>
          </w:tcPr>
          <w:p w14:paraId="3F04E4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w:t>
            </w:r>
          </w:p>
        </w:tc>
      </w:tr>
      <w:tr w:rsidR="001002C3" w:rsidRPr="005E779E" w14:paraId="19146CE9" w14:textId="77777777">
        <w:tc>
          <w:tcPr>
            <w:tcW w:w="534" w:type="dxa"/>
          </w:tcPr>
          <w:p w14:paraId="606ACE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w:t>
            </w:r>
          </w:p>
        </w:tc>
        <w:tc>
          <w:tcPr>
            <w:tcW w:w="850" w:type="dxa"/>
          </w:tcPr>
          <w:p w14:paraId="7C732F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рем. заводах</w:t>
            </w:r>
          </w:p>
        </w:tc>
        <w:tc>
          <w:tcPr>
            <w:tcW w:w="1977" w:type="dxa"/>
          </w:tcPr>
          <w:p w14:paraId="69E45F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Авиетки</w:t>
            </w:r>
          </w:p>
        </w:tc>
        <w:tc>
          <w:tcPr>
            <w:tcW w:w="1977" w:type="dxa"/>
          </w:tcPr>
          <w:p w14:paraId="793B3E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977" w:type="dxa"/>
          </w:tcPr>
          <w:p w14:paraId="70CAE3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977" w:type="dxa"/>
          </w:tcPr>
          <w:p w14:paraId="327962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977" w:type="dxa"/>
          </w:tcPr>
          <w:p w14:paraId="75D21F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r>
      <w:tr w:rsidR="001002C3" w:rsidRPr="005E779E" w14:paraId="4A4591B8" w14:textId="77777777">
        <w:tc>
          <w:tcPr>
            <w:tcW w:w="534" w:type="dxa"/>
            <w:tcBorders>
              <w:bottom w:val="single" w:sz="12" w:space="0" w:color="auto"/>
            </w:tcBorders>
          </w:tcPr>
          <w:p w14:paraId="3FA2DF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bottom w:val="single" w:sz="12" w:space="0" w:color="auto"/>
            </w:tcBorders>
          </w:tcPr>
          <w:p w14:paraId="665A20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977" w:type="dxa"/>
            <w:tcBorders>
              <w:bottom w:val="single" w:sz="12" w:space="0" w:color="auto"/>
            </w:tcBorders>
          </w:tcPr>
          <w:p w14:paraId="2A8FD2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w:t>
            </w:r>
          </w:p>
        </w:tc>
        <w:tc>
          <w:tcPr>
            <w:tcW w:w="1977" w:type="dxa"/>
            <w:tcBorders>
              <w:bottom w:val="single" w:sz="12" w:space="0" w:color="auto"/>
            </w:tcBorders>
          </w:tcPr>
          <w:p w14:paraId="6A9603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7490</w:t>
            </w:r>
          </w:p>
        </w:tc>
        <w:tc>
          <w:tcPr>
            <w:tcW w:w="1977" w:type="dxa"/>
            <w:tcBorders>
              <w:bottom w:val="single" w:sz="12" w:space="0" w:color="auto"/>
            </w:tcBorders>
          </w:tcPr>
          <w:p w14:paraId="182410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12500</w:t>
            </w:r>
          </w:p>
        </w:tc>
        <w:tc>
          <w:tcPr>
            <w:tcW w:w="1977" w:type="dxa"/>
            <w:tcBorders>
              <w:bottom w:val="single" w:sz="12" w:space="0" w:color="auto"/>
            </w:tcBorders>
          </w:tcPr>
          <w:p w14:paraId="3A8A6D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23800</w:t>
            </w:r>
          </w:p>
        </w:tc>
        <w:tc>
          <w:tcPr>
            <w:tcW w:w="1977" w:type="dxa"/>
            <w:tcBorders>
              <w:bottom w:val="single" w:sz="12" w:space="0" w:color="auto"/>
            </w:tcBorders>
          </w:tcPr>
          <w:p w14:paraId="6B918F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34300</w:t>
            </w:r>
          </w:p>
        </w:tc>
      </w:tr>
    </w:tbl>
    <w:p w14:paraId="69F424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Моторные заводы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850"/>
        <w:gridCol w:w="1977"/>
        <w:gridCol w:w="1977"/>
        <w:gridCol w:w="1977"/>
        <w:gridCol w:w="1977"/>
        <w:gridCol w:w="1977"/>
      </w:tblGrid>
      <w:tr w:rsidR="001002C3" w:rsidRPr="005E779E" w14:paraId="5125F9D4" w14:textId="77777777">
        <w:tc>
          <w:tcPr>
            <w:tcW w:w="534" w:type="dxa"/>
            <w:tcBorders>
              <w:top w:val="single" w:sz="12" w:space="0" w:color="auto"/>
            </w:tcBorders>
          </w:tcPr>
          <w:p w14:paraId="561C8E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п/п</w:t>
            </w:r>
          </w:p>
        </w:tc>
        <w:tc>
          <w:tcPr>
            <w:tcW w:w="850" w:type="dxa"/>
            <w:tcBorders>
              <w:top w:val="single" w:sz="12" w:space="0" w:color="auto"/>
            </w:tcBorders>
          </w:tcPr>
          <w:p w14:paraId="2085D2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48FB50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завода</w:t>
            </w:r>
          </w:p>
        </w:tc>
        <w:tc>
          <w:tcPr>
            <w:tcW w:w="1977" w:type="dxa"/>
            <w:tcBorders>
              <w:top w:val="single" w:sz="12" w:space="0" w:color="auto"/>
            </w:tcBorders>
          </w:tcPr>
          <w:p w14:paraId="6C4877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Назначение самолетов</w:t>
            </w:r>
          </w:p>
        </w:tc>
        <w:tc>
          <w:tcPr>
            <w:tcW w:w="1977" w:type="dxa"/>
            <w:tcBorders>
              <w:top w:val="single" w:sz="12" w:space="0" w:color="auto"/>
            </w:tcBorders>
          </w:tcPr>
          <w:p w14:paraId="3312D6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1/1-32</w:t>
            </w:r>
          </w:p>
        </w:tc>
        <w:tc>
          <w:tcPr>
            <w:tcW w:w="1977" w:type="dxa"/>
            <w:tcBorders>
              <w:top w:val="single" w:sz="12" w:space="0" w:color="auto"/>
            </w:tcBorders>
          </w:tcPr>
          <w:p w14:paraId="74CBD0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1/1-33</w:t>
            </w:r>
          </w:p>
        </w:tc>
        <w:tc>
          <w:tcPr>
            <w:tcW w:w="1977" w:type="dxa"/>
            <w:tcBorders>
              <w:top w:val="single" w:sz="12" w:space="0" w:color="auto"/>
            </w:tcBorders>
          </w:tcPr>
          <w:p w14:paraId="49FB9A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1/1-34</w:t>
            </w:r>
          </w:p>
        </w:tc>
        <w:tc>
          <w:tcPr>
            <w:tcW w:w="1977" w:type="dxa"/>
            <w:tcBorders>
              <w:top w:val="single" w:sz="12" w:space="0" w:color="auto"/>
            </w:tcBorders>
          </w:tcPr>
          <w:p w14:paraId="546C13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1/1\-35</w:t>
            </w:r>
          </w:p>
        </w:tc>
      </w:tr>
      <w:tr w:rsidR="001002C3" w:rsidRPr="005E779E" w14:paraId="7E03D0E9" w14:textId="77777777">
        <w:tc>
          <w:tcPr>
            <w:tcW w:w="534" w:type="dxa"/>
          </w:tcPr>
          <w:p w14:paraId="38EE1F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850" w:type="dxa"/>
          </w:tcPr>
          <w:p w14:paraId="224E35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w:t>
            </w:r>
          </w:p>
        </w:tc>
        <w:tc>
          <w:tcPr>
            <w:tcW w:w="1977" w:type="dxa"/>
          </w:tcPr>
          <w:p w14:paraId="2D5ED5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Водяного охлаждения</w:t>
            </w:r>
          </w:p>
        </w:tc>
        <w:tc>
          <w:tcPr>
            <w:tcW w:w="1977" w:type="dxa"/>
          </w:tcPr>
          <w:p w14:paraId="2A2277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2700</w:t>
            </w:r>
          </w:p>
        </w:tc>
        <w:tc>
          <w:tcPr>
            <w:tcW w:w="1977" w:type="dxa"/>
          </w:tcPr>
          <w:p w14:paraId="0757EB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10000</w:t>
            </w:r>
          </w:p>
        </w:tc>
        <w:tc>
          <w:tcPr>
            <w:tcW w:w="1977" w:type="dxa"/>
          </w:tcPr>
          <w:p w14:paraId="52E981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15000</w:t>
            </w:r>
          </w:p>
        </w:tc>
        <w:tc>
          <w:tcPr>
            <w:tcW w:w="1977" w:type="dxa"/>
          </w:tcPr>
          <w:p w14:paraId="631D81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15000</w:t>
            </w:r>
          </w:p>
        </w:tc>
      </w:tr>
      <w:tr w:rsidR="001002C3" w:rsidRPr="005E779E" w14:paraId="5FF423E1" w14:textId="77777777">
        <w:tc>
          <w:tcPr>
            <w:tcW w:w="534" w:type="dxa"/>
          </w:tcPr>
          <w:p w14:paraId="737274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850" w:type="dxa"/>
          </w:tcPr>
          <w:p w14:paraId="08E873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w:t>
            </w:r>
          </w:p>
        </w:tc>
        <w:tc>
          <w:tcPr>
            <w:tcW w:w="1977" w:type="dxa"/>
          </w:tcPr>
          <w:p w14:paraId="58AB83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Водяного охлаждения</w:t>
            </w:r>
          </w:p>
        </w:tc>
        <w:tc>
          <w:tcPr>
            <w:tcW w:w="1977" w:type="dxa"/>
          </w:tcPr>
          <w:p w14:paraId="46E482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977" w:type="dxa"/>
          </w:tcPr>
          <w:p w14:paraId="476249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10000</w:t>
            </w:r>
          </w:p>
        </w:tc>
        <w:tc>
          <w:tcPr>
            <w:tcW w:w="1977" w:type="dxa"/>
          </w:tcPr>
          <w:p w14:paraId="209FB9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10000</w:t>
            </w:r>
          </w:p>
        </w:tc>
        <w:tc>
          <w:tcPr>
            <w:tcW w:w="1977" w:type="dxa"/>
          </w:tcPr>
          <w:p w14:paraId="2A9CE4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10000</w:t>
            </w:r>
          </w:p>
        </w:tc>
      </w:tr>
      <w:tr w:rsidR="001002C3" w:rsidRPr="005E779E" w14:paraId="5EE918C1" w14:textId="77777777">
        <w:tc>
          <w:tcPr>
            <w:tcW w:w="534" w:type="dxa"/>
          </w:tcPr>
          <w:p w14:paraId="341159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tc>
        <w:tc>
          <w:tcPr>
            <w:tcW w:w="850" w:type="dxa"/>
          </w:tcPr>
          <w:p w14:paraId="189E0A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010</w:t>
            </w:r>
          </w:p>
        </w:tc>
        <w:tc>
          <w:tcPr>
            <w:tcW w:w="1977" w:type="dxa"/>
          </w:tcPr>
          <w:p w14:paraId="020474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Водяного охлаждения</w:t>
            </w:r>
          </w:p>
        </w:tc>
        <w:tc>
          <w:tcPr>
            <w:tcW w:w="1977" w:type="dxa"/>
          </w:tcPr>
          <w:p w14:paraId="7FF973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977" w:type="dxa"/>
          </w:tcPr>
          <w:p w14:paraId="1FE08E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977" w:type="dxa"/>
          </w:tcPr>
          <w:p w14:paraId="04BB78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977" w:type="dxa"/>
          </w:tcPr>
          <w:p w14:paraId="26F9F9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10000</w:t>
            </w:r>
          </w:p>
        </w:tc>
      </w:tr>
      <w:tr w:rsidR="001002C3" w:rsidRPr="005E779E" w14:paraId="32859C95" w14:textId="77777777">
        <w:tc>
          <w:tcPr>
            <w:tcW w:w="534" w:type="dxa"/>
          </w:tcPr>
          <w:p w14:paraId="2F678A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w:t>
            </w:r>
          </w:p>
        </w:tc>
        <w:tc>
          <w:tcPr>
            <w:tcW w:w="850" w:type="dxa"/>
          </w:tcPr>
          <w:p w14:paraId="3237D5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w:t>
            </w:r>
          </w:p>
        </w:tc>
        <w:tc>
          <w:tcPr>
            <w:tcW w:w="1977" w:type="dxa"/>
          </w:tcPr>
          <w:p w14:paraId="230EA9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Воздушного охлаждения</w:t>
            </w:r>
          </w:p>
        </w:tc>
        <w:tc>
          <w:tcPr>
            <w:tcW w:w="1977" w:type="dxa"/>
          </w:tcPr>
          <w:p w14:paraId="047DA3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2000</w:t>
            </w:r>
          </w:p>
        </w:tc>
        <w:tc>
          <w:tcPr>
            <w:tcW w:w="1977" w:type="dxa"/>
          </w:tcPr>
          <w:p w14:paraId="62EBCD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977" w:type="dxa"/>
          </w:tcPr>
          <w:p w14:paraId="0B3865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6000</w:t>
            </w:r>
          </w:p>
        </w:tc>
        <w:tc>
          <w:tcPr>
            <w:tcW w:w="1977" w:type="dxa"/>
          </w:tcPr>
          <w:p w14:paraId="0D91EE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6000</w:t>
            </w:r>
          </w:p>
        </w:tc>
      </w:tr>
      <w:tr w:rsidR="001002C3" w:rsidRPr="005E779E" w14:paraId="4F8C44DB" w14:textId="77777777">
        <w:tc>
          <w:tcPr>
            <w:tcW w:w="534" w:type="dxa"/>
          </w:tcPr>
          <w:p w14:paraId="4AD4C3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w:t>
            </w:r>
          </w:p>
        </w:tc>
        <w:tc>
          <w:tcPr>
            <w:tcW w:w="850" w:type="dxa"/>
          </w:tcPr>
          <w:p w14:paraId="5F4E18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w:t>
            </w:r>
          </w:p>
        </w:tc>
        <w:tc>
          <w:tcPr>
            <w:tcW w:w="1977" w:type="dxa"/>
          </w:tcPr>
          <w:p w14:paraId="52039F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Воздушного охлаждения</w:t>
            </w:r>
          </w:p>
        </w:tc>
        <w:tc>
          <w:tcPr>
            <w:tcW w:w="1977" w:type="dxa"/>
          </w:tcPr>
          <w:p w14:paraId="701BAF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1500</w:t>
            </w:r>
          </w:p>
        </w:tc>
        <w:tc>
          <w:tcPr>
            <w:tcW w:w="1977" w:type="dxa"/>
          </w:tcPr>
          <w:p w14:paraId="712C72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6000</w:t>
            </w:r>
          </w:p>
        </w:tc>
        <w:tc>
          <w:tcPr>
            <w:tcW w:w="1977" w:type="dxa"/>
          </w:tcPr>
          <w:p w14:paraId="513629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6000</w:t>
            </w:r>
          </w:p>
        </w:tc>
        <w:tc>
          <w:tcPr>
            <w:tcW w:w="1977" w:type="dxa"/>
          </w:tcPr>
          <w:p w14:paraId="25DAA2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6000</w:t>
            </w:r>
          </w:p>
        </w:tc>
      </w:tr>
      <w:tr w:rsidR="001002C3" w:rsidRPr="005E779E" w14:paraId="56414CFF" w14:textId="77777777">
        <w:tc>
          <w:tcPr>
            <w:tcW w:w="534" w:type="dxa"/>
          </w:tcPr>
          <w:p w14:paraId="533A5B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w:t>
            </w:r>
          </w:p>
        </w:tc>
        <w:tc>
          <w:tcPr>
            <w:tcW w:w="850" w:type="dxa"/>
          </w:tcPr>
          <w:p w14:paraId="00CF64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030</w:t>
            </w:r>
          </w:p>
        </w:tc>
        <w:tc>
          <w:tcPr>
            <w:tcW w:w="1977" w:type="dxa"/>
          </w:tcPr>
          <w:p w14:paraId="2F576B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Воздушного охлаждения</w:t>
            </w:r>
          </w:p>
        </w:tc>
        <w:tc>
          <w:tcPr>
            <w:tcW w:w="1977" w:type="dxa"/>
          </w:tcPr>
          <w:p w14:paraId="47D1DD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977" w:type="dxa"/>
          </w:tcPr>
          <w:p w14:paraId="5930D8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4000</w:t>
            </w:r>
          </w:p>
        </w:tc>
        <w:tc>
          <w:tcPr>
            <w:tcW w:w="1977" w:type="dxa"/>
          </w:tcPr>
          <w:p w14:paraId="41F04D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10000</w:t>
            </w:r>
          </w:p>
        </w:tc>
        <w:tc>
          <w:tcPr>
            <w:tcW w:w="1977" w:type="dxa"/>
          </w:tcPr>
          <w:p w14:paraId="3AE09F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10000</w:t>
            </w:r>
          </w:p>
        </w:tc>
      </w:tr>
      <w:tr w:rsidR="001002C3" w:rsidRPr="005E779E" w14:paraId="7DE42E55" w14:textId="77777777">
        <w:tc>
          <w:tcPr>
            <w:tcW w:w="534" w:type="dxa"/>
          </w:tcPr>
          <w:p w14:paraId="2233A5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w:t>
            </w:r>
          </w:p>
        </w:tc>
        <w:tc>
          <w:tcPr>
            <w:tcW w:w="850" w:type="dxa"/>
          </w:tcPr>
          <w:p w14:paraId="3269E1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040</w:t>
            </w:r>
          </w:p>
        </w:tc>
        <w:tc>
          <w:tcPr>
            <w:tcW w:w="1977" w:type="dxa"/>
          </w:tcPr>
          <w:p w14:paraId="2301D0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Маломощные</w:t>
            </w:r>
          </w:p>
        </w:tc>
        <w:tc>
          <w:tcPr>
            <w:tcW w:w="1977" w:type="dxa"/>
          </w:tcPr>
          <w:p w14:paraId="17A8B7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977" w:type="dxa"/>
          </w:tcPr>
          <w:p w14:paraId="3E9D7D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977" w:type="dxa"/>
          </w:tcPr>
          <w:p w14:paraId="3AD4B4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5500</w:t>
            </w:r>
          </w:p>
        </w:tc>
        <w:tc>
          <w:tcPr>
            <w:tcW w:w="1977" w:type="dxa"/>
          </w:tcPr>
          <w:p w14:paraId="0D1872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10000</w:t>
            </w:r>
          </w:p>
        </w:tc>
      </w:tr>
      <w:tr w:rsidR="001002C3" w:rsidRPr="005E779E" w14:paraId="056FFF6F" w14:textId="77777777">
        <w:tc>
          <w:tcPr>
            <w:tcW w:w="534" w:type="dxa"/>
          </w:tcPr>
          <w:p w14:paraId="35D263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w:t>
            </w:r>
          </w:p>
        </w:tc>
        <w:tc>
          <w:tcPr>
            <w:tcW w:w="850" w:type="dxa"/>
          </w:tcPr>
          <w:p w14:paraId="633A19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ФЗУ и др.</w:t>
            </w:r>
          </w:p>
        </w:tc>
        <w:tc>
          <w:tcPr>
            <w:tcW w:w="1977" w:type="dxa"/>
          </w:tcPr>
          <w:p w14:paraId="46F26C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Маломощные</w:t>
            </w:r>
          </w:p>
        </w:tc>
        <w:tc>
          <w:tcPr>
            <w:tcW w:w="1977" w:type="dxa"/>
          </w:tcPr>
          <w:p w14:paraId="5D2D82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977" w:type="dxa"/>
          </w:tcPr>
          <w:p w14:paraId="35ED5A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1500</w:t>
            </w:r>
          </w:p>
        </w:tc>
        <w:tc>
          <w:tcPr>
            <w:tcW w:w="1977" w:type="dxa"/>
          </w:tcPr>
          <w:p w14:paraId="6DB7E0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977" w:type="dxa"/>
          </w:tcPr>
          <w:p w14:paraId="422AF7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r>
      <w:tr w:rsidR="001002C3" w:rsidRPr="005E779E" w14:paraId="7357F89C" w14:textId="77777777">
        <w:tc>
          <w:tcPr>
            <w:tcW w:w="534" w:type="dxa"/>
          </w:tcPr>
          <w:p w14:paraId="34A708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w:t>
            </w:r>
          </w:p>
        </w:tc>
        <w:tc>
          <w:tcPr>
            <w:tcW w:w="850" w:type="dxa"/>
          </w:tcPr>
          <w:p w14:paraId="06EB27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050</w:t>
            </w:r>
          </w:p>
        </w:tc>
        <w:tc>
          <w:tcPr>
            <w:tcW w:w="1977" w:type="dxa"/>
          </w:tcPr>
          <w:p w14:paraId="066636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Нефтяные</w:t>
            </w:r>
          </w:p>
        </w:tc>
        <w:tc>
          <w:tcPr>
            <w:tcW w:w="1977" w:type="dxa"/>
          </w:tcPr>
          <w:p w14:paraId="1A4AD8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977" w:type="dxa"/>
          </w:tcPr>
          <w:p w14:paraId="446AB0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w:t>
            </w:r>
          </w:p>
        </w:tc>
        <w:tc>
          <w:tcPr>
            <w:tcW w:w="1977" w:type="dxa"/>
          </w:tcPr>
          <w:p w14:paraId="4C13E4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1500</w:t>
            </w:r>
          </w:p>
        </w:tc>
        <w:tc>
          <w:tcPr>
            <w:tcW w:w="1977" w:type="dxa"/>
          </w:tcPr>
          <w:p w14:paraId="323D43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1500</w:t>
            </w:r>
          </w:p>
        </w:tc>
      </w:tr>
      <w:tr w:rsidR="001002C3" w:rsidRPr="005E779E" w14:paraId="37EB79EF" w14:textId="77777777">
        <w:tc>
          <w:tcPr>
            <w:tcW w:w="534" w:type="dxa"/>
          </w:tcPr>
          <w:p w14:paraId="10E96E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639AD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977" w:type="dxa"/>
          </w:tcPr>
          <w:p w14:paraId="4DBF41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w:t>
            </w:r>
          </w:p>
        </w:tc>
        <w:tc>
          <w:tcPr>
            <w:tcW w:w="1977" w:type="dxa"/>
          </w:tcPr>
          <w:p w14:paraId="3D503F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11200</w:t>
            </w:r>
          </w:p>
        </w:tc>
        <w:tc>
          <w:tcPr>
            <w:tcW w:w="1977" w:type="dxa"/>
          </w:tcPr>
          <w:p w14:paraId="4A941E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35000</w:t>
            </w:r>
          </w:p>
        </w:tc>
        <w:tc>
          <w:tcPr>
            <w:tcW w:w="1977" w:type="dxa"/>
          </w:tcPr>
          <w:p w14:paraId="2F7431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62000</w:t>
            </w:r>
          </w:p>
        </w:tc>
        <w:tc>
          <w:tcPr>
            <w:tcW w:w="1977" w:type="dxa"/>
          </w:tcPr>
          <w:p w14:paraId="179486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73500</w:t>
            </w:r>
          </w:p>
        </w:tc>
      </w:tr>
      <w:tr w:rsidR="001002C3" w:rsidRPr="005E779E" w14:paraId="41A0BBEF" w14:textId="77777777">
        <w:tc>
          <w:tcPr>
            <w:tcW w:w="534" w:type="dxa"/>
            <w:tcBorders>
              <w:bottom w:val="single" w:sz="12" w:space="0" w:color="auto"/>
            </w:tcBorders>
          </w:tcPr>
          <w:p w14:paraId="5FB191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w:t>
            </w:r>
          </w:p>
        </w:tc>
        <w:tc>
          <w:tcPr>
            <w:tcW w:w="850" w:type="dxa"/>
            <w:tcBorders>
              <w:bottom w:val="single" w:sz="12" w:space="0" w:color="auto"/>
            </w:tcBorders>
          </w:tcPr>
          <w:p w14:paraId="3A2D86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977" w:type="dxa"/>
            <w:tcBorders>
              <w:bottom w:val="single" w:sz="12" w:space="0" w:color="auto"/>
            </w:tcBorders>
          </w:tcPr>
          <w:p w14:paraId="7F9211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Кертис танковых</w:t>
            </w:r>
          </w:p>
        </w:tc>
        <w:tc>
          <w:tcPr>
            <w:tcW w:w="1977" w:type="dxa"/>
            <w:tcBorders>
              <w:bottom w:val="single" w:sz="12" w:space="0" w:color="auto"/>
            </w:tcBorders>
          </w:tcPr>
          <w:p w14:paraId="21C194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977" w:type="dxa"/>
            <w:tcBorders>
              <w:bottom w:val="single" w:sz="12" w:space="0" w:color="auto"/>
            </w:tcBorders>
          </w:tcPr>
          <w:p w14:paraId="1A57BC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2000</w:t>
            </w:r>
          </w:p>
        </w:tc>
        <w:tc>
          <w:tcPr>
            <w:tcW w:w="1977" w:type="dxa"/>
            <w:tcBorders>
              <w:bottom w:val="single" w:sz="12" w:space="0" w:color="auto"/>
            </w:tcBorders>
          </w:tcPr>
          <w:p w14:paraId="32E99D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977" w:type="dxa"/>
            <w:tcBorders>
              <w:bottom w:val="single" w:sz="12" w:space="0" w:color="auto"/>
            </w:tcBorders>
          </w:tcPr>
          <w:p w14:paraId="4755CC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10000</w:t>
            </w:r>
          </w:p>
        </w:tc>
      </w:tr>
    </w:tbl>
    <w:p w14:paraId="4E5699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3. Определить ориентировочную стоимость этой программы в 1000-1200 млн. руб., в т.ч. около 100 млн. руб. по импортному оборудованию.</w:t>
      </w:r>
    </w:p>
    <w:p w14:paraId="6B4C20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Поручить Госплану контрольные цифры по капитальному строительству и импортному оборудовангию на 1932 г. разработать и доложить Правительству не позднее 1/Х1-33 (2329).</w:t>
      </w:r>
    </w:p>
    <w:p w14:paraId="628EE1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E706B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сентября 1931 ОХ А объявил конкурс проектов легкомоторных самолетов (журн. "Осоавиахим". 1931. № 26) (10676).</w:t>
      </w:r>
    </w:p>
    <w:p w14:paraId="59DC59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933D7AF" w14:textId="77777777" w:rsidR="00295B66" w:rsidRPr="005E779E" w:rsidRDefault="00295B6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сентября 1931 состоялся первый полёт Комсомольской правды с экипажем в составе командира Е.М. Оппма- на, механика Козлова и Ф.Ф. Ассберга. «Комсо</w:t>
      </w:r>
      <w:r w:rsidRPr="005E779E">
        <w:rPr>
          <w:rFonts w:ascii="Times New Roman" w:hAnsi="Times New Roman"/>
          <w:color w:val="000000" w:themeColor="text1"/>
          <w:sz w:val="16"/>
          <w:szCs w:val="16"/>
        </w:rPr>
        <w:softHyphen/>
        <w:t>мольская правда» выполнила круг над Кунцевым на высоте 200 м, пробыв в полёте 56 минут. За</w:t>
      </w:r>
      <w:r w:rsidRPr="005E779E">
        <w:rPr>
          <w:rFonts w:ascii="Times New Roman" w:hAnsi="Times New Roman"/>
          <w:color w:val="000000" w:themeColor="text1"/>
          <w:sz w:val="16"/>
          <w:szCs w:val="16"/>
        </w:rPr>
        <w:softHyphen/>
        <w:t>тем на дирижабле приступили к учебным полё</w:t>
      </w:r>
      <w:r w:rsidRPr="005E779E">
        <w:rPr>
          <w:rFonts w:ascii="Times New Roman" w:hAnsi="Times New Roman"/>
          <w:color w:val="000000" w:themeColor="text1"/>
          <w:sz w:val="16"/>
          <w:szCs w:val="16"/>
        </w:rPr>
        <w:softHyphen/>
        <w:t>там. На эффективности учебной работы сказыва</w:t>
      </w:r>
      <w:r w:rsidRPr="005E779E">
        <w:rPr>
          <w:rFonts w:ascii="Times New Roman" w:hAnsi="Times New Roman"/>
          <w:color w:val="000000" w:themeColor="text1"/>
          <w:sz w:val="16"/>
          <w:szCs w:val="16"/>
        </w:rPr>
        <w:softHyphen/>
        <w:t>лись трудности со снабжением газом и подвозом необходимых материалов. Полёты были сопря</w:t>
      </w:r>
      <w:r w:rsidRPr="005E779E">
        <w:rPr>
          <w:rFonts w:ascii="Times New Roman" w:hAnsi="Times New Roman"/>
          <w:color w:val="000000" w:themeColor="text1"/>
          <w:sz w:val="16"/>
          <w:szCs w:val="16"/>
        </w:rPr>
        <w:softHyphen/>
        <w:t>жены с известным риском, вызванным неудоб</w:t>
      </w:r>
      <w:r w:rsidRPr="005E779E">
        <w:rPr>
          <w:rFonts w:ascii="Times New Roman" w:hAnsi="Times New Roman"/>
          <w:color w:val="000000" w:themeColor="text1"/>
          <w:sz w:val="16"/>
          <w:szCs w:val="16"/>
        </w:rPr>
        <w:softHyphen/>
        <w:t>ными подходами к посадочной площадке. При</w:t>
      </w:r>
      <w:r w:rsidRPr="005E779E">
        <w:rPr>
          <w:rFonts w:ascii="Times New Roman" w:hAnsi="Times New Roman"/>
          <w:color w:val="000000" w:themeColor="text1"/>
          <w:sz w:val="16"/>
          <w:szCs w:val="16"/>
        </w:rPr>
        <w:softHyphen/>
        <w:t>знавалась неудовлетворительной и сама площад</w:t>
      </w:r>
      <w:r w:rsidRPr="005E779E">
        <w:rPr>
          <w:rFonts w:ascii="Times New Roman" w:hAnsi="Times New Roman"/>
          <w:color w:val="000000" w:themeColor="text1"/>
          <w:sz w:val="16"/>
          <w:szCs w:val="16"/>
        </w:rPr>
        <w:softHyphen/>
        <w:t>ка, усеянная пнями и частично мелким кустар</w:t>
      </w:r>
      <w:r w:rsidRPr="005E779E">
        <w:rPr>
          <w:rFonts w:ascii="Times New Roman" w:hAnsi="Times New Roman"/>
          <w:color w:val="000000" w:themeColor="text1"/>
          <w:sz w:val="16"/>
          <w:szCs w:val="16"/>
        </w:rPr>
        <w:softHyphen/>
        <w:t>ником. 19 сентября посадку произвели неудачно, и дирижабль, попав на дерево, прорвал оболочку. Полёты возобновились только через месяц как учебно-агитационные. В каждом из них прини</w:t>
      </w:r>
      <w:r w:rsidRPr="005E779E">
        <w:rPr>
          <w:rFonts w:ascii="Times New Roman" w:hAnsi="Times New Roman"/>
          <w:color w:val="000000" w:themeColor="text1"/>
          <w:sz w:val="16"/>
          <w:szCs w:val="16"/>
        </w:rPr>
        <w:softHyphen/>
        <w:t>мали участие 7-10 человек. Сами полёты выпол</w:t>
      </w:r>
      <w:r w:rsidRPr="005E779E">
        <w:rPr>
          <w:rFonts w:ascii="Times New Roman" w:hAnsi="Times New Roman"/>
          <w:color w:val="000000" w:themeColor="text1"/>
          <w:sz w:val="16"/>
          <w:szCs w:val="16"/>
        </w:rPr>
        <w:softHyphen/>
        <w:t>нялись над рабочими кварталами столицы, над АМО, заводом «Каучук», ЦАГИ и т. д. (20120)</w:t>
      </w:r>
    </w:p>
    <w:p w14:paraId="24E6128B" w14:textId="77777777" w:rsidR="00295B66" w:rsidRPr="005E779E" w:rsidRDefault="00295B66" w:rsidP="000B7A6C">
      <w:pPr>
        <w:spacing w:after="0" w:line="240" w:lineRule="auto"/>
        <w:jc w:val="both"/>
        <w:rPr>
          <w:rFonts w:ascii="Times New Roman" w:hAnsi="Times New Roman"/>
          <w:color w:val="000000" w:themeColor="text1"/>
          <w:sz w:val="16"/>
          <w:szCs w:val="16"/>
        </w:rPr>
      </w:pPr>
    </w:p>
    <w:p w14:paraId="7566F376"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0996F9BF"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FF7BB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сентября 1931 г. было начато строительство завода «Красный сигналист» по производству аппаратуры для железнодорожной сигнализации и блокировки. В 1932 г. завод выпустил первую продукцию- железнодорожные клеммы СЦБ, поршни и поршневые кольца для автомобилей.</w:t>
      </w:r>
    </w:p>
    <w:p w14:paraId="5DEF4F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 СТО от 28.08.1932 г. переориентирован на выпуск радиотехники и переименован в завод радио</w:t>
      </w:r>
      <w:r w:rsidRPr="005E779E">
        <w:rPr>
          <w:rFonts w:ascii="Times New Roman" w:hAnsi="Times New Roman"/>
          <w:color w:val="000000" w:themeColor="text1"/>
          <w:sz w:val="16"/>
          <w:szCs w:val="16"/>
        </w:rPr>
        <w:softHyphen/>
        <w:t>приемной аппаратуры «Электросигнал». Освоен выпуск детекторных приемников. С конца 1933 г. завод- в ведении «Главэспрома» НКТП. В 1937 г. - в ведении НКОП, приказом № 116 от 31.03.1937 г. утвержден Устав завода (назывался также Воронежский завод радиоприемников «Электросигнал»), в 08-12.1938 г. - в ведении 5ГУ. По Указу Президиума ВС СССР от 17.04.1940 г. передан из 7ГУ НКАП в НКЭП.</w:t>
      </w:r>
    </w:p>
    <w:p w14:paraId="40CF74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Приказом № 0101 от 7.05.1937 г. предписано к 1.01.1938 г. ввести завод в эксплуатацию. Приказом № 0063 от 27.03.1937 г. для реализации договора об инотехпомощи с фирмой «Радио-Корпорейшн», повышения качества средств вооружения РККА и внедрения американского опыта производства радиоаппаратуры выдано задание закончить строительство завода в 1937 г. и сделать его заводом массового производства современных радиоприемников; выпустить в 1937 г. 100 тыс. радиоприемников Т-6, подготовить производство в 1938 г. приемников Т-9; организовать производство электролитических конденсаторов и омических сопротивлений по американским образцам. Приказом № 156с от 7/10.05.1938 г. была подчеркнута неудовлетворительная работа завода (план 1937 г. выполнен на 51,3%). Этим же приказом требовалось с 1.07.1938 г. наладить массовое производство сопротивлений и электролитических конденсаторов, а с 1.08.1938 г. - слюдяных и бумажных конденсаторов по американским ТУ; заводу выделено в 1938 г. 6 станков. Приказом № 290с от 7.08.1938 г. требовалось ввести в эксплуатацию в 1938 г. деревообделочный корпус, конденсаторный и компрессорную, лесосушилку; закончить расширение главного корпуса. 20.10.1938 г. на заводе произошел сильный пожар, в результате была уничтожена почти половина предприятия. Пр. № 434с от 14/16.11.1938 г. требовалось: к 15.11.1938 г. восстановить цехи: штамповочный, сопротивлений, сборки приемников 6Н-1, контурных катушек; сдать под монтаж: пристройку к главному корпусу - к 15.11.1938 г.; конденсаторный корпус - к 1.12.1938 г.; деревообделочный корпус - к 25.12.1938 г. К 05.1939 г. завод был восстановлен.</w:t>
      </w:r>
    </w:p>
    <w:p w14:paraId="71A36A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10.10.1941 г. завод был эвакуирован в Новосибирск и послужил основой для нового завода «Электросигнал» (завод № 590). Есть упоминания, что в 1942 г. завод «Электросигнал» эвакуировался в Красноярск.</w:t>
      </w:r>
      <w:r w:rsidRPr="005E779E">
        <w:rPr>
          <w:rFonts w:ascii="Times New Roman" w:hAnsi="Times New Roman"/>
          <w:color w:val="000000" w:themeColor="text1"/>
          <w:sz w:val="16"/>
          <w:szCs w:val="16"/>
          <w:vertAlign w:val="superscript"/>
        </w:rPr>
        <w:t>130</w:t>
      </w:r>
      <w:r w:rsidRPr="005E779E">
        <w:rPr>
          <w:rFonts w:ascii="Times New Roman" w:hAnsi="Times New Roman"/>
          <w:color w:val="000000" w:themeColor="text1"/>
          <w:sz w:val="16"/>
          <w:szCs w:val="16"/>
        </w:rPr>
        <w:t xml:space="preserve"> После освобождения Воронежа от оккупации зимой 1943 г. завод был восстановлен на прежней площадке и в 05.1944 г. начал выпуск радиоприемников.</w:t>
      </w:r>
    </w:p>
    <w:p w14:paraId="252E9DDE" w14:textId="4F13A826"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 728 НКС, МПСС , Завод «Красный сигналист», ГС Воронежский завод радио</w:t>
      </w:r>
      <w:r w:rsidRPr="005E779E">
        <w:rPr>
          <w:rFonts w:ascii="Times New Roman" w:hAnsi="Times New Roman"/>
          <w:color w:val="000000" w:themeColor="text1"/>
          <w:sz w:val="16"/>
          <w:szCs w:val="16"/>
        </w:rPr>
        <w:softHyphen/>
        <w:t>приемной аппаратуры «Электросигнал» НКТП, НКОП, НКАП, НКЭП, В-8865, ПО «Электросигнал» МПСС, АООТ, ОАО «Электросигнал» /г. Воронеж Задонское ш. а/я 5/ /394026</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Воронеж ул. Электросигнальная, 1 тел. 16-04-94, -24-87/</w:t>
      </w:r>
    </w:p>
    <w:p w14:paraId="086B18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1953 г. начато производство телевизоров, далее завод стал ведущим по этому направлению.</w:t>
      </w:r>
    </w:p>
    <w:p w14:paraId="0F8692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Имел наименование «п/я В-8865». В 1977 г. на базе завода создано ПО «Электросигнал», в состав которого входил также завод «Сигнал» ( г. Коммунарск). На базе завода были созданы предприятия: Воронежский завод радиодеталей (1948 г.), Воронежский радиозавод «Полюс» (1954 г.), Воронежский НИИ «Вега» (1956 г.), ВНИИС (1958 г.), «Рекорд-сервис» (1990 г.). ПО имело филиал, в 03.1982 г. из него выделился самостоятельный завод «Орион» ( г. Тернополь).</w:t>
      </w:r>
    </w:p>
    <w:p w14:paraId="38B7A1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02.1993 г. предприятие преобразовано в АООТ, с 1996 г.- ОАО «Электросигнал». По решению правительства № 22-р от 9.01.2004 г. ОАО вошло в перечень стратегических предприятий.</w:t>
      </w:r>
    </w:p>
    <w:p w14:paraId="77BD1F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Разработка и производство (2002 г.): средства связи специального и общего назначения для МО и силовых структур; мобильные узлы связи на шасси бронетехники; телевизоры.</w:t>
      </w:r>
    </w:p>
    <w:p w14:paraId="2D6588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Имелось 5 дочерних предприятий (2005 г.): ООО «Завод «ЭЛТА», ООО «Завод «ЭЛМА», ООО «Агрофирма «Поляны», ООО «Телекомпания «ВЭЛС-ТВ», ООО «База отдыха «Сигнал».</w:t>
      </w:r>
    </w:p>
    <w:p w14:paraId="2B3B7914" w14:textId="2BC0562E"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(1932 г.-)-</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Г.М. Гройсер-Де-Маре, (-11.02.1937 г.)- А.А. Нудэ, (11.02.1937-5.03.1938 г.)- А(Н).И. Щеголь (снят); и.о. (29.04-05.1938 г.)- В.М. Карпов; (14.05-11.1938 г.-)- В.М. Карпов, (1949-68 г.)-</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Г.П. Фурсов, (1968-87 г.)- Н.А. Потапов. Гендиректор (1996 г.-&gt; Б.В. Харченко, (2004 г.-)-</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Г.Н. Потапов.</w:t>
      </w:r>
    </w:p>
    <w:p w14:paraId="23A0B3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директора (-27.05.1937 г.)- И.К. Вирзин, (27.05.1937 г.-&gt; В.И. Нефедов, (14.10.1937 г.-)- И.Т. Козенко.</w:t>
      </w:r>
    </w:p>
    <w:p w14:paraId="671341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Технический директор (03.1937 г.)- Л.А. Раков.</w:t>
      </w:r>
    </w:p>
    <w:p w14:paraId="68C077E3" w14:textId="6356DB24"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инженер (16.02.1937 г.-)- Л.А. Раков, (14.10.1937-19.07.1938 г.)- И.Т. Козенко, (9.05-11.1938 г.-)-</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Г.К. Марисов.</w:t>
      </w:r>
    </w:p>
    <w:p w14:paraId="3AC422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гл. инженера (16.02.1937 г.-)- В.Н. Котельников.</w:t>
      </w:r>
    </w:p>
    <w:p w14:paraId="115EC7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 производства (16.02.1937 г.-)- В.Н. Котельников.</w:t>
      </w:r>
    </w:p>
    <w:p w14:paraId="7C21D0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Начальники цехов: конденсаторного (03.1937 г.-)- И. Г. Козенок.</w:t>
      </w:r>
      <w:r w:rsidRPr="005E779E">
        <w:rPr>
          <w:rFonts w:ascii="Times New Roman" w:hAnsi="Times New Roman"/>
          <w:color w:val="000000" w:themeColor="text1"/>
          <w:sz w:val="16"/>
          <w:szCs w:val="16"/>
          <w:vertAlign w:val="superscript"/>
        </w:rPr>
        <w:t>Ь9</w:t>
      </w:r>
    </w:p>
    <w:p w14:paraId="383DA2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Производство: радиоприемники:</w:t>
      </w:r>
      <w:r w:rsidRPr="005E779E">
        <w:rPr>
          <w:rFonts w:ascii="Times New Roman" w:hAnsi="Times New Roman"/>
          <w:color w:val="000000" w:themeColor="text1"/>
          <w:sz w:val="16"/>
          <w:szCs w:val="16"/>
        </w:rPr>
        <w:t xml:space="preserve"> П-8 (1934-), батарейный БИ-234 (1934-), сетевой СИ-234 (1934-), СИ-235 (- 1939), 9Н-4 (1937-), 4НБС-6 (1938-), 6НГ-1 (1938), 6Н-1 (американский, 1939-40-), СР-1 (1940)- 100 тыс., 4ДН-6 (1940)- 20 тыс., СПБ (1940)- 4 тыс., ФДН-6 (1940), 9Н-19 (1941-), комбайн Т-19 (1941)- 10, «Родина» (1945-), «Родина-45, -46, -47 (ЭЛС-3), -52, -53, -58, -59, -60М1», «Электросигнал» ЭЛС-2, ЭЛС-3 (1944-45), «Воронеж» (1952-); радиола Д-11 (1939-); репродукторы «Говорящая бумага» (1940-), «Говорящий целлофан» (1941-); </w:t>
      </w:r>
      <w:r w:rsidRPr="005E779E">
        <w:rPr>
          <w:rFonts w:ascii="Times New Roman" w:hAnsi="Times New Roman"/>
          <w:iCs/>
          <w:color w:val="000000" w:themeColor="text1"/>
          <w:sz w:val="16"/>
          <w:szCs w:val="16"/>
        </w:rPr>
        <w:t>радиостанции:</w:t>
      </w:r>
      <w:r w:rsidRPr="005E779E">
        <w:rPr>
          <w:rFonts w:ascii="Times New Roman" w:hAnsi="Times New Roman"/>
          <w:color w:val="000000" w:themeColor="text1"/>
          <w:sz w:val="16"/>
          <w:szCs w:val="16"/>
        </w:rPr>
        <w:t xml:space="preserve"> АРС (1949-), ЦРС (1949-), «Марс» (1949-), «Плахпет» (1949-), «Парус», «Алтай» (1979-), «Лен» (1979-), «Маяк» (1979-), «Маяк-Дуэт» (2000-е), «Эстакада» (1979-), «Гранит», «Фазан» (2000-е), центровая «Алтай-ЦС», локомотивная «Транспорт-РВ-1» (1995-2000-е), промышленные УКВ: «Сигнал-Н», портативная ВЭЛС (2000-е); Р-107М, Р-111, Р-159, Р-163, Р-168-100 (2000-е), Р-407; система радиосвязи ВЭЛС-Л (2000-е); 1РТМ-А2-ЧМ; радиоузел "5-</w:t>
      </w:r>
      <w:r w:rsidRPr="005E779E">
        <w:rPr>
          <w:rFonts w:ascii="Times New Roman" w:hAnsi="Times New Roman"/>
          <w:color w:val="000000" w:themeColor="text1"/>
          <w:sz w:val="16"/>
          <w:szCs w:val="16"/>
          <w:lang w:val="en-US"/>
        </w:rPr>
        <w:t>W</w:t>
      </w:r>
      <w:r w:rsidRPr="005E779E">
        <w:rPr>
          <w:rFonts w:ascii="Times New Roman" w:hAnsi="Times New Roman"/>
          <w:color w:val="000000" w:themeColor="text1"/>
          <w:sz w:val="16"/>
          <w:szCs w:val="16"/>
        </w:rPr>
        <w:t>";</w:t>
      </w:r>
      <w:r w:rsidRPr="005E779E">
        <w:rPr>
          <w:rFonts w:ascii="Times New Roman" w:hAnsi="Times New Roman"/>
          <w:iCs/>
          <w:color w:val="000000" w:themeColor="text1"/>
          <w:sz w:val="16"/>
          <w:szCs w:val="16"/>
        </w:rPr>
        <w:t xml:space="preserve"> телевизоры:</w:t>
      </w:r>
      <w:r w:rsidRPr="005E779E">
        <w:rPr>
          <w:rFonts w:ascii="Times New Roman" w:hAnsi="Times New Roman"/>
          <w:color w:val="000000" w:themeColor="text1"/>
          <w:sz w:val="16"/>
          <w:szCs w:val="16"/>
        </w:rPr>
        <w:t xml:space="preserve"> КВН-49 (1953-), «Воронеж» (1956-), «Воронеж-2, -3, -6», «Рекорд» (1956-), «Рекорд-12, -64, -В300, -В305, -В306 (1972-), -В307, -В308, -В310, -В311, -В312 (1975-), -В350, ВЦ310, ВЦ-311, ВЦ-381 (1984-)», «ВЭЛС» 34ТБ-413 (1991-), 23ТБ-433, 51ТЦ-49; устройства зарядные УЗ-10, ПЗУ-6-1 (2000-е).</w:t>
      </w:r>
      <w:r w:rsidRPr="005E779E">
        <w:rPr>
          <w:rFonts w:ascii="Times New Roman" w:hAnsi="Times New Roman"/>
          <w:color w:val="000000" w:themeColor="text1"/>
          <w:sz w:val="16"/>
          <w:szCs w:val="16"/>
          <w:vertAlign w:val="superscript"/>
        </w:rPr>
        <w:t>101</w:t>
      </w:r>
      <w:r w:rsidRPr="005E779E">
        <w:rPr>
          <w:rFonts w:ascii="Times New Roman" w:hAnsi="Times New Roman"/>
          <w:color w:val="000000" w:themeColor="text1"/>
          <w:sz w:val="16"/>
          <w:szCs w:val="16"/>
        </w:rPr>
        <w:t>'</w:t>
      </w:r>
    </w:p>
    <w:p w14:paraId="2F7E9F12" w14:textId="2EEA683C"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«Сигнал», В-8955 /Украина</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Коммунарск Луганской обл./</w:t>
      </w:r>
    </w:p>
    <w:p w14:paraId="27A940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являлся филиалом завода «Электросигнал», затем входил в состав ПО «Электросигнал». Имел наименование «п/я В-8955».</w:t>
      </w:r>
    </w:p>
    <w:p w14:paraId="232C46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Производство:</w:t>
      </w:r>
      <w:r w:rsidRPr="005E779E">
        <w:rPr>
          <w:rFonts w:ascii="Times New Roman" w:hAnsi="Times New Roman"/>
          <w:color w:val="000000" w:themeColor="text1"/>
          <w:sz w:val="16"/>
          <w:szCs w:val="16"/>
        </w:rPr>
        <w:t xml:space="preserve"> радиостанция «Гранит-М».</w:t>
      </w:r>
    </w:p>
    <w:p w14:paraId="74A7A822" w14:textId="2CA6E3D4"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ПО «Орион», ОАО «Тернопольский радиозавод (ТРЗ) «Орион» /Украина</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Тернополь ул. 15-го Квитня, 6/</w:t>
      </w:r>
    </w:p>
    <w:p w14:paraId="5EEA19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«Орион» в 03.1982 г. выделился из состава филиала ПО «Электросигнал» в самостоятельный завод. В 08.1989 г. на базе завода создано ПО «Орион». В 10.1998 г. преобразовано в ОАО «ТРЗ «Орион».</w:t>
      </w:r>
    </w:p>
    <w:p w14:paraId="55DBC5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Производство:</w:t>
      </w:r>
      <w:r w:rsidRPr="005E779E">
        <w:rPr>
          <w:rFonts w:ascii="Times New Roman" w:hAnsi="Times New Roman"/>
          <w:color w:val="000000" w:themeColor="text1"/>
          <w:sz w:val="16"/>
          <w:szCs w:val="16"/>
        </w:rPr>
        <w:t xml:space="preserve"> электропроигрыватели: «Орбита-001С, ЭП-001С»; магнитолы: «Селена», «Топильче РМ- 201С»; радиоприемники: «Орион РП-201, РП-206».</w:t>
      </w:r>
    </w:p>
    <w:p w14:paraId="6B3E1C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Воронежский завод радиодеталей, А-7058, ОАО «Воронежский завод радиодеталей» /г. Воронеж/</w:t>
      </w:r>
    </w:p>
    <w:p w14:paraId="48E124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Создан в 1948 г. на базе завода «Электросигнал». Имел наименование «п/я А-7058».</w:t>
      </w:r>
    </w:p>
    <w:p w14:paraId="004D91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3AD300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Производство:</w:t>
      </w:r>
      <w:r w:rsidRPr="005E779E">
        <w:rPr>
          <w:rFonts w:ascii="Times New Roman" w:hAnsi="Times New Roman"/>
          <w:color w:val="000000" w:themeColor="text1"/>
          <w:sz w:val="16"/>
          <w:szCs w:val="16"/>
        </w:rPr>
        <w:t xml:space="preserve"> транзистор П-216.</w:t>
      </w:r>
    </w:p>
    <w:p w14:paraId="4BCE3415" w14:textId="392BDE9D"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Воронежский радиозавод, ПО «Полюс», Р-6797, ОАО «Воронежский радиозавод «Полюс» /г. Воронеж а/я 10/ /394640</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Воронеж ул. 9 Января, 180/</w:t>
      </w:r>
    </w:p>
    <w:p w14:paraId="40B0F1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Создан в начале 1954 г. на базе завода «Электросигнал». Имел наименование «п/я Р-6797».</w:t>
      </w:r>
    </w:p>
    <w:p w14:paraId="5F214C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Специализировался на производстве шифровального оборудования для служб безопасности и оборудовании для телекоммуникационных систем. С 1959 г. начата разработка и производство портативных транзисторных приемников, широкополосных усилителей. Выпускалось также оборудование для измерения и регулирования температуры и влажности в зернохранилищах, устройства звуковой сигнализации.</w:t>
      </w:r>
    </w:p>
    <w:p w14:paraId="1B8470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Производство:</w:t>
      </w:r>
      <w:r w:rsidRPr="005E779E">
        <w:rPr>
          <w:rFonts w:ascii="Times New Roman" w:hAnsi="Times New Roman"/>
          <w:color w:val="000000" w:themeColor="text1"/>
          <w:sz w:val="16"/>
          <w:szCs w:val="16"/>
        </w:rPr>
        <w:t xml:space="preserve"> Р-389, Р-391; блоки для Р-359;</w:t>
      </w:r>
      <w:r w:rsidRPr="005E779E">
        <w:rPr>
          <w:rFonts w:ascii="Times New Roman" w:hAnsi="Times New Roman"/>
          <w:iCs/>
          <w:color w:val="000000" w:themeColor="text1"/>
          <w:sz w:val="16"/>
          <w:szCs w:val="16"/>
        </w:rPr>
        <w:t xml:space="preserve"> радиоприемники:</w:t>
      </w:r>
      <w:r w:rsidRPr="005E779E">
        <w:rPr>
          <w:rFonts w:ascii="Times New Roman" w:hAnsi="Times New Roman"/>
          <w:color w:val="000000" w:themeColor="text1"/>
          <w:sz w:val="16"/>
          <w:szCs w:val="16"/>
        </w:rPr>
        <w:t xml:space="preserve"> «Воронеж» (1954-), «Дорожный» (1954-), «Новь» (1956-), «Спутник» (1957-), «Сюрприз» (1957-), «Стрела» (1959-), «Сувенир», «Атмосфера» (1959-), «Атмосфера-2 (I960-)», «Альпинист» (1964-), «Альпинист-2, -3 (1964-), -405 (1972-), -406, -407 (1975-), -415, -417, -418 (1979-), -419, -420, -320 (1984-), -321 (1986-), -221 (1990-), -224 (1991-), РП-224, РП-226С, РП-229»; радиола «Стрела»; магнитола «Альпинист-411».</w:t>
      </w:r>
      <w:r w:rsidRPr="005E779E">
        <w:rPr>
          <w:rFonts w:ascii="Times New Roman" w:hAnsi="Times New Roman"/>
          <w:color w:val="000000" w:themeColor="text1"/>
          <w:sz w:val="16"/>
          <w:szCs w:val="16"/>
          <w:vertAlign w:val="superscript"/>
        </w:rPr>
        <w:t>108</w:t>
      </w:r>
    </w:p>
    <w:p w14:paraId="42CCC2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ФГУП «Воронежский НИИ «Вега» /г. Воронеж/</w:t>
      </w:r>
    </w:p>
    <w:p w14:paraId="443D40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Создан в 1956 г. на базе завода «Электросигнал».</w:t>
      </w:r>
    </w:p>
    <w:p w14:paraId="7CD47E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По Указу Президента РФ № 1009 от 4.08.2004 г. вошло в перечень стратегических оборонных предприятий.</w:t>
      </w:r>
    </w:p>
    <w:p w14:paraId="7F181B3A" w14:textId="456CD783"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Воронежский НИИ связи (ВНИИС) МПСС, Р-6208, Минсвязи, ФГУП «Воронежский НИИС», ОАО «Концерн «Созвездие» /394018</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Воронеж ул. Плехановская, 14 тел. 52-10-06, -12-59/</w:t>
      </w:r>
    </w:p>
    <w:p w14:paraId="5AD97B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Образован 1.05.1958 г. на базе завода «Электросигнал» для исследований и разработок в области систем и средств сухопутной подвижной связи. Головной институт по данному направлению. Имел наименование «п/я Р- 6208».</w:t>
      </w:r>
    </w:p>
    <w:p w14:paraId="645757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Работы (1958-75 г.): разработка средств радиосвязи и управления; (1975-95 г.): разработка АСУ и связи с адаптацией к внешним воздействиям; (1995 г.-): разработка АСУ и гибко программируемых многофункциональных средств радиосвязи, в т.ч. СУ войсками, оружием, средствами радиосвязи и радиоподавления; (2005 г.): технологические средства для </w:t>
      </w:r>
      <w:r w:rsidRPr="005E779E">
        <w:rPr>
          <w:rFonts w:ascii="Times New Roman" w:hAnsi="Times New Roman"/>
          <w:color w:val="000000" w:themeColor="text1"/>
          <w:sz w:val="16"/>
          <w:szCs w:val="16"/>
          <w:lang w:val="en-US"/>
        </w:rPr>
        <w:t>CDMA</w:t>
      </w:r>
      <w:r w:rsidRPr="005E779E">
        <w:rPr>
          <w:rFonts w:ascii="Times New Roman" w:hAnsi="Times New Roman"/>
          <w:color w:val="000000" w:themeColor="text1"/>
          <w:sz w:val="16"/>
          <w:szCs w:val="16"/>
        </w:rPr>
        <w:t>-технологий; устройства кодирования, перемежения и технического закрытия информации; фильтры, линии задержки и устройства обработки данных; автоматизированные антенно-мачтовые устройства высотой до 70 м; высокостабильные кварцевые генераторы.</w:t>
      </w:r>
    </w:p>
    <w:p w14:paraId="05D6B1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1977 г., после образования Запорожского НИИРС, туда переданы работы по разработке </w:t>
      </w:r>
      <w:r w:rsidRPr="005E779E">
        <w:rPr>
          <w:rFonts w:ascii="Times New Roman" w:hAnsi="Times New Roman"/>
          <w:color w:val="000000" w:themeColor="text1"/>
          <w:sz w:val="16"/>
          <w:szCs w:val="16"/>
          <w:lang w:val="en-US"/>
        </w:rPr>
        <w:t>KB</w:t>
      </w:r>
      <w:r w:rsidRPr="005E779E">
        <w:rPr>
          <w:rFonts w:ascii="Times New Roman" w:hAnsi="Times New Roman"/>
          <w:color w:val="000000" w:themeColor="text1"/>
          <w:sz w:val="16"/>
          <w:szCs w:val="16"/>
        </w:rPr>
        <w:t xml:space="preserve"> радиостанций.</w:t>
      </w:r>
    </w:p>
    <w:p w14:paraId="185689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Принимал участие в разработке абонентской станции спутниковой связи для ВС Р-439-МДЗКР (совместно с НПП «Радиосвязь»).</w:t>
      </w:r>
    </w:p>
    <w:p w14:paraId="4AD54C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Указу Президента № 993 от 29.07.2004 г. Воронежский НИИ связи преобразован в ОАО «Концерн «Созвездие». По Указу Президента РФ № 1009 от 4.08.2004 г. вошло в перечень стратегических оборонных предприятий.</w:t>
      </w:r>
    </w:p>
    <w:p w14:paraId="73F62F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состав Концерна входили (2006 г.): 16 предприятий, в т.ч. ВНИИС, КБОР, Сарапульский радиозавод.</w:t>
      </w:r>
    </w:p>
    <w:p w14:paraId="468AA7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Работы (2006 г.): разработка и производство: АСУ и связи тактического звена, систем телекодовой и речевой связи комплексов ПВО, АСУ и средств РЭБ, АСУ и связи спецназначения, систем и средств радиосвязи для народного хозяйства.</w:t>
      </w:r>
    </w:p>
    <w:p w14:paraId="50481E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Численность персонала (2005 г.)- около 5000 чел.</w:t>
      </w:r>
      <w:r w:rsidRPr="005E779E">
        <w:rPr>
          <w:rFonts w:ascii="Times New Roman" w:hAnsi="Times New Roman"/>
          <w:color w:val="000000" w:themeColor="text1"/>
          <w:sz w:val="16"/>
          <w:szCs w:val="16"/>
          <w:vertAlign w:val="superscript"/>
        </w:rPr>
        <w:t>101</w:t>
      </w:r>
    </w:p>
    <w:p w14:paraId="79CDE2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(1958-86 г.)- К.Я. Петров, Б.Я. Осипов,</w:t>
      </w:r>
      <w:r w:rsidRPr="005E779E">
        <w:rPr>
          <w:rFonts w:ascii="Times New Roman" w:hAnsi="Times New Roman"/>
          <w:color w:val="000000" w:themeColor="text1"/>
          <w:sz w:val="16"/>
          <w:szCs w:val="16"/>
          <w:vertAlign w:val="superscript"/>
        </w:rPr>
        <w:t>122</w:t>
      </w:r>
      <w:r w:rsidRPr="005E779E">
        <w:rPr>
          <w:rFonts w:ascii="Times New Roman" w:hAnsi="Times New Roman"/>
          <w:color w:val="000000" w:themeColor="text1"/>
          <w:sz w:val="16"/>
          <w:szCs w:val="16"/>
        </w:rPr>
        <w:t xml:space="preserve"> А.П. Биленко,</w:t>
      </w:r>
      <w:r w:rsidRPr="005E779E">
        <w:rPr>
          <w:rFonts w:ascii="Times New Roman" w:hAnsi="Times New Roman"/>
          <w:color w:val="000000" w:themeColor="text1"/>
          <w:sz w:val="16"/>
          <w:szCs w:val="16"/>
          <w:vertAlign w:val="superscript"/>
        </w:rPr>
        <w:t>122</w:t>
      </w:r>
      <w:r w:rsidRPr="005E779E">
        <w:rPr>
          <w:rFonts w:ascii="Times New Roman" w:hAnsi="Times New Roman"/>
          <w:color w:val="000000" w:themeColor="text1"/>
          <w:sz w:val="16"/>
          <w:szCs w:val="16"/>
        </w:rPr>
        <w:t xml:space="preserve"> (1986-2003 г.-)- В.И. Борисов. Гендиректор (-2005-06 Г.-)- В.И. Борисов.</w:t>
      </w:r>
    </w:p>
    <w:p w14:paraId="6A84F0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директора по науке (2001 г.)- И.И. Малышев.</w:t>
      </w:r>
    </w:p>
    <w:p w14:paraId="08FC22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Ген. конструктор (-2003-06 г.-)- В. Борисов.</w:t>
      </w:r>
    </w:p>
    <w:p w14:paraId="4BB47D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гл. конструктора- И.И. Малышев.</w:t>
      </w:r>
    </w:p>
    <w:p w14:paraId="663FC4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инженер- А.П. Биленко, Н.А. Рудиков, В.И. Николаев, Э.А. Янутан.</w:t>
      </w:r>
    </w:p>
    <w:p w14:paraId="375159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технолог- В.З. Курцев.</w:t>
      </w:r>
    </w:p>
    <w:p w14:paraId="46E36C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Гл. конструкторы: Б.Я. Осипов, А.П. Биленко (аппаратура 15Э), </w:t>
      </w:r>
      <w:r w:rsidRPr="005E779E">
        <w:rPr>
          <w:rFonts w:ascii="Times New Roman" w:hAnsi="Times New Roman"/>
          <w:color w:val="000000" w:themeColor="text1"/>
          <w:sz w:val="16"/>
          <w:szCs w:val="16"/>
          <w:lang w:val="en-US"/>
        </w:rPr>
        <w:t>JI</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T</w:t>
      </w:r>
      <w:r w:rsidRPr="005E779E">
        <w:rPr>
          <w:rFonts w:ascii="Times New Roman" w:hAnsi="Times New Roman"/>
          <w:color w:val="000000" w:themeColor="text1"/>
          <w:sz w:val="16"/>
          <w:szCs w:val="16"/>
        </w:rPr>
        <w:t>. Болотин («Выстрел», «Выстрел-М»),</w:t>
      </w:r>
    </w:p>
    <w:p w14:paraId="1DC54A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Начальники отделов: микроэлектроники- </w:t>
      </w:r>
      <w:r w:rsidRPr="005E779E">
        <w:rPr>
          <w:rFonts w:ascii="Times New Roman" w:hAnsi="Times New Roman"/>
          <w:color w:val="000000" w:themeColor="text1"/>
          <w:sz w:val="16"/>
          <w:szCs w:val="16"/>
          <w:lang w:val="en-US"/>
        </w:rPr>
        <w:t>B</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C</w:t>
      </w:r>
      <w:r w:rsidRPr="005E779E">
        <w:rPr>
          <w:rFonts w:ascii="Times New Roman" w:hAnsi="Times New Roman"/>
          <w:color w:val="000000" w:themeColor="text1"/>
          <w:sz w:val="16"/>
          <w:szCs w:val="16"/>
        </w:rPr>
        <w:t>. Цымбалюк.</w:t>
      </w:r>
    </w:p>
    <w:p w14:paraId="34BA9F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Создано: радиостанции:</w:t>
      </w:r>
      <w:r w:rsidRPr="005E779E">
        <w:rPr>
          <w:rFonts w:ascii="Times New Roman" w:hAnsi="Times New Roman"/>
          <w:color w:val="000000" w:themeColor="text1"/>
          <w:sz w:val="16"/>
          <w:szCs w:val="16"/>
        </w:rPr>
        <w:t xml:space="preserve"> тактического звена: Р-111, Р-123, Р-124, Р-129 «Выстрел» (1960-е), Р-130 «Выстрел- М» (1960-е), Р-134, Р-143, Р-163, Р-173 (1970-е); КВ-УКВ диапазона Р-168 «Акведук» (1975); для оперативной связи сухопутных и пограничных войск: «Визиви», «Виконт», «Гондола», «Малыш», «Уран», «Сокол»; для МВД «Вызов», «Сигнал», «Марс», «Сирена», «Пальма», «Виола»; для КГБ «Сова», «Зяблик», «Чайка», «Кайра»; линии управления «Круг», «Краб», «Эвольвента» (1970-е), линии управления и связи с псевдослучайной </w:t>
      </w:r>
      <w:r w:rsidRPr="005E779E">
        <w:rPr>
          <w:rFonts w:ascii="Times New Roman" w:hAnsi="Times New Roman"/>
          <w:color w:val="000000" w:themeColor="text1"/>
          <w:sz w:val="16"/>
          <w:szCs w:val="16"/>
          <w:lang w:val="en-US"/>
        </w:rPr>
        <w:t>nqHopriMB</w:t>
      </w:r>
      <w:r w:rsidRPr="005E779E">
        <w:rPr>
          <w:rFonts w:ascii="Times New Roman" w:hAnsi="Times New Roman"/>
          <w:color w:val="000000" w:themeColor="text1"/>
          <w:sz w:val="16"/>
          <w:szCs w:val="16"/>
        </w:rPr>
        <w:t xml:space="preserve"> рабочих частот (ППРЧ) «Акведук» (1990-е); аппаратура закрытой системы связи 15Э; изделия «Карабах «Порт», «Кама-С, -П», «Беркут», «Глет-Н, -3», «Лес», «Волемот», «Лен», «Акватория»; навигацпан аппаратура «Азимут» (2000-е); релейная станция «Луч МТ» (2000-е); система связи для МПС «Транспорт»; транкинговая система общего пользования «Алтай» (1970-е).</w:t>
      </w:r>
    </w:p>
    <w:p w14:paraId="76764F41" w14:textId="106CB3D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КБ опытных работ (КБОР) МПСС, ФГУП «КБОР» ФАП /115093</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Москва 1-й Щипковский пер., 3 тел. 235-83-27/</w:t>
      </w:r>
    </w:p>
    <w:p w14:paraId="33CB7443" w14:textId="592380CC"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Образовано по приказу МПСС в 12.1974 г. для создания подвижных систем связи специального назначения. С помощью региональных подразделений вело строительство объектов связи, монтаж и наладку систем связи, завершенных в 1982 г. В 1980-е</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При помощи КБОР были введены в строй Киевский институт радиотехнических материалов, Минский институт радиоматериалов, Боровский завод спецматериалов и Кольский завод спецматериалов.</w:t>
      </w:r>
    </w:p>
    <w:p w14:paraId="1F380DBA" w14:textId="2140B809"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1980-е</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на базе КБОР и СКБ материалов ЦНИТИ «Техномаш» создан Отраслевой центр специального материаловедения. Им разработано более 200 новых материалов. Велись работы в области радиационных методов модификации материалов, биозащиты, тропикоустойчивости, утилизации многокомпонентного металлолома.</w:t>
      </w:r>
    </w:p>
    <w:p w14:paraId="447354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Имело Боровский филиал (1975-79 г.).</w:t>
      </w:r>
    </w:p>
    <w:p w14:paraId="17898A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1998 г. главным направлением КБОР стало создание и выпуск многофункциональных систем регистрации и приема-передачи информации серии МСР.</w:t>
      </w:r>
    </w:p>
    <w:p w14:paraId="12A283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7F9BBF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Входил в состав Концерна «Созвездие» (2006 г.).</w:t>
      </w:r>
    </w:p>
    <w:p w14:paraId="1510A6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Работы (2006 г.): создание и эксплуатация многофункциональных систем регистрации, мониторинга и управления силами и средствами.</w:t>
      </w:r>
    </w:p>
    <w:p w14:paraId="3AD6C0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А.И. Студеницын, В.А. Латышев, (1980-е-2000 г.-)- З.П. Баскаев. Гендиректор (-2005-06 г.-)- В.В. Симаков (11982).</w:t>
      </w:r>
    </w:p>
    <w:p w14:paraId="5B9707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C072665" w14:textId="77777777" w:rsidR="003E28CB" w:rsidRPr="005E779E" w:rsidRDefault="003E28CB"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10 сентября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Протокол заседания Политбюро ЦК ВКП(б) №61. 13/25. О закупке сторожевых судов. (Ягода, Розенгольц). (РГАСПИ. Ф. 17. Оп. 162. Д. 11. Л. 2) (12416).</w:t>
      </w:r>
    </w:p>
    <w:p w14:paraId="4958BE51" w14:textId="77777777" w:rsidR="003E28CB" w:rsidRPr="005E779E" w:rsidRDefault="003E28CB" w:rsidP="000B7A6C">
      <w:pPr>
        <w:spacing w:after="0" w:line="240" w:lineRule="auto"/>
        <w:jc w:val="both"/>
        <w:rPr>
          <w:rFonts w:ascii="Times New Roman" w:hAnsi="Times New Roman"/>
          <w:color w:val="000000" w:themeColor="text1"/>
          <w:sz w:val="16"/>
          <w:szCs w:val="16"/>
          <w:u w:color="002060"/>
        </w:rPr>
      </w:pPr>
    </w:p>
    <w:p w14:paraId="6C8A0A28"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06B48D7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7A45F5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и 14 сентября 1931 при проведении войсковых маневров в районе Могилевки осуществили две ком</w:t>
      </w:r>
      <w:r w:rsidRPr="005E779E">
        <w:rPr>
          <w:rFonts w:ascii="Times New Roman" w:hAnsi="Times New Roman"/>
          <w:color w:val="000000" w:themeColor="text1"/>
          <w:sz w:val="16"/>
          <w:szCs w:val="16"/>
        </w:rPr>
        <w:softHyphen/>
        <w:t>бинированные операции. Парашютистов сбрасывали из трех АНТ-9, затем эскадрилья ТБ-1 приземлялась и выгружала технику и вооружение. Хотя первые эксперименты оказались вполне успешными, новый род войск все еще находился в зачаточном состоянии, и требовалось вести дальнейшее совершен</w:t>
      </w:r>
      <w:r w:rsidRPr="005E779E">
        <w:rPr>
          <w:rFonts w:ascii="Times New Roman" w:hAnsi="Times New Roman"/>
          <w:color w:val="000000" w:themeColor="text1"/>
          <w:sz w:val="16"/>
          <w:szCs w:val="16"/>
        </w:rPr>
        <w:softHyphen/>
        <w:t>ствование техники и снаряжения. В апреле-мае 1933 г. в каждом военном округе сфор</w:t>
      </w:r>
      <w:r w:rsidRPr="005E779E">
        <w:rPr>
          <w:rFonts w:ascii="Times New Roman" w:hAnsi="Times New Roman"/>
          <w:color w:val="000000" w:themeColor="text1"/>
          <w:sz w:val="16"/>
          <w:szCs w:val="16"/>
        </w:rPr>
        <w:softHyphen/>
        <w:t>мировали отдельные стрелковые батальо</w:t>
      </w:r>
      <w:r w:rsidRPr="005E779E">
        <w:rPr>
          <w:rFonts w:ascii="Times New Roman" w:hAnsi="Times New Roman"/>
          <w:color w:val="000000" w:themeColor="text1"/>
          <w:sz w:val="16"/>
          <w:szCs w:val="16"/>
        </w:rPr>
        <w:softHyphen/>
        <w:t>ны особого назначения (ОСБОН), куда по штату входили 2 У-2, 2 Р-5 и 1 ТБ-1. В сформированную бригаду Особого назна</w:t>
      </w:r>
      <w:r w:rsidRPr="005E779E">
        <w:rPr>
          <w:rFonts w:ascii="Times New Roman" w:hAnsi="Times New Roman"/>
          <w:color w:val="000000" w:themeColor="text1"/>
          <w:sz w:val="16"/>
          <w:szCs w:val="16"/>
        </w:rPr>
        <w:softHyphen/>
        <w:t>чения в Детском Селе сначала предполага</w:t>
      </w:r>
      <w:r w:rsidRPr="005E779E">
        <w:rPr>
          <w:rFonts w:ascii="Times New Roman" w:hAnsi="Times New Roman"/>
          <w:color w:val="000000" w:themeColor="text1"/>
          <w:sz w:val="16"/>
          <w:szCs w:val="16"/>
        </w:rPr>
        <w:softHyphen/>
        <w:t>ли направить 6 ТБ-1, затем 3 ТБ-3 и ЗТБ-1. В конце мая 1933 г. начались сборы десант</w:t>
      </w:r>
      <w:r w:rsidRPr="005E779E">
        <w:rPr>
          <w:rFonts w:ascii="Times New Roman" w:hAnsi="Times New Roman"/>
          <w:color w:val="000000" w:themeColor="text1"/>
          <w:sz w:val="16"/>
          <w:szCs w:val="16"/>
        </w:rPr>
        <w:softHyphen/>
        <w:t>ных отделений стрелковых дивизий в Мо</w:t>
      </w:r>
      <w:r w:rsidRPr="005E779E">
        <w:rPr>
          <w:rFonts w:ascii="Times New Roman" w:hAnsi="Times New Roman"/>
          <w:color w:val="000000" w:themeColor="text1"/>
          <w:sz w:val="16"/>
          <w:szCs w:val="16"/>
        </w:rPr>
        <w:softHyphen/>
        <w:t>нино под Москвой и в Гатчине под Ленин</w:t>
      </w:r>
      <w:r w:rsidRPr="005E779E">
        <w:rPr>
          <w:rFonts w:ascii="Times New Roman" w:hAnsi="Times New Roman"/>
          <w:color w:val="000000" w:themeColor="text1"/>
          <w:sz w:val="16"/>
          <w:szCs w:val="16"/>
        </w:rPr>
        <w:softHyphen/>
        <w:t>градом. Парашютные прыжки осуществля</w:t>
      </w:r>
      <w:r w:rsidRPr="005E779E">
        <w:rPr>
          <w:rFonts w:ascii="Times New Roman" w:hAnsi="Times New Roman"/>
          <w:color w:val="000000" w:themeColor="text1"/>
          <w:sz w:val="16"/>
          <w:szCs w:val="16"/>
        </w:rPr>
        <w:softHyphen/>
        <w:t>ли из ТБ-1, оборудованных кабинами КП-1 системы Гроховского. Впрочем, уже в 1934-35 гг. для осуществления в ходе уче</w:t>
      </w:r>
      <w:r w:rsidRPr="005E779E">
        <w:rPr>
          <w:rFonts w:ascii="Times New Roman" w:hAnsi="Times New Roman"/>
          <w:color w:val="000000" w:themeColor="text1"/>
          <w:sz w:val="16"/>
          <w:szCs w:val="16"/>
        </w:rPr>
        <w:softHyphen/>
        <w:t>ний массовых десантов применили ТБ-3, а ТБ-1 с подвесными кабинами использова</w:t>
      </w:r>
      <w:r w:rsidRPr="005E779E">
        <w:rPr>
          <w:rFonts w:ascii="Times New Roman" w:hAnsi="Times New Roman"/>
          <w:color w:val="000000" w:themeColor="text1"/>
          <w:sz w:val="16"/>
          <w:szCs w:val="16"/>
        </w:rPr>
        <w:softHyphen/>
        <w:t>ли для тренировок (11286).</w:t>
      </w:r>
    </w:p>
    <w:p w14:paraId="57EAFE5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68683E" w14:textId="77777777" w:rsidR="00295B66" w:rsidRPr="005E779E" w:rsidRDefault="00295B6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сентября 1931 в ходе маневров Украинского военного округа (УВО) десант в составе 29 бойцов высадился из трех самолетов АНТ-9. Одновременно с людьми на грузовых парашютах были сброшены две пушки, пулеметы и боеприпасы. Такую же операцию 14 сентября повторили для начальствующего состава, участвовавшего в маневрах (Архив ЦДА и К. Ф. 50. Оп. 1. Д. 2. Л. 26). С маневров в УВО ПДО был снова переброшен в Красногвардейск (ныне Гатчина), где 29.09.1931 г. принял участие в маневрах ЛВО. Всего из 550 прыжков, выполненных в 1931 г., на десантные прыжки во время маневров приходится 110, то есть 20% от общего количества. В то же время бойцы ПДО выполнили в 1931 г. 311 прыжков (56.5% от общего количества) (Архив ЦДА и К. Ф. 50. Оп. 1. Д. 2. Л. 25) (21402).</w:t>
      </w:r>
    </w:p>
    <w:p w14:paraId="2D73E3F9" w14:textId="77777777" w:rsidR="00295B66" w:rsidRPr="005E779E" w:rsidRDefault="00295B66" w:rsidP="000B7A6C">
      <w:pPr>
        <w:spacing w:after="0" w:line="240" w:lineRule="auto"/>
        <w:jc w:val="both"/>
        <w:rPr>
          <w:rFonts w:ascii="Times New Roman" w:hAnsi="Times New Roman"/>
          <w:color w:val="000000" w:themeColor="text1"/>
          <w:sz w:val="16"/>
          <w:szCs w:val="16"/>
        </w:rPr>
      </w:pPr>
    </w:p>
    <w:p w14:paraId="6D2B8E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и 14 сентября 1931 ТБ-1 сами использовались для перевозки десантников. После захвата площадок выброшенными с трехмоторных АНТ-9 парашютистами тяжелые бомбардировщики начали приземляться там с пехотой на борту (12024).</w:t>
      </w:r>
    </w:p>
    <w:p w14:paraId="3B1796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87CD133" w14:textId="77777777" w:rsidR="001E4981" w:rsidRPr="00142305" w:rsidRDefault="001E4981" w:rsidP="001E498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10 и 14 сентября 1931 г. ТБ-1 исполь</w:t>
      </w:r>
      <w:r w:rsidRPr="00142305">
        <w:rPr>
          <w:rFonts w:ascii="Times New Roman" w:hAnsi="Times New Roman"/>
          <w:color w:val="0070C0"/>
          <w:sz w:val="16"/>
          <w:szCs w:val="16"/>
        </w:rPr>
        <w:softHyphen/>
        <w:t>зовались для перевозки десантников. После захвата площа</w:t>
      </w:r>
      <w:r w:rsidRPr="00142305">
        <w:rPr>
          <w:rFonts w:ascii="Times New Roman" w:hAnsi="Times New Roman"/>
          <w:color w:val="0070C0"/>
          <w:sz w:val="16"/>
          <w:szCs w:val="16"/>
        </w:rPr>
        <w:softHyphen/>
        <w:t>док выброшенными с трехмоторных АНТ-9 парашютиста</w:t>
      </w:r>
      <w:r w:rsidRPr="00142305">
        <w:rPr>
          <w:rFonts w:ascii="Times New Roman" w:hAnsi="Times New Roman"/>
          <w:color w:val="0070C0"/>
          <w:sz w:val="16"/>
          <w:szCs w:val="16"/>
        </w:rPr>
        <w:softHyphen/>
        <w:t>ми тяжелые бомбардировщики начали приземляться там с пехотой на борту (24977).</w:t>
      </w:r>
    </w:p>
    <w:p w14:paraId="77725E67" w14:textId="77777777" w:rsidR="001E4981" w:rsidRPr="00142305" w:rsidRDefault="001E4981" w:rsidP="001E4981">
      <w:pPr>
        <w:spacing w:after="0" w:line="240" w:lineRule="auto"/>
        <w:jc w:val="both"/>
        <w:rPr>
          <w:rFonts w:ascii="Times New Roman" w:hAnsi="Times New Roman"/>
          <w:color w:val="0070C0"/>
          <w:sz w:val="16"/>
          <w:szCs w:val="16"/>
        </w:rPr>
      </w:pPr>
    </w:p>
    <w:p w14:paraId="799C7D31" w14:textId="77777777" w:rsidR="001E4981" w:rsidRPr="00142305" w:rsidRDefault="001E4981" w:rsidP="001E498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10 сентября 1931 г. на маневрах Украинского военного округа три АНТ-9 (третий взя</w:t>
      </w:r>
      <w:r w:rsidRPr="00142305">
        <w:rPr>
          <w:rFonts w:ascii="Times New Roman" w:hAnsi="Times New Roman"/>
          <w:color w:val="0070C0"/>
          <w:sz w:val="16"/>
          <w:szCs w:val="16"/>
        </w:rPr>
        <w:softHyphen/>
        <w:t>ли временно у Военно-воздушной акаде</w:t>
      </w:r>
      <w:r w:rsidRPr="00142305">
        <w:rPr>
          <w:rFonts w:ascii="Times New Roman" w:hAnsi="Times New Roman"/>
          <w:color w:val="0070C0"/>
          <w:sz w:val="16"/>
          <w:szCs w:val="16"/>
        </w:rPr>
        <w:softHyphen/>
        <w:t>мии). вылетевших из Киева, десантиро</w:t>
      </w:r>
      <w:r w:rsidRPr="00142305">
        <w:rPr>
          <w:rFonts w:ascii="Times New Roman" w:hAnsi="Times New Roman"/>
          <w:color w:val="0070C0"/>
          <w:sz w:val="16"/>
          <w:szCs w:val="16"/>
        </w:rPr>
        <w:softHyphen/>
        <w:t>вали 29 человек под Могилевкой. Один опять остался в самолете с неожиданно раскрывшимся запасным парашютом. Грузы сбрасывали на парашютах Ирвина и Благина. На них доставили на землю две ДРП, пулеметы и боеприпасы. 14 сен</w:t>
      </w:r>
      <w:r w:rsidRPr="00142305">
        <w:rPr>
          <w:rFonts w:ascii="Times New Roman" w:hAnsi="Times New Roman"/>
          <w:color w:val="0070C0"/>
          <w:sz w:val="16"/>
          <w:szCs w:val="16"/>
        </w:rPr>
        <w:softHyphen/>
        <w:t>тября в этом же районе проводили пока</w:t>
      </w:r>
      <w:r w:rsidRPr="00142305">
        <w:rPr>
          <w:rFonts w:ascii="Times New Roman" w:hAnsi="Times New Roman"/>
          <w:color w:val="0070C0"/>
          <w:sz w:val="16"/>
          <w:szCs w:val="16"/>
        </w:rPr>
        <w:softHyphen/>
        <w:t>зательный десант, опять с трех АНТ-9.</w:t>
      </w:r>
    </w:p>
    <w:p w14:paraId="037BB0AC" w14:textId="77777777" w:rsidR="001E4981" w:rsidRPr="00142305" w:rsidRDefault="001E4981" w:rsidP="001E498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После этого парашютно-десантный отряд и самолеты перебросили под Ле</w:t>
      </w:r>
      <w:r w:rsidRPr="00142305">
        <w:rPr>
          <w:rFonts w:ascii="Times New Roman" w:hAnsi="Times New Roman"/>
          <w:color w:val="0070C0"/>
          <w:sz w:val="16"/>
          <w:szCs w:val="16"/>
        </w:rPr>
        <w:softHyphen/>
        <w:t>нинград. 27 сентября АНТ-9 академии потерпел аварию, скапотировав на по</w:t>
      </w:r>
      <w:r w:rsidRPr="00142305">
        <w:rPr>
          <w:rFonts w:ascii="Times New Roman" w:hAnsi="Times New Roman"/>
          <w:color w:val="0070C0"/>
          <w:sz w:val="16"/>
          <w:szCs w:val="16"/>
        </w:rPr>
        <w:softHyphen/>
        <w:t>садке в Красногвардейске. Сломались шасси и лонжерон левого крыла. На бор</w:t>
      </w:r>
      <w:r w:rsidRPr="00142305">
        <w:rPr>
          <w:rFonts w:ascii="Times New Roman" w:hAnsi="Times New Roman"/>
          <w:color w:val="0070C0"/>
          <w:sz w:val="16"/>
          <w:szCs w:val="16"/>
        </w:rPr>
        <w:softHyphen/>
        <w:t>ту находились 12 парашютистов и од</w:t>
      </w:r>
      <w:r w:rsidRPr="00142305">
        <w:rPr>
          <w:rFonts w:ascii="Times New Roman" w:hAnsi="Times New Roman"/>
          <w:color w:val="0070C0"/>
          <w:sz w:val="16"/>
          <w:szCs w:val="16"/>
        </w:rPr>
        <w:softHyphen/>
        <w:t>на ДРП. Никто не пострадал, но возник большой скандал, поскольку по приказу начальника ВВС Ленинградского округа (а парашютисты подчинялись ему) за</w:t>
      </w:r>
      <w:r w:rsidRPr="00142305">
        <w:rPr>
          <w:rFonts w:ascii="Times New Roman" w:hAnsi="Times New Roman"/>
          <w:color w:val="0070C0"/>
          <w:sz w:val="16"/>
          <w:szCs w:val="16"/>
        </w:rPr>
        <w:softHyphen/>
        <w:t>прещалось брать на АНТ-9 более восьми десантников со снаряжением.</w:t>
      </w:r>
    </w:p>
    <w:p w14:paraId="3B35714E" w14:textId="77777777" w:rsidR="001E4981" w:rsidRPr="00142305" w:rsidRDefault="001E4981" w:rsidP="001E498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расчетам специалистов НИИ ВВС. воз</w:t>
      </w:r>
      <w:r w:rsidRPr="00142305">
        <w:rPr>
          <w:rFonts w:ascii="Times New Roman" w:hAnsi="Times New Roman"/>
          <w:color w:val="0070C0"/>
          <w:sz w:val="16"/>
          <w:szCs w:val="16"/>
        </w:rPr>
        <w:softHyphen/>
        <w:t>можности АНТ-9 с «райтами» можно бы</w:t>
      </w:r>
      <w:r w:rsidRPr="00142305">
        <w:rPr>
          <w:rFonts w:ascii="Times New Roman" w:hAnsi="Times New Roman"/>
          <w:color w:val="0070C0"/>
          <w:sz w:val="16"/>
          <w:szCs w:val="16"/>
        </w:rPr>
        <w:softHyphen/>
        <w:t>ло довести до 13 десантников при трех членах экипажа. Известен случай, когда на борту находились 15 человек, из кото</w:t>
      </w:r>
      <w:r w:rsidRPr="00142305">
        <w:rPr>
          <w:rFonts w:ascii="Times New Roman" w:hAnsi="Times New Roman"/>
          <w:color w:val="0070C0"/>
          <w:sz w:val="16"/>
          <w:szCs w:val="16"/>
        </w:rPr>
        <w:softHyphen/>
        <w:t>рых 11 - с парашютами. По-видимому, в итоге остановились на более реальных цифрах - 10 - 11 десантников, пилот и бортмеханик. Это позволяло на трех АНТ-9 перевозить 30 парашютистов - два взвода по 15 человек (таковы были тогда штаты единственного в стране парашют</w:t>
      </w:r>
      <w:r w:rsidRPr="00142305">
        <w:rPr>
          <w:rFonts w:ascii="Times New Roman" w:hAnsi="Times New Roman"/>
          <w:color w:val="0070C0"/>
          <w:sz w:val="16"/>
          <w:szCs w:val="16"/>
        </w:rPr>
        <w:softHyphen/>
        <w:t>но-десантного отряда) (24949).</w:t>
      </w:r>
    </w:p>
    <w:p w14:paraId="0C48875E" w14:textId="77777777" w:rsidR="001E4981" w:rsidRPr="00142305" w:rsidRDefault="001E4981" w:rsidP="001E4981">
      <w:pPr>
        <w:spacing w:after="0" w:line="240" w:lineRule="auto"/>
        <w:jc w:val="both"/>
        <w:rPr>
          <w:rFonts w:ascii="Times New Roman" w:hAnsi="Times New Roman"/>
          <w:color w:val="0070C0"/>
          <w:sz w:val="16"/>
          <w:szCs w:val="16"/>
        </w:rPr>
      </w:pPr>
    </w:p>
    <w:p w14:paraId="12FF56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и 14 сентября 1931 парашютные десанты сочетались с посадочными. Парашютистов сбрасывали с АНТ-9 и ТБ-1. Парашют политрука Кузнецова, прыгавшего с бомбардировщика 55-й эскадрильи, не раскрылся. Он упал с высоты 500 м и разбился. У другого десантника купол развернулся только на 50 м. Среди парашютистов некоторые получили ранения и ушибы. С самолетов сбрасывали не только людей, но и мешки с различными грузами, в том числе ДРП.</w:t>
      </w:r>
    </w:p>
    <w:p w14:paraId="68B318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Парашютисты захватили посадочную площадку, на которую приземлились самолеты с посадочным десантом. От места высадки он двинулся форсированным маршем по намеченному маршруту. Его успех был омрачен только одним происшествием: на месте ночевки десантники забыли в деревенском сарае... ручной пулемет!</w:t>
      </w:r>
    </w:p>
    <w:p w14:paraId="39C847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собравшихся на учения начальников организовали демонстрационный сброс с ТБ-1 трехместного авиабуса.</w:t>
      </w:r>
    </w:p>
    <w:p w14:paraId="537B22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Успех учений несколько омрачила катастрофа, произошедшая сразу после их окончания. Принадлежавший десантному отряду ТБ-1, под которым был подвешен пикап, взлетел, чтобы вернуться на постоянное место дислокации. Самолет был сильно перегружен. Кроме автомобиля, он нес различное имущество. На борту находилось семь человек. Но один из моторов отказал (как потом выяснилось, оборвался шатун). Пилот решил сделать круг и сесть на ту же площадку, но недооценил создаваемого наружной подвеской пикирующего момента. Самолет врезался в землю: все находившиеся в нем погибли (12036).</w:t>
      </w:r>
    </w:p>
    <w:p w14:paraId="35E5F5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216EA51"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542811FF"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04745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сентября 1931 г. ВЦИК и СНК РСФСР утверждает Устав службы в ИТУ РСФСР (10303).</w:t>
      </w:r>
    </w:p>
    <w:p w14:paraId="693095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7F4AAA0"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50426376"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DEE8D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сентября 1931 из-за мер британского правительства по сокращению бюджетных ассигнований начались волнения в Лондоне и Глазго (3481).</w:t>
      </w:r>
    </w:p>
    <w:p w14:paraId="63B9DC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C4CF8C2"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5FF017A5"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AF9068B" w14:textId="77777777" w:rsidR="003E00E3" w:rsidRPr="00142305" w:rsidRDefault="003E00E3" w:rsidP="003E00E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11 сен</w:t>
      </w:r>
      <w:r w:rsidRPr="00142305">
        <w:rPr>
          <w:rFonts w:ascii="Times New Roman" w:hAnsi="Times New Roman"/>
          <w:color w:val="0070C0"/>
          <w:sz w:val="16"/>
          <w:szCs w:val="16"/>
        </w:rPr>
        <w:softHyphen/>
        <w:t>тября 1931 г. начальник ВВС РККА коман</w:t>
      </w:r>
      <w:r w:rsidRPr="00142305">
        <w:rPr>
          <w:rFonts w:ascii="Times New Roman" w:hAnsi="Times New Roman"/>
          <w:color w:val="0070C0"/>
          <w:sz w:val="16"/>
          <w:szCs w:val="16"/>
        </w:rPr>
        <w:softHyphen/>
        <w:t>дарм Я.И. Алкснис, выступая в НИИ ВВС. сказал: «История с испытанием самолета ТБ-3 достойна того, чтобы попасть на стра</w:t>
      </w:r>
      <w:r w:rsidRPr="00142305">
        <w:rPr>
          <w:rFonts w:ascii="Times New Roman" w:hAnsi="Times New Roman"/>
          <w:color w:val="0070C0"/>
          <w:sz w:val="16"/>
          <w:szCs w:val="16"/>
        </w:rPr>
        <w:softHyphen/>
        <w:t>ницы «Крокодила» и самым беспощадным образом быть высмеянной: опытный обра</w:t>
      </w:r>
      <w:r w:rsidRPr="00142305">
        <w:rPr>
          <w:rFonts w:ascii="Times New Roman" w:hAnsi="Times New Roman"/>
          <w:color w:val="0070C0"/>
          <w:sz w:val="16"/>
          <w:szCs w:val="16"/>
        </w:rPr>
        <w:softHyphen/>
        <w:t>зец этой машины еще в 13-ю годовщину (Алкснис ошибся - это был Первомай) летал над Красной площадью, скоро год, а машина до сих пор еще не испытана...»</w:t>
      </w:r>
    </w:p>
    <w:p w14:paraId="1E7CF909" w14:textId="77777777" w:rsidR="003E00E3" w:rsidRPr="00142305" w:rsidRDefault="003E00E3" w:rsidP="003E00E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Но в то же время УВВС вносило пос</w:t>
      </w:r>
      <w:r w:rsidRPr="00142305">
        <w:rPr>
          <w:rFonts w:ascii="Times New Roman" w:hAnsi="Times New Roman"/>
          <w:color w:val="0070C0"/>
          <w:sz w:val="16"/>
          <w:szCs w:val="16"/>
        </w:rPr>
        <w:softHyphen/>
        <w:t>тоянные поправки в состав и размещение оборудования и вооружения. Так, 31 де</w:t>
      </w:r>
      <w:r w:rsidRPr="00142305">
        <w:rPr>
          <w:rFonts w:ascii="Times New Roman" w:hAnsi="Times New Roman"/>
          <w:color w:val="0070C0"/>
          <w:sz w:val="16"/>
          <w:szCs w:val="16"/>
        </w:rPr>
        <w:softHyphen/>
        <w:t>кабря от ЦАГИ потребовали разработать подвеску четырех пристрелочных и четы</w:t>
      </w:r>
      <w:r w:rsidRPr="00142305">
        <w:rPr>
          <w:rFonts w:ascii="Times New Roman" w:hAnsi="Times New Roman"/>
          <w:color w:val="0070C0"/>
          <w:sz w:val="16"/>
          <w:szCs w:val="16"/>
        </w:rPr>
        <w:softHyphen/>
        <w:t>рех светящихся бомб, изменить установку подфюзеляжных бомбодержателей так, чтобы не снимать их при использовании Дер-9 (это сделали значительно позже), спроектировать новые подкрыльные башни (вращающиеся, с круговым обстрелом - они не появились вообще).</w:t>
      </w:r>
    </w:p>
    <w:p w14:paraId="3B6A8F62" w14:textId="77777777" w:rsidR="003E00E3" w:rsidRPr="00142305" w:rsidRDefault="003E00E3" w:rsidP="003E00E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Полный комплект вооружения плани</w:t>
      </w:r>
      <w:r w:rsidRPr="00142305">
        <w:rPr>
          <w:rFonts w:ascii="Times New Roman" w:hAnsi="Times New Roman"/>
          <w:color w:val="0070C0"/>
          <w:sz w:val="16"/>
          <w:szCs w:val="16"/>
        </w:rPr>
        <w:softHyphen/>
        <w:t>ровали установить на опытный АНТ-6 к августу 1931 г. Но сделать в срок этого не удалось Не хватало то одного, то дру</w:t>
      </w:r>
      <w:r w:rsidRPr="00142305">
        <w:rPr>
          <w:rFonts w:ascii="Times New Roman" w:hAnsi="Times New Roman"/>
          <w:color w:val="0070C0"/>
          <w:sz w:val="16"/>
          <w:szCs w:val="16"/>
        </w:rPr>
        <w:softHyphen/>
        <w:t>гого - многие предметы оборудования и вооружения изготовлялись в нашей стране впервые, и этот процесс шел не быстро и не легко.</w:t>
      </w:r>
    </w:p>
    <w:p w14:paraId="020B7686" w14:textId="77777777" w:rsidR="003E00E3" w:rsidRPr="00142305" w:rsidRDefault="003E00E3" w:rsidP="003E00E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Самолет все это время находился в НИИ ВВС (24937).</w:t>
      </w:r>
    </w:p>
    <w:p w14:paraId="0CCEB6F1" w14:textId="77777777" w:rsidR="003E00E3" w:rsidRPr="00142305" w:rsidRDefault="003E00E3" w:rsidP="003E00E3">
      <w:pPr>
        <w:spacing w:after="0" w:line="240" w:lineRule="auto"/>
        <w:jc w:val="both"/>
        <w:rPr>
          <w:rFonts w:ascii="Times New Roman" w:hAnsi="Times New Roman"/>
          <w:color w:val="0070C0"/>
          <w:sz w:val="16"/>
          <w:szCs w:val="16"/>
        </w:rPr>
      </w:pPr>
    </w:p>
    <w:p w14:paraId="18C807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C 11 по 23 (c 1 по 29 - 346,22) сентября 1931 в НИИ ВВС проходили испытания моноплана типа парасоль, переделанного КБ А.Н.Т. из серийного И-4 N 1514. Улучшения ЛТХ было незначительным ( 1017,162).</w:t>
      </w:r>
    </w:p>
    <w:p w14:paraId="4CE055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52ED763"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0109C93C"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F79B5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сентября 1931 г. начальник ВВС РККА командарм Я.И. Алкснис, выступая в НИИ ВВС, сказал: "История с испытанием самолета ТБ-3 достойна того. чтобы попасть на страницы "Крокодила" и самым беспощадным образом быть высмеянной: опытный образец этой машины еще в 13-ю годовщину (Алкснис ошибся - это был Первомай) летал над Красной площадью, скоро год, а машина до сих пор еще не испытана..." (8887).</w:t>
      </w:r>
    </w:p>
    <w:p w14:paraId="2B2A2E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C5698E8" w14:textId="77777777" w:rsidR="00293871" w:rsidRPr="005E779E" w:rsidRDefault="00293871" w:rsidP="000B7A6C">
      <w:pPr>
        <w:pStyle w:val="a8"/>
        <w:jc w:val="both"/>
        <w:rPr>
          <w:rFonts w:ascii="Times New Roman" w:hAnsi="Times New Roman" w:cs="Times New Roman"/>
          <w:color w:val="000000" w:themeColor="text1"/>
        </w:rPr>
      </w:pPr>
      <w:r w:rsidRPr="005E779E">
        <w:rPr>
          <w:rFonts w:ascii="Times New Roman" w:hAnsi="Times New Roman" w:cs="Times New Roman"/>
          <w:color w:val="000000" w:themeColor="text1"/>
        </w:rPr>
        <w:t>11 - 23 сентября 1931 г. И-4бис испытывался в НИИ ВВС. Констатировали небольшое улучшение поперечной устойчивости. Скорость, по сравнению с обычным И-4, увеличилась незначительно (примерно на 10 км/ч), скороподъемность практически не изменилась, а маневренность ухудшилась. Кроме того, в новом капоте мотор перегревался. Выводом стала фраза - «считать переделку нерациональной» (19100).</w:t>
      </w:r>
    </w:p>
    <w:p w14:paraId="7134C436" w14:textId="77777777" w:rsidR="00293871" w:rsidRPr="005E779E" w:rsidRDefault="00293871" w:rsidP="000B7A6C">
      <w:pPr>
        <w:pStyle w:val="a8"/>
        <w:jc w:val="both"/>
        <w:rPr>
          <w:rFonts w:ascii="Times New Roman" w:hAnsi="Times New Roman" w:cs="Times New Roman"/>
          <w:color w:val="000000" w:themeColor="text1"/>
        </w:rPr>
      </w:pPr>
    </w:p>
    <w:p w14:paraId="105833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сентября 1931 г. Алкснис на собрании руководства НИИ ВВС сказал: "Самолёт И-5 прошёл и государственные, и серийные, и войсковые испытания, а сейчас, что ни день, то выясняются всё новые да новые недочёты, не вскрытые испытаниями НИИ: и конструктивные, и производственные, и эксплоатационные, и всякие другие, какие хотите!" В результате уже готовые машины неоднократно возвращали в цеха для доработок и переделок.</w:t>
      </w:r>
    </w:p>
    <w:p w14:paraId="22C9B2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проводились эксперименты по усилению вооружения И-5. В частности, на одном самолёте смонтировали опытный 12,7-мм пулемёт конструкции Дегтярёва. Данных об испытании этой машины нет. Предлагалось вооружить И-5 45-мм полуавтоматической пушкой, но, по-видимому, даже проекта такого варианта не существовало (11997).</w:t>
      </w:r>
    </w:p>
    <w:p w14:paraId="2ECEA1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81AEF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сентября 1931 в Чувашии не вышел из штопора ПЗЛ 19, пилотируемый Ю.Левонецким (542,4).</w:t>
      </w:r>
    </w:p>
    <w:p w14:paraId="4C6ACD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85193BA"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2C9D213C"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310CC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сентября 1931 г. в письме Каганович информирует Сталина: «Выяснилось, что 80-90% заказов для Челябстроя можно разместить в Англии» (11598).</w:t>
      </w:r>
    </w:p>
    <w:p w14:paraId="567E11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D6357E2" w14:textId="77777777" w:rsidR="003E28CB" w:rsidRPr="005E779E" w:rsidRDefault="003E28C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11 сентября 1931 г. Постановлением Президиума ВСНХ (№ 640) «родился» «Союзалюминий». В 1932 году «на свет» появился институт «Гипроалюминий» - предок всемирно известного Всесоюзного алюминиево-магниевого института (ВАМИ). </w:t>
      </w:r>
    </w:p>
    <w:p w14:paraId="272F447B" w14:textId="77777777" w:rsidR="003E28CB" w:rsidRPr="005E779E" w:rsidRDefault="003E28C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Первая партия алюминия получена 14 мая 1932 года на Волховском алюминиевом заводе. 14 сентября здесь же получен первый российский глинозем. В июле 1933 года «пущен в строй» Днепровский алюминиевый завод. </w:t>
      </w:r>
    </w:p>
    <w:p w14:paraId="5B62F22E" w14:textId="77777777" w:rsidR="003E28CB" w:rsidRPr="005E779E" w:rsidRDefault="003E28C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Развитие алюминиевого производства органично вписывалось в план ГОЭЛРО, по которому создавалась энергетическая база для превращения России в крупную индустриальную державу. Без алюминия, как основного металла для электротехники, невозможна была реализация плана ГОЭЛРО, а без его реализации создание энергоемкого алюминиевого производства. </w:t>
      </w:r>
    </w:p>
    <w:p w14:paraId="7DF1C432" w14:textId="77777777" w:rsidR="003E28CB" w:rsidRPr="005E779E" w:rsidRDefault="003E28C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Уже в эти годы закладывались основные принципы создания российской алюминиевой промышленности – строительство алюминиевых предприятий в непосредственной близости от энергомощностей, работающих на наименее затратной, экологически чисто и возобновляемой гидроэнергии. </w:t>
      </w:r>
    </w:p>
    <w:p w14:paraId="3F00AB2C" w14:textId="77777777" w:rsidR="003E28CB" w:rsidRPr="005E779E" w:rsidRDefault="003E28C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Наиболее полную практическую реализацию эти принципы получили в годы, когда Правительство СССР возглавлял А.Н.Косыгин. Именно тогда алюминиевая промышленность стала развиваться в Сибири на базе крупнейших в мире гидростанций. </w:t>
      </w:r>
    </w:p>
    <w:p w14:paraId="17B39E50" w14:textId="77777777" w:rsidR="003E28CB" w:rsidRPr="005E779E" w:rsidRDefault="003E28C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годы Великой Отечественной войны проблема обеспечения алюминием советской авиации стала особенно острой, так как в самом начале войны страна лишилась производителей алюминия – Волховского и Днепровского алюминиевых заводов. </w:t>
      </w:r>
    </w:p>
    <w:p w14:paraId="60CD290B" w14:textId="77777777" w:rsidR="003E28CB" w:rsidRPr="005E779E" w:rsidRDefault="003E28C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Государство приняло экстренные меры по перемещению алюминиевого производства на Урал и в Сибирь. При строительстве Богословского и Новокузнецкого алюминиевых заводов, которое велось ускоренными темпами и было завершено в годы войны, использовалось оборудование, вывезенное с Бокситогорского, Волховского и Днепровского заводов. </w:t>
      </w:r>
    </w:p>
    <w:p w14:paraId="39AC7DDD" w14:textId="77777777" w:rsidR="003E28CB" w:rsidRPr="005E779E" w:rsidRDefault="003E28C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военные годы было произведено 350 тыс.т алюминия и 755 тыс.т глинозема. С первых же дней войны на Уральском алюминиевом заводе (УАЗ) было организовано производство кремния и силумина. Таким образом, страна получила значительное количество алюминия для авиастроения. И это обстоятельство стало одним из решающих факторов в достижении Великой Победы (12272).</w:t>
      </w:r>
    </w:p>
    <w:p w14:paraId="29654C39" w14:textId="77777777" w:rsidR="003E28CB" w:rsidRPr="005E779E" w:rsidRDefault="003E28CB" w:rsidP="000B7A6C">
      <w:pPr>
        <w:spacing w:after="0" w:line="240" w:lineRule="auto"/>
        <w:jc w:val="both"/>
        <w:rPr>
          <w:rFonts w:ascii="Times New Roman" w:hAnsi="Times New Roman"/>
          <w:color w:val="000000" w:themeColor="text1"/>
          <w:sz w:val="16"/>
          <w:szCs w:val="16"/>
        </w:rPr>
      </w:pPr>
    </w:p>
    <w:p w14:paraId="2E29DE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сентября 1931 г. было выдано оперативно-тактическое задание на морской охотник, который в мирное время должен был бороться с нарушителями морских границ страны, а в военное — с подводными лодками, не допуская их в прилегающие к военно-морским базам районы. Предполагалось, что 80-тонные 24-узловые деревянные "еди</w:t>
      </w:r>
      <w:r w:rsidRPr="005E779E">
        <w:rPr>
          <w:rFonts w:ascii="Times New Roman" w:hAnsi="Times New Roman"/>
          <w:color w:val="000000" w:themeColor="text1"/>
          <w:sz w:val="16"/>
          <w:szCs w:val="16"/>
        </w:rPr>
        <w:softHyphen/>
        <w:t>ные" катера будут строиться на судостроительных мощностях ОГПУ для обоих заказчиков. Их вооружение в военное время долж</w:t>
      </w:r>
      <w:r w:rsidRPr="005E779E">
        <w:rPr>
          <w:rFonts w:ascii="Times New Roman" w:hAnsi="Times New Roman"/>
          <w:color w:val="000000" w:themeColor="text1"/>
          <w:sz w:val="16"/>
          <w:szCs w:val="16"/>
        </w:rPr>
        <w:softHyphen/>
        <w:t>но было состоять из 76- и 45-мм пушек, двух пулеметов, 16 глу</w:t>
      </w:r>
      <w:r w:rsidRPr="005E779E">
        <w:rPr>
          <w:rFonts w:ascii="Times New Roman" w:hAnsi="Times New Roman"/>
          <w:color w:val="000000" w:themeColor="text1"/>
          <w:sz w:val="16"/>
          <w:szCs w:val="16"/>
        </w:rPr>
        <w:softHyphen/>
        <w:t>бинных бомб и буксируемого гидрофона (3898).</w:t>
      </w:r>
    </w:p>
    <w:p w14:paraId="174507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E3DB8A7"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30E1C1E0"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FD774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сентября 1931 АНТ-9 вместе с тремя Р-3 бомбил басмачей у озера Джамала. На подфюзеляжных балках нес 10 8 кг бомб (10542,28).</w:t>
      </w:r>
    </w:p>
    <w:p w14:paraId="67A619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A248F7C" w14:textId="02A6AD2C"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Внешняя политика</w:t>
      </w:r>
      <w:r w:rsidR="005C4849" w:rsidRPr="005E779E">
        <w:rPr>
          <w:rFonts w:ascii="Times New Roman" w:hAnsi="Times New Roman"/>
          <w:iCs/>
          <w:color w:val="000000" w:themeColor="text1"/>
          <w:sz w:val="16"/>
          <w:szCs w:val="16"/>
        </w:rPr>
        <w:t>:</w:t>
      </w:r>
    </w:p>
    <w:p w14:paraId="17A167F5"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61DE8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Между 11 и 18 сентября 1931. Из протокола заседания Политбюро № 58, 1931 г.</w:t>
      </w:r>
    </w:p>
    <w:p w14:paraId="647380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Директива тов. Левенсону </w:t>
      </w:r>
    </w:p>
    <w:p w14:paraId="3E0BDD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Согласиться с предложенным тов. Розенгольцем проектом директивы тов. Левенсону: </w:t>
      </w:r>
    </w:p>
    <w:p w14:paraId="683BB2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беседе с Муссолини подчеркните: </w:t>
      </w:r>
    </w:p>
    <w:p w14:paraId="554B73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 Мы успешно развиваем наши закупки Италии и являемся единственной страной, куда Италия в текущем году увеличила свой экспорт по сравнению прошлым годом, хотя ее экспорт в другие страны значительно сократился. Намекните на возможность дальнейшего расширения закупок в Италии при установлении благоприятного отношения к нашему экспорту. </w:t>
      </w:r>
    </w:p>
    <w:p w14:paraId="4A9DD3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 Вопреки заявлениям Италпра о благожелательном отношении к нашему экспорту итальянский рынок фактически закрыт для нашей пшеницы, повышены пошлины на мясопродукты, поднимается кампания против нашего леса, хотя мы не конкурируем с местной промышленностью. </w:t>
      </w:r>
    </w:p>
    <w:p w14:paraId="23D7F8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Необходимо для дальнейшего выгодного обеим странам расширения торговых отношений предоставить нам генеральное наибольшее благоприятствование, создать условия, обеспечивающие сбыт Италии нашей пшеницы, ликвидировать препятствия на пути развития нашего нефтяного экспорта, в частности утвердить договор с "Аджипом" с учетом поправок, сообщенных Нефтеэкспортом, прекратить кампанию против нашего леса" (11652).</w:t>
      </w:r>
    </w:p>
    <w:p w14:paraId="2F7091D0" w14:textId="2ABACD95"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B6D9C2D" w14:textId="4A6B165D" w:rsidR="00295B66" w:rsidRPr="005E779E" w:rsidRDefault="00295B66" w:rsidP="000B7A6C">
      <w:pPr>
        <w:autoSpaceDE w:val="0"/>
        <w:autoSpaceDN w:val="0"/>
        <w:adjustRightInd w:val="0"/>
        <w:spacing w:after="0" w:line="240" w:lineRule="auto"/>
        <w:jc w:val="both"/>
        <w:rPr>
          <w:rFonts w:ascii="Times New Roman" w:hAnsi="Times New Roman"/>
          <w:i/>
          <w:iCs/>
          <w:color w:val="000000" w:themeColor="text1"/>
          <w:sz w:val="16"/>
          <w:szCs w:val="16"/>
        </w:rPr>
      </w:pPr>
      <w:r w:rsidRPr="005E779E">
        <w:rPr>
          <w:rFonts w:ascii="Times New Roman" w:hAnsi="Times New Roman"/>
          <w:i/>
          <w:iCs/>
          <w:color w:val="000000" w:themeColor="text1"/>
          <w:sz w:val="16"/>
          <w:szCs w:val="16"/>
        </w:rPr>
        <w:t>За рубежом:</w:t>
      </w:r>
    </w:p>
    <w:p w14:paraId="769E2D56" w14:textId="77777777" w:rsidR="00295B66" w:rsidRPr="005E779E" w:rsidRDefault="00295B66" w:rsidP="000B7A6C">
      <w:pPr>
        <w:autoSpaceDE w:val="0"/>
        <w:autoSpaceDN w:val="0"/>
        <w:adjustRightInd w:val="0"/>
        <w:spacing w:after="0" w:line="240" w:lineRule="auto"/>
        <w:jc w:val="both"/>
        <w:rPr>
          <w:rFonts w:ascii="Times New Roman" w:hAnsi="Times New Roman"/>
          <w:i/>
          <w:iCs/>
          <w:color w:val="000000" w:themeColor="text1"/>
          <w:sz w:val="16"/>
          <w:szCs w:val="16"/>
        </w:rPr>
      </w:pPr>
    </w:p>
    <w:p w14:paraId="055D6AB6" w14:textId="77777777" w:rsidR="00295B66" w:rsidRPr="005E779E" w:rsidRDefault="00295B66" w:rsidP="000B7A6C">
      <w:pPr>
        <w:spacing w:after="0" w:line="240" w:lineRule="auto"/>
        <w:jc w:val="both"/>
        <w:rPr>
          <w:rFonts w:ascii="Times New Roman" w:hAnsi="Times New Roman"/>
          <w:color w:val="000000" w:themeColor="text1"/>
          <w:sz w:val="16"/>
          <w:szCs w:val="16"/>
          <w:shd w:val="clear" w:color="auto" w:fill="FFFFFF"/>
        </w:rPr>
      </w:pPr>
      <w:r w:rsidRPr="005E779E">
        <w:rPr>
          <w:rFonts w:ascii="Times New Roman" w:hAnsi="Times New Roman"/>
          <w:color w:val="000000" w:themeColor="text1"/>
          <w:sz w:val="16"/>
          <w:szCs w:val="16"/>
          <w:shd w:val="clear" w:color="auto" w:fill="FFFFFF"/>
        </w:rPr>
        <w:t>11 сентября 1931 новый «Девуатин» D.33 «Trait d'Union II» вылетел из Ле-Бурже в восточном направлении. Около 4000 км полет проходил нормально, но над Уральскими горами погода испортилась, появились плотная облачность, а двигатель самолета стал вибрировать и терять мощность. Вскоре вибрация опасно увеличилась. Можно предположить, что в результате вибрации произошло разрушение конструкции. Самолет стал неуправляемым и Доре приказал экипажу покинуть самолет, затем выпрыгнул сам. Марсель Доре приземлился в нескольких метрах от обломков самолета. Ле Бри же и Месмин, по какой-то причине, остались на борту и погибли (21438).</w:t>
      </w:r>
    </w:p>
    <w:p w14:paraId="6BD3784B" w14:textId="77777777" w:rsidR="00295B66" w:rsidRPr="005E779E" w:rsidRDefault="00295B66" w:rsidP="000B7A6C">
      <w:pPr>
        <w:spacing w:after="0" w:line="240" w:lineRule="auto"/>
        <w:jc w:val="both"/>
        <w:rPr>
          <w:rFonts w:ascii="Times New Roman" w:hAnsi="Times New Roman"/>
          <w:color w:val="000000" w:themeColor="text1"/>
          <w:sz w:val="16"/>
          <w:szCs w:val="16"/>
          <w:shd w:val="clear" w:color="auto" w:fill="FFFFFF"/>
        </w:rPr>
      </w:pPr>
    </w:p>
    <w:p w14:paraId="3649E57D" w14:textId="77777777" w:rsidR="003E00E3" w:rsidRPr="00142305" w:rsidRDefault="003E00E3" w:rsidP="003E00E3">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 xml:space="preserve">11 сентября 1931 г. второй экземпляр «Девуатин </w:t>
      </w:r>
      <w:r w:rsidRPr="00142305">
        <w:rPr>
          <w:rStyle w:val="aff0"/>
          <w:rFonts w:ascii="Times New Roman" w:hAnsi="Times New Roman" w:cs="Times New Roman"/>
          <w:color w:val="0070C0"/>
          <w:spacing w:val="0"/>
          <w:sz w:val="16"/>
          <w:szCs w:val="16"/>
          <w:lang w:val="en-US"/>
        </w:rPr>
        <w:t>D</w:t>
      </w:r>
      <w:r w:rsidRPr="00142305">
        <w:rPr>
          <w:rStyle w:val="aff0"/>
          <w:rFonts w:ascii="Times New Roman" w:hAnsi="Times New Roman" w:cs="Times New Roman"/>
          <w:color w:val="0070C0"/>
          <w:spacing w:val="0"/>
          <w:sz w:val="16"/>
          <w:szCs w:val="16"/>
        </w:rPr>
        <w:t>.33-02», постройка которо</w:t>
      </w:r>
      <w:r w:rsidRPr="00142305">
        <w:rPr>
          <w:rStyle w:val="aff0"/>
          <w:rFonts w:ascii="Times New Roman" w:hAnsi="Times New Roman" w:cs="Times New Roman"/>
          <w:color w:val="0070C0"/>
          <w:spacing w:val="0"/>
          <w:sz w:val="16"/>
          <w:szCs w:val="16"/>
        </w:rPr>
        <w:softHyphen/>
        <w:t>го завершилась 2 апреля 1931 г. в Тулузе и который был оснащен двига</w:t>
      </w:r>
      <w:r w:rsidRPr="00142305">
        <w:rPr>
          <w:rStyle w:val="aff0"/>
          <w:rFonts w:ascii="Times New Roman" w:hAnsi="Times New Roman" w:cs="Times New Roman"/>
          <w:color w:val="0070C0"/>
          <w:spacing w:val="0"/>
          <w:sz w:val="16"/>
          <w:szCs w:val="16"/>
        </w:rPr>
        <w:softHyphen/>
        <w:t xml:space="preserve">телем «Испано-Сюиза» 12 </w:t>
      </w:r>
      <w:r w:rsidRPr="00142305">
        <w:rPr>
          <w:rStyle w:val="aff0"/>
          <w:rFonts w:ascii="Times New Roman" w:hAnsi="Times New Roman" w:cs="Times New Roman"/>
          <w:color w:val="0070C0"/>
          <w:spacing w:val="0"/>
          <w:sz w:val="16"/>
          <w:szCs w:val="16"/>
          <w:lang w:val="en-US"/>
        </w:rPr>
        <w:t>Nbr</w:t>
      </w:r>
      <w:r w:rsidRPr="00142305">
        <w:rPr>
          <w:rStyle w:val="aff0"/>
          <w:rFonts w:ascii="Times New Roman" w:hAnsi="Times New Roman" w:cs="Times New Roman"/>
          <w:color w:val="0070C0"/>
          <w:spacing w:val="0"/>
          <w:sz w:val="16"/>
          <w:szCs w:val="16"/>
        </w:rPr>
        <w:t xml:space="preserve"> с трехлопастным винтом «Ратье», с тем же экипажем из М. Дорэ и Ле Бри повторил попытку связать воздушным мостом Париж и Токио. 12 сентября, спустя 22 часа с момента взлета, в сложнейших метеоусловиях, летчики потеряли контроль над управлением и приняли решение покинуть самолет. На этот раз парашютом воспользовался Доре. Ле Бри и Мес</w:t>
      </w:r>
      <w:r w:rsidRPr="00142305">
        <w:rPr>
          <w:rStyle w:val="aff0"/>
          <w:rFonts w:ascii="Times New Roman" w:hAnsi="Times New Roman" w:cs="Times New Roman"/>
          <w:color w:val="0070C0"/>
          <w:spacing w:val="0"/>
          <w:sz w:val="16"/>
          <w:szCs w:val="16"/>
        </w:rPr>
        <w:softHyphen/>
        <w:t>мин погибли под обломками самолета, упавшего недалеко от Уфы. Вот так закончилась французская эпопея с рекордными самолетами. Но результат все же был — рекорд они все же поставили (25675).</w:t>
      </w:r>
    </w:p>
    <w:p w14:paraId="4BF5B11E" w14:textId="77777777" w:rsidR="003E00E3" w:rsidRPr="00142305" w:rsidRDefault="003E00E3" w:rsidP="003E00E3">
      <w:pPr>
        <w:spacing w:after="0" w:line="240" w:lineRule="auto"/>
        <w:jc w:val="both"/>
        <w:rPr>
          <w:rFonts w:ascii="Times New Roman" w:hAnsi="Times New Roman"/>
          <w:color w:val="0070C0"/>
          <w:sz w:val="16"/>
          <w:szCs w:val="16"/>
        </w:rPr>
      </w:pPr>
    </w:p>
    <w:p w14:paraId="0C969B07"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08C61371"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1E49C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сентября 1931 года и.о. начальника ВАО Баранов писал письмо N 1с/5522с председателю СТО.</w:t>
      </w:r>
    </w:p>
    <w:p w14:paraId="2A6270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основании постановления СТО от 25 июля с.г. на завод N 39 возложена постройка серии тяжелых бомбардировщиков ТБ-5.</w:t>
      </w:r>
    </w:p>
    <w:p w14:paraId="1D7CEA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(Письмо о невозможности постройки этих самолетов на заводе N 39 в 1931 году и перенесении на 1932 год) (3217,268).</w:t>
      </w:r>
    </w:p>
    <w:p w14:paraId="5C4337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9B6F4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сентября 1931 второй рекордный Девуатин Д-33 "Le Trait d'Union" вылетел из Парижа и 12 разбился недалеко от Уфы. Погибли все (542,4).</w:t>
      </w:r>
    </w:p>
    <w:p w14:paraId="1ABFD8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CE43A38" w14:textId="77777777" w:rsidR="003740E0" w:rsidRPr="005E779E" w:rsidRDefault="003740E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сентября 1931 г. близ Уфы потерпел катастрофу французский самолет Девуатин -"Тредюнион", совершавший беспосадочный перелет из Парижа в Токио. Самолетом управляли известные летчики-спортсмены Марсель Доре и Жозеф ле-Бри, пытавшиеся совершить такой же перелет два месяца назад. Катастрофа произошла на 23-м часу полета вследствие поломки мотора и вынужденной посадки в тумане и дожде. Доре спасся на парашюте, а ле-Бри и механик Рене Мисмон не успели выброситься и погибли. Местные власти немедленно прибыли на место катастрофы и оказали необходимую помощь оставшемуся в живых.</w:t>
      </w:r>
    </w:p>
    <w:p w14:paraId="4A9A30F0" w14:textId="77777777" w:rsidR="003740E0" w:rsidRPr="005E779E" w:rsidRDefault="003740E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Так печально закончилась вторая попытка отважных летчиков перелететь из Парижа в Токио. Перелет был организован парфюмерных фабрикантом Франсуа Коти.</w:t>
      </w:r>
    </w:p>
    <w:p w14:paraId="185442AD" w14:textId="77777777" w:rsidR="003740E0" w:rsidRPr="005E779E" w:rsidRDefault="003740E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/«Известия ЦИК СССР» за 13 сентября и др. 1931 г./ (23370).</w:t>
      </w:r>
    </w:p>
    <w:p w14:paraId="738EB85E" w14:textId="77777777" w:rsidR="003740E0" w:rsidRPr="005E779E" w:rsidRDefault="003740E0" w:rsidP="000B7A6C">
      <w:pPr>
        <w:spacing w:after="0" w:line="240" w:lineRule="auto"/>
        <w:jc w:val="both"/>
        <w:rPr>
          <w:rFonts w:ascii="Times New Roman" w:hAnsi="Times New Roman"/>
          <w:color w:val="000000" w:themeColor="text1"/>
          <w:sz w:val="16"/>
          <w:szCs w:val="16"/>
        </w:rPr>
      </w:pPr>
    </w:p>
    <w:p w14:paraId="4CEECE47"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006C64A5"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95DC2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12 сентября 1931 г. по 15 декабря 1931 г. первая 76-мм система МПК, которая прибыла на НИАП без мотоцикла, была испытана 109 выстрелами зарядом 0,95 кг ленточного пороха ПКО. Снаряды: бронебойный весом 3,5 кг и осколочный весом 4,575 кг с 22-секундной трубкой.</w:t>
      </w:r>
    </w:p>
    <w:p w14:paraId="7CEEB6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ходе испытаний на НИАПе выяснилось, что максимальный угол стрельбы с мотоцикла составлял +37°40?. При стрельбе бронебойным снарядом весом 3,5 кг 40-мм цементированная броневая плита с расстояния 1000 м по нормали не пробивалась, 30-мм цементированная плита с расстояния 1000 м проламывалась при целом снаряде.</w:t>
      </w:r>
    </w:p>
    <w:p w14:paraId="6CD297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76-мм МПК проходила войсковые испытания в июле 1932 г. в московской Пролетарской стрелковой дивизии и 4-й кавалерийской дивизии. Результаты удовлетворительные. Пушка при выстреле подпрыгивала. Затвор заедал вследствие неполного сгорания пороха.</w:t>
      </w:r>
    </w:p>
    <w:p w14:paraId="660188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вооружение система не принята ввиду малой проходимости мотоцикла. («Харлей Давидсон» проектировался как полицейский мотоцикл с мощным двигателем, но обладал малой проходимостью.)</w:t>
      </w:r>
    </w:p>
    <w:p w14:paraId="63EEF7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1932 г. заводу № 7 выдали заказ на 25 МПК. В 1932 г. было изготовлено 22 МПК, а сдано 14. Больше заказы на МПК не выдавались (12091).</w:t>
      </w:r>
    </w:p>
    <w:p w14:paraId="618A05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6EF7E97" w14:textId="77777777" w:rsidR="000F3BEF" w:rsidRPr="005E779E" w:rsidRDefault="000F3BE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сентябряв 1931 году на основании постановления Высшего Совета народного хозяйства СССР 10 сентября начато строительство завода «Красный сигналист» (ныне ОАО "Электросигнал" город Воронеж). В 1932 г. выпущена первая продукция –железнодорожные клеммы СЦБ, поршни и поршневые кольца для автомобильной промышленности. В 1933 г. завод переименован в «Электросигнал». Получено задание на выпуск первых детекторных приёмников «П – 8», батарейных «БИ-234», сетевых «СИ-234». В 1940 г. Выпущено 100000 радиоприёмников «СР-1», 20000 радиоприёмников «4ДН-6» и 4000 радиоприёмников «СПБ». В 1941 - 1944 гг. Завод эвакуирован в город Новосибирск. За выпуск продукции для нужд фронта: радиостанций РБМ, РСИ – 6МУ, УС – 3С завод награждён орденом Ленина. В 1943 г. Начато восстановление завода «Электросигнал» в Воронеже. Начато освоение и производство радиоприёмников «Родина» и «ЭЛС». В 1949 г. Разработана и освоена в производстве радиостанция «Плахпет». В 1953 г. Освоен выпуск первых в стране телевизоров «КВН – 49» и комплексов народнохозяйственных радиостанций «АРС» и «ЦРС». В 1962 - 1980 гг.Освоен выпуск радиостанций сухопутного звена управления Вооружённых Сил Р-105, Р-107, Р-159, Р-111, Р-171 и другие. В 1966 г. Начато производство чёрно – белых телевизоров «Рекорд». В 1966 г. Завод награжден орденом Ленина. В 1970 - 1980 гг.Начато производство комплексов правительственных средств связи и радиостанций «Роща», «Вулкан», «Вьюн» и другие. В 1972 - 1979 гг.Освоено производство комплексов радиосвязи народно-хозяйственного назначения в составе изделий «Алтай», «Эстакада», «Лён», «Маяк». В 1977 г. Создано производственное объединение «Электросигнал». В 1983 г. Освоен выпуск цветных телевизоров «Рекорд – ВЦ- 311». Начато производство комплекса средств связи «Арбалет». В 1993 г. Предприятие преобразуется в акционерное общество. Собрана первая партия радиотелефонной системы «Волемот» и транкового комплекса «Акватория». В 1998 г. Освоен выпуск локомотивных двух диапазонных радиостанций «Транспорт РВ-1.1М» для нужд МПС. Начат выпуск КШМ и КМ для войск связи МО Российской Федерации. В 1999 г. Освоен выпуск носимых средств связи КВ диапазона комплекса связи «Арбалет» и устройств речепреобразования. В 2002 г. Освоен выпуск комплекса радиостанций «ВЭЛС» промышленно – технического назначения. В 2003 г. Начато производство комплекса связи «Акведук» КВ и УКВ диапазонов в составе- стационарных, возимых и носимых радиостанций.</w:t>
      </w:r>
    </w:p>
    <w:p w14:paraId="2CD81E4E" w14:textId="77777777" w:rsidR="000F3BEF" w:rsidRPr="005E779E" w:rsidRDefault="000F3BE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сентябряв 1934 году Латвия, Литва и Эстония образовали политический союз. Подписанный в Женеве договор вошел в историю под именем Балтийской Антанты (14767).</w:t>
      </w:r>
    </w:p>
    <w:p w14:paraId="7A0F59B1" w14:textId="77777777" w:rsidR="000F3BEF" w:rsidRPr="005E779E" w:rsidRDefault="000F3BEF" w:rsidP="000B7A6C">
      <w:pPr>
        <w:spacing w:after="0" w:line="240" w:lineRule="auto"/>
        <w:jc w:val="both"/>
        <w:rPr>
          <w:rFonts w:ascii="Times New Roman" w:hAnsi="Times New Roman"/>
          <w:color w:val="000000" w:themeColor="text1"/>
          <w:sz w:val="16"/>
          <w:szCs w:val="16"/>
        </w:rPr>
      </w:pPr>
    </w:p>
    <w:p w14:paraId="39F0E6D1" w14:textId="77777777" w:rsidR="004C3F6D" w:rsidRPr="005E779E" w:rsidRDefault="004C3F6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сентября 1931 г.</w:t>
      </w:r>
    </w:p>
    <w:p w14:paraId="69D3C228" w14:textId="77777777" w:rsidR="004C3F6D" w:rsidRPr="005E779E" w:rsidRDefault="004C3F6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Докладная записка Л. К. Рамзина начальнику Технического отделения ЭКУ ОГПУ А. Г. Горянову о мерах по организации работы ОКБ № 11. 12 сентября 1931 г.</w:t>
      </w:r>
    </w:p>
    <w:p w14:paraId="7BCC5763" w14:textId="77777777" w:rsidR="004C3F6D" w:rsidRPr="005E779E" w:rsidRDefault="004C3F6D"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Источник: </w:t>
      </w:r>
    </w:p>
    <w:p w14:paraId="69416F84" w14:textId="77777777" w:rsidR="004C3F6D" w:rsidRPr="005E779E" w:rsidRDefault="004C3F6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E601337" w14:textId="77777777" w:rsidR="004C3F6D" w:rsidRPr="005E779E" w:rsidRDefault="004C3F6D"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Архив: </w:t>
      </w:r>
    </w:p>
    <w:p w14:paraId="16CDECEA" w14:textId="77777777" w:rsidR="004C3F6D" w:rsidRPr="005E779E" w:rsidRDefault="004C3F6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РГАЭ. Ф. 38. Oп. 1. Д. 69. Л. 1-3</w:t>
      </w:r>
    </w:p>
    <w:p w14:paraId="75068EDE" w14:textId="77777777" w:rsidR="004C3F6D" w:rsidRPr="005E779E" w:rsidRDefault="004C3F6D" w:rsidP="000B7A6C">
      <w:pPr>
        <w:pStyle w:val="rteright"/>
        <w:spacing w:before="0" w:after="0"/>
        <w:jc w:val="both"/>
        <w:rPr>
          <w:color w:val="000000" w:themeColor="text1"/>
          <w:sz w:val="16"/>
          <w:szCs w:val="16"/>
        </w:rPr>
      </w:pPr>
      <w:r w:rsidRPr="005E779E">
        <w:rPr>
          <w:color w:val="000000" w:themeColor="text1"/>
          <w:sz w:val="16"/>
          <w:szCs w:val="16"/>
        </w:rPr>
        <w:t>12 сентября 1931 г.</w:t>
      </w:r>
    </w:p>
    <w:p w14:paraId="17A3CDE4" w14:textId="77777777" w:rsidR="004C3F6D" w:rsidRPr="005E779E" w:rsidRDefault="004C3F6D" w:rsidP="000B7A6C">
      <w:pPr>
        <w:pStyle w:val="rtecenter"/>
        <w:spacing w:before="0" w:after="0"/>
        <w:jc w:val="both"/>
        <w:rPr>
          <w:color w:val="000000" w:themeColor="text1"/>
          <w:sz w:val="16"/>
          <w:szCs w:val="16"/>
        </w:rPr>
      </w:pPr>
      <w:r w:rsidRPr="005E779E">
        <w:rPr>
          <w:color w:val="000000" w:themeColor="text1"/>
          <w:sz w:val="16"/>
          <w:szCs w:val="16"/>
        </w:rPr>
        <w:t>Начальнику Технического Отделения ЭКУ ОГПУ</w:t>
      </w:r>
    </w:p>
    <w:p w14:paraId="021E6565" w14:textId="77777777" w:rsidR="004C3F6D" w:rsidRPr="005E779E" w:rsidRDefault="004C3F6D" w:rsidP="000B7A6C">
      <w:pPr>
        <w:pStyle w:val="rtecenter"/>
        <w:spacing w:before="0" w:after="0"/>
        <w:jc w:val="both"/>
        <w:rPr>
          <w:color w:val="000000" w:themeColor="text1"/>
          <w:sz w:val="16"/>
          <w:szCs w:val="16"/>
        </w:rPr>
      </w:pPr>
      <w:r w:rsidRPr="005E779E">
        <w:rPr>
          <w:color w:val="000000" w:themeColor="text1"/>
          <w:sz w:val="16"/>
          <w:szCs w:val="16"/>
        </w:rPr>
        <w:t>тов. А. Г. Горянову</w:t>
      </w:r>
    </w:p>
    <w:p w14:paraId="632484B1" w14:textId="77777777" w:rsidR="004C3F6D" w:rsidRPr="005E779E" w:rsidRDefault="004C3F6D" w:rsidP="000B7A6C">
      <w:pPr>
        <w:pStyle w:val="ae"/>
        <w:spacing w:before="0" w:after="0"/>
        <w:jc w:val="both"/>
        <w:rPr>
          <w:color w:val="000000" w:themeColor="text1"/>
          <w:sz w:val="16"/>
          <w:szCs w:val="16"/>
        </w:rPr>
      </w:pPr>
      <w:r w:rsidRPr="005E779E">
        <w:rPr>
          <w:color w:val="000000" w:themeColor="text1"/>
          <w:sz w:val="16"/>
          <w:szCs w:val="16"/>
        </w:rPr>
        <w:lastRenderedPageBreak/>
        <w:t>от Л. К. Рамзина</w:t>
      </w:r>
    </w:p>
    <w:p w14:paraId="0B037291" w14:textId="77777777" w:rsidR="004C3F6D" w:rsidRPr="005E779E" w:rsidRDefault="004C3F6D" w:rsidP="000B7A6C">
      <w:pPr>
        <w:pStyle w:val="rtejustify"/>
        <w:spacing w:before="0" w:after="0"/>
        <w:rPr>
          <w:color w:val="000000" w:themeColor="text1"/>
          <w:sz w:val="16"/>
          <w:szCs w:val="16"/>
        </w:rPr>
      </w:pPr>
      <w:r w:rsidRPr="005E779E">
        <w:rPr>
          <w:color w:val="000000" w:themeColor="text1"/>
          <w:sz w:val="16"/>
          <w:szCs w:val="16"/>
        </w:rPr>
        <w:t>Согласно утвержденного Вами плана работ нашего ОКБ №11, а также ввиду обращения Всесоюзного Теплотехнического Института, мы должны немедленно приступить к проектированию, а затем и к постройке промышленного прямоточного (безбарабанного) котла сверхвысокого давления, моей системы.</w:t>
      </w:r>
    </w:p>
    <w:p w14:paraId="1E4EDD40" w14:textId="77777777" w:rsidR="004C3F6D" w:rsidRPr="005E779E" w:rsidRDefault="004C3F6D" w:rsidP="000B7A6C">
      <w:pPr>
        <w:pStyle w:val="rtejustify"/>
        <w:spacing w:before="0" w:after="0"/>
        <w:rPr>
          <w:color w:val="000000" w:themeColor="text1"/>
          <w:sz w:val="16"/>
          <w:szCs w:val="16"/>
        </w:rPr>
      </w:pPr>
      <w:r w:rsidRPr="005E779E">
        <w:rPr>
          <w:color w:val="000000" w:themeColor="text1"/>
          <w:sz w:val="16"/>
          <w:szCs w:val="16"/>
        </w:rPr>
        <w:t>Эта работа является крайне сложной и ответственной, благодаря[:]</w:t>
      </w:r>
    </w:p>
    <w:p w14:paraId="528A990B" w14:textId="77777777" w:rsidR="004C3F6D" w:rsidRPr="005E779E" w:rsidRDefault="004C3F6D" w:rsidP="000B7A6C">
      <w:pPr>
        <w:numPr>
          <w:ilvl w:val="0"/>
          <w:numId w:val="27"/>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полной новизне конструкции, ибо нигде в мире нет еще ни одного стационарного котла подобного типа;</w:t>
      </w:r>
    </w:p>
    <w:p w14:paraId="2A1E2F10" w14:textId="77777777" w:rsidR="004C3F6D" w:rsidRPr="005E779E" w:rsidRDefault="004C3F6D" w:rsidP="000B7A6C">
      <w:pPr>
        <w:numPr>
          <w:ilvl w:val="0"/>
          <w:numId w:val="27"/>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очень высокой мощности котла ок. 150 тн/час при давлении ок. 150 ат., так что проектируемый котел будет первым в мире по производительности, ибо для давлений в пределах 140-200 ат. нет еще ни одного котла столь высокой мощности;</w:t>
      </w:r>
    </w:p>
    <w:p w14:paraId="63003A26" w14:textId="77777777" w:rsidR="004C3F6D" w:rsidRPr="005E779E" w:rsidRDefault="004C3F6D" w:rsidP="000B7A6C">
      <w:pPr>
        <w:numPr>
          <w:ilvl w:val="0"/>
          <w:numId w:val="27"/>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необычной высоте перегрева пара;</w:t>
      </w:r>
    </w:p>
    <w:p w14:paraId="1AC3ACA2" w14:textId="77777777" w:rsidR="004C3F6D" w:rsidRPr="005E779E" w:rsidRDefault="004C3F6D" w:rsidP="000B7A6C">
      <w:pPr>
        <w:numPr>
          <w:ilvl w:val="0"/>
          <w:numId w:val="27"/>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полному отсутствию опыта у советских заводов, которые до сих пор еще не строили котлов на давление выше 35 ат.</w:t>
      </w:r>
    </w:p>
    <w:p w14:paraId="5FC27ABF" w14:textId="77777777" w:rsidR="004C3F6D" w:rsidRPr="005E779E" w:rsidRDefault="004C3F6D" w:rsidP="000B7A6C">
      <w:pPr>
        <w:numPr>
          <w:ilvl w:val="0"/>
          <w:numId w:val="27"/>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большой ответственностью работы, ибо котел предназначается для теплоцентрали Тепл[отехнического] Института, отнесенной Правительством к числу ударных строек:</w:t>
      </w:r>
    </w:p>
    <w:p w14:paraId="42EBDE8F" w14:textId="77777777" w:rsidR="004C3F6D" w:rsidRPr="005E779E" w:rsidRDefault="004C3F6D" w:rsidP="000B7A6C">
      <w:pPr>
        <w:numPr>
          <w:ilvl w:val="0"/>
          <w:numId w:val="27"/>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краткости и жесткости сроков для проектирования, постройки, установки и пуска котла, ибо Теплоинститут ставит требование пустить котел в работу 1.ХII.1932 года.</w:t>
      </w:r>
    </w:p>
    <w:p w14:paraId="6DC5E060" w14:textId="77777777" w:rsidR="004C3F6D" w:rsidRPr="005E779E" w:rsidRDefault="004C3F6D" w:rsidP="000B7A6C">
      <w:pPr>
        <w:pStyle w:val="rtejustify"/>
        <w:spacing w:before="0" w:after="0"/>
        <w:rPr>
          <w:color w:val="000000" w:themeColor="text1"/>
          <w:sz w:val="16"/>
          <w:szCs w:val="16"/>
        </w:rPr>
      </w:pPr>
      <w:r w:rsidRPr="005E779E">
        <w:rPr>
          <w:color w:val="000000" w:themeColor="text1"/>
          <w:sz w:val="16"/>
          <w:szCs w:val="16"/>
        </w:rPr>
        <w:t>При отмеченных обстоятельствах мы имеем моральное право взяться за эту работу только при полной уверенности в том, что мы сможем выполнить принимаемые на себя обязательства. В свою очередь, возможность успешного и своевременного выполнения этой работы целиком зависит от ее организации и от тех условий, в которых она будет производиться.</w:t>
      </w:r>
    </w:p>
    <w:p w14:paraId="5B3DA734" w14:textId="77777777" w:rsidR="004C3F6D" w:rsidRPr="005E779E" w:rsidRDefault="004C3F6D" w:rsidP="000B7A6C">
      <w:pPr>
        <w:pStyle w:val="rtejustify"/>
        <w:spacing w:before="0" w:after="0"/>
        <w:rPr>
          <w:color w:val="000000" w:themeColor="text1"/>
          <w:sz w:val="16"/>
          <w:szCs w:val="16"/>
        </w:rPr>
      </w:pPr>
      <w:r w:rsidRPr="005E779E">
        <w:rPr>
          <w:color w:val="000000" w:themeColor="text1"/>
          <w:sz w:val="16"/>
          <w:szCs w:val="16"/>
        </w:rPr>
        <w:t>Во избежание недоразумений и неприятностей для Технического Отделения ЭКУ ОГПУ я считаю своим долгом самым настойчивым образом указать, что при теперешних условиях работы нашего ОКБ № 11 выполнить эту работу совершенно невозможно, ибо истекший опыт работы по проектированию неизмеримо более простого опытного прямоточного котла моей системы показал, что несмотря на всю энергию Начальника ОКБ № 11 тов. Н. И. Наумина, на энергичную помощь тов. В. А. Беднякова и исключительное усердие сотрудников ОКБ № 11 работа подвигается крайне медленно, при чем и качество работы заметно страдает.</w:t>
      </w:r>
    </w:p>
    <w:p w14:paraId="6744581F" w14:textId="77777777" w:rsidR="004C3F6D" w:rsidRPr="005E779E" w:rsidRDefault="004C3F6D" w:rsidP="000B7A6C">
      <w:pPr>
        <w:pStyle w:val="rtejustify"/>
        <w:spacing w:before="0" w:after="0"/>
        <w:rPr>
          <w:color w:val="000000" w:themeColor="text1"/>
          <w:sz w:val="16"/>
          <w:szCs w:val="16"/>
        </w:rPr>
      </w:pPr>
      <w:r w:rsidRPr="005E779E">
        <w:rPr>
          <w:color w:val="000000" w:themeColor="text1"/>
          <w:sz w:val="16"/>
          <w:szCs w:val="16"/>
        </w:rPr>
        <w:t>Поэтому, если условия нашей работы не могут быть изменены в благоприятную сторону, от проектирования и постройки промышленного котла придется отказаться, дабы не вводить Теплотехнический Институт в заблуждение и не сорвать постройки его ударной теплоцентрали, ибо ответственность за этот срыв Институт с полным правом возложит тогда на Техническ[ое] Отделение ЭКУ ОГПУ.</w:t>
      </w:r>
    </w:p>
    <w:p w14:paraId="43F57C1F" w14:textId="77777777" w:rsidR="004C3F6D" w:rsidRPr="005E779E" w:rsidRDefault="004C3F6D" w:rsidP="000B7A6C">
      <w:pPr>
        <w:pStyle w:val="rtejustify"/>
        <w:spacing w:before="0" w:after="0"/>
        <w:rPr>
          <w:color w:val="000000" w:themeColor="text1"/>
          <w:sz w:val="16"/>
          <w:szCs w:val="16"/>
        </w:rPr>
      </w:pPr>
      <w:r w:rsidRPr="005E779E">
        <w:rPr>
          <w:color w:val="000000" w:themeColor="text1"/>
          <w:sz w:val="16"/>
          <w:szCs w:val="16"/>
        </w:rPr>
        <w:t>Наоборот, при благоприятной обстановке эту работу можно с успехом выполнить, при чем сроки ее окончания будут целиком зависеть от ее организации.</w:t>
      </w:r>
    </w:p>
    <w:p w14:paraId="3BA78974" w14:textId="77777777" w:rsidR="004C3F6D" w:rsidRPr="005E779E" w:rsidRDefault="004C3F6D" w:rsidP="000B7A6C">
      <w:pPr>
        <w:pStyle w:val="rtejustify"/>
        <w:spacing w:before="0" w:after="0"/>
        <w:rPr>
          <w:color w:val="000000" w:themeColor="text1"/>
          <w:sz w:val="16"/>
          <w:szCs w:val="16"/>
        </w:rPr>
      </w:pPr>
      <w:r w:rsidRPr="005E779E">
        <w:rPr>
          <w:color w:val="000000" w:themeColor="text1"/>
          <w:sz w:val="16"/>
          <w:szCs w:val="16"/>
        </w:rPr>
        <w:t>В числе основных условий, необходимых для успешного проектирования и постройки промышленного котла[,] надо указать на следующие:</w:t>
      </w:r>
    </w:p>
    <w:p w14:paraId="2550F8F7" w14:textId="77777777" w:rsidR="004C3F6D" w:rsidRPr="005E779E" w:rsidRDefault="004C3F6D" w:rsidP="000B7A6C">
      <w:pPr>
        <w:pStyle w:val="rtejustify"/>
        <w:spacing w:before="0" w:after="0"/>
        <w:rPr>
          <w:color w:val="000000" w:themeColor="text1"/>
          <w:sz w:val="16"/>
          <w:szCs w:val="16"/>
        </w:rPr>
      </w:pPr>
      <w:r w:rsidRPr="005E779E">
        <w:rPr>
          <w:color w:val="000000" w:themeColor="text1"/>
          <w:sz w:val="16"/>
          <w:szCs w:val="16"/>
        </w:rPr>
        <w:t>1. Надо точно установить обцсм наших работ и обязательств по отношению к Теплоинституту.</w:t>
      </w:r>
    </w:p>
    <w:p w14:paraId="2E6BDCB2" w14:textId="77777777" w:rsidR="004C3F6D" w:rsidRPr="005E779E" w:rsidRDefault="004C3F6D" w:rsidP="000B7A6C">
      <w:pPr>
        <w:pStyle w:val="rtejustify"/>
        <w:spacing w:before="0" w:after="0"/>
        <w:rPr>
          <w:color w:val="000000" w:themeColor="text1"/>
          <w:sz w:val="16"/>
          <w:szCs w:val="16"/>
        </w:rPr>
      </w:pPr>
      <w:r w:rsidRPr="005E779E">
        <w:rPr>
          <w:color w:val="000000" w:themeColor="text1"/>
          <w:sz w:val="16"/>
          <w:szCs w:val="16"/>
        </w:rPr>
        <w:t>2. Необходимо расширить состав нашего ОКБ №11 минимум на 5-6 человек высокой квалификации и немедленно приступить к их подбору из имеющихся у Вас кадров. При этом 4-5 сотрудников ОКБ № 11 должны обладать свободой передвижения для быстрых сношений с внешним миром.</w:t>
      </w:r>
    </w:p>
    <w:p w14:paraId="7AFE5EA5" w14:textId="77777777" w:rsidR="004C3F6D" w:rsidRPr="005E779E" w:rsidRDefault="004C3F6D" w:rsidP="000B7A6C">
      <w:pPr>
        <w:pStyle w:val="rtejustify"/>
        <w:spacing w:before="0" w:after="0"/>
        <w:rPr>
          <w:color w:val="000000" w:themeColor="text1"/>
          <w:sz w:val="16"/>
          <w:szCs w:val="16"/>
        </w:rPr>
      </w:pPr>
      <w:r w:rsidRPr="005E779E">
        <w:rPr>
          <w:color w:val="000000" w:themeColor="text1"/>
          <w:sz w:val="16"/>
          <w:szCs w:val="16"/>
        </w:rPr>
        <w:t>3. Необходимо иметь на заводе Парострой достаточное помещение для размещения всей рабочей группы и обеспечить мне возможность непосредственного и непрерывного руководства всей работой, переведя меня на завод Парострой для совместной работы со всей группой.</w:t>
      </w:r>
    </w:p>
    <w:p w14:paraId="0B81D2CF" w14:textId="77777777" w:rsidR="004C3F6D" w:rsidRPr="005E779E" w:rsidRDefault="004C3F6D" w:rsidP="000B7A6C">
      <w:pPr>
        <w:pStyle w:val="rtejustify"/>
        <w:spacing w:before="0" w:after="0"/>
        <w:rPr>
          <w:color w:val="000000" w:themeColor="text1"/>
          <w:sz w:val="16"/>
          <w:szCs w:val="16"/>
        </w:rPr>
      </w:pPr>
      <w:r w:rsidRPr="005E779E">
        <w:rPr>
          <w:color w:val="000000" w:themeColor="text1"/>
          <w:sz w:val="16"/>
          <w:szCs w:val="16"/>
        </w:rPr>
        <w:t>Ввиду крайней краткости сроков необходимо теперь же сконструировать группу и немедленно приступить к работе, ибо здесь дорог каждый день.</w:t>
      </w:r>
    </w:p>
    <w:p w14:paraId="0E811436" w14:textId="77777777" w:rsidR="004C3F6D" w:rsidRPr="005E779E" w:rsidRDefault="004C3F6D" w:rsidP="000B7A6C">
      <w:pPr>
        <w:pStyle w:val="rtejustify"/>
        <w:spacing w:before="0" w:after="0"/>
        <w:rPr>
          <w:color w:val="000000" w:themeColor="text1"/>
          <w:sz w:val="16"/>
          <w:szCs w:val="16"/>
        </w:rPr>
      </w:pPr>
      <w:r w:rsidRPr="005E779E">
        <w:rPr>
          <w:color w:val="000000" w:themeColor="text1"/>
          <w:sz w:val="16"/>
          <w:szCs w:val="16"/>
        </w:rPr>
        <w:t>4. Необходимо внести полную ясность в вопросы организации проектирования (выполнение рабочих чертежей, согласование и т. д.) и постройки котла, установив распределение и объем работы для отдельных учреждений и организаций, и в частности четкие взаимоотношения с Котлотурбиной, наметив жесткий план постройки и монтажа со сроками выполнения.</w:t>
      </w:r>
    </w:p>
    <w:p w14:paraId="08F11A43" w14:textId="77777777" w:rsidR="004C3F6D" w:rsidRPr="005E779E" w:rsidRDefault="004C3F6D" w:rsidP="000B7A6C">
      <w:pPr>
        <w:pStyle w:val="rtejustify"/>
        <w:spacing w:before="0" w:after="0"/>
        <w:rPr>
          <w:color w:val="000000" w:themeColor="text1"/>
          <w:sz w:val="16"/>
          <w:szCs w:val="16"/>
        </w:rPr>
      </w:pPr>
      <w:r w:rsidRPr="005E779E">
        <w:rPr>
          <w:color w:val="000000" w:themeColor="text1"/>
          <w:sz w:val="16"/>
          <w:szCs w:val="16"/>
        </w:rPr>
        <w:t>5. Необходимо обеспечить постоянную энергичную помощь со стороны ОГПУ в лице Вас и тов. ПРОКОФЬЕВА, в продвижении советских и заграничных заказов и других вопросах.</w:t>
      </w:r>
    </w:p>
    <w:p w14:paraId="24892A1F" w14:textId="77777777" w:rsidR="004C3F6D" w:rsidRPr="005E779E" w:rsidRDefault="004C3F6D" w:rsidP="000B7A6C">
      <w:pPr>
        <w:pStyle w:val="rtejustify"/>
        <w:spacing w:before="0" w:after="0"/>
        <w:rPr>
          <w:color w:val="000000" w:themeColor="text1"/>
          <w:sz w:val="16"/>
          <w:szCs w:val="16"/>
        </w:rPr>
      </w:pPr>
      <w:r w:rsidRPr="005E779E">
        <w:rPr>
          <w:color w:val="000000" w:themeColor="text1"/>
          <w:sz w:val="16"/>
          <w:szCs w:val="16"/>
        </w:rPr>
        <w:t>Одновременно прошу Вас внести облегчение и определенность в мой режим, и обеспечить мне хотя бы минимум спокойствия, необходимого для продуктивной работы, ибо при исключительной суровости моего режима, полной неопределенности и мучительной неизвестности моего положения я совершенно не могу составить плана своей работы и внести в нее нужную систему и порядок. Кроме того, совершенно измученный одиночным заключением, длящимся уже 2-й год, лишенный возможности продуктивно работать (ибо в теперешних условиях моя работоспособность используется лишь на 10-20 %), я с каждым днем утрачиваю свою квалификацию, все более теряю здоровье, энергию и душевное равновесие. Я держался до сих пор из последних моих сил, надеждой на облегчение моего положения и перевод на завод для работы; истерзанный многомесячным безплодным ожиданием, я доведен уже до полного отчаяния и скоро уже буду не в силах больше владеть собою. При таком душевном состоянии невозможно вести даже небольшую трафаретную работу, а тем более невозможно браться за столь ответственную работу, которая требует полного напряжения всех моих сил, знаний и способностей.</w:t>
      </w:r>
    </w:p>
    <w:p w14:paraId="3D21C06D" w14:textId="77777777" w:rsidR="004C3F6D" w:rsidRPr="005E779E" w:rsidRDefault="004C3F6D" w:rsidP="000B7A6C">
      <w:pPr>
        <w:pStyle w:val="rtejustify"/>
        <w:spacing w:before="0" w:after="0"/>
        <w:rPr>
          <w:color w:val="000000" w:themeColor="text1"/>
          <w:sz w:val="16"/>
          <w:szCs w:val="16"/>
        </w:rPr>
      </w:pPr>
      <w:r w:rsidRPr="005E779E">
        <w:rPr>
          <w:color w:val="000000" w:themeColor="text1"/>
          <w:sz w:val="16"/>
          <w:szCs w:val="16"/>
        </w:rPr>
        <w:t>Долгом своим считаю заявить Вам, что при настоящих условиях у меня нет уверенности довести до конца даже опытный котел, ибо лишенный возможности должными образом руководить работой, я не могу нести ответственность за задержки, ошибки и промахи в работе.</w:t>
      </w:r>
    </w:p>
    <w:p w14:paraId="52DFF548" w14:textId="77777777" w:rsidR="004C3F6D" w:rsidRPr="005E779E" w:rsidRDefault="004C3F6D" w:rsidP="000B7A6C">
      <w:pPr>
        <w:pStyle w:val="rtejustify"/>
        <w:spacing w:before="0" w:after="0"/>
        <w:rPr>
          <w:color w:val="000000" w:themeColor="text1"/>
          <w:sz w:val="16"/>
          <w:szCs w:val="16"/>
        </w:rPr>
      </w:pPr>
      <w:r w:rsidRPr="005E779E">
        <w:rPr>
          <w:color w:val="000000" w:themeColor="text1"/>
          <w:sz w:val="16"/>
          <w:szCs w:val="16"/>
        </w:rPr>
        <w:t>Скоро истекает последний срок моего перевода на завод, назначенный тов. ПРОКОФЬЕВЫМ. Очень прошу Вас поскорее перевести меня на завод для настоящей работы, по которой я так изголодался, и дать мне возможность довести до конца успешно начатое дело, которое принесет Советскому Союзу большую пользу.</w:t>
      </w:r>
    </w:p>
    <w:p w14:paraId="74D1A345" w14:textId="77777777" w:rsidR="004C3F6D" w:rsidRPr="005E779E" w:rsidRDefault="004C3F6D" w:rsidP="000B7A6C">
      <w:pPr>
        <w:pStyle w:val="rtejustify"/>
        <w:spacing w:before="0" w:after="0"/>
        <w:rPr>
          <w:color w:val="000000" w:themeColor="text1"/>
          <w:sz w:val="16"/>
          <w:szCs w:val="16"/>
        </w:rPr>
      </w:pPr>
      <w:r w:rsidRPr="005E779E">
        <w:rPr>
          <w:color w:val="000000" w:themeColor="text1"/>
          <w:sz w:val="16"/>
          <w:szCs w:val="16"/>
        </w:rPr>
        <w:t>Ввиду необходимости срочно дать ответ Теплоинституту о принятии нами задания на промышленный котел, и не имея возможности сделать это без Ваших руководящих указаний, очень прошу Вас вызвать меня для личного доклада Вам и тов. ПРОКОФЬЕВУ.</w:t>
      </w:r>
    </w:p>
    <w:p w14:paraId="29717F49" w14:textId="77777777" w:rsidR="004C3F6D" w:rsidRPr="005E779E" w:rsidRDefault="004C3F6D" w:rsidP="000B7A6C">
      <w:pPr>
        <w:pStyle w:val="rtejustify"/>
        <w:spacing w:before="0" w:after="0"/>
        <w:rPr>
          <w:color w:val="000000" w:themeColor="text1"/>
          <w:sz w:val="16"/>
          <w:szCs w:val="16"/>
        </w:rPr>
      </w:pPr>
      <w:r w:rsidRPr="005E779E">
        <w:rPr>
          <w:color w:val="000000" w:themeColor="text1"/>
          <w:sz w:val="16"/>
          <w:szCs w:val="16"/>
        </w:rPr>
        <w:t>О вышеизложенном прошу Вас доложить тов. ПРОКОФЬЕВУ.</w:t>
      </w:r>
    </w:p>
    <w:p w14:paraId="022CD8AF" w14:textId="77777777" w:rsidR="004C3F6D" w:rsidRPr="005E779E" w:rsidRDefault="004C3F6D" w:rsidP="000B7A6C">
      <w:pPr>
        <w:pStyle w:val="rtejustify"/>
        <w:spacing w:before="0" w:after="0"/>
        <w:rPr>
          <w:color w:val="000000" w:themeColor="text1"/>
          <w:sz w:val="16"/>
          <w:szCs w:val="16"/>
        </w:rPr>
      </w:pPr>
      <w:r w:rsidRPr="005E779E">
        <w:rPr>
          <w:color w:val="000000" w:themeColor="text1"/>
          <w:sz w:val="16"/>
          <w:szCs w:val="16"/>
        </w:rPr>
        <w:t>12.IX.1931 г.</w:t>
      </w:r>
    </w:p>
    <w:p w14:paraId="0D8157CB" w14:textId="77777777" w:rsidR="004C3F6D" w:rsidRPr="005E779E" w:rsidRDefault="004C3F6D" w:rsidP="000B7A6C">
      <w:pPr>
        <w:pStyle w:val="ae"/>
        <w:spacing w:before="0" w:after="0"/>
        <w:jc w:val="both"/>
        <w:rPr>
          <w:color w:val="000000" w:themeColor="text1"/>
          <w:sz w:val="16"/>
          <w:szCs w:val="16"/>
        </w:rPr>
      </w:pPr>
      <w:r w:rsidRPr="005E779E">
        <w:rPr>
          <w:color w:val="000000" w:themeColor="text1"/>
          <w:sz w:val="16"/>
          <w:szCs w:val="16"/>
        </w:rPr>
        <w:t>Л. Рамзин</w:t>
      </w:r>
    </w:p>
    <w:p w14:paraId="3611AC4A" w14:textId="77777777" w:rsidR="004C3F6D" w:rsidRPr="005E779E" w:rsidRDefault="004C3F6D" w:rsidP="000B7A6C">
      <w:pPr>
        <w:pStyle w:val="ae"/>
        <w:spacing w:before="0" w:after="0"/>
        <w:jc w:val="both"/>
        <w:rPr>
          <w:color w:val="000000" w:themeColor="text1"/>
          <w:sz w:val="16"/>
          <w:szCs w:val="16"/>
        </w:rPr>
      </w:pPr>
      <w:r w:rsidRPr="005E779E">
        <w:rPr>
          <w:rStyle w:val="af0"/>
          <w:i w:val="0"/>
          <w:color w:val="000000" w:themeColor="text1"/>
          <w:sz w:val="16"/>
          <w:szCs w:val="16"/>
        </w:rPr>
        <w:t>РГАЭ. Ф. 38. Oп. 1. Д. 69. Л. 1-3. (А) Рукописный подлинник, автограф Л. К. Рамзина (написано карандашом). На «титульном» листе (б/н) написано «Начальнику V отд. ЭКУ ОГПУ тов. А. Г. Горянову». На Л. 4-8 — машинописная копия (экземпляр закладки, аналогичный Б).</w:t>
      </w:r>
    </w:p>
    <w:p w14:paraId="5F0B5D6F" w14:textId="77777777" w:rsidR="004C3F6D" w:rsidRPr="005E779E" w:rsidRDefault="004C3F6D" w:rsidP="000B7A6C">
      <w:pPr>
        <w:pStyle w:val="ae"/>
        <w:spacing w:before="0" w:after="0"/>
        <w:jc w:val="both"/>
        <w:rPr>
          <w:color w:val="000000" w:themeColor="text1"/>
          <w:sz w:val="16"/>
          <w:szCs w:val="16"/>
        </w:rPr>
      </w:pPr>
      <w:r w:rsidRPr="005E779E">
        <w:rPr>
          <w:rStyle w:val="af0"/>
          <w:i w:val="0"/>
          <w:color w:val="000000" w:themeColor="text1"/>
          <w:sz w:val="16"/>
          <w:szCs w:val="16"/>
        </w:rPr>
        <w:t>Там же. Д. 2. Л. 71-67. (Б) Машинописная копия того времени (обратная нумерация листов). На Л. 71 вверху слева рукописная помета «т. Нау- минувдело. 12/IХ» (подпись-росчерк, неразборчиво). Разночтения, кроме отмеченных в подстрочнике: в машинописном экземпляре отсутствуют все подчеркивания, сделанные Рамзиным в рукописи; все фамилии напечатаны прописными буквами; иначе написаны даты (через косую черту) (19070).</w:t>
      </w:r>
    </w:p>
    <w:p w14:paraId="520C6143" w14:textId="77777777" w:rsidR="004C3F6D" w:rsidRPr="005E779E" w:rsidRDefault="004C3F6D" w:rsidP="000B7A6C">
      <w:pPr>
        <w:spacing w:after="0" w:line="240" w:lineRule="auto"/>
        <w:jc w:val="both"/>
        <w:rPr>
          <w:rFonts w:ascii="Times New Roman" w:hAnsi="Times New Roman"/>
          <w:color w:val="000000" w:themeColor="text1"/>
          <w:sz w:val="16"/>
          <w:szCs w:val="16"/>
        </w:rPr>
      </w:pPr>
    </w:p>
    <w:p w14:paraId="3FFC1D6F" w14:textId="77777777" w:rsidR="004C3F6D" w:rsidRPr="005E779E" w:rsidRDefault="004C3F6D"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сентября 1931 в строй вступил первый сторожевик советской постройки - Ураган (3848,107).</w:t>
      </w:r>
    </w:p>
    <w:p w14:paraId="4601F9D9" w14:textId="77777777" w:rsidR="004C3F6D" w:rsidRPr="005E779E" w:rsidRDefault="004C3F6D" w:rsidP="000B7A6C">
      <w:pPr>
        <w:autoSpaceDE w:val="0"/>
        <w:autoSpaceDN w:val="0"/>
        <w:adjustRightInd w:val="0"/>
        <w:spacing w:after="0" w:line="240" w:lineRule="auto"/>
        <w:jc w:val="both"/>
        <w:rPr>
          <w:rFonts w:ascii="Times New Roman" w:hAnsi="Times New Roman"/>
          <w:color w:val="000000" w:themeColor="text1"/>
          <w:sz w:val="16"/>
          <w:szCs w:val="16"/>
        </w:rPr>
      </w:pPr>
    </w:p>
    <w:p w14:paraId="54DAE175" w14:textId="77777777" w:rsidR="004C3F6D" w:rsidRPr="005E779E" w:rsidRDefault="004C3F6D"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сентября 1931 г. вступил в строй сторожевик Ураган Морских сил Балтийского моря (3898).</w:t>
      </w:r>
    </w:p>
    <w:p w14:paraId="6C08275C" w14:textId="77777777" w:rsidR="004C3F6D" w:rsidRPr="005E779E" w:rsidRDefault="004C3F6D" w:rsidP="000B7A6C">
      <w:pPr>
        <w:autoSpaceDE w:val="0"/>
        <w:autoSpaceDN w:val="0"/>
        <w:adjustRightInd w:val="0"/>
        <w:spacing w:after="0" w:line="240" w:lineRule="auto"/>
        <w:jc w:val="both"/>
        <w:rPr>
          <w:rFonts w:ascii="Times New Roman" w:hAnsi="Times New Roman"/>
          <w:color w:val="000000" w:themeColor="text1"/>
          <w:sz w:val="16"/>
          <w:szCs w:val="16"/>
        </w:rPr>
      </w:pPr>
    </w:p>
    <w:p w14:paraId="2A842F90" w14:textId="5B83F515" w:rsidR="003E00E3" w:rsidRPr="005E779E" w:rsidRDefault="003E00E3" w:rsidP="003E00E3">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Армия</w:t>
      </w:r>
      <w:r w:rsidRPr="005E779E">
        <w:rPr>
          <w:rFonts w:ascii="Times New Roman" w:hAnsi="Times New Roman"/>
          <w:i/>
          <w:iCs/>
          <w:color w:val="000000" w:themeColor="text1"/>
          <w:sz w:val="16"/>
          <w:szCs w:val="16"/>
        </w:rPr>
        <w:t>:</w:t>
      </w:r>
    </w:p>
    <w:p w14:paraId="2C2171A5" w14:textId="77777777" w:rsidR="003E00E3" w:rsidRPr="005E779E" w:rsidRDefault="003E00E3" w:rsidP="003E00E3">
      <w:pPr>
        <w:autoSpaceDE w:val="0"/>
        <w:autoSpaceDN w:val="0"/>
        <w:adjustRightInd w:val="0"/>
        <w:spacing w:after="0" w:line="240" w:lineRule="auto"/>
        <w:jc w:val="both"/>
        <w:rPr>
          <w:rFonts w:ascii="Times New Roman" w:hAnsi="Times New Roman"/>
          <w:iCs/>
          <w:color w:val="000000" w:themeColor="text1"/>
          <w:sz w:val="16"/>
          <w:szCs w:val="16"/>
        </w:rPr>
      </w:pPr>
    </w:p>
    <w:p w14:paraId="43DFCFCE" w14:textId="77777777" w:rsidR="003E00E3" w:rsidRPr="00142305" w:rsidRDefault="003E00E3" w:rsidP="003E00E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12 сентября 1931 г. чтобы продемонстрировать дружелюбие и открытость, пред</w:t>
      </w:r>
      <w:r w:rsidRPr="00142305">
        <w:rPr>
          <w:rFonts w:ascii="Times New Roman" w:hAnsi="Times New Roman"/>
          <w:color w:val="0070C0"/>
          <w:sz w:val="16"/>
          <w:szCs w:val="16"/>
        </w:rPr>
        <w:softHyphen/>
        <w:t>ставители советских ВВС показали в Липецке только что принятый на вооружение разведчик Н.Н. Поликарпова Р-5 и позволили выполнить на нем немецким летчикам шесть само</w:t>
      </w:r>
      <w:r w:rsidRPr="00142305">
        <w:rPr>
          <w:rFonts w:ascii="Times New Roman" w:hAnsi="Times New Roman"/>
          <w:color w:val="0070C0"/>
          <w:sz w:val="16"/>
          <w:szCs w:val="16"/>
        </w:rPr>
        <w:softHyphen/>
        <w:t>стоятельных полетов. Самолет им, в целом, понравился, правда, от</w:t>
      </w:r>
      <w:r w:rsidRPr="00142305">
        <w:rPr>
          <w:rFonts w:ascii="Times New Roman" w:hAnsi="Times New Roman"/>
          <w:color w:val="0070C0"/>
          <w:sz w:val="16"/>
          <w:szCs w:val="16"/>
        </w:rPr>
        <w:softHyphen/>
        <w:t>мечалось, что он тяжеловат в управлении (25025).</w:t>
      </w:r>
    </w:p>
    <w:p w14:paraId="7C33DEA2" w14:textId="77777777" w:rsidR="003E00E3" w:rsidRPr="00142305" w:rsidRDefault="003E00E3" w:rsidP="003E00E3">
      <w:pPr>
        <w:spacing w:after="0" w:line="240" w:lineRule="auto"/>
        <w:jc w:val="both"/>
        <w:rPr>
          <w:rFonts w:ascii="Times New Roman" w:hAnsi="Times New Roman"/>
          <w:color w:val="0070C0"/>
          <w:sz w:val="16"/>
          <w:szCs w:val="16"/>
        </w:rPr>
      </w:pPr>
    </w:p>
    <w:p w14:paraId="0FDAD6CE"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596F6358"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142FD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сентября 1931 Мексика вступила в Лигу наций (3481).</w:t>
      </w:r>
    </w:p>
    <w:p w14:paraId="2212BB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3BFE0AA" w14:textId="77777777" w:rsidR="003562F3"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331ABFBD" w14:textId="77777777" w:rsidR="003562F3" w:rsidRPr="005E779E" w:rsidRDefault="003562F3"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32A2D1E" w14:textId="77777777" w:rsidR="00295B66" w:rsidRPr="005E779E" w:rsidRDefault="00295B6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сентября 1931 г. приемная комиссия Управления ВВС Черного моря изучила первые самолеты С-62, прибывшие в 41 ящике из Италии на пароходе «Пальола».</w:t>
      </w:r>
    </w:p>
    <w:p w14:paraId="1411B14A" w14:textId="77777777" w:rsidR="00295B66" w:rsidRPr="005E779E" w:rsidRDefault="00295B6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Приемка продолжилась 23 сентября (15 ящиков) и 20 октября (23 ящика).</w:t>
      </w:r>
    </w:p>
    <w:p w14:paraId="05CB321D" w14:textId="77777777" w:rsidR="00295B66" w:rsidRPr="005E779E" w:rsidRDefault="00295B66" w:rsidP="000B7A6C">
      <w:pPr>
        <w:spacing w:after="0" w:line="240" w:lineRule="auto"/>
        <w:jc w:val="both"/>
        <w:rPr>
          <w:rFonts w:ascii="Times New Roman" w:hAnsi="Times New Roman"/>
          <w:color w:val="000000" w:themeColor="text1"/>
          <w:sz w:val="16"/>
          <w:szCs w:val="16"/>
        </w:rPr>
      </w:pPr>
    </w:p>
    <w:p w14:paraId="243A714E" w14:textId="77777777" w:rsidR="003562F3" w:rsidRPr="005E779E" w:rsidRDefault="003562F3" w:rsidP="000B7A6C">
      <w:pPr>
        <w:pStyle w:val="113"/>
        <w:shd w:val="clear" w:color="auto" w:fill="auto"/>
        <w:spacing w:line="240" w:lineRule="auto"/>
        <w:jc w:val="both"/>
        <w:rPr>
          <w:rFonts w:ascii="Times New Roman" w:hAnsi="Times New Roman" w:cs="Times New Roman"/>
          <w:b w:val="0"/>
          <w:color w:val="000000" w:themeColor="text1"/>
          <w:sz w:val="16"/>
          <w:szCs w:val="16"/>
        </w:rPr>
      </w:pPr>
      <w:r w:rsidRPr="005E779E">
        <w:rPr>
          <w:rStyle w:val="114"/>
          <w:rFonts w:eastAsia="Calibri"/>
          <w:b w:val="0"/>
          <w:i w:val="0"/>
          <w:color w:val="000000" w:themeColor="text1"/>
          <w:sz w:val="16"/>
          <w:szCs w:val="16"/>
        </w:rPr>
        <w:t>13 сентября 1931 года Газе</w:t>
      </w:r>
      <w:r w:rsidRPr="005E779E">
        <w:rPr>
          <w:rStyle w:val="114"/>
          <w:rFonts w:eastAsia="Calibri"/>
          <w:b w:val="0"/>
          <w:i w:val="0"/>
          <w:color w:val="000000" w:themeColor="text1"/>
          <w:sz w:val="16"/>
          <w:szCs w:val="16"/>
        </w:rPr>
        <w:softHyphen/>
        <w:t>та «Известия» со</w:t>
      </w:r>
      <w:r w:rsidRPr="005E779E">
        <w:rPr>
          <w:rStyle w:val="114"/>
          <w:rFonts w:eastAsia="Calibri"/>
          <w:b w:val="0"/>
          <w:i w:val="0"/>
          <w:color w:val="000000" w:themeColor="text1"/>
          <w:sz w:val="16"/>
          <w:szCs w:val="16"/>
        </w:rPr>
        <w:softHyphen/>
        <w:t>общала: «</w:t>
      </w:r>
      <w:r w:rsidRPr="005E779E">
        <w:rPr>
          <w:rFonts w:ascii="Times New Roman" w:hAnsi="Times New Roman" w:cs="Times New Roman"/>
          <w:b w:val="0"/>
          <w:color w:val="000000" w:themeColor="text1"/>
          <w:sz w:val="16"/>
          <w:szCs w:val="16"/>
        </w:rPr>
        <w:t>12 сентября &lt;... &gt; близ Уфы потер</w:t>
      </w:r>
      <w:r w:rsidRPr="005E779E">
        <w:rPr>
          <w:rFonts w:ascii="Times New Roman" w:hAnsi="Times New Roman" w:cs="Times New Roman"/>
          <w:b w:val="0"/>
          <w:color w:val="000000" w:themeColor="text1"/>
          <w:sz w:val="16"/>
          <w:szCs w:val="16"/>
        </w:rPr>
        <w:softHyphen/>
        <w:t>пел катастрофу французский самолет Де</w:t>
      </w:r>
      <w:r w:rsidRPr="005E779E">
        <w:rPr>
          <w:rFonts w:ascii="Times New Roman" w:hAnsi="Times New Roman" w:cs="Times New Roman"/>
          <w:b w:val="0"/>
          <w:color w:val="000000" w:themeColor="text1"/>
          <w:sz w:val="16"/>
          <w:szCs w:val="16"/>
        </w:rPr>
        <w:softHyphen/>
        <w:t>вуатин «Тред Юнион», совершавший беспо</w:t>
      </w:r>
      <w:r w:rsidRPr="005E779E">
        <w:rPr>
          <w:rFonts w:ascii="Times New Roman" w:hAnsi="Times New Roman" w:cs="Times New Roman"/>
          <w:b w:val="0"/>
          <w:color w:val="000000" w:themeColor="text1"/>
          <w:sz w:val="16"/>
          <w:szCs w:val="16"/>
        </w:rPr>
        <w:softHyphen/>
        <w:t>садочный перелет из Парижа в Токио. Са</w:t>
      </w:r>
      <w:r w:rsidRPr="005E779E">
        <w:rPr>
          <w:rFonts w:ascii="Times New Roman" w:hAnsi="Times New Roman" w:cs="Times New Roman"/>
          <w:b w:val="0"/>
          <w:color w:val="000000" w:themeColor="text1"/>
          <w:sz w:val="16"/>
          <w:szCs w:val="16"/>
        </w:rPr>
        <w:softHyphen/>
        <w:t>молетом управляли известные летчики- спортсмены Марсель Доре и ЖозефДе Бри... Катастрофа произошла на 23 часу полета вследствие поломки мотора и вынужден</w:t>
      </w:r>
      <w:r w:rsidRPr="005E779E">
        <w:rPr>
          <w:rFonts w:ascii="Times New Roman" w:hAnsi="Times New Roman" w:cs="Times New Roman"/>
          <w:b w:val="0"/>
          <w:color w:val="000000" w:themeColor="text1"/>
          <w:sz w:val="16"/>
          <w:szCs w:val="16"/>
        </w:rPr>
        <w:softHyphen/>
        <w:t>ной посадки в тумане и дожде. Доре спасся на парашюте, а Ле Бри и механик Ре не Мисмон (Месмен</w:t>
      </w:r>
      <w:r w:rsidRPr="005E779E">
        <w:rPr>
          <w:rStyle w:val="119pt"/>
          <w:rFonts w:eastAsia="Calibri"/>
          <w:color w:val="000000" w:themeColor="text1"/>
          <w:sz w:val="16"/>
          <w:szCs w:val="16"/>
        </w:rPr>
        <w:t>)</w:t>
      </w:r>
      <w:r w:rsidRPr="005E779E">
        <w:rPr>
          <w:rFonts w:ascii="Times New Roman" w:hAnsi="Times New Roman" w:cs="Times New Roman"/>
          <w:b w:val="0"/>
          <w:color w:val="000000" w:themeColor="text1"/>
          <w:sz w:val="16"/>
          <w:szCs w:val="16"/>
        </w:rPr>
        <w:t xml:space="preserve"> не успели вы</w:t>
      </w:r>
      <w:r w:rsidRPr="005E779E">
        <w:rPr>
          <w:rFonts w:ascii="Times New Roman" w:hAnsi="Times New Roman" w:cs="Times New Roman"/>
          <w:b w:val="0"/>
          <w:color w:val="000000" w:themeColor="text1"/>
          <w:sz w:val="16"/>
          <w:szCs w:val="16"/>
        </w:rPr>
        <w:softHyphen/>
        <w:t>броситься и погибли. Местные власти не</w:t>
      </w:r>
      <w:r w:rsidRPr="005E779E">
        <w:rPr>
          <w:rFonts w:ascii="Times New Roman" w:hAnsi="Times New Roman" w:cs="Times New Roman"/>
          <w:b w:val="0"/>
          <w:color w:val="000000" w:themeColor="text1"/>
          <w:sz w:val="16"/>
          <w:szCs w:val="16"/>
        </w:rPr>
        <w:softHyphen/>
        <w:t>медленно прибыли на место катастрофы и оказали необходимую помощь, оставшему</w:t>
      </w:r>
      <w:r w:rsidRPr="005E779E">
        <w:rPr>
          <w:rFonts w:ascii="Times New Roman" w:hAnsi="Times New Roman" w:cs="Times New Roman"/>
          <w:b w:val="0"/>
          <w:color w:val="000000" w:themeColor="text1"/>
          <w:sz w:val="16"/>
          <w:szCs w:val="16"/>
        </w:rPr>
        <w:softHyphen/>
        <w:t>ся в живых Доре. Так печально закончилась вторая попытка отважных летчиков пе</w:t>
      </w:r>
      <w:r w:rsidRPr="005E779E">
        <w:rPr>
          <w:rFonts w:ascii="Times New Roman" w:hAnsi="Times New Roman" w:cs="Times New Roman"/>
          <w:b w:val="0"/>
          <w:color w:val="000000" w:themeColor="text1"/>
          <w:sz w:val="16"/>
          <w:szCs w:val="16"/>
        </w:rPr>
        <w:softHyphen/>
        <w:t>релететь из Парижа в Токио. Перелет был организован парфюмерным фабрикантом Франсуа Коти» (12725).</w:t>
      </w:r>
    </w:p>
    <w:p w14:paraId="7119874A" w14:textId="77777777" w:rsidR="003562F3" w:rsidRPr="005E779E" w:rsidRDefault="003562F3" w:rsidP="000B7A6C">
      <w:pPr>
        <w:spacing w:after="0" w:line="240" w:lineRule="auto"/>
        <w:jc w:val="both"/>
        <w:rPr>
          <w:rFonts w:ascii="Times New Roman" w:hAnsi="Times New Roman"/>
          <w:color w:val="000000" w:themeColor="text1"/>
          <w:sz w:val="16"/>
          <w:szCs w:val="16"/>
        </w:rPr>
      </w:pPr>
    </w:p>
    <w:p w14:paraId="7B68066F" w14:textId="77777777" w:rsidR="003E28CB"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60CBC789" w14:textId="77777777" w:rsidR="003E28CB" w:rsidRPr="005E779E" w:rsidRDefault="003E28CB"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4B2AC50" w14:textId="77777777" w:rsidR="003E28CB" w:rsidRPr="005E779E" w:rsidRDefault="003E28C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сентября 1931 г. Постановление Президиума ВСНХ СССР о технической помощи ВОИВу (РГАЭ. Ф. 3429. Оп. 6. Д. 189. Л. 70) (12417).</w:t>
      </w:r>
    </w:p>
    <w:p w14:paraId="55892EDC" w14:textId="77777777" w:rsidR="003E28CB" w:rsidRPr="005E779E" w:rsidRDefault="003E28CB" w:rsidP="000B7A6C">
      <w:pPr>
        <w:spacing w:after="0" w:line="240" w:lineRule="auto"/>
        <w:jc w:val="both"/>
        <w:rPr>
          <w:rFonts w:ascii="Times New Roman" w:hAnsi="Times New Roman"/>
          <w:color w:val="000000" w:themeColor="text1"/>
          <w:sz w:val="16"/>
          <w:szCs w:val="16"/>
        </w:rPr>
      </w:pPr>
    </w:p>
    <w:p w14:paraId="0AD797CD" w14:textId="77777777" w:rsidR="003E28CB" w:rsidRPr="005E779E" w:rsidRDefault="003E28C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октября 1931 г. Постановление Президиума ВСНХ СССР о быстроходных дизелях (РГАЭ. Ф. 3429. Оп. 1. Д. 5248. Л. 35?37) (12417).</w:t>
      </w:r>
    </w:p>
    <w:p w14:paraId="0BE739D7" w14:textId="77777777" w:rsidR="003E28CB" w:rsidRPr="005E779E" w:rsidRDefault="003E28CB" w:rsidP="000B7A6C">
      <w:pPr>
        <w:spacing w:after="0" w:line="240" w:lineRule="auto"/>
        <w:jc w:val="both"/>
        <w:rPr>
          <w:rFonts w:ascii="Times New Roman" w:hAnsi="Times New Roman"/>
          <w:color w:val="000000" w:themeColor="text1"/>
          <w:sz w:val="16"/>
          <w:szCs w:val="16"/>
        </w:rPr>
      </w:pPr>
    </w:p>
    <w:p w14:paraId="40A2A095" w14:textId="77777777" w:rsidR="00EA015A" w:rsidRPr="005E779E" w:rsidRDefault="00EA015A" w:rsidP="000B7A6C">
      <w:pPr>
        <w:pStyle w:val="rtejustify"/>
        <w:spacing w:before="0" w:after="0"/>
        <w:rPr>
          <w:color w:val="000000" w:themeColor="text1"/>
          <w:sz w:val="16"/>
          <w:szCs w:val="16"/>
        </w:rPr>
      </w:pPr>
      <w:r w:rsidRPr="005E779E">
        <w:rPr>
          <w:color w:val="000000" w:themeColor="text1"/>
          <w:sz w:val="16"/>
          <w:szCs w:val="16"/>
        </w:rPr>
        <w:t xml:space="preserve">13 сентября 1931 г. в целях усиления хозяйственного и технического руководства машиностроением и металлообработкой в составе ВСНХ Постановлением Президиума ВСНХ СССР № 649 было учреждено </w:t>
      </w:r>
      <w:r w:rsidRPr="005E779E">
        <w:rPr>
          <w:rStyle w:val="af0"/>
          <w:bCs/>
          <w:i w:val="0"/>
          <w:color w:val="000000" w:themeColor="text1"/>
          <w:sz w:val="16"/>
          <w:szCs w:val="16"/>
        </w:rPr>
        <w:t>Главное управление машиностроения и металлообработки (Главмашпром)</w:t>
      </w:r>
      <w:r w:rsidRPr="005E779E">
        <w:rPr>
          <w:color w:val="000000" w:themeColor="text1"/>
          <w:sz w:val="16"/>
          <w:szCs w:val="16"/>
        </w:rPr>
        <w:t>. Одновременно было утверждено положение о Главмашпроме и список объединений, трестов и учреждений ему подчиненных. 5 января 1932 г. с созданием Наркомата тяжелой промышленности Главмашпром был передан в его ведение и стал называться Главным управлением машиностроительной промышленности НКТП СССР. В ведении Главмашпрома находились объединения и тресты общесоюзного значения машиностроительной и металлообрабатывающей промышленности, а также проектирующие, монтажные и научно-исследовательские учреждения. В момент создания в 1931 г. таких организаций насчитывалось 32. Затем сеть подведомственных учреждений менялась. Некоторые объединения реорганизовывались в главки. Главмашпром был создан для планирования, регулирования и технического руководства машиностроением. В его функции входили: разработка перспективных планов развития машиностроительной промышленности, подготовка контрольных цифр по специальным отраслям машиностроения, наблюдение за их выполнением, распределением денежных средств и кредитов, наблюдение за количеством и качеством выполнения планов, руководство работой по улучшению качества продукции и организация контроля качества, организация снабжения и сбыта продукции, рассмотрение отчетов и балансов подведомственных учреждений. Структура Главмашпрома не была постоянной и часто подвергалась реорганизациям. В 1933 г. из Главмашпрома выделились Главметиз, Главстанкоинструмент, Главсельмаш и Главтопмаш. Ранее существовавшие секторы преобразовались в отделы. Образовались отраслевые и функциональные отделы. Отраслевые — горного оборудования, непосредственного подчинения заводов, тяжелого и общего машиностроения, оборудования для легкой промышленности, коммунально-бытового оборудования, массового производства. Функциональные — снабжения, технико-организационный, планово-экономический, спецотдел, группы баланса, литья и поковок, оборудования и главного инженера. Приказом НКТП СССР № 42 от 9 января 1935 г. во исполнение постановления СНК СССР № 37 от того же числа Главмашпром был разукрупнен на 4 главка: Главгормаш, Главлегмаш, Главсредмаш и Главармалит. (РГАЭ. Ф. 3429. Оп. 57. Д. 327. Л. 131; Ф. 3429. Оп. 57. Д. 327. Л. 131; Ф. 8081. Оп. 1. Д. 43. Л. 11</w:t>
      </w:r>
      <w:r w:rsidRPr="005E779E">
        <w:rPr>
          <w:color w:val="000000" w:themeColor="text1"/>
          <w:sz w:val="16"/>
          <w:szCs w:val="16"/>
        </w:rPr>
        <w:noBreakHyphen/>
        <w:t>12; Ф. 2765. Оп. 1. Д. 67. Л. 13; Ф. 8081. Оп. 1) (15273).</w:t>
      </w:r>
    </w:p>
    <w:p w14:paraId="39F745CD" w14:textId="77777777" w:rsidR="00EA015A" w:rsidRPr="005E779E" w:rsidRDefault="00EA015A"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E3DA2DC" w14:textId="77777777" w:rsidR="004C3F6D" w:rsidRPr="005E779E" w:rsidRDefault="004C3F6D"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13 сентября 1931 г.</w:t>
      </w:r>
    </w:p>
    <w:p w14:paraId="7D9DC682" w14:textId="77777777" w:rsidR="004C3F6D" w:rsidRPr="005E779E" w:rsidRDefault="004C3F6D"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Приказ по Техническому отделению ЭКУ ОГПУ о составлении «плана расходов» по ОКБ на 1932 г. от 13 сентября 1931 г.</w:t>
      </w:r>
    </w:p>
    <w:p w14:paraId="28D55B58" w14:textId="77777777" w:rsidR="004C3F6D" w:rsidRPr="005E779E" w:rsidRDefault="004C3F6D"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Источник: </w:t>
      </w:r>
    </w:p>
    <w:p w14:paraId="1C1E0B06" w14:textId="77777777" w:rsidR="004C3F6D" w:rsidRPr="005E779E" w:rsidRDefault="004C3F6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799A6AB" w14:textId="77777777" w:rsidR="004C3F6D" w:rsidRPr="005E779E" w:rsidRDefault="004C3F6D"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Архив: </w:t>
      </w:r>
    </w:p>
    <w:p w14:paraId="6C9BBE84" w14:textId="77777777" w:rsidR="004C3F6D" w:rsidRPr="005E779E" w:rsidRDefault="004C3F6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РГАЭ. Ф. 38. Oп. 1. Д. 2. Л. 72</w:t>
      </w:r>
    </w:p>
    <w:p w14:paraId="2DE8CA56" w14:textId="77777777" w:rsidR="004C3F6D" w:rsidRPr="005E779E" w:rsidRDefault="004C3F6D" w:rsidP="000B7A6C">
      <w:pPr>
        <w:pStyle w:val="rteright"/>
        <w:spacing w:before="0" w:after="0"/>
        <w:jc w:val="both"/>
        <w:rPr>
          <w:color w:val="000000" w:themeColor="text1"/>
          <w:sz w:val="16"/>
          <w:szCs w:val="16"/>
        </w:rPr>
      </w:pPr>
      <w:r w:rsidRPr="005E779E">
        <w:rPr>
          <w:color w:val="000000" w:themeColor="text1"/>
          <w:sz w:val="16"/>
          <w:szCs w:val="16"/>
        </w:rPr>
        <w:t>от 13 сентября 1931 г.</w:t>
      </w:r>
    </w:p>
    <w:p w14:paraId="56A70CCC" w14:textId="77777777" w:rsidR="004C3F6D" w:rsidRPr="005E779E" w:rsidRDefault="004C3F6D" w:rsidP="000B7A6C">
      <w:pPr>
        <w:pStyle w:val="rtecenter"/>
        <w:spacing w:before="0" w:after="0"/>
        <w:jc w:val="both"/>
        <w:rPr>
          <w:color w:val="000000" w:themeColor="text1"/>
          <w:sz w:val="16"/>
          <w:szCs w:val="16"/>
        </w:rPr>
      </w:pPr>
      <w:r w:rsidRPr="005E779E">
        <w:rPr>
          <w:color w:val="000000" w:themeColor="text1"/>
          <w:sz w:val="16"/>
          <w:szCs w:val="16"/>
        </w:rPr>
        <w:t>ПРИКАЗАНИЕ</w:t>
      </w:r>
    </w:p>
    <w:p w14:paraId="61A2D9DB" w14:textId="77777777" w:rsidR="004C3F6D" w:rsidRPr="005E779E" w:rsidRDefault="004C3F6D" w:rsidP="000B7A6C">
      <w:pPr>
        <w:pStyle w:val="rtecenter"/>
        <w:spacing w:before="0" w:after="0"/>
        <w:jc w:val="both"/>
        <w:rPr>
          <w:color w:val="000000" w:themeColor="text1"/>
          <w:sz w:val="16"/>
          <w:szCs w:val="16"/>
        </w:rPr>
      </w:pPr>
      <w:r w:rsidRPr="005E779E">
        <w:rPr>
          <w:color w:val="000000" w:themeColor="text1"/>
          <w:sz w:val="16"/>
          <w:szCs w:val="16"/>
        </w:rPr>
        <w:t>По Техническому отделению Э.К.У. О.Г.П.У</w:t>
      </w:r>
    </w:p>
    <w:p w14:paraId="3F8C880A" w14:textId="77777777" w:rsidR="004C3F6D" w:rsidRPr="005E779E" w:rsidRDefault="004C3F6D" w:rsidP="000B7A6C">
      <w:pPr>
        <w:pStyle w:val="ae"/>
        <w:spacing w:before="0" w:after="0"/>
        <w:jc w:val="both"/>
        <w:rPr>
          <w:color w:val="000000" w:themeColor="text1"/>
          <w:sz w:val="16"/>
          <w:szCs w:val="16"/>
        </w:rPr>
      </w:pPr>
      <w:r w:rsidRPr="005E779E">
        <w:rPr>
          <w:color w:val="000000" w:themeColor="text1"/>
          <w:sz w:val="16"/>
          <w:szCs w:val="16"/>
        </w:rPr>
        <w:t>«13» сентября 1931 г.</w:t>
      </w:r>
    </w:p>
    <w:p w14:paraId="0D4BCD8A" w14:textId="77777777" w:rsidR="004C3F6D" w:rsidRPr="005E779E" w:rsidRDefault="004C3F6D" w:rsidP="000B7A6C">
      <w:pPr>
        <w:pStyle w:val="rtejustify"/>
        <w:spacing w:before="0" w:after="0"/>
        <w:rPr>
          <w:color w:val="000000" w:themeColor="text1"/>
          <w:sz w:val="16"/>
          <w:szCs w:val="16"/>
        </w:rPr>
      </w:pPr>
      <w:r w:rsidRPr="005E779E">
        <w:rPr>
          <w:color w:val="000000" w:themeColor="text1"/>
          <w:sz w:val="16"/>
          <w:szCs w:val="16"/>
        </w:rPr>
        <w:t>Для составления плана операционных расходов на 1932 год, предлагаю всем Нач. ОКБ представить план расходов не позднее «30» сентября с/г по прилагаемым ниже статьям.</w:t>
      </w:r>
    </w:p>
    <w:p w14:paraId="3018DBCF" w14:textId="625169B5" w:rsidR="004C3F6D" w:rsidRPr="005E779E" w:rsidRDefault="004C3F6D" w:rsidP="000B7A6C">
      <w:pPr>
        <w:pStyle w:val="rtejustify"/>
        <w:spacing w:before="0" w:after="0"/>
        <w:rPr>
          <w:color w:val="000000" w:themeColor="text1"/>
          <w:sz w:val="16"/>
          <w:szCs w:val="16"/>
        </w:rPr>
      </w:pPr>
      <w:r w:rsidRPr="005E779E">
        <w:rPr>
          <w:color w:val="000000" w:themeColor="text1"/>
          <w:sz w:val="16"/>
          <w:szCs w:val="16"/>
        </w:rPr>
        <w:t>1.</w:t>
      </w:r>
      <w:r w:rsidR="00FE094E">
        <w:rPr>
          <w:color w:val="000000" w:themeColor="text1"/>
          <w:sz w:val="16"/>
          <w:szCs w:val="16"/>
        </w:rPr>
        <w:t xml:space="preserve">  </w:t>
      </w:r>
      <w:r w:rsidRPr="005E779E">
        <w:rPr>
          <w:color w:val="000000" w:themeColor="text1"/>
          <w:sz w:val="16"/>
          <w:szCs w:val="16"/>
        </w:rPr>
        <w:t xml:space="preserve"> ЗАРПЛАТА СОТРУДНИКАМ (список персонально).</w:t>
      </w:r>
    </w:p>
    <w:p w14:paraId="44B56246" w14:textId="02FC7AB1" w:rsidR="004C3F6D" w:rsidRPr="005E779E" w:rsidRDefault="004C3F6D" w:rsidP="000B7A6C">
      <w:pPr>
        <w:pStyle w:val="rtejustify"/>
        <w:spacing w:before="0" w:after="0"/>
        <w:rPr>
          <w:color w:val="000000" w:themeColor="text1"/>
          <w:sz w:val="16"/>
          <w:szCs w:val="16"/>
        </w:rPr>
      </w:pPr>
      <w:r w:rsidRPr="005E779E">
        <w:rPr>
          <w:color w:val="000000" w:themeColor="text1"/>
          <w:sz w:val="16"/>
          <w:szCs w:val="16"/>
        </w:rPr>
        <w:t>2.</w:t>
      </w:r>
      <w:r w:rsidR="00FE094E">
        <w:rPr>
          <w:color w:val="000000" w:themeColor="text1"/>
          <w:sz w:val="16"/>
          <w:szCs w:val="16"/>
        </w:rPr>
        <w:t xml:space="preserve">  </w:t>
      </w:r>
      <w:r w:rsidRPr="005E779E">
        <w:rPr>
          <w:color w:val="000000" w:themeColor="text1"/>
          <w:sz w:val="16"/>
          <w:szCs w:val="16"/>
        </w:rPr>
        <w:t xml:space="preserve"> ОПЛАТА ВРЕДИТЕЛЕЙ] ЗА ПРАКТИЧЕСКУЮ РАБОТУ.</w:t>
      </w:r>
    </w:p>
    <w:p w14:paraId="7D87FB9B" w14:textId="37FE0DB7" w:rsidR="004C3F6D" w:rsidRPr="005E779E" w:rsidRDefault="004C3F6D" w:rsidP="000B7A6C">
      <w:pPr>
        <w:pStyle w:val="rtejustify"/>
        <w:spacing w:before="0" w:after="0"/>
        <w:rPr>
          <w:color w:val="000000" w:themeColor="text1"/>
          <w:sz w:val="16"/>
          <w:szCs w:val="16"/>
        </w:rPr>
      </w:pPr>
      <w:r w:rsidRPr="005E779E">
        <w:rPr>
          <w:color w:val="000000" w:themeColor="text1"/>
          <w:sz w:val="16"/>
          <w:szCs w:val="16"/>
        </w:rPr>
        <w:t>3.</w:t>
      </w:r>
      <w:r w:rsidR="00FE094E">
        <w:rPr>
          <w:color w:val="000000" w:themeColor="text1"/>
          <w:sz w:val="16"/>
          <w:szCs w:val="16"/>
        </w:rPr>
        <w:t xml:space="preserve">  </w:t>
      </w:r>
      <w:r w:rsidRPr="005E779E">
        <w:rPr>
          <w:color w:val="000000" w:themeColor="text1"/>
          <w:sz w:val="16"/>
          <w:szCs w:val="16"/>
        </w:rPr>
        <w:t xml:space="preserve"> ПОСОБИЕ (им же).</w:t>
      </w:r>
    </w:p>
    <w:p w14:paraId="64CC63E4" w14:textId="6198FB3E" w:rsidR="004C3F6D" w:rsidRPr="005E779E" w:rsidRDefault="004C3F6D" w:rsidP="000B7A6C">
      <w:pPr>
        <w:pStyle w:val="rtejustify"/>
        <w:spacing w:before="0" w:after="0"/>
        <w:rPr>
          <w:color w:val="000000" w:themeColor="text1"/>
          <w:sz w:val="16"/>
          <w:szCs w:val="16"/>
        </w:rPr>
      </w:pPr>
      <w:r w:rsidRPr="005E779E">
        <w:rPr>
          <w:color w:val="000000" w:themeColor="text1"/>
          <w:sz w:val="16"/>
          <w:szCs w:val="16"/>
        </w:rPr>
        <w:t>4.</w:t>
      </w:r>
      <w:r w:rsidR="00FE094E">
        <w:rPr>
          <w:color w:val="000000" w:themeColor="text1"/>
          <w:sz w:val="16"/>
          <w:szCs w:val="16"/>
        </w:rPr>
        <w:t xml:space="preserve">  </w:t>
      </w:r>
      <w:r w:rsidRPr="005E779E">
        <w:rPr>
          <w:color w:val="000000" w:themeColor="text1"/>
          <w:sz w:val="16"/>
          <w:szCs w:val="16"/>
        </w:rPr>
        <w:t xml:space="preserve"> ОБОРУДОВАНИЕ ПОМЕЩЕНИЕ (покупка инвентаря и др.).</w:t>
      </w:r>
    </w:p>
    <w:p w14:paraId="102101F7" w14:textId="499A8EFB" w:rsidR="004C3F6D" w:rsidRPr="005E779E" w:rsidRDefault="004C3F6D" w:rsidP="000B7A6C">
      <w:pPr>
        <w:pStyle w:val="rtejustify"/>
        <w:spacing w:before="0" w:after="0"/>
        <w:rPr>
          <w:color w:val="000000" w:themeColor="text1"/>
          <w:sz w:val="16"/>
          <w:szCs w:val="16"/>
        </w:rPr>
      </w:pPr>
      <w:r w:rsidRPr="005E779E">
        <w:rPr>
          <w:color w:val="000000" w:themeColor="text1"/>
          <w:sz w:val="16"/>
          <w:szCs w:val="16"/>
        </w:rPr>
        <w:t>5.</w:t>
      </w:r>
      <w:r w:rsidR="00FE094E">
        <w:rPr>
          <w:color w:val="000000" w:themeColor="text1"/>
          <w:sz w:val="16"/>
          <w:szCs w:val="16"/>
        </w:rPr>
        <w:t xml:space="preserve">  </w:t>
      </w:r>
      <w:r w:rsidRPr="005E779E">
        <w:rPr>
          <w:color w:val="000000" w:themeColor="text1"/>
          <w:sz w:val="16"/>
          <w:szCs w:val="16"/>
        </w:rPr>
        <w:t xml:space="preserve"> КОМАНДИРОВКИ НА ПЕРИФЕРИЮ.</w:t>
      </w:r>
    </w:p>
    <w:p w14:paraId="5D5515EE" w14:textId="1C7D33F7" w:rsidR="004C3F6D" w:rsidRPr="005E779E" w:rsidRDefault="004C3F6D" w:rsidP="000B7A6C">
      <w:pPr>
        <w:pStyle w:val="rtejustify"/>
        <w:spacing w:before="0" w:after="0"/>
        <w:rPr>
          <w:color w:val="000000" w:themeColor="text1"/>
          <w:sz w:val="16"/>
          <w:szCs w:val="16"/>
        </w:rPr>
      </w:pPr>
      <w:r w:rsidRPr="005E779E">
        <w:rPr>
          <w:color w:val="000000" w:themeColor="text1"/>
          <w:sz w:val="16"/>
          <w:szCs w:val="16"/>
        </w:rPr>
        <w:t>6.</w:t>
      </w:r>
      <w:r w:rsidR="00FE094E">
        <w:rPr>
          <w:color w:val="000000" w:themeColor="text1"/>
          <w:sz w:val="16"/>
          <w:szCs w:val="16"/>
        </w:rPr>
        <w:t xml:space="preserve">  </w:t>
      </w:r>
      <w:r w:rsidRPr="005E779E">
        <w:rPr>
          <w:color w:val="000000" w:themeColor="text1"/>
          <w:sz w:val="16"/>
          <w:szCs w:val="16"/>
        </w:rPr>
        <w:t xml:space="preserve"> РАЗЪЕЗДЫ ПО ГОРОДУ.</w:t>
      </w:r>
    </w:p>
    <w:p w14:paraId="243723F4" w14:textId="60BBD188" w:rsidR="004C3F6D" w:rsidRPr="005E779E" w:rsidRDefault="004C3F6D" w:rsidP="000B7A6C">
      <w:pPr>
        <w:pStyle w:val="rtejustify"/>
        <w:spacing w:before="0" w:after="0"/>
        <w:rPr>
          <w:color w:val="000000" w:themeColor="text1"/>
          <w:sz w:val="16"/>
          <w:szCs w:val="16"/>
        </w:rPr>
      </w:pPr>
      <w:r w:rsidRPr="005E779E">
        <w:rPr>
          <w:color w:val="000000" w:themeColor="text1"/>
          <w:sz w:val="16"/>
          <w:szCs w:val="16"/>
        </w:rPr>
        <w:t>7.</w:t>
      </w:r>
      <w:r w:rsidR="00FE094E">
        <w:rPr>
          <w:color w:val="000000" w:themeColor="text1"/>
          <w:sz w:val="16"/>
          <w:szCs w:val="16"/>
        </w:rPr>
        <w:t xml:space="preserve">  </w:t>
      </w:r>
      <w:r w:rsidRPr="005E779E">
        <w:rPr>
          <w:color w:val="000000" w:themeColor="text1"/>
          <w:sz w:val="16"/>
          <w:szCs w:val="16"/>
        </w:rPr>
        <w:t xml:space="preserve"> ОПЕРАТИВНЫЕ РАСХОДЫ ВКЛЮЧАЯ: (отопление, освещение, чертежные, канцелярские, почтовые и др. мелкие расходы).</w:t>
      </w:r>
    </w:p>
    <w:p w14:paraId="726B0EF8" w14:textId="32157A8C" w:rsidR="004C3F6D" w:rsidRPr="005E779E" w:rsidRDefault="004C3F6D" w:rsidP="000B7A6C">
      <w:pPr>
        <w:pStyle w:val="rtejustify"/>
        <w:spacing w:before="0" w:after="0"/>
        <w:rPr>
          <w:color w:val="000000" w:themeColor="text1"/>
          <w:sz w:val="16"/>
          <w:szCs w:val="16"/>
        </w:rPr>
      </w:pPr>
      <w:r w:rsidRPr="005E779E">
        <w:rPr>
          <w:color w:val="000000" w:themeColor="text1"/>
          <w:sz w:val="16"/>
          <w:szCs w:val="16"/>
        </w:rPr>
        <w:t>8.</w:t>
      </w:r>
      <w:r w:rsidR="00FE094E">
        <w:rPr>
          <w:color w:val="000000" w:themeColor="text1"/>
          <w:sz w:val="16"/>
          <w:szCs w:val="16"/>
        </w:rPr>
        <w:t xml:space="preserve">  </w:t>
      </w:r>
      <w:r w:rsidRPr="005E779E">
        <w:rPr>
          <w:color w:val="000000" w:themeColor="text1"/>
          <w:sz w:val="16"/>
          <w:szCs w:val="16"/>
        </w:rPr>
        <w:t xml:space="preserve"> СОДЕРЖАНИЕ ОХРАНЫ:</w:t>
      </w:r>
    </w:p>
    <w:p w14:paraId="102A3D4D" w14:textId="77777777" w:rsidR="004C3F6D" w:rsidRPr="005E779E" w:rsidRDefault="004C3F6D" w:rsidP="000B7A6C">
      <w:pPr>
        <w:pStyle w:val="rtejustify"/>
        <w:spacing w:before="0" w:after="0"/>
        <w:rPr>
          <w:color w:val="000000" w:themeColor="text1"/>
          <w:sz w:val="16"/>
          <w:szCs w:val="16"/>
        </w:rPr>
      </w:pPr>
      <w:r w:rsidRPr="005E779E">
        <w:rPr>
          <w:color w:val="000000" w:themeColor="text1"/>
          <w:sz w:val="16"/>
          <w:szCs w:val="16"/>
        </w:rPr>
        <w:t>1) (список персонально).</w:t>
      </w:r>
    </w:p>
    <w:p w14:paraId="3F7E7A88" w14:textId="77777777" w:rsidR="004C3F6D" w:rsidRPr="005E779E" w:rsidRDefault="004C3F6D" w:rsidP="000B7A6C">
      <w:pPr>
        <w:pStyle w:val="rtejustify"/>
        <w:spacing w:before="0" w:after="0"/>
        <w:rPr>
          <w:color w:val="000000" w:themeColor="text1"/>
          <w:sz w:val="16"/>
          <w:szCs w:val="16"/>
        </w:rPr>
      </w:pPr>
      <w:r w:rsidRPr="005E779E">
        <w:rPr>
          <w:color w:val="000000" w:themeColor="text1"/>
          <w:sz w:val="16"/>
          <w:szCs w:val="16"/>
        </w:rPr>
        <w:t>2) включая годовую потребность (зарплата, обмундирование и довольствие столом).</w:t>
      </w:r>
    </w:p>
    <w:p w14:paraId="722F78CA" w14:textId="2F736BC5" w:rsidR="004C3F6D" w:rsidRPr="005E779E" w:rsidRDefault="004C3F6D" w:rsidP="000B7A6C">
      <w:pPr>
        <w:pStyle w:val="rtejustify"/>
        <w:spacing w:before="0" w:after="0"/>
        <w:rPr>
          <w:color w:val="000000" w:themeColor="text1"/>
          <w:sz w:val="16"/>
          <w:szCs w:val="16"/>
        </w:rPr>
      </w:pPr>
      <w:r w:rsidRPr="005E779E">
        <w:rPr>
          <w:color w:val="000000" w:themeColor="text1"/>
          <w:sz w:val="16"/>
          <w:szCs w:val="16"/>
        </w:rPr>
        <w:t>9.</w:t>
      </w:r>
      <w:r w:rsidR="00FE094E">
        <w:rPr>
          <w:color w:val="000000" w:themeColor="text1"/>
          <w:sz w:val="16"/>
          <w:szCs w:val="16"/>
        </w:rPr>
        <w:t xml:space="preserve">  </w:t>
      </w:r>
      <w:r w:rsidRPr="005E779E">
        <w:rPr>
          <w:color w:val="000000" w:themeColor="text1"/>
          <w:sz w:val="16"/>
          <w:szCs w:val="16"/>
        </w:rPr>
        <w:t xml:space="preserve"> РАСХОДЫ ПО СОДЕРЖАНИЮ ВРЕДИТЕЛЕЙ.</w:t>
      </w:r>
    </w:p>
    <w:p w14:paraId="2239BEDE" w14:textId="77777777" w:rsidR="004C3F6D" w:rsidRPr="005E779E" w:rsidRDefault="004C3F6D" w:rsidP="000B7A6C">
      <w:pPr>
        <w:pStyle w:val="rtejustify"/>
        <w:spacing w:before="0" w:after="0"/>
        <w:rPr>
          <w:color w:val="000000" w:themeColor="text1"/>
          <w:sz w:val="16"/>
          <w:szCs w:val="16"/>
        </w:rPr>
      </w:pPr>
      <w:r w:rsidRPr="005E779E">
        <w:rPr>
          <w:color w:val="000000" w:themeColor="text1"/>
          <w:sz w:val="16"/>
          <w:szCs w:val="16"/>
        </w:rPr>
        <w:t>Приказание вручить под расписку. (ГОРЯНОВ)</w:t>
      </w:r>
    </w:p>
    <w:p w14:paraId="1C5C0A44" w14:textId="77777777" w:rsidR="004C3F6D" w:rsidRPr="005E779E" w:rsidRDefault="004C3F6D" w:rsidP="000B7A6C">
      <w:pPr>
        <w:pStyle w:val="ae"/>
        <w:spacing w:before="0" w:after="0"/>
        <w:jc w:val="both"/>
        <w:rPr>
          <w:color w:val="000000" w:themeColor="text1"/>
          <w:sz w:val="16"/>
          <w:szCs w:val="16"/>
        </w:rPr>
      </w:pPr>
      <w:r w:rsidRPr="005E779E">
        <w:rPr>
          <w:rStyle w:val="af0"/>
          <w:i w:val="0"/>
          <w:color w:val="000000" w:themeColor="text1"/>
          <w:sz w:val="16"/>
          <w:szCs w:val="16"/>
        </w:rPr>
        <w:t>РГАЭ. Ф. 38. Oп. 1. Д. 2. Л. 72. Заверенная машинописная копия того времени. Числа в датах проставлены от руки. Вверху справа написано от руки «тов. Наумину» (19071).</w:t>
      </w:r>
    </w:p>
    <w:p w14:paraId="12028E59" w14:textId="77777777" w:rsidR="004C3F6D" w:rsidRPr="005E779E" w:rsidRDefault="004C3F6D" w:rsidP="000B7A6C">
      <w:pPr>
        <w:spacing w:after="0" w:line="240" w:lineRule="auto"/>
        <w:jc w:val="both"/>
        <w:rPr>
          <w:rFonts w:ascii="Times New Roman" w:hAnsi="Times New Roman"/>
          <w:color w:val="000000" w:themeColor="text1"/>
          <w:sz w:val="16"/>
          <w:szCs w:val="16"/>
        </w:rPr>
      </w:pPr>
    </w:p>
    <w:p w14:paraId="071BB64A"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4D2CF313"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5E90A3E" w14:textId="77777777" w:rsidR="003E00E3" w:rsidRPr="00142305" w:rsidRDefault="003E00E3" w:rsidP="003E00E3">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 xml:space="preserve">13 сентября 1931 г. в Ли-Оксленте состоялись последние гонки на приз Шнейдера. Английским летчикам уже незачем было рисковать. Все равно кубок достался бы только им. Пилот Бутсмен на «Супермарине» </w:t>
      </w:r>
      <w:r w:rsidRPr="00142305">
        <w:rPr>
          <w:rStyle w:val="aff0"/>
          <w:rFonts w:ascii="Times New Roman" w:hAnsi="Times New Roman" w:cs="Times New Roman"/>
          <w:color w:val="0070C0"/>
          <w:spacing w:val="0"/>
          <w:sz w:val="16"/>
          <w:szCs w:val="16"/>
          <w:lang w:val="en-US"/>
        </w:rPr>
        <w:t>S</w:t>
      </w:r>
      <w:r w:rsidRPr="00142305">
        <w:rPr>
          <w:rStyle w:val="aff0"/>
          <w:rFonts w:ascii="Times New Roman" w:hAnsi="Times New Roman" w:cs="Times New Roman"/>
          <w:color w:val="0070C0"/>
          <w:spacing w:val="0"/>
          <w:sz w:val="16"/>
          <w:szCs w:val="16"/>
        </w:rPr>
        <w:t>.6 спокойно прошел всю дистанцию в 350 км со средней скоростью 547,32 км/ч и принес победу Великобри</w:t>
      </w:r>
      <w:r w:rsidRPr="00142305">
        <w:rPr>
          <w:rStyle w:val="aff0"/>
          <w:rFonts w:ascii="Times New Roman" w:hAnsi="Times New Roman" w:cs="Times New Roman"/>
          <w:color w:val="0070C0"/>
          <w:spacing w:val="0"/>
          <w:sz w:val="16"/>
          <w:szCs w:val="16"/>
        </w:rPr>
        <w:softHyphen/>
        <w:t xml:space="preserve">тании. В тот же день летчик Стэйнфорт на самолете </w:t>
      </w:r>
      <w:r w:rsidRPr="00142305">
        <w:rPr>
          <w:rStyle w:val="aff0"/>
          <w:rFonts w:ascii="Times New Roman" w:hAnsi="Times New Roman" w:cs="Times New Roman"/>
          <w:color w:val="0070C0"/>
          <w:spacing w:val="0"/>
          <w:sz w:val="16"/>
          <w:szCs w:val="16"/>
          <w:lang w:val="en-US"/>
        </w:rPr>
        <w:t>S</w:t>
      </w:r>
      <w:r w:rsidRPr="00142305">
        <w:rPr>
          <w:rStyle w:val="aff0"/>
          <w:rFonts w:ascii="Times New Roman" w:hAnsi="Times New Roman" w:cs="Times New Roman"/>
          <w:color w:val="0070C0"/>
          <w:spacing w:val="0"/>
          <w:sz w:val="16"/>
          <w:szCs w:val="16"/>
        </w:rPr>
        <w:t>.6</w:t>
      </w:r>
      <w:r w:rsidRPr="00142305">
        <w:rPr>
          <w:rStyle w:val="aff0"/>
          <w:rFonts w:ascii="Times New Roman" w:hAnsi="Times New Roman" w:cs="Times New Roman"/>
          <w:color w:val="0070C0"/>
          <w:spacing w:val="0"/>
          <w:sz w:val="16"/>
          <w:szCs w:val="16"/>
          <w:lang w:val="en-US"/>
        </w:rPr>
        <w:t>B</w:t>
      </w:r>
      <w:r w:rsidRPr="00142305">
        <w:rPr>
          <w:rStyle w:val="aff0"/>
          <w:rFonts w:ascii="Times New Roman" w:hAnsi="Times New Roman" w:cs="Times New Roman"/>
          <w:color w:val="0070C0"/>
          <w:spacing w:val="0"/>
          <w:sz w:val="16"/>
          <w:szCs w:val="16"/>
        </w:rPr>
        <w:t xml:space="preserve"> уста</w:t>
      </w:r>
      <w:r w:rsidRPr="00142305">
        <w:rPr>
          <w:rStyle w:val="aff0"/>
          <w:rFonts w:ascii="Times New Roman" w:hAnsi="Times New Roman" w:cs="Times New Roman"/>
          <w:color w:val="0070C0"/>
          <w:spacing w:val="0"/>
          <w:sz w:val="16"/>
          <w:szCs w:val="16"/>
        </w:rPr>
        <w:softHyphen/>
        <w:t xml:space="preserve">новил новый мировой рекорд на базе 3 км — 610 км/ч. Но это был еще не предел. Буквально за две недели на </w:t>
      </w:r>
      <w:r w:rsidRPr="00142305">
        <w:rPr>
          <w:rStyle w:val="aff0"/>
          <w:rFonts w:ascii="Times New Roman" w:hAnsi="Times New Roman" w:cs="Times New Roman"/>
          <w:color w:val="0070C0"/>
          <w:spacing w:val="0"/>
          <w:sz w:val="16"/>
          <w:szCs w:val="16"/>
          <w:lang w:val="en-US"/>
        </w:rPr>
        <w:t>S</w:t>
      </w:r>
      <w:r w:rsidRPr="00142305">
        <w:rPr>
          <w:rStyle w:val="aff0"/>
          <w:rFonts w:ascii="Times New Roman" w:hAnsi="Times New Roman" w:cs="Times New Roman"/>
          <w:color w:val="0070C0"/>
          <w:spacing w:val="0"/>
          <w:sz w:val="16"/>
          <w:szCs w:val="16"/>
        </w:rPr>
        <w:t>.6</w:t>
      </w:r>
      <w:r w:rsidRPr="00142305">
        <w:rPr>
          <w:rStyle w:val="aff0"/>
          <w:rFonts w:ascii="Times New Roman" w:hAnsi="Times New Roman" w:cs="Times New Roman"/>
          <w:color w:val="0070C0"/>
          <w:spacing w:val="0"/>
          <w:sz w:val="16"/>
          <w:szCs w:val="16"/>
          <w:lang w:val="en-US"/>
        </w:rPr>
        <w:t>B</w:t>
      </w:r>
      <w:r w:rsidRPr="00142305">
        <w:rPr>
          <w:rStyle w:val="aff0"/>
          <w:rFonts w:ascii="Times New Roman" w:hAnsi="Times New Roman" w:cs="Times New Roman"/>
          <w:color w:val="0070C0"/>
          <w:spacing w:val="0"/>
          <w:sz w:val="16"/>
          <w:szCs w:val="16"/>
        </w:rPr>
        <w:t xml:space="preserve"> установили форсированный двигатель повышенной мощности, и 29 сен</w:t>
      </w:r>
      <w:r w:rsidRPr="00142305">
        <w:rPr>
          <w:rStyle w:val="aff0"/>
          <w:rFonts w:ascii="Times New Roman" w:hAnsi="Times New Roman" w:cs="Times New Roman"/>
          <w:color w:val="0070C0"/>
          <w:spacing w:val="0"/>
          <w:sz w:val="16"/>
          <w:szCs w:val="16"/>
        </w:rPr>
        <w:softHyphen/>
        <w:t>тября этот самолет на базе 3 км достиг скорости 657,76 км/ч. Столь высокий результат еще раз показал превосходство гоночных са</w:t>
      </w:r>
      <w:r w:rsidRPr="00142305">
        <w:rPr>
          <w:rStyle w:val="aff0"/>
          <w:rFonts w:ascii="Times New Roman" w:hAnsi="Times New Roman" w:cs="Times New Roman"/>
          <w:color w:val="0070C0"/>
          <w:spacing w:val="0"/>
          <w:sz w:val="16"/>
          <w:szCs w:val="16"/>
        </w:rPr>
        <w:softHyphen/>
        <w:t>молетов фирмы «Супермарин» над всеми другими машинами аналогичного класса (25675).</w:t>
      </w:r>
    </w:p>
    <w:p w14:paraId="283AB0B6" w14:textId="77777777" w:rsidR="003E00E3" w:rsidRPr="00142305" w:rsidRDefault="003E00E3" w:rsidP="003E00E3">
      <w:pPr>
        <w:spacing w:after="0" w:line="240" w:lineRule="auto"/>
        <w:jc w:val="both"/>
        <w:rPr>
          <w:rFonts w:ascii="Times New Roman" w:hAnsi="Times New Roman"/>
          <w:color w:val="0070C0"/>
          <w:sz w:val="16"/>
          <w:szCs w:val="16"/>
        </w:rPr>
      </w:pPr>
    </w:p>
    <w:p w14:paraId="1B9F8252" w14:textId="77777777" w:rsidR="00A30954" w:rsidRPr="005E779E" w:rsidRDefault="00A3095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сентября 1931 пилоты Соединенного Королевства полностью получают Schneider Trophy, выиграв свою третью подряд гонку. Royal Air Force Flight лейтенант Джон Бутман из RAF High-Speed Flight завершает полет на косе Calshot в Супермарин S.6B ссерийным номером S1595, показав скорость 547,297 км / ч (340,1 миль в час). После выигрыша кубка гонки Schneider Trophy, начатые в 1913 году, подошли к концу (20804).</w:t>
      </w:r>
    </w:p>
    <w:p w14:paraId="515752C3" w14:textId="77777777" w:rsidR="00A30954" w:rsidRPr="005E779E" w:rsidRDefault="00A30954" w:rsidP="000B7A6C">
      <w:pPr>
        <w:spacing w:after="0" w:line="240" w:lineRule="auto"/>
        <w:jc w:val="both"/>
        <w:rPr>
          <w:rFonts w:ascii="Times New Roman" w:hAnsi="Times New Roman"/>
          <w:color w:val="000000" w:themeColor="text1"/>
          <w:sz w:val="16"/>
          <w:szCs w:val="16"/>
        </w:rPr>
      </w:pPr>
    </w:p>
    <w:p w14:paraId="1E0EEDEA" w14:textId="77777777" w:rsidR="00A30954" w:rsidRPr="005E779E" w:rsidRDefault="00A3095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сентября 1931 г. на остров Уайт у Саутгемптона стала съезжаться почтенная публика, прибыл даже сам британский премьер Макдональд. Английские пилоты устроили сами для себя парад, а потом летчик Высокоскоростного звена Королевских ВВС Джон Бутмен сделал один единственный зачетный полет: на самолете S.6B борт S1595 он прошел семь кругов по 50 км за 38 минут и 17 секунд, улучшив предыдущее достижение лишь на 34,2 секунды. Его средняя скорость составила 548,542 км/ч, прирост был 3,7 % — самый слабый за всю историю гонок! Согласно протоколу, судьи ждали некоторое время, не появится ли на старте еще какой-либо участник, как будто это было вообще возможно (ведь никто не приехал!), а затем объявили о закрытии соревнований. И хотя Королевский аэроклуб получил вожделенный Кубок Шнейдера навсегда и устроил по этому поводу пышную церемонию, разочарованы были буквально все — и публика, и пресса, и товарищи Бутмена по команде. Интересно было отношение к происходящему правительства Его Величества. Как оказалось, гонка для приезда премьера в Саутгемптон и на остров Уайт была лишь поводом, а сам он провел все время на митингах в базе ВМС Спитхед. Макдональд пытался спасти репутацию своего бездарного кабинета и погасить «брожение» среди матросов и офицеров Королевского флота, вызванное стремительным переносом кризиса из США в Англию и полной неспособностью премьера как-либо этому помешать (22764).</w:t>
      </w:r>
    </w:p>
    <w:p w14:paraId="3DC9F323" w14:textId="77777777" w:rsidR="00A30954" w:rsidRPr="005E779E" w:rsidRDefault="00A30954" w:rsidP="000B7A6C">
      <w:pPr>
        <w:spacing w:after="0" w:line="240" w:lineRule="auto"/>
        <w:jc w:val="both"/>
        <w:rPr>
          <w:rFonts w:ascii="Times New Roman" w:hAnsi="Times New Roman"/>
          <w:color w:val="000000" w:themeColor="text1"/>
          <w:sz w:val="16"/>
          <w:szCs w:val="16"/>
        </w:rPr>
      </w:pPr>
    </w:p>
    <w:p w14:paraId="5075F0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сентября 1931 в Австрии была неудавшаяся попытка фашистского переворота во главе с Пфримером (3481).</w:t>
      </w:r>
    </w:p>
    <w:p w14:paraId="579C0F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90A72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сентября 1931 в Австрии предпринята неудачная попытка государственного военного переворота во главе с фашистским лидером Пфимером (7444).</w:t>
      </w:r>
    </w:p>
    <w:p w14:paraId="40D353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63A01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сентября 1931 англичанин Стейфорт на Супермарине S.6 уже после победы в Кубке Шнайдера установил мировой рекорд скорости в 610 км/час (4207, 72).</w:t>
      </w:r>
    </w:p>
    <w:p w14:paraId="7A63CF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21538F4"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6336E372"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BC081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и 10 сентября 1931 на маневрах Украинского ВО под Могилевом с трех АНТ-9 высаживались комбинированные парашютно-посадочные десанты (10542,28).</w:t>
      </w:r>
    </w:p>
    <w:p w14:paraId="33330E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8B9F938" w14:textId="77777777" w:rsidR="00EF159B" w:rsidRPr="005E779E" w:rsidRDefault="00EF159B"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bCs/>
          <w:color w:val="000000" w:themeColor="text1"/>
          <w:sz w:val="16"/>
          <w:szCs w:val="16"/>
          <w:lang w:eastAsia="ru-RU"/>
        </w:rPr>
        <w:t>14 сентября 1931 г. Сталин — Кагановичу, Ягоде</w:t>
      </w:r>
    </w:p>
    <w:p w14:paraId="219ABC7A" w14:textId="77777777" w:rsidR="00EF159B" w:rsidRPr="005E779E" w:rsidRDefault="00EF159B"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lastRenderedPageBreak/>
        <w:t>Кагановичу, копия Ягоде. Считаю преждевременной передачу конструкторских бюро ОПТУ в ведение ВСНХ</w:t>
      </w:r>
      <w:r w:rsidRPr="005E779E">
        <w:rPr>
          <w:rFonts w:ascii="Times New Roman" w:eastAsia="Times New Roman" w:hAnsi="Times New Roman"/>
          <w:color w:val="000000" w:themeColor="text1"/>
          <w:sz w:val="16"/>
          <w:szCs w:val="16"/>
          <w:vertAlign w:val="superscript"/>
          <w:lang w:eastAsia="ru-RU"/>
        </w:rPr>
        <w:t>1</w:t>
      </w:r>
      <w:r w:rsidRPr="005E779E">
        <w:rPr>
          <w:rFonts w:ascii="Times New Roman" w:eastAsia="Times New Roman" w:hAnsi="Times New Roman"/>
          <w:color w:val="000000" w:themeColor="text1"/>
          <w:sz w:val="16"/>
          <w:szCs w:val="16"/>
          <w:lang w:eastAsia="ru-RU"/>
        </w:rPr>
        <w:t>. Сталин. №38 10.45 14/IX — 31 г.2</w:t>
      </w:r>
    </w:p>
    <w:p w14:paraId="483D53B6" w14:textId="77777777" w:rsidR="00EF159B" w:rsidRPr="005E779E" w:rsidRDefault="00EF159B"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Ф. </w:t>
      </w:r>
      <w:r w:rsidRPr="005E779E">
        <w:rPr>
          <w:rFonts w:ascii="Times New Roman" w:eastAsia="Times New Roman" w:hAnsi="Times New Roman"/>
          <w:iCs/>
          <w:color w:val="000000" w:themeColor="text1"/>
          <w:sz w:val="16"/>
          <w:szCs w:val="16"/>
          <w:lang w:eastAsia="ru-RU"/>
        </w:rPr>
        <w:t>558. Оп. 11. Д. 76. Л. 64. Автограф.</w:t>
      </w:r>
    </w:p>
    <w:p w14:paraId="73C13A37" w14:textId="77777777" w:rsidR="00EF159B" w:rsidRPr="005E779E" w:rsidRDefault="00EF159B"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vertAlign w:val="superscript"/>
          <w:lang w:eastAsia="ru-RU"/>
        </w:rPr>
        <w:t>1</w:t>
      </w:r>
      <w:r w:rsidRPr="005E779E">
        <w:rPr>
          <w:rFonts w:ascii="Times New Roman" w:eastAsia="Times New Roman" w:hAnsi="Times New Roman"/>
          <w:color w:val="000000" w:themeColor="text1"/>
          <w:sz w:val="16"/>
          <w:szCs w:val="16"/>
          <w:lang w:eastAsia="ru-RU"/>
        </w:rPr>
        <w:t xml:space="preserve"> 30 августа 1931 г. ПБ рассмотрело по предложению Орджоникидзе и Акулова вопрос «О конструкторских бюро». Решение было отложено, ПБ поручило Орджоникидзе и Акулову внести согласованное предложение (РГАСПИ. Ф. 17. Оп. 162. Д. 10. Л. 175). После телеграммы Сталина 20 сентября 1931 г. ПБ постановило (Оставить конструкторские бюро при ОПТУ (Там же. Оп.. 3. Д. 849. Л. 3). При этом ПБ приняло предложение Акулова и Орджоникидзе об освобождении некоторой части инженеров для работы в ВСНХ по списку, согласованному между Акуловым и Орджоникидзе (Там же. Оп. 162. Д. П. Л. 10) (17281).</w:t>
      </w:r>
    </w:p>
    <w:p w14:paraId="56E34CA9" w14:textId="77777777" w:rsidR="00EF159B" w:rsidRPr="005E779E" w:rsidRDefault="00EF159B" w:rsidP="000B7A6C">
      <w:pPr>
        <w:autoSpaceDE w:val="0"/>
        <w:autoSpaceDN w:val="0"/>
        <w:adjustRightInd w:val="0"/>
        <w:spacing w:after="0" w:line="240" w:lineRule="auto"/>
        <w:jc w:val="both"/>
        <w:rPr>
          <w:rFonts w:ascii="Times New Roman" w:hAnsi="Times New Roman"/>
          <w:color w:val="000000" w:themeColor="text1"/>
          <w:sz w:val="16"/>
          <w:szCs w:val="16"/>
        </w:rPr>
      </w:pPr>
    </w:p>
    <w:p w14:paraId="6900D2D2"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5FA4C3EA"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EFCCAF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и 14 сентября 1931 при проведении войсковых маневров в районе Могилевки осуществили две ком</w:t>
      </w:r>
      <w:r w:rsidRPr="005E779E">
        <w:rPr>
          <w:rFonts w:ascii="Times New Roman" w:hAnsi="Times New Roman"/>
          <w:color w:val="000000" w:themeColor="text1"/>
          <w:sz w:val="16"/>
          <w:szCs w:val="16"/>
        </w:rPr>
        <w:softHyphen/>
        <w:t>бинированные операции. Парашютистов сбрасывали из трех АНТ-9, затем эскадрилья ТБ-1 приземлялась и выгружала технику и вооружение. Хотя первые эксперименты оказались вполне успешными, новый род войск все еще находился в зачаточном состоянии, и требовалось вести дальнейшее совершен</w:t>
      </w:r>
      <w:r w:rsidRPr="005E779E">
        <w:rPr>
          <w:rFonts w:ascii="Times New Roman" w:hAnsi="Times New Roman"/>
          <w:color w:val="000000" w:themeColor="text1"/>
          <w:sz w:val="16"/>
          <w:szCs w:val="16"/>
        </w:rPr>
        <w:softHyphen/>
        <w:t>ствование техники и снаряжения. В апреле-мае 1933 г. в каждом военном округе сфор</w:t>
      </w:r>
      <w:r w:rsidRPr="005E779E">
        <w:rPr>
          <w:rFonts w:ascii="Times New Roman" w:hAnsi="Times New Roman"/>
          <w:color w:val="000000" w:themeColor="text1"/>
          <w:sz w:val="16"/>
          <w:szCs w:val="16"/>
        </w:rPr>
        <w:softHyphen/>
        <w:t>мировали отдельные стрелковые батальо</w:t>
      </w:r>
      <w:r w:rsidRPr="005E779E">
        <w:rPr>
          <w:rFonts w:ascii="Times New Roman" w:hAnsi="Times New Roman"/>
          <w:color w:val="000000" w:themeColor="text1"/>
          <w:sz w:val="16"/>
          <w:szCs w:val="16"/>
        </w:rPr>
        <w:softHyphen/>
        <w:t>ны особого назначения (ОСБОН), куда по штату входили 2 У-2, 2 Р-5 и 1 ТБ-1. В сформированную бригаду Особого назна</w:t>
      </w:r>
      <w:r w:rsidRPr="005E779E">
        <w:rPr>
          <w:rFonts w:ascii="Times New Roman" w:hAnsi="Times New Roman"/>
          <w:color w:val="000000" w:themeColor="text1"/>
          <w:sz w:val="16"/>
          <w:szCs w:val="16"/>
        </w:rPr>
        <w:softHyphen/>
        <w:t>чения в Детском Селе сначала предполага</w:t>
      </w:r>
      <w:r w:rsidRPr="005E779E">
        <w:rPr>
          <w:rFonts w:ascii="Times New Roman" w:hAnsi="Times New Roman"/>
          <w:color w:val="000000" w:themeColor="text1"/>
          <w:sz w:val="16"/>
          <w:szCs w:val="16"/>
        </w:rPr>
        <w:softHyphen/>
        <w:t>ли направить 6 ТБ-1, затем 3 ТБ-3 и ЗТБ-1. В конце мая 1933 г. начались сборы десант</w:t>
      </w:r>
      <w:r w:rsidRPr="005E779E">
        <w:rPr>
          <w:rFonts w:ascii="Times New Roman" w:hAnsi="Times New Roman"/>
          <w:color w:val="000000" w:themeColor="text1"/>
          <w:sz w:val="16"/>
          <w:szCs w:val="16"/>
        </w:rPr>
        <w:softHyphen/>
        <w:t>ных отделений стрелковых дивизий в Мо</w:t>
      </w:r>
      <w:r w:rsidRPr="005E779E">
        <w:rPr>
          <w:rFonts w:ascii="Times New Roman" w:hAnsi="Times New Roman"/>
          <w:color w:val="000000" w:themeColor="text1"/>
          <w:sz w:val="16"/>
          <w:szCs w:val="16"/>
        </w:rPr>
        <w:softHyphen/>
        <w:t>нино под Москвой и в Гатчине под Ленин</w:t>
      </w:r>
      <w:r w:rsidRPr="005E779E">
        <w:rPr>
          <w:rFonts w:ascii="Times New Roman" w:hAnsi="Times New Roman"/>
          <w:color w:val="000000" w:themeColor="text1"/>
          <w:sz w:val="16"/>
          <w:szCs w:val="16"/>
        </w:rPr>
        <w:softHyphen/>
        <w:t>градом. Парашютные прыжки осуществля</w:t>
      </w:r>
      <w:r w:rsidRPr="005E779E">
        <w:rPr>
          <w:rFonts w:ascii="Times New Roman" w:hAnsi="Times New Roman"/>
          <w:color w:val="000000" w:themeColor="text1"/>
          <w:sz w:val="16"/>
          <w:szCs w:val="16"/>
        </w:rPr>
        <w:softHyphen/>
        <w:t>ли из ТБ-1, оборудованных кабинами КП-1 системы Гроховского. Впрочем, уже в 1934-35 гг. для осуществления в ходе уче</w:t>
      </w:r>
      <w:r w:rsidRPr="005E779E">
        <w:rPr>
          <w:rFonts w:ascii="Times New Roman" w:hAnsi="Times New Roman"/>
          <w:color w:val="000000" w:themeColor="text1"/>
          <w:sz w:val="16"/>
          <w:szCs w:val="16"/>
        </w:rPr>
        <w:softHyphen/>
        <w:t>ний массовых десантов применили ТБ-3, а ТБ-1 с подвесными кабинами использова</w:t>
      </w:r>
      <w:r w:rsidRPr="005E779E">
        <w:rPr>
          <w:rFonts w:ascii="Times New Roman" w:hAnsi="Times New Roman"/>
          <w:color w:val="000000" w:themeColor="text1"/>
          <w:sz w:val="16"/>
          <w:szCs w:val="16"/>
        </w:rPr>
        <w:softHyphen/>
        <w:t>ли для тренировок (11286).</w:t>
      </w:r>
    </w:p>
    <w:p w14:paraId="530423B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DB6B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и 14 сентября 1931 парашютные десанты сочетались с посадочными. Парашютистов сбрасывали с АНТ-9 и ТБ-1. Парашют политрука Кузнецова, прыгавшего с бомбардировщика 55-й эскадрильи, не раскрылся. Он упал с высоты 500 м и разбился. У другого десантника купол развернулся только на 50 м. Среди парашютистов некоторые получили ранения и ушибы. С самолетов сбрасывали не только людей, но и мешки с различными грузами, в том числе ДРП.</w:t>
      </w:r>
    </w:p>
    <w:p w14:paraId="5CC7C5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Парашютисты захватили посадочную площадку, на которую приземлились самолеты с посадочным десантом. От места высадки он двинулся форсированным маршем по намеченному маршруту. Его успех был омрачен только одним происшествием: на месте ночевки десантники забыли в деревенском сарае... ручной пулемет!</w:t>
      </w:r>
    </w:p>
    <w:p w14:paraId="76F382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собравшихся на учения начальников организовали демонстрационный сброс с ТБ-1 трехместного авиабуса.</w:t>
      </w:r>
    </w:p>
    <w:p w14:paraId="76F0A9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Успех учений несколько омрачила катастрофа, произошедшая сразу после их окончания. Принадлежавший десантному отряду ТБ-1, под которым был подвешен пикап, взлетел, чтобы вернуться на постоянное место дислокации. Самолет был сильно перегружен. Кроме автомобиля, он нес различное имущество. На борту находилось семь человек. Но один из моторов отказал (как потом выяснилось, оборвался шатун). Пилот решил сделать круг и сесть на ту же площадку, но недооценил создаваемого наружной подвеской пикирующего момента. Самолет врезался в землю: все находившиеся в нем погибли (12036).</w:t>
      </w:r>
    </w:p>
    <w:p w14:paraId="09A2D9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8438F43"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сентяб</w:t>
      </w:r>
      <w:r w:rsidRPr="005E779E">
        <w:rPr>
          <w:rFonts w:ascii="Times New Roman" w:hAnsi="Times New Roman"/>
          <w:color w:val="000000" w:themeColor="text1"/>
          <w:sz w:val="16"/>
          <w:szCs w:val="16"/>
        </w:rPr>
        <w:softHyphen/>
        <w:t>ря 1931 ТБ-1 использовались для перевозки десантников. После захвата площадок выброшенными с трёхмоторных АНТ-9 парашютис</w:t>
      </w:r>
      <w:r w:rsidRPr="005E779E">
        <w:rPr>
          <w:rFonts w:ascii="Times New Roman" w:hAnsi="Times New Roman"/>
          <w:color w:val="000000" w:themeColor="text1"/>
          <w:sz w:val="16"/>
          <w:szCs w:val="16"/>
        </w:rPr>
        <w:softHyphen/>
        <w:t>тами тяжёлые бомбардировщики начали приземляться там с пехотой на борту (23469).</w:t>
      </w:r>
    </w:p>
    <w:p w14:paraId="22DBB743" w14:textId="77777777" w:rsidR="007F1987" w:rsidRPr="005E779E" w:rsidRDefault="007F1987" w:rsidP="000B7A6C">
      <w:pPr>
        <w:spacing w:after="0" w:line="240" w:lineRule="auto"/>
        <w:jc w:val="both"/>
        <w:rPr>
          <w:rFonts w:ascii="Times New Roman" w:hAnsi="Times New Roman"/>
          <w:color w:val="000000" w:themeColor="text1"/>
          <w:sz w:val="16"/>
          <w:szCs w:val="16"/>
        </w:rPr>
      </w:pPr>
    </w:p>
    <w:p w14:paraId="477673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сентября 1931 командир 37-й эскадрильи И.А. Назарчук повел группу самолетов Р-5 на бомбежку банды, отступавшей от колодца Чагыл. Летчики сбросили на врага 150 бомб по 8 кг (12034).</w:t>
      </w:r>
    </w:p>
    <w:p w14:paraId="264929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FBAAF86" w14:textId="77777777" w:rsidR="006741BB" w:rsidRPr="005E779E" w:rsidRDefault="006741BB"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17EC82CC" w14:textId="77777777" w:rsidR="006741BB" w:rsidRPr="005E779E" w:rsidRDefault="006741BB"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7627ACA" w14:textId="77777777" w:rsidR="006741BB" w:rsidRPr="005E779E" w:rsidRDefault="006741BB"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15 сентября 1931 г.</w:t>
      </w:r>
    </w:p>
    <w:p w14:paraId="480D7771" w14:textId="77777777" w:rsidR="006741BB" w:rsidRPr="005E779E" w:rsidRDefault="006741BB"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Докладная записка Л. К. Рамзина начальнику ОКБ № 11 Н. И. Наумину о ходе работ «по проектированию и постройке прямоточного котла». 15 сентября 1931 г.</w:t>
      </w:r>
    </w:p>
    <w:p w14:paraId="47ABFEA5" w14:textId="77777777" w:rsidR="006741BB" w:rsidRPr="005E779E" w:rsidRDefault="006741BB"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Источник: </w:t>
      </w:r>
    </w:p>
    <w:p w14:paraId="2C54DC8E" w14:textId="77777777" w:rsidR="006741BB" w:rsidRPr="005E779E" w:rsidRDefault="006741B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E9DFA8B" w14:textId="77777777" w:rsidR="006741BB" w:rsidRPr="005E779E" w:rsidRDefault="006741BB"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Архив: </w:t>
      </w:r>
    </w:p>
    <w:p w14:paraId="1DA180DD" w14:textId="77777777" w:rsidR="006741BB" w:rsidRPr="005E779E" w:rsidRDefault="006741B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РГАЭ. Ф. 38. Oп. 1.Д. 69. Л. 10-12</w:t>
      </w:r>
    </w:p>
    <w:p w14:paraId="57D95402" w14:textId="77777777" w:rsidR="006741BB" w:rsidRPr="005E779E" w:rsidRDefault="006741BB" w:rsidP="000B7A6C">
      <w:pPr>
        <w:pStyle w:val="rteright"/>
        <w:spacing w:before="0" w:after="0"/>
        <w:jc w:val="both"/>
        <w:rPr>
          <w:color w:val="000000" w:themeColor="text1"/>
          <w:sz w:val="16"/>
          <w:szCs w:val="16"/>
        </w:rPr>
      </w:pPr>
      <w:r w:rsidRPr="005E779E">
        <w:rPr>
          <w:color w:val="000000" w:themeColor="text1"/>
          <w:sz w:val="16"/>
          <w:szCs w:val="16"/>
        </w:rPr>
        <w:t>15 сентября 1931 г.</w:t>
      </w:r>
    </w:p>
    <w:p w14:paraId="4778B3A2" w14:textId="77777777" w:rsidR="006741BB" w:rsidRPr="005E779E" w:rsidRDefault="006741BB" w:rsidP="000B7A6C">
      <w:pPr>
        <w:pStyle w:val="rtecenter"/>
        <w:spacing w:before="0" w:after="0"/>
        <w:jc w:val="both"/>
        <w:rPr>
          <w:color w:val="000000" w:themeColor="text1"/>
          <w:sz w:val="16"/>
          <w:szCs w:val="16"/>
        </w:rPr>
      </w:pPr>
      <w:r w:rsidRPr="005E779E">
        <w:rPr>
          <w:color w:val="000000" w:themeColor="text1"/>
          <w:sz w:val="16"/>
          <w:szCs w:val="16"/>
        </w:rPr>
        <w:t>Начальнику ОКБ № 11</w:t>
      </w:r>
    </w:p>
    <w:p w14:paraId="7C901EB2" w14:textId="77777777" w:rsidR="006741BB" w:rsidRPr="005E779E" w:rsidRDefault="006741BB" w:rsidP="000B7A6C">
      <w:pPr>
        <w:pStyle w:val="rtecenter"/>
        <w:spacing w:before="0" w:after="0"/>
        <w:jc w:val="both"/>
        <w:rPr>
          <w:color w:val="000000" w:themeColor="text1"/>
          <w:sz w:val="16"/>
          <w:szCs w:val="16"/>
        </w:rPr>
      </w:pPr>
      <w:r w:rsidRPr="005E779E">
        <w:rPr>
          <w:color w:val="000000" w:themeColor="text1"/>
          <w:sz w:val="16"/>
          <w:szCs w:val="16"/>
        </w:rPr>
        <w:t>тов. Н. И. Наумину</w:t>
      </w:r>
    </w:p>
    <w:p w14:paraId="3FF6927E" w14:textId="77777777" w:rsidR="006741BB" w:rsidRPr="005E779E" w:rsidRDefault="006741BB" w:rsidP="000B7A6C">
      <w:pPr>
        <w:pStyle w:val="ae"/>
        <w:spacing w:before="0" w:after="0"/>
        <w:jc w:val="both"/>
        <w:rPr>
          <w:color w:val="000000" w:themeColor="text1"/>
          <w:sz w:val="16"/>
          <w:szCs w:val="16"/>
        </w:rPr>
      </w:pPr>
      <w:r w:rsidRPr="005E779E">
        <w:rPr>
          <w:color w:val="000000" w:themeColor="text1"/>
          <w:sz w:val="16"/>
          <w:szCs w:val="16"/>
        </w:rPr>
        <w:t>от Л. К. Рамзина</w:t>
      </w:r>
    </w:p>
    <w:p w14:paraId="715EC11D" w14:textId="77777777" w:rsidR="006741BB" w:rsidRPr="005E779E" w:rsidRDefault="006741BB" w:rsidP="000B7A6C">
      <w:pPr>
        <w:pStyle w:val="rtejustify"/>
        <w:spacing w:before="0" w:after="0"/>
        <w:rPr>
          <w:color w:val="000000" w:themeColor="text1"/>
          <w:sz w:val="16"/>
          <w:szCs w:val="16"/>
        </w:rPr>
      </w:pPr>
      <w:r w:rsidRPr="005E779E">
        <w:rPr>
          <w:color w:val="000000" w:themeColor="text1"/>
          <w:sz w:val="16"/>
          <w:szCs w:val="16"/>
        </w:rPr>
        <w:t>Настоящим считаю своим долгом сообщить Вам мои соображения о ходе работ по проектированию и постройке прямоточного котла моей системы, дабы Вы могли своевременно принять необходимые меры во избежание дальнейшей затяжки сроков и ухудшения работы.</w:t>
      </w:r>
    </w:p>
    <w:p w14:paraId="5B237177" w14:textId="77777777" w:rsidR="006741BB" w:rsidRPr="005E779E" w:rsidRDefault="006741BB" w:rsidP="000B7A6C">
      <w:pPr>
        <w:pStyle w:val="rtejustify"/>
        <w:spacing w:before="0" w:after="0"/>
        <w:rPr>
          <w:color w:val="000000" w:themeColor="text1"/>
          <w:sz w:val="16"/>
          <w:szCs w:val="16"/>
        </w:rPr>
      </w:pPr>
      <w:r w:rsidRPr="005E779E">
        <w:rPr>
          <w:color w:val="000000" w:themeColor="text1"/>
          <w:sz w:val="16"/>
          <w:szCs w:val="16"/>
        </w:rPr>
        <w:t>При теперешней организации работы, когда я до сих пор остаюсь оторванным от всей группы и таким образом лишен возможности непосредственно руководить работой и отвечать за ее темпы и результаты, необходимо прежде всего констатировать полный провал намеченного календарного плана работ, ибо все сроки для окончания отдельных частей работы нарушены с опозданием на 1-2 месяца. Если и дальше работа будет вестись теперешним способом, опоздание несомненно будет постепенно прогрессировать и срок пуска котла и его испытаний очень сильно отодвинется.</w:t>
      </w:r>
    </w:p>
    <w:p w14:paraId="79C4CCDA" w14:textId="77777777" w:rsidR="006741BB" w:rsidRPr="005E779E" w:rsidRDefault="006741BB" w:rsidP="000B7A6C">
      <w:pPr>
        <w:pStyle w:val="rtejustify"/>
        <w:spacing w:before="0" w:after="0"/>
        <w:rPr>
          <w:color w:val="000000" w:themeColor="text1"/>
          <w:sz w:val="16"/>
          <w:szCs w:val="16"/>
        </w:rPr>
      </w:pPr>
      <w:r w:rsidRPr="005E779E">
        <w:rPr>
          <w:color w:val="000000" w:themeColor="text1"/>
          <w:sz w:val="16"/>
          <w:szCs w:val="16"/>
        </w:rPr>
        <w:t>Из особенно затянувшихся работ, грозящих задержать окончание постройки и пуска котла следует особенно подчеркнуть следующие.</w:t>
      </w:r>
    </w:p>
    <w:p w14:paraId="0DF3B33F" w14:textId="77777777" w:rsidR="006741BB" w:rsidRPr="005E779E" w:rsidRDefault="006741BB" w:rsidP="000B7A6C">
      <w:pPr>
        <w:numPr>
          <w:ilvl w:val="0"/>
          <w:numId w:val="28"/>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Змеевики.</w:t>
      </w:r>
    </w:p>
    <w:p w14:paraId="593028AA" w14:textId="77777777" w:rsidR="006741BB" w:rsidRPr="005E779E" w:rsidRDefault="006741BB" w:rsidP="000B7A6C">
      <w:pPr>
        <w:pStyle w:val="rtejustify"/>
        <w:spacing w:before="0" w:after="0"/>
        <w:rPr>
          <w:color w:val="000000" w:themeColor="text1"/>
          <w:sz w:val="16"/>
          <w:szCs w:val="16"/>
        </w:rPr>
      </w:pPr>
      <w:r w:rsidRPr="005E779E">
        <w:rPr>
          <w:color w:val="000000" w:themeColor="text1"/>
          <w:sz w:val="16"/>
          <w:szCs w:val="16"/>
        </w:rPr>
        <w:t>а) До сих пор еще не прокатана болванка для изготовления труб, ибо уже более месяца мы ждем ответа от Днепропетровского завода им. Ленина. Неполучение ответа задерживает плавку и прокатку стали и ее отправку на завод. Необходимо самым срочным образом добиться ответа от Днепропетровского завода, прокатать и отправить болванку и срочно протянуть трубки, ибо задержка здесь держит всю работу.</w:t>
      </w:r>
    </w:p>
    <w:p w14:paraId="2794E51D" w14:textId="77777777" w:rsidR="006741BB" w:rsidRPr="005E779E" w:rsidRDefault="006741BB" w:rsidP="000B7A6C">
      <w:pPr>
        <w:pStyle w:val="rtejustify"/>
        <w:spacing w:before="0" w:after="0"/>
        <w:rPr>
          <w:color w:val="000000" w:themeColor="text1"/>
          <w:sz w:val="16"/>
          <w:szCs w:val="16"/>
        </w:rPr>
      </w:pPr>
      <w:r w:rsidRPr="005E779E">
        <w:rPr>
          <w:color w:val="000000" w:themeColor="text1"/>
          <w:sz w:val="16"/>
          <w:szCs w:val="16"/>
        </w:rPr>
        <w:t>б) Не выяснена до сих пор организация и место загибки змеевиков. их отжига и сварки. Надо скорее выпустить чертежи и послать инж. ФЮНЕРА в Днепропетровск, Таганрог и Ленинград для выяснения всех необходимых вопросов и наладки исполнения.</w:t>
      </w:r>
    </w:p>
    <w:p w14:paraId="16265DD5" w14:textId="77777777" w:rsidR="006741BB" w:rsidRPr="005E779E" w:rsidRDefault="006741BB" w:rsidP="000B7A6C">
      <w:pPr>
        <w:pStyle w:val="rtejustify"/>
        <w:spacing w:before="0" w:after="0"/>
        <w:rPr>
          <w:color w:val="000000" w:themeColor="text1"/>
          <w:sz w:val="16"/>
          <w:szCs w:val="16"/>
        </w:rPr>
      </w:pPr>
      <w:r w:rsidRPr="005E779E">
        <w:rPr>
          <w:color w:val="000000" w:themeColor="text1"/>
          <w:sz w:val="16"/>
          <w:szCs w:val="16"/>
        </w:rPr>
        <w:t>в) Сильно задержалась вся работа по сварке: надо ее ускорить, созвать специальное совещание, о котором я давно Вас просил, выделить в помощники ФЮНЕРУ специального человека, Форсировать ответ о сварке от Берлинского Торгпредства и энергично протолкнуть все работу.</w:t>
      </w:r>
    </w:p>
    <w:p w14:paraId="58EA751E" w14:textId="77777777" w:rsidR="006741BB" w:rsidRPr="005E779E" w:rsidRDefault="006741BB" w:rsidP="000B7A6C">
      <w:pPr>
        <w:pStyle w:val="rtejustify"/>
        <w:spacing w:before="0" w:after="0"/>
        <w:rPr>
          <w:color w:val="000000" w:themeColor="text1"/>
          <w:sz w:val="16"/>
          <w:szCs w:val="16"/>
        </w:rPr>
      </w:pPr>
      <w:r w:rsidRPr="005E779E">
        <w:rPr>
          <w:color w:val="000000" w:themeColor="text1"/>
          <w:sz w:val="16"/>
          <w:szCs w:val="16"/>
        </w:rPr>
        <w:t>г) Сильно задержалась работа по исследованию сталей, вследствие задержки изготовления образцов на зав[оде] Электросталь и неполучения четкого ответа от Днепровского Ин-та Металлов. Это задержит окончательный выбор стали. Вообще изготовление и монтаж змеевиков будет одной из самых ответственных и длительных работ, ибо при теперешней продвинутое работ лишь при самом энергичном нажиме и отсутствии неполадок удастся закончить змеевики не ранее 1.II — 1.III.</w:t>
      </w:r>
    </w:p>
    <w:p w14:paraId="359BD757" w14:textId="77777777" w:rsidR="006741BB" w:rsidRPr="005E779E" w:rsidRDefault="006741BB" w:rsidP="000B7A6C">
      <w:pPr>
        <w:numPr>
          <w:ilvl w:val="0"/>
          <w:numId w:val="29"/>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Вторым самым узким местом являются заграничные заказы, которые надо проталкивать изо всех сил, ибо в самом лучшем случае, если мы получим удовлетворительные предложения фирм к 1-15.X. можно рассчитывать на получение заграничного оборудования к 1 .III, вероятнее же всего, что этот срок еще сдвинется примерно до 1.IV, ибо придется вести переписку по выяснению технических деталей и изменениям предложений, если же учесть еще не менее 1 месяца на монтаж, пробы, наладку, то в лучшем случае мы сможем освоить заграничное оборудование к 15.IV-1.V. если не буд[у]т немедленно приняты сверх-энергичные меры для ускорения.</w:t>
      </w:r>
    </w:p>
    <w:p w14:paraId="36A0FD79" w14:textId="77777777" w:rsidR="006741BB" w:rsidRPr="005E779E" w:rsidRDefault="006741BB" w:rsidP="000B7A6C">
      <w:pPr>
        <w:numPr>
          <w:ilvl w:val="0"/>
          <w:numId w:val="30"/>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июля месяца тянется заказ дымососа, до сих пор нет подтверждения заказа, неизвестны технические характеристики дымососа, нет нужных данных для заказа мотора, который нельзя уже далее откладывать. Эта, хотя и второстепенная, часть установки тоже может нас задержать.</w:t>
      </w:r>
    </w:p>
    <w:p w14:paraId="5928CEC4" w14:textId="77777777" w:rsidR="006741BB" w:rsidRPr="005E779E" w:rsidRDefault="006741BB" w:rsidP="000B7A6C">
      <w:pPr>
        <w:numPr>
          <w:ilvl w:val="0"/>
          <w:numId w:val="31"/>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Необходимо срочно заказать конденсатный насос с мотором.</w:t>
      </w:r>
    </w:p>
    <w:p w14:paraId="0D911DCE" w14:textId="77777777" w:rsidR="006741BB" w:rsidRPr="005E779E" w:rsidRDefault="006741BB" w:rsidP="000B7A6C">
      <w:pPr>
        <w:numPr>
          <w:ilvl w:val="0"/>
          <w:numId w:val="32"/>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Самым срочным образом надо дать спецификацию на арматуру. трубы, кирпич и т. п. и либо заказать самим, либо передать Теплоинституту, оказав тогда ему помощь в реализации заказа.</w:t>
      </w:r>
    </w:p>
    <w:p w14:paraId="13313132" w14:textId="77777777" w:rsidR="006741BB" w:rsidRPr="005E779E" w:rsidRDefault="006741BB" w:rsidP="000B7A6C">
      <w:pPr>
        <w:numPr>
          <w:ilvl w:val="0"/>
          <w:numId w:val="33"/>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Надо дать заказ на вентилятор с мотором.</w:t>
      </w:r>
    </w:p>
    <w:p w14:paraId="6138F7F8" w14:textId="77777777" w:rsidR="006741BB" w:rsidRPr="005E779E" w:rsidRDefault="006741BB" w:rsidP="000B7A6C">
      <w:pPr>
        <w:numPr>
          <w:ilvl w:val="0"/>
          <w:numId w:val="34"/>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Надо всемерно ускорить начало строительных работ, оформив их производство с Теплоинститутом и дав ему описание спецификации и чертежи для работ.</w:t>
      </w:r>
    </w:p>
    <w:p w14:paraId="618DD6C2" w14:textId="77777777" w:rsidR="006741BB" w:rsidRPr="005E779E" w:rsidRDefault="006741BB" w:rsidP="000B7A6C">
      <w:pPr>
        <w:numPr>
          <w:ilvl w:val="0"/>
          <w:numId w:val="35"/>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Надо внести ясность с Теплоинститутом в заказ и изготовление измерительных приборов.</w:t>
      </w:r>
    </w:p>
    <w:p w14:paraId="1974BF60" w14:textId="77777777" w:rsidR="006741BB" w:rsidRPr="005E779E" w:rsidRDefault="006741BB" w:rsidP="000B7A6C">
      <w:pPr>
        <w:numPr>
          <w:ilvl w:val="0"/>
          <w:numId w:val="36"/>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Надо устроить выпуск чертежей кованых и литых деталей, выяснить материал для их изготовления и выделить заказы.</w:t>
      </w:r>
    </w:p>
    <w:p w14:paraId="2EDE72C2" w14:textId="77777777" w:rsidR="006741BB" w:rsidRPr="005E779E" w:rsidRDefault="006741BB" w:rsidP="000B7A6C">
      <w:pPr>
        <w:numPr>
          <w:ilvl w:val="0"/>
          <w:numId w:val="37"/>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 сих пор совершенно не продвинулся вопрос о чрезвычайно ответственной и срочной работе по проектированию промышленного котла. Необходимо внести здесь полную ясность. По этому поводу мною подается особая записка.</w:t>
      </w:r>
    </w:p>
    <w:p w14:paraId="26E54EC0" w14:textId="77777777" w:rsidR="006741BB" w:rsidRPr="005E779E" w:rsidRDefault="006741BB" w:rsidP="000B7A6C">
      <w:pPr>
        <w:pStyle w:val="rtejustify"/>
        <w:spacing w:before="0" w:after="0"/>
        <w:rPr>
          <w:color w:val="000000" w:themeColor="text1"/>
          <w:sz w:val="16"/>
          <w:szCs w:val="16"/>
        </w:rPr>
      </w:pPr>
      <w:r w:rsidRPr="005E779E">
        <w:rPr>
          <w:color w:val="000000" w:themeColor="text1"/>
          <w:sz w:val="16"/>
          <w:szCs w:val="16"/>
        </w:rPr>
        <w:t>Основными причинами, замедляющими темп работы и понижающей ее качество являются.</w:t>
      </w:r>
    </w:p>
    <w:p w14:paraId="460AE029" w14:textId="77777777" w:rsidR="006741BB" w:rsidRPr="005E779E" w:rsidRDefault="006741BB" w:rsidP="000B7A6C">
      <w:pPr>
        <w:numPr>
          <w:ilvl w:val="0"/>
          <w:numId w:val="38"/>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Моя полная оторванность от рабочей группы, совершенно не дающая мне возможности руководить ее работой, своевременно давать нужные указания и выправлять ошибки, промахи и т. п„ ибо эпизодические, редкие и кратковременные мои свидания с отдельными работниками ни в коем случае не могут обеспечить </w:t>
      </w:r>
      <w:r w:rsidRPr="005E779E">
        <w:rPr>
          <w:rFonts w:ascii="Times New Roman" w:hAnsi="Times New Roman"/>
          <w:color w:val="000000" w:themeColor="text1"/>
          <w:sz w:val="16"/>
          <w:szCs w:val="16"/>
        </w:rPr>
        <w:lastRenderedPageBreak/>
        <w:t>необходимое наблюдение за работой. Я совершенно не имел времени проверять расчеты, часто вынужден оставлять в ущерб качеству работы не вполне удачные конструкции, во избежание дальнейшей задержки работ, отчего несомненно падает качество работы; некоторых из сотрудников я вообще не видел ни разу; я не имею под руками необходимых чертежей и данных, лишен нужных и своевременных справок, лишен возможности посоветоваться и проконсультировать ряд вопросов, не обеспечен необходимой литературой, получение коей затягивается на месяцы и т. п. Фактически я превращен не в руководителя, а в консультанта. Поэтому, несмотря на Ваши указания на мою ответственность за всю работу, я в целях полной ясности считаю своим долгом сообщить Вам, что при теперешних условиях, когда я фактически лишен всякой возможности руководить работой и активно влиять на ее ход, я не могу принять на себя ответственность за ее темпы и результаты. Более того, я считаю себя обязанным предупредить Вас, что при теперешнем положении задержки, ошибки, неполадки и недоразумения совершенно неизбежны, ибо у меня нет никаких возможностей их предотвратить. Я заявляю об этом не из желания избегнуть ответственности, ибо за долголетнюю свою работу я никогда не уклонялся от полной ответственности за руководимое мною дело. В моей более чем 20-летней инженерной деятельности до сих пор не было еше ни одного случая, провала, неудачи или даже крупного промаха. Работа по проектированию и постройке моего прямоточного котла, являющегося первым в мире по типу и качеству, для меня очень близка и дорога, представляя завершение всей моей научной и инженерной работы. Поэтому Вы можете быть уверены, что я принимаю и буду принимать все меры, чтобы провести эту работу наилучшим образом и не скомпрометировать мое научное имя — последнее, что у меня осталось.</w:t>
      </w:r>
    </w:p>
    <w:p w14:paraId="2A465884" w14:textId="77777777" w:rsidR="006741BB" w:rsidRPr="005E779E" w:rsidRDefault="006741BB" w:rsidP="000B7A6C">
      <w:pPr>
        <w:pStyle w:val="rtejustify"/>
        <w:spacing w:before="0" w:after="0"/>
        <w:rPr>
          <w:color w:val="000000" w:themeColor="text1"/>
          <w:sz w:val="16"/>
          <w:szCs w:val="16"/>
        </w:rPr>
      </w:pPr>
      <w:r w:rsidRPr="005E779E">
        <w:rPr>
          <w:color w:val="000000" w:themeColor="text1"/>
          <w:sz w:val="16"/>
          <w:szCs w:val="16"/>
        </w:rPr>
        <w:t>Но при создавшихся условиях, вызывающих серьезное опасение за успех дела, отнимающих у меня последнюю энергию и силы и доводящих меня до полного и безнадежного отчаяния, я боюсь, что у меня не хватит сил довести дело до благополучного конца.</w:t>
      </w:r>
    </w:p>
    <w:p w14:paraId="67BE8EB3" w14:textId="77777777" w:rsidR="006741BB" w:rsidRPr="005E779E" w:rsidRDefault="006741BB" w:rsidP="000B7A6C">
      <w:pPr>
        <w:pStyle w:val="rtejustify"/>
        <w:spacing w:before="0" w:after="0"/>
        <w:rPr>
          <w:color w:val="000000" w:themeColor="text1"/>
          <w:sz w:val="16"/>
          <w:szCs w:val="16"/>
        </w:rPr>
      </w:pPr>
      <w:r w:rsidRPr="005E779E">
        <w:rPr>
          <w:color w:val="000000" w:themeColor="text1"/>
          <w:sz w:val="16"/>
          <w:szCs w:val="16"/>
        </w:rPr>
        <w:t>Дайте же мне наконец возможность работать вплотную, переведите меня поскорее на завод для совместной работы со всей группой, создайте минимум душевного спокойствия, путем установления более определенного и легкого режима, и я целиком и полностью ручаюсь за успех моего котла, если вы конечно окажете и впредь нужную поддержку и помощь. Иначе, громадная энергия и труды, вложенные Вами в это дело, большое усердие и старание наших сотрудников пропадут даром и блестящая идея будет погублена.</w:t>
      </w:r>
    </w:p>
    <w:p w14:paraId="14756590" w14:textId="77777777" w:rsidR="006741BB" w:rsidRPr="005E779E" w:rsidRDefault="006741BB" w:rsidP="000B7A6C">
      <w:pPr>
        <w:numPr>
          <w:ilvl w:val="0"/>
          <w:numId w:val="39"/>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Кроме обеспечения мне возможности непосредственного, непрерывного руководства работой, надо будет дать группе нашей достаточное помещение на з-де Парострой.</w:t>
      </w:r>
    </w:p>
    <w:p w14:paraId="76C5F470" w14:textId="77777777" w:rsidR="006741BB" w:rsidRPr="005E779E" w:rsidRDefault="006741BB" w:rsidP="000B7A6C">
      <w:pPr>
        <w:numPr>
          <w:ilvl w:val="0"/>
          <w:numId w:val="40"/>
        </w:numPr>
        <w:spacing w:after="0" w:line="240" w:lineRule="auto"/>
        <w:ind w:left="0" w:firstLine="0"/>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Необходимо надлежащим образом укомплектовать группу, освободив ее от балласта и добавив нужных работников.</w:t>
      </w:r>
    </w:p>
    <w:p w14:paraId="233F768F" w14:textId="77777777" w:rsidR="006741BB" w:rsidRPr="005E779E" w:rsidRDefault="006741BB" w:rsidP="000B7A6C">
      <w:pPr>
        <w:pStyle w:val="rtejustify"/>
        <w:spacing w:before="0" w:after="0"/>
        <w:rPr>
          <w:color w:val="000000" w:themeColor="text1"/>
          <w:sz w:val="16"/>
          <w:szCs w:val="16"/>
        </w:rPr>
      </w:pPr>
      <w:r w:rsidRPr="005E779E">
        <w:rPr>
          <w:color w:val="000000" w:themeColor="text1"/>
          <w:sz w:val="16"/>
          <w:szCs w:val="16"/>
        </w:rPr>
        <w:t>Если Вы дадите мне возможность как следует работать, я обещаю Вам сделать с Вашей помощью чудеса, которые поразят мир и поднимут Советскую науку и технику на небывалую, но заслуженную ею высоту. При теперешнем же положении неизбежен срыв работы и во всяком случае сведение ее результата на гораздо более низкую ступень. Не дайте же испортить столь успешно начатое дело и потерять результаты стольких усилий, энергии и знаний, вложенных в него.</w:t>
      </w:r>
    </w:p>
    <w:p w14:paraId="54B407D1" w14:textId="77777777" w:rsidR="006741BB" w:rsidRPr="005E779E" w:rsidRDefault="006741BB" w:rsidP="000B7A6C">
      <w:pPr>
        <w:pStyle w:val="rtejustify"/>
        <w:spacing w:before="0" w:after="0"/>
        <w:rPr>
          <w:color w:val="000000" w:themeColor="text1"/>
          <w:sz w:val="16"/>
          <w:szCs w:val="16"/>
        </w:rPr>
      </w:pPr>
      <w:r w:rsidRPr="005E779E">
        <w:rPr>
          <w:color w:val="000000" w:themeColor="text1"/>
          <w:sz w:val="16"/>
          <w:szCs w:val="16"/>
        </w:rPr>
        <w:t>15.IX 1931 [г.]</w:t>
      </w:r>
    </w:p>
    <w:p w14:paraId="199CBBCA" w14:textId="77777777" w:rsidR="006741BB" w:rsidRPr="005E779E" w:rsidRDefault="006741BB" w:rsidP="000B7A6C">
      <w:pPr>
        <w:pStyle w:val="ae"/>
        <w:spacing w:before="0" w:after="0"/>
        <w:jc w:val="both"/>
        <w:rPr>
          <w:color w:val="000000" w:themeColor="text1"/>
          <w:sz w:val="16"/>
          <w:szCs w:val="16"/>
        </w:rPr>
      </w:pPr>
      <w:r w:rsidRPr="005E779E">
        <w:rPr>
          <w:color w:val="000000" w:themeColor="text1"/>
          <w:sz w:val="16"/>
          <w:szCs w:val="16"/>
        </w:rPr>
        <w:t>Л. Рамзин</w:t>
      </w:r>
    </w:p>
    <w:p w14:paraId="2CDCE636" w14:textId="77777777" w:rsidR="006741BB" w:rsidRPr="005E779E" w:rsidRDefault="006741BB" w:rsidP="000B7A6C">
      <w:pPr>
        <w:pStyle w:val="ae"/>
        <w:spacing w:before="0" w:after="0"/>
        <w:jc w:val="both"/>
        <w:rPr>
          <w:color w:val="000000" w:themeColor="text1"/>
          <w:sz w:val="16"/>
          <w:szCs w:val="16"/>
        </w:rPr>
      </w:pPr>
      <w:r w:rsidRPr="005E779E">
        <w:rPr>
          <w:rStyle w:val="af0"/>
          <w:i w:val="0"/>
          <w:color w:val="000000" w:themeColor="text1"/>
          <w:sz w:val="16"/>
          <w:szCs w:val="16"/>
        </w:rPr>
        <w:t>РГАЭ. Ф. 38. Oп. 1.Д. 69. Л. 10-12 об. (А) Рукописный подлинник, автограф Л. К. Рамзина (написано карандашом). На Л. 11 («титул») написано «Начальнику ОКБ № 11 Н. И. Наумину». На Л. 13-17 — машинописная копия, экземпляр закладки, аналогичный Б.</w:t>
      </w:r>
    </w:p>
    <w:p w14:paraId="31787771" w14:textId="77777777" w:rsidR="006741BB" w:rsidRPr="005E779E" w:rsidRDefault="006741BB" w:rsidP="000B7A6C">
      <w:pPr>
        <w:pStyle w:val="ae"/>
        <w:spacing w:before="0" w:after="0"/>
        <w:jc w:val="both"/>
        <w:rPr>
          <w:color w:val="000000" w:themeColor="text1"/>
          <w:sz w:val="16"/>
          <w:szCs w:val="16"/>
        </w:rPr>
      </w:pPr>
      <w:r w:rsidRPr="005E779E">
        <w:rPr>
          <w:rStyle w:val="af0"/>
          <w:i w:val="0"/>
          <w:color w:val="000000" w:themeColor="text1"/>
          <w:sz w:val="16"/>
          <w:szCs w:val="16"/>
        </w:rPr>
        <w:t>Там же.Д.2.Л. 77-73. (Б) Машинописный экземпляр (копия) того времени (нумерация в обратном порядке). Разночтения, кроме отмеченных в подстрочнике: в машинописном экземпляре отсутствуют все подчеркивания, сделанные Рамзиным в рукописи; фамилии и название завода (Электросталь, Парострой) напечатаны прописными буквами. На Л. 77 вверху слева — дата «15/IХ» (от руки). Рукописные пометы по тексту красным карандашом рукой Н. И. Наумина (почти везде есть его подпись-росчерк): на Л. 77 рядом с п. 1, а) «до сих пор еще не прокатана болванка для изготовления труб [...]» — «Ответ получен. Сталь прокатана» (подпись-росчерк Наумина); на Л. 76 — п. г) «6) Не выяснена до сих пор организация и место [...]» — «Выясняется»; п. в) «Сильно задержалась вся работа по сварке [...]» — «Все сделано. Выделен Салменков и &lt;выделят&gt; еще одного человека» (подпись-росчерк Наумина); г) «Сильно задержалась работа по исследованиям сталей [...]» — «Стали уже исследуются» (подпись-росчерк Наумина); п. 2 «Вторым самым узким местом являются заграничные заказы [...]» — «Выдан уже заказ» (подпись-росчерк Наумина); на Л. 75 -п.З «С июля месяца тянется заказ дымососа [...]» — «&lt;10&gt;/ХI уже будет готов»; п. 4 «Необходимо срочно заказать конденсатный насос с мотором» — «Заказан уже в Теплотехническом] институте»; п. 5 «Самым срочным образом надо дать спецификацию на арматуру [...]» — «Передана уже ведут работу» (подпись-росчерк Наумина); п. 7 «Надо всемерно ускорить начало строительных работ, оформив [...]» — «передано уже»; п. 8 «Надо внести ясность с Теплоинститутом в заказ и изготовление измерительных приборов» — «Сделано уже»; п. 9 «Надо устроить выпуск чертежей [...] и выделить заказы» — «Сделано»; п. 10 «До сих пор совершенно не продвинулся вопрос о [...] проектированию промышленного котла. Необходимо внести здесь полную ясность. [...]» — «Ясность внесена»; последний абзац на Л. 75 «1. Моя полная оторванность от рабочей группы [...]» — «Перевести на завод» (подпись-росчерк Наумина); на Л. 73 — второй абзац сверху «Дайте же мне наконец возможность работать вплотную, переведите меня поскорее на завод [...]» — «Переводится»; следующий абзац «2. [...] надо будет дать группе достаточное помещение на з-де ПАРОСТРОЙ» — «Помещение дано другое» (подпись-росчерк Наумина).</w:t>
      </w:r>
    </w:p>
    <w:p w14:paraId="758AEB03" w14:textId="77777777" w:rsidR="006741BB" w:rsidRPr="005E779E" w:rsidRDefault="006741BB" w:rsidP="000B7A6C">
      <w:pPr>
        <w:pStyle w:val="ae"/>
        <w:spacing w:before="0" w:after="0"/>
        <w:jc w:val="both"/>
        <w:rPr>
          <w:color w:val="000000" w:themeColor="text1"/>
          <w:sz w:val="16"/>
          <w:szCs w:val="16"/>
        </w:rPr>
      </w:pPr>
      <w:r w:rsidRPr="005E779E">
        <w:rPr>
          <w:rStyle w:val="af0"/>
          <w:i w:val="0"/>
          <w:color w:val="000000" w:themeColor="text1"/>
          <w:sz w:val="16"/>
          <w:szCs w:val="16"/>
        </w:rPr>
        <w:t>Там же. Л. 82- 78. Машинописный экземпляр (копия) того времени (нумерация в обратном порядке), аналогичный Б. На Л. 82 вверху рукописные пометы: «т. Наумину в дело» (подпись-росчерк, неразборчиво), «Уже есть»; дата «15/IХ» (19072).</w:t>
      </w:r>
    </w:p>
    <w:p w14:paraId="6D66BE6F" w14:textId="77777777" w:rsidR="006741BB" w:rsidRPr="005E779E" w:rsidRDefault="006741BB" w:rsidP="000B7A6C">
      <w:pPr>
        <w:spacing w:after="0" w:line="240" w:lineRule="auto"/>
        <w:jc w:val="both"/>
        <w:rPr>
          <w:rFonts w:ascii="Times New Roman" w:hAnsi="Times New Roman"/>
          <w:color w:val="000000" w:themeColor="text1"/>
          <w:sz w:val="16"/>
          <w:szCs w:val="16"/>
        </w:rPr>
      </w:pPr>
    </w:p>
    <w:p w14:paraId="19A49B58"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5AE82B8D"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7DB9C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15 сентября 1931 года Политбюро принимает решение о досрочном освобождении бывших вредителей, инженеров и техников железнодорожного транспорта для использования их на транспорте по списку представленному Постышевым и Акуловым с оставлением наказания условным и применении к освобожденным гласного надзора ОГПУ. </w:t>
      </w:r>
    </w:p>
    <w:p w14:paraId="5F2244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 справки о специалистах-транспортниках передаваемых ТО ОГПУ в НКПС и его органы на 12 декабря 1931 года было освобождено 277 человек. Из них передано 154 человека, в пути из лагеря находились 124 человека (цифры на 1 человека не совпадают) (11248).</w:t>
      </w:r>
    </w:p>
    <w:p w14:paraId="40A875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9A3F5D3"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421A5527"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74187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15-17 сентября 1931 состоялось Инвергордонское восстание на английском флоте (в Северной Шотландии) из-за снижения жалования. Матросы победили (2438,233).</w:t>
      </w:r>
    </w:p>
    <w:p w14:paraId="77EB59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37D5030" w14:textId="77777777" w:rsidR="007F1987" w:rsidRPr="005E779E" w:rsidRDefault="007F1987"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297A38F3" w14:textId="77777777" w:rsidR="007F1987" w:rsidRPr="005E779E" w:rsidRDefault="007F1987"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547498A"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середине сентября 1931 г. завод №1 сдал все 55 заказанных самолетов И-3, полностью завершив их выпуск.</w:t>
      </w:r>
    </w:p>
    <w:p w14:paraId="1ADCE4E3"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 в 1928…1931 г. завод №1 построил, облетал и сдал в комплектном виде 387 серийных самолетов И-3.</w:t>
      </w:r>
    </w:p>
    <w:p w14:paraId="2745A352"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Изменения, внедренные в конструкцию и комплектацию серийных самолетов И-3 по ходу их выпуска:</w:t>
      </w:r>
    </w:p>
    <w:p w14:paraId="359745E0"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первые 12 серийных самолетов сданы без устранения конструктивных недостатков с оперением (как ГО, так и ВО) по типу 2-й опытной машины, новая конструкция ГО (см. начало этого пункта) введена по ходу выпуска;</w:t>
      </w:r>
    </w:p>
    <w:p w14:paraId="076067FD"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с 13-го по 53-й серийные самолеты имеют ГО с роговыми компенсаторами, конструкция которого описана выше в перечне доработок, которые следовало внести с 1-й серийной машины;</w:t>
      </w:r>
    </w:p>
    <w:p w14:paraId="1881FE93"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с 54-го по 79-й серийные самолеты построены с новым РВ несколько увеличенной площади за счет спрямленной задней кромки (законцовка образована дугой окружности) по временной документации, такой РВ введен в рабочую КД на постоянной основе с самолета зав. №4027;</w:t>
      </w:r>
    </w:p>
    <w:p w14:paraId="4E100094"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первые 75 самолетов укомплектованы при сдаче пулеметами Виккерс Mk.2 английского производства, остальные – отечественными ПВ-1.</w:t>
      </w:r>
    </w:p>
    <w:p w14:paraId="56F309ED"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для исключения изгиба элеронов по лонжеронам от перегрузок, что вызывало увеличение трения в узлах их навески и кинематике управления, они разделены каждый на две секции, что потребовало изменения конструкции их самих, узлов навески и проводки управления;</w:t>
      </w:r>
    </w:p>
    <w:p w14:paraId="44D0B2F9"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внедрена новая конструкция вертикального оперения по типу самолета ДИ-2 (см. ниже) с килем увеличенной площади с прямолинейной на основном своем участке передней кромкой и увеличенной высоты с уменьшенной соответственно высотой рогового компенсатора РВ, с новым ВО курсовая устойчивость стала нормальной на всех скоростях;</w:t>
      </w:r>
    </w:p>
    <w:p w14:paraId="156EC730"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вместо колес с литыми дисками с размером шин 750х125 мм введены стандартные колеса на спицах с размером шин 850х150 мм, спицы закрывались коническими обтекателями, изготовленными выколоткой из листа дюраля Д1 с концентрическими, а иногда и радиальными рифтами;</w:t>
      </w:r>
    </w:p>
    <w:p w14:paraId="55DC2FEA"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с 76-го серийного экземпляра все самолеты И-3 при сдаче комплектуются пулеметами ПВ-1 советского производства;</w:t>
      </w:r>
    </w:p>
    <w:p w14:paraId="7B26F5AD"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введен выброс стреляных гильз и звеньев ленты – в установленные между стержнями V-образных стоек ООШ съемные для опорожнения коробки в нижней части фюзеляжа, сделанные сборными из дюраля Д1;</w:t>
      </w:r>
    </w:p>
    <w:p w14:paraId="20ABED9A"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по крайней мере, на части самолетов И-3 серии 9 (всего 38 штук) с двигателем М-17 отечественного производства установлен новый воздушный винт диаметром 2950 мм и шагом 3615 мм (вместо применявшегося ранее винта с диаметром 3000 мм), специальные испытания самолета №4364 (время закладки на заводе №1 – 22 июня 1930 г.) проведены с 19 февраля по 24 марта 1931 г.;</w:t>
      </w:r>
    </w:p>
    <w:p w14:paraId="7EC6FB3E"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на части самолетов установлено приспособление для буксировки конуса-мишени для тренировки в воздушной стрельбе, а к январю 1932 г. разработано и испытано ограждение для предохранения оперения и костыля самолета от попадания его троса, которое предполагалось ставить на готовые самолеты в порядке их доработки;</w:t>
      </w:r>
    </w:p>
    <w:p w14:paraId="32A1729C"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 первые серийные самолеты И-3 выпуска с 1928 г. и по III квартал 1930 г., а это больше половины всех построенных, комплектовались почти исключительно покупными двигателями BMW VI различных серий немецкого производства, и только 15 августа 1930 г. двигатели М-17 выпуска завода №26 в Рыбинске допущены к строевой эксплуатации в частях ВВС РККА, к концу года предприятие их сдало 165 и их начали ставить на серийные самолеты И-3, но не на все, поскольку М-17 шел и на многие другие типы;</w:t>
      </w:r>
    </w:p>
    <w:p w14:paraId="76B69286"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часть серийных самолетов выпущена с установкой аэронавигационных огней над верхним крылом, двух посадочных факелов под нижним крылом и освещения кабины, для подключения этого оборудования изменена электросистема;</w:t>
      </w:r>
    </w:p>
    <w:p w14:paraId="5520264D"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в 1930 г. под руководством С.А. Кочеригина разработаны и внедрены меры по снижению веса серийных самолетов И-3 за счет улучшения культуры производства и отказа от неиспользуемого съемного оборудования), благодаря которым не в ущерб прочности вес пустого самолета со всеми доработками уменьшен в сравнении с головным серийным без доработок на 63 кг (на 4%), а взлетный – на 58 кг или на 3%.</w:t>
      </w:r>
    </w:p>
    <w:p w14:paraId="4D6A291F"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по меньшей мере один самолет И-3 доработан для оценки применения дымового авиационного прибора ДАП-Д. Испытания, отчет по которым подготовлен 30 июня 1931 г., показали, что «Прибор может быть применен для создания вертикальных дымовых завес с истребительных самолетов».</w:t>
      </w:r>
    </w:p>
    <w:p w14:paraId="7CB8593C"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Новая конструкция вертикального оперения:</w:t>
      </w:r>
    </w:p>
    <w:p w14:paraId="47443DDF"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конструктивно-силовая схема и технология производства киля в сравнении с первым опытным самолетом И-3 не поменялась, но он приобрел трапециевидную форму с увеличенной корневой хордой и прямолинейной за исключением радиусного участка перехода к верхнему обводу фюзеляжа, который стал намного меньше исходного;</w:t>
      </w:r>
    </w:p>
    <w:p w14:paraId="20065D38"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силовой набор киля состоит из главного лонжерона, крепящегося моментным узлом на последний шпангоут фюзеляжа под прямым углом к СГФ, вспомогательного лонжерона вдоль передней кромки, крепящегося моментным узлом к 7-му шпангоуту фюзеляжа под острым углом к его плоскости и к СГФ, корневой нервюры, идущей вдоль верхнего контура фюзеляжа, четырех нервюр, пущенных по потоку между I и II лонжеронами под прямым углом ко второму л-ну, а также двух раскосов, установленных в виде буквы V между корневой и 2-й нервюрами, обшивка такая же, как на самолете И-3 с отличием только в размерах панелей;</w:t>
      </w:r>
    </w:p>
    <w:p w14:paraId="2F32F294"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единственное отличие РВ – уменьшение высоты рогового компенсатора на одну нервюру сообразно увеличению высоты киля.</w:t>
      </w:r>
    </w:p>
    <w:p w14:paraId="5090EB4F"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Строевая эксплуатация выявила недостаточную жесткость киля, и его силовой набор был изменен:</w:t>
      </w:r>
    </w:p>
    <w:p w14:paraId="62A023D8"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добавлены две стенки, идущие параллельно главному лонжерону от корневой нервюры до стыка передней (существующей наклонной) стенки с концевой нервюрой и также от корневой нервюры до стыка 3-й нервюры с этой же наклонной стенкой;</w:t>
      </w:r>
    </w:p>
    <w:p w14:paraId="348BEFC2"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изменено положение нервюр между корневой и концевой (всего нервюр осталось 5);</w:t>
      </w:r>
    </w:p>
    <w:p w14:paraId="7779BA98"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V-образные раскосы между корневой и 2-й нервюрами не ставятся.</w:t>
      </w:r>
    </w:p>
    <w:p w14:paraId="13F84040"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Окраска серийных самолетов:</w:t>
      </w:r>
    </w:p>
    <w:p w14:paraId="35C58170"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кок винта и капот – некрашеный дюраль, иногда полированный «под мороз» («чешуйками»);</w:t>
      </w:r>
    </w:p>
    <w:p w14:paraId="75036347"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верхние и боковые поверхности кроме капота и кока винта красятся темно-защитным цветом, нижние крыла и оперения – светло-голубым, а на некоторых самолетах – вся деревянная часть фюзеляжа, включая низ и металлические крышки;</w:t>
      </w:r>
    </w:p>
    <w:p w14:paraId="1E048079"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с 4-го серийного под стабилизатором на дистанции последнего шпангоута наносится красная полоса – место установки козелка, фанерная обшивка нижнего крыла, на которой можно стоять, красится красным, а у поручней в обшивке ХЧФ сделаны надписи БРАТЬ ЗДЕСЬ (24887).</w:t>
      </w:r>
    </w:p>
    <w:p w14:paraId="2DC1682B" w14:textId="77777777" w:rsidR="007F1987" w:rsidRPr="005E779E" w:rsidRDefault="007F1987" w:rsidP="000B7A6C">
      <w:pPr>
        <w:spacing w:after="0" w:line="240" w:lineRule="auto"/>
        <w:jc w:val="both"/>
        <w:rPr>
          <w:rFonts w:ascii="Times New Roman" w:hAnsi="Times New Roman"/>
          <w:color w:val="000000" w:themeColor="text1"/>
          <w:sz w:val="16"/>
          <w:szCs w:val="16"/>
        </w:rPr>
      </w:pPr>
    </w:p>
    <w:p w14:paraId="3E2E109F" w14:textId="77777777" w:rsidR="007F1987" w:rsidRPr="005E779E" w:rsidRDefault="007F1987"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08408A0B" w14:textId="77777777" w:rsidR="007F1987" w:rsidRPr="005E779E" w:rsidRDefault="007F1987"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2B6B62C"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середине сентября 1931 г. в НАТИ было завершено проектирование танкового дизеля Д-300, но из-за отсутствия у института производственной базы, вопрос с изготовлением опытного образца затягивался (24856).</w:t>
      </w:r>
    </w:p>
    <w:p w14:paraId="16779AFE" w14:textId="77777777" w:rsidR="007F1987" w:rsidRPr="005E779E" w:rsidRDefault="007F1987" w:rsidP="000B7A6C">
      <w:pPr>
        <w:spacing w:after="0" w:line="240" w:lineRule="auto"/>
        <w:jc w:val="both"/>
        <w:rPr>
          <w:rFonts w:ascii="Times New Roman" w:hAnsi="Times New Roman"/>
          <w:color w:val="000000" w:themeColor="text1"/>
          <w:sz w:val="16"/>
          <w:szCs w:val="16"/>
        </w:rPr>
      </w:pPr>
    </w:p>
    <w:p w14:paraId="1AE218B9"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6EDB2AAD"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90114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 сентября 1931 Нач. ЦАГИ и Нач. АГОС писали письмо N 1098с в ВАО на 511/Н-34 от 3 сентября 1931:</w:t>
      </w:r>
    </w:p>
    <w:p w14:paraId="698BA4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 препровождает Вам имеющиеся у него фотоснимки только с ТБ-3 и то с одной позиции, в развитие этого фото ЦАГИ направляет схематические снимки ТБ-3 с чертежа с указанием на них требуемых Вам габаритов.</w:t>
      </w:r>
    </w:p>
    <w:p w14:paraId="2D397A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Что же касается снимков с Р-6, то таковых в ЦАГИ не имеется. За получением фото ЦАГИ просит Вас обратиться в НИИ, где указанные снимки имеются. Справка: в ЦАГИ есть отчет по испытаниям и там приложены снимки НИИ. Со своей стороны ЦАГИ прилагает Вам фото со схематических чертежей с 3-х позиций с габаритными размерами." (2375,42).</w:t>
      </w:r>
    </w:p>
    <w:p w14:paraId="112FCB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1ACF7EF" w14:textId="77777777" w:rsidR="00C92EFC"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13B0886F" w14:textId="77777777" w:rsidR="00C92EFC" w:rsidRPr="005E779E" w:rsidRDefault="00C92EFC"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66EC07F" w14:textId="77777777" w:rsidR="00C92EFC" w:rsidRPr="005E779E" w:rsidRDefault="00C92EF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 сентября 1931 г. польское правительство подписало соглашение с фирмой «Виккерс» о приобретении 38 танков Мк.Е, а также лицензии на их производство. Весной 1935 г. двухбашенный польский танк 7ТР дошел в серию. Со второй половины 1937 г. начался выпуск танков 7ТР с одной башней и 37-мм пушкой Бофорс (15117).</w:t>
      </w:r>
    </w:p>
    <w:p w14:paraId="11DBAE7E" w14:textId="77777777" w:rsidR="00C92EFC" w:rsidRPr="005E779E" w:rsidRDefault="00C92EFC" w:rsidP="000B7A6C">
      <w:pPr>
        <w:spacing w:after="0" w:line="240" w:lineRule="auto"/>
        <w:jc w:val="both"/>
        <w:rPr>
          <w:rFonts w:ascii="Times New Roman" w:hAnsi="Times New Roman"/>
          <w:color w:val="000000" w:themeColor="text1"/>
          <w:sz w:val="16"/>
          <w:szCs w:val="16"/>
        </w:rPr>
      </w:pPr>
    </w:p>
    <w:p w14:paraId="33C1D00C"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2D571FA5"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265DB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 сентября 1931 дирижабль причалил к Эмпайр Стейт билдинг (3481).</w:t>
      </w:r>
    </w:p>
    <w:p w14:paraId="189440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DC16E81" w14:textId="77777777" w:rsidR="003E00E3" w:rsidRPr="00142305" w:rsidRDefault="003E00E3" w:rsidP="003E00E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16 сентября 1931 г. польское правительство подписало соглашение с фирмой «Виккерс» о приобретении 38 танков Mk.E, а также лицензии на их производство. Весной 1935 г. двухбашенный польский танк 7ТР пошел в серию. Со второй половины 1937 г. начался выпуск танков 7ТР с одной башней и 37-мм пушкой «Бофорс» (25184).</w:t>
      </w:r>
    </w:p>
    <w:p w14:paraId="10B92036" w14:textId="77777777" w:rsidR="003E00E3" w:rsidRPr="00142305" w:rsidRDefault="003E00E3" w:rsidP="003E00E3">
      <w:pPr>
        <w:spacing w:after="0" w:line="240" w:lineRule="auto"/>
        <w:jc w:val="both"/>
        <w:rPr>
          <w:rFonts w:ascii="Times New Roman" w:hAnsi="Times New Roman"/>
          <w:color w:val="0070C0"/>
          <w:sz w:val="16"/>
          <w:szCs w:val="16"/>
        </w:rPr>
      </w:pPr>
    </w:p>
    <w:p w14:paraId="0A87D592"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1818F046"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FC663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 сентября 1931 завод 31 направил в Самолетный сектор ВАО письмо N 2294с:</w:t>
      </w:r>
    </w:p>
    <w:p w14:paraId="48EAD1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"Согласно Вашего письма N 274-п13 от 31 августа с.г. и заказа N 318 от 5 августа с.г. при этом препровождаем фотокарточки на самолеты Р-1, Р-5, вид спереди и сбоку, С-62бис - снятие лодки со стапеля и поплавки Шорт, которые намечаем в производстве в одном экз." (2375,8).</w:t>
      </w:r>
    </w:p>
    <w:p w14:paraId="736738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A01F7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 сентября 1931 авиаторпеду ВВС 12 приняли на гос. испытания на Балтийском флоте (561,5).</w:t>
      </w:r>
    </w:p>
    <w:p w14:paraId="1885E4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3A897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17 сентября 1931 на Балтике проходили государственные испытания ВВС-12 - торпеды низкого торпедометания. Комиссия во главе с Л.И. Никифоровым отметила ряд недостатков. Так, смазка механизмов в полете иногда загустевала, потребовали также ввести стопорные вертушки взрывателей, чтобы избежать их случайного срабатывания от рывков и ударов. После повторных испытаний в июле-августе 1932 г. (там же и на Черном море) торпеду ВВС-12 приняли на вооружение как ТАН-12. В ноябре на Балтике успешно закончили испытания ВВС-15, снабженной электроподогревателем. 9.7.1933 эту торпеду тоже приняли на вооружение как TAB-15 (12002).</w:t>
      </w:r>
    </w:p>
    <w:p w14:paraId="55BD2E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2FA0144"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17 сентября 1931 на БФ проходили государственные испытания авиаторпеды ВВС-12. Комиссия во главе с Л.И. Никифоровым отметила ряд недостатков. Так смазка механизмов в полете иногда загустевала, потребовали так</w:t>
      </w:r>
      <w:r w:rsidRPr="005E779E">
        <w:rPr>
          <w:rFonts w:ascii="Times New Roman" w:hAnsi="Times New Roman"/>
          <w:color w:val="000000" w:themeColor="text1"/>
          <w:sz w:val="16"/>
          <w:szCs w:val="16"/>
        </w:rPr>
        <w:softHyphen/>
        <w:t>же ввести стопорные вертушки взрывателей, чтобы избежать их случайного срабатыва</w:t>
      </w:r>
      <w:r w:rsidRPr="005E779E">
        <w:rPr>
          <w:rFonts w:ascii="Times New Roman" w:hAnsi="Times New Roman"/>
          <w:color w:val="000000" w:themeColor="text1"/>
          <w:sz w:val="16"/>
          <w:szCs w:val="16"/>
        </w:rPr>
        <w:softHyphen/>
        <w:t>ния от рывков и ударов. После повторных испытаний в июле-августе 1932 г. (там же, на Черномморе) торпеду ВВС-12 приняли на вооружение как ТАН-12. В ноябре на Балтике успешно закончили испытания ВВС-15, снабженной электроподогревателем. 9.07.1933 эту торпеду тоже приняли на вооружение как ТАВ-15 (23464).</w:t>
      </w:r>
    </w:p>
    <w:p w14:paraId="0C0F76AE" w14:textId="77777777" w:rsidR="007F1987" w:rsidRPr="005E779E" w:rsidRDefault="007F1987" w:rsidP="000B7A6C">
      <w:pPr>
        <w:spacing w:after="0" w:line="240" w:lineRule="auto"/>
        <w:jc w:val="both"/>
        <w:rPr>
          <w:rFonts w:ascii="Times New Roman" w:hAnsi="Times New Roman"/>
          <w:color w:val="000000" w:themeColor="text1"/>
          <w:sz w:val="16"/>
          <w:szCs w:val="16"/>
        </w:rPr>
      </w:pPr>
    </w:p>
    <w:p w14:paraId="55AE06CB"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10478439"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2A8367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 сентября 1931 г. Спецмаштрест получил задание на разработку средств механизации артиллерии большой и особой мощности. Предлагалось в срок до 1 мая 1932 г. разра</w:t>
      </w:r>
      <w:r w:rsidRPr="005E779E">
        <w:rPr>
          <w:rFonts w:ascii="Times New Roman" w:hAnsi="Times New Roman"/>
          <w:color w:val="000000" w:themeColor="text1"/>
          <w:sz w:val="16"/>
          <w:szCs w:val="16"/>
        </w:rPr>
        <w:softHyphen/>
        <w:t>ботать и представить на согласование Артуправлению «само</w:t>
      </w:r>
      <w:r w:rsidRPr="005E779E">
        <w:rPr>
          <w:rFonts w:ascii="Times New Roman" w:hAnsi="Times New Roman"/>
          <w:color w:val="000000" w:themeColor="text1"/>
          <w:sz w:val="16"/>
          <w:szCs w:val="16"/>
        </w:rPr>
        <w:softHyphen/>
        <w:t>ходный корпусной триплекс», содержащий 107-мм пушку обр. 1909/30 гг., 152-мм гаубицу обр. 1909/30 гг. и 203-мм мор</w:t>
      </w:r>
      <w:r w:rsidRPr="005E779E">
        <w:rPr>
          <w:rFonts w:ascii="Times New Roman" w:hAnsi="Times New Roman"/>
          <w:color w:val="000000" w:themeColor="text1"/>
          <w:sz w:val="16"/>
          <w:szCs w:val="16"/>
        </w:rPr>
        <w:softHyphen/>
        <w:t>тиру обр. 1929 г. (мортира «Ж»), а также «триплекс Тяжелой Артиллерии Особого Назначения (ТАОН)», который должен был состоять из 152-мм пушки большой мощности, 203-мм гаубицы обр. 1929/31 гг. и 305-мм мортиры обр. 1931 г. (11417).</w:t>
      </w:r>
    </w:p>
    <w:p w14:paraId="2A3DDF6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AF3A8C" w14:textId="77777777" w:rsidR="00C92EFC" w:rsidRPr="005E779E" w:rsidRDefault="00C92EF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17 сентября 1931 г. Спецмаштресту было дано задание разработать средства механизации артиллерии большой и особой мощности. В частности, предлагалось до 1 мая 1932 г. представить Артуправлению проекты шасси "самоходного корпусного триплекса", состоящего из 107-мм пушки обр. 1910/30 гг., 152-мм гаубицы обр. 1909/30 гг. и 203-мм мортиры обр. 1930 г., а также "триплекса Тяжелой Артиллерии Особого Назначения (ТАОН)", вооруженного 152-мм (или 1 30-мм) пушкой, 203-мм гаубицей обр. 1929/31 гг. и 305-мм мортирой (15647).</w:t>
      </w:r>
    </w:p>
    <w:p w14:paraId="3765CA14" w14:textId="77777777" w:rsidR="00C92EFC" w:rsidRPr="005E779E" w:rsidRDefault="00C92EFC" w:rsidP="000B7A6C">
      <w:pPr>
        <w:spacing w:after="0" w:line="240" w:lineRule="auto"/>
        <w:jc w:val="both"/>
        <w:rPr>
          <w:rFonts w:ascii="Times New Roman" w:hAnsi="Times New Roman"/>
          <w:color w:val="000000" w:themeColor="text1"/>
          <w:sz w:val="16"/>
          <w:szCs w:val="16"/>
        </w:rPr>
      </w:pPr>
    </w:p>
    <w:p w14:paraId="73986147" w14:textId="77777777" w:rsidR="003E00E3" w:rsidRPr="00142305" w:rsidRDefault="003E00E3" w:rsidP="003E00E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17 сентября 1931 г. Спецмаштресту было дано задание разработать средства механизации артиллерии большой и особой мощности. В частности, предлагалось до 1 мая 1932 г. представить Артуправлению проекты шасси «самоходного корпусного триплекса», состоящего из 107-мм пушки обр. 1910/30 гг., 152-мм гаубицы обр. 1909/30 гг. и 203-мм мортиры обр. 1930 г., а также «триплекса Тяжелой Артиллерии Особого Назначения (ТАОН)», вооруженного 152-мм (или 1 30-мм) пушкой, 203-мм гаубицей обр. 1929/31 гг. и 305-мм мортирой.</w:t>
      </w:r>
    </w:p>
    <w:p w14:paraId="37D8D7EE" w14:textId="77777777" w:rsidR="003E00E3" w:rsidRPr="00142305" w:rsidRDefault="003E00E3" w:rsidP="003E00E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Эскизные проекты были рассмотрены в июле 1932 г. и в целом одобрены (25481).</w:t>
      </w:r>
    </w:p>
    <w:p w14:paraId="14E0981C" w14:textId="77777777" w:rsidR="003E00E3" w:rsidRPr="00142305" w:rsidRDefault="003E00E3" w:rsidP="003E00E3">
      <w:pPr>
        <w:spacing w:after="0" w:line="240" w:lineRule="auto"/>
        <w:jc w:val="both"/>
        <w:rPr>
          <w:rFonts w:ascii="Times New Roman" w:hAnsi="Times New Roman"/>
          <w:color w:val="0070C0"/>
          <w:sz w:val="16"/>
          <w:szCs w:val="16"/>
        </w:rPr>
      </w:pPr>
    </w:p>
    <w:p w14:paraId="0ECE0F10" w14:textId="77777777" w:rsidR="00C356D8" w:rsidRPr="00951B40" w:rsidRDefault="00C356D8" w:rsidP="00C356D8">
      <w:pPr>
        <w:spacing w:after="0" w:line="240" w:lineRule="auto"/>
        <w:jc w:val="both"/>
        <w:rPr>
          <w:rFonts w:ascii="Times New Roman" w:hAnsi="Times New Roman"/>
          <w:color w:val="0070C0"/>
          <w:sz w:val="16"/>
          <w:szCs w:val="16"/>
        </w:rPr>
      </w:pPr>
      <w:r w:rsidRPr="00951B40">
        <w:rPr>
          <w:rStyle w:val="aff0"/>
          <w:rFonts w:ascii="Times New Roman" w:hAnsi="Times New Roman" w:cs="Times New Roman"/>
          <w:color w:val="0070C0"/>
          <w:spacing w:val="0"/>
          <w:sz w:val="16"/>
          <w:szCs w:val="16"/>
        </w:rPr>
        <w:t>17 сентября 1931 г. того же года было принято торпедное вооружение катеров типа «Стальной» - С-1 и С-2, после чего испытания продолжились - уже для выявления надежности работы аппа</w:t>
      </w:r>
      <w:r w:rsidRPr="00951B40">
        <w:rPr>
          <w:rStyle w:val="aff0"/>
          <w:rFonts w:ascii="Times New Roman" w:hAnsi="Times New Roman" w:cs="Times New Roman"/>
          <w:color w:val="0070C0"/>
          <w:spacing w:val="0"/>
          <w:sz w:val="16"/>
          <w:szCs w:val="16"/>
        </w:rPr>
        <w:softHyphen/>
        <w:t>ратуры ВУ и возможности осуществле</w:t>
      </w:r>
      <w:r w:rsidRPr="00951B40">
        <w:rPr>
          <w:rStyle w:val="aff0"/>
          <w:rFonts w:ascii="Times New Roman" w:hAnsi="Times New Roman" w:cs="Times New Roman"/>
          <w:color w:val="0070C0"/>
          <w:spacing w:val="0"/>
          <w:sz w:val="16"/>
          <w:szCs w:val="16"/>
        </w:rPr>
        <w:softHyphen/>
        <w:t>ния безэкипажной торпедной стрельбы. Производилась она при 1200 оборотов моторов, что соответствовало скорости в 18,5 уз. Первоначально испытателей преследовали неудачи. Так, 31 октября при стрельбе торпедами при управлении катером с борта опытового корабля «Кон</w:t>
      </w:r>
      <w:r w:rsidRPr="00951B40">
        <w:rPr>
          <w:rStyle w:val="aff0"/>
          <w:rFonts w:ascii="Times New Roman" w:hAnsi="Times New Roman" w:cs="Times New Roman"/>
          <w:color w:val="0070C0"/>
          <w:spacing w:val="0"/>
          <w:sz w:val="16"/>
          <w:szCs w:val="16"/>
        </w:rPr>
        <w:softHyphen/>
        <w:t>структор» залп произошел с запозданием, в тот момент, когда катер поворачивал, причем левая торпеда задержалась в желобе. 2 ноября задержалась правая торпеда. Испытания были прерваны, по</w:t>
      </w:r>
      <w:r w:rsidRPr="00951B40">
        <w:rPr>
          <w:rStyle w:val="aff0"/>
          <w:rFonts w:ascii="Times New Roman" w:hAnsi="Times New Roman" w:cs="Times New Roman"/>
          <w:color w:val="0070C0"/>
          <w:spacing w:val="0"/>
          <w:sz w:val="16"/>
          <w:szCs w:val="16"/>
        </w:rPr>
        <w:softHyphen/>
        <w:t>сле чего все тщательно обследовали и пришли к выводу, что причиной задержек была сама конструкция торпед 45-12, ко</w:t>
      </w:r>
      <w:r w:rsidRPr="00951B40">
        <w:rPr>
          <w:rStyle w:val="aff0"/>
          <w:rFonts w:ascii="Times New Roman" w:hAnsi="Times New Roman" w:cs="Times New Roman"/>
          <w:color w:val="0070C0"/>
          <w:spacing w:val="0"/>
          <w:sz w:val="16"/>
          <w:szCs w:val="16"/>
        </w:rPr>
        <w:softHyphen/>
        <w:t>торые специально переделывались перед испытаниями под конструкцию желобных торпедных аппаратов мастерскими Мортехупра. Пока со всем этим перенести испытания на следующий год, после того как Финский залив очистится ото льда. Залп, произведенный 25 июня 1932 г., прошел в штатном режиме, но на следу</w:t>
      </w:r>
      <w:r w:rsidRPr="00951B40">
        <w:rPr>
          <w:rStyle w:val="aff0"/>
          <w:rFonts w:ascii="Times New Roman" w:hAnsi="Times New Roman" w:cs="Times New Roman"/>
          <w:color w:val="0070C0"/>
          <w:spacing w:val="0"/>
          <w:sz w:val="16"/>
          <w:szCs w:val="16"/>
        </w:rPr>
        <w:softHyphen/>
        <w:t>ющий день при повторном испытании не вышла торпеда из левого аппарата. Как выяснилось, провода электрической цепи в автоматической стрельбовой коробке были плохо изолированы при изготовле</w:t>
      </w:r>
      <w:r w:rsidRPr="00951B40">
        <w:rPr>
          <w:rStyle w:val="aff0"/>
          <w:rFonts w:ascii="Times New Roman" w:hAnsi="Times New Roman" w:cs="Times New Roman"/>
          <w:color w:val="0070C0"/>
          <w:spacing w:val="0"/>
          <w:sz w:val="16"/>
          <w:szCs w:val="16"/>
        </w:rPr>
        <w:softHyphen/>
        <w:t>нии на заводе К. Маркса, из-за чего про</w:t>
      </w:r>
      <w:r w:rsidRPr="00951B40">
        <w:rPr>
          <w:rStyle w:val="aff0"/>
          <w:rFonts w:ascii="Times New Roman" w:hAnsi="Times New Roman" w:cs="Times New Roman"/>
          <w:color w:val="0070C0"/>
          <w:spacing w:val="0"/>
          <w:sz w:val="16"/>
          <w:szCs w:val="16"/>
        </w:rPr>
        <w:softHyphen/>
        <w:t>изошло их замыкание на корпус. Лишь по</w:t>
      </w:r>
      <w:r w:rsidRPr="00951B40">
        <w:rPr>
          <w:rStyle w:val="aff0"/>
          <w:rFonts w:ascii="Times New Roman" w:hAnsi="Times New Roman" w:cs="Times New Roman"/>
          <w:color w:val="0070C0"/>
          <w:spacing w:val="0"/>
          <w:sz w:val="16"/>
          <w:szCs w:val="16"/>
        </w:rPr>
        <w:softHyphen/>
        <w:t>следняя серия испытаний, пришедшаяся на осень 1932 г., показала полную надеж</w:t>
      </w:r>
      <w:r w:rsidRPr="00951B40">
        <w:rPr>
          <w:rStyle w:val="aff0"/>
          <w:rFonts w:ascii="Times New Roman" w:hAnsi="Times New Roman" w:cs="Times New Roman"/>
          <w:color w:val="0070C0"/>
          <w:spacing w:val="0"/>
          <w:sz w:val="16"/>
          <w:szCs w:val="16"/>
        </w:rPr>
        <w:softHyphen/>
        <w:t>ность работы всего комплекса аппарату</w:t>
      </w:r>
      <w:r w:rsidRPr="00951B40">
        <w:rPr>
          <w:rStyle w:val="aff0"/>
          <w:rFonts w:ascii="Times New Roman" w:hAnsi="Times New Roman" w:cs="Times New Roman"/>
          <w:color w:val="0070C0"/>
          <w:spacing w:val="0"/>
          <w:sz w:val="16"/>
          <w:szCs w:val="16"/>
        </w:rPr>
        <w:softHyphen/>
        <w:t>ры и подтвердила возможность успешного осуществления торпедной стрельбы при отсутствии экипажа на борту.</w:t>
      </w:r>
    </w:p>
    <w:p w14:paraId="122488D8" w14:textId="77777777" w:rsidR="00C356D8" w:rsidRPr="00951B40" w:rsidRDefault="00C356D8" w:rsidP="00C356D8">
      <w:pPr>
        <w:spacing w:after="0" w:line="240" w:lineRule="auto"/>
        <w:jc w:val="both"/>
        <w:rPr>
          <w:rFonts w:ascii="Times New Roman" w:hAnsi="Times New Roman"/>
          <w:color w:val="0070C0"/>
          <w:sz w:val="16"/>
          <w:szCs w:val="16"/>
        </w:rPr>
      </w:pPr>
      <w:r w:rsidRPr="00951B40">
        <w:rPr>
          <w:rStyle w:val="aff0"/>
          <w:rFonts w:ascii="Times New Roman" w:hAnsi="Times New Roman" w:cs="Times New Roman"/>
          <w:color w:val="0070C0"/>
          <w:spacing w:val="0"/>
          <w:sz w:val="16"/>
          <w:szCs w:val="16"/>
        </w:rPr>
        <w:t>Хотя катера типа «Стальной» очень сильно уступали Ш-4 по скоростным ха</w:t>
      </w:r>
      <w:r w:rsidRPr="00951B40">
        <w:rPr>
          <w:rStyle w:val="aff0"/>
          <w:rFonts w:ascii="Times New Roman" w:hAnsi="Times New Roman" w:cs="Times New Roman"/>
          <w:color w:val="0070C0"/>
          <w:spacing w:val="0"/>
          <w:sz w:val="16"/>
          <w:szCs w:val="16"/>
        </w:rPr>
        <w:softHyphen/>
        <w:t>рактеристикам, в эксплуатационном плане они их значительно превосходили. Корпуса не корродировали и не требовали слож</w:t>
      </w:r>
      <w:r w:rsidRPr="00951B40">
        <w:rPr>
          <w:rStyle w:val="aff0"/>
          <w:rFonts w:ascii="Times New Roman" w:hAnsi="Times New Roman" w:cs="Times New Roman"/>
          <w:color w:val="0070C0"/>
          <w:spacing w:val="0"/>
          <w:sz w:val="16"/>
          <w:szCs w:val="16"/>
        </w:rPr>
        <w:softHyphen/>
        <w:t>ных операций по обслуживанию после каждого выхода в море. По этой причине оба катера продолжали оставаться в со</w:t>
      </w:r>
      <w:r w:rsidRPr="00951B40">
        <w:rPr>
          <w:rStyle w:val="aff0"/>
          <w:rFonts w:ascii="Times New Roman" w:hAnsi="Times New Roman" w:cs="Times New Roman"/>
          <w:color w:val="0070C0"/>
          <w:spacing w:val="0"/>
          <w:sz w:val="16"/>
          <w:szCs w:val="16"/>
        </w:rPr>
        <w:softHyphen/>
        <w:t>ставе флота на протяжении всей Великой Отечественной войны, в то время как большинство их ровесников, принадле</w:t>
      </w:r>
      <w:r w:rsidRPr="00951B40">
        <w:rPr>
          <w:rStyle w:val="aff0"/>
          <w:rFonts w:ascii="Times New Roman" w:hAnsi="Times New Roman" w:cs="Times New Roman"/>
          <w:color w:val="0070C0"/>
          <w:spacing w:val="0"/>
          <w:sz w:val="16"/>
          <w:szCs w:val="16"/>
        </w:rPr>
        <w:softHyphen/>
        <w:t>жавшие к типу Ш-4, уже давно были сданы на слом. Секрет долголетия был сопряжен с тем, что в конце 30-х все же удалось заменить старые «Тайфуны» на моторы ГАМ-34БС. Что же касается устаревшего торпедного вооружения, то его с катеров данного типа применять в войну даже не пытались. В 1941 г. «стальные» использо</w:t>
      </w:r>
      <w:r w:rsidRPr="00951B40">
        <w:rPr>
          <w:rStyle w:val="aff0"/>
          <w:rFonts w:ascii="Times New Roman" w:hAnsi="Times New Roman" w:cs="Times New Roman"/>
          <w:color w:val="0070C0"/>
          <w:spacing w:val="0"/>
          <w:sz w:val="16"/>
          <w:szCs w:val="16"/>
        </w:rPr>
        <w:softHyphen/>
        <w:t>вались в основном для противолодочного обеспечения отрядов крупных боевых кораблей и конвоев. В 1942 г. оба катера перевели на Ладогу, а когда в конце лета 1944-го их вернули в Финский залив, им предоставили играть роль минных загра</w:t>
      </w:r>
      <w:r w:rsidRPr="00951B40">
        <w:rPr>
          <w:rStyle w:val="aff0"/>
          <w:rFonts w:ascii="Times New Roman" w:hAnsi="Times New Roman" w:cs="Times New Roman"/>
          <w:color w:val="0070C0"/>
          <w:spacing w:val="0"/>
          <w:sz w:val="16"/>
          <w:szCs w:val="16"/>
        </w:rPr>
        <w:softHyphen/>
        <w:t>дителей, благо такой вариант их примене</w:t>
      </w:r>
      <w:r w:rsidRPr="00951B40">
        <w:rPr>
          <w:rStyle w:val="aff0"/>
          <w:rFonts w:ascii="Times New Roman" w:hAnsi="Times New Roman" w:cs="Times New Roman"/>
          <w:color w:val="0070C0"/>
          <w:spacing w:val="0"/>
          <w:sz w:val="16"/>
          <w:szCs w:val="16"/>
        </w:rPr>
        <w:softHyphen/>
        <w:t>ния предусматривался изначально (25781).</w:t>
      </w:r>
    </w:p>
    <w:p w14:paraId="1EA28A82" w14:textId="77777777" w:rsidR="00C356D8" w:rsidRPr="00951B40" w:rsidRDefault="00C356D8" w:rsidP="00C356D8">
      <w:pPr>
        <w:spacing w:after="0" w:line="240" w:lineRule="auto"/>
        <w:jc w:val="both"/>
        <w:rPr>
          <w:rFonts w:ascii="Times New Roman" w:hAnsi="Times New Roman"/>
          <w:color w:val="0070C0"/>
          <w:sz w:val="16"/>
          <w:szCs w:val="16"/>
        </w:rPr>
      </w:pPr>
    </w:p>
    <w:p w14:paraId="5706241A" w14:textId="77777777" w:rsidR="00AE4CBE"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21A3D430" w14:textId="77777777" w:rsidR="00AE4CBE" w:rsidRPr="005E779E" w:rsidRDefault="00AE4CBE"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50FE7A4" w14:textId="77777777" w:rsidR="00AE4CBE" w:rsidRPr="005E779E" w:rsidRDefault="00AE4CBE"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17 сентября 1931 г. в пескаху колодца Дахлы на север от Красноводска произошел </w:t>
      </w:r>
      <w:r w:rsidRPr="005E779E">
        <w:rPr>
          <w:rFonts w:ascii="Times New Roman" w:eastAsia="Times New Roman" w:hAnsi="Times New Roman"/>
          <w:bCs/>
          <w:iCs/>
          <w:color w:val="000000" w:themeColor="text1"/>
          <w:sz w:val="16"/>
          <w:szCs w:val="16"/>
          <w:lang w:eastAsia="ru-RU"/>
        </w:rPr>
        <w:t>самый тяжелый и кровопролитный</w:t>
      </w:r>
      <w:r w:rsidRPr="005E779E">
        <w:rPr>
          <w:rFonts w:ascii="Times New Roman" w:eastAsia="Times New Roman" w:hAnsi="Times New Roman"/>
          <w:color w:val="000000" w:themeColor="text1"/>
          <w:sz w:val="16"/>
          <w:szCs w:val="16"/>
          <w:lang w:eastAsia="ru-RU"/>
        </w:rPr>
        <w:t xml:space="preserve"> 10-часовой бой между Иомудо-казахской басмаческой группой (до 500 сабель) и кавалерийским дивизионом Малышева. Чекисты понесли тяжелые потери, но разбили басмачей. 17 сентября 1931 г. произошел бой с Ташаузским отрядом басмачей (250 сабель). Басмачи были разбиты, потеряв 90 человек. Это были последние крупные операции против басмачей – к концу 1931 г. их основные силы были разбиты, все стоянки, кишлаки, колодцы перешли под контроль чекистов и красноармейцев (17325).</w:t>
      </w:r>
    </w:p>
    <w:p w14:paraId="6E364CE0" w14:textId="77777777" w:rsidR="00AE4CBE" w:rsidRPr="005E779E" w:rsidRDefault="00AE4CBE" w:rsidP="000B7A6C">
      <w:pPr>
        <w:spacing w:after="0" w:line="240" w:lineRule="auto"/>
        <w:jc w:val="both"/>
        <w:rPr>
          <w:rFonts w:ascii="Times New Roman" w:hAnsi="Times New Roman"/>
          <w:color w:val="000000" w:themeColor="text1"/>
          <w:sz w:val="16"/>
          <w:szCs w:val="16"/>
        </w:rPr>
      </w:pPr>
    </w:p>
    <w:p w14:paraId="34302676" w14:textId="77777777" w:rsidR="00C92EFC"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364044B9" w14:textId="77777777" w:rsidR="00C92EFC" w:rsidRPr="005E779E" w:rsidRDefault="00C92EFC"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A994E76" w14:textId="77777777" w:rsidR="00C92EFC" w:rsidRPr="005E779E" w:rsidRDefault="00C92EFC" w:rsidP="000B7A6C">
      <w:pPr>
        <w:spacing w:after="0" w:line="240" w:lineRule="auto"/>
        <w:jc w:val="both"/>
        <w:rPr>
          <w:rFonts w:ascii="Times New Roman" w:hAnsi="Times New Roman"/>
          <w:color w:val="000000" w:themeColor="text1"/>
          <w:sz w:val="16"/>
          <w:szCs w:val="16"/>
        </w:rPr>
      </w:pPr>
      <w:r w:rsidRPr="005E779E">
        <w:rPr>
          <w:rStyle w:val="ucoz-forum-post"/>
          <w:rFonts w:ascii="Times New Roman" w:eastAsia="Times New Roman" w:hAnsi="Times New Roman"/>
          <w:bCs/>
          <w:color w:val="000000" w:themeColor="text1"/>
          <w:sz w:val="16"/>
          <w:szCs w:val="16"/>
        </w:rPr>
        <w:t xml:space="preserve">17 сентября </w:t>
      </w:r>
      <w:r w:rsidRPr="005E779E">
        <w:rPr>
          <w:rFonts w:ascii="Times New Roman" w:hAnsi="Times New Roman"/>
          <w:color w:val="000000" w:themeColor="text1"/>
          <w:sz w:val="16"/>
          <w:szCs w:val="16"/>
        </w:rPr>
        <w:t>В 1931 году в Нью-Йорке в отеле Савой фирма «RCA-Victor», Нью-Йорк, демонстрирует первую долгоиграющую запись (LP) на 33 1/3 оборота в минуту с 5-й симфонией Бетховена, но предприятие терпит неудачу из-за высокой цены проигрывателей (14772).</w:t>
      </w:r>
    </w:p>
    <w:p w14:paraId="4663FC3A" w14:textId="77777777" w:rsidR="00C92EFC" w:rsidRPr="005E779E" w:rsidRDefault="00C92EFC" w:rsidP="000B7A6C">
      <w:pPr>
        <w:spacing w:after="0" w:line="240" w:lineRule="auto"/>
        <w:jc w:val="both"/>
        <w:rPr>
          <w:rFonts w:ascii="Times New Roman" w:hAnsi="Times New Roman"/>
          <w:color w:val="000000" w:themeColor="text1"/>
          <w:sz w:val="16"/>
          <w:szCs w:val="16"/>
        </w:rPr>
      </w:pPr>
    </w:p>
    <w:p w14:paraId="04D0247A" w14:textId="0F643707" w:rsidR="00702AE9" w:rsidRPr="005E779E" w:rsidRDefault="00702AE9"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17 — 18 сентября 1931 г. инцидент в Мюнхене: убита-застрелилась Гели Раубаль – </w:t>
      </w:r>
      <w:r w:rsidRPr="005E779E">
        <w:rPr>
          <w:rFonts w:ascii="Times New Roman" w:eastAsia="Times New Roman" w:hAnsi="Times New Roman"/>
          <w:iCs/>
          <w:color w:val="000000" w:themeColor="text1"/>
          <w:sz w:val="16"/>
          <w:szCs w:val="16"/>
          <w:lang w:eastAsia="ru-RU"/>
        </w:rPr>
        <w:t>любовница Гитлера</w:t>
      </w:r>
      <w:r w:rsidR="00DD5670" w:rsidRPr="005E779E">
        <w:rPr>
          <w:rFonts w:ascii="Times New Roman" w:eastAsia="Times New Roman" w:hAnsi="Times New Roman"/>
          <w:iCs/>
          <w:color w:val="000000" w:themeColor="text1"/>
          <w:sz w:val="16"/>
          <w:szCs w:val="16"/>
          <w:lang w:eastAsia="ru-RU"/>
        </w:rPr>
        <w:t xml:space="preserve"> -</w:t>
      </w:r>
      <w:r w:rsidR="00FE094E">
        <w:rPr>
          <w:rFonts w:ascii="Times New Roman" w:eastAsia="Times New Roman" w:hAnsi="Times New Roman"/>
          <w:iCs/>
          <w:color w:val="000000" w:themeColor="text1"/>
          <w:sz w:val="16"/>
          <w:szCs w:val="16"/>
          <w:lang w:eastAsia="ru-RU"/>
        </w:rPr>
        <w:t xml:space="preserve"> </w:t>
      </w:r>
      <w:r w:rsidRPr="005E779E">
        <w:rPr>
          <w:rFonts w:ascii="Times New Roman" w:eastAsia="Times New Roman" w:hAnsi="Times New Roman"/>
          <w:color w:val="000000" w:themeColor="text1"/>
          <w:sz w:val="16"/>
          <w:szCs w:val="16"/>
          <w:lang w:eastAsia="ru-RU"/>
        </w:rPr>
        <w:t>племянница (дочь сводной сестры Гитлера фрау Анджелы Раубаль) и любовница Адольфа Гитлера.</w:t>
      </w:r>
    </w:p>
    <w:p w14:paraId="401402E9" w14:textId="77777777" w:rsidR="00702AE9" w:rsidRPr="005E779E" w:rsidRDefault="00702AE9"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bCs/>
          <w:iCs/>
          <w:color w:val="000000" w:themeColor="text1"/>
          <w:sz w:val="16"/>
          <w:szCs w:val="16"/>
          <w:lang w:eastAsia="ru-RU"/>
        </w:rPr>
        <w:t>У.Ширер «Взлет и падение третьего рейха»:</w:t>
      </w:r>
    </w:p>
    <w:p w14:paraId="5AC06D06" w14:textId="30E56463" w:rsidR="00702AE9" w:rsidRPr="005E779E" w:rsidRDefault="00702AE9" w:rsidP="000B7A6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bCs/>
          <w:color w:val="000000" w:themeColor="text1"/>
          <w:sz w:val="16"/>
          <w:szCs w:val="16"/>
          <w:lang w:eastAsia="ru-RU"/>
        </w:rPr>
        <w:t>«Так или иначе, роман дяди с племянницей был чем-то омрачен, Между</w:t>
      </w:r>
      <w:r w:rsidR="00FE094E">
        <w:rPr>
          <w:rFonts w:ascii="Times New Roman" w:eastAsia="Times New Roman" w:hAnsi="Times New Roman"/>
          <w:bCs/>
          <w:color w:val="000000" w:themeColor="text1"/>
          <w:sz w:val="16"/>
          <w:szCs w:val="16"/>
          <w:lang w:eastAsia="ru-RU"/>
        </w:rPr>
        <w:t xml:space="preserve"> </w:t>
      </w:r>
      <w:r w:rsidRPr="005E779E">
        <w:rPr>
          <w:rFonts w:ascii="Times New Roman" w:eastAsia="Times New Roman" w:hAnsi="Times New Roman"/>
          <w:bCs/>
          <w:color w:val="000000" w:themeColor="text1"/>
          <w:sz w:val="16"/>
          <w:szCs w:val="16"/>
          <w:lang w:eastAsia="ru-RU"/>
        </w:rPr>
        <w:t xml:space="preserve">ними происходили яростные перепалки. </w:t>
      </w:r>
      <w:r w:rsidRPr="005E779E">
        <w:rPr>
          <w:rFonts w:ascii="Times New Roman" w:eastAsia="Times New Roman" w:hAnsi="Times New Roman"/>
          <w:color w:val="000000" w:themeColor="text1"/>
          <w:sz w:val="16"/>
          <w:szCs w:val="16"/>
          <w:lang w:eastAsia="ru-RU"/>
        </w:rPr>
        <w:t>17 сентября 1931</w:t>
      </w:r>
      <w:r w:rsidR="00FE094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eastAsia="ru-RU"/>
        </w:rPr>
        <w:t>года</w:t>
      </w:r>
      <w:r w:rsidR="00FE094E">
        <w:rPr>
          <w:rFonts w:ascii="Times New Roman" w:eastAsia="Times New Roman" w:hAnsi="Times New Roman"/>
          <w:bCs/>
          <w:color w:val="000000" w:themeColor="text1"/>
          <w:sz w:val="16"/>
          <w:szCs w:val="16"/>
          <w:lang w:eastAsia="ru-RU"/>
        </w:rPr>
        <w:t xml:space="preserve"> </w:t>
      </w:r>
      <w:r w:rsidRPr="005E779E">
        <w:rPr>
          <w:rFonts w:ascii="Times New Roman" w:eastAsia="Times New Roman" w:hAnsi="Times New Roman"/>
          <w:bCs/>
          <w:color w:val="000000" w:themeColor="text1"/>
          <w:sz w:val="16"/>
          <w:szCs w:val="16"/>
          <w:lang w:eastAsia="ru-RU"/>
        </w:rPr>
        <w:t>Гели</w:t>
      </w:r>
      <w:r w:rsidR="00FE094E">
        <w:rPr>
          <w:rFonts w:ascii="Times New Roman" w:eastAsia="Times New Roman" w:hAnsi="Times New Roman"/>
          <w:bCs/>
          <w:color w:val="000000" w:themeColor="text1"/>
          <w:sz w:val="16"/>
          <w:szCs w:val="16"/>
          <w:lang w:eastAsia="ru-RU"/>
        </w:rPr>
        <w:t xml:space="preserve"> </w:t>
      </w:r>
      <w:r w:rsidRPr="005E779E">
        <w:rPr>
          <w:rFonts w:ascii="Times New Roman" w:eastAsia="Times New Roman" w:hAnsi="Times New Roman"/>
          <w:bCs/>
          <w:color w:val="000000" w:themeColor="text1"/>
          <w:sz w:val="16"/>
          <w:szCs w:val="16"/>
          <w:lang w:eastAsia="ru-RU"/>
        </w:rPr>
        <w:t>объявила,</w:t>
      </w:r>
      <w:r w:rsidR="00FE094E">
        <w:rPr>
          <w:rFonts w:ascii="Times New Roman" w:eastAsia="Times New Roman" w:hAnsi="Times New Roman"/>
          <w:bCs/>
          <w:color w:val="000000" w:themeColor="text1"/>
          <w:sz w:val="16"/>
          <w:szCs w:val="16"/>
          <w:lang w:eastAsia="ru-RU"/>
        </w:rPr>
        <w:t xml:space="preserve"> </w:t>
      </w:r>
      <w:r w:rsidRPr="005E779E">
        <w:rPr>
          <w:rFonts w:ascii="Times New Roman" w:eastAsia="Times New Roman" w:hAnsi="Times New Roman"/>
          <w:bCs/>
          <w:color w:val="000000" w:themeColor="text1"/>
          <w:sz w:val="16"/>
          <w:szCs w:val="16"/>
          <w:lang w:eastAsia="ru-RU"/>
        </w:rPr>
        <w:t>что возвращается в Вену,</w:t>
      </w:r>
      <w:r w:rsidR="00FE094E">
        <w:rPr>
          <w:rFonts w:ascii="Times New Roman" w:eastAsia="Times New Roman" w:hAnsi="Times New Roman"/>
          <w:bCs/>
          <w:color w:val="000000" w:themeColor="text1"/>
          <w:sz w:val="16"/>
          <w:szCs w:val="16"/>
          <w:lang w:eastAsia="ru-RU"/>
        </w:rPr>
        <w:t xml:space="preserve"> </w:t>
      </w:r>
      <w:r w:rsidRPr="005E779E">
        <w:rPr>
          <w:rFonts w:ascii="Times New Roman" w:eastAsia="Times New Roman" w:hAnsi="Times New Roman"/>
          <w:bCs/>
          <w:color w:val="000000" w:themeColor="text1"/>
          <w:sz w:val="16"/>
          <w:szCs w:val="16"/>
          <w:lang w:eastAsia="ru-RU"/>
        </w:rPr>
        <w:t>где продолжит</w:t>
      </w:r>
      <w:r w:rsidR="00FE094E">
        <w:rPr>
          <w:rFonts w:ascii="Times New Roman" w:eastAsia="Times New Roman" w:hAnsi="Times New Roman"/>
          <w:bCs/>
          <w:color w:val="000000" w:themeColor="text1"/>
          <w:sz w:val="16"/>
          <w:szCs w:val="16"/>
          <w:lang w:eastAsia="ru-RU"/>
        </w:rPr>
        <w:t xml:space="preserve"> </w:t>
      </w:r>
      <w:r w:rsidRPr="005E779E">
        <w:rPr>
          <w:rFonts w:ascii="Times New Roman" w:eastAsia="Times New Roman" w:hAnsi="Times New Roman"/>
          <w:bCs/>
          <w:color w:val="000000" w:themeColor="text1"/>
          <w:sz w:val="16"/>
          <w:szCs w:val="16"/>
          <w:lang w:eastAsia="ru-RU"/>
        </w:rPr>
        <w:t>занятия</w:t>
      </w:r>
      <w:r w:rsidR="00FE094E">
        <w:rPr>
          <w:rFonts w:ascii="Times New Roman" w:eastAsia="Times New Roman" w:hAnsi="Times New Roman"/>
          <w:bCs/>
          <w:color w:val="000000" w:themeColor="text1"/>
          <w:sz w:val="16"/>
          <w:szCs w:val="16"/>
          <w:lang w:eastAsia="ru-RU"/>
        </w:rPr>
        <w:t xml:space="preserve"> </w:t>
      </w:r>
      <w:r w:rsidRPr="005E779E">
        <w:rPr>
          <w:rFonts w:ascii="Times New Roman" w:eastAsia="Times New Roman" w:hAnsi="Times New Roman"/>
          <w:bCs/>
          <w:color w:val="000000" w:themeColor="text1"/>
          <w:sz w:val="16"/>
          <w:szCs w:val="16"/>
          <w:lang w:eastAsia="ru-RU"/>
        </w:rPr>
        <w:t>пением.</w:t>
      </w:r>
      <w:r w:rsidR="00FE094E">
        <w:rPr>
          <w:rFonts w:ascii="Times New Roman" w:eastAsia="Times New Roman" w:hAnsi="Times New Roman"/>
          <w:bCs/>
          <w:color w:val="000000" w:themeColor="text1"/>
          <w:sz w:val="16"/>
          <w:szCs w:val="16"/>
          <w:lang w:eastAsia="ru-RU"/>
        </w:rPr>
        <w:t xml:space="preserve"> </w:t>
      </w:r>
      <w:r w:rsidRPr="005E779E">
        <w:rPr>
          <w:rFonts w:ascii="Times New Roman" w:eastAsia="Times New Roman" w:hAnsi="Times New Roman"/>
          <w:bCs/>
          <w:color w:val="000000" w:themeColor="text1"/>
          <w:sz w:val="16"/>
          <w:szCs w:val="16"/>
          <w:lang w:eastAsia="ru-RU"/>
        </w:rPr>
        <w:t>Гитлер</w:t>
      </w:r>
      <w:r w:rsidR="00FE094E">
        <w:rPr>
          <w:rFonts w:ascii="Times New Roman" w:eastAsia="Times New Roman" w:hAnsi="Times New Roman"/>
          <w:bCs/>
          <w:color w:val="000000" w:themeColor="text1"/>
          <w:sz w:val="16"/>
          <w:szCs w:val="16"/>
          <w:lang w:eastAsia="ru-RU"/>
        </w:rPr>
        <w:t xml:space="preserve"> </w:t>
      </w:r>
      <w:r w:rsidRPr="005E779E">
        <w:rPr>
          <w:rFonts w:ascii="Times New Roman" w:eastAsia="Times New Roman" w:hAnsi="Times New Roman"/>
          <w:bCs/>
          <w:color w:val="000000" w:themeColor="text1"/>
          <w:sz w:val="16"/>
          <w:szCs w:val="16"/>
          <w:lang w:eastAsia="ru-RU"/>
        </w:rPr>
        <w:t>был</w:t>
      </w:r>
      <w:r w:rsidR="00FE094E">
        <w:rPr>
          <w:rFonts w:ascii="Times New Roman" w:eastAsia="Times New Roman" w:hAnsi="Times New Roman"/>
          <w:bCs/>
          <w:color w:val="000000" w:themeColor="text1"/>
          <w:sz w:val="16"/>
          <w:szCs w:val="16"/>
          <w:lang w:eastAsia="ru-RU"/>
        </w:rPr>
        <w:t xml:space="preserve"> </w:t>
      </w:r>
      <w:r w:rsidRPr="005E779E">
        <w:rPr>
          <w:rFonts w:ascii="Times New Roman" w:eastAsia="Times New Roman" w:hAnsi="Times New Roman"/>
          <w:bCs/>
          <w:color w:val="000000" w:themeColor="text1"/>
          <w:sz w:val="16"/>
          <w:szCs w:val="16"/>
          <w:lang w:eastAsia="ru-RU"/>
        </w:rPr>
        <w:t>против. Разразился скандал, свидетелями которого стали</w:t>
      </w:r>
      <w:r w:rsidR="00FE094E">
        <w:rPr>
          <w:rFonts w:ascii="Times New Roman" w:eastAsia="Times New Roman" w:hAnsi="Times New Roman"/>
          <w:bCs/>
          <w:color w:val="000000" w:themeColor="text1"/>
          <w:sz w:val="16"/>
          <w:szCs w:val="16"/>
          <w:lang w:eastAsia="ru-RU"/>
        </w:rPr>
        <w:t xml:space="preserve"> </w:t>
      </w:r>
      <w:r w:rsidRPr="005E779E">
        <w:rPr>
          <w:rFonts w:ascii="Times New Roman" w:eastAsia="Times New Roman" w:hAnsi="Times New Roman"/>
          <w:bCs/>
          <w:color w:val="000000" w:themeColor="text1"/>
          <w:sz w:val="16"/>
          <w:szCs w:val="16"/>
          <w:lang w:eastAsia="ru-RU"/>
        </w:rPr>
        <w:t>соседи. Они</w:t>
      </w:r>
      <w:r w:rsidR="00FE094E">
        <w:rPr>
          <w:rFonts w:ascii="Times New Roman" w:eastAsia="Times New Roman" w:hAnsi="Times New Roman"/>
          <w:bCs/>
          <w:color w:val="000000" w:themeColor="text1"/>
          <w:sz w:val="16"/>
          <w:szCs w:val="16"/>
          <w:lang w:eastAsia="ru-RU"/>
        </w:rPr>
        <w:t xml:space="preserve"> </w:t>
      </w:r>
      <w:r w:rsidRPr="005E779E">
        <w:rPr>
          <w:rFonts w:ascii="Times New Roman" w:eastAsia="Times New Roman" w:hAnsi="Times New Roman"/>
          <w:bCs/>
          <w:color w:val="000000" w:themeColor="text1"/>
          <w:sz w:val="16"/>
          <w:szCs w:val="16"/>
          <w:lang w:eastAsia="ru-RU"/>
        </w:rPr>
        <w:t>слышали,</w:t>
      </w:r>
      <w:r w:rsidR="00FE094E">
        <w:rPr>
          <w:rFonts w:ascii="Times New Roman" w:eastAsia="Times New Roman" w:hAnsi="Times New Roman"/>
          <w:bCs/>
          <w:color w:val="000000" w:themeColor="text1"/>
          <w:sz w:val="16"/>
          <w:szCs w:val="16"/>
          <w:lang w:eastAsia="ru-RU"/>
        </w:rPr>
        <w:t xml:space="preserve"> </w:t>
      </w:r>
      <w:r w:rsidRPr="005E779E">
        <w:rPr>
          <w:rFonts w:ascii="Times New Roman" w:eastAsia="Times New Roman" w:hAnsi="Times New Roman"/>
          <w:bCs/>
          <w:color w:val="000000" w:themeColor="text1"/>
          <w:sz w:val="16"/>
          <w:szCs w:val="16"/>
          <w:lang w:eastAsia="ru-RU"/>
        </w:rPr>
        <w:t>как Гели, высунувшись из окна мюнхенской квартиры, крикнула Гитлеру, садившемуся в автомобиль (он собрался ехать в Гамбург): "Значит, ты запрещаешь мне ехать в Вену?" "Да!" - ответил он.</w:t>
      </w:r>
      <w:r w:rsidR="00FE094E">
        <w:rPr>
          <w:rFonts w:ascii="Times New Roman" w:eastAsia="Times New Roman" w:hAnsi="Times New Roman"/>
          <w:bCs/>
          <w:color w:val="000000" w:themeColor="text1"/>
          <w:sz w:val="16"/>
          <w:szCs w:val="16"/>
          <w:lang w:eastAsia="ru-RU"/>
        </w:rPr>
        <w:t xml:space="preserve"> </w:t>
      </w:r>
      <w:r w:rsidRPr="005E779E">
        <w:rPr>
          <w:rFonts w:ascii="Times New Roman" w:eastAsia="Times New Roman" w:hAnsi="Times New Roman"/>
          <w:bCs/>
          <w:color w:val="000000" w:themeColor="text1"/>
          <w:sz w:val="16"/>
          <w:szCs w:val="16"/>
          <w:lang w:eastAsia="ru-RU"/>
        </w:rPr>
        <w:t>На следующее утро Гели Раубал обнаружили в ее комнате с простреленной грудью. Следователь после тщательного</w:t>
      </w:r>
      <w:r w:rsidR="00FE094E">
        <w:rPr>
          <w:rFonts w:ascii="Times New Roman" w:eastAsia="Times New Roman" w:hAnsi="Times New Roman"/>
          <w:bCs/>
          <w:color w:val="000000" w:themeColor="text1"/>
          <w:sz w:val="16"/>
          <w:szCs w:val="16"/>
          <w:lang w:eastAsia="ru-RU"/>
        </w:rPr>
        <w:t xml:space="preserve"> </w:t>
      </w:r>
      <w:r w:rsidRPr="005E779E">
        <w:rPr>
          <w:rFonts w:ascii="Times New Roman" w:eastAsia="Times New Roman" w:hAnsi="Times New Roman"/>
          <w:bCs/>
          <w:color w:val="000000" w:themeColor="text1"/>
          <w:sz w:val="16"/>
          <w:szCs w:val="16"/>
          <w:lang w:eastAsia="ru-RU"/>
        </w:rPr>
        <w:t>дознания</w:t>
      </w:r>
      <w:r w:rsidR="00FE094E">
        <w:rPr>
          <w:rFonts w:ascii="Times New Roman" w:eastAsia="Times New Roman" w:hAnsi="Times New Roman"/>
          <w:bCs/>
          <w:color w:val="000000" w:themeColor="text1"/>
          <w:sz w:val="16"/>
          <w:szCs w:val="16"/>
          <w:lang w:eastAsia="ru-RU"/>
        </w:rPr>
        <w:t xml:space="preserve"> </w:t>
      </w:r>
      <w:r w:rsidRPr="005E779E">
        <w:rPr>
          <w:rFonts w:ascii="Times New Roman" w:eastAsia="Times New Roman" w:hAnsi="Times New Roman"/>
          <w:bCs/>
          <w:color w:val="000000" w:themeColor="text1"/>
          <w:sz w:val="16"/>
          <w:szCs w:val="16"/>
          <w:lang w:eastAsia="ru-RU"/>
        </w:rPr>
        <w:t>пришел</w:t>
      </w:r>
      <w:r w:rsidR="00FE094E">
        <w:rPr>
          <w:rFonts w:ascii="Times New Roman" w:eastAsia="Times New Roman" w:hAnsi="Times New Roman"/>
          <w:bCs/>
          <w:color w:val="000000" w:themeColor="text1"/>
          <w:sz w:val="16"/>
          <w:szCs w:val="16"/>
          <w:lang w:eastAsia="ru-RU"/>
        </w:rPr>
        <w:t xml:space="preserve"> </w:t>
      </w:r>
      <w:r w:rsidRPr="005E779E">
        <w:rPr>
          <w:rFonts w:ascii="Times New Roman" w:eastAsia="Times New Roman" w:hAnsi="Times New Roman"/>
          <w:bCs/>
          <w:color w:val="000000" w:themeColor="text1"/>
          <w:sz w:val="16"/>
          <w:szCs w:val="16"/>
          <w:lang w:eastAsia="ru-RU"/>
        </w:rPr>
        <w:t>к</w:t>
      </w:r>
      <w:r w:rsidR="00FE094E">
        <w:rPr>
          <w:rFonts w:ascii="Times New Roman" w:eastAsia="Times New Roman" w:hAnsi="Times New Roman"/>
          <w:bCs/>
          <w:color w:val="000000" w:themeColor="text1"/>
          <w:sz w:val="16"/>
          <w:szCs w:val="16"/>
          <w:lang w:eastAsia="ru-RU"/>
        </w:rPr>
        <w:t xml:space="preserve"> </w:t>
      </w:r>
      <w:r w:rsidRPr="005E779E">
        <w:rPr>
          <w:rFonts w:ascii="Times New Roman" w:eastAsia="Times New Roman" w:hAnsi="Times New Roman"/>
          <w:bCs/>
          <w:color w:val="000000" w:themeColor="text1"/>
          <w:sz w:val="16"/>
          <w:szCs w:val="16"/>
          <w:lang w:eastAsia="ru-RU"/>
        </w:rPr>
        <w:t>заключению,</w:t>
      </w:r>
      <w:r w:rsidR="00FE094E">
        <w:rPr>
          <w:rFonts w:ascii="Times New Roman" w:eastAsia="Times New Roman" w:hAnsi="Times New Roman"/>
          <w:bCs/>
          <w:color w:val="000000" w:themeColor="text1"/>
          <w:sz w:val="16"/>
          <w:szCs w:val="16"/>
          <w:lang w:eastAsia="ru-RU"/>
        </w:rPr>
        <w:t xml:space="preserve"> </w:t>
      </w:r>
      <w:r w:rsidRPr="005E779E">
        <w:rPr>
          <w:rFonts w:ascii="Times New Roman" w:eastAsia="Times New Roman" w:hAnsi="Times New Roman"/>
          <w:bCs/>
          <w:color w:val="000000" w:themeColor="text1"/>
          <w:sz w:val="16"/>
          <w:szCs w:val="16"/>
          <w:lang w:eastAsia="ru-RU"/>
        </w:rPr>
        <w:t>что имело место самоубийство.</w:t>
      </w:r>
      <w:r w:rsidR="00FE094E">
        <w:rPr>
          <w:rFonts w:ascii="Times New Roman" w:eastAsia="Times New Roman" w:hAnsi="Times New Roman"/>
          <w:bCs/>
          <w:color w:val="000000" w:themeColor="text1"/>
          <w:sz w:val="16"/>
          <w:szCs w:val="16"/>
          <w:lang w:eastAsia="ru-RU"/>
        </w:rPr>
        <w:t xml:space="preserve"> </w:t>
      </w:r>
      <w:r w:rsidRPr="005E779E">
        <w:rPr>
          <w:rFonts w:ascii="Times New Roman" w:eastAsia="Times New Roman" w:hAnsi="Times New Roman"/>
          <w:bCs/>
          <w:color w:val="000000" w:themeColor="text1"/>
          <w:sz w:val="16"/>
          <w:szCs w:val="16"/>
          <w:lang w:eastAsia="ru-RU"/>
        </w:rPr>
        <w:t>Пуля</w:t>
      </w:r>
      <w:r w:rsidR="00FE094E">
        <w:rPr>
          <w:rFonts w:ascii="Times New Roman" w:eastAsia="Times New Roman" w:hAnsi="Times New Roman"/>
          <w:bCs/>
          <w:color w:val="000000" w:themeColor="text1"/>
          <w:sz w:val="16"/>
          <w:szCs w:val="16"/>
          <w:lang w:eastAsia="ru-RU"/>
        </w:rPr>
        <w:t xml:space="preserve"> </w:t>
      </w:r>
      <w:r w:rsidRPr="005E779E">
        <w:rPr>
          <w:rFonts w:ascii="Times New Roman" w:eastAsia="Times New Roman" w:hAnsi="Times New Roman"/>
          <w:bCs/>
          <w:color w:val="000000" w:themeColor="text1"/>
          <w:sz w:val="16"/>
          <w:szCs w:val="16"/>
          <w:lang w:eastAsia="ru-RU"/>
        </w:rPr>
        <w:t>проникла</w:t>
      </w:r>
      <w:r w:rsidR="00FE094E">
        <w:rPr>
          <w:rFonts w:ascii="Times New Roman" w:eastAsia="Times New Roman" w:hAnsi="Times New Roman"/>
          <w:bCs/>
          <w:color w:val="000000" w:themeColor="text1"/>
          <w:sz w:val="16"/>
          <w:szCs w:val="16"/>
          <w:lang w:eastAsia="ru-RU"/>
        </w:rPr>
        <w:t xml:space="preserve"> </w:t>
      </w:r>
      <w:r w:rsidRPr="005E779E">
        <w:rPr>
          <w:rFonts w:ascii="Times New Roman" w:eastAsia="Times New Roman" w:hAnsi="Times New Roman"/>
          <w:bCs/>
          <w:color w:val="000000" w:themeColor="text1"/>
          <w:sz w:val="16"/>
          <w:szCs w:val="16"/>
          <w:lang w:eastAsia="ru-RU"/>
        </w:rPr>
        <w:t>в</w:t>
      </w:r>
      <w:r w:rsidR="00FE094E">
        <w:rPr>
          <w:rFonts w:ascii="Times New Roman" w:eastAsia="Times New Roman" w:hAnsi="Times New Roman"/>
          <w:bCs/>
          <w:color w:val="000000" w:themeColor="text1"/>
          <w:sz w:val="16"/>
          <w:szCs w:val="16"/>
          <w:lang w:eastAsia="ru-RU"/>
        </w:rPr>
        <w:t xml:space="preserve"> </w:t>
      </w:r>
      <w:r w:rsidRPr="005E779E">
        <w:rPr>
          <w:rFonts w:ascii="Times New Roman" w:eastAsia="Times New Roman" w:hAnsi="Times New Roman"/>
          <w:bCs/>
          <w:color w:val="000000" w:themeColor="text1"/>
          <w:sz w:val="16"/>
          <w:szCs w:val="16"/>
          <w:lang w:eastAsia="ru-RU"/>
        </w:rPr>
        <w:t>грудь</w:t>
      </w:r>
      <w:r w:rsidR="00FE094E">
        <w:rPr>
          <w:rFonts w:ascii="Times New Roman" w:eastAsia="Times New Roman" w:hAnsi="Times New Roman"/>
          <w:bCs/>
          <w:color w:val="000000" w:themeColor="text1"/>
          <w:sz w:val="16"/>
          <w:szCs w:val="16"/>
          <w:lang w:eastAsia="ru-RU"/>
        </w:rPr>
        <w:t xml:space="preserve"> </w:t>
      </w:r>
      <w:r w:rsidRPr="005E779E">
        <w:rPr>
          <w:rFonts w:ascii="Times New Roman" w:eastAsia="Times New Roman" w:hAnsi="Times New Roman"/>
          <w:bCs/>
          <w:color w:val="000000" w:themeColor="text1"/>
          <w:sz w:val="16"/>
          <w:szCs w:val="16"/>
          <w:lang w:eastAsia="ru-RU"/>
        </w:rPr>
        <w:t>ниже</w:t>
      </w:r>
      <w:r w:rsidR="00FE094E">
        <w:rPr>
          <w:rFonts w:ascii="Times New Roman" w:eastAsia="Times New Roman" w:hAnsi="Times New Roman"/>
          <w:bCs/>
          <w:color w:val="000000" w:themeColor="text1"/>
          <w:sz w:val="16"/>
          <w:szCs w:val="16"/>
          <w:lang w:eastAsia="ru-RU"/>
        </w:rPr>
        <w:t xml:space="preserve"> </w:t>
      </w:r>
      <w:r w:rsidRPr="005E779E">
        <w:rPr>
          <w:rFonts w:ascii="Times New Roman" w:eastAsia="Times New Roman" w:hAnsi="Times New Roman"/>
          <w:bCs/>
          <w:color w:val="000000" w:themeColor="text1"/>
          <w:sz w:val="16"/>
          <w:szCs w:val="16"/>
          <w:lang w:eastAsia="ru-RU"/>
        </w:rPr>
        <w:t>левой</w:t>
      </w:r>
      <w:r w:rsidR="00FE094E">
        <w:rPr>
          <w:rFonts w:ascii="Times New Roman" w:eastAsia="Times New Roman" w:hAnsi="Times New Roman"/>
          <w:bCs/>
          <w:color w:val="000000" w:themeColor="text1"/>
          <w:sz w:val="16"/>
          <w:szCs w:val="16"/>
          <w:lang w:eastAsia="ru-RU"/>
        </w:rPr>
        <w:t xml:space="preserve"> </w:t>
      </w:r>
      <w:r w:rsidRPr="005E779E">
        <w:rPr>
          <w:rFonts w:ascii="Times New Roman" w:eastAsia="Times New Roman" w:hAnsi="Times New Roman"/>
          <w:bCs/>
          <w:color w:val="000000" w:themeColor="text1"/>
          <w:sz w:val="16"/>
          <w:szCs w:val="16"/>
          <w:lang w:eastAsia="ru-RU"/>
        </w:rPr>
        <w:t>ключицы</w:t>
      </w:r>
      <w:r w:rsidR="00FE094E">
        <w:rPr>
          <w:rFonts w:ascii="Times New Roman" w:eastAsia="Times New Roman" w:hAnsi="Times New Roman"/>
          <w:bCs/>
          <w:color w:val="000000" w:themeColor="text1"/>
          <w:sz w:val="16"/>
          <w:szCs w:val="16"/>
          <w:lang w:eastAsia="ru-RU"/>
        </w:rPr>
        <w:t xml:space="preserve"> </w:t>
      </w:r>
      <w:r w:rsidRPr="005E779E">
        <w:rPr>
          <w:rFonts w:ascii="Times New Roman" w:eastAsia="Times New Roman" w:hAnsi="Times New Roman"/>
          <w:bCs/>
          <w:color w:val="000000" w:themeColor="text1"/>
          <w:sz w:val="16"/>
          <w:szCs w:val="16"/>
          <w:lang w:eastAsia="ru-RU"/>
        </w:rPr>
        <w:t>и поразила сердце. Следователю представлялось очевидным, что выстрел произвела сама Гели.</w:t>
      </w:r>
      <w:r w:rsidR="00FE094E">
        <w:rPr>
          <w:rFonts w:ascii="Times New Roman" w:eastAsia="Times New Roman" w:hAnsi="Times New Roman"/>
          <w:bCs/>
          <w:color w:val="000000" w:themeColor="text1"/>
          <w:sz w:val="16"/>
          <w:szCs w:val="16"/>
          <w:lang w:eastAsia="ru-RU"/>
        </w:rPr>
        <w:t xml:space="preserve"> </w:t>
      </w:r>
      <w:r w:rsidRPr="005E779E">
        <w:rPr>
          <w:rFonts w:ascii="Times New Roman" w:eastAsia="Times New Roman" w:hAnsi="Times New Roman"/>
          <w:bCs/>
          <w:color w:val="000000" w:themeColor="text1"/>
          <w:sz w:val="16"/>
          <w:szCs w:val="16"/>
          <w:lang w:eastAsia="ru-RU"/>
        </w:rPr>
        <w:t>И все же на протяжении нескольких лет по</w:t>
      </w:r>
      <w:r w:rsidR="00FE094E">
        <w:rPr>
          <w:rFonts w:ascii="Times New Roman" w:eastAsia="Times New Roman" w:hAnsi="Times New Roman"/>
          <w:bCs/>
          <w:color w:val="000000" w:themeColor="text1"/>
          <w:sz w:val="16"/>
          <w:szCs w:val="16"/>
          <w:lang w:eastAsia="ru-RU"/>
        </w:rPr>
        <w:t xml:space="preserve"> </w:t>
      </w:r>
      <w:r w:rsidRPr="005E779E">
        <w:rPr>
          <w:rFonts w:ascii="Times New Roman" w:eastAsia="Times New Roman" w:hAnsi="Times New Roman"/>
          <w:bCs/>
          <w:color w:val="000000" w:themeColor="text1"/>
          <w:sz w:val="16"/>
          <w:szCs w:val="16"/>
          <w:lang w:eastAsia="ru-RU"/>
        </w:rPr>
        <w:t>Мюнхену</w:t>
      </w:r>
      <w:r w:rsidR="00FE094E">
        <w:rPr>
          <w:rFonts w:ascii="Times New Roman" w:eastAsia="Times New Roman" w:hAnsi="Times New Roman"/>
          <w:bCs/>
          <w:color w:val="000000" w:themeColor="text1"/>
          <w:sz w:val="16"/>
          <w:szCs w:val="16"/>
          <w:lang w:eastAsia="ru-RU"/>
        </w:rPr>
        <w:t xml:space="preserve"> </w:t>
      </w:r>
      <w:r w:rsidRPr="005E779E">
        <w:rPr>
          <w:rFonts w:ascii="Times New Roman" w:eastAsia="Times New Roman" w:hAnsi="Times New Roman"/>
          <w:bCs/>
          <w:color w:val="000000" w:themeColor="text1"/>
          <w:sz w:val="16"/>
          <w:szCs w:val="16"/>
          <w:lang w:eastAsia="ru-RU"/>
        </w:rPr>
        <w:t>ходили</w:t>
      </w:r>
      <w:r w:rsidR="00FE094E">
        <w:rPr>
          <w:rFonts w:ascii="Times New Roman" w:eastAsia="Times New Roman" w:hAnsi="Times New Roman"/>
          <w:bCs/>
          <w:color w:val="000000" w:themeColor="text1"/>
          <w:sz w:val="16"/>
          <w:szCs w:val="16"/>
          <w:lang w:eastAsia="ru-RU"/>
        </w:rPr>
        <w:t xml:space="preserve"> </w:t>
      </w:r>
      <w:r w:rsidRPr="005E779E">
        <w:rPr>
          <w:rFonts w:ascii="Times New Roman" w:eastAsia="Times New Roman" w:hAnsi="Times New Roman"/>
          <w:bCs/>
          <w:color w:val="000000" w:themeColor="text1"/>
          <w:sz w:val="16"/>
          <w:szCs w:val="16"/>
          <w:lang w:eastAsia="ru-RU"/>
        </w:rPr>
        <w:t>слухи, будто убил ее либо сам Гитлер в припадке гнева, либо Гиммлер, пожелавший покончить с ситуацией, вредившей авторитету партии.»</w:t>
      </w:r>
    </w:p>
    <w:p w14:paraId="23236ADB" w14:textId="77777777" w:rsidR="00702AE9" w:rsidRPr="005E779E" w:rsidRDefault="00702AE9"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bCs/>
          <w:iCs/>
          <w:color w:val="000000" w:themeColor="text1"/>
          <w:sz w:val="16"/>
          <w:szCs w:val="16"/>
          <w:lang w:eastAsia="ru-RU"/>
        </w:rPr>
        <w:t>Александр Кац «Евреи. Христианство. Россия.»:</w:t>
      </w:r>
    </w:p>
    <w:p w14:paraId="20C707B6" w14:textId="77777777" w:rsidR="00702AE9" w:rsidRPr="005E779E" w:rsidRDefault="00702AE9"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bCs/>
          <w:color w:val="000000" w:themeColor="text1"/>
          <w:sz w:val="16"/>
          <w:szCs w:val="16"/>
          <w:lang w:eastAsia="ru-RU"/>
        </w:rPr>
        <w:t>Бригитта Гитлер, невестка фюрера, утверждала, что Гели Раубаль была в действительности «беременна от одного молодого еврея, профессора рисунка из Линца, которого она знала с 1928 г. и за которого готовилась выйти замуж…»» (17325).</w:t>
      </w:r>
    </w:p>
    <w:p w14:paraId="0E7F94C8" w14:textId="77777777" w:rsidR="00702AE9" w:rsidRPr="005E779E" w:rsidRDefault="00702AE9" w:rsidP="000B7A6C">
      <w:pPr>
        <w:spacing w:after="0" w:line="240" w:lineRule="auto"/>
        <w:jc w:val="both"/>
        <w:rPr>
          <w:rFonts w:ascii="Times New Roman" w:hAnsi="Times New Roman"/>
          <w:color w:val="000000" w:themeColor="text1"/>
          <w:sz w:val="16"/>
          <w:szCs w:val="16"/>
        </w:rPr>
      </w:pPr>
    </w:p>
    <w:p w14:paraId="4F7B70F5"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4DA9389A"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FED3E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18 сентября 1931 г. на Балтийском море начались государственные испытания торпе</w:t>
      </w:r>
      <w:r w:rsidRPr="005E779E">
        <w:rPr>
          <w:rFonts w:ascii="Times New Roman" w:hAnsi="Times New Roman"/>
          <w:color w:val="000000" w:themeColor="text1"/>
          <w:sz w:val="16"/>
          <w:szCs w:val="16"/>
        </w:rPr>
        <w:softHyphen/>
        <w:t>ды ВВС-12. К авгус</w:t>
      </w:r>
      <w:r w:rsidRPr="005E779E">
        <w:rPr>
          <w:rFonts w:ascii="Times New Roman" w:hAnsi="Times New Roman"/>
          <w:color w:val="000000" w:themeColor="text1"/>
          <w:sz w:val="16"/>
          <w:szCs w:val="16"/>
        </w:rPr>
        <w:softHyphen/>
        <w:t>ту следующего года сбросили 20 тор</w:t>
      </w:r>
      <w:r w:rsidRPr="005E779E">
        <w:rPr>
          <w:rFonts w:ascii="Times New Roman" w:hAnsi="Times New Roman"/>
          <w:color w:val="000000" w:themeColor="text1"/>
          <w:sz w:val="16"/>
          <w:szCs w:val="16"/>
        </w:rPr>
        <w:softHyphen/>
        <w:t>пед двух типов (на базе 45-12 и 45-15). И опять торпеда ВВС-12 оказа</w:t>
      </w:r>
      <w:r w:rsidRPr="005E779E">
        <w:rPr>
          <w:rFonts w:ascii="Times New Roman" w:hAnsi="Times New Roman"/>
          <w:color w:val="000000" w:themeColor="text1"/>
          <w:sz w:val="16"/>
          <w:szCs w:val="16"/>
        </w:rPr>
        <w:softHyphen/>
        <w:t>лась надежнее, и ее приняли на воо</w:t>
      </w:r>
      <w:r w:rsidRPr="005E779E">
        <w:rPr>
          <w:rFonts w:ascii="Times New Roman" w:hAnsi="Times New Roman"/>
          <w:color w:val="000000" w:themeColor="text1"/>
          <w:sz w:val="16"/>
          <w:szCs w:val="16"/>
        </w:rPr>
        <w:softHyphen/>
        <w:t>ружение ВВС РККА (куда входила и морская авиация) под индексом ТАН-12 (4144).</w:t>
      </w:r>
    </w:p>
    <w:p w14:paraId="7B7E6E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C61C997"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0E7F7C67"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BD427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сентября 1931 года коллегия ОГПУ при СНК СССР постановила: «... Фирсову А.О. оставшийся срок изоляции заме</w:t>
      </w:r>
      <w:r w:rsidRPr="005E779E">
        <w:rPr>
          <w:rFonts w:ascii="Times New Roman" w:hAnsi="Times New Roman"/>
          <w:color w:val="000000" w:themeColor="text1"/>
          <w:sz w:val="16"/>
          <w:szCs w:val="16"/>
        </w:rPr>
        <w:softHyphen/>
        <w:t>нить высылкой в г.Харьков для работы на ХПЗ», а 18 ноября 1931 г. на</w:t>
      </w:r>
      <w:r w:rsidRPr="005E779E">
        <w:rPr>
          <w:rFonts w:ascii="Times New Roman" w:hAnsi="Times New Roman"/>
          <w:color w:val="000000" w:themeColor="text1"/>
          <w:sz w:val="16"/>
          <w:szCs w:val="16"/>
        </w:rPr>
        <w:softHyphen/>
        <w:t>чальником ОЦР (отдела центральной регистрации) ОГПУ Фирсову А.О. было выдано удостоверение для следования к месту высылки в г.Харьков, куда он прибыл в январе 1932 года для работы на ХПЗ в должности инже</w:t>
      </w:r>
      <w:r w:rsidRPr="005E779E">
        <w:rPr>
          <w:rFonts w:ascii="Times New Roman" w:hAnsi="Times New Roman"/>
          <w:color w:val="000000" w:themeColor="text1"/>
          <w:sz w:val="16"/>
          <w:szCs w:val="16"/>
        </w:rPr>
        <w:softHyphen/>
        <w:t>нера-конструктора. А в январе следующего года он на этом заводе возглавил танковое конструкторское бюро. В должности начальника этого КБ Афанасий Осипович проработал до марта 1937 года, т.е. до второго арес</w:t>
      </w:r>
      <w:r w:rsidRPr="005E779E">
        <w:rPr>
          <w:rFonts w:ascii="Times New Roman" w:hAnsi="Times New Roman"/>
          <w:color w:val="000000" w:themeColor="text1"/>
          <w:sz w:val="16"/>
          <w:szCs w:val="16"/>
        </w:rPr>
        <w:softHyphen/>
        <w:t>та (11504).</w:t>
      </w:r>
    </w:p>
    <w:p w14:paraId="24EA06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1060128" w14:textId="77777777" w:rsidR="00A54CD0" w:rsidRPr="005E779E" w:rsidRDefault="00A54CD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сентября 1931 г. на Балтийском море начались государственные испытания торпеды ВВС-12. К августу следующего года сбросили 20 торпед двух типов (на базе 45—12 и 45—15). И опять торпеда ВВС-12 оказалась надежнее, и ее приняли на вооружение ВВС РККА (куда входила и морская авиация) под индексом ТАН-12 (15117).</w:t>
      </w:r>
    </w:p>
    <w:p w14:paraId="1E6728C9" w14:textId="77777777" w:rsidR="00A54CD0" w:rsidRPr="005E779E" w:rsidRDefault="00A54CD0" w:rsidP="000B7A6C">
      <w:pPr>
        <w:spacing w:after="0" w:line="240" w:lineRule="auto"/>
        <w:jc w:val="both"/>
        <w:rPr>
          <w:rFonts w:ascii="Times New Roman" w:hAnsi="Times New Roman"/>
          <w:color w:val="000000" w:themeColor="text1"/>
          <w:sz w:val="16"/>
          <w:szCs w:val="16"/>
        </w:rPr>
      </w:pPr>
    </w:p>
    <w:p w14:paraId="65C1510E" w14:textId="77777777" w:rsidR="003E00E3" w:rsidRPr="00142305" w:rsidRDefault="003E00E3" w:rsidP="003E00E3">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 xml:space="preserve">18 сентября 1931 г. на Балтийском море начались </w:t>
      </w:r>
      <w:r w:rsidRPr="00142305">
        <w:rPr>
          <w:rStyle w:val="aff0"/>
          <w:rFonts w:ascii="Times New Roman" w:hAnsi="Times New Roman" w:cs="Times New Roman"/>
          <w:color w:val="0070C0"/>
          <w:spacing w:val="0"/>
          <w:sz w:val="16"/>
          <w:szCs w:val="16"/>
          <w:lang w:val="en-US"/>
        </w:rPr>
        <w:t>u</w:t>
      </w:r>
      <w:r w:rsidRPr="00142305">
        <w:rPr>
          <w:rStyle w:val="aff0"/>
          <w:rFonts w:ascii="Times New Roman" w:hAnsi="Times New Roman" w:cs="Times New Roman"/>
          <w:color w:val="0070C0"/>
          <w:spacing w:val="0"/>
          <w:sz w:val="16"/>
          <w:szCs w:val="16"/>
        </w:rPr>
        <w:t>осударственные испытания торпеды ВВС-12 Остехбюро. К августу следующего года сбросили 20 торпед двух типов (на базе 45–12 и 45–15). И опять торпеда ВВС-12 оказалась надежнее, и ее приняли на вооружение ВВС РККА (куда входила и морская авиация) под индексом ТАН-12 (25213).</w:t>
      </w:r>
    </w:p>
    <w:p w14:paraId="444F7176" w14:textId="77777777" w:rsidR="003E00E3" w:rsidRPr="00142305" w:rsidRDefault="003E00E3" w:rsidP="003E00E3">
      <w:pPr>
        <w:spacing w:after="0" w:line="240" w:lineRule="auto"/>
        <w:jc w:val="both"/>
        <w:rPr>
          <w:rFonts w:ascii="Times New Roman" w:hAnsi="Times New Roman"/>
          <w:color w:val="0070C0"/>
          <w:sz w:val="16"/>
          <w:szCs w:val="16"/>
        </w:rPr>
      </w:pPr>
    </w:p>
    <w:p w14:paraId="769464E8"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35F019D5"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71BDC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18 и 24 сентября 1931. Из протокола заседания Политбюро № 62, 1931 г.</w:t>
      </w:r>
    </w:p>
    <w:p w14:paraId="62E5A4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Об использовании освобождаемых бывших вредителей </w:t>
      </w:r>
    </w:p>
    <w:p w14:paraId="1ED6A3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 возражать против досрочного освобождения бывших вредителей—инженеров и техников ж. д. транспорта для использования их на ж. д. транспорте по списку, представленному Постышевым и Акуловым, с оставлением наказания условным и применением к освобожденным гласного надзора ГПУ (11652).</w:t>
      </w:r>
    </w:p>
    <w:p w14:paraId="2B4DA4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CB73B7C"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7C71F20A"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A5F5C59" w14:textId="77777777" w:rsidR="00EC2876" w:rsidRPr="005E779E" w:rsidRDefault="00EC2876" w:rsidP="000B7A6C">
      <w:pPr>
        <w:pStyle w:val="ae"/>
        <w:shd w:val="clear" w:color="auto" w:fill="FFFFFF"/>
        <w:spacing w:before="0" w:after="0"/>
        <w:jc w:val="both"/>
        <w:rPr>
          <w:color w:val="000000" w:themeColor="text1"/>
          <w:sz w:val="16"/>
          <w:szCs w:val="16"/>
        </w:rPr>
      </w:pPr>
      <w:r w:rsidRPr="005E779E">
        <w:rPr>
          <w:color w:val="000000" w:themeColor="text1"/>
          <w:sz w:val="16"/>
          <w:szCs w:val="16"/>
        </w:rPr>
        <w:lastRenderedPageBreak/>
        <w:t>18 сентября 1931 года Книпкамп фактически поставил крест на трёхлетней работе Krupp и других фирм над легким танком. В качестве ориентира при разработке новых танков был выбран тягач Carden-Loyd, который производитель совместно с фирмой Vickers продвигал на зарубежные рынки с 1929 года. Машина постоянно модифицировалась, причём она существовала как в виде артиллерийского тягача, так и в качестве машины, имевшей грузовую платформу. Позже детище Джона Кардена и Вивиана Лойда превратилось в лёгкий танк, последнее звено в эволюции которого, Light Tank Mk.VI, составляло основу английских бронетанковых сил на начало Второй мировой войны. Продвижение тягачей на экспорт дорого обошлась англичанам. Английские наработки стали базой для создания немцами своих танков второго поколения, да и итальянские танки тоже базировались на английских конструкциях. В итоге через несколько лет англичанам пришлось воевать с тем, к созданию чего они сами приложили руку (17463).</w:t>
      </w:r>
    </w:p>
    <w:p w14:paraId="77669FC4" w14:textId="77777777" w:rsidR="00EC2876" w:rsidRPr="005E779E" w:rsidRDefault="00EC2876"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70C0F73" w14:textId="77777777" w:rsidR="00EC2876" w:rsidRPr="005E779E" w:rsidRDefault="00EC2876" w:rsidP="000B7A6C">
      <w:pPr>
        <w:pStyle w:val="ae"/>
        <w:shd w:val="clear" w:color="auto" w:fill="FFFFFF"/>
        <w:spacing w:before="0" w:after="0"/>
        <w:jc w:val="both"/>
        <w:rPr>
          <w:color w:val="000000" w:themeColor="text1"/>
          <w:sz w:val="16"/>
          <w:szCs w:val="16"/>
        </w:rPr>
      </w:pPr>
      <w:r w:rsidRPr="005E779E">
        <w:rPr>
          <w:color w:val="000000" w:themeColor="text1"/>
          <w:sz w:val="16"/>
          <w:szCs w:val="16"/>
        </w:rPr>
        <w:t>18 сентября 1931 года была утверждена спецификация на новый Kleinetraktor. Инициатором её разработки выступил сам концерн Krupp. Согласно новым требованиям, ходовая часть состояла из 4 опорных катков диаметром 500 мм, а пятый каток одновременно выполнял роль ленивца. Подвеска на половинчатых рессорах напоминала подвеску Carden-Loyd, но при этом явно не являлась копией английской конструкции. Позже диаметр опорных катков был увеличен до 530 мм, а длина гусеничной ленты – до 7 метров (по 140 траков в ленте).</w:t>
      </w:r>
    </w:p>
    <w:p w14:paraId="64B98252" w14:textId="77777777" w:rsidR="00EC2876" w:rsidRPr="005E779E" w:rsidRDefault="00EC2876" w:rsidP="000B7A6C">
      <w:pPr>
        <w:pStyle w:val="ae"/>
        <w:shd w:val="clear" w:color="auto" w:fill="FFFFFF"/>
        <w:spacing w:before="0" w:after="0"/>
        <w:jc w:val="both"/>
        <w:rPr>
          <w:color w:val="000000" w:themeColor="text1"/>
          <w:sz w:val="16"/>
          <w:szCs w:val="16"/>
        </w:rPr>
      </w:pPr>
      <w:r w:rsidRPr="005E779E">
        <w:rPr>
          <w:color w:val="000000" w:themeColor="text1"/>
          <w:sz w:val="16"/>
          <w:szCs w:val="16"/>
        </w:rPr>
        <w:t>21 декабря с концерном Krupp были заключены контракты на изготовление опытного Kleinetraktor (30 700 марок) и разработку ходовой части (13 000 марок). Позже, в мае 1932 года, сумма, выделенная на постройку машины, выросла до 43 700 марок. Постоянные внесения изменений в конструкцию привели к тому, что в изначальные сроки изготовления машины (к 30 июня 1932 года) исполнитель не вложился. Показ Kleinetraktor с серийным номером 8000 состоялся 29 июля 1932 года.</w:t>
      </w:r>
    </w:p>
    <w:p w14:paraId="3BC971EF" w14:textId="77777777" w:rsidR="00EC2876" w:rsidRPr="005E779E" w:rsidRDefault="00EC2876" w:rsidP="000B7A6C">
      <w:pPr>
        <w:pStyle w:val="ae"/>
        <w:shd w:val="clear" w:color="auto" w:fill="FFFFFF"/>
        <w:spacing w:before="0" w:after="0"/>
        <w:jc w:val="both"/>
        <w:rPr>
          <w:color w:val="000000" w:themeColor="text1"/>
          <w:sz w:val="16"/>
          <w:szCs w:val="16"/>
        </w:rPr>
      </w:pPr>
      <w:r w:rsidRPr="005E779E">
        <w:rPr>
          <w:color w:val="000000" w:themeColor="text1"/>
          <w:sz w:val="16"/>
          <w:szCs w:val="16"/>
        </w:rPr>
        <w:t xml:space="preserve">Внешне машина здорово напоминала уменьшенный в размерах L.S.K. с примесью английских технологий. От большого «горба» над мотором конструкторам удалось избавиться благодаря использованию оппозитного мотора Krupp M 301, который ставился и на лёгкий армейский грузовик и </w:t>
      </w:r>
      <w:hyperlink r:id="rId177" w:history="1">
        <w:r w:rsidRPr="005E779E">
          <w:rPr>
            <w:rStyle w:val="a5"/>
            <w:rFonts w:eastAsia="Times New Roman"/>
            <w:color w:val="000000" w:themeColor="text1"/>
            <w:sz w:val="16"/>
            <w:szCs w:val="16"/>
          </w:rPr>
          <w:t>артиллерийский тягач</w:t>
        </w:r>
      </w:hyperlink>
      <w:r w:rsidRPr="005E779E">
        <w:rPr>
          <w:color w:val="000000" w:themeColor="text1"/>
          <w:sz w:val="16"/>
          <w:szCs w:val="16"/>
        </w:rPr>
        <w:t xml:space="preserve"> L2 H 43 (он же Krupp Protze). По тактико-техническим требованиям он должен был развивать мощность 60 лошадиных сил, но в реальности выдавал 52–54 лошадиные силы. Кроме того, машина получилась немного тяжелее, чем требовалось по заданию. Тем не менее, на испытаниях Kleinetraktor смог развить скорость 42 км/ч. На испытаниях в Вюнсдорфе немецкий «трактор» показал полное превосходство над тягачом Carden-Loyd. Да, конструкция всё ещё требовала доработок, но по сравнению с Leichttraktor это был однозначный успех.</w:t>
      </w:r>
    </w:p>
    <w:p w14:paraId="3A24B81D" w14:textId="77777777" w:rsidR="00EC2876" w:rsidRPr="005E779E" w:rsidRDefault="00EC2876" w:rsidP="000B7A6C">
      <w:pPr>
        <w:pStyle w:val="ae"/>
        <w:shd w:val="clear" w:color="auto" w:fill="FFFFFF"/>
        <w:spacing w:before="0" w:after="0"/>
        <w:jc w:val="both"/>
        <w:rPr>
          <w:color w:val="000000" w:themeColor="text1"/>
          <w:sz w:val="16"/>
          <w:szCs w:val="16"/>
        </w:rPr>
      </w:pPr>
      <w:r w:rsidRPr="005E779E">
        <w:rPr>
          <w:color w:val="000000" w:themeColor="text1"/>
          <w:sz w:val="16"/>
          <w:szCs w:val="16"/>
        </w:rPr>
        <w:t>Первоначально Kleinetraktor рассматривался как многоцелевая машина. Предполагалось создать на общей базе машину наблюдателей, артиллерийский тягач и подвозчик боеприпасов. Впрочем, после испытаний генерал Освальд Лутц, отвечавший за моторизацию Рейхсвера, сразу же заговорил как минимум о пяти Kleinetraktor с вооружением. Случилось это 12 октября 1932 года. Варианты другого использования гусеничной платформы вскоре сами собой отпали, и танк стал основной версией новой машины (17463).</w:t>
      </w:r>
    </w:p>
    <w:p w14:paraId="2DB805A8" w14:textId="77777777" w:rsidR="00EC2876" w:rsidRPr="005E779E" w:rsidRDefault="00EC2876"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7BDBE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lang w:val="en-US"/>
        </w:rPr>
        <w:t>September 18 1931 Japanese begin conquest of Manchuria (1037).</w:t>
      </w:r>
    </w:p>
    <w:p w14:paraId="154983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p w14:paraId="4038B2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сентября 1931 японцы вторглись в Манчжурию (2443,406) и мы лишились права пользования КВЖД (1285).</w:t>
      </w:r>
    </w:p>
    <w:p w14:paraId="5A2C66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47198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сентября 1931 г., на железнодорожном полотне принадлежавшей Японии Южно-Манчжурской железной дороги (ЮМЖД) в районе местечка Лютяогоу недалеко от Мукдена, произошел взрыв поезда. Этот взрыв, организованный, как выяснилось впоследствии, японскими агентами, был объявлен диверсией китайской военной охраны. Под предлогом обеспечения безопасности движения поездов 18 сентября в зону дороги были введены две роты японских солдат, которые были встречены выстрелами китайской дорожной охраны. Японские солдаты открыли ответный огонь, а затем в ходе продолжавшейся перестрелки напали на казармы китайской полиции и регулярных китайских войск (3871).</w:t>
      </w:r>
    </w:p>
    <w:p w14:paraId="44FEC1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681F99F" w14:textId="77777777" w:rsidR="00A30954" w:rsidRPr="005E779E" w:rsidRDefault="00A30954" w:rsidP="000B7A6C">
      <w:pPr>
        <w:spacing w:after="0" w:line="240" w:lineRule="auto"/>
        <w:jc w:val="both"/>
        <w:rPr>
          <w:rFonts w:ascii="Times New Roman" w:hAnsi="Times New Roman"/>
          <w:color w:val="000000" w:themeColor="text1"/>
          <w:sz w:val="16"/>
          <w:szCs w:val="16"/>
        </w:rPr>
      </w:pPr>
      <w:r w:rsidRPr="005E779E">
        <w:rPr>
          <w:rFonts w:ascii="Times New Roman" w:eastAsia="Times New Roman" w:hAnsi="Times New Roman"/>
          <w:color w:val="000000" w:themeColor="text1"/>
          <w:sz w:val="16"/>
          <w:szCs w:val="16"/>
          <w:lang w:eastAsia="ru-RU"/>
        </w:rPr>
        <w:t>18-19 сентября 1931 японские войска приступили к оккупации Маньчжурии. К исходу 1931 г. она была завершена. Действия милитаристской группировки, которые было вынуждено постфактум санкционировать правительство Японии, явились новым и в основном непредвиденным фактором для военного и политического руководства. "...Перед началом авантюры не было заметно никакого особенно большого напряжения по подготовке театра военных действий, по созданию особых запасов снарядов, военных материалов и т. и." (Н. КР-в. "Вползание в войну" // Война и революция. 1934. Март-апр. С 35.). До маньчжурского кризиса советско-японские отношения отличались, как писал Сталину первый заместитель наркома иностранных дел Крестинский, "отсутствием какой бы то ни было напряженности" (Очерки истории Министерства иностранных дел России.- В 3 т. Т. 2: 1917-2002 гг. / Отв. ред. А. В. Торкунов. М., 2002. С. 210. См. также: Молодяков В. Э. Несостоявшаяся ось: Берлин - Москва - Токио. М., 2004. С. 85-86. В 1929 г. IV Управление Штаба РККА отмечало "сдержашгую" позицию Токио в отношении советско-китайского конфликта. В документах отдела международных связей (фактически - разведки) Коминтерна до 1931 г. Япония не упоминалась среди вероятных противников СССР (</w:t>
      </w:r>
      <w:r w:rsidRPr="005E779E">
        <w:rPr>
          <w:rFonts w:ascii="Times New Roman" w:eastAsia="Times New Roman" w:hAnsi="Times New Roman"/>
          <w:color w:val="000000" w:themeColor="text1"/>
          <w:sz w:val="16"/>
          <w:szCs w:val="16"/>
          <w:lang w:val="en-US" w:eastAsia="ru-RU"/>
        </w:rPr>
        <w:t>POZNIAKOV</w:t>
      </w:r>
      <w:r w:rsidRPr="005E779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val="en-US" w:eastAsia="ru-RU"/>
        </w:rPr>
        <w:t>V</w:t>
      </w:r>
      <w:r w:rsidRPr="005E779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val="en-US" w:eastAsia="ru-RU"/>
        </w:rPr>
        <w:t>The</w:t>
      </w:r>
      <w:r w:rsidRPr="005E779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val="en-US" w:eastAsia="ru-RU"/>
        </w:rPr>
        <w:t>Enemy</w:t>
      </w:r>
      <w:r w:rsidRPr="005E779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val="en-US" w:eastAsia="ru-RU"/>
        </w:rPr>
        <w:t>at</w:t>
      </w:r>
      <w:r w:rsidRPr="005E779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val="en-US" w:eastAsia="ru-RU"/>
        </w:rPr>
        <w:t>the</w:t>
      </w:r>
      <w:r w:rsidRPr="005E779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val="en-US" w:eastAsia="ru-RU"/>
        </w:rPr>
        <w:t>Gates</w:t>
      </w:r>
      <w:r w:rsidRPr="005E779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val="en-US" w:eastAsia="ru-RU"/>
        </w:rPr>
        <w:t>Soviet</w:t>
      </w:r>
      <w:r w:rsidRPr="005E779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val="en-US" w:eastAsia="ru-RU"/>
        </w:rPr>
        <w:t>Military</w:t>
      </w:r>
      <w:r w:rsidRPr="005E779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val="en-US" w:eastAsia="ru-RU"/>
        </w:rPr>
        <w:t>Intelligence</w:t>
      </w:r>
      <w:r w:rsidRPr="005E779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val="en-US" w:eastAsia="ru-RU"/>
        </w:rPr>
        <w:t>in</w:t>
      </w:r>
      <w:r w:rsidRPr="005E779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val="en-US" w:eastAsia="ru-RU"/>
        </w:rPr>
        <w:t>the</w:t>
      </w:r>
      <w:r w:rsidRPr="005E779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val="en-US" w:eastAsia="ru-RU"/>
        </w:rPr>
        <w:t>Interwar</w:t>
      </w:r>
      <w:r w:rsidRPr="005E779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val="en-US" w:eastAsia="ru-RU"/>
        </w:rPr>
        <w:t>Period</w:t>
      </w:r>
      <w:r w:rsidRPr="005E779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val="en-US" w:eastAsia="ru-RU"/>
        </w:rPr>
        <w:t>and</w:t>
      </w:r>
      <w:r w:rsidRPr="005E779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val="en-US" w:eastAsia="ru-RU"/>
        </w:rPr>
        <w:t>its</w:t>
      </w:r>
      <w:r w:rsidRPr="005E779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val="en-US" w:eastAsia="ru-RU"/>
        </w:rPr>
        <w:t>Forecasts</w:t>
      </w:r>
      <w:r w:rsidRPr="005E779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val="en-US" w:eastAsia="ru-RU"/>
        </w:rPr>
        <w:t>of</w:t>
      </w:r>
      <w:r w:rsidRPr="005E779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val="en-US" w:eastAsia="ru-RU"/>
        </w:rPr>
        <w:t>Future</w:t>
      </w:r>
      <w:r w:rsidRPr="005E779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val="en-US" w:eastAsia="ru-RU"/>
        </w:rPr>
        <w:t>War</w:t>
      </w:r>
      <w:r w:rsidRPr="005E779E">
        <w:rPr>
          <w:rFonts w:ascii="Times New Roman" w:eastAsia="Times New Roman" w:hAnsi="Times New Roman"/>
          <w:color w:val="000000" w:themeColor="text1"/>
          <w:sz w:val="16"/>
          <w:szCs w:val="16"/>
          <w:lang w:eastAsia="ru-RU"/>
        </w:rPr>
        <w:t>, 1921-1941 //</w:t>
      </w:r>
      <w:r w:rsidRPr="005E779E">
        <w:rPr>
          <w:rFonts w:ascii="Times New Roman" w:eastAsia="Times New Roman" w:hAnsi="Times New Roman"/>
          <w:color w:val="000000" w:themeColor="text1"/>
          <w:sz w:val="16"/>
          <w:szCs w:val="16"/>
          <w:lang w:val="en-US" w:eastAsia="ru-RU"/>
        </w:rPr>
        <w:t>Russia</w:t>
      </w:r>
      <w:r w:rsidRPr="005E779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val="en-US" w:eastAsia="ru-RU"/>
        </w:rPr>
        <w:t>in</w:t>
      </w:r>
      <w:r w:rsidRPr="005E779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val="en-US" w:eastAsia="ru-RU"/>
        </w:rPr>
        <w:t>the</w:t>
      </w:r>
      <w:r w:rsidRPr="005E779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val="en-US" w:eastAsia="ru-RU"/>
        </w:rPr>
        <w:t>Age</w:t>
      </w:r>
      <w:r w:rsidRPr="005E779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val="en-US" w:eastAsia="ru-RU"/>
        </w:rPr>
        <w:t>of</w:t>
      </w:r>
      <w:r w:rsidRPr="005E779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val="en-US" w:eastAsia="ru-RU"/>
        </w:rPr>
        <w:t>Wars</w:t>
      </w:r>
      <w:r w:rsidRPr="005E779E">
        <w:rPr>
          <w:rFonts w:ascii="Times New Roman" w:eastAsia="Times New Roman" w:hAnsi="Times New Roman"/>
          <w:color w:val="000000" w:themeColor="text1"/>
          <w:sz w:val="16"/>
          <w:szCs w:val="16"/>
          <w:lang w:eastAsia="ru-RU"/>
        </w:rPr>
        <w:t xml:space="preserve">, 1914-1945 / </w:t>
      </w:r>
      <w:r w:rsidRPr="005E779E">
        <w:rPr>
          <w:rFonts w:ascii="Times New Roman" w:eastAsia="Times New Roman" w:hAnsi="Times New Roman"/>
          <w:color w:val="000000" w:themeColor="text1"/>
          <w:sz w:val="16"/>
          <w:szCs w:val="16"/>
          <w:lang w:val="en-US" w:eastAsia="ru-RU"/>
        </w:rPr>
        <w:t>Ed</w:t>
      </w:r>
      <w:r w:rsidRPr="005E779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val="en-US" w:eastAsia="ru-RU"/>
        </w:rPr>
        <w:t>by</w:t>
      </w:r>
      <w:r w:rsidRPr="005E779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val="en-US" w:eastAsia="ru-RU"/>
        </w:rPr>
        <w:t>Silvio</w:t>
      </w:r>
      <w:r w:rsidRPr="005E779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val="en-US" w:eastAsia="ru-RU"/>
        </w:rPr>
        <w:t>Pons</w:t>
      </w:r>
      <w:r w:rsidRPr="005E779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val="en-US" w:eastAsia="ru-RU"/>
        </w:rPr>
        <w:t>and</w:t>
      </w:r>
      <w:r w:rsidRPr="005E779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val="en-US" w:eastAsia="ru-RU"/>
        </w:rPr>
        <w:t>Andrea</w:t>
      </w:r>
      <w:r w:rsidRPr="005E779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val="en-US" w:eastAsia="ru-RU"/>
        </w:rPr>
        <w:t>Romano</w:t>
      </w:r>
      <w:r w:rsidRPr="005E779E">
        <w:rPr>
          <w:rFonts w:ascii="Times New Roman" w:eastAsia="Times New Roman" w:hAnsi="Times New Roman"/>
          <w:color w:val="000000" w:themeColor="text1"/>
          <w:sz w:val="16"/>
          <w:szCs w:val="16"/>
          <w:lang w:eastAsia="ru-RU"/>
        </w:rPr>
        <w:t>. Milan, 2000. P. 221).) (22725).</w:t>
      </w:r>
    </w:p>
    <w:p w14:paraId="53522692" w14:textId="77777777" w:rsidR="00A30954" w:rsidRPr="005E779E" w:rsidRDefault="00A30954" w:rsidP="000B7A6C">
      <w:pPr>
        <w:spacing w:after="0" w:line="240" w:lineRule="auto"/>
        <w:jc w:val="both"/>
        <w:rPr>
          <w:rFonts w:ascii="Times New Roman" w:hAnsi="Times New Roman"/>
          <w:color w:val="000000" w:themeColor="text1"/>
          <w:sz w:val="16"/>
          <w:szCs w:val="16"/>
        </w:rPr>
      </w:pPr>
    </w:p>
    <w:p w14:paraId="7C6119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сентября 1931 японская армия при поддержке авиации начала наступление на Мукден и установила Манчжоу-го (3481).</w:t>
      </w:r>
    </w:p>
    <w:p w14:paraId="34137D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AB9E7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сентября 1931 года, когда японские войска вторглись в Маньчжурию. Уже 1 марта следующего года там было провозглашено марионеточное «государство» Маньчжоу-Го (11703).</w:t>
      </w:r>
    </w:p>
    <w:p w14:paraId="78F424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93B32C2" w14:textId="77777777" w:rsidR="00A54CD0" w:rsidRPr="005E779E" w:rsidRDefault="00A54CD0" w:rsidP="000B7A6C">
      <w:pPr>
        <w:spacing w:after="0" w:line="240" w:lineRule="auto"/>
        <w:jc w:val="both"/>
        <w:rPr>
          <w:rFonts w:ascii="Times New Roman" w:hAnsi="Times New Roman"/>
          <w:color w:val="000000" w:themeColor="text1"/>
          <w:sz w:val="16"/>
          <w:szCs w:val="16"/>
        </w:rPr>
      </w:pPr>
      <w:r w:rsidRPr="005E779E">
        <w:rPr>
          <w:rStyle w:val="ucoz-forum-post"/>
          <w:rFonts w:ascii="Times New Roman" w:eastAsia="Times New Roman" w:hAnsi="Times New Roman"/>
          <w:bCs/>
          <w:color w:val="000000" w:themeColor="text1"/>
          <w:sz w:val="16"/>
          <w:szCs w:val="16"/>
        </w:rPr>
        <w:t xml:space="preserve">18 сентября </w:t>
      </w:r>
      <w:r w:rsidRPr="005E779E">
        <w:rPr>
          <w:rFonts w:ascii="Times New Roman" w:hAnsi="Times New Roman"/>
          <w:color w:val="000000" w:themeColor="text1"/>
          <w:sz w:val="16"/>
          <w:szCs w:val="16"/>
        </w:rPr>
        <w:t>в 1931 году начались агрессивные действия японских милитаристов в северо-восточном Китае, завершившиеся захватом Маньчжурии и образованием марионеточного государства Маньчжоу-Го. Был создан плацдарм для агрессии против СССР, МНР и остальной части Китая, на Дальнем Востоке возник очаг мировой войны. В августе 1945 г. советские войска освободили Маньчжурию от японской оккупации (14773).</w:t>
      </w:r>
    </w:p>
    <w:p w14:paraId="7F170F45" w14:textId="77777777" w:rsidR="00A54CD0" w:rsidRPr="005E779E" w:rsidRDefault="00A54CD0" w:rsidP="000B7A6C">
      <w:pPr>
        <w:spacing w:after="0" w:line="240" w:lineRule="auto"/>
        <w:jc w:val="both"/>
        <w:rPr>
          <w:rFonts w:ascii="Times New Roman" w:hAnsi="Times New Roman"/>
          <w:color w:val="000000" w:themeColor="text1"/>
          <w:sz w:val="16"/>
          <w:szCs w:val="16"/>
        </w:rPr>
      </w:pPr>
    </w:p>
    <w:p w14:paraId="32B1BF41" w14:textId="77777777" w:rsidR="00B44E92" w:rsidRPr="005E779E" w:rsidRDefault="00B44E92"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18 сентября 1931 г. используя «</w:t>
      </w:r>
      <w:r w:rsidRPr="005E779E">
        <w:rPr>
          <w:rFonts w:ascii="Times New Roman" w:eastAsia="Times New Roman" w:hAnsi="Times New Roman"/>
          <w:bCs/>
          <w:iCs/>
          <w:color w:val="000000" w:themeColor="text1"/>
          <w:sz w:val="16"/>
          <w:szCs w:val="16"/>
          <w:lang w:eastAsia="ru-RU"/>
        </w:rPr>
        <w:t>инцидент у Лютяогоу</w:t>
      </w:r>
      <w:r w:rsidRPr="005E779E">
        <w:rPr>
          <w:rFonts w:ascii="Times New Roman" w:eastAsia="Times New Roman" w:hAnsi="Times New Roman"/>
          <w:color w:val="000000" w:themeColor="text1"/>
          <w:sz w:val="16"/>
          <w:szCs w:val="16"/>
          <w:lang w:eastAsia="ru-RU"/>
        </w:rPr>
        <w:t>» — взрыв на железной дороге у Мукдена и обстрел японских солдат как повод для войны, японская армия с целью обеспечения безопасности начала вторжение в Китай. 19 сентября японцы заняли Мукден, и за 3 месяца оккупировала Маньчжурию. 18 февраля 1932 г. (см.) в Маньчжурии было создано «марионеточное» государство Маньчжоу-Го. Новое государство возглавил император Пу И (см. 17 октября 1967 г.).</w:t>
      </w:r>
    </w:p>
    <w:p w14:paraId="6802FDBF" w14:textId="77777777" w:rsidR="00B44E92" w:rsidRPr="005E779E" w:rsidRDefault="00B44E92"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bCs/>
          <w:iCs/>
          <w:color w:val="000000" w:themeColor="text1"/>
          <w:sz w:val="16"/>
          <w:szCs w:val="16"/>
          <w:lang w:eastAsia="ru-RU"/>
        </w:rPr>
        <w:t>«История Китая», под ред. Л.Симоновская, Н.Юрьев, М., «Наука», 1974:</w:t>
      </w:r>
    </w:p>
    <w:p w14:paraId="55CD801F" w14:textId="77777777" w:rsidR="00B44E92" w:rsidRPr="005E779E" w:rsidRDefault="00B44E92"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18 сентября 1931 г.</w:t>
      </w:r>
      <w:r w:rsidRPr="005E779E">
        <w:rPr>
          <w:rFonts w:ascii="Times New Roman" w:eastAsia="Times New Roman" w:hAnsi="Times New Roman"/>
          <w:bCs/>
          <w:color w:val="000000" w:themeColor="text1"/>
          <w:sz w:val="16"/>
          <w:szCs w:val="16"/>
          <w:lang w:eastAsia="ru-RU"/>
        </w:rPr>
        <w:t xml:space="preserve"> Квантунская армия захватила Шэньян и начала оккупацию основных городов и районов Северо-Восточного Китая. Нанкинское правительство не решилось оказать сопротивление агрессору. Войскам Чжан Сюэ-ляна было приказано без боя отойти в Северный Китай. Чан Кай-ши обратился за помощью к Лиге Наций. Советский Союз сразу же осудил агрессивные акции японских империалистов. Но правящие круги Англии, Франции и США, определявшие позицию Лиги Наций, рассчитывая, что захваченный японцами Северо-восток Китая станет плацдармом для нападения Японии на Советский Союз, не приняли действенных мер. Созданная Лигой Наций комиссия Литтона «для изучения маньчжурского вопроса» лишь через год, к сентябрю 1932 г., расценила действия Японии как агрессию и предложила вывести из Маньчжурии японские войска. В то же время комиссия предложила признать «особые права» Японии в этом районе Китая (17325).</w:t>
      </w:r>
    </w:p>
    <w:p w14:paraId="47B90924" w14:textId="77777777" w:rsidR="00B44E92" w:rsidRPr="005E779E" w:rsidRDefault="00B44E92" w:rsidP="000B7A6C">
      <w:pPr>
        <w:spacing w:after="0" w:line="240" w:lineRule="auto"/>
        <w:jc w:val="both"/>
        <w:rPr>
          <w:rFonts w:ascii="Times New Roman" w:hAnsi="Times New Roman"/>
          <w:color w:val="000000" w:themeColor="text1"/>
          <w:sz w:val="16"/>
          <w:szCs w:val="16"/>
        </w:rPr>
      </w:pPr>
    </w:p>
    <w:p w14:paraId="70188217" w14:textId="77777777" w:rsidR="003E00E3" w:rsidRPr="00142305" w:rsidRDefault="003E00E3" w:rsidP="003E00E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18 сентября 1931 г. произошел Маньчжурский инцидент - подрыв железной дороги. Это послужило поводом для начала войны Японии против Ки</w:t>
      </w:r>
      <w:r w:rsidRPr="00142305">
        <w:rPr>
          <w:rFonts w:ascii="Times New Roman" w:hAnsi="Times New Roman"/>
          <w:color w:val="0070C0"/>
          <w:sz w:val="16"/>
          <w:szCs w:val="16"/>
        </w:rPr>
        <w:softHyphen/>
        <w:t>тая. Японская интервенция в Маньчжурию осуществлялась в 1931-1932 гг. Ок</w:t>
      </w:r>
      <w:r w:rsidRPr="00142305">
        <w:rPr>
          <w:rFonts w:ascii="Times New Roman" w:hAnsi="Times New Roman"/>
          <w:color w:val="0070C0"/>
          <w:sz w:val="16"/>
          <w:szCs w:val="16"/>
        </w:rPr>
        <w:softHyphen/>
        <w:t>купировав Маньчжурию, японская армия вышла вплотную к сухопутным грани</w:t>
      </w:r>
      <w:r w:rsidRPr="00142305">
        <w:rPr>
          <w:rFonts w:ascii="Times New Roman" w:hAnsi="Times New Roman"/>
          <w:color w:val="0070C0"/>
          <w:sz w:val="16"/>
          <w:szCs w:val="16"/>
        </w:rPr>
        <w:softHyphen/>
        <w:t>цам Советского Союза.</w:t>
      </w:r>
    </w:p>
    <w:p w14:paraId="7743A19D" w14:textId="77777777" w:rsidR="003E00E3" w:rsidRPr="00142305" w:rsidRDefault="003E00E3" w:rsidP="003E00E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Лозунг японского милитаризма «Сила крыльев решит вторую русско-япон</w:t>
      </w:r>
      <w:r w:rsidRPr="00142305">
        <w:rPr>
          <w:rFonts w:ascii="Times New Roman" w:hAnsi="Times New Roman"/>
          <w:color w:val="0070C0"/>
          <w:sz w:val="16"/>
          <w:szCs w:val="16"/>
        </w:rPr>
        <w:softHyphen/>
        <w:t>скую войну» был в сентябре 1931 г. растиражирован японскими газетами и жур</w:t>
      </w:r>
      <w:r w:rsidRPr="00142305">
        <w:rPr>
          <w:rFonts w:ascii="Times New Roman" w:hAnsi="Times New Roman"/>
          <w:color w:val="0070C0"/>
          <w:sz w:val="16"/>
          <w:szCs w:val="16"/>
        </w:rPr>
        <w:softHyphen/>
        <w:t>налами и стал идейным мотивом для наращивания японского военного воздуш</w:t>
      </w:r>
      <w:r w:rsidRPr="00142305">
        <w:rPr>
          <w:rFonts w:ascii="Times New Roman" w:hAnsi="Times New Roman"/>
          <w:color w:val="0070C0"/>
          <w:sz w:val="16"/>
          <w:szCs w:val="16"/>
        </w:rPr>
        <w:softHyphen/>
        <w:t>ного флота. Общий самолетный парк Японии с 1930 по 1933 г. возрос с 700 до 1 850 машин.</w:t>
      </w:r>
    </w:p>
    <w:p w14:paraId="789C0E93" w14:textId="77777777" w:rsidR="003E00E3" w:rsidRPr="00142305" w:rsidRDefault="003E00E3" w:rsidP="003E00E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вооружении японской военной авиации тогда состояли: истребители И- 91, И-92, И-29; разведчики Р-88, Р-92; легкие бомбардировщики ЛБ-88; средние бомбардировщики ДОП-87, «Мицубиси-93»; тяжелые бомбардировщики «Юн- керс-Г-38» (24968).</w:t>
      </w:r>
    </w:p>
    <w:p w14:paraId="15E81810" w14:textId="77777777" w:rsidR="003E00E3" w:rsidRPr="00142305" w:rsidRDefault="003E00E3" w:rsidP="003E00E3">
      <w:pPr>
        <w:spacing w:after="0" w:line="240" w:lineRule="auto"/>
        <w:jc w:val="both"/>
        <w:rPr>
          <w:rFonts w:ascii="Times New Roman" w:hAnsi="Times New Roman"/>
          <w:color w:val="0070C0"/>
          <w:sz w:val="16"/>
          <w:szCs w:val="16"/>
        </w:rPr>
      </w:pPr>
    </w:p>
    <w:p w14:paraId="20A088C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сентября 1931 при загадочных обстоятельствах застрелилась племянница и любовница Гитлера Гели Раубаль (4962).</w:t>
      </w:r>
    </w:p>
    <w:p w14:paraId="49AC77A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7682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сентября 1931 самоубийством покончила племянница и возлюбленная А.Г. Гели Раубаль (3240).</w:t>
      </w:r>
    </w:p>
    <w:p w14:paraId="7570C4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22A3D9E"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298A866E"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253EE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19 сентября 1931 стартовали испытания высокой торпеды 10/15 Остехбюро. В июне 1931 после войсковых и сдаточных испытаний комиссия, назначенная нач. УВВС Я.Алкснис во главе с нач. Воздушных сил ЧМ В.К.Лавровым на первом заседании обсудила результаты проведенных сбросов высоких торпед 10/15 и указала на выявленные дефекты и дала 2 месяца на их устранение. Остехбюро должно было подготовить пять комплектов и на войсковых испытаниях хотели проверить </w:t>
      </w:r>
      <w:r w:rsidRPr="005E779E">
        <w:rPr>
          <w:rFonts w:ascii="Times New Roman" w:hAnsi="Times New Roman"/>
          <w:color w:val="000000" w:themeColor="text1"/>
          <w:sz w:val="16"/>
          <w:szCs w:val="16"/>
        </w:rPr>
        <w:lastRenderedPageBreak/>
        <w:t>возможность сброса до высоты 800 м. По разным причинам испытания не удалось начать ни в июле, ни в августе. Испытания начали с имитации атаки ТБ-1 на л Парижская Коммуна, торпеду сбросили с 2000 м и она прошла мимо от цели. Следующее испытание было в октябре 1931 (1966,10).</w:t>
      </w:r>
    </w:p>
    <w:p w14:paraId="28DE3D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0F4FB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 сентября 1931 фактически начались войсковые испытания торпеды ВВС-15. Проводил их временно сформированный отряд 9-й авиабригады, которым командовал летчик Морозов. Состоял отряд из двух ТБ-1. Испытания проходили в Крыму, в районе Севастополя с марта 1931. При сбросе с высоты 1000- 1200 м система работала удовлетворительно, выше - время спуска превышало расчетное. Когда попытались увеличить участок свободного падения, торпеда после приводнения работать отказывалась - слишком сильный получался удар. После внесения некоторых усовершенствований торпеду выставили на войсковые испытания. Их собирались проводить в июле, но по различным причинам сперва перенесли на август, а фактически начали лишь 19 сентября.</w:t>
      </w:r>
    </w:p>
    <w:p w14:paraId="017248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Целью являлся линкор "Парижская Коммуна". Сбрасывали так, чтобы торпеда прошла заведомо мимо корабля. Дело в том, что не имелось "мнущихся" (практических) боевых зарядных отделений. В октябре, во время маневров флота, пара ТБ-1 залпом сбросила торпеды по буксируемому щиту в 15 милях от Херсонесского маяка. Обе промахнулись. Трудно было учесть снос парашютов ветром. Но механизмы торпед отработали исправно. Всего до 14 ноября выполнили девять сбрасываний. Поскольку в первую очередь всех интересовала баллистика системы, то часто сбрасывались "болванки" - габаритно-весовые макеты без "начинки"</w:t>
      </w:r>
    </w:p>
    <w:p w14:paraId="184241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высотного метания сочли наиболее выгодным приспособить тоже 18-дюймовую торпеду образца 1910/15 г. (тип "Л"), Первоначально она предназначалась для подводных лодок. Парашютная система значительно увеличивала продольный габарит, но торпеда образца 1910/15 г. была существенно короче (и легче) торпеды образца 1912 г.</w:t>
      </w:r>
    </w:p>
    <w:p w14:paraId="40E83E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Авиационный вариант, именовавшийся в документах ВВС- 10/15 или просто ВВС-15, отличался от своего прототипа усиленным корпусом боевого отделения, наличием стопорных устройств, автоматически открывавшихся при ударе о воду, и парашютной системой. Последняя находилась в специальной коробке, крепившейся к хвостовой части торпеды.</w:t>
      </w:r>
    </w:p>
    <w:p w14:paraId="28AAD2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Парашютная система в значительной степени была унифицирована с авиационной миной ВОМИЗА-ЮО, создававшейся в том же ОТБ. В момент отделения от самолета открывались все предохранительные защелки. Сперва все падало как единое целое, затем набегающий воздушный поток откидывал назад козырек колпака, освобождая находившийся под ним самый маленький, стабилизирующий парашют. Через 1,5-2 с рывок от раскрытия купола приводил в действие автоматический затвор, соединявший колпак и парашютную коробку. После этого колпак отделялся вместе с маленьким парашютом. Затем выпускался следующий купол, побольше. Время опускания на нем варьировалось в зависимости от высоты сброса.</w:t>
      </w:r>
    </w:p>
    <w:p w14:paraId="3C4ADB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Еще в момент отделения от самолета запаливались дистанционные трубки. Назначением их было - через заданный промежуток времени поджечь пороховые заряды в замках между парашютной коробкой и торпедой. После чего под давлением пороховых газов замки автоматически открывались, и коробка, отделившись, опускалась на парашюте. Время горения дистанционных трубок подбиралось так, чтобы главные парашюты срабатывали на высоте 350-400 м. Такое устройство вынуждало пилотов жестко выдерживать высоту сброса торпеды. Если высота оказывалась больше расчетной, то увеличивалось время спуска, а с ним и вероятность уничтожения торпеды зенитным огнем с атакуемого корабля, шансы которого уйти из зоны циркуляции торпеды тоже возрастали. Если же сброс происходил слишком низко, то парашютная система могла попросту не успеть достаточно затормозить торпеду, сильный удар которой о воду мог привести к выходу из строя ее механизмов.</w:t>
      </w:r>
    </w:p>
    <w:p w14:paraId="1EC836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Главных куполов было два. Сначала раскрывался нижний, в 15 м под которым висела на тросах торпеда. Через 10-15 с после него выпускался верхний, тоже соединенный тросом с торпедой. Разделенное по времени раскрытие парашютов позволяло ослабить рывок. Этой же цели служили амортизаторы из резинового шнура, шедшие параллельно тросам. В ненагруженном состоянии их длина составляла примерно половину длины троса, поэтому динамический удар сначала гасился вытяжением амортизаторов.</w:t>
      </w:r>
    </w:p>
    <w:p w14:paraId="01E859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двух парашютах торпеда в наклонном положении снижалась до самой воды. При ударе о поверхность моря бугеля, соединявшие торпеду и тросы парашютной системы, раскрывались и сдергивались с корпуса вспомогательным амортизатором. Система обеспечивала ВВС-15 вход в воду со скоростью 20-25 м/с, что примерно соответствовало свободному падению с высоты 25-30 м, предельной для торпеды образца 1910/15 г.</w:t>
      </w:r>
    </w:p>
    <w:p w14:paraId="49BBC5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Поскольку в боевых условиях парашютная система безвозвратно терялась, то, как и у ВОМИЗы, ее выполнили из недефицитных материалов. Купола изготовлялись из парусины, короб делали из кровельного железа, его крышку - из фанеры. На учениях все это поднимали из воды, находя по специальным буйкам, прикрепленным к элементам системы (12002).</w:t>
      </w:r>
    </w:p>
    <w:p w14:paraId="438DDE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59B69AB" w14:textId="250951BE" w:rsidR="007F1987" w:rsidRPr="005E779E" w:rsidRDefault="007F1987" w:rsidP="000B7A6C">
      <w:pPr>
        <w:autoSpaceDE w:val="0"/>
        <w:autoSpaceDN w:val="0"/>
        <w:adjustRightInd w:val="0"/>
        <w:spacing w:after="0" w:line="240" w:lineRule="auto"/>
        <w:jc w:val="both"/>
        <w:rPr>
          <w:rFonts w:ascii="Times New Roman" w:hAnsi="Times New Roman"/>
          <w:i/>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237EF0A9" w14:textId="77777777" w:rsidR="007F1987" w:rsidRPr="005E779E" w:rsidRDefault="007F1987" w:rsidP="000B7A6C">
      <w:pPr>
        <w:autoSpaceDE w:val="0"/>
        <w:autoSpaceDN w:val="0"/>
        <w:adjustRightInd w:val="0"/>
        <w:spacing w:after="0" w:line="240" w:lineRule="auto"/>
        <w:jc w:val="both"/>
        <w:rPr>
          <w:rFonts w:ascii="Times New Roman" w:hAnsi="Times New Roman"/>
          <w:i/>
          <w:iCs/>
          <w:color w:val="000000" w:themeColor="text1"/>
          <w:sz w:val="16"/>
          <w:szCs w:val="16"/>
        </w:rPr>
      </w:pPr>
    </w:p>
    <w:p w14:paraId="57E34A6D"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 сентября 1931 г. после завершения проектирования дизеля Д-300,, Е.Л. Зелинский повторно поднял вопрос о поиске производственной базы для изготовления опытного образца этого двигателя. В письме № 348, адресованном начальнику Оружобьединения Д.Ф. Будняку, а также заместителю председателя ВСНХ СССР И.П. Павлуновскому Е.Л. Зелинский просил рассмотреть возможность срочной постройки опытного образца дизеля Д-300 на ленинградском заводе «Большевик», находившимся в то время в ведении Оружобъединения. Однако из-за большой загруженности завода «Большевик» различными военными заказами и из-за отсутствия собственных производственных мощностей у НАТИ оперативно решить вопрос об изготовлении опытного образца дизеля Д-300 так и не удалос (24856_ь.</w:t>
      </w:r>
    </w:p>
    <w:p w14:paraId="45AB18EE" w14:textId="77777777" w:rsidR="007F1987" w:rsidRPr="005E779E" w:rsidRDefault="007F1987" w:rsidP="000B7A6C">
      <w:pPr>
        <w:spacing w:after="0" w:line="240" w:lineRule="auto"/>
        <w:jc w:val="both"/>
        <w:rPr>
          <w:rFonts w:ascii="Times New Roman" w:hAnsi="Times New Roman"/>
          <w:color w:val="000000" w:themeColor="text1"/>
          <w:sz w:val="16"/>
          <w:szCs w:val="16"/>
        </w:rPr>
      </w:pPr>
    </w:p>
    <w:p w14:paraId="4FE83A6D"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 сентября 1931 г.</w:t>
      </w:r>
    </w:p>
    <w:p w14:paraId="1B164AE1"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РГАЭ Фонд 3429 Опись 16 Дело 187 лист 221 </w:t>
      </w:r>
    </w:p>
    <w:p w14:paraId="41436711"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В.срочно. </w:t>
      </w:r>
    </w:p>
    <w:p w14:paraId="51D5BC09"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СОВ.СЕКРЕТНО. </w:t>
      </w:r>
    </w:p>
    <w:p w14:paraId="0F9B7C57"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19 Сентября 1931 г. </w:t>
      </w:r>
    </w:p>
    <w:p w14:paraId="5AFDCBA1"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348</w:t>
      </w:r>
    </w:p>
    <w:p w14:paraId="5579B7E7"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Нач. Оруж-объединения тов. БУДНЯКУ </w:t>
      </w:r>
    </w:p>
    <w:p w14:paraId="3990FFA5"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Копия: Управляющему ВАТО </w:t>
      </w:r>
    </w:p>
    <w:p w14:paraId="0AAC37E8"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Пред. ВСНХ СССР тов. ПАВЛУНОВСКОМУ</w:t>
      </w:r>
    </w:p>
    <w:p w14:paraId="0BE98664"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Согласно постановления МПС, Институтом НАТИ разработана конструкция мощного танкового дизеля полу-авиационного типа. Опытный завод НАТИ до настоящего времени не только не оборудован, но еще не закончен даже строительством. Производственной базы для постройки указанного дизеля у НАТИ не имеется, и несмотря на неоднократные сообщения МПСу ВСНХ, Спецсектору ВАТО и в УММ РККА, вопрос о постройке указанного дизеля с места не сдвигается. Авиационное Объединение на предложение – построить опытную модель указанного дизеля – ответило категорическим отказом. </w:t>
      </w:r>
    </w:p>
    <w:p w14:paraId="18D56C45"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случае, если производственная база для данного дизеля Институту не будет предоставлена, Институт будет вынужден почти законченную работу прекратить, тем более, что, в связи с этой работой, на которую брошены лучшие специалисты Института по быстроходным дизелям, Институтом задерживаются актуальнейшие работы по разработке дизель-моторов для моторного завода, Челябинского Тракторного завода, Ярославского завода и завода "АМО". </w:t>
      </w:r>
    </w:p>
    <w:p w14:paraId="4EA7408C"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Настоящим НАТИ просит Вас рассмотреть вопрос о возможности срочной постройки указанного дизель-мотора на заводе "Большевик". НАТИ полагает, что Оруж-объединение, применительно к его программе производства специальных машин, само непосредственно заинтересовано в получении опытной модели мощного дизеля в 350 сил и с удельным весом около 4 кгрм на HP. </w:t>
      </w:r>
    </w:p>
    <w:p w14:paraId="01641E85"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При сем препровождаются основные компоновочные чертежи машины. </w:t>
      </w:r>
    </w:p>
    <w:p w14:paraId="78F377C1"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ПРИЛОЖЕНИЕ: чертежи.</w:t>
      </w:r>
    </w:p>
    <w:p w14:paraId="2F462419"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И.о. Директора НАТИ подпись (Зелинский) (24865).</w:t>
      </w:r>
    </w:p>
    <w:p w14:paraId="30E39133" w14:textId="77777777" w:rsidR="007F1987" w:rsidRPr="005E779E" w:rsidRDefault="007F1987" w:rsidP="000B7A6C">
      <w:pPr>
        <w:spacing w:after="0" w:line="240" w:lineRule="auto"/>
        <w:jc w:val="both"/>
        <w:rPr>
          <w:rFonts w:ascii="Times New Roman" w:hAnsi="Times New Roman"/>
          <w:color w:val="000000" w:themeColor="text1"/>
          <w:sz w:val="16"/>
          <w:szCs w:val="16"/>
        </w:rPr>
      </w:pPr>
    </w:p>
    <w:p w14:paraId="34988521" w14:textId="36317C6B"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5A3819AE"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53E08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 сентября 1931 был Манчжурский инцидент - провокация японцев на арендованной ими ЮМЖД как повод для захвата Манчжурии к началу 1932 (2438,391).</w:t>
      </w:r>
    </w:p>
    <w:p w14:paraId="27CA53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80243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вечеру 19 сентября 1931 японские силы заняли города Мукден и Чанчунь. Китайские войска стали в беспорядке отступать. Особенностью ситуации было то, что военные действия в Манчжурии были начаты по инициативе самих японских военных - командования Квантунской армией. Японское правительство в Токио не санкционировало действий военных. В период событий в Манчжурии японские войска насчитывали там всего лишь 10 тыс. человек, в то время как численность китайской армии в этом регионе доходила до 300 тыс. Но Чан Кайши заранее отказался от вооруженной борьбы. Он отправил телеграмму маршалу Чжан Сюэляну, в которой охарактеризовал действия японской армии как заурядную провокацию. Во избежание расширения конфликта он предложил воздерживаться от оказания сопротивления японским силам. Учитывая внутреннюю слабость Китая, Чан Кайши считал крупномасштабную войну с Японией гибельной в силу неспособности китайских вооруженных сил противостоять японским на поле боя.</w:t>
      </w:r>
    </w:p>
    <w:p w14:paraId="29D9CE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По этой же причине правительство Чан Кайши формально не объявляло войну Японии и не разрывало с ней дипломатических отношений. Непосредственных переговоров с японской стороной Чан Кайши тоже избегал, придерживаясь выжидательной тактики и рассчитывая выиграть время для укрепления </w:t>
      </w:r>
      <w:r w:rsidRPr="005E779E">
        <w:rPr>
          <w:rFonts w:ascii="Times New Roman" w:hAnsi="Times New Roman"/>
          <w:color w:val="000000" w:themeColor="text1"/>
          <w:sz w:val="16"/>
          <w:szCs w:val="16"/>
        </w:rPr>
        <w:lastRenderedPageBreak/>
        <w:t>обороноспособности Китая. Надежды на урегулирование ситуации китайская сторона связывала с посредничеством Лиги Наций и США. Китайское руководство надеялось при этом использовать противоречия между Японией и другими державами (3871).</w:t>
      </w:r>
    </w:p>
    <w:p w14:paraId="23CB5B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B769276"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1EDD9807"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61E12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сентября 1931 впервые была упомянута ГИРД во главе с Цандером в письме Цандера К.Э.Циолковскому (388,58) и писал, что построит первый советский аэроплан.</w:t>
      </w:r>
    </w:p>
    <w:p w14:paraId="3AAEBC3A"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C77BF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20 сентября 1931 года, когда секретарь группы Фортиков писал о ней в письме к Циолковскому: </w:t>
      </w:r>
    </w:p>
    <w:p w14:paraId="78FBA2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Москве, при бюро воздушной техники при НИСе ЦС Осоавиахима... наконец создана группа по изучению реактивных двигателей и реактивного летания. Я являюсь ответственным секретарем группы, именуемой, кстати, ГИРД" (11143).</w:t>
      </w:r>
    </w:p>
    <w:p w14:paraId="689C40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D73B6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20 сентября 1931 г. общественное бюро изучения реактивного движения, созданное 18 июля 1931, преобразовано в ГИРД, которая называлась вначале МосГИРД, затем- Центральная ГИРД (ЦГИРД). Организаторами ГИРД были С.П. Королев, Ф.А. Цандер, М.К. Тихонравов, Ю.А. Победоносцев. Группа располагалась в подвале дома № 19 по ул. Садово-Черногрязской, вместе с ЦКБ по планерам Осоавиахима, которое возглавлял </w:t>
      </w:r>
      <w:r w:rsidRPr="005E779E">
        <w:rPr>
          <w:rFonts w:ascii="Times New Roman" w:hAnsi="Times New Roman"/>
          <w:color w:val="000000" w:themeColor="text1"/>
          <w:sz w:val="16"/>
          <w:szCs w:val="16"/>
          <w:lang w:val="en-US"/>
        </w:rPr>
        <w:t>O</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K</w:t>
      </w:r>
      <w:r w:rsidRPr="005E779E">
        <w:rPr>
          <w:rFonts w:ascii="Times New Roman" w:hAnsi="Times New Roman"/>
          <w:color w:val="000000" w:themeColor="text1"/>
          <w:sz w:val="16"/>
          <w:szCs w:val="16"/>
        </w:rPr>
        <w:t>. Антонов. В 1931 г. в ГИРД организовано 4 бригады: № 1 (далее - КБ-7 РНИИ) - разработка жидкостных двигателей для ракетоплана; № 2 - жидкостных баллистических ракет; № 3 - ПВРД, газодинамических испытательных установок; № 4 - ракетопланов и крылатых ракет. В 04.1931 г. было принято решение о создании Опытного ракетного завода ЦГИРД.</w:t>
      </w:r>
    </w:p>
    <w:p w14:paraId="6B3EE6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Существовала также Ленинградская группа - ЛенГИРД, созданная 13.11.1931 г., организаторами которой были Н.А. Рынин</w:t>
      </w:r>
      <w:r w:rsidRPr="005E779E">
        <w:rPr>
          <w:rFonts w:ascii="Times New Roman" w:hAnsi="Times New Roman"/>
          <w:color w:val="000000" w:themeColor="text1"/>
          <w:sz w:val="16"/>
          <w:szCs w:val="16"/>
          <w:vertAlign w:val="superscript"/>
        </w:rPr>
        <w:t>84</w:t>
      </w:r>
      <w:r w:rsidRPr="005E779E">
        <w:rPr>
          <w:rFonts w:ascii="Times New Roman" w:hAnsi="Times New Roman"/>
          <w:color w:val="000000" w:themeColor="text1"/>
          <w:sz w:val="16"/>
          <w:szCs w:val="16"/>
        </w:rPr>
        <w:t xml:space="preserve"> и В.В. Разумов (председатель); располагалась в Иоанновском равелине Петропавловской крепости.</w:t>
      </w:r>
    </w:p>
    <w:p w14:paraId="6723E5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09.1930 г. испытан воздушно-бензиновый ракетный двигатель Цандера ОР-1. 17.08.1933г. запущена первая советская ракета Р-1 («09») с жидкостным двигателем Цандера, 25.11.1933г. запущена ракета ГИРД-Х (11982).</w:t>
      </w:r>
    </w:p>
    <w:p w14:paraId="673375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AAFCA4D" w14:textId="77777777" w:rsidR="00420999" w:rsidRPr="005E779E" w:rsidRDefault="0042099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сентября 1931 г. ответственный секретарь Группы изучения реактивного движения И.П. Фортиков в письме от уведомляет К.Э. Циолковского о создании ГИРД при Научно-исследовательском секторе (отделе - по другим документам) ЦС ОСОАВИАХИМ.</w:t>
      </w:r>
    </w:p>
    <w:p w14:paraId="24F0D2DA" w14:textId="77777777" w:rsidR="00420999" w:rsidRPr="005E779E" w:rsidRDefault="0042099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сентябре 1930 г. в Московский авиационный институт, где тогда работал Ф.А. Цандер, перевели Авиационный факультет из Ленинграда. Вместе с факультетом переехал в Москву Кружок по изучению реактивного принципа летания и идей К.Э. Циолковского, главным вдохновителем которого был инженер Николай Иванович Ефремов. Он и два его товарища по Кружку - Г.И. Иванов и Ф.А. Федулов - стали помощниками Цандера, а затем и сотрудниками будущей Группы по изучению реактивных двигателей (ГИРД). Н.И. Ефремов в своих воспоминаниях относит формирование ГИРД к сентябрю 1931 г., конструктор ракетно-космических систем В.П. Глушко — к осени того же года, Я.К. Голованов к лету 1931 г.'' Нельзя назвать точную дату события, если оно не зафиксировано в официальном юридическом документе (22685).</w:t>
      </w:r>
    </w:p>
    <w:p w14:paraId="45D5B7BB" w14:textId="77777777" w:rsidR="00420999" w:rsidRPr="005E779E" w:rsidRDefault="00420999" w:rsidP="000B7A6C">
      <w:pPr>
        <w:spacing w:after="0" w:line="240" w:lineRule="auto"/>
        <w:jc w:val="both"/>
        <w:rPr>
          <w:rFonts w:ascii="Times New Roman" w:hAnsi="Times New Roman"/>
          <w:color w:val="000000" w:themeColor="text1"/>
          <w:sz w:val="16"/>
          <w:szCs w:val="16"/>
        </w:rPr>
      </w:pPr>
    </w:p>
    <w:p w14:paraId="687F6BC2"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сентября 1931 г. состоялось организационное собрание тех членов московского отделения этого бюро, которые хотели стро</w:t>
      </w:r>
      <w:r w:rsidRPr="005E779E">
        <w:rPr>
          <w:rFonts w:ascii="Times New Roman" w:hAnsi="Times New Roman"/>
          <w:color w:val="000000" w:themeColor="text1"/>
          <w:sz w:val="16"/>
          <w:szCs w:val="16"/>
        </w:rPr>
        <w:softHyphen/>
        <w:t>ить летательные аппараты с реактивными двигателями — ракето</w:t>
      </w:r>
      <w:r w:rsidRPr="005E779E">
        <w:rPr>
          <w:rFonts w:ascii="Times New Roman" w:hAnsi="Times New Roman"/>
          <w:color w:val="000000" w:themeColor="text1"/>
          <w:sz w:val="16"/>
          <w:szCs w:val="16"/>
        </w:rPr>
        <w:softHyphen/>
        <w:t>планы и баллистические ракеты.</w:t>
      </w:r>
    </w:p>
    <w:p w14:paraId="7B55D368"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Свое объединение они назвали московской Группой изучения реактивного движения, сокращенно — МосГИРД при ЦС ОСО- ВИАХИМ.</w:t>
      </w:r>
    </w:p>
    <w:p w14:paraId="269C2622"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Руководителем группы избрали инженера Фридриха Цан</w:t>
      </w:r>
      <w:r w:rsidRPr="005E779E">
        <w:rPr>
          <w:rFonts w:ascii="Times New Roman" w:hAnsi="Times New Roman"/>
          <w:color w:val="000000" w:themeColor="text1"/>
          <w:sz w:val="16"/>
          <w:szCs w:val="16"/>
        </w:rPr>
        <w:softHyphen/>
        <w:t>дера, автора двух вариантов проекта ракетопланов для выхода в космос. Они были совершенно фантастическими, но энтузиа</w:t>
      </w:r>
      <w:r w:rsidRPr="005E779E">
        <w:rPr>
          <w:rFonts w:ascii="Times New Roman" w:hAnsi="Times New Roman"/>
          <w:color w:val="000000" w:themeColor="text1"/>
          <w:sz w:val="16"/>
          <w:szCs w:val="16"/>
        </w:rPr>
        <w:softHyphen/>
        <w:t>стам, мечтавшим о космосе, очень нравились.</w:t>
      </w:r>
    </w:p>
    <w:p w14:paraId="4F6FA8D0"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Члены группы занимались реализацией своих проектов бес</w:t>
      </w:r>
      <w:r w:rsidRPr="005E779E">
        <w:rPr>
          <w:rFonts w:ascii="Times New Roman" w:hAnsi="Times New Roman"/>
          <w:color w:val="000000" w:themeColor="text1"/>
          <w:sz w:val="16"/>
          <w:szCs w:val="16"/>
        </w:rPr>
        <w:softHyphen/>
        <w:t>платно, по вечерам после основной работы или службы, а так</w:t>
      </w:r>
      <w:r w:rsidRPr="005E779E">
        <w:rPr>
          <w:rFonts w:ascii="Times New Roman" w:hAnsi="Times New Roman"/>
          <w:color w:val="000000" w:themeColor="text1"/>
          <w:sz w:val="16"/>
          <w:szCs w:val="16"/>
        </w:rPr>
        <w:softHyphen/>
        <w:t>же в выходные и праздничные дни (в СССР тогда существовала пятидневка: каждый пятый день был выходным). Поэтому они шутливо расшифровывали аббревиатуру ГИРД как Группа Инже</w:t>
      </w:r>
      <w:r w:rsidRPr="005E779E">
        <w:rPr>
          <w:rFonts w:ascii="Times New Roman" w:hAnsi="Times New Roman"/>
          <w:color w:val="000000" w:themeColor="text1"/>
          <w:sz w:val="16"/>
          <w:szCs w:val="16"/>
        </w:rPr>
        <w:softHyphen/>
        <w:t>неров Работающих Даром. Забегая вперед, скажу, что эта шутка оказалась пророческой: слово «даром» имеет и другое значение — «напрасно». Ни одна из разработок ГИРД не нашла практическо</w:t>
      </w:r>
      <w:r w:rsidRPr="005E779E">
        <w:rPr>
          <w:rFonts w:ascii="Times New Roman" w:hAnsi="Times New Roman"/>
          <w:color w:val="000000" w:themeColor="text1"/>
          <w:sz w:val="16"/>
          <w:szCs w:val="16"/>
        </w:rPr>
        <w:softHyphen/>
        <w:t>го применения (23550).</w:t>
      </w:r>
    </w:p>
    <w:p w14:paraId="09AC11D3" w14:textId="77777777" w:rsidR="007F1987" w:rsidRPr="005E779E" w:rsidRDefault="007F1987" w:rsidP="000B7A6C">
      <w:pPr>
        <w:spacing w:after="0" w:line="240" w:lineRule="auto"/>
        <w:jc w:val="both"/>
        <w:rPr>
          <w:rFonts w:ascii="Times New Roman" w:hAnsi="Times New Roman"/>
          <w:color w:val="000000" w:themeColor="text1"/>
          <w:sz w:val="16"/>
          <w:szCs w:val="16"/>
        </w:rPr>
      </w:pPr>
    </w:p>
    <w:p w14:paraId="3C1FACC0"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263320D6"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27F78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сентября 1931 УММ РККА выдало ХПЗ заказ N 7090311 согласно которому ХПЗ д.б. к 1 ноября изготовить 6 опытных образцов БТ, но сделали всего три, которые приняли участие в параде 7 ноября в Москве. По КП прошли только два, т.к. у третьего при подходе загорелся двигатель. Два остальных покинули КП с трудом из-за неполадок с КПП (3879,12).</w:t>
      </w:r>
    </w:p>
    <w:p w14:paraId="3F3DA5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B0DAB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сентября 1931 года на Политбюро ЦК ВКП(б) рассматривался вопрос о конструкторских бюро. Было решено оставить их при ОГПУ (11248).</w:t>
      </w:r>
    </w:p>
    <w:p w14:paraId="168279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687AF40" w14:textId="77777777" w:rsidR="00A54CD0" w:rsidRPr="005E779E" w:rsidRDefault="00A54CD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сентября 1931 г. Протокол ПБ № 63 п.14: О конструкторских бюро (Орджоникидзе, Акулов; ПБ от 30-8-1931, протокол № 59, п.3/12). Приняты решения: а) Оставить конструкторские бюро при ОГПУ. б) Принять согласованное предложение Акулова и Орджоникидзе об освобождении некоторой части инженеров для работы в ВСНХ по списку, согласованному между Акуловым и Орджоникидзе – ОП (15957).</w:t>
      </w:r>
    </w:p>
    <w:p w14:paraId="3E5AF4CE" w14:textId="77777777" w:rsidR="00A54CD0" w:rsidRPr="005E779E" w:rsidRDefault="00A54CD0" w:rsidP="000B7A6C">
      <w:pPr>
        <w:spacing w:after="0" w:line="240" w:lineRule="auto"/>
        <w:jc w:val="both"/>
        <w:rPr>
          <w:rFonts w:ascii="Times New Roman" w:hAnsi="Times New Roman"/>
          <w:color w:val="000000" w:themeColor="text1"/>
          <w:sz w:val="16"/>
          <w:szCs w:val="16"/>
        </w:rPr>
      </w:pPr>
    </w:p>
    <w:p w14:paraId="426E5269" w14:textId="77777777" w:rsidR="003E28CB" w:rsidRPr="005E779E" w:rsidRDefault="003E28CB"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20 сентября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Протокол заседания Политбюро ЦК ВКП(б) № 63. 14. О конструкторских бюро. (ПБ от 30 августа 1931 г., пр. № 59, п. 3/12). (Орджоникидзе, Акулов). Постановили: б) принять согласованное предложение т. Акулова и Орджоникидзе об освобождении некоторой части инженеров для работы в ВСНХ по списку, согласованному между т. Акуловым и Орджоникидзе. (РГАСПИ. Ф. 17. Оп. 162. Д. 11. Л. 10) (12416).</w:t>
      </w:r>
    </w:p>
    <w:p w14:paraId="1D5C5C3D" w14:textId="77777777" w:rsidR="003E28CB" w:rsidRPr="005E779E" w:rsidRDefault="003E28CB" w:rsidP="000B7A6C">
      <w:pPr>
        <w:spacing w:after="0" w:line="240" w:lineRule="auto"/>
        <w:jc w:val="both"/>
        <w:rPr>
          <w:rFonts w:ascii="Times New Roman" w:hAnsi="Times New Roman"/>
          <w:color w:val="000000" w:themeColor="text1"/>
          <w:sz w:val="16"/>
          <w:szCs w:val="16"/>
          <w:u w:color="002060"/>
        </w:rPr>
      </w:pPr>
    </w:p>
    <w:p w14:paraId="7B4B5EAF" w14:textId="77777777" w:rsidR="003E28CB" w:rsidRPr="005E779E" w:rsidRDefault="003E28CB"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20 сентября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Постановление СНК СССР № 203с об отсрочках призыва в Красную армию в 1931 г. инженеров, техников и мастеров, работающих на предприятиях ВСНХ (ГА РФ. Ф. Р?8418. Оп. 28. Д. 14а. Л. 63) (12415).</w:t>
      </w:r>
    </w:p>
    <w:p w14:paraId="157C4734" w14:textId="77777777" w:rsidR="003E28CB" w:rsidRPr="005E779E" w:rsidRDefault="003E28CB"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Постановление СТО СССР № 201с об образовании комиссии для рассмотрения вопросов, связанных с заключением договоров между ВСНХ и НКВМ (12415).</w:t>
      </w:r>
    </w:p>
    <w:p w14:paraId="5BC45175" w14:textId="77777777" w:rsidR="003E28CB" w:rsidRPr="005E779E" w:rsidRDefault="003E28CB" w:rsidP="000B7A6C">
      <w:pPr>
        <w:spacing w:after="0" w:line="240" w:lineRule="auto"/>
        <w:jc w:val="both"/>
        <w:rPr>
          <w:rFonts w:ascii="Times New Roman" w:hAnsi="Times New Roman"/>
          <w:color w:val="000000" w:themeColor="text1"/>
          <w:sz w:val="16"/>
          <w:szCs w:val="16"/>
          <w:u w:color="002060"/>
        </w:rPr>
      </w:pPr>
    </w:p>
    <w:p w14:paraId="1575DEDB"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65F339DE"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EFFF0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сентября 1931 Великобритания отказалась от золотого обеспечения своей валюты (3481).</w:t>
      </w:r>
    </w:p>
    <w:p w14:paraId="7BB3E2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EFD22ED"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1031A342"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B50E78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21-ое сентября 1931 г. из записной книжки Н.Н.П.:</w:t>
      </w:r>
    </w:p>
    <w:p w14:paraId="49CFFE7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8,5-12. Обработка результатов статиспытаний лонж. № 12</w:t>
      </w:r>
    </w:p>
    <w:p w14:paraId="4B62DB5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12-14,5. Расчет крепежа радиатора сам. № 11</w:t>
      </w:r>
    </w:p>
    <w:p w14:paraId="2A84D7C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14,5-15. Обработка результатов статиспытаний лонж. № 12</w:t>
      </w:r>
    </w:p>
    <w:p w14:paraId="45575C0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15-17,5. Заседание в ЗАО ЦАГИ (дорога)</w:t>
      </w:r>
    </w:p>
    <w:p w14:paraId="4371D40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17,5-22. Доклад в ЗАО ЦАГИ... (10667).</w:t>
      </w:r>
    </w:p>
    <w:p w14:paraId="00E0E55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8C0384" w14:textId="77777777" w:rsidR="002B7F13" w:rsidRPr="00142305" w:rsidRDefault="002B7F13" w:rsidP="002B7F1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21 сентября 1931 г., согласно краткого рабочего дневника, который Поликарпов вел с сентября по октябрь 1931 г., по часам расписан ход работ над проектами. Приведем несколько записей:</w:t>
      </w:r>
    </w:p>
    <w:p w14:paraId="686FD437" w14:textId="77777777" w:rsidR="002B7F13" w:rsidRPr="00142305" w:rsidRDefault="002B7F13" w:rsidP="002B7F13">
      <w:pPr>
        <w:pStyle w:val="Cite0"/>
        <w:rPr>
          <w:color w:val="0070C0"/>
          <w:sz w:val="16"/>
          <w:szCs w:val="16"/>
        </w:rPr>
      </w:pPr>
      <w:r w:rsidRPr="00142305">
        <w:rPr>
          <w:color w:val="0070C0"/>
          <w:sz w:val="16"/>
          <w:szCs w:val="16"/>
        </w:rPr>
        <w:t xml:space="preserve">«21 сентября 1931 г. </w:t>
      </w:r>
    </w:p>
    <w:p w14:paraId="252D2629" w14:textId="77777777" w:rsidR="002B7F13" w:rsidRPr="00142305" w:rsidRDefault="002B7F13" w:rsidP="002B7F13">
      <w:pPr>
        <w:pStyle w:val="Cite0"/>
        <w:rPr>
          <w:color w:val="0070C0"/>
          <w:sz w:val="16"/>
          <w:szCs w:val="16"/>
        </w:rPr>
      </w:pPr>
      <w:r w:rsidRPr="00142305">
        <w:rPr>
          <w:color w:val="0070C0"/>
          <w:sz w:val="16"/>
          <w:szCs w:val="16"/>
        </w:rPr>
        <w:t xml:space="preserve">8.5-12 Обработка результатов статиспытаний лонж. № 12 </w:t>
      </w:r>
    </w:p>
    <w:p w14:paraId="501DC71D" w14:textId="77777777" w:rsidR="002B7F13" w:rsidRPr="00142305" w:rsidRDefault="002B7F13" w:rsidP="002B7F13">
      <w:pPr>
        <w:pStyle w:val="Cite0"/>
        <w:rPr>
          <w:color w:val="0070C0"/>
          <w:sz w:val="16"/>
          <w:szCs w:val="16"/>
        </w:rPr>
      </w:pPr>
      <w:r w:rsidRPr="00142305">
        <w:rPr>
          <w:color w:val="0070C0"/>
          <w:sz w:val="16"/>
          <w:szCs w:val="16"/>
        </w:rPr>
        <w:t xml:space="preserve">12–14,5 Расчет крепежа радиатора сам. № 11 </w:t>
      </w:r>
    </w:p>
    <w:p w14:paraId="216C83AC" w14:textId="77777777" w:rsidR="002B7F13" w:rsidRPr="00142305" w:rsidRDefault="002B7F13" w:rsidP="002B7F13">
      <w:pPr>
        <w:pStyle w:val="Cite0"/>
        <w:rPr>
          <w:color w:val="0070C0"/>
          <w:sz w:val="16"/>
          <w:szCs w:val="16"/>
        </w:rPr>
      </w:pPr>
      <w:r w:rsidRPr="00142305">
        <w:rPr>
          <w:color w:val="0070C0"/>
          <w:sz w:val="16"/>
          <w:szCs w:val="16"/>
        </w:rPr>
        <w:t xml:space="preserve">14.5-15 Обработка результатов статиспытаний лонж. 12 </w:t>
      </w:r>
    </w:p>
    <w:p w14:paraId="5B0412AF" w14:textId="77777777" w:rsidR="002B7F13" w:rsidRPr="00142305" w:rsidRDefault="002B7F13" w:rsidP="002B7F13">
      <w:pPr>
        <w:pStyle w:val="Cite0"/>
        <w:rPr>
          <w:color w:val="0070C0"/>
          <w:sz w:val="16"/>
          <w:szCs w:val="16"/>
        </w:rPr>
      </w:pPr>
      <w:r w:rsidRPr="00142305">
        <w:rPr>
          <w:color w:val="0070C0"/>
          <w:sz w:val="16"/>
          <w:szCs w:val="16"/>
        </w:rPr>
        <w:t xml:space="preserve">15–17,5 Заседание в ЭАО ЦАГИ (дорога) </w:t>
      </w:r>
    </w:p>
    <w:p w14:paraId="464D9C11" w14:textId="77777777" w:rsidR="002B7F13" w:rsidRPr="00142305" w:rsidRDefault="002B7F13" w:rsidP="002B7F13">
      <w:pPr>
        <w:pStyle w:val="Cite0"/>
        <w:rPr>
          <w:color w:val="0070C0"/>
          <w:sz w:val="16"/>
          <w:szCs w:val="16"/>
        </w:rPr>
      </w:pPr>
      <w:r w:rsidRPr="00142305">
        <w:rPr>
          <w:color w:val="0070C0"/>
          <w:sz w:val="16"/>
          <w:szCs w:val="16"/>
        </w:rPr>
        <w:t xml:space="preserve">17.5-22 Доклад в ЭАО ЦАГИ…(25035). </w:t>
      </w:r>
    </w:p>
    <w:p w14:paraId="2A68FF82" w14:textId="77777777" w:rsidR="002B7F13" w:rsidRPr="00142305" w:rsidRDefault="002B7F13" w:rsidP="002B7F13">
      <w:pPr>
        <w:spacing w:after="0" w:line="240" w:lineRule="auto"/>
        <w:jc w:val="both"/>
        <w:rPr>
          <w:rFonts w:ascii="Times New Roman" w:hAnsi="Times New Roman"/>
          <w:color w:val="0070C0"/>
          <w:sz w:val="16"/>
          <w:szCs w:val="16"/>
          <w:lang w:eastAsia="ru-RU"/>
        </w:rPr>
      </w:pPr>
    </w:p>
    <w:p w14:paraId="4ECA32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 сентября 1931 в Штабе Морских Сил Черного моря в Севастополе обсуждали перспективы автожира на флоте. Докладывал Н.И.Камов. Состоялось хорошее обсуждение (79,159).</w:t>
      </w:r>
    </w:p>
    <w:p w14:paraId="3DF331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5C4A20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21 сентября 1931 года в Севастополе по инициативе Камова было проведено совещание в штабе Черно</w:t>
      </w:r>
      <w:r w:rsidRPr="005E779E">
        <w:rPr>
          <w:rFonts w:ascii="Times New Roman" w:hAnsi="Times New Roman"/>
          <w:color w:val="000000" w:themeColor="text1"/>
          <w:sz w:val="16"/>
          <w:szCs w:val="16"/>
        </w:rPr>
        <w:softHyphen/>
        <w:t>морского Флота. Камов рассказал об итогах работы над автожирами КАСКР-1 и КАСКР-2 и высказал ряд предложений о дальнейшем разви</w:t>
      </w:r>
      <w:r w:rsidRPr="005E779E">
        <w:rPr>
          <w:rFonts w:ascii="Times New Roman" w:hAnsi="Times New Roman"/>
          <w:color w:val="000000" w:themeColor="text1"/>
          <w:sz w:val="16"/>
          <w:szCs w:val="16"/>
        </w:rPr>
        <w:softHyphen/>
        <w:t>тии винтокрылых аппаратов. Военные специалисты флота восприняли до</w:t>
      </w:r>
      <w:r w:rsidRPr="005E779E">
        <w:rPr>
          <w:rFonts w:ascii="Times New Roman" w:hAnsi="Times New Roman"/>
          <w:color w:val="000000" w:themeColor="text1"/>
          <w:sz w:val="16"/>
          <w:szCs w:val="16"/>
        </w:rPr>
        <w:softHyphen/>
        <w:t>клад с интересом. Было задано много вопросов, прозвучали предложения создать автожир для поиска подводных лодок, несения дозорной службы береговой обороны, десантных операций, обслуживания и корректировки береговых батарей, постановки мин заграждения, несения службы связи в частях, на кораблях и батареях (10224,39).</w:t>
      </w:r>
    </w:p>
    <w:p w14:paraId="538959A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4278A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 сентября 1931 первый мотор М-34 при</w:t>
      </w:r>
      <w:r w:rsidRPr="005E779E">
        <w:rPr>
          <w:rFonts w:ascii="Times New Roman" w:hAnsi="Times New Roman"/>
          <w:color w:val="000000" w:themeColor="text1"/>
          <w:sz w:val="16"/>
          <w:szCs w:val="16"/>
        </w:rPr>
        <w:softHyphen/>
        <w:t>был из Рыбинска на испытания в ИАМ. После наработки на стенде 38 часов в октябре 1931 г. его выстави</w:t>
      </w:r>
      <w:r w:rsidRPr="005E779E">
        <w:rPr>
          <w:rFonts w:ascii="Times New Roman" w:hAnsi="Times New Roman"/>
          <w:color w:val="000000" w:themeColor="text1"/>
          <w:sz w:val="16"/>
          <w:szCs w:val="16"/>
        </w:rPr>
        <w:softHyphen/>
        <w:t>ли на государственные испытания. К 1 ноября мотор успешно отработал 100 часов, хотя и с некоторыми по</w:t>
      </w:r>
      <w:r w:rsidRPr="005E779E">
        <w:rPr>
          <w:rFonts w:ascii="Times New Roman" w:hAnsi="Times New Roman"/>
          <w:color w:val="000000" w:themeColor="text1"/>
          <w:sz w:val="16"/>
          <w:szCs w:val="16"/>
        </w:rPr>
        <w:softHyphen/>
        <w:t>ломками. В акте записали: «В целом удовлетворительно». По нормам того времени, это давало право поста</w:t>
      </w:r>
      <w:r w:rsidRPr="005E779E">
        <w:rPr>
          <w:rFonts w:ascii="Times New Roman" w:hAnsi="Times New Roman"/>
          <w:color w:val="000000" w:themeColor="text1"/>
          <w:sz w:val="16"/>
          <w:szCs w:val="16"/>
        </w:rPr>
        <w:softHyphen/>
        <w:t>вить вопрос о внедрении в серий</w:t>
      </w:r>
      <w:r w:rsidRPr="005E779E">
        <w:rPr>
          <w:rFonts w:ascii="Times New Roman" w:hAnsi="Times New Roman"/>
          <w:color w:val="000000" w:themeColor="text1"/>
          <w:sz w:val="16"/>
          <w:szCs w:val="16"/>
        </w:rPr>
        <w:softHyphen/>
        <w:t>ное производство. В документе так</w:t>
      </w:r>
      <w:r w:rsidRPr="005E779E">
        <w:rPr>
          <w:rFonts w:ascii="Times New Roman" w:hAnsi="Times New Roman"/>
          <w:color w:val="000000" w:themeColor="text1"/>
          <w:sz w:val="16"/>
          <w:szCs w:val="16"/>
        </w:rPr>
        <w:softHyphen/>
        <w:t>же отметили, что смонтированный на опытном образце М-34 карбюратор фирмы «Зенит» (взятый от М-17) не соответствует мощности двигателя. Поэтому начали проектировать новый. В Рыбинске собрали только два М-34, поскольку в январе 1932 г. из Главного управления авиапромыш</w:t>
      </w:r>
      <w:r w:rsidRPr="005E779E">
        <w:rPr>
          <w:rFonts w:ascii="Times New Roman" w:hAnsi="Times New Roman"/>
          <w:color w:val="000000" w:themeColor="text1"/>
          <w:sz w:val="16"/>
          <w:szCs w:val="16"/>
        </w:rPr>
        <w:softHyphen/>
        <w:t>ленности (ГУАП) поступило распоря</w:t>
      </w:r>
      <w:r w:rsidRPr="005E779E">
        <w:rPr>
          <w:rFonts w:ascii="Times New Roman" w:hAnsi="Times New Roman"/>
          <w:color w:val="000000" w:themeColor="text1"/>
          <w:sz w:val="16"/>
          <w:szCs w:val="16"/>
        </w:rPr>
        <w:softHyphen/>
        <w:t>жение остановиться на сборке двух моторов, сдать все уже готовые де</w:t>
      </w:r>
      <w:r w:rsidRPr="005E779E">
        <w:rPr>
          <w:rFonts w:ascii="Times New Roman" w:hAnsi="Times New Roman"/>
          <w:color w:val="000000" w:themeColor="text1"/>
          <w:sz w:val="16"/>
          <w:szCs w:val="16"/>
        </w:rPr>
        <w:softHyphen/>
        <w:t>тали ИАМ. В мастерских ИАМ к на</w:t>
      </w:r>
      <w:r w:rsidRPr="005E779E">
        <w:rPr>
          <w:rFonts w:ascii="Times New Roman" w:hAnsi="Times New Roman"/>
          <w:color w:val="000000" w:themeColor="text1"/>
          <w:sz w:val="16"/>
          <w:szCs w:val="16"/>
        </w:rPr>
        <w:softHyphen/>
        <w:t>чалу октября 1932 г. сделали пять М-34, из них один - макетный для ЦАГИ (11848).</w:t>
      </w:r>
    </w:p>
    <w:p w14:paraId="2C1C401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D48C6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 сентября 1931 первый мотор М-34 прибыл на испытания в ЦИАМ с импортными карбюраторами и магнето. После наработки на стенде 38 ч в ноябре 1931 г. велись государственные испыта</w:t>
      </w:r>
      <w:r w:rsidRPr="005E779E">
        <w:rPr>
          <w:rFonts w:ascii="Times New Roman" w:hAnsi="Times New Roman"/>
          <w:color w:val="000000" w:themeColor="text1"/>
          <w:sz w:val="16"/>
          <w:szCs w:val="16"/>
        </w:rPr>
        <w:softHyphen/>
        <w:t>ния. В июле 1932 г. опытный образец М-34 установили на доработанный биплан Р-5, на котором провели летные испытания. В октябре — ноябре 1932 г. проводились повторные государственные стендовые испытания с отечественными карбюраторами 92КД-3 (в серии обозначались К-34), в ходе которых выявили ряд дефектов. При этом был взят мотор 1-й серии, которая позже вся была забракована и использована для учебных целей. В третий раз госиспытания на стенде вели в январе 1933 г., и опять неудачно — двигатель разрушился. В октябре того же года М-34 проходил государственные летные испытания на бомбардировщике ТБ-3. В 1932 г. начали серийный выпуск нового двигателя на заводе № 24 (Москва), к концу года ВВС получили 64 мотора 2-й серии, признанной годной для опытной эксплуатации. За следующий, 1933 г., выпущено было уже 790 экз. В 1934 г. М-34 демонстрировался в Париже как одно из достижений советской авиации. М-34 выпускался на заводе № 24 в большом количестве модификаций. Авиационные моторы закончили вы</w:t>
      </w:r>
      <w:r w:rsidRPr="005E779E">
        <w:rPr>
          <w:rFonts w:ascii="Times New Roman" w:hAnsi="Times New Roman"/>
          <w:color w:val="000000" w:themeColor="text1"/>
          <w:sz w:val="16"/>
          <w:szCs w:val="16"/>
        </w:rPr>
        <w:softHyphen/>
        <w:t>пускать в 1940 г., далее в небольших количествах делали катерные до конца 1942 г. Производство двигателей для торпедных катеров неодно</w:t>
      </w:r>
      <w:r w:rsidRPr="005E779E">
        <w:rPr>
          <w:rFonts w:ascii="Times New Roman" w:hAnsi="Times New Roman"/>
          <w:color w:val="000000" w:themeColor="text1"/>
          <w:sz w:val="16"/>
          <w:szCs w:val="16"/>
        </w:rPr>
        <w:softHyphen/>
        <w:t>кратно пытались восстановить вплоть до 1946 г., но этому мешала боль</w:t>
      </w:r>
      <w:r w:rsidRPr="005E779E">
        <w:rPr>
          <w:rFonts w:ascii="Times New Roman" w:hAnsi="Times New Roman"/>
          <w:color w:val="000000" w:themeColor="text1"/>
          <w:sz w:val="16"/>
          <w:szCs w:val="16"/>
        </w:rPr>
        <w:softHyphen/>
        <w:t>шая загрузка заводов заказами ВВС. Всего было изготовлено 10 538 экз. Позднее различными мастерскими производилась сборка двигателей из комплектов запасных частей и восстановленных деталей. С 9 августа 1936 г. в ознаменование заслуг Микулина двигатель был переименован в АМ-34. Однако на практике и далее пользовались как старым, гак и новым обозначением. Специальные модификации двигателя М-34 применялись на танках, са</w:t>
      </w:r>
      <w:r w:rsidRPr="005E779E">
        <w:rPr>
          <w:rFonts w:ascii="Times New Roman" w:hAnsi="Times New Roman"/>
          <w:color w:val="000000" w:themeColor="text1"/>
          <w:sz w:val="16"/>
          <w:szCs w:val="16"/>
        </w:rPr>
        <w:softHyphen/>
        <w:t>моходных артиллерийских установках, торпедных катерах и речных броне</w:t>
      </w:r>
      <w:r w:rsidRPr="005E779E">
        <w:rPr>
          <w:rFonts w:ascii="Times New Roman" w:hAnsi="Times New Roman"/>
          <w:color w:val="000000" w:themeColor="text1"/>
          <w:sz w:val="16"/>
          <w:szCs w:val="16"/>
        </w:rPr>
        <w:softHyphen/>
        <w:t>катерах.</w:t>
      </w:r>
    </w:p>
    <w:p w14:paraId="3F1A11A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Характеристики:</w:t>
      </w:r>
    </w:p>
    <w:p w14:paraId="6624C24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12-цилиндровый, рядный У-образный, четырехтактный, водяного охлаждения;</w:t>
      </w:r>
    </w:p>
    <w:p w14:paraId="2B3F2DD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мощность и вес в зависимости от модификации;</w:t>
      </w:r>
    </w:p>
    <w:p w14:paraId="31CE3C1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степень сжатия 6,0 (у всех массовых модификаций);</w:t>
      </w:r>
    </w:p>
    <w:p w14:paraId="4FE5086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диаметр цилиндра/ход поршня 160/190 (у модификации ФРН и более поздних в цилиндрах с прицепными шатунами — 196,7 мм);</w:t>
      </w:r>
    </w:p>
    <w:p w14:paraId="2080A93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полный рабочий объем у ранних модификаций 45,82 л, начиная с</w:t>
      </w:r>
    </w:p>
    <w:p w14:paraId="02E8939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ФРН — 46,66 л. М-34 выпускался в следующих модификациях:</w:t>
      </w:r>
    </w:p>
    <w:p w14:paraId="2F732EA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М-34, первая серийная модификация двигателя, безредукторная, 750/800 л.с., 608 кг. Первые серии комплектовались импортными карбюраторами «Зенит 90Р», далее отечественными К-34. Эта моди</w:t>
      </w:r>
      <w:r w:rsidRPr="005E779E">
        <w:rPr>
          <w:rFonts w:ascii="Times New Roman" w:hAnsi="Times New Roman"/>
          <w:color w:val="000000" w:themeColor="text1"/>
          <w:sz w:val="16"/>
          <w:szCs w:val="16"/>
        </w:rPr>
        <w:softHyphen/>
        <w:t>фикация выпускалась до конца 1939 г.</w:t>
      </w:r>
    </w:p>
    <w:p w14:paraId="70D1568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Спаренная установка из двух М-34 с работой на один винт, проект для самолета К-7.</w:t>
      </w:r>
    </w:p>
    <w:p w14:paraId="29F1105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М-34Ф, малая серия М-34 с форсированием по оборотам без вне</w:t>
      </w:r>
      <w:r w:rsidRPr="005E779E">
        <w:rPr>
          <w:rFonts w:ascii="Times New Roman" w:hAnsi="Times New Roman"/>
          <w:color w:val="000000" w:themeColor="text1"/>
          <w:sz w:val="16"/>
          <w:szCs w:val="16"/>
        </w:rPr>
        <w:softHyphen/>
        <w:t>сения конструктивных изменений, только за счет регулировки, июнь 1933 г., 750/830 л.с.</w:t>
      </w:r>
    </w:p>
    <w:p w14:paraId="200CEC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М-34Р. редукторный вариант, вес 677 кг, 750/800 л.с. Опытный об</w:t>
      </w:r>
      <w:r w:rsidRPr="005E779E">
        <w:rPr>
          <w:rFonts w:ascii="Times New Roman" w:hAnsi="Times New Roman"/>
          <w:color w:val="000000" w:themeColor="text1"/>
          <w:sz w:val="16"/>
          <w:szCs w:val="16"/>
        </w:rPr>
        <w:softHyphen/>
        <w:t>разец сделали в ноябре 1932 г. Государственные испытания успешно</w:t>
      </w:r>
    </w:p>
    <w:p w14:paraId="2AE10B4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прошли в марте — мае 1933 г., серийный выпуск начали с конца того же года. 23 мая 1934 г. на повторных стендовых испытаниях получен ресурс в 500 ч. М-34Р в больших количествах выпускался до конца 1939 г.</w:t>
      </w:r>
    </w:p>
    <w:p w14:paraId="167A9F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М-34РД (он же М-34РСп), двигатель типа М-34Р специального за</w:t>
      </w:r>
      <w:r w:rsidRPr="005E779E">
        <w:rPr>
          <w:rFonts w:ascii="Times New Roman" w:hAnsi="Times New Roman"/>
          <w:color w:val="000000" w:themeColor="text1"/>
          <w:sz w:val="16"/>
          <w:szCs w:val="16"/>
        </w:rPr>
        <w:softHyphen/>
        <w:t>каза для рекордных самолетов АНТ-25 (РД), выпущенный в 1934 г. Сделали 20 комплектов деталей, из которых собрали 15 моторов, а сдали 10. Они отличались новыми всасывающими патрубками, мас</w:t>
      </w:r>
      <w:r w:rsidRPr="005E779E">
        <w:rPr>
          <w:rFonts w:ascii="Times New Roman" w:hAnsi="Times New Roman"/>
          <w:color w:val="000000" w:themeColor="text1"/>
          <w:sz w:val="16"/>
          <w:szCs w:val="16"/>
        </w:rPr>
        <w:softHyphen/>
        <w:t>ляными и водяными насосами, распредвалами, конструкцией хво</w:t>
      </w:r>
      <w:r w:rsidRPr="005E779E">
        <w:rPr>
          <w:rFonts w:ascii="Times New Roman" w:hAnsi="Times New Roman"/>
          <w:color w:val="000000" w:themeColor="text1"/>
          <w:sz w:val="16"/>
          <w:szCs w:val="16"/>
        </w:rPr>
        <w:softHyphen/>
        <w:t>стовика коленвала, наличием второго бензонасоса, а также более качественным изготовлением деталей (по другой технологии), мень</w:t>
      </w:r>
      <w:r w:rsidRPr="005E779E">
        <w:rPr>
          <w:rFonts w:ascii="Times New Roman" w:hAnsi="Times New Roman"/>
          <w:color w:val="000000" w:themeColor="text1"/>
          <w:sz w:val="16"/>
          <w:szCs w:val="16"/>
        </w:rPr>
        <w:softHyphen/>
        <w:t>шими допусками, применением для уплотнений высококачественной резины, тщательной регулировкой и карбюраторами К-34РД. За счет небольшого форсирования по оборотам максимальную мощность по</w:t>
      </w:r>
      <w:r w:rsidRPr="005E779E">
        <w:rPr>
          <w:rFonts w:ascii="Times New Roman" w:hAnsi="Times New Roman"/>
          <w:color w:val="000000" w:themeColor="text1"/>
          <w:sz w:val="16"/>
          <w:szCs w:val="16"/>
        </w:rPr>
        <w:softHyphen/>
        <w:t>высили до 830 л.с. Делались два варианта: со степенями сжатия 6,0 и 6,7. Первоначально для большей надежности их хотели укомплек</w:t>
      </w:r>
      <w:r w:rsidRPr="005E779E">
        <w:rPr>
          <w:rFonts w:ascii="Times New Roman" w:hAnsi="Times New Roman"/>
          <w:color w:val="000000" w:themeColor="text1"/>
          <w:sz w:val="16"/>
          <w:szCs w:val="16"/>
        </w:rPr>
        <w:softHyphen/>
        <w:t>товать импортными агрегатами, но получили запрет ГУАП. Позднее выпустили еще около 50 таких моторов для «представительских» ТБ-3, на которых наносились визиты в столицы европейских госу</w:t>
      </w:r>
      <w:r w:rsidRPr="005E779E">
        <w:rPr>
          <w:rFonts w:ascii="Times New Roman" w:hAnsi="Times New Roman"/>
          <w:color w:val="000000" w:themeColor="text1"/>
          <w:sz w:val="16"/>
          <w:szCs w:val="16"/>
        </w:rPr>
        <w:softHyphen/>
        <w:t>дарств.</w:t>
      </w:r>
    </w:p>
    <w:p w14:paraId="795327B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М-34Н, безредукторный с ПЦН, проектировался с 1931 г., 750/820 л.с. Первоначально планировали, что мотор пройдет госиспытания к 15 июня 1932 г. Но первый, двухскоростной, нагнетатель, спроекти</w:t>
      </w:r>
      <w:r w:rsidRPr="005E779E">
        <w:rPr>
          <w:rFonts w:ascii="Times New Roman" w:hAnsi="Times New Roman"/>
          <w:color w:val="000000" w:themeColor="text1"/>
          <w:sz w:val="16"/>
          <w:szCs w:val="16"/>
        </w:rPr>
        <w:softHyphen/>
        <w:t>рованный П.И. Орловым, А.А. Микулиным и А.Н. Данилевским, ока</w:t>
      </w:r>
      <w:r w:rsidRPr="005E779E">
        <w:rPr>
          <w:rFonts w:ascii="Times New Roman" w:hAnsi="Times New Roman"/>
          <w:color w:val="000000" w:themeColor="text1"/>
          <w:sz w:val="16"/>
          <w:szCs w:val="16"/>
        </w:rPr>
        <w:softHyphen/>
        <w:t>зался недостаточно надежным. Второй вариант ПЦН, односкоростной, создал Данилевский в ЦИАМ. Государственные испытания на двух опытных экземплярах провели в ноябре 1933 г., серия с сентября 1934 г. Нагнетатель выполнялся в виде отдельного съемного узла и мог монтироваться на моторы других модификаций. Введен карбю</w:t>
      </w:r>
      <w:r w:rsidRPr="005E779E">
        <w:rPr>
          <w:rFonts w:ascii="Times New Roman" w:hAnsi="Times New Roman"/>
          <w:color w:val="000000" w:themeColor="text1"/>
          <w:sz w:val="16"/>
          <w:szCs w:val="16"/>
        </w:rPr>
        <w:softHyphen/>
        <w:t>ратор К-34Б, устанавливавшийся впоследствии на все модификации с ПЦН. Проектировался облегченный вариант (560 кг) с картером из магниевого сплава. В дальнейшем ПЦН хотели сделать отключаемым. В 1934 г. вели переговоры с французскими фирмами «Испано-Сюиза» и «Фарман» о проектировании нового ПЦН для М-34Н. Пытались также приобрести нагнетатели «Рато» (М-34РАТО).</w:t>
      </w:r>
    </w:p>
    <w:p w14:paraId="06286AA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М-34Н с паротурбинным нагнетателем ПТК; нагнетатель ПТК спро</w:t>
      </w:r>
      <w:r w:rsidRPr="005E779E">
        <w:rPr>
          <w:rFonts w:ascii="Times New Roman" w:hAnsi="Times New Roman"/>
          <w:color w:val="000000" w:themeColor="text1"/>
          <w:sz w:val="16"/>
          <w:szCs w:val="16"/>
        </w:rPr>
        <w:softHyphen/>
        <w:t>ектирован в ХАЙ в 1938 г., доводился в Центральном котлотурбин-ном институте с 1939 г., в 1940 г. двигатель проходил стендовые и летные испытания; серийно не выпускался.</w:t>
      </w:r>
    </w:p>
    <w:p w14:paraId="57917A2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 М-34Н с нагнетателем</w:t>
      </w:r>
    </w:p>
    <w:p w14:paraId="0307844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М-34РН, редукторный с ПЦН, малая серия, 750/820 л.с., вес 737,5 кг. По плану предполагалось представить опытный образец на госиспытания к 1 декабря 1932 г. Фактически же первый М-34РН начал заводские ис</w:t>
      </w:r>
      <w:r w:rsidRPr="005E779E">
        <w:rPr>
          <w:rFonts w:ascii="Times New Roman" w:hAnsi="Times New Roman"/>
          <w:color w:val="000000" w:themeColor="text1"/>
          <w:sz w:val="16"/>
          <w:szCs w:val="16"/>
        </w:rPr>
        <w:softHyphen/>
        <w:t>пытания 1 мая 1934 г. Его усовершенствованный вариант предъявили на госиспытания в сентябре, но они закончились неудачно — прогорели поршни. Нагнетатель идентичен использовавшемуся в М-34Н. М-34НА, усовершенствованный вариант М-34Н; мелкие изменения отдельных деталей для увеличения ресурса; 750/820 л.с. М-34РА, аналогичный предыдущей модификации вариант М-34Р с редуктором; 750/820 л.с.</w:t>
      </w:r>
    </w:p>
    <w:p w14:paraId="52698E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М-34РНА, редукторный с ПЦН, включал все мелкие усовер</w:t>
      </w:r>
      <w:r w:rsidRPr="005E779E">
        <w:rPr>
          <w:rFonts w:ascii="Times New Roman" w:hAnsi="Times New Roman"/>
          <w:color w:val="000000" w:themeColor="text1"/>
          <w:sz w:val="16"/>
          <w:szCs w:val="16"/>
        </w:rPr>
        <w:softHyphen/>
        <w:t>шенствования, введенные на типах НА и РА, 750/820 л.с., вес 748 кг. Испытывался на ТБ-3 в мае 1935 г., серия с конца 1935 г. У ранних серий М-34РНА клапаны имели масляное охлаждение.</w:t>
      </w:r>
    </w:p>
    <w:p w14:paraId="369BECD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М-34НБ, усовершенствованный вариант типа НА с ужесточенным картером, облегченным коленвалом с измененным носком, дорабо</w:t>
      </w:r>
      <w:r w:rsidRPr="005E779E">
        <w:rPr>
          <w:rFonts w:ascii="Times New Roman" w:hAnsi="Times New Roman"/>
          <w:color w:val="000000" w:themeColor="text1"/>
          <w:sz w:val="16"/>
          <w:szCs w:val="16"/>
        </w:rPr>
        <w:softHyphen/>
        <w:t>танным ПЦН, 750/820 л.с., вес 638 кг.</w:t>
      </w:r>
    </w:p>
    <w:p w14:paraId="16DACC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М-34Н2Б с двумя турбонагнетателями ТК-1 и ПЦН от серийного М-34РН. Новые кованые поршни, четыре карбюратора К-4. Степень сжатия 7,0, мощность по документации 760/950 л.с. (реально полу</w:t>
      </w:r>
      <w:r w:rsidRPr="005E779E">
        <w:rPr>
          <w:rFonts w:ascii="Times New Roman" w:hAnsi="Times New Roman"/>
          <w:color w:val="000000" w:themeColor="text1"/>
          <w:sz w:val="16"/>
          <w:szCs w:val="16"/>
        </w:rPr>
        <w:softHyphen/>
        <w:t>чили 789/1033 л.с.), вес сухой без генератора 689 кг. Испытывался в июле — сентябре 1938 г. на опытном самолете РШ; испытания пре</w:t>
      </w:r>
      <w:r w:rsidRPr="005E779E">
        <w:rPr>
          <w:rFonts w:ascii="Times New Roman" w:hAnsi="Times New Roman"/>
          <w:color w:val="000000" w:themeColor="text1"/>
          <w:sz w:val="16"/>
          <w:szCs w:val="16"/>
        </w:rPr>
        <w:softHyphen/>
        <w:t>кращены из-за неоднократного обрыва лопаток турбины. М-34РНБ, аналогичный типу НБ редукторный вариант с облегченным по сравнению с РНА редуктором, 750/820 л.с., вес 725 кг. Существовал также его опытный вариант с двумя турбонагнетателя</w:t>
      </w:r>
      <w:r w:rsidRPr="005E779E">
        <w:rPr>
          <w:rFonts w:ascii="Times New Roman" w:hAnsi="Times New Roman"/>
          <w:color w:val="000000" w:themeColor="text1"/>
          <w:sz w:val="16"/>
          <w:szCs w:val="16"/>
        </w:rPr>
        <w:softHyphen/>
        <w:t>ми ТК-1, спроектированный В.И. Дмитриевским. М-34РНБ серийно выпускался с октября 1935 г. до конца 1939 г. В ноябре 1939 г. ис</w:t>
      </w:r>
      <w:r w:rsidRPr="005E779E">
        <w:rPr>
          <w:rFonts w:ascii="Times New Roman" w:hAnsi="Times New Roman"/>
          <w:color w:val="000000" w:themeColor="text1"/>
          <w:sz w:val="16"/>
          <w:szCs w:val="16"/>
        </w:rPr>
        <w:softHyphen/>
        <w:t>пытывался вариант этого мотора, форсированный до 900/1000 л.с. М-34П, вариант М-34РН с установкой пушки в развале цилиндров со стрельбой через полый вал редуктора. Задание было выдано в августе 1934 г. Информации о постройке опытных образцов нет. Установка из двух М-34, из которых один работал на винт, а вто</w:t>
      </w:r>
      <w:r w:rsidRPr="005E779E">
        <w:rPr>
          <w:rFonts w:ascii="Times New Roman" w:hAnsi="Times New Roman"/>
          <w:color w:val="000000" w:themeColor="text1"/>
          <w:sz w:val="16"/>
          <w:szCs w:val="16"/>
        </w:rPr>
        <w:softHyphen/>
        <w:t>рой вращал мощный нагнетатель. Проектировалась в марте 1934 г. в Военно-воздушной академии для стратосферного самолета. М-34, работавший на топливе с добавкой газообразного водорода, ис</w:t>
      </w:r>
      <w:r w:rsidRPr="005E779E">
        <w:rPr>
          <w:rFonts w:ascii="Times New Roman" w:hAnsi="Times New Roman"/>
          <w:color w:val="000000" w:themeColor="text1"/>
          <w:sz w:val="16"/>
          <w:szCs w:val="16"/>
        </w:rPr>
        <w:softHyphen/>
        <w:t>пытывался в ЦИАМ во второй половине 30-х годов. М-34СО, опытный образец, испытывавшийся в марте 1936 г. со сме</w:t>
      </w:r>
      <w:r w:rsidRPr="005E779E">
        <w:rPr>
          <w:rFonts w:ascii="Times New Roman" w:hAnsi="Times New Roman"/>
          <w:color w:val="000000" w:themeColor="text1"/>
          <w:sz w:val="16"/>
          <w:szCs w:val="16"/>
        </w:rPr>
        <w:softHyphen/>
        <w:t>шанным охлаждением: гильзы — воздухом, головки — этиленглико-лем. На испытаниях получена мощность 1050 л.с. М-34РСО, проект 1937 г., развитие преды</w:t>
      </w:r>
      <w:r w:rsidRPr="005E779E">
        <w:rPr>
          <w:rFonts w:ascii="Times New Roman" w:hAnsi="Times New Roman"/>
          <w:color w:val="000000" w:themeColor="text1"/>
          <w:sz w:val="16"/>
          <w:szCs w:val="16"/>
        </w:rPr>
        <w:softHyphen/>
        <w:t>дущего типа с редуктором, 1050/1200 л.с. М-34НВ, опытный, с непосредственным впрыском топлива, 985 л.с. Система впры</w:t>
      </w:r>
      <w:r w:rsidRPr="005E779E">
        <w:rPr>
          <w:rFonts w:ascii="Times New Roman" w:hAnsi="Times New Roman"/>
          <w:color w:val="000000" w:themeColor="text1"/>
          <w:sz w:val="16"/>
          <w:szCs w:val="16"/>
        </w:rPr>
        <w:softHyphen/>
        <w:t>ска создана С.А. Косбергом и Н.П. Сер-дюковым в ЦИАМ в 1934 г. Двигатель прошел 60-часовые стендовые испытания в 1935 г. и летные испытания на Р-Зет и ТБ-3 в 1937 г. Серийно не выпускался. М-34РНВ, опытный образец, аналогичен предыдущему типу, но оснащался пони</w:t>
      </w:r>
      <w:r w:rsidRPr="005E779E">
        <w:rPr>
          <w:rFonts w:ascii="Times New Roman" w:hAnsi="Times New Roman"/>
          <w:color w:val="000000" w:themeColor="text1"/>
          <w:sz w:val="16"/>
          <w:szCs w:val="16"/>
        </w:rPr>
        <w:softHyphen/>
        <w:t>жающим редуктором. М-34РНВ-ТК (он же М-34НРВ-ТК), опытный, отличался от предыдущего типа установкой турбонагнетателей ТК-1, 700/850 л.с., вес проектный 810 кг, конец 1938 г.</w:t>
      </w:r>
    </w:p>
    <w:p w14:paraId="62F4767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М-34 для привода агрегата центрального наддува АЦН-1, сконструи</w:t>
      </w:r>
      <w:r w:rsidRPr="005E779E">
        <w:rPr>
          <w:rFonts w:ascii="Times New Roman" w:hAnsi="Times New Roman"/>
          <w:color w:val="000000" w:themeColor="text1"/>
          <w:sz w:val="16"/>
          <w:szCs w:val="16"/>
        </w:rPr>
        <w:softHyphen/>
        <w:t>рованного под руководством С.А. Трескина в 1935 г. Проходил лет</w:t>
      </w:r>
      <w:r w:rsidRPr="005E779E">
        <w:rPr>
          <w:rFonts w:ascii="Times New Roman" w:hAnsi="Times New Roman"/>
          <w:color w:val="000000" w:themeColor="text1"/>
          <w:sz w:val="16"/>
          <w:szCs w:val="16"/>
        </w:rPr>
        <w:softHyphen/>
        <w:t>ные испытания на ТБ-3.</w:t>
      </w:r>
    </w:p>
    <w:p w14:paraId="577283C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М-34ФРН (он же М-34РФН и М-34РНФ), форсированный вариант М-34РН. В январе 1935 г. проходил госиспытания, но был снят из-за неполадок. Выпущена малая серия в 1935 г., доводился до весны 1938 г. По проекту мощность 1050/1200 л.с., фактически 900/1200 л.с. Усилены коленвал, редуктор, картер, введено боковое сочленение ша</w:t>
      </w:r>
      <w:r w:rsidRPr="005E779E">
        <w:rPr>
          <w:rFonts w:ascii="Times New Roman" w:hAnsi="Times New Roman"/>
          <w:color w:val="000000" w:themeColor="text1"/>
          <w:sz w:val="16"/>
          <w:szCs w:val="16"/>
        </w:rPr>
        <w:softHyphen/>
        <w:t>тунов, измененная система смазки, усовершенствованный ПЦН, новый механизм газораспределения, карбюраторы установлены после ПЦН (ранее стоял один карбюратор до ПЦН); рабочий объем 46,66 л, вес 735 кг. В 1937 г. опытный образец М-34ФРН выставлялся на авиаса</w:t>
      </w:r>
      <w:r w:rsidRPr="005E779E">
        <w:rPr>
          <w:rFonts w:ascii="Times New Roman" w:hAnsi="Times New Roman"/>
          <w:color w:val="000000" w:themeColor="text1"/>
          <w:sz w:val="16"/>
          <w:szCs w:val="16"/>
        </w:rPr>
        <w:softHyphen/>
        <w:t>лоне в Париже. В 1938 г. была выпущена небольшая серия М-34ФРН с турбонаддувом (М-34РНФТ, с двумя ТК-1), 1017 л.с./'1200 л.с. (по другим данным — 750/1200 л.с.), вес (проектный) 690 кг (по другим данным — 810 кг). Такие моторы проходили летные испытания на самолете ДБ-А.</w:t>
      </w:r>
    </w:p>
    <w:p w14:paraId="5F37735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 М-34ФРНУ, проект форсированного до 900 л.с. М-34РН с удлинен</w:t>
      </w:r>
      <w:r w:rsidRPr="005E779E">
        <w:rPr>
          <w:rFonts w:ascii="Times New Roman" w:hAnsi="Times New Roman"/>
          <w:color w:val="000000" w:themeColor="text1"/>
          <w:sz w:val="16"/>
          <w:szCs w:val="16"/>
        </w:rPr>
        <w:softHyphen/>
        <w:t>ным валом, 1933 г.</w:t>
      </w:r>
    </w:p>
    <w:p w14:paraId="6D50B3F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М-34ФРНА, массовая серия на базе типа ФРН с четырьмя карбюра</w:t>
      </w:r>
      <w:r w:rsidRPr="005E779E">
        <w:rPr>
          <w:rFonts w:ascii="Times New Roman" w:hAnsi="Times New Roman"/>
          <w:color w:val="000000" w:themeColor="text1"/>
          <w:sz w:val="16"/>
          <w:szCs w:val="16"/>
        </w:rPr>
        <w:softHyphen/>
        <w:t>торами.</w:t>
      </w:r>
    </w:p>
    <w:p w14:paraId="4C14B8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М-34ФРНБ, массовая серия на базе типа ФРН с шестью карбюрато</w:t>
      </w:r>
      <w:r w:rsidRPr="005E779E">
        <w:rPr>
          <w:rFonts w:ascii="Times New Roman" w:hAnsi="Times New Roman"/>
          <w:color w:val="000000" w:themeColor="text1"/>
          <w:sz w:val="16"/>
          <w:szCs w:val="16"/>
        </w:rPr>
        <w:softHyphen/>
        <w:t>рами. В феврале 1937 г. проходил госиспытания вариант М-34ФРНБ (РФНБ) с карбюратором К-85, усиленным картером и облегченным редуктором, мощностью 1000/1050 л.с. Малой серией также был вы</w:t>
      </w:r>
      <w:r w:rsidRPr="005E779E">
        <w:rPr>
          <w:rFonts w:ascii="Times New Roman" w:hAnsi="Times New Roman"/>
          <w:color w:val="000000" w:themeColor="text1"/>
          <w:sz w:val="16"/>
          <w:szCs w:val="16"/>
        </w:rPr>
        <w:softHyphen/>
        <w:t>пущен вариант, рассчитанный на применение агрегата центрального наддува АЦН-2, созданного в ЦИАМ под руководством К.В. Минк-нера. АЦН-2 приводился в действие дополнительным мотором М-100 и обеспечивал наддув одновременно четырех М-34ФРНБ; мотоуста</w:t>
      </w:r>
      <w:r w:rsidRPr="005E779E">
        <w:rPr>
          <w:rFonts w:ascii="Times New Roman" w:hAnsi="Times New Roman"/>
          <w:color w:val="000000" w:themeColor="text1"/>
          <w:sz w:val="16"/>
          <w:szCs w:val="16"/>
        </w:rPr>
        <w:softHyphen/>
        <w:t>новка из четырех М-34ФРНБ и АЦН-2 испытывалась на опытном образце бомбардировщика ТБ-7 зимой и весной 1938 г. М-34ФРН с испарительным охлаждением; разрабатывался с начала 1935 г. в ЦИАМ Р.И. Бартошем, в 1936 г. изготовлена небольшая серия для опытного истребителя И-21. Двигатель имел повышающий редуктор и нестандартный нижний картер с герметическим сквозным каналом для прохода трубы лонжерона центроплана. В начале 1937 г. совершено несколько полетов на опытном образце И-21. М-34ФРНВ, дальнейшее развитие М-34ФРНБ, 1050/1200 л.с. Спроек</w:t>
      </w:r>
      <w:r w:rsidRPr="005E779E">
        <w:rPr>
          <w:rFonts w:ascii="Times New Roman" w:hAnsi="Times New Roman"/>
          <w:color w:val="000000" w:themeColor="text1"/>
          <w:sz w:val="16"/>
          <w:szCs w:val="16"/>
        </w:rPr>
        <w:softHyphen/>
        <w:t>тирован с тремя вариантами редуктора и двумя типами ПЦН. Впер</w:t>
      </w:r>
      <w:r w:rsidRPr="005E779E">
        <w:rPr>
          <w:rFonts w:ascii="Times New Roman" w:hAnsi="Times New Roman"/>
          <w:color w:val="000000" w:themeColor="text1"/>
          <w:sz w:val="16"/>
          <w:szCs w:val="16"/>
        </w:rPr>
        <w:softHyphen/>
        <w:t>вые выставлен на госиспытания в декабре 1937 г. (с весом 749 кг), но на испытаниях разрушился. По сравнению с М-34ФРНБ имел</w:t>
      </w:r>
    </w:p>
    <w:p w14:paraId="51FD129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измененный картер, бронзовые (с покрытием свинцовистой бронзой, а не баббитом) вкладыши коренных опор с гиперболической расточкой, кожуха над клапанным механизмом из магниевого сплава, иной комплект агрега</w:t>
      </w:r>
      <w:r w:rsidRPr="005E779E">
        <w:rPr>
          <w:rFonts w:ascii="Times New Roman" w:hAnsi="Times New Roman"/>
          <w:color w:val="000000" w:themeColor="text1"/>
          <w:sz w:val="16"/>
          <w:szCs w:val="16"/>
        </w:rPr>
        <w:softHyphen/>
        <w:t>тов, удлиненный носок редуктора, усиленный коленвал с измененной схе</w:t>
      </w:r>
      <w:r w:rsidRPr="005E779E">
        <w:rPr>
          <w:rFonts w:ascii="Times New Roman" w:hAnsi="Times New Roman"/>
          <w:color w:val="000000" w:themeColor="text1"/>
          <w:sz w:val="16"/>
          <w:szCs w:val="16"/>
        </w:rPr>
        <w:softHyphen/>
        <w:t>мой смазки и четыре карбюратора К-4. В апреле 1938 г. был выставлен повторно с усилением ряда деталей (вес поднялся до 763,5 кг при 740 кг по заданию) и удовлетворительно отработал 100 ч. После этого заказали опытную серию из 50 двигателей. Серийное производство М-34ФРНВ велось в 1939-1940 гг. В мае — июне 1938 г. испытывался вариант М-34ФРНВ с непосредственным впрыском топлива (1050/1200 л.с., вес 810 кг). Последняя крупносерийная модификация М-34.</w:t>
      </w:r>
    </w:p>
    <w:p w14:paraId="74BE497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М-34НФ, опытный вариант с блоками от модификации ФРНВ, допол</w:t>
      </w:r>
      <w:r w:rsidRPr="005E779E">
        <w:rPr>
          <w:rFonts w:ascii="Times New Roman" w:hAnsi="Times New Roman"/>
          <w:color w:val="000000" w:themeColor="text1"/>
          <w:sz w:val="16"/>
          <w:szCs w:val="16"/>
        </w:rPr>
        <w:softHyphen/>
        <w:t>нительными масло- и бензонасосом, форсирован по "оборотам, имел ПЦН и два турбонагнетателя ТК-1. Карбюраторы К-4 установлены после ПЦН. Мощность 787/985 л.с., степень сжатия 7,0, испытывался в 1938-1939 гг. на самолетах Р-Зет и ТБ-3.</w:t>
      </w:r>
    </w:p>
    <w:p w14:paraId="4314958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М-34ФРНВ-ТК, вариант предыдущего типа. Имел два турбонагнетате</w:t>
      </w:r>
      <w:r w:rsidRPr="005E779E">
        <w:rPr>
          <w:rFonts w:ascii="Times New Roman" w:hAnsi="Times New Roman"/>
          <w:color w:val="000000" w:themeColor="text1"/>
          <w:sz w:val="16"/>
          <w:szCs w:val="16"/>
        </w:rPr>
        <w:softHyphen/>
        <w:t>ля ТК-1. Вес по проекту (с турбонагнетателями) 850 кг, 950/1200 л.с. Испытывался в сентябре 1939 г.</w:t>
      </w:r>
    </w:p>
    <w:p w14:paraId="07B8F9F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М-34ФРГН, подробности неизвестны.</w:t>
      </w:r>
    </w:p>
    <w:p w14:paraId="5E59583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М-34РБ, в 1938-1939 гг. переделывались из М-34РНБ путем демон</w:t>
      </w:r>
      <w:r w:rsidRPr="005E779E">
        <w:rPr>
          <w:rFonts w:ascii="Times New Roman" w:hAnsi="Times New Roman"/>
          <w:color w:val="000000" w:themeColor="text1"/>
          <w:sz w:val="16"/>
          <w:szCs w:val="16"/>
        </w:rPr>
        <w:softHyphen/>
        <w:t>тажа ПЦН для повышения надежности и увеличения реечрса.</w:t>
      </w:r>
    </w:p>
    <w:p w14:paraId="249ACCC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 М-34РБ</w:t>
      </w:r>
    </w:p>
    <w:p w14:paraId="61AF36C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Катерный мотор ГМ-34 (ГАМ-34)</w:t>
      </w:r>
    </w:p>
    <w:p w14:paraId="19D6330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ГМ-34, двигатель для торпедных катеров с реверс-редуктором, муф</w:t>
      </w:r>
      <w:r w:rsidRPr="005E779E">
        <w:rPr>
          <w:rFonts w:ascii="Times New Roman" w:hAnsi="Times New Roman"/>
          <w:color w:val="000000" w:themeColor="text1"/>
          <w:sz w:val="16"/>
          <w:szCs w:val="16"/>
        </w:rPr>
        <w:softHyphen/>
        <w:t>той свободного хода, измененными системами охлаждения (забортной водой) и выхлопной. Разрабатывался В.М. Яковлевым с 1932 г. По плану планировалось представить на госиспытания к 1 октября 1932 г.]</w:t>
      </w:r>
    </w:p>
    <w:p w14:paraId="496FBA1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1932 г. пару опытных двигателей установили на торпед</w:t>
      </w:r>
      <w:r w:rsidRPr="005E779E">
        <w:rPr>
          <w:rFonts w:ascii="Times New Roman" w:hAnsi="Times New Roman"/>
          <w:color w:val="000000" w:themeColor="text1"/>
          <w:sz w:val="16"/>
          <w:szCs w:val="16"/>
        </w:rPr>
        <w:softHyphen/>
        <w:t>ный катер. Государственные испытания на нем завершились в августе 1934 г. С того же года мотор выпускался серийно, 750/800 л.с., вес 864 кг (с реверс-муфтой и коллекторами 1000 кг).</w:t>
      </w:r>
    </w:p>
    <w:p w14:paraId="5E426FC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ГМ-34Ф, усовершенствованный вариант предыдущего типа. Имел коренные вкладыши из бронзы, коленвал, головки блоков и часть агрегатов от М-34ФРНВ. Степень сжатия 7,3. Строился серийно, 800/1000 л.с., вес 1080 кг. Работал на бензин-спиртовой .смеси.</w:t>
      </w:r>
    </w:p>
    <w:p w14:paraId="35C5F47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ГМ-34ФН, вариант ГМ-34Ф с ПЦН ФН-25 и одним карбюратором К-4. Маслосистема по типу ГАМ-34БС. Степень сжатия 6,0, мощ</w:t>
      </w:r>
      <w:r w:rsidRPr="005E779E">
        <w:rPr>
          <w:rFonts w:ascii="Times New Roman" w:hAnsi="Times New Roman"/>
          <w:color w:val="000000" w:themeColor="text1"/>
          <w:sz w:val="16"/>
          <w:szCs w:val="16"/>
        </w:rPr>
        <w:softHyphen/>
        <w:t>ность 1200 л.с., вес 1110 кг. Работал на бензин-спиртовой смеси. Се</w:t>
      </w:r>
      <w:r w:rsidRPr="005E779E">
        <w:rPr>
          <w:rFonts w:ascii="Times New Roman" w:hAnsi="Times New Roman"/>
          <w:color w:val="000000" w:themeColor="text1"/>
          <w:sz w:val="16"/>
          <w:szCs w:val="16"/>
        </w:rPr>
        <w:softHyphen/>
        <w:t>рийно выпускался с августа 1939 г.</w:t>
      </w:r>
    </w:p>
    <w:p w14:paraId="0640394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ГМ-34БП, вариант для речных бронекатеров с реверс-редуктором, 800 л.с., выпускался серийно.</w:t>
      </w:r>
    </w:p>
    <w:p w14:paraId="68E2D7B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ГМ-34БС, усовершенствованный вариант предыдущего типа, 850 л.с., выпускался серийно до 1943 г. Работал на бензин-спиртовой смеси. Вес 1045 кг.</w:t>
      </w:r>
    </w:p>
    <w:p w14:paraId="6179C59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ГМ-34БТ. вариант для танков на базе катерного с измененной си</w:t>
      </w:r>
      <w:r w:rsidRPr="005E779E">
        <w:rPr>
          <w:rFonts w:ascii="Times New Roman" w:hAnsi="Times New Roman"/>
          <w:color w:val="000000" w:themeColor="text1"/>
          <w:sz w:val="16"/>
          <w:szCs w:val="16"/>
        </w:rPr>
        <w:softHyphen/>
        <w:t>стемой охлаждения, вентилятором принудительного обдува, новым редуктором; мощность 850 л.с. Имел электростартер вместо пневмо-пуска. Выпускался малой серией в 1939 г.</w:t>
      </w:r>
    </w:p>
    <w:p w14:paraId="179F253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Моторы семейства М-34 (АМ-34) устанавливались на серийных самолетах ТБ-3, КР-6, Р-Зет, АНТ-25 (РД, ДБ-1), МБР-2, МТБ-1, ТБ-7 (Пе-8, первая малая серия), ДБ-А, опытных ЛР, ТШ-3, МИ-ЗД, Т-1 (АНТ-41), ТБ-4, К-7, МГ (АНТ-20), ПС-124, И-21 (ЦКБ-32, с паровым охлаждением), ПИ (не до</w:t>
      </w:r>
      <w:r w:rsidRPr="005E779E">
        <w:rPr>
          <w:rFonts w:ascii="Times New Roman" w:hAnsi="Times New Roman"/>
          <w:color w:val="000000" w:themeColor="text1"/>
          <w:sz w:val="16"/>
          <w:szCs w:val="16"/>
        </w:rPr>
        <w:softHyphen/>
        <w:t>строен), К-13, МК-1, «Сталь-МАИ», МИ-3. Их применение также предусма</w:t>
      </w:r>
      <w:r w:rsidRPr="005E779E">
        <w:rPr>
          <w:rFonts w:ascii="Times New Roman" w:hAnsi="Times New Roman"/>
          <w:color w:val="000000" w:themeColor="text1"/>
          <w:sz w:val="16"/>
          <w:szCs w:val="16"/>
        </w:rPr>
        <w:softHyphen/>
        <w:t>тривалось в проектах ТБ-6, «Сталь-5», АНТ-15, ТШ-Б (АНТ-17 и АНТ-18), ВИТ-2, АНТ-51 (СЗ), бронированного штурмовика Самсонова и Доброволь</w:t>
      </w:r>
      <w:r w:rsidRPr="005E779E">
        <w:rPr>
          <w:rFonts w:ascii="Times New Roman" w:hAnsi="Times New Roman"/>
          <w:color w:val="000000" w:themeColor="text1"/>
          <w:sz w:val="16"/>
          <w:szCs w:val="16"/>
        </w:rPr>
        <w:softHyphen/>
        <w:t>ского на гусеничном ходу (на базе ТШ-2), танка-вертолета Камова.</w:t>
      </w:r>
    </w:p>
    <w:p w14:paraId="4F62F77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Моторы типа ГМ-34 (ГАМ-34) монтировались на торпедных катерах Г-5 (серийно строились до 1943 г.), Г-6, Г-8, СМ-4 (построено по одному катеру), закладывались в проекты катеров Г-9 и Г-10, а также на речных бронекатерах проектов 1124 и 1125 (массово строились до 1944 г.).</w:t>
      </w:r>
    </w:p>
    <w:p w14:paraId="22BC2CD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Танковые моторы ГМ-34БТ (ГАМ-34БТ) устанавливались на опытных танках Т-100 и СМК, проходивших войсковые испытания на фронте во время войны с Финляндией зимой 1940 г., а также опытном самоходном орудии СУ-100у («Игрек», 1940 г.), применявшемся в боях под Москвой зимой 1941 г. (11952)</w:t>
      </w:r>
    </w:p>
    <w:p w14:paraId="28118FD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C92E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 сентября 1931 СНК разрешил ВО ГВФ выпустить долговые обязательства на сумму 50 млн. руб. для открытия новых воздушных линий (442,71).</w:t>
      </w:r>
    </w:p>
    <w:p w14:paraId="750368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EC4D0ED"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7F8FD941"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C8E85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 сентября 1931 года на заводском полигоне был опробован опытный образец 152-мм пушки завода "Красный Путиловец". Пушка имела заводской литер "Д", кроме того, получила официальное наименование "152-мм осадная пушка обр. 1931 г." На самом же деле по своим данным пушка больше подходила к корпусным орудиям (3861).</w:t>
      </w:r>
    </w:p>
    <w:p w14:paraId="12A664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46FA9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 сентября 1931 за № П63/14с была подготовлена:</w:t>
      </w:r>
    </w:p>
    <w:p w14:paraId="1AB5C1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Выписка из протокола № 63 заседания Политбюро ЦК от 20.1Х 1931 г. </w:t>
      </w:r>
    </w:p>
    <w:p w14:paraId="49CFFA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 конструкторских бюро </w:t>
      </w:r>
    </w:p>
    <w:p w14:paraId="4AC6C8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(ПБ от 30. V111. 31 г. пр.№ 59, п.3/12 ). </w:t>
      </w:r>
    </w:p>
    <w:p w14:paraId="4711D9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(т.т. Орджоникидзе, Акулов) </w:t>
      </w:r>
    </w:p>
    <w:p w14:paraId="12C3A8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 Оставить конструкторские бюро при ОГПУ </w:t>
      </w:r>
    </w:p>
    <w:p w14:paraId="7722E9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б) Решение - особая папка </w:t>
      </w:r>
    </w:p>
    <w:p w14:paraId="116488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СЕКРЕТАРЬ ЦК </w:t>
      </w:r>
    </w:p>
    <w:p w14:paraId="58C8F4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АП РФ Ф.3., Оп.58., Д.142., л. 21 (11462).</w:t>
      </w:r>
    </w:p>
    <w:p w14:paraId="305897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1B09B9E" w14:textId="77777777" w:rsidR="00EA3943" w:rsidRPr="005E779E" w:rsidRDefault="00EA3943"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 сентября 1931 г.</w:t>
      </w:r>
    </w:p>
    <w:p w14:paraId="7F4EDCE7" w14:textId="77777777" w:rsidR="00EA3943" w:rsidRPr="005E779E" w:rsidRDefault="00EA3943"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СТРОГО СЕКРЕТНО</w:t>
      </w:r>
    </w:p>
    <w:p w14:paraId="0F7D8853" w14:textId="77777777" w:rsidR="00EA3943" w:rsidRPr="005E779E" w:rsidRDefault="00EA3943"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 П63/14с </w:t>
      </w:r>
    </w:p>
    <w:p w14:paraId="5DE39C1C" w14:textId="66BFDA12" w:rsidR="00EA3943" w:rsidRPr="005E779E" w:rsidRDefault="00EA3943"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Выписка из протокола № 63 заседания Политбюро ЦК от 20.1Х</w:t>
      </w:r>
      <w:r w:rsidR="00FE094E">
        <w:rPr>
          <w:rFonts w:ascii="Times New Roman" w:hAnsi="Times New Roman"/>
          <w:color w:val="000000" w:themeColor="text1"/>
          <w:sz w:val="16"/>
          <w:szCs w:val="16"/>
        </w:rPr>
        <w:t xml:space="preserve"> </w:t>
      </w:r>
      <w:smartTag w:uri="urn:schemas-microsoft-com:office:smarttags" w:element="metricconverter">
        <w:smartTagPr>
          <w:attr w:name="ProductID" w:val="1931 г"/>
        </w:smartTagPr>
        <w:r w:rsidRPr="005E779E">
          <w:rPr>
            <w:rFonts w:ascii="Times New Roman" w:hAnsi="Times New Roman"/>
            <w:color w:val="000000" w:themeColor="text1"/>
            <w:sz w:val="16"/>
            <w:szCs w:val="16"/>
          </w:rPr>
          <w:t>1931 г</w:t>
        </w:r>
      </w:smartTag>
      <w:r w:rsidRPr="005E779E">
        <w:rPr>
          <w:rFonts w:ascii="Times New Roman" w:hAnsi="Times New Roman"/>
          <w:color w:val="000000" w:themeColor="text1"/>
          <w:sz w:val="16"/>
          <w:szCs w:val="16"/>
        </w:rPr>
        <w:t>.</w:t>
      </w:r>
    </w:p>
    <w:p w14:paraId="7FE8D4B4" w14:textId="77777777" w:rsidR="00EA3943" w:rsidRPr="005E779E" w:rsidRDefault="00EA3943"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 конструкторских бюро</w:t>
      </w:r>
    </w:p>
    <w:p w14:paraId="22350B3B" w14:textId="3AD19F37" w:rsidR="00EA3943" w:rsidRPr="005E779E" w:rsidRDefault="00EA3943"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(ПБ от 30. </w:t>
      </w:r>
      <w:r w:rsidRPr="005E779E">
        <w:rPr>
          <w:rFonts w:ascii="Times New Roman" w:hAnsi="Times New Roman"/>
          <w:color w:val="000000" w:themeColor="text1"/>
          <w:sz w:val="16"/>
          <w:szCs w:val="16"/>
          <w:lang w:val="en-US"/>
        </w:rPr>
        <w:t>V</w:t>
      </w:r>
      <w:r w:rsidRPr="005E779E">
        <w:rPr>
          <w:rFonts w:ascii="Times New Roman" w:hAnsi="Times New Roman"/>
          <w:color w:val="000000" w:themeColor="text1"/>
          <w:sz w:val="16"/>
          <w:szCs w:val="16"/>
        </w:rPr>
        <w:t>111.</w:t>
      </w:r>
      <w:r w:rsidR="00FE094E">
        <w:rPr>
          <w:rFonts w:ascii="Times New Roman" w:hAnsi="Times New Roman"/>
          <w:color w:val="000000" w:themeColor="text1"/>
          <w:sz w:val="16"/>
          <w:szCs w:val="16"/>
        </w:rPr>
        <w:t xml:space="preserve"> </w:t>
      </w:r>
      <w:smartTag w:uri="urn:schemas-microsoft-com:office:smarttags" w:element="metricconverter">
        <w:smartTagPr>
          <w:attr w:name="ProductID" w:val="31 г"/>
        </w:smartTagPr>
        <w:r w:rsidRPr="005E779E">
          <w:rPr>
            <w:rFonts w:ascii="Times New Roman" w:hAnsi="Times New Roman"/>
            <w:color w:val="000000" w:themeColor="text1"/>
            <w:sz w:val="16"/>
            <w:szCs w:val="16"/>
          </w:rPr>
          <w:t>31 г</w:t>
        </w:r>
      </w:smartTag>
      <w:r w:rsidRPr="005E779E">
        <w:rPr>
          <w:rFonts w:ascii="Times New Roman" w:hAnsi="Times New Roman"/>
          <w:color w:val="000000" w:themeColor="text1"/>
          <w:sz w:val="16"/>
          <w:szCs w:val="16"/>
        </w:rPr>
        <w:t>. пр.№ 59, п.3/12 ).</w:t>
      </w:r>
    </w:p>
    <w:p w14:paraId="67FCAA6D" w14:textId="77777777" w:rsidR="00EA3943" w:rsidRPr="005E779E" w:rsidRDefault="00EA3943"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(т.т. Орджоникидзе, Акулов)</w:t>
      </w:r>
    </w:p>
    <w:p w14:paraId="63230930" w14:textId="77777777" w:rsidR="00EA3943" w:rsidRPr="005E779E" w:rsidRDefault="00EA3943"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Оставить конструкторские бюро при ОГПУ</w:t>
      </w:r>
    </w:p>
    <w:p w14:paraId="52245E5D" w14:textId="77777777" w:rsidR="00EA3943" w:rsidRPr="005E779E" w:rsidRDefault="00EA3943"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Решение - особая папка</w:t>
      </w:r>
    </w:p>
    <w:p w14:paraId="5844ED26" w14:textId="77777777" w:rsidR="00EA3943" w:rsidRPr="005E779E" w:rsidRDefault="00EA3943"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СЕКРЕТАРЬ ЦК</w:t>
      </w:r>
    </w:p>
    <w:p w14:paraId="674AC310" w14:textId="77777777" w:rsidR="00EA3943" w:rsidRPr="005E779E" w:rsidRDefault="00EA3943"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АП РФ Ф.3., Оп.58., Д.142., л. 21. Машинопись. Копия (17486). </w:t>
      </w:r>
    </w:p>
    <w:p w14:paraId="3A2A2B1C" w14:textId="77777777" w:rsidR="00EA3943" w:rsidRPr="005E779E" w:rsidRDefault="00EA3943" w:rsidP="000B7A6C">
      <w:pPr>
        <w:shd w:val="clear" w:color="auto" w:fill="FFFFFF"/>
        <w:spacing w:after="0" w:line="240" w:lineRule="auto"/>
        <w:jc w:val="both"/>
        <w:rPr>
          <w:rFonts w:ascii="Times New Roman" w:hAnsi="Times New Roman"/>
          <w:color w:val="000000" w:themeColor="text1"/>
          <w:sz w:val="16"/>
          <w:szCs w:val="16"/>
        </w:rPr>
      </w:pPr>
    </w:p>
    <w:p w14:paraId="7EC49308" w14:textId="77777777" w:rsidR="00D75AA8" w:rsidRPr="005E779E" w:rsidRDefault="00D75AA8"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56498D25" w14:textId="77777777" w:rsidR="00D75AA8" w:rsidRPr="005E779E" w:rsidRDefault="00D75AA8"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EB8AC5E" w14:textId="77777777" w:rsidR="00D75AA8" w:rsidRPr="005E779E" w:rsidRDefault="00D75A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 сентября 1931. Газета "Вечерняя Москва" сообщала: "Светофоры на столбах, при помощи которых регулируется уличное движение, заменяются с сегодняшнего дня Административным отделом Москвы светофорами подвесного типа, что значительно разгрузит уличное движение" (18724).</w:t>
      </w:r>
    </w:p>
    <w:p w14:paraId="6DB96983" w14:textId="77777777" w:rsidR="00D75AA8" w:rsidRPr="005E779E" w:rsidRDefault="00D75AA8" w:rsidP="000B7A6C">
      <w:pPr>
        <w:spacing w:after="0" w:line="240" w:lineRule="auto"/>
        <w:jc w:val="both"/>
        <w:rPr>
          <w:rFonts w:ascii="Times New Roman" w:hAnsi="Times New Roman"/>
          <w:color w:val="000000" w:themeColor="text1"/>
          <w:sz w:val="16"/>
          <w:szCs w:val="16"/>
        </w:rPr>
      </w:pPr>
    </w:p>
    <w:p w14:paraId="7D11BED9" w14:textId="77777777" w:rsidR="00D75AA8" w:rsidRPr="005E779E" w:rsidRDefault="00D75AA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 сентября в 1931 году в Москве организован Всесоюзный НИИ по сложным основаниям и фундаментам (теперь – Проектно-изыскательный и конструкторско-технологический НИИ оснований и подземных сооружений имени Н.М.Герсеванова) (14776).</w:t>
      </w:r>
    </w:p>
    <w:p w14:paraId="2CD37934" w14:textId="77777777" w:rsidR="00D75AA8" w:rsidRPr="005E779E" w:rsidRDefault="00D75AA8" w:rsidP="000B7A6C">
      <w:pPr>
        <w:spacing w:after="0" w:line="240" w:lineRule="auto"/>
        <w:jc w:val="both"/>
        <w:rPr>
          <w:rFonts w:ascii="Times New Roman" w:hAnsi="Times New Roman"/>
          <w:color w:val="000000" w:themeColor="text1"/>
          <w:sz w:val="16"/>
          <w:szCs w:val="16"/>
        </w:rPr>
      </w:pPr>
    </w:p>
    <w:p w14:paraId="47DD88CC"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18D5C9D6"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CACD4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 сентября 1931 г. китайское правительство передало в Лигу Наций в Женеве послание, в котором, ссылаясь на ст. 11 Устава Лиги, оно призывало обратить внимание на конфликт между Китаем и Японией и принять меры для предупреждения эскалации конфликта и восстановления статус-кво (3871).</w:t>
      </w:r>
    </w:p>
    <w:p w14:paraId="6D5D86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7FAEBF9"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303B8A59"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73738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 сентября 1931 года начальник ВВС Алкснис писал письмо N 315/00266 председателю Реввоенсовета.</w:t>
      </w:r>
    </w:p>
    <w:p w14:paraId="1C7E40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Доклад.</w:t>
      </w:r>
    </w:p>
    <w:p w14:paraId="326AAD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Финансово-плановой комиссией РВС план заказов ВВС на 1931 г. был определен в размере 2541 самолет и 3025 моторов.</w:t>
      </w:r>
    </w:p>
    <w:p w14:paraId="417BA0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связи с прорывом в выполнении программ заводами ВАО, Комиссией обороны на заседании от 25 июля эти цифры были, по ходатайству ВАО, уменьшены до 2024 самолетов и 2089 моторов.</w:t>
      </w:r>
    </w:p>
    <w:p w14:paraId="3ED3F2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Выполнение даже этого сокращенного плана заказов Авиазаводами к 1 сентября 1931 года происходит совершенно неудовлетворительно и выражается в среднем около 30% по самолетам и 20% по моторам от годовой программы.</w:t>
      </w:r>
    </w:p>
    <w:p w14:paraId="641C03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Весь годовой план будет выполнен в среднем всего лишь на 50%.</w:t>
      </w:r>
    </w:p>
    <w:p w14:paraId="21AD30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Результатом столь большого недовыполнения ВАО плана заказов является следующее:</w:t>
      </w:r>
    </w:p>
    <w:p w14:paraId="0C3B11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Намеченный на 1931 год план перевооружения частей ВВС срывается, так как истребительная авиация почти целиком остается на устаревших типах самолетов (И3 и И4), за исключением 2-х эскадрилий и 1-го отряда, перевооружаемых на И5; легкобомбардировочная, штурмовая, разведывательная и войсковая авиация остаются на Р-1 за исключением 8-ми легкобомбардировочных эскадрилий, перевооружаемых на Р-5.</w:t>
      </w:r>
    </w:p>
    <w:p w14:paraId="51136D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Равным образом, потребности ВВС в значительной мере не обеспечиваются и намечаемой на 1932 год программой, которая комиссией Куйбышева определена в размере 2438 самолетов и 3373 моторов.</w:t>
      </w:r>
    </w:p>
    <w:p w14:paraId="71604A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Если программа 1932 года в этом объеме будет окончательно утверждена, то в результате мы вынуждены будем:</w:t>
      </w:r>
    </w:p>
    <w:p w14:paraId="160467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Отказаться от большинства новых формирований 1932 года, ввиду необеспеченности их самолетами.</w:t>
      </w:r>
    </w:p>
    <w:p w14:paraId="420650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Всю истребительную авиацию Черного моря, Балтморя, ККА и почти всю - БВО - оставить на устаревших типах самолетов (и4, И3), а на вооружении войсковой авиации - оставить самолет Р-1.</w:t>
      </w:r>
    </w:p>
    <w:p w14:paraId="0748B0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Свернуть план подготовки летного состава, т.к. предназначавшиеся к передаче в школы самолеты Р-1, ввиду недостаточности сам. Р-5, останутся в строю и школы окажутся значительно недоукомплектованными.</w:t>
      </w:r>
    </w:p>
    <w:p w14:paraId="0AB959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того, чтобы избежать указанные последствия, полагал бы необходимым при обсуждении в КО программы ВАО на 1932 год настаивать на следующем увеличении и изменении программы:</w:t>
      </w:r>
    </w:p>
    <w:p w14:paraId="03A8B4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По моторам М-17 - на 750 шт.</w:t>
      </w:r>
    </w:p>
    <w:p w14:paraId="7A149B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По самолетам Р-5 - на 500 шт.</w:t>
      </w:r>
    </w:p>
    <w:p w14:paraId="03B0B5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По самолетам Р-6 - на 36 шт.</w:t>
      </w:r>
    </w:p>
    <w:p w14:paraId="2D22E3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Кроме того, все самолеты И-5 строить под моторы М-22, как уже находящиеся на вооружении ВВС и качественно стоящие выше М-15, для чего моторы М-15 с программы ВВС снять и число моторов М-22 увеличить на 272 шт. (1376,39-40).</w:t>
      </w:r>
    </w:p>
    <w:p w14:paraId="2E6F23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Ведомость</w:t>
      </w:r>
    </w:p>
    <w:p w14:paraId="78C21F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выполнения плана заказов промышленностью по</w:t>
      </w:r>
    </w:p>
    <w:p w14:paraId="4A4DB9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специальному имуществу ВВС за 12 месяцев 1931 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tblGrid>
      <w:tr w:rsidR="001002C3" w:rsidRPr="005E779E" w14:paraId="7A4FAA3B" w14:textId="77777777">
        <w:tc>
          <w:tcPr>
            <w:tcW w:w="1610" w:type="dxa"/>
          </w:tcPr>
          <w:p w14:paraId="22E491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w:t>
            </w:r>
          </w:p>
        </w:tc>
        <w:tc>
          <w:tcPr>
            <w:tcW w:w="1610" w:type="dxa"/>
          </w:tcPr>
          <w:p w14:paraId="35A8E1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Кол-во по плану заказов на 1931 г.</w:t>
            </w:r>
          </w:p>
        </w:tc>
        <w:tc>
          <w:tcPr>
            <w:tcW w:w="1610" w:type="dxa"/>
          </w:tcPr>
          <w:p w14:paraId="2AEECA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Выполнение за 12 месяцев</w:t>
            </w:r>
          </w:p>
        </w:tc>
        <w:tc>
          <w:tcPr>
            <w:tcW w:w="1610" w:type="dxa"/>
          </w:tcPr>
          <w:p w14:paraId="25DBBF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выполнения плана</w:t>
            </w:r>
          </w:p>
        </w:tc>
      </w:tr>
      <w:tr w:rsidR="001002C3" w:rsidRPr="005E779E" w14:paraId="659C2AC3" w14:textId="77777777">
        <w:tc>
          <w:tcPr>
            <w:tcW w:w="1610" w:type="dxa"/>
          </w:tcPr>
          <w:p w14:paraId="5D4293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Самолеты:</w:t>
            </w:r>
          </w:p>
        </w:tc>
        <w:tc>
          <w:tcPr>
            <w:tcW w:w="1610" w:type="dxa"/>
          </w:tcPr>
          <w:p w14:paraId="5E2F7D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5F016B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547347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9BA6C41" w14:textId="77777777">
        <w:tc>
          <w:tcPr>
            <w:tcW w:w="1610" w:type="dxa"/>
          </w:tcPr>
          <w:p w14:paraId="332173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И3</w:t>
            </w:r>
          </w:p>
        </w:tc>
        <w:tc>
          <w:tcPr>
            <w:tcW w:w="1610" w:type="dxa"/>
          </w:tcPr>
          <w:p w14:paraId="256633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0/55</w:t>
            </w:r>
          </w:p>
        </w:tc>
        <w:tc>
          <w:tcPr>
            <w:tcW w:w="1610" w:type="dxa"/>
          </w:tcPr>
          <w:p w14:paraId="5CC292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55</w:t>
            </w:r>
          </w:p>
        </w:tc>
        <w:tc>
          <w:tcPr>
            <w:tcW w:w="1610" w:type="dxa"/>
          </w:tcPr>
          <w:p w14:paraId="2F6827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w:t>
            </w:r>
          </w:p>
        </w:tc>
      </w:tr>
      <w:tr w:rsidR="001002C3" w:rsidRPr="005E779E" w14:paraId="18D2436A" w14:textId="77777777">
        <w:tc>
          <w:tcPr>
            <w:tcW w:w="1610" w:type="dxa"/>
          </w:tcPr>
          <w:p w14:paraId="0FD7DB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И4</w:t>
            </w:r>
          </w:p>
        </w:tc>
        <w:tc>
          <w:tcPr>
            <w:tcW w:w="1610" w:type="dxa"/>
          </w:tcPr>
          <w:p w14:paraId="66FFED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0/11</w:t>
            </w:r>
          </w:p>
        </w:tc>
        <w:tc>
          <w:tcPr>
            <w:tcW w:w="1610" w:type="dxa"/>
          </w:tcPr>
          <w:p w14:paraId="0346D1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w:t>
            </w:r>
          </w:p>
        </w:tc>
        <w:tc>
          <w:tcPr>
            <w:tcW w:w="1610" w:type="dxa"/>
          </w:tcPr>
          <w:p w14:paraId="4EE741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w:t>
            </w:r>
          </w:p>
        </w:tc>
      </w:tr>
      <w:tr w:rsidR="001002C3" w:rsidRPr="005E779E" w14:paraId="715AFF90" w14:textId="77777777">
        <w:tc>
          <w:tcPr>
            <w:tcW w:w="1610" w:type="dxa"/>
          </w:tcPr>
          <w:p w14:paraId="5570E9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w:t>
            </w:r>
          </w:p>
        </w:tc>
        <w:tc>
          <w:tcPr>
            <w:tcW w:w="1610" w:type="dxa"/>
          </w:tcPr>
          <w:p w14:paraId="67C4B6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199/51</w:t>
            </w:r>
          </w:p>
        </w:tc>
        <w:tc>
          <w:tcPr>
            <w:tcW w:w="1610" w:type="dxa"/>
          </w:tcPr>
          <w:p w14:paraId="00A4E1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53</w:t>
            </w:r>
          </w:p>
        </w:tc>
        <w:tc>
          <w:tcPr>
            <w:tcW w:w="1610" w:type="dxa"/>
          </w:tcPr>
          <w:p w14:paraId="506943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21,2</w:t>
            </w:r>
          </w:p>
        </w:tc>
      </w:tr>
      <w:tr w:rsidR="001002C3" w:rsidRPr="005E779E" w14:paraId="6B010ABC" w14:textId="77777777">
        <w:tc>
          <w:tcPr>
            <w:tcW w:w="1610" w:type="dxa"/>
          </w:tcPr>
          <w:p w14:paraId="4B0B38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Т-Ш</w:t>
            </w:r>
          </w:p>
        </w:tc>
        <w:tc>
          <w:tcPr>
            <w:tcW w:w="1610" w:type="dxa"/>
          </w:tcPr>
          <w:p w14:paraId="088E72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w:t>
            </w:r>
          </w:p>
        </w:tc>
        <w:tc>
          <w:tcPr>
            <w:tcW w:w="1610" w:type="dxa"/>
          </w:tcPr>
          <w:p w14:paraId="5BC89F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610" w:type="dxa"/>
          </w:tcPr>
          <w:p w14:paraId="3AA1C4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w:t>
            </w:r>
          </w:p>
        </w:tc>
      </w:tr>
      <w:tr w:rsidR="001002C3" w:rsidRPr="005E779E" w14:paraId="4A1FB46A" w14:textId="77777777">
        <w:tc>
          <w:tcPr>
            <w:tcW w:w="1610" w:type="dxa"/>
          </w:tcPr>
          <w:p w14:paraId="2205BB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И7</w:t>
            </w:r>
          </w:p>
        </w:tc>
        <w:tc>
          <w:tcPr>
            <w:tcW w:w="1610" w:type="dxa"/>
          </w:tcPr>
          <w:p w14:paraId="50FB76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w:t>
            </w:r>
          </w:p>
        </w:tc>
        <w:tc>
          <w:tcPr>
            <w:tcW w:w="1610" w:type="dxa"/>
          </w:tcPr>
          <w:p w14:paraId="5A0AD2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610" w:type="dxa"/>
          </w:tcPr>
          <w:p w14:paraId="6C45BA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w:t>
            </w:r>
          </w:p>
        </w:tc>
      </w:tr>
      <w:tr w:rsidR="001002C3" w:rsidRPr="005E779E" w14:paraId="490FC72C" w14:textId="77777777">
        <w:tc>
          <w:tcPr>
            <w:tcW w:w="1610" w:type="dxa"/>
          </w:tcPr>
          <w:p w14:paraId="3D591C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Р1</w:t>
            </w:r>
          </w:p>
        </w:tc>
        <w:tc>
          <w:tcPr>
            <w:tcW w:w="1610" w:type="dxa"/>
          </w:tcPr>
          <w:p w14:paraId="1EA54E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115/187</w:t>
            </w:r>
          </w:p>
        </w:tc>
        <w:tc>
          <w:tcPr>
            <w:tcW w:w="1610" w:type="dxa"/>
          </w:tcPr>
          <w:p w14:paraId="46CA25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266</w:t>
            </w:r>
          </w:p>
        </w:tc>
        <w:tc>
          <w:tcPr>
            <w:tcW w:w="1610" w:type="dxa"/>
          </w:tcPr>
          <w:p w14:paraId="540B1A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88</w:t>
            </w:r>
          </w:p>
        </w:tc>
      </w:tr>
      <w:tr w:rsidR="001002C3" w:rsidRPr="005E779E" w14:paraId="2B0BD94E" w14:textId="77777777">
        <w:tc>
          <w:tcPr>
            <w:tcW w:w="1610" w:type="dxa"/>
          </w:tcPr>
          <w:p w14:paraId="7D58AC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Р5</w:t>
            </w:r>
          </w:p>
        </w:tc>
        <w:tc>
          <w:tcPr>
            <w:tcW w:w="1610" w:type="dxa"/>
          </w:tcPr>
          <w:p w14:paraId="4DD578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615/60</w:t>
            </w:r>
          </w:p>
        </w:tc>
        <w:tc>
          <w:tcPr>
            <w:tcW w:w="1610" w:type="dxa"/>
          </w:tcPr>
          <w:p w14:paraId="118C2B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301</w:t>
            </w:r>
          </w:p>
        </w:tc>
        <w:tc>
          <w:tcPr>
            <w:tcW w:w="1610" w:type="dxa"/>
          </w:tcPr>
          <w:p w14:paraId="497866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44,6</w:t>
            </w:r>
          </w:p>
        </w:tc>
      </w:tr>
      <w:tr w:rsidR="001002C3" w:rsidRPr="005E779E" w14:paraId="20EA05B5" w14:textId="77777777">
        <w:tc>
          <w:tcPr>
            <w:tcW w:w="1610" w:type="dxa"/>
          </w:tcPr>
          <w:p w14:paraId="009C46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Р6</w:t>
            </w:r>
          </w:p>
        </w:tc>
        <w:tc>
          <w:tcPr>
            <w:tcW w:w="1610" w:type="dxa"/>
          </w:tcPr>
          <w:p w14:paraId="063EDE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w:t>
            </w:r>
          </w:p>
        </w:tc>
        <w:tc>
          <w:tcPr>
            <w:tcW w:w="1610" w:type="dxa"/>
          </w:tcPr>
          <w:p w14:paraId="34DAC2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w:t>
            </w:r>
          </w:p>
        </w:tc>
        <w:tc>
          <w:tcPr>
            <w:tcW w:w="1610" w:type="dxa"/>
          </w:tcPr>
          <w:p w14:paraId="4768F7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33</w:t>
            </w:r>
          </w:p>
        </w:tc>
      </w:tr>
      <w:tr w:rsidR="001002C3" w:rsidRPr="005E779E" w14:paraId="501DDECE" w14:textId="77777777">
        <w:tc>
          <w:tcPr>
            <w:tcW w:w="1610" w:type="dxa"/>
          </w:tcPr>
          <w:p w14:paraId="4CE9A3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С-62</w:t>
            </w:r>
          </w:p>
        </w:tc>
        <w:tc>
          <w:tcPr>
            <w:tcW w:w="1610" w:type="dxa"/>
          </w:tcPr>
          <w:p w14:paraId="3A2E9E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w:t>
            </w:r>
          </w:p>
        </w:tc>
        <w:tc>
          <w:tcPr>
            <w:tcW w:w="1610" w:type="dxa"/>
          </w:tcPr>
          <w:p w14:paraId="298481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610" w:type="dxa"/>
          </w:tcPr>
          <w:p w14:paraId="5B6516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w:t>
            </w:r>
          </w:p>
        </w:tc>
      </w:tr>
      <w:tr w:rsidR="001002C3" w:rsidRPr="005E779E" w14:paraId="490DC441" w14:textId="77777777">
        <w:tc>
          <w:tcPr>
            <w:tcW w:w="1610" w:type="dxa"/>
          </w:tcPr>
          <w:p w14:paraId="24F973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ТБ-1</w:t>
            </w:r>
          </w:p>
        </w:tc>
        <w:tc>
          <w:tcPr>
            <w:tcW w:w="1610" w:type="dxa"/>
          </w:tcPr>
          <w:p w14:paraId="10D6C0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120/26</w:t>
            </w:r>
          </w:p>
        </w:tc>
        <w:tc>
          <w:tcPr>
            <w:tcW w:w="1610" w:type="dxa"/>
          </w:tcPr>
          <w:p w14:paraId="199C6D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146</w:t>
            </w:r>
          </w:p>
        </w:tc>
        <w:tc>
          <w:tcPr>
            <w:tcW w:w="1610" w:type="dxa"/>
          </w:tcPr>
          <w:p w14:paraId="2111F5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w:t>
            </w:r>
          </w:p>
        </w:tc>
      </w:tr>
      <w:tr w:rsidR="001002C3" w:rsidRPr="005E779E" w14:paraId="1CAEEC57" w14:textId="77777777">
        <w:tc>
          <w:tcPr>
            <w:tcW w:w="1610" w:type="dxa"/>
          </w:tcPr>
          <w:p w14:paraId="302ED4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ТБ-3</w:t>
            </w:r>
          </w:p>
        </w:tc>
        <w:tc>
          <w:tcPr>
            <w:tcW w:w="1610" w:type="dxa"/>
          </w:tcPr>
          <w:p w14:paraId="0FAD02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tc>
        <w:tc>
          <w:tcPr>
            <w:tcW w:w="1610" w:type="dxa"/>
          </w:tcPr>
          <w:p w14:paraId="7B4177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610" w:type="dxa"/>
          </w:tcPr>
          <w:p w14:paraId="19819E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w:t>
            </w:r>
          </w:p>
        </w:tc>
      </w:tr>
      <w:tr w:rsidR="001002C3" w:rsidRPr="005E779E" w14:paraId="2777A97E" w14:textId="77777777">
        <w:tc>
          <w:tcPr>
            <w:tcW w:w="1610" w:type="dxa"/>
          </w:tcPr>
          <w:p w14:paraId="7DAD90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У-1</w:t>
            </w:r>
          </w:p>
        </w:tc>
        <w:tc>
          <w:tcPr>
            <w:tcW w:w="1610" w:type="dxa"/>
          </w:tcPr>
          <w:p w14:paraId="0688E4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45/8</w:t>
            </w:r>
          </w:p>
        </w:tc>
        <w:tc>
          <w:tcPr>
            <w:tcW w:w="1610" w:type="dxa"/>
          </w:tcPr>
          <w:p w14:paraId="4CA2C3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53</w:t>
            </w:r>
          </w:p>
        </w:tc>
        <w:tc>
          <w:tcPr>
            <w:tcW w:w="1610" w:type="dxa"/>
          </w:tcPr>
          <w:p w14:paraId="1B304F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w:t>
            </w:r>
          </w:p>
        </w:tc>
      </w:tr>
      <w:tr w:rsidR="001002C3" w:rsidRPr="005E779E" w14:paraId="177300B5" w14:textId="77777777">
        <w:tc>
          <w:tcPr>
            <w:tcW w:w="1610" w:type="dxa"/>
          </w:tcPr>
          <w:p w14:paraId="34AE11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У-2</w:t>
            </w:r>
          </w:p>
        </w:tc>
        <w:tc>
          <w:tcPr>
            <w:tcW w:w="1610" w:type="dxa"/>
          </w:tcPr>
          <w:p w14:paraId="14E432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364/1</w:t>
            </w:r>
          </w:p>
        </w:tc>
        <w:tc>
          <w:tcPr>
            <w:tcW w:w="1610" w:type="dxa"/>
          </w:tcPr>
          <w:p w14:paraId="1179ED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w:t>
            </w:r>
          </w:p>
        </w:tc>
        <w:tc>
          <w:tcPr>
            <w:tcW w:w="1610" w:type="dxa"/>
          </w:tcPr>
          <w:p w14:paraId="0D8A8D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41,1</w:t>
            </w:r>
          </w:p>
        </w:tc>
      </w:tr>
      <w:tr w:rsidR="001002C3" w:rsidRPr="005E779E" w14:paraId="746CEDED" w14:textId="77777777">
        <w:tc>
          <w:tcPr>
            <w:tcW w:w="1610" w:type="dxa"/>
          </w:tcPr>
          <w:p w14:paraId="31EEEA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АНТ-9</w:t>
            </w:r>
          </w:p>
        </w:tc>
        <w:tc>
          <w:tcPr>
            <w:tcW w:w="1610" w:type="dxa"/>
          </w:tcPr>
          <w:p w14:paraId="3599E8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4/4</w:t>
            </w:r>
          </w:p>
        </w:tc>
        <w:tc>
          <w:tcPr>
            <w:tcW w:w="1610" w:type="dxa"/>
          </w:tcPr>
          <w:p w14:paraId="6C7A87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w:t>
            </w:r>
          </w:p>
        </w:tc>
        <w:tc>
          <w:tcPr>
            <w:tcW w:w="1610" w:type="dxa"/>
          </w:tcPr>
          <w:p w14:paraId="33B651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75</w:t>
            </w:r>
          </w:p>
        </w:tc>
      </w:tr>
      <w:tr w:rsidR="001002C3" w:rsidRPr="005E779E" w14:paraId="740F1040" w14:textId="77777777">
        <w:tc>
          <w:tcPr>
            <w:tcW w:w="1610" w:type="dxa"/>
          </w:tcPr>
          <w:p w14:paraId="11F08F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К-5</w:t>
            </w:r>
          </w:p>
        </w:tc>
        <w:tc>
          <w:tcPr>
            <w:tcW w:w="1610" w:type="dxa"/>
          </w:tcPr>
          <w:p w14:paraId="54C71C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4/2</w:t>
            </w:r>
          </w:p>
        </w:tc>
        <w:tc>
          <w:tcPr>
            <w:tcW w:w="1610" w:type="dxa"/>
          </w:tcPr>
          <w:p w14:paraId="7591C8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tc>
        <w:tc>
          <w:tcPr>
            <w:tcW w:w="1610" w:type="dxa"/>
          </w:tcPr>
          <w:p w14:paraId="74D395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w:t>
            </w:r>
          </w:p>
        </w:tc>
      </w:tr>
      <w:tr w:rsidR="001002C3" w:rsidRPr="005E779E" w14:paraId="59702B61" w14:textId="77777777">
        <w:tc>
          <w:tcPr>
            <w:tcW w:w="1610" w:type="dxa"/>
          </w:tcPr>
          <w:p w14:paraId="00EF61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 самолетов</w:t>
            </w:r>
          </w:p>
        </w:tc>
        <w:tc>
          <w:tcPr>
            <w:tcW w:w="1610" w:type="dxa"/>
          </w:tcPr>
          <w:p w14:paraId="7A8BE8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2024</w:t>
            </w:r>
          </w:p>
        </w:tc>
        <w:tc>
          <w:tcPr>
            <w:tcW w:w="1610" w:type="dxa"/>
          </w:tcPr>
          <w:p w14:paraId="6461AE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128027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ABC1AB8" w14:textId="77777777">
        <w:tc>
          <w:tcPr>
            <w:tcW w:w="1610" w:type="dxa"/>
          </w:tcPr>
          <w:p w14:paraId="3F3D1E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Моторы:</w:t>
            </w:r>
          </w:p>
        </w:tc>
        <w:tc>
          <w:tcPr>
            <w:tcW w:w="1610" w:type="dxa"/>
          </w:tcPr>
          <w:p w14:paraId="26D559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61CEC8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54F233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BB2EF00" w14:textId="77777777">
        <w:tc>
          <w:tcPr>
            <w:tcW w:w="1610" w:type="dxa"/>
          </w:tcPr>
          <w:p w14:paraId="4D59ED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М-15</w:t>
            </w:r>
          </w:p>
        </w:tc>
        <w:tc>
          <w:tcPr>
            <w:tcW w:w="1610" w:type="dxa"/>
          </w:tcPr>
          <w:p w14:paraId="0DFCB7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100/30</w:t>
            </w:r>
          </w:p>
        </w:tc>
        <w:tc>
          <w:tcPr>
            <w:tcW w:w="1610" w:type="dxa"/>
          </w:tcPr>
          <w:p w14:paraId="3318E7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1610" w:type="dxa"/>
          </w:tcPr>
          <w:p w14:paraId="5D76A5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0,8</w:t>
            </w:r>
          </w:p>
        </w:tc>
      </w:tr>
      <w:tr w:rsidR="001002C3" w:rsidRPr="005E779E" w14:paraId="3AD8EABB" w14:textId="77777777">
        <w:tc>
          <w:tcPr>
            <w:tcW w:w="1610" w:type="dxa"/>
          </w:tcPr>
          <w:p w14:paraId="0A87A3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М-17</w:t>
            </w:r>
          </w:p>
        </w:tc>
        <w:tc>
          <w:tcPr>
            <w:tcW w:w="1610" w:type="dxa"/>
          </w:tcPr>
          <w:p w14:paraId="109456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706/189</w:t>
            </w:r>
          </w:p>
        </w:tc>
        <w:tc>
          <w:tcPr>
            <w:tcW w:w="1610" w:type="dxa"/>
          </w:tcPr>
          <w:p w14:paraId="25B6DE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667</w:t>
            </w:r>
          </w:p>
        </w:tc>
        <w:tc>
          <w:tcPr>
            <w:tcW w:w="1610" w:type="dxa"/>
          </w:tcPr>
          <w:p w14:paraId="73811A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74,5</w:t>
            </w:r>
          </w:p>
        </w:tc>
      </w:tr>
      <w:tr w:rsidR="001002C3" w:rsidRPr="005E779E" w14:paraId="2EEF7512" w14:textId="77777777">
        <w:tc>
          <w:tcPr>
            <w:tcW w:w="1610" w:type="dxa"/>
          </w:tcPr>
          <w:p w14:paraId="2EB1ED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М-19</w:t>
            </w:r>
          </w:p>
        </w:tc>
        <w:tc>
          <w:tcPr>
            <w:tcW w:w="1610" w:type="dxa"/>
          </w:tcPr>
          <w:p w14:paraId="7B00E5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w:t>
            </w:r>
          </w:p>
        </w:tc>
        <w:tc>
          <w:tcPr>
            <w:tcW w:w="1610" w:type="dxa"/>
          </w:tcPr>
          <w:p w14:paraId="6C7701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610" w:type="dxa"/>
          </w:tcPr>
          <w:p w14:paraId="2C8615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w:t>
            </w:r>
          </w:p>
        </w:tc>
      </w:tr>
      <w:tr w:rsidR="001002C3" w:rsidRPr="005E779E" w14:paraId="2B9B8A6F" w14:textId="77777777">
        <w:tc>
          <w:tcPr>
            <w:tcW w:w="1610" w:type="dxa"/>
          </w:tcPr>
          <w:p w14:paraId="336B01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М-27</w:t>
            </w:r>
          </w:p>
        </w:tc>
        <w:tc>
          <w:tcPr>
            <w:tcW w:w="1610" w:type="dxa"/>
          </w:tcPr>
          <w:p w14:paraId="2B3547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w:t>
            </w:r>
          </w:p>
        </w:tc>
        <w:tc>
          <w:tcPr>
            <w:tcW w:w="1610" w:type="dxa"/>
          </w:tcPr>
          <w:p w14:paraId="360C61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610" w:type="dxa"/>
          </w:tcPr>
          <w:p w14:paraId="140F57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w:t>
            </w:r>
          </w:p>
        </w:tc>
      </w:tr>
      <w:tr w:rsidR="001002C3" w:rsidRPr="005E779E" w14:paraId="1FE34074" w14:textId="77777777">
        <w:tc>
          <w:tcPr>
            <w:tcW w:w="1610" w:type="dxa"/>
          </w:tcPr>
          <w:p w14:paraId="091A97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М-22</w:t>
            </w:r>
          </w:p>
        </w:tc>
        <w:tc>
          <w:tcPr>
            <w:tcW w:w="1610" w:type="dxa"/>
          </w:tcPr>
          <w:p w14:paraId="5C244F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255/25</w:t>
            </w:r>
          </w:p>
        </w:tc>
        <w:tc>
          <w:tcPr>
            <w:tcW w:w="1610" w:type="dxa"/>
          </w:tcPr>
          <w:p w14:paraId="77FADC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68</w:t>
            </w:r>
          </w:p>
        </w:tc>
        <w:tc>
          <w:tcPr>
            <w:tcW w:w="1610" w:type="dxa"/>
          </w:tcPr>
          <w:p w14:paraId="6DDBAF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20,7</w:t>
            </w:r>
          </w:p>
        </w:tc>
      </w:tr>
      <w:tr w:rsidR="001002C3" w:rsidRPr="005E779E" w14:paraId="7C9C7B53" w14:textId="77777777">
        <w:tc>
          <w:tcPr>
            <w:tcW w:w="1610" w:type="dxa"/>
          </w:tcPr>
          <w:p w14:paraId="6C2C68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М-26</w:t>
            </w:r>
          </w:p>
        </w:tc>
        <w:tc>
          <w:tcPr>
            <w:tcW w:w="1610" w:type="dxa"/>
          </w:tcPr>
          <w:p w14:paraId="7EB1BF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w:t>
            </w:r>
          </w:p>
        </w:tc>
        <w:tc>
          <w:tcPr>
            <w:tcW w:w="1610" w:type="dxa"/>
          </w:tcPr>
          <w:p w14:paraId="040BA8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610" w:type="dxa"/>
          </w:tcPr>
          <w:p w14:paraId="4E4D0A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w:t>
            </w:r>
          </w:p>
        </w:tc>
      </w:tr>
      <w:tr w:rsidR="001002C3" w:rsidRPr="005E779E" w14:paraId="45C1A4E8" w14:textId="77777777">
        <w:tc>
          <w:tcPr>
            <w:tcW w:w="1610" w:type="dxa"/>
          </w:tcPr>
          <w:p w14:paraId="1A3427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М-11</w:t>
            </w:r>
          </w:p>
        </w:tc>
        <w:tc>
          <w:tcPr>
            <w:tcW w:w="1610" w:type="dxa"/>
          </w:tcPr>
          <w:p w14:paraId="5DC8EA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524/66</w:t>
            </w:r>
          </w:p>
        </w:tc>
        <w:tc>
          <w:tcPr>
            <w:tcW w:w="1610" w:type="dxa"/>
          </w:tcPr>
          <w:p w14:paraId="7FDD6B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326</w:t>
            </w:r>
          </w:p>
        </w:tc>
        <w:tc>
          <w:tcPr>
            <w:tcW w:w="1610" w:type="dxa"/>
          </w:tcPr>
          <w:p w14:paraId="6C604E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55,3</w:t>
            </w:r>
          </w:p>
        </w:tc>
      </w:tr>
      <w:tr w:rsidR="001002C3" w:rsidRPr="005E779E" w14:paraId="3D5024AD" w14:textId="77777777">
        <w:tc>
          <w:tcPr>
            <w:tcW w:w="1610" w:type="dxa"/>
          </w:tcPr>
          <w:p w14:paraId="30E030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Юпитер-VII</w:t>
            </w:r>
          </w:p>
        </w:tc>
        <w:tc>
          <w:tcPr>
            <w:tcW w:w="1610" w:type="dxa"/>
          </w:tcPr>
          <w:p w14:paraId="239F24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w:t>
            </w:r>
          </w:p>
        </w:tc>
        <w:tc>
          <w:tcPr>
            <w:tcW w:w="1610" w:type="dxa"/>
          </w:tcPr>
          <w:p w14:paraId="2B4A35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610" w:type="dxa"/>
          </w:tcPr>
          <w:p w14:paraId="58EAA8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w:t>
            </w:r>
          </w:p>
        </w:tc>
      </w:tr>
      <w:tr w:rsidR="001002C3" w:rsidRPr="005E779E" w14:paraId="62E3D880" w14:textId="77777777">
        <w:tc>
          <w:tcPr>
            <w:tcW w:w="1610" w:type="dxa"/>
          </w:tcPr>
          <w:p w14:paraId="469BCE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М-34</w:t>
            </w:r>
          </w:p>
        </w:tc>
        <w:tc>
          <w:tcPr>
            <w:tcW w:w="1610" w:type="dxa"/>
          </w:tcPr>
          <w:p w14:paraId="624718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w:t>
            </w:r>
          </w:p>
        </w:tc>
        <w:tc>
          <w:tcPr>
            <w:tcW w:w="1610" w:type="dxa"/>
          </w:tcPr>
          <w:p w14:paraId="5C94F1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610" w:type="dxa"/>
          </w:tcPr>
          <w:p w14:paraId="58F24F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w:t>
            </w:r>
          </w:p>
        </w:tc>
      </w:tr>
      <w:tr w:rsidR="00365C94" w:rsidRPr="005E779E" w14:paraId="2EF5D22C" w14:textId="77777777">
        <w:tc>
          <w:tcPr>
            <w:tcW w:w="1610" w:type="dxa"/>
          </w:tcPr>
          <w:p w14:paraId="59F58A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 моторов</w:t>
            </w:r>
          </w:p>
        </w:tc>
        <w:tc>
          <w:tcPr>
            <w:tcW w:w="1610" w:type="dxa"/>
          </w:tcPr>
          <w:p w14:paraId="3BCA89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641AF9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79E3B0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bl>
    <w:p w14:paraId="278CAF16"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A140D42"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 сентября 1931 г. начальник ВВС Алкснис письмом №315/00266 председателю Реввоенсовета доложил, что цитата «…Финансово-плановой комиссией РВС план заказов ВВС на 1931 г. был определен в размере 2541 самолет и 3025 моторов. В связи с прорывом в выполнении программ заводами ВАО, Комиссией обороны на заседании от 25 июля эти цифры были, по ходатайству ВАО, уменьшены до 2024 самолетов и 2089 моторов. Выполнение даже этого сокращенного плана заказов Авиазаводами к 1 сентября 1931 года происходит совершенно неудовлетворительно и выражается в среднем около 30% по самолетам и 20% по моторам от годовой программы... Весь годовой план будет выполнен в среднем всего лишь на 50%». Далее он указал на задержки с выполнением плана работ по всем серийным самолетам, и на то, что из заказанных на 1931 г. 60 самолетов И-7 ни один в строевую часть не поставлен. При этом указано, что ВВС РККА остаются вооружены устаревшей техникой, а среди самолетов-истребителей к таковой в докладе Алксниса были отнесены и сравнительно новые машины остававшиеся в этом году в серийном производстве – И-3 Поликарпова и И-4 Туполева (24331).</w:t>
      </w:r>
    </w:p>
    <w:p w14:paraId="5E4D5758" w14:textId="77777777" w:rsidR="007F1987" w:rsidRPr="005E779E" w:rsidRDefault="007F1987" w:rsidP="000B7A6C">
      <w:pPr>
        <w:spacing w:after="0" w:line="240" w:lineRule="auto"/>
        <w:jc w:val="both"/>
        <w:rPr>
          <w:rFonts w:ascii="Times New Roman" w:hAnsi="Times New Roman"/>
          <w:color w:val="000000" w:themeColor="text1"/>
          <w:sz w:val="16"/>
          <w:szCs w:val="16"/>
        </w:rPr>
      </w:pPr>
    </w:p>
    <w:p w14:paraId="3E5428F7" w14:textId="77777777" w:rsidR="002B7F13" w:rsidRPr="00142305" w:rsidRDefault="002B7F13" w:rsidP="002B7F1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22 сентября 1931 г. 16 немецких гостей столицы, среди которых кроме представителей «Вифупаль», были Нидермайер, начальник штаба германской авиации Фельми и его секретарь Шпанге, прибыли в ЦАГИ. Визит отчасти разочаро</w:t>
      </w:r>
      <w:r w:rsidRPr="00142305">
        <w:rPr>
          <w:rFonts w:ascii="Times New Roman" w:hAnsi="Times New Roman"/>
          <w:color w:val="0070C0"/>
          <w:sz w:val="16"/>
          <w:szCs w:val="16"/>
        </w:rPr>
        <w:softHyphen/>
        <w:t>вал иностранцев, т. к. никакой военной техники им не показали, за</w:t>
      </w:r>
      <w:r w:rsidRPr="00142305">
        <w:rPr>
          <w:rFonts w:ascii="Times New Roman" w:hAnsi="Times New Roman"/>
          <w:color w:val="0070C0"/>
          <w:sz w:val="16"/>
          <w:szCs w:val="16"/>
        </w:rPr>
        <w:softHyphen/>
        <w:t>явив, что в данное время в ЦАГИ заняты исключительно построй</w:t>
      </w:r>
      <w:r w:rsidRPr="00142305">
        <w:rPr>
          <w:rFonts w:ascii="Times New Roman" w:hAnsi="Times New Roman"/>
          <w:color w:val="0070C0"/>
          <w:sz w:val="16"/>
          <w:szCs w:val="16"/>
        </w:rPr>
        <w:softHyphen/>
        <w:t>кой гражданских самолетов. Не обошлось без казуса: один из наших сотрудников случайно упомянул о работах по тяжелому бомбардировщику ТБ-4 и пришлось убеждать гостей, что создание такого самолета не планируется.</w:t>
      </w:r>
    </w:p>
    <w:p w14:paraId="3DB45503" w14:textId="77777777" w:rsidR="002B7F13" w:rsidRPr="00142305" w:rsidRDefault="002B7F13" w:rsidP="002B7F1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На следующий день немцев отвезли на аэродром НИИ ВВС. Им дали полетать на бомбардировщике ТБ-1 (немецкого летчика фон Массебаха даже посадили в кресло второго пилота), а началь</w:t>
      </w:r>
      <w:r w:rsidRPr="00142305">
        <w:rPr>
          <w:rFonts w:ascii="Times New Roman" w:hAnsi="Times New Roman"/>
          <w:color w:val="0070C0"/>
          <w:sz w:val="16"/>
          <w:szCs w:val="16"/>
        </w:rPr>
        <w:softHyphen/>
        <w:t>ник липецких мастерских летчик Бадер совершил полет на истре</w:t>
      </w:r>
      <w:r w:rsidRPr="00142305">
        <w:rPr>
          <w:rFonts w:ascii="Times New Roman" w:hAnsi="Times New Roman"/>
          <w:color w:val="0070C0"/>
          <w:sz w:val="16"/>
          <w:szCs w:val="16"/>
        </w:rPr>
        <w:softHyphen/>
        <w:t>бителе И-4. Планировался также полет немецкого летчика на но</w:t>
      </w:r>
      <w:r w:rsidRPr="00142305">
        <w:rPr>
          <w:rFonts w:ascii="Times New Roman" w:hAnsi="Times New Roman"/>
          <w:color w:val="0070C0"/>
          <w:sz w:val="16"/>
          <w:szCs w:val="16"/>
        </w:rPr>
        <w:softHyphen/>
        <w:t>вом истребителе И-5, но при пробном вылете советский пилот Попов случайно (?) сломал хвостовой костыль, и на это все закончи</w:t>
      </w:r>
      <w:r w:rsidRPr="00142305">
        <w:rPr>
          <w:rFonts w:ascii="Times New Roman" w:hAnsi="Times New Roman"/>
          <w:color w:val="0070C0"/>
          <w:sz w:val="16"/>
          <w:szCs w:val="16"/>
        </w:rPr>
        <w:softHyphen/>
        <w:t>лось (25025).</w:t>
      </w:r>
    </w:p>
    <w:p w14:paraId="4A2E204B" w14:textId="77777777" w:rsidR="002B7F13" w:rsidRPr="00142305" w:rsidRDefault="002B7F13" w:rsidP="002B7F13">
      <w:pPr>
        <w:spacing w:after="0" w:line="240" w:lineRule="auto"/>
        <w:jc w:val="both"/>
        <w:rPr>
          <w:rFonts w:ascii="Times New Roman" w:hAnsi="Times New Roman"/>
          <w:color w:val="0070C0"/>
          <w:sz w:val="16"/>
          <w:szCs w:val="16"/>
        </w:rPr>
      </w:pPr>
    </w:p>
    <w:p w14:paraId="5B25B54F"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50A97B21"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0E57C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 сентября 1931 г. за № П63/14с была подготовлена</w:t>
      </w:r>
    </w:p>
    <w:p w14:paraId="4EDC86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Выписка из протокола № 63 заседания Политбюро ЦК от 20.1Х 1931 г. </w:t>
      </w:r>
    </w:p>
    <w:p w14:paraId="7D165D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 конструкторских бюро </w:t>
      </w:r>
    </w:p>
    <w:p w14:paraId="5E0435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(ПБ от 30. V111. 31 г. пр.№ 59, п.3/12 ). </w:t>
      </w:r>
    </w:p>
    <w:p w14:paraId="6288DD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(т.т. Орджоникидзе, Акулов) </w:t>
      </w:r>
    </w:p>
    <w:p w14:paraId="37B432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СТРОГО СЕКРЕТНО</w:t>
      </w:r>
    </w:p>
    <w:p w14:paraId="16FCF3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Принять согласованное предложение т.т. Акулова. и Орджоникидзе об освобождении некоторой части инженеров для работы в ВСНХ по списку, согласованному между т.т. Акуловым и Орджоникидзе.</w:t>
      </w:r>
    </w:p>
    <w:p w14:paraId="0120D2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СЕКРЕТАРЬ ЦК </w:t>
      </w:r>
    </w:p>
    <w:p w14:paraId="6339C9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АП РФ Ф.3., Оп.58., Д.142., л. 22 (11462).</w:t>
      </w:r>
    </w:p>
    <w:p w14:paraId="3AEB9E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C1E4E86"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31B75228"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0D79C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сентября 1931 закончились испытания самолета И4 N 1514 ЮVI -480 л.с. моноплан, которые проходили с 6 сентября 1931.</w:t>
      </w:r>
    </w:p>
    <w:p w14:paraId="4A9CB2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Цель работы</w:t>
      </w:r>
    </w:p>
    <w:p w14:paraId="786FE8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Определение летно-технических данных самолета И4 моноплана и влияние на летные данные разрезного крыла и особого вида капота.</w:t>
      </w:r>
    </w:p>
    <w:p w14:paraId="784A2F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Количество полетов - 40</w:t>
      </w:r>
    </w:p>
    <w:p w14:paraId="511278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Налетано часов - 20 час. 14 мин.</w:t>
      </w:r>
    </w:p>
    <w:p w14:paraId="4CAA68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w:t>
      </w:r>
    </w:p>
    <w:p w14:paraId="40673B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Ввиду уменьшения прочности самолета И4-ЮVI моноплана и незначительному улучшению его летных данных, считать переделку построенных самолетов И4-ЮVI под монопланы нерациональной (3262).</w:t>
      </w:r>
    </w:p>
    <w:p w14:paraId="53542A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EEF04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(c 1 по 29 - 346,22) сентября 1931 в НИИ ВВС закончились испытания моноплана типа парасоль, переделанного КБ А.Н.Т. из серийного И-4 N 1514, которые проходили с 11 сентября. Улучшения ЛТХ было незначительным ( 1017,162).</w:t>
      </w:r>
    </w:p>
    <w:p w14:paraId="129B15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другим данным это было с 11 по 23 сентября.</w:t>
      </w:r>
    </w:p>
    <w:p w14:paraId="6287B5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B4C3B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сентября 1931 на заседании у начальника ВАО был утвержден план опытного самолетостроения ОКБ на 1931-1934 (351).</w:t>
      </w:r>
    </w:p>
    <w:p w14:paraId="068D21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ПРОТОКОЛ № 54</w:t>
      </w:r>
    </w:p>
    <w:p w14:paraId="6F5165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Заседания у Нач. ВАО от 23 сентября 1931</w:t>
      </w:r>
    </w:p>
    <w:p w14:paraId="20A72B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Присутствовали: Баранов, Побережский, Иванов, Червяков, Соловьев, Петрожицкий, Адамс, Чекалин, Молчанов, Зильберквит, Горшков, Инихов</w:t>
      </w:r>
    </w:p>
    <w:p w14:paraId="483EF3FA" w14:textId="21DFE281"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Пауфлер, Рафальянс, Петляков, Инюшин, Погосский, Кочерыгин, Четвериков, Рапп, Тисов,</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Пчелицин, Скржинский, Щербаков, Михайлов, Надашкечи, Калганов</w:t>
      </w:r>
    </w:p>
    <w:p w14:paraId="32228E4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Слушали: План опытного самолетостроения</w:t>
      </w:r>
    </w:p>
    <w:p w14:paraId="72B9B03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Постановили:</w:t>
      </w:r>
    </w:p>
    <w:p w14:paraId="58AAB13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План опытного самолетостроения по истребительной авиации, доложенный т. Пауфлер - принять.</w:t>
      </w:r>
    </w:p>
    <w:p w14:paraId="275E108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Включить в план 32 г. изготовление И-8 под мотор Кертис Конкверрор с наддувом.</w:t>
      </w:r>
    </w:p>
    <w:p w14:paraId="5EADF58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Для серийного производства 33 г. Конструкторское Бюро в 1-м полугодви 32 г. обрабатывает и испытывает самолеты И- 8 и И-5 с моторами М15, М22 и РЦ</w:t>
      </w:r>
    </w:p>
    <w:p w14:paraId="52B1CD2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Из общего колхсчества истребителей в 32 г. .по получению резулътагов испытаний отобрать один тип для внедрения его в серийное производство 32 г.</w:t>
      </w:r>
    </w:p>
    <w:p w14:paraId="0A18547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Самолеты И-9, И-10, И-11 входят в серийное производство 34 г. с расчетом их обработки и испытания не позднее 1-й половины 33 г.</w:t>
      </w:r>
    </w:p>
    <w:p w14:paraId="626C55E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Специальные машины (линейные истребители) по срокам и типам утвердить как опытные машины.</w:t>
      </w:r>
    </w:p>
    <w:p w14:paraId="712788F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Производство их до постройки специального з-да сосродоточить на з-де 39 и ЦАГИ.</w:t>
      </w:r>
    </w:p>
    <w:p w14:paraId="14BEE2C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Производство 2-х местных истребителей сосредоточить на Харьковском з-де и нормальный истребителей на з-де № 21.</w:t>
      </w:r>
    </w:p>
    <w:p w14:paraId="7A0E747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В отношении плана опытного строительст</w:t>
      </w:r>
      <w:r w:rsidRPr="005E779E">
        <w:rPr>
          <w:rFonts w:ascii="Times New Roman" w:hAnsi="Times New Roman"/>
          <w:color w:val="000000" w:themeColor="text1"/>
          <w:sz w:val="16"/>
          <w:szCs w:val="16"/>
        </w:rPr>
        <w:softHyphen/>
        <w:t>ва по разведывательной авиации принять следующее:</w:t>
      </w:r>
    </w:p>
    <w:p w14:paraId="1796A4F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Срок выпуска Р-5 с М- 34 установить 1 Апреля 32 г. с тем, чтобы 32 году машина вошла всерийное производство.</w:t>
      </w:r>
    </w:p>
    <w:p w14:paraId="09445AC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Р-5 с разрезными крыльями считать экспериментальной машиной.</w:t>
      </w:r>
    </w:p>
    <w:p w14:paraId="1E5A2D4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Р-5 с М-27 из плана исключть</w:t>
      </w:r>
    </w:p>
    <w:p w14:paraId="0486BE4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Р-8 с М-27 из плана исключть</w:t>
      </w:r>
    </w:p>
    <w:p w14:paraId="403D7A7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Срок выпуска Р-8 с М-34 и Кертис Конкверрор установить 1/Ш-33 г.</w:t>
      </w:r>
    </w:p>
    <w:p w14:paraId="118FD93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Р-11 с М-27 из плана исключть</w:t>
      </w:r>
    </w:p>
    <w:p w14:paraId="568CA60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Постройку Р-11 производить под мотор М-34 и Кертисс Конкверрер. Срок выпуска 1/Ш-33 г.</w:t>
      </w:r>
    </w:p>
    <w:p w14:paraId="6CC9A02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Срок выпуска Р-Р-11 на поплавках 1/Ш-33 г.</w:t>
      </w:r>
    </w:p>
    <w:p w14:paraId="0E12A51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Р-11 с М-27 из плана исключть</w:t>
      </w:r>
    </w:p>
    <w:p w14:paraId="7C53DC1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Р-12 проектировать под М-34 и Кертисс Конкверрер. Срок выпуска 1/Ш-33 г.</w:t>
      </w:r>
    </w:p>
    <w:p w14:paraId="382F207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Р-10 с Р-35 в плане оставить со сроком выпуска 1/1Х-33 г.</w:t>
      </w:r>
    </w:p>
    <w:p w14:paraId="02FC70F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Срок выпуска Р-6 с М-34 в 1-й половине 32 г. с рачетом пуска в серийное производство в 33 г.</w:t>
      </w:r>
    </w:p>
    <w:p w14:paraId="2987368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Остальные типы МИ3 и СК, указанные в плане, принять.</w:t>
      </w:r>
    </w:p>
    <w:p w14:paraId="4343E81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Поставить в план ТШ2 с М-34. Срок выпуска 1/У1-32 г.</w:t>
      </w:r>
    </w:p>
    <w:p w14:paraId="1F2B54F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ТШ3 с М34 в плане оставить</w:t>
      </w:r>
    </w:p>
    <w:p w14:paraId="5C6700F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 Легкий штурмовик в плане оставить</w:t>
      </w:r>
    </w:p>
    <w:p w14:paraId="769DB66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Включить в план ТБ3 с М-34 и Кертис Конкверрер и произвести полный монтаж воооружения. Срок выпуска - начало 33 года.</w:t>
      </w:r>
    </w:p>
    <w:p w14:paraId="1B6BC57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Срок производства постановки 4х М17 на ТБ-5 остановить 1/1-32 г.</w:t>
      </w:r>
    </w:p>
    <w:p w14:paraId="10825E1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Производство ТБЗ сосредоточить на 22 з-де и на з-де № 18</w:t>
      </w:r>
    </w:p>
    <w:p w14:paraId="74604A4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Срок выпуска ТБ4 с М34 - 1/УП-32 г.</w:t>
      </w:r>
    </w:p>
    <w:p w14:paraId="2D0D9E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Форсировать изготовление ТВ6 с расчетом выпуска в конце 32 года.</w:t>
      </w:r>
    </w:p>
    <w:p w14:paraId="7E90A87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Поручить т. Щербакову договориться с УВВС о получении моторов ИЗОТА ФРАСКИНИ для выпуска К-7.</w:t>
      </w:r>
    </w:p>
    <w:p w14:paraId="0E9C6A6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План морского самолетостроения утвердить</w:t>
      </w:r>
    </w:p>
    <w:p w14:paraId="21A9A9B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Вопрос о постановке моторов на МДРЗ оставить открытым и разрешить его одновременно с разрешениеи вопроса о постановке моторов на ТБ5. Предложить ЦАГИ выработать несколько типов авиэток и включить в план опыт</w:t>
      </w:r>
      <w:r w:rsidRPr="005E779E">
        <w:rPr>
          <w:rFonts w:ascii="Times New Roman" w:hAnsi="Times New Roman"/>
          <w:color w:val="000000" w:themeColor="text1"/>
          <w:sz w:val="16"/>
          <w:szCs w:val="16"/>
        </w:rPr>
        <w:softHyphen/>
        <w:t>ного строительства.</w:t>
      </w:r>
    </w:p>
    <w:p w14:paraId="04E1685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Поручить т. Пауфлер совместно с УВВС откорректировать план опытного самолетоетроения для представления УВВС. Срок 5-ти дневный.</w:t>
      </w:r>
    </w:p>
    <w:p w14:paraId="566D942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Поручить т. Пауфлер согласовать с УВВС вопрос в части технических требований н сроков выхода опытных образцов на вюсударстввнные испытания. Срок 10-ти дневный</w:t>
      </w:r>
    </w:p>
    <w:p w14:paraId="44DA34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согласовании доложить мне (351).</w:t>
      </w:r>
    </w:p>
    <w:p w14:paraId="021913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Приложения:</w:t>
      </w:r>
    </w:p>
    <w:p w14:paraId="1718BA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План Опытного самолетостроения Сравнение унифицированной программы, намеченной УВВС и ОКБ на 1931-1934 Самолеты опытного самолетостроения ОКБ на 1931-1934 (по плану, утвержденному 23 сентября 1931)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1560"/>
        <w:gridCol w:w="1984"/>
        <w:gridCol w:w="5245"/>
      </w:tblGrid>
      <w:tr w:rsidR="001002C3" w:rsidRPr="005E779E" w14:paraId="6D4D0D6C" w14:textId="77777777">
        <w:tc>
          <w:tcPr>
            <w:tcW w:w="1809" w:type="dxa"/>
          </w:tcPr>
          <w:p w14:paraId="2ABC2C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Тип</w:t>
            </w:r>
          </w:p>
        </w:tc>
        <w:tc>
          <w:tcPr>
            <w:tcW w:w="1560" w:type="dxa"/>
          </w:tcPr>
          <w:p w14:paraId="10123F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Намечено ВВС</w:t>
            </w:r>
          </w:p>
        </w:tc>
        <w:tc>
          <w:tcPr>
            <w:tcW w:w="1984" w:type="dxa"/>
          </w:tcPr>
          <w:p w14:paraId="272C3E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Добавлено ОКБ</w:t>
            </w:r>
          </w:p>
        </w:tc>
        <w:tc>
          <w:tcPr>
            <w:tcW w:w="5245" w:type="dxa"/>
          </w:tcPr>
          <w:p w14:paraId="676373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 в программе</w:t>
            </w:r>
          </w:p>
        </w:tc>
      </w:tr>
      <w:tr w:rsidR="001002C3" w:rsidRPr="005E779E" w14:paraId="40F90828" w14:textId="77777777">
        <w:tc>
          <w:tcPr>
            <w:tcW w:w="1809" w:type="dxa"/>
          </w:tcPr>
          <w:p w14:paraId="4008DE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Истребитель</w:t>
            </w:r>
          </w:p>
        </w:tc>
        <w:tc>
          <w:tcPr>
            <w:tcW w:w="1560" w:type="dxa"/>
          </w:tcPr>
          <w:p w14:paraId="2F42F4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984" w:type="dxa"/>
          </w:tcPr>
          <w:p w14:paraId="36985B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И5-М22улучш</w:t>
            </w:r>
          </w:p>
        </w:tc>
        <w:tc>
          <w:tcPr>
            <w:tcW w:w="5245" w:type="dxa"/>
          </w:tcPr>
          <w:p w14:paraId="0DFD14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И5-М22улучш</w:t>
            </w:r>
          </w:p>
        </w:tc>
      </w:tr>
      <w:tr w:rsidR="001002C3" w:rsidRPr="005E779E" w14:paraId="08E29882" w14:textId="77777777">
        <w:tc>
          <w:tcPr>
            <w:tcW w:w="1809" w:type="dxa"/>
          </w:tcPr>
          <w:p w14:paraId="2CBAB0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одноместный</w:t>
            </w:r>
          </w:p>
        </w:tc>
        <w:tc>
          <w:tcPr>
            <w:tcW w:w="1560" w:type="dxa"/>
          </w:tcPr>
          <w:p w14:paraId="111CE9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1D26B1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И5-М15</w:t>
            </w:r>
          </w:p>
        </w:tc>
        <w:tc>
          <w:tcPr>
            <w:tcW w:w="5245" w:type="dxa"/>
          </w:tcPr>
          <w:p w14:paraId="70690B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И5-М15</w:t>
            </w:r>
          </w:p>
        </w:tc>
      </w:tr>
      <w:tr w:rsidR="001002C3" w:rsidRPr="005E779E" w14:paraId="5A761346" w14:textId="77777777">
        <w:tc>
          <w:tcPr>
            <w:tcW w:w="1809" w:type="dxa"/>
          </w:tcPr>
          <w:p w14:paraId="780174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пулеметный</w:t>
            </w:r>
          </w:p>
        </w:tc>
        <w:tc>
          <w:tcPr>
            <w:tcW w:w="1560" w:type="dxa"/>
          </w:tcPr>
          <w:p w14:paraId="6ADEC1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7EA930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И5бис</w:t>
            </w:r>
          </w:p>
        </w:tc>
        <w:tc>
          <w:tcPr>
            <w:tcW w:w="5245" w:type="dxa"/>
          </w:tcPr>
          <w:p w14:paraId="3BAC42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И5бис</w:t>
            </w:r>
          </w:p>
        </w:tc>
      </w:tr>
      <w:tr w:rsidR="001002C3" w:rsidRPr="005E779E" w14:paraId="2E6018D7" w14:textId="77777777">
        <w:tc>
          <w:tcPr>
            <w:tcW w:w="1809" w:type="dxa"/>
          </w:tcPr>
          <w:p w14:paraId="7ECE3A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48AAD5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5CBD1D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И8-Кер. доводка</w:t>
            </w:r>
          </w:p>
        </w:tc>
        <w:tc>
          <w:tcPr>
            <w:tcW w:w="5245" w:type="dxa"/>
          </w:tcPr>
          <w:p w14:paraId="5E20E0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И8-Кер. Доводка</w:t>
            </w:r>
          </w:p>
        </w:tc>
      </w:tr>
      <w:tr w:rsidR="001002C3" w:rsidRPr="005E779E" w14:paraId="39803E12" w14:textId="77777777">
        <w:tc>
          <w:tcPr>
            <w:tcW w:w="1809" w:type="dxa"/>
          </w:tcPr>
          <w:p w14:paraId="37A5C8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6E103C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7FF8BD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И9-М34</w:t>
            </w:r>
          </w:p>
        </w:tc>
        <w:tc>
          <w:tcPr>
            <w:tcW w:w="5245" w:type="dxa"/>
          </w:tcPr>
          <w:p w14:paraId="0493E9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И9-М34</w:t>
            </w:r>
          </w:p>
        </w:tc>
      </w:tr>
      <w:tr w:rsidR="001002C3" w:rsidRPr="005E779E" w14:paraId="35AD4EAA" w14:textId="77777777">
        <w:tc>
          <w:tcPr>
            <w:tcW w:w="1809" w:type="dxa"/>
          </w:tcPr>
          <w:p w14:paraId="07DA10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53B808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561D40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И10-РП</w:t>
            </w:r>
          </w:p>
        </w:tc>
        <w:tc>
          <w:tcPr>
            <w:tcW w:w="5245" w:type="dxa"/>
          </w:tcPr>
          <w:p w14:paraId="3B4A8A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И10-РП</w:t>
            </w:r>
          </w:p>
        </w:tc>
      </w:tr>
      <w:tr w:rsidR="001002C3" w:rsidRPr="005E779E" w14:paraId="29F9CE07" w14:textId="77777777">
        <w:tc>
          <w:tcPr>
            <w:tcW w:w="1809" w:type="dxa"/>
          </w:tcPr>
          <w:p w14:paraId="54AFAC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726BDF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2F77BB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И11-М32</w:t>
            </w:r>
          </w:p>
        </w:tc>
        <w:tc>
          <w:tcPr>
            <w:tcW w:w="5245" w:type="dxa"/>
          </w:tcPr>
          <w:p w14:paraId="1F58BA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И11-М32</w:t>
            </w:r>
          </w:p>
        </w:tc>
      </w:tr>
      <w:tr w:rsidR="001002C3" w:rsidRPr="005E779E" w14:paraId="202FE4B4" w14:textId="77777777">
        <w:tc>
          <w:tcPr>
            <w:tcW w:w="1809" w:type="dxa"/>
          </w:tcPr>
          <w:p w14:paraId="6F61A0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Истребитель</w:t>
            </w:r>
          </w:p>
        </w:tc>
        <w:tc>
          <w:tcPr>
            <w:tcW w:w="1560" w:type="dxa"/>
          </w:tcPr>
          <w:p w14:paraId="0F51BD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И13</w:t>
            </w:r>
          </w:p>
        </w:tc>
        <w:tc>
          <w:tcPr>
            <w:tcW w:w="1984" w:type="dxa"/>
          </w:tcPr>
          <w:p w14:paraId="4DE51C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98B4D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И13</w:t>
            </w:r>
          </w:p>
        </w:tc>
      </w:tr>
      <w:tr w:rsidR="001002C3" w:rsidRPr="005E779E" w14:paraId="694AC6B9" w14:textId="77777777">
        <w:tc>
          <w:tcPr>
            <w:tcW w:w="1809" w:type="dxa"/>
          </w:tcPr>
          <w:p w14:paraId="686594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одноместный</w:t>
            </w:r>
          </w:p>
        </w:tc>
        <w:tc>
          <w:tcPr>
            <w:tcW w:w="1560" w:type="dxa"/>
          </w:tcPr>
          <w:p w14:paraId="1C0754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И12-2М22</w:t>
            </w:r>
          </w:p>
        </w:tc>
        <w:tc>
          <w:tcPr>
            <w:tcW w:w="1984" w:type="dxa"/>
          </w:tcPr>
          <w:p w14:paraId="60303E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5CF35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И12-2М22</w:t>
            </w:r>
          </w:p>
        </w:tc>
      </w:tr>
      <w:tr w:rsidR="001002C3" w:rsidRPr="005E779E" w14:paraId="054F8EFE" w14:textId="77777777">
        <w:tc>
          <w:tcPr>
            <w:tcW w:w="1809" w:type="dxa"/>
          </w:tcPr>
          <w:p w14:paraId="74B68C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пушечный</w:t>
            </w:r>
          </w:p>
        </w:tc>
        <w:tc>
          <w:tcPr>
            <w:tcW w:w="1560" w:type="dxa"/>
          </w:tcPr>
          <w:p w14:paraId="1A41E6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6D4242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И7-М22</w:t>
            </w:r>
          </w:p>
        </w:tc>
        <w:tc>
          <w:tcPr>
            <w:tcW w:w="5245" w:type="dxa"/>
          </w:tcPr>
          <w:p w14:paraId="21F9C0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И7-М22</w:t>
            </w:r>
          </w:p>
        </w:tc>
      </w:tr>
      <w:tr w:rsidR="001002C3" w:rsidRPr="005E779E" w14:paraId="093AF15D" w14:textId="77777777">
        <w:tc>
          <w:tcPr>
            <w:tcW w:w="1809" w:type="dxa"/>
          </w:tcPr>
          <w:p w14:paraId="582D62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602EFD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05ADFD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ИП2-2М38</w:t>
            </w:r>
          </w:p>
        </w:tc>
        <w:tc>
          <w:tcPr>
            <w:tcW w:w="5245" w:type="dxa"/>
          </w:tcPr>
          <w:p w14:paraId="7EE744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ИП2-2М38</w:t>
            </w:r>
          </w:p>
        </w:tc>
      </w:tr>
      <w:tr w:rsidR="001002C3" w:rsidRPr="005E779E" w14:paraId="4D3DC2AF" w14:textId="77777777">
        <w:tc>
          <w:tcPr>
            <w:tcW w:w="1809" w:type="dxa"/>
          </w:tcPr>
          <w:p w14:paraId="354A25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Истребитель</w:t>
            </w:r>
          </w:p>
        </w:tc>
        <w:tc>
          <w:tcPr>
            <w:tcW w:w="1560" w:type="dxa"/>
          </w:tcPr>
          <w:p w14:paraId="7897DE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ДИ4-Керт.</w:t>
            </w:r>
          </w:p>
        </w:tc>
        <w:tc>
          <w:tcPr>
            <w:tcW w:w="1984" w:type="dxa"/>
          </w:tcPr>
          <w:p w14:paraId="7530FF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3D1A8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ДИ4-Керт.</w:t>
            </w:r>
          </w:p>
        </w:tc>
      </w:tr>
      <w:tr w:rsidR="001002C3" w:rsidRPr="005E779E" w14:paraId="1E08B544" w14:textId="77777777">
        <w:tc>
          <w:tcPr>
            <w:tcW w:w="1809" w:type="dxa"/>
          </w:tcPr>
          <w:p w14:paraId="556289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Двухместный</w:t>
            </w:r>
          </w:p>
        </w:tc>
        <w:tc>
          <w:tcPr>
            <w:tcW w:w="1560" w:type="dxa"/>
          </w:tcPr>
          <w:p w14:paraId="4053B3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660BD0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ДИ7-М34</w:t>
            </w:r>
          </w:p>
        </w:tc>
        <w:tc>
          <w:tcPr>
            <w:tcW w:w="5245" w:type="dxa"/>
          </w:tcPr>
          <w:p w14:paraId="6E3C65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ДИ7-М34</w:t>
            </w:r>
          </w:p>
        </w:tc>
      </w:tr>
      <w:tr w:rsidR="001002C3" w:rsidRPr="005E779E" w14:paraId="35646AEF" w14:textId="77777777">
        <w:tc>
          <w:tcPr>
            <w:tcW w:w="1809" w:type="dxa"/>
          </w:tcPr>
          <w:p w14:paraId="4F1EB2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67B350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ДИ6-М34</w:t>
            </w:r>
          </w:p>
        </w:tc>
        <w:tc>
          <w:tcPr>
            <w:tcW w:w="1984" w:type="dxa"/>
          </w:tcPr>
          <w:p w14:paraId="651ED4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ACC29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ДИ6-М34</w:t>
            </w:r>
          </w:p>
        </w:tc>
      </w:tr>
      <w:tr w:rsidR="001002C3" w:rsidRPr="005E779E" w14:paraId="31175021" w14:textId="77777777">
        <w:tc>
          <w:tcPr>
            <w:tcW w:w="1809" w:type="dxa"/>
          </w:tcPr>
          <w:p w14:paraId="68672E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595D05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609992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ДИ5-М34</w:t>
            </w:r>
          </w:p>
        </w:tc>
        <w:tc>
          <w:tcPr>
            <w:tcW w:w="5245" w:type="dxa"/>
          </w:tcPr>
          <w:p w14:paraId="7E918E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ДИ5-М34</w:t>
            </w:r>
          </w:p>
        </w:tc>
      </w:tr>
      <w:tr w:rsidR="001002C3" w:rsidRPr="005E779E" w14:paraId="3BE74B9C" w14:textId="77777777">
        <w:tc>
          <w:tcPr>
            <w:tcW w:w="1809" w:type="dxa"/>
          </w:tcPr>
          <w:p w14:paraId="6669DA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Разведчик</w:t>
            </w:r>
          </w:p>
        </w:tc>
        <w:tc>
          <w:tcPr>
            <w:tcW w:w="1560" w:type="dxa"/>
          </w:tcPr>
          <w:p w14:paraId="05FAE7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Р5-М34</w:t>
            </w:r>
          </w:p>
        </w:tc>
        <w:tc>
          <w:tcPr>
            <w:tcW w:w="1984" w:type="dxa"/>
          </w:tcPr>
          <w:p w14:paraId="058FDF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B8BC3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Р5-М34</w:t>
            </w:r>
          </w:p>
        </w:tc>
      </w:tr>
      <w:tr w:rsidR="001002C3" w:rsidRPr="005E779E" w14:paraId="200C33E8" w14:textId="77777777">
        <w:tc>
          <w:tcPr>
            <w:tcW w:w="1809" w:type="dxa"/>
          </w:tcPr>
          <w:p w14:paraId="334C7F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18CA1D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Р5-М17 пассаж.</w:t>
            </w:r>
          </w:p>
        </w:tc>
        <w:tc>
          <w:tcPr>
            <w:tcW w:w="1984" w:type="dxa"/>
          </w:tcPr>
          <w:p w14:paraId="1CE096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F04A3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Р5-М17 пассаж.</w:t>
            </w:r>
          </w:p>
        </w:tc>
      </w:tr>
      <w:tr w:rsidR="001002C3" w:rsidRPr="005E779E" w14:paraId="2B84C7FF" w14:textId="77777777">
        <w:tc>
          <w:tcPr>
            <w:tcW w:w="1809" w:type="dxa"/>
          </w:tcPr>
          <w:p w14:paraId="0F3015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42BCC2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Р8-М27/34</w:t>
            </w:r>
          </w:p>
        </w:tc>
        <w:tc>
          <w:tcPr>
            <w:tcW w:w="1984" w:type="dxa"/>
          </w:tcPr>
          <w:p w14:paraId="5E815F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442A3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Р8-М34</w:t>
            </w:r>
          </w:p>
        </w:tc>
      </w:tr>
      <w:tr w:rsidR="001002C3" w:rsidRPr="005E779E" w14:paraId="2A6152E1" w14:textId="77777777">
        <w:tc>
          <w:tcPr>
            <w:tcW w:w="1809" w:type="dxa"/>
          </w:tcPr>
          <w:p w14:paraId="1FF93F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381838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Р9-2М26</w:t>
            </w:r>
          </w:p>
        </w:tc>
        <w:tc>
          <w:tcPr>
            <w:tcW w:w="1984" w:type="dxa"/>
          </w:tcPr>
          <w:p w14:paraId="143AA3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8AA5A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Р9-2М26</w:t>
            </w:r>
          </w:p>
        </w:tc>
      </w:tr>
      <w:tr w:rsidR="001002C3" w:rsidRPr="005E779E" w14:paraId="0161208E" w14:textId="77777777">
        <w:tc>
          <w:tcPr>
            <w:tcW w:w="1809" w:type="dxa"/>
          </w:tcPr>
          <w:p w14:paraId="72B552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31229E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18266D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Р11-М34</w:t>
            </w:r>
          </w:p>
        </w:tc>
        <w:tc>
          <w:tcPr>
            <w:tcW w:w="5245" w:type="dxa"/>
          </w:tcPr>
          <w:p w14:paraId="154E8C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Р11-М34</w:t>
            </w:r>
          </w:p>
        </w:tc>
      </w:tr>
      <w:tr w:rsidR="001002C3" w:rsidRPr="005E779E" w14:paraId="4163C892" w14:textId="77777777">
        <w:tc>
          <w:tcPr>
            <w:tcW w:w="1809" w:type="dxa"/>
          </w:tcPr>
          <w:p w14:paraId="062AA5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2D09D5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6D482B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Р13-Керт.К.</w:t>
            </w:r>
          </w:p>
        </w:tc>
        <w:tc>
          <w:tcPr>
            <w:tcW w:w="5245" w:type="dxa"/>
          </w:tcPr>
          <w:p w14:paraId="04B57C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Р13-Керт.К.</w:t>
            </w:r>
          </w:p>
        </w:tc>
      </w:tr>
      <w:tr w:rsidR="001002C3" w:rsidRPr="005E779E" w14:paraId="1E997BF1" w14:textId="77777777">
        <w:tc>
          <w:tcPr>
            <w:tcW w:w="1809" w:type="dxa"/>
          </w:tcPr>
          <w:p w14:paraId="2C1273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5AE366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60ECB6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Р12-М34/Керт.К.</w:t>
            </w:r>
          </w:p>
        </w:tc>
        <w:tc>
          <w:tcPr>
            <w:tcW w:w="5245" w:type="dxa"/>
          </w:tcPr>
          <w:p w14:paraId="741D2E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Р12-М34/Керт.К.</w:t>
            </w:r>
          </w:p>
        </w:tc>
      </w:tr>
      <w:tr w:rsidR="001002C3" w:rsidRPr="005E779E" w14:paraId="15B085D2" w14:textId="77777777">
        <w:tc>
          <w:tcPr>
            <w:tcW w:w="1809" w:type="dxa"/>
          </w:tcPr>
          <w:p w14:paraId="01347D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Крейсер</w:t>
            </w:r>
          </w:p>
        </w:tc>
        <w:tc>
          <w:tcPr>
            <w:tcW w:w="1560" w:type="dxa"/>
          </w:tcPr>
          <w:p w14:paraId="55C462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69FE00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Р6-2М34</w:t>
            </w:r>
          </w:p>
        </w:tc>
        <w:tc>
          <w:tcPr>
            <w:tcW w:w="5245" w:type="dxa"/>
          </w:tcPr>
          <w:p w14:paraId="507438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Р6-2М34</w:t>
            </w:r>
          </w:p>
        </w:tc>
      </w:tr>
      <w:tr w:rsidR="001002C3" w:rsidRPr="005E779E" w14:paraId="193F4884" w14:textId="77777777">
        <w:tc>
          <w:tcPr>
            <w:tcW w:w="1809" w:type="dxa"/>
          </w:tcPr>
          <w:p w14:paraId="300A8B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1FA023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МИ3-2М34</w:t>
            </w:r>
          </w:p>
        </w:tc>
        <w:tc>
          <w:tcPr>
            <w:tcW w:w="1984" w:type="dxa"/>
          </w:tcPr>
          <w:p w14:paraId="5D6BF0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10573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МИ3-2М34</w:t>
            </w:r>
          </w:p>
        </w:tc>
      </w:tr>
      <w:tr w:rsidR="001002C3" w:rsidRPr="005E779E" w14:paraId="74755F88" w14:textId="77777777">
        <w:tc>
          <w:tcPr>
            <w:tcW w:w="1809" w:type="dxa"/>
          </w:tcPr>
          <w:p w14:paraId="2BCDAB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0C4296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СК1-2М35</w:t>
            </w:r>
          </w:p>
        </w:tc>
        <w:tc>
          <w:tcPr>
            <w:tcW w:w="1984" w:type="dxa"/>
          </w:tcPr>
          <w:p w14:paraId="718BFE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2A023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СК1-2М35</w:t>
            </w:r>
          </w:p>
        </w:tc>
      </w:tr>
      <w:tr w:rsidR="001002C3" w:rsidRPr="005E779E" w14:paraId="1C16FD79" w14:textId="77777777">
        <w:tc>
          <w:tcPr>
            <w:tcW w:w="1809" w:type="dxa"/>
          </w:tcPr>
          <w:p w14:paraId="55DEEC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Штурмовые</w:t>
            </w:r>
          </w:p>
        </w:tc>
        <w:tc>
          <w:tcPr>
            <w:tcW w:w="1560" w:type="dxa"/>
          </w:tcPr>
          <w:p w14:paraId="641D19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4B5B91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ТШ2-М27</w:t>
            </w:r>
          </w:p>
        </w:tc>
        <w:tc>
          <w:tcPr>
            <w:tcW w:w="5245" w:type="dxa"/>
          </w:tcPr>
          <w:p w14:paraId="12F6AB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ТШ2-М27</w:t>
            </w:r>
          </w:p>
        </w:tc>
      </w:tr>
      <w:tr w:rsidR="001002C3" w:rsidRPr="005E779E" w14:paraId="158DA56A" w14:textId="77777777">
        <w:tc>
          <w:tcPr>
            <w:tcW w:w="1809" w:type="dxa"/>
          </w:tcPr>
          <w:p w14:paraId="3906C3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5387F1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ЛБШ3</w:t>
            </w:r>
          </w:p>
        </w:tc>
        <w:tc>
          <w:tcPr>
            <w:tcW w:w="1984" w:type="dxa"/>
          </w:tcPr>
          <w:p w14:paraId="213D25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1D7F9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ТШ3-М34</w:t>
            </w:r>
          </w:p>
        </w:tc>
      </w:tr>
      <w:tr w:rsidR="001002C3" w:rsidRPr="005E779E" w14:paraId="3528F318" w14:textId="77777777">
        <w:tc>
          <w:tcPr>
            <w:tcW w:w="1809" w:type="dxa"/>
          </w:tcPr>
          <w:p w14:paraId="760F8B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4D63DB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ЛШ-4</w:t>
            </w:r>
          </w:p>
        </w:tc>
        <w:tc>
          <w:tcPr>
            <w:tcW w:w="1984" w:type="dxa"/>
          </w:tcPr>
          <w:p w14:paraId="0AEBFC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A3D1A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ЛШ-4</w:t>
            </w:r>
          </w:p>
        </w:tc>
      </w:tr>
      <w:tr w:rsidR="001002C3" w:rsidRPr="005E779E" w14:paraId="2EAB1496" w14:textId="77777777">
        <w:tc>
          <w:tcPr>
            <w:tcW w:w="1809" w:type="dxa"/>
          </w:tcPr>
          <w:p w14:paraId="7F02B7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265917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42E121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ЛШ-5</w:t>
            </w:r>
          </w:p>
        </w:tc>
        <w:tc>
          <w:tcPr>
            <w:tcW w:w="5245" w:type="dxa"/>
          </w:tcPr>
          <w:p w14:paraId="51CFDF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ЛШ-5</w:t>
            </w:r>
          </w:p>
        </w:tc>
      </w:tr>
      <w:tr w:rsidR="001002C3" w:rsidRPr="005E779E" w14:paraId="14532855" w14:textId="77777777">
        <w:tc>
          <w:tcPr>
            <w:tcW w:w="1809" w:type="dxa"/>
          </w:tcPr>
          <w:p w14:paraId="744195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Бомбардировщик</w:t>
            </w:r>
          </w:p>
        </w:tc>
        <w:tc>
          <w:tcPr>
            <w:tcW w:w="1560" w:type="dxa"/>
          </w:tcPr>
          <w:p w14:paraId="13136B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6B099A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ТБ3-4М34</w:t>
            </w:r>
          </w:p>
        </w:tc>
        <w:tc>
          <w:tcPr>
            <w:tcW w:w="5245" w:type="dxa"/>
          </w:tcPr>
          <w:p w14:paraId="6A81E5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ТБ3-4М34</w:t>
            </w:r>
          </w:p>
        </w:tc>
      </w:tr>
      <w:tr w:rsidR="001002C3" w:rsidRPr="005E779E" w14:paraId="394A4D83" w14:textId="77777777">
        <w:tc>
          <w:tcPr>
            <w:tcW w:w="1809" w:type="dxa"/>
          </w:tcPr>
          <w:p w14:paraId="553F0C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6ECA0A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ТБ5</w:t>
            </w:r>
          </w:p>
        </w:tc>
        <w:tc>
          <w:tcPr>
            <w:tcW w:w="1984" w:type="dxa"/>
          </w:tcPr>
          <w:p w14:paraId="57F62C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A07D3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ТБ5</w:t>
            </w:r>
          </w:p>
        </w:tc>
      </w:tr>
      <w:tr w:rsidR="001002C3" w:rsidRPr="005E779E" w14:paraId="4ABAE40B" w14:textId="77777777">
        <w:tc>
          <w:tcPr>
            <w:tcW w:w="1809" w:type="dxa"/>
          </w:tcPr>
          <w:p w14:paraId="728C7D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12AEA2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5097FC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АНТ-14</w:t>
            </w:r>
          </w:p>
        </w:tc>
        <w:tc>
          <w:tcPr>
            <w:tcW w:w="5245" w:type="dxa"/>
          </w:tcPr>
          <w:p w14:paraId="71B869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АНТ-14</w:t>
            </w:r>
          </w:p>
        </w:tc>
      </w:tr>
      <w:tr w:rsidR="001002C3" w:rsidRPr="005E779E" w14:paraId="60FF9601" w14:textId="77777777">
        <w:tc>
          <w:tcPr>
            <w:tcW w:w="1809" w:type="dxa"/>
          </w:tcPr>
          <w:p w14:paraId="7ECB5D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5ADD39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К7</w:t>
            </w:r>
          </w:p>
        </w:tc>
        <w:tc>
          <w:tcPr>
            <w:tcW w:w="1984" w:type="dxa"/>
          </w:tcPr>
          <w:p w14:paraId="73E3CB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4F909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К7</w:t>
            </w:r>
          </w:p>
        </w:tc>
      </w:tr>
      <w:tr w:rsidR="001002C3" w:rsidRPr="005E779E" w14:paraId="47B8E1B0" w14:textId="77777777">
        <w:tc>
          <w:tcPr>
            <w:tcW w:w="1809" w:type="dxa"/>
          </w:tcPr>
          <w:p w14:paraId="482A7F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216380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ТБ6</w:t>
            </w:r>
          </w:p>
        </w:tc>
        <w:tc>
          <w:tcPr>
            <w:tcW w:w="1984" w:type="dxa"/>
          </w:tcPr>
          <w:p w14:paraId="014A3C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7EF05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ТБ6</w:t>
            </w:r>
          </w:p>
        </w:tc>
      </w:tr>
      <w:tr w:rsidR="001002C3" w:rsidRPr="005E779E" w14:paraId="2203FA50" w14:textId="77777777">
        <w:tc>
          <w:tcPr>
            <w:tcW w:w="1809" w:type="dxa"/>
          </w:tcPr>
          <w:p w14:paraId="1AB6F2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777819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ТБ4</w:t>
            </w:r>
          </w:p>
        </w:tc>
        <w:tc>
          <w:tcPr>
            <w:tcW w:w="1984" w:type="dxa"/>
          </w:tcPr>
          <w:p w14:paraId="5583A3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62AC6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ТБ4</w:t>
            </w:r>
          </w:p>
        </w:tc>
      </w:tr>
      <w:tr w:rsidR="001002C3" w:rsidRPr="005E779E" w14:paraId="28995C23" w14:textId="77777777">
        <w:tc>
          <w:tcPr>
            <w:tcW w:w="1809" w:type="dxa"/>
          </w:tcPr>
          <w:p w14:paraId="0DA694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4AADD9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К5-М15</w:t>
            </w:r>
          </w:p>
        </w:tc>
        <w:tc>
          <w:tcPr>
            <w:tcW w:w="1984" w:type="dxa"/>
          </w:tcPr>
          <w:p w14:paraId="0A90AE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B7CAA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К5-М15</w:t>
            </w:r>
          </w:p>
        </w:tc>
      </w:tr>
      <w:tr w:rsidR="001002C3" w:rsidRPr="005E779E" w14:paraId="6F335660" w14:textId="77777777">
        <w:tc>
          <w:tcPr>
            <w:tcW w:w="1809" w:type="dxa"/>
          </w:tcPr>
          <w:p w14:paraId="1E7071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5ACB6D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АНТ9-3М26</w:t>
            </w:r>
          </w:p>
        </w:tc>
        <w:tc>
          <w:tcPr>
            <w:tcW w:w="1984" w:type="dxa"/>
          </w:tcPr>
          <w:p w14:paraId="49380D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6726F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АНТ9-3М26</w:t>
            </w:r>
          </w:p>
        </w:tc>
      </w:tr>
      <w:tr w:rsidR="001002C3" w:rsidRPr="005E779E" w14:paraId="0FB7AF2A" w14:textId="77777777">
        <w:tc>
          <w:tcPr>
            <w:tcW w:w="1809" w:type="dxa"/>
          </w:tcPr>
          <w:p w14:paraId="1F859D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6405B3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ТБ7</w:t>
            </w:r>
          </w:p>
        </w:tc>
        <w:tc>
          <w:tcPr>
            <w:tcW w:w="1984" w:type="dxa"/>
          </w:tcPr>
          <w:p w14:paraId="49C400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F4B88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СТБ7</w:t>
            </w:r>
          </w:p>
        </w:tc>
      </w:tr>
      <w:tr w:rsidR="001002C3" w:rsidRPr="005E779E" w14:paraId="12F28300" w14:textId="77777777">
        <w:tc>
          <w:tcPr>
            <w:tcW w:w="1809" w:type="dxa"/>
          </w:tcPr>
          <w:p w14:paraId="14C787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45A7BC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ТБ8</w:t>
            </w:r>
          </w:p>
        </w:tc>
        <w:tc>
          <w:tcPr>
            <w:tcW w:w="1984" w:type="dxa"/>
          </w:tcPr>
          <w:p w14:paraId="4EF984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55758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FB0C695" w14:textId="77777777">
        <w:tc>
          <w:tcPr>
            <w:tcW w:w="1809" w:type="dxa"/>
          </w:tcPr>
          <w:p w14:paraId="7C9864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7D5EEE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ТБ9</w:t>
            </w:r>
          </w:p>
        </w:tc>
        <w:tc>
          <w:tcPr>
            <w:tcW w:w="1984" w:type="dxa"/>
          </w:tcPr>
          <w:p w14:paraId="3DF448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F88D7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9F2EA32" w14:textId="77777777">
        <w:tc>
          <w:tcPr>
            <w:tcW w:w="1809" w:type="dxa"/>
          </w:tcPr>
          <w:p w14:paraId="5BBEF6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Морской</w:t>
            </w:r>
          </w:p>
        </w:tc>
        <w:tc>
          <w:tcPr>
            <w:tcW w:w="1560" w:type="dxa"/>
          </w:tcPr>
          <w:p w14:paraId="47F80B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11EF21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МБР2</w:t>
            </w:r>
          </w:p>
        </w:tc>
        <w:tc>
          <w:tcPr>
            <w:tcW w:w="5245" w:type="dxa"/>
          </w:tcPr>
          <w:p w14:paraId="1DECA1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МБР2</w:t>
            </w:r>
          </w:p>
        </w:tc>
      </w:tr>
      <w:tr w:rsidR="001002C3" w:rsidRPr="005E779E" w14:paraId="3FF7AD2A" w14:textId="77777777">
        <w:tc>
          <w:tcPr>
            <w:tcW w:w="1809" w:type="dxa"/>
          </w:tcPr>
          <w:p w14:paraId="170F40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разведчик</w:t>
            </w:r>
          </w:p>
        </w:tc>
        <w:tc>
          <w:tcPr>
            <w:tcW w:w="1560" w:type="dxa"/>
          </w:tcPr>
          <w:p w14:paraId="3F33F5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МБР3</w:t>
            </w:r>
          </w:p>
        </w:tc>
        <w:tc>
          <w:tcPr>
            <w:tcW w:w="1984" w:type="dxa"/>
          </w:tcPr>
          <w:p w14:paraId="47628F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B2831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МБР3</w:t>
            </w:r>
          </w:p>
        </w:tc>
      </w:tr>
      <w:tr w:rsidR="001002C3" w:rsidRPr="005E779E" w14:paraId="718392D2" w14:textId="77777777">
        <w:tc>
          <w:tcPr>
            <w:tcW w:w="1809" w:type="dxa"/>
          </w:tcPr>
          <w:p w14:paraId="1BBAF0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6DA7AE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МДР3</w:t>
            </w:r>
          </w:p>
        </w:tc>
        <w:tc>
          <w:tcPr>
            <w:tcW w:w="1984" w:type="dxa"/>
          </w:tcPr>
          <w:p w14:paraId="54D63B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9B1B5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МДР3</w:t>
            </w:r>
          </w:p>
        </w:tc>
      </w:tr>
      <w:tr w:rsidR="001002C3" w:rsidRPr="005E779E" w14:paraId="4E3BF0B7" w14:textId="77777777">
        <w:tc>
          <w:tcPr>
            <w:tcW w:w="1809" w:type="dxa"/>
          </w:tcPr>
          <w:p w14:paraId="5FA467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4112DC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МК</w:t>
            </w:r>
          </w:p>
        </w:tc>
        <w:tc>
          <w:tcPr>
            <w:tcW w:w="1984" w:type="dxa"/>
          </w:tcPr>
          <w:p w14:paraId="0BAF83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75BF7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МК</w:t>
            </w:r>
          </w:p>
        </w:tc>
      </w:tr>
      <w:tr w:rsidR="001002C3" w:rsidRPr="005E779E" w14:paraId="6AF56BFF" w14:textId="77777777">
        <w:tc>
          <w:tcPr>
            <w:tcW w:w="1809" w:type="dxa"/>
          </w:tcPr>
          <w:p w14:paraId="6C8E7B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Морской</w:t>
            </w:r>
          </w:p>
        </w:tc>
        <w:tc>
          <w:tcPr>
            <w:tcW w:w="1560" w:type="dxa"/>
          </w:tcPr>
          <w:p w14:paraId="311BB0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0E5F4A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МТБ</w:t>
            </w:r>
          </w:p>
        </w:tc>
        <w:tc>
          <w:tcPr>
            <w:tcW w:w="5245" w:type="dxa"/>
          </w:tcPr>
          <w:p w14:paraId="78A848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МТБ</w:t>
            </w:r>
          </w:p>
        </w:tc>
      </w:tr>
      <w:tr w:rsidR="001002C3" w:rsidRPr="005E779E" w14:paraId="238CA9AA" w14:textId="77777777">
        <w:tc>
          <w:tcPr>
            <w:tcW w:w="1809" w:type="dxa"/>
          </w:tcPr>
          <w:p w14:paraId="643CF6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бомбардировщик</w:t>
            </w:r>
          </w:p>
        </w:tc>
        <w:tc>
          <w:tcPr>
            <w:tcW w:w="1560" w:type="dxa"/>
          </w:tcPr>
          <w:p w14:paraId="11D5A0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4B770E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18056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04EEB19" w14:textId="77777777">
        <w:tc>
          <w:tcPr>
            <w:tcW w:w="1809" w:type="dxa"/>
          </w:tcPr>
          <w:p w14:paraId="6655B5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Специальные</w:t>
            </w:r>
          </w:p>
        </w:tc>
        <w:tc>
          <w:tcPr>
            <w:tcW w:w="1560" w:type="dxa"/>
          </w:tcPr>
          <w:p w14:paraId="01135D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Р10-М35</w:t>
            </w:r>
          </w:p>
        </w:tc>
        <w:tc>
          <w:tcPr>
            <w:tcW w:w="1984" w:type="dxa"/>
          </w:tcPr>
          <w:p w14:paraId="5EEB6B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875F5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Р10-М35</w:t>
            </w:r>
          </w:p>
        </w:tc>
      </w:tr>
      <w:tr w:rsidR="001002C3" w:rsidRPr="005E779E" w14:paraId="51896E25" w14:textId="77777777">
        <w:tc>
          <w:tcPr>
            <w:tcW w:w="1809" w:type="dxa"/>
          </w:tcPr>
          <w:p w14:paraId="5E9DFD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6E0621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7C3A65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КОР</w:t>
            </w:r>
          </w:p>
        </w:tc>
        <w:tc>
          <w:tcPr>
            <w:tcW w:w="5245" w:type="dxa"/>
          </w:tcPr>
          <w:p w14:paraId="675561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КОР</w:t>
            </w:r>
          </w:p>
        </w:tc>
      </w:tr>
      <w:tr w:rsidR="001002C3" w:rsidRPr="005E779E" w14:paraId="622D6F40" w14:textId="77777777">
        <w:tc>
          <w:tcPr>
            <w:tcW w:w="1809" w:type="dxa"/>
          </w:tcPr>
          <w:p w14:paraId="20535F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398B43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2E9DC7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СПЛ</w:t>
            </w:r>
          </w:p>
        </w:tc>
        <w:tc>
          <w:tcPr>
            <w:tcW w:w="5245" w:type="dxa"/>
          </w:tcPr>
          <w:p w14:paraId="760CBF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СПЛ</w:t>
            </w:r>
          </w:p>
        </w:tc>
      </w:tr>
      <w:tr w:rsidR="001002C3" w:rsidRPr="005E779E" w14:paraId="3006759F" w14:textId="77777777">
        <w:tc>
          <w:tcPr>
            <w:tcW w:w="1809" w:type="dxa"/>
          </w:tcPr>
          <w:p w14:paraId="0411C2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38577B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0F1B90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МФС</w:t>
            </w:r>
          </w:p>
        </w:tc>
        <w:tc>
          <w:tcPr>
            <w:tcW w:w="5245" w:type="dxa"/>
          </w:tcPr>
          <w:p w14:paraId="2F8583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МФС</w:t>
            </w:r>
          </w:p>
        </w:tc>
      </w:tr>
      <w:tr w:rsidR="001002C3" w:rsidRPr="005E779E" w14:paraId="7B4D08CA" w14:textId="77777777">
        <w:tc>
          <w:tcPr>
            <w:tcW w:w="1809" w:type="dxa"/>
          </w:tcPr>
          <w:p w14:paraId="02DB1C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2AE2DA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Х1-2М34</w:t>
            </w:r>
          </w:p>
        </w:tc>
        <w:tc>
          <w:tcPr>
            <w:tcW w:w="1984" w:type="dxa"/>
          </w:tcPr>
          <w:p w14:paraId="5BF026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6F40A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CE476CA" w14:textId="77777777">
        <w:tc>
          <w:tcPr>
            <w:tcW w:w="1809" w:type="dxa"/>
          </w:tcPr>
          <w:p w14:paraId="555731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0D14FE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ЛХ1-2М26</w:t>
            </w:r>
          </w:p>
        </w:tc>
        <w:tc>
          <w:tcPr>
            <w:tcW w:w="1984" w:type="dxa"/>
          </w:tcPr>
          <w:p w14:paraId="796D01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5ECEA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BE388C8" w14:textId="77777777">
        <w:tc>
          <w:tcPr>
            <w:tcW w:w="1809" w:type="dxa"/>
          </w:tcPr>
          <w:p w14:paraId="73AE0A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76E08D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ЛС1-М48</w:t>
            </w:r>
          </w:p>
        </w:tc>
        <w:tc>
          <w:tcPr>
            <w:tcW w:w="1984" w:type="dxa"/>
          </w:tcPr>
          <w:p w14:paraId="1FB351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D5A4A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62BD0A3" w14:textId="77777777">
        <w:tc>
          <w:tcPr>
            <w:tcW w:w="1809" w:type="dxa"/>
          </w:tcPr>
          <w:p w14:paraId="730346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5FC516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СС1-М26</w:t>
            </w:r>
          </w:p>
        </w:tc>
        <w:tc>
          <w:tcPr>
            <w:tcW w:w="1984" w:type="dxa"/>
          </w:tcPr>
          <w:p w14:paraId="26F6E7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91999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BAEA359" w14:textId="77777777">
        <w:tc>
          <w:tcPr>
            <w:tcW w:w="1809" w:type="dxa"/>
          </w:tcPr>
          <w:p w14:paraId="29EFC3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6E1A88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ВС2-2М26</w:t>
            </w:r>
          </w:p>
        </w:tc>
        <w:tc>
          <w:tcPr>
            <w:tcW w:w="1984" w:type="dxa"/>
          </w:tcPr>
          <w:p w14:paraId="0AEB4C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FD1B8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33192A0" w14:textId="77777777">
        <w:tc>
          <w:tcPr>
            <w:tcW w:w="1809" w:type="dxa"/>
          </w:tcPr>
          <w:p w14:paraId="65BD60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2D3A5F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ПБ1</w:t>
            </w:r>
          </w:p>
        </w:tc>
        <w:tc>
          <w:tcPr>
            <w:tcW w:w="1984" w:type="dxa"/>
          </w:tcPr>
          <w:p w14:paraId="336F4B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FB44E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8A0BD3A" w14:textId="77777777">
        <w:tc>
          <w:tcPr>
            <w:tcW w:w="1809" w:type="dxa"/>
          </w:tcPr>
          <w:p w14:paraId="2FD2D4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4632CE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Э-1</w:t>
            </w:r>
          </w:p>
        </w:tc>
        <w:tc>
          <w:tcPr>
            <w:tcW w:w="1984" w:type="dxa"/>
          </w:tcPr>
          <w:p w14:paraId="262B7A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D0660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8AB3598" w14:textId="77777777">
        <w:tc>
          <w:tcPr>
            <w:tcW w:w="1809" w:type="dxa"/>
          </w:tcPr>
          <w:p w14:paraId="39882B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37FA51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Э-2</w:t>
            </w:r>
          </w:p>
        </w:tc>
        <w:tc>
          <w:tcPr>
            <w:tcW w:w="1984" w:type="dxa"/>
          </w:tcPr>
          <w:p w14:paraId="192100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20C30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D51FA16" w14:textId="77777777">
        <w:tc>
          <w:tcPr>
            <w:tcW w:w="1809" w:type="dxa"/>
          </w:tcPr>
          <w:p w14:paraId="6B33DA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3F4658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Г-2</w:t>
            </w:r>
          </w:p>
        </w:tc>
        <w:tc>
          <w:tcPr>
            <w:tcW w:w="1984" w:type="dxa"/>
          </w:tcPr>
          <w:p w14:paraId="08C5AF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2DF58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859774C" w14:textId="77777777">
        <w:tc>
          <w:tcPr>
            <w:tcW w:w="1809" w:type="dxa"/>
          </w:tcPr>
          <w:p w14:paraId="7CF41F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3C7953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А-2</w:t>
            </w:r>
          </w:p>
        </w:tc>
        <w:tc>
          <w:tcPr>
            <w:tcW w:w="1984" w:type="dxa"/>
          </w:tcPr>
          <w:p w14:paraId="15726F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229CA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B6D9A8A" w14:textId="77777777">
        <w:tc>
          <w:tcPr>
            <w:tcW w:w="1809" w:type="dxa"/>
          </w:tcPr>
          <w:p w14:paraId="1B42A3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66773B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Р-1</w:t>
            </w:r>
          </w:p>
        </w:tc>
        <w:tc>
          <w:tcPr>
            <w:tcW w:w="1984" w:type="dxa"/>
          </w:tcPr>
          <w:p w14:paraId="074061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BFAB1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A1E378A" w14:textId="77777777">
        <w:tc>
          <w:tcPr>
            <w:tcW w:w="1809" w:type="dxa"/>
          </w:tcPr>
          <w:p w14:paraId="66CEA1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200C53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13E9C4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Рек 1</w:t>
            </w:r>
          </w:p>
        </w:tc>
        <w:tc>
          <w:tcPr>
            <w:tcW w:w="5245" w:type="dxa"/>
          </w:tcPr>
          <w:p w14:paraId="0A35B9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Рек 1</w:t>
            </w:r>
          </w:p>
        </w:tc>
      </w:tr>
      <w:tr w:rsidR="001002C3" w:rsidRPr="005E779E" w14:paraId="21150A1E" w14:textId="77777777">
        <w:tc>
          <w:tcPr>
            <w:tcW w:w="1809" w:type="dxa"/>
          </w:tcPr>
          <w:p w14:paraId="044586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7A53D5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7D2EB9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Рек 2</w:t>
            </w:r>
          </w:p>
        </w:tc>
        <w:tc>
          <w:tcPr>
            <w:tcW w:w="5245" w:type="dxa"/>
          </w:tcPr>
          <w:p w14:paraId="04969D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Рек 2</w:t>
            </w:r>
          </w:p>
        </w:tc>
      </w:tr>
      <w:tr w:rsidR="001002C3" w:rsidRPr="005E779E" w14:paraId="626C6BC8" w14:textId="77777777">
        <w:tc>
          <w:tcPr>
            <w:tcW w:w="1809" w:type="dxa"/>
          </w:tcPr>
          <w:p w14:paraId="3F31F2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7A2DE4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4DAB0A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Рек 3</w:t>
            </w:r>
          </w:p>
        </w:tc>
        <w:tc>
          <w:tcPr>
            <w:tcW w:w="5245" w:type="dxa"/>
          </w:tcPr>
          <w:p w14:paraId="35BB02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Рек 3</w:t>
            </w:r>
          </w:p>
        </w:tc>
      </w:tr>
      <w:tr w:rsidR="001002C3" w:rsidRPr="005E779E" w14:paraId="0923B260" w14:textId="77777777">
        <w:tc>
          <w:tcPr>
            <w:tcW w:w="1809" w:type="dxa"/>
          </w:tcPr>
          <w:p w14:paraId="746FB3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Учебные</w:t>
            </w:r>
          </w:p>
        </w:tc>
        <w:tc>
          <w:tcPr>
            <w:tcW w:w="1560" w:type="dxa"/>
          </w:tcPr>
          <w:p w14:paraId="7C3863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1A5FC6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У3-РЖ6</w:t>
            </w:r>
          </w:p>
        </w:tc>
        <w:tc>
          <w:tcPr>
            <w:tcW w:w="5245" w:type="dxa"/>
          </w:tcPr>
          <w:p w14:paraId="6742CF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У3-РЖ</w:t>
            </w:r>
          </w:p>
        </w:tc>
      </w:tr>
      <w:tr w:rsidR="001002C3" w:rsidRPr="005E779E" w14:paraId="70B8BA73" w14:textId="77777777">
        <w:tc>
          <w:tcPr>
            <w:tcW w:w="1809" w:type="dxa"/>
          </w:tcPr>
          <w:p w14:paraId="397EB5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4D0261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6F59A1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У4-РЖ6</w:t>
            </w:r>
          </w:p>
        </w:tc>
        <w:tc>
          <w:tcPr>
            <w:tcW w:w="5245" w:type="dxa"/>
          </w:tcPr>
          <w:p w14:paraId="5C958F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У4-РЖ</w:t>
            </w:r>
          </w:p>
        </w:tc>
      </w:tr>
      <w:tr w:rsidR="001002C3" w:rsidRPr="005E779E" w14:paraId="26E6A379" w14:textId="77777777">
        <w:tc>
          <w:tcPr>
            <w:tcW w:w="1809" w:type="dxa"/>
          </w:tcPr>
          <w:p w14:paraId="79D5B7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16F62E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7D5F7C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С1-РЖ6</w:t>
            </w:r>
          </w:p>
        </w:tc>
        <w:tc>
          <w:tcPr>
            <w:tcW w:w="5245" w:type="dxa"/>
          </w:tcPr>
          <w:p w14:paraId="532E00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С1-РЖ</w:t>
            </w:r>
          </w:p>
        </w:tc>
      </w:tr>
      <w:tr w:rsidR="001002C3" w:rsidRPr="005E779E" w14:paraId="37B8FF22" w14:textId="77777777">
        <w:tc>
          <w:tcPr>
            <w:tcW w:w="1809" w:type="dxa"/>
          </w:tcPr>
          <w:p w14:paraId="791A19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795E58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33834D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Авиетка 1</w:t>
            </w:r>
          </w:p>
        </w:tc>
        <w:tc>
          <w:tcPr>
            <w:tcW w:w="5245" w:type="dxa"/>
          </w:tcPr>
          <w:p w14:paraId="4F4226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Авиетка 1</w:t>
            </w:r>
          </w:p>
        </w:tc>
      </w:tr>
      <w:tr w:rsidR="001002C3" w:rsidRPr="005E779E" w14:paraId="3311B50D" w14:textId="77777777">
        <w:tc>
          <w:tcPr>
            <w:tcW w:w="1809" w:type="dxa"/>
          </w:tcPr>
          <w:p w14:paraId="4F207E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2C92F2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1C6677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Авиетка 2</w:t>
            </w:r>
          </w:p>
        </w:tc>
        <w:tc>
          <w:tcPr>
            <w:tcW w:w="5245" w:type="dxa"/>
          </w:tcPr>
          <w:p w14:paraId="21F0EF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Авиетка 2</w:t>
            </w:r>
          </w:p>
        </w:tc>
      </w:tr>
      <w:tr w:rsidR="001002C3" w:rsidRPr="005E779E" w14:paraId="3C05432D" w14:textId="77777777">
        <w:tc>
          <w:tcPr>
            <w:tcW w:w="1809" w:type="dxa"/>
          </w:tcPr>
          <w:p w14:paraId="495B90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58B73A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084A7D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Авиетка 3</w:t>
            </w:r>
          </w:p>
        </w:tc>
        <w:tc>
          <w:tcPr>
            <w:tcW w:w="5245" w:type="dxa"/>
          </w:tcPr>
          <w:p w14:paraId="2CAE76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Авиетка 3</w:t>
            </w:r>
          </w:p>
        </w:tc>
      </w:tr>
      <w:tr w:rsidR="001002C3" w:rsidRPr="005E779E" w14:paraId="141CE8A1" w14:textId="77777777">
        <w:tc>
          <w:tcPr>
            <w:tcW w:w="1809" w:type="dxa"/>
          </w:tcPr>
          <w:p w14:paraId="30EEE9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586F20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3A46DE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Авиетка 4</w:t>
            </w:r>
          </w:p>
        </w:tc>
        <w:tc>
          <w:tcPr>
            <w:tcW w:w="5245" w:type="dxa"/>
          </w:tcPr>
          <w:p w14:paraId="4BD3B6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Авиетка 4</w:t>
            </w:r>
          </w:p>
        </w:tc>
      </w:tr>
    </w:tbl>
    <w:p w14:paraId="341536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Количество типов самолетов, намеченных по плану УВВС и ОКБ к серийному производству (351)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gridCol w:w="1127"/>
        <w:gridCol w:w="1127"/>
        <w:gridCol w:w="1127"/>
        <w:gridCol w:w="1127"/>
        <w:gridCol w:w="1127"/>
      </w:tblGrid>
      <w:tr w:rsidR="001002C3" w:rsidRPr="005E779E" w14:paraId="1DF0A2BA" w14:textId="77777777">
        <w:tc>
          <w:tcPr>
            <w:tcW w:w="1127" w:type="dxa"/>
          </w:tcPr>
          <w:p w14:paraId="2CC9D7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Тип</w:t>
            </w:r>
          </w:p>
        </w:tc>
        <w:tc>
          <w:tcPr>
            <w:tcW w:w="1127" w:type="dxa"/>
          </w:tcPr>
          <w:p w14:paraId="565438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w:t>
            </w:r>
          </w:p>
        </w:tc>
        <w:tc>
          <w:tcPr>
            <w:tcW w:w="1127" w:type="dxa"/>
          </w:tcPr>
          <w:p w14:paraId="780E16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4F7620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1932</w:t>
            </w:r>
          </w:p>
        </w:tc>
        <w:tc>
          <w:tcPr>
            <w:tcW w:w="1127" w:type="dxa"/>
          </w:tcPr>
          <w:p w14:paraId="01BB73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0F3869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1933</w:t>
            </w:r>
          </w:p>
        </w:tc>
        <w:tc>
          <w:tcPr>
            <w:tcW w:w="1127" w:type="dxa"/>
          </w:tcPr>
          <w:p w14:paraId="022B6F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576E21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1934</w:t>
            </w:r>
          </w:p>
        </w:tc>
        <w:tc>
          <w:tcPr>
            <w:tcW w:w="1127" w:type="dxa"/>
          </w:tcPr>
          <w:p w14:paraId="36FCDE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6ECABD2" w14:textId="77777777">
        <w:tc>
          <w:tcPr>
            <w:tcW w:w="1127" w:type="dxa"/>
          </w:tcPr>
          <w:p w14:paraId="339F85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09CA8D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УВВС</w:t>
            </w:r>
          </w:p>
        </w:tc>
        <w:tc>
          <w:tcPr>
            <w:tcW w:w="1127" w:type="dxa"/>
          </w:tcPr>
          <w:p w14:paraId="3A950B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ОКБ</w:t>
            </w:r>
          </w:p>
        </w:tc>
        <w:tc>
          <w:tcPr>
            <w:tcW w:w="1127" w:type="dxa"/>
          </w:tcPr>
          <w:p w14:paraId="02F53E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УВВС</w:t>
            </w:r>
          </w:p>
        </w:tc>
        <w:tc>
          <w:tcPr>
            <w:tcW w:w="1127" w:type="dxa"/>
          </w:tcPr>
          <w:p w14:paraId="156CBD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ОКБ</w:t>
            </w:r>
          </w:p>
        </w:tc>
        <w:tc>
          <w:tcPr>
            <w:tcW w:w="1127" w:type="dxa"/>
          </w:tcPr>
          <w:p w14:paraId="079D66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УВВС</w:t>
            </w:r>
          </w:p>
        </w:tc>
        <w:tc>
          <w:tcPr>
            <w:tcW w:w="1127" w:type="dxa"/>
          </w:tcPr>
          <w:p w14:paraId="3C7DB7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ОКБ</w:t>
            </w:r>
          </w:p>
        </w:tc>
        <w:tc>
          <w:tcPr>
            <w:tcW w:w="1127" w:type="dxa"/>
          </w:tcPr>
          <w:p w14:paraId="3DF426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УВВС</w:t>
            </w:r>
          </w:p>
        </w:tc>
        <w:tc>
          <w:tcPr>
            <w:tcW w:w="1127" w:type="dxa"/>
          </w:tcPr>
          <w:p w14:paraId="5A804B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ОКБ</w:t>
            </w:r>
          </w:p>
        </w:tc>
      </w:tr>
      <w:tr w:rsidR="001002C3" w:rsidRPr="005E779E" w14:paraId="3B1BA383" w14:textId="77777777">
        <w:tc>
          <w:tcPr>
            <w:tcW w:w="1127" w:type="dxa"/>
          </w:tcPr>
          <w:p w14:paraId="408855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Истр. пулем.</w:t>
            </w:r>
          </w:p>
        </w:tc>
        <w:tc>
          <w:tcPr>
            <w:tcW w:w="1127" w:type="dxa"/>
          </w:tcPr>
          <w:p w14:paraId="4932E1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w:t>
            </w:r>
          </w:p>
        </w:tc>
        <w:tc>
          <w:tcPr>
            <w:tcW w:w="1127" w:type="dxa"/>
          </w:tcPr>
          <w:p w14:paraId="3FF49F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w:t>
            </w:r>
          </w:p>
        </w:tc>
        <w:tc>
          <w:tcPr>
            <w:tcW w:w="1127" w:type="dxa"/>
          </w:tcPr>
          <w:p w14:paraId="26A2BD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w:t>
            </w:r>
          </w:p>
        </w:tc>
        <w:tc>
          <w:tcPr>
            <w:tcW w:w="1127" w:type="dxa"/>
          </w:tcPr>
          <w:p w14:paraId="4C4176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w:t>
            </w:r>
          </w:p>
        </w:tc>
        <w:tc>
          <w:tcPr>
            <w:tcW w:w="1127" w:type="dxa"/>
          </w:tcPr>
          <w:p w14:paraId="0662EA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1BD06A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И5бис</w:t>
            </w:r>
          </w:p>
        </w:tc>
        <w:tc>
          <w:tcPr>
            <w:tcW w:w="1127" w:type="dxa"/>
          </w:tcPr>
          <w:p w14:paraId="259455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46B223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F8A0714" w14:textId="77777777">
        <w:tc>
          <w:tcPr>
            <w:tcW w:w="1127" w:type="dxa"/>
          </w:tcPr>
          <w:p w14:paraId="2E5CA3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32E8B2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24070F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И7</w:t>
            </w:r>
          </w:p>
        </w:tc>
        <w:tc>
          <w:tcPr>
            <w:tcW w:w="1127" w:type="dxa"/>
          </w:tcPr>
          <w:p w14:paraId="3DF06E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И7</w:t>
            </w:r>
          </w:p>
        </w:tc>
        <w:tc>
          <w:tcPr>
            <w:tcW w:w="1127" w:type="dxa"/>
          </w:tcPr>
          <w:p w14:paraId="4BBFC5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И7</w:t>
            </w:r>
          </w:p>
        </w:tc>
        <w:tc>
          <w:tcPr>
            <w:tcW w:w="1127" w:type="dxa"/>
          </w:tcPr>
          <w:p w14:paraId="171659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4F61F5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7C0D49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24BDC7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B45D64A" w14:textId="77777777">
        <w:tc>
          <w:tcPr>
            <w:tcW w:w="1127" w:type="dxa"/>
          </w:tcPr>
          <w:p w14:paraId="0D3E5D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Истр. линейн.</w:t>
            </w:r>
          </w:p>
        </w:tc>
        <w:tc>
          <w:tcPr>
            <w:tcW w:w="1127" w:type="dxa"/>
          </w:tcPr>
          <w:p w14:paraId="2C935C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2C6344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775366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558005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2B6F33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ИП1</w:t>
            </w:r>
          </w:p>
        </w:tc>
        <w:tc>
          <w:tcPr>
            <w:tcW w:w="1127" w:type="dxa"/>
          </w:tcPr>
          <w:p w14:paraId="6416B0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 лин.</w:t>
            </w:r>
          </w:p>
        </w:tc>
        <w:tc>
          <w:tcPr>
            <w:tcW w:w="1127" w:type="dxa"/>
          </w:tcPr>
          <w:p w14:paraId="558C6E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ИП1</w:t>
            </w:r>
          </w:p>
        </w:tc>
        <w:tc>
          <w:tcPr>
            <w:tcW w:w="1127" w:type="dxa"/>
          </w:tcPr>
          <w:p w14:paraId="076E3D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D257BC5" w14:textId="77777777">
        <w:tc>
          <w:tcPr>
            <w:tcW w:w="1127" w:type="dxa"/>
          </w:tcPr>
          <w:p w14:paraId="313A8F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w:t>
            </w:r>
          </w:p>
        </w:tc>
        <w:tc>
          <w:tcPr>
            <w:tcW w:w="1127" w:type="dxa"/>
          </w:tcPr>
          <w:p w14:paraId="2E9397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6F212D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66CE47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12A734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ДИ3</w:t>
            </w:r>
          </w:p>
        </w:tc>
        <w:tc>
          <w:tcPr>
            <w:tcW w:w="1127" w:type="dxa"/>
          </w:tcPr>
          <w:p w14:paraId="33946A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5FC7D1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ДИП</w:t>
            </w:r>
          </w:p>
        </w:tc>
        <w:tc>
          <w:tcPr>
            <w:tcW w:w="1127" w:type="dxa"/>
          </w:tcPr>
          <w:p w14:paraId="0FB089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028AAD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ДИП</w:t>
            </w:r>
          </w:p>
        </w:tc>
      </w:tr>
      <w:tr w:rsidR="001002C3" w:rsidRPr="005E779E" w14:paraId="624D9A46" w14:textId="77777777">
        <w:tc>
          <w:tcPr>
            <w:tcW w:w="1127" w:type="dxa"/>
          </w:tcPr>
          <w:p w14:paraId="4209F0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Разведчики</w:t>
            </w:r>
          </w:p>
        </w:tc>
        <w:tc>
          <w:tcPr>
            <w:tcW w:w="1127" w:type="dxa"/>
          </w:tcPr>
          <w:p w14:paraId="125408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Р1</w:t>
            </w:r>
          </w:p>
        </w:tc>
        <w:tc>
          <w:tcPr>
            <w:tcW w:w="1127" w:type="dxa"/>
          </w:tcPr>
          <w:p w14:paraId="3CD4D4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Р1</w:t>
            </w:r>
          </w:p>
        </w:tc>
        <w:tc>
          <w:tcPr>
            <w:tcW w:w="1127" w:type="dxa"/>
          </w:tcPr>
          <w:p w14:paraId="4BF3CE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6347E5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583CE1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32976E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767A58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4E9918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6DD2467" w14:textId="77777777">
        <w:tc>
          <w:tcPr>
            <w:tcW w:w="1127" w:type="dxa"/>
          </w:tcPr>
          <w:p w14:paraId="56245C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4C0FAB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Р5</w:t>
            </w:r>
          </w:p>
        </w:tc>
        <w:tc>
          <w:tcPr>
            <w:tcW w:w="1127" w:type="dxa"/>
          </w:tcPr>
          <w:p w14:paraId="103BCE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Р5</w:t>
            </w:r>
          </w:p>
        </w:tc>
        <w:tc>
          <w:tcPr>
            <w:tcW w:w="1127" w:type="dxa"/>
          </w:tcPr>
          <w:p w14:paraId="6165F7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Р5</w:t>
            </w:r>
          </w:p>
        </w:tc>
        <w:tc>
          <w:tcPr>
            <w:tcW w:w="1127" w:type="dxa"/>
          </w:tcPr>
          <w:p w14:paraId="1FCC25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Р5</w:t>
            </w:r>
          </w:p>
        </w:tc>
        <w:tc>
          <w:tcPr>
            <w:tcW w:w="1127" w:type="dxa"/>
          </w:tcPr>
          <w:p w14:paraId="75B732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1010A8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Р5</w:t>
            </w:r>
          </w:p>
        </w:tc>
        <w:tc>
          <w:tcPr>
            <w:tcW w:w="1127" w:type="dxa"/>
          </w:tcPr>
          <w:p w14:paraId="6A2121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141C25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638D175" w14:textId="77777777">
        <w:tc>
          <w:tcPr>
            <w:tcW w:w="1127" w:type="dxa"/>
          </w:tcPr>
          <w:p w14:paraId="3CCA47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w:t>
            </w:r>
          </w:p>
        </w:tc>
        <w:tc>
          <w:tcPr>
            <w:tcW w:w="1127" w:type="dxa"/>
          </w:tcPr>
          <w:p w14:paraId="372F83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34DEC9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61D4B3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37FE8C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3B67C0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Р8</w:t>
            </w:r>
          </w:p>
        </w:tc>
        <w:tc>
          <w:tcPr>
            <w:tcW w:w="1127" w:type="dxa"/>
          </w:tcPr>
          <w:p w14:paraId="166257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55BE54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01CB7A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5D6DAAA" w14:textId="77777777">
        <w:tc>
          <w:tcPr>
            <w:tcW w:w="1127" w:type="dxa"/>
          </w:tcPr>
          <w:p w14:paraId="7CC868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2F5040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34D713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3A0181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66D6DD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5BE9F9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Р9</w:t>
            </w:r>
          </w:p>
        </w:tc>
        <w:tc>
          <w:tcPr>
            <w:tcW w:w="1127" w:type="dxa"/>
          </w:tcPr>
          <w:p w14:paraId="3A1011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157CDF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729CD6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7241F5A" w14:textId="77777777">
        <w:tc>
          <w:tcPr>
            <w:tcW w:w="1127" w:type="dxa"/>
          </w:tcPr>
          <w:p w14:paraId="1E8F5B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Крейсер</w:t>
            </w:r>
          </w:p>
        </w:tc>
        <w:tc>
          <w:tcPr>
            <w:tcW w:w="1127" w:type="dxa"/>
          </w:tcPr>
          <w:p w14:paraId="7CAFD9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Р6</w:t>
            </w:r>
          </w:p>
        </w:tc>
        <w:tc>
          <w:tcPr>
            <w:tcW w:w="1127" w:type="dxa"/>
          </w:tcPr>
          <w:p w14:paraId="012C1C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Р6</w:t>
            </w:r>
          </w:p>
        </w:tc>
        <w:tc>
          <w:tcPr>
            <w:tcW w:w="1127" w:type="dxa"/>
          </w:tcPr>
          <w:p w14:paraId="1454AD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Р6</w:t>
            </w:r>
          </w:p>
        </w:tc>
        <w:tc>
          <w:tcPr>
            <w:tcW w:w="1127" w:type="dxa"/>
          </w:tcPr>
          <w:p w14:paraId="0F8953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Р6</w:t>
            </w:r>
          </w:p>
        </w:tc>
        <w:tc>
          <w:tcPr>
            <w:tcW w:w="1127" w:type="dxa"/>
          </w:tcPr>
          <w:p w14:paraId="22500D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742E99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Р6</w:t>
            </w:r>
          </w:p>
        </w:tc>
        <w:tc>
          <w:tcPr>
            <w:tcW w:w="1127" w:type="dxa"/>
          </w:tcPr>
          <w:p w14:paraId="3AC0B6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0E35F5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F114E80" w14:textId="77777777">
        <w:tc>
          <w:tcPr>
            <w:tcW w:w="1127" w:type="dxa"/>
          </w:tcPr>
          <w:p w14:paraId="4FD3A4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05485C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440B27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7AE91F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5C708E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650C4B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МИ3</w:t>
            </w:r>
          </w:p>
        </w:tc>
        <w:tc>
          <w:tcPr>
            <w:tcW w:w="1127" w:type="dxa"/>
          </w:tcPr>
          <w:p w14:paraId="23C54C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630607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7964E7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A692C0C" w14:textId="77777777">
        <w:tc>
          <w:tcPr>
            <w:tcW w:w="1127" w:type="dxa"/>
          </w:tcPr>
          <w:p w14:paraId="45FD3E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1F61B7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02CD20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125576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73A1FD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289081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4AD226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7B11EC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К1</w:t>
            </w:r>
          </w:p>
        </w:tc>
        <w:tc>
          <w:tcPr>
            <w:tcW w:w="1127" w:type="dxa"/>
          </w:tcPr>
          <w:p w14:paraId="799D16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03F5485" w14:textId="77777777">
        <w:tc>
          <w:tcPr>
            <w:tcW w:w="1127" w:type="dxa"/>
          </w:tcPr>
          <w:p w14:paraId="4FCB7E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Штурмовик</w:t>
            </w:r>
          </w:p>
        </w:tc>
        <w:tc>
          <w:tcPr>
            <w:tcW w:w="1127" w:type="dxa"/>
          </w:tcPr>
          <w:p w14:paraId="4CC20D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4B96A9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6E031E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ТШ2</w:t>
            </w:r>
          </w:p>
        </w:tc>
        <w:tc>
          <w:tcPr>
            <w:tcW w:w="1127" w:type="dxa"/>
          </w:tcPr>
          <w:p w14:paraId="08A5CB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ТШ2</w:t>
            </w:r>
          </w:p>
        </w:tc>
        <w:tc>
          <w:tcPr>
            <w:tcW w:w="1127" w:type="dxa"/>
          </w:tcPr>
          <w:p w14:paraId="5B842A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786BE5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ТШ2</w:t>
            </w:r>
          </w:p>
        </w:tc>
        <w:tc>
          <w:tcPr>
            <w:tcW w:w="1127" w:type="dxa"/>
          </w:tcPr>
          <w:p w14:paraId="5E531B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3542D7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AC82E2C" w14:textId="77777777">
        <w:tc>
          <w:tcPr>
            <w:tcW w:w="1127" w:type="dxa"/>
          </w:tcPr>
          <w:p w14:paraId="789A68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56ACBB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3B910E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46F4C5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373D17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3DB5C6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ЛБШ3</w:t>
            </w:r>
          </w:p>
        </w:tc>
        <w:tc>
          <w:tcPr>
            <w:tcW w:w="1127" w:type="dxa"/>
          </w:tcPr>
          <w:p w14:paraId="019BE1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5429F9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ЛБШ3</w:t>
            </w:r>
          </w:p>
        </w:tc>
        <w:tc>
          <w:tcPr>
            <w:tcW w:w="1127" w:type="dxa"/>
          </w:tcPr>
          <w:p w14:paraId="694D05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B602531" w14:textId="77777777">
        <w:tc>
          <w:tcPr>
            <w:tcW w:w="1127" w:type="dxa"/>
          </w:tcPr>
          <w:p w14:paraId="7CA035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w:t>
            </w:r>
          </w:p>
        </w:tc>
        <w:tc>
          <w:tcPr>
            <w:tcW w:w="1127" w:type="dxa"/>
          </w:tcPr>
          <w:p w14:paraId="292CE3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ТБ1</w:t>
            </w:r>
          </w:p>
        </w:tc>
        <w:tc>
          <w:tcPr>
            <w:tcW w:w="1127" w:type="dxa"/>
          </w:tcPr>
          <w:p w14:paraId="3A3076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ТБ1</w:t>
            </w:r>
          </w:p>
        </w:tc>
        <w:tc>
          <w:tcPr>
            <w:tcW w:w="1127" w:type="dxa"/>
          </w:tcPr>
          <w:p w14:paraId="704B6F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18F966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32E365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58C0EF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7C9F7E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0DC861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FC36CCA" w14:textId="77777777">
        <w:tc>
          <w:tcPr>
            <w:tcW w:w="1127" w:type="dxa"/>
          </w:tcPr>
          <w:p w14:paraId="127FBF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49F32C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11060E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307608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w:t>
            </w:r>
          </w:p>
        </w:tc>
        <w:tc>
          <w:tcPr>
            <w:tcW w:w="1127" w:type="dxa"/>
          </w:tcPr>
          <w:p w14:paraId="3B2103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w:t>
            </w:r>
          </w:p>
        </w:tc>
        <w:tc>
          <w:tcPr>
            <w:tcW w:w="1127" w:type="dxa"/>
          </w:tcPr>
          <w:p w14:paraId="7C9E27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w:t>
            </w:r>
          </w:p>
        </w:tc>
        <w:tc>
          <w:tcPr>
            <w:tcW w:w="1127" w:type="dxa"/>
          </w:tcPr>
          <w:p w14:paraId="5A54A6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w:t>
            </w:r>
          </w:p>
        </w:tc>
        <w:tc>
          <w:tcPr>
            <w:tcW w:w="1127" w:type="dxa"/>
          </w:tcPr>
          <w:p w14:paraId="7C8A3D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w:t>
            </w:r>
          </w:p>
        </w:tc>
        <w:tc>
          <w:tcPr>
            <w:tcW w:w="1127" w:type="dxa"/>
          </w:tcPr>
          <w:p w14:paraId="5E7168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DCD427D" w14:textId="77777777">
        <w:tc>
          <w:tcPr>
            <w:tcW w:w="1127" w:type="dxa"/>
          </w:tcPr>
          <w:p w14:paraId="47315D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 гигант</w:t>
            </w:r>
          </w:p>
        </w:tc>
        <w:tc>
          <w:tcPr>
            <w:tcW w:w="1127" w:type="dxa"/>
          </w:tcPr>
          <w:p w14:paraId="4BD307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79E26C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7E7001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29EA6E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219533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ТБ4</w:t>
            </w:r>
          </w:p>
        </w:tc>
        <w:tc>
          <w:tcPr>
            <w:tcW w:w="1127" w:type="dxa"/>
          </w:tcPr>
          <w:p w14:paraId="73D9CE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05DD37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ТБ4</w:t>
            </w:r>
          </w:p>
        </w:tc>
        <w:tc>
          <w:tcPr>
            <w:tcW w:w="1127" w:type="dxa"/>
          </w:tcPr>
          <w:p w14:paraId="12979F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5806352" w14:textId="77777777">
        <w:tc>
          <w:tcPr>
            <w:tcW w:w="1127" w:type="dxa"/>
          </w:tcPr>
          <w:p w14:paraId="267CA0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Морск. разв.</w:t>
            </w:r>
          </w:p>
        </w:tc>
        <w:tc>
          <w:tcPr>
            <w:tcW w:w="1127" w:type="dxa"/>
          </w:tcPr>
          <w:p w14:paraId="161FBE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5AD995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С-62</w:t>
            </w:r>
          </w:p>
        </w:tc>
        <w:tc>
          <w:tcPr>
            <w:tcW w:w="1127" w:type="dxa"/>
          </w:tcPr>
          <w:p w14:paraId="683D76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С-62</w:t>
            </w:r>
          </w:p>
        </w:tc>
        <w:tc>
          <w:tcPr>
            <w:tcW w:w="1127" w:type="dxa"/>
          </w:tcPr>
          <w:p w14:paraId="18E7D2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С-62</w:t>
            </w:r>
          </w:p>
        </w:tc>
        <w:tc>
          <w:tcPr>
            <w:tcW w:w="1127" w:type="dxa"/>
          </w:tcPr>
          <w:p w14:paraId="107329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2D1C28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2C52B0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7B3B85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8D1143E" w14:textId="77777777">
        <w:tc>
          <w:tcPr>
            <w:tcW w:w="1127" w:type="dxa"/>
          </w:tcPr>
          <w:p w14:paraId="196F11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550473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26D6AF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1513F0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38FADE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МДР</w:t>
            </w:r>
          </w:p>
        </w:tc>
        <w:tc>
          <w:tcPr>
            <w:tcW w:w="1127" w:type="dxa"/>
          </w:tcPr>
          <w:p w14:paraId="0B447B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МДР3</w:t>
            </w:r>
          </w:p>
        </w:tc>
        <w:tc>
          <w:tcPr>
            <w:tcW w:w="1127" w:type="dxa"/>
          </w:tcPr>
          <w:p w14:paraId="5D3A5F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МДР</w:t>
            </w:r>
          </w:p>
        </w:tc>
        <w:tc>
          <w:tcPr>
            <w:tcW w:w="1127" w:type="dxa"/>
          </w:tcPr>
          <w:p w14:paraId="236BFC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00CFA3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F5D3DC6" w14:textId="77777777">
        <w:tc>
          <w:tcPr>
            <w:tcW w:w="1127" w:type="dxa"/>
          </w:tcPr>
          <w:p w14:paraId="480251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1BEF7D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4D9BB9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6A1517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464010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22BC91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МБР-3</w:t>
            </w:r>
          </w:p>
        </w:tc>
        <w:tc>
          <w:tcPr>
            <w:tcW w:w="1127" w:type="dxa"/>
          </w:tcPr>
          <w:p w14:paraId="372916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МБР</w:t>
            </w:r>
          </w:p>
        </w:tc>
        <w:tc>
          <w:tcPr>
            <w:tcW w:w="1127" w:type="dxa"/>
          </w:tcPr>
          <w:p w14:paraId="3E42E1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МБР-3</w:t>
            </w:r>
          </w:p>
        </w:tc>
        <w:tc>
          <w:tcPr>
            <w:tcW w:w="1127" w:type="dxa"/>
          </w:tcPr>
          <w:p w14:paraId="26D1F2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B5C3069" w14:textId="77777777">
        <w:tc>
          <w:tcPr>
            <w:tcW w:w="1127" w:type="dxa"/>
          </w:tcPr>
          <w:p w14:paraId="1717CC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071939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6DBB14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3D162E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170C9B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59B91A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2D4391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142A7C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МК</w:t>
            </w:r>
          </w:p>
        </w:tc>
        <w:tc>
          <w:tcPr>
            <w:tcW w:w="1127" w:type="dxa"/>
          </w:tcPr>
          <w:p w14:paraId="3D07B2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B5B0EBB" w14:textId="77777777">
        <w:tc>
          <w:tcPr>
            <w:tcW w:w="1127" w:type="dxa"/>
          </w:tcPr>
          <w:p w14:paraId="4ABA24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Специальн.</w:t>
            </w:r>
          </w:p>
        </w:tc>
        <w:tc>
          <w:tcPr>
            <w:tcW w:w="1127" w:type="dxa"/>
          </w:tcPr>
          <w:p w14:paraId="620DB2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427447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01E535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513BC6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7D42FC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0DEBF6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304F8C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76CF57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21431E7" w14:textId="77777777">
        <w:tc>
          <w:tcPr>
            <w:tcW w:w="1127" w:type="dxa"/>
          </w:tcPr>
          <w:p w14:paraId="3F50CC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19CA45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7FD807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1D9B09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5FC299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4779AC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21DE93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72DE46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544E7C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34FA1C8" w14:textId="77777777">
        <w:tc>
          <w:tcPr>
            <w:tcW w:w="1127" w:type="dxa"/>
          </w:tcPr>
          <w:p w14:paraId="3BCB63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04B703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7BFAC4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5E47E6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076B43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39155F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03EB48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744B9E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Р-10</w:t>
            </w:r>
          </w:p>
        </w:tc>
        <w:tc>
          <w:tcPr>
            <w:tcW w:w="1127" w:type="dxa"/>
          </w:tcPr>
          <w:p w14:paraId="141C78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D0C6383" w14:textId="77777777">
        <w:tc>
          <w:tcPr>
            <w:tcW w:w="1127" w:type="dxa"/>
          </w:tcPr>
          <w:p w14:paraId="40FE29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719C6D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19257F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4E940B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2089D2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625DE1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469EEE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5A2779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ВС2</w:t>
            </w:r>
          </w:p>
        </w:tc>
        <w:tc>
          <w:tcPr>
            <w:tcW w:w="1127" w:type="dxa"/>
          </w:tcPr>
          <w:p w14:paraId="376732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F9A6625" w14:textId="77777777">
        <w:tc>
          <w:tcPr>
            <w:tcW w:w="1127" w:type="dxa"/>
          </w:tcPr>
          <w:p w14:paraId="2F5242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01DB69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5974F2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768E76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5277DC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5B472F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54FACF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34EC2C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ПБ-1</w:t>
            </w:r>
          </w:p>
        </w:tc>
        <w:tc>
          <w:tcPr>
            <w:tcW w:w="1127" w:type="dxa"/>
          </w:tcPr>
          <w:p w14:paraId="637020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672E51D" w14:textId="77777777">
        <w:tc>
          <w:tcPr>
            <w:tcW w:w="1127" w:type="dxa"/>
          </w:tcPr>
          <w:p w14:paraId="414D8F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578252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3D9D55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57E238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1C8CDF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637490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09DB44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3BD428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Х-1</w:t>
            </w:r>
          </w:p>
        </w:tc>
        <w:tc>
          <w:tcPr>
            <w:tcW w:w="1127" w:type="dxa"/>
          </w:tcPr>
          <w:p w14:paraId="5521A2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84BAE22" w14:textId="77777777">
        <w:tc>
          <w:tcPr>
            <w:tcW w:w="1127" w:type="dxa"/>
          </w:tcPr>
          <w:p w14:paraId="00CC4C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Учебн.</w:t>
            </w:r>
          </w:p>
        </w:tc>
        <w:tc>
          <w:tcPr>
            <w:tcW w:w="1127" w:type="dxa"/>
          </w:tcPr>
          <w:p w14:paraId="38A632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У2</w:t>
            </w:r>
          </w:p>
        </w:tc>
        <w:tc>
          <w:tcPr>
            <w:tcW w:w="1127" w:type="dxa"/>
          </w:tcPr>
          <w:p w14:paraId="5AF51E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У2</w:t>
            </w:r>
          </w:p>
        </w:tc>
        <w:tc>
          <w:tcPr>
            <w:tcW w:w="1127" w:type="dxa"/>
          </w:tcPr>
          <w:p w14:paraId="089B4A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У2</w:t>
            </w:r>
          </w:p>
        </w:tc>
        <w:tc>
          <w:tcPr>
            <w:tcW w:w="1127" w:type="dxa"/>
          </w:tcPr>
          <w:p w14:paraId="4885F3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У2</w:t>
            </w:r>
          </w:p>
        </w:tc>
        <w:tc>
          <w:tcPr>
            <w:tcW w:w="1127" w:type="dxa"/>
          </w:tcPr>
          <w:p w14:paraId="55DA8D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У2</w:t>
            </w:r>
          </w:p>
        </w:tc>
        <w:tc>
          <w:tcPr>
            <w:tcW w:w="1127" w:type="dxa"/>
          </w:tcPr>
          <w:p w14:paraId="3C733C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У2</w:t>
            </w:r>
          </w:p>
        </w:tc>
        <w:tc>
          <w:tcPr>
            <w:tcW w:w="1127" w:type="dxa"/>
          </w:tcPr>
          <w:p w14:paraId="2BF200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У2</w:t>
            </w:r>
          </w:p>
        </w:tc>
        <w:tc>
          <w:tcPr>
            <w:tcW w:w="1127" w:type="dxa"/>
          </w:tcPr>
          <w:p w14:paraId="7DF843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18826C3" w14:textId="77777777">
        <w:tc>
          <w:tcPr>
            <w:tcW w:w="1127" w:type="dxa"/>
          </w:tcPr>
          <w:p w14:paraId="4A642D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0035A8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258110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6361DB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3C2176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6AD1DE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МУ3</w:t>
            </w:r>
          </w:p>
        </w:tc>
        <w:tc>
          <w:tcPr>
            <w:tcW w:w="1127" w:type="dxa"/>
          </w:tcPr>
          <w:p w14:paraId="105D3B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63B361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73BF6B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4BB4C42" w14:textId="77777777">
        <w:tc>
          <w:tcPr>
            <w:tcW w:w="1127" w:type="dxa"/>
          </w:tcPr>
          <w:p w14:paraId="2F43C0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Спорт.</w:t>
            </w:r>
          </w:p>
        </w:tc>
        <w:tc>
          <w:tcPr>
            <w:tcW w:w="1127" w:type="dxa"/>
          </w:tcPr>
          <w:p w14:paraId="55357C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7FFFBA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10AB37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13794F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2FE5D6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1F6316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37637E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7F0819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12A02A0" w14:textId="77777777">
        <w:tc>
          <w:tcPr>
            <w:tcW w:w="1127" w:type="dxa"/>
          </w:tcPr>
          <w:p w14:paraId="506969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7708DD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2A1CEF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332319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649E23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21C4AA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10D9A1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w:t>
            </w:r>
          </w:p>
        </w:tc>
        <w:tc>
          <w:tcPr>
            <w:tcW w:w="1127" w:type="dxa"/>
          </w:tcPr>
          <w:p w14:paraId="081DAD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758818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5964D63" w14:textId="77777777">
        <w:tc>
          <w:tcPr>
            <w:tcW w:w="1127" w:type="dxa"/>
          </w:tcPr>
          <w:p w14:paraId="43B360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Пассаж.</w:t>
            </w:r>
          </w:p>
        </w:tc>
        <w:tc>
          <w:tcPr>
            <w:tcW w:w="1127" w:type="dxa"/>
          </w:tcPr>
          <w:p w14:paraId="53809D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081F18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АНТ9</w:t>
            </w:r>
          </w:p>
        </w:tc>
        <w:tc>
          <w:tcPr>
            <w:tcW w:w="1127" w:type="dxa"/>
          </w:tcPr>
          <w:p w14:paraId="2C0DA9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233DB0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АНТ9</w:t>
            </w:r>
          </w:p>
        </w:tc>
        <w:tc>
          <w:tcPr>
            <w:tcW w:w="1127" w:type="dxa"/>
          </w:tcPr>
          <w:p w14:paraId="10AA48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6FB66E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АНТ9</w:t>
            </w:r>
          </w:p>
        </w:tc>
        <w:tc>
          <w:tcPr>
            <w:tcW w:w="1127" w:type="dxa"/>
          </w:tcPr>
          <w:p w14:paraId="44BDFD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47A9BB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689BCF6" w14:textId="77777777">
        <w:tc>
          <w:tcPr>
            <w:tcW w:w="1127" w:type="dxa"/>
          </w:tcPr>
          <w:p w14:paraId="0223A5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2C8B7E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7E7F25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К5</w:t>
            </w:r>
          </w:p>
        </w:tc>
        <w:tc>
          <w:tcPr>
            <w:tcW w:w="1127" w:type="dxa"/>
          </w:tcPr>
          <w:p w14:paraId="6ED425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5BA7C6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К5</w:t>
            </w:r>
          </w:p>
        </w:tc>
        <w:tc>
          <w:tcPr>
            <w:tcW w:w="1127" w:type="dxa"/>
          </w:tcPr>
          <w:p w14:paraId="4E6E5A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7A8ED5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К-5</w:t>
            </w:r>
          </w:p>
        </w:tc>
        <w:tc>
          <w:tcPr>
            <w:tcW w:w="1127" w:type="dxa"/>
          </w:tcPr>
          <w:p w14:paraId="549886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7A61D7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bl>
    <w:p w14:paraId="3D22DF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Примечание: ТШ3 - однотипен с разведчиком (351).</w:t>
      </w:r>
    </w:p>
    <w:p w14:paraId="7DE697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Самолеты опытного самолетостроения ОКБ и их внедрение в серию в 1931-1934 (по плану, утвержденному 23 сентября 1931)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711"/>
        <w:gridCol w:w="711"/>
        <w:gridCol w:w="1130"/>
        <w:gridCol w:w="2268"/>
        <w:gridCol w:w="708"/>
        <w:gridCol w:w="709"/>
        <w:gridCol w:w="567"/>
        <w:gridCol w:w="567"/>
        <w:gridCol w:w="709"/>
        <w:gridCol w:w="576"/>
      </w:tblGrid>
      <w:tr w:rsidR="001002C3" w:rsidRPr="005E779E" w14:paraId="77EE6EED" w14:textId="77777777">
        <w:tc>
          <w:tcPr>
            <w:tcW w:w="1951" w:type="dxa"/>
          </w:tcPr>
          <w:p w14:paraId="124E4E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Тип</w:t>
            </w:r>
          </w:p>
        </w:tc>
        <w:tc>
          <w:tcPr>
            <w:tcW w:w="711" w:type="dxa"/>
          </w:tcPr>
          <w:p w14:paraId="612793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серии</w:t>
            </w:r>
          </w:p>
        </w:tc>
        <w:tc>
          <w:tcPr>
            <w:tcW w:w="711" w:type="dxa"/>
          </w:tcPr>
          <w:p w14:paraId="4646AC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w:t>
            </w:r>
          </w:p>
        </w:tc>
        <w:tc>
          <w:tcPr>
            <w:tcW w:w="1130" w:type="dxa"/>
          </w:tcPr>
          <w:p w14:paraId="2048DB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Разработчик </w:t>
            </w:r>
          </w:p>
        </w:tc>
        <w:tc>
          <w:tcPr>
            <w:tcW w:w="2268" w:type="dxa"/>
          </w:tcPr>
          <w:p w14:paraId="26196F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w:t>
            </w:r>
          </w:p>
        </w:tc>
        <w:tc>
          <w:tcPr>
            <w:tcW w:w="708" w:type="dxa"/>
          </w:tcPr>
          <w:p w14:paraId="38C81B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FDC7B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889EB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Серия</w:t>
            </w:r>
          </w:p>
        </w:tc>
        <w:tc>
          <w:tcPr>
            <w:tcW w:w="567" w:type="dxa"/>
          </w:tcPr>
          <w:p w14:paraId="5E1918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3D37B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633EB6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CD1F9C9" w14:textId="77777777">
        <w:tc>
          <w:tcPr>
            <w:tcW w:w="1951" w:type="dxa"/>
          </w:tcPr>
          <w:p w14:paraId="112278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26D11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D3741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2BD051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71DE2B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3317F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w:t>
            </w:r>
          </w:p>
        </w:tc>
        <w:tc>
          <w:tcPr>
            <w:tcW w:w="709" w:type="dxa"/>
          </w:tcPr>
          <w:p w14:paraId="4CF8E6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1932</w:t>
            </w:r>
          </w:p>
        </w:tc>
        <w:tc>
          <w:tcPr>
            <w:tcW w:w="567" w:type="dxa"/>
          </w:tcPr>
          <w:p w14:paraId="039F4A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1933</w:t>
            </w:r>
          </w:p>
        </w:tc>
        <w:tc>
          <w:tcPr>
            <w:tcW w:w="567" w:type="dxa"/>
          </w:tcPr>
          <w:p w14:paraId="10F939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1934</w:t>
            </w:r>
          </w:p>
        </w:tc>
        <w:tc>
          <w:tcPr>
            <w:tcW w:w="709" w:type="dxa"/>
          </w:tcPr>
          <w:p w14:paraId="442E6D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1935</w:t>
            </w:r>
          </w:p>
        </w:tc>
        <w:tc>
          <w:tcPr>
            <w:tcW w:w="576" w:type="dxa"/>
          </w:tcPr>
          <w:p w14:paraId="4438A9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w:t>
            </w:r>
          </w:p>
        </w:tc>
      </w:tr>
      <w:tr w:rsidR="001002C3" w:rsidRPr="005E779E" w14:paraId="297EA6EA" w14:textId="77777777">
        <w:tc>
          <w:tcPr>
            <w:tcW w:w="1951" w:type="dxa"/>
          </w:tcPr>
          <w:p w14:paraId="2E6866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Истребитель</w:t>
            </w:r>
          </w:p>
        </w:tc>
        <w:tc>
          <w:tcPr>
            <w:tcW w:w="711" w:type="dxa"/>
          </w:tcPr>
          <w:p w14:paraId="763A4E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И5-М22/15</w:t>
            </w:r>
          </w:p>
        </w:tc>
        <w:tc>
          <w:tcPr>
            <w:tcW w:w="711" w:type="dxa"/>
          </w:tcPr>
          <w:p w14:paraId="35F0EE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1130" w:type="dxa"/>
          </w:tcPr>
          <w:p w14:paraId="770D7D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5B9F56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AD939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 (мас)</w:t>
            </w:r>
          </w:p>
        </w:tc>
        <w:tc>
          <w:tcPr>
            <w:tcW w:w="709" w:type="dxa"/>
          </w:tcPr>
          <w:p w14:paraId="4A7F94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B656B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CD15B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6A4E6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1F3E06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r>
      <w:tr w:rsidR="001002C3" w:rsidRPr="005E779E" w14:paraId="0EEEF922" w14:textId="77777777">
        <w:tc>
          <w:tcPr>
            <w:tcW w:w="1951" w:type="dxa"/>
          </w:tcPr>
          <w:p w14:paraId="7AD620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одноместный</w:t>
            </w:r>
          </w:p>
        </w:tc>
        <w:tc>
          <w:tcPr>
            <w:tcW w:w="711" w:type="dxa"/>
          </w:tcPr>
          <w:p w14:paraId="03BAB7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D2871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038BCF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259212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FCAE2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5714B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w:t>
            </w:r>
          </w:p>
        </w:tc>
        <w:tc>
          <w:tcPr>
            <w:tcW w:w="567" w:type="dxa"/>
          </w:tcPr>
          <w:p w14:paraId="766B96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И5бис (мас)</w:t>
            </w:r>
          </w:p>
        </w:tc>
        <w:tc>
          <w:tcPr>
            <w:tcW w:w="567" w:type="dxa"/>
          </w:tcPr>
          <w:p w14:paraId="1881E3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9FE39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3901A3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w:t>
            </w:r>
          </w:p>
        </w:tc>
      </w:tr>
      <w:tr w:rsidR="001002C3" w:rsidRPr="005E779E" w14:paraId="488A6DDF" w14:textId="77777777">
        <w:tc>
          <w:tcPr>
            <w:tcW w:w="1951" w:type="dxa"/>
          </w:tcPr>
          <w:p w14:paraId="00D856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пулеметный</w:t>
            </w:r>
          </w:p>
        </w:tc>
        <w:tc>
          <w:tcPr>
            <w:tcW w:w="711" w:type="dxa"/>
          </w:tcPr>
          <w:p w14:paraId="066F11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И7-М17</w:t>
            </w:r>
          </w:p>
        </w:tc>
        <w:tc>
          <w:tcPr>
            <w:tcW w:w="711" w:type="dxa"/>
          </w:tcPr>
          <w:p w14:paraId="6E0BDA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1130" w:type="dxa"/>
          </w:tcPr>
          <w:p w14:paraId="57BD75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1A3F5A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B7403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CA546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И7 (мас)</w:t>
            </w:r>
          </w:p>
        </w:tc>
        <w:tc>
          <w:tcPr>
            <w:tcW w:w="567" w:type="dxa"/>
          </w:tcPr>
          <w:p w14:paraId="6B7DAC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F5C12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A48A3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6FAC85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r>
      <w:tr w:rsidR="001002C3" w:rsidRPr="005E779E" w14:paraId="27F2C222" w14:textId="77777777">
        <w:tc>
          <w:tcPr>
            <w:tcW w:w="1951" w:type="dxa"/>
          </w:tcPr>
          <w:p w14:paraId="01A5CC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0B323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35633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1D0C1E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ЦКБ</w:t>
            </w:r>
          </w:p>
        </w:tc>
        <w:tc>
          <w:tcPr>
            <w:tcW w:w="2268" w:type="dxa"/>
          </w:tcPr>
          <w:p w14:paraId="74FACE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И5бис-М22/15</w:t>
            </w:r>
          </w:p>
        </w:tc>
        <w:tc>
          <w:tcPr>
            <w:tcW w:w="708" w:type="dxa"/>
          </w:tcPr>
          <w:p w14:paraId="54D0A8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3D31E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54E94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Ипул.</w:t>
            </w:r>
          </w:p>
        </w:tc>
        <w:tc>
          <w:tcPr>
            <w:tcW w:w="567" w:type="dxa"/>
          </w:tcPr>
          <w:p w14:paraId="22B6C2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Ипул.</w:t>
            </w:r>
          </w:p>
        </w:tc>
        <w:tc>
          <w:tcPr>
            <w:tcW w:w="709" w:type="dxa"/>
          </w:tcPr>
          <w:p w14:paraId="585BBC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w:t>
            </w:r>
          </w:p>
        </w:tc>
        <w:tc>
          <w:tcPr>
            <w:tcW w:w="576" w:type="dxa"/>
          </w:tcPr>
          <w:p w14:paraId="525BD4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0AF9504" w14:textId="77777777">
        <w:tc>
          <w:tcPr>
            <w:tcW w:w="1951" w:type="dxa"/>
          </w:tcPr>
          <w:p w14:paraId="270E51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B4E94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091C3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330DD7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ЦКБ</w:t>
            </w:r>
          </w:p>
        </w:tc>
        <w:tc>
          <w:tcPr>
            <w:tcW w:w="2268" w:type="dxa"/>
          </w:tcPr>
          <w:p w14:paraId="35165C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 улучш.</w:t>
            </w:r>
          </w:p>
        </w:tc>
        <w:tc>
          <w:tcPr>
            <w:tcW w:w="708" w:type="dxa"/>
          </w:tcPr>
          <w:p w14:paraId="35F06D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3B681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B97D7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B3242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23E75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0132B0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EED521F" w14:textId="77777777">
        <w:tc>
          <w:tcPr>
            <w:tcW w:w="1951" w:type="dxa"/>
          </w:tcPr>
          <w:p w14:paraId="3AF483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168DB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EB059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0E5FCA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ЦКБ</w:t>
            </w:r>
          </w:p>
        </w:tc>
        <w:tc>
          <w:tcPr>
            <w:tcW w:w="2268" w:type="dxa"/>
          </w:tcPr>
          <w:p w14:paraId="0BD53D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И5-М15</w:t>
            </w:r>
          </w:p>
        </w:tc>
        <w:tc>
          <w:tcPr>
            <w:tcW w:w="708" w:type="dxa"/>
          </w:tcPr>
          <w:p w14:paraId="0EAD55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AB79A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0C033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892B2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ED4C7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03FE54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FD2F1F5" w14:textId="77777777">
        <w:tc>
          <w:tcPr>
            <w:tcW w:w="1951" w:type="dxa"/>
          </w:tcPr>
          <w:p w14:paraId="01743F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3B82C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B919C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0C213A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ЦКБ</w:t>
            </w:r>
          </w:p>
        </w:tc>
        <w:tc>
          <w:tcPr>
            <w:tcW w:w="2268" w:type="dxa"/>
          </w:tcPr>
          <w:p w14:paraId="71DA67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И8-Кер. доводка</w:t>
            </w:r>
          </w:p>
        </w:tc>
        <w:tc>
          <w:tcPr>
            <w:tcW w:w="708" w:type="dxa"/>
          </w:tcPr>
          <w:p w14:paraId="62B8D2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765E7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B6320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4ECAA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647DD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3E0E25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71E6F5E" w14:textId="77777777">
        <w:tc>
          <w:tcPr>
            <w:tcW w:w="1951" w:type="dxa"/>
          </w:tcPr>
          <w:p w14:paraId="1A9928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0B5C6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89299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0B245D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ЦКБ</w:t>
            </w:r>
          </w:p>
        </w:tc>
        <w:tc>
          <w:tcPr>
            <w:tcW w:w="2268" w:type="dxa"/>
          </w:tcPr>
          <w:p w14:paraId="0D2FED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И10-М38РЦ</w:t>
            </w:r>
          </w:p>
        </w:tc>
        <w:tc>
          <w:tcPr>
            <w:tcW w:w="708" w:type="dxa"/>
          </w:tcPr>
          <w:p w14:paraId="02AE61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6EB11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312CF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3A1F4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73CB3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5ED186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918E1BC" w14:textId="77777777">
        <w:tc>
          <w:tcPr>
            <w:tcW w:w="1951" w:type="dxa"/>
          </w:tcPr>
          <w:p w14:paraId="55A341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30E78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D2ED4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58AB4E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ЦКБ</w:t>
            </w:r>
          </w:p>
        </w:tc>
        <w:tc>
          <w:tcPr>
            <w:tcW w:w="2268" w:type="dxa"/>
          </w:tcPr>
          <w:p w14:paraId="3EE228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И11-М32</w:t>
            </w:r>
          </w:p>
        </w:tc>
        <w:tc>
          <w:tcPr>
            <w:tcW w:w="708" w:type="dxa"/>
          </w:tcPr>
          <w:p w14:paraId="05256F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826EF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8C8BA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79CE0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86C6F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030DF2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0984AB5" w14:textId="77777777">
        <w:tc>
          <w:tcPr>
            <w:tcW w:w="1951" w:type="dxa"/>
          </w:tcPr>
          <w:p w14:paraId="5A98C9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27193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A3A67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3DA460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БНК</w:t>
            </w:r>
          </w:p>
        </w:tc>
        <w:tc>
          <w:tcPr>
            <w:tcW w:w="2268" w:type="dxa"/>
          </w:tcPr>
          <w:p w14:paraId="6618B5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И9-М34 с Н</w:t>
            </w:r>
          </w:p>
        </w:tc>
        <w:tc>
          <w:tcPr>
            <w:tcW w:w="708" w:type="dxa"/>
          </w:tcPr>
          <w:p w14:paraId="5CEA47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2D60F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9277C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AD8E6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DFE44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1E899E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953308A" w14:textId="77777777">
        <w:tc>
          <w:tcPr>
            <w:tcW w:w="1951" w:type="dxa"/>
          </w:tcPr>
          <w:p w14:paraId="0D76B3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Истребитель</w:t>
            </w:r>
          </w:p>
        </w:tc>
        <w:tc>
          <w:tcPr>
            <w:tcW w:w="711" w:type="dxa"/>
          </w:tcPr>
          <w:p w14:paraId="1DD70C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E13B7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357349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ЦКБ</w:t>
            </w:r>
          </w:p>
        </w:tc>
        <w:tc>
          <w:tcPr>
            <w:tcW w:w="2268" w:type="dxa"/>
          </w:tcPr>
          <w:p w14:paraId="22D756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И13-ФЭД</w:t>
            </w:r>
          </w:p>
        </w:tc>
        <w:tc>
          <w:tcPr>
            <w:tcW w:w="708" w:type="dxa"/>
          </w:tcPr>
          <w:p w14:paraId="3A0F93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29DE7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ED110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580AC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4712B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24A1AC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B5B7856" w14:textId="77777777">
        <w:tc>
          <w:tcPr>
            <w:tcW w:w="1951" w:type="dxa"/>
          </w:tcPr>
          <w:p w14:paraId="3779FD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одноместный</w:t>
            </w:r>
          </w:p>
        </w:tc>
        <w:tc>
          <w:tcPr>
            <w:tcW w:w="711" w:type="dxa"/>
          </w:tcPr>
          <w:p w14:paraId="5E0273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F131A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3AE01A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w:t>
            </w:r>
          </w:p>
        </w:tc>
        <w:tc>
          <w:tcPr>
            <w:tcW w:w="2268" w:type="dxa"/>
          </w:tcPr>
          <w:p w14:paraId="426C08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И12-2М22</w:t>
            </w:r>
          </w:p>
        </w:tc>
        <w:tc>
          <w:tcPr>
            <w:tcW w:w="708" w:type="dxa"/>
          </w:tcPr>
          <w:p w14:paraId="4594FC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FA7DB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58F05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Илин.</w:t>
            </w:r>
          </w:p>
        </w:tc>
        <w:tc>
          <w:tcPr>
            <w:tcW w:w="567" w:type="dxa"/>
          </w:tcPr>
          <w:p w14:paraId="3AC222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Илин.</w:t>
            </w:r>
          </w:p>
        </w:tc>
        <w:tc>
          <w:tcPr>
            <w:tcW w:w="709" w:type="dxa"/>
          </w:tcPr>
          <w:p w14:paraId="44C308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Илин.</w:t>
            </w:r>
          </w:p>
        </w:tc>
        <w:tc>
          <w:tcPr>
            <w:tcW w:w="576" w:type="dxa"/>
          </w:tcPr>
          <w:p w14:paraId="0934D8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w:t>
            </w:r>
          </w:p>
        </w:tc>
      </w:tr>
      <w:tr w:rsidR="001002C3" w:rsidRPr="005E779E" w14:paraId="4C2FDAE7" w14:textId="77777777">
        <w:tc>
          <w:tcPr>
            <w:tcW w:w="1951" w:type="dxa"/>
          </w:tcPr>
          <w:p w14:paraId="0F245E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пушечный</w:t>
            </w:r>
          </w:p>
        </w:tc>
        <w:tc>
          <w:tcPr>
            <w:tcW w:w="711" w:type="dxa"/>
          </w:tcPr>
          <w:p w14:paraId="0139C8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0D87E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2C6FE5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w:t>
            </w:r>
          </w:p>
        </w:tc>
        <w:tc>
          <w:tcPr>
            <w:tcW w:w="2268" w:type="dxa"/>
          </w:tcPr>
          <w:p w14:paraId="5BBE37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И12-2М22 РЦ</w:t>
            </w:r>
          </w:p>
        </w:tc>
        <w:tc>
          <w:tcPr>
            <w:tcW w:w="708" w:type="dxa"/>
          </w:tcPr>
          <w:p w14:paraId="2B68BE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C5BF8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F4659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8D4A4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0BD06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2EBE0E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776D705" w14:textId="77777777">
        <w:tc>
          <w:tcPr>
            <w:tcW w:w="1951" w:type="dxa"/>
          </w:tcPr>
          <w:p w14:paraId="62EDB9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4F1ED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043ED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28F0E6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ЦКБ</w:t>
            </w:r>
          </w:p>
        </w:tc>
        <w:tc>
          <w:tcPr>
            <w:tcW w:w="2268" w:type="dxa"/>
          </w:tcPr>
          <w:p w14:paraId="3CD99F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И7-М22</w:t>
            </w:r>
          </w:p>
        </w:tc>
        <w:tc>
          <w:tcPr>
            <w:tcW w:w="708" w:type="dxa"/>
          </w:tcPr>
          <w:p w14:paraId="03CB77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FC5DC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4ADD2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B64B8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21924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299014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E31C817" w14:textId="77777777">
        <w:tc>
          <w:tcPr>
            <w:tcW w:w="1951" w:type="dxa"/>
          </w:tcPr>
          <w:p w14:paraId="452392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0C8DC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4CF49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0F5607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ЦКБ</w:t>
            </w:r>
          </w:p>
        </w:tc>
        <w:tc>
          <w:tcPr>
            <w:tcW w:w="2268" w:type="dxa"/>
          </w:tcPr>
          <w:p w14:paraId="726FDB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ИП2-2М38</w:t>
            </w:r>
          </w:p>
        </w:tc>
        <w:tc>
          <w:tcPr>
            <w:tcW w:w="708" w:type="dxa"/>
          </w:tcPr>
          <w:p w14:paraId="483D34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F1EE5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F5366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D9D89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FA323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60830A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9847706" w14:textId="77777777">
        <w:tc>
          <w:tcPr>
            <w:tcW w:w="1951" w:type="dxa"/>
          </w:tcPr>
          <w:p w14:paraId="76D5CB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Истребитель</w:t>
            </w:r>
          </w:p>
        </w:tc>
        <w:tc>
          <w:tcPr>
            <w:tcW w:w="711" w:type="dxa"/>
          </w:tcPr>
          <w:p w14:paraId="02E19A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3F3F0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604B91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БНК</w:t>
            </w:r>
          </w:p>
        </w:tc>
        <w:tc>
          <w:tcPr>
            <w:tcW w:w="2268" w:type="dxa"/>
          </w:tcPr>
          <w:p w14:paraId="4E1B1B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ДИ4-Керт.</w:t>
            </w:r>
          </w:p>
        </w:tc>
        <w:tc>
          <w:tcPr>
            <w:tcW w:w="708" w:type="dxa"/>
          </w:tcPr>
          <w:p w14:paraId="00FD91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AD5C0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54497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37D96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w:t>
            </w:r>
          </w:p>
        </w:tc>
        <w:tc>
          <w:tcPr>
            <w:tcW w:w="709" w:type="dxa"/>
          </w:tcPr>
          <w:p w14:paraId="03FF7E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w:t>
            </w:r>
          </w:p>
        </w:tc>
        <w:tc>
          <w:tcPr>
            <w:tcW w:w="576" w:type="dxa"/>
          </w:tcPr>
          <w:p w14:paraId="7BA08E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w:t>
            </w:r>
          </w:p>
        </w:tc>
      </w:tr>
      <w:tr w:rsidR="001002C3" w:rsidRPr="005E779E" w14:paraId="0960594B" w14:textId="77777777">
        <w:tc>
          <w:tcPr>
            <w:tcW w:w="1951" w:type="dxa"/>
          </w:tcPr>
          <w:p w14:paraId="49D702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двухместный</w:t>
            </w:r>
          </w:p>
        </w:tc>
        <w:tc>
          <w:tcPr>
            <w:tcW w:w="711" w:type="dxa"/>
          </w:tcPr>
          <w:p w14:paraId="5893B3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54859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339B9F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ЦКБ</w:t>
            </w:r>
          </w:p>
        </w:tc>
        <w:tc>
          <w:tcPr>
            <w:tcW w:w="2268" w:type="dxa"/>
          </w:tcPr>
          <w:p w14:paraId="744DBF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ДИ7-М34 пуш.</w:t>
            </w:r>
          </w:p>
        </w:tc>
        <w:tc>
          <w:tcPr>
            <w:tcW w:w="708" w:type="dxa"/>
          </w:tcPr>
          <w:p w14:paraId="65AB32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3CCAB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DED4F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41209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3024F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2AB8AA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6FD9FB5" w14:textId="77777777">
        <w:tc>
          <w:tcPr>
            <w:tcW w:w="1951" w:type="dxa"/>
          </w:tcPr>
          <w:p w14:paraId="504E37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3C4B3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C2DC4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52CE7A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БНК</w:t>
            </w:r>
          </w:p>
        </w:tc>
        <w:tc>
          <w:tcPr>
            <w:tcW w:w="2268" w:type="dxa"/>
          </w:tcPr>
          <w:p w14:paraId="564DDD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ДИ6-М34</w:t>
            </w:r>
          </w:p>
        </w:tc>
        <w:tc>
          <w:tcPr>
            <w:tcW w:w="708" w:type="dxa"/>
          </w:tcPr>
          <w:p w14:paraId="044446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A510A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21BB2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BA48A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27440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10DC85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B427B77" w14:textId="77777777">
        <w:tc>
          <w:tcPr>
            <w:tcW w:w="1951" w:type="dxa"/>
          </w:tcPr>
          <w:p w14:paraId="7AE4E9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AD517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C023F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1D37AD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БНК</w:t>
            </w:r>
          </w:p>
        </w:tc>
        <w:tc>
          <w:tcPr>
            <w:tcW w:w="2268" w:type="dxa"/>
          </w:tcPr>
          <w:p w14:paraId="7BFB90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ДИ5-М34 пуш.</w:t>
            </w:r>
          </w:p>
        </w:tc>
        <w:tc>
          <w:tcPr>
            <w:tcW w:w="708" w:type="dxa"/>
          </w:tcPr>
          <w:p w14:paraId="7CEF19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BB369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CE027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E4BEC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1BE92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770F91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C5A479B" w14:textId="77777777">
        <w:tc>
          <w:tcPr>
            <w:tcW w:w="1951" w:type="dxa"/>
          </w:tcPr>
          <w:p w14:paraId="30875C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Разведчик</w:t>
            </w:r>
          </w:p>
        </w:tc>
        <w:tc>
          <w:tcPr>
            <w:tcW w:w="711" w:type="dxa"/>
          </w:tcPr>
          <w:p w14:paraId="53F72C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Р5-М17</w:t>
            </w:r>
          </w:p>
        </w:tc>
        <w:tc>
          <w:tcPr>
            <w:tcW w:w="711" w:type="dxa"/>
          </w:tcPr>
          <w:p w14:paraId="4C7E6D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1130" w:type="dxa"/>
          </w:tcPr>
          <w:p w14:paraId="292FDD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2C6086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Р5-М17</w:t>
            </w:r>
          </w:p>
        </w:tc>
        <w:tc>
          <w:tcPr>
            <w:tcW w:w="708" w:type="dxa"/>
          </w:tcPr>
          <w:p w14:paraId="0E0209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Р5-М17</w:t>
            </w:r>
          </w:p>
        </w:tc>
        <w:tc>
          <w:tcPr>
            <w:tcW w:w="709" w:type="dxa"/>
          </w:tcPr>
          <w:p w14:paraId="7F34D4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Р5-М17</w:t>
            </w:r>
          </w:p>
        </w:tc>
        <w:tc>
          <w:tcPr>
            <w:tcW w:w="567" w:type="dxa"/>
          </w:tcPr>
          <w:p w14:paraId="28D8F0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58C29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D2BF9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6B2102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r>
      <w:tr w:rsidR="001002C3" w:rsidRPr="005E779E" w14:paraId="12A4FE27" w14:textId="77777777">
        <w:tc>
          <w:tcPr>
            <w:tcW w:w="1951" w:type="dxa"/>
          </w:tcPr>
          <w:p w14:paraId="5E79EC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6836E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B3CCB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665656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ЦКБ</w:t>
            </w:r>
          </w:p>
        </w:tc>
        <w:tc>
          <w:tcPr>
            <w:tcW w:w="2268" w:type="dxa"/>
          </w:tcPr>
          <w:p w14:paraId="1942E2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Р5-М17 пассаж.</w:t>
            </w:r>
          </w:p>
        </w:tc>
        <w:tc>
          <w:tcPr>
            <w:tcW w:w="708" w:type="dxa"/>
          </w:tcPr>
          <w:p w14:paraId="360741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F5D7C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0718F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FA3DA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BFEFA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3FD969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68664FB" w14:textId="77777777">
        <w:tc>
          <w:tcPr>
            <w:tcW w:w="1951" w:type="dxa"/>
          </w:tcPr>
          <w:p w14:paraId="5EB6DB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82226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1360D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51AA77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ЦКБ</w:t>
            </w:r>
          </w:p>
        </w:tc>
        <w:tc>
          <w:tcPr>
            <w:tcW w:w="2268" w:type="dxa"/>
          </w:tcPr>
          <w:p w14:paraId="13C2F2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Р5-М34</w:t>
            </w:r>
          </w:p>
        </w:tc>
        <w:tc>
          <w:tcPr>
            <w:tcW w:w="708" w:type="dxa"/>
          </w:tcPr>
          <w:p w14:paraId="38D747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5EC26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F9482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F58B5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92FE3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4D44E1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926F8D0" w14:textId="77777777">
        <w:tc>
          <w:tcPr>
            <w:tcW w:w="1951" w:type="dxa"/>
          </w:tcPr>
          <w:p w14:paraId="4CDCD3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EB8A7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D0231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7838DA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ЦКБ</w:t>
            </w:r>
          </w:p>
        </w:tc>
        <w:tc>
          <w:tcPr>
            <w:tcW w:w="2268" w:type="dxa"/>
          </w:tcPr>
          <w:p w14:paraId="3828BE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Р5-М17 разр. крыл.</w:t>
            </w:r>
          </w:p>
        </w:tc>
        <w:tc>
          <w:tcPr>
            <w:tcW w:w="708" w:type="dxa"/>
          </w:tcPr>
          <w:p w14:paraId="0E1328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0092D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B33CD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D67BF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02C1E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278A8B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D15E708" w14:textId="77777777">
        <w:tc>
          <w:tcPr>
            <w:tcW w:w="1951" w:type="dxa"/>
          </w:tcPr>
          <w:p w14:paraId="372404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BD714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53F97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73AC33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ЦКБ</w:t>
            </w:r>
          </w:p>
        </w:tc>
        <w:tc>
          <w:tcPr>
            <w:tcW w:w="2268" w:type="dxa"/>
          </w:tcPr>
          <w:p w14:paraId="304FF8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Р5-М17 поплавк.</w:t>
            </w:r>
          </w:p>
        </w:tc>
        <w:tc>
          <w:tcPr>
            <w:tcW w:w="708" w:type="dxa"/>
          </w:tcPr>
          <w:p w14:paraId="06F8D5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31B64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CE0F7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D9477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3AABE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085341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DC86A64" w14:textId="77777777">
        <w:tc>
          <w:tcPr>
            <w:tcW w:w="1951" w:type="dxa"/>
          </w:tcPr>
          <w:p w14:paraId="4C4D23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65220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7C3B1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096D0A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ЦКБ</w:t>
            </w:r>
          </w:p>
        </w:tc>
        <w:tc>
          <w:tcPr>
            <w:tcW w:w="2268" w:type="dxa"/>
          </w:tcPr>
          <w:p w14:paraId="372E5B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Р8-М27/34</w:t>
            </w:r>
          </w:p>
        </w:tc>
        <w:tc>
          <w:tcPr>
            <w:tcW w:w="708" w:type="dxa"/>
          </w:tcPr>
          <w:p w14:paraId="087C87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C7086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3EC52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C24D6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C5177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1C651A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373492A" w14:textId="77777777">
        <w:tc>
          <w:tcPr>
            <w:tcW w:w="1951" w:type="dxa"/>
          </w:tcPr>
          <w:p w14:paraId="3CA677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93FE5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34F02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090E30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ЦКБ</w:t>
            </w:r>
          </w:p>
        </w:tc>
        <w:tc>
          <w:tcPr>
            <w:tcW w:w="2268" w:type="dxa"/>
          </w:tcPr>
          <w:p w14:paraId="007A67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Р8 или Р11-М27/34 попл.</w:t>
            </w:r>
          </w:p>
        </w:tc>
        <w:tc>
          <w:tcPr>
            <w:tcW w:w="708" w:type="dxa"/>
          </w:tcPr>
          <w:p w14:paraId="72E83B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24AB1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67B95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E277D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C04A7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09A17E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EA8F1BE" w14:textId="77777777">
        <w:tc>
          <w:tcPr>
            <w:tcW w:w="1951" w:type="dxa"/>
          </w:tcPr>
          <w:p w14:paraId="48CA93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E8B19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9650E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14E6C9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ЦКБ</w:t>
            </w:r>
          </w:p>
        </w:tc>
        <w:tc>
          <w:tcPr>
            <w:tcW w:w="2268" w:type="dxa"/>
          </w:tcPr>
          <w:p w14:paraId="74BC02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Р11-М27/34</w:t>
            </w:r>
          </w:p>
        </w:tc>
        <w:tc>
          <w:tcPr>
            <w:tcW w:w="708" w:type="dxa"/>
          </w:tcPr>
          <w:p w14:paraId="6BA71F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56906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92266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7C4EE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w:t>
            </w:r>
          </w:p>
        </w:tc>
        <w:tc>
          <w:tcPr>
            <w:tcW w:w="709" w:type="dxa"/>
          </w:tcPr>
          <w:p w14:paraId="490889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w:t>
            </w:r>
          </w:p>
        </w:tc>
        <w:tc>
          <w:tcPr>
            <w:tcW w:w="576" w:type="dxa"/>
          </w:tcPr>
          <w:p w14:paraId="679E4A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1, 31</w:t>
            </w:r>
          </w:p>
        </w:tc>
      </w:tr>
      <w:tr w:rsidR="001002C3" w:rsidRPr="005E779E" w14:paraId="161CFEFA" w14:textId="77777777">
        <w:tc>
          <w:tcPr>
            <w:tcW w:w="1951" w:type="dxa"/>
          </w:tcPr>
          <w:p w14:paraId="724EDA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6175C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94A74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186AA3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ЦКБ</w:t>
            </w:r>
          </w:p>
        </w:tc>
        <w:tc>
          <w:tcPr>
            <w:tcW w:w="2268" w:type="dxa"/>
          </w:tcPr>
          <w:p w14:paraId="4E124E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Р13-Керт.К.</w:t>
            </w:r>
          </w:p>
        </w:tc>
        <w:tc>
          <w:tcPr>
            <w:tcW w:w="708" w:type="dxa"/>
          </w:tcPr>
          <w:p w14:paraId="2F5436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CC800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FCC57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D3A73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676A0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2005B5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7316358" w14:textId="77777777">
        <w:tc>
          <w:tcPr>
            <w:tcW w:w="1951" w:type="dxa"/>
          </w:tcPr>
          <w:p w14:paraId="716E6D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469AA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4B31C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7660E5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ГРОС</w:t>
            </w:r>
          </w:p>
        </w:tc>
        <w:tc>
          <w:tcPr>
            <w:tcW w:w="2268" w:type="dxa"/>
          </w:tcPr>
          <w:p w14:paraId="7E4C98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Р12-М27/М34</w:t>
            </w:r>
          </w:p>
        </w:tc>
        <w:tc>
          <w:tcPr>
            <w:tcW w:w="708" w:type="dxa"/>
          </w:tcPr>
          <w:p w14:paraId="5B8BCC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D4419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89C76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57422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34917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360F62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236EC19" w14:textId="77777777">
        <w:tc>
          <w:tcPr>
            <w:tcW w:w="1951" w:type="dxa"/>
          </w:tcPr>
          <w:p w14:paraId="0CBCD9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спец.</w:t>
            </w:r>
          </w:p>
        </w:tc>
        <w:tc>
          <w:tcPr>
            <w:tcW w:w="711" w:type="dxa"/>
          </w:tcPr>
          <w:p w14:paraId="43F29A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D2343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5CE8CD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ЦКБ</w:t>
            </w:r>
          </w:p>
        </w:tc>
        <w:tc>
          <w:tcPr>
            <w:tcW w:w="2268" w:type="dxa"/>
          </w:tcPr>
          <w:p w14:paraId="6A1C6B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Р10-М35 б/р</w:t>
            </w:r>
          </w:p>
        </w:tc>
        <w:tc>
          <w:tcPr>
            <w:tcW w:w="708" w:type="dxa"/>
          </w:tcPr>
          <w:p w14:paraId="5F4EC5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C01FB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31B2B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46790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42118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34BAED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7A9C0E5" w14:textId="77777777">
        <w:tc>
          <w:tcPr>
            <w:tcW w:w="1951" w:type="dxa"/>
          </w:tcPr>
          <w:p w14:paraId="100C3A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Крейсер</w:t>
            </w:r>
          </w:p>
        </w:tc>
        <w:tc>
          <w:tcPr>
            <w:tcW w:w="711" w:type="dxa"/>
          </w:tcPr>
          <w:p w14:paraId="402641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Р6-М17</w:t>
            </w:r>
          </w:p>
        </w:tc>
        <w:tc>
          <w:tcPr>
            <w:tcW w:w="711" w:type="dxa"/>
          </w:tcPr>
          <w:p w14:paraId="16A4B5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w:t>
            </w:r>
          </w:p>
        </w:tc>
        <w:tc>
          <w:tcPr>
            <w:tcW w:w="1130" w:type="dxa"/>
          </w:tcPr>
          <w:p w14:paraId="47E684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7176EB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A4149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5BEE2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Р6</w:t>
            </w:r>
          </w:p>
        </w:tc>
        <w:tc>
          <w:tcPr>
            <w:tcW w:w="567" w:type="dxa"/>
          </w:tcPr>
          <w:p w14:paraId="771329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Р6</w:t>
            </w:r>
          </w:p>
        </w:tc>
        <w:tc>
          <w:tcPr>
            <w:tcW w:w="567" w:type="dxa"/>
          </w:tcPr>
          <w:p w14:paraId="351EC5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Р6</w:t>
            </w:r>
          </w:p>
        </w:tc>
        <w:tc>
          <w:tcPr>
            <w:tcW w:w="709" w:type="dxa"/>
          </w:tcPr>
          <w:p w14:paraId="7892C8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323509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w:t>
            </w:r>
          </w:p>
        </w:tc>
      </w:tr>
      <w:tr w:rsidR="001002C3" w:rsidRPr="005E779E" w14:paraId="4AC36CA8" w14:textId="77777777">
        <w:tc>
          <w:tcPr>
            <w:tcW w:w="1951" w:type="dxa"/>
          </w:tcPr>
          <w:p w14:paraId="0659E4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19A8F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1702D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279D30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w:t>
            </w:r>
          </w:p>
        </w:tc>
        <w:tc>
          <w:tcPr>
            <w:tcW w:w="2268" w:type="dxa"/>
          </w:tcPr>
          <w:p w14:paraId="546288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Р6-2М34</w:t>
            </w:r>
          </w:p>
        </w:tc>
        <w:tc>
          <w:tcPr>
            <w:tcW w:w="708" w:type="dxa"/>
          </w:tcPr>
          <w:p w14:paraId="631728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A82AE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264CE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06270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B80C1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758357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52D5FEC" w14:textId="77777777">
        <w:tc>
          <w:tcPr>
            <w:tcW w:w="1951" w:type="dxa"/>
          </w:tcPr>
          <w:p w14:paraId="462C43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B19B6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46E58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684702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w:t>
            </w:r>
          </w:p>
        </w:tc>
        <w:tc>
          <w:tcPr>
            <w:tcW w:w="2268" w:type="dxa"/>
          </w:tcPr>
          <w:p w14:paraId="0741FD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МИ3-2М34</w:t>
            </w:r>
          </w:p>
        </w:tc>
        <w:tc>
          <w:tcPr>
            <w:tcW w:w="708" w:type="dxa"/>
          </w:tcPr>
          <w:p w14:paraId="099CAD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AA8C0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6F32E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A4791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МИ3</w:t>
            </w:r>
          </w:p>
        </w:tc>
        <w:tc>
          <w:tcPr>
            <w:tcW w:w="709" w:type="dxa"/>
          </w:tcPr>
          <w:p w14:paraId="76B395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МИ3</w:t>
            </w:r>
          </w:p>
        </w:tc>
        <w:tc>
          <w:tcPr>
            <w:tcW w:w="576" w:type="dxa"/>
          </w:tcPr>
          <w:p w14:paraId="6279C9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w:t>
            </w:r>
          </w:p>
        </w:tc>
      </w:tr>
      <w:tr w:rsidR="001002C3" w:rsidRPr="005E779E" w14:paraId="2BD0B5A1" w14:textId="77777777">
        <w:tc>
          <w:tcPr>
            <w:tcW w:w="1951" w:type="dxa"/>
          </w:tcPr>
          <w:p w14:paraId="68C5DA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96493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27F04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0DD81F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w:t>
            </w:r>
          </w:p>
        </w:tc>
        <w:tc>
          <w:tcPr>
            <w:tcW w:w="2268" w:type="dxa"/>
          </w:tcPr>
          <w:p w14:paraId="373BAF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СК1-2М35</w:t>
            </w:r>
          </w:p>
        </w:tc>
        <w:tc>
          <w:tcPr>
            <w:tcW w:w="708" w:type="dxa"/>
          </w:tcPr>
          <w:p w14:paraId="07B8A1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1251C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7CCF0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C3A11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ABEA1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0E3F41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6F209B8" w14:textId="77777777">
        <w:tc>
          <w:tcPr>
            <w:tcW w:w="1951" w:type="dxa"/>
          </w:tcPr>
          <w:p w14:paraId="00D4B2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Штурмовик</w:t>
            </w:r>
          </w:p>
        </w:tc>
        <w:tc>
          <w:tcPr>
            <w:tcW w:w="711" w:type="dxa"/>
          </w:tcPr>
          <w:p w14:paraId="7AD026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E5FD6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5DBD97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ЦКБ</w:t>
            </w:r>
          </w:p>
        </w:tc>
        <w:tc>
          <w:tcPr>
            <w:tcW w:w="2268" w:type="dxa"/>
          </w:tcPr>
          <w:p w14:paraId="4D7A50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ТШ2-М27/34</w:t>
            </w:r>
          </w:p>
        </w:tc>
        <w:tc>
          <w:tcPr>
            <w:tcW w:w="708" w:type="dxa"/>
          </w:tcPr>
          <w:p w14:paraId="687657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ТШ2</w:t>
            </w:r>
          </w:p>
        </w:tc>
        <w:tc>
          <w:tcPr>
            <w:tcW w:w="709" w:type="dxa"/>
          </w:tcPr>
          <w:p w14:paraId="1F1590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95B28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9300A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313C4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486788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w:t>
            </w:r>
          </w:p>
        </w:tc>
      </w:tr>
      <w:tr w:rsidR="001002C3" w:rsidRPr="005E779E" w14:paraId="6C433E29" w14:textId="77777777">
        <w:tc>
          <w:tcPr>
            <w:tcW w:w="1951" w:type="dxa"/>
          </w:tcPr>
          <w:p w14:paraId="4E6BA1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216D4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0E5AC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560CCF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ЦКБ</w:t>
            </w:r>
          </w:p>
        </w:tc>
        <w:tc>
          <w:tcPr>
            <w:tcW w:w="2268" w:type="dxa"/>
          </w:tcPr>
          <w:p w14:paraId="448589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ЛШ4-М22</w:t>
            </w:r>
          </w:p>
        </w:tc>
        <w:tc>
          <w:tcPr>
            <w:tcW w:w="708" w:type="dxa"/>
          </w:tcPr>
          <w:p w14:paraId="5202BB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ЛШ4</w:t>
            </w:r>
          </w:p>
        </w:tc>
        <w:tc>
          <w:tcPr>
            <w:tcW w:w="709" w:type="dxa"/>
          </w:tcPr>
          <w:p w14:paraId="4DE030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ЛШ4</w:t>
            </w:r>
          </w:p>
        </w:tc>
        <w:tc>
          <w:tcPr>
            <w:tcW w:w="567" w:type="dxa"/>
          </w:tcPr>
          <w:p w14:paraId="2CB1D3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D0F95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9F113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507324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w:t>
            </w:r>
          </w:p>
        </w:tc>
      </w:tr>
      <w:tr w:rsidR="001002C3" w:rsidRPr="005E779E" w14:paraId="5A94EEE8" w14:textId="77777777">
        <w:tc>
          <w:tcPr>
            <w:tcW w:w="1951" w:type="dxa"/>
          </w:tcPr>
          <w:p w14:paraId="6AB495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CDBB4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3B6A1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106D30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47F99A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(мод. И5)</w:t>
            </w:r>
          </w:p>
        </w:tc>
        <w:tc>
          <w:tcPr>
            <w:tcW w:w="708" w:type="dxa"/>
          </w:tcPr>
          <w:p w14:paraId="4D9DB5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635A1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27C10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C92D7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8557B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226D6A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03BCB49" w14:textId="77777777">
        <w:tc>
          <w:tcPr>
            <w:tcW w:w="1951" w:type="dxa"/>
          </w:tcPr>
          <w:p w14:paraId="1E9E24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3F1FE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5B7A6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516A15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ОКБ</w:t>
            </w:r>
          </w:p>
        </w:tc>
        <w:tc>
          <w:tcPr>
            <w:tcW w:w="2268" w:type="dxa"/>
          </w:tcPr>
          <w:p w14:paraId="6DB521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ТШ3-М34</w:t>
            </w:r>
          </w:p>
        </w:tc>
        <w:tc>
          <w:tcPr>
            <w:tcW w:w="708" w:type="dxa"/>
          </w:tcPr>
          <w:p w14:paraId="58D51C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2A111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8288C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6AF5F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ТШ3</w:t>
            </w:r>
          </w:p>
        </w:tc>
        <w:tc>
          <w:tcPr>
            <w:tcW w:w="709" w:type="dxa"/>
          </w:tcPr>
          <w:p w14:paraId="50E17C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ТШ3</w:t>
            </w:r>
          </w:p>
        </w:tc>
        <w:tc>
          <w:tcPr>
            <w:tcW w:w="576" w:type="dxa"/>
          </w:tcPr>
          <w:p w14:paraId="75621E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ОКБ</w:t>
            </w:r>
          </w:p>
        </w:tc>
      </w:tr>
      <w:tr w:rsidR="001002C3" w:rsidRPr="005E779E" w14:paraId="24705663" w14:textId="77777777">
        <w:tc>
          <w:tcPr>
            <w:tcW w:w="1951" w:type="dxa"/>
          </w:tcPr>
          <w:p w14:paraId="20F2A0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6FBF8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B79E4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6E45A8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ЦКБ</w:t>
            </w:r>
          </w:p>
        </w:tc>
        <w:tc>
          <w:tcPr>
            <w:tcW w:w="2268" w:type="dxa"/>
          </w:tcPr>
          <w:p w14:paraId="015BE5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ЛШ-5 (мод. И9, И10, И11)</w:t>
            </w:r>
          </w:p>
        </w:tc>
        <w:tc>
          <w:tcPr>
            <w:tcW w:w="708" w:type="dxa"/>
          </w:tcPr>
          <w:p w14:paraId="3D88A8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EB9C1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73BFD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38391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97E90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07856B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9B27510" w14:textId="77777777">
        <w:tc>
          <w:tcPr>
            <w:tcW w:w="1951" w:type="dxa"/>
          </w:tcPr>
          <w:p w14:paraId="04AEC9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Бомбардировщик</w:t>
            </w:r>
          </w:p>
        </w:tc>
        <w:tc>
          <w:tcPr>
            <w:tcW w:w="711" w:type="dxa"/>
          </w:tcPr>
          <w:p w14:paraId="406828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ТБ1-2М17</w:t>
            </w:r>
          </w:p>
        </w:tc>
        <w:tc>
          <w:tcPr>
            <w:tcW w:w="711" w:type="dxa"/>
          </w:tcPr>
          <w:p w14:paraId="76F015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w:t>
            </w:r>
          </w:p>
        </w:tc>
        <w:tc>
          <w:tcPr>
            <w:tcW w:w="1130" w:type="dxa"/>
          </w:tcPr>
          <w:p w14:paraId="73659D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1C56F2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ТБ1</w:t>
            </w:r>
          </w:p>
        </w:tc>
        <w:tc>
          <w:tcPr>
            <w:tcW w:w="708" w:type="dxa"/>
          </w:tcPr>
          <w:p w14:paraId="4EA277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9CBDF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D4DAC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7CC57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54248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2AD35D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w:t>
            </w:r>
          </w:p>
        </w:tc>
      </w:tr>
      <w:tr w:rsidR="001002C3" w:rsidRPr="005E779E" w14:paraId="1FBCD692" w14:textId="77777777">
        <w:tc>
          <w:tcPr>
            <w:tcW w:w="1951" w:type="dxa"/>
          </w:tcPr>
          <w:p w14:paraId="1E418E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416CE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ТБ3-4М17</w:t>
            </w:r>
          </w:p>
        </w:tc>
        <w:tc>
          <w:tcPr>
            <w:tcW w:w="711" w:type="dxa"/>
          </w:tcPr>
          <w:p w14:paraId="09ECDD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w:t>
            </w:r>
          </w:p>
        </w:tc>
        <w:tc>
          <w:tcPr>
            <w:tcW w:w="1130" w:type="dxa"/>
          </w:tcPr>
          <w:p w14:paraId="5EF9C0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w:t>
            </w:r>
          </w:p>
        </w:tc>
        <w:tc>
          <w:tcPr>
            <w:tcW w:w="2268" w:type="dxa"/>
          </w:tcPr>
          <w:p w14:paraId="2E5802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ТБ3-4М17</w:t>
            </w:r>
          </w:p>
        </w:tc>
        <w:tc>
          <w:tcPr>
            <w:tcW w:w="708" w:type="dxa"/>
          </w:tcPr>
          <w:p w14:paraId="0160AC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ТБ3</w:t>
            </w:r>
          </w:p>
        </w:tc>
        <w:tc>
          <w:tcPr>
            <w:tcW w:w="709" w:type="dxa"/>
          </w:tcPr>
          <w:p w14:paraId="74CBE2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ТБ3</w:t>
            </w:r>
          </w:p>
        </w:tc>
        <w:tc>
          <w:tcPr>
            <w:tcW w:w="567" w:type="dxa"/>
          </w:tcPr>
          <w:p w14:paraId="4CAFAC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A69BD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5888A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32486E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w:t>
            </w:r>
          </w:p>
        </w:tc>
      </w:tr>
      <w:tr w:rsidR="001002C3" w:rsidRPr="005E779E" w14:paraId="3DB5DFF7" w14:textId="77777777">
        <w:tc>
          <w:tcPr>
            <w:tcW w:w="1951" w:type="dxa"/>
          </w:tcPr>
          <w:p w14:paraId="2A805A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92C55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4CB1E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0F550E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w:t>
            </w:r>
          </w:p>
        </w:tc>
        <w:tc>
          <w:tcPr>
            <w:tcW w:w="2268" w:type="dxa"/>
          </w:tcPr>
          <w:p w14:paraId="4D2901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ТБ3-4М34</w:t>
            </w:r>
          </w:p>
        </w:tc>
        <w:tc>
          <w:tcPr>
            <w:tcW w:w="708" w:type="dxa"/>
          </w:tcPr>
          <w:p w14:paraId="39368E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D0E68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CC955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2E692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29A74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1A6F5F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BD39DF6" w14:textId="77777777">
        <w:tc>
          <w:tcPr>
            <w:tcW w:w="1951" w:type="dxa"/>
          </w:tcPr>
          <w:p w14:paraId="055DCD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A91B4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2C01D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5F4939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ЦКБ</w:t>
            </w:r>
          </w:p>
        </w:tc>
        <w:tc>
          <w:tcPr>
            <w:tcW w:w="2268" w:type="dxa"/>
          </w:tcPr>
          <w:p w14:paraId="173B87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ТБ5-4М22/17</w:t>
            </w:r>
          </w:p>
        </w:tc>
        <w:tc>
          <w:tcPr>
            <w:tcW w:w="708" w:type="dxa"/>
          </w:tcPr>
          <w:p w14:paraId="61D68A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E87BE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8A5DE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w:t>
            </w:r>
          </w:p>
        </w:tc>
        <w:tc>
          <w:tcPr>
            <w:tcW w:w="567" w:type="dxa"/>
          </w:tcPr>
          <w:p w14:paraId="4E5F0F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w:t>
            </w:r>
          </w:p>
        </w:tc>
        <w:tc>
          <w:tcPr>
            <w:tcW w:w="709" w:type="dxa"/>
          </w:tcPr>
          <w:p w14:paraId="2FEDA0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w:t>
            </w:r>
          </w:p>
        </w:tc>
        <w:tc>
          <w:tcPr>
            <w:tcW w:w="576" w:type="dxa"/>
          </w:tcPr>
          <w:p w14:paraId="4A2EAD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w:t>
            </w:r>
          </w:p>
        </w:tc>
      </w:tr>
      <w:tr w:rsidR="001002C3" w:rsidRPr="005E779E" w14:paraId="556B0130" w14:textId="77777777">
        <w:tc>
          <w:tcPr>
            <w:tcW w:w="1951" w:type="dxa"/>
          </w:tcPr>
          <w:p w14:paraId="005FD5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77C9F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2EE74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1109F5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ЦКБ</w:t>
            </w:r>
          </w:p>
        </w:tc>
        <w:tc>
          <w:tcPr>
            <w:tcW w:w="2268" w:type="dxa"/>
          </w:tcPr>
          <w:p w14:paraId="4613A4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ТБ5 дублер</w:t>
            </w:r>
          </w:p>
        </w:tc>
        <w:tc>
          <w:tcPr>
            <w:tcW w:w="708" w:type="dxa"/>
          </w:tcPr>
          <w:p w14:paraId="7AAAD3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67E6A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AC858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306D2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7CB66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412221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7E4432E" w14:textId="77777777">
        <w:tc>
          <w:tcPr>
            <w:tcW w:w="1951" w:type="dxa"/>
          </w:tcPr>
          <w:p w14:paraId="05196D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B82D4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52A8E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6CA1BA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w:t>
            </w:r>
          </w:p>
        </w:tc>
        <w:tc>
          <w:tcPr>
            <w:tcW w:w="2268" w:type="dxa"/>
          </w:tcPr>
          <w:p w14:paraId="137F5F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АНТ14-5М22</w:t>
            </w:r>
          </w:p>
        </w:tc>
        <w:tc>
          <w:tcPr>
            <w:tcW w:w="708" w:type="dxa"/>
          </w:tcPr>
          <w:p w14:paraId="187B25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75EF1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05AB9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39905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08599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106F46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25FB6AB" w14:textId="77777777">
        <w:tc>
          <w:tcPr>
            <w:tcW w:w="1951" w:type="dxa"/>
          </w:tcPr>
          <w:p w14:paraId="2AF207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2238B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АНТ9</w:t>
            </w:r>
          </w:p>
        </w:tc>
        <w:tc>
          <w:tcPr>
            <w:tcW w:w="711" w:type="dxa"/>
          </w:tcPr>
          <w:p w14:paraId="48ADDF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51677A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w:t>
            </w:r>
          </w:p>
        </w:tc>
        <w:tc>
          <w:tcPr>
            <w:tcW w:w="2268" w:type="dxa"/>
          </w:tcPr>
          <w:p w14:paraId="09C9AD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АНТ9-3М26</w:t>
            </w:r>
          </w:p>
        </w:tc>
        <w:tc>
          <w:tcPr>
            <w:tcW w:w="708" w:type="dxa"/>
          </w:tcPr>
          <w:p w14:paraId="1909A0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АНТ9</w:t>
            </w:r>
          </w:p>
        </w:tc>
        <w:tc>
          <w:tcPr>
            <w:tcW w:w="709" w:type="dxa"/>
          </w:tcPr>
          <w:p w14:paraId="216556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АНТ9</w:t>
            </w:r>
          </w:p>
        </w:tc>
        <w:tc>
          <w:tcPr>
            <w:tcW w:w="567" w:type="dxa"/>
          </w:tcPr>
          <w:p w14:paraId="47BDD8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АНТ9</w:t>
            </w:r>
          </w:p>
        </w:tc>
        <w:tc>
          <w:tcPr>
            <w:tcW w:w="567" w:type="dxa"/>
          </w:tcPr>
          <w:p w14:paraId="591605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АНТ9</w:t>
            </w:r>
          </w:p>
        </w:tc>
        <w:tc>
          <w:tcPr>
            <w:tcW w:w="709" w:type="dxa"/>
          </w:tcPr>
          <w:p w14:paraId="3CCE67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АНТ9</w:t>
            </w:r>
          </w:p>
        </w:tc>
        <w:tc>
          <w:tcPr>
            <w:tcW w:w="576" w:type="dxa"/>
          </w:tcPr>
          <w:p w14:paraId="556658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w:t>
            </w:r>
          </w:p>
        </w:tc>
      </w:tr>
      <w:tr w:rsidR="001002C3" w:rsidRPr="005E779E" w14:paraId="32033980" w14:textId="77777777">
        <w:tc>
          <w:tcPr>
            <w:tcW w:w="1951" w:type="dxa"/>
          </w:tcPr>
          <w:p w14:paraId="3CEFA6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0DBD0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BDCF7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070F1B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w:t>
            </w:r>
          </w:p>
        </w:tc>
        <w:tc>
          <w:tcPr>
            <w:tcW w:w="2268" w:type="dxa"/>
          </w:tcPr>
          <w:p w14:paraId="699914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АНТ9-3М26 попл.</w:t>
            </w:r>
          </w:p>
        </w:tc>
        <w:tc>
          <w:tcPr>
            <w:tcW w:w="708" w:type="dxa"/>
          </w:tcPr>
          <w:p w14:paraId="30A9C8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C769D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D8CA0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6F3BC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F8ED1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7503E8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D5B29D8" w14:textId="77777777">
        <w:tc>
          <w:tcPr>
            <w:tcW w:w="1951" w:type="dxa"/>
          </w:tcPr>
          <w:p w14:paraId="40C1C3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48678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5D8D7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3AD278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w:t>
            </w:r>
          </w:p>
        </w:tc>
        <w:tc>
          <w:tcPr>
            <w:tcW w:w="2268" w:type="dxa"/>
          </w:tcPr>
          <w:p w14:paraId="3757EC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АНТ9-3М22/15 ГБ</w:t>
            </w:r>
          </w:p>
        </w:tc>
        <w:tc>
          <w:tcPr>
            <w:tcW w:w="708" w:type="dxa"/>
          </w:tcPr>
          <w:p w14:paraId="430D22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9EA43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B25FF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BD23E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BAEB9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692221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423464F" w14:textId="77777777">
        <w:tc>
          <w:tcPr>
            <w:tcW w:w="1951" w:type="dxa"/>
          </w:tcPr>
          <w:p w14:paraId="0D6124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2CDA4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К5</w:t>
            </w:r>
          </w:p>
        </w:tc>
        <w:tc>
          <w:tcPr>
            <w:tcW w:w="711" w:type="dxa"/>
          </w:tcPr>
          <w:p w14:paraId="062A3F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1DE4DA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ГРОС</w:t>
            </w:r>
          </w:p>
        </w:tc>
        <w:tc>
          <w:tcPr>
            <w:tcW w:w="2268" w:type="dxa"/>
          </w:tcPr>
          <w:p w14:paraId="6F9C26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К5-М15 ЛБ</w:t>
            </w:r>
          </w:p>
        </w:tc>
        <w:tc>
          <w:tcPr>
            <w:tcW w:w="708" w:type="dxa"/>
          </w:tcPr>
          <w:p w14:paraId="546E3D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К5</w:t>
            </w:r>
          </w:p>
        </w:tc>
        <w:tc>
          <w:tcPr>
            <w:tcW w:w="709" w:type="dxa"/>
          </w:tcPr>
          <w:p w14:paraId="244524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К5</w:t>
            </w:r>
          </w:p>
        </w:tc>
        <w:tc>
          <w:tcPr>
            <w:tcW w:w="567" w:type="dxa"/>
          </w:tcPr>
          <w:p w14:paraId="0B9841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К5</w:t>
            </w:r>
          </w:p>
        </w:tc>
        <w:tc>
          <w:tcPr>
            <w:tcW w:w="567" w:type="dxa"/>
          </w:tcPr>
          <w:p w14:paraId="6B2672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К5</w:t>
            </w:r>
          </w:p>
        </w:tc>
        <w:tc>
          <w:tcPr>
            <w:tcW w:w="709" w:type="dxa"/>
          </w:tcPr>
          <w:p w14:paraId="3D0A0C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К5</w:t>
            </w:r>
          </w:p>
        </w:tc>
        <w:tc>
          <w:tcPr>
            <w:tcW w:w="576" w:type="dxa"/>
          </w:tcPr>
          <w:p w14:paraId="4582C0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ХАЗ</w:t>
            </w:r>
          </w:p>
        </w:tc>
      </w:tr>
      <w:tr w:rsidR="001002C3" w:rsidRPr="005E779E" w14:paraId="3FF8D3C7" w14:textId="77777777">
        <w:tc>
          <w:tcPr>
            <w:tcW w:w="1951" w:type="dxa"/>
          </w:tcPr>
          <w:p w14:paraId="184D1C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14329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8A300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50573E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ГРОС</w:t>
            </w:r>
          </w:p>
        </w:tc>
        <w:tc>
          <w:tcPr>
            <w:tcW w:w="2268" w:type="dxa"/>
          </w:tcPr>
          <w:p w14:paraId="3DFA86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К5-М15/РЦ дублер</w:t>
            </w:r>
          </w:p>
        </w:tc>
        <w:tc>
          <w:tcPr>
            <w:tcW w:w="708" w:type="dxa"/>
          </w:tcPr>
          <w:p w14:paraId="4EFEBB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D6E9F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7DA01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1667B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39437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382D61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C2B8417" w14:textId="77777777">
        <w:tc>
          <w:tcPr>
            <w:tcW w:w="1951" w:type="dxa"/>
          </w:tcPr>
          <w:p w14:paraId="47E158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Бомбардировщик</w:t>
            </w:r>
          </w:p>
        </w:tc>
        <w:tc>
          <w:tcPr>
            <w:tcW w:w="711" w:type="dxa"/>
          </w:tcPr>
          <w:p w14:paraId="2B1F46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9F130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64CCDB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ГРОС</w:t>
            </w:r>
          </w:p>
        </w:tc>
        <w:tc>
          <w:tcPr>
            <w:tcW w:w="2268" w:type="dxa"/>
          </w:tcPr>
          <w:p w14:paraId="21FD7A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К7-6ФЭД</w:t>
            </w:r>
          </w:p>
        </w:tc>
        <w:tc>
          <w:tcPr>
            <w:tcW w:w="708" w:type="dxa"/>
          </w:tcPr>
          <w:p w14:paraId="144746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D5C52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9DA2D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204C1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Бгиг</w:t>
            </w:r>
          </w:p>
        </w:tc>
        <w:tc>
          <w:tcPr>
            <w:tcW w:w="709" w:type="dxa"/>
          </w:tcPr>
          <w:p w14:paraId="7B6E69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Бгиг</w:t>
            </w:r>
          </w:p>
        </w:tc>
        <w:tc>
          <w:tcPr>
            <w:tcW w:w="576" w:type="dxa"/>
          </w:tcPr>
          <w:p w14:paraId="55CCC8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ХТ</w:t>
            </w:r>
          </w:p>
        </w:tc>
      </w:tr>
      <w:tr w:rsidR="001002C3" w:rsidRPr="005E779E" w14:paraId="41F24485" w14:textId="77777777">
        <w:tc>
          <w:tcPr>
            <w:tcW w:w="1951" w:type="dxa"/>
          </w:tcPr>
          <w:p w14:paraId="1C7720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гигант</w:t>
            </w:r>
          </w:p>
        </w:tc>
        <w:tc>
          <w:tcPr>
            <w:tcW w:w="711" w:type="dxa"/>
          </w:tcPr>
          <w:p w14:paraId="2120E6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64312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562D66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w:t>
            </w:r>
          </w:p>
        </w:tc>
        <w:tc>
          <w:tcPr>
            <w:tcW w:w="2268" w:type="dxa"/>
          </w:tcPr>
          <w:p w14:paraId="26BE49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ТБ4-6ФЭД</w:t>
            </w:r>
          </w:p>
        </w:tc>
        <w:tc>
          <w:tcPr>
            <w:tcW w:w="708" w:type="dxa"/>
          </w:tcPr>
          <w:p w14:paraId="6D1E08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427EB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A81CB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05CD3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435E7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02F311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EF41D6F" w14:textId="77777777">
        <w:tc>
          <w:tcPr>
            <w:tcW w:w="1951" w:type="dxa"/>
          </w:tcPr>
          <w:p w14:paraId="063B7B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30E53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7A9CA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57D9F4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w:t>
            </w:r>
          </w:p>
        </w:tc>
        <w:tc>
          <w:tcPr>
            <w:tcW w:w="2268" w:type="dxa"/>
          </w:tcPr>
          <w:p w14:paraId="5F7A6B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ТБ6-4ФЭД</w:t>
            </w:r>
          </w:p>
        </w:tc>
        <w:tc>
          <w:tcPr>
            <w:tcW w:w="708" w:type="dxa"/>
          </w:tcPr>
          <w:p w14:paraId="767AC3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EAEA3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CD51D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6D627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0B44C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3FEBAA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0D77DC5" w14:textId="77777777">
        <w:tc>
          <w:tcPr>
            <w:tcW w:w="1951" w:type="dxa"/>
          </w:tcPr>
          <w:p w14:paraId="061A0F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0C33C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CFDA0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38FBD0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ОКБ</w:t>
            </w:r>
          </w:p>
        </w:tc>
        <w:tc>
          <w:tcPr>
            <w:tcW w:w="2268" w:type="dxa"/>
          </w:tcPr>
          <w:p w14:paraId="2F7650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СТБ7-6М44</w:t>
            </w:r>
          </w:p>
        </w:tc>
        <w:tc>
          <w:tcPr>
            <w:tcW w:w="708" w:type="dxa"/>
          </w:tcPr>
          <w:p w14:paraId="68EA57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1297D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FCF66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2A0D6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F6310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СТБ</w:t>
            </w:r>
          </w:p>
        </w:tc>
        <w:tc>
          <w:tcPr>
            <w:tcW w:w="576" w:type="dxa"/>
          </w:tcPr>
          <w:p w14:paraId="068CC1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ХТ</w:t>
            </w:r>
          </w:p>
        </w:tc>
      </w:tr>
      <w:tr w:rsidR="001002C3" w:rsidRPr="005E779E" w14:paraId="57935353" w14:textId="77777777">
        <w:tc>
          <w:tcPr>
            <w:tcW w:w="1951" w:type="dxa"/>
          </w:tcPr>
          <w:p w14:paraId="4600CB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Морской</w:t>
            </w:r>
          </w:p>
        </w:tc>
        <w:tc>
          <w:tcPr>
            <w:tcW w:w="711" w:type="dxa"/>
          </w:tcPr>
          <w:p w14:paraId="277F6A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С62-АССО-М27</w:t>
            </w:r>
          </w:p>
        </w:tc>
        <w:tc>
          <w:tcPr>
            <w:tcW w:w="711" w:type="dxa"/>
          </w:tcPr>
          <w:p w14:paraId="5E2BFC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w:t>
            </w:r>
          </w:p>
        </w:tc>
        <w:tc>
          <w:tcPr>
            <w:tcW w:w="1130" w:type="dxa"/>
          </w:tcPr>
          <w:p w14:paraId="5881FD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0DD8E4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4B988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С62</w:t>
            </w:r>
          </w:p>
        </w:tc>
        <w:tc>
          <w:tcPr>
            <w:tcW w:w="709" w:type="dxa"/>
          </w:tcPr>
          <w:p w14:paraId="6CC2E0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С62</w:t>
            </w:r>
          </w:p>
        </w:tc>
        <w:tc>
          <w:tcPr>
            <w:tcW w:w="567" w:type="dxa"/>
          </w:tcPr>
          <w:p w14:paraId="0B1CB4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735C4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4BD5C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3FA27C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w:t>
            </w:r>
          </w:p>
        </w:tc>
      </w:tr>
      <w:tr w:rsidR="001002C3" w:rsidRPr="005E779E" w14:paraId="67F12513" w14:textId="77777777">
        <w:tc>
          <w:tcPr>
            <w:tcW w:w="1951" w:type="dxa"/>
          </w:tcPr>
          <w:p w14:paraId="49F06B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разведчик</w:t>
            </w:r>
          </w:p>
        </w:tc>
        <w:tc>
          <w:tcPr>
            <w:tcW w:w="711" w:type="dxa"/>
          </w:tcPr>
          <w:p w14:paraId="274B5C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11686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283F70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ЦКБ</w:t>
            </w:r>
          </w:p>
        </w:tc>
        <w:tc>
          <w:tcPr>
            <w:tcW w:w="2268" w:type="dxa"/>
          </w:tcPr>
          <w:p w14:paraId="24D521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МБР3-2М22 амф.</w:t>
            </w:r>
          </w:p>
        </w:tc>
        <w:tc>
          <w:tcPr>
            <w:tcW w:w="708" w:type="dxa"/>
          </w:tcPr>
          <w:p w14:paraId="1F6AB5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BBFE5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BC124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МБР3</w:t>
            </w:r>
          </w:p>
        </w:tc>
        <w:tc>
          <w:tcPr>
            <w:tcW w:w="567" w:type="dxa"/>
          </w:tcPr>
          <w:p w14:paraId="6B981F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МБР3</w:t>
            </w:r>
          </w:p>
        </w:tc>
        <w:tc>
          <w:tcPr>
            <w:tcW w:w="709" w:type="dxa"/>
          </w:tcPr>
          <w:p w14:paraId="460E03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МБР3</w:t>
            </w:r>
          </w:p>
        </w:tc>
        <w:tc>
          <w:tcPr>
            <w:tcW w:w="576" w:type="dxa"/>
          </w:tcPr>
          <w:p w14:paraId="22B07E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w:t>
            </w:r>
          </w:p>
        </w:tc>
      </w:tr>
      <w:tr w:rsidR="001002C3" w:rsidRPr="005E779E" w14:paraId="15112EB1" w14:textId="77777777">
        <w:tc>
          <w:tcPr>
            <w:tcW w:w="1951" w:type="dxa"/>
          </w:tcPr>
          <w:p w14:paraId="292835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69663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26781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67D64E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ЦКБ</w:t>
            </w:r>
          </w:p>
        </w:tc>
        <w:tc>
          <w:tcPr>
            <w:tcW w:w="2268" w:type="dxa"/>
          </w:tcPr>
          <w:p w14:paraId="238179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МБР2-М27</w:t>
            </w:r>
          </w:p>
        </w:tc>
        <w:tc>
          <w:tcPr>
            <w:tcW w:w="708" w:type="dxa"/>
          </w:tcPr>
          <w:p w14:paraId="392E41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EA00A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CB627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32367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03B18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062D5B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191F146" w14:textId="77777777">
        <w:tc>
          <w:tcPr>
            <w:tcW w:w="1951" w:type="dxa"/>
          </w:tcPr>
          <w:p w14:paraId="4F38EA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58480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739F2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652BD3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w:t>
            </w:r>
          </w:p>
        </w:tc>
        <w:tc>
          <w:tcPr>
            <w:tcW w:w="2268" w:type="dxa"/>
          </w:tcPr>
          <w:p w14:paraId="5D6C8E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МДР2-2М17</w:t>
            </w:r>
          </w:p>
        </w:tc>
        <w:tc>
          <w:tcPr>
            <w:tcW w:w="708" w:type="dxa"/>
          </w:tcPr>
          <w:p w14:paraId="28A742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3C117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МДР</w:t>
            </w:r>
          </w:p>
        </w:tc>
        <w:tc>
          <w:tcPr>
            <w:tcW w:w="567" w:type="dxa"/>
          </w:tcPr>
          <w:p w14:paraId="11B19F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637D7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7450E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7F4E80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w:t>
            </w:r>
          </w:p>
        </w:tc>
      </w:tr>
      <w:tr w:rsidR="001002C3" w:rsidRPr="005E779E" w14:paraId="59142F0C" w14:textId="77777777">
        <w:tc>
          <w:tcPr>
            <w:tcW w:w="1951" w:type="dxa"/>
          </w:tcPr>
          <w:p w14:paraId="56E1B9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C92C6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5DE2A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070031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ЦКБ</w:t>
            </w:r>
          </w:p>
        </w:tc>
        <w:tc>
          <w:tcPr>
            <w:tcW w:w="2268" w:type="dxa"/>
          </w:tcPr>
          <w:p w14:paraId="2D6B80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МДР3-4М17/34</w:t>
            </w:r>
          </w:p>
        </w:tc>
        <w:tc>
          <w:tcPr>
            <w:tcW w:w="708" w:type="dxa"/>
          </w:tcPr>
          <w:p w14:paraId="102365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8F6C2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D80CE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МДР</w:t>
            </w:r>
          </w:p>
        </w:tc>
        <w:tc>
          <w:tcPr>
            <w:tcW w:w="567" w:type="dxa"/>
          </w:tcPr>
          <w:p w14:paraId="0187EF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МДР</w:t>
            </w:r>
          </w:p>
        </w:tc>
        <w:tc>
          <w:tcPr>
            <w:tcW w:w="709" w:type="dxa"/>
          </w:tcPr>
          <w:p w14:paraId="56EC3B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МДР</w:t>
            </w:r>
          </w:p>
        </w:tc>
        <w:tc>
          <w:tcPr>
            <w:tcW w:w="576" w:type="dxa"/>
          </w:tcPr>
          <w:p w14:paraId="3FB9E1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нов.</w:t>
            </w:r>
          </w:p>
        </w:tc>
      </w:tr>
      <w:tr w:rsidR="001002C3" w:rsidRPr="005E779E" w14:paraId="5290EE74" w14:textId="77777777">
        <w:tc>
          <w:tcPr>
            <w:tcW w:w="1951" w:type="dxa"/>
          </w:tcPr>
          <w:p w14:paraId="765DC0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5BBDE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340CD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3822A6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2451D5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28A85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7371D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88601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800B4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E22EC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6CE970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Ейск</w:t>
            </w:r>
          </w:p>
        </w:tc>
      </w:tr>
      <w:tr w:rsidR="001002C3" w:rsidRPr="005E779E" w14:paraId="2482114C" w14:textId="77777777">
        <w:tc>
          <w:tcPr>
            <w:tcW w:w="1951" w:type="dxa"/>
          </w:tcPr>
          <w:p w14:paraId="1D18A8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600CC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7AEA7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026DB3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w:t>
            </w:r>
          </w:p>
        </w:tc>
        <w:tc>
          <w:tcPr>
            <w:tcW w:w="2268" w:type="dxa"/>
          </w:tcPr>
          <w:p w14:paraId="458DEA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МК-4М34/35</w:t>
            </w:r>
          </w:p>
        </w:tc>
        <w:tc>
          <w:tcPr>
            <w:tcW w:w="708" w:type="dxa"/>
          </w:tcPr>
          <w:p w14:paraId="70659A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4DF5C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7FF3E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5FF91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МК</w:t>
            </w:r>
          </w:p>
        </w:tc>
        <w:tc>
          <w:tcPr>
            <w:tcW w:w="709" w:type="dxa"/>
          </w:tcPr>
          <w:p w14:paraId="188135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МК</w:t>
            </w:r>
          </w:p>
        </w:tc>
        <w:tc>
          <w:tcPr>
            <w:tcW w:w="576" w:type="dxa"/>
          </w:tcPr>
          <w:p w14:paraId="2FF351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1002C3" w:rsidRPr="005E779E" w14:paraId="1C9F872D" w14:textId="77777777">
        <w:tc>
          <w:tcPr>
            <w:tcW w:w="1951" w:type="dxa"/>
          </w:tcPr>
          <w:p w14:paraId="2CDE57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Морской</w:t>
            </w:r>
          </w:p>
        </w:tc>
        <w:tc>
          <w:tcPr>
            <w:tcW w:w="711" w:type="dxa"/>
          </w:tcPr>
          <w:p w14:paraId="68DACF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D5D09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653E25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w:t>
            </w:r>
          </w:p>
        </w:tc>
        <w:tc>
          <w:tcPr>
            <w:tcW w:w="2268" w:type="dxa"/>
          </w:tcPr>
          <w:p w14:paraId="1C2C00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МТБ-6М35/4М44</w:t>
            </w:r>
          </w:p>
        </w:tc>
        <w:tc>
          <w:tcPr>
            <w:tcW w:w="708" w:type="dxa"/>
          </w:tcPr>
          <w:p w14:paraId="5F23E1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E98F7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D4933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C5C3B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95694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МТБ</w:t>
            </w:r>
          </w:p>
        </w:tc>
        <w:tc>
          <w:tcPr>
            <w:tcW w:w="576" w:type="dxa"/>
          </w:tcPr>
          <w:p w14:paraId="1984F4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ОКБ</w:t>
            </w:r>
          </w:p>
        </w:tc>
      </w:tr>
      <w:tr w:rsidR="001002C3" w:rsidRPr="005E779E" w14:paraId="4B3A4106" w14:textId="77777777">
        <w:tc>
          <w:tcPr>
            <w:tcW w:w="1951" w:type="dxa"/>
          </w:tcPr>
          <w:p w14:paraId="2F1198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бомбардировщик</w:t>
            </w:r>
          </w:p>
        </w:tc>
        <w:tc>
          <w:tcPr>
            <w:tcW w:w="711" w:type="dxa"/>
          </w:tcPr>
          <w:p w14:paraId="511BCC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27634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7BD70F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046D11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73AB1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1BCC2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17239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6018A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41C87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75975F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68837DC" w14:textId="77777777">
        <w:tc>
          <w:tcPr>
            <w:tcW w:w="1951" w:type="dxa"/>
          </w:tcPr>
          <w:p w14:paraId="14DD6D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DAD7E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3E6CB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581600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5F0E4B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27CAC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3F6CE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E67E7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32395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723A5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1DA178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26EFDF5" w14:textId="77777777">
        <w:tc>
          <w:tcPr>
            <w:tcW w:w="1951" w:type="dxa"/>
          </w:tcPr>
          <w:p w14:paraId="42D3CD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Специальные</w:t>
            </w:r>
          </w:p>
        </w:tc>
        <w:tc>
          <w:tcPr>
            <w:tcW w:w="711" w:type="dxa"/>
          </w:tcPr>
          <w:p w14:paraId="527745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4B62E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1C17C4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ОКБ</w:t>
            </w:r>
          </w:p>
        </w:tc>
        <w:tc>
          <w:tcPr>
            <w:tcW w:w="2268" w:type="dxa"/>
          </w:tcPr>
          <w:p w14:paraId="56E6D2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КОР-М15</w:t>
            </w:r>
          </w:p>
        </w:tc>
        <w:tc>
          <w:tcPr>
            <w:tcW w:w="708" w:type="dxa"/>
          </w:tcPr>
          <w:p w14:paraId="70258D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BC0B8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B6DE0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1585B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КОР</w:t>
            </w:r>
          </w:p>
        </w:tc>
        <w:tc>
          <w:tcPr>
            <w:tcW w:w="709" w:type="dxa"/>
          </w:tcPr>
          <w:p w14:paraId="55C38F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КОР</w:t>
            </w:r>
          </w:p>
        </w:tc>
        <w:tc>
          <w:tcPr>
            <w:tcW w:w="576" w:type="dxa"/>
          </w:tcPr>
          <w:p w14:paraId="4A5538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ОКБ</w:t>
            </w:r>
          </w:p>
        </w:tc>
      </w:tr>
      <w:tr w:rsidR="001002C3" w:rsidRPr="005E779E" w14:paraId="0604D060" w14:textId="77777777">
        <w:tc>
          <w:tcPr>
            <w:tcW w:w="1951" w:type="dxa"/>
          </w:tcPr>
          <w:p w14:paraId="371182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5C996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191AA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1C51B4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ОКБ</w:t>
            </w:r>
          </w:p>
        </w:tc>
        <w:tc>
          <w:tcPr>
            <w:tcW w:w="2268" w:type="dxa"/>
          </w:tcPr>
          <w:p w14:paraId="058046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СПЛ-РЖ6</w:t>
            </w:r>
          </w:p>
        </w:tc>
        <w:tc>
          <w:tcPr>
            <w:tcW w:w="708" w:type="dxa"/>
          </w:tcPr>
          <w:p w14:paraId="252AB3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22680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A132F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D06C5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СПЛ</w:t>
            </w:r>
          </w:p>
        </w:tc>
        <w:tc>
          <w:tcPr>
            <w:tcW w:w="709" w:type="dxa"/>
          </w:tcPr>
          <w:p w14:paraId="67DFBA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СПЛ</w:t>
            </w:r>
          </w:p>
        </w:tc>
        <w:tc>
          <w:tcPr>
            <w:tcW w:w="576" w:type="dxa"/>
          </w:tcPr>
          <w:p w14:paraId="0CFAA1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ОКБ</w:t>
            </w:r>
          </w:p>
        </w:tc>
      </w:tr>
      <w:tr w:rsidR="001002C3" w:rsidRPr="005E779E" w14:paraId="56FBAC41" w14:textId="77777777">
        <w:tc>
          <w:tcPr>
            <w:tcW w:w="1951" w:type="dxa"/>
          </w:tcPr>
          <w:p w14:paraId="01BAB4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2B483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22706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7E3309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ЦКБ</w:t>
            </w:r>
          </w:p>
        </w:tc>
        <w:tc>
          <w:tcPr>
            <w:tcW w:w="2268" w:type="dxa"/>
          </w:tcPr>
          <w:p w14:paraId="06F853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МФС-2М26 амф.</w:t>
            </w:r>
          </w:p>
        </w:tc>
        <w:tc>
          <w:tcPr>
            <w:tcW w:w="708" w:type="dxa"/>
          </w:tcPr>
          <w:p w14:paraId="7FA138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71272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9C664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B0048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МФС</w:t>
            </w:r>
          </w:p>
        </w:tc>
        <w:tc>
          <w:tcPr>
            <w:tcW w:w="709" w:type="dxa"/>
          </w:tcPr>
          <w:p w14:paraId="34EF4B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МФС</w:t>
            </w:r>
          </w:p>
        </w:tc>
        <w:tc>
          <w:tcPr>
            <w:tcW w:w="576" w:type="dxa"/>
          </w:tcPr>
          <w:p w14:paraId="5B3D3A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ОКБ</w:t>
            </w:r>
          </w:p>
        </w:tc>
      </w:tr>
      <w:tr w:rsidR="001002C3" w:rsidRPr="005E779E" w14:paraId="27B63791" w14:textId="77777777">
        <w:tc>
          <w:tcPr>
            <w:tcW w:w="1951" w:type="dxa"/>
          </w:tcPr>
          <w:p w14:paraId="100C17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AF133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25936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439D78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ЦКБ</w:t>
            </w:r>
          </w:p>
        </w:tc>
        <w:tc>
          <w:tcPr>
            <w:tcW w:w="2268" w:type="dxa"/>
          </w:tcPr>
          <w:p w14:paraId="0B1221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МФС-2РЖ6 дублер морск. фотосъемщик</w:t>
            </w:r>
          </w:p>
        </w:tc>
        <w:tc>
          <w:tcPr>
            <w:tcW w:w="708" w:type="dxa"/>
          </w:tcPr>
          <w:p w14:paraId="51A387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98877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34CB8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1563F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4C5A2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4CF680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2EBCE6E" w14:textId="77777777">
        <w:tc>
          <w:tcPr>
            <w:tcW w:w="1951" w:type="dxa"/>
          </w:tcPr>
          <w:p w14:paraId="147E8C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Учебные</w:t>
            </w:r>
          </w:p>
        </w:tc>
        <w:tc>
          <w:tcPr>
            <w:tcW w:w="711" w:type="dxa"/>
          </w:tcPr>
          <w:p w14:paraId="55D332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У-2-М11</w:t>
            </w:r>
          </w:p>
        </w:tc>
        <w:tc>
          <w:tcPr>
            <w:tcW w:w="711" w:type="dxa"/>
          </w:tcPr>
          <w:p w14:paraId="224312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w:t>
            </w:r>
          </w:p>
        </w:tc>
        <w:tc>
          <w:tcPr>
            <w:tcW w:w="1130" w:type="dxa"/>
          </w:tcPr>
          <w:p w14:paraId="022710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2F9FB9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DA9FF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У2</w:t>
            </w:r>
          </w:p>
        </w:tc>
        <w:tc>
          <w:tcPr>
            <w:tcW w:w="709" w:type="dxa"/>
          </w:tcPr>
          <w:p w14:paraId="1DB89C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У2</w:t>
            </w:r>
          </w:p>
        </w:tc>
        <w:tc>
          <w:tcPr>
            <w:tcW w:w="567" w:type="dxa"/>
          </w:tcPr>
          <w:p w14:paraId="4E4CC1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У2</w:t>
            </w:r>
          </w:p>
        </w:tc>
        <w:tc>
          <w:tcPr>
            <w:tcW w:w="567" w:type="dxa"/>
          </w:tcPr>
          <w:p w14:paraId="71BAFD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У2</w:t>
            </w:r>
          </w:p>
        </w:tc>
        <w:tc>
          <w:tcPr>
            <w:tcW w:w="709" w:type="dxa"/>
          </w:tcPr>
          <w:p w14:paraId="2DAE04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080214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w:t>
            </w:r>
          </w:p>
        </w:tc>
      </w:tr>
      <w:tr w:rsidR="001002C3" w:rsidRPr="005E779E" w14:paraId="1546BDB3" w14:textId="77777777">
        <w:tc>
          <w:tcPr>
            <w:tcW w:w="1951" w:type="dxa"/>
          </w:tcPr>
          <w:p w14:paraId="3B5B25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2B4F4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30BB7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53814D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ОКБ</w:t>
            </w:r>
          </w:p>
        </w:tc>
        <w:tc>
          <w:tcPr>
            <w:tcW w:w="2268" w:type="dxa"/>
          </w:tcPr>
          <w:p w14:paraId="227A32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У3-РЖ6</w:t>
            </w:r>
          </w:p>
        </w:tc>
        <w:tc>
          <w:tcPr>
            <w:tcW w:w="708" w:type="dxa"/>
          </w:tcPr>
          <w:p w14:paraId="44E993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FD951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F2AF0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D6615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05CBE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w:t>
            </w:r>
          </w:p>
        </w:tc>
        <w:tc>
          <w:tcPr>
            <w:tcW w:w="576" w:type="dxa"/>
          </w:tcPr>
          <w:p w14:paraId="2113F2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w:t>
            </w:r>
          </w:p>
        </w:tc>
      </w:tr>
      <w:tr w:rsidR="001002C3" w:rsidRPr="005E779E" w14:paraId="2BF2E000" w14:textId="77777777">
        <w:tc>
          <w:tcPr>
            <w:tcW w:w="1951" w:type="dxa"/>
          </w:tcPr>
          <w:p w14:paraId="55E827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64287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14B3D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3E8CBB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ГРОС</w:t>
            </w:r>
          </w:p>
        </w:tc>
        <w:tc>
          <w:tcPr>
            <w:tcW w:w="2268" w:type="dxa"/>
          </w:tcPr>
          <w:p w14:paraId="3806D0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У4-РЖ6</w:t>
            </w:r>
          </w:p>
        </w:tc>
        <w:tc>
          <w:tcPr>
            <w:tcW w:w="708" w:type="dxa"/>
          </w:tcPr>
          <w:p w14:paraId="788902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B3DB7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9BC91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22345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E1B2B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73695B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2717B5D" w14:textId="77777777">
        <w:tc>
          <w:tcPr>
            <w:tcW w:w="1951" w:type="dxa"/>
          </w:tcPr>
          <w:p w14:paraId="1F8819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345F6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E1400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1073FD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ОКБ</w:t>
            </w:r>
          </w:p>
        </w:tc>
        <w:tc>
          <w:tcPr>
            <w:tcW w:w="2268" w:type="dxa"/>
          </w:tcPr>
          <w:p w14:paraId="4CC598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С1-РЖ6 спорт.</w:t>
            </w:r>
          </w:p>
        </w:tc>
        <w:tc>
          <w:tcPr>
            <w:tcW w:w="708" w:type="dxa"/>
          </w:tcPr>
          <w:p w14:paraId="53847D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CCE1B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A0276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B7FC3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С1</w:t>
            </w:r>
          </w:p>
        </w:tc>
        <w:tc>
          <w:tcPr>
            <w:tcW w:w="709" w:type="dxa"/>
          </w:tcPr>
          <w:p w14:paraId="2F8E2D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С1</w:t>
            </w:r>
          </w:p>
        </w:tc>
        <w:tc>
          <w:tcPr>
            <w:tcW w:w="576" w:type="dxa"/>
          </w:tcPr>
          <w:p w14:paraId="7C6BE6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w:t>
            </w:r>
          </w:p>
        </w:tc>
      </w:tr>
      <w:tr w:rsidR="001002C3" w:rsidRPr="005E779E" w14:paraId="772F4A8E" w14:textId="77777777">
        <w:tc>
          <w:tcPr>
            <w:tcW w:w="1951" w:type="dxa"/>
          </w:tcPr>
          <w:p w14:paraId="669689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816C7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CEA62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26CF83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01EE3E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Авиетка НАМИ 65, 3-4 типа</w:t>
            </w:r>
          </w:p>
        </w:tc>
        <w:tc>
          <w:tcPr>
            <w:tcW w:w="708" w:type="dxa"/>
          </w:tcPr>
          <w:p w14:paraId="2BE0A0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37BF1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4FA24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B5B94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36AEF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687F50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840641F" w14:textId="77777777">
        <w:tc>
          <w:tcPr>
            <w:tcW w:w="1951" w:type="dxa"/>
          </w:tcPr>
          <w:p w14:paraId="6C4C14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DAD41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AB9B3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013705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36DE9B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4F773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429B8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FAA49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2D774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E931E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4D0231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6B40A73" w14:textId="77777777">
        <w:tc>
          <w:tcPr>
            <w:tcW w:w="1951" w:type="dxa"/>
          </w:tcPr>
          <w:p w14:paraId="094DDB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Рекордный или</w:t>
            </w:r>
          </w:p>
        </w:tc>
        <w:tc>
          <w:tcPr>
            <w:tcW w:w="711" w:type="dxa"/>
          </w:tcPr>
          <w:p w14:paraId="0AF8AE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15DE3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09ED52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ОКБ</w:t>
            </w:r>
          </w:p>
        </w:tc>
        <w:tc>
          <w:tcPr>
            <w:tcW w:w="2268" w:type="dxa"/>
          </w:tcPr>
          <w:p w14:paraId="708F8B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Рек1-М38 выс.</w:t>
            </w:r>
          </w:p>
        </w:tc>
        <w:tc>
          <w:tcPr>
            <w:tcW w:w="708" w:type="dxa"/>
          </w:tcPr>
          <w:p w14:paraId="4DD81B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6A8D4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5DE5A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E4534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FF1A7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34A771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E98399E" w14:textId="77777777">
        <w:tc>
          <w:tcPr>
            <w:tcW w:w="1951" w:type="dxa"/>
          </w:tcPr>
          <w:p w14:paraId="14018A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Экспериментальный</w:t>
            </w:r>
          </w:p>
        </w:tc>
        <w:tc>
          <w:tcPr>
            <w:tcW w:w="711" w:type="dxa"/>
          </w:tcPr>
          <w:p w14:paraId="1A2008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9F0B4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023D66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ГРОСС</w:t>
            </w:r>
          </w:p>
        </w:tc>
        <w:tc>
          <w:tcPr>
            <w:tcW w:w="2268" w:type="dxa"/>
          </w:tcPr>
          <w:p w14:paraId="089DF7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Рек2-М34 дальн.</w:t>
            </w:r>
          </w:p>
        </w:tc>
        <w:tc>
          <w:tcPr>
            <w:tcW w:w="708" w:type="dxa"/>
          </w:tcPr>
          <w:p w14:paraId="2F1C98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72590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714C4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2BB20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FDBA6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7883AD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B6A22BB" w14:textId="77777777">
        <w:tc>
          <w:tcPr>
            <w:tcW w:w="1951" w:type="dxa"/>
          </w:tcPr>
          <w:p w14:paraId="60E756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5E714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D19B3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4E0B81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ЦКБ</w:t>
            </w:r>
          </w:p>
        </w:tc>
        <w:tc>
          <w:tcPr>
            <w:tcW w:w="2268" w:type="dxa"/>
          </w:tcPr>
          <w:p w14:paraId="2A6A1C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Рек3-М34 скор.</w:t>
            </w:r>
          </w:p>
        </w:tc>
        <w:tc>
          <w:tcPr>
            <w:tcW w:w="708" w:type="dxa"/>
          </w:tcPr>
          <w:p w14:paraId="43C550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3A5F2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062C2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7D82D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B50D1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6689B1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B2199FF" w14:textId="77777777">
        <w:tc>
          <w:tcPr>
            <w:tcW w:w="1951" w:type="dxa"/>
          </w:tcPr>
          <w:p w14:paraId="41C34D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Строящиеся как</w:t>
            </w:r>
          </w:p>
        </w:tc>
        <w:tc>
          <w:tcPr>
            <w:tcW w:w="711" w:type="dxa"/>
          </w:tcPr>
          <w:p w14:paraId="7C8030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CD4E0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6DB871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w:t>
            </w:r>
          </w:p>
        </w:tc>
        <w:tc>
          <w:tcPr>
            <w:tcW w:w="2268" w:type="dxa"/>
          </w:tcPr>
          <w:p w14:paraId="57F265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И4-М22 разр. крыло метал.</w:t>
            </w:r>
          </w:p>
        </w:tc>
        <w:tc>
          <w:tcPr>
            <w:tcW w:w="708" w:type="dxa"/>
          </w:tcPr>
          <w:p w14:paraId="092895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509B4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06F7F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06FDF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ED4B9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41F04F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1440252" w14:textId="77777777">
        <w:tc>
          <w:tcPr>
            <w:tcW w:w="1951" w:type="dxa"/>
          </w:tcPr>
          <w:p w14:paraId="131DA5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доводки и не</w:t>
            </w:r>
          </w:p>
        </w:tc>
        <w:tc>
          <w:tcPr>
            <w:tcW w:w="711" w:type="dxa"/>
          </w:tcPr>
          <w:p w14:paraId="7353AB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BEC7A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6A1935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w:t>
            </w:r>
          </w:p>
        </w:tc>
        <w:tc>
          <w:tcPr>
            <w:tcW w:w="2268" w:type="dxa"/>
          </w:tcPr>
          <w:p w14:paraId="643848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И4-М22 разр. крыло дер.</w:t>
            </w:r>
          </w:p>
        </w:tc>
        <w:tc>
          <w:tcPr>
            <w:tcW w:w="708" w:type="dxa"/>
          </w:tcPr>
          <w:p w14:paraId="5E4350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76BFA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46D56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18920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4B1D5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0562FB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D457748" w14:textId="77777777">
        <w:tc>
          <w:tcPr>
            <w:tcW w:w="1951" w:type="dxa"/>
          </w:tcPr>
          <w:p w14:paraId="6919DD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Внедряемые в серию</w:t>
            </w:r>
          </w:p>
        </w:tc>
        <w:tc>
          <w:tcPr>
            <w:tcW w:w="711" w:type="dxa"/>
          </w:tcPr>
          <w:p w14:paraId="20413C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1AF1E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3624D6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ЦКБ</w:t>
            </w:r>
          </w:p>
        </w:tc>
        <w:tc>
          <w:tcPr>
            <w:tcW w:w="2268" w:type="dxa"/>
          </w:tcPr>
          <w:p w14:paraId="3E374B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МДР1-2М17 доводка РОМ</w:t>
            </w:r>
          </w:p>
        </w:tc>
        <w:tc>
          <w:tcPr>
            <w:tcW w:w="708" w:type="dxa"/>
          </w:tcPr>
          <w:p w14:paraId="6A4C5E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EDDF4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3E79F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7E4FE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70606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4D4438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407C1CB" w14:textId="77777777">
        <w:tc>
          <w:tcPr>
            <w:tcW w:w="1951" w:type="dxa"/>
          </w:tcPr>
          <w:p w14:paraId="7CFDE3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31006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8D321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26B8CA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ГРОСС</w:t>
            </w:r>
          </w:p>
        </w:tc>
        <w:tc>
          <w:tcPr>
            <w:tcW w:w="2268" w:type="dxa"/>
          </w:tcPr>
          <w:p w14:paraId="1A49B1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К5-М15 попл.</w:t>
            </w:r>
          </w:p>
        </w:tc>
        <w:tc>
          <w:tcPr>
            <w:tcW w:w="708" w:type="dxa"/>
          </w:tcPr>
          <w:p w14:paraId="1822EC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EDA9F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436A0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EB9AC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42005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3B73C9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1F79E34" w14:textId="77777777">
        <w:tc>
          <w:tcPr>
            <w:tcW w:w="1951" w:type="dxa"/>
          </w:tcPr>
          <w:p w14:paraId="18A282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D86AE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2D963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08C7B0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ГРОСС</w:t>
            </w:r>
          </w:p>
        </w:tc>
        <w:tc>
          <w:tcPr>
            <w:tcW w:w="2268" w:type="dxa"/>
          </w:tcPr>
          <w:p w14:paraId="6FBC94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К8-М27 почт. скор.</w:t>
            </w:r>
          </w:p>
        </w:tc>
        <w:tc>
          <w:tcPr>
            <w:tcW w:w="708" w:type="dxa"/>
          </w:tcPr>
          <w:p w14:paraId="309C49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6BACB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7281C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8CFF1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C6AF5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6E59B1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1EADE0F" w14:textId="77777777">
        <w:tc>
          <w:tcPr>
            <w:tcW w:w="1951" w:type="dxa"/>
          </w:tcPr>
          <w:p w14:paraId="137CE6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990F8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9AC71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37827E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ГРОСС</w:t>
            </w:r>
          </w:p>
        </w:tc>
        <w:tc>
          <w:tcPr>
            <w:tcW w:w="2268" w:type="dxa"/>
          </w:tcPr>
          <w:p w14:paraId="24300F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Пас. ПС4-М26</w:t>
            </w:r>
          </w:p>
        </w:tc>
        <w:tc>
          <w:tcPr>
            <w:tcW w:w="708" w:type="dxa"/>
          </w:tcPr>
          <w:p w14:paraId="62E256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0127F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0A303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8D1E2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6EB98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474374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6C27FA8" w14:textId="77777777">
        <w:tc>
          <w:tcPr>
            <w:tcW w:w="1951" w:type="dxa"/>
          </w:tcPr>
          <w:p w14:paraId="2A558D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F0F82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107EA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27B608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ГРОСС</w:t>
            </w:r>
          </w:p>
        </w:tc>
        <w:tc>
          <w:tcPr>
            <w:tcW w:w="2268" w:type="dxa"/>
          </w:tcPr>
          <w:p w14:paraId="0D68BB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Авиетка К10-М11 дублер</w:t>
            </w:r>
          </w:p>
        </w:tc>
        <w:tc>
          <w:tcPr>
            <w:tcW w:w="708" w:type="dxa"/>
          </w:tcPr>
          <w:p w14:paraId="05FF40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C48B1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BC52F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6BEB6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D5F3B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7978B4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bl>
    <w:p w14:paraId="0EA81E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Интересно, что нет АНТ-20, Р7 (АНТ-10), Ш2, ДИ3, ТОМ, ТШ1, ТБ-7 (ЦАГИ), ШОН, МУ3, ИZ, МБР-2, Сталь-2.</w:t>
      </w:r>
    </w:p>
    <w:p w14:paraId="62A635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То есть с ТБ-7, который был задуман якобы в 1931, что то не вяжется.</w:t>
      </w:r>
    </w:p>
    <w:p w14:paraId="1D593096"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1A9A624"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645756A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5A4C2AE" w14:textId="77777777" w:rsidR="003E28CB" w:rsidRPr="005E779E" w:rsidRDefault="003E28CB"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23 сентября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Постановление СНК СССР № 209сс о финансировании ОРПО (ГА РФ. Ф. Р?8418. Оп. 28. Д. 14а. Л. 67) (12415).</w:t>
      </w:r>
    </w:p>
    <w:p w14:paraId="1CCD4303" w14:textId="77777777" w:rsidR="003E28CB" w:rsidRPr="005E779E" w:rsidRDefault="003E28CB" w:rsidP="000B7A6C">
      <w:pPr>
        <w:spacing w:after="0" w:line="240" w:lineRule="auto"/>
        <w:jc w:val="both"/>
        <w:rPr>
          <w:rFonts w:ascii="Times New Roman" w:hAnsi="Times New Roman"/>
          <w:color w:val="000000" w:themeColor="text1"/>
          <w:sz w:val="16"/>
          <w:szCs w:val="16"/>
          <w:u w:color="002060"/>
        </w:rPr>
      </w:pPr>
    </w:p>
    <w:p w14:paraId="09908D9B" w14:textId="77777777" w:rsidR="007908DF" w:rsidRPr="005E779E" w:rsidRDefault="007908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сентября 1931 г. АНИМИ передал «Большевику» чертежи переделки серийной 130/55-мм пушки обр. 1913 г. в полигональнуюю Заводу «Большевик» выдали заказ на переделку 130-мм пушки со сроком готовности 1 октября 1932 г.</w:t>
      </w:r>
    </w:p>
    <w:p w14:paraId="099519AD" w14:textId="77777777" w:rsidR="007908DF" w:rsidRPr="005E779E" w:rsidRDefault="007908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Отношением от 10 сентября 1933 г. заводу «Большевик» было предписано нарезать 130/55-мм орудие по чертежу АНИМИ № 338.</w:t>
      </w:r>
    </w:p>
    <w:p w14:paraId="3806B553" w14:textId="77777777" w:rsidR="007908DF" w:rsidRPr="005E779E" w:rsidRDefault="007908D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27 октября 1933 г. начальник АНИМИ приказал 130/55-мм пушку как полигональную «с плана снять», а взамен заводу «Большевик» «надлежит нарезать 130/55-мм пушку № 7 углубленной нарезкой по чертежам, выданным на завод… Нарезку закончить к 15.12.1933 г.» (12705).</w:t>
      </w:r>
    </w:p>
    <w:p w14:paraId="746702D2" w14:textId="77777777" w:rsidR="007908DF" w:rsidRPr="005E779E" w:rsidRDefault="007908DF" w:rsidP="000B7A6C">
      <w:pPr>
        <w:spacing w:after="0" w:line="240" w:lineRule="auto"/>
        <w:jc w:val="both"/>
        <w:rPr>
          <w:rFonts w:ascii="Times New Roman" w:hAnsi="Times New Roman"/>
          <w:color w:val="000000" w:themeColor="text1"/>
          <w:sz w:val="16"/>
          <w:szCs w:val="16"/>
        </w:rPr>
      </w:pPr>
    </w:p>
    <w:p w14:paraId="549B3E05" w14:textId="77777777" w:rsidR="006C5051" w:rsidRPr="00142305" w:rsidRDefault="006C5051" w:rsidP="006C5051">
      <w:pPr>
        <w:spacing w:after="0" w:line="240" w:lineRule="auto"/>
        <w:jc w:val="both"/>
        <w:rPr>
          <w:rStyle w:val="aff0"/>
          <w:rFonts w:ascii="Times New Roman" w:hAnsi="Times New Roman" w:cs="Times New Roman"/>
          <w:color w:val="0070C0"/>
          <w:spacing w:val="0"/>
          <w:sz w:val="16"/>
          <w:szCs w:val="16"/>
        </w:rPr>
      </w:pPr>
      <w:r w:rsidRPr="00142305">
        <w:rPr>
          <w:rStyle w:val="aff0"/>
          <w:rFonts w:ascii="Times New Roman" w:hAnsi="Times New Roman" w:cs="Times New Roman"/>
          <w:color w:val="0070C0"/>
          <w:spacing w:val="0"/>
          <w:sz w:val="16"/>
          <w:szCs w:val="16"/>
        </w:rPr>
        <w:t>23 сентября 1931 г. АНИМИ передал «Большевику» чертежи полигональной пушки, переделываемой из серийной 130/55-мм пушки обр. 1913 г. (25213).</w:t>
      </w:r>
    </w:p>
    <w:p w14:paraId="62A728CB" w14:textId="77777777" w:rsidR="006C5051" w:rsidRPr="00142305" w:rsidRDefault="006C5051" w:rsidP="006C5051">
      <w:pPr>
        <w:spacing w:after="0" w:line="240" w:lineRule="auto"/>
        <w:jc w:val="both"/>
        <w:rPr>
          <w:rStyle w:val="aff0"/>
          <w:rFonts w:ascii="Times New Roman" w:hAnsi="Times New Roman" w:cs="Times New Roman"/>
          <w:color w:val="0070C0"/>
          <w:spacing w:val="0"/>
          <w:sz w:val="16"/>
          <w:szCs w:val="16"/>
        </w:rPr>
      </w:pPr>
    </w:p>
    <w:p w14:paraId="2EE4320B" w14:textId="77777777" w:rsidR="001D6FA0" w:rsidRPr="005E779E" w:rsidRDefault="001D6FA0"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23 сентября 1931 г.</w:t>
      </w:r>
    </w:p>
    <w:p w14:paraId="03609E4D" w14:textId="77777777" w:rsidR="001D6FA0" w:rsidRPr="005E779E" w:rsidRDefault="001D6FA0"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Распоряжение о переводе ОКБ № 11 в Теплотехнический институт. 23 сентября 1931 г.</w:t>
      </w:r>
    </w:p>
    <w:p w14:paraId="2CA59C55" w14:textId="77777777" w:rsidR="001D6FA0" w:rsidRPr="005E779E" w:rsidRDefault="001D6FA0"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Источник: </w:t>
      </w:r>
    </w:p>
    <w:p w14:paraId="686B30BC" w14:textId="77777777" w:rsidR="001D6FA0" w:rsidRPr="005E779E" w:rsidRDefault="001D6FA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3397D8D" w14:textId="77777777" w:rsidR="001D6FA0" w:rsidRPr="005E779E" w:rsidRDefault="001D6FA0"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Архив: </w:t>
      </w:r>
    </w:p>
    <w:p w14:paraId="7F928194" w14:textId="77777777" w:rsidR="001D6FA0" w:rsidRPr="005E779E" w:rsidRDefault="001D6FA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РГАЭ. Ф.38. Oп. 1.Д. 2. Л. 85</w:t>
      </w:r>
    </w:p>
    <w:p w14:paraId="3282189B" w14:textId="77777777" w:rsidR="001D6FA0" w:rsidRPr="005E779E" w:rsidRDefault="001D6FA0" w:rsidP="000B7A6C">
      <w:pPr>
        <w:pStyle w:val="rteright"/>
        <w:spacing w:before="0" w:after="0"/>
        <w:jc w:val="both"/>
        <w:rPr>
          <w:color w:val="000000" w:themeColor="text1"/>
          <w:sz w:val="16"/>
          <w:szCs w:val="16"/>
        </w:rPr>
      </w:pPr>
      <w:r w:rsidRPr="005E779E">
        <w:rPr>
          <w:color w:val="000000" w:themeColor="text1"/>
          <w:sz w:val="16"/>
          <w:szCs w:val="16"/>
        </w:rPr>
        <w:t>23 сентября 1931 г.</w:t>
      </w:r>
    </w:p>
    <w:p w14:paraId="43F6C64E" w14:textId="77777777" w:rsidR="001D6FA0" w:rsidRPr="005E779E" w:rsidRDefault="001D6FA0" w:rsidP="000B7A6C">
      <w:pPr>
        <w:pStyle w:val="ae"/>
        <w:spacing w:before="0" w:after="0"/>
        <w:jc w:val="both"/>
        <w:rPr>
          <w:color w:val="000000" w:themeColor="text1"/>
          <w:sz w:val="16"/>
          <w:szCs w:val="16"/>
        </w:rPr>
      </w:pPr>
      <w:r w:rsidRPr="005E779E">
        <w:rPr>
          <w:color w:val="000000" w:themeColor="text1"/>
          <w:sz w:val="16"/>
          <w:szCs w:val="16"/>
        </w:rPr>
        <w:t>Служебная записка</w:t>
      </w:r>
    </w:p>
    <w:p w14:paraId="6D226990" w14:textId="77777777" w:rsidR="001D6FA0" w:rsidRPr="005E779E" w:rsidRDefault="001D6FA0" w:rsidP="000B7A6C">
      <w:pPr>
        <w:pStyle w:val="ae"/>
        <w:spacing w:before="0" w:after="0"/>
        <w:jc w:val="both"/>
        <w:rPr>
          <w:color w:val="000000" w:themeColor="text1"/>
          <w:sz w:val="16"/>
          <w:szCs w:val="16"/>
        </w:rPr>
      </w:pPr>
      <w:r w:rsidRPr="005E779E">
        <w:rPr>
          <w:color w:val="000000" w:themeColor="text1"/>
          <w:sz w:val="16"/>
          <w:szCs w:val="16"/>
        </w:rPr>
        <w:t>Тов. Наумину</w:t>
      </w:r>
    </w:p>
    <w:p w14:paraId="5C38A13D" w14:textId="77777777" w:rsidR="001D6FA0" w:rsidRPr="005E779E" w:rsidRDefault="001D6FA0" w:rsidP="000B7A6C">
      <w:pPr>
        <w:pStyle w:val="rtejustify"/>
        <w:spacing w:before="0" w:after="0"/>
        <w:rPr>
          <w:color w:val="000000" w:themeColor="text1"/>
          <w:sz w:val="16"/>
          <w:szCs w:val="16"/>
        </w:rPr>
      </w:pPr>
      <w:r w:rsidRPr="005E779E">
        <w:rPr>
          <w:color w:val="000000" w:themeColor="text1"/>
          <w:sz w:val="16"/>
          <w:szCs w:val="16"/>
        </w:rPr>
        <w:lastRenderedPageBreak/>
        <w:t>Согласно распоряжения нач. ЭКУ тов. Миронова переведите ОКБ № 11 в Теплоинститут, о чем договоритесь с тов. Браило. Помещение на парострое закрепить за ними.</w:t>
      </w:r>
    </w:p>
    <w:p w14:paraId="038E789B" w14:textId="77777777" w:rsidR="001D6FA0" w:rsidRPr="005E779E" w:rsidRDefault="001D6FA0" w:rsidP="000B7A6C">
      <w:pPr>
        <w:pStyle w:val="rtejustify"/>
        <w:spacing w:before="0" w:after="0"/>
        <w:rPr>
          <w:color w:val="000000" w:themeColor="text1"/>
          <w:sz w:val="16"/>
          <w:szCs w:val="16"/>
        </w:rPr>
      </w:pPr>
      <w:r w:rsidRPr="005E779E">
        <w:rPr>
          <w:color w:val="000000" w:themeColor="text1"/>
          <w:sz w:val="16"/>
          <w:szCs w:val="16"/>
        </w:rPr>
        <w:t>Бедняков.</w:t>
      </w:r>
    </w:p>
    <w:p w14:paraId="0BB584D0" w14:textId="77777777" w:rsidR="001D6FA0" w:rsidRPr="005E779E" w:rsidRDefault="001D6FA0" w:rsidP="000B7A6C">
      <w:pPr>
        <w:pStyle w:val="ae"/>
        <w:spacing w:before="0" w:after="0"/>
        <w:jc w:val="both"/>
        <w:rPr>
          <w:color w:val="000000" w:themeColor="text1"/>
          <w:sz w:val="16"/>
          <w:szCs w:val="16"/>
        </w:rPr>
      </w:pPr>
      <w:r w:rsidRPr="005E779E">
        <w:rPr>
          <w:color w:val="000000" w:themeColor="text1"/>
          <w:sz w:val="16"/>
          <w:szCs w:val="16"/>
        </w:rPr>
        <w:t>23/IX</w:t>
      </w:r>
    </w:p>
    <w:p w14:paraId="4DB4E35F" w14:textId="77777777" w:rsidR="001D6FA0" w:rsidRPr="005E779E" w:rsidRDefault="001D6FA0" w:rsidP="000B7A6C">
      <w:pPr>
        <w:pStyle w:val="ae"/>
        <w:spacing w:before="0" w:after="0"/>
        <w:jc w:val="both"/>
        <w:rPr>
          <w:color w:val="000000" w:themeColor="text1"/>
          <w:sz w:val="16"/>
          <w:szCs w:val="16"/>
        </w:rPr>
      </w:pPr>
      <w:r w:rsidRPr="005E779E">
        <w:rPr>
          <w:rStyle w:val="af0"/>
          <w:i w:val="0"/>
          <w:color w:val="000000" w:themeColor="text1"/>
          <w:sz w:val="16"/>
          <w:szCs w:val="16"/>
        </w:rPr>
        <w:t>РГАЭ. Ф.38. Oп. 1.Д. 2. Л. 85. Рукописный подлинник, автограф Беднякова. Написано простым карандашом на листке из фирменного блокнота: вверху (типографским способом) «Начальник «...» Отделения Экономического управления ОГПУ при СНК СССР», ниже по центру «Служебная записка», графы для даты, номера, адресата («тов.»). Вверху слева также от руки написано «23/IХ» (19074).</w:t>
      </w:r>
    </w:p>
    <w:p w14:paraId="2F839C1D" w14:textId="77777777" w:rsidR="001D6FA0" w:rsidRPr="005E779E" w:rsidRDefault="001D6FA0" w:rsidP="000B7A6C">
      <w:pPr>
        <w:spacing w:after="0" w:line="240" w:lineRule="auto"/>
        <w:jc w:val="both"/>
        <w:rPr>
          <w:rFonts w:ascii="Times New Roman" w:hAnsi="Times New Roman"/>
          <w:color w:val="000000" w:themeColor="text1"/>
          <w:sz w:val="16"/>
          <w:szCs w:val="16"/>
        </w:rPr>
      </w:pPr>
    </w:p>
    <w:p w14:paraId="6708CDE3" w14:textId="77777777" w:rsidR="001D6FA0" w:rsidRPr="005E779E" w:rsidRDefault="001D6FA0"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сентября 1931 г. завершились приемо-сдаточные испытания головной подводной лодки С-1, которые проводила государственная комиссия под председательством Н. И. Кюна. По завершении испытаний был подписан приемный акт, в котором комиссия отметила высокие боевые и маневренные качества подводного корабля. Лодка имела хорошую маневренность и мореходность, уверенно слушалась руля. Система погружения была простой в обслуживании (10700).</w:t>
      </w:r>
    </w:p>
    <w:p w14:paraId="57CF76FF" w14:textId="77777777" w:rsidR="001D6FA0" w:rsidRPr="005E779E" w:rsidRDefault="001D6FA0" w:rsidP="000B7A6C">
      <w:pPr>
        <w:autoSpaceDE w:val="0"/>
        <w:autoSpaceDN w:val="0"/>
        <w:adjustRightInd w:val="0"/>
        <w:spacing w:after="0" w:line="240" w:lineRule="auto"/>
        <w:jc w:val="both"/>
        <w:rPr>
          <w:rFonts w:ascii="Times New Roman" w:hAnsi="Times New Roman"/>
          <w:color w:val="000000" w:themeColor="text1"/>
          <w:sz w:val="16"/>
          <w:szCs w:val="16"/>
        </w:rPr>
      </w:pPr>
    </w:p>
    <w:p w14:paraId="4D15064D"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Зарубежом:</w:t>
      </w:r>
    </w:p>
    <w:p w14:paraId="3A9FA6DE"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7923C16" w14:textId="77777777" w:rsidR="00D23876" w:rsidRPr="005E779E" w:rsidRDefault="00D23876" w:rsidP="000B7A6C">
      <w:pPr>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rPr>
        <w:t>23 сентября 1931 автожир Pitcairn XOP-1 проводит посадочные и взлетные испытания на борту авианосца ВМС США USS Langley (CV-1). Это</w:t>
      </w:r>
      <w:r w:rsidRPr="005E779E">
        <w:rPr>
          <w:rFonts w:ascii="Times New Roman" w:hAnsi="Times New Roman"/>
          <w:color w:val="000000" w:themeColor="text1"/>
          <w:sz w:val="16"/>
          <w:szCs w:val="16"/>
          <w:lang w:val="en-US"/>
        </w:rPr>
        <w:t xml:space="preserve"> </w:t>
      </w:r>
      <w:r w:rsidRPr="005E779E">
        <w:rPr>
          <w:rFonts w:ascii="Times New Roman" w:hAnsi="Times New Roman"/>
          <w:color w:val="000000" w:themeColor="text1"/>
          <w:sz w:val="16"/>
          <w:szCs w:val="16"/>
        </w:rPr>
        <w:t>первый</w:t>
      </w:r>
      <w:r w:rsidRPr="005E779E">
        <w:rPr>
          <w:rFonts w:ascii="Times New Roman" w:hAnsi="Times New Roman"/>
          <w:color w:val="000000" w:themeColor="text1"/>
          <w:sz w:val="16"/>
          <w:szCs w:val="16"/>
          <w:lang w:val="en-US"/>
        </w:rPr>
        <w:t xml:space="preserve"> </w:t>
      </w:r>
      <w:r w:rsidRPr="005E779E">
        <w:rPr>
          <w:rFonts w:ascii="Times New Roman" w:hAnsi="Times New Roman"/>
          <w:color w:val="000000" w:themeColor="text1"/>
          <w:sz w:val="16"/>
          <w:szCs w:val="16"/>
        </w:rPr>
        <w:t>эксперимент</w:t>
      </w:r>
      <w:r w:rsidRPr="005E779E">
        <w:rPr>
          <w:rFonts w:ascii="Times New Roman" w:hAnsi="Times New Roman"/>
          <w:color w:val="000000" w:themeColor="text1"/>
          <w:sz w:val="16"/>
          <w:szCs w:val="16"/>
          <w:lang w:val="en-US"/>
        </w:rPr>
        <w:t xml:space="preserve"> </w:t>
      </w:r>
      <w:r w:rsidRPr="005E779E">
        <w:rPr>
          <w:rFonts w:ascii="Times New Roman" w:hAnsi="Times New Roman"/>
          <w:color w:val="000000" w:themeColor="text1"/>
          <w:sz w:val="16"/>
          <w:szCs w:val="16"/>
        </w:rPr>
        <w:t>ВМС</w:t>
      </w:r>
      <w:r w:rsidRPr="005E779E">
        <w:rPr>
          <w:rFonts w:ascii="Times New Roman" w:hAnsi="Times New Roman"/>
          <w:color w:val="000000" w:themeColor="text1"/>
          <w:sz w:val="16"/>
          <w:szCs w:val="16"/>
          <w:lang w:val="en-US"/>
        </w:rPr>
        <w:t xml:space="preserve"> </w:t>
      </w:r>
      <w:r w:rsidRPr="005E779E">
        <w:rPr>
          <w:rFonts w:ascii="Times New Roman" w:hAnsi="Times New Roman"/>
          <w:color w:val="000000" w:themeColor="text1"/>
          <w:sz w:val="16"/>
          <w:szCs w:val="16"/>
        </w:rPr>
        <w:t>США</w:t>
      </w:r>
      <w:r w:rsidRPr="005E779E">
        <w:rPr>
          <w:rFonts w:ascii="Times New Roman" w:hAnsi="Times New Roman"/>
          <w:color w:val="000000" w:themeColor="text1"/>
          <w:sz w:val="16"/>
          <w:szCs w:val="16"/>
          <w:lang w:val="en-US"/>
        </w:rPr>
        <w:t xml:space="preserve"> </w:t>
      </w:r>
      <w:r w:rsidRPr="005E779E">
        <w:rPr>
          <w:rFonts w:ascii="Times New Roman" w:hAnsi="Times New Roman"/>
          <w:color w:val="000000" w:themeColor="text1"/>
          <w:sz w:val="16"/>
          <w:szCs w:val="16"/>
        </w:rPr>
        <w:t>с</w:t>
      </w:r>
      <w:r w:rsidRPr="005E779E">
        <w:rPr>
          <w:rFonts w:ascii="Times New Roman" w:hAnsi="Times New Roman"/>
          <w:color w:val="000000" w:themeColor="text1"/>
          <w:sz w:val="16"/>
          <w:szCs w:val="16"/>
          <w:lang w:val="en-US"/>
        </w:rPr>
        <w:t xml:space="preserve"> </w:t>
      </w:r>
      <w:r w:rsidRPr="005E779E">
        <w:rPr>
          <w:rFonts w:ascii="Times New Roman" w:hAnsi="Times New Roman"/>
          <w:color w:val="000000" w:themeColor="text1"/>
          <w:sz w:val="16"/>
          <w:szCs w:val="16"/>
        </w:rPr>
        <w:t>корабельными</w:t>
      </w:r>
      <w:r w:rsidRPr="005E779E">
        <w:rPr>
          <w:rFonts w:ascii="Times New Roman" w:hAnsi="Times New Roman"/>
          <w:color w:val="000000" w:themeColor="text1"/>
          <w:sz w:val="16"/>
          <w:szCs w:val="16"/>
          <w:lang w:val="en-US"/>
        </w:rPr>
        <w:t xml:space="preserve"> </w:t>
      </w:r>
      <w:r w:rsidRPr="005E779E">
        <w:rPr>
          <w:rFonts w:ascii="Times New Roman" w:hAnsi="Times New Roman"/>
          <w:color w:val="000000" w:themeColor="text1"/>
          <w:sz w:val="16"/>
          <w:szCs w:val="16"/>
        </w:rPr>
        <w:t>винтокрылыми</w:t>
      </w:r>
      <w:r w:rsidRPr="005E779E">
        <w:rPr>
          <w:rFonts w:ascii="Times New Roman" w:hAnsi="Times New Roman"/>
          <w:color w:val="000000" w:themeColor="text1"/>
          <w:sz w:val="16"/>
          <w:szCs w:val="16"/>
          <w:lang w:val="en-US"/>
        </w:rPr>
        <w:t xml:space="preserve"> </w:t>
      </w:r>
      <w:r w:rsidRPr="005E779E">
        <w:rPr>
          <w:rFonts w:ascii="Times New Roman" w:hAnsi="Times New Roman"/>
          <w:color w:val="000000" w:themeColor="text1"/>
          <w:sz w:val="16"/>
          <w:szCs w:val="16"/>
        </w:rPr>
        <w:t>аппаратами</w:t>
      </w:r>
      <w:r w:rsidRPr="005E779E">
        <w:rPr>
          <w:rFonts w:ascii="Times New Roman" w:hAnsi="Times New Roman"/>
          <w:color w:val="000000" w:themeColor="text1"/>
          <w:sz w:val="16"/>
          <w:szCs w:val="16"/>
          <w:lang w:val="en-US"/>
        </w:rPr>
        <w:t xml:space="preserve"> (20804). </w:t>
      </w:r>
    </w:p>
    <w:p w14:paraId="20180983" w14:textId="77777777" w:rsidR="00D23876" w:rsidRPr="005E779E" w:rsidRDefault="00D23876" w:rsidP="000B7A6C">
      <w:pPr>
        <w:spacing w:after="0" w:line="240" w:lineRule="auto"/>
        <w:jc w:val="both"/>
        <w:rPr>
          <w:rFonts w:ascii="Times New Roman" w:hAnsi="Times New Roman"/>
          <w:color w:val="000000" w:themeColor="text1"/>
          <w:sz w:val="16"/>
          <w:szCs w:val="16"/>
          <w:lang w:val="en-US"/>
        </w:rPr>
      </w:pPr>
    </w:p>
    <w:p w14:paraId="19D165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lang w:val="en-US"/>
        </w:rPr>
        <w:t>September 23, 1931 Lieutenant A. M. Pride piloted the Navy's first rotary wing aircraft, an XOP-1 autogiro, in landings and takeoffs aboard Langley while underway (1090).</w:t>
      </w:r>
    </w:p>
    <w:p w14:paraId="113ED4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p w14:paraId="32699D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сентября 1931 л А.М.Прайд совершил первый полет на первом флотском автожире США с авианосца Лэнгли (1090).</w:t>
      </w:r>
    </w:p>
    <w:p w14:paraId="18D170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B1FD9A1" w14:textId="77777777" w:rsidR="00D23876" w:rsidRPr="005E779E" w:rsidRDefault="00D2387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сентября 1931 - Первый полёт дирижабля «Акрон», вокруг города Кливленда. USS Akron (ZRS-4)) — жёсткий дирижабль-авианосец Военно-морских сил США первой трети 1930-х годов, один из крупнейших дирижаблей в мире (по объёму уступал цеппелину «Гинденбург» приблизительно на 3 %). Разрабатывался для ведения дальней морской разведки. Номинально мог нести до 5 небольших самолётов, служивших для выполнения разведывательных полётов и защиты дирижабля (фактически брал на борт не более 3 самолётов) (22357).</w:t>
      </w:r>
    </w:p>
    <w:p w14:paraId="0FECE6DC" w14:textId="77777777" w:rsidR="00D23876" w:rsidRPr="005E779E" w:rsidRDefault="00D23876" w:rsidP="000B7A6C">
      <w:pPr>
        <w:spacing w:after="0" w:line="240" w:lineRule="auto"/>
        <w:jc w:val="both"/>
        <w:rPr>
          <w:rFonts w:ascii="Times New Roman" w:hAnsi="Times New Roman"/>
          <w:color w:val="000000" w:themeColor="text1"/>
          <w:sz w:val="16"/>
          <w:szCs w:val="16"/>
        </w:rPr>
      </w:pPr>
    </w:p>
    <w:p w14:paraId="35CA23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сентября 1931 жесткий дирижабль Акрон выполнил первый полет (1090).</w:t>
      </w:r>
    </w:p>
    <w:p w14:paraId="26B830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E7B0789" w14:textId="77777777" w:rsidR="006C5051" w:rsidRPr="00142305" w:rsidRDefault="006C5051" w:rsidP="006C5051">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 xml:space="preserve">23 сентября 1931 г. дирижабль </w:t>
      </w:r>
      <w:r w:rsidRPr="00142305">
        <w:rPr>
          <w:rStyle w:val="aff0"/>
          <w:rFonts w:ascii="Times New Roman" w:hAnsi="Times New Roman" w:cs="Times New Roman"/>
          <w:color w:val="0070C0"/>
          <w:spacing w:val="0"/>
          <w:sz w:val="16"/>
          <w:szCs w:val="16"/>
          <w:lang w:val="en-US"/>
        </w:rPr>
        <w:t>Akron</w:t>
      </w:r>
      <w:r w:rsidRPr="00142305">
        <w:rPr>
          <w:rStyle w:val="aff0"/>
          <w:rFonts w:ascii="Times New Roman" w:hAnsi="Times New Roman" w:cs="Times New Roman"/>
          <w:color w:val="0070C0"/>
          <w:spacing w:val="0"/>
          <w:sz w:val="16"/>
          <w:szCs w:val="16"/>
        </w:rPr>
        <w:t xml:space="preserve"> совершил первый полёт вокруг Клив</w:t>
      </w:r>
      <w:r w:rsidRPr="00142305">
        <w:rPr>
          <w:rStyle w:val="aff0"/>
          <w:rFonts w:ascii="Times New Roman" w:hAnsi="Times New Roman" w:cs="Times New Roman"/>
          <w:color w:val="0070C0"/>
          <w:spacing w:val="0"/>
          <w:sz w:val="16"/>
          <w:szCs w:val="16"/>
        </w:rPr>
        <w:softHyphen/>
        <w:t xml:space="preserve">ленда, а 21 октября покинул воздушный док корпорации </w:t>
      </w:r>
      <w:r w:rsidRPr="00142305">
        <w:rPr>
          <w:rStyle w:val="aff0"/>
          <w:rFonts w:ascii="Times New Roman" w:hAnsi="Times New Roman" w:cs="Times New Roman"/>
          <w:color w:val="0070C0"/>
          <w:spacing w:val="0"/>
          <w:sz w:val="16"/>
          <w:szCs w:val="16"/>
          <w:lang w:val="en-US"/>
        </w:rPr>
        <w:t>Goodyear</w:t>
      </w:r>
      <w:r w:rsidRPr="00142305">
        <w:rPr>
          <w:rStyle w:val="aff0"/>
          <w:rFonts w:ascii="Times New Roman" w:hAnsi="Times New Roman" w:cs="Times New Roman"/>
          <w:color w:val="0070C0"/>
          <w:spacing w:val="0"/>
          <w:sz w:val="16"/>
          <w:szCs w:val="16"/>
        </w:rPr>
        <w:t>-</w:t>
      </w:r>
      <w:r w:rsidRPr="00142305">
        <w:rPr>
          <w:rStyle w:val="aff0"/>
          <w:rFonts w:ascii="Times New Roman" w:hAnsi="Times New Roman" w:cs="Times New Roman"/>
          <w:color w:val="0070C0"/>
          <w:spacing w:val="0"/>
          <w:sz w:val="16"/>
          <w:szCs w:val="16"/>
          <w:lang w:val="en-US"/>
        </w:rPr>
        <w:t>Zeppelin</w:t>
      </w:r>
      <w:r w:rsidRPr="00142305">
        <w:rPr>
          <w:rStyle w:val="aff0"/>
          <w:rFonts w:ascii="Times New Roman" w:hAnsi="Times New Roman" w:cs="Times New Roman"/>
          <w:color w:val="0070C0"/>
          <w:spacing w:val="0"/>
          <w:sz w:val="16"/>
          <w:szCs w:val="16"/>
        </w:rPr>
        <w:t xml:space="preserve"> и направился на авиабазу Лейкхёрст, где 27 октября в День ВМС США был при</w:t>
      </w:r>
      <w:r w:rsidRPr="00142305">
        <w:rPr>
          <w:rStyle w:val="aff0"/>
          <w:rFonts w:ascii="Times New Roman" w:hAnsi="Times New Roman" w:cs="Times New Roman"/>
          <w:color w:val="0070C0"/>
          <w:spacing w:val="0"/>
          <w:sz w:val="16"/>
          <w:szCs w:val="16"/>
        </w:rPr>
        <w:softHyphen/>
        <w:t>нят на вооружение.</w:t>
      </w:r>
    </w:p>
    <w:p w14:paraId="00DCF395" w14:textId="77777777" w:rsidR="006C5051" w:rsidRPr="00142305" w:rsidRDefault="006C5051" w:rsidP="006C5051">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 xml:space="preserve">В отличие от конструкции традиционных цеппелинов, элементы каркаса </w:t>
      </w:r>
      <w:r w:rsidRPr="00142305">
        <w:rPr>
          <w:rStyle w:val="aff0"/>
          <w:rFonts w:ascii="Times New Roman" w:hAnsi="Times New Roman" w:cs="Times New Roman"/>
          <w:color w:val="0070C0"/>
          <w:spacing w:val="0"/>
          <w:sz w:val="16"/>
          <w:szCs w:val="16"/>
          <w:lang w:val="en-US"/>
        </w:rPr>
        <w:t>Akron</w:t>
      </w:r>
      <w:r w:rsidRPr="00142305">
        <w:rPr>
          <w:rStyle w:val="aff0"/>
          <w:rFonts w:ascii="Times New Roman" w:hAnsi="Times New Roman" w:cs="Times New Roman"/>
          <w:color w:val="0070C0"/>
          <w:spacing w:val="0"/>
          <w:sz w:val="16"/>
          <w:szCs w:val="16"/>
        </w:rPr>
        <w:t xml:space="preserve"> был изготовлены из нового сплава дюралюминия, а сам каркас был несу</w:t>
      </w:r>
      <w:r w:rsidRPr="00142305">
        <w:rPr>
          <w:rStyle w:val="aff0"/>
          <w:rFonts w:ascii="Times New Roman" w:hAnsi="Times New Roman" w:cs="Times New Roman"/>
          <w:color w:val="0070C0"/>
          <w:spacing w:val="0"/>
          <w:sz w:val="16"/>
          <w:szCs w:val="16"/>
        </w:rPr>
        <w:softHyphen/>
        <w:t xml:space="preserve">щим без тросовых растяжек. Длина дирижабля достигала 239,3 м, максимальный диаметр 40,5 м. Внутри корпуса стояло восемь бензиновых двигателей </w:t>
      </w:r>
      <w:r w:rsidRPr="00142305">
        <w:rPr>
          <w:rStyle w:val="aff0"/>
          <w:rFonts w:ascii="Times New Roman" w:hAnsi="Times New Roman" w:cs="Times New Roman"/>
          <w:color w:val="0070C0"/>
          <w:spacing w:val="0"/>
          <w:sz w:val="16"/>
          <w:szCs w:val="16"/>
          <w:lang w:val="en-US"/>
        </w:rPr>
        <w:t>Maybach</w:t>
      </w:r>
      <w:r w:rsidRPr="00142305">
        <w:rPr>
          <w:rStyle w:val="aff0"/>
          <w:rFonts w:ascii="Times New Roman" w:hAnsi="Times New Roman" w:cs="Times New Roman"/>
          <w:color w:val="0070C0"/>
          <w:spacing w:val="0"/>
          <w:sz w:val="16"/>
          <w:szCs w:val="16"/>
        </w:rPr>
        <w:t xml:space="preserve"> </w:t>
      </w:r>
      <w:r w:rsidRPr="00142305">
        <w:rPr>
          <w:rStyle w:val="aff0"/>
          <w:rFonts w:ascii="Times New Roman" w:hAnsi="Times New Roman" w:cs="Times New Roman"/>
          <w:color w:val="0070C0"/>
          <w:spacing w:val="0"/>
          <w:sz w:val="16"/>
          <w:szCs w:val="16"/>
          <w:lang w:val="en-US"/>
        </w:rPr>
        <w:t>VL</w:t>
      </w:r>
      <w:r w:rsidRPr="00142305">
        <w:rPr>
          <w:rStyle w:val="aff0"/>
          <w:rFonts w:ascii="Times New Roman" w:hAnsi="Times New Roman" w:cs="Times New Roman"/>
          <w:color w:val="0070C0"/>
          <w:spacing w:val="0"/>
          <w:sz w:val="16"/>
          <w:szCs w:val="16"/>
        </w:rPr>
        <w:t>II мощностью по 560 л. с. Каждый вращал двухлопастной винт с фиксированным шагом диаметром 4,89 м через карданный вал и коническую передачу (25618).</w:t>
      </w:r>
    </w:p>
    <w:p w14:paraId="37794251" w14:textId="77777777" w:rsidR="006C5051" w:rsidRPr="00142305" w:rsidRDefault="006C5051" w:rsidP="006C5051">
      <w:pPr>
        <w:spacing w:after="0" w:line="240" w:lineRule="auto"/>
        <w:jc w:val="both"/>
        <w:rPr>
          <w:rFonts w:ascii="Times New Roman" w:hAnsi="Times New Roman"/>
          <w:color w:val="0070C0"/>
          <w:sz w:val="16"/>
          <w:szCs w:val="16"/>
        </w:rPr>
      </w:pPr>
    </w:p>
    <w:p w14:paraId="033B22DD"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0EB5356E"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8CF78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N 174 по ЦАГИ от 25 сентября, подписанному Пауфлером в качестве начальника ЦАГИ, в связи с новыми задачами ЦАГИ разделяется на два основных сектора (61,127):</w:t>
      </w:r>
    </w:p>
    <w:p w14:paraId="2A5B52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Научно-исследовательский, в который входят все научно-исследовательские отделы - руководимый зам. ЦКБ по научно-исследовательской части А.Н.Рафаэлянцем;</w:t>
      </w:r>
    </w:p>
    <w:p w14:paraId="0C8750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Конструкторско-производственный, который состоит из ЦКБ и завода (61,127).</w:t>
      </w:r>
    </w:p>
    <w:p w14:paraId="3E3600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Кроме этих секторов в состав ЦАГИ входят Планово-экономический отдел и Управление строительством (61,127).</w:t>
      </w:r>
    </w:p>
    <w:p w14:paraId="38CE91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"считать АГОС с его опытными мастерскими и ЦКБ с заводом N п/я 411 им. тов. Менжинского объединенными в конструкторско-производственный сектор ЦАГИ, который именовать впредь: "Центральное Конструкторское Бюро (ЦКБ) с заводом N п/я 411 им. тов. Менжинского. Основание приказ начальника ВАО N 265 от 27.08.1931 (61,127).</w:t>
      </w:r>
    </w:p>
    <w:p w14:paraId="67B8D8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Пауфлер назначил А.Н.Т., зам. начальника ЦАГИ, не начальником или зам., а помошником по ЦКБ (61,128).</w:t>
      </w:r>
    </w:p>
    <w:p w14:paraId="395650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Разница номеров 39 завода и п/я 411 может быть в том, что 39 - производство, а 411 - опытный, а может быть дело в том, что номер и п/я - могли быть и разными.</w:t>
      </w:r>
    </w:p>
    <w:p w14:paraId="3F650D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ЦКБ в административном отношении входил в ЦАГИ (24,53). Задания на постройку опытных самолетов, финансирование и материально-техническое снабжение ЦКБ осуществлялось через аппарат ЦАГИ.</w:t>
      </w:r>
    </w:p>
    <w:p w14:paraId="22BFE39D"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68BC48B" w14:textId="77777777" w:rsidR="001D6FA0" w:rsidRPr="005E779E" w:rsidRDefault="001D6FA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сентября 1931 г. в приказе по ЦАГИ №174 от говорилось:</w:t>
      </w:r>
    </w:p>
    <w:p w14:paraId="2AFFDF6A" w14:textId="77777777" w:rsidR="001D6FA0" w:rsidRPr="005E779E" w:rsidRDefault="001D6FA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В связи с новыми задачами, поставленными перед ЦАГИ, ЦАГИ разделяется на два основных сектора: Научно-Исследовательский и КонструкторскоПроизводственный. Помимо этих секторов в состав ЦАГИ входят: Планово-Экономический Отдел и Управление строительством. В Научно-Исследова - тельский сектор входят все научно-исследовательские отделы. Конструкторско-Производственный сектор состоит из центрального конструкторского Бюро (ЦКБ) и завода.</w:t>
      </w:r>
    </w:p>
    <w:p w14:paraId="352AB3F5" w14:textId="77777777" w:rsidR="001D6FA0" w:rsidRPr="005E779E" w:rsidRDefault="001D6FA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С сего числа считать АГОС с его опытными мастерскими и ЦКБ с заводом им. тов. Менжинского объединенными в конструкторско-производственный сектор ЦАГИ, который впредь именовать: «Центральное Конструкторское Бюро» (ЦКБ) с заводом им. тов. Менжинского» (19727).</w:t>
      </w:r>
    </w:p>
    <w:p w14:paraId="42469EA9" w14:textId="77777777" w:rsidR="001D6FA0" w:rsidRPr="005E779E" w:rsidRDefault="001D6FA0" w:rsidP="000B7A6C">
      <w:pPr>
        <w:spacing w:after="0" w:line="240" w:lineRule="auto"/>
        <w:jc w:val="both"/>
        <w:rPr>
          <w:rFonts w:ascii="Times New Roman" w:hAnsi="Times New Roman"/>
          <w:color w:val="000000" w:themeColor="text1"/>
          <w:sz w:val="16"/>
          <w:szCs w:val="16"/>
        </w:rPr>
      </w:pPr>
    </w:p>
    <w:p w14:paraId="785D8364"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сентября 1931 г. начальник ЦКБ-ЦАГИ Е. Пауфлер на основании приказа по ВАО №265 от 27.08.31 г. выпустил свой приказ №174, по которому:</w:t>
      </w:r>
    </w:p>
    <w:p w14:paraId="36869255"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ЦАГИ разделяется на два основных сектора – Научно-исследовательский, в который входят все научно-исследовательские отделы, начальник А.Н. Рафаэлянц, и Конструкторско-производственный, который состоит из ЦКБ и (так в приказе и не ясно какой завод имеется ввиду – №39 или заканчиваемый постройкой ЗОК ЦАГИ), в него передается весь АГОС с его опытным производством, А.Н. Туполев назначается зам начальника ЦАГИ;</w:t>
      </w:r>
    </w:p>
    <w:p w14:paraId="63A89C38"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кроме этих секторов в состав ЦАГИ входят Планово-экономический отдел и Управление строительством;</w:t>
      </w:r>
    </w:p>
    <w:p w14:paraId="567E0C46"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объединенную организацию именовать впредь: «Центральное Конструкторское Бюро (ЦКБ) с заводом N п/я 411 им. тов. Менжинского» (т.е. ЦАГИ входит в ее состав и исключается из наименования организации, становясь просто ее подразделением).</w:t>
      </w:r>
    </w:p>
    <w:p w14:paraId="3CA9C3E7"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Однако этот приказ руководством ЦАГИ и АГОС в части подчиненности ЦКБ выполнен не был. В то же время выдача заданий на постройку опытных самолетов, финансирование и материально-техническое снабжение ЦКБ-39 начало осуществляться через аппарат ЦАГИ (23559).</w:t>
      </w:r>
    </w:p>
    <w:p w14:paraId="57CD5307" w14:textId="77777777" w:rsidR="007F1987" w:rsidRPr="005E779E" w:rsidRDefault="007F1987" w:rsidP="000B7A6C">
      <w:pPr>
        <w:spacing w:after="0" w:line="240" w:lineRule="auto"/>
        <w:jc w:val="both"/>
        <w:rPr>
          <w:rFonts w:ascii="Times New Roman" w:hAnsi="Times New Roman"/>
          <w:color w:val="000000" w:themeColor="text1"/>
          <w:sz w:val="16"/>
          <w:szCs w:val="16"/>
        </w:rPr>
      </w:pPr>
    </w:p>
    <w:p w14:paraId="3A3DB103" w14:textId="77777777" w:rsidR="00C539B3" w:rsidRPr="00142305" w:rsidRDefault="00C539B3" w:rsidP="00C539B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25 сентября 1931 г. состоялся визит 16 немецких гостей столицы, среди которых кроме представителей «Вифупаль», были Нидермайер, начальник штаба германской авиации Фельми и его секретарь Шпанге на самолетостроительный завод № 22 в Филях, в создании и работе которого в начале 1920-х гг. при</w:t>
      </w:r>
      <w:r w:rsidRPr="00142305">
        <w:rPr>
          <w:rFonts w:ascii="Times New Roman" w:hAnsi="Times New Roman"/>
          <w:color w:val="0070C0"/>
          <w:sz w:val="16"/>
          <w:szCs w:val="16"/>
        </w:rPr>
        <w:softHyphen/>
        <w:t>нимала участие фирма «Юнкерс». Теперь это предприятие произ</w:t>
      </w:r>
      <w:r w:rsidRPr="00142305">
        <w:rPr>
          <w:rFonts w:ascii="Times New Roman" w:hAnsi="Times New Roman"/>
          <w:color w:val="0070C0"/>
          <w:sz w:val="16"/>
          <w:szCs w:val="16"/>
        </w:rPr>
        <w:softHyphen/>
        <w:t>водило металлические самолеты ОКБ Туполева. Один из них, двух</w:t>
      </w:r>
      <w:r w:rsidRPr="00142305">
        <w:rPr>
          <w:rFonts w:ascii="Times New Roman" w:hAnsi="Times New Roman"/>
          <w:color w:val="0070C0"/>
          <w:sz w:val="16"/>
          <w:szCs w:val="16"/>
        </w:rPr>
        <w:softHyphen/>
        <w:t>моторный многоцелевой Р-6, немцы смогли осмотреть на заводском аэродроме.</w:t>
      </w:r>
    </w:p>
    <w:p w14:paraId="6BBC8B9D" w14:textId="77777777" w:rsidR="00C539B3" w:rsidRPr="00142305" w:rsidRDefault="00C539B3" w:rsidP="00C539B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Позднее несколько немецких летчиков попросили еще раз от</w:t>
      </w:r>
      <w:r w:rsidRPr="00142305">
        <w:rPr>
          <w:rFonts w:ascii="Times New Roman" w:hAnsi="Times New Roman"/>
          <w:color w:val="0070C0"/>
          <w:sz w:val="16"/>
          <w:szCs w:val="16"/>
        </w:rPr>
        <w:softHyphen/>
        <w:t>вести их на аэродром НИИ ВВС в надежде полетать на отремонти</w:t>
      </w:r>
      <w:r w:rsidRPr="00142305">
        <w:rPr>
          <w:rFonts w:ascii="Times New Roman" w:hAnsi="Times New Roman"/>
          <w:color w:val="0070C0"/>
          <w:sz w:val="16"/>
          <w:szCs w:val="16"/>
        </w:rPr>
        <w:softHyphen/>
        <w:t>рованном И-5, но низкая облачность не позволила это сделать. Не удалось им и познакомиться ближе с четырехмоторным бомбарди</w:t>
      </w:r>
      <w:r w:rsidRPr="00142305">
        <w:rPr>
          <w:rFonts w:ascii="Times New Roman" w:hAnsi="Times New Roman"/>
          <w:color w:val="0070C0"/>
          <w:sz w:val="16"/>
          <w:szCs w:val="16"/>
        </w:rPr>
        <w:softHyphen/>
        <w:t>ровщиком ТБ-3, замеченном 23-го числа у ангара ЦАГИ. секретный бомбардировщик срочно закатили в ангар, а вместо него выставили трехмоторный пассажирский АНТ-14 (25025).</w:t>
      </w:r>
    </w:p>
    <w:p w14:paraId="3B4509D6" w14:textId="77777777" w:rsidR="00C539B3" w:rsidRPr="00142305" w:rsidRDefault="00C539B3" w:rsidP="00C539B3">
      <w:pPr>
        <w:spacing w:after="0" w:line="240" w:lineRule="auto"/>
        <w:jc w:val="both"/>
        <w:rPr>
          <w:rFonts w:ascii="Times New Roman" w:hAnsi="Times New Roman"/>
          <w:color w:val="0070C0"/>
          <w:sz w:val="16"/>
          <w:szCs w:val="16"/>
        </w:rPr>
      </w:pPr>
    </w:p>
    <w:p w14:paraId="2A419F60" w14:textId="77777777" w:rsidR="003E28CB"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328BE185" w14:textId="77777777" w:rsidR="003E28CB" w:rsidRPr="005E779E" w:rsidRDefault="003E28CB"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B577545" w14:textId="77777777" w:rsidR="003E28CB" w:rsidRPr="005E779E" w:rsidRDefault="003E28CB"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25 сентября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Протокол заседания Политбюро ЦК ВКП(б) № 64. 12. О заказах военведа в Италии (Гамарник). — ОП. (Политбюро... Т. 2. С. 221) (12416).</w:t>
      </w:r>
    </w:p>
    <w:p w14:paraId="253ABC9F" w14:textId="77777777" w:rsidR="003E28CB" w:rsidRPr="005E779E" w:rsidRDefault="003E28CB" w:rsidP="000B7A6C">
      <w:pPr>
        <w:spacing w:after="0" w:line="240" w:lineRule="auto"/>
        <w:jc w:val="both"/>
        <w:rPr>
          <w:rFonts w:ascii="Times New Roman" w:hAnsi="Times New Roman"/>
          <w:color w:val="000000" w:themeColor="text1"/>
          <w:sz w:val="16"/>
          <w:szCs w:val="16"/>
          <w:u w:color="002060"/>
        </w:rPr>
      </w:pPr>
    </w:p>
    <w:p w14:paraId="5962F075" w14:textId="77777777" w:rsidR="003E28CB" w:rsidRPr="005E779E" w:rsidRDefault="003E28CB"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25 сентября 1931 </w:t>
      </w:r>
      <w:r w:rsidRPr="005E779E">
        <w:rPr>
          <w:rFonts w:ascii="Times New Roman" w:hAnsi="Times New Roman"/>
          <w:color w:val="000000" w:themeColor="text1"/>
          <w:sz w:val="16"/>
          <w:szCs w:val="16"/>
        </w:rPr>
        <w:t>Политбюро ЦК ВКП (б) приняло решение о производстве экскаваторов на Ковровском машиностроительном заводе; одобрило предложение ВСНХ о приступе в 1932 г. к строительству нефтепровода Каспий - Орск (12265).</w:t>
      </w:r>
    </w:p>
    <w:p w14:paraId="43AFAA65" w14:textId="77777777" w:rsidR="003E28CB" w:rsidRPr="005E779E" w:rsidRDefault="003E28C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4528C221"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47AC32DF"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42868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25 сентября и 1 октября 1931. Из протокола заседания Политбюро № 64, 1931 г.</w:t>
      </w:r>
    </w:p>
    <w:p w14:paraId="0D3A3D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 xml:space="preserve">О снабжении Ленинграда и Москвы </w:t>
      </w:r>
    </w:p>
    <w:p w14:paraId="0E68F5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 обеспечить завоз муки для Москвы и Ленинграда с таким расчетом, чтобы не позже 15 октября в этих городах был образован 15-дневный запас муки... </w:t>
      </w:r>
    </w:p>
    <w:p w14:paraId="6B9CC4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до 1 октября отгрузить для Москвы 6 маршрутов сахара и для Ленинграда 3 маршрута, обязав НКПС обеспечить маршруты вагонами. </w:t>
      </w:r>
    </w:p>
    <w:p w14:paraId="78282A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г) отгрузить до 1 октября 850 тонн масла растительного для Москвы и 450 тонн для Ленинграда. </w:t>
      </w:r>
    </w:p>
    <w:p w14:paraId="380432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 Отгрузить из Астрахани до 3 октября 4 тыс. тонн рыбы для Москвы и 2 тыс. тонн для Ленинграда. </w:t>
      </w:r>
    </w:p>
    <w:p w14:paraId="14234E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е) Обязать НКСнаб до 15 октября выполнить для Москвы и Ленинграда половину октябрьского плана по мясоснабжению. </w:t>
      </w:r>
    </w:p>
    <w:p w14:paraId="297BBD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Послать телеграмму секретарям обкомов и крайкомов о строжайшей ответственности за выполнение заданий по мясоснабжению Москвы и Ленинграда (11652).</w:t>
      </w:r>
    </w:p>
    <w:p w14:paraId="0B27F3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6A25BCF"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6DA8E3FF"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33F98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сентября 1931 жесткий дирижабль-авиаматка Акрон выполнил первый полет (3481).</w:t>
      </w:r>
    </w:p>
    <w:p w14:paraId="39CF67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4BDB6A0" w14:textId="77777777" w:rsidR="00A54CD0" w:rsidRPr="005E779E" w:rsidRDefault="00A54CD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сентября в 1931 году первый полет совершает воздушное судно "Акрон", первый в мире дирижабль-авиаматка, предназначенный для решения оперативно-тактических задач (14780).</w:t>
      </w:r>
    </w:p>
    <w:p w14:paraId="5D14066B" w14:textId="77777777" w:rsidR="00A54CD0" w:rsidRPr="005E779E" w:rsidRDefault="00A54CD0" w:rsidP="000B7A6C">
      <w:pPr>
        <w:spacing w:after="0" w:line="240" w:lineRule="auto"/>
        <w:jc w:val="both"/>
        <w:rPr>
          <w:rFonts w:ascii="Times New Roman" w:hAnsi="Times New Roman"/>
          <w:color w:val="000000" w:themeColor="text1"/>
          <w:sz w:val="16"/>
          <w:szCs w:val="16"/>
        </w:rPr>
      </w:pPr>
    </w:p>
    <w:p w14:paraId="64471F18"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1780CEF6"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39074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 сентября 1931 года начальник 1 отдела НИИ ВВС Горощенко писал письмо N ос/125с в ЦКБ.</w:t>
      </w:r>
    </w:p>
    <w:p w14:paraId="17DCE6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сем препровождается "Результаты испытания металлического винта на самолете И5-ЮVII".</w:t>
      </w:r>
    </w:p>
    <w:p w14:paraId="1073B4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Цель работы</w:t>
      </w:r>
    </w:p>
    <w:p w14:paraId="41D243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И5 М-11 имеет винт по образцу И5 ЮVI - деревян. Деревянные винты на самолете И5 не удовлетворяют части ВВС с точки зрения их прочности, имеется целый ряд случаев поломки винтов в воздухе.</w:t>
      </w:r>
    </w:p>
    <w:p w14:paraId="3A75A7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Вследствие недостаточной их жесткости, винты деформируются и вибрируют. Поэтому 1 отдел НИИ решил произвести испытания металлического винта с с-та "АВИО ВНЗЗ" ЮVII типа Рида, фирмы Левиссер.</w:t>
      </w:r>
    </w:p>
    <w:p w14:paraId="4EAE67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w:t>
      </w:r>
    </w:p>
    <w:p w14:paraId="13C830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основании испытания винта типа Рида можно считать, что винт с тонкой металлической лопастью является более выгодным чем деревянный винт (3289).</w:t>
      </w:r>
    </w:p>
    <w:p w14:paraId="01E8E8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F38A8A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 сентября 1931 был подготовлен проект письма Зам. Нач. ОКБ Пауфлера Нач. УВВС РККА т. Я.И.Алкснису:</w:t>
      </w:r>
    </w:p>
    <w:p w14:paraId="1BAB5C9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сем представляю плав опытного самолетостроения ОКБ на 1931-1934 год для вашего рассмотрения и согласования.</w:t>
      </w:r>
    </w:p>
    <w:p w14:paraId="180B439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Представляемый план утвержден на заседании у Нач. ВАО 29/9-31 г. и является результатов проработки унифицированной программы ВВС и суммы заданий, имевшихся в ЦКБ, АГОС ЦАГИ, ГРОСС и БНК.</w:t>
      </w:r>
    </w:p>
    <w:p w14:paraId="032C45E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составлении плана в основу полодекно следующее:</w:t>
      </w:r>
    </w:p>
    <w:p w14:paraId="54819CA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Разбивка типов самолетов по системам вооружения.</w:t>
      </w:r>
    </w:p>
    <w:p w14:paraId="0B63C3A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Сведение количества типов самолетов серийного производства до минимума.</w:t>
      </w:r>
    </w:p>
    <w:p w14:paraId="0D55E0B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Полное совмещение гражданских самолетов с военными.</w:t>
      </w:r>
    </w:p>
    <w:p w14:paraId="329AC0C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Периодическая сменность типов новсамолетов новыми, более высокогокачества.</w:t>
      </w:r>
    </w:p>
    <w:p w14:paraId="75E21BC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Увязка выпуска оопытных и серийных самолетов с выпуском моторов.</w:t>
      </w:r>
    </w:p>
    <w:p w14:paraId="7E51B0A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Использование лицензионных моторов Кертисс-Конкверрор, Райт Циклон и Райт Ж6</w:t>
      </w:r>
    </w:p>
    <w:p w14:paraId="1EF322E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Выпуск нескольких, соревнующихся между собой образцов одного класса машин для выбора наилучшего для серии.</w:t>
      </w:r>
    </w:p>
    <w:p w14:paraId="708FCEB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Самолеты экспериментальные строятся по особому плану и в данный план не входят.</w:t>
      </w:r>
    </w:p>
    <w:p w14:paraId="57FA1C8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Указанные в плане сроки выпуска машин являются сроками выхода самолета на заводские полетные испытания.</w:t>
      </w:r>
    </w:p>
    <w:p w14:paraId="3125E73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Предполагается, что передача в НИИ состоятся не позже, чем через месяц для машин малого тоннажа и через 2-3 месяца для машин большого тоннажа и что во второй половине заводских испытаний таковые будет производить совместно с НИИ.</w:t>
      </w:r>
    </w:p>
    <w:p w14:paraId="162450A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Прошу вашего приказания о рассмотрении прилагаемого план в смысле приемлемости его для УВВСи сообшщения ВВС всех ваших поправок не позже 3 октября с.г. для изменений и представления на утверждение ВВС СССР.</w:t>
      </w:r>
    </w:p>
    <w:p w14:paraId="0A379D9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Приложение:</w:t>
      </w:r>
    </w:p>
    <w:p w14:paraId="12A5922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План Опытного самолетостроения.</w:t>
      </w:r>
    </w:p>
    <w:p w14:paraId="74E4DC6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Сравнение унифицированной программы намеченной УВВС и ОКБ на 1931-1934 г.</w:t>
      </w:r>
    </w:p>
    <w:p w14:paraId="0AE732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Количество типов самолетов, намеченных по плану УВВС и ОКБ (351,31).</w:t>
      </w:r>
    </w:p>
    <w:p w14:paraId="628A55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План опытного самолетостроение</w:t>
      </w:r>
    </w:p>
    <w:p w14:paraId="6FF98E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Сравнение унифицированной программы УВВС и ОКБ на 1931-1934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02"/>
        <w:gridCol w:w="1417"/>
        <w:gridCol w:w="1843"/>
        <w:gridCol w:w="4536"/>
      </w:tblGrid>
      <w:tr w:rsidR="001002C3" w:rsidRPr="005E779E" w14:paraId="21724AEF" w14:textId="77777777">
        <w:tc>
          <w:tcPr>
            <w:tcW w:w="2802" w:type="dxa"/>
          </w:tcPr>
          <w:p w14:paraId="53EEDD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Тип</w:t>
            </w:r>
          </w:p>
        </w:tc>
        <w:tc>
          <w:tcPr>
            <w:tcW w:w="1417" w:type="dxa"/>
          </w:tcPr>
          <w:p w14:paraId="0DB502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Намечено ВВС</w:t>
            </w:r>
          </w:p>
        </w:tc>
        <w:tc>
          <w:tcPr>
            <w:tcW w:w="1843" w:type="dxa"/>
          </w:tcPr>
          <w:p w14:paraId="743DD5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Добавлено ОКБ</w:t>
            </w:r>
          </w:p>
        </w:tc>
        <w:tc>
          <w:tcPr>
            <w:tcW w:w="4536" w:type="dxa"/>
          </w:tcPr>
          <w:p w14:paraId="033EF6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 в программе</w:t>
            </w:r>
          </w:p>
        </w:tc>
      </w:tr>
      <w:tr w:rsidR="001002C3" w:rsidRPr="005E779E" w14:paraId="4A443226" w14:textId="77777777">
        <w:tc>
          <w:tcPr>
            <w:tcW w:w="2802" w:type="dxa"/>
          </w:tcPr>
          <w:p w14:paraId="38B170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A270F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179260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65856A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66B367D" w14:textId="77777777">
        <w:tc>
          <w:tcPr>
            <w:tcW w:w="2802" w:type="dxa"/>
          </w:tcPr>
          <w:p w14:paraId="3544B9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Истребитель</w:t>
            </w:r>
          </w:p>
        </w:tc>
        <w:tc>
          <w:tcPr>
            <w:tcW w:w="1417" w:type="dxa"/>
          </w:tcPr>
          <w:p w14:paraId="288626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843" w:type="dxa"/>
          </w:tcPr>
          <w:p w14:paraId="3D7741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И5-М22улучш</w:t>
            </w:r>
          </w:p>
        </w:tc>
        <w:tc>
          <w:tcPr>
            <w:tcW w:w="4536" w:type="dxa"/>
          </w:tcPr>
          <w:p w14:paraId="230809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И5-М22улучш</w:t>
            </w:r>
          </w:p>
        </w:tc>
      </w:tr>
      <w:tr w:rsidR="001002C3" w:rsidRPr="005E779E" w14:paraId="206E218A" w14:textId="77777777">
        <w:tc>
          <w:tcPr>
            <w:tcW w:w="2802" w:type="dxa"/>
          </w:tcPr>
          <w:p w14:paraId="5A1619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одноместный</w:t>
            </w:r>
          </w:p>
        </w:tc>
        <w:tc>
          <w:tcPr>
            <w:tcW w:w="1417" w:type="dxa"/>
          </w:tcPr>
          <w:p w14:paraId="1CD09C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0A2118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И5-М15</w:t>
            </w:r>
          </w:p>
        </w:tc>
        <w:tc>
          <w:tcPr>
            <w:tcW w:w="4536" w:type="dxa"/>
          </w:tcPr>
          <w:p w14:paraId="32A935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И5-М15</w:t>
            </w:r>
          </w:p>
        </w:tc>
      </w:tr>
      <w:tr w:rsidR="001002C3" w:rsidRPr="005E779E" w14:paraId="7E59658E" w14:textId="77777777">
        <w:tc>
          <w:tcPr>
            <w:tcW w:w="2802" w:type="dxa"/>
          </w:tcPr>
          <w:p w14:paraId="3C0973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пулеметный</w:t>
            </w:r>
          </w:p>
        </w:tc>
        <w:tc>
          <w:tcPr>
            <w:tcW w:w="1417" w:type="dxa"/>
          </w:tcPr>
          <w:p w14:paraId="51ACD3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6E4410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И5бис</w:t>
            </w:r>
          </w:p>
        </w:tc>
        <w:tc>
          <w:tcPr>
            <w:tcW w:w="4536" w:type="dxa"/>
          </w:tcPr>
          <w:p w14:paraId="44369E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И5бис</w:t>
            </w:r>
          </w:p>
        </w:tc>
      </w:tr>
      <w:tr w:rsidR="001002C3" w:rsidRPr="005E779E" w14:paraId="438C14C7" w14:textId="77777777">
        <w:tc>
          <w:tcPr>
            <w:tcW w:w="2802" w:type="dxa"/>
          </w:tcPr>
          <w:p w14:paraId="4699F1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ADEDB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728D4D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И8-Кер. доводка</w:t>
            </w:r>
          </w:p>
        </w:tc>
        <w:tc>
          <w:tcPr>
            <w:tcW w:w="4536" w:type="dxa"/>
          </w:tcPr>
          <w:p w14:paraId="31DE98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И8-Кер. доводка</w:t>
            </w:r>
          </w:p>
        </w:tc>
      </w:tr>
      <w:tr w:rsidR="001002C3" w:rsidRPr="005E779E" w14:paraId="35BFEF7D" w14:textId="77777777">
        <w:tc>
          <w:tcPr>
            <w:tcW w:w="2802" w:type="dxa"/>
          </w:tcPr>
          <w:p w14:paraId="7005E0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C7B95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1C1BEA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И9-М34</w:t>
            </w:r>
          </w:p>
        </w:tc>
        <w:tc>
          <w:tcPr>
            <w:tcW w:w="4536" w:type="dxa"/>
          </w:tcPr>
          <w:p w14:paraId="760841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И9-М34</w:t>
            </w:r>
          </w:p>
        </w:tc>
      </w:tr>
      <w:tr w:rsidR="001002C3" w:rsidRPr="005E779E" w14:paraId="2815C142" w14:textId="77777777">
        <w:tc>
          <w:tcPr>
            <w:tcW w:w="2802" w:type="dxa"/>
          </w:tcPr>
          <w:p w14:paraId="1F5367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DB672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3B4884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И10-РП</w:t>
            </w:r>
          </w:p>
        </w:tc>
        <w:tc>
          <w:tcPr>
            <w:tcW w:w="4536" w:type="dxa"/>
          </w:tcPr>
          <w:p w14:paraId="680522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И10-РП</w:t>
            </w:r>
          </w:p>
        </w:tc>
      </w:tr>
      <w:tr w:rsidR="001002C3" w:rsidRPr="005E779E" w14:paraId="03E83F2D" w14:textId="77777777">
        <w:tc>
          <w:tcPr>
            <w:tcW w:w="2802" w:type="dxa"/>
          </w:tcPr>
          <w:p w14:paraId="65A3DB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A1CB4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1A56B9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И11-М32</w:t>
            </w:r>
          </w:p>
        </w:tc>
        <w:tc>
          <w:tcPr>
            <w:tcW w:w="4536" w:type="dxa"/>
          </w:tcPr>
          <w:p w14:paraId="0C145A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И11-М32</w:t>
            </w:r>
          </w:p>
        </w:tc>
      </w:tr>
      <w:tr w:rsidR="001002C3" w:rsidRPr="005E779E" w14:paraId="359F16E3" w14:textId="77777777">
        <w:tc>
          <w:tcPr>
            <w:tcW w:w="2802" w:type="dxa"/>
          </w:tcPr>
          <w:p w14:paraId="7FCC53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C99F7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19B600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7636F6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5B70D82" w14:textId="77777777">
        <w:tc>
          <w:tcPr>
            <w:tcW w:w="2802" w:type="dxa"/>
          </w:tcPr>
          <w:p w14:paraId="333DCB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Истребитель</w:t>
            </w:r>
          </w:p>
        </w:tc>
        <w:tc>
          <w:tcPr>
            <w:tcW w:w="1417" w:type="dxa"/>
          </w:tcPr>
          <w:p w14:paraId="64A44B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И13</w:t>
            </w:r>
          </w:p>
        </w:tc>
        <w:tc>
          <w:tcPr>
            <w:tcW w:w="1843" w:type="dxa"/>
          </w:tcPr>
          <w:p w14:paraId="0DFAF9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70396A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И13</w:t>
            </w:r>
          </w:p>
        </w:tc>
      </w:tr>
      <w:tr w:rsidR="001002C3" w:rsidRPr="005E779E" w14:paraId="4D2538A8" w14:textId="77777777">
        <w:tc>
          <w:tcPr>
            <w:tcW w:w="2802" w:type="dxa"/>
          </w:tcPr>
          <w:p w14:paraId="3A8E14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одноместный</w:t>
            </w:r>
          </w:p>
        </w:tc>
        <w:tc>
          <w:tcPr>
            <w:tcW w:w="1417" w:type="dxa"/>
          </w:tcPr>
          <w:p w14:paraId="77C128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И12-2М22</w:t>
            </w:r>
          </w:p>
        </w:tc>
        <w:tc>
          <w:tcPr>
            <w:tcW w:w="1843" w:type="dxa"/>
          </w:tcPr>
          <w:p w14:paraId="48305F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02C7FC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И12-2М22</w:t>
            </w:r>
          </w:p>
        </w:tc>
      </w:tr>
      <w:tr w:rsidR="001002C3" w:rsidRPr="005E779E" w14:paraId="1934DBE9" w14:textId="77777777">
        <w:tc>
          <w:tcPr>
            <w:tcW w:w="2802" w:type="dxa"/>
          </w:tcPr>
          <w:p w14:paraId="27FB66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пушечный</w:t>
            </w:r>
          </w:p>
        </w:tc>
        <w:tc>
          <w:tcPr>
            <w:tcW w:w="1417" w:type="dxa"/>
          </w:tcPr>
          <w:p w14:paraId="728D2D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2D04AE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И7-М22</w:t>
            </w:r>
          </w:p>
        </w:tc>
        <w:tc>
          <w:tcPr>
            <w:tcW w:w="4536" w:type="dxa"/>
          </w:tcPr>
          <w:p w14:paraId="27A8FE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И7-М22</w:t>
            </w:r>
          </w:p>
        </w:tc>
      </w:tr>
      <w:tr w:rsidR="001002C3" w:rsidRPr="005E779E" w14:paraId="3DBA6A65" w14:textId="77777777">
        <w:tc>
          <w:tcPr>
            <w:tcW w:w="2802" w:type="dxa"/>
          </w:tcPr>
          <w:p w14:paraId="1BE544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57BE7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3D7A17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ИП2-2М38</w:t>
            </w:r>
          </w:p>
        </w:tc>
        <w:tc>
          <w:tcPr>
            <w:tcW w:w="4536" w:type="dxa"/>
          </w:tcPr>
          <w:p w14:paraId="0FDD74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ИП2-2М38</w:t>
            </w:r>
          </w:p>
        </w:tc>
      </w:tr>
      <w:tr w:rsidR="001002C3" w:rsidRPr="005E779E" w14:paraId="7A8E6030" w14:textId="77777777">
        <w:tc>
          <w:tcPr>
            <w:tcW w:w="2802" w:type="dxa"/>
          </w:tcPr>
          <w:p w14:paraId="339083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A1950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4824D8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488392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22F4A29" w14:textId="77777777">
        <w:tc>
          <w:tcPr>
            <w:tcW w:w="2802" w:type="dxa"/>
          </w:tcPr>
          <w:p w14:paraId="430D01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Истребитель</w:t>
            </w:r>
          </w:p>
        </w:tc>
        <w:tc>
          <w:tcPr>
            <w:tcW w:w="1417" w:type="dxa"/>
          </w:tcPr>
          <w:p w14:paraId="64FDAE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ДИ4-Керт.</w:t>
            </w:r>
          </w:p>
        </w:tc>
        <w:tc>
          <w:tcPr>
            <w:tcW w:w="1843" w:type="dxa"/>
          </w:tcPr>
          <w:p w14:paraId="731302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3B4571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ДИ4-Керт.</w:t>
            </w:r>
          </w:p>
        </w:tc>
      </w:tr>
      <w:tr w:rsidR="001002C3" w:rsidRPr="005E779E" w14:paraId="4E53F3C5" w14:textId="77777777">
        <w:tc>
          <w:tcPr>
            <w:tcW w:w="2802" w:type="dxa"/>
          </w:tcPr>
          <w:p w14:paraId="1B3CFD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Двухместный</w:t>
            </w:r>
          </w:p>
        </w:tc>
        <w:tc>
          <w:tcPr>
            <w:tcW w:w="1417" w:type="dxa"/>
          </w:tcPr>
          <w:p w14:paraId="0DCD8C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219B64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ДИ7-М34</w:t>
            </w:r>
          </w:p>
        </w:tc>
        <w:tc>
          <w:tcPr>
            <w:tcW w:w="4536" w:type="dxa"/>
          </w:tcPr>
          <w:p w14:paraId="6177DC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ДИ7-М34</w:t>
            </w:r>
          </w:p>
        </w:tc>
      </w:tr>
      <w:tr w:rsidR="001002C3" w:rsidRPr="005E779E" w14:paraId="0F7B019B" w14:textId="77777777">
        <w:tc>
          <w:tcPr>
            <w:tcW w:w="2802" w:type="dxa"/>
          </w:tcPr>
          <w:p w14:paraId="05BBA6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AEBB5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ДИ6-М34</w:t>
            </w:r>
          </w:p>
        </w:tc>
        <w:tc>
          <w:tcPr>
            <w:tcW w:w="1843" w:type="dxa"/>
          </w:tcPr>
          <w:p w14:paraId="0F9CFC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1490BB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ДИ6-М34</w:t>
            </w:r>
          </w:p>
        </w:tc>
      </w:tr>
      <w:tr w:rsidR="001002C3" w:rsidRPr="005E779E" w14:paraId="704ABF58" w14:textId="77777777">
        <w:tc>
          <w:tcPr>
            <w:tcW w:w="2802" w:type="dxa"/>
          </w:tcPr>
          <w:p w14:paraId="7CF963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662C8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16AEEC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ДИ5-М34</w:t>
            </w:r>
          </w:p>
        </w:tc>
        <w:tc>
          <w:tcPr>
            <w:tcW w:w="4536" w:type="dxa"/>
          </w:tcPr>
          <w:p w14:paraId="4FA10B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ДИ5-М34</w:t>
            </w:r>
          </w:p>
        </w:tc>
      </w:tr>
      <w:tr w:rsidR="001002C3" w:rsidRPr="005E779E" w14:paraId="5453177F" w14:textId="77777777">
        <w:tc>
          <w:tcPr>
            <w:tcW w:w="2802" w:type="dxa"/>
          </w:tcPr>
          <w:p w14:paraId="7E9B93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17DEF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47693B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2B1B60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62D20BF" w14:textId="77777777">
        <w:tc>
          <w:tcPr>
            <w:tcW w:w="2802" w:type="dxa"/>
          </w:tcPr>
          <w:p w14:paraId="12B958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Разведчик</w:t>
            </w:r>
          </w:p>
        </w:tc>
        <w:tc>
          <w:tcPr>
            <w:tcW w:w="1417" w:type="dxa"/>
          </w:tcPr>
          <w:p w14:paraId="6B72C5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Р5-М34</w:t>
            </w:r>
          </w:p>
        </w:tc>
        <w:tc>
          <w:tcPr>
            <w:tcW w:w="1843" w:type="dxa"/>
          </w:tcPr>
          <w:p w14:paraId="2D1B51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0C19D5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Р5-М34</w:t>
            </w:r>
          </w:p>
        </w:tc>
      </w:tr>
      <w:tr w:rsidR="001002C3" w:rsidRPr="005E779E" w14:paraId="5A23429F" w14:textId="77777777">
        <w:tc>
          <w:tcPr>
            <w:tcW w:w="2802" w:type="dxa"/>
          </w:tcPr>
          <w:p w14:paraId="1C4E2D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E32B4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Р5-М17 пассаж.</w:t>
            </w:r>
          </w:p>
        </w:tc>
        <w:tc>
          <w:tcPr>
            <w:tcW w:w="1843" w:type="dxa"/>
          </w:tcPr>
          <w:p w14:paraId="7A4FDB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64B3A0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Р5-М17 пассаж.</w:t>
            </w:r>
          </w:p>
        </w:tc>
      </w:tr>
      <w:tr w:rsidR="001002C3" w:rsidRPr="005E779E" w14:paraId="5F85C16B" w14:textId="77777777">
        <w:tc>
          <w:tcPr>
            <w:tcW w:w="2802" w:type="dxa"/>
          </w:tcPr>
          <w:p w14:paraId="15BFC2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88A02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Р8-М27/34</w:t>
            </w:r>
          </w:p>
        </w:tc>
        <w:tc>
          <w:tcPr>
            <w:tcW w:w="1843" w:type="dxa"/>
          </w:tcPr>
          <w:p w14:paraId="6196AD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6C9D09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Р8-М34</w:t>
            </w:r>
          </w:p>
        </w:tc>
      </w:tr>
      <w:tr w:rsidR="001002C3" w:rsidRPr="005E779E" w14:paraId="1065B641" w14:textId="77777777">
        <w:tc>
          <w:tcPr>
            <w:tcW w:w="2802" w:type="dxa"/>
          </w:tcPr>
          <w:p w14:paraId="2959FE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C85BC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Р9-2М26</w:t>
            </w:r>
          </w:p>
        </w:tc>
        <w:tc>
          <w:tcPr>
            <w:tcW w:w="1843" w:type="dxa"/>
          </w:tcPr>
          <w:p w14:paraId="31AB12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0AF266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Р9-2М26</w:t>
            </w:r>
          </w:p>
        </w:tc>
      </w:tr>
      <w:tr w:rsidR="001002C3" w:rsidRPr="005E779E" w14:paraId="578E3917" w14:textId="77777777">
        <w:tc>
          <w:tcPr>
            <w:tcW w:w="2802" w:type="dxa"/>
          </w:tcPr>
          <w:p w14:paraId="290D93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8EF2E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5AE159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Р11-М34</w:t>
            </w:r>
          </w:p>
        </w:tc>
        <w:tc>
          <w:tcPr>
            <w:tcW w:w="4536" w:type="dxa"/>
          </w:tcPr>
          <w:p w14:paraId="12440C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Р11-М34</w:t>
            </w:r>
          </w:p>
        </w:tc>
      </w:tr>
      <w:tr w:rsidR="001002C3" w:rsidRPr="005E779E" w14:paraId="53E2F955" w14:textId="77777777">
        <w:tc>
          <w:tcPr>
            <w:tcW w:w="2802" w:type="dxa"/>
          </w:tcPr>
          <w:p w14:paraId="06310B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28BBB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65A03E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Р13-Керт.К.</w:t>
            </w:r>
          </w:p>
        </w:tc>
        <w:tc>
          <w:tcPr>
            <w:tcW w:w="4536" w:type="dxa"/>
          </w:tcPr>
          <w:p w14:paraId="4F859C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Р13-Керт.К.</w:t>
            </w:r>
          </w:p>
        </w:tc>
      </w:tr>
      <w:tr w:rsidR="001002C3" w:rsidRPr="005E779E" w14:paraId="4A534E24" w14:textId="77777777">
        <w:tc>
          <w:tcPr>
            <w:tcW w:w="2802" w:type="dxa"/>
          </w:tcPr>
          <w:p w14:paraId="458410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6801A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2B97E5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Р12-М34/Керт.К.</w:t>
            </w:r>
          </w:p>
        </w:tc>
        <w:tc>
          <w:tcPr>
            <w:tcW w:w="4536" w:type="dxa"/>
          </w:tcPr>
          <w:p w14:paraId="7D3DE3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Р12-М34/Керт.К.</w:t>
            </w:r>
          </w:p>
        </w:tc>
      </w:tr>
      <w:tr w:rsidR="001002C3" w:rsidRPr="005E779E" w14:paraId="6D034791" w14:textId="77777777">
        <w:tc>
          <w:tcPr>
            <w:tcW w:w="2802" w:type="dxa"/>
          </w:tcPr>
          <w:p w14:paraId="78E998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48147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5E9B2B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01E944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9A790B7" w14:textId="77777777">
        <w:tc>
          <w:tcPr>
            <w:tcW w:w="2802" w:type="dxa"/>
          </w:tcPr>
          <w:p w14:paraId="31DD86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Крейсер</w:t>
            </w:r>
          </w:p>
        </w:tc>
        <w:tc>
          <w:tcPr>
            <w:tcW w:w="1417" w:type="dxa"/>
          </w:tcPr>
          <w:p w14:paraId="1A8B4F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6D8180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Р6-2М34</w:t>
            </w:r>
          </w:p>
        </w:tc>
        <w:tc>
          <w:tcPr>
            <w:tcW w:w="4536" w:type="dxa"/>
          </w:tcPr>
          <w:p w14:paraId="1C2319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Р6-2М34</w:t>
            </w:r>
          </w:p>
        </w:tc>
      </w:tr>
      <w:tr w:rsidR="001002C3" w:rsidRPr="005E779E" w14:paraId="29CBD440" w14:textId="77777777">
        <w:tc>
          <w:tcPr>
            <w:tcW w:w="2802" w:type="dxa"/>
          </w:tcPr>
          <w:p w14:paraId="7C6785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A7D96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МИ3-2М34</w:t>
            </w:r>
          </w:p>
        </w:tc>
        <w:tc>
          <w:tcPr>
            <w:tcW w:w="1843" w:type="dxa"/>
          </w:tcPr>
          <w:p w14:paraId="2EFBDF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0FC23D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МИ3-2М34</w:t>
            </w:r>
          </w:p>
        </w:tc>
      </w:tr>
      <w:tr w:rsidR="001002C3" w:rsidRPr="005E779E" w14:paraId="7191F99E" w14:textId="77777777">
        <w:tc>
          <w:tcPr>
            <w:tcW w:w="2802" w:type="dxa"/>
          </w:tcPr>
          <w:p w14:paraId="0B9A5E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C3ACB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СК1-2М35</w:t>
            </w:r>
          </w:p>
        </w:tc>
        <w:tc>
          <w:tcPr>
            <w:tcW w:w="1843" w:type="dxa"/>
          </w:tcPr>
          <w:p w14:paraId="369171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04B011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СК1-2М35</w:t>
            </w:r>
          </w:p>
        </w:tc>
      </w:tr>
      <w:tr w:rsidR="001002C3" w:rsidRPr="005E779E" w14:paraId="374FD8DD" w14:textId="77777777">
        <w:tc>
          <w:tcPr>
            <w:tcW w:w="2802" w:type="dxa"/>
          </w:tcPr>
          <w:p w14:paraId="082225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114BA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33307C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66326B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796B496" w14:textId="77777777">
        <w:tc>
          <w:tcPr>
            <w:tcW w:w="2802" w:type="dxa"/>
          </w:tcPr>
          <w:p w14:paraId="0D3F6C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Штурмовые</w:t>
            </w:r>
          </w:p>
        </w:tc>
        <w:tc>
          <w:tcPr>
            <w:tcW w:w="1417" w:type="dxa"/>
          </w:tcPr>
          <w:p w14:paraId="553ED2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663102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ТШ2-М27</w:t>
            </w:r>
          </w:p>
        </w:tc>
        <w:tc>
          <w:tcPr>
            <w:tcW w:w="4536" w:type="dxa"/>
          </w:tcPr>
          <w:p w14:paraId="0145A3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ТШ2-М27</w:t>
            </w:r>
          </w:p>
        </w:tc>
      </w:tr>
      <w:tr w:rsidR="001002C3" w:rsidRPr="005E779E" w14:paraId="28DFDE68" w14:textId="77777777">
        <w:tc>
          <w:tcPr>
            <w:tcW w:w="2802" w:type="dxa"/>
          </w:tcPr>
          <w:p w14:paraId="1B9AC2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B2E00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ЛБШ3</w:t>
            </w:r>
          </w:p>
        </w:tc>
        <w:tc>
          <w:tcPr>
            <w:tcW w:w="1843" w:type="dxa"/>
          </w:tcPr>
          <w:p w14:paraId="4EC453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5CC912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ТШ3-М34</w:t>
            </w:r>
          </w:p>
        </w:tc>
      </w:tr>
      <w:tr w:rsidR="001002C3" w:rsidRPr="005E779E" w14:paraId="26612B68" w14:textId="77777777">
        <w:tc>
          <w:tcPr>
            <w:tcW w:w="2802" w:type="dxa"/>
          </w:tcPr>
          <w:p w14:paraId="2F6413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D3F6A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ЛШ-4</w:t>
            </w:r>
          </w:p>
        </w:tc>
        <w:tc>
          <w:tcPr>
            <w:tcW w:w="1843" w:type="dxa"/>
          </w:tcPr>
          <w:p w14:paraId="74ED43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4D3C89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ЛШ-4</w:t>
            </w:r>
          </w:p>
        </w:tc>
      </w:tr>
      <w:tr w:rsidR="001002C3" w:rsidRPr="005E779E" w14:paraId="623F9C6B" w14:textId="77777777">
        <w:tc>
          <w:tcPr>
            <w:tcW w:w="2802" w:type="dxa"/>
          </w:tcPr>
          <w:p w14:paraId="78CAFD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E5EF9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3C990A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ЛШ-5</w:t>
            </w:r>
          </w:p>
        </w:tc>
        <w:tc>
          <w:tcPr>
            <w:tcW w:w="4536" w:type="dxa"/>
          </w:tcPr>
          <w:p w14:paraId="562B9D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ЛШ-5</w:t>
            </w:r>
          </w:p>
        </w:tc>
      </w:tr>
      <w:tr w:rsidR="001002C3" w:rsidRPr="005E779E" w14:paraId="610A7277" w14:textId="77777777">
        <w:tc>
          <w:tcPr>
            <w:tcW w:w="2802" w:type="dxa"/>
          </w:tcPr>
          <w:p w14:paraId="3D60AD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0E199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29BD51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5EE3B7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DC708E8" w14:textId="77777777">
        <w:tc>
          <w:tcPr>
            <w:tcW w:w="2802" w:type="dxa"/>
          </w:tcPr>
          <w:p w14:paraId="68D61A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Бомбардировщик</w:t>
            </w:r>
          </w:p>
        </w:tc>
        <w:tc>
          <w:tcPr>
            <w:tcW w:w="1417" w:type="dxa"/>
          </w:tcPr>
          <w:p w14:paraId="78C056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05D1F8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ТБ3-4М34</w:t>
            </w:r>
          </w:p>
        </w:tc>
        <w:tc>
          <w:tcPr>
            <w:tcW w:w="4536" w:type="dxa"/>
          </w:tcPr>
          <w:p w14:paraId="63256C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ТБ3-4М34</w:t>
            </w:r>
          </w:p>
        </w:tc>
      </w:tr>
      <w:tr w:rsidR="001002C3" w:rsidRPr="005E779E" w14:paraId="615A632D" w14:textId="77777777">
        <w:tc>
          <w:tcPr>
            <w:tcW w:w="2802" w:type="dxa"/>
          </w:tcPr>
          <w:p w14:paraId="47AD80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635ED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ТБ5</w:t>
            </w:r>
          </w:p>
        </w:tc>
        <w:tc>
          <w:tcPr>
            <w:tcW w:w="1843" w:type="dxa"/>
          </w:tcPr>
          <w:p w14:paraId="3DF7C9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660824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ТБ5</w:t>
            </w:r>
          </w:p>
        </w:tc>
      </w:tr>
      <w:tr w:rsidR="001002C3" w:rsidRPr="005E779E" w14:paraId="28F65089" w14:textId="77777777">
        <w:tc>
          <w:tcPr>
            <w:tcW w:w="2802" w:type="dxa"/>
          </w:tcPr>
          <w:p w14:paraId="639B98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32CC6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47C676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АНТ-14</w:t>
            </w:r>
          </w:p>
        </w:tc>
        <w:tc>
          <w:tcPr>
            <w:tcW w:w="4536" w:type="dxa"/>
          </w:tcPr>
          <w:p w14:paraId="23B670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АНТ-14</w:t>
            </w:r>
          </w:p>
        </w:tc>
      </w:tr>
      <w:tr w:rsidR="001002C3" w:rsidRPr="005E779E" w14:paraId="5C0B64A3" w14:textId="77777777">
        <w:tc>
          <w:tcPr>
            <w:tcW w:w="2802" w:type="dxa"/>
          </w:tcPr>
          <w:p w14:paraId="0C7C64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B19D6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К7</w:t>
            </w:r>
          </w:p>
        </w:tc>
        <w:tc>
          <w:tcPr>
            <w:tcW w:w="1843" w:type="dxa"/>
          </w:tcPr>
          <w:p w14:paraId="494B78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6F48EF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К7</w:t>
            </w:r>
          </w:p>
        </w:tc>
      </w:tr>
      <w:tr w:rsidR="001002C3" w:rsidRPr="005E779E" w14:paraId="4D1F7FA4" w14:textId="77777777">
        <w:tc>
          <w:tcPr>
            <w:tcW w:w="2802" w:type="dxa"/>
          </w:tcPr>
          <w:p w14:paraId="3C20A7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BC0A4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ТБ6</w:t>
            </w:r>
          </w:p>
        </w:tc>
        <w:tc>
          <w:tcPr>
            <w:tcW w:w="1843" w:type="dxa"/>
          </w:tcPr>
          <w:p w14:paraId="387576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0D6094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ТБ6</w:t>
            </w:r>
          </w:p>
        </w:tc>
      </w:tr>
      <w:tr w:rsidR="001002C3" w:rsidRPr="005E779E" w14:paraId="7103587A" w14:textId="77777777">
        <w:tc>
          <w:tcPr>
            <w:tcW w:w="2802" w:type="dxa"/>
          </w:tcPr>
          <w:p w14:paraId="4C70A5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88EA5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ТБ4</w:t>
            </w:r>
          </w:p>
        </w:tc>
        <w:tc>
          <w:tcPr>
            <w:tcW w:w="1843" w:type="dxa"/>
          </w:tcPr>
          <w:p w14:paraId="3380FE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76C14F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ТБ4</w:t>
            </w:r>
          </w:p>
        </w:tc>
      </w:tr>
      <w:tr w:rsidR="001002C3" w:rsidRPr="005E779E" w14:paraId="633C2A25" w14:textId="77777777">
        <w:tc>
          <w:tcPr>
            <w:tcW w:w="2802" w:type="dxa"/>
          </w:tcPr>
          <w:p w14:paraId="286632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3B53E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К5-М15</w:t>
            </w:r>
          </w:p>
        </w:tc>
        <w:tc>
          <w:tcPr>
            <w:tcW w:w="1843" w:type="dxa"/>
          </w:tcPr>
          <w:p w14:paraId="0B20E8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0873F2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К5-М15</w:t>
            </w:r>
          </w:p>
        </w:tc>
      </w:tr>
      <w:tr w:rsidR="001002C3" w:rsidRPr="005E779E" w14:paraId="6728D4BC" w14:textId="77777777">
        <w:tc>
          <w:tcPr>
            <w:tcW w:w="2802" w:type="dxa"/>
          </w:tcPr>
          <w:p w14:paraId="1629AD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7EEFC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АНТ9-3М26</w:t>
            </w:r>
          </w:p>
        </w:tc>
        <w:tc>
          <w:tcPr>
            <w:tcW w:w="1843" w:type="dxa"/>
          </w:tcPr>
          <w:p w14:paraId="064EF7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1E7770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АНТ9-3М26</w:t>
            </w:r>
          </w:p>
        </w:tc>
      </w:tr>
      <w:tr w:rsidR="001002C3" w:rsidRPr="005E779E" w14:paraId="664741D0" w14:textId="77777777">
        <w:tc>
          <w:tcPr>
            <w:tcW w:w="2802" w:type="dxa"/>
          </w:tcPr>
          <w:p w14:paraId="247620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2DC6A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ТБ7</w:t>
            </w:r>
          </w:p>
        </w:tc>
        <w:tc>
          <w:tcPr>
            <w:tcW w:w="1843" w:type="dxa"/>
          </w:tcPr>
          <w:p w14:paraId="3CFF82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312B54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СТБ7</w:t>
            </w:r>
          </w:p>
        </w:tc>
      </w:tr>
      <w:tr w:rsidR="001002C3" w:rsidRPr="005E779E" w14:paraId="1F688CA4" w14:textId="77777777">
        <w:tc>
          <w:tcPr>
            <w:tcW w:w="2802" w:type="dxa"/>
          </w:tcPr>
          <w:p w14:paraId="56B4C1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F7E64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ТБ8</w:t>
            </w:r>
          </w:p>
        </w:tc>
        <w:tc>
          <w:tcPr>
            <w:tcW w:w="1843" w:type="dxa"/>
          </w:tcPr>
          <w:p w14:paraId="5EECD4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3EAD74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B1C00CC" w14:textId="77777777">
        <w:tc>
          <w:tcPr>
            <w:tcW w:w="2802" w:type="dxa"/>
          </w:tcPr>
          <w:p w14:paraId="08E820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C4525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ТБ9</w:t>
            </w:r>
          </w:p>
        </w:tc>
        <w:tc>
          <w:tcPr>
            <w:tcW w:w="1843" w:type="dxa"/>
          </w:tcPr>
          <w:p w14:paraId="13B7D3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0E4A15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A576533" w14:textId="77777777">
        <w:tc>
          <w:tcPr>
            <w:tcW w:w="2802" w:type="dxa"/>
          </w:tcPr>
          <w:p w14:paraId="0C575F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EFAD0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471575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1D517D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4EC87E3" w14:textId="77777777">
        <w:tc>
          <w:tcPr>
            <w:tcW w:w="2802" w:type="dxa"/>
          </w:tcPr>
          <w:p w14:paraId="65D239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Морской</w:t>
            </w:r>
          </w:p>
        </w:tc>
        <w:tc>
          <w:tcPr>
            <w:tcW w:w="1417" w:type="dxa"/>
          </w:tcPr>
          <w:p w14:paraId="4CF129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5AD191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МБР2</w:t>
            </w:r>
          </w:p>
        </w:tc>
        <w:tc>
          <w:tcPr>
            <w:tcW w:w="4536" w:type="dxa"/>
          </w:tcPr>
          <w:p w14:paraId="34B593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МБР2</w:t>
            </w:r>
          </w:p>
        </w:tc>
      </w:tr>
      <w:tr w:rsidR="001002C3" w:rsidRPr="005E779E" w14:paraId="62BCB72B" w14:textId="77777777">
        <w:tc>
          <w:tcPr>
            <w:tcW w:w="2802" w:type="dxa"/>
          </w:tcPr>
          <w:p w14:paraId="7125DC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разведчик</w:t>
            </w:r>
          </w:p>
        </w:tc>
        <w:tc>
          <w:tcPr>
            <w:tcW w:w="1417" w:type="dxa"/>
          </w:tcPr>
          <w:p w14:paraId="54889D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МБР3</w:t>
            </w:r>
          </w:p>
        </w:tc>
        <w:tc>
          <w:tcPr>
            <w:tcW w:w="1843" w:type="dxa"/>
          </w:tcPr>
          <w:p w14:paraId="180095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698307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МБР3</w:t>
            </w:r>
          </w:p>
        </w:tc>
      </w:tr>
      <w:tr w:rsidR="001002C3" w:rsidRPr="005E779E" w14:paraId="14861149" w14:textId="77777777">
        <w:tc>
          <w:tcPr>
            <w:tcW w:w="2802" w:type="dxa"/>
          </w:tcPr>
          <w:p w14:paraId="7CCBD9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360AD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МДР3</w:t>
            </w:r>
          </w:p>
        </w:tc>
        <w:tc>
          <w:tcPr>
            <w:tcW w:w="1843" w:type="dxa"/>
          </w:tcPr>
          <w:p w14:paraId="1EF923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56E46F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МДР3</w:t>
            </w:r>
          </w:p>
        </w:tc>
      </w:tr>
      <w:tr w:rsidR="001002C3" w:rsidRPr="005E779E" w14:paraId="6A957762" w14:textId="77777777">
        <w:tc>
          <w:tcPr>
            <w:tcW w:w="2802" w:type="dxa"/>
          </w:tcPr>
          <w:p w14:paraId="7651C7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A6A08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МК</w:t>
            </w:r>
          </w:p>
        </w:tc>
        <w:tc>
          <w:tcPr>
            <w:tcW w:w="1843" w:type="dxa"/>
          </w:tcPr>
          <w:p w14:paraId="10CA07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3192DF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МК</w:t>
            </w:r>
          </w:p>
        </w:tc>
      </w:tr>
      <w:tr w:rsidR="001002C3" w:rsidRPr="005E779E" w14:paraId="1D44AFEF" w14:textId="77777777">
        <w:tc>
          <w:tcPr>
            <w:tcW w:w="2802" w:type="dxa"/>
          </w:tcPr>
          <w:p w14:paraId="0311DF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FC325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5C8330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2FEFCA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1979A8E" w14:textId="77777777">
        <w:tc>
          <w:tcPr>
            <w:tcW w:w="2802" w:type="dxa"/>
          </w:tcPr>
          <w:p w14:paraId="6F1E2E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Морской</w:t>
            </w:r>
          </w:p>
        </w:tc>
        <w:tc>
          <w:tcPr>
            <w:tcW w:w="1417" w:type="dxa"/>
          </w:tcPr>
          <w:p w14:paraId="73FA2D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5FBFFC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МТБ</w:t>
            </w:r>
          </w:p>
        </w:tc>
        <w:tc>
          <w:tcPr>
            <w:tcW w:w="4536" w:type="dxa"/>
          </w:tcPr>
          <w:p w14:paraId="635867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МТБ</w:t>
            </w:r>
          </w:p>
        </w:tc>
      </w:tr>
      <w:tr w:rsidR="001002C3" w:rsidRPr="005E779E" w14:paraId="525053FA" w14:textId="77777777">
        <w:tc>
          <w:tcPr>
            <w:tcW w:w="2802" w:type="dxa"/>
          </w:tcPr>
          <w:p w14:paraId="401120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бомбардировщик</w:t>
            </w:r>
          </w:p>
        </w:tc>
        <w:tc>
          <w:tcPr>
            <w:tcW w:w="1417" w:type="dxa"/>
          </w:tcPr>
          <w:p w14:paraId="6C2876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6769BA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5E2F29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499E268" w14:textId="77777777">
        <w:tc>
          <w:tcPr>
            <w:tcW w:w="2802" w:type="dxa"/>
          </w:tcPr>
          <w:p w14:paraId="6EB271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ECAE9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597BD6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7ECE8A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DD19748" w14:textId="77777777">
        <w:tc>
          <w:tcPr>
            <w:tcW w:w="2802" w:type="dxa"/>
          </w:tcPr>
          <w:p w14:paraId="2E8F9C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Специальные</w:t>
            </w:r>
          </w:p>
        </w:tc>
        <w:tc>
          <w:tcPr>
            <w:tcW w:w="1417" w:type="dxa"/>
          </w:tcPr>
          <w:p w14:paraId="56628A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Р10-М35</w:t>
            </w:r>
          </w:p>
        </w:tc>
        <w:tc>
          <w:tcPr>
            <w:tcW w:w="1843" w:type="dxa"/>
          </w:tcPr>
          <w:p w14:paraId="1D6CBE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6FE135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Р10-М35</w:t>
            </w:r>
          </w:p>
        </w:tc>
      </w:tr>
      <w:tr w:rsidR="001002C3" w:rsidRPr="005E779E" w14:paraId="27D743A2" w14:textId="77777777">
        <w:tc>
          <w:tcPr>
            <w:tcW w:w="2802" w:type="dxa"/>
          </w:tcPr>
          <w:p w14:paraId="5CA56C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1372E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4D051D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КОР</w:t>
            </w:r>
          </w:p>
        </w:tc>
        <w:tc>
          <w:tcPr>
            <w:tcW w:w="4536" w:type="dxa"/>
          </w:tcPr>
          <w:p w14:paraId="58469B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КОР</w:t>
            </w:r>
          </w:p>
        </w:tc>
      </w:tr>
      <w:tr w:rsidR="001002C3" w:rsidRPr="005E779E" w14:paraId="24E41056" w14:textId="77777777">
        <w:tc>
          <w:tcPr>
            <w:tcW w:w="2802" w:type="dxa"/>
          </w:tcPr>
          <w:p w14:paraId="084A74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B62F8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0EE56A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СПЛ</w:t>
            </w:r>
          </w:p>
        </w:tc>
        <w:tc>
          <w:tcPr>
            <w:tcW w:w="4536" w:type="dxa"/>
          </w:tcPr>
          <w:p w14:paraId="123561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СПЛ</w:t>
            </w:r>
          </w:p>
        </w:tc>
      </w:tr>
      <w:tr w:rsidR="001002C3" w:rsidRPr="005E779E" w14:paraId="3DFB85A9" w14:textId="77777777">
        <w:tc>
          <w:tcPr>
            <w:tcW w:w="2802" w:type="dxa"/>
          </w:tcPr>
          <w:p w14:paraId="5C5382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AD141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18D992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МФС</w:t>
            </w:r>
          </w:p>
        </w:tc>
        <w:tc>
          <w:tcPr>
            <w:tcW w:w="4536" w:type="dxa"/>
          </w:tcPr>
          <w:p w14:paraId="6DCBC9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МФС</w:t>
            </w:r>
          </w:p>
        </w:tc>
      </w:tr>
      <w:tr w:rsidR="001002C3" w:rsidRPr="005E779E" w14:paraId="41BEBA6D" w14:textId="77777777">
        <w:tc>
          <w:tcPr>
            <w:tcW w:w="2802" w:type="dxa"/>
          </w:tcPr>
          <w:p w14:paraId="754372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782AA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Х1-2М34</w:t>
            </w:r>
          </w:p>
        </w:tc>
        <w:tc>
          <w:tcPr>
            <w:tcW w:w="1843" w:type="dxa"/>
          </w:tcPr>
          <w:p w14:paraId="2AC6C7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26E532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55FE57F" w14:textId="77777777">
        <w:tc>
          <w:tcPr>
            <w:tcW w:w="2802" w:type="dxa"/>
          </w:tcPr>
          <w:p w14:paraId="4D02B1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B70B2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ЛХ1-2М26</w:t>
            </w:r>
          </w:p>
        </w:tc>
        <w:tc>
          <w:tcPr>
            <w:tcW w:w="1843" w:type="dxa"/>
          </w:tcPr>
          <w:p w14:paraId="2D6E7E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02F5A8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95B0A68" w14:textId="77777777">
        <w:tc>
          <w:tcPr>
            <w:tcW w:w="2802" w:type="dxa"/>
          </w:tcPr>
          <w:p w14:paraId="6AF403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E4443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ЛС1-М48</w:t>
            </w:r>
          </w:p>
        </w:tc>
        <w:tc>
          <w:tcPr>
            <w:tcW w:w="1843" w:type="dxa"/>
          </w:tcPr>
          <w:p w14:paraId="0BE2EF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1C0F7D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FD5F192" w14:textId="77777777">
        <w:tc>
          <w:tcPr>
            <w:tcW w:w="2802" w:type="dxa"/>
          </w:tcPr>
          <w:p w14:paraId="54AAE9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BD977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СС1-М26</w:t>
            </w:r>
          </w:p>
        </w:tc>
        <w:tc>
          <w:tcPr>
            <w:tcW w:w="1843" w:type="dxa"/>
          </w:tcPr>
          <w:p w14:paraId="20BB21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460B70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74B16BE" w14:textId="77777777">
        <w:tc>
          <w:tcPr>
            <w:tcW w:w="2802" w:type="dxa"/>
          </w:tcPr>
          <w:p w14:paraId="0DA141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E695E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ВС2-2М26</w:t>
            </w:r>
          </w:p>
        </w:tc>
        <w:tc>
          <w:tcPr>
            <w:tcW w:w="1843" w:type="dxa"/>
          </w:tcPr>
          <w:p w14:paraId="2B6502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5D155A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75BDFA8" w14:textId="77777777">
        <w:tc>
          <w:tcPr>
            <w:tcW w:w="2802" w:type="dxa"/>
          </w:tcPr>
          <w:p w14:paraId="36B43D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BAF21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ПБ1</w:t>
            </w:r>
          </w:p>
        </w:tc>
        <w:tc>
          <w:tcPr>
            <w:tcW w:w="1843" w:type="dxa"/>
          </w:tcPr>
          <w:p w14:paraId="48944F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7CB644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68CB673" w14:textId="77777777">
        <w:tc>
          <w:tcPr>
            <w:tcW w:w="2802" w:type="dxa"/>
          </w:tcPr>
          <w:p w14:paraId="1AA035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F3636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Э-1</w:t>
            </w:r>
          </w:p>
        </w:tc>
        <w:tc>
          <w:tcPr>
            <w:tcW w:w="1843" w:type="dxa"/>
          </w:tcPr>
          <w:p w14:paraId="2DCB5F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6E2E05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8083A35" w14:textId="77777777">
        <w:tc>
          <w:tcPr>
            <w:tcW w:w="2802" w:type="dxa"/>
          </w:tcPr>
          <w:p w14:paraId="0F4055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210CC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Э-2</w:t>
            </w:r>
          </w:p>
        </w:tc>
        <w:tc>
          <w:tcPr>
            <w:tcW w:w="1843" w:type="dxa"/>
          </w:tcPr>
          <w:p w14:paraId="4976E8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71CE72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46A139B" w14:textId="77777777">
        <w:tc>
          <w:tcPr>
            <w:tcW w:w="2802" w:type="dxa"/>
          </w:tcPr>
          <w:p w14:paraId="0EADB3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8D4FA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Г-2</w:t>
            </w:r>
          </w:p>
        </w:tc>
        <w:tc>
          <w:tcPr>
            <w:tcW w:w="1843" w:type="dxa"/>
          </w:tcPr>
          <w:p w14:paraId="5DA589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32885D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C60A2F7" w14:textId="77777777">
        <w:tc>
          <w:tcPr>
            <w:tcW w:w="2802" w:type="dxa"/>
          </w:tcPr>
          <w:p w14:paraId="647EFF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72ACA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А-2</w:t>
            </w:r>
          </w:p>
        </w:tc>
        <w:tc>
          <w:tcPr>
            <w:tcW w:w="1843" w:type="dxa"/>
          </w:tcPr>
          <w:p w14:paraId="3FA0DA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18F790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8C32863" w14:textId="77777777">
        <w:tc>
          <w:tcPr>
            <w:tcW w:w="2802" w:type="dxa"/>
          </w:tcPr>
          <w:p w14:paraId="5258D6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521B8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Р-1</w:t>
            </w:r>
          </w:p>
        </w:tc>
        <w:tc>
          <w:tcPr>
            <w:tcW w:w="1843" w:type="dxa"/>
          </w:tcPr>
          <w:p w14:paraId="69B9EF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1D27BE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99707AF" w14:textId="77777777">
        <w:tc>
          <w:tcPr>
            <w:tcW w:w="2802" w:type="dxa"/>
          </w:tcPr>
          <w:p w14:paraId="11F11E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A1F97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590CFD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Рек 1</w:t>
            </w:r>
          </w:p>
        </w:tc>
        <w:tc>
          <w:tcPr>
            <w:tcW w:w="4536" w:type="dxa"/>
          </w:tcPr>
          <w:p w14:paraId="62531D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Рек 1</w:t>
            </w:r>
          </w:p>
        </w:tc>
      </w:tr>
      <w:tr w:rsidR="001002C3" w:rsidRPr="005E779E" w14:paraId="60BFB9AB" w14:textId="77777777">
        <w:tc>
          <w:tcPr>
            <w:tcW w:w="2802" w:type="dxa"/>
          </w:tcPr>
          <w:p w14:paraId="220E84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20626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61014F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Рек 2</w:t>
            </w:r>
          </w:p>
        </w:tc>
        <w:tc>
          <w:tcPr>
            <w:tcW w:w="4536" w:type="dxa"/>
          </w:tcPr>
          <w:p w14:paraId="0A57AE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Рек 2</w:t>
            </w:r>
          </w:p>
        </w:tc>
      </w:tr>
      <w:tr w:rsidR="001002C3" w:rsidRPr="005E779E" w14:paraId="29DFA75F" w14:textId="77777777">
        <w:tc>
          <w:tcPr>
            <w:tcW w:w="2802" w:type="dxa"/>
          </w:tcPr>
          <w:p w14:paraId="3642D0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C3B2B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450531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Рек 3</w:t>
            </w:r>
          </w:p>
        </w:tc>
        <w:tc>
          <w:tcPr>
            <w:tcW w:w="4536" w:type="dxa"/>
          </w:tcPr>
          <w:p w14:paraId="7347F0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Рек 3</w:t>
            </w:r>
          </w:p>
        </w:tc>
      </w:tr>
      <w:tr w:rsidR="001002C3" w:rsidRPr="005E779E" w14:paraId="7F794D3E" w14:textId="77777777">
        <w:tc>
          <w:tcPr>
            <w:tcW w:w="2802" w:type="dxa"/>
          </w:tcPr>
          <w:p w14:paraId="0424A1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C4C22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5FDCC5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338B3B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4A15C71" w14:textId="77777777">
        <w:tc>
          <w:tcPr>
            <w:tcW w:w="2802" w:type="dxa"/>
          </w:tcPr>
          <w:p w14:paraId="6B9531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Учебные</w:t>
            </w:r>
          </w:p>
        </w:tc>
        <w:tc>
          <w:tcPr>
            <w:tcW w:w="1417" w:type="dxa"/>
          </w:tcPr>
          <w:p w14:paraId="5593C8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216F74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У3-РЖ6</w:t>
            </w:r>
          </w:p>
        </w:tc>
        <w:tc>
          <w:tcPr>
            <w:tcW w:w="4536" w:type="dxa"/>
          </w:tcPr>
          <w:p w14:paraId="4BD5D0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У3-РЖ</w:t>
            </w:r>
          </w:p>
        </w:tc>
      </w:tr>
      <w:tr w:rsidR="001002C3" w:rsidRPr="005E779E" w14:paraId="1F239E8B" w14:textId="77777777">
        <w:tc>
          <w:tcPr>
            <w:tcW w:w="2802" w:type="dxa"/>
          </w:tcPr>
          <w:p w14:paraId="1D6437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8A13C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4CA466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У4-РЖ6</w:t>
            </w:r>
          </w:p>
        </w:tc>
        <w:tc>
          <w:tcPr>
            <w:tcW w:w="4536" w:type="dxa"/>
          </w:tcPr>
          <w:p w14:paraId="5A0579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У4-РЖ</w:t>
            </w:r>
          </w:p>
        </w:tc>
      </w:tr>
      <w:tr w:rsidR="001002C3" w:rsidRPr="005E779E" w14:paraId="4C25B1CA" w14:textId="77777777">
        <w:tc>
          <w:tcPr>
            <w:tcW w:w="2802" w:type="dxa"/>
          </w:tcPr>
          <w:p w14:paraId="3485F0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16336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264176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С1-РЖ6</w:t>
            </w:r>
          </w:p>
        </w:tc>
        <w:tc>
          <w:tcPr>
            <w:tcW w:w="4536" w:type="dxa"/>
          </w:tcPr>
          <w:p w14:paraId="387A6F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С1-РЖ</w:t>
            </w:r>
          </w:p>
        </w:tc>
      </w:tr>
      <w:tr w:rsidR="001002C3" w:rsidRPr="005E779E" w14:paraId="79BBEE78" w14:textId="77777777">
        <w:tc>
          <w:tcPr>
            <w:tcW w:w="2802" w:type="dxa"/>
          </w:tcPr>
          <w:p w14:paraId="5D227D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F369A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3CD227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Авиетка 1</w:t>
            </w:r>
          </w:p>
        </w:tc>
        <w:tc>
          <w:tcPr>
            <w:tcW w:w="4536" w:type="dxa"/>
          </w:tcPr>
          <w:p w14:paraId="653D3F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Авиетка 1</w:t>
            </w:r>
          </w:p>
        </w:tc>
      </w:tr>
      <w:tr w:rsidR="001002C3" w:rsidRPr="005E779E" w14:paraId="7903D687" w14:textId="77777777">
        <w:tc>
          <w:tcPr>
            <w:tcW w:w="2802" w:type="dxa"/>
          </w:tcPr>
          <w:p w14:paraId="39B861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1744D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15D08E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Авиетка 2</w:t>
            </w:r>
          </w:p>
        </w:tc>
        <w:tc>
          <w:tcPr>
            <w:tcW w:w="4536" w:type="dxa"/>
          </w:tcPr>
          <w:p w14:paraId="7CEBB1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Авиетка 2</w:t>
            </w:r>
          </w:p>
        </w:tc>
      </w:tr>
      <w:tr w:rsidR="001002C3" w:rsidRPr="005E779E" w14:paraId="19D2987C" w14:textId="77777777">
        <w:tc>
          <w:tcPr>
            <w:tcW w:w="2802" w:type="dxa"/>
          </w:tcPr>
          <w:p w14:paraId="2349F1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6B545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533BF6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Авиетка 3</w:t>
            </w:r>
          </w:p>
        </w:tc>
        <w:tc>
          <w:tcPr>
            <w:tcW w:w="4536" w:type="dxa"/>
          </w:tcPr>
          <w:p w14:paraId="3E59E5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Авиетка 3</w:t>
            </w:r>
          </w:p>
        </w:tc>
      </w:tr>
      <w:tr w:rsidR="001002C3" w:rsidRPr="005E779E" w14:paraId="78D212E3" w14:textId="77777777">
        <w:tc>
          <w:tcPr>
            <w:tcW w:w="2802" w:type="dxa"/>
          </w:tcPr>
          <w:p w14:paraId="3F3095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5EFC1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19E3DD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Авиетка 4</w:t>
            </w:r>
          </w:p>
        </w:tc>
        <w:tc>
          <w:tcPr>
            <w:tcW w:w="4536" w:type="dxa"/>
          </w:tcPr>
          <w:p w14:paraId="55A367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Авиетка 4</w:t>
            </w:r>
          </w:p>
        </w:tc>
      </w:tr>
    </w:tbl>
    <w:p w14:paraId="2E2B92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Количество типов самолетов, намеченных по плану УВВС и ОКБ к серийному производству (351)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gridCol w:w="1127"/>
        <w:gridCol w:w="1127"/>
        <w:gridCol w:w="1127"/>
        <w:gridCol w:w="1127"/>
        <w:gridCol w:w="1127"/>
      </w:tblGrid>
      <w:tr w:rsidR="001002C3" w:rsidRPr="005E779E" w14:paraId="1B0EEEA3" w14:textId="77777777">
        <w:tc>
          <w:tcPr>
            <w:tcW w:w="1127" w:type="dxa"/>
          </w:tcPr>
          <w:p w14:paraId="589FA1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Тип</w:t>
            </w:r>
          </w:p>
        </w:tc>
        <w:tc>
          <w:tcPr>
            <w:tcW w:w="1127" w:type="dxa"/>
          </w:tcPr>
          <w:p w14:paraId="7EFDA8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w:t>
            </w:r>
          </w:p>
        </w:tc>
        <w:tc>
          <w:tcPr>
            <w:tcW w:w="1127" w:type="dxa"/>
          </w:tcPr>
          <w:p w14:paraId="642E6B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63CE1D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1932</w:t>
            </w:r>
          </w:p>
        </w:tc>
        <w:tc>
          <w:tcPr>
            <w:tcW w:w="1127" w:type="dxa"/>
          </w:tcPr>
          <w:p w14:paraId="755280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790B1E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1933</w:t>
            </w:r>
          </w:p>
        </w:tc>
        <w:tc>
          <w:tcPr>
            <w:tcW w:w="1127" w:type="dxa"/>
          </w:tcPr>
          <w:p w14:paraId="3A9EEA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7D879E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1934</w:t>
            </w:r>
          </w:p>
        </w:tc>
        <w:tc>
          <w:tcPr>
            <w:tcW w:w="1127" w:type="dxa"/>
          </w:tcPr>
          <w:p w14:paraId="56E49A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7E66F73" w14:textId="77777777">
        <w:tc>
          <w:tcPr>
            <w:tcW w:w="1127" w:type="dxa"/>
          </w:tcPr>
          <w:p w14:paraId="26E5AC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541750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УВВС</w:t>
            </w:r>
          </w:p>
        </w:tc>
        <w:tc>
          <w:tcPr>
            <w:tcW w:w="1127" w:type="dxa"/>
          </w:tcPr>
          <w:p w14:paraId="1D71E9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ОКБ</w:t>
            </w:r>
          </w:p>
        </w:tc>
        <w:tc>
          <w:tcPr>
            <w:tcW w:w="1127" w:type="dxa"/>
          </w:tcPr>
          <w:p w14:paraId="3605A0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УВВС</w:t>
            </w:r>
          </w:p>
        </w:tc>
        <w:tc>
          <w:tcPr>
            <w:tcW w:w="1127" w:type="dxa"/>
          </w:tcPr>
          <w:p w14:paraId="10DA5C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ОКБ</w:t>
            </w:r>
          </w:p>
        </w:tc>
        <w:tc>
          <w:tcPr>
            <w:tcW w:w="1127" w:type="dxa"/>
          </w:tcPr>
          <w:p w14:paraId="241E80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УВВС</w:t>
            </w:r>
          </w:p>
        </w:tc>
        <w:tc>
          <w:tcPr>
            <w:tcW w:w="1127" w:type="dxa"/>
          </w:tcPr>
          <w:p w14:paraId="4139FC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ОКБ</w:t>
            </w:r>
          </w:p>
        </w:tc>
        <w:tc>
          <w:tcPr>
            <w:tcW w:w="1127" w:type="dxa"/>
          </w:tcPr>
          <w:p w14:paraId="6897B9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УВВС</w:t>
            </w:r>
          </w:p>
        </w:tc>
        <w:tc>
          <w:tcPr>
            <w:tcW w:w="1127" w:type="dxa"/>
          </w:tcPr>
          <w:p w14:paraId="1FB618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ОКБ</w:t>
            </w:r>
          </w:p>
        </w:tc>
      </w:tr>
      <w:tr w:rsidR="001002C3" w:rsidRPr="005E779E" w14:paraId="6E5BDED4" w14:textId="77777777">
        <w:tc>
          <w:tcPr>
            <w:tcW w:w="1127" w:type="dxa"/>
          </w:tcPr>
          <w:p w14:paraId="4E4E49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Истр. пулем.</w:t>
            </w:r>
          </w:p>
        </w:tc>
        <w:tc>
          <w:tcPr>
            <w:tcW w:w="1127" w:type="dxa"/>
          </w:tcPr>
          <w:p w14:paraId="2C5BDD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w:t>
            </w:r>
          </w:p>
        </w:tc>
        <w:tc>
          <w:tcPr>
            <w:tcW w:w="1127" w:type="dxa"/>
          </w:tcPr>
          <w:p w14:paraId="5B4406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w:t>
            </w:r>
          </w:p>
        </w:tc>
        <w:tc>
          <w:tcPr>
            <w:tcW w:w="1127" w:type="dxa"/>
          </w:tcPr>
          <w:p w14:paraId="5BC371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w:t>
            </w:r>
          </w:p>
        </w:tc>
        <w:tc>
          <w:tcPr>
            <w:tcW w:w="1127" w:type="dxa"/>
          </w:tcPr>
          <w:p w14:paraId="73EECA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w:t>
            </w:r>
          </w:p>
        </w:tc>
        <w:tc>
          <w:tcPr>
            <w:tcW w:w="1127" w:type="dxa"/>
          </w:tcPr>
          <w:p w14:paraId="2ACB55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559B1F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И5бис</w:t>
            </w:r>
          </w:p>
        </w:tc>
        <w:tc>
          <w:tcPr>
            <w:tcW w:w="1127" w:type="dxa"/>
          </w:tcPr>
          <w:p w14:paraId="3B025D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64C82C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895F74F" w14:textId="77777777">
        <w:tc>
          <w:tcPr>
            <w:tcW w:w="1127" w:type="dxa"/>
          </w:tcPr>
          <w:p w14:paraId="558057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37A737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И7</w:t>
            </w:r>
          </w:p>
        </w:tc>
        <w:tc>
          <w:tcPr>
            <w:tcW w:w="1127" w:type="dxa"/>
          </w:tcPr>
          <w:p w14:paraId="24FEC0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И7</w:t>
            </w:r>
          </w:p>
        </w:tc>
        <w:tc>
          <w:tcPr>
            <w:tcW w:w="1127" w:type="dxa"/>
          </w:tcPr>
          <w:p w14:paraId="5C2EC8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И7</w:t>
            </w:r>
          </w:p>
        </w:tc>
        <w:tc>
          <w:tcPr>
            <w:tcW w:w="1127" w:type="dxa"/>
          </w:tcPr>
          <w:p w14:paraId="09BD96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49382F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0B931A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2579AD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480024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49CB535" w14:textId="77777777">
        <w:tc>
          <w:tcPr>
            <w:tcW w:w="1127" w:type="dxa"/>
          </w:tcPr>
          <w:p w14:paraId="3C3D6F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Истр. Линейн.</w:t>
            </w:r>
          </w:p>
        </w:tc>
        <w:tc>
          <w:tcPr>
            <w:tcW w:w="1127" w:type="dxa"/>
          </w:tcPr>
          <w:p w14:paraId="1BF177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19899E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4F8760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178BE5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6CF63B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ИП1</w:t>
            </w:r>
          </w:p>
        </w:tc>
        <w:tc>
          <w:tcPr>
            <w:tcW w:w="1127" w:type="dxa"/>
          </w:tcPr>
          <w:p w14:paraId="3D59F1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 лин.</w:t>
            </w:r>
          </w:p>
        </w:tc>
        <w:tc>
          <w:tcPr>
            <w:tcW w:w="1127" w:type="dxa"/>
          </w:tcPr>
          <w:p w14:paraId="3E87BC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ИП1</w:t>
            </w:r>
          </w:p>
        </w:tc>
        <w:tc>
          <w:tcPr>
            <w:tcW w:w="1127" w:type="dxa"/>
          </w:tcPr>
          <w:p w14:paraId="785735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 лин.</w:t>
            </w:r>
          </w:p>
        </w:tc>
      </w:tr>
      <w:tr w:rsidR="001002C3" w:rsidRPr="005E779E" w14:paraId="0A6C4641" w14:textId="77777777">
        <w:tc>
          <w:tcPr>
            <w:tcW w:w="1127" w:type="dxa"/>
          </w:tcPr>
          <w:p w14:paraId="4AE083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w:t>
            </w:r>
          </w:p>
        </w:tc>
        <w:tc>
          <w:tcPr>
            <w:tcW w:w="1127" w:type="dxa"/>
          </w:tcPr>
          <w:p w14:paraId="222F14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0336C3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670041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ДИ3</w:t>
            </w:r>
          </w:p>
        </w:tc>
        <w:tc>
          <w:tcPr>
            <w:tcW w:w="1127" w:type="dxa"/>
          </w:tcPr>
          <w:p w14:paraId="0FE7CB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4A7E9E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ДИП-</w:t>
            </w:r>
          </w:p>
        </w:tc>
        <w:tc>
          <w:tcPr>
            <w:tcW w:w="1127" w:type="dxa"/>
          </w:tcPr>
          <w:p w14:paraId="76941D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2B4BC2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ДИП</w:t>
            </w:r>
          </w:p>
        </w:tc>
        <w:tc>
          <w:tcPr>
            <w:tcW w:w="1127" w:type="dxa"/>
          </w:tcPr>
          <w:p w14:paraId="146890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1002C3" w:rsidRPr="005E779E" w14:paraId="30D33884" w14:textId="77777777">
        <w:tc>
          <w:tcPr>
            <w:tcW w:w="1127" w:type="dxa"/>
          </w:tcPr>
          <w:p w14:paraId="76CFF0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Разведчики</w:t>
            </w:r>
          </w:p>
        </w:tc>
        <w:tc>
          <w:tcPr>
            <w:tcW w:w="1127" w:type="dxa"/>
          </w:tcPr>
          <w:p w14:paraId="223DA9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Р1</w:t>
            </w:r>
          </w:p>
        </w:tc>
        <w:tc>
          <w:tcPr>
            <w:tcW w:w="1127" w:type="dxa"/>
          </w:tcPr>
          <w:p w14:paraId="329E00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Р1</w:t>
            </w:r>
          </w:p>
        </w:tc>
        <w:tc>
          <w:tcPr>
            <w:tcW w:w="1127" w:type="dxa"/>
          </w:tcPr>
          <w:p w14:paraId="7278BD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1CF855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7DF098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121533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525E85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0F32F4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2C83D6C" w14:textId="77777777">
        <w:tc>
          <w:tcPr>
            <w:tcW w:w="1127" w:type="dxa"/>
          </w:tcPr>
          <w:p w14:paraId="322BF4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5B431C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Р5</w:t>
            </w:r>
          </w:p>
        </w:tc>
        <w:tc>
          <w:tcPr>
            <w:tcW w:w="1127" w:type="dxa"/>
          </w:tcPr>
          <w:p w14:paraId="389A86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Р5</w:t>
            </w:r>
          </w:p>
        </w:tc>
        <w:tc>
          <w:tcPr>
            <w:tcW w:w="1127" w:type="dxa"/>
          </w:tcPr>
          <w:p w14:paraId="1B2535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Р5</w:t>
            </w:r>
          </w:p>
        </w:tc>
        <w:tc>
          <w:tcPr>
            <w:tcW w:w="1127" w:type="dxa"/>
          </w:tcPr>
          <w:p w14:paraId="7D7CD1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Р5</w:t>
            </w:r>
          </w:p>
        </w:tc>
        <w:tc>
          <w:tcPr>
            <w:tcW w:w="1127" w:type="dxa"/>
          </w:tcPr>
          <w:p w14:paraId="3887AF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487611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Р5</w:t>
            </w:r>
          </w:p>
        </w:tc>
        <w:tc>
          <w:tcPr>
            <w:tcW w:w="1127" w:type="dxa"/>
          </w:tcPr>
          <w:p w14:paraId="748C86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4E183C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0C52C5D" w14:textId="77777777">
        <w:tc>
          <w:tcPr>
            <w:tcW w:w="1127" w:type="dxa"/>
          </w:tcPr>
          <w:p w14:paraId="26E913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56AC68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2F3932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4060CC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5C88CB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06F3F1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Р8</w:t>
            </w:r>
          </w:p>
        </w:tc>
        <w:tc>
          <w:tcPr>
            <w:tcW w:w="1127" w:type="dxa"/>
          </w:tcPr>
          <w:p w14:paraId="577CDD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6C57ED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045089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C25C801" w14:textId="77777777">
        <w:tc>
          <w:tcPr>
            <w:tcW w:w="1127" w:type="dxa"/>
          </w:tcPr>
          <w:p w14:paraId="4743C0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0D2F86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733DA5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1F0238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334E9C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69D535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Р9</w:t>
            </w:r>
          </w:p>
        </w:tc>
        <w:tc>
          <w:tcPr>
            <w:tcW w:w="1127" w:type="dxa"/>
          </w:tcPr>
          <w:p w14:paraId="337EF3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284FC4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172C5E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7722813" w14:textId="77777777">
        <w:tc>
          <w:tcPr>
            <w:tcW w:w="1127" w:type="dxa"/>
          </w:tcPr>
          <w:p w14:paraId="707698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Крейсер</w:t>
            </w:r>
          </w:p>
        </w:tc>
        <w:tc>
          <w:tcPr>
            <w:tcW w:w="1127" w:type="dxa"/>
          </w:tcPr>
          <w:p w14:paraId="10B880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Р6</w:t>
            </w:r>
          </w:p>
        </w:tc>
        <w:tc>
          <w:tcPr>
            <w:tcW w:w="1127" w:type="dxa"/>
          </w:tcPr>
          <w:p w14:paraId="111C7D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Р6</w:t>
            </w:r>
          </w:p>
        </w:tc>
        <w:tc>
          <w:tcPr>
            <w:tcW w:w="1127" w:type="dxa"/>
          </w:tcPr>
          <w:p w14:paraId="0CF819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Р6</w:t>
            </w:r>
          </w:p>
        </w:tc>
        <w:tc>
          <w:tcPr>
            <w:tcW w:w="1127" w:type="dxa"/>
          </w:tcPr>
          <w:p w14:paraId="24EC84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Р6</w:t>
            </w:r>
          </w:p>
        </w:tc>
        <w:tc>
          <w:tcPr>
            <w:tcW w:w="1127" w:type="dxa"/>
          </w:tcPr>
          <w:p w14:paraId="2097EF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7FBF14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Р6</w:t>
            </w:r>
          </w:p>
        </w:tc>
        <w:tc>
          <w:tcPr>
            <w:tcW w:w="1127" w:type="dxa"/>
          </w:tcPr>
          <w:p w14:paraId="607978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2F0254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8828061" w14:textId="77777777">
        <w:tc>
          <w:tcPr>
            <w:tcW w:w="1127" w:type="dxa"/>
          </w:tcPr>
          <w:p w14:paraId="417810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3622E5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73C67B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207CBF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6CC5E8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7F78BD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МИ3</w:t>
            </w:r>
          </w:p>
        </w:tc>
        <w:tc>
          <w:tcPr>
            <w:tcW w:w="1127" w:type="dxa"/>
          </w:tcPr>
          <w:p w14:paraId="560021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5E2262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6826ED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A3889AD" w14:textId="77777777">
        <w:tc>
          <w:tcPr>
            <w:tcW w:w="1127" w:type="dxa"/>
          </w:tcPr>
          <w:p w14:paraId="0183D6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39CB3D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450487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59DC04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68A90B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382F82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11AB0A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69BBE3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К1</w:t>
            </w:r>
          </w:p>
        </w:tc>
        <w:tc>
          <w:tcPr>
            <w:tcW w:w="1127" w:type="dxa"/>
          </w:tcPr>
          <w:p w14:paraId="680D88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C26C4A1" w14:textId="77777777">
        <w:tc>
          <w:tcPr>
            <w:tcW w:w="1127" w:type="dxa"/>
          </w:tcPr>
          <w:p w14:paraId="1606B3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Штурмовик</w:t>
            </w:r>
          </w:p>
        </w:tc>
        <w:tc>
          <w:tcPr>
            <w:tcW w:w="1127" w:type="dxa"/>
          </w:tcPr>
          <w:p w14:paraId="1A176C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0FA390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10E4E1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ТШ2</w:t>
            </w:r>
          </w:p>
        </w:tc>
        <w:tc>
          <w:tcPr>
            <w:tcW w:w="1127" w:type="dxa"/>
          </w:tcPr>
          <w:p w14:paraId="379C5C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ТШ2</w:t>
            </w:r>
          </w:p>
        </w:tc>
        <w:tc>
          <w:tcPr>
            <w:tcW w:w="1127" w:type="dxa"/>
          </w:tcPr>
          <w:p w14:paraId="048A85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5131FD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ТШ2</w:t>
            </w:r>
          </w:p>
        </w:tc>
        <w:tc>
          <w:tcPr>
            <w:tcW w:w="1127" w:type="dxa"/>
          </w:tcPr>
          <w:p w14:paraId="05E99A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6DCF13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B6F0A0E" w14:textId="77777777">
        <w:tc>
          <w:tcPr>
            <w:tcW w:w="1127" w:type="dxa"/>
          </w:tcPr>
          <w:p w14:paraId="365239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0B718B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1DF028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215421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338C6F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2DAD36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ЛБШ3</w:t>
            </w:r>
          </w:p>
        </w:tc>
        <w:tc>
          <w:tcPr>
            <w:tcW w:w="1127" w:type="dxa"/>
          </w:tcPr>
          <w:p w14:paraId="6920E5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2E09DE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ЛБШ3</w:t>
            </w:r>
          </w:p>
        </w:tc>
        <w:tc>
          <w:tcPr>
            <w:tcW w:w="1127" w:type="dxa"/>
          </w:tcPr>
          <w:p w14:paraId="4BB9A1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140D610" w14:textId="77777777">
        <w:tc>
          <w:tcPr>
            <w:tcW w:w="1127" w:type="dxa"/>
          </w:tcPr>
          <w:p w14:paraId="5DE17C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w:t>
            </w:r>
          </w:p>
        </w:tc>
        <w:tc>
          <w:tcPr>
            <w:tcW w:w="1127" w:type="dxa"/>
          </w:tcPr>
          <w:p w14:paraId="2E6684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ТБ1</w:t>
            </w:r>
          </w:p>
        </w:tc>
        <w:tc>
          <w:tcPr>
            <w:tcW w:w="1127" w:type="dxa"/>
          </w:tcPr>
          <w:p w14:paraId="2DF3F4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ТБ1</w:t>
            </w:r>
          </w:p>
        </w:tc>
        <w:tc>
          <w:tcPr>
            <w:tcW w:w="1127" w:type="dxa"/>
          </w:tcPr>
          <w:p w14:paraId="02E5E9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49349F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02D4A1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323C87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572417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1EA73F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7288988" w14:textId="77777777">
        <w:tc>
          <w:tcPr>
            <w:tcW w:w="1127" w:type="dxa"/>
          </w:tcPr>
          <w:p w14:paraId="7F60DD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422738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75ACCA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00E431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w:t>
            </w:r>
          </w:p>
        </w:tc>
        <w:tc>
          <w:tcPr>
            <w:tcW w:w="1127" w:type="dxa"/>
          </w:tcPr>
          <w:p w14:paraId="4D4B31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w:t>
            </w:r>
          </w:p>
        </w:tc>
        <w:tc>
          <w:tcPr>
            <w:tcW w:w="1127" w:type="dxa"/>
          </w:tcPr>
          <w:p w14:paraId="58C9D6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w:t>
            </w:r>
          </w:p>
        </w:tc>
        <w:tc>
          <w:tcPr>
            <w:tcW w:w="1127" w:type="dxa"/>
          </w:tcPr>
          <w:p w14:paraId="522B9B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w:t>
            </w:r>
          </w:p>
        </w:tc>
        <w:tc>
          <w:tcPr>
            <w:tcW w:w="1127" w:type="dxa"/>
          </w:tcPr>
          <w:p w14:paraId="6DE630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w:t>
            </w:r>
          </w:p>
        </w:tc>
        <w:tc>
          <w:tcPr>
            <w:tcW w:w="1127" w:type="dxa"/>
          </w:tcPr>
          <w:p w14:paraId="32DEC4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B9B238A" w14:textId="77777777">
        <w:tc>
          <w:tcPr>
            <w:tcW w:w="1127" w:type="dxa"/>
          </w:tcPr>
          <w:p w14:paraId="5930F4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 гигант</w:t>
            </w:r>
          </w:p>
        </w:tc>
        <w:tc>
          <w:tcPr>
            <w:tcW w:w="1127" w:type="dxa"/>
          </w:tcPr>
          <w:p w14:paraId="461FF6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534E50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7E7344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272AC6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2F026B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ТБ4</w:t>
            </w:r>
          </w:p>
        </w:tc>
        <w:tc>
          <w:tcPr>
            <w:tcW w:w="1127" w:type="dxa"/>
          </w:tcPr>
          <w:p w14:paraId="0AD625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54786A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ТБ4</w:t>
            </w:r>
          </w:p>
        </w:tc>
        <w:tc>
          <w:tcPr>
            <w:tcW w:w="1127" w:type="dxa"/>
          </w:tcPr>
          <w:p w14:paraId="2A97C6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38C987F" w14:textId="77777777">
        <w:tc>
          <w:tcPr>
            <w:tcW w:w="1127" w:type="dxa"/>
          </w:tcPr>
          <w:p w14:paraId="29AF21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Морск. разв.</w:t>
            </w:r>
          </w:p>
        </w:tc>
        <w:tc>
          <w:tcPr>
            <w:tcW w:w="1127" w:type="dxa"/>
          </w:tcPr>
          <w:p w14:paraId="3EA5FA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009944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С-62</w:t>
            </w:r>
          </w:p>
        </w:tc>
        <w:tc>
          <w:tcPr>
            <w:tcW w:w="1127" w:type="dxa"/>
          </w:tcPr>
          <w:p w14:paraId="12DFDE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С-62</w:t>
            </w:r>
          </w:p>
        </w:tc>
        <w:tc>
          <w:tcPr>
            <w:tcW w:w="1127" w:type="dxa"/>
          </w:tcPr>
          <w:p w14:paraId="317246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С-62</w:t>
            </w:r>
          </w:p>
        </w:tc>
        <w:tc>
          <w:tcPr>
            <w:tcW w:w="1127" w:type="dxa"/>
          </w:tcPr>
          <w:p w14:paraId="081972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5355BE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1B6736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6199C7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20B36E3" w14:textId="77777777">
        <w:tc>
          <w:tcPr>
            <w:tcW w:w="1127" w:type="dxa"/>
          </w:tcPr>
          <w:p w14:paraId="23C329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112122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3F33F7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47A387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679FED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МДР</w:t>
            </w:r>
          </w:p>
        </w:tc>
        <w:tc>
          <w:tcPr>
            <w:tcW w:w="1127" w:type="dxa"/>
          </w:tcPr>
          <w:p w14:paraId="7D7738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МДР3</w:t>
            </w:r>
          </w:p>
        </w:tc>
        <w:tc>
          <w:tcPr>
            <w:tcW w:w="1127" w:type="dxa"/>
          </w:tcPr>
          <w:p w14:paraId="61CE91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МДР</w:t>
            </w:r>
          </w:p>
        </w:tc>
        <w:tc>
          <w:tcPr>
            <w:tcW w:w="1127" w:type="dxa"/>
          </w:tcPr>
          <w:p w14:paraId="4CC1A1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3B7066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70230B9" w14:textId="77777777">
        <w:tc>
          <w:tcPr>
            <w:tcW w:w="1127" w:type="dxa"/>
          </w:tcPr>
          <w:p w14:paraId="63458B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7DF4D4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348A38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35A951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3B9DA7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2A3BA1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МБР-3</w:t>
            </w:r>
          </w:p>
        </w:tc>
        <w:tc>
          <w:tcPr>
            <w:tcW w:w="1127" w:type="dxa"/>
          </w:tcPr>
          <w:p w14:paraId="4CB20A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МБР</w:t>
            </w:r>
          </w:p>
        </w:tc>
        <w:tc>
          <w:tcPr>
            <w:tcW w:w="1127" w:type="dxa"/>
          </w:tcPr>
          <w:p w14:paraId="655132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МБР-3</w:t>
            </w:r>
          </w:p>
        </w:tc>
        <w:tc>
          <w:tcPr>
            <w:tcW w:w="1127" w:type="dxa"/>
          </w:tcPr>
          <w:p w14:paraId="77071D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2A91A19" w14:textId="77777777">
        <w:tc>
          <w:tcPr>
            <w:tcW w:w="1127" w:type="dxa"/>
          </w:tcPr>
          <w:p w14:paraId="5A1428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527433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4EEC19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52AD31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594E50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2C67D5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2680E2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3980EC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МК</w:t>
            </w:r>
          </w:p>
        </w:tc>
        <w:tc>
          <w:tcPr>
            <w:tcW w:w="1127" w:type="dxa"/>
          </w:tcPr>
          <w:p w14:paraId="21FD04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6CD8EBF" w14:textId="77777777">
        <w:tc>
          <w:tcPr>
            <w:tcW w:w="1127" w:type="dxa"/>
          </w:tcPr>
          <w:p w14:paraId="2C5ADB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Специальн.</w:t>
            </w:r>
          </w:p>
        </w:tc>
        <w:tc>
          <w:tcPr>
            <w:tcW w:w="1127" w:type="dxa"/>
          </w:tcPr>
          <w:p w14:paraId="34B1A2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1DB8AF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513E8B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676DD6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7BBA6E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3A2DBE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07F4EF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5A8E79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A65C39F" w14:textId="77777777">
        <w:tc>
          <w:tcPr>
            <w:tcW w:w="1127" w:type="dxa"/>
          </w:tcPr>
          <w:p w14:paraId="36EA05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4AE9E6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0A2FCB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66970D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4C003B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3FEB74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46E451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400F89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2F2B47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8A08729" w14:textId="77777777">
        <w:tc>
          <w:tcPr>
            <w:tcW w:w="1127" w:type="dxa"/>
          </w:tcPr>
          <w:p w14:paraId="1D0E6F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4DE59D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7CD5C8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30695A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54BF7D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51364A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2ACF9A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7962C8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5DB44A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88BAF87" w14:textId="77777777">
        <w:tc>
          <w:tcPr>
            <w:tcW w:w="1127" w:type="dxa"/>
          </w:tcPr>
          <w:p w14:paraId="716E2D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2ACDA5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2E5477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797DFC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714AEB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62337C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6C4AFC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13BD64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Р-10</w:t>
            </w:r>
          </w:p>
        </w:tc>
        <w:tc>
          <w:tcPr>
            <w:tcW w:w="1127" w:type="dxa"/>
          </w:tcPr>
          <w:p w14:paraId="63D760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B7F7E0E" w14:textId="77777777">
        <w:tc>
          <w:tcPr>
            <w:tcW w:w="1127" w:type="dxa"/>
          </w:tcPr>
          <w:p w14:paraId="01D9B6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184381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70BF1D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6EE232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76AB57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264DF5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17C023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41314F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ВС2</w:t>
            </w:r>
          </w:p>
        </w:tc>
        <w:tc>
          <w:tcPr>
            <w:tcW w:w="1127" w:type="dxa"/>
          </w:tcPr>
          <w:p w14:paraId="1BD593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F13C3AC" w14:textId="77777777">
        <w:tc>
          <w:tcPr>
            <w:tcW w:w="1127" w:type="dxa"/>
          </w:tcPr>
          <w:p w14:paraId="1513BD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315C65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40BB3D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6A21D6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2F361C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49E73F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478E73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3F001D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ПБ-1</w:t>
            </w:r>
          </w:p>
        </w:tc>
        <w:tc>
          <w:tcPr>
            <w:tcW w:w="1127" w:type="dxa"/>
          </w:tcPr>
          <w:p w14:paraId="026E5D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E5D0743" w14:textId="77777777">
        <w:tc>
          <w:tcPr>
            <w:tcW w:w="1127" w:type="dxa"/>
          </w:tcPr>
          <w:p w14:paraId="144675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6E25F6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416620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05F670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5A5530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113519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3D2B68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456405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Х-1</w:t>
            </w:r>
          </w:p>
        </w:tc>
        <w:tc>
          <w:tcPr>
            <w:tcW w:w="1127" w:type="dxa"/>
          </w:tcPr>
          <w:p w14:paraId="29326B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A5CB3A9" w14:textId="77777777">
        <w:tc>
          <w:tcPr>
            <w:tcW w:w="1127" w:type="dxa"/>
          </w:tcPr>
          <w:p w14:paraId="21EC4C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Учебн.</w:t>
            </w:r>
          </w:p>
        </w:tc>
        <w:tc>
          <w:tcPr>
            <w:tcW w:w="1127" w:type="dxa"/>
          </w:tcPr>
          <w:p w14:paraId="0144E5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У2</w:t>
            </w:r>
          </w:p>
        </w:tc>
        <w:tc>
          <w:tcPr>
            <w:tcW w:w="1127" w:type="dxa"/>
          </w:tcPr>
          <w:p w14:paraId="4B121E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У2</w:t>
            </w:r>
          </w:p>
        </w:tc>
        <w:tc>
          <w:tcPr>
            <w:tcW w:w="1127" w:type="dxa"/>
          </w:tcPr>
          <w:p w14:paraId="1124EA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У2</w:t>
            </w:r>
          </w:p>
        </w:tc>
        <w:tc>
          <w:tcPr>
            <w:tcW w:w="1127" w:type="dxa"/>
          </w:tcPr>
          <w:p w14:paraId="5032CB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У2</w:t>
            </w:r>
          </w:p>
        </w:tc>
        <w:tc>
          <w:tcPr>
            <w:tcW w:w="1127" w:type="dxa"/>
          </w:tcPr>
          <w:p w14:paraId="47B9FA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У2</w:t>
            </w:r>
          </w:p>
        </w:tc>
        <w:tc>
          <w:tcPr>
            <w:tcW w:w="1127" w:type="dxa"/>
          </w:tcPr>
          <w:p w14:paraId="44DC85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У2</w:t>
            </w:r>
          </w:p>
        </w:tc>
        <w:tc>
          <w:tcPr>
            <w:tcW w:w="1127" w:type="dxa"/>
          </w:tcPr>
          <w:p w14:paraId="5B0607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У2</w:t>
            </w:r>
          </w:p>
        </w:tc>
        <w:tc>
          <w:tcPr>
            <w:tcW w:w="1127" w:type="dxa"/>
          </w:tcPr>
          <w:p w14:paraId="116067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DE4410F" w14:textId="77777777">
        <w:tc>
          <w:tcPr>
            <w:tcW w:w="1127" w:type="dxa"/>
          </w:tcPr>
          <w:p w14:paraId="11651E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6F5018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6EDAE7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5EF746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4F46FE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71A2DF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МУ3</w:t>
            </w:r>
          </w:p>
        </w:tc>
        <w:tc>
          <w:tcPr>
            <w:tcW w:w="1127" w:type="dxa"/>
          </w:tcPr>
          <w:p w14:paraId="1062EF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3E873E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МУ3</w:t>
            </w:r>
          </w:p>
        </w:tc>
        <w:tc>
          <w:tcPr>
            <w:tcW w:w="1127" w:type="dxa"/>
          </w:tcPr>
          <w:p w14:paraId="656CE6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5BB2775" w14:textId="77777777">
        <w:tc>
          <w:tcPr>
            <w:tcW w:w="1127" w:type="dxa"/>
          </w:tcPr>
          <w:p w14:paraId="58A094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Спорт.</w:t>
            </w:r>
          </w:p>
        </w:tc>
        <w:tc>
          <w:tcPr>
            <w:tcW w:w="1127" w:type="dxa"/>
          </w:tcPr>
          <w:p w14:paraId="237EE0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55683D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1B1130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7D8A87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468CC2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2100F0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3C2340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2F70CE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8147822" w14:textId="77777777">
        <w:tc>
          <w:tcPr>
            <w:tcW w:w="1127" w:type="dxa"/>
          </w:tcPr>
          <w:p w14:paraId="47E56C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478CB2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7BB2FA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1C3DC6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08EDFD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2D24C1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762C66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w:t>
            </w:r>
          </w:p>
        </w:tc>
        <w:tc>
          <w:tcPr>
            <w:tcW w:w="1127" w:type="dxa"/>
          </w:tcPr>
          <w:p w14:paraId="206865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600703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B2BE2F6" w14:textId="77777777">
        <w:tc>
          <w:tcPr>
            <w:tcW w:w="1127" w:type="dxa"/>
          </w:tcPr>
          <w:p w14:paraId="145167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Пассаж.</w:t>
            </w:r>
          </w:p>
        </w:tc>
        <w:tc>
          <w:tcPr>
            <w:tcW w:w="1127" w:type="dxa"/>
          </w:tcPr>
          <w:p w14:paraId="11FF47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095C20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АНТ9</w:t>
            </w:r>
          </w:p>
        </w:tc>
        <w:tc>
          <w:tcPr>
            <w:tcW w:w="1127" w:type="dxa"/>
          </w:tcPr>
          <w:p w14:paraId="2E6578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05DB2B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АНТ9</w:t>
            </w:r>
          </w:p>
        </w:tc>
        <w:tc>
          <w:tcPr>
            <w:tcW w:w="1127" w:type="dxa"/>
          </w:tcPr>
          <w:p w14:paraId="441621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20138F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АНТ9</w:t>
            </w:r>
          </w:p>
        </w:tc>
        <w:tc>
          <w:tcPr>
            <w:tcW w:w="1127" w:type="dxa"/>
          </w:tcPr>
          <w:p w14:paraId="297B8F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044E4E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5403F71" w14:textId="77777777">
        <w:tc>
          <w:tcPr>
            <w:tcW w:w="1127" w:type="dxa"/>
          </w:tcPr>
          <w:p w14:paraId="6DAEDB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68181E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00648A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К5</w:t>
            </w:r>
          </w:p>
        </w:tc>
        <w:tc>
          <w:tcPr>
            <w:tcW w:w="1127" w:type="dxa"/>
          </w:tcPr>
          <w:p w14:paraId="2C16D4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02D54E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К5</w:t>
            </w:r>
          </w:p>
        </w:tc>
        <w:tc>
          <w:tcPr>
            <w:tcW w:w="1127" w:type="dxa"/>
          </w:tcPr>
          <w:p w14:paraId="4C2FBD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5E8630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К-5</w:t>
            </w:r>
          </w:p>
        </w:tc>
        <w:tc>
          <w:tcPr>
            <w:tcW w:w="1127" w:type="dxa"/>
          </w:tcPr>
          <w:p w14:paraId="5D07E3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27" w:type="dxa"/>
          </w:tcPr>
          <w:p w14:paraId="12ACAB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9FA5C6F" w14:textId="77777777">
        <w:tc>
          <w:tcPr>
            <w:tcW w:w="1127" w:type="dxa"/>
          </w:tcPr>
          <w:p w14:paraId="0CCE75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w:t>
            </w:r>
          </w:p>
        </w:tc>
        <w:tc>
          <w:tcPr>
            <w:tcW w:w="1127" w:type="dxa"/>
          </w:tcPr>
          <w:p w14:paraId="677599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w:t>
            </w:r>
          </w:p>
        </w:tc>
        <w:tc>
          <w:tcPr>
            <w:tcW w:w="1127" w:type="dxa"/>
          </w:tcPr>
          <w:p w14:paraId="25994C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w:t>
            </w:r>
          </w:p>
        </w:tc>
        <w:tc>
          <w:tcPr>
            <w:tcW w:w="1127" w:type="dxa"/>
          </w:tcPr>
          <w:p w14:paraId="051C53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w:t>
            </w:r>
          </w:p>
        </w:tc>
        <w:tc>
          <w:tcPr>
            <w:tcW w:w="1127" w:type="dxa"/>
          </w:tcPr>
          <w:p w14:paraId="2AB213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w:t>
            </w:r>
          </w:p>
        </w:tc>
        <w:tc>
          <w:tcPr>
            <w:tcW w:w="1127" w:type="dxa"/>
          </w:tcPr>
          <w:p w14:paraId="0CB000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w:t>
            </w:r>
          </w:p>
        </w:tc>
        <w:tc>
          <w:tcPr>
            <w:tcW w:w="1127" w:type="dxa"/>
          </w:tcPr>
          <w:p w14:paraId="5707E0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w:t>
            </w:r>
          </w:p>
        </w:tc>
        <w:tc>
          <w:tcPr>
            <w:tcW w:w="1127" w:type="dxa"/>
          </w:tcPr>
          <w:p w14:paraId="644C36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w:t>
            </w:r>
          </w:p>
        </w:tc>
        <w:tc>
          <w:tcPr>
            <w:tcW w:w="1127" w:type="dxa"/>
          </w:tcPr>
          <w:p w14:paraId="5AC6DC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bl>
    <w:p w14:paraId="34B8C1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Примечание: ТШ3 - однотипен с разведчиком (351).</w:t>
      </w:r>
    </w:p>
    <w:p w14:paraId="2EF2870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3279B9" w14:textId="77777777" w:rsidR="000A57D7"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10747CCF" w14:textId="77777777" w:rsidR="000A57D7" w:rsidRPr="005E779E" w:rsidRDefault="000A57D7"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FE4D96E" w14:textId="77777777" w:rsidR="00A54CD0" w:rsidRPr="005E779E" w:rsidRDefault="00A54CD0" w:rsidP="000B7A6C">
      <w:pPr>
        <w:pStyle w:val="1010"/>
        <w:shd w:val="clear" w:color="auto" w:fill="auto"/>
        <w:spacing w:line="240" w:lineRule="auto"/>
        <w:ind w:firstLine="0"/>
        <w:rPr>
          <w:rFonts w:ascii="Times New Roman" w:hAnsi="Times New Roman" w:cs="Times New Roman"/>
          <w:i w:val="0"/>
          <w:color w:val="000000" w:themeColor="text1"/>
          <w:sz w:val="16"/>
          <w:szCs w:val="16"/>
        </w:rPr>
      </w:pPr>
      <w:r w:rsidRPr="005E779E">
        <w:rPr>
          <w:rStyle w:val="1028"/>
          <w:rFonts w:ascii="Times New Roman" w:eastAsia="Arial Unicode MS" w:hAnsi="Times New Roman" w:cs="Times New Roman"/>
          <w:i w:val="0"/>
          <w:iCs w:val="0"/>
          <w:color w:val="000000" w:themeColor="text1"/>
          <w:sz w:val="16"/>
          <w:szCs w:val="16"/>
        </w:rPr>
        <w:t>26 сентября 1930 г. в письме представителей УММ в Англии на имя Хапепского отмечалось, что</w:t>
      </w:r>
      <w:r w:rsidRPr="005E779E">
        <w:rPr>
          <w:rFonts w:ascii="Times New Roman" w:hAnsi="Times New Roman" w:cs="Times New Roman"/>
          <w:i w:val="0"/>
          <w:color w:val="000000" w:themeColor="text1"/>
          <w:sz w:val="16"/>
          <w:szCs w:val="16"/>
        </w:rPr>
        <w:t xml:space="preserve"> «первые испытания </w:t>
      </w:r>
      <w:r w:rsidRPr="005E779E">
        <w:rPr>
          <w:rStyle w:val="1028"/>
          <w:rFonts w:ascii="Times New Roman" w:eastAsia="Arial Unicode MS" w:hAnsi="Times New Roman" w:cs="Times New Roman"/>
          <w:i w:val="0"/>
          <w:iCs w:val="0"/>
          <w:color w:val="000000" w:themeColor="text1"/>
          <w:sz w:val="16"/>
          <w:szCs w:val="16"/>
        </w:rPr>
        <w:t>8-цилиндрового карбюраторного двигателя «Арм</w:t>
      </w:r>
      <w:r w:rsidRPr="005E779E">
        <w:rPr>
          <w:rStyle w:val="1028"/>
          <w:rFonts w:ascii="Times New Roman" w:eastAsia="Arial Unicode MS" w:hAnsi="Times New Roman" w:cs="Times New Roman"/>
          <w:i w:val="0"/>
          <w:iCs w:val="0"/>
          <w:color w:val="000000" w:themeColor="text1"/>
          <w:sz w:val="16"/>
          <w:szCs w:val="16"/>
        </w:rPr>
        <w:softHyphen/>
        <w:t xml:space="preserve">стронг Сидделей» </w:t>
      </w:r>
      <w:r w:rsidRPr="005E779E">
        <w:rPr>
          <w:rFonts w:ascii="Times New Roman" w:hAnsi="Times New Roman" w:cs="Times New Roman"/>
          <w:i w:val="0"/>
          <w:color w:val="000000" w:themeColor="text1"/>
          <w:sz w:val="16"/>
          <w:szCs w:val="16"/>
        </w:rPr>
        <w:t>в 90 л.с. для 12-ти тон. танков ни на английском горючем, ни на русском (Грозный №2) удовлетворительных результатов не дали. Нами было предложено провести ряд дополнительных испытаний на русских стандартных сортах. Нами было предложено:</w:t>
      </w:r>
    </w:p>
    <w:p w14:paraId="69762EB2" w14:textId="77777777" w:rsidR="00A54CD0" w:rsidRPr="005E779E" w:rsidRDefault="00A54CD0" w:rsidP="000B7A6C">
      <w:pPr>
        <w:pStyle w:val="1010"/>
        <w:shd w:val="clear" w:color="auto" w:fill="auto"/>
        <w:spacing w:line="240" w:lineRule="auto"/>
        <w:ind w:firstLine="0"/>
        <w:rPr>
          <w:rFonts w:ascii="Times New Roman" w:hAnsi="Times New Roman" w:cs="Times New Roman"/>
          <w:i w:val="0"/>
          <w:color w:val="000000" w:themeColor="text1"/>
          <w:sz w:val="16"/>
          <w:szCs w:val="16"/>
        </w:rPr>
      </w:pPr>
      <w:r w:rsidRPr="005E779E">
        <w:rPr>
          <w:rFonts w:ascii="Times New Roman" w:hAnsi="Times New Roman" w:cs="Times New Roman"/>
          <w:i w:val="0"/>
          <w:color w:val="000000" w:themeColor="text1"/>
          <w:sz w:val="16"/>
          <w:szCs w:val="16"/>
        </w:rPr>
        <w:t>1/ Смесь: Грозный №1 -70% и Грозный №2.</w:t>
      </w:r>
    </w:p>
    <w:p w14:paraId="75EA456B" w14:textId="77777777" w:rsidR="00A54CD0" w:rsidRPr="005E779E" w:rsidRDefault="00A54CD0" w:rsidP="000B7A6C">
      <w:pPr>
        <w:pStyle w:val="1010"/>
        <w:shd w:val="clear" w:color="auto" w:fill="auto"/>
        <w:spacing w:line="240" w:lineRule="auto"/>
        <w:ind w:firstLine="0"/>
        <w:rPr>
          <w:rFonts w:ascii="Times New Roman" w:hAnsi="Times New Roman" w:cs="Times New Roman"/>
          <w:i w:val="0"/>
          <w:color w:val="000000" w:themeColor="text1"/>
          <w:sz w:val="16"/>
          <w:szCs w:val="16"/>
        </w:rPr>
      </w:pPr>
      <w:r w:rsidRPr="005E779E">
        <w:rPr>
          <w:rFonts w:ascii="Times New Roman" w:hAnsi="Times New Roman" w:cs="Times New Roman"/>
          <w:i w:val="0"/>
          <w:color w:val="000000" w:themeColor="text1"/>
          <w:sz w:val="16"/>
          <w:szCs w:val="16"/>
        </w:rPr>
        <w:t>2/ Гоозный № 1.</w:t>
      </w:r>
    </w:p>
    <w:p w14:paraId="37760325" w14:textId="77777777" w:rsidR="00A54CD0" w:rsidRPr="005E779E" w:rsidRDefault="00A54CD0" w:rsidP="000B7A6C">
      <w:pPr>
        <w:pStyle w:val="1010"/>
        <w:shd w:val="clear" w:color="auto" w:fill="auto"/>
        <w:spacing w:line="240" w:lineRule="auto"/>
        <w:ind w:firstLine="0"/>
        <w:rPr>
          <w:rFonts w:ascii="Times New Roman" w:hAnsi="Times New Roman" w:cs="Times New Roman"/>
          <w:i w:val="0"/>
          <w:color w:val="000000" w:themeColor="text1"/>
          <w:sz w:val="16"/>
          <w:szCs w:val="16"/>
        </w:rPr>
      </w:pPr>
      <w:r w:rsidRPr="005E779E">
        <w:rPr>
          <w:rFonts w:ascii="Times New Roman" w:hAnsi="Times New Roman" w:cs="Times New Roman"/>
          <w:i w:val="0"/>
          <w:color w:val="000000" w:themeColor="text1"/>
          <w:sz w:val="16"/>
          <w:szCs w:val="16"/>
        </w:rPr>
        <w:t>3/ Смесь Гоозный №1-97% и Бензол - 3%.</w:t>
      </w:r>
    </w:p>
    <w:p w14:paraId="45638439" w14:textId="77777777" w:rsidR="00A54CD0" w:rsidRPr="005E779E" w:rsidRDefault="00A54CD0" w:rsidP="000B7A6C">
      <w:pPr>
        <w:pStyle w:val="1010"/>
        <w:shd w:val="clear" w:color="auto" w:fill="auto"/>
        <w:spacing w:line="240" w:lineRule="auto"/>
        <w:ind w:firstLine="0"/>
        <w:rPr>
          <w:rFonts w:ascii="Times New Roman" w:hAnsi="Times New Roman" w:cs="Times New Roman"/>
          <w:i w:val="0"/>
          <w:color w:val="000000" w:themeColor="text1"/>
          <w:sz w:val="16"/>
          <w:szCs w:val="16"/>
        </w:rPr>
      </w:pPr>
      <w:r w:rsidRPr="005E779E">
        <w:rPr>
          <w:rFonts w:ascii="Times New Roman" w:hAnsi="Times New Roman" w:cs="Times New Roman"/>
          <w:i w:val="0"/>
          <w:color w:val="000000" w:themeColor="text1"/>
          <w:sz w:val="16"/>
          <w:szCs w:val="16"/>
        </w:rPr>
        <w:t>4/По предложению фирмы двигатель был испытан на стандартной английской смеси, состоящей из бензина (авиационный) 80% и бензо</w:t>
      </w:r>
      <w:r w:rsidRPr="005E779E">
        <w:rPr>
          <w:rFonts w:ascii="Times New Roman" w:hAnsi="Times New Roman" w:cs="Times New Roman"/>
          <w:i w:val="0"/>
          <w:color w:val="000000" w:themeColor="text1"/>
          <w:sz w:val="16"/>
          <w:szCs w:val="16"/>
        </w:rPr>
        <w:softHyphen/>
        <w:t>ла-20%.</w:t>
      </w:r>
    </w:p>
    <w:p w14:paraId="15D45A1F" w14:textId="77777777" w:rsidR="00A54CD0" w:rsidRPr="005E779E" w:rsidRDefault="00A54CD0" w:rsidP="000B7A6C">
      <w:pPr>
        <w:pStyle w:val="1010"/>
        <w:shd w:val="clear" w:color="auto" w:fill="auto"/>
        <w:spacing w:line="240" w:lineRule="auto"/>
        <w:ind w:firstLine="0"/>
        <w:rPr>
          <w:rFonts w:ascii="Times New Roman" w:hAnsi="Times New Roman" w:cs="Times New Roman"/>
          <w:i w:val="0"/>
          <w:color w:val="000000" w:themeColor="text1"/>
          <w:sz w:val="16"/>
          <w:szCs w:val="16"/>
        </w:rPr>
      </w:pPr>
      <w:r w:rsidRPr="005E779E">
        <w:rPr>
          <w:rFonts w:ascii="Times New Roman" w:hAnsi="Times New Roman" w:cs="Times New Roman"/>
          <w:i w:val="0"/>
          <w:color w:val="000000" w:themeColor="text1"/>
          <w:sz w:val="16"/>
          <w:szCs w:val="16"/>
        </w:rPr>
        <w:t>Наиболее удачным результатом испытаний на этих сортах горючего русского стандарта оказалась смесь Грозный №1 - 97% и Бензол - 3%.</w:t>
      </w:r>
    </w:p>
    <w:p w14:paraId="0E9221D2" w14:textId="77777777" w:rsidR="00A54CD0" w:rsidRPr="005E779E" w:rsidRDefault="00A54CD0" w:rsidP="000B7A6C">
      <w:pPr>
        <w:pStyle w:val="1010"/>
        <w:shd w:val="clear" w:color="auto" w:fill="auto"/>
        <w:spacing w:line="240" w:lineRule="auto"/>
        <w:ind w:firstLine="0"/>
        <w:rPr>
          <w:rFonts w:ascii="Times New Roman" w:hAnsi="Times New Roman" w:cs="Times New Roman"/>
          <w:i w:val="0"/>
          <w:color w:val="000000" w:themeColor="text1"/>
          <w:sz w:val="16"/>
          <w:szCs w:val="16"/>
        </w:rPr>
      </w:pPr>
      <w:r w:rsidRPr="005E779E">
        <w:rPr>
          <w:rFonts w:ascii="Times New Roman" w:hAnsi="Times New Roman" w:cs="Times New Roman"/>
          <w:i w:val="0"/>
          <w:color w:val="000000" w:themeColor="text1"/>
          <w:sz w:val="16"/>
          <w:szCs w:val="16"/>
        </w:rPr>
        <w:t>На этом топливе двигатель показал около 89 л.с. при 1760 оборотов вминуту» (15745).</w:t>
      </w:r>
    </w:p>
    <w:p w14:paraId="17281E81" w14:textId="77777777" w:rsidR="00A54CD0" w:rsidRPr="005E779E" w:rsidRDefault="00A54CD0" w:rsidP="000B7A6C">
      <w:pPr>
        <w:pStyle w:val="1010"/>
        <w:shd w:val="clear" w:color="auto" w:fill="auto"/>
        <w:spacing w:line="240" w:lineRule="auto"/>
        <w:ind w:firstLine="0"/>
        <w:rPr>
          <w:rFonts w:ascii="Times New Roman" w:hAnsi="Times New Roman" w:cs="Times New Roman"/>
          <w:i w:val="0"/>
          <w:color w:val="000000" w:themeColor="text1"/>
          <w:sz w:val="16"/>
          <w:szCs w:val="16"/>
        </w:rPr>
      </w:pPr>
    </w:p>
    <w:p w14:paraId="6CDBDE4A" w14:textId="77777777" w:rsidR="00C539B3" w:rsidRPr="00142305" w:rsidRDefault="00C539B3" w:rsidP="00C539B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26 сентября 1931 г. была утверждена программа полигонных испытаний танкетки Т-27с огнеметом, а отчет по предварительным испытаниям поступил в НТК Вохиму 3 декабря 1931 г. По итогам заводских испытаний химизированную танкетку Т-27 признали пригодной для решения основных поставленных перед ней задач (25556).</w:t>
      </w:r>
    </w:p>
    <w:p w14:paraId="49EBA81B" w14:textId="77777777" w:rsidR="00C539B3" w:rsidRPr="00142305" w:rsidRDefault="00C539B3" w:rsidP="00C539B3">
      <w:pPr>
        <w:spacing w:after="0" w:line="240" w:lineRule="auto"/>
        <w:jc w:val="both"/>
        <w:rPr>
          <w:rFonts w:ascii="Times New Roman" w:hAnsi="Times New Roman"/>
          <w:color w:val="0070C0"/>
          <w:sz w:val="16"/>
          <w:szCs w:val="16"/>
        </w:rPr>
      </w:pPr>
    </w:p>
    <w:p w14:paraId="7926EA97" w14:textId="77777777" w:rsidR="000A57D7" w:rsidRPr="005E779E" w:rsidRDefault="000A57D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 сентября 1931 была утверждена Программа полигонных испытаний на ЦВХП химической Т-27, а отчет по предварительным испытаниям поступил в НТК Вохиму 3 декабря 1931 г. По итогам заводских испытаний химизированную танкетку Т-27 признали пригодной для решения основных поставленных перед ней задач.</w:t>
      </w:r>
    </w:p>
    <w:p w14:paraId="650297BE" w14:textId="77777777" w:rsidR="000A57D7" w:rsidRPr="005E779E" w:rsidRDefault="000A57D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Однако не обошлось без потерь. В ходе испытаний Кратиров сжег и порвал свой кожаный реглан. Изобретатель обратился в НТК ВОХИМУ с заявлением, в котором писал: «Т.к. я не имею средств купить себе другую одежду, а в старом командиру Красной Армии неудобно появляться даже на работе, прошу Вашего ходатайства перед соответствующими инстанциями о выдаче мне другого кожаного пальто». Рассмотрев материалы по испытаниям и заявление Кратирова, председатель и управделами НТК ВОХИМУ 14 декабря 1931 г. решили: «Тов. Кратиров по своей инициативе разработал химизированную танкетку, которая при испытании дала весьма удовлетворительные результаты и представляется к вводу на вооружение. Для премирования тов. Кратиро-ва отпустить кожаное пальто, стоимость будет НТК Вохиму оплачена» (12253).</w:t>
      </w:r>
    </w:p>
    <w:p w14:paraId="2F843BA7" w14:textId="77777777" w:rsidR="000A57D7" w:rsidRPr="005E779E" w:rsidRDefault="000A57D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 время испытаний по дымопуску на танкетке были опробованы распылители четырех типов: аппарат «Ганзеатише», К-К, НПЗ-З и аппарат завода «Промет» (аналогичный применяемому на боевой машине БХМ-Форд-Промет). Последний представлял из себя полушаровидную насадку с приемным отверстием диаметром 4 мм, переходящим в щель шириной 2 мм с раствором на выходе 120' и углом выхода смеси 45' к горизонту. Управление дымопуском производилось изнутри машины при помощи тросовой проводки.</w:t>
      </w:r>
    </w:p>
    <w:p w14:paraId="7EF13128" w14:textId="77777777" w:rsidR="000A57D7" w:rsidRPr="005E779E" w:rsidRDefault="000A57D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Устойчивость образуемого маскировочного облака при использовании всех распылителей оказалась практически одинаковой, составив чуть менее 2,5 мин. Отмечалось, что «Промет более рентабелен, т.к. оставляет некоторое количество вещества на земле, продолжающее дымопуск, что выгодно при ходе машины свыше 25 клм. - час.». Правда, из-за измерительных приборов во время испытаний измерение высоты облака производилось грубым наблюдением. Сектор расхождения дымовой завесы при скорости ветра 2—3 м/с при пуске газа с места на дистанции 100 м составлял 50—55 м, на дистанции 200 м от машины был равен 100—110 м, на расстояниях 400 и 600 м — 125—130 м и 130 м соответственно. Далее на дистанции около 700 м облако поднималось вверх.</w:t>
      </w:r>
    </w:p>
    <w:p w14:paraId="05F7D447" w14:textId="77777777" w:rsidR="000A57D7" w:rsidRPr="005E779E" w:rsidRDefault="000A57D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Резервуары наполнялись с помощью мерного ведра и лейки за 14 мин. Давление 5 атм в резервуарах создавалось тремя воздушными баллонами емкостью 0,7 л каждый с давлением 120 атм. Танкетка отправлялась на задание без давления в резервуарах. При дымопуске предварительное давление в 5 атм должно было подаваться перед началом боя с помощью первого баллончика, затем при падении давления до 2,5 атм открывался второй баллончик, а третий баллончик использовался как запасной. В ходе испытаний обнаружилось протекание смеси через выпускные краники из-за их плохой герметизации.</w:t>
      </w:r>
    </w:p>
    <w:p w14:paraId="0F976E4E" w14:textId="77777777" w:rsidR="000A57D7" w:rsidRPr="005E779E" w:rsidRDefault="000A57D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Непосредственной опасности экипажу танкетки при работе с дымосмесью 5-1У не было, так как элементы системы газопуска располагались снаружи машины. На случай возможного попадания газов в машину имелись противогазы (12253).</w:t>
      </w:r>
    </w:p>
    <w:p w14:paraId="3F6F56E4" w14:textId="77777777" w:rsidR="000A57D7" w:rsidRPr="005E779E" w:rsidRDefault="000A57D7" w:rsidP="000B7A6C">
      <w:pPr>
        <w:spacing w:after="0" w:line="240" w:lineRule="auto"/>
        <w:jc w:val="both"/>
        <w:rPr>
          <w:rFonts w:ascii="Times New Roman" w:hAnsi="Times New Roman"/>
          <w:color w:val="000000" w:themeColor="text1"/>
          <w:sz w:val="16"/>
          <w:szCs w:val="16"/>
        </w:rPr>
      </w:pPr>
    </w:p>
    <w:p w14:paraId="2D653748" w14:textId="77777777" w:rsidR="003E28CB" w:rsidRPr="005E779E" w:rsidRDefault="003E28CB" w:rsidP="000B7A6C">
      <w:pPr>
        <w:spacing w:after="0" w:line="240" w:lineRule="auto"/>
        <w:jc w:val="both"/>
        <w:rPr>
          <w:rFonts w:ascii="Times New Roman" w:hAnsi="Times New Roman"/>
          <w:color w:val="000000" w:themeColor="text1"/>
          <w:sz w:val="16"/>
          <w:szCs w:val="16"/>
          <w:u w:color="002060"/>
          <w:lang w:val="en-US"/>
        </w:rPr>
      </w:pPr>
      <w:r w:rsidRPr="005E779E">
        <w:rPr>
          <w:rFonts w:ascii="Times New Roman" w:hAnsi="Times New Roman"/>
          <w:color w:val="000000" w:themeColor="text1"/>
          <w:sz w:val="16"/>
          <w:szCs w:val="16"/>
          <w:u w:color="002060"/>
        </w:rPr>
        <w:t>26 сентября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Постановление СНК СССР № 208сс о мобилизационной военно-санитарной подготовке СССР (ГА РФ. Ф. Р?8418. Оп</w:t>
      </w:r>
      <w:r w:rsidRPr="005E779E">
        <w:rPr>
          <w:rFonts w:ascii="Times New Roman" w:hAnsi="Times New Roman"/>
          <w:color w:val="000000" w:themeColor="text1"/>
          <w:sz w:val="16"/>
          <w:szCs w:val="16"/>
          <w:u w:color="002060"/>
          <w:lang w:val="en-US"/>
        </w:rPr>
        <w:t xml:space="preserve">. 28. </w:t>
      </w:r>
      <w:r w:rsidRPr="005E779E">
        <w:rPr>
          <w:rFonts w:ascii="Times New Roman" w:hAnsi="Times New Roman"/>
          <w:color w:val="000000" w:themeColor="text1"/>
          <w:sz w:val="16"/>
          <w:szCs w:val="16"/>
          <w:u w:color="002060"/>
        </w:rPr>
        <w:t>Д</w:t>
      </w:r>
      <w:r w:rsidRPr="005E779E">
        <w:rPr>
          <w:rFonts w:ascii="Times New Roman" w:hAnsi="Times New Roman"/>
          <w:color w:val="000000" w:themeColor="text1"/>
          <w:sz w:val="16"/>
          <w:szCs w:val="16"/>
          <w:u w:color="002060"/>
          <w:lang w:val="en-US"/>
        </w:rPr>
        <w:t>. 14</w:t>
      </w:r>
      <w:r w:rsidRPr="005E779E">
        <w:rPr>
          <w:rFonts w:ascii="Times New Roman" w:hAnsi="Times New Roman"/>
          <w:color w:val="000000" w:themeColor="text1"/>
          <w:sz w:val="16"/>
          <w:szCs w:val="16"/>
          <w:u w:color="002060"/>
        </w:rPr>
        <w:t>а</w:t>
      </w:r>
      <w:r w:rsidRPr="005E779E">
        <w:rPr>
          <w:rFonts w:ascii="Times New Roman" w:hAnsi="Times New Roman"/>
          <w:color w:val="000000" w:themeColor="text1"/>
          <w:sz w:val="16"/>
          <w:szCs w:val="16"/>
          <w:u w:color="002060"/>
          <w:lang w:val="en-US"/>
        </w:rPr>
        <w:t xml:space="preserve">. </w:t>
      </w:r>
      <w:r w:rsidRPr="005E779E">
        <w:rPr>
          <w:rFonts w:ascii="Times New Roman" w:hAnsi="Times New Roman"/>
          <w:color w:val="000000" w:themeColor="text1"/>
          <w:sz w:val="16"/>
          <w:szCs w:val="16"/>
          <w:u w:color="002060"/>
        </w:rPr>
        <w:t>Л</w:t>
      </w:r>
      <w:r w:rsidRPr="005E779E">
        <w:rPr>
          <w:rFonts w:ascii="Times New Roman" w:hAnsi="Times New Roman"/>
          <w:color w:val="000000" w:themeColor="text1"/>
          <w:sz w:val="16"/>
          <w:szCs w:val="16"/>
          <w:u w:color="002060"/>
          <w:lang w:val="en-US"/>
        </w:rPr>
        <w:t>. 6?66) (12415).</w:t>
      </w:r>
    </w:p>
    <w:p w14:paraId="1F067F74" w14:textId="77777777" w:rsidR="003E28CB" w:rsidRPr="005E779E" w:rsidRDefault="003E28CB" w:rsidP="000B7A6C">
      <w:pPr>
        <w:spacing w:after="0" w:line="240" w:lineRule="auto"/>
        <w:jc w:val="both"/>
        <w:rPr>
          <w:rFonts w:ascii="Times New Roman" w:hAnsi="Times New Roman"/>
          <w:color w:val="000000" w:themeColor="text1"/>
          <w:sz w:val="16"/>
          <w:szCs w:val="16"/>
          <w:u w:color="002060"/>
          <w:lang w:val="en-US"/>
        </w:rPr>
      </w:pPr>
    </w:p>
    <w:p w14:paraId="575444C1"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lang w:val="en-US"/>
        </w:rPr>
      </w:pPr>
      <w:r w:rsidRPr="005E779E">
        <w:rPr>
          <w:rFonts w:ascii="Times New Roman" w:hAnsi="Times New Roman"/>
          <w:i/>
          <w:iCs/>
          <w:color w:val="000000" w:themeColor="text1"/>
          <w:sz w:val="16"/>
          <w:szCs w:val="16"/>
        </w:rPr>
        <w:t>Зарубежом</w:t>
      </w:r>
      <w:r w:rsidRPr="005E779E">
        <w:rPr>
          <w:rFonts w:ascii="Times New Roman" w:hAnsi="Times New Roman"/>
          <w:i/>
          <w:iCs/>
          <w:color w:val="000000" w:themeColor="text1"/>
          <w:sz w:val="16"/>
          <w:szCs w:val="16"/>
          <w:lang w:val="en-US"/>
        </w:rPr>
        <w:t>:</w:t>
      </w:r>
    </w:p>
    <w:p w14:paraId="56DE821E"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3132A9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lang w:val="en-US"/>
        </w:rPr>
        <w:t>September 26, 1931 The keel for Ranger, first ship of the U.S. Navy to be designed and constructed as a carrier, was laid at the Newport News Shipbuilding and Drydock Company (1090).</w:t>
      </w:r>
    </w:p>
    <w:p w14:paraId="7F9287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p w14:paraId="336663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 сентября 1931 был заложен первый корабль США, специально строящийся как авианосец - Ranger (1090).</w:t>
      </w:r>
    </w:p>
    <w:p w14:paraId="7A02BE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6476891"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0C836BCE"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8CB6B3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сентября 1931 Зам. Директора ЦАГИ Петренко и Зам. Зав. ОТО Александров писали ПРЕДСЕДАТЕЛЮ РЕВВОЕНСОВЕТА рапорт.</w:t>
      </w:r>
    </w:p>
    <w:p w14:paraId="1EDE063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Доношу, что согласно постановления Реввоенсовета от 13-го октября, журнал № 20 ЦАГИ было поручено произвести исследова</w:t>
      </w:r>
      <w:r w:rsidRPr="005E779E">
        <w:rPr>
          <w:rFonts w:ascii="Times New Roman" w:hAnsi="Times New Roman"/>
          <w:color w:val="000000" w:themeColor="text1"/>
          <w:sz w:val="16"/>
          <w:szCs w:val="16"/>
        </w:rPr>
        <w:softHyphen/>
        <w:t>ние самолета И-5 на предмет его способности выходить из плоского штопора.</w:t>
      </w:r>
    </w:p>
    <w:p w14:paraId="46A1138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виду того, что ЦАГИ только что приступает к исследова</w:t>
      </w:r>
      <w:r w:rsidRPr="005E779E">
        <w:rPr>
          <w:rFonts w:ascii="Times New Roman" w:hAnsi="Times New Roman"/>
          <w:color w:val="000000" w:themeColor="text1"/>
          <w:sz w:val="16"/>
          <w:szCs w:val="16"/>
        </w:rPr>
        <w:softHyphen/>
        <w:t>нию штопора в свободном полете и поэтому не имеет еще доетаточного в этом отношении опыта, исследование это над машиной И-5 может быть проведено без полной гарантии изжить недостатки этой машины. Все же намеченные опыты дают некоторую уверенность в успехе.</w:t>
      </w:r>
    </w:p>
    <w:p w14:paraId="2C7791B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 предполагает провести следующие исследования:</w:t>
      </w:r>
    </w:p>
    <w:p w14:paraId="021EDC2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I. Испытание в воздухе самолета И-5, оборудованного прибо</w:t>
      </w:r>
      <w:r w:rsidRPr="005E779E">
        <w:rPr>
          <w:rFonts w:ascii="Times New Roman" w:hAnsi="Times New Roman"/>
          <w:color w:val="000000" w:themeColor="text1"/>
          <w:sz w:val="16"/>
          <w:szCs w:val="16"/>
        </w:rPr>
        <w:softHyphen/>
        <w:t>рами» позволяющими найти основные необходимые элементы штопора.</w:t>
      </w:r>
    </w:p>
    <w:p w14:paraId="74EF70A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Испытание модели самолета И-5 в аэродинамической трубе для определения недостающих по п. 1 элементов, которые в настоя</w:t>
      </w:r>
      <w:r w:rsidRPr="005E779E">
        <w:rPr>
          <w:rFonts w:ascii="Times New Roman" w:hAnsi="Times New Roman"/>
          <w:color w:val="000000" w:themeColor="text1"/>
          <w:sz w:val="16"/>
          <w:szCs w:val="16"/>
        </w:rPr>
        <w:softHyphen/>
        <w:t>щее время не представляется возможным найти в свободном полете.</w:t>
      </w:r>
    </w:p>
    <w:p w14:paraId="20C14C8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Произвести на основе проведенных экспериментов п.п. 1 и 2 приближенный теоретический расчет штопора и наметить, если это представится возможным, конструктивные изменения машины.</w:t>
      </w:r>
    </w:p>
    <w:p w14:paraId="32A2894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После соответствующих переделок машины на заводе сно</w:t>
      </w:r>
      <w:r w:rsidRPr="005E779E">
        <w:rPr>
          <w:rFonts w:ascii="Times New Roman" w:hAnsi="Times New Roman"/>
          <w:color w:val="000000" w:themeColor="text1"/>
          <w:sz w:val="16"/>
          <w:szCs w:val="16"/>
        </w:rPr>
        <w:softHyphen/>
        <w:t>ва произвести испытание.</w:t>
      </w:r>
    </w:p>
    <w:p w14:paraId="20792A4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произведения указанных работ требуется:</w:t>
      </w:r>
    </w:p>
    <w:p w14:paraId="6357DC8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I. Получить в распоряжение ЦАГИ один самолет И-5.</w:t>
      </w:r>
    </w:p>
    <w:p w14:paraId="3CB5099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Срочно получить из-заграницы несколько необходимых для произведения исследования приборов, согласно прилагаемой описи</w:t>
      </w:r>
    </w:p>
    <w:p w14:paraId="083E46D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Дать распоряжение ГВАО о предоставлении ЦАГИ тех необходимых материалов по самолету И-5, кои потребуется в процессе произведения работы.</w:t>
      </w:r>
    </w:p>
    <w:p w14:paraId="5831780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Что касается сроков выполнения, то ориентировочно они вы</w:t>
      </w:r>
      <w:r w:rsidRPr="005E779E">
        <w:rPr>
          <w:rFonts w:ascii="Times New Roman" w:hAnsi="Times New Roman"/>
          <w:color w:val="000000" w:themeColor="text1"/>
          <w:sz w:val="16"/>
          <w:szCs w:val="16"/>
        </w:rPr>
        <w:softHyphen/>
        <w:t>ражаются следующим образом:</w:t>
      </w:r>
    </w:p>
    <w:p w14:paraId="7CD6AC6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I. Оборудование и подготовка самолета, а также и теорети</w:t>
      </w:r>
      <w:r w:rsidRPr="005E779E">
        <w:rPr>
          <w:rFonts w:ascii="Times New Roman" w:hAnsi="Times New Roman"/>
          <w:color w:val="000000" w:themeColor="text1"/>
          <w:sz w:val="16"/>
          <w:szCs w:val="16"/>
        </w:rPr>
        <w:softHyphen/>
        <w:t>ческая проработка вопроса - 3 декады</w:t>
      </w:r>
    </w:p>
    <w:p w14:paraId="52A037D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Произведение исследований в воздухе - I декада Через 4 декады должны быть готовы исследования самолета в трубе.</w:t>
      </w:r>
    </w:p>
    <w:p w14:paraId="678C1AA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3. Обработка всех результатов опытов и вывод, заключения - I декада</w:t>
      </w:r>
    </w:p>
    <w:p w14:paraId="04E8A00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Переделки машины около I декады</w:t>
      </w:r>
    </w:p>
    <w:p w14:paraId="6B4F774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Контрольные испытания и заключения I и 1/2 декады</w:t>
      </w:r>
    </w:p>
    <w:p w14:paraId="629F664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 около 7 1/2 декад</w:t>
      </w:r>
    </w:p>
    <w:p w14:paraId="1823DEA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Сроки должны считаться с момента полупения машины и приборов.</w:t>
      </w:r>
    </w:p>
    <w:p w14:paraId="3321883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ПРИЛОЖЕНИЕ: приборы, подлежащие выписке из-за границы</w:t>
      </w:r>
    </w:p>
    <w:p w14:paraId="287417E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C6A6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сентября 1931 года. Зам. начальник ВАО Баранов, начальник ПТОЭС Петрожицкий писали:</w:t>
      </w:r>
    </w:p>
    <w:p w14:paraId="47EBA0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самолетным заводам.</w:t>
      </w:r>
    </w:p>
    <w:p w14:paraId="3584C6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N 21 - Расчетной единицей для проектирования принять самолет И5; перепроектировку с мощности 2400 на мощность 3500 можно произвести в 1933 году.</w:t>
      </w:r>
    </w:p>
    <w:p w14:paraId="41B8F6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Завод N 1 - Проектировать под 5000 самолетов Р5 с возможностью замены на сварную конструкцию Р8.</w:t>
      </w:r>
    </w:p>
    <w:p w14:paraId="6FCA0E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Завод N 31 - перепроектировать на мощность в 2400 сухопутных самолетов разведывательного типа Р5 или Р8, с возможностью постановки производства сварных конструкций; под это задание перепроектируется новый корпус; в старом корпусе из объема этого задания предусмотреть возможность производства морских самолетов типа.... или МБР3 в количестве 300-400 штук. Дальнейшее расширение под 3500 шт. предусматривает изготовление в том же порядке 3000 сухопутных разведчиков и 500 морских указанного выше типа. Окончательное решение об объеме работ принять, произведя предварительно исследование возможностей существующих корпусов, как старых, так и новых. Т.к. для завода N 31 заказано уже оборудование для дюралевого производства, - могущее оказаться излишним - необходимо вопрос об исследовании варианта наивыгоднейшего использования завода N 31 определить в течение IV квартала 31 года, что поручается Авиастрою привлечением самолетного сектора, руководствуясь указаниями изложенными выше.</w:t>
      </w:r>
    </w:p>
    <w:p w14:paraId="359ADD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Завод ХАЗ - Перепроектировку завода ХАЗ на изготовление 1000 машин типа 2-х местных истребителей Ди6 и ДИ7 произвести в 1933 г.</w:t>
      </w:r>
    </w:p>
    <w:p w14:paraId="1128B1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Завод 01 - штурмовиков с плана строительства снять.</w:t>
      </w:r>
    </w:p>
    <w:p w14:paraId="613270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Завод N 16 - должен быть перепроектирован на мощность в 1600 легких типа ЛБШ и 200 тяжелых типа ТШ2-ТШ3 в этой программе надлежит перепроектировать завод, использовав запроектированные площади.</w:t>
      </w:r>
    </w:p>
    <w:p w14:paraId="672445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Завод N 23 - проектная мощность 1000 учебных типа У2; с 1935 года переходить на производство авиэток и должен будет обладать мощностью в 3000 шт., поэтому перепроектировать его надлежит в 1933 году.</w:t>
      </w:r>
    </w:p>
    <w:p w14:paraId="757F28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Завод 02 - Проектировать на мощность 4000 учебных У2 и 4000 авиэток - строительство завода начать в 1933 году.</w:t>
      </w:r>
    </w:p>
    <w:p w14:paraId="2A46EC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Завод морских самолетов - проектировать на мощность 400 МБР3, МДР3 и 150 МТБ3. Постройку завода произвести в 1932 году, с окончанием в 1933 году, из мощности первой очереди 500 и 2-й 700 самолетов7</w:t>
      </w:r>
    </w:p>
    <w:p w14:paraId="7DDD6B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Завод N 22 - проектируется под окончательное задание в 600 МИ3 и 350 ТБ3, что в эквиваленте к ТБ1, под которые проектировался завод N 22 - дает 1500 шт.</w:t>
      </w:r>
    </w:p>
    <w:p w14:paraId="3277D2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Завод N 18 - запроектированный на 1500 ТБ3 - остается без изменения.</w:t>
      </w:r>
    </w:p>
    <w:p w14:paraId="39CC2F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Завод N 04 - проектируется под 600 стальных К7 и 200 к14; строится завод начинает в 1933 году.</w:t>
      </w:r>
    </w:p>
    <w:p w14:paraId="694A76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Завод N 05 - специальный должен быть построен в 1932 году; завод должен иметь возможность производить разнообразные типы для войсковых серий, а также и мелкие серии, до 100 штук каждая специальных машин; при чем завод должен производить машины как деревянные и сварные, так и металлические дюралевые и стальные. Мощность завода запроектировать следующим образом:</w:t>
      </w:r>
    </w:p>
    <w:p w14:paraId="68A6FF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 тяжелых металлических (типа ТБ4-ТБ6).</w:t>
      </w:r>
    </w:p>
    <w:p w14:paraId="69B0BF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 пушечных (типа N 7 завода N 39).</w:t>
      </w:r>
    </w:p>
    <w:p w14:paraId="3CBD00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 амфибий (типа МДР3).</w:t>
      </w:r>
    </w:p>
    <w:p w14:paraId="39CD48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 скоростных разведчиков (типа Р-10).</w:t>
      </w:r>
    </w:p>
    <w:p w14:paraId="13640D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90 - 3-х типов для войсковых серий - расчетный тип.</w:t>
      </w:r>
    </w:p>
    <w:p w14:paraId="00568E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Разведчик типа Р5-Р8.</w:t>
      </w:r>
    </w:p>
    <w:p w14:paraId="139D4E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свертяжелых типа СТБ.</w:t>
      </w:r>
    </w:p>
    <w:p w14:paraId="14C91A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должен быть расположен в Переяславле, т.к. там же предполагается расположить завод нефтяных моторов и вывести туда опытные организации из Москвы - проект надо делать таким образом, чтобы организовать общие хозяйства и поселок, поэтому общий план надо будет разработать в целом.</w:t>
      </w:r>
    </w:p>
    <w:p w14:paraId="021042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моторным заводам.</w:t>
      </w:r>
    </w:p>
    <w:p w14:paraId="44C6BB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Завод N 24 - перепроектировать на мощность 15000 штук; завод расширяется двумя очередями - к 1.I.33 года 10000 штук и к 1.I-34 г. 15000 штук. завод проектируется из расчета 80% моторов М34 и 20% моторов ФЭД.</w:t>
      </w:r>
    </w:p>
    <w:p w14:paraId="170588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Завод N 26 - перепроектировать на мощность 10000 моторов М17 или М34 согласно наших указаний, данных в письме N 375/56 от 10/IX.</w:t>
      </w:r>
    </w:p>
    <w:p w14:paraId="4A4B1E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Завод N 010 - проектировать на мощность 10000 моторов М32 или Кертис-Конкверер. Постройка завода начинается в 1933 году.</w:t>
      </w:r>
    </w:p>
    <w:p w14:paraId="3EED8C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Завод N 29 - перепроектировать на мощность..000 моторов М11 к 1.I-34 года; до этого года завод производит моторы М22 и М11 в количествах, указанных выше.</w:t>
      </w:r>
    </w:p>
    <w:p w14:paraId="3A3FDB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Завод N 19 - перепроектировать на мощность 6000 моторов М22 с окончанием постройки и оборудования в 1933 году и частичным пуском в производство в середине 1932 года.</w:t>
      </w:r>
    </w:p>
    <w:p w14:paraId="3EE527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Завод N 030 - проектировать под 10000 моторов воздушного охлаждения, из которых 5000 Циклон и 5000 Райт-Ж6. Постройку первой очереди завода произвести в 1932 году и окончить в 1933 году.</w:t>
      </w:r>
    </w:p>
    <w:p w14:paraId="782A5F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Завод N 040 - проектировать под 10000 маломощных моторов - рассчитанный тип 3-х цилиндровый - завод должен иметь возможность производить 3-х, 5-ти и 7-ми цилиндровые моторы; строить завод 2-мя очередями, под мощность, указанную в таблице.</w:t>
      </w:r>
    </w:p>
    <w:p w14:paraId="0CA73B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Завод N 050 - нефтяных двигателей является заводом экспериментальным и должен иметь возможность производить в одной мастерской мелкие серии 4-х типов всего в количестве 500 штук различных моторов и в другой мастерской 1000 штук одного типа, который может быть звездообразным или рядной конструкции. Завод этот все детали производит целиком у себя и не находится в кооперации с другими заводами ВАО.</w:t>
      </w:r>
    </w:p>
    <w:p w14:paraId="06AE5A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Завод N 020 - танковых моторов проектировать под 10000 моторов Кертисс-Конкерер, причем на этом заводе должно будет разместить производство сцеплений, передачи, а также возможно и редукторов для всех прочих моторов.</w:t>
      </w:r>
    </w:p>
    <w:p w14:paraId="69E311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Примечание: Все указанные выше типы являются расчетными для проектирования.</w:t>
      </w:r>
    </w:p>
    <w:p w14:paraId="471259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 очередности проектирования Вам сообщалось в предыдущем письме за N 75/58 от 10/IX.</w:t>
      </w:r>
    </w:p>
    <w:p w14:paraId="261074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вопросу о кооперировании основных заводов с подсобными Вам будет сообщено дополнительно одновременно с заданиями на проектирование подсобных заводов.</w:t>
      </w:r>
    </w:p>
    <w:p w14:paraId="6058BE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 дополнительные данные для проектировки Вам надлежит получать в соответствующих секторах (2229,305).</w:t>
      </w:r>
    </w:p>
    <w:p w14:paraId="478A80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763E1CA" w14:textId="77777777" w:rsidR="001D6FA0" w:rsidRPr="005E779E" w:rsidRDefault="001D6FA0"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3DD9D900" w14:textId="77777777" w:rsidR="001D6FA0" w:rsidRPr="005E779E" w:rsidRDefault="001D6FA0"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966ADF0" w14:textId="77777777" w:rsidR="001D6FA0" w:rsidRPr="005E779E" w:rsidRDefault="001D6FA0"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27 сентября 1931 г.</w:t>
      </w:r>
    </w:p>
    <w:p w14:paraId="232BC155" w14:textId="77777777" w:rsidR="001D6FA0" w:rsidRPr="005E779E" w:rsidRDefault="001D6FA0"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О выдаче «единовременного пособия» специалистам, работающим в ОКБ № 11. 27 сентября 1931 г.</w:t>
      </w:r>
    </w:p>
    <w:p w14:paraId="60A497FE" w14:textId="77777777" w:rsidR="001D6FA0" w:rsidRPr="005E779E" w:rsidRDefault="001D6FA0"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Источник: </w:t>
      </w:r>
    </w:p>
    <w:p w14:paraId="2567DB5E" w14:textId="77777777" w:rsidR="001D6FA0" w:rsidRPr="005E779E" w:rsidRDefault="001D6FA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C5774CD" w14:textId="77777777" w:rsidR="001D6FA0" w:rsidRPr="005E779E" w:rsidRDefault="001D6FA0"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Архив: </w:t>
      </w:r>
    </w:p>
    <w:p w14:paraId="6228932B" w14:textId="77777777" w:rsidR="001D6FA0" w:rsidRPr="005E779E" w:rsidRDefault="001D6FA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РГАЭ. Ф. 38. Oп. 1. Д. 2. Л. 86</w:t>
      </w:r>
    </w:p>
    <w:p w14:paraId="49A2C963" w14:textId="77777777" w:rsidR="001D6FA0" w:rsidRPr="005E779E" w:rsidRDefault="001D6FA0" w:rsidP="000B7A6C">
      <w:pPr>
        <w:pStyle w:val="rteright"/>
        <w:spacing w:before="0" w:after="0"/>
        <w:jc w:val="both"/>
        <w:rPr>
          <w:color w:val="000000" w:themeColor="text1"/>
          <w:sz w:val="16"/>
          <w:szCs w:val="16"/>
        </w:rPr>
      </w:pPr>
      <w:r w:rsidRPr="005E779E">
        <w:rPr>
          <w:color w:val="000000" w:themeColor="text1"/>
          <w:sz w:val="16"/>
          <w:szCs w:val="16"/>
        </w:rPr>
        <w:t>27 сентября 1931 г.</w:t>
      </w:r>
    </w:p>
    <w:p w14:paraId="0514C2F8" w14:textId="77777777" w:rsidR="001D6FA0" w:rsidRPr="005E779E" w:rsidRDefault="001D6FA0" w:rsidP="000B7A6C">
      <w:pPr>
        <w:pStyle w:val="rtecenter"/>
        <w:spacing w:before="0" w:after="0"/>
        <w:jc w:val="both"/>
        <w:rPr>
          <w:color w:val="000000" w:themeColor="text1"/>
          <w:sz w:val="16"/>
          <w:szCs w:val="16"/>
        </w:rPr>
      </w:pPr>
      <w:r w:rsidRPr="005E779E">
        <w:rPr>
          <w:color w:val="000000" w:themeColor="text1"/>
          <w:sz w:val="16"/>
          <w:szCs w:val="16"/>
        </w:rPr>
        <w:t>НАЧ. ТЕХ. ОТД. ЭКУ ОГПУ</w:t>
      </w:r>
    </w:p>
    <w:p w14:paraId="08885C12" w14:textId="77777777" w:rsidR="001D6FA0" w:rsidRPr="005E779E" w:rsidRDefault="001D6FA0" w:rsidP="000B7A6C">
      <w:pPr>
        <w:pStyle w:val="rtecenter"/>
        <w:spacing w:before="0" w:after="0"/>
        <w:jc w:val="both"/>
        <w:rPr>
          <w:color w:val="000000" w:themeColor="text1"/>
          <w:sz w:val="16"/>
          <w:szCs w:val="16"/>
        </w:rPr>
      </w:pPr>
      <w:r w:rsidRPr="005E779E">
        <w:rPr>
          <w:color w:val="000000" w:themeColor="text1"/>
          <w:sz w:val="16"/>
          <w:szCs w:val="16"/>
        </w:rPr>
        <w:t>тов. ГОРЯНОВУ</w:t>
      </w:r>
    </w:p>
    <w:p w14:paraId="7240C5F3" w14:textId="77777777" w:rsidR="001D6FA0" w:rsidRPr="005E779E" w:rsidRDefault="001D6FA0" w:rsidP="000B7A6C">
      <w:pPr>
        <w:pStyle w:val="rtecenter"/>
        <w:spacing w:before="0" w:after="0"/>
        <w:jc w:val="both"/>
        <w:rPr>
          <w:color w:val="000000" w:themeColor="text1"/>
          <w:sz w:val="16"/>
          <w:szCs w:val="16"/>
        </w:rPr>
      </w:pPr>
      <w:r w:rsidRPr="005E779E">
        <w:rPr>
          <w:color w:val="000000" w:themeColor="text1"/>
          <w:sz w:val="16"/>
          <w:szCs w:val="16"/>
        </w:rPr>
        <w:t>РАПОРТ</w:t>
      </w:r>
    </w:p>
    <w:p w14:paraId="39F6E9F2" w14:textId="77777777" w:rsidR="001D6FA0" w:rsidRPr="005E779E" w:rsidRDefault="001D6FA0" w:rsidP="000B7A6C">
      <w:pPr>
        <w:pStyle w:val="ae"/>
        <w:spacing w:before="0" w:after="0"/>
        <w:jc w:val="both"/>
        <w:rPr>
          <w:color w:val="000000" w:themeColor="text1"/>
          <w:sz w:val="16"/>
          <w:szCs w:val="16"/>
        </w:rPr>
      </w:pPr>
      <w:r w:rsidRPr="005E779E">
        <w:rPr>
          <w:color w:val="000000" w:themeColor="text1"/>
          <w:sz w:val="16"/>
          <w:szCs w:val="16"/>
        </w:rPr>
        <w:t>Прошу Вашего распоряжения о выдаче единовременного пособия осужденным, работающим в ОКБ № 11.</w:t>
      </w:r>
    </w:p>
    <w:p w14:paraId="5079CDB1" w14:textId="53BBDF4C" w:rsidR="001D6FA0" w:rsidRPr="005E779E" w:rsidRDefault="001D6FA0" w:rsidP="000B7A6C">
      <w:pPr>
        <w:pStyle w:val="ae"/>
        <w:spacing w:before="0" w:after="0"/>
        <w:jc w:val="both"/>
        <w:rPr>
          <w:color w:val="000000" w:themeColor="text1"/>
          <w:sz w:val="16"/>
          <w:szCs w:val="16"/>
        </w:rPr>
      </w:pPr>
      <w:r w:rsidRPr="005E779E">
        <w:rPr>
          <w:color w:val="000000" w:themeColor="text1"/>
          <w:sz w:val="16"/>
          <w:szCs w:val="16"/>
        </w:rPr>
        <w:t>1.</w:t>
      </w:r>
      <w:r w:rsidR="00FE094E">
        <w:rPr>
          <w:color w:val="000000" w:themeColor="text1"/>
          <w:sz w:val="16"/>
          <w:szCs w:val="16"/>
        </w:rPr>
        <w:t xml:space="preserve">  </w:t>
      </w:r>
      <w:r w:rsidRPr="005E779E">
        <w:rPr>
          <w:color w:val="000000" w:themeColor="text1"/>
          <w:sz w:val="16"/>
          <w:szCs w:val="16"/>
        </w:rPr>
        <w:t>РЕВОКАТОВУ............................... 200 руб.</w:t>
      </w:r>
    </w:p>
    <w:p w14:paraId="6BD4E4E7" w14:textId="5720D78B" w:rsidR="001D6FA0" w:rsidRPr="005E779E" w:rsidRDefault="001D6FA0" w:rsidP="000B7A6C">
      <w:pPr>
        <w:pStyle w:val="ae"/>
        <w:spacing w:before="0" w:after="0"/>
        <w:jc w:val="both"/>
        <w:rPr>
          <w:color w:val="000000" w:themeColor="text1"/>
          <w:sz w:val="16"/>
          <w:szCs w:val="16"/>
        </w:rPr>
      </w:pPr>
      <w:r w:rsidRPr="005E779E">
        <w:rPr>
          <w:color w:val="000000" w:themeColor="text1"/>
          <w:sz w:val="16"/>
          <w:szCs w:val="16"/>
        </w:rPr>
        <w:t>2.</w:t>
      </w:r>
      <w:r w:rsidR="00FE094E">
        <w:rPr>
          <w:color w:val="000000" w:themeColor="text1"/>
          <w:sz w:val="16"/>
          <w:szCs w:val="16"/>
        </w:rPr>
        <w:t xml:space="preserve">  </w:t>
      </w:r>
      <w:r w:rsidRPr="005E779E">
        <w:rPr>
          <w:color w:val="000000" w:themeColor="text1"/>
          <w:sz w:val="16"/>
          <w:szCs w:val="16"/>
        </w:rPr>
        <w:t xml:space="preserve"> НОВИ........................................... 200 -/-</w:t>
      </w:r>
    </w:p>
    <w:p w14:paraId="615E5772" w14:textId="6689CEEC" w:rsidR="001D6FA0" w:rsidRPr="005E779E" w:rsidRDefault="001D6FA0" w:rsidP="000B7A6C">
      <w:pPr>
        <w:pStyle w:val="ae"/>
        <w:spacing w:before="0" w:after="0"/>
        <w:jc w:val="both"/>
        <w:rPr>
          <w:color w:val="000000" w:themeColor="text1"/>
          <w:sz w:val="16"/>
          <w:szCs w:val="16"/>
        </w:rPr>
      </w:pPr>
      <w:r w:rsidRPr="005E779E">
        <w:rPr>
          <w:color w:val="000000" w:themeColor="text1"/>
          <w:sz w:val="16"/>
          <w:szCs w:val="16"/>
        </w:rPr>
        <w:t>3.</w:t>
      </w:r>
      <w:r w:rsidR="00FE094E">
        <w:rPr>
          <w:color w:val="000000" w:themeColor="text1"/>
          <w:sz w:val="16"/>
          <w:szCs w:val="16"/>
        </w:rPr>
        <w:t xml:space="preserve">  </w:t>
      </w:r>
      <w:r w:rsidRPr="005E779E">
        <w:rPr>
          <w:color w:val="000000" w:themeColor="text1"/>
          <w:sz w:val="16"/>
          <w:szCs w:val="16"/>
        </w:rPr>
        <w:t>БУЛАШЕВИЧУ.............................. 200 -/-</w:t>
      </w:r>
    </w:p>
    <w:p w14:paraId="7B4D8F0C" w14:textId="3E2167C4" w:rsidR="001D6FA0" w:rsidRPr="005E779E" w:rsidRDefault="001D6FA0" w:rsidP="000B7A6C">
      <w:pPr>
        <w:pStyle w:val="ae"/>
        <w:spacing w:before="0" w:after="0"/>
        <w:jc w:val="both"/>
        <w:rPr>
          <w:color w:val="000000" w:themeColor="text1"/>
          <w:sz w:val="16"/>
          <w:szCs w:val="16"/>
        </w:rPr>
      </w:pPr>
      <w:r w:rsidRPr="005E779E">
        <w:rPr>
          <w:color w:val="000000" w:themeColor="text1"/>
          <w:sz w:val="16"/>
          <w:szCs w:val="16"/>
        </w:rPr>
        <w:t>4.</w:t>
      </w:r>
      <w:r w:rsidR="00FE094E">
        <w:rPr>
          <w:color w:val="000000" w:themeColor="text1"/>
          <w:sz w:val="16"/>
          <w:szCs w:val="16"/>
        </w:rPr>
        <w:t xml:space="preserve">  </w:t>
      </w:r>
      <w:r w:rsidRPr="005E779E">
        <w:rPr>
          <w:color w:val="000000" w:themeColor="text1"/>
          <w:sz w:val="16"/>
          <w:szCs w:val="16"/>
        </w:rPr>
        <w:t>ПРАСОЛОВУ................................. 200 -/-</w:t>
      </w:r>
    </w:p>
    <w:p w14:paraId="6975A902" w14:textId="47452503" w:rsidR="001D6FA0" w:rsidRPr="005E779E" w:rsidRDefault="001D6FA0" w:rsidP="000B7A6C">
      <w:pPr>
        <w:pStyle w:val="ae"/>
        <w:spacing w:before="0" w:after="0"/>
        <w:jc w:val="both"/>
        <w:rPr>
          <w:color w:val="000000" w:themeColor="text1"/>
          <w:sz w:val="16"/>
          <w:szCs w:val="16"/>
        </w:rPr>
      </w:pPr>
      <w:r w:rsidRPr="005E779E">
        <w:rPr>
          <w:color w:val="000000" w:themeColor="text1"/>
          <w:sz w:val="16"/>
          <w:szCs w:val="16"/>
        </w:rPr>
        <w:t>5.</w:t>
      </w:r>
      <w:r w:rsidR="00FE094E">
        <w:rPr>
          <w:color w:val="000000" w:themeColor="text1"/>
          <w:sz w:val="16"/>
          <w:szCs w:val="16"/>
        </w:rPr>
        <w:t xml:space="preserve">  </w:t>
      </w:r>
      <w:r w:rsidRPr="005E779E">
        <w:rPr>
          <w:color w:val="000000" w:themeColor="text1"/>
          <w:sz w:val="16"/>
          <w:szCs w:val="16"/>
        </w:rPr>
        <w:t>ИВАНИЦКОМУ..............................150 -/-</w:t>
      </w:r>
    </w:p>
    <w:p w14:paraId="61E1900F" w14:textId="2E3C4C3D" w:rsidR="001D6FA0" w:rsidRPr="005E779E" w:rsidRDefault="001D6FA0" w:rsidP="000B7A6C">
      <w:pPr>
        <w:pStyle w:val="ae"/>
        <w:spacing w:before="0" w:after="0"/>
        <w:jc w:val="both"/>
        <w:rPr>
          <w:color w:val="000000" w:themeColor="text1"/>
          <w:sz w:val="16"/>
          <w:szCs w:val="16"/>
        </w:rPr>
      </w:pPr>
      <w:r w:rsidRPr="005E779E">
        <w:rPr>
          <w:color w:val="000000" w:themeColor="text1"/>
          <w:sz w:val="16"/>
          <w:szCs w:val="16"/>
        </w:rPr>
        <w:t>6.</w:t>
      </w:r>
      <w:r w:rsidR="00FE094E">
        <w:rPr>
          <w:color w:val="000000" w:themeColor="text1"/>
          <w:sz w:val="16"/>
          <w:szCs w:val="16"/>
        </w:rPr>
        <w:t xml:space="preserve">  </w:t>
      </w:r>
      <w:r w:rsidRPr="005E779E">
        <w:rPr>
          <w:color w:val="000000" w:themeColor="text1"/>
          <w:sz w:val="16"/>
          <w:szCs w:val="16"/>
        </w:rPr>
        <w:t>УСЕНКО........................................ 200 -/-</w:t>
      </w:r>
    </w:p>
    <w:p w14:paraId="25608397" w14:textId="77777777" w:rsidR="001D6FA0" w:rsidRPr="005E779E" w:rsidRDefault="001D6FA0" w:rsidP="000B7A6C">
      <w:pPr>
        <w:pStyle w:val="ae"/>
        <w:spacing w:before="0" w:after="0"/>
        <w:jc w:val="both"/>
        <w:rPr>
          <w:color w:val="000000" w:themeColor="text1"/>
          <w:sz w:val="16"/>
          <w:szCs w:val="16"/>
        </w:rPr>
      </w:pPr>
      <w:r w:rsidRPr="005E779E">
        <w:rPr>
          <w:color w:val="000000" w:themeColor="text1"/>
          <w:sz w:val="16"/>
          <w:szCs w:val="16"/>
        </w:rPr>
        <w:t>Всего 1.150 руб.</w:t>
      </w:r>
    </w:p>
    <w:p w14:paraId="02A5002A" w14:textId="77777777" w:rsidR="001D6FA0" w:rsidRPr="005E779E" w:rsidRDefault="001D6FA0" w:rsidP="000B7A6C">
      <w:pPr>
        <w:pStyle w:val="ae"/>
        <w:spacing w:before="0" w:after="0"/>
        <w:jc w:val="both"/>
        <w:rPr>
          <w:color w:val="000000" w:themeColor="text1"/>
          <w:sz w:val="16"/>
          <w:szCs w:val="16"/>
        </w:rPr>
      </w:pPr>
      <w:r w:rsidRPr="005E779E">
        <w:rPr>
          <w:color w:val="000000" w:themeColor="text1"/>
          <w:sz w:val="16"/>
          <w:szCs w:val="16"/>
        </w:rPr>
        <w:lastRenderedPageBreak/>
        <w:t>НАЧ. ОКБ № (Наумин) «27» сентября 31 г.</w:t>
      </w:r>
    </w:p>
    <w:p w14:paraId="0F04099A" w14:textId="77777777" w:rsidR="001D6FA0" w:rsidRPr="005E779E" w:rsidRDefault="001D6FA0" w:rsidP="000B7A6C">
      <w:pPr>
        <w:pStyle w:val="ae"/>
        <w:spacing w:before="0" w:after="0"/>
        <w:jc w:val="both"/>
        <w:rPr>
          <w:color w:val="000000" w:themeColor="text1"/>
          <w:sz w:val="16"/>
          <w:szCs w:val="16"/>
        </w:rPr>
      </w:pPr>
      <w:r w:rsidRPr="005E779E">
        <w:rPr>
          <w:rStyle w:val="af0"/>
          <w:i w:val="0"/>
          <w:color w:val="000000" w:themeColor="text1"/>
          <w:sz w:val="16"/>
          <w:szCs w:val="16"/>
        </w:rPr>
        <w:t>РГАЭ. Ф. 38. Oп. 1. Д. 2. Л. 86. Машинописная копия того времени. Вверху справа написано карандашом «Копия». Рукописная помета тем же почерком на правом поле «Выдано было 30/IX 31» (подпись-росчерк, неразборчиво). Число в дате вписано от руки. Вверху слева также от руки написано «27/IХ» (19075).</w:t>
      </w:r>
    </w:p>
    <w:p w14:paraId="28F11138" w14:textId="77777777" w:rsidR="001D6FA0" w:rsidRPr="005E779E" w:rsidRDefault="001D6FA0" w:rsidP="000B7A6C">
      <w:pPr>
        <w:spacing w:after="0" w:line="240" w:lineRule="auto"/>
        <w:jc w:val="both"/>
        <w:rPr>
          <w:rFonts w:ascii="Times New Roman" w:hAnsi="Times New Roman"/>
          <w:color w:val="000000" w:themeColor="text1"/>
          <w:sz w:val="16"/>
          <w:szCs w:val="16"/>
        </w:rPr>
      </w:pPr>
    </w:p>
    <w:p w14:paraId="432E6BA2"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66E3FAF8"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31FE3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 сентября 1931 Я.И.Алкснис обратился с докладной к Реввоенсовету и предлагал строить все И-5 под М-22 вместо М-15 (191,23).</w:t>
      </w:r>
    </w:p>
    <w:p w14:paraId="0958EC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37EC5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 сентября 1931 г. в своей докладной записке в Реввоенсовет СССР начальник УВВС Алкснис писал: "...предлагаю все самолёты И-5 строить под моторы М-22, как уже находящиеся на вооружении ВВС и качественно стоящие выше М-15, для чего моторы М-15 с программы ВВС снять и число М-22 увеличить на 272 шт." Однако ГУАП упорно пытался внедрить М-15 на И-5. Последней попыткой стал истребитель № 4372 постройки завода № 1. Он прибыл в НИИ ВВС 25 ноября 1931 г. Машина имела уже полноценное вооружение из четырёх ПВ-1. В совокупности с усилением конструкции это привело к тому, что вес пустого самолёта по сравнению с истребителем №18 возрос более чем на 100 кг и достиг 1110,6 кг (11997).</w:t>
      </w:r>
    </w:p>
    <w:p w14:paraId="216344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85930C2" w14:textId="77777777" w:rsidR="00DA639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10B086CE" w14:textId="77777777" w:rsidR="00DA6399" w:rsidRPr="005E779E" w:rsidRDefault="00DA639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F3037EB" w14:textId="77777777" w:rsidR="00DA6399" w:rsidRPr="005E779E" w:rsidRDefault="00DA6399" w:rsidP="000B7A6C">
      <w:pPr>
        <w:pStyle w:val="a3"/>
        <w:rPr>
          <w:color w:val="000000" w:themeColor="text1"/>
          <w:lang w:val="ru-RU"/>
        </w:rPr>
      </w:pPr>
      <w:r w:rsidRPr="005E779E">
        <w:rPr>
          <w:color w:val="000000" w:themeColor="text1"/>
          <w:lang w:val="ru-RU"/>
        </w:rPr>
        <w:t>28 сентября 1931 г. прика</w:t>
      </w:r>
      <w:r w:rsidRPr="005E779E">
        <w:rPr>
          <w:color w:val="000000" w:themeColor="text1"/>
          <w:lang w:val="ru-RU"/>
        </w:rPr>
        <w:softHyphen/>
        <w:t>зом по ВАТО руководство строительством всех специ</w:t>
      </w:r>
      <w:r w:rsidRPr="005E779E">
        <w:rPr>
          <w:color w:val="000000" w:themeColor="text1"/>
          <w:lang w:val="ru-RU"/>
        </w:rPr>
        <w:softHyphen/>
        <w:t>альных цехов СТЗ было возложено на начальника строительства Ананьина, проработка вопро</w:t>
      </w:r>
      <w:r w:rsidRPr="005E779E">
        <w:rPr>
          <w:color w:val="000000" w:themeColor="text1"/>
          <w:lang w:val="ru-RU"/>
        </w:rPr>
        <w:softHyphen/>
        <w:t>сов приспособления оборудования основных цехов и технологического процесса опытного цеха — на директора завода и его заместителя по спецвопросам.</w:t>
      </w:r>
    </w:p>
    <w:p w14:paraId="57DE1D38" w14:textId="77777777" w:rsidR="00DA6399" w:rsidRPr="005E779E" w:rsidRDefault="00DA6399" w:rsidP="000B7A6C">
      <w:pPr>
        <w:pStyle w:val="a3"/>
        <w:rPr>
          <w:color w:val="000000" w:themeColor="text1"/>
          <w:lang w:val="ru-RU"/>
        </w:rPr>
      </w:pPr>
      <w:r w:rsidRPr="005E779E">
        <w:rPr>
          <w:color w:val="000000" w:themeColor="text1"/>
          <w:lang w:val="ru-RU"/>
        </w:rPr>
        <w:t>Директору завода предлагалось усилить Техническое бюро 12 специалистами из НАТИ и 10 выпускниками Военно-технической ака</w:t>
      </w:r>
      <w:r w:rsidRPr="005E779E">
        <w:rPr>
          <w:color w:val="000000" w:themeColor="text1"/>
          <w:lang w:val="ru-RU"/>
        </w:rPr>
        <w:softHyphen/>
        <w:t>демии РККА. Гипровато поручалось органи</w:t>
      </w:r>
      <w:r w:rsidRPr="005E779E">
        <w:rPr>
          <w:color w:val="000000" w:themeColor="text1"/>
          <w:lang w:val="ru-RU"/>
        </w:rPr>
        <w:softHyphen/>
        <w:t>зовать консультационную работу СТЗ за счет командируемых специалистов.</w:t>
      </w:r>
    </w:p>
    <w:p w14:paraId="7F13C7EE" w14:textId="77777777" w:rsidR="00DA6399" w:rsidRPr="005E779E" w:rsidRDefault="00DA6399" w:rsidP="000B7A6C">
      <w:pPr>
        <w:pStyle w:val="a3"/>
        <w:rPr>
          <w:color w:val="000000" w:themeColor="text1"/>
          <w:lang w:val="ru-RU"/>
        </w:rPr>
      </w:pPr>
      <w:r w:rsidRPr="005E779E">
        <w:rPr>
          <w:color w:val="000000" w:themeColor="text1"/>
          <w:lang w:val="ru-RU"/>
        </w:rPr>
        <w:t>8 ноября 1931 г. директор СТЗ утвердил соображения Техбюро о привлечении на вечернюю работу инженеров с основного производства. В начале декабря Техническое бюро начало функционировать (12622).</w:t>
      </w:r>
    </w:p>
    <w:p w14:paraId="34E9E674" w14:textId="77777777" w:rsidR="00DA6399" w:rsidRPr="005E779E" w:rsidRDefault="00DA6399" w:rsidP="000B7A6C">
      <w:pPr>
        <w:pStyle w:val="152"/>
        <w:shd w:val="clear" w:color="auto" w:fill="auto"/>
        <w:spacing w:line="240" w:lineRule="auto"/>
        <w:rPr>
          <w:rFonts w:ascii="Times New Roman" w:hAnsi="Times New Roman" w:cs="Times New Roman"/>
          <w:color w:val="000000" w:themeColor="text1"/>
          <w:sz w:val="16"/>
          <w:szCs w:val="16"/>
        </w:rPr>
      </w:pPr>
    </w:p>
    <w:p w14:paraId="56F33CB7" w14:textId="77777777" w:rsidR="00C539B3" w:rsidRPr="00142305" w:rsidRDefault="00C539B3" w:rsidP="00C539B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28 сентября 1931 года, после рассмотрения проектов 16-ти тонного танка руководство УММ заключило с ВОАО договор на «разработку проекта, изготовление рабочих чертежей и постройку двух опытных образцов 16-ти тонного танка Т-28 с различными типами подвески». Общая стоимость заказа составляла 300000 рублей, срок изготовления образцов – к 1 мая 1932 года (24998).</w:t>
      </w:r>
    </w:p>
    <w:p w14:paraId="4C6D207B" w14:textId="77777777" w:rsidR="00C539B3" w:rsidRPr="00142305" w:rsidRDefault="00C539B3" w:rsidP="00C539B3">
      <w:pPr>
        <w:spacing w:after="0" w:line="240" w:lineRule="auto"/>
        <w:jc w:val="both"/>
        <w:rPr>
          <w:rFonts w:ascii="Times New Roman" w:hAnsi="Times New Roman"/>
          <w:color w:val="0070C0"/>
          <w:sz w:val="16"/>
          <w:szCs w:val="16"/>
        </w:rPr>
      </w:pPr>
    </w:p>
    <w:p w14:paraId="0C3AC6B0" w14:textId="77777777" w:rsidR="00A54CD0" w:rsidRPr="005E779E" w:rsidRDefault="00A54CD0" w:rsidP="000B7A6C">
      <w:pPr>
        <w:spacing w:after="0" w:line="240" w:lineRule="auto"/>
        <w:jc w:val="both"/>
        <w:rPr>
          <w:rFonts w:ascii="Times New Roman" w:hAnsi="Times New Roman"/>
          <w:color w:val="000000" w:themeColor="text1"/>
          <w:sz w:val="16"/>
          <w:szCs w:val="16"/>
        </w:rPr>
      </w:pPr>
      <w:r w:rsidRPr="005E779E">
        <w:rPr>
          <w:rStyle w:val="ucoz-forum-post"/>
          <w:rFonts w:ascii="Times New Roman" w:eastAsia="Times New Roman" w:hAnsi="Times New Roman"/>
          <w:bCs/>
          <w:color w:val="000000" w:themeColor="text1"/>
          <w:sz w:val="16"/>
          <w:szCs w:val="16"/>
        </w:rPr>
        <w:t xml:space="preserve">28 сентября </w:t>
      </w:r>
      <w:r w:rsidRPr="005E779E">
        <w:rPr>
          <w:rFonts w:ascii="Times New Roman" w:hAnsi="Times New Roman"/>
          <w:color w:val="000000" w:themeColor="text1"/>
          <w:sz w:val="16"/>
          <w:szCs w:val="16"/>
        </w:rPr>
        <w:t>в 1931 году на базе кожевенно-обмундировочного завода в Москве, выполнявшего заказы по снаряжению армии, была организована Первая государственная фабрика технического фильца. Ныне – Московская фабрика технического войлока «ЗАО «Горизонт». Выпускает широкий ассортимент товаров из натуральной овечьей шерсти, технические и музыкальные войлоки, товары народного потребления (14783).</w:t>
      </w:r>
    </w:p>
    <w:p w14:paraId="45E4F98C" w14:textId="77777777" w:rsidR="00A54CD0" w:rsidRPr="005E779E" w:rsidRDefault="00A54CD0" w:rsidP="000B7A6C">
      <w:pPr>
        <w:spacing w:after="0" w:line="240" w:lineRule="auto"/>
        <w:jc w:val="both"/>
        <w:rPr>
          <w:rFonts w:ascii="Times New Roman" w:hAnsi="Times New Roman"/>
          <w:color w:val="000000" w:themeColor="text1"/>
          <w:sz w:val="16"/>
          <w:szCs w:val="16"/>
        </w:rPr>
      </w:pPr>
    </w:p>
    <w:p w14:paraId="7C463EC1" w14:textId="77777777" w:rsidR="00A54CD0" w:rsidRPr="005E779E" w:rsidRDefault="00A54CD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 сентября 1929 г. И.С. Уншлихт в своем письме к В.В. Куйбышеву просил отпустить хотя бы 70 тыс. американских долларов для организации работы «по получению из-за границы агентурным путем рабочих чертежей и готовых образцов» (15719).</w:t>
      </w:r>
    </w:p>
    <w:p w14:paraId="2DE27C95" w14:textId="77777777" w:rsidR="00A54CD0" w:rsidRPr="005E779E" w:rsidRDefault="00A54CD0" w:rsidP="000B7A6C">
      <w:pPr>
        <w:spacing w:after="0" w:line="240" w:lineRule="auto"/>
        <w:jc w:val="both"/>
        <w:rPr>
          <w:rFonts w:ascii="Times New Roman" w:hAnsi="Times New Roman"/>
          <w:color w:val="000000" w:themeColor="text1"/>
          <w:sz w:val="16"/>
          <w:szCs w:val="16"/>
        </w:rPr>
      </w:pPr>
    </w:p>
    <w:p w14:paraId="64D22D61"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6E23C67D"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D82AA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 (c 11 по 23 - 1017,162) сентября 1931 в НИИ ВВС закончились испытания моноплана типа парасоль, переделанного КБ А.Н.Т. из серийного И-4 N 1514, которые проходили с 1 сентября. Улучшения ЛТХ было незначительным (346,22).</w:t>
      </w:r>
    </w:p>
    <w:p w14:paraId="48E57B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другим данным это было с 11 по 23 сентября.</w:t>
      </w:r>
    </w:p>
    <w:p w14:paraId="26BDF4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F127E21" w14:textId="77777777" w:rsidR="00E20128" w:rsidRPr="005E779E" w:rsidRDefault="00E20128"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29 сентября 1931 Политбюро приняло решение начать официальные переговоры не с Хуго Эккенером и «Люфтшифбау Цеппелин», а персонально с Умберто Нобиле, которого величали не по воинскому званию — генерал, а просто инженером.</w:t>
      </w:r>
    </w:p>
    <w:p w14:paraId="537D774D" w14:textId="77777777" w:rsidR="00E20128" w:rsidRPr="005E779E" w:rsidRDefault="00E20128"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На следующий день, 30 сентября, обе стороны окончательно согласовали условия договора. Он предусматривал два аспекта деятельности в СССР итальянского конструктора.</w:t>
      </w:r>
    </w:p>
    <w:p w14:paraId="0F56B179" w14:textId="77777777" w:rsidR="00E20128" w:rsidRPr="005E779E" w:rsidRDefault="00E20128"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«Инж. Нобиле, — фиксировал первый пункт, — берет на себя техническое руководство и ответственность за подготовку дирижабля, приспособленного к воздушной Арктической экспедиции». Пункт пятый уточнял: «В 1933 году или, в случае неготовности к этому времени дирижабля, в последующем 1934 году советским правительством будет организована в Арктику воздушная экспедиция с дирижаблем, который пробудет там не менее пяти последовательных месяцев как с целью изучения самой Арктики, так и для установления возможности применять дирижабли для обслуживания Арктики. К этому времени должна быть построена в Арктике специальная база с эллингом нормального типа». А пункт шестой добавлял: «Начальником воздушной арктической экспедиции будет назначен инженер Нобиле. Длительность, программа, маршруты и научные участники этой экспедиции будут установлены советским правительством».</w:t>
      </w:r>
    </w:p>
    <w:p w14:paraId="0BE32309" w14:textId="77777777" w:rsidR="00E20128" w:rsidRPr="005E779E" w:rsidRDefault="00E20128"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Помимо этого, соглашение предусматривало, что «инж. Нобиле берет на себя техническое руководство по проектированию и постройке остальных дирижаблей, стоящих в плане ВО ГВФ, кубатурой в 37 000, 7000 и 1000 кубических метров» (20467).</w:t>
      </w:r>
    </w:p>
    <w:p w14:paraId="23C3CCF7" w14:textId="77777777" w:rsidR="00E20128" w:rsidRPr="005E779E" w:rsidRDefault="00E20128" w:rsidP="000B7A6C">
      <w:pPr>
        <w:spacing w:after="0" w:line="240" w:lineRule="auto"/>
        <w:jc w:val="both"/>
        <w:rPr>
          <w:rFonts w:ascii="Times New Roman" w:hAnsi="Times New Roman"/>
          <w:color w:val="000000" w:themeColor="text1"/>
          <w:sz w:val="16"/>
          <w:szCs w:val="16"/>
          <w:shd w:val="clear" w:color="auto" w:fill="FFFFFF"/>
        </w:rPr>
      </w:pPr>
    </w:p>
    <w:p w14:paraId="125A155A" w14:textId="714DFF67" w:rsidR="00C539B3" w:rsidRPr="005E779E" w:rsidRDefault="00C539B3" w:rsidP="00C539B3">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Армия</w:t>
      </w:r>
      <w:r w:rsidRPr="005E779E">
        <w:rPr>
          <w:rFonts w:ascii="Times New Roman" w:hAnsi="Times New Roman"/>
          <w:i/>
          <w:iCs/>
          <w:color w:val="000000" w:themeColor="text1"/>
          <w:sz w:val="16"/>
          <w:szCs w:val="16"/>
        </w:rPr>
        <w:t>:</w:t>
      </w:r>
    </w:p>
    <w:p w14:paraId="24F1E0AF" w14:textId="77777777" w:rsidR="00C539B3" w:rsidRPr="005E779E" w:rsidRDefault="00C539B3" w:rsidP="00C539B3">
      <w:pPr>
        <w:autoSpaceDE w:val="0"/>
        <w:autoSpaceDN w:val="0"/>
        <w:adjustRightInd w:val="0"/>
        <w:spacing w:after="0" w:line="240" w:lineRule="auto"/>
        <w:jc w:val="both"/>
        <w:rPr>
          <w:rFonts w:ascii="Times New Roman" w:hAnsi="Times New Roman"/>
          <w:iCs/>
          <w:color w:val="000000" w:themeColor="text1"/>
          <w:sz w:val="16"/>
          <w:szCs w:val="16"/>
        </w:rPr>
      </w:pPr>
    </w:p>
    <w:p w14:paraId="71D072FE" w14:textId="77777777" w:rsidR="00C539B3" w:rsidRPr="00142305" w:rsidRDefault="00C539B3" w:rsidP="00C539B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29 сентября 1931 г. на осенних учениях Ленинградского округа произвели один воздушный де</w:t>
      </w:r>
      <w:r w:rsidRPr="00142305">
        <w:rPr>
          <w:rFonts w:ascii="Times New Roman" w:hAnsi="Times New Roman"/>
          <w:color w:val="0070C0"/>
          <w:sz w:val="16"/>
          <w:szCs w:val="16"/>
        </w:rPr>
        <w:softHyphen/>
        <w:t>сант - десять человек доставил один АНТ-9. Позже, 1 октября на Комен</w:t>
      </w:r>
      <w:r w:rsidRPr="00142305">
        <w:rPr>
          <w:rFonts w:ascii="Times New Roman" w:hAnsi="Times New Roman"/>
          <w:color w:val="0070C0"/>
          <w:sz w:val="16"/>
          <w:szCs w:val="16"/>
        </w:rPr>
        <w:softHyphen/>
        <w:t>дантском аэродроме в Ленинграде демонс</w:t>
      </w:r>
      <w:r w:rsidRPr="00142305">
        <w:rPr>
          <w:rFonts w:ascii="Times New Roman" w:hAnsi="Times New Roman"/>
          <w:color w:val="0070C0"/>
          <w:sz w:val="16"/>
          <w:szCs w:val="16"/>
        </w:rPr>
        <w:softHyphen/>
        <w:t>трировали показательные прыжки на сбо</w:t>
      </w:r>
      <w:r w:rsidRPr="00142305">
        <w:rPr>
          <w:rFonts w:ascii="Times New Roman" w:hAnsi="Times New Roman"/>
          <w:color w:val="0070C0"/>
          <w:sz w:val="16"/>
          <w:szCs w:val="16"/>
        </w:rPr>
        <w:softHyphen/>
        <w:t>рах командного состава РККА, в том числе десять парашютистов прыгали с АНТ-9.</w:t>
      </w:r>
    </w:p>
    <w:p w14:paraId="64D8803E" w14:textId="77777777" w:rsidR="00C539B3" w:rsidRPr="00142305" w:rsidRDefault="00C539B3" w:rsidP="00C539B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Позже эти машины активно использо</w:t>
      </w:r>
      <w:r w:rsidRPr="00142305">
        <w:rPr>
          <w:rFonts w:ascii="Times New Roman" w:hAnsi="Times New Roman"/>
          <w:color w:val="0070C0"/>
          <w:sz w:val="16"/>
          <w:szCs w:val="16"/>
        </w:rPr>
        <w:softHyphen/>
        <w:t>вали для обучения как будущих десан</w:t>
      </w:r>
      <w:r w:rsidRPr="00142305">
        <w:rPr>
          <w:rFonts w:ascii="Times New Roman" w:hAnsi="Times New Roman"/>
          <w:color w:val="0070C0"/>
          <w:sz w:val="16"/>
          <w:szCs w:val="16"/>
        </w:rPr>
        <w:softHyphen/>
        <w:t>тников, так и летного состава ВВС. Их всегда привлекали к учебным сборам парашютистов (24949)</w:t>
      </w:r>
    </w:p>
    <w:p w14:paraId="60BCC208" w14:textId="77777777" w:rsidR="00C539B3" w:rsidRPr="00142305" w:rsidRDefault="00C539B3" w:rsidP="00C539B3">
      <w:pPr>
        <w:spacing w:after="0" w:line="240" w:lineRule="auto"/>
        <w:jc w:val="both"/>
        <w:rPr>
          <w:rFonts w:ascii="Times New Roman" w:hAnsi="Times New Roman"/>
          <w:color w:val="0070C0"/>
          <w:sz w:val="16"/>
          <w:szCs w:val="16"/>
        </w:rPr>
      </w:pPr>
    </w:p>
    <w:p w14:paraId="73FF0FFC" w14:textId="0350446C" w:rsidR="007F1987" w:rsidRPr="005E779E" w:rsidRDefault="007F1987" w:rsidP="000B7A6C">
      <w:pPr>
        <w:autoSpaceDE w:val="0"/>
        <w:autoSpaceDN w:val="0"/>
        <w:adjustRightInd w:val="0"/>
        <w:spacing w:after="0" w:line="240" w:lineRule="auto"/>
        <w:jc w:val="both"/>
        <w:rPr>
          <w:rFonts w:ascii="Times New Roman" w:hAnsi="Times New Roman"/>
          <w:i/>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1524D50E" w14:textId="77777777" w:rsidR="007F1987" w:rsidRPr="005E779E" w:rsidRDefault="007F1987" w:rsidP="000B7A6C">
      <w:pPr>
        <w:autoSpaceDE w:val="0"/>
        <w:autoSpaceDN w:val="0"/>
        <w:adjustRightInd w:val="0"/>
        <w:spacing w:after="0" w:line="240" w:lineRule="auto"/>
        <w:jc w:val="both"/>
        <w:rPr>
          <w:rFonts w:ascii="Times New Roman" w:hAnsi="Times New Roman"/>
          <w:i/>
          <w:iCs/>
          <w:color w:val="000000" w:themeColor="text1"/>
          <w:sz w:val="16"/>
          <w:szCs w:val="16"/>
        </w:rPr>
      </w:pPr>
    </w:p>
    <w:p w14:paraId="410E3C2C" w14:textId="77777777" w:rsidR="007F1987" w:rsidRPr="005E779E" w:rsidRDefault="007F1987" w:rsidP="000B7A6C">
      <w:pPr>
        <w:spacing w:after="0" w:line="240" w:lineRule="auto"/>
        <w:jc w:val="both"/>
        <w:rPr>
          <w:rFonts w:ascii="Times New Roman" w:hAnsi="Times New Roman"/>
          <w:color w:val="000000" w:themeColor="text1"/>
          <w:sz w:val="16"/>
          <w:szCs w:val="16"/>
        </w:rPr>
      </w:pPr>
      <w:bookmarkStart w:id="45" w:name="_Hlk153195194"/>
      <w:r w:rsidRPr="005E779E">
        <w:rPr>
          <w:rFonts w:ascii="Times New Roman" w:hAnsi="Times New Roman"/>
          <w:color w:val="000000" w:themeColor="text1"/>
          <w:sz w:val="16"/>
          <w:szCs w:val="16"/>
        </w:rPr>
        <w:t>29 сентября 1931 г. из Москвы будущий фельдмаршал Вильгельм Кейтель писал отцу из Берлина: "Сегодня в первой половине дня я вернулся из своей поездки в Россию, которая, включая приезд и отъезд, заняла почти три недели. Впечатления интересные и поучительные, причем не только в военном, но и в хозяйственном отношении. [...]. Самое характерное, пожалуй, можно - совсем кратко - изложить так: а) необычайные просторы; б) наличие всех мыслимых ископаемых в качестве предпосылки независимой экономики; в) нерушимая вера в строительство [социализма] и в пятилетний план; г) крайне напряженный трудовой ритм" (24335).</w:t>
      </w:r>
    </w:p>
    <w:p w14:paraId="5A2745C4" w14:textId="77777777" w:rsidR="007F1987" w:rsidRPr="005E779E" w:rsidRDefault="007F1987" w:rsidP="000B7A6C">
      <w:pPr>
        <w:spacing w:after="0" w:line="240" w:lineRule="auto"/>
        <w:jc w:val="both"/>
        <w:rPr>
          <w:rFonts w:ascii="Times New Roman" w:hAnsi="Times New Roman"/>
          <w:color w:val="000000" w:themeColor="text1"/>
          <w:sz w:val="16"/>
          <w:szCs w:val="16"/>
        </w:rPr>
      </w:pPr>
    </w:p>
    <w:bookmarkEnd w:id="45"/>
    <w:p w14:paraId="7AB6233D" w14:textId="1B152478" w:rsidR="00A54CD0"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3872C5A2" w14:textId="77777777" w:rsidR="00A54CD0" w:rsidRPr="005E779E" w:rsidRDefault="00A54CD0"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A04CF45" w14:textId="77777777" w:rsidR="00E20128" w:rsidRPr="005E779E" w:rsidRDefault="00E20128"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 сентября 1931 англичанине на Супермарине S.6В с форсированным двигателем на базе 3 км установил говый абсолютный мировой рекорд скорости в 657.76 км/час (4207, 72).</w:t>
      </w:r>
    </w:p>
    <w:p w14:paraId="05907106" w14:textId="77777777" w:rsidR="00E20128" w:rsidRPr="005E779E" w:rsidRDefault="00E20128" w:rsidP="000B7A6C">
      <w:pPr>
        <w:autoSpaceDE w:val="0"/>
        <w:autoSpaceDN w:val="0"/>
        <w:adjustRightInd w:val="0"/>
        <w:spacing w:after="0" w:line="240" w:lineRule="auto"/>
        <w:jc w:val="both"/>
        <w:rPr>
          <w:rFonts w:ascii="Times New Roman" w:hAnsi="Times New Roman"/>
          <w:color w:val="000000" w:themeColor="text1"/>
          <w:sz w:val="16"/>
          <w:szCs w:val="16"/>
        </w:rPr>
      </w:pPr>
    </w:p>
    <w:p w14:paraId="2614B60A" w14:textId="77777777" w:rsidR="00A54CD0" w:rsidRPr="005E779E" w:rsidRDefault="00A54CD0" w:rsidP="000B7A6C">
      <w:pPr>
        <w:spacing w:after="0" w:line="240" w:lineRule="auto"/>
        <w:jc w:val="both"/>
        <w:rPr>
          <w:rFonts w:ascii="Times New Roman" w:hAnsi="Times New Roman"/>
          <w:color w:val="000000" w:themeColor="text1"/>
          <w:sz w:val="16"/>
          <w:szCs w:val="16"/>
        </w:rPr>
      </w:pPr>
      <w:r w:rsidRPr="005E779E">
        <w:rPr>
          <w:rStyle w:val="ucoz-forum-post"/>
          <w:rFonts w:ascii="Times New Roman" w:eastAsia="Times New Roman" w:hAnsi="Times New Roman"/>
          <w:bCs/>
          <w:color w:val="000000" w:themeColor="text1"/>
          <w:sz w:val="16"/>
          <w:szCs w:val="16"/>
        </w:rPr>
        <w:t xml:space="preserve">29 сентября </w:t>
      </w:r>
      <w:r w:rsidRPr="005E779E">
        <w:rPr>
          <w:rFonts w:ascii="Times New Roman" w:hAnsi="Times New Roman"/>
          <w:color w:val="000000" w:themeColor="text1"/>
          <w:sz w:val="16"/>
          <w:szCs w:val="16"/>
        </w:rPr>
        <w:t>в 1931 году абсолютный мировой рекорд скорости - 654,90 км/ч, Дж.Г.Стейнфорт (Великобритания) на самолете «Супермарин S6B» (14784).</w:t>
      </w:r>
    </w:p>
    <w:p w14:paraId="03985D7A" w14:textId="77777777" w:rsidR="00A54CD0" w:rsidRPr="005E779E" w:rsidRDefault="00A54CD0" w:rsidP="000B7A6C">
      <w:pPr>
        <w:spacing w:after="0" w:line="240" w:lineRule="auto"/>
        <w:jc w:val="both"/>
        <w:rPr>
          <w:rFonts w:ascii="Times New Roman" w:hAnsi="Times New Roman"/>
          <w:color w:val="000000" w:themeColor="text1"/>
          <w:sz w:val="16"/>
          <w:szCs w:val="16"/>
        </w:rPr>
      </w:pPr>
    </w:p>
    <w:p w14:paraId="3D68307A" w14:textId="77777777" w:rsidR="00C539B3" w:rsidRPr="00142305" w:rsidRDefault="00C539B3" w:rsidP="00C539B3">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 xml:space="preserve">29 сентября 1931 г. Летчик Дж.Г. Стэйнфорт на самолете «Супермарин </w:t>
      </w:r>
      <w:r w:rsidRPr="00142305">
        <w:rPr>
          <w:rStyle w:val="aff0"/>
          <w:rFonts w:ascii="Times New Roman" w:hAnsi="Times New Roman" w:cs="Times New Roman"/>
          <w:color w:val="0070C0"/>
          <w:spacing w:val="0"/>
          <w:sz w:val="16"/>
          <w:szCs w:val="16"/>
          <w:lang w:val="en-US"/>
        </w:rPr>
        <w:t>S</w:t>
      </w:r>
      <w:r w:rsidRPr="00142305">
        <w:rPr>
          <w:rStyle w:val="aff0"/>
          <w:rFonts w:ascii="Times New Roman" w:hAnsi="Times New Roman" w:cs="Times New Roman"/>
          <w:color w:val="0070C0"/>
          <w:spacing w:val="0"/>
          <w:sz w:val="16"/>
          <w:szCs w:val="16"/>
        </w:rPr>
        <w:t>6</w:t>
      </w:r>
      <w:r w:rsidRPr="00142305">
        <w:rPr>
          <w:rStyle w:val="aff0"/>
          <w:rFonts w:ascii="Times New Roman" w:hAnsi="Times New Roman" w:cs="Times New Roman"/>
          <w:color w:val="0070C0"/>
          <w:spacing w:val="0"/>
          <w:sz w:val="16"/>
          <w:szCs w:val="16"/>
          <w:lang w:val="en-US"/>
        </w:rPr>
        <w:t>B</w:t>
      </w:r>
      <w:r w:rsidRPr="00142305">
        <w:rPr>
          <w:rStyle w:val="aff0"/>
          <w:rFonts w:ascii="Times New Roman" w:hAnsi="Times New Roman" w:cs="Times New Roman"/>
          <w:color w:val="0070C0"/>
          <w:spacing w:val="0"/>
          <w:sz w:val="16"/>
          <w:szCs w:val="16"/>
        </w:rPr>
        <w:t>» фирмы «Супермарин» поставил рекорд скорости в 654,90 км/ч (25675).</w:t>
      </w:r>
    </w:p>
    <w:p w14:paraId="61189275" w14:textId="77777777" w:rsidR="00C539B3" w:rsidRPr="00142305" w:rsidRDefault="00C539B3" w:rsidP="00C539B3">
      <w:pPr>
        <w:spacing w:after="0" w:line="240" w:lineRule="auto"/>
        <w:jc w:val="both"/>
        <w:rPr>
          <w:rFonts w:ascii="Times New Roman" w:hAnsi="Times New Roman"/>
          <w:color w:val="0070C0"/>
          <w:sz w:val="16"/>
          <w:szCs w:val="16"/>
        </w:rPr>
      </w:pPr>
    </w:p>
    <w:p w14:paraId="29B19550" w14:textId="77777777" w:rsidR="00E20128" w:rsidRPr="005E779E" w:rsidRDefault="00E2012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 сентября 1931 После успеха НА Schneider Trophy, лейтенант Королевских ВВС Джордж Стейнфорт на Supermarine S.6B серийный номер S1596 побил рекорд скорости 400 миль в час, лостигнув скорости 407,5 миль в час (655,67 км / ч) (20804).</w:t>
      </w:r>
    </w:p>
    <w:p w14:paraId="1CB9E2A0" w14:textId="77777777" w:rsidR="00E20128" w:rsidRPr="005E779E" w:rsidRDefault="00E20128" w:rsidP="000B7A6C">
      <w:pPr>
        <w:spacing w:after="0" w:line="240" w:lineRule="auto"/>
        <w:jc w:val="both"/>
        <w:rPr>
          <w:rFonts w:ascii="Times New Roman" w:hAnsi="Times New Roman"/>
          <w:color w:val="000000" w:themeColor="text1"/>
          <w:sz w:val="16"/>
          <w:szCs w:val="16"/>
        </w:rPr>
      </w:pPr>
    </w:p>
    <w:p w14:paraId="2237CF52" w14:textId="77777777" w:rsidR="00E20128" w:rsidRPr="005E779E" w:rsidRDefault="00E2012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 сентября 1931 американский изобретатель Эд Линк получает патент на свое «Комбинированное тренировочное устройство для учеников-авиаторов и развлекательное оборудование». Более известный как Link Trainer , он позволяет пилотам безопасно тренироваться на земле в "слепом" полете по приборам (20804).</w:t>
      </w:r>
    </w:p>
    <w:p w14:paraId="5219434C" w14:textId="77777777" w:rsidR="00E20128" w:rsidRPr="005E779E" w:rsidRDefault="00E20128" w:rsidP="000B7A6C">
      <w:pPr>
        <w:spacing w:after="0" w:line="240" w:lineRule="auto"/>
        <w:jc w:val="both"/>
        <w:rPr>
          <w:rFonts w:ascii="Times New Roman" w:hAnsi="Times New Roman"/>
          <w:color w:val="000000" w:themeColor="text1"/>
          <w:sz w:val="16"/>
          <w:szCs w:val="16"/>
        </w:rPr>
      </w:pPr>
    </w:p>
    <w:p w14:paraId="2E379187" w14:textId="77777777" w:rsidR="00E20128" w:rsidRPr="005E779E" w:rsidRDefault="00E2012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 сентября 1931 состоялся первый полет Marinens Flyvebaatfabrikk MF11 (20804).</w:t>
      </w:r>
    </w:p>
    <w:p w14:paraId="24D6B67F" w14:textId="77777777" w:rsidR="00E20128" w:rsidRPr="005E779E" w:rsidRDefault="00E20128" w:rsidP="000B7A6C">
      <w:pPr>
        <w:spacing w:after="0" w:line="240" w:lineRule="auto"/>
        <w:jc w:val="both"/>
        <w:rPr>
          <w:rFonts w:ascii="Times New Roman" w:hAnsi="Times New Roman"/>
          <w:color w:val="000000" w:themeColor="text1"/>
          <w:sz w:val="16"/>
          <w:szCs w:val="16"/>
        </w:rPr>
      </w:pPr>
    </w:p>
    <w:p w14:paraId="0746BB82"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lastRenderedPageBreak/>
        <w:t>Авиапромышленность:</w:t>
      </w:r>
    </w:p>
    <w:p w14:paraId="3F9427D1"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1C862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 сентября 1931 года пом. начальника НИИ ВВС Азаров и врид. начальника мобилизационного отдела Борисов писали письмо начальнику моботдела УВВС.</w:t>
      </w:r>
    </w:p>
    <w:p w14:paraId="6F7B9A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 применении самолета К-5 как транспортно-военного.</w:t>
      </w:r>
    </w:p>
    <w:p w14:paraId="73E0BB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К-5 может быть использован без переделок, как транспортный для перевозки:</w:t>
      </w:r>
    </w:p>
    <w:p w14:paraId="0F858D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Людей - 8 чел.</w:t>
      </w:r>
    </w:p>
    <w:p w14:paraId="1193CC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Снаряжения, продовольствия, литературы - по 800 кг. (3070,1-2).</w:t>
      </w:r>
    </w:p>
    <w:p w14:paraId="6E2ACD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B1813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 сентября 1931 ДВ СССР-Н2 вылетел из Игарки на зимнюю стоянку в Красноярске. За сезон самолет налетал 208 часов, преодолев 36000 км, имел две небольшие аварии: выскочил на песчаный берег во время посадки в Усть-Порте и подмял две стойки моторной гондолы при старте у Дерябино.</w:t>
      </w:r>
    </w:p>
    <w:p w14:paraId="65BFA8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1DE9BCD" w14:textId="77777777" w:rsidR="00500A74" w:rsidRPr="00142305" w:rsidRDefault="00500A74" w:rsidP="00500A74">
      <w:pPr>
        <w:spacing w:after="0" w:line="240" w:lineRule="auto"/>
        <w:jc w:val="both"/>
        <w:rPr>
          <w:rStyle w:val="aff0"/>
          <w:rFonts w:ascii="Times New Roman" w:hAnsi="Times New Roman" w:cs="Times New Roman"/>
          <w:color w:val="0070C0"/>
          <w:spacing w:val="0"/>
          <w:sz w:val="16"/>
          <w:szCs w:val="16"/>
        </w:rPr>
      </w:pPr>
      <w:r w:rsidRPr="00142305">
        <w:rPr>
          <w:rStyle w:val="aff0"/>
          <w:rFonts w:ascii="Times New Roman" w:hAnsi="Times New Roman" w:cs="Times New Roman"/>
          <w:color w:val="0070C0"/>
          <w:spacing w:val="0"/>
          <w:sz w:val="16"/>
          <w:szCs w:val="16"/>
        </w:rPr>
        <w:t>30 сентября 1931 г. был согласован проект совместного договора СССО с Нобиле:</w:t>
      </w:r>
    </w:p>
    <w:p w14:paraId="640BF863" w14:textId="77777777" w:rsidR="00500A74" w:rsidRPr="00142305" w:rsidRDefault="00500A74" w:rsidP="00500A74">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«1. Инженер Иобиле берёт на себя техническое руководство и ответственность ла подготовку дирижабля, приспособленного к воздушной Арктической экспедиции...</w:t>
      </w:r>
    </w:p>
    <w:p w14:paraId="3A44E3E7" w14:textId="77777777" w:rsidR="00500A74" w:rsidRPr="00142305" w:rsidRDefault="00500A74" w:rsidP="00500A74">
      <w:pPr>
        <w:widowControl w:val="0"/>
        <w:tabs>
          <w:tab w:val="left" w:pos="567"/>
        </w:tabs>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5. В 1933 году или. в случае неготовности к этому времени дирижабля, в последующем 193-1 году советским правительством будет организована в Арктику воздушная экспедиция с дирижаблем, который пробудет там не ме</w:t>
      </w:r>
      <w:r w:rsidRPr="00142305">
        <w:rPr>
          <w:rStyle w:val="aff0"/>
          <w:rFonts w:ascii="Times New Roman" w:hAnsi="Times New Roman" w:cs="Times New Roman"/>
          <w:color w:val="0070C0"/>
          <w:spacing w:val="0"/>
          <w:sz w:val="16"/>
          <w:szCs w:val="16"/>
        </w:rPr>
        <w:softHyphen/>
        <w:t>нее пяти последовательных месяцев, как с целью изучения самой Арктики, так и для установления возможности при</w:t>
      </w:r>
      <w:r w:rsidRPr="00142305">
        <w:rPr>
          <w:rStyle w:val="aff0"/>
          <w:rFonts w:ascii="Times New Roman" w:hAnsi="Times New Roman" w:cs="Times New Roman"/>
          <w:color w:val="0070C0"/>
          <w:spacing w:val="0"/>
          <w:sz w:val="16"/>
          <w:szCs w:val="16"/>
        </w:rPr>
        <w:softHyphen/>
        <w:t>менять дирижабли для обслуживания Арктики. К этому времени должна быть построена в Арктике специальная база с эллингом нормального тина.</w:t>
      </w:r>
    </w:p>
    <w:p w14:paraId="7FE7EB02" w14:textId="0967D610" w:rsidR="00500A74" w:rsidRPr="00142305" w:rsidRDefault="00500A74" w:rsidP="00500A74">
      <w:pPr>
        <w:widowControl w:val="0"/>
        <w:tabs>
          <w:tab w:val="left" w:pos="567"/>
        </w:tabs>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6. Начальником воздушной арктической экспедиции будет назначен инженер Нобиле. Длительность, программа, маршруты и научные участники этой экспедиции будут установлены советским правительством».</w:t>
      </w:r>
    </w:p>
    <w:p w14:paraId="7F2FA09C" w14:textId="77777777" w:rsidR="00500A74" w:rsidRPr="00142305" w:rsidRDefault="00500A74" w:rsidP="00500A74">
      <w:pPr>
        <w:spacing w:after="0" w:line="240" w:lineRule="auto"/>
        <w:jc w:val="both"/>
        <w:rPr>
          <w:rStyle w:val="aff0"/>
          <w:rFonts w:ascii="Times New Roman" w:hAnsi="Times New Roman" w:cs="Times New Roman"/>
          <w:color w:val="0070C0"/>
          <w:spacing w:val="0"/>
          <w:sz w:val="16"/>
          <w:szCs w:val="16"/>
        </w:rPr>
      </w:pPr>
      <w:r w:rsidRPr="00142305">
        <w:rPr>
          <w:rStyle w:val="aff0"/>
          <w:rFonts w:ascii="Times New Roman" w:hAnsi="Times New Roman" w:cs="Times New Roman"/>
          <w:color w:val="0070C0"/>
          <w:spacing w:val="0"/>
          <w:sz w:val="16"/>
          <w:szCs w:val="16"/>
        </w:rPr>
        <w:t>Помимо этого, соглашение предусматривало, что «инж. Нобиле берёт на себя техническое руководство по проек</w:t>
      </w:r>
      <w:r w:rsidRPr="00142305">
        <w:rPr>
          <w:rStyle w:val="aff0"/>
          <w:rFonts w:ascii="Times New Roman" w:hAnsi="Times New Roman" w:cs="Times New Roman"/>
          <w:color w:val="0070C0"/>
          <w:spacing w:val="0"/>
          <w:sz w:val="16"/>
          <w:szCs w:val="16"/>
        </w:rPr>
        <w:softHyphen/>
        <w:t>тированию и постройке остальных дирижаблей, стоящих в плане ВО ГВФ. кубатурой в 3 7000, 7000 и 1000 кубических метров».</w:t>
      </w:r>
    </w:p>
    <w:p w14:paraId="61318EA9" w14:textId="77777777" w:rsidR="00500A74" w:rsidRPr="00142305" w:rsidRDefault="00500A74" w:rsidP="00500A74">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В ходе обсуждения заместитель наркома внешней торговли Ш.З.Элиава выступил против пункта об экспеди</w:t>
      </w:r>
      <w:r w:rsidRPr="00142305">
        <w:rPr>
          <w:rStyle w:val="aff0"/>
          <w:rFonts w:ascii="Times New Roman" w:hAnsi="Times New Roman" w:cs="Times New Roman"/>
          <w:color w:val="0070C0"/>
          <w:spacing w:val="0"/>
          <w:sz w:val="16"/>
          <w:szCs w:val="16"/>
        </w:rPr>
        <w:softHyphen/>
        <w:t>ции, посчитав, что это приведёт к осложнению отношений с Италией. В итоге 23 декабря 1931 г. Политбюро ЦКВКП(б) не утвердило пункты о постройке большого дирижабля и проведении полярной экспедиции, приняв «усечённое» решение пригласить конструктора У. Нобиле (25653).</w:t>
      </w:r>
    </w:p>
    <w:p w14:paraId="453ACB53" w14:textId="77777777" w:rsidR="00500A74" w:rsidRPr="00142305" w:rsidRDefault="00500A74" w:rsidP="00500A74">
      <w:pPr>
        <w:spacing w:after="0" w:line="240" w:lineRule="auto"/>
        <w:jc w:val="both"/>
        <w:rPr>
          <w:rFonts w:ascii="Times New Roman" w:hAnsi="Times New Roman"/>
          <w:color w:val="0070C0"/>
          <w:sz w:val="16"/>
          <w:szCs w:val="16"/>
        </w:rPr>
      </w:pPr>
    </w:p>
    <w:p w14:paraId="04C283F9" w14:textId="77777777" w:rsidR="00DA639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354D9251" w14:textId="77777777" w:rsidR="00DA6399" w:rsidRPr="005E779E" w:rsidRDefault="00DA639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BF3035D" w14:textId="77777777" w:rsidR="00DA6399" w:rsidRPr="005E779E" w:rsidRDefault="00DA6399"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30 сентября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Постановление СНК СССР № 211с о порядке использования транспортных средств в мобилизационный период (ГА РФ. Ф. Р?8418. Оп. 28. Д. 14а. Л. 68?70) (12415).</w:t>
      </w:r>
    </w:p>
    <w:p w14:paraId="34D5141A" w14:textId="77777777" w:rsidR="00DA6399" w:rsidRPr="005E779E" w:rsidRDefault="00DA6399"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Постановление СТО СССР № 204сс о разграничении между ведомствами норм железнодорожных и водных перевозок во время войны (ГА РФ. Ф. Р?8418. Оп. 28. Д. 1а. Л. 59?60) (12415).</w:t>
      </w:r>
    </w:p>
    <w:p w14:paraId="6D70F319" w14:textId="77777777" w:rsidR="00DA6399" w:rsidRPr="005E779E" w:rsidRDefault="00DA6399" w:rsidP="000B7A6C">
      <w:pPr>
        <w:spacing w:after="0" w:line="240" w:lineRule="auto"/>
        <w:jc w:val="both"/>
        <w:rPr>
          <w:rFonts w:ascii="Times New Roman" w:hAnsi="Times New Roman"/>
          <w:color w:val="000000" w:themeColor="text1"/>
          <w:sz w:val="16"/>
          <w:szCs w:val="16"/>
          <w:u w:color="002060"/>
        </w:rPr>
      </w:pPr>
    </w:p>
    <w:p w14:paraId="212AF521" w14:textId="77777777" w:rsidR="00DA6399" w:rsidRPr="005E779E" w:rsidRDefault="00DA6399"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30 сентября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Протокол заседания Политбюро ЦК ВКП(б) № 66. Решения ПБ от 30 сентября 1931 г. 20. О финансировании военной промышленности (Мартинович, Ломов, Павлуновский, Зангвиль). — ОП. Постановили: ассигновать дополнительно на капитальное строительство военной промышленности 37 млн. руб. с тем, что 25 млн. руб. из этой суммы покрываются из средств, уже отпущенных ВСНХ в IV квартале на капитальное строительство, и 12 млн. руб. по бюджету. (Политбюро... Т. 2. С. 224; РГАСПИ. Ф. 17. Оп. 162. Д. 11. Л. 19) (12416).</w:t>
      </w:r>
    </w:p>
    <w:p w14:paraId="080AADF6" w14:textId="77777777" w:rsidR="00DA6399" w:rsidRPr="005E779E" w:rsidRDefault="00DA6399" w:rsidP="000B7A6C">
      <w:pPr>
        <w:spacing w:after="0" w:line="240" w:lineRule="auto"/>
        <w:jc w:val="both"/>
        <w:rPr>
          <w:rFonts w:ascii="Times New Roman" w:hAnsi="Times New Roman"/>
          <w:color w:val="000000" w:themeColor="text1"/>
          <w:sz w:val="16"/>
          <w:szCs w:val="16"/>
          <w:u w:color="002060"/>
        </w:rPr>
      </w:pPr>
    </w:p>
    <w:p w14:paraId="76758035" w14:textId="77777777" w:rsidR="00E20128" w:rsidRPr="005E779E" w:rsidRDefault="00E20128"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14C474AE" w14:textId="77777777" w:rsidR="00E20128" w:rsidRPr="005E779E" w:rsidRDefault="00E20128"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B73B173" w14:textId="77777777" w:rsidR="00E20128" w:rsidRPr="005E779E" w:rsidRDefault="00E2012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 сентября 1931 года "Огонек" выпустил спецномер, посвященный постановлению ЦК ВКП (б) "О мерах улучшения общественного питания".</w:t>
      </w:r>
    </w:p>
    <w:p w14:paraId="006B7FD8" w14:textId="77777777" w:rsidR="00E20128" w:rsidRPr="005E779E" w:rsidRDefault="00E2012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"Дать трудящимся вкусный и здоровый обед в общественных столовых!" — под таким заголовком на обложке красовалась белая скатерть с полным набором блюд (первое, второе, десерт), столовых приборов и горчицей в соуснике.</w:t>
      </w:r>
    </w:p>
    <w:p w14:paraId="371426A2" w14:textId="77777777" w:rsidR="00E20128" w:rsidRPr="005E779E" w:rsidRDefault="00E2012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Снимки образцовых заводских "цехов питания" сопровождали "Десять правил для рабочей столовой". Среди них: "Даже хорошая пища вкусна только за чистым столом", "Заменим работу "на глазок" точным соблюдением норм и раскладок", "Питание трудящихся должно строиться на научное основе", "Диэтстоловая на производстве оздоровляет труд", "Правильным питанием детей создадим бодрую смену!" (21166).</w:t>
      </w:r>
    </w:p>
    <w:p w14:paraId="1B1AF24A" w14:textId="77777777" w:rsidR="00E20128" w:rsidRPr="005E779E" w:rsidRDefault="00E20128" w:rsidP="000B7A6C">
      <w:pPr>
        <w:spacing w:after="0" w:line="240" w:lineRule="auto"/>
        <w:jc w:val="both"/>
        <w:rPr>
          <w:rFonts w:ascii="Times New Roman" w:hAnsi="Times New Roman"/>
          <w:color w:val="000000" w:themeColor="text1"/>
          <w:sz w:val="16"/>
          <w:szCs w:val="16"/>
        </w:rPr>
      </w:pPr>
    </w:p>
    <w:p w14:paraId="1CC067F9"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1C617860"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253C8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сентября 1931 было подготовлено письмо Нач. Авиастроя № 375/104</w:t>
      </w:r>
    </w:p>
    <w:p w14:paraId="433437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Сообщаю Вам утвержденный Правительством комиссией т. Куйбышева темпы развития мощностей авиазаводов по годам.</w:t>
      </w:r>
    </w:p>
    <w:p w14:paraId="454B97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Самолетные заводы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850"/>
        <w:gridCol w:w="1977"/>
        <w:gridCol w:w="1977"/>
        <w:gridCol w:w="1977"/>
        <w:gridCol w:w="1977"/>
        <w:gridCol w:w="1977"/>
      </w:tblGrid>
      <w:tr w:rsidR="001002C3" w:rsidRPr="005E779E" w14:paraId="581135E1" w14:textId="77777777">
        <w:tc>
          <w:tcPr>
            <w:tcW w:w="534" w:type="dxa"/>
            <w:tcBorders>
              <w:top w:val="single" w:sz="12" w:space="0" w:color="auto"/>
            </w:tcBorders>
          </w:tcPr>
          <w:p w14:paraId="000C09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п/п</w:t>
            </w:r>
          </w:p>
        </w:tc>
        <w:tc>
          <w:tcPr>
            <w:tcW w:w="850" w:type="dxa"/>
            <w:tcBorders>
              <w:top w:val="single" w:sz="12" w:space="0" w:color="auto"/>
            </w:tcBorders>
          </w:tcPr>
          <w:p w14:paraId="68CE1A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45DAA1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завода</w:t>
            </w:r>
          </w:p>
        </w:tc>
        <w:tc>
          <w:tcPr>
            <w:tcW w:w="1977" w:type="dxa"/>
            <w:tcBorders>
              <w:top w:val="single" w:sz="12" w:space="0" w:color="auto"/>
            </w:tcBorders>
          </w:tcPr>
          <w:p w14:paraId="6F6131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Назначение самолетов</w:t>
            </w:r>
          </w:p>
        </w:tc>
        <w:tc>
          <w:tcPr>
            <w:tcW w:w="1977" w:type="dxa"/>
            <w:tcBorders>
              <w:top w:val="single" w:sz="12" w:space="0" w:color="auto"/>
            </w:tcBorders>
          </w:tcPr>
          <w:p w14:paraId="7EC673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1/1-32</w:t>
            </w:r>
          </w:p>
        </w:tc>
        <w:tc>
          <w:tcPr>
            <w:tcW w:w="1977" w:type="dxa"/>
            <w:tcBorders>
              <w:top w:val="single" w:sz="12" w:space="0" w:color="auto"/>
            </w:tcBorders>
          </w:tcPr>
          <w:p w14:paraId="1E5253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1/1-33</w:t>
            </w:r>
          </w:p>
        </w:tc>
        <w:tc>
          <w:tcPr>
            <w:tcW w:w="1977" w:type="dxa"/>
            <w:tcBorders>
              <w:top w:val="single" w:sz="12" w:space="0" w:color="auto"/>
            </w:tcBorders>
          </w:tcPr>
          <w:p w14:paraId="57585B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1/1-34</w:t>
            </w:r>
          </w:p>
        </w:tc>
        <w:tc>
          <w:tcPr>
            <w:tcW w:w="1977" w:type="dxa"/>
            <w:tcBorders>
              <w:top w:val="single" w:sz="12" w:space="0" w:color="auto"/>
            </w:tcBorders>
          </w:tcPr>
          <w:p w14:paraId="73BA95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1/1\-35</w:t>
            </w:r>
          </w:p>
        </w:tc>
      </w:tr>
      <w:tr w:rsidR="001002C3" w:rsidRPr="005E779E" w14:paraId="42E10D19" w14:textId="77777777">
        <w:tc>
          <w:tcPr>
            <w:tcW w:w="534" w:type="dxa"/>
          </w:tcPr>
          <w:p w14:paraId="274CEE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850" w:type="dxa"/>
          </w:tcPr>
          <w:p w14:paraId="4D5ED9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w:t>
            </w:r>
          </w:p>
        </w:tc>
        <w:tc>
          <w:tcPr>
            <w:tcW w:w="1977" w:type="dxa"/>
          </w:tcPr>
          <w:p w14:paraId="4ACE32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Истребители</w:t>
            </w:r>
          </w:p>
        </w:tc>
        <w:tc>
          <w:tcPr>
            <w:tcW w:w="1977" w:type="dxa"/>
          </w:tcPr>
          <w:p w14:paraId="6378E3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1200</w:t>
            </w:r>
          </w:p>
        </w:tc>
        <w:tc>
          <w:tcPr>
            <w:tcW w:w="1977" w:type="dxa"/>
          </w:tcPr>
          <w:p w14:paraId="2FBD0C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2400</w:t>
            </w:r>
          </w:p>
        </w:tc>
        <w:tc>
          <w:tcPr>
            <w:tcW w:w="1977" w:type="dxa"/>
          </w:tcPr>
          <w:p w14:paraId="02844B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2400</w:t>
            </w:r>
          </w:p>
        </w:tc>
        <w:tc>
          <w:tcPr>
            <w:tcW w:w="1977" w:type="dxa"/>
          </w:tcPr>
          <w:p w14:paraId="284D91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3500</w:t>
            </w:r>
          </w:p>
        </w:tc>
      </w:tr>
      <w:tr w:rsidR="001002C3" w:rsidRPr="005E779E" w14:paraId="14EC8905" w14:textId="77777777">
        <w:tc>
          <w:tcPr>
            <w:tcW w:w="534" w:type="dxa"/>
          </w:tcPr>
          <w:p w14:paraId="4EC04B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850" w:type="dxa"/>
          </w:tcPr>
          <w:p w14:paraId="422507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1977" w:type="dxa"/>
          </w:tcPr>
          <w:p w14:paraId="218FC6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Разведчики</w:t>
            </w:r>
          </w:p>
        </w:tc>
        <w:tc>
          <w:tcPr>
            <w:tcW w:w="1977" w:type="dxa"/>
          </w:tcPr>
          <w:p w14:paraId="23B534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977" w:type="dxa"/>
          </w:tcPr>
          <w:p w14:paraId="79A750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3500</w:t>
            </w:r>
          </w:p>
        </w:tc>
        <w:tc>
          <w:tcPr>
            <w:tcW w:w="1977" w:type="dxa"/>
          </w:tcPr>
          <w:p w14:paraId="22D16B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3500</w:t>
            </w:r>
          </w:p>
        </w:tc>
        <w:tc>
          <w:tcPr>
            <w:tcW w:w="1977" w:type="dxa"/>
          </w:tcPr>
          <w:p w14:paraId="570C7B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3500</w:t>
            </w:r>
          </w:p>
        </w:tc>
      </w:tr>
      <w:tr w:rsidR="001002C3" w:rsidRPr="005E779E" w14:paraId="5DE75BA5" w14:textId="77777777">
        <w:tc>
          <w:tcPr>
            <w:tcW w:w="534" w:type="dxa"/>
          </w:tcPr>
          <w:p w14:paraId="515152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tc>
        <w:tc>
          <w:tcPr>
            <w:tcW w:w="850" w:type="dxa"/>
          </w:tcPr>
          <w:p w14:paraId="37D779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w:t>
            </w:r>
          </w:p>
        </w:tc>
        <w:tc>
          <w:tcPr>
            <w:tcW w:w="1977" w:type="dxa"/>
          </w:tcPr>
          <w:p w14:paraId="6062E4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Разведчики</w:t>
            </w:r>
          </w:p>
        </w:tc>
        <w:tc>
          <w:tcPr>
            <w:tcW w:w="1977" w:type="dxa"/>
          </w:tcPr>
          <w:p w14:paraId="4CE494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1150</w:t>
            </w:r>
          </w:p>
        </w:tc>
        <w:tc>
          <w:tcPr>
            <w:tcW w:w="1977" w:type="dxa"/>
          </w:tcPr>
          <w:p w14:paraId="780FE4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2400</w:t>
            </w:r>
          </w:p>
        </w:tc>
        <w:tc>
          <w:tcPr>
            <w:tcW w:w="1977" w:type="dxa"/>
          </w:tcPr>
          <w:p w14:paraId="14AD9F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2400</w:t>
            </w:r>
          </w:p>
        </w:tc>
        <w:tc>
          <w:tcPr>
            <w:tcW w:w="1977" w:type="dxa"/>
          </w:tcPr>
          <w:p w14:paraId="63D42D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2400</w:t>
            </w:r>
          </w:p>
        </w:tc>
      </w:tr>
      <w:tr w:rsidR="001002C3" w:rsidRPr="005E779E" w14:paraId="693DD762" w14:textId="77777777">
        <w:tc>
          <w:tcPr>
            <w:tcW w:w="534" w:type="dxa"/>
          </w:tcPr>
          <w:p w14:paraId="0FB3A0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w:t>
            </w:r>
          </w:p>
        </w:tc>
        <w:tc>
          <w:tcPr>
            <w:tcW w:w="850" w:type="dxa"/>
          </w:tcPr>
          <w:p w14:paraId="792DE7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ХАЗ</w:t>
            </w:r>
          </w:p>
        </w:tc>
        <w:tc>
          <w:tcPr>
            <w:tcW w:w="1977" w:type="dxa"/>
          </w:tcPr>
          <w:p w14:paraId="711E42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Разведчики</w:t>
            </w:r>
          </w:p>
        </w:tc>
        <w:tc>
          <w:tcPr>
            <w:tcW w:w="1977" w:type="dxa"/>
          </w:tcPr>
          <w:p w14:paraId="30F384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w:t>
            </w:r>
          </w:p>
        </w:tc>
        <w:tc>
          <w:tcPr>
            <w:tcW w:w="1977" w:type="dxa"/>
          </w:tcPr>
          <w:p w14:paraId="0927AC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w:t>
            </w:r>
          </w:p>
        </w:tc>
        <w:tc>
          <w:tcPr>
            <w:tcW w:w="1977" w:type="dxa"/>
          </w:tcPr>
          <w:p w14:paraId="520B06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w:t>
            </w:r>
          </w:p>
        </w:tc>
        <w:tc>
          <w:tcPr>
            <w:tcW w:w="1977" w:type="dxa"/>
          </w:tcPr>
          <w:p w14:paraId="0BFFA3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w:t>
            </w:r>
          </w:p>
        </w:tc>
      </w:tr>
      <w:tr w:rsidR="001002C3" w:rsidRPr="005E779E" w14:paraId="6720021B" w14:textId="77777777">
        <w:tc>
          <w:tcPr>
            <w:tcW w:w="534" w:type="dxa"/>
          </w:tcPr>
          <w:p w14:paraId="047CA7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w:t>
            </w:r>
          </w:p>
        </w:tc>
        <w:tc>
          <w:tcPr>
            <w:tcW w:w="850" w:type="dxa"/>
          </w:tcPr>
          <w:p w14:paraId="3D3BCF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01</w:t>
            </w:r>
          </w:p>
        </w:tc>
        <w:tc>
          <w:tcPr>
            <w:tcW w:w="1977" w:type="dxa"/>
          </w:tcPr>
          <w:p w14:paraId="3A8249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Штурмовики</w:t>
            </w:r>
          </w:p>
        </w:tc>
        <w:tc>
          <w:tcPr>
            <w:tcW w:w="1977" w:type="dxa"/>
          </w:tcPr>
          <w:p w14:paraId="335582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977" w:type="dxa"/>
          </w:tcPr>
          <w:p w14:paraId="72850A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977" w:type="dxa"/>
          </w:tcPr>
          <w:p w14:paraId="74E4AD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w:t>
            </w:r>
          </w:p>
        </w:tc>
        <w:tc>
          <w:tcPr>
            <w:tcW w:w="1977" w:type="dxa"/>
          </w:tcPr>
          <w:p w14:paraId="03E0EE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1800</w:t>
            </w:r>
          </w:p>
        </w:tc>
      </w:tr>
      <w:tr w:rsidR="001002C3" w:rsidRPr="005E779E" w14:paraId="57BF4BB9" w14:textId="77777777">
        <w:tc>
          <w:tcPr>
            <w:tcW w:w="534" w:type="dxa"/>
          </w:tcPr>
          <w:p w14:paraId="51FDBA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w:t>
            </w:r>
          </w:p>
        </w:tc>
        <w:tc>
          <w:tcPr>
            <w:tcW w:w="850" w:type="dxa"/>
          </w:tcPr>
          <w:p w14:paraId="0DDEE7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w:t>
            </w:r>
          </w:p>
        </w:tc>
        <w:tc>
          <w:tcPr>
            <w:tcW w:w="1977" w:type="dxa"/>
          </w:tcPr>
          <w:p w14:paraId="3B534B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Учебные</w:t>
            </w:r>
          </w:p>
        </w:tc>
        <w:tc>
          <w:tcPr>
            <w:tcW w:w="1977" w:type="dxa"/>
          </w:tcPr>
          <w:p w14:paraId="058041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w:t>
            </w:r>
          </w:p>
        </w:tc>
        <w:tc>
          <w:tcPr>
            <w:tcW w:w="1977" w:type="dxa"/>
          </w:tcPr>
          <w:p w14:paraId="246A17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w:t>
            </w:r>
          </w:p>
        </w:tc>
        <w:tc>
          <w:tcPr>
            <w:tcW w:w="1977" w:type="dxa"/>
          </w:tcPr>
          <w:p w14:paraId="150971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w:t>
            </w:r>
          </w:p>
        </w:tc>
        <w:tc>
          <w:tcPr>
            <w:tcW w:w="1977" w:type="dxa"/>
          </w:tcPr>
          <w:p w14:paraId="2652F6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1002C3" w:rsidRPr="005E779E" w14:paraId="7E9476DB" w14:textId="77777777">
        <w:tc>
          <w:tcPr>
            <w:tcW w:w="534" w:type="dxa"/>
          </w:tcPr>
          <w:p w14:paraId="60C8E6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62E65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977" w:type="dxa"/>
          </w:tcPr>
          <w:p w14:paraId="0CF8C5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Авиетки</w:t>
            </w:r>
          </w:p>
        </w:tc>
        <w:tc>
          <w:tcPr>
            <w:tcW w:w="1977" w:type="dxa"/>
          </w:tcPr>
          <w:p w14:paraId="3EAE5B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977" w:type="dxa"/>
          </w:tcPr>
          <w:p w14:paraId="420B3E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977" w:type="dxa"/>
          </w:tcPr>
          <w:p w14:paraId="445702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977" w:type="dxa"/>
          </w:tcPr>
          <w:p w14:paraId="58F9B4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r>
      <w:tr w:rsidR="001002C3" w:rsidRPr="005E779E" w14:paraId="1C4E42A2" w14:textId="77777777">
        <w:tc>
          <w:tcPr>
            <w:tcW w:w="534" w:type="dxa"/>
          </w:tcPr>
          <w:p w14:paraId="20A0A9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w:t>
            </w:r>
          </w:p>
        </w:tc>
        <w:tc>
          <w:tcPr>
            <w:tcW w:w="850" w:type="dxa"/>
          </w:tcPr>
          <w:p w14:paraId="4EA647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02</w:t>
            </w:r>
          </w:p>
        </w:tc>
        <w:tc>
          <w:tcPr>
            <w:tcW w:w="1977" w:type="dxa"/>
          </w:tcPr>
          <w:p w14:paraId="5C166A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Учебные</w:t>
            </w:r>
          </w:p>
        </w:tc>
        <w:tc>
          <w:tcPr>
            <w:tcW w:w="1977" w:type="dxa"/>
          </w:tcPr>
          <w:p w14:paraId="62F2B6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977" w:type="dxa"/>
          </w:tcPr>
          <w:p w14:paraId="14531A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977" w:type="dxa"/>
          </w:tcPr>
          <w:p w14:paraId="533B6F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4000</w:t>
            </w:r>
          </w:p>
        </w:tc>
        <w:tc>
          <w:tcPr>
            <w:tcW w:w="1977" w:type="dxa"/>
          </w:tcPr>
          <w:p w14:paraId="2A305C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4000</w:t>
            </w:r>
          </w:p>
        </w:tc>
      </w:tr>
      <w:tr w:rsidR="001002C3" w:rsidRPr="005E779E" w14:paraId="67129ED7" w14:textId="77777777">
        <w:tc>
          <w:tcPr>
            <w:tcW w:w="534" w:type="dxa"/>
          </w:tcPr>
          <w:p w14:paraId="015F11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72E39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977" w:type="dxa"/>
          </w:tcPr>
          <w:p w14:paraId="036F4E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Авиетки</w:t>
            </w:r>
          </w:p>
        </w:tc>
        <w:tc>
          <w:tcPr>
            <w:tcW w:w="1977" w:type="dxa"/>
          </w:tcPr>
          <w:p w14:paraId="601B8B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977" w:type="dxa"/>
          </w:tcPr>
          <w:p w14:paraId="1BC6A2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977" w:type="dxa"/>
          </w:tcPr>
          <w:p w14:paraId="2E42CA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4000</w:t>
            </w:r>
          </w:p>
        </w:tc>
        <w:tc>
          <w:tcPr>
            <w:tcW w:w="1977" w:type="dxa"/>
          </w:tcPr>
          <w:p w14:paraId="53650F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4000</w:t>
            </w:r>
          </w:p>
        </w:tc>
      </w:tr>
      <w:tr w:rsidR="001002C3" w:rsidRPr="005E779E" w14:paraId="754BDADF" w14:textId="77777777">
        <w:tc>
          <w:tcPr>
            <w:tcW w:w="534" w:type="dxa"/>
          </w:tcPr>
          <w:p w14:paraId="506479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w:t>
            </w:r>
          </w:p>
        </w:tc>
        <w:tc>
          <w:tcPr>
            <w:tcW w:w="850" w:type="dxa"/>
          </w:tcPr>
          <w:p w14:paraId="398E0E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03</w:t>
            </w:r>
          </w:p>
        </w:tc>
        <w:tc>
          <w:tcPr>
            <w:tcW w:w="1977" w:type="dxa"/>
          </w:tcPr>
          <w:p w14:paraId="19C5D5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Морские</w:t>
            </w:r>
          </w:p>
        </w:tc>
        <w:tc>
          <w:tcPr>
            <w:tcW w:w="1977" w:type="dxa"/>
          </w:tcPr>
          <w:p w14:paraId="55AC46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977" w:type="dxa"/>
          </w:tcPr>
          <w:p w14:paraId="4D2BBD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w:t>
            </w:r>
          </w:p>
        </w:tc>
        <w:tc>
          <w:tcPr>
            <w:tcW w:w="1977" w:type="dxa"/>
          </w:tcPr>
          <w:p w14:paraId="22216C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700</w:t>
            </w:r>
          </w:p>
        </w:tc>
        <w:tc>
          <w:tcPr>
            <w:tcW w:w="1977" w:type="dxa"/>
          </w:tcPr>
          <w:p w14:paraId="7746E1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700</w:t>
            </w:r>
          </w:p>
        </w:tc>
      </w:tr>
      <w:tr w:rsidR="001002C3" w:rsidRPr="005E779E" w14:paraId="4A7E0C83" w14:textId="77777777">
        <w:tc>
          <w:tcPr>
            <w:tcW w:w="534" w:type="dxa"/>
          </w:tcPr>
          <w:p w14:paraId="7A188C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w:t>
            </w:r>
          </w:p>
        </w:tc>
        <w:tc>
          <w:tcPr>
            <w:tcW w:w="850" w:type="dxa"/>
          </w:tcPr>
          <w:p w14:paraId="1AC4B6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w:t>
            </w:r>
          </w:p>
        </w:tc>
        <w:tc>
          <w:tcPr>
            <w:tcW w:w="1977" w:type="dxa"/>
          </w:tcPr>
          <w:p w14:paraId="078F28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Тяжелые</w:t>
            </w:r>
          </w:p>
        </w:tc>
        <w:tc>
          <w:tcPr>
            <w:tcW w:w="1977" w:type="dxa"/>
          </w:tcPr>
          <w:p w14:paraId="1A2221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640</w:t>
            </w:r>
          </w:p>
        </w:tc>
        <w:tc>
          <w:tcPr>
            <w:tcW w:w="1977" w:type="dxa"/>
          </w:tcPr>
          <w:p w14:paraId="2A60B3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1500</w:t>
            </w:r>
          </w:p>
        </w:tc>
        <w:tc>
          <w:tcPr>
            <w:tcW w:w="1977" w:type="dxa"/>
          </w:tcPr>
          <w:p w14:paraId="5AD575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1500</w:t>
            </w:r>
          </w:p>
        </w:tc>
        <w:tc>
          <w:tcPr>
            <w:tcW w:w="1977" w:type="dxa"/>
          </w:tcPr>
          <w:p w14:paraId="4A1609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1500</w:t>
            </w:r>
          </w:p>
        </w:tc>
      </w:tr>
      <w:tr w:rsidR="001002C3" w:rsidRPr="005E779E" w14:paraId="0D5A7DF7" w14:textId="77777777">
        <w:tc>
          <w:tcPr>
            <w:tcW w:w="534" w:type="dxa"/>
          </w:tcPr>
          <w:p w14:paraId="60B2CF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w:t>
            </w:r>
          </w:p>
        </w:tc>
        <w:tc>
          <w:tcPr>
            <w:tcW w:w="850" w:type="dxa"/>
          </w:tcPr>
          <w:p w14:paraId="46C336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w:t>
            </w:r>
          </w:p>
        </w:tc>
        <w:tc>
          <w:tcPr>
            <w:tcW w:w="1977" w:type="dxa"/>
          </w:tcPr>
          <w:p w14:paraId="4A1C68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Тяжелые</w:t>
            </w:r>
          </w:p>
        </w:tc>
        <w:tc>
          <w:tcPr>
            <w:tcW w:w="1977" w:type="dxa"/>
          </w:tcPr>
          <w:p w14:paraId="3ED8EA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977" w:type="dxa"/>
          </w:tcPr>
          <w:p w14:paraId="22A6E6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w:t>
            </w:r>
          </w:p>
        </w:tc>
        <w:tc>
          <w:tcPr>
            <w:tcW w:w="1977" w:type="dxa"/>
          </w:tcPr>
          <w:p w14:paraId="77F56E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1500</w:t>
            </w:r>
          </w:p>
        </w:tc>
        <w:tc>
          <w:tcPr>
            <w:tcW w:w="1977" w:type="dxa"/>
          </w:tcPr>
          <w:p w14:paraId="1D8EE1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1500</w:t>
            </w:r>
          </w:p>
        </w:tc>
      </w:tr>
      <w:tr w:rsidR="001002C3" w:rsidRPr="005E779E" w14:paraId="27E014B5" w14:textId="77777777">
        <w:tc>
          <w:tcPr>
            <w:tcW w:w="534" w:type="dxa"/>
          </w:tcPr>
          <w:p w14:paraId="639F32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w:t>
            </w:r>
          </w:p>
        </w:tc>
        <w:tc>
          <w:tcPr>
            <w:tcW w:w="850" w:type="dxa"/>
          </w:tcPr>
          <w:p w14:paraId="6D6962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04</w:t>
            </w:r>
          </w:p>
        </w:tc>
        <w:tc>
          <w:tcPr>
            <w:tcW w:w="1977" w:type="dxa"/>
          </w:tcPr>
          <w:p w14:paraId="7F0722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Тяжелые</w:t>
            </w:r>
          </w:p>
        </w:tc>
        <w:tc>
          <w:tcPr>
            <w:tcW w:w="1977" w:type="dxa"/>
          </w:tcPr>
          <w:p w14:paraId="4FC2A6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977" w:type="dxa"/>
          </w:tcPr>
          <w:p w14:paraId="7982B9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977" w:type="dxa"/>
          </w:tcPr>
          <w:p w14:paraId="27071F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w:t>
            </w:r>
          </w:p>
        </w:tc>
        <w:tc>
          <w:tcPr>
            <w:tcW w:w="1977" w:type="dxa"/>
          </w:tcPr>
          <w:p w14:paraId="575D0D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800</w:t>
            </w:r>
          </w:p>
        </w:tc>
      </w:tr>
      <w:tr w:rsidR="001002C3" w:rsidRPr="005E779E" w14:paraId="25A61A40" w14:textId="77777777">
        <w:tc>
          <w:tcPr>
            <w:tcW w:w="534" w:type="dxa"/>
          </w:tcPr>
          <w:p w14:paraId="5A8720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w:t>
            </w:r>
          </w:p>
        </w:tc>
        <w:tc>
          <w:tcPr>
            <w:tcW w:w="850" w:type="dxa"/>
          </w:tcPr>
          <w:p w14:paraId="0D08B3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05</w:t>
            </w:r>
          </w:p>
        </w:tc>
        <w:tc>
          <w:tcPr>
            <w:tcW w:w="1977" w:type="dxa"/>
          </w:tcPr>
          <w:p w14:paraId="21D31E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Специальные</w:t>
            </w:r>
          </w:p>
        </w:tc>
        <w:tc>
          <w:tcPr>
            <w:tcW w:w="1977" w:type="dxa"/>
          </w:tcPr>
          <w:p w14:paraId="3B5882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977" w:type="dxa"/>
          </w:tcPr>
          <w:p w14:paraId="4D8460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w:t>
            </w:r>
          </w:p>
        </w:tc>
        <w:tc>
          <w:tcPr>
            <w:tcW w:w="1977" w:type="dxa"/>
          </w:tcPr>
          <w:p w14:paraId="6A83C4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w:t>
            </w:r>
          </w:p>
        </w:tc>
        <w:tc>
          <w:tcPr>
            <w:tcW w:w="1977" w:type="dxa"/>
          </w:tcPr>
          <w:p w14:paraId="5C14D1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w:t>
            </w:r>
          </w:p>
        </w:tc>
      </w:tr>
      <w:tr w:rsidR="001002C3" w:rsidRPr="005E779E" w14:paraId="6CA09C41" w14:textId="77777777">
        <w:tc>
          <w:tcPr>
            <w:tcW w:w="534" w:type="dxa"/>
          </w:tcPr>
          <w:p w14:paraId="7049DA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w:t>
            </w:r>
          </w:p>
        </w:tc>
        <w:tc>
          <w:tcPr>
            <w:tcW w:w="850" w:type="dxa"/>
          </w:tcPr>
          <w:p w14:paraId="5C468A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рем. заводах</w:t>
            </w:r>
          </w:p>
        </w:tc>
        <w:tc>
          <w:tcPr>
            <w:tcW w:w="1977" w:type="dxa"/>
          </w:tcPr>
          <w:p w14:paraId="193405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Авиетки</w:t>
            </w:r>
          </w:p>
        </w:tc>
        <w:tc>
          <w:tcPr>
            <w:tcW w:w="1977" w:type="dxa"/>
          </w:tcPr>
          <w:p w14:paraId="7BD0AB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977" w:type="dxa"/>
          </w:tcPr>
          <w:p w14:paraId="0F41AF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977" w:type="dxa"/>
          </w:tcPr>
          <w:p w14:paraId="66073E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977" w:type="dxa"/>
          </w:tcPr>
          <w:p w14:paraId="3EF233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r>
      <w:tr w:rsidR="001002C3" w:rsidRPr="005E779E" w14:paraId="3641CDCE" w14:textId="77777777">
        <w:tc>
          <w:tcPr>
            <w:tcW w:w="534" w:type="dxa"/>
            <w:tcBorders>
              <w:bottom w:val="single" w:sz="12" w:space="0" w:color="auto"/>
            </w:tcBorders>
          </w:tcPr>
          <w:p w14:paraId="689761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bottom w:val="single" w:sz="12" w:space="0" w:color="auto"/>
            </w:tcBorders>
          </w:tcPr>
          <w:p w14:paraId="129576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977" w:type="dxa"/>
            <w:tcBorders>
              <w:bottom w:val="single" w:sz="12" w:space="0" w:color="auto"/>
            </w:tcBorders>
          </w:tcPr>
          <w:p w14:paraId="0AE940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w:t>
            </w:r>
          </w:p>
        </w:tc>
        <w:tc>
          <w:tcPr>
            <w:tcW w:w="1977" w:type="dxa"/>
            <w:tcBorders>
              <w:bottom w:val="single" w:sz="12" w:space="0" w:color="auto"/>
            </w:tcBorders>
          </w:tcPr>
          <w:p w14:paraId="315083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7490</w:t>
            </w:r>
          </w:p>
        </w:tc>
        <w:tc>
          <w:tcPr>
            <w:tcW w:w="1977" w:type="dxa"/>
            <w:tcBorders>
              <w:bottom w:val="single" w:sz="12" w:space="0" w:color="auto"/>
            </w:tcBorders>
          </w:tcPr>
          <w:p w14:paraId="78C513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12500</w:t>
            </w:r>
          </w:p>
        </w:tc>
        <w:tc>
          <w:tcPr>
            <w:tcW w:w="1977" w:type="dxa"/>
            <w:tcBorders>
              <w:bottom w:val="single" w:sz="12" w:space="0" w:color="auto"/>
            </w:tcBorders>
          </w:tcPr>
          <w:p w14:paraId="3B9CA5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23800</w:t>
            </w:r>
          </w:p>
        </w:tc>
        <w:tc>
          <w:tcPr>
            <w:tcW w:w="1977" w:type="dxa"/>
            <w:tcBorders>
              <w:bottom w:val="single" w:sz="12" w:space="0" w:color="auto"/>
            </w:tcBorders>
          </w:tcPr>
          <w:p w14:paraId="0374E3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34300</w:t>
            </w:r>
          </w:p>
        </w:tc>
      </w:tr>
    </w:tbl>
    <w:p w14:paraId="15812B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Моторные заводы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850"/>
        <w:gridCol w:w="1977"/>
        <w:gridCol w:w="1977"/>
        <w:gridCol w:w="1977"/>
        <w:gridCol w:w="1977"/>
        <w:gridCol w:w="1977"/>
      </w:tblGrid>
      <w:tr w:rsidR="001002C3" w:rsidRPr="005E779E" w14:paraId="70B586E0" w14:textId="77777777">
        <w:tc>
          <w:tcPr>
            <w:tcW w:w="534" w:type="dxa"/>
            <w:tcBorders>
              <w:top w:val="single" w:sz="12" w:space="0" w:color="auto"/>
            </w:tcBorders>
          </w:tcPr>
          <w:p w14:paraId="177B55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п/п</w:t>
            </w:r>
          </w:p>
        </w:tc>
        <w:tc>
          <w:tcPr>
            <w:tcW w:w="850" w:type="dxa"/>
            <w:tcBorders>
              <w:top w:val="single" w:sz="12" w:space="0" w:color="auto"/>
            </w:tcBorders>
          </w:tcPr>
          <w:p w14:paraId="719003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3CD8EC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завода</w:t>
            </w:r>
          </w:p>
        </w:tc>
        <w:tc>
          <w:tcPr>
            <w:tcW w:w="1977" w:type="dxa"/>
            <w:tcBorders>
              <w:top w:val="single" w:sz="12" w:space="0" w:color="auto"/>
            </w:tcBorders>
          </w:tcPr>
          <w:p w14:paraId="68E8D9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Назначение самолетов</w:t>
            </w:r>
          </w:p>
        </w:tc>
        <w:tc>
          <w:tcPr>
            <w:tcW w:w="1977" w:type="dxa"/>
            <w:tcBorders>
              <w:top w:val="single" w:sz="12" w:space="0" w:color="auto"/>
            </w:tcBorders>
          </w:tcPr>
          <w:p w14:paraId="47E55B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1/1-32</w:t>
            </w:r>
          </w:p>
        </w:tc>
        <w:tc>
          <w:tcPr>
            <w:tcW w:w="1977" w:type="dxa"/>
            <w:tcBorders>
              <w:top w:val="single" w:sz="12" w:space="0" w:color="auto"/>
            </w:tcBorders>
          </w:tcPr>
          <w:p w14:paraId="44E8B9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1/1-33</w:t>
            </w:r>
          </w:p>
        </w:tc>
        <w:tc>
          <w:tcPr>
            <w:tcW w:w="1977" w:type="dxa"/>
            <w:tcBorders>
              <w:top w:val="single" w:sz="12" w:space="0" w:color="auto"/>
            </w:tcBorders>
          </w:tcPr>
          <w:p w14:paraId="2F2F94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1/1-34</w:t>
            </w:r>
          </w:p>
        </w:tc>
        <w:tc>
          <w:tcPr>
            <w:tcW w:w="1977" w:type="dxa"/>
            <w:tcBorders>
              <w:top w:val="single" w:sz="12" w:space="0" w:color="auto"/>
            </w:tcBorders>
          </w:tcPr>
          <w:p w14:paraId="4F4DA4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1/1\-35</w:t>
            </w:r>
          </w:p>
        </w:tc>
      </w:tr>
      <w:tr w:rsidR="001002C3" w:rsidRPr="005E779E" w14:paraId="2BB74D33" w14:textId="77777777">
        <w:tc>
          <w:tcPr>
            <w:tcW w:w="534" w:type="dxa"/>
          </w:tcPr>
          <w:p w14:paraId="7F0443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850" w:type="dxa"/>
          </w:tcPr>
          <w:p w14:paraId="61A31B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w:t>
            </w:r>
          </w:p>
        </w:tc>
        <w:tc>
          <w:tcPr>
            <w:tcW w:w="1977" w:type="dxa"/>
          </w:tcPr>
          <w:p w14:paraId="4963F2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Водяного охлаждения</w:t>
            </w:r>
          </w:p>
        </w:tc>
        <w:tc>
          <w:tcPr>
            <w:tcW w:w="1977" w:type="dxa"/>
          </w:tcPr>
          <w:p w14:paraId="1A4C4E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2700</w:t>
            </w:r>
          </w:p>
        </w:tc>
        <w:tc>
          <w:tcPr>
            <w:tcW w:w="1977" w:type="dxa"/>
          </w:tcPr>
          <w:p w14:paraId="7C60EA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10000</w:t>
            </w:r>
          </w:p>
        </w:tc>
        <w:tc>
          <w:tcPr>
            <w:tcW w:w="1977" w:type="dxa"/>
          </w:tcPr>
          <w:p w14:paraId="2D12C5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15000</w:t>
            </w:r>
          </w:p>
        </w:tc>
        <w:tc>
          <w:tcPr>
            <w:tcW w:w="1977" w:type="dxa"/>
          </w:tcPr>
          <w:p w14:paraId="443120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15000</w:t>
            </w:r>
          </w:p>
        </w:tc>
      </w:tr>
      <w:tr w:rsidR="001002C3" w:rsidRPr="005E779E" w14:paraId="613A3DCC" w14:textId="77777777">
        <w:tc>
          <w:tcPr>
            <w:tcW w:w="534" w:type="dxa"/>
          </w:tcPr>
          <w:p w14:paraId="32195A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850" w:type="dxa"/>
          </w:tcPr>
          <w:p w14:paraId="11AF94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w:t>
            </w:r>
          </w:p>
        </w:tc>
        <w:tc>
          <w:tcPr>
            <w:tcW w:w="1977" w:type="dxa"/>
          </w:tcPr>
          <w:p w14:paraId="17EA01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Водяного охлаждения</w:t>
            </w:r>
          </w:p>
        </w:tc>
        <w:tc>
          <w:tcPr>
            <w:tcW w:w="1977" w:type="dxa"/>
          </w:tcPr>
          <w:p w14:paraId="075712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977" w:type="dxa"/>
          </w:tcPr>
          <w:p w14:paraId="3260D8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10000</w:t>
            </w:r>
          </w:p>
        </w:tc>
        <w:tc>
          <w:tcPr>
            <w:tcW w:w="1977" w:type="dxa"/>
          </w:tcPr>
          <w:p w14:paraId="484B9D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10000</w:t>
            </w:r>
          </w:p>
        </w:tc>
        <w:tc>
          <w:tcPr>
            <w:tcW w:w="1977" w:type="dxa"/>
          </w:tcPr>
          <w:p w14:paraId="17D854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10000</w:t>
            </w:r>
          </w:p>
        </w:tc>
      </w:tr>
      <w:tr w:rsidR="001002C3" w:rsidRPr="005E779E" w14:paraId="1DB9C616" w14:textId="77777777">
        <w:tc>
          <w:tcPr>
            <w:tcW w:w="534" w:type="dxa"/>
          </w:tcPr>
          <w:p w14:paraId="1261A8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tc>
        <w:tc>
          <w:tcPr>
            <w:tcW w:w="850" w:type="dxa"/>
          </w:tcPr>
          <w:p w14:paraId="478D1E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010</w:t>
            </w:r>
          </w:p>
        </w:tc>
        <w:tc>
          <w:tcPr>
            <w:tcW w:w="1977" w:type="dxa"/>
          </w:tcPr>
          <w:p w14:paraId="0BC746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Водяного охлаждения</w:t>
            </w:r>
          </w:p>
        </w:tc>
        <w:tc>
          <w:tcPr>
            <w:tcW w:w="1977" w:type="dxa"/>
          </w:tcPr>
          <w:p w14:paraId="76D611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977" w:type="dxa"/>
          </w:tcPr>
          <w:p w14:paraId="0D6918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977" w:type="dxa"/>
          </w:tcPr>
          <w:p w14:paraId="13E7C7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977" w:type="dxa"/>
          </w:tcPr>
          <w:p w14:paraId="3DDE8C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10000</w:t>
            </w:r>
          </w:p>
        </w:tc>
      </w:tr>
      <w:tr w:rsidR="001002C3" w:rsidRPr="005E779E" w14:paraId="1F623EDB" w14:textId="77777777">
        <w:tc>
          <w:tcPr>
            <w:tcW w:w="534" w:type="dxa"/>
          </w:tcPr>
          <w:p w14:paraId="7AF0F8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w:t>
            </w:r>
          </w:p>
        </w:tc>
        <w:tc>
          <w:tcPr>
            <w:tcW w:w="850" w:type="dxa"/>
          </w:tcPr>
          <w:p w14:paraId="097973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w:t>
            </w:r>
          </w:p>
        </w:tc>
        <w:tc>
          <w:tcPr>
            <w:tcW w:w="1977" w:type="dxa"/>
          </w:tcPr>
          <w:p w14:paraId="134766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Воздушного охлаждения</w:t>
            </w:r>
          </w:p>
        </w:tc>
        <w:tc>
          <w:tcPr>
            <w:tcW w:w="1977" w:type="dxa"/>
          </w:tcPr>
          <w:p w14:paraId="35248C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2000</w:t>
            </w:r>
          </w:p>
        </w:tc>
        <w:tc>
          <w:tcPr>
            <w:tcW w:w="1977" w:type="dxa"/>
          </w:tcPr>
          <w:p w14:paraId="56338A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977" w:type="dxa"/>
          </w:tcPr>
          <w:p w14:paraId="1260A8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6000</w:t>
            </w:r>
          </w:p>
        </w:tc>
        <w:tc>
          <w:tcPr>
            <w:tcW w:w="1977" w:type="dxa"/>
          </w:tcPr>
          <w:p w14:paraId="212EE7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6000</w:t>
            </w:r>
          </w:p>
        </w:tc>
      </w:tr>
      <w:tr w:rsidR="001002C3" w:rsidRPr="005E779E" w14:paraId="54BE0393" w14:textId="77777777">
        <w:tc>
          <w:tcPr>
            <w:tcW w:w="534" w:type="dxa"/>
          </w:tcPr>
          <w:p w14:paraId="171211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w:t>
            </w:r>
          </w:p>
        </w:tc>
        <w:tc>
          <w:tcPr>
            <w:tcW w:w="850" w:type="dxa"/>
          </w:tcPr>
          <w:p w14:paraId="2B2F9F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w:t>
            </w:r>
          </w:p>
        </w:tc>
        <w:tc>
          <w:tcPr>
            <w:tcW w:w="1977" w:type="dxa"/>
          </w:tcPr>
          <w:p w14:paraId="5CF69A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Воздушного охлаждения</w:t>
            </w:r>
          </w:p>
        </w:tc>
        <w:tc>
          <w:tcPr>
            <w:tcW w:w="1977" w:type="dxa"/>
          </w:tcPr>
          <w:p w14:paraId="7B9BCB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1500</w:t>
            </w:r>
          </w:p>
        </w:tc>
        <w:tc>
          <w:tcPr>
            <w:tcW w:w="1977" w:type="dxa"/>
          </w:tcPr>
          <w:p w14:paraId="22E69B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6000</w:t>
            </w:r>
          </w:p>
        </w:tc>
        <w:tc>
          <w:tcPr>
            <w:tcW w:w="1977" w:type="dxa"/>
          </w:tcPr>
          <w:p w14:paraId="03D6BC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6000</w:t>
            </w:r>
          </w:p>
        </w:tc>
        <w:tc>
          <w:tcPr>
            <w:tcW w:w="1977" w:type="dxa"/>
          </w:tcPr>
          <w:p w14:paraId="600C58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6000</w:t>
            </w:r>
          </w:p>
        </w:tc>
      </w:tr>
      <w:tr w:rsidR="001002C3" w:rsidRPr="005E779E" w14:paraId="42326D1D" w14:textId="77777777">
        <w:tc>
          <w:tcPr>
            <w:tcW w:w="534" w:type="dxa"/>
          </w:tcPr>
          <w:p w14:paraId="189C04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w:t>
            </w:r>
          </w:p>
        </w:tc>
        <w:tc>
          <w:tcPr>
            <w:tcW w:w="850" w:type="dxa"/>
          </w:tcPr>
          <w:p w14:paraId="345DFF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030</w:t>
            </w:r>
          </w:p>
        </w:tc>
        <w:tc>
          <w:tcPr>
            <w:tcW w:w="1977" w:type="dxa"/>
          </w:tcPr>
          <w:p w14:paraId="151AD3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Воздушного охлаждения</w:t>
            </w:r>
          </w:p>
        </w:tc>
        <w:tc>
          <w:tcPr>
            <w:tcW w:w="1977" w:type="dxa"/>
          </w:tcPr>
          <w:p w14:paraId="4141F5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977" w:type="dxa"/>
          </w:tcPr>
          <w:p w14:paraId="1A725D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4000</w:t>
            </w:r>
          </w:p>
        </w:tc>
        <w:tc>
          <w:tcPr>
            <w:tcW w:w="1977" w:type="dxa"/>
          </w:tcPr>
          <w:p w14:paraId="308262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10000</w:t>
            </w:r>
          </w:p>
        </w:tc>
        <w:tc>
          <w:tcPr>
            <w:tcW w:w="1977" w:type="dxa"/>
          </w:tcPr>
          <w:p w14:paraId="15037F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10000</w:t>
            </w:r>
          </w:p>
        </w:tc>
      </w:tr>
      <w:tr w:rsidR="001002C3" w:rsidRPr="005E779E" w14:paraId="0BF7D287" w14:textId="77777777">
        <w:tc>
          <w:tcPr>
            <w:tcW w:w="534" w:type="dxa"/>
          </w:tcPr>
          <w:p w14:paraId="2390B8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w:t>
            </w:r>
          </w:p>
        </w:tc>
        <w:tc>
          <w:tcPr>
            <w:tcW w:w="850" w:type="dxa"/>
          </w:tcPr>
          <w:p w14:paraId="0210F3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040</w:t>
            </w:r>
          </w:p>
        </w:tc>
        <w:tc>
          <w:tcPr>
            <w:tcW w:w="1977" w:type="dxa"/>
          </w:tcPr>
          <w:p w14:paraId="5F59F0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Маломощные</w:t>
            </w:r>
          </w:p>
        </w:tc>
        <w:tc>
          <w:tcPr>
            <w:tcW w:w="1977" w:type="dxa"/>
          </w:tcPr>
          <w:p w14:paraId="1862D2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977" w:type="dxa"/>
          </w:tcPr>
          <w:p w14:paraId="222E42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977" w:type="dxa"/>
          </w:tcPr>
          <w:p w14:paraId="63CAA7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5500</w:t>
            </w:r>
          </w:p>
        </w:tc>
        <w:tc>
          <w:tcPr>
            <w:tcW w:w="1977" w:type="dxa"/>
          </w:tcPr>
          <w:p w14:paraId="70807A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10000</w:t>
            </w:r>
          </w:p>
        </w:tc>
      </w:tr>
      <w:tr w:rsidR="001002C3" w:rsidRPr="005E779E" w14:paraId="4C035DC7" w14:textId="77777777">
        <w:tc>
          <w:tcPr>
            <w:tcW w:w="534" w:type="dxa"/>
          </w:tcPr>
          <w:p w14:paraId="3D543A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w:t>
            </w:r>
          </w:p>
        </w:tc>
        <w:tc>
          <w:tcPr>
            <w:tcW w:w="850" w:type="dxa"/>
          </w:tcPr>
          <w:p w14:paraId="634295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ФЗУ и др.</w:t>
            </w:r>
          </w:p>
        </w:tc>
        <w:tc>
          <w:tcPr>
            <w:tcW w:w="1977" w:type="dxa"/>
          </w:tcPr>
          <w:p w14:paraId="0C6A64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Маломощные</w:t>
            </w:r>
          </w:p>
        </w:tc>
        <w:tc>
          <w:tcPr>
            <w:tcW w:w="1977" w:type="dxa"/>
          </w:tcPr>
          <w:p w14:paraId="688F82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977" w:type="dxa"/>
          </w:tcPr>
          <w:p w14:paraId="6484C9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1500</w:t>
            </w:r>
          </w:p>
        </w:tc>
        <w:tc>
          <w:tcPr>
            <w:tcW w:w="1977" w:type="dxa"/>
          </w:tcPr>
          <w:p w14:paraId="55392E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977" w:type="dxa"/>
          </w:tcPr>
          <w:p w14:paraId="0DB0A0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r>
      <w:tr w:rsidR="001002C3" w:rsidRPr="005E779E" w14:paraId="35C66C32" w14:textId="77777777">
        <w:tc>
          <w:tcPr>
            <w:tcW w:w="534" w:type="dxa"/>
          </w:tcPr>
          <w:p w14:paraId="38317C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w:t>
            </w:r>
          </w:p>
        </w:tc>
        <w:tc>
          <w:tcPr>
            <w:tcW w:w="850" w:type="dxa"/>
          </w:tcPr>
          <w:p w14:paraId="5D6FDF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050</w:t>
            </w:r>
          </w:p>
        </w:tc>
        <w:tc>
          <w:tcPr>
            <w:tcW w:w="1977" w:type="dxa"/>
          </w:tcPr>
          <w:p w14:paraId="27CFAC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Нефтяные</w:t>
            </w:r>
          </w:p>
        </w:tc>
        <w:tc>
          <w:tcPr>
            <w:tcW w:w="1977" w:type="dxa"/>
          </w:tcPr>
          <w:p w14:paraId="6519E7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977" w:type="dxa"/>
          </w:tcPr>
          <w:p w14:paraId="2DE303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w:t>
            </w:r>
          </w:p>
        </w:tc>
        <w:tc>
          <w:tcPr>
            <w:tcW w:w="1977" w:type="dxa"/>
          </w:tcPr>
          <w:p w14:paraId="790668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1500</w:t>
            </w:r>
          </w:p>
        </w:tc>
        <w:tc>
          <w:tcPr>
            <w:tcW w:w="1977" w:type="dxa"/>
          </w:tcPr>
          <w:p w14:paraId="05F226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1500</w:t>
            </w:r>
          </w:p>
        </w:tc>
      </w:tr>
      <w:tr w:rsidR="001002C3" w:rsidRPr="005E779E" w14:paraId="17402D49" w14:textId="77777777">
        <w:tc>
          <w:tcPr>
            <w:tcW w:w="534" w:type="dxa"/>
          </w:tcPr>
          <w:p w14:paraId="183194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10A9B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977" w:type="dxa"/>
          </w:tcPr>
          <w:p w14:paraId="4F0BE8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w:t>
            </w:r>
          </w:p>
        </w:tc>
        <w:tc>
          <w:tcPr>
            <w:tcW w:w="1977" w:type="dxa"/>
          </w:tcPr>
          <w:p w14:paraId="16E537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11200</w:t>
            </w:r>
          </w:p>
        </w:tc>
        <w:tc>
          <w:tcPr>
            <w:tcW w:w="1977" w:type="dxa"/>
          </w:tcPr>
          <w:p w14:paraId="729B61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35000</w:t>
            </w:r>
          </w:p>
        </w:tc>
        <w:tc>
          <w:tcPr>
            <w:tcW w:w="1977" w:type="dxa"/>
          </w:tcPr>
          <w:p w14:paraId="4E06F8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62000</w:t>
            </w:r>
          </w:p>
        </w:tc>
        <w:tc>
          <w:tcPr>
            <w:tcW w:w="1977" w:type="dxa"/>
          </w:tcPr>
          <w:p w14:paraId="7C850C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73500</w:t>
            </w:r>
          </w:p>
        </w:tc>
      </w:tr>
      <w:tr w:rsidR="001002C3" w:rsidRPr="005E779E" w14:paraId="5E7FBF53" w14:textId="77777777">
        <w:tc>
          <w:tcPr>
            <w:tcW w:w="534" w:type="dxa"/>
            <w:tcBorders>
              <w:bottom w:val="single" w:sz="12" w:space="0" w:color="auto"/>
            </w:tcBorders>
          </w:tcPr>
          <w:p w14:paraId="141600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w:t>
            </w:r>
          </w:p>
        </w:tc>
        <w:tc>
          <w:tcPr>
            <w:tcW w:w="850" w:type="dxa"/>
            <w:tcBorders>
              <w:bottom w:val="single" w:sz="12" w:space="0" w:color="auto"/>
            </w:tcBorders>
          </w:tcPr>
          <w:p w14:paraId="2B2D0D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977" w:type="dxa"/>
            <w:tcBorders>
              <w:bottom w:val="single" w:sz="12" w:space="0" w:color="auto"/>
            </w:tcBorders>
          </w:tcPr>
          <w:p w14:paraId="7A6EF6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Кертис танковых</w:t>
            </w:r>
          </w:p>
        </w:tc>
        <w:tc>
          <w:tcPr>
            <w:tcW w:w="1977" w:type="dxa"/>
            <w:tcBorders>
              <w:bottom w:val="single" w:sz="12" w:space="0" w:color="auto"/>
            </w:tcBorders>
          </w:tcPr>
          <w:p w14:paraId="0DEFAF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977" w:type="dxa"/>
            <w:tcBorders>
              <w:bottom w:val="single" w:sz="12" w:space="0" w:color="auto"/>
            </w:tcBorders>
          </w:tcPr>
          <w:p w14:paraId="3F1E33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2000</w:t>
            </w:r>
          </w:p>
        </w:tc>
        <w:tc>
          <w:tcPr>
            <w:tcW w:w="1977" w:type="dxa"/>
            <w:tcBorders>
              <w:bottom w:val="single" w:sz="12" w:space="0" w:color="auto"/>
            </w:tcBorders>
          </w:tcPr>
          <w:p w14:paraId="049A08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977" w:type="dxa"/>
            <w:tcBorders>
              <w:bottom w:val="single" w:sz="12" w:space="0" w:color="auto"/>
            </w:tcBorders>
          </w:tcPr>
          <w:p w14:paraId="2439F5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10000</w:t>
            </w:r>
          </w:p>
        </w:tc>
      </w:tr>
    </w:tbl>
    <w:p w14:paraId="65DBB6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 Для выдачи промзаданий по проектированию, сообщаю для руководства, утвержденный начальником ВАО, отправные данные:</w:t>
      </w:r>
    </w:p>
    <w:p w14:paraId="38ECCD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Завод № 21 - расчетной единицей для проектирования принять самолет И5; перепроектировку с мощности 2400 на мощность 3500 произвести в 1933 г.</w:t>
      </w:r>
    </w:p>
    <w:p w14:paraId="6FA430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Завод № 1 - проектировать под 5000 самолетов Р5 с возможностью замены на сварную конструкцию Р8</w:t>
      </w:r>
    </w:p>
    <w:p w14:paraId="08EEE5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Завод № 31 перепроектировать на мощность 2400 сухопутных самолетов разведывательного типа Р5 или Р8, с возможностью постановки производства сварных конструкций; под это задание перепроектируется новый корпус; в старом корпусе из объема этого задания предусмотреть возможность производства морских самолетов типа М-62 или МБР3 в количестве 300-400 штук. Дальнейшее расширение под 3500 шт. предусматривает изготовление в том же порядке 3000 сухопутных морских разведчиков и 500 морских указанного выше типа. Окончательное решение об объеме работ принять, произведя предварительные исследования возможностей существующих корпусов, как старых, так и новых так как для завода № 31 заказано уже оборудование для дюралевого производства, могущее оказаться излишним, необходим вопрос об исследовании варианта наивыгоднейшего использования завода № 31 и определить в течение 1У квартала 31 г., что поручается Авиастрою с привлечением самолетного сектора, руководствуясь указаниями, изложенными выше.</w:t>
      </w:r>
    </w:p>
    <w:p w14:paraId="4FEF0D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Завод ХАЗ перепроектировку завода ХАЗ на изготовление 1000 машин типа 2-х местных истребителей ДИ6 или ДИ7 произвести в 1933 г.</w:t>
      </w:r>
    </w:p>
    <w:p w14:paraId="20F20C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Завод 01 штурмовиков с плана строительства снять.</w:t>
      </w:r>
    </w:p>
    <w:p w14:paraId="00D860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Завод № 16 должен быть перепроектирован под мощность в 1600 легких типа ЛБШ и 200 тяжелых типа ТШ2-ТШ-3. По этой программе надлежит перепроектировать завод, использовав запроектированные площади.</w:t>
      </w:r>
    </w:p>
    <w:p w14:paraId="07EF82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Завод № 22 - проектная мощность 1000 учебных типа У2. С 1935 переходит на производство авиеток и должен будет обладать мощностью 3000 шт., поэтому перепроектировать его надлежит в 1933 г.</w:t>
      </w:r>
    </w:p>
    <w:p w14:paraId="0A762F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Завод 02 проектировать на мощность 4000 учебных У2 и 4000 авиеток - строительство завода начать в 1933.</w:t>
      </w:r>
    </w:p>
    <w:p w14:paraId="72F9B3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Завод морских самолетов проектировать на мощность 700МБР-5 - МДР3 и 150 МТБ3. Постройку завода произвести в 1932 году с окончанием в 1935 году. На мощности первой очереди - 500 и второй - 700 самолетов.</w:t>
      </w:r>
    </w:p>
    <w:p w14:paraId="705AB1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Завод № 22 проектируется под окончательное задание...которые проектировался завод № 22 - дает 1500 шт.</w:t>
      </w:r>
    </w:p>
    <w:p w14:paraId="6268AF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Завод № 18 запроектированный на 1500 ТБ3 остается без изменений.</w:t>
      </w:r>
    </w:p>
    <w:p w14:paraId="652A82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Завод № 04 проектируется под 600 стальных К7 и 200 К14. Строится завод начинает в 1933.</w:t>
      </w:r>
    </w:p>
    <w:p w14:paraId="2AE34C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завод № 05 - специальный должен быть построен в 1932 г. Завод должен иметь возможность производить различные типы для войсковых серий, а также мелких серий, до 100 шт. каждая специальных машин. Причем, завод должен производить машины как деревянные и сварные, так и металлические дюралевые и стальные. Мощность завода запроектирована следующим образом:</w:t>
      </w:r>
    </w:p>
    <w:p w14:paraId="6CEE89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 тяжелых металлических (типа ТБ-4 - ТБ-6)</w:t>
      </w:r>
    </w:p>
    <w:p w14:paraId="161094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 пушечных типа № 7 завода № 39</w:t>
      </w:r>
    </w:p>
    <w:p w14:paraId="151C06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 амфибий (типа МДР3)</w:t>
      </w:r>
    </w:p>
    <w:p w14:paraId="6F3506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 скоростных разведчиков (типа Р-10)</w:t>
      </w:r>
    </w:p>
    <w:p w14:paraId="60463E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90 - 3-х типов для войсковых серий - расчетный тип - разведчик Р5-Р8</w:t>
      </w:r>
    </w:p>
    <w:p w14:paraId="01D1E5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сверхтяжелых типа СТБ</w:t>
      </w:r>
    </w:p>
    <w:p w14:paraId="6C5B2F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моторным заводам</w:t>
      </w:r>
    </w:p>
    <w:p w14:paraId="014BAE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Завод № 24 - перепроектировать на мощность 15000 шт. Расширяется двумя очередями - к 1\1-33 - 10000 шт., к 1/1-34 - 15000. Завод проектируется из расчета 30% моторов М-34 и 20% моторов ФЭД.</w:t>
      </w:r>
    </w:p>
    <w:p w14:paraId="4F606C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Завод № 26 перепроектировать на мощность 10000 моторов М-17 или М-34 согласно наших указаний, данных в письме № 375/58от 10 сентября 1931</w:t>
      </w:r>
    </w:p>
    <w:p w14:paraId="413162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Завод № 010 проектировать на мощность в 10000 моторов М32 или Кертис-Конверер. Постройка завода начинается в 1933.</w:t>
      </w:r>
    </w:p>
    <w:p w14:paraId="1EABD2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Завод № 29 перепроектировать на мощность 6000 моторов М11 к 1/1-34 г, до этого годпа завод производит моторы М22 и М11 в количествах, указанных выше.</w:t>
      </w:r>
    </w:p>
    <w:p w14:paraId="40AF5E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Завод № 19 перепроектировать на мощность 6000 моторов М22 с окончанием постройки и оборудования в 1932 и частичным пуском в производство в середине 1922.</w:t>
      </w:r>
    </w:p>
    <w:p w14:paraId="22D05E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Завод № 020 проектировать под 10000 моторов воздушного охлаждения, из которых 5000 Циклон и 5000 Райт-6. Постройку первой очереди завода произвести в 1932 и закончить в 1933....(2329).</w:t>
      </w:r>
    </w:p>
    <w:p w14:paraId="2ED1C8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10B4A8B"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69377FD9"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130A1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сентября 1931 года был собран первый танк БТ (он назывался ОБТ - опытный). После некоторых незначительных переделок и доводки конструкции танк пошел в серию под маркой БТ-2 (9154).</w:t>
      </w:r>
    </w:p>
    <w:p w14:paraId="11AB5E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65350A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сентября 1931 года первый танк БТ-2 был собран на ХПЗ. И должен был сделать первые шаги. Учитывая торжественность момента, директор за</w:t>
      </w:r>
      <w:r w:rsidRPr="005E779E">
        <w:rPr>
          <w:rFonts w:ascii="Times New Roman" w:hAnsi="Times New Roman"/>
          <w:color w:val="000000" w:themeColor="text1"/>
          <w:sz w:val="16"/>
          <w:szCs w:val="16"/>
        </w:rPr>
        <w:softHyphen/>
        <w:t>вода Л.С. Владимиров попросил конструкторов и производственников не начинать этой «процедуры» без него. Он вскоре появился на сборке и, как бывший шофер 1-го класса, решил сам «освятить воду». Сел за рычаги танка, завел мотор и начал плавно двигаться вдоль конвейера. Доехав до конца площадки танк начал разворачиваться, но не тут-то было. Поворот не удался. Владимиров вылез из машины и быстро ушел из цеха.</w:t>
      </w:r>
    </w:p>
    <w:p w14:paraId="754AA9B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Такое начало, конечно, никого не обрадовало. Однако, после длитель</w:t>
      </w:r>
      <w:r w:rsidRPr="005E779E">
        <w:rPr>
          <w:rFonts w:ascii="Times New Roman" w:hAnsi="Times New Roman"/>
          <w:color w:val="000000" w:themeColor="text1"/>
          <w:sz w:val="16"/>
          <w:szCs w:val="16"/>
        </w:rPr>
        <w:softHyphen/>
        <w:t>ной возни и всяких перерегулировок танк все-таки стал поворачиваться и машина благополучно «прошлась» по цеху. Поэтому следующий день стал самым торжественным, предстоял первый пробег первого танка БТ.</w:t>
      </w:r>
    </w:p>
    <w:p w14:paraId="4C5E3D4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Когда в сентябрьские сумерки машина выходила из цеха, на площадке возле Т-2 собралось уйма народу, приветствовавшая первенца бурными воз</w:t>
      </w:r>
      <w:r w:rsidRPr="005E779E">
        <w:rPr>
          <w:rFonts w:ascii="Times New Roman" w:hAnsi="Times New Roman"/>
          <w:color w:val="000000" w:themeColor="text1"/>
          <w:sz w:val="16"/>
          <w:szCs w:val="16"/>
        </w:rPr>
        <w:softHyphen/>
        <w:t>гласами и аплодисментами. Машина на колесном ходу направилась к цен</w:t>
      </w:r>
      <w:r w:rsidRPr="005E779E">
        <w:rPr>
          <w:rFonts w:ascii="Times New Roman" w:hAnsi="Times New Roman"/>
          <w:color w:val="000000" w:themeColor="text1"/>
          <w:sz w:val="16"/>
          <w:szCs w:val="16"/>
        </w:rPr>
        <w:softHyphen/>
        <w:t>тральной проходной. Танк шел медленно, а впереди шествовало все руко</w:t>
      </w:r>
      <w:r w:rsidRPr="005E779E">
        <w:rPr>
          <w:rFonts w:ascii="Times New Roman" w:hAnsi="Times New Roman"/>
          <w:color w:val="000000" w:themeColor="text1"/>
          <w:sz w:val="16"/>
          <w:szCs w:val="16"/>
        </w:rPr>
        <w:softHyphen/>
        <w:t>водство завода, которое вначале, на всякий случай, боясь, «как бы чего не вышло», отбрасывало с дороги попадавшиеся посторонние предметы.</w:t>
      </w:r>
    </w:p>
    <w:p w14:paraId="5661BE9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Однако вскоре все убедились, что никакие кирпичи, металлический лом и прочее танку не страшны.</w:t>
      </w:r>
    </w:p>
    <w:p w14:paraId="7EDA3D2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Сзади и с боков танк сопровождали толпы рабочих завода, которые затаив дыхание, следили за его поведением. Дойдя до главной конторы, водитель начал постепенно увеличивать скорость и скоро «оторвался» от сопровождающих.</w:t>
      </w:r>
    </w:p>
    <w:p w14:paraId="1568591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торжественного «кольца» по заводу, танк благополучно вернул</w:t>
      </w:r>
      <w:r w:rsidRPr="005E779E">
        <w:rPr>
          <w:rFonts w:ascii="Times New Roman" w:hAnsi="Times New Roman"/>
          <w:color w:val="000000" w:themeColor="text1"/>
          <w:sz w:val="16"/>
          <w:szCs w:val="16"/>
        </w:rPr>
        <w:softHyphen/>
        <w:t>ся в цех. Однако танк, хоть и вернулся в цех своим ходом, он «привез», солидный перечень дефектов и неисправностей, которые пришлось уст</w:t>
      </w:r>
      <w:r w:rsidRPr="005E779E">
        <w:rPr>
          <w:rFonts w:ascii="Times New Roman" w:hAnsi="Times New Roman"/>
          <w:color w:val="000000" w:themeColor="text1"/>
          <w:sz w:val="16"/>
          <w:szCs w:val="16"/>
        </w:rPr>
        <w:softHyphen/>
        <w:t>ранять длительное время (11504).</w:t>
      </w:r>
    </w:p>
    <w:p w14:paraId="5F2E4DB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689CE9"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5E583CEE"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A266F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концу сентября 1931 г. в 62-й эскадрилье 4-й авиабригады на Балтике уже имелись три ЮГ-1 и три ТБ-1 П. Последние использовали для испытаний торпеды ВВС-12. После доработки ее приняли на вооружение как ТАН-12, а ВВС-15 - как ТАВ-15. Мина ВОМИЗА-1СЮ получила новое обозначение МАВ-1, в 1933 г. ее модернизировали, несколько облегчив и упростив.</w:t>
      </w:r>
    </w:p>
    <w:p w14:paraId="2F97D5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1933 г. арсенал морской авиации пополнился более мощной торпедой ТАВ-12. Она была прочнее, чем ТАВ-15 и позволяла сброс на скорости до 180 км/ч. Кроме того, у нее была выше скорость и втрое большая дальность хода. Парашютная система у торпед обоих типов была унифицирована. В 1934 - 1936 гг. под руководством В.И. Алферова доработали ТАН-12, получив модификацию ТАН-12А. Количество парашютов уменьшили с четырех до двух, а жесткий короб заменили мягкой упаковкой, при этом вес парашютной системы уменьшился с 450 до 120 кг, а время спуска с высоты 2000 м - с 55 до 45 с. Той же парашютной системой оснастили ТАВ-15, получив ТАВ-15А. Эти мины и торпеды стали основным вооружением советской минно-торпедной авиации в 1930-х гг.</w:t>
      </w:r>
    </w:p>
    <w:p w14:paraId="6EE4C2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1932 г. по постановлению Реввоенсовета приступили к формированию первых боевых частей минно-торпедной авиации. В их число вошли 121-я эскадрилья на Балтике, отряд в составе 124-й эскадрильи на Черном море и 1-я эскадрилья в составе Морских сил Дальнего Востока. По штату торпедной эскадрилье полагалось 12 машин. Эскадрилья делилась на три отряда. Все эти части создавались на базе уже существующих, но имевших другое назначение. Например, чтобы усилить морскую авиацию на Дальнем Востоке, которому придавалось особое значение, в марте 1932 г. в Хабаровск перебросили 51-ю эскадрилью из Воронежа, переименованную в 1-ю.</w:t>
      </w:r>
    </w:p>
    <w:p w14:paraId="590A19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 процесс сдерживался медленным поступлением мостов, мин и торпед. Реально к декабрю 1932 г. ВВС РККА имели в общей сложности лишь десять самолетов, оснащенных надлежащим образом: четыре на Черном море, столько же на Балтике и три на Дальнем Востоке. Для них на складах лежали 27 боевых торпед и всего четыре мины. Соответственно, задержалась и специальная подготовка экипажей. Так, освоение высотного торпедометания в 1-й эскадрилье первым начал отряд П.И. Сучко весной 1933 г. (12001).</w:t>
      </w:r>
    </w:p>
    <w:p w14:paraId="7391C2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727BDE1" w14:textId="77777777" w:rsidR="00500A74" w:rsidRPr="00142305" w:rsidRDefault="00500A74" w:rsidP="00500A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К концу сентября 1931 г. в 62-й эскадрилье 4-й авиабригады на Балтике уже имелись три ЮГ-1 и три ТБ-1П. Последние использовали для испытаний торпеды ВВС-12. После доработки ее при</w:t>
      </w:r>
      <w:r w:rsidRPr="00142305">
        <w:rPr>
          <w:rFonts w:ascii="Times New Roman" w:hAnsi="Times New Roman"/>
          <w:color w:val="0070C0"/>
          <w:sz w:val="16"/>
          <w:szCs w:val="16"/>
        </w:rPr>
        <w:softHyphen/>
        <w:t>няли на вооружение как ТАН-12, а ВВС-15 - как ТАВ-15. Мина ВОМИЗА-ЮО получила новое обозначение МАВ-1, в 1933 г. ее модернизировали, несколько облегчив и уп</w:t>
      </w:r>
      <w:r w:rsidRPr="00142305">
        <w:rPr>
          <w:rFonts w:ascii="Times New Roman" w:hAnsi="Times New Roman"/>
          <w:color w:val="0070C0"/>
          <w:sz w:val="16"/>
          <w:szCs w:val="16"/>
        </w:rPr>
        <w:softHyphen/>
        <w:t>ростив (25004).</w:t>
      </w:r>
    </w:p>
    <w:p w14:paraId="3AAC28D2" w14:textId="77777777" w:rsidR="00500A74" w:rsidRPr="00142305" w:rsidRDefault="00500A74" w:rsidP="00500A74">
      <w:pPr>
        <w:spacing w:after="0" w:line="240" w:lineRule="auto"/>
        <w:jc w:val="both"/>
        <w:rPr>
          <w:rFonts w:ascii="Times New Roman" w:hAnsi="Times New Roman"/>
          <w:color w:val="0070C0"/>
          <w:sz w:val="16"/>
          <w:szCs w:val="16"/>
        </w:rPr>
      </w:pPr>
    </w:p>
    <w:p w14:paraId="39CEAA4B" w14:textId="77777777" w:rsidR="003E068A" w:rsidRPr="005E779E" w:rsidRDefault="003E068A"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4867C800" w14:textId="77777777" w:rsidR="003E068A" w:rsidRPr="005E779E" w:rsidRDefault="003E068A"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0709026" w14:textId="77777777" w:rsidR="003E068A" w:rsidRPr="005E779E" w:rsidRDefault="003E068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сентября 1931 г. Ротерт. доложил городскому комитету партии о состоянии работы: до 1939 г. Метрострой намеревался проложить 70 км линий метрополитена. Первая очередь строительства продлится до 1937 г., она включит 40 км путей и обойдется в 400 млн. руб. Первые линии метро общей протяженностью 18 км намечалось сдать в эксплуатацию кконцу 1934 г. Потребность в рабочей силе Ротерт. оценил в 15 тыс. чел.{398}Горком партии утвердил объем работ и дал распоряжение Метрострою представить до 1 ноября 1931 г. схему линий в сжатом виде, а к 15 ноября план строительных работ и текущую смету расходов на 1932 г. Для того чтобы весной начать строительные работы, Метрострою было поручено подготовить для рабочих зимние жилища{399}.</w:t>
      </w:r>
    </w:p>
    <w:p w14:paraId="0956EE14" w14:textId="77777777" w:rsidR="003E068A" w:rsidRPr="005E779E" w:rsidRDefault="003E068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Намеченные Ротерт.ом строительные замыслы покоились на самых грубых (приблизительных) оценках. Настоящего проекта пока не было предложено. Готовившийся в течениегода проект МГЖД был забракован, так как имел в виду парижский способ строительства и по своему характеру, ориентированному на минимизацию расходов (укороченные станции), более не соответствовал актуальным требованиям. Под влиянием Ротерта, Финкеля и Шелюбского остановились на берлинском способе и приняли за основу собственного проекта план фирмы «Сименс-Бауюнион» 1926 г. Ввиду нехватки специалистов по сооружению тоннелей и квалифицированной рабочей силы посчитали более реалистичнымпо сравнению с прокладкой подземных тоннелей технически упрощенный способ строительства метро открытым способом. На участках, где открытый способ не мог применяться, например при проходке под зданиями или путями железной дороги, следовало прибегнуть к парижскому методу. Для испытания на практике этого способа строительства в московских условиях было решено проложить экспериментальный тоннель длиной 100 м у Митьковского виадука{400}.Инженер Маковский в октябре 1931 г. подготовил соответствующий проект{401} (18299).</w:t>
      </w:r>
    </w:p>
    <w:p w14:paraId="66F83ACC" w14:textId="77777777" w:rsidR="003E068A" w:rsidRPr="005E779E" w:rsidRDefault="003E068A" w:rsidP="000B7A6C">
      <w:pPr>
        <w:spacing w:after="0" w:line="240" w:lineRule="auto"/>
        <w:jc w:val="both"/>
        <w:rPr>
          <w:rFonts w:ascii="Times New Roman" w:hAnsi="Times New Roman"/>
          <w:color w:val="000000" w:themeColor="text1"/>
          <w:sz w:val="16"/>
          <w:szCs w:val="16"/>
        </w:rPr>
      </w:pPr>
    </w:p>
    <w:p w14:paraId="6761F18F" w14:textId="77777777" w:rsidR="00732317" w:rsidRPr="005E779E" w:rsidRDefault="00732317"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337CDB62" w14:textId="77777777" w:rsidR="00732317" w:rsidRPr="005E779E" w:rsidRDefault="00732317"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7B7CA2A" w14:textId="77777777" w:rsidR="00732317" w:rsidRPr="005E779E" w:rsidRDefault="00732317" w:rsidP="000B7A6C">
      <w:pPr>
        <w:pStyle w:val="520"/>
        <w:shd w:val="clear" w:color="auto" w:fill="auto"/>
        <w:spacing w:line="240" w:lineRule="auto"/>
        <w:rPr>
          <w:rFonts w:ascii="Times New Roman" w:hAnsi="Times New Roman" w:cs="Times New Roman"/>
          <w:color w:val="000000" w:themeColor="text1"/>
          <w:sz w:val="16"/>
          <w:szCs w:val="16"/>
        </w:rPr>
      </w:pPr>
      <w:r w:rsidRPr="005E779E">
        <w:rPr>
          <w:rFonts w:ascii="Times New Roman" w:hAnsi="Times New Roman" w:cs="Times New Roman"/>
          <w:color w:val="000000" w:themeColor="text1"/>
          <w:sz w:val="16"/>
          <w:szCs w:val="16"/>
          <w:lang w:val="ru-RU"/>
        </w:rPr>
        <w:t>В</w:t>
      </w:r>
      <w:r w:rsidRPr="005E779E">
        <w:rPr>
          <w:rFonts w:ascii="Times New Roman" w:hAnsi="Times New Roman" w:cs="Times New Roman"/>
          <w:color w:val="000000" w:themeColor="text1"/>
          <w:sz w:val="16"/>
          <w:szCs w:val="16"/>
        </w:rPr>
        <w:t>тор</w:t>
      </w:r>
      <w:r w:rsidRPr="005E779E">
        <w:rPr>
          <w:rFonts w:ascii="Times New Roman" w:hAnsi="Times New Roman" w:cs="Times New Roman"/>
          <w:color w:val="000000" w:themeColor="text1"/>
          <w:sz w:val="16"/>
          <w:szCs w:val="16"/>
          <w:lang w:val="ru-RU"/>
        </w:rPr>
        <w:t>ая</w:t>
      </w:r>
      <w:r w:rsidRPr="005E779E">
        <w:rPr>
          <w:rFonts w:ascii="Times New Roman" w:hAnsi="Times New Roman" w:cs="Times New Roman"/>
          <w:color w:val="000000" w:themeColor="text1"/>
          <w:sz w:val="16"/>
          <w:szCs w:val="16"/>
        </w:rPr>
        <w:t xml:space="preserve"> половин</w:t>
      </w:r>
      <w:r w:rsidRPr="005E779E">
        <w:rPr>
          <w:rFonts w:ascii="Times New Roman" w:hAnsi="Times New Roman" w:cs="Times New Roman"/>
          <w:color w:val="000000" w:themeColor="text1"/>
          <w:sz w:val="16"/>
          <w:szCs w:val="16"/>
          <w:lang w:val="ru-RU"/>
        </w:rPr>
        <w:t>а</w:t>
      </w:r>
      <w:r w:rsidRPr="005E779E">
        <w:rPr>
          <w:rFonts w:ascii="Times New Roman" w:hAnsi="Times New Roman" w:cs="Times New Roman"/>
          <w:color w:val="000000" w:themeColor="text1"/>
          <w:sz w:val="16"/>
          <w:szCs w:val="16"/>
        </w:rPr>
        <w:t xml:space="preserve"> сентября 1931 года можно считать </w:t>
      </w:r>
      <w:r w:rsidRPr="005E779E">
        <w:rPr>
          <w:rFonts w:ascii="Times New Roman" w:hAnsi="Times New Roman" w:cs="Times New Roman"/>
          <w:color w:val="000000" w:themeColor="text1"/>
          <w:sz w:val="16"/>
          <w:szCs w:val="16"/>
          <w:lang w:val="ru-RU"/>
        </w:rPr>
        <w:t>о</w:t>
      </w:r>
      <w:r w:rsidRPr="005E779E">
        <w:rPr>
          <w:rFonts w:ascii="Times New Roman" w:hAnsi="Times New Roman" w:cs="Times New Roman"/>
          <w:color w:val="000000" w:themeColor="text1"/>
          <w:sz w:val="16"/>
          <w:szCs w:val="16"/>
        </w:rPr>
        <w:t>тправной точкой разработки автожира А-7. Н.И. Камов в то время трудился в КБ Поля Эмэ Ришара и нахо</w:t>
      </w:r>
      <w:r w:rsidRPr="005E779E">
        <w:rPr>
          <w:rFonts w:ascii="Times New Roman" w:hAnsi="Times New Roman" w:cs="Times New Roman"/>
          <w:color w:val="000000" w:themeColor="text1"/>
          <w:sz w:val="16"/>
          <w:szCs w:val="16"/>
        </w:rPr>
        <w:softHyphen/>
        <w:t>дился в командировке в г. Севастополь. По инициативе Николая Ильича в штабе Черно</w:t>
      </w:r>
      <w:r w:rsidRPr="005E779E">
        <w:rPr>
          <w:rFonts w:ascii="Times New Roman" w:hAnsi="Times New Roman" w:cs="Times New Roman"/>
          <w:color w:val="000000" w:themeColor="text1"/>
          <w:sz w:val="16"/>
          <w:szCs w:val="16"/>
        </w:rPr>
        <w:softHyphen/>
        <w:t xml:space="preserve">морского Флота состоялось совещание, на котором он сделал доклад по итогам работ над автожирами </w:t>
      </w:r>
      <w:r w:rsidRPr="005E779E">
        <w:rPr>
          <w:rFonts w:ascii="Times New Roman" w:hAnsi="Times New Roman" w:cs="Times New Roman"/>
          <w:color w:val="000000" w:themeColor="text1"/>
          <w:sz w:val="16"/>
          <w:szCs w:val="16"/>
          <w:lang w:val="en-US"/>
        </w:rPr>
        <w:t>KACKP</w:t>
      </w:r>
      <w:r w:rsidRPr="005E779E">
        <w:rPr>
          <w:rFonts w:ascii="Times New Roman" w:hAnsi="Times New Roman" w:cs="Times New Roman"/>
          <w:color w:val="000000" w:themeColor="text1"/>
          <w:sz w:val="16"/>
          <w:szCs w:val="16"/>
          <w:lang w:val="ru-RU"/>
        </w:rPr>
        <w:t>-</w:t>
      </w:r>
      <w:r w:rsidRPr="005E779E">
        <w:rPr>
          <w:rFonts w:ascii="Times New Roman" w:hAnsi="Times New Roman" w:cs="Times New Roman"/>
          <w:color w:val="000000" w:themeColor="text1"/>
          <w:sz w:val="16"/>
          <w:szCs w:val="16"/>
          <w:lang w:val="en-US"/>
        </w:rPr>
        <w:t>I</w:t>
      </w:r>
      <w:r w:rsidRPr="005E779E">
        <w:rPr>
          <w:rFonts w:ascii="Times New Roman" w:hAnsi="Times New Roman" w:cs="Times New Roman"/>
          <w:color w:val="000000" w:themeColor="text1"/>
          <w:sz w:val="16"/>
          <w:szCs w:val="16"/>
          <w:lang w:val="ru-RU"/>
        </w:rPr>
        <w:t xml:space="preserve"> </w:t>
      </w:r>
      <w:r w:rsidRPr="005E779E">
        <w:rPr>
          <w:rFonts w:ascii="Times New Roman" w:hAnsi="Times New Roman" w:cs="Times New Roman"/>
          <w:color w:val="000000" w:themeColor="text1"/>
          <w:sz w:val="16"/>
          <w:szCs w:val="16"/>
        </w:rPr>
        <w:t xml:space="preserve">и </w:t>
      </w:r>
      <w:r w:rsidRPr="005E779E">
        <w:rPr>
          <w:rFonts w:ascii="Times New Roman" w:hAnsi="Times New Roman" w:cs="Times New Roman"/>
          <w:color w:val="000000" w:themeColor="text1"/>
          <w:sz w:val="16"/>
          <w:szCs w:val="16"/>
          <w:lang w:val="en-US"/>
        </w:rPr>
        <w:t>KACKP</w:t>
      </w:r>
      <w:r w:rsidRPr="005E779E">
        <w:rPr>
          <w:rFonts w:ascii="Times New Roman" w:hAnsi="Times New Roman" w:cs="Times New Roman"/>
          <w:color w:val="000000" w:themeColor="text1"/>
          <w:sz w:val="16"/>
          <w:szCs w:val="16"/>
          <w:lang w:val="ru-RU"/>
        </w:rPr>
        <w:t>-</w:t>
      </w:r>
      <w:r w:rsidRPr="005E779E">
        <w:rPr>
          <w:rFonts w:ascii="Times New Roman" w:hAnsi="Times New Roman" w:cs="Times New Roman"/>
          <w:color w:val="000000" w:themeColor="text1"/>
          <w:sz w:val="16"/>
          <w:szCs w:val="16"/>
          <w:lang w:val="en-US"/>
        </w:rPr>
        <w:t>II</w:t>
      </w:r>
      <w:r w:rsidRPr="005E779E">
        <w:rPr>
          <w:rFonts w:ascii="Times New Roman" w:hAnsi="Times New Roman" w:cs="Times New Roman"/>
          <w:color w:val="000000" w:themeColor="text1"/>
          <w:sz w:val="16"/>
          <w:szCs w:val="16"/>
          <w:lang w:val="ru-RU"/>
        </w:rPr>
        <w:t xml:space="preserve">. </w:t>
      </w:r>
      <w:r w:rsidRPr="005E779E">
        <w:rPr>
          <w:rFonts w:ascii="Times New Roman" w:hAnsi="Times New Roman" w:cs="Times New Roman"/>
          <w:color w:val="000000" w:themeColor="text1"/>
          <w:sz w:val="16"/>
          <w:szCs w:val="16"/>
        </w:rPr>
        <w:t>Моря</w:t>
      </w:r>
      <w:r w:rsidRPr="005E779E">
        <w:rPr>
          <w:rFonts w:ascii="Times New Roman" w:hAnsi="Times New Roman" w:cs="Times New Roman"/>
          <w:color w:val="000000" w:themeColor="text1"/>
          <w:sz w:val="16"/>
          <w:szCs w:val="16"/>
        </w:rPr>
        <w:softHyphen/>
        <w:t>кам идея приема летательного аппарата на борт без остановки корабля и избавления от весьма сложного устройства - катапульты, очень приглянулась. Облик будущего А-7 и сложился во многом благодаря пожеланиям военных моряков. Первоначальные прора</w:t>
      </w:r>
      <w:r w:rsidRPr="005E779E">
        <w:rPr>
          <w:rFonts w:ascii="Times New Roman" w:hAnsi="Times New Roman" w:cs="Times New Roman"/>
          <w:color w:val="000000" w:themeColor="text1"/>
          <w:sz w:val="16"/>
          <w:szCs w:val="16"/>
        </w:rPr>
        <w:softHyphen/>
        <w:t xml:space="preserve">ботки нового автожира под обозначением </w:t>
      </w:r>
      <w:r w:rsidRPr="005E779E">
        <w:rPr>
          <w:rFonts w:ascii="Times New Roman" w:hAnsi="Times New Roman" w:cs="Times New Roman"/>
          <w:color w:val="000000" w:themeColor="text1"/>
          <w:sz w:val="16"/>
          <w:szCs w:val="16"/>
          <w:lang w:val="en-US"/>
        </w:rPr>
        <w:t>KACKP</w:t>
      </w:r>
      <w:r w:rsidRPr="005E779E">
        <w:rPr>
          <w:rFonts w:ascii="Times New Roman" w:hAnsi="Times New Roman" w:cs="Times New Roman"/>
          <w:color w:val="000000" w:themeColor="text1"/>
          <w:sz w:val="16"/>
          <w:szCs w:val="16"/>
          <w:lang w:val="ru-RU"/>
        </w:rPr>
        <w:t>-</w:t>
      </w:r>
      <w:r w:rsidRPr="005E779E">
        <w:rPr>
          <w:rFonts w:ascii="Times New Roman" w:hAnsi="Times New Roman" w:cs="Times New Roman"/>
          <w:color w:val="000000" w:themeColor="text1"/>
          <w:sz w:val="16"/>
          <w:szCs w:val="16"/>
          <w:lang w:val="en-US"/>
        </w:rPr>
        <w:t>IV</w:t>
      </w:r>
      <w:r w:rsidRPr="005E779E">
        <w:rPr>
          <w:rFonts w:ascii="Times New Roman" w:hAnsi="Times New Roman" w:cs="Times New Roman"/>
          <w:color w:val="000000" w:themeColor="text1"/>
          <w:sz w:val="16"/>
          <w:szCs w:val="16"/>
          <w:lang w:val="ru-RU"/>
        </w:rPr>
        <w:t xml:space="preserve"> </w:t>
      </w:r>
      <w:r w:rsidRPr="005E779E">
        <w:rPr>
          <w:rFonts w:ascii="Times New Roman" w:hAnsi="Times New Roman" w:cs="Times New Roman"/>
          <w:color w:val="000000" w:themeColor="text1"/>
          <w:sz w:val="16"/>
          <w:szCs w:val="16"/>
        </w:rPr>
        <w:t>велись совместно со Скржинским, но вскоре пути конструкторов разошлись. Николай Кириллович занялся проектом авто</w:t>
      </w:r>
      <w:r w:rsidRPr="005E779E">
        <w:rPr>
          <w:rFonts w:ascii="Times New Roman" w:hAnsi="Times New Roman" w:cs="Times New Roman"/>
          <w:color w:val="000000" w:themeColor="text1"/>
          <w:sz w:val="16"/>
          <w:szCs w:val="16"/>
        </w:rPr>
        <w:softHyphen/>
        <w:t>жира ЦАГИ А-4, впервые в СССР запущенного чуть позднее в серийное производство, а Николай Ильич продолжил работу над А-7 уже по заданию Главного артиллерийского управления, поддержанного Начальником ВВС - моряки довольно быстро отошли от роли заказчика.</w:t>
      </w:r>
    </w:p>
    <w:p w14:paraId="30D356D8" w14:textId="77777777" w:rsidR="00732317" w:rsidRPr="005E779E" w:rsidRDefault="00732317" w:rsidP="000B7A6C">
      <w:pPr>
        <w:pStyle w:val="520"/>
        <w:shd w:val="clear" w:color="auto" w:fill="auto"/>
        <w:spacing w:line="240" w:lineRule="auto"/>
        <w:rPr>
          <w:rFonts w:ascii="Times New Roman" w:hAnsi="Times New Roman" w:cs="Times New Roman"/>
          <w:color w:val="000000" w:themeColor="text1"/>
          <w:sz w:val="16"/>
          <w:szCs w:val="16"/>
        </w:rPr>
      </w:pPr>
      <w:r w:rsidRPr="005E779E">
        <w:rPr>
          <w:rFonts w:ascii="Times New Roman" w:hAnsi="Times New Roman" w:cs="Times New Roman"/>
          <w:color w:val="000000" w:themeColor="text1"/>
          <w:sz w:val="16"/>
          <w:szCs w:val="16"/>
        </w:rPr>
        <w:t>Автожир разрабатывался под мотор М-22 -лицензионную копию Гном и Рон Юпитер VI номинальной мощностью 480 л.с. Экипаж из двух человек размещался продольно, в отдельных кабинах. Управление двойное, что позволяло использовать автожир для обуче</w:t>
      </w:r>
      <w:r w:rsidRPr="005E779E">
        <w:rPr>
          <w:rFonts w:ascii="Times New Roman" w:hAnsi="Times New Roman" w:cs="Times New Roman"/>
          <w:color w:val="000000" w:themeColor="text1"/>
          <w:sz w:val="16"/>
          <w:szCs w:val="16"/>
        </w:rPr>
        <w:softHyphen/>
        <w:t>ния и вывозки. На трехлопастный свободно-несущий ротор планировалось установить цельнометаллические лопасти с профилем Геттинген-429. Основу фюзеляжа с обшив</w:t>
      </w:r>
      <w:r w:rsidRPr="005E779E">
        <w:rPr>
          <w:rFonts w:ascii="Times New Roman" w:hAnsi="Times New Roman" w:cs="Times New Roman"/>
          <w:color w:val="000000" w:themeColor="text1"/>
          <w:sz w:val="16"/>
          <w:szCs w:val="16"/>
        </w:rPr>
        <w:softHyphen/>
        <w:t>кой из электрона должна была составить стальная ферма, к которой крепилась кольчугалюминиевая хвостовая балка кессонного типа, переходящая в киль и несущая горизон</w:t>
      </w:r>
      <w:r w:rsidRPr="005E779E">
        <w:rPr>
          <w:rFonts w:ascii="Times New Roman" w:hAnsi="Times New Roman" w:cs="Times New Roman"/>
          <w:color w:val="000000" w:themeColor="text1"/>
          <w:sz w:val="16"/>
          <w:szCs w:val="16"/>
        </w:rPr>
        <w:softHyphen/>
        <w:t>тальное оперение. Автожир планировали оснастить достаточно большим металличе</w:t>
      </w:r>
      <w:r w:rsidRPr="005E779E">
        <w:rPr>
          <w:rFonts w:ascii="Times New Roman" w:hAnsi="Times New Roman" w:cs="Times New Roman"/>
          <w:color w:val="000000" w:themeColor="text1"/>
          <w:sz w:val="16"/>
          <w:szCs w:val="16"/>
        </w:rPr>
        <w:softHyphen/>
        <w:t>ским крылом с полотняной обшивкой и про</w:t>
      </w:r>
      <w:r w:rsidRPr="005E779E">
        <w:rPr>
          <w:rFonts w:ascii="Times New Roman" w:hAnsi="Times New Roman" w:cs="Times New Roman"/>
          <w:color w:val="000000" w:themeColor="text1"/>
          <w:sz w:val="16"/>
          <w:szCs w:val="16"/>
        </w:rPr>
        <w:softHyphen/>
        <w:t>филем М0С-27, площадью примерно 8% от ометаемого диска. Оригинальное по тем вре</w:t>
      </w:r>
      <w:r w:rsidRPr="005E779E">
        <w:rPr>
          <w:rFonts w:ascii="Times New Roman" w:hAnsi="Times New Roman" w:cs="Times New Roman"/>
          <w:color w:val="000000" w:themeColor="text1"/>
          <w:sz w:val="16"/>
          <w:szCs w:val="16"/>
        </w:rPr>
        <w:softHyphen/>
        <w:t>менам трехколесное шасси с носовой опорой создавало благоприятные условия для рас</w:t>
      </w:r>
      <w:r w:rsidRPr="005E779E">
        <w:rPr>
          <w:rFonts w:ascii="Times New Roman" w:hAnsi="Times New Roman" w:cs="Times New Roman"/>
          <w:color w:val="000000" w:themeColor="text1"/>
          <w:sz w:val="16"/>
          <w:szCs w:val="16"/>
        </w:rPr>
        <w:softHyphen/>
        <w:t>крутки ротора и дополнительно имело хво</w:t>
      </w:r>
      <w:r w:rsidRPr="005E779E">
        <w:rPr>
          <w:rFonts w:ascii="Times New Roman" w:hAnsi="Times New Roman" w:cs="Times New Roman"/>
          <w:color w:val="000000" w:themeColor="text1"/>
          <w:sz w:val="16"/>
          <w:szCs w:val="16"/>
        </w:rPr>
        <w:softHyphen/>
        <w:t>стовой костыль, обеспечивавший удобный запуск от механического стартера и безопас</w:t>
      </w:r>
      <w:r w:rsidRPr="005E779E">
        <w:rPr>
          <w:rFonts w:ascii="Times New Roman" w:hAnsi="Times New Roman" w:cs="Times New Roman"/>
          <w:color w:val="000000" w:themeColor="text1"/>
          <w:sz w:val="16"/>
          <w:szCs w:val="16"/>
        </w:rPr>
        <w:softHyphen/>
        <w:t>ный взлет. Для уменьшения длины разбега разрабатывалась система механического запуска для принудительной раскрутки рото</w:t>
      </w:r>
      <w:r w:rsidRPr="005E779E">
        <w:rPr>
          <w:rFonts w:ascii="Times New Roman" w:hAnsi="Times New Roman" w:cs="Times New Roman"/>
          <w:color w:val="000000" w:themeColor="text1"/>
          <w:sz w:val="16"/>
          <w:szCs w:val="16"/>
        </w:rPr>
        <w:softHyphen/>
        <w:t>ра с приводом от маршевого двигателя. Впер</w:t>
      </w:r>
      <w:r w:rsidRPr="005E779E">
        <w:rPr>
          <w:rFonts w:ascii="Times New Roman" w:hAnsi="Times New Roman" w:cs="Times New Roman"/>
          <w:color w:val="000000" w:themeColor="text1"/>
          <w:sz w:val="16"/>
          <w:szCs w:val="16"/>
        </w:rPr>
        <w:softHyphen/>
        <w:t>вые автожир должен был получить вооруже</w:t>
      </w:r>
      <w:r w:rsidRPr="005E779E">
        <w:rPr>
          <w:rFonts w:ascii="Times New Roman" w:hAnsi="Times New Roman" w:cs="Times New Roman"/>
          <w:color w:val="000000" w:themeColor="text1"/>
          <w:sz w:val="16"/>
          <w:szCs w:val="16"/>
        </w:rPr>
        <w:softHyphen/>
        <w:t>ние - курсовой пулемет и оборонительную турель. Крыло планировали оснастить узла</w:t>
      </w:r>
      <w:r w:rsidRPr="005E779E">
        <w:rPr>
          <w:rFonts w:ascii="Times New Roman" w:hAnsi="Times New Roman" w:cs="Times New Roman"/>
          <w:color w:val="000000" w:themeColor="text1"/>
          <w:sz w:val="16"/>
          <w:szCs w:val="16"/>
        </w:rPr>
        <w:softHyphen/>
        <w:t>ми подвески бомб. Консоли крыла и ротор при этом складывались: будущий А-7 можно было хранить и на корабле</w:t>
      </w:r>
      <w:r w:rsidRPr="005E779E">
        <w:rPr>
          <w:rFonts w:ascii="Times New Roman" w:hAnsi="Times New Roman" w:cs="Times New Roman"/>
          <w:color w:val="000000" w:themeColor="text1"/>
          <w:sz w:val="16"/>
          <w:szCs w:val="16"/>
          <w:lang w:val="ru-RU"/>
        </w:rPr>
        <w:t xml:space="preserve"> (19868)</w:t>
      </w:r>
      <w:r w:rsidRPr="005E779E">
        <w:rPr>
          <w:rFonts w:ascii="Times New Roman" w:hAnsi="Times New Roman" w:cs="Times New Roman"/>
          <w:color w:val="000000" w:themeColor="text1"/>
          <w:sz w:val="16"/>
          <w:szCs w:val="16"/>
        </w:rPr>
        <w:t>.</w:t>
      </w:r>
    </w:p>
    <w:p w14:paraId="36B76F0A" w14:textId="77777777" w:rsidR="00732317" w:rsidRPr="005E779E" w:rsidRDefault="00732317" w:rsidP="000B7A6C">
      <w:pPr>
        <w:pStyle w:val="520"/>
        <w:shd w:val="clear" w:color="auto" w:fill="auto"/>
        <w:spacing w:line="240" w:lineRule="auto"/>
        <w:rPr>
          <w:rFonts w:ascii="Times New Roman" w:hAnsi="Times New Roman" w:cs="Times New Roman"/>
          <w:color w:val="000000" w:themeColor="text1"/>
          <w:sz w:val="16"/>
          <w:szCs w:val="16"/>
        </w:rPr>
      </w:pPr>
    </w:p>
    <w:p w14:paraId="1F3E1C51"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 второй половине сентября 1931 г. Королёв познакомил</w:t>
      </w:r>
      <w:r w:rsidRPr="005E779E">
        <w:rPr>
          <w:rFonts w:ascii="Times New Roman" w:hAnsi="Times New Roman"/>
          <w:color w:val="000000" w:themeColor="text1"/>
          <w:sz w:val="16"/>
          <w:szCs w:val="16"/>
        </w:rPr>
        <w:softHyphen/>
        <w:t>ся с инженером Фридрихом Цандером, руководителем Отдела технического испытания материалов в Институте авиационного моторостроения (ИАМ). Здесь он в 1930 г. превратил паяльную лампу в ракетный двигатель ОР-1 (Опытный реактивный пер</w:t>
      </w:r>
      <w:r w:rsidRPr="005E779E">
        <w:rPr>
          <w:rFonts w:ascii="Times New Roman" w:hAnsi="Times New Roman"/>
          <w:color w:val="000000" w:themeColor="text1"/>
          <w:sz w:val="16"/>
          <w:szCs w:val="16"/>
        </w:rPr>
        <w:softHyphen/>
        <w:t>вый). В сентябре 1930 г. при испытании на стенде эта «волшебная лампа» развила тягу 5 кг/сек (23550).</w:t>
      </w:r>
    </w:p>
    <w:p w14:paraId="2CD1103E" w14:textId="77777777" w:rsidR="007F1987" w:rsidRPr="005E779E" w:rsidRDefault="007F1987" w:rsidP="000B7A6C">
      <w:pPr>
        <w:spacing w:after="0" w:line="240" w:lineRule="auto"/>
        <w:jc w:val="both"/>
        <w:rPr>
          <w:rFonts w:ascii="Times New Roman" w:hAnsi="Times New Roman"/>
          <w:color w:val="000000" w:themeColor="text1"/>
          <w:sz w:val="16"/>
          <w:szCs w:val="16"/>
        </w:rPr>
      </w:pPr>
    </w:p>
    <w:p w14:paraId="5BF49387"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50CC7FB4"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04BF8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сентябре 1931 года начальник 1 отдела НИИ ВВС Горощенко писал письмо N ос/60с начальнику ВВС.</w:t>
      </w:r>
    </w:p>
    <w:p w14:paraId="0D7CC3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сем препровождается "Сводка результатов испытания самолета И5 N 5 с ЮVI с утоненными консолями".</w:t>
      </w:r>
    </w:p>
    <w:p w14:paraId="066E31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Цель работы</w:t>
      </w:r>
    </w:p>
    <w:p w14:paraId="4C6848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Испытание самолета на штопор.</w:t>
      </w:r>
    </w:p>
    <w:p w14:paraId="579FF1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Краткий вывод</w:t>
      </w:r>
    </w:p>
    <w:p w14:paraId="2DFF09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Введение в коробку крыльев утоненных консолей не дало улучшение характера штопора. Добавочные пластины ухудшают управляемость</w:t>
      </w:r>
    </w:p>
    <w:p w14:paraId="2C1088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Испытание начато 31 июля 1931 г.</w:t>
      </w:r>
    </w:p>
    <w:p w14:paraId="113F25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Испытание закончено 11 августа 1931 г.</w:t>
      </w:r>
    </w:p>
    <w:p w14:paraId="3E84BE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Летных дней на испытание - 5</w:t>
      </w:r>
    </w:p>
    <w:p w14:paraId="05845B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Количество полетов - 9</w:t>
      </w:r>
    </w:p>
    <w:p w14:paraId="41C454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Налетано часов - 4 час. 10 мин. (3290,84-95).</w:t>
      </w:r>
    </w:p>
    <w:p w14:paraId="23DEDD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7D602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сентябре 1931 в НИИ ВВС испытывали И-4бис (АНТ-5) - моноплан парасоль с кольцом Тауненда и предкрылками. Сочли переделку нецелесообразной (1060,53).</w:t>
      </w:r>
    </w:p>
    <w:p w14:paraId="281B3B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7B402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Бригада Н.Н.П. в сентябре 1931 работало над пассажирским самолетом, разведчиком Р-11 и истребителем И-13 (228,83).</w:t>
      </w:r>
    </w:p>
    <w:p w14:paraId="0FD6F1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3EA49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сентябре 1931 г. директор ЦАГИ Пауфлер обратился к начальнику Всесоюзного авиационного объединения (ВАО) П.И. Баранову с просьбой исключить из плана института пункт о пассажирском варианте ТБ-4 с четырьмя моторами М-35, мотивируя отсутствием заложенных в задание двигателей. Баранов разрешил, работы по пассажирскому варианту ТБ-4 прекратили. Но Туполев очень не любил, чтобы труд его сотрудников пропадал зря. Многое от проекта этого первого АНТ- 20 потом перешло к "Максиму Горькому", и даже обозначение использовали повторно. Он должен был иметь размах крыла 56 м и длину фюзеляжа 33,5 м - немного больше, чем у бомбовоза. Пассажирский салон занимал место бывших бомбоотсеков и часть фюзеляжа за крылом. Проект был одобрен руководством ГВФ, началась постройка деревянного макета, но работы задерживались из-за неясностей с основным вариантом - военным. Вто время военные заказы пользовались безоговорочным приоритетом. Впрочем, гражданская авиация и не смогла бы самостоятельно оплатить дорогостоящие работы по созданию гиганта.</w:t>
      </w:r>
    </w:p>
    <w:p w14:paraId="0E1396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 сначала ни о каком "Горьком" речи не шло, создавался (или дорабатывался) новый тяжелый бомбардировщик. Это и был второй АНТ-20. При примерно той же длине фюзеляжа, что и АНТ-16, бомбардировщик АНТ- 20 должен был иметь значительно большее по размаху и площади крыло. Размах должен был достигнуть 63 м (против 54 м у АНТ- 16). Хорда крыла при этом не менялась, так что удлинение возрастало до 8,2, что должно было благоприятно сказаться на дальности полета. На крыле добавили два мотора. Фюзеляж расширили и переделали бомбоот- секи, убрав продольную балку по оси самолета, так что стала возможной внутренняя подвеска бомб калибра 1000 и 2000 кг (последних на вооружении, впрочем, еще не было). Предусмотрели электропривод управления стабилизатором и шаровой пушечной установкой, которую хотели смонтировать в носу фюзеляжа. Сброс бомб тоже осуществлялся электричеством. Максимальный взлетный вес машины оценивался в 45 т. Самолет должен был оснащаться восемью редукторны- МакетАНТ-20 ми двигателями М-34Р с дальнейшим переходом к более мощным М-34ФРН (реально появившимся только в 1936 г.). Шесть из них стояли в ряд на крыле и два в отдельной установке на фермах над фюзеляжем, как у ТБ-4. Теоретически самолет мог лететь и на шести моторах, поэтому отказ двух не считался критичным.</w:t>
      </w:r>
    </w:p>
    <w:p w14:paraId="2087AA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проекте АНТ-16 рассматривались два возможных варианта: тяжелый бомбардировщик и пассажирский самолет (первый АНТ- 20). Теперь работали по пяти модификациям. Хотя основным считался тяжелый бомбардировщик, параллельно делались проработки по военно-транспортному, пассажирскому, грузовому и "агитационному" вариантам. Так. транспортная машина предназначалась для перевозки тяжелой и громоздкой военной техники - танков и артиллерийских орудий. В основном их хотели крепить снаружи, между стойками шасси, но кое-что размещалось и внутри. Например, прикидывали подвеску в бомбоотсеке вооруженной пулеметом танкетки Т-27 (ТБ-1 и ТБ-3 ее возили снаружи между стойками шасси). В пассажирской машине, предназначенной для дальних рейсов, предусматривалось размещение 60 - 70 (в статье А.Н. Туполева в газете "Правда" названа цифра 76) человек в комфортабельных кабинах: не то железнодорожное купе, не то пароходная каюта. Для пассажиров предусматривались буфет (в некоторых документах он числится "рестораном"), салон отдыха и целых два туалета.</w:t>
      </w:r>
    </w:p>
    <w:p w14:paraId="0F9E70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Экипаж состоял из десяти (подругам документам - восьми) человек, в том числе "прислуги". Предусматривался и комфортабельный вариант"люкс" для доставки "ответственных руководящих политических и общественных работников или группы работников в отдаленные районы страны для проведения кампаний на местах". На нем "прислуги" должно было быть вдвое больше, а пассажирских мест - меньше.</w:t>
      </w:r>
    </w:p>
    <w:p w14:paraId="4C3C54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Гражданский АНТ-20 мог использоваться и как грузовой для доставки особо ценных грузов (например, пушнины или золота из отдаленных районов Сибири). Всего он мог увезти около пяти тонн. Учитывая большой объем фюзеляжа и центроплана, мехов в самолет можно было загрузить много. Интересно, что Туполев планировал сделать машину легко конвертируемой из пассажирского в грузовой вариант. Сиденья быстро демонтировались, освобождая помещения под товар (12024).</w:t>
      </w:r>
    </w:p>
    <w:p w14:paraId="417AB1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97A5596" w14:textId="77777777" w:rsidR="00941865" w:rsidRPr="005E779E" w:rsidRDefault="009418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сентябре 1931 г. директор НАГИ Пауфлер обратился к начальнику ВАО П И. Баранову:</w:t>
      </w:r>
    </w:p>
    <w:p w14:paraId="45323ABA" w14:textId="77777777" w:rsidR="00941865" w:rsidRPr="005E779E" w:rsidRDefault="009418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«Программой Опытного Самолетост</w:t>
      </w:r>
      <w:r w:rsidRPr="005E779E">
        <w:rPr>
          <w:rFonts w:ascii="Times New Roman" w:hAnsi="Times New Roman"/>
          <w:color w:val="000000" w:themeColor="text1"/>
          <w:sz w:val="16"/>
          <w:szCs w:val="16"/>
        </w:rPr>
        <w:softHyphen/>
        <w:t>роения на 1932—1935 гг., утвержденной Вами на совещании под Вашим председа</w:t>
      </w:r>
      <w:r w:rsidRPr="005E779E">
        <w:rPr>
          <w:rFonts w:ascii="Times New Roman" w:hAnsi="Times New Roman"/>
          <w:color w:val="000000" w:themeColor="text1"/>
          <w:sz w:val="16"/>
          <w:szCs w:val="16"/>
        </w:rPr>
        <w:softHyphen/>
        <w:t>тельством 23/1Х. предусматривается в отношении всех самолетов, а в особеннос</w:t>
      </w:r>
      <w:r w:rsidRPr="005E779E">
        <w:rPr>
          <w:rFonts w:ascii="Times New Roman" w:hAnsi="Times New Roman"/>
          <w:color w:val="000000" w:themeColor="text1"/>
          <w:sz w:val="16"/>
          <w:szCs w:val="16"/>
        </w:rPr>
        <w:softHyphen/>
        <w:t>ти многомоторных, согласование сроков выпуска со сроками выпуска моторов, ко</w:t>
      </w:r>
      <w:r w:rsidRPr="005E779E">
        <w:rPr>
          <w:rFonts w:ascii="Times New Roman" w:hAnsi="Times New Roman"/>
          <w:color w:val="000000" w:themeColor="text1"/>
          <w:sz w:val="16"/>
          <w:szCs w:val="16"/>
        </w:rPr>
        <w:softHyphen/>
        <w:t>торыми они должны быть снабжены.</w:t>
      </w:r>
    </w:p>
    <w:p w14:paraId="3303C63E" w14:textId="77777777" w:rsidR="00941865" w:rsidRPr="005E779E" w:rsidRDefault="009418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Указанное в связи с планом внедрения опытных самолетов в серию определяет порядок срочности и выпуска опытных са</w:t>
      </w:r>
      <w:r w:rsidRPr="005E779E">
        <w:rPr>
          <w:rFonts w:ascii="Times New Roman" w:hAnsi="Times New Roman"/>
          <w:color w:val="000000" w:themeColor="text1"/>
          <w:sz w:val="16"/>
          <w:szCs w:val="16"/>
        </w:rPr>
        <w:softHyphen/>
        <w:t>молетов, что и отражено в утвержденной Вами программе, в которой самолеты не обеспеченные моторами, а также не имею</w:t>
      </w:r>
      <w:r w:rsidRPr="005E779E">
        <w:rPr>
          <w:rFonts w:ascii="Times New Roman" w:hAnsi="Times New Roman"/>
          <w:color w:val="000000" w:themeColor="text1"/>
          <w:sz w:val="16"/>
          <w:szCs w:val="16"/>
        </w:rPr>
        <w:softHyphen/>
        <w:t>щие базы для серийной постройки, сдвину</w:t>
      </w:r>
      <w:r w:rsidRPr="005E779E">
        <w:rPr>
          <w:rFonts w:ascii="Times New Roman" w:hAnsi="Times New Roman"/>
          <w:color w:val="000000" w:themeColor="text1"/>
          <w:sz w:val="16"/>
          <w:szCs w:val="16"/>
        </w:rPr>
        <w:softHyphen/>
        <w:t>ты в соответствии с этими обстоятель</w:t>
      </w:r>
      <w:r w:rsidRPr="005E779E">
        <w:rPr>
          <w:rFonts w:ascii="Times New Roman" w:hAnsi="Times New Roman"/>
          <w:color w:val="000000" w:themeColor="text1"/>
          <w:sz w:val="16"/>
          <w:szCs w:val="16"/>
        </w:rPr>
        <w:softHyphen/>
        <w:t>ствами.</w:t>
      </w:r>
    </w:p>
    <w:p w14:paraId="32D8F5BE" w14:textId="77777777" w:rsidR="00941865" w:rsidRPr="005E779E" w:rsidRDefault="009418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этой категории относится и пасса</w:t>
      </w:r>
      <w:r w:rsidRPr="005E779E">
        <w:rPr>
          <w:rFonts w:ascii="Times New Roman" w:hAnsi="Times New Roman"/>
          <w:color w:val="000000" w:themeColor="text1"/>
          <w:sz w:val="16"/>
          <w:szCs w:val="16"/>
        </w:rPr>
        <w:softHyphen/>
        <w:t>жирский самолет АНТ-20, запроектиро</w:t>
      </w:r>
      <w:r w:rsidRPr="005E779E">
        <w:rPr>
          <w:rFonts w:ascii="Times New Roman" w:hAnsi="Times New Roman"/>
          <w:color w:val="000000" w:themeColor="text1"/>
          <w:sz w:val="16"/>
          <w:szCs w:val="16"/>
        </w:rPr>
        <w:softHyphen/>
        <w:t>ванный под четыре редукторных мотора М-35, с возможностью замены последних 6-ью редукторными моторами М-34.</w:t>
      </w:r>
    </w:p>
    <w:p w14:paraId="48583CDC" w14:textId="77777777" w:rsidR="00941865" w:rsidRPr="005E779E" w:rsidRDefault="009418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Указанный самолет является граждан</w:t>
      </w:r>
      <w:r w:rsidRPr="005E779E">
        <w:rPr>
          <w:rFonts w:ascii="Times New Roman" w:hAnsi="Times New Roman"/>
          <w:color w:val="000000" w:themeColor="text1"/>
          <w:sz w:val="16"/>
          <w:szCs w:val="16"/>
        </w:rPr>
        <w:softHyphen/>
        <w:t>ской модификацией ТБ-4 и самостоятель</w:t>
      </w:r>
      <w:r w:rsidRPr="005E779E">
        <w:rPr>
          <w:rFonts w:ascii="Times New Roman" w:hAnsi="Times New Roman"/>
          <w:color w:val="000000" w:themeColor="text1"/>
          <w:sz w:val="16"/>
          <w:szCs w:val="16"/>
        </w:rPr>
        <w:softHyphen/>
        <w:t>ного значения для опытного строительст</w:t>
      </w:r>
      <w:r w:rsidRPr="005E779E">
        <w:rPr>
          <w:rFonts w:ascii="Times New Roman" w:hAnsi="Times New Roman"/>
          <w:color w:val="000000" w:themeColor="text1"/>
          <w:sz w:val="16"/>
          <w:szCs w:val="16"/>
        </w:rPr>
        <w:softHyphen/>
        <w:t>ва не имеет.</w:t>
      </w:r>
    </w:p>
    <w:p w14:paraId="7C239EA8" w14:textId="77777777" w:rsidR="00941865" w:rsidRPr="005E779E" w:rsidRDefault="009418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в настоящее время находится в стадии проектирования и постройки ма</w:t>
      </w:r>
      <w:r w:rsidRPr="005E779E">
        <w:rPr>
          <w:rFonts w:ascii="Times New Roman" w:hAnsi="Times New Roman"/>
          <w:color w:val="000000" w:themeColor="text1"/>
          <w:sz w:val="16"/>
          <w:szCs w:val="16"/>
        </w:rPr>
        <w:softHyphen/>
        <w:t>кета.</w:t>
      </w:r>
    </w:p>
    <w:p w14:paraId="7D8A91F5" w14:textId="77777777" w:rsidR="00941865" w:rsidRPr="005E779E" w:rsidRDefault="009418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Учитывая все эти соображения, а так</w:t>
      </w:r>
      <w:r w:rsidRPr="005E779E">
        <w:rPr>
          <w:rFonts w:ascii="Times New Roman" w:hAnsi="Times New Roman"/>
          <w:color w:val="000000" w:themeColor="text1"/>
          <w:sz w:val="16"/>
          <w:szCs w:val="16"/>
        </w:rPr>
        <w:softHyphen/>
        <w:t>же принимая к исполнению Вашу основную установку, прошу Вашего согласия проек</w:t>
      </w:r>
      <w:r w:rsidRPr="005E779E">
        <w:rPr>
          <w:rFonts w:ascii="Times New Roman" w:hAnsi="Times New Roman"/>
          <w:color w:val="000000" w:themeColor="text1"/>
          <w:sz w:val="16"/>
          <w:szCs w:val="16"/>
        </w:rPr>
        <w:softHyphen/>
        <w:t>тировочные работы, а также работы по постройке макета самолета А НТ-20 пре</w:t>
      </w:r>
      <w:r w:rsidRPr="005E779E">
        <w:rPr>
          <w:rFonts w:ascii="Times New Roman" w:hAnsi="Times New Roman"/>
          <w:color w:val="000000" w:themeColor="text1"/>
          <w:sz w:val="16"/>
          <w:szCs w:val="16"/>
        </w:rPr>
        <w:softHyphen/>
        <w:t>кратить, с тем чтобы освобождающиеся конструкторские и производственные си</w:t>
      </w:r>
      <w:r w:rsidRPr="005E779E">
        <w:rPr>
          <w:rFonts w:ascii="Times New Roman" w:hAnsi="Times New Roman"/>
          <w:color w:val="000000" w:themeColor="text1"/>
          <w:sz w:val="16"/>
          <w:szCs w:val="16"/>
        </w:rPr>
        <w:softHyphen/>
        <w:t>зы, а также площади использовать на пер</w:t>
      </w:r>
      <w:r w:rsidRPr="005E779E">
        <w:rPr>
          <w:rFonts w:ascii="Times New Roman" w:hAnsi="Times New Roman"/>
          <w:color w:val="000000" w:themeColor="text1"/>
          <w:sz w:val="16"/>
          <w:szCs w:val="16"/>
        </w:rPr>
        <w:softHyphen/>
        <w:t>воочередные задания.</w:t>
      </w:r>
    </w:p>
    <w:p w14:paraId="480E58D1" w14:textId="77777777" w:rsidR="00941865" w:rsidRPr="005E779E" w:rsidRDefault="009418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ЦАТ И</w:t>
      </w:r>
      <w:r w:rsidRPr="005E779E">
        <w:rPr>
          <w:rFonts w:ascii="Times New Roman" w:hAnsi="Times New Roman"/>
          <w:color w:val="000000" w:themeColor="text1"/>
          <w:sz w:val="16"/>
          <w:szCs w:val="16"/>
        </w:rPr>
        <w:tab/>
        <w:t>Пауфлер» (21240).</w:t>
      </w:r>
    </w:p>
    <w:p w14:paraId="69722AA8" w14:textId="77777777" w:rsidR="00941865" w:rsidRPr="005E779E" w:rsidRDefault="00941865" w:rsidP="000B7A6C">
      <w:pPr>
        <w:pStyle w:val="520"/>
        <w:shd w:val="clear" w:color="auto" w:fill="auto"/>
        <w:spacing w:line="240" w:lineRule="auto"/>
        <w:rPr>
          <w:rFonts w:ascii="Times New Roman" w:hAnsi="Times New Roman" w:cs="Times New Roman"/>
          <w:color w:val="000000" w:themeColor="text1"/>
          <w:sz w:val="16"/>
          <w:szCs w:val="16"/>
        </w:rPr>
      </w:pPr>
    </w:p>
    <w:p w14:paraId="40B5FD97" w14:textId="77777777" w:rsidR="00AD2897" w:rsidRPr="00142305" w:rsidRDefault="00AD2897" w:rsidP="00AD289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сентябре 1931 г. директор ЦАГИ Пауфлер обратился к начальнику Всесоюзного авиационного объединения (ВАО) П.И. Баранову с просьбой исключить пункт АНТ-20 из плана института, мотивируя отсутствием за</w:t>
      </w:r>
      <w:r w:rsidRPr="00142305">
        <w:rPr>
          <w:rFonts w:ascii="Times New Roman" w:hAnsi="Times New Roman"/>
          <w:color w:val="0070C0"/>
          <w:sz w:val="16"/>
          <w:szCs w:val="16"/>
        </w:rPr>
        <w:softHyphen/>
        <w:t>ложенных в задание двигателей. Баранов разрешил, рабо</w:t>
      </w:r>
      <w:r w:rsidRPr="00142305">
        <w:rPr>
          <w:rFonts w:ascii="Times New Roman" w:hAnsi="Times New Roman"/>
          <w:color w:val="0070C0"/>
          <w:sz w:val="16"/>
          <w:szCs w:val="16"/>
        </w:rPr>
        <w:softHyphen/>
        <w:t>ты по пассажирскому варианту ТБ-4 прекратили. Но Тупо</w:t>
      </w:r>
      <w:r w:rsidRPr="00142305">
        <w:rPr>
          <w:rFonts w:ascii="Times New Roman" w:hAnsi="Times New Roman"/>
          <w:color w:val="0070C0"/>
          <w:sz w:val="16"/>
          <w:szCs w:val="16"/>
        </w:rPr>
        <w:softHyphen/>
        <w:t xml:space="preserve">лев очень не любил, чтобы труд его сотрудников пропадал зря. Многое от проекта АНТ -20 потом перешло к «Максиму Горькому», </w:t>
      </w:r>
      <w:r w:rsidRPr="00142305">
        <w:rPr>
          <w:rFonts w:ascii="Times New Roman" w:hAnsi="Times New Roman"/>
          <w:smallCaps/>
          <w:color w:val="0070C0"/>
          <w:sz w:val="16"/>
          <w:szCs w:val="16"/>
        </w:rPr>
        <w:t>и</w:t>
      </w:r>
      <w:r w:rsidRPr="00142305">
        <w:rPr>
          <w:rFonts w:ascii="Times New Roman" w:hAnsi="Times New Roman"/>
          <w:color w:val="0070C0"/>
          <w:sz w:val="16"/>
          <w:szCs w:val="16"/>
        </w:rPr>
        <w:t xml:space="preserve"> даже обозначение использовали повторно.</w:t>
      </w:r>
    </w:p>
    <w:p w14:paraId="20CE61F9" w14:textId="77777777" w:rsidR="00AD2897" w:rsidRPr="00142305" w:rsidRDefault="00AD2897" w:rsidP="00AD289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 примерно той же длине фюзеляжа, что и АНТ-16, новая машина должна была иметь значительно большее по размаху и площади крыло. Размах должен был достигнуть 63 м (против 54 м у АНТ-16). Хорда крыла при этом не ме</w:t>
      </w:r>
      <w:r w:rsidRPr="00142305">
        <w:rPr>
          <w:rFonts w:ascii="Times New Roman" w:hAnsi="Times New Roman"/>
          <w:color w:val="0070C0"/>
          <w:sz w:val="16"/>
          <w:szCs w:val="16"/>
        </w:rPr>
        <w:softHyphen/>
        <w:t>нялась, так что удлинение возрастало до 8,2, что должно бы</w:t>
      </w:r>
      <w:r w:rsidRPr="00142305">
        <w:rPr>
          <w:rFonts w:ascii="Times New Roman" w:hAnsi="Times New Roman"/>
          <w:color w:val="0070C0"/>
          <w:sz w:val="16"/>
          <w:szCs w:val="16"/>
        </w:rPr>
        <w:softHyphen/>
        <w:t>ло благоприятно сказаться на дальности полета. На крыле добавили два мотора. Фюзеляж расширили и переделали бомбоотсеки, так что стала возможной внутренняя подвес</w:t>
      </w:r>
      <w:r w:rsidRPr="00142305">
        <w:rPr>
          <w:rFonts w:ascii="Times New Roman" w:hAnsi="Times New Roman"/>
          <w:color w:val="0070C0"/>
          <w:sz w:val="16"/>
          <w:szCs w:val="16"/>
        </w:rPr>
        <w:softHyphen/>
        <w:t>ка бомб калибра 1000 и 2000 кг. Предусмотрели электропривод управле</w:t>
      </w:r>
      <w:r w:rsidRPr="00142305">
        <w:rPr>
          <w:rFonts w:ascii="Times New Roman" w:hAnsi="Times New Roman"/>
          <w:color w:val="0070C0"/>
          <w:sz w:val="16"/>
          <w:szCs w:val="16"/>
        </w:rPr>
        <w:softHyphen/>
        <w:t>ния стабилизатором и шаровой пушечной установкой, которую хотели смонтировать в носу фюзеляжа. Сброс бомб тоже осуществлялся электричеством. Максимальный взлет</w:t>
      </w:r>
      <w:r w:rsidRPr="00142305">
        <w:rPr>
          <w:rFonts w:ascii="Times New Roman" w:hAnsi="Times New Roman"/>
          <w:color w:val="0070C0"/>
          <w:sz w:val="16"/>
          <w:szCs w:val="16"/>
        </w:rPr>
        <w:softHyphen/>
        <w:t>ный вес машины оценивался в 45 т. Самолет должен был ос</w:t>
      </w:r>
      <w:r w:rsidRPr="00142305">
        <w:rPr>
          <w:rFonts w:ascii="Times New Roman" w:hAnsi="Times New Roman"/>
          <w:color w:val="0070C0"/>
          <w:sz w:val="16"/>
          <w:szCs w:val="16"/>
        </w:rPr>
        <w:softHyphen/>
        <w:t>нащаться восемью двигателями М-34Р с дальнейшим пере</w:t>
      </w:r>
      <w:r w:rsidRPr="00142305">
        <w:rPr>
          <w:rFonts w:ascii="Times New Roman" w:hAnsi="Times New Roman"/>
          <w:color w:val="0070C0"/>
          <w:sz w:val="16"/>
          <w:szCs w:val="16"/>
        </w:rPr>
        <w:softHyphen/>
        <w:t>ходом к более мощным М-34ФРН (реально появившимся только в 1936 г.). Шесть из них стояли в ряд на крыле и два в отдельной установке на фермах над фюзеляжем, как у ТБ-4. Теоретически самолет мог лететь и на шести моторах, поэ</w:t>
      </w:r>
      <w:r w:rsidRPr="00142305">
        <w:rPr>
          <w:rFonts w:ascii="Times New Roman" w:hAnsi="Times New Roman"/>
          <w:color w:val="0070C0"/>
          <w:sz w:val="16"/>
          <w:szCs w:val="16"/>
        </w:rPr>
        <w:softHyphen/>
        <w:t>тому отказ двух не считался критичным.</w:t>
      </w:r>
    </w:p>
    <w:p w14:paraId="28915850" w14:textId="77777777" w:rsidR="00AD2897" w:rsidRPr="00142305" w:rsidRDefault="00AD2897" w:rsidP="00AD289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Хотя основным считался тяжелый бомбардировщик, па</w:t>
      </w:r>
      <w:r w:rsidRPr="00142305">
        <w:rPr>
          <w:rFonts w:ascii="Times New Roman" w:hAnsi="Times New Roman"/>
          <w:color w:val="0070C0"/>
          <w:sz w:val="16"/>
          <w:szCs w:val="16"/>
        </w:rPr>
        <w:softHyphen/>
        <w:t>раллельно делались проработки по военно-транспортному, пассажирскому и «агитационному» вариантам. Так, транс</w:t>
      </w:r>
      <w:r w:rsidRPr="00142305">
        <w:rPr>
          <w:rFonts w:ascii="Times New Roman" w:hAnsi="Times New Roman"/>
          <w:color w:val="0070C0"/>
          <w:sz w:val="16"/>
          <w:szCs w:val="16"/>
        </w:rPr>
        <w:softHyphen/>
        <w:t>портная машина предназначалась для перевозки тяжелой и громоздкой военной техники — танков и артиллерийс</w:t>
      </w:r>
      <w:r w:rsidRPr="00142305">
        <w:rPr>
          <w:rFonts w:ascii="Times New Roman" w:hAnsi="Times New Roman"/>
          <w:color w:val="0070C0"/>
          <w:sz w:val="16"/>
          <w:szCs w:val="16"/>
        </w:rPr>
        <w:softHyphen/>
        <w:t>ких орудий. В основном их хотели крепить снаружи, между стойками шасси, но кое-что размещалось и внутри. Напри</w:t>
      </w:r>
      <w:r w:rsidRPr="00142305">
        <w:rPr>
          <w:rFonts w:ascii="Times New Roman" w:hAnsi="Times New Roman"/>
          <w:color w:val="0070C0"/>
          <w:sz w:val="16"/>
          <w:szCs w:val="16"/>
        </w:rPr>
        <w:softHyphen/>
        <w:t>мер, прикидывали подвеску в бомбоотсеке танкетки Т -27 (ТБ-l и ТБ-3 ее возили снаружи). В пассажирской маши</w:t>
      </w:r>
      <w:r w:rsidRPr="00142305">
        <w:rPr>
          <w:rFonts w:ascii="Times New Roman" w:hAnsi="Times New Roman"/>
          <w:color w:val="0070C0"/>
          <w:sz w:val="16"/>
          <w:szCs w:val="16"/>
        </w:rPr>
        <w:softHyphen/>
        <w:t>не, предназначенной для дальних рейсов, предусматрива</w:t>
      </w:r>
      <w:r w:rsidRPr="00142305">
        <w:rPr>
          <w:rFonts w:ascii="Times New Roman" w:hAnsi="Times New Roman"/>
          <w:color w:val="0070C0"/>
          <w:sz w:val="16"/>
          <w:szCs w:val="16"/>
        </w:rPr>
        <w:softHyphen/>
        <w:t>лось размещение 60 - 70 людей в комфортабельных каби</w:t>
      </w:r>
      <w:r w:rsidRPr="00142305">
        <w:rPr>
          <w:rFonts w:ascii="Times New Roman" w:hAnsi="Times New Roman"/>
          <w:color w:val="0070C0"/>
          <w:sz w:val="16"/>
          <w:szCs w:val="16"/>
        </w:rPr>
        <w:softHyphen/>
        <w:t>нах: не то железнодорожное купе, не то пароходная каюта. Для пассажиров предусматривались буфет (в некоторых до</w:t>
      </w:r>
      <w:r w:rsidRPr="00142305">
        <w:rPr>
          <w:rFonts w:ascii="Times New Roman" w:hAnsi="Times New Roman"/>
          <w:color w:val="0070C0"/>
          <w:sz w:val="16"/>
          <w:szCs w:val="16"/>
        </w:rPr>
        <w:softHyphen/>
        <w:t>кументах он числится «рестораном»), салон отдыха и целых два туалета. Интересно, что на фотоснимках макета четко видно, что салон, буфет и кабины намеревались освещать не привычными для самолета плафонами, а настенными светильниками типа бра с абажурами!</w:t>
      </w:r>
    </w:p>
    <w:p w14:paraId="6AF5BA25" w14:textId="77777777" w:rsidR="00AD2897" w:rsidRPr="00142305" w:rsidRDefault="00AD2897" w:rsidP="00AD289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Экипаж состоял из десяти человек, в том числе «прислу</w:t>
      </w:r>
      <w:r w:rsidRPr="00142305">
        <w:rPr>
          <w:rFonts w:ascii="Times New Roman" w:hAnsi="Times New Roman"/>
          <w:color w:val="0070C0"/>
          <w:sz w:val="16"/>
          <w:szCs w:val="16"/>
        </w:rPr>
        <w:softHyphen/>
        <w:t>ги». Предусматривался и вариант «люкс» для доставки «от</w:t>
      </w:r>
      <w:r w:rsidRPr="00142305">
        <w:rPr>
          <w:rFonts w:ascii="Times New Roman" w:hAnsi="Times New Roman"/>
          <w:color w:val="0070C0"/>
          <w:sz w:val="16"/>
          <w:szCs w:val="16"/>
        </w:rPr>
        <w:softHyphen/>
        <w:t>ветственных руководящих политических и общественных работников или группы работников в отдаленные районы страны для проведения кампаний на местах». На нем «при</w:t>
      </w:r>
      <w:r w:rsidRPr="00142305">
        <w:rPr>
          <w:rFonts w:ascii="Times New Roman" w:hAnsi="Times New Roman"/>
          <w:color w:val="0070C0"/>
          <w:sz w:val="16"/>
          <w:szCs w:val="16"/>
        </w:rPr>
        <w:softHyphen/>
        <w:t>слуги» должно было быть вдвое больше.</w:t>
      </w:r>
    </w:p>
    <w:p w14:paraId="6FF30969" w14:textId="77777777" w:rsidR="00AD2897" w:rsidRPr="00142305" w:rsidRDefault="00AD2897" w:rsidP="00AD289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Гражданский АНТ-20 мог использоваться и как грузо</w:t>
      </w:r>
      <w:r w:rsidRPr="00142305">
        <w:rPr>
          <w:rFonts w:ascii="Times New Roman" w:hAnsi="Times New Roman"/>
          <w:color w:val="0070C0"/>
          <w:sz w:val="16"/>
          <w:szCs w:val="16"/>
        </w:rPr>
        <w:softHyphen/>
        <w:t>вой для доставки особо ценных грузов (например, пушнины или золота из отдаленных районов Сибири). Интересно, что Туполев планировал сделать машину легко конвертиру</w:t>
      </w:r>
      <w:r w:rsidRPr="00142305">
        <w:rPr>
          <w:rFonts w:ascii="Times New Roman" w:hAnsi="Times New Roman"/>
          <w:color w:val="0070C0"/>
          <w:sz w:val="16"/>
          <w:szCs w:val="16"/>
        </w:rPr>
        <w:softHyphen/>
        <w:t>емой из пассажирской в грузовую (24977).</w:t>
      </w:r>
    </w:p>
    <w:p w14:paraId="59BCF79B" w14:textId="77777777" w:rsidR="00AD2897" w:rsidRPr="00142305" w:rsidRDefault="00AD2897" w:rsidP="00AD2897">
      <w:pPr>
        <w:spacing w:after="0" w:line="240" w:lineRule="auto"/>
        <w:jc w:val="both"/>
        <w:rPr>
          <w:rFonts w:ascii="Times New Roman" w:hAnsi="Times New Roman"/>
          <w:color w:val="0070C0"/>
          <w:sz w:val="16"/>
          <w:szCs w:val="16"/>
        </w:rPr>
      </w:pPr>
    </w:p>
    <w:p w14:paraId="7F1300E9" w14:textId="77777777" w:rsidR="00AD2897" w:rsidRPr="00142305" w:rsidRDefault="00AD2897" w:rsidP="00AD289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сентябре 1931 г. в план опытно</w:t>
      </w:r>
      <w:r w:rsidRPr="00142305">
        <w:rPr>
          <w:rFonts w:ascii="Times New Roman" w:hAnsi="Times New Roman"/>
          <w:color w:val="0070C0"/>
          <w:sz w:val="16"/>
          <w:szCs w:val="16"/>
        </w:rPr>
        <w:softHyphen/>
        <w:t>го самолетостроения К-7 внесли с шестью моторами М-34Р или ФЭД. В очередном варианте проек</w:t>
      </w:r>
      <w:r w:rsidRPr="00142305">
        <w:rPr>
          <w:rFonts w:ascii="Times New Roman" w:hAnsi="Times New Roman"/>
          <w:color w:val="0070C0"/>
          <w:sz w:val="16"/>
          <w:szCs w:val="16"/>
        </w:rPr>
        <w:softHyphen/>
        <w:t>та все они стояли в ряд на передней кромке крыла: три сле</w:t>
      </w:r>
      <w:r w:rsidRPr="00142305">
        <w:rPr>
          <w:rFonts w:ascii="Times New Roman" w:hAnsi="Times New Roman"/>
          <w:color w:val="0070C0"/>
          <w:sz w:val="16"/>
          <w:szCs w:val="16"/>
        </w:rPr>
        <w:softHyphen/>
        <w:t>ва и три справа. Но потом к седьмому двигателю все-таки пришлось вернуться, только теперь он находился на задней кромке крыла между хвостовыми балками, а его винт был толкающим.</w:t>
      </w:r>
    </w:p>
    <w:p w14:paraId="1716DBA4" w14:textId="77777777" w:rsidR="00AD2897" w:rsidRPr="00142305" w:rsidRDefault="00AD2897" w:rsidP="00AD289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Проект постепенно становился все более детальным и тщательно проработанным. В исходном проекте заклады</w:t>
      </w:r>
      <w:r w:rsidRPr="00142305">
        <w:rPr>
          <w:rFonts w:ascii="Times New Roman" w:hAnsi="Times New Roman"/>
          <w:color w:val="0070C0"/>
          <w:sz w:val="16"/>
          <w:szCs w:val="16"/>
        </w:rPr>
        <w:softHyphen/>
        <w:t>вались электромеханические усилители (бустеры) в системе управления. Но на том уровне развития отечественной про</w:t>
      </w:r>
      <w:r w:rsidRPr="00142305">
        <w:rPr>
          <w:rFonts w:ascii="Times New Roman" w:hAnsi="Times New Roman"/>
          <w:color w:val="0070C0"/>
          <w:sz w:val="16"/>
          <w:szCs w:val="16"/>
        </w:rPr>
        <w:softHyphen/>
        <w:t>мышленности получить их оказалось нереально. Пришлось перейти к серворулям (фактически триммерам), смонтиро</w:t>
      </w:r>
      <w:r w:rsidRPr="00142305">
        <w:rPr>
          <w:rFonts w:ascii="Times New Roman" w:hAnsi="Times New Roman"/>
          <w:color w:val="0070C0"/>
          <w:sz w:val="16"/>
          <w:szCs w:val="16"/>
        </w:rPr>
        <w:softHyphen/>
        <w:t>ванным на длинных балках за элеронами, рулями высоты и направления. Их предварительно опробовали на дорабо</w:t>
      </w:r>
      <w:r w:rsidRPr="00142305">
        <w:rPr>
          <w:rFonts w:ascii="Times New Roman" w:hAnsi="Times New Roman"/>
          <w:color w:val="0070C0"/>
          <w:sz w:val="16"/>
          <w:szCs w:val="16"/>
        </w:rPr>
        <w:softHyphen/>
        <w:t>танном пассажирском самолете К-5, использованном в ка</w:t>
      </w:r>
      <w:r w:rsidRPr="00142305">
        <w:rPr>
          <w:rFonts w:ascii="Times New Roman" w:hAnsi="Times New Roman"/>
          <w:color w:val="0070C0"/>
          <w:sz w:val="16"/>
          <w:szCs w:val="16"/>
        </w:rPr>
        <w:softHyphen/>
        <w:t>честве летающей лаборатории.</w:t>
      </w:r>
    </w:p>
    <w:p w14:paraId="62F4D2C1" w14:textId="77777777" w:rsidR="00AD2897" w:rsidRPr="00142305" w:rsidRDefault="00AD2897" w:rsidP="00AD289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Крыло сначала спроектировали с пятью лонжеронами и даже сделали на пробу отсек, но потом перешли на три лонжерона. Фермы крепления колесных тележек то хоте</w:t>
      </w:r>
      <w:r w:rsidRPr="00142305">
        <w:rPr>
          <w:rFonts w:ascii="Times New Roman" w:hAnsi="Times New Roman"/>
          <w:color w:val="0070C0"/>
          <w:sz w:val="16"/>
          <w:szCs w:val="16"/>
        </w:rPr>
        <w:softHyphen/>
        <w:t>ли полностью закрыть обтекателями, то оставить откры</w:t>
      </w:r>
      <w:r w:rsidRPr="00142305">
        <w:rPr>
          <w:rFonts w:ascii="Times New Roman" w:hAnsi="Times New Roman"/>
          <w:color w:val="0070C0"/>
          <w:sz w:val="16"/>
          <w:szCs w:val="16"/>
        </w:rPr>
        <w:softHyphen/>
        <w:t>тыми, то закрыть частично. Вертикальное оперение уве</w:t>
      </w:r>
      <w:r w:rsidRPr="00142305">
        <w:rPr>
          <w:rFonts w:ascii="Times New Roman" w:hAnsi="Times New Roman"/>
          <w:color w:val="0070C0"/>
          <w:sz w:val="16"/>
          <w:szCs w:val="16"/>
        </w:rPr>
        <w:softHyphen/>
        <w:t>личили по площади и сделали трапециевидным с округлой верхней частью. Одновременно отказались от соединения килей вверху балкой и боковых подкосов. Хвостовые бал</w:t>
      </w:r>
      <w:r w:rsidRPr="00142305">
        <w:rPr>
          <w:rFonts w:ascii="Times New Roman" w:hAnsi="Times New Roman"/>
          <w:color w:val="0070C0"/>
          <w:sz w:val="16"/>
          <w:szCs w:val="16"/>
        </w:rPr>
        <w:softHyphen/>
        <w:t>ки немного удлинили, разместив огневые точки для воен</w:t>
      </w:r>
      <w:r w:rsidRPr="00142305">
        <w:rPr>
          <w:rFonts w:ascii="Times New Roman" w:hAnsi="Times New Roman"/>
          <w:color w:val="0070C0"/>
          <w:sz w:val="16"/>
          <w:szCs w:val="16"/>
        </w:rPr>
        <w:softHyphen/>
        <w:t>ного варианта. В итоге размах крыла должен был составлять 58 м, длина самолета — 28 м при высоте 10,8 м. Интересно, как Калинин представлял себе техническое обслуживание машины?</w:t>
      </w:r>
    </w:p>
    <w:p w14:paraId="65462E72" w14:textId="77777777" w:rsidR="00AD2897" w:rsidRPr="00142305" w:rsidRDefault="00AD2897" w:rsidP="00AD289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пассажирском исполнении К-7 должен был достав</w:t>
      </w:r>
      <w:r w:rsidRPr="00142305">
        <w:rPr>
          <w:rFonts w:ascii="Times New Roman" w:hAnsi="Times New Roman"/>
          <w:color w:val="0070C0"/>
          <w:sz w:val="16"/>
          <w:szCs w:val="16"/>
        </w:rPr>
        <w:softHyphen/>
        <w:t>лять 128 пассажиров. Кресла для них расставлялись рядами по центроплану. Имелась и другая, более комфортабельная, компоновка: 16 четырехместных кают, разделенных кори</w:t>
      </w:r>
      <w:r w:rsidRPr="00142305">
        <w:rPr>
          <w:rFonts w:ascii="Times New Roman" w:hAnsi="Times New Roman"/>
          <w:color w:val="0070C0"/>
          <w:sz w:val="16"/>
          <w:szCs w:val="16"/>
        </w:rPr>
        <w:softHyphen/>
        <w:t>дором; половина из них находилась в консолях. Итого — 64 пассажира, но со спальными местами. В каютах предусматривалось электрическое освещение, а также окна, но не на потолке, а в полу. В обоих случаях предусматривались кают-компания, буфет и кухня. В передней кромке крыла шел вы</w:t>
      </w:r>
      <w:r w:rsidRPr="00142305">
        <w:rPr>
          <w:rFonts w:ascii="Times New Roman" w:hAnsi="Times New Roman"/>
          <w:color w:val="0070C0"/>
          <w:sz w:val="16"/>
          <w:szCs w:val="16"/>
        </w:rPr>
        <w:softHyphen/>
        <w:t>сокий коридор, гуляя по которому, люди могли любоваться проплывающей внизу местностью через большие окна. Эки</w:t>
      </w:r>
      <w:r w:rsidRPr="00142305">
        <w:rPr>
          <w:rFonts w:ascii="Times New Roman" w:hAnsi="Times New Roman"/>
          <w:color w:val="0070C0"/>
          <w:sz w:val="16"/>
          <w:szCs w:val="16"/>
        </w:rPr>
        <w:softHyphen/>
        <w:t>паж пассажирской машины состоял из восьми человек: два пилота, штурман, радист, главный механик сидели в рубке, два моториста - в крыле, восьмой член экипажа обслуживал кухню. Дальность полета оценивалась в 1000 - 5000 км.</w:t>
      </w:r>
    </w:p>
    <w:p w14:paraId="5070C0AD" w14:textId="77777777" w:rsidR="00AD2897" w:rsidRPr="00142305" w:rsidRDefault="00AD2897" w:rsidP="00AD289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Военным К-7 представлялся как тяжелый дневной и ночной бомбардировшик и транспортный самолет. Макси</w:t>
      </w:r>
      <w:r w:rsidRPr="00142305">
        <w:rPr>
          <w:rFonts w:ascii="Times New Roman" w:hAnsi="Times New Roman"/>
          <w:color w:val="0070C0"/>
          <w:sz w:val="16"/>
          <w:szCs w:val="16"/>
        </w:rPr>
        <w:softHyphen/>
        <w:t>мальная бомбовая нагрузка по расчетам составляла 16 600 кг, при нормальной - 9300 кг. С 6000 кг бомб К-7 при под</w:t>
      </w:r>
      <w:r w:rsidRPr="00142305">
        <w:rPr>
          <w:rFonts w:ascii="Times New Roman" w:hAnsi="Times New Roman"/>
          <w:color w:val="0070C0"/>
          <w:sz w:val="16"/>
          <w:szCs w:val="16"/>
        </w:rPr>
        <w:softHyphen/>
        <w:t>веске дополнительных бензобаков должен был иметь даль</w:t>
      </w:r>
      <w:r w:rsidRPr="00142305">
        <w:rPr>
          <w:rFonts w:ascii="Times New Roman" w:hAnsi="Times New Roman"/>
          <w:color w:val="0070C0"/>
          <w:sz w:val="16"/>
          <w:szCs w:val="16"/>
        </w:rPr>
        <w:softHyphen/>
        <w:t>ность 2400 км. Позже эти цифры уточнили: при макси</w:t>
      </w:r>
      <w:r w:rsidRPr="00142305">
        <w:rPr>
          <w:rFonts w:ascii="Times New Roman" w:hAnsi="Times New Roman"/>
          <w:color w:val="0070C0"/>
          <w:sz w:val="16"/>
          <w:szCs w:val="16"/>
        </w:rPr>
        <w:softHyphen/>
        <w:t>мальном перегрузочном взлетном весе 43 т максимальный бомбовый груз оценивался в 14 000 кг. Бомбоотсеки распо</w:t>
      </w:r>
      <w:r w:rsidRPr="00142305">
        <w:rPr>
          <w:rFonts w:ascii="Times New Roman" w:hAnsi="Times New Roman"/>
          <w:color w:val="0070C0"/>
          <w:sz w:val="16"/>
          <w:szCs w:val="16"/>
        </w:rPr>
        <w:softHyphen/>
        <w:t>лагались в крыле. Балки бомбодержателей, рассчитанных на подвеску бомб калибром до 250 кг, включались в сило</w:t>
      </w:r>
      <w:r w:rsidRPr="00142305">
        <w:rPr>
          <w:rFonts w:ascii="Times New Roman" w:hAnsi="Times New Roman"/>
          <w:color w:val="0070C0"/>
          <w:sz w:val="16"/>
          <w:szCs w:val="16"/>
        </w:rPr>
        <w:softHyphen/>
        <w:t>вую схему крыла, что являлось в то время весьма передовым решением. По заданию предусматривалась и наружная под</w:t>
      </w:r>
      <w:r w:rsidRPr="00142305">
        <w:rPr>
          <w:rFonts w:ascii="Times New Roman" w:hAnsi="Times New Roman"/>
          <w:color w:val="0070C0"/>
          <w:sz w:val="16"/>
          <w:szCs w:val="16"/>
        </w:rPr>
        <w:softHyphen/>
        <w:t>веска бомб калибром до 1000 кг.</w:t>
      </w:r>
    </w:p>
    <w:p w14:paraId="109C90F4" w14:textId="77777777" w:rsidR="00AD2897" w:rsidRPr="00142305" w:rsidRDefault="00AD2897" w:rsidP="00AD289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Оборонительное вооружение военного варианта состояло из четырех 20-мм пушек «Эрл икон» </w:t>
      </w:r>
      <w:r w:rsidRPr="00142305">
        <w:rPr>
          <w:rFonts w:ascii="Times New Roman" w:hAnsi="Times New Roman"/>
          <w:smallCaps/>
          <w:color w:val="0070C0"/>
          <w:sz w:val="16"/>
          <w:szCs w:val="16"/>
        </w:rPr>
        <w:t>и</w:t>
      </w:r>
      <w:r w:rsidRPr="00142305">
        <w:rPr>
          <w:rFonts w:ascii="Times New Roman" w:hAnsi="Times New Roman"/>
          <w:color w:val="0070C0"/>
          <w:sz w:val="16"/>
          <w:szCs w:val="16"/>
        </w:rPr>
        <w:t xml:space="preserve"> восьми пулеметов ДА, обеспечивавших сферический обстрел. Две пушки монтиро</w:t>
      </w:r>
      <w:r w:rsidRPr="00142305">
        <w:rPr>
          <w:rFonts w:ascii="Times New Roman" w:hAnsi="Times New Roman"/>
          <w:color w:val="0070C0"/>
          <w:sz w:val="16"/>
          <w:szCs w:val="16"/>
        </w:rPr>
        <w:softHyphen/>
        <w:t>вались на турелях в оконечностях хвостовых балок и две - в гондоле под рубкой экипажа. Пулеметы должны были сто</w:t>
      </w:r>
      <w:r w:rsidRPr="00142305">
        <w:rPr>
          <w:rFonts w:ascii="Times New Roman" w:hAnsi="Times New Roman"/>
          <w:color w:val="0070C0"/>
          <w:sz w:val="16"/>
          <w:szCs w:val="16"/>
        </w:rPr>
        <w:softHyphen/>
        <w:t>ять перед козырьком рубки (спаренная установка с ДА-2), в корневой части хвостовых балок и по два (спереди и сзади) в тележках шасси. При этом с любого направления противни</w:t>
      </w:r>
      <w:r w:rsidRPr="00142305">
        <w:rPr>
          <w:rFonts w:ascii="Times New Roman" w:hAnsi="Times New Roman"/>
          <w:color w:val="0070C0"/>
          <w:sz w:val="16"/>
          <w:szCs w:val="16"/>
        </w:rPr>
        <w:softHyphen/>
        <w:t>ка встречал огонь как. минимум трех стрелковых точек. К ус</w:t>
      </w:r>
      <w:r w:rsidRPr="00142305">
        <w:rPr>
          <w:rFonts w:ascii="Times New Roman" w:hAnsi="Times New Roman"/>
          <w:color w:val="0070C0"/>
          <w:sz w:val="16"/>
          <w:szCs w:val="16"/>
        </w:rPr>
        <w:softHyphen/>
        <w:t>тановкам на концах хвостовых балок стрелки должны были добираться на электрифицированных тележках, движущихся с помощью тросов по рельсам. На них при необходимос</w:t>
      </w:r>
      <w:r w:rsidRPr="00142305">
        <w:rPr>
          <w:rFonts w:ascii="Times New Roman" w:hAnsi="Times New Roman"/>
          <w:color w:val="0070C0"/>
          <w:sz w:val="16"/>
          <w:szCs w:val="16"/>
        </w:rPr>
        <w:softHyphen/>
        <w:t>ти собирались также подвозить боеприпасы.</w:t>
      </w:r>
    </w:p>
    <w:p w14:paraId="6171ADE4" w14:textId="77777777" w:rsidR="00AD2897" w:rsidRPr="00142305" w:rsidRDefault="00AD2897" w:rsidP="00AD289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Экипаж бомбардировщика должен был состоять из 19 человек. Воздушным кораблем, так же как морским, дол</w:t>
      </w:r>
      <w:r w:rsidRPr="00142305">
        <w:rPr>
          <w:rFonts w:ascii="Times New Roman" w:hAnsi="Times New Roman"/>
          <w:color w:val="0070C0"/>
          <w:sz w:val="16"/>
          <w:szCs w:val="16"/>
        </w:rPr>
        <w:softHyphen/>
        <w:t>жен был комавдовать освобожденный от других функций командир. Кроме него, в список входили два штурмана, два пилота, радист, инженер, два техника, девять стрелков и да</w:t>
      </w:r>
      <w:r w:rsidRPr="00142305">
        <w:rPr>
          <w:rFonts w:ascii="Times New Roman" w:hAnsi="Times New Roman"/>
          <w:color w:val="0070C0"/>
          <w:sz w:val="16"/>
          <w:szCs w:val="16"/>
        </w:rPr>
        <w:softHyphen/>
        <w:t>же боцман (он же запасной стрелок и фельдшер).</w:t>
      </w:r>
    </w:p>
    <w:p w14:paraId="6128E815" w14:textId="77777777" w:rsidR="00AD2897" w:rsidRPr="00142305" w:rsidRDefault="00AD2897" w:rsidP="00AD289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Транспортный вариант ориентировался, прежде всего, на нужды воздушно-десантных операций. К-7 мог поднять в воздух 112 парашютистов с полным снаряжением или эк</w:t>
      </w:r>
      <w:r w:rsidRPr="00142305">
        <w:rPr>
          <w:rFonts w:ascii="Times New Roman" w:hAnsi="Times New Roman"/>
          <w:color w:val="0070C0"/>
          <w:sz w:val="16"/>
          <w:szCs w:val="16"/>
        </w:rPr>
        <w:softHyphen/>
        <w:t>вивалентный груз. Груз мог размещаться внутри центроп</w:t>
      </w:r>
      <w:r w:rsidRPr="00142305">
        <w:rPr>
          <w:rFonts w:ascii="Times New Roman" w:hAnsi="Times New Roman"/>
          <w:color w:val="0070C0"/>
          <w:sz w:val="16"/>
          <w:szCs w:val="16"/>
        </w:rPr>
        <w:softHyphen/>
        <w:t>лана или на наружной подвеске между тележками шасси. В последнем случае машина могла пере возить тяжелую и гро</w:t>
      </w:r>
      <w:r w:rsidRPr="00142305">
        <w:rPr>
          <w:rFonts w:ascii="Times New Roman" w:hAnsi="Times New Roman"/>
          <w:color w:val="0070C0"/>
          <w:sz w:val="16"/>
          <w:szCs w:val="16"/>
        </w:rPr>
        <w:softHyphen/>
        <w:t>моздкую военную технику: пушки, автомобили, броневики и легкие танки весом до 8400 кг. Альтернативно там же кре</w:t>
      </w:r>
      <w:r w:rsidRPr="00142305">
        <w:rPr>
          <w:rFonts w:ascii="Times New Roman" w:hAnsi="Times New Roman"/>
          <w:color w:val="0070C0"/>
          <w:sz w:val="16"/>
          <w:szCs w:val="16"/>
        </w:rPr>
        <w:softHyphen/>
        <w:t>пилась подвесная десантная кабина по типу применявшей</w:t>
      </w:r>
      <w:r w:rsidRPr="00142305">
        <w:rPr>
          <w:rFonts w:ascii="Times New Roman" w:hAnsi="Times New Roman"/>
          <w:color w:val="0070C0"/>
          <w:sz w:val="16"/>
          <w:szCs w:val="16"/>
        </w:rPr>
        <w:softHyphen/>
        <w:t>ся на ТБ-3 жен был комавдовать освобожденный от других функций командир. Кроме него, в список входили два штурмана, два пилота, радист, инженер, два техника, девять стрелков и да</w:t>
      </w:r>
      <w:r w:rsidRPr="00142305">
        <w:rPr>
          <w:rFonts w:ascii="Times New Roman" w:hAnsi="Times New Roman"/>
          <w:color w:val="0070C0"/>
          <w:sz w:val="16"/>
          <w:szCs w:val="16"/>
        </w:rPr>
        <w:softHyphen/>
        <w:t>же боцман (он же запасной стрелок и фельдшер).</w:t>
      </w:r>
    </w:p>
    <w:p w14:paraId="795C48D0" w14:textId="77777777" w:rsidR="00AD2897" w:rsidRPr="00142305" w:rsidRDefault="00AD2897" w:rsidP="00AD289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Транспортный вариант ориентировался, прежде всего, на нужды воздушно-десантных операций. К-7 мог поднять в воздух 112 парашютистов с полным снаряжением или эк</w:t>
      </w:r>
      <w:r w:rsidRPr="00142305">
        <w:rPr>
          <w:rFonts w:ascii="Times New Roman" w:hAnsi="Times New Roman"/>
          <w:color w:val="0070C0"/>
          <w:sz w:val="16"/>
          <w:szCs w:val="16"/>
        </w:rPr>
        <w:softHyphen/>
        <w:t>вивалентный груз. Груз мог размещаться внутри центроп</w:t>
      </w:r>
      <w:r w:rsidRPr="00142305">
        <w:rPr>
          <w:rFonts w:ascii="Times New Roman" w:hAnsi="Times New Roman"/>
          <w:color w:val="0070C0"/>
          <w:sz w:val="16"/>
          <w:szCs w:val="16"/>
        </w:rPr>
        <w:softHyphen/>
        <w:t xml:space="preserve">лана или на наружной подвеске между тележками шасси. В последнем случае машина могла пере </w:t>
      </w:r>
      <w:r w:rsidRPr="00142305">
        <w:rPr>
          <w:rFonts w:ascii="Times New Roman" w:hAnsi="Times New Roman"/>
          <w:color w:val="0070C0"/>
          <w:sz w:val="16"/>
          <w:szCs w:val="16"/>
        </w:rPr>
        <w:lastRenderedPageBreak/>
        <w:t>возить тяжелую и гро</w:t>
      </w:r>
      <w:r w:rsidRPr="00142305">
        <w:rPr>
          <w:rFonts w:ascii="Times New Roman" w:hAnsi="Times New Roman"/>
          <w:color w:val="0070C0"/>
          <w:sz w:val="16"/>
          <w:szCs w:val="16"/>
        </w:rPr>
        <w:softHyphen/>
        <w:t>моздкую военную технику: пушки, автомобили, броневики и легкие танки весом до 8400 кг. Альтернативно там же кре</w:t>
      </w:r>
      <w:r w:rsidRPr="00142305">
        <w:rPr>
          <w:rFonts w:ascii="Times New Roman" w:hAnsi="Times New Roman"/>
          <w:color w:val="0070C0"/>
          <w:sz w:val="16"/>
          <w:szCs w:val="16"/>
        </w:rPr>
        <w:softHyphen/>
        <w:t>пилась подвесная десантная кабина по типу применявшей</w:t>
      </w:r>
      <w:r w:rsidRPr="00142305">
        <w:rPr>
          <w:rFonts w:ascii="Times New Roman" w:hAnsi="Times New Roman"/>
          <w:color w:val="0070C0"/>
          <w:sz w:val="16"/>
          <w:szCs w:val="16"/>
        </w:rPr>
        <w:softHyphen/>
        <w:t>ся на ТБ-3 (24977).</w:t>
      </w:r>
    </w:p>
    <w:p w14:paraId="646255F0" w14:textId="77777777" w:rsidR="00AD2897" w:rsidRPr="00142305" w:rsidRDefault="00AD2897" w:rsidP="00AD2897">
      <w:pPr>
        <w:spacing w:after="0" w:line="240" w:lineRule="auto"/>
        <w:jc w:val="both"/>
        <w:rPr>
          <w:rFonts w:ascii="Times New Roman" w:hAnsi="Times New Roman"/>
          <w:color w:val="0070C0"/>
          <w:sz w:val="16"/>
          <w:szCs w:val="16"/>
        </w:rPr>
      </w:pPr>
    </w:p>
    <w:p w14:paraId="1AF226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сентябре 1931 началось внедрение в серию Ш-2 на заводе № 31 и первый самолет выпустили 1 апреля 1932 (7621, 34).</w:t>
      </w:r>
    </w:p>
    <w:p w14:paraId="56B268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62A7267" w14:textId="77777777" w:rsidR="00AD2897" w:rsidRPr="00142305" w:rsidRDefault="00AD2897" w:rsidP="00AD289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сентября 1931 г. на заводе № 31 началась подготовка производства Ш-2, а 1 апреля 1932 г. выпустили первый го</w:t>
      </w:r>
      <w:r w:rsidRPr="00142305">
        <w:rPr>
          <w:rFonts w:ascii="Times New Roman" w:hAnsi="Times New Roman"/>
          <w:color w:val="0070C0"/>
          <w:sz w:val="16"/>
          <w:szCs w:val="16"/>
        </w:rPr>
        <w:softHyphen/>
        <w:t>ловной экземпляр летающей лодки. Облетал его летчик В.М. Ремезюк. Спустя короткое время полетел второй серийный экземпляр, и 1 мая 1932 г. уже две машины летали над Та</w:t>
      </w:r>
      <w:r w:rsidRPr="00142305">
        <w:rPr>
          <w:rFonts w:ascii="Times New Roman" w:hAnsi="Times New Roman"/>
          <w:color w:val="0070C0"/>
          <w:sz w:val="16"/>
          <w:szCs w:val="16"/>
        </w:rPr>
        <w:softHyphen/>
        <w:t>ганрогом и разбрасывали листовки над празд</w:t>
      </w:r>
      <w:r w:rsidRPr="00142305">
        <w:rPr>
          <w:rFonts w:ascii="Times New Roman" w:hAnsi="Times New Roman"/>
          <w:color w:val="0070C0"/>
          <w:sz w:val="16"/>
          <w:szCs w:val="16"/>
        </w:rPr>
        <w:softHyphen/>
        <w:t>ничной демонстрацией жителей города. Госу</w:t>
      </w:r>
      <w:r w:rsidRPr="00142305">
        <w:rPr>
          <w:rFonts w:ascii="Times New Roman" w:hAnsi="Times New Roman"/>
          <w:color w:val="0070C0"/>
          <w:sz w:val="16"/>
          <w:szCs w:val="16"/>
        </w:rPr>
        <w:softHyphen/>
        <w:t>дарственные испытания первого головного эк</w:t>
      </w:r>
      <w:r w:rsidRPr="00142305">
        <w:rPr>
          <w:rFonts w:ascii="Times New Roman" w:hAnsi="Times New Roman"/>
          <w:color w:val="0070C0"/>
          <w:sz w:val="16"/>
          <w:szCs w:val="16"/>
        </w:rPr>
        <w:softHyphen/>
        <w:t>земпляра закончились 9 мая, после чего маши</w:t>
      </w:r>
      <w:r w:rsidRPr="00142305">
        <w:rPr>
          <w:rFonts w:ascii="Times New Roman" w:hAnsi="Times New Roman"/>
          <w:color w:val="0070C0"/>
          <w:sz w:val="16"/>
          <w:szCs w:val="16"/>
        </w:rPr>
        <w:softHyphen/>
        <w:t>ну направили в Свердловск, где она в первый летный сезон выполнила сотни полетов. Нес</w:t>
      </w:r>
      <w:r w:rsidRPr="00142305">
        <w:rPr>
          <w:rFonts w:ascii="Times New Roman" w:hAnsi="Times New Roman"/>
          <w:color w:val="0070C0"/>
          <w:sz w:val="16"/>
          <w:szCs w:val="16"/>
        </w:rPr>
        <w:softHyphen/>
        <w:t>колько человек прошли на ней обучение (35013).</w:t>
      </w:r>
    </w:p>
    <w:p w14:paraId="5573CC35" w14:textId="77777777" w:rsidR="00AD2897" w:rsidRPr="00142305" w:rsidRDefault="00AD2897" w:rsidP="00AD2897">
      <w:pPr>
        <w:spacing w:after="0" w:line="240" w:lineRule="auto"/>
        <w:jc w:val="both"/>
        <w:rPr>
          <w:rFonts w:ascii="Times New Roman" w:hAnsi="Times New Roman"/>
          <w:color w:val="0070C0"/>
          <w:sz w:val="16"/>
          <w:szCs w:val="16"/>
        </w:rPr>
      </w:pPr>
    </w:p>
    <w:p w14:paraId="566DF195" w14:textId="77777777" w:rsidR="00AD2897" w:rsidRPr="00142305" w:rsidRDefault="00AD2897" w:rsidP="00AD289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сентябре 1931 года ОСГА имел «только два стула и стол, втисну</w:t>
      </w:r>
      <w:r w:rsidRPr="00142305">
        <w:rPr>
          <w:rFonts w:ascii="Times New Roman" w:hAnsi="Times New Roman"/>
          <w:color w:val="0070C0"/>
          <w:sz w:val="16"/>
          <w:szCs w:val="16"/>
        </w:rPr>
        <w:softHyphen/>
        <w:t>тые в комнату административно- хозяй</w:t>
      </w:r>
      <w:r w:rsidRPr="00142305">
        <w:rPr>
          <w:rFonts w:ascii="Times New Roman" w:hAnsi="Times New Roman"/>
          <w:color w:val="0070C0"/>
          <w:sz w:val="16"/>
          <w:szCs w:val="16"/>
        </w:rPr>
        <w:softHyphen/>
        <w:t>ственного отдела», но уже к октябрю 1932 года в отделе работало полсотни человек, в распоряжении которых до</w:t>
      </w:r>
      <w:r w:rsidRPr="00142305">
        <w:rPr>
          <w:rFonts w:ascii="Times New Roman" w:hAnsi="Times New Roman"/>
          <w:color w:val="0070C0"/>
          <w:sz w:val="16"/>
          <w:szCs w:val="16"/>
        </w:rPr>
        <w:softHyphen/>
        <w:t>полнительно появился «сарай с дырявой крышей».</w:t>
      </w:r>
    </w:p>
    <w:p w14:paraId="52D9C349" w14:textId="77777777" w:rsidR="00AD2897" w:rsidRPr="00142305" w:rsidRDefault="00AD2897" w:rsidP="00AD289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1933 году отдел Н.М. Андреева был развернут в экспериментальный завод и конструкторское бюро, которые стали осваивать территорию на Островке у Краснохолмского моста в Москве. К маю 1934 года ОСГА окончательно перебрался в дом 2/4 в 4-м Островском переулке (24914).</w:t>
      </w:r>
    </w:p>
    <w:p w14:paraId="07259F6A" w14:textId="77777777" w:rsidR="00AD2897" w:rsidRPr="00142305" w:rsidRDefault="00AD2897" w:rsidP="00AD2897">
      <w:pPr>
        <w:spacing w:after="0" w:line="240" w:lineRule="auto"/>
        <w:jc w:val="both"/>
        <w:rPr>
          <w:rFonts w:ascii="Times New Roman" w:hAnsi="Times New Roman"/>
          <w:color w:val="0070C0"/>
          <w:sz w:val="16"/>
          <w:szCs w:val="16"/>
        </w:rPr>
      </w:pPr>
    </w:p>
    <w:p w14:paraId="02672970" w14:textId="77777777" w:rsidR="00CD378D" w:rsidRPr="005E779E" w:rsidRDefault="00CD378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сентябре 1931 г. были доставлены уже две партии S.62bis. С октября они уже начали поступать в строевые части. 2 декабря 1931 г. приемная комиссия инспектировала еще 30 ящиков.</w:t>
      </w:r>
    </w:p>
    <w:p w14:paraId="4AAD4E0E" w14:textId="77777777" w:rsidR="00CD378D" w:rsidRPr="005E779E" w:rsidRDefault="00CD378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октябре 1931 г. первые С-62Б поступили в строевые части ВВС Черного и Балтийского морей (РГВА. Ф. 29. Оп. 76. Д. 67. Альбом самолетов и моторов ВВС КА и их характеристика. 8.06.31- 3.12.32 гг. Л. 52.). К 1 ноября на Балтику прибыли десять лодок (РГВА. Ф. 29. Оп. 76. Д. 865. Л. 171.). Их осваивал 62-й отряд 105-й авиабригады. Успешно внедрили итальянские самолеты и на Черном море. В том же ноябре 1931 г. там имелось 25 самолетов (РГВА. Ф. 29. Оп. 76. Д. 865. Л. 171.). Двигатели «Ассо» отправлялись отдельно. Самолеты служили в 64-м отряде и 66-й эскадрилье Морских сил Черного моря (21410).</w:t>
      </w:r>
    </w:p>
    <w:p w14:paraId="75985AE8" w14:textId="77777777" w:rsidR="00CD378D" w:rsidRPr="005E779E" w:rsidRDefault="00CD378D" w:rsidP="000B7A6C">
      <w:pPr>
        <w:spacing w:after="0" w:line="240" w:lineRule="auto"/>
        <w:jc w:val="both"/>
        <w:rPr>
          <w:rFonts w:ascii="Times New Roman" w:hAnsi="Times New Roman"/>
          <w:color w:val="000000" w:themeColor="text1"/>
          <w:sz w:val="16"/>
          <w:szCs w:val="16"/>
        </w:rPr>
      </w:pPr>
    </w:p>
    <w:p w14:paraId="1A4A56BB" w14:textId="77777777" w:rsidR="00EE2C65" w:rsidRPr="00142305" w:rsidRDefault="00EE2C65" w:rsidP="00EE2C6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сентябре 1931 г. в нашу страну прибыли уже две партии S.62bis, с ок</w:t>
      </w:r>
      <w:r w:rsidRPr="00142305">
        <w:rPr>
          <w:rFonts w:ascii="Times New Roman" w:hAnsi="Times New Roman"/>
          <w:color w:val="0070C0"/>
          <w:sz w:val="16"/>
          <w:szCs w:val="16"/>
        </w:rPr>
        <w:softHyphen/>
        <w:t>тября они начали поступать в строевые части.</w:t>
      </w:r>
    </w:p>
    <w:p w14:paraId="30EE09C5" w14:textId="77777777" w:rsidR="00EE2C65" w:rsidRPr="00142305" w:rsidRDefault="00EE2C65" w:rsidP="00EE2C6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Вместо Тур-6 итальянцы поставили очень схожие турели «Виккерс», отли</w:t>
      </w:r>
      <w:r w:rsidRPr="00142305">
        <w:rPr>
          <w:rFonts w:ascii="Times New Roman" w:hAnsi="Times New Roman"/>
          <w:color w:val="0070C0"/>
          <w:sz w:val="16"/>
          <w:szCs w:val="16"/>
        </w:rPr>
        <w:softHyphen/>
        <w:t>чавшиеся типом компенсатора. Задняя установка имела ограничители поворота, препятствовавшие прострелу хвостово</w:t>
      </w:r>
      <w:r w:rsidRPr="00142305">
        <w:rPr>
          <w:rFonts w:ascii="Times New Roman" w:hAnsi="Times New Roman"/>
          <w:color w:val="0070C0"/>
          <w:sz w:val="16"/>
          <w:szCs w:val="16"/>
        </w:rPr>
        <w:softHyphen/>
        <w:t>го оперения. Турели рассчитывались на пулеметы «Виккерс», но подходили и для ДА-2. При их испытании выявилась слабина хрупких бронзовых секторов, и их решили прямо в частях усиливать до</w:t>
      </w:r>
      <w:r w:rsidRPr="00142305">
        <w:rPr>
          <w:rFonts w:ascii="Times New Roman" w:hAnsi="Times New Roman"/>
          <w:color w:val="0070C0"/>
          <w:sz w:val="16"/>
          <w:szCs w:val="16"/>
        </w:rPr>
        <w:softHyphen/>
        <w:t>полнительными ребрами. Задняя турель теоретически давала очень большие углы обстрела вниз-вбок - до 80 - 85°, но прак</w:t>
      </w:r>
      <w:r w:rsidRPr="00142305">
        <w:rPr>
          <w:rFonts w:ascii="Times New Roman" w:hAnsi="Times New Roman"/>
          <w:color w:val="0070C0"/>
          <w:sz w:val="16"/>
          <w:szCs w:val="16"/>
        </w:rPr>
        <w:softHyphen/>
        <w:t>тически использовать их не получалось, даже если стрелок вставал на сиденье. Диски «Льюисов» и ДА имели разные га</w:t>
      </w:r>
      <w:r w:rsidRPr="00142305">
        <w:rPr>
          <w:rFonts w:ascii="Times New Roman" w:hAnsi="Times New Roman"/>
          <w:color w:val="0070C0"/>
          <w:sz w:val="16"/>
          <w:szCs w:val="16"/>
        </w:rPr>
        <w:softHyphen/>
        <w:t>бариты, поэтому переделывали и крепле</w:t>
      </w:r>
      <w:r w:rsidRPr="00142305">
        <w:rPr>
          <w:rFonts w:ascii="Times New Roman" w:hAnsi="Times New Roman"/>
          <w:color w:val="0070C0"/>
          <w:sz w:val="16"/>
          <w:szCs w:val="16"/>
        </w:rPr>
        <w:softHyphen/>
        <w:t>ния запасных магазинов, которые у италь</w:t>
      </w:r>
      <w:r w:rsidRPr="00142305">
        <w:rPr>
          <w:rFonts w:ascii="Times New Roman" w:hAnsi="Times New Roman"/>
          <w:color w:val="0070C0"/>
          <w:sz w:val="16"/>
          <w:szCs w:val="16"/>
        </w:rPr>
        <w:softHyphen/>
        <w:t>янцев к тому же ненадежно держались в гнездах. Точек подвески бомб с каждой стороны сделали не пять, как записали в задании, а три. Ближние к фюзеляжу балки позволяли подвеску 250-кг бомб. Бомбодержатели и сбрасыватель взяли итальянских образцов, лишь похожие на советские. Зато SIAI укомплектовала самолеты бомбовыми прицелами Герц- Бойков FI206, более совершенными, чем FI 110, записанные в задании.</w:t>
      </w:r>
    </w:p>
    <w:p w14:paraId="36F98922" w14:textId="77777777" w:rsidR="00EE2C65" w:rsidRPr="00142305" w:rsidRDefault="00EE2C65" w:rsidP="00EE2C6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 приемке итальянских лодок в Се</w:t>
      </w:r>
      <w:r w:rsidRPr="00142305">
        <w:rPr>
          <w:rFonts w:ascii="Times New Roman" w:hAnsi="Times New Roman"/>
          <w:color w:val="0070C0"/>
          <w:sz w:val="16"/>
          <w:szCs w:val="16"/>
        </w:rPr>
        <w:softHyphen/>
        <w:t>вастополе отметили ряд дефектов. Люк бомбового прицела пропускал воду, об</w:t>
      </w:r>
      <w:r w:rsidRPr="00142305">
        <w:rPr>
          <w:rFonts w:ascii="Times New Roman" w:hAnsi="Times New Roman"/>
          <w:color w:val="0070C0"/>
          <w:sz w:val="16"/>
          <w:szCs w:val="16"/>
        </w:rPr>
        <w:softHyphen/>
        <w:t>наружились люфты подкосов стабилиза</w:t>
      </w:r>
      <w:r w:rsidRPr="00142305">
        <w:rPr>
          <w:rFonts w:ascii="Times New Roman" w:hAnsi="Times New Roman"/>
          <w:color w:val="0070C0"/>
          <w:sz w:val="16"/>
          <w:szCs w:val="16"/>
        </w:rPr>
        <w:softHyphen/>
        <w:t>тора, перекос рулей высоты (до 20 мм). Чехлы винтов и кабин оказались весьма неудобны, фанерная обшивка покоробилась, баки текли (в итоге фирме при</w:t>
      </w:r>
      <w:r w:rsidRPr="00142305">
        <w:rPr>
          <w:rFonts w:ascii="Times New Roman" w:hAnsi="Times New Roman"/>
          <w:color w:val="0070C0"/>
          <w:sz w:val="16"/>
          <w:szCs w:val="16"/>
        </w:rPr>
        <w:softHyphen/>
        <w:t>шлось раскошелиться на 30 новых баков). На первых 20 самолетах отсутствовали суфлеры маслобаков, на 30 - дюриты крепились проволокой, а не хомутами. Черный лак «Битмо», которым покрывали днища, на жаре вздувался пузырями, пла</w:t>
      </w:r>
      <w:r w:rsidRPr="00142305">
        <w:rPr>
          <w:rFonts w:ascii="Times New Roman" w:hAnsi="Times New Roman"/>
          <w:color w:val="0070C0"/>
          <w:sz w:val="16"/>
          <w:szCs w:val="16"/>
        </w:rPr>
        <w:softHyphen/>
        <w:t>вился и тек. Интересно, что на машинах советского заказа почему-то сохранили «французскую» схему работу сектора газа для увеличения оборотов требова</w:t>
      </w:r>
      <w:r w:rsidRPr="00142305">
        <w:rPr>
          <w:rFonts w:ascii="Times New Roman" w:hAnsi="Times New Roman"/>
          <w:color w:val="0070C0"/>
          <w:sz w:val="16"/>
          <w:szCs w:val="16"/>
        </w:rPr>
        <w:softHyphen/>
        <w:t>лось брать ручку на себя, а не от себя, как на наших машинах (24948).</w:t>
      </w:r>
    </w:p>
    <w:p w14:paraId="1E0EAA88" w14:textId="77777777" w:rsidR="00EE2C65" w:rsidRPr="00142305" w:rsidRDefault="00EE2C65" w:rsidP="00EE2C65">
      <w:pPr>
        <w:spacing w:after="0" w:line="240" w:lineRule="auto"/>
        <w:jc w:val="both"/>
        <w:rPr>
          <w:rFonts w:ascii="Times New Roman" w:hAnsi="Times New Roman"/>
          <w:color w:val="0070C0"/>
          <w:sz w:val="16"/>
          <w:szCs w:val="16"/>
        </w:rPr>
      </w:pPr>
    </w:p>
    <w:p w14:paraId="46E445C8" w14:textId="77777777" w:rsidR="00EE2C65" w:rsidRPr="00142305" w:rsidRDefault="00EE2C65" w:rsidP="00EE2C6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сентябре 1931 г. в Советский Союз уже прибыли две первых партии S.62bis. С октября эти машины начали поступать в строевые части ВВС Чёрного и Балтийского морей (25184).</w:t>
      </w:r>
    </w:p>
    <w:p w14:paraId="3E55F554" w14:textId="77777777" w:rsidR="00EE2C65" w:rsidRPr="00142305" w:rsidRDefault="00EE2C65" w:rsidP="00EE2C65">
      <w:pPr>
        <w:spacing w:after="0" w:line="240" w:lineRule="auto"/>
        <w:jc w:val="both"/>
        <w:rPr>
          <w:rFonts w:ascii="Times New Roman" w:hAnsi="Times New Roman"/>
          <w:color w:val="0070C0"/>
          <w:sz w:val="16"/>
          <w:szCs w:val="16"/>
        </w:rPr>
      </w:pPr>
    </w:p>
    <w:p w14:paraId="15667F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сентябре 1931 БОК включили в ЦКБ ЦАГИ в бригаду 6. С октября там началась работа над гондолой стратостата СССР (95,22).</w:t>
      </w:r>
    </w:p>
    <w:p w14:paraId="182CA2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3594F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сентябрю 1931 года БОК имел аэродром, земельные участки, хорошее конструкторское помещение, 4 ангара, жилые помещения, строилась мастерская площадью 700 кв. м, для которой был полностью получен стройматериал, имелся обоз, подводилась специальная высоковольтная линия, был получен необходимый инструмент и начальное оборудование. Мастерская должна была быть закончена к 7 ноября 1931 года. Имелся следующий личный состав: конструкторский – 8 чел., производственный – 7 чел. и обслуживающий – 8 чел. В начале развертывания БОКа недостаток в людях был сильный, но к осени чувствовался заметный темп роста (7508, 54-58).</w:t>
      </w:r>
    </w:p>
    <w:p w14:paraId="144EFB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50A4E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сентябре 1931 года, когда произошло слияние ЦАГИ с 39 авиазаводом, Новый начальник ЦАГИ Пауфлер, имевший большие полномочия, приказал полностью ликвидировать Ухтомскую базу БОК. Фундамент мастерских остался в земле, стройматериалы увезены на строительные работы в ЦАГИ, производственный состав распущен, конструкторский состав БОК вошел в Центральное КБ ЦАГИ в виде отдела опытных конструкций (7508, 54-58).</w:t>
      </w:r>
    </w:p>
    <w:p w14:paraId="676D77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D8357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сентябре 1931 года совместное существование ЦКБ и опытного производства на заводе № 39 прекратилось – приказом по ВАО ЦКБ было переброшено в ЦАГИ.</w:t>
      </w:r>
    </w:p>
    <w:p w14:paraId="62C50B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декабре 1931 года заводу было предложено перестроиться на производство серий больших самолетов ТБ-3.</w:t>
      </w:r>
    </w:p>
    <w:p w14:paraId="3C5E16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Весь 1932 год завод развивал серийное производство самолетов ТБ3, но в феврале 1933 года новым указанием ГУАПа заводу было предписано вновь вернуться к опытному самолетостроению и организовать одновременно производство малых серий.</w:t>
      </w:r>
    </w:p>
    <w:p w14:paraId="00A1B6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 только с 1937 года за заводом закрепляется серийное производство самолетов и с этого года начинается его соответствующая реконструкция, не завершенная еще и на сегодняшний день (9241).</w:t>
      </w:r>
    </w:p>
    <w:p w14:paraId="56E015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DA733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сентябре 1931 из состава АГОС выделили гидроканал (71,110).</w:t>
      </w:r>
    </w:p>
    <w:p w14:paraId="427C82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0E08484" w14:textId="77777777" w:rsidR="00EE2C65" w:rsidRPr="00142305" w:rsidRDefault="00EE2C65" w:rsidP="00EE2C6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сентябре 1931 г. начали войсковые испытания торпеды ВВС-15 с привлечением самолетов 9-й авиабригады ВВС Черноморского флота. В качестве цели выступал линкор «Парижская Коммуна», но применяли торпеды так, чтобы избежать прямых попаданий. Дело в том, что для ВВС-15 отсут</w:t>
      </w:r>
      <w:r w:rsidRPr="00142305">
        <w:rPr>
          <w:rFonts w:ascii="Times New Roman" w:hAnsi="Times New Roman"/>
          <w:color w:val="0070C0"/>
          <w:sz w:val="16"/>
          <w:szCs w:val="16"/>
        </w:rPr>
        <w:softHyphen/>
        <w:t>ствовали практические (безопасно сминающиеся) учебные БЗО, и в случае прямого соударения с корпусом корабля опасались нежелательных последствий. Позднее осуществили еще несколько сбрасываний по буксируемым щитам и пятнам краски, сформированным с помощью ориентирно-сигнальных бомб (25037).</w:t>
      </w:r>
    </w:p>
    <w:p w14:paraId="60487426" w14:textId="77777777" w:rsidR="00EE2C65" w:rsidRPr="00142305" w:rsidRDefault="00EE2C65" w:rsidP="00EE2C65">
      <w:pPr>
        <w:spacing w:after="0" w:line="240" w:lineRule="auto"/>
        <w:jc w:val="both"/>
        <w:rPr>
          <w:rFonts w:ascii="Times New Roman" w:hAnsi="Times New Roman"/>
          <w:color w:val="0070C0"/>
          <w:sz w:val="16"/>
          <w:szCs w:val="16"/>
        </w:rPr>
      </w:pPr>
    </w:p>
    <w:p w14:paraId="569CB87C" w14:textId="77777777" w:rsidR="00EE2C65" w:rsidRPr="00142305" w:rsidRDefault="00EE2C65" w:rsidP="00EE2C6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сентябре 1931 г. на Балтике проводился первый этап государственных испытаний низких авиаторпед, получивших обозначение ВВС-12 (на базе 45-12). В отличие от прототипа авиационная торпеда получила усиленную хвостовую часть и корпус БЗО, а также бугели для подвески на самолет-носитель. Ее можно было сбрасывать с высоты 10.20 м при скорости не более 160 км/ч, поэтому появление в середине тридцатых годов самолетов-торпедоносцев, обладавших гораздо большими скоростями, быстро обесценило эту торпеду. Впрочем, в августе 1932 г., после завершения второго этапа госиспытаний, ее все же приняли на вооружение, изменив наименование на ТАН-12 (торпеда авиационная низковысотная) (25037).</w:t>
      </w:r>
    </w:p>
    <w:p w14:paraId="555E4F5A" w14:textId="77777777" w:rsidR="00EE2C65" w:rsidRPr="00142305" w:rsidRDefault="00EE2C65" w:rsidP="00EE2C65">
      <w:pPr>
        <w:spacing w:after="0" w:line="240" w:lineRule="auto"/>
        <w:jc w:val="both"/>
        <w:rPr>
          <w:rFonts w:ascii="Times New Roman" w:hAnsi="Times New Roman"/>
          <w:color w:val="0070C0"/>
          <w:sz w:val="16"/>
          <w:szCs w:val="16"/>
        </w:rPr>
      </w:pPr>
    </w:p>
    <w:p w14:paraId="5DAC3BC3" w14:textId="77777777" w:rsidR="00EE2C65" w:rsidRPr="00142305" w:rsidRDefault="00EE2C65" w:rsidP="00EE2C65">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В сентябре 1931 г. в единую летную станцию объединились: летная станция при отделе бывшего АГОС и летная станция ЦКБ ВАО. Руководство объединенной летной станцией поручили летчику- испытателю И.Ф. Козлову, а местом ее расположения стал ангар ЦАГИ.</w:t>
      </w:r>
    </w:p>
    <w:p w14:paraId="337D9ADB" w14:textId="77777777" w:rsidR="00EE2C65" w:rsidRPr="00142305" w:rsidRDefault="00EE2C65" w:rsidP="00EE2C65">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В 1929 г. в южной части Центрального аэродрома имени М.В. Фрунзе (с 1923 по 1926 г. – имени Л.Д. Троцкого) был построен ангар ЦАГИ, в котором разместилась летная станция при отделе АГОС (с 1932 г. отдел эксплуатации, летных испытаний и доводок (ОЭЛИД) ЦАГИ, или 8‑й отдел ЦАГИ). Ныне этот ангар находится на территории ОАО «ОКБ Сухого» (25667).</w:t>
      </w:r>
    </w:p>
    <w:p w14:paraId="74AA966D" w14:textId="77777777" w:rsidR="00EE2C65" w:rsidRPr="00142305" w:rsidRDefault="00EE2C65" w:rsidP="00EE2C65">
      <w:pPr>
        <w:spacing w:after="0" w:line="240" w:lineRule="auto"/>
        <w:jc w:val="both"/>
        <w:rPr>
          <w:rFonts w:ascii="Times New Roman" w:hAnsi="Times New Roman"/>
          <w:color w:val="0070C0"/>
          <w:sz w:val="16"/>
          <w:szCs w:val="16"/>
        </w:rPr>
      </w:pPr>
    </w:p>
    <w:p w14:paraId="3DB453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сентябре 1931 началась разработка второго пятилетнего плана на 1933-37. Разработку вел отдел ТЭИ, образованный при Глававиапроме по инициативе П.И.Баранова. В сектор обороны Госплана было представлено два варианта: максимальный и сокращенный. Разбивка на два периода 1933-35 и 1936-37. Утвердили максимальный, корректировали и к 1937 выполнили на 66% (80,421).</w:t>
      </w:r>
    </w:p>
    <w:p w14:paraId="49FD47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49EDC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сентябре 1931 А.А.М. сделал первые два М-34 на заводе 26 - в ноябре 1931 - кончились испытания, хотя чертежи сделали в ИАМ в марте, а работа началась в 1928 (80,72).</w:t>
      </w:r>
    </w:p>
    <w:p w14:paraId="2D7E5C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другим данным гос. испытания М-34 закончились к ноябрю 1934 (2122,5).</w:t>
      </w:r>
    </w:p>
    <w:p w14:paraId="63AC2B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F132A5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 сентябре 1931 г. на заводе № 29 сдавали серию «В» М-22, которую завершили в августе. Только на третьей серии (серии «В») из 40 двигателей удалось достичь ресурса 100 часов. На этой серии ввели фиксированные вкладыши глав</w:t>
      </w:r>
      <w:r w:rsidRPr="005E779E">
        <w:rPr>
          <w:rFonts w:ascii="Times New Roman" w:hAnsi="Times New Roman"/>
          <w:color w:val="000000" w:themeColor="text1"/>
          <w:sz w:val="16"/>
          <w:szCs w:val="16"/>
        </w:rPr>
        <w:softHyphen/>
        <w:t>ных шатунов вместо плавающих. Уже все детали моторов выполнялись из советских материалов, но импорт некоторых агрегатов продолжался. Фактически весь 1931 г. ушел на доводку конструкции и развертывание производства. За год сделали всего 68 М-22. Это вынуждало продолжать импорт готовых «Юпитеров» из Франции. Существенный рост поставки двигателей из Запорожья начался с 1932 г., когда выпустили 357 штук. Далее в почти неизменном виде М-22 изготовлялся до конца 1935 г. Освоение выпуска М-22 в 1933-1934 гг. планировалось и на новом за</w:t>
      </w:r>
      <w:r w:rsidRPr="005E779E">
        <w:rPr>
          <w:rFonts w:ascii="Times New Roman" w:hAnsi="Times New Roman"/>
          <w:color w:val="000000" w:themeColor="text1"/>
          <w:sz w:val="16"/>
          <w:szCs w:val="16"/>
        </w:rPr>
        <w:softHyphen/>
        <w:t>воде № 19 в Перми. Но реально ни одного мотора этого типа там не собрали, в связи с тем, что это предприятие переоснастили под произ</w:t>
      </w:r>
      <w:r w:rsidRPr="005E779E">
        <w:rPr>
          <w:rFonts w:ascii="Times New Roman" w:hAnsi="Times New Roman"/>
          <w:color w:val="000000" w:themeColor="text1"/>
          <w:sz w:val="16"/>
          <w:szCs w:val="16"/>
        </w:rPr>
        <w:softHyphen/>
        <w:t>водство М-25 (советской копии американского Райт «Циклон»). Всего выпустили более 2500 советских «Юпитеров». Этот двигатель являлся основным в истребительной авиации ВВС РККА в первой по</w:t>
      </w:r>
      <w:r w:rsidRPr="005E779E">
        <w:rPr>
          <w:rFonts w:ascii="Times New Roman" w:hAnsi="Times New Roman"/>
          <w:color w:val="000000" w:themeColor="text1"/>
          <w:sz w:val="16"/>
          <w:szCs w:val="16"/>
        </w:rPr>
        <w:softHyphen/>
        <w:t>ловине 30-х годов (11852).</w:t>
      </w:r>
    </w:p>
    <w:p w14:paraId="7D4B22F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8E79B0" w14:textId="77777777" w:rsidR="00EE2C65" w:rsidRPr="00142305" w:rsidRDefault="00EE2C65" w:rsidP="00EE2C65">
      <w:pPr>
        <w:spacing w:after="0" w:line="240" w:lineRule="auto"/>
        <w:jc w:val="both"/>
        <w:rPr>
          <w:rStyle w:val="aff0"/>
          <w:rFonts w:ascii="Times New Roman" w:hAnsi="Times New Roman" w:cs="Times New Roman"/>
          <w:color w:val="0070C0"/>
          <w:spacing w:val="0"/>
          <w:sz w:val="16"/>
          <w:szCs w:val="16"/>
        </w:rPr>
      </w:pPr>
      <w:r w:rsidRPr="00142305">
        <w:rPr>
          <w:rStyle w:val="aff0"/>
          <w:rFonts w:ascii="Times New Roman" w:hAnsi="Times New Roman" w:cs="Times New Roman"/>
          <w:color w:val="0070C0"/>
          <w:spacing w:val="0"/>
          <w:sz w:val="16"/>
          <w:szCs w:val="16"/>
        </w:rPr>
        <w:t>В сентябре 1931 г. завод № 22 сдал М-22 Серии «В». Только на третьей серии (серии «В») из 40 двигателей удалось достичь ресурса 100 часов. У этой серии все детали моторов выполнялись из советских материалов, но импорт некоторых агрегатов продолжался.</w:t>
      </w:r>
    </w:p>
    <w:p w14:paraId="22DF18A3" w14:textId="77777777" w:rsidR="00EE2C65" w:rsidRPr="00142305" w:rsidRDefault="00EE2C65" w:rsidP="00EE2C65">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За этот год изготовили всего 68 М-22, поэтому пришлось продолжать импорт готовых «Юпитеров» из Франции. Далее в почти неизменном виде М-22 изготовлялся до конца 1935 г. Всего выпустили 2717 советских «Юпитеров» (25145).</w:t>
      </w:r>
    </w:p>
    <w:p w14:paraId="63C0F02E" w14:textId="77777777" w:rsidR="00EE2C65" w:rsidRPr="00142305" w:rsidRDefault="00EE2C65" w:rsidP="00EE2C65">
      <w:pPr>
        <w:spacing w:after="0" w:line="240" w:lineRule="auto"/>
        <w:jc w:val="both"/>
        <w:rPr>
          <w:rFonts w:ascii="Times New Roman" w:hAnsi="Times New Roman"/>
          <w:color w:val="0070C0"/>
          <w:sz w:val="16"/>
          <w:szCs w:val="16"/>
        </w:rPr>
      </w:pPr>
    </w:p>
    <w:p w14:paraId="468856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сентябре 1931 г. в Тушине под Москвой была устроена широкая демонстрация советской авиатехники для немцев. Правда, по мнению немецких участников (Ф. Фельми, Х. Шпайдель, К. Друм, В. Виммер), это были в основном устаревшие модели. И хотя советские авиаконструкторы занимались разработкой новых типов самолетов (например, АНТ-14, АНТ-20, ТБ-1, ТБ-3, ТБ-4), немцам их старались не показывать. Причиной было очевидное нежелание демонстрировать то, что прогресс в советском авиастроении достигался во многом за счет элементарного освоения и тиражирования достижений иностранной, в том числе немецкой, технической мысли, хотя в этом, конечно, нет ничего предосудительного. В октябре 1932 г. «испытательный» период в Липецке закончился, в 1933 г. там проходили обучение лишь молодые немецкие летчики. Итоговую картину относительно подготовки летного и технического состава для советских ВВС в Липецке составить сложно, хотя можно однозначно сказать, что научились у немцев в авиационном деле многому. Достаточно упомянуть, что советские летчики обучались на основе наставлений и инструкций, разработанных в Липецке. В декабре 1932 г. Фельми передал Меженинову около десятка наставлений по ведению боевых действий в воздухе. Что касается немцев, то всего в период с 1925 по 1933 г. в Липецке прошел подготовку более 120 немецких боевых летчиков и около 100 летчиков-наблюдателей (всего порядка 270 человек), причем последний выпуск был осуществлен летом 1933 г. Кроме того, примерно 220 — 230 летчиков-истребителей и летчиков-наблюдателей было подготовлено в самой Германии на основе уникального опыта, приобретенного в авиационной школе Липецка. Таким образом, по свидетельству немецкого генерала X. Шпайделя, к 1933 г. благодаря Липецку было подготовлено около 450 немецких летчиков различной квалификации (Helm Speidel. Op. cit. S. 29, 30, 44; Manfred Zeidler. Op. cit.с 179—181.). Некоторые из них стали настоящими асами и прославились в годы второй мировой войны, действуя в том числе и на германо-советском фронте. Генералами «люфтваффе» стали прошедшие обучение в Липецкой школе X. Шпайдель, К. Штудент, X. Ешонек, В. Виммер, Э. Кваде, Г. Кастнер, О. Деслох и др. (11784).</w:t>
      </w:r>
    </w:p>
    <w:p w14:paraId="776212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8702B49" w14:textId="717467A0"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сентября 1931 г. завод № 20 (Завод № 20 ВСНХ, НКТП, НКОП, НКАП, Омский агрегатный завод им. В.В. Куйбышева МАП, Омское НПО «Агрегат», АООТ, ОАО «Омский агрегатный завод», ОАО «Акционерная компания (АК) «Омскагрегат» / г. Москва Старопетровский пр., 41;</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Омск/ /644007</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Омск ул. Герцена, 48 тел. 25-05-88,25-12-97/) начал производство нормалей и водяных насосов для М- 17, бензонасосов «Хорнет». С 04.1932 г. вступил в строй литейный цех, с 1934 г.- цех по производству клапанов, с 1935 г. начат выпуск поршневых колец. По пр. № 00276 от 20.12.1937 г. заводу поручено организовать производство агрегатов для М-62 (масляная и бензиновая помпа, маслофильтр, поршневые кольца, выпускные клапаны). С 1938 г. ликвидировано производство нормалей, и основной продукцией в предвоеннй период стали агрегаты: водяные насосы ВНМ-17, ВНШ-2, ВНАМ-35; маслонасосы МШ-2, МШ-8, МНМ-11, МНАМ-35, МК-1; бензонасосы БНК-10, БНК-12А, БК-1; помпы «88р»; маслофильтры МФМ-25; регуляторы оборотов в/винта Р-2, Р-7; клапаны и поршневые кольца для авиационных двигателей. Поршневые кольца изготовлялись по технологии американской фирмы "</w:t>
      </w:r>
      <w:r w:rsidRPr="005E779E">
        <w:rPr>
          <w:rFonts w:ascii="Times New Roman" w:hAnsi="Times New Roman"/>
          <w:color w:val="000000" w:themeColor="text1"/>
          <w:sz w:val="16"/>
          <w:szCs w:val="16"/>
          <w:lang w:val="en-US"/>
        </w:rPr>
        <w:t>Wright</w:t>
      </w:r>
      <w:r w:rsidRPr="005E779E">
        <w:rPr>
          <w:rFonts w:ascii="Times New Roman" w:hAnsi="Times New Roman"/>
          <w:color w:val="000000" w:themeColor="text1"/>
          <w:sz w:val="16"/>
          <w:szCs w:val="16"/>
        </w:rPr>
        <w:t>". По пр. № 329с от 8/17.08.1938 г. для обеспечения выпуска поршневых колец заводу было выделено 25 единиц оборудования, еще 1 станок был передан с завода № 24; на завод направлено 8 инженеров. Этим же приказом ГПИ-1 поручено разработать проект испытательной станции завода с готовностью ее к монтажу к концу года.</w:t>
      </w:r>
    </w:p>
    <w:p w14:paraId="52394F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 № 80с от 11.03.1938 г. «в целях правильной организации ремонтного производства» на заводе организован ремонтно-эксплуатационный отдел.</w:t>
      </w:r>
    </w:p>
    <w:p w14:paraId="7BBA6C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пост. КО от 2.10.1939 г. в 1940 г. должна была быть завершена реконструкция завода.</w:t>
      </w:r>
    </w:p>
    <w:p w14:paraId="39D08F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Перед войной в распоряжение завода переданы помещения расположенного рядом лесотарного завода НКПП (Старопетровский пр., 3).</w:t>
      </w:r>
    </w:p>
    <w:p w14:paraId="1115A589" w14:textId="4F84B6C0"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Постановлению ГКО № 741с от 8.10.1941 г. и приказам № 660сс от 9.07.1941 г. и № 1053сс от 9.10.1941 г. завод эвакуирован в</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Омск на площадку своего филиала, складов Сибирского военного округа № 25 и площадку завода № 495 НКАП. Здесь приказом № 1093с от 4.11.1941 г. объединен с заводом № 495 НКАП в единый завод № 20 НКАП. Часть завода планировалось перевести на площадку завода № 283 НКАП в Ульяновск. Производство клапанов было эвакуировано на моторные заводы (в т.ч. на завод № 24).</w:t>
      </w:r>
    </w:p>
    <w:p w14:paraId="067C2D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годы ВОВ производство: бензонасосов БНК-6, БНК-10, БНК-12; маслонасосов МШ-3, МШ-5, МШ-8, МНМ- 11; регуляторов оборотов Р-2, Р-7, Р-10.</w:t>
      </w:r>
    </w:p>
    <w:p w14:paraId="64DF9C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площадке эвакуированного завода в Москве по приказу № 46с от 17.01.1942 г. образованы Агрегатные ремонтные мастерские. В 04.1942 г. на их базе организован новый агрегатный завод № 451 НКАП при 4ГУ, переведенный позже на площадку бывшего завода № 132 НКАП. По приказу № 424с от 7.06.1942 г. на площадку завода № 20 со всем оборудованием, материалами и личным составом был переведен завод № 41 НКАП. Одновременно помещения лесотарного завода (Старопетровский пр., 3) переданы обратно в НКПП для налаживания производства корпусов авиабомб.</w:t>
      </w:r>
    </w:p>
    <w:p w14:paraId="71922D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03.1946 г. начато освоение производства насосов непосредственного впрыска НВ-21.</w:t>
      </w:r>
    </w:p>
    <w:p w14:paraId="0FF863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1953 г. завод переведен из 4ГУ во 2ГУ, с 1.05.1956 г.- в ЗГУ. В соответствии с пост. СМ СССР № 713-342 от 26.06.1957 г. передан в ведение управления агрегатостроения Западно-Сибирского СНХ РСФСР (и в 1962 г.).</w:t>
      </w:r>
    </w:p>
    <w:p w14:paraId="470CB701" w14:textId="587BD1E6"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1980-м</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 xml:space="preserve">г. завод стал крупнейшим в стране по изготовлению топливной автоматики для авиадвигателей и гидросистем </w:t>
      </w:r>
      <w:r w:rsidRPr="005E779E">
        <w:rPr>
          <w:rFonts w:ascii="Times New Roman" w:hAnsi="Times New Roman"/>
          <w:color w:val="000000" w:themeColor="text1"/>
          <w:sz w:val="16"/>
          <w:szCs w:val="16"/>
          <w:lang w:val="en-US"/>
        </w:rPr>
        <w:t>JIA</w:t>
      </w:r>
      <w:r w:rsidRPr="005E779E">
        <w:rPr>
          <w:rFonts w:ascii="Times New Roman" w:hAnsi="Times New Roman"/>
          <w:color w:val="000000" w:themeColor="text1"/>
          <w:sz w:val="16"/>
          <w:szCs w:val="16"/>
        </w:rPr>
        <w:t>.</w:t>
      </w:r>
    </w:p>
    <w:p w14:paraId="4DD574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10F5B6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Производство (2004 г.): топливных многофункциональных регуляторов, насосов шестеренчатых, плунжерных, центробежных, коловратных, гидроусилителей, дозаторов, различных клапанов; компрессоров к холодильникам; насосов для гидросистем тракторов, дорожных и подъемных машин, грузовых автомобилей и автобусов, гидроаппаратуры к зерновым комбайнам, для пищевой промышленности.</w:t>
      </w:r>
    </w:p>
    <w:p w14:paraId="3D5F57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Численность персонала (1964 г.)- 7025 чел., (1.01.2001 г.)- 5500 чел.</w:t>
      </w:r>
    </w:p>
    <w:p w14:paraId="0DB742CA" w14:textId="5620B478"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(1930 г.)- Бжезинский, (-06.1937-15.06.1938 г.)-</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 xml:space="preserve">Г.З. Алмазов (снят за выпуск брака), (15.06- 12.1938 г.-)- Д.М. Соколов, (20.01.1939-41 г.)- И.Т. Борисов, (-06.1942-07.1943 г.-)- </w:t>
      </w:r>
      <w:r w:rsidRPr="005E779E">
        <w:rPr>
          <w:rFonts w:ascii="Times New Roman" w:hAnsi="Times New Roman"/>
          <w:color w:val="000000" w:themeColor="text1"/>
          <w:sz w:val="16"/>
          <w:szCs w:val="16"/>
          <w:lang w:val="en-US"/>
        </w:rPr>
        <w:t>A</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M</w:t>
      </w:r>
      <w:r w:rsidRPr="005E779E">
        <w:rPr>
          <w:rFonts w:ascii="Times New Roman" w:hAnsi="Times New Roman"/>
          <w:color w:val="000000" w:themeColor="text1"/>
          <w:sz w:val="16"/>
          <w:szCs w:val="16"/>
        </w:rPr>
        <w:t>. Ивайкин, (09.1943 г.)- Ермоленко, (-12.1943-02.1944 г.-)- Н.Н. Кругленин, (1946 г.)- Сибиркин, (1979 г.)- Иванов. Гендиректор (1988-90 г.)- А.А. Кульков, (-1992-2002 г.-)- Е. Г. Руденко, (-10.2004-06 г.-&gt; С.А. Морев.</w:t>
      </w:r>
    </w:p>
    <w:p w14:paraId="4A89FC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Помощник директора: по техчасти (1930 г.)- Е.Н. Дмитревский; по найму и увольнению (-06.1937-7.12.1938 г.)- А.П. Гусев, (7.12.1938 г.-)- И.А. Уваров.</w:t>
      </w:r>
    </w:p>
    <w:p w14:paraId="2AA982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конструктор (10.1940-46 г.-)- П.Н. Тарасов, (1988-90 г.)- А.А. Кульков.</w:t>
      </w:r>
    </w:p>
    <w:p w14:paraId="441003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гл. конструктора (-10.1940 г.)- А.Н. Мельников (затем- нач. КО завода № 456), (11.1941 г.-)- Н. Г. Гладченко (бывший и.о. директора завода №495, с 12.1942 г.- гл. конструктор ОКБ-315).</w:t>
      </w:r>
    </w:p>
    <w:p w14:paraId="356344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инженер (12.1937 г.)- Боцковский, (1941 г.)- Ф.С. Деменюк.</w:t>
      </w:r>
    </w:p>
    <w:p w14:paraId="3C369EE8" w14:textId="1C7426FC"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директора (1941 г.)- Ф.С. Деменюк; по МФВ (1941 г.)-</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Г.С. Телегин. Зам. гендиректора по производству (1990-е)- В.Ф. Беляев, М.А. Пыхаев; (2006 г.)- С.К. Малиновский.</w:t>
      </w:r>
    </w:p>
    <w:p w14:paraId="167B11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 производства (1941 г.)- Н.Н. Кругленин. Исполнительный директор (2002 г.)- С. А. Морев.</w:t>
      </w:r>
      <w:r w:rsidRPr="005E779E">
        <w:rPr>
          <w:rFonts w:ascii="Times New Roman" w:hAnsi="Times New Roman"/>
          <w:color w:val="000000" w:themeColor="text1"/>
          <w:sz w:val="16"/>
          <w:szCs w:val="16"/>
          <w:vertAlign w:val="superscript"/>
        </w:rPr>
        <w:t>69</w:t>
      </w:r>
    </w:p>
    <w:p w14:paraId="0A5F53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Начальники отделов: инструментального (-07.1938 г.)- М.И. Горячев; перспективного развития (10.2004 г.)- Н.А. Раат.</w:t>
      </w:r>
    </w:p>
    <w:p w14:paraId="061920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Производство: детали для </w:t>
      </w:r>
      <w:r w:rsidRPr="005E779E">
        <w:rPr>
          <w:rFonts w:ascii="Times New Roman" w:hAnsi="Times New Roman"/>
          <w:color w:val="000000" w:themeColor="text1"/>
          <w:sz w:val="16"/>
          <w:szCs w:val="16"/>
          <w:lang w:val="en-US"/>
        </w:rPr>
        <w:t>PC</w:t>
      </w:r>
      <w:r w:rsidRPr="005E779E">
        <w:rPr>
          <w:rFonts w:ascii="Times New Roman" w:hAnsi="Times New Roman"/>
          <w:color w:val="000000" w:themeColor="text1"/>
          <w:sz w:val="16"/>
          <w:szCs w:val="16"/>
        </w:rPr>
        <w:t xml:space="preserve"> М-13 (1942) (11982).</w:t>
      </w:r>
    </w:p>
    <w:p w14:paraId="0D01EC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DE293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сентябре 1931 ГИРД получил признание Осоавиахима (105,138).</w:t>
      </w:r>
    </w:p>
    <w:p w14:paraId="183E94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3E1BB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сентябре 1931 УВВС выдвинуло набор предложений по ЗАМ и ПБМ и Майзеля: ввести отъемную ГЧ (как у морских торпед), увеличить заряд ВВ, унифицировать ЗАМ и ПБМ, обеспечить управление по радио. Предлагали разработать и новые приборы - с подрывом по радиосигналу, со шрапнельно ГЧ и т.п. (8908,36).</w:t>
      </w:r>
    </w:p>
    <w:p w14:paraId="75D2AB1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DFB17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сентябре 1931 согласно Технико-экономическому паспорту был организован Всесоюзный НИИ с/х и лесной авиации им. Яковлева (ВНИИСХА)</w:t>
      </w:r>
    </w:p>
    <w:p w14:paraId="14C285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Адрес: Москва, Елецкий пер., 7</w:t>
      </w:r>
    </w:p>
    <w:p w14:paraId="0586DD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Цели и задачи: изучение условий, разработка методики и техники применения авиации в сельском и лесном хозяйстве.</w:t>
      </w:r>
    </w:p>
    <w:p w14:paraId="21ED5F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……………….(7726, 19-30).</w:t>
      </w:r>
    </w:p>
    <w:p w14:paraId="2A8235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643F4C8" w14:textId="77777777" w:rsidR="00CD378D" w:rsidRPr="005E779E" w:rsidRDefault="00CD378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 сентябре 1931 г. Нобиле подписал предварительное соглашение с ВОГВФ (в лице его начальника Гольцмана Абрама Зиновьевича), регулирующее сотрудничество Нобиле с «Дирижаблестроем». Идентичная копия предварительного соглашения хранится также в РГАЭ (РГАЭ. Ф. 9574. Оп. 1. Д. 11. «Дело о приглашении инженера Нобиля на работу в Советский Союз в качестве специалиста по дирижаблестроению». 1931 г. Л. 4-6.). Оно оговаривало также возможность организации в 1933-1934 гг. советской воздушной экспедиции в Арктику на дирижабле объемом 40 тыс. м3 под командованием Нобиле. Экспедиция должна была продолжаться «не менее 5-ти последовательных месяцев, как с целью изучения самой Арктики, так и для установления возможности применять дирижабли для обслуживания Арктики. К этому времени должна быть построена в Арктике специальная база с эллингом нормального типа». Данный пункт вошел и в окончательный договор Нобиле с «Дирижаблестроем». Однако, как известно, в дальнейшем эти планы не были осуществлены (21410).</w:t>
      </w:r>
    </w:p>
    <w:p w14:paraId="38126E41" w14:textId="77777777" w:rsidR="00CD378D" w:rsidRPr="005E779E" w:rsidRDefault="00CD378D" w:rsidP="000B7A6C">
      <w:pPr>
        <w:spacing w:after="0" w:line="240" w:lineRule="auto"/>
        <w:jc w:val="both"/>
        <w:rPr>
          <w:rFonts w:ascii="Times New Roman" w:hAnsi="Times New Roman"/>
          <w:color w:val="000000" w:themeColor="text1"/>
          <w:sz w:val="16"/>
          <w:szCs w:val="16"/>
        </w:rPr>
      </w:pPr>
    </w:p>
    <w:p w14:paraId="635B3DD6"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сентябре 1931 г. на очередном собрании энтузиастов ракето</w:t>
      </w:r>
      <w:r w:rsidRPr="005E779E">
        <w:rPr>
          <w:rFonts w:ascii="Times New Roman" w:hAnsi="Times New Roman"/>
          <w:color w:val="000000" w:themeColor="text1"/>
          <w:sz w:val="16"/>
          <w:szCs w:val="16"/>
        </w:rPr>
        <w:softHyphen/>
        <w:t>строения и космонав</w:t>
      </w:r>
      <w:r w:rsidRPr="005E779E">
        <w:rPr>
          <w:rFonts w:ascii="Times New Roman" w:hAnsi="Times New Roman"/>
          <w:color w:val="000000" w:themeColor="text1"/>
          <w:sz w:val="16"/>
          <w:szCs w:val="16"/>
        </w:rPr>
        <w:softHyphen/>
        <w:t>тики Королев и Цандер сообщили о</w:t>
      </w:r>
      <w:r w:rsidRPr="005E779E">
        <w:rPr>
          <w:rFonts w:ascii="Times New Roman" w:hAnsi="Times New Roman"/>
          <w:color w:val="000000" w:themeColor="text1"/>
          <w:sz w:val="16"/>
          <w:szCs w:val="16"/>
        </w:rPr>
        <w:softHyphen/>
        <w:t>говоренности Осоавиахимом о создании ГИРД и пред</w:t>
      </w:r>
      <w:r w:rsidRPr="005E779E">
        <w:rPr>
          <w:rFonts w:ascii="Times New Roman" w:hAnsi="Times New Roman"/>
          <w:color w:val="000000" w:themeColor="text1"/>
          <w:sz w:val="16"/>
          <w:szCs w:val="16"/>
        </w:rPr>
        <w:softHyphen/>
        <w:t>ложили всем конкрет</w:t>
      </w:r>
      <w:r w:rsidRPr="005E779E">
        <w:rPr>
          <w:rFonts w:ascii="Times New Roman" w:hAnsi="Times New Roman"/>
          <w:color w:val="000000" w:themeColor="text1"/>
          <w:sz w:val="16"/>
          <w:szCs w:val="16"/>
        </w:rPr>
        <w:softHyphen/>
        <w:t>ное дело: как можно быстрее построить не</w:t>
      </w:r>
      <w:r w:rsidRPr="005E779E">
        <w:rPr>
          <w:rFonts w:ascii="Times New Roman" w:hAnsi="Times New Roman"/>
          <w:color w:val="000000" w:themeColor="text1"/>
          <w:sz w:val="16"/>
          <w:szCs w:val="16"/>
        </w:rPr>
        <w:softHyphen/>
        <w:t>большой ракетоплан. Летая на малой высоте и с малой скоростью, он наглядно покажет всем реальность ра</w:t>
      </w:r>
      <w:r w:rsidRPr="005E779E">
        <w:rPr>
          <w:rFonts w:ascii="Times New Roman" w:hAnsi="Times New Roman"/>
          <w:color w:val="000000" w:themeColor="text1"/>
          <w:sz w:val="16"/>
          <w:szCs w:val="16"/>
        </w:rPr>
        <w:softHyphen/>
        <w:t>кетной техники на жидком топливе.</w:t>
      </w:r>
    </w:p>
    <w:p w14:paraId="3E603819"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Таким образом, Цандер и Королев первыми в СССР поверну</w:t>
      </w:r>
      <w:r w:rsidRPr="005E779E">
        <w:rPr>
          <w:rFonts w:ascii="Times New Roman" w:hAnsi="Times New Roman"/>
          <w:color w:val="000000" w:themeColor="text1"/>
          <w:sz w:val="16"/>
          <w:szCs w:val="16"/>
        </w:rPr>
        <w:softHyphen/>
        <w:t>ли идею полетов в космос в сторону практического воплощения, начиная с самого первого шага: создания летающих аппаратов. Цандера избрали руководителем ГИРД, Королева — председате</w:t>
      </w:r>
      <w:r w:rsidRPr="005E779E">
        <w:rPr>
          <w:rFonts w:ascii="Times New Roman" w:hAnsi="Times New Roman"/>
          <w:color w:val="000000" w:themeColor="text1"/>
          <w:sz w:val="16"/>
          <w:szCs w:val="16"/>
        </w:rPr>
        <w:softHyphen/>
        <w:t>лем технического совета (23550).</w:t>
      </w:r>
    </w:p>
    <w:p w14:paraId="0C54EC81" w14:textId="77777777" w:rsidR="007F1987" w:rsidRPr="005E779E" w:rsidRDefault="007F1987" w:rsidP="000B7A6C">
      <w:pPr>
        <w:spacing w:after="0" w:line="240" w:lineRule="auto"/>
        <w:jc w:val="both"/>
        <w:rPr>
          <w:rFonts w:ascii="Times New Roman" w:hAnsi="Times New Roman"/>
          <w:color w:val="000000" w:themeColor="text1"/>
          <w:sz w:val="16"/>
          <w:szCs w:val="16"/>
        </w:rPr>
      </w:pPr>
    </w:p>
    <w:p w14:paraId="6047DE7A"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402EC649"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17E0053" w14:textId="77777777" w:rsidR="00CD378D" w:rsidRPr="005E779E" w:rsidRDefault="00CD378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сентябре 1931 г. Японское вторжение в Маньчжурию и её последующая оккупация форсировали ряд мер увеличения мобилизационной готовности промышленности, которые были запланированы уже в первые месяцы 1931 г. В определённой степени, события декабря 1931 г. и первой половины 1932 г., когда японская угроза стала реальностью, представляли собой попытку советского руководства задействовать мобилизационный план, отдельные положения которого ещё не были в достаточной мере изучены (9089).</w:t>
      </w:r>
    </w:p>
    <w:p w14:paraId="79DF35C2" w14:textId="77777777" w:rsidR="00CD378D" w:rsidRPr="005E779E" w:rsidRDefault="00CD378D" w:rsidP="000B7A6C">
      <w:pPr>
        <w:spacing w:after="0" w:line="240" w:lineRule="auto"/>
        <w:jc w:val="both"/>
        <w:rPr>
          <w:rFonts w:ascii="Times New Roman" w:hAnsi="Times New Roman"/>
          <w:color w:val="000000" w:themeColor="text1"/>
          <w:sz w:val="16"/>
          <w:szCs w:val="16"/>
        </w:rPr>
      </w:pPr>
    </w:p>
    <w:p w14:paraId="5D79C1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сентябре 1931 г. (решение об образовании принято в 1928г.) на базе перебазированного из г. Ленинграда коллектива ЦНИЛ-84 ВСНХ на территории фабрики нитрошелка (затем - корпус № 57 института) образован ВХНИИ НКТП (НИИ-6 НКОП, НКБ, МСХМ, ММ, МОП, </w:t>
      </w:r>
      <w:r w:rsidRPr="005E779E">
        <w:rPr>
          <w:rFonts w:ascii="Times New Roman" w:hAnsi="Times New Roman"/>
          <w:color w:val="000000" w:themeColor="text1"/>
          <w:sz w:val="16"/>
          <w:szCs w:val="16"/>
          <w:lang w:val="en-US"/>
        </w:rPr>
        <w:t>MOM</w:t>
      </w:r>
      <w:r w:rsidRPr="005E779E">
        <w:rPr>
          <w:rFonts w:ascii="Times New Roman" w:hAnsi="Times New Roman"/>
          <w:color w:val="000000" w:themeColor="text1"/>
          <w:sz w:val="16"/>
          <w:szCs w:val="16"/>
        </w:rPr>
        <w:t>, ГКОТ, Военно -химический НИИ (ВХНИИ) НКТП, НИИ химических материалов (НИИХМ), ФГУП ГНЦ «ЦНИИ химии и механики» (ЦНИИХМ) Росбоеприпаса /115487 г. Москва ул. Нагатинская, 16Ател. 111-87-13/) для исследования и работ по порохам, ВВ, пиротехническим средствам и средствам инициирования.</w:t>
      </w:r>
    </w:p>
    <w:p w14:paraId="230CA2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1934 г. при институте действовал полигон. На базе спецлаборатории института создан самостоятельный ХИМ-2 (далее - НИИ-2 НКОП).</w:t>
      </w:r>
    </w:p>
    <w:p w14:paraId="36CE57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пост. СНК № 2139-425сс от 21.12.1936г. и пр. НКОП № 05с от 29.12.1936г. ВХНИИ передан из Порохового треста Главазота НКТП в ведение ГУ военно-химической промышленности НКОП и по пр. № Обсс от 30.12.1936г. переименован в НИИ-6, в 02.1937г. - в ведении 6ГУ НКОП. В соответствии с пост. СНК № 1960-390сс от 5.11.1936г. и пр. № 068 от 2.04.1937г. институт переведен в группу особо режимных предприятий. По пр. № 0089 от 20.04.1937г. передан из 6ГУ в новое 11ГУ. В 02.1939г. НИИ № 6 ПГУ НКОП передан в ведение 11ГУ НКБ, в 06.1939г. - в ведении ЗГУ НКБ.</w:t>
      </w:r>
      <w:r w:rsidRPr="005E779E">
        <w:rPr>
          <w:rFonts w:ascii="Times New Roman" w:hAnsi="Times New Roman"/>
          <w:color w:val="000000" w:themeColor="text1"/>
          <w:sz w:val="16"/>
          <w:szCs w:val="16"/>
          <w:vertAlign w:val="superscript"/>
        </w:rPr>
        <w:t>132</w:t>
      </w:r>
    </w:p>
    <w:p w14:paraId="24F92E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Ведущий институт пороховой промышленности. До войны проведены работы по расширению сырьевой базы пороходелия путем замены хлопковой целлюлозы облагороженной древесной целлюлозой ВЦА (И.М, Найман) и по разработке ускоренных методов фабрикации пироксилина («УФ»), Были разработаны и внедрены нитроглицериновые баллиститные пороха (НЦ-10, НФ) для артиллерии и ракетных двигателей.</w:t>
      </w:r>
    </w:p>
    <w:p w14:paraId="068AD6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1937г. А.О. Нисенманом разработана установка для промышленного производства пироксилина, по пр. № 055 от 20.03.1937г. она должна была быть внедрена на заводе № 9.</w:t>
      </w:r>
    </w:p>
    <w:p w14:paraId="174C20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22.02.1937г. вышел приказ № 039 об организации в институте базы по стандартизации и взаимозаменяемости по пороху и техническому оборудованию пороховых производств. По пр. № 00103 от 9.05.1937г. на завод № 80 командировано два технолога.</w:t>
      </w:r>
    </w:p>
    <w:p w14:paraId="5E835C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 № 147сс от 4.05.1938г. группа по авиабомбам института переведена в созданное ГСКБ-47.</w:t>
      </w:r>
    </w:p>
    <w:p w14:paraId="7087CD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пост, правительства № 223сс от 10.09.1938г. и пр. № 381сс от 29.09.1938г. требовалось организовать лабораторию по исследованию пирозапуска авиационных моторов.</w:t>
      </w:r>
    </w:p>
    <w:p w14:paraId="24DA70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Велись также разработки (1939г.): ВВ; непрерывных технологий производства мощных ВВ и их снаряжения; осветительных и сигнальных средств; зажигательных веществ; капсюлей; спецпуль; отработка дымовых составов; пуленепробиваемые блоки. План НИОКР на 1941 г. включал 207 тем.</w:t>
      </w:r>
    </w:p>
    <w:p w14:paraId="6B269D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Имелся (06.1939г.) лабораторный корпус площадью 9035 м</w:t>
      </w:r>
      <w:r w:rsidRPr="005E779E">
        <w:rPr>
          <w:rFonts w:ascii="Times New Roman" w:hAnsi="Times New Roman"/>
          <w:color w:val="000000" w:themeColor="text1"/>
          <w:sz w:val="16"/>
          <w:szCs w:val="16"/>
          <w:vertAlign w:val="superscript"/>
        </w:rPr>
        <w:t>2</w:t>
      </w:r>
      <w:r w:rsidRPr="005E779E">
        <w:rPr>
          <w:rFonts w:ascii="Times New Roman" w:hAnsi="Times New Roman"/>
          <w:color w:val="000000" w:themeColor="text1"/>
          <w:sz w:val="16"/>
          <w:szCs w:val="16"/>
        </w:rPr>
        <w:t>. Всего в составе института (06.1939г.): 38 лабораторий и полузаводских установок; пороховая и пироксилиновая мастерские; КБ; испытательная станция с производств (прибор для измерения расхода катализатора, концентратомер щелочи, узкопредельный индикатор температуры, уровнемер сжиженных газов, устройство для измерения температуры вращающихся валков).</w:t>
      </w:r>
    </w:p>
    <w:p w14:paraId="4377EB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По приказу НКБ № 317 от 23.07.1941 г. в НИИ-6 на базе опытных установок было организовано производство ВВ - тэна (мастерская корпуса № 23) и амматола 80/20 (мастерская корпуса УФ), пороха МК для трубок и взрывателей (мастерская лаборатории дымных порохов № 5), зарядов для </w:t>
      </w:r>
      <w:r w:rsidRPr="005E779E">
        <w:rPr>
          <w:rFonts w:ascii="Times New Roman" w:hAnsi="Times New Roman"/>
          <w:color w:val="000000" w:themeColor="text1"/>
          <w:sz w:val="16"/>
          <w:szCs w:val="16"/>
          <w:lang w:val="en-US"/>
        </w:rPr>
        <w:t>PC</w:t>
      </w:r>
      <w:r w:rsidRPr="005E779E">
        <w:rPr>
          <w:rFonts w:ascii="Times New Roman" w:hAnsi="Times New Roman"/>
          <w:color w:val="000000" w:themeColor="text1"/>
          <w:sz w:val="16"/>
          <w:szCs w:val="16"/>
        </w:rPr>
        <w:t xml:space="preserve"> М-13 (корпус № 18), нафтената алюминия ОП-2. На базе корпуса № 19 организована мастерская по снаряжению противотанковых мин ТМ-35; на базе испытательного штрека и части корпусов № 2 и № 12 - мастерская по производству зажигательного состава ДУ-5. В лаборатории № 15 налажен выпуск голубого люминофора, в мастерской лаборатории инициирующих веществ - взрывных заклепок для авиаремонта. Велось также снаряжение ручных гранат РГД-33.</w:t>
      </w:r>
    </w:p>
    <w:p w14:paraId="6A877C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составе институте действовали полигон, стрельбище, стенд, испытательная станция, лаборатории: пиротехническая № 16, контрольно-аналитическая, капсюльная; зарядное бюро по зарядам к гранатам, ОТК; имелись корпуса № 25,26.</w:t>
      </w:r>
    </w:p>
    <w:p w14:paraId="6AC09E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приказом НКБ № 14/620 от 22.10.1941 г. НИИ-6 эвакуирован в г. Кемерово на комбинаты № 319 и 392 НКБ (институт работал в Москве по 15.10.1941 г.) и в Чебоксары на завод № 320. Все оставшееся на 1.11.1941 г. после эвакуации оборудование и имущество было передано заводу № 575 НКБ, расположенному рядом. На заводе работала оперативная группа НИИ-6, организованная 28.10.1941 г., под руководством М.З. Полеванова. В 1941 г. группа преобразована в Московский филиал. Группой велись работы: отработка бронепрожигающих снарядов и мин; разработка гранаты, выстреливаемой из ракетницы, ручной кумулятивной противотанковой гранаты РПГ-6; снаряжение запалов.</w:t>
      </w:r>
    </w:p>
    <w:p w14:paraId="7A7F51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П.1941 г. на базе опытных мастерских НИИ-6 организовали боеприпасное производство, являвшееся филиалом завода № 575. Приказом НКБ № 35 от 26.11.1941 г. оно выделено в самостоятельное предприятие- ГСЗ НИИ № 6. В 04.1941 г. ему присвоили название ГСЗ № 562 НКБ. По распоряжению СНК СССР от 21.06.1945г. завод № 562 был ликвидирован, его правопреемником стал НИИ-6, куда были переведены основные кадры.</w:t>
      </w:r>
    </w:p>
    <w:p w14:paraId="01646D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1941 г. после эвакуации был издан приказ об организации филиалов института: филиал № 1 при заводе № 580 (г. Красноярск); филиал № 2 при заводе № 98 (г. Молотов); филиал № 3 при заводе № 635 (г. Новосибирск); филиал № 4 при заводе № 320 (г. Чебоксары). Затем вышел приказ НКБ № 660 от 1.12.1941 г., отменявший предыдущее решение. В соответствии с ним был организован лишь филиал № 1 на заводе № 320. В Кемерово и Чебоксарах НИИ-6 размещался по 05,1943г., затем реэвакуирован на старое место в Москву.</w:t>
      </w:r>
    </w:p>
    <w:p w14:paraId="04BABE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Под руководством М.Я. Васильева в НИИ-6 начаты исследования по противотанковым кумулятивным боеприпасам. В годы войны созданы первые кумулятивные снаряды и гранаты, мощные кумулятивные инженерные боеприпасы, вязкие зажигательные огнесмеси.</w:t>
      </w:r>
    </w:p>
    <w:p w14:paraId="0B1F0A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годы войны была решена проблема применения импортных пироксилиновых порохов для отечественных боеприпасов. До конца войны институт был единственным в стране комплексным научно-исследовательским учреждением по порохам, ВВ, пиротехническим и зажигательным средствам, по снаряжению боеприпасов и средств инициирования.</w:t>
      </w:r>
    </w:p>
    <w:p w14:paraId="40DB59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войны создана лаборатория вязких опнесмесей. В начале 1941 г. в НИИ-6 организовано СТБ (специальное техническое бюро) для работ по механизации производства зарядов. В СТБ НИИ-6 разработана конструкция гранатомета ПГ-6 (1944г.) под РПГ-6. В соответствии с пост. ГКО № 4388 от 21.10.1943г. граната РПГ-6 запущена в производство.</w:t>
      </w:r>
    </w:p>
    <w:p w14:paraId="3A181E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годы войны были созданы: заряд для 82-мм миномета из пористого пороха П45 (совместно с заводом № 40); заряды для 107-мм и 120-мм минометов из пороха ВТМ; жидкая взрывчатая смесь КД; способ бездымной стрельбы из торпедных аппаратов ПЛ.</w:t>
      </w:r>
    </w:p>
    <w:p w14:paraId="4A682C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ВОВ при НИИ-6 создано СКБ по созданию БЧ для УР. Исследования по воздействию осколков на планер самолета.</w:t>
      </w:r>
    </w:p>
    <w:p w14:paraId="19892E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03.1948г. институту поручена отработка РДТТ для снаряда М-24. Для него созданы пороха НС, ФСГ.</w:t>
      </w:r>
    </w:p>
    <w:p w14:paraId="3EB83E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ВОВ: снаряжение ВВ для первой атомной бомбы. Работы по снарядам дня зенитной артиллерии.</w:t>
      </w:r>
    </w:p>
    <w:p w14:paraId="3D4675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1955г. начаты работы по БЧ для противоракет систем ПРО. В 1960 г. этим занимался отдел А.В. Воронова в составе 3-х лабораторий. В начале 1960-х г. создано два типа БЧ для космического истребителя спутников ИС (К.Н. Шамшев).</w:t>
      </w:r>
    </w:p>
    <w:p w14:paraId="530E35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1950-х г. впервые в отрасли начаты исследования и ОКР в области смесевых твердых ракетных топлив, отработка технологий их переработки в заряды. Создано большое количество пороховых и твердотопливных зарядов для ствольной артиллерии и ракет, в т.ч. С-300. Были созданы и внедрены в отрасли программно-целевые методы прогнозирования развития боеприпасов и средств новой техники.</w:t>
      </w:r>
    </w:p>
    <w:p w14:paraId="631820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1949г. НИИ-6 - в ведении МСХМ, в 1956г. - ММ, в 1959г. - ГКОТ, с 1964г. - НИИХМ (химматериалов) ММ, с осени 1969г. - ЦНИИХМ (химии и механики).</w:t>
      </w:r>
    </w:p>
    <w:p w14:paraId="2FA3CA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ГКОТ № 38 от 4.03.1959г. образована отраслевая лаборатория технической безопасности. Затем вошла в состав ЦИК Б.</w:t>
      </w:r>
    </w:p>
    <w:p w14:paraId="399F88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 соответствии с пост. СМ № 578-236 от 30.05.1960 г. институту поручена разработка твердотопливного заряда для РСЗО «Град». В соответствии с пост. СМ от 7.07.1967г. велась разработка пороха РСИ-12МП для РСЗО «Град». Пост. СМ от 12.02.1971 г. задана разработка пороха РСИ-МБП для РСЗО «Град».</w:t>
      </w:r>
    </w:p>
    <w:p w14:paraId="3837FC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ПСМ № 316-137 от 4.04.1961 г. институт привлечен к разработке высокоэнергетических смесевых твердых топлив для малогабаритной ракеты с РДТТ.</w:t>
      </w:r>
    </w:p>
    <w:p w14:paraId="56D3A9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МОП № 24 от 15.04.1965г. институту поручена разработка заряда для 3-й ступени МБР «Темп- 2С». Принимал участие в программе создания ОК «Буран».</w:t>
      </w:r>
    </w:p>
    <w:p w14:paraId="112C36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Институт имел филиал - бывшее СКТБ-80, который в 1965г. преобразован в самостоятельный НИИ-5. По приказу МОП от 23.11.1966г. в составе института образовано ЦНКБ путем слияния конструкторских подразделений НИИ-6 и ВНИИНСМ.</w:t>
      </w:r>
    </w:p>
    <w:p w14:paraId="682E21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Указом Президента РФ № 939 от 22.06.1993г. и пост. Правительства № 816 от 11.07.1994г. институту присвоен статус ГНЦ РФ. В 2004г.- ФГУП ЦНИИХМ. По Указу Президента РФ № 1009 от 4.08.2004г. вошел в число стратегических оборонных предприятий. Площадь: территории (06.1939г.)- 51,56 га. Численность персонала (06.1939г.)- 1541 чел.</w:t>
      </w:r>
    </w:p>
    <w:p w14:paraId="4CD32F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(1931-33г.)- М.А. Никитин, (1933-36г.)- Зайденберг, (1936-5.01.1938г.)- Я.Л. Березницкий, (5.01.1938-41 г.)- Н.И. Иконников, (14.07.1941-04.1948г.)- А.П. Закощиков, (1948-53г.-)- Т.И. Агафин, (1956г.)-</w:t>
      </w:r>
    </w:p>
    <w:p w14:paraId="5CCB8766" w14:textId="77777777" w:rsidR="005C4849" w:rsidRPr="005E779E" w:rsidRDefault="005C4849" w:rsidP="000B7A6C">
      <w:pPr>
        <w:tabs>
          <w:tab w:val="left" w:pos="452"/>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B. А. Сухих, (1962-70 г.)- И.И. Вернидуб, (1970 г.-)- Н.Н. Афонский, (-1984-90-е)- Ю.И. Краснощеков, (-2000-01 г.-&gt;</w:t>
      </w:r>
    </w:p>
    <w:p w14:paraId="071644C0" w14:textId="77777777" w:rsidR="005C4849" w:rsidRPr="005E779E" w:rsidRDefault="005C4849" w:rsidP="000B7A6C">
      <w:pPr>
        <w:tabs>
          <w:tab w:val="left" w:pos="438"/>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C. С. Фокин.</w:t>
      </w:r>
      <w:r w:rsidRPr="005E779E">
        <w:rPr>
          <w:rFonts w:ascii="Times New Roman" w:hAnsi="Times New Roman"/>
          <w:color w:val="000000" w:themeColor="text1"/>
          <w:sz w:val="16"/>
          <w:szCs w:val="16"/>
          <w:vertAlign w:val="superscript"/>
        </w:rPr>
        <w:t>69</w:t>
      </w:r>
    </w:p>
    <w:p w14:paraId="7C5834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1-й зам. директора (1970-84г.)- И.И. Вернидуб.</w:t>
      </w:r>
      <w:r w:rsidRPr="005E779E">
        <w:rPr>
          <w:rFonts w:ascii="Times New Roman" w:hAnsi="Times New Roman"/>
          <w:color w:val="000000" w:themeColor="text1"/>
          <w:sz w:val="16"/>
          <w:szCs w:val="16"/>
          <w:vertAlign w:val="superscript"/>
        </w:rPr>
        <w:t>56</w:t>
      </w:r>
      <w:r w:rsidRPr="005E779E">
        <w:rPr>
          <w:rFonts w:ascii="Times New Roman" w:hAnsi="Times New Roman"/>
          <w:color w:val="000000" w:themeColor="text1"/>
          <w:sz w:val="16"/>
          <w:szCs w:val="16"/>
        </w:rPr>
        <w:t xml:space="preserve"> Зам. директора: по научной части (1941 г.)- Т.И. Яковлев; по МПВО (1941 г.)- В.А. Салтыков. Помощник директора: по найму и увольнению (1.09.1938г.-)- А.И. Чернов; (1937г.)- Николин.</w:t>
      </w:r>
    </w:p>
    <w:p w14:paraId="5EDFCF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инженер: по порохам (1941 г.)- Т.И. Яковлев, Г.К. Клименко, А.К. Вострухин; по ВВ, снаряжению и пиротехнике- Е.М. Адаскин, В.З. Смоляницкий.</w:t>
      </w:r>
    </w:p>
    <w:p w14:paraId="4B2197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Начальники филиалов: № 1 (1941 г.-)- А.А. Иванов, (12.1941 г.-)- Н.Ф. Ус; № 2 (1941 г.-)- И.Г. Лопук; № 3 (1941 г.-)- В.З. Смоляницкий; № 4 (1941 г.-)- А.П. Ионов.</w:t>
      </w:r>
    </w:p>
    <w:p w14:paraId="62AD40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Начальники отделов: 4-го (1937г.)- Широков; баллистического (20.11.1925г.-)- В.В. Хожев; порохового- В.В. Хожев; ОТК (1941 г.)- В.Г. Раздрогин; (02.1937г.)- Вигский, (1960 г.)- А.В. Воронов. Зам. начальников отделов: порохового- В.В. Хожев; (1960 г.)- В.И. Комков.</w:t>
      </w:r>
    </w:p>
    <w:p w14:paraId="2BA128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Начальники лабораторий: № 15 (1941 г.)- Н.Ф. Жиров; № 16 (1940 г.)- С.И. Беленький; целлюлозного сырья для порохов (193 8-41 г.)- А.П. Закощиков; кумулятивных боеприпасов (</w:t>
      </w:r>
      <w:r w:rsidRPr="005E779E">
        <w:rPr>
          <w:rFonts w:ascii="Times New Roman" w:hAnsi="Times New Roman"/>
          <w:color w:val="000000" w:themeColor="text1"/>
          <w:sz w:val="16"/>
          <w:szCs w:val="16"/>
          <w:lang w:val="en-US"/>
        </w:rPr>
        <w:t>BOB</w:t>
      </w:r>
      <w:r w:rsidRPr="005E779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lang w:val="en-US"/>
        </w:rPr>
        <w:t>A</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M</w:t>
      </w:r>
      <w:r w:rsidRPr="005E779E">
        <w:rPr>
          <w:rFonts w:ascii="Times New Roman" w:hAnsi="Times New Roman"/>
          <w:color w:val="000000" w:themeColor="text1"/>
          <w:sz w:val="16"/>
          <w:szCs w:val="16"/>
        </w:rPr>
        <w:t>. Ломова; вязких огнесмесей (ВОВ)- А.П. Ионов; пороховой- В.В. Хожев; БЧ противоракет (-1960-67г.)- В.И. Комков, (1967г.-)- Ю.Н. Лазинцев; баллиститных порохов (-1934-37г.-)- Б.П. Фомин (порох «Н»); (1941 г.)- Б.П. Жуков, Е.З. Плюшкин, (09.1945г.-)- К.И. Козорезов, (1948г.)- М.П. Дынкин (РДТТ), С.Т. Мудрак (РДТТ), (1960 г.)- Б.М. Богданов, (1960 г.)- Н.И. Попов, (1980 г.)- М.М. Растопшин (противотанковое вооружение).</w:t>
      </w:r>
    </w:p>
    <w:p w14:paraId="609223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Научный руководитель лаборатории баллиститных порохов (1934-13.12.1937г.)- А.С. Бакаев (репрессирован). Зам. начальника лаборатории: № 16 (06.1940-41 г.-)- И.И. Вернидуб. Гл. конструкторы: (1955г.-)- А.В. Воронов (БЧ противоракет).</w:t>
      </w:r>
    </w:p>
    <w:p w14:paraId="615A50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Начальники: мастерских: противотанковых мин (1941 г.-)- К. Хильмончик; зажигательного состава (1941 г.-)- А.Н. Рабинович; лаборатории № 5 (1941 г.)- Г.К. Клименко; тэна (1941 г.)- Т.А. Вагжанова; корпусов: УФ (1941 г.)- Я.Т. Данишевский. Начальник испытательной станции- В.В. Хожев. Зам. начальника корпуса № 18 (1941 г.)- Е.З. Плюшкин.</w:t>
      </w:r>
    </w:p>
    <w:p w14:paraId="60CE27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Начальники бюро: СТБ (1941 г.-)- И.М. Найман; зарядного- В.В. Хожев, (ВОВ)- И.Г. Лопук; СКБ (1940-е)- М.И. Воротвов.</w:t>
      </w:r>
    </w:p>
    <w:p w14:paraId="5FD1D2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Создано: пороха: «Н» (1930-е), НЦ-10, НФ (1938), ПС (пироксилино-селитренный, 1941), ПК (пироксилино- канифолышй, ВОВ); пороховое снаряжение БЧ и шашки двигателей для РС-132, пороховые заряды 9X111, 9Х111М2 (1972) для НУР М-21-ОФ, заряды для системы динамической защиты танков; зажигательно- трассирующая пуля «ЗТ» для 7,62-мм патрона (1938); разрывные заряды для авиационных снарядов; жидкий зажигательный состав «нефос» (1940), загуститель нафтенат алюминия ОП-2 (1939); БЧ: для Р-112 (1949), для ЗУР «Даль» (1955), 4Г15 для П-15 (1955-60), 4Г48 для П-6 (1959), 4Г70 для П-25 (1961-62), для П-70 «Аметист» (1960), УРВВ, ПТУР; противотанковая кумулятивная граната РПГ-6 (1943) (11982).</w:t>
      </w:r>
    </w:p>
    <w:p w14:paraId="0F90E1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42711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сентябре 1931 г. на базе перебазированного в Москву из Ленинграда коллектива ЦНИЛ-84 образован (решение об образовании принято в 1928 г.) ВХНИИ НКТП, далее- НИИ-6.</w:t>
      </w:r>
    </w:p>
    <w:p w14:paraId="29E322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 ЦНИЛ-84- М.А. Никитин (затем он- первый директор ВХНИИ).</w:t>
      </w:r>
    </w:p>
    <w:p w14:paraId="09A1A7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 бригады (-1928-ЗО г.)- А.С. Бакаев (репрессирован, работал в ОВТБ НКВД) (11982).</w:t>
      </w:r>
    </w:p>
    <w:p w14:paraId="19966879" w14:textId="77777777" w:rsidR="004D11D4" w:rsidRPr="005E779E" w:rsidRDefault="004D11D4" w:rsidP="000B7A6C">
      <w:pPr>
        <w:autoSpaceDE w:val="0"/>
        <w:autoSpaceDN w:val="0"/>
        <w:adjustRightInd w:val="0"/>
        <w:spacing w:after="0" w:line="240" w:lineRule="auto"/>
        <w:jc w:val="both"/>
        <w:rPr>
          <w:rFonts w:ascii="Times New Roman" w:hAnsi="Times New Roman"/>
          <w:color w:val="000000" w:themeColor="text1"/>
          <w:sz w:val="16"/>
          <w:szCs w:val="16"/>
        </w:rPr>
      </w:pPr>
    </w:p>
    <w:p w14:paraId="3A32B3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сентябре 1931 года Управление ВМС телеграммой изменило калибр ствола для зенитной пушки с длиной ствола 45 калибров со 102-мм на 100-мм (3861).</w:t>
      </w:r>
    </w:p>
    <w:p w14:paraId="462156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8088BAB" w14:textId="77777777" w:rsidR="004D11D4" w:rsidRPr="005E779E" w:rsidRDefault="004D11D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сентябре 1931 г. завод «Большевик» приступил к переделке 130/55-мм пушки в полигональную по чертежам АНИМИ. В состав её боекомплекта входили следующие снаряды: полубронебойный весом 36,86 кг, вес ВВ — 4,74 кг; фугасный весом 36,86 кг, вес ВВ — 3,9 кг; полубронебойный весом 33,5 кг, вес ВВ — 1,67 кг; осколочно-фугасный весом 33,5 кг, вес ВВ — 3,64 кг; дистанционная граната весом 33,5 кг, вес ВВ — 2,64 кг; ныряющий снаряд весом 33,14 кг, вес ВВ — 6,58 кг; осветительный беспарашюгный весом 34,3 кг. Для этого же орудия в 1930-х гг. были спроектированы осколочно-химические снаряды (по типу снарядов обр. 1928 г.). По штату на КР «Червонная Украина» предполагалось иметь 80 осколочно-химических снарядов на ствол. Для всех основных снарядов использовался боевой пороховой заряд весом 11 кг, а для осветительного и ныряющего снарядов — специальные заряды 7,5 кг и 0,8 кг соответственно. Дальность стрельбы дистанционной гранаты, шрапнели и осветительного снаряда определялась дистанционной трубкой и составляла от 10 608 м до 22 497 м. Ныряющий снаряд имел Vo — 237,7 м/с и дальность полёта 3109 м (15132).</w:t>
      </w:r>
    </w:p>
    <w:p w14:paraId="4AE2C2C9" w14:textId="77777777" w:rsidR="004D11D4" w:rsidRPr="005E779E" w:rsidRDefault="004D11D4" w:rsidP="000B7A6C">
      <w:pPr>
        <w:spacing w:after="0" w:line="240" w:lineRule="auto"/>
        <w:jc w:val="both"/>
        <w:rPr>
          <w:rFonts w:ascii="Times New Roman" w:hAnsi="Times New Roman"/>
          <w:color w:val="000000" w:themeColor="text1"/>
          <w:sz w:val="16"/>
          <w:szCs w:val="16"/>
        </w:rPr>
      </w:pPr>
    </w:p>
    <w:p w14:paraId="785784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сентябре 1931 на Большевике в Ленинграде был изготовлен танк ТММ-1 - версия Виккерс, разработанная по проекту факультета ММ под руководством М.В.Данченко. Недостатки устранялись до февраля 1932 (9527,89).</w:t>
      </w:r>
    </w:p>
    <w:p w14:paraId="508495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957C5F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сентябре 1931 г. Комитет обороны (КО) в присутствии тт. Орджоникидзе, Тухачевского, Павлуновского, Халепского и Будняка уверенно утвердил на 1932 г. программу строительства 10 000 танков (3000 шт. Т-26, 5000 шт. Т-27 и 2000 шт. БТ). И это несмотря на то, что большинство производственных мощностей, которые фигурировали в ней, были еще далеки от готовности. Проанализировав возможности завода «Большевик» и убедившись в неспособности СТЗ подключиться к производ</w:t>
      </w:r>
      <w:r w:rsidRPr="005E779E">
        <w:rPr>
          <w:rFonts w:ascii="Times New Roman" w:hAnsi="Times New Roman"/>
          <w:color w:val="000000" w:themeColor="text1"/>
          <w:sz w:val="16"/>
          <w:szCs w:val="16"/>
        </w:rPr>
        <w:softHyphen/>
        <w:t>ству новых танков, в феврале 1932 г. КО программу все-таки не изменил, но разрешил (!) КБ «Большевика» вносить «лю</w:t>
      </w:r>
      <w:r w:rsidRPr="005E779E">
        <w:rPr>
          <w:rFonts w:ascii="Times New Roman" w:hAnsi="Times New Roman"/>
          <w:color w:val="000000" w:themeColor="text1"/>
          <w:sz w:val="16"/>
          <w:szCs w:val="16"/>
        </w:rPr>
        <w:softHyphen/>
        <w:t>бые изменения в конструкцию, и методику изготовления тан</w:t>
      </w:r>
      <w:r w:rsidRPr="005E779E">
        <w:rPr>
          <w:rFonts w:ascii="Times New Roman" w:hAnsi="Times New Roman"/>
          <w:color w:val="000000" w:themeColor="text1"/>
          <w:sz w:val="16"/>
          <w:szCs w:val="16"/>
        </w:rPr>
        <w:softHyphen/>
        <w:t>ков, не снижающие их боевых качеств и способствующие увели</w:t>
      </w:r>
      <w:r w:rsidRPr="005E779E">
        <w:rPr>
          <w:rFonts w:ascii="Times New Roman" w:hAnsi="Times New Roman"/>
          <w:color w:val="000000" w:themeColor="text1"/>
          <w:sz w:val="16"/>
          <w:szCs w:val="16"/>
        </w:rPr>
        <w:softHyphen/>
        <w:t>чению выпуска». Кроме того, для облегчения участи «Больше</w:t>
      </w:r>
      <w:r w:rsidRPr="005E779E">
        <w:rPr>
          <w:rFonts w:ascii="Times New Roman" w:hAnsi="Times New Roman"/>
          <w:color w:val="000000" w:themeColor="text1"/>
          <w:sz w:val="16"/>
          <w:szCs w:val="16"/>
        </w:rPr>
        <w:softHyphen/>
        <w:t>вика» и Ижорского завода КО определил им соисполнителей по бронекорпусам дополнительно Кулебакский и Мариу</w:t>
      </w:r>
      <w:r w:rsidRPr="005E779E">
        <w:rPr>
          <w:rFonts w:ascii="Times New Roman" w:hAnsi="Times New Roman"/>
          <w:color w:val="000000" w:themeColor="text1"/>
          <w:sz w:val="16"/>
          <w:szCs w:val="16"/>
        </w:rPr>
        <w:softHyphen/>
        <w:t>польский заводы, по моторам предполагалось задействовать НАЗ (будущий ГАЗ) и АМО (10733,180).</w:t>
      </w:r>
    </w:p>
    <w:p w14:paraId="0752097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42F72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сентябре 1931 года первые три танка БТ-2 были изготовлены. Как вспоминал тот же Бер, — «Испытания самых первых образцов БТ выяви</w:t>
      </w:r>
      <w:r w:rsidRPr="005E779E">
        <w:rPr>
          <w:rFonts w:ascii="Times New Roman" w:hAnsi="Times New Roman"/>
          <w:color w:val="000000" w:themeColor="text1"/>
          <w:sz w:val="16"/>
          <w:szCs w:val="16"/>
        </w:rPr>
        <w:softHyphen/>
        <w:t>ли в них существенные недостатки. Производство образцов танков было приостановлено».</w:t>
      </w:r>
    </w:p>
    <w:p w14:paraId="3111290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Некоторые сотрудники КБ Алексенко позже уверяли, что повинны в этом были не только малоопытность конструкторов в разработке боевых машин, но и отношение к разрабатываемой машине самого начальника КВ-Т2К Ивана Никифоровича Алексенко и технического руководителя разработки быстроход го танка профессора Заславского.</w:t>
      </w:r>
    </w:p>
    <w:p w14:paraId="7A5ED2E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Напомним, что под их руководством в ГКБ АСТ был сначала создан «ма</w:t>
      </w:r>
      <w:r w:rsidRPr="005E779E">
        <w:rPr>
          <w:rFonts w:ascii="Times New Roman" w:hAnsi="Times New Roman"/>
          <w:color w:val="000000" w:themeColor="text1"/>
          <w:sz w:val="16"/>
          <w:szCs w:val="16"/>
        </w:rPr>
        <w:softHyphen/>
        <w:t>невренный» танк Т-12, а затем его модернизированный вариант средний танк Т-24, который хоть и малой серией теперь выпускался на ХПЗ.</w:t>
      </w:r>
    </w:p>
    <w:p w14:paraId="22CE6D1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Алексенко считал, как утверждают ветераны завода, что Т-24 во всех отношениях лучше легкого танка Т-26, выпускаемого в Ленинграде и луч</w:t>
      </w:r>
      <w:r w:rsidRPr="005E779E">
        <w:rPr>
          <w:rFonts w:ascii="Times New Roman" w:hAnsi="Times New Roman"/>
          <w:color w:val="000000" w:themeColor="text1"/>
          <w:sz w:val="16"/>
          <w:szCs w:val="16"/>
        </w:rPr>
        <w:softHyphen/>
        <w:t>ше БТ, его нужно доработать, особенно ходовую часть, как следует испы</w:t>
      </w:r>
      <w:r w:rsidRPr="005E779E">
        <w:rPr>
          <w:rFonts w:ascii="Times New Roman" w:hAnsi="Times New Roman"/>
          <w:color w:val="000000" w:themeColor="text1"/>
          <w:sz w:val="16"/>
          <w:szCs w:val="16"/>
        </w:rPr>
        <w:softHyphen/>
        <w:t>тать и выпускать на заводе большими сериями. В этом вопросе профессор Заславский, вложивший в создание среднего танка Т-24 не меньше труда, чем Алексенко, был полностью солидарен с последним.</w:t>
      </w:r>
    </w:p>
    <w:p w14:paraId="643CF98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Безусловно, настроение профессора и начальника конструкторского бюро не могло не отразиться и на коллективе конструкторов, поэтому и работа шла не лучшим образом. Однако настроение постепенно ломалось и коллективу потребовалось меньше года на разработку технической доку</w:t>
      </w:r>
      <w:r w:rsidRPr="005E779E">
        <w:rPr>
          <w:rFonts w:ascii="Times New Roman" w:hAnsi="Times New Roman"/>
          <w:color w:val="000000" w:themeColor="text1"/>
          <w:sz w:val="16"/>
          <w:szCs w:val="16"/>
        </w:rPr>
        <w:softHyphen/>
        <w:t>ментации для серийного производства колесно-гусеничного танка БТ-2.</w:t>
      </w:r>
    </w:p>
    <w:p w14:paraId="123DA3E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 не нужно забывать и то, что завод встретился с теми же трудностя</w:t>
      </w:r>
      <w:r w:rsidRPr="005E779E">
        <w:rPr>
          <w:rFonts w:ascii="Times New Roman" w:hAnsi="Times New Roman"/>
          <w:color w:val="000000" w:themeColor="text1"/>
          <w:sz w:val="16"/>
          <w:szCs w:val="16"/>
        </w:rPr>
        <w:softHyphen/>
        <w:t>ми при изготовлении танков, что и завод «Большевик» в Ленинграде при освоении танка МС-1 (11504).</w:t>
      </w:r>
    </w:p>
    <w:p w14:paraId="61C4E7E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013161" w14:textId="77777777" w:rsidR="004D11D4" w:rsidRPr="005E779E" w:rsidRDefault="004D11D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сентябре 1931 г. в СССР были изготовлены первые три танка БТ-2, созданные на базе «Кристи», Увы, испытания выявили множество недоделок и недостатков. Эти три танка приняли участие в параде войск на Красной площади 7 ноября 1931 г. Они на максимальной для гусеничного танка скорости — 52 км/ч — пронеслись по Красной площади, но на повороте у Москвы-реки один танк вдруг загорелся, а у второго нарушилось управление переключением передач (15117).</w:t>
      </w:r>
    </w:p>
    <w:p w14:paraId="7AD0335F" w14:textId="77777777" w:rsidR="004D11D4" w:rsidRPr="005E779E" w:rsidRDefault="004D11D4" w:rsidP="000B7A6C">
      <w:pPr>
        <w:spacing w:after="0" w:line="240" w:lineRule="auto"/>
        <w:jc w:val="both"/>
        <w:rPr>
          <w:rFonts w:ascii="Times New Roman" w:hAnsi="Times New Roman"/>
          <w:color w:val="000000" w:themeColor="text1"/>
          <w:sz w:val="16"/>
          <w:szCs w:val="16"/>
        </w:rPr>
      </w:pPr>
    </w:p>
    <w:p w14:paraId="40366AE5" w14:textId="77777777" w:rsidR="00EE2C65" w:rsidRPr="00142305" w:rsidRDefault="00EE2C65" w:rsidP="00EE2C6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В сентябре 1931 г. в СССР были изготовлены первые три танка БТ-2, созданные на базе «кристи». Испытания выявили множество недоделок и недостатков. Эти три танка приняли участие в параде войск на Красной площади 7 ноября 1931 г. Они на максимальной для гусеничного танка скорости – 52 км/ч – пронеслись по Красной площади, но на повороте у Москвы-реки один танк вдруг загорелся, а у второго нарушилось управление переключением передач.</w:t>
      </w:r>
    </w:p>
    <w:p w14:paraId="02AF9761" w14:textId="77777777" w:rsidR="00EE2C65" w:rsidRPr="00142305" w:rsidRDefault="00EE2C65" w:rsidP="00EE2C6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 производстве танков БТ-2 на Харьковском заводе хорошо написано у Д. С. Ибрагимова:</w:t>
      </w:r>
    </w:p>
    <w:p w14:paraId="254F22F5" w14:textId="77777777" w:rsidR="00EE2C65" w:rsidRPr="00142305" w:rsidRDefault="00EE2C65" w:rsidP="00EE2C6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«А. О. Фирсов, как говорят, «с ходу» включился в борьбу с дефектами и недостатками танка, которые по мере разворота производства и увеличения выпуска танков не уменьшались, а росли.</w:t>
      </w:r>
    </w:p>
    <w:p w14:paraId="67FCC5C1" w14:textId="77777777" w:rsidR="00EE2C65" w:rsidRPr="00142305" w:rsidRDefault="00EE2C65" w:rsidP="00EE2C6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Машины ходили либо по шоссе от ХПЗ до Харьковского тракторного завода (ХТЗ), либо по Салтовскому тракту, который вначале был основным маршрутом.</w:t>
      </w:r>
    </w:p>
    <w:p w14:paraId="673B6928" w14:textId="77777777" w:rsidR="00EE2C65" w:rsidRPr="00142305" w:rsidRDefault="00EE2C65" w:rsidP="00EE2C6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Ветераны завода рассказывали, что в тот период танки очень редко возвращались в цех своим ходом, поэтому в пробеге танки сопровождала транспортная машина, на которой везли большой забор запасных частей, особенно траков. При поломке, прямо в поле занимались ремонтными работами, чтобы не буксировать машины (это тогда было очень трудно), а обеспечить возврат их в цех своим ходом»</w:t>
      </w:r>
      <w:bookmarkStart w:id="46" w:name="n_19"/>
      <w:r w:rsidRPr="00142305">
        <w:rPr>
          <w:rFonts w:ascii="Times New Roman" w:hAnsi="Times New Roman"/>
          <w:color w:val="0070C0"/>
          <w:sz w:val="16"/>
          <w:szCs w:val="16"/>
        </w:rPr>
        <w:t>.</w:t>
      </w:r>
    </w:p>
    <w:p w14:paraId="6D3E20E2" w14:textId="77777777" w:rsidR="00EE2C65" w:rsidRPr="00142305" w:rsidRDefault="00EE2C65" w:rsidP="00EE2C6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Выпуск танков БТ-2 продолжался более полутора лет. Всего было выпущено 2600 машин (25184)</w:t>
      </w:r>
      <w:bookmarkEnd w:id="46"/>
      <w:r w:rsidRPr="00142305">
        <w:rPr>
          <w:rFonts w:ascii="Times New Roman" w:hAnsi="Times New Roman"/>
          <w:color w:val="0070C0"/>
          <w:sz w:val="16"/>
          <w:szCs w:val="16"/>
        </w:rPr>
        <w:t>.</w:t>
      </w:r>
    </w:p>
    <w:p w14:paraId="038079E3" w14:textId="77777777" w:rsidR="00EE2C65" w:rsidRPr="00142305" w:rsidRDefault="00EE2C65" w:rsidP="00EE2C65">
      <w:pPr>
        <w:spacing w:after="0" w:line="240" w:lineRule="auto"/>
        <w:jc w:val="both"/>
        <w:rPr>
          <w:rFonts w:ascii="Times New Roman" w:hAnsi="Times New Roman"/>
          <w:color w:val="0070C0"/>
          <w:sz w:val="16"/>
          <w:szCs w:val="16"/>
        </w:rPr>
      </w:pPr>
    </w:p>
    <w:p w14:paraId="72D0AFA3" w14:textId="77777777" w:rsidR="00EE2C65" w:rsidRPr="00142305" w:rsidRDefault="00EE2C65" w:rsidP="00EE2C65">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В сентябре 1931 г. в СССР были изготовлены первые три танка БТ-2, созданные на базе «Кристи». Увы, испытания выявили множество недоделок и недостатков. Эти три танка приняли участие в параде войск на Красной площади 7 ноября 1931 г. Они на максимальной для гусеничного танка скорости — 52 км/ч — пронеслись по Красной площади, но на повороте у Москвы-реки один танк вдруг загорелся, а у второго нарушилось управление переключением передач (25213).</w:t>
      </w:r>
    </w:p>
    <w:p w14:paraId="4AEEE691" w14:textId="77777777" w:rsidR="00EE2C65" w:rsidRPr="00142305" w:rsidRDefault="00EE2C65" w:rsidP="00EE2C65">
      <w:pPr>
        <w:spacing w:after="0" w:line="240" w:lineRule="auto"/>
        <w:jc w:val="both"/>
        <w:rPr>
          <w:rFonts w:ascii="Times New Roman" w:hAnsi="Times New Roman"/>
          <w:color w:val="0070C0"/>
          <w:sz w:val="16"/>
          <w:szCs w:val="16"/>
          <w:lang w:eastAsia="ru-RU"/>
        </w:rPr>
      </w:pPr>
    </w:p>
    <w:p w14:paraId="204FBB40" w14:textId="77777777" w:rsidR="00587130" w:rsidRPr="005E779E" w:rsidRDefault="0058713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сентябре 1931 г. Гротте выехал в Германию.</w:t>
      </w:r>
    </w:p>
    <w:p w14:paraId="2DCF43EB" w14:textId="77777777" w:rsidR="00587130" w:rsidRPr="005E779E" w:rsidRDefault="0058713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Возможно, произошел конфликт, потому что отдыхавшему в Сочи И. В. Сталину его жена Н. С. Аллилуева в своем сугубо личном письме написала, что С. М. Киров (Первый секретарь Ленинградского губкома (обкома) ВКП(б) в 1926–1934 гг.), с которым Сталин дружил, отправится к нему в Сочи 12 сентября и «о Гротте &lt;. &gt; расскажет &lt;…&gt; всё сам» (18265).</w:t>
      </w:r>
    </w:p>
    <w:p w14:paraId="036D54A8" w14:textId="77777777" w:rsidR="00587130" w:rsidRPr="005E779E" w:rsidRDefault="00587130" w:rsidP="000B7A6C">
      <w:pPr>
        <w:spacing w:after="0" w:line="240" w:lineRule="auto"/>
        <w:jc w:val="both"/>
        <w:rPr>
          <w:rFonts w:ascii="Times New Roman" w:hAnsi="Times New Roman"/>
          <w:color w:val="000000" w:themeColor="text1"/>
          <w:sz w:val="16"/>
          <w:szCs w:val="16"/>
        </w:rPr>
      </w:pPr>
    </w:p>
    <w:p w14:paraId="1455730C" w14:textId="6F887818" w:rsidR="00DA6399" w:rsidRPr="005E779E" w:rsidRDefault="00DA639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сентябре 1931 года началась история создания тяжёлых отечественных</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САУ. В ходе работ над «самоходным корпусным триплексом» были разработаны САУ СУ-7 и СУ-14. СУ-7 проектировалась под 152-мм пушку, 203-мм гаубицу и 305-мм мортиру. СУ-14 проектировалась под 107-мм пушку, 152-мм пушку и 203-мм гаубицу. После ареста сначала Н. Н. Магдесиева (создатель гаубицы Б-4), а затем и П. И. Сячинтова, руководившего работами по СУ-14, 7 августа 1938 года тему «малого триплекса» отменили (12624).</w:t>
      </w:r>
    </w:p>
    <w:p w14:paraId="2D2B47D0" w14:textId="77777777" w:rsidR="00DA6399" w:rsidRPr="005E779E" w:rsidRDefault="00DA6399" w:rsidP="000B7A6C">
      <w:pPr>
        <w:spacing w:after="0" w:line="240" w:lineRule="auto"/>
        <w:jc w:val="both"/>
        <w:rPr>
          <w:rFonts w:ascii="Times New Roman" w:hAnsi="Times New Roman"/>
          <w:color w:val="000000" w:themeColor="text1"/>
          <w:sz w:val="16"/>
          <w:szCs w:val="16"/>
        </w:rPr>
      </w:pPr>
    </w:p>
    <w:p w14:paraId="706EAFBB" w14:textId="77777777" w:rsidR="002E1EC2" w:rsidRPr="005E779E" w:rsidRDefault="002E1EC2" w:rsidP="000B7A6C">
      <w:pPr>
        <w:pStyle w:val="a3"/>
        <w:rPr>
          <w:color w:val="000000" w:themeColor="text1"/>
          <w:lang w:val="ru-RU"/>
        </w:rPr>
      </w:pPr>
      <w:r w:rsidRPr="005E779E">
        <w:rPr>
          <w:color w:val="000000" w:themeColor="text1"/>
          <w:lang w:val="ru-RU"/>
        </w:rPr>
        <w:t>В сентябре 1931 года началась история создания тяжелых отечественных САУ. Основной задачей этих работ была механизация тя</w:t>
      </w:r>
      <w:r w:rsidRPr="005E779E">
        <w:rPr>
          <w:color w:val="000000" w:themeColor="text1"/>
          <w:lang w:val="ru-RU"/>
        </w:rPr>
        <w:softHyphen/>
        <w:t>желой артиллерии, что должно было повысить ее мобильность. В ходе работ по теме «самоходного корпусного триплекса» были раз</w:t>
      </w:r>
      <w:r w:rsidRPr="005E779E">
        <w:rPr>
          <w:color w:val="000000" w:themeColor="text1"/>
          <w:lang w:val="ru-RU"/>
        </w:rPr>
        <w:softHyphen/>
        <w:t>работаны САУ СУ-7 и СУ-14. СУ-7 проектировалась под 152-мм пушку, 203-мм гаубицу и 305-мм мортиру. СУ-14 проектировалась под 107-мм пушку, 152-мм пушку и 203-мм гаубицу. Итогом стала построй</w:t>
      </w:r>
      <w:r w:rsidRPr="005E779E">
        <w:rPr>
          <w:color w:val="000000" w:themeColor="text1"/>
          <w:lang w:val="ru-RU"/>
        </w:rPr>
        <w:softHyphen/>
        <w:t>ка двух образцов, получивших индексы СУ-14 и СУ-14-1. Обе установ</w:t>
      </w:r>
      <w:r w:rsidRPr="005E779E">
        <w:rPr>
          <w:color w:val="000000" w:themeColor="text1"/>
          <w:lang w:val="ru-RU"/>
        </w:rPr>
        <w:softHyphen/>
        <w:t>ки изначально были вооружены 203-мм гаубицей большой мощности Б-4 обр. 1931 г., позже замененной на 152-мм пушку особой мощно</w:t>
      </w:r>
      <w:r w:rsidRPr="005E779E">
        <w:rPr>
          <w:color w:val="000000" w:themeColor="text1"/>
          <w:lang w:val="ru-RU"/>
        </w:rPr>
        <w:softHyphen/>
        <w:t>сти БР-2 обр. 1935 г. Шла речь о запуске СУ-14 в серийное производ</w:t>
      </w:r>
      <w:r w:rsidRPr="005E779E">
        <w:rPr>
          <w:color w:val="000000" w:themeColor="text1"/>
          <w:lang w:val="ru-RU"/>
        </w:rPr>
        <w:softHyphen/>
        <w:t>ство. После ареста сначала Н.Н. Магдесиева (создатель гаубицы Б-4), а затем и</w:t>
      </w:r>
      <w:r w:rsidRPr="005E779E">
        <w:rPr>
          <w:rStyle w:val="BodytextTahoma"/>
          <w:rFonts w:ascii="Times New Roman" w:hAnsi="Times New Roman" w:cs="Times New Roman"/>
          <w:color w:val="000000" w:themeColor="text1"/>
          <w:sz w:val="16"/>
          <w:szCs w:val="16"/>
          <w:lang w:val="ru-RU"/>
        </w:rPr>
        <w:t xml:space="preserve"> П.</w:t>
      </w:r>
      <w:r w:rsidRPr="005E779E">
        <w:rPr>
          <w:color w:val="000000" w:themeColor="text1"/>
          <w:lang w:val="ru-RU"/>
        </w:rPr>
        <w:t>И. Сячинтова, руководившего работами по СУ-14, 7 авгу</w:t>
      </w:r>
      <w:r w:rsidRPr="005E779E">
        <w:rPr>
          <w:color w:val="000000" w:themeColor="text1"/>
          <w:lang w:val="ru-RU"/>
        </w:rPr>
        <w:softHyphen/>
        <w:t>ста 1938 года тему «малого триплекса» отменили. О самоходной артиллерии большой мощности снова вспомнили в конце 1939 года (17484).</w:t>
      </w:r>
    </w:p>
    <w:p w14:paraId="61588979" w14:textId="77777777" w:rsidR="002E1EC2" w:rsidRPr="005E779E" w:rsidRDefault="002E1EC2" w:rsidP="000B7A6C">
      <w:pPr>
        <w:spacing w:after="0" w:line="240" w:lineRule="auto"/>
        <w:jc w:val="both"/>
        <w:rPr>
          <w:rFonts w:ascii="Times New Roman" w:hAnsi="Times New Roman"/>
          <w:color w:val="000000" w:themeColor="text1"/>
          <w:sz w:val="16"/>
          <w:szCs w:val="16"/>
        </w:rPr>
      </w:pPr>
    </w:p>
    <w:p w14:paraId="1C9EE09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сентябре 1931 года всех заключенных: танкистов и двигателистов АТТБ перевезли из Черкизовского «домика» в центр Москвы, в третий и после</w:t>
      </w:r>
      <w:r w:rsidRPr="005E779E">
        <w:rPr>
          <w:rFonts w:ascii="Times New Roman" w:hAnsi="Times New Roman"/>
          <w:color w:val="000000" w:themeColor="text1"/>
          <w:sz w:val="16"/>
          <w:szCs w:val="16"/>
        </w:rPr>
        <w:softHyphen/>
        <w:t>дний «домик» Астрова. Дом этот стоял за спиной памятника первопечат</w:t>
      </w:r>
      <w:r w:rsidRPr="005E779E">
        <w:rPr>
          <w:rFonts w:ascii="Times New Roman" w:hAnsi="Times New Roman"/>
          <w:color w:val="000000" w:themeColor="text1"/>
          <w:sz w:val="16"/>
          <w:szCs w:val="16"/>
        </w:rPr>
        <w:softHyphen/>
        <w:t>нику Ивану Федорову. Нижний этаж этого здания был отведен для кабинетов некоторых че</w:t>
      </w:r>
      <w:r w:rsidRPr="005E779E">
        <w:rPr>
          <w:rFonts w:ascii="Times New Roman" w:hAnsi="Times New Roman"/>
          <w:color w:val="000000" w:themeColor="text1"/>
          <w:sz w:val="16"/>
          <w:szCs w:val="16"/>
        </w:rPr>
        <w:softHyphen/>
        <w:t>кистов и вспомогательных служб, охраны, кухни и т.д. На втором этаже находились комфортабельные кабинеты, в том числе начальника Техни</w:t>
      </w:r>
      <w:r w:rsidRPr="005E779E">
        <w:rPr>
          <w:rFonts w:ascii="Times New Roman" w:hAnsi="Times New Roman"/>
          <w:color w:val="000000" w:themeColor="text1"/>
          <w:sz w:val="16"/>
          <w:szCs w:val="16"/>
        </w:rPr>
        <w:softHyphen/>
        <w:t>ческого отдела ЭКУ ОГПУ Горьянова, его зама Макаева, начальника АТТБ Вунштейна и других.</w:t>
      </w:r>
    </w:p>
    <w:p w14:paraId="1619ECF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Весь 3-й этаж имел зарешеченные окна, но без щитов снаружи и слу</w:t>
      </w:r>
      <w:r w:rsidRPr="005E779E">
        <w:rPr>
          <w:rFonts w:ascii="Times New Roman" w:hAnsi="Times New Roman"/>
          <w:color w:val="000000" w:themeColor="text1"/>
          <w:sz w:val="16"/>
          <w:szCs w:val="16"/>
        </w:rPr>
        <w:softHyphen/>
        <w:t>жил рабочими помещениями и спальными для заключенных.</w:t>
      </w:r>
    </w:p>
    <w:p w14:paraId="7BA3EAA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Жизнь в этом третьем и последнем для Астрова «домике», существо</w:t>
      </w:r>
      <w:r w:rsidRPr="005E779E">
        <w:rPr>
          <w:rFonts w:ascii="Times New Roman" w:hAnsi="Times New Roman"/>
          <w:color w:val="000000" w:themeColor="text1"/>
          <w:sz w:val="16"/>
          <w:szCs w:val="16"/>
        </w:rPr>
        <w:softHyphen/>
        <w:t>вавшего до конца функционирования АТТБ, то есть до 1934 года, подчи</w:t>
      </w:r>
      <w:r w:rsidRPr="005E779E">
        <w:rPr>
          <w:rFonts w:ascii="Times New Roman" w:hAnsi="Times New Roman"/>
          <w:color w:val="000000" w:themeColor="text1"/>
          <w:sz w:val="16"/>
          <w:szCs w:val="16"/>
        </w:rPr>
        <w:softHyphen/>
        <w:t>нялась тому же распорядку, что и в Черкизове, за исключением прогулок, т.к. в этом «домике» двора не было, а для свиданий использовалась небольшая комната при входе на 3-й этаж из лестничной клетки.</w:t>
      </w:r>
    </w:p>
    <w:p w14:paraId="5A6F358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Вся группа танкистов продолжала настойчиво и упорно трудиться над проектом своего первого танка, нареченного конструкторами ПТ-1 — тавающий танк, образец первый.</w:t>
      </w:r>
    </w:p>
    <w:p w14:paraId="77667DB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Общая компановка была сходной с компановкой танка У.Кристи, повторенной затем в серии колесно-гусеничных танков БТ и среднем гусе</w:t>
      </w:r>
      <w:r w:rsidRPr="005E779E">
        <w:rPr>
          <w:rFonts w:ascii="Times New Roman" w:hAnsi="Times New Roman"/>
          <w:color w:val="000000" w:themeColor="text1"/>
          <w:sz w:val="16"/>
          <w:szCs w:val="16"/>
        </w:rPr>
        <w:softHyphen/>
        <w:t>ничном танке Т-34, как принято теперь считать, классической. Впереди фыло расположено отделение управления, за ним боевое отделение с од</w:t>
      </w:r>
      <w:r w:rsidRPr="005E779E">
        <w:rPr>
          <w:rFonts w:ascii="Times New Roman" w:hAnsi="Times New Roman"/>
          <w:color w:val="000000" w:themeColor="text1"/>
          <w:sz w:val="16"/>
          <w:szCs w:val="16"/>
        </w:rPr>
        <w:softHyphen/>
        <w:t>ной пушечной башней, за поперечной перегородкой располагалось мо-торно-трансмиссионное отделение, за которым располагали гребные вин</w:t>
      </w:r>
      <w:r w:rsidRPr="005E779E">
        <w:rPr>
          <w:rFonts w:ascii="Times New Roman" w:hAnsi="Times New Roman"/>
          <w:color w:val="000000" w:themeColor="text1"/>
          <w:sz w:val="16"/>
          <w:szCs w:val="16"/>
        </w:rPr>
        <w:softHyphen/>
        <w:t>ты и рули для управления танком во время плавания.</w:t>
      </w:r>
    </w:p>
    <w:p w14:paraId="31F1123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Комиссия одобрила проект и предложила выполнить бронекорпус полностью сварным. Была одобрена установка на танк дизеля «ПГЕ» и всех его систем.</w:t>
      </w:r>
    </w:p>
    <w:p w14:paraId="0853DDD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Водоходные расчеты было предложено проверить на модели в опыт</w:t>
      </w:r>
      <w:r w:rsidRPr="005E779E">
        <w:rPr>
          <w:rFonts w:ascii="Times New Roman" w:hAnsi="Times New Roman"/>
          <w:color w:val="000000" w:themeColor="text1"/>
          <w:sz w:val="16"/>
          <w:szCs w:val="16"/>
        </w:rPr>
        <w:softHyphen/>
        <w:t>ном бассейне ЦАГИ.</w:t>
      </w:r>
    </w:p>
    <w:p w14:paraId="1471194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Вся разработка трансмиссии была выполнена Н.В.Цейцом. Он скон</w:t>
      </w:r>
      <w:r w:rsidRPr="005E779E">
        <w:rPr>
          <w:rFonts w:ascii="Times New Roman" w:hAnsi="Times New Roman"/>
          <w:color w:val="000000" w:themeColor="text1"/>
          <w:sz w:val="16"/>
          <w:szCs w:val="16"/>
        </w:rPr>
        <w:softHyphen/>
        <w:t>струировал главный фрикцион, четыроскорсетную 2-х вальную КПП с постоянным зацеплением шестерен, двойной дифференциал, передачи к ведущим колесам гусениц, бортовые валы с коническими парами при</w:t>
      </w:r>
      <w:r w:rsidRPr="005E779E">
        <w:rPr>
          <w:rFonts w:ascii="Times New Roman" w:hAnsi="Times New Roman"/>
          <w:color w:val="000000" w:themeColor="text1"/>
          <w:sz w:val="16"/>
          <w:szCs w:val="16"/>
        </w:rPr>
        <w:softHyphen/>
        <w:t>вода колес, тормоза поворота и остановки танка. Все эти разработки Цей-ца обошлись при рассмотрении комиссией лишь небольшими замечани</w:t>
      </w:r>
      <w:r w:rsidRPr="005E779E">
        <w:rPr>
          <w:rFonts w:ascii="Times New Roman" w:hAnsi="Times New Roman"/>
          <w:color w:val="000000" w:themeColor="text1"/>
          <w:sz w:val="16"/>
          <w:szCs w:val="16"/>
        </w:rPr>
        <w:softHyphen/>
        <w:t>ями.</w:t>
      </w:r>
    </w:p>
    <w:p w14:paraId="51E392C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группе, проектировавшей этот танк было 20-25 человек. Проект был одобрен и определен завод изготовитель. Это был «Красный пролетарий», бывший до революции заводом «Густав Лист». Сын владельца этого заво</w:t>
      </w:r>
      <w:r w:rsidRPr="005E779E">
        <w:rPr>
          <w:rFonts w:ascii="Times New Roman" w:hAnsi="Times New Roman"/>
          <w:color w:val="000000" w:themeColor="text1"/>
          <w:sz w:val="16"/>
          <w:szCs w:val="16"/>
        </w:rPr>
        <w:softHyphen/>
        <w:t>да Николай Густавович, кстати, работал в группе с Астровым.</w:t>
      </w:r>
    </w:p>
    <w:p w14:paraId="2282E24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сборочном цехе завода была сооружена деревянная перегородка с въездными воротами, сторожкой для охраны и небольшой конторкой. В целях сохранения секретности мастерская получила потолок, так что ста</w:t>
      </w:r>
      <w:r w:rsidRPr="005E779E">
        <w:rPr>
          <w:rFonts w:ascii="Times New Roman" w:hAnsi="Times New Roman"/>
          <w:color w:val="000000" w:themeColor="text1"/>
          <w:sz w:val="16"/>
          <w:szCs w:val="16"/>
        </w:rPr>
        <w:softHyphen/>
        <w:t>ла как бы громадным деревянным ящиком. Завод выделил своего пред</w:t>
      </w:r>
      <w:r w:rsidRPr="005E779E">
        <w:rPr>
          <w:rFonts w:ascii="Times New Roman" w:hAnsi="Times New Roman"/>
          <w:color w:val="000000" w:themeColor="text1"/>
          <w:sz w:val="16"/>
          <w:szCs w:val="16"/>
        </w:rPr>
        <w:softHyphen/>
        <w:t>ставителя, очень толкового и энергичного инженера Болотина. В этой мастерской был изготовлен деревянный макет танка.</w:t>
      </w:r>
    </w:p>
    <w:p w14:paraId="122F1BD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Несколько позже в ЦАГИ была испытана модель танка, выполненная в масштабе 1:4 или 1:5. Модель была изготовлена из дерева, воска и пара</w:t>
      </w:r>
      <w:r w:rsidRPr="005E779E">
        <w:rPr>
          <w:rFonts w:ascii="Times New Roman" w:hAnsi="Times New Roman"/>
          <w:color w:val="000000" w:themeColor="text1"/>
          <w:sz w:val="16"/>
          <w:szCs w:val="16"/>
        </w:rPr>
        <w:softHyphen/>
        <w:t>фина.</w:t>
      </w:r>
    </w:p>
    <w:p w14:paraId="344C492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разгар этих работ Астрова вызвали к начальнику Технического отде</w:t>
      </w:r>
      <w:r w:rsidRPr="005E779E">
        <w:rPr>
          <w:rFonts w:ascii="Times New Roman" w:hAnsi="Times New Roman"/>
          <w:color w:val="000000" w:themeColor="text1"/>
          <w:sz w:val="16"/>
          <w:szCs w:val="16"/>
        </w:rPr>
        <w:softHyphen/>
        <w:t>ла ЭКУ Горьянову и приказали захватить общие виды ПТ-1. Оказалось, приехал сам Серго Орджоникидзе знакомиться с разработками АТТБ.</w:t>
      </w:r>
    </w:p>
    <w:p w14:paraId="6D9FE1B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Когда Астров подошел с чертежами к кабинету Анатолия Георгиевича Горьянова, там были еще Брилинг и Стечкин, которые рассказывали Серго о своих дизелях ЯГГ, ФЭД-8 и КОДЖУ. Когда они вышли из кабинета, позвали Астрова. Он толково доложил о танке, Серго остался доволен и пожал Николаю Александровичу руку.</w:t>
      </w:r>
    </w:p>
    <w:p w14:paraId="29A232C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Через несколько дней Горьянов, встретив Астрова в коридоре, сказал:</w:t>
      </w:r>
    </w:p>
    <w:p w14:paraId="4E837A6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А Вы знаете, Серго, после того, как Вы ушли из моего кабинета,</w:t>
      </w:r>
    </w:p>
    <w:p w14:paraId="24FA8C8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сказал мне: «Отдай мне этого мальчика в очках». На что я ответил: «Самим он нужен».</w:t>
      </w:r>
    </w:p>
    <w:p w14:paraId="3AEE77E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Еще через несколько дней за несколькими заключенными пришла большая легковая машина, которая отвезла их на дачу Орджоникидзе. Среди них бьии Стечкин, Брилинг, Витт, Астров и еще кто-то. Всего 6 человек. Серго в душевной беседе хотел узнать, чем живут эти люди, искал среди них талантливых руководителей КБ, институтов и лабораторий.</w:t>
      </w:r>
    </w:p>
    <w:p w14:paraId="697AB6B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Поначалу в группе работало 12-15 человек. С учетом возраста Астрова «средний возраст группы был более 60 лет (11504).</w:t>
      </w:r>
    </w:p>
    <w:p w14:paraId="23C0E74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760D6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сен</w:t>
      </w:r>
      <w:r w:rsidRPr="005E779E">
        <w:rPr>
          <w:rFonts w:ascii="Times New Roman" w:hAnsi="Times New Roman"/>
          <w:color w:val="000000" w:themeColor="text1"/>
          <w:sz w:val="16"/>
          <w:szCs w:val="16"/>
        </w:rPr>
        <w:softHyphen/>
        <w:t>тябре 1931 коллектив КБ (сам Дыренков в это время «варил» свою броню марки Д на Мариупольском заводе) в срочном порядке переработал конструкцию корпуса, изготовление которых поручили крекинго-электровозостроительному за</w:t>
      </w:r>
      <w:r w:rsidRPr="005E779E">
        <w:rPr>
          <w:rFonts w:ascii="Times New Roman" w:hAnsi="Times New Roman"/>
          <w:color w:val="000000" w:themeColor="text1"/>
          <w:sz w:val="16"/>
          <w:szCs w:val="16"/>
        </w:rPr>
        <w:softHyphen/>
        <w:t>воду в подмосковном Подольске. Однако здесь тоже воз</w:t>
      </w:r>
      <w:r w:rsidRPr="005E779E">
        <w:rPr>
          <w:rFonts w:ascii="Times New Roman" w:hAnsi="Times New Roman"/>
          <w:color w:val="000000" w:themeColor="text1"/>
          <w:sz w:val="16"/>
          <w:szCs w:val="16"/>
        </w:rPr>
        <w:softHyphen/>
        <w:t>никли трудности, к только в начале нового, 1933 года на Можерезе началась сборка первых бронемашин. 26 марта представитель военной приемки на заводе сообщал о про</w:t>
      </w:r>
      <w:r w:rsidRPr="005E779E">
        <w:rPr>
          <w:rFonts w:ascii="Times New Roman" w:hAnsi="Times New Roman"/>
          <w:color w:val="000000" w:themeColor="text1"/>
          <w:sz w:val="16"/>
          <w:szCs w:val="16"/>
        </w:rPr>
        <w:softHyphen/>
        <w:t>изводстве Д-13 следующее: «5 единиц готовы за исключе</w:t>
      </w:r>
      <w:r w:rsidRPr="005E779E">
        <w:rPr>
          <w:rFonts w:ascii="Times New Roman" w:hAnsi="Times New Roman"/>
          <w:color w:val="000000" w:themeColor="text1"/>
          <w:sz w:val="16"/>
          <w:szCs w:val="16"/>
        </w:rPr>
        <w:softHyphen/>
        <w:t>нием: не сделаны рамы с сеткой для карт, нет задних фона</w:t>
      </w:r>
      <w:r w:rsidRPr="005E779E">
        <w:rPr>
          <w:rFonts w:ascii="Times New Roman" w:hAnsi="Times New Roman"/>
          <w:color w:val="000000" w:themeColor="text1"/>
          <w:sz w:val="16"/>
          <w:szCs w:val="16"/>
        </w:rPr>
        <w:softHyphen/>
        <w:t>рей. Машины вышли на испытание. 5 единиц, кроме ука</w:t>
      </w:r>
      <w:r w:rsidRPr="005E779E">
        <w:rPr>
          <w:rFonts w:ascii="Times New Roman" w:hAnsi="Times New Roman"/>
          <w:color w:val="000000" w:themeColor="text1"/>
          <w:sz w:val="16"/>
          <w:szCs w:val="16"/>
        </w:rPr>
        <w:softHyphen/>
        <w:t>занного, не установлены ящики для вездеходных цепей, не сделано крепление для шанцевого инструмента и допол</w:t>
      </w:r>
      <w:r w:rsidRPr="005E779E">
        <w:rPr>
          <w:rFonts w:ascii="Times New Roman" w:hAnsi="Times New Roman"/>
          <w:color w:val="000000" w:themeColor="text1"/>
          <w:sz w:val="16"/>
          <w:szCs w:val="16"/>
        </w:rPr>
        <w:softHyphen/>
        <w:t>нительных бензобаков». Но к маю Д-13 были сданы и по</w:t>
      </w:r>
      <w:r w:rsidRPr="005E779E">
        <w:rPr>
          <w:rFonts w:ascii="Times New Roman" w:hAnsi="Times New Roman"/>
          <w:color w:val="000000" w:themeColor="text1"/>
          <w:sz w:val="16"/>
          <w:szCs w:val="16"/>
        </w:rPr>
        <w:softHyphen/>
        <w:t>ступили в войска. Таким образом, всего изготовили 13 бро</w:t>
      </w:r>
      <w:r w:rsidRPr="005E779E">
        <w:rPr>
          <w:rFonts w:ascii="Times New Roman" w:hAnsi="Times New Roman"/>
          <w:color w:val="000000" w:themeColor="text1"/>
          <w:sz w:val="16"/>
          <w:szCs w:val="16"/>
        </w:rPr>
        <w:softHyphen/>
        <w:t>немашин конструкции Дыренкова: 12 Д-13 (считая 2 опыт</w:t>
      </w:r>
      <w:r w:rsidRPr="005E779E">
        <w:rPr>
          <w:rFonts w:ascii="Times New Roman" w:hAnsi="Times New Roman"/>
          <w:color w:val="000000" w:themeColor="text1"/>
          <w:sz w:val="16"/>
          <w:szCs w:val="16"/>
        </w:rPr>
        <w:softHyphen/>
        <w:t>ных образца) и 1 Д-9 (11284).</w:t>
      </w:r>
    </w:p>
    <w:p w14:paraId="5DECE42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F8E3A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сентябре 1931 года (с нескольки</w:t>
      </w:r>
      <w:r w:rsidRPr="005E779E">
        <w:rPr>
          <w:rFonts w:ascii="Times New Roman" w:hAnsi="Times New Roman"/>
          <w:color w:val="000000" w:themeColor="text1"/>
          <w:sz w:val="16"/>
          <w:szCs w:val="16"/>
        </w:rPr>
        <w:softHyphen/>
        <w:t>ми перерывами) закончились проводимые по распоряжению председателя НТК УММ РККА широкомасштабные ис</w:t>
      </w:r>
      <w:r w:rsidRPr="005E779E">
        <w:rPr>
          <w:rFonts w:ascii="Times New Roman" w:hAnsi="Times New Roman"/>
          <w:color w:val="000000" w:themeColor="text1"/>
          <w:sz w:val="16"/>
          <w:szCs w:val="16"/>
        </w:rPr>
        <w:softHyphen/>
        <w:t>пытания «колесных танкеток», начатые в феврале. В отчете, составленном в октябре, говорилось следующее:</w:t>
      </w:r>
    </w:p>
    <w:p w14:paraId="5E41C4A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Удобство наблюдения за дорогой при открытом и закрытом люке водителя вполне удовлетворительное.</w:t>
      </w:r>
    </w:p>
    <w:p w14:paraId="1C21E56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Управление автомобилем просто и удобно, но необ</w:t>
      </w:r>
      <w:r w:rsidRPr="005E779E">
        <w:rPr>
          <w:rFonts w:ascii="Times New Roman" w:hAnsi="Times New Roman"/>
          <w:color w:val="000000" w:themeColor="text1"/>
          <w:sz w:val="16"/>
          <w:szCs w:val="16"/>
        </w:rPr>
        <w:softHyphen/>
        <w:t>ходимо сиденья водителя и пулеметчика закрепить на</w:t>
      </w:r>
      <w:r w:rsidRPr="005E779E">
        <w:rPr>
          <w:rFonts w:ascii="Times New Roman" w:hAnsi="Times New Roman"/>
          <w:color w:val="000000" w:themeColor="text1"/>
          <w:sz w:val="16"/>
          <w:szCs w:val="16"/>
        </w:rPr>
        <w:softHyphen/>
        <w:t>мертво.</w:t>
      </w:r>
    </w:p>
    <w:p w14:paraId="5B69823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Для посадки команды в 3 человека без оружия, но в шубах, требуется 5-7 с, для выхода - 4-5 с. Посадка и выход производятся водителем и передним пулеметчиком через борт, а заднего через дверцу.</w:t>
      </w:r>
    </w:p>
    <w:p w14:paraId="79B673B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При испытании пробегом выяснилось, что разницы в проходимости по снежному шоссе с автомобилем «Форд» нормального типа почти нет. Надежно может работать на укатанном шоссе, на шоссе с заносами (на коротких участ</w:t>
      </w:r>
      <w:r w:rsidRPr="005E779E">
        <w:rPr>
          <w:rFonts w:ascii="Times New Roman" w:hAnsi="Times New Roman"/>
          <w:color w:val="000000" w:themeColor="text1"/>
          <w:sz w:val="16"/>
          <w:szCs w:val="16"/>
        </w:rPr>
        <w:softHyphen/>
        <w:t>ках) и на шоссе, покрытом слоем снега до 10—15 см.</w:t>
      </w:r>
    </w:p>
    <w:p w14:paraId="6782229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Максимальная скорость при полной нагрузке на гори</w:t>
      </w:r>
      <w:r w:rsidRPr="005E779E">
        <w:rPr>
          <w:rFonts w:ascii="Times New Roman" w:hAnsi="Times New Roman"/>
          <w:color w:val="000000" w:themeColor="text1"/>
          <w:sz w:val="16"/>
          <w:szCs w:val="16"/>
        </w:rPr>
        <w:softHyphen/>
        <w:t>зонтальном участке по спидометру 80—88 км/ч (50— 55 миль в час). Средняя скорость при полной нагрузке на хорошо укатанном шоссе — 45—50 км/ч, средняя скорость на занесенном снегом шоссе — 30—35 км/ч.</w:t>
      </w:r>
    </w:p>
    <w:p w14:paraId="06762FD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 Автомобиль прост по конструкции и ухо</w:t>
      </w:r>
      <w:r w:rsidRPr="005E779E">
        <w:rPr>
          <w:rFonts w:ascii="Times New Roman" w:hAnsi="Times New Roman"/>
          <w:color w:val="000000" w:themeColor="text1"/>
          <w:sz w:val="16"/>
          <w:szCs w:val="16"/>
        </w:rPr>
        <w:softHyphen/>
        <w:t>ду, быстроходен и поворотлив, с большим запасом мощно</w:t>
      </w:r>
      <w:r w:rsidRPr="005E779E">
        <w:rPr>
          <w:rFonts w:ascii="Times New Roman" w:hAnsi="Times New Roman"/>
          <w:color w:val="000000" w:themeColor="text1"/>
          <w:sz w:val="16"/>
          <w:szCs w:val="16"/>
        </w:rPr>
        <w:softHyphen/>
        <w:t>сти и ускорения. Для работы в летних условиях необходимо усилить охлаждение. По имеющимся в испытательной группе материалам, недостаточно прочен при работе в лет</w:t>
      </w:r>
      <w:r w:rsidRPr="005E779E">
        <w:rPr>
          <w:rFonts w:ascii="Times New Roman" w:hAnsi="Times New Roman"/>
          <w:color w:val="000000" w:themeColor="text1"/>
          <w:sz w:val="16"/>
          <w:szCs w:val="16"/>
        </w:rPr>
        <w:softHyphen/>
        <w:t>них условиях на гусматиках. В настоящее время автомобиль испытывается группой для определения прочности на гус</w:t>
      </w:r>
      <w:r w:rsidRPr="005E779E">
        <w:rPr>
          <w:rFonts w:ascii="Times New Roman" w:hAnsi="Times New Roman"/>
          <w:color w:val="000000" w:themeColor="text1"/>
          <w:sz w:val="16"/>
          <w:szCs w:val="16"/>
        </w:rPr>
        <w:softHyphen/>
        <w:t>матиках» (11284).</w:t>
      </w:r>
    </w:p>
    <w:p w14:paraId="7F14E51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A4F1A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сентябре 1931 года, во время передачи заказа на изготовление «колесной танкетки» опытно-конструк</w:t>
      </w:r>
      <w:r w:rsidRPr="005E779E">
        <w:rPr>
          <w:rFonts w:ascii="Times New Roman" w:hAnsi="Times New Roman"/>
          <w:color w:val="000000" w:themeColor="text1"/>
          <w:sz w:val="16"/>
          <w:szCs w:val="16"/>
        </w:rPr>
        <w:softHyphen/>
        <w:t>торскому и испытательному бюро, начальник УММ РККА Халепский предложил Дыренкову «спроектировать полно</w:t>
      </w:r>
      <w:r w:rsidRPr="005E779E">
        <w:rPr>
          <w:rFonts w:ascii="Times New Roman" w:hAnsi="Times New Roman"/>
          <w:color w:val="000000" w:themeColor="text1"/>
          <w:sz w:val="16"/>
          <w:szCs w:val="16"/>
        </w:rPr>
        <w:softHyphen/>
        <w:t>стью бронированный разведывательный «Форд-А». В дека</w:t>
      </w:r>
      <w:r w:rsidRPr="005E779E">
        <w:rPr>
          <w:rFonts w:ascii="Times New Roman" w:hAnsi="Times New Roman"/>
          <w:color w:val="000000" w:themeColor="text1"/>
          <w:sz w:val="16"/>
          <w:szCs w:val="16"/>
        </w:rPr>
        <w:softHyphen/>
        <w:t>бре 1931 года Дыренков направил на рассмотрение военных два проекта бронемашин (11284).</w:t>
      </w:r>
    </w:p>
    <w:p w14:paraId="55D869B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5C729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сентябре 1931 года с Ижорским заво</w:t>
      </w:r>
      <w:r w:rsidRPr="005E779E">
        <w:rPr>
          <w:rFonts w:ascii="Times New Roman" w:hAnsi="Times New Roman"/>
          <w:color w:val="000000" w:themeColor="text1"/>
          <w:sz w:val="16"/>
          <w:szCs w:val="16"/>
        </w:rPr>
        <w:softHyphen/>
        <w:t>дом заключили договор еще на 65 БА-27 четвертой партии со следующими сроками сдачи: в октябре — 20, в ноябре — 20 и в декабре - 25. Согласно документам, окраска броневиков была следу</w:t>
      </w:r>
      <w:r w:rsidRPr="005E779E">
        <w:rPr>
          <w:rFonts w:ascii="Times New Roman" w:hAnsi="Times New Roman"/>
          <w:color w:val="000000" w:themeColor="text1"/>
          <w:sz w:val="16"/>
          <w:szCs w:val="16"/>
        </w:rPr>
        <w:softHyphen/>
        <w:t>ющей: «...Защитный цвет снаружи и белый внутри. На каж</w:t>
      </w:r>
      <w:r w:rsidRPr="005E779E">
        <w:rPr>
          <w:rFonts w:ascii="Times New Roman" w:hAnsi="Times New Roman"/>
          <w:color w:val="000000" w:themeColor="text1"/>
          <w:sz w:val="16"/>
          <w:szCs w:val="16"/>
        </w:rPr>
        <w:softHyphen/>
        <w:t>дой машине на внутренней стороне дверей наносилась мар</w:t>
      </w:r>
      <w:r w:rsidRPr="005E779E">
        <w:rPr>
          <w:rFonts w:ascii="Times New Roman" w:hAnsi="Times New Roman"/>
          <w:color w:val="000000" w:themeColor="text1"/>
          <w:sz w:val="16"/>
          <w:szCs w:val="16"/>
        </w:rPr>
        <w:softHyphen/>
        <w:t>кировка «АБ-27 ГИЗ», год выпуска и военный номер. На переднем контрфорсе внутри машины закреплялась медная плакетка (табличка) с вышеуказан</w:t>
      </w:r>
      <w:r w:rsidRPr="005E779E">
        <w:rPr>
          <w:rFonts w:ascii="Times New Roman" w:hAnsi="Times New Roman"/>
          <w:color w:val="000000" w:themeColor="text1"/>
          <w:sz w:val="16"/>
          <w:szCs w:val="16"/>
        </w:rPr>
        <w:softHyphen/>
        <w:t>ными надписями» (11284).</w:t>
      </w:r>
    </w:p>
    <w:p w14:paraId="77A4CDE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7C79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сентябре 1931 г. АВТОДОР, заключивший договор с заводом Красный Октябрь о поставках 4 тыс. экземпляров Л-300, выплатил 1 млн р., а в первой половине 1932 г. - ещё около 2 млн р. Руко</w:t>
      </w:r>
      <w:r w:rsidRPr="005E779E">
        <w:rPr>
          <w:rFonts w:ascii="Times New Roman" w:hAnsi="Times New Roman"/>
          <w:color w:val="000000" w:themeColor="text1"/>
          <w:sz w:val="16"/>
          <w:szCs w:val="16"/>
        </w:rPr>
        <w:softHyphen/>
        <w:t>водство завода «Красный Октябрь» обязалось поставлять опла</w:t>
      </w:r>
      <w:r w:rsidRPr="005E779E">
        <w:rPr>
          <w:rFonts w:ascii="Times New Roman" w:hAnsi="Times New Roman"/>
          <w:color w:val="000000" w:themeColor="text1"/>
          <w:sz w:val="16"/>
          <w:szCs w:val="16"/>
        </w:rPr>
        <w:softHyphen/>
        <w:t>ченные мотоциклы в 1932-1933 гг. [4.48]. Заверение заместителя председателя ВСХВ СССР А.П. Мед</w:t>
      </w:r>
      <w:r w:rsidRPr="005E779E">
        <w:rPr>
          <w:rFonts w:ascii="Times New Roman" w:hAnsi="Times New Roman"/>
          <w:color w:val="000000" w:themeColor="text1"/>
          <w:sz w:val="16"/>
          <w:szCs w:val="16"/>
        </w:rPr>
        <w:softHyphen/>
        <w:t>ведева об интенсификации производства мотоциклов и выпуске на заводах «Красный Октябрь» и ХАЗ в 1932 г. 10 тыс. этих ма</w:t>
      </w:r>
      <w:r w:rsidRPr="005E779E">
        <w:rPr>
          <w:rFonts w:ascii="Times New Roman" w:hAnsi="Times New Roman"/>
          <w:color w:val="000000" w:themeColor="text1"/>
          <w:sz w:val="16"/>
          <w:szCs w:val="16"/>
        </w:rPr>
        <w:softHyphen/>
        <w:t>шин [4.46] не соответствовало действительности. На ХАЗе не предполагалось развёртывать серийное производство мотоцик</w:t>
      </w:r>
      <w:r w:rsidRPr="005E779E">
        <w:rPr>
          <w:rFonts w:ascii="Times New Roman" w:hAnsi="Times New Roman"/>
          <w:color w:val="000000" w:themeColor="text1"/>
          <w:sz w:val="16"/>
          <w:szCs w:val="16"/>
        </w:rPr>
        <w:softHyphen/>
        <w:t>лов, поскольку не было финансирования, а на заводе «Красный Октябрь» выпуск Л-300 «заморозили» ещё в 1931 г. в связи с ос</w:t>
      </w:r>
      <w:r w:rsidRPr="005E779E">
        <w:rPr>
          <w:rFonts w:ascii="Times New Roman" w:hAnsi="Times New Roman"/>
          <w:color w:val="000000" w:themeColor="text1"/>
          <w:sz w:val="16"/>
          <w:szCs w:val="16"/>
        </w:rPr>
        <w:softHyphen/>
        <w:t>воением изготовления агрегатов для танков Т-26 [4.22]. Поскольку для выпуска изделий к танкам Т-26 заводу требо</w:t>
      </w:r>
      <w:r w:rsidRPr="005E779E">
        <w:rPr>
          <w:rFonts w:ascii="Times New Roman" w:hAnsi="Times New Roman"/>
          <w:color w:val="000000" w:themeColor="text1"/>
          <w:sz w:val="16"/>
          <w:szCs w:val="16"/>
        </w:rPr>
        <w:softHyphen/>
        <w:t>валось сосредоточить производственные ресурсы, на эту темати</w:t>
      </w:r>
      <w:r w:rsidRPr="005E779E">
        <w:rPr>
          <w:rFonts w:ascii="Times New Roman" w:hAnsi="Times New Roman"/>
          <w:color w:val="000000" w:themeColor="text1"/>
          <w:sz w:val="16"/>
          <w:szCs w:val="16"/>
        </w:rPr>
        <w:softHyphen/>
        <w:t>ку пришлось переводить лучшие кадры, привлекая их из многих подразделений, в том числе из Мотобюро [4.22]. С 1935 года в вы</w:t>
      </w:r>
      <w:r w:rsidRPr="005E779E">
        <w:rPr>
          <w:rFonts w:ascii="Times New Roman" w:hAnsi="Times New Roman"/>
          <w:color w:val="000000" w:themeColor="text1"/>
          <w:sz w:val="16"/>
          <w:szCs w:val="16"/>
        </w:rPr>
        <w:softHyphen/>
        <w:t>пуске мотоциклов Л-300 завод «ПРОМЕТ» участия не принимал, поэтому его переименовали в «Красный Октябрь» (11429).</w:t>
      </w:r>
    </w:p>
    <w:p w14:paraId="2A53C8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B2D45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сентябре 1931 г. (решение об образовании принято в 1928 г.) на территории фабрики нитрошелка был создан Военно-химический научно-исследовательский институт (ВХНИИ НКТП) на базе переехавшего из г. Ленинграда коллектива ЦНИЛ-84 ВСНХ для исследования и работ по порохам, ВВ, пиротехническим средствам и средствам инициирования.</w:t>
      </w:r>
    </w:p>
    <w:p w14:paraId="42C3B5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1936 г. - НИИ-6 НКОП, с 1939 г. в подчинении НКБ, в 1949 г.- МСХМ, в 1959 г. - ГКОТ, с 1964 г.- НИИХМ (химматериалов) ММ, с 1969 г. – ЦНИИХМ (химии и механики).</w:t>
      </w:r>
    </w:p>
    <w:p w14:paraId="691B92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Ведущий институт пороховой промышленности. </w:t>
      </w:r>
    </w:p>
    <w:p w14:paraId="61D85D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При институте существовало зарядное бюро (руководитель- И.Г. Лопук) по зарядам к гранатам. </w:t>
      </w:r>
    </w:p>
    <w:p w14:paraId="447F75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Под руководством М.В. Васильева (участвовал Н.С. Житких) в НИИ-6 начаты исследования по противотанковым кумулятивным боеприпасам. </w:t>
      </w:r>
    </w:p>
    <w:p w14:paraId="68BBB6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соответствии с приказом НКБ № 14/620 от 22.10.1941 г. НИИ-6 эвакуирован в г. Кемерово на комбинаты № 319 и 392 НКБ. Все оставшееся после эвакуации оборудование и имущество было передано заводу № 575 НКБ, расположенному рядом. На заводе работала оперативная группа НИИ-6, организованная 28.10.1941 г., под руководством М.З. Полеванова. В 1942 г. группа преобразована в Московский филиал (разработана ручная кумулятивная противотанковая граната РПГ-6, конструкторы- М.З. Полеванов, Л.Б. Иоффе, Н.С. Житких). </w:t>
      </w:r>
    </w:p>
    <w:p w14:paraId="044F10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11.1941 г. на базе опытных мастерских НИИ-6 организовали боеприпасное производство, являвшееся филиалом завода № 575. Приказом НКБ № 35 от 26.11.1941 г. оно выделено в самостоятельное предприятие- ГСЗ НИИ № 6. В 04.1942 г. ему присвоили название ГСЗ № 562 НКБ. По распоряжению СНК СССР от 21.06.1945 г. завод № 562 был ликвидирован, его правопреемником стал НИИ-6, куда были переведены основные кадры. </w:t>
      </w:r>
    </w:p>
    <w:p w14:paraId="68306A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1941 г. после эвакуации был издан приказ об организации филиалов института: филиал № 1 при заводе № 580 (г. Красноярск), начальник- А.А. Иванов; филиал № 2 при заводе № 98 (г. Молотов), начальник- И.Г. Лопук; филиал № 3 при заводе № 635 (г. Новосибирск), начальник- В.З. Смоляницкий; филиал № 4 при заводе № 320 (г. Чебоксары), начальник- А.П. Ионов. Затем вышел приказ НКБ № 660 от 1.12.1941 г., отменявший предыдущее решение. В соответствии с ним был организован лишь филиал № 1 на заводе № 320 (начальник Н.Ф. Ус).</w:t>
      </w:r>
    </w:p>
    <w:p w14:paraId="2471BF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начале 1942 г. в НИИ-6 организовано СТБ (специальное техническое бюро) во главе с И.М. Найманом для работ по механизации производства зарядов.55 </w:t>
      </w:r>
    </w:p>
    <w:p w14:paraId="3AD55A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СТБ НИИ-6 разработана конструкция гранатомета ПГ-6 (1944 г.) под РПГ-6.</w:t>
      </w:r>
    </w:p>
    <w:p w14:paraId="260FED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Было СКБ, образованное после ВОВ при НИИ-6 под руководством М.И. Воротовова по созданию БЧ для УР. Исследования по воздействию осколков на планер самолета.</w:t>
      </w:r>
    </w:p>
    <w:p w14:paraId="4C23C3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ВОВ: снаряжение ВВ для первой атомной бомбы. Работы по снарядам для зенитной артиллерии. Принимал участие в программе создания ОК «Буран».</w:t>
      </w:r>
    </w:p>
    <w:p w14:paraId="12FD6A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постановлением СМ от 7.07.1967 г. велась разработка пороха РСИ-12МП для РСЗО «Град». Постановлением СМ от 12.02.1971 г. задана разработка пороха РСИ-МБП для РСЗО «Град».</w:t>
      </w:r>
    </w:p>
    <w:p w14:paraId="1EFD38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2004 г.- ФГУП ЦНИИХМ. По Указу Президента РФ № 1009 от 4.08.2004 г. вошел в число стратегических оборонных предприятий.</w:t>
      </w:r>
    </w:p>
    <w:p w14:paraId="736E99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Директор (1931-33 г.)- М.А. Никитин (бывший начальник ЦНИЛ-84), (1933-36 г.)- Зайденберг, (1936-38гг.)- Я.Л. Березницкий, (1938-41 г.)- Н.И. Иконников, (14.07.1941-04.1948 г.)- А.П. Закощиков, (1948 г.-, около 5-6 лет)- Т.И. Агафин, В.Д. Сухих, (1962-70 г.)- И.И. Вернидуб, (1970 г.-)- Н.Н. Афонский, (1990-е г.)- Ю.И.Краснощеков, (2002 г.)- С.С. Фокин.69 </w:t>
      </w:r>
    </w:p>
    <w:p w14:paraId="74F3DF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1-й зам. директора (1970-84 г.)- И.И. Вернидуб.56 Зам. директора по научной части (1941 г.)- Т.И. Яковлев.</w:t>
      </w:r>
    </w:p>
    <w:p w14:paraId="4AD0EF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инженер (1941 г.)- Т.И. Яковлев, Г.К. Клименко, А.К. Вострухин, Е.М. Адаскин, В.З. Смоляницкий.</w:t>
      </w:r>
    </w:p>
    <w:p w14:paraId="4C8CC3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Начальники лабораторий: (1941 г.)- Б.П.Жуков, (1980 г.)- М.М. Растопшин (противотанковое вооружение).</w:t>
      </w:r>
    </w:p>
    <w:p w14:paraId="4F3D5C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Работали: (середина 1950-х)- А.К.Вострухин (ранее гл. инженер завода № 40). </w:t>
      </w:r>
    </w:p>
    <w:p w14:paraId="001D56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Создано: пороховое снаряжение БЧ и шашки двигателей для РС-132, пороховой заряд 9Х111, 9Х111М2 (1972) для НУР М-21-ОФ; разрывные заряды для авиационных снарядов; БЧ: для ПР, ЗУР (Р-112, 1949), («Даль», 1955, В.А. Сухих), 4Г15 для П-15 (1955-60), 4Г70 для П-25 (1961-62), УРВВ, ПТУР. </w:t>
      </w:r>
    </w:p>
    <w:p w14:paraId="009C75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НИИ-6 НКОП, НКБ, МСХМ, ММ, МОП, МОМ, ГКОТ, ВХНИИ НКТП, НИИХМ (химических материалов), ГНЦ ФГУП «ЦНИИХМ» (химии и механики) Росбоеприпаса</w:t>
      </w:r>
    </w:p>
    <w:p w14:paraId="0D5A39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115487 г. Москва, ул. Нагатинская, 16а тел. 111-87-13 (10776).</w:t>
      </w:r>
    </w:p>
    <w:p w14:paraId="596DDC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ОТБ-6 НКБ (НКВД-НКБ) </w:t>
      </w:r>
    </w:p>
    <w:p w14:paraId="66B318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Образовалось в 1938 г. на территории Московского НИИ-6 НКБ, здесь же располагалось общежитие-тюрьма. Костяк коллектива: А.С. Бакаев (являлся заключенным в 1930-34 г. и работал в ОВТБ ОГПУ в г. Москве, а в 1934-37 г. - руководитель лаборатории в НИИ-6, в 1937 г. вновь арестован до 1943 г. и работал в ОТБ-6/ОТБ-98 гл. инженером пороховой группы.), Д.И. Гальперин, И.А. Тищенко, А.Э. Спориус, Ф.М. Хритинин, Б.И. Пашков. </w:t>
      </w:r>
    </w:p>
    <w:p w14:paraId="7FBA8D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Работы по созданию рецептур порохов и технологий производства. </w:t>
      </w:r>
    </w:p>
    <w:p w14:paraId="32CEF4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Группа С.И. Лукашова разработала 45-мм бронебойно-зажигательный снаряд, 2 образца зажигательных АБ.</w:t>
      </w:r>
    </w:p>
    <w:p w14:paraId="488664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Группа Рябова- бездымный артвыстрел, заряд для бронебойной пули Б-30.</w:t>
      </w:r>
    </w:p>
    <w:p w14:paraId="66C6D3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Группа Фишмана (бывший начальник Химуправления НКО)- новый образец противогаза.</w:t>
      </w:r>
    </w:p>
    <w:p w14:paraId="74AA01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Группа Ступникова (бывший гл. инженер НКОП)- новая технология производства серной кислоты.3 </w:t>
      </w:r>
    </w:p>
    <w:p w14:paraId="38FACE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1941 г. при эвакуации ОТБ-6 разделили на 3 части и перебазировали, главным образом, на завод № 98 (ОТБ-98), а также на завод № 40 (ОТБ-40) и завод № 320 (ОТБ-320) для поддержки промышленности. Эти части ОТБ стали базой для организации новых НИИ (10776).</w:t>
      </w:r>
    </w:p>
    <w:p w14:paraId="08D660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22 октября 1941 г. в соответствии с приказом НКБ № 14/620 НИИ-6 эвакуирован в г. Кемерово на комбинаты № 319 и 392 НКБ. Все оставшееся после эвакуации оборудование и имущество было передано заводу № 575 НКБ, расположенному рядом. На заводе работала оперативная группа НИИ-6, организованная 28.10.1941 г., под руководством М.З. Полеванова. В 1942 г. группа преобразована в Московский филиал (разработана ручная кумулятивная противотанковая граната РПГ-6, конструкторы- М.З. Полеванов, Л.Б. Иоффе, Н.С. Житких). </w:t>
      </w:r>
    </w:p>
    <w:p w14:paraId="23407F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11.1941 г. на базе опытных мастерских НИИ-6 организовали боеприпасное производство, являвшееся филиалом завода № 575. Приказом НКБ № 35 от 26.11.1941 г. оно выделено в самостоятельное предприятие- ГСЗ НИИ № 6. В 04.1942 г. ему присвоили название ГСЗ № 562 НКБ. По распоряжению СНК СССР от 21.06.1945 г. завод № 562 был ликвидирован, его правопреемником стал НИИ-6, куда были переведены основные кадры. </w:t>
      </w:r>
    </w:p>
    <w:p w14:paraId="7C62F8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1941 г. после эвакуации был издан приказ об организации филиалов института: филиал № 1 при заводе № 580 (г. Красноярск), начальник- А.А. Иванов; филиал № 2 при заводе № 98 (г. Молотов), начальник- И.Г. Лопук; филиал № 3 при заводе № 635 (г. Новосибирск), начальник- В.З. Смоляницкий; филиал № 4 при заводе № 320 (г. Чебоксары), начальник- А.П. Ионов. Затем вышел приказ НКБ № 660 от 1.12.1941 г., отменявший предыдущее решение. В соответствии с ним был организован лишь филиал № 1 на заводе № 320 (начальник Н.Ф. Ус).</w:t>
      </w:r>
    </w:p>
    <w:p w14:paraId="7BE2B3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 начале 1942 г. в НИИ-6 организовано СТБ (специальное техническое бюро) во главе с И.М. Найманом для работ по механизации производства зарядов.</w:t>
      </w:r>
    </w:p>
    <w:p w14:paraId="4307D1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СТБ НИИ-6 разработана конструкция гранатомета ПГ-6 (1944 г.) под РПГ-6.</w:t>
      </w:r>
    </w:p>
    <w:p w14:paraId="1DF25A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Было СКБ, образованное после ВОВ при НИИ-6 под руководством М.И. Воротовова по созданию БЧ для УР. Исследования по воздействию осколков на планер самолета.</w:t>
      </w:r>
    </w:p>
    <w:p w14:paraId="7593A9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ВОВ: снаряжение ВВ для первой атомной бомбы. Работы по снарядам для зенитной артиллерии. Принимал участие в программе создания ОК «Буран».</w:t>
      </w:r>
    </w:p>
    <w:p w14:paraId="3CDA3A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постановлением СМ от 7.07.1967 г. велась разработка пороха РСИ-12МП для РСЗО «Град». Постановлением СМ от 12.02.1971 г. задана разработка пороха РСИ-МБП для РСЗО «Град».</w:t>
      </w:r>
    </w:p>
    <w:p w14:paraId="1AF90C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2004 г.- ФГУП ЦНИИХМ. По Указу Президента РФ № 1009 от 4.08.2004 г. вошел в число стратегических оборонных предприятий.</w:t>
      </w:r>
    </w:p>
    <w:p w14:paraId="5F6367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Директор (1931-33 г.)- М.А. Никитин (бывший начальник ЦНИЛ-84), (1933-36 г.)- Зайденберг, (1936-38гг.)- Я.Л. Березницкий, (1938-41 г.)- Н.И. Иконников, (14.07.1941-04.1948 г.)- А.П. Закощиков, (1948 г.-, около 5-6 лет)- Т.И. Агафин, В.Д. Сухих, (1962-70 г.)- И.И. Вернидуб, (1970 г.-)- Н.Н. Афонский, (1990-е г.)- Ю.И.Краснощеков, (2002 г.)- С.С. Фокин.69 </w:t>
      </w:r>
    </w:p>
    <w:p w14:paraId="038B15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1-й зам. директора (1970-84 г.)- И.И. Вернидуб.56 Зам. директора по научной части (1941 г.)- Т.И. Яковлев.</w:t>
      </w:r>
    </w:p>
    <w:p w14:paraId="09D422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инженер (1941 г.)- Т.И. Яковлев, Г.К. Клименко, А.К. Вострухин, Е.М. Адаскин, В.З. Смоляницкий.</w:t>
      </w:r>
    </w:p>
    <w:p w14:paraId="2A33AB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Начальники лабораторий: (1941 г.)- Б.П.Жуков, (1980 г.)- М.М. Растопшин (противотанковое вооружение).</w:t>
      </w:r>
    </w:p>
    <w:p w14:paraId="1B4FBF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Работали: (середина 1950-х)- А.К.Вострухин (ранее гл. инженер завода № 40). </w:t>
      </w:r>
    </w:p>
    <w:p w14:paraId="5D6B11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Создано: пороховое снаряжение БЧ и шашки двигателей для РС-132, пороховой заряд 9Х111, 9Х111М2 (1972) для НУР М-21-ОФ; разрывные заряды для авиационных снарядов; БЧ: для ПР, ЗУР (Р-112, 1949), («Даль», 1955, В.А. Сухих), 4Г15 для П-15 (1955-60), 4Г70 для П-25 (1961-62), УРВВ, ПТУР. </w:t>
      </w:r>
    </w:p>
    <w:p w14:paraId="6F7D6A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НИИ-6 НКОП, НКБ, МСХМ, ММ, МОП, МОМ, ГКОТ, ВХНИИ НКТП, НИИХМ (химических материалов), ГНЦ ФГУП «ЦНИИХМ» (химии и механики) Росбоеприпаса</w:t>
      </w:r>
    </w:p>
    <w:p w14:paraId="397C89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115487 г. Москва, ул. Нагатинская, 16а тел. 111-87-13 (10776).</w:t>
      </w:r>
    </w:p>
    <w:p w14:paraId="79BC66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ОТБ-6 НКБ (НКВД-НКБ)</w:t>
      </w:r>
    </w:p>
    <w:p w14:paraId="4BC3BC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Образовалось в 1938 г. на территории Московского НИИ-6 НКБ, здесь же располагалось общежитие-тюрьма. Костяк коллектива: А.С. Бакаев (являлся заключенным в 1930-34 г. и работал в ОВТБ ОГПУ в г. Москве, а в 1934-37 г. - руководитель лаборатории в НИИ-6, в 1937 г. вновь арестован до 1943 г. и работал в ОТБ-6/ОТБ-98 гл. инженером пороховой группы.), Д.И. Гальперин, И.А. Тищенко, А.Э. Спориус, Ф.М. Хритинин, Б.И. Пашков. </w:t>
      </w:r>
    </w:p>
    <w:p w14:paraId="2F2070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Работы по созданию рецептур порохов и технологий производства. </w:t>
      </w:r>
    </w:p>
    <w:p w14:paraId="0A8E5B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Группа С.И. Лукашова разработала 45-мм бронебойно-зажигательный снаряд, 2 образца зажигательных АБ.</w:t>
      </w:r>
    </w:p>
    <w:p w14:paraId="126B97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Группа Рябова- бездымный артвыстрел, заряд для бронебойной пули Б-30.</w:t>
      </w:r>
    </w:p>
    <w:p w14:paraId="44A207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Группа Фишмана (бывший начальник Химуправления НКО)- новый образец противогаза.</w:t>
      </w:r>
    </w:p>
    <w:p w14:paraId="170A00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Группа Ступникова (бывший гл. инженер НКОП)- новая технология производства серной кислоты.3 </w:t>
      </w:r>
    </w:p>
    <w:p w14:paraId="75AED9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1941 г. при эвакуации ОТБ-6 разделили на 3 части и перебазировали, главным образом, на завод № 98 (ОТБ-98), а также на завод № 40 (ОТБ-40) и завод № 320 (ОТБ-320) для поддержки промышленности. Эти части ОТБ стали базой для организации новых НИИ (10776).</w:t>
      </w:r>
    </w:p>
    <w:p w14:paraId="4FCDFF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CE098B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сентябре 1931 года была произведена обратная реоргани</w:t>
      </w:r>
      <w:r w:rsidRPr="005E779E">
        <w:rPr>
          <w:rFonts w:ascii="Times New Roman" w:hAnsi="Times New Roman"/>
          <w:color w:val="000000" w:themeColor="text1"/>
          <w:sz w:val="16"/>
          <w:szCs w:val="16"/>
        </w:rPr>
        <w:softHyphen/>
        <w:t>зация: ЦРЛ отделилась от завода им. Коминтерна и продолжала самостоятельную деятельность (11481).</w:t>
      </w:r>
    </w:p>
    <w:p w14:paraId="3F5082D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B87FCC" w14:textId="77777777" w:rsidR="00587130" w:rsidRPr="005E779E" w:rsidRDefault="0058713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сентябре 1931 г. в результате разделения ЦРЛ и завода им. Коминтерна на заводе осталась ОРПУ во главе с А.Л. Минцем, что не только восстановило, но и значительно усилило научно-исследовательский потенциал предприятия и во многом предопределило его будущий статус центра мощного радиостроения. К концу 1932 г. в ОРПУ имелись: лаборатория ДВ (руководитель З.И. Модель), лаборатория КВ и УКВ (Г.А. Зейтленок), лаборатория специальных разработок (А.Г. Шмидт), лаборатория телевидения (А.Л. Минц), проектный отдел в составе КБ гражданских сооружений и КБ специальных разработок.</w:t>
      </w:r>
    </w:p>
    <w:p w14:paraId="570B7B17" w14:textId="77777777" w:rsidR="00587130" w:rsidRPr="005E779E" w:rsidRDefault="0058713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ЦРЛ и после ее отделения от завода им. Коминтерна продолжились разработки в интересах РККА, УВМС и ОГПУ. Однако и в новых условиях исследовательские работы лаборатории страдали от обилия серийно-массового производства в условиях отсутствия соответствующей производственной базы. Об объеме работ ЦРЛ можно составить представление по ее программе 1932 г., включающей 82 заказа исследовательского и производственного характера. Общая стоимость этих работ – более 4,4 млн. руб. – была сопоставима со стоимостью спецпрограммы такого крупного завода как «Красная заря» в тот же период (18297).</w:t>
      </w:r>
    </w:p>
    <w:p w14:paraId="6E7E1438" w14:textId="77777777" w:rsidR="00587130" w:rsidRPr="005E779E" w:rsidRDefault="00587130" w:rsidP="000B7A6C">
      <w:pPr>
        <w:spacing w:after="0" w:line="240" w:lineRule="auto"/>
        <w:jc w:val="both"/>
        <w:rPr>
          <w:rFonts w:ascii="Times New Roman" w:hAnsi="Times New Roman"/>
          <w:color w:val="000000" w:themeColor="text1"/>
          <w:sz w:val="16"/>
          <w:szCs w:val="16"/>
        </w:rPr>
      </w:pPr>
    </w:p>
    <w:p w14:paraId="75DA93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сентября 1931 г. после разделения ЦРЛ и завода им. Коминтерна твор ческий потенциал лаборатории в значительной степени был ослаблен. Это не могло не повлиять на результативность работ и эффективность решения задач ЦРЛ. Об этом свидетельствовали критические замечания в адрес лаборатории, которые звучали на мартовском 1933 г. заседании радиосекции Научно технического совета ВЭСО. Летом того же года работа ЦРЛ стала предметом изучения уполномоченным Управления ВЭСО Красником, который доклады вал о результатах своей работы на заседании партийного комитета парторга низации ВКП (б) Управления объединения в июле 1933 г. В материалах засе дания отмечалась неудовлетворительная организация работы лаборатории, сутствие в ней продуманной структуры, четкого распределения обязанностей между структурными подразделениями и сотрудниками. Это приводило к то му, что ЦРЛ теряла авторитет как научная организация, не соответствовала своему статусу лаборатории «Центральной». Нелицеприятную оценку полу чила деятельность самого директора ЦРЛ Д.Н. Румянцева, который, по мне нию уполномоченного Красника, не соответствовал занимаемой должности. Партком в своем постановлении потребовал от Управления ВЭСО принятия срочных мер по коренной перестройке руководства научно-исследовательской работой лаборатории (ЦГАИПД СПб., ф. 2526, оп. 1, д. 4, л. 222.). В это же время ОРПУ, в которой после разъединения ЦРЛЗ остались значительные силы и средства ЦРЛ (лаборатории передатчиков КВ и УКВ во главе с Г.А. Зейтленком, передатчиков СВ и ДВ, возглавляемая З.И. Моделем, морская во главе с А.Г. Шмидтом, телевидения во главе с А.Л. Минцем и два проектно-конструкторских бюро – мощных передатчиков и специальных пе редатчиков (Михайлов В.А. Указ. соч. С. 58.)) за время ее существования в составе завода им. Коминтерна (и совместно с заводом!) был выполнен большой объем работ по разработке ра диосредств для РККА. Особенно плодотворным в этом отношении был 1934 г., в течение которого были разработаны и освоено производство таких совре менных образцов, как: - радиомаяков для оборудования аэродромов; - аппаратуры авиационной навигации (самолетовождения); - КВ передатчика для аэродромной радиостанции (вошел в состав стан ции РАТ); - устройства для засекречивания телефонных переговоров и для перехо да с радиосети на проводную связь; - радиокомпасов. Кроме этого была разработана принципиальная конструкция сверхмощ ной разборной генераторной лампы для нужд мощного радиостроения, а также изготовлено два образца новых береговых передатчиков для ВМФ (ЦГА СПб., ф. 945, оп. 3, д. 190, л. 34.). При этом роль ОРПУ в структуре радиозавода неуклонно возрастала. Об этом ярко сви детельствуют данные о стоимостном выпуске готовых изделий за 1933-1936 гг. структурными подразделениями завода им. Коминтерна (ЦГА СПб., ф. 945, оп. 3, д. 225, л. 13.), представленные в таблице 5.</w:t>
      </w:r>
    </w:p>
    <w:p w14:paraId="5D5ED8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Таблица 5 Выпуск готовых Год изделий в ценах 1926/27 г. (в тыс.руб.)</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1002C3" w:rsidRPr="005E779E" w14:paraId="5ADEAA31" w14:textId="77777777">
        <w:tc>
          <w:tcPr>
            <w:tcW w:w="2802" w:type="dxa"/>
            <w:tcBorders>
              <w:top w:val="single" w:sz="12" w:space="0" w:color="auto"/>
            </w:tcBorders>
          </w:tcPr>
          <w:p w14:paraId="1AA8D7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Borders>
              <w:top w:val="single" w:sz="12" w:space="0" w:color="auto"/>
            </w:tcBorders>
          </w:tcPr>
          <w:p w14:paraId="5A5B5D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им. Коминтерна</w:t>
            </w:r>
          </w:p>
        </w:tc>
        <w:tc>
          <w:tcPr>
            <w:tcW w:w="2802" w:type="dxa"/>
            <w:tcBorders>
              <w:top w:val="single" w:sz="12" w:space="0" w:color="auto"/>
            </w:tcBorders>
          </w:tcPr>
          <w:p w14:paraId="7E23EE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ОРПУ</w:t>
            </w:r>
          </w:p>
        </w:tc>
        <w:tc>
          <w:tcPr>
            <w:tcW w:w="2802" w:type="dxa"/>
            <w:tcBorders>
              <w:top w:val="single" w:sz="12" w:space="0" w:color="auto"/>
            </w:tcBorders>
          </w:tcPr>
          <w:p w14:paraId="439233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w:t>
            </w:r>
          </w:p>
        </w:tc>
      </w:tr>
      <w:tr w:rsidR="001002C3" w:rsidRPr="005E779E" w14:paraId="7FC9408A" w14:textId="77777777">
        <w:tc>
          <w:tcPr>
            <w:tcW w:w="2802" w:type="dxa"/>
          </w:tcPr>
          <w:p w14:paraId="2B3402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1933</w:t>
            </w:r>
          </w:p>
        </w:tc>
        <w:tc>
          <w:tcPr>
            <w:tcW w:w="2802" w:type="dxa"/>
          </w:tcPr>
          <w:p w14:paraId="054733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10982</w:t>
            </w:r>
          </w:p>
        </w:tc>
        <w:tc>
          <w:tcPr>
            <w:tcW w:w="2802" w:type="dxa"/>
          </w:tcPr>
          <w:p w14:paraId="177D95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2802" w:type="dxa"/>
          </w:tcPr>
          <w:p w14:paraId="47D635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10982</w:t>
            </w:r>
          </w:p>
        </w:tc>
      </w:tr>
      <w:tr w:rsidR="001002C3" w:rsidRPr="005E779E" w14:paraId="29EABCAA" w14:textId="77777777">
        <w:tc>
          <w:tcPr>
            <w:tcW w:w="2802" w:type="dxa"/>
          </w:tcPr>
          <w:p w14:paraId="66BDEA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1934</w:t>
            </w:r>
          </w:p>
        </w:tc>
        <w:tc>
          <w:tcPr>
            <w:tcW w:w="2802" w:type="dxa"/>
          </w:tcPr>
          <w:p w14:paraId="1EDD71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9319</w:t>
            </w:r>
          </w:p>
        </w:tc>
        <w:tc>
          <w:tcPr>
            <w:tcW w:w="2802" w:type="dxa"/>
          </w:tcPr>
          <w:p w14:paraId="30565D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4681</w:t>
            </w:r>
          </w:p>
        </w:tc>
        <w:tc>
          <w:tcPr>
            <w:tcW w:w="2802" w:type="dxa"/>
          </w:tcPr>
          <w:p w14:paraId="7C56D3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14000</w:t>
            </w:r>
          </w:p>
        </w:tc>
      </w:tr>
      <w:tr w:rsidR="001002C3" w:rsidRPr="005E779E" w14:paraId="6741696E" w14:textId="77777777">
        <w:tc>
          <w:tcPr>
            <w:tcW w:w="2802" w:type="dxa"/>
          </w:tcPr>
          <w:p w14:paraId="2D5488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1935</w:t>
            </w:r>
          </w:p>
        </w:tc>
        <w:tc>
          <w:tcPr>
            <w:tcW w:w="2802" w:type="dxa"/>
          </w:tcPr>
          <w:p w14:paraId="1F11A9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7224</w:t>
            </w:r>
          </w:p>
        </w:tc>
        <w:tc>
          <w:tcPr>
            <w:tcW w:w="2802" w:type="dxa"/>
          </w:tcPr>
          <w:p w14:paraId="03A312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6209</w:t>
            </w:r>
          </w:p>
        </w:tc>
        <w:tc>
          <w:tcPr>
            <w:tcW w:w="2802" w:type="dxa"/>
          </w:tcPr>
          <w:p w14:paraId="21FFA3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13434</w:t>
            </w:r>
          </w:p>
        </w:tc>
      </w:tr>
      <w:tr w:rsidR="001002C3" w:rsidRPr="005E779E" w14:paraId="198349DC" w14:textId="77777777">
        <w:tc>
          <w:tcPr>
            <w:tcW w:w="2802" w:type="dxa"/>
            <w:tcBorders>
              <w:bottom w:val="single" w:sz="12" w:space="0" w:color="auto"/>
            </w:tcBorders>
          </w:tcPr>
          <w:p w14:paraId="53769E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9 месяцев 1936 г </w:t>
            </w:r>
          </w:p>
        </w:tc>
        <w:tc>
          <w:tcPr>
            <w:tcW w:w="2802" w:type="dxa"/>
            <w:tcBorders>
              <w:bottom w:val="single" w:sz="12" w:space="0" w:color="auto"/>
            </w:tcBorders>
          </w:tcPr>
          <w:p w14:paraId="089BBF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6859</w:t>
            </w:r>
          </w:p>
        </w:tc>
        <w:tc>
          <w:tcPr>
            <w:tcW w:w="2802" w:type="dxa"/>
            <w:tcBorders>
              <w:bottom w:val="single" w:sz="12" w:space="0" w:color="auto"/>
            </w:tcBorders>
          </w:tcPr>
          <w:p w14:paraId="5A0423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6941</w:t>
            </w:r>
          </w:p>
        </w:tc>
        <w:tc>
          <w:tcPr>
            <w:tcW w:w="2802" w:type="dxa"/>
            <w:tcBorders>
              <w:bottom w:val="single" w:sz="12" w:space="0" w:color="auto"/>
            </w:tcBorders>
          </w:tcPr>
          <w:p w14:paraId="6BCC59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15085</w:t>
            </w:r>
          </w:p>
        </w:tc>
      </w:tr>
    </w:tbl>
    <w:p w14:paraId="5CB549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Необходимо учитывать, что ОРПУ, согласно устава предприятия, пред назначалась «… для производства научно-исследовательской разработки ра диопередающих и специальных радиоприемных устройств, а также конструк тивного оформления и изготовлении в производстве опытных образцов для последующего пуска их в сериях на заводах, входящих в систему Главэспрома НКТП» (ЦГА СПб., ф. 945, оп. 3, д. 287, л. 166.). Тем не менее, объем валового выпуска лаборатории был сопоставим с аналогичным показателем завода серийного производства! Если рассматривать структуру производимой заводом им. Коминтерна продукции с точки зрения заказчиков, то в 1934 г. она имела следующий вид: - Управление Морских Сил РККА – 50,4%; - УС РККА – 25,8%; - Управление ВВС РККА – 11,4%; - НКС – 2,3%; - гражданские заказы – 10%. Подавляющая часть заказов завода шла на нужды обороны (87,6%), из них для ВМФ – около 57%, а для сухопутных войск и ВВС – 43% (ЦГА СПб., ф. 945, оп. 3, д. 152, л. 68.). В последующие годы второй пятилетки доля оборонной продукции еще более возрос ла, достигнув в 1936 г. уровня более 97% (ЦГА СПб., ф. 945, оп. 3, д. 292, л. 53.). Одновременно изменялась структу ра самого «оборонного сектора»: к 1936 г. доля заказов УС и УВВС РККА в нем достигла 88% (ЦГА СПб., ф. 945, оп. 3, д. 204, л. 56-57.). В начале 1935 г. в соответствии с приказом Главэспрома НКТП № 40 от 10 февраля была произведена глубокая реорганизация сети научно исследовательских учреждений Главэспрома. Во многом по настоянию руко водителя программы мощного радиостроения А.Л. Минца в связи с построй кой радиоцентров и мощных радиостанций был создан Государственный Со юзный Комбинат Мощного Радиостроения (КМРС) им. Коминтерна. В его со став вошли Радиозавод им. Коминтерна, а также Отраслевая лаборатория про фессиональных устройств (ОРПУ), организованная в свою очередь 1 марта 1935 г. на базе большей части лабораторий ЦРЛ и Отраслевой лаборатории передающих устройств (Михайлов В.А. Указ. соч. С. 61.). Территориально ОРПУ КМРС разместилась не только в помещениях ЦРЛ на улицах акад. Павлова и Грота, а также и на территории завода им. Ко минтерна. В ее составе было создано около двадцати лабораторий-отделов та ких, как магистральных передатчиков (И.Х. Невяжский), магистрального ра диоприема (А.А. Пистолькорс), низкой частоты (М.М. Вейсбейн), передаю щих антенн (М.С. Нейман), электровакуумный (Н.И. Оганов), источников пи тания (М.А.Спицын), специальных разработок (Л.Е. Штиллерман) </w:t>
      </w:r>
      <w:r w:rsidRPr="005E779E">
        <w:rPr>
          <w:rFonts w:ascii="Times New Roman" w:hAnsi="Times New Roman"/>
          <w:color w:val="000000" w:themeColor="text1"/>
          <w:sz w:val="16"/>
          <w:szCs w:val="16"/>
        </w:rPr>
        <w:lastRenderedPageBreak/>
        <w:t>и др. Ди ректором ОРПУ был назначен А.Л. Минц, которого 29 апреля 1936 г. сменил И.З. Нефедов. Завод им. Коминтерна, который в составе КМРС получил наименование «Завод серийного производства», занимался разработкой новых образцов ра диостанций по заданиям НКО и серийным производством принятой на воору жение радиопродукции. Кроме завода и ОРПУ в составе КМРС функционировали: Отраслевая лаборатория измерительных устройств (ОРИЗ), производившая точную измерительную аппаратуру, применяемую в радиотехнике, кварцевые возбудители для мощных радиостанций и кварцевые пластины для стабилизации; Проект ная контора, занимавшаяся проектированием радиостанций (ЦГА СПб., ф. 945, оп. 3, д. 287, л. 121.); Отраслевая ра диолаборатория магистрального приема (ОРМП); лаборатория материалов профессора Вальтера, а также ряд монтажно-строительных подразделений. Не вошедшие в ОРПУ подразделения ЦРЛ, занимавшиеся вопросами радиовещательного приема и акустики, а также лаборатория индустриальных радиопомех были сконцентрированы в ее филиале на Каменном острове. На конец, приказом № 1467 НКТП от 3 сентября 1936 г. не вошедшая в ОРПУ часть ЦРЛ была переименована в институт радиовещательного приема и аку стики (ИРПА) (Михайлов В.А. Указ. соч. С. 63.). Так завершилась 13-летняя история Центральной радиолаборатории, ко торая внесла существенный вклад в развитие всех отраслей радиотехники, по служила основой для дальнейшего совершенствования и расширения научно исследовательской и производственной базы военной радиосвязи (11870).</w:t>
      </w:r>
    </w:p>
    <w:p w14:paraId="31DFDE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4717DC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сентября 1931 года после раздела ЦРЛ-3 директором ЦРЛ становится Дмитрий Никитич Румянцев. В ЦРЛ начались мероп</w:t>
      </w:r>
      <w:r w:rsidRPr="005E779E">
        <w:rPr>
          <w:rFonts w:ascii="Times New Roman" w:hAnsi="Times New Roman"/>
          <w:color w:val="000000" w:themeColor="text1"/>
          <w:sz w:val="16"/>
          <w:szCs w:val="16"/>
        </w:rPr>
        <w:softHyphen/>
        <w:t>риятия по уточнению структуры и тематики лабораторий, укреп</w:t>
      </w:r>
      <w:r w:rsidRPr="005E779E">
        <w:rPr>
          <w:rFonts w:ascii="Times New Roman" w:hAnsi="Times New Roman"/>
          <w:color w:val="000000" w:themeColor="text1"/>
          <w:sz w:val="16"/>
          <w:szCs w:val="16"/>
        </w:rPr>
        <w:softHyphen/>
        <w:t>лялся ее кадровый состав. Непрофильные лаборатории были пе-оеданы из ЦРЛ на другие предприятия, в частное™ лаборатория лонтурных фильтров и фильтровых конденсатооов перешла на завод им. Козицкого. В ЦРЛ были сформированы лаборатории высокочастотной физики, машин высокой частоты, передающих чнтепн. передающих (генерирующих) устройств, подотдел ваку</w:t>
      </w:r>
      <w:r w:rsidRPr="005E779E">
        <w:rPr>
          <w:rFonts w:ascii="Times New Roman" w:hAnsi="Times New Roman"/>
          <w:color w:val="000000" w:themeColor="text1"/>
          <w:sz w:val="16"/>
          <w:szCs w:val="16"/>
        </w:rPr>
        <w:softHyphen/>
        <w:t>умной техники, отдел специальной и вспомогательной аппарату</w:t>
      </w:r>
      <w:r w:rsidRPr="005E779E">
        <w:rPr>
          <w:rFonts w:ascii="Times New Roman" w:hAnsi="Times New Roman"/>
          <w:color w:val="000000" w:themeColor="text1"/>
          <w:sz w:val="16"/>
          <w:szCs w:val="16"/>
        </w:rPr>
        <w:softHyphen/>
        <w:t>ры (ОСЗА) в составе грех лабораторий и отдел приёмной аппа</w:t>
      </w:r>
      <w:r w:rsidRPr="005E779E">
        <w:rPr>
          <w:rFonts w:ascii="Times New Roman" w:hAnsi="Times New Roman"/>
          <w:color w:val="000000" w:themeColor="text1"/>
          <w:sz w:val="16"/>
          <w:szCs w:val="16"/>
        </w:rPr>
        <w:softHyphen/>
        <w:t>ратуры и акустики (ОПАА) в составе семи лабораторий (11481).</w:t>
      </w:r>
    </w:p>
    <w:p w14:paraId="40F362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417E5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сентябре 1931 г. госкомиссии был предъявлен "Красный Кавказ". Еще около 5 мес. Он проходил испытания и только 25 января 1932 г., подняв военно-морской флаг, вступил в строй Морских сил Черного моря. Такие сроки объяснялись как необходимостью изготовления вновь утра</w:t>
      </w:r>
      <w:r w:rsidRPr="005E779E">
        <w:rPr>
          <w:rFonts w:ascii="Times New Roman" w:hAnsi="Times New Roman"/>
          <w:color w:val="000000" w:themeColor="text1"/>
          <w:sz w:val="16"/>
          <w:szCs w:val="16"/>
        </w:rPr>
        <w:softHyphen/>
        <w:t>ченных деталей механизмов, так и доработкой проекта, а главное — проблемами в создании 180-мм башенных установок — основного вооружения крейсера (3898).</w:t>
      </w:r>
    </w:p>
    <w:p w14:paraId="33C987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вступлении в строй "Красный Кавказ" значительно отли</w:t>
      </w:r>
      <w:r w:rsidRPr="005E779E">
        <w:rPr>
          <w:rFonts w:ascii="Times New Roman" w:hAnsi="Times New Roman"/>
          <w:color w:val="000000" w:themeColor="text1"/>
          <w:sz w:val="16"/>
          <w:szCs w:val="16"/>
        </w:rPr>
        <w:softHyphen/>
        <w:t>чался от первоначального проекта. Для улучшения мореходных ка</w:t>
      </w:r>
      <w:r w:rsidRPr="005E779E">
        <w:rPr>
          <w:rFonts w:ascii="Times New Roman" w:hAnsi="Times New Roman"/>
          <w:color w:val="000000" w:themeColor="text1"/>
          <w:sz w:val="16"/>
          <w:szCs w:val="16"/>
        </w:rPr>
        <w:softHyphen/>
        <w:t>честв и понижения центра тяжести теоретический чертеж и конст</w:t>
      </w:r>
      <w:r w:rsidRPr="005E779E">
        <w:rPr>
          <w:rFonts w:ascii="Times New Roman" w:hAnsi="Times New Roman"/>
          <w:color w:val="000000" w:themeColor="text1"/>
          <w:sz w:val="16"/>
          <w:szCs w:val="16"/>
        </w:rPr>
        <w:softHyphen/>
        <w:t>рукция носовой части претерпели значительные изменения. Так, высота полубака, продолженного в корму до 73-го шп., была умень</w:t>
      </w:r>
      <w:r w:rsidRPr="005E779E">
        <w:rPr>
          <w:rFonts w:ascii="Times New Roman" w:hAnsi="Times New Roman"/>
          <w:color w:val="000000" w:themeColor="text1"/>
          <w:sz w:val="16"/>
          <w:szCs w:val="16"/>
        </w:rPr>
        <w:softHyphen/>
        <w:t>шена с 3,25 до 2,25 м. Высота же его в носу (от 0 до 20-го шп.) ос</w:t>
      </w:r>
      <w:r w:rsidRPr="005E779E">
        <w:rPr>
          <w:rFonts w:ascii="Times New Roman" w:hAnsi="Times New Roman"/>
          <w:color w:val="000000" w:themeColor="text1"/>
          <w:sz w:val="16"/>
          <w:szCs w:val="16"/>
        </w:rPr>
        <w:softHyphen/>
        <w:t>талась неизменной, что привело к формированию небольшого "до</w:t>
      </w:r>
      <w:r w:rsidRPr="005E779E">
        <w:rPr>
          <w:rFonts w:ascii="Times New Roman" w:hAnsi="Times New Roman"/>
          <w:color w:val="000000" w:themeColor="text1"/>
          <w:sz w:val="16"/>
          <w:szCs w:val="16"/>
        </w:rPr>
        <w:softHyphen/>
        <w:t>полнительного" полубака (по аналогии с линкорами), оформленно</w:t>
      </w:r>
      <w:r w:rsidRPr="005E779E">
        <w:rPr>
          <w:rFonts w:ascii="Times New Roman" w:hAnsi="Times New Roman"/>
          <w:color w:val="000000" w:themeColor="text1"/>
          <w:sz w:val="16"/>
          <w:szCs w:val="16"/>
        </w:rPr>
        <w:softHyphen/>
        <w:t>го изменением формы форштевня и увеличением развала бортов. Наибольшая длина корпуса увеличилась, как и полное водоизме</w:t>
      </w:r>
      <w:r w:rsidRPr="005E779E">
        <w:rPr>
          <w:rFonts w:ascii="Times New Roman" w:hAnsi="Times New Roman"/>
          <w:color w:val="000000" w:themeColor="text1"/>
          <w:sz w:val="16"/>
          <w:szCs w:val="16"/>
        </w:rPr>
        <w:softHyphen/>
        <w:t>щение крейсера. Последнее было вызвано перегрузкой новым во</w:t>
      </w:r>
      <w:r w:rsidRPr="005E779E">
        <w:rPr>
          <w:rFonts w:ascii="Times New Roman" w:hAnsi="Times New Roman"/>
          <w:color w:val="000000" w:themeColor="text1"/>
          <w:sz w:val="16"/>
          <w:szCs w:val="16"/>
        </w:rPr>
        <w:softHyphen/>
        <w:t>оружением, масса которого достигала 480 т (вместо 220 т по перво</w:t>
      </w:r>
      <w:r w:rsidRPr="005E779E">
        <w:rPr>
          <w:rFonts w:ascii="Times New Roman" w:hAnsi="Times New Roman"/>
          <w:color w:val="000000" w:themeColor="text1"/>
          <w:sz w:val="16"/>
          <w:szCs w:val="16"/>
        </w:rPr>
        <w:softHyphen/>
        <w:t>начальному проекту).</w:t>
      </w:r>
    </w:p>
    <w:p w14:paraId="5564D6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размещение носовой группы башен главного калибра бое</w:t>
      </w:r>
      <w:r w:rsidRPr="005E779E">
        <w:rPr>
          <w:rFonts w:ascii="Times New Roman" w:hAnsi="Times New Roman"/>
          <w:color w:val="000000" w:themeColor="text1"/>
          <w:sz w:val="16"/>
          <w:szCs w:val="16"/>
        </w:rPr>
        <w:softHyphen/>
        <w:t>вую рубку с башнеподобной фок-мачтой нового типа сместили в корму, ликвидировав носовое котельное отделение и переднюю ды</w:t>
      </w:r>
      <w:r w:rsidRPr="005E779E">
        <w:rPr>
          <w:rFonts w:ascii="Times New Roman" w:hAnsi="Times New Roman"/>
          <w:color w:val="000000" w:themeColor="text1"/>
          <w:sz w:val="16"/>
          <w:szCs w:val="16"/>
        </w:rPr>
        <w:softHyphen/>
        <w:t>мовую трубу. Паропроизводительность оставшихся десяти котлов Ярроу, полностью переведенных на нефтяное отопление, удалось увеличить. Это позволило сохранить мощность главных турбин и скорость полного хода (29 уз). Несмотря на утилизацию упразднен</w:t>
      </w:r>
      <w:r w:rsidRPr="005E779E">
        <w:rPr>
          <w:rFonts w:ascii="Times New Roman" w:hAnsi="Times New Roman"/>
          <w:color w:val="000000" w:themeColor="text1"/>
          <w:sz w:val="16"/>
          <w:szCs w:val="16"/>
        </w:rPr>
        <w:softHyphen/>
        <w:t>ных угольных ям и помещений для успокоительных цистерн Фра-ма под нефтяные цистерны, дальность плавания из-за форсирова</w:t>
      </w:r>
      <w:r w:rsidRPr="005E779E">
        <w:rPr>
          <w:rFonts w:ascii="Times New Roman" w:hAnsi="Times New Roman"/>
          <w:color w:val="000000" w:themeColor="text1"/>
          <w:sz w:val="16"/>
          <w:szCs w:val="16"/>
        </w:rPr>
        <w:softHyphen/>
        <w:t>ния главной энергетической установки несколько уменьшилась.</w:t>
      </w:r>
    </w:p>
    <w:p w14:paraId="188E49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Грот-мачту также сделали треногой и, передвинув несколько в корму, оснастили массивным краном для гидросамолетов типа КР-1. Место между второй дымовой трубой и грот-мачтой заняла катапульта, аналогичная установленной на линкоре "Парижская коммуна".</w:t>
      </w:r>
    </w:p>
    <w:p w14:paraId="25AB77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Артиллерийские установки главного калибра под шифром МК-1-180 создавались на Ленинградском металлическом заводе (заведующий КБ инженер Р. Н. Вульф) на базе 180-мм орудия Б-1 разработки завода "Большевик" (главный конструктор К. Черняв</w:t>
      </w:r>
      <w:r w:rsidRPr="005E779E">
        <w:rPr>
          <w:rFonts w:ascii="Times New Roman" w:hAnsi="Times New Roman"/>
          <w:color w:val="000000" w:themeColor="text1"/>
          <w:sz w:val="16"/>
          <w:szCs w:val="16"/>
        </w:rPr>
        <w:softHyphen/>
        <w:t>ский). По проекту установка обеспечивала поражение целей на дистанциях до 203 каб. (максимальный угол возвышения 60°, снижения 5°) снарядом массой 97,5 кг со скорострельностью 6 выстр./мин. К сожалению, хорошим баллистическим качествам самого орудия (начальная скорость 920 м/с) пришлось принести в жертву живучесть ствола (55 боевых выстрелов)</w:t>
      </w:r>
    </w:p>
    <w:p w14:paraId="3E2118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Обращает на себя внимание также сильное торпедное вооруже</w:t>
      </w:r>
      <w:r w:rsidRPr="005E779E">
        <w:rPr>
          <w:rFonts w:ascii="Times New Roman" w:hAnsi="Times New Roman"/>
          <w:color w:val="000000" w:themeColor="text1"/>
          <w:sz w:val="16"/>
          <w:szCs w:val="16"/>
        </w:rPr>
        <w:softHyphen/>
        <w:t>ние советского корабля и слабость его зенитной артиллерии. По</w:t>
      </w:r>
      <w:r w:rsidRPr="005E779E">
        <w:rPr>
          <w:rFonts w:ascii="Times New Roman" w:hAnsi="Times New Roman"/>
          <w:color w:val="000000" w:themeColor="text1"/>
          <w:sz w:val="16"/>
          <w:szCs w:val="16"/>
        </w:rPr>
        <w:softHyphen/>
        <w:t>следняя в 30-х гг. усиливалась и на иностранных крейсерах, и на "Красном Кавказе". Так, 76-мм пушки Лендера были вскоре заме</w:t>
      </w:r>
      <w:r w:rsidRPr="005E779E">
        <w:rPr>
          <w:rFonts w:ascii="Times New Roman" w:hAnsi="Times New Roman"/>
          <w:color w:val="000000" w:themeColor="text1"/>
          <w:sz w:val="16"/>
          <w:szCs w:val="16"/>
        </w:rPr>
        <w:softHyphen/>
        <w:t>нены четырьмя спаренными 100-мм универсальными итальян</w:t>
      </w:r>
      <w:r w:rsidRPr="005E779E">
        <w:rPr>
          <w:rFonts w:ascii="Times New Roman" w:hAnsi="Times New Roman"/>
          <w:color w:val="000000" w:themeColor="text1"/>
          <w:sz w:val="16"/>
          <w:szCs w:val="16"/>
        </w:rPr>
        <w:softHyphen/>
        <w:t>ской системы Минизини, к которым добавили четыре 45-мм полу</w:t>
      </w:r>
      <w:r w:rsidRPr="005E779E">
        <w:rPr>
          <w:rFonts w:ascii="Times New Roman" w:hAnsi="Times New Roman"/>
          <w:color w:val="000000" w:themeColor="text1"/>
          <w:sz w:val="16"/>
          <w:szCs w:val="16"/>
        </w:rPr>
        <w:softHyphen/>
        <w:t>автомата, а потом и две 76-мм новые артустановки. Во время Вели</w:t>
      </w:r>
      <w:r w:rsidRPr="005E779E">
        <w:rPr>
          <w:rFonts w:ascii="Times New Roman" w:hAnsi="Times New Roman"/>
          <w:color w:val="000000" w:themeColor="text1"/>
          <w:sz w:val="16"/>
          <w:szCs w:val="16"/>
        </w:rPr>
        <w:softHyphen/>
        <w:t>кой Отечественной войны зенитное вооружение "Красного Кавка</w:t>
      </w:r>
      <w:r w:rsidRPr="005E779E">
        <w:rPr>
          <w:rFonts w:ascii="Times New Roman" w:hAnsi="Times New Roman"/>
          <w:color w:val="000000" w:themeColor="text1"/>
          <w:sz w:val="16"/>
          <w:szCs w:val="16"/>
        </w:rPr>
        <w:softHyphen/>
        <w:t>за" довели до 12 100-мм, 2 76-мм, 4 45-мм и 10 37-мм орудий и 6 12,7 мм пулеметов (3898).</w:t>
      </w:r>
    </w:p>
    <w:p w14:paraId="16A72C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EACAE8F" w14:textId="77777777" w:rsidR="00C356D8" w:rsidRPr="00951B40" w:rsidRDefault="00C356D8" w:rsidP="00C356D8">
      <w:pPr>
        <w:spacing w:after="0" w:line="240" w:lineRule="auto"/>
        <w:jc w:val="both"/>
        <w:rPr>
          <w:rFonts w:ascii="Times New Roman" w:hAnsi="Times New Roman"/>
          <w:color w:val="0070C0"/>
          <w:sz w:val="16"/>
          <w:szCs w:val="16"/>
        </w:rPr>
      </w:pPr>
      <w:r w:rsidRPr="00951B40">
        <w:rPr>
          <w:rStyle w:val="aff0"/>
          <w:rFonts w:ascii="Times New Roman" w:hAnsi="Times New Roman" w:cs="Times New Roman"/>
          <w:color w:val="0070C0"/>
          <w:spacing w:val="0"/>
          <w:sz w:val="16"/>
          <w:szCs w:val="16"/>
        </w:rPr>
        <w:t>В сентябре 1931 началось строительство макета лидера ТК Некрасова. Созда</w:t>
      </w:r>
      <w:r w:rsidRPr="00951B40">
        <w:rPr>
          <w:rStyle w:val="aff0"/>
          <w:rFonts w:ascii="Times New Roman" w:hAnsi="Times New Roman" w:cs="Times New Roman"/>
          <w:color w:val="0070C0"/>
          <w:spacing w:val="0"/>
          <w:sz w:val="16"/>
          <w:szCs w:val="16"/>
        </w:rPr>
        <w:softHyphen/>
        <w:t>вался катер почти четыре года, в ходе которых шло согласование вариантов вооружения и энергетической установки, которая в конечном итоге оказалась вось</w:t>
      </w:r>
      <w:r w:rsidRPr="00951B40">
        <w:rPr>
          <w:rStyle w:val="aff0"/>
          <w:rFonts w:ascii="Times New Roman" w:hAnsi="Times New Roman" w:cs="Times New Roman"/>
          <w:color w:val="0070C0"/>
          <w:spacing w:val="0"/>
          <w:sz w:val="16"/>
          <w:szCs w:val="16"/>
        </w:rPr>
        <w:softHyphen/>
        <w:t>мимоторной при наличии всего двух ли</w:t>
      </w:r>
      <w:r w:rsidRPr="00951B40">
        <w:rPr>
          <w:rStyle w:val="aff0"/>
          <w:rFonts w:ascii="Times New Roman" w:hAnsi="Times New Roman" w:cs="Times New Roman"/>
          <w:color w:val="0070C0"/>
          <w:spacing w:val="0"/>
          <w:sz w:val="16"/>
          <w:szCs w:val="16"/>
        </w:rPr>
        <w:softHyphen/>
        <w:t>ний вала. Моторы - по четыре для левого и правого валопроводов - соединялись с валами при помощи редукторов и могли индивидуально отключаться от них. Та</w:t>
      </w:r>
      <w:r w:rsidRPr="00951B40">
        <w:rPr>
          <w:rStyle w:val="aff0"/>
          <w:rFonts w:ascii="Times New Roman" w:hAnsi="Times New Roman" w:cs="Times New Roman"/>
          <w:color w:val="0070C0"/>
          <w:spacing w:val="0"/>
          <w:sz w:val="16"/>
          <w:szCs w:val="16"/>
        </w:rPr>
        <w:softHyphen/>
        <w:t>кая конструкция, безусловно, обладала дополнительным весом и сложностью, а значит, меньшей надежностью. Вооруже</w:t>
      </w:r>
      <w:r w:rsidRPr="00951B40">
        <w:rPr>
          <w:rStyle w:val="aff0"/>
          <w:rFonts w:ascii="Times New Roman" w:hAnsi="Times New Roman" w:cs="Times New Roman"/>
          <w:color w:val="0070C0"/>
          <w:spacing w:val="0"/>
          <w:sz w:val="16"/>
          <w:szCs w:val="16"/>
        </w:rPr>
        <w:softHyphen/>
        <w:t>ние в конечном итоге должны были соста</w:t>
      </w:r>
      <w:r w:rsidRPr="00951B40">
        <w:rPr>
          <w:rStyle w:val="aff0"/>
          <w:rFonts w:ascii="Times New Roman" w:hAnsi="Times New Roman" w:cs="Times New Roman"/>
          <w:color w:val="0070C0"/>
          <w:spacing w:val="0"/>
          <w:sz w:val="16"/>
          <w:szCs w:val="16"/>
        </w:rPr>
        <w:softHyphen/>
        <w:t>вить 45-мм полуавтомат 21-К перед руб</w:t>
      </w:r>
      <w:r w:rsidRPr="00951B40">
        <w:rPr>
          <w:rStyle w:val="aff0"/>
          <w:rFonts w:ascii="Times New Roman" w:hAnsi="Times New Roman" w:cs="Times New Roman"/>
          <w:color w:val="0070C0"/>
          <w:spacing w:val="0"/>
          <w:sz w:val="16"/>
          <w:szCs w:val="16"/>
        </w:rPr>
        <w:softHyphen/>
        <w:t>кой и четыре пулеметные установки: две крупнокалиберных пулеметов в палубных турелях по бортам чуть позади орудия и две турели в кормовой части рубки одна над другой, причем в верхней планиро</w:t>
      </w:r>
      <w:r w:rsidRPr="00951B40">
        <w:rPr>
          <w:rStyle w:val="aff0"/>
          <w:rFonts w:ascii="Times New Roman" w:hAnsi="Times New Roman" w:cs="Times New Roman"/>
          <w:color w:val="0070C0"/>
          <w:spacing w:val="0"/>
          <w:sz w:val="16"/>
          <w:szCs w:val="16"/>
        </w:rPr>
        <w:softHyphen/>
        <w:t>валось установить пулемет винтовочного калибра, а в нижней - крупнокалиберный. На момент проектирования точные си</w:t>
      </w:r>
      <w:r w:rsidRPr="00951B40">
        <w:rPr>
          <w:rStyle w:val="aff0"/>
          <w:rFonts w:ascii="Times New Roman" w:hAnsi="Times New Roman" w:cs="Times New Roman"/>
          <w:color w:val="0070C0"/>
          <w:spacing w:val="0"/>
          <w:sz w:val="16"/>
          <w:szCs w:val="16"/>
        </w:rPr>
        <w:softHyphen/>
        <w:t>стемы пулеметов определены не были, но конструкторы верили, что к моменту испытаний этот вопрос легко разрешится, как и вопрос создания спаренных турель</w:t>
      </w:r>
      <w:r w:rsidRPr="00951B40">
        <w:rPr>
          <w:rStyle w:val="aff0"/>
          <w:rFonts w:ascii="Times New Roman" w:hAnsi="Times New Roman" w:cs="Times New Roman"/>
          <w:color w:val="0070C0"/>
          <w:spacing w:val="0"/>
          <w:sz w:val="16"/>
          <w:szCs w:val="16"/>
        </w:rPr>
        <w:softHyphen/>
        <w:t>ных установок. Само строительство шло неспешно (25781).</w:t>
      </w:r>
    </w:p>
    <w:p w14:paraId="31B1832F" w14:textId="77777777" w:rsidR="00C356D8" w:rsidRPr="00951B40" w:rsidRDefault="00C356D8" w:rsidP="00C356D8">
      <w:pPr>
        <w:spacing w:after="0" w:line="240" w:lineRule="auto"/>
        <w:jc w:val="both"/>
        <w:rPr>
          <w:rFonts w:ascii="Times New Roman" w:hAnsi="Times New Roman"/>
          <w:color w:val="0070C0"/>
          <w:sz w:val="16"/>
          <w:szCs w:val="16"/>
        </w:rPr>
      </w:pPr>
    </w:p>
    <w:p w14:paraId="266D03F7"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3F3DED60"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F85C2F0" w14:textId="77777777" w:rsidR="00A00DED" w:rsidRPr="00142305" w:rsidRDefault="00A00DED" w:rsidP="00A00DE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сентябре 1931 г. в Средней Азии во время ликвидации так называемой Койматской группировки на двух самолетах 95-го транспортного отряда перебросили в осажденный басмачами поселок пуле</w:t>
      </w:r>
      <w:r w:rsidRPr="00142305">
        <w:rPr>
          <w:rFonts w:ascii="Times New Roman" w:hAnsi="Times New Roman"/>
          <w:color w:val="0070C0"/>
          <w:sz w:val="16"/>
          <w:szCs w:val="16"/>
        </w:rPr>
        <w:softHyphen/>
        <w:t>метное отделение с двумя «максимами» и боеприпасами. При этом использовали один АНТ-9 и один Ю-13 (Юнкере F.13) (24949).</w:t>
      </w:r>
    </w:p>
    <w:p w14:paraId="6994451B" w14:textId="77777777" w:rsidR="00A00DED" w:rsidRPr="00142305" w:rsidRDefault="00A00DED" w:rsidP="00A00DED">
      <w:pPr>
        <w:spacing w:after="0" w:line="240" w:lineRule="auto"/>
        <w:jc w:val="both"/>
        <w:rPr>
          <w:rFonts w:ascii="Times New Roman" w:hAnsi="Times New Roman"/>
          <w:color w:val="0070C0"/>
          <w:sz w:val="16"/>
          <w:szCs w:val="16"/>
        </w:rPr>
      </w:pPr>
    </w:p>
    <w:p w14:paraId="782C076E" w14:textId="77777777" w:rsidR="00A00DED" w:rsidRPr="00142305" w:rsidRDefault="00A00DED" w:rsidP="00A00DE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сен</w:t>
      </w:r>
      <w:r w:rsidRPr="00142305">
        <w:rPr>
          <w:rFonts w:ascii="Times New Roman" w:hAnsi="Times New Roman"/>
          <w:color w:val="0070C0"/>
          <w:sz w:val="16"/>
          <w:szCs w:val="16"/>
        </w:rPr>
        <w:softHyphen/>
        <w:t>тябре 1931 г. произошло боевое крещение нового разведчика Р-5. Два самолета, прибывшие в 16-ю авиабрига</w:t>
      </w:r>
      <w:r w:rsidRPr="00142305">
        <w:rPr>
          <w:rFonts w:ascii="Times New Roman" w:hAnsi="Times New Roman"/>
          <w:color w:val="0070C0"/>
          <w:sz w:val="16"/>
          <w:szCs w:val="16"/>
        </w:rPr>
        <w:softHyphen/>
        <w:t>ду Среднеазиатского округа, включили в состав Туркмен</w:t>
      </w:r>
      <w:r w:rsidRPr="00142305">
        <w:rPr>
          <w:rFonts w:ascii="Times New Roman" w:hAnsi="Times New Roman"/>
          <w:color w:val="0070C0"/>
          <w:sz w:val="16"/>
          <w:szCs w:val="16"/>
        </w:rPr>
        <w:softHyphen/>
        <w:t>ской авиагруппы, сформированной для действий против басмачей в районе Кызыл-Арвата. Там действовала так называемая Койматская группировка. Р-5 использова</w:t>
      </w:r>
      <w:r w:rsidRPr="00142305">
        <w:rPr>
          <w:rFonts w:ascii="Times New Roman" w:hAnsi="Times New Roman"/>
          <w:color w:val="0070C0"/>
          <w:sz w:val="16"/>
          <w:szCs w:val="16"/>
        </w:rPr>
        <w:softHyphen/>
        <w:t>лись как командирские машины (у командиров группы и 37-й эскадрильи). Основная тяжесть боевой работы легла на старые Р-ЗЛД, но и Р-5 участвовали в налетах на бан</w:t>
      </w:r>
      <w:r w:rsidRPr="00142305">
        <w:rPr>
          <w:rFonts w:ascii="Times New Roman" w:hAnsi="Times New Roman"/>
          <w:color w:val="0070C0"/>
          <w:sz w:val="16"/>
          <w:szCs w:val="16"/>
        </w:rPr>
        <w:softHyphen/>
        <w:t>ды у колодцев Огуз-Кулоч и Огуз-Каюсы. Они сбрасыва</w:t>
      </w:r>
      <w:r w:rsidRPr="00142305">
        <w:rPr>
          <w:rFonts w:ascii="Times New Roman" w:hAnsi="Times New Roman"/>
          <w:color w:val="0070C0"/>
          <w:sz w:val="16"/>
          <w:szCs w:val="16"/>
        </w:rPr>
        <w:softHyphen/>
        <w:t>ли мелкие осколочные бомбы и обстреливали басмачей из пулеметов.</w:t>
      </w:r>
    </w:p>
    <w:p w14:paraId="4C25F302" w14:textId="77777777" w:rsidR="00A00DED" w:rsidRPr="00142305" w:rsidRDefault="00A00DED" w:rsidP="00A00DE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Например, 14 сентября командир 37-й эскадрильи И.А. Назарчук повел группу самолетов на бомбежку бан</w:t>
      </w:r>
      <w:r w:rsidRPr="00142305">
        <w:rPr>
          <w:rFonts w:ascii="Times New Roman" w:hAnsi="Times New Roman"/>
          <w:color w:val="0070C0"/>
          <w:sz w:val="16"/>
          <w:szCs w:val="16"/>
        </w:rPr>
        <w:softHyphen/>
        <w:t>ды, отступавшей от колодца Чагыл. Летчики сбросили на врага 150 бомб по 8 кг.</w:t>
      </w:r>
    </w:p>
    <w:p w14:paraId="66E86ADE" w14:textId="77777777" w:rsidR="00A00DED" w:rsidRPr="00142305" w:rsidRDefault="00A00DED" w:rsidP="00A00DE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Активные боевые действия шли до начала октября. В се</w:t>
      </w:r>
      <w:r w:rsidRPr="00142305">
        <w:rPr>
          <w:rFonts w:ascii="Times New Roman" w:hAnsi="Times New Roman"/>
          <w:color w:val="0070C0"/>
          <w:sz w:val="16"/>
          <w:szCs w:val="16"/>
        </w:rPr>
        <w:softHyphen/>
        <w:t>редине месяца самолеты вернулись в Ташкент.</w:t>
      </w:r>
    </w:p>
    <w:p w14:paraId="7D58AA00" w14:textId="77777777" w:rsidR="00A00DED" w:rsidRPr="00142305" w:rsidRDefault="00A00DED" w:rsidP="00A00DE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Впоследствии Р-5 еще неоднократно привлекались к борьбе с «врагом внутренним».</w:t>
      </w:r>
    </w:p>
    <w:p w14:paraId="4D7EBCA8" w14:textId="77777777" w:rsidR="00A00DED" w:rsidRPr="00142305" w:rsidRDefault="00A00DED" w:rsidP="00A00DE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апреле 1932 г. из той же 16-й бригады выделили от</w:t>
      </w:r>
      <w:r w:rsidRPr="00142305">
        <w:rPr>
          <w:rFonts w:ascii="Times New Roman" w:hAnsi="Times New Roman"/>
          <w:color w:val="0070C0"/>
          <w:sz w:val="16"/>
          <w:szCs w:val="16"/>
        </w:rPr>
        <w:softHyphen/>
        <w:t>ряд во главе с уже упоминавшимся Назарчуком (девять Р-ЗЛД и один Р-5), переброшенный в Туркмению. Он по</w:t>
      </w:r>
      <w:r w:rsidRPr="00142305">
        <w:rPr>
          <w:rFonts w:ascii="Times New Roman" w:hAnsi="Times New Roman"/>
          <w:color w:val="0070C0"/>
          <w:sz w:val="16"/>
          <w:szCs w:val="16"/>
        </w:rPr>
        <w:softHyphen/>
        <w:t>том участвовал в боях с басмачами у озера Зайсан.</w:t>
      </w:r>
    </w:p>
    <w:p w14:paraId="12186036" w14:textId="77777777" w:rsidR="00A00DED" w:rsidRPr="00142305" w:rsidRDefault="00A00DED" w:rsidP="00A00DE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«Необъявленная война» шла долго, но масштабы ее пос</w:t>
      </w:r>
      <w:r w:rsidRPr="00142305">
        <w:rPr>
          <w:rFonts w:ascii="Times New Roman" w:hAnsi="Times New Roman"/>
          <w:color w:val="0070C0"/>
          <w:sz w:val="16"/>
          <w:szCs w:val="16"/>
        </w:rPr>
        <w:softHyphen/>
        <w:t>тепенно уменьшались, и основную роль стали играть са</w:t>
      </w:r>
      <w:r w:rsidRPr="00142305">
        <w:rPr>
          <w:rFonts w:ascii="Times New Roman" w:hAnsi="Times New Roman"/>
          <w:color w:val="0070C0"/>
          <w:sz w:val="16"/>
          <w:szCs w:val="16"/>
        </w:rPr>
        <w:softHyphen/>
        <w:t>молеты авиации НКВД, в которой тоже имелось немало Р-5 (24990).</w:t>
      </w:r>
    </w:p>
    <w:p w14:paraId="4C2FAFAA" w14:textId="77777777" w:rsidR="00A00DED" w:rsidRPr="00142305" w:rsidRDefault="00A00DED" w:rsidP="00A00DED">
      <w:pPr>
        <w:spacing w:after="0" w:line="240" w:lineRule="auto"/>
        <w:jc w:val="both"/>
        <w:rPr>
          <w:rFonts w:ascii="Times New Roman" w:hAnsi="Times New Roman"/>
          <w:color w:val="0070C0"/>
          <w:sz w:val="16"/>
          <w:szCs w:val="16"/>
        </w:rPr>
      </w:pPr>
    </w:p>
    <w:p w14:paraId="45C863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сентябре 1931 произошло боевое крещение Р-5. Два самолета, прибывшие в 16-ю бригаду, включили в состав Туркменской авиагруппы, сформированной для действий против басмачей в районе Кызыл-Арвата. Р-5 использовались как командирские машины. Основная тяжесть боевой работы легла на старые Р-ЗЛД, но и Р-5 участвовали в налетах на банды у колодцев Огуз-Кулоч и Огуз-Каюсы. Они сбрасывали мелкие бомбы и обстреливали басмачей из пулеметов. Впоследствии Р-5 еще неоднократно привлекались к борьбе с "врагом внутренним". Так, в апреле 1932 г. отряд во главе с уже упоминаемым Назарчуком (девять Р-ЗЛД и один Р-5) перебросили в Туркмению, где он участвовал в боях с басмачами у оз. Зайсан (11936).</w:t>
      </w:r>
    </w:p>
    <w:p w14:paraId="338FA8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92CFE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сентябре 1931 г. произошло боевое крещение нового разведчика Р-5. Два самолета, прибывшие в 16-ю авиабригаду Среднеазиатского округа, включили в состав Туркменской авиагруппы, сформированной для действий против басмачей в районе Кызыл-Арвата. Там действовала так называемая Койматская группировка. Р-5 использовались как командирские машины (у командиров группы и 37-й эскадрильи). Основная тяжесть боевой работы легла на старые Р-ЗЛД, но и Р-5 участвовали в налетах на банды у колодцев Огуз-Кулоч и Огуз-Каюсы. Они сбрасывали мелкие осколочные бомбы и обстреливали басмачей из пулеметов. Активные боевые действия шли до начала октября. В середине месяца самолеты вернулись в Ташкент (12034).</w:t>
      </w:r>
    </w:p>
    <w:p w14:paraId="3E3EF4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03581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сентябре 1931 г. в районе Красногвардейска (это тот же самый Троцк, Ленинградский военный округ) проводились учения с высадкой воздушного десанта. К ним привлекли и 11-ю авиабригаду, которая взяла с собой и ФГ-62. Один из последних потерпел аварию у Бронницы под Новгородом. Повреждённый самолёт долго стоял у места вынужденной посадки. Акт о его списании обнаружить не удалось, но машина группы "Б" не подлежала серьёзному ремонту. Скорее всего, её пустили на слом, сняв всё ценное (11984).</w:t>
      </w:r>
    </w:p>
    <w:p w14:paraId="6FA87B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883BFCC" w14:textId="77777777" w:rsidR="00941865" w:rsidRPr="005E779E" w:rsidRDefault="009418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 сентябре 1931 г. ПДО из ЛВО был переброшен в Киев для участия в маневрах Украинского военного округа (УВО), где влился в авиамотодесантную группу. Десант в составе 29 бойцов 10 сентября высадился из трех самолетов АНТ-9. Одновременно с людьми на грузовых парашютах были сброшены две пушки, пулеметы и боеприпасы. Такую же операцию 14 сентября повторили для начальствующего состава, участвовавшего в маневрах (Архив ЦДА и К. Ф. 50. Оп. 1. Д. 2. Л. 26). С маневров в УВО ПДО был снова переброшен в Красногвардейск (ныне Гатчина), где 29.09.1931 г. принял участие в маневрах ЛВО. Всего из 550 прыжков, выполненных в 1931 г., на десантные прыжки во время маневров приходится 110, то есть 20% от общего количества. В то же время бойцы ПДО выполнили в 1931 г. 311 прыжков (56.5% от общего количества) (Архив ЦДА и К. Ф. 50. Оп. 1. Д. 2. Л. 25) (21402).</w:t>
      </w:r>
    </w:p>
    <w:p w14:paraId="2161F46A" w14:textId="77777777" w:rsidR="00941865" w:rsidRPr="005E779E" w:rsidRDefault="00941865" w:rsidP="000B7A6C">
      <w:pPr>
        <w:spacing w:after="0" w:line="240" w:lineRule="auto"/>
        <w:jc w:val="both"/>
        <w:rPr>
          <w:rFonts w:ascii="Times New Roman" w:hAnsi="Times New Roman"/>
          <w:color w:val="000000" w:themeColor="text1"/>
          <w:sz w:val="16"/>
          <w:szCs w:val="16"/>
        </w:rPr>
      </w:pPr>
    </w:p>
    <w:p w14:paraId="45EA5149" w14:textId="77777777" w:rsidR="00941865" w:rsidRPr="005E779E" w:rsidRDefault="009418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сентябре 1931 г. ПДО из ЛВО был переброшен в Киев для участия в маневрах Украинского военного округа (УВО), где влился в авиамотодесантную группу. Десант в составе 29 бойцов </w:t>
      </w:r>
    </w:p>
    <w:p w14:paraId="493D4200" w14:textId="77777777" w:rsidR="00941865" w:rsidRPr="005E779E" w:rsidRDefault="00941865" w:rsidP="000B7A6C">
      <w:pPr>
        <w:spacing w:after="0" w:line="240" w:lineRule="auto"/>
        <w:jc w:val="both"/>
        <w:rPr>
          <w:rFonts w:ascii="Times New Roman" w:hAnsi="Times New Roman"/>
          <w:color w:val="000000" w:themeColor="text1"/>
          <w:sz w:val="16"/>
          <w:szCs w:val="16"/>
        </w:rPr>
      </w:pPr>
    </w:p>
    <w:p w14:paraId="2D9D72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сентябре месяце 1931 состоялись учения под Ленинградом. Для переброски десанта подготовили две эскадрильи ТБ-1 3-й авиабригады, оборудованные десантными кабинами или "автоматическими выбрасывателями" - всего около 20 исправных машин. "Люльки" монтировались силами технического и летного состава самой эскадрильи. К ТБ-1 добавили три АНТ-9 из эскадрильи особого назначения и учебной бригады Военно-воздушной академии. Парашютистов и самолеты сосредоточили на аэродроме Красногвардейск.</w:t>
      </w:r>
    </w:p>
    <w:p w14:paraId="0C4897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и 14 сентября парашютные десанты сочетались с посадочными. Парашютистов сбрасывали с АНТ-9 и ТБ-1. Парашют политрука Кузнецова, прыгавшего с бомбардировщика 55-й эскадрильи, не раскрылся. Он упал с высоты 500 м и разбился. У другого десантника купол развернулся только на 50 м. Среди парашютистов некоторые получили ранения и ушибы. С самолетов сбрасывали не только людей, но и мешки с различными грузами, в том числе ДРП.</w:t>
      </w:r>
    </w:p>
    <w:p w14:paraId="57EEC2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Парашютисты захватили посадочную площадку, на которую приземлились самолеты с посадочным десантом. От места высадки он двинулся форсированным маршем по намеченному маршруту. Его успех был омрачен только одним происшествием: на месте ночевки десантники забыли в деревенском сарае... ручной пулемет!</w:t>
      </w:r>
    </w:p>
    <w:p w14:paraId="7DA1D0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собравшихся на учения начальников организовали демонстрационный сброс с ТБ-1 трехместного авиабуса.</w:t>
      </w:r>
    </w:p>
    <w:p w14:paraId="43BA63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Успех учений несколько омрачила катастрофа, произошедшая сразу после их окончания. Принадлежавший десантному отряду ТБ-1, под которым был подвешен пикап, взлетел, чтобы вернуться на постоянное место дислокации. Самолет был сильно перегружен. Кроме автомобиля, он нес различное имущество. На борту находилось семь человек. Но один из моторов отказал (как потом выяснилось, оборвался шатун). Пилот решил сделать круг и сесть на ту же площадку, но недооценил создаваемого наружной подвеской пикирующего момента. Самолет врезался в землю: все находившиеся в нем погибли (12036).</w:t>
      </w:r>
    </w:p>
    <w:p w14:paraId="609AF7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419406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сентябре 1931 г. на заседании РВС было принято ре</w:t>
      </w:r>
      <w:r w:rsidRPr="005E779E">
        <w:rPr>
          <w:rFonts w:ascii="Times New Roman" w:hAnsi="Times New Roman"/>
          <w:color w:val="000000" w:themeColor="text1"/>
          <w:sz w:val="16"/>
          <w:szCs w:val="16"/>
        </w:rPr>
        <w:softHyphen/>
        <w:t>шение, что отечественная промышленность должна удар</w:t>
      </w:r>
      <w:r w:rsidRPr="005E779E">
        <w:rPr>
          <w:rFonts w:ascii="Times New Roman" w:hAnsi="Times New Roman"/>
          <w:color w:val="000000" w:themeColor="text1"/>
          <w:sz w:val="16"/>
          <w:szCs w:val="16"/>
        </w:rPr>
        <w:softHyphen/>
        <w:t>но потрудиться в новом 1932 г., чтобы спешно создать «бронированный кулак мотомехчастей» для войны, нача</w:t>
      </w:r>
      <w:r w:rsidRPr="005E779E">
        <w:rPr>
          <w:rFonts w:ascii="Times New Roman" w:hAnsi="Times New Roman"/>
          <w:color w:val="000000" w:themeColor="text1"/>
          <w:sz w:val="16"/>
          <w:szCs w:val="16"/>
        </w:rPr>
        <w:softHyphen/>
        <w:t>ло которой могло быть инициировано в 1933-34 гг. Наме</w:t>
      </w:r>
      <w:r w:rsidRPr="005E779E">
        <w:rPr>
          <w:rFonts w:ascii="Times New Roman" w:hAnsi="Times New Roman"/>
          <w:color w:val="000000" w:themeColor="text1"/>
          <w:sz w:val="16"/>
          <w:szCs w:val="16"/>
        </w:rPr>
        <w:softHyphen/>
        <w:t>чалась весьма обширная годовая программа строительст -ва танков в СССР, которая предусматривала изготовление до 10 000 боевых машин всех классов: 3000 шт. - легких танков, 5000 шт. - танкеток и 2000 шт. - маневренных, которая была, впрочем, сокращена к началу 1932 г. до 8100 шт. (за счет ограничения заказа на танкетки с 5000 до 3100 шт.). Выполнение этой программы напрямую зависело от обеспеченности заводов отечественным и импортным оборудованием, необходимой номенклатурой сырья, по</w:t>
      </w:r>
      <w:r w:rsidRPr="005E779E">
        <w:rPr>
          <w:rFonts w:ascii="Times New Roman" w:hAnsi="Times New Roman"/>
          <w:color w:val="000000" w:themeColor="text1"/>
          <w:sz w:val="16"/>
          <w:szCs w:val="16"/>
        </w:rPr>
        <w:softHyphen/>
        <w:t>луфабрикатов и агрегатов (10733,138).</w:t>
      </w:r>
    </w:p>
    <w:p w14:paraId="47C8CCD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85731C" w14:textId="77777777" w:rsidR="00A00DED" w:rsidRPr="00142305" w:rsidRDefault="00A00DED" w:rsidP="00A00DED">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В сентябре 1931 года в соответствии с приказом РВС СССР 1931 года № 031 и директивой Штаба РККА от 28 мая 1931 года № 1/140206сс, были проведены первые совместные учения всех средств противовоздушной обороны Ленинграда по отражению воздушных налетов. В них были задействованы следующие активные средства: сводный авиаотряд (10 самолетов типа И-5) 11-й авиационной эскадрильи (Комендантский аэродром); 2 дивизиона 133-го артиллерийского полка и 73-й отдельный дивизион в составе сектора внешней зоны, 3 дивизиона 115-го артиллерийского полка в составе сектора внутренней зоны; 3-й отдельный прожекторный батальон (15 станций); 20-й отдельный пулеметный батальон и одна сводная рота (12 пулеметов); 7 постов наблюдения полосы предупреждения, 30 постов поля сплошного наблюдения юго-западного сектора; Главный пост воздушного наблюдения, оповещения и связи (г. Ленинград); рота 2-го полка связи; радиостанции 4-й отдельной артиллерийской бригады и Осоавиахима”</w:t>
      </w:r>
    </w:p>
    <w:p w14:paraId="789DF985" w14:textId="77777777" w:rsidR="00A00DED" w:rsidRPr="00142305" w:rsidRDefault="00A00DED" w:rsidP="00A00DED">
      <w:pPr>
        <w:spacing w:after="0" w:line="240" w:lineRule="auto"/>
        <w:jc w:val="both"/>
        <w:rPr>
          <w:rStyle w:val="aff0"/>
          <w:rFonts w:ascii="Times New Roman" w:hAnsi="Times New Roman" w:cs="Times New Roman"/>
          <w:color w:val="0070C0"/>
          <w:spacing w:val="0"/>
          <w:sz w:val="16"/>
          <w:szCs w:val="16"/>
        </w:rPr>
      </w:pPr>
      <w:r w:rsidRPr="00142305">
        <w:rPr>
          <w:rStyle w:val="aff0"/>
          <w:rFonts w:ascii="Times New Roman" w:hAnsi="Times New Roman" w:cs="Times New Roman"/>
          <w:color w:val="0070C0"/>
          <w:spacing w:val="0"/>
          <w:sz w:val="16"/>
          <w:szCs w:val="16"/>
        </w:rPr>
        <w:t>Все части и подразделения были выведены на позиции согласно плану прикрытия города. Учение проходило в течение трех дней, при организации (по замыслу учений) двух дневных и одного ночного налетов.</w:t>
      </w:r>
    </w:p>
    <w:p w14:paraId="5F7A695D" w14:textId="77777777" w:rsidR="00A00DED" w:rsidRPr="00142305" w:rsidRDefault="00A00DED" w:rsidP="00A00DED">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В этот период отрабатывались следующие вопросы: состояние общей системы обнаружения «противника», предупреждения и оповещения всех средств ПВО о его полетах; взаимодействие зенитной артиллерии и истребительной авиации как днем, так и ночью, в одной зоне; совместные действия истребительной авиации и зенитной артиллерии с прожекторами, наведение истребителей на цель по лучу; организация огня зенитной артиллерии по целям; управление боем всех средств частей ПВО 2-й зенитной артиллерийской дивизии и отдельных дивизионов, входивших в состав противовоздушной обороны города. Отрабатывались также вопросы передислокации зенитных подразделений, перебазирования истребительной авиации на смежные аэродромы и другие вопросы.</w:t>
      </w:r>
    </w:p>
    <w:p w14:paraId="7628ECF9" w14:textId="77777777" w:rsidR="00A00DED" w:rsidRPr="00142305" w:rsidRDefault="00A00DED" w:rsidP="00A00DED">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Тщательный разбор итогов учений ПВО г. Ленинград в 1931 году вскрыл ряд серьезных недостатков в действиях подразделений ПВО в руководстве ими. Особенно много недочетов обнаружилось во взаимодействии зенитной артиллерии с истребительной авиацией. По сравнению с маневрами 1928 года удалось значительно достигнуть «в деле организации самой системы ПВО, по подготовке частей и органов активной противовоздушной обороны и переход к работе на основе их общего боевого взаимодействия; [были представлены все возможности] для соответствующего их обеспечения; [наличие необходимости] максимального приближения к органам ПВО в учебно-оперативном отношении соответствующих частей истребительной 742 авиации» (25166).</w:t>
      </w:r>
    </w:p>
    <w:p w14:paraId="1B1804A5" w14:textId="77777777" w:rsidR="00A00DED" w:rsidRPr="00142305" w:rsidRDefault="00A00DED" w:rsidP="00A00DED">
      <w:pPr>
        <w:spacing w:after="0" w:line="240" w:lineRule="auto"/>
        <w:jc w:val="both"/>
        <w:rPr>
          <w:rFonts w:ascii="Times New Roman" w:hAnsi="Times New Roman"/>
          <w:color w:val="0070C0"/>
          <w:sz w:val="16"/>
          <w:szCs w:val="16"/>
        </w:rPr>
      </w:pPr>
    </w:p>
    <w:p w14:paraId="7D6745FE"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7DF52512"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09C10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сентябре 1931 года в колхозах числилось почти 60 % крестьянских хозяйств. Однако даже официальная печать признавала, что многие колхозы являются "дутыми", "бумажными", "лжеколхозами" (9492).</w:t>
      </w:r>
    </w:p>
    <w:p w14:paraId="3E3FA2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A44867B" w14:textId="77777777" w:rsidR="00021C0B" w:rsidRPr="005E779E" w:rsidRDefault="00021C0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Сентябрь 1931. На железнодорожных вокзалах появились "комнаты матери и ребенка" для семей рабочих. Они были открыты круглые сутки и обслуживались медико-педагогическим персоналом. Здесь во время пересадок и длительных ожиданий поездов детей проезжающих обеспечивали питанием, играми и культурными развлечениями (18724).</w:t>
      </w:r>
    </w:p>
    <w:p w14:paraId="21E7D51B" w14:textId="77777777" w:rsidR="00021C0B" w:rsidRPr="005E779E" w:rsidRDefault="00021C0B" w:rsidP="000B7A6C">
      <w:pPr>
        <w:spacing w:after="0" w:line="240" w:lineRule="auto"/>
        <w:jc w:val="both"/>
        <w:rPr>
          <w:rFonts w:ascii="Times New Roman" w:hAnsi="Times New Roman"/>
          <w:color w:val="000000" w:themeColor="text1"/>
          <w:sz w:val="16"/>
          <w:szCs w:val="16"/>
        </w:rPr>
      </w:pPr>
    </w:p>
    <w:p w14:paraId="55E73E08"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Внешняя политика:</w:t>
      </w:r>
    </w:p>
    <w:p w14:paraId="23438EDA"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1CC01C8" w14:textId="77777777" w:rsidR="004D11D4" w:rsidRPr="005E779E" w:rsidRDefault="004D11D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сентябре 1931 г. пос</w:t>
      </w:r>
      <w:r w:rsidRPr="005E779E">
        <w:rPr>
          <w:rFonts w:ascii="Times New Roman" w:hAnsi="Times New Roman"/>
          <w:color w:val="000000" w:themeColor="text1"/>
          <w:sz w:val="16"/>
          <w:szCs w:val="16"/>
        </w:rPr>
        <w:softHyphen/>
        <w:t>ле аннексии Маньчжурии японцы уже планировали стремительным броском в Синьцзян через Внутреннюю Монголию отрезать Китай от СССР и МНР.</w:t>
      </w:r>
    </w:p>
    <w:p w14:paraId="3A6D4586" w14:textId="77777777" w:rsidR="004D11D4" w:rsidRPr="005E779E" w:rsidRDefault="004D11D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вооруженного конфликта на КВЖД Советский Союз официально разорвал ди</w:t>
      </w:r>
      <w:r w:rsidRPr="005E779E">
        <w:rPr>
          <w:rFonts w:ascii="Times New Roman" w:hAnsi="Times New Roman"/>
          <w:color w:val="000000" w:themeColor="text1"/>
          <w:sz w:val="16"/>
          <w:szCs w:val="16"/>
        </w:rPr>
        <w:softHyphen/>
        <w:t>пломатические отношения с Китаем, и после захвата Маньчжурии Синьцзян остался единственным стратегически важным сухопутным путём в Китай из СССР.</w:t>
      </w:r>
    </w:p>
    <w:p w14:paraId="0D1106DD" w14:textId="77777777" w:rsidR="004D11D4" w:rsidRPr="005E779E" w:rsidRDefault="004D11D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Придя к власти, Цзинь Шужэнь долго не мог справиться с набиравшим силу восста</w:t>
      </w:r>
      <w:r w:rsidRPr="005E779E">
        <w:rPr>
          <w:rFonts w:ascii="Times New Roman" w:hAnsi="Times New Roman"/>
          <w:color w:val="000000" w:themeColor="text1"/>
          <w:sz w:val="16"/>
          <w:szCs w:val="16"/>
        </w:rPr>
        <w:softHyphen/>
        <w:t>нием и стабилизировать политическую обстановку. Тогда «Но новой китайской тради</w:t>
      </w:r>
      <w:r w:rsidRPr="005E779E">
        <w:rPr>
          <w:rFonts w:ascii="Times New Roman" w:hAnsi="Times New Roman"/>
          <w:color w:val="000000" w:themeColor="text1"/>
          <w:sz w:val="16"/>
          <w:szCs w:val="16"/>
        </w:rPr>
        <w:softHyphen/>
        <w:t>ции» он решил укрепить свои позиции с помощью военной авиации.</w:t>
      </w:r>
    </w:p>
    <w:p w14:paraId="61411650" w14:textId="77777777" w:rsidR="004D11D4" w:rsidRPr="005E779E" w:rsidRDefault="004D11D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1920-е годы «Поднебесную» потрясали перманентные военные конфликты. В ходе революционных событий в Китае активизировались разнообразные политические силы, считавшие своей главной задачей борьбу за власть всеми доступными средствами и, в первую очередь, военными. Многие властители провинций заявили о независимости от новых пекинских властей, и начались межуусобные войны.</w:t>
      </w:r>
    </w:p>
    <w:p w14:paraId="1901E696" w14:textId="77777777" w:rsidR="004D11D4" w:rsidRPr="005E779E" w:rsidRDefault="004D11D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Самолёты превратились в орудие решения внутренних проблем и борьбы «милитари</w:t>
      </w:r>
      <w:r w:rsidRPr="005E779E">
        <w:rPr>
          <w:rFonts w:ascii="Times New Roman" w:hAnsi="Times New Roman"/>
          <w:color w:val="000000" w:themeColor="text1"/>
          <w:sz w:val="16"/>
          <w:szCs w:val="16"/>
        </w:rPr>
        <w:softHyphen/>
        <w:t>стов» между собой. Но ввиду того, что в тот период боевая мощь военной авиации бы</w:t>
      </w:r>
      <w:r w:rsidRPr="005E779E">
        <w:rPr>
          <w:rFonts w:ascii="Times New Roman" w:hAnsi="Times New Roman"/>
          <w:color w:val="000000" w:themeColor="text1"/>
          <w:sz w:val="16"/>
          <w:szCs w:val="16"/>
        </w:rPr>
        <w:softHyphen/>
        <w:t>ла очень ограниченной, мизерные масштабы военных действий в воздухе в ряде случаев напоминали скорее демонстрационные полёты, чем реальную поддержку наземных войск. Вместе с тем достаточно было появиться в небе одному—двум самолётам, как солдаты противника (в основном, нищие и неграмотные крестьяне, зачастую вооружен</w:t>
      </w:r>
      <w:r w:rsidRPr="005E779E">
        <w:rPr>
          <w:rFonts w:ascii="Times New Roman" w:hAnsi="Times New Roman"/>
          <w:color w:val="000000" w:themeColor="text1"/>
          <w:sz w:val="16"/>
          <w:szCs w:val="16"/>
        </w:rPr>
        <w:softHyphen/>
        <w:t>ные лишь копьями и старинными мущкетами), и до этого никогда не видевшие «крыла</w:t>
      </w:r>
      <w:r w:rsidRPr="005E779E">
        <w:rPr>
          <w:rFonts w:ascii="Times New Roman" w:hAnsi="Times New Roman"/>
          <w:color w:val="000000" w:themeColor="text1"/>
          <w:sz w:val="16"/>
          <w:szCs w:val="16"/>
        </w:rPr>
        <w:softHyphen/>
        <w:t>тых птиц, изрыгающих огонь и швыряющих бомбы», приходили в ужас и в страшной панике разбегались. Недаром тогдашние китайские полководцы по боевой эффективно</w:t>
      </w:r>
      <w:r w:rsidRPr="005E779E">
        <w:rPr>
          <w:rFonts w:ascii="Times New Roman" w:hAnsi="Times New Roman"/>
          <w:color w:val="000000" w:themeColor="text1"/>
          <w:sz w:val="16"/>
          <w:szCs w:val="16"/>
        </w:rPr>
        <w:softHyphen/>
        <w:t>сти приравнивали один даже невооруженный .самолёт к 10 тысячам воинов!</w:t>
      </w:r>
    </w:p>
    <w:p w14:paraId="78F7D511" w14:textId="77777777" w:rsidR="004D11D4" w:rsidRPr="005E779E" w:rsidRDefault="004D11D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Цзинь Шужэнь обратился к СССР с просьбой продать боевые самолёты с вооружени</w:t>
      </w:r>
      <w:r w:rsidRPr="005E779E">
        <w:rPr>
          <w:rFonts w:ascii="Times New Roman" w:hAnsi="Times New Roman"/>
          <w:color w:val="000000" w:themeColor="text1"/>
          <w:sz w:val="16"/>
          <w:szCs w:val="16"/>
        </w:rPr>
        <w:softHyphen/>
        <w:t>ем и боеприпасами якобы для организации в Урумчи школы военных лётчиков. Вместе с самолётами в качестве инструкторов приглашались и советские экипажи. Одновремен</w:t>
      </w:r>
      <w:r w:rsidRPr="005E779E">
        <w:rPr>
          <w:rFonts w:ascii="Times New Roman" w:hAnsi="Times New Roman"/>
          <w:color w:val="000000" w:themeColor="text1"/>
          <w:sz w:val="16"/>
          <w:szCs w:val="16"/>
        </w:rPr>
        <w:softHyphen/>
        <w:t>но китайцы хотели закупить и учебные машины, но вопрос об их продаже сначала отло</w:t>
      </w:r>
      <w:r w:rsidRPr="005E779E">
        <w:rPr>
          <w:rFonts w:ascii="Times New Roman" w:hAnsi="Times New Roman"/>
          <w:color w:val="000000" w:themeColor="text1"/>
          <w:sz w:val="16"/>
          <w:szCs w:val="16"/>
        </w:rPr>
        <w:softHyphen/>
        <w:t>жили, намереваясь перегонять их теми же экипажами, что и военные самолёты. Об участии наших лётчиков в боевых действиях речь поначалу даже и не шла (15802).</w:t>
      </w:r>
    </w:p>
    <w:p w14:paraId="56B5DF71" w14:textId="77777777" w:rsidR="004D11D4" w:rsidRPr="005E779E" w:rsidRDefault="004D11D4" w:rsidP="000B7A6C">
      <w:pPr>
        <w:spacing w:after="0" w:line="240" w:lineRule="auto"/>
        <w:jc w:val="both"/>
        <w:rPr>
          <w:rFonts w:ascii="Times New Roman" w:hAnsi="Times New Roman"/>
          <w:color w:val="000000" w:themeColor="text1"/>
          <w:sz w:val="16"/>
          <w:szCs w:val="16"/>
        </w:rPr>
      </w:pPr>
    </w:p>
    <w:p w14:paraId="1A49CC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сентябре 1931 года К. Либрих, химик научно-исследовательской лаборатории в Эберсвальде, член КПГ, был осужден на четыре месяца за промышленный шпионаж.</w:t>
      </w:r>
    </w:p>
    <w:p w14:paraId="1C257B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Инженер советского торгпредства Ф. Володичев, работавший на заводах «Сименс» и «Хальске», был осужден на одни месяц тюремного заключения за промышленный шпионаж. Хотя, по утверждению прокурора, «чертежи, найденные у обвиняемого, отражали последние достижения в телеграфии и представляли огромную ценность для немецкой индустрии».</w:t>
      </w:r>
    </w:p>
    <w:p w14:paraId="64F5CA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Ротвайле трое рабочих — Р. Мольт, Ю. Шетцле и А. Кох — пытались завладеть промышленными секретами по производству химических волокон и пороха (11765).</w:t>
      </w:r>
    </w:p>
    <w:p w14:paraId="446CF7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35E2E94"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6F2DACE5"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47EB89E" w14:textId="77777777" w:rsidR="009A15AB" w:rsidRPr="005E779E" w:rsidRDefault="009A15A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сентябре 1931 состоялся первый полет Cierva C.24 (20804).</w:t>
      </w:r>
    </w:p>
    <w:p w14:paraId="6C7D7F87" w14:textId="77777777" w:rsidR="009A15AB" w:rsidRPr="005E779E" w:rsidRDefault="009A15AB" w:rsidP="000B7A6C">
      <w:pPr>
        <w:spacing w:after="0" w:line="240" w:lineRule="auto"/>
        <w:jc w:val="both"/>
        <w:rPr>
          <w:rFonts w:ascii="Times New Roman" w:hAnsi="Times New Roman"/>
          <w:color w:val="000000" w:themeColor="text1"/>
          <w:sz w:val="16"/>
          <w:szCs w:val="16"/>
        </w:rPr>
      </w:pPr>
    </w:p>
    <w:p w14:paraId="25926118" w14:textId="77777777" w:rsidR="009A15AB" w:rsidRPr="005E779E" w:rsidRDefault="009A15A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сентябре 1931 состоялся первый полет Heinkel He 59 (20804).</w:t>
      </w:r>
    </w:p>
    <w:p w14:paraId="7BA3A3B7" w14:textId="77777777" w:rsidR="009A15AB" w:rsidRPr="005E779E" w:rsidRDefault="009A15AB" w:rsidP="000B7A6C">
      <w:pPr>
        <w:spacing w:after="0" w:line="240" w:lineRule="auto"/>
        <w:jc w:val="both"/>
        <w:rPr>
          <w:rFonts w:ascii="Times New Roman" w:hAnsi="Times New Roman"/>
          <w:color w:val="000000" w:themeColor="text1"/>
          <w:sz w:val="16"/>
          <w:szCs w:val="16"/>
        </w:rPr>
      </w:pPr>
    </w:p>
    <w:p w14:paraId="4FCCA70E" w14:textId="77777777" w:rsidR="009A15AB" w:rsidRPr="005E779E" w:rsidRDefault="009A15A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сентябре 1931 года был облетан с колес первый опытный самолет Не 59а, а через четыре месяца на испытания вышел гидросамолет Не 59b, особенностью которого было размещение всех баков в двух деревянных поплавках. Он понра</w:t>
      </w:r>
      <w:r w:rsidRPr="005E779E">
        <w:rPr>
          <w:rFonts w:ascii="Times New Roman" w:hAnsi="Times New Roman"/>
          <w:color w:val="000000" w:themeColor="text1"/>
          <w:sz w:val="16"/>
          <w:szCs w:val="16"/>
        </w:rPr>
        <w:softHyphen/>
        <w:t>вился военным и был включен в список приоритетных боевых самолетов, ут</w:t>
      </w:r>
      <w:r w:rsidRPr="005E779E">
        <w:rPr>
          <w:rFonts w:ascii="Times New Roman" w:hAnsi="Times New Roman"/>
          <w:color w:val="000000" w:themeColor="text1"/>
          <w:sz w:val="16"/>
          <w:szCs w:val="16"/>
        </w:rPr>
        <w:softHyphen/>
        <w:t>вержденный в Рейхсминистерстве авиа</w:t>
      </w:r>
      <w:r w:rsidRPr="005E779E">
        <w:rPr>
          <w:rFonts w:ascii="Times New Roman" w:hAnsi="Times New Roman"/>
          <w:color w:val="000000" w:themeColor="text1"/>
          <w:sz w:val="16"/>
          <w:szCs w:val="16"/>
        </w:rPr>
        <w:softHyphen/>
        <w:t>ции 1 января 1934 года.</w:t>
      </w:r>
    </w:p>
    <w:p w14:paraId="79319C6C" w14:textId="77777777" w:rsidR="009A15AB" w:rsidRPr="005E779E" w:rsidRDefault="009A15A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Опытный Не 59 имел много дефек</w:t>
      </w:r>
      <w:r w:rsidRPr="005E779E">
        <w:rPr>
          <w:rFonts w:ascii="Times New Roman" w:hAnsi="Times New Roman"/>
          <w:color w:val="000000" w:themeColor="text1"/>
          <w:sz w:val="16"/>
          <w:szCs w:val="16"/>
        </w:rPr>
        <w:softHyphen/>
        <w:t>тов. Лишь силовая установка не вызыва</w:t>
      </w:r>
      <w:r w:rsidRPr="005E779E">
        <w:rPr>
          <w:rFonts w:ascii="Times New Roman" w:hAnsi="Times New Roman"/>
          <w:color w:val="000000" w:themeColor="text1"/>
          <w:sz w:val="16"/>
          <w:szCs w:val="16"/>
        </w:rPr>
        <w:softHyphen/>
        <w:t>ла особых нареканий — моторы BNW VI уже были освоены в производстве.</w:t>
      </w:r>
    </w:p>
    <w:p w14:paraId="7F4AE15A" w14:textId="77777777" w:rsidR="009A15AB" w:rsidRPr="005E779E" w:rsidRDefault="009A15A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Это был самый большой на то время самолет Хейнкеля, управление им по</w:t>
      </w:r>
      <w:r w:rsidRPr="005E779E">
        <w:rPr>
          <w:rFonts w:ascii="Times New Roman" w:hAnsi="Times New Roman"/>
          <w:color w:val="000000" w:themeColor="text1"/>
          <w:sz w:val="16"/>
          <w:szCs w:val="16"/>
        </w:rPr>
        <w:softHyphen/>
        <w:t>лучилось «тугим», и в канале элеронов поставили триммеры. Для улучшения устойчивости пришлось увеличивать высоту киля. Обзор из полностью ос</w:t>
      </w:r>
      <w:r w:rsidRPr="005E779E">
        <w:rPr>
          <w:rFonts w:ascii="Times New Roman" w:hAnsi="Times New Roman"/>
          <w:color w:val="000000" w:themeColor="text1"/>
          <w:sz w:val="16"/>
          <w:szCs w:val="16"/>
        </w:rPr>
        <w:softHyphen/>
        <w:t>текленной кабины летчика был плохим, и ее сделали открытой, а в средних час</w:t>
      </w:r>
      <w:r w:rsidRPr="005E779E">
        <w:rPr>
          <w:rFonts w:ascii="Times New Roman" w:hAnsi="Times New Roman"/>
          <w:color w:val="000000" w:themeColor="text1"/>
          <w:sz w:val="16"/>
          <w:szCs w:val="16"/>
        </w:rPr>
        <w:softHyphen/>
        <w:t>тях верхнего и нижнего крыльев «про</w:t>
      </w:r>
      <w:r w:rsidRPr="005E779E">
        <w:rPr>
          <w:rFonts w:ascii="Times New Roman" w:hAnsi="Times New Roman"/>
          <w:color w:val="000000" w:themeColor="text1"/>
          <w:sz w:val="16"/>
          <w:szCs w:val="16"/>
        </w:rPr>
        <w:softHyphen/>
        <w:t>били» вырезы. На опытной машине вначале не было рации, а когда она по</w:t>
      </w:r>
      <w:r w:rsidRPr="005E779E">
        <w:rPr>
          <w:rFonts w:ascii="Times New Roman" w:hAnsi="Times New Roman"/>
          <w:color w:val="000000" w:themeColor="text1"/>
          <w:sz w:val="16"/>
          <w:szCs w:val="16"/>
        </w:rPr>
        <w:softHyphen/>
        <w:t>явилась, пришлось сделать кабину для радиста за местом пилота. С ним эки</w:t>
      </w:r>
      <w:r w:rsidRPr="005E779E">
        <w:rPr>
          <w:rFonts w:ascii="Times New Roman" w:hAnsi="Times New Roman"/>
          <w:color w:val="000000" w:themeColor="text1"/>
          <w:sz w:val="16"/>
          <w:szCs w:val="16"/>
        </w:rPr>
        <w:softHyphen/>
        <w:t>паж возрос до четырех человек: лет</w:t>
      </w:r>
      <w:r w:rsidRPr="005E779E">
        <w:rPr>
          <w:rFonts w:ascii="Times New Roman" w:hAnsi="Times New Roman"/>
          <w:color w:val="000000" w:themeColor="text1"/>
          <w:sz w:val="16"/>
          <w:szCs w:val="16"/>
        </w:rPr>
        <w:softHyphen/>
        <w:t>чик, штурман-бомбардир, радист и стрелок. Много проблем добавило воору</w:t>
      </w:r>
      <w:r w:rsidRPr="005E779E">
        <w:rPr>
          <w:rFonts w:ascii="Times New Roman" w:hAnsi="Times New Roman"/>
          <w:color w:val="000000" w:themeColor="text1"/>
          <w:sz w:val="16"/>
          <w:szCs w:val="16"/>
        </w:rPr>
        <w:softHyphen/>
        <w:t>жение, особенно торпедное, дальность не удовлетворила заказчика, и конструкторы вынуждены были сделать подвеску в отсек вооруже</w:t>
      </w:r>
      <w:r w:rsidRPr="005E779E">
        <w:rPr>
          <w:rFonts w:ascii="Times New Roman" w:hAnsi="Times New Roman"/>
          <w:color w:val="000000" w:themeColor="text1"/>
          <w:sz w:val="16"/>
          <w:szCs w:val="16"/>
        </w:rPr>
        <w:softHyphen/>
        <w:t>ния двух подвесных баков вместо бомб. К первому заказу на 21 Не 59В-1 вско</w:t>
      </w:r>
      <w:r w:rsidRPr="005E779E">
        <w:rPr>
          <w:rFonts w:ascii="Times New Roman" w:hAnsi="Times New Roman"/>
          <w:color w:val="000000" w:themeColor="text1"/>
          <w:sz w:val="16"/>
          <w:szCs w:val="16"/>
        </w:rPr>
        <w:softHyphen/>
        <w:t>ре добавили следующую партию, подключив фир</w:t>
      </w:r>
      <w:r w:rsidRPr="005E779E">
        <w:rPr>
          <w:rFonts w:ascii="Times New Roman" w:hAnsi="Times New Roman"/>
          <w:color w:val="000000" w:themeColor="text1"/>
          <w:sz w:val="16"/>
          <w:szCs w:val="16"/>
        </w:rPr>
        <w:softHyphen/>
        <w:t>му «Арадо». С ее участием в 1934-1938 годах было пос</w:t>
      </w:r>
      <w:r w:rsidRPr="005E779E">
        <w:rPr>
          <w:rFonts w:ascii="Times New Roman" w:hAnsi="Times New Roman"/>
          <w:color w:val="000000" w:themeColor="text1"/>
          <w:sz w:val="16"/>
          <w:szCs w:val="16"/>
        </w:rPr>
        <w:softHyphen/>
        <w:t>троено 140 серийных Не 59В-1, В-2 с улучшенным оборудованием и разведчи</w:t>
      </w:r>
      <w:r w:rsidRPr="005E779E">
        <w:rPr>
          <w:rFonts w:ascii="Times New Roman" w:hAnsi="Times New Roman"/>
          <w:color w:val="000000" w:themeColor="text1"/>
          <w:sz w:val="16"/>
          <w:szCs w:val="16"/>
        </w:rPr>
        <w:softHyphen/>
        <w:t>ков В-3 без бомбардировоч</w:t>
      </w:r>
      <w:r w:rsidRPr="005E779E">
        <w:rPr>
          <w:rFonts w:ascii="Times New Roman" w:hAnsi="Times New Roman"/>
          <w:color w:val="000000" w:themeColor="text1"/>
          <w:sz w:val="16"/>
          <w:szCs w:val="16"/>
        </w:rPr>
        <w:softHyphen/>
        <w:t>ного вооружения (22805).</w:t>
      </w:r>
    </w:p>
    <w:p w14:paraId="76B43F4A" w14:textId="77777777" w:rsidR="009A15AB" w:rsidRPr="005E779E" w:rsidRDefault="009A15AB" w:rsidP="000B7A6C">
      <w:pPr>
        <w:spacing w:after="0" w:line="240" w:lineRule="auto"/>
        <w:jc w:val="both"/>
        <w:rPr>
          <w:rFonts w:ascii="Times New Roman" w:hAnsi="Times New Roman"/>
          <w:color w:val="000000" w:themeColor="text1"/>
          <w:sz w:val="16"/>
          <w:szCs w:val="16"/>
        </w:rPr>
      </w:pPr>
    </w:p>
    <w:p w14:paraId="7BECF4FD" w14:textId="77777777" w:rsidR="009A15AB" w:rsidRPr="005E779E" w:rsidRDefault="009A15A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сентябре 1931 состоялся первый полет Lockheed-Detroit XP-900, прототипа Lockheed-Detroit YP-24 (20804).</w:t>
      </w:r>
    </w:p>
    <w:p w14:paraId="4C7F7888" w14:textId="77777777" w:rsidR="009A15AB" w:rsidRPr="005E779E" w:rsidRDefault="009A15AB" w:rsidP="000B7A6C">
      <w:pPr>
        <w:spacing w:after="0" w:line="240" w:lineRule="auto"/>
        <w:jc w:val="both"/>
        <w:rPr>
          <w:rFonts w:ascii="Times New Roman" w:hAnsi="Times New Roman"/>
          <w:color w:val="000000" w:themeColor="text1"/>
          <w:sz w:val="16"/>
          <w:szCs w:val="16"/>
        </w:rPr>
      </w:pPr>
    </w:p>
    <w:p w14:paraId="513FE587" w14:textId="77777777" w:rsidR="009A15AB" w:rsidRPr="005E779E" w:rsidRDefault="009A15A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сентябре 1931 летающие лодки Latecoere 380 побили шесть мировых рекордов, в том числе три скорости с нагрузкой по сравнению и дальности по замкнутому маршруту - 2208 километров (1372 миль) (20804).</w:t>
      </w:r>
    </w:p>
    <w:p w14:paraId="1B554A01" w14:textId="77777777" w:rsidR="009A15AB" w:rsidRPr="005E779E" w:rsidRDefault="009A15AB" w:rsidP="000B7A6C">
      <w:pPr>
        <w:spacing w:after="0" w:line="240" w:lineRule="auto"/>
        <w:jc w:val="both"/>
        <w:rPr>
          <w:rFonts w:ascii="Times New Roman" w:hAnsi="Times New Roman"/>
          <w:color w:val="000000" w:themeColor="text1"/>
          <w:sz w:val="16"/>
          <w:szCs w:val="16"/>
        </w:rPr>
      </w:pPr>
    </w:p>
    <w:p w14:paraId="464EB1D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сентябре 1931 г. фирма «Виккерс» изготовила два образца танков, различавшихся конструкцией винтов и рулей. Поскольку военное министерство Великобритании от</w:t>
      </w:r>
      <w:r w:rsidRPr="005E779E">
        <w:rPr>
          <w:rFonts w:ascii="Times New Roman" w:hAnsi="Times New Roman"/>
          <w:color w:val="000000" w:themeColor="text1"/>
          <w:sz w:val="16"/>
          <w:szCs w:val="16"/>
        </w:rPr>
        <w:softHyphen/>
        <w:t>казалось от закупки амфибий для оснащения армии, фир</w:t>
      </w:r>
      <w:r w:rsidRPr="005E779E">
        <w:rPr>
          <w:rFonts w:ascii="Times New Roman" w:hAnsi="Times New Roman"/>
          <w:color w:val="000000" w:themeColor="text1"/>
          <w:sz w:val="16"/>
          <w:szCs w:val="16"/>
        </w:rPr>
        <w:softHyphen/>
        <w:t>ма «Виккерс» начала проводить активную рекламную кам</w:t>
      </w:r>
      <w:r w:rsidRPr="005E779E">
        <w:rPr>
          <w:rFonts w:ascii="Times New Roman" w:hAnsi="Times New Roman"/>
          <w:color w:val="000000" w:themeColor="text1"/>
          <w:sz w:val="16"/>
          <w:szCs w:val="16"/>
        </w:rPr>
        <w:softHyphen/>
        <w:t>панию по продвижению нового технического средства в страны «второго мира» (10733,150).</w:t>
      </w:r>
    </w:p>
    <w:p w14:paraId="54089D0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7D0A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сентябре 1931 г. автожир Питкерна РСА-2 (создавался при непосредственном участии самого Сиервы) впервые продемонстрировал взлет и посадку с палубы авианосца. Но на вооружение необычные аппараты не поступали - небольшая скорость и ненадежность первых машин продолжали оставаться неразрешимыми проблемами (11960).</w:t>
      </w:r>
    </w:p>
    <w:p w14:paraId="7D0045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0379C6F"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сентябре 1931 го</w:t>
      </w:r>
      <w:r w:rsidRPr="005E779E">
        <w:rPr>
          <w:rFonts w:ascii="Times New Roman" w:hAnsi="Times New Roman"/>
          <w:color w:val="000000" w:themeColor="text1"/>
          <w:sz w:val="16"/>
          <w:szCs w:val="16"/>
        </w:rPr>
        <w:softHyphen/>
        <w:t>да фирма «Фокке-Вульф» была объединена с заводом «Альбатрос» (Иоханнисталь). Таким образом, был создан концерн «Фокке-Вульф Флюгцойгбау Г.М.б.Х» (Focke-Wuf Flugzeugbau G.m.b.H), главным конструктором которого с 19З6 г. стал Курт Танк (24188).</w:t>
      </w:r>
    </w:p>
    <w:p w14:paraId="207948AF" w14:textId="77777777" w:rsidR="007F1987" w:rsidRPr="005E779E" w:rsidRDefault="007F1987" w:rsidP="000B7A6C">
      <w:pPr>
        <w:spacing w:after="0" w:line="240" w:lineRule="auto"/>
        <w:jc w:val="both"/>
        <w:rPr>
          <w:rFonts w:ascii="Times New Roman" w:hAnsi="Times New Roman"/>
          <w:color w:val="000000" w:themeColor="text1"/>
          <w:sz w:val="16"/>
          <w:szCs w:val="16"/>
        </w:rPr>
      </w:pPr>
    </w:p>
    <w:p w14:paraId="5995DA14" w14:textId="77777777" w:rsidR="00B3312A" w:rsidRPr="00142305" w:rsidRDefault="00B3312A" w:rsidP="00B3312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сентябре 1931 года фирма Vickers Armstrong по заказу британ</w:t>
      </w:r>
      <w:r w:rsidRPr="00142305">
        <w:rPr>
          <w:rFonts w:ascii="Times New Roman" w:hAnsi="Times New Roman"/>
          <w:color w:val="0070C0"/>
          <w:sz w:val="16"/>
          <w:szCs w:val="16"/>
        </w:rPr>
        <w:softHyphen/>
        <w:t>ской армии изготовила два танка «Vickers-Carden-Loyd amphibious tank», получив</w:t>
      </w:r>
      <w:r w:rsidRPr="00142305">
        <w:rPr>
          <w:rFonts w:ascii="Times New Roman" w:hAnsi="Times New Roman"/>
          <w:color w:val="0070C0"/>
          <w:sz w:val="16"/>
          <w:szCs w:val="16"/>
        </w:rPr>
        <w:softHyphen/>
        <w:t>ших обозначения А4Е11 и А4Е12, разли</w:t>
      </w:r>
      <w:r w:rsidRPr="00142305">
        <w:rPr>
          <w:rFonts w:ascii="Times New Roman" w:hAnsi="Times New Roman"/>
          <w:color w:val="0070C0"/>
          <w:sz w:val="16"/>
          <w:szCs w:val="16"/>
        </w:rPr>
        <w:softHyphen/>
        <w:t>чавшиеся между собой конструкцией гребных винтов и рулей. Однако английское военное министерство не проявило боль</w:t>
      </w:r>
      <w:r w:rsidRPr="00142305">
        <w:rPr>
          <w:rFonts w:ascii="Times New Roman" w:hAnsi="Times New Roman"/>
          <w:color w:val="0070C0"/>
          <w:sz w:val="16"/>
          <w:szCs w:val="16"/>
        </w:rPr>
        <w:softHyphen/>
        <w:t>шого интереса к плавающим машинам, ог</w:t>
      </w:r>
      <w:r w:rsidRPr="00142305">
        <w:rPr>
          <w:rFonts w:ascii="Times New Roman" w:hAnsi="Times New Roman"/>
          <w:color w:val="0070C0"/>
          <w:sz w:val="16"/>
          <w:szCs w:val="16"/>
        </w:rPr>
        <w:softHyphen/>
        <w:t>раничившись закупкой двух вышеупомя</w:t>
      </w:r>
      <w:r w:rsidRPr="00142305">
        <w:rPr>
          <w:rFonts w:ascii="Times New Roman" w:hAnsi="Times New Roman"/>
          <w:color w:val="0070C0"/>
          <w:sz w:val="16"/>
          <w:szCs w:val="16"/>
        </w:rPr>
        <w:softHyphen/>
        <w:t>нутых образцов. Поэтому фирма Vickers проводила активную рекламу своей плава</w:t>
      </w:r>
      <w:r w:rsidRPr="00142305">
        <w:rPr>
          <w:rFonts w:ascii="Times New Roman" w:hAnsi="Times New Roman"/>
          <w:color w:val="0070C0"/>
          <w:sz w:val="16"/>
          <w:szCs w:val="16"/>
        </w:rPr>
        <w:softHyphen/>
        <w:t>ющей машины, фото которой часто мель</w:t>
      </w:r>
      <w:r w:rsidRPr="00142305">
        <w:rPr>
          <w:rFonts w:ascii="Times New Roman" w:hAnsi="Times New Roman"/>
          <w:color w:val="0070C0"/>
          <w:sz w:val="16"/>
          <w:szCs w:val="16"/>
        </w:rPr>
        <w:softHyphen/>
        <w:t>кали в военных журналах и газетах того времени (25019).</w:t>
      </w:r>
    </w:p>
    <w:p w14:paraId="64DC172B" w14:textId="77777777" w:rsidR="00B3312A" w:rsidRPr="00142305" w:rsidRDefault="00B3312A" w:rsidP="00B3312A">
      <w:pPr>
        <w:spacing w:after="0" w:line="240" w:lineRule="auto"/>
        <w:jc w:val="both"/>
        <w:rPr>
          <w:rFonts w:ascii="Times New Roman" w:hAnsi="Times New Roman"/>
          <w:color w:val="0070C0"/>
          <w:sz w:val="16"/>
          <w:szCs w:val="16"/>
        </w:rPr>
      </w:pPr>
    </w:p>
    <w:p w14:paraId="0E8459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сентябре 1931 в Китае оппозиционное правительство в Гуаньчжоу послало войска против правительства в Нанкине (3907,168).</w:t>
      </w:r>
    </w:p>
    <w:p w14:paraId="066CF1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C7231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сентябре 1931года Манчжурию оккупировала Императорская Япония, разместившая там свои войска и создавшая марионеточное государство Маньчжоу-го (9043).</w:t>
      </w:r>
    </w:p>
    <w:p w14:paraId="63D55E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B898045"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350A8DD7"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0F042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сентябре—октябре 1932 года М.Н. Тухачевский, будучи заместителем наркома по военным и морским делам и председателя РВС, был приглашен германским военным министром Шлейхером на осенние маневры рейхсвера. Вместе с Тухачевским прибыла большая группа красных командиров, в числе которых был командующий войсками Белорусского военного округа И.П. Уборевич. В Германии придавали большое значение визиту военных из СССР. Об этом может свидетельствовать хотя бы тот факт, что красных командиров принял сам президент Веймарской республики П. Гинденбург. Тухачевский знакомился с передовыми образцами немецкой военной техники, включая авиацию. В частности, он побывал на авиационных заводах Х. Юнкерса в Дессау и в Темпельсгофе, имевших испытательные аэродромы, где особое внимание обратил на тяжелый бомбардировщик Ю-52 («Юнкерс-52») и новейший стратосферный самолет (тип самолета в документах не назван), продемонстрировавший полет на высоте 9000 м. Позже в докладе на имя К.Е. Ворошилова Тухачевский отметит: «В этих вопросах «Юнкерс» значительно обогнал ЦАГИ» (Там же. Д. 512. Л. 221.).</w:t>
      </w:r>
    </w:p>
    <w:p w14:paraId="4C3326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завершении знакомства с авиационными новинками красному командарму показали германское частное предприятие — Научно-исследовательский аэронавигационный институт (нем. Deutsche Versuchsanstalt fur Luftfahrt — DVL), аналогичный ЦАГИ, располагавшийся в Адлерсгофе близ Берлина. В те годы это был один из крупнейших авиационных институтов. В его задачи входили разработка модификаций существовавших образцов самолетов, моторов, авиационного оборудования, проведение всевозможных испытаний, другие направления развития авиастроения.</w:t>
      </w:r>
    </w:p>
    <w:p w14:paraId="614D51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 результатах командировки Тухачевского в Германию К.Е. Ворошилов доложил И.В. Сталину, который, внимательно изучив доклад, сделал следующую резолюцию: «Согласен. Нужно только дать конкретный список образцов — отдельно, и конкретные предложения о техпомощи — тоже отдельно» (Там же. Л. 214.) (11173).</w:t>
      </w:r>
    </w:p>
    <w:p w14:paraId="6E353B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B3035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сентябре-ноябре 1932 на ЧМ были проведены дополнительные испытания торпеды АВ-15 (1085,126).</w:t>
      </w:r>
    </w:p>
    <w:p w14:paraId="537FD6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884F266"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сентябре-октябре 1931 г., до перехода в ГИРД, стремясь увеличить мощность ракетного двигателя, Цандер начал про</w:t>
      </w:r>
      <w:r w:rsidRPr="005E779E">
        <w:rPr>
          <w:rFonts w:ascii="Times New Roman" w:hAnsi="Times New Roman"/>
          <w:color w:val="000000" w:themeColor="text1"/>
          <w:sz w:val="16"/>
          <w:szCs w:val="16"/>
        </w:rPr>
        <w:softHyphen/>
        <w:t>ектировать ОР-2. Он и Королев хотели установить его на планерё конструкции Бориса Черановского и таким образом превратить в ракетоплан. Напомню, что по мысли Цандера для полета в кос</w:t>
      </w:r>
      <w:r w:rsidRPr="005E779E">
        <w:rPr>
          <w:rFonts w:ascii="Times New Roman" w:hAnsi="Times New Roman"/>
          <w:color w:val="000000" w:themeColor="text1"/>
          <w:sz w:val="16"/>
          <w:szCs w:val="16"/>
        </w:rPr>
        <w:softHyphen/>
        <w:t>мос требовался гибридный аппарат с двумя двигателями — внут</w:t>
      </w:r>
      <w:r w:rsidRPr="005E779E">
        <w:rPr>
          <w:rFonts w:ascii="Times New Roman" w:hAnsi="Times New Roman"/>
          <w:color w:val="000000" w:themeColor="text1"/>
          <w:sz w:val="16"/>
          <w:szCs w:val="16"/>
        </w:rPr>
        <w:softHyphen/>
        <w:t>реннего сгорания и ракетным (23550).</w:t>
      </w:r>
    </w:p>
    <w:p w14:paraId="0F540268" w14:textId="77777777" w:rsidR="007F1987" w:rsidRPr="005E779E" w:rsidRDefault="007F1987" w:rsidP="000B7A6C">
      <w:pPr>
        <w:spacing w:after="0" w:line="240" w:lineRule="auto"/>
        <w:jc w:val="both"/>
        <w:rPr>
          <w:rFonts w:ascii="Times New Roman" w:hAnsi="Times New Roman"/>
          <w:color w:val="000000" w:themeColor="text1"/>
          <w:sz w:val="16"/>
          <w:szCs w:val="16"/>
        </w:rPr>
      </w:pPr>
    </w:p>
    <w:p w14:paraId="6A63DFAA" w14:textId="77777777" w:rsidR="00021C0B" w:rsidRPr="005E779E" w:rsidRDefault="00021C0B"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148859BF" w14:textId="77777777" w:rsidR="00021C0B" w:rsidRPr="005E779E" w:rsidRDefault="00021C0B"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DE7B7D2" w14:textId="77777777" w:rsidR="00021C0B" w:rsidRPr="005E779E" w:rsidRDefault="00021C0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сентябре-октябре 1931 г. инженеры Метростроя под руководством Финкеля и Ротерт.ы были все еще сильно заняты на Днепрострое, а здесь занимались прежде всего просмотром принятых от МГЖД материалов и схемы линий метро. О способе строительства поначалу дискуссий не возникало, поскольку берлинский метод, с которым были хорошо знакомы Финкель и Шелюбский, казался самоочевидным. Профессор Розанов, имевший опыт в сооружении метро по парижскому способу, все еще находился в заключении{395}.</w:t>
      </w:r>
    </w:p>
    <w:p w14:paraId="4D83DF69" w14:textId="77777777" w:rsidR="00021C0B" w:rsidRPr="005E779E" w:rsidRDefault="00021C0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Несмотря на заверения, данные Кагановичем на июньском пленуме, поначалу было не вполне ясно, что, собственно говоря, следует строить. До завершения плана реконструкции Москвы было еще далеко, и проектанты не имели представления, на что им следует ориентироваться{396}.Руководство Метростроя с самого начала имело в виду подземный, не зависимый от железной дороги метрополитен. Наркомат путей сообщения был с этим не согласен и требовал соединения метро с пригородными линиями и Северной железной дорогой, для чего требовалось построить тоннели метро большего, железнодорожного, профиля. Профессор Образцов выступал в Моссовете и других организациях за наземную, более дешевую городскую железную дорогу. В октябре 1931 г. он изложил свою позицию в газете «Известия». Инженер Катцен подготовил возражение на эту статью, выступив в защиту метрополитена без соединения с железной дорогой. Редакция «Известий» присоединилась к его точке зрения и объявила дискуссию закрытой. Моссовет смог добиться, чтобы Наркомат путей сообщения перестал оказывать давление на Метрострой{397} (18299).</w:t>
      </w:r>
    </w:p>
    <w:p w14:paraId="571E9D1B" w14:textId="77777777" w:rsidR="00021C0B" w:rsidRPr="005E779E" w:rsidRDefault="00021C0B" w:rsidP="000B7A6C">
      <w:pPr>
        <w:spacing w:after="0" w:line="240" w:lineRule="auto"/>
        <w:jc w:val="both"/>
        <w:rPr>
          <w:rFonts w:ascii="Times New Roman" w:hAnsi="Times New Roman"/>
          <w:color w:val="000000" w:themeColor="text1"/>
          <w:sz w:val="16"/>
          <w:szCs w:val="16"/>
        </w:rPr>
      </w:pPr>
    </w:p>
    <w:p w14:paraId="4C7DE61B"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14F176B9"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E6453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Осенью 1931 был выпущен АИР-5 (1076,824).</w:t>
      </w:r>
    </w:p>
    <w:p w14:paraId="39EADD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24906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Осенью 1931 С.П.К. получил разрешение испытать БИЧ-8, который с 1929 не использовался. На подмосковной станции выполнил 12 полетов и возникла мысль приспособить его под ЖРД (2544,59).</w:t>
      </w:r>
    </w:p>
    <w:p w14:paraId="467E01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B06A4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Осенью 1931 рассматривали несколько вариантов усиления вооружения Р-5. В частности, прорабатывали установку второго пулемета ПВ-1 под капотом зеркально первому.</w:t>
      </w:r>
    </w:p>
    <w:p w14:paraId="78EF10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Инженеры Шавров и Можаровский предложили "подкормовую" установку с прицелом- перископом для обстрела части нижней полусферы. Еще раньше поступило предложение опробовать 37-мм полуавтоматическую пушку "Гочкис". Но все это не дошло даже до опытных образцов.Все самолеты имели крепления для радиостанций и антенны. Сами станции 13С и генераторы, их питавшие, не устанавливались из-за отсутствия таковых - их производство только разворачивали (11936).</w:t>
      </w:r>
    </w:p>
    <w:p w14:paraId="06640E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78339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Осенью 1931 г. рассматривали несколько вариантов усиления стрелкового вооружения Р-5. Например, прорабатывалась возможность монтажа второго синхронного пулемета ПВ-1. Под руководством инженера Савельева на заводе № 39 спроектировали сначала внутреннюю установку. Второй ПВ-1 монтировался под капотом мотора зеркально первому. В качестве альтернативы проработали более простую наружную установку на правом борту. Там же инженеры Шавров и Можаровский предложили "подкормовую" стрелковую установку. Она должна была простреливать "мертвую зону" за хвостом самолета и часть нижней полусферы. Стрелок, сидевший на своем обычном месте, прицеливался через визир-перископ, а пулемет управлялся системой гяг. Еще раньше поступило предложение опробовать на Р-5 37-мм полуавтоматическую пушку "Гочкис". Но эти проекты не дошли даже до стадии опытных образцов.</w:t>
      </w:r>
    </w:p>
    <w:p w14:paraId="105194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 выпускавшиеся заводом самолеты имели крепления для радиостанций и антенны. Сами станции I3C и генераторы, их питающие, не устанавливались из-за отсутствия того и другого - серийное производство только разворачиваюсь. Потом уже в строевых частях радио иногда монтировали, но в начале 30-х годов это было редкостью (12034).</w:t>
      </w:r>
    </w:p>
    <w:p w14:paraId="24B08D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71B596A" w14:textId="77777777" w:rsidR="002D5325" w:rsidRPr="00142305" w:rsidRDefault="002D5325" w:rsidP="002D532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Осенью 1931 г. рассматривали несколько вариантов уси</w:t>
      </w:r>
      <w:r w:rsidRPr="00142305">
        <w:rPr>
          <w:rFonts w:ascii="Times New Roman" w:hAnsi="Times New Roman"/>
          <w:color w:val="0070C0"/>
          <w:sz w:val="16"/>
          <w:szCs w:val="16"/>
        </w:rPr>
        <w:softHyphen/>
        <w:t>ления стрелкового вооружения Р-5. Например, прорабаты</w:t>
      </w:r>
      <w:r w:rsidRPr="00142305">
        <w:rPr>
          <w:rFonts w:ascii="Times New Roman" w:hAnsi="Times New Roman"/>
          <w:color w:val="0070C0"/>
          <w:sz w:val="16"/>
          <w:szCs w:val="16"/>
        </w:rPr>
        <w:softHyphen/>
        <w:t>вали возможность монтажа второго синхронного пулемета ПВ-1. Под руководством инженера Савельева на заво</w:t>
      </w:r>
      <w:r w:rsidRPr="00142305">
        <w:rPr>
          <w:rFonts w:ascii="Times New Roman" w:hAnsi="Times New Roman"/>
          <w:color w:val="0070C0"/>
          <w:sz w:val="16"/>
          <w:szCs w:val="16"/>
        </w:rPr>
        <w:softHyphen/>
        <w:t>де № 39 спроектировали сначала внутреннюю установку. Второй ПВ-1 монтировался под капотом мотора зеркаль</w:t>
      </w:r>
      <w:r w:rsidRPr="00142305">
        <w:rPr>
          <w:rFonts w:ascii="Times New Roman" w:hAnsi="Times New Roman"/>
          <w:color w:val="0070C0"/>
          <w:sz w:val="16"/>
          <w:szCs w:val="16"/>
        </w:rPr>
        <w:softHyphen/>
        <w:t>но первому. В качестве альтернативы проработали более простую наружную установку на правом борту. Там же ин</w:t>
      </w:r>
      <w:r w:rsidRPr="00142305">
        <w:rPr>
          <w:rFonts w:ascii="Times New Roman" w:hAnsi="Times New Roman"/>
          <w:color w:val="0070C0"/>
          <w:sz w:val="16"/>
          <w:szCs w:val="16"/>
        </w:rPr>
        <w:softHyphen/>
        <w:t>женеры Шавров и Можаровский предложили «подкормовую» стрелковую установку. Она должна была прострели</w:t>
      </w:r>
      <w:r w:rsidRPr="00142305">
        <w:rPr>
          <w:rFonts w:ascii="Times New Roman" w:hAnsi="Times New Roman"/>
          <w:color w:val="0070C0"/>
          <w:sz w:val="16"/>
          <w:szCs w:val="16"/>
        </w:rPr>
        <w:softHyphen/>
        <w:t>вать «мертвую зону» за хвостом самолета и часть нижней полусферы. Стрелок, сидевший на своем обычном месте, прицеливался через визир-перископ, а пулемет управлялся системой тяг. Еще раньше поступило предложение оп</w:t>
      </w:r>
      <w:r w:rsidRPr="00142305">
        <w:rPr>
          <w:rFonts w:ascii="Times New Roman" w:hAnsi="Times New Roman"/>
          <w:color w:val="0070C0"/>
          <w:sz w:val="16"/>
          <w:szCs w:val="16"/>
        </w:rPr>
        <w:softHyphen/>
        <w:t>робовать на Р-5 37-мм полуавтоматическую пушку «Гочкис». Но эти проекты не дошли даже до стадии опытных образцов (24990).</w:t>
      </w:r>
    </w:p>
    <w:p w14:paraId="3F41EFB4" w14:textId="77777777" w:rsidR="002D5325" w:rsidRPr="00142305" w:rsidRDefault="002D5325" w:rsidP="002D5325">
      <w:pPr>
        <w:spacing w:after="0" w:line="240" w:lineRule="auto"/>
        <w:jc w:val="both"/>
        <w:rPr>
          <w:rFonts w:ascii="Times New Roman" w:hAnsi="Times New Roman"/>
          <w:color w:val="0070C0"/>
          <w:sz w:val="16"/>
          <w:szCs w:val="16"/>
        </w:rPr>
      </w:pPr>
    </w:p>
    <w:p w14:paraId="243326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Осенью 1931 выяснилось, что 25 машина по плану ЦКБ - МБР-2 лишилась двигателя - не прошел испытания М-27 и директор 39 завода решил прекратить работы по проекту Г.М.Бериева. Он выбрал М-17 и когда директор отказался - опять жаловался Н.М.Харламову в ВАО (интересно, кем он там был). Тот поручил директору сделать (79,204).</w:t>
      </w:r>
    </w:p>
    <w:p w14:paraId="594D53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Вот так можно выявить того, кто имел шансы на успех в те годы.</w:t>
      </w:r>
    </w:p>
    <w:p w14:paraId="0685B7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2E3CA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Осенью 1931 В.К.Грибовский организовал экспериментальные буксирные полеты Г-2бис за У-1 (9080).</w:t>
      </w:r>
    </w:p>
    <w:p w14:paraId="07D89C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BF88E21" w14:textId="77777777" w:rsidR="00145594" w:rsidRPr="005E779E" w:rsidRDefault="00145594"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Осенью 1931 г. Грибовский организует экспериментальные буксирные полеты уже вполне распостраненного планера Г-2бис за самолетом У-1. Одновременно он обучает правилам буксировки еще нескольких летчиков и планеристов.</w:t>
      </w:r>
    </w:p>
    <w:p w14:paraId="2971413C" w14:textId="77777777" w:rsidR="00145594" w:rsidRPr="005E779E" w:rsidRDefault="00145594"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Благодаря накопленному опыту зимой 1931-32гг. конструктор приступил к проектированию планеров Г-9 и Г-11, конструктивно и технически приспособленных для полетов на буксире за самолетом.</w:t>
      </w:r>
    </w:p>
    <w:p w14:paraId="78E06BF1" w14:textId="77777777" w:rsidR="00145594" w:rsidRPr="005E779E" w:rsidRDefault="00145594"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Г-9 представлял собой одноместный подкосный высокоплан, предназначенный для фигурных полетов.</w:t>
      </w:r>
    </w:p>
    <w:p w14:paraId="5499F1E3" w14:textId="77777777" w:rsidR="00145594" w:rsidRPr="005E779E" w:rsidRDefault="00145594"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Одновременно с его созданием Грибовский задумывает организацию дальнего буксировочного полета на этом планере. Для участия в эксперименте он приглашает своего хорошего знакомого и друга, известного летчика В.А.Степанченка. Конечной целью перелета являлся Коктебель, где Г-9 предстояло принять участие в 8-м Всесоюзном слете планеристов и пройти испытания на пилотаж.</w:t>
      </w:r>
    </w:p>
    <w:p w14:paraId="30E17CB0" w14:textId="77777777" w:rsidR="00145594" w:rsidRPr="005E779E" w:rsidRDefault="00145594"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 сентября 1932 г. воздушный поезд в составе самолета У-2, пилотируемого Грибовским, и планера Г-9, пилотируемого Степанченком, поднялся с Тушинского аэродрома и вскоре прибыл в Крым. Этот первый дальний перелет своим благополучным завершением полностью подтвердил возможность использования буксируемых планеров для транспортных перевозок.</w:t>
      </w:r>
    </w:p>
    <w:p w14:paraId="55794301" w14:textId="77777777" w:rsidR="00145594" w:rsidRPr="005E779E" w:rsidRDefault="00145594"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Коктебеле Г-9 прошел дополнительные испытания на высший пилотаж. В итоговых материалах слета, помещенных в журнале «Самолет» №1 за 1933 г., планеру давалась следующая характеристика:</w:t>
      </w:r>
    </w:p>
    <w:p w14:paraId="280C59C0" w14:textId="77777777" w:rsidR="00145594" w:rsidRPr="005E779E" w:rsidRDefault="00145594"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«Г-9 конструкции Грибовского явился выдающимся планером слета. Большой запас прочности специально для буксировочных и фигурных полетов незначительно утяжелил планер и не лишил прекрасных летных качеств. Прекрасная устойчивость и легкое управление сделали его излюбленным планером слета».</w:t>
      </w:r>
    </w:p>
    <w:p w14:paraId="7CDBF329" w14:textId="77777777" w:rsidR="00145594" w:rsidRPr="005E779E" w:rsidRDefault="00145594"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Высокие полетные и эксплутационные качества предопределили дальнейшую судьбу Г-9. Вплоть до 1939 г. этот планер строился серийно и считался основным тренировочным аппаратом при выполнении буксирных и пилотажных полетов.</w:t>
      </w:r>
    </w:p>
    <w:p w14:paraId="1D0C78FD" w14:textId="77777777" w:rsidR="00145594" w:rsidRPr="005E779E" w:rsidRDefault="00145594"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1936 г. серийное производство Г-9 развернулось и в Турции, где советские специалисты среди прочего помогали организовывать спортивный планеризм.</w:t>
      </w:r>
    </w:p>
    <w:p w14:paraId="028A3697" w14:textId="77777777" w:rsidR="00145594" w:rsidRPr="005E779E" w:rsidRDefault="00145594"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послевоенные годы, когда понадобился надежный и прочный аппарат для тренировок пилотов тяжелых десантных планеров, о Г-9 вспомнили вновь. На основе одного из сохранившихся экземпляров были восстановлены чертежи, по которым построили небольшую серию Г-9.</w:t>
      </w:r>
    </w:p>
    <w:p w14:paraId="0B5CE692" w14:textId="77777777" w:rsidR="00145594" w:rsidRPr="005E779E" w:rsidRDefault="00145594"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процессе эксплуатации Г-9 на нем установили несколько рекордов и выполнили много различных экспериментов. Планерист Симонов в 1934 г. установил всесоюзный рекорд продолжительности полета, налетав без посадки 35 часов 11 минут. Он же, в течение 5 часов выполнил на Г-9 314 фигур высшего пилотажа, в том числе 300 петель и 10 переворотов. Известный советский планерист, впоследствии летчик-испытатель, Герой Советского Союза, С.Н.Анохин вместе с планеристом Гавришем выполнили на Г-9 высший пилотаж и буксировку в перевернутом полете, никогда ранее не выполнявшиеся.</w:t>
      </w:r>
    </w:p>
    <w:p w14:paraId="06062CDC" w14:textId="77777777" w:rsidR="00145594" w:rsidRPr="005E779E" w:rsidRDefault="00145594"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1936 г., летчик-испытатель П.М.Стефановский на Г-9, буксируемом истребителем И-15, поднялся на высоту 10360 м. На следующий год, планерист Флеров превысил это достижение, поднявшись на высоту 12105 м. В этом полете буксировщик P-Z шел на высоте 8500 м, а планер имел превышение над самолетом в 3605 м. Возможность такой буксировки обеспечивалась специальной лебедкой, разработанной конструктором А.Я.Щербаковым. В момент старта планер с самолетом связывал стандартный трос длиной 100м. После набора определенной высоты, где воздушная среда была достаточно спокойной, включалась лебедка, которая разматывала тонкую стальную проволоку диаметром 0,2 мм, позволявшую увеличить длину буксира до 7000 м.</w:t>
      </w:r>
    </w:p>
    <w:p w14:paraId="35F3B8C6" w14:textId="77777777" w:rsidR="00145594" w:rsidRPr="005E779E" w:rsidRDefault="00145594"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проверки возможности использования планеров в качестве отделяемой кабины стратостатов на случай их аварии также использовали Г-9. Первый опыт состоялся в 1936 г., когда планер с пилотом Бородиным был поднят на высоту около 2500 м.</w:t>
      </w:r>
    </w:p>
    <w:p w14:paraId="62044BBD" w14:textId="77777777" w:rsidR="00145594" w:rsidRPr="005E779E" w:rsidRDefault="00145594"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 второй раз, 4 июля 1938 г., Г-9 с пилотом В.Ильченко отбуксировали субстратостатом «СССР ВР-61» на высоту 5100 м, после чего произошла благополучная отцепка и возвращение планера к месту старта.</w:t>
      </w:r>
    </w:p>
    <w:p w14:paraId="59DA735E" w14:textId="77777777" w:rsidR="00145594" w:rsidRPr="005E779E" w:rsidRDefault="00145594"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мая 1934 г. в Самаре был осуществлен подхват Г-9 с земли самолетом У-2, летевшим на скорости 120 км/ч. Планером управлял летчик Юдин, самолетом - Боровков. Позднее, в Тушино проводились опыты по подхвату планера на буксир в воздухе. Летали летчики-планеристы Васянин и Бородин.</w:t>
      </w:r>
    </w:p>
    <w:p w14:paraId="2C88B198" w14:textId="77777777" w:rsidR="00145594" w:rsidRPr="005E779E" w:rsidRDefault="00145594"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Продолжились и эксперименты по буксировке. В 1933 г. планерист Юдин на Г-9 осуществил буксировочный перелет протяженностью 3550 км. В 1938 г. на авиационном празднике в Тушино демонстрировался «воздушный поезд», составленный из девяти планеров Г-9, буксируемых самолетом ТБ-1. Еще через год количество планеров, буксируемых одним самолетом, довели до максимального значения -11 экземпляров.</w:t>
      </w:r>
    </w:p>
    <w:p w14:paraId="1311E2E6" w14:textId="77777777" w:rsidR="00145594" w:rsidRPr="005E779E" w:rsidRDefault="00145594"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Подводя итог, можно утверждать, что Г-9 стал одним из лучших советских довоенных планеров и наиболее известным среди других конструкций Грибовского.</w:t>
      </w:r>
    </w:p>
    <w:tbl>
      <w:tblPr>
        <w:tblStyle w:val="affc"/>
        <w:tblW w:w="11328" w:type="dxa"/>
        <w:tblLook w:val="04A0" w:firstRow="1" w:lastRow="0" w:firstColumn="1" w:lastColumn="0" w:noHBand="0" w:noVBand="1"/>
      </w:tblPr>
      <w:tblGrid>
        <w:gridCol w:w="5664"/>
        <w:gridCol w:w="5664"/>
      </w:tblGrid>
      <w:tr w:rsidR="001002C3" w:rsidRPr="005E779E" w14:paraId="367F8758" w14:textId="77777777" w:rsidTr="000D6967">
        <w:tc>
          <w:tcPr>
            <w:tcW w:w="5664" w:type="dxa"/>
          </w:tcPr>
          <w:p w14:paraId="72F42434" w14:textId="3CB9DD95" w:rsidR="000D6967" w:rsidRPr="005E779E" w:rsidRDefault="000D696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Модификация</w:t>
            </w:r>
          </w:p>
        </w:tc>
        <w:tc>
          <w:tcPr>
            <w:tcW w:w="5664" w:type="dxa"/>
          </w:tcPr>
          <w:p w14:paraId="1B1DCEE9" w14:textId="3E97614F" w:rsidR="000D6967" w:rsidRPr="005E779E" w:rsidRDefault="00FE094E" w:rsidP="000B7A6C">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0D6967" w:rsidRPr="005E779E">
              <w:rPr>
                <w:rFonts w:ascii="Times New Roman" w:hAnsi="Times New Roman"/>
                <w:color w:val="000000" w:themeColor="text1"/>
                <w:sz w:val="16"/>
                <w:szCs w:val="16"/>
              </w:rPr>
              <w:t>Г-9</w:t>
            </w:r>
          </w:p>
        </w:tc>
      </w:tr>
      <w:tr w:rsidR="001002C3" w:rsidRPr="005E779E" w14:paraId="4B38C458" w14:textId="77777777" w:rsidTr="000D6967">
        <w:tc>
          <w:tcPr>
            <w:tcW w:w="5664" w:type="dxa"/>
          </w:tcPr>
          <w:p w14:paraId="0D7EF635" w14:textId="760A18EE" w:rsidR="000D6967" w:rsidRPr="005E779E" w:rsidRDefault="000D696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Размах крыла, м</w:t>
            </w:r>
          </w:p>
        </w:tc>
        <w:tc>
          <w:tcPr>
            <w:tcW w:w="5664" w:type="dxa"/>
          </w:tcPr>
          <w:p w14:paraId="5AB81529" w14:textId="65ED9F11" w:rsidR="000D6967" w:rsidRPr="005E779E" w:rsidRDefault="00FE094E" w:rsidP="000B7A6C">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0D6967" w:rsidRPr="005E779E">
              <w:rPr>
                <w:rFonts w:ascii="Times New Roman" w:hAnsi="Times New Roman"/>
                <w:color w:val="000000" w:themeColor="text1"/>
                <w:sz w:val="16"/>
                <w:szCs w:val="16"/>
              </w:rPr>
              <w:t>12.10</w:t>
            </w:r>
          </w:p>
        </w:tc>
      </w:tr>
      <w:tr w:rsidR="001002C3" w:rsidRPr="005E779E" w14:paraId="5387B1EC" w14:textId="77777777" w:rsidTr="000D6967">
        <w:tc>
          <w:tcPr>
            <w:tcW w:w="5664" w:type="dxa"/>
          </w:tcPr>
          <w:p w14:paraId="128181CE" w14:textId="3DFFCD94" w:rsidR="000D6967" w:rsidRPr="005E779E" w:rsidRDefault="000D696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Длина, м</w:t>
            </w:r>
          </w:p>
        </w:tc>
        <w:tc>
          <w:tcPr>
            <w:tcW w:w="5664" w:type="dxa"/>
          </w:tcPr>
          <w:p w14:paraId="0D5D7323" w14:textId="534207A5" w:rsidR="000D6967" w:rsidRPr="005E779E" w:rsidRDefault="00FE094E" w:rsidP="000B7A6C">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0D6967" w:rsidRPr="005E779E">
              <w:rPr>
                <w:rFonts w:ascii="Times New Roman" w:hAnsi="Times New Roman"/>
                <w:color w:val="000000" w:themeColor="text1"/>
                <w:sz w:val="16"/>
                <w:szCs w:val="16"/>
              </w:rPr>
              <w:t>5.77</w:t>
            </w:r>
          </w:p>
        </w:tc>
      </w:tr>
      <w:tr w:rsidR="001002C3" w:rsidRPr="005E779E" w14:paraId="5A50D336" w14:textId="77777777" w:rsidTr="000D6967">
        <w:tc>
          <w:tcPr>
            <w:tcW w:w="5664" w:type="dxa"/>
          </w:tcPr>
          <w:p w14:paraId="64161B1C" w14:textId="23B41C05" w:rsidR="000D6967" w:rsidRPr="005E779E" w:rsidRDefault="000D696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Высота, м</w:t>
            </w:r>
          </w:p>
        </w:tc>
        <w:tc>
          <w:tcPr>
            <w:tcW w:w="5664" w:type="dxa"/>
          </w:tcPr>
          <w:p w14:paraId="3F1AE281" w14:textId="64BF3824" w:rsidR="000D6967" w:rsidRPr="005E779E" w:rsidRDefault="00FE094E" w:rsidP="000B7A6C">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0D6967" w:rsidRPr="005E779E">
              <w:rPr>
                <w:rFonts w:ascii="Times New Roman" w:hAnsi="Times New Roman"/>
                <w:color w:val="000000" w:themeColor="text1"/>
                <w:sz w:val="16"/>
                <w:szCs w:val="16"/>
              </w:rPr>
              <w:t>1.45</w:t>
            </w:r>
          </w:p>
        </w:tc>
      </w:tr>
      <w:tr w:rsidR="001002C3" w:rsidRPr="005E779E" w14:paraId="0D28116E" w14:textId="77777777" w:rsidTr="000D6967">
        <w:tc>
          <w:tcPr>
            <w:tcW w:w="5664" w:type="dxa"/>
          </w:tcPr>
          <w:p w14:paraId="3F5A164C" w14:textId="54E8FD7C" w:rsidR="000D6967" w:rsidRPr="005E779E" w:rsidRDefault="000D696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Площадь крыла, м²</w:t>
            </w:r>
          </w:p>
        </w:tc>
        <w:tc>
          <w:tcPr>
            <w:tcW w:w="5664" w:type="dxa"/>
          </w:tcPr>
          <w:p w14:paraId="7E162EEF" w14:textId="39ACAB6D" w:rsidR="000D6967" w:rsidRPr="005E779E" w:rsidRDefault="00FE094E" w:rsidP="000B7A6C">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0D6967" w:rsidRPr="005E779E">
              <w:rPr>
                <w:rFonts w:ascii="Times New Roman" w:hAnsi="Times New Roman"/>
                <w:color w:val="000000" w:themeColor="text1"/>
                <w:sz w:val="16"/>
                <w:szCs w:val="16"/>
              </w:rPr>
              <w:t>13.00</w:t>
            </w:r>
          </w:p>
        </w:tc>
      </w:tr>
      <w:tr w:rsidR="001002C3" w:rsidRPr="005E779E" w14:paraId="3E47E236" w14:textId="77777777" w:rsidTr="000D6967">
        <w:tc>
          <w:tcPr>
            <w:tcW w:w="5664" w:type="dxa"/>
          </w:tcPr>
          <w:p w14:paraId="690B0D80" w14:textId="10BC701B" w:rsidR="000D6967" w:rsidRPr="005E779E" w:rsidRDefault="000D696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Удлинение</w:t>
            </w:r>
          </w:p>
        </w:tc>
        <w:tc>
          <w:tcPr>
            <w:tcW w:w="5664" w:type="dxa"/>
          </w:tcPr>
          <w:p w14:paraId="6811CADA" w14:textId="1E7233AB" w:rsidR="000D6967" w:rsidRPr="005E779E" w:rsidRDefault="00FE094E" w:rsidP="000B7A6C">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0D6967" w:rsidRPr="005E779E">
              <w:rPr>
                <w:rFonts w:ascii="Times New Roman" w:hAnsi="Times New Roman"/>
                <w:color w:val="000000" w:themeColor="text1"/>
                <w:sz w:val="16"/>
                <w:szCs w:val="16"/>
              </w:rPr>
              <w:t>11.30</w:t>
            </w:r>
          </w:p>
        </w:tc>
      </w:tr>
      <w:tr w:rsidR="001002C3" w:rsidRPr="005E779E" w14:paraId="61F196A4" w14:textId="77777777" w:rsidTr="000D6967">
        <w:tc>
          <w:tcPr>
            <w:tcW w:w="5664" w:type="dxa"/>
          </w:tcPr>
          <w:p w14:paraId="4F5A1D4C" w14:textId="3FE8CCA8" w:rsidR="000D6967" w:rsidRPr="005E779E" w:rsidRDefault="000D696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Масса, кг</w:t>
            </w:r>
          </w:p>
        </w:tc>
        <w:tc>
          <w:tcPr>
            <w:tcW w:w="5664" w:type="dxa"/>
          </w:tcPr>
          <w:p w14:paraId="4F22C40D" w14:textId="61001EF9" w:rsidR="000D6967" w:rsidRPr="005E779E" w:rsidRDefault="000D696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r>
      <w:tr w:rsidR="001002C3" w:rsidRPr="005E779E" w14:paraId="44AA5F60" w14:textId="77777777" w:rsidTr="000D6967">
        <w:tc>
          <w:tcPr>
            <w:tcW w:w="5664" w:type="dxa"/>
          </w:tcPr>
          <w:p w14:paraId="2AA507AB" w14:textId="6E81BC6E" w:rsidR="000D6967" w:rsidRPr="005E779E" w:rsidRDefault="00FE094E" w:rsidP="000B7A6C">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lastRenderedPageBreak/>
              <w:t xml:space="preserve"> </w:t>
            </w:r>
            <w:r w:rsidR="000D6967" w:rsidRPr="005E779E">
              <w:rPr>
                <w:rFonts w:ascii="Times New Roman" w:hAnsi="Times New Roman"/>
                <w:color w:val="000000" w:themeColor="text1"/>
                <w:sz w:val="16"/>
                <w:szCs w:val="16"/>
              </w:rPr>
              <w:t>пустого</w:t>
            </w:r>
          </w:p>
        </w:tc>
        <w:tc>
          <w:tcPr>
            <w:tcW w:w="5664" w:type="dxa"/>
          </w:tcPr>
          <w:p w14:paraId="1823ED5C" w14:textId="23167963" w:rsidR="000D6967" w:rsidRPr="005E779E" w:rsidRDefault="00FE094E" w:rsidP="000B7A6C">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0D6967" w:rsidRPr="005E779E">
              <w:rPr>
                <w:rFonts w:ascii="Times New Roman" w:hAnsi="Times New Roman"/>
                <w:color w:val="000000" w:themeColor="text1"/>
                <w:sz w:val="16"/>
                <w:szCs w:val="16"/>
              </w:rPr>
              <w:t>152</w:t>
            </w:r>
          </w:p>
        </w:tc>
      </w:tr>
      <w:tr w:rsidR="001002C3" w:rsidRPr="005E779E" w14:paraId="684F37EC" w14:textId="77777777" w:rsidTr="000D6967">
        <w:tc>
          <w:tcPr>
            <w:tcW w:w="5664" w:type="dxa"/>
          </w:tcPr>
          <w:p w14:paraId="32ABC477" w14:textId="76ADAF5E" w:rsidR="000D6967" w:rsidRPr="005E779E" w:rsidRDefault="00FE094E" w:rsidP="000B7A6C">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0D6967" w:rsidRPr="005E779E">
              <w:rPr>
                <w:rFonts w:ascii="Times New Roman" w:hAnsi="Times New Roman"/>
                <w:color w:val="000000" w:themeColor="text1"/>
                <w:sz w:val="16"/>
                <w:szCs w:val="16"/>
              </w:rPr>
              <w:t>максимальная взлетная</w:t>
            </w:r>
          </w:p>
        </w:tc>
        <w:tc>
          <w:tcPr>
            <w:tcW w:w="5664" w:type="dxa"/>
          </w:tcPr>
          <w:p w14:paraId="029CD48A" w14:textId="71C9BED2" w:rsidR="000D6967" w:rsidRPr="005E779E" w:rsidRDefault="00FE094E" w:rsidP="000B7A6C">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0D6967" w:rsidRPr="005E779E">
              <w:rPr>
                <w:rFonts w:ascii="Times New Roman" w:hAnsi="Times New Roman"/>
                <w:color w:val="000000" w:themeColor="text1"/>
                <w:sz w:val="16"/>
                <w:szCs w:val="16"/>
              </w:rPr>
              <w:t>230</w:t>
            </w:r>
          </w:p>
        </w:tc>
      </w:tr>
      <w:tr w:rsidR="001002C3" w:rsidRPr="005E779E" w14:paraId="11B23322" w14:textId="77777777" w:rsidTr="000D6967">
        <w:tc>
          <w:tcPr>
            <w:tcW w:w="5664" w:type="dxa"/>
          </w:tcPr>
          <w:p w14:paraId="69B8E138" w14:textId="61E46A51" w:rsidR="000D6967" w:rsidRPr="005E779E" w:rsidRDefault="000D696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Макс.аэродинамическое качество</w:t>
            </w:r>
          </w:p>
        </w:tc>
        <w:tc>
          <w:tcPr>
            <w:tcW w:w="5664" w:type="dxa"/>
          </w:tcPr>
          <w:p w14:paraId="74A50A9D" w14:textId="1C98C0CB" w:rsidR="000D6967" w:rsidRPr="005E779E" w:rsidRDefault="00FE094E" w:rsidP="000B7A6C">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0D6967" w:rsidRPr="005E779E">
              <w:rPr>
                <w:rFonts w:ascii="Times New Roman" w:hAnsi="Times New Roman"/>
                <w:color w:val="000000" w:themeColor="text1"/>
                <w:sz w:val="16"/>
                <w:szCs w:val="16"/>
              </w:rPr>
              <w:t>17.50</w:t>
            </w:r>
          </w:p>
        </w:tc>
      </w:tr>
      <w:tr w:rsidR="001002C3" w:rsidRPr="005E779E" w14:paraId="2A6D7D6B" w14:textId="77777777" w:rsidTr="000D6967">
        <w:tc>
          <w:tcPr>
            <w:tcW w:w="5664" w:type="dxa"/>
          </w:tcPr>
          <w:p w14:paraId="4889AD41" w14:textId="4106BAB3" w:rsidR="000D6967" w:rsidRPr="005E779E" w:rsidRDefault="000D696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Экипаж</w:t>
            </w:r>
          </w:p>
        </w:tc>
        <w:tc>
          <w:tcPr>
            <w:tcW w:w="5664" w:type="dxa"/>
          </w:tcPr>
          <w:p w14:paraId="64C8655C" w14:textId="5D7517EF" w:rsidR="000D6967" w:rsidRPr="005E779E" w:rsidRDefault="00FE094E" w:rsidP="000B7A6C">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0D6967" w:rsidRPr="005E779E">
              <w:rPr>
                <w:rFonts w:ascii="Times New Roman" w:hAnsi="Times New Roman"/>
                <w:color w:val="000000" w:themeColor="text1"/>
                <w:sz w:val="16"/>
                <w:szCs w:val="16"/>
              </w:rPr>
              <w:t>1</w:t>
            </w:r>
          </w:p>
        </w:tc>
      </w:tr>
    </w:tbl>
    <w:p w14:paraId="24D8210C" w14:textId="6384899F" w:rsidR="00145594" w:rsidRPr="005E779E" w:rsidRDefault="00145594"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(12682).</w:t>
      </w:r>
    </w:p>
    <w:p w14:paraId="1278926B" w14:textId="77777777" w:rsidR="00145594" w:rsidRPr="005E779E" w:rsidRDefault="00145594" w:rsidP="000B7A6C">
      <w:pPr>
        <w:shd w:val="clear" w:color="auto" w:fill="FFFFFF"/>
        <w:spacing w:after="0" w:line="240" w:lineRule="auto"/>
        <w:jc w:val="both"/>
        <w:rPr>
          <w:rFonts w:ascii="Times New Roman" w:hAnsi="Times New Roman"/>
          <w:color w:val="000000" w:themeColor="text1"/>
          <w:sz w:val="16"/>
          <w:szCs w:val="16"/>
        </w:rPr>
      </w:pPr>
    </w:p>
    <w:p w14:paraId="755391C9" w14:textId="77777777" w:rsidR="000D6967" w:rsidRPr="005E779E" w:rsidRDefault="000D696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Осенью 1931 г. постройка ЦАГИ 2-ЭА на Заводе опыт</w:t>
      </w:r>
      <w:r w:rsidRPr="005E779E">
        <w:rPr>
          <w:rFonts w:ascii="Times New Roman" w:hAnsi="Times New Roman"/>
          <w:color w:val="000000" w:themeColor="text1"/>
          <w:sz w:val="16"/>
          <w:szCs w:val="16"/>
        </w:rPr>
        <w:softHyphen/>
        <w:t>ных конструкций (ЗОК) завершилась и его передали на ис</w:t>
      </w:r>
      <w:r w:rsidRPr="005E779E">
        <w:rPr>
          <w:rFonts w:ascii="Times New Roman" w:hAnsi="Times New Roman"/>
          <w:color w:val="000000" w:themeColor="text1"/>
          <w:sz w:val="16"/>
          <w:szCs w:val="16"/>
        </w:rPr>
        <w:softHyphen/>
        <w:t>пытания в ОЭЛИД ЦАГИ (Отдел эксплуатации, летных ис</w:t>
      </w:r>
      <w:r w:rsidRPr="005E779E">
        <w:rPr>
          <w:rFonts w:ascii="Times New Roman" w:hAnsi="Times New Roman"/>
          <w:color w:val="000000" w:themeColor="text1"/>
          <w:sz w:val="16"/>
          <w:szCs w:val="16"/>
        </w:rPr>
        <w:softHyphen/>
        <w:t>пытаний и доводки). Первый полет ранним утром 17 ноя</w:t>
      </w:r>
      <w:r w:rsidRPr="005E779E">
        <w:rPr>
          <w:rFonts w:ascii="Times New Roman" w:hAnsi="Times New Roman"/>
          <w:color w:val="000000" w:themeColor="text1"/>
          <w:sz w:val="16"/>
          <w:szCs w:val="16"/>
        </w:rPr>
        <w:softHyphen/>
        <w:t>бря 1931 г. совершил летчик С.А. Корзинщиков. Присутствовали А.М. Черемухин, И.П. Братухин, М.Л. Миль, В.А. Кузнецов, М.А. Тайц. После раскрутки ротора автожир взлетел, сделал несколько кругов над Ходынкой и благо</w:t>
      </w:r>
      <w:r w:rsidRPr="005E779E">
        <w:rPr>
          <w:rFonts w:ascii="Times New Roman" w:hAnsi="Times New Roman"/>
          <w:color w:val="000000" w:themeColor="text1"/>
          <w:sz w:val="16"/>
          <w:szCs w:val="16"/>
        </w:rPr>
        <w:softHyphen/>
        <w:t>получно приземлился. Через несколько дней 2-ЭА произ</w:t>
      </w:r>
      <w:r w:rsidRPr="005E779E">
        <w:rPr>
          <w:rFonts w:ascii="Times New Roman" w:hAnsi="Times New Roman"/>
          <w:color w:val="000000" w:themeColor="text1"/>
          <w:sz w:val="16"/>
          <w:szCs w:val="16"/>
        </w:rPr>
        <w:softHyphen/>
        <w:t>вел облет Москвы в районе ЦАГИ в сопровождении само</w:t>
      </w:r>
      <w:r w:rsidRPr="005E779E">
        <w:rPr>
          <w:rFonts w:ascii="Times New Roman" w:hAnsi="Times New Roman"/>
          <w:color w:val="000000" w:themeColor="text1"/>
          <w:sz w:val="16"/>
          <w:szCs w:val="16"/>
        </w:rPr>
        <w:softHyphen/>
        <w:t>лета Р-5. Все сотрудники ЦАГИ и опытного завода высы</w:t>
      </w:r>
      <w:r w:rsidRPr="005E779E">
        <w:rPr>
          <w:rFonts w:ascii="Times New Roman" w:hAnsi="Times New Roman"/>
          <w:color w:val="000000" w:themeColor="text1"/>
          <w:sz w:val="16"/>
          <w:szCs w:val="16"/>
        </w:rPr>
        <w:softHyphen/>
        <w:t>пали на улицу, чтобы посмотреть летящий в небе автожир, созданный при их участии (20361).</w:t>
      </w:r>
    </w:p>
    <w:p w14:paraId="220CC7E1" w14:textId="77777777" w:rsidR="000D6967" w:rsidRPr="005E779E" w:rsidRDefault="000D6967" w:rsidP="000B7A6C">
      <w:pPr>
        <w:shd w:val="clear" w:color="auto" w:fill="FFFFFF"/>
        <w:spacing w:after="0" w:line="240" w:lineRule="auto"/>
        <w:jc w:val="both"/>
        <w:rPr>
          <w:rFonts w:ascii="Times New Roman" w:hAnsi="Times New Roman"/>
          <w:color w:val="000000" w:themeColor="text1"/>
          <w:sz w:val="16"/>
          <w:szCs w:val="16"/>
        </w:rPr>
      </w:pPr>
    </w:p>
    <w:p w14:paraId="5F5CBFF4" w14:textId="77777777" w:rsidR="000D6967" w:rsidRPr="005E779E" w:rsidRDefault="000D6967" w:rsidP="000B7A6C">
      <w:pPr>
        <w:pStyle w:val="520"/>
        <w:shd w:val="clear" w:color="auto" w:fill="auto"/>
        <w:spacing w:line="240" w:lineRule="auto"/>
        <w:rPr>
          <w:rFonts w:ascii="Times New Roman" w:hAnsi="Times New Roman" w:cs="Times New Roman"/>
          <w:color w:val="000000" w:themeColor="text1"/>
          <w:sz w:val="16"/>
          <w:szCs w:val="16"/>
        </w:rPr>
      </w:pPr>
      <w:r w:rsidRPr="005E779E">
        <w:rPr>
          <w:rFonts w:ascii="Times New Roman" w:hAnsi="Times New Roman" w:cs="Times New Roman"/>
          <w:color w:val="000000" w:themeColor="text1"/>
          <w:sz w:val="16"/>
          <w:szCs w:val="16"/>
          <w:lang w:val="ru-RU"/>
        </w:rPr>
        <w:t>О</w:t>
      </w:r>
      <w:r w:rsidRPr="005E779E">
        <w:rPr>
          <w:rFonts w:ascii="Times New Roman" w:hAnsi="Times New Roman" w:cs="Times New Roman"/>
          <w:color w:val="000000" w:themeColor="text1"/>
          <w:sz w:val="16"/>
          <w:szCs w:val="16"/>
        </w:rPr>
        <w:t>сенью 1931 года в план опытного самолетостроения был включен «Автожир М- 22» со сроком передачи на госиспытания 1 января 1933 года. Однако инновационный, говоря современным языком,</w:t>
      </w:r>
      <w:r w:rsidRPr="005E779E">
        <w:rPr>
          <w:rFonts w:ascii="Times New Roman" w:hAnsi="Times New Roman" w:cs="Times New Roman"/>
          <w:color w:val="000000" w:themeColor="text1"/>
          <w:sz w:val="16"/>
          <w:szCs w:val="16"/>
          <w:lang w:val="ru-RU"/>
        </w:rPr>
        <w:t xml:space="preserve"> </w:t>
      </w:r>
      <w:r w:rsidRPr="005E779E">
        <w:rPr>
          <w:rFonts w:ascii="Times New Roman" w:hAnsi="Times New Roman" w:cs="Times New Roman"/>
          <w:color w:val="000000" w:themeColor="text1"/>
          <w:sz w:val="16"/>
          <w:szCs w:val="16"/>
        </w:rPr>
        <w:t>характер про</w:t>
      </w:r>
      <w:r w:rsidRPr="005E779E">
        <w:rPr>
          <w:rFonts w:ascii="Times New Roman" w:hAnsi="Times New Roman" w:cs="Times New Roman"/>
          <w:color w:val="000000" w:themeColor="text1"/>
          <w:sz w:val="16"/>
          <w:szCs w:val="16"/>
        </w:rPr>
        <w:softHyphen/>
        <w:t>ектных решений породил серьезные пробле</w:t>
      </w:r>
      <w:r w:rsidRPr="005E779E">
        <w:rPr>
          <w:rFonts w:ascii="Times New Roman" w:hAnsi="Times New Roman" w:cs="Times New Roman"/>
          <w:color w:val="000000" w:themeColor="text1"/>
          <w:sz w:val="16"/>
          <w:szCs w:val="16"/>
        </w:rPr>
        <w:softHyphen/>
        <w:t>мы при разработке и постройке нового аппа</w:t>
      </w:r>
      <w:r w:rsidRPr="005E779E">
        <w:rPr>
          <w:rFonts w:ascii="Times New Roman" w:hAnsi="Times New Roman" w:cs="Times New Roman"/>
          <w:color w:val="000000" w:themeColor="text1"/>
          <w:sz w:val="16"/>
          <w:szCs w:val="16"/>
        </w:rPr>
        <w:softHyphen/>
        <w:t>рата. Плановый срок выдержать не удалось</w:t>
      </w:r>
      <w:r w:rsidRPr="005E779E">
        <w:rPr>
          <w:rFonts w:ascii="Times New Roman" w:hAnsi="Times New Roman" w:cs="Times New Roman"/>
          <w:color w:val="000000" w:themeColor="text1"/>
          <w:sz w:val="16"/>
          <w:szCs w:val="16"/>
          <w:lang w:val="ru-RU"/>
        </w:rPr>
        <w:t xml:space="preserve"> (19868)</w:t>
      </w:r>
      <w:r w:rsidRPr="005E779E">
        <w:rPr>
          <w:rFonts w:ascii="Times New Roman" w:hAnsi="Times New Roman" w:cs="Times New Roman"/>
          <w:color w:val="000000" w:themeColor="text1"/>
          <w:sz w:val="16"/>
          <w:szCs w:val="16"/>
        </w:rPr>
        <w:t>.</w:t>
      </w:r>
    </w:p>
    <w:p w14:paraId="043CDCD8" w14:textId="77777777" w:rsidR="000D6967" w:rsidRPr="005E779E" w:rsidRDefault="000D6967" w:rsidP="000B7A6C">
      <w:pPr>
        <w:pStyle w:val="520"/>
        <w:shd w:val="clear" w:color="auto" w:fill="auto"/>
        <w:spacing w:line="240" w:lineRule="auto"/>
        <w:rPr>
          <w:rFonts w:ascii="Times New Roman" w:hAnsi="Times New Roman" w:cs="Times New Roman"/>
          <w:color w:val="000000" w:themeColor="text1"/>
          <w:sz w:val="16"/>
          <w:szCs w:val="16"/>
        </w:rPr>
      </w:pPr>
    </w:p>
    <w:p w14:paraId="3695CA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Осенью 1931 был подготовлен:</w:t>
      </w:r>
    </w:p>
    <w:p w14:paraId="2B79AF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ПЛАН ОПЫТНОГО СТРОИТЕЛЬСТВА ПО ТИПАМ, МОГУЩИМ БЫТЬ ВНЕДРЕННЫМ В ПРОИЗВОДСТВО В 1933 ГОДУ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660"/>
        <w:gridCol w:w="1134"/>
        <w:gridCol w:w="2126"/>
      </w:tblGrid>
      <w:tr w:rsidR="001002C3" w:rsidRPr="005E779E" w14:paraId="398E2580" w14:textId="77777777">
        <w:tc>
          <w:tcPr>
            <w:tcW w:w="2660" w:type="dxa"/>
            <w:tcBorders>
              <w:top w:val="single" w:sz="12" w:space="0" w:color="auto"/>
            </w:tcBorders>
          </w:tcPr>
          <w:p w14:paraId="764B16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Моторы</w:t>
            </w:r>
          </w:p>
        </w:tc>
        <w:tc>
          <w:tcPr>
            <w:tcW w:w="1134" w:type="dxa"/>
            <w:tcBorders>
              <w:top w:val="single" w:sz="12" w:space="0" w:color="auto"/>
            </w:tcBorders>
          </w:tcPr>
          <w:p w14:paraId="399E9D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12" w:space="0" w:color="auto"/>
            </w:tcBorders>
          </w:tcPr>
          <w:p w14:paraId="1513F4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9C8055C" w14:textId="77777777">
        <w:tc>
          <w:tcPr>
            <w:tcW w:w="2660" w:type="dxa"/>
          </w:tcPr>
          <w:p w14:paraId="1D4168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М38 с нагнетателем</w:t>
            </w:r>
          </w:p>
        </w:tc>
        <w:tc>
          <w:tcPr>
            <w:tcW w:w="1134" w:type="dxa"/>
          </w:tcPr>
          <w:p w14:paraId="715AAC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 нр</w:t>
            </w:r>
          </w:p>
        </w:tc>
        <w:tc>
          <w:tcPr>
            <w:tcW w:w="2126" w:type="dxa"/>
          </w:tcPr>
          <w:p w14:paraId="3EAB39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госиспытание 15/УШ-32</w:t>
            </w:r>
          </w:p>
        </w:tc>
      </w:tr>
      <w:tr w:rsidR="001002C3" w:rsidRPr="005E779E" w14:paraId="7E49DCFB" w14:textId="77777777">
        <w:tc>
          <w:tcPr>
            <w:tcW w:w="2660" w:type="dxa"/>
          </w:tcPr>
          <w:p w14:paraId="19827B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М42 с нагнетателем и редуктором</w:t>
            </w:r>
          </w:p>
        </w:tc>
        <w:tc>
          <w:tcPr>
            <w:tcW w:w="1134" w:type="dxa"/>
          </w:tcPr>
          <w:p w14:paraId="3DCF93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 нр</w:t>
            </w:r>
          </w:p>
        </w:tc>
        <w:tc>
          <w:tcPr>
            <w:tcW w:w="2126" w:type="dxa"/>
          </w:tcPr>
          <w:p w14:paraId="5F4F3F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1/П-32</w:t>
            </w:r>
          </w:p>
        </w:tc>
      </w:tr>
      <w:tr w:rsidR="001002C3" w:rsidRPr="005E779E" w14:paraId="73A3F6F0" w14:textId="77777777">
        <w:tc>
          <w:tcPr>
            <w:tcW w:w="2660" w:type="dxa"/>
          </w:tcPr>
          <w:p w14:paraId="72AF77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М48</w:t>
            </w:r>
          </w:p>
        </w:tc>
        <w:tc>
          <w:tcPr>
            <w:tcW w:w="1134" w:type="dxa"/>
          </w:tcPr>
          <w:p w14:paraId="5098AA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165</w:t>
            </w:r>
          </w:p>
        </w:tc>
        <w:tc>
          <w:tcPr>
            <w:tcW w:w="2126" w:type="dxa"/>
          </w:tcPr>
          <w:p w14:paraId="0BE1E1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1/УШ-32</w:t>
            </w:r>
          </w:p>
        </w:tc>
      </w:tr>
      <w:tr w:rsidR="001002C3" w:rsidRPr="005E779E" w14:paraId="55D0A96B" w14:textId="77777777">
        <w:tc>
          <w:tcPr>
            <w:tcW w:w="2660" w:type="dxa"/>
          </w:tcPr>
          <w:p w14:paraId="744552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w:t>
            </w:r>
          </w:p>
        </w:tc>
        <w:tc>
          <w:tcPr>
            <w:tcW w:w="1134" w:type="dxa"/>
          </w:tcPr>
          <w:p w14:paraId="2287F3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w:t>
            </w:r>
          </w:p>
        </w:tc>
        <w:tc>
          <w:tcPr>
            <w:tcW w:w="2126" w:type="dxa"/>
          </w:tcPr>
          <w:p w14:paraId="54943C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1/У1-32</w:t>
            </w:r>
          </w:p>
        </w:tc>
      </w:tr>
      <w:tr w:rsidR="001002C3" w:rsidRPr="005E779E" w14:paraId="4A601649" w14:textId="77777777">
        <w:tc>
          <w:tcPr>
            <w:tcW w:w="2660" w:type="dxa"/>
          </w:tcPr>
          <w:p w14:paraId="410060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w:t>
            </w:r>
          </w:p>
        </w:tc>
        <w:tc>
          <w:tcPr>
            <w:tcW w:w="1134" w:type="dxa"/>
          </w:tcPr>
          <w:p w14:paraId="4691B7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350-400</w:t>
            </w:r>
          </w:p>
        </w:tc>
        <w:tc>
          <w:tcPr>
            <w:tcW w:w="2126" w:type="dxa"/>
          </w:tcPr>
          <w:p w14:paraId="5F3334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1/Х-32</w:t>
            </w:r>
          </w:p>
        </w:tc>
      </w:tr>
      <w:tr w:rsidR="001002C3" w:rsidRPr="005E779E" w14:paraId="4AAA2F7F" w14:textId="77777777">
        <w:tc>
          <w:tcPr>
            <w:tcW w:w="2660" w:type="dxa"/>
          </w:tcPr>
          <w:p w14:paraId="6343C0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Самолеты</w:t>
            </w:r>
          </w:p>
        </w:tc>
        <w:tc>
          <w:tcPr>
            <w:tcW w:w="1134" w:type="dxa"/>
          </w:tcPr>
          <w:p w14:paraId="3933D1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3E81C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8BCCD00" w14:textId="77777777">
        <w:tc>
          <w:tcPr>
            <w:tcW w:w="2660" w:type="dxa"/>
          </w:tcPr>
          <w:p w14:paraId="7DED09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ТБ-4</w:t>
            </w:r>
          </w:p>
        </w:tc>
        <w:tc>
          <w:tcPr>
            <w:tcW w:w="1134" w:type="dxa"/>
          </w:tcPr>
          <w:p w14:paraId="09A3C8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6B4748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1/Х1-32</w:t>
            </w:r>
          </w:p>
        </w:tc>
      </w:tr>
      <w:tr w:rsidR="001002C3" w:rsidRPr="005E779E" w14:paraId="05897459" w14:textId="77777777">
        <w:tc>
          <w:tcPr>
            <w:tcW w:w="2660" w:type="dxa"/>
          </w:tcPr>
          <w:p w14:paraId="6E1148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И18М22</w:t>
            </w:r>
          </w:p>
        </w:tc>
        <w:tc>
          <w:tcPr>
            <w:tcW w:w="1134" w:type="dxa"/>
          </w:tcPr>
          <w:p w14:paraId="2805E6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564C2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1/У1-33</w:t>
            </w:r>
          </w:p>
        </w:tc>
      </w:tr>
      <w:tr w:rsidR="001002C3" w:rsidRPr="005E779E" w14:paraId="6C6792ED" w14:textId="77777777">
        <w:tc>
          <w:tcPr>
            <w:tcW w:w="2660" w:type="dxa"/>
          </w:tcPr>
          <w:p w14:paraId="05411F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И14М38</w:t>
            </w:r>
          </w:p>
        </w:tc>
        <w:tc>
          <w:tcPr>
            <w:tcW w:w="1134" w:type="dxa"/>
          </w:tcPr>
          <w:p w14:paraId="2E7087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E1B67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15/Ш-33</w:t>
            </w:r>
          </w:p>
        </w:tc>
      </w:tr>
      <w:tr w:rsidR="001002C3" w:rsidRPr="005E779E" w14:paraId="58CE9694" w14:textId="77777777">
        <w:tc>
          <w:tcPr>
            <w:tcW w:w="2660" w:type="dxa"/>
          </w:tcPr>
          <w:p w14:paraId="5C7C83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?М48</w:t>
            </w:r>
          </w:p>
        </w:tc>
        <w:tc>
          <w:tcPr>
            <w:tcW w:w="1134" w:type="dxa"/>
          </w:tcPr>
          <w:p w14:paraId="2FBCC5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77E2F4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1/Ш-33</w:t>
            </w:r>
          </w:p>
        </w:tc>
      </w:tr>
      <w:tr w:rsidR="001002C3" w:rsidRPr="005E779E" w14:paraId="5EC35A9D" w14:textId="77777777">
        <w:tc>
          <w:tcPr>
            <w:tcW w:w="2660" w:type="dxa"/>
          </w:tcPr>
          <w:p w14:paraId="087395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К77М34</w:t>
            </w:r>
          </w:p>
        </w:tc>
        <w:tc>
          <w:tcPr>
            <w:tcW w:w="1134" w:type="dxa"/>
          </w:tcPr>
          <w:p w14:paraId="553AC1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A2093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1/У-32</w:t>
            </w:r>
          </w:p>
        </w:tc>
      </w:tr>
      <w:tr w:rsidR="001002C3" w:rsidRPr="005E779E" w14:paraId="7B202BD1" w14:textId="77777777">
        <w:tc>
          <w:tcPr>
            <w:tcW w:w="2660" w:type="dxa"/>
          </w:tcPr>
          <w:p w14:paraId="077819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Геликоптер</w:t>
            </w:r>
          </w:p>
        </w:tc>
        <w:tc>
          <w:tcPr>
            <w:tcW w:w="1134" w:type="dxa"/>
          </w:tcPr>
          <w:p w14:paraId="2575E1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65F25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1/УП-32</w:t>
            </w:r>
          </w:p>
        </w:tc>
      </w:tr>
      <w:tr w:rsidR="001002C3" w:rsidRPr="005E779E" w14:paraId="1046B4E8" w14:textId="77777777">
        <w:tc>
          <w:tcPr>
            <w:tcW w:w="2660" w:type="dxa"/>
          </w:tcPr>
          <w:p w14:paraId="1C3DE0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Автожир</w:t>
            </w:r>
          </w:p>
        </w:tc>
        <w:tc>
          <w:tcPr>
            <w:tcW w:w="1134" w:type="dxa"/>
          </w:tcPr>
          <w:p w14:paraId="0CC8EE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367CD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1/1Х-32</w:t>
            </w:r>
          </w:p>
        </w:tc>
      </w:tr>
      <w:tr w:rsidR="001002C3" w:rsidRPr="005E779E" w14:paraId="430CE1CD" w14:textId="77777777">
        <w:tc>
          <w:tcPr>
            <w:tcW w:w="2660" w:type="dxa"/>
          </w:tcPr>
          <w:p w14:paraId="0396F1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АвтожирМ-22</w:t>
            </w:r>
          </w:p>
        </w:tc>
        <w:tc>
          <w:tcPr>
            <w:tcW w:w="1134" w:type="dxa"/>
          </w:tcPr>
          <w:p w14:paraId="50C3AD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7DDA84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1/1-33</w:t>
            </w:r>
          </w:p>
        </w:tc>
      </w:tr>
      <w:tr w:rsidR="00365C94" w:rsidRPr="005E779E" w14:paraId="125E4D12" w14:textId="77777777">
        <w:tc>
          <w:tcPr>
            <w:tcW w:w="2660" w:type="dxa"/>
            <w:tcBorders>
              <w:bottom w:val="single" w:sz="12" w:space="0" w:color="auto"/>
            </w:tcBorders>
          </w:tcPr>
          <w:p w14:paraId="603F45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23М52</w:t>
            </w:r>
          </w:p>
        </w:tc>
        <w:tc>
          <w:tcPr>
            <w:tcW w:w="1134" w:type="dxa"/>
            <w:tcBorders>
              <w:bottom w:val="single" w:sz="12" w:space="0" w:color="auto"/>
            </w:tcBorders>
          </w:tcPr>
          <w:p w14:paraId="765153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bottom w:val="single" w:sz="12" w:space="0" w:color="auto"/>
            </w:tcBorders>
          </w:tcPr>
          <w:p w14:paraId="28EC75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1/У-33 (2329)</w:t>
            </w:r>
          </w:p>
        </w:tc>
      </w:tr>
    </w:tbl>
    <w:p w14:paraId="46BF63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75686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Осенью 1931 года ОСН в полном составе в результате реорганизации Гипромеза выделился в самостоятельную проектную организацию под название Московское отделение Гипроспецмета. Основное производство Гипроспецмета и управление находилось в Ленинграде. В марте 1932 года Гипроспецмет разделился на две независимые проектные организации. За орудийно-арсенальным сектором сохранилось название Гипроспецмет. Самолетный сектор стал ядром проектного института авиапромышленности. Новому институту приказом по ГУАП – НКТП было присвоено название Гипроавиа.</w:t>
      </w:r>
    </w:p>
    <w:p w14:paraId="0D7282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Институт Гипроавиа возник в результате слияния двух групп:</w:t>
      </w:r>
    </w:p>
    <w:p w14:paraId="7D07B2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самолетной группы Гипроспецмета</w:t>
      </w:r>
    </w:p>
    <w:p w14:paraId="2B5D1F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группы сотрудников ВАО.</w:t>
      </w:r>
    </w:p>
    <w:p w14:paraId="2E9747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Новому проектному институту было отведено помещение на ул. Володарского, 20.</w:t>
      </w:r>
    </w:p>
    <w:p w14:paraId="7C9898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Были скомплектованы самолетный и моторный отделы и приступили к организации некоторых других специальных отделов. Июнь 1932 года можно считать началом создания отраслевого проектного института авиапромышленности. В 1935 году приказом по ГУАП-НКТП институту присвоено новое название – 1-й государственный проектный институт (1-й ГПИ), сохранившееся до 1941 года. В начале 1941 года институт получил новое помещение на Верхней Масловке, д. 90, где находится до настоящего времени.</w:t>
      </w:r>
    </w:p>
    <w:p w14:paraId="051EE2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целях приближения исполнителей к объектам строительства для наиболее оперативного решения вопросов проектирования на местах институтом создавались проектные бригады на площадках заводов. В 1934 году начали работать Запорожская и Воронежская бригады. Воронежская бригада была в 1937 году реорганизована в Юго-Восточный филиал с местонахождением в Воронеже. В 1940 году филиал института был создан в Ленинграде.</w:t>
      </w:r>
    </w:p>
    <w:p w14:paraId="0CF67C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 время ВОВ был организован Куйбышевский филиал, который некоторый период времени выполнял функции центрального производства (9893).</w:t>
      </w:r>
    </w:p>
    <w:p w14:paraId="6712C8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69A82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Осенью 1931 г. при Осоавиахиме сформировалась ГИРД (группа по изучению реактивного движения), называвшаяся вначале МосГИРД, ЦентрГИРД. Вначале группа располагалась в Москве, в подвале дома № 19 по ул. Садово-Черногрязской, вместе с ЦКБ по планерам Осоавиахима, которое возглавлял Антонов. ГИРД состояла из 4 бригад, занимавшихся разработкой жидкостных двигателей для ракетоплана, жидкостных баллистических ракет, ПВРД, газодинамических испытательных установок, ракетопланов и крылатых ракет. Руководителями бригад были Ф.А.Цандер, М.К. Тихонравов (бригада № 2), Ю.А. Победоносцев, С.П. Королев, который был и начальником ГИРДа. Здесь также работал Б.И. Черановский.</w:t>
      </w:r>
    </w:p>
    <w:p w14:paraId="008EE9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17.08.1933 г. запущена первая советская ракета с двигателем Цандера.</w:t>
      </w:r>
    </w:p>
    <w:p w14:paraId="05939B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1933 г. на базе ГИРД в Москве образовался РНИИ. Королев стал зам. начальника РНИИ. В 1934 г. в него вошла ленинградская ГДЛ.</w:t>
      </w:r>
    </w:p>
    <w:p w14:paraId="0AC103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1937 г. создан ракетоплан «318» с двигателем ОРМ-65 конструкции Глушко.</w:t>
      </w:r>
    </w:p>
    <w:p w14:paraId="29A473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1937 г. Королев арестован, отбывал срок на Колыме, на прииске Мальдяк. После организации ЦКБ-29 НКВД переведен на работу туда, в 1942 г. переведен в ОКБ-29 НКВД в Казань. В 1942-46 г. был зам. гл. конструктора ОКБ-29 НКВД по летным испытаниям. В 09.1944 г. еще работал в 4-м спецотделе НКВД на заводе № 16 (разработаны проекты баллистической и крылатой ракет Д-1 и Д-2 с РДТТ и проекты Д-3 и Д-4 с ЖРД).59 </w:t>
      </w:r>
    </w:p>
    <w:p w14:paraId="24DCE6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08.1946 г. в НИИ-88 образовано СКБ (специальное), отдел № 3 которого по разработке баллистических ракет возглавил Королев. 16.06.1950 г. отдел преобразован в ОКБ-1 при НИИ-88 МВ. Начальником/ гл. конструктором назначен С.П. Королев. В 1948 г. после ликвидации своего ОКБ-499 замом к Королеву пришел П.В. Цыбин, занимался испытаниями ракет Р-1, Р-2.</w:t>
      </w:r>
    </w:p>
    <w:p w14:paraId="49755A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соответствии с постановлением правительства от 25.04.1956 г., решением от 13.08.1956 г. и приказом МОП от 14.05.1956 г. ОКБ-1 с опытным заводом № 88 выделяется в самостоятельное предприятие- ОКБ-1 МОП (разделительный акт подписан 1.10.1956 г.).77 </w:t>
      </w:r>
    </w:p>
    <w:p w14:paraId="36124B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6.11.1965 г. ОКБ-1 ГКОТ передано в подчинение 3ГУ МОМ и по приказу от 6.03.1966 г. преобразовано в ЦКБ ЭМ (экспериментального машиностроения). Этим же приказом Опытный завод ОКБ-1 был переименован в Завод экспериментального машиностроения (ЗЭМ). Структурно в это время ЦКБЭМ состояло из тематических комплексов, состоящих из группы отделов. Комплексы возглавлялись заместителями гл. конструктора. Главными темами были: Н1-Л3, «Союз» (7К-ОК), 7К-Л1, ракета РТ-2.</w:t>
      </w:r>
    </w:p>
    <w:p w14:paraId="76D5A9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связи с началом масштабных работ по Н1-Л3, «Союз» ЦКБЭМ было реконструировано: построены новые контрольно-испытательный, монтажно-испытательный корпуса для крупных конструкций. На второй территории (вдоль Болшевского ш.) построен инженерный корпус, здания ОКБ.</w:t>
      </w:r>
    </w:p>
    <w:p w14:paraId="7DDF2D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1955 г. для ускорения создания ИСЗ из НИИ-4 МО в ОКБ-1 переведена часть сотрудников группы М.К. Тихонравова (К.П. Феоктистов, И.К. Бажинов, Г.Ю. Максимов, А.В. Солдатова), а в 1956 г. к Королеву перешел и М.К. Тихонравов.77 30.01.1956 г. вышло постановление правительства о начале практических работ по созданию первого ИСЗ, 3.09.1956 г.- постановление о кооперации исполнителей. ОКБ-1 определено головной организацией по созданию ИСЗ. Весной 1957гю организован проектный отдел КА под руководством М.К. Тихонравова. 7.02.1957 г.- постановление правительства о запуске первого ИСЗ.</w:t>
      </w:r>
    </w:p>
    <w:p w14:paraId="75EB25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1950-х г. в ОКБ-1 из НИИ-1 переведена группа Б.В. Раушенбаха для разработки систем ориентации и управления блока «Е» лунного корабля.</w:t>
      </w:r>
    </w:p>
    <w:p w14:paraId="5911FC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решению ГКОТ от 3.07.1959 г. в состав ОКБ-1 влился ЦНИИ-58 МОП.</w:t>
      </w:r>
    </w:p>
    <w:p w14:paraId="221A18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По постановлению СМ от 23.06.1960 г. организовано три филиала: № 1- СКБ-385 на заводе № 385 (руководитель- В. Макеев); Восточный филиал № 2- на Красноярском механическом заводе (руководитель- М.Ф. Решетнев, с 1961 г.- самостоятельное ОКБ-10); филиал № 3- на базе отдела № 25 при заводе № 1 в </w:t>
      </w:r>
      <w:r w:rsidRPr="005E779E">
        <w:rPr>
          <w:rFonts w:ascii="Times New Roman" w:hAnsi="Times New Roman"/>
          <w:color w:val="000000" w:themeColor="text1"/>
          <w:sz w:val="16"/>
          <w:szCs w:val="16"/>
        </w:rPr>
        <w:lastRenderedPageBreak/>
        <w:t xml:space="preserve">Куйбышеве. Руководитель - Д.И. Козлов. В 1967 г. филиал № 3 получил название Куйбышевский филиал ЦКБЭМ. По приказу МОМ от 30.06.1974 г. филиал преобразован в самостоятельное ЦСКБ, а из него часть коллектива выделена в новый филиал при заводе под руководством Б. Пензина.. </w:t>
      </w:r>
    </w:p>
    <w:p w14:paraId="5E2CF2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1964 г. создан проектный отдел № 93 для проектирования лунного и орбитального КК (начальник- И.С. Прудников).</w:t>
      </w:r>
    </w:p>
    <w:p w14:paraId="7D5B31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Существовал отдел ЖРД и двигательных установок (начальник (1960-е)- М.В. Мельников). Создан первый отечественный двигатель с дожиганием топлива С1.5400.</w:t>
      </w:r>
    </w:p>
    <w:p w14:paraId="2E7B7A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Имеет свой отряд космонавтов, созданный 23.05.1966 г.</w:t>
      </w:r>
    </w:p>
    <w:p w14:paraId="5205F6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Кроме БР, велись работы по стратегическим крылатым ракетам. В соответствии с постановлением СМ № 957-409 от 20.05.1954 г. работы по КР переданы в МАП. В связи сэтим из ОКБ-1 в МАП ушли разработчики КР А.С. Будник, И.И. Моишев, И.М. Лисович и др.</w:t>
      </w:r>
    </w:p>
    <w:p w14:paraId="49CA91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постановлению правительства от 10.1954 г.- создание головной части для Р-2 с боевыми радиоактивными веществами (тема «Генератор»).</w:t>
      </w:r>
    </w:p>
    <w:p w14:paraId="7B3526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постановлениями СМ СССР от 7.05.1947 г. и 14.04.1948 г. велась разработка ракеты Р-3 (проект- 1949 г.).</w:t>
      </w:r>
    </w:p>
    <w:p w14:paraId="411467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соответствии с постановлением СМ СССР от 02.1952 г. разработка ракеты Р-5 (8А62). По постановлению СМ СССР от 04.1954 г. разработка Р-5М (8К51, 8К52) с ядерной БЧ. По распоряжениям правительства от 08 и 11.1954 г. создание головной части для Р-5 с боевыми радиоактивными веществами (тема «Генератор-5»). Постановлением СМ СССР от 06.1956 г. Р-5М принята на вооружение.КР-4/03 </w:t>
      </w:r>
    </w:p>
    <w:p w14:paraId="46DC44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соответствии с постановлением правительства от 20(30).05.1954 г. началась разработка Р-7. </w:t>
      </w:r>
    </w:p>
    <w:p w14:paraId="0B3BEA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4.12.1950 г. было принято постановление правительства о проведении НИР по темам Н1, Н2, Н3. Постановлением от 10.12.1959 г. было предусмотрено создание ракет для полета к Луне. В соответствии с постановлением правительства от 05.1960 г. и 23.06.1960 г. началась разработка тяжелых РН Н-1 (11А52), Н2 и пилотируемого корабля для полета к Луне КЛ. 24.09.1962 г.- постановление правительства о создании лунной ракеты Н1 с началом испытаний в 1965 г. Далее по лунной программе были Постановления от 19.06.1964 г. (о переносе срока испытаний на 1966 г.), от 27.07.1964 г. и от 3.08.1964 г.- по разработке пилотируемого комплекса Л3. После 4-х неудачных запусков Н1 в соответствии с решением от 15.05.1974 г. и приказом от 24.06.1974 г. все работы по лунной программе были прекращены.</w:t>
      </w:r>
    </w:p>
    <w:p w14:paraId="149EB1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Решением правительства от 22.05.1959 г. утверждена разработка пилотируемого корабля «Восток».</w:t>
      </w:r>
    </w:p>
    <w:p w14:paraId="270D10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1960-65 г. совместно с ФЭИ разработан проект ядерного электроракетного двигателя ЯЭРД- 2200 мощностью 2200 кВт для полета на Марс. </w:t>
      </w:r>
    </w:p>
    <w:p w14:paraId="3B3C59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постановлением правительства от 25.10.1965 г. «О сосредоточении сил…на создании ракетно-космических средств для облета Луны» ЦКБЭМ определено головной организацией по созданию пилотируемого КК 7К-Л1 с разгонным блоком «Д». Приказом МОМ от 13.11.1965 г. усановлен срок завершения авнпроекта- конец 1965 г. Руководитель работ по 7К-Л1- Б.А. Дорофеев, затем- Е.В. Шабаров; зам. руководителя- Б.Н. Филин, Б.И. Зуйков, Н.И. Зеленщиков; ведущий конструктор (1965 г.)- Б.В. Рублев, (05.1967 г.-)- Ю.П. Семенов.</w:t>
      </w:r>
    </w:p>
    <w:p w14:paraId="153CA2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12.1973 г. вышло первое решение ВПК «О проведении работ по МКС», в сответствии с которым в 1974 г. были разработаны технические предложения. В 1975 г. начались проектные исследования по многоразовой системе «Энергия-Буран». На основании Постановления ЦК КПСС и СМ СССР № 132-51от 17.02.1976 г. «О создании МКС в составе разгонной ступени, ОС, межорбитального буксира-корабля…» НПО «Энергия» определено головной организацией по созданию комплекса «Энергия-Буран». Создан стенд для электрических испытаний ОК «Буран». Постановлением от 21.11.1977 г. утверждены сроки выполнения работ: техпроект- 1-й квартал 1978 г., конструкторская документация по РН- 1978 г., по «Бурану»- 1980 г.</w:t>
      </w:r>
    </w:p>
    <w:p w14:paraId="522628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соответствии с постановлением от 21.05.1974 г. на базе ЦКБ ЭМ создано НПО «Энергия», в составе которого: Головное КБ (ГКБ), ЗЭМ, Волжский филиал, НПО «Энергомаш» (с КБ, опытным заводом и филиалами). </w:t>
      </w:r>
    </w:p>
    <w:p w14:paraId="1CF0AC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создания НПО были введены должности гл. конструкторов по направлениям: Я.Коляко (многоцелевые тяжелые РН); И.Н. Садовский, затем- Б.И. Губанов (многоразовые транспортные космические системы); Ю.П. Семенов (орбитальные станции); И. Прудников (лунный комплекс). К. Бушуев назначен директором/ гл. конструктором программы «Союз-Аполлон». В состав НПО входили комплексы (1974 г.): - проектно-исследовательский по системам управления № 3 (руководитель- В. Легостаев); -проектно-конструкторский № 4 (В. Калашников); -расчетно-теоретический (Г. Дегтяренко); -бортовых систем (В. Овчинников); -по технической, стартовой позиции и экспериментальным установкам (А. Абрамов); -по бортовой энергетике (М. Мельников); -по материаловедению (А. Северов); - по наземной экспериментальной отработке (А. Ржанов); -по подготовке и проведению летных испытаний (Е.В. Шабаров); -по подготовке экипажей и управлению полетами (А. Елисеев).</w:t>
      </w:r>
    </w:p>
    <w:p w14:paraId="580773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1977 г. в НПО «Энергия» вошли также ОКБ «Луч» (г. Донецк) и КБ «Салют» с опытным производством. В 1991 г. в состав НПО вошел Приморский филиал (на этот момент в составе НПО были также ГКБ, ЗЭМ, Волжский филиал, консорциум «Космическая регата»). В состав НПО входил также Научно-исследовательский центр (НИЦ).77 </w:t>
      </w:r>
    </w:p>
    <w:p w14:paraId="30F74F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1982 г. постановлением СМ СССР на территории ГКБ создано Управление экспериментальных работ (УЭР) МОМ по обеспечению создания МКС «Энергия». Личный состав (120 чел., затем- 140) управления находился в штате КБ (чтобы не увеличивать штаты министерства). Начальник УЭР- И.П. Румянцев.</w:t>
      </w:r>
    </w:p>
    <w:p w14:paraId="1AAEB3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1980-е г. в НПО создано проектное отделение во главе с В.С. Ильиным.</w:t>
      </w:r>
    </w:p>
    <w:p w14:paraId="3B2A45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постановлением СМ СССР от 21.08.1989 г. ген. конструктором НПО назначен Ю.П. Семенов. После этого введен принцип единоначалия (гендиректор подчинен ген. конструктору). 29.09.1989 г. введена в действие «Укрупненная структурная схема Головного КБ НПО «Энергия». 19.01.1990 г. КБЭМ с Камским и Приволжским филиалами и ОЗЭМ выделено в самостоятельное НПОЭМ. Решением Мособлисполкома от 8.04.1991 г. НПО «Энергия» присвоено имя С.П. Королева.</w:t>
      </w:r>
    </w:p>
    <w:p w14:paraId="5FB217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1989 г. при НПО создан открытый научный центр для работы с иностранными специалистами.</w:t>
      </w:r>
    </w:p>
    <w:p w14:paraId="4E3308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1994 г. НПО преобразовано в ОАО «Российская космическая корпорация (РКК) "Энергия" им. академика С.П. Королёва» (ОАО зарегистрировано 6.06.1994 г., перерегистрировано 27.04.1998 г.). В состав РКК входит (2002 г.): ГКБ и дочерние предприятия: ЗАО «Завод экспериментального машиностроения» (см. завод № 88), ЗАО «Волжское КБ», ОАО «Приморский НТЦ», ЗАО «Авиакомпания «Космос», ООО «ОИМЭ».69 По решению правительства № 22-р от 9.01.2004 г. и Указу Президента РФ № 1009 от 4.08.2004 г. вошло в число стратегических оборонных предприятий.</w:t>
      </w:r>
    </w:p>
    <w:p w14:paraId="16E797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Направления деятельности РКК на 2002 г.: пилотируемые и грузовые космические корабли; орбитальные станции, их модули и агрегаты; ракеты-носители, разгонные блоки; комплексы оборудования для для наземной отработки ЖРД, криогенно-статических испытаний; замкнутые системы жизнеобеспечения.</w:t>
      </w:r>
    </w:p>
    <w:p w14:paraId="4D9E3B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Принимает участие (вместе с АвтоВАЗом и УЭХК) в разработке автомобиля «АНТЭЛ» и «АНТЭЛ-2» (ВАЗ-21111) с водородной энергоустановкой «Фотон» с щелочными топливными элементами (-2003-05 г.-).</w:t>
      </w:r>
    </w:p>
    <w:p w14:paraId="4A5444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Численность персонала (1.10.1956 г.)- 1939 чел.77 </w:t>
      </w:r>
    </w:p>
    <w:p w14:paraId="1DD476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конструктор ОКБ (1946-66 г.)- С.П. Королёв, (1966-74 г.)- В.П. Мишин. Ген. конструктор ОКБ (1994-2005 г.-)- академик Ю.П. Семенов.</w:t>
      </w:r>
    </w:p>
    <w:p w14:paraId="7ADBBF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Ген. конструктор НПО (21.05.1974-89 г.)- В.П. Глушко, (21.08.1989-2005 г.-)- Ю.П. Семенов.</w:t>
      </w:r>
    </w:p>
    <w:p w14:paraId="5B4B63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1-й зам. Гл. конструктора (1956 г.-)- Р.А. Турков (директор завода № 88), (-1966 г.)- В.П. Мишин. 1-й зам. Ген. Конструктора (1974 г.)- Ю. Труфанов, (1974 г.)- В. Радовский, (1981 г.-)- Ю.П. Семенов, (-2000-04 г.-)- Н.И. Зеленщиков, (-2002-05 г.-)- В.П. Легостаев. Зам. гл., ген. конструктора (1947 г.-)- А.Я. Щербаков (в 1943-46 г. гл. конструктор КБ завода № 47); (1952 г.)- В. Будник (гл. конструктор СКО завода № 586); (1960-е)- М.В. Мельников; (1961 г.-)- Д.И. Козлов (начальник филиала № 3); (1965 г.)- Б.А. Дорофеев; (конец 1960 г.-)- П.В. Цыбин (работал в ОКБ в 1948-56 г., в 1956-60 г. возглавлял собственное ОКБ-256); (1964 г.-)- Б.Е. Черток; (1974 г.)- Е.В. Шабаров; (1974 г.)- А. Абрамов; по координации и контролю (1974 г.)- М. Хомяков; (1974 г.)- М. Мельников; (1974 г.)- А. Северов; (1974 г.)- А. Ржанов; (1974 г.)- А. Елисеев; (1977 г.)- В.М. Филин; (1978 г.-)- Ю.П. Семенов; (1970-е-88 г.-)- Б.И. Губанов; (1980-е)- В.С. Ильин; (2000 г.)- В.П. Легостаев; (2003 г.)- В. Рюмин; (2005 г.)- М.П. Кашицын (руководитель НТЦ). </w:t>
      </w:r>
    </w:p>
    <w:p w14:paraId="763ED4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Директор (08.1956 г.-)- С.П. Королев. Директор ГКБ (1989 г.-)- Ю.П. Семенов. </w:t>
      </w:r>
    </w:p>
    <w:p w14:paraId="637B84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1-й зам. директора ГКБ (-2000-04 г.-)- Н.И. Зеленщиков. Зам. директора ГКБ (2004 г.)- А.Л. Мартыновский, (2004 г.)- В.П. Легостаев.www.energia.ru </w:t>
      </w:r>
    </w:p>
    <w:p w14:paraId="14A769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Гендиректор НПО (1974-77 г.)- В.П. Глушко, (1977 г.-)- В.Д. Вачнадзе, (1991-2005 г.-)- Ю.П. Семенов.</w:t>
      </w:r>
    </w:p>
    <w:p w14:paraId="758B8C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1-й зам. директора НПО (1974 г.)- Ю. Труфанов, (1974 г.)- В.М. Ключарев (директор ЗЭМ); по реконструкции, строительству и общим вопросам (1974 г.)- Г. Совков. Зам. директора НПО: по безопасности (1974 г.-)- А. Калыгин; по кадрам (1974 г.-)- Г. Пауков; по летным испытаниям (1974 г.-)- М. Самохин.</w:t>
      </w:r>
    </w:p>
    <w:p w14:paraId="05ACC7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Президент/ председатель правления РКК (1994-05.2005 г.)- Ю.П. Семенов, (2005 г.-)- Н. Севастьянов.</w:t>
      </w:r>
    </w:p>
    <w:p w14:paraId="507855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1-й вице-президент РКК (-2000-04 г.-)- Н.И. Зеленщиков, (-2004-05 г.-)- А.Ф. Стрекалов, (2004 г.)- А.Л. Мартыновский. Вице-президент (-2000-04 г.-)- В.П. Легостаев, (2004 г.)- А.Ф. Козеева (начальник Управления финансово-экономической деятельности), (2004 г.)- Н.И. Чекин. </w:t>
      </w:r>
    </w:p>
    <w:p w14:paraId="33727C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конструкторы: (1960-е)- В.П. Мишин (Н1-Л3), (1960-е-77 г.-)- И.Н. Садовский (РТ-2), (1977 г.)- Б.И. Губанов («Энергия»), (1972-77 г.-)- Ю.П. Семенов («Буран»), (1974 г.)- Я.Коляко (многоцелевые тяжелые РН), (1974 г.)- И. Прудников (лунный комплекс), (1974 г.-)- .К. Бушуев («Союз-Аполлон»).</w:t>
      </w:r>
    </w:p>
    <w:p w14:paraId="4A1010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Ведущие конструкторы: (1965 г.)- Б.В. Рублев (7К-Л1), (05.1967 г.-)- Ю.П. Семенов (7К-Л1).</w:t>
      </w:r>
    </w:p>
    <w:p w14:paraId="655689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Работали: (1956-60-е г.-)- М.К. Тихонравов {1900-74 г.} (ИСЗ); (1960-е)- В.Ф. Рощин, Б.В. Раушенбах, С.С. Крюков, Я.П. Коляко, В.А. Борисов, К.П. Феоктистов, В.П. Легостаев, К.С. Шустин, В.А. Тимченко, А.И. Осташев; (05.1964-77 г.-)- С.Н. Анохин (нач. методического отдела, нач. сектора, зам. ком. Отряда космонавтов/ведущий инженер), (1964 г.-)- Ю.П. Семенов (зам. ведущего конструктора РН «Союз»); (1968-73 г.)- В.Г. Кинелев (позднее- министр образования), (1970-е)- В.С. Сыромятников, Б.В. Никитин, И.В. Лавров; (2002 г.)- А.Г. Деречин (начальник управления ВЭД и маркетинга), (2004 г.)- Л. Горшков (зам. начальника проектного отделения), (2005 г.)- А. Калери (зам. нач. отдела).</w:t>
      </w:r>
    </w:p>
    <w:p w14:paraId="43ED41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Создано: БР: Р-1 (8А11, пнв в 1950 г.), Р-2 (8Ж38, пнв в 1951 г.), Р-3 (проект, 1949 г.), Р-11 (8А61, пнв в 1955 г.), Р-11М (8К11, пнв в 1958 г.), Р-11ФМ (8А61ФМ), Р-5 (8К51, 8Ж51, пнв в 1955 г.) и Р-5М (8К51, 8Ж51, пнв в 1956 г.), РТ-1 (8К95, опытная, 1962 г.); Р-7 и Р-7А (8К71, пнв в 1960 г.), конверсионные РН «Восход», «Восток», </w:t>
      </w:r>
      <w:r w:rsidRPr="005E779E">
        <w:rPr>
          <w:rFonts w:ascii="Times New Roman" w:hAnsi="Times New Roman"/>
          <w:color w:val="000000" w:themeColor="text1"/>
          <w:sz w:val="16"/>
          <w:szCs w:val="16"/>
        </w:rPr>
        <w:lastRenderedPageBreak/>
        <w:t>«Молния», «Союз» (7К1, 11Ф615); Р-9А (8К75, пнв в 1965 г.), Р-9В (8К76), РТ-2 (РС-12, 8К98, пнв в 1968 г.), РТ-2П (РС-12, 8К98П), ГР-1 (8К713);58 РН Н-1 (11А52, запуски 27.06.1971, 24.11.1972); экспериментальная крылатая ракета «ЭКР», МТКС «Энергия» (1976), орбитальные станции «Салют», «Мир», МКС; спутники: 1-й ИСЗ, связи «Молния», «Ямал»; корабль для облета Луны 7К-Л1 («Зонд») (1965-)- 14; боевые корабли «Союз Р», «Союз П» (перехватчик), вооруженные РС «космос-космос» (1962-65 г., проект);</w:t>
      </w:r>
    </w:p>
    <w:p w14:paraId="7FE9B7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ЖРД: С1.35800 для РН Р-7 (1957 г.), С1.5400 (11Д33) для РН «Молния» 8К78 (1963-65), 8Д726 для МБР ГР-1 (1964), 11Д121 для РН Н1 (1969), РД-58 (11Д58) для РН Н1, «Протон», «Энергия» (1968); 17Д11- СУ для орбитального корабля «Буран», включает 2х ЖРД 17Д12, 38х ЖРД 17Д15, 8х РДМТ-200К;50 ядерный РД 11Б97 для КА «Геркулес» (1986).</w:t>
      </w:r>
    </w:p>
    <w:p w14:paraId="442CFD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ОКБ-1 НИИ-88 МВ, ОКБ-1 МОП, ГКОТ, ЦКБ ЭМ (экспериментального машиностроения) МОМ, НПО «Энергия» им. академика С.П. Королева, ОАО «Российская Космическая Корпорация (РКК) «Энергия» им. академика С.П. Королева» РКА, РАКА, ФКА</w:t>
      </w:r>
    </w:p>
    <w:p w14:paraId="0CFC41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141070 г. Подлипки, г. Королёв Московской обл. ул. Ленина, 4А тел. 513-72-48 www.energia.ru</w:t>
      </w:r>
    </w:p>
    <w:p w14:paraId="445EA0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Волжский филиал ЦКБ ЭМ, «Волжское КБ» ЗАО</w:t>
      </w:r>
    </w:p>
    <w:p w14:paraId="7D51F0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443009 г. Самара ул. Псковская, 24</w:t>
      </w:r>
    </w:p>
    <w:p w14:paraId="4B79F2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Волжский филиал образовался в 1974 г. С 1994 г.- ЗАО «Волжское КБ», входит в ОАО «РКК «Энергия».</w:t>
      </w:r>
    </w:p>
    <w:p w14:paraId="2061CD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Принимало участие в работах по Н1-Л3, центральному и стартово-стыковочному блоку «Энергии-Буран», РН «Квант», «Ангара», «Ямал», «Аврора», «Воздушный старт».</w:t>
      </w:r>
    </w:p>
    <w:p w14:paraId="63277B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гл. конструктор (2002 г.)- С.А. Петренко.</w:t>
      </w:r>
    </w:p>
    <w:p w14:paraId="7CB451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Замдиректора по ВЭД (2002 г.)- В.П. Рябов.69 </w:t>
      </w:r>
    </w:p>
    <w:p w14:paraId="2C9C67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ООО «ОИМЭ»</w:t>
      </w:r>
    </w:p>
    <w:p w14:paraId="0747D0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/141070 г. Королев Московской обл. ул. Ленина, 4/</w:t>
      </w:r>
    </w:p>
    <w:p w14:paraId="6903CC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Консорциум «Космическая регата»</w:t>
      </w:r>
    </w:p>
    <w:p w14:paraId="51B8A5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Подразделение НПО «Энергия», занимавшееся разработкой космических кораблей, использующих энергию «солнечного ветра».</w:t>
      </w:r>
    </w:p>
    <w:p w14:paraId="33A7A8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02.1993 г. проведен успешный эксперимент «Знамя-2» по развертыванию 20-м зеркала на грузовом корабле «Прогресс». В 1999 г. аналогичный эксперимент закончился неудачей.</w:t>
      </w:r>
    </w:p>
    <w:p w14:paraId="41F1FE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Руководитель (1991-93 г.)- Н.Н. Севастьянов (10776).</w:t>
      </w:r>
    </w:p>
    <w:p w14:paraId="7BC224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21177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Осенью 1931 года В.К. Коккинаки испытывал на Комендантском аэродроме в Ленинграде Р-5 с подвеской восьми оперенных снарядов калибра 82 мм, запускавшиеся с балок-направляющих. Программа включала стрельбы на полигоне. Обследование самолета после пусков выявило деформацию нервюр и повреждение переднего лонжерона. Конструкторы усилили набор крыла, изменили крепление направляющих (12034).</w:t>
      </w:r>
    </w:p>
    <w:p w14:paraId="531E18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4AAA31A" w14:textId="77777777" w:rsidR="00D60F52" w:rsidRPr="005E779E" w:rsidRDefault="00D60F52"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Осенью 1931 г. Королёв получил разрешение облетать бесхвостый планер Б.И. Черановского БИЧ-8, который после испытаний в 1929 г. не использовался. На подмосковной планерной станции Королёв выполнил 12 полётов, от которых у него остались приятное впечатление. «Планер БИЧ-8 отличается полной устойчивостью в продольном и поперечном направлении, так и устойчивостью пути. Очень чуток на руль высоты и не любит резких движений. На малых углах имеет большую скорость снижения, а нормально летит с углом около 30 градусов. Однако при всех возможных режимах не имеет тенденции к потере устойчивости, самопроизвольному уменьшению или увеличению угла, а наоборот очень охотно идёт за ручкой, возвращаясь в исходное положение», — писал Сергей Павлович </w:t>
      </w:r>
      <w:hyperlink r:id="rId178" w:history="1">
        <w:r w:rsidRPr="005E779E">
          <w:rPr>
            <w:rFonts w:ascii="Times New Roman" w:eastAsia="Times New Roman" w:hAnsi="Times New Roman"/>
            <w:color w:val="000000" w:themeColor="text1"/>
            <w:sz w:val="16"/>
            <w:szCs w:val="16"/>
            <w:lang w:eastAsia="ru-RU"/>
          </w:rPr>
          <w:t>[257]</w:t>
        </w:r>
      </w:hyperlink>
      <w:r w:rsidRPr="005E779E">
        <w:rPr>
          <w:rFonts w:ascii="Times New Roman" w:eastAsia="Times New Roman" w:hAnsi="Times New Roman"/>
          <w:color w:val="000000" w:themeColor="text1"/>
          <w:sz w:val="16"/>
          <w:szCs w:val="16"/>
          <w:lang w:eastAsia="ru-RU"/>
        </w:rPr>
        <w:t>.</w:t>
      </w:r>
    </w:p>
    <w:p w14:paraId="613FF77B" w14:textId="77777777" w:rsidR="00D60F52" w:rsidRPr="005E779E" w:rsidRDefault="00D60F52"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Во время испытаний БИЧ-8 у Королёва возникла мысль использовать планер для создания экспериментального аппарата с ЖРД. Схема «бесхвостка» позволяла компактно разместить двигатель и баки с горючим и окислителем вблизи центра тяжести, свести к минимуму длину трубопроводов, избежать проблем с защитой хвостового оперения от воздействия реактивной струию</w:t>
      </w:r>
    </w:p>
    <w:p w14:paraId="6E061E1F" w14:textId="77777777" w:rsidR="00D60F52" w:rsidRPr="005E779E" w:rsidRDefault="00D60F52"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5 октября 1931 г. Королёв пригласил на аэродром Цандера и продемонстрировал ему полёты бесхвостого планера. Через два дня Королёв и Черановский приехали посмотреть на запуски ЖРД Цандера ОР-1, работающего на бензине и жидком кислороде. Так сложился конструкторский коллектив по созданию ракетоплана РП-1 (17489).</w:t>
      </w:r>
    </w:p>
    <w:p w14:paraId="7BBE6F70" w14:textId="77777777" w:rsidR="00D60F52" w:rsidRPr="005E779E" w:rsidRDefault="00D60F52" w:rsidP="000B7A6C">
      <w:pPr>
        <w:spacing w:after="0" w:line="240" w:lineRule="auto"/>
        <w:jc w:val="both"/>
        <w:rPr>
          <w:rFonts w:ascii="Times New Roman" w:eastAsia="Times New Roman" w:hAnsi="Times New Roman"/>
          <w:color w:val="000000" w:themeColor="text1"/>
          <w:sz w:val="16"/>
          <w:szCs w:val="16"/>
          <w:lang w:eastAsia="ru-RU"/>
        </w:rPr>
      </w:pPr>
    </w:p>
    <w:p w14:paraId="1DE3DBAB" w14:textId="77777777" w:rsidR="00C356D8" w:rsidRPr="005E779E" w:rsidRDefault="00C356D8" w:rsidP="00C356D8">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Осенью 1931 г. С.П.Королев получил разрешение испытать БИЧ-8, которым после полетов на нем в 1929 г. не пользовались. На подмосковной планерной станции Королев выполнил 12 полетов, от которых у него остались приятное впечатление. "Планер БИЧ-8 отличается полной устойчивостью в продольном и поперечном направлении, так и устойчивостью пути. Очень чуток на руль высоты и не любит резких движений. На малых углах имеет большую скорость снижения, а нормально летит с углом около 3°. Однако при всех возможных режимах не имеет тенденции к потере устойчивости, самопроизвольному уменьшению или увеличению угла, а наоборот очень охотно идет за ручкой, возвращаясь в исходное положение", — писал Королев в журнале "Самолет".</w:t>
      </w:r>
    </w:p>
    <w:p w14:paraId="496EDFFA" w14:textId="77777777" w:rsidR="00C356D8" w:rsidRPr="005E779E" w:rsidRDefault="00C356D8" w:rsidP="00C356D8">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 время испытаний БИЧ-8 у Королева возникла мысль приспособить такой аппарат для создания экспериментального самолета с жидкостным ракетным двигателем (ЖРД). Схема "летающее крыло" позволяла компактно разместить сам двигатель и баки с горючим и окислителем вблизи центра тяжести самолета, свести к минимуму длину трубопроводов, избежать проблем с защитой хвостового оперения от воздействия реактивной струи (24253).</w:t>
      </w:r>
    </w:p>
    <w:p w14:paraId="3D9354C9" w14:textId="77777777" w:rsidR="00C356D8" w:rsidRPr="005E779E" w:rsidRDefault="00C356D8" w:rsidP="00C356D8">
      <w:pPr>
        <w:spacing w:after="0" w:line="240" w:lineRule="auto"/>
        <w:jc w:val="both"/>
        <w:rPr>
          <w:rFonts w:ascii="Times New Roman" w:hAnsi="Times New Roman"/>
          <w:color w:val="000000" w:themeColor="text1"/>
          <w:sz w:val="16"/>
          <w:szCs w:val="16"/>
        </w:rPr>
      </w:pPr>
    </w:p>
    <w:p w14:paraId="11F72679" w14:textId="77777777" w:rsidR="00D45435" w:rsidRPr="005E779E" w:rsidRDefault="00D4543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Осенью 1931 г. было принято решение о пере</w:t>
      </w:r>
      <w:r w:rsidRPr="005E779E">
        <w:rPr>
          <w:rFonts w:ascii="Times New Roman" w:hAnsi="Times New Roman"/>
          <w:color w:val="000000" w:themeColor="text1"/>
          <w:sz w:val="16"/>
          <w:szCs w:val="16"/>
        </w:rPr>
        <w:softHyphen/>
        <w:t>воде работ по дирижаблестроению в Москву, где к тому времени специалисты ЦАГИ в обществен</w:t>
      </w:r>
      <w:r w:rsidRPr="005E779E">
        <w:rPr>
          <w:rFonts w:ascii="Times New Roman" w:hAnsi="Times New Roman"/>
          <w:color w:val="000000" w:themeColor="text1"/>
          <w:sz w:val="16"/>
          <w:szCs w:val="16"/>
        </w:rPr>
        <w:softHyphen/>
        <w:t>ном порядке занимались проектом полужёсткого дирижабля объёмом 2750 м3 (под руководством Н.В. Лебедева) и проектировали дирижабль мяг</w:t>
      </w:r>
      <w:r w:rsidRPr="005E779E">
        <w:rPr>
          <w:rFonts w:ascii="Times New Roman" w:hAnsi="Times New Roman"/>
          <w:color w:val="000000" w:themeColor="text1"/>
          <w:sz w:val="16"/>
          <w:szCs w:val="16"/>
        </w:rPr>
        <w:softHyphen/>
        <w:t>кого типа «СССР В-1» объёмом 2200 м3 (под ру</w:t>
      </w:r>
      <w:r w:rsidRPr="005E779E">
        <w:rPr>
          <w:rFonts w:ascii="Times New Roman" w:hAnsi="Times New Roman"/>
          <w:color w:val="000000" w:themeColor="text1"/>
          <w:sz w:val="16"/>
          <w:szCs w:val="16"/>
        </w:rPr>
        <w:softHyphen/>
        <w:t>ководством В.Г. Гараканидзе). В Москве имелся также летающий дирижабль «Комсомольская правда», что позволяло готовить лётные кадры дирижаблистов, а инженерам-конструкторам приобретать необходимый опыт и навыки прак</w:t>
      </w:r>
      <w:r w:rsidRPr="005E779E">
        <w:rPr>
          <w:rFonts w:ascii="Times New Roman" w:hAnsi="Times New Roman"/>
          <w:color w:val="000000" w:themeColor="text1"/>
          <w:sz w:val="16"/>
          <w:szCs w:val="16"/>
        </w:rPr>
        <w:softHyphen/>
        <w:t>тической работы (20120).</w:t>
      </w:r>
    </w:p>
    <w:p w14:paraId="518BA53B" w14:textId="77777777" w:rsidR="00D45435" w:rsidRPr="005E779E" w:rsidRDefault="00D45435" w:rsidP="000B7A6C">
      <w:pPr>
        <w:spacing w:after="0" w:line="240" w:lineRule="auto"/>
        <w:jc w:val="both"/>
        <w:rPr>
          <w:rFonts w:ascii="Times New Roman" w:hAnsi="Times New Roman"/>
          <w:color w:val="000000" w:themeColor="text1"/>
          <w:sz w:val="16"/>
          <w:szCs w:val="16"/>
        </w:rPr>
      </w:pPr>
    </w:p>
    <w:p w14:paraId="754EA7E4" w14:textId="77777777" w:rsidR="00D45435" w:rsidRPr="005E779E" w:rsidRDefault="00D4543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Осенью 1931 года в Долгопруд</w:t>
      </w:r>
      <w:r w:rsidRPr="005E779E">
        <w:rPr>
          <w:rFonts w:ascii="Times New Roman" w:hAnsi="Times New Roman"/>
          <w:color w:val="000000" w:themeColor="text1"/>
          <w:sz w:val="16"/>
          <w:szCs w:val="16"/>
        </w:rPr>
        <w:softHyphen/>
        <w:t>ной началось строительство базы. Намечалось возвести металлические эллинги для полужёст</w:t>
      </w:r>
      <w:r w:rsidRPr="005E779E">
        <w:rPr>
          <w:rFonts w:ascii="Times New Roman" w:hAnsi="Times New Roman"/>
          <w:color w:val="000000" w:themeColor="text1"/>
          <w:sz w:val="16"/>
          <w:szCs w:val="16"/>
        </w:rPr>
        <w:softHyphen/>
        <w:t>ких и жёстких дирижаблей, ряд небольших эл</w:t>
      </w:r>
      <w:r w:rsidRPr="005E779E">
        <w:rPr>
          <w:rFonts w:ascii="Times New Roman" w:hAnsi="Times New Roman"/>
          <w:color w:val="000000" w:themeColor="text1"/>
          <w:sz w:val="16"/>
          <w:szCs w:val="16"/>
        </w:rPr>
        <w:softHyphen/>
        <w:t>лингов для мягких дирижаблей, сделать лётное поле, причальные мачты, мастерские и жилой городок, оборудовать подъездные пути. В апре</w:t>
      </w:r>
      <w:r w:rsidRPr="005E779E">
        <w:rPr>
          <w:rFonts w:ascii="Times New Roman" w:hAnsi="Times New Roman"/>
          <w:color w:val="000000" w:themeColor="text1"/>
          <w:sz w:val="16"/>
          <w:szCs w:val="16"/>
        </w:rPr>
        <w:softHyphen/>
        <w:t>ле 1932 г. прошло слияние Центральной возду</w:t>
      </w:r>
      <w:r w:rsidRPr="005E779E">
        <w:rPr>
          <w:rFonts w:ascii="Times New Roman" w:hAnsi="Times New Roman"/>
          <w:color w:val="000000" w:themeColor="text1"/>
          <w:sz w:val="16"/>
          <w:szCs w:val="16"/>
        </w:rPr>
        <w:softHyphen/>
        <w:t>хоплавательной базы Осоавиахима с «Дирижа- блестроем», при этом последний получил дири</w:t>
      </w:r>
      <w:r w:rsidRPr="005E779E">
        <w:rPr>
          <w:rFonts w:ascii="Times New Roman" w:hAnsi="Times New Roman"/>
          <w:color w:val="000000" w:themeColor="text1"/>
          <w:sz w:val="16"/>
          <w:szCs w:val="16"/>
        </w:rPr>
        <w:softHyphen/>
        <w:t>жабль «Комсомольская правда» (20120).</w:t>
      </w:r>
    </w:p>
    <w:p w14:paraId="658BBF66" w14:textId="77777777" w:rsidR="00D45435" w:rsidRPr="005E779E" w:rsidRDefault="00D45435" w:rsidP="000B7A6C">
      <w:pPr>
        <w:spacing w:after="0" w:line="240" w:lineRule="auto"/>
        <w:jc w:val="both"/>
        <w:rPr>
          <w:rFonts w:ascii="Times New Roman" w:hAnsi="Times New Roman"/>
          <w:color w:val="000000" w:themeColor="text1"/>
          <w:sz w:val="16"/>
          <w:szCs w:val="16"/>
        </w:rPr>
      </w:pPr>
    </w:p>
    <w:p w14:paraId="53C61658"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71541524"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4A997EB" w14:textId="77777777" w:rsidR="00754CB5" w:rsidRPr="005E779E" w:rsidRDefault="00754C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Осенью 1931 г. Штаб Красной Армии полагал, что в случае возникновения войны в 1933, а также в последующие годы потребуется новая мобилизационная схема МР-12. Новый военный план предусматривал увеличение численности вооружённых сил на один миллион человек. Требуемые мощности промышленности и соответствующий уровень её мобилизационной готовности вызывали необходимость существенных инвестиций и оборонных заказов в 1932 г. Полное удовлетворение этих запросов означало бы увеличение оборонного бюджета 1932 г. до 4,5 млрд. рублей. Даже самим военным этот уровень расходов казался недостижимым. Однако успешное проведение ряда мероприятий в 1932 г. позволяло приблизиться к уровню готовности, предусматривавшемуся планом МР-12.</w:t>
      </w:r>
    </w:p>
    <w:p w14:paraId="1935E086" w14:textId="77777777" w:rsidR="00754CB5" w:rsidRPr="005E779E" w:rsidRDefault="00754C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Предложения Штаба РККА по бюджету НКВМ на 1932 г. (млн. рублей)</w:t>
      </w:r>
    </w:p>
    <w:tbl>
      <w:tblPr>
        <w:tblW w:w="10456" w:type="dxa"/>
        <w:tblLook w:val="04A0" w:firstRow="1" w:lastRow="0" w:firstColumn="1" w:lastColumn="0" w:noHBand="0" w:noVBand="1"/>
      </w:tblPr>
      <w:tblGrid>
        <w:gridCol w:w="5228"/>
        <w:gridCol w:w="5228"/>
      </w:tblGrid>
      <w:tr w:rsidR="001002C3" w:rsidRPr="005E779E" w14:paraId="2AC62906" w14:textId="77777777" w:rsidTr="00027DFA">
        <w:tc>
          <w:tcPr>
            <w:tcW w:w="5228" w:type="dxa"/>
          </w:tcPr>
          <w:p w14:paraId="42F33977" w14:textId="77777777" w:rsidR="00754CB5" w:rsidRPr="005E779E" w:rsidRDefault="00754CB5" w:rsidP="000B7A6C">
            <w:pPr>
              <w:spacing w:after="0" w:line="240" w:lineRule="auto"/>
              <w:jc w:val="both"/>
              <w:rPr>
                <w:rFonts w:ascii="Times New Roman" w:hAnsi="Times New Roman"/>
                <w:color w:val="000000" w:themeColor="text1"/>
                <w:sz w:val="16"/>
                <w:szCs w:val="16"/>
              </w:rPr>
            </w:pPr>
            <w:r w:rsidRPr="005E779E">
              <w:rPr>
                <w:rFonts w:ascii="Times New Roman" w:eastAsia="Times New Roman" w:hAnsi="Times New Roman"/>
                <w:color w:val="000000" w:themeColor="text1"/>
                <w:sz w:val="16"/>
                <w:szCs w:val="16"/>
                <w:lang w:eastAsia="ru-RU"/>
              </w:rPr>
              <w:t>Всего</w:t>
            </w:r>
          </w:p>
        </w:tc>
        <w:tc>
          <w:tcPr>
            <w:tcW w:w="5228" w:type="dxa"/>
          </w:tcPr>
          <w:p w14:paraId="07F05A55" w14:textId="77777777" w:rsidR="00754CB5" w:rsidRPr="005E779E" w:rsidRDefault="00754C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2985,5</w:t>
            </w:r>
          </w:p>
        </w:tc>
      </w:tr>
      <w:tr w:rsidR="001002C3" w:rsidRPr="005E779E" w14:paraId="316BE16D" w14:textId="77777777" w:rsidTr="00027DFA">
        <w:tc>
          <w:tcPr>
            <w:tcW w:w="5228" w:type="dxa"/>
          </w:tcPr>
          <w:p w14:paraId="0F20A339" w14:textId="77777777" w:rsidR="00754CB5" w:rsidRPr="005E779E" w:rsidRDefault="00754CB5" w:rsidP="000B7A6C">
            <w:pPr>
              <w:spacing w:after="0" w:line="240" w:lineRule="auto"/>
              <w:jc w:val="both"/>
              <w:rPr>
                <w:rFonts w:ascii="Times New Roman" w:hAnsi="Times New Roman"/>
                <w:color w:val="000000" w:themeColor="text1"/>
                <w:sz w:val="16"/>
                <w:szCs w:val="16"/>
              </w:rPr>
            </w:pPr>
            <w:r w:rsidRPr="005E779E">
              <w:rPr>
                <w:rFonts w:ascii="Times New Roman" w:eastAsia="Times New Roman" w:hAnsi="Times New Roman"/>
                <w:color w:val="000000" w:themeColor="text1"/>
                <w:sz w:val="16"/>
                <w:szCs w:val="16"/>
                <w:lang w:eastAsia="ru-RU"/>
              </w:rPr>
              <w:t>из которых</w:t>
            </w:r>
          </w:p>
        </w:tc>
        <w:tc>
          <w:tcPr>
            <w:tcW w:w="5228" w:type="dxa"/>
          </w:tcPr>
          <w:p w14:paraId="72228597" w14:textId="77777777" w:rsidR="00754CB5" w:rsidRPr="005E779E" w:rsidRDefault="00754CB5" w:rsidP="000B7A6C">
            <w:pPr>
              <w:spacing w:after="0" w:line="240" w:lineRule="auto"/>
              <w:jc w:val="both"/>
              <w:rPr>
                <w:rFonts w:ascii="Times New Roman" w:hAnsi="Times New Roman"/>
                <w:color w:val="000000" w:themeColor="text1"/>
                <w:sz w:val="16"/>
                <w:szCs w:val="16"/>
              </w:rPr>
            </w:pPr>
          </w:p>
        </w:tc>
      </w:tr>
      <w:tr w:rsidR="001002C3" w:rsidRPr="005E779E" w14:paraId="6ADA8AC4" w14:textId="77777777" w:rsidTr="00027DFA">
        <w:tc>
          <w:tcPr>
            <w:tcW w:w="5228" w:type="dxa"/>
          </w:tcPr>
          <w:p w14:paraId="12B3D7E9" w14:textId="77777777" w:rsidR="00754CB5" w:rsidRPr="005E779E" w:rsidRDefault="00754CB5" w:rsidP="000B7A6C">
            <w:pPr>
              <w:spacing w:after="0" w:line="240" w:lineRule="auto"/>
              <w:jc w:val="both"/>
              <w:rPr>
                <w:rFonts w:ascii="Times New Roman" w:hAnsi="Times New Roman"/>
                <w:color w:val="000000" w:themeColor="text1"/>
                <w:sz w:val="16"/>
                <w:szCs w:val="16"/>
              </w:rPr>
            </w:pPr>
            <w:r w:rsidRPr="005E779E">
              <w:rPr>
                <w:rFonts w:ascii="Times New Roman" w:eastAsia="Times New Roman" w:hAnsi="Times New Roman"/>
                <w:color w:val="000000" w:themeColor="text1"/>
                <w:sz w:val="16"/>
                <w:szCs w:val="16"/>
                <w:lang w:eastAsia="ru-RU"/>
              </w:rPr>
              <w:t>Оборонные заказы, вооружение</w:t>
            </w:r>
          </w:p>
        </w:tc>
        <w:tc>
          <w:tcPr>
            <w:tcW w:w="5228" w:type="dxa"/>
          </w:tcPr>
          <w:p w14:paraId="186EB9CC" w14:textId="77777777" w:rsidR="00754CB5" w:rsidRPr="005E779E" w:rsidRDefault="00754C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1629,3</w:t>
            </w:r>
          </w:p>
        </w:tc>
      </w:tr>
      <w:tr w:rsidR="001002C3" w:rsidRPr="005E779E" w14:paraId="76423C11" w14:textId="77777777" w:rsidTr="00027DFA">
        <w:tc>
          <w:tcPr>
            <w:tcW w:w="5228" w:type="dxa"/>
          </w:tcPr>
          <w:p w14:paraId="5D0A823A" w14:textId="77777777" w:rsidR="00754CB5" w:rsidRPr="005E779E" w:rsidRDefault="00754CB5" w:rsidP="000B7A6C">
            <w:pPr>
              <w:spacing w:after="0" w:line="240" w:lineRule="auto"/>
              <w:jc w:val="both"/>
              <w:rPr>
                <w:rFonts w:ascii="Times New Roman" w:hAnsi="Times New Roman"/>
                <w:color w:val="000000" w:themeColor="text1"/>
                <w:sz w:val="16"/>
                <w:szCs w:val="16"/>
              </w:rPr>
            </w:pPr>
            <w:r w:rsidRPr="005E779E">
              <w:rPr>
                <w:rFonts w:ascii="Times New Roman" w:eastAsia="Times New Roman" w:hAnsi="Times New Roman"/>
                <w:color w:val="000000" w:themeColor="text1"/>
                <w:sz w:val="16"/>
                <w:szCs w:val="16"/>
                <w:lang w:eastAsia="ru-RU"/>
              </w:rPr>
              <w:t>Капитальное строительство</w:t>
            </w:r>
          </w:p>
        </w:tc>
        <w:tc>
          <w:tcPr>
            <w:tcW w:w="5228" w:type="dxa"/>
          </w:tcPr>
          <w:p w14:paraId="7732E32D" w14:textId="77777777" w:rsidR="00754CB5" w:rsidRPr="005E779E" w:rsidRDefault="00754C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350</w:t>
            </w:r>
          </w:p>
        </w:tc>
      </w:tr>
      <w:tr w:rsidR="001002C3" w:rsidRPr="005E779E" w14:paraId="1A0464A6" w14:textId="77777777" w:rsidTr="00027DFA">
        <w:tc>
          <w:tcPr>
            <w:tcW w:w="5228" w:type="dxa"/>
          </w:tcPr>
          <w:p w14:paraId="660748CA" w14:textId="77777777" w:rsidR="00754CB5" w:rsidRPr="005E779E" w:rsidRDefault="00754CB5" w:rsidP="000B7A6C">
            <w:pPr>
              <w:spacing w:after="0" w:line="240" w:lineRule="auto"/>
              <w:jc w:val="both"/>
              <w:rPr>
                <w:rFonts w:ascii="Times New Roman" w:hAnsi="Times New Roman"/>
                <w:color w:val="000000" w:themeColor="text1"/>
                <w:sz w:val="16"/>
                <w:szCs w:val="16"/>
              </w:rPr>
            </w:pPr>
            <w:r w:rsidRPr="005E779E">
              <w:rPr>
                <w:rFonts w:ascii="Times New Roman" w:eastAsia="Times New Roman" w:hAnsi="Times New Roman"/>
                <w:color w:val="000000" w:themeColor="text1"/>
                <w:sz w:val="16"/>
                <w:szCs w:val="16"/>
                <w:lang w:eastAsia="ru-RU"/>
              </w:rPr>
              <w:t>Эксплуатация</w:t>
            </w:r>
          </w:p>
        </w:tc>
        <w:tc>
          <w:tcPr>
            <w:tcW w:w="5228" w:type="dxa"/>
          </w:tcPr>
          <w:p w14:paraId="40806DE3" w14:textId="77777777" w:rsidR="00754CB5" w:rsidRPr="005E779E" w:rsidRDefault="00754C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101,0</w:t>
            </w:r>
          </w:p>
        </w:tc>
      </w:tr>
      <w:tr w:rsidR="001002C3" w:rsidRPr="005E779E" w14:paraId="1D887DA3" w14:textId="77777777" w:rsidTr="00027DFA">
        <w:tc>
          <w:tcPr>
            <w:tcW w:w="5228" w:type="dxa"/>
          </w:tcPr>
          <w:p w14:paraId="3595FD36" w14:textId="77777777" w:rsidR="00754CB5" w:rsidRPr="005E779E" w:rsidRDefault="00754CB5" w:rsidP="000B7A6C">
            <w:pPr>
              <w:spacing w:after="0" w:line="240" w:lineRule="auto"/>
              <w:jc w:val="both"/>
              <w:rPr>
                <w:rFonts w:ascii="Times New Roman" w:hAnsi="Times New Roman"/>
                <w:color w:val="000000" w:themeColor="text1"/>
                <w:sz w:val="16"/>
                <w:szCs w:val="16"/>
              </w:rPr>
            </w:pPr>
            <w:r w:rsidRPr="005E779E">
              <w:rPr>
                <w:rFonts w:ascii="Times New Roman" w:eastAsia="Times New Roman" w:hAnsi="Times New Roman"/>
                <w:color w:val="000000" w:themeColor="text1"/>
                <w:sz w:val="16"/>
                <w:szCs w:val="16"/>
                <w:lang w:eastAsia="ru-RU"/>
              </w:rPr>
              <w:t>Денежное содержание</w:t>
            </w:r>
          </w:p>
        </w:tc>
        <w:tc>
          <w:tcPr>
            <w:tcW w:w="5228" w:type="dxa"/>
          </w:tcPr>
          <w:p w14:paraId="561FD057" w14:textId="77777777" w:rsidR="00754CB5" w:rsidRPr="005E779E" w:rsidRDefault="00754C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904,6</w:t>
            </w:r>
          </w:p>
        </w:tc>
      </w:tr>
    </w:tbl>
    <w:p w14:paraId="18489C80" w14:textId="77777777" w:rsidR="00754CB5" w:rsidRPr="005E779E" w:rsidRDefault="00754C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Источник: РГАЭ. Ф.4372. Оп.91. Д.1149. Л.19 (9089).</w:t>
      </w:r>
    </w:p>
    <w:p w14:paraId="34A89C83" w14:textId="77777777" w:rsidR="00754CB5" w:rsidRPr="005E779E" w:rsidRDefault="00754CB5" w:rsidP="000B7A6C">
      <w:pPr>
        <w:spacing w:after="0" w:line="240" w:lineRule="auto"/>
        <w:jc w:val="both"/>
        <w:rPr>
          <w:rFonts w:ascii="Times New Roman" w:hAnsi="Times New Roman"/>
          <w:color w:val="000000" w:themeColor="text1"/>
          <w:sz w:val="16"/>
          <w:szCs w:val="16"/>
        </w:rPr>
      </w:pPr>
    </w:p>
    <w:p w14:paraId="41BC0A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Осенью 1931 был выпущен БТ-2 (3016,48).</w:t>
      </w:r>
    </w:p>
    <w:p w14:paraId="65F921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197DEB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Осенью 1931 танки Т-26 отечественной сборки начали самостоятельно выпол</w:t>
      </w:r>
      <w:r w:rsidRPr="005E779E">
        <w:rPr>
          <w:rFonts w:ascii="Times New Roman" w:hAnsi="Times New Roman"/>
          <w:color w:val="000000" w:themeColor="text1"/>
          <w:sz w:val="16"/>
          <w:szCs w:val="16"/>
        </w:rPr>
        <w:softHyphen/>
        <w:t>зать из ворот завода и передвигаться по заводскому полиго</w:t>
      </w:r>
      <w:r w:rsidRPr="005E779E">
        <w:rPr>
          <w:rFonts w:ascii="Times New Roman" w:hAnsi="Times New Roman"/>
          <w:color w:val="000000" w:themeColor="text1"/>
          <w:sz w:val="16"/>
          <w:szCs w:val="16"/>
        </w:rPr>
        <w:softHyphen/>
        <w:t>ну. К концу года на заводе скопился уже приличный задел в 120 готовых танков Т-26, однако попытки сдать их полнос</w:t>
      </w:r>
      <w:r w:rsidRPr="005E779E">
        <w:rPr>
          <w:rFonts w:ascii="Times New Roman" w:hAnsi="Times New Roman"/>
          <w:color w:val="000000" w:themeColor="text1"/>
          <w:sz w:val="16"/>
          <w:szCs w:val="16"/>
        </w:rPr>
        <w:softHyphen/>
        <w:t>тью успехом не увенчались. После долгих проволочек заказчик согласился принять 88 танков, причем половину условно, как несущие корпуса из сырой брони, кроме того, заводу предлагалось в ближай</w:t>
      </w:r>
      <w:r w:rsidRPr="005E779E">
        <w:rPr>
          <w:rFonts w:ascii="Times New Roman" w:hAnsi="Times New Roman"/>
          <w:color w:val="000000" w:themeColor="text1"/>
          <w:sz w:val="16"/>
          <w:szCs w:val="16"/>
        </w:rPr>
        <w:softHyphen/>
        <w:t>шее время провести на всех танках замену двигателей на новые, так как у большинства при работе под нагрузкой (в движении) они издавали «множественные посторонние шумы и испытывали перебои» (10733,176).</w:t>
      </w:r>
    </w:p>
    <w:p w14:paraId="5A48B76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AFB8F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Осенью 1931 г. «Большевик» получил необычный заказ -риготовить и отгрузить в распоряжение Мобуправления РККА 12 учебных комплектов танка Т-26. Эти комплекты цставляли собой частично или полностью препарированные танки, в которых было бы хорошо видно взаимное рас</w:t>
      </w:r>
      <w:r w:rsidRPr="005E779E">
        <w:rPr>
          <w:rFonts w:ascii="Times New Roman" w:hAnsi="Times New Roman"/>
          <w:color w:val="000000" w:themeColor="text1"/>
          <w:sz w:val="16"/>
          <w:szCs w:val="16"/>
        </w:rPr>
        <w:softHyphen/>
        <w:t>положение и взаимодействие различных узлов и механизмов. Учебные комплекты были собраны из забракованных дета</w:t>
      </w:r>
      <w:r w:rsidRPr="005E779E">
        <w:rPr>
          <w:rFonts w:ascii="Times New Roman" w:hAnsi="Times New Roman"/>
          <w:color w:val="000000" w:themeColor="text1"/>
          <w:sz w:val="16"/>
          <w:szCs w:val="16"/>
        </w:rPr>
        <w:softHyphen/>
        <w:t>лей и отгружены в отведенные сроки. Видимо, это был пер</w:t>
      </w:r>
      <w:r w:rsidRPr="005E779E">
        <w:rPr>
          <w:rFonts w:ascii="Times New Roman" w:hAnsi="Times New Roman"/>
          <w:color w:val="000000" w:themeColor="text1"/>
          <w:sz w:val="16"/>
          <w:szCs w:val="16"/>
        </w:rPr>
        <w:softHyphen/>
        <w:t>вый закаЪ по Т-26, выполненный своевременно и полностью (10733,176).</w:t>
      </w:r>
    </w:p>
    <w:p w14:paraId="1A5896F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A3EEB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Осенью 1931 г. в производство принимается цилиндри</w:t>
      </w:r>
      <w:r w:rsidRPr="005E779E">
        <w:rPr>
          <w:rFonts w:ascii="Times New Roman" w:hAnsi="Times New Roman"/>
          <w:color w:val="000000" w:themeColor="text1"/>
          <w:sz w:val="16"/>
          <w:szCs w:val="16"/>
        </w:rPr>
        <w:softHyphen/>
        <w:t>ческая пулеметная повышенная башня со смотровым окном. Кроме того, для улучшения работы мотора его отодвинули на 77 мм ближе к корме, соответственно удлинив кардан и изме</w:t>
      </w:r>
      <w:r w:rsidRPr="005E779E">
        <w:rPr>
          <w:rFonts w:ascii="Times New Roman" w:hAnsi="Times New Roman"/>
          <w:color w:val="000000" w:themeColor="text1"/>
          <w:sz w:val="16"/>
          <w:szCs w:val="16"/>
        </w:rPr>
        <w:softHyphen/>
        <w:t>нив вывод выхлопной трубы и крепление глушителя Т-26 (10733,179).</w:t>
      </w:r>
    </w:p>
    <w:p w14:paraId="53091D9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C239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Осенью 1931 г. начался выпуск Т-26 и 15 первых машин приняли участие в военном параде 7 ноября 1931.</w:t>
      </w:r>
    </w:p>
    <w:p w14:paraId="791FDE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отличие от английского образца на советском танке была более толстая броня (15 мм вместо 13) и двигатель воздушного охлаждения мощностью 90 л.с. отечественного производства. Масса его достигала 8,2 т, скорость - 30 км/ч, экипаж - три человека. Внешне он почти ничем не отличался о своего английского прототипа, если на считать несколько измененной формы передней части корпуса и очертаний двух независимо вращающихся пулеметных башен. Каждая башня могла поворачиваться на угол 240 градусов. В переднем и заднем секторах (по 100 градусов) могли вести огонь обе башни. Такое размещение вооружения, по мысли английских конструкторов, обеспечивало наибольший темп стрельбы и позволяло вести огонь одновременно с правого и левого бортов. Но при такой компоновке оказалось трудно установить в башне пушечное вооружение из-за малого диаметра погона, а также использовать всю огневую мощь на борт (3861).</w:t>
      </w:r>
    </w:p>
    <w:p w14:paraId="56B46B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29634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осени 1931 для Т-26 с двумя башнями приняли новую улучшенную башню со смотровым окном (9527,70).</w:t>
      </w:r>
    </w:p>
    <w:p w14:paraId="375FB8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E4218E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Осенью 1931 г. Н. Дыренков предло</w:t>
      </w:r>
      <w:r w:rsidRPr="005E779E">
        <w:rPr>
          <w:rFonts w:ascii="Times New Roman" w:hAnsi="Times New Roman"/>
          <w:color w:val="000000" w:themeColor="text1"/>
          <w:sz w:val="16"/>
          <w:szCs w:val="16"/>
        </w:rPr>
        <w:softHyphen/>
        <w:t>жил УММ проект танка Д-38, представлявший собой танк «Кристи» с 37-мм пушкой в башне и 76-мм пушкой в кор</w:t>
      </w:r>
      <w:r w:rsidRPr="005E779E">
        <w:rPr>
          <w:rFonts w:ascii="Times New Roman" w:hAnsi="Times New Roman"/>
          <w:color w:val="000000" w:themeColor="text1"/>
          <w:sz w:val="16"/>
          <w:szCs w:val="16"/>
        </w:rPr>
        <w:softHyphen/>
        <w:t>пусе и разработавший большую башню для 76-мм пушки в Т-26' Правда, специальная комиссия «по проверке расче</w:t>
      </w:r>
      <w:r w:rsidRPr="005E779E">
        <w:rPr>
          <w:rFonts w:ascii="Times New Roman" w:hAnsi="Times New Roman"/>
          <w:color w:val="000000" w:themeColor="text1"/>
          <w:sz w:val="16"/>
          <w:szCs w:val="16"/>
        </w:rPr>
        <w:softHyphen/>
        <w:t>тов и оценки конструкций Д-4, Д-5 и Д-38» сочла данные решения неоправданными и работы по ним в существую</w:t>
      </w:r>
      <w:r w:rsidRPr="005E779E">
        <w:rPr>
          <w:rFonts w:ascii="Times New Roman" w:hAnsi="Times New Roman"/>
          <w:color w:val="000000" w:themeColor="text1"/>
          <w:sz w:val="16"/>
          <w:szCs w:val="16"/>
        </w:rPr>
        <w:softHyphen/>
        <w:t>щем виде предписывала прекратить (10733,334).</w:t>
      </w:r>
    </w:p>
    <w:p w14:paraId="78C1E36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3DDAEF" w14:textId="77777777" w:rsidR="004D11D4" w:rsidRPr="005E779E" w:rsidRDefault="004D11D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Осенью 1931 г. Н. И. Дыренковым был разработан проект модернизации вооружения </w:t>
      </w:r>
      <w:hyperlink r:id="rId179"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а БТ за счет установки 37-мм пушки во вращающейся башне и 76,2-мм пушки — в лобовом листе корпуса машины. Проект не был принят из-за малых размеров боевого отделения, неудачной конструкции агрегатов трансмиссии и приводов к двум парам задних ведущих колес.</w:t>
      </w:r>
    </w:p>
    <w:p w14:paraId="7D04C7AE" w14:textId="77777777" w:rsidR="004D11D4" w:rsidRPr="005E779E" w:rsidRDefault="004D11D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Специальная комиссия «по проверке расчетов и оценки конструкций Д-4, Д-5 и Д-38» сочла данные решения неоправданными и работы по ним в существующем виде предписывала прекратить (15619).</w:t>
      </w:r>
    </w:p>
    <w:p w14:paraId="3B6D5BA4" w14:textId="77777777" w:rsidR="004D11D4" w:rsidRPr="005E779E" w:rsidRDefault="004D11D4" w:rsidP="000B7A6C">
      <w:pPr>
        <w:spacing w:after="0" w:line="240" w:lineRule="auto"/>
        <w:jc w:val="both"/>
        <w:rPr>
          <w:rFonts w:ascii="Times New Roman" w:hAnsi="Times New Roman"/>
          <w:color w:val="000000" w:themeColor="text1"/>
          <w:sz w:val="16"/>
          <w:szCs w:val="16"/>
        </w:rPr>
      </w:pPr>
    </w:p>
    <w:p w14:paraId="6D617F1D" w14:textId="77777777" w:rsidR="004D11D4" w:rsidRPr="005E779E" w:rsidRDefault="004D11D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Осенью 1931 года Н.Дыренков представил в УММ проект танка Д- 38, представлявший собой танк «Кристи» с 37-мм пушкой в башне и 76-мм пуш</w:t>
      </w:r>
      <w:r w:rsidRPr="005E779E">
        <w:rPr>
          <w:rFonts w:ascii="Times New Roman" w:hAnsi="Times New Roman"/>
          <w:color w:val="000000" w:themeColor="text1"/>
          <w:sz w:val="16"/>
          <w:szCs w:val="16"/>
        </w:rPr>
        <w:softHyphen/>
        <w:t>кой в корпусе. Правда, военные его про</w:t>
      </w:r>
      <w:r w:rsidRPr="005E779E">
        <w:rPr>
          <w:rFonts w:ascii="Times New Roman" w:hAnsi="Times New Roman"/>
          <w:color w:val="000000" w:themeColor="text1"/>
          <w:sz w:val="16"/>
          <w:szCs w:val="16"/>
        </w:rPr>
        <w:softHyphen/>
        <w:t>ект не поддержали, но одновременно да</w:t>
      </w:r>
      <w:r w:rsidRPr="005E779E">
        <w:rPr>
          <w:rFonts w:ascii="Times New Roman" w:hAnsi="Times New Roman"/>
          <w:color w:val="000000" w:themeColor="text1"/>
          <w:sz w:val="16"/>
          <w:szCs w:val="16"/>
        </w:rPr>
        <w:softHyphen/>
        <w:t>ли Дыренкову карт-бланш на создание танка с корпусом БТ и большой башней с 76-мм пушкой. От аналогичной башни для Т-26 она отличалась технологией из</w:t>
      </w:r>
      <w:r w:rsidRPr="005E779E">
        <w:rPr>
          <w:rFonts w:ascii="Times New Roman" w:hAnsi="Times New Roman"/>
          <w:color w:val="000000" w:themeColor="text1"/>
          <w:sz w:val="16"/>
          <w:szCs w:val="16"/>
        </w:rPr>
        <w:softHyphen/>
        <w:t>готовления. Впрочем, на этом отличия заканчивались, недостатки у обеих ба</w:t>
      </w:r>
      <w:r w:rsidRPr="005E779E">
        <w:rPr>
          <w:rFonts w:ascii="Times New Roman" w:hAnsi="Times New Roman"/>
          <w:color w:val="000000" w:themeColor="text1"/>
          <w:sz w:val="16"/>
          <w:szCs w:val="16"/>
        </w:rPr>
        <w:softHyphen/>
        <w:t>шен были одинаковыми, и по этой при</w:t>
      </w:r>
      <w:r w:rsidRPr="005E779E">
        <w:rPr>
          <w:rFonts w:ascii="Times New Roman" w:hAnsi="Times New Roman"/>
          <w:color w:val="000000" w:themeColor="text1"/>
          <w:sz w:val="16"/>
          <w:szCs w:val="16"/>
        </w:rPr>
        <w:softHyphen/>
        <w:t>чине башня для БТ была забракована на тех же основаниях, что и для Т-26. Однако от идеи размещения 76-мм пушки в башне легкого танка не отказа</w:t>
      </w:r>
      <w:r w:rsidRPr="005E779E">
        <w:rPr>
          <w:rFonts w:ascii="Times New Roman" w:hAnsi="Times New Roman"/>
          <w:color w:val="000000" w:themeColor="text1"/>
          <w:sz w:val="16"/>
          <w:szCs w:val="16"/>
        </w:rPr>
        <w:softHyphen/>
        <w:t>лись (15232).</w:t>
      </w:r>
    </w:p>
    <w:p w14:paraId="505661E3" w14:textId="77777777" w:rsidR="004D11D4" w:rsidRPr="005E779E" w:rsidRDefault="004D11D4" w:rsidP="000B7A6C">
      <w:pPr>
        <w:spacing w:after="0" w:line="240" w:lineRule="auto"/>
        <w:jc w:val="both"/>
        <w:rPr>
          <w:rFonts w:ascii="Times New Roman" w:hAnsi="Times New Roman"/>
          <w:color w:val="000000" w:themeColor="text1"/>
          <w:sz w:val="16"/>
          <w:szCs w:val="16"/>
        </w:rPr>
      </w:pPr>
    </w:p>
    <w:p w14:paraId="1CF6201A" w14:textId="77777777" w:rsidR="004D11D4" w:rsidRPr="005E779E" w:rsidRDefault="004D11D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Осенью 1931 г. 37-мм пушку, спроектированную артиллерийским КБ завода «Большевик», установили в правой башне Т-26. Испытания этой системы прошли успешно, и она была принята на вооружение под индексом Б-3 (15132).</w:t>
      </w:r>
    </w:p>
    <w:p w14:paraId="293A48BC" w14:textId="77777777" w:rsidR="004D11D4" w:rsidRPr="005E779E" w:rsidRDefault="004D11D4" w:rsidP="000B7A6C">
      <w:pPr>
        <w:spacing w:after="0" w:line="240" w:lineRule="auto"/>
        <w:jc w:val="both"/>
        <w:rPr>
          <w:rFonts w:ascii="Times New Roman" w:hAnsi="Times New Roman"/>
          <w:color w:val="000000" w:themeColor="text1"/>
          <w:sz w:val="16"/>
          <w:szCs w:val="16"/>
        </w:rPr>
      </w:pPr>
    </w:p>
    <w:p w14:paraId="3C050C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Осенью 1931 года на ХПЗ построили три первые прототипа нового танка, названного БТ-2 (некоторые источники сообщают, что обозначение БТ-1 зарегистрировали за оригинальными танками Кристи). Первый серийный колесно-гусеничный танк носил обозначение БТ-2 и отличался от американского прототипа многочисленными конструктивными особенностями. Прежде всего танк имел вращающуюся башню (разработанную инженером А.А.Малоштановым), оснащался более легкими (с многочисленными облегчающими отверстиями) опорными катками. Было перекомпоновано боевое отделение - перенесли стеллажи боеукладки, установили новые приборы и т.д. Предполагалось вооружить танк 37-мм пушкой и пулеметом, но из-за нехватки пушек танки первой серии вооружали двумя пулеметами (расположенными в одной установке) или не вооружали вообще. Cуществовало по меньшей мере четыре варианта БТ-2 различавшихся вооружением:</w:t>
      </w:r>
    </w:p>
    <w:p w14:paraId="28AEC1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два пулемета в одной установке;</w:t>
      </w:r>
    </w:p>
    <w:p w14:paraId="5332D2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два пулемета в одной установке и еще третий в отдельной установке;</w:t>
      </w:r>
    </w:p>
    <w:p w14:paraId="5FD53E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пушка калибра 37-мм (без пулеметов);</w:t>
      </w:r>
    </w:p>
    <w:p w14:paraId="12C11C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пушка калибра 37-мм и пулемет в отдельной установке (3862).</w:t>
      </w:r>
    </w:p>
    <w:p w14:paraId="1578B7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333338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Осенью 1931 года, как только были выпущены первые танки БТ-2, Куликов немедлен</w:t>
      </w:r>
      <w:r w:rsidRPr="005E779E">
        <w:rPr>
          <w:rFonts w:ascii="Times New Roman" w:hAnsi="Times New Roman"/>
          <w:color w:val="000000" w:themeColor="text1"/>
          <w:sz w:val="16"/>
          <w:szCs w:val="16"/>
        </w:rPr>
        <w:softHyphen/>
        <w:t>но развернул работы по их всесторонним испытаниям и вскоре цех был загружен не только исследованием выявленных дефектов, но и проработ</w:t>
      </w:r>
      <w:r w:rsidRPr="005E779E">
        <w:rPr>
          <w:rFonts w:ascii="Times New Roman" w:hAnsi="Times New Roman"/>
          <w:color w:val="000000" w:themeColor="text1"/>
          <w:sz w:val="16"/>
          <w:szCs w:val="16"/>
        </w:rPr>
        <w:softHyphen/>
        <w:t>кой мероприятий по их устранению. Основная тяжесть всей работы в цехе легла на исследователей, коллектив которых полностью сформировался и сплотился только за последующие 2-3 года. Но молодые специалисты, пришедшие в цех, оказались исследователями по призванию, и сразу включились в работу, показав с самого начала неплохие результаты. В их числе были В.В. Амиратов, проработавший в опытном цехе долгие годы. С 1940 года он стал начальником исследовательского бюро опытного цеха, И.И. Гололобов, ставший вскоре одним из ведущих исследователей цеха, испытателем танка Т-34, О.А. Федотов и И.С. Томашпольский, посвя</w:t>
      </w:r>
      <w:r w:rsidRPr="005E779E">
        <w:rPr>
          <w:rFonts w:ascii="Times New Roman" w:hAnsi="Times New Roman"/>
          <w:color w:val="000000" w:themeColor="text1"/>
          <w:sz w:val="16"/>
          <w:szCs w:val="16"/>
        </w:rPr>
        <w:softHyphen/>
        <w:t>тивший работе в опытном цехе всю свою жизнь, поднимаясь по служеб</w:t>
      </w:r>
      <w:r w:rsidRPr="005E779E">
        <w:rPr>
          <w:rFonts w:ascii="Times New Roman" w:hAnsi="Times New Roman"/>
          <w:color w:val="000000" w:themeColor="text1"/>
          <w:sz w:val="16"/>
          <w:szCs w:val="16"/>
        </w:rPr>
        <w:softHyphen/>
        <w:t>ной лестнице, оба они в дальнейшем стали начальниками этого цеха. Эн</w:t>
      </w:r>
      <w:r w:rsidRPr="005E779E">
        <w:rPr>
          <w:rFonts w:ascii="Times New Roman" w:hAnsi="Times New Roman"/>
          <w:color w:val="000000" w:themeColor="text1"/>
          <w:sz w:val="16"/>
          <w:szCs w:val="16"/>
        </w:rPr>
        <w:softHyphen/>
        <w:t>тузиастами—исследователями в цехе были Е.А. Борковский, М.Г. Ки-зин, И. Руденко, а также работники лабораторий Ю.В. Ломтев, И.Я. Бо</w:t>
      </w:r>
      <w:r w:rsidRPr="005E779E">
        <w:rPr>
          <w:rFonts w:ascii="Times New Roman" w:hAnsi="Times New Roman"/>
          <w:color w:val="000000" w:themeColor="text1"/>
          <w:sz w:val="16"/>
          <w:szCs w:val="16"/>
        </w:rPr>
        <w:softHyphen/>
        <w:t>гомолов, М.Калугин и другие. К.А. Куликов обратил особое внимание подготовке водительских кад</w:t>
      </w:r>
      <w:r w:rsidRPr="005E779E">
        <w:rPr>
          <w:rFonts w:ascii="Times New Roman" w:hAnsi="Times New Roman"/>
          <w:color w:val="000000" w:themeColor="text1"/>
          <w:sz w:val="16"/>
          <w:szCs w:val="16"/>
        </w:rPr>
        <w:softHyphen/>
        <w:t>ров для опытного цеха. К началу пробеговых испытаний первых танков в опытном цехе было уже около 15 подготовленных водителей, среди кото</w:t>
      </w:r>
      <w:r w:rsidRPr="005E779E">
        <w:rPr>
          <w:rFonts w:ascii="Times New Roman" w:hAnsi="Times New Roman"/>
          <w:color w:val="000000" w:themeColor="text1"/>
          <w:sz w:val="16"/>
          <w:szCs w:val="16"/>
        </w:rPr>
        <w:softHyphen/>
        <w:t>рых вскоре выделились мастера вождения, первые ассы опытного цеха — И.Г.Битенский, С.М.Пономарев, а вскоре и Н.Ф.Носик. Опытный цех со временем стал одним из важнейших подразделений танкового производства и первым помощником конструкторов КБ. В от</w:t>
      </w:r>
      <w:r w:rsidRPr="005E779E">
        <w:rPr>
          <w:rFonts w:ascii="Times New Roman" w:hAnsi="Times New Roman"/>
          <w:color w:val="000000" w:themeColor="text1"/>
          <w:sz w:val="16"/>
          <w:szCs w:val="16"/>
        </w:rPr>
        <w:softHyphen/>
        <w:t>работке конструкции и эксплуатационных качеств не только семейства БТ, но и последующих моделей, опытный цех внес существенный вклад. Его работники активно участвовали во всех проводимых сборочным Цехом и военными представителями всевозможных проверках и специ</w:t>
      </w:r>
      <w:r w:rsidRPr="005E779E">
        <w:rPr>
          <w:rFonts w:ascii="Times New Roman" w:hAnsi="Times New Roman"/>
          <w:color w:val="000000" w:themeColor="text1"/>
          <w:sz w:val="16"/>
          <w:szCs w:val="16"/>
        </w:rPr>
        <w:softHyphen/>
        <w:t>альных испытаниях. А их было немало (11504).</w:t>
      </w:r>
    </w:p>
    <w:p w14:paraId="6E4D182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A5C8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осени 1931 КГ в составе Асафова, Алексеева и Скворцова, созданная весной 1931 по заданию ЭКО ОГПУ ЛВО разработала три проекта средних танков (9527,117).</w:t>
      </w:r>
    </w:p>
    <w:p w14:paraId="58FF04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A4977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Осенью 1931 прекратились развернутые в июне 1931 работы по созданию легкого трактора на базе узлов и агрегатов легкого танка Т-20 и танкетки Т-23 (9527,211).</w:t>
      </w:r>
    </w:p>
    <w:p w14:paraId="7F719B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E67624B" w14:textId="77777777" w:rsidR="001E1932" w:rsidRPr="00142305" w:rsidRDefault="001E1932" w:rsidP="001E193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осени 1931 года завод Красный Путиловец серийно производил детали для танков Т-26 – каретку нижней подвески, ведущее колесо, бортовые редукторы, элементы коробки передач (24998).</w:t>
      </w:r>
    </w:p>
    <w:p w14:paraId="6F32BFB2" w14:textId="77777777" w:rsidR="001E1932" w:rsidRPr="00142305" w:rsidRDefault="001E1932" w:rsidP="001E1932">
      <w:pPr>
        <w:spacing w:after="0" w:line="240" w:lineRule="auto"/>
        <w:jc w:val="both"/>
        <w:rPr>
          <w:rFonts w:ascii="Times New Roman" w:hAnsi="Times New Roman"/>
          <w:color w:val="0070C0"/>
          <w:sz w:val="16"/>
          <w:szCs w:val="16"/>
        </w:rPr>
      </w:pPr>
    </w:p>
    <w:p w14:paraId="08F0F173" w14:textId="77777777" w:rsidR="001E1932" w:rsidRPr="00142305" w:rsidRDefault="001E1932" w:rsidP="001E193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Осе</w:t>
      </w:r>
      <w:r w:rsidRPr="00142305">
        <w:rPr>
          <w:rFonts w:ascii="Times New Roman" w:hAnsi="Times New Roman"/>
          <w:color w:val="0070C0"/>
          <w:sz w:val="16"/>
          <w:szCs w:val="16"/>
        </w:rPr>
        <w:softHyphen/>
        <w:t>нью 1931 года для покупки «Либерти» в САСШ отправился В. Свиридов, при</w:t>
      </w:r>
      <w:r w:rsidRPr="00142305">
        <w:rPr>
          <w:rFonts w:ascii="Times New Roman" w:hAnsi="Times New Roman"/>
          <w:color w:val="0070C0"/>
          <w:sz w:val="16"/>
          <w:szCs w:val="16"/>
        </w:rPr>
        <w:softHyphen/>
        <w:t>чем разрешалось приобретать даже быв</w:t>
      </w:r>
      <w:r w:rsidRPr="00142305">
        <w:rPr>
          <w:rFonts w:ascii="Times New Roman" w:hAnsi="Times New Roman"/>
          <w:color w:val="0070C0"/>
          <w:sz w:val="16"/>
          <w:szCs w:val="16"/>
        </w:rPr>
        <w:softHyphen/>
        <w:t>шие в употреблении двигателей, если они имели хорошее состояние. В резуль</w:t>
      </w:r>
      <w:r w:rsidRPr="00142305">
        <w:rPr>
          <w:rFonts w:ascii="Times New Roman" w:hAnsi="Times New Roman"/>
          <w:color w:val="0070C0"/>
          <w:sz w:val="16"/>
          <w:szCs w:val="16"/>
        </w:rPr>
        <w:softHyphen/>
        <w:t>тате проблему с моторами для БТ уда</w:t>
      </w:r>
      <w:r w:rsidRPr="00142305">
        <w:rPr>
          <w:rFonts w:ascii="Times New Roman" w:hAnsi="Times New Roman"/>
          <w:color w:val="0070C0"/>
          <w:sz w:val="16"/>
          <w:szCs w:val="16"/>
        </w:rPr>
        <w:softHyphen/>
        <w:t>лось решить, причем состояние отлетав</w:t>
      </w:r>
      <w:r w:rsidRPr="00142305">
        <w:rPr>
          <w:rFonts w:ascii="Times New Roman" w:hAnsi="Times New Roman"/>
          <w:color w:val="0070C0"/>
          <w:sz w:val="16"/>
          <w:szCs w:val="16"/>
        </w:rPr>
        <w:softHyphen/>
        <w:t>ших американских «Либерти» было зна</w:t>
      </w:r>
      <w:r w:rsidRPr="00142305">
        <w:rPr>
          <w:rFonts w:ascii="Times New Roman" w:hAnsi="Times New Roman"/>
          <w:color w:val="0070C0"/>
          <w:sz w:val="16"/>
          <w:szCs w:val="16"/>
        </w:rPr>
        <w:softHyphen/>
        <w:t>чительно лучше отечественных:</w:t>
      </w:r>
    </w:p>
    <w:p w14:paraId="1E6B7DE7" w14:textId="77777777" w:rsidR="001E1932" w:rsidRPr="00142305" w:rsidRDefault="001E1932" w:rsidP="001E193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«Из доклада Авиатреста и завода «Красный Октябрь» (куда была передана партия моторов) видно, что состояние закупленных нами в САСШ моторов лучше переданных авиапарков УВВС.</w:t>
      </w:r>
    </w:p>
    <w:p w14:paraId="1CC9D871" w14:textId="77777777" w:rsidR="001E1932" w:rsidRPr="00142305" w:rsidRDefault="001E1932" w:rsidP="001E193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Не менее 70% закупленных в САСШ моторов без особых затруднений путем ремонта и переборки на заводах Авиа</w:t>
      </w:r>
      <w:r w:rsidRPr="00142305">
        <w:rPr>
          <w:rFonts w:ascii="Times New Roman" w:hAnsi="Times New Roman"/>
          <w:color w:val="0070C0"/>
          <w:sz w:val="16"/>
          <w:szCs w:val="16"/>
        </w:rPr>
        <w:softHyphen/>
        <w:t>треста могут быть приведены в состоя</w:t>
      </w:r>
      <w:r w:rsidRPr="00142305">
        <w:rPr>
          <w:rFonts w:ascii="Times New Roman" w:hAnsi="Times New Roman"/>
          <w:color w:val="0070C0"/>
          <w:sz w:val="16"/>
          <w:szCs w:val="16"/>
        </w:rPr>
        <w:softHyphen/>
        <w:t>ние, соответствующее их назначению — установке на БТ» (25009).</w:t>
      </w:r>
    </w:p>
    <w:p w14:paraId="06813282" w14:textId="77777777" w:rsidR="001E1932" w:rsidRPr="00142305" w:rsidRDefault="001E1932" w:rsidP="001E1932">
      <w:pPr>
        <w:spacing w:after="0" w:line="240" w:lineRule="auto"/>
        <w:jc w:val="both"/>
        <w:rPr>
          <w:rFonts w:ascii="Times New Roman" w:hAnsi="Times New Roman"/>
          <w:color w:val="0070C0"/>
          <w:sz w:val="16"/>
          <w:szCs w:val="16"/>
        </w:rPr>
      </w:pPr>
    </w:p>
    <w:p w14:paraId="257B5555" w14:textId="77777777" w:rsidR="001E1932" w:rsidRPr="00142305" w:rsidRDefault="001E1932" w:rsidP="001E193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Осенью 1931 года 3000 двигателей для танков Liberty L-12, модернизированных компанией Allison, у которых за счет замены подшипников и других деталей ресурс увеличивался со 100 до 600-650 моточасов, было приобретено в США. Таким образом решилась ключевая проблема — где брать моторы для БТ. Модернизированные Allison двигатели позволили выпустить не только более 610 БТ-2, но и 1884 БТ-5. Основная масса этих танков была именно с американскими моторами.</w:t>
      </w:r>
    </w:p>
    <w:p w14:paraId="078568E3" w14:textId="77777777" w:rsidR="001E1932" w:rsidRPr="00142305" w:rsidRDefault="001E1932" w:rsidP="001E193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Техническом центре парка «Патриот» находится двигатель Liberty L-12, изготовленный в 1918 году силами Ford. Ранее он находился в БТ-5, который ныне находится в музейном секторе парка «Патриот». Еще один двигатель, той же модели, располагается в БТ-2 (точнее, БТ-5 с башней и подбашенным листом БТ-2). Третий мотор подняли вместе с БТ-5 из Невы. Двигатель нес таблички Allison, сама она их не производила, но модернизировала (25422).</w:t>
      </w:r>
    </w:p>
    <w:p w14:paraId="24157920" w14:textId="77777777" w:rsidR="001E1932" w:rsidRPr="00142305" w:rsidRDefault="001E1932" w:rsidP="001E1932">
      <w:pPr>
        <w:spacing w:after="0" w:line="240" w:lineRule="auto"/>
        <w:jc w:val="both"/>
        <w:rPr>
          <w:rFonts w:ascii="Times New Roman" w:hAnsi="Times New Roman"/>
          <w:color w:val="0070C0"/>
          <w:sz w:val="16"/>
          <w:szCs w:val="16"/>
        </w:rPr>
      </w:pPr>
    </w:p>
    <w:p w14:paraId="66D47DFD" w14:textId="77777777" w:rsidR="001E1932" w:rsidRPr="00142305" w:rsidRDefault="001E1932" w:rsidP="001E193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Осенью 1931 года все три проекта танков ТА-1, ТА-2 и ТА-3 группы конструкторов в составе Инженеров Асафонова, Алек</w:t>
      </w:r>
      <w:r w:rsidRPr="00142305">
        <w:rPr>
          <w:rFonts w:ascii="Times New Roman" w:hAnsi="Times New Roman"/>
          <w:color w:val="0070C0"/>
          <w:sz w:val="16"/>
          <w:szCs w:val="16"/>
        </w:rPr>
        <w:softHyphen/>
        <w:t>сеева и Скворцова были представлены на рассмотрение УММ РККА. Однако особого восторга у во</w:t>
      </w:r>
      <w:r w:rsidRPr="00142305">
        <w:rPr>
          <w:rFonts w:ascii="Times New Roman" w:hAnsi="Times New Roman"/>
          <w:color w:val="0070C0"/>
          <w:sz w:val="16"/>
          <w:szCs w:val="16"/>
        </w:rPr>
        <w:softHyphen/>
        <w:t>енных они не вызвали — к этому времени уже были результаты испытаний опыт</w:t>
      </w:r>
      <w:r w:rsidRPr="00142305">
        <w:rPr>
          <w:rFonts w:ascii="Times New Roman" w:hAnsi="Times New Roman"/>
          <w:color w:val="0070C0"/>
          <w:sz w:val="16"/>
          <w:szCs w:val="16"/>
        </w:rPr>
        <w:softHyphen/>
        <w:t>ного образца ТГ. Поэтому представите</w:t>
      </w:r>
      <w:r w:rsidRPr="00142305">
        <w:rPr>
          <w:rFonts w:ascii="Times New Roman" w:hAnsi="Times New Roman"/>
          <w:color w:val="0070C0"/>
          <w:sz w:val="16"/>
          <w:szCs w:val="16"/>
        </w:rPr>
        <w:softHyphen/>
        <w:t>ли УММ РККА рекомендовали исполь</w:t>
      </w:r>
      <w:r w:rsidRPr="00142305">
        <w:rPr>
          <w:rFonts w:ascii="Times New Roman" w:hAnsi="Times New Roman"/>
          <w:color w:val="0070C0"/>
          <w:sz w:val="16"/>
          <w:szCs w:val="16"/>
        </w:rPr>
        <w:softHyphen/>
        <w:t>зовать конструкторские решения танков ТА-1 и ТА-2 при проектировании новых танков, а вопрос об изготовлении опыт</w:t>
      </w:r>
      <w:r w:rsidRPr="00142305">
        <w:rPr>
          <w:rFonts w:ascii="Times New Roman" w:hAnsi="Times New Roman"/>
          <w:color w:val="0070C0"/>
          <w:sz w:val="16"/>
          <w:szCs w:val="16"/>
        </w:rPr>
        <w:softHyphen/>
        <w:t>ных образцов даже не поднимался (25010).</w:t>
      </w:r>
    </w:p>
    <w:p w14:paraId="00F24A0D" w14:textId="77777777" w:rsidR="001E1932" w:rsidRPr="00142305" w:rsidRDefault="001E1932" w:rsidP="001E1932">
      <w:pPr>
        <w:spacing w:after="0" w:line="240" w:lineRule="auto"/>
        <w:jc w:val="both"/>
        <w:rPr>
          <w:rFonts w:ascii="Times New Roman" w:hAnsi="Times New Roman"/>
          <w:color w:val="0070C0"/>
          <w:sz w:val="16"/>
          <w:szCs w:val="16"/>
        </w:rPr>
      </w:pPr>
    </w:p>
    <w:p w14:paraId="6A0F80DA" w14:textId="77777777" w:rsidR="001E1932" w:rsidRPr="00142305" w:rsidRDefault="001E1932" w:rsidP="001E193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Осенью 1931 года под руководством Н.М. Тоскин был разработан проект "12-тонного колесно-гусеничного танка", который, по мнению руководства ХПЗ, больше подходил под систему вооружения Красной Армии (25678).</w:t>
      </w:r>
    </w:p>
    <w:p w14:paraId="6FCF2ADF" w14:textId="77777777" w:rsidR="001E1932" w:rsidRPr="00142305" w:rsidRDefault="001E1932" w:rsidP="001E1932">
      <w:pPr>
        <w:spacing w:after="0" w:line="240" w:lineRule="auto"/>
        <w:jc w:val="both"/>
        <w:rPr>
          <w:rFonts w:ascii="Times New Roman" w:hAnsi="Times New Roman"/>
          <w:color w:val="0070C0"/>
          <w:sz w:val="16"/>
          <w:szCs w:val="16"/>
        </w:rPr>
      </w:pPr>
    </w:p>
    <w:p w14:paraId="79ACA618" w14:textId="77777777" w:rsidR="001E1932" w:rsidRPr="00142305" w:rsidRDefault="001E1932" w:rsidP="001E193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Осенью 1931 года в рамках работ по улучшению Б-Т возникла идея, которая, в случае с танком Кристи, выглядела абсолютно логично. Дело в том, что у этого танка был узкий корпус, который позволял разместить только механика-водителя. Также у него была одноместная башня, второй номер находился в ней опционально. Поэтому практически везде, где начинали осваивать танк Кристи, первым делом запускали работы по расширению корпуса и увеличению башни. В этом смысле проект "12-тонного колесно-гусеничного танка", работами над которым, как начальник Т-2, руководил, Тоскин, выглядел логично. Создавался он, кстати, не как инициативный проект. Задание на 14-тонный танк было сформировано УММ КА 6 июня 1931 года.</w:t>
      </w:r>
    </w:p>
    <w:p w14:paraId="6F6CD4F0" w14:textId="77777777" w:rsidR="001E1932" w:rsidRPr="00142305" w:rsidRDefault="001E1932" w:rsidP="001E193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Согласно проекту, длина танка увеличивалась до 5700 мм, ширина до 2380, а высота сохранялась на уровне 2200 мм. Боевая масса, вместе с гусеничными лентами, составляла 12500 кг. Скорость движения танка на гусеничном ходу составляла 53 км/ч. Корпус расширялся, носовая его часть получала более традиционную для того времени форму, а вместе с механиком-водителем размещался стрелок, который получал курсовой пулемет ДТ. Ходовая часть была похожа на серийную, но трак вводился новый - мелкозвенчатый, шириной 260 мм и с шагом 195 мм. Число траков увеличивалось до 58 штук. При этом число опорных катков увеличивалось до 5 (25678).</w:t>
      </w:r>
    </w:p>
    <w:p w14:paraId="3D31DC85" w14:textId="77777777" w:rsidR="001E1932" w:rsidRPr="00142305" w:rsidRDefault="001E1932" w:rsidP="001E1932">
      <w:pPr>
        <w:spacing w:after="0" w:line="240" w:lineRule="auto"/>
        <w:jc w:val="both"/>
        <w:rPr>
          <w:rFonts w:ascii="Times New Roman" w:hAnsi="Times New Roman"/>
          <w:color w:val="0070C0"/>
          <w:sz w:val="16"/>
          <w:szCs w:val="16"/>
        </w:rPr>
      </w:pPr>
    </w:p>
    <w:p w14:paraId="5160E6F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Осенью 1931 г., когда УММ РККА получил информацию об испытании в Великобритании амфибии фирмы «Виккерс» в СССР началось проектирование разведывательных танков-амфибий. В ОКМО были доставлены от представителя «Аркос» все имеющиеся информационные материалы, в том числе: «Газет иностранных — 5 шт, фотографий - 4 шт., письмо тов. Сквирского с описанием нового танка — 1 ». Никакими другими сведениями об английском танке-ибии до начала проектных работ ОКМО не располагал. Видимо, по полученным фотографиям конструкторы определили, что ходовая часть амфибии идентична ходовой части гусеничного трактора «Карден-Ллойд», закупленного в Великобритании в 1930 г. Поэтому компоновка и ходовая часть отечественного плавающего танка, проектировавшего</w:t>
      </w:r>
      <w:r w:rsidRPr="005E779E">
        <w:rPr>
          <w:rFonts w:ascii="Times New Roman" w:hAnsi="Times New Roman"/>
          <w:color w:val="000000" w:themeColor="text1"/>
          <w:sz w:val="16"/>
          <w:szCs w:val="16"/>
        </w:rPr>
        <w:softHyphen/>
        <w:t>ся по теме «Селезень», была подобна компоновке указанно</w:t>
      </w:r>
      <w:r w:rsidRPr="005E779E">
        <w:rPr>
          <w:rFonts w:ascii="Times New Roman" w:hAnsi="Times New Roman"/>
          <w:color w:val="000000" w:themeColor="text1"/>
          <w:sz w:val="16"/>
          <w:szCs w:val="16"/>
        </w:rPr>
        <w:softHyphen/>
        <w:t>го легкого трактора (10733,151).</w:t>
      </w:r>
    </w:p>
    <w:p w14:paraId="0D89EFA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671C7E" w14:textId="77777777" w:rsidR="001E1932" w:rsidRPr="00142305" w:rsidRDefault="001E1932" w:rsidP="001E193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Осенью 1931 года, когда УММ РККА получило ин</w:t>
      </w:r>
      <w:r w:rsidRPr="00142305">
        <w:rPr>
          <w:rFonts w:ascii="Times New Roman" w:hAnsi="Times New Roman"/>
          <w:color w:val="0070C0"/>
          <w:sz w:val="16"/>
          <w:szCs w:val="16"/>
        </w:rPr>
        <w:softHyphen/>
        <w:t>формацию об испытании в Великобрита</w:t>
      </w:r>
      <w:r w:rsidRPr="00142305">
        <w:rPr>
          <w:rFonts w:ascii="Times New Roman" w:hAnsi="Times New Roman"/>
          <w:color w:val="0070C0"/>
          <w:sz w:val="16"/>
          <w:szCs w:val="16"/>
        </w:rPr>
        <w:softHyphen/>
        <w:t>нии амфибии Vickers-Carden-Loyd, началось.проектирование легких плавающих тан</w:t>
      </w:r>
      <w:r w:rsidRPr="00142305">
        <w:rPr>
          <w:rFonts w:ascii="Times New Roman" w:hAnsi="Times New Roman"/>
          <w:color w:val="0070C0"/>
          <w:sz w:val="16"/>
          <w:szCs w:val="16"/>
        </w:rPr>
        <w:softHyphen/>
        <w:t>ков в Советском Союзе. Работы поручили Опытно-конструкторскому меха</w:t>
      </w:r>
      <w:r w:rsidRPr="00142305">
        <w:rPr>
          <w:rFonts w:ascii="Times New Roman" w:hAnsi="Times New Roman"/>
          <w:color w:val="0070C0"/>
          <w:sz w:val="16"/>
          <w:szCs w:val="16"/>
        </w:rPr>
        <w:softHyphen/>
        <w:t>ническому отделу (ОКМО) завода «Больше</w:t>
      </w:r>
      <w:r w:rsidRPr="00142305">
        <w:rPr>
          <w:rFonts w:ascii="Times New Roman" w:hAnsi="Times New Roman"/>
          <w:color w:val="0070C0"/>
          <w:sz w:val="16"/>
          <w:szCs w:val="16"/>
        </w:rPr>
        <w:softHyphen/>
        <w:t>вик» под руководством С. Гинзбурга. При</w:t>
      </w:r>
      <w:r w:rsidRPr="00142305">
        <w:rPr>
          <w:rFonts w:ascii="Times New Roman" w:hAnsi="Times New Roman"/>
          <w:color w:val="0070C0"/>
          <w:sz w:val="16"/>
          <w:szCs w:val="16"/>
        </w:rPr>
        <w:softHyphen/>
        <w:t>чем никакими сведениями об английской машине, кроме фотографий и общих так</w:t>
      </w:r>
      <w:r w:rsidRPr="00142305">
        <w:rPr>
          <w:rFonts w:ascii="Times New Roman" w:hAnsi="Times New Roman"/>
          <w:color w:val="0070C0"/>
          <w:sz w:val="16"/>
          <w:szCs w:val="16"/>
        </w:rPr>
        <w:softHyphen/>
        <w:t>тико-технических характеристик, советс</w:t>
      </w:r>
      <w:r w:rsidRPr="00142305">
        <w:rPr>
          <w:rFonts w:ascii="Times New Roman" w:hAnsi="Times New Roman"/>
          <w:color w:val="0070C0"/>
          <w:sz w:val="16"/>
          <w:szCs w:val="16"/>
        </w:rPr>
        <w:softHyphen/>
        <w:t>кие инженеры не располагали. Базой для проектирования первого советского плава</w:t>
      </w:r>
      <w:r w:rsidRPr="00142305">
        <w:rPr>
          <w:rFonts w:ascii="Times New Roman" w:hAnsi="Times New Roman"/>
          <w:color w:val="0070C0"/>
          <w:sz w:val="16"/>
          <w:szCs w:val="16"/>
        </w:rPr>
        <w:softHyphen/>
        <w:t>ющего танка послужил «легкий трактор-тя</w:t>
      </w:r>
      <w:r w:rsidRPr="00142305">
        <w:rPr>
          <w:rFonts w:ascii="Times New Roman" w:hAnsi="Times New Roman"/>
          <w:color w:val="0070C0"/>
          <w:sz w:val="16"/>
          <w:szCs w:val="16"/>
        </w:rPr>
        <w:softHyphen/>
        <w:t>гач Карден-Лойд грузоподъемностью до 3-х тонн» (три таких машины были закуплены у фирмы Vickers еще в 1930 году). Следует сказать, что этот трактор изначально раз</w:t>
      </w:r>
      <w:r w:rsidRPr="00142305">
        <w:rPr>
          <w:rFonts w:ascii="Times New Roman" w:hAnsi="Times New Roman"/>
          <w:color w:val="0070C0"/>
          <w:sz w:val="16"/>
          <w:szCs w:val="16"/>
        </w:rPr>
        <w:softHyphen/>
        <w:t>рабатывался англичанами как сельскохо</w:t>
      </w:r>
      <w:r w:rsidRPr="00142305">
        <w:rPr>
          <w:rFonts w:ascii="Times New Roman" w:hAnsi="Times New Roman"/>
          <w:color w:val="0070C0"/>
          <w:sz w:val="16"/>
          <w:szCs w:val="16"/>
        </w:rPr>
        <w:softHyphen/>
        <w:t>зяйственный или коммерческий и не пред</w:t>
      </w:r>
      <w:r w:rsidRPr="00142305">
        <w:rPr>
          <w:rFonts w:ascii="Times New Roman" w:hAnsi="Times New Roman"/>
          <w:color w:val="0070C0"/>
          <w:sz w:val="16"/>
          <w:szCs w:val="16"/>
        </w:rPr>
        <w:softHyphen/>
        <w:t>назначался для использования в армии. Тем не менее, советские конструкторы исполь</w:t>
      </w:r>
      <w:r w:rsidRPr="00142305">
        <w:rPr>
          <w:rFonts w:ascii="Times New Roman" w:hAnsi="Times New Roman"/>
          <w:color w:val="0070C0"/>
          <w:sz w:val="16"/>
          <w:szCs w:val="16"/>
        </w:rPr>
        <w:softHyphen/>
        <w:t>зовали ходовую часть и компоновку тракто</w:t>
      </w:r>
      <w:r w:rsidRPr="00142305">
        <w:rPr>
          <w:rFonts w:ascii="Times New Roman" w:hAnsi="Times New Roman"/>
          <w:color w:val="0070C0"/>
          <w:sz w:val="16"/>
          <w:szCs w:val="16"/>
        </w:rPr>
        <w:softHyphen/>
        <w:t>ра (с расположением двигателя вдоль пра</w:t>
      </w:r>
      <w:r w:rsidRPr="00142305">
        <w:rPr>
          <w:rFonts w:ascii="Times New Roman" w:hAnsi="Times New Roman"/>
          <w:color w:val="0070C0"/>
          <w:sz w:val="16"/>
          <w:szCs w:val="16"/>
        </w:rPr>
        <w:softHyphen/>
        <w:t>вого борта). Сделано это было не случай</w:t>
      </w:r>
      <w:r w:rsidRPr="00142305">
        <w:rPr>
          <w:rFonts w:ascii="Times New Roman" w:hAnsi="Times New Roman"/>
          <w:color w:val="0070C0"/>
          <w:sz w:val="16"/>
          <w:szCs w:val="16"/>
        </w:rPr>
        <w:softHyphen/>
        <w:t>но - на приводимых в иностранной печати фотографиях амфибии Vickers-Carden-Loyd было хорошо видно, что и на английской машине использовалась ходовая часть по типу легкого трактора (24019).</w:t>
      </w:r>
    </w:p>
    <w:p w14:paraId="2FBCDCF9" w14:textId="77777777" w:rsidR="001E1932" w:rsidRPr="00142305" w:rsidRDefault="001E1932" w:rsidP="001E1932">
      <w:pPr>
        <w:spacing w:after="0" w:line="240" w:lineRule="auto"/>
        <w:jc w:val="both"/>
        <w:rPr>
          <w:rFonts w:ascii="Times New Roman" w:hAnsi="Times New Roman"/>
          <w:color w:val="0070C0"/>
          <w:sz w:val="16"/>
          <w:szCs w:val="16"/>
        </w:rPr>
      </w:pPr>
    </w:p>
    <w:p w14:paraId="7FBC4DB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Осенью 1931 года в ТО ЭКО ПП ОГПУ спроектиро</w:t>
      </w:r>
      <w:r w:rsidRPr="005E779E">
        <w:rPr>
          <w:rFonts w:ascii="Times New Roman" w:hAnsi="Times New Roman"/>
          <w:color w:val="000000" w:themeColor="text1"/>
          <w:sz w:val="16"/>
          <w:szCs w:val="16"/>
        </w:rPr>
        <w:softHyphen/>
        <w:t>вали и изготовили броневой корпус для грузовика «Форд-АА». С базового автомобиля сняли грузовой кузов, кабину и сиденья. Передние рессоры усилили пятью листами, а зад</w:t>
      </w:r>
      <w:r w:rsidRPr="005E779E">
        <w:rPr>
          <w:rFonts w:ascii="Times New Roman" w:hAnsi="Times New Roman"/>
          <w:color w:val="000000" w:themeColor="text1"/>
          <w:sz w:val="16"/>
          <w:szCs w:val="16"/>
        </w:rPr>
        <w:softHyphen/>
        <w:t>ние оставили безо всяких изменений. Для избежания пере</w:t>
      </w:r>
      <w:r w:rsidRPr="005E779E">
        <w:rPr>
          <w:rFonts w:ascii="Times New Roman" w:hAnsi="Times New Roman"/>
          <w:color w:val="000000" w:themeColor="text1"/>
          <w:sz w:val="16"/>
          <w:szCs w:val="16"/>
        </w:rPr>
        <w:softHyphen/>
        <w:t>грева машины при движении в водяную трубу над мотором встроили аэротермометр, а указатель со стрелкой установи</w:t>
      </w:r>
      <w:r w:rsidRPr="005E779E">
        <w:rPr>
          <w:rFonts w:ascii="Times New Roman" w:hAnsi="Times New Roman"/>
          <w:color w:val="000000" w:themeColor="text1"/>
          <w:sz w:val="16"/>
          <w:szCs w:val="16"/>
        </w:rPr>
        <w:softHyphen/>
        <w:t>ли на щитке водителя. В остальном шасси «Форд-АА» оста</w:t>
      </w:r>
      <w:r w:rsidRPr="005E779E">
        <w:rPr>
          <w:rFonts w:ascii="Times New Roman" w:hAnsi="Times New Roman"/>
          <w:color w:val="000000" w:themeColor="text1"/>
          <w:sz w:val="16"/>
          <w:szCs w:val="16"/>
        </w:rPr>
        <w:softHyphen/>
        <w:t>лось без изменений.</w:t>
      </w:r>
    </w:p>
    <w:p w14:paraId="75FE09B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Броневой корпус изготавливался из броневых лис</w:t>
      </w:r>
      <w:r w:rsidRPr="005E779E">
        <w:rPr>
          <w:rFonts w:ascii="Times New Roman" w:hAnsi="Times New Roman"/>
          <w:color w:val="000000" w:themeColor="text1"/>
          <w:sz w:val="16"/>
          <w:szCs w:val="16"/>
        </w:rPr>
        <w:softHyphen/>
        <w:t>тов, сваренных между собой. Изнутри сварные швы уси</w:t>
      </w:r>
      <w:r w:rsidRPr="005E779E">
        <w:rPr>
          <w:rFonts w:ascii="Times New Roman" w:hAnsi="Times New Roman"/>
          <w:color w:val="000000" w:themeColor="text1"/>
          <w:sz w:val="16"/>
          <w:szCs w:val="16"/>
        </w:rPr>
        <w:softHyphen/>
        <w:t>ливались дополнительными угольниками. Толщина бро</w:t>
      </w:r>
      <w:r w:rsidRPr="005E779E">
        <w:rPr>
          <w:rFonts w:ascii="Times New Roman" w:hAnsi="Times New Roman"/>
          <w:color w:val="000000" w:themeColor="text1"/>
          <w:sz w:val="16"/>
          <w:szCs w:val="16"/>
        </w:rPr>
        <w:softHyphen/>
        <w:t>ни составляла 10 (лобовой лист и задвижки смотровых окон), 6 (корпус и башни) и 4 мм (крыша и защита ходо</w:t>
      </w:r>
      <w:r w:rsidRPr="005E779E">
        <w:rPr>
          <w:rFonts w:ascii="Times New Roman" w:hAnsi="Times New Roman"/>
          <w:color w:val="000000" w:themeColor="text1"/>
          <w:sz w:val="16"/>
          <w:szCs w:val="16"/>
        </w:rPr>
        <w:softHyphen/>
        <w:t>вой части).</w:t>
      </w:r>
    </w:p>
    <w:p w14:paraId="2DC8BAE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Экипаж машины состоял из водителя и 3 пулеметчи</w:t>
      </w:r>
      <w:r w:rsidRPr="005E779E">
        <w:rPr>
          <w:rFonts w:ascii="Times New Roman" w:hAnsi="Times New Roman"/>
          <w:color w:val="000000" w:themeColor="text1"/>
          <w:sz w:val="16"/>
          <w:szCs w:val="16"/>
        </w:rPr>
        <w:softHyphen/>
        <w:t>ков, вооружение состояло из 3 пулеметов ДТ (в башнях и лобовом листе корпуса). Кроме того, в БАД-1 было 2 за</w:t>
      </w:r>
      <w:r w:rsidRPr="005E779E">
        <w:rPr>
          <w:rFonts w:ascii="Times New Roman" w:hAnsi="Times New Roman"/>
          <w:color w:val="000000" w:themeColor="text1"/>
          <w:sz w:val="16"/>
          <w:szCs w:val="16"/>
        </w:rPr>
        <w:softHyphen/>
        <w:t>пасных ДТ, уложенных на стойках за сиденьем водителя и переднего пулеметчика. На задней дверце корпуса имелся специальный броневой кожух, в котором крепились 2 бал</w:t>
      </w:r>
      <w:r w:rsidRPr="005E779E">
        <w:rPr>
          <w:rFonts w:ascii="Times New Roman" w:hAnsi="Times New Roman"/>
          <w:color w:val="000000" w:themeColor="text1"/>
          <w:sz w:val="16"/>
          <w:szCs w:val="16"/>
        </w:rPr>
        <w:softHyphen/>
        <w:t>лона емкостью на 15 л для постановки дымовых завес. Для растаскивания завалов на дороге на корме машины крепились стальные крюки. Переход на железнодорожный ход осуществлялся при помощи домкрата и стальных бан</w:t>
      </w:r>
      <w:r w:rsidRPr="005E779E">
        <w:rPr>
          <w:rFonts w:ascii="Times New Roman" w:hAnsi="Times New Roman"/>
          <w:color w:val="000000" w:themeColor="text1"/>
          <w:sz w:val="16"/>
          <w:szCs w:val="16"/>
        </w:rPr>
        <w:softHyphen/>
        <w:t>дажей, одеваемых вместо колес.</w:t>
      </w:r>
    </w:p>
    <w:p w14:paraId="08B80E8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Бронеавтомобиль, получивший обозначение БАД-1 (боевая автодрезина), изготовили за 36 дней. Его испытания прошли в октябре — ноябре 1931 года в окрестностях Ленинграда и показали хорошие результаты. Через месяц БАД-1 передали на вооружение частей управления погра</w:t>
      </w:r>
      <w:r w:rsidRPr="005E779E">
        <w:rPr>
          <w:rFonts w:ascii="Times New Roman" w:hAnsi="Times New Roman"/>
          <w:color w:val="000000" w:themeColor="text1"/>
          <w:sz w:val="16"/>
          <w:szCs w:val="16"/>
        </w:rPr>
        <w:softHyphen/>
        <w:t>ничной охраны постоянного представительства ОГПУ в ЛВО (11284).</w:t>
      </w:r>
    </w:p>
    <w:p w14:paraId="1811671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5300A8" w14:textId="77777777" w:rsidR="001E1932" w:rsidRPr="005E779E" w:rsidRDefault="001E1932" w:rsidP="001E1932">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Осенью 1931 Рембаза N 2 установила на шасси трехосных американских грузовиков Форд Тимкен бронекорпус автомобиля БА-27. Потом на этой же базе БА Д-13 делали по проекту Н.И.Дыренкова на Ижорском заводе и БА-И на том же заводе по проекту А.Д.Кузьмина (3286,34).</w:t>
      </w:r>
    </w:p>
    <w:p w14:paraId="364CF185" w14:textId="77777777" w:rsidR="001E1932" w:rsidRPr="005E779E" w:rsidRDefault="001E1932" w:rsidP="001E1932">
      <w:pPr>
        <w:autoSpaceDE w:val="0"/>
        <w:autoSpaceDN w:val="0"/>
        <w:adjustRightInd w:val="0"/>
        <w:spacing w:after="0" w:line="240" w:lineRule="auto"/>
        <w:jc w:val="both"/>
        <w:rPr>
          <w:rFonts w:ascii="Times New Roman" w:hAnsi="Times New Roman"/>
          <w:color w:val="000000" w:themeColor="text1"/>
          <w:sz w:val="16"/>
          <w:szCs w:val="16"/>
        </w:rPr>
      </w:pPr>
    </w:p>
    <w:p w14:paraId="40DA468B" w14:textId="77777777" w:rsidR="001E1932" w:rsidRPr="005E779E" w:rsidRDefault="001E1932" w:rsidP="001E1932">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Осенью 1931 на заводе Большевик была разработана и изготовлена 76 мм СУ-1 на базе Т-26 (9627,262).</w:t>
      </w:r>
    </w:p>
    <w:p w14:paraId="10D12A6D" w14:textId="77777777" w:rsidR="001E1932" w:rsidRPr="005E779E" w:rsidRDefault="001E1932" w:rsidP="001E1932">
      <w:pPr>
        <w:autoSpaceDE w:val="0"/>
        <w:autoSpaceDN w:val="0"/>
        <w:adjustRightInd w:val="0"/>
        <w:spacing w:after="0" w:line="240" w:lineRule="auto"/>
        <w:jc w:val="both"/>
        <w:rPr>
          <w:rFonts w:ascii="Times New Roman" w:hAnsi="Times New Roman"/>
          <w:color w:val="000000" w:themeColor="text1"/>
          <w:sz w:val="16"/>
          <w:szCs w:val="16"/>
        </w:rPr>
      </w:pPr>
    </w:p>
    <w:p w14:paraId="4355489A" w14:textId="77777777" w:rsidR="001E1932" w:rsidRPr="005E779E" w:rsidRDefault="001E1932" w:rsidP="001E1932">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Осенью 1931 на испытания поступил автомобиль повышенной проходимости НАТИ-2, разработанный Г.А.Сонкиным. Построен в 2 экз. При содействии отдела вооружений ГУПО и В ОГПУ на средства ЦС Автодора (10536,34).</w:t>
      </w:r>
    </w:p>
    <w:p w14:paraId="39CF0DD8" w14:textId="77777777" w:rsidR="001E1932" w:rsidRPr="005E779E" w:rsidRDefault="001E1932" w:rsidP="001E1932">
      <w:pPr>
        <w:autoSpaceDE w:val="0"/>
        <w:autoSpaceDN w:val="0"/>
        <w:adjustRightInd w:val="0"/>
        <w:spacing w:after="0" w:line="240" w:lineRule="auto"/>
        <w:jc w:val="both"/>
        <w:rPr>
          <w:rFonts w:ascii="Times New Roman" w:hAnsi="Times New Roman"/>
          <w:color w:val="000000" w:themeColor="text1"/>
          <w:sz w:val="16"/>
          <w:szCs w:val="16"/>
        </w:rPr>
      </w:pPr>
    </w:p>
    <w:p w14:paraId="543C0577" w14:textId="77777777" w:rsidR="001E1932" w:rsidRPr="005E779E" w:rsidRDefault="001E1932" w:rsidP="001E1932">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Осенью 1931 г. образец полугусеничного автомобиля Сонкина поступила на испытания В какой только грязи не пытались утонить испытатели НАТИ-2. Тщетно. Автомобиль с честью выбирался из, казалось, совсем безвылазного положения. Были отмечены поломки, правда, не столь многочисленные, как доселе, но машина просто завораживала своей проходимостью.</w:t>
      </w:r>
    </w:p>
    <w:p w14:paraId="1DAA80E5" w14:textId="77777777" w:rsidR="001E1932" w:rsidRPr="005E779E" w:rsidRDefault="001E1932" w:rsidP="001E1932">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Все работы в HATИ выполнялись строго в соответствии с научно-производственным планом с утверждением надлежащего наименования и номера темы. Так, в 1932 г. по теме №18 следовало разработать аппаратуру подводного хождения к танку Т-26. Тема №21 называлась «Проектирование парового танка на основе Т-28». Работы по теме №15 предполагали выпуск рабочих чертежей и проведение всесторонних испытаний НАТИ-2. </w:t>
      </w:r>
    </w:p>
    <w:p w14:paraId="311FA2CA" w14:textId="77777777" w:rsidR="001E1932" w:rsidRPr="005E779E" w:rsidRDefault="001E1932" w:rsidP="001E1932">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1932 г. в планы ИДТИ была включена тема №13 «Проектирование грузового вездехода и постромка 2-х опытных образцов». В 1933 г. в ИДТИ произошла реорганизация, приведшая к изменению порядка ведения НИОКР и обозначению тем. Теперь к номеру темы добавлялся буквенным индекс. Тапки помечались литерой «А», например, за индексом «А 13» скрывались работы по созданию тягача на базе танкетки Т-27. Не трудно догадаться, что сделать что-либо путное по этой теме не удалось.</w:t>
      </w:r>
    </w:p>
    <w:p w14:paraId="25B4F1CE" w14:textId="77777777" w:rsidR="001E1932" w:rsidRPr="005E779E" w:rsidRDefault="001E1932" w:rsidP="001E1932">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Вездеходы получили литеру «В». Так разработка серийных чертежей и изготовление новых образцов НАТИ-2 проходили по темам «В6» и «В8». Испытание Форд-АА и Форд-А, оснащенных по заказу армии гусеничным ходом типа «Кегресс», выполнялось по теме «В».</w:t>
      </w:r>
    </w:p>
    <w:p w14:paraId="29AD3E2F" w14:textId="77777777" w:rsidR="001E1932" w:rsidRPr="005E779E" w:rsidRDefault="001E1932" w:rsidP="001E1932">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Темы «152», «В5», «В9» разрабатывались в комплексе и подразумевали:</w:t>
      </w:r>
    </w:p>
    <w:p w14:paraId="76375C73" w14:textId="77777777" w:rsidR="001E1932" w:rsidRPr="005E779E" w:rsidRDefault="001E1932" w:rsidP="001E1932">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«Окончание проектов:</w:t>
      </w:r>
    </w:p>
    <w:p w14:paraId="44E29DA4" w14:textId="77777777" w:rsidR="001E1932" w:rsidRPr="005E779E" w:rsidRDefault="001E1932" w:rsidP="001E1932">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Колесно-гусеничный движетель.</w:t>
      </w:r>
    </w:p>
    <w:p w14:paraId="44C66BC7" w14:textId="77777777" w:rsidR="001E1932" w:rsidRPr="005E779E" w:rsidRDefault="001E1932" w:rsidP="001E1932">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Грузовой вездеход.</w:t>
      </w:r>
    </w:p>
    <w:p w14:paraId="0B218AE9" w14:textId="77777777" w:rsidR="001E1932" w:rsidRPr="005E779E" w:rsidRDefault="001E1932" w:rsidP="001E1932">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Проектирование легко бронированного вездехода».</w:t>
      </w:r>
    </w:p>
    <w:p w14:paraId="20DAC96A" w14:textId="77777777" w:rsidR="001E1932" w:rsidRPr="005E779E" w:rsidRDefault="001E1932" w:rsidP="001E1932">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рамках тем «В2», «В5», «В9» вездеходы не строились, а существовали в виде схем, рисунков, смет, расчетов и чертежей. Тема «В2» заменила тему №13, а потому работа не заглохла и развилась в тему «В3» испытание и доводку конструкции грузового вездехода. В ходе реализации тем «В2» и «ВЗ» был разработан вездеход НАТИ-3. Тема «В» («В-1») была единственной финансируемой через военных. Генеральным заказчиком по всем остальным направлениям было ОГПУ.</w:t>
      </w:r>
    </w:p>
    <w:p w14:paraId="046DA6E7" w14:textId="77777777" w:rsidR="001E1932" w:rsidRPr="005E779E" w:rsidRDefault="001E1932" w:rsidP="001E1932">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Руководил всеми работами над темами с литерой «В» по-прежнему Сонкин, а ответственными исполнителями были т.т. Малаховский, Король, Флюков и Элькинд. (15593).</w:t>
      </w:r>
    </w:p>
    <w:p w14:paraId="7DA892A7" w14:textId="77777777" w:rsidR="001E1932" w:rsidRPr="005E779E" w:rsidRDefault="001E1932" w:rsidP="001E1932">
      <w:pPr>
        <w:spacing w:after="0" w:line="240" w:lineRule="auto"/>
        <w:jc w:val="both"/>
        <w:rPr>
          <w:rFonts w:ascii="Times New Roman" w:hAnsi="Times New Roman"/>
          <w:color w:val="000000" w:themeColor="text1"/>
          <w:sz w:val="16"/>
          <w:szCs w:val="16"/>
        </w:rPr>
      </w:pPr>
    </w:p>
    <w:p w14:paraId="6295C4CE" w14:textId="77777777" w:rsidR="00F50129" w:rsidRPr="005E779E" w:rsidRDefault="00F5012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Осенью 1931 года на основании рекомендаций по результатам испытаний в бронедивизионе ОГПУ конструкцию мотоброневагона Дыренкова Д-2 значительно доработали, внеся ряд существенных изменений. В первую очередь переделали конструкцию орудийных башен, разместив в них 76,2-мм пушки образца 1902 года на типовых тумбовых установках, применявшихся в советских бронепоездах того периода. Были также доработаны посты управления огнем, установлена внутренняя телефонная связь и радиостанция. Предусмотрели возможность перевода мотоброневагона на «узкую» европейскую колею (1 435 мм). В это время мотоброневагоном Д-2 заинтересовалось управление механизации и моторизации РККА (УММ РККА), которое как раз намечало направления модернизации и совершенствования материальной части бронепоездных частей в соответствии с «Системой танко-, тракторо-, авто- и броневооружения РККА», принятой в ноябре 1929 года. И если </w:t>
      </w:r>
      <w:r w:rsidRPr="005E779E">
        <w:rPr>
          <w:rFonts w:ascii="Times New Roman" w:hAnsi="Times New Roman"/>
          <w:color w:val="000000" w:themeColor="text1"/>
          <w:sz w:val="16"/>
          <w:szCs w:val="16"/>
        </w:rPr>
        <w:lastRenderedPageBreak/>
        <w:t>относительно бронепоездов планировалось предпринять модернизацию и стандартизацию оставшегося после гражданской войны подвижного состава, то с мотоброневагонами и бронедрезинами ситуация была более тяжелой — модернизировать было просто нечего (в наличии имелись только совершенно устаревшие бронедрезины Матваль — автомобили, поставленные на железнодорожный ход). Так, в докладе УММ РККА констатировалось: «…не имеется стандартного образца бронедрезины. Имеющиеся в частях РККА машины (выполняющие их функции. — Прим. автора) … техническим требованиям не удовлетворяют. В срочном порядке необходимо сконструировать типовую пулеметную (легкую) и пушечную (тяжелую) бронедрезины…».</w:t>
      </w:r>
    </w:p>
    <w:p w14:paraId="26AC10F1" w14:textId="77777777" w:rsidR="00F50129" w:rsidRPr="005E779E" w:rsidRDefault="00F5012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году собирались сформировать в составе РККА 20 дивизионов мотоброневагонов. Для их оснащения в соответствии с решением ВСНХ СССР, было выдано задание на изготовление 60 мотоброневагонов Д-2. По плану к этому делу подключалось сразу четыре завода — «Красный Профинтерн» в Брянске (занимавшийся строительством бронепоездов), завод № 1 транспортного отдела ОГПУ в Люблино (с ноября 1932 года Московский железнодорожно-ремонтный завод, сокращенно — Можерез), а также Калужский и Коломенский машиностроительные заводы. Каждый из них уже в первом квартале 1932 года должен был выдать по 15 Д-2!</w:t>
      </w:r>
    </w:p>
    <w:p w14:paraId="3212BBED" w14:textId="77777777" w:rsidR="00F50129" w:rsidRPr="005E779E" w:rsidRDefault="00F5012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деле удалось построить только 30 серийных Д-2 на двух из четырех выделенных заводов. По 15 штук на заводе № 1 транспортного отдела ОГПУ и на «Красном Профинтерне», да и то их постройка растянулась на несколько лет — первый Д-2 был сдан в начале 1933 года, а последний — в середине 1934 года.</w:t>
      </w:r>
    </w:p>
    <w:p w14:paraId="13C04CCA" w14:textId="77777777" w:rsidR="00F50129" w:rsidRPr="005E779E" w:rsidRDefault="00F5012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Результаты испытаний первых серийных мотоброневагонов Д-2 оказались обескураживающими. Так, Д-2 плохо вписывались в кривые железных дорог, были сложны в обслуживании, а трансмиссия системы Н. И. Дыренкова проявила себя ненадежной и требующей частой регулировки. В результате было принято решение отказаться от принятия Д-2 на вооружение частей РККА, и по решению УММ РККА все построенные серийные Д-2 были переданы в распоряжение ОГПУ (22743).</w:t>
      </w:r>
    </w:p>
    <w:p w14:paraId="534EA51E" w14:textId="77777777" w:rsidR="00F50129" w:rsidRPr="005E779E" w:rsidRDefault="00F50129" w:rsidP="000B7A6C">
      <w:pPr>
        <w:spacing w:after="0" w:line="240" w:lineRule="auto"/>
        <w:jc w:val="both"/>
        <w:rPr>
          <w:rFonts w:ascii="Times New Roman" w:hAnsi="Times New Roman"/>
          <w:color w:val="000000" w:themeColor="text1"/>
          <w:sz w:val="16"/>
          <w:szCs w:val="16"/>
        </w:rPr>
      </w:pPr>
    </w:p>
    <w:p w14:paraId="6EACE3B3"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Осенью 1931 г. в Подмосковье прошли испытания тракто</w:t>
      </w:r>
      <w:r w:rsidRPr="005E779E">
        <w:rPr>
          <w:rFonts w:ascii="Times New Roman" w:hAnsi="Times New Roman"/>
          <w:color w:val="000000" w:themeColor="text1"/>
          <w:sz w:val="16"/>
          <w:szCs w:val="16"/>
        </w:rPr>
        <w:softHyphen/>
        <w:t>ров, рассматриваемых прежде всего в каче</w:t>
      </w:r>
      <w:r w:rsidRPr="005E779E">
        <w:rPr>
          <w:rFonts w:ascii="Times New Roman" w:hAnsi="Times New Roman"/>
          <w:color w:val="000000" w:themeColor="text1"/>
          <w:sz w:val="16"/>
          <w:szCs w:val="16"/>
        </w:rPr>
        <w:softHyphen/>
        <w:t>стве артиллерийских тягачей. На сравнитель</w:t>
      </w:r>
      <w:r w:rsidRPr="005E779E">
        <w:rPr>
          <w:rFonts w:ascii="Times New Roman" w:hAnsi="Times New Roman"/>
          <w:color w:val="000000" w:themeColor="text1"/>
          <w:sz w:val="16"/>
          <w:szCs w:val="16"/>
        </w:rPr>
        <w:softHyphen/>
        <w:t>ные испытания в Московской области по маршруту ст. Кубинка - д. Часовня - д. Агафоново - д. Никифоровское - д. Никольс</w:t>
      </w:r>
      <w:r w:rsidRPr="005E779E">
        <w:rPr>
          <w:rFonts w:ascii="Times New Roman" w:hAnsi="Times New Roman"/>
          <w:color w:val="000000" w:themeColor="text1"/>
          <w:sz w:val="16"/>
          <w:szCs w:val="16"/>
        </w:rPr>
        <w:softHyphen/>
        <w:t>кое - ст. Кубинка поступили тракторы «АМО-Сомуа», «Сомуа», «Линке-Гофман». «Павези Р-4-100» и СТЗ со съемным гусеничным хо</w:t>
      </w:r>
      <w:r w:rsidRPr="005E779E">
        <w:rPr>
          <w:rFonts w:ascii="Times New Roman" w:hAnsi="Times New Roman"/>
          <w:color w:val="000000" w:themeColor="text1"/>
          <w:sz w:val="16"/>
          <w:szCs w:val="16"/>
        </w:rPr>
        <w:softHyphen/>
        <w:t>дом «Варко-Риддель».</w:t>
      </w:r>
    </w:p>
    <w:p w14:paraId="79A83E03"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Тракторы испытывались на тяге различ</w:t>
      </w:r>
      <w:r w:rsidRPr="005E779E">
        <w:rPr>
          <w:rFonts w:ascii="Times New Roman" w:hAnsi="Times New Roman"/>
          <w:color w:val="000000" w:themeColor="text1"/>
          <w:sz w:val="16"/>
          <w:szCs w:val="16"/>
        </w:rPr>
        <w:softHyphen/>
        <w:t>ных поездов дивизионной и корпусной ар</w:t>
      </w:r>
      <w:r w:rsidRPr="005E779E">
        <w:rPr>
          <w:rFonts w:ascii="Times New Roman" w:hAnsi="Times New Roman"/>
          <w:color w:val="000000" w:themeColor="text1"/>
          <w:sz w:val="16"/>
          <w:szCs w:val="16"/>
        </w:rPr>
        <w:softHyphen/>
        <w:t>тиллерии, Состав поездов был следующий:</w:t>
      </w:r>
    </w:p>
    <w:p w14:paraId="4660002F" w14:textId="77777777" w:rsidR="005C4849" w:rsidRPr="005E779E" w:rsidRDefault="005C4849" w:rsidP="000B7A6C">
      <w:pPr>
        <w:widowControl w:val="0"/>
        <w:tabs>
          <w:tab w:val="left" w:pos="442"/>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rPr>
        <w:tab/>
        <w:t>152-мм гаубица обр. 1909 г. с перед</w:t>
      </w:r>
      <w:r w:rsidRPr="005E779E">
        <w:rPr>
          <w:rFonts w:ascii="Times New Roman" w:hAnsi="Times New Roman"/>
          <w:color w:val="000000" w:themeColor="text1"/>
          <w:sz w:val="16"/>
          <w:szCs w:val="16"/>
        </w:rPr>
        <w:softHyphen/>
        <w:t>ком весом 3,1 т;</w:t>
      </w:r>
    </w:p>
    <w:p w14:paraId="6BF3F8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rPr>
        <w:tab/>
        <w:t>107-мм пушка обр. 1910 г. с передком весом 2,4 т;</w:t>
      </w:r>
    </w:p>
    <w:p w14:paraId="09819593" w14:textId="77777777" w:rsidR="005C4849" w:rsidRPr="005E779E" w:rsidRDefault="005C4849" w:rsidP="000B7A6C">
      <w:pPr>
        <w:widowControl w:val="0"/>
        <w:tabs>
          <w:tab w:val="left" w:pos="414"/>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rPr>
        <w:tab/>
        <w:t>76-мм пушка обр. 1902 г. с прицепной повозкой в 1,75ттипа П-12 общим весом 4т;</w:t>
      </w:r>
    </w:p>
    <w:p w14:paraId="4B53EEC2" w14:textId="77777777" w:rsidR="005C4849" w:rsidRPr="005E779E" w:rsidRDefault="005C4849" w:rsidP="000B7A6C">
      <w:pPr>
        <w:widowControl w:val="0"/>
        <w:tabs>
          <w:tab w:val="left" w:pos="423"/>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rPr>
        <w:tab/>
        <w:t>122-мм гаубица обр. 1910-30 г. с двумя ходами зарядного ящика общим весом 3,3 т;</w:t>
      </w:r>
    </w:p>
    <w:p w14:paraId="6DFB77D1" w14:textId="77777777" w:rsidR="005C4849" w:rsidRPr="005E779E" w:rsidRDefault="005C4849" w:rsidP="000B7A6C">
      <w:pPr>
        <w:widowControl w:val="0"/>
        <w:tabs>
          <w:tab w:val="left" w:pos="442"/>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rPr>
        <w:tab/>
        <w:t>трехтонная прицепная повозка типа П-13 с грузом общим весом 4,5 т.</w:t>
      </w:r>
    </w:p>
    <w:p w14:paraId="633089FB" w14:textId="77777777" w:rsidR="005C4849" w:rsidRPr="005E779E" w:rsidRDefault="005C4849" w:rsidP="000B7A6C">
      <w:pPr>
        <w:autoSpaceDE w:val="0"/>
        <w:autoSpaceDN w:val="0"/>
        <w:adjustRightInd w:val="0"/>
        <w:spacing w:after="0" w:line="240" w:lineRule="auto"/>
        <w:jc w:val="both"/>
        <w:rPr>
          <w:rFonts w:ascii="Times New Roman" w:hAnsi="Times New Roman"/>
          <w:noProof/>
          <w:color w:val="000000" w:themeColor="text1"/>
          <w:sz w:val="16"/>
          <w:szCs w:val="16"/>
        </w:rPr>
      </w:pPr>
      <w:r w:rsidRPr="005E779E">
        <w:rPr>
          <w:rFonts w:ascii="Times New Roman" w:hAnsi="Times New Roman"/>
          <w:noProof/>
          <w:color w:val="000000" w:themeColor="text1"/>
          <w:sz w:val="16"/>
          <w:szCs w:val="16"/>
        </w:rPr>
        <w:t>«Проведению испытаний благоприят</w:t>
      </w:r>
      <w:r w:rsidRPr="005E779E">
        <w:rPr>
          <w:rFonts w:ascii="Times New Roman" w:hAnsi="Times New Roman"/>
          <w:noProof/>
          <w:color w:val="000000" w:themeColor="text1"/>
          <w:sz w:val="16"/>
          <w:szCs w:val="16"/>
        </w:rPr>
        <w:softHyphen/>
        <w:t>ствовала осенняя ненастная погода -дождь с мокрым снегом, совершенно размывший некоторые участки пути, а для испытания на лугу создавший также благоприятные усло</w:t>
      </w:r>
      <w:r w:rsidRPr="005E779E">
        <w:rPr>
          <w:rFonts w:ascii="Times New Roman" w:hAnsi="Times New Roman"/>
          <w:noProof/>
          <w:color w:val="000000" w:themeColor="text1"/>
          <w:sz w:val="16"/>
          <w:szCs w:val="16"/>
        </w:rPr>
        <w:softHyphen/>
        <w:t>вия для буксования машин».</w:t>
      </w:r>
    </w:p>
    <w:p w14:paraId="582A422A"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скоростного испытания на мерном километре по шоссе тракторы выводились с поездом из 152-мм гаубицы с передком и одним ходом зарядного ящика общим ве</w:t>
      </w:r>
      <w:r w:rsidRPr="005E779E">
        <w:rPr>
          <w:rFonts w:ascii="Times New Roman" w:hAnsi="Times New Roman"/>
          <w:color w:val="000000" w:themeColor="text1"/>
          <w:sz w:val="16"/>
          <w:szCs w:val="16"/>
        </w:rPr>
        <w:softHyphen/>
        <w:t>сом 4,1 т. Все повозки и хода зарядных ящиков были загружены до полной грузо</w:t>
      </w:r>
      <w:r w:rsidRPr="005E779E">
        <w:rPr>
          <w:rFonts w:ascii="Times New Roman" w:hAnsi="Times New Roman"/>
          <w:color w:val="000000" w:themeColor="text1"/>
          <w:sz w:val="16"/>
          <w:szCs w:val="16"/>
        </w:rPr>
        <w:softHyphen/>
        <w:t>подъемности.</w:t>
      </w:r>
    </w:p>
    <w:p w14:paraId="6839393F" w14:textId="77777777" w:rsidR="005C4849" w:rsidRPr="005E779E" w:rsidRDefault="005C4849" w:rsidP="000B7A6C">
      <w:pPr>
        <w:autoSpaceDE w:val="0"/>
        <w:autoSpaceDN w:val="0"/>
        <w:adjustRightInd w:val="0"/>
        <w:spacing w:after="0" w:line="240" w:lineRule="auto"/>
        <w:jc w:val="both"/>
        <w:rPr>
          <w:rFonts w:ascii="Times New Roman" w:hAnsi="Times New Roman"/>
          <w:noProof/>
          <w:color w:val="000000" w:themeColor="text1"/>
          <w:sz w:val="16"/>
          <w:szCs w:val="16"/>
        </w:rPr>
      </w:pPr>
      <w:r w:rsidRPr="005E779E">
        <w:rPr>
          <w:rFonts w:ascii="Times New Roman" w:hAnsi="Times New Roman"/>
          <w:noProof/>
          <w:color w:val="000000" w:themeColor="text1"/>
          <w:sz w:val="16"/>
          <w:szCs w:val="16"/>
        </w:rPr>
        <w:t>Артиллерийские поезда и «Сомуа» посту</w:t>
      </w:r>
      <w:r w:rsidRPr="005E779E">
        <w:rPr>
          <w:rFonts w:ascii="Times New Roman" w:hAnsi="Times New Roman"/>
          <w:noProof/>
          <w:color w:val="000000" w:themeColor="text1"/>
          <w:sz w:val="16"/>
          <w:szCs w:val="16"/>
        </w:rPr>
        <w:softHyphen/>
        <w:t>пили из Московской пролетарской стрелко</w:t>
      </w:r>
      <w:r w:rsidRPr="005E779E">
        <w:rPr>
          <w:rFonts w:ascii="Times New Roman" w:hAnsi="Times New Roman"/>
          <w:noProof/>
          <w:color w:val="000000" w:themeColor="text1"/>
          <w:sz w:val="16"/>
          <w:szCs w:val="16"/>
        </w:rPr>
        <w:softHyphen/>
        <w:t>вой дивизии своим ходом, проделав марш в 27 км от лагеря Артполка, «Вообще вся ма</w:t>
      </w:r>
      <w:r w:rsidRPr="005E779E">
        <w:rPr>
          <w:rFonts w:ascii="Times New Roman" w:hAnsi="Times New Roman"/>
          <w:noProof/>
          <w:color w:val="000000" w:themeColor="text1"/>
          <w:sz w:val="16"/>
          <w:szCs w:val="16"/>
        </w:rPr>
        <w:softHyphen/>
        <w:t>териальная часть артиллерии несмотря на неблагоприятные для нее условия движения прошла весь маршрут без каких-либо серь</w:t>
      </w:r>
      <w:r w:rsidRPr="005E779E">
        <w:rPr>
          <w:rFonts w:ascii="Times New Roman" w:hAnsi="Times New Roman"/>
          <w:noProof/>
          <w:color w:val="000000" w:themeColor="text1"/>
          <w:sz w:val="16"/>
          <w:szCs w:val="16"/>
        </w:rPr>
        <w:softHyphen/>
        <w:t>езных повреждений</w:t>
      </w:r>
      <w:r w:rsidRPr="005E779E">
        <w:rPr>
          <w:rFonts w:ascii="Times New Roman" w:hAnsi="Times New Roman"/>
          <w:color w:val="000000" w:themeColor="text1"/>
          <w:sz w:val="16"/>
          <w:szCs w:val="16"/>
        </w:rPr>
        <w:t>.</w:t>
      </w:r>
    </w:p>
    <w:p w14:paraId="7656069E"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 остальные тракторы были поданы специально для испытаний.</w:t>
      </w:r>
    </w:p>
    <w:p w14:paraId="5D48C858"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Трактор СТЗ показал себя как надеж</w:t>
      </w:r>
      <w:r w:rsidRPr="005E779E">
        <w:rPr>
          <w:rFonts w:ascii="Times New Roman" w:hAnsi="Times New Roman"/>
          <w:color w:val="000000" w:themeColor="text1"/>
          <w:sz w:val="16"/>
          <w:szCs w:val="16"/>
        </w:rPr>
        <w:softHyphen/>
        <w:t>ная машина. Он развивал равномерную тягу на различных грунтах (кроме глубокого пес</w:t>
      </w:r>
      <w:r w:rsidRPr="005E779E">
        <w:rPr>
          <w:rFonts w:ascii="Times New Roman" w:hAnsi="Times New Roman"/>
          <w:color w:val="000000" w:themeColor="text1"/>
          <w:sz w:val="16"/>
          <w:szCs w:val="16"/>
        </w:rPr>
        <w:softHyphen/>
        <w:t>ка и топкого болота), легко преодолевал подъемы до 20" и отличался удобством уп</w:t>
      </w:r>
      <w:r w:rsidRPr="005E779E">
        <w:rPr>
          <w:rFonts w:ascii="Times New Roman" w:hAnsi="Times New Roman"/>
          <w:color w:val="000000" w:themeColor="text1"/>
          <w:sz w:val="16"/>
          <w:szCs w:val="16"/>
        </w:rPr>
        <w:softHyphen/>
        <w:t>равления на плотном грунте. Дорожный ре</w:t>
      </w:r>
      <w:r w:rsidRPr="005E779E">
        <w:rPr>
          <w:rFonts w:ascii="Times New Roman" w:hAnsi="Times New Roman"/>
          <w:color w:val="000000" w:themeColor="text1"/>
          <w:sz w:val="16"/>
          <w:szCs w:val="16"/>
        </w:rPr>
        <w:softHyphen/>
        <w:t>монт не вызывал серьезных затруднений. Однако динамика трактора (скорость око</w:t>
      </w:r>
      <w:r w:rsidRPr="005E779E">
        <w:rPr>
          <w:rFonts w:ascii="Times New Roman" w:hAnsi="Times New Roman"/>
          <w:color w:val="000000" w:themeColor="text1"/>
          <w:sz w:val="16"/>
          <w:szCs w:val="16"/>
        </w:rPr>
        <w:softHyphen/>
        <w:t>ло 4 км/ч) была явно неудовлетворитель</w:t>
      </w:r>
      <w:r w:rsidRPr="005E779E">
        <w:rPr>
          <w:rFonts w:ascii="Times New Roman" w:hAnsi="Times New Roman"/>
          <w:color w:val="000000" w:themeColor="text1"/>
          <w:sz w:val="16"/>
          <w:szCs w:val="16"/>
        </w:rPr>
        <w:softHyphen/>
        <w:t>ной, что затрудняло его использование в артиллерии и вообще для тяги военных гру</w:t>
      </w:r>
      <w:r w:rsidRPr="005E779E">
        <w:rPr>
          <w:rFonts w:ascii="Times New Roman" w:hAnsi="Times New Roman"/>
          <w:color w:val="000000" w:themeColor="text1"/>
          <w:sz w:val="16"/>
          <w:szCs w:val="16"/>
        </w:rPr>
        <w:softHyphen/>
        <w:t>зов. На глубоком песке и болоте отмеча</w:t>
      </w:r>
      <w:r w:rsidRPr="005E779E">
        <w:rPr>
          <w:rFonts w:ascii="Times New Roman" w:hAnsi="Times New Roman"/>
          <w:color w:val="000000" w:themeColor="text1"/>
          <w:sz w:val="16"/>
          <w:szCs w:val="16"/>
        </w:rPr>
        <w:softHyphen/>
        <w:t>лась недостаточная управляемость.</w:t>
      </w:r>
    </w:p>
    <w:p w14:paraId="4C3AB601" w14:textId="77777777" w:rsidR="005C4849" w:rsidRPr="005E779E" w:rsidRDefault="005C4849" w:rsidP="000B7A6C">
      <w:pPr>
        <w:autoSpaceDE w:val="0"/>
        <w:autoSpaceDN w:val="0"/>
        <w:adjustRightInd w:val="0"/>
        <w:spacing w:after="0" w:line="240" w:lineRule="auto"/>
        <w:jc w:val="both"/>
        <w:rPr>
          <w:rFonts w:ascii="Times New Roman" w:hAnsi="Times New Roman"/>
          <w:noProof/>
          <w:color w:val="000000" w:themeColor="text1"/>
          <w:sz w:val="16"/>
          <w:szCs w:val="16"/>
        </w:rPr>
      </w:pPr>
      <w:r w:rsidRPr="005E779E">
        <w:rPr>
          <w:rFonts w:ascii="Times New Roman" w:hAnsi="Times New Roman"/>
          <w:noProof/>
          <w:color w:val="000000" w:themeColor="text1"/>
          <w:sz w:val="16"/>
          <w:szCs w:val="16"/>
        </w:rPr>
        <w:t>Также отмечалось, что «необходимодать освещение, установить кабину с сидениями для водителя и помощника, и поставить сцепное приспособление и лебедку».</w:t>
      </w:r>
    </w:p>
    <w:p w14:paraId="03651CA2" w14:textId="77777777" w:rsidR="005C4849" w:rsidRPr="005E779E" w:rsidRDefault="005C4849" w:rsidP="000B7A6C">
      <w:pPr>
        <w:autoSpaceDE w:val="0"/>
        <w:autoSpaceDN w:val="0"/>
        <w:adjustRightInd w:val="0"/>
        <w:spacing w:after="0" w:line="240" w:lineRule="auto"/>
        <w:jc w:val="both"/>
        <w:rPr>
          <w:rFonts w:ascii="Times New Roman" w:hAnsi="Times New Roman"/>
          <w:bCs/>
          <w:noProof/>
          <w:color w:val="000000" w:themeColor="text1"/>
          <w:sz w:val="16"/>
          <w:szCs w:val="16"/>
        </w:rPr>
      </w:pPr>
      <w:r w:rsidRPr="005E779E">
        <w:rPr>
          <w:rFonts w:ascii="Times New Roman" w:hAnsi="Times New Roman"/>
          <w:noProof/>
          <w:color w:val="000000" w:themeColor="text1"/>
          <w:sz w:val="16"/>
          <w:szCs w:val="16"/>
        </w:rPr>
        <w:t>По итогам испытаний констатировалось: Трактор СТЗ в том виде как он был пред</w:t>
      </w:r>
      <w:r w:rsidRPr="005E779E">
        <w:rPr>
          <w:rFonts w:ascii="Times New Roman" w:hAnsi="Times New Roman"/>
          <w:noProof/>
          <w:color w:val="000000" w:themeColor="text1"/>
          <w:sz w:val="16"/>
          <w:szCs w:val="16"/>
        </w:rPr>
        <w:softHyphen/>
        <w:t>ставлен на испытание в виду указанных недостатков, особенно тихоходности, для ра</w:t>
      </w:r>
      <w:r w:rsidRPr="005E779E">
        <w:rPr>
          <w:rFonts w:ascii="Times New Roman" w:hAnsi="Times New Roman"/>
          <w:noProof/>
          <w:color w:val="000000" w:themeColor="text1"/>
          <w:sz w:val="16"/>
          <w:szCs w:val="16"/>
        </w:rPr>
        <w:softHyphen/>
        <w:t>боты в артиллерии непригоден. Но учиты</w:t>
      </w:r>
      <w:r w:rsidRPr="005E779E">
        <w:rPr>
          <w:rFonts w:ascii="Times New Roman" w:hAnsi="Times New Roman"/>
          <w:noProof/>
          <w:color w:val="000000" w:themeColor="text1"/>
          <w:sz w:val="16"/>
          <w:szCs w:val="16"/>
        </w:rPr>
        <w:softHyphen/>
        <w:t>вая необходимость его использования в во</w:t>
      </w:r>
      <w:r w:rsidRPr="005E779E">
        <w:rPr>
          <w:rFonts w:ascii="Times New Roman" w:hAnsi="Times New Roman"/>
          <w:noProof/>
          <w:color w:val="000000" w:themeColor="text1"/>
          <w:sz w:val="16"/>
          <w:szCs w:val="16"/>
        </w:rPr>
        <w:softHyphen/>
        <w:t>енное время, в связи с тем, ч</w:t>
      </w:r>
      <w:r w:rsidRPr="005E779E">
        <w:rPr>
          <w:rFonts w:ascii="Times New Roman" w:hAnsi="Times New Roman"/>
          <w:color w:val="000000" w:themeColor="text1"/>
          <w:sz w:val="16"/>
          <w:szCs w:val="16"/>
        </w:rPr>
        <w:t>то</w:t>
      </w:r>
      <w:r w:rsidRPr="005E779E">
        <w:rPr>
          <w:rFonts w:ascii="Times New Roman" w:hAnsi="Times New Roman"/>
          <w:noProof/>
          <w:color w:val="000000" w:themeColor="text1"/>
          <w:sz w:val="16"/>
          <w:szCs w:val="16"/>
        </w:rPr>
        <w:t xml:space="preserve"> в СССР име</w:t>
      </w:r>
      <w:r w:rsidRPr="005E779E">
        <w:rPr>
          <w:rFonts w:ascii="Times New Roman" w:hAnsi="Times New Roman"/>
          <w:noProof/>
          <w:color w:val="000000" w:themeColor="text1"/>
          <w:sz w:val="16"/>
          <w:szCs w:val="16"/>
        </w:rPr>
        <w:softHyphen/>
        <w:t>ется значительное число подобных тракто</w:t>
      </w:r>
      <w:r w:rsidRPr="005E779E">
        <w:rPr>
          <w:rFonts w:ascii="Times New Roman" w:hAnsi="Times New Roman"/>
          <w:noProof/>
          <w:color w:val="000000" w:themeColor="text1"/>
          <w:sz w:val="16"/>
          <w:szCs w:val="16"/>
        </w:rPr>
        <w:softHyphen/>
        <w:t xml:space="preserve">ров и выпуск их еще более увеличится </w:t>
      </w:r>
      <w:r w:rsidRPr="005E779E">
        <w:rPr>
          <w:rFonts w:ascii="Times New Roman" w:hAnsi="Times New Roman"/>
          <w:color w:val="000000" w:themeColor="text1"/>
          <w:sz w:val="16"/>
          <w:szCs w:val="16"/>
        </w:rPr>
        <w:t>(</w:t>
      </w:r>
      <w:r w:rsidRPr="005E779E">
        <w:rPr>
          <w:rFonts w:ascii="Times New Roman" w:hAnsi="Times New Roman"/>
          <w:noProof/>
          <w:color w:val="000000" w:themeColor="text1"/>
          <w:sz w:val="16"/>
          <w:szCs w:val="16"/>
        </w:rPr>
        <w:t>За</w:t>
      </w:r>
      <w:r w:rsidRPr="005E779E">
        <w:rPr>
          <w:rFonts w:ascii="Times New Roman" w:hAnsi="Times New Roman"/>
          <w:noProof/>
          <w:color w:val="000000" w:themeColor="text1"/>
          <w:sz w:val="16"/>
          <w:szCs w:val="16"/>
        </w:rPr>
        <w:softHyphen/>
        <w:t>воды Сталинградский и Харьковский</w:t>
      </w:r>
      <w:r w:rsidRPr="005E779E">
        <w:rPr>
          <w:rFonts w:ascii="Times New Roman" w:hAnsi="Times New Roman"/>
          <w:color w:val="000000" w:themeColor="text1"/>
          <w:sz w:val="16"/>
          <w:szCs w:val="16"/>
        </w:rPr>
        <w:t xml:space="preserve">) </w:t>
      </w:r>
      <w:r w:rsidRPr="005E779E">
        <w:rPr>
          <w:rFonts w:ascii="Times New Roman" w:hAnsi="Times New Roman"/>
          <w:noProof/>
          <w:color w:val="000000" w:themeColor="text1"/>
          <w:sz w:val="16"/>
          <w:szCs w:val="16"/>
        </w:rPr>
        <w:t>маши</w:t>
      </w:r>
      <w:r w:rsidRPr="005E779E">
        <w:rPr>
          <w:rFonts w:ascii="Times New Roman" w:hAnsi="Times New Roman"/>
          <w:noProof/>
          <w:color w:val="000000" w:themeColor="text1"/>
          <w:sz w:val="16"/>
          <w:szCs w:val="16"/>
        </w:rPr>
        <w:softHyphen/>
        <w:t>на пока удовлетворяет сельское хозяйство. Этот тип трактора может быть использован для тяги на небольших скоростях 3—4 к</w:t>
      </w:r>
      <w:r w:rsidRPr="005E779E">
        <w:rPr>
          <w:rFonts w:ascii="Times New Roman" w:hAnsi="Times New Roman"/>
          <w:color w:val="000000" w:themeColor="text1"/>
          <w:sz w:val="16"/>
          <w:szCs w:val="16"/>
        </w:rPr>
        <w:t>и</w:t>
      </w:r>
      <w:r w:rsidRPr="005E779E">
        <w:rPr>
          <w:rFonts w:ascii="Times New Roman" w:hAnsi="Times New Roman"/>
          <w:noProof/>
          <w:color w:val="000000" w:themeColor="text1"/>
          <w:sz w:val="16"/>
          <w:szCs w:val="16"/>
        </w:rPr>
        <w:t>л</w:t>
      </w:r>
      <w:r w:rsidRPr="005E779E">
        <w:rPr>
          <w:rFonts w:ascii="Times New Roman" w:hAnsi="Times New Roman"/>
          <w:color w:val="000000" w:themeColor="text1"/>
          <w:sz w:val="16"/>
          <w:szCs w:val="16"/>
        </w:rPr>
        <w:t>о</w:t>
      </w:r>
      <w:r w:rsidRPr="005E779E">
        <w:rPr>
          <w:rFonts w:ascii="Times New Roman" w:hAnsi="Times New Roman"/>
          <w:noProof/>
          <w:color w:val="000000" w:themeColor="text1"/>
          <w:sz w:val="16"/>
          <w:szCs w:val="16"/>
        </w:rPr>
        <w:t>м</w:t>
      </w:r>
      <w:r w:rsidRPr="005E779E">
        <w:rPr>
          <w:rFonts w:ascii="Times New Roman" w:hAnsi="Times New Roman"/>
          <w:color w:val="000000" w:themeColor="text1"/>
          <w:sz w:val="16"/>
          <w:szCs w:val="16"/>
        </w:rPr>
        <w:t>е</w:t>
      </w:r>
      <w:r w:rsidRPr="005E779E">
        <w:rPr>
          <w:rFonts w:ascii="Times New Roman" w:hAnsi="Times New Roman"/>
          <w:noProof/>
          <w:color w:val="000000" w:themeColor="text1"/>
          <w:sz w:val="16"/>
          <w:szCs w:val="16"/>
        </w:rPr>
        <w:t>трте систем орудий АРГК, которые имеют же</w:t>
      </w:r>
      <w:r w:rsidRPr="005E779E">
        <w:rPr>
          <w:rFonts w:ascii="Times New Roman" w:hAnsi="Times New Roman"/>
          <w:noProof/>
          <w:color w:val="000000" w:themeColor="text1"/>
          <w:sz w:val="16"/>
          <w:szCs w:val="16"/>
        </w:rPr>
        <w:softHyphen/>
        <w:t>сткий лафет и не намечены по разным при</w:t>
      </w:r>
      <w:r w:rsidRPr="005E779E">
        <w:rPr>
          <w:rFonts w:ascii="Times New Roman" w:hAnsi="Times New Roman"/>
          <w:noProof/>
          <w:color w:val="000000" w:themeColor="text1"/>
          <w:sz w:val="16"/>
          <w:szCs w:val="16"/>
        </w:rPr>
        <w:softHyphen/>
        <w:t xml:space="preserve">чинам к модернизации в целях увеличения скорости </w:t>
      </w:r>
      <w:r w:rsidRPr="005E779E">
        <w:rPr>
          <w:rFonts w:ascii="Times New Roman" w:hAnsi="Times New Roman"/>
          <w:color w:val="000000" w:themeColor="text1"/>
          <w:sz w:val="16"/>
          <w:szCs w:val="16"/>
        </w:rPr>
        <w:t>(</w:t>
      </w:r>
      <w:r w:rsidRPr="005E779E">
        <w:rPr>
          <w:rFonts w:ascii="Times New Roman" w:hAnsi="Times New Roman"/>
          <w:noProof/>
          <w:color w:val="000000" w:themeColor="text1"/>
          <w:sz w:val="16"/>
          <w:szCs w:val="16"/>
        </w:rPr>
        <w:t>орудия обр 77 г.</w:t>
      </w:r>
      <w:r w:rsidRPr="005E779E">
        <w:rPr>
          <w:rFonts w:ascii="Times New Roman" w:hAnsi="Times New Roman"/>
          <w:color w:val="000000" w:themeColor="text1"/>
          <w:sz w:val="16"/>
          <w:szCs w:val="16"/>
        </w:rPr>
        <w:t>)</w:t>
      </w:r>
      <w:r w:rsidRPr="005E779E">
        <w:rPr>
          <w:rFonts w:ascii="Times New Roman" w:hAnsi="Times New Roman"/>
          <w:noProof/>
          <w:color w:val="000000" w:themeColor="text1"/>
          <w:sz w:val="16"/>
          <w:szCs w:val="16"/>
        </w:rPr>
        <w:t>, но и здесь необходимо внести указанное выше улучшение. В случае же увеличения его скорости до 10-12 клм на гусенице он может быть ис</w:t>
      </w:r>
      <w:r w:rsidRPr="005E779E">
        <w:rPr>
          <w:rFonts w:ascii="Times New Roman" w:hAnsi="Times New Roman"/>
          <w:noProof/>
          <w:color w:val="000000" w:themeColor="text1"/>
          <w:sz w:val="16"/>
          <w:szCs w:val="16"/>
        </w:rPr>
        <w:softHyphen/>
        <w:t>пользован для тяги систем полковой</w:t>
      </w:r>
      <w:r w:rsidRPr="005E779E">
        <w:rPr>
          <w:rFonts w:ascii="Times New Roman" w:hAnsi="Times New Roman"/>
          <w:color w:val="000000" w:themeColor="text1"/>
          <w:sz w:val="16"/>
          <w:szCs w:val="16"/>
        </w:rPr>
        <w:t xml:space="preserve"> и дивизионной</w:t>
      </w:r>
      <w:r w:rsidRPr="005E779E">
        <w:rPr>
          <w:rFonts w:ascii="Times New Roman" w:hAnsi="Times New Roman"/>
          <w:noProof/>
          <w:color w:val="000000" w:themeColor="text1"/>
          <w:sz w:val="16"/>
          <w:szCs w:val="16"/>
        </w:rPr>
        <w:t xml:space="preserve"> артиллерии в составе менее тяже</w:t>
      </w:r>
      <w:r w:rsidRPr="005E779E">
        <w:rPr>
          <w:rFonts w:ascii="Times New Roman" w:hAnsi="Times New Roman"/>
          <w:noProof/>
          <w:color w:val="000000" w:themeColor="text1"/>
          <w:sz w:val="16"/>
          <w:szCs w:val="16"/>
        </w:rPr>
        <w:softHyphen/>
        <w:t>лых поездов ~ только орудие с передком».</w:t>
      </w:r>
    </w:p>
    <w:p w14:paraId="59082547"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причине недостатка специализиро</w:t>
      </w:r>
      <w:r w:rsidRPr="005E779E">
        <w:rPr>
          <w:rFonts w:ascii="Times New Roman" w:hAnsi="Times New Roman"/>
          <w:color w:val="000000" w:themeColor="text1"/>
          <w:sz w:val="16"/>
          <w:szCs w:val="16"/>
        </w:rPr>
        <w:softHyphen/>
        <w:t>ванных артиллерийских тягачей СХТЗ-15/30 применялись в Красной Армии до начала Ве</w:t>
      </w:r>
      <w:r w:rsidRPr="005E779E">
        <w:rPr>
          <w:rFonts w:ascii="Times New Roman" w:hAnsi="Times New Roman"/>
          <w:color w:val="000000" w:themeColor="text1"/>
          <w:sz w:val="16"/>
          <w:szCs w:val="16"/>
        </w:rPr>
        <w:softHyphen/>
        <w:t>ликой Отечественной войны. Тракторы это</w:t>
      </w:r>
      <w:r w:rsidRPr="005E779E">
        <w:rPr>
          <w:rFonts w:ascii="Times New Roman" w:hAnsi="Times New Roman"/>
          <w:color w:val="000000" w:themeColor="text1"/>
          <w:sz w:val="16"/>
          <w:szCs w:val="16"/>
        </w:rPr>
        <w:softHyphen/>
        <w:t>го типа, захваченные в первые месяцы бое</w:t>
      </w:r>
      <w:r w:rsidRPr="005E779E">
        <w:rPr>
          <w:rFonts w:ascii="Times New Roman" w:hAnsi="Times New Roman"/>
          <w:color w:val="000000" w:themeColor="text1"/>
          <w:sz w:val="16"/>
          <w:szCs w:val="16"/>
        </w:rPr>
        <w:softHyphen/>
        <w:t>вых действий, немцы использовали как тя</w:t>
      </w:r>
      <w:r w:rsidRPr="005E779E">
        <w:rPr>
          <w:rFonts w:ascii="Times New Roman" w:hAnsi="Times New Roman"/>
          <w:color w:val="000000" w:themeColor="text1"/>
          <w:sz w:val="16"/>
          <w:szCs w:val="16"/>
        </w:rPr>
        <w:softHyphen/>
        <w:t>гачи в армии и во вспомогательных служ</w:t>
      </w:r>
      <w:r w:rsidRPr="005E779E">
        <w:rPr>
          <w:rFonts w:ascii="Times New Roman" w:hAnsi="Times New Roman"/>
          <w:color w:val="000000" w:themeColor="text1"/>
          <w:sz w:val="16"/>
          <w:szCs w:val="16"/>
        </w:rPr>
        <w:softHyphen/>
        <w:t>бах, а также в восстановленных на оккупи</w:t>
      </w:r>
      <w:r w:rsidRPr="005E779E">
        <w:rPr>
          <w:rFonts w:ascii="Times New Roman" w:hAnsi="Times New Roman"/>
          <w:color w:val="000000" w:themeColor="text1"/>
          <w:sz w:val="16"/>
          <w:szCs w:val="16"/>
        </w:rPr>
        <w:softHyphen/>
        <w:t>рованной территории колхозах по прямому назначению (11902).</w:t>
      </w:r>
    </w:p>
    <w:p w14:paraId="288AF800"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58DE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Осенью 1931 вошли в состав БФ 3 первых советских подводных лодки типа Д, которые, заложенные в марте 1927 в Ленинграде и начали разработку заградителей типа Л (359,64).</w:t>
      </w:r>
    </w:p>
    <w:p w14:paraId="4A5738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F1B9E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Осенью 1931 г. Представленный УВМС комплексный план строительства ВМС РККА на 1932—1935 гг. включал построй</w:t>
      </w:r>
      <w:r w:rsidRPr="005E779E">
        <w:rPr>
          <w:rFonts w:ascii="Times New Roman" w:hAnsi="Times New Roman"/>
          <w:color w:val="000000" w:themeColor="text1"/>
          <w:sz w:val="16"/>
          <w:szCs w:val="16"/>
        </w:rPr>
        <w:softHyphen/>
        <w:t>ку кораблей для всех четырех основных морских театров, расчеты по развертыванию береговых батарей, самолетов морской авиации, работе судостроительной и смежных отраслей промышленности и т. д. В отношении корабельного состава предлагалось (включая программу 1929 г.) построить 170 подводных лодок (50 больших, 90 средних, 30 мальис), 38 эсминцев (из них —14 лидеров), 4 крей</w:t>
      </w:r>
      <w:r w:rsidRPr="005E779E">
        <w:rPr>
          <w:rFonts w:ascii="Times New Roman" w:hAnsi="Times New Roman"/>
          <w:color w:val="000000" w:themeColor="text1"/>
          <w:sz w:val="16"/>
          <w:szCs w:val="16"/>
        </w:rPr>
        <w:softHyphen/>
        <w:t>сера, 120 торпедных катеров и другие корабли и вспомогательные суда с модернизацией "Фрунзе" и исключением б сторожевых ко</w:t>
      </w:r>
      <w:r w:rsidRPr="005E779E">
        <w:rPr>
          <w:rFonts w:ascii="Times New Roman" w:hAnsi="Times New Roman"/>
          <w:color w:val="000000" w:themeColor="text1"/>
          <w:sz w:val="16"/>
          <w:szCs w:val="16"/>
        </w:rPr>
        <w:softHyphen/>
        <w:t>раблей. Финансирование судостроения на четыре года (1932—1935) запрашивалось в размере 1400 млн руб., что заставило Куй</w:t>
      </w:r>
      <w:r w:rsidRPr="005E779E">
        <w:rPr>
          <w:rFonts w:ascii="Times New Roman" w:hAnsi="Times New Roman"/>
          <w:color w:val="000000" w:themeColor="text1"/>
          <w:sz w:val="16"/>
          <w:szCs w:val="16"/>
        </w:rPr>
        <w:softHyphen/>
        <w:t>бышева и Ворошилова не торопиться с утверждением этой про</w:t>
      </w:r>
      <w:r w:rsidRPr="005E779E">
        <w:rPr>
          <w:rFonts w:ascii="Times New Roman" w:hAnsi="Times New Roman"/>
          <w:color w:val="000000" w:themeColor="text1"/>
          <w:sz w:val="16"/>
          <w:szCs w:val="16"/>
        </w:rPr>
        <w:softHyphen/>
        <w:t>граммы (3898).</w:t>
      </w:r>
    </w:p>
    <w:p w14:paraId="319337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C82B202" w14:textId="77777777" w:rsidR="00C356D8" w:rsidRPr="00951B40" w:rsidRDefault="00C356D8" w:rsidP="00C356D8">
      <w:pPr>
        <w:spacing w:after="0" w:line="240" w:lineRule="auto"/>
        <w:jc w:val="both"/>
        <w:rPr>
          <w:rFonts w:ascii="Times New Roman" w:hAnsi="Times New Roman"/>
          <w:color w:val="0070C0"/>
          <w:sz w:val="16"/>
          <w:szCs w:val="16"/>
        </w:rPr>
      </w:pPr>
      <w:r w:rsidRPr="00951B40">
        <w:rPr>
          <w:rStyle w:val="aff0"/>
          <w:rFonts w:ascii="Times New Roman" w:hAnsi="Times New Roman" w:cs="Times New Roman"/>
          <w:color w:val="0070C0"/>
          <w:spacing w:val="0"/>
          <w:sz w:val="16"/>
          <w:szCs w:val="16"/>
        </w:rPr>
        <w:t>Осенью 1931 года в Кронштадте состоялись сравнительные испытания аппаратуры конструкции Остехбюро и ЦЛПС. Они про</w:t>
      </w:r>
      <w:r w:rsidRPr="00951B40">
        <w:rPr>
          <w:rStyle w:val="aff0"/>
          <w:rFonts w:ascii="Times New Roman" w:hAnsi="Times New Roman" w:cs="Times New Roman"/>
          <w:color w:val="0070C0"/>
          <w:spacing w:val="0"/>
          <w:sz w:val="16"/>
          <w:szCs w:val="16"/>
        </w:rPr>
        <w:softHyphen/>
        <w:t>ходили со 2 сентября по 23 ноября. По результатам испытаний аппаратура ЦЛПС была принята на вооружение, а аппарату</w:t>
      </w:r>
      <w:r w:rsidRPr="00951B40">
        <w:rPr>
          <w:rStyle w:val="aff0"/>
          <w:rFonts w:ascii="Times New Roman" w:hAnsi="Times New Roman" w:cs="Times New Roman"/>
          <w:color w:val="0070C0"/>
          <w:spacing w:val="0"/>
          <w:sz w:val="16"/>
          <w:szCs w:val="16"/>
        </w:rPr>
        <w:softHyphen/>
        <w:t>ра ОТВ - только постановлением РВС от 17 июля 1933 г., то есть на полтора года позже. Тем не менее, в начале 1932 г. состоялась демонстрация возможностей аппаратуры ВУ членам правительства, за</w:t>
      </w:r>
      <w:r w:rsidRPr="00951B40">
        <w:rPr>
          <w:rStyle w:val="aff0"/>
          <w:rFonts w:ascii="Times New Roman" w:hAnsi="Times New Roman" w:cs="Times New Roman"/>
          <w:color w:val="0070C0"/>
          <w:spacing w:val="0"/>
          <w:sz w:val="16"/>
          <w:szCs w:val="16"/>
        </w:rPr>
        <w:softHyphen/>
        <w:t>вершившаяся полным успехом (25781).</w:t>
      </w:r>
    </w:p>
    <w:p w14:paraId="2CF3AF73" w14:textId="77777777" w:rsidR="00C356D8" w:rsidRPr="00951B40" w:rsidRDefault="00C356D8" w:rsidP="00C356D8">
      <w:pPr>
        <w:spacing w:after="0" w:line="240" w:lineRule="auto"/>
        <w:jc w:val="both"/>
        <w:rPr>
          <w:rFonts w:ascii="Times New Roman" w:hAnsi="Times New Roman"/>
          <w:color w:val="0070C0"/>
          <w:sz w:val="16"/>
          <w:szCs w:val="16"/>
        </w:rPr>
      </w:pPr>
    </w:p>
    <w:p w14:paraId="77D15811"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352C69C8"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FA3F742" w14:textId="77777777" w:rsidR="009B2B4A" w:rsidRPr="005E779E" w:rsidRDefault="009B2B4A"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На осень 1931 г., до начала японской интервенции в Маньчжурии "для обороны д[альне]в[осточных] границ Союза" советское руководство считало нужным выделять "очень незначительные силы". они составляли 42 тыс. человек при 352 орудиях, 88 самолетах и 16 танках, т. е. около 5% сил Красной Армии мирного времени (Справка Управления делами НКВМ "Укрепление обороны советского Дальнего Востока* [декабрь 1932 - январь 1933] // РГВА Ф. 4. Оп. 14. Д 754. Л. 26. Уместно вспомнить, что в начале 1930 Г.Тухачевский предлагал в случае войны ограничить развертываемые в Сибири силы всего пятью дивизиями (см. 2.2).</w:t>
      </w:r>
    </w:p>
    <w:p w14:paraId="00519F68" w14:textId="77777777" w:rsidR="009B2B4A" w:rsidRPr="005E779E" w:rsidRDefault="009B2B4A"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По свидетельству И. Ф. Цветкова, "в соответствии с мобилизационным планом (МП-10) па 1931 год из 122 стрелковых дивизий на западных границах предполагалось развернуть 110, основную часть конницы, почти все тапки и большую часть авиации" (ЦВЕТКОВ И. Ф. Организационно-мобилизационные органы и организационные структуры Военно-Морского Флота России (1695-1945). СПб., 2000. С. 266).).</w:t>
      </w:r>
    </w:p>
    <w:p w14:paraId="565D1925" w14:textId="77777777" w:rsidR="009B2B4A" w:rsidRPr="005E779E" w:rsidRDefault="009B2B4A"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eastAsia="Times New Roman" w:hAnsi="Times New Roman"/>
          <w:color w:val="000000" w:themeColor="text1"/>
          <w:sz w:val="16"/>
          <w:szCs w:val="16"/>
          <w:lang w:eastAsia="ru-RU"/>
        </w:rPr>
        <w:t xml:space="preserve">Еще в конце лета - начале осени 1931 г. политическое и военное руководство не видело оснований для особой тревоги за положение на Дальнем Востоке (Противоположная точка зрения высказана Р. У. Дэвисом. По его мнению, предпринятые летом 1931 г. меры по увеличению выпуска вооружений были вызваны "растущим напряжением" в отношениях Москвы и Токио, что заставило Политбюро весной 1931 г. четырежды обращаться к проблеме японо-советских противоречий (DAVIES R. W. Crisis and Progress in the Soviet </w:t>
      </w:r>
      <w:r w:rsidRPr="005E779E">
        <w:rPr>
          <w:rFonts w:ascii="Times New Roman" w:eastAsia="Times New Roman" w:hAnsi="Times New Roman"/>
          <w:color w:val="000000" w:themeColor="text1"/>
          <w:sz w:val="16"/>
          <w:szCs w:val="16"/>
          <w:lang w:val="en-US" w:eastAsia="ru-RU"/>
        </w:rPr>
        <w:t>Economy</w:t>
      </w:r>
      <w:r w:rsidRPr="005E779E">
        <w:rPr>
          <w:rFonts w:ascii="Times New Roman" w:eastAsia="Times New Roman" w:hAnsi="Times New Roman"/>
          <w:color w:val="000000" w:themeColor="text1"/>
          <w:sz w:val="16"/>
          <w:szCs w:val="16"/>
          <w:lang w:eastAsia="ru-RU"/>
        </w:rPr>
        <w:t>, 1931-1933. Basingstoke; L, 1996. P. 113-114). Упомянутые решения Политбюро были, однако, посвящены урегулированию разногласий об арендных платежах японских рыбопромышленников за морские участки им. (См. Протокол № 23 заседания Политбюро ЦК ВКП(б) ОТ 15.03-1931 // РГА СПИ Ф. 17. Оп. 162. Д 9. Л. 162; Протокол № 31 заседания Политбюро ЦК им 1(6) от 5.04.1931 // Там же. Д. 10. Л. 2; Протокол № 33 заседания Политбюро ЦК ВКП(б) от 10-13-04.1931 // Там же. Л. 7; Протокол № 37 заседания Политбюро ЦК ВКП(б) от 10.05-1931 // Там же. Л. 33; а также: Телеграмма Заместитсля Народного Комиссара по Иностранным Делам Карахана Полпреду СССР в Японии Трояновскому, 22.04.1931 // ДВП СССР. Т. XIV. С. 267; Заявление Заместителя Народного Комиссара по Иностранным Делам Карахана Послу Японии в СССР Хирота, 24.04.1931 //Там же. С. 273-274; Запись беседы Заместителя Народного Комиссара по Иностранным Делам КАРАХАНА с Послом Японии в СССР Хирота, 3-05.1931 //Там же. С. 303-306). Вслед за Дж Хасламом, Р. У. Дэвие и Д Р. Стоун придают также большое значение перехвату советской разведкой в марте 1931 г. телеграммы японского военного атташе в Москве, в которой тот обосновывал целесообразность превентивной войны против СССР (</w:t>
      </w:r>
      <w:r w:rsidRPr="005E779E">
        <w:rPr>
          <w:rFonts w:ascii="Times New Roman" w:eastAsia="Times New Roman" w:hAnsi="Times New Roman"/>
          <w:color w:val="000000" w:themeColor="text1"/>
          <w:sz w:val="16"/>
          <w:szCs w:val="16"/>
          <w:lang w:val="en-US" w:eastAsia="ru-RU"/>
        </w:rPr>
        <w:t>HASLAM</w:t>
      </w:r>
      <w:r w:rsidRPr="005E779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val="en-US" w:eastAsia="ru-RU"/>
        </w:rPr>
        <w:t>J</w:t>
      </w:r>
      <w:r w:rsidRPr="005E779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val="en-US" w:eastAsia="ru-RU"/>
        </w:rPr>
        <w:t>Soviet</w:t>
      </w:r>
      <w:r w:rsidRPr="005E779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val="en-US" w:eastAsia="ru-RU"/>
        </w:rPr>
        <w:t>Foreign</w:t>
      </w:r>
      <w:r w:rsidRPr="005E779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val="en-US" w:eastAsia="ru-RU"/>
        </w:rPr>
        <w:t>Policy</w:t>
      </w:r>
      <w:r w:rsidRPr="005E779E">
        <w:rPr>
          <w:rFonts w:ascii="Times New Roman" w:eastAsia="Times New Roman" w:hAnsi="Times New Roman"/>
          <w:color w:val="000000" w:themeColor="text1"/>
          <w:sz w:val="16"/>
          <w:szCs w:val="16"/>
          <w:lang w:eastAsia="ru-RU"/>
        </w:rPr>
        <w:t xml:space="preserve">, 1430-1933: </w:t>
      </w:r>
      <w:r w:rsidRPr="005E779E">
        <w:rPr>
          <w:rFonts w:ascii="Times New Roman" w:eastAsia="Times New Roman" w:hAnsi="Times New Roman"/>
          <w:color w:val="000000" w:themeColor="text1"/>
          <w:sz w:val="16"/>
          <w:szCs w:val="16"/>
          <w:lang w:val="en-US" w:eastAsia="ru-RU"/>
        </w:rPr>
        <w:t>The</w:t>
      </w:r>
      <w:r w:rsidRPr="005E779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val="en-US" w:eastAsia="ru-RU"/>
        </w:rPr>
        <w:t>Impact</w:t>
      </w:r>
      <w:r w:rsidRPr="005E779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val="en-US" w:eastAsia="ru-RU"/>
        </w:rPr>
        <w:t>of</w:t>
      </w:r>
      <w:r w:rsidRPr="005E779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val="en-US" w:eastAsia="ru-RU"/>
        </w:rPr>
        <w:t>the</w:t>
      </w:r>
      <w:r w:rsidRPr="005E779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val="en-US" w:eastAsia="ru-RU"/>
        </w:rPr>
        <w:t>Depression</w:t>
      </w:r>
      <w:r w:rsidRPr="005E779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val="en-US" w:eastAsia="ru-RU"/>
        </w:rPr>
        <w:t xml:space="preserve">L, 1983. P. 73-74; STONE D. Tukhachevsky in Leningrad: Military, Politics and Exile, 1928-31 // Europe-Asia Studies. </w:t>
      </w:r>
      <w:r w:rsidRPr="005E779E">
        <w:rPr>
          <w:rFonts w:ascii="Times New Roman" w:eastAsia="Times New Roman" w:hAnsi="Times New Roman"/>
          <w:color w:val="000000" w:themeColor="text1"/>
          <w:sz w:val="16"/>
          <w:szCs w:val="16"/>
          <w:lang w:eastAsia="ru-RU"/>
        </w:rPr>
        <w:t xml:space="preserve">1996. </w:t>
      </w:r>
      <w:r w:rsidRPr="005E779E">
        <w:rPr>
          <w:rFonts w:ascii="Times New Roman" w:eastAsia="Times New Roman" w:hAnsi="Times New Roman"/>
          <w:color w:val="000000" w:themeColor="text1"/>
          <w:sz w:val="16"/>
          <w:szCs w:val="16"/>
          <w:lang w:val="en-US" w:eastAsia="ru-RU"/>
        </w:rPr>
        <w:t>Vol</w:t>
      </w:r>
      <w:r w:rsidRPr="005E779E">
        <w:rPr>
          <w:rFonts w:ascii="Times New Roman" w:eastAsia="Times New Roman" w:hAnsi="Times New Roman"/>
          <w:color w:val="000000" w:themeColor="text1"/>
          <w:sz w:val="16"/>
          <w:szCs w:val="16"/>
          <w:lang w:eastAsia="ru-RU"/>
        </w:rPr>
        <w:t xml:space="preserve">. 48. №8. </w:t>
      </w:r>
      <w:r w:rsidRPr="005E779E">
        <w:rPr>
          <w:rFonts w:ascii="Times New Roman" w:eastAsia="Times New Roman" w:hAnsi="Times New Roman"/>
          <w:color w:val="000000" w:themeColor="text1"/>
          <w:sz w:val="16"/>
          <w:szCs w:val="16"/>
          <w:lang w:val="en-US" w:eastAsia="ru-RU"/>
        </w:rPr>
        <w:t>P</w:t>
      </w:r>
      <w:r w:rsidRPr="005E779E">
        <w:rPr>
          <w:rFonts w:ascii="Times New Roman" w:eastAsia="Times New Roman" w:hAnsi="Times New Roman"/>
          <w:color w:val="000000" w:themeColor="text1"/>
          <w:sz w:val="16"/>
          <w:szCs w:val="16"/>
          <w:lang w:eastAsia="ru-RU"/>
        </w:rPr>
        <w:t xml:space="preserve">. 1380)). Это подтверждают разнообразные факты и свидетельства. В ходе своей поездки в восточные районы страны, насколько можно судить по докладу Ворошилова в Политбюро, он уделил инспектированию ОКДВА ничуть не большее внимание, чем осмотру предприятий Урала и Поволжья (Биограф Ворошилова объяснял его поездку тем, что японские милитаристы "не скрывали </w:t>
      </w:r>
      <w:r w:rsidRPr="005E779E">
        <w:rPr>
          <w:rFonts w:ascii="Times New Roman" w:eastAsia="Times New Roman" w:hAnsi="Times New Roman"/>
          <w:color w:val="000000" w:themeColor="text1"/>
          <w:sz w:val="16"/>
          <w:szCs w:val="16"/>
          <w:lang w:eastAsia="ru-RU"/>
        </w:rPr>
        <w:lastRenderedPageBreak/>
        <w:t>намерений отторгнуть Советский Дальний Восток" и необходимы были срочные меры по укреплению обороны". Он же признавал: "Но главное внимание Ворошилов на протяжении этой… поездки отводил новостройкам" (КАРДАШОВ В. Ворошилов. М., 1976. С. 255-256)) (22725).</w:t>
      </w:r>
    </w:p>
    <w:p w14:paraId="4C9A7B68" w14:textId="77777777" w:rsidR="009B2B4A" w:rsidRPr="005E779E" w:rsidRDefault="009B2B4A" w:rsidP="000B7A6C">
      <w:pPr>
        <w:spacing w:after="0" w:line="240" w:lineRule="auto"/>
        <w:jc w:val="both"/>
        <w:rPr>
          <w:rFonts w:ascii="Times New Roman" w:hAnsi="Times New Roman"/>
          <w:color w:val="000000" w:themeColor="text1"/>
          <w:sz w:val="16"/>
          <w:szCs w:val="16"/>
        </w:rPr>
      </w:pPr>
    </w:p>
    <w:p w14:paraId="03E2DCD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Осенью 1931 г. на Балтике в 62-й эскад</w:t>
      </w:r>
      <w:r w:rsidRPr="005E779E">
        <w:rPr>
          <w:rFonts w:ascii="Times New Roman" w:hAnsi="Times New Roman"/>
          <w:color w:val="000000" w:themeColor="text1"/>
          <w:sz w:val="16"/>
          <w:szCs w:val="16"/>
        </w:rPr>
        <w:softHyphen/>
        <w:t>рилье 4-й авиабригады насчитывалось три ТБ-1П, которые использовали для испыта</w:t>
      </w:r>
      <w:r w:rsidRPr="005E779E">
        <w:rPr>
          <w:rFonts w:ascii="Times New Roman" w:hAnsi="Times New Roman"/>
          <w:color w:val="000000" w:themeColor="text1"/>
          <w:sz w:val="16"/>
          <w:szCs w:val="16"/>
        </w:rPr>
        <w:softHyphen/>
        <w:t>ний сброса с бреющего полета низковысотных торпед ТАН-12. В 1932 г. началось формирование подразделений минно-торпедной авиации: на Балтике — 121-я эскадрилья, на Черном море — один отряд 124-й эскадрильи, на Тихом океане — уже упомянутый выше отряд П.И. Сучко. Кроме проведения торпедных атак, самолеты предполагалось использовать для постановки минных заграждений на предполагаемых путях передвижения неприятельских кораблей (11286).</w:t>
      </w:r>
    </w:p>
    <w:p w14:paraId="313E42D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9E84F6" w14:textId="77777777" w:rsidR="002D5325" w:rsidRPr="00142305" w:rsidRDefault="002D5325" w:rsidP="002D532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Осенью 1931 г. первые С-62Б поступили в строевые части ВВС Черного и Балтийского морей. К 1 ноября на Балти</w:t>
      </w:r>
      <w:r w:rsidRPr="00142305">
        <w:rPr>
          <w:rFonts w:ascii="Times New Roman" w:hAnsi="Times New Roman"/>
          <w:color w:val="0070C0"/>
          <w:sz w:val="16"/>
          <w:szCs w:val="16"/>
        </w:rPr>
        <w:softHyphen/>
        <w:t>ку прибыли десять лодок; правда, восемь из них - без моторов, присылавшихся отдельно. Их осваивал 62-й отряд 105-й авиабригады. Первый вылет на новой ма</w:t>
      </w:r>
      <w:r w:rsidRPr="00142305">
        <w:rPr>
          <w:rFonts w:ascii="Times New Roman" w:hAnsi="Times New Roman"/>
          <w:color w:val="0070C0"/>
          <w:sz w:val="16"/>
          <w:szCs w:val="16"/>
        </w:rPr>
        <w:softHyphen/>
        <w:t>шине самостоятельно совершил командир звена М. Забелин. Самолет встретили хо</w:t>
      </w:r>
      <w:r w:rsidRPr="00142305">
        <w:rPr>
          <w:rFonts w:ascii="Times New Roman" w:hAnsi="Times New Roman"/>
          <w:color w:val="0070C0"/>
          <w:sz w:val="16"/>
          <w:szCs w:val="16"/>
        </w:rPr>
        <w:softHyphen/>
        <w:t>рошо. Успешно внедрили итальянские са</w:t>
      </w:r>
      <w:r w:rsidRPr="00142305">
        <w:rPr>
          <w:rFonts w:ascii="Times New Roman" w:hAnsi="Times New Roman"/>
          <w:color w:val="0070C0"/>
          <w:sz w:val="16"/>
          <w:szCs w:val="16"/>
        </w:rPr>
        <w:softHyphen/>
        <w:t>молеты и на Черном море. В том же нояб</w:t>
      </w:r>
      <w:r w:rsidRPr="00142305">
        <w:rPr>
          <w:rFonts w:ascii="Times New Roman" w:hAnsi="Times New Roman"/>
          <w:color w:val="0070C0"/>
          <w:sz w:val="16"/>
          <w:szCs w:val="16"/>
        </w:rPr>
        <w:softHyphen/>
        <w:t>ре 1931 г. там имелось 19 самолетов (из них без двигателей - три). Они служили в 64-м отряде и 66-й эскадрилье. Появле</w:t>
      </w:r>
      <w:r w:rsidRPr="00142305">
        <w:rPr>
          <w:rFonts w:ascii="Times New Roman" w:hAnsi="Times New Roman"/>
          <w:color w:val="0070C0"/>
          <w:sz w:val="16"/>
          <w:szCs w:val="16"/>
        </w:rPr>
        <w:softHyphen/>
        <w:t>ние новой техники позволило постепенно избавиться от старых разведчиков МР-1, С-16тер, Ю-20 и НЕ.5 (24948).</w:t>
      </w:r>
    </w:p>
    <w:p w14:paraId="215F8957" w14:textId="77777777" w:rsidR="002D5325" w:rsidRPr="00142305" w:rsidRDefault="002D5325" w:rsidP="002D5325">
      <w:pPr>
        <w:spacing w:after="0" w:line="240" w:lineRule="auto"/>
        <w:jc w:val="both"/>
        <w:rPr>
          <w:rFonts w:ascii="Times New Roman" w:hAnsi="Times New Roman"/>
          <w:color w:val="0070C0"/>
          <w:sz w:val="16"/>
          <w:szCs w:val="16"/>
        </w:rPr>
      </w:pPr>
    </w:p>
    <w:p w14:paraId="3C9761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Осенью 1931 года 10-я и 4-я артиллерийские бригады были переформированы в 1-ю и 2-ю дивизии ПВО. Командиры дивизий стали одновременно начальниками противовоздушной обороны Москвы и Ленинграда. Для обороны Баку и Киева развернуты бригады ПВО (10109).</w:t>
      </w:r>
    </w:p>
    <w:p w14:paraId="1684C0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89C1432" w14:textId="77777777" w:rsidR="00CC6650" w:rsidRPr="00142305" w:rsidRDefault="00CC6650" w:rsidP="00CC665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Осенью 1931 г. на совещании высшего начальствующего состава ВВС РККА был поднят вопрос о введении двухстепенной системы специального снабжения и реорганизации всей процедуры прохождения приема и получения материальной части. Было запрошено мнение окружного командования о том, насколько была бы приемлема такая система. Окружные командования новше</w:t>
      </w:r>
      <w:r w:rsidRPr="00142305">
        <w:rPr>
          <w:rFonts w:ascii="Times New Roman" w:hAnsi="Times New Roman"/>
          <w:color w:val="0070C0"/>
          <w:sz w:val="16"/>
          <w:szCs w:val="16"/>
        </w:rPr>
        <w:softHyphen/>
        <w:t>ство одобрили (24968).</w:t>
      </w:r>
    </w:p>
    <w:p w14:paraId="26BF9DF4" w14:textId="77777777" w:rsidR="00CC6650" w:rsidRPr="00142305" w:rsidRDefault="00CC6650" w:rsidP="00CC6650">
      <w:pPr>
        <w:spacing w:after="0" w:line="240" w:lineRule="auto"/>
        <w:jc w:val="both"/>
        <w:rPr>
          <w:rFonts w:ascii="Times New Roman" w:hAnsi="Times New Roman"/>
          <w:color w:val="0070C0"/>
          <w:sz w:val="16"/>
          <w:szCs w:val="16"/>
        </w:rPr>
      </w:pPr>
    </w:p>
    <w:p w14:paraId="7DE8F704"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6D594EE2"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6342C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осени 1931 года, то есть к самому началу работы Торгсина относятся самые ранние жалобы на противоправные действия ОГПУ. Неизвестно, кому первому в ОГПУ пришла идея использовать Торгсин для выполнения плана "добычи" валюты - скорее всего, определенного автора не было. Агенты ОПТУ стали следить за покупателями в Торгсине, выявляя "держателей ценностей", а затем привычными методами (угрозы, аресты, обыски, конфискации) заставляли их сдавать ценности государству безвозмездно. Одни чекисты соблюдали конспирацию - следили за покупателем скрытно, устанавливая его место жительства, потом приходили с обыском. Другие действовали топорно, видимо, пытаясь взять "укрывателя золота" с поличным: врывались с оружием в магазин, арестовывали людей прямо у прилавка, забирали наличную валюту, а вместе с ней и купленные товары. После таких операций ОГ-ПУ доходы Торгсина падали, а фин-план был под угрозой срыва. Со всех концов страны в правление поступали жалобы от контор Торгсина на действия местных отделений ОГПУ. Тогда это можно было списать на неинформированность местных органов, инерцию, неразбериху и шок, которые сопровождали создание этой необычной организации - появление Торгсина нарушало валютную монополию государства, ведь правительство, по сути, признало право людей иметь валюту и разрешило валютные операции внутри страны. Требовалось время для того, чтобы информация о законности операций Торгсина дошла на места и организации преодолели инерцию государственной валютной монополии. Шло время. УШЛИ в регионы директива ЦК и письмо Сталина о содействии Торгсину. Появилось правительственное постановление о том, что ОГПУ должно проводить свои операции, не подрывая работу Всесоюзного объединения по работе с иностранцами. Руководство Наркомата торговли, в чьем ведении находился Торгсин, провело переговоры с Экономическим отделом (ЭКО) ОГПУ, и, в свою очередь, разослало на места разъясняющие циркуляры о том, что Торгсин имеет право продажи на "эффективную" (несоветскую) валюту. Торгсин из диковинки превратился в обыденное явление советской жизни. Однако жалобы на действия сотрудников ОГПУ - аресты покупателей в Торгсине, обыски в квартирах, конфискация валюты и товаров - продолжали поступать вплоть до самого закрытия объединения (11558).</w:t>
      </w:r>
    </w:p>
    <w:p w14:paraId="6AA7F3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822B6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Осенью 1931 г. горячий сторонник СССР Бруно Таут получает приглашение участвовать в закрытом конкурсе на отель для интуристов в Москве (будущая гостиница «Москва»). До этого Б.Таут уже бывал в СССР с рабочими целями: впервые он приезжал в Москву в мае 1926-го. В Жилищно-строительном комитете при Президиуме Моссовета он читает доклад, в ходе которого даёт, в том числе, и организационные советы — об усилении научного аппарата, о применении светокопии, о введении десятичных масштабов и т.д. Второй раз — в январе 1929 г. Третий — в октябре 1930 по приглашению Мосстройобъединения. И на этот раз он делает глобальное организационное предложение — высказывается за объединение всех московских строительных организаций в единый крупный центр. Перебравшись в 1930 г. в СССР для постоянной проектной работы, Б.Таут получает в своё распоряжение группу из 30 советских сотрудников и, как мы указали, принимает участие конкуре на проект гостиницы «Москва». Кроме него, участвуют бригады Гинзбурга и Щусева. Сдержанный и сухой проект Б.Таута успеха не имеет. Его критикуют в прессе за «недостаточное соответствие окружению». После провала в конкурсе, бригада Б.Таута занимается проектированием нескольких крупных объектов, в том числе жилого комплекса у Курского вокзала и театрального комплекса. Но времена современной архитектуры в СССР заканчиваются именно в это время — фактически, официальная ориентация на классику делает стилистические образы архитектуры Таута неприемлемыми для советских функционеров. Он полностью теряет надежду на реализацию своих проектов в СССР и, несмотря на то, что получил в конце 1932 г. персональное проектного бюро, находящееся в приямом подчинении Президиуму Моссовета, в начале 1933 г. уезжает обратно в Германию (11596).</w:t>
      </w:r>
    </w:p>
    <w:p w14:paraId="76D046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D54EF5E" w14:textId="68D0A21D" w:rsidR="007F1987" w:rsidRPr="005E779E" w:rsidRDefault="007F1987" w:rsidP="000B7A6C">
      <w:pPr>
        <w:autoSpaceDE w:val="0"/>
        <w:autoSpaceDN w:val="0"/>
        <w:adjustRightInd w:val="0"/>
        <w:spacing w:after="0" w:line="240" w:lineRule="auto"/>
        <w:jc w:val="both"/>
        <w:rPr>
          <w:rFonts w:ascii="Times New Roman" w:hAnsi="Times New Roman"/>
          <w:i/>
          <w:iCs/>
          <w:color w:val="000000" w:themeColor="text1"/>
          <w:sz w:val="16"/>
          <w:szCs w:val="16"/>
        </w:rPr>
      </w:pPr>
      <w:r w:rsidRPr="005E779E">
        <w:rPr>
          <w:rFonts w:ascii="Times New Roman" w:hAnsi="Times New Roman"/>
          <w:i/>
          <w:iCs/>
          <w:color w:val="000000" w:themeColor="text1"/>
          <w:sz w:val="16"/>
          <w:szCs w:val="16"/>
        </w:rPr>
        <w:t>Внешняя политика:</w:t>
      </w:r>
    </w:p>
    <w:p w14:paraId="63611595" w14:textId="77777777" w:rsidR="007F1987" w:rsidRPr="005E779E" w:rsidRDefault="007F1987" w:rsidP="000B7A6C">
      <w:pPr>
        <w:autoSpaceDE w:val="0"/>
        <w:autoSpaceDN w:val="0"/>
        <w:adjustRightInd w:val="0"/>
        <w:spacing w:after="0" w:line="240" w:lineRule="auto"/>
        <w:jc w:val="both"/>
        <w:rPr>
          <w:rFonts w:ascii="Times New Roman" w:hAnsi="Times New Roman"/>
          <w:i/>
          <w:iCs/>
          <w:color w:val="000000" w:themeColor="text1"/>
          <w:sz w:val="16"/>
          <w:szCs w:val="16"/>
        </w:rPr>
      </w:pPr>
    </w:p>
    <w:p w14:paraId="1E85E347"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Осенью 1931 г. ввиду валютных затруднений и неприемлемых условий кредитования валютная комиссия СССР пошла на новое сокращение расходов, включая выплаты компании Форда. Через год были досрочно прекращены закупки у нее автомобильных комплектующих, и прерваны переговоры с ее руководством. Средства выделялись только на закупку оборудования для Нижегородского автозавода. В результате компания Форда потеряла около 578 тыс. долл., так как советская сторона приобрела у нее только половину намеченного количества комплектующих, а оборудование поставлялось по заводской себестоимости.</w:t>
      </w:r>
    </w:p>
    <w:p w14:paraId="116CCEB9" w14:textId="77777777" w:rsidR="007F1987" w:rsidRPr="005E779E" w:rsidRDefault="007F198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 первые пять лет 30-х годов СССР должен был выплатить американским фирмам 350 млн. долларов (больше 40 млрд, сегодняшних долларов) кредитов плюс проценты по ним из расчета 7 % годовых. Известно письмо Сталина от 25 августа 1931 г., написанное Кагановичу: «Ввиду валютных затруднений и неприемлемых условий кредита в Америке высказываюсь против каких бы то ни было новых заказов на Америку. Предлагаю воспретить дачу новых заказов на Америку, прервать всякие уже начатые переговоры о новых заказах и по возможности порвать уже заключенные договора о старых заказах с переносом заказов в Европу или на наши собственные заводы. Предлагаю не делать никаких исключений из этого правила ни для Магнитогорска и Кузнецстроя, ни для Харьковстроя, Днепростроя, АМО и Автостроя». Это означало конец сотрудничества с Каном, который выполнил свою задачу в глазах советского правительства: спроектировал и заложил сеть новых промышленных предприятий, а также сформировал заказы на технологическое оборудование, которые теперь могли быть переданы в любые фирмы. Ровно через год большевики отказали фирме Кана в продлении контракта (23485).</w:t>
      </w:r>
    </w:p>
    <w:p w14:paraId="16433DF7" w14:textId="77777777" w:rsidR="007F1987" w:rsidRPr="005E779E" w:rsidRDefault="007F1987" w:rsidP="000B7A6C">
      <w:pPr>
        <w:spacing w:after="0" w:line="240" w:lineRule="auto"/>
        <w:jc w:val="both"/>
        <w:rPr>
          <w:rFonts w:ascii="Times New Roman" w:hAnsi="Times New Roman"/>
          <w:color w:val="000000" w:themeColor="text1"/>
          <w:sz w:val="16"/>
          <w:szCs w:val="16"/>
        </w:rPr>
      </w:pPr>
    </w:p>
    <w:p w14:paraId="2F3693AF" w14:textId="3E6FD592"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5BCC5DF0"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A3CB7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Осенью 1931 года было официально заявлено о прекращении финансирования воздухоплавательных программ в Англии. Даже после этого трагического случая правительство продолжало поддерживать летные эксперименты с участием R.100 и с энтузиазмом отнеслось к новому проекту «Ройал Эйршип Уоркс», названному R.102. Только достигший в это время своего пика экономический кризис заставил британские власти перейти к постепенному свертыванию этих планов (11324).</w:t>
      </w:r>
    </w:p>
    <w:p w14:paraId="1651BD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8E5629E"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73053504"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9CFD0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октябрю 1931 сдали последние 11 И-4, а всего - 177 + 2 опытных (1060,53).</w:t>
      </w:r>
    </w:p>
    <w:p w14:paraId="2485E2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9C30EA3" w14:textId="77777777" w:rsidR="00CC6650" w:rsidRPr="005E779E" w:rsidRDefault="00CC6650" w:rsidP="00CC6650">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2B1568E5" w14:textId="77777777" w:rsidR="00CC6650" w:rsidRPr="005E779E" w:rsidRDefault="00CC6650" w:rsidP="00CC6650">
      <w:pPr>
        <w:autoSpaceDE w:val="0"/>
        <w:autoSpaceDN w:val="0"/>
        <w:adjustRightInd w:val="0"/>
        <w:spacing w:after="0" w:line="240" w:lineRule="auto"/>
        <w:jc w:val="both"/>
        <w:rPr>
          <w:rFonts w:ascii="Times New Roman" w:hAnsi="Times New Roman"/>
          <w:iCs/>
          <w:color w:val="000000" w:themeColor="text1"/>
          <w:sz w:val="16"/>
          <w:szCs w:val="16"/>
        </w:rPr>
      </w:pPr>
    </w:p>
    <w:p w14:paraId="760E76D1" w14:textId="77777777" w:rsidR="00CC6650" w:rsidRPr="00142305" w:rsidRDefault="00CC6650" w:rsidP="00CC665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октябрю 1931 года сдали первые шесть серийных танков Т-24, еще 10 — к 7 ноября, и до конца года оставшиеся 8. Таким образом, общий выпуск танков Т-24 составил 24 маши</w:t>
      </w:r>
      <w:r w:rsidRPr="00142305">
        <w:rPr>
          <w:rFonts w:ascii="Times New Roman" w:hAnsi="Times New Roman"/>
          <w:color w:val="0070C0"/>
          <w:sz w:val="16"/>
          <w:szCs w:val="16"/>
        </w:rPr>
        <w:softHyphen/>
        <w:t>ны, после чего их производство прекра</w:t>
      </w:r>
      <w:r w:rsidRPr="00142305">
        <w:rPr>
          <w:rFonts w:ascii="Times New Roman" w:hAnsi="Times New Roman"/>
          <w:color w:val="0070C0"/>
          <w:sz w:val="16"/>
          <w:szCs w:val="16"/>
        </w:rPr>
        <w:softHyphen/>
        <w:t>тили. Кроме того, изготовили еще не</w:t>
      </w:r>
      <w:r w:rsidRPr="00142305">
        <w:rPr>
          <w:rFonts w:ascii="Times New Roman" w:hAnsi="Times New Roman"/>
          <w:color w:val="0070C0"/>
          <w:sz w:val="16"/>
          <w:szCs w:val="16"/>
        </w:rPr>
        <w:softHyphen/>
        <w:t>сколько корпусов (от 2 до 4 по разным данным) для испытания их обстрелом.</w:t>
      </w:r>
    </w:p>
    <w:p w14:paraId="23F1208C" w14:textId="77777777" w:rsidR="00CC6650" w:rsidRPr="00142305" w:rsidRDefault="00CC6650" w:rsidP="00CC665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Следует добавить, что штатного воору</w:t>
      </w:r>
      <w:r w:rsidRPr="00142305">
        <w:rPr>
          <w:rFonts w:ascii="Times New Roman" w:hAnsi="Times New Roman"/>
          <w:color w:val="0070C0"/>
          <w:sz w:val="16"/>
          <w:szCs w:val="16"/>
        </w:rPr>
        <w:softHyphen/>
        <w:t>жения танки Т-24 так и не получили — по разным данным, удалось изготовить от 2 до 5 (по разным данным) 45-мм пу</w:t>
      </w:r>
      <w:r w:rsidRPr="00142305">
        <w:rPr>
          <w:rFonts w:ascii="Times New Roman" w:hAnsi="Times New Roman"/>
          <w:color w:val="0070C0"/>
          <w:sz w:val="16"/>
          <w:szCs w:val="16"/>
        </w:rPr>
        <w:softHyphen/>
        <w:t>шек образца 1930 года (25010).</w:t>
      </w:r>
    </w:p>
    <w:p w14:paraId="747A4EA2" w14:textId="77777777" w:rsidR="00CC6650" w:rsidRPr="00142305" w:rsidRDefault="00CC6650" w:rsidP="00CC6650">
      <w:pPr>
        <w:spacing w:after="0" w:line="240" w:lineRule="auto"/>
        <w:jc w:val="both"/>
        <w:rPr>
          <w:rFonts w:ascii="Times New Roman" w:hAnsi="Times New Roman"/>
          <w:color w:val="0070C0"/>
          <w:sz w:val="16"/>
          <w:szCs w:val="16"/>
        </w:rPr>
      </w:pPr>
    </w:p>
    <w:p w14:paraId="3F3DFF10"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lastRenderedPageBreak/>
        <w:t>Авиапромышленность:</w:t>
      </w:r>
    </w:p>
    <w:p w14:paraId="486EE9B2"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ECB9CB1" w14:textId="77777777" w:rsidR="00595B4D" w:rsidRPr="005E779E" w:rsidRDefault="00595B4D" w:rsidP="000B7A6C">
      <w:pPr>
        <w:spacing w:after="0" w:line="240" w:lineRule="auto"/>
        <w:jc w:val="both"/>
        <w:rPr>
          <w:rFonts w:ascii="Times New Roman" w:hAnsi="Times New Roman"/>
          <w:color w:val="000000" w:themeColor="text1"/>
          <w:sz w:val="16"/>
          <w:szCs w:val="16"/>
          <w:lang w:eastAsia="ru-RU" w:bidi="ru-RU"/>
        </w:rPr>
      </w:pPr>
      <w:r w:rsidRPr="005E779E">
        <w:rPr>
          <w:rFonts w:ascii="Times New Roman" w:hAnsi="Times New Roman"/>
          <w:color w:val="000000" w:themeColor="text1"/>
          <w:sz w:val="16"/>
          <w:szCs w:val="16"/>
          <w:lang w:eastAsia="ru-RU" w:bidi="ru-RU"/>
        </w:rPr>
        <w:t>1 октября 1931 заместитель начальника НИИ ВВС тов. Аузан в докладе председателю Рево</w:t>
      </w:r>
      <w:r w:rsidRPr="005E779E">
        <w:rPr>
          <w:rFonts w:ascii="Times New Roman" w:hAnsi="Times New Roman"/>
          <w:color w:val="000000" w:themeColor="text1"/>
          <w:sz w:val="16"/>
          <w:szCs w:val="16"/>
          <w:lang w:eastAsia="ru-RU" w:bidi="ru-RU"/>
        </w:rPr>
        <w:softHyphen/>
        <w:t>люционного Военного Совета СССР Во</w:t>
      </w:r>
      <w:r w:rsidRPr="005E779E">
        <w:rPr>
          <w:rFonts w:ascii="Times New Roman" w:hAnsi="Times New Roman"/>
          <w:color w:val="000000" w:themeColor="text1"/>
          <w:sz w:val="16"/>
          <w:szCs w:val="16"/>
          <w:lang w:eastAsia="ru-RU" w:bidi="ru-RU"/>
        </w:rPr>
        <w:softHyphen/>
        <w:t>рошилову от указывал, что по ТШ-1 к этому дню ничего не сделано, «по</w:t>
      </w:r>
      <w:r w:rsidRPr="005E779E">
        <w:rPr>
          <w:rFonts w:ascii="Times New Roman" w:hAnsi="Times New Roman"/>
          <w:color w:val="000000" w:themeColor="text1"/>
          <w:sz w:val="16"/>
          <w:szCs w:val="16"/>
          <w:lang w:eastAsia="ru-RU" w:bidi="ru-RU"/>
        </w:rPr>
        <w:softHyphen/>
        <w:t>скольку самолет стоит в плане условно (до разрешения РВС СССР вопроса о не</w:t>
      </w:r>
      <w:r w:rsidRPr="005E779E">
        <w:rPr>
          <w:rFonts w:ascii="Times New Roman" w:hAnsi="Times New Roman"/>
          <w:color w:val="000000" w:themeColor="text1"/>
          <w:sz w:val="16"/>
          <w:szCs w:val="16"/>
          <w:lang w:eastAsia="ru-RU" w:bidi="ru-RU"/>
        </w:rPr>
        <w:softHyphen/>
        <w:t>обходимости иметь на вооружении тяже</w:t>
      </w:r>
      <w:r w:rsidRPr="005E779E">
        <w:rPr>
          <w:rFonts w:ascii="Times New Roman" w:hAnsi="Times New Roman"/>
          <w:color w:val="000000" w:themeColor="text1"/>
          <w:sz w:val="16"/>
          <w:szCs w:val="16"/>
          <w:lang w:eastAsia="ru-RU" w:bidi="ru-RU"/>
        </w:rPr>
        <w:softHyphen/>
        <w:t>лый 2-х моторный штурмовик)» (21062).</w:t>
      </w:r>
    </w:p>
    <w:p w14:paraId="144730EF" w14:textId="77777777" w:rsidR="00595B4D" w:rsidRPr="005E779E" w:rsidRDefault="00595B4D" w:rsidP="000B7A6C">
      <w:pPr>
        <w:spacing w:after="0" w:line="240" w:lineRule="auto"/>
        <w:jc w:val="both"/>
        <w:rPr>
          <w:rFonts w:ascii="Times New Roman" w:hAnsi="Times New Roman"/>
          <w:color w:val="000000" w:themeColor="text1"/>
          <w:sz w:val="16"/>
          <w:szCs w:val="16"/>
        </w:rPr>
      </w:pPr>
    </w:p>
    <w:p w14:paraId="1EA33FA5" w14:textId="77777777" w:rsidR="00595B4D" w:rsidRPr="005E779E" w:rsidRDefault="00595B4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По состоянию на 1 октября 1931 г. объем выполненных работ по установке в пе</w:t>
      </w:r>
      <w:r w:rsidRPr="005E779E">
        <w:rPr>
          <w:rFonts w:ascii="Times New Roman" w:hAnsi="Times New Roman"/>
          <w:color w:val="000000" w:themeColor="text1"/>
          <w:sz w:val="16"/>
          <w:szCs w:val="16"/>
          <w:lang w:eastAsia="ru-RU" w:bidi="ru-RU"/>
        </w:rPr>
        <w:softHyphen/>
        <w:t>редней кабине Р-6 пушки калибра 37 мм оцени</w:t>
      </w:r>
      <w:r w:rsidRPr="005E779E">
        <w:rPr>
          <w:rFonts w:ascii="Times New Roman" w:hAnsi="Times New Roman"/>
          <w:color w:val="000000" w:themeColor="text1"/>
          <w:sz w:val="16"/>
          <w:szCs w:val="16"/>
          <w:lang w:eastAsia="ru-RU" w:bidi="ru-RU"/>
        </w:rPr>
        <w:softHyphen/>
        <w:t>вался в 80-85% К концу года тему закрыли (21062).</w:t>
      </w:r>
    </w:p>
    <w:p w14:paraId="77CD66BE" w14:textId="77777777" w:rsidR="00595B4D" w:rsidRPr="005E779E" w:rsidRDefault="00595B4D" w:rsidP="000B7A6C">
      <w:pPr>
        <w:spacing w:after="0" w:line="240" w:lineRule="auto"/>
        <w:jc w:val="both"/>
        <w:rPr>
          <w:rFonts w:ascii="Times New Roman" w:hAnsi="Times New Roman"/>
          <w:color w:val="000000" w:themeColor="text1"/>
          <w:sz w:val="16"/>
          <w:szCs w:val="16"/>
          <w:lang w:eastAsia="ru-RU" w:bidi="ru-RU"/>
        </w:rPr>
      </w:pPr>
    </w:p>
    <w:p w14:paraId="620826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1-го октября 1931 года цикл самолетоведения ВВА приступил вплотную к компоновке эскизного проекта самолета Г-1 (3054).</w:t>
      </w:r>
    </w:p>
    <w:p w14:paraId="6DADAE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B1493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 октября 1931 по 1 января 1934 велось проектирование Д-1 10 М-34 (тяжелого десантного самолета) А.Н.Т. и израсходовали 1448490 руб. и 1 апреля 1934 требовалось еще 508000 и работы остановили (2287).</w:t>
      </w:r>
    </w:p>
    <w:p w14:paraId="1F7B9E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48ABE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октября (с 1 - 273,296, 3 - 538) 1931 В.М.Петляков стал начальником секции тяжелых самолетов ЦАГИ, а затем - начальником 2-й бригады и зам. начальника КОСОС ЦАГИ (4,158).</w:t>
      </w:r>
    </w:p>
    <w:p w14:paraId="39BD3C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BD46D4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1 октября 1931 г. в ВВС РККА насчитывалось 54 И-5, а к 1 января 1933 г. - 348. В 1936 г. их уже начали снимать с вооружения. В 1938 г. в ВВС Забайкальского военного округа оставалось 6 ма</w:t>
      </w:r>
      <w:r w:rsidRPr="005E779E">
        <w:rPr>
          <w:rFonts w:ascii="Times New Roman" w:hAnsi="Times New Roman"/>
          <w:color w:val="000000" w:themeColor="text1"/>
          <w:sz w:val="16"/>
          <w:szCs w:val="16"/>
        </w:rPr>
        <w:softHyphen/>
        <w:t>шин, Киевского - 10, Закавказского - 3, Ленинградского - 8. В апреле 1940 г. в списках самолетного парка ВВС числилось 238 И-5, использовавшихся в летных школах. В ВВС ВМФ смена парка проходила медленнее: в 1935 г. в составе ВВС флота имелось 73 машины, годом позже - 152 (из них 41 - на Черном море, остальные - на Тихом океане); в январе 1940 г. 31 машина находилось в частях флота и 20 самолетов - в училищах морской авиации. И-5 летал и за пределами нашей страны. В октябре 1935 г. перед лицом японской угрозы 21-я эскадрилья из двух отрядов перелетела в Монголию, в Тамсаг-Булак, где занималась патрулированием границы (10667).</w:t>
      </w:r>
    </w:p>
    <w:p w14:paraId="0F71473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C4C2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 1 октября 1931 г. Московский завод № 32 был введен в эксплуатацию на старой площадке завода № 1 (ул. Правды, 8) после его разделения. При окончательном переводе авиационного производства завода № 1 на новую площадку у Ходынки в 1933 г. заводу № 32 передана основная часть площадей. Производство оружейных установок. В первое время выпускал также радиаторы и колеса, затем это производство передано на завод № 34. </w:t>
      </w:r>
    </w:p>
    <w:p w14:paraId="226EF5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1934 г. построены два планера Г-5 конструкции Г.Ф. Грошова.</w:t>
      </w:r>
    </w:p>
    <w:p w14:paraId="15C240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 начала 1940-х г. завод № 32 был единственным специализированным предприятием по установкам авиационного вооружения. С началом ВОВ началось форсированное расширение производства (планировалось даже передать заводу на правах филиалов заводы № 289 и № 290 для производства агрегатов вооружения).</w:t>
      </w:r>
    </w:p>
    <w:p w14:paraId="58241E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На заводе № 32 в 1938 г. образовался Опытный отдел по вооружению самолетов с бригадами из специалистов ЦАГИ и ВВА им. Жуковского (которые действовали с 1936 г.), которые далее преобразованы в четыре КБ. </w:t>
      </w:r>
    </w:p>
    <w:p w14:paraId="7CA23C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 опытного цеха- В.Н. Терехов, затем- М.Я. Горелик.</w:t>
      </w:r>
    </w:p>
    <w:p w14:paraId="76F242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 23сс от 26.01.1940 г. заводу предписано выпустить 1400 турелей МВ-3.</w:t>
      </w:r>
    </w:p>
    <w:p w14:paraId="46E0BC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20.07.1940 г. по приказу № 383с от 30.07.1940 г. образован филиал завода- Завод им. КПГ. Начальник филиала (07.1940 г.-)- Самсонов, (-10.1940 г.)- М.Я. Горелик. По приказу № 269с от 25.03.1941 г. филиал завода № 32 был с 1.04.1941 г. преобразован в самостоятельный ГС завод № 487 им. КПГ.</w:t>
      </w:r>
    </w:p>
    <w:p w14:paraId="36BD3D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 завода № 32 в 1940 г. переведена группа работников в помощь новому заводу № 454 НКАП. </w:t>
      </w:r>
    </w:p>
    <w:p w14:paraId="14E36F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Приказом НКАП № 309с от 10.04.1941 г. А.А. Архангельский назначен гл. конструктором вновь созданного КБ завода № 32 для разработки планера бронированного штурмовика МоВ-2 (МВ). До начала войны на заводе под руководством Архангельского доводился и испытывался бомбардировщик СБ-Б1 («Б»).</w:t>
      </w:r>
    </w:p>
    <w:p w14:paraId="743D5F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По приказу № 738сс от 24.07.1941 г. планировалось эвакуировать завод № 32 2ГУ НКАП в г. Омск, но затем по приказу № 1053сс от 9.10.1941 г. принято решение о эвакуации завода в г. Киров на площадку строящегося завода № 315 2ГУ НКАП. Эвакуация прошла в два этапа, в результате образован объединенный завод № 32 НКАП. В 11.1941 г. завод уже развернул производство на новом месте. </w:t>
      </w:r>
    </w:p>
    <w:p w14:paraId="717FFB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 1073с от 20.10.1941 г. на площадке эвакуированного завода в Москве организованы Ремонтные мастерские по установкам вооружения при Ремотделе НКАП. Далее- это Московский филиал завода № 32 (директор- М.В. Дворкин). А уже с 12.1941 г. начало восстанавливаться производство и образован новый завод по агрегатам вооружения № 43 НКАП. Из г. Кирова для формирования нового завода переданы часть оборудования и часть коллектива.</w:t>
      </w:r>
    </w:p>
    <w:p w14:paraId="55F093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1943 г. заводу № 32 были переданы помещения ОКБ завода № 266 в Кирове после его перебазирования в Москву.</w:t>
      </w:r>
    </w:p>
    <w:p w14:paraId="094D1A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состав КМПО входили наряду с филиалами дочерние предприятия: «Мураши», Гирсовский завод пиротехнических средств (ГЗПС).</w:t>
      </w:r>
    </w:p>
    <w:p w14:paraId="6DEE03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1990 г. КМПО им. XX партсъезда переименовано в «Вятское машиностроительное предприятие (ВМП) «АВИТЕК» С 1999 г.- ФГУП «ВМП «Авитек». По Указу Президента РФ № 412 от 23. 04. 2002 года, постановлению Правительства РФ № 480 от 28. 06. 2002 г. предприятие приватизировано и 4.10.2002 г. преобразовано в ОАО «ВМП «Авитек». По Указу Президента РФ № 1009 от 4.08.2004 г. вошло в число стратегических оборонных предприятий.</w:t>
      </w:r>
    </w:p>
    <w:p w14:paraId="5F1C37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Численность персонала (2002 г.)- 6000 чел.</w:t>
      </w:r>
    </w:p>
    <w:p w14:paraId="587EE9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Работали: (-12.1940 г.)- И.Г. Терехов, (начало 1940-х г.)- Н.А. Рубин, В.И. Ермилов; (начало 1950-х)- Фокеев, Юриус, Сутыркин, (1960-е)- А. Юркус (зам. Гл. технолога).</w:t>
      </w:r>
    </w:p>
    <w:p w14:paraId="17E05A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(1939-41 г.)- М.С. Жезлов, (1941 г.)- И.А. Соколов, (1941-05.1943 г.-)- С.Л. Ребенко, (1944 г.)- С.А. Горюнов, (1966 г.)- В.А. Сутырин. Гендиректор (1996 г.)- Б.Б. Попов, С.М. Большаков, (-2002-04 г.-)- В.С. Смердов.</w:t>
      </w:r>
    </w:p>
    <w:p w14:paraId="14FF85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директора (1939-40 г.)- В.Ф. Ульянов. Зам. Гендиректора: по МТС (2002 г.)- А.В. Носков; по производству (2002 г.)- А.В. Бажин; по экономике (2002 г.)- В.Л. Богданов; по сбыту, торговле и строительству (2002 г.)- В.И. Симахин; по ВЭД и развитию предприятия (2004 г.)- М.И. Гозман; по качеству (2004 г.)- Н.А. Романов; по кадрам, соцкультбыту и безопасности (2004 г.)- Б.В. Кушов.</w:t>
      </w:r>
    </w:p>
    <w:p w14:paraId="29AF9A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инженер (-1939-40 г.-)- А.Ф. Гостинцев, А.Б. Рубинштейн, (2004 г.)- В.И. Зорин.</w:t>
      </w:r>
    </w:p>
    <w:p w14:paraId="50D9D2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конструктор- В.А. Шмелев (был начальником цеха на заводе № 32 в Москве), (-1996-2002 г.-)- О.Н. Жарый.</w:t>
      </w:r>
    </w:p>
    <w:p w14:paraId="4F73E6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Гл. конструктора (2003 г.)- В.С. Горн.</w:t>
      </w:r>
    </w:p>
    <w:p w14:paraId="2C5EAA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Главный металлург (1960-е)- В. Хапилин. www.avitec.kirov.ru, www.vmpavitec.ru </w:t>
      </w:r>
    </w:p>
    <w:p w14:paraId="46BCB6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Создано: (перед и во время ВОВ) торпедодержатели: ТД-32 для ДБ-3 (1939); кассетные бомбодержатели: КД-3, КД-2-438, КД-1-038 для ББ-1, КД-2-439 для ТБ-7 и ББ-22; держатели: Дер-31, Дер-32, Дер-34; установки вооружения: КД-3-240, КБ-2-240 для ДБ-240, НУДБ-3 для Че-2; замки: МД-2-40, АСШ-340; лебедки: БЛ-3, БЛ-4; турели: ТУР-9 для «СБ»;</w:t>
      </w:r>
    </w:p>
    <w:p w14:paraId="50B6AC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На базе ЗУР В-601 разработана мишень РМ-5В27 «Пищаль», на базе 9М33- «Саман» 9Ф41.58 </w:t>
      </w:r>
    </w:p>
    <w:p w14:paraId="0B1319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Производство: (годы ВОВ) прицелы: бомбардировочные ПС-1 (ОПБ-21), ОПБ-2, НКПБ-3; стрелковые МПТ-1, ОПТ-2 (К-8Т), ОП-2Л; направляющие для НУР М-8; НУР РО-82 (изд. 2РУ-223, 1941-); запчасти для Р-5, Р-Z, И-153 (1941); держатели Дер-19 и Дер-21 для Пе-2 и Ил-4; замки МД-3-40; установки ВУБ-1 для Пе-2; сбрасыватели АСШЛ-340, ЭСБР-3п; турели МВ-2, МВ-3 (1940); лебедки БЛ-4; (после войны) замки к держателям БД-3-58-21, АПУ-19, АПУ-20; лебедка БЛ-47 (1949); стрелковая кормовая установка Ил-К6 для Ил-28 (1949).</w:t>
      </w:r>
    </w:p>
    <w:p w14:paraId="76CB83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УРВВ: РС-2-УС; ЗУР: В-600П (1960-), 5В24 (1960-), 4К90 (1960-), В-601, В-611, В-625 для С-125; 5В27 (1964-), 9М33 для ЗРК «Оса» (1964-88), 9М330 (1981-);57 УРВП: Х-55; стартовые и маршевые ПРД для В-625; кресла катапультные КМ-1, К-36 (1971-), стреляющий механизм КСМ;</w:t>
      </w:r>
    </w:p>
    <w:p w14:paraId="788512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Компрессор ДХ-2 для бытовых холодильников (1950-е-90-е); малогабаритные дизельные двигатели ВСН-Д (1990-е); стиральная машина «Мини-Вятка» (1990-е). </w:t>
      </w:r>
    </w:p>
    <w:p w14:paraId="242290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2002 г. на «Авитеке» производились: ЗУР; катапультные кресла К-36, кресла К-10 и К-12 для Ми-34; грузоподъемное оборудование самолетов (лебедки БЛ-56, БЛ-47М, СЛГ-1500, СЛГ-300, ГК-3000, ЛПГ-1500А); установки стрелково-пушечного вооружения, балочные держатели и замки для бомб и пусковых установок; стиральные машины СМ-1,5; дизельный двигатель СН-6Д; сельскохозяйственные машины.</w:t>
      </w:r>
    </w:p>
    <w:p w14:paraId="5D0622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 32 НКАП, МАП, Кировского СНХ, Кировский машиностроительный завод (КМСЗ) «Маяк» им. ХХ партсъезда, Кировское машиностроительное ПО (КМПО) им. ХХ партсъезда, ФГУП «Вятское машиностроительное предприятие (ВМП) «Авитек», ОАО «ВМП «Авитек» РАКА</w:t>
      </w:r>
    </w:p>
    <w:p w14:paraId="4F6FFE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Москва ул. Правды, 8; г. Киров, Филейское ш.</w:t>
      </w:r>
    </w:p>
    <w:p w14:paraId="16877E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610047 г. Вятка, г. Киров Октябрьский пр., 1А тел. 23-61-22 www.avitec.kirov.ru, www.vmpavitec.ru (10776).</w:t>
      </w:r>
    </w:p>
    <w:p w14:paraId="671AB6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Опытно-конструкторский отдел (ОКО) завода № 32 НКАП </w:t>
      </w:r>
    </w:p>
    <w:p w14:paraId="06C911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Москва</w:t>
      </w:r>
    </w:p>
    <w:p w14:paraId="6AA331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На заводе № 32 в 1938 г. образовался Опытный отдел по вооружению самолетов с бригадами из специалистов ЦАГИ и ВВА им. Жуковского (которые действовали с 1936 г.). Бригады были преобразованы в четыре КБ (в составе ОКО) гл. конструкторов А.И. Шульгина, Г.М. Можаровского и И.В. Веневидова, И.П. Шебанова, И.И. </w:t>
      </w:r>
      <w:r w:rsidRPr="005E779E">
        <w:rPr>
          <w:rFonts w:ascii="Times New Roman" w:hAnsi="Times New Roman"/>
          <w:color w:val="000000" w:themeColor="text1"/>
          <w:sz w:val="16"/>
          <w:szCs w:val="16"/>
        </w:rPr>
        <w:lastRenderedPageBreak/>
        <w:t>Торопова. Приказом НКАП № 219с от 17.05.1940 г. в составе ОКО закреплены три КБ (кроме КБ И.П. Шебанова, переведенного на завод № 487 НКАП). По приказу 7ГУ НКАП № 11/13 от 13.03.1941 г. ОКО был реорганизован, и три КБ под руководством тех же гл. конструкторов выделились в самостоятельные организации.</w:t>
      </w:r>
    </w:p>
    <w:p w14:paraId="11B66C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 ОКО (03.1941 г.)- Б.К. Соколов.</w:t>
      </w:r>
    </w:p>
    <w:p w14:paraId="1E6E62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КБ-1 завода № 32 НКАП (ОКБ-1-32) гл. конструктора А.И. Шульгина </w:t>
      </w:r>
    </w:p>
    <w:p w14:paraId="0BBF81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середине 1936 г. бригада № 13 КОСОС ЦАГИ под руководством А.И. Шульгина переведена на завод № 32 как бригада, затем КБ-1 по вооружению в составе ОКО. По приказу 7ГУ НКАП № 11/13 от 13.03.1941 г. преобразовано в самостоятельное КБ-1 при заводе № 32 НКАП.</w:t>
      </w:r>
    </w:p>
    <w:p w14:paraId="4CDD48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Работа над установками РС-82 и РС-132, разработка замков Дер-19п, Дер-20п, Дер-21п, кассет для зажигательных бомб.</w:t>
      </w:r>
    </w:p>
    <w:p w14:paraId="60405F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7ГУ НКАП № 32/35 от 13.10.41 г. КБ-1 эвакуировано вместе с заводом в Киров. Шульгин стал гл. конструктором ОКБ-32, действовавшим до 08.1944 г. По приказу № 146с от 21.02.1942 г. часть ОКБ-1 (33 чел.) была переведена в Москву в состав ОКБ завода № 43 НКАП.</w:t>
      </w:r>
    </w:p>
    <w:p w14:paraId="20934A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конструктор (1938-41 г.-)- А.И. Шульгин.</w:t>
      </w:r>
    </w:p>
    <w:p w14:paraId="4D91B3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гл. конструктора (03.1941 г.)- Б.К. Соколов.</w:t>
      </w:r>
    </w:p>
    <w:p w14:paraId="699D72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КБ-2 завода № 32 НКАП, КБ-2 (ОКБ-2-32) при заводе № 32 НКАП Г.М. Можаровского и И.В. Веневидова </w:t>
      </w:r>
    </w:p>
    <w:p w14:paraId="5836F1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Конструкторский коллектив по разработке унифицированных пулеметных установок и пушечных батарей переведен в 1936 г. из ВВА им. Н.Е. Жуковского на завод № 32. До 03.1941 г. – это КБ-4 в составе ОКО. По приказу 7ГУ НКАП № 11/13 от 13.03.1941 г. преобразовано в самостоятельное КБ-2 при заводе № 32 НКАП.</w:t>
      </w:r>
    </w:p>
    <w:p w14:paraId="4EC979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Работы по подвижным стрелковым установкам: МВ-3 и МВ-5 под 12,7-мм пулемёт для Су-2; под Б-12,7 для ТБ-7; турели ТАТ-УБ для Ер-2; турели под ШКАС для Пе-2. </w:t>
      </w:r>
    </w:p>
    <w:p w14:paraId="22451D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1940 г. Можаровским и Веневидовым предложен проект штурмовика с мощным пушечным вооружением МВ («Комбайн», МоВ-2). Проект был одобрен в НКАП, и по приказу № 291сс от 1.04.1941 г. выдано задание на проектирование и постройку двух опытных экземпляров. Для реализации этого проекта по приказу НКАП № 309с от 10.04.1941 г. было организовано отдельное КБ завода № 32. Можаровский и Веневидов назначены гл. конструкторами по вооружению, а А.А. Архангельский- гл. конструктором по планеру. Далее структурно отдельно при заводе работало ОКБ-2 Можаровского и Веневидова, и отдельно- ОКБ А.А. Архангельского.</w:t>
      </w:r>
    </w:p>
    <w:p w14:paraId="5094FF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По приказу 7ГУ НКАП № 32/35 от 13.10.41 г. КБ-2 эвакуировано вместе с заводом в Киров. По приказу № 146с от 21.02.1942 г. конструкторская бригада из ОКБ-2 (6 чел.) была переведена в Москву в состав ОКБ завода № 43 НКАП. В ~1942 г. КБ-2 завода № 32 было влито в состав ОКБ завода № 266 для ускорения работ по электрифицированию установок вооружения. Объединенное ОКБ вскоре перевели с завода № 266 в отдельное помещение в Кирове. </w:t>
      </w:r>
    </w:p>
    <w:p w14:paraId="7F2C6C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ОКБ-266 в соответствии с приказом НКАП № 272с от 6.05.1943 г. переведено из Кирова в Москву на территорию вновь образованного завода № 140 НКАП (ранее филиал завода № 266 НКАП) и где на базе ОКБ-266 и КБ-2 завода № 32 образовано единое ОКБ-140 по электроавтоматике управления самолетом, моторами и вооружением. </w:t>
      </w:r>
    </w:p>
    <w:p w14:paraId="665C14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Оставшаяся часть оборудования и личного состава опытного цеха передана КБ-3 гл. конструктора И.И. Торопова (г. Киров) и ОКБ завода № 43 (г. Москва).</w:t>
      </w:r>
    </w:p>
    <w:p w14:paraId="758EEA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конструктор (1938-43 г.)- Г.М. Можаровский.</w:t>
      </w:r>
    </w:p>
    <w:p w14:paraId="06B9B9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 (1938-43 г.)- И.В. Веневидов.</w:t>
      </w:r>
    </w:p>
    <w:p w14:paraId="1E0799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КБ-3 завода № 32 НКАП гл. конструктора И.П. Шебанова </w:t>
      </w:r>
    </w:p>
    <w:p w14:paraId="24937A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середине 1936 г. бригада № 12 КОСОС ЦАГИ по артиллерийско-стрелковым установкам И.П. Шебанова переведена на завод № 32.</w:t>
      </w:r>
    </w:p>
    <w:p w14:paraId="48CC61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Работы по артиллерийскому вооружению и неподвижным стрелковым установкам. </w:t>
      </w:r>
    </w:p>
    <w:p w14:paraId="63D16D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 280сс от 10.06.1940 г. на заводе им. КПГ, переведенном из НКОМ в НКАП (далее это- завод № 487 НКАП им. КПГ), был образован Опытный отдел по проектированию и изготовлению опытных образцов установок стрелкового вооружения. В этот отдел в полном составе переведено КБ-3 И.П. Шебанова, а также некоторое количество личного состава и оборудования завода № 32. Далее это ОКБ действовало при заводе № 487.</w:t>
      </w:r>
    </w:p>
    <w:p w14:paraId="74734F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конструктор (1938-40 г.)- И.П. Шебанова.</w:t>
      </w:r>
    </w:p>
    <w:p w14:paraId="06CF0D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КБ-4 завода № 32 НКАП, КБ-3, ОКБ-3-32 при заводе № 32, ОКБ-32 НКАП гл. конструктора И.И. Торопова</w:t>
      </w:r>
    </w:p>
    <w:p w14:paraId="503B05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Москва; г. Киров</w:t>
      </w:r>
    </w:p>
    <w:p w14:paraId="03517E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Небольшое КБ по прицелам для стрелковых установок начало работу на заводе раньше других, в середине 1930-х г. По приказу № 219с от 17.05.1940 г. КБ-4 И.И. Торопова планировалось влить в состав КБ-3 И.П. Шебанова, но последнее вскоре было переведено на завод № 487. </w:t>
      </w:r>
    </w:p>
    <w:p w14:paraId="687EBE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 03.1941 г. КБ-4 находилось в составе ОКО завода № 32. По приказу 7ГУ НКАП № 11/13 от 13.03.1941 г. преобразовано в самостоятельное КБ-3 при заводе № 32 НКАП.</w:t>
      </w:r>
    </w:p>
    <w:p w14:paraId="6169EE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Разрабатывались прицелы, турели под 12,7-мм пулеметы БТ для Пе-2 и «103».</w:t>
      </w:r>
    </w:p>
    <w:p w14:paraId="37EDA2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 878сс от 20.08.1941 г. КБ-3 со всем личным составом, документацией и материалами эвакуировано на завод № 481 в Сызрань.</w:t>
      </w:r>
    </w:p>
    <w:p w14:paraId="328FF5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Далее (на 10.1942 г. и 03.1943 г.) И.И. Торопов- гл. конструктор ОКБ-3 завода № 32 (возможно, КБ сразу эвакуировалось на завод № 32).</w:t>
      </w:r>
    </w:p>
    <w:p w14:paraId="57D775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 272с от 6.05.1943 г. часть оборудования и личного состава опытного цеха ОКБ-2 Можаровского и Веневидова передана в ОКБ-3. Далее ОКБ-3 существовало просто как заводское ОКБ-32 НКАП.</w:t>
      </w:r>
    </w:p>
    <w:p w14:paraId="7FD3D4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 484с от 3.08.1944 г. ОКБ-32 гл. конструктора Торопова в полном составе с опытным цехом переведено из Кирова в Москву на завод № 43 и влито в состав ОКБ-43. И.И. Торопов назначен его гл. конструктором.</w:t>
      </w:r>
    </w:p>
    <w:p w14:paraId="7C9580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конструктор (1938-44 г.)- И.И. Торопов.</w:t>
      </w:r>
    </w:p>
    <w:p w14:paraId="0E6D86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ОКБ гл. конструктора А.А. Архангельского на заводе № 32 НКАП </w:t>
      </w:r>
    </w:p>
    <w:p w14:paraId="1AC73A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Приказом НКАП № 309с от 10.04.1941 г. А.А. Архангельский назначен гл. конструктором вновь созданного КБ завода № 32 для разработки планера бронированного штурмовика МоВ-2 (МВ). Личный состав КБ (89 чел.) переведены с завода № 22 на завод № 32, а все материалы и имущество КБ оставлены на заводе № 22. Можаровский и Веневидов назначены гл. конструкторами по вооружению, а А.А. Архангельский- гл. конструктором по планеру. Далее структурно отдельно при заводе работало ОКБ-2 Можаровского и Веневидова, и отдельно- ОКБ А.А. Архангельского.</w:t>
      </w:r>
    </w:p>
    <w:p w14:paraId="681D2A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 823с от 9.08.1941 г. основная часть коллектива ОКБ А.А. Архангельского со всем имуществом и тех. документацией переведена на завод № 156 НКАП.</w:t>
      </w:r>
    </w:p>
    <w:p w14:paraId="41E518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ГУ «Испытательный центр (ИЦ) «Вектор», ООО «ИЦ «Вектор» </w:t>
      </w:r>
    </w:p>
    <w:p w14:paraId="0CDEB7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610047 г. Киров, Октябрьский проспект, 1А, корп 35 тел. 23-48-44</w:t>
      </w:r>
    </w:p>
    <w:p w14:paraId="573706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ИЦ "ВЕКТОР" образован в 1991 г. на базе испытательного комплекса ВМП "АВИТЕК", предназначенного для проведения испытаний опытных и серийных изделий ВПК. В 1998 г. ИЦ "Вектор" преобразован в государственное учреждение (ГУ) "Испытательный центр "Вектор", которое в 2003 г. реорганизовано в ООО "Испытательный центр "Вектор".</w:t>
      </w:r>
    </w:p>
    <w:p w14:paraId="750A28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Осуществляет испытания: электробытовых приборов на безопасность и электро-магнитную совместимость; лесопромышленной продукции (корпусная и мягкая мебель и столярные изделия) и тары; строительных конструкций (окон и дверей); технических средств железнодорожного транспорта. Производит оборудование для проведения данных испытаний (10776).</w:t>
      </w:r>
    </w:p>
    <w:p w14:paraId="21B029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E29BB07"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21F90783"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9A1EB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октября 1931 закончились испытания ТГ (танка Э.Гротте) с двигателем М-6, которые проходили с 27 июня. Достигли скорости 38 км/час. Хорошая проходимость и маневренность, но множество недоработок (4402).</w:t>
      </w:r>
    </w:p>
    <w:p w14:paraId="03DE29AD" w14:textId="77777777" w:rsidR="005B4A49" w:rsidRPr="005E779E" w:rsidRDefault="005B4A4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октября 1931 закончились начатые 27 июня 1931 г. испытания танка Гротте ТГ. Танк продемонстрировал неплохую проходимость и манёвренность. Хорошо зарекомендовала себя в работе трансмиссия. Вместе с гем выявилось множество конструктивных недоработок (15132).</w:t>
      </w:r>
    </w:p>
    <w:p w14:paraId="7CF18E29" w14:textId="77777777" w:rsidR="005B4A49" w:rsidRPr="005E779E" w:rsidRDefault="005B4A49" w:rsidP="000B7A6C">
      <w:pPr>
        <w:spacing w:after="0" w:line="240" w:lineRule="auto"/>
        <w:jc w:val="both"/>
        <w:rPr>
          <w:rFonts w:ascii="Times New Roman" w:hAnsi="Times New Roman"/>
          <w:color w:val="000000" w:themeColor="text1"/>
          <w:sz w:val="16"/>
          <w:szCs w:val="16"/>
        </w:rPr>
      </w:pPr>
    </w:p>
    <w:p w14:paraId="59E7C390" w14:textId="77777777" w:rsidR="005B4A49" w:rsidRPr="005E779E" w:rsidRDefault="005B4A49"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октября 1931 г. первый двухбашенный танк БТ был окончен сборкой в СКБ-6 ХПЗ и под управлением бывшего инженера Хапугина совершил пробную поездку вокруг Харьковского Танкового Завода. В пути случилось ЧП – под гусеницы танка неожиданно бросилась свинья колхоза «Красный китобоец». Хапугин резко вывернул руль и врезался в стоящее у дороги дерево. Однако свинья тоже не уцелела. Пришлось руководству СКБ-6 (ВТ) платить штраф за потраву колхозной собственности (15735).</w:t>
      </w:r>
    </w:p>
    <w:p w14:paraId="2B465124" w14:textId="77777777" w:rsidR="005B4A49" w:rsidRPr="005E779E" w:rsidRDefault="005B4A49" w:rsidP="000B7A6C">
      <w:pPr>
        <w:shd w:val="clear" w:color="auto" w:fill="FFFFFF"/>
        <w:spacing w:after="0" w:line="240" w:lineRule="auto"/>
        <w:jc w:val="both"/>
        <w:rPr>
          <w:rFonts w:ascii="Times New Roman" w:hAnsi="Times New Roman"/>
          <w:color w:val="000000" w:themeColor="text1"/>
          <w:sz w:val="16"/>
          <w:szCs w:val="16"/>
        </w:rPr>
      </w:pPr>
    </w:p>
    <w:p w14:paraId="5C6242D8" w14:textId="77777777" w:rsidR="00DA798E" w:rsidRPr="00142305" w:rsidRDefault="00DA798E" w:rsidP="00DA798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октября 1931 года считается датой пуска заво</w:t>
      </w:r>
      <w:r w:rsidRPr="00142305">
        <w:rPr>
          <w:rFonts w:ascii="Times New Roman" w:hAnsi="Times New Roman"/>
          <w:color w:val="0070C0"/>
          <w:sz w:val="16"/>
          <w:szCs w:val="16"/>
        </w:rPr>
        <w:softHyphen/>
        <w:t>да ХТЗ — с этого дня новый трактор сходил с конвейера каждые 6 мин. Позднее ХТЗ выполнял и оборонные задачи, в частно</w:t>
      </w:r>
      <w:r w:rsidRPr="00142305">
        <w:rPr>
          <w:rFonts w:ascii="Times New Roman" w:hAnsi="Times New Roman"/>
          <w:color w:val="0070C0"/>
          <w:sz w:val="16"/>
          <w:szCs w:val="16"/>
        </w:rPr>
        <w:softHyphen/>
        <w:t>сти там был разработан артиллерийский трактор ХТЗ-4. Но серийное производст</w:t>
      </w:r>
      <w:r w:rsidRPr="00142305">
        <w:rPr>
          <w:rFonts w:ascii="Times New Roman" w:hAnsi="Times New Roman"/>
          <w:color w:val="0070C0"/>
          <w:sz w:val="16"/>
          <w:szCs w:val="16"/>
        </w:rPr>
        <w:softHyphen/>
        <w:t>во копий «Сомуа», «Линке-Гофман», «Ка</w:t>
      </w:r>
      <w:r w:rsidRPr="00142305">
        <w:rPr>
          <w:rFonts w:ascii="Times New Roman" w:hAnsi="Times New Roman"/>
          <w:color w:val="0070C0"/>
          <w:sz w:val="16"/>
          <w:szCs w:val="16"/>
        </w:rPr>
        <w:softHyphen/>
        <w:t>терпиллер-30» или отечественного БНВ там организовано не было (25003).</w:t>
      </w:r>
    </w:p>
    <w:p w14:paraId="40AB4830" w14:textId="77777777" w:rsidR="00DA798E" w:rsidRPr="00142305" w:rsidRDefault="00DA798E" w:rsidP="00DA798E">
      <w:pPr>
        <w:spacing w:after="0" w:line="240" w:lineRule="auto"/>
        <w:jc w:val="both"/>
        <w:rPr>
          <w:rFonts w:ascii="Times New Roman" w:hAnsi="Times New Roman"/>
          <w:color w:val="0070C0"/>
          <w:sz w:val="16"/>
          <w:szCs w:val="16"/>
        </w:rPr>
      </w:pPr>
    </w:p>
    <w:p w14:paraId="776A2D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октября 1931 пустили ХТЗ и АМО (1348,199).</w:t>
      </w:r>
    </w:p>
    <w:p w14:paraId="3F6C0F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F9E6F38" w14:textId="77777777" w:rsidR="007D352F" w:rsidRPr="005E779E" w:rsidRDefault="007D352F"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 xml:space="preserve">1 октября </w:t>
      </w:r>
      <w:r w:rsidRPr="005E779E">
        <w:rPr>
          <w:rFonts w:ascii="Times New Roman" w:hAnsi="Times New Roman"/>
          <w:color w:val="000000" w:themeColor="text1"/>
          <w:sz w:val="16"/>
          <w:szCs w:val="16"/>
        </w:rPr>
        <w:t>в 1931 году на Харьковском тракторном заводе имени С.Орджоникидзе выпускается первый трактор (14786).</w:t>
      </w:r>
    </w:p>
    <w:p w14:paraId="6C1D71A3" w14:textId="77777777" w:rsidR="007D352F" w:rsidRPr="005E779E" w:rsidRDefault="007D352F" w:rsidP="000B7A6C">
      <w:pPr>
        <w:spacing w:after="0" w:line="240" w:lineRule="auto"/>
        <w:jc w:val="both"/>
        <w:rPr>
          <w:rFonts w:ascii="Times New Roman" w:hAnsi="Times New Roman"/>
          <w:color w:val="000000" w:themeColor="text1"/>
          <w:sz w:val="16"/>
          <w:szCs w:val="16"/>
        </w:rPr>
      </w:pPr>
    </w:p>
    <w:p w14:paraId="409D603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октября 1931 был пуск тракторного завода в Харькове и после реконструкции) автомобильного завода в Москве (АМО). Производство автомобилей в СССР: 4 тыс. грузовых и легковых автомобилей в 1931, 136500 - в 1936 (4962).</w:t>
      </w:r>
    </w:p>
    <w:p w14:paraId="708019E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893648" w14:textId="77777777" w:rsidR="00090C68" w:rsidRPr="005E779E" w:rsidRDefault="00090C6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октября 1931 года состоялся пуск Харьковского тракторного завода им. С. Орджоникидзе (ХТЗ). История Харьковского тракторного завода началась в 1930 году, именно тогда было запущено его строительство, которое завершилось через год.</w:t>
      </w:r>
    </w:p>
    <w:p w14:paraId="4EF44F8F" w14:textId="77777777" w:rsidR="00090C68" w:rsidRPr="005E779E" w:rsidRDefault="00090C6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Уже в октябре 1931 года завод начал выпуск колёсного трактора СХТЗ 15/30, который был оснащен керосиновым двигателем мощностью 30 л.с и развивал скорость до 7,4 км/ч. Кстати, именно эта модель была наиболее популярной в СССР в 1930-1940 годах.</w:t>
      </w:r>
    </w:p>
    <w:p w14:paraId="0D9CEDE7" w14:textId="77777777" w:rsidR="00090C68" w:rsidRPr="005E779E" w:rsidRDefault="00090C6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 конца первой пятилетки (которая заканчивалась в 1932 году) завод выпустил более 17000 тракторов. Через 3 года (в 1935) с конвейера сошёл 100-тысячный трактор, а еще через год – уже 150-тысячный (21166).</w:t>
      </w:r>
    </w:p>
    <w:p w14:paraId="585F7F4C" w14:textId="77777777" w:rsidR="00090C68" w:rsidRPr="005E779E" w:rsidRDefault="00090C68" w:rsidP="000B7A6C">
      <w:pPr>
        <w:spacing w:after="0" w:line="240" w:lineRule="auto"/>
        <w:jc w:val="both"/>
        <w:rPr>
          <w:rFonts w:ascii="Times New Roman" w:hAnsi="Times New Roman"/>
          <w:color w:val="000000" w:themeColor="text1"/>
          <w:sz w:val="16"/>
          <w:szCs w:val="16"/>
        </w:rPr>
      </w:pPr>
    </w:p>
    <w:p w14:paraId="62A37248" w14:textId="77777777" w:rsidR="00090C68" w:rsidRPr="005E779E" w:rsidRDefault="00090C6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октября 1931 г., перекрыв все прежде уста</w:t>
      </w:r>
      <w:r w:rsidRPr="005E779E">
        <w:rPr>
          <w:rFonts w:ascii="Times New Roman" w:hAnsi="Times New Roman"/>
          <w:color w:val="000000" w:themeColor="text1"/>
          <w:sz w:val="16"/>
          <w:szCs w:val="16"/>
        </w:rPr>
        <w:softHyphen/>
        <w:t>новленные расчеты, 15-тысячный коллектив строите</w:t>
      </w:r>
      <w:r w:rsidRPr="005E779E">
        <w:rPr>
          <w:rFonts w:ascii="Times New Roman" w:hAnsi="Times New Roman"/>
          <w:color w:val="000000" w:themeColor="text1"/>
          <w:sz w:val="16"/>
          <w:szCs w:val="16"/>
        </w:rPr>
        <w:softHyphen/>
        <w:t>лей Харьковского тракторного сдал в эксплуатацию завод, строительство которого начало активно разви</w:t>
      </w:r>
      <w:r w:rsidRPr="005E779E">
        <w:rPr>
          <w:rFonts w:ascii="Times New Roman" w:hAnsi="Times New Roman"/>
          <w:color w:val="000000" w:themeColor="text1"/>
          <w:sz w:val="16"/>
          <w:szCs w:val="16"/>
        </w:rPr>
        <w:softHyphen/>
        <w:t>ваться только в августе 1930 г. По сложности, новизне технологического оборудования завод встал в один ряд с крупнейшими предприятиями мира. При двухсменной работе с его конвейера должно было сходить ежегодно 50 ООО колесных тракторов модели 15/30 (22518).</w:t>
      </w:r>
    </w:p>
    <w:p w14:paraId="33640EAC" w14:textId="77777777" w:rsidR="00090C68" w:rsidRPr="005E779E" w:rsidRDefault="00090C68" w:rsidP="000B7A6C">
      <w:pPr>
        <w:spacing w:after="0" w:line="240" w:lineRule="auto"/>
        <w:jc w:val="both"/>
        <w:rPr>
          <w:rFonts w:ascii="Times New Roman" w:hAnsi="Times New Roman"/>
          <w:color w:val="000000" w:themeColor="text1"/>
          <w:sz w:val="16"/>
          <w:szCs w:val="16"/>
        </w:rPr>
      </w:pPr>
    </w:p>
    <w:p w14:paraId="5AEAC592" w14:textId="77777777" w:rsidR="00DA798E" w:rsidRPr="00142305" w:rsidRDefault="00DA798E" w:rsidP="00DA798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октября 1931 г. первый колесный «Интернационал» постройки ХТЗ сошел с конвейера, а затем и осуществлен переход к выпуску гусеничных машин (25580).</w:t>
      </w:r>
    </w:p>
    <w:p w14:paraId="7BAA4EB9" w14:textId="77777777" w:rsidR="00DA798E" w:rsidRPr="00142305" w:rsidRDefault="00DA798E" w:rsidP="00DA798E">
      <w:pPr>
        <w:spacing w:after="0" w:line="240" w:lineRule="auto"/>
        <w:jc w:val="both"/>
        <w:rPr>
          <w:rFonts w:ascii="Times New Roman" w:hAnsi="Times New Roman"/>
          <w:color w:val="0070C0"/>
          <w:sz w:val="16"/>
          <w:szCs w:val="16"/>
        </w:rPr>
      </w:pPr>
    </w:p>
    <w:p w14:paraId="1CEC8B68" w14:textId="77777777" w:rsidR="00090C68" w:rsidRPr="005E779E" w:rsidRDefault="00090C68"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 xml:space="preserve">1 октября </w:t>
      </w:r>
      <w:r w:rsidRPr="005E779E">
        <w:rPr>
          <w:rFonts w:ascii="Times New Roman" w:hAnsi="Times New Roman"/>
          <w:color w:val="000000" w:themeColor="text1"/>
          <w:sz w:val="16"/>
          <w:szCs w:val="16"/>
        </w:rPr>
        <w:t>в 1931 году вводится в эксплуатацию реконструированный автомобильный завод АМО в Москве. В день пуска завода И.В.Сталин присылает приветственную телеграмму, в которой пишет: "Там, где русские капиталисты могли построить автомобильные мастерские с отсталой техникой, с низкой производительностью труда, с варварскими приемами эксплуатации, создан могучий гигант с производительностью в 25 000 грузовых машин... Ваша победа — это победа всех трудящихся нашей страны... Горячий большевистский привет всем строителям первого в СССР автогиганта — завода АМО". Трудящиеся горячо откликнулись на приветствие вождя и попросили присвоить заводу имя Сталина. Ныне завод носит имя И.А.Лихачева (14786).</w:t>
      </w:r>
    </w:p>
    <w:p w14:paraId="39ACE734" w14:textId="77777777" w:rsidR="00090C68" w:rsidRPr="005E779E" w:rsidRDefault="00090C68" w:rsidP="000B7A6C">
      <w:pPr>
        <w:spacing w:after="0" w:line="240" w:lineRule="auto"/>
        <w:jc w:val="both"/>
        <w:rPr>
          <w:rFonts w:ascii="Times New Roman" w:hAnsi="Times New Roman"/>
          <w:color w:val="000000" w:themeColor="text1"/>
          <w:sz w:val="16"/>
          <w:szCs w:val="16"/>
        </w:rPr>
      </w:pPr>
    </w:p>
    <w:p w14:paraId="45B1CDFA" w14:textId="77777777" w:rsidR="00090C68" w:rsidRPr="005E779E" w:rsidRDefault="00090C6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октября 1931 в строй гигантов отечественной индустрии всту</w:t>
      </w:r>
      <w:r w:rsidRPr="005E779E">
        <w:rPr>
          <w:rFonts w:ascii="Times New Roman" w:hAnsi="Times New Roman"/>
          <w:color w:val="000000" w:themeColor="text1"/>
          <w:sz w:val="16"/>
          <w:szCs w:val="16"/>
        </w:rPr>
        <w:softHyphen/>
        <w:t>пил реконструированный АМО. После реконструкции копию Фиата 1913 г. - модель АМО-Ф-15 - сме</w:t>
      </w:r>
      <w:r w:rsidRPr="005E779E">
        <w:rPr>
          <w:rFonts w:ascii="Times New Roman" w:hAnsi="Times New Roman"/>
          <w:color w:val="000000" w:themeColor="text1"/>
          <w:sz w:val="16"/>
          <w:szCs w:val="16"/>
        </w:rPr>
        <w:softHyphen/>
        <w:t>нил 2,5-тонный АМО-2 (переход</w:t>
      </w:r>
      <w:r w:rsidRPr="005E779E">
        <w:rPr>
          <w:rFonts w:ascii="Times New Roman" w:hAnsi="Times New Roman"/>
          <w:color w:val="000000" w:themeColor="text1"/>
          <w:sz w:val="16"/>
          <w:szCs w:val="16"/>
        </w:rPr>
        <w:softHyphen/>
        <w:t>ная модель,собранная в основном из импортных деталей и узлов), а на следующий год был запланиро</w:t>
      </w:r>
      <w:r w:rsidRPr="005E779E">
        <w:rPr>
          <w:rFonts w:ascii="Times New Roman" w:hAnsi="Times New Roman"/>
          <w:color w:val="000000" w:themeColor="text1"/>
          <w:sz w:val="16"/>
          <w:szCs w:val="16"/>
        </w:rPr>
        <w:softHyphen/>
        <w:t>ван выпуск 25 тысяч АМО-3, изго</w:t>
      </w:r>
      <w:r w:rsidRPr="005E779E">
        <w:rPr>
          <w:rFonts w:ascii="Times New Roman" w:hAnsi="Times New Roman"/>
          <w:color w:val="000000" w:themeColor="text1"/>
          <w:sz w:val="16"/>
          <w:szCs w:val="16"/>
        </w:rPr>
        <w:softHyphen/>
        <w:t>товленных полностью из отечест</w:t>
      </w:r>
      <w:r w:rsidRPr="005E779E">
        <w:rPr>
          <w:rFonts w:ascii="Times New Roman" w:hAnsi="Times New Roman"/>
          <w:color w:val="000000" w:themeColor="text1"/>
          <w:sz w:val="16"/>
          <w:szCs w:val="16"/>
        </w:rPr>
        <w:softHyphen/>
        <w:t>венных комплектующих. По образ</w:t>
      </w:r>
      <w:r w:rsidRPr="005E779E">
        <w:rPr>
          <w:rFonts w:ascii="Times New Roman" w:hAnsi="Times New Roman"/>
          <w:color w:val="000000" w:themeColor="text1"/>
          <w:sz w:val="16"/>
          <w:szCs w:val="16"/>
        </w:rPr>
        <w:softHyphen/>
        <w:t>ному выражению директора заво</w:t>
      </w:r>
      <w:r w:rsidRPr="005E779E">
        <w:rPr>
          <w:rFonts w:ascii="Times New Roman" w:hAnsi="Times New Roman"/>
          <w:color w:val="000000" w:themeColor="text1"/>
          <w:sz w:val="16"/>
          <w:szCs w:val="16"/>
        </w:rPr>
        <w:softHyphen/>
        <w:t>да И. Лихачева, реконструкция по</w:t>
      </w:r>
      <w:r w:rsidRPr="005E779E">
        <w:rPr>
          <w:rFonts w:ascii="Times New Roman" w:hAnsi="Times New Roman"/>
          <w:color w:val="000000" w:themeColor="text1"/>
          <w:sz w:val="16"/>
          <w:szCs w:val="16"/>
        </w:rPr>
        <w:softHyphen/>
        <w:t>хожа на то, что пальто пришили к пуговицам. Председатель ВСНХ СССР Г.К. Орджоникидзе сказал проще:</w:t>
      </w:r>
    </w:p>
    <w:p w14:paraId="5137C277" w14:textId="77777777" w:rsidR="00090C68" w:rsidRPr="005E779E" w:rsidRDefault="00090C6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Вы произвели не простую ре</w:t>
      </w:r>
      <w:r w:rsidRPr="005E779E">
        <w:rPr>
          <w:rFonts w:ascii="Times New Roman" w:hAnsi="Times New Roman"/>
          <w:color w:val="000000" w:themeColor="text1"/>
          <w:sz w:val="16"/>
          <w:szCs w:val="16"/>
        </w:rPr>
        <w:softHyphen/>
        <w:t>конструкцию, а на месте старого завода построили новый гигант. Скорее овладевайте техникой сво</w:t>
      </w:r>
      <w:r w:rsidRPr="005E779E">
        <w:rPr>
          <w:rFonts w:ascii="Times New Roman" w:hAnsi="Times New Roman"/>
          <w:color w:val="000000" w:themeColor="text1"/>
          <w:sz w:val="16"/>
          <w:szCs w:val="16"/>
        </w:rPr>
        <w:softHyphen/>
        <w:t>его завода. Нам нужны машины (22518).</w:t>
      </w:r>
    </w:p>
    <w:p w14:paraId="632C367B" w14:textId="77777777" w:rsidR="00090C68" w:rsidRPr="005E779E" w:rsidRDefault="00090C68" w:rsidP="000B7A6C">
      <w:pPr>
        <w:spacing w:after="0" w:line="240" w:lineRule="auto"/>
        <w:jc w:val="both"/>
        <w:rPr>
          <w:rFonts w:ascii="Times New Roman" w:hAnsi="Times New Roman"/>
          <w:color w:val="000000" w:themeColor="text1"/>
          <w:sz w:val="16"/>
          <w:szCs w:val="16"/>
        </w:rPr>
      </w:pPr>
    </w:p>
    <w:p w14:paraId="7D6DC40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октября 1931 введен в строй реконструированный АМО - ЗИЛ (3960, 383).</w:t>
      </w:r>
    </w:p>
    <w:p w14:paraId="7705FA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октября 1931 заводу присвоено имя И.В.Сталина (ЗИС).</w:t>
      </w:r>
    </w:p>
    <w:p w14:paraId="3B6C2A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F9B1C20" w14:textId="77777777" w:rsidR="001D6222" w:rsidRPr="005E779E" w:rsidRDefault="001D622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октября 1931 состоялся пуск завода АМО после первой реконструкции. Присвоение заводу имени И.В. Сталина − ЗИС (17494).</w:t>
      </w:r>
    </w:p>
    <w:p w14:paraId="3C92C34E" w14:textId="77777777" w:rsidR="001D6222" w:rsidRPr="005E779E" w:rsidRDefault="001D6222" w:rsidP="000B7A6C">
      <w:pPr>
        <w:spacing w:after="0" w:line="240" w:lineRule="auto"/>
        <w:jc w:val="both"/>
        <w:rPr>
          <w:rFonts w:ascii="Times New Roman" w:hAnsi="Times New Roman"/>
          <w:color w:val="000000" w:themeColor="text1"/>
          <w:sz w:val="16"/>
          <w:szCs w:val="16"/>
        </w:rPr>
      </w:pPr>
    </w:p>
    <w:p w14:paraId="655B4C5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состоянию на 1 октября 1931 (Материалы к совещанию президиума ЦК профсоюза работников авиационной и транспортной промышленности о численности иностранцев и работе завкомов среди них:</w:t>
      </w:r>
    </w:p>
    <w:p w14:paraId="7A8CB0F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На 1/Х-31 г. по официальным данным хозяйственных органов и неполным материалам завкомов на заводах ВА-ТО и ВАО занято 624 иностранных рабочих и специалис</w:t>
      </w:r>
      <w:r w:rsidRPr="005E779E">
        <w:rPr>
          <w:rFonts w:ascii="Times New Roman" w:hAnsi="Times New Roman"/>
          <w:color w:val="000000" w:themeColor="text1"/>
          <w:sz w:val="16"/>
          <w:szCs w:val="16"/>
        </w:rPr>
        <w:softHyphen/>
        <w:t>тов. По группам они делятся следующим образом:</w:t>
      </w:r>
    </w:p>
    <w:p w14:paraId="026E149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Таблица № 1</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573"/>
        <w:gridCol w:w="1027"/>
        <w:gridCol w:w="883"/>
        <w:gridCol w:w="1622"/>
      </w:tblGrid>
      <w:tr w:rsidR="001002C3" w:rsidRPr="005E779E" w14:paraId="074B3334" w14:textId="77777777">
        <w:trPr>
          <w:trHeight w:val="240"/>
        </w:trPr>
        <w:tc>
          <w:tcPr>
            <w:tcW w:w="2573" w:type="dxa"/>
            <w:tcBorders>
              <w:top w:val="single" w:sz="12" w:space="0" w:color="auto"/>
            </w:tcBorders>
          </w:tcPr>
          <w:p w14:paraId="5419312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Общее количество иностранцев по союзу РАТАП</w:t>
            </w:r>
          </w:p>
        </w:tc>
        <w:tc>
          <w:tcPr>
            <w:tcW w:w="1910" w:type="dxa"/>
            <w:gridSpan w:val="2"/>
            <w:tcBorders>
              <w:top w:val="single" w:sz="12" w:space="0" w:color="auto"/>
            </w:tcBorders>
          </w:tcPr>
          <w:p w14:paraId="6580BEB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Из них</w:t>
            </w:r>
          </w:p>
        </w:tc>
        <w:tc>
          <w:tcPr>
            <w:tcW w:w="1622" w:type="dxa"/>
            <w:tcBorders>
              <w:top w:val="single" w:sz="12" w:space="0" w:color="auto"/>
            </w:tcBorders>
          </w:tcPr>
          <w:p w14:paraId="1721D09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Не выяснено</w:t>
            </w:r>
          </w:p>
        </w:tc>
      </w:tr>
      <w:tr w:rsidR="001002C3" w:rsidRPr="005E779E" w14:paraId="7F0756C2" w14:textId="77777777">
        <w:trPr>
          <w:trHeight w:val="211"/>
        </w:trPr>
        <w:tc>
          <w:tcPr>
            <w:tcW w:w="2573" w:type="dxa"/>
          </w:tcPr>
          <w:p w14:paraId="6AF814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4A2EBF1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Специал.</w:t>
            </w:r>
          </w:p>
        </w:tc>
        <w:tc>
          <w:tcPr>
            <w:tcW w:w="883" w:type="dxa"/>
          </w:tcPr>
          <w:p w14:paraId="7E6579F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Рабочих</w:t>
            </w:r>
          </w:p>
        </w:tc>
        <w:tc>
          <w:tcPr>
            <w:tcW w:w="1622" w:type="dxa"/>
          </w:tcPr>
          <w:p w14:paraId="1605FEA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D770383" w14:textId="77777777">
        <w:trPr>
          <w:trHeight w:val="355"/>
        </w:trPr>
        <w:tc>
          <w:tcPr>
            <w:tcW w:w="2573" w:type="dxa"/>
            <w:tcBorders>
              <w:bottom w:val="single" w:sz="12" w:space="0" w:color="auto"/>
            </w:tcBorders>
          </w:tcPr>
          <w:p w14:paraId="5798479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624</w:t>
            </w:r>
          </w:p>
        </w:tc>
        <w:tc>
          <w:tcPr>
            <w:tcW w:w="1027" w:type="dxa"/>
            <w:tcBorders>
              <w:bottom w:val="single" w:sz="12" w:space="0" w:color="auto"/>
            </w:tcBorders>
          </w:tcPr>
          <w:p w14:paraId="080024A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310</w:t>
            </w:r>
          </w:p>
        </w:tc>
        <w:tc>
          <w:tcPr>
            <w:tcW w:w="883" w:type="dxa"/>
            <w:tcBorders>
              <w:bottom w:val="single" w:sz="12" w:space="0" w:color="auto"/>
            </w:tcBorders>
          </w:tcPr>
          <w:p w14:paraId="088C0E7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258</w:t>
            </w:r>
          </w:p>
        </w:tc>
        <w:tc>
          <w:tcPr>
            <w:tcW w:w="1622" w:type="dxa"/>
            <w:tcBorders>
              <w:bottom w:val="single" w:sz="12" w:space="0" w:color="auto"/>
            </w:tcBorders>
          </w:tcPr>
          <w:p w14:paraId="0013AA4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56</w:t>
            </w:r>
          </w:p>
        </w:tc>
      </w:tr>
    </w:tbl>
    <w:p w14:paraId="29CE7D2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национальности:</w:t>
      </w:r>
    </w:p>
    <w:p w14:paraId="71A40A0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Таблица № 2</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912"/>
        <w:gridCol w:w="979"/>
        <w:gridCol w:w="1190"/>
        <w:gridCol w:w="797"/>
        <w:gridCol w:w="874"/>
        <w:gridCol w:w="1411"/>
      </w:tblGrid>
      <w:tr w:rsidR="001002C3" w:rsidRPr="005E779E" w14:paraId="36BD6DEE" w14:textId="77777777">
        <w:trPr>
          <w:trHeight w:val="269"/>
        </w:trPr>
        <w:tc>
          <w:tcPr>
            <w:tcW w:w="4752" w:type="dxa"/>
            <w:gridSpan w:val="5"/>
            <w:tcBorders>
              <w:top w:val="single" w:sz="12" w:space="0" w:color="auto"/>
            </w:tcBorders>
          </w:tcPr>
          <w:p w14:paraId="3D2122B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По национальностям</w:t>
            </w:r>
          </w:p>
        </w:tc>
        <w:tc>
          <w:tcPr>
            <w:tcW w:w="1411" w:type="dxa"/>
            <w:tcBorders>
              <w:top w:val="single" w:sz="12" w:space="0" w:color="auto"/>
            </w:tcBorders>
          </w:tcPr>
          <w:p w14:paraId="3B3D38E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Не выяснено</w:t>
            </w:r>
          </w:p>
        </w:tc>
      </w:tr>
      <w:tr w:rsidR="001002C3" w:rsidRPr="005E779E" w14:paraId="615CBAA4" w14:textId="77777777">
        <w:trPr>
          <w:trHeight w:val="470"/>
        </w:trPr>
        <w:tc>
          <w:tcPr>
            <w:tcW w:w="912" w:type="dxa"/>
          </w:tcPr>
          <w:p w14:paraId="1C2F262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Америк.</w:t>
            </w:r>
          </w:p>
        </w:tc>
        <w:tc>
          <w:tcPr>
            <w:tcW w:w="979" w:type="dxa"/>
          </w:tcPr>
          <w:p w14:paraId="57D7156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Немецк.</w:t>
            </w:r>
          </w:p>
        </w:tc>
        <w:tc>
          <w:tcPr>
            <w:tcW w:w="1190" w:type="dxa"/>
          </w:tcPr>
          <w:p w14:paraId="715C366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Чехо-Слов.</w:t>
            </w:r>
          </w:p>
        </w:tc>
        <w:tc>
          <w:tcPr>
            <w:tcW w:w="797" w:type="dxa"/>
          </w:tcPr>
          <w:p w14:paraId="79A0EE0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Австр.</w:t>
            </w:r>
          </w:p>
        </w:tc>
        <w:tc>
          <w:tcPr>
            <w:tcW w:w="874" w:type="dxa"/>
          </w:tcPr>
          <w:p w14:paraId="2DD87B4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Прочие нац.</w:t>
            </w:r>
          </w:p>
        </w:tc>
        <w:tc>
          <w:tcPr>
            <w:tcW w:w="1411" w:type="dxa"/>
          </w:tcPr>
          <w:p w14:paraId="64FD381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96D9A31" w14:textId="77777777">
        <w:trPr>
          <w:trHeight w:val="365"/>
        </w:trPr>
        <w:tc>
          <w:tcPr>
            <w:tcW w:w="912" w:type="dxa"/>
            <w:tcBorders>
              <w:bottom w:val="single" w:sz="12" w:space="0" w:color="auto"/>
            </w:tcBorders>
          </w:tcPr>
          <w:p w14:paraId="3D7116F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172</w:t>
            </w:r>
          </w:p>
        </w:tc>
        <w:tc>
          <w:tcPr>
            <w:tcW w:w="979" w:type="dxa"/>
            <w:tcBorders>
              <w:bottom w:val="single" w:sz="12" w:space="0" w:color="auto"/>
            </w:tcBorders>
          </w:tcPr>
          <w:p w14:paraId="368A14E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146</w:t>
            </w:r>
          </w:p>
        </w:tc>
        <w:tc>
          <w:tcPr>
            <w:tcW w:w="1190" w:type="dxa"/>
            <w:tcBorders>
              <w:bottom w:val="single" w:sz="12" w:space="0" w:color="auto"/>
            </w:tcBorders>
          </w:tcPr>
          <w:p w14:paraId="6A51F88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86</w:t>
            </w:r>
          </w:p>
        </w:tc>
        <w:tc>
          <w:tcPr>
            <w:tcW w:w="797" w:type="dxa"/>
            <w:tcBorders>
              <w:bottom w:val="single" w:sz="12" w:space="0" w:color="auto"/>
            </w:tcBorders>
          </w:tcPr>
          <w:p w14:paraId="65B9305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w:t>
            </w:r>
          </w:p>
        </w:tc>
        <w:tc>
          <w:tcPr>
            <w:tcW w:w="874" w:type="dxa"/>
            <w:tcBorders>
              <w:bottom w:val="single" w:sz="12" w:space="0" w:color="auto"/>
            </w:tcBorders>
          </w:tcPr>
          <w:p w14:paraId="0C810BE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151</w:t>
            </w:r>
          </w:p>
        </w:tc>
        <w:tc>
          <w:tcPr>
            <w:tcW w:w="1411" w:type="dxa"/>
            <w:tcBorders>
              <w:bottom w:val="single" w:sz="12" w:space="0" w:color="auto"/>
            </w:tcBorders>
          </w:tcPr>
          <w:p w14:paraId="4DB30FA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56</w:t>
            </w:r>
          </w:p>
        </w:tc>
      </w:tr>
    </w:tbl>
    <w:p w14:paraId="2CC1400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 них по договорам работают 381 чел., без договоров на основе общего коддоговора 187 чел. и не установлено 56 чел.</w:t>
      </w:r>
    </w:p>
    <w:p w14:paraId="0CC28B3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Работают иностранцы на 23-х заводах, но основная масса сосредоточена на 5-ти заводах: СТЗ, ХТЗ, Н.Автозавод, «Красный Октябрь» — Сталинград и завод имени Сталина (Москва)^</w:t>
      </w:r>
    </w:p>
    <w:p w14:paraId="1E64613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Количество работающих на отдельных заводах пред</w:t>
      </w:r>
      <w:r w:rsidRPr="005E779E">
        <w:rPr>
          <w:rFonts w:ascii="Times New Roman" w:hAnsi="Times New Roman"/>
          <w:color w:val="000000" w:themeColor="text1"/>
          <w:sz w:val="16"/>
          <w:szCs w:val="16"/>
        </w:rPr>
        <w:softHyphen/>
        <w:t>ставляется в следующем виде:</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634"/>
        <w:gridCol w:w="3648"/>
        <w:gridCol w:w="1814"/>
      </w:tblGrid>
      <w:tr w:rsidR="001002C3" w:rsidRPr="005E779E" w14:paraId="63913DCC" w14:textId="77777777">
        <w:trPr>
          <w:trHeight w:val="413"/>
        </w:trPr>
        <w:tc>
          <w:tcPr>
            <w:tcW w:w="634" w:type="dxa"/>
            <w:tcBorders>
              <w:top w:val="single" w:sz="12" w:space="0" w:color="auto"/>
            </w:tcBorders>
          </w:tcPr>
          <w:p w14:paraId="0BF1CAA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 пп</w:t>
            </w:r>
          </w:p>
        </w:tc>
        <w:tc>
          <w:tcPr>
            <w:tcW w:w="3648" w:type="dxa"/>
            <w:tcBorders>
              <w:top w:val="single" w:sz="12" w:space="0" w:color="auto"/>
            </w:tcBorders>
          </w:tcPr>
          <w:p w14:paraId="55F83C7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Наименование завода</w:t>
            </w:r>
          </w:p>
        </w:tc>
        <w:tc>
          <w:tcPr>
            <w:tcW w:w="1814" w:type="dxa"/>
            <w:tcBorders>
              <w:top w:val="single" w:sz="12" w:space="0" w:color="auto"/>
            </w:tcBorders>
          </w:tcPr>
          <w:p w14:paraId="2F33716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Количество иностар-нцев на заводе</w:t>
            </w:r>
          </w:p>
        </w:tc>
      </w:tr>
      <w:tr w:rsidR="001002C3" w:rsidRPr="005E779E" w14:paraId="7B145A6D" w14:textId="77777777">
        <w:trPr>
          <w:trHeight w:val="230"/>
        </w:trPr>
        <w:tc>
          <w:tcPr>
            <w:tcW w:w="634" w:type="dxa"/>
          </w:tcPr>
          <w:p w14:paraId="55FCB7B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3648" w:type="dxa"/>
          </w:tcPr>
          <w:p w14:paraId="5B20C3F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СТЗ</w:t>
            </w:r>
          </w:p>
        </w:tc>
        <w:tc>
          <w:tcPr>
            <w:tcW w:w="1814" w:type="dxa"/>
          </w:tcPr>
          <w:p w14:paraId="1309D3F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169</w:t>
            </w:r>
          </w:p>
        </w:tc>
      </w:tr>
      <w:tr w:rsidR="001002C3" w:rsidRPr="005E779E" w14:paraId="38CF388D" w14:textId="77777777">
        <w:trPr>
          <w:trHeight w:val="221"/>
        </w:trPr>
        <w:tc>
          <w:tcPr>
            <w:tcW w:w="634" w:type="dxa"/>
          </w:tcPr>
          <w:p w14:paraId="56DE094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3648" w:type="dxa"/>
          </w:tcPr>
          <w:p w14:paraId="1F1792A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ХТЗ</w:t>
            </w:r>
          </w:p>
        </w:tc>
        <w:tc>
          <w:tcPr>
            <w:tcW w:w="1814" w:type="dxa"/>
          </w:tcPr>
          <w:p w14:paraId="66612B8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140</w:t>
            </w:r>
          </w:p>
        </w:tc>
      </w:tr>
      <w:tr w:rsidR="001002C3" w:rsidRPr="005E779E" w14:paraId="125D624E" w14:textId="77777777">
        <w:trPr>
          <w:trHeight w:val="211"/>
        </w:trPr>
        <w:tc>
          <w:tcPr>
            <w:tcW w:w="634" w:type="dxa"/>
          </w:tcPr>
          <w:p w14:paraId="00B94BA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tc>
        <w:tc>
          <w:tcPr>
            <w:tcW w:w="3648" w:type="dxa"/>
          </w:tcPr>
          <w:p w14:paraId="5F97CB4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ЧТЗ</w:t>
            </w:r>
          </w:p>
        </w:tc>
        <w:tc>
          <w:tcPr>
            <w:tcW w:w="1814" w:type="dxa"/>
          </w:tcPr>
          <w:p w14:paraId="5D5EA14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w:t>
            </w:r>
          </w:p>
        </w:tc>
      </w:tr>
      <w:tr w:rsidR="001002C3" w:rsidRPr="005E779E" w14:paraId="20D6C5CA" w14:textId="77777777">
        <w:trPr>
          <w:trHeight w:val="221"/>
        </w:trPr>
        <w:tc>
          <w:tcPr>
            <w:tcW w:w="634" w:type="dxa"/>
          </w:tcPr>
          <w:p w14:paraId="2391117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w:t>
            </w:r>
          </w:p>
        </w:tc>
        <w:tc>
          <w:tcPr>
            <w:tcW w:w="3648" w:type="dxa"/>
          </w:tcPr>
          <w:p w14:paraId="0F57045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АМО</w:t>
            </w:r>
          </w:p>
        </w:tc>
        <w:tc>
          <w:tcPr>
            <w:tcW w:w="1814" w:type="dxa"/>
          </w:tcPr>
          <w:p w14:paraId="184EC48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67</w:t>
            </w:r>
          </w:p>
        </w:tc>
      </w:tr>
      <w:tr w:rsidR="001002C3" w:rsidRPr="005E779E" w14:paraId="0D332953" w14:textId="77777777">
        <w:trPr>
          <w:trHeight w:val="240"/>
        </w:trPr>
        <w:tc>
          <w:tcPr>
            <w:tcW w:w="634" w:type="dxa"/>
          </w:tcPr>
          <w:p w14:paraId="6A6EA02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w:t>
            </w:r>
          </w:p>
        </w:tc>
        <w:tc>
          <w:tcPr>
            <w:tcW w:w="3648" w:type="dxa"/>
          </w:tcPr>
          <w:p w14:paraId="3104280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Автострой</w:t>
            </w:r>
          </w:p>
        </w:tc>
        <w:tc>
          <w:tcPr>
            <w:tcW w:w="1814" w:type="dxa"/>
          </w:tcPr>
          <w:p w14:paraId="07817A0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99</w:t>
            </w:r>
          </w:p>
        </w:tc>
      </w:tr>
      <w:tr w:rsidR="001002C3" w:rsidRPr="005E779E" w14:paraId="3BCBAB8A" w14:textId="77777777">
        <w:trPr>
          <w:trHeight w:val="221"/>
        </w:trPr>
        <w:tc>
          <w:tcPr>
            <w:tcW w:w="634" w:type="dxa"/>
          </w:tcPr>
          <w:p w14:paraId="7EC5134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w:t>
            </w:r>
          </w:p>
        </w:tc>
        <w:tc>
          <w:tcPr>
            <w:tcW w:w="3648" w:type="dxa"/>
          </w:tcPr>
          <w:p w14:paraId="698107C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Красный Октябрь</w:t>
            </w:r>
          </w:p>
        </w:tc>
        <w:tc>
          <w:tcPr>
            <w:tcW w:w="1814" w:type="dxa"/>
          </w:tcPr>
          <w:p w14:paraId="1614ECC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w:t>
            </w:r>
          </w:p>
        </w:tc>
      </w:tr>
      <w:tr w:rsidR="001002C3" w:rsidRPr="005E779E" w14:paraId="49F57CB1" w14:textId="77777777">
        <w:trPr>
          <w:trHeight w:val="221"/>
        </w:trPr>
        <w:tc>
          <w:tcPr>
            <w:tcW w:w="634" w:type="dxa"/>
          </w:tcPr>
          <w:p w14:paraId="0F80978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w:t>
            </w:r>
          </w:p>
        </w:tc>
        <w:tc>
          <w:tcPr>
            <w:tcW w:w="3648" w:type="dxa"/>
          </w:tcPr>
          <w:p w14:paraId="53424AC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Господшипникстрой</w:t>
            </w:r>
          </w:p>
        </w:tc>
        <w:tc>
          <w:tcPr>
            <w:tcW w:w="1814" w:type="dxa"/>
          </w:tcPr>
          <w:p w14:paraId="313B45E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w:t>
            </w:r>
          </w:p>
        </w:tc>
      </w:tr>
      <w:tr w:rsidR="001002C3" w:rsidRPr="005E779E" w14:paraId="49E790AC" w14:textId="77777777">
        <w:trPr>
          <w:trHeight w:val="221"/>
        </w:trPr>
        <w:tc>
          <w:tcPr>
            <w:tcW w:w="634" w:type="dxa"/>
          </w:tcPr>
          <w:p w14:paraId="69BD80F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w:t>
            </w:r>
          </w:p>
        </w:tc>
        <w:tc>
          <w:tcPr>
            <w:tcW w:w="3648" w:type="dxa"/>
          </w:tcPr>
          <w:p w14:paraId="26098EC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Знамя Труда</w:t>
            </w:r>
          </w:p>
        </w:tc>
        <w:tc>
          <w:tcPr>
            <w:tcW w:w="1814" w:type="dxa"/>
          </w:tcPr>
          <w:p w14:paraId="57B806B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w:t>
            </w:r>
          </w:p>
        </w:tc>
      </w:tr>
      <w:tr w:rsidR="001002C3" w:rsidRPr="005E779E" w14:paraId="53DEF0FB" w14:textId="77777777">
        <w:trPr>
          <w:trHeight w:val="221"/>
        </w:trPr>
        <w:tc>
          <w:tcPr>
            <w:tcW w:w="634" w:type="dxa"/>
          </w:tcPr>
          <w:p w14:paraId="53A5F4A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w:t>
            </w:r>
          </w:p>
        </w:tc>
        <w:tc>
          <w:tcPr>
            <w:tcW w:w="3648" w:type="dxa"/>
          </w:tcPr>
          <w:p w14:paraId="20A82A5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Шарикоподшипник</w:t>
            </w:r>
          </w:p>
        </w:tc>
        <w:tc>
          <w:tcPr>
            <w:tcW w:w="1814" w:type="dxa"/>
          </w:tcPr>
          <w:p w14:paraId="6E6C82B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w:t>
            </w:r>
          </w:p>
        </w:tc>
      </w:tr>
      <w:tr w:rsidR="001002C3" w:rsidRPr="005E779E" w14:paraId="685C4F3C" w14:textId="77777777">
        <w:trPr>
          <w:trHeight w:val="211"/>
        </w:trPr>
        <w:tc>
          <w:tcPr>
            <w:tcW w:w="634" w:type="dxa"/>
          </w:tcPr>
          <w:p w14:paraId="2ACFB30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w:t>
            </w:r>
          </w:p>
        </w:tc>
        <w:tc>
          <w:tcPr>
            <w:tcW w:w="3648" w:type="dxa"/>
          </w:tcPr>
          <w:p w14:paraId="7D134E2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 26</w:t>
            </w:r>
          </w:p>
        </w:tc>
        <w:tc>
          <w:tcPr>
            <w:tcW w:w="1814" w:type="dxa"/>
          </w:tcPr>
          <w:p w14:paraId="68AA4D1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w:t>
            </w:r>
          </w:p>
        </w:tc>
      </w:tr>
      <w:tr w:rsidR="001002C3" w:rsidRPr="005E779E" w14:paraId="5AF0A5F6" w14:textId="77777777">
        <w:trPr>
          <w:trHeight w:val="211"/>
        </w:trPr>
        <w:tc>
          <w:tcPr>
            <w:tcW w:w="634" w:type="dxa"/>
          </w:tcPr>
          <w:p w14:paraId="38588F8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w:t>
            </w:r>
          </w:p>
        </w:tc>
        <w:tc>
          <w:tcPr>
            <w:tcW w:w="3648" w:type="dxa"/>
          </w:tcPr>
          <w:p w14:paraId="3886387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 29</w:t>
            </w:r>
          </w:p>
        </w:tc>
        <w:tc>
          <w:tcPr>
            <w:tcW w:w="1814" w:type="dxa"/>
          </w:tcPr>
          <w:p w14:paraId="1031A0C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w:t>
            </w:r>
          </w:p>
        </w:tc>
      </w:tr>
      <w:tr w:rsidR="001002C3" w:rsidRPr="005E779E" w14:paraId="4776C1C7" w14:textId="77777777">
        <w:trPr>
          <w:trHeight w:val="221"/>
        </w:trPr>
        <w:tc>
          <w:tcPr>
            <w:tcW w:w="634" w:type="dxa"/>
          </w:tcPr>
          <w:p w14:paraId="5D1BC1C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w:t>
            </w:r>
          </w:p>
        </w:tc>
        <w:tc>
          <w:tcPr>
            <w:tcW w:w="3648" w:type="dxa"/>
          </w:tcPr>
          <w:p w14:paraId="0CE4FED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 24</w:t>
            </w:r>
          </w:p>
        </w:tc>
        <w:tc>
          <w:tcPr>
            <w:tcW w:w="1814" w:type="dxa"/>
          </w:tcPr>
          <w:p w14:paraId="4810CC3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w:t>
            </w:r>
          </w:p>
        </w:tc>
      </w:tr>
      <w:tr w:rsidR="001002C3" w:rsidRPr="005E779E" w14:paraId="197EAB89" w14:textId="77777777">
        <w:trPr>
          <w:trHeight w:val="221"/>
        </w:trPr>
        <w:tc>
          <w:tcPr>
            <w:tcW w:w="634" w:type="dxa"/>
          </w:tcPr>
          <w:p w14:paraId="31F4D5C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w:t>
            </w:r>
          </w:p>
        </w:tc>
        <w:tc>
          <w:tcPr>
            <w:tcW w:w="3648" w:type="dxa"/>
          </w:tcPr>
          <w:p w14:paraId="18BAB92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 22</w:t>
            </w:r>
          </w:p>
        </w:tc>
        <w:tc>
          <w:tcPr>
            <w:tcW w:w="1814" w:type="dxa"/>
          </w:tcPr>
          <w:p w14:paraId="4E5E7A1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w:t>
            </w:r>
          </w:p>
        </w:tc>
      </w:tr>
      <w:tr w:rsidR="001002C3" w:rsidRPr="005E779E" w14:paraId="0D6F5335" w14:textId="77777777">
        <w:trPr>
          <w:trHeight w:val="211"/>
        </w:trPr>
        <w:tc>
          <w:tcPr>
            <w:tcW w:w="634" w:type="dxa"/>
          </w:tcPr>
          <w:p w14:paraId="2B875ED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w:t>
            </w:r>
          </w:p>
        </w:tc>
        <w:tc>
          <w:tcPr>
            <w:tcW w:w="3648" w:type="dxa"/>
          </w:tcPr>
          <w:p w14:paraId="034D4CA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w:t>
            </w:r>
          </w:p>
        </w:tc>
        <w:tc>
          <w:tcPr>
            <w:tcW w:w="1814" w:type="dxa"/>
          </w:tcPr>
          <w:p w14:paraId="478326A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w:t>
            </w:r>
          </w:p>
        </w:tc>
      </w:tr>
      <w:tr w:rsidR="001002C3" w:rsidRPr="005E779E" w14:paraId="3EA47F23" w14:textId="77777777">
        <w:trPr>
          <w:trHeight w:val="221"/>
        </w:trPr>
        <w:tc>
          <w:tcPr>
            <w:tcW w:w="634" w:type="dxa"/>
          </w:tcPr>
          <w:p w14:paraId="02D7BDA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w:t>
            </w:r>
          </w:p>
        </w:tc>
        <w:tc>
          <w:tcPr>
            <w:tcW w:w="3648" w:type="dxa"/>
          </w:tcPr>
          <w:p w14:paraId="29932EE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И.А.М.</w:t>
            </w:r>
          </w:p>
        </w:tc>
        <w:tc>
          <w:tcPr>
            <w:tcW w:w="1814" w:type="dxa"/>
          </w:tcPr>
          <w:p w14:paraId="0E7BCE4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r>
      <w:tr w:rsidR="001002C3" w:rsidRPr="005E779E" w14:paraId="5161E17C" w14:textId="77777777">
        <w:trPr>
          <w:trHeight w:val="211"/>
        </w:trPr>
        <w:tc>
          <w:tcPr>
            <w:tcW w:w="634" w:type="dxa"/>
          </w:tcPr>
          <w:p w14:paraId="47AE2E4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w:t>
            </w:r>
          </w:p>
        </w:tc>
        <w:tc>
          <w:tcPr>
            <w:tcW w:w="3648" w:type="dxa"/>
          </w:tcPr>
          <w:p w14:paraId="0032BF2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им. Лепсе</w:t>
            </w:r>
          </w:p>
        </w:tc>
        <w:tc>
          <w:tcPr>
            <w:tcW w:w="1814" w:type="dxa"/>
          </w:tcPr>
          <w:p w14:paraId="35DBEEB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r>
      <w:tr w:rsidR="001002C3" w:rsidRPr="005E779E" w14:paraId="18017999" w14:textId="77777777">
        <w:trPr>
          <w:trHeight w:val="230"/>
        </w:trPr>
        <w:tc>
          <w:tcPr>
            <w:tcW w:w="634" w:type="dxa"/>
          </w:tcPr>
          <w:p w14:paraId="331435B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w:t>
            </w:r>
          </w:p>
        </w:tc>
        <w:tc>
          <w:tcPr>
            <w:tcW w:w="3648" w:type="dxa"/>
          </w:tcPr>
          <w:p w14:paraId="295D043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«Красный Октябрь» - Ленингр.</w:t>
            </w:r>
          </w:p>
        </w:tc>
        <w:tc>
          <w:tcPr>
            <w:tcW w:w="1814" w:type="dxa"/>
          </w:tcPr>
          <w:p w14:paraId="7076C8C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r>
      <w:tr w:rsidR="001002C3" w:rsidRPr="005E779E" w14:paraId="7CF4A13A" w14:textId="77777777">
        <w:trPr>
          <w:trHeight w:val="221"/>
        </w:trPr>
        <w:tc>
          <w:tcPr>
            <w:tcW w:w="634" w:type="dxa"/>
          </w:tcPr>
          <w:p w14:paraId="0BA2AD7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w:t>
            </w:r>
          </w:p>
        </w:tc>
        <w:tc>
          <w:tcPr>
            <w:tcW w:w="3648" w:type="dxa"/>
          </w:tcPr>
          <w:p w14:paraId="7AE466C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Автосборочный № 1</w:t>
            </w:r>
          </w:p>
        </w:tc>
        <w:tc>
          <w:tcPr>
            <w:tcW w:w="1814" w:type="dxa"/>
          </w:tcPr>
          <w:p w14:paraId="27477F8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r>
      <w:tr w:rsidR="001002C3" w:rsidRPr="005E779E" w14:paraId="6AD0B503" w14:textId="77777777">
        <w:trPr>
          <w:trHeight w:val="202"/>
        </w:trPr>
        <w:tc>
          <w:tcPr>
            <w:tcW w:w="634" w:type="dxa"/>
          </w:tcPr>
          <w:p w14:paraId="4FDA34F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w:t>
            </w:r>
          </w:p>
        </w:tc>
        <w:tc>
          <w:tcPr>
            <w:tcW w:w="3648" w:type="dxa"/>
          </w:tcPr>
          <w:p w14:paraId="012DD99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Отд. А.М.О.</w:t>
            </w:r>
          </w:p>
        </w:tc>
        <w:tc>
          <w:tcPr>
            <w:tcW w:w="1814" w:type="dxa"/>
          </w:tcPr>
          <w:p w14:paraId="5701601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r>
      <w:tr w:rsidR="001002C3" w:rsidRPr="005E779E" w14:paraId="13730A39" w14:textId="77777777">
        <w:trPr>
          <w:trHeight w:val="211"/>
        </w:trPr>
        <w:tc>
          <w:tcPr>
            <w:tcW w:w="634" w:type="dxa"/>
          </w:tcPr>
          <w:p w14:paraId="63BD2B2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20.</w:t>
            </w:r>
          </w:p>
        </w:tc>
        <w:tc>
          <w:tcPr>
            <w:tcW w:w="3648" w:type="dxa"/>
          </w:tcPr>
          <w:p w14:paraId="6B2D42C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Н.А.Т.И.</w:t>
            </w:r>
          </w:p>
        </w:tc>
        <w:tc>
          <w:tcPr>
            <w:tcW w:w="1814" w:type="dxa"/>
          </w:tcPr>
          <w:p w14:paraId="426763F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r>
      <w:tr w:rsidR="001002C3" w:rsidRPr="005E779E" w14:paraId="49B4F418" w14:textId="77777777">
        <w:trPr>
          <w:trHeight w:val="240"/>
        </w:trPr>
        <w:tc>
          <w:tcPr>
            <w:tcW w:w="634" w:type="dxa"/>
          </w:tcPr>
          <w:p w14:paraId="3F5BDA1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w:t>
            </w:r>
          </w:p>
        </w:tc>
        <w:tc>
          <w:tcPr>
            <w:tcW w:w="3648" w:type="dxa"/>
          </w:tcPr>
          <w:p w14:paraId="41CB673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ГипроВАТО</w:t>
            </w:r>
          </w:p>
        </w:tc>
        <w:tc>
          <w:tcPr>
            <w:tcW w:w="1814" w:type="dxa"/>
          </w:tcPr>
          <w:p w14:paraId="3343C3A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w:t>
            </w:r>
          </w:p>
        </w:tc>
      </w:tr>
      <w:tr w:rsidR="001002C3" w:rsidRPr="005E779E" w14:paraId="45325B7D" w14:textId="77777777">
        <w:trPr>
          <w:trHeight w:val="202"/>
        </w:trPr>
        <w:tc>
          <w:tcPr>
            <w:tcW w:w="634" w:type="dxa"/>
          </w:tcPr>
          <w:p w14:paraId="3E05192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w:t>
            </w:r>
          </w:p>
        </w:tc>
        <w:tc>
          <w:tcPr>
            <w:tcW w:w="3648" w:type="dxa"/>
          </w:tcPr>
          <w:p w14:paraId="64A3D91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ВАТО</w:t>
            </w:r>
          </w:p>
        </w:tc>
        <w:tc>
          <w:tcPr>
            <w:tcW w:w="1814" w:type="dxa"/>
          </w:tcPr>
          <w:p w14:paraId="7CCC505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r>
      <w:tr w:rsidR="001002C3" w:rsidRPr="005E779E" w14:paraId="77421CA5" w14:textId="77777777">
        <w:trPr>
          <w:trHeight w:val="230"/>
        </w:trPr>
        <w:tc>
          <w:tcPr>
            <w:tcW w:w="634" w:type="dxa"/>
          </w:tcPr>
          <w:p w14:paraId="37ECB46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w:t>
            </w:r>
          </w:p>
        </w:tc>
        <w:tc>
          <w:tcPr>
            <w:tcW w:w="3648" w:type="dxa"/>
          </w:tcPr>
          <w:p w14:paraId="0ED2E0F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Шаронаб.</w:t>
            </w:r>
          </w:p>
        </w:tc>
        <w:tc>
          <w:tcPr>
            <w:tcW w:w="1814" w:type="dxa"/>
          </w:tcPr>
          <w:p w14:paraId="4B0E1B8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r>
      <w:tr w:rsidR="001002C3" w:rsidRPr="005E779E" w14:paraId="1A89B7F0" w14:textId="77777777">
        <w:trPr>
          <w:trHeight w:val="202"/>
        </w:trPr>
        <w:tc>
          <w:tcPr>
            <w:tcW w:w="634" w:type="dxa"/>
            <w:tcBorders>
              <w:bottom w:val="single" w:sz="12" w:space="0" w:color="auto"/>
            </w:tcBorders>
          </w:tcPr>
          <w:p w14:paraId="3E51DEA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48" w:type="dxa"/>
            <w:tcBorders>
              <w:bottom w:val="single" w:sz="12" w:space="0" w:color="auto"/>
            </w:tcBorders>
          </w:tcPr>
          <w:p w14:paraId="65D7781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w:t>
            </w:r>
          </w:p>
        </w:tc>
        <w:tc>
          <w:tcPr>
            <w:tcW w:w="1814" w:type="dxa"/>
            <w:tcBorders>
              <w:bottom w:val="single" w:sz="12" w:space="0" w:color="auto"/>
            </w:tcBorders>
          </w:tcPr>
          <w:p w14:paraId="162813B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624</w:t>
            </w:r>
          </w:p>
        </w:tc>
      </w:tr>
    </w:tbl>
    <w:p w14:paraId="3062453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Организационные формы работы завкомов. Несмот</w:t>
      </w:r>
      <w:r w:rsidRPr="005E779E">
        <w:rPr>
          <w:rFonts w:ascii="Times New Roman" w:hAnsi="Times New Roman"/>
          <w:color w:val="000000" w:themeColor="text1"/>
          <w:sz w:val="16"/>
          <w:szCs w:val="16"/>
        </w:rPr>
        <w:softHyphen/>
        <w:t>ря на директивы ЦК ВКП(б) и ЦК союза о выделении иностранцев, на большинстве заводов такие работники не вы</w:t>
      </w:r>
      <w:r w:rsidRPr="005E779E">
        <w:rPr>
          <w:rFonts w:ascii="Times New Roman" w:hAnsi="Times New Roman"/>
          <w:color w:val="000000" w:themeColor="text1"/>
          <w:sz w:val="16"/>
          <w:szCs w:val="16"/>
        </w:rPr>
        <w:softHyphen/>
        <w:t>делены и работа эта возлагается на культсектор, МОП? и т.п., а на заводах, где такие работники имеются, там организовано так называемое «интернациональное бю</w:t>
      </w:r>
      <w:r w:rsidRPr="005E779E">
        <w:rPr>
          <w:rFonts w:ascii="Times New Roman" w:hAnsi="Times New Roman"/>
          <w:color w:val="000000" w:themeColor="text1"/>
          <w:sz w:val="16"/>
          <w:szCs w:val="16"/>
        </w:rPr>
        <w:softHyphen/>
        <w:t>ро», на которые завкомами возлагается вся работа среди иностранцев. Сектора завкомов и завкомы в целом этой работой руководят крайне слабо или вовсе не руководят. Вследствие этого в интернациональных бюро намети</w:t>
      </w:r>
      <w:r w:rsidRPr="005E779E">
        <w:rPr>
          <w:rFonts w:ascii="Times New Roman" w:hAnsi="Times New Roman"/>
          <w:color w:val="000000" w:themeColor="text1"/>
          <w:sz w:val="16"/>
          <w:szCs w:val="16"/>
        </w:rPr>
        <w:softHyphen/>
        <w:t>лась тенденция к организационному обособлению этой работы, что в свою очередь приводит к изоляции иност</w:t>
      </w:r>
      <w:r w:rsidRPr="005E779E">
        <w:rPr>
          <w:rFonts w:ascii="Times New Roman" w:hAnsi="Times New Roman"/>
          <w:color w:val="000000" w:themeColor="text1"/>
          <w:sz w:val="16"/>
          <w:szCs w:val="16"/>
        </w:rPr>
        <w:softHyphen/>
        <w:t>ранцев от общезаводской производственной и обще</w:t>
      </w:r>
      <w:r w:rsidRPr="005E779E">
        <w:rPr>
          <w:rFonts w:ascii="Times New Roman" w:hAnsi="Times New Roman"/>
          <w:color w:val="000000" w:themeColor="text1"/>
          <w:sz w:val="16"/>
          <w:szCs w:val="16"/>
        </w:rPr>
        <w:softHyphen/>
        <w:t>ственно-политической жизни. Такое положение под</w:t>
      </w:r>
      <w:r w:rsidRPr="005E779E">
        <w:rPr>
          <w:rFonts w:ascii="Times New Roman" w:hAnsi="Times New Roman"/>
          <w:color w:val="000000" w:themeColor="text1"/>
          <w:sz w:val="16"/>
          <w:szCs w:val="16"/>
        </w:rPr>
        <w:softHyphen/>
        <w:t>тверждается следующими характерными фактами:</w:t>
      </w:r>
    </w:p>
    <w:p w14:paraId="4505E5F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на СТЗ до приезда бригады ВЦСПС и ЦК союза существовали самостоятельная ИТС, так называемый «культтех», свой бриз «техком» и самостоятельное произ</w:t>
      </w:r>
      <w:r w:rsidRPr="005E779E">
        <w:rPr>
          <w:rFonts w:ascii="Times New Roman" w:hAnsi="Times New Roman"/>
          <w:color w:val="000000" w:themeColor="text1"/>
          <w:sz w:val="16"/>
          <w:szCs w:val="16"/>
        </w:rPr>
        <w:softHyphen/>
        <w:t>водственное совещание;</w:t>
      </w:r>
    </w:p>
    <w:p w14:paraId="0E54C55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на «Красном Октябре» и по настоящее время суще</w:t>
      </w:r>
      <w:r w:rsidRPr="005E779E">
        <w:rPr>
          <w:rFonts w:ascii="Times New Roman" w:hAnsi="Times New Roman"/>
          <w:color w:val="000000" w:themeColor="text1"/>
          <w:sz w:val="16"/>
          <w:szCs w:val="16"/>
        </w:rPr>
        <w:softHyphen/>
        <w:t>ствует самостоятельное производственное совещание;</w:t>
      </w:r>
    </w:p>
    <w:p w14:paraId="6522AD4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 ХТЗ получен запрос об организации самостоятель</w:t>
      </w:r>
      <w:r w:rsidRPr="005E779E">
        <w:rPr>
          <w:rFonts w:ascii="Times New Roman" w:hAnsi="Times New Roman"/>
          <w:color w:val="000000" w:themeColor="text1"/>
          <w:sz w:val="16"/>
          <w:szCs w:val="16"/>
        </w:rPr>
        <w:softHyphen/>
        <w:t>ного производственного совещания, якобы по настоянию самих иностранцев.</w:t>
      </w:r>
    </w:p>
    <w:p w14:paraId="7E5EA2D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общие производственные совещания иностранные рабочие и специалисты вовлекаются очень слабо, а на крупнейших заводах, кроме ХТЗ, а в последнее время на СТЗ, вовсе не вовлекаются[...]</w:t>
      </w:r>
    </w:p>
    <w:p w14:paraId="0F99B30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ГАРФ. Ф. 7678. Оп. 1. Д. 172. Л. 2021. (10737).</w:t>
      </w:r>
    </w:p>
    <w:p w14:paraId="1674D6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B66FA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1 октября 1931 года по фосгену плановые мощности должны были составить 10 000 тонн (9633).</w:t>
      </w:r>
    </w:p>
    <w:p w14:paraId="58B237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7F93D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октября 1931 г. вступила в строй фабрика кинопленки № 6 (Завод № 3 ГУАП, Фабрика кинопленки № 6, ПО «Свема», Арендное предприятие «ПО «Свема», ОАО «Акционерная компания (АК) «Свема» /Украина 41102 г. Шостка Сумской обл. ул. Гагарина, 1 тел. (05449) 22-125), которая строилась под руководством французской фирмы «Люмьер».</w:t>
      </w:r>
    </w:p>
    <w:p w14:paraId="3FA752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войны на месте фабрики кинопленки № 6 создан завод № 3 ГУАП, далее- ПО «Свема» («Светочувствительные материалы»).</w:t>
      </w:r>
    </w:p>
    <w:p w14:paraId="111580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«Свема» было ведущим в стране по производству кинофотоматериалов.</w:t>
      </w:r>
    </w:p>
    <w:p w14:paraId="00EB98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Производство: кино-, фото- и рентгеновская пленка, магнитная лента для аудио- и видеозаписи, для вычислительной техники; пленка для оборонной промышленности и космических исследований; фотобумага спецназначения; композиционные материалы на основе клейких лент, клейкие ленты; полиграфические краски; желатин.</w:t>
      </w:r>
    </w:p>
    <w:p w14:paraId="6953CE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составе предприятия: около 200 производственных корпусов, в т.ч. производства: лавсана, двуокиси хрома; цеха: изготовления магнитных лент, по производству пленок «Гидрофот», полиграфических красок, обработки кинопленки, обработки (полива), ремонтно-строительный, электроцех; отделения: тарно-штамповочное, тарное, столярное; КБ; имелась вспомогательная база по изготовлению инструмента, технологической оснастки, нестандартного оборудования, упаковки и полиграфической продукции.</w:t>
      </w:r>
    </w:p>
    <w:p w14:paraId="4F1A16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2001 г.- АП «ПО «Свема» в ведении Министерства Промышленности Украины. С 1.09.2001 г. возобновлено производство, предприятие включено перечень стратегических. В 2003г. начата процедура банкротства предприятия, в 2004г. - санации.</w:t>
      </w:r>
    </w:p>
    <w:p w14:paraId="36D762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Площадь территории: (2000-е)- более 230 га.</w:t>
      </w:r>
    </w:p>
    <w:p w14:paraId="7FE57F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Численность персонала (конец 1980-х)- около 12 тыс. чел., (2000-е)- более 1200 чел., (2007г.)- 650 чел.</w:t>
      </w:r>
    </w:p>
    <w:p w14:paraId="225632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Управляющий санацией (2000-е)- СЛ. Истомин.</w:t>
      </w:r>
    </w:p>
    <w:p w14:paraId="5FE85B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Исполнительный директор по инвестициям (2000-е)- А.А. Баженов.</w:t>
      </w:r>
    </w:p>
    <w:p w14:paraId="6FF848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Производство: магнитные ленты: для звукозаписи А 3901, А 4620; для видеозаписи Т 4412, Т 4314, Т 4217; для точной магнитной записи И 4404, И 4406, И 4605, И 4606, И 4315, И 4333, И 4334, И 4335, И 4336, И 4218, В 5420; кинопленка А-2Ш, НК-2Ш; звуковая пленка ЗТ-8, позитивная пленка МЗ-З; пленка для микрофильмирования «Микрат» НМ-1, ПМ-1; рентгеновские медицинские и технические пленки; липкая лента; калька, фотоконт, диаконт (11982).</w:t>
      </w:r>
    </w:p>
    <w:p w14:paraId="230E8C1D" w14:textId="77777777" w:rsidR="005C4849" w:rsidRPr="005E779E" w:rsidRDefault="005C4849" w:rsidP="000B7A6C">
      <w:pPr>
        <w:tabs>
          <w:tab w:val="left" w:pos="296"/>
        </w:tabs>
        <w:autoSpaceDE w:val="0"/>
        <w:autoSpaceDN w:val="0"/>
        <w:adjustRightInd w:val="0"/>
        <w:spacing w:after="0" w:line="240" w:lineRule="auto"/>
        <w:jc w:val="both"/>
        <w:rPr>
          <w:rFonts w:ascii="Times New Roman" w:hAnsi="Times New Roman"/>
          <w:color w:val="000000" w:themeColor="text1"/>
          <w:sz w:val="16"/>
          <w:szCs w:val="16"/>
        </w:rPr>
      </w:pPr>
    </w:p>
    <w:p w14:paraId="0021F6B3" w14:textId="77777777" w:rsidR="005B4A49" w:rsidRPr="005E779E" w:rsidRDefault="005B4A49"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 xml:space="preserve">1 октября </w:t>
      </w:r>
      <w:r w:rsidRPr="005E779E">
        <w:rPr>
          <w:rFonts w:ascii="Times New Roman" w:hAnsi="Times New Roman"/>
          <w:color w:val="000000" w:themeColor="text1"/>
          <w:sz w:val="16"/>
          <w:szCs w:val="16"/>
        </w:rPr>
        <w:t>в 1931 году на производственных площадях красильно-отделочной фабрики имени газеты "Правда" во Владимире был организован химический завод. Ныне — акционерное общество "ВХЗ" — один из лидеров отечественной химической промышленности</w:t>
      </w:r>
    </w:p>
    <w:p w14:paraId="3201F36A" w14:textId="77777777" w:rsidR="005B4A49" w:rsidRPr="005E779E" w:rsidRDefault="005B4A49" w:rsidP="000B7A6C">
      <w:pPr>
        <w:spacing w:after="0" w:line="240" w:lineRule="auto"/>
        <w:jc w:val="both"/>
        <w:rPr>
          <w:rFonts w:ascii="Times New Roman" w:hAnsi="Times New Roman"/>
          <w:color w:val="000000" w:themeColor="text1"/>
          <w:sz w:val="16"/>
          <w:szCs w:val="16"/>
        </w:rPr>
      </w:pPr>
    </w:p>
    <w:p w14:paraId="0FE400CE" w14:textId="49B70F1C"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октября 1931 г. вступила в строй Сталинградская судоверфь (Завод № 264 НКСП, НКТП, Сарептская верфь, Сталинградская судоверфь МРФ, ОАО «Волгоградский судостроительный завод» (ВгСЗ) /г. Сарепта,</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Красноармейск Сталинградской обл./ /400024 (400112)</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Волгоград ул. Арсеньева, 2/), которая строилась как одна из 517 ударных строек 1-й Пятилетки в ведении «Речсоюзверфи» (это официальный день рождения завода). С 1932 г. на заводе начато внедрение электросварки, создан электросварочный цех. В 1935 г. спущено на воду первое судно - металлическая бензоналивная баржа «Нева». Затем начато строительство бронекатеров. В 1939 г. введены в строй прессовый, сборочный, корпусно-сварочный цеха.</w:t>
      </w:r>
    </w:p>
    <w:p w14:paraId="38FF91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Затем Сталинградская верфь получила литерный № 264, в 1939 г. передана в ведение НКСП, после образования НКТП завод передан в его ведение.</w:t>
      </w:r>
    </w:p>
    <w:p w14:paraId="3F88B9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пост. СНК от 15.12.1940 г. и приказом НКАП № 748 от 17.12.1940 г. на заводе организовано производство бронекорпусов для Ил-2.</w:t>
      </w:r>
      <w:r w:rsidRPr="005E779E">
        <w:rPr>
          <w:rFonts w:ascii="Times New Roman" w:hAnsi="Times New Roman"/>
          <w:color w:val="000000" w:themeColor="text1"/>
          <w:sz w:val="16"/>
          <w:szCs w:val="16"/>
          <w:vertAlign w:val="superscript"/>
        </w:rPr>
        <w:t>96</w:t>
      </w:r>
      <w:r w:rsidRPr="005E779E">
        <w:rPr>
          <w:rFonts w:ascii="Times New Roman" w:hAnsi="Times New Roman"/>
          <w:color w:val="000000" w:themeColor="text1"/>
          <w:sz w:val="16"/>
          <w:szCs w:val="16"/>
        </w:rPr>
        <w:t xml:space="preserve"> С 05.1941 г. начат выпуск корпусов и башен танков Т-34 для СТЗ. Пост. СНК № 1216-502сс/оп от 5.05.1941 г. заводу утвержден план выпуска 450 корпусов и башен Т-34 на 1941 г. В мае изготовлено 6, а в сентябре- 65 корпусов.</w:t>
      </w:r>
      <w:r w:rsidRPr="005E779E">
        <w:rPr>
          <w:rFonts w:ascii="Times New Roman" w:hAnsi="Times New Roman"/>
          <w:color w:val="000000" w:themeColor="text1"/>
          <w:sz w:val="16"/>
          <w:szCs w:val="16"/>
          <w:vertAlign w:val="superscript"/>
        </w:rPr>
        <w:t>128</w:t>
      </w:r>
      <w:r w:rsidRPr="005E779E">
        <w:rPr>
          <w:rFonts w:ascii="Times New Roman" w:hAnsi="Times New Roman"/>
          <w:color w:val="000000" w:themeColor="text1"/>
          <w:sz w:val="16"/>
          <w:szCs w:val="16"/>
        </w:rPr>
        <w:t xml:space="preserve"> В 08.1941 г. велось дополнительное бронирование танков Т-34 (дополнительная броня наваривалась сверху на основную). Изготовлял также артиллерийские снаряды.</w:t>
      </w:r>
    </w:p>
    <w:p w14:paraId="7B4698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09.1941 г. на завод эвакуировано танковое производство ХТЗ. В 12.1941 г. начат выпуск танков Т-60, до конца года сдано 53 машины.</w:t>
      </w:r>
    </w:p>
    <w:p w14:paraId="5E5365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Сюда в 1941 г. эвакуирована часть завода № 190 НКСП.</w:t>
      </w:r>
    </w:p>
    <w:p w14:paraId="40730E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распоряжением ГКО № 901 от 15.11.1941 г. с завода на завод № 221 передана часть станков для увеличения производства артиллерии и минометов. В период Сталинградской битвы завод был единственным действующим предприятием города. В соответствии с пост. ГКО № 2059 от 16.07.1942 г. завод эвакуирован в Барнаул (возможно, на завод № 77); задел по корпусам и агрегатам танков Т-60 и Т-70 эвакуирован на ГАЗ. 18.08.1942 г. вышло постановление ГКО № 2182 о неотложных мерах помощи заводу № 264 НКТП.</w:t>
      </w:r>
    </w:p>
    <w:p w14:paraId="190034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пост. ГКО № 3230 от 22.04.1943 г. начато восстановление завода № 264 НКТП на прежнем месте; ЗОЛ 1.1943 г. вышло распоряжение ГКО № 4706 о мерах по восстановлению завода, строился в 1949 г.</w:t>
      </w:r>
    </w:p>
    <w:p w14:paraId="37EE7A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пост. ГКО № 2777 от 20.01.1943 г. на заводе организован ремонт танков. В соответствии с пост. ГКО № 6209 от 18.07.1944 г. на заводе организовано производство танка Т-44.</w:t>
      </w:r>
    </w:p>
    <w:p w14:paraId="52EC73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войны Сталинградская судоверфь передана в МРФ. С 1946 г. начато строительство сухогрузных барж, буксиров, земснарядов.</w:t>
      </w:r>
    </w:p>
    <w:p w14:paraId="541FD7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Далее- это ОАО «Волгоградский судостроительный завод».</w:t>
      </w:r>
    </w:p>
    <w:p w14:paraId="649BF1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05.2003 г. завод вошел в корпорацию ОМЗ, в 2004 г.- в ГК МНП (и на 2008 г.). По решению правительства № 22-р от 9.01.2004 г. вошло в перечень стратегических предприятий.</w:t>
      </w:r>
    </w:p>
    <w:p w14:paraId="4D858E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площадке завода располагались (2007 г.) спецпроизводства по выпуску БМД-3.</w:t>
      </w:r>
    </w:p>
    <w:p w14:paraId="17C29C9E" w14:textId="2FA669D5"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(ВОВ)-</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Суворов, (ВОВ)- В. Фомин. Гендиректор (-2003-05 г.)- А. Литра, (2005-07 г.)- В. Прудыус, (2007 г.-)- И. Глушаков.</w:t>
      </w:r>
    </w:p>
    <w:p w14:paraId="1FFF21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конструктор (1970-е)- М.Н. Чемоданов.</w:t>
      </w:r>
    </w:p>
    <w:p w14:paraId="19BCDB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Производство: баржи:</w:t>
      </w:r>
      <w:r w:rsidRPr="005E779E">
        <w:rPr>
          <w:rFonts w:ascii="Times New Roman" w:hAnsi="Times New Roman"/>
          <w:color w:val="000000" w:themeColor="text1"/>
          <w:sz w:val="16"/>
          <w:szCs w:val="16"/>
        </w:rPr>
        <w:t xml:space="preserve"> наливная «Нева» (-1935), сварные (1939), палубная пр. 425 (1950-е); сухогрузные пр. 617 (1952), на 2860 т (1960-е); буксиры: 400 л.с. пр. СБ-25 (1936), разборные 200 л.с. (1930-е); катера «речные трамваи» (1930-е); бронекатера пр. 1124, пр. 1125 (1930-е-41-); сетевые заградители пр. С-149 «Вятка», «Онега» (1938-40), «Искатель», «Тура» (1941, не достроены), «Молога», «Сухона», «Мезень», «Вычегда» (1941, достройка на заводе 368); пассажирские морские дизель-электроходы «Баку», «Волгоград» (1963); земснаряды (1951-60-е), самоходные краны (1960-е);</w:t>
      </w:r>
      <w:r w:rsidRPr="005E779E">
        <w:rPr>
          <w:rFonts w:ascii="Times New Roman" w:hAnsi="Times New Roman"/>
          <w:iCs/>
          <w:color w:val="000000" w:themeColor="text1"/>
          <w:sz w:val="16"/>
          <w:szCs w:val="16"/>
        </w:rPr>
        <w:t xml:space="preserve"> танкеры:</w:t>
      </w:r>
      <w:r w:rsidRPr="005E779E">
        <w:rPr>
          <w:rFonts w:ascii="Times New Roman" w:hAnsi="Times New Roman"/>
          <w:color w:val="000000" w:themeColor="text1"/>
          <w:sz w:val="16"/>
          <w:szCs w:val="16"/>
        </w:rPr>
        <w:t xml:space="preserve"> речные пр. 587 «Лось» (1958), река-море пр. 558 «Великий», пр. 1577 «Волгонефть» (1963-2002)-140; пр. 1677М «Олег Кошевой» (1979-89)- 16; СРТ пр. 502 типа «Маяк» (1960-е-73); траулер-сейнер пр. 503 типа «Альпинист» (1979-80-е)- 180;</w:t>
      </w:r>
      <w:r w:rsidRPr="005E779E">
        <w:rPr>
          <w:rFonts w:ascii="Times New Roman" w:hAnsi="Times New Roman"/>
          <w:iCs/>
          <w:color w:val="000000" w:themeColor="text1"/>
          <w:sz w:val="16"/>
          <w:szCs w:val="16"/>
        </w:rPr>
        <w:t xml:space="preserve"> сухогрузы:</w:t>
      </w:r>
      <w:r w:rsidRPr="005E779E">
        <w:rPr>
          <w:rFonts w:ascii="Times New Roman" w:hAnsi="Times New Roman"/>
          <w:color w:val="000000" w:themeColor="text1"/>
          <w:sz w:val="16"/>
          <w:szCs w:val="16"/>
        </w:rPr>
        <w:t xml:space="preserve"> типа «Шестая пятилетка» (1950-е), пр. 1557 «50 лет Советской власти» (1967-)- более 80 (вместе с заводами «Красное Сормово» и им. Володарского); «река-море» пр. 16290/291 (1994-98)- 10, пр. 006</w:t>
      </w:r>
      <w:r w:rsidRPr="005E779E">
        <w:rPr>
          <w:rFonts w:ascii="Times New Roman" w:hAnsi="Times New Roman"/>
          <w:color w:val="000000" w:themeColor="text1"/>
          <w:sz w:val="16"/>
          <w:szCs w:val="16"/>
          <w:lang w:val="en-US"/>
        </w:rPr>
        <w:t>RSD</w:t>
      </w:r>
      <w:r w:rsidRPr="005E779E">
        <w:rPr>
          <w:rFonts w:ascii="Times New Roman" w:hAnsi="Times New Roman"/>
          <w:color w:val="000000" w:themeColor="text1"/>
          <w:sz w:val="16"/>
          <w:szCs w:val="16"/>
        </w:rPr>
        <w:t>05 для Азербайджана "</w:t>
      </w:r>
      <w:r w:rsidRPr="005E779E">
        <w:rPr>
          <w:rFonts w:ascii="Times New Roman" w:hAnsi="Times New Roman"/>
          <w:color w:val="000000" w:themeColor="text1"/>
          <w:sz w:val="16"/>
          <w:szCs w:val="16"/>
          <w:lang w:val="en-US"/>
        </w:rPr>
        <w:t>HeidarAliyev</w:t>
      </w:r>
      <w:r w:rsidRPr="005E779E">
        <w:rPr>
          <w:rFonts w:ascii="Times New Roman" w:hAnsi="Times New Roman"/>
          <w:color w:val="000000" w:themeColor="text1"/>
          <w:sz w:val="16"/>
          <w:szCs w:val="16"/>
        </w:rPr>
        <w:t>" (2003-04), "</w:t>
      </w:r>
      <w:r w:rsidRPr="005E779E">
        <w:rPr>
          <w:rFonts w:ascii="Times New Roman" w:hAnsi="Times New Roman"/>
          <w:color w:val="000000" w:themeColor="text1"/>
          <w:sz w:val="16"/>
          <w:szCs w:val="16"/>
          <w:lang w:val="en-US"/>
        </w:rPr>
        <w:t>PalmaliVoyager</w:t>
      </w:r>
      <w:r w:rsidRPr="005E779E">
        <w:rPr>
          <w:rFonts w:ascii="Times New Roman" w:hAnsi="Times New Roman"/>
          <w:color w:val="000000" w:themeColor="text1"/>
          <w:sz w:val="16"/>
          <w:szCs w:val="16"/>
        </w:rPr>
        <w:t>" (2003-04), "</w:t>
      </w:r>
      <w:r w:rsidRPr="005E779E">
        <w:rPr>
          <w:rFonts w:ascii="Times New Roman" w:hAnsi="Times New Roman"/>
          <w:color w:val="000000" w:themeColor="text1"/>
          <w:sz w:val="16"/>
          <w:szCs w:val="16"/>
          <w:lang w:val="en-US"/>
        </w:rPr>
        <w:t>IlyasEfendiev</w:t>
      </w:r>
      <w:r w:rsidRPr="005E779E">
        <w:rPr>
          <w:rFonts w:ascii="Times New Roman" w:hAnsi="Times New Roman"/>
          <w:color w:val="000000" w:themeColor="text1"/>
          <w:sz w:val="16"/>
          <w:szCs w:val="16"/>
        </w:rPr>
        <w:t>" (-08.2005), "</w:t>
      </w:r>
      <w:r w:rsidRPr="005E779E">
        <w:rPr>
          <w:rFonts w:ascii="Times New Roman" w:hAnsi="Times New Roman"/>
          <w:color w:val="000000" w:themeColor="text1"/>
          <w:sz w:val="16"/>
          <w:szCs w:val="16"/>
          <w:lang w:val="en-US"/>
        </w:rPr>
        <w:t>Nakhichevan</w:t>
      </w:r>
      <w:r w:rsidRPr="005E779E">
        <w:rPr>
          <w:rFonts w:ascii="Times New Roman" w:hAnsi="Times New Roman"/>
          <w:color w:val="000000" w:themeColor="text1"/>
          <w:sz w:val="16"/>
          <w:szCs w:val="16"/>
        </w:rPr>
        <w:t>" (-10.2005), "</w:t>
      </w:r>
      <w:r w:rsidRPr="005E779E">
        <w:rPr>
          <w:rFonts w:ascii="Times New Roman" w:hAnsi="Times New Roman"/>
          <w:color w:val="000000" w:themeColor="text1"/>
          <w:sz w:val="16"/>
          <w:szCs w:val="16"/>
          <w:lang w:val="en-US"/>
        </w:rPr>
        <w:t>ZeynalabdinTagiev</w:t>
      </w:r>
      <w:r w:rsidRPr="005E779E">
        <w:rPr>
          <w:rFonts w:ascii="Times New Roman" w:hAnsi="Times New Roman"/>
          <w:color w:val="000000" w:themeColor="text1"/>
          <w:sz w:val="16"/>
          <w:szCs w:val="16"/>
        </w:rPr>
        <w:t>" (-05.2006), "</w:t>
      </w:r>
      <w:r w:rsidRPr="005E779E">
        <w:rPr>
          <w:rFonts w:ascii="Times New Roman" w:hAnsi="Times New Roman"/>
          <w:color w:val="000000" w:themeColor="text1"/>
          <w:sz w:val="16"/>
          <w:szCs w:val="16"/>
          <w:lang w:val="en-US"/>
        </w:rPr>
        <w:t>MirJalalPashajev</w:t>
      </w:r>
      <w:r w:rsidRPr="005E779E">
        <w:rPr>
          <w:rFonts w:ascii="Times New Roman" w:hAnsi="Times New Roman"/>
          <w:color w:val="000000" w:themeColor="text1"/>
          <w:sz w:val="16"/>
          <w:szCs w:val="16"/>
        </w:rPr>
        <w:t>" (10.2005-07.2006); большегрузный секционный толкаемый состав (1958); овощевоз пр. 19620 (1983-92)- более 55 (вместе с заводом им. Володарского);</w:t>
      </w:r>
      <w:r w:rsidRPr="005E779E">
        <w:rPr>
          <w:rFonts w:ascii="Times New Roman" w:hAnsi="Times New Roman"/>
          <w:iCs/>
          <w:color w:val="000000" w:themeColor="text1"/>
          <w:sz w:val="16"/>
          <w:szCs w:val="16"/>
        </w:rPr>
        <w:t xml:space="preserve"> танки:</w:t>
      </w:r>
      <w:r w:rsidRPr="005E779E">
        <w:rPr>
          <w:rFonts w:ascii="Times New Roman" w:hAnsi="Times New Roman"/>
          <w:color w:val="000000" w:themeColor="text1"/>
          <w:sz w:val="16"/>
          <w:szCs w:val="16"/>
        </w:rPr>
        <w:t xml:space="preserve"> Т-60 (12.1941-42-)- 830 (по 06.1942), Т-44 (1944- ); корпуса и башни танка Т-34 (1941-).</w:t>
      </w:r>
    </w:p>
    <w:p w14:paraId="7D2E06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КБ завода № 264</w:t>
      </w:r>
    </w:p>
    <w:p w14:paraId="69B694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 1959 г. спроктирован крупнейший в мире речной танкер грузоподъемностью 5000 т пр. 558.</w:t>
      </w:r>
    </w:p>
    <w:p w14:paraId="1C65D2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конструктор (-1968-70-е)- М.Н. Чемоданов (пр. 1577, 1677М).</w:t>
      </w:r>
    </w:p>
    <w:p w14:paraId="0941C8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конструкторы: (1959 г.)- П.М. Кожевников (пр. 558, 587).</w:t>
      </w:r>
    </w:p>
    <w:p w14:paraId="3BA6C8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Создано: танкеры:</w:t>
      </w:r>
      <w:r w:rsidRPr="005E779E">
        <w:rPr>
          <w:rFonts w:ascii="Times New Roman" w:hAnsi="Times New Roman"/>
          <w:color w:val="000000" w:themeColor="text1"/>
          <w:sz w:val="16"/>
          <w:szCs w:val="16"/>
        </w:rPr>
        <w:t xml:space="preserve"> речные пр. 558 типа «Великий» (1959), пр. 587 (1950-е), пр. 1577 (1968); морской пр. 1677М типа «Олег Кошевой» (1979) (11982).</w:t>
      </w:r>
    </w:p>
    <w:p w14:paraId="0873C4D0" w14:textId="77777777" w:rsidR="005B4A49" w:rsidRPr="005E779E" w:rsidRDefault="005B4A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C5217D5"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54693007"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2645ABA" w14:textId="77777777" w:rsidR="00A25E62" w:rsidRPr="005E779E" w:rsidRDefault="00A25E62" w:rsidP="000B7A6C">
      <w:pPr>
        <w:pStyle w:val="ae"/>
        <w:shd w:val="clear" w:color="auto" w:fill="FFFFFF"/>
        <w:spacing w:before="0" w:after="0"/>
        <w:jc w:val="both"/>
        <w:textAlignment w:val="baseline"/>
        <w:rPr>
          <w:color w:val="000000" w:themeColor="text1"/>
          <w:sz w:val="16"/>
          <w:szCs w:val="16"/>
        </w:rPr>
      </w:pPr>
      <w:r w:rsidRPr="005E779E">
        <w:rPr>
          <w:color w:val="000000" w:themeColor="text1"/>
          <w:sz w:val="16"/>
          <w:szCs w:val="16"/>
        </w:rPr>
        <w:t>К 1 октября 1931 в ВВС насчитывалось уже 54 И-5 (19176).</w:t>
      </w:r>
    </w:p>
    <w:p w14:paraId="3EF977C6" w14:textId="77777777" w:rsidR="00A25E62" w:rsidRPr="005E779E" w:rsidRDefault="00A25E62" w:rsidP="000B7A6C">
      <w:pPr>
        <w:pStyle w:val="rtecenter"/>
        <w:shd w:val="clear" w:color="auto" w:fill="FFFFFF"/>
        <w:spacing w:before="0" w:after="0"/>
        <w:jc w:val="both"/>
        <w:textAlignment w:val="baseline"/>
        <w:rPr>
          <w:color w:val="000000" w:themeColor="text1"/>
          <w:sz w:val="16"/>
          <w:szCs w:val="16"/>
        </w:rPr>
      </w:pPr>
    </w:p>
    <w:p w14:paraId="0374B7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1 октября 1931 г. в ВВС РККА насчитывалось 54 И-5. К 16 октября в Ленинградском военном округе 1-я эскадрилья имела всего две такие машины, а 11-я - 12. В октябре 1931 г. новый истребитель показали в НИИ ВВС немецкой делегации.</w:t>
      </w:r>
    </w:p>
    <w:p w14:paraId="2FAFA7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Распределение И-5 но округам и соединениям ВВС РККА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1002C3" w:rsidRPr="005E779E" w14:paraId="64DF147A" w14:textId="77777777">
        <w:tc>
          <w:tcPr>
            <w:tcW w:w="2802" w:type="dxa"/>
            <w:tcBorders>
              <w:top w:val="single" w:sz="12" w:space="0" w:color="auto"/>
            </w:tcBorders>
          </w:tcPr>
          <w:p w14:paraId="00B10E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Borders>
              <w:top w:val="single" w:sz="12" w:space="0" w:color="auto"/>
            </w:tcBorders>
          </w:tcPr>
          <w:p w14:paraId="23770E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1.02 .1 932</w:t>
            </w:r>
          </w:p>
        </w:tc>
        <w:tc>
          <w:tcPr>
            <w:tcW w:w="2802" w:type="dxa"/>
            <w:tcBorders>
              <w:top w:val="single" w:sz="12" w:space="0" w:color="auto"/>
            </w:tcBorders>
          </w:tcPr>
          <w:p w14:paraId="296CA0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1Л 2.1933</w:t>
            </w:r>
          </w:p>
        </w:tc>
        <w:tc>
          <w:tcPr>
            <w:tcW w:w="2802" w:type="dxa"/>
            <w:tcBorders>
              <w:top w:val="single" w:sz="12" w:space="0" w:color="auto"/>
            </w:tcBorders>
          </w:tcPr>
          <w:p w14:paraId="4760BA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1.01 Л 938</w:t>
            </w:r>
          </w:p>
        </w:tc>
      </w:tr>
      <w:tr w:rsidR="001002C3" w:rsidRPr="005E779E" w14:paraId="39863EE0" w14:textId="77777777">
        <w:tc>
          <w:tcPr>
            <w:tcW w:w="2802" w:type="dxa"/>
          </w:tcPr>
          <w:p w14:paraId="5D2184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2-я армия особого назначения</w:t>
            </w:r>
          </w:p>
        </w:tc>
        <w:tc>
          <w:tcPr>
            <w:tcW w:w="2802" w:type="dxa"/>
          </w:tcPr>
          <w:p w14:paraId="69DF70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3BE9BA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109184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w:t>
            </w:r>
          </w:p>
        </w:tc>
      </w:tr>
      <w:tr w:rsidR="001002C3" w:rsidRPr="005E779E" w14:paraId="129B724A" w14:textId="77777777">
        <w:tc>
          <w:tcPr>
            <w:tcW w:w="2802" w:type="dxa"/>
          </w:tcPr>
          <w:p w14:paraId="6E26F8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3-я армия особого назначения</w:t>
            </w:r>
          </w:p>
        </w:tc>
        <w:tc>
          <w:tcPr>
            <w:tcW w:w="2802" w:type="dxa"/>
          </w:tcPr>
          <w:p w14:paraId="680ED0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2802" w:type="dxa"/>
          </w:tcPr>
          <w:p w14:paraId="1B616D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2802" w:type="dxa"/>
          </w:tcPr>
          <w:p w14:paraId="03BD5C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w:t>
            </w:r>
          </w:p>
        </w:tc>
      </w:tr>
      <w:tr w:rsidR="001002C3" w:rsidRPr="005E779E" w14:paraId="34F3431D" w14:textId="77777777">
        <w:tc>
          <w:tcPr>
            <w:tcW w:w="2802" w:type="dxa"/>
          </w:tcPr>
          <w:p w14:paraId="707C3A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ОКДВА</w:t>
            </w:r>
          </w:p>
        </w:tc>
        <w:tc>
          <w:tcPr>
            <w:tcW w:w="2802" w:type="dxa"/>
          </w:tcPr>
          <w:p w14:paraId="68CED5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w:t>
            </w:r>
          </w:p>
        </w:tc>
        <w:tc>
          <w:tcPr>
            <w:tcW w:w="2802" w:type="dxa"/>
          </w:tcPr>
          <w:p w14:paraId="61D36E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83</w:t>
            </w:r>
          </w:p>
        </w:tc>
        <w:tc>
          <w:tcPr>
            <w:tcW w:w="2802" w:type="dxa"/>
          </w:tcPr>
          <w:p w14:paraId="074D20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w:t>
            </w:r>
          </w:p>
        </w:tc>
      </w:tr>
      <w:tr w:rsidR="001002C3" w:rsidRPr="005E779E" w14:paraId="5D411D04" w14:textId="77777777">
        <w:tc>
          <w:tcPr>
            <w:tcW w:w="2802" w:type="dxa"/>
          </w:tcPr>
          <w:p w14:paraId="73626E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Забайкальский военный округ</w:t>
            </w:r>
          </w:p>
        </w:tc>
        <w:tc>
          <w:tcPr>
            <w:tcW w:w="2802" w:type="dxa"/>
          </w:tcPr>
          <w:p w14:paraId="222988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2E6623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1F5A10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w:t>
            </w:r>
          </w:p>
        </w:tc>
      </w:tr>
      <w:tr w:rsidR="001002C3" w:rsidRPr="005E779E" w14:paraId="485124E6" w14:textId="77777777">
        <w:tc>
          <w:tcPr>
            <w:tcW w:w="2802" w:type="dxa"/>
          </w:tcPr>
          <w:p w14:paraId="260314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Закавказский военный округ</w:t>
            </w:r>
          </w:p>
        </w:tc>
        <w:tc>
          <w:tcPr>
            <w:tcW w:w="2802" w:type="dxa"/>
          </w:tcPr>
          <w:p w14:paraId="5F24D1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229622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74A711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w:t>
            </w:r>
          </w:p>
        </w:tc>
      </w:tr>
      <w:tr w:rsidR="001002C3" w:rsidRPr="005E779E" w14:paraId="099213F0" w14:textId="77777777">
        <w:tc>
          <w:tcPr>
            <w:tcW w:w="2802" w:type="dxa"/>
          </w:tcPr>
          <w:p w14:paraId="6C0173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Ленинградский военный округ</w:t>
            </w:r>
          </w:p>
        </w:tc>
        <w:tc>
          <w:tcPr>
            <w:tcW w:w="2802" w:type="dxa"/>
          </w:tcPr>
          <w:p w14:paraId="0EC38C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w:t>
            </w:r>
          </w:p>
        </w:tc>
        <w:tc>
          <w:tcPr>
            <w:tcW w:w="2802" w:type="dxa"/>
          </w:tcPr>
          <w:p w14:paraId="7EF325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56</w:t>
            </w:r>
          </w:p>
        </w:tc>
        <w:tc>
          <w:tcPr>
            <w:tcW w:w="2802" w:type="dxa"/>
          </w:tcPr>
          <w:p w14:paraId="50EC05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w:t>
            </w:r>
          </w:p>
        </w:tc>
      </w:tr>
      <w:tr w:rsidR="001002C3" w:rsidRPr="005E779E" w14:paraId="2EDD09EE" w14:textId="77777777">
        <w:tc>
          <w:tcPr>
            <w:tcW w:w="2802" w:type="dxa"/>
          </w:tcPr>
          <w:p w14:paraId="44138D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Белорусский военный округ</w:t>
            </w:r>
          </w:p>
        </w:tc>
        <w:tc>
          <w:tcPr>
            <w:tcW w:w="2802" w:type="dxa"/>
          </w:tcPr>
          <w:p w14:paraId="3D2F9F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2802" w:type="dxa"/>
          </w:tcPr>
          <w:p w14:paraId="66FE81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2802" w:type="dxa"/>
          </w:tcPr>
          <w:p w14:paraId="4CAD49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w:t>
            </w:r>
          </w:p>
        </w:tc>
      </w:tr>
      <w:tr w:rsidR="001002C3" w:rsidRPr="005E779E" w14:paraId="79760FA2" w14:textId="77777777">
        <w:tc>
          <w:tcPr>
            <w:tcW w:w="2802" w:type="dxa"/>
          </w:tcPr>
          <w:p w14:paraId="70D2CD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Киевский военный округ</w:t>
            </w:r>
          </w:p>
        </w:tc>
        <w:tc>
          <w:tcPr>
            <w:tcW w:w="2802" w:type="dxa"/>
          </w:tcPr>
          <w:p w14:paraId="621C99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2802" w:type="dxa"/>
          </w:tcPr>
          <w:p w14:paraId="7E3FC9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701F3D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83</w:t>
            </w:r>
          </w:p>
        </w:tc>
      </w:tr>
      <w:tr w:rsidR="001002C3" w:rsidRPr="005E779E" w14:paraId="5CB62667" w14:textId="77777777">
        <w:tc>
          <w:tcPr>
            <w:tcW w:w="2802" w:type="dxa"/>
          </w:tcPr>
          <w:p w14:paraId="4142BA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Краснознаменная Кавказская армия</w:t>
            </w:r>
          </w:p>
        </w:tc>
        <w:tc>
          <w:tcPr>
            <w:tcW w:w="2802" w:type="dxa"/>
          </w:tcPr>
          <w:p w14:paraId="37E87C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6D09D7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w:t>
            </w:r>
          </w:p>
        </w:tc>
        <w:tc>
          <w:tcPr>
            <w:tcW w:w="2802" w:type="dxa"/>
          </w:tcPr>
          <w:p w14:paraId="2DA637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208A638" w14:textId="77777777">
        <w:tc>
          <w:tcPr>
            <w:tcW w:w="2802" w:type="dxa"/>
          </w:tcPr>
          <w:p w14:paraId="52EC33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Морские силы Дальнего Востока</w:t>
            </w:r>
          </w:p>
        </w:tc>
        <w:tc>
          <w:tcPr>
            <w:tcW w:w="2802" w:type="dxa"/>
          </w:tcPr>
          <w:p w14:paraId="4A7540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0F34D2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48</w:t>
            </w:r>
          </w:p>
        </w:tc>
        <w:tc>
          <w:tcPr>
            <w:tcW w:w="2802" w:type="dxa"/>
          </w:tcPr>
          <w:p w14:paraId="788C1B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BCBCD3B" w14:textId="77777777">
        <w:tc>
          <w:tcPr>
            <w:tcW w:w="2802" w:type="dxa"/>
          </w:tcPr>
          <w:p w14:paraId="10DD71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Московский военный округ</w:t>
            </w:r>
          </w:p>
        </w:tc>
        <w:tc>
          <w:tcPr>
            <w:tcW w:w="2802" w:type="dxa"/>
          </w:tcPr>
          <w:p w14:paraId="1A4CE7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135268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2802" w:type="dxa"/>
          </w:tcPr>
          <w:p w14:paraId="5B71E7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r>
      <w:tr w:rsidR="001002C3" w:rsidRPr="005E779E" w14:paraId="28B5247B" w14:textId="77777777">
        <w:tc>
          <w:tcPr>
            <w:tcW w:w="2802" w:type="dxa"/>
          </w:tcPr>
          <w:p w14:paraId="148D2A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Приволжский военный округ</w:t>
            </w:r>
          </w:p>
        </w:tc>
        <w:tc>
          <w:tcPr>
            <w:tcW w:w="2802" w:type="dxa"/>
          </w:tcPr>
          <w:p w14:paraId="0698B1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2AD401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2802" w:type="dxa"/>
          </w:tcPr>
          <w:p w14:paraId="225B6E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r>
      <w:tr w:rsidR="001002C3" w:rsidRPr="005E779E" w14:paraId="7FCBBC60" w14:textId="77777777">
        <w:tc>
          <w:tcPr>
            <w:tcW w:w="2802" w:type="dxa"/>
          </w:tcPr>
          <w:p w14:paraId="48453C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Украинский военный округ</w:t>
            </w:r>
          </w:p>
        </w:tc>
        <w:tc>
          <w:tcPr>
            <w:tcW w:w="2802" w:type="dxa"/>
          </w:tcPr>
          <w:p w14:paraId="233E48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w:t>
            </w:r>
          </w:p>
        </w:tc>
        <w:tc>
          <w:tcPr>
            <w:tcW w:w="2802" w:type="dxa"/>
          </w:tcPr>
          <w:p w14:paraId="278092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93</w:t>
            </w:r>
          </w:p>
        </w:tc>
        <w:tc>
          <w:tcPr>
            <w:tcW w:w="2802" w:type="dxa"/>
          </w:tcPr>
          <w:p w14:paraId="0A7684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EDB017C" w14:textId="77777777">
        <w:tc>
          <w:tcPr>
            <w:tcW w:w="2802" w:type="dxa"/>
          </w:tcPr>
          <w:p w14:paraId="4606BA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Учебные заведения</w:t>
            </w:r>
          </w:p>
        </w:tc>
        <w:tc>
          <w:tcPr>
            <w:tcW w:w="2802" w:type="dxa"/>
          </w:tcPr>
          <w:p w14:paraId="0B2F30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2C5710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232E36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154</w:t>
            </w:r>
          </w:p>
        </w:tc>
      </w:tr>
      <w:tr w:rsidR="001002C3" w:rsidRPr="005E779E" w14:paraId="6B1BB9F5" w14:textId="77777777">
        <w:tc>
          <w:tcPr>
            <w:tcW w:w="2802" w:type="dxa"/>
            <w:tcBorders>
              <w:bottom w:val="single" w:sz="12" w:space="0" w:color="auto"/>
            </w:tcBorders>
          </w:tcPr>
          <w:p w14:paraId="72D4B7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Части центрального подчинения</w:t>
            </w:r>
          </w:p>
        </w:tc>
        <w:tc>
          <w:tcPr>
            <w:tcW w:w="2802" w:type="dxa"/>
            <w:tcBorders>
              <w:bottom w:val="single" w:sz="12" w:space="0" w:color="auto"/>
            </w:tcBorders>
          </w:tcPr>
          <w:p w14:paraId="658538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w:t>
            </w:r>
          </w:p>
        </w:tc>
        <w:tc>
          <w:tcPr>
            <w:tcW w:w="2802" w:type="dxa"/>
            <w:tcBorders>
              <w:bottom w:val="single" w:sz="12" w:space="0" w:color="auto"/>
            </w:tcBorders>
          </w:tcPr>
          <w:p w14:paraId="42E20F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w:t>
            </w:r>
          </w:p>
        </w:tc>
        <w:tc>
          <w:tcPr>
            <w:tcW w:w="2802" w:type="dxa"/>
            <w:tcBorders>
              <w:bottom w:val="single" w:sz="12" w:space="0" w:color="auto"/>
            </w:tcBorders>
          </w:tcPr>
          <w:p w14:paraId="7576D6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bl>
    <w:p w14:paraId="21B9E8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целом лётчики строевых частей хорошо приняли И-5. Очень манёвренный, устойчивый в полёте, послушный в управлении и неприхотливый к взлётным площадкам, он неплохо зарекомендовал себя в первые годы эксплуатации. Из 11-й эскадрильи комиссар написал отзыв: "Будучи прекрасной машиной с точки зрения пилотажных качеств, И-5 внёс подъём в настроение личного состава..."</w:t>
      </w:r>
    </w:p>
    <w:p w14:paraId="7417C5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 помучились с самолётом в первые годы немало. В той же 11-й эскадрилье всего за несколько месяцев в полёте разрушились восемь винтов, на посадке сломали десять костылей. Из-за плохого качества резины деформировались амортизаторы шасси. На раскапотирование мотора поначалу тратили до 40 минут (11997).</w:t>
      </w:r>
    </w:p>
    <w:p w14:paraId="4EFF54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B63C06A" w14:textId="77777777" w:rsidR="00DA798E" w:rsidRPr="00142305" w:rsidRDefault="00DA798E" w:rsidP="00DA798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состоянию на 1 октября 1931 г. в ВВС РККА насчитывалось 54 И-5, а на 1 января 1933 г. — 348. В 1936 г. их уже начали снимать с вооружения. В 1938 г. в ВВС Забайкальского военного округа имелось 6 машин, Киевского — 10, Закавказского — 3, Ленинградского — 8. В апреле 1940 г. в списках самолетного парка ВВС числилось 238 И-5, использовавшихся в летных школах. В ВВС ВМФ смена парка проходила более медленно. В 1935 г. в составе ВВС флота имелось 73 машины, годом позже — 152 (из них 41 на Черном море, остальные — на Тихом океане); в январе 1940 г. 31 машина находилось в частях флота и 20 — в училищах морской авиации.</w:t>
      </w:r>
    </w:p>
    <w:p w14:paraId="5CD95EC0" w14:textId="77777777" w:rsidR="00DA798E" w:rsidRPr="00142305" w:rsidRDefault="00DA798E" w:rsidP="00DA798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И-5 был и за границей. В октябре 1935 г. перед лицом японской угрозы 21-я эскадрилья из двух отрядов перелетела в Монголию, в Тамсаг-Булак, где занималась патрулированием границы (25035).</w:t>
      </w:r>
    </w:p>
    <w:p w14:paraId="1A14C717" w14:textId="77777777" w:rsidR="00DA798E" w:rsidRPr="00142305" w:rsidRDefault="00DA798E" w:rsidP="00DA798E">
      <w:pPr>
        <w:spacing w:after="0" w:line="240" w:lineRule="auto"/>
        <w:jc w:val="both"/>
        <w:rPr>
          <w:rFonts w:ascii="Times New Roman" w:hAnsi="Times New Roman"/>
          <w:color w:val="0070C0"/>
          <w:sz w:val="16"/>
          <w:szCs w:val="16"/>
        </w:rPr>
      </w:pPr>
    </w:p>
    <w:p w14:paraId="34660063"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4829B8B8"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3A054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октября 1933 года Политбюро ЦК ВКП(б) разрешает Донобкому организовать показательные процессы в шахтах Щеглова 8/9 и Юнхоме над виновниками умышленной приписки угледобычи с применением к ним закона от 7 августа 1932 года (11248).</w:t>
      </w:r>
    </w:p>
    <w:p w14:paraId="38C7E4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799E2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октября 1931 в СССР (в Ленинграде) начались регулярные телепередачи (3263,555).</w:t>
      </w:r>
    </w:p>
    <w:p w14:paraId="159CD4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6B2BAB3" w14:textId="77777777" w:rsidR="0051599D" w:rsidRPr="005E779E" w:rsidRDefault="0051599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октября 1931 года в СССР начались регулярные телепередачи. Начало отечественного телевидения. А 1 октября 1967 г. Центральное телевидение СССР начало трансляцию программ в цветном изображении (21166).</w:t>
      </w:r>
    </w:p>
    <w:p w14:paraId="21B15AF7" w14:textId="77777777" w:rsidR="0051599D" w:rsidRPr="005E779E" w:rsidRDefault="0051599D" w:rsidP="000B7A6C">
      <w:pPr>
        <w:spacing w:after="0" w:line="240" w:lineRule="auto"/>
        <w:jc w:val="both"/>
        <w:rPr>
          <w:rFonts w:ascii="Times New Roman" w:hAnsi="Times New Roman"/>
          <w:color w:val="000000" w:themeColor="text1"/>
          <w:sz w:val="16"/>
          <w:szCs w:val="16"/>
        </w:rPr>
      </w:pPr>
    </w:p>
    <w:p w14:paraId="3C9C18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октября 1931 г. Начало регулярных опытных передач из Москвы по оптико-механической системе с использованием телепередатчика (ТВ-камеры) «бегущего луча» Из МРТУ (Никольская ул., 7). Передачи изображения через радиостанцию МОСПС (волна 379 м) и звука через опытный передатчик (волна 720 м). В основном передачи шли без звука из затемненной студии, так как применялся телепередатчик «бегущего луча» (11482).</w:t>
      </w:r>
    </w:p>
    <w:p w14:paraId="4B67E5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BE58D27"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6064F6E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58461FA" w14:textId="77777777" w:rsidR="0051599D" w:rsidRPr="005E779E" w:rsidRDefault="0051599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октября 1931 KLM начинает регулярное сообщение между Амстердамом и Батавией на Fokker F.XII. С 13 744 км (8 540 миль) это самый длинный регулярный воздушный маршрут в мире на то время (20804).</w:t>
      </w:r>
    </w:p>
    <w:p w14:paraId="42AF6F63" w14:textId="77777777" w:rsidR="0051599D" w:rsidRPr="005E779E" w:rsidRDefault="0051599D" w:rsidP="000B7A6C">
      <w:pPr>
        <w:spacing w:after="0" w:line="240" w:lineRule="auto"/>
        <w:jc w:val="both"/>
        <w:rPr>
          <w:rFonts w:ascii="Times New Roman" w:hAnsi="Times New Roman"/>
          <w:color w:val="000000" w:themeColor="text1"/>
          <w:sz w:val="16"/>
          <w:szCs w:val="16"/>
        </w:rPr>
      </w:pPr>
    </w:p>
    <w:p w14:paraId="1C6188F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октября 1931 Гитлер создал женскую нацистскую организацию «Фрауеншафтен» (4962).</w:t>
      </w:r>
    </w:p>
    <w:p w14:paraId="64D10FC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5806A9"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23045D69"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9803A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C 2 по 5 октября 1931 состоялся первый беспосадочный перелет через Тихий Океан от Токио до побережья Канады (Wenatchee). Лл Pangborn и Herndon летели на красной Беланке Miss Veedol (2883).</w:t>
      </w:r>
    </w:p>
    <w:p w14:paraId="475979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EA2F9CD" w14:textId="77777777" w:rsidR="0020231B" w:rsidRPr="005E779E" w:rsidRDefault="0020231B"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2 октября 1931 г. в Германии стартовали испытания стратоплана Ju 49 с гермокабиной на двух человек. Самолёт имел характерную для «юнкерсов» металлическую монопланную схему и был оборудован мотором с двухступенчатым нагнетателем воздуха, позволявшим поддерживать мощность силовой установки с подъёмом на высоту. Из-за экономического кризиса в Европе и банкротства в 1932 г. фирмы «Юнкерс» испытания и необходимые доработки шли медленно. В 1933 г. Ju 49 был передан в DVL, а полёт в стратосферу на высоту 12500 м удалось осуществить только в 1935 г. (17489).</w:t>
      </w:r>
    </w:p>
    <w:p w14:paraId="5D56141F" w14:textId="77777777" w:rsidR="0020231B" w:rsidRPr="005E779E" w:rsidRDefault="0020231B" w:rsidP="000B7A6C">
      <w:pPr>
        <w:spacing w:after="0" w:line="240" w:lineRule="auto"/>
        <w:jc w:val="both"/>
        <w:rPr>
          <w:rFonts w:ascii="Times New Roman" w:eastAsia="Times New Roman" w:hAnsi="Times New Roman"/>
          <w:color w:val="000000" w:themeColor="text1"/>
          <w:sz w:val="16"/>
          <w:szCs w:val="16"/>
          <w:lang w:eastAsia="ru-RU"/>
        </w:rPr>
      </w:pPr>
    </w:p>
    <w:p w14:paraId="5D762DD1" w14:textId="77777777" w:rsidR="006E5EC8" w:rsidRPr="005E779E" w:rsidRDefault="006E5EC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октября 1931 состоялся первый полет Junkers Ju 49 (20804).</w:t>
      </w:r>
    </w:p>
    <w:p w14:paraId="19C89E8B" w14:textId="77777777" w:rsidR="006E5EC8" w:rsidRPr="005E779E" w:rsidRDefault="006E5EC8" w:rsidP="000B7A6C">
      <w:pPr>
        <w:spacing w:after="0" w:line="240" w:lineRule="auto"/>
        <w:jc w:val="both"/>
        <w:rPr>
          <w:rFonts w:ascii="Times New Roman" w:hAnsi="Times New Roman"/>
          <w:color w:val="000000" w:themeColor="text1"/>
          <w:sz w:val="16"/>
          <w:szCs w:val="16"/>
        </w:rPr>
      </w:pPr>
    </w:p>
    <w:p w14:paraId="4076F863" w14:textId="77777777" w:rsidR="006E5EC8" w:rsidRPr="005E779E" w:rsidRDefault="006E5EC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октября 1931 года — первый полёт экспериментального высотного самолёта Junkers Ju 49. /Германия/</w:t>
      </w:r>
    </w:p>
    <w:p w14:paraId="2F23C927" w14:textId="77777777" w:rsidR="006E5EC8" w:rsidRPr="005E779E" w:rsidRDefault="006E5EC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Немецкий научно-исследовательский институт авиации в 1928 году начал исследования в области полётов на большой высоте. Компания Junkers Flugzeug- und Motorenwerke получила заказ на разработку экспериментального высотного самолёта. Проект получил обозначение Ju 49.</w:t>
      </w:r>
    </w:p>
    <w:p w14:paraId="0AE8B92F" w14:textId="77777777" w:rsidR="006E5EC8" w:rsidRPr="005E779E" w:rsidRDefault="006E5EC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Ju 49 представлял собой цельнометаллический низкоплан с неубираемым шасси. Внутри фюзеляжа была установлена специальная гермокабина с подогревом и небольшими иллюминаторами, рассчитанная на 2 членов экипажа. Специально разработанный для этого самолёта двигатель Junkers L88a (800 л.с.) позволял развить скорость до 146 км/ч.</w:t>
      </w:r>
    </w:p>
    <w:p w14:paraId="1D14F5A7" w14:textId="77777777" w:rsidR="006E5EC8" w:rsidRPr="005E779E" w:rsidRDefault="006E5EC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ходе своих первых полётов Ju 49 смог подняться до высоты 6000 метров, ещё через 2 года — до высоты 9300 м, в 1935 году — до 12450 м. Полученный опыт позже использовался при разработке высотных бомбардировщиков и разведчиков. Единственный построенный Ju 49 разбился в октябре 1937 года (22300).</w:t>
      </w:r>
    </w:p>
    <w:p w14:paraId="4820B646" w14:textId="77777777" w:rsidR="006E5EC8" w:rsidRPr="005E779E" w:rsidRDefault="006E5EC8" w:rsidP="000B7A6C">
      <w:pPr>
        <w:spacing w:after="0" w:line="240" w:lineRule="auto"/>
        <w:jc w:val="both"/>
        <w:rPr>
          <w:rFonts w:ascii="Times New Roman" w:hAnsi="Times New Roman"/>
          <w:color w:val="000000" w:themeColor="text1"/>
          <w:sz w:val="16"/>
          <w:szCs w:val="16"/>
        </w:rPr>
      </w:pPr>
    </w:p>
    <w:p w14:paraId="4A4EE39F"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4F7F15FD"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97B72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октября 1931 в НИИ ВВС прибыл первый серийный АНТ-7 (Р-6) - позже планового срока 7 сентября из-за задержек в поставке вооружения (2671,14).</w:t>
      </w:r>
    </w:p>
    <w:p w14:paraId="6FF153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80E2B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октября 1931 первый серийный Р-6 прибыл в НИИ ВВС, хотя по последнему уточненному плану головной Р-6 должен был быть предъявлен на испытания 7 сентября 1931 г. Задержка в основном связывалась с несвоевременной поставкой оборудования. В августе уже почти готовая машина стояла без вооружения - оно не прибыло в срок. Представители УВВС практически до последнего момента вносили изменения в свои требования. Так, 6 июля очередная комиссия, побывавшая на заводе, потребовала перенести трубку Пито, усилить балки бомбодержателей и обшивку под ними, еще раз перекомпоновать оборудование в кабинах, ввести лаз от летнаба к пилоту. Это вызвало взрыв негодования у Туполева: "УВВС переписывается, а самолеты завод уже строит..." В итоге военные согласились внести часть изменений со 2-й серии. Головной же самолет № 2201 выпустили на испытания некомплектным - практически без вооружения и многих элементов оборудования (12036).</w:t>
      </w:r>
    </w:p>
    <w:p w14:paraId="729719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9BBD8B1" w14:textId="77777777" w:rsidR="00DA6399" w:rsidRPr="005E779E" w:rsidRDefault="00DA639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октября 1931 самолёт Р-6 № 2201 прибыл в НИИ ВВС (хотя требовалось предъявить на испытания 7 сентября 1931 г.). Задержки, в основном, были связаны с несвоевременной поставкой оборудования. Шёл август, а почти готовая машина не имела вооружения - оно просто не прибыло. Представители УВВС также практически до последнего момента вносили свои исправления и уточнения. Так, 6 июля очередная комиссия, побывавшая на заводе, потребовала перенести стойку трубки Пито, усилить обшивку под бомбодержателями и сами их балки, пере-компоновать оборудование в кабинах, ввести лаз от летнаба к пилоту. Это вызвало взрыв негодования у Туполева: «...УВВС переписывается, а самолёты завод уже строит...». В итоге часть изменений военные согласились ввести со 2-й серии. Самолёт же № 2201 выпустили на испытания некомплектным - практически без вооружения и многих элементов оборудования.</w:t>
      </w:r>
    </w:p>
    <w:p w14:paraId="2674C70F" w14:textId="77777777" w:rsidR="00DA6399" w:rsidRPr="005E779E" w:rsidRDefault="00DA639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Испытания головного Р-6 шли с 5 октября до 3 ноября 1931 г. От опытного он отличался моторами М-17 (советской копией ВМ\Л/ VI) и несколько изменёнными радиаторами. Серийный самолёт стал на 126 кг тяжелее опытного. Основную прибавку внесли моторы - 60 кг. Отечественные колёса, установленные вместо импортных, добавили 28 кг. Оставшиеся 38 кг распределились между узлами планёра. Головной Р-6 на разных высотах уступал опытному образцу в максимальной скорости горизонтального полета 12-13 км/ч и около 1000 м в практическом потолке. Ухудшилась и скороподъёмность. Показатели горизонтального манёвра практически не изменились. На снижение лётных данных оказало влияние даже не столько перетяжеление самолёта, сколько ненадёжная работа двигателей. Хотя М-17 номинально должен был выдавать 500/730 л.с. - столько же, сколько исходный ВМ\Л/ VI, на практике он постоянно недодавал обороты. Кроме того, моторы перегревались.</w:t>
      </w:r>
    </w:p>
    <w:p w14:paraId="69054C3C" w14:textId="77777777" w:rsidR="00DA6399" w:rsidRPr="005E779E" w:rsidRDefault="00DA639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 снова в НИИ ВВС отметили 46 дефектов. Частично они повторяли относящиеся к опытной машине. На № 2201 не было выполнено в полном объёме всё то, что ЦАГИ по результатам более ранних испытаний доработал на опытном образце Р-6. Стояли моторамы старого, неусиленного типа и тряслись в полёте. Козырёк пилотской кабины не имел окантовки, отсутствововали боковые стёкла - в кабину сильно задувало. В диапазоне скоростей 115-150 км/ч отмечалась тряска оперения, носовой и хвостовой частей фюзеляжа. В отчёте записано: «На спирали очень сильно вибрирует хвостовое оперение...».</w:t>
      </w:r>
    </w:p>
    <w:p w14:paraId="0B4A8612" w14:textId="77777777" w:rsidR="00DA6399" w:rsidRPr="005E779E" w:rsidRDefault="00DA639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Вообще «накопали» немало: «устойчивость поперечная неудовлетворительная»; «обзор вперёд закрыт носом самолёта, обзору вперёд в стороны мешают моторы»; при пикировании возникала большая нагрузка на штурвал и так далее. Наводка самолёта на цель при бомбометании с горизонтального полёта оказалась затруднительной - ни пилот, ни штурман-бомбардир не имели окон в полу кабины. У экипажа не было никаких средств связи между собой. Педали ножного управления у лётчика признали неудобными.</w:t>
      </w:r>
    </w:p>
    <w:p w14:paraId="45062613" w14:textId="77777777" w:rsidR="00DA6399" w:rsidRPr="005E779E" w:rsidRDefault="00DA639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Много замечаний касались эксплуатации. В отверстие, из которого выходил костыль, забивалась грязь - предложили сделать полотняный чехол. Верхний откидной капот мотора не фиксировался в поднятом положении, угрожая в самый неподходящий момент упасть на голову механику. Над маслобаками и кранами не имелось люков. Чтобы добраться до магнето двигателя, надо было снять переднюю кромку крыла, которую НИИ требовал приклепать намертво. Туго работали жалюзи радиаторов, сами они постоянно текли.Всё это предполагалось исправить на последующих сериях, начиная с первых месяцев 1932 г. Вместе с ЦАГИ вину за многочисленные недоработки в полной мере разделял завод № 22, по этому поводу из НИИ ВВС сообщали: «Необходимо констатировать весьма низкое качество производства самолёта...»</w:t>
      </w:r>
    </w:p>
    <w:p w14:paraId="17EF6FF6" w14:textId="77777777" w:rsidR="00DA6399" w:rsidRPr="005E779E" w:rsidRDefault="00DA639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Однако, даже учитывая всё выше сказанное, общий отзыв о машине звучал одобрительно: «Несмотря на некоторое понижение лётных данных, головной серийный самолёт Р6-2М17 не хуже, а по некоторым показателям даже лучше самолётов соответствующего класса, состоящих на вооружении на Западе, уступая лишь лучшим опытным образцам». И это соответствовало действительности. Правда, воздушных «крейсеров» в мире практически никто не строил, и сравнение можно было провести только с рядом французских машин. Головной Р-6 испытания выдержал, путь в строевые части ВВС РККА серийным самолётам был открыт.</w:t>
      </w:r>
    </w:p>
    <w:p w14:paraId="57A6E7AA" w14:textId="77777777" w:rsidR="00DA6399" w:rsidRPr="005E779E" w:rsidRDefault="00DA639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будущее НИИ ВВС рекомендовал использовать создававшиеся тогда моторы М-34 (несколько ранее предлагали и М-32, так и не вышедший из стадии опытного образца), ввести тормозные колёса, усовершенствовать шасси. Для варианта дальнего разведчика потребовали спроектировать дополнительные баки на 600 - 700 кг бензина - поскольку дальность 1680 км, определённая на испытаниях, в этом случае не отвечала поставленным задачам. Предложили создать и чисто бомбардировочный вариант Р-6, который по своим данным мог занять место между ТБ-1 и Р-5.</w:t>
      </w:r>
    </w:p>
    <w:p w14:paraId="3912408C" w14:textId="77777777" w:rsidR="00DA6399" w:rsidRPr="005E779E" w:rsidRDefault="00DA639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Чуть позже на самолёте № 2201 смонтировали полный комплект вооружения и почти всё оборудование и с помощью ЦАГИ довели это «до ума». Машина стала эталоном для серии. Она проходила повторные испытания в НИИ ВВС с 22 января по 7 апреля 1932 г. и успешно их выдержала. Экипаж состоял из лётчика Миндера и летнаба Бобкова.</w:t>
      </w:r>
    </w:p>
    <w:p w14:paraId="0C4301E5" w14:textId="77777777" w:rsidR="00DA6399" w:rsidRPr="005E779E" w:rsidRDefault="00DA639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Специалисты НИИ порекомендовали в дальнейшем переделать капоты моторов по образцу ТБ-3, ввести разрезные элероны, удлинить носовую часть фюзеляжа и заменить фотоаппарат на новый АФА-13 (12264).</w:t>
      </w:r>
    </w:p>
    <w:p w14:paraId="01AC692A" w14:textId="77777777" w:rsidR="00DA6399" w:rsidRPr="005E779E" w:rsidRDefault="00DA6399" w:rsidP="000B7A6C">
      <w:pPr>
        <w:spacing w:after="0" w:line="240" w:lineRule="auto"/>
        <w:jc w:val="both"/>
        <w:rPr>
          <w:rFonts w:ascii="Times New Roman" w:hAnsi="Times New Roman"/>
          <w:color w:val="000000" w:themeColor="text1"/>
          <w:sz w:val="16"/>
          <w:szCs w:val="16"/>
        </w:rPr>
      </w:pPr>
    </w:p>
    <w:p w14:paraId="522C2529" w14:textId="77777777" w:rsidR="00463727" w:rsidRPr="00142305" w:rsidRDefault="00463727" w:rsidP="0046372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 октября 1931 г. первый серийный Р-6 прибыл в НИИ ВВС, хотя дол</w:t>
      </w:r>
      <w:r w:rsidRPr="00142305">
        <w:rPr>
          <w:rFonts w:ascii="Times New Roman" w:hAnsi="Times New Roman"/>
          <w:color w:val="0070C0"/>
          <w:sz w:val="16"/>
          <w:szCs w:val="16"/>
        </w:rPr>
        <w:softHyphen/>
        <w:t>жен был быть предъявлен на испытания 7 сентября 1931 г.. Задержка в основном связывалась с несвоевременной поставкой обо</w:t>
      </w:r>
      <w:r w:rsidRPr="00142305">
        <w:rPr>
          <w:rFonts w:ascii="Times New Roman" w:hAnsi="Times New Roman"/>
          <w:color w:val="0070C0"/>
          <w:sz w:val="16"/>
          <w:szCs w:val="16"/>
        </w:rPr>
        <w:softHyphen/>
        <w:t>рудования. В августе уже почти готовая машина стояла без вооружения — оно не прибыло в срок. Представители УВВС практически до последнего момента вносили изменения в свои требования. Так, 6 июля очередная комиссия, побы</w:t>
      </w:r>
      <w:r w:rsidRPr="00142305">
        <w:rPr>
          <w:rFonts w:ascii="Times New Roman" w:hAnsi="Times New Roman"/>
          <w:color w:val="0070C0"/>
          <w:sz w:val="16"/>
          <w:szCs w:val="16"/>
        </w:rPr>
        <w:softHyphen/>
        <w:t>вавшая на заводе, потребовала перенести трубку Пито, уси</w:t>
      </w:r>
      <w:r w:rsidRPr="00142305">
        <w:rPr>
          <w:rFonts w:ascii="Times New Roman" w:hAnsi="Times New Roman"/>
          <w:color w:val="0070C0"/>
          <w:sz w:val="16"/>
          <w:szCs w:val="16"/>
        </w:rPr>
        <w:softHyphen/>
        <w:t>лить балки бомбодержателей и обшивку под ними, еще раз перекомпоновать оборудование в кабинах, ввести лаз от летнаба к пилоту. Это вызвало взрыв негодования у Туполе</w:t>
      </w:r>
      <w:r w:rsidRPr="00142305">
        <w:rPr>
          <w:rFonts w:ascii="Times New Roman" w:hAnsi="Times New Roman"/>
          <w:color w:val="0070C0"/>
          <w:sz w:val="16"/>
          <w:szCs w:val="16"/>
        </w:rPr>
        <w:softHyphen/>
        <w:t>ва: «УВВС переписывается, а самолеты завод уже строит...» В итоге военные согласились внести часть изменений со 2-й серии. Головной же самолет № 2201 выпустили на испыта</w:t>
      </w:r>
      <w:r w:rsidRPr="00142305">
        <w:rPr>
          <w:rFonts w:ascii="Times New Roman" w:hAnsi="Times New Roman"/>
          <w:color w:val="0070C0"/>
          <w:sz w:val="16"/>
          <w:szCs w:val="16"/>
        </w:rPr>
        <w:softHyphen/>
        <w:t>ния некомплектным — практически без вооружения и мно</w:t>
      </w:r>
      <w:r w:rsidRPr="00142305">
        <w:rPr>
          <w:rFonts w:ascii="Times New Roman" w:hAnsi="Times New Roman"/>
          <w:color w:val="0070C0"/>
          <w:sz w:val="16"/>
          <w:szCs w:val="16"/>
        </w:rPr>
        <w:softHyphen/>
        <w:t>гих элементов оборудования (24977).</w:t>
      </w:r>
    </w:p>
    <w:p w14:paraId="029A6A58" w14:textId="77777777" w:rsidR="00463727" w:rsidRPr="00142305" w:rsidRDefault="00463727" w:rsidP="00463727">
      <w:pPr>
        <w:spacing w:after="0" w:line="240" w:lineRule="auto"/>
        <w:jc w:val="both"/>
        <w:rPr>
          <w:rFonts w:ascii="Times New Roman" w:hAnsi="Times New Roman"/>
          <w:color w:val="0070C0"/>
          <w:sz w:val="16"/>
          <w:szCs w:val="16"/>
        </w:rPr>
      </w:pPr>
    </w:p>
    <w:p w14:paraId="4E4B21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октября 1931 было подготовлен письмо N 200/1058с от Члена Правления ВОГВФ А.П.Голубкова и Нач. Самолетного отдела НИИ ГВФ Дементьева в ВАО:</w:t>
      </w:r>
    </w:p>
    <w:p w14:paraId="335ED8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сем пересылаем Вам план опытного самолетостроения ВОГ ГВФ на 1931-1932 годы с указанием желательных сроков готовности опытных экземпляров (351,37):</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59"/>
        <w:gridCol w:w="992"/>
        <w:gridCol w:w="8647"/>
      </w:tblGrid>
      <w:tr w:rsidR="001002C3" w:rsidRPr="005E779E" w14:paraId="6F79BFA3" w14:textId="77777777">
        <w:tc>
          <w:tcPr>
            <w:tcW w:w="959" w:type="dxa"/>
          </w:tcPr>
          <w:p w14:paraId="589927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Самолет</w:t>
            </w:r>
          </w:p>
        </w:tc>
        <w:tc>
          <w:tcPr>
            <w:tcW w:w="992" w:type="dxa"/>
          </w:tcPr>
          <w:p w14:paraId="068271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К-7</w:t>
            </w:r>
          </w:p>
        </w:tc>
        <w:tc>
          <w:tcPr>
            <w:tcW w:w="8647" w:type="dxa"/>
          </w:tcPr>
          <w:p w14:paraId="554913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1-й опытный экз. должен поступить в ВОГФ в мае 1932 (инф. т. Гольцмана)</w:t>
            </w:r>
          </w:p>
        </w:tc>
      </w:tr>
      <w:tr w:rsidR="001002C3" w:rsidRPr="005E779E" w14:paraId="29B63906" w14:textId="77777777">
        <w:tc>
          <w:tcPr>
            <w:tcW w:w="959" w:type="dxa"/>
          </w:tcPr>
          <w:p w14:paraId="2CB9C8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 </w:t>
            </w:r>
          </w:p>
        </w:tc>
        <w:tc>
          <w:tcPr>
            <w:tcW w:w="992" w:type="dxa"/>
          </w:tcPr>
          <w:p w14:paraId="6E3B79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К-10</w:t>
            </w:r>
          </w:p>
        </w:tc>
        <w:tc>
          <w:tcPr>
            <w:tcW w:w="8647" w:type="dxa"/>
          </w:tcPr>
          <w:p w14:paraId="7AA1BC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Должен поступить не позднее 1 января 1932</w:t>
            </w:r>
          </w:p>
        </w:tc>
      </w:tr>
      <w:tr w:rsidR="001002C3" w:rsidRPr="005E779E" w14:paraId="69C662E3" w14:textId="77777777">
        <w:tc>
          <w:tcPr>
            <w:tcW w:w="959" w:type="dxa"/>
          </w:tcPr>
          <w:p w14:paraId="4EB659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tc>
        <w:tc>
          <w:tcPr>
            <w:tcW w:w="992" w:type="dxa"/>
          </w:tcPr>
          <w:p w14:paraId="449DC1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МДР-3</w:t>
            </w:r>
          </w:p>
        </w:tc>
        <w:tc>
          <w:tcPr>
            <w:tcW w:w="8647" w:type="dxa"/>
          </w:tcPr>
          <w:p w14:paraId="73178E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Самолет модифицируется под пассажирский. Желательно опытную военную после специальных </w:t>
            </w:r>
          </w:p>
        </w:tc>
      </w:tr>
      <w:tr w:rsidR="001002C3" w:rsidRPr="005E779E" w14:paraId="3240318D" w14:textId="77777777">
        <w:tc>
          <w:tcPr>
            <w:tcW w:w="959" w:type="dxa"/>
          </w:tcPr>
          <w:p w14:paraId="7ACCA0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734D4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647" w:type="dxa"/>
          </w:tcPr>
          <w:p w14:paraId="60D04D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испытаний оборудовать в гражданскую</w:t>
            </w:r>
          </w:p>
        </w:tc>
      </w:tr>
      <w:tr w:rsidR="001002C3" w:rsidRPr="005E779E" w14:paraId="6474B266" w14:textId="77777777">
        <w:tc>
          <w:tcPr>
            <w:tcW w:w="959" w:type="dxa"/>
          </w:tcPr>
          <w:p w14:paraId="63B9A9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4. </w:t>
            </w:r>
          </w:p>
        </w:tc>
        <w:tc>
          <w:tcPr>
            <w:tcW w:w="992" w:type="dxa"/>
          </w:tcPr>
          <w:p w14:paraId="64B953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ТБ-5</w:t>
            </w:r>
          </w:p>
        </w:tc>
        <w:tc>
          <w:tcPr>
            <w:tcW w:w="8647" w:type="dxa"/>
          </w:tcPr>
          <w:p w14:paraId="34C429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Заключить договор на переделку имеющегося военного экземпляра в гражданский</w:t>
            </w:r>
          </w:p>
        </w:tc>
      </w:tr>
      <w:tr w:rsidR="001002C3" w:rsidRPr="005E779E" w14:paraId="164CFBB5" w14:textId="77777777">
        <w:tc>
          <w:tcPr>
            <w:tcW w:w="959" w:type="dxa"/>
          </w:tcPr>
          <w:p w14:paraId="6BECE1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w:t>
            </w:r>
          </w:p>
        </w:tc>
        <w:tc>
          <w:tcPr>
            <w:tcW w:w="992" w:type="dxa"/>
          </w:tcPr>
          <w:p w14:paraId="7990DB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ТБ-3</w:t>
            </w:r>
          </w:p>
        </w:tc>
        <w:tc>
          <w:tcPr>
            <w:tcW w:w="8647" w:type="dxa"/>
          </w:tcPr>
          <w:p w14:paraId="453ED3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Заключить договор на опытный экземпляр</w:t>
            </w:r>
          </w:p>
        </w:tc>
      </w:tr>
      <w:tr w:rsidR="001002C3" w:rsidRPr="005E779E" w14:paraId="447F937E" w14:textId="77777777">
        <w:tc>
          <w:tcPr>
            <w:tcW w:w="959" w:type="dxa"/>
          </w:tcPr>
          <w:p w14:paraId="22611B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w:t>
            </w:r>
          </w:p>
        </w:tc>
        <w:tc>
          <w:tcPr>
            <w:tcW w:w="992" w:type="dxa"/>
          </w:tcPr>
          <w:p w14:paraId="026DD7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ТБ-4</w:t>
            </w:r>
          </w:p>
        </w:tc>
        <w:tc>
          <w:tcPr>
            <w:tcW w:w="8647" w:type="dxa"/>
          </w:tcPr>
          <w:p w14:paraId="4AE815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1002C3" w:rsidRPr="005E779E" w14:paraId="065BBC6E" w14:textId="77777777">
        <w:tc>
          <w:tcPr>
            <w:tcW w:w="959" w:type="dxa"/>
          </w:tcPr>
          <w:p w14:paraId="6D4A26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w:t>
            </w:r>
          </w:p>
        </w:tc>
        <w:tc>
          <w:tcPr>
            <w:tcW w:w="992" w:type="dxa"/>
          </w:tcPr>
          <w:p w14:paraId="50C56B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Р-5</w:t>
            </w:r>
          </w:p>
        </w:tc>
        <w:tc>
          <w:tcPr>
            <w:tcW w:w="8647" w:type="dxa"/>
          </w:tcPr>
          <w:p w14:paraId="40AEA0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Заключить договор на переделку в гражданскую машину. Срок готовности - март 1932</w:t>
            </w:r>
          </w:p>
        </w:tc>
      </w:tr>
      <w:tr w:rsidR="001002C3" w:rsidRPr="005E779E" w14:paraId="26C0A4D4" w14:textId="77777777">
        <w:tc>
          <w:tcPr>
            <w:tcW w:w="959" w:type="dxa"/>
          </w:tcPr>
          <w:p w14:paraId="085887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w:t>
            </w:r>
          </w:p>
        </w:tc>
        <w:tc>
          <w:tcPr>
            <w:tcW w:w="992" w:type="dxa"/>
          </w:tcPr>
          <w:p w14:paraId="474A74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Р-5</w:t>
            </w:r>
          </w:p>
        </w:tc>
        <w:tc>
          <w:tcPr>
            <w:tcW w:w="8647" w:type="dxa"/>
          </w:tcPr>
          <w:p w14:paraId="0E7482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Заключить договор под переделку в самолет связи. Срок готовности - январь 1932</w:t>
            </w:r>
          </w:p>
        </w:tc>
      </w:tr>
      <w:tr w:rsidR="001002C3" w:rsidRPr="005E779E" w14:paraId="52F69771" w14:textId="77777777">
        <w:tc>
          <w:tcPr>
            <w:tcW w:w="959" w:type="dxa"/>
          </w:tcPr>
          <w:p w14:paraId="478011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w:t>
            </w:r>
          </w:p>
        </w:tc>
        <w:tc>
          <w:tcPr>
            <w:tcW w:w="992" w:type="dxa"/>
          </w:tcPr>
          <w:p w14:paraId="1729C6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К-8</w:t>
            </w:r>
          </w:p>
        </w:tc>
        <w:tc>
          <w:tcPr>
            <w:tcW w:w="8647" w:type="dxa"/>
          </w:tcPr>
          <w:p w14:paraId="38C0AE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Заключить договор на опытный экземпляр. Срок готовности - октябрь 1931</w:t>
            </w:r>
          </w:p>
        </w:tc>
      </w:tr>
      <w:tr w:rsidR="001002C3" w:rsidRPr="005E779E" w14:paraId="0256AAAC" w14:textId="77777777">
        <w:tc>
          <w:tcPr>
            <w:tcW w:w="959" w:type="dxa"/>
          </w:tcPr>
          <w:p w14:paraId="591CB9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w:t>
            </w:r>
          </w:p>
        </w:tc>
        <w:tc>
          <w:tcPr>
            <w:tcW w:w="992" w:type="dxa"/>
          </w:tcPr>
          <w:p w14:paraId="3E154D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К-11</w:t>
            </w:r>
          </w:p>
        </w:tc>
        <w:tc>
          <w:tcPr>
            <w:tcW w:w="8647" w:type="dxa"/>
          </w:tcPr>
          <w:p w14:paraId="524A2A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Срок готовности - январь 1932</w:t>
            </w:r>
          </w:p>
        </w:tc>
      </w:tr>
      <w:tr w:rsidR="001002C3" w:rsidRPr="005E779E" w14:paraId="2D500ACD" w14:textId="77777777">
        <w:tc>
          <w:tcPr>
            <w:tcW w:w="959" w:type="dxa"/>
          </w:tcPr>
          <w:p w14:paraId="51DE2E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w:t>
            </w:r>
          </w:p>
        </w:tc>
        <w:tc>
          <w:tcPr>
            <w:tcW w:w="992" w:type="dxa"/>
          </w:tcPr>
          <w:p w14:paraId="53A3F5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АНТ-8</w:t>
            </w:r>
          </w:p>
        </w:tc>
        <w:tc>
          <w:tcPr>
            <w:tcW w:w="8647" w:type="dxa"/>
          </w:tcPr>
          <w:p w14:paraId="54110D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Заключить договор на передачу черноморского экземпляра для переделки в пассажирский</w:t>
            </w:r>
          </w:p>
        </w:tc>
      </w:tr>
      <w:tr w:rsidR="001002C3" w:rsidRPr="005E779E" w14:paraId="7C2C2EBA" w14:textId="77777777">
        <w:tc>
          <w:tcPr>
            <w:tcW w:w="959" w:type="dxa"/>
          </w:tcPr>
          <w:p w14:paraId="72BB1B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F26BD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647" w:type="dxa"/>
          </w:tcPr>
          <w:p w14:paraId="5C2E6D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w:t>
            </w:r>
          </w:p>
        </w:tc>
      </w:tr>
      <w:tr w:rsidR="001002C3" w:rsidRPr="005E779E" w14:paraId="5616F2E9" w14:textId="77777777">
        <w:tc>
          <w:tcPr>
            <w:tcW w:w="959" w:type="dxa"/>
          </w:tcPr>
          <w:p w14:paraId="460984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w:t>
            </w:r>
          </w:p>
        </w:tc>
        <w:tc>
          <w:tcPr>
            <w:tcW w:w="992" w:type="dxa"/>
          </w:tcPr>
          <w:p w14:paraId="7622FC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МБР3</w:t>
            </w:r>
          </w:p>
        </w:tc>
        <w:tc>
          <w:tcPr>
            <w:tcW w:w="8647" w:type="dxa"/>
          </w:tcPr>
          <w:p w14:paraId="374E68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Договор на переделку под гражданскую машину</w:t>
            </w:r>
          </w:p>
        </w:tc>
      </w:tr>
      <w:tr w:rsidR="001002C3" w:rsidRPr="005E779E" w14:paraId="05B240CD" w14:textId="77777777">
        <w:tc>
          <w:tcPr>
            <w:tcW w:w="959" w:type="dxa"/>
          </w:tcPr>
          <w:p w14:paraId="4971B3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w:t>
            </w:r>
          </w:p>
        </w:tc>
        <w:tc>
          <w:tcPr>
            <w:tcW w:w="992" w:type="dxa"/>
          </w:tcPr>
          <w:p w14:paraId="29F4B4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МФС</w:t>
            </w:r>
          </w:p>
        </w:tc>
        <w:tc>
          <w:tcPr>
            <w:tcW w:w="8647" w:type="dxa"/>
          </w:tcPr>
          <w:p w14:paraId="2BC027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Амфибия конструкции т. Шаврова 39 завода с 2хМ26. Заключить договор на опытный экземпляр. </w:t>
            </w:r>
          </w:p>
        </w:tc>
      </w:tr>
      <w:tr w:rsidR="001002C3" w:rsidRPr="005E779E" w14:paraId="07F74FBD" w14:textId="77777777">
        <w:tc>
          <w:tcPr>
            <w:tcW w:w="959" w:type="dxa"/>
          </w:tcPr>
          <w:p w14:paraId="226CA6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D3004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647" w:type="dxa"/>
          </w:tcPr>
          <w:p w14:paraId="76391C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Срок готовности - май 1932</w:t>
            </w:r>
          </w:p>
        </w:tc>
      </w:tr>
      <w:tr w:rsidR="001002C3" w:rsidRPr="005E779E" w14:paraId="09FF9278" w14:textId="77777777">
        <w:tc>
          <w:tcPr>
            <w:tcW w:w="959" w:type="dxa"/>
          </w:tcPr>
          <w:p w14:paraId="35BAAD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w:t>
            </w:r>
          </w:p>
        </w:tc>
        <w:tc>
          <w:tcPr>
            <w:tcW w:w="992" w:type="dxa"/>
          </w:tcPr>
          <w:p w14:paraId="55A859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горн.</w:t>
            </w:r>
          </w:p>
        </w:tc>
        <w:tc>
          <w:tcPr>
            <w:tcW w:w="8647" w:type="dxa"/>
          </w:tcPr>
          <w:p w14:paraId="366CE0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Желательно изготовить специальный опытный экз.</w:t>
            </w:r>
          </w:p>
        </w:tc>
      </w:tr>
      <w:tr w:rsidR="001002C3" w:rsidRPr="005E779E" w14:paraId="7C947E09" w14:textId="77777777">
        <w:tc>
          <w:tcPr>
            <w:tcW w:w="959" w:type="dxa"/>
          </w:tcPr>
          <w:p w14:paraId="2CA2A9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74154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Районов</w:t>
            </w:r>
          </w:p>
        </w:tc>
        <w:tc>
          <w:tcPr>
            <w:tcW w:w="8647" w:type="dxa"/>
          </w:tcPr>
          <w:p w14:paraId="205875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согл. с НИИ ВОГФ или переделать имеющийся</w:t>
            </w:r>
          </w:p>
        </w:tc>
      </w:tr>
      <w:tr w:rsidR="001002C3" w:rsidRPr="005E779E" w14:paraId="030B8D8F" w14:textId="77777777">
        <w:tc>
          <w:tcPr>
            <w:tcW w:w="959" w:type="dxa"/>
          </w:tcPr>
          <w:p w14:paraId="67B42A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w:t>
            </w:r>
          </w:p>
        </w:tc>
        <w:tc>
          <w:tcPr>
            <w:tcW w:w="992" w:type="dxa"/>
          </w:tcPr>
          <w:p w14:paraId="05BD84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спец.</w:t>
            </w:r>
          </w:p>
        </w:tc>
        <w:tc>
          <w:tcPr>
            <w:tcW w:w="8647" w:type="dxa"/>
          </w:tcPr>
          <w:p w14:paraId="528CEA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(Арктический ОБВ) - заключить договор с НИИ</w:t>
            </w:r>
          </w:p>
        </w:tc>
      </w:tr>
      <w:tr w:rsidR="001002C3" w:rsidRPr="005E779E" w14:paraId="6A01CFC9" w14:textId="77777777">
        <w:tc>
          <w:tcPr>
            <w:tcW w:w="959" w:type="dxa"/>
          </w:tcPr>
          <w:p w14:paraId="6D424E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3CACD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примен.</w:t>
            </w:r>
          </w:p>
        </w:tc>
        <w:tc>
          <w:tcPr>
            <w:tcW w:w="8647" w:type="dxa"/>
          </w:tcPr>
          <w:p w14:paraId="364757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ВОГФ (351)</w:t>
            </w:r>
          </w:p>
        </w:tc>
      </w:tr>
    </w:tbl>
    <w:p w14:paraId="628D35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Настоящим сообщаю, что на все указанные опытные экземпляры заключить договор от ВОГВФ уполномочен НИИ ГВФ, а также и за наблюдение за опытным строительством для ГВФ.</w:t>
      </w:r>
    </w:p>
    <w:p w14:paraId="5E4858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Моботдел ВОГВФ просит Вас перед заключением договора на все самолеты, имеющиеся в опытных экземплярах военного варианта, допустить к подробному с ними ознакомлению.</w:t>
      </w:r>
    </w:p>
    <w:p w14:paraId="18665A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Начальника самолетного отдела тов. Дементьева</w:t>
      </w:r>
    </w:p>
    <w:p w14:paraId="29AF10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Инженеров самолетного отдела НИИ ГВФ тт. Бартини, Комарова, Гурьеву и Мясоедова.</w:t>
      </w:r>
    </w:p>
    <w:p w14:paraId="3C2650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Моботдел ВОГВФ со своей стороны просит Вас срочно оформить договор на опытные самолеты ГВФ и прислать проект договора для юридического оформления (351).</w:t>
      </w:r>
    </w:p>
    <w:p w14:paraId="24EC93B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ОСНОВНЫЕ ТРЕБОВАНИЯ</w:t>
      </w:r>
    </w:p>
    <w:p w14:paraId="22EB24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САМОЛЕТОСТРОЕНИЮ ПО ПЯТИЛЕТНЕМУ ПЛАНУ ГВФ (подписал Нач. ПЭУ Баранов)</w:t>
      </w:r>
    </w:p>
    <w:p w14:paraId="31E4209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Грузоподъемность и характер самолетов.</w:t>
      </w:r>
    </w:p>
    <w:p w14:paraId="17C3DFE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val="en-US"/>
        </w:rPr>
        <w:t>I</w:t>
      </w:r>
      <w:r w:rsidRPr="005E779E">
        <w:rPr>
          <w:rFonts w:ascii="Times New Roman" w:hAnsi="Times New Roman"/>
          <w:color w:val="000000" w:themeColor="text1"/>
          <w:sz w:val="16"/>
          <w:szCs w:val="16"/>
        </w:rPr>
        <w:t>. Тяжелые самолеты грузопод'емностью свыше 3-х тонн пассажирские.</w:t>
      </w:r>
    </w:p>
    <w:p w14:paraId="50719BF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Самолеты средней грузопод'емности:</w:t>
      </w:r>
    </w:p>
    <w:p w14:paraId="31789CD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пассажирские на 10-30 чел.</w:t>
      </w:r>
    </w:p>
    <w:p w14:paraId="7B2666C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w:t>
      </w:r>
      <w:r w:rsidRPr="005E779E">
        <w:rPr>
          <w:rFonts w:ascii="Times New Roman" w:hAnsi="Times New Roman"/>
          <w:smallCaps/>
          <w:color w:val="000000" w:themeColor="text1"/>
          <w:sz w:val="16"/>
          <w:szCs w:val="16"/>
        </w:rPr>
        <w:t xml:space="preserve">/ </w:t>
      </w:r>
      <w:r w:rsidRPr="005E779E">
        <w:rPr>
          <w:rFonts w:ascii="Times New Roman" w:hAnsi="Times New Roman"/>
          <w:color w:val="000000" w:themeColor="text1"/>
          <w:sz w:val="16"/>
          <w:szCs w:val="16"/>
        </w:rPr>
        <w:t xml:space="preserve">грузовые - </w:t>
      </w:r>
      <w:r w:rsidRPr="005E779E">
        <w:rPr>
          <w:rFonts w:ascii="Times New Roman" w:hAnsi="Times New Roman"/>
          <w:color w:val="000000" w:themeColor="text1"/>
          <w:sz w:val="16"/>
          <w:szCs w:val="16"/>
          <w:lang w:val="en-US"/>
        </w:rPr>
        <w:t>I</w:t>
      </w:r>
      <w:r w:rsidRPr="005E779E">
        <w:rPr>
          <w:rFonts w:ascii="Times New Roman" w:hAnsi="Times New Roman"/>
          <w:color w:val="000000" w:themeColor="text1"/>
          <w:sz w:val="16"/>
          <w:szCs w:val="16"/>
        </w:rPr>
        <w:t xml:space="preserve"> тонна,</w:t>
      </w:r>
    </w:p>
    <w:p w14:paraId="0B40FB3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грузовые - 2-3 тонны</w:t>
      </w:r>
    </w:p>
    <w:p w14:paraId="56F2459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Легкие самолеты основном паасажирские на 2-4 пассажира и -100-200 кгр. почты,</w:t>
      </w:r>
    </w:p>
    <w:p w14:paraId="2765BA0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Почтовые самолеты на 1 пассажира и 200-300 кгр. почты</w:t>
      </w:r>
    </w:p>
    <w:p w14:paraId="049E938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 Дальность действия самолетов /перегон/.</w:t>
      </w:r>
    </w:p>
    <w:p w14:paraId="528DAA7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тяжелые - 1500-2000 км</w:t>
      </w:r>
    </w:p>
    <w:p w14:paraId="1FD1283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средине: а/ пассажирские - 400-500 км</w:t>
      </w:r>
    </w:p>
    <w:p w14:paraId="36018EE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грузовые грузоподъемностью 1 т - 400-500 км.</w:t>
      </w:r>
    </w:p>
    <w:p w14:paraId="74D4904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грузовые 2-3 тонны - 400-600 км.</w:t>
      </w:r>
    </w:p>
    <w:p w14:paraId="19AFFBD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самолетов средней грузоподъемности, предназначенных для работы на окраинах Советского Слоюза и в Северных районах дальность действия должна быть доведена до 600-800 км</w:t>
      </w:r>
    </w:p>
    <w:p w14:paraId="0F5E21B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Легкие самолеты - 200-250 км, а для северных районов - 300-500 км.</w:t>
      </w:r>
    </w:p>
    <w:p w14:paraId="2940D19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Почтовые: а/ 200-250 кв.</w:t>
      </w:r>
    </w:p>
    <w:p w14:paraId="36B61CD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700-800 км. для скоростных и высотно-скоростных</w:t>
      </w:r>
    </w:p>
    <w:p w14:paraId="037E70A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 Районы действие самолетов.</w:t>
      </w:r>
    </w:p>
    <w:p w14:paraId="24B38D4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val="en-US"/>
        </w:rPr>
        <w:t>I</w:t>
      </w:r>
      <w:r w:rsidRPr="005E779E">
        <w:rPr>
          <w:rFonts w:ascii="Times New Roman" w:hAnsi="Times New Roman"/>
          <w:color w:val="000000" w:themeColor="text1"/>
          <w:sz w:val="16"/>
          <w:szCs w:val="16"/>
        </w:rPr>
        <w:t>. Тяжелые - Ср. Азия, Укравиа и Сибирская магистраль /т.е. линии Москва-Владивосток. Москва-Ташкент и Москва-Ленинград, Москва - Зап. Европа, Москва - Баку, Красноводск - Ташкент, Харьков-Одесса, Харьков - Крым/.</w:t>
      </w:r>
    </w:p>
    <w:p w14:paraId="173EDC5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Средней грузоподъемности - весь Союз.</w:t>
      </w:r>
    </w:p>
    <w:p w14:paraId="6198CF3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Легкие - весь Союз.</w:t>
      </w:r>
    </w:p>
    <w:p w14:paraId="3E53A09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Почтовые - весь Союз</w:t>
      </w:r>
    </w:p>
    <w:p w14:paraId="2943BE1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1У Типы самолетов</w:t>
      </w:r>
    </w:p>
    <w:p w14:paraId="26E0ED1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Тяжелые самолеты - иснгючятельно сухопутные</w:t>
      </w:r>
    </w:p>
    <w:p w14:paraId="1DF3AE8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Средние: а/ пассажирские - сухопутные и гидролодки /Черное Море, Каспий, Охотское Море/.</w:t>
      </w:r>
    </w:p>
    <w:p w14:paraId="287AFC2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грузовые - грузоподъемностью 1 т - с хопутные,</w:t>
      </w:r>
    </w:p>
    <w:p w14:paraId="112779B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в/грузовые - 2-3 тонны гидролодки /Северные воды, Черное Море, Каспий, Охотское море/ и сухопутные</w:t>
      </w:r>
    </w:p>
    <w:p w14:paraId="3274773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Легкие: а/ гидропоплавковые - речные</w:t>
      </w:r>
    </w:p>
    <w:p w14:paraId="390EFCE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сухопутные</w:t>
      </w:r>
    </w:p>
    <w:p w14:paraId="0F092E6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амфибии для лесных областей</w:t>
      </w:r>
    </w:p>
    <w:p w14:paraId="6E45918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автожиры - для всего Союза.</w:t>
      </w:r>
    </w:p>
    <w:p w14:paraId="7DEE15F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 С к о р о с т ь.</w:t>
      </w:r>
    </w:p>
    <w:p w14:paraId="31CE21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Наибольшею скоростьюдолжлы обладать почтовые самолеты, а затем - пассажирские</w:t>
      </w:r>
    </w:p>
    <w:p w14:paraId="4BF7DE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У1. Мощность</w:t>
      </w:r>
    </w:p>
    <w:p w14:paraId="7F2D51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Мощность ВМГ указывается конструктором исходя из вышеуказанной коммерческой грузоподъемности с учетом необходимого запаса мощности.</w:t>
      </w:r>
    </w:p>
    <w:p w14:paraId="088A28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УП. Моторы</w:t>
      </w:r>
    </w:p>
    <w:p w14:paraId="373BB2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Соответственно типам самолетов должны быть выбраны моторы, но с тем, чтобы создавать наименьшее количество различных типов, желательно соответствующих типам моторов, принятых на эксплоатацию в ВВС.</w:t>
      </w:r>
    </w:p>
    <w:p w14:paraId="083ED1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Необходимо также иметь несколько моторов специального назначения (арктических, высотных и т.п./.</w:t>
      </w:r>
    </w:p>
    <w:p w14:paraId="6CF602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выборе самолетов необходимо руководствоваться их максимальной экономичностью (351).</w:t>
      </w:r>
    </w:p>
    <w:p w14:paraId="34B83A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октября 1931:</w:t>
      </w:r>
    </w:p>
    <w:p w14:paraId="1A99F1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Материалы к плану реконструкции гражданского воздушного флота (подготовлены Нач. самолетного отдела Филипповичем)</w:t>
      </w:r>
    </w:p>
    <w:p w14:paraId="1EE3F6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Общая часть</w:t>
      </w:r>
    </w:p>
    <w:p w14:paraId="2A801C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Новые авиазаводы, которые будут построены в конце этой пятилетки, должны исходить из типов воздушных судов, наиболее отвечающих нуждам ГВФ в условиях развернутого социалистического строительства на социалистической хозяйственной основе и, одновременно, задачам обороны страны.</w:t>
      </w:r>
    </w:p>
    <w:p w14:paraId="0FD2F2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 стороны технической эти типы должны представлять наивысшие достижения технической мысли, опирающейся на новую производственную базу.</w:t>
      </w:r>
    </w:p>
    <w:p w14:paraId="2AAB57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Направление строительства и оборудования новых авиазаводов также должно быть определено в ближайшее время.</w:t>
      </w:r>
    </w:p>
    <w:p w14:paraId="0A3C44CC" w14:textId="3A150B6A"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Поэтому 1931 и 1932 г.г.</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должны являться годами напряженнейшего опытного строительства самолетов и моторов. Лучшие достижения опытного строительства , проверенные испытаниями и интекнсивной опытной эксплоатацией в минимальные сроки - и должны строиться на новых авиазаводах спеиально к разным типам оборудования /например, возможного преобладания в одном случае на самолетном заводе сварочных агрегатов и в частности электросварочных, и в другом случае преобладание приспособлений для клепки и т.п./.</w:t>
      </w:r>
    </w:p>
    <w:p w14:paraId="45280B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Опытное самолето и моторостроение ГВФ в 1931 и 32 г. должно исходить из тенденций развития заграничных самолетов и моторов.</w:t>
      </w:r>
    </w:p>
    <w:p w14:paraId="2C5661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Опытное строительство должно быть в известной мере скачком вперед и не должно исходить из производственных возможностей сегодняшнего дня.</w:t>
      </w:r>
    </w:p>
    <w:p w14:paraId="08F55B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ВОГВФ давая заказы на опытные самолеты и моторы /через НИИ ГВФ/ исходит из этих тенденций развития воздушного флота за границей, намечает основные техтребования т общие контуры типов, но не связывает конструкторско-производственную мысль выполняющих наши заказы организаций: ЦАГИ, ВАО и др.</w:t>
      </w:r>
    </w:p>
    <w:p w14:paraId="47B81C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Наиболее интересными особенностями в области конструкции летательных аппаратов следует считать:</w:t>
      </w:r>
    </w:p>
    <w:p w14:paraId="7D2E03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разрезные и щелевые крылья у самолетов, как допускающие уменьшение посадочных скоростей, а, следовательно, и уменьшение площадей аэродромов,</w:t>
      </w:r>
    </w:p>
    <w:p w14:paraId="69476C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установка моторов самолетов в крыле с карданной передачей на винты, что уменьшает лобовое сопротивление, улучшает работу винта и улучшает условия ухода за мотором в полете. То же относится и к удлиненным валам, позволяющим выносить впереди крыла винты, что значительно улучшает их работу,</w:t>
      </w:r>
    </w:p>
    <w:p w14:paraId="740FED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применение материалов, имеющих повышенную прочность /например молибденовые сварные трубы с последующей после сварки термической обработкой/, материаплов, не подвергающихся окислению /например, нержавеющих сталей/,</w:t>
      </w:r>
    </w:p>
    <w:p w14:paraId="220E681B" w14:textId="11AC9048"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Выбор таких схем, особенно для больших самолетов, когда полехзную нагрузек несет не фюзеляж, а крыло. Такая схема выголна тем, что груз можно рассосредоточивать по крылу и, следовательно, выгадать в отношении прочности, кроме</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того в этой схеме уменьшается лобовое сопротивление за счет отсутствия фюзеляжа обучного типа. Оперение устанавливается на таких самолетах на особых балках, нередко открытых,</w:t>
      </w:r>
    </w:p>
    <w:p w14:paraId="1DBC86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 секционная конструкция самолетов, что представляет интерес с точки зрения легкой замены отдельных частей и самолета и возможности наращивания.</w:t>
      </w:r>
    </w:p>
    <w:p w14:paraId="64934D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е/ устройство комбинированных лыж, позволяющих осуществлять посадки на землюи снег и комбинированных ..., </w:t>
      </w:r>
    </w:p>
    <w:p w14:paraId="021902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ж/ кроме перечисленных конструктивных особенностей, представляющих громадный практический интерес в настоящее время, ВОГВФ должно всячески содействовать исследовательским и экспериментальным изыскаяниям в отношении летательных аппаратов, позволяющих осуществлять вертикальные /или близкие к вертикальным/ взлетыв и посадки. К таким аппаратам относятся геликоптеры и частично автожиры,</w:t>
      </w:r>
    </w:p>
    <w:p w14:paraId="1486A7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 1931 и 1932 должны быть периодом времени, который должен дать нам все необходимые предварительные данные для развития дирижаблестроения. Исследовательские и экспериментальные работы за это время должны уже дать практические результаты в виде конкретных применительно к реальным производственным возможностям в 1933-34 гг. Проектам со всеми необходимыми данными: всевозможными расчетами, экспериментальными данными, разработанными технологическими приемами и т.п.</w:t>
      </w:r>
    </w:p>
    <w:p w14:paraId="0CC9C2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и/ Наконец, полное содействие должно оказываться всем изысканиям в области реактивных аппаратов, которые, по-видимому, в дальнейшем могут вытеснить современные летательные аппараты.</w:t>
      </w:r>
    </w:p>
    <w:p w14:paraId="3343DA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В отношение авиадвигателей наиболее интересными тенденциями развития для ГВФ следует считать:</w:t>
      </w:r>
    </w:p>
    <w:p w14:paraId="4D3406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появление двигателей больших мощностей /более 1000 л.с.,. Действительно, современное самолетостроение не может удовлетвориться имеющимися авиадвигателями мощностью 500-700 л.с. Ярким примером этого является До=Х в силу необходимости “изуровджованный” 12 моторами. Во сколько раз уменьшился бы у него вес моторной установки, агрегатов, проводки и проч., а также и лобовое сопротивление при установке меньшего числа моторов (например, 4), но, соответственно, большей мощности.</w:t>
      </w:r>
    </w:p>
    <w:p w14:paraId="5FD916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Практические требования к мощностям моторов, как видно из последующего, таковы: 1200 л.с., 1500 л.с. и 2000 л.с.</w:t>
      </w:r>
    </w:p>
    <w:p w14:paraId="263308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Появление уже в эксплуатации авиадвигателей на тяжелом топливе. Эти двигатели, несмотря на больший вес, приходящийся на л.с. /примерно, 1.4 кг/, т.е. на 40% больше авиадвигателей на легком топливе, обладают меньшим расходом топлива на 1 л.с. в час - вместо 0,25 кг - 0,175, те. На 33% меньше, что при перелетах /тем более дапльних, тем в большей степени/, даст очень большие выгоды в весовом отношении. Кроме того, эти двигатели более надежны, безопасны, а топливо - более дешево. Экономичность двигателя на тяжелом топливе - очевидна и мы в отношении работы над ними непростительно отстали.</w:t>
      </w:r>
    </w:p>
    <w:p w14:paraId="0ED5CF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Для нужд ГВФ, наиболее подходящими являются авиадвигатели, обладающие наибольшей надежностью, безопасностью в работе, возможно большим српроком службы, с большими промежутками между перечистками, обладающие простой конструкцией и требующие несложного уходя. Нужно сознаться, что теперешние авиадвигатели с 50 час. сроками перечистки, с постоянными неполадками в работе, перегревающеся летом и в жарких местностях, и стынущие в холодных местах, нужды ГВФ не удовлетворяют.</w:t>
      </w:r>
    </w:p>
    <w:p w14:paraId="3B8DEB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случае военных операций ГВФ и не должен выполнять военные операции молниеносными и короткими ударами. Его задача своей надежностью, безотказностью в работе - обеспечивать операции.</w:t>
      </w:r>
    </w:p>
    <w:p w14:paraId="4E7E66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этой точки зрения заслуживает проверки увлечение в ГВФ моторами воздушого охлаждения /М-22, М-15 и М-26/. Водяное охлаждение моторов, при некотором проигрыше в весе, имеет, по видимому, для ГВФ, преимущестиво с точки зрения требований, изложенных в начале этого пункта.</w:t>
      </w:r>
    </w:p>
    <w:p w14:paraId="621DD9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Заслуживает полной экспериментальной проверки мысль об объединении всех агрегатов мотора /если их на самолете 3 и более/ в один со специальным моторчиком. Такое устройство может дать выгоды в весе и в полезной мощности моторов.</w:t>
      </w:r>
    </w:p>
    <w:p w14:paraId="2E3CB9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 Соответственно п. И, относящемуся к ЛА, должна всемерно осуществляться поддержка всем работам в отношении реактивных двигателей.</w:t>
      </w:r>
    </w:p>
    <w:p w14:paraId="6A97BE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 Классификация опытного самолетостроения ГВФ</w:t>
      </w:r>
    </w:p>
    <w:p w14:paraId="5A842E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серийное производство для ГВФ должно войти возможно меньшее число типов самолетов. Однако, в силу географических, экономических и др. Данных, число этих типов не может быть сведено до 2-3.</w:t>
      </w:r>
    </w:p>
    <w:p w14:paraId="1BFC1B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Опытное самолетостроение должно быть представлено большим числом типов, для обеспечения правильного выбора и подхода к классификации серийного производства.</w:t>
      </w:r>
    </w:p>
    <w:p w14:paraId="31C8B2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Ниже излагается примерная схема классификации опытного самолетостроения ГВФ.</w:t>
      </w:r>
    </w:p>
    <w:p w14:paraId="7B679E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Самолеты малой грузоподъемности на 0,5 тонны комменчекеской нагрузки</w:t>
      </w:r>
    </w:p>
    <w:p w14:paraId="514876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исполкомовская авиация /учебные/ - 2 пассажира</w:t>
      </w:r>
    </w:p>
    <w:p w14:paraId="6406A4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местная - 4 пассажира</w:t>
      </w:r>
    </w:p>
    <w:p w14:paraId="6DF03C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Легкая линейная - 6</w:t>
      </w:r>
    </w:p>
    <w:p w14:paraId="3450E8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по борьбе с вредителями с/х</w:t>
      </w:r>
    </w:p>
    <w:p w14:paraId="1EFD4E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 постовые</w:t>
      </w:r>
    </w:p>
    <w:p w14:paraId="76BCA5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 Рекордные скорости и дальности</w:t>
      </w:r>
    </w:p>
    <w:p w14:paraId="3E2A38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 аэрофотосъемочные</w:t>
      </w:r>
    </w:p>
    <w:p w14:paraId="74CDFB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Это - небольшая группа самолетов</w:t>
      </w:r>
    </w:p>
    <w:p w14:paraId="1D391A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местной авиации и легкий линейный могут быть использованы и как грузовые. Моторы здесь один или два от 165 до 350 л.с.. дальность в среднем не больше 750 км</w:t>
      </w:r>
    </w:p>
    <w:p w14:paraId="32B4FA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Самолеты срежней грузоподъемности - 1-2 тонны коммерческого груза</w:t>
      </w:r>
    </w:p>
    <w:p w14:paraId="6409AA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линейные - 10 пассажиров</w:t>
      </w:r>
    </w:p>
    <w:p w14:paraId="61E01B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линейные пассажирские - 15 пассажиров</w:t>
      </w:r>
    </w:p>
    <w:p w14:paraId="6D9DB6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горные</w:t>
      </w:r>
    </w:p>
    <w:p w14:paraId="56707D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гидролодки пассажирские</w:t>
      </w:r>
    </w:p>
    <w:p w14:paraId="348BD9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 арктические</w:t>
      </w:r>
    </w:p>
    <w:p w14:paraId="741235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Эти самолеты являются основными линейными самолетами. Моторная установка: 3х300 и 3х420. Дальность - 1000 км</w:t>
      </w:r>
    </w:p>
    <w:p w14:paraId="79933D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Самолеты большой грузоподъемности - 3-7 тонн коммерческого груза</w:t>
      </w:r>
    </w:p>
    <w:p w14:paraId="20B903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линейные - 30</w:t>
      </w:r>
    </w:p>
    <w:p w14:paraId="74B50E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линейные - 60</w:t>
      </w:r>
    </w:p>
    <w:p w14:paraId="60F4C6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гидро - вариант а</w:t>
      </w:r>
    </w:p>
    <w:p w14:paraId="297C59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гидровариант б</w:t>
      </w:r>
    </w:p>
    <w:p w14:paraId="228657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Эти самолеты с дальностью 1500 км. Моторная установка 5х400 или 3х800 и 4х1200 л.с.</w:t>
      </w:r>
    </w:p>
    <w:p w14:paraId="16DEE6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Самолеты гиганты - 10-15 тонн коммерческой нагрузки</w:t>
      </w:r>
    </w:p>
    <w:p w14:paraId="0041C9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перевозки 100 и более пассадиров. Дальность 2000 км, моторная установка: 4х1500 и 4х2000, а самых крупных 6х2000 л.с.</w:t>
      </w:r>
    </w:p>
    <w:p w14:paraId="76CFFA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Первая группа самолетов /за исключением рекордных/ имеет небольшие посадочные скорости порядка 70-80 км/час, а в отдельных случаях и меньше - 65-70 км/час. Поэтому под данную группу нужны широко развиваемая сеть небольших посадочных площадок, сравнительно примитивного оборудования. В основных базах должны быть ангары /самолеты этой группы деревянной и смешанной конструкции/.</w:t>
      </w:r>
    </w:p>
    <w:p w14:paraId="23BA6B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2-я группа самолетов имеет посадочную скорость 80-90 км/час и треюбует более оборудованных аэродромов. Аэродромы и аэропорты должны быть оборудованы также тракторами, специальными устройствами для заправки /один самолет этой группы требует заправки горючим около 3000 кг и больше/, должны быть специальные пусковые приспособления /стартеры и проч./.</w:t>
      </w:r>
    </w:p>
    <w:p w14:paraId="41C45E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Ангары также должны джля этих самолетов строиться. Конструкция самолетов - частью смешанная, частью - металлическая.</w:t>
      </w:r>
    </w:p>
    <w:p w14:paraId="256530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3-я группа и 4 группа самолетов имеет посадочную скорость порядка 100 км/час и требует больших и хорошо оборудованных аэродромов. Количество этих аэродромов на линиях должно намечаться из количества предполагаемых линий с самолетами этой грузоподъемности и из дальности полета такого самолета. /примерно 70%/. Эти аэродромы должны быть оборудованы тракторами, заправочными установками /самолет на 6 тонн коммерческой нагрузки при указанной для этой группы дальности требует до 10 тонн, одновременной заправки горючим/.</w:t>
      </w:r>
    </w:p>
    <w:p w14:paraId="35F48F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Что же касается ангаров, то этот вопрос не является ясным для самолетов этой группы. Самолеты здесь - металлические. Размах - 50 м и больше. Повилимому, ангары пож эти самолеты не следует строитьТолько в местах, где данные самолеты будут ремонтироваться, следует построить специальные сооружения.</w:t>
      </w:r>
    </w:p>
    <w:p w14:paraId="022FF5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 О плане опытного самолетостроения на 1931-32 гг.</w:t>
      </w:r>
    </w:p>
    <w:p w14:paraId="04E4A8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Планы опытного самолетостроения ГВФ приняты Правлением ВО ГВФ и ориентировочная характеристика опытных самолетов разослана в ВАО, ЦАГИ и др. Ориентировочная характеристика опытного самолетостроения на 5 лет - прилагается.</w:t>
      </w:r>
    </w:p>
    <w:p w14:paraId="5319A9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1931 г. приняты к постройке самолеты не свыщше 6-7 тонн коммерческой нагрузки. На 1932 г. отнесены самолеты больштх грузоподъемностей и частью гидросамолеты. Некоторые из них /как, например, К-7/ после постройки опытного образца - уже не могут быть изготовлены в серии при имеющемся оборудовании заводов /требуются большие печи для термической обработки сваренных ферм крыдльев из молибденовых труб/. Намеченное в плане дублирование опытных самолетов по-видимому придется отставить. Поэтому прогамму на 1932 г. придется распределять без дублированя между ВАО, ЦАГИ и др.</w:t>
      </w:r>
    </w:p>
    <w:p w14:paraId="1A7669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Из видов индустрии, которые будут поставщиками опытного /а затем и серийного/ производства самолетов, следует в первую очерелдь назвать предприятия по изготовлению сортамента /трубы, профиля, листовой материал из хромистых, хромомолибденовых и др. Сталей/. Дюраль, по-видимому, будет вытесняться указанными высококачественными сталями, имеющими превосходныек качества в отношении прочности, упругости и долговечности /например, нержавеющая сталь/. Кроме того, более простые сорта стали могут быть специально обработаны /оксидированы/, для избежания ржавления.</w:t>
      </w:r>
    </w:p>
    <w:p w14:paraId="4BBCD0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Однако, дюраль на ближайшее время будет еще очень ходовым материалом для конструкции и поэтому вопрос о цветных металлах должен также быть в центре внимания.</w:t>
      </w:r>
    </w:p>
    <w:p w14:paraId="2589E7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Большое количество самолетов потребует как основного материала конструкции - дерева /лучшие сорта сосны, ясень и т.д./</w:t>
      </w:r>
    </w:p>
    <w:p w14:paraId="368594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Поэтому должна быть в широких размерах организована заготовка и просушка деревянного материала/, в т.ч. и фанеры, которая, между прочим, дает хорошие данные в соединении со сталью.</w:t>
      </w:r>
    </w:p>
    <w:p w14:paraId="3D9E98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Ряд вспомогательных устройств потребует продукции предприятий: стальной, электро и радиотехнической промышленности, приборов, текстильной и т.п.</w:t>
      </w:r>
    </w:p>
    <w:p w14:paraId="0849F0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Количественная доля в общей продукции каждого такого вида производства должны быть учтены ВАО применительно к контрольным цифрам серийного производства самолетов по годам.</w:t>
      </w:r>
    </w:p>
    <w:p w14:paraId="17AB91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Порядок, который сейчас замечен при утверждении планов опытного самолетостроения эскизов опытных самолетов и макетов - в достаточной мере обеспечивает наивыгоднейшее применение в ГВФ у условиях войны.</w:t>
      </w:r>
    </w:p>
    <w:p w14:paraId="2C0B14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1У. Опытное моторостроение</w:t>
      </w:r>
    </w:p>
    <w:p w14:paraId="402920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 водяного охлаждения в 1500 л.с. должен быть готов к серии к началу 1932 г.</w:t>
      </w:r>
    </w:p>
    <w:p w14:paraId="04BDE7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 водяного охлаждения в 1500 л.с. должен быть готов к серии к началу 1933 г.</w:t>
      </w:r>
    </w:p>
    <w:p w14:paraId="046281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 водяного охлаждения в 2000 л.с. должен быть готов к серии к началу 1933 г.</w:t>
      </w:r>
    </w:p>
    <w:p w14:paraId="5216AD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 на тяжелом топливе мощностью 300 л.с. должен быть готов к серии к началу 1933 г.</w:t>
      </w:r>
    </w:p>
    <w:p w14:paraId="4B179D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 на тяжелом топливе мощностью 750 л.с. должен быть готов к серии к началу 1933 г.</w:t>
      </w:r>
    </w:p>
    <w:p w14:paraId="63F83D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 воздушного охлаждения в 500-600 л.с. должен быть готов к серии к началу 1932 г.</w:t>
      </w:r>
    </w:p>
    <w:p w14:paraId="4563BE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 Заключение</w:t>
      </w:r>
    </w:p>
    <w:p w14:paraId="1E8700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Вопрос о реконструкции оборудования, в связи с новыми конструкциями самолетов и новыми достижениями в области специальных служб - предмет требующий особого рассмотрения и освещен лишь попутно и кратко.</w:t>
      </w:r>
    </w:p>
    <w:p w14:paraId="3C1A12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Некоторый материал, освещающий лишь количественные и качественные изменения в материальной части самолетно-моторного парка:</w:t>
      </w:r>
    </w:p>
    <w:p w14:paraId="4F4929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Приложение:</w:t>
      </w:r>
    </w:p>
    <w:p w14:paraId="44B939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Ориентировочная характеристика опытного самолетосмтроения ГВФ по 5-ти летнему плану /задания ВАО и ЦАГИ/.</w:t>
      </w:r>
    </w:p>
    <w:p w14:paraId="10E7A8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Статистические данные гражданских самолетов заграницей на 1926-30 гг. (351).</w:t>
      </w:r>
    </w:p>
    <w:p w14:paraId="2224DA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октября 1931 были предсталены:</w:t>
      </w:r>
    </w:p>
    <w:p w14:paraId="7AD673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Основные моменты реконструкции ГВФ</w:t>
      </w:r>
    </w:p>
    <w:p w14:paraId="1026D2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Приступая к работе по уточнению пятилетнего плана ГВФ Объединению необходимо иметь план реконструкции ГВФ, т.е. учета всех тех качественных изменений /по линии материальной части: самолетов, моторов, земного оборудования, специальных служб, ремонтов, норм эксплоатации и т.д./, которые в настоящее время выявились на основе тенденций развития советской и мировой авиационной техники.</w:t>
      </w:r>
    </w:p>
    <w:p w14:paraId="3C6EF8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Совершенно очевидно, что пятилетний план не может пройти мимо соответствующих конструктивных изменений.</w:t>
      </w:r>
    </w:p>
    <w:p w14:paraId="083937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Созывая специалистов авиации различных организаций Объединение просит всех приглашенных товарищей дать на предстоящем совещании свои соображения о путях реконструкции ГВФ.</w:t>
      </w:r>
    </w:p>
    <w:p w14:paraId="162487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Перечень основных вопросв приводится ниже:</w:t>
      </w:r>
    </w:p>
    <w:p w14:paraId="126EF6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Самолеты</w:t>
      </w:r>
    </w:p>
    <w:p w14:paraId="45F8D3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направления развития новых типов самолетов</w:t>
      </w:r>
    </w:p>
    <w:p w14:paraId="75E28B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постройки самолетов специального назначения (гидросамолетов, рекордных самолетов и т.д.)</w:t>
      </w:r>
    </w:p>
    <w:p w14:paraId="0EFD96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увеличение грузоподъемности самолетов</w:t>
      </w:r>
    </w:p>
    <w:p w14:paraId="3188E3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увеличение дальности полетов</w:t>
      </w:r>
    </w:p>
    <w:p w14:paraId="6B8B87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 увеличение скорости</w:t>
      </w:r>
    </w:p>
    <w:p w14:paraId="62D08A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 увеличение норм использования самолетов и сроков их службы</w:t>
      </w:r>
    </w:p>
    <w:p w14:paraId="755D37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ж/ механизация ремонтов и уменьшение сроков ремонтов самолетов.</w:t>
      </w:r>
    </w:p>
    <w:p w14:paraId="141E40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Новые материалы для моторов и самолетостроению</w:t>
      </w:r>
    </w:p>
    <w:p w14:paraId="67A931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Организация срепых полетов и соответствующих специальных служб</w:t>
      </w:r>
    </w:p>
    <w:p w14:paraId="60CA75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Вопрос о необходимости светооборудования в случае положительного разрешения вопроса об организации слепых поллетов</w:t>
      </w:r>
    </w:p>
    <w:p w14:paraId="520193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Новые моменты конструкции самолетов /достижение минимального пробега и разбега - разрезные крылья, геликоптеры и тп.п./</w:t>
      </w:r>
    </w:p>
    <w:p w14:paraId="2183D7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Устойчивость полетов</w:t>
      </w:r>
    </w:p>
    <w:p w14:paraId="59ED94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Аэронавигация, радиопеленгование и т.п.</w:t>
      </w:r>
    </w:p>
    <w:p w14:paraId="0A63C2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Пополнение горючего в воздухе</w:t>
      </w:r>
    </w:p>
    <w:p w14:paraId="303555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Борьба с туманами</w:t>
      </w:r>
    </w:p>
    <w:p w14:paraId="0915EC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Моторы</w:t>
      </w:r>
    </w:p>
    <w:p w14:paraId="292929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моторы на тяжелом топливе</w:t>
      </w:r>
    </w:p>
    <w:p w14:paraId="2B1E1E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требования к моторам ГА</w:t>
      </w:r>
    </w:p>
    <w:p w14:paraId="3D8AF5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увеличение норм работы моторов</w:t>
      </w:r>
    </w:p>
    <w:p w14:paraId="16F5A9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улучшение технической эксплоатации моторов</w:t>
      </w:r>
    </w:p>
    <w:p w14:paraId="698552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 мехзанизация ремонтов /запчасти/. Уменьшение сроков ремонта и промежутков между последними.</w:t>
      </w:r>
    </w:p>
    <w:p w14:paraId="3ABACB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 ракетные двигатели</w:t>
      </w:r>
    </w:p>
    <w:p w14:paraId="2B0D51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Земное оборудование</w:t>
      </w:r>
    </w:p>
    <w:p w14:paraId="3908CE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вопрос о размерах аэродромов и посадочных площадок и расстояния между ними в связи с вопросами, затронутыми в п. Первом (самолеты)</w:t>
      </w:r>
    </w:p>
    <w:p w14:paraId="21F1EB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бензохранилища</w:t>
      </w:r>
    </w:p>
    <w:p w14:paraId="58E96D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вопрос реконструкции мастреских и их дислокации в зависимости от изменения мотодов и организации ремонта</w:t>
      </w:r>
    </w:p>
    <w:p w14:paraId="0E2B39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реконструкции радио и метеооборудования земных станций</w:t>
      </w:r>
    </w:p>
    <w:p w14:paraId="2B4E73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 ангары (необходимость таковых и их размеры)</w:t>
      </w:r>
    </w:p>
    <w:p w14:paraId="7BBBC2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 создание условий подвижности воздушных линий</w:t>
      </w:r>
    </w:p>
    <w:p w14:paraId="6D0E62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ж/ механизация и рационализация аэродромных работ</w:t>
      </w:r>
    </w:p>
    <w:p w14:paraId="5BEF37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Эффективность рационализаторских мероприятий (351).</w:t>
      </w:r>
    </w:p>
    <w:p w14:paraId="03252B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октября 1931:</w:t>
      </w:r>
    </w:p>
    <w:p w14:paraId="440BE2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В.Б.Шавров представил тезисы: Типы самолетов ГВФ, пути и перспективы развития гражданского самолетостроения</w:t>
      </w:r>
    </w:p>
    <w:p w14:paraId="1708B6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Содержание</w:t>
      </w:r>
    </w:p>
    <w:p w14:paraId="445F8F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Типы гражданских самолетов, которые должны поступить на снабжение в течение второй пятилетки или необходимы к постройке к концу ее</w:t>
      </w:r>
    </w:p>
    <w:p w14:paraId="210C1C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Опытное самолетостроение на 1932</w:t>
      </w:r>
    </w:p>
    <w:p w14:paraId="68AC92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Оспользование военных самолетов, снимаемых с вооружения и опытных</w:t>
      </w:r>
    </w:p>
    <w:p w14:paraId="3F78D0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Общие направления в опытном и серийном самолетостроении</w:t>
      </w:r>
    </w:p>
    <w:p w14:paraId="18E99E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 Распределение самолетов по районам и областям применения</w:t>
      </w:r>
    </w:p>
    <w:p w14:paraId="5561AE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Типы гражданских самолетов, которые должны поступить на снабжение в течение второй пятилетки или необходимы к постройке к концу ее</w:t>
      </w:r>
    </w:p>
    <w:p w14:paraId="1F675A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Мы здесь хотим охватить все потребные типы самолетов для всех видов применения авиации в н/х, дать им возможно точные хзарактеристики и постараться свести к возможному минимуму их число.</w:t>
      </w:r>
    </w:p>
    <w:p w14:paraId="5B0679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всем стремлении к уменьшению числа типов и введению всяческой унификации мы не можем получить в серийном производстве меньше 10-12 типов в силу большого разнообразия их назначения и работы</w:t>
      </w:r>
    </w:p>
    <w:p w14:paraId="226CF72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Сведение всего самолетного парка к определенному числу отдельных типов самолетов, как правило, не должно быть связано с их конструктивным выполнением. Мы рассматриваем требования к самолетам со стороны народного хозяйства и хотим дать те типы самолетов, которые бы довлетворяли им. Точная обрисовка каждо</w:t>
      </w:r>
      <w:r w:rsidRPr="005E779E">
        <w:rPr>
          <w:rFonts w:ascii="Times New Roman" w:hAnsi="Times New Roman"/>
          <w:color w:val="000000" w:themeColor="text1"/>
          <w:sz w:val="16"/>
          <w:szCs w:val="16"/>
        </w:rPr>
        <w:softHyphen/>
        <w:t>го типа преследует цель внесения полной конкретности в задания и требования к ним, независимо от общих рассуждений о наивыгоднейших размерах, тоннаже, мощности и дальности, которые в свое очередь, должны быть уточнены.</w:t>
      </w:r>
    </w:p>
    <w:p w14:paraId="49537C7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Желание возможно полнее удовлетворить разносторонние и все возрастающие требования к гражданскому воздушному флоту заставляет увеличивать число типов и специализировать их. И обратное стремление - в целях удешевления самолетов всячески стандартизировать их и уменьшать число типов.</w:t>
      </w:r>
    </w:p>
    <w:p w14:paraId="22DB02D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Пожтому нам придется выделить такие основные и абсолютно неизбежные, а параллельно им обрисовать ти</w:t>
      </w:r>
      <w:r w:rsidRPr="005E779E">
        <w:rPr>
          <w:rFonts w:ascii="Times New Roman" w:hAnsi="Times New Roman"/>
          <w:color w:val="000000" w:themeColor="text1"/>
          <w:sz w:val="16"/>
          <w:szCs w:val="16"/>
        </w:rPr>
        <w:softHyphen/>
        <w:t>пы только желательные нли же специальные варианты по отдельным областям применения.</w:t>
      </w:r>
    </w:p>
    <w:p w14:paraId="4709375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Никогда нельзя забывать и о военном применении. Мы говорим о типе независимо от того, существувт ли он уже или его надо создать и, независимо от его технического совершенства. Весь типаж самолетов сво</w:t>
      </w:r>
      <w:r w:rsidRPr="005E779E">
        <w:rPr>
          <w:rFonts w:ascii="Times New Roman" w:hAnsi="Times New Roman"/>
          <w:color w:val="000000" w:themeColor="text1"/>
          <w:sz w:val="16"/>
          <w:szCs w:val="16"/>
        </w:rPr>
        <w:softHyphen/>
        <w:t>дим к трем основным группам: малый, средний и большой грузовой емкости. Отдельно - рекордные.</w:t>
      </w:r>
    </w:p>
    <w:p w14:paraId="479BFB4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Самолеты малой подъемности</w:t>
      </w:r>
    </w:p>
    <w:p w14:paraId="4603153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коммерческая нагрузка - до 0,5 т</w:t>
      </w:r>
    </w:p>
    <w:p w14:paraId="7F5139E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дальность в среднем - 750 км</w:t>
      </w:r>
    </w:p>
    <w:p w14:paraId="6A26BD0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Основных типов здесь - 4*</w:t>
      </w:r>
    </w:p>
    <w:p w14:paraId="6B2F00F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легкий сухопутный</w:t>
      </w:r>
    </w:p>
    <w:p w14:paraId="0545303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легкий амфибия</w:t>
      </w:r>
    </w:p>
    <w:p w14:paraId="4A578D3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легкий пассажирский</w:t>
      </w:r>
    </w:p>
    <w:p w14:paraId="1BD14BA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почтовой скоростной.</w:t>
      </w:r>
    </w:p>
    <w:p w14:paraId="475002E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легкий сухопутный с мотором от 100 до 200 км</w:t>
      </w:r>
    </w:p>
    <w:p w14:paraId="638B814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Этот тип является сборным и может распадаться на ряд отдельных типов в зависимости от назначения его типа и мотора.</w:t>
      </w:r>
    </w:p>
    <w:p w14:paraId="79EC41B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Основной тип</w:t>
      </w:r>
    </w:p>
    <w:p w14:paraId="77A1BBA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1а учебный, 2-х местный тип У-2 М-11 смешаной конструкции биплан</w:t>
      </w:r>
    </w:p>
    <w:p w14:paraId="12A9F70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пустого около 600</w:t>
      </w:r>
    </w:p>
    <w:p w14:paraId="1D7681E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нагрузки - 250-300</w:t>
      </w:r>
    </w:p>
    <w:p w14:paraId="6662B49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Скорость - 60 - 150</w:t>
      </w:r>
    </w:p>
    <w:p w14:paraId="73B6E2B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Кроме учебного назначения /одмнаково длл граждан</w:t>
      </w:r>
      <w:r w:rsidRPr="005E779E">
        <w:rPr>
          <w:rFonts w:ascii="Times New Roman" w:hAnsi="Times New Roman"/>
          <w:color w:val="000000" w:themeColor="text1"/>
          <w:sz w:val="16"/>
          <w:szCs w:val="16"/>
        </w:rPr>
        <w:softHyphen/>
        <w:t>ских и военныхшкол/ может нести еще несколько второстепенных функций:</w:t>
      </w:r>
    </w:p>
    <w:p w14:paraId="4A255D5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Бытовой</w:t>
      </w:r>
    </w:p>
    <w:p w14:paraId="167B26B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Спортивный</w:t>
      </w:r>
    </w:p>
    <w:p w14:paraId="0D89900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Аэроклубный</w:t>
      </w:r>
    </w:p>
    <w:p w14:paraId="716729F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туризма</w:t>
      </w:r>
    </w:p>
    <w:p w14:paraId="1DC0F4B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Исполкомовский (частично)</w:t>
      </w:r>
    </w:p>
    <w:p w14:paraId="0E79EFF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1934 года может частично замениться типом У-3 с мотором М-48 160-200 л.с. с оставлением той же схемы, размеров и конструкции.</w:t>
      </w:r>
    </w:p>
    <w:p w14:paraId="76F7D9D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1б - тип У-3 должен иметь разрезное крыло и тормоза на колесах /они могут быть и на У-2/</w:t>
      </w:r>
    </w:p>
    <w:p w14:paraId="1D6D7B7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ТИПОВОЙ</w:t>
      </w:r>
    </w:p>
    <w:p w14:paraId="0C25E35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пустого около 650 - 750 кгр.</w:t>
      </w:r>
    </w:p>
    <w:p w14:paraId="248F3E0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Нагрузка - 300 кгр.</w:t>
      </w:r>
    </w:p>
    <w:p w14:paraId="264C2A1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Скорость - 55-180 км/час</w:t>
      </w:r>
    </w:p>
    <w:p w14:paraId="52F7F5D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Учебный и тренировочный</w:t>
      </w:r>
    </w:p>
    <w:p w14:paraId="0D9E52F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Кроме того - все функции У-2</w:t>
      </w:r>
    </w:p>
    <w:p w14:paraId="0DE22AE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появлением у нас мотора в 160-200 сил при весе в 150-180 кгр. У-2 будет полностью заменен У-3</w:t>
      </w:r>
    </w:p>
    <w:p w14:paraId="38955B0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этому основному типу учебного самолета примыкают еще 2 тика для спортивных и бытовых целей. Один тип - это бывшая авиетка в 50-80 сил типа АКР и другой сухопутный с закрытой кабиной - скоростной самолет типа АКР проходит свою эволюцию в том направленни, что постепенно увеличивает свою мощность с 60 до 80, до 100 и до 130 сил., почти не увеличивал размеров, потом для увеличения скорости начинает понемногу менять и схему переходя в моноплан с закрытой кабиной в иногда с разрезными крыльями. За-границей при наличии хороших моторов /например “Джетси” 130 л. с. возникший из 60-сильного</w:t>
      </w:r>
      <w:r w:rsidRPr="005E779E">
        <w:rPr>
          <w:rFonts w:ascii="Times New Roman" w:hAnsi="Times New Roman"/>
          <w:smallCaps/>
          <w:color w:val="000000" w:themeColor="text1"/>
          <w:sz w:val="16"/>
          <w:szCs w:val="16"/>
        </w:rPr>
        <w:t>/ этот</w:t>
      </w:r>
      <w:r w:rsidRPr="005E779E">
        <w:rPr>
          <w:rFonts w:ascii="Times New Roman" w:hAnsi="Times New Roman"/>
          <w:color w:val="000000" w:themeColor="text1"/>
          <w:sz w:val="16"/>
          <w:szCs w:val="16"/>
        </w:rPr>
        <w:t xml:space="preserve"> процесс привел к тому, что почти все бившие авиетки, начиная с 20-ти сильных, дошли теперь до 130 сил, превратились в достаточно бысхроходные спортивные и туристские самолеты.</w:t>
      </w:r>
    </w:p>
    <w:p w14:paraId="54D102D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Нам кажется целесообразным сонить на ближайшие года тип легкого 70-сильного самолета АИР для нужд аэроклубов и местной авиации. Массовм он не будет, но в небольшитх сериях строиться можети в зависимости от количества моторов НАМИ 65 /Доллежаля/, которое будет выпущено.</w:t>
      </w:r>
    </w:p>
    <w:p w14:paraId="7166C4E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Могут строиться и монопланы и бипланы.</w:t>
      </w:r>
    </w:p>
    <w:p w14:paraId="0E9CA0B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 надо забывать, что основное обучение будет все же производится на 100-сильных самолетах типа У-2 и потом У-3</w:t>
      </w:r>
    </w:p>
    <w:p w14:paraId="29CF762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Эти самолеты будут действительно массовми, могут кооперироваться и тем удешевляться. Нужно определенное стандартное обучение летчиков военных и гражданских на одном определенном типе и это ограничивает распространение более легких машин типа АИР.</w:t>
      </w:r>
    </w:p>
    <w:p w14:paraId="16F4D44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Конструкция </w:t>
      </w:r>
      <w:r w:rsidRPr="005E779E">
        <w:rPr>
          <w:rFonts w:ascii="Times New Roman" w:hAnsi="Times New Roman"/>
          <w:smallCaps/>
          <w:color w:val="000000" w:themeColor="text1"/>
          <w:sz w:val="16"/>
          <w:szCs w:val="16"/>
        </w:rPr>
        <w:t>у-</w:t>
      </w:r>
      <w:r w:rsidRPr="005E779E">
        <w:rPr>
          <w:rFonts w:ascii="Times New Roman" w:hAnsi="Times New Roman"/>
          <w:color w:val="000000" w:themeColor="text1"/>
          <w:sz w:val="16"/>
          <w:szCs w:val="16"/>
        </w:rPr>
        <w:t>2 при превращении его в У-3 может и должна быть улучшена, но это не меняет типа машины, как стандартной.</w:t>
      </w:r>
    </w:p>
    <w:p w14:paraId="4980189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1в легкий сухопутный самолет под 65-70 мтл /комп. 65/</w:t>
      </w:r>
    </w:p>
    <w:p w14:paraId="523BEAD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пустого - около 350 кгр,</w:t>
      </w:r>
    </w:p>
    <w:p w14:paraId="5FAD045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Нагрузка - 200-250 кгр</w:t>
      </w:r>
    </w:p>
    <w:p w14:paraId="0B8D177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Скорость 60 - 140 к/час.</w:t>
      </w:r>
    </w:p>
    <w:p w14:paraId="3ECAD6A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Конструкция смешанная.</w:t>
      </w:r>
    </w:p>
    <w:p w14:paraId="0698852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Спортвный, аэроклубный, бытовой</w:t>
      </w:r>
    </w:p>
    <w:p w14:paraId="2438F88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1г сухопутный с закрытой кабиной</w:t>
      </w:r>
    </w:p>
    <w:p w14:paraId="38A2C78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Типа пусс-масз или Бреда, Клем и др.</w:t>
      </w:r>
    </w:p>
    <w:p w14:paraId="57CC7AC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мотором 100- 200 л.с..</w:t>
      </w:r>
    </w:p>
    <w:p w14:paraId="5A8DFE4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или М-48 или с цилиндрами в ряд - воздушного охлаждения 2-3 местный смешанной конструкции</w:t>
      </w:r>
    </w:p>
    <w:p w14:paraId="145FC9A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пустого - около 600</w:t>
      </w:r>
    </w:p>
    <w:p w14:paraId="39C89EF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Нагрузка - 250 - 400 кгр.</w:t>
      </w:r>
    </w:p>
    <w:p w14:paraId="6086DDD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Скорость - 80 - 240</w:t>
      </w:r>
    </w:p>
    <w:p w14:paraId="30F8795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Желательны разрезнае крылья</w:t>
      </w:r>
    </w:p>
    <w:p w14:paraId="4753ACF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спорта, туризма, исполкомовский и местной авиации.</w:t>
      </w:r>
    </w:p>
    <w:p w14:paraId="70202A1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большой степени зависит от наличия мотора воздушного охлаждения с цилиндрами в ряд /лучше опрокинутого/ и без него такой самолет теряет значительную часть своего смысла.</w:t>
      </w:r>
    </w:p>
    <w:p w14:paraId="1CFBBFC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нашему мнению, этот самолет и мотор для него существовать должны, так как это - лучший тип для того, что за-границей называется индивидуальным использованием и для нас вовсе не теряет своего смысла.</w:t>
      </w:r>
    </w:p>
    <w:p w14:paraId="00F9D04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1д У-2 аэропыл в теперешнем его виде. Этот тип всегда может существовать, являлоь вариантом обычного У-2 или У-3</w:t>
      </w:r>
    </w:p>
    <w:p w14:paraId="0AB8CFA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 эти сухопытные самолеты должны иметь возможность ставиться на поплавки без переделок конструкции кроме шасси.</w:t>
      </w:r>
    </w:p>
    <w:p w14:paraId="6F01E2B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У-2 /и для У-3/ у нас уже имеется шасси на одном поплавке, идущее в небольшой серии.</w:t>
      </w:r>
    </w:p>
    <w:p w14:paraId="3662CD8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Двух поплавковое шассн может применяться с тем же успехом, что и одноплававковое;</w:t>
      </w:r>
    </w:p>
    <w:p w14:paraId="077268E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У-3 является в основном машиной для сухопутного обучения. Обучение морских летчиков рациональнее производить на учебной лодке ввиду ее большего сходства с настоящими лодочными гидросамолетами.</w:t>
      </w:r>
    </w:p>
    <w:p w14:paraId="4B2FA27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Легкая амфибия типа Ш-2</w:t>
      </w:r>
    </w:p>
    <w:p w14:paraId="7D777CD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3-х местная смешанной конструкции</w:t>
      </w:r>
    </w:p>
    <w:p w14:paraId="6BFC983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2а В теперешнем виде с М-11</w:t>
      </w:r>
    </w:p>
    <w:p w14:paraId="5467A59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пустого - 640 - 650</w:t>
      </w:r>
    </w:p>
    <w:p w14:paraId="274822D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Нагрузка - 277 - 400 кгр.</w:t>
      </w:r>
    </w:p>
    <w:p w14:paraId="156E5B0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Скорости - 65 - 140 - 150- км.</w:t>
      </w:r>
    </w:p>
    <w:p w14:paraId="45A777E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2б С мотором М-48, разрезным крылом и тормозами</w:t>
      </w:r>
    </w:p>
    <w:p w14:paraId="44AFE0F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пустого - 670-680</w:t>
      </w:r>
    </w:p>
    <w:p w14:paraId="2A571E5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Нагрузка - 277 - 500</w:t>
      </w:r>
    </w:p>
    <w:p w14:paraId="6B3457B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Скорости - 55 - 16- 170</w:t>
      </w:r>
    </w:p>
    <w:p w14:paraId="5216967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Может применяться как амфибия с колесным или лыжным шасси и как летающая лодка без шасси. Скорость максимальная у лодки выше примерно на 10 клм/час.</w:t>
      </w:r>
    </w:p>
    <w:p w14:paraId="47985FD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Тип 2б /или Ш-3/ впоследствие может целиком заменить теперешний тип Ш-2, т.к. все размеры при этом не изменяются и кроме устройства разрезных крыльев и большего мотора остальным ничем не отличаются.</w:t>
      </w:r>
    </w:p>
    <w:p w14:paraId="3BA10BC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ПРИМЕЧАНИЕ: использование этого типа самолета наиболее рзнообразно ваиду его универсального характера как амфибии.</w:t>
      </w:r>
    </w:p>
    <w:p w14:paraId="2C4CA66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Связь в речных и северных районах</w:t>
      </w:r>
    </w:p>
    <w:p w14:paraId="1397CB1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Учебная лодка</w:t>
      </w:r>
    </w:p>
    <w:p w14:paraId="4156911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различных хозяйственных целей (совхозы, колхозы, лесное хозяйство, промыслы, разведка, изыскания геологические и дорожные, самолет для экспедиций).</w:t>
      </w:r>
    </w:p>
    <w:p w14:paraId="3107E1A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погранохране</w:t>
      </w:r>
    </w:p>
    <w:p w14:paraId="1668075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Спортивная и аэроклубная</w:t>
      </w:r>
    </w:p>
    <w:p w14:paraId="2FEED91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Исполкомовская</w:t>
      </w:r>
    </w:p>
    <w:p w14:paraId="790A450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для разведки с кораблей в арктике.</w:t>
      </w:r>
    </w:p>
    <w:p w14:paraId="1A0808C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3. Легкий пассажирский</w:t>
      </w:r>
    </w:p>
    <w:p w14:paraId="4146445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Сухопутнный 4- 6 местный с мотором 300 л.с. /М-26/.</w:t>
      </w:r>
    </w:p>
    <w:p w14:paraId="3FB97DD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схеме - лучше всего подпертый моноплан.</w:t>
      </w:r>
    </w:p>
    <w:p w14:paraId="4A1DD46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Представителями этого типа у нас могут служить самолеты Сталь - -2 и Яковлева.</w:t>
      </w:r>
    </w:p>
    <w:p w14:paraId="756A8D2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нашему мнению, оба они не являются окончательными типами, могущими идти вбольшую серию, несмотря на хорошие качества. Слабым местом их является наличие заграничных моторов Райт. Для"Сталь-2” замена райта 300 л.с. на наш мотор М- 26 очень проста и повлечет только некоторое понижение летных качеств. Для яковлевского самолета мотор М-26 несколько велик и тяжел и тут возможна или ориентация на какой-то другой мотор, который мы сейчас не можем указать, или же некоторое увеличение размеров самолета. С другой стороны, этот самолет имеет неоспоримые преимущества перед “Сталь-2” в виде своей смешанной конструкции из дерева и стадьных мягкихтруб, конструкции гораздо более дешевой, простой, из недефицитных материалов. Мы признаем, что самолет из нержавеющей стали являв»я большим шагом вперед, но ни на минуту не должны забывать, что он ближайшие годы будет в несколько раз дороже смешанного, что материал его дефицитный и частью импортный и что техника его производства еще далека от совершенства.</w:t>
      </w:r>
    </w:p>
    <w:p w14:paraId="13B6A05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Если говорить о массовом самолете в сотнях и тыся</w:t>
      </w:r>
      <w:r w:rsidRPr="005E779E">
        <w:rPr>
          <w:rFonts w:ascii="Times New Roman" w:hAnsi="Times New Roman"/>
          <w:color w:val="000000" w:themeColor="text1"/>
          <w:sz w:val="16"/>
          <w:szCs w:val="16"/>
        </w:rPr>
        <w:softHyphen/>
        <w:t>чах экземпляров, то нужно со всей определенностью остановиться на смеашанной конструкции, как наиболее дешевой и незавсящей от редких сортов материалов и от импорта.</w:t>
      </w:r>
    </w:p>
    <w:p w14:paraId="6031C48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Схему же его в виде подпертого моноплана американского типа можно принять без всяких оговорок.</w:t>
      </w:r>
    </w:p>
    <w:p w14:paraId="704C6AB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Скорости 80 - 220 клм.</w:t>
      </w:r>
    </w:p>
    <w:p w14:paraId="3EA6F73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Назначение: исполкомовский</w:t>
      </w:r>
    </w:p>
    <w:p w14:paraId="2667329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местной авиации, постовый для подъездных линий</w:t>
      </w:r>
    </w:p>
    <w:p w14:paraId="600C2EA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туризма</w:t>
      </w:r>
    </w:p>
    <w:p w14:paraId="4E67BE06" w14:textId="2858B6E2"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аэрофотосъемка крупных масштабов</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с переделкой кабины применительно к требованиям съемки</w:t>
      </w:r>
    </w:p>
    <w:p w14:paraId="7CF1CCD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может работать и на поплавках</w:t>
      </w:r>
    </w:p>
    <w:p w14:paraId="634C13B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Почтовый - скоростной</w:t>
      </w:r>
    </w:p>
    <w:p w14:paraId="789D5BE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перевозки матриц и вообще для дальнихрейсов с малой нагрузкой.</w:t>
      </w:r>
    </w:p>
    <w:p w14:paraId="47DC64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Может быть и высотно-скоростной</w:t>
      </w:r>
    </w:p>
    <w:p w14:paraId="6CF5F4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Таким образом, мы считаем, что вся группа легких:</w:t>
      </w:r>
    </w:p>
    <w:p w14:paraId="32A80C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Потребная скорость - 320-350</w:t>
      </w:r>
    </w:p>
    <w:p w14:paraId="73ED94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 М-22 или М-15</w:t>
      </w:r>
    </w:p>
    <w:p w14:paraId="7C5F71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Конструкция смешанная. Моноплан. Желательно убирающиеся колеса.</w:t>
      </w:r>
    </w:p>
    <w:p w14:paraId="7490C94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 одноместный.</w:t>
      </w:r>
    </w:p>
    <w:p w14:paraId="7185B98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r w:rsidRPr="005E779E">
        <w:rPr>
          <w:rFonts w:ascii="Times New Roman" w:hAnsi="Times New Roman"/>
          <w:smallCaps/>
          <w:color w:val="000000" w:themeColor="text1"/>
          <w:sz w:val="16"/>
          <w:szCs w:val="16"/>
        </w:rPr>
        <w:t>Дальность полета должна быть не менее 1500 км</w:t>
      </w:r>
    </w:p>
    <w:p w14:paraId="322B2DB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smallCaps/>
          <w:color w:val="000000" w:themeColor="text1"/>
          <w:sz w:val="16"/>
          <w:szCs w:val="16"/>
        </w:rPr>
        <w:t xml:space="preserve">Должен быть приспособлен </w:t>
      </w:r>
      <w:r w:rsidRPr="005E779E">
        <w:rPr>
          <w:rFonts w:ascii="Times New Roman" w:hAnsi="Times New Roman"/>
          <w:color w:val="000000" w:themeColor="text1"/>
          <w:sz w:val="16"/>
          <w:szCs w:val="16"/>
        </w:rPr>
        <w:t>для сбрасывания матриц и почты на специальных парашютах в промежуточных пунктах.</w:t>
      </w:r>
    </w:p>
    <w:p w14:paraId="3D85657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должен покрывать без посадки такие перегоны, как Москва - Свердловс или Москва - Тифлис.</w:t>
      </w:r>
    </w:p>
    <w:p w14:paraId="4192C24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Тип а схема этого самолета совершенно ясны. Это моноплан наилучших аэродинамических форм с совершенным капотированием мотора, или свободнонесуший с подбирающимся шасси или с расчаленными тонкими крыльями и хорошо закопотированными колесами. Размеры его должны быть наименьшими.</w:t>
      </w:r>
    </w:p>
    <w:p w14:paraId="3634DAA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Таким образом, мы считаем, что вся группа легких самолетов должна иметь смешанную конструкцию, во-первых, из-за дешевизны ее, а, во-вторых, чтобы не отнимать металл - кольчугаллюминий и высокосортную сталь - у больших самолетов, где без них нельзя обойтись.</w:t>
      </w:r>
    </w:p>
    <w:p w14:paraId="24B58BA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 Самолеты средней грузоподъемности</w:t>
      </w:r>
    </w:p>
    <w:p w14:paraId="63BBE5C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 0,5 до 2,6 тонн коммерческой нагрузки.</w:t>
      </w:r>
    </w:p>
    <w:p w14:paraId="3A6AE82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Дальность полета в среднем 1000 км.</w:t>
      </w:r>
    </w:p>
    <w:p w14:paraId="3258C00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Основных типов здесь 4</w:t>
      </w:r>
    </w:p>
    <w:p w14:paraId="11CB148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Легкий линейный</w:t>
      </w:r>
    </w:p>
    <w:p w14:paraId="36DE2B1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Средний линейный</w:t>
      </w:r>
    </w:p>
    <w:p w14:paraId="042730B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Универсальный самолет - амфибия</w:t>
      </w:r>
    </w:p>
    <w:p w14:paraId="6E8410B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Гидросамолет средний линейный лодочный</w:t>
      </w:r>
    </w:p>
    <w:p w14:paraId="5B82974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Легкий линейный самолет</w:t>
      </w:r>
    </w:p>
    <w:p w14:paraId="3BF21AE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8 пассажиров, т.е. на 800 кг коммерческой нагрузки</w:t>
      </w:r>
    </w:p>
    <w:p w14:paraId="51FE7B1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Одномоторный с мотором М-15 450-500 л.с. конструкция - смешанная т.к. при таких размерах применение металла не оправдывается ни условиямипрочности, ни весом, ни эксплуатацией. Тут можно только повторить все соображения о дешевизне.</w:t>
      </w:r>
    </w:p>
    <w:p w14:paraId="2AC4E82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Представителем этого типа является теперешний самолет К-5, но представителем неудачным, т.к. его линейные размеры слишком велики и он перетяжелен.</w:t>
      </w:r>
    </w:p>
    <w:p w14:paraId="5F0B5FA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нем мотор М-15 работает на пределе и быстро изнашивается. Сохранив ту же кабину на 8 пассажиров и немного перекомпановав его общий вид можно уменьшить размеры и следовательно, вес самолета. Мотор М-15 тогда будет соотаетствовать такому самолету.</w:t>
      </w:r>
    </w:p>
    <w:p w14:paraId="5262A0E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Необходимо также радикально улучшить аэродинамику достичь максимальной скорости в 250 км/час.</w:t>
      </w:r>
    </w:p>
    <w:p w14:paraId="2CC3A01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Практически - это значит создать совершейно новый самолет, изменив, быть может, даже схему, но на это надо пойти, раз мы хотим иметь настоящий современный самолет, а не тип 3-х летней уже давности, нужно прео</w:t>
      </w:r>
      <w:r w:rsidRPr="005E779E">
        <w:rPr>
          <w:rFonts w:ascii="Times New Roman" w:hAnsi="Times New Roman"/>
          <w:color w:val="000000" w:themeColor="text1"/>
          <w:sz w:val="16"/>
          <w:szCs w:val="16"/>
        </w:rPr>
        <w:softHyphen/>
        <w:t>долеть традиции завода и резко порвать с его установтвщимися схемами.</w:t>
      </w:r>
    </w:p>
    <w:p w14:paraId="67E0D0C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Средний линейный самолет</w:t>
      </w:r>
    </w:p>
    <w:p w14:paraId="36B6D80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12-15 пассажиров, т.е. на 1500 кг коммерческой нагрузки.</w:t>
      </w:r>
    </w:p>
    <w:p w14:paraId="1F8B88E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3 моторами М-22 или М-15 - 3х450 - 1350 л.с.</w:t>
      </w:r>
    </w:p>
    <w:p w14:paraId="470FA40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Цельнометаллический типа Форда или</w:t>
      </w:r>
    </w:p>
    <w:p w14:paraId="3E14EE3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улучшенный АНТ-9</w:t>
      </w:r>
    </w:p>
    <w:p w14:paraId="4403CB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Возможны 2 мотора по 600-700 л.с.</w:t>
      </w:r>
    </w:p>
    <w:p w14:paraId="609C78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Частично может быть поставлен на поплавки для речных авиалиний.</w:t>
      </w:r>
    </w:p>
    <w:p w14:paraId="6DD288F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АНТ-9 соответствует этому типу только по схеме и близок по размерам, но уступает Форду по полезной отлдаче.</w:t>
      </w:r>
    </w:p>
    <w:p w14:paraId="40DE472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том же примерно весе он берет 9 пассажиров вместо возможных 15 у Форда и слишком мало превосходит К-5. Тот хоть и не блестящая машина, но все же пол сравнению с АНТ-9 выглядит и дешевым и экономичным, очень выгодно выделяясь в этом последнем отношении.</w:t>
      </w:r>
    </w:p>
    <w:p w14:paraId="2A5D472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Везя 8 пассажиров вместо 9 он расходует мощность вдвое меньшую. К тому же, АНТ-9 не может продолжать нормальный полет на 3-х моторах и, следовательно, 3-моторность не дает ему гарантию безопасности. Форд же может лететь на 2-х моторах с полной нагрузкой. Если АНТ-9 дать моторы на 450 сил, то всетаки в нем негде будет рахестить больше 9 пассажиров. Короче говоря, здесъ тоже требуется создание нового самолета под данный тип с лучшим использованием заграничного опыта, с лучшей весовой отдачей и с использованием тех же многих улучшенных деталей, которые отмечают хороший заграничный самолет от наших, еще более примитивных.</w:t>
      </w:r>
    </w:p>
    <w:p w14:paraId="577FEA7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Скорости 160-240 км/час</w:t>
      </w:r>
    </w:p>
    <w:p w14:paraId="61532A7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Существует намерение сделать из АНТ-9 самолет для высокогорных аэрониний путем постановки на него 3-х М-22. Нам такая вещь не кажется возмоджной. На большой высоте его посадочная скорость вырастет еще больше, что при малых размерах горных аэродромов создаст непреодолимые препятствия к его применению. Да и полезная отдача еще уменьшится, т.к. едва ли он будет брать больше 5-6 пассажиров, здесь нужен самолет с гораздо меньшей нагрузкой крыльев и, следовательно, меньшей посадочной скоростью.</w:t>
      </w:r>
    </w:p>
    <w:p w14:paraId="4E907FB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Универсальный самолет - амфибия</w:t>
      </w:r>
    </w:p>
    <w:p w14:paraId="187FF4E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-комбинированный сухопутьный с приставными поплавками и подъемным шасси.</w:t>
      </w:r>
    </w:p>
    <w:p w14:paraId="7FE2496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2 мотора М-26 или 2хМ22 или 2хМ52</w:t>
      </w:r>
    </w:p>
    <w:p w14:paraId="2727FE2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тип Ш-4 и Ш-5</w:t>
      </w:r>
    </w:p>
    <w:p w14:paraId="444E7F2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Конструкция - смешанная</w:t>
      </w:r>
    </w:p>
    <w:p w14:paraId="1271CD1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Этот самолет по своей схеме является нормальнным сухопутным самолетом с фюзеляжем, к которому может быть присоединен добавочный большой поплавок. В этом виде получает контуры лодки. Два боковых поплавка будут служить для поперечной устойчивости. Шассикрепится к фюаедяжу, имеет подъемное устройство и не зависит от наличия поплавка.</w:t>
      </w:r>
    </w:p>
    <w:p w14:paraId="32D5F33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По сути дела, это два разных самолета, но в целях унификации деталей мы выполняем их как один комбинированный. Это не всегда будет обоаначать, что стоит только одеть поплавки, как сухопутный самолет непременно станет амфибией - и наоборот. Для сухопутного самолета желательна, например, полотняная обтяжка фюзеляжа, а для лодки ее лучше иметь жесткой. Но во всяком случае, все главные детали остануться теми же во всех случаях. По типу такой самолёт явится наиболее </w:t>
      </w:r>
      <w:r w:rsidRPr="005E779E">
        <w:rPr>
          <w:rFonts w:ascii="Times New Roman" w:hAnsi="Times New Roman"/>
          <w:color w:val="000000" w:themeColor="text1"/>
          <w:sz w:val="16"/>
          <w:szCs w:val="16"/>
        </w:rPr>
        <w:lastRenderedPageBreak/>
        <w:t>универсальным для всех возможных. Он не будет особенно схоростным/, но мы в нем можем получить иалую посадочную скорость, а это даст ему особенно как амфибии проникать в такие места, куда не сунется никакой другой.</w:t>
      </w:r>
    </w:p>
    <w:p w14:paraId="54DFD16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Применения этого самолета весьма многообразны.</w:t>
      </w:r>
    </w:p>
    <w:p w14:paraId="2972440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Аэросъемочный сухопутный</w:t>
      </w:r>
    </w:p>
    <w:p w14:paraId="1FA7821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Аэросъемочный амфибия (с М-26)</w:t>
      </w:r>
    </w:p>
    <w:p w14:paraId="7835F71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Пассажирский сухопутный</w:t>
      </w:r>
    </w:p>
    <w:p w14:paraId="4954B4D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Пассажирский амфибия</w:t>
      </w:r>
    </w:p>
    <w:p w14:paraId="51AAC8F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Горный пассажирский сухопутный (с М-22)</w:t>
      </w:r>
    </w:p>
    <w:p w14:paraId="1FEC874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Арктическая амфибия (с М-33)</w:t>
      </w:r>
    </w:p>
    <w:p w14:paraId="500F20B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Сельскохозяйственный самолет (с М-26)</w:t>
      </w:r>
    </w:p>
    <w:p w14:paraId="6F67B9F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Санитарная амфибия</w:t>
      </w:r>
    </w:p>
    <w:p w14:paraId="79571C1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Скорости сухопутного - 75-180 с М-26</w:t>
      </w:r>
    </w:p>
    <w:p w14:paraId="1DDE727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80-220 с М-22</w:t>
      </w:r>
    </w:p>
    <w:p w14:paraId="79D9B7F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Скорость амфибии - 80-170 с М-26</w:t>
      </w:r>
    </w:p>
    <w:p w14:paraId="307340D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85-200 с М-22</w:t>
      </w:r>
    </w:p>
    <w:p w14:paraId="508A73D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Основное применение данного типа - аэрофотосъемка и к этому назначению должна быть приспособлена носовая часть фюзеляжа. В ней должен помещаться экипаж из 3-х человек и фотоаппаратура. Приспособление остальной части фюзеляжа под пассажирскую кабину не должно вызвать эатруднения. 8 пассажиров. Пассажирская амфибия предназначается для всех северных и сибирских меридиональных линий вдоль больших рек и вглубь территории. И такой тип - не особенно скоростной, но с малой посадочной скоростью будет иметь большие возможности проникновения а места без аэродромов. Вариант пассажирской амфибии с мотором М-33 водяного охлаждения и с усиленным поплавком может работать в Арктике. Вместо колес на оси шасси будут посажены лыжи. Поплавки - и главный и боковые лучше сделать деревянными для дешевизны. Фюзеляж - сварной. Крылья и оперение из кольчугаллюминия в полотняной обтяжкой. Как сухопутный пассажирский данный тип самолета будет обслуживать аэролинии в Срелней Азии взамен легкого линейного содержащего дерево в своей конструкции, как горный пассажирский /с М-22/ он будет иметь роетмущества перед такими самолетами как АНТ-9 в виде своей посадочной скорости и высокого потолка.</w:t>
      </w:r>
    </w:p>
    <w:p w14:paraId="6A8B81E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Как сельско-хозяйственний самолет, он будет служить как аэропыл, а также и для всех видов посевов к чему мы сейчас подходим вплотную. Это должен бытъ тип самолета наиболее широкого применения в сельском хозяйстве.</w:t>
      </w:r>
    </w:p>
    <w:p w14:paraId="050389F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7а В пределах данного рода самолетов один вид - пассажирская амфибия скоростная под 2 х М-22</w:t>
      </w:r>
    </w:p>
    <w:p w14:paraId="73D04C5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Это приспособленный военный тип МБР - 3</w:t>
      </w:r>
    </w:p>
    <w:p w14:paraId="190D019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деревянной конструкции</w:t>
      </w:r>
    </w:p>
    <w:p w14:paraId="2301E36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нагрузка - 6 пассажиров</w:t>
      </w:r>
    </w:p>
    <w:p w14:paraId="1A7EBEF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скорости - 100 - 230 клм.</w:t>
      </w:r>
    </w:p>
    <w:p w14:paraId="0B6FDE13" w14:textId="5F895988"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Если и будет применяться, то в небольшом количестве экземпляров и иногда только как летлодха /без шасси/ на гндролиниях приморских</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и речных.</w:t>
      </w:r>
    </w:p>
    <w:p w14:paraId="5DA72D0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8а Г а д р о с а м о л е - средний линейный лодочный</w:t>
      </w:r>
    </w:p>
    <w:p w14:paraId="71786E1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морских аэролиний.</w:t>
      </w:r>
    </w:p>
    <w:p w14:paraId="342459C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2-мя М-34 или 4х М-22</w:t>
      </w:r>
    </w:p>
    <w:p w14:paraId="7195C13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летний вес 13 - 14 тонн</w:t>
      </w:r>
    </w:p>
    <w:p w14:paraId="19237B6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Цельнометаллический</w:t>
      </w:r>
    </w:p>
    <w:p w14:paraId="01431A6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Переделанный МДР - 3</w:t>
      </w:r>
    </w:p>
    <w:p w14:paraId="0657D8E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Заменяется МДР - 4 с 2 х М-35 или 4х М-34</w:t>
      </w:r>
    </w:p>
    <w:p w14:paraId="7328CB5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срок опытного экз. - УШ - 34 г.</w:t>
      </w:r>
    </w:p>
    <w:p w14:paraId="7F0DC17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Ш. </w:t>
      </w:r>
      <w:r w:rsidRPr="005E779E">
        <w:rPr>
          <w:rFonts w:ascii="Times New Roman" w:hAnsi="Times New Roman"/>
          <w:smallCaps/>
          <w:color w:val="000000" w:themeColor="text1"/>
          <w:sz w:val="16"/>
          <w:szCs w:val="16"/>
        </w:rPr>
        <w:t>самолеты большой грузоподъемности</w:t>
      </w:r>
    </w:p>
    <w:p w14:paraId="4DC50D8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 2-х тонн коммерческой нагрузки. Цельнометаллческие</w:t>
      </w:r>
    </w:p>
    <w:p w14:paraId="1BA4357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 этих трудно говорить подробно, т.к. они принадлежат завтрашнему дню. О некорых нельзя сказать ничего кроме названия. Типаж их тоже можно перечислить только примерно.</w:t>
      </w:r>
    </w:p>
    <w:p w14:paraId="05A46FD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Линейный самолет на 32 пассажира</w:t>
      </w:r>
    </w:p>
    <w:p w14:paraId="1062B7B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АНТ-14 5 х М-22</w:t>
      </w:r>
    </w:p>
    <w:p w14:paraId="362E949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материальных аэролиний</w:t>
      </w:r>
    </w:p>
    <w:p w14:paraId="340725A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Линейный самолет на 60 пассажиров</w:t>
      </w:r>
    </w:p>
    <w:p w14:paraId="113CEF8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ТБ-4 (АНТ-20) или К-7</w:t>
      </w:r>
    </w:p>
    <w:p w14:paraId="69BE092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Желательно размещение моторов в крыле и передаточные валы к винтам.</w:t>
      </w:r>
    </w:p>
    <w:p w14:paraId="3A71E15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Гидросамолет</w:t>
      </w:r>
    </w:p>
    <w:p w14:paraId="3DDF1EC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по 4 тонны коммерч. нагрузка пассажирской и грузовой </w:t>
      </w:r>
    </w:p>
    <w:p w14:paraId="33AC6D0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МТБ - 3 /лодка/</w:t>
      </w:r>
    </w:p>
    <w:p w14:paraId="78E0140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х М-34</w:t>
      </w:r>
    </w:p>
    <w:p w14:paraId="476DA3B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х М - 35</w:t>
      </w:r>
    </w:p>
    <w:p w14:paraId="542D920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Пассажирский и грузовой</w:t>
      </w:r>
    </w:p>
    <w:p w14:paraId="73489A8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х М - 35 или М-44 /ТБ - 6/ У-34</w:t>
      </w:r>
    </w:p>
    <w:p w14:paraId="435DAB9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Пассажирский и транспортный</w:t>
      </w:r>
    </w:p>
    <w:p w14:paraId="7B8C019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30 тонн, коммерч. нагрузки /ТБ-7/</w:t>
      </w:r>
    </w:p>
    <w:p w14:paraId="4525D9D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Гвдросамолет 2 - лодочный на 40 тонн общего веса.</w:t>
      </w:r>
    </w:p>
    <w:p w14:paraId="5823F59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Кроме этих типов должны быть построены следующие рекордные самолеты в 1 - 2 экземплярах.</w:t>
      </w:r>
    </w:p>
    <w:p w14:paraId="7691507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Скоростной гидросамолет 2 х М-34</w:t>
      </w:r>
    </w:p>
    <w:p w14:paraId="3FC897F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 Для дальних рейдов</w:t>
      </w:r>
    </w:p>
    <w:p w14:paraId="0D7A6A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 Высотный для стратосферы</w:t>
      </w:r>
    </w:p>
    <w:p w14:paraId="2C5FD0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Эти типы не могут быть реализованы быстро ввиду слабости нашей моторостроительной техники, но работу над ними надо вести (305).</w:t>
      </w:r>
    </w:p>
    <w:p w14:paraId="72DFE6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2ADB3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октября 1931 В.М.П. приказом по ЦАГИ N 190 (1077,167) был освобожден от обязанностей помошника начальника отдела АГОС по технической части и назначен начальником секции тяжелых самолетов (1077,9).</w:t>
      </w:r>
    </w:p>
    <w:p w14:paraId="2CDE7B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BD6689D" w14:textId="77777777" w:rsidR="00221006" w:rsidRPr="005E779E" w:rsidRDefault="002210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октября 1931 г. с целью дальнейшего развития авиапромышленности и облегчения ее возможной мобилизации в чрезвычайных обстоятельствах завод им. Гольцмана - ЗиГ передали из ГВФ Всесоюзному авиационному объединению (ВАО) при Главном управлении металлопромышленности ВСНХ СССР как Завод опытных конструкций СНИИ ГВФ. В системе ВАО получил № 89. При этом четкого подчинения завода ни ГВФ, ни Наркомату оборонной промышленности, в ведении которого в то время находились и самолетостроительные предприятия, завод тогда не имел (23581).</w:t>
      </w:r>
    </w:p>
    <w:p w14:paraId="2B781518" w14:textId="77777777" w:rsidR="00221006" w:rsidRPr="005E779E" w:rsidRDefault="00221006" w:rsidP="000B7A6C">
      <w:pPr>
        <w:spacing w:after="0" w:line="240" w:lineRule="auto"/>
        <w:jc w:val="both"/>
        <w:rPr>
          <w:rFonts w:ascii="Times New Roman" w:hAnsi="Times New Roman"/>
          <w:color w:val="000000" w:themeColor="text1"/>
          <w:sz w:val="16"/>
          <w:szCs w:val="16"/>
        </w:rPr>
      </w:pPr>
    </w:p>
    <w:p w14:paraId="6E2283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октября 1930 года вышел Приказ ВВС N 174/71:</w:t>
      </w:r>
    </w:p>
    <w:p w14:paraId="3D0961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проверки боевой готовности, слетанности и подготовленности летного состава в отношении решения быстро и отчетливо аэронавигационных задач с 31 августа по 3 сентября с.г. были выполнены 3 оперативных перелета.</w:t>
      </w:r>
    </w:p>
    <w:p w14:paraId="2BFFD9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Звено под командой командира звена Неумывакина в составе 3-х самолетов Р-1 - М5 24-й Развед. эскадрильи по маршруту Харьков-Гомель-Витебск-Брянск-Харьков общим протяжением 1530 км. Звено вылетело из Харькова 31 августа в 16 часов 40 минут. Вернулось выполнив маршрут 1 сентября в 17 часов 15 минут.</w:t>
      </w:r>
    </w:p>
    <w:p w14:paraId="114ED4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Звено под командой вр. и д. командира звена Пикен, в составе 3-х самолетов Р1-М5, 54 штурмовой эскадрильи по маршруту Воронеж-Харьков-Ктев-Бобруйск-Брянск-Воронеж, общим протяжением 1800 км. Звено вылетело из Воронежа 1 сентября в 10 часов и вернулось, выполнив маршрут 3 сентября в 15 часов.</w:t>
      </w:r>
    </w:p>
    <w:p w14:paraId="1842FE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Звено под командой командира звена Фаюткина, в составе 3-х самолетов Р1-М5, 44-й легко-бомбардировочной эскадрильи по маршруту: Новочеркасск-Харьков-Киев-Бобруйск-Гомель-Харьков-Новочеркасск, общим протяжением 2350 км. Звено вылетело из Новочеркасска 31 августа в 16 часов, вернулось выполнив маршрут 2 сентября в 9 часов 20 минут. (2978,33-34).</w:t>
      </w:r>
    </w:p>
    <w:p w14:paraId="5D1E80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64230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октября 1930 года пом. начальника 1-го отдела Мусселиус писал:</w:t>
      </w:r>
    </w:p>
    <w:p w14:paraId="644571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С оперативной точки зрения перелет показал возможность переброски соединений тяжелой авиации из черного моря в Балтийское и обратно в течение 4- дней.</w:t>
      </w:r>
    </w:p>
    <w:p w14:paraId="57143A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Прилагаемые к отчету фотоснимки показывают, что строй самолеты держали скверно... (2978,30).</w:t>
      </w:r>
    </w:p>
    <w:p w14:paraId="3E1E71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1074D54" w14:textId="77777777" w:rsidR="00A25E62" w:rsidRPr="005E779E" w:rsidRDefault="00A25E62"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002E4A43" w14:textId="77777777" w:rsidR="00A25E62" w:rsidRPr="005E779E" w:rsidRDefault="00A25E62"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ECA8705" w14:textId="77777777" w:rsidR="00221006" w:rsidRPr="005E779E" w:rsidRDefault="002210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 5 октября 1931 г. Н.А. Кучеренко принимает участие в работе совещания по вопросу изготовления и поставки Ижорским заводом для ХПЗ первых 50 комплектов броневых деталей корпусов и башен танка БТ-2 установочной серии. Осуществляя обеспечение технического сопровождения конструкторской документации в серийном производстве танков БТ-2, 24 марта 1932 г. Н.А. Кучеренко в качестве представителя ХПЗ участвует в работе совещания по пересмотру конструкции броневых деталей этой машины. Работая в составе КБ Т2К над улучшением боевых свойств танка БТ, в конце июля 1932 г. Н.А. Кучеренко участвует в работе комиссии по испытаниям опытного образца танка БТ-5.</w:t>
      </w:r>
    </w:p>
    <w:p w14:paraId="7AAAAF71" w14:textId="77777777" w:rsidR="00221006" w:rsidRPr="005E779E" w:rsidRDefault="002210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 ноября 1932 г. и до конца июня 1934 г. Н.А. Кучеренко в КБ Т2К ХПЗ возглавляет конструкторскую секцию по текущему производству, участвует в разработке конструкторской документации для обеспечения серийного производства танков БТ-5 (23450).</w:t>
      </w:r>
    </w:p>
    <w:p w14:paraId="01198016" w14:textId="77777777" w:rsidR="00221006" w:rsidRPr="005E779E" w:rsidRDefault="00221006" w:rsidP="000B7A6C">
      <w:pPr>
        <w:spacing w:after="0" w:line="240" w:lineRule="auto"/>
        <w:jc w:val="both"/>
        <w:rPr>
          <w:rFonts w:ascii="Times New Roman" w:hAnsi="Times New Roman"/>
          <w:color w:val="000000" w:themeColor="text1"/>
          <w:sz w:val="16"/>
          <w:szCs w:val="16"/>
        </w:rPr>
      </w:pPr>
    </w:p>
    <w:p w14:paraId="0AE3AF67" w14:textId="77777777" w:rsidR="00A25E62" w:rsidRPr="005E779E" w:rsidRDefault="00A25E62"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3 октября 1931 г.</w:t>
      </w:r>
    </w:p>
    <w:p w14:paraId="5BCCCBB3" w14:textId="77777777" w:rsidR="00A25E62" w:rsidRPr="005E779E" w:rsidRDefault="00A25E62"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«Рапорт» о приобретении одежды и обуви для Л. К. Рамзина. 3 октября 1931 г.</w:t>
      </w:r>
    </w:p>
    <w:p w14:paraId="5AAF6C9B" w14:textId="77777777" w:rsidR="00A25E62" w:rsidRPr="005E779E" w:rsidRDefault="00A25E62"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Источник: </w:t>
      </w:r>
    </w:p>
    <w:p w14:paraId="16E65805" w14:textId="77777777" w:rsidR="00A25E62" w:rsidRPr="005E779E" w:rsidRDefault="00A25E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DCB65E6" w14:textId="77777777" w:rsidR="00A25E62" w:rsidRPr="005E779E" w:rsidRDefault="00A25E62"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Архив: </w:t>
      </w:r>
    </w:p>
    <w:p w14:paraId="1F10F73B" w14:textId="77777777" w:rsidR="00A25E62" w:rsidRPr="005E779E" w:rsidRDefault="00A25E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РГАЭ. Ф. 38. Oп. 1. Д. 2. Л. 94—103</w:t>
      </w:r>
    </w:p>
    <w:p w14:paraId="68E961A1" w14:textId="77777777" w:rsidR="00A25E62" w:rsidRPr="005E779E" w:rsidRDefault="00A25E62" w:rsidP="000B7A6C">
      <w:pPr>
        <w:pStyle w:val="rteright"/>
        <w:spacing w:before="0" w:after="0"/>
        <w:jc w:val="both"/>
        <w:rPr>
          <w:color w:val="000000" w:themeColor="text1"/>
          <w:sz w:val="16"/>
          <w:szCs w:val="16"/>
        </w:rPr>
      </w:pPr>
      <w:r w:rsidRPr="005E779E">
        <w:rPr>
          <w:color w:val="000000" w:themeColor="text1"/>
          <w:sz w:val="16"/>
          <w:szCs w:val="16"/>
        </w:rPr>
        <w:t>3 октября 1931 г.</w:t>
      </w:r>
    </w:p>
    <w:p w14:paraId="5C535D77" w14:textId="77777777" w:rsidR="00A25E62" w:rsidRPr="005E779E" w:rsidRDefault="00A25E62" w:rsidP="000B7A6C">
      <w:pPr>
        <w:pStyle w:val="ae"/>
        <w:spacing w:before="0" w:after="0"/>
        <w:jc w:val="both"/>
        <w:rPr>
          <w:color w:val="000000" w:themeColor="text1"/>
          <w:sz w:val="16"/>
          <w:szCs w:val="16"/>
        </w:rPr>
      </w:pPr>
      <w:r w:rsidRPr="005E779E">
        <w:rPr>
          <w:color w:val="000000" w:themeColor="text1"/>
          <w:sz w:val="16"/>
          <w:szCs w:val="16"/>
        </w:rPr>
        <w:t>ПОМ. НАЧ. ТЕХ. ОТД. ЭКУ ОГПУ</w:t>
      </w:r>
    </w:p>
    <w:p w14:paraId="0535815D" w14:textId="77777777" w:rsidR="00A25E62" w:rsidRPr="005E779E" w:rsidRDefault="00A25E62" w:rsidP="000B7A6C">
      <w:pPr>
        <w:pStyle w:val="ae"/>
        <w:spacing w:before="0" w:after="0"/>
        <w:jc w:val="both"/>
        <w:rPr>
          <w:color w:val="000000" w:themeColor="text1"/>
          <w:sz w:val="16"/>
          <w:szCs w:val="16"/>
        </w:rPr>
      </w:pPr>
      <w:r w:rsidRPr="005E779E">
        <w:rPr>
          <w:color w:val="000000" w:themeColor="text1"/>
          <w:sz w:val="16"/>
          <w:szCs w:val="16"/>
        </w:rPr>
        <w:t>тов. СОКОЛОВУ</w:t>
      </w:r>
    </w:p>
    <w:p w14:paraId="70B08C2C" w14:textId="77777777" w:rsidR="00A25E62" w:rsidRPr="005E779E" w:rsidRDefault="00A25E62" w:rsidP="000B7A6C">
      <w:pPr>
        <w:pStyle w:val="ae"/>
        <w:spacing w:before="0" w:after="0"/>
        <w:jc w:val="both"/>
        <w:rPr>
          <w:color w:val="000000" w:themeColor="text1"/>
          <w:sz w:val="16"/>
          <w:szCs w:val="16"/>
        </w:rPr>
      </w:pPr>
      <w:r w:rsidRPr="005E779E">
        <w:rPr>
          <w:color w:val="000000" w:themeColor="text1"/>
          <w:sz w:val="16"/>
          <w:szCs w:val="16"/>
        </w:rPr>
        <w:t>РАПОРТ</w:t>
      </w:r>
    </w:p>
    <w:p w14:paraId="3FFE6773" w14:textId="77777777" w:rsidR="00A25E62" w:rsidRPr="005E779E" w:rsidRDefault="00A25E62" w:rsidP="000B7A6C">
      <w:pPr>
        <w:pStyle w:val="rtejustify"/>
        <w:spacing w:before="0" w:after="0"/>
        <w:rPr>
          <w:color w:val="000000" w:themeColor="text1"/>
          <w:sz w:val="16"/>
          <w:szCs w:val="16"/>
        </w:rPr>
      </w:pPr>
      <w:r w:rsidRPr="005E779E">
        <w:rPr>
          <w:color w:val="000000" w:themeColor="text1"/>
          <w:sz w:val="16"/>
          <w:szCs w:val="16"/>
        </w:rPr>
        <w:t>Прошу Вашего разрешения о приобретении для Л. К. РАМЗИНА одного пальто, ботинки и галоши.</w:t>
      </w:r>
    </w:p>
    <w:p w14:paraId="1DD37D2C" w14:textId="77777777" w:rsidR="00A25E62" w:rsidRPr="005E779E" w:rsidRDefault="00A25E62" w:rsidP="000B7A6C">
      <w:pPr>
        <w:pStyle w:val="ae"/>
        <w:spacing w:before="0" w:after="0"/>
        <w:jc w:val="both"/>
        <w:rPr>
          <w:color w:val="000000" w:themeColor="text1"/>
          <w:sz w:val="16"/>
          <w:szCs w:val="16"/>
        </w:rPr>
      </w:pPr>
      <w:r w:rsidRPr="005E779E">
        <w:rPr>
          <w:color w:val="000000" w:themeColor="text1"/>
          <w:sz w:val="16"/>
          <w:szCs w:val="16"/>
        </w:rPr>
        <w:t>Уполномоченный «3» октября 1931 года</w:t>
      </w:r>
    </w:p>
    <w:p w14:paraId="5575C505" w14:textId="77777777" w:rsidR="00A25E62" w:rsidRPr="005E779E" w:rsidRDefault="00A25E62" w:rsidP="000B7A6C">
      <w:pPr>
        <w:pStyle w:val="ae"/>
        <w:spacing w:before="0" w:after="0"/>
        <w:jc w:val="both"/>
        <w:rPr>
          <w:color w:val="000000" w:themeColor="text1"/>
          <w:sz w:val="16"/>
          <w:szCs w:val="16"/>
        </w:rPr>
      </w:pPr>
      <w:r w:rsidRPr="005E779E">
        <w:rPr>
          <w:rStyle w:val="af0"/>
          <w:i w:val="0"/>
          <w:color w:val="000000" w:themeColor="text1"/>
          <w:sz w:val="16"/>
          <w:szCs w:val="16"/>
        </w:rPr>
        <w:t>РГАЭ. Ф. 38. Oп. 1. Д. 2. Л. 94—103. Машинописный подлинник, подпись-росчерк (неразборчиво), здесь же машинописью «(Наумин)». Число в дате вписано от руки (19076).</w:t>
      </w:r>
    </w:p>
    <w:p w14:paraId="221427F6" w14:textId="77777777" w:rsidR="00A25E62" w:rsidRPr="005E779E" w:rsidRDefault="00A25E62" w:rsidP="000B7A6C">
      <w:pPr>
        <w:spacing w:after="0" w:line="240" w:lineRule="auto"/>
        <w:jc w:val="both"/>
        <w:rPr>
          <w:rFonts w:ascii="Times New Roman" w:hAnsi="Times New Roman"/>
          <w:color w:val="000000" w:themeColor="text1"/>
          <w:sz w:val="16"/>
          <w:szCs w:val="16"/>
        </w:rPr>
      </w:pPr>
    </w:p>
    <w:p w14:paraId="7A4DC55B" w14:textId="77777777" w:rsidR="00A25E62" w:rsidRPr="005E779E" w:rsidRDefault="00A25E62"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3 октября 1931 г.</w:t>
      </w:r>
    </w:p>
    <w:p w14:paraId="14992EB8" w14:textId="77777777" w:rsidR="00A25E62" w:rsidRPr="005E779E" w:rsidRDefault="00A25E62"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Протокол совещания в «рабочем домике» Бутырской тюрьмы о заказах на изготовление необходимых комплектующих для котла. 3 октября 1931 г.</w:t>
      </w:r>
    </w:p>
    <w:p w14:paraId="53A209A8" w14:textId="77777777" w:rsidR="00A25E62" w:rsidRPr="005E779E" w:rsidRDefault="00A25E62"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Источник: </w:t>
      </w:r>
    </w:p>
    <w:p w14:paraId="0A595072" w14:textId="77777777" w:rsidR="00A25E62" w:rsidRPr="005E779E" w:rsidRDefault="00A25E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F6FD3CC" w14:textId="77777777" w:rsidR="00A25E62" w:rsidRPr="005E779E" w:rsidRDefault="00A25E62" w:rsidP="000B7A6C">
      <w:pPr>
        <w:pStyle w:val="rteright"/>
        <w:spacing w:before="0" w:after="0"/>
        <w:jc w:val="both"/>
        <w:rPr>
          <w:color w:val="000000" w:themeColor="text1"/>
          <w:sz w:val="16"/>
          <w:szCs w:val="16"/>
        </w:rPr>
      </w:pPr>
      <w:r w:rsidRPr="005E779E">
        <w:rPr>
          <w:color w:val="000000" w:themeColor="text1"/>
          <w:sz w:val="16"/>
          <w:szCs w:val="16"/>
        </w:rPr>
        <w:t>3 октября 1931 г.</w:t>
      </w:r>
    </w:p>
    <w:p w14:paraId="201CFD4C" w14:textId="77777777" w:rsidR="00A25E62" w:rsidRPr="005E779E" w:rsidRDefault="00A25E62" w:rsidP="000B7A6C">
      <w:pPr>
        <w:pStyle w:val="ae"/>
        <w:spacing w:before="0" w:after="0"/>
        <w:jc w:val="both"/>
        <w:rPr>
          <w:color w:val="000000" w:themeColor="text1"/>
          <w:sz w:val="16"/>
          <w:szCs w:val="16"/>
        </w:rPr>
      </w:pPr>
      <w:r w:rsidRPr="005E779E">
        <w:rPr>
          <w:color w:val="000000" w:themeColor="text1"/>
          <w:sz w:val="16"/>
          <w:szCs w:val="16"/>
        </w:rPr>
        <w:t>ПРОТОКОЛ № 19</w:t>
      </w:r>
    </w:p>
    <w:p w14:paraId="132E0B54" w14:textId="77777777" w:rsidR="00A25E62" w:rsidRPr="005E779E" w:rsidRDefault="00A25E62" w:rsidP="000B7A6C">
      <w:pPr>
        <w:pStyle w:val="ae"/>
        <w:spacing w:before="0" w:after="0"/>
        <w:jc w:val="both"/>
        <w:rPr>
          <w:color w:val="000000" w:themeColor="text1"/>
          <w:sz w:val="16"/>
          <w:szCs w:val="16"/>
        </w:rPr>
      </w:pPr>
      <w:r w:rsidRPr="005E779E">
        <w:rPr>
          <w:color w:val="000000" w:themeColor="text1"/>
          <w:sz w:val="16"/>
          <w:szCs w:val="16"/>
        </w:rPr>
        <w:t>ПОСЕЩЕНИЯ РАБОЧЕГО ДОМИКА</w:t>
      </w:r>
    </w:p>
    <w:p w14:paraId="68754A43" w14:textId="77777777" w:rsidR="00A25E62" w:rsidRPr="005E779E" w:rsidRDefault="00A25E62" w:rsidP="000B7A6C">
      <w:pPr>
        <w:pStyle w:val="ae"/>
        <w:spacing w:before="0" w:after="0"/>
        <w:jc w:val="both"/>
        <w:rPr>
          <w:color w:val="000000" w:themeColor="text1"/>
          <w:sz w:val="16"/>
          <w:szCs w:val="16"/>
        </w:rPr>
      </w:pPr>
      <w:r w:rsidRPr="005E779E">
        <w:rPr>
          <w:color w:val="000000" w:themeColor="text1"/>
          <w:sz w:val="16"/>
          <w:szCs w:val="16"/>
        </w:rPr>
        <w:t>БУТЫРСКОЙ ТЮРЬМЫ</w:t>
      </w:r>
    </w:p>
    <w:p w14:paraId="76AEE7BE" w14:textId="77777777" w:rsidR="00A25E62" w:rsidRPr="005E779E" w:rsidRDefault="00A25E62" w:rsidP="000B7A6C">
      <w:pPr>
        <w:pStyle w:val="ae"/>
        <w:spacing w:before="0" w:after="0"/>
        <w:jc w:val="both"/>
        <w:rPr>
          <w:color w:val="000000" w:themeColor="text1"/>
          <w:sz w:val="16"/>
          <w:szCs w:val="16"/>
        </w:rPr>
      </w:pPr>
      <w:r w:rsidRPr="005E779E">
        <w:rPr>
          <w:color w:val="000000" w:themeColor="text1"/>
          <w:sz w:val="16"/>
          <w:szCs w:val="16"/>
        </w:rPr>
        <w:t>от 3/Х-31 г.</w:t>
      </w:r>
    </w:p>
    <w:p w14:paraId="2EFD6A72" w14:textId="77777777" w:rsidR="00A25E62" w:rsidRPr="005E779E" w:rsidRDefault="00A25E62" w:rsidP="000B7A6C">
      <w:pPr>
        <w:pStyle w:val="ae"/>
        <w:spacing w:before="0" w:after="0"/>
        <w:jc w:val="both"/>
        <w:rPr>
          <w:color w:val="000000" w:themeColor="text1"/>
          <w:sz w:val="16"/>
          <w:szCs w:val="16"/>
        </w:rPr>
      </w:pPr>
      <w:r w:rsidRPr="005E779E">
        <w:rPr>
          <w:color w:val="000000" w:themeColor="text1"/>
          <w:sz w:val="16"/>
          <w:szCs w:val="16"/>
        </w:rPr>
        <w:t>Присутствовали:</w:t>
      </w:r>
    </w:p>
    <w:p w14:paraId="4AE96C28" w14:textId="77777777" w:rsidR="00A25E62" w:rsidRPr="005E779E" w:rsidRDefault="00A25E62" w:rsidP="000B7A6C">
      <w:pPr>
        <w:pStyle w:val="ae"/>
        <w:spacing w:before="0" w:after="0"/>
        <w:jc w:val="both"/>
        <w:rPr>
          <w:color w:val="000000" w:themeColor="text1"/>
          <w:sz w:val="16"/>
          <w:szCs w:val="16"/>
        </w:rPr>
      </w:pPr>
      <w:r w:rsidRPr="005E779E">
        <w:rPr>
          <w:color w:val="000000" w:themeColor="text1"/>
          <w:sz w:val="16"/>
          <w:szCs w:val="16"/>
        </w:rPr>
        <w:t>Нач. ОКТ № 11 — НАУМИН</w:t>
      </w:r>
    </w:p>
    <w:p w14:paraId="77E72514" w14:textId="77777777" w:rsidR="00A25E62" w:rsidRPr="005E779E" w:rsidRDefault="00A25E62" w:rsidP="000B7A6C">
      <w:pPr>
        <w:pStyle w:val="ae"/>
        <w:spacing w:before="0" w:after="0"/>
        <w:jc w:val="both"/>
        <w:rPr>
          <w:color w:val="000000" w:themeColor="text1"/>
          <w:sz w:val="16"/>
          <w:szCs w:val="16"/>
        </w:rPr>
      </w:pPr>
      <w:r w:rsidRPr="005E779E">
        <w:rPr>
          <w:color w:val="000000" w:themeColor="text1"/>
          <w:sz w:val="16"/>
          <w:szCs w:val="16"/>
        </w:rPr>
        <w:t>Инж. — ФЮНЕР</w:t>
      </w:r>
    </w:p>
    <w:p w14:paraId="79865557" w14:textId="77777777" w:rsidR="00A25E62" w:rsidRPr="005E779E" w:rsidRDefault="00A25E62" w:rsidP="000B7A6C">
      <w:pPr>
        <w:pStyle w:val="ae"/>
        <w:spacing w:before="0" w:after="0"/>
        <w:jc w:val="both"/>
        <w:rPr>
          <w:color w:val="000000" w:themeColor="text1"/>
          <w:sz w:val="16"/>
          <w:szCs w:val="16"/>
        </w:rPr>
      </w:pPr>
      <w:r w:rsidRPr="005E779E">
        <w:rPr>
          <w:color w:val="000000" w:themeColor="text1"/>
          <w:sz w:val="16"/>
          <w:szCs w:val="16"/>
        </w:rPr>
        <w:t>Профессор — РАМЗИН.</w:t>
      </w:r>
    </w:p>
    <w:p w14:paraId="3184EC28" w14:textId="77777777" w:rsidR="00A25E62" w:rsidRPr="005E779E" w:rsidRDefault="00A25E62" w:rsidP="000B7A6C">
      <w:pPr>
        <w:pStyle w:val="rtejustify"/>
        <w:spacing w:before="0" w:after="0"/>
        <w:rPr>
          <w:color w:val="000000" w:themeColor="text1"/>
          <w:sz w:val="16"/>
          <w:szCs w:val="16"/>
        </w:rPr>
      </w:pPr>
      <w:r w:rsidRPr="005E779E">
        <w:rPr>
          <w:color w:val="000000" w:themeColor="text1"/>
          <w:sz w:val="16"/>
          <w:szCs w:val="16"/>
        </w:rPr>
        <w:t>Тов. НАУМИН сообщает Л. К. РАМЗИНУ о положении дела с заказом на заготовку в «Электростали» и на прокатку труб в Днепропетровске и предлагает ФЮНЕРУ сообщить технические подробности и продемонстрировать материал для возможного изменения или санкции и визы Л. К. РАМЗИНА.</w:t>
      </w:r>
    </w:p>
    <w:p w14:paraId="5364969E" w14:textId="77777777" w:rsidR="00A25E62" w:rsidRPr="005E779E" w:rsidRDefault="00A25E62" w:rsidP="000B7A6C">
      <w:pPr>
        <w:pStyle w:val="rtejustify"/>
        <w:spacing w:before="0" w:after="0"/>
        <w:rPr>
          <w:color w:val="000000" w:themeColor="text1"/>
          <w:sz w:val="16"/>
          <w:szCs w:val="16"/>
        </w:rPr>
      </w:pPr>
      <w:r w:rsidRPr="005E779E">
        <w:rPr>
          <w:color w:val="000000" w:themeColor="text1"/>
          <w:sz w:val="16"/>
          <w:szCs w:val="16"/>
        </w:rPr>
        <w:t>РАМЗИН проверяет текст поданной ФЮНЕРОМ справки 3/Х-31 г. в Стальсбыт для разбивки и основных условий заказа труб в Днепропетровске и рапорт его Нач[альнику] ОКБ № 11, — РАМЗИН соглашается с текстом, его визирует и санкционирует мероприятие.</w:t>
      </w:r>
    </w:p>
    <w:p w14:paraId="54F30E4E" w14:textId="77777777" w:rsidR="00A25E62" w:rsidRPr="005E779E" w:rsidRDefault="00A25E62" w:rsidP="000B7A6C">
      <w:pPr>
        <w:pStyle w:val="rtejustify"/>
        <w:spacing w:before="0" w:after="0"/>
        <w:rPr>
          <w:color w:val="000000" w:themeColor="text1"/>
          <w:sz w:val="16"/>
          <w:szCs w:val="16"/>
        </w:rPr>
      </w:pPr>
      <w:r w:rsidRPr="005E779E">
        <w:rPr>
          <w:color w:val="000000" w:themeColor="text1"/>
          <w:sz w:val="16"/>
          <w:szCs w:val="16"/>
        </w:rPr>
        <w:t>РАМЗИН читает письмо Стальсбыта от 3/Х-31 г. № 35-323 о консультации вопроса о размере заготовки в Стальсбыте и санкционирует и визирует его равно, как и черновик письма Электростали о прокатке и обдирке ею нужных Днепропетровскому заводу размеров заготовки.</w:t>
      </w:r>
    </w:p>
    <w:p w14:paraId="0B789730" w14:textId="77777777" w:rsidR="00A25E62" w:rsidRPr="005E779E" w:rsidRDefault="00A25E62" w:rsidP="000B7A6C">
      <w:pPr>
        <w:pStyle w:val="rtejustify"/>
        <w:spacing w:before="0" w:after="0"/>
        <w:rPr>
          <w:color w:val="000000" w:themeColor="text1"/>
          <w:sz w:val="16"/>
          <w:szCs w:val="16"/>
        </w:rPr>
      </w:pPr>
      <w:r w:rsidRPr="005E779E">
        <w:rPr>
          <w:color w:val="000000" w:themeColor="text1"/>
          <w:sz w:val="16"/>
          <w:szCs w:val="16"/>
        </w:rPr>
        <w:t>РАМЗИН соглашается, по дальнейшему краткому докладу ФЮНЕРА, с постановкой загиба и сварки труб в змеевики на заводе Компрессор и с передачей ему заказа на эту работу, но параллельно высказывает мнение о желательности запросить Таганрогский и Ленинградский котельные заводы о возможности командировки ими на завод Компрессор мастеров специалистов по загибке для инструктажа, в случае, если у них самих есть опыт по такого качества работе.</w:t>
      </w:r>
    </w:p>
    <w:p w14:paraId="2C4CBF8A" w14:textId="77777777" w:rsidR="00A25E62" w:rsidRPr="005E779E" w:rsidRDefault="00A25E62" w:rsidP="000B7A6C">
      <w:pPr>
        <w:pStyle w:val="rtejustify"/>
        <w:spacing w:before="0" w:after="0"/>
        <w:rPr>
          <w:color w:val="000000" w:themeColor="text1"/>
          <w:sz w:val="16"/>
          <w:szCs w:val="16"/>
        </w:rPr>
      </w:pPr>
      <w:r w:rsidRPr="005E779E">
        <w:rPr>
          <w:color w:val="000000" w:themeColor="text1"/>
          <w:sz w:val="16"/>
          <w:szCs w:val="16"/>
        </w:rPr>
        <w:t>НАЧАЛЬНИК ОКБ № 11 Наумин</w:t>
      </w:r>
    </w:p>
    <w:p w14:paraId="175CE654" w14:textId="77777777" w:rsidR="00A25E62" w:rsidRPr="005E779E" w:rsidRDefault="00A25E62" w:rsidP="000B7A6C">
      <w:pPr>
        <w:pStyle w:val="rtejustify"/>
        <w:spacing w:before="0" w:after="0"/>
        <w:rPr>
          <w:color w:val="000000" w:themeColor="text1"/>
          <w:sz w:val="16"/>
          <w:szCs w:val="16"/>
        </w:rPr>
      </w:pPr>
      <w:r w:rsidRPr="005E779E">
        <w:rPr>
          <w:color w:val="000000" w:themeColor="text1"/>
          <w:sz w:val="16"/>
          <w:szCs w:val="16"/>
        </w:rPr>
        <w:t>ИНЖЕНЕР ОКБ № 11 М. Фюнер</w:t>
      </w:r>
    </w:p>
    <w:p w14:paraId="61FCEC25" w14:textId="77777777" w:rsidR="00A25E62" w:rsidRPr="005E779E" w:rsidRDefault="00A25E62" w:rsidP="000B7A6C">
      <w:pPr>
        <w:pStyle w:val="ae"/>
        <w:spacing w:before="0" w:after="0"/>
        <w:jc w:val="both"/>
        <w:rPr>
          <w:color w:val="000000" w:themeColor="text1"/>
          <w:sz w:val="16"/>
          <w:szCs w:val="16"/>
        </w:rPr>
      </w:pPr>
      <w:r w:rsidRPr="005E779E">
        <w:rPr>
          <w:rStyle w:val="af0"/>
          <w:i w:val="0"/>
          <w:color w:val="000000" w:themeColor="text1"/>
          <w:sz w:val="16"/>
          <w:szCs w:val="16"/>
        </w:rPr>
        <w:t>РГАЭ. Ф. 38. Oп. 1. Д. 1. Л. 45. Машинописный подлинник, подписи — автографы.</w:t>
      </w:r>
    </w:p>
    <w:p w14:paraId="3EFC3A28" w14:textId="77777777" w:rsidR="00A25E62" w:rsidRPr="005E779E" w:rsidRDefault="00A25E62" w:rsidP="000B7A6C">
      <w:pPr>
        <w:spacing w:after="0" w:line="240" w:lineRule="auto"/>
        <w:jc w:val="both"/>
        <w:rPr>
          <w:rFonts w:ascii="Times New Roman" w:hAnsi="Times New Roman"/>
          <w:color w:val="000000" w:themeColor="text1"/>
          <w:sz w:val="16"/>
          <w:szCs w:val="16"/>
        </w:rPr>
      </w:pPr>
    </w:p>
    <w:p w14:paraId="6D4FEDE4"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2E662A1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06A25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3 по 5 октября 1931 Clyde Pangborn и Hugh Herndon совершили беспосадочный перелет через Тихий океан на моноплане Bellanca CH-200. Длительность 41:31 и расстояние 5000 миль между Samushiro (300 миль к северу от Токио) и Wenatchee, Вашингтон (2100).</w:t>
      </w:r>
    </w:p>
    <w:p w14:paraId="2329A0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F0CD37E" w14:textId="77777777" w:rsidR="007D352F" w:rsidRPr="005E779E" w:rsidRDefault="007D352F" w:rsidP="000B7A6C">
      <w:pPr>
        <w:spacing w:after="0" w:line="240" w:lineRule="auto"/>
        <w:jc w:val="both"/>
        <w:rPr>
          <w:rFonts w:ascii="Times New Roman" w:hAnsi="Times New Roman"/>
          <w:color w:val="000000" w:themeColor="text1"/>
          <w:sz w:val="16"/>
          <w:szCs w:val="16"/>
        </w:rPr>
      </w:pPr>
      <w:r w:rsidRPr="005E779E">
        <w:rPr>
          <w:rStyle w:val="ucoz-forum-post"/>
          <w:rFonts w:ascii="Times New Roman" w:eastAsia="Times New Roman" w:hAnsi="Times New Roman"/>
          <w:bCs/>
          <w:color w:val="000000" w:themeColor="text1"/>
          <w:sz w:val="16"/>
          <w:szCs w:val="16"/>
        </w:rPr>
        <w:t xml:space="preserve">3 октября </w:t>
      </w:r>
      <w:r w:rsidRPr="005E779E">
        <w:rPr>
          <w:rFonts w:ascii="Times New Roman" w:hAnsi="Times New Roman"/>
          <w:color w:val="000000" w:themeColor="text1"/>
          <w:sz w:val="16"/>
          <w:szCs w:val="16"/>
        </w:rPr>
        <w:t>в 1931 году состоялся первый беспосадочный перелет через Тихий океан. Его осуществил майор Клайд Пенгбон и Хью Херндон на самолете "Мисс Видол". Вылетев из Сабиширо (Япония) и пролетев расстояние 7335 км 5 октября они приземлились в Веначчи (Вашингтон, США) (14788).</w:t>
      </w:r>
    </w:p>
    <w:p w14:paraId="7A1A4BC2" w14:textId="77777777" w:rsidR="007D352F" w:rsidRPr="005E779E" w:rsidRDefault="007D352F" w:rsidP="000B7A6C">
      <w:pPr>
        <w:spacing w:after="0" w:line="240" w:lineRule="auto"/>
        <w:jc w:val="both"/>
        <w:rPr>
          <w:rFonts w:ascii="Times New Roman" w:hAnsi="Times New Roman"/>
          <w:color w:val="000000" w:themeColor="text1"/>
          <w:sz w:val="16"/>
          <w:szCs w:val="16"/>
        </w:rPr>
      </w:pPr>
    </w:p>
    <w:p w14:paraId="70B0054E" w14:textId="77777777" w:rsidR="003431F0" w:rsidRPr="005E779E" w:rsidRDefault="003431F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 октября 1931 Клайд Пэнгборн и Хью Херндон совершают первый беспосадочный перелет через Тихий океан от пляжа Самуширо, Япония, до Уэнатчи, Вашингтон, за 41 час на самолете Miss Veedol, специальном самолете Bellanca J-300 для дальних полетов (20804).</w:t>
      </w:r>
    </w:p>
    <w:p w14:paraId="2BC87B8C" w14:textId="77777777" w:rsidR="003431F0" w:rsidRPr="005E779E" w:rsidRDefault="003431F0" w:rsidP="000B7A6C">
      <w:pPr>
        <w:spacing w:after="0" w:line="240" w:lineRule="auto"/>
        <w:jc w:val="both"/>
        <w:rPr>
          <w:rFonts w:ascii="Times New Roman" w:hAnsi="Times New Roman"/>
          <w:color w:val="000000" w:themeColor="text1"/>
          <w:sz w:val="16"/>
          <w:szCs w:val="16"/>
        </w:rPr>
      </w:pPr>
    </w:p>
    <w:p w14:paraId="28100BA8" w14:textId="77777777" w:rsidR="003431F0" w:rsidRPr="005E779E" w:rsidRDefault="003431F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октября 1931 года — стартовал первый беспосадочный перелёт через Тихий океан. /США, Япония/</w:t>
      </w:r>
    </w:p>
    <w:p w14:paraId="0A9C031A" w14:textId="77777777" w:rsidR="003431F0" w:rsidRPr="005E779E" w:rsidRDefault="003431F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году японская газета Asahi Shimbun назначила приз в 25 000 долларов за пересечение Тихого океана на самолёте без промежуточных посадок. Попытать счастья решили авиаторы из США — Клайд Пэнгборн и Хью Херндон-младший. За их плечами была неудачная попытка совершить кругосветный перелёт летом того же года.</w:t>
      </w:r>
    </w:p>
    <w:p w14:paraId="1E2FB279" w14:textId="77777777" w:rsidR="003431F0" w:rsidRPr="005E779E" w:rsidRDefault="003431F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Рекордный перелёт Пэнгборн и Херндон выполнили на моноплане Bellanca CH-400 Skyrocket с именем собственным Miss Veedol. Самолёт максимально облегчили. Для увеличения скорости шасси сбрасывали сразу после взлёта. На борт Miss Veedol погрузили 3464 литров топлива и 170 литров моторного масла.</w:t>
      </w:r>
    </w:p>
    <w:p w14:paraId="26DE7E03" w14:textId="77777777" w:rsidR="003431F0" w:rsidRPr="005E779E" w:rsidRDefault="003431F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Взлетев с пляжа Сабаширо, на северном побережье острова Хонсю, авиаторы за 41 час 13 минут пересекли Тихий океан. Полёт окончился приземлением «на брюхо» возле городка Ист-Уэнатчи, штат Вашингтон. Клайд Пэнгборн и Хью Херндон получили свой приз, а также награды от правительств Японии и США (22300).</w:t>
      </w:r>
    </w:p>
    <w:p w14:paraId="4094F974" w14:textId="77777777" w:rsidR="003431F0" w:rsidRPr="005E779E" w:rsidRDefault="003431F0" w:rsidP="000B7A6C">
      <w:pPr>
        <w:spacing w:after="0" w:line="240" w:lineRule="auto"/>
        <w:jc w:val="both"/>
        <w:rPr>
          <w:rFonts w:ascii="Times New Roman" w:hAnsi="Times New Roman"/>
          <w:color w:val="000000" w:themeColor="text1"/>
          <w:sz w:val="16"/>
          <w:szCs w:val="16"/>
        </w:rPr>
      </w:pPr>
    </w:p>
    <w:p w14:paraId="041C73FF" w14:textId="77777777" w:rsidR="003431F0" w:rsidRPr="005E779E" w:rsidRDefault="003431F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 октября 1931 состоялся первый полет Latécoère 290 г. (20804). </w:t>
      </w:r>
    </w:p>
    <w:p w14:paraId="529AA93F" w14:textId="77777777" w:rsidR="003431F0" w:rsidRPr="005E779E" w:rsidRDefault="003431F0" w:rsidP="000B7A6C">
      <w:pPr>
        <w:spacing w:after="0" w:line="240" w:lineRule="auto"/>
        <w:jc w:val="both"/>
        <w:rPr>
          <w:rFonts w:ascii="Times New Roman" w:hAnsi="Times New Roman"/>
          <w:color w:val="000000" w:themeColor="text1"/>
          <w:sz w:val="16"/>
          <w:szCs w:val="16"/>
        </w:rPr>
      </w:pPr>
    </w:p>
    <w:p w14:paraId="125BA4CA" w14:textId="77777777" w:rsidR="003431F0" w:rsidRPr="005E779E" w:rsidRDefault="003431F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октября 1931 года — первый полёт бомбардировщика-торпедоносца Latécoère 290. /Франция/</w:t>
      </w:r>
    </w:p>
    <w:p w14:paraId="60CD971F" w14:textId="77777777" w:rsidR="003431F0" w:rsidRPr="005E779E" w:rsidRDefault="003431F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1927 году Latécoère разработала успешный почтовый самолёт Latécoère 28. Спустя 2 года конструкторы компании решили взять его за основу для проекта торпедоносца. Новый самолёт получил обозначение Latécoère 290.</w:t>
      </w:r>
    </w:p>
    <w:p w14:paraId="4A2B73E0" w14:textId="77777777" w:rsidR="003431F0" w:rsidRPr="005E779E" w:rsidRDefault="003431F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Аналогичный по конструкции своему предшественнику, Latécoère 290 был высокопланом с неубираемым шасси (на заводе ставили колёсное шасси, которое позже меняли на поплавковое). Оснащался двигателем Hispano-Suiza 12Nbr (650 л.с.) Максимальная скорость — 210 км/ч, дальность полёта — 700 км. Вооружение состояло из 3 × 7,7-мм пулемётов + 1 торпеда или 2 × 150-кг бомбы.</w:t>
      </w:r>
    </w:p>
    <w:p w14:paraId="00093CA2" w14:textId="77777777" w:rsidR="003431F0" w:rsidRPr="005E779E" w:rsidRDefault="003431F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После успешных испытаний, Latécoère 290 начали поступать в эскадрильи Морской авиации Франции. Было выпущено 35 самолётов основной модификации + 3 экспериментальных, отличавшихся в основном двигателями. Latécoère 290 эксплуатировались до 1939 года (22300).</w:t>
      </w:r>
    </w:p>
    <w:p w14:paraId="7D67C7AC" w14:textId="77777777" w:rsidR="003431F0" w:rsidRPr="005E779E" w:rsidRDefault="003431F0" w:rsidP="000B7A6C">
      <w:pPr>
        <w:spacing w:after="0" w:line="240" w:lineRule="auto"/>
        <w:jc w:val="both"/>
        <w:rPr>
          <w:rFonts w:ascii="Times New Roman" w:hAnsi="Times New Roman"/>
          <w:color w:val="000000" w:themeColor="text1"/>
          <w:sz w:val="16"/>
          <w:szCs w:val="16"/>
        </w:rPr>
      </w:pPr>
    </w:p>
    <w:p w14:paraId="20CE0097" w14:textId="77777777" w:rsidR="003431F0" w:rsidRPr="005E779E" w:rsidRDefault="003431F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октября 1931 Бразилия восстанавливает контроль ВМС Бразилии над военно-морской авиацией, создавая корпус морской авиации, который берет на себя управление военно-морской авиацией от генерального штаба (20804).</w:t>
      </w:r>
    </w:p>
    <w:p w14:paraId="19F969EA" w14:textId="77777777" w:rsidR="003431F0" w:rsidRPr="005E779E" w:rsidRDefault="003431F0" w:rsidP="000B7A6C">
      <w:pPr>
        <w:spacing w:after="0" w:line="240" w:lineRule="auto"/>
        <w:jc w:val="both"/>
        <w:rPr>
          <w:rFonts w:ascii="Times New Roman" w:hAnsi="Times New Roman"/>
          <w:color w:val="000000" w:themeColor="text1"/>
          <w:sz w:val="16"/>
          <w:szCs w:val="16"/>
        </w:rPr>
      </w:pPr>
    </w:p>
    <w:p w14:paraId="5DD93A26"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7198BA90"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B3A22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октября 1931 года 152-мм пушка завода "Красный Путиловец" (опытный образец без номера) была доставлена на НИАП</w:t>
      </w:r>
    </w:p>
    <w:p w14:paraId="5051CE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4 октября 1931 года по 7 марта 1932 года 152-мм пушка завода "Красный Путиловец" была испытана 119 выстрелами. Система имела дульный тормоз и штатный передок. Тело пушки было наложено на лафет от 203-мм гаубицы "Красный Путиловец" из первой валовой партии. После повреждения канала ствола пушка была отправлена на завод "Красный Путиловец" (3861).</w:t>
      </w:r>
    </w:p>
    <w:p w14:paraId="6D6126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2FF21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октября 1931 по распоряжению правительства была создана специальная комиссия для тщательного изучения танка Гротте. В нее вошли представители УТМ и ВОАО. Комиссия решила: “Считать, что танк ТГ в данном виде является чисто экспериментальным типом танка, на котором д.б.б. опробованы в работе все механизмы, представляющие практический интерес” (4402).</w:t>
      </w:r>
    </w:p>
    <w:p w14:paraId="50C1F4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BD618D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октября 1931 г. по распоряжению правительства была соз</w:t>
      </w:r>
      <w:r w:rsidRPr="005E779E">
        <w:rPr>
          <w:rFonts w:ascii="Times New Roman" w:hAnsi="Times New Roman"/>
          <w:color w:val="000000" w:themeColor="text1"/>
          <w:sz w:val="16"/>
          <w:szCs w:val="16"/>
        </w:rPr>
        <w:softHyphen/>
        <w:t>дана специальная комиссия по тщательному изучению танка Э. Гроте. В нее вошли представители УТМ и ВОАО. Ознакомившись с машиной и заслушав доклад конструк</w:t>
      </w:r>
      <w:r w:rsidRPr="005E779E">
        <w:rPr>
          <w:rFonts w:ascii="Times New Roman" w:hAnsi="Times New Roman"/>
          <w:color w:val="000000" w:themeColor="text1"/>
          <w:sz w:val="16"/>
          <w:szCs w:val="16"/>
        </w:rPr>
        <w:softHyphen/>
        <w:t>тора, комиссия решила: «Считать, что танк ТГ в данном виде является чисто экспериментальным типом танка, на котором должны быть опробованы в работе все механизмы, представляющие практический интерес.» Из-за чрезвычайно высокой стоимости, составлявшей 1 500 тыс. руб. (для сравнения: БТ-2 обходился казне все</w:t>
      </w:r>
      <w:r w:rsidRPr="005E779E">
        <w:rPr>
          <w:rFonts w:ascii="Times New Roman" w:hAnsi="Times New Roman"/>
          <w:color w:val="000000" w:themeColor="text1"/>
          <w:sz w:val="16"/>
          <w:szCs w:val="16"/>
        </w:rPr>
        <w:softHyphen/>
        <w:t>го в 60 тыс. руб.), ТГ даже при устранении всех отмечен</w:t>
      </w:r>
      <w:r w:rsidRPr="005E779E">
        <w:rPr>
          <w:rFonts w:ascii="Times New Roman" w:hAnsi="Times New Roman"/>
          <w:color w:val="000000" w:themeColor="text1"/>
          <w:sz w:val="16"/>
          <w:szCs w:val="16"/>
        </w:rPr>
        <w:softHyphen/>
        <w:t>ных недостатков никак не мог быть принят для серийного производства и оснащения РККА. Комиссия отметила множество талантливых технических идей инженера Гроте, ранее никогда не использовавшихся в танкостроении, но полностью себя оправдавших. Учитывая то, что конструктор Э. Гроте не был прежде свя</w:t>
      </w:r>
      <w:r w:rsidRPr="005E779E">
        <w:rPr>
          <w:rFonts w:ascii="Times New Roman" w:hAnsi="Times New Roman"/>
          <w:color w:val="000000" w:themeColor="text1"/>
          <w:sz w:val="16"/>
          <w:szCs w:val="16"/>
        </w:rPr>
        <w:softHyphen/>
        <w:t>зан с танкостроением, а советские инженеры во время ра</w:t>
      </w:r>
      <w:r w:rsidRPr="005E779E">
        <w:rPr>
          <w:rFonts w:ascii="Times New Roman" w:hAnsi="Times New Roman"/>
          <w:color w:val="000000" w:themeColor="text1"/>
          <w:sz w:val="16"/>
          <w:szCs w:val="16"/>
        </w:rPr>
        <w:softHyphen/>
        <w:t>боты с ним получили большой опыт по постройке столь сложной машины и изучили лучшие для того времени за</w:t>
      </w:r>
      <w:r w:rsidRPr="005E779E">
        <w:rPr>
          <w:rFonts w:ascii="Times New Roman" w:hAnsi="Times New Roman"/>
          <w:color w:val="000000" w:themeColor="text1"/>
          <w:sz w:val="16"/>
          <w:szCs w:val="16"/>
        </w:rPr>
        <w:softHyphen/>
        <w:t>граничные танки, от дальнейших услуг Гроте было решено отказаться. Дальнейшие работы над танком ТГ поручили новому КБ под руководством Барыкова. Изготовленный же образец ТГ по окончании испыта</w:t>
      </w:r>
      <w:r w:rsidRPr="005E779E">
        <w:rPr>
          <w:rFonts w:ascii="Times New Roman" w:hAnsi="Times New Roman"/>
          <w:color w:val="000000" w:themeColor="text1"/>
          <w:sz w:val="16"/>
          <w:szCs w:val="16"/>
        </w:rPr>
        <w:softHyphen/>
        <w:t>ний был отремонтирован на заводе «Большевик», по</w:t>
      </w:r>
      <w:r w:rsidRPr="005E779E">
        <w:rPr>
          <w:rFonts w:ascii="Times New Roman" w:hAnsi="Times New Roman"/>
          <w:color w:val="000000" w:themeColor="text1"/>
          <w:sz w:val="16"/>
          <w:szCs w:val="16"/>
        </w:rPr>
        <w:softHyphen/>
        <w:t>скольку планировалось задействовать его в военных пара</w:t>
      </w:r>
      <w:r w:rsidRPr="005E779E">
        <w:rPr>
          <w:rFonts w:ascii="Times New Roman" w:hAnsi="Times New Roman"/>
          <w:color w:val="000000" w:themeColor="text1"/>
          <w:sz w:val="16"/>
          <w:szCs w:val="16"/>
        </w:rPr>
        <w:softHyphen/>
        <w:t>дах. Однако наркомвоенмор К. Ворошилов не одобрил подобное использование столь секретной машины, и потому в начале 1934 г. танк ТГ был перевезен в подмосковную Кубинку, где занял место среди образцов, хранящихся на НЗ (10733,254).</w:t>
      </w:r>
    </w:p>
    <w:p w14:paraId="1F842D2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C4EF5C" w14:textId="77777777" w:rsidR="007D352F" w:rsidRPr="005E779E" w:rsidRDefault="007D352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4 октября 1931 года по распоряжению советского правительства была создана специальная комиссия для тщательного изучения </w:t>
      </w:r>
      <w:hyperlink r:id="rId180"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а Гроте. Ознакомившись с машиной и заслушав доклад конструктора, комиссия решила: « Считать, что </w:t>
      </w:r>
      <w:hyperlink r:id="rId181"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 ТГ в данном виде является чисто экспериментальным типом </w:t>
      </w:r>
      <w:hyperlink r:id="rId182"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а, на котором должны быть опробованы в работе все механизмы, представляющие практический интерес». Из-за чрезвычайно высокой стоимости, составлявшей 1,5 млн. рублей (для сравнения: БТ-2 обходился всего в 60 тыс. рублей), ТГ даже при устранении всех отмеченных недостатков не мог быть принят для серийного производства. К этому времени от дальнейших услуг Гроте и других немецких инженеров отказались, и они вернулись в Германию. КБ ЛВС)-5 было реорганизовано, в его состав вошли конструкторы М.П.Зигель, БААндрыхевич, А.Б.Гаккель, Я.Н.Обухов и другие. Возглавил конструкторское бюро молодой энергичный инженер Н.В.Барыков, ранее работавший заместителем Гроте (15608).</w:t>
      </w:r>
    </w:p>
    <w:p w14:paraId="1A1F6D1F" w14:textId="77777777" w:rsidR="007D352F" w:rsidRPr="005E779E" w:rsidRDefault="007D352F" w:rsidP="000B7A6C">
      <w:pPr>
        <w:spacing w:after="0" w:line="240" w:lineRule="auto"/>
        <w:jc w:val="both"/>
        <w:rPr>
          <w:rFonts w:ascii="Times New Roman" w:hAnsi="Times New Roman"/>
          <w:color w:val="000000" w:themeColor="text1"/>
          <w:sz w:val="16"/>
          <w:szCs w:val="16"/>
        </w:rPr>
      </w:pPr>
    </w:p>
    <w:p w14:paraId="42AA09CA" w14:textId="77777777" w:rsidR="007D352F" w:rsidRPr="005E779E" w:rsidRDefault="007D352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октября 1931 г. по распоряжению правительства была создана комиссия для тщательного изучения ТГ. Комиссия решила: «Считать, что танк ТГ в данном виде является чисто экспериментальным типом танка, на котором должны быть опробованы в работе все механизмы, представляющие практический интерес». Комиссия отметила множество талантливых технических идей инженера Гроте, ранее никогда не использовавшихся в танкостроении. Учитывая, что советские инженеры во время работы с Гроте получили большой опыт по постройке столь сложной машины и изучили лучшие для того времени заграничные танки, от дальнейших услуг Э. Гроте было решено отказаться. Последующую работу над танком ТГ поручили КБ под руководством Н. В. Барыкова. В конце 1931 г. это КБ получило задание на проектирование, с учётом опыта постройки ТГ, нового многобашенного танка прорыва массой в 35 т. В 1932 г. такая машина была построена — танк Т-35 (15132).</w:t>
      </w:r>
    </w:p>
    <w:p w14:paraId="104667D2" w14:textId="77777777" w:rsidR="007D352F" w:rsidRPr="005E779E" w:rsidRDefault="007D352F" w:rsidP="000B7A6C">
      <w:pPr>
        <w:spacing w:after="0" w:line="240" w:lineRule="auto"/>
        <w:jc w:val="both"/>
        <w:rPr>
          <w:rFonts w:ascii="Times New Roman" w:hAnsi="Times New Roman"/>
          <w:color w:val="000000" w:themeColor="text1"/>
          <w:sz w:val="16"/>
          <w:szCs w:val="16"/>
        </w:rPr>
      </w:pPr>
    </w:p>
    <w:p w14:paraId="017A8CD4" w14:textId="77777777" w:rsidR="002565A3" w:rsidRPr="00142305" w:rsidRDefault="002565A3" w:rsidP="002565A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4 октября 1931 года по распоряжению прави</w:t>
      </w:r>
      <w:r w:rsidRPr="00142305">
        <w:rPr>
          <w:rFonts w:ascii="Times New Roman" w:hAnsi="Times New Roman"/>
          <w:color w:val="0070C0"/>
          <w:sz w:val="16"/>
          <w:szCs w:val="16"/>
        </w:rPr>
        <w:softHyphen/>
        <w:t>тельства создается специальная комиссия по тщательному изучению танка Э. Гроте. В нее вош</w:t>
      </w:r>
      <w:r w:rsidRPr="00142305">
        <w:rPr>
          <w:rFonts w:ascii="Times New Roman" w:hAnsi="Times New Roman"/>
          <w:color w:val="0070C0"/>
          <w:sz w:val="16"/>
          <w:szCs w:val="16"/>
        </w:rPr>
        <w:softHyphen/>
        <w:t>ли представители УММ РККА, АВО-5 и представители промышленности. Оз</w:t>
      </w:r>
      <w:r w:rsidRPr="00142305">
        <w:rPr>
          <w:rFonts w:ascii="Times New Roman" w:hAnsi="Times New Roman"/>
          <w:color w:val="0070C0"/>
          <w:sz w:val="16"/>
          <w:szCs w:val="16"/>
        </w:rPr>
        <w:softHyphen/>
        <w:t>накомившись с машиной и заслушав до</w:t>
      </w:r>
      <w:r w:rsidRPr="00142305">
        <w:rPr>
          <w:rFonts w:ascii="Times New Roman" w:hAnsi="Times New Roman"/>
          <w:color w:val="0070C0"/>
          <w:sz w:val="16"/>
          <w:szCs w:val="16"/>
        </w:rPr>
        <w:softHyphen/>
        <w:t>клад конструктора, комиссия решила: «Считать, что танк ТГ в данном виде является чисто экспериментальным типом танка, на котором должны быть опробо</w:t>
      </w:r>
      <w:r w:rsidRPr="00142305">
        <w:rPr>
          <w:rFonts w:ascii="Times New Roman" w:hAnsi="Times New Roman"/>
          <w:color w:val="0070C0"/>
          <w:sz w:val="16"/>
          <w:szCs w:val="16"/>
        </w:rPr>
        <w:softHyphen/>
        <w:t>ваны в работе все механизмы, представ</w:t>
      </w:r>
      <w:r w:rsidRPr="00142305">
        <w:rPr>
          <w:rFonts w:ascii="Times New Roman" w:hAnsi="Times New Roman"/>
          <w:color w:val="0070C0"/>
          <w:sz w:val="16"/>
          <w:szCs w:val="16"/>
        </w:rPr>
        <w:softHyphen/>
        <w:t>ляющие практический интерес».</w:t>
      </w:r>
    </w:p>
    <w:p w14:paraId="5579486D" w14:textId="77777777" w:rsidR="002565A3" w:rsidRPr="00142305" w:rsidRDefault="002565A3" w:rsidP="002565A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Из-за чрезвычайно высокой стоимо</w:t>
      </w:r>
      <w:r w:rsidRPr="00142305">
        <w:rPr>
          <w:rFonts w:ascii="Times New Roman" w:hAnsi="Times New Roman"/>
          <w:color w:val="0070C0"/>
          <w:sz w:val="16"/>
          <w:szCs w:val="16"/>
        </w:rPr>
        <w:softHyphen/>
        <w:t>сти, составлявшей даже с учетом всех удешевлений свыше 1,5 млн. рублей (для сравнения: БТ-2 обходился «каз</w:t>
      </w:r>
      <w:r w:rsidRPr="00142305">
        <w:rPr>
          <w:rFonts w:ascii="Times New Roman" w:hAnsi="Times New Roman"/>
          <w:color w:val="0070C0"/>
          <w:sz w:val="16"/>
          <w:szCs w:val="16"/>
        </w:rPr>
        <w:softHyphen/>
        <w:t>не» всего в 60 тыс. рублей), ТГ даже при устранении всех отмеченных недо</w:t>
      </w:r>
      <w:r w:rsidRPr="00142305">
        <w:rPr>
          <w:rFonts w:ascii="Times New Roman" w:hAnsi="Times New Roman"/>
          <w:color w:val="0070C0"/>
          <w:sz w:val="16"/>
          <w:szCs w:val="16"/>
        </w:rPr>
        <w:softHyphen/>
        <w:t>статков не мог быть принят для серий</w:t>
      </w:r>
      <w:r w:rsidRPr="00142305">
        <w:rPr>
          <w:rFonts w:ascii="Times New Roman" w:hAnsi="Times New Roman"/>
          <w:color w:val="0070C0"/>
          <w:sz w:val="16"/>
          <w:szCs w:val="16"/>
        </w:rPr>
        <w:softHyphen/>
        <w:t>ного производства. Что касается само</w:t>
      </w:r>
      <w:r w:rsidRPr="00142305">
        <w:rPr>
          <w:rFonts w:ascii="Times New Roman" w:hAnsi="Times New Roman"/>
          <w:color w:val="0070C0"/>
          <w:sz w:val="16"/>
          <w:szCs w:val="16"/>
        </w:rPr>
        <w:softHyphen/>
        <w:t>го Гроте и его инженеров, то еще в ав</w:t>
      </w:r>
      <w:r w:rsidRPr="00142305">
        <w:rPr>
          <w:rFonts w:ascii="Times New Roman" w:hAnsi="Times New Roman"/>
          <w:color w:val="0070C0"/>
          <w:sz w:val="16"/>
          <w:szCs w:val="16"/>
        </w:rPr>
        <w:softHyphen/>
        <w:t>густе 1931 года советское правительство отказалось от их услуг, и они вернулись в Германию (25010).</w:t>
      </w:r>
    </w:p>
    <w:p w14:paraId="28DC6C45" w14:textId="77777777" w:rsidR="002565A3" w:rsidRPr="00142305" w:rsidRDefault="002565A3" w:rsidP="002565A3">
      <w:pPr>
        <w:spacing w:after="0" w:line="240" w:lineRule="auto"/>
        <w:jc w:val="both"/>
        <w:rPr>
          <w:rFonts w:ascii="Times New Roman" w:hAnsi="Times New Roman"/>
          <w:color w:val="0070C0"/>
          <w:sz w:val="16"/>
          <w:szCs w:val="16"/>
        </w:rPr>
      </w:pPr>
    </w:p>
    <w:p w14:paraId="2B325CDF" w14:textId="77777777" w:rsidR="002565A3" w:rsidRPr="00142305" w:rsidRDefault="002565A3" w:rsidP="002565A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4 октября 1931 г. по распоряжению правительства была создана специальная комиссия для изучения танка Гротте. После ознакомления с машиной и доклада конструктора комиссия вынесла следующее решение: «Считать, что танк ТГ в данном виде является чисто экспериментальным типом танка, на котором должны быть опробованы в работе все механизмы, представляющие практический интерес». Комиссия отметила также целый ряд интересных технических идей Гротте, никогда ранее не использовавшихся в танкостроении. Но из-за огромной стоимости танка ТГ, составившей 1,5 млн рублей (к примеру, стоимость танка БТ-6 составляла всего 60 тыс. рублей), даже при устранении всех отмеченных недостатков танк ТГ не мог быть принят для серийного производства.</w:t>
      </w:r>
    </w:p>
    <w:p w14:paraId="4621ADA1" w14:textId="77777777" w:rsidR="002565A3" w:rsidRPr="00142305" w:rsidRDefault="002565A3" w:rsidP="002565A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Опытный образец танка ТГ хотели продемонстрировать на военном параде, дабы напугать супостата. Однако нарком Ворошилов решил, что танк «слишком секретен», и в начале 1934 г. ТГ был переведен на полигон в Кубинку под Москвой (25184).</w:t>
      </w:r>
    </w:p>
    <w:p w14:paraId="150ED26E" w14:textId="77777777" w:rsidR="002565A3" w:rsidRPr="00142305" w:rsidRDefault="002565A3" w:rsidP="002565A3">
      <w:pPr>
        <w:spacing w:after="0" w:line="240" w:lineRule="auto"/>
        <w:jc w:val="both"/>
        <w:rPr>
          <w:rFonts w:ascii="Times New Roman" w:hAnsi="Times New Roman"/>
          <w:color w:val="0070C0"/>
          <w:sz w:val="16"/>
          <w:szCs w:val="16"/>
        </w:rPr>
      </w:pPr>
    </w:p>
    <w:p w14:paraId="7809AA2B" w14:textId="77777777" w:rsidR="003E4223"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25D22D62" w14:textId="77777777" w:rsidR="003E4223" w:rsidRPr="005E779E" w:rsidRDefault="003E4223"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B23C286" w14:textId="77777777" w:rsidR="003E4223" w:rsidRPr="005E779E" w:rsidRDefault="003E4223" w:rsidP="000B7A6C">
      <w:pPr>
        <w:pStyle w:val="ae"/>
        <w:spacing w:before="0" w:after="0"/>
        <w:jc w:val="both"/>
        <w:rPr>
          <w:color w:val="000000" w:themeColor="text1"/>
          <w:sz w:val="16"/>
          <w:szCs w:val="16"/>
        </w:rPr>
      </w:pPr>
      <w:r w:rsidRPr="005E779E">
        <w:rPr>
          <w:color w:val="000000" w:themeColor="text1"/>
          <w:sz w:val="16"/>
          <w:szCs w:val="16"/>
        </w:rPr>
        <w:t>4 октября 1931 А.К. Сивков и А.И. Берг приняли участие в учебной атаке торпедных катеров M.A.S., базировавшихся на Специю (15736).</w:t>
      </w:r>
    </w:p>
    <w:p w14:paraId="75EA51D0" w14:textId="77777777" w:rsidR="003E4223" w:rsidRPr="005E779E" w:rsidRDefault="003E4223" w:rsidP="000B7A6C">
      <w:pPr>
        <w:pStyle w:val="ae"/>
        <w:spacing w:before="0" w:after="0"/>
        <w:jc w:val="both"/>
        <w:rPr>
          <w:color w:val="000000" w:themeColor="text1"/>
          <w:sz w:val="16"/>
          <w:szCs w:val="16"/>
        </w:rPr>
      </w:pPr>
    </w:p>
    <w:p w14:paraId="39518F2D"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08EE7982"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FB820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октября 1931 г. СНК РСФСР утверждает "Положение о Главном управлении рабоче-крестьянской милиции при СНК РСФСР" (10303).</w:t>
      </w:r>
    </w:p>
    <w:p w14:paraId="15C8A7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DC983AF"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46CDB5CD"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CC4628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5 октября по 3 ноября 1931 в НИИ ВВС проходили испытания серийного самолета Р6-2М17.</w:t>
      </w:r>
    </w:p>
    <w:p w14:paraId="75047B7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Испытание головного серийного самолета Р6-2М17</w:t>
      </w:r>
    </w:p>
    <w:p w14:paraId="4801FE7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Испытание начато 5 октября 1931 года</w:t>
      </w:r>
    </w:p>
    <w:p w14:paraId="0F8CF55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Испытание закончено 3 ноября 1931 года</w:t>
      </w:r>
    </w:p>
    <w:p w14:paraId="2DAC4AE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 полетов – 21, число дней занятых полетами – 12</w:t>
      </w:r>
    </w:p>
    <w:p w14:paraId="45C2E41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Несмотря на обусловленный протоколом заседания в ВАО 6 сентября 1931 года срок предъявления самолета Р6, для испытания в НИИ к 7 сентября 1931 года самолет был предъявлен лишь 3 октября 1931 года.</w:t>
      </w:r>
    </w:p>
    <w:p w14:paraId="60B48A6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Постройка завода № 22, головной серийный (6931).</w:t>
      </w:r>
    </w:p>
    <w:p w14:paraId="092ED25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448E2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C 5 октября по 3 ноября 1931 г. состоялись испытания головного серийного самолета Р6-2М17.</w:t>
      </w:r>
    </w:p>
    <w:p w14:paraId="5B2DA7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Число дней занятых полетами - 12</w:t>
      </w:r>
    </w:p>
    <w:p w14:paraId="0175FA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Число полетов - 21</w:t>
      </w:r>
    </w:p>
    <w:p w14:paraId="262709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Несмотря на обусловленный протоколом заседания в ВАО 6.09.1931 г. срок предъявления самолета Р6 для испытаний в НИИ к 7.09.1931 г., самолет был предъявлен лишь 3.10.1931 г.</w:t>
      </w:r>
    </w:p>
    <w:p w14:paraId="429D58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Р6 постройки зав. N 22 головной серии.</w:t>
      </w:r>
    </w:p>
    <w:p w14:paraId="295401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w:t>
      </w:r>
    </w:p>
    <w:p w14:paraId="16D30A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Констатируя некоторое снижение летных данных головного серийного самолета Р6-2М17 по сравнению с опытным экземпляром, отметить что даже с этими данными самолет не уступает большинству состоящих в настоящее время на вооружении самолетов соответствующего класса (3273).</w:t>
      </w:r>
    </w:p>
    <w:p w14:paraId="393B00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79E3E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октября 1931 начались гос. испытания АНТ-7 (Р-6). Обнаружилась вибрация оперения. Исправили, запустили в серию на заводе 22. Сделали 45 до 1932, передали на 31 завод для выпуска на поплавках Ж. Всего произвели 400 Р-6 (92,352) до 3 ноября 1931 (2671,14).</w:t>
      </w:r>
    </w:p>
    <w:p w14:paraId="7CC2A2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Это был первый серийный Р-6 (АНТ-7) с М-17. Всего делали до 1936 еа 22, 31 и 126 407 (1852,47).</w:t>
      </w:r>
    </w:p>
    <w:p w14:paraId="51E4B8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другим данным это были испытания серийного 22 завода N 2201 с 2М-17. Уступал эталону и А.Н.Т. поручили модифицировать (346,35).</w:t>
      </w:r>
    </w:p>
    <w:p w14:paraId="4E7E36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Испытания проходили до 3 ноября 1931 (1017,200).</w:t>
      </w:r>
    </w:p>
    <w:p w14:paraId="5AFC2F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другим данным до 3 декабря 1931 (1017,204).</w:t>
      </w:r>
    </w:p>
    <w:p w14:paraId="17B050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20F23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5 октября по 3 ноября 1931 г. шли госиспытания первого серийного Р-6. От опытной машины он отличался моторами М-17 (советской копией BMW VI) и несколько измененными радиаторами. Серийный самолет был на 126 кг тяжелее опытного; основную лепту внесли моторы - 60 кг. Отечественные колеса вместо импортных добавили 28 кг. Оставшиеся 38 кг распределялись между различными частями планера. Головной Р-6 уступал опытному в максимальной скорости горизонтального полета 12-13 км/ч и около 1000 м в практическом потолке. Ухудшилась и скороподъемность. Показатели горизонтального маневра практически не изменились. На снижение летных данных оказало влияние даже не столько перетяжеление самолета, сколько ненадежная работа двигателей. Хотя М-17 номинально должен был выдавать ту же мощность, что и немецкий мотор, на практике он постоянно недодавал обороты. Кроме того, двигатели перегревались, вынуждая летчика убирать газ.</w:t>
      </w:r>
    </w:p>
    <w:p w14:paraId="79CE6C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списке дефектов отмечалось в основном то, что ЦАГИ внес при доработке в опытный образец, а на серийной машине отсутствовало, поскольку и доработки, и изготовление головной машины фактически осуществлялись параллельно. Моторамы стояли старые, не усиленные, и тряслись в полете. Козырек пилотской кабины не имел окантовки и боковых стекол. Отметили вибрации оперения. Кроме того, в отчете НИИ записали: "Необходимо констатировать весьма низкое качество производства самолета...".</w:t>
      </w:r>
    </w:p>
    <w:p w14:paraId="7F237A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Однако, несмотря на все недостатки, общий отзыв о машине оказался одобрительным.</w:t>
      </w:r>
    </w:p>
    <w:p w14:paraId="0F2EC4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Вывод НИИ гласил: "Несмотря на некоторое понижение летных данных, головной серийный самолет Р6-М17 не хуже, а по некоторым показателям даже лучше самолетов соответствующего класса, состоящих на вооружении на Западе, уступая лишь лучшим опытным образцам". Это действительно было так. Правда, "крейсеров" в мире почти никто не строил, поскольку не планировал или не мог себе позволить иметь флот тяжелых бомбовозов. Поэтому сравнение можно было провести лишь с рядом французских машин, которые фактически были не "крейсерами", а многоцелевыми самолетами. После того как головной Р-6 выдержал испытания, серийным самолетам был открыт путь в строевые части ВВС РККА. Эталоном для серии стал № 2201, на котором смонтировали и отладили оборудование и вооружение (12036).</w:t>
      </w:r>
    </w:p>
    <w:p w14:paraId="1046F1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CAB9711" w14:textId="77777777" w:rsidR="007E0EEA" w:rsidRPr="005E779E" w:rsidRDefault="007E0EE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5 октября до 3 ноября 1931 г. шли испытания головного Р-6. От опытного он отличался моторами М-17 (советской копией ВМ\Л/ VI) и несколько изменёнными радиаторами. Серийный самолёт стал на 126 кг тяжелее опытного. Основную прибавку внесли моторы - 60 кг. Отечественные колёса, установленные вместо импортных, добавили 28 кг. Оставшиеся 38 кг распределились между узлами планёра. Головной Р-6 на разных высотах уступал опытному образцу в максимальной скорости горизонтального полета 12-13 км/ч и около 1000 м в практическом потолке. Ухудшилась и скороподъёмность. Показатели горизонтального манёвра практически не изменились. На снижение лётных данных оказало влияние даже не столько перетяжеление самолёта, сколько ненадёжная работа двигателей. Хотя М-17 номинально должен был выдавать 500/730 л.с. - столько же, сколько исходный ВМ\Л/ VI, на практике он постоянно недодавал обороты. Кроме того, моторы перегревались.</w:t>
      </w:r>
    </w:p>
    <w:p w14:paraId="2DCF194E" w14:textId="77777777" w:rsidR="007E0EEA" w:rsidRPr="005E779E" w:rsidRDefault="007E0EE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 снова в НИИ ВВС отметили 46 дефектов. Частично они повторяли относящиеся к опытной машине. На № 2201 не было выполнено в полном объёме всё то, что ЦАГИ по результатам более ранних испытаний доработал на опытном образце Р-6. Стояли моторамы старого, неусиленного типа и тряслись в полёте. Козырёк пилотской кабины не имел окантовки, отсутствововали боковые стёкла - в кабину сильно задувало. В диапазоне скоростей 115-150 км/ч отмечалась тряска оперения, носовой и хвостовой частей фюзеляжа. В отчёте записано: «На спирали очень сильно вибрирует хвостовое оперение...».</w:t>
      </w:r>
    </w:p>
    <w:p w14:paraId="7D0A8CAA" w14:textId="77777777" w:rsidR="007E0EEA" w:rsidRPr="005E779E" w:rsidRDefault="007E0EE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Вообще «накопали» немало: «устойчивость поперечная неудовлетворительная»; «обзор вперёд закрыт носом самолёта, обзору вперёд в стороны мешают моторы»; при пикировании возникала большая нагрузка на штурвал и так далее. Наводка самолёта на цель при бомбометании с горизонтального полёта оказалась затруднительной - ни пилот, ни штурман-бомбардир не имели окон в полу кабины. У экипажа не было никаких средств связи между собой. Педали ножного управления у лётчика признали неудобными.</w:t>
      </w:r>
    </w:p>
    <w:p w14:paraId="18C352F7" w14:textId="77777777" w:rsidR="007E0EEA" w:rsidRPr="005E779E" w:rsidRDefault="007E0EE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Много замечаний касались эксплуатации. В отверстие, из которого выходил костыль, забивалась грязь - предложили сделать полотняный чехол. Верхний откидной капот мотора не фиксировался в поднятом положении, угрожая в самый неподходящий момент упасть на голову механику. Над маслобаками и кранами не имелось люков. Чтобы добраться до магнето двигателя, надо было снять переднюю кромку крыла, которую НИИ требовал приклепать намертво. Туго работали жалюзи радиаторов, сами они постоянно текли.Всё это предполагалось исправить на последующих сериях, начиная с первых месяцев 1932 г. Вместе с ЦАГИ вину за многочисленные недоработки в полной мере разделял завод № 22, по этому поводу из НИИ ВВС сообщали: «Необходимо констатировать весьма низкое качество производства самолёта...»</w:t>
      </w:r>
    </w:p>
    <w:p w14:paraId="1852954A" w14:textId="77777777" w:rsidR="007E0EEA" w:rsidRPr="005E779E" w:rsidRDefault="007E0EE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Однако, даже учитывая всё выше сказанное, общий отзыв о машине звучал одобрительно: «Несмотря на некоторое понижение лётных данных, головной серийный самолёт Р6-2М17 не хуже, а по некоторым показателям даже лучше самолётов соответствующего класса, состоящих на вооружении на Западе, уступая лишь лучшим опытным образцам». И это соответствовало действительности. Правда, воздушных «крейсеров» в мире практически никто не строил, и сравнение можно было провести только с рядом французских машин. Головной Р-6 испытания выдержал, путь в строевые части ВВС РККА серийным самолётам был открыт.</w:t>
      </w:r>
    </w:p>
    <w:p w14:paraId="3335FD44" w14:textId="77777777" w:rsidR="007E0EEA" w:rsidRPr="005E779E" w:rsidRDefault="007E0EE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будущее НИИ ВВС рекомендовал использовать создававшиеся тогда моторы М-34 (несколько ранее предлагали и М-32, так и не вышедший из стадии опытного образца), ввести тормозные колёса, усовершенствовать шасси. Для варианта дальнего разведчика потребовали спроектировать дополнительные баки на 600 - 700 кг бензина - поскольку дальность 1680 км, определённая на испытаниях, в этом случае не отвечала поставленным задачам. Предложили создать и чисто бомбардировочный вариант Р-6, который по своим данным мог занять место между ТБ-1 и Р-5.</w:t>
      </w:r>
    </w:p>
    <w:p w14:paraId="3941FB30" w14:textId="77777777" w:rsidR="007E0EEA" w:rsidRPr="005E779E" w:rsidRDefault="007E0EE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Чуть позже на самолёте № 2201 смонтировали полный комплект вооружения и почти всё оборудование и с помощью ЦАГИ довели это «до ума». Машина стала эталоном для серии. Она проходила повторные испытания в НИИ ВВС с 22 января по 7 апреля 1932 г. и успешно их выдержала. Экипаж состоял из лётчика Миндера и летнаба Бобкова.</w:t>
      </w:r>
    </w:p>
    <w:p w14:paraId="334E1FFA" w14:textId="77777777" w:rsidR="007E0EEA" w:rsidRPr="005E779E" w:rsidRDefault="007E0EE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Специалисты НИИ порекомендовали в дальнейшем переделать капоты моторов по образцу ТБ-3, ввести разрезные элероны, удлинить носовую часть фюзеляжа и заменить фотоаппарат на новый АФА-13 (12264).</w:t>
      </w:r>
    </w:p>
    <w:p w14:paraId="572D94DB" w14:textId="77777777" w:rsidR="007E0EEA" w:rsidRPr="005E779E" w:rsidRDefault="007E0EEA" w:rsidP="000B7A6C">
      <w:pPr>
        <w:spacing w:after="0" w:line="240" w:lineRule="auto"/>
        <w:jc w:val="both"/>
        <w:rPr>
          <w:rFonts w:ascii="Times New Roman" w:hAnsi="Times New Roman"/>
          <w:color w:val="000000" w:themeColor="text1"/>
          <w:sz w:val="16"/>
          <w:szCs w:val="16"/>
        </w:rPr>
      </w:pPr>
    </w:p>
    <w:p w14:paraId="4618C1F6" w14:textId="77777777" w:rsidR="00221006" w:rsidRPr="005E779E" w:rsidRDefault="002210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октября 1931 г. первый серийный са</w:t>
      </w:r>
      <w:r w:rsidRPr="005E779E">
        <w:rPr>
          <w:rFonts w:ascii="Times New Roman" w:hAnsi="Times New Roman"/>
          <w:color w:val="000000" w:themeColor="text1"/>
          <w:sz w:val="16"/>
          <w:szCs w:val="16"/>
        </w:rPr>
        <w:softHyphen/>
        <w:t>молет Р—6 №2201, построенный на заводе № 22, с двумя двигателями М—17 (№26389 и №26382) был передан в НИИ ВВС на госиспытания. Их результа</w:t>
      </w:r>
      <w:r w:rsidRPr="005E779E">
        <w:rPr>
          <w:rFonts w:ascii="Times New Roman" w:hAnsi="Times New Roman"/>
          <w:color w:val="000000" w:themeColor="text1"/>
          <w:sz w:val="16"/>
          <w:szCs w:val="16"/>
        </w:rPr>
        <w:softHyphen/>
        <w:t>ты показали, что самолет уступает эталону в скорости (на высотах 3000 м и 5000 м), в скороподъемности и потолке (на целую тысячу метров). Ухудшение летных дан</w:t>
      </w:r>
      <w:r w:rsidRPr="005E779E">
        <w:rPr>
          <w:rFonts w:ascii="Times New Roman" w:hAnsi="Times New Roman"/>
          <w:color w:val="000000" w:themeColor="text1"/>
          <w:sz w:val="16"/>
          <w:szCs w:val="16"/>
        </w:rPr>
        <w:softHyphen/>
        <w:t>ных объяснялось плохой работой мото</w:t>
      </w:r>
      <w:r w:rsidRPr="005E779E">
        <w:rPr>
          <w:rFonts w:ascii="Times New Roman" w:hAnsi="Times New Roman"/>
          <w:color w:val="000000" w:themeColor="text1"/>
          <w:sz w:val="16"/>
          <w:szCs w:val="16"/>
        </w:rPr>
        <w:softHyphen/>
        <w:t>ров и перетяжелением, допущенным производством. Несмотря на это серий</w:t>
      </w:r>
      <w:r w:rsidRPr="005E779E">
        <w:rPr>
          <w:rFonts w:ascii="Times New Roman" w:hAnsi="Times New Roman"/>
          <w:color w:val="000000" w:themeColor="text1"/>
          <w:sz w:val="16"/>
          <w:szCs w:val="16"/>
        </w:rPr>
        <w:softHyphen/>
        <w:t>ный самолет оказался не хуже зарубеж</w:t>
      </w:r>
      <w:r w:rsidRPr="005E779E">
        <w:rPr>
          <w:rFonts w:ascii="Times New Roman" w:hAnsi="Times New Roman"/>
          <w:color w:val="000000" w:themeColor="text1"/>
          <w:sz w:val="16"/>
          <w:szCs w:val="16"/>
        </w:rPr>
        <w:softHyphen/>
        <w:t>ных такого же класса. НИИ ВВС поручило Туполеву провести дальнейшие работы по модификации машины:</w:t>
      </w:r>
    </w:p>
    <w:p w14:paraId="3ED5D4CE" w14:textId="77777777" w:rsidR="00221006" w:rsidRPr="005E779E" w:rsidRDefault="002210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поставить тормозные колеса,</w:t>
      </w:r>
    </w:p>
    <w:p w14:paraId="2C51C5E5" w14:textId="77777777" w:rsidR="00221006" w:rsidRPr="005E779E" w:rsidRDefault="002210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заменить моторы М—17 на М—34,</w:t>
      </w:r>
    </w:p>
    <w:p w14:paraId="58219A9C" w14:textId="77777777" w:rsidR="00221006" w:rsidRPr="005E779E" w:rsidRDefault="002210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варианта разведчика установить дополнительные баки,</w:t>
      </w:r>
    </w:p>
    <w:p w14:paraId="1C354A43" w14:textId="77777777" w:rsidR="00221006" w:rsidRPr="005E779E" w:rsidRDefault="002210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провести доработки, позволившие бы использовать самолет в качестве сред</w:t>
      </w:r>
      <w:r w:rsidRPr="005E779E">
        <w:rPr>
          <w:rFonts w:ascii="Times New Roman" w:hAnsi="Times New Roman"/>
          <w:color w:val="000000" w:themeColor="text1"/>
          <w:sz w:val="16"/>
          <w:szCs w:val="16"/>
        </w:rPr>
        <w:softHyphen/>
        <w:t>него бомбардировщика.</w:t>
      </w:r>
    </w:p>
    <w:p w14:paraId="436E9BEB" w14:textId="77777777" w:rsidR="00221006" w:rsidRPr="005E779E" w:rsidRDefault="002210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Кроме того, одной из главных задач оставалась борьба с так и не покоренной вибрацией (23474).</w:t>
      </w:r>
    </w:p>
    <w:p w14:paraId="05606D54" w14:textId="77777777" w:rsidR="00221006" w:rsidRPr="005E779E" w:rsidRDefault="00221006" w:rsidP="000B7A6C">
      <w:pPr>
        <w:spacing w:after="0" w:line="240" w:lineRule="auto"/>
        <w:jc w:val="both"/>
        <w:rPr>
          <w:rFonts w:ascii="Times New Roman" w:hAnsi="Times New Roman"/>
          <w:color w:val="000000" w:themeColor="text1"/>
          <w:sz w:val="16"/>
          <w:szCs w:val="16"/>
        </w:rPr>
      </w:pPr>
    </w:p>
    <w:p w14:paraId="10A1A90C" w14:textId="77777777" w:rsidR="00446A9C" w:rsidRPr="00142305" w:rsidRDefault="00446A9C" w:rsidP="00446A9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5 октября по 3 ноября 1931 г. шли госиспытания первого серийного Р-6. От опыт</w:t>
      </w:r>
      <w:r w:rsidRPr="00142305">
        <w:rPr>
          <w:rFonts w:ascii="Times New Roman" w:hAnsi="Times New Roman"/>
          <w:color w:val="0070C0"/>
          <w:sz w:val="16"/>
          <w:szCs w:val="16"/>
        </w:rPr>
        <w:softHyphen/>
        <w:t>ной машины он отличался моторами М -17 (советской копией BMW У1) и несколько измененными радиаторами. Серийный самолет был на 126 кг тяжелее опытного; основную лепту вне</w:t>
      </w:r>
      <w:r w:rsidRPr="00142305">
        <w:rPr>
          <w:rFonts w:ascii="Times New Roman" w:hAnsi="Times New Roman"/>
          <w:color w:val="0070C0"/>
          <w:sz w:val="16"/>
          <w:szCs w:val="16"/>
        </w:rPr>
        <w:softHyphen/>
        <w:t>сли моторы — 60 кг. Отечественные колеса вместо импортных добавили 28 кг. Оставшиеся 38 кг распределялись между раз</w:t>
      </w:r>
      <w:r w:rsidRPr="00142305">
        <w:rPr>
          <w:rFonts w:ascii="Times New Roman" w:hAnsi="Times New Roman"/>
          <w:color w:val="0070C0"/>
          <w:sz w:val="16"/>
          <w:szCs w:val="16"/>
        </w:rPr>
        <w:softHyphen/>
        <w:t>личными частями планера. Головной Р-6 уступал опытному в максимальной скорости горизонтального полета 12—13 км/ч и около 1000 м в практическом потолке. Ухудшилась и ско</w:t>
      </w:r>
      <w:r w:rsidRPr="00142305">
        <w:rPr>
          <w:rFonts w:ascii="Times New Roman" w:hAnsi="Times New Roman"/>
          <w:color w:val="0070C0"/>
          <w:sz w:val="16"/>
          <w:szCs w:val="16"/>
        </w:rPr>
        <w:softHyphen/>
        <w:t>роподъемность. Показатели горизонтального маневра прак</w:t>
      </w:r>
      <w:r w:rsidRPr="00142305">
        <w:rPr>
          <w:rFonts w:ascii="Times New Roman" w:hAnsi="Times New Roman"/>
          <w:color w:val="0070C0"/>
          <w:sz w:val="16"/>
          <w:szCs w:val="16"/>
        </w:rPr>
        <w:softHyphen/>
        <w:t>тически не изменились. На снижение летных данных оказа</w:t>
      </w:r>
      <w:r w:rsidRPr="00142305">
        <w:rPr>
          <w:rFonts w:ascii="Times New Roman" w:hAnsi="Times New Roman"/>
          <w:color w:val="0070C0"/>
          <w:sz w:val="16"/>
          <w:szCs w:val="16"/>
        </w:rPr>
        <w:softHyphen/>
        <w:t>ло влияние даже не столько перетяжеление самолета, сколько ненадежная работа двигателей. Хотя М-17 номинально дол</w:t>
      </w:r>
      <w:r w:rsidRPr="00142305">
        <w:rPr>
          <w:rFonts w:ascii="Times New Roman" w:hAnsi="Times New Roman"/>
          <w:color w:val="0070C0"/>
          <w:sz w:val="16"/>
          <w:szCs w:val="16"/>
        </w:rPr>
        <w:softHyphen/>
        <w:t>жен был выдавать ту же мощность, что и немецкий мотор, на практике он постоянно недодавал обороты. Кроме того, дви</w:t>
      </w:r>
      <w:r w:rsidRPr="00142305">
        <w:rPr>
          <w:rFonts w:ascii="Times New Roman" w:hAnsi="Times New Roman"/>
          <w:color w:val="0070C0"/>
          <w:sz w:val="16"/>
          <w:szCs w:val="16"/>
        </w:rPr>
        <w:softHyphen/>
        <w:t>гатели перегревались, вынуждая убирать газ.</w:t>
      </w:r>
    </w:p>
    <w:p w14:paraId="24DEE55D" w14:textId="77777777" w:rsidR="00446A9C" w:rsidRPr="00142305" w:rsidRDefault="00446A9C" w:rsidP="00446A9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списке дефектов отмечалось в основном то, что ЦАГИ внес при доработке в опытный образец, а на серийной ма</w:t>
      </w:r>
      <w:r w:rsidRPr="00142305">
        <w:rPr>
          <w:rFonts w:ascii="Times New Roman" w:hAnsi="Times New Roman"/>
          <w:color w:val="0070C0"/>
          <w:sz w:val="16"/>
          <w:szCs w:val="16"/>
        </w:rPr>
        <w:softHyphen/>
        <w:t>шине отсутствовало, поскольку и доработки, и изготовле</w:t>
      </w:r>
      <w:r w:rsidRPr="00142305">
        <w:rPr>
          <w:rFonts w:ascii="Times New Roman" w:hAnsi="Times New Roman"/>
          <w:color w:val="0070C0"/>
          <w:sz w:val="16"/>
          <w:szCs w:val="16"/>
        </w:rPr>
        <w:softHyphen/>
        <w:t>ние головной машины фактически осуществлялись парал</w:t>
      </w:r>
      <w:r w:rsidRPr="00142305">
        <w:rPr>
          <w:rFonts w:ascii="Times New Roman" w:hAnsi="Times New Roman"/>
          <w:color w:val="0070C0"/>
          <w:sz w:val="16"/>
          <w:szCs w:val="16"/>
        </w:rPr>
        <w:softHyphen/>
        <w:t>лельно. Моторамы стояли старые, не усиленные, и тряслись в полете. Козырек пилотской кабины не имел окантовки и боковых стекол. Отметили вибрации оперения. Кроме того, в отчете НИИ записали: «Необходимо констатировать весь</w:t>
      </w:r>
      <w:r w:rsidRPr="00142305">
        <w:rPr>
          <w:rFonts w:ascii="Times New Roman" w:hAnsi="Times New Roman"/>
          <w:color w:val="0070C0"/>
          <w:sz w:val="16"/>
          <w:szCs w:val="16"/>
        </w:rPr>
        <w:softHyphen/>
        <w:t>ма низкое качество производства самолета...».</w:t>
      </w:r>
    </w:p>
    <w:p w14:paraId="1611D683" w14:textId="77777777" w:rsidR="00446A9C" w:rsidRPr="00142305" w:rsidRDefault="00446A9C" w:rsidP="00446A9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Однако, несмотря на все недостатки, общий отзыв о ма</w:t>
      </w:r>
      <w:r w:rsidRPr="00142305">
        <w:rPr>
          <w:rFonts w:ascii="Times New Roman" w:hAnsi="Times New Roman"/>
          <w:color w:val="0070C0"/>
          <w:sz w:val="16"/>
          <w:szCs w:val="16"/>
        </w:rPr>
        <w:softHyphen/>
        <w:t>шине оказался одобрительным.</w:t>
      </w:r>
    </w:p>
    <w:p w14:paraId="455F1C22" w14:textId="77777777" w:rsidR="00446A9C" w:rsidRPr="00142305" w:rsidRDefault="00446A9C" w:rsidP="00446A9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Вывод НИИ гласил: «Несмотря на некоторое пониже</w:t>
      </w:r>
      <w:r w:rsidRPr="00142305">
        <w:rPr>
          <w:rFonts w:ascii="Times New Roman" w:hAnsi="Times New Roman"/>
          <w:color w:val="0070C0"/>
          <w:sz w:val="16"/>
          <w:szCs w:val="16"/>
        </w:rPr>
        <w:softHyphen/>
        <w:t>ние летных данных, головной серийный самолет Р6-М 17 не хуже, а по некоторым показателям даже лучше самоле</w:t>
      </w:r>
      <w:r w:rsidRPr="00142305">
        <w:rPr>
          <w:rFonts w:ascii="Times New Roman" w:hAnsi="Times New Roman"/>
          <w:color w:val="0070C0"/>
          <w:sz w:val="16"/>
          <w:szCs w:val="16"/>
        </w:rPr>
        <w:softHyphen/>
        <w:t>тов соответствующего класса, состоящих на вооружении на Западе, уступая лишь лучшим опытным образцам». Это действительно было так. Правда, «крейсеров» в мире поч</w:t>
      </w:r>
      <w:r w:rsidRPr="00142305">
        <w:rPr>
          <w:rFonts w:ascii="Times New Roman" w:hAnsi="Times New Roman"/>
          <w:color w:val="0070C0"/>
          <w:sz w:val="16"/>
          <w:szCs w:val="16"/>
        </w:rPr>
        <w:softHyphen/>
        <w:t>ти никто не строил, поскольку не планировал или не мог себе позволить иметь флот тяжелых бомбовозов. Поэтому сравнение можно было провести лишь с рядом французс</w:t>
      </w:r>
      <w:r w:rsidRPr="00142305">
        <w:rPr>
          <w:rFonts w:ascii="Times New Roman" w:hAnsi="Times New Roman"/>
          <w:color w:val="0070C0"/>
          <w:sz w:val="16"/>
          <w:szCs w:val="16"/>
        </w:rPr>
        <w:softHyphen/>
        <w:t>ких машин, которые фактически были не «крейсерами», а многоцелевыми самолетами. После того как головной Р-6 выдержал испытания, серийным самолетам был открыт путь в строевые части ВВС РККА. Эталоном для серии стал № 2201, на котором смонтировали и отладили оборудова</w:t>
      </w:r>
      <w:r w:rsidRPr="00142305">
        <w:rPr>
          <w:rFonts w:ascii="Times New Roman" w:hAnsi="Times New Roman"/>
          <w:color w:val="0070C0"/>
          <w:sz w:val="16"/>
          <w:szCs w:val="16"/>
        </w:rPr>
        <w:softHyphen/>
        <w:t>ние и вооружение (24977).</w:t>
      </w:r>
    </w:p>
    <w:p w14:paraId="6CC71532" w14:textId="77777777" w:rsidR="00446A9C" w:rsidRPr="00142305" w:rsidRDefault="00446A9C" w:rsidP="00446A9C">
      <w:pPr>
        <w:spacing w:after="0" w:line="240" w:lineRule="auto"/>
        <w:jc w:val="both"/>
        <w:rPr>
          <w:rFonts w:ascii="Times New Roman" w:hAnsi="Times New Roman"/>
          <w:color w:val="0070C0"/>
          <w:sz w:val="16"/>
          <w:szCs w:val="16"/>
        </w:rPr>
      </w:pPr>
    </w:p>
    <w:p w14:paraId="2C851EFE" w14:textId="77777777" w:rsidR="00446A9C" w:rsidRPr="00142305" w:rsidRDefault="00446A9C" w:rsidP="00446A9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5 октября 1931 г. первый серийный самолет Р-6 с двумя двигателями М-17 был передан в НИИ ВВС на государственные испытания. После устранения всех недостатков, выявленных в ходе испытаний головной машины, началось полномасштабное производство самолета. Начиная с 1932 г. на заводе №31 в Таганроге была освоена серия поплавкового варианта Р-6 – самолета МР-6. Начиная с 1936 г. самолет Р-6 строится на новом заводе №126 в Комсомольске-на-Амуре.</w:t>
      </w:r>
    </w:p>
    <w:p w14:paraId="0A02CB9F" w14:textId="77777777" w:rsidR="00446A9C" w:rsidRPr="00142305" w:rsidRDefault="00446A9C" w:rsidP="00446A9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Основным недостатком первых серийных самолетов Р-6 являлись так и не устраненные при испы</w:t>
      </w:r>
      <w:r w:rsidRPr="00142305">
        <w:rPr>
          <w:rFonts w:ascii="Times New Roman" w:hAnsi="Times New Roman"/>
          <w:color w:val="0070C0"/>
          <w:sz w:val="16"/>
          <w:szCs w:val="16"/>
        </w:rPr>
        <w:softHyphen/>
        <w:t>таниях вибрации оперения при выполнении спиралей и на планировании. Было установлено, что причиной вибрации оперения является бафтинг (25241).</w:t>
      </w:r>
    </w:p>
    <w:p w14:paraId="284A41F8" w14:textId="77777777" w:rsidR="00446A9C" w:rsidRPr="00142305" w:rsidRDefault="00446A9C" w:rsidP="00446A9C">
      <w:pPr>
        <w:spacing w:after="0" w:line="240" w:lineRule="auto"/>
        <w:jc w:val="both"/>
        <w:rPr>
          <w:rFonts w:ascii="Times New Roman" w:hAnsi="Times New Roman"/>
          <w:color w:val="0070C0"/>
          <w:sz w:val="16"/>
          <w:szCs w:val="16"/>
        </w:rPr>
      </w:pPr>
    </w:p>
    <w:p w14:paraId="0AB48A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октября 1931 С.П.К. впервые встретился с Ф.А.Цандером на подмосковном аэродроме Осоавиахима (пост. разъезд 133 Октябрьской жд), когда С.П.К. демонстрировал планер БИЧ-8 (105,135).</w:t>
      </w:r>
    </w:p>
    <w:p w14:paraId="4B1EDF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Осенью 1931 С.П.К. получил разрешение испытать БИЧ-8, который с 1929 не использовался. На подмосковной станции выполнил 12 полетов и возникла мысль приспособить его под ЖРД (2544,59).</w:t>
      </w:r>
    </w:p>
    <w:p w14:paraId="7A7D29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EA05093" w14:textId="77777777" w:rsidR="0020231B" w:rsidRPr="005E779E" w:rsidRDefault="0020231B"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5 октября 1931 г. Королёв пригласил на аэродром Цандера и продемонстрировал ему полёты бесхвостого планера. Через два дня Королёв и Черановский приехали посмотреть на запуски ЖРД Цандера ОР-1, работающего на бензине и жидком кислороде. Так сложился конструкторский коллектив по созданию ракетоплана РП-1 (17489).</w:t>
      </w:r>
    </w:p>
    <w:p w14:paraId="573FF30A" w14:textId="77777777" w:rsidR="0020231B" w:rsidRPr="005E779E" w:rsidRDefault="0020231B" w:rsidP="000B7A6C">
      <w:pPr>
        <w:spacing w:after="0" w:line="240" w:lineRule="auto"/>
        <w:jc w:val="both"/>
        <w:rPr>
          <w:rFonts w:ascii="Times New Roman" w:eastAsia="Times New Roman" w:hAnsi="Times New Roman"/>
          <w:color w:val="000000" w:themeColor="text1"/>
          <w:sz w:val="16"/>
          <w:szCs w:val="16"/>
          <w:lang w:eastAsia="ru-RU"/>
        </w:rPr>
      </w:pPr>
    </w:p>
    <w:p w14:paraId="4B5BA6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октября 1931 была встреча СПК с Ф.А. Цандером на аэродроме ОХА для осмотра планера БИЧ-8 (ААН, ф. 573, оп. 3, № 38) (10676).</w:t>
      </w:r>
    </w:p>
    <w:p w14:paraId="15FFA9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84C95CE" w14:textId="77777777" w:rsidR="00221006" w:rsidRPr="005E779E" w:rsidRDefault="002210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октября 1931 г. Королев привез Цандера на аэродром воз</w:t>
      </w:r>
      <w:r w:rsidRPr="005E779E">
        <w:rPr>
          <w:rFonts w:ascii="Times New Roman" w:hAnsi="Times New Roman"/>
          <w:color w:val="000000" w:themeColor="text1"/>
          <w:sz w:val="16"/>
          <w:szCs w:val="16"/>
        </w:rPr>
        <w:softHyphen/>
        <w:t>ле станции Планёрная Октябрьской железной дороги, чтобы тот взглянул на БИЧ-8. Который он хотел использовать в качестве ракетоплана. Ещё через два дня Королёв и Черановский по приглашению Цандера наблюдали в ИАМ 32-й по счёту стендо</w:t>
      </w:r>
      <w:r w:rsidRPr="005E779E">
        <w:rPr>
          <w:rFonts w:ascii="Times New Roman" w:hAnsi="Times New Roman"/>
          <w:color w:val="000000" w:themeColor="text1"/>
          <w:sz w:val="16"/>
          <w:szCs w:val="16"/>
        </w:rPr>
        <w:softHyphen/>
        <w:t>вый запуск двигателя ОР-1 (23550).</w:t>
      </w:r>
    </w:p>
    <w:p w14:paraId="5D1BEF41" w14:textId="77777777" w:rsidR="00221006" w:rsidRPr="005E779E" w:rsidRDefault="00221006" w:rsidP="000B7A6C">
      <w:pPr>
        <w:spacing w:after="0" w:line="240" w:lineRule="auto"/>
        <w:jc w:val="both"/>
        <w:rPr>
          <w:rFonts w:ascii="Times New Roman" w:hAnsi="Times New Roman"/>
          <w:color w:val="000000" w:themeColor="text1"/>
          <w:sz w:val="16"/>
          <w:szCs w:val="16"/>
        </w:rPr>
      </w:pPr>
    </w:p>
    <w:p w14:paraId="13B66E47" w14:textId="77777777" w:rsidR="00221006" w:rsidRPr="005E779E" w:rsidRDefault="002210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октября 1931 г. Королев пригласил на аэродром своего единомышленника, конструктора ракетных двигателей Ф.А. Цандера и продемонстрировал ему полеты бесхвостого планера. Вскоре Группа изучения реактивного движения (ГИРД), в которую входили Королев и Цандер, приняла решение о строительстве ракетоплана РП-1 по типу планера Черановского. Финансировало проект Бюро воздушной техники Центрального совета Осоавиахима, под эгидой которого и существовал ГИРД. 18 ноября 1931 г. Черановский получил заказ на постройку двух бесхвостых планеров с трапециевидным крылом БИЧ-11 (один из них потом летал на планерных состязаниях 1933 г.), а Цандер — на разработку ЖРД ОР-2 с тягой 50 кгс (24253).</w:t>
      </w:r>
    </w:p>
    <w:p w14:paraId="58B14F37" w14:textId="77777777" w:rsidR="00221006" w:rsidRPr="005E779E" w:rsidRDefault="00221006" w:rsidP="000B7A6C">
      <w:pPr>
        <w:spacing w:after="0" w:line="240" w:lineRule="auto"/>
        <w:jc w:val="both"/>
        <w:rPr>
          <w:rFonts w:ascii="Times New Roman" w:hAnsi="Times New Roman"/>
          <w:color w:val="000000" w:themeColor="text1"/>
          <w:sz w:val="16"/>
          <w:szCs w:val="16"/>
        </w:rPr>
      </w:pPr>
    </w:p>
    <w:p w14:paraId="0C26E6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октября 1931 года зам. начальника НИИ ВВС Аузан писал письмо N 453/489 председателю РВС Ворошилову.</w:t>
      </w:r>
    </w:p>
    <w:p w14:paraId="4B6C65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По самолетам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24"/>
        <w:gridCol w:w="1024"/>
        <w:gridCol w:w="1024"/>
        <w:gridCol w:w="1024"/>
        <w:gridCol w:w="1024"/>
        <w:gridCol w:w="1024"/>
        <w:gridCol w:w="1024"/>
        <w:gridCol w:w="1024"/>
        <w:gridCol w:w="2406"/>
      </w:tblGrid>
      <w:tr w:rsidR="001002C3" w:rsidRPr="005E779E" w14:paraId="69159FE9" w14:textId="77777777">
        <w:tc>
          <w:tcPr>
            <w:tcW w:w="1024" w:type="dxa"/>
          </w:tcPr>
          <w:p w14:paraId="187219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w:t>
            </w:r>
          </w:p>
        </w:tc>
        <w:tc>
          <w:tcPr>
            <w:tcW w:w="1024" w:type="dxa"/>
          </w:tcPr>
          <w:p w14:paraId="6C3BFB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Кто</w:t>
            </w:r>
          </w:p>
        </w:tc>
        <w:tc>
          <w:tcPr>
            <w:tcW w:w="1024" w:type="dxa"/>
          </w:tcPr>
          <w:p w14:paraId="54194F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Охлажд.</w:t>
            </w:r>
          </w:p>
        </w:tc>
        <w:tc>
          <w:tcPr>
            <w:tcW w:w="1024" w:type="dxa"/>
          </w:tcPr>
          <w:p w14:paraId="6A1157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Мощн.</w:t>
            </w:r>
          </w:p>
        </w:tc>
        <w:tc>
          <w:tcPr>
            <w:tcW w:w="1024" w:type="dxa"/>
          </w:tcPr>
          <w:p w14:paraId="36591B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w:t>
            </w:r>
          </w:p>
        </w:tc>
        <w:tc>
          <w:tcPr>
            <w:tcW w:w="1024" w:type="dxa"/>
          </w:tcPr>
          <w:p w14:paraId="137B6F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Удельн.</w:t>
            </w:r>
          </w:p>
        </w:tc>
        <w:tc>
          <w:tcPr>
            <w:tcW w:w="1024" w:type="dxa"/>
          </w:tcPr>
          <w:p w14:paraId="016E0A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Высотн.</w:t>
            </w:r>
          </w:p>
        </w:tc>
        <w:tc>
          <w:tcPr>
            <w:tcW w:w="1024" w:type="dxa"/>
          </w:tcPr>
          <w:p w14:paraId="75A602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Новый</w:t>
            </w:r>
          </w:p>
        </w:tc>
        <w:tc>
          <w:tcPr>
            <w:tcW w:w="2406" w:type="dxa"/>
          </w:tcPr>
          <w:p w14:paraId="7CBFE7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 октября 1931 года</w:t>
            </w:r>
          </w:p>
        </w:tc>
      </w:tr>
      <w:tr w:rsidR="001002C3" w:rsidRPr="005E779E" w14:paraId="3F3FFF2F" w14:textId="77777777">
        <w:tc>
          <w:tcPr>
            <w:tcW w:w="1024" w:type="dxa"/>
          </w:tcPr>
          <w:p w14:paraId="7DA4AE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моторов</w:t>
            </w:r>
          </w:p>
        </w:tc>
        <w:tc>
          <w:tcPr>
            <w:tcW w:w="1024" w:type="dxa"/>
          </w:tcPr>
          <w:p w14:paraId="31D0AD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строит</w:t>
            </w:r>
          </w:p>
        </w:tc>
        <w:tc>
          <w:tcPr>
            <w:tcW w:w="1024" w:type="dxa"/>
          </w:tcPr>
          <w:p w14:paraId="2DAE38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AAAB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6F78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кг</w:t>
            </w:r>
          </w:p>
        </w:tc>
        <w:tc>
          <w:tcPr>
            <w:tcW w:w="1024" w:type="dxa"/>
          </w:tcPr>
          <w:p w14:paraId="4C5E06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w:t>
            </w:r>
          </w:p>
        </w:tc>
        <w:tc>
          <w:tcPr>
            <w:tcW w:w="1024" w:type="dxa"/>
          </w:tcPr>
          <w:p w14:paraId="4E2003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2108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срок</w:t>
            </w:r>
          </w:p>
        </w:tc>
        <w:tc>
          <w:tcPr>
            <w:tcW w:w="2406" w:type="dxa"/>
          </w:tcPr>
          <w:p w14:paraId="374077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E71D020" w14:textId="77777777">
        <w:tc>
          <w:tcPr>
            <w:tcW w:w="1024" w:type="dxa"/>
          </w:tcPr>
          <w:p w14:paraId="152D8B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4DE7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B5E0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6CBC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97CC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8B2C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2C55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D45F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престав.</w:t>
            </w:r>
          </w:p>
        </w:tc>
        <w:tc>
          <w:tcPr>
            <w:tcW w:w="2406" w:type="dxa"/>
          </w:tcPr>
          <w:p w14:paraId="556C15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76123F6" w14:textId="77777777">
        <w:tc>
          <w:tcPr>
            <w:tcW w:w="1024" w:type="dxa"/>
          </w:tcPr>
          <w:p w14:paraId="5F4A1B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FB35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425E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3FA7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03DC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3296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B8FA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68D7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гос.</w:t>
            </w:r>
          </w:p>
        </w:tc>
        <w:tc>
          <w:tcPr>
            <w:tcW w:w="2406" w:type="dxa"/>
          </w:tcPr>
          <w:p w14:paraId="6018ED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5A0264E" w14:textId="77777777">
        <w:tc>
          <w:tcPr>
            <w:tcW w:w="1024" w:type="dxa"/>
          </w:tcPr>
          <w:p w14:paraId="24AD72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0D91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95C9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56A6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328F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A7AD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BC0E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7663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w:t>
            </w:r>
          </w:p>
        </w:tc>
        <w:tc>
          <w:tcPr>
            <w:tcW w:w="2406" w:type="dxa"/>
          </w:tcPr>
          <w:p w14:paraId="02D6CD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647192E" w14:textId="77777777">
        <w:tc>
          <w:tcPr>
            <w:tcW w:w="1024" w:type="dxa"/>
          </w:tcPr>
          <w:p w14:paraId="6BEA32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истребителей</w:t>
            </w:r>
          </w:p>
        </w:tc>
        <w:tc>
          <w:tcPr>
            <w:tcW w:w="1024" w:type="dxa"/>
          </w:tcPr>
          <w:p w14:paraId="12AE1F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w:t>
            </w:r>
          </w:p>
        </w:tc>
        <w:tc>
          <w:tcPr>
            <w:tcW w:w="1024" w:type="dxa"/>
          </w:tcPr>
          <w:p w14:paraId="3CF820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возд.</w:t>
            </w:r>
          </w:p>
        </w:tc>
        <w:tc>
          <w:tcPr>
            <w:tcW w:w="1024" w:type="dxa"/>
          </w:tcPr>
          <w:p w14:paraId="15F112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450</w:t>
            </w:r>
          </w:p>
        </w:tc>
        <w:tc>
          <w:tcPr>
            <w:tcW w:w="1024" w:type="dxa"/>
          </w:tcPr>
          <w:p w14:paraId="5C6417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415</w:t>
            </w:r>
          </w:p>
        </w:tc>
        <w:tc>
          <w:tcPr>
            <w:tcW w:w="1024" w:type="dxa"/>
          </w:tcPr>
          <w:p w14:paraId="06D658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0,92</w:t>
            </w:r>
          </w:p>
        </w:tc>
        <w:tc>
          <w:tcPr>
            <w:tcW w:w="1024" w:type="dxa"/>
          </w:tcPr>
          <w:p w14:paraId="681762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2000</w:t>
            </w:r>
          </w:p>
        </w:tc>
        <w:tc>
          <w:tcPr>
            <w:tcW w:w="1024" w:type="dxa"/>
          </w:tcPr>
          <w:p w14:paraId="6420A9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февр.</w:t>
            </w:r>
          </w:p>
        </w:tc>
        <w:tc>
          <w:tcPr>
            <w:tcW w:w="2406" w:type="dxa"/>
          </w:tcPr>
          <w:p w14:paraId="54178B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Находится в серийном производстве. Изготовляем.</w:t>
            </w:r>
          </w:p>
        </w:tc>
      </w:tr>
      <w:tr w:rsidR="001002C3" w:rsidRPr="005E779E" w14:paraId="172A26A0" w14:textId="77777777">
        <w:tc>
          <w:tcPr>
            <w:tcW w:w="1024" w:type="dxa"/>
          </w:tcPr>
          <w:p w14:paraId="109DD3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М-15</w:t>
            </w:r>
          </w:p>
        </w:tc>
        <w:tc>
          <w:tcPr>
            <w:tcW w:w="1024" w:type="dxa"/>
          </w:tcPr>
          <w:p w14:paraId="11BE1A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0818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8E44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E862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114E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0D40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6C57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 г.</w:t>
            </w:r>
          </w:p>
        </w:tc>
        <w:tc>
          <w:tcPr>
            <w:tcW w:w="2406" w:type="dxa"/>
          </w:tcPr>
          <w:p w14:paraId="495D30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заводом 24 моторы передаются на эксплоатацию в</w:t>
            </w:r>
          </w:p>
        </w:tc>
      </w:tr>
      <w:tr w:rsidR="001002C3" w:rsidRPr="005E779E" w14:paraId="7715B95F" w14:textId="77777777">
        <w:tc>
          <w:tcPr>
            <w:tcW w:w="1024" w:type="dxa"/>
          </w:tcPr>
          <w:p w14:paraId="471882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58C8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0F2C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2B68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5B42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09CB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D19C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70F6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6AA280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ГВФ. Мотор до сего времени на гос. испытания не</w:t>
            </w:r>
          </w:p>
        </w:tc>
      </w:tr>
      <w:tr w:rsidR="001002C3" w:rsidRPr="005E779E" w14:paraId="566D69CC" w14:textId="77777777">
        <w:tc>
          <w:tcPr>
            <w:tcW w:w="1024" w:type="dxa"/>
          </w:tcPr>
          <w:p w14:paraId="177559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0634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1347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9F35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D78E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945A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6264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C5ED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0022E9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предъявлен. Отделом в наст. время мотор ставится</w:t>
            </w:r>
          </w:p>
        </w:tc>
      </w:tr>
      <w:tr w:rsidR="001002C3" w:rsidRPr="005E779E" w14:paraId="4CEA3139" w14:textId="77777777">
        <w:tc>
          <w:tcPr>
            <w:tcW w:w="1024" w:type="dxa"/>
          </w:tcPr>
          <w:p w14:paraId="3E80A0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8D20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14A1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89EC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4358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B72E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8C2D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B82B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146049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станок для проведения сравнительных 100 час.</w:t>
            </w:r>
          </w:p>
        </w:tc>
      </w:tr>
      <w:tr w:rsidR="001002C3" w:rsidRPr="005E779E" w14:paraId="0BDDDA3A" w14:textId="77777777">
        <w:tc>
          <w:tcPr>
            <w:tcW w:w="1024" w:type="dxa"/>
          </w:tcPr>
          <w:p w14:paraId="4F6F2E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53DE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9D70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ED6A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2AA0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5713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9168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67EA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2B9B9C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испытаний с мотором М-22 целиком из русских </w:t>
            </w:r>
          </w:p>
        </w:tc>
      </w:tr>
      <w:tr w:rsidR="001002C3" w:rsidRPr="005E779E" w14:paraId="0273529A" w14:textId="77777777">
        <w:tc>
          <w:tcPr>
            <w:tcW w:w="1024" w:type="dxa"/>
          </w:tcPr>
          <w:p w14:paraId="590993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7CAF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54A2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EF95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3D19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F7FE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FA36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0CF6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685791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материалов.</w:t>
            </w:r>
          </w:p>
        </w:tc>
      </w:tr>
      <w:tr w:rsidR="001002C3" w:rsidRPr="005E779E" w14:paraId="672D6D88" w14:textId="77777777">
        <w:tc>
          <w:tcPr>
            <w:tcW w:w="1024" w:type="dxa"/>
          </w:tcPr>
          <w:p w14:paraId="1D349A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тяжелых</w:t>
            </w:r>
          </w:p>
        </w:tc>
        <w:tc>
          <w:tcPr>
            <w:tcW w:w="1024" w:type="dxa"/>
          </w:tcPr>
          <w:p w14:paraId="06149E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w:t>
            </w:r>
          </w:p>
        </w:tc>
        <w:tc>
          <w:tcPr>
            <w:tcW w:w="1024" w:type="dxa"/>
          </w:tcPr>
          <w:p w14:paraId="600D30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водян.</w:t>
            </w:r>
          </w:p>
        </w:tc>
        <w:tc>
          <w:tcPr>
            <w:tcW w:w="1024" w:type="dxa"/>
          </w:tcPr>
          <w:p w14:paraId="750C83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w:t>
            </w:r>
          </w:p>
        </w:tc>
        <w:tc>
          <w:tcPr>
            <w:tcW w:w="1024" w:type="dxa"/>
          </w:tcPr>
          <w:p w14:paraId="7C176C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840</w:t>
            </w:r>
          </w:p>
        </w:tc>
        <w:tc>
          <w:tcPr>
            <w:tcW w:w="1024" w:type="dxa"/>
          </w:tcPr>
          <w:p w14:paraId="29AD71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0,84</w:t>
            </w:r>
          </w:p>
        </w:tc>
        <w:tc>
          <w:tcPr>
            <w:tcW w:w="1024" w:type="dxa"/>
          </w:tcPr>
          <w:p w14:paraId="7DDB14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4000</w:t>
            </w:r>
          </w:p>
        </w:tc>
        <w:tc>
          <w:tcPr>
            <w:tcW w:w="1024" w:type="dxa"/>
          </w:tcPr>
          <w:p w14:paraId="58AB6D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мая</w:t>
            </w:r>
          </w:p>
        </w:tc>
        <w:tc>
          <w:tcPr>
            <w:tcW w:w="2406" w:type="dxa"/>
          </w:tcPr>
          <w:p w14:paraId="43A68A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 прошел гос. испытания неудоветворительно.</w:t>
            </w:r>
          </w:p>
        </w:tc>
      </w:tr>
      <w:tr w:rsidR="001002C3" w:rsidRPr="005E779E" w14:paraId="02DC12C1" w14:textId="77777777">
        <w:tc>
          <w:tcPr>
            <w:tcW w:w="1024" w:type="dxa"/>
          </w:tcPr>
          <w:p w14:paraId="54CFF1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Бомбардировщиков</w:t>
            </w:r>
          </w:p>
        </w:tc>
        <w:tc>
          <w:tcPr>
            <w:tcW w:w="1024" w:type="dxa"/>
          </w:tcPr>
          <w:p w14:paraId="487AD3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14AE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6E08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5166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D6B0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3CAF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1C2B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 г.</w:t>
            </w:r>
          </w:p>
        </w:tc>
        <w:tc>
          <w:tcPr>
            <w:tcW w:w="2406" w:type="dxa"/>
          </w:tcPr>
          <w:p w14:paraId="09B514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НИИ ВВС признано целесообразным построить</w:t>
            </w:r>
          </w:p>
        </w:tc>
      </w:tr>
      <w:tr w:rsidR="001002C3" w:rsidRPr="005E779E" w14:paraId="1961B26E" w14:textId="77777777">
        <w:tc>
          <w:tcPr>
            <w:tcW w:w="1024" w:type="dxa"/>
          </w:tcPr>
          <w:p w14:paraId="4FC822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ФЭД-3</w:t>
            </w:r>
          </w:p>
        </w:tc>
        <w:tc>
          <w:tcPr>
            <w:tcW w:w="1024" w:type="dxa"/>
          </w:tcPr>
          <w:p w14:paraId="4BD0E4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D969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AC27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76DF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6965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63FE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33DF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521C0E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экспериментальную серию на предмет изучения и</w:t>
            </w:r>
          </w:p>
        </w:tc>
      </w:tr>
      <w:tr w:rsidR="001002C3" w:rsidRPr="005E779E" w14:paraId="68D2EFB9" w14:textId="77777777">
        <w:tc>
          <w:tcPr>
            <w:tcW w:w="1024" w:type="dxa"/>
          </w:tcPr>
          <w:p w14:paraId="5406E9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2934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C968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CC75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B7B7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FE21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4A24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65C0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19979F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устранения дефектов и испытаний моторов на</w:t>
            </w:r>
          </w:p>
        </w:tc>
      </w:tr>
      <w:tr w:rsidR="001002C3" w:rsidRPr="005E779E" w14:paraId="5906BC40" w14:textId="77777777">
        <w:tc>
          <w:tcPr>
            <w:tcW w:w="1024" w:type="dxa"/>
          </w:tcPr>
          <w:p w14:paraId="7F4374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C833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79E1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DD0F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AD2E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D96D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56F3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CED3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0AA78E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самолетах. Мотор в производство запущен.</w:t>
            </w:r>
          </w:p>
        </w:tc>
      </w:tr>
      <w:tr w:rsidR="001002C3" w:rsidRPr="005E779E" w14:paraId="14F36D40" w14:textId="77777777">
        <w:tc>
          <w:tcPr>
            <w:tcW w:w="1024" w:type="dxa"/>
          </w:tcPr>
          <w:p w14:paraId="7270C3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истребителей</w:t>
            </w:r>
          </w:p>
        </w:tc>
        <w:tc>
          <w:tcPr>
            <w:tcW w:w="1024" w:type="dxa"/>
          </w:tcPr>
          <w:p w14:paraId="6B1881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ИАМ</w:t>
            </w:r>
          </w:p>
        </w:tc>
        <w:tc>
          <w:tcPr>
            <w:tcW w:w="1024" w:type="dxa"/>
          </w:tcPr>
          <w:p w14:paraId="2623A3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024" w:type="dxa"/>
          </w:tcPr>
          <w:p w14:paraId="403347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w:t>
            </w:r>
          </w:p>
        </w:tc>
        <w:tc>
          <w:tcPr>
            <w:tcW w:w="1024" w:type="dxa"/>
          </w:tcPr>
          <w:p w14:paraId="0A48C7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400</w:t>
            </w:r>
          </w:p>
        </w:tc>
        <w:tc>
          <w:tcPr>
            <w:tcW w:w="1024" w:type="dxa"/>
          </w:tcPr>
          <w:p w14:paraId="252669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0,66</w:t>
            </w:r>
          </w:p>
        </w:tc>
        <w:tc>
          <w:tcPr>
            <w:tcW w:w="1024" w:type="dxa"/>
          </w:tcPr>
          <w:p w14:paraId="4DB8A5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024" w:type="dxa"/>
          </w:tcPr>
          <w:p w14:paraId="3FA35B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мая</w:t>
            </w:r>
          </w:p>
        </w:tc>
        <w:tc>
          <w:tcPr>
            <w:tcW w:w="2406" w:type="dxa"/>
          </w:tcPr>
          <w:p w14:paraId="78FCCA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Общая компановка мотора в чертежах окончена. В</w:t>
            </w:r>
          </w:p>
        </w:tc>
      </w:tr>
      <w:tr w:rsidR="001002C3" w:rsidRPr="005E779E" w14:paraId="5E798C33" w14:textId="77777777">
        <w:tc>
          <w:tcPr>
            <w:tcW w:w="1024" w:type="dxa"/>
          </w:tcPr>
          <w:p w14:paraId="59B2E4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М-32</w:t>
            </w:r>
          </w:p>
        </w:tc>
        <w:tc>
          <w:tcPr>
            <w:tcW w:w="1024" w:type="dxa"/>
          </w:tcPr>
          <w:p w14:paraId="3EF9A6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7CA2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76C0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CA27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6C83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ED67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9F5C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1932 г.</w:t>
            </w:r>
          </w:p>
        </w:tc>
        <w:tc>
          <w:tcPr>
            <w:tcW w:w="2406" w:type="dxa"/>
          </w:tcPr>
          <w:p w14:paraId="1DB5B1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настоящее время ведется разработка рабочих</w:t>
            </w:r>
          </w:p>
        </w:tc>
      </w:tr>
      <w:tr w:rsidR="001002C3" w:rsidRPr="005E779E" w14:paraId="4AC85DB9" w14:textId="77777777">
        <w:tc>
          <w:tcPr>
            <w:tcW w:w="1024" w:type="dxa"/>
          </w:tcPr>
          <w:p w14:paraId="78046C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B7BB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8F58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48FF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8621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B6D9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CCE0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C15C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08128D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чертежей. Часть поковочных чертежей сдана в </w:t>
            </w:r>
          </w:p>
        </w:tc>
      </w:tr>
      <w:tr w:rsidR="001002C3" w:rsidRPr="005E779E" w14:paraId="70C9B8E5" w14:textId="77777777">
        <w:tc>
          <w:tcPr>
            <w:tcW w:w="1024" w:type="dxa"/>
          </w:tcPr>
          <w:p w14:paraId="03C054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8416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5DF8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1E54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9785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D8E5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D9B6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3E95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69049B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заказ.</w:t>
            </w:r>
          </w:p>
        </w:tc>
      </w:tr>
      <w:tr w:rsidR="001002C3" w:rsidRPr="005E779E" w14:paraId="6B4A1D4D" w14:textId="77777777">
        <w:tc>
          <w:tcPr>
            <w:tcW w:w="1024" w:type="dxa"/>
          </w:tcPr>
          <w:p w14:paraId="05C70F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истребителей</w:t>
            </w:r>
          </w:p>
        </w:tc>
        <w:tc>
          <w:tcPr>
            <w:tcW w:w="1024" w:type="dxa"/>
          </w:tcPr>
          <w:p w14:paraId="409DC6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ИАМ</w:t>
            </w:r>
          </w:p>
        </w:tc>
        <w:tc>
          <w:tcPr>
            <w:tcW w:w="1024" w:type="dxa"/>
          </w:tcPr>
          <w:p w14:paraId="7FDCB8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возд.</w:t>
            </w:r>
          </w:p>
        </w:tc>
        <w:tc>
          <w:tcPr>
            <w:tcW w:w="1024" w:type="dxa"/>
          </w:tcPr>
          <w:p w14:paraId="5197B5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w:t>
            </w:r>
          </w:p>
        </w:tc>
        <w:tc>
          <w:tcPr>
            <w:tcW w:w="1024" w:type="dxa"/>
          </w:tcPr>
          <w:p w14:paraId="441A9A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9DB1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0,63</w:t>
            </w:r>
          </w:p>
        </w:tc>
        <w:tc>
          <w:tcPr>
            <w:tcW w:w="1024" w:type="dxa"/>
          </w:tcPr>
          <w:p w14:paraId="7BAF19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024" w:type="dxa"/>
          </w:tcPr>
          <w:p w14:paraId="077F62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марта</w:t>
            </w:r>
          </w:p>
        </w:tc>
        <w:tc>
          <w:tcPr>
            <w:tcW w:w="2406" w:type="dxa"/>
          </w:tcPr>
          <w:p w14:paraId="3D045B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Общая компановка мотора окончена. Полученные </w:t>
            </w:r>
          </w:p>
        </w:tc>
      </w:tr>
      <w:tr w:rsidR="001002C3" w:rsidRPr="005E779E" w14:paraId="47E6D27F" w14:textId="77777777">
        <w:tc>
          <w:tcPr>
            <w:tcW w:w="1024" w:type="dxa"/>
          </w:tcPr>
          <w:p w14:paraId="155300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М-38</w:t>
            </w:r>
          </w:p>
        </w:tc>
        <w:tc>
          <w:tcPr>
            <w:tcW w:w="1024" w:type="dxa"/>
          </w:tcPr>
          <w:p w14:paraId="2C5056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22F2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D01B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BB6C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4C4E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5B14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3038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1932 г.</w:t>
            </w:r>
          </w:p>
        </w:tc>
        <w:tc>
          <w:tcPr>
            <w:tcW w:w="2406" w:type="dxa"/>
          </w:tcPr>
          <w:p w14:paraId="6EE7A6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подсчетам данные мотора не соответствуют</w:t>
            </w:r>
          </w:p>
        </w:tc>
      </w:tr>
      <w:tr w:rsidR="001002C3" w:rsidRPr="005E779E" w14:paraId="338E84FF" w14:textId="77777777">
        <w:tc>
          <w:tcPr>
            <w:tcW w:w="1024" w:type="dxa"/>
          </w:tcPr>
          <w:p w14:paraId="7D2624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4CB4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BC75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ED72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59FC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2B9A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E5E3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6508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330DCD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техническим требованиям ВВС. ИАМ"у указано, что</w:t>
            </w:r>
          </w:p>
        </w:tc>
      </w:tr>
      <w:tr w:rsidR="001002C3" w:rsidRPr="005E779E" w14:paraId="4F1A394D" w14:textId="77777777">
        <w:tc>
          <w:tcPr>
            <w:tcW w:w="1024" w:type="dxa"/>
          </w:tcPr>
          <w:p w14:paraId="7D90FF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A7D6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DDD5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62F4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4E85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7572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A80D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2CB3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51EEBE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мотор по этим данным не может заменить М-38 и </w:t>
            </w:r>
          </w:p>
        </w:tc>
      </w:tr>
      <w:tr w:rsidR="001002C3" w:rsidRPr="005E779E" w14:paraId="024AD7DE" w14:textId="77777777">
        <w:tc>
          <w:tcPr>
            <w:tcW w:w="1024" w:type="dxa"/>
          </w:tcPr>
          <w:p w14:paraId="3C152A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14B6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A374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A818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B251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F524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7AD9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F5D7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134968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что постановление РВС должно быть выполнено </w:t>
            </w:r>
          </w:p>
        </w:tc>
      </w:tr>
      <w:tr w:rsidR="001002C3" w:rsidRPr="005E779E" w14:paraId="4CDBDAF6" w14:textId="77777777">
        <w:tc>
          <w:tcPr>
            <w:tcW w:w="1024" w:type="dxa"/>
          </w:tcPr>
          <w:p w14:paraId="0C4800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4C84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7A1D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B755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551A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F6D8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D5ED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0054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4EA5E1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точно и в срок. Что же касается запроектированного</w:t>
            </w:r>
          </w:p>
        </w:tc>
      </w:tr>
      <w:tr w:rsidR="001002C3" w:rsidRPr="005E779E" w14:paraId="1C649809" w14:textId="77777777">
        <w:tc>
          <w:tcPr>
            <w:tcW w:w="1024" w:type="dxa"/>
          </w:tcPr>
          <w:p w14:paraId="296BFB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A467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35F3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CA93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91D2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3934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ACAE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B391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6AE98A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ИАМ"ом мотора, он может быть последним </w:t>
            </w:r>
          </w:p>
        </w:tc>
      </w:tr>
      <w:tr w:rsidR="001002C3" w:rsidRPr="005E779E" w14:paraId="4D21E099" w14:textId="77777777">
        <w:tc>
          <w:tcPr>
            <w:tcW w:w="1024" w:type="dxa"/>
          </w:tcPr>
          <w:p w14:paraId="5A2963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EAEF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E99C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201F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6C4C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C363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BE78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2190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76C3B5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построен исключительно как тип переходный в</w:t>
            </w:r>
          </w:p>
        </w:tc>
      </w:tr>
      <w:tr w:rsidR="001002C3" w:rsidRPr="005E779E" w14:paraId="38DE947F" w14:textId="77777777">
        <w:tc>
          <w:tcPr>
            <w:tcW w:w="1024" w:type="dxa"/>
          </w:tcPr>
          <w:p w14:paraId="27B21B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DEC0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7BB5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F781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2294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9B68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03D9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CE14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5CF833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целях конструирования.</w:t>
            </w:r>
          </w:p>
        </w:tc>
      </w:tr>
      <w:tr w:rsidR="001002C3" w:rsidRPr="005E779E" w14:paraId="3D7FAB1D" w14:textId="77777777">
        <w:tc>
          <w:tcPr>
            <w:tcW w:w="1024" w:type="dxa"/>
          </w:tcPr>
          <w:p w14:paraId="4DF391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тяжелых</w:t>
            </w:r>
          </w:p>
        </w:tc>
        <w:tc>
          <w:tcPr>
            <w:tcW w:w="1024" w:type="dxa"/>
          </w:tcPr>
          <w:p w14:paraId="14283C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ИАМ</w:t>
            </w:r>
          </w:p>
        </w:tc>
        <w:tc>
          <w:tcPr>
            <w:tcW w:w="1024" w:type="dxa"/>
          </w:tcPr>
          <w:p w14:paraId="66A757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водян.</w:t>
            </w:r>
          </w:p>
        </w:tc>
        <w:tc>
          <w:tcPr>
            <w:tcW w:w="1024" w:type="dxa"/>
          </w:tcPr>
          <w:p w14:paraId="3CDFE2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2000</w:t>
            </w:r>
          </w:p>
        </w:tc>
        <w:tc>
          <w:tcPr>
            <w:tcW w:w="1024" w:type="dxa"/>
          </w:tcPr>
          <w:p w14:paraId="740268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1800</w:t>
            </w:r>
          </w:p>
        </w:tc>
        <w:tc>
          <w:tcPr>
            <w:tcW w:w="1024" w:type="dxa"/>
          </w:tcPr>
          <w:p w14:paraId="1B7B61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0,9</w:t>
            </w:r>
          </w:p>
        </w:tc>
        <w:tc>
          <w:tcPr>
            <w:tcW w:w="1024" w:type="dxa"/>
          </w:tcPr>
          <w:p w14:paraId="6763F3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3500</w:t>
            </w:r>
          </w:p>
        </w:tc>
        <w:tc>
          <w:tcPr>
            <w:tcW w:w="1024" w:type="dxa"/>
          </w:tcPr>
          <w:p w14:paraId="008FC2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июля</w:t>
            </w:r>
          </w:p>
        </w:tc>
        <w:tc>
          <w:tcPr>
            <w:tcW w:w="2406" w:type="dxa"/>
          </w:tcPr>
          <w:p w14:paraId="262A3D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Проектирование мотора окончено. Рабочие чертежи </w:t>
            </w:r>
          </w:p>
        </w:tc>
      </w:tr>
      <w:tr w:rsidR="001002C3" w:rsidRPr="005E779E" w14:paraId="6695867D" w14:textId="77777777">
        <w:tc>
          <w:tcPr>
            <w:tcW w:w="1024" w:type="dxa"/>
          </w:tcPr>
          <w:p w14:paraId="65D456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бомбардировщиков</w:t>
            </w:r>
          </w:p>
        </w:tc>
        <w:tc>
          <w:tcPr>
            <w:tcW w:w="1024" w:type="dxa"/>
          </w:tcPr>
          <w:p w14:paraId="1E0A68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5B80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60CD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B8FE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0160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E246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C34C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1932 г.</w:t>
            </w:r>
          </w:p>
        </w:tc>
        <w:tc>
          <w:tcPr>
            <w:tcW w:w="2406" w:type="dxa"/>
          </w:tcPr>
          <w:p w14:paraId="0A5B2B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переданы в производство. В связи с загрузкой</w:t>
            </w:r>
          </w:p>
        </w:tc>
      </w:tr>
      <w:tr w:rsidR="001002C3" w:rsidRPr="005E779E" w14:paraId="72E55C01" w14:textId="77777777">
        <w:tc>
          <w:tcPr>
            <w:tcW w:w="1024" w:type="dxa"/>
          </w:tcPr>
          <w:p w14:paraId="11555B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М-44</w:t>
            </w:r>
          </w:p>
        </w:tc>
        <w:tc>
          <w:tcPr>
            <w:tcW w:w="1024" w:type="dxa"/>
          </w:tcPr>
          <w:p w14:paraId="129F56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BDCA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1E6D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4DDA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CE5F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244B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66F2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0B811A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завода ИАМ"а мотором М-34, работа по мотору М-44</w:t>
            </w:r>
          </w:p>
        </w:tc>
      </w:tr>
      <w:tr w:rsidR="001002C3" w:rsidRPr="005E779E" w14:paraId="6C5ADCC8" w14:textId="77777777">
        <w:tc>
          <w:tcPr>
            <w:tcW w:w="1024" w:type="dxa"/>
          </w:tcPr>
          <w:p w14:paraId="640794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C813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ADD3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940E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F871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2D32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006E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9834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7032EA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отнесена к второочередной.</w:t>
            </w:r>
          </w:p>
        </w:tc>
      </w:tr>
      <w:tr w:rsidR="001002C3" w:rsidRPr="005E779E" w14:paraId="691162BE" w14:textId="77777777">
        <w:tc>
          <w:tcPr>
            <w:tcW w:w="1024" w:type="dxa"/>
          </w:tcPr>
          <w:p w14:paraId="74D4CB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тяжелых</w:t>
            </w:r>
          </w:p>
        </w:tc>
        <w:tc>
          <w:tcPr>
            <w:tcW w:w="1024" w:type="dxa"/>
          </w:tcPr>
          <w:p w14:paraId="22A248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ИАМ</w:t>
            </w:r>
          </w:p>
        </w:tc>
        <w:tc>
          <w:tcPr>
            <w:tcW w:w="1024" w:type="dxa"/>
          </w:tcPr>
          <w:p w14:paraId="46C835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024" w:type="dxa"/>
          </w:tcPr>
          <w:p w14:paraId="09C6DA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1250</w:t>
            </w:r>
          </w:p>
        </w:tc>
        <w:tc>
          <w:tcPr>
            <w:tcW w:w="1024" w:type="dxa"/>
          </w:tcPr>
          <w:p w14:paraId="2CB315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Требования должны быть</w:t>
            </w:r>
          </w:p>
        </w:tc>
        <w:tc>
          <w:tcPr>
            <w:tcW w:w="1024" w:type="dxa"/>
          </w:tcPr>
          <w:p w14:paraId="6D5BC7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FA08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2D98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6B319A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Проектирование начнется после гос. испытаний </w:t>
            </w:r>
          </w:p>
        </w:tc>
      </w:tr>
      <w:tr w:rsidR="001002C3" w:rsidRPr="005E779E" w14:paraId="212DC1D8" w14:textId="77777777">
        <w:tc>
          <w:tcPr>
            <w:tcW w:w="1024" w:type="dxa"/>
          </w:tcPr>
          <w:p w14:paraId="5B05FB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бомбардировщиков</w:t>
            </w:r>
          </w:p>
        </w:tc>
        <w:tc>
          <w:tcPr>
            <w:tcW w:w="1024" w:type="dxa"/>
          </w:tcPr>
          <w:p w14:paraId="0F9012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26C1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EBEB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1500</w:t>
            </w:r>
          </w:p>
        </w:tc>
        <w:tc>
          <w:tcPr>
            <w:tcW w:w="1024" w:type="dxa"/>
          </w:tcPr>
          <w:p w14:paraId="27BC7E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представлены ИАМ"ом.</w:t>
            </w:r>
          </w:p>
        </w:tc>
        <w:tc>
          <w:tcPr>
            <w:tcW w:w="1024" w:type="dxa"/>
          </w:tcPr>
          <w:p w14:paraId="054BC3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8ED8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0533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6F9423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мотора М-34.</w:t>
            </w:r>
          </w:p>
        </w:tc>
      </w:tr>
      <w:tr w:rsidR="001002C3" w:rsidRPr="005E779E" w14:paraId="0C911776" w14:textId="77777777">
        <w:tc>
          <w:tcPr>
            <w:tcW w:w="1024" w:type="dxa"/>
          </w:tcPr>
          <w:p w14:paraId="73723D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М-35</w:t>
            </w:r>
          </w:p>
        </w:tc>
        <w:tc>
          <w:tcPr>
            <w:tcW w:w="1024" w:type="dxa"/>
          </w:tcPr>
          <w:p w14:paraId="00B332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9B25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FE5D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61C3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A5A9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58BE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7FDF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1AA37A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14C3546" w14:textId="77777777">
        <w:tc>
          <w:tcPr>
            <w:tcW w:w="1024" w:type="dxa"/>
          </w:tcPr>
          <w:p w14:paraId="353DCA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разведчика</w:t>
            </w:r>
          </w:p>
        </w:tc>
        <w:tc>
          <w:tcPr>
            <w:tcW w:w="1024" w:type="dxa"/>
          </w:tcPr>
          <w:p w14:paraId="1E9553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ИАМ</w:t>
            </w:r>
          </w:p>
        </w:tc>
        <w:tc>
          <w:tcPr>
            <w:tcW w:w="1024" w:type="dxa"/>
          </w:tcPr>
          <w:p w14:paraId="61B5CF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024" w:type="dxa"/>
          </w:tcPr>
          <w:p w14:paraId="16E672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750</w:t>
            </w:r>
          </w:p>
        </w:tc>
        <w:tc>
          <w:tcPr>
            <w:tcW w:w="1024" w:type="dxa"/>
          </w:tcPr>
          <w:p w14:paraId="21C00B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540</w:t>
            </w:r>
          </w:p>
        </w:tc>
        <w:tc>
          <w:tcPr>
            <w:tcW w:w="1024" w:type="dxa"/>
          </w:tcPr>
          <w:p w14:paraId="5F7B64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0,74</w:t>
            </w:r>
          </w:p>
        </w:tc>
        <w:tc>
          <w:tcPr>
            <w:tcW w:w="1024" w:type="dxa"/>
          </w:tcPr>
          <w:p w14:paraId="1BD7A1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024" w:type="dxa"/>
          </w:tcPr>
          <w:p w14:paraId="3A5519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июля</w:t>
            </w:r>
          </w:p>
        </w:tc>
        <w:tc>
          <w:tcPr>
            <w:tcW w:w="2406" w:type="dxa"/>
          </w:tcPr>
          <w:p w14:paraId="6DD0E0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 предъявлен на гос. испытания с пониженными</w:t>
            </w:r>
          </w:p>
        </w:tc>
      </w:tr>
      <w:tr w:rsidR="001002C3" w:rsidRPr="005E779E" w14:paraId="4C6B074B" w14:textId="77777777">
        <w:tc>
          <w:tcPr>
            <w:tcW w:w="1024" w:type="dxa"/>
          </w:tcPr>
          <w:p w14:paraId="63A45F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М-34</w:t>
            </w:r>
          </w:p>
        </w:tc>
        <w:tc>
          <w:tcPr>
            <w:tcW w:w="1024" w:type="dxa"/>
          </w:tcPr>
          <w:p w14:paraId="33DE43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D213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318E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900</w:t>
            </w:r>
          </w:p>
        </w:tc>
        <w:tc>
          <w:tcPr>
            <w:tcW w:w="1024" w:type="dxa"/>
          </w:tcPr>
          <w:p w14:paraId="762AED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E4BB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F0A2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9031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1932 г.</w:t>
            </w:r>
          </w:p>
        </w:tc>
        <w:tc>
          <w:tcPr>
            <w:tcW w:w="2406" w:type="dxa"/>
          </w:tcPr>
          <w:p w14:paraId="24CFA1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протв технических требований ВВС данными. Мотор </w:t>
            </w:r>
          </w:p>
        </w:tc>
      </w:tr>
      <w:tr w:rsidR="001002C3" w:rsidRPr="005E779E" w14:paraId="461FFF77" w14:textId="77777777">
        <w:tc>
          <w:tcPr>
            <w:tcW w:w="1024" w:type="dxa"/>
          </w:tcPr>
          <w:p w14:paraId="4103B4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36D7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F9A3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F048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1320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C5FC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67E2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7687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5C47B6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ставится на станок для проведения 100 час. испытан.</w:t>
            </w:r>
          </w:p>
        </w:tc>
      </w:tr>
      <w:tr w:rsidR="001002C3" w:rsidRPr="005E779E" w14:paraId="54EBF0C4" w14:textId="77777777">
        <w:tc>
          <w:tcPr>
            <w:tcW w:w="1024" w:type="dxa"/>
          </w:tcPr>
          <w:p w14:paraId="549863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3D6F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E8B8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0D76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7FA7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39C5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52A0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F611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4C1B78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Изготовлено 3 образца.</w:t>
            </w:r>
          </w:p>
        </w:tc>
      </w:tr>
      <w:tr w:rsidR="001002C3" w:rsidRPr="005E779E" w14:paraId="28013D64" w14:textId="77777777">
        <w:tc>
          <w:tcPr>
            <w:tcW w:w="1024" w:type="dxa"/>
          </w:tcPr>
          <w:p w14:paraId="7A8076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Нефтяные моторы</w:t>
            </w:r>
          </w:p>
        </w:tc>
        <w:tc>
          <w:tcPr>
            <w:tcW w:w="1024" w:type="dxa"/>
          </w:tcPr>
          <w:p w14:paraId="2D52E5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3203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C875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4C2D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74E6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BCCD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2520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6350A6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ИАМ"ом ведутся экспериментальные работы по</w:t>
            </w:r>
          </w:p>
        </w:tc>
      </w:tr>
      <w:tr w:rsidR="001002C3" w:rsidRPr="005E779E" w14:paraId="25CB3EB9" w14:textId="77777777">
        <w:tc>
          <w:tcPr>
            <w:tcW w:w="1024" w:type="dxa"/>
          </w:tcPr>
          <w:p w14:paraId="529CE8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836D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1FA8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84A1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28A7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AF87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EF74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4301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0D9EF2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одноцилиндровым установкам. 4 установки </w:t>
            </w:r>
          </w:p>
        </w:tc>
      </w:tr>
      <w:tr w:rsidR="001002C3" w:rsidRPr="005E779E" w14:paraId="30D728FC" w14:textId="77777777">
        <w:tc>
          <w:tcPr>
            <w:tcW w:w="1024" w:type="dxa"/>
          </w:tcPr>
          <w:p w14:paraId="013207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59F1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85B2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2825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253C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92C3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5295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4432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014435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заканчиваются производством. Отдел нефтяных</w:t>
            </w:r>
          </w:p>
        </w:tc>
      </w:tr>
      <w:tr w:rsidR="001002C3" w:rsidRPr="005E779E" w14:paraId="772D85DB" w14:textId="77777777">
        <w:tc>
          <w:tcPr>
            <w:tcW w:w="1024" w:type="dxa"/>
          </w:tcPr>
          <w:p w14:paraId="494C26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76E1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C1AC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0D00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D7B0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94F5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8854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110A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7DCE87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двигателей приступает к проектированию 600 </w:t>
            </w:r>
          </w:p>
        </w:tc>
      </w:tr>
      <w:tr w:rsidR="001002C3" w:rsidRPr="005E779E" w14:paraId="15665C40" w14:textId="77777777">
        <w:tc>
          <w:tcPr>
            <w:tcW w:w="1024" w:type="dxa"/>
          </w:tcPr>
          <w:p w14:paraId="287524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F722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EA20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FC4E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6D99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AFE3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ACA2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F51D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696CFE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сильного мотора водяного охлаждения. По линии</w:t>
            </w:r>
          </w:p>
        </w:tc>
      </w:tr>
      <w:tr w:rsidR="001002C3" w:rsidRPr="005E779E" w14:paraId="088F3AC3" w14:textId="77777777">
        <w:tc>
          <w:tcPr>
            <w:tcW w:w="1024" w:type="dxa"/>
          </w:tcPr>
          <w:p w14:paraId="12EDB4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2EB3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9F84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A366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B13E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A89D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9FBB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EDA0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0121CB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Всесоюз. дизельного института спроектирован </w:t>
            </w:r>
          </w:p>
        </w:tc>
      </w:tr>
      <w:tr w:rsidR="001002C3" w:rsidRPr="005E779E" w14:paraId="72B38F63" w14:textId="77777777">
        <w:tc>
          <w:tcPr>
            <w:tcW w:w="1024" w:type="dxa"/>
          </w:tcPr>
          <w:p w14:paraId="79CE03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79DC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1C49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3DC8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4134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8181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4AAB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9425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7677F3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авиадизель 1000 л.с. Техническое совещание </w:t>
            </w:r>
          </w:p>
        </w:tc>
      </w:tr>
      <w:tr w:rsidR="001002C3" w:rsidRPr="005E779E" w14:paraId="4E081156" w14:textId="77777777">
        <w:tc>
          <w:tcPr>
            <w:tcW w:w="1024" w:type="dxa"/>
          </w:tcPr>
          <w:p w14:paraId="6D90B1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EA71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1AC1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80CA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DE5B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754B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D786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47CE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76CDBE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признало необходимым внести ряд конструктивных</w:t>
            </w:r>
          </w:p>
        </w:tc>
      </w:tr>
      <w:tr w:rsidR="001002C3" w:rsidRPr="005E779E" w14:paraId="3F489E68" w14:textId="77777777">
        <w:tc>
          <w:tcPr>
            <w:tcW w:w="1024" w:type="dxa"/>
          </w:tcPr>
          <w:p w14:paraId="268DEE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0C31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CB7D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9DA2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7305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AF4A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CF7D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1CBD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3D995B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изменений. Задание по дизелю Паккард 220 НР </w:t>
            </w:r>
          </w:p>
        </w:tc>
      </w:tr>
      <w:tr w:rsidR="001002C3" w:rsidRPr="005E779E" w14:paraId="451A6700" w14:textId="77777777">
        <w:tc>
          <w:tcPr>
            <w:tcW w:w="1024" w:type="dxa"/>
          </w:tcPr>
          <w:p w14:paraId="5FF1CA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FF19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7119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EA82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9D89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ABDA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F0FE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673F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7EF2D6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ИАМ"ом не выполнены.</w:t>
            </w:r>
          </w:p>
        </w:tc>
      </w:tr>
    </w:tbl>
    <w:p w14:paraId="20EE47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По самолетам.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24"/>
        <w:gridCol w:w="1024"/>
        <w:gridCol w:w="1024"/>
        <w:gridCol w:w="1024"/>
        <w:gridCol w:w="1024"/>
        <w:gridCol w:w="1024"/>
        <w:gridCol w:w="1024"/>
        <w:gridCol w:w="3430"/>
      </w:tblGrid>
      <w:tr w:rsidR="001002C3" w:rsidRPr="005E779E" w14:paraId="22CC209C" w14:textId="77777777">
        <w:tc>
          <w:tcPr>
            <w:tcW w:w="1024" w:type="dxa"/>
          </w:tcPr>
          <w:p w14:paraId="7046B8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w:t>
            </w:r>
          </w:p>
        </w:tc>
        <w:tc>
          <w:tcPr>
            <w:tcW w:w="1024" w:type="dxa"/>
          </w:tcPr>
          <w:p w14:paraId="6424E0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BE13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1189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Основные летно-тактические данные</w:t>
            </w:r>
          </w:p>
        </w:tc>
        <w:tc>
          <w:tcPr>
            <w:tcW w:w="1024" w:type="dxa"/>
          </w:tcPr>
          <w:p w14:paraId="73E272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43C7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4E08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CA862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5450F56" w14:textId="77777777">
        <w:tc>
          <w:tcPr>
            <w:tcW w:w="1024" w:type="dxa"/>
          </w:tcPr>
          <w:p w14:paraId="0C0BD1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самолетов</w:t>
            </w:r>
          </w:p>
        </w:tc>
        <w:tc>
          <w:tcPr>
            <w:tcW w:w="1024" w:type="dxa"/>
          </w:tcPr>
          <w:p w14:paraId="3C7494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w:t>
            </w:r>
          </w:p>
        </w:tc>
        <w:tc>
          <w:tcPr>
            <w:tcW w:w="1024" w:type="dxa"/>
          </w:tcPr>
          <w:p w14:paraId="5F779B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Скоропод.</w:t>
            </w:r>
          </w:p>
        </w:tc>
        <w:tc>
          <w:tcPr>
            <w:tcW w:w="1024" w:type="dxa"/>
          </w:tcPr>
          <w:p w14:paraId="0A9E90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Потолок</w:t>
            </w:r>
          </w:p>
        </w:tc>
        <w:tc>
          <w:tcPr>
            <w:tcW w:w="1024" w:type="dxa"/>
          </w:tcPr>
          <w:p w14:paraId="00084B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1024" w:type="dxa"/>
          </w:tcPr>
          <w:p w14:paraId="594E5A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w:t>
            </w:r>
          </w:p>
        </w:tc>
        <w:tc>
          <w:tcPr>
            <w:tcW w:w="1024" w:type="dxa"/>
          </w:tcPr>
          <w:p w14:paraId="2DEF7C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w:t>
            </w:r>
          </w:p>
        </w:tc>
        <w:tc>
          <w:tcPr>
            <w:tcW w:w="3430" w:type="dxa"/>
          </w:tcPr>
          <w:p w14:paraId="578E32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 октября 1931 г.</w:t>
            </w:r>
          </w:p>
        </w:tc>
      </w:tr>
      <w:tr w:rsidR="001002C3" w:rsidRPr="005E779E" w14:paraId="491383EE" w14:textId="77777777">
        <w:tc>
          <w:tcPr>
            <w:tcW w:w="1024" w:type="dxa"/>
          </w:tcPr>
          <w:p w14:paraId="456A0A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14E8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гориз.</w:t>
            </w:r>
          </w:p>
        </w:tc>
        <w:tc>
          <w:tcPr>
            <w:tcW w:w="1024" w:type="dxa"/>
          </w:tcPr>
          <w:p w14:paraId="0D3181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мин. на</w:t>
            </w:r>
          </w:p>
        </w:tc>
        <w:tc>
          <w:tcPr>
            <w:tcW w:w="1024" w:type="dxa"/>
          </w:tcPr>
          <w:p w14:paraId="3F490D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w:t>
            </w:r>
          </w:p>
        </w:tc>
        <w:tc>
          <w:tcPr>
            <w:tcW w:w="1024" w:type="dxa"/>
          </w:tcPr>
          <w:p w14:paraId="709452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1FA5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27FC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действ.</w:t>
            </w:r>
          </w:p>
        </w:tc>
        <w:tc>
          <w:tcPr>
            <w:tcW w:w="3430" w:type="dxa"/>
          </w:tcPr>
          <w:p w14:paraId="5B00CF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предъяв.</w:t>
            </w:r>
          </w:p>
        </w:tc>
      </w:tr>
      <w:tr w:rsidR="001002C3" w:rsidRPr="005E779E" w14:paraId="5523B58F" w14:textId="77777777">
        <w:tc>
          <w:tcPr>
            <w:tcW w:w="1024" w:type="dxa"/>
          </w:tcPr>
          <w:p w14:paraId="0CB91E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CF05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 в</w:t>
            </w:r>
          </w:p>
        </w:tc>
        <w:tc>
          <w:tcPr>
            <w:tcW w:w="1024" w:type="dxa"/>
          </w:tcPr>
          <w:p w14:paraId="050CCA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высоту</w:t>
            </w:r>
          </w:p>
        </w:tc>
        <w:tc>
          <w:tcPr>
            <w:tcW w:w="1024" w:type="dxa"/>
          </w:tcPr>
          <w:p w14:paraId="56CEC4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5211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7D7E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6909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58EDF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гос.</w:t>
            </w:r>
          </w:p>
        </w:tc>
      </w:tr>
      <w:tr w:rsidR="001002C3" w:rsidRPr="005E779E" w14:paraId="176CFAC5" w14:textId="77777777">
        <w:tc>
          <w:tcPr>
            <w:tcW w:w="1024" w:type="dxa"/>
          </w:tcPr>
          <w:p w14:paraId="55F920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6AD5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км на</w:t>
            </w:r>
          </w:p>
        </w:tc>
        <w:tc>
          <w:tcPr>
            <w:tcW w:w="1024" w:type="dxa"/>
          </w:tcPr>
          <w:p w14:paraId="0A93F2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CA78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7AF7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7D12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2B35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3AC63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w:t>
            </w:r>
          </w:p>
        </w:tc>
      </w:tr>
      <w:tr w:rsidR="001002C3" w:rsidRPr="005E779E" w14:paraId="369D1DE3" w14:textId="77777777">
        <w:tc>
          <w:tcPr>
            <w:tcW w:w="1024" w:type="dxa"/>
          </w:tcPr>
          <w:p w14:paraId="4ADD27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3EE5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высоте</w:t>
            </w:r>
          </w:p>
        </w:tc>
        <w:tc>
          <w:tcPr>
            <w:tcW w:w="1024" w:type="dxa"/>
          </w:tcPr>
          <w:p w14:paraId="04FD1C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2AC7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3A98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FA4F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D746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9BF2F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FDCC523" w14:textId="77777777">
        <w:tc>
          <w:tcPr>
            <w:tcW w:w="1024" w:type="dxa"/>
          </w:tcPr>
          <w:p w14:paraId="449062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ТБ-4</w:t>
            </w:r>
          </w:p>
        </w:tc>
        <w:tc>
          <w:tcPr>
            <w:tcW w:w="1024" w:type="dxa"/>
          </w:tcPr>
          <w:p w14:paraId="721475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024" w:type="dxa"/>
          </w:tcPr>
          <w:p w14:paraId="15F81E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024" w:type="dxa"/>
          </w:tcPr>
          <w:p w14:paraId="6AB8E2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024" w:type="dxa"/>
          </w:tcPr>
          <w:p w14:paraId="51D2B2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пулем.</w:t>
            </w:r>
          </w:p>
        </w:tc>
        <w:tc>
          <w:tcPr>
            <w:tcW w:w="1024" w:type="dxa"/>
          </w:tcPr>
          <w:p w14:paraId="1B0984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w:t>
            </w:r>
          </w:p>
        </w:tc>
        <w:tc>
          <w:tcPr>
            <w:tcW w:w="1024" w:type="dxa"/>
          </w:tcPr>
          <w:p w14:paraId="572BC4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мая</w:t>
            </w:r>
          </w:p>
        </w:tc>
        <w:tc>
          <w:tcPr>
            <w:tcW w:w="3430" w:type="dxa"/>
          </w:tcPr>
          <w:p w14:paraId="4520A1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Постановлением РВС от 5 августа 1931 года</w:t>
            </w:r>
          </w:p>
        </w:tc>
      </w:tr>
      <w:tr w:rsidR="001002C3" w:rsidRPr="005E779E" w14:paraId="2DA70B6D" w14:textId="77777777">
        <w:tc>
          <w:tcPr>
            <w:tcW w:w="1024" w:type="dxa"/>
          </w:tcPr>
          <w:p w14:paraId="238385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A8BC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4DF7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2A1A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360C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пушки</w:t>
            </w:r>
          </w:p>
        </w:tc>
        <w:tc>
          <w:tcPr>
            <w:tcW w:w="1024" w:type="dxa"/>
          </w:tcPr>
          <w:p w14:paraId="7B8AC2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4FAD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 г.</w:t>
            </w:r>
          </w:p>
        </w:tc>
        <w:tc>
          <w:tcPr>
            <w:tcW w:w="3430" w:type="dxa"/>
          </w:tcPr>
          <w:p w14:paraId="2CB16C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срок представления самолета с шестью </w:t>
            </w:r>
          </w:p>
        </w:tc>
      </w:tr>
      <w:tr w:rsidR="001002C3" w:rsidRPr="005E779E" w14:paraId="30CD1132" w14:textId="77777777">
        <w:tc>
          <w:tcPr>
            <w:tcW w:w="1024" w:type="dxa"/>
          </w:tcPr>
          <w:p w14:paraId="7C6E15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2CBC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37E3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29BF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9AED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перегр.</w:t>
            </w:r>
          </w:p>
        </w:tc>
        <w:tc>
          <w:tcPr>
            <w:tcW w:w="1024" w:type="dxa"/>
          </w:tcPr>
          <w:p w14:paraId="6292DC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1ADC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C9C3C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моторами М-34 на гос. испытания отсрочен</w:t>
            </w:r>
          </w:p>
        </w:tc>
      </w:tr>
      <w:tr w:rsidR="001002C3" w:rsidRPr="005E779E" w14:paraId="12713E26" w14:textId="77777777">
        <w:tc>
          <w:tcPr>
            <w:tcW w:w="1024" w:type="dxa"/>
          </w:tcPr>
          <w:p w14:paraId="461988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9D22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48FC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03F6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1684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w:t>
            </w:r>
          </w:p>
        </w:tc>
        <w:tc>
          <w:tcPr>
            <w:tcW w:w="1024" w:type="dxa"/>
          </w:tcPr>
          <w:p w14:paraId="03E9A1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DF9C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1937E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до 1 мая 1932 года. В настоящее время ЦАГИ </w:t>
            </w:r>
          </w:p>
        </w:tc>
      </w:tr>
      <w:tr w:rsidR="001002C3" w:rsidRPr="005E779E" w14:paraId="7F2A88CF" w14:textId="77777777">
        <w:tc>
          <w:tcPr>
            <w:tcW w:w="1024" w:type="dxa"/>
          </w:tcPr>
          <w:p w14:paraId="1D6A01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C6E0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8E1C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DC4E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B278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6000 кг</w:t>
            </w:r>
          </w:p>
        </w:tc>
        <w:tc>
          <w:tcPr>
            <w:tcW w:w="1024" w:type="dxa"/>
          </w:tcPr>
          <w:p w14:paraId="43D226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0E3E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D7010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Цаги проводит сборку крыльев, фюзеляжа, </w:t>
            </w:r>
          </w:p>
        </w:tc>
      </w:tr>
      <w:tr w:rsidR="001002C3" w:rsidRPr="005E779E" w14:paraId="0A3E6802" w14:textId="77777777">
        <w:tc>
          <w:tcPr>
            <w:tcW w:w="1024" w:type="dxa"/>
          </w:tcPr>
          <w:p w14:paraId="1DCF59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96FD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81DB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C909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788C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w:t>
            </w:r>
          </w:p>
        </w:tc>
        <w:tc>
          <w:tcPr>
            <w:tcW w:w="1024" w:type="dxa"/>
          </w:tcPr>
          <w:p w14:paraId="67B7A2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D580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BA6D4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оперения. К устнавленному времени подачи</w:t>
            </w:r>
          </w:p>
        </w:tc>
      </w:tr>
      <w:tr w:rsidR="001002C3" w:rsidRPr="005E779E" w14:paraId="4C34143B" w14:textId="77777777">
        <w:tc>
          <w:tcPr>
            <w:tcW w:w="1024" w:type="dxa"/>
          </w:tcPr>
          <w:p w14:paraId="1728DC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A601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8B0D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9F4B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3258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88D6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9DBF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FC824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моторов (начало февраля) самолет может</w:t>
            </w:r>
          </w:p>
        </w:tc>
      </w:tr>
      <w:tr w:rsidR="001002C3" w:rsidRPr="005E779E" w14:paraId="5A3E09BA" w14:textId="77777777">
        <w:tc>
          <w:tcPr>
            <w:tcW w:w="1024" w:type="dxa"/>
          </w:tcPr>
          <w:p w14:paraId="04F900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8CDD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0A9C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2CC3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5F62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42DA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B432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90D31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быть почти достроен, благодаря чему срок</w:t>
            </w:r>
          </w:p>
        </w:tc>
      </w:tr>
      <w:tr w:rsidR="001002C3" w:rsidRPr="005E779E" w14:paraId="09F03DA6" w14:textId="77777777">
        <w:tc>
          <w:tcPr>
            <w:tcW w:w="1024" w:type="dxa"/>
          </w:tcPr>
          <w:p w14:paraId="190811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9D72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3C8A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8B0F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F04E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0506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C6E3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C1E85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его выпуска на аэродром определится</w:t>
            </w:r>
          </w:p>
        </w:tc>
      </w:tr>
      <w:tr w:rsidR="001002C3" w:rsidRPr="005E779E" w14:paraId="474F9B4B" w14:textId="77777777">
        <w:tc>
          <w:tcPr>
            <w:tcW w:w="1024" w:type="dxa"/>
          </w:tcPr>
          <w:p w14:paraId="6079C7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E723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5694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82F8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8433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C1F9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984D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EEFF9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готовностью моторов М-34.</w:t>
            </w:r>
          </w:p>
        </w:tc>
      </w:tr>
      <w:tr w:rsidR="001002C3" w:rsidRPr="005E779E" w14:paraId="75992894" w14:textId="77777777">
        <w:tc>
          <w:tcPr>
            <w:tcW w:w="1024" w:type="dxa"/>
          </w:tcPr>
          <w:p w14:paraId="54057A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3248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1DA0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A800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3586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689A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E8DA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B0B8F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связи с директивой зам. пред. РВС о</w:t>
            </w:r>
          </w:p>
        </w:tc>
      </w:tr>
      <w:tr w:rsidR="001002C3" w:rsidRPr="005E779E" w14:paraId="1549B4BC" w14:textId="77777777">
        <w:tc>
          <w:tcPr>
            <w:tcW w:w="1024" w:type="dxa"/>
          </w:tcPr>
          <w:p w14:paraId="0FB6A5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0898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CFDF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CBE7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8DED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DC54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B059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960E5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сокращении числа типов опытных с-тов</w:t>
            </w:r>
          </w:p>
        </w:tc>
      </w:tr>
      <w:tr w:rsidR="001002C3" w:rsidRPr="005E779E" w14:paraId="20DCE98B" w14:textId="77777777">
        <w:tc>
          <w:tcPr>
            <w:tcW w:w="1024" w:type="dxa"/>
          </w:tcPr>
          <w:p w14:paraId="47A74A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D709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9383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392F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F286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2FFF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5C64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F77C5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является целесообразным снять с ОКБ </w:t>
            </w:r>
          </w:p>
        </w:tc>
      </w:tr>
      <w:tr w:rsidR="001002C3" w:rsidRPr="005E779E" w14:paraId="330907E3" w14:textId="77777777">
        <w:tc>
          <w:tcPr>
            <w:tcW w:w="1024" w:type="dxa"/>
          </w:tcPr>
          <w:p w14:paraId="55F84D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B906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36F8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DEAB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73CD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8D18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E63F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A10D6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стальной вариант ТБ-4 с уменьшенной</w:t>
            </w:r>
          </w:p>
        </w:tc>
      </w:tr>
      <w:tr w:rsidR="001002C3" w:rsidRPr="005E779E" w14:paraId="4595ED27" w14:textId="77777777">
        <w:tc>
          <w:tcPr>
            <w:tcW w:w="1024" w:type="dxa"/>
          </w:tcPr>
          <w:p w14:paraId="7C8063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68F1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09E6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CC89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C3AD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D54B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D004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93BC8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площадью крыльев для форбирования и</w:t>
            </w:r>
          </w:p>
        </w:tc>
      </w:tr>
      <w:tr w:rsidR="001002C3" w:rsidRPr="005E779E" w14:paraId="17419D07" w14:textId="77777777">
        <w:tc>
          <w:tcPr>
            <w:tcW w:w="1024" w:type="dxa"/>
          </w:tcPr>
          <w:p w14:paraId="23B7B8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281D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046C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C9C0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DD5E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7D4A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9294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06A40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постройки более тяжелых бомбовозов.</w:t>
            </w:r>
          </w:p>
        </w:tc>
      </w:tr>
      <w:tr w:rsidR="001002C3" w:rsidRPr="005E779E" w14:paraId="379E5D86" w14:textId="77777777">
        <w:tc>
          <w:tcPr>
            <w:tcW w:w="1024" w:type="dxa"/>
          </w:tcPr>
          <w:p w14:paraId="4B31C2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F6E2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4DD8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7CDE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6EB7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8AF4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E0DF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2EA75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Межак.</w:t>
            </w:r>
          </w:p>
        </w:tc>
      </w:tr>
      <w:tr w:rsidR="001002C3" w:rsidRPr="005E779E" w14:paraId="23F63318" w14:textId="77777777">
        <w:tc>
          <w:tcPr>
            <w:tcW w:w="1024" w:type="dxa"/>
          </w:tcPr>
          <w:p w14:paraId="5176A2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ТБ5-4ЮVI</w:t>
            </w:r>
          </w:p>
        </w:tc>
        <w:tc>
          <w:tcPr>
            <w:tcW w:w="1024" w:type="dxa"/>
          </w:tcPr>
          <w:p w14:paraId="4F37FF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208/</w:t>
            </w:r>
          </w:p>
        </w:tc>
        <w:tc>
          <w:tcPr>
            <w:tcW w:w="1024" w:type="dxa"/>
          </w:tcPr>
          <w:p w14:paraId="325EF2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w:t>
            </w:r>
          </w:p>
        </w:tc>
        <w:tc>
          <w:tcPr>
            <w:tcW w:w="1024" w:type="dxa"/>
          </w:tcPr>
          <w:p w14:paraId="7F886F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024" w:type="dxa"/>
          </w:tcPr>
          <w:p w14:paraId="3026E1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6-10 пул.</w:t>
            </w:r>
          </w:p>
        </w:tc>
        <w:tc>
          <w:tcPr>
            <w:tcW w:w="1024" w:type="dxa"/>
          </w:tcPr>
          <w:p w14:paraId="5E970A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w:t>
            </w:r>
          </w:p>
        </w:tc>
        <w:tc>
          <w:tcPr>
            <w:tcW w:w="1024" w:type="dxa"/>
          </w:tcPr>
          <w:p w14:paraId="638BD7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 мая </w:t>
            </w:r>
          </w:p>
        </w:tc>
        <w:tc>
          <w:tcPr>
            <w:tcW w:w="3430" w:type="dxa"/>
          </w:tcPr>
          <w:p w14:paraId="06E897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ОКБ принято решение самолет с моторами</w:t>
            </w:r>
          </w:p>
        </w:tc>
      </w:tr>
      <w:tr w:rsidR="001002C3" w:rsidRPr="005E779E" w14:paraId="341369A1" w14:textId="77777777">
        <w:tc>
          <w:tcPr>
            <w:tcW w:w="1024" w:type="dxa"/>
          </w:tcPr>
          <w:p w14:paraId="3712F3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223E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55C2A1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26B904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DD85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1500 кг</w:t>
            </w:r>
          </w:p>
        </w:tc>
        <w:tc>
          <w:tcPr>
            <w:tcW w:w="1024" w:type="dxa"/>
          </w:tcPr>
          <w:p w14:paraId="274E8F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DFDB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 г.</w:t>
            </w:r>
          </w:p>
        </w:tc>
        <w:tc>
          <w:tcPr>
            <w:tcW w:w="3430" w:type="dxa"/>
          </w:tcPr>
          <w:p w14:paraId="25FB48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ЮVI без редуктора на гос. испытания не</w:t>
            </w:r>
          </w:p>
        </w:tc>
      </w:tr>
      <w:tr w:rsidR="001002C3" w:rsidRPr="005E779E" w14:paraId="71DB9CEE" w14:textId="77777777">
        <w:tc>
          <w:tcPr>
            <w:tcW w:w="1024" w:type="dxa"/>
          </w:tcPr>
          <w:p w14:paraId="67C823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07A3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2953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7D03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FFCA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 с</w:t>
            </w:r>
          </w:p>
        </w:tc>
        <w:tc>
          <w:tcPr>
            <w:tcW w:w="1024" w:type="dxa"/>
          </w:tcPr>
          <w:p w14:paraId="5E1948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0060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8737E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представлять. Моторы ЮVI с редуктором</w:t>
            </w:r>
          </w:p>
        </w:tc>
      </w:tr>
      <w:tr w:rsidR="001002C3" w:rsidRPr="005E779E" w14:paraId="0D466AFB" w14:textId="77777777">
        <w:tc>
          <w:tcPr>
            <w:tcW w:w="1024" w:type="dxa"/>
          </w:tcPr>
          <w:p w14:paraId="11203B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9058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AADF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6036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1F04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перегр.</w:t>
            </w:r>
          </w:p>
        </w:tc>
        <w:tc>
          <w:tcPr>
            <w:tcW w:w="1024" w:type="dxa"/>
          </w:tcPr>
          <w:p w14:paraId="5CF152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EE2C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C25B2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заказаны во Франции. Ожидается их </w:t>
            </w:r>
          </w:p>
        </w:tc>
      </w:tr>
      <w:tr w:rsidR="001002C3" w:rsidRPr="005E779E" w14:paraId="17E9E59D" w14:textId="77777777">
        <w:tc>
          <w:tcPr>
            <w:tcW w:w="1024" w:type="dxa"/>
          </w:tcPr>
          <w:p w14:paraId="6182D7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9BE6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DDD9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DFAE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405E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 за</w:t>
            </w:r>
          </w:p>
        </w:tc>
        <w:tc>
          <w:tcPr>
            <w:tcW w:w="1024" w:type="dxa"/>
          </w:tcPr>
          <w:p w14:paraId="777B46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5F45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4F862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получение.</w:t>
            </w:r>
          </w:p>
        </w:tc>
      </w:tr>
      <w:tr w:rsidR="001002C3" w:rsidRPr="005E779E" w14:paraId="2441E6B9" w14:textId="77777777">
        <w:tc>
          <w:tcPr>
            <w:tcW w:w="1024" w:type="dxa"/>
          </w:tcPr>
          <w:p w14:paraId="031A6D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E60E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D66E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68E9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D021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счет</w:t>
            </w:r>
          </w:p>
        </w:tc>
        <w:tc>
          <w:tcPr>
            <w:tcW w:w="1024" w:type="dxa"/>
          </w:tcPr>
          <w:p w14:paraId="12A379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70AA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14522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Срок передачи на гос. испытания самолета</w:t>
            </w:r>
          </w:p>
        </w:tc>
      </w:tr>
      <w:tr w:rsidR="001002C3" w:rsidRPr="005E779E" w14:paraId="27EEE8A7" w14:textId="77777777">
        <w:tc>
          <w:tcPr>
            <w:tcW w:w="1024" w:type="dxa"/>
          </w:tcPr>
          <w:p w14:paraId="0F3D1F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F2FD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F37F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6A4C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1821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горючего</w:t>
            </w:r>
          </w:p>
        </w:tc>
        <w:tc>
          <w:tcPr>
            <w:tcW w:w="1024" w:type="dxa"/>
          </w:tcPr>
          <w:p w14:paraId="7FC965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56BF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6FFA1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ОКБ не установлен.</w:t>
            </w:r>
          </w:p>
        </w:tc>
      </w:tr>
      <w:tr w:rsidR="001002C3" w:rsidRPr="005E779E" w14:paraId="4C58296D" w14:textId="77777777">
        <w:tc>
          <w:tcPr>
            <w:tcW w:w="1024" w:type="dxa"/>
          </w:tcPr>
          <w:p w14:paraId="136004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9833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ED5F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76E4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2D06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4000 кг</w:t>
            </w:r>
          </w:p>
        </w:tc>
        <w:tc>
          <w:tcPr>
            <w:tcW w:w="1024" w:type="dxa"/>
          </w:tcPr>
          <w:p w14:paraId="6D5937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AD92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7DFB6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Вахмистров.</w:t>
            </w:r>
          </w:p>
        </w:tc>
      </w:tr>
      <w:tr w:rsidR="001002C3" w:rsidRPr="005E779E" w14:paraId="3DDC7FDC" w14:textId="77777777">
        <w:tc>
          <w:tcPr>
            <w:tcW w:w="1024" w:type="dxa"/>
          </w:tcPr>
          <w:p w14:paraId="6D3A1B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3D12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F02A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9C94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0722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w:t>
            </w:r>
          </w:p>
        </w:tc>
        <w:tc>
          <w:tcPr>
            <w:tcW w:w="1024" w:type="dxa"/>
          </w:tcPr>
          <w:p w14:paraId="0CCFB1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E895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3C3E9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0724425" w14:textId="77777777">
        <w:tc>
          <w:tcPr>
            <w:tcW w:w="1024" w:type="dxa"/>
          </w:tcPr>
          <w:p w14:paraId="4F21E4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МИ3 2хМ34</w:t>
            </w:r>
          </w:p>
        </w:tc>
        <w:tc>
          <w:tcPr>
            <w:tcW w:w="1024" w:type="dxa"/>
          </w:tcPr>
          <w:p w14:paraId="62398B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w:t>
            </w:r>
          </w:p>
        </w:tc>
        <w:tc>
          <w:tcPr>
            <w:tcW w:w="1024" w:type="dxa"/>
          </w:tcPr>
          <w:p w14:paraId="549EDD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w:t>
            </w:r>
          </w:p>
        </w:tc>
        <w:tc>
          <w:tcPr>
            <w:tcW w:w="1024" w:type="dxa"/>
          </w:tcPr>
          <w:p w14:paraId="6D9ACE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7000</w:t>
            </w:r>
          </w:p>
        </w:tc>
        <w:tc>
          <w:tcPr>
            <w:tcW w:w="1024" w:type="dxa"/>
          </w:tcPr>
          <w:p w14:paraId="66ECD2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тяж.</w:t>
            </w:r>
          </w:p>
        </w:tc>
        <w:tc>
          <w:tcPr>
            <w:tcW w:w="1024" w:type="dxa"/>
          </w:tcPr>
          <w:p w14:paraId="2666BC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w:t>
            </w:r>
          </w:p>
        </w:tc>
        <w:tc>
          <w:tcPr>
            <w:tcW w:w="1024" w:type="dxa"/>
          </w:tcPr>
          <w:p w14:paraId="4E559C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янв.</w:t>
            </w:r>
          </w:p>
        </w:tc>
        <w:tc>
          <w:tcPr>
            <w:tcW w:w="3430" w:type="dxa"/>
          </w:tcPr>
          <w:p w14:paraId="456FE3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ОКБ закончило проектирование и </w:t>
            </w:r>
          </w:p>
        </w:tc>
      </w:tr>
      <w:tr w:rsidR="001002C3" w:rsidRPr="005E779E" w14:paraId="3229BA7A" w14:textId="77777777">
        <w:tc>
          <w:tcPr>
            <w:tcW w:w="1024" w:type="dxa"/>
          </w:tcPr>
          <w:p w14:paraId="6AAD25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8CDB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29CB18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024" w:type="dxa"/>
          </w:tcPr>
          <w:p w14:paraId="6F6965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8000</w:t>
            </w:r>
          </w:p>
        </w:tc>
        <w:tc>
          <w:tcPr>
            <w:tcW w:w="1024" w:type="dxa"/>
          </w:tcPr>
          <w:p w14:paraId="3969E1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пулем.</w:t>
            </w:r>
          </w:p>
        </w:tc>
        <w:tc>
          <w:tcPr>
            <w:tcW w:w="1024" w:type="dxa"/>
          </w:tcPr>
          <w:p w14:paraId="2E0D76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8D9C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1932 г.</w:t>
            </w:r>
          </w:p>
        </w:tc>
        <w:tc>
          <w:tcPr>
            <w:tcW w:w="3430" w:type="dxa"/>
          </w:tcPr>
          <w:p w14:paraId="34BC2D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приступило к постройке самолета. Можно</w:t>
            </w:r>
          </w:p>
        </w:tc>
      </w:tr>
      <w:tr w:rsidR="001002C3" w:rsidRPr="005E779E" w14:paraId="77D10D9E" w14:textId="77777777">
        <w:tc>
          <w:tcPr>
            <w:tcW w:w="1024" w:type="dxa"/>
          </w:tcPr>
          <w:p w14:paraId="05E398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560A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6000</w:t>
            </w:r>
          </w:p>
        </w:tc>
        <w:tc>
          <w:tcPr>
            <w:tcW w:w="1024" w:type="dxa"/>
          </w:tcPr>
          <w:p w14:paraId="0AE466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463C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9DED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легк.</w:t>
            </w:r>
          </w:p>
        </w:tc>
        <w:tc>
          <w:tcPr>
            <w:tcW w:w="1024" w:type="dxa"/>
          </w:tcPr>
          <w:p w14:paraId="31BCA1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9996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B35BE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ожидать что срок представления на</w:t>
            </w:r>
          </w:p>
        </w:tc>
      </w:tr>
      <w:tr w:rsidR="001002C3" w:rsidRPr="005E779E" w14:paraId="36D276EE" w14:textId="77777777">
        <w:tc>
          <w:tcPr>
            <w:tcW w:w="1024" w:type="dxa"/>
          </w:tcPr>
          <w:p w14:paraId="2A045B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2C07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22CE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5057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4078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пулем.</w:t>
            </w:r>
          </w:p>
        </w:tc>
        <w:tc>
          <w:tcPr>
            <w:tcW w:w="1024" w:type="dxa"/>
          </w:tcPr>
          <w:p w14:paraId="5F5D27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B458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8BC31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гос. испытания 1 января 1932 г. не будет</w:t>
            </w:r>
          </w:p>
        </w:tc>
      </w:tr>
      <w:tr w:rsidR="001002C3" w:rsidRPr="005E779E" w14:paraId="57B149A7" w14:textId="77777777">
        <w:tc>
          <w:tcPr>
            <w:tcW w:w="1024" w:type="dxa"/>
          </w:tcPr>
          <w:p w14:paraId="43295B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A481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0A86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D27C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FD24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7276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4B03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1CF45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выдержн как по причине вероятного </w:t>
            </w:r>
          </w:p>
        </w:tc>
      </w:tr>
      <w:tr w:rsidR="001002C3" w:rsidRPr="005E779E" w14:paraId="45021259" w14:textId="77777777">
        <w:tc>
          <w:tcPr>
            <w:tcW w:w="1024" w:type="dxa"/>
          </w:tcPr>
          <w:p w14:paraId="476367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95F9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9B76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1BCD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AC67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10C3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2396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6603C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запоздания моторов М-34, так и не</w:t>
            </w:r>
          </w:p>
        </w:tc>
      </w:tr>
      <w:tr w:rsidR="001002C3" w:rsidRPr="005E779E" w14:paraId="4DFD80D1" w14:textId="77777777">
        <w:tc>
          <w:tcPr>
            <w:tcW w:w="1024" w:type="dxa"/>
          </w:tcPr>
          <w:p w14:paraId="7B86CC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6CBB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6034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C220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74C5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C06D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3704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2B753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готовности конструкции самолета.</w:t>
            </w:r>
          </w:p>
        </w:tc>
      </w:tr>
      <w:tr w:rsidR="001002C3" w:rsidRPr="005E779E" w14:paraId="402B1BAB" w14:textId="77777777">
        <w:tc>
          <w:tcPr>
            <w:tcW w:w="1024" w:type="dxa"/>
          </w:tcPr>
          <w:p w14:paraId="1143AB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1BA7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E7C2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1512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77A5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035D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29D4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0CFD5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Межак.</w:t>
            </w:r>
          </w:p>
        </w:tc>
      </w:tr>
      <w:tr w:rsidR="001002C3" w:rsidRPr="005E779E" w14:paraId="3E6B8537" w14:textId="77777777">
        <w:tc>
          <w:tcPr>
            <w:tcW w:w="1024" w:type="dxa"/>
          </w:tcPr>
          <w:p w14:paraId="50D151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ДИ3-М17</w:t>
            </w:r>
          </w:p>
        </w:tc>
        <w:tc>
          <w:tcPr>
            <w:tcW w:w="1024" w:type="dxa"/>
          </w:tcPr>
          <w:p w14:paraId="093373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212/</w:t>
            </w:r>
          </w:p>
        </w:tc>
        <w:tc>
          <w:tcPr>
            <w:tcW w:w="1024" w:type="dxa"/>
          </w:tcPr>
          <w:p w14:paraId="15E7D1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w:t>
            </w:r>
          </w:p>
        </w:tc>
        <w:tc>
          <w:tcPr>
            <w:tcW w:w="1024" w:type="dxa"/>
          </w:tcPr>
          <w:p w14:paraId="796328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024" w:type="dxa"/>
          </w:tcPr>
          <w:p w14:paraId="6C2887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пул.</w:t>
            </w:r>
          </w:p>
        </w:tc>
        <w:tc>
          <w:tcPr>
            <w:tcW w:w="1024" w:type="dxa"/>
          </w:tcPr>
          <w:p w14:paraId="69F5EE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250</w:t>
            </w:r>
          </w:p>
        </w:tc>
        <w:tc>
          <w:tcPr>
            <w:tcW w:w="1024" w:type="dxa"/>
          </w:tcPr>
          <w:p w14:paraId="1ACC36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февр.</w:t>
            </w:r>
          </w:p>
        </w:tc>
        <w:tc>
          <w:tcPr>
            <w:tcW w:w="3430" w:type="dxa"/>
          </w:tcPr>
          <w:p w14:paraId="2759E3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Ввиду неудовлетвоения техтребованиям</w:t>
            </w:r>
          </w:p>
        </w:tc>
      </w:tr>
      <w:tr w:rsidR="001002C3" w:rsidRPr="005E779E" w14:paraId="24FD8368" w14:textId="77777777">
        <w:tc>
          <w:tcPr>
            <w:tcW w:w="1024" w:type="dxa"/>
          </w:tcPr>
          <w:p w14:paraId="3DE25E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4104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024" w:type="dxa"/>
          </w:tcPr>
          <w:p w14:paraId="4954BD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024" w:type="dxa"/>
          </w:tcPr>
          <w:p w14:paraId="52F28A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C012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8DD7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275</w:t>
            </w:r>
          </w:p>
        </w:tc>
        <w:tc>
          <w:tcPr>
            <w:tcW w:w="1024" w:type="dxa"/>
          </w:tcPr>
          <w:p w14:paraId="389C8E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 г.</w:t>
            </w:r>
          </w:p>
        </w:tc>
        <w:tc>
          <w:tcPr>
            <w:tcW w:w="3430" w:type="dxa"/>
          </w:tcPr>
          <w:p w14:paraId="6919FC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отношении летных данным зам. пред.</w:t>
            </w:r>
          </w:p>
        </w:tc>
      </w:tr>
      <w:tr w:rsidR="001002C3" w:rsidRPr="005E779E" w14:paraId="07CAA527" w14:textId="77777777">
        <w:tc>
          <w:tcPr>
            <w:tcW w:w="1024" w:type="dxa"/>
          </w:tcPr>
          <w:p w14:paraId="2CA6FB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00E7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AE43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59F5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3ACF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3420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CCC6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3E01D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РВС Гамарником принято решение самолет</w:t>
            </w:r>
          </w:p>
        </w:tc>
      </w:tr>
      <w:tr w:rsidR="001002C3" w:rsidRPr="005E779E" w14:paraId="3ECBDDD5" w14:textId="77777777">
        <w:tc>
          <w:tcPr>
            <w:tcW w:w="1024" w:type="dxa"/>
          </w:tcPr>
          <w:p w14:paraId="042E90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5916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B25D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AAB7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4858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8A36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5AAC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A9345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вооружение не принимать.</w:t>
            </w:r>
          </w:p>
        </w:tc>
      </w:tr>
      <w:tr w:rsidR="001002C3" w:rsidRPr="005E779E" w14:paraId="200B1FAA" w14:textId="77777777">
        <w:tc>
          <w:tcPr>
            <w:tcW w:w="1024" w:type="dxa"/>
          </w:tcPr>
          <w:p w14:paraId="2E0A08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Р8-М27</w:t>
            </w:r>
          </w:p>
        </w:tc>
        <w:tc>
          <w:tcPr>
            <w:tcW w:w="1024" w:type="dxa"/>
          </w:tcPr>
          <w:p w14:paraId="51F016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245/</w:t>
            </w:r>
          </w:p>
        </w:tc>
        <w:tc>
          <w:tcPr>
            <w:tcW w:w="1024" w:type="dxa"/>
          </w:tcPr>
          <w:p w14:paraId="028CCB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w:t>
            </w:r>
          </w:p>
        </w:tc>
        <w:tc>
          <w:tcPr>
            <w:tcW w:w="1024" w:type="dxa"/>
          </w:tcPr>
          <w:p w14:paraId="6E62D2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7000</w:t>
            </w:r>
          </w:p>
        </w:tc>
        <w:tc>
          <w:tcPr>
            <w:tcW w:w="1024" w:type="dxa"/>
          </w:tcPr>
          <w:p w14:paraId="6040D3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пул.</w:t>
            </w:r>
          </w:p>
        </w:tc>
        <w:tc>
          <w:tcPr>
            <w:tcW w:w="1024" w:type="dxa"/>
          </w:tcPr>
          <w:p w14:paraId="3203F3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024" w:type="dxa"/>
          </w:tcPr>
          <w:p w14:paraId="5C93D7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мая</w:t>
            </w:r>
          </w:p>
        </w:tc>
        <w:tc>
          <w:tcPr>
            <w:tcW w:w="3430" w:type="dxa"/>
          </w:tcPr>
          <w:p w14:paraId="2ED0EC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Несмотря на неутверждение боевой схемы</w:t>
            </w:r>
          </w:p>
        </w:tc>
      </w:tr>
      <w:tr w:rsidR="001002C3" w:rsidRPr="005E779E" w14:paraId="127D81BA" w14:textId="77777777">
        <w:tc>
          <w:tcPr>
            <w:tcW w:w="1024" w:type="dxa"/>
          </w:tcPr>
          <w:p w14:paraId="65CA7F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7F65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4669B2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5FE2F5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EA55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DE31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2ADC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 г.</w:t>
            </w:r>
          </w:p>
        </w:tc>
        <w:tc>
          <w:tcPr>
            <w:tcW w:w="3430" w:type="dxa"/>
          </w:tcPr>
          <w:p w14:paraId="0A6CFE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самолета со стороны УВВС ОКБ </w:t>
            </w:r>
          </w:p>
        </w:tc>
      </w:tr>
      <w:tr w:rsidR="001002C3" w:rsidRPr="005E779E" w14:paraId="74CE8D07" w14:textId="77777777">
        <w:tc>
          <w:tcPr>
            <w:tcW w:w="1024" w:type="dxa"/>
          </w:tcPr>
          <w:p w14:paraId="73E681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F1D0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DF47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C8C9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F2DF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628D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ED44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85B62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продолжает его постройку рассматривая</w:t>
            </w:r>
          </w:p>
        </w:tc>
      </w:tr>
      <w:tr w:rsidR="001002C3" w:rsidRPr="005E779E" w14:paraId="07A82CA8" w14:textId="77777777">
        <w:tc>
          <w:tcPr>
            <w:tcW w:w="1024" w:type="dxa"/>
          </w:tcPr>
          <w:p w14:paraId="330537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37FA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87F9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733A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94C6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94F6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CF57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24D39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как экспериментальный.</w:t>
            </w:r>
          </w:p>
        </w:tc>
      </w:tr>
      <w:tr w:rsidR="001002C3" w:rsidRPr="005E779E" w14:paraId="05D0EA95" w14:textId="77777777">
        <w:tc>
          <w:tcPr>
            <w:tcW w:w="1024" w:type="dxa"/>
          </w:tcPr>
          <w:p w14:paraId="59C5DC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B1D8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CBE6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5B0A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B828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075A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1771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A6668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настоящее время, т.е. через 5 месяцев</w:t>
            </w:r>
          </w:p>
        </w:tc>
      </w:tr>
      <w:tr w:rsidR="001002C3" w:rsidRPr="005E779E" w14:paraId="5AA298C0" w14:textId="77777777">
        <w:tc>
          <w:tcPr>
            <w:tcW w:w="1024" w:type="dxa"/>
          </w:tcPr>
          <w:p w14:paraId="3AC40D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5529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2A1A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415F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ED77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0873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321B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5459C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того как самолет должен был выйти</w:t>
            </w:r>
          </w:p>
        </w:tc>
      </w:tr>
      <w:tr w:rsidR="001002C3" w:rsidRPr="005E779E" w14:paraId="5F355AC1" w14:textId="77777777">
        <w:tc>
          <w:tcPr>
            <w:tcW w:w="1024" w:type="dxa"/>
          </w:tcPr>
          <w:p w14:paraId="2ACAD7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B4ED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180F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2178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298B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E7A7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0185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E6F4E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аэродром, заканчивается эскизный</w:t>
            </w:r>
          </w:p>
        </w:tc>
      </w:tr>
      <w:tr w:rsidR="001002C3" w:rsidRPr="005E779E" w14:paraId="32EE3283" w14:textId="77777777">
        <w:tc>
          <w:tcPr>
            <w:tcW w:w="1024" w:type="dxa"/>
          </w:tcPr>
          <w:p w14:paraId="1CE796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7529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BF27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5B24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A57B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70AC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8A0D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A2FB2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проект Р8-М27 в схеме премлемой для ВВС.</w:t>
            </w:r>
          </w:p>
        </w:tc>
      </w:tr>
      <w:tr w:rsidR="001002C3" w:rsidRPr="005E779E" w14:paraId="0E50C0B2" w14:textId="77777777">
        <w:tc>
          <w:tcPr>
            <w:tcW w:w="1024" w:type="dxa"/>
          </w:tcPr>
          <w:p w14:paraId="77149E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018B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4A1C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45B2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EF0D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DD90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07BA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09BA6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Полехин.</w:t>
            </w:r>
          </w:p>
        </w:tc>
      </w:tr>
      <w:tr w:rsidR="001002C3" w:rsidRPr="005E779E" w14:paraId="6DBBF864" w14:textId="77777777">
        <w:tc>
          <w:tcPr>
            <w:tcW w:w="1024" w:type="dxa"/>
          </w:tcPr>
          <w:p w14:paraId="4AFD33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Р8-М34</w:t>
            </w:r>
          </w:p>
        </w:tc>
        <w:tc>
          <w:tcPr>
            <w:tcW w:w="1024" w:type="dxa"/>
          </w:tcPr>
          <w:p w14:paraId="6EA825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250/</w:t>
            </w:r>
          </w:p>
        </w:tc>
        <w:tc>
          <w:tcPr>
            <w:tcW w:w="1024" w:type="dxa"/>
          </w:tcPr>
          <w:p w14:paraId="43B676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8/10/</w:t>
            </w:r>
          </w:p>
        </w:tc>
        <w:tc>
          <w:tcPr>
            <w:tcW w:w="1024" w:type="dxa"/>
          </w:tcPr>
          <w:p w14:paraId="49DEC8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7000</w:t>
            </w:r>
          </w:p>
        </w:tc>
        <w:tc>
          <w:tcPr>
            <w:tcW w:w="1024" w:type="dxa"/>
          </w:tcPr>
          <w:p w14:paraId="02BAC6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пул.</w:t>
            </w:r>
          </w:p>
        </w:tc>
        <w:tc>
          <w:tcPr>
            <w:tcW w:w="1024" w:type="dxa"/>
          </w:tcPr>
          <w:p w14:paraId="526E2B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650</w:t>
            </w:r>
          </w:p>
        </w:tc>
        <w:tc>
          <w:tcPr>
            <w:tcW w:w="1024" w:type="dxa"/>
          </w:tcPr>
          <w:p w14:paraId="678FFF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окт.</w:t>
            </w:r>
          </w:p>
        </w:tc>
        <w:tc>
          <w:tcPr>
            <w:tcW w:w="3430" w:type="dxa"/>
          </w:tcPr>
          <w:p w14:paraId="1A4896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Работы не начаты.</w:t>
            </w:r>
          </w:p>
        </w:tc>
      </w:tr>
      <w:tr w:rsidR="001002C3" w:rsidRPr="005E779E" w14:paraId="50E430B4" w14:textId="77777777">
        <w:tc>
          <w:tcPr>
            <w:tcW w:w="1024" w:type="dxa"/>
          </w:tcPr>
          <w:p w14:paraId="5F3519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1C4E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4002F6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4CB93F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7500</w:t>
            </w:r>
          </w:p>
        </w:tc>
        <w:tc>
          <w:tcPr>
            <w:tcW w:w="1024" w:type="dxa"/>
          </w:tcPr>
          <w:p w14:paraId="79C378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FAD3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750</w:t>
            </w:r>
          </w:p>
        </w:tc>
        <w:tc>
          <w:tcPr>
            <w:tcW w:w="1024" w:type="dxa"/>
          </w:tcPr>
          <w:p w14:paraId="639D53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 г.</w:t>
            </w:r>
          </w:p>
        </w:tc>
        <w:tc>
          <w:tcPr>
            <w:tcW w:w="3430" w:type="dxa"/>
          </w:tcPr>
          <w:p w14:paraId="259E9C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40067AD" w14:textId="77777777">
        <w:tc>
          <w:tcPr>
            <w:tcW w:w="1024" w:type="dxa"/>
          </w:tcPr>
          <w:p w14:paraId="5D2D56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МДР3-4ЮVI</w:t>
            </w:r>
          </w:p>
        </w:tc>
        <w:tc>
          <w:tcPr>
            <w:tcW w:w="1024" w:type="dxa"/>
          </w:tcPr>
          <w:p w14:paraId="2F503F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w:t>
            </w:r>
          </w:p>
        </w:tc>
        <w:tc>
          <w:tcPr>
            <w:tcW w:w="1024" w:type="dxa"/>
          </w:tcPr>
          <w:p w14:paraId="349C8B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w:t>
            </w:r>
          </w:p>
        </w:tc>
        <w:tc>
          <w:tcPr>
            <w:tcW w:w="1024" w:type="dxa"/>
          </w:tcPr>
          <w:p w14:paraId="74A1E7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024" w:type="dxa"/>
          </w:tcPr>
          <w:p w14:paraId="0229C7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пул.</w:t>
            </w:r>
          </w:p>
        </w:tc>
        <w:tc>
          <w:tcPr>
            <w:tcW w:w="1024" w:type="dxa"/>
          </w:tcPr>
          <w:p w14:paraId="17CCA5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w:t>
            </w:r>
          </w:p>
        </w:tc>
        <w:tc>
          <w:tcPr>
            <w:tcW w:w="1024" w:type="dxa"/>
          </w:tcPr>
          <w:p w14:paraId="210770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июня</w:t>
            </w:r>
          </w:p>
        </w:tc>
        <w:tc>
          <w:tcPr>
            <w:tcW w:w="3430" w:type="dxa"/>
          </w:tcPr>
          <w:p w14:paraId="3563E2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Вторично данный РВСС срок 10 сентября </w:t>
            </w:r>
          </w:p>
        </w:tc>
      </w:tr>
      <w:tr w:rsidR="001002C3" w:rsidRPr="005E779E" w14:paraId="495F480C" w14:textId="77777777">
        <w:tc>
          <w:tcPr>
            <w:tcW w:w="1024" w:type="dxa"/>
          </w:tcPr>
          <w:p w14:paraId="2E9641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5003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79B01F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74B28E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FED4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авт.</w:t>
            </w:r>
          </w:p>
        </w:tc>
        <w:tc>
          <w:tcPr>
            <w:tcW w:w="1024" w:type="dxa"/>
          </w:tcPr>
          <w:p w14:paraId="4B382E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1200</w:t>
            </w:r>
          </w:p>
        </w:tc>
        <w:tc>
          <w:tcPr>
            <w:tcW w:w="1024" w:type="dxa"/>
          </w:tcPr>
          <w:p w14:paraId="455D8C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 г.</w:t>
            </w:r>
          </w:p>
        </w:tc>
        <w:tc>
          <w:tcPr>
            <w:tcW w:w="3430" w:type="dxa"/>
          </w:tcPr>
          <w:p w14:paraId="30D729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 года выпуска самолета на госиспытан.</w:t>
            </w:r>
          </w:p>
        </w:tc>
      </w:tr>
      <w:tr w:rsidR="001002C3" w:rsidRPr="005E779E" w14:paraId="7888000A" w14:textId="77777777">
        <w:tc>
          <w:tcPr>
            <w:tcW w:w="1024" w:type="dxa"/>
          </w:tcPr>
          <w:p w14:paraId="675BD1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83A6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92B6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8333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6407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пушка</w:t>
            </w:r>
          </w:p>
        </w:tc>
        <w:tc>
          <w:tcPr>
            <w:tcW w:w="1024" w:type="dxa"/>
          </w:tcPr>
          <w:p w14:paraId="4C6DF0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BED7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45F56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заводом N 39 не выдержан из-за задержек</w:t>
            </w:r>
          </w:p>
        </w:tc>
      </w:tr>
      <w:tr w:rsidR="001002C3" w:rsidRPr="005E779E" w14:paraId="6CE0889F" w14:textId="77777777">
        <w:tc>
          <w:tcPr>
            <w:tcW w:w="1024" w:type="dxa"/>
          </w:tcPr>
          <w:p w14:paraId="14766E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8963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C34E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A686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8FF5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 кг</w:t>
            </w:r>
          </w:p>
        </w:tc>
        <w:tc>
          <w:tcPr>
            <w:tcW w:w="1024" w:type="dxa"/>
          </w:tcPr>
          <w:p w14:paraId="2ABF3C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8604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159CB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производстве. Срок подачи на госиспытан.</w:t>
            </w:r>
          </w:p>
        </w:tc>
      </w:tr>
      <w:tr w:rsidR="001002C3" w:rsidRPr="005E779E" w14:paraId="6F2A1B57" w14:textId="77777777">
        <w:tc>
          <w:tcPr>
            <w:tcW w:w="1024" w:type="dxa"/>
          </w:tcPr>
          <w:p w14:paraId="7CE632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2D20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3D6A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2FE2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1C9D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w:t>
            </w:r>
          </w:p>
        </w:tc>
        <w:tc>
          <w:tcPr>
            <w:tcW w:w="1024" w:type="dxa"/>
          </w:tcPr>
          <w:p w14:paraId="6FC6A4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AF59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C13D0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самолета не известен заводу.</w:t>
            </w:r>
          </w:p>
        </w:tc>
      </w:tr>
      <w:tr w:rsidR="001002C3" w:rsidRPr="005E779E" w14:paraId="3C6404B3" w14:textId="77777777">
        <w:tc>
          <w:tcPr>
            <w:tcW w:w="1024" w:type="dxa"/>
          </w:tcPr>
          <w:p w14:paraId="3D67D9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1D8D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BC44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A5FC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CFB0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A230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3329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3CD0C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Волков.</w:t>
            </w:r>
          </w:p>
        </w:tc>
      </w:tr>
      <w:tr w:rsidR="001002C3" w:rsidRPr="005E779E" w14:paraId="72D5880D" w14:textId="77777777">
        <w:tc>
          <w:tcPr>
            <w:tcW w:w="1024" w:type="dxa"/>
          </w:tcPr>
          <w:p w14:paraId="64152E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2-я очередь (основные типы по системе вооружения).</w:t>
            </w:r>
          </w:p>
        </w:tc>
        <w:tc>
          <w:tcPr>
            <w:tcW w:w="1024" w:type="dxa"/>
          </w:tcPr>
          <w:p w14:paraId="1B9A5F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46E1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4E14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6335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0CEF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5B39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2B69D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00BA7D0" w14:textId="77777777">
        <w:tc>
          <w:tcPr>
            <w:tcW w:w="1024" w:type="dxa"/>
          </w:tcPr>
          <w:p w14:paraId="04D15D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ДИ4- КК</w:t>
            </w:r>
          </w:p>
        </w:tc>
        <w:tc>
          <w:tcPr>
            <w:tcW w:w="1024" w:type="dxa"/>
          </w:tcPr>
          <w:p w14:paraId="6F0462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280/</w:t>
            </w:r>
          </w:p>
        </w:tc>
        <w:tc>
          <w:tcPr>
            <w:tcW w:w="1024" w:type="dxa"/>
          </w:tcPr>
          <w:p w14:paraId="165637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8,5/</w:t>
            </w:r>
          </w:p>
        </w:tc>
        <w:tc>
          <w:tcPr>
            <w:tcW w:w="1024" w:type="dxa"/>
          </w:tcPr>
          <w:p w14:paraId="04ABC1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8000</w:t>
            </w:r>
          </w:p>
        </w:tc>
        <w:tc>
          <w:tcPr>
            <w:tcW w:w="1024" w:type="dxa"/>
          </w:tcPr>
          <w:p w14:paraId="4C39C5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пул.</w:t>
            </w:r>
          </w:p>
        </w:tc>
        <w:tc>
          <w:tcPr>
            <w:tcW w:w="1024" w:type="dxa"/>
          </w:tcPr>
          <w:p w14:paraId="5F5DAD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450</w:t>
            </w:r>
          </w:p>
        </w:tc>
        <w:tc>
          <w:tcPr>
            <w:tcW w:w="1024" w:type="dxa"/>
          </w:tcPr>
          <w:p w14:paraId="27DEDF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сент.</w:t>
            </w:r>
          </w:p>
        </w:tc>
        <w:tc>
          <w:tcPr>
            <w:tcW w:w="3430" w:type="dxa"/>
          </w:tcPr>
          <w:p w14:paraId="2C3172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Постройка самолета с мотором Кертис</w:t>
            </w:r>
          </w:p>
        </w:tc>
      </w:tr>
      <w:tr w:rsidR="001002C3" w:rsidRPr="005E779E" w14:paraId="2545C2E4" w14:textId="77777777">
        <w:tc>
          <w:tcPr>
            <w:tcW w:w="1024" w:type="dxa"/>
          </w:tcPr>
          <w:p w14:paraId="5A3180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13C4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024" w:type="dxa"/>
          </w:tcPr>
          <w:p w14:paraId="695798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024" w:type="dxa"/>
          </w:tcPr>
          <w:p w14:paraId="60852B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F1F0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B723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w:t>
            </w:r>
          </w:p>
        </w:tc>
        <w:tc>
          <w:tcPr>
            <w:tcW w:w="1024" w:type="dxa"/>
          </w:tcPr>
          <w:p w14:paraId="1FD32C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 г.</w:t>
            </w:r>
          </w:p>
        </w:tc>
        <w:tc>
          <w:tcPr>
            <w:tcW w:w="3430" w:type="dxa"/>
          </w:tcPr>
          <w:p w14:paraId="035D16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Конкверор заканчивается. Его заводские</w:t>
            </w:r>
          </w:p>
        </w:tc>
      </w:tr>
      <w:tr w:rsidR="001002C3" w:rsidRPr="005E779E" w14:paraId="333583C3" w14:textId="77777777">
        <w:tc>
          <w:tcPr>
            <w:tcW w:w="1024" w:type="dxa"/>
          </w:tcPr>
          <w:p w14:paraId="005266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2642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C1FD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35E9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3952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2DA1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A755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779B5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испытания должны начаться в 1-й декаде </w:t>
            </w:r>
          </w:p>
        </w:tc>
      </w:tr>
      <w:tr w:rsidR="001002C3" w:rsidRPr="005E779E" w14:paraId="0D988B0E" w14:textId="77777777">
        <w:tc>
          <w:tcPr>
            <w:tcW w:w="1024" w:type="dxa"/>
          </w:tcPr>
          <w:p w14:paraId="270C9E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29FD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E19A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FBCD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127D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6FE2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3F23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B3725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ноября.</w:t>
            </w:r>
          </w:p>
        </w:tc>
      </w:tr>
      <w:tr w:rsidR="001002C3" w:rsidRPr="005E779E" w14:paraId="7A6B8E2F" w14:textId="77777777">
        <w:tc>
          <w:tcPr>
            <w:tcW w:w="1024" w:type="dxa"/>
          </w:tcPr>
          <w:p w14:paraId="301B5B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9B89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E589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D1E1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B9A6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471D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348A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5B8B7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Холодов.</w:t>
            </w:r>
          </w:p>
        </w:tc>
      </w:tr>
      <w:tr w:rsidR="001002C3" w:rsidRPr="005E779E" w14:paraId="38BC15EE" w14:textId="77777777">
        <w:tc>
          <w:tcPr>
            <w:tcW w:w="1024" w:type="dxa"/>
          </w:tcPr>
          <w:p w14:paraId="0B3AAA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ДИ5-ФЭД</w:t>
            </w:r>
          </w:p>
        </w:tc>
        <w:tc>
          <w:tcPr>
            <w:tcW w:w="1024" w:type="dxa"/>
          </w:tcPr>
          <w:p w14:paraId="64AE62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270/</w:t>
            </w:r>
          </w:p>
        </w:tc>
        <w:tc>
          <w:tcPr>
            <w:tcW w:w="1024" w:type="dxa"/>
          </w:tcPr>
          <w:p w14:paraId="1105C2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7,6/</w:t>
            </w:r>
          </w:p>
        </w:tc>
        <w:tc>
          <w:tcPr>
            <w:tcW w:w="1024" w:type="dxa"/>
          </w:tcPr>
          <w:p w14:paraId="25141D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8000</w:t>
            </w:r>
          </w:p>
        </w:tc>
        <w:tc>
          <w:tcPr>
            <w:tcW w:w="1024" w:type="dxa"/>
          </w:tcPr>
          <w:p w14:paraId="0FAA2C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пул.</w:t>
            </w:r>
          </w:p>
        </w:tc>
        <w:tc>
          <w:tcPr>
            <w:tcW w:w="1024" w:type="dxa"/>
          </w:tcPr>
          <w:p w14:paraId="0E7EA7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ECCE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июня</w:t>
            </w:r>
          </w:p>
        </w:tc>
        <w:tc>
          <w:tcPr>
            <w:tcW w:w="3430" w:type="dxa"/>
          </w:tcPr>
          <w:p w14:paraId="36B0D3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Работы не ведутся. Нет макета.</w:t>
            </w:r>
          </w:p>
        </w:tc>
      </w:tr>
      <w:tr w:rsidR="001002C3" w:rsidRPr="005E779E" w14:paraId="35FF8CD3" w14:textId="77777777">
        <w:tc>
          <w:tcPr>
            <w:tcW w:w="1024" w:type="dxa"/>
          </w:tcPr>
          <w:p w14:paraId="22A22D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A8BF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5EBBB3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61F3B3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2E3B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авт.</w:t>
            </w:r>
          </w:p>
        </w:tc>
        <w:tc>
          <w:tcPr>
            <w:tcW w:w="1024" w:type="dxa"/>
          </w:tcPr>
          <w:p w14:paraId="51BE37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664C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 г.</w:t>
            </w:r>
          </w:p>
        </w:tc>
        <w:tc>
          <w:tcPr>
            <w:tcW w:w="3430" w:type="dxa"/>
          </w:tcPr>
          <w:p w14:paraId="349E3F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678E910" w14:textId="77777777">
        <w:tc>
          <w:tcPr>
            <w:tcW w:w="1024" w:type="dxa"/>
          </w:tcPr>
          <w:p w14:paraId="27CA54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20D7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E727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E242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2481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пушка</w:t>
            </w:r>
          </w:p>
        </w:tc>
        <w:tc>
          <w:tcPr>
            <w:tcW w:w="1024" w:type="dxa"/>
          </w:tcPr>
          <w:p w14:paraId="0E8F7E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EFE9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BCB04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FF9EBF6" w14:textId="77777777">
        <w:tc>
          <w:tcPr>
            <w:tcW w:w="1024" w:type="dxa"/>
          </w:tcPr>
          <w:p w14:paraId="3791CB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ТШ1-2М34</w:t>
            </w:r>
          </w:p>
        </w:tc>
        <w:tc>
          <w:tcPr>
            <w:tcW w:w="1024" w:type="dxa"/>
          </w:tcPr>
          <w:p w14:paraId="6F3D97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EB37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BD87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F90E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4-6 пул.</w:t>
            </w:r>
          </w:p>
        </w:tc>
        <w:tc>
          <w:tcPr>
            <w:tcW w:w="1024" w:type="dxa"/>
          </w:tcPr>
          <w:p w14:paraId="3CB466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w:t>
            </w:r>
          </w:p>
        </w:tc>
        <w:tc>
          <w:tcPr>
            <w:tcW w:w="1024" w:type="dxa"/>
          </w:tcPr>
          <w:p w14:paraId="6FD6A9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янв.</w:t>
            </w:r>
          </w:p>
        </w:tc>
        <w:tc>
          <w:tcPr>
            <w:tcW w:w="3430" w:type="dxa"/>
          </w:tcPr>
          <w:p w14:paraId="1924B3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Работы не ведутся, поскольку с-т</w:t>
            </w:r>
          </w:p>
        </w:tc>
      </w:tr>
      <w:tr w:rsidR="001002C3" w:rsidRPr="005E779E" w14:paraId="4753FDEE" w14:textId="77777777">
        <w:tc>
          <w:tcPr>
            <w:tcW w:w="1024" w:type="dxa"/>
          </w:tcPr>
          <w:p w14:paraId="21DDFB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048F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F272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203A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676C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авт.</w:t>
            </w:r>
          </w:p>
        </w:tc>
        <w:tc>
          <w:tcPr>
            <w:tcW w:w="1024" w:type="dxa"/>
          </w:tcPr>
          <w:p w14:paraId="66B022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274C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1932 г.</w:t>
            </w:r>
          </w:p>
        </w:tc>
        <w:tc>
          <w:tcPr>
            <w:tcW w:w="3430" w:type="dxa"/>
          </w:tcPr>
          <w:p w14:paraId="14A635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стоит в плане условно (до разрешения</w:t>
            </w:r>
          </w:p>
        </w:tc>
      </w:tr>
      <w:tr w:rsidR="001002C3" w:rsidRPr="005E779E" w14:paraId="15C53358" w14:textId="77777777">
        <w:tc>
          <w:tcPr>
            <w:tcW w:w="1024" w:type="dxa"/>
          </w:tcPr>
          <w:p w14:paraId="7C417E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AB96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B501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10D5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E041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пушка</w:t>
            </w:r>
          </w:p>
        </w:tc>
        <w:tc>
          <w:tcPr>
            <w:tcW w:w="1024" w:type="dxa"/>
          </w:tcPr>
          <w:p w14:paraId="654843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4A39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A80AE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РВС вопроса о необходимости иметь на</w:t>
            </w:r>
          </w:p>
        </w:tc>
      </w:tr>
      <w:tr w:rsidR="001002C3" w:rsidRPr="005E779E" w14:paraId="3DC83C9D" w14:textId="77777777">
        <w:tc>
          <w:tcPr>
            <w:tcW w:w="1024" w:type="dxa"/>
          </w:tcPr>
          <w:p w14:paraId="494F62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9116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0B83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BDBB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C91B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800 кг</w:t>
            </w:r>
          </w:p>
        </w:tc>
        <w:tc>
          <w:tcPr>
            <w:tcW w:w="1024" w:type="dxa"/>
          </w:tcPr>
          <w:p w14:paraId="4930D2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1B3D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D1DDD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вооружении тяжел. двухмоторного</w:t>
            </w:r>
          </w:p>
        </w:tc>
      </w:tr>
      <w:tr w:rsidR="001002C3" w:rsidRPr="005E779E" w14:paraId="63B1B8F1" w14:textId="77777777">
        <w:tc>
          <w:tcPr>
            <w:tcW w:w="1024" w:type="dxa"/>
          </w:tcPr>
          <w:p w14:paraId="45CA32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F475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5A86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F95A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0CCC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w:t>
            </w:r>
          </w:p>
        </w:tc>
        <w:tc>
          <w:tcPr>
            <w:tcW w:w="1024" w:type="dxa"/>
          </w:tcPr>
          <w:p w14:paraId="67188E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28B5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8B7F1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штурмовика).</w:t>
            </w:r>
          </w:p>
        </w:tc>
      </w:tr>
      <w:tr w:rsidR="001002C3" w:rsidRPr="005E779E" w14:paraId="51B9D410" w14:textId="77777777">
        <w:tc>
          <w:tcPr>
            <w:tcW w:w="1024" w:type="dxa"/>
          </w:tcPr>
          <w:p w14:paraId="3410F3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МТБ3-4М34</w:t>
            </w:r>
          </w:p>
        </w:tc>
        <w:tc>
          <w:tcPr>
            <w:tcW w:w="1024" w:type="dxa"/>
          </w:tcPr>
          <w:p w14:paraId="096602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6D3D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D3AB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57B8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5469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5154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51355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Согласно постановления РВС от 5 сентября</w:t>
            </w:r>
          </w:p>
        </w:tc>
      </w:tr>
      <w:tr w:rsidR="001002C3" w:rsidRPr="005E779E" w14:paraId="58B08469" w14:textId="77777777">
        <w:tc>
          <w:tcPr>
            <w:tcW w:w="1024" w:type="dxa"/>
          </w:tcPr>
          <w:p w14:paraId="61093E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B15C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27F4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D1C6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B2CC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6D5B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6958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66556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 г. самолет снят из действующего плана</w:t>
            </w:r>
          </w:p>
        </w:tc>
      </w:tr>
      <w:tr w:rsidR="001002C3" w:rsidRPr="005E779E" w14:paraId="6D5535D6" w14:textId="77777777">
        <w:tc>
          <w:tcPr>
            <w:tcW w:w="1024" w:type="dxa"/>
          </w:tcPr>
          <w:p w14:paraId="06D485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14C1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5D88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3E51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CBB6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2B57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D4F8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D5768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 но д.б. предусмотрен в новом плане</w:t>
            </w:r>
          </w:p>
        </w:tc>
      </w:tr>
      <w:tr w:rsidR="001002C3" w:rsidRPr="005E779E" w14:paraId="3B4FDF85" w14:textId="77777777">
        <w:tc>
          <w:tcPr>
            <w:tcW w:w="1024" w:type="dxa"/>
          </w:tcPr>
          <w:p w14:paraId="78FF34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9493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FB1A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47A2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281D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F652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BB57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525EF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опытного строительства, в связи с чем </w:t>
            </w:r>
          </w:p>
        </w:tc>
      </w:tr>
      <w:tr w:rsidR="001002C3" w:rsidRPr="005E779E" w14:paraId="6B7BD3C9" w14:textId="77777777">
        <w:tc>
          <w:tcPr>
            <w:tcW w:w="1024" w:type="dxa"/>
          </w:tcPr>
          <w:p w14:paraId="023ED4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68FF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11E1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0D63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B00C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D8CD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5EA0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44238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 продолжает научно-исслед. работу и</w:t>
            </w:r>
          </w:p>
        </w:tc>
      </w:tr>
      <w:tr w:rsidR="001002C3" w:rsidRPr="005E779E" w14:paraId="65416319" w14:textId="77777777">
        <w:tc>
          <w:tcPr>
            <w:tcW w:w="1024" w:type="dxa"/>
          </w:tcPr>
          <w:p w14:paraId="0878C1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A712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7C7F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2BA0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A739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5AD6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EFD7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F1936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расчеты по МТБ3, для последующей </w:t>
            </w:r>
          </w:p>
        </w:tc>
      </w:tr>
      <w:tr w:rsidR="001002C3" w:rsidRPr="005E779E" w14:paraId="756B5F81" w14:textId="77777777">
        <w:tc>
          <w:tcPr>
            <w:tcW w:w="1024" w:type="dxa"/>
          </w:tcPr>
          <w:p w14:paraId="188399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ADB1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7DF8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C075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72F7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95BF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DBEA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DB720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проектировки и реализации в новом плане.</w:t>
            </w:r>
          </w:p>
        </w:tc>
      </w:tr>
      <w:tr w:rsidR="001002C3" w:rsidRPr="005E779E" w14:paraId="02B20704" w14:textId="77777777">
        <w:tc>
          <w:tcPr>
            <w:tcW w:w="1024" w:type="dxa"/>
          </w:tcPr>
          <w:p w14:paraId="333BDF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МК1-4М34</w:t>
            </w:r>
          </w:p>
        </w:tc>
        <w:tc>
          <w:tcPr>
            <w:tcW w:w="1024" w:type="dxa"/>
          </w:tcPr>
          <w:p w14:paraId="1B07C8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200/0</w:t>
            </w:r>
          </w:p>
        </w:tc>
        <w:tc>
          <w:tcPr>
            <w:tcW w:w="1024" w:type="dxa"/>
          </w:tcPr>
          <w:p w14:paraId="14A2A3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024" w:type="dxa"/>
          </w:tcPr>
          <w:p w14:paraId="3E6FBA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024" w:type="dxa"/>
          </w:tcPr>
          <w:p w14:paraId="5F625A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авт.</w:t>
            </w:r>
          </w:p>
        </w:tc>
        <w:tc>
          <w:tcPr>
            <w:tcW w:w="1024" w:type="dxa"/>
          </w:tcPr>
          <w:p w14:paraId="5B297E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Дальн.</w:t>
            </w:r>
          </w:p>
        </w:tc>
        <w:tc>
          <w:tcPr>
            <w:tcW w:w="1024" w:type="dxa"/>
          </w:tcPr>
          <w:p w14:paraId="61E244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сент.</w:t>
            </w:r>
          </w:p>
        </w:tc>
        <w:tc>
          <w:tcPr>
            <w:tcW w:w="3430" w:type="dxa"/>
          </w:tcPr>
          <w:p w14:paraId="407925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ЦАГИ заканчивает макет. Представлен </w:t>
            </w:r>
          </w:p>
        </w:tc>
      </w:tr>
      <w:tr w:rsidR="001002C3" w:rsidRPr="005E779E" w14:paraId="63E6662E" w14:textId="77777777">
        <w:tc>
          <w:tcPr>
            <w:tcW w:w="1024" w:type="dxa"/>
          </w:tcPr>
          <w:p w14:paraId="02C3E4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1701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B1B9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320E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6E5E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пушки</w:t>
            </w:r>
          </w:p>
        </w:tc>
        <w:tc>
          <w:tcPr>
            <w:tcW w:w="1024" w:type="dxa"/>
          </w:tcPr>
          <w:p w14:paraId="4A2996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1500</w:t>
            </w:r>
          </w:p>
        </w:tc>
        <w:tc>
          <w:tcPr>
            <w:tcW w:w="1024" w:type="dxa"/>
          </w:tcPr>
          <w:p w14:paraId="3875EB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1932 г.</w:t>
            </w:r>
          </w:p>
        </w:tc>
        <w:tc>
          <w:tcPr>
            <w:tcW w:w="3430" w:type="dxa"/>
          </w:tcPr>
          <w:p w14:paraId="1ED81D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эскизный проект. Схема самолета требует</w:t>
            </w:r>
          </w:p>
        </w:tc>
      </w:tr>
      <w:tr w:rsidR="001002C3" w:rsidRPr="005E779E" w14:paraId="08C66773" w14:textId="77777777">
        <w:tc>
          <w:tcPr>
            <w:tcW w:w="1024" w:type="dxa"/>
          </w:tcPr>
          <w:p w14:paraId="18EAD5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065F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94A5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A90A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F476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тяж.</w:t>
            </w:r>
          </w:p>
        </w:tc>
        <w:tc>
          <w:tcPr>
            <w:tcW w:w="1024" w:type="dxa"/>
          </w:tcPr>
          <w:p w14:paraId="488573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w:t>
            </w:r>
          </w:p>
        </w:tc>
        <w:tc>
          <w:tcPr>
            <w:tcW w:w="1024" w:type="dxa"/>
          </w:tcPr>
          <w:p w14:paraId="42B064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3FC7F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изменений. Экипаж 8 чел. недостаточен,</w:t>
            </w:r>
          </w:p>
        </w:tc>
      </w:tr>
      <w:tr w:rsidR="001002C3" w:rsidRPr="005E779E" w14:paraId="4EC0F4B4" w14:textId="77777777">
        <w:tc>
          <w:tcPr>
            <w:tcW w:w="1024" w:type="dxa"/>
          </w:tcPr>
          <w:p w14:paraId="3E7B61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4AB5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1D74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1899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C68A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пулем.</w:t>
            </w:r>
          </w:p>
        </w:tc>
        <w:tc>
          <w:tcPr>
            <w:tcW w:w="1024" w:type="dxa"/>
          </w:tcPr>
          <w:p w14:paraId="29C44A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перегр.</w:t>
            </w:r>
          </w:p>
        </w:tc>
        <w:tc>
          <w:tcPr>
            <w:tcW w:w="1024" w:type="dxa"/>
          </w:tcPr>
          <w:p w14:paraId="6A6DB6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E0AC8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необходимо 11 чел. В ближайшее время</w:t>
            </w:r>
          </w:p>
        </w:tc>
      </w:tr>
      <w:tr w:rsidR="001002C3" w:rsidRPr="005E779E" w14:paraId="614DB193" w14:textId="77777777">
        <w:tc>
          <w:tcPr>
            <w:tcW w:w="1024" w:type="dxa"/>
          </w:tcPr>
          <w:p w14:paraId="5B787A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F2FF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2FDA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EEDF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0732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из</w:t>
            </w:r>
          </w:p>
        </w:tc>
        <w:tc>
          <w:tcPr>
            <w:tcW w:w="1024" w:type="dxa"/>
          </w:tcPr>
          <w:p w14:paraId="101FEA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дальн.</w:t>
            </w:r>
          </w:p>
        </w:tc>
        <w:tc>
          <w:tcPr>
            <w:tcW w:w="1024" w:type="dxa"/>
          </w:tcPr>
          <w:p w14:paraId="336ECA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C4FED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будет рассмотрен макет и обсужден</w:t>
            </w:r>
          </w:p>
        </w:tc>
      </w:tr>
      <w:tr w:rsidR="001002C3" w:rsidRPr="005E779E" w14:paraId="7AB672B8" w14:textId="77777777">
        <w:tc>
          <w:tcPr>
            <w:tcW w:w="1024" w:type="dxa"/>
          </w:tcPr>
          <w:p w14:paraId="7CA241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C5F0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A100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ACA8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B64B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них</w:t>
            </w:r>
          </w:p>
        </w:tc>
        <w:tc>
          <w:tcPr>
            <w:tcW w:w="1024" w:type="dxa"/>
          </w:tcPr>
          <w:p w14:paraId="0C8C0F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2400</w:t>
            </w:r>
          </w:p>
        </w:tc>
        <w:tc>
          <w:tcPr>
            <w:tcW w:w="1024" w:type="dxa"/>
          </w:tcPr>
          <w:p w14:paraId="74414E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87B3B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вопрос размещения экипажа и вооружен.</w:t>
            </w:r>
          </w:p>
        </w:tc>
      </w:tr>
      <w:tr w:rsidR="001002C3" w:rsidRPr="005E779E" w14:paraId="7406FD34" w14:textId="77777777">
        <w:tc>
          <w:tcPr>
            <w:tcW w:w="1024" w:type="dxa"/>
          </w:tcPr>
          <w:p w14:paraId="445C00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8EA1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C747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1E1A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DDE4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должны</w:t>
            </w:r>
          </w:p>
        </w:tc>
        <w:tc>
          <w:tcPr>
            <w:tcW w:w="1024" w:type="dxa"/>
          </w:tcPr>
          <w:p w14:paraId="168A00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404B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89FC2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Конструкция самолета разработана на 75%.</w:t>
            </w:r>
          </w:p>
        </w:tc>
      </w:tr>
      <w:tr w:rsidR="001002C3" w:rsidRPr="005E779E" w14:paraId="1D12C9B9" w14:textId="77777777">
        <w:tc>
          <w:tcPr>
            <w:tcW w:w="1024" w:type="dxa"/>
          </w:tcPr>
          <w:p w14:paraId="4B2CA9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7640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902C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17F3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F40E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легко</w:t>
            </w:r>
          </w:p>
        </w:tc>
        <w:tc>
          <w:tcPr>
            <w:tcW w:w="1024" w:type="dxa"/>
          </w:tcPr>
          <w:p w14:paraId="7AC9FB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B7D6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4B69F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Самолет может быть изготовлен и </w:t>
            </w:r>
          </w:p>
        </w:tc>
      </w:tr>
      <w:tr w:rsidR="001002C3" w:rsidRPr="005E779E" w14:paraId="40534414" w14:textId="77777777">
        <w:tc>
          <w:tcPr>
            <w:tcW w:w="1024" w:type="dxa"/>
          </w:tcPr>
          <w:p w14:paraId="74D183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A979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AFA0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B1DB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42E6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заменятся</w:t>
            </w:r>
          </w:p>
        </w:tc>
        <w:tc>
          <w:tcPr>
            <w:tcW w:w="1024" w:type="dxa"/>
          </w:tcPr>
          <w:p w14:paraId="4B8F06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F325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2F371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представлен на гос. испытания в срок 1 </w:t>
            </w:r>
          </w:p>
        </w:tc>
      </w:tr>
      <w:tr w:rsidR="001002C3" w:rsidRPr="005E779E" w14:paraId="1BEB1624" w14:textId="77777777">
        <w:tc>
          <w:tcPr>
            <w:tcW w:w="1024" w:type="dxa"/>
          </w:tcPr>
          <w:p w14:paraId="556799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6BE1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BCDE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AF85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ABE8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авт.</w:t>
            </w:r>
          </w:p>
        </w:tc>
        <w:tc>
          <w:tcPr>
            <w:tcW w:w="1024" w:type="dxa"/>
          </w:tcPr>
          <w:p w14:paraId="48F5F7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1A95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9DA04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октября 1932 г.</w:t>
            </w:r>
          </w:p>
        </w:tc>
      </w:tr>
      <w:tr w:rsidR="001002C3" w:rsidRPr="005E779E" w14:paraId="7913A495" w14:textId="77777777">
        <w:tc>
          <w:tcPr>
            <w:tcW w:w="1024" w:type="dxa"/>
          </w:tcPr>
          <w:p w14:paraId="24BD17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4235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044C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004F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F379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пушками)</w:t>
            </w:r>
          </w:p>
        </w:tc>
        <w:tc>
          <w:tcPr>
            <w:tcW w:w="1024" w:type="dxa"/>
          </w:tcPr>
          <w:p w14:paraId="5D7C0A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9ADE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256DA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Кудрявцев.</w:t>
            </w:r>
          </w:p>
        </w:tc>
      </w:tr>
      <w:tr w:rsidR="001002C3" w:rsidRPr="005E779E" w14:paraId="63741697" w14:textId="77777777">
        <w:tc>
          <w:tcPr>
            <w:tcW w:w="1024" w:type="dxa"/>
          </w:tcPr>
          <w:p w14:paraId="019DF3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8D63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3646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331A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86B6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2500 кг</w:t>
            </w:r>
          </w:p>
        </w:tc>
        <w:tc>
          <w:tcPr>
            <w:tcW w:w="1024" w:type="dxa"/>
          </w:tcPr>
          <w:p w14:paraId="112327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9C84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B8EE1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D94D66D" w14:textId="77777777">
        <w:tc>
          <w:tcPr>
            <w:tcW w:w="1024" w:type="dxa"/>
          </w:tcPr>
          <w:p w14:paraId="779384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6181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A390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F8C8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2322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 за</w:t>
            </w:r>
          </w:p>
        </w:tc>
        <w:tc>
          <w:tcPr>
            <w:tcW w:w="1024" w:type="dxa"/>
          </w:tcPr>
          <w:p w14:paraId="6EE350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9D89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3C026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BAB5BCB" w14:textId="77777777">
        <w:tc>
          <w:tcPr>
            <w:tcW w:w="1024" w:type="dxa"/>
          </w:tcPr>
          <w:p w14:paraId="01F30B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0F3F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01D1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D7D1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8131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счет</w:t>
            </w:r>
          </w:p>
        </w:tc>
        <w:tc>
          <w:tcPr>
            <w:tcW w:w="1024" w:type="dxa"/>
          </w:tcPr>
          <w:p w14:paraId="5966E9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2767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EB7C9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B1E0239" w14:textId="77777777">
        <w:tc>
          <w:tcPr>
            <w:tcW w:w="1024" w:type="dxa"/>
          </w:tcPr>
          <w:p w14:paraId="17ED30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74CD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0EFC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0951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8CA0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перегр.</w:t>
            </w:r>
          </w:p>
        </w:tc>
        <w:tc>
          <w:tcPr>
            <w:tcW w:w="1024" w:type="dxa"/>
          </w:tcPr>
          <w:p w14:paraId="34EF2A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4514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325C5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4D6EFDE" w14:textId="77777777">
        <w:tc>
          <w:tcPr>
            <w:tcW w:w="1024" w:type="dxa"/>
          </w:tcPr>
          <w:p w14:paraId="594826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Экспериментальные конструкции.</w:t>
            </w:r>
          </w:p>
        </w:tc>
        <w:tc>
          <w:tcPr>
            <w:tcW w:w="1024" w:type="dxa"/>
          </w:tcPr>
          <w:p w14:paraId="3FF0C5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CA7F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8B79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B63A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DBF8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CAD3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02349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9538DA2" w14:textId="77777777">
        <w:tc>
          <w:tcPr>
            <w:tcW w:w="1024" w:type="dxa"/>
          </w:tcPr>
          <w:p w14:paraId="54BD06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ВС1-2М26</w:t>
            </w:r>
          </w:p>
        </w:tc>
        <w:tc>
          <w:tcPr>
            <w:tcW w:w="1024" w:type="dxa"/>
          </w:tcPr>
          <w:p w14:paraId="72AB15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w:t>
            </w:r>
          </w:p>
        </w:tc>
        <w:tc>
          <w:tcPr>
            <w:tcW w:w="1024" w:type="dxa"/>
          </w:tcPr>
          <w:p w14:paraId="2877D8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w:t>
            </w:r>
          </w:p>
        </w:tc>
        <w:tc>
          <w:tcPr>
            <w:tcW w:w="1024" w:type="dxa"/>
          </w:tcPr>
          <w:p w14:paraId="18BA03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2978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пул.</w:t>
            </w:r>
          </w:p>
        </w:tc>
        <w:tc>
          <w:tcPr>
            <w:tcW w:w="1024" w:type="dxa"/>
          </w:tcPr>
          <w:p w14:paraId="59083C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0A98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D8B05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 проектирование сам-та приостановило</w:t>
            </w:r>
          </w:p>
        </w:tc>
      </w:tr>
      <w:tr w:rsidR="001002C3" w:rsidRPr="005E779E" w14:paraId="05F18808" w14:textId="77777777">
        <w:tc>
          <w:tcPr>
            <w:tcW w:w="1024" w:type="dxa"/>
          </w:tcPr>
          <w:p w14:paraId="256D4F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(Р9-2М26)</w:t>
            </w:r>
          </w:p>
        </w:tc>
        <w:tc>
          <w:tcPr>
            <w:tcW w:w="1024" w:type="dxa"/>
          </w:tcPr>
          <w:p w14:paraId="6D89FE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620190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712208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9F86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EA52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7815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8D09B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 полагает сдвинуть срок его</w:t>
            </w:r>
          </w:p>
        </w:tc>
      </w:tr>
      <w:tr w:rsidR="001002C3" w:rsidRPr="005E779E" w14:paraId="6D47CEE6" w14:textId="77777777">
        <w:tc>
          <w:tcPr>
            <w:tcW w:w="1024" w:type="dxa"/>
          </w:tcPr>
          <w:p w14:paraId="1DFC4D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2CB9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CA3D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A4A0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B2DB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AB65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71AD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62966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представления на гос. испытания на</w:t>
            </w:r>
          </w:p>
        </w:tc>
      </w:tr>
      <w:tr w:rsidR="001002C3" w:rsidRPr="005E779E" w14:paraId="28E5D2E8" w14:textId="77777777">
        <w:tc>
          <w:tcPr>
            <w:tcW w:w="1024" w:type="dxa"/>
          </w:tcPr>
          <w:p w14:paraId="76D94F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D399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C275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1ABF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2E71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CF5C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25DE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EDABF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вторую половину 1932 года.</w:t>
            </w:r>
          </w:p>
        </w:tc>
      </w:tr>
      <w:tr w:rsidR="001002C3" w:rsidRPr="005E779E" w14:paraId="629E19B2" w14:textId="77777777">
        <w:tc>
          <w:tcPr>
            <w:tcW w:w="1024" w:type="dxa"/>
          </w:tcPr>
          <w:p w14:paraId="13D8DD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C6D0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3A6F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C460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BBF5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D28A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20CA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50D19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пересмотре плана опытн. строит-ва</w:t>
            </w:r>
          </w:p>
        </w:tc>
      </w:tr>
      <w:tr w:rsidR="001002C3" w:rsidRPr="005E779E" w14:paraId="675FD00B" w14:textId="77777777">
        <w:tc>
          <w:tcPr>
            <w:tcW w:w="1024" w:type="dxa"/>
          </w:tcPr>
          <w:p w14:paraId="664CBD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1A70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5562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A409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04B3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726C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AB11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8D390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1932-34 г. является целесообразным</w:t>
            </w:r>
          </w:p>
        </w:tc>
      </w:tr>
      <w:tr w:rsidR="001002C3" w:rsidRPr="005E779E" w14:paraId="7805DD9E" w14:textId="77777777">
        <w:tc>
          <w:tcPr>
            <w:tcW w:w="1024" w:type="dxa"/>
          </w:tcPr>
          <w:p w14:paraId="61BD1D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1ABF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236E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481F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E4C4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5FD1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EC8F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E5B1A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заменить самолет Р9-2М26 самолетом </w:t>
            </w:r>
          </w:p>
        </w:tc>
      </w:tr>
      <w:tr w:rsidR="001002C3" w:rsidRPr="005E779E" w14:paraId="74AE2C9C" w14:textId="77777777">
        <w:tc>
          <w:tcPr>
            <w:tcW w:w="1024" w:type="dxa"/>
          </w:tcPr>
          <w:p w14:paraId="1413E5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6180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998C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A1B2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53EE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FD3A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B4E0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D0F72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ВС2-2М26 совмещ. аналогично сам. Р9</w:t>
            </w:r>
          </w:p>
        </w:tc>
      </w:tr>
      <w:tr w:rsidR="001002C3" w:rsidRPr="005E779E" w14:paraId="1207E164" w14:textId="77777777">
        <w:tc>
          <w:tcPr>
            <w:tcW w:w="1024" w:type="dxa"/>
          </w:tcPr>
          <w:p w14:paraId="58F242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EDFC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021F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702E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B46F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3548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3226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601E7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военное использование с применением</w:t>
            </w:r>
          </w:p>
        </w:tc>
      </w:tr>
      <w:tr w:rsidR="001002C3" w:rsidRPr="005E779E" w14:paraId="6C656AC9" w14:textId="77777777">
        <w:tc>
          <w:tcPr>
            <w:tcW w:w="1024" w:type="dxa"/>
          </w:tcPr>
          <w:p w14:paraId="535E6C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756D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E469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9F0A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6EA7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18EC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2607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D03F8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гражд. возд. флоте в качестве </w:t>
            </w:r>
          </w:p>
        </w:tc>
      </w:tr>
      <w:tr w:rsidR="001002C3" w:rsidRPr="005E779E" w14:paraId="707E37E7" w14:textId="77777777">
        <w:tc>
          <w:tcPr>
            <w:tcW w:w="1024" w:type="dxa"/>
          </w:tcPr>
          <w:p w14:paraId="09BE93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2811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3271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3CC8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D69A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E61B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BBAA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E7DF0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пассажирского и фотосъемщика.</w:t>
            </w:r>
          </w:p>
        </w:tc>
      </w:tr>
      <w:tr w:rsidR="001002C3" w:rsidRPr="005E779E" w14:paraId="0E9D0EA4" w14:textId="77777777">
        <w:tc>
          <w:tcPr>
            <w:tcW w:w="1024" w:type="dxa"/>
          </w:tcPr>
          <w:p w14:paraId="353387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EB2A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B792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7A2C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F8EC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99AF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F94B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ECF37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Жемчужин.</w:t>
            </w:r>
          </w:p>
        </w:tc>
      </w:tr>
      <w:tr w:rsidR="001002C3" w:rsidRPr="005E779E" w14:paraId="66D3714B" w14:textId="77777777">
        <w:tc>
          <w:tcPr>
            <w:tcW w:w="1024" w:type="dxa"/>
          </w:tcPr>
          <w:p w14:paraId="3A4768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ТШ2-М27</w:t>
            </w:r>
          </w:p>
        </w:tc>
        <w:tc>
          <w:tcPr>
            <w:tcW w:w="1024" w:type="dxa"/>
          </w:tcPr>
          <w:p w14:paraId="60817F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200/0</w:t>
            </w:r>
          </w:p>
        </w:tc>
        <w:tc>
          <w:tcPr>
            <w:tcW w:w="1024" w:type="dxa"/>
          </w:tcPr>
          <w:p w14:paraId="63173C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11,6/</w:t>
            </w:r>
          </w:p>
        </w:tc>
        <w:tc>
          <w:tcPr>
            <w:tcW w:w="1024" w:type="dxa"/>
          </w:tcPr>
          <w:p w14:paraId="0D6AEB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5860</w:t>
            </w:r>
          </w:p>
        </w:tc>
        <w:tc>
          <w:tcPr>
            <w:tcW w:w="1024" w:type="dxa"/>
          </w:tcPr>
          <w:p w14:paraId="59E8A0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пулем.</w:t>
            </w:r>
          </w:p>
        </w:tc>
        <w:tc>
          <w:tcPr>
            <w:tcW w:w="1024" w:type="dxa"/>
          </w:tcPr>
          <w:p w14:paraId="4C655F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1356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дек.</w:t>
            </w:r>
          </w:p>
        </w:tc>
        <w:tc>
          <w:tcPr>
            <w:tcW w:w="3430" w:type="dxa"/>
          </w:tcPr>
          <w:p w14:paraId="48E07A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Согласно приказания начальника ВАО</w:t>
            </w:r>
          </w:p>
        </w:tc>
      </w:tr>
      <w:tr w:rsidR="001002C3" w:rsidRPr="005E779E" w14:paraId="0BA541FD" w14:textId="77777777">
        <w:tc>
          <w:tcPr>
            <w:tcW w:w="1024" w:type="dxa"/>
          </w:tcPr>
          <w:p w14:paraId="58AE49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(ТШ2-М17)</w:t>
            </w:r>
          </w:p>
        </w:tc>
        <w:tc>
          <w:tcPr>
            <w:tcW w:w="1024" w:type="dxa"/>
          </w:tcPr>
          <w:p w14:paraId="313CF1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0A0A49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C284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65E5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2926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C8BB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1930 г.</w:t>
            </w:r>
          </w:p>
        </w:tc>
        <w:tc>
          <w:tcPr>
            <w:tcW w:w="3430" w:type="dxa"/>
          </w:tcPr>
          <w:p w14:paraId="5CBAF7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с-лет ТШ2-М27 должен быть передан</w:t>
            </w:r>
          </w:p>
        </w:tc>
      </w:tr>
      <w:tr w:rsidR="001002C3" w:rsidRPr="005E779E" w14:paraId="23E5E54B" w14:textId="77777777">
        <w:tc>
          <w:tcPr>
            <w:tcW w:w="1024" w:type="dxa"/>
          </w:tcPr>
          <w:p w14:paraId="5DE12F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DD6C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A7D9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5F09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F574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84C5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A314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75BB2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гос. испытания 10 октября 1931 года.</w:t>
            </w:r>
          </w:p>
        </w:tc>
      </w:tr>
      <w:tr w:rsidR="001002C3" w:rsidRPr="005E779E" w14:paraId="64A7AF4F" w14:textId="77777777">
        <w:tc>
          <w:tcPr>
            <w:tcW w:w="1024" w:type="dxa"/>
          </w:tcPr>
          <w:p w14:paraId="459A2A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6858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0DA8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1554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6111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E4A8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3276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7E5C4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Полехин.</w:t>
            </w:r>
          </w:p>
        </w:tc>
      </w:tr>
      <w:tr w:rsidR="001002C3" w:rsidRPr="005E779E" w14:paraId="6E32C452" w14:textId="77777777">
        <w:tc>
          <w:tcPr>
            <w:tcW w:w="1024" w:type="dxa"/>
          </w:tcPr>
          <w:p w14:paraId="0FFD49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И12-2ЮVI</w:t>
            </w:r>
          </w:p>
        </w:tc>
        <w:tc>
          <w:tcPr>
            <w:tcW w:w="1024" w:type="dxa"/>
          </w:tcPr>
          <w:p w14:paraId="02FACC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w:t>
            </w:r>
          </w:p>
        </w:tc>
        <w:tc>
          <w:tcPr>
            <w:tcW w:w="1024" w:type="dxa"/>
          </w:tcPr>
          <w:p w14:paraId="6A828D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w:t>
            </w:r>
          </w:p>
        </w:tc>
        <w:tc>
          <w:tcPr>
            <w:tcW w:w="1024" w:type="dxa"/>
          </w:tcPr>
          <w:p w14:paraId="2D7A6D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024" w:type="dxa"/>
          </w:tcPr>
          <w:p w14:paraId="4CC85C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пушки</w:t>
            </w:r>
          </w:p>
        </w:tc>
        <w:tc>
          <w:tcPr>
            <w:tcW w:w="1024" w:type="dxa"/>
          </w:tcPr>
          <w:p w14:paraId="3DA034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0DC9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июля</w:t>
            </w:r>
          </w:p>
        </w:tc>
        <w:tc>
          <w:tcPr>
            <w:tcW w:w="3430" w:type="dxa"/>
          </w:tcPr>
          <w:p w14:paraId="19F885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проходит заводские испытания</w:t>
            </w:r>
          </w:p>
        </w:tc>
      </w:tr>
      <w:tr w:rsidR="001002C3" w:rsidRPr="005E779E" w14:paraId="1A491752" w14:textId="77777777">
        <w:tc>
          <w:tcPr>
            <w:tcW w:w="1024" w:type="dxa"/>
          </w:tcPr>
          <w:p w14:paraId="2CA261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7E3C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024" w:type="dxa"/>
          </w:tcPr>
          <w:p w14:paraId="41E0DC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024" w:type="dxa"/>
          </w:tcPr>
          <w:p w14:paraId="6A88DD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B94E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ДРП</w:t>
            </w:r>
          </w:p>
        </w:tc>
        <w:tc>
          <w:tcPr>
            <w:tcW w:w="1024" w:type="dxa"/>
          </w:tcPr>
          <w:p w14:paraId="22FE22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753D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 г.</w:t>
            </w:r>
          </w:p>
        </w:tc>
        <w:tc>
          <w:tcPr>
            <w:tcW w:w="3430" w:type="dxa"/>
          </w:tcPr>
          <w:p w14:paraId="4ED69C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показавшие необходимость переделки</w:t>
            </w:r>
          </w:p>
        </w:tc>
      </w:tr>
      <w:tr w:rsidR="001002C3" w:rsidRPr="005E779E" w14:paraId="1FBB9270" w14:textId="77777777">
        <w:tc>
          <w:tcPr>
            <w:tcW w:w="1024" w:type="dxa"/>
          </w:tcPr>
          <w:p w14:paraId="011071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EE0E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A184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7345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4CFE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C71B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642B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BDAB0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вертикального оперения, костылей и </w:t>
            </w:r>
          </w:p>
        </w:tc>
      </w:tr>
      <w:tr w:rsidR="001002C3" w:rsidRPr="005E779E" w14:paraId="536733C6" w14:textId="77777777">
        <w:tc>
          <w:tcPr>
            <w:tcW w:w="1024" w:type="dxa"/>
          </w:tcPr>
          <w:p w14:paraId="79EDA0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377D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CDE9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7D21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8920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A294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1710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ED6D9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замену заднего винта.</w:t>
            </w:r>
          </w:p>
        </w:tc>
      </w:tr>
      <w:tr w:rsidR="001002C3" w:rsidRPr="005E779E" w14:paraId="4A5CAFA1" w14:textId="77777777">
        <w:tc>
          <w:tcPr>
            <w:tcW w:w="1024" w:type="dxa"/>
          </w:tcPr>
          <w:p w14:paraId="393A27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10A4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8F83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ACDC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8A03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C846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50CF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82263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Межак.</w:t>
            </w:r>
          </w:p>
        </w:tc>
      </w:tr>
      <w:tr w:rsidR="001002C3" w:rsidRPr="005E779E" w14:paraId="2B9A95EA" w14:textId="77777777">
        <w:tc>
          <w:tcPr>
            <w:tcW w:w="1024" w:type="dxa"/>
          </w:tcPr>
          <w:p w14:paraId="60CA97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И11-М-41</w:t>
            </w:r>
          </w:p>
        </w:tc>
        <w:tc>
          <w:tcPr>
            <w:tcW w:w="1024" w:type="dxa"/>
          </w:tcPr>
          <w:p w14:paraId="572C2F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Требования не установлены.</w:t>
            </w:r>
          </w:p>
        </w:tc>
        <w:tc>
          <w:tcPr>
            <w:tcW w:w="1024" w:type="dxa"/>
          </w:tcPr>
          <w:p w14:paraId="551C06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372A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636C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48CF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576A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BB075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Работы не ведутся.</w:t>
            </w:r>
          </w:p>
        </w:tc>
      </w:tr>
      <w:tr w:rsidR="001002C3" w:rsidRPr="005E779E" w14:paraId="761CF880" w14:textId="77777777">
        <w:tc>
          <w:tcPr>
            <w:tcW w:w="1024" w:type="dxa"/>
          </w:tcPr>
          <w:p w14:paraId="6475F6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(Электр.)</w:t>
            </w:r>
          </w:p>
        </w:tc>
        <w:tc>
          <w:tcPr>
            <w:tcW w:w="1024" w:type="dxa"/>
          </w:tcPr>
          <w:p w14:paraId="1C8C79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263D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2046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2CBA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FD1B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0555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9A1FA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2520CFD" w14:textId="77777777">
        <w:tc>
          <w:tcPr>
            <w:tcW w:w="1024" w:type="dxa"/>
          </w:tcPr>
          <w:p w14:paraId="507650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Р5-М17</w:t>
            </w:r>
          </w:p>
        </w:tc>
        <w:tc>
          <w:tcPr>
            <w:tcW w:w="1024" w:type="dxa"/>
          </w:tcPr>
          <w:p w14:paraId="65FBC8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Установка мотора М-19</w:t>
            </w:r>
          </w:p>
        </w:tc>
        <w:tc>
          <w:tcPr>
            <w:tcW w:w="1024" w:type="dxa"/>
          </w:tcPr>
          <w:p w14:paraId="073EE3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AF1B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BD49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B585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C109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дек.</w:t>
            </w:r>
          </w:p>
        </w:tc>
        <w:tc>
          <w:tcPr>
            <w:tcW w:w="3430" w:type="dxa"/>
          </w:tcPr>
          <w:p w14:paraId="00A483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Ввиду решения не строить серийно мотор</w:t>
            </w:r>
          </w:p>
        </w:tc>
      </w:tr>
      <w:tr w:rsidR="001002C3" w:rsidRPr="005E779E" w14:paraId="2F8835F5" w14:textId="77777777">
        <w:tc>
          <w:tcPr>
            <w:tcW w:w="1024" w:type="dxa"/>
          </w:tcPr>
          <w:p w14:paraId="60C928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2156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0F02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D27B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CB00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D662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8830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1930 г.</w:t>
            </w:r>
          </w:p>
        </w:tc>
        <w:tc>
          <w:tcPr>
            <w:tcW w:w="3430" w:type="dxa"/>
          </w:tcPr>
          <w:p w14:paraId="0DBD3A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М-19 работа по его установке прекращена.</w:t>
            </w:r>
          </w:p>
        </w:tc>
      </w:tr>
      <w:tr w:rsidR="001002C3" w:rsidRPr="005E779E" w14:paraId="4234886B" w14:textId="77777777">
        <w:tc>
          <w:tcPr>
            <w:tcW w:w="1024" w:type="dxa"/>
          </w:tcPr>
          <w:p w14:paraId="178AD3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E61A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81B4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0399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2BB8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611F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0B0A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C8D42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Установка разрезных крыльев.</w:t>
            </w:r>
          </w:p>
        </w:tc>
      </w:tr>
      <w:tr w:rsidR="001002C3" w:rsidRPr="005E779E" w14:paraId="3C08DC68" w14:textId="77777777">
        <w:tc>
          <w:tcPr>
            <w:tcW w:w="1024" w:type="dxa"/>
          </w:tcPr>
          <w:p w14:paraId="746236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D3BC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F64F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4B7A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A982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0B33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CD72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B9CDE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ОКБ предполагает передать самолет Р5-М17</w:t>
            </w:r>
          </w:p>
        </w:tc>
      </w:tr>
      <w:tr w:rsidR="001002C3" w:rsidRPr="005E779E" w14:paraId="22CA1CF4" w14:textId="77777777">
        <w:tc>
          <w:tcPr>
            <w:tcW w:w="1024" w:type="dxa"/>
          </w:tcPr>
          <w:p w14:paraId="3AFC50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AD27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CF11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EA30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4229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2BF3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3274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AAB25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испытания во второй половине октября.</w:t>
            </w:r>
          </w:p>
        </w:tc>
      </w:tr>
      <w:tr w:rsidR="001002C3" w:rsidRPr="005E779E" w14:paraId="446065FA" w14:textId="77777777">
        <w:tc>
          <w:tcPr>
            <w:tcW w:w="1024" w:type="dxa"/>
          </w:tcPr>
          <w:p w14:paraId="3EC58F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2809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1448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2611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83EE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7113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FE1C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692AF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Жемчужин.</w:t>
            </w:r>
          </w:p>
        </w:tc>
      </w:tr>
      <w:tr w:rsidR="001002C3" w:rsidRPr="005E779E" w14:paraId="4A25E273" w14:textId="77777777">
        <w:tc>
          <w:tcPr>
            <w:tcW w:w="1024" w:type="dxa"/>
          </w:tcPr>
          <w:p w14:paraId="4134F3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И5-ЮVI</w:t>
            </w:r>
          </w:p>
        </w:tc>
        <w:tc>
          <w:tcPr>
            <w:tcW w:w="1024" w:type="dxa"/>
          </w:tcPr>
          <w:p w14:paraId="277F79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262,5/</w:t>
            </w:r>
          </w:p>
        </w:tc>
        <w:tc>
          <w:tcPr>
            <w:tcW w:w="1024" w:type="dxa"/>
          </w:tcPr>
          <w:p w14:paraId="606DED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9,6'-9,8'/</w:t>
            </w:r>
          </w:p>
        </w:tc>
        <w:tc>
          <w:tcPr>
            <w:tcW w:w="1024" w:type="dxa"/>
          </w:tcPr>
          <w:p w14:paraId="743FF6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8120*</w:t>
            </w:r>
          </w:p>
        </w:tc>
        <w:tc>
          <w:tcPr>
            <w:tcW w:w="1024" w:type="dxa"/>
          </w:tcPr>
          <w:p w14:paraId="54EBB4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 пул.</w:t>
            </w:r>
          </w:p>
        </w:tc>
        <w:tc>
          <w:tcPr>
            <w:tcW w:w="1024" w:type="dxa"/>
          </w:tcPr>
          <w:p w14:paraId="716AC6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5125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I кв.</w:t>
            </w:r>
          </w:p>
        </w:tc>
        <w:tc>
          <w:tcPr>
            <w:tcW w:w="3430" w:type="dxa"/>
          </w:tcPr>
          <w:p w14:paraId="4C17DA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До наст. вр. несмотря на то, что </w:t>
            </w:r>
          </w:p>
        </w:tc>
      </w:tr>
      <w:tr w:rsidR="001002C3" w:rsidRPr="005E779E" w14:paraId="69498F7F" w14:textId="77777777">
        <w:tc>
          <w:tcPr>
            <w:tcW w:w="1024" w:type="dxa"/>
          </w:tcPr>
          <w:p w14:paraId="2A6D24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3064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w:t>
            </w:r>
          </w:p>
        </w:tc>
        <w:tc>
          <w:tcPr>
            <w:tcW w:w="1024" w:type="dxa"/>
          </w:tcPr>
          <w:p w14:paraId="3389D9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024" w:type="dxa"/>
          </w:tcPr>
          <w:p w14:paraId="4A681C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294A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13F5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C078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 г.</w:t>
            </w:r>
          </w:p>
        </w:tc>
        <w:tc>
          <w:tcPr>
            <w:tcW w:w="3430" w:type="dxa"/>
          </w:tcPr>
          <w:p w14:paraId="00E4EC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намечается серийная постройка самолетов</w:t>
            </w:r>
          </w:p>
        </w:tc>
      </w:tr>
      <w:tr w:rsidR="001002C3" w:rsidRPr="005E779E" w14:paraId="22AEBD4D" w14:textId="77777777">
        <w:tc>
          <w:tcPr>
            <w:tcW w:w="1024" w:type="dxa"/>
          </w:tcPr>
          <w:p w14:paraId="4612F9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F379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245/</w:t>
            </w:r>
          </w:p>
        </w:tc>
        <w:tc>
          <w:tcPr>
            <w:tcW w:w="1024" w:type="dxa"/>
          </w:tcPr>
          <w:p w14:paraId="777EC0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A5F0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F8B9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01F1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91D0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AEC9F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И5-М15 опытный самолет, могущий быть</w:t>
            </w:r>
          </w:p>
        </w:tc>
      </w:tr>
      <w:tr w:rsidR="001002C3" w:rsidRPr="005E779E" w14:paraId="4952A4C7" w14:textId="77777777">
        <w:tc>
          <w:tcPr>
            <w:tcW w:w="1024" w:type="dxa"/>
          </w:tcPr>
          <w:p w14:paraId="24A0EC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98B1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024" w:type="dxa"/>
          </w:tcPr>
          <w:p w14:paraId="18D411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B153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EB2D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4667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ED45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096EE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образцом для серии, на испытания не</w:t>
            </w:r>
          </w:p>
        </w:tc>
      </w:tr>
      <w:tr w:rsidR="001002C3" w:rsidRPr="005E779E" w14:paraId="77E06073" w14:textId="77777777">
        <w:tc>
          <w:tcPr>
            <w:tcW w:w="1024" w:type="dxa"/>
          </w:tcPr>
          <w:p w14:paraId="02883C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8170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Серийный самолет.</w:t>
            </w:r>
          </w:p>
        </w:tc>
        <w:tc>
          <w:tcPr>
            <w:tcW w:w="1024" w:type="dxa"/>
          </w:tcPr>
          <w:p w14:paraId="63C553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0F79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A6C0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2C37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представлен.</w:t>
            </w:r>
          </w:p>
        </w:tc>
        <w:tc>
          <w:tcPr>
            <w:tcW w:w="1024" w:type="dxa"/>
          </w:tcPr>
          <w:p w14:paraId="735D92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7BA79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1920F60" w14:textId="77777777">
        <w:tc>
          <w:tcPr>
            <w:tcW w:w="1024" w:type="dxa"/>
          </w:tcPr>
          <w:p w14:paraId="75E122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0691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154B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0BE2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F2CA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618E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A92D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13AA3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Испытания самолета И5 с высотным </w:t>
            </w:r>
          </w:p>
        </w:tc>
      </w:tr>
      <w:tr w:rsidR="001002C3" w:rsidRPr="005E779E" w14:paraId="124C15B3" w14:textId="77777777">
        <w:tc>
          <w:tcPr>
            <w:tcW w:w="1024" w:type="dxa"/>
          </w:tcPr>
          <w:p w14:paraId="5B6481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BCC1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56CB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D9E0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853D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8AA7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4A78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60393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мотором ЮVII показали полную выгодность</w:t>
            </w:r>
          </w:p>
        </w:tc>
      </w:tr>
      <w:tr w:rsidR="001002C3" w:rsidRPr="005E779E" w14:paraId="3ED90566" w14:textId="77777777">
        <w:tc>
          <w:tcPr>
            <w:tcW w:w="1024" w:type="dxa"/>
          </w:tcPr>
          <w:p w14:paraId="0BE91F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5880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3910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3B62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3365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C2BB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8CE2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ED5E5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применения на самолете этого мотора.</w:t>
            </w:r>
          </w:p>
        </w:tc>
      </w:tr>
      <w:tr w:rsidR="001002C3" w:rsidRPr="005E779E" w14:paraId="34353385" w14:textId="77777777">
        <w:tc>
          <w:tcPr>
            <w:tcW w:w="1024" w:type="dxa"/>
          </w:tcPr>
          <w:p w14:paraId="26B0F4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B1A8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88E7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1849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DB36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CDFE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ACBB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2B426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Петров.</w:t>
            </w:r>
          </w:p>
        </w:tc>
      </w:tr>
      <w:tr w:rsidR="001002C3" w:rsidRPr="005E779E" w14:paraId="18F4DFF6" w14:textId="77777777">
        <w:tc>
          <w:tcPr>
            <w:tcW w:w="1024" w:type="dxa"/>
          </w:tcPr>
          <w:p w14:paraId="780652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ТБ3-4М17</w:t>
            </w:r>
          </w:p>
        </w:tc>
        <w:tc>
          <w:tcPr>
            <w:tcW w:w="1024" w:type="dxa"/>
          </w:tcPr>
          <w:p w14:paraId="25903D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210/</w:t>
            </w:r>
          </w:p>
        </w:tc>
        <w:tc>
          <w:tcPr>
            <w:tcW w:w="1024" w:type="dxa"/>
          </w:tcPr>
          <w:p w14:paraId="299E9A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22-25/</w:t>
            </w:r>
          </w:p>
        </w:tc>
        <w:tc>
          <w:tcPr>
            <w:tcW w:w="1024" w:type="dxa"/>
          </w:tcPr>
          <w:p w14:paraId="44A12F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B75B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6-11 пул.</w:t>
            </w:r>
          </w:p>
        </w:tc>
        <w:tc>
          <w:tcPr>
            <w:tcW w:w="1024" w:type="dxa"/>
          </w:tcPr>
          <w:p w14:paraId="734B97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F0C9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окт.</w:t>
            </w:r>
          </w:p>
        </w:tc>
        <w:tc>
          <w:tcPr>
            <w:tcW w:w="3430" w:type="dxa"/>
          </w:tcPr>
          <w:p w14:paraId="717462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Ввиду недоброкачественности покрышек</w:t>
            </w:r>
          </w:p>
        </w:tc>
      </w:tr>
      <w:tr w:rsidR="001002C3" w:rsidRPr="005E779E" w14:paraId="180A3039" w14:textId="77777777">
        <w:tc>
          <w:tcPr>
            <w:tcW w:w="1024" w:type="dxa"/>
          </w:tcPr>
          <w:p w14:paraId="0540B1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DB64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220</w:t>
            </w:r>
          </w:p>
        </w:tc>
        <w:tc>
          <w:tcPr>
            <w:tcW w:w="1024" w:type="dxa"/>
          </w:tcPr>
          <w:p w14:paraId="04A93E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6BD3AE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D2B2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2000-4000</w:t>
            </w:r>
          </w:p>
        </w:tc>
        <w:tc>
          <w:tcPr>
            <w:tcW w:w="1024" w:type="dxa"/>
          </w:tcPr>
          <w:p w14:paraId="581DE7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4214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1930 г.</w:t>
            </w:r>
          </w:p>
        </w:tc>
        <w:tc>
          <w:tcPr>
            <w:tcW w:w="3430" w:type="dxa"/>
          </w:tcPr>
          <w:p w14:paraId="182329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двухметровых колес англ. фирмы Палмер</w:t>
            </w:r>
          </w:p>
        </w:tc>
      </w:tr>
      <w:tr w:rsidR="001002C3" w:rsidRPr="005E779E" w14:paraId="7253EC4F" w14:textId="77777777">
        <w:tc>
          <w:tcPr>
            <w:tcW w:w="1024" w:type="dxa"/>
          </w:tcPr>
          <w:p w14:paraId="59E8B6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BC83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16FE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1EB2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A102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кг</w:t>
            </w:r>
          </w:p>
        </w:tc>
        <w:tc>
          <w:tcPr>
            <w:tcW w:w="1024" w:type="dxa"/>
          </w:tcPr>
          <w:p w14:paraId="1AF80B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E44C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96713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полные испытания до настоящего</w:t>
            </w:r>
          </w:p>
        </w:tc>
      </w:tr>
      <w:tr w:rsidR="001002C3" w:rsidRPr="005E779E" w14:paraId="37205A0E" w14:textId="77777777">
        <w:tc>
          <w:tcPr>
            <w:tcW w:w="1024" w:type="dxa"/>
          </w:tcPr>
          <w:p w14:paraId="189D91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D75C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06EB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8F5D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0694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7D69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506D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08E88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времени пройти не смог.</w:t>
            </w:r>
          </w:p>
        </w:tc>
      </w:tr>
      <w:tr w:rsidR="001002C3" w:rsidRPr="005E779E" w14:paraId="347AD76B" w14:textId="77777777">
        <w:tc>
          <w:tcPr>
            <w:tcW w:w="1024" w:type="dxa"/>
          </w:tcPr>
          <w:p w14:paraId="6F2BA9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0102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CFC4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9FB7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48DE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82CA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9A23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B4F18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целью замены двухметровых колес ОКБ</w:t>
            </w:r>
          </w:p>
        </w:tc>
      </w:tr>
      <w:tr w:rsidR="001002C3" w:rsidRPr="005E779E" w14:paraId="5E3201D6" w14:textId="77777777">
        <w:tc>
          <w:tcPr>
            <w:tcW w:w="1024" w:type="dxa"/>
          </w:tcPr>
          <w:p w14:paraId="67A6EF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4399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555B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9D7A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5F80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E15C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9691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46B29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проектирует тележкт под спаренные</w:t>
            </w:r>
          </w:p>
        </w:tc>
      </w:tr>
      <w:tr w:rsidR="001002C3" w:rsidRPr="005E779E" w14:paraId="62D7AE40" w14:textId="77777777">
        <w:tc>
          <w:tcPr>
            <w:tcW w:w="1024" w:type="dxa"/>
          </w:tcPr>
          <w:p w14:paraId="3F7D66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E279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5910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DDF0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653B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B36C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452D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FE9AE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колеса диаметром 1350 мм, которые в</w:t>
            </w:r>
          </w:p>
        </w:tc>
      </w:tr>
      <w:tr w:rsidR="001002C3" w:rsidRPr="005E779E" w14:paraId="110AB9ED" w14:textId="77777777">
        <w:tc>
          <w:tcPr>
            <w:tcW w:w="1024" w:type="dxa"/>
          </w:tcPr>
          <w:p w14:paraId="0744B9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9F4E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90F5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226A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51DA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31CF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F680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6B10B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сентябре выпущены заводом N 1.</w:t>
            </w:r>
          </w:p>
        </w:tc>
      </w:tr>
      <w:tr w:rsidR="001002C3" w:rsidRPr="005E779E" w14:paraId="45D3427A" w14:textId="77777777">
        <w:tc>
          <w:tcPr>
            <w:tcW w:w="1024" w:type="dxa"/>
          </w:tcPr>
          <w:p w14:paraId="638B7A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F05C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1E80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3968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7BD8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21A6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F190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735CB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с тележками, бомбовым вооружен.</w:t>
            </w:r>
          </w:p>
        </w:tc>
      </w:tr>
      <w:tr w:rsidR="001002C3" w:rsidRPr="005E779E" w14:paraId="6B2FA52B" w14:textId="77777777">
        <w:tc>
          <w:tcPr>
            <w:tcW w:w="1024" w:type="dxa"/>
          </w:tcPr>
          <w:p w14:paraId="54AA16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326C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6B52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3BA1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AB89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D4CB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9E8C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D8D27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 устранением ряда мелких дефектов</w:t>
            </w:r>
          </w:p>
        </w:tc>
      </w:tr>
      <w:tr w:rsidR="001002C3" w:rsidRPr="005E779E" w14:paraId="781297D2" w14:textId="77777777">
        <w:tc>
          <w:tcPr>
            <w:tcW w:w="1024" w:type="dxa"/>
          </w:tcPr>
          <w:p w14:paraId="1DE051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A408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DB5E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D0A2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058B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CE06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EDBB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5325C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должен быть предъявлен на испытания</w:t>
            </w:r>
          </w:p>
        </w:tc>
      </w:tr>
      <w:tr w:rsidR="001002C3" w:rsidRPr="005E779E" w14:paraId="14413BD8" w14:textId="77777777">
        <w:tc>
          <w:tcPr>
            <w:tcW w:w="1024" w:type="dxa"/>
          </w:tcPr>
          <w:p w14:paraId="7C575B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6CCC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DC54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A2AD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E81E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D8F5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4E8E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DCD33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октября 1931 года.</w:t>
            </w:r>
          </w:p>
        </w:tc>
      </w:tr>
      <w:tr w:rsidR="001002C3" w:rsidRPr="005E779E" w14:paraId="5747A995" w14:textId="77777777">
        <w:tc>
          <w:tcPr>
            <w:tcW w:w="1024" w:type="dxa"/>
          </w:tcPr>
          <w:p w14:paraId="25A176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5E46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CE71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E225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C00E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ED4A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4F6B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2D598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Установка же подкрыльных башен будет </w:t>
            </w:r>
          </w:p>
        </w:tc>
      </w:tr>
      <w:tr w:rsidR="001002C3" w:rsidRPr="005E779E" w14:paraId="387A741E" w14:textId="77777777">
        <w:tc>
          <w:tcPr>
            <w:tcW w:w="1024" w:type="dxa"/>
          </w:tcPr>
          <w:p w14:paraId="73419F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9027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3B95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E828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6FC0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2710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AA58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E114B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закончена к 20 ноября 1931 года.</w:t>
            </w:r>
          </w:p>
        </w:tc>
      </w:tr>
      <w:tr w:rsidR="001002C3" w:rsidRPr="005E779E" w14:paraId="62CDF9A9" w14:textId="77777777">
        <w:tc>
          <w:tcPr>
            <w:tcW w:w="1024" w:type="dxa"/>
          </w:tcPr>
          <w:p w14:paraId="4CC576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665A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B685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1DF2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FB0B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E610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15FA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B2C05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На заводе N 22 ведетсяпостройка первой </w:t>
            </w:r>
          </w:p>
        </w:tc>
      </w:tr>
      <w:tr w:rsidR="001002C3" w:rsidRPr="005E779E" w14:paraId="4F4234D2" w14:textId="77777777">
        <w:tc>
          <w:tcPr>
            <w:tcW w:w="1024" w:type="dxa"/>
          </w:tcPr>
          <w:p w14:paraId="12EFC2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0971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57EA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D59E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2955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B21E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3AE2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F1CCF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серии самолетов ТБ3-4М17.</w:t>
            </w:r>
          </w:p>
        </w:tc>
      </w:tr>
      <w:tr w:rsidR="001002C3" w:rsidRPr="005E779E" w14:paraId="5320F7B9" w14:textId="77777777">
        <w:tc>
          <w:tcPr>
            <w:tcW w:w="1024" w:type="dxa"/>
          </w:tcPr>
          <w:p w14:paraId="39F139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31FC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A133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318A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ACF3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096A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43D2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2DC29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Вахмистров.</w:t>
            </w:r>
          </w:p>
        </w:tc>
      </w:tr>
      <w:tr w:rsidR="001002C3" w:rsidRPr="005E779E" w14:paraId="3371C8EB" w14:textId="77777777">
        <w:tc>
          <w:tcPr>
            <w:tcW w:w="1024" w:type="dxa"/>
          </w:tcPr>
          <w:p w14:paraId="32CC60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Р6-2М17</w:t>
            </w:r>
          </w:p>
        </w:tc>
        <w:tc>
          <w:tcPr>
            <w:tcW w:w="1024" w:type="dxa"/>
          </w:tcPr>
          <w:p w14:paraId="658CEB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244/</w:t>
            </w:r>
          </w:p>
        </w:tc>
        <w:tc>
          <w:tcPr>
            <w:tcW w:w="1024" w:type="dxa"/>
          </w:tcPr>
          <w:p w14:paraId="6A466E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8,09/</w:t>
            </w:r>
          </w:p>
        </w:tc>
        <w:tc>
          <w:tcPr>
            <w:tcW w:w="1024" w:type="dxa"/>
          </w:tcPr>
          <w:p w14:paraId="2B044E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6500</w:t>
            </w:r>
          </w:p>
        </w:tc>
        <w:tc>
          <w:tcPr>
            <w:tcW w:w="1024" w:type="dxa"/>
          </w:tcPr>
          <w:p w14:paraId="5F54F1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пулем.</w:t>
            </w:r>
          </w:p>
        </w:tc>
        <w:tc>
          <w:tcPr>
            <w:tcW w:w="1024" w:type="dxa"/>
          </w:tcPr>
          <w:p w14:paraId="58BA05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82C8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B5CD5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 наст. вр. завод N 22 не прдъявил</w:t>
            </w:r>
          </w:p>
        </w:tc>
      </w:tr>
      <w:tr w:rsidR="001002C3" w:rsidRPr="005E779E" w14:paraId="77218E9B" w14:textId="77777777">
        <w:tc>
          <w:tcPr>
            <w:tcW w:w="1024" w:type="dxa"/>
          </w:tcPr>
          <w:p w14:paraId="2F35B6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A7A2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4C22F2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73B2C2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D6F4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6EAB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B3D8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E9221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испытания головного самолета серии.</w:t>
            </w:r>
          </w:p>
        </w:tc>
      </w:tr>
      <w:tr w:rsidR="001002C3" w:rsidRPr="005E779E" w14:paraId="09F41511" w14:textId="77777777">
        <w:tc>
          <w:tcPr>
            <w:tcW w:w="1024" w:type="dxa"/>
          </w:tcPr>
          <w:p w14:paraId="5D68BE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56A2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B3ED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A29E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AA48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B844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27F2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885A4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Поступает на испытания в первой декаде</w:t>
            </w:r>
          </w:p>
        </w:tc>
      </w:tr>
      <w:tr w:rsidR="001002C3" w:rsidRPr="005E779E" w14:paraId="12FAA091" w14:textId="77777777">
        <w:tc>
          <w:tcPr>
            <w:tcW w:w="1024" w:type="dxa"/>
          </w:tcPr>
          <w:p w14:paraId="73D8EE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4020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2D57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707B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4E87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B94A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7773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E9EF3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октября 1931 года.</w:t>
            </w:r>
          </w:p>
        </w:tc>
      </w:tr>
      <w:tr w:rsidR="001002C3" w:rsidRPr="005E779E" w14:paraId="6E22E1F6" w14:textId="77777777">
        <w:tc>
          <w:tcPr>
            <w:tcW w:w="1024" w:type="dxa"/>
          </w:tcPr>
          <w:p w14:paraId="33EE8B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5785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A095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8451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44B8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5AF8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06E7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2EBE0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Вахмистров.</w:t>
            </w:r>
          </w:p>
        </w:tc>
      </w:tr>
      <w:tr w:rsidR="001002C3" w:rsidRPr="005E779E" w14:paraId="00B605E8" w14:textId="77777777">
        <w:tc>
          <w:tcPr>
            <w:tcW w:w="1024" w:type="dxa"/>
          </w:tcPr>
          <w:p w14:paraId="4B437F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И8-Кертис</w:t>
            </w:r>
          </w:p>
        </w:tc>
        <w:tc>
          <w:tcPr>
            <w:tcW w:w="1024" w:type="dxa"/>
          </w:tcPr>
          <w:p w14:paraId="779132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310/</w:t>
            </w:r>
          </w:p>
        </w:tc>
        <w:tc>
          <w:tcPr>
            <w:tcW w:w="1024" w:type="dxa"/>
          </w:tcPr>
          <w:p w14:paraId="184FDC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6-7/</w:t>
            </w:r>
          </w:p>
        </w:tc>
        <w:tc>
          <w:tcPr>
            <w:tcW w:w="1024" w:type="dxa"/>
          </w:tcPr>
          <w:p w14:paraId="4AC418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8000</w:t>
            </w:r>
          </w:p>
        </w:tc>
        <w:tc>
          <w:tcPr>
            <w:tcW w:w="1024" w:type="dxa"/>
          </w:tcPr>
          <w:p w14:paraId="5FF155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пулем.</w:t>
            </w:r>
          </w:p>
        </w:tc>
        <w:tc>
          <w:tcPr>
            <w:tcW w:w="1024" w:type="dxa"/>
          </w:tcPr>
          <w:p w14:paraId="486F52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Дальн.</w:t>
            </w:r>
          </w:p>
        </w:tc>
        <w:tc>
          <w:tcPr>
            <w:tcW w:w="1024" w:type="dxa"/>
          </w:tcPr>
          <w:p w14:paraId="71AFEA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сент.</w:t>
            </w:r>
          </w:p>
        </w:tc>
        <w:tc>
          <w:tcPr>
            <w:tcW w:w="3430" w:type="dxa"/>
          </w:tcPr>
          <w:p w14:paraId="04B3CC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ОКБ до наст. вр. не представило самолет</w:t>
            </w:r>
          </w:p>
        </w:tc>
      </w:tr>
      <w:tr w:rsidR="001002C3" w:rsidRPr="005E779E" w14:paraId="185D48D1" w14:textId="77777777">
        <w:tc>
          <w:tcPr>
            <w:tcW w:w="1024" w:type="dxa"/>
          </w:tcPr>
          <w:p w14:paraId="620D51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Конкверор</w:t>
            </w:r>
          </w:p>
        </w:tc>
        <w:tc>
          <w:tcPr>
            <w:tcW w:w="1024" w:type="dxa"/>
          </w:tcPr>
          <w:p w14:paraId="33F79D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024" w:type="dxa"/>
          </w:tcPr>
          <w:p w14:paraId="3D5984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024" w:type="dxa"/>
          </w:tcPr>
          <w:p w14:paraId="2E2D0A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08CB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7EC5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1,5-2</w:t>
            </w:r>
          </w:p>
        </w:tc>
        <w:tc>
          <w:tcPr>
            <w:tcW w:w="1024" w:type="dxa"/>
          </w:tcPr>
          <w:p w14:paraId="2F79CC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1930 г.</w:t>
            </w:r>
          </w:p>
        </w:tc>
        <w:tc>
          <w:tcPr>
            <w:tcW w:w="3430" w:type="dxa"/>
          </w:tcPr>
          <w:p w14:paraId="6EA3AE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испытания.</w:t>
            </w:r>
          </w:p>
        </w:tc>
      </w:tr>
      <w:tr w:rsidR="001002C3" w:rsidRPr="005E779E" w14:paraId="3A7BA9AE" w14:textId="77777777">
        <w:tc>
          <w:tcPr>
            <w:tcW w:w="1024" w:type="dxa"/>
          </w:tcPr>
          <w:p w14:paraId="4DBF3F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EF7B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5083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D1C7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D6B9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915A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час.</w:t>
            </w:r>
          </w:p>
        </w:tc>
        <w:tc>
          <w:tcPr>
            <w:tcW w:w="1024" w:type="dxa"/>
          </w:tcPr>
          <w:p w14:paraId="26594C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AD3CD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Гребенев.</w:t>
            </w:r>
          </w:p>
        </w:tc>
      </w:tr>
      <w:tr w:rsidR="001002C3" w:rsidRPr="005E779E" w14:paraId="70E1CCDB" w14:textId="77777777">
        <w:tc>
          <w:tcPr>
            <w:tcW w:w="1024" w:type="dxa"/>
          </w:tcPr>
          <w:p w14:paraId="35295A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И7-БМВVI</w:t>
            </w:r>
          </w:p>
        </w:tc>
        <w:tc>
          <w:tcPr>
            <w:tcW w:w="1024" w:type="dxa"/>
          </w:tcPr>
          <w:p w14:paraId="0E7120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277/</w:t>
            </w:r>
          </w:p>
        </w:tc>
        <w:tc>
          <w:tcPr>
            <w:tcW w:w="1024" w:type="dxa"/>
          </w:tcPr>
          <w:p w14:paraId="24FAD4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10,5"/</w:t>
            </w:r>
          </w:p>
        </w:tc>
        <w:tc>
          <w:tcPr>
            <w:tcW w:w="1024" w:type="dxa"/>
          </w:tcPr>
          <w:p w14:paraId="45B283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8000</w:t>
            </w:r>
          </w:p>
        </w:tc>
        <w:tc>
          <w:tcPr>
            <w:tcW w:w="1024" w:type="dxa"/>
          </w:tcPr>
          <w:p w14:paraId="6C6D8A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пулем.</w:t>
            </w:r>
          </w:p>
        </w:tc>
        <w:tc>
          <w:tcPr>
            <w:tcW w:w="1024" w:type="dxa"/>
          </w:tcPr>
          <w:p w14:paraId="41726E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F3EC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1B612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Проведенные (за исключением стрельб)</w:t>
            </w:r>
          </w:p>
        </w:tc>
      </w:tr>
      <w:tr w:rsidR="001002C3" w:rsidRPr="005E779E" w14:paraId="528DC26F" w14:textId="77777777">
        <w:tc>
          <w:tcPr>
            <w:tcW w:w="1024" w:type="dxa"/>
          </w:tcPr>
          <w:p w14:paraId="217CE4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Е=7,3</w:t>
            </w:r>
          </w:p>
        </w:tc>
        <w:tc>
          <w:tcPr>
            <w:tcW w:w="1024" w:type="dxa"/>
          </w:tcPr>
          <w:p w14:paraId="4F4A34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024" w:type="dxa"/>
          </w:tcPr>
          <w:p w14:paraId="6CBF1F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024" w:type="dxa"/>
          </w:tcPr>
          <w:p w14:paraId="7B3588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BC80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AB89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D329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7DFDF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гос. испытания самолета серии постройки</w:t>
            </w:r>
          </w:p>
        </w:tc>
      </w:tr>
      <w:tr w:rsidR="001002C3" w:rsidRPr="005E779E" w14:paraId="66CA5B94" w14:textId="77777777">
        <w:tc>
          <w:tcPr>
            <w:tcW w:w="1024" w:type="dxa"/>
          </w:tcPr>
          <w:p w14:paraId="2368F8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0337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7797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E8FF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A60C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3D7D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02B6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41AE4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завода N 1 показали, что самолет имеет</w:t>
            </w:r>
          </w:p>
        </w:tc>
      </w:tr>
      <w:tr w:rsidR="001002C3" w:rsidRPr="005E779E" w14:paraId="5D320E63" w14:textId="77777777">
        <w:tc>
          <w:tcPr>
            <w:tcW w:w="1024" w:type="dxa"/>
          </w:tcPr>
          <w:p w14:paraId="7C283B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812A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3DA7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5918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0C4B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A7DF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3910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E4A23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данные ниже, чем у Хейнкеля НД-37.</w:t>
            </w:r>
          </w:p>
        </w:tc>
      </w:tr>
      <w:tr w:rsidR="001002C3" w:rsidRPr="005E779E" w14:paraId="750C1796" w14:textId="77777777">
        <w:tc>
          <w:tcPr>
            <w:tcW w:w="1024" w:type="dxa"/>
          </w:tcPr>
          <w:p w14:paraId="645ED9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D0FF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DC8E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590E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889E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3B9E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4CA2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CFB05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И7-БМВVI Е-7,3 превосходит</w:t>
            </w:r>
          </w:p>
        </w:tc>
      </w:tr>
      <w:tr w:rsidR="001002C3" w:rsidRPr="005E779E" w14:paraId="4C822737" w14:textId="77777777">
        <w:tc>
          <w:tcPr>
            <w:tcW w:w="1024" w:type="dxa"/>
          </w:tcPr>
          <w:p w14:paraId="6BF1D2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2165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306C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BAF8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EC18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832A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019A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D81ED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И5-ЮVI горизонтальными скоростями и</w:t>
            </w:r>
          </w:p>
        </w:tc>
      </w:tr>
      <w:tr w:rsidR="001002C3" w:rsidRPr="005E779E" w14:paraId="11B8D5B8" w14:textId="77777777">
        <w:tc>
          <w:tcPr>
            <w:tcW w:w="1024" w:type="dxa"/>
          </w:tcPr>
          <w:p w14:paraId="382734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0D9D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4ECE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66D2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A124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0455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5390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BE66B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уступает ему в отношении скороподъемн.</w:t>
            </w:r>
          </w:p>
        </w:tc>
      </w:tr>
      <w:tr w:rsidR="001002C3" w:rsidRPr="005E779E" w14:paraId="6CD2BB37" w14:textId="77777777">
        <w:tc>
          <w:tcPr>
            <w:tcW w:w="1024" w:type="dxa"/>
          </w:tcPr>
          <w:p w14:paraId="7AEBB0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F195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0BD2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8CDA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9CD7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F61B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78AA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E339B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 маневренности.</w:t>
            </w:r>
          </w:p>
        </w:tc>
      </w:tr>
      <w:tr w:rsidR="001002C3" w:rsidRPr="005E779E" w14:paraId="0622E84F" w14:textId="77777777">
        <w:tc>
          <w:tcPr>
            <w:tcW w:w="1024" w:type="dxa"/>
          </w:tcPr>
          <w:p w14:paraId="6B652D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9754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A45E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D6BA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C109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86E0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6113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34481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 ВВС принял решение постройки</w:t>
            </w:r>
          </w:p>
        </w:tc>
      </w:tr>
      <w:tr w:rsidR="001002C3" w:rsidRPr="005E779E" w14:paraId="5725C0A0" w14:textId="77777777">
        <w:tc>
          <w:tcPr>
            <w:tcW w:w="1024" w:type="dxa"/>
          </w:tcPr>
          <w:p w14:paraId="0436E2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93DE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C0B9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A0DA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DAE0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F0A5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06E9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641D8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небольшой серии И7-М17 для вооружения</w:t>
            </w:r>
          </w:p>
        </w:tc>
      </w:tr>
      <w:tr w:rsidR="001002C3" w:rsidRPr="005E779E" w14:paraId="76B69AA2" w14:textId="77777777">
        <w:tc>
          <w:tcPr>
            <w:tcW w:w="1024" w:type="dxa"/>
          </w:tcPr>
          <w:p w14:paraId="5E5BA9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8F96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92DC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3092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7903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9A0F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47A8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91E9E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нескольких частей ВВС. Серия в 80 с-тов</w:t>
            </w:r>
          </w:p>
        </w:tc>
      </w:tr>
      <w:tr w:rsidR="001002C3" w:rsidRPr="005E779E" w14:paraId="74A6BE38" w14:textId="77777777">
        <w:tc>
          <w:tcPr>
            <w:tcW w:w="1024" w:type="dxa"/>
          </w:tcPr>
          <w:p w14:paraId="565737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EFA2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4AA1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1D2E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7C64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1D74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0B99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A1E3A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строится на заводе N 1.</w:t>
            </w:r>
          </w:p>
        </w:tc>
      </w:tr>
      <w:tr w:rsidR="001002C3" w:rsidRPr="005E779E" w14:paraId="14646517" w14:textId="77777777">
        <w:tc>
          <w:tcPr>
            <w:tcW w:w="1024" w:type="dxa"/>
          </w:tcPr>
          <w:p w14:paraId="3BDC69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D94F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D121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0098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EB34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4028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6771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C7D77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И7-М17 позволяет легкую модифик.</w:t>
            </w:r>
          </w:p>
        </w:tc>
      </w:tr>
      <w:tr w:rsidR="001002C3" w:rsidRPr="005E779E" w14:paraId="628D4E14" w14:textId="77777777">
        <w:tc>
          <w:tcPr>
            <w:tcW w:w="1024" w:type="dxa"/>
          </w:tcPr>
          <w:p w14:paraId="6A86DC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D550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80FC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5A36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DD8A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166F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C4DF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AC13E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И7-М34, что несомненно значительно</w:t>
            </w:r>
          </w:p>
        </w:tc>
      </w:tr>
      <w:tr w:rsidR="001002C3" w:rsidRPr="005E779E" w14:paraId="6B9314F7" w14:textId="77777777">
        <w:tc>
          <w:tcPr>
            <w:tcW w:w="1024" w:type="dxa"/>
          </w:tcPr>
          <w:p w14:paraId="61F945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DE0A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4413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BD5A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4EF7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6F3B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4A3F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D6AF7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улучшит его летные качества.</w:t>
            </w:r>
          </w:p>
        </w:tc>
      </w:tr>
      <w:tr w:rsidR="001002C3" w:rsidRPr="005E779E" w14:paraId="1703E880" w14:textId="77777777">
        <w:tc>
          <w:tcPr>
            <w:tcW w:w="1024" w:type="dxa"/>
          </w:tcPr>
          <w:p w14:paraId="049830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8E75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46D6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A0EC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928E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60C9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19CE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718A1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Гребенев.</w:t>
            </w:r>
          </w:p>
        </w:tc>
      </w:tr>
      <w:tr w:rsidR="001002C3" w:rsidRPr="005E779E" w14:paraId="39E1907A" w14:textId="77777777">
        <w:tc>
          <w:tcPr>
            <w:tcW w:w="1024" w:type="dxa"/>
          </w:tcPr>
          <w:p w14:paraId="0BFB44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ТБ-1-2М17</w:t>
            </w:r>
          </w:p>
        </w:tc>
        <w:tc>
          <w:tcPr>
            <w:tcW w:w="1024" w:type="dxa"/>
          </w:tcPr>
          <w:p w14:paraId="41885F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Требования не установлены.</w:t>
            </w:r>
          </w:p>
        </w:tc>
        <w:tc>
          <w:tcPr>
            <w:tcW w:w="1024" w:type="dxa"/>
          </w:tcPr>
          <w:p w14:paraId="27BDBF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5A35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D180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3CB7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4738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B5AEA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Ведутся испытания аппаратуры.</w:t>
            </w:r>
          </w:p>
        </w:tc>
      </w:tr>
      <w:tr w:rsidR="001002C3" w:rsidRPr="005E779E" w14:paraId="3E4521F0" w14:textId="77777777">
        <w:tc>
          <w:tcPr>
            <w:tcW w:w="1024" w:type="dxa"/>
          </w:tcPr>
          <w:p w14:paraId="1D7069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(д/химич.</w:t>
            </w:r>
          </w:p>
        </w:tc>
        <w:tc>
          <w:tcPr>
            <w:tcW w:w="1024" w:type="dxa"/>
          </w:tcPr>
          <w:p w14:paraId="7C8AEF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1578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C626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D14A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1CB9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0826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3B6FE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A0C20FE" w14:textId="77777777">
        <w:tc>
          <w:tcPr>
            <w:tcW w:w="1024" w:type="dxa"/>
          </w:tcPr>
          <w:p w14:paraId="7D33C6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целей)</w:t>
            </w:r>
          </w:p>
        </w:tc>
        <w:tc>
          <w:tcPr>
            <w:tcW w:w="1024" w:type="dxa"/>
          </w:tcPr>
          <w:p w14:paraId="465721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9A88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6A95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F773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2145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855F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F9AA0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B839E90" w14:textId="77777777">
        <w:tc>
          <w:tcPr>
            <w:tcW w:w="1024" w:type="dxa"/>
          </w:tcPr>
          <w:p w14:paraId="6E5AB0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w:t>
            </w:r>
          </w:p>
        </w:tc>
        <w:tc>
          <w:tcPr>
            <w:tcW w:w="1024" w:type="dxa"/>
          </w:tcPr>
          <w:p w14:paraId="281FCA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Требования не установлены.</w:t>
            </w:r>
          </w:p>
        </w:tc>
        <w:tc>
          <w:tcPr>
            <w:tcW w:w="1024" w:type="dxa"/>
          </w:tcPr>
          <w:p w14:paraId="66B2B3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961C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DA6C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715C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F9C3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6BEA9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Ссылаясь на некомплект Бюро Особых</w:t>
            </w:r>
          </w:p>
        </w:tc>
      </w:tr>
      <w:tr w:rsidR="001002C3" w:rsidRPr="005E779E" w14:paraId="5F044C4C" w14:textId="77777777">
        <w:tc>
          <w:tcPr>
            <w:tcW w:w="1024" w:type="dxa"/>
          </w:tcPr>
          <w:p w14:paraId="3366FC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Горелова</w:t>
            </w:r>
          </w:p>
        </w:tc>
        <w:tc>
          <w:tcPr>
            <w:tcW w:w="1024" w:type="dxa"/>
          </w:tcPr>
          <w:p w14:paraId="10FBA7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61FB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EB10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D77D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FF7F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D586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59C7A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конструкций ЦАГИ к работе по самолетам</w:t>
            </w:r>
          </w:p>
        </w:tc>
      </w:tr>
      <w:tr w:rsidR="001002C3" w:rsidRPr="005E779E" w14:paraId="58C4EE34" w14:textId="77777777">
        <w:tc>
          <w:tcPr>
            <w:tcW w:w="1024" w:type="dxa"/>
          </w:tcPr>
          <w:p w14:paraId="42EFE3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под мотор</w:t>
            </w:r>
          </w:p>
        </w:tc>
        <w:tc>
          <w:tcPr>
            <w:tcW w:w="1024" w:type="dxa"/>
          </w:tcPr>
          <w:p w14:paraId="07EB91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3EF4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480D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2F78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3672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C21C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4C5F1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Горелова и парабола еще не приступил.</w:t>
            </w:r>
          </w:p>
        </w:tc>
      </w:tr>
      <w:tr w:rsidR="001002C3" w:rsidRPr="005E779E" w14:paraId="6663B931" w14:textId="77777777">
        <w:tc>
          <w:tcPr>
            <w:tcW w:w="1024" w:type="dxa"/>
          </w:tcPr>
          <w:p w14:paraId="15F325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Вальтер</w:t>
            </w:r>
          </w:p>
        </w:tc>
        <w:tc>
          <w:tcPr>
            <w:tcW w:w="1024" w:type="dxa"/>
          </w:tcPr>
          <w:p w14:paraId="2BF057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4ABF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90A6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46AC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4667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06EA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A62AB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F9D3357" w14:textId="77777777">
        <w:tc>
          <w:tcPr>
            <w:tcW w:w="1024" w:type="dxa"/>
          </w:tcPr>
          <w:p w14:paraId="1AC481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w:t>
            </w:r>
          </w:p>
        </w:tc>
        <w:tc>
          <w:tcPr>
            <w:tcW w:w="1024" w:type="dxa"/>
          </w:tcPr>
          <w:p w14:paraId="7FB5E4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Требования не установлены.</w:t>
            </w:r>
          </w:p>
        </w:tc>
        <w:tc>
          <w:tcPr>
            <w:tcW w:w="1024" w:type="dxa"/>
          </w:tcPr>
          <w:p w14:paraId="00045D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9516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8979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0857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1A8E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DDBAD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81C18BD" w14:textId="77777777">
        <w:tc>
          <w:tcPr>
            <w:tcW w:w="1024" w:type="dxa"/>
          </w:tcPr>
          <w:p w14:paraId="5CC770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"Парабола"</w:t>
            </w:r>
          </w:p>
        </w:tc>
        <w:tc>
          <w:tcPr>
            <w:tcW w:w="1024" w:type="dxa"/>
          </w:tcPr>
          <w:p w14:paraId="6A429D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B2DC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D451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3E6D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FBB2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FB9A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2692E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AF14D0E" w14:textId="77777777">
        <w:tc>
          <w:tcPr>
            <w:tcW w:w="1024" w:type="dxa"/>
          </w:tcPr>
          <w:p w14:paraId="38EDAF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М11</w:t>
            </w:r>
          </w:p>
        </w:tc>
        <w:tc>
          <w:tcPr>
            <w:tcW w:w="1024" w:type="dxa"/>
          </w:tcPr>
          <w:p w14:paraId="116810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3F5D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E3F1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C533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62AD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94AA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66E27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1F0E60D" w14:textId="77777777">
        <w:tc>
          <w:tcPr>
            <w:tcW w:w="1024" w:type="dxa"/>
          </w:tcPr>
          <w:p w14:paraId="5625E8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И4-ЮVI</w:t>
            </w:r>
          </w:p>
        </w:tc>
        <w:tc>
          <w:tcPr>
            <w:tcW w:w="1024" w:type="dxa"/>
          </w:tcPr>
          <w:p w14:paraId="074EBA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Требования не установлены.</w:t>
            </w:r>
          </w:p>
        </w:tc>
        <w:tc>
          <w:tcPr>
            <w:tcW w:w="1024" w:type="dxa"/>
          </w:tcPr>
          <w:p w14:paraId="7267E8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43F5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2DE4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A2DF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749A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76A3E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Испытания самолета, снабженного </w:t>
            </w:r>
          </w:p>
        </w:tc>
      </w:tr>
      <w:tr w:rsidR="001002C3" w:rsidRPr="005E779E" w14:paraId="5674859C" w14:textId="77777777">
        <w:tc>
          <w:tcPr>
            <w:tcW w:w="1024" w:type="dxa"/>
          </w:tcPr>
          <w:p w14:paraId="51B652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моноплан</w:t>
            </w:r>
          </w:p>
        </w:tc>
        <w:tc>
          <w:tcPr>
            <w:tcW w:w="1024" w:type="dxa"/>
          </w:tcPr>
          <w:p w14:paraId="5A86A5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994B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FBAA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C952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6B52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45CF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13B2E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предкрылками на концах крыльев </w:t>
            </w:r>
          </w:p>
        </w:tc>
      </w:tr>
      <w:tr w:rsidR="001002C3" w:rsidRPr="005E779E" w14:paraId="427DD15A" w14:textId="77777777">
        <w:tc>
          <w:tcPr>
            <w:tcW w:w="1024" w:type="dxa"/>
          </w:tcPr>
          <w:p w14:paraId="4F3699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A555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DD5A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ED98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0E18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C6F6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E86C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AA18B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закончены.</w:t>
            </w:r>
          </w:p>
        </w:tc>
      </w:tr>
      <w:tr w:rsidR="001002C3" w:rsidRPr="005E779E" w14:paraId="73776F36" w14:textId="77777777">
        <w:tc>
          <w:tcPr>
            <w:tcW w:w="1024" w:type="dxa"/>
          </w:tcPr>
          <w:p w14:paraId="6FD550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755A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1C09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B2D7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0B95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6A84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7A8A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42ED3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Петров.</w:t>
            </w:r>
          </w:p>
        </w:tc>
      </w:tr>
      <w:tr w:rsidR="001002C3" w:rsidRPr="005E779E" w14:paraId="050C4E0F" w14:textId="77777777">
        <w:tc>
          <w:tcPr>
            <w:tcW w:w="1024" w:type="dxa"/>
          </w:tcPr>
          <w:p w14:paraId="47F26F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1-ВГ</w:t>
            </w:r>
          </w:p>
        </w:tc>
        <w:tc>
          <w:tcPr>
            <w:tcW w:w="1024" w:type="dxa"/>
          </w:tcPr>
          <w:p w14:paraId="3AA824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7CB1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A27E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CB53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5502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55E0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D88D2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Ведется ремонт после аварии с изменением</w:t>
            </w:r>
          </w:p>
        </w:tc>
      </w:tr>
      <w:tr w:rsidR="001002C3" w:rsidRPr="005E779E" w14:paraId="6CDBC75B" w14:textId="77777777">
        <w:tc>
          <w:tcPr>
            <w:tcW w:w="1024" w:type="dxa"/>
          </w:tcPr>
          <w:p w14:paraId="441B36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геликоптер</w:t>
            </w:r>
          </w:p>
        </w:tc>
        <w:tc>
          <w:tcPr>
            <w:tcW w:w="1024" w:type="dxa"/>
          </w:tcPr>
          <w:p w14:paraId="63065D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4106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B0BE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833E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FE39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EE11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61E20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конструкции отдельных деталей.</w:t>
            </w:r>
          </w:p>
        </w:tc>
      </w:tr>
      <w:tr w:rsidR="001002C3" w:rsidRPr="005E779E" w14:paraId="748DB0B1" w14:textId="77777777">
        <w:tc>
          <w:tcPr>
            <w:tcW w:w="1024" w:type="dxa"/>
          </w:tcPr>
          <w:p w14:paraId="467BEB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FA77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C5E0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4A36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14EA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7BB4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CC7C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DC834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Квитко.</w:t>
            </w:r>
          </w:p>
        </w:tc>
      </w:tr>
      <w:tr w:rsidR="001002C3" w:rsidRPr="005E779E" w14:paraId="7269CAE3" w14:textId="77777777">
        <w:tc>
          <w:tcPr>
            <w:tcW w:w="1024" w:type="dxa"/>
          </w:tcPr>
          <w:p w14:paraId="7AC07F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Вертолет</w:t>
            </w:r>
          </w:p>
        </w:tc>
        <w:tc>
          <w:tcPr>
            <w:tcW w:w="1024" w:type="dxa"/>
          </w:tcPr>
          <w:p w14:paraId="45E7F5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B257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E636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BAA3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20AA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3A6B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33E26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Ссылаясь на некомплект Бюро Особых</w:t>
            </w:r>
          </w:p>
        </w:tc>
      </w:tr>
      <w:tr w:rsidR="001002C3" w:rsidRPr="005E779E" w14:paraId="653FA9AF" w14:textId="77777777">
        <w:tc>
          <w:tcPr>
            <w:tcW w:w="1024" w:type="dxa"/>
          </w:tcPr>
          <w:p w14:paraId="5F995B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(автожир)</w:t>
            </w:r>
          </w:p>
        </w:tc>
        <w:tc>
          <w:tcPr>
            <w:tcW w:w="1024" w:type="dxa"/>
          </w:tcPr>
          <w:p w14:paraId="195DF2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389A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80C7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6442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472A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25A8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6B412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конструкций ЦАГИ работы по переделкам</w:t>
            </w:r>
          </w:p>
        </w:tc>
      </w:tr>
      <w:tr w:rsidR="001002C3" w:rsidRPr="005E779E" w14:paraId="3647BBD4" w14:textId="77777777">
        <w:tc>
          <w:tcPr>
            <w:tcW w:w="1024" w:type="dxa"/>
          </w:tcPr>
          <w:p w14:paraId="565D94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0E9C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8639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55F1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0F38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F780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0324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98B0B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построенного автожира с мотором Титан</w:t>
            </w:r>
          </w:p>
        </w:tc>
      </w:tr>
      <w:tr w:rsidR="001002C3" w:rsidRPr="005E779E" w14:paraId="6354340D" w14:textId="77777777">
        <w:tc>
          <w:tcPr>
            <w:tcW w:w="1024" w:type="dxa"/>
          </w:tcPr>
          <w:p w14:paraId="78FD7B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665C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FECA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A555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DB7B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27D3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E743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60B1C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ведет в очень слабом темпе.</w:t>
            </w:r>
          </w:p>
        </w:tc>
      </w:tr>
      <w:tr w:rsidR="001002C3" w:rsidRPr="005E779E" w14:paraId="79931173" w14:textId="77777777">
        <w:tc>
          <w:tcPr>
            <w:tcW w:w="1024" w:type="dxa"/>
          </w:tcPr>
          <w:p w14:paraId="305DD2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55FB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AE36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7AD9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F521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0063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E9B5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CE6B3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Кравцов.</w:t>
            </w:r>
          </w:p>
        </w:tc>
      </w:tr>
      <w:tr w:rsidR="001002C3" w:rsidRPr="005E779E" w14:paraId="409CF0BB" w14:textId="77777777">
        <w:tc>
          <w:tcPr>
            <w:tcW w:w="1024" w:type="dxa"/>
          </w:tcPr>
          <w:p w14:paraId="1A1159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ТБ1а-2М17</w:t>
            </w:r>
          </w:p>
        </w:tc>
        <w:tc>
          <w:tcPr>
            <w:tcW w:w="1024" w:type="dxa"/>
          </w:tcPr>
          <w:p w14:paraId="269992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186/0</w:t>
            </w:r>
          </w:p>
        </w:tc>
        <w:tc>
          <w:tcPr>
            <w:tcW w:w="1024" w:type="dxa"/>
          </w:tcPr>
          <w:p w14:paraId="6C864B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33,5"/</w:t>
            </w:r>
          </w:p>
        </w:tc>
        <w:tc>
          <w:tcPr>
            <w:tcW w:w="1024" w:type="dxa"/>
          </w:tcPr>
          <w:p w14:paraId="7715FF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3520</w:t>
            </w:r>
          </w:p>
        </w:tc>
        <w:tc>
          <w:tcPr>
            <w:tcW w:w="1024" w:type="dxa"/>
          </w:tcPr>
          <w:p w14:paraId="2203A5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спарен.</w:t>
            </w:r>
          </w:p>
        </w:tc>
        <w:tc>
          <w:tcPr>
            <w:tcW w:w="1024" w:type="dxa"/>
          </w:tcPr>
          <w:p w14:paraId="00ED4E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Дальн.</w:t>
            </w:r>
          </w:p>
        </w:tc>
        <w:tc>
          <w:tcPr>
            <w:tcW w:w="1024" w:type="dxa"/>
          </w:tcPr>
          <w:p w14:paraId="2AE324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70EDF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Произведены испытания в Севастополе на</w:t>
            </w:r>
          </w:p>
        </w:tc>
      </w:tr>
      <w:tr w:rsidR="001002C3" w:rsidRPr="005E779E" w14:paraId="6517274A" w14:textId="77777777">
        <w:tc>
          <w:tcPr>
            <w:tcW w:w="1024" w:type="dxa"/>
          </w:tcPr>
          <w:p w14:paraId="5FCC1F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установлен.</w:t>
            </w:r>
          </w:p>
        </w:tc>
        <w:tc>
          <w:tcPr>
            <w:tcW w:w="1024" w:type="dxa"/>
          </w:tcPr>
          <w:p w14:paraId="34E475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7564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219455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975C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установки</w:t>
            </w:r>
          </w:p>
        </w:tc>
        <w:tc>
          <w:tcPr>
            <w:tcW w:w="1024" w:type="dxa"/>
          </w:tcPr>
          <w:p w14:paraId="13B91C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1320 км</w:t>
            </w:r>
          </w:p>
        </w:tc>
        <w:tc>
          <w:tcPr>
            <w:tcW w:w="1024" w:type="dxa"/>
          </w:tcPr>
          <w:p w14:paraId="3F89D3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57719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поплавках Шорта за исключением</w:t>
            </w:r>
          </w:p>
        </w:tc>
      </w:tr>
      <w:tr w:rsidR="001002C3" w:rsidRPr="005E779E" w14:paraId="12EF8A95" w14:textId="77777777">
        <w:tc>
          <w:tcPr>
            <w:tcW w:w="1024" w:type="dxa"/>
          </w:tcPr>
          <w:p w14:paraId="444B20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поплавки</w:t>
            </w:r>
          </w:p>
        </w:tc>
        <w:tc>
          <w:tcPr>
            <w:tcW w:w="1024" w:type="dxa"/>
          </w:tcPr>
          <w:p w14:paraId="113111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7332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74FB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E4E6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w:t>
            </w:r>
          </w:p>
        </w:tc>
        <w:tc>
          <w:tcPr>
            <w:tcW w:w="1024" w:type="dxa"/>
          </w:tcPr>
          <w:p w14:paraId="3A5BBB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2597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9321F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мореходных испытаний. Поставлен вопрос</w:t>
            </w:r>
          </w:p>
        </w:tc>
      </w:tr>
      <w:tr w:rsidR="001002C3" w:rsidRPr="005E779E" w14:paraId="7303DD24" w14:textId="77777777">
        <w:tc>
          <w:tcPr>
            <w:tcW w:w="1024" w:type="dxa"/>
          </w:tcPr>
          <w:p w14:paraId="0AA42D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66EA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4981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F32D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2004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6AD9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16EF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3F542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 серийном изготовлении 22 пар поплавков</w:t>
            </w:r>
          </w:p>
        </w:tc>
      </w:tr>
      <w:tr w:rsidR="001002C3" w:rsidRPr="005E779E" w14:paraId="366D1DF4" w14:textId="77777777">
        <w:tc>
          <w:tcPr>
            <w:tcW w:w="1024" w:type="dxa"/>
          </w:tcPr>
          <w:p w14:paraId="7647AF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1E10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5C35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898F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5710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29FD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FF29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6F029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морских шасси на заводе N 31. Готовность</w:t>
            </w:r>
          </w:p>
        </w:tc>
      </w:tr>
      <w:tr w:rsidR="001002C3" w:rsidRPr="005E779E" w14:paraId="1289824E" w14:textId="77777777">
        <w:tc>
          <w:tcPr>
            <w:tcW w:w="1024" w:type="dxa"/>
          </w:tcPr>
          <w:p w14:paraId="1322EF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3FAE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1EF3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7739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E39F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5ACC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58F6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EF39A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 пар поплавков возможно ожидать к</w:t>
            </w:r>
          </w:p>
        </w:tc>
      </w:tr>
      <w:tr w:rsidR="001002C3" w:rsidRPr="005E779E" w14:paraId="7AE0AB74" w14:textId="77777777">
        <w:tc>
          <w:tcPr>
            <w:tcW w:w="1024" w:type="dxa"/>
          </w:tcPr>
          <w:p w14:paraId="4058B8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B5D7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1FED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F399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5AB2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78E4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F1A9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FF37B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марта 1932 года.</w:t>
            </w:r>
          </w:p>
        </w:tc>
      </w:tr>
      <w:tr w:rsidR="001002C3" w:rsidRPr="005E779E" w14:paraId="78449BC3" w14:textId="77777777">
        <w:tc>
          <w:tcPr>
            <w:tcW w:w="1024" w:type="dxa"/>
          </w:tcPr>
          <w:p w14:paraId="181E6E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7D9F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5D2C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7C12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EA17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97E2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E7C8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A068C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Кудрявцев.</w:t>
            </w:r>
          </w:p>
        </w:tc>
      </w:tr>
      <w:tr w:rsidR="001002C3" w:rsidRPr="005E779E" w14:paraId="395EB982" w14:textId="77777777">
        <w:tc>
          <w:tcPr>
            <w:tcW w:w="1024" w:type="dxa"/>
          </w:tcPr>
          <w:p w14:paraId="7B1873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Р5-М17</w:t>
            </w:r>
          </w:p>
        </w:tc>
        <w:tc>
          <w:tcPr>
            <w:tcW w:w="1024" w:type="dxa"/>
          </w:tcPr>
          <w:p w14:paraId="742582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0881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66CF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2BEF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9981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1282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апр.</w:t>
            </w:r>
          </w:p>
        </w:tc>
        <w:tc>
          <w:tcPr>
            <w:tcW w:w="3430" w:type="dxa"/>
          </w:tcPr>
          <w:p w14:paraId="03218E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запаздывает на гос. испытания на</w:t>
            </w:r>
          </w:p>
        </w:tc>
      </w:tr>
      <w:tr w:rsidR="001002C3" w:rsidRPr="005E779E" w14:paraId="159427B1" w14:textId="77777777">
        <w:tc>
          <w:tcPr>
            <w:tcW w:w="1024" w:type="dxa"/>
          </w:tcPr>
          <w:p w14:paraId="01FF8D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поплавках</w:t>
            </w:r>
          </w:p>
        </w:tc>
        <w:tc>
          <w:tcPr>
            <w:tcW w:w="1024" w:type="dxa"/>
          </w:tcPr>
          <w:p w14:paraId="43E4D0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2F00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32B2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FE37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948B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AE25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 г.</w:t>
            </w:r>
          </w:p>
        </w:tc>
        <w:tc>
          <w:tcPr>
            <w:tcW w:w="3430" w:type="dxa"/>
          </w:tcPr>
          <w:p w14:paraId="18DDF1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5-6 месяцев. В ближайшие 10-15 дней</w:t>
            </w:r>
          </w:p>
        </w:tc>
      </w:tr>
      <w:tr w:rsidR="001002C3" w:rsidRPr="005E779E" w14:paraId="6ED07F82" w14:textId="77777777">
        <w:tc>
          <w:tcPr>
            <w:tcW w:w="1024" w:type="dxa"/>
          </w:tcPr>
          <w:p w14:paraId="6FC36F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9BE5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BA28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B188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CB9F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A867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A728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3C745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(примерно к 15 октября 1931 года) с-т</w:t>
            </w:r>
          </w:p>
        </w:tc>
      </w:tr>
      <w:tr w:rsidR="001002C3" w:rsidRPr="005E779E" w14:paraId="11421201" w14:textId="77777777">
        <w:tc>
          <w:tcPr>
            <w:tcW w:w="1024" w:type="dxa"/>
          </w:tcPr>
          <w:p w14:paraId="4FB895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5DE2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C329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15B0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2B37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0E62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F635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37BD9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будет собран, опробован в воздухе с</w:t>
            </w:r>
          </w:p>
        </w:tc>
      </w:tr>
      <w:tr w:rsidR="001002C3" w:rsidRPr="005E779E" w14:paraId="7E5A1057" w14:textId="77777777">
        <w:tc>
          <w:tcPr>
            <w:tcW w:w="1024" w:type="dxa"/>
          </w:tcPr>
          <w:p w14:paraId="2EB95A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DC30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3A9E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EF3E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3486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1E87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370F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8584B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Москва-реки и направлен на гос. испытания</w:t>
            </w:r>
          </w:p>
        </w:tc>
      </w:tr>
      <w:tr w:rsidR="001002C3" w:rsidRPr="005E779E" w14:paraId="5FAC349E" w14:textId="77777777">
        <w:tc>
          <w:tcPr>
            <w:tcW w:w="1024" w:type="dxa"/>
          </w:tcPr>
          <w:p w14:paraId="6031C3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3651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E97B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2823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E5D1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B4D7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CE9D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C7F6E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Севастополь.</w:t>
            </w:r>
          </w:p>
        </w:tc>
      </w:tr>
      <w:tr w:rsidR="001002C3" w:rsidRPr="005E779E" w14:paraId="3B44874D" w14:textId="77777777">
        <w:tc>
          <w:tcPr>
            <w:tcW w:w="1024" w:type="dxa"/>
          </w:tcPr>
          <w:p w14:paraId="6C6B6E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87CE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0EA3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A9C5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047B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109E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9517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2B595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Украинцев.</w:t>
            </w:r>
          </w:p>
        </w:tc>
      </w:tr>
      <w:tr w:rsidR="001002C3" w:rsidRPr="005E779E" w14:paraId="31FB3D80" w14:textId="77777777">
        <w:tc>
          <w:tcPr>
            <w:tcW w:w="1024" w:type="dxa"/>
          </w:tcPr>
          <w:p w14:paraId="4F0765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Р6-2М17</w:t>
            </w:r>
          </w:p>
        </w:tc>
        <w:tc>
          <w:tcPr>
            <w:tcW w:w="1024" w:type="dxa"/>
          </w:tcPr>
          <w:p w14:paraId="69DA02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A87B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8F4D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9682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0EEE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EBC8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96565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Дан заказ ВАО на изготовление 3-х</w:t>
            </w:r>
          </w:p>
        </w:tc>
      </w:tr>
      <w:tr w:rsidR="001002C3" w:rsidRPr="005E779E" w14:paraId="2FB7ECB3" w14:textId="77777777">
        <w:tc>
          <w:tcPr>
            <w:tcW w:w="1024" w:type="dxa"/>
          </w:tcPr>
          <w:p w14:paraId="0E7317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поплавках</w:t>
            </w:r>
          </w:p>
        </w:tc>
        <w:tc>
          <w:tcPr>
            <w:tcW w:w="1024" w:type="dxa"/>
          </w:tcPr>
          <w:p w14:paraId="704D75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9E29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A4D3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53FB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F550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1293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BBE54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опытных поплавков. По изготовлении с-т</w:t>
            </w:r>
          </w:p>
        </w:tc>
      </w:tr>
      <w:tr w:rsidR="001002C3" w:rsidRPr="005E779E" w14:paraId="5E5EF118" w14:textId="77777777">
        <w:tc>
          <w:tcPr>
            <w:tcW w:w="1024" w:type="dxa"/>
          </w:tcPr>
          <w:p w14:paraId="3E0052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5FC5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23DE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101A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DD2C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0124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ECF7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0D74A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будет испытан в Севастополе. Поднят </w:t>
            </w:r>
          </w:p>
        </w:tc>
      </w:tr>
      <w:tr w:rsidR="001002C3" w:rsidRPr="005E779E" w14:paraId="7189DB1A" w14:textId="77777777">
        <w:tc>
          <w:tcPr>
            <w:tcW w:w="1024" w:type="dxa"/>
          </w:tcPr>
          <w:p w14:paraId="7B5421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9613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76F3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7526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5384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13AC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CF0F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29E64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вопрос о включении в план ВАО 25 шт. Р6</w:t>
            </w:r>
          </w:p>
        </w:tc>
      </w:tr>
      <w:tr w:rsidR="001002C3" w:rsidRPr="005E779E" w14:paraId="6F8AEEEE" w14:textId="77777777">
        <w:tc>
          <w:tcPr>
            <w:tcW w:w="1024" w:type="dxa"/>
          </w:tcPr>
          <w:p w14:paraId="50A757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D4A8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4E89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FD27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EAB2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C1BE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BD57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BC27E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поплавках.</w:t>
            </w:r>
          </w:p>
        </w:tc>
      </w:tr>
      <w:tr w:rsidR="001002C3" w:rsidRPr="005E779E" w14:paraId="159980CF" w14:textId="77777777">
        <w:tc>
          <w:tcPr>
            <w:tcW w:w="1024" w:type="dxa"/>
          </w:tcPr>
          <w:p w14:paraId="3FFD15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25FF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BAB4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B87A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328F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B1FB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1424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CD013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Кудрявцев.</w:t>
            </w:r>
          </w:p>
        </w:tc>
      </w:tr>
      <w:tr w:rsidR="001002C3" w:rsidRPr="005E779E" w14:paraId="4036ADB7" w14:textId="77777777">
        <w:tc>
          <w:tcPr>
            <w:tcW w:w="1024" w:type="dxa"/>
          </w:tcPr>
          <w:p w14:paraId="3CEF35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МДР2-2БМВVI</w:t>
            </w:r>
          </w:p>
        </w:tc>
        <w:tc>
          <w:tcPr>
            <w:tcW w:w="1024" w:type="dxa"/>
          </w:tcPr>
          <w:p w14:paraId="3FE55B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ном. 118</w:t>
            </w:r>
          </w:p>
        </w:tc>
        <w:tc>
          <w:tcPr>
            <w:tcW w:w="1024" w:type="dxa"/>
          </w:tcPr>
          <w:p w14:paraId="5D0566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39,75 м/</w:t>
            </w:r>
          </w:p>
        </w:tc>
        <w:tc>
          <w:tcPr>
            <w:tcW w:w="1024" w:type="dxa"/>
          </w:tcPr>
          <w:p w14:paraId="333256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3330</w:t>
            </w:r>
          </w:p>
        </w:tc>
        <w:tc>
          <w:tcPr>
            <w:tcW w:w="1024" w:type="dxa"/>
          </w:tcPr>
          <w:p w14:paraId="2D2BD9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пулем.</w:t>
            </w:r>
          </w:p>
        </w:tc>
        <w:tc>
          <w:tcPr>
            <w:tcW w:w="1024" w:type="dxa"/>
          </w:tcPr>
          <w:p w14:paraId="06417F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1060</w:t>
            </w:r>
          </w:p>
        </w:tc>
        <w:tc>
          <w:tcPr>
            <w:tcW w:w="1024" w:type="dxa"/>
          </w:tcPr>
          <w:p w14:paraId="19B59A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окт.</w:t>
            </w:r>
          </w:p>
        </w:tc>
        <w:tc>
          <w:tcPr>
            <w:tcW w:w="3430" w:type="dxa"/>
          </w:tcPr>
          <w:p w14:paraId="66FAD7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с новыми поплавками большего</w:t>
            </w:r>
          </w:p>
        </w:tc>
      </w:tr>
      <w:tr w:rsidR="001002C3" w:rsidRPr="005E779E" w14:paraId="79C2B798" w14:textId="77777777">
        <w:tc>
          <w:tcPr>
            <w:tcW w:w="1024" w:type="dxa"/>
          </w:tcPr>
          <w:p w14:paraId="0CB32D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D926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A834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10E0DD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A681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бомбы в</w:t>
            </w:r>
          </w:p>
        </w:tc>
        <w:tc>
          <w:tcPr>
            <w:tcW w:w="1024" w:type="dxa"/>
          </w:tcPr>
          <w:p w14:paraId="17D285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5C93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1930 г.</w:t>
            </w:r>
          </w:p>
        </w:tc>
        <w:tc>
          <w:tcPr>
            <w:tcW w:w="3430" w:type="dxa"/>
          </w:tcPr>
          <w:p w14:paraId="34A003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водоизмещения готов к испытаниям.</w:t>
            </w:r>
          </w:p>
        </w:tc>
      </w:tr>
      <w:tr w:rsidR="001002C3" w:rsidRPr="005E779E" w14:paraId="312C7648" w14:textId="77777777">
        <w:tc>
          <w:tcPr>
            <w:tcW w:w="1024" w:type="dxa"/>
          </w:tcPr>
          <w:p w14:paraId="3E0A2A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13C4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5510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566B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5BED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счет</w:t>
            </w:r>
          </w:p>
        </w:tc>
        <w:tc>
          <w:tcPr>
            <w:tcW w:w="1024" w:type="dxa"/>
          </w:tcPr>
          <w:p w14:paraId="4DAB98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01D9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10753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к серийной постройке в 1932 году</w:t>
            </w:r>
          </w:p>
        </w:tc>
      </w:tr>
      <w:tr w:rsidR="001002C3" w:rsidRPr="005E779E" w14:paraId="5686B811" w14:textId="77777777">
        <w:tc>
          <w:tcPr>
            <w:tcW w:w="1024" w:type="dxa"/>
          </w:tcPr>
          <w:p w14:paraId="11C27C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276F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DF71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0E2E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10F8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перегруз.</w:t>
            </w:r>
          </w:p>
        </w:tc>
        <w:tc>
          <w:tcPr>
            <w:tcW w:w="1024" w:type="dxa"/>
          </w:tcPr>
          <w:p w14:paraId="30221F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0F2E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97C09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планом не предусмотрен ввиду </w:t>
            </w:r>
          </w:p>
        </w:tc>
      </w:tr>
      <w:tr w:rsidR="001002C3" w:rsidRPr="005E779E" w14:paraId="5D8E497D" w14:textId="77777777">
        <w:tc>
          <w:tcPr>
            <w:tcW w:w="1024" w:type="dxa"/>
          </w:tcPr>
          <w:p w14:paraId="095042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08E9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015B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2F1D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79A8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4х250 или</w:t>
            </w:r>
          </w:p>
        </w:tc>
        <w:tc>
          <w:tcPr>
            <w:tcW w:w="1024" w:type="dxa"/>
          </w:tcPr>
          <w:p w14:paraId="6B46F1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AA5F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21653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неудовлетворения его данных техтребов.</w:t>
            </w:r>
          </w:p>
        </w:tc>
      </w:tr>
      <w:tr w:rsidR="001002C3" w:rsidRPr="005E779E" w14:paraId="17962C48" w14:textId="77777777">
        <w:tc>
          <w:tcPr>
            <w:tcW w:w="1024" w:type="dxa"/>
          </w:tcPr>
          <w:p w14:paraId="36A621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524F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AE77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1A91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4CE2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2х250 и</w:t>
            </w:r>
          </w:p>
        </w:tc>
        <w:tc>
          <w:tcPr>
            <w:tcW w:w="1024" w:type="dxa"/>
          </w:tcPr>
          <w:p w14:paraId="0CA94D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1786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F92A3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предъявленным к МДР штабом РККА и </w:t>
            </w:r>
          </w:p>
        </w:tc>
      </w:tr>
      <w:tr w:rsidR="001002C3" w:rsidRPr="005E779E" w14:paraId="6B67442C" w14:textId="77777777">
        <w:tc>
          <w:tcPr>
            <w:tcW w:w="1024" w:type="dxa"/>
          </w:tcPr>
          <w:p w14:paraId="772D79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890E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0058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4069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2AE2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4х100</w:t>
            </w:r>
          </w:p>
        </w:tc>
        <w:tc>
          <w:tcPr>
            <w:tcW w:w="1024" w:type="dxa"/>
          </w:tcPr>
          <w:p w14:paraId="2950D0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6CEA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9624E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ориентировки на самолет МДР3-4М17.</w:t>
            </w:r>
          </w:p>
        </w:tc>
      </w:tr>
      <w:tr w:rsidR="001002C3" w:rsidRPr="005E779E" w14:paraId="1C04B75C" w14:textId="77777777">
        <w:tc>
          <w:tcPr>
            <w:tcW w:w="1024" w:type="dxa"/>
          </w:tcPr>
          <w:p w14:paraId="73AF3C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9DBB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2056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94D6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F5D4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DD71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4D71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61559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Кудрявцев.</w:t>
            </w:r>
          </w:p>
        </w:tc>
      </w:tr>
      <w:tr w:rsidR="001002C3" w:rsidRPr="005E779E" w14:paraId="10565E4F" w14:textId="77777777">
        <w:tc>
          <w:tcPr>
            <w:tcW w:w="1024" w:type="dxa"/>
          </w:tcPr>
          <w:p w14:paraId="7BFB14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МДР1-2БМВVI</w:t>
            </w:r>
          </w:p>
        </w:tc>
        <w:tc>
          <w:tcPr>
            <w:tcW w:w="1024" w:type="dxa"/>
          </w:tcPr>
          <w:p w14:paraId="6A40B3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32/3000</w:t>
            </w:r>
          </w:p>
        </w:tc>
        <w:tc>
          <w:tcPr>
            <w:tcW w:w="1024" w:type="dxa"/>
          </w:tcPr>
          <w:p w14:paraId="4F31EF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B6BF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Отсутсвует</w:t>
            </w:r>
          </w:p>
        </w:tc>
        <w:tc>
          <w:tcPr>
            <w:tcW w:w="1024" w:type="dxa"/>
          </w:tcPr>
          <w:p w14:paraId="02D9CF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400</w:t>
            </w:r>
          </w:p>
        </w:tc>
        <w:tc>
          <w:tcPr>
            <w:tcW w:w="1024" w:type="dxa"/>
          </w:tcPr>
          <w:p w14:paraId="78F934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идет вне плана ЦКБ. Срок окончан.</w:t>
            </w:r>
          </w:p>
        </w:tc>
        <w:tc>
          <w:tcPr>
            <w:tcW w:w="1024" w:type="dxa"/>
          </w:tcPr>
          <w:p w14:paraId="0B6DEF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3827F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E551216" w14:textId="77777777">
        <w:tc>
          <w:tcPr>
            <w:tcW w:w="1024" w:type="dxa"/>
          </w:tcPr>
          <w:p w14:paraId="5C6CB8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F171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9D6C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69EB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7077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AF60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09DD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 г.</w:t>
            </w:r>
          </w:p>
        </w:tc>
        <w:tc>
          <w:tcPr>
            <w:tcW w:w="3430" w:type="dxa"/>
          </w:tcPr>
          <w:p w14:paraId="1B942B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производстве ориентировочно 1 февраля</w:t>
            </w:r>
          </w:p>
        </w:tc>
      </w:tr>
      <w:tr w:rsidR="001002C3" w:rsidRPr="005E779E" w14:paraId="63FA9F23" w14:textId="77777777">
        <w:tc>
          <w:tcPr>
            <w:tcW w:w="1024" w:type="dxa"/>
          </w:tcPr>
          <w:p w14:paraId="40A387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A134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7A64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6A16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F526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E2DC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2131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A7D4C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1932 года.</w:t>
            </w:r>
          </w:p>
        </w:tc>
      </w:tr>
      <w:tr w:rsidR="001002C3" w:rsidRPr="005E779E" w14:paraId="774E6263" w14:textId="77777777">
        <w:tc>
          <w:tcPr>
            <w:tcW w:w="1024" w:type="dxa"/>
          </w:tcPr>
          <w:p w14:paraId="20B7EE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3D47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FD2E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DBC8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9701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2FD6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375F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65B4A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Кудрявцев.</w:t>
            </w:r>
          </w:p>
        </w:tc>
      </w:tr>
      <w:tr w:rsidR="001002C3" w:rsidRPr="005E779E" w14:paraId="6BB66614" w14:textId="77777777">
        <w:tc>
          <w:tcPr>
            <w:tcW w:w="1024" w:type="dxa"/>
          </w:tcPr>
          <w:p w14:paraId="15215F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МУ3-М11</w:t>
            </w:r>
          </w:p>
        </w:tc>
        <w:tc>
          <w:tcPr>
            <w:tcW w:w="1024" w:type="dxa"/>
          </w:tcPr>
          <w:p w14:paraId="3C4F50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120/130/</w:t>
            </w:r>
          </w:p>
        </w:tc>
        <w:tc>
          <w:tcPr>
            <w:tcW w:w="1024" w:type="dxa"/>
          </w:tcPr>
          <w:p w14:paraId="49D3C2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20/3000</w:t>
            </w:r>
          </w:p>
        </w:tc>
        <w:tc>
          <w:tcPr>
            <w:tcW w:w="1024" w:type="dxa"/>
          </w:tcPr>
          <w:p w14:paraId="5BCEA0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3500</w:t>
            </w:r>
          </w:p>
        </w:tc>
        <w:tc>
          <w:tcPr>
            <w:tcW w:w="1024" w:type="dxa"/>
          </w:tcPr>
          <w:p w14:paraId="20F05D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4427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продол.</w:t>
            </w:r>
          </w:p>
        </w:tc>
        <w:tc>
          <w:tcPr>
            <w:tcW w:w="1024" w:type="dxa"/>
          </w:tcPr>
          <w:p w14:paraId="11A58C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мая</w:t>
            </w:r>
          </w:p>
        </w:tc>
        <w:tc>
          <w:tcPr>
            <w:tcW w:w="3430" w:type="dxa"/>
          </w:tcPr>
          <w:p w14:paraId="1709BD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готов и проходит в наст. вр.</w:t>
            </w:r>
          </w:p>
        </w:tc>
      </w:tr>
      <w:tr w:rsidR="001002C3" w:rsidRPr="005E779E" w14:paraId="65EEAFC5" w14:textId="77777777">
        <w:tc>
          <w:tcPr>
            <w:tcW w:w="1024" w:type="dxa"/>
          </w:tcPr>
          <w:p w14:paraId="4F7704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E256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w:t>
            </w:r>
          </w:p>
        </w:tc>
        <w:tc>
          <w:tcPr>
            <w:tcW w:w="1024" w:type="dxa"/>
          </w:tcPr>
          <w:p w14:paraId="3D2279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A52F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13E5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5376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час.</w:t>
            </w:r>
          </w:p>
        </w:tc>
        <w:tc>
          <w:tcPr>
            <w:tcW w:w="1024" w:type="dxa"/>
          </w:tcPr>
          <w:p w14:paraId="7CF248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 г.</w:t>
            </w:r>
          </w:p>
        </w:tc>
        <w:tc>
          <w:tcPr>
            <w:tcW w:w="3430" w:type="dxa"/>
          </w:tcPr>
          <w:p w14:paraId="75C6C7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заводские испытания в Ленинграде. Затем</w:t>
            </w:r>
          </w:p>
        </w:tc>
      </w:tr>
      <w:tr w:rsidR="001002C3" w:rsidRPr="005E779E" w14:paraId="79014172" w14:textId="77777777">
        <w:tc>
          <w:tcPr>
            <w:tcW w:w="1024" w:type="dxa"/>
          </w:tcPr>
          <w:p w14:paraId="10D9F8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2C86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2A3B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2B29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D367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3039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10C1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0E33F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будет напрален на гос. испытания в</w:t>
            </w:r>
          </w:p>
        </w:tc>
      </w:tr>
      <w:tr w:rsidR="001002C3" w:rsidRPr="005E779E" w14:paraId="3A46E2E9" w14:textId="77777777">
        <w:tc>
          <w:tcPr>
            <w:tcW w:w="1024" w:type="dxa"/>
          </w:tcPr>
          <w:p w14:paraId="40389A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9152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17F3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F051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7ACD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368E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08EB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2322F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Севастополь в Морской отдел НИИ.</w:t>
            </w:r>
          </w:p>
        </w:tc>
      </w:tr>
      <w:tr w:rsidR="001002C3" w:rsidRPr="005E779E" w14:paraId="733F9733" w14:textId="77777777">
        <w:tc>
          <w:tcPr>
            <w:tcW w:w="1024" w:type="dxa"/>
          </w:tcPr>
          <w:p w14:paraId="4C7BE5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2420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FD13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EF37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28C1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A6D1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CFD1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E92DD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опаздывает на госисипытания</w:t>
            </w:r>
          </w:p>
        </w:tc>
      </w:tr>
      <w:tr w:rsidR="001002C3" w:rsidRPr="005E779E" w14:paraId="073B95D8" w14:textId="77777777">
        <w:tc>
          <w:tcPr>
            <w:tcW w:w="1024" w:type="dxa"/>
          </w:tcPr>
          <w:p w14:paraId="699878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4F47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713C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2288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D2B1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ECC3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1B25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271EA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примерно на 6-6,5 месяцев.</w:t>
            </w:r>
          </w:p>
        </w:tc>
      </w:tr>
      <w:tr w:rsidR="001002C3" w:rsidRPr="005E779E" w14:paraId="27E0DBE7" w14:textId="77777777">
        <w:tc>
          <w:tcPr>
            <w:tcW w:w="1024" w:type="dxa"/>
          </w:tcPr>
          <w:p w14:paraId="13F03A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F053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B882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730D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DD47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0623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8DCC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4F8CD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Украинцев.</w:t>
            </w:r>
          </w:p>
        </w:tc>
      </w:tr>
      <w:tr w:rsidR="001002C3" w:rsidRPr="005E779E" w14:paraId="40408619" w14:textId="77777777">
        <w:tc>
          <w:tcPr>
            <w:tcW w:w="1024" w:type="dxa"/>
          </w:tcPr>
          <w:p w14:paraId="7860F0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А1-М11</w:t>
            </w:r>
          </w:p>
        </w:tc>
        <w:tc>
          <w:tcPr>
            <w:tcW w:w="1024" w:type="dxa"/>
          </w:tcPr>
          <w:p w14:paraId="39FD18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146/137/</w:t>
            </w:r>
          </w:p>
        </w:tc>
        <w:tc>
          <w:tcPr>
            <w:tcW w:w="1024" w:type="dxa"/>
          </w:tcPr>
          <w:p w14:paraId="3D9A0F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33/50,5/</w:t>
            </w:r>
          </w:p>
        </w:tc>
        <w:tc>
          <w:tcPr>
            <w:tcW w:w="1024" w:type="dxa"/>
          </w:tcPr>
          <w:p w14:paraId="5A5261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3680/</w:t>
            </w:r>
          </w:p>
        </w:tc>
        <w:tc>
          <w:tcPr>
            <w:tcW w:w="1024" w:type="dxa"/>
          </w:tcPr>
          <w:p w14:paraId="25711D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Нет</w:t>
            </w:r>
          </w:p>
        </w:tc>
        <w:tc>
          <w:tcPr>
            <w:tcW w:w="1024" w:type="dxa"/>
          </w:tcPr>
          <w:p w14:paraId="7F76E5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продол.</w:t>
            </w:r>
          </w:p>
        </w:tc>
        <w:tc>
          <w:tcPr>
            <w:tcW w:w="1024" w:type="dxa"/>
          </w:tcPr>
          <w:p w14:paraId="0F4BBB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75197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сведениях указаны данные гос. испытаний</w:t>
            </w:r>
          </w:p>
        </w:tc>
      </w:tr>
      <w:tr w:rsidR="001002C3" w:rsidRPr="005E779E" w14:paraId="411A52EC" w14:textId="77777777">
        <w:tc>
          <w:tcPr>
            <w:tcW w:w="1024" w:type="dxa"/>
          </w:tcPr>
          <w:p w14:paraId="066547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86DB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w:t>
            </w:r>
          </w:p>
        </w:tc>
        <w:tc>
          <w:tcPr>
            <w:tcW w:w="1024" w:type="dxa"/>
          </w:tcPr>
          <w:p w14:paraId="2EA342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484061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3350</w:t>
            </w:r>
          </w:p>
        </w:tc>
        <w:tc>
          <w:tcPr>
            <w:tcW w:w="1024" w:type="dxa"/>
          </w:tcPr>
          <w:p w14:paraId="68DAD0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7A00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час.</w:t>
            </w:r>
          </w:p>
        </w:tc>
        <w:tc>
          <w:tcPr>
            <w:tcW w:w="1024" w:type="dxa"/>
          </w:tcPr>
          <w:p w14:paraId="3C6187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49E1F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НИИ ВОГВФ. УВВС предполагает </w:t>
            </w:r>
          </w:p>
        </w:tc>
      </w:tr>
      <w:tr w:rsidR="001002C3" w:rsidRPr="005E779E" w14:paraId="45247D62" w14:textId="77777777">
        <w:tc>
          <w:tcPr>
            <w:tcW w:w="1024" w:type="dxa"/>
          </w:tcPr>
          <w:p w14:paraId="29EC04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7DF0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85AF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B243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E712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B258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ED26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3DB0A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использование А1-М11 в качестве корабельн.</w:t>
            </w:r>
          </w:p>
        </w:tc>
      </w:tr>
      <w:tr w:rsidR="001002C3" w:rsidRPr="005E779E" w14:paraId="59557109" w14:textId="77777777">
        <w:tc>
          <w:tcPr>
            <w:tcW w:w="1024" w:type="dxa"/>
          </w:tcPr>
          <w:p w14:paraId="23EAED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A313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2B9D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5642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3756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F3E0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073A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96CAD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разведчика-корректировщика на лидерах</w:t>
            </w:r>
          </w:p>
        </w:tc>
      </w:tr>
      <w:tr w:rsidR="001002C3" w:rsidRPr="005E779E" w14:paraId="1A8B335A" w14:textId="77777777">
        <w:tc>
          <w:tcPr>
            <w:tcW w:w="1024" w:type="dxa"/>
          </w:tcPr>
          <w:p w14:paraId="3DDE4A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C9B2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DC28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07B6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00F6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F45E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DD1F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1093D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эсминцах. Морской отдел НИИ ВВС </w:t>
            </w:r>
          </w:p>
        </w:tc>
      </w:tr>
      <w:tr w:rsidR="001002C3" w:rsidRPr="005E779E" w14:paraId="7D4F6178" w14:textId="77777777">
        <w:tc>
          <w:tcPr>
            <w:tcW w:w="1024" w:type="dxa"/>
          </w:tcPr>
          <w:p w14:paraId="693DB1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C00F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1159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9ACF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0568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8FAD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F8DF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99111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считает невозможным использование в</w:t>
            </w:r>
          </w:p>
        </w:tc>
      </w:tr>
      <w:tr w:rsidR="001002C3" w:rsidRPr="005E779E" w14:paraId="1F308598" w14:textId="77777777">
        <w:tc>
          <w:tcPr>
            <w:tcW w:w="1024" w:type="dxa"/>
          </w:tcPr>
          <w:p w14:paraId="695B32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B306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0BB5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4D70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EF15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0FA2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E474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A4E76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качестве разведчика-корректировщика, т.к.</w:t>
            </w:r>
          </w:p>
        </w:tc>
      </w:tr>
      <w:tr w:rsidR="001002C3" w:rsidRPr="005E779E" w14:paraId="52BB82C1" w14:textId="77777777">
        <w:tc>
          <w:tcPr>
            <w:tcW w:w="1024" w:type="dxa"/>
          </w:tcPr>
          <w:p w14:paraId="2381DA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9544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76E6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7F1C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80E8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642B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F5EA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D23D5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ни по своим данным, ни по </w:t>
            </w:r>
          </w:p>
        </w:tc>
      </w:tr>
      <w:tr w:rsidR="001002C3" w:rsidRPr="005E779E" w14:paraId="7F2FB657" w14:textId="77777777">
        <w:tc>
          <w:tcPr>
            <w:tcW w:w="1024" w:type="dxa"/>
          </w:tcPr>
          <w:p w14:paraId="7E9409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3935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B3C5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B354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CD71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89C7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C78E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CA69F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непроработанности своего вооружения для</w:t>
            </w:r>
          </w:p>
        </w:tc>
      </w:tr>
      <w:tr w:rsidR="001002C3" w:rsidRPr="005E779E" w14:paraId="44E5EC11" w14:textId="77777777">
        <w:tc>
          <w:tcPr>
            <w:tcW w:w="1024" w:type="dxa"/>
          </w:tcPr>
          <w:p w14:paraId="64732F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0173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CB2D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9BFA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E343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ADC4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62D8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82956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этих целей самолет не подходит.</w:t>
            </w:r>
          </w:p>
        </w:tc>
      </w:tr>
      <w:tr w:rsidR="001002C3" w:rsidRPr="005E779E" w14:paraId="7BF8DF9F" w14:textId="77777777">
        <w:tc>
          <w:tcPr>
            <w:tcW w:w="1024" w:type="dxa"/>
          </w:tcPr>
          <w:p w14:paraId="439E18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2A35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4155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787C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5635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523D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0347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7E01E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N 23 готовит второй экземпляр</w:t>
            </w:r>
          </w:p>
        </w:tc>
      </w:tr>
      <w:tr w:rsidR="001002C3" w:rsidRPr="005E779E" w14:paraId="082491CD" w14:textId="77777777">
        <w:tc>
          <w:tcPr>
            <w:tcW w:w="1024" w:type="dxa"/>
          </w:tcPr>
          <w:p w14:paraId="15A7C5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5C51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A2B6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437B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F028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4530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6F58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7B1B9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А1-М11 для гос. испытаний НИИ ВВС. С-лет</w:t>
            </w:r>
          </w:p>
        </w:tc>
      </w:tr>
      <w:tr w:rsidR="001002C3" w:rsidRPr="005E779E" w14:paraId="0880688B" w14:textId="77777777">
        <w:tc>
          <w:tcPr>
            <w:tcW w:w="1024" w:type="dxa"/>
          </w:tcPr>
          <w:p w14:paraId="7DFA26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98BD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99C1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9CE4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E7CF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1CC0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1C2D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A1591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будет готов к 1 февраля 1931 года.</w:t>
            </w:r>
          </w:p>
        </w:tc>
      </w:tr>
      <w:tr w:rsidR="001002C3" w:rsidRPr="005E779E" w14:paraId="4B33181C" w14:textId="77777777">
        <w:tc>
          <w:tcPr>
            <w:tcW w:w="1024" w:type="dxa"/>
          </w:tcPr>
          <w:p w14:paraId="41373F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8E51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D796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AEB7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B749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9B71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6966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98054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Украинцев.</w:t>
            </w:r>
          </w:p>
        </w:tc>
      </w:tr>
      <w:tr w:rsidR="001002C3" w:rsidRPr="005E779E" w14:paraId="7DD98C13" w14:textId="77777777">
        <w:tc>
          <w:tcPr>
            <w:tcW w:w="1024" w:type="dxa"/>
          </w:tcPr>
          <w:p w14:paraId="0230CD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МТБ1-2БМВVI</w:t>
            </w:r>
          </w:p>
        </w:tc>
        <w:tc>
          <w:tcPr>
            <w:tcW w:w="1024" w:type="dxa"/>
          </w:tcPr>
          <w:p w14:paraId="254C68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170/180/</w:t>
            </w:r>
          </w:p>
        </w:tc>
        <w:tc>
          <w:tcPr>
            <w:tcW w:w="1024" w:type="dxa"/>
          </w:tcPr>
          <w:p w14:paraId="7F469C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20"-30"/</w:t>
            </w:r>
          </w:p>
        </w:tc>
        <w:tc>
          <w:tcPr>
            <w:tcW w:w="1024" w:type="dxa"/>
          </w:tcPr>
          <w:p w14:paraId="52E498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3500</w:t>
            </w:r>
          </w:p>
        </w:tc>
        <w:tc>
          <w:tcPr>
            <w:tcW w:w="1024" w:type="dxa"/>
          </w:tcPr>
          <w:p w14:paraId="26BFB1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пулем.</w:t>
            </w:r>
          </w:p>
        </w:tc>
        <w:tc>
          <w:tcPr>
            <w:tcW w:w="1024" w:type="dxa"/>
          </w:tcPr>
          <w:p w14:paraId="2312F0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продол.</w:t>
            </w:r>
          </w:p>
        </w:tc>
        <w:tc>
          <w:tcPr>
            <w:tcW w:w="1024" w:type="dxa"/>
          </w:tcPr>
          <w:p w14:paraId="289248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нояб.</w:t>
            </w:r>
          </w:p>
        </w:tc>
        <w:tc>
          <w:tcPr>
            <w:tcW w:w="3430" w:type="dxa"/>
          </w:tcPr>
          <w:p w14:paraId="0EF23B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с 1 января по наст. вр. находится</w:t>
            </w:r>
          </w:p>
        </w:tc>
      </w:tr>
      <w:tr w:rsidR="001002C3" w:rsidRPr="005E779E" w14:paraId="3B798730" w14:textId="77777777">
        <w:tc>
          <w:tcPr>
            <w:tcW w:w="1024" w:type="dxa"/>
          </w:tcPr>
          <w:p w14:paraId="1DDFC1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0829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w:t>
            </w:r>
          </w:p>
        </w:tc>
        <w:tc>
          <w:tcPr>
            <w:tcW w:w="1024" w:type="dxa"/>
          </w:tcPr>
          <w:p w14:paraId="502ED9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306DC1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4000</w:t>
            </w:r>
          </w:p>
        </w:tc>
        <w:tc>
          <w:tcPr>
            <w:tcW w:w="1024" w:type="dxa"/>
          </w:tcPr>
          <w:p w14:paraId="7DB6C8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торпед.</w:t>
            </w:r>
          </w:p>
        </w:tc>
        <w:tc>
          <w:tcPr>
            <w:tcW w:w="1024" w:type="dxa"/>
          </w:tcPr>
          <w:p w14:paraId="682EBB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полета</w:t>
            </w:r>
          </w:p>
        </w:tc>
        <w:tc>
          <w:tcPr>
            <w:tcW w:w="1024" w:type="dxa"/>
          </w:tcPr>
          <w:p w14:paraId="63DB86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1930 г.</w:t>
            </w:r>
          </w:p>
        </w:tc>
        <w:tc>
          <w:tcPr>
            <w:tcW w:w="3430" w:type="dxa"/>
          </w:tcPr>
          <w:p w14:paraId="77D4D8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заводских испытаниях и доводках</w:t>
            </w:r>
          </w:p>
        </w:tc>
      </w:tr>
      <w:tr w:rsidR="001002C3" w:rsidRPr="005E779E" w14:paraId="1CC705F9" w14:textId="77777777">
        <w:tc>
          <w:tcPr>
            <w:tcW w:w="1024" w:type="dxa"/>
          </w:tcPr>
          <w:p w14:paraId="404418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6230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DC36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2E48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96EF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6584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час.</w:t>
            </w:r>
          </w:p>
        </w:tc>
        <w:tc>
          <w:tcPr>
            <w:tcW w:w="1024" w:type="dxa"/>
          </w:tcPr>
          <w:p w14:paraId="6B9169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47D7A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конструкции в Севастополе.</w:t>
            </w:r>
          </w:p>
        </w:tc>
      </w:tr>
      <w:tr w:rsidR="001002C3" w:rsidRPr="005E779E" w14:paraId="1EA73EF9" w14:textId="77777777">
        <w:tc>
          <w:tcPr>
            <w:tcW w:w="1024" w:type="dxa"/>
          </w:tcPr>
          <w:p w14:paraId="1A3CE1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A1B0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0C43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7D6E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F6CD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343F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7A5D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C5D34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Кудрявцев.</w:t>
            </w:r>
          </w:p>
        </w:tc>
      </w:tr>
      <w:tr w:rsidR="001002C3" w:rsidRPr="005E779E" w14:paraId="01F4B34D" w14:textId="77777777">
        <w:tc>
          <w:tcPr>
            <w:tcW w:w="1024" w:type="dxa"/>
          </w:tcPr>
          <w:p w14:paraId="112798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МБР2-БМВVI</w:t>
            </w:r>
          </w:p>
        </w:tc>
        <w:tc>
          <w:tcPr>
            <w:tcW w:w="1024" w:type="dxa"/>
          </w:tcPr>
          <w:p w14:paraId="37224D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w:t>
            </w:r>
          </w:p>
        </w:tc>
        <w:tc>
          <w:tcPr>
            <w:tcW w:w="1024" w:type="dxa"/>
          </w:tcPr>
          <w:p w14:paraId="3A0906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15"-50"/</w:t>
            </w:r>
          </w:p>
        </w:tc>
        <w:tc>
          <w:tcPr>
            <w:tcW w:w="1024" w:type="dxa"/>
          </w:tcPr>
          <w:p w14:paraId="07514D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024" w:type="dxa"/>
          </w:tcPr>
          <w:p w14:paraId="552355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пулем.</w:t>
            </w:r>
          </w:p>
        </w:tc>
        <w:tc>
          <w:tcPr>
            <w:tcW w:w="1024" w:type="dxa"/>
          </w:tcPr>
          <w:p w14:paraId="479870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350</w:t>
            </w:r>
          </w:p>
        </w:tc>
        <w:tc>
          <w:tcPr>
            <w:tcW w:w="1024" w:type="dxa"/>
          </w:tcPr>
          <w:p w14:paraId="3E22CF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июля</w:t>
            </w:r>
          </w:p>
        </w:tc>
        <w:tc>
          <w:tcPr>
            <w:tcW w:w="3430" w:type="dxa"/>
          </w:tcPr>
          <w:p w14:paraId="587E57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находится в производстве завода</w:t>
            </w:r>
          </w:p>
        </w:tc>
      </w:tr>
      <w:tr w:rsidR="001002C3" w:rsidRPr="005E779E" w14:paraId="1A230C47" w14:textId="77777777">
        <w:tc>
          <w:tcPr>
            <w:tcW w:w="1024" w:type="dxa"/>
          </w:tcPr>
          <w:p w14:paraId="238F55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CE44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20172E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024" w:type="dxa"/>
          </w:tcPr>
          <w:p w14:paraId="345A00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C56A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бомбы за</w:t>
            </w:r>
          </w:p>
        </w:tc>
        <w:tc>
          <w:tcPr>
            <w:tcW w:w="1024" w:type="dxa"/>
          </w:tcPr>
          <w:p w14:paraId="5F9E49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75D0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 г.</w:t>
            </w:r>
          </w:p>
        </w:tc>
        <w:tc>
          <w:tcPr>
            <w:tcW w:w="3430" w:type="dxa"/>
          </w:tcPr>
          <w:p w14:paraId="00D8D9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N 39. Самолет будет закончен в пр-ве</w:t>
            </w:r>
          </w:p>
        </w:tc>
      </w:tr>
      <w:tr w:rsidR="001002C3" w:rsidRPr="005E779E" w14:paraId="209BA374" w14:textId="77777777">
        <w:tc>
          <w:tcPr>
            <w:tcW w:w="1024" w:type="dxa"/>
          </w:tcPr>
          <w:p w14:paraId="4D9AB8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9712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BA5E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B9EF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1D68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счет</w:t>
            </w:r>
          </w:p>
        </w:tc>
        <w:tc>
          <w:tcPr>
            <w:tcW w:w="1024" w:type="dxa"/>
          </w:tcPr>
          <w:p w14:paraId="4C2EE0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55ED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4926E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октября 1931 года, на гос. испытания</w:t>
            </w:r>
          </w:p>
        </w:tc>
      </w:tr>
      <w:tr w:rsidR="001002C3" w:rsidRPr="005E779E" w14:paraId="1B2BB58F" w14:textId="77777777">
        <w:tc>
          <w:tcPr>
            <w:tcW w:w="1024" w:type="dxa"/>
          </w:tcPr>
          <w:p w14:paraId="0DDA60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BC78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6435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6A21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81E4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перегр.</w:t>
            </w:r>
          </w:p>
        </w:tc>
        <w:tc>
          <w:tcPr>
            <w:tcW w:w="1024" w:type="dxa"/>
          </w:tcPr>
          <w:p w14:paraId="7D2AF6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340D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BE63F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поступит вероятно 20 ноября 1931 года.</w:t>
            </w:r>
          </w:p>
        </w:tc>
      </w:tr>
      <w:tr w:rsidR="001002C3" w:rsidRPr="005E779E" w14:paraId="24A1A4CD" w14:textId="77777777">
        <w:tc>
          <w:tcPr>
            <w:tcW w:w="1024" w:type="dxa"/>
          </w:tcPr>
          <w:p w14:paraId="76E0E6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0A99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AB08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7FCB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C0C0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95E1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F555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6E4DA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Опоздание на 4,5 месяца.</w:t>
            </w:r>
          </w:p>
        </w:tc>
      </w:tr>
      <w:tr w:rsidR="001002C3" w:rsidRPr="005E779E" w14:paraId="6F365CC3" w14:textId="77777777">
        <w:tc>
          <w:tcPr>
            <w:tcW w:w="1024" w:type="dxa"/>
          </w:tcPr>
          <w:p w14:paraId="683C01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1EBB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1440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0BE8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E011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07C5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3384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572C6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Волков.</w:t>
            </w:r>
          </w:p>
        </w:tc>
      </w:tr>
      <w:tr w:rsidR="001002C3" w:rsidRPr="005E779E" w14:paraId="0178CFF8" w14:textId="77777777">
        <w:tc>
          <w:tcPr>
            <w:tcW w:w="1024" w:type="dxa"/>
          </w:tcPr>
          <w:p w14:paraId="1391A8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МБР3-2М22</w:t>
            </w:r>
          </w:p>
        </w:tc>
        <w:tc>
          <w:tcPr>
            <w:tcW w:w="1024" w:type="dxa"/>
          </w:tcPr>
          <w:p w14:paraId="55F9A2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E728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03E0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B67C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E0B1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FCE0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736EE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НИИ ВВС поступил эскизный проект на</w:t>
            </w:r>
          </w:p>
        </w:tc>
      </w:tr>
      <w:tr w:rsidR="001002C3" w:rsidRPr="005E779E" w14:paraId="3597A4D6" w14:textId="77777777">
        <w:tc>
          <w:tcPr>
            <w:tcW w:w="1024" w:type="dxa"/>
          </w:tcPr>
          <w:p w14:paraId="12CF16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A738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2050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AB8B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090E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7920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E512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B08A4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заключение. </w:t>
            </w:r>
          </w:p>
        </w:tc>
      </w:tr>
      <w:tr w:rsidR="001002C3" w:rsidRPr="005E779E" w14:paraId="33C26C1F" w14:textId="77777777">
        <w:tc>
          <w:tcPr>
            <w:tcW w:w="1024" w:type="dxa"/>
          </w:tcPr>
          <w:p w14:paraId="159B80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8B88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EE35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7C02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8176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AE0F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93EE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43517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Волков.</w:t>
            </w:r>
          </w:p>
        </w:tc>
      </w:tr>
      <w:tr w:rsidR="001002C3" w:rsidRPr="005E779E" w14:paraId="093B18CA" w14:textId="77777777">
        <w:tc>
          <w:tcPr>
            <w:tcW w:w="1024" w:type="dxa"/>
          </w:tcPr>
          <w:p w14:paraId="44BABA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МУ2-М11</w:t>
            </w:r>
          </w:p>
        </w:tc>
        <w:tc>
          <w:tcPr>
            <w:tcW w:w="1024" w:type="dxa"/>
          </w:tcPr>
          <w:p w14:paraId="4A9D26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DFFE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3BF2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CB27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B538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464D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60642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закончил ремонт и мотор перебран.</w:t>
            </w:r>
          </w:p>
        </w:tc>
      </w:tr>
      <w:tr w:rsidR="001002C3" w:rsidRPr="005E779E" w14:paraId="343CF62D" w14:textId="77777777">
        <w:tc>
          <w:tcPr>
            <w:tcW w:w="1024" w:type="dxa"/>
          </w:tcPr>
          <w:p w14:paraId="3B32C5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DC95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5BA6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2248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4AC5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8C6E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7738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CD1B5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поступил на мореходное испытан.</w:t>
            </w:r>
          </w:p>
        </w:tc>
      </w:tr>
      <w:tr w:rsidR="001002C3" w:rsidRPr="005E779E" w14:paraId="3F926D3E" w14:textId="77777777">
        <w:tc>
          <w:tcPr>
            <w:tcW w:w="1024" w:type="dxa"/>
          </w:tcPr>
          <w:p w14:paraId="21BCF5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1802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2FE7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E377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7BAC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85B9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3050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69D67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второго варианта поплавков в морской </w:t>
            </w:r>
          </w:p>
        </w:tc>
      </w:tr>
      <w:tr w:rsidR="001002C3" w:rsidRPr="005E779E" w14:paraId="3F6C799B" w14:textId="77777777">
        <w:tc>
          <w:tcPr>
            <w:tcW w:w="1024" w:type="dxa"/>
          </w:tcPr>
          <w:p w14:paraId="6F75A7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B84F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CC97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CFFC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13B7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63D0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506A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C0539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отряд НИИ. После окончания испытания</w:t>
            </w:r>
          </w:p>
        </w:tc>
      </w:tr>
      <w:tr w:rsidR="001002C3" w:rsidRPr="005E779E" w14:paraId="42FE445A" w14:textId="77777777">
        <w:tc>
          <w:tcPr>
            <w:tcW w:w="1024" w:type="dxa"/>
          </w:tcPr>
          <w:p w14:paraId="3F81FD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D41D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79C7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E458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26A6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DD48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23EE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36F61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поплавков самолет будет передан для </w:t>
            </w:r>
          </w:p>
        </w:tc>
      </w:tr>
      <w:tr w:rsidR="001002C3" w:rsidRPr="005E779E" w14:paraId="53083288" w14:textId="77777777">
        <w:tc>
          <w:tcPr>
            <w:tcW w:w="1024" w:type="dxa"/>
          </w:tcPr>
          <w:p w14:paraId="2F90FA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DE37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0435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787C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4478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CE9B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227E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84CBD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эксплоатационных испытаний в школу</w:t>
            </w:r>
          </w:p>
        </w:tc>
      </w:tr>
      <w:tr w:rsidR="001002C3" w:rsidRPr="005E779E" w14:paraId="28878AF3" w14:textId="77777777">
        <w:tc>
          <w:tcPr>
            <w:tcW w:w="1024" w:type="dxa"/>
          </w:tcPr>
          <w:p w14:paraId="7C875E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389F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4F16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222A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D55C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4D60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6D74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A2214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морских летчиков в г. Ейск.</w:t>
            </w:r>
          </w:p>
        </w:tc>
      </w:tr>
      <w:tr w:rsidR="001002C3" w:rsidRPr="005E779E" w14:paraId="6AD704CA" w14:textId="77777777">
        <w:tc>
          <w:tcPr>
            <w:tcW w:w="1024" w:type="dxa"/>
          </w:tcPr>
          <w:p w14:paraId="72EA61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A186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C3FD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E52C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F77A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13DA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A44E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15F94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 инж. Украинцев.</w:t>
            </w:r>
          </w:p>
        </w:tc>
      </w:tr>
    </w:tbl>
    <w:p w14:paraId="55DF9A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(3029,20-28).</w:t>
      </w:r>
    </w:p>
    <w:p w14:paraId="7E3F36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A1B769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октября 1931 года зам. начальника НИИ ВВС Аузан писал письмо № 453/489сс Ворошилову</w:t>
      </w:r>
    </w:p>
    <w:p w14:paraId="6AA0620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Доклад о состоянии работ по опытному моторо и самолетостроению на 1 октября 1931 года (6919).</w:t>
      </w:r>
    </w:p>
    <w:p w14:paraId="25DDA014"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моторам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7574"/>
      </w:tblGrid>
      <w:tr w:rsidR="001002C3" w:rsidRPr="005E779E" w14:paraId="7BABD348" w14:textId="77777777">
        <w:tc>
          <w:tcPr>
            <w:tcW w:w="3024" w:type="dxa"/>
          </w:tcPr>
          <w:p w14:paraId="4252EA9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мотора</w:t>
            </w:r>
          </w:p>
        </w:tc>
        <w:tc>
          <w:tcPr>
            <w:tcW w:w="7574" w:type="dxa"/>
          </w:tcPr>
          <w:p w14:paraId="01FDAB9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истребителей М-15</w:t>
            </w:r>
          </w:p>
        </w:tc>
      </w:tr>
      <w:tr w:rsidR="001002C3" w:rsidRPr="005E779E" w14:paraId="046D0B53" w14:textId="77777777">
        <w:tc>
          <w:tcPr>
            <w:tcW w:w="3024" w:type="dxa"/>
          </w:tcPr>
          <w:p w14:paraId="09D569C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Кто строит</w:t>
            </w:r>
          </w:p>
        </w:tc>
        <w:tc>
          <w:tcPr>
            <w:tcW w:w="7574" w:type="dxa"/>
          </w:tcPr>
          <w:p w14:paraId="5B486C3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w:t>
            </w:r>
          </w:p>
        </w:tc>
      </w:tr>
      <w:tr w:rsidR="001002C3" w:rsidRPr="005E779E" w14:paraId="08E82F48" w14:textId="77777777">
        <w:tc>
          <w:tcPr>
            <w:tcW w:w="3024" w:type="dxa"/>
          </w:tcPr>
          <w:p w14:paraId="6658143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Охлаждение</w:t>
            </w:r>
          </w:p>
        </w:tc>
        <w:tc>
          <w:tcPr>
            <w:tcW w:w="7574" w:type="dxa"/>
          </w:tcPr>
          <w:p w14:paraId="5C0D64F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Воздушное</w:t>
            </w:r>
          </w:p>
        </w:tc>
      </w:tr>
      <w:tr w:rsidR="001002C3" w:rsidRPr="005E779E" w14:paraId="741E1204" w14:textId="77777777">
        <w:tc>
          <w:tcPr>
            <w:tcW w:w="3024" w:type="dxa"/>
          </w:tcPr>
          <w:p w14:paraId="4E6A89D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Мощность</w:t>
            </w:r>
          </w:p>
        </w:tc>
        <w:tc>
          <w:tcPr>
            <w:tcW w:w="7574" w:type="dxa"/>
          </w:tcPr>
          <w:p w14:paraId="6835D44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450</w:t>
            </w:r>
          </w:p>
        </w:tc>
      </w:tr>
      <w:tr w:rsidR="001002C3" w:rsidRPr="005E779E" w14:paraId="6BFFEA5D" w14:textId="77777777">
        <w:tc>
          <w:tcPr>
            <w:tcW w:w="3024" w:type="dxa"/>
          </w:tcPr>
          <w:p w14:paraId="40A61C5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Новый срок представления на гос. испытания</w:t>
            </w:r>
          </w:p>
        </w:tc>
        <w:tc>
          <w:tcPr>
            <w:tcW w:w="7574" w:type="dxa"/>
          </w:tcPr>
          <w:p w14:paraId="3F99027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февраля 1931 года</w:t>
            </w:r>
          </w:p>
        </w:tc>
      </w:tr>
      <w:tr w:rsidR="001002C3" w:rsidRPr="005E779E" w14:paraId="6D0871F1" w14:textId="77777777">
        <w:tc>
          <w:tcPr>
            <w:tcW w:w="3024" w:type="dxa"/>
          </w:tcPr>
          <w:p w14:paraId="53CEE3E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 октября 1931 года</w:t>
            </w:r>
          </w:p>
        </w:tc>
        <w:tc>
          <w:tcPr>
            <w:tcW w:w="7574" w:type="dxa"/>
          </w:tcPr>
          <w:p w14:paraId="4309E0F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Находится в серийном производстве. Изготовляемые заводом № 24 моторы передаются в ГВФ. Мотор до сего времени на гос. испытания не предъявлен. Отделом мотор в настоящее время ставится на станок для проведения сравнительных 100-часовых испытаний с мотором М-22 целиком из русских материалов.</w:t>
            </w:r>
          </w:p>
        </w:tc>
      </w:tr>
      <w:tr w:rsidR="001002C3" w:rsidRPr="005E779E" w14:paraId="00285D23" w14:textId="77777777">
        <w:tc>
          <w:tcPr>
            <w:tcW w:w="3024" w:type="dxa"/>
          </w:tcPr>
          <w:p w14:paraId="7808214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мотора</w:t>
            </w:r>
          </w:p>
        </w:tc>
        <w:tc>
          <w:tcPr>
            <w:tcW w:w="7574" w:type="dxa"/>
          </w:tcPr>
          <w:p w14:paraId="6AF2D02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тяжелых бомбардировщиков ФЭД-3</w:t>
            </w:r>
          </w:p>
        </w:tc>
      </w:tr>
      <w:tr w:rsidR="001002C3" w:rsidRPr="005E779E" w14:paraId="625DF751" w14:textId="77777777">
        <w:tc>
          <w:tcPr>
            <w:tcW w:w="3024" w:type="dxa"/>
          </w:tcPr>
          <w:p w14:paraId="2789A9A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Кто строит</w:t>
            </w:r>
          </w:p>
        </w:tc>
        <w:tc>
          <w:tcPr>
            <w:tcW w:w="7574" w:type="dxa"/>
          </w:tcPr>
          <w:p w14:paraId="673E76B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w:t>
            </w:r>
          </w:p>
        </w:tc>
      </w:tr>
      <w:tr w:rsidR="001002C3" w:rsidRPr="005E779E" w14:paraId="15673C32" w14:textId="77777777">
        <w:tc>
          <w:tcPr>
            <w:tcW w:w="3024" w:type="dxa"/>
          </w:tcPr>
          <w:p w14:paraId="49E5C34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Охлаждение</w:t>
            </w:r>
          </w:p>
        </w:tc>
        <w:tc>
          <w:tcPr>
            <w:tcW w:w="7574" w:type="dxa"/>
          </w:tcPr>
          <w:p w14:paraId="0E81675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Водяное</w:t>
            </w:r>
          </w:p>
        </w:tc>
      </w:tr>
      <w:tr w:rsidR="001002C3" w:rsidRPr="005E779E" w14:paraId="0F49E735" w14:textId="77777777">
        <w:tc>
          <w:tcPr>
            <w:tcW w:w="3024" w:type="dxa"/>
          </w:tcPr>
          <w:p w14:paraId="347D02B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Мощность</w:t>
            </w:r>
          </w:p>
        </w:tc>
        <w:tc>
          <w:tcPr>
            <w:tcW w:w="7574" w:type="dxa"/>
          </w:tcPr>
          <w:p w14:paraId="3ADEC57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w:t>
            </w:r>
          </w:p>
        </w:tc>
      </w:tr>
      <w:tr w:rsidR="001002C3" w:rsidRPr="005E779E" w14:paraId="03F8FB7A" w14:textId="77777777">
        <w:tc>
          <w:tcPr>
            <w:tcW w:w="3024" w:type="dxa"/>
          </w:tcPr>
          <w:p w14:paraId="21379D9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Новый срок представления на гос. испытания</w:t>
            </w:r>
          </w:p>
        </w:tc>
        <w:tc>
          <w:tcPr>
            <w:tcW w:w="7574" w:type="dxa"/>
          </w:tcPr>
          <w:p w14:paraId="6DA592A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мая 1931 года</w:t>
            </w:r>
          </w:p>
        </w:tc>
      </w:tr>
      <w:tr w:rsidR="001002C3" w:rsidRPr="005E779E" w14:paraId="45E6869A" w14:textId="77777777">
        <w:tc>
          <w:tcPr>
            <w:tcW w:w="3024" w:type="dxa"/>
          </w:tcPr>
          <w:p w14:paraId="01D417E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 октября 1931 года</w:t>
            </w:r>
          </w:p>
        </w:tc>
        <w:tc>
          <w:tcPr>
            <w:tcW w:w="7574" w:type="dxa"/>
          </w:tcPr>
          <w:p w14:paraId="40A6465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 прошел гос. испытания неудовлетворительно. НИИ ВВС признано целесообразным построить экспериментальную серию на предмет изучения и устранения дефектов и испытаний моторов на самолетах. Мотор в производство запущен.</w:t>
            </w:r>
          </w:p>
        </w:tc>
      </w:tr>
      <w:tr w:rsidR="001002C3" w:rsidRPr="005E779E" w14:paraId="3AA483E0" w14:textId="77777777">
        <w:tc>
          <w:tcPr>
            <w:tcW w:w="3024" w:type="dxa"/>
          </w:tcPr>
          <w:p w14:paraId="37C6957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мотора</w:t>
            </w:r>
          </w:p>
        </w:tc>
        <w:tc>
          <w:tcPr>
            <w:tcW w:w="7574" w:type="dxa"/>
          </w:tcPr>
          <w:p w14:paraId="5861CA8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истребителей М-32</w:t>
            </w:r>
          </w:p>
        </w:tc>
      </w:tr>
      <w:tr w:rsidR="001002C3" w:rsidRPr="005E779E" w14:paraId="04B1D5F3" w14:textId="77777777">
        <w:tc>
          <w:tcPr>
            <w:tcW w:w="3024" w:type="dxa"/>
          </w:tcPr>
          <w:p w14:paraId="5463FD7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Кто строит</w:t>
            </w:r>
          </w:p>
        </w:tc>
        <w:tc>
          <w:tcPr>
            <w:tcW w:w="7574" w:type="dxa"/>
          </w:tcPr>
          <w:p w14:paraId="1B00B1C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ИАМ</w:t>
            </w:r>
          </w:p>
        </w:tc>
      </w:tr>
      <w:tr w:rsidR="001002C3" w:rsidRPr="005E779E" w14:paraId="16C9EED2" w14:textId="77777777">
        <w:tc>
          <w:tcPr>
            <w:tcW w:w="3024" w:type="dxa"/>
          </w:tcPr>
          <w:p w14:paraId="356981E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Охлаждение</w:t>
            </w:r>
          </w:p>
        </w:tc>
        <w:tc>
          <w:tcPr>
            <w:tcW w:w="7574" w:type="dxa"/>
          </w:tcPr>
          <w:p w14:paraId="2BA93E5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Водяное</w:t>
            </w:r>
          </w:p>
        </w:tc>
      </w:tr>
      <w:tr w:rsidR="001002C3" w:rsidRPr="005E779E" w14:paraId="521103C0" w14:textId="77777777">
        <w:tc>
          <w:tcPr>
            <w:tcW w:w="3024" w:type="dxa"/>
          </w:tcPr>
          <w:p w14:paraId="5BDBA5E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Мощность</w:t>
            </w:r>
          </w:p>
        </w:tc>
        <w:tc>
          <w:tcPr>
            <w:tcW w:w="7574" w:type="dxa"/>
          </w:tcPr>
          <w:p w14:paraId="1477C6C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w:t>
            </w:r>
          </w:p>
        </w:tc>
      </w:tr>
      <w:tr w:rsidR="001002C3" w:rsidRPr="005E779E" w14:paraId="77AD0775" w14:textId="77777777">
        <w:tc>
          <w:tcPr>
            <w:tcW w:w="3024" w:type="dxa"/>
          </w:tcPr>
          <w:p w14:paraId="71C9BF9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Новый срок представления на гос. испытания</w:t>
            </w:r>
          </w:p>
        </w:tc>
        <w:tc>
          <w:tcPr>
            <w:tcW w:w="7574" w:type="dxa"/>
          </w:tcPr>
          <w:p w14:paraId="63C7810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мая 1932 года</w:t>
            </w:r>
          </w:p>
        </w:tc>
      </w:tr>
      <w:tr w:rsidR="001002C3" w:rsidRPr="005E779E" w14:paraId="3F609FB8" w14:textId="77777777">
        <w:tc>
          <w:tcPr>
            <w:tcW w:w="3024" w:type="dxa"/>
          </w:tcPr>
          <w:p w14:paraId="44041C9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 октября 1931 года</w:t>
            </w:r>
          </w:p>
        </w:tc>
        <w:tc>
          <w:tcPr>
            <w:tcW w:w="7574" w:type="dxa"/>
          </w:tcPr>
          <w:p w14:paraId="6CCAE92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Общая компоновка мотора в чертежах окончена. В настоящее время ведется разработка рабочих чертежей.</w:t>
            </w:r>
          </w:p>
        </w:tc>
      </w:tr>
      <w:tr w:rsidR="001002C3" w:rsidRPr="005E779E" w14:paraId="3EF8BC1B" w14:textId="77777777">
        <w:tc>
          <w:tcPr>
            <w:tcW w:w="3024" w:type="dxa"/>
          </w:tcPr>
          <w:p w14:paraId="78DC223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мотора</w:t>
            </w:r>
          </w:p>
        </w:tc>
        <w:tc>
          <w:tcPr>
            <w:tcW w:w="7574" w:type="dxa"/>
          </w:tcPr>
          <w:p w14:paraId="3018B58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истребителей М-38</w:t>
            </w:r>
          </w:p>
        </w:tc>
      </w:tr>
      <w:tr w:rsidR="001002C3" w:rsidRPr="005E779E" w14:paraId="6ADC3343" w14:textId="77777777">
        <w:tc>
          <w:tcPr>
            <w:tcW w:w="3024" w:type="dxa"/>
          </w:tcPr>
          <w:p w14:paraId="67553D4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Кто строит</w:t>
            </w:r>
          </w:p>
        </w:tc>
        <w:tc>
          <w:tcPr>
            <w:tcW w:w="7574" w:type="dxa"/>
          </w:tcPr>
          <w:p w14:paraId="4C1C0AE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ИАМ</w:t>
            </w:r>
          </w:p>
        </w:tc>
      </w:tr>
      <w:tr w:rsidR="001002C3" w:rsidRPr="005E779E" w14:paraId="5272360D" w14:textId="77777777">
        <w:tc>
          <w:tcPr>
            <w:tcW w:w="3024" w:type="dxa"/>
          </w:tcPr>
          <w:p w14:paraId="1CA7734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Охлаждение</w:t>
            </w:r>
          </w:p>
        </w:tc>
        <w:tc>
          <w:tcPr>
            <w:tcW w:w="7574" w:type="dxa"/>
          </w:tcPr>
          <w:p w14:paraId="5EFE077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Воздушное</w:t>
            </w:r>
          </w:p>
        </w:tc>
      </w:tr>
      <w:tr w:rsidR="001002C3" w:rsidRPr="005E779E" w14:paraId="701907DB" w14:textId="77777777">
        <w:tc>
          <w:tcPr>
            <w:tcW w:w="3024" w:type="dxa"/>
          </w:tcPr>
          <w:p w14:paraId="0290834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Мощность</w:t>
            </w:r>
          </w:p>
        </w:tc>
        <w:tc>
          <w:tcPr>
            <w:tcW w:w="7574" w:type="dxa"/>
          </w:tcPr>
          <w:p w14:paraId="7D097D4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w:t>
            </w:r>
          </w:p>
        </w:tc>
      </w:tr>
      <w:tr w:rsidR="001002C3" w:rsidRPr="005E779E" w14:paraId="5B7677BF" w14:textId="77777777">
        <w:tc>
          <w:tcPr>
            <w:tcW w:w="3024" w:type="dxa"/>
          </w:tcPr>
          <w:p w14:paraId="0B4F4A5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Новый срок представления на гос. испытания</w:t>
            </w:r>
          </w:p>
        </w:tc>
        <w:tc>
          <w:tcPr>
            <w:tcW w:w="7574" w:type="dxa"/>
          </w:tcPr>
          <w:p w14:paraId="7BE3566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марта 1932 года</w:t>
            </w:r>
          </w:p>
        </w:tc>
      </w:tr>
      <w:tr w:rsidR="001002C3" w:rsidRPr="005E779E" w14:paraId="21DA9612" w14:textId="77777777">
        <w:tc>
          <w:tcPr>
            <w:tcW w:w="3024" w:type="dxa"/>
          </w:tcPr>
          <w:p w14:paraId="6ADCBB6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 октября 1931 года</w:t>
            </w:r>
          </w:p>
        </w:tc>
        <w:tc>
          <w:tcPr>
            <w:tcW w:w="7574" w:type="dxa"/>
          </w:tcPr>
          <w:p w14:paraId="310EDA5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Общая компоновка мотора окончена. Полученные по подсчетам данные мотора не соответствуют техническим требованиям ВВС. ИАМу указано, что мотор по этим данным не может заменить М-38 и что постановление РВС должно быть выполнено точно и в срок. Что же касается запроектированного ИАМом мотора, он может быть последним построен исключительно как тип переходный в целях конструирования.</w:t>
            </w:r>
          </w:p>
        </w:tc>
      </w:tr>
      <w:tr w:rsidR="001002C3" w:rsidRPr="005E779E" w14:paraId="46671E20" w14:textId="77777777">
        <w:tc>
          <w:tcPr>
            <w:tcW w:w="3024" w:type="dxa"/>
          </w:tcPr>
          <w:p w14:paraId="59BBE3F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мотора</w:t>
            </w:r>
          </w:p>
        </w:tc>
        <w:tc>
          <w:tcPr>
            <w:tcW w:w="7574" w:type="dxa"/>
          </w:tcPr>
          <w:p w14:paraId="18245F4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тяжелых бомбардировщиков М-44</w:t>
            </w:r>
          </w:p>
        </w:tc>
      </w:tr>
      <w:tr w:rsidR="001002C3" w:rsidRPr="005E779E" w14:paraId="2212B9F4" w14:textId="77777777">
        <w:tc>
          <w:tcPr>
            <w:tcW w:w="3024" w:type="dxa"/>
          </w:tcPr>
          <w:p w14:paraId="7CFB7F7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Кто строит</w:t>
            </w:r>
          </w:p>
        </w:tc>
        <w:tc>
          <w:tcPr>
            <w:tcW w:w="7574" w:type="dxa"/>
          </w:tcPr>
          <w:p w14:paraId="57563A9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ИАМ</w:t>
            </w:r>
          </w:p>
        </w:tc>
      </w:tr>
      <w:tr w:rsidR="001002C3" w:rsidRPr="005E779E" w14:paraId="1538458D" w14:textId="77777777">
        <w:tc>
          <w:tcPr>
            <w:tcW w:w="3024" w:type="dxa"/>
          </w:tcPr>
          <w:p w14:paraId="43748C3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Охлаждение</w:t>
            </w:r>
          </w:p>
        </w:tc>
        <w:tc>
          <w:tcPr>
            <w:tcW w:w="7574" w:type="dxa"/>
          </w:tcPr>
          <w:p w14:paraId="6934449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Водяное</w:t>
            </w:r>
          </w:p>
        </w:tc>
      </w:tr>
      <w:tr w:rsidR="001002C3" w:rsidRPr="005E779E" w14:paraId="6762C2EB" w14:textId="77777777">
        <w:tc>
          <w:tcPr>
            <w:tcW w:w="3024" w:type="dxa"/>
          </w:tcPr>
          <w:p w14:paraId="2AD0ECE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Мощность</w:t>
            </w:r>
          </w:p>
        </w:tc>
        <w:tc>
          <w:tcPr>
            <w:tcW w:w="7574" w:type="dxa"/>
          </w:tcPr>
          <w:p w14:paraId="2C1CC94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2000</w:t>
            </w:r>
          </w:p>
        </w:tc>
      </w:tr>
      <w:tr w:rsidR="001002C3" w:rsidRPr="005E779E" w14:paraId="227326BD" w14:textId="77777777">
        <w:tc>
          <w:tcPr>
            <w:tcW w:w="3024" w:type="dxa"/>
          </w:tcPr>
          <w:p w14:paraId="52DCA39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Новый срок представления на гос. испытания</w:t>
            </w:r>
          </w:p>
        </w:tc>
        <w:tc>
          <w:tcPr>
            <w:tcW w:w="7574" w:type="dxa"/>
          </w:tcPr>
          <w:p w14:paraId="757B9E4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июля 1932 года</w:t>
            </w:r>
          </w:p>
        </w:tc>
      </w:tr>
      <w:tr w:rsidR="001002C3" w:rsidRPr="005E779E" w14:paraId="24D84260" w14:textId="77777777">
        <w:tc>
          <w:tcPr>
            <w:tcW w:w="3024" w:type="dxa"/>
          </w:tcPr>
          <w:p w14:paraId="36A1F5B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 октября 1931 года</w:t>
            </w:r>
          </w:p>
        </w:tc>
        <w:tc>
          <w:tcPr>
            <w:tcW w:w="7574" w:type="dxa"/>
          </w:tcPr>
          <w:p w14:paraId="7E5BDA7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Проектирование мотора окончено. Рабочие чертежи переданы в производство. В связи с загрузкой завода ИАМа мотором М-34, работа по мотору М-44 отнесена к второочередной.</w:t>
            </w:r>
          </w:p>
        </w:tc>
      </w:tr>
      <w:tr w:rsidR="001002C3" w:rsidRPr="005E779E" w14:paraId="7CFC8D61" w14:textId="77777777">
        <w:tc>
          <w:tcPr>
            <w:tcW w:w="3024" w:type="dxa"/>
          </w:tcPr>
          <w:p w14:paraId="1777133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мотора</w:t>
            </w:r>
          </w:p>
        </w:tc>
        <w:tc>
          <w:tcPr>
            <w:tcW w:w="7574" w:type="dxa"/>
          </w:tcPr>
          <w:p w14:paraId="4E28597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тяжелых бомбардировщиков М-35</w:t>
            </w:r>
          </w:p>
        </w:tc>
      </w:tr>
      <w:tr w:rsidR="001002C3" w:rsidRPr="005E779E" w14:paraId="3CF7DE96" w14:textId="77777777">
        <w:tc>
          <w:tcPr>
            <w:tcW w:w="3024" w:type="dxa"/>
          </w:tcPr>
          <w:p w14:paraId="7FC8C50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Кто строит</w:t>
            </w:r>
          </w:p>
        </w:tc>
        <w:tc>
          <w:tcPr>
            <w:tcW w:w="7574" w:type="dxa"/>
          </w:tcPr>
          <w:p w14:paraId="543CD65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ИАМ</w:t>
            </w:r>
          </w:p>
        </w:tc>
      </w:tr>
      <w:tr w:rsidR="001002C3" w:rsidRPr="005E779E" w14:paraId="695A1848" w14:textId="77777777">
        <w:tc>
          <w:tcPr>
            <w:tcW w:w="3024" w:type="dxa"/>
          </w:tcPr>
          <w:p w14:paraId="0C22FA8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Охлаждение</w:t>
            </w:r>
          </w:p>
        </w:tc>
        <w:tc>
          <w:tcPr>
            <w:tcW w:w="7574" w:type="dxa"/>
          </w:tcPr>
          <w:p w14:paraId="34F3002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Водяное</w:t>
            </w:r>
          </w:p>
        </w:tc>
      </w:tr>
      <w:tr w:rsidR="001002C3" w:rsidRPr="005E779E" w14:paraId="5D8CEA6A" w14:textId="77777777">
        <w:tc>
          <w:tcPr>
            <w:tcW w:w="3024" w:type="dxa"/>
          </w:tcPr>
          <w:p w14:paraId="406277D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Мощность</w:t>
            </w:r>
          </w:p>
        </w:tc>
        <w:tc>
          <w:tcPr>
            <w:tcW w:w="7574" w:type="dxa"/>
          </w:tcPr>
          <w:p w14:paraId="1C9D673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1250-1500</w:t>
            </w:r>
          </w:p>
        </w:tc>
      </w:tr>
      <w:tr w:rsidR="001002C3" w:rsidRPr="005E779E" w14:paraId="2EE59D47" w14:textId="77777777">
        <w:tc>
          <w:tcPr>
            <w:tcW w:w="3024" w:type="dxa"/>
          </w:tcPr>
          <w:p w14:paraId="0209CB0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Новый срок представления на гос. испытания</w:t>
            </w:r>
          </w:p>
        </w:tc>
        <w:tc>
          <w:tcPr>
            <w:tcW w:w="7574" w:type="dxa"/>
          </w:tcPr>
          <w:p w14:paraId="4CBDF82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B9BB105" w14:textId="77777777">
        <w:tc>
          <w:tcPr>
            <w:tcW w:w="3024" w:type="dxa"/>
          </w:tcPr>
          <w:p w14:paraId="39CF849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 октября 1931 года</w:t>
            </w:r>
          </w:p>
        </w:tc>
        <w:tc>
          <w:tcPr>
            <w:tcW w:w="7574" w:type="dxa"/>
          </w:tcPr>
          <w:p w14:paraId="691F2A0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Проектирование начнется после гос. испытаний мотора М-34</w:t>
            </w:r>
          </w:p>
        </w:tc>
      </w:tr>
      <w:tr w:rsidR="001002C3" w:rsidRPr="005E779E" w14:paraId="4AB06261" w14:textId="77777777">
        <w:tc>
          <w:tcPr>
            <w:tcW w:w="3024" w:type="dxa"/>
          </w:tcPr>
          <w:p w14:paraId="4EE2F74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мотора</w:t>
            </w:r>
          </w:p>
        </w:tc>
        <w:tc>
          <w:tcPr>
            <w:tcW w:w="7574" w:type="dxa"/>
          </w:tcPr>
          <w:p w14:paraId="7435B01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разведчика М-34</w:t>
            </w:r>
          </w:p>
        </w:tc>
      </w:tr>
      <w:tr w:rsidR="001002C3" w:rsidRPr="005E779E" w14:paraId="444DBB49" w14:textId="77777777">
        <w:tc>
          <w:tcPr>
            <w:tcW w:w="3024" w:type="dxa"/>
          </w:tcPr>
          <w:p w14:paraId="6BBAF3C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Кто строит</w:t>
            </w:r>
          </w:p>
        </w:tc>
        <w:tc>
          <w:tcPr>
            <w:tcW w:w="7574" w:type="dxa"/>
          </w:tcPr>
          <w:p w14:paraId="7E2749F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ИАМ</w:t>
            </w:r>
          </w:p>
        </w:tc>
      </w:tr>
      <w:tr w:rsidR="001002C3" w:rsidRPr="005E779E" w14:paraId="66419291" w14:textId="77777777">
        <w:tc>
          <w:tcPr>
            <w:tcW w:w="3024" w:type="dxa"/>
          </w:tcPr>
          <w:p w14:paraId="7516B3A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Охлаждение</w:t>
            </w:r>
          </w:p>
        </w:tc>
        <w:tc>
          <w:tcPr>
            <w:tcW w:w="7574" w:type="dxa"/>
          </w:tcPr>
          <w:p w14:paraId="02F759E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Водяное</w:t>
            </w:r>
          </w:p>
        </w:tc>
      </w:tr>
      <w:tr w:rsidR="001002C3" w:rsidRPr="005E779E" w14:paraId="57BC5AFD" w14:textId="77777777">
        <w:tc>
          <w:tcPr>
            <w:tcW w:w="3024" w:type="dxa"/>
          </w:tcPr>
          <w:p w14:paraId="7CA0AAB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Мощность</w:t>
            </w:r>
          </w:p>
        </w:tc>
        <w:tc>
          <w:tcPr>
            <w:tcW w:w="7574" w:type="dxa"/>
          </w:tcPr>
          <w:p w14:paraId="3AC2A18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750-900</w:t>
            </w:r>
          </w:p>
        </w:tc>
      </w:tr>
      <w:tr w:rsidR="001002C3" w:rsidRPr="005E779E" w14:paraId="002E8552" w14:textId="77777777">
        <w:tc>
          <w:tcPr>
            <w:tcW w:w="3024" w:type="dxa"/>
          </w:tcPr>
          <w:p w14:paraId="6FFB81A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Новый срок представления на гос. испытания</w:t>
            </w:r>
          </w:p>
        </w:tc>
        <w:tc>
          <w:tcPr>
            <w:tcW w:w="7574" w:type="dxa"/>
          </w:tcPr>
          <w:p w14:paraId="1EAA23D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июля 1931 года</w:t>
            </w:r>
          </w:p>
        </w:tc>
      </w:tr>
      <w:tr w:rsidR="001002C3" w:rsidRPr="005E779E" w14:paraId="76F0E472" w14:textId="77777777">
        <w:tc>
          <w:tcPr>
            <w:tcW w:w="3024" w:type="dxa"/>
          </w:tcPr>
          <w:p w14:paraId="13BD387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 октября 1931 года</w:t>
            </w:r>
          </w:p>
        </w:tc>
        <w:tc>
          <w:tcPr>
            <w:tcW w:w="7574" w:type="dxa"/>
          </w:tcPr>
          <w:p w14:paraId="5D2BDE0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 предъявлен на гос. испытания с пониженными против технических требований ВВС данными. Микрометраж мотора проведен и он ставится на станок для проведения 100 часовых испытаний. Изготовлено 3 образца.</w:t>
            </w:r>
          </w:p>
        </w:tc>
      </w:tr>
      <w:tr w:rsidR="001002C3" w:rsidRPr="005E779E" w14:paraId="4711B947" w14:textId="77777777">
        <w:tc>
          <w:tcPr>
            <w:tcW w:w="3024" w:type="dxa"/>
          </w:tcPr>
          <w:p w14:paraId="1278E72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мотора</w:t>
            </w:r>
          </w:p>
        </w:tc>
        <w:tc>
          <w:tcPr>
            <w:tcW w:w="7574" w:type="dxa"/>
          </w:tcPr>
          <w:p w14:paraId="4348487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Нефтяные моторы</w:t>
            </w:r>
          </w:p>
        </w:tc>
      </w:tr>
      <w:tr w:rsidR="001002C3" w:rsidRPr="005E779E" w14:paraId="6253531A" w14:textId="77777777">
        <w:tc>
          <w:tcPr>
            <w:tcW w:w="3024" w:type="dxa"/>
          </w:tcPr>
          <w:p w14:paraId="0DFDB8C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 октября 1931 года</w:t>
            </w:r>
          </w:p>
        </w:tc>
        <w:tc>
          <w:tcPr>
            <w:tcW w:w="7574" w:type="dxa"/>
          </w:tcPr>
          <w:p w14:paraId="59A677E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ИАМом ведутся экспериментальные работы по одноцилиндровым установкам. 4 установки заканчиваются производством. Отдел нефтяных двигателей приступает к проектированию 600-сильного мотора водяного охлаждения. По линии Всесоюзного дизельного института спроектирован авиадизель 1000 л.с. Техническое совещание, рассмотревшее проект, признало необходимым внести ряд конструктивных изменений. Задания по дизелю Паккард 220 НР ИАМом не выполнены и к работам до настоящего времени не приступлено.</w:t>
            </w:r>
          </w:p>
        </w:tc>
      </w:tr>
    </w:tbl>
    <w:p w14:paraId="31A7F96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По самолетам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7574"/>
      </w:tblGrid>
      <w:tr w:rsidR="001002C3" w:rsidRPr="005E779E" w14:paraId="7D8CA6BA" w14:textId="77777777">
        <w:tc>
          <w:tcPr>
            <w:tcW w:w="3024" w:type="dxa"/>
          </w:tcPr>
          <w:p w14:paraId="14174F3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574" w:type="dxa"/>
          </w:tcPr>
          <w:p w14:paraId="5D46BB4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ТБ-4</w:t>
            </w:r>
          </w:p>
        </w:tc>
      </w:tr>
      <w:tr w:rsidR="001002C3" w:rsidRPr="005E779E" w14:paraId="59F1FC80" w14:textId="77777777">
        <w:tc>
          <w:tcPr>
            <w:tcW w:w="3024" w:type="dxa"/>
          </w:tcPr>
          <w:p w14:paraId="17E5366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горизонтальная скорость/на высоте</w:t>
            </w:r>
          </w:p>
        </w:tc>
        <w:tc>
          <w:tcPr>
            <w:tcW w:w="7574" w:type="dxa"/>
          </w:tcPr>
          <w:p w14:paraId="4F6467E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1002C3" w:rsidRPr="005E779E" w14:paraId="3FEA7A4A" w14:textId="77777777">
        <w:tc>
          <w:tcPr>
            <w:tcW w:w="3024" w:type="dxa"/>
          </w:tcPr>
          <w:p w14:paraId="3370AB9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Скороподъемность/на высоту</w:t>
            </w:r>
          </w:p>
        </w:tc>
        <w:tc>
          <w:tcPr>
            <w:tcW w:w="7574" w:type="dxa"/>
          </w:tcPr>
          <w:p w14:paraId="0472B73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1002C3" w:rsidRPr="005E779E" w14:paraId="3F7C328B" w14:textId="77777777">
        <w:tc>
          <w:tcPr>
            <w:tcW w:w="3024" w:type="dxa"/>
          </w:tcPr>
          <w:p w14:paraId="2162382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Потолок</w:t>
            </w:r>
          </w:p>
        </w:tc>
        <w:tc>
          <w:tcPr>
            <w:tcW w:w="7574" w:type="dxa"/>
          </w:tcPr>
          <w:p w14:paraId="5011371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1002C3" w:rsidRPr="005E779E" w14:paraId="0F747F6D" w14:textId="77777777">
        <w:tc>
          <w:tcPr>
            <w:tcW w:w="3024" w:type="dxa"/>
          </w:tcPr>
          <w:p w14:paraId="1AABE4A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7574" w:type="dxa"/>
          </w:tcPr>
          <w:p w14:paraId="4F6E97B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пулеметов</w:t>
            </w:r>
          </w:p>
          <w:p w14:paraId="60BEBC7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пушки</w:t>
            </w:r>
          </w:p>
          <w:p w14:paraId="1051068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перегрузкой 25% 6000 кг бомб</w:t>
            </w:r>
          </w:p>
        </w:tc>
      </w:tr>
      <w:tr w:rsidR="001002C3" w:rsidRPr="005E779E" w14:paraId="18D63DDB" w14:textId="77777777">
        <w:tc>
          <w:tcPr>
            <w:tcW w:w="3024" w:type="dxa"/>
          </w:tcPr>
          <w:p w14:paraId="0349414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w:t>
            </w:r>
          </w:p>
        </w:tc>
        <w:tc>
          <w:tcPr>
            <w:tcW w:w="7574" w:type="dxa"/>
          </w:tcPr>
          <w:p w14:paraId="2C5A21F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w:t>
            </w:r>
          </w:p>
        </w:tc>
      </w:tr>
      <w:tr w:rsidR="001002C3" w:rsidRPr="005E779E" w14:paraId="33DEA9A0" w14:textId="77777777">
        <w:tc>
          <w:tcPr>
            <w:tcW w:w="3024" w:type="dxa"/>
          </w:tcPr>
          <w:p w14:paraId="6E0FB05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предъявления на гос. испытания</w:t>
            </w:r>
          </w:p>
        </w:tc>
        <w:tc>
          <w:tcPr>
            <w:tcW w:w="7574" w:type="dxa"/>
          </w:tcPr>
          <w:p w14:paraId="6AED7CE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мая 1931 года</w:t>
            </w:r>
          </w:p>
        </w:tc>
      </w:tr>
      <w:tr w:rsidR="001002C3" w:rsidRPr="005E779E" w14:paraId="15832D35" w14:textId="77777777">
        <w:tc>
          <w:tcPr>
            <w:tcW w:w="3024" w:type="dxa"/>
          </w:tcPr>
          <w:p w14:paraId="001E400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 октября 1931 года</w:t>
            </w:r>
          </w:p>
        </w:tc>
        <w:tc>
          <w:tcPr>
            <w:tcW w:w="7574" w:type="dxa"/>
          </w:tcPr>
          <w:p w14:paraId="238A613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Постановлением РВС от 5 августа 1931 года срок представления самолета с шестью моторами М-34 на гос. испытания отсрочен до 1 мая 1932 года. В настоящее время ЦАГИ проводит сборку крыльев, фюзеляжа, оперения. К установленному времени подачи моторов (начало февраля) самолет может быть почти достроен, благодаря чему срок его выпуска на аэродром целиком определится готовностью моторов М-34.</w:t>
            </w:r>
          </w:p>
          <w:p w14:paraId="0EC1838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связи с директивой зам. председателя РВС о сокращении числа типов опытных самолетов является целесообразным снять с ОКБ стальной вариант ТБ-4 с уменьшенной площадью крыльев для форсирования постройки более тяжелых бомбовозов.</w:t>
            </w:r>
          </w:p>
          <w:p w14:paraId="30DFD1D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Наблюдающий инженер Межак.</w:t>
            </w:r>
          </w:p>
        </w:tc>
      </w:tr>
      <w:tr w:rsidR="001002C3" w:rsidRPr="005E779E" w14:paraId="42E21849" w14:textId="77777777">
        <w:tc>
          <w:tcPr>
            <w:tcW w:w="3024" w:type="dxa"/>
          </w:tcPr>
          <w:p w14:paraId="646A11E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574" w:type="dxa"/>
          </w:tcPr>
          <w:p w14:paraId="543CFDD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ТБ5-4ЮVI</w:t>
            </w:r>
          </w:p>
        </w:tc>
      </w:tr>
      <w:tr w:rsidR="001002C3" w:rsidRPr="005E779E" w14:paraId="2D5F7CF6" w14:textId="77777777">
        <w:tc>
          <w:tcPr>
            <w:tcW w:w="3024" w:type="dxa"/>
          </w:tcPr>
          <w:p w14:paraId="76CA8EC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горизонтальная скорость/на высоте</w:t>
            </w:r>
          </w:p>
        </w:tc>
        <w:tc>
          <w:tcPr>
            <w:tcW w:w="7574" w:type="dxa"/>
          </w:tcPr>
          <w:p w14:paraId="53D4FFA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208/3000</w:t>
            </w:r>
          </w:p>
        </w:tc>
      </w:tr>
      <w:tr w:rsidR="001002C3" w:rsidRPr="005E779E" w14:paraId="776996A5" w14:textId="77777777">
        <w:tc>
          <w:tcPr>
            <w:tcW w:w="3024" w:type="dxa"/>
          </w:tcPr>
          <w:p w14:paraId="4349A90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Скороподъемность/на высоту</w:t>
            </w:r>
          </w:p>
        </w:tc>
        <w:tc>
          <w:tcPr>
            <w:tcW w:w="7574" w:type="dxa"/>
          </w:tcPr>
          <w:p w14:paraId="7BE7670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19/3000</w:t>
            </w:r>
          </w:p>
        </w:tc>
      </w:tr>
      <w:tr w:rsidR="001002C3" w:rsidRPr="005E779E" w14:paraId="43A04298" w14:textId="77777777">
        <w:tc>
          <w:tcPr>
            <w:tcW w:w="3024" w:type="dxa"/>
          </w:tcPr>
          <w:p w14:paraId="28C51CD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Потолок</w:t>
            </w:r>
          </w:p>
        </w:tc>
        <w:tc>
          <w:tcPr>
            <w:tcW w:w="7574" w:type="dxa"/>
          </w:tcPr>
          <w:p w14:paraId="2CF1644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r>
      <w:tr w:rsidR="001002C3" w:rsidRPr="005E779E" w14:paraId="4EBC1396" w14:textId="77777777">
        <w:tc>
          <w:tcPr>
            <w:tcW w:w="3024" w:type="dxa"/>
          </w:tcPr>
          <w:p w14:paraId="76279C6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7574" w:type="dxa"/>
          </w:tcPr>
          <w:p w14:paraId="68A81DC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6-10 пулеметов</w:t>
            </w:r>
          </w:p>
          <w:p w14:paraId="148BD0B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1500 кг бомб</w:t>
            </w:r>
          </w:p>
          <w:p w14:paraId="52D19E8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перегрузкой и за счет горючего 4000 кг бомб</w:t>
            </w:r>
          </w:p>
        </w:tc>
      </w:tr>
      <w:tr w:rsidR="001002C3" w:rsidRPr="005E779E" w14:paraId="79A3AF40" w14:textId="77777777">
        <w:tc>
          <w:tcPr>
            <w:tcW w:w="3024" w:type="dxa"/>
          </w:tcPr>
          <w:p w14:paraId="20483A3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w:t>
            </w:r>
          </w:p>
        </w:tc>
        <w:tc>
          <w:tcPr>
            <w:tcW w:w="7574" w:type="dxa"/>
          </w:tcPr>
          <w:p w14:paraId="0DEDDF7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w:t>
            </w:r>
          </w:p>
        </w:tc>
      </w:tr>
      <w:tr w:rsidR="001002C3" w:rsidRPr="005E779E" w14:paraId="769842F8" w14:textId="77777777">
        <w:tc>
          <w:tcPr>
            <w:tcW w:w="3024" w:type="dxa"/>
          </w:tcPr>
          <w:p w14:paraId="1787193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предъявления на гос. испытания</w:t>
            </w:r>
          </w:p>
        </w:tc>
        <w:tc>
          <w:tcPr>
            <w:tcW w:w="7574" w:type="dxa"/>
          </w:tcPr>
          <w:p w14:paraId="34DF53A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мая 1931 года</w:t>
            </w:r>
          </w:p>
        </w:tc>
      </w:tr>
      <w:tr w:rsidR="001002C3" w:rsidRPr="005E779E" w14:paraId="6AD076D8" w14:textId="77777777">
        <w:tc>
          <w:tcPr>
            <w:tcW w:w="3024" w:type="dxa"/>
          </w:tcPr>
          <w:p w14:paraId="4A4E0B1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 октября 1931 года</w:t>
            </w:r>
          </w:p>
        </w:tc>
        <w:tc>
          <w:tcPr>
            <w:tcW w:w="7574" w:type="dxa"/>
          </w:tcPr>
          <w:p w14:paraId="2F0D74D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ОКБ принято решение самолет с моторами Ю-VI без редуктора на гос. испытания не представлять. Моторы Ю-VI с редуктором заказаны во Франции. Ожидается их получение. Срок передачи на гос. испытания самолета ОКБ не установлен.</w:t>
            </w:r>
          </w:p>
          <w:p w14:paraId="32470D2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Наблюдающий инженер Вахмистров.</w:t>
            </w:r>
          </w:p>
        </w:tc>
      </w:tr>
      <w:tr w:rsidR="001002C3" w:rsidRPr="005E779E" w14:paraId="139862AE" w14:textId="77777777">
        <w:tc>
          <w:tcPr>
            <w:tcW w:w="3024" w:type="dxa"/>
          </w:tcPr>
          <w:p w14:paraId="5A6C28F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574" w:type="dxa"/>
          </w:tcPr>
          <w:p w14:paraId="026C662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МИ3-2хМ34</w:t>
            </w:r>
          </w:p>
        </w:tc>
      </w:tr>
      <w:tr w:rsidR="001002C3" w:rsidRPr="005E779E" w14:paraId="1B6A2C25" w14:textId="77777777">
        <w:tc>
          <w:tcPr>
            <w:tcW w:w="3024" w:type="dxa"/>
          </w:tcPr>
          <w:p w14:paraId="580E65A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горизонтальная скорость/на высоте</w:t>
            </w:r>
          </w:p>
        </w:tc>
        <w:tc>
          <w:tcPr>
            <w:tcW w:w="7574" w:type="dxa"/>
          </w:tcPr>
          <w:p w14:paraId="3B5DE01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300/3000-6000</w:t>
            </w:r>
          </w:p>
        </w:tc>
      </w:tr>
      <w:tr w:rsidR="001002C3" w:rsidRPr="005E779E" w14:paraId="768C3E0C" w14:textId="77777777">
        <w:tc>
          <w:tcPr>
            <w:tcW w:w="3024" w:type="dxa"/>
          </w:tcPr>
          <w:p w14:paraId="532C48D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Скороподъемность/на высоту</w:t>
            </w:r>
          </w:p>
        </w:tc>
        <w:tc>
          <w:tcPr>
            <w:tcW w:w="7574" w:type="dxa"/>
          </w:tcPr>
          <w:p w14:paraId="64F3C2F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13/5000</w:t>
            </w:r>
          </w:p>
        </w:tc>
      </w:tr>
      <w:tr w:rsidR="001002C3" w:rsidRPr="005E779E" w14:paraId="299F70FB" w14:textId="77777777">
        <w:tc>
          <w:tcPr>
            <w:tcW w:w="3024" w:type="dxa"/>
          </w:tcPr>
          <w:p w14:paraId="7D353FE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Потолок</w:t>
            </w:r>
          </w:p>
        </w:tc>
        <w:tc>
          <w:tcPr>
            <w:tcW w:w="7574" w:type="dxa"/>
          </w:tcPr>
          <w:p w14:paraId="7EE1705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7000-8000</w:t>
            </w:r>
          </w:p>
        </w:tc>
      </w:tr>
      <w:tr w:rsidR="001002C3" w:rsidRPr="005E779E" w14:paraId="4177DF3C" w14:textId="77777777">
        <w:tc>
          <w:tcPr>
            <w:tcW w:w="3024" w:type="dxa"/>
          </w:tcPr>
          <w:p w14:paraId="64BE09A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7574" w:type="dxa"/>
          </w:tcPr>
          <w:p w14:paraId="6985158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тяжелых пулемета</w:t>
            </w:r>
          </w:p>
          <w:p w14:paraId="3198797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легкий пулемет</w:t>
            </w:r>
          </w:p>
        </w:tc>
      </w:tr>
      <w:tr w:rsidR="001002C3" w:rsidRPr="005E779E" w14:paraId="18717B49" w14:textId="77777777">
        <w:tc>
          <w:tcPr>
            <w:tcW w:w="3024" w:type="dxa"/>
          </w:tcPr>
          <w:p w14:paraId="2EBBCBF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w:t>
            </w:r>
          </w:p>
        </w:tc>
        <w:tc>
          <w:tcPr>
            <w:tcW w:w="7574" w:type="dxa"/>
          </w:tcPr>
          <w:p w14:paraId="758C0A3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w:t>
            </w:r>
          </w:p>
        </w:tc>
      </w:tr>
      <w:tr w:rsidR="001002C3" w:rsidRPr="005E779E" w14:paraId="139A4223" w14:textId="77777777">
        <w:tc>
          <w:tcPr>
            <w:tcW w:w="3024" w:type="dxa"/>
          </w:tcPr>
          <w:p w14:paraId="5493711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предъявления на гос. испытания</w:t>
            </w:r>
          </w:p>
        </w:tc>
        <w:tc>
          <w:tcPr>
            <w:tcW w:w="7574" w:type="dxa"/>
          </w:tcPr>
          <w:p w14:paraId="37675E5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января 1932 года</w:t>
            </w:r>
          </w:p>
        </w:tc>
      </w:tr>
      <w:tr w:rsidR="001002C3" w:rsidRPr="005E779E" w14:paraId="3AB6113E" w14:textId="77777777">
        <w:tc>
          <w:tcPr>
            <w:tcW w:w="3024" w:type="dxa"/>
          </w:tcPr>
          <w:p w14:paraId="1FE8041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 октября 1931 года</w:t>
            </w:r>
          </w:p>
        </w:tc>
        <w:tc>
          <w:tcPr>
            <w:tcW w:w="7574" w:type="dxa"/>
          </w:tcPr>
          <w:p w14:paraId="22F1DC3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ОКБ закончило проектирование и приступило к постройке самолета, которая находится в начальной стадии производства отдельных деталей. Можно ожидать, что срок представления на гос. испытания 1 января 1932 года не будет выдержан как по причине вероятного запаздывания мотора М-34, так и неготовности конструкции самолета.</w:t>
            </w:r>
          </w:p>
          <w:p w14:paraId="339A1F7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Наблюдающий инженер Межак.</w:t>
            </w:r>
          </w:p>
        </w:tc>
      </w:tr>
      <w:tr w:rsidR="001002C3" w:rsidRPr="005E779E" w14:paraId="59B15A60" w14:textId="77777777">
        <w:tc>
          <w:tcPr>
            <w:tcW w:w="3024" w:type="dxa"/>
          </w:tcPr>
          <w:p w14:paraId="75C0386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574" w:type="dxa"/>
          </w:tcPr>
          <w:p w14:paraId="6A40F98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ДИ3-М17</w:t>
            </w:r>
          </w:p>
        </w:tc>
      </w:tr>
      <w:tr w:rsidR="001002C3" w:rsidRPr="005E779E" w14:paraId="5CA4DC75" w14:textId="77777777">
        <w:tc>
          <w:tcPr>
            <w:tcW w:w="3024" w:type="dxa"/>
          </w:tcPr>
          <w:p w14:paraId="03E506C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горизонтальная скорость/на высоте</w:t>
            </w:r>
          </w:p>
        </w:tc>
        <w:tc>
          <w:tcPr>
            <w:tcW w:w="7574" w:type="dxa"/>
          </w:tcPr>
          <w:p w14:paraId="04416AA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212/5000</w:t>
            </w:r>
          </w:p>
        </w:tc>
      </w:tr>
      <w:tr w:rsidR="001002C3" w:rsidRPr="005E779E" w14:paraId="17373D65" w14:textId="77777777">
        <w:tc>
          <w:tcPr>
            <w:tcW w:w="3024" w:type="dxa"/>
          </w:tcPr>
          <w:p w14:paraId="3BAA6E4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Скороподъемность/на высоту</w:t>
            </w:r>
          </w:p>
        </w:tc>
        <w:tc>
          <w:tcPr>
            <w:tcW w:w="7574" w:type="dxa"/>
          </w:tcPr>
          <w:p w14:paraId="1454E08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22/5000</w:t>
            </w:r>
          </w:p>
        </w:tc>
      </w:tr>
      <w:tr w:rsidR="001002C3" w:rsidRPr="005E779E" w14:paraId="3D8A729E" w14:textId="77777777">
        <w:tc>
          <w:tcPr>
            <w:tcW w:w="3024" w:type="dxa"/>
          </w:tcPr>
          <w:p w14:paraId="3D3AF9B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Потолок</w:t>
            </w:r>
          </w:p>
        </w:tc>
        <w:tc>
          <w:tcPr>
            <w:tcW w:w="7574" w:type="dxa"/>
          </w:tcPr>
          <w:p w14:paraId="1A8A0FB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1002C3" w:rsidRPr="005E779E" w14:paraId="156EAFA5" w14:textId="77777777">
        <w:tc>
          <w:tcPr>
            <w:tcW w:w="3024" w:type="dxa"/>
          </w:tcPr>
          <w:p w14:paraId="035BF0A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7574" w:type="dxa"/>
          </w:tcPr>
          <w:p w14:paraId="792B83D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пулемета</w:t>
            </w:r>
          </w:p>
        </w:tc>
      </w:tr>
      <w:tr w:rsidR="001002C3" w:rsidRPr="005E779E" w14:paraId="1E2D691E" w14:textId="77777777">
        <w:tc>
          <w:tcPr>
            <w:tcW w:w="3024" w:type="dxa"/>
          </w:tcPr>
          <w:p w14:paraId="5255183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w:t>
            </w:r>
          </w:p>
        </w:tc>
        <w:tc>
          <w:tcPr>
            <w:tcW w:w="7574" w:type="dxa"/>
          </w:tcPr>
          <w:p w14:paraId="258FF16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250-275</w:t>
            </w:r>
          </w:p>
        </w:tc>
      </w:tr>
      <w:tr w:rsidR="001002C3" w:rsidRPr="005E779E" w14:paraId="651D084F" w14:textId="77777777">
        <w:tc>
          <w:tcPr>
            <w:tcW w:w="3024" w:type="dxa"/>
          </w:tcPr>
          <w:p w14:paraId="4F26762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предъявления на гос. испытания</w:t>
            </w:r>
          </w:p>
        </w:tc>
        <w:tc>
          <w:tcPr>
            <w:tcW w:w="7574" w:type="dxa"/>
          </w:tcPr>
          <w:p w14:paraId="11903A6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февраля 1931 года</w:t>
            </w:r>
          </w:p>
        </w:tc>
      </w:tr>
      <w:tr w:rsidR="001002C3" w:rsidRPr="005E779E" w14:paraId="4B72C36D" w14:textId="77777777">
        <w:tc>
          <w:tcPr>
            <w:tcW w:w="3024" w:type="dxa"/>
          </w:tcPr>
          <w:p w14:paraId="25D4B3D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 октября 1931 года</w:t>
            </w:r>
          </w:p>
        </w:tc>
        <w:tc>
          <w:tcPr>
            <w:tcW w:w="7574" w:type="dxa"/>
          </w:tcPr>
          <w:p w14:paraId="6C0308B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Ввиду неудовлетворения техтребованиям в отношении летных данных заместителем председателя РВС Гамарником принято решение самолет на вооружение не принимать.</w:t>
            </w:r>
          </w:p>
        </w:tc>
      </w:tr>
      <w:tr w:rsidR="001002C3" w:rsidRPr="005E779E" w14:paraId="1AAC109A" w14:textId="77777777">
        <w:tc>
          <w:tcPr>
            <w:tcW w:w="3024" w:type="dxa"/>
          </w:tcPr>
          <w:p w14:paraId="0CC0102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574" w:type="dxa"/>
          </w:tcPr>
          <w:p w14:paraId="3F39778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Р8-М27</w:t>
            </w:r>
          </w:p>
        </w:tc>
      </w:tr>
      <w:tr w:rsidR="001002C3" w:rsidRPr="005E779E" w14:paraId="43EA2488" w14:textId="77777777">
        <w:tc>
          <w:tcPr>
            <w:tcW w:w="3024" w:type="dxa"/>
          </w:tcPr>
          <w:p w14:paraId="5605962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горизонтальная скорость/на высоте</w:t>
            </w:r>
          </w:p>
        </w:tc>
        <w:tc>
          <w:tcPr>
            <w:tcW w:w="7574" w:type="dxa"/>
          </w:tcPr>
          <w:p w14:paraId="2F5DFE1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245/3000</w:t>
            </w:r>
          </w:p>
        </w:tc>
      </w:tr>
      <w:tr w:rsidR="001002C3" w:rsidRPr="005E779E" w14:paraId="245A0295" w14:textId="77777777">
        <w:tc>
          <w:tcPr>
            <w:tcW w:w="3024" w:type="dxa"/>
          </w:tcPr>
          <w:p w14:paraId="08883D4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Скороподъемность/на высоту</w:t>
            </w:r>
          </w:p>
        </w:tc>
        <w:tc>
          <w:tcPr>
            <w:tcW w:w="7574" w:type="dxa"/>
          </w:tcPr>
          <w:p w14:paraId="6DA3149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10/3000</w:t>
            </w:r>
          </w:p>
        </w:tc>
      </w:tr>
      <w:tr w:rsidR="001002C3" w:rsidRPr="005E779E" w14:paraId="47F946AC" w14:textId="77777777">
        <w:tc>
          <w:tcPr>
            <w:tcW w:w="3024" w:type="dxa"/>
          </w:tcPr>
          <w:p w14:paraId="2C21CF3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Потолок</w:t>
            </w:r>
          </w:p>
        </w:tc>
        <w:tc>
          <w:tcPr>
            <w:tcW w:w="7574" w:type="dxa"/>
          </w:tcPr>
          <w:p w14:paraId="2818517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7000</w:t>
            </w:r>
          </w:p>
        </w:tc>
      </w:tr>
      <w:tr w:rsidR="001002C3" w:rsidRPr="005E779E" w14:paraId="6DD79678" w14:textId="77777777">
        <w:tc>
          <w:tcPr>
            <w:tcW w:w="3024" w:type="dxa"/>
          </w:tcPr>
          <w:p w14:paraId="4119208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7574" w:type="dxa"/>
          </w:tcPr>
          <w:p w14:paraId="7C01D86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пулемета</w:t>
            </w:r>
          </w:p>
        </w:tc>
      </w:tr>
      <w:tr w:rsidR="001002C3" w:rsidRPr="005E779E" w14:paraId="10918DFC" w14:textId="77777777">
        <w:tc>
          <w:tcPr>
            <w:tcW w:w="3024" w:type="dxa"/>
          </w:tcPr>
          <w:p w14:paraId="02B47C7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w:t>
            </w:r>
          </w:p>
        </w:tc>
        <w:tc>
          <w:tcPr>
            <w:tcW w:w="7574" w:type="dxa"/>
          </w:tcPr>
          <w:p w14:paraId="6118D43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1002C3" w:rsidRPr="005E779E" w14:paraId="6FFDC34C" w14:textId="77777777">
        <w:tc>
          <w:tcPr>
            <w:tcW w:w="3024" w:type="dxa"/>
          </w:tcPr>
          <w:p w14:paraId="3B00C4C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предъявления на гос. испытания</w:t>
            </w:r>
          </w:p>
        </w:tc>
        <w:tc>
          <w:tcPr>
            <w:tcW w:w="7574" w:type="dxa"/>
          </w:tcPr>
          <w:p w14:paraId="2789E40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мая 1931 года</w:t>
            </w:r>
          </w:p>
        </w:tc>
      </w:tr>
      <w:tr w:rsidR="001002C3" w:rsidRPr="005E779E" w14:paraId="54C44D60" w14:textId="77777777">
        <w:tc>
          <w:tcPr>
            <w:tcW w:w="3024" w:type="dxa"/>
          </w:tcPr>
          <w:p w14:paraId="753A23E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 октября 1931 года</w:t>
            </w:r>
          </w:p>
        </w:tc>
        <w:tc>
          <w:tcPr>
            <w:tcW w:w="7574" w:type="dxa"/>
          </w:tcPr>
          <w:p w14:paraId="527F76E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Несмотря на неутверждение боевой схемы самолета со стороны УВВС ОКБ продолжает его постройку, рассматривая самолет как экспериментальный. В настоящее время, т.е. через 5 месяцев после того как самолет должен был выйти на аэродром заканчивается эскизный проект Р8-М27 в схеме приемлемой для ВВС.</w:t>
            </w:r>
          </w:p>
          <w:p w14:paraId="7F00979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Наблюдающий инженер Полехин.</w:t>
            </w:r>
          </w:p>
        </w:tc>
      </w:tr>
      <w:tr w:rsidR="001002C3" w:rsidRPr="005E779E" w14:paraId="6C953191" w14:textId="77777777">
        <w:tc>
          <w:tcPr>
            <w:tcW w:w="3024" w:type="dxa"/>
          </w:tcPr>
          <w:p w14:paraId="09D94DB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574" w:type="dxa"/>
          </w:tcPr>
          <w:p w14:paraId="708655C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Р8-М34</w:t>
            </w:r>
          </w:p>
        </w:tc>
      </w:tr>
      <w:tr w:rsidR="001002C3" w:rsidRPr="005E779E" w14:paraId="6663FF3E" w14:textId="77777777">
        <w:tc>
          <w:tcPr>
            <w:tcW w:w="3024" w:type="dxa"/>
          </w:tcPr>
          <w:p w14:paraId="329B812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горизонтальная скорость/на высоте</w:t>
            </w:r>
          </w:p>
        </w:tc>
        <w:tc>
          <w:tcPr>
            <w:tcW w:w="7574" w:type="dxa"/>
          </w:tcPr>
          <w:p w14:paraId="12B5E02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250/3000</w:t>
            </w:r>
          </w:p>
        </w:tc>
      </w:tr>
      <w:tr w:rsidR="001002C3" w:rsidRPr="005E779E" w14:paraId="7DBD4E17" w14:textId="77777777">
        <w:tc>
          <w:tcPr>
            <w:tcW w:w="3024" w:type="dxa"/>
          </w:tcPr>
          <w:p w14:paraId="2543E2A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Скороподъемность/на высоту</w:t>
            </w:r>
          </w:p>
        </w:tc>
        <w:tc>
          <w:tcPr>
            <w:tcW w:w="7574" w:type="dxa"/>
          </w:tcPr>
          <w:p w14:paraId="385A5D6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8/10/3000</w:t>
            </w:r>
          </w:p>
        </w:tc>
      </w:tr>
      <w:tr w:rsidR="001002C3" w:rsidRPr="005E779E" w14:paraId="3320F40C" w14:textId="77777777">
        <w:tc>
          <w:tcPr>
            <w:tcW w:w="3024" w:type="dxa"/>
          </w:tcPr>
          <w:p w14:paraId="6269D23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Потолок</w:t>
            </w:r>
          </w:p>
        </w:tc>
        <w:tc>
          <w:tcPr>
            <w:tcW w:w="7574" w:type="dxa"/>
          </w:tcPr>
          <w:p w14:paraId="10B2B6F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7000-7500</w:t>
            </w:r>
          </w:p>
        </w:tc>
      </w:tr>
      <w:tr w:rsidR="001002C3" w:rsidRPr="005E779E" w14:paraId="444D5C53" w14:textId="77777777">
        <w:tc>
          <w:tcPr>
            <w:tcW w:w="3024" w:type="dxa"/>
          </w:tcPr>
          <w:p w14:paraId="123F488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7574" w:type="dxa"/>
          </w:tcPr>
          <w:p w14:paraId="20CF1B0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пулемета</w:t>
            </w:r>
          </w:p>
        </w:tc>
      </w:tr>
      <w:tr w:rsidR="001002C3" w:rsidRPr="005E779E" w14:paraId="65515A47" w14:textId="77777777">
        <w:tc>
          <w:tcPr>
            <w:tcW w:w="3024" w:type="dxa"/>
          </w:tcPr>
          <w:p w14:paraId="66DBA22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w:t>
            </w:r>
          </w:p>
        </w:tc>
        <w:tc>
          <w:tcPr>
            <w:tcW w:w="7574" w:type="dxa"/>
          </w:tcPr>
          <w:p w14:paraId="12E7E53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650-750</w:t>
            </w:r>
          </w:p>
        </w:tc>
      </w:tr>
      <w:tr w:rsidR="001002C3" w:rsidRPr="005E779E" w14:paraId="2F32B719" w14:textId="77777777">
        <w:tc>
          <w:tcPr>
            <w:tcW w:w="3024" w:type="dxa"/>
          </w:tcPr>
          <w:p w14:paraId="7D0133D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предъявления на гос. испытания</w:t>
            </w:r>
          </w:p>
        </w:tc>
        <w:tc>
          <w:tcPr>
            <w:tcW w:w="7574" w:type="dxa"/>
          </w:tcPr>
          <w:p w14:paraId="322E244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октября 1931 года</w:t>
            </w:r>
          </w:p>
        </w:tc>
      </w:tr>
      <w:tr w:rsidR="001002C3" w:rsidRPr="005E779E" w14:paraId="55834925" w14:textId="77777777">
        <w:tc>
          <w:tcPr>
            <w:tcW w:w="3024" w:type="dxa"/>
          </w:tcPr>
          <w:p w14:paraId="47A704D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 октября 1931 года</w:t>
            </w:r>
          </w:p>
        </w:tc>
        <w:tc>
          <w:tcPr>
            <w:tcW w:w="7574" w:type="dxa"/>
          </w:tcPr>
          <w:p w14:paraId="6D72506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Работы начаты.</w:t>
            </w:r>
          </w:p>
        </w:tc>
      </w:tr>
      <w:tr w:rsidR="001002C3" w:rsidRPr="005E779E" w14:paraId="03C82E4C" w14:textId="77777777">
        <w:tc>
          <w:tcPr>
            <w:tcW w:w="3024" w:type="dxa"/>
          </w:tcPr>
          <w:p w14:paraId="289A067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574" w:type="dxa"/>
          </w:tcPr>
          <w:p w14:paraId="37F66D3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МДР3-4ЮVI</w:t>
            </w:r>
          </w:p>
        </w:tc>
      </w:tr>
      <w:tr w:rsidR="001002C3" w:rsidRPr="005E779E" w14:paraId="5708FE7B" w14:textId="77777777">
        <w:tc>
          <w:tcPr>
            <w:tcW w:w="3024" w:type="dxa"/>
          </w:tcPr>
          <w:p w14:paraId="31A4DB3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горизонтальная скорость/на высоте</w:t>
            </w:r>
          </w:p>
        </w:tc>
        <w:tc>
          <w:tcPr>
            <w:tcW w:w="7574" w:type="dxa"/>
          </w:tcPr>
          <w:p w14:paraId="1C7BDE3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200/3000</w:t>
            </w:r>
          </w:p>
        </w:tc>
      </w:tr>
      <w:tr w:rsidR="001002C3" w:rsidRPr="005E779E" w14:paraId="47FD5FB0" w14:textId="77777777">
        <w:tc>
          <w:tcPr>
            <w:tcW w:w="3024" w:type="dxa"/>
          </w:tcPr>
          <w:p w14:paraId="0F17A35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Скороподъемность/на высоту</w:t>
            </w:r>
          </w:p>
        </w:tc>
        <w:tc>
          <w:tcPr>
            <w:tcW w:w="7574" w:type="dxa"/>
          </w:tcPr>
          <w:p w14:paraId="18E2986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20/3000</w:t>
            </w:r>
          </w:p>
        </w:tc>
      </w:tr>
      <w:tr w:rsidR="001002C3" w:rsidRPr="005E779E" w14:paraId="26F5F70D" w14:textId="77777777">
        <w:tc>
          <w:tcPr>
            <w:tcW w:w="3024" w:type="dxa"/>
          </w:tcPr>
          <w:p w14:paraId="5E4CCC9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Потолок</w:t>
            </w:r>
          </w:p>
        </w:tc>
        <w:tc>
          <w:tcPr>
            <w:tcW w:w="7574" w:type="dxa"/>
          </w:tcPr>
          <w:p w14:paraId="435174A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r>
      <w:tr w:rsidR="001002C3" w:rsidRPr="005E779E" w14:paraId="64E89981" w14:textId="77777777">
        <w:tc>
          <w:tcPr>
            <w:tcW w:w="3024" w:type="dxa"/>
          </w:tcPr>
          <w:p w14:paraId="45137E4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7574" w:type="dxa"/>
          </w:tcPr>
          <w:p w14:paraId="17E0010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пулемета</w:t>
            </w:r>
          </w:p>
          <w:p w14:paraId="0794027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автоматическая пушка</w:t>
            </w:r>
          </w:p>
          <w:p w14:paraId="5430884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 кг бомб</w:t>
            </w:r>
          </w:p>
        </w:tc>
      </w:tr>
      <w:tr w:rsidR="001002C3" w:rsidRPr="005E779E" w14:paraId="07C7F9C2" w14:textId="77777777">
        <w:tc>
          <w:tcPr>
            <w:tcW w:w="3024" w:type="dxa"/>
          </w:tcPr>
          <w:p w14:paraId="4A55CCE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w:t>
            </w:r>
          </w:p>
        </w:tc>
        <w:tc>
          <w:tcPr>
            <w:tcW w:w="7574" w:type="dxa"/>
          </w:tcPr>
          <w:p w14:paraId="58A3322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1000-1200</w:t>
            </w:r>
          </w:p>
        </w:tc>
      </w:tr>
      <w:tr w:rsidR="001002C3" w:rsidRPr="005E779E" w14:paraId="2BF47824" w14:textId="77777777">
        <w:tc>
          <w:tcPr>
            <w:tcW w:w="3024" w:type="dxa"/>
          </w:tcPr>
          <w:p w14:paraId="1DC5370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предъявления на гос. испытания</w:t>
            </w:r>
          </w:p>
        </w:tc>
        <w:tc>
          <w:tcPr>
            <w:tcW w:w="7574" w:type="dxa"/>
          </w:tcPr>
          <w:p w14:paraId="31DDFB0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июня 1931 года</w:t>
            </w:r>
          </w:p>
        </w:tc>
      </w:tr>
      <w:tr w:rsidR="001002C3" w:rsidRPr="005E779E" w14:paraId="6489020A" w14:textId="77777777">
        <w:tc>
          <w:tcPr>
            <w:tcW w:w="3024" w:type="dxa"/>
          </w:tcPr>
          <w:p w14:paraId="5CB1B7D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 октября 1931 года</w:t>
            </w:r>
          </w:p>
        </w:tc>
        <w:tc>
          <w:tcPr>
            <w:tcW w:w="7574" w:type="dxa"/>
          </w:tcPr>
          <w:p w14:paraId="28E5DCB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Вторично данный РВСС срок 10 сентября 1931 года выпуска самолета на гос. испытания заводом № 39 не выдержан из-за задержек в производстве. Срок подачи на гос. испытания самолета неизвестен заводу.</w:t>
            </w:r>
          </w:p>
          <w:p w14:paraId="155121C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Наблюдающий инженер Волков.</w:t>
            </w:r>
          </w:p>
        </w:tc>
      </w:tr>
    </w:tbl>
    <w:p w14:paraId="77202F6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Вторая очередь (основные типы по системе вооружения)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7574"/>
      </w:tblGrid>
      <w:tr w:rsidR="001002C3" w:rsidRPr="005E779E" w14:paraId="3FF2E077" w14:textId="77777777">
        <w:tc>
          <w:tcPr>
            <w:tcW w:w="3024" w:type="dxa"/>
          </w:tcPr>
          <w:p w14:paraId="28C80A6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574" w:type="dxa"/>
          </w:tcPr>
          <w:p w14:paraId="1D43752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ДИ4-КК</w:t>
            </w:r>
          </w:p>
        </w:tc>
      </w:tr>
      <w:tr w:rsidR="001002C3" w:rsidRPr="005E779E" w14:paraId="4381100B" w14:textId="77777777">
        <w:tc>
          <w:tcPr>
            <w:tcW w:w="3024" w:type="dxa"/>
          </w:tcPr>
          <w:p w14:paraId="639A1A0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горизонтальная скорость/на высоте</w:t>
            </w:r>
          </w:p>
        </w:tc>
        <w:tc>
          <w:tcPr>
            <w:tcW w:w="7574" w:type="dxa"/>
          </w:tcPr>
          <w:p w14:paraId="29E4A45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280/5000</w:t>
            </w:r>
          </w:p>
        </w:tc>
      </w:tr>
      <w:tr w:rsidR="001002C3" w:rsidRPr="005E779E" w14:paraId="509B4902" w14:textId="77777777">
        <w:tc>
          <w:tcPr>
            <w:tcW w:w="3024" w:type="dxa"/>
          </w:tcPr>
          <w:p w14:paraId="4951548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Скороподъемность/на высоту</w:t>
            </w:r>
          </w:p>
        </w:tc>
        <w:tc>
          <w:tcPr>
            <w:tcW w:w="7574" w:type="dxa"/>
          </w:tcPr>
          <w:p w14:paraId="5025AE4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8,5/5000</w:t>
            </w:r>
          </w:p>
        </w:tc>
      </w:tr>
      <w:tr w:rsidR="001002C3" w:rsidRPr="005E779E" w14:paraId="5EE27D60" w14:textId="77777777">
        <w:tc>
          <w:tcPr>
            <w:tcW w:w="3024" w:type="dxa"/>
          </w:tcPr>
          <w:p w14:paraId="704CB78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Потолок</w:t>
            </w:r>
          </w:p>
        </w:tc>
        <w:tc>
          <w:tcPr>
            <w:tcW w:w="7574" w:type="dxa"/>
          </w:tcPr>
          <w:p w14:paraId="4A2A96A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8000</w:t>
            </w:r>
          </w:p>
        </w:tc>
      </w:tr>
      <w:tr w:rsidR="001002C3" w:rsidRPr="005E779E" w14:paraId="5665B7AE" w14:textId="77777777">
        <w:tc>
          <w:tcPr>
            <w:tcW w:w="3024" w:type="dxa"/>
          </w:tcPr>
          <w:p w14:paraId="31F0BD9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7574" w:type="dxa"/>
          </w:tcPr>
          <w:p w14:paraId="7BA725E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пулемета</w:t>
            </w:r>
          </w:p>
        </w:tc>
      </w:tr>
      <w:tr w:rsidR="001002C3" w:rsidRPr="005E779E" w14:paraId="23A72294" w14:textId="77777777">
        <w:tc>
          <w:tcPr>
            <w:tcW w:w="3024" w:type="dxa"/>
          </w:tcPr>
          <w:p w14:paraId="174460D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w:t>
            </w:r>
          </w:p>
        </w:tc>
        <w:tc>
          <w:tcPr>
            <w:tcW w:w="7574" w:type="dxa"/>
          </w:tcPr>
          <w:p w14:paraId="354498D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450-500</w:t>
            </w:r>
          </w:p>
        </w:tc>
      </w:tr>
      <w:tr w:rsidR="001002C3" w:rsidRPr="005E779E" w14:paraId="0396BE07" w14:textId="77777777">
        <w:tc>
          <w:tcPr>
            <w:tcW w:w="3024" w:type="dxa"/>
          </w:tcPr>
          <w:p w14:paraId="5DE6586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предъявления на гос. испытания</w:t>
            </w:r>
          </w:p>
        </w:tc>
        <w:tc>
          <w:tcPr>
            <w:tcW w:w="7574" w:type="dxa"/>
          </w:tcPr>
          <w:p w14:paraId="68D9B8E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сентября 1931 года</w:t>
            </w:r>
          </w:p>
        </w:tc>
      </w:tr>
      <w:tr w:rsidR="001002C3" w:rsidRPr="005E779E" w14:paraId="1D2F2D63" w14:textId="77777777">
        <w:tc>
          <w:tcPr>
            <w:tcW w:w="3024" w:type="dxa"/>
          </w:tcPr>
          <w:p w14:paraId="4904B2B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 октября 1931 года</w:t>
            </w:r>
          </w:p>
        </w:tc>
        <w:tc>
          <w:tcPr>
            <w:tcW w:w="7574" w:type="dxa"/>
          </w:tcPr>
          <w:p w14:paraId="5447E0D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Постройка самолета с мотором Кертис-Конкверор заканчивается. Его заводские испытания должны начаться в первой декаде ноября 1931 года.</w:t>
            </w:r>
          </w:p>
          <w:p w14:paraId="648A000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Наблюдающий инженер Холодов.</w:t>
            </w:r>
          </w:p>
        </w:tc>
      </w:tr>
      <w:tr w:rsidR="001002C3" w:rsidRPr="005E779E" w14:paraId="7FDDC6E1" w14:textId="77777777">
        <w:tc>
          <w:tcPr>
            <w:tcW w:w="3024" w:type="dxa"/>
          </w:tcPr>
          <w:p w14:paraId="35ECEE9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574" w:type="dxa"/>
          </w:tcPr>
          <w:p w14:paraId="5D8985C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ДИ5-ФЭД</w:t>
            </w:r>
          </w:p>
        </w:tc>
      </w:tr>
      <w:tr w:rsidR="001002C3" w:rsidRPr="005E779E" w14:paraId="2A7EAA47" w14:textId="77777777">
        <w:tc>
          <w:tcPr>
            <w:tcW w:w="3024" w:type="dxa"/>
          </w:tcPr>
          <w:p w14:paraId="7A23B0A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горизонтальная скорость/на высоте</w:t>
            </w:r>
          </w:p>
        </w:tc>
        <w:tc>
          <w:tcPr>
            <w:tcW w:w="7574" w:type="dxa"/>
          </w:tcPr>
          <w:p w14:paraId="463CEDE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270/3000</w:t>
            </w:r>
          </w:p>
        </w:tc>
      </w:tr>
      <w:tr w:rsidR="001002C3" w:rsidRPr="005E779E" w14:paraId="1AB4EFAF" w14:textId="77777777">
        <w:tc>
          <w:tcPr>
            <w:tcW w:w="3024" w:type="dxa"/>
          </w:tcPr>
          <w:p w14:paraId="585741F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Скороподъемность/на высоту</w:t>
            </w:r>
          </w:p>
        </w:tc>
        <w:tc>
          <w:tcPr>
            <w:tcW w:w="7574" w:type="dxa"/>
          </w:tcPr>
          <w:p w14:paraId="268A178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7,6/3000</w:t>
            </w:r>
          </w:p>
        </w:tc>
      </w:tr>
      <w:tr w:rsidR="001002C3" w:rsidRPr="005E779E" w14:paraId="5F5AF014" w14:textId="77777777">
        <w:tc>
          <w:tcPr>
            <w:tcW w:w="3024" w:type="dxa"/>
          </w:tcPr>
          <w:p w14:paraId="2A5BC00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Потолок</w:t>
            </w:r>
          </w:p>
        </w:tc>
        <w:tc>
          <w:tcPr>
            <w:tcW w:w="7574" w:type="dxa"/>
          </w:tcPr>
          <w:p w14:paraId="1CE3846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8000</w:t>
            </w:r>
          </w:p>
        </w:tc>
      </w:tr>
      <w:tr w:rsidR="001002C3" w:rsidRPr="005E779E" w14:paraId="7D945983" w14:textId="77777777">
        <w:tc>
          <w:tcPr>
            <w:tcW w:w="3024" w:type="dxa"/>
          </w:tcPr>
          <w:p w14:paraId="3EB923D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7574" w:type="dxa"/>
          </w:tcPr>
          <w:p w14:paraId="5FA1544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пулемета</w:t>
            </w:r>
          </w:p>
          <w:p w14:paraId="4B2C4D0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автоматическая пушка</w:t>
            </w:r>
          </w:p>
        </w:tc>
      </w:tr>
      <w:tr w:rsidR="001002C3" w:rsidRPr="005E779E" w14:paraId="0641D307" w14:textId="77777777">
        <w:tc>
          <w:tcPr>
            <w:tcW w:w="3024" w:type="dxa"/>
          </w:tcPr>
          <w:p w14:paraId="3F3AF17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w:t>
            </w:r>
          </w:p>
        </w:tc>
        <w:tc>
          <w:tcPr>
            <w:tcW w:w="7574" w:type="dxa"/>
          </w:tcPr>
          <w:p w14:paraId="534E849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8CCF494" w14:textId="77777777">
        <w:tc>
          <w:tcPr>
            <w:tcW w:w="3024" w:type="dxa"/>
          </w:tcPr>
          <w:p w14:paraId="2649672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предъявления на гос. испытания</w:t>
            </w:r>
          </w:p>
        </w:tc>
        <w:tc>
          <w:tcPr>
            <w:tcW w:w="7574" w:type="dxa"/>
          </w:tcPr>
          <w:p w14:paraId="6907BC3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июня 1931 года</w:t>
            </w:r>
          </w:p>
        </w:tc>
      </w:tr>
      <w:tr w:rsidR="001002C3" w:rsidRPr="005E779E" w14:paraId="122A8673" w14:textId="77777777">
        <w:tc>
          <w:tcPr>
            <w:tcW w:w="3024" w:type="dxa"/>
          </w:tcPr>
          <w:p w14:paraId="19CFC71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 октября 1931 года</w:t>
            </w:r>
          </w:p>
        </w:tc>
        <w:tc>
          <w:tcPr>
            <w:tcW w:w="7574" w:type="dxa"/>
          </w:tcPr>
          <w:p w14:paraId="53161B8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Работы не ведутся, нет макета.</w:t>
            </w:r>
          </w:p>
        </w:tc>
      </w:tr>
      <w:tr w:rsidR="001002C3" w:rsidRPr="005E779E" w14:paraId="0D97922B" w14:textId="77777777">
        <w:tc>
          <w:tcPr>
            <w:tcW w:w="3024" w:type="dxa"/>
          </w:tcPr>
          <w:p w14:paraId="0474A80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Наименование самолета</w:t>
            </w:r>
          </w:p>
        </w:tc>
        <w:tc>
          <w:tcPr>
            <w:tcW w:w="7574" w:type="dxa"/>
          </w:tcPr>
          <w:p w14:paraId="0A5F85A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ТШ1-2М34</w:t>
            </w:r>
          </w:p>
        </w:tc>
      </w:tr>
      <w:tr w:rsidR="001002C3" w:rsidRPr="005E779E" w14:paraId="3D80E8B5" w14:textId="77777777">
        <w:tc>
          <w:tcPr>
            <w:tcW w:w="3024" w:type="dxa"/>
          </w:tcPr>
          <w:p w14:paraId="0ACF331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горизонтальная скорость/на высоте</w:t>
            </w:r>
          </w:p>
        </w:tc>
        <w:tc>
          <w:tcPr>
            <w:tcW w:w="7574" w:type="dxa"/>
          </w:tcPr>
          <w:p w14:paraId="49E6FCE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EEAC530" w14:textId="77777777">
        <w:tc>
          <w:tcPr>
            <w:tcW w:w="3024" w:type="dxa"/>
          </w:tcPr>
          <w:p w14:paraId="156C49D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Скороподъемность/на высоту</w:t>
            </w:r>
          </w:p>
        </w:tc>
        <w:tc>
          <w:tcPr>
            <w:tcW w:w="7574" w:type="dxa"/>
          </w:tcPr>
          <w:p w14:paraId="765967A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A477878" w14:textId="77777777">
        <w:tc>
          <w:tcPr>
            <w:tcW w:w="3024" w:type="dxa"/>
          </w:tcPr>
          <w:p w14:paraId="6F9BB9F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Потолок</w:t>
            </w:r>
          </w:p>
        </w:tc>
        <w:tc>
          <w:tcPr>
            <w:tcW w:w="7574" w:type="dxa"/>
          </w:tcPr>
          <w:p w14:paraId="44396E4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679EB98" w14:textId="77777777">
        <w:tc>
          <w:tcPr>
            <w:tcW w:w="3024" w:type="dxa"/>
          </w:tcPr>
          <w:p w14:paraId="52E5910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7574" w:type="dxa"/>
          </w:tcPr>
          <w:p w14:paraId="4BF96F9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4-6 пулеметов</w:t>
            </w:r>
          </w:p>
          <w:p w14:paraId="3B39E61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автоматическая пушка</w:t>
            </w:r>
          </w:p>
          <w:p w14:paraId="373CE71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800 кг бомб</w:t>
            </w:r>
          </w:p>
        </w:tc>
      </w:tr>
      <w:tr w:rsidR="001002C3" w:rsidRPr="005E779E" w14:paraId="381D42FC" w14:textId="77777777">
        <w:tc>
          <w:tcPr>
            <w:tcW w:w="3024" w:type="dxa"/>
          </w:tcPr>
          <w:p w14:paraId="7E4FED5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w:t>
            </w:r>
          </w:p>
        </w:tc>
        <w:tc>
          <w:tcPr>
            <w:tcW w:w="7574" w:type="dxa"/>
          </w:tcPr>
          <w:p w14:paraId="5B50717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w:t>
            </w:r>
          </w:p>
        </w:tc>
      </w:tr>
      <w:tr w:rsidR="001002C3" w:rsidRPr="005E779E" w14:paraId="32CBB048" w14:textId="77777777">
        <w:tc>
          <w:tcPr>
            <w:tcW w:w="3024" w:type="dxa"/>
          </w:tcPr>
          <w:p w14:paraId="559FA13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предъявления на гос. испытания</w:t>
            </w:r>
          </w:p>
        </w:tc>
        <w:tc>
          <w:tcPr>
            <w:tcW w:w="7574" w:type="dxa"/>
          </w:tcPr>
          <w:p w14:paraId="67F811B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января 1932 года</w:t>
            </w:r>
          </w:p>
        </w:tc>
      </w:tr>
      <w:tr w:rsidR="001002C3" w:rsidRPr="005E779E" w14:paraId="69E60C66" w14:textId="77777777">
        <w:tc>
          <w:tcPr>
            <w:tcW w:w="3024" w:type="dxa"/>
          </w:tcPr>
          <w:p w14:paraId="4B36931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 октября 1931 года</w:t>
            </w:r>
          </w:p>
        </w:tc>
        <w:tc>
          <w:tcPr>
            <w:tcW w:w="7574" w:type="dxa"/>
          </w:tcPr>
          <w:p w14:paraId="07B5F0D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Работы не ведутся поскольку самолет стоит в плане условно (до разрешения РВС вопроса о необходимости иметь на вооружении тяжелый двухмоторный штурмовик).</w:t>
            </w:r>
          </w:p>
        </w:tc>
      </w:tr>
      <w:tr w:rsidR="001002C3" w:rsidRPr="005E779E" w14:paraId="05191935" w14:textId="77777777">
        <w:tc>
          <w:tcPr>
            <w:tcW w:w="3024" w:type="dxa"/>
          </w:tcPr>
          <w:p w14:paraId="3976952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574" w:type="dxa"/>
          </w:tcPr>
          <w:p w14:paraId="1544A27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МТБ3-4М34</w:t>
            </w:r>
          </w:p>
        </w:tc>
      </w:tr>
      <w:tr w:rsidR="001002C3" w:rsidRPr="005E779E" w14:paraId="78893A38" w14:textId="77777777">
        <w:tc>
          <w:tcPr>
            <w:tcW w:w="3024" w:type="dxa"/>
          </w:tcPr>
          <w:p w14:paraId="2EE8AA4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 октября 1931 года</w:t>
            </w:r>
          </w:p>
        </w:tc>
        <w:tc>
          <w:tcPr>
            <w:tcW w:w="7574" w:type="dxa"/>
          </w:tcPr>
          <w:p w14:paraId="2ED9E73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Согласно постановления РВСР от 5 сентября 1931 года самолет снят из действующего плана ЦАГИ, но должен быть предусмотрен в новом плане опытного строительства, в связи с чем ЦАГИ продолжает НИР и расчеты по МТБ3 для последующей проектировки и реализации в новом плане.</w:t>
            </w:r>
          </w:p>
        </w:tc>
      </w:tr>
      <w:tr w:rsidR="001002C3" w:rsidRPr="005E779E" w14:paraId="290B2424" w14:textId="77777777">
        <w:tc>
          <w:tcPr>
            <w:tcW w:w="3024" w:type="dxa"/>
          </w:tcPr>
          <w:p w14:paraId="438B6A7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574" w:type="dxa"/>
          </w:tcPr>
          <w:p w14:paraId="5680DF8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МК1-3М34</w:t>
            </w:r>
          </w:p>
        </w:tc>
      </w:tr>
      <w:tr w:rsidR="001002C3" w:rsidRPr="005E779E" w14:paraId="74A11F6A" w14:textId="77777777">
        <w:tc>
          <w:tcPr>
            <w:tcW w:w="3024" w:type="dxa"/>
          </w:tcPr>
          <w:p w14:paraId="2B764F7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горизонтальная скорость/на высоте</w:t>
            </w:r>
          </w:p>
        </w:tc>
        <w:tc>
          <w:tcPr>
            <w:tcW w:w="7574" w:type="dxa"/>
          </w:tcPr>
          <w:p w14:paraId="74D398F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200/0</w:t>
            </w:r>
          </w:p>
        </w:tc>
      </w:tr>
      <w:tr w:rsidR="001002C3" w:rsidRPr="005E779E" w14:paraId="716E90A0" w14:textId="77777777">
        <w:tc>
          <w:tcPr>
            <w:tcW w:w="3024" w:type="dxa"/>
          </w:tcPr>
          <w:p w14:paraId="643F08F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Скороподъемность/на высоту</w:t>
            </w:r>
          </w:p>
        </w:tc>
        <w:tc>
          <w:tcPr>
            <w:tcW w:w="7574" w:type="dxa"/>
          </w:tcPr>
          <w:p w14:paraId="6146BA8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1002C3" w:rsidRPr="005E779E" w14:paraId="5076E1AA" w14:textId="77777777">
        <w:tc>
          <w:tcPr>
            <w:tcW w:w="3024" w:type="dxa"/>
          </w:tcPr>
          <w:p w14:paraId="39AF442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Потолок</w:t>
            </w:r>
          </w:p>
        </w:tc>
        <w:tc>
          <w:tcPr>
            <w:tcW w:w="7574" w:type="dxa"/>
          </w:tcPr>
          <w:p w14:paraId="13D794D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r>
      <w:tr w:rsidR="001002C3" w:rsidRPr="005E779E" w14:paraId="11607F0E" w14:textId="77777777">
        <w:tc>
          <w:tcPr>
            <w:tcW w:w="3024" w:type="dxa"/>
          </w:tcPr>
          <w:p w14:paraId="7BBC088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7574" w:type="dxa"/>
          </w:tcPr>
          <w:p w14:paraId="779F1D3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автоматические пушки</w:t>
            </w:r>
          </w:p>
          <w:p w14:paraId="2E30DDF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тяжелых пулемета (два из них должны легко заменяться автоматическим пушками).</w:t>
            </w:r>
          </w:p>
          <w:p w14:paraId="23C0008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E0426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2500 кг бомб за счет перегрузки</w:t>
            </w:r>
          </w:p>
        </w:tc>
      </w:tr>
      <w:tr w:rsidR="001002C3" w:rsidRPr="005E779E" w14:paraId="6D9A1E09" w14:textId="77777777">
        <w:tc>
          <w:tcPr>
            <w:tcW w:w="3024" w:type="dxa"/>
          </w:tcPr>
          <w:p w14:paraId="3DF6E57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w:t>
            </w:r>
          </w:p>
        </w:tc>
        <w:tc>
          <w:tcPr>
            <w:tcW w:w="7574" w:type="dxa"/>
          </w:tcPr>
          <w:p w14:paraId="43CD2A7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Дальность 1500 при перегрузке</w:t>
            </w:r>
          </w:p>
          <w:p w14:paraId="30E21DB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Дальность 2400</w:t>
            </w:r>
          </w:p>
        </w:tc>
      </w:tr>
      <w:tr w:rsidR="001002C3" w:rsidRPr="005E779E" w14:paraId="29741875" w14:textId="77777777">
        <w:tc>
          <w:tcPr>
            <w:tcW w:w="3024" w:type="dxa"/>
          </w:tcPr>
          <w:p w14:paraId="4C7F407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предъявления на гос. испытания</w:t>
            </w:r>
          </w:p>
        </w:tc>
        <w:tc>
          <w:tcPr>
            <w:tcW w:w="7574" w:type="dxa"/>
          </w:tcPr>
          <w:p w14:paraId="48D834F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Сентябрь 1932 года</w:t>
            </w:r>
          </w:p>
        </w:tc>
      </w:tr>
      <w:tr w:rsidR="001002C3" w:rsidRPr="005E779E" w14:paraId="2DBD4D12" w14:textId="77777777">
        <w:tc>
          <w:tcPr>
            <w:tcW w:w="3024" w:type="dxa"/>
          </w:tcPr>
          <w:p w14:paraId="65DB139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 октября 1931 года</w:t>
            </w:r>
          </w:p>
        </w:tc>
        <w:tc>
          <w:tcPr>
            <w:tcW w:w="7574" w:type="dxa"/>
          </w:tcPr>
          <w:p w14:paraId="208BBF4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ЦАГИ заканчивает макет. Представлен эскизный проект. Схема самолета требует изменений. Экипаж 8 человек недостаточен. Необходимо 11 человек. Конструкция самолета разработана на 75%. Самолет может быть изготовлен и представлен на гос. испытания в срок 1 октября 1932 года.</w:t>
            </w:r>
          </w:p>
          <w:p w14:paraId="2C35F9C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Наблюдающий инженер Кудрявцев.</w:t>
            </w:r>
          </w:p>
        </w:tc>
      </w:tr>
    </w:tbl>
    <w:p w14:paraId="5242815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Экспериментальные конструкции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7574"/>
      </w:tblGrid>
      <w:tr w:rsidR="001002C3" w:rsidRPr="005E779E" w14:paraId="3287B38C" w14:textId="77777777">
        <w:tc>
          <w:tcPr>
            <w:tcW w:w="3024" w:type="dxa"/>
          </w:tcPr>
          <w:p w14:paraId="5C6872E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574" w:type="dxa"/>
          </w:tcPr>
          <w:p w14:paraId="2E0C8CF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ВС1-2М26 (Р9-2М26)</w:t>
            </w:r>
          </w:p>
        </w:tc>
      </w:tr>
      <w:tr w:rsidR="001002C3" w:rsidRPr="005E779E" w14:paraId="61B55660" w14:textId="77777777">
        <w:tc>
          <w:tcPr>
            <w:tcW w:w="3024" w:type="dxa"/>
          </w:tcPr>
          <w:p w14:paraId="1AFFCBF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горизонтальная скорость/на высоте</w:t>
            </w:r>
          </w:p>
        </w:tc>
        <w:tc>
          <w:tcPr>
            <w:tcW w:w="7574" w:type="dxa"/>
          </w:tcPr>
          <w:p w14:paraId="62408ED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200/3000</w:t>
            </w:r>
          </w:p>
        </w:tc>
      </w:tr>
      <w:tr w:rsidR="001002C3" w:rsidRPr="005E779E" w14:paraId="2458EB5E" w14:textId="77777777">
        <w:tc>
          <w:tcPr>
            <w:tcW w:w="3024" w:type="dxa"/>
          </w:tcPr>
          <w:p w14:paraId="04BF938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Скороподъемность/на высоту</w:t>
            </w:r>
          </w:p>
        </w:tc>
        <w:tc>
          <w:tcPr>
            <w:tcW w:w="7574" w:type="dxa"/>
          </w:tcPr>
          <w:p w14:paraId="448B055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12/3000</w:t>
            </w:r>
          </w:p>
        </w:tc>
      </w:tr>
      <w:tr w:rsidR="001002C3" w:rsidRPr="005E779E" w14:paraId="5C597675" w14:textId="77777777">
        <w:tc>
          <w:tcPr>
            <w:tcW w:w="3024" w:type="dxa"/>
          </w:tcPr>
          <w:p w14:paraId="024A4C4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Потолок</w:t>
            </w:r>
          </w:p>
        </w:tc>
        <w:tc>
          <w:tcPr>
            <w:tcW w:w="7574" w:type="dxa"/>
          </w:tcPr>
          <w:p w14:paraId="775D963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B2E752F" w14:textId="77777777">
        <w:tc>
          <w:tcPr>
            <w:tcW w:w="3024" w:type="dxa"/>
          </w:tcPr>
          <w:p w14:paraId="6F223E3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7574" w:type="dxa"/>
          </w:tcPr>
          <w:p w14:paraId="0FBAC54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пулемета</w:t>
            </w:r>
          </w:p>
        </w:tc>
      </w:tr>
      <w:tr w:rsidR="001002C3" w:rsidRPr="005E779E" w14:paraId="168B7580" w14:textId="77777777">
        <w:tc>
          <w:tcPr>
            <w:tcW w:w="3024" w:type="dxa"/>
          </w:tcPr>
          <w:p w14:paraId="1052376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w:t>
            </w:r>
          </w:p>
        </w:tc>
        <w:tc>
          <w:tcPr>
            <w:tcW w:w="7574" w:type="dxa"/>
          </w:tcPr>
          <w:p w14:paraId="3D2383F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часа на мощности 0,9 от номинальной</w:t>
            </w:r>
          </w:p>
        </w:tc>
      </w:tr>
      <w:tr w:rsidR="001002C3" w:rsidRPr="005E779E" w14:paraId="0B77D9E4" w14:textId="77777777">
        <w:tc>
          <w:tcPr>
            <w:tcW w:w="3024" w:type="dxa"/>
          </w:tcPr>
          <w:p w14:paraId="7F277B4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предъявления на гос. испытания</w:t>
            </w:r>
          </w:p>
        </w:tc>
        <w:tc>
          <w:tcPr>
            <w:tcW w:w="7574" w:type="dxa"/>
          </w:tcPr>
          <w:p w14:paraId="28B0389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E7DB372" w14:textId="77777777">
        <w:tc>
          <w:tcPr>
            <w:tcW w:w="3024" w:type="dxa"/>
          </w:tcPr>
          <w:p w14:paraId="0FEEBBE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 октября 1931 года</w:t>
            </w:r>
          </w:p>
        </w:tc>
        <w:tc>
          <w:tcPr>
            <w:tcW w:w="7574" w:type="dxa"/>
          </w:tcPr>
          <w:p w14:paraId="54AC1A2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ВАО проектирование самолета приостановило и полагает сдвинуть срок его представления на гос. испытания на вторую половину 1932 года. При пересмотре плана опытного строительства на 1932-1934 годы является целесообразным заменить самолет Р9-2М26 самолетом ВС2-2М26 совмещающим аналогично самолету Р9 военное использование с применением в ГВФ в качестве пассажирского и фотосъемщика.</w:t>
            </w:r>
          </w:p>
          <w:p w14:paraId="69737C8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Наблюдающий инженер Жемчужин.</w:t>
            </w:r>
          </w:p>
        </w:tc>
      </w:tr>
      <w:tr w:rsidR="001002C3" w:rsidRPr="005E779E" w14:paraId="45AA3CA0" w14:textId="77777777">
        <w:tc>
          <w:tcPr>
            <w:tcW w:w="3024" w:type="dxa"/>
          </w:tcPr>
          <w:p w14:paraId="0759D2D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574" w:type="dxa"/>
          </w:tcPr>
          <w:p w14:paraId="1BF94A7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ТШ2-М27 (ТШ2-М17)</w:t>
            </w:r>
          </w:p>
        </w:tc>
      </w:tr>
      <w:tr w:rsidR="001002C3" w:rsidRPr="005E779E" w14:paraId="58B90C6F" w14:textId="77777777">
        <w:tc>
          <w:tcPr>
            <w:tcW w:w="3024" w:type="dxa"/>
          </w:tcPr>
          <w:p w14:paraId="2EE4A2F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горизонтальная скорость/на высоте</w:t>
            </w:r>
          </w:p>
        </w:tc>
        <w:tc>
          <w:tcPr>
            <w:tcW w:w="7574" w:type="dxa"/>
          </w:tcPr>
          <w:p w14:paraId="144C933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200/0</w:t>
            </w:r>
          </w:p>
        </w:tc>
      </w:tr>
      <w:tr w:rsidR="001002C3" w:rsidRPr="005E779E" w14:paraId="6D59E4EE" w14:textId="77777777">
        <w:tc>
          <w:tcPr>
            <w:tcW w:w="3024" w:type="dxa"/>
          </w:tcPr>
          <w:p w14:paraId="4E1EDB8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Скороподъемность/на высоту</w:t>
            </w:r>
          </w:p>
        </w:tc>
        <w:tc>
          <w:tcPr>
            <w:tcW w:w="7574" w:type="dxa"/>
          </w:tcPr>
          <w:p w14:paraId="10D8EF1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11,6/3000</w:t>
            </w:r>
          </w:p>
        </w:tc>
      </w:tr>
      <w:tr w:rsidR="001002C3" w:rsidRPr="005E779E" w14:paraId="27318E8D" w14:textId="77777777">
        <w:tc>
          <w:tcPr>
            <w:tcW w:w="3024" w:type="dxa"/>
          </w:tcPr>
          <w:p w14:paraId="2CB05D8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Потолок</w:t>
            </w:r>
          </w:p>
        </w:tc>
        <w:tc>
          <w:tcPr>
            <w:tcW w:w="7574" w:type="dxa"/>
          </w:tcPr>
          <w:p w14:paraId="05018AA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5860</w:t>
            </w:r>
          </w:p>
        </w:tc>
      </w:tr>
      <w:tr w:rsidR="001002C3" w:rsidRPr="005E779E" w14:paraId="2163631D" w14:textId="77777777">
        <w:tc>
          <w:tcPr>
            <w:tcW w:w="3024" w:type="dxa"/>
          </w:tcPr>
          <w:p w14:paraId="3336753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7574" w:type="dxa"/>
          </w:tcPr>
          <w:p w14:paraId="4B3A949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пулеметов</w:t>
            </w:r>
          </w:p>
        </w:tc>
      </w:tr>
      <w:tr w:rsidR="001002C3" w:rsidRPr="005E779E" w14:paraId="4DAEC7B2" w14:textId="77777777">
        <w:tc>
          <w:tcPr>
            <w:tcW w:w="3024" w:type="dxa"/>
          </w:tcPr>
          <w:p w14:paraId="7CDE057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w:t>
            </w:r>
          </w:p>
        </w:tc>
        <w:tc>
          <w:tcPr>
            <w:tcW w:w="7574" w:type="dxa"/>
          </w:tcPr>
          <w:p w14:paraId="6C85377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6E64CCA" w14:textId="77777777">
        <w:tc>
          <w:tcPr>
            <w:tcW w:w="3024" w:type="dxa"/>
          </w:tcPr>
          <w:p w14:paraId="452FD94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предъявления на гос. испытания</w:t>
            </w:r>
          </w:p>
        </w:tc>
        <w:tc>
          <w:tcPr>
            <w:tcW w:w="7574" w:type="dxa"/>
          </w:tcPr>
          <w:p w14:paraId="57B0061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декабря 1930 года</w:t>
            </w:r>
          </w:p>
        </w:tc>
      </w:tr>
      <w:tr w:rsidR="001002C3" w:rsidRPr="005E779E" w14:paraId="6C2A5DE8" w14:textId="77777777">
        <w:tc>
          <w:tcPr>
            <w:tcW w:w="3024" w:type="dxa"/>
          </w:tcPr>
          <w:p w14:paraId="1C1CB03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 октября 1931 года</w:t>
            </w:r>
          </w:p>
        </w:tc>
        <w:tc>
          <w:tcPr>
            <w:tcW w:w="7574" w:type="dxa"/>
          </w:tcPr>
          <w:p w14:paraId="13A0BE6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Согласно приказания начальника ВАО самолет ТШ2-М27 должен быть передан на гос. испытания 10 октября 1931 года.</w:t>
            </w:r>
          </w:p>
          <w:p w14:paraId="18B4D3B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Наблюдающий инженер Полехин.</w:t>
            </w:r>
          </w:p>
        </w:tc>
      </w:tr>
      <w:tr w:rsidR="001002C3" w:rsidRPr="005E779E" w14:paraId="46724A1B" w14:textId="77777777">
        <w:tc>
          <w:tcPr>
            <w:tcW w:w="3024" w:type="dxa"/>
          </w:tcPr>
          <w:p w14:paraId="30616BF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574" w:type="dxa"/>
          </w:tcPr>
          <w:p w14:paraId="2478B98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И12-2ЮVI</w:t>
            </w:r>
          </w:p>
        </w:tc>
      </w:tr>
      <w:tr w:rsidR="001002C3" w:rsidRPr="005E779E" w14:paraId="074C2DA0" w14:textId="77777777">
        <w:tc>
          <w:tcPr>
            <w:tcW w:w="3024" w:type="dxa"/>
          </w:tcPr>
          <w:p w14:paraId="2991D46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горизонтальная скорость/на высоте</w:t>
            </w:r>
          </w:p>
        </w:tc>
        <w:tc>
          <w:tcPr>
            <w:tcW w:w="7574" w:type="dxa"/>
          </w:tcPr>
          <w:p w14:paraId="5A8DA6F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300/5000</w:t>
            </w:r>
          </w:p>
        </w:tc>
      </w:tr>
      <w:tr w:rsidR="001002C3" w:rsidRPr="005E779E" w14:paraId="54AC1FC7" w14:textId="77777777">
        <w:tc>
          <w:tcPr>
            <w:tcW w:w="3024" w:type="dxa"/>
          </w:tcPr>
          <w:p w14:paraId="107F145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Скороподъемность/на высоту</w:t>
            </w:r>
          </w:p>
        </w:tc>
        <w:tc>
          <w:tcPr>
            <w:tcW w:w="7574" w:type="dxa"/>
          </w:tcPr>
          <w:p w14:paraId="763B1BF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10/5000</w:t>
            </w:r>
          </w:p>
        </w:tc>
      </w:tr>
      <w:tr w:rsidR="001002C3" w:rsidRPr="005E779E" w14:paraId="4393FD74" w14:textId="77777777">
        <w:tc>
          <w:tcPr>
            <w:tcW w:w="3024" w:type="dxa"/>
          </w:tcPr>
          <w:p w14:paraId="6A4C01B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Потолок</w:t>
            </w:r>
          </w:p>
        </w:tc>
        <w:tc>
          <w:tcPr>
            <w:tcW w:w="7574" w:type="dxa"/>
          </w:tcPr>
          <w:p w14:paraId="00EA9CF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1002C3" w:rsidRPr="005E779E" w14:paraId="5929EC7E" w14:textId="77777777">
        <w:tc>
          <w:tcPr>
            <w:tcW w:w="3024" w:type="dxa"/>
          </w:tcPr>
          <w:p w14:paraId="1F6F298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7574" w:type="dxa"/>
          </w:tcPr>
          <w:p w14:paraId="0699E66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пушки ДРП</w:t>
            </w:r>
          </w:p>
        </w:tc>
      </w:tr>
      <w:tr w:rsidR="001002C3" w:rsidRPr="005E779E" w14:paraId="2A822E20" w14:textId="77777777">
        <w:tc>
          <w:tcPr>
            <w:tcW w:w="3024" w:type="dxa"/>
          </w:tcPr>
          <w:p w14:paraId="3862722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w:t>
            </w:r>
          </w:p>
        </w:tc>
        <w:tc>
          <w:tcPr>
            <w:tcW w:w="7574" w:type="dxa"/>
          </w:tcPr>
          <w:p w14:paraId="33C1BD2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1002C3" w:rsidRPr="005E779E" w14:paraId="64E8E92E" w14:textId="77777777">
        <w:tc>
          <w:tcPr>
            <w:tcW w:w="3024" w:type="dxa"/>
          </w:tcPr>
          <w:p w14:paraId="5F305AD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предъявления на гос. испытания</w:t>
            </w:r>
          </w:p>
        </w:tc>
        <w:tc>
          <w:tcPr>
            <w:tcW w:w="7574" w:type="dxa"/>
          </w:tcPr>
          <w:p w14:paraId="5D1AB6E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июля 1931 года</w:t>
            </w:r>
          </w:p>
        </w:tc>
      </w:tr>
      <w:tr w:rsidR="001002C3" w:rsidRPr="005E779E" w14:paraId="4209A5A2" w14:textId="77777777">
        <w:tc>
          <w:tcPr>
            <w:tcW w:w="3024" w:type="dxa"/>
          </w:tcPr>
          <w:p w14:paraId="56467B4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 октября 1931 года</w:t>
            </w:r>
          </w:p>
        </w:tc>
        <w:tc>
          <w:tcPr>
            <w:tcW w:w="7574" w:type="dxa"/>
          </w:tcPr>
          <w:p w14:paraId="68F520E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проходит заводские испытания, показавшие необходимость переделки вертикального оперения, костылей и замену заднего винта. Первые две работы уже произведены в результате чего уменьшилось наблюдавшееся стремление к заворотам на земле после посадки и неуправляемости на земле при рулежке. Ведется подбор наивыгоднейшего заднего винта. Устраняется ряд мелких дефектов, выявившихся после полетов.</w:t>
            </w:r>
          </w:p>
          <w:p w14:paraId="1EFBEEE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Наблюдающий инженер Межак.</w:t>
            </w:r>
          </w:p>
        </w:tc>
      </w:tr>
      <w:tr w:rsidR="001002C3" w:rsidRPr="005E779E" w14:paraId="468841FA" w14:textId="77777777">
        <w:tc>
          <w:tcPr>
            <w:tcW w:w="3024" w:type="dxa"/>
          </w:tcPr>
          <w:p w14:paraId="0723FFC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574" w:type="dxa"/>
          </w:tcPr>
          <w:p w14:paraId="0B1883E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И11-М41 (электр.)</w:t>
            </w:r>
          </w:p>
        </w:tc>
      </w:tr>
      <w:tr w:rsidR="001002C3" w:rsidRPr="005E779E" w14:paraId="5693DB3A" w14:textId="77777777">
        <w:tc>
          <w:tcPr>
            <w:tcW w:w="3024" w:type="dxa"/>
          </w:tcPr>
          <w:p w14:paraId="7457FB9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 октября 1931 года</w:t>
            </w:r>
          </w:p>
        </w:tc>
        <w:tc>
          <w:tcPr>
            <w:tcW w:w="7574" w:type="dxa"/>
          </w:tcPr>
          <w:p w14:paraId="6E5BE60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Требования не установлены. Работы не ведутся.</w:t>
            </w:r>
          </w:p>
        </w:tc>
      </w:tr>
      <w:tr w:rsidR="001002C3" w:rsidRPr="005E779E" w14:paraId="1FBC1CF4" w14:textId="77777777">
        <w:tc>
          <w:tcPr>
            <w:tcW w:w="3024" w:type="dxa"/>
          </w:tcPr>
          <w:p w14:paraId="014E2DB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574" w:type="dxa"/>
          </w:tcPr>
          <w:p w14:paraId="2F3BAF2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Р5-М17</w:t>
            </w:r>
          </w:p>
        </w:tc>
      </w:tr>
      <w:tr w:rsidR="001002C3" w:rsidRPr="005E779E" w14:paraId="7BBC8B3A" w14:textId="77777777">
        <w:tc>
          <w:tcPr>
            <w:tcW w:w="3024" w:type="dxa"/>
          </w:tcPr>
          <w:p w14:paraId="0EAF863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предъявления на гос. испытания</w:t>
            </w:r>
          </w:p>
        </w:tc>
        <w:tc>
          <w:tcPr>
            <w:tcW w:w="7574" w:type="dxa"/>
          </w:tcPr>
          <w:p w14:paraId="7EBB8A7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декабря 1930 года</w:t>
            </w:r>
          </w:p>
        </w:tc>
      </w:tr>
      <w:tr w:rsidR="001002C3" w:rsidRPr="005E779E" w14:paraId="206F4052" w14:textId="77777777">
        <w:tc>
          <w:tcPr>
            <w:tcW w:w="3024" w:type="dxa"/>
          </w:tcPr>
          <w:p w14:paraId="0B361FF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 октября 1931 года</w:t>
            </w:r>
          </w:p>
        </w:tc>
        <w:tc>
          <w:tcPr>
            <w:tcW w:w="7574" w:type="dxa"/>
          </w:tcPr>
          <w:p w14:paraId="36741B5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Установка мотора М-19:</w:t>
            </w:r>
          </w:p>
          <w:p w14:paraId="1F4AD58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Ввиду решения не строить серийно мотор М19 работа прекращена.</w:t>
            </w:r>
          </w:p>
          <w:p w14:paraId="14EEFAA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Установка разрезных крыльев:</w:t>
            </w:r>
          </w:p>
          <w:p w14:paraId="2F12CB9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ОКБ предполагает передать самолет Р5-М17 на испытания во второй половине октября 1931 года.</w:t>
            </w:r>
          </w:p>
          <w:p w14:paraId="7F19EB9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Наблюдающий инженер Жемчужин.</w:t>
            </w:r>
          </w:p>
        </w:tc>
      </w:tr>
      <w:tr w:rsidR="001002C3" w:rsidRPr="005E779E" w14:paraId="40F03D04" w14:textId="77777777">
        <w:tc>
          <w:tcPr>
            <w:tcW w:w="3024" w:type="dxa"/>
          </w:tcPr>
          <w:p w14:paraId="67033C1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Наименование самолета</w:t>
            </w:r>
          </w:p>
        </w:tc>
        <w:tc>
          <w:tcPr>
            <w:tcW w:w="7574" w:type="dxa"/>
          </w:tcPr>
          <w:p w14:paraId="02242D7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И5-ЮVI</w:t>
            </w:r>
          </w:p>
        </w:tc>
      </w:tr>
      <w:tr w:rsidR="001002C3" w:rsidRPr="005E779E" w14:paraId="16A58F78" w14:textId="77777777">
        <w:tc>
          <w:tcPr>
            <w:tcW w:w="3024" w:type="dxa"/>
          </w:tcPr>
          <w:p w14:paraId="5B618AA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горизонтальная скорость/на высоте</w:t>
            </w:r>
          </w:p>
        </w:tc>
        <w:tc>
          <w:tcPr>
            <w:tcW w:w="7574" w:type="dxa"/>
          </w:tcPr>
          <w:p w14:paraId="4812505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262,5/0 (серийный самолет).</w:t>
            </w:r>
          </w:p>
          <w:p w14:paraId="019FE6C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643DD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245/5000</w:t>
            </w:r>
          </w:p>
        </w:tc>
      </w:tr>
      <w:tr w:rsidR="001002C3" w:rsidRPr="005E779E" w14:paraId="17CDF41A" w14:textId="77777777">
        <w:tc>
          <w:tcPr>
            <w:tcW w:w="3024" w:type="dxa"/>
          </w:tcPr>
          <w:p w14:paraId="687DA15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Скороподъемность/на высоту</w:t>
            </w:r>
          </w:p>
        </w:tc>
        <w:tc>
          <w:tcPr>
            <w:tcW w:w="7574" w:type="dxa"/>
          </w:tcPr>
          <w:p w14:paraId="36A29F8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9,6-9,8/5000 (серийный самолет)</w:t>
            </w:r>
          </w:p>
        </w:tc>
      </w:tr>
      <w:tr w:rsidR="001002C3" w:rsidRPr="005E779E" w14:paraId="42ED9A9B" w14:textId="77777777">
        <w:tc>
          <w:tcPr>
            <w:tcW w:w="3024" w:type="dxa"/>
          </w:tcPr>
          <w:p w14:paraId="531A53E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Потолок</w:t>
            </w:r>
          </w:p>
        </w:tc>
        <w:tc>
          <w:tcPr>
            <w:tcW w:w="7574" w:type="dxa"/>
          </w:tcPr>
          <w:p w14:paraId="341273B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8120 (серийный самолет)</w:t>
            </w:r>
          </w:p>
        </w:tc>
      </w:tr>
      <w:tr w:rsidR="001002C3" w:rsidRPr="005E779E" w14:paraId="386DE7C4" w14:textId="77777777">
        <w:tc>
          <w:tcPr>
            <w:tcW w:w="3024" w:type="dxa"/>
          </w:tcPr>
          <w:p w14:paraId="3050FA7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7574" w:type="dxa"/>
          </w:tcPr>
          <w:p w14:paraId="2DA545A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 пулемета</w:t>
            </w:r>
          </w:p>
        </w:tc>
      </w:tr>
      <w:tr w:rsidR="001002C3" w:rsidRPr="005E779E" w14:paraId="4E65C8DB" w14:textId="77777777">
        <w:tc>
          <w:tcPr>
            <w:tcW w:w="3024" w:type="dxa"/>
          </w:tcPr>
          <w:p w14:paraId="6B612AB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w:t>
            </w:r>
          </w:p>
        </w:tc>
        <w:tc>
          <w:tcPr>
            <w:tcW w:w="7574" w:type="dxa"/>
          </w:tcPr>
          <w:p w14:paraId="09B0602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w:t>
            </w:r>
          </w:p>
        </w:tc>
      </w:tr>
      <w:tr w:rsidR="001002C3" w:rsidRPr="005E779E" w14:paraId="1615FA11" w14:textId="77777777">
        <w:tc>
          <w:tcPr>
            <w:tcW w:w="3024" w:type="dxa"/>
          </w:tcPr>
          <w:p w14:paraId="31D749B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предъявления на гос. испытания</w:t>
            </w:r>
          </w:p>
        </w:tc>
        <w:tc>
          <w:tcPr>
            <w:tcW w:w="7574" w:type="dxa"/>
          </w:tcPr>
          <w:p w14:paraId="2B34726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квартал 1931 года</w:t>
            </w:r>
          </w:p>
        </w:tc>
      </w:tr>
      <w:tr w:rsidR="001002C3" w:rsidRPr="005E779E" w14:paraId="566D05B6" w14:textId="77777777">
        <w:tc>
          <w:tcPr>
            <w:tcW w:w="3024" w:type="dxa"/>
          </w:tcPr>
          <w:p w14:paraId="6427226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 октября 1931 года</w:t>
            </w:r>
          </w:p>
        </w:tc>
        <w:tc>
          <w:tcPr>
            <w:tcW w:w="7574" w:type="dxa"/>
          </w:tcPr>
          <w:p w14:paraId="4C60E85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Установка мотора М-15:</w:t>
            </w:r>
          </w:p>
          <w:p w14:paraId="3CBF5B8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 настоящего времени, несмотря на то что намечается серийная постройка самолетов И5-М15 опытный самолет, могущий быть образцом для серии на испытание не предъявлен. Ряд назначавшихся сроков пропущены.</w:t>
            </w:r>
          </w:p>
          <w:p w14:paraId="1426394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Улучшение штопора:</w:t>
            </w:r>
          </w:p>
          <w:p w14:paraId="19705BB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Проведенные испытания самолета с утоненными консолями крыльев не дали улучшения штопора, параллельно как этими испытаниями, так и испытаниями проведенными на специально оборудованном самолете выяснено, что при нормальном вводе самолета в штопор (без перекрещивания рулей) больших запаздываний в выходе из штопора не наблюдается.</w:t>
            </w:r>
          </w:p>
          <w:p w14:paraId="067A7BA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Перед ОКБ поставлен вопрос о снабжении в качестве опыта самолета И5-ЮVI стойками поворачивающимися в полете.</w:t>
            </w:r>
          </w:p>
          <w:p w14:paraId="23E6942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И5-ЮVII</w:t>
            </w:r>
          </w:p>
          <w:p w14:paraId="5FCE77E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Испытания самолета И5 с высотным мотором ЮVII показали полную выгодность применения на самолете этого мотора, так как при неизменной скороподъемности на 5000 м скорость И5-ЮVII на этой высоте равна 273 км/час против 245 км/час у самолета с мотором ЮVI, потолок 9900 м против 8200 м.</w:t>
            </w:r>
          </w:p>
          <w:p w14:paraId="0ED9D92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Наблюдающий инженер Петров.</w:t>
            </w:r>
          </w:p>
        </w:tc>
      </w:tr>
      <w:tr w:rsidR="001002C3" w:rsidRPr="005E779E" w14:paraId="77813584" w14:textId="77777777">
        <w:tc>
          <w:tcPr>
            <w:tcW w:w="3024" w:type="dxa"/>
          </w:tcPr>
          <w:p w14:paraId="2F80EEB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574" w:type="dxa"/>
          </w:tcPr>
          <w:p w14:paraId="00527C8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ТБ3-4М17</w:t>
            </w:r>
          </w:p>
        </w:tc>
      </w:tr>
      <w:tr w:rsidR="001002C3" w:rsidRPr="005E779E" w14:paraId="0A6103CD" w14:textId="77777777">
        <w:tc>
          <w:tcPr>
            <w:tcW w:w="3024" w:type="dxa"/>
          </w:tcPr>
          <w:p w14:paraId="32EEF24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горизонтальная скорость/на высоте</w:t>
            </w:r>
          </w:p>
        </w:tc>
        <w:tc>
          <w:tcPr>
            <w:tcW w:w="7574" w:type="dxa"/>
          </w:tcPr>
          <w:p w14:paraId="13D26B0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210/220</w:t>
            </w:r>
          </w:p>
        </w:tc>
      </w:tr>
      <w:tr w:rsidR="001002C3" w:rsidRPr="005E779E" w14:paraId="275C9F6C" w14:textId="77777777">
        <w:tc>
          <w:tcPr>
            <w:tcW w:w="3024" w:type="dxa"/>
          </w:tcPr>
          <w:p w14:paraId="46DB868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Скороподъемность/на высоту</w:t>
            </w:r>
          </w:p>
        </w:tc>
        <w:tc>
          <w:tcPr>
            <w:tcW w:w="7574" w:type="dxa"/>
          </w:tcPr>
          <w:p w14:paraId="6EC56FB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22-25/3000</w:t>
            </w:r>
          </w:p>
        </w:tc>
      </w:tr>
      <w:tr w:rsidR="001002C3" w:rsidRPr="005E779E" w14:paraId="605B995E" w14:textId="77777777">
        <w:tc>
          <w:tcPr>
            <w:tcW w:w="3024" w:type="dxa"/>
          </w:tcPr>
          <w:p w14:paraId="275CAC2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Потолок</w:t>
            </w:r>
          </w:p>
        </w:tc>
        <w:tc>
          <w:tcPr>
            <w:tcW w:w="7574" w:type="dxa"/>
          </w:tcPr>
          <w:p w14:paraId="29453DA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309A44D" w14:textId="77777777">
        <w:tc>
          <w:tcPr>
            <w:tcW w:w="3024" w:type="dxa"/>
          </w:tcPr>
          <w:p w14:paraId="3517999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7574" w:type="dxa"/>
          </w:tcPr>
          <w:p w14:paraId="656C2C0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6-11 пулеметов</w:t>
            </w:r>
          </w:p>
          <w:p w14:paraId="01E1807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2000-4000 кг</w:t>
            </w:r>
          </w:p>
        </w:tc>
      </w:tr>
      <w:tr w:rsidR="001002C3" w:rsidRPr="005E779E" w14:paraId="655A77B9" w14:textId="77777777">
        <w:tc>
          <w:tcPr>
            <w:tcW w:w="3024" w:type="dxa"/>
          </w:tcPr>
          <w:p w14:paraId="63F106B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w:t>
            </w:r>
          </w:p>
        </w:tc>
        <w:tc>
          <w:tcPr>
            <w:tcW w:w="7574" w:type="dxa"/>
          </w:tcPr>
          <w:p w14:paraId="309BD58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32E693B" w14:textId="77777777">
        <w:tc>
          <w:tcPr>
            <w:tcW w:w="3024" w:type="dxa"/>
          </w:tcPr>
          <w:p w14:paraId="5AAFE77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предъявления на гос. испытания</w:t>
            </w:r>
          </w:p>
        </w:tc>
        <w:tc>
          <w:tcPr>
            <w:tcW w:w="7574" w:type="dxa"/>
          </w:tcPr>
          <w:p w14:paraId="294EE83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октября 1930 года</w:t>
            </w:r>
          </w:p>
        </w:tc>
      </w:tr>
      <w:tr w:rsidR="001002C3" w:rsidRPr="005E779E" w14:paraId="25A5C783" w14:textId="77777777">
        <w:tc>
          <w:tcPr>
            <w:tcW w:w="3024" w:type="dxa"/>
          </w:tcPr>
          <w:p w14:paraId="3687D69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 октября 1931 года</w:t>
            </w:r>
          </w:p>
        </w:tc>
        <w:tc>
          <w:tcPr>
            <w:tcW w:w="7574" w:type="dxa"/>
          </w:tcPr>
          <w:p w14:paraId="143F8C9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Ввиду недоброкачественности покрышек двухметровых колес английской фирмы Пальмер, самолет полные испытания до настоящего времени пройти не смог. По отдельным полетам, которые удалось провести можно констатировать, что летные данные самолета с моторами БМВVI Е=7,3 немного ниже, чем у ТБ3-4 Кертис Конкверор, оставаясь для самолета столь большого тоннажа все же вполне удовлетворительными (V макс. – 210-220 км/час, Н=4500-4800 м). С целью замены двухметровых колес ОКБ проектирует тележки под спаренные колеса диаметром 1350 мм, которые в сентябре 1931 года выпущены заводом № 1 и при статических испытаниях показали весьма большую прочность (22000 кг). Самолет с тележками вместо двухметровых колес, бомбовым вооружением и устранением ряда мелких дефектов должен быть предъявлен на испытания 10 октября 1931 года.</w:t>
            </w:r>
          </w:p>
          <w:p w14:paraId="65011F6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Установка же подкрыльных башен будет закончена к 20 ноября 1931 года.</w:t>
            </w:r>
          </w:p>
          <w:p w14:paraId="771E5BC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заводе № 22 ведется постройка первой серии самолетов ТБ3-4М17.</w:t>
            </w:r>
          </w:p>
          <w:p w14:paraId="62B3C55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Наблюдающий инженер Вахмистров.</w:t>
            </w:r>
          </w:p>
        </w:tc>
      </w:tr>
      <w:tr w:rsidR="001002C3" w:rsidRPr="005E779E" w14:paraId="33597DD8" w14:textId="77777777">
        <w:tc>
          <w:tcPr>
            <w:tcW w:w="3024" w:type="dxa"/>
          </w:tcPr>
          <w:p w14:paraId="63E3B59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574" w:type="dxa"/>
          </w:tcPr>
          <w:p w14:paraId="31B978B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Р6-2М17</w:t>
            </w:r>
          </w:p>
        </w:tc>
      </w:tr>
      <w:tr w:rsidR="001002C3" w:rsidRPr="005E779E" w14:paraId="47D6A2E4" w14:textId="77777777">
        <w:tc>
          <w:tcPr>
            <w:tcW w:w="3024" w:type="dxa"/>
          </w:tcPr>
          <w:p w14:paraId="0B3D8E2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горизонтальная скорость/на высоте</w:t>
            </w:r>
          </w:p>
        </w:tc>
        <w:tc>
          <w:tcPr>
            <w:tcW w:w="7574" w:type="dxa"/>
          </w:tcPr>
          <w:p w14:paraId="5382467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244/3000</w:t>
            </w:r>
          </w:p>
        </w:tc>
      </w:tr>
      <w:tr w:rsidR="001002C3" w:rsidRPr="005E779E" w14:paraId="544F6717" w14:textId="77777777">
        <w:tc>
          <w:tcPr>
            <w:tcW w:w="3024" w:type="dxa"/>
          </w:tcPr>
          <w:p w14:paraId="1033E63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Скороподъемность/на высоту</w:t>
            </w:r>
          </w:p>
        </w:tc>
        <w:tc>
          <w:tcPr>
            <w:tcW w:w="7574" w:type="dxa"/>
          </w:tcPr>
          <w:p w14:paraId="32146AB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8,09/3000</w:t>
            </w:r>
          </w:p>
        </w:tc>
      </w:tr>
      <w:tr w:rsidR="001002C3" w:rsidRPr="005E779E" w14:paraId="487912DD" w14:textId="77777777">
        <w:tc>
          <w:tcPr>
            <w:tcW w:w="3024" w:type="dxa"/>
          </w:tcPr>
          <w:p w14:paraId="0532D16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Потолок</w:t>
            </w:r>
          </w:p>
        </w:tc>
        <w:tc>
          <w:tcPr>
            <w:tcW w:w="7574" w:type="dxa"/>
          </w:tcPr>
          <w:p w14:paraId="0998DD9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6500</w:t>
            </w:r>
          </w:p>
        </w:tc>
      </w:tr>
      <w:tr w:rsidR="001002C3" w:rsidRPr="005E779E" w14:paraId="1DA3BF8D" w14:textId="77777777">
        <w:tc>
          <w:tcPr>
            <w:tcW w:w="3024" w:type="dxa"/>
          </w:tcPr>
          <w:p w14:paraId="67D5868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7574" w:type="dxa"/>
          </w:tcPr>
          <w:p w14:paraId="05976FA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пулеметов</w:t>
            </w:r>
          </w:p>
        </w:tc>
      </w:tr>
      <w:tr w:rsidR="001002C3" w:rsidRPr="005E779E" w14:paraId="0AE6581D" w14:textId="77777777">
        <w:tc>
          <w:tcPr>
            <w:tcW w:w="3024" w:type="dxa"/>
          </w:tcPr>
          <w:p w14:paraId="2DF8423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w:t>
            </w:r>
          </w:p>
        </w:tc>
        <w:tc>
          <w:tcPr>
            <w:tcW w:w="7574" w:type="dxa"/>
          </w:tcPr>
          <w:p w14:paraId="28100D9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BA590A0" w14:textId="77777777">
        <w:tc>
          <w:tcPr>
            <w:tcW w:w="3024" w:type="dxa"/>
          </w:tcPr>
          <w:p w14:paraId="41CF067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предъявления на гос. испытания</w:t>
            </w:r>
          </w:p>
        </w:tc>
        <w:tc>
          <w:tcPr>
            <w:tcW w:w="7574" w:type="dxa"/>
          </w:tcPr>
          <w:p w14:paraId="3E38947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388A1A3" w14:textId="77777777">
        <w:tc>
          <w:tcPr>
            <w:tcW w:w="3024" w:type="dxa"/>
          </w:tcPr>
          <w:p w14:paraId="39A9FE5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 октября 1931 года</w:t>
            </w:r>
          </w:p>
        </w:tc>
        <w:tc>
          <w:tcPr>
            <w:tcW w:w="7574" w:type="dxa"/>
          </w:tcPr>
          <w:p w14:paraId="498F8D5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 настоящего времени завод № 22 не представил на испытания головного самолета серии. Поступает на испытания в первой декаде октября 1931 года.</w:t>
            </w:r>
          </w:p>
          <w:p w14:paraId="232D7FB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Наблюдающий инженер Вахмистров.</w:t>
            </w:r>
          </w:p>
        </w:tc>
      </w:tr>
      <w:tr w:rsidR="001002C3" w:rsidRPr="005E779E" w14:paraId="334B6DD5" w14:textId="77777777">
        <w:tc>
          <w:tcPr>
            <w:tcW w:w="3024" w:type="dxa"/>
          </w:tcPr>
          <w:p w14:paraId="4BADB91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574" w:type="dxa"/>
          </w:tcPr>
          <w:p w14:paraId="62A371A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И8-Кертис Конкверор</w:t>
            </w:r>
          </w:p>
        </w:tc>
      </w:tr>
      <w:tr w:rsidR="001002C3" w:rsidRPr="005E779E" w14:paraId="0E6695B4" w14:textId="77777777">
        <w:tc>
          <w:tcPr>
            <w:tcW w:w="3024" w:type="dxa"/>
          </w:tcPr>
          <w:p w14:paraId="6FC1424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горизонтальная скорость/на высоте</w:t>
            </w:r>
          </w:p>
        </w:tc>
        <w:tc>
          <w:tcPr>
            <w:tcW w:w="7574" w:type="dxa"/>
          </w:tcPr>
          <w:p w14:paraId="64182C4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310/5000</w:t>
            </w:r>
          </w:p>
        </w:tc>
      </w:tr>
      <w:tr w:rsidR="001002C3" w:rsidRPr="005E779E" w14:paraId="1CEE22F4" w14:textId="77777777">
        <w:tc>
          <w:tcPr>
            <w:tcW w:w="3024" w:type="dxa"/>
          </w:tcPr>
          <w:p w14:paraId="1089D6F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Скороподъемность/на высоту</w:t>
            </w:r>
          </w:p>
        </w:tc>
        <w:tc>
          <w:tcPr>
            <w:tcW w:w="7574" w:type="dxa"/>
          </w:tcPr>
          <w:p w14:paraId="13075FA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6-7/5000</w:t>
            </w:r>
          </w:p>
        </w:tc>
      </w:tr>
      <w:tr w:rsidR="001002C3" w:rsidRPr="005E779E" w14:paraId="63583335" w14:textId="77777777">
        <w:tc>
          <w:tcPr>
            <w:tcW w:w="3024" w:type="dxa"/>
          </w:tcPr>
          <w:p w14:paraId="76BF997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Потолок</w:t>
            </w:r>
          </w:p>
        </w:tc>
        <w:tc>
          <w:tcPr>
            <w:tcW w:w="7574" w:type="dxa"/>
          </w:tcPr>
          <w:p w14:paraId="2F6F7E9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8000</w:t>
            </w:r>
          </w:p>
        </w:tc>
      </w:tr>
      <w:tr w:rsidR="001002C3" w:rsidRPr="005E779E" w14:paraId="127F2A95" w14:textId="77777777">
        <w:tc>
          <w:tcPr>
            <w:tcW w:w="3024" w:type="dxa"/>
          </w:tcPr>
          <w:p w14:paraId="49B1559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7574" w:type="dxa"/>
          </w:tcPr>
          <w:p w14:paraId="332E4E5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пулемета</w:t>
            </w:r>
          </w:p>
        </w:tc>
      </w:tr>
      <w:tr w:rsidR="001002C3" w:rsidRPr="005E779E" w14:paraId="7DE4DDD3" w14:textId="77777777">
        <w:tc>
          <w:tcPr>
            <w:tcW w:w="3024" w:type="dxa"/>
          </w:tcPr>
          <w:p w14:paraId="33914F9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w:t>
            </w:r>
          </w:p>
        </w:tc>
        <w:tc>
          <w:tcPr>
            <w:tcW w:w="7574" w:type="dxa"/>
          </w:tcPr>
          <w:p w14:paraId="68A786A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Дальность 1,5-2 часа</w:t>
            </w:r>
          </w:p>
        </w:tc>
      </w:tr>
      <w:tr w:rsidR="001002C3" w:rsidRPr="005E779E" w14:paraId="4F39D604" w14:textId="77777777">
        <w:tc>
          <w:tcPr>
            <w:tcW w:w="3024" w:type="dxa"/>
          </w:tcPr>
          <w:p w14:paraId="501ED3D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предъявления на гос. испытания</w:t>
            </w:r>
          </w:p>
        </w:tc>
        <w:tc>
          <w:tcPr>
            <w:tcW w:w="7574" w:type="dxa"/>
          </w:tcPr>
          <w:p w14:paraId="49B210C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сентября 1930 года</w:t>
            </w:r>
          </w:p>
        </w:tc>
      </w:tr>
      <w:tr w:rsidR="001002C3" w:rsidRPr="005E779E" w14:paraId="355C3378" w14:textId="77777777">
        <w:tc>
          <w:tcPr>
            <w:tcW w:w="3024" w:type="dxa"/>
          </w:tcPr>
          <w:p w14:paraId="78D434B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 октября 1931 года</w:t>
            </w:r>
          </w:p>
        </w:tc>
        <w:tc>
          <w:tcPr>
            <w:tcW w:w="7574" w:type="dxa"/>
          </w:tcPr>
          <w:p w14:paraId="7FF815F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Пропустив все сроки ОКБ до настоящего времени не предъявило самолет на испытания. Темпы устранения дефектов недопустимо медленные.</w:t>
            </w:r>
          </w:p>
          <w:p w14:paraId="6B6FA6B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Наблюдающий инженер Гребенев.</w:t>
            </w:r>
          </w:p>
        </w:tc>
      </w:tr>
      <w:tr w:rsidR="001002C3" w:rsidRPr="005E779E" w14:paraId="4FDD09C5" w14:textId="77777777">
        <w:tc>
          <w:tcPr>
            <w:tcW w:w="3024" w:type="dxa"/>
          </w:tcPr>
          <w:p w14:paraId="2D2F4CD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574" w:type="dxa"/>
          </w:tcPr>
          <w:p w14:paraId="0AA3FAE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И7-БМВVI Е=7,3</w:t>
            </w:r>
          </w:p>
        </w:tc>
      </w:tr>
      <w:tr w:rsidR="001002C3" w:rsidRPr="005E779E" w14:paraId="2971AF4E" w14:textId="77777777">
        <w:tc>
          <w:tcPr>
            <w:tcW w:w="3024" w:type="dxa"/>
          </w:tcPr>
          <w:p w14:paraId="6DCC979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горизонтальная скорость/на высоте</w:t>
            </w:r>
          </w:p>
        </w:tc>
        <w:tc>
          <w:tcPr>
            <w:tcW w:w="7574" w:type="dxa"/>
          </w:tcPr>
          <w:p w14:paraId="5CE0719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277/5000</w:t>
            </w:r>
          </w:p>
        </w:tc>
      </w:tr>
      <w:tr w:rsidR="001002C3" w:rsidRPr="005E779E" w14:paraId="1A3A287D" w14:textId="77777777">
        <w:tc>
          <w:tcPr>
            <w:tcW w:w="3024" w:type="dxa"/>
          </w:tcPr>
          <w:p w14:paraId="095EFED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Скороподъемность/на высоту</w:t>
            </w:r>
          </w:p>
        </w:tc>
        <w:tc>
          <w:tcPr>
            <w:tcW w:w="7574" w:type="dxa"/>
          </w:tcPr>
          <w:p w14:paraId="1C62ED6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10,5/5000</w:t>
            </w:r>
          </w:p>
        </w:tc>
      </w:tr>
      <w:tr w:rsidR="001002C3" w:rsidRPr="005E779E" w14:paraId="1BA52A8F" w14:textId="77777777">
        <w:tc>
          <w:tcPr>
            <w:tcW w:w="3024" w:type="dxa"/>
          </w:tcPr>
          <w:p w14:paraId="4430135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Потолок</w:t>
            </w:r>
          </w:p>
        </w:tc>
        <w:tc>
          <w:tcPr>
            <w:tcW w:w="7574" w:type="dxa"/>
          </w:tcPr>
          <w:p w14:paraId="036382F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8000</w:t>
            </w:r>
          </w:p>
        </w:tc>
      </w:tr>
      <w:tr w:rsidR="001002C3" w:rsidRPr="005E779E" w14:paraId="2027899B" w14:textId="77777777">
        <w:tc>
          <w:tcPr>
            <w:tcW w:w="3024" w:type="dxa"/>
          </w:tcPr>
          <w:p w14:paraId="2A5E731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7574" w:type="dxa"/>
          </w:tcPr>
          <w:p w14:paraId="0471E33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пулемета</w:t>
            </w:r>
          </w:p>
        </w:tc>
      </w:tr>
      <w:tr w:rsidR="001002C3" w:rsidRPr="005E779E" w14:paraId="4454AC5C" w14:textId="77777777">
        <w:tc>
          <w:tcPr>
            <w:tcW w:w="3024" w:type="dxa"/>
          </w:tcPr>
          <w:p w14:paraId="27D6CF1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w:t>
            </w:r>
          </w:p>
        </w:tc>
        <w:tc>
          <w:tcPr>
            <w:tcW w:w="7574" w:type="dxa"/>
          </w:tcPr>
          <w:p w14:paraId="76D429C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D4E49C3" w14:textId="77777777">
        <w:tc>
          <w:tcPr>
            <w:tcW w:w="3024" w:type="dxa"/>
          </w:tcPr>
          <w:p w14:paraId="7F652E3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предъявления на гос. испытания</w:t>
            </w:r>
          </w:p>
        </w:tc>
        <w:tc>
          <w:tcPr>
            <w:tcW w:w="7574" w:type="dxa"/>
          </w:tcPr>
          <w:p w14:paraId="67AC052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90BFD6F" w14:textId="77777777">
        <w:tc>
          <w:tcPr>
            <w:tcW w:w="3024" w:type="dxa"/>
          </w:tcPr>
          <w:p w14:paraId="4F70983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 октября 1931 года</w:t>
            </w:r>
          </w:p>
        </w:tc>
        <w:tc>
          <w:tcPr>
            <w:tcW w:w="7574" w:type="dxa"/>
          </w:tcPr>
          <w:p w14:paraId="2D8BDEF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Проведенные (за исключением стрельб) гос. испытания головного самолета серии постройки завода № 1 показали, что самолет имеет данные ниже, чем у Хейнкеля НД-37, последнее объясняется перетяжелением в процессе постройки (на 60 кг) и неудовлетворительной работой мотора при пользовании высотным газом. Самолет И7-БМВVI Е=7,3 превосходит И5-ЮVI горизонтальными скоростями и уступает ему в отношении скороподъемности и маневренности.</w:t>
            </w:r>
          </w:p>
          <w:p w14:paraId="69F5FFB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Начальником ВВС принято решение постройки небольшой серии И7-М17 для вооружения нескольких частей ВВС. Серия в 80 самолетов строится на заводе № 1.</w:t>
            </w:r>
          </w:p>
          <w:p w14:paraId="1D60536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И7-М17 позволяет легкую модификацию в И7-М34, что несомненно значительно улучшит его летные качества.</w:t>
            </w:r>
          </w:p>
          <w:p w14:paraId="136D095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Наблюдающий инженер Гребенев.</w:t>
            </w:r>
          </w:p>
        </w:tc>
      </w:tr>
      <w:tr w:rsidR="001002C3" w:rsidRPr="005E779E" w14:paraId="5BDD4170" w14:textId="77777777">
        <w:tc>
          <w:tcPr>
            <w:tcW w:w="3024" w:type="dxa"/>
          </w:tcPr>
          <w:p w14:paraId="3C06795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Наименование самолета</w:t>
            </w:r>
          </w:p>
        </w:tc>
        <w:tc>
          <w:tcPr>
            <w:tcW w:w="7574" w:type="dxa"/>
          </w:tcPr>
          <w:p w14:paraId="5F690B2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ТБ1-2М17 (для химических целей)</w:t>
            </w:r>
          </w:p>
        </w:tc>
      </w:tr>
      <w:tr w:rsidR="001002C3" w:rsidRPr="005E779E" w14:paraId="2192C2B9" w14:textId="77777777">
        <w:tc>
          <w:tcPr>
            <w:tcW w:w="3024" w:type="dxa"/>
          </w:tcPr>
          <w:p w14:paraId="52244BF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 октября 1931 года</w:t>
            </w:r>
          </w:p>
        </w:tc>
        <w:tc>
          <w:tcPr>
            <w:tcW w:w="7574" w:type="dxa"/>
          </w:tcPr>
          <w:p w14:paraId="55831A3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Требования не установлены. Ведутся испытания аппаратуры.</w:t>
            </w:r>
          </w:p>
        </w:tc>
      </w:tr>
      <w:tr w:rsidR="001002C3" w:rsidRPr="005E779E" w14:paraId="6EA34B74" w14:textId="77777777">
        <w:tc>
          <w:tcPr>
            <w:tcW w:w="3024" w:type="dxa"/>
          </w:tcPr>
          <w:p w14:paraId="1644F2E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574" w:type="dxa"/>
          </w:tcPr>
          <w:p w14:paraId="6E27242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Горелова под мотор Вальтер</w:t>
            </w:r>
          </w:p>
        </w:tc>
      </w:tr>
      <w:tr w:rsidR="001002C3" w:rsidRPr="005E779E" w14:paraId="6D638266" w14:textId="77777777">
        <w:tc>
          <w:tcPr>
            <w:tcW w:w="3024" w:type="dxa"/>
          </w:tcPr>
          <w:p w14:paraId="0992861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 октября 1931 года</w:t>
            </w:r>
          </w:p>
        </w:tc>
        <w:tc>
          <w:tcPr>
            <w:tcW w:w="7574" w:type="dxa"/>
          </w:tcPr>
          <w:p w14:paraId="552E2DC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Требования не установлены.</w:t>
            </w:r>
          </w:p>
          <w:p w14:paraId="679F82A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Ссылаясь на некомпетентность Бюро особых конструкций, ЦАГИ к работам по самолетам и парабола еще не приступил.</w:t>
            </w:r>
          </w:p>
        </w:tc>
      </w:tr>
      <w:tr w:rsidR="001002C3" w:rsidRPr="005E779E" w14:paraId="77D95485" w14:textId="77777777">
        <w:tc>
          <w:tcPr>
            <w:tcW w:w="3024" w:type="dxa"/>
          </w:tcPr>
          <w:p w14:paraId="1D8E856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574" w:type="dxa"/>
          </w:tcPr>
          <w:p w14:paraId="7FA1A8E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«Парабола» М11</w:t>
            </w:r>
          </w:p>
        </w:tc>
      </w:tr>
      <w:tr w:rsidR="001002C3" w:rsidRPr="005E779E" w14:paraId="6BB1390B" w14:textId="77777777">
        <w:tc>
          <w:tcPr>
            <w:tcW w:w="3024" w:type="dxa"/>
          </w:tcPr>
          <w:p w14:paraId="678C71E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 октября 1931 года</w:t>
            </w:r>
          </w:p>
        </w:tc>
        <w:tc>
          <w:tcPr>
            <w:tcW w:w="7574" w:type="dxa"/>
          </w:tcPr>
          <w:p w14:paraId="11FB2B1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Требования не установлены.</w:t>
            </w:r>
          </w:p>
        </w:tc>
      </w:tr>
      <w:tr w:rsidR="001002C3" w:rsidRPr="005E779E" w14:paraId="3D53461F" w14:textId="77777777">
        <w:tc>
          <w:tcPr>
            <w:tcW w:w="3024" w:type="dxa"/>
          </w:tcPr>
          <w:p w14:paraId="08E6487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574" w:type="dxa"/>
          </w:tcPr>
          <w:p w14:paraId="0576E59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И4-ЮVI моноплан</w:t>
            </w:r>
          </w:p>
        </w:tc>
      </w:tr>
      <w:tr w:rsidR="001002C3" w:rsidRPr="005E779E" w14:paraId="1D4046F8" w14:textId="77777777">
        <w:tc>
          <w:tcPr>
            <w:tcW w:w="3024" w:type="dxa"/>
          </w:tcPr>
          <w:p w14:paraId="3EB5F2C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 октября 1931 года</w:t>
            </w:r>
          </w:p>
        </w:tc>
        <w:tc>
          <w:tcPr>
            <w:tcW w:w="7574" w:type="dxa"/>
          </w:tcPr>
          <w:p w14:paraId="6530464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Требования не установлены.</w:t>
            </w:r>
          </w:p>
          <w:p w14:paraId="080557F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Испытания самолета, снабженного предкрылками на концах крыльев, закончены. Летные данные самолета в отношении скорости улучшились на 10-15 км/час, скороподъемность осталась неизменной, маневренность ухудшилась. Омонопланивание самолета значительно понизило прочность его крыльев, почему переделка построенных самолетов не является рациональной. Применение разрезных крыльев в виде одних предкрылков улучшило устойчивость самолета на малых скоростях, но не понизило его посадочной скорости.</w:t>
            </w:r>
          </w:p>
          <w:p w14:paraId="500CFC8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Наблюдающий инженер Петров.</w:t>
            </w:r>
          </w:p>
        </w:tc>
      </w:tr>
      <w:tr w:rsidR="001002C3" w:rsidRPr="005E779E" w14:paraId="22AEFCB2" w14:textId="77777777">
        <w:tc>
          <w:tcPr>
            <w:tcW w:w="3024" w:type="dxa"/>
          </w:tcPr>
          <w:p w14:paraId="45EF6AF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574" w:type="dxa"/>
          </w:tcPr>
          <w:p w14:paraId="0CE75B8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1-ВГ Геликоптер</w:t>
            </w:r>
          </w:p>
        </w:tc>
      </w:tr>
      <w:tr w:rsidR="001002C3" w:rsidRPr="005E779E" w14:paraId="748B7529" w14:textId="77777777">
        <w:tc>
          <w:tcPr>
            <w:tcW w:w="3024" w:type="dxa"/>
          </w:tcPr>
          <w:p w14:paraId="2E210A6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 октября 1931 года</w:t>
            </w:r>
          </w:p>
        </w:tc>
        <w:tc>
          <w:tcPr>
            <w:tcW w:w="7574" w:type="dxa"/>
          </w:tcPr>
          <w:p w14:paraId="44993E8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Ведется ремонт геликоптера после аварии с изменением конструкции отдельных деталей (лопасти винтов, хвостовая часть фюзеляжа).</w:t>
            </w:r>
          </w:p>
          <w:p w14:paraId="45FFA4F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688A3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Наблюдающий инженер Квитко.</w:t>
            </w:r>
          </w:p>
        </w:tc>
      </w:tr>
      <w:tr w:rsidR="001002C3" w:rsidRPr="005E779E" w14:paraId="0488D70F" w14:textId="77777777">
        <w:tc>
          <w:tcPr>
            <w:tcW w:w="3024" w:type="dxa"/>
          </w:tcPr>
          <w:p w14:paraId="251A989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574" w:type="dxa"/>
          </w:tcPr>
          <w:p w14:paraId="085D761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Вертолет (автожир)</w:t>
            </w:r>
          </w:p>
        </w:tc>
      </w:tr>
      <w:tr w:rsidR="001002C3" w:rsidRPr="005E779E" w14:paraId="672DB7CA" w14:textId="77777777">
        <w:tc>
          <w:tcPr>
            <w:tcW w:w="3024" w:type="dxa"/>
          </w:tcPr>
          <w:p w14:paraId="10AF077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 октября 1931 года</w:t>
            </w:r>
          </w:p>
        </w:tc>
        <w:tc>
          <w:tcPr>
            <w:tcW w:w="7574" w:type="dxa"/>
          </w:tcPr>
          <w:p w14:paraId="25BED9E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Ссылаясь на неукомплектования Бюро особых конструкций, ЦАГИ работы по переделкам построенного автожира с мотором Титан ведет в очень слабом темпе.</w:t>
            </w:r>
          </w:p>
          <w:p w14:paraId="25B9E25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Наблюдающий инженер Кравцов.</w:t>
            </w:r>
          </w:p>
        </w:tc>
      </w:tr>
      <w:tr w:rsidR="001002C3" w:rsidRPr="005E779E" w14:paraId="4764671B" w14:textId="77777777">
        <w:tc>
          <w:tcPr>
            <w:tcW w:w="3024" w:type="dxa"/>
          </w:tcPr>
          <w:p w14:paraId="5FF0AE7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574" w:type="dxa"/>
          </w:tcPr>
          <w:p w14:paraId="2F616B7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ТБ1а-2м17, установленный на поплавки</w:t>
            </w:r>
          </w:p>
        </w:tc>
      </w:tr>
      <w:tr w:rsidR="001002C3" w:rsidRPr="005E779E" w14:paraId="07F52898" w14:textId="77777777">
        <w:tc>
          <w:tcPr>
            <w:tcW w:w="3024" w:type="dxa"/>
          </w:tcPr>
          <w:p w14:paraId="71D45D7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горизонтальная скорость/на высоте</w:t>
            </w:r>
          </w:p>
        </w:tc>
        <w:tc>
          <w:tcPr>
            <w:tcW w:w="7574" w:type="dxa"/>
          </w:tcPr>
          <w:p w14:paraId="7B124BD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186/0</w:t>
            </w:r>
          </w:p>
        </w:tc>
      </w:tr>
      <w:tr w:rsidR="001002C3" w:rsidRPr="005E779E" w14:paraId="6ED9F1C7" w14:textId="77777777">
        <w:tc>
          <w:tcPr>
            <w:tcW w:w="3024" w:type="dxa"/>
          </w:tcPr>
          <w:p w14:paraId="6322F17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Скороподъемность/на высоту</w:t>
            </w:r>
          </w:p>
        </w:tc>
        <w:tc>
          <w:tcPr>
            <w:tcW w:w="7574" w:type="dxa"/>
          </w:tcPr>
          <w:p w14:paraId="4E96161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83,5/3000</w:t>
            </w:r>
          </w:p>
        </w:tc>
      </w:tr>
      <w:tr w:rsidR="001002C3" w:rsidRPr="005E779E" w14:paraId="55E1CF0D" w14:textId="77777777">
        <w:tc>
          <w:tcPr>
            <w:tcW w:w="3024" w:type="dxa"/>
          </w:tcPr>
          <w:p w14:paraId="3A1D4A7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Потолок</w:t>
            </w:r>
          </w:p>
        </w:tc>
        <w:tc>
          <w:tcPr>
            <w:tcW w:w="7574" w:type="dxa"/>
          </w:tcPr>
          <w:p w14:paraId="10BDA14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3520</w:t>
            </w:r>
          </w:p>
        </w:tc>
      </w:tr>
      <w:tr w:rsidR="001002C3" w:rsidRPr="005E779E" w14:paraId="7902DF9B" w14:textId="77777777">
        <w:tc>
          <w:tcPr>
            <w:tcW w:w="3024" w:type="dxa"/>
          </w:tcPr>
          <w:p w14:paraId="52D11BE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7574" w:type="dxa"/>
          </w:tcPr>
          <w:p w14:paraId="3B27981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спаренные установки ДА</w:t>
            </w:r>
          </w:p>
        </w:tc>
      </w:tr>
      <w:tr w:rsidR="001002C3" w:rsidRPr="005E779E" w14:paraId="2F6AD7C5" w14:textId="77777777">
        <w:tc>
          <w:tcPr>
            <w:tcW w:w="3024" w:type="dxa"/>
          </w:tcPr>
          <w:p w14:paraId="7E49260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w:t>
            </w:r>
          </w:p>
        </w:tc>
        <w:tc>
          <w:tcPr>
            <w:tcW w:w="7574" w:type="dxa"/>
          </w:tcPr>
          <w:p w14:paraId="5745E4E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Дальность 1320 км</w:t>
            </w:r>
          </w:p>
        </w:tc>
      </w:tr>
      <w:tr w:rsidR="001002C3" w:rsidRPr="005E779E" w14:paraId="2DE64C82" w14:textId="77777777">
        <w:tc>
          <w:tcPr>
            <w:tcW w:w="3024" w:type="dxa"/>
          </w:tcPr>
          <w:p w14:paraId="30E46B5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предъявления на гос. испытания</w:t>
            </w:r>
          </w:p>
        </w:tc>
        <w:tc>
          <w:tcPr>
            <w:tcW w:w="7574" w:type="dxa"/>
          </w:tcPr>
          <w:p w14:paraId="45F6F37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A5A5D18" w14:textId="77777777">
        <w:tc>
          <w:tcPr>
            <w:tcW w:w="3024" w:type="dxa"/>
          </w:tcPr>
          <w:p w14:paraId="7711E6D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 октября 1931 года</w:t>
            </w:r>
          </w:p>
        </w:tc>
        <w:tc>
          <w:tcPr>
            <w:tcW w:w="7574" w:type="dxa"/>
          </w:tcPr>
          <w:p w14:paraId="04D2FC7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Произведены испытания в Севастополе на поплавках Шорта за исключением мореходных испытаний (буксировки, посадки и взлет с волны, перегружение). Поставлен вопрос о серийном изготовлении 22 пар поплавков в морских шасси. В настоящее время задержка из-за плакированного дюраля. УВВС приняты меры к срочной доставке дюраля на завод № 31 и выпуску головной пары поплавков в 1931 году.</w:t>
            </w:r>
          </w:p>
          <w:p w14:paraId="2D2B1F3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Наблюдающий инженер Кудрявцев.</w:t>
            </w:r>
          </w:p>
        </w:tc>
      </w:tr>
      <w:tr w:rsidR="001002C3" w:rsidRPr="005E779E" w14:paraId="5481FCA3" w14:textId="77777777">
        <w:tc>
          <w:tcPr>
            <w:tcW w:w="3024" w:type="dxa"/>
          </w:tcPr>
          <w:p w14:paraId="27B25E2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574" w:type="dxa"/>
          </w:tcPr>
          <w:p w14:paraId="00D3B2E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Р5-М17 на поплавках</w:t>
            </w:r>
          </w:p>
        </w:tc>
      </w:tr>
      <w:tr w:rsidR="001002C3" w:rsidRPr="005E779E" w14:paraId="7590A761" w14:textId="77777777">
        <w:tc>
          <w:tcPr>
            <w:tcW w:w="3024" w:type="dxa"/>
          </w:tcPr>
          <w:p w14:paraId="19C5DB1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предъявления на гос. испытания</w:t>
            </w:r>
          </w:p>
        </w:tc>
        <w:tc>
          <w:tcPr>
            <w:tcW w:w="7574" w:type="dxa"/>
          </w:tcPr>
          <w:p w14:paraId="56722F6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апреля 1931 года</w:t>
            </w:r>
          </w:p>
        </w:tc>
      </w:tr>
      <w:tr w:rsidR="001002C3" w:rsidRPr="005E779E" w14:paraId="70B051D3" w14:textId="77777777">
        <w:tc>
          <w:tcPr>
            <w:tcW w:w="3024" w:type="dxa"/>
          </w:tcPr>
          <w:p w14:paraId="497219D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 октября 1931 года</w:t>
            </w:r>
          </w:p>
        </w:tc>
        <w:tc>
          <w:tcPr>
            <w:tcW w:w="7574" w:type="dxa"/>
          </w:tcPr>
          <w:p w14:paraId="395632A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запаздывает на гос. испытания на 5-5.% месяцев. Поплавки заводом № 28 изготовлены и направлены заводу № 39. Примерно 15 октября 1931 года самолет будет собран, опробован в воздухе с Москвы-реки и направлен на гос. испытания в Севастополь.</w:t>
            </w:r>
          </w:p>
          <w:p w14:paraId="3AE14F6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Наблюдающий инженер Украинцев.</w:t>
            </w:r>
          </w:p>
        </w:tc>
      </w:tr>
      <w:tr w:rsidR="001002C3" w:rsidRPr="005E779E" w14:paraId="3F848073" w14:textId="77777777">
        <w:tc>
          <w:tcPr>
            <w:tcW w:w="3024" w:type="dxa"/>
          </w:tcPr>
          <w:p w14:paraId="373FEDF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574" w:type="dxa"/>
          </w:tcPr>
          <w:p w14:paraId="2A98B5D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Р6-2М17 на поплавках</w:t>
            </w:r>
          </w:p>
        </w:tc>
      </w:tr>
      <w:tr w:rsidR="001002C3" w:rsidRPr="005E779E" w14:paraId="7225A300" w14:textId="77777777">
        <w:tc>
          <w:tcPr>
            <w:tcW w:w="3024" w:type="dxa"/>
          </w:tcPr>
          <w:p w14:paraId="59408DF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 октября 1931 года</w:t>
            </w:r>
          </w:p>
        </w:tc>
        <w:tc>
          <w:tcPr>
            <w:tcW w:w="7574" w:type="dxa"/>
          </w:tcPr>
          <w:p w14:paraId="1C936D4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Дан заказ ВАО на изготовление трех опытных поплавков и установку самолета на морские шасси. По изготовлении самолет будет испытан в Севастополе. Поднят вопрос о включении в план ВАО 25 штук Р6 на поплавках.</w:t>
            </w:r>
          </w:p>
          <w:p w14:paraId="5ED37B1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Наблюдающий инженер Кудрявцев.</w:t>
            </w:r>
          </w:p>
        </w:tc>
      </w:tr>
      <w:tr w:rsidR="001002C3" w:rsidRPr="005E779E" w14:paraId="758654CA" w14:textId="77777777">
        <w:tc>
          <w:tcPr>
            <w:tcW w:w="3024" w:type="dxa"/>
          </w:tcPr>
          <w:p w14:paraId="28EB370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574" w:type="dxa"/>
          </w:tcPr>
          <w:p w14:paraId="62ABD7E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МДР2-2БМВVI</w:t>
            </w:r>
          </w:p>
        </w:tc>
      </w:tr>
      <w:tr w:rsidR="001002C3" w:rsidRPr="005E779E" w14:paraId="2AD77193" w14:textId="77777777">
        <w:tc>
          <w:tcPr>
            <w:tcW w:w="3024" w:type="dxa"/>
          </w:tcPr>
          <w:p w14:paraId="3D6FB91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горизонтальная скорость/на высоте</w:t>
            </w:r>
          </w:p>
        </w:tc>
        <w:tc>
          <w:tcPr>
            <w:tcW w:w="7574" w:type="dxa"/>
          </w:tcPr>
          <w:p w14:paraId="021CEDB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Ном. 118</w:t>
            </w:r>
          </w:p>
        </w:tc>
      </w:tr>
      <w:tr w:rsidR="001002C3" w:rsidRPr="005E779E" w14:paraId="42098D1F" w14:textId="77777777">
        <w:tc>
          <w:tcPr>
            <w:tcW w:w="3024" w:type="dxa"/>
          </w:tcPr>
          <w:p w14:paraId="262CD8D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Скороподъемность/на высоту</w:t>
            </w:r>
          </w:p>
        </w:tc>
        <w:tc>
          <w:tcPr>
            <w:tcW w:w="7574" w:type="dxa"/>
          </w:tcPr>
          <w:p w14:paraId="21868E3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39,75/3000</w:t>
            </w:r>
          </w:p>
        </w:tc>
      </w:tr>
      <w:tr w:rsidR="001002C3" w:rsidRPr="005E779E" w14:paraId="70B19371" w14:textId="77777777">
        <w:tc>
          <w:tcPr>
            <w:tcW w:w="3024" w:type="dxa"/>
          </w:tcPr>
          <w:p w14:paraId="0377B54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Потолок</w:t>
            </w:r>
          </w:p>
        </w:tc>
        <w:tc>
          <w:tcPr>
            <w:tcW w:w="7574" w:type="dxa"/>
          </w:tcPr>
          <w:p w14:paraId="2271540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3330</w:t>
            </w:r>
          </w:p>
        </w:tc>
      </w:tr>
      <w:tr w:rsidR="001002C3" w:rsidRPr="005E779E" w14:paraId="3D1370B2" w14:textId="77777777">
        <w:tc>
          <w:tcPr>
            <w:tcW w:w="3024" w:type="dxa"/>
          </w:tcPr>
          <w:p w14:paraId="67723C6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7574" w:type="dxa"/>
          </w:tcPr>
          <w:p w14:paraId="24841A0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пулеметов</w:t>
            </w:r>
          </w:p>
          <w:p w14:paraId="7AE84E5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бомбы в счет перегрузки 4х250 или 2х250, 4х100</w:t>
            </w:r>
          </w:p>
        </w:tc>
      </w:tr>
      <w:tr w:rsidR="001002C3" w:rsidRPr="005E779E" w14:paraId="67F33F02" w14:textId="77777777">
        <w:tc>
          <w:tcPr>
            <w:tcW w:w="3024" w:type="dxa"/>
          </w:tcPr>
          <w:p w14:paraId="2DD742F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w:t>
            </w:r>
          </w:p>
        </w:tc>
        <w:tc>
          <w:tcPr>
            <w:tcW w:w="7574" w:type="dxa"/>
          </w:tcPr>
          <w:p w14:paraId="362FEF1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1060</w:t>
            </w:r>
          </w:p>
        </w:tc>
      </w:tr>
      <w:tr w:rsidR="001002C3" w:rsidRPr="005E779E" w14:paraId="189D88FA" w14:textId="77777777">
        <w:tc>
          <w:tcPr>
            <w:tcW w:w="3024" w:type="dxa"/>
          </w:tcPr>
          <w:p w14:paraId="79C515C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предъявления на гос. испытания</w:t>
            </w:r>
          </w:p>
        </w:tc>
        <w:tc>
          <w:tcPr>
            <w:tcW w:w="7574" w:type="dxa"/>
          </w:tcPr>
          <w:p w14:paraId="18E15C4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октября 1930 года</w:t>
            </w:r>
          </w:p>
        </w:tc>
      </w:tr>
      <w:tr w:rsidR="001002C3" w:rsidRPr="005E779E" w14:paraId="28357C91" w14:textId="77777777">
        <w:tc>
          <w:tcPr>
            <w:tcW w:w="3024" w:type="dxa"/>
          </w:tcPr>
          <w:p w14:paraId="6E9CA45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 октября 1931 года</w:t>
            </w:r>
          </w:p>
        </w:tc>
        <w:tc>
          <w:tcPr>
            <w:tcW w:w="7574" w:type="dxa"/>
          </w:tcPr>
          <w:p w14:paraId="0A5A001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с новыми поплавками большего водоизмещения готов к испытаниям. В ближайшие дни к испытаниям на мореходность комиссия приступает.</w:t>
            </w:r>
          </w:p>
          <w:p w14:paraId="39C3364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в серийной постройке в 1932 году планом не предусмотрен ввиду неудовлетворения его данных техтребованиям, предъявляемым к МДР штабом РККА и ориентировки на самолет МДР3-4М17, по расчетным данным удовлетворяющим требованиям Штаба РККА.</w:t>
            </w:r>
          </w:p>
          <w:p w14:paraId="1105D7D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Наблюдающий инженер Кудрявцев.</w:t>
            </w:r>
          </w:p>
        </w:tc>
      </w:tr>
      <w:tr w:rsidR="001002C3" w:rsidRPr="005E779E" w14:paraId="0215AF05" w14:textId="77777777">
        <w:tc>
          <w:tcPr>
            <w:tcW w:w="3024" w:type="dxa"/>
          </w:tcPr>
          <w:p w14:paraId="26F8820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574" w:type="dxa"/>
          </w:tcPr>
          <w:p w14:paraId="26A0CE4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МДР1-2БМВVI</w:t>
            </w:r>
          </w:p>
        </w:tc>
      </w:tr>
      <w:tr w:rsidR="001002C3" w:rsidRPr="005E779E" w14:paraId="0A8D374B" w14:textId="77777777">
        <w:tc>
          <w:tcPr>
            <w:tcW w:w="3024" w:type="dxa"/>
          </w:tcPr>
          <w:p w14:paraId="14E7FBA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горизонтальная скорость/на высоте</w:t>
            </w:r>
          </w:p>
        </w:tc>
        <w:tc>
          <w:tcPr>
            <w:tcW w:w="7574" w:type="dxa"/>
          </w:tcPr>
          <w:p w14:paraId="22AE0F4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A8DEDF9" w14:textId="77777777">
        <w:tc>
          <w:tcPr>
            <w:tcW w:w="3024" w:type="dxa"/>
          </w:tcPr>
          <w:p w14:paraId="668EEE9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Скороподъемность/на высоту</w:t>
            </w:r>
          </w:p>
        </w:tc>
        <w:tc>
          <w:tcPr>
            <w:tcW w:w="7574" w:type="dxa"/>
          </w:tcPr>
          <w:p w14:paraId="146324F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32/3000</w:t>
            </w:r>
          </w:p>
        </w:tc>
      </w:tr>
      <w:tr w:rsidR="001002C3" w:rsidRPr="005E779E" w14:paraId="34B3F9CB" w14:textId="77777777">
        <w:tc>
          <w:tcPr>
            <w:tcW w:w="3024" w:type="dxa"/>
          </w:tcPr>
          <w:p w14:paraId="71EF45E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Потолок</w:t>
            </w:r>
          </w:p>
        </w:tc>
        <w:tc>
          <w:tcPr>
            <w:tcW w:w="7574" w:type="dxa"/>
          </w:tcPr>
          <w:p w14:paraId="035A27C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4500</w:t>
            </w:r>
          </w:p>
        </w:tc>
      </w:tr>
      <w:tr w:rsidR="001002C3" w:rsidRPr="005E779E" w14:paraId="0038885F" w14:textId="77777777">
        <w:tc>
          <w:tcPr>
            <w:tcW w:w="3024" w:type="dxa"/>
          </w:tcPr>
          <w:p w14:paraId="7782C30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7574" w:type="dxa"/>
          </w:tcPr>
          <w:p w14:paraId="6E81AF8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Отсутствует</w:t>
            </w:r>
          </w:p>
        </w:tc>
      </w:tr>
      <w:tr w:rsidR="001002C3" w:rsidRPr="005E779E" w14:paraId="51132AC3" w14:textId="77777777">
        <w:tc>
          <w:tcPr>
            <w:tcW w:w="3024" w:type="dxa"/>
          </w:tcPr>
          <w:p w14:paraId="13D4576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w:t>
            </w:r>
          </w:p>
        </w:tc>
        <w:tc>
          <w:tcPr>
            <w:tcW w:w="7574" w:type="dxa"/>
          </w:tcPr>
          <w:p w14:paraId="5429579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400</w:t>
            </w:r>
          </w:p>
        </w:tc>
      </w:tr>
      <w:tr w:rsidR="001002C3" w:rsidRPr="005E779E" w14:paraId="654DCC54" w14:textId="77777777">
        <w:tc>
          <w:tcPr>
            <w:tcW w:w="3024" w:type="dxa"/>
          </w:tcPr>
          <w:p w14:paraId="675C492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предъявления на гос. испытания</w:t>
            </w:r>
          </w:p>
        </w:tc>
        <w:tc>
          <w:tcPr>
            <w:tcW w:w="7574" w:type="dxa"/>
          </w:tcPr>
          <w:p w14:paraId="5A6EBCC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июня 1931 года</w:t>
            </w:r>
          </w:p>
        </w:tc>
      </w:tr>
      <w:tr w:rsidR="001002C3" w:rsidRPr="005E779E" w14:paraId="6491F552" w14:textId="77777777">
        <w:tc>
          <w:tcPr>
            <w:tcW w:w="3024" w:type="dxa"/>
          </w:tcPr>
          <w:p w14:paraId="74A493C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Степень выполнения на 1 октября 1931 года</w:t>
            </w:r>
          </w:p>
        </w:tc>
        <w:tc>
          <w:tcPr>
            <w:tcW w:w="7574" w:type="dxa"/>
          </w:tcPr>
          <w:p w14:paraId="68C5E3E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идет вне плана ЦКБ. Работы ведутся очень медленно. Лодка закончена в производстве. Конструкция крыльев разрабатывается. Внимание КБ и производства всецело плановым самолетам. Срок окончания в производстве ориентировочно к 1 февраля 1932 года.</w:t>
            </w:r>
          </w:p>
          <w:p w14:paraId="0AC5E29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Наблюдающий инженер Кудрявцев.</w:t>
            </w:r>
          </w:p>
        </w:tc>
      </w:tr>
      <w:tr w:rsidR="001002C3" w:rsidRPr="005E779E" w14:paraId="50DCD3CB" w14:textId="77777777">
        <w:tc>
          <w:tcPr>
            <w:tcW w:w="3024" w:type="dxa"/>
          </w:tcPr>
          <w:p w14:paraId="4E7D356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574" w:type="dxa"/>
          </w:tcPr>
          <w:p w14:paraId="3476E93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МУ3-М11</w:t>
            </w:r>
          </w:p>
        </w:tc>
      </w:tr>
      <w:tr w:rsidR="001002C3" w:rsidRPr="005E779E" w14:paraId="0E05A51A" w14:textId="77777777">
        <w:tc>
          <w:tcPr>
            <w:tcW w:w="3024" w:type="dxa"/>
          </w:tcPr>
          <w:p w14:paraId="42B5E82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горизонтальная скорость/на высоте</w:t>
            </w:r>
          </w:p>
        </w:tc>
        <w:tc>
          <w:tcPr>
            <w:tcW w:w="7574" w:type="dxa"/>
          </w:tcPr>
          <w:p w14:paraId="57986FC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120/130/0</w:t>
            </w:r>
          </w:p>
        </w:tc>
      </w:tr>
      <w:tr w:rsidR="001002C3" w:rsidRPr="005E779E" w14:paraId="6DE8B864" w14:textId="77777777">
        <w:tc>
          <w:tcPr>
            <w:tcW w:w="3024" w:type="dxa"/>
          </w:tcPr>
          <w:p w14:paraId="099B8E9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Скороподъемность/на высоту</w:t>
            </w:r>
          </w:p>
        </w:tc>
        <w:tc>
          <w:tcPr>
            <w:tcW w:w="7574" w:type="dxa"/>
          </w:tcPr>
          <w:p w14:paraId="2FB92C6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20/3000</w:t>
            </w:r>
          </w:p>
        </w:tc>
      </w:tr>
      <w:tr w:rsidR="001002C3" w:rsidRPr="005E779E" w14:paraId="2ED5E86E" w14:textId="77777777">
        <w:tc>
          <w:tcPr>
            <w:tcW w:w="3024" w:type="dxa"/>
          </w:tcPr>
          <w:p w14:paraId="13F6B9C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Потолок</w:t>
            </w:r>
          </w:p>
        </w:tc>
        <w:tc>
          <w:tcPr>
            <w:tcW w:w="7574" w:type="dxa"/>
          </w:tcPr>
          <w:p w14:paraId="7B42056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3500</w:t>
            </w:r>
          </w:p>
        </w:tc>
      </w:tr>
      <w:tr w:rsidR="001002C3" w:rsidRPr="005E779E" w14:paraId="0C95CBD6" w14:textId="77777777">
        <w:tc>
          <w:tcPr>
            <w:tcW w:w="3024" w:type="dxa"/>
          </w:tcPr>
          <w:p w14:paraId="5F429DC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7574" w:type="dxa"/>
          </w:tcPr>
          <w:p w14:paraId="19AC932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84097CA" w14:textId="77777777">
        <w:tc>
          <w:tcPr>
            <w:tcW w:w="3024" w:type="dxa"/>
          </w:tcPr>
          <w:p w14:paraId="69B9789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w:t>
            </w:r>
          </w:p>
        </w:tc>
        <w:tc>
          <w:tcPr>
            <w:tcW w:w="7574" w:type="dxa"/>
          </w:tcPr>
          <w:p w14:paraId="0B549E1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Продолжительность 3 часа</w:t>
            </w:r>
          </w:p>
        </w:tc>
      </w:tr>
      <w:tr w:rsidR="001002C3" w:rsidRPr="005E779E" w14:paraId="3B59FA5A" w14:textId="77777777">
        <w:tc>
          <w:tcPr>
            <w:tcW w:w="3024" w:type="dxa"/>
          </w:tcPr>
          <w:p w14:paraId="710C014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предъявления на гос. испытания</w:t>
            </w:r>
          </w:p>
        </w:tc>
        <w:tc>
          <w:tcPr>
            <w:tcW w:w="7574" w:type="dxa"/>
          </w:tcPr>
          <w:p w14:paraId="7499623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мая 1931 года</w:t>
            </w:r>
          </w:p>
        </w:tc>
      </w:tr>
      <w:tr w:rsidR="001002C3" w:rsidRPr="005E779E" w14:paraId="11D4A689" w14:textId="77777777">
        <w:tc>
          <w:tcPr>
            <w:tcW w:w="3024" w:type="dxa"/>
          </w:tcPr>
          <w:p w14:paraId="05E619D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 октября 1931 года</w:t>
            </w:r>
          </w:p>
        </w:tc>
        <w:tc>
          <w:tcPr>
            <w:tcW w:w="7574" w:type="dxa"/>
          </w:tcPr>
          <w:p w14:paraId="677A7AC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готов и проходит в настоящее время заводские испытания в Ленинграде. После окончания заводских испытаний будет направлен в Севастополь на гос. испытания в Морской отдел НИИ. Самолет опаздывает на гос. испытания примерно на 6-6,5 месяцев.</w:t>
            </w:r>
          </w:p>
          <w:p w14:paraId="60C572D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Наблюдающий инженер Украинцев.</w:t>
            </w:r>
          </w:p>
        </w:tc>
      </w:tr>
      <w:tr w:rsidR="001002C3" w:rsidRPr="005E779E" w14:paraId="3F862F5A" w14:textId="77777777">
        <w:tc>
          <w:tcPr>
            <w:tcW w:w="3024" w:type="dxa"/>
          </w:tcPr>
          <w:p w14:paraId="2605A13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574" w:type="dxa"/>
          </w:tcPr>
          <w:p w14:paraId="4106DE2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А1-М11</w:t>
            </w:r>
          </w:p>
        </w:tc>
      </w:tr>
      <w:tr w:rsidR="001002C3" w:rsidRPr="005E779E" w14:paraId="68EBEA63" w14:textId="77777777">
        <w:tc>
          <w:tcPr>
            <w:tcW w:w="3024" w:type="dxa"/>
          </w:tcPr>
          <w:p w14:paraId="19D362B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горизонтальная скорость/на высоте</w:t>
            </w:r>
          </w:p>
        </w:tc>
        <w:tc>
          <w:tcPr>
            <w:tcW w:w="7574" w:type="dxa"/>
          </w:tcPr>
          <w:p w14:paraId="5D7EEA3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146/137/0</w:t>
            </w:r>
          </w:p>
        </w:tc>
      </w:tr>
      <w:tr w:rsidR="001002C3" w:rsidRPr="005E779E" w14:paraId="4F597C5A" w14:textId="77777777">
        <w:tc>
          <w:tcPr>
            <w:tcW w:w="3024" w:type="dxa"/>
          </w:tcPr>
          <w:p w14:paraId="3D8BD0D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Скороподъемность/на высоту</w:t>
            </w:r>
          </w:p>
        </w:tc>
        <w:tc>
          <w:tcPr>
            <w:tcW w:w="7574" w:type="dxa"/>
          </w:tcPr>
          <w:p w14:paraId="37D707F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33/50,6/3000</w:t>
            </w:r>
          </w:p>
        </w:tc>
      </w:tr>
      <w:tr w:rsidR="001002C3" w:rsidRPr="005E779E" w14:paraId="2BA70BFC" w14:textId="77777777">
        <w:tc>
          <w:tcPr>
            <w:tcW w:w="3024" w:type="dxa"/>
          </w:tcPr>
          <w:p w14:paraId="3704589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Потолок</w:t>
            </w:r>
          </w:p>
        </w:tc>
        <w:tc>
          <w:tcPr>
            <w:tcW w:w="7574" w:type="dxa"/>
          </w:tcPr>
          <w:p w14:paraId="3CC6A4A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3650/3350</w:t>
            </w:r>
          </w:p>
        </w:tc>
      </w:tr>
      <w:tr w:rsidR="001002C3" w:rsidRPr="005E779E" w14:paraId="29C50748" w14:textId="77777777">
        <w:tc>
          <w:tcPr>
            <w:tcW w:w="3024" w:type="dxa"/>
          </w:tcPr>
          <w:p w14:paraId="4283854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7574" w:type="dxa"/>
          </w:tcPr>
          <w:p w14:paraId="4A9DFB7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Нет</w:t>
            </w:r>
          </w:p>
        </w:tc>
      </w:tr>
      <w:tr w:rsidR="001002C3" w:rsidRPr="005E779E" w14:paraId="6B4DF179" w14:textId="77777777">
        <w:tc>
          <w:tcPr>
            <w:tcW w:w="3024" w:type="dxa"/>
          </w:tcPr>
          <w:p w14:paraId="06B5231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w:t>
            </w:r>
          </w:p>
        </w:tc>
        <w:tc>
          <w:tcPr>
            <w:tcW w:w="7574" w:type="dxa"/>
          </w:tcPr>
          <w:p w14:paraId="6E0FB2D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Продолжительность 3 часа</w:t>
            </w:r>
          </w:p>
        </w:tc>
      </w:tr>
      <w:tr w:rsidR="001002C3" w:rsidRPr="005E779E" w14:paraId="36F9E09C" w14:textId="77777777">
        <w:tc>
          <w:tcPr>
            <w:tcW w:w="3024" w:type="dxa"/>
          </w:tcPr>
          <w:p w14:paraId="28358E7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предъявления на гос. испытания</w:t>
            </w:r>
          </w:p>
        </w:tc>
        <w:tc>
          <w:tcPr>
            <w:tcW w:w="7574" w:type="dxa"/>
          </w:tcPr>
          <w:p w14:paraId="29A8420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1477074" w14:textId="77777777">
        <w:tc>
          <w:tcPr>
            <w:tcW w:w="3024" w:type="dxa"/>
          </w:tcPr>
          <w:p w14:paraId="2B2A80E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 октября 1931 года</w:t>
            </w:r>
          </w:p>
        </w:tc>
        <w:tc>
          <w:tcPr>
            <w:tcW w:w="7574" w:type="dxa"/>
          </w:tcPr>
          <w:p w14:paraId="189F517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сведениях указаны данные гос. испытаний в НИИ ВОГВФа. УВВС предполагает использование А1-М11 в качестве корабельного разведчика-корректировщика на лидерах-эсминцах, Морской отдел НИИ ВВС считает невозможным использование в качестве разведчика-корректировщика, так как ни по своим данным, ни по непроработанности своего вооружения (его совершенно по настоящее время на самолете нет, так самолет строится для гражданских целей) для этих целей самолет не подходит.</w:t>
            </w:r>
          </w:p>
          <w:p w14:paraId="33061E2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 23 готовит второй экземпляр А1-М11 для гос. испытаний НИИ ВВС. Самолет будет готов к 1 февраля 1931 года.</w:t>
            </w:r>
          </w:p>
          <w:p w14:paraId="0CBE72D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Наблюдающий инженер Украинцев.</w:t>
            </w:r>
          </w:p>
        </w:tc>
      </w:tr>
      <w:tr w:rsidR="001002C3" w:rsidRPr="005E779E" w14:paraId="7FAC4EF3" w14:textId="77777777">
        <w:tc>
          <w:tcPr>
            <w:tcW w:w="3024" w:type="dxa"/>
          </w:tcPr>
          <w:p w14:paraId="2CB1D24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574" w:type="dxa"/>
          </w:tcPr>
          <w:p w14:paraId="3CDCDA3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МТБ1-2БМВVI</w:t>
            </w:r>
          </w:p>
        </w:tc>
      </w:tr>
      <w:tr w:rsidR="001002C3" w:rsidRPr="005E779E" w14:paraId="0914FDA6" w14:textId="77777777">
        <w:tc>
          <w:tcPr>
            <w:tcW w:w="3024" w:type="dxa"/>
          </w:tcPr>
          <w:p w14:paraId="105DB61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горизонтальная скорость/на высоте</w:t>
            </w:r>
          </w:p>
        </w:tc>
        <w:tc>
          <w:tcPr>
            <w:tcW w:w="7574" w:type="dxa"/>
          </w:tcPr>
          <w:p w14:paraId="761E725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170/180/0</w:t>
            </w:r>
          </w:p>
        </w:tc>
      </w:tr>
      <w:tr w:rsidR="001002C3" w:rsidRPr="005E779E" w14:paraId="7921FAA9" w14:textId="77777777">
        <w:tc>
          <w:tcPr>
            <w:tcW w:w="3024" w:type="dxa"/>
          </w:tcPr>
          <w:p w14:paraId="055389F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Скороподъемность/на высоту</w:t>
            </w:r>
          </w:p>
        </w:tc>
        <w:tc>
          <w:tcPr>
            <w:tcW w:w="7574" w:type="dxa"/>
          </w:tcPr>
          <w:p w14:paraId="70E0BF9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20-30/3000</w:t>
            </w:r>
          </w:p>
        </w:tc>
      </w:tr>
      <w:tr w:rsidR="001002C3" w:rsidRPr="005E779E" w14:paraId="67D0A374" w14:textId="77777777">
        <w:tc>
          <w:tcPr>
            <w:tcW w:w="3024" w:type="dxa"/>
          </w:tcPr>
          <w:p w14:paraId="279A0F4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Потолок</w:t>
            </w:r>
          </w:p>
        </w:tc>
        <w:tc>
          <w:tcPr>
            <w:tcW w:w="7574" w:type="dxa"/>
          </w:tcPr>
          <w:p w14:paraId="5C4896D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3500-4000</w:t>
            </w:r>
          </w:p>
        </w:tc>
      </w:tr>
      <w:tr w:rsidR="001002C3" w:rsidRPr="005E779E" w14:paraId="3F289911" w14:textId="77777777">
        <w:tc>
          <w:tcPr>
            <w:tcW w:w="3024" w:type="dxa"/>
          </w:tcPr>
          <w:p w14:paraId="4A1B8D0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7574" w:type="dxa"/>
          </w:tcPr>
          <w:p w14:paraId="1DFF2BD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пулемета</w:t>
            </w:r>
          </w:p>
          <w:p w14:paraId="614214E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торпеды</w:t>
            </w:r>
          </w:p>
        </w:tc>
      </w:tr>
      <w:tr w:rsidR="001002C3" w:rsidRPr="005E779E" w14:paraId="46896882" w14:textId="77777777">
        <w:tc>
          <w:tcPr>
            <w:tcW w:w="3024" w:type="dxa"/>
          </w:tcPr>
          <w:p w14:paraId="1384EF0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w:t>
            </w:r>
          </w:p>
        </w:tc>
        <w:tc>
          <w:tcPr>
            <w:tcW w:w="7574" w:type="dxa"/>
          </w:tcPr>
          <w:p w14:paraId="6DD2AED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Продолжительность полета 4 часа</w:t>
            </w:r>
          </w:p>
        </w:tc>
      </w:tr>
      <w:tr w:rsidR="001002C3" w:rsidRPr="005E779E" w14:paraId="66E3E091" w14:textId="77777777">
        <w:tc>
          <w:tcPr>
            <w:tcW w:w="3024" w:type="dxa"/>
          </w:tcPr>
          <w:p w14:paraId="207B225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предъявления на гос. испытания</w:t>
            </w:r>
          </w:p>
        </w:tc>
        <w:tc>
          <w:tcPr>
            <w:tcW w:w="7574" w:type="dxa"/>
          </w:tcPr>
          <w:p w14:paraId="2EE01DC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ноября 1930 года</w:t>
            </w:r>
          </w:p>
        </w:tc>
      </w:tr>
      <w:tr w:rsidR="001002C3" w:rsidRPr="005E779E" w14:paraId="2CF839B8" w14:textId="77777777">
        <w:tc>
          <w:tcPr>
            <w:tcW w:w="3024" w:type="dxa"/>
          </w:tcPr>
          <w:p w14:paraId="4F2B032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 октября 1931 года</w:t>
            </w:r>
          </w:p>
        </w:tc>
        <w:tc>
          <w:tcPr>
            <w:tcW w:w="7574" w:type="dxa"/>
          </w:tcPr>
          <w:p w14:paraId="4023C46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с 1 января 1931 года по настоящее время находится на заводских испытаниях и доводках конструкции в Севастополе.</w:t>
            </w:r>
          </w:p>
          <w:p w14:paraId="3732A53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Наблюдающий инженер Кудрявцев.</w:t>
            </w:r>
          </w:p>
        </w:tc>
      </w:tr>
      <w:tr w:rsidR="001002C3" w:rsidRPr="005E779E" w14:paraId="47128741" w14:textId="77777777">
        <w:tc>
          <w:tcPr>
            <w:tcW w:w="3024" w:type="dxa"/>
          </w:tcPr>
          <w:p w14:paraId="49CB176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574" w:type="dxa"/>
          </w:tcPr>
          <w:p w14:paraId="0F4E39F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МБР2-БМВVI</w:t>
            </w:r>
          </w:p>
        </w:tc>
      </w:tr>
      <w:tr w:rsidR="001002C3" w:rsidRPr="005E779E" w14:paraId="705ED9D5" w14:textId="77777777">
        <w:tc>
          <w:tcPr>
            <w:tcW w:w="3024" w:type="dxa"/>
          </w:tcPr>
          <w:p w14:paraId="2CDBB03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горизонтальная скорость/на высоте</w:t>
            </w:r>
          </w:p>
        </w:tc>
        <w:tc>
          <w:tcPr>
            <w:tcW w:w="7574" w:type="dxa"/>
          </w:tcPr>
          <w:p w14:paraId="0304F60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200\3000</w:t>
            </w:r>
          </w:p>
        </w:tc>
      </w:tr>
      <w:tr w:rsidR="001002C3" w:rsidRPr="005E779E" w14:paraId="1BCBF95A" w14:textId="77777777">
        <w:tc>
          <w:tcPr>
            <w:tcW w:w="3024" w:type="dxa"/>
          </w:tcPr>
          <w:p w14:paraId="01D7AD2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Скороподъемность/на высоту</w:t>
            </w:r>
          </w:p>
        </w:tc>
        <w:tc>
          <w:tcPr>
            <w:tcW w:w="7574" w:type="dxa"/>
          </w:tcPr>
          <w:p w14:paraId="4A1B7E6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15-50/3000</w:t>
            </w:r>
          </w:p>
        </w:tc>
      </w:tr>
      <w:tr w:rsidR="001002C3" w:rsidRPr="005E779E" w14:paraId="364B1457" w14:textId="77777777">
        <w:tc>
          <w:tcPr>
            <w:tcW w:w="3024" w:type="dxa"/>
          </w:tcPr>
          <w:p w14:paraId="7B29BF5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Потолок</w:t>
            </w:r>
          </w:p>
        </w:tc>
        <w:tc>
          <w:tcPr>
            <w:tcW w:w="7574" w:type="dxa"/>
          </w:tcPr>
          <w:p w14:paraId="0B9D8D8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r>
      <w:tr w:rsidR="001002C3" w:rsidRPr="005E779E" w14:paraId="3AE196B0" w14:textId="77777777">
        <w:tc>
          <w:tcPr>
            <w:tcW w:w="3024" w:type="dxa"/>
          </w:tcPr>
          <w:p w14:paraId="79580C1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7574" w:type="dxa"/>
          </w:tcPr>
          <w:p w14:paraId="41D4E14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пулемета</w:t>
            </w:r>
          </w:p>
          <w:p w14:paraId="1ED3B55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бомбы за счет перегрузки</w:t>
            </w:r>
          </w:p>
        </w:tc>
      </w:tr>
      <w:tr w:rsidR="001002C3" w:rsidRPr="005E779E" w14:paraId="05C06186" w14:textId="77777777">
        <w:tc>
          <w:tcPr>
            <w:tcW w:w="3024" w:type="dxa"/>
          </w:tcPr>
          <w:p w14:paraId="7B5EB8F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w:t>
            </w:r>
          </w:p>
        </w:tc>
        <w:tc>
          <w:tcPr>
            <w:tcW w:w="7574" w:type="dxa"/>
          </w:tcPr>
          <w:p w14:paraId="7BEB1CE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350</w:t>
            </w:r>
          </w:p>
        </w:tc>
      </w:tr>
      <w:tr w:rsidR="001002C3" w:rsidRPr="005E779E" w14:paraId="0E87750A" w14:textId="77777777">
        <w:tc>
          <w:tcPr>
            <w:tcW w:w="3024" w:type="dxa"/>
          </w:tcPr>
          <w:p w14:paraId="406A0D8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предъявления на гос. испытания</w:t>
            </w:r>
          </w:p>
        </w:tc>
        <w:tc>
          <w:tcPr>
            <w:tcW w:w="7574" w:type="dxa"/>
          </w:tcPr>
          <w:p w14:paraId="3F9692B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июля 931 года</w:t>
            </w:r>
          </w:p>
        </w:tc>
      </w:tr>
      <w:tr w:rsidR="001002C3" w:rsidRPr="005E779E" w14:paraId="013CFA53" w14:textId="77777777">
        <w:tc>
          <w:tcPr>
            <w:tcW w:w="3024" w:type="dxa"/>
          </w:tcPr>
          <w:p w14:paraId="7DA1AC1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 октября 1931 года</w:t>
            </w:r>
          </w:p>
        </w:tc>
        <w:tc>
          <w:tcPr>
            <w:tcW w:w="7574" w:type="dxa"/>
          </w:tcPr>
          <w:p w14:paraId="3E53D5A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находится в производстве завода № 39. Конструкция разработана полностью. Лодка готова, крылья и моторная установка заканчиваются. Самолет будет закончен в производстве 20 октября 1931 года, на гос. испытания поступит вероятно 20 февраля 1931 года. Опоздание на 4,5 месяца.</w:t>
            </w:r>
          </w:p>
          <w:p w14:paraId="313960A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Наблюдающий инженер волков.</w:t>
            </w:r>
          </w:p>
        </w:tc>
      </w:tr>
      <w:tr w:rsidR="001002C3" w:rsidRPr="005E779E" w14:paraId="4A74F153" w14:textId="77777777">
        <w:tc>
          <w:tcPr>
            <w:tcW w:w="3024" w:type="dxa"/>
          </w:tcPr>
          <w:p w14:paraId="1B5C02F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574" w:type="dxa"/>
          </w:tcPr>
          <w:p w14:paraId="33EA9C2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МБР3-2М22</w:t>
            </w:r>
          </w:p>
        </w:tc>
      </w:tr>
      <w:tr w:rsidR="001002C3" w:rsidRPr="005E779E" w14:paraId="4EC15EA8" w14:textId="77777777">
        <w:tc>
          <w:tcPr>
            <w:tcW w:w="3024" w:type="dxa"/>
          </w:tcPr>
          <w:p w14:paraId="035ACFF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 октября 1931 года</w:t>
            </w:r>
          </w:p>
        </w:tc>
        <w:tc>
          <w:tcPr>
            <w:tcW w:w="7574" w:type="dxa"/>
          </w:tcPr>
          <w:p w14:paraId="4DE9DC0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НИИ ВВС поступил эскизный проект на заключение. Макет заканчивается оборудованием к 12 октября 1931 года. Детальная разработка конструкции самолета начнется с 12 октября 1931 года после утверждения макета.</w:t>
            </w:r>
          </w:p>
          <w:p w14:paraId="1FA9C39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Наблюдающий инженер Волков.</w:t>
            </w:r>
          </w:p>
        </w:tc>
      </w:tr>
      <w:tr w:rsidR="001002C3" w:rsidRPr="005E779E" w14:paraId="500F174E" w14:textId="77777777">
        <w:tc>
          <w:tcPr>
            <w:tcW w:w="3024" w:type="dxa"/>
          </w:tcPr>
          <w:p w14:paraId="6B5934F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w:t>
            </w:r>
          </w:p>
        </w:tc>
        <w:tc>
          <w:tcPr>
            <w:tcW w:w="7574" w:type="dxa"/>
          </w:tcPr>
          <w:p w14:paraId="5851AAB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МУ2-М11</w:t>
            </w:r>
          </w:p>
        </w:tc>
      </w:tr>
      <w:tr w:rsidR="001002C3" w:rsidRPr="005E779E" w14:paraId="19DE3951" w14:textId="77777777">
        <w:tc>
          <w:tcPr>
            <w:tcW w:w="3024" w:type="dxa"/>
          </w:tcPr>
          <w:p w14:paraId="6DFDE99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выполнения на 1 октября 1931 года</w:t>
            </w:r>
          </w:p>
        </w:tc>
        <w:tc>
          <w:tcPr>
            <w:tcW w:w="7574" w:type="dxa"/>
          </w:tcPr>
          <w:p w14:paraId="40F7596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закончил ремонт и мотор перебран. Самолет поступил на мореходные испытания второго варианта поплавков в морской отряд НИИ. После окончания испытания поплавков самолет будет передан для эксплуатационных испытаний в школу морских летчиков в Ейске.</w:t>
            </w:r>
          </w:p>
          <w:p w14:paraId="6C2D1DD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Наблюдающий инженер Украинцев.</w:t>
            </w:r>
          </w:p>
        </w:tc>
      </w:tr>
    </w:tbl>
    <w:p w14:paraId="7D49901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(6919, 1-9).</w:t>
      </w:r>
    </w:p>
    <w:p w14:paraId="0A29E75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Сведения о состоянии строительства опытных образцов по 2 отделу НИИ ВВС на 1 октября 1931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7290"/>
      </w:tblGrid>
      <w:tr w:rsidR="001002C3" w:rsidRPr="005E779E" w14:paraId="68C567BB" w14:textId="77777777">
        <w:tc>
          <w:tcPr>
            <w:tcW w:w="3024" w:type="dxa"/>
          </w:tcPr>
          <w:p w14:paraId="049D1A4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опытного образца</w:t>
            </w:r>
          </w:p>
        </w:tc>
        <w:tc>
          <w:tcPr>
            <w:tcW w:w="7290" w:type="dxa"/>
          </w:tcPr>
          <w:p w14:paraId="1A05BA3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Установка реактивного двигателя на самолете ТБ1-2М17</w:t>
            </w:r>
          </w:p>
        </w:tc>
      </w:tr>
      <w:tr w:rsidR="001002C3" w:rsidRPr="005E779E" w14:paraId="41DF49F0" w14:textId="77777777">
        <w:tc>
          <w:tcPr>
            <w:tcW w:w="3024" w:type="dxa"/>
          </w:tcPr>
          <w:p w14:paraId="7829610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Основные характеристики опытного образца</w:t>
            </w:r>
          </w:p>
        </w:tc>
        <w:tc>
          <w:tcPr>
            <w:tcW w:w="7290" w:type="dxa"/>
          </w:tcPr>
          <w:p w14:paraId="667C193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Установка нескольких пороховых ракет на крыльях самолета для сокращения разбега</w:t>
            </w:r>
          </w:p>
        </w:tc>
      </w:tr>
      <w:tr w:rsidR="001002C3" w:rsidRPr="005E779E" w14:paraId="090385BB" w14:textId="77777777">
        <w:tc>
          <w:tcPr>
            <w:tcW w:w="3024" w:type="dxa"/>
          </w:tcPr>
          <w:p w14:paraId="2E244D9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Кто строит опытный образец</w:t>
            </w:r>
          </w:p>
        </w:tc>
        <w:tc>
          <w:tcPr>
            <w:tcW w:w="7290" w:type="dxa"/>
          </w:tcPr>
          <w:p w14:paraId="41C04AD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Работу проводит Газодинамическая лаборатория</w:t>
            </w:r>
          </w:p>
        </w:tc>
      </w:tr>
      <w:tr w:rsidR="001002C3" w:rsidRPr="005E779E" w14:paraId="0ECB3510" w14:textId="77777777">
        <w:tc>
          <w:tcPr>
            <w:tcW w:w="3024" w:type="dxa"/>
          </w:tcPr>
          <w:p w14:paraId="672DFAD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Срок изготовления</w:t>
            </w:r>
          </w:p>
        </w:tc>
        <w:tc>
          <w:tcPr>
            <w:tcW w:w="7290" w:type="dxa"/>
          </w:tcPr>
          <w:p w14:paraId="69FC4AB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января 1932 года</w:t>
            </w:r>
          </w:p>
        </w:tc>
      </w:tr>
      <w:tr w:rsidR="001002C3" w:rsidRPr="005E779E" w14:paraId="1BE857AD" w14:textId="77777777">
        <w:tc>
          <w:tcPr>
            <w:tcW w:w="3024" w:type="dxa"/>
          </w:tcPr>
          <w:p w14:paraId="24BF4D7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Состояние выполнения на 1 октября 1931 года</w:t>
            </w:r>
          </w:p>
        </w:tc>
        <w:tc>
          <w:tcPr>
            <w:tcW w:w="7290" w:type="dxa"/>
          </w:tcPr>
          <w:p w14:paraId="5A0C10A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Получен самолет ТБ1. Произведен расчет камер и креплений самолета. Работа ведется по плану ГДЛ.</w:t>
            </w:r>
          </w:p>
        </w:tc>
      </w:tr>
    </w:tbl>
    <w:p w14:paraId="3B783C5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(6919, 10).</w:t>
      </w:r>
    </w:p>
    <w:p w14:paraId="0EB0EF0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C897AD" w14:textId="77777777" w:rsidR="00446A9C" w:rsidRPr="00142305" w:rsidRDefault="00446A9C" w:rsidP="00446A9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5 октября 1931 г. на Политбюро вновь рассматривался вопрос о финансовом положении ГВФ (25172).</w:t>
      </w:r>
    </w:p>
    <w:p w14:paraId="0F6FA36A" w14:textId="77777777" w:rsidR="00446A9C" w:rsidRPr="00142305" w:rsidRDefault="00446A9C" w:rsidP="00446A9C">
      <w:pPr>
        <w:spacing w:after="0" w:line="240" w:lineRule="auto"/>
        <w:jc w:val="both"/>
        <w:rPr>
          <w:rFonts w:ascii="Times New Roman" w:hAnsi="Times New Roman"/>
          <w:color w:val="0070C0"/>
          <w:sz w:val="16"/>
          <w:szCs w:val="16"/>
        </w:rPr>
      </w:pPr>
    </w:p>
    <w:p w14:paraId="34CE3283" w14:textId="77777777" w:rsidR="005C4849" w:rsidRPr="005E779E" w:rsidRDefault="00874B1E" w:rsidP="000B7A6C">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65749F0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4606E9A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октября 1931 г. в Главмашпроме ВСНХ СССР [4.47] на расширенном за</w:t>
      </w:r>
      <w:r w:rsidRPr="005E779E">
        <w:rPr>
          <w:rFonts w:ascii="Times New Roman" w:hAnsi="Times New Roman"/>
          <w:color w:val="000000" w:themeColor="text1"/>
          <w:sz w:val="16"/>
          <w:szCs w:val="16"/>
        </w:rPr>
        <w:softHyphen/>
        <w:t>седании ведомств и организаций приняли распоряжение НАТИ о проек</w:t>
      </w:r>
      <w:r w:rsidRPr="005E779E">
        <w:rPr>
          <w:rFonts w:ascii="Times New Roman" w:hAnsi="Times New Roman"/>
          <w:color w:val="000000" w:themeColor="text1"/>
          <w:sz w:val="16"/>
          <w:szCs w:val="16"/>
        </w:rPr>
        <w:softHyphen/>
        <w:t>тировании армейских мотоциклов. Эту работу поручили П.В. Можарову [4.53].</w:t>
      </w:r>
    </w:p>
    <w:p w14:paraId="123D7D8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Решение Главмашпрома свидетельствовало об авторитете конструктора, создавшего первые тяжёлые отечественные мото</w:t>
      </w:r>
      <w:r w:rsidRPr="005E779E">
        <w:rPr>
          <w:rFonts w:ascii="Times New Roman" w:hAnsi="Times New Roman"/>
          <w:color w:val="000000" w:themeColor="text1"/>
          <w:sz w:val="16"/>
          <w:szCs w:val="16"/>
        </w:rPr>
        <w:softHyphen/>
        <w:t>циклы ИЖ-1 и ИЖ-2. Важную роль сыграла осведомлённость ру</w:t>
      </w:r>
      <w:r w:rsidRPr="005E779E">
        <w:rPr>
          <w:rFonts w:ascii="Times New Roman" w:hAnsi="Times New Roman"/>
          <w:color w:val="000000" w:themeColor="text1"/>
          <w:sz w:val="16"/>
          <w:szCs w:val="16"/>
        </w:rPr>
        <w:softHyphen/>
        <w:t>ководства этого ведомства об успехах П.В. Можарова в подготов</w:t>
      </w:r>
      <w:r w:rsidRPr="005E779E">
        <w:rPr>
          <w:rFonts w:ascii="Times New Roman" w:hAnsi="Times New Roman"/>
          <w:color w:val="000000" w:themeColor="text1"/>
          <w:sz w:val="16"/>
          <w:szCs w:val="16"/>
        </w:rPr>
        <w:softHyphen/>
        <w:t>ке серийного выпуска мотоциклов в Ленинграде и его вкладе в со</w:t>
      </w:r>
      <w:r w:rsidRPr="005E779E">
        <w:rPr>
          <w:rFonts w:ascii="Times New Roman" w:hAnsi="Times New Roman"/>
          <w:color w:val="000000" w:themeColor="text1"/>
          <w:sz w:val="16"/>
          <w:szCs w:val="16"/>
        </w:rPr>
        <w:softHyphen/>
        <w:t xml:space="preserve">здание германского тяжёлого мотоцикла </w:t>
      </w:r>
      <w:r w:rsidRPr="005E779E">
        <w:rPr>
          <w:rFonts w:ascii="Times New Roman" w:hAnsi="Times New Roman"/>
          <w:color w:val="000000" w:themeColor="text1"/>
          <w:sz w:val="16"/>
          <w:szCs w:val="16"/>
          <w:lang w:val="en-US"/>
        </w:rPr>
        <w:t>R</w:t>
      </w:r>
      <w:r w:rsidRPr="005E779E">
        <w:rPr>
          <w:rFonts w:ascii="Times New Roman" w:hAnsi="Times New Roman"/>
          <w:color w:val="000000" w:themeColor="text1"/>
          <w:sz w:val="16"/>
          <w:szCs w:val="16"/>
        </w:rPr>
        <w:t>-16 на фирме ВМ</w:t>
      </w:r>
      <w:r w:rsidRPr="005E779E">
        <w:rPr>
          <w:rFonts w:ascii="Times New Roman" w:hAnsi="Times New Roman"/>
          <w:color w:val="000000" w:themeColor="text1"/>
          <w:sz w:val="16"/>
          <w:szCs w:val="16"/>
          <w:lang w:val="en-US"/>
        </w:rPr>
        <w:t>W</w:t>
      </w:r>
      <w:r w:rsidRPr="005E779E">
        <w:rPr>
          <w:rFonts w:ascii="Times New Roman" w:hAnsi="Times New Roman"/>
          <w:color w:val="000000" w:themeColor="text1"/>
          <w:sz w:val="16"/>
          <w:szCs w:val="16"/>
        </w:rPr>
        <w:t xml:space="preserve"> во время зарубежной командировки [4.6]. По договорённости с П.В. Можаровым, в 1931 г. фирма прислала лично ему мотоцикл этой марки для испытаний [4.54], а также в НАТИ для лаборатор</w:t>
      </w:r>
      <w:r w:rsidRPr="005E779E">
        <w:rPr>
          <w:rFonts w:ascii="Times New Roman" w:hAnsi="Times New Roman"/>
          <w:color w:val="000000" w:themeColor="text1"/>
          <w:sz w:val="16"/>
          <w:szCs w:val="16"/>
        </w:rPr>
        <w:softHyphen/>
        <w:t>ных исследований [4.55].</w:t>
      </w:r>
    </w:p>
    <w:p w14:paraId="5C05C58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совещании в Главмашпроме представили основные конст</w:t>
      </w:r>
      <w:r w:rsidRPr="005E779E">
        <w:rPr>
          <w:rFonts w:ascii="Times New Roman" w:hAnsi="Times New Roman"/>
          <w:color w:val="000000" w:themeColor="text1"/>
          <w:sz w:val="16"/>
          <w:szCs w:val="16"/>
        </w:rPr>
        <w:softHyphen/>
        <w:t>руктивные характеристики нового армейского мотоцикла:</w:t>
      </w:r>
    </w:p>
    <w:p w14:paraId="64771D2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мотор американского типа (У-образный, цилиндры внутри рамы, коленвал расположен поперечно) с низкой степенью сжатия;</w:t>
      </w:r>
    </w:p>
    <w:p w14:paraId="48A5ACC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КП расположена отдельно, с птестернчатой передачей к двигателю и сухой фрикционной муфтой;</w:t>
      </w:r>
    </w:p>
    <w:p w14:paraId="16E2C2D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передача на заднее колесо - цепная, закрытая;</w:t>
      </w:r>
    </w:p>
    <w:p w14:paraId="145A46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рама - прессованная из листовой стали;</w:t>
      </w:r>
    </w:p>
    <w:p w14:paraId="666151C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передняя вилка - рессорная;</w:t>
      </w:r>
    </w:p>
    <w:p w14:paraId="3E8B86F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колёса - легкосъёмные, взаимозаменяемые [4.47] (11429).</w:t>
      </w:r>
    </w:p>
    <w:p w14:paraId="09C6016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8B1A09" w14:textId="77777777" w:rsidR="0075626C" w:rsidRPr="005E779E" w:rsidRDefault="0075626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октября 1931 Высший Совет Народного Хозяй</w:t>
      </w:r>
      <w:r w:rsidRPr="005E779E">
        <w:rPr>
          <w:rFonts w:ascii="Times New Roman" w:hAnsi="Times New Roman"/>
          <w:color w:val="000000" w:themeColor="text1"/>
          <w:sz w:val="16"/>
          <w:szCs w:val="16"/>
        </w:rPr>
        <w:softHyphen/>
        <w:t>ства (ВСНХ) принял реше</w:t>
      </w:r>
      <w:r w:rsidRPr="005E779E">
        <w:rPr>
          <w:rFonts w:ascii="Times New Roman" w:hAnsi="Times New Roman"/>
          <w:color w:val="000000" w:themeColor="text1"/>
          <w:sz w:val="16"/>
          <w:szCs w:val="16"/>
        </w:rPr>
        <w:softHyphen/>
        <w:t>ние о производстве мото</w:t>
      </w:r>
      <w:r w:rsidRPr="005E779E">
        <w:rPr>
          <w:rFonts w:ascii="Times New Roman" w:hAnsi="Times New Roman"/>
          <w:color w:val="000000" w:themeColor="text1"/>
          <w:sz w:val="16"/>
          <w:szCs w:val="16"/>
        </w:rPr>
        <w:softHyphen/>
        <w:t>циклов для Красной Армии: тяжёлого, с двига</w:t>
      </w:r>
      <w:r w:rsidRPr="005E779E">
        <w:rPr>
          <w:rFonts w:ascii="Times New Roman" w:hAnsi="Times New Roman"/>
          <w:color w:val="000000" w:themeColor="text1"/>
          <w:sz w:val="16"/>
          <w:szCs w:val="16"/>
        </w:rPr>
        <w:softHyphen/>
        <w:t>телем 750 см3, и среднего, с мотором 375 см3. Разра</w:t>
      </w:r>
      <w:r w:rsidRPr="005E779E">
        <w:rPr>
          <w:rFonts w:ascii="Times New Roman" w:hAnsi="Times New Roman"/>
          <w:color w:val="000000" w:themeColor="text1"/>
          <w:sz w:val="16"/>
          <w:szCs w:val="16"/>
        </w:rPr>
        <w:softHyphen/>
        <w:t>ботку образцов поручили конструктору из Ижевска П.В. Можарову. В конце того же года он переехал в Москву и стал начальни</w:t>
      </w:r>
      <w:r w:rsidRPr="005E779E">
        <w:rPr>
          <w:rFonts w:ascii="Times New Roman" w:hAnsi="Times New Roman"/>
          <w:color w:val="000000" w:themeColor="text1"/>
          <w:sz w:val="16"/>
          <w:szCs w:val="16"/>
        </w:rPr>
        <w:softHyphen/>
        <w:t>ком мотоциклетного КБ НАТИ (22518).</w:t>
      </w:r>
    </w:p>
    <w:p w14:paraId="11728963" w14:textId="77777777" w:rsidR="0075626C" w:rsidRPr="005E779E" w:rsidRDefault="0075626C" w:rsidP="000B7A6C">
      <w:pPr>
        <w:spacing w:after="0" w:line="240" w:lineRule="auto"/>
        <w:jc w:val="both"/>
        <w:rPr>
          <w:rFonts w:ascii="Times New Roman" w:hAnsi="Times New Roman"/>
          <w:color w:val="000000" w:themeColor="text1"/>
          <w:sz w:val="16"/>
          <w:szCs w:val="16"/>
        </w:rPr>
      </w:pPr>
    </w:p>
    <w:p w14:paraId="0C31C649" w14:textId="77777777" w:rsidR="00756577" w:rsidRPr="005E779E" w:rsidRDefault="0075657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октября 1931 г. по итогам совещания в Главмашпроме ВСНХ московскому институту НАТИ была поручена разработка армейского мотоцикла. К перспективному мотоциклу предъявлялись требования:</w:t>
      </w:r>
    </w:p>
    <w:p w14:paraId="6C909284" w14:textId="77777777" w:rsidR="00756577" w:rsidRPr="005E779E" w:rsidRDefault="0075657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 Мотор американского типа с низкой степенью сжатия </w:t>
      </w:r>
    </w:p>
    <w:p w14:paraId="0151D468" w14:textId="77777777" w:rsidR="00756577" w:rsidRPr="005E779E" w:rsidRDefault="0075657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 КПП расположена отдельно, с шестерёнчатой передачей к двигателю и сухой фрикционной муфтой сцепления </w:t>
      </w:r>
    </w:p>
    <w:p w14:paraId="3B4E5666" w14:textId="77777777" w:rsidR="00756577" w:rsidRPr="005E779E" w:rsidRDefault="0075657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 Цепная закрытая передача на заднее колесо </w:t>
      </w:r>
    </w:p>
    <w:p w14:paraId="47555EDF" w14:textId="77777777" w:rsidR="00756577" w:rsidRPr="005E779E" w:rsidRDefault="0075657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4. Рама — прессованная из листового железа </w:t>
      </w:r>
    </w:p>
    <w:p w14:paraId="312571D2" w14:textId="77777777" w:rsidR="00756577" w:rsidRPr="005E779E" w:rsidRDefault="0075657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5. Передняя вилка — рессорная </w:t>
      </w:r>
    </w:p>
    <w:p w14:paraId="048C52D8" w14:textId="77777777" w:rsidR="00756577" w:rsidRPr="005E779E" w:rsidRDefault="0075657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Колеса — легкосъемные, взаимозаменяемые.</w:t>
      </w:r>
    </w:p>
    <w:p w14:paraId="1652DBDF" w14:textId="77777777" w:rsidR="00756577" w:rsidRPr="005E779E" w:rsidRDefault="0075657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Группу Петра Можарова перевели в Москву и влили в реорганизованный НАТИ. Мотоциклетная группа НАТИ располагалась на площадях МВТУ между рекой Яузой и Салтыковской улицей в старом двухэтажном доме. Организационно группа входила в автомобильное отделение. В соседнем с конструкторским залом помещении располагалась лаборатория с беговым стендом для испытания мотоциклов. Перспективный мотоцикл был назван А-750 или НАТИ-А-750, т.е. армейский (военная техника НАТИ имела индекс «А», а вездеходные машины двойного назначения индекс «В») с мотором объемом 750 см3 разработки НАТИ. Помимо Можарова в группу входили: С. И. Карзинкин, Б. М. Фиттерман, А. А. Федоров, Я. В. Коган, М. В. Лутц, Н. А. Семашко, Э. А. Барт, Г. Н. Лист, А. И. Скерджев, А. В. Муращенко. Проектирование мотоцикла завершили весной 1932 г. Согласно техническому проекту боковая коляска должна была крепиться слева. Поэтому выхлопная труба должгна была идти по правой стороне. Мотор и коробка передач были собраны в едином блоке. Рама А-750 сваривалась из двух симметричных штампованных половин. Бензобак полутопленный между двумя верхними наклонными балками. Двигатель V-образный, с углом развала цилиндров 45о , совмещенный с трехступенчатой КПП, жёстко соединялся с нижней частью рамы. Магнето соединялось с коленвалом посредством шестерен. Левая вращающаяся ручка на руле служила для управления опереженим зажигания, а правая регулировала заслонку карбюратора. Сцепление было применено сухое, со включением рычагом на руле или ножной педалью. Привод колеса был цепной. Смазка мотора и коробки передач была циркуляционной. Маслобак вмонтировали в картер КПП. Рычаг переключения коробки передач применили автомобильного типа. Передняя вилка собиралась из двух штампованных половин. Подвеска переднего колеса была рычажной с упиравшейся в горизонтальную рессору специальной скобой, на которой крепились гасители колебаний. Глубокие крылья охватывали переднее колесо на угол порядка 150о и заднее около 210о . На верхние балки рамы установливались амортизаторы седла водителя, передняя часть которого качалась на особой петле, прикрепленной к бензобаку. Седло пассажира крепилось к верхним балкам рамы с помощью кованых скоб. Светотехника должна была включать фару с дальним и ближним светом, а также сигнальный задний фонарь. Изготовление первых опытных А-750 поручили вновь организовываемому Опытному мотоциклетному заводу им. Автодора в Ижевске — ИОМЗА. К весне 1933 г. предполагалось изготовить первые десять мотоциклов. Этот завод был создан в недостроенных и заброшенных в годы Первой мировой войны корпусах так и не вступившей в строй оружейной фабрики Берзина. Средства на реконструкцию завода были собраны обществом Автодор. К 1 февраля 1933 г. был закончен механосборочный корпус на 2600 м2 и «приспособлены для всех прочих цехов помещения старой оружейной фабрики». В отличие от Ижастальзавода, Иомза имел неудовлетворительное оснащение оборудованием, а также весь период деятельности испытывал жесткий дефицит кадров. Поэтому к 1 мая 1933 г. из десяти запланированных удалось собрать лишь четыре мотоцикла НАТИ-А-750 и только два из них с коляской. В виду слабой оснащенности завода как временную меру для его загрузки, решили организовать изготовление «советских Декаве»: «…до момента освоения технологического процесса мотоциклов НАТИ-А 750 л.с. ИОМЗА со второго квартала 1933 г. будет строить мотоциклы «Л-300». В 1933 г. по программе завод должен дать стране 600 мотоциклов и 400 моторов». Новый мотоцикл назвали ИЖ-7. В докладе, подготовленном Автодором отмечалось: «Следует отметить, что Ленинградский завод «Красный октябрь», который должен был сдать Центральному Совету Общества Автодор в течение 1932 и 1933 гг. согласно заключенного с трестом «Вато-запчасть» в ноябре 1931 г. договора, 4000 мотоциклов Л-300, постановлением правительственных органов был передан в другое объединение и загружен специальными заказами. Данный завод хотя и предполагает в 1933 г. возобновить производство мотоциклов «Л-300», но в весьма минимальных размерах /300–350 машин/, так что на выполнение заводом договора на мотоциклы для Центрального Совета Общества Автодор в 1933 г. рассчитывать не приходится. Кроме того, за снижением программы резко увеличивается стоимость мотоциклов, достигая 6000 руб. за машину. Третий завод, производящий мотоциклы — Харьковский автосборочный Автомотовелотреста УССР имеет на 1933 г. программу лишь в 300 мотоциклов ХМЗ типа «Харлей-Дэвидсон» … и особых надежд на развитие мотоциклостроения на этом заводе в 1933 г. не имеется». На основе А-750 были выполнены проекты более мощного мотоцикла А-850 и двух легких — НАТИ-Б-375 и НАТИ-В-375, но в серийное производство эти мотоциклы не передавались. В июле все четыре А-750 и один ИЖ-7 своим ходом отправились в Москву для проведения госиспытаний, по окончании которых мотоцикл № 2 был передан в Политехнический музей. Судьба машины № 2 сложилась необычно. Мотоцикл был реквизирован «для нужд оборонной промышленности». После войны мотоцикл был списан и его выкупил Я. Д. Зузик, который восстановил А-750 и поддерживал в рабочем состоянии. После его смерти в 1994 г., А-750 был продан литовскому коллекционеру и сейчас находится у нового владельца. Как сложилась судьба остальных четырех машин, изготовленных ИОМЗА в мае 1933 г., неизвестно. Помимо А-750 № 2 в бывшем СССР имеется еще до нескольких десятков мотоциклов этой марки разной степени сохранности, но все они изготовлены не в Ижевске, причем комплектные машины очень большая редкость. По причине недостаточной оснащенности ИОМЗА руководство НКТП решило поручить производство Подольскому механическому заводу. Поэтому мотоцикл получил обозначение ПМЗ-А-750, ПМЗ-750 или просто ПМЗ. Первый ПМЗ-750 изготовили в начале февраля 1934 г. и отправили в Кремль на выставку, посвящённую Мотоциклы НАТИ-А-750 и ИЖ-7 постройки ИОМЗА перед пробегом в открытию XVII съезда ВКП(б). На руководство страны мотоцикл произвел хорошее впечатление, и оно отметило П. В. Можарова предоставлением отпуска и путёвки в санаторий ЦК партии в Сочи. Однако в серию А-750 пошел уже без его конструктора, так как Петр Можаров скончался при неясных обстоятельствах 11 марта 1934 г., находясь в официальном отпуске в том самом санатории ЦК ВКП(б) в Сочи. По одной из версий инженер застрелился из-за гонений властей, по другой — был убит. Там же в Сочи Петр Можаров и был похоронен. Могила Можарова долгое время считалась утерянной, но 5 февраля 2015 г. телеканал «Россия — Сочи» выпустил новостной сюжет, в котором сообщил, что сочинка Ружена Гребенюк, которая гуляла со своей собакой в районе Мемориала воинской славы в Завокзальном микрорайоне, обнаружила могильную плиту со слабо видневшейся надписью. Новость быстро облетела телевизионные и печатные СМИ, попала на интернет ресурсы. Место захоронения патриарха отечественного мотоциклостроения было обнаружено. Оставшись без конструктора, мотоцикл А-750 оказался в роли нелюбимого пасынка: за внедрение в серию и его совершенствование отвечали разные люди, что не могло не сказаться на конструктивном совершенстве и качестве постройки. Первые три серийных мотоцикла ПМЗ сдал только в 1935 г. К июлю было изгтовлено еще 6, а следующие только в 1936 г. К числу существенных недостатков А-750 постройки ПМЗ относились плохая управляемость на больших скоростях из-за конструкции передней подвески, а также хронические проблемы с регулятором опережения зажигания. Двигатель был неудачно сбалансирован и вибрировал, а передачи переключались с большим трудом. Спортсмены быстро нашли способ устранить дефекты передней подвески и решить проблемы с двигателем и электрооборудованием, но в серию новшества так и не внедрили. Производство А-750 велось на ПМЗ до 1939 г. Предполагалось продолжить выпуск на заводе им. Фрунзе, но эти планы не были реализованы. В 1940 г. с уставного фонда Подольского механического завода Наркомобщмаша были списаны затраты на изготовление мотоциклов МПЗ-750 в связи со снятием с производства. По имеющимся на сегодня данным двумя заводами всего было изготовлено 4640 шт. А-750. С 1936 г. мотоциклы А-750 поступали в розничную продажу. Первоначально цена составляла 11 550 руб., а в 1937 г. ее снизили до 7760 руб. Около трети построенных мотоциклов поступило в народное хозяйство и частным владельцам, а остальные были в армии, войсках НКВД, в оборонной промышленности и у отдельных учреждений. Последние использовавшиеся военными ПМЗ-750 были списаны уже в послевоенный период с переоснащением армии мотоциклами Ирбитского завода. Хотя А-750 продолжали службу и в годы войны, военные в итоговых статистических документах их перестали учитывать отдельной строкой. Поэтому проследить судьбу этих мотоциклов можно по документам не руководящих воинских структур, а самих военных </w:t>
      </w:r>
      <w:r w:rsidRPr="005E779E">
        <w:rPr>
          <w:rFonts w:ascii="Times New Roman" w:hAnsi="Times New Roman"/>
          <w:color w:val="000000" w:themeColor="text1"/>
          <w:sz w:val="16"/>
          <w:szCs w:val="16"/>
        </w:rPr>
        <w:lastRenderedPageBreak/>
        <w:t>частей на основании фотоматериалов или доверившись памяти ветеранов. В годы войны не все тяжелые мотоциклы были мобилизованы в армию. По данным доклада ГАИ НКВД к 1 мая 1942 г. на предприятиях и в учреждениях народного хозяйства, а также у частных владельцев, имелось 1646 тяжелых мотоциклов с колясками, в том числе 1254 А-750. Видно, что в народном хозяйстве в годы войны из тяжелых мотоциклов А-750 составляли абсолютное большинство. Нерешенность вопроса оснащения Красной Армии мотоциклами, выпуск А-750 даже в оптимистичных планах был явно недостаточным, вынудила военных обратиться к руководству страны. От имени НКО 19 октября 1934 г. начальник Политуправления РККА Ян Гамарник направил в ЦК Партии представление №13243сс об организации производств мотоциклов. В нем говорилось: «К настоящему времени в стране производится несколько десятков мотоциклов в год полукустарным порядком. В Ленинграде на заводе «Красный Октябрь» изготовляется мотоцикл типа Л-300 — двухтактный, малосильный. Выпуск этих мотоциклов в 1934 году производится в количестве не более 50–60 штук в год. На Ижевском заводе в опытном порядке построено 4 мотоцикла. Между тем потребность в мотоцикле крайне велика, как для армии, так и для народного хозяйства. Мотоцикл нужен: 1) для армии, как важнейшее средство разведки, связи и управления 2) для службы пограничной охраны 3) для обслуживания милиции 4) как средство коммунального обслуживания города и деревни: перевозка почты, средство связи, подача первой медицинской помощи и т. д. 5) как один из видов спорта для внедрения в массы автомобильной культуры и техники, а также для подготовки кадров для армии. Мотоцикл не требует сложного технического обслуживания, не требует постройки гаражей, потребляет мало горючего. Считая этот вопрос крайне важным для армии и других нужд страны, прошу Вас рассмотреть этот вопрос с тем, чтобы обеспечить уже в 35 году значительное развертывание производства мотоциклов» (19776).</w:t>
      </w:r>
    </w:p>
    <w:p w14:paraId="03C9C4B8" w14:textId="77777777" w:rsidR="00756577" w:rsidRPr="005E779E" w:rsidRDefault="00756577" w:rsidP="000B7A6C">
      <w:pPr>
        <w:spacing w:after="0" w:line="240" w:lineRule="auto"/>
        <w:jc w:val="both"/>
        <w:rPr>
          <w:rFonts w:ascii="Times New Roman" w:hAnsi="Times New Roman"/>
          <w:color w:val="000000" w:themeColor="text1"/>
          <w:sz w:val="16"/>
          <w:szCs w:val="16"/>
        </w:rPr>
      </w:pPr>
    </w:p>
    <w:p w14:paraId="6E8C7DFD" w14:textId="77777777" w:rsidR="00756577" w:rsidRPr="005E779E" w:rsidRDefault="0075657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октября 1931 представительное совещание в Главмашпроме ВСНХ СССР постановило целесообразным организацию выпуска мотоциклов в Харькове для нужд обороны и народного хозяйства. Завод предстояло реконструировать для реализации среднегодовой программы в 3000 мотоциклов. Помимо реконструкции, в счет части выделенных средств на заводе выполнили несколько проектов оригинальных мотоциклов. К октябрю следующего, 1932 г., был готов эталонный мотоцикл для серии. Рама этого мотоцикла состояла из 2-х боковин, прессованных из листового железа, толщиной 2,5 мм. Верхние полосы обеих боковин были сведены вместе и сварены. Мотоцикл имел электрооборудование Московского Электрозавода. Бак мотоцикла был комбинированным с загородкой, разделявшей его на емкости для бензина и масла. В стандартное оборудование мотоцикла входили: передняя и задняя подставка, щитки на колеса, сплошной щиток на моторную цепь, багажник. Дополнительно мотоцикл мог быть оснащен вторым седлом на багажнике и добавочными подножками для второго седока. 1 ноября 1932 г. мотоцикл модели «1М 350» был испытан заводской приемочной комиссией пробегом в 50 км, после чего отправлен в подарок Наркомвоенмору Клименту Ворошилову. Не приходится сомневаться в том, что получатель остался мотоциклом доволен. Нарком не мог не увидеть объективный рост завода, прошедшего всего за пару лет путь от кустарных мастерских до современного промышленного предприятия. Поэтому мотоциклы в Харькове решили не строить. В 1932 Харьковский Автосборочный завод получил мобзадание по организации Бронетанковой ремонтной базы с подачей в первый год войны 1454 машин. По понятным причинам в прессе было сообщено о том, что завод получил задание на выпуск с 1933 г. сельхозтехники и железнодорожных платформ. Предприятие завершило реконструкцию и, сменив подчиненность, было переименовано в Харьковский механический завод «Серп и Молот». К счастью выполнять в 1933 г. мобзадание заводу не пришлось. Заказ же мирного времени на 1933 г., поданный Управлением Механизации и Моторизации РККА, включал ремонт 165 танков Т-26 и Т-18, 10 БТ, 5 Т-24 и 35 танкеток Т-27. Но и вопрос организации производства мотоциклов в Харькове всерьез более не рассматривался и после смены профиля предприятия некоторая часть материалов была передана в г. Таганрог (19776).</w:t>
      </w:r>
    </w:p>
    <w:p w14:paraId="1ECA4720" w14:textId="77777777" w:rsidR="00756577" w:rsidRPr="005E779E" w:rsidRDefault="00756577" w:rsidP="000B7A6C">
      <w:pPr>
        <w:spacing w:after="0" w:line="240" w:lineRule="auto"/>
        <w:jc w:val="both"/>
        <w:rPr>
          <w:rFonts w:ascii="Times New Roman" w:hAnsi="Times New Roman"/>
          <w:color w:val="000000" w:themeColor="text1"/>
          <w:sz w:val="16"/>
          <w:szCs w:val="16"/>
        </w:rPr>
      </w:pPr>
    </w:p>
    <w:p w14:paraId="511765F9" w14:textId="77777777" w:rsidR="003371BD" w:rsidRPr="005E779E" w:rsidRDefault="003371BD"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5 октября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Протокол заседания Политбюро ЦК ВКП(б) № 67. 4. О закупке судов. Опросом членов ПБ от 5 октября 1931 г. 66/42. О мобтройке (ОБ от 1 октября 1931 г., пр. № 77, п. 5). — ОП. Постановили: 1) ликвидировать мобилизационную тройку ЦК, сохранив ответственность инструктора ЦК по мобработе (в составе Оргинстра ЦК) и лиц, ответственных за мобработу в каждом отделе ЦК; 2) ликвидировать мобтройки при местных парткомах, возложив руководство оборонной работой на секретаря парткома. (Политбюро... Т. 2. С. 225) (12416).</w:t>
      </w:r>
    </w:p>
    <w:p w14:paraId="09AFE903" w14:textId="77777777" w:rsidR="003371BD" w:rsidRPr="005E779E" w:rsidRDefault="003371BD" w:rsidP="000B7A6C">
      <w:pPr>
        <w:spacing w:after="0" w:line="240" w:lineRule="auto"/>
        <w:jc w:val="both"/>
        <w:rPr>
          <w:rFonts w:ascii="Times New Roman" w:hAnsi="Times New Roman"/>
          <w:color w:val="000000" w:themeColor="text1"/>
          <w:sz w:val="16"/>
          <w:szCs w:val="16"/>
          <w:u w:color="002060"/>
        </w:rPr>
      </w:pPr>
    </w:p>
    <w:p w14:paraId="3C8ACC9D"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33D8898A"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521393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октября 1931 американец Клайд Пангборн совершил первый в мире безостановочный перелет через Тихий океан (4962).</w:t>
      </w:r>
    </w:p>
    <w:p w14:paraId="369BE04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F79E3F"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7A7E8EEE"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43E3B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октября 1931 г. Высший Совет Народного Хозяйства (ВСНХ) решил освоить в стране производство мотоциклов для Красной Армии: тяжёлого, с двигателем 750 смз, и среднего, с мотором 375 смз. Эту работу вновь поручили Можарову. В конце того же года он переехал в Москву и стал начальником мотоциклетного КБ Научного автотракторного института (НАТИ). Базовая модель НАТИ-А-750 представляла собой причудливое сочетание V-twin'a типа Наrlеy-Dаvidsоn и ходовой части по образцу ВМW. Машина могла эксплуатироваться в одиночном варианте или с коляской. Спроектировали и одноцилиндровый двигатель. Его более чем на 90% унифицировали с базовым мотором, а по посадочным местам - с мотором Л-300. Благодаря этому без особого труда удалось встроить получившийся агрегат в ходовую часть Л-300. Получившейся лёгкой машине присвоили индекс НАТИ-Б-375. Память об неосуществленном проекте "Иж-6" побудила Можарова сделать ещё одну модель. В ходовую часть, аналогичную А-750, он вмонтировал новый одноцилиндровый двигатель (375 смз) с коробкой передач и приводом заднего колеса с помощью вала. Эта машина очень походила на появившиеся к тому моменту ВМW R4. Её обозначили НАТИ - Иж-6 (по некоторым сведениям, она именовалась также НАТИ-В-375). Пётр Владимирович понимал, что на бездорожье мощности базовых двигателей может оказаться недостаточно, поэтому разработал модификацию цилиндро-поршневой группы, позволявшую создать моторы с рабочими объёмами 850 смз и 425 смз - более мощные и тяговитые. Изготовление мотоциклов разместили в мастерских мотосекции на Ижстальзаводах. Руководство НАТИ потребовало доставить новые мотоциклы в Москву своим ходом. Отправили четыре НАТИ-А-750, опытный "Иж-7", созданный на базе Л-300 специалистами организованного к тому времени Ижевского мотозавода, а для сравнения с ними - BMW R16 и Harley-Davidson. Эту поездку назвали "Предварительный испытательный пробег". Из-за дождей и дорожной грязи изменили обычный маршрут. По шоссе добрались до Сарапула (60 км), оттуда на пароходе до Горького, далее по шоссе до Москвы (410 км). В столице на торжественном митинге выступили председатель ЦС АВТОДОР С. С. Каменев, представители общественности города и мотоциклетных секций Москвы. Новые мотоциклы произвели хорошее впечатление. Вскоре их передали в НАТИ для всесторонних испытаний, после чего ВСНХ принял решение о серийном производстве НАТИ-А-750 - в Подольске, на Подольском механическом заводе (ПМЗ). Возглавить все работы по освоению мотоциклов на ПМЗ поручили тому же Можарову. Ему пришлось вести трудные переговоры с дирекцией завода, которую перспектива выпуска мотоциклов отнюдь не обрадовала. Он лично хлопотал о финансировании работ, писал письма наркому Серго Орджоникидзе. Самое главное - на заводе практически отсутствовало штамповочное оборудование, необходимое для изготовления деталей ходовой части. С большим трудом Пётр Владимирович комплектовал новый участок. Он корректировал конструкторскую документацию с учётом приобретённой техники, одновременно обучая будущих рабочих. В первой декаде февраля 1934 г. завершилось изготовление промышленного образца, которому дали новое название: ПМЗ-А-750. Его сразу же направили в Кремль. Мотоцикл произвел впечатление на первых лиц государства, и конструктора премировали путевкой в санаторий ЦК ВКП(б) в Сочи. К сожалению, там 11 марта при загадочных обстоятельствах Пётр Владимирович скончался. Созданные им мотоциклы - Л-300 и НАТИ-А-750 - выпускались в Ленинграде и Подольске до конца 30-х годов. Фактически Можаров стал организатором серийного производства мотоциклов в СССР. В память об этом выдающемся человеке к 100-летию со дня его рождения в Ижевске отлили памятную медаль, в 1989 г. его именем назвали одну из старых улиц города, а в нынешнем году издательство "Наука" Российской Академии наук выпустило книгу "Пётр Владимирович Можаров (1888-1934)" (11397).</w:t>
      </w:r>
    </w:p>
    <w:p w14:paraId="428014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69793A8" w14:textId="77777777" w:rsidR="003E4223" w:rsidRPr="005E779E" w:rsidRDefault="003E4223" w:rsidP="000B7A6C">
      <w:pPr>
        <w:pStyle w:val="a3"/>
        <w:rPr>
          <w:color w:val="000000" w:themeColor="text1"/>
          <w:lang w:val="ru-RU"/>
        </w:rPr>
      </w:pPr>
      <w:r w:rsidRPr="005E779E">
        <w:rPr>
          <w:color w:val="000000" w:themeColor="text1"/>
          <w:lang w:val="ru-RU"/>
        </w:rPr>
        <w:t>5 октября 1931 г. прошло совещания в Главмашпроме ВСНХ, по итогам которого мо</w:t>
      </w:r>
      <w:r w:rsidRPr="005E779E">
        <w:rPr>
          <w:color w:val="000000" w:themeColor="text1"/>
          <w:lang w:val="ru-RU"/>
        </w:rPr>
        <w:softHyphen/>
        <w:t>сковскому институту НАТИ поручили проектирование перспективного армейского мотоцикла. К нему предъявлялись следующие требования:</w:t>
      </w:r>
    </w:p>
    <w:p w14:paraId="40086B06" w14:textId="77777777" w:rsidR="003E4223" w:rsidRPr="005E779E" w:rsidRDefault="003E4223" w:rsidP="000B7A6C">
      <w:pPr>
        <w:pStyle w:val="1010"/>
        <w:shd w:val="clear" w:color="auto" w:fill="auto"/>
        <w:spacing w:line="240" w:lineRule="auto"/>
        <w:ind w:firstLine="0"/>
        <w:rPr>
          <w:rFonts w:ascii="Times New Roman" w:hAnsi="Times New Roman" w:cs="Times New Roman"/>
          <w:i w:val="0"/>
          <w:color w:val="000000" w:themeColor="text1"/>
          <w:sz w:val="16"/>
          <w:szCs w:val="16"/>
        </w:rPr>
      </w:pPr>
      <w:r w:rsidRPr="005E779E">
        <w:rPr>
          <w:rFonts w:ascii="Times New Roman" w:hAnsi="Times New Roman" w:cs="Times New Roman"/>
          <w:i w:val="0"/>
          <w:color w:val="000000" w:themeColor="text1"/>
          <w:sz w:val="16"/>
          <w:szCs w:val="16"/>
        </w:rPr>
        <w:t>«1. Мотор американского типа* с низкой степенью сжатия.</w:t>
      </w:r>
    </w:p>
    <w:p w14:paraId="1DFE9A9A" w14:textId="77777777" w:rsidR="003E4223" w:rsidRPr="005E779E" w:rsidRDefault="003E4223" w:rsidP="000B7A6C">
      <w:pPr>
        <w:pStyle w:val="1010"/>
        <w:shd w:val="clear" w:color="auto" w:fill="auto"/>
        <w:tabs>
          <w:tab w:val="left" w:pos="466"/>
        </w:tabs>
        <w:spacing w:line="240" w:lineRule="auto"/>
        <w:ind w:firstLine="0"/>
        <w:rPr>
          <w:rFonts w:ascii="Times New Roman" w:hAnsi="Times New Roman" w:cs="Times New Roman"/>
          <w:i w:val="0"/>
          <w:color w:val="000000" w:themeColor="text1"/>
          <w:sz w:val="16"/>
          <w:szCs w:val="16"/>
        </w:rPr>
      </w:pPr>
      <w:r w:rsidRPr="005E779E">
        <w:rPr>
          <w:rFonts w:ascii="Times New Roman" w:hAnsi="Times New Roman" w:cs="Times New Roman"/>
          <w:i w:val="0"/>
          <w:color w:val="000000" w:themeColor="text1"/>
          <w:sz w:val="16"/>
          <w:szCs w:val="16"/>
        </w:rPr>
        <w:t>2. КПП расположена отдельно,</w:t>
      </w:r>
      <w:r w:rsidRPr="005E779E">
        <w:rPr>
          <w:rStyle w:val="106"/>
          <w:rFonts w:ascii="Times New Roman" w:eastAsia="Arial Unicode MS" w:hAnsi="Times New Roman" w:cs="Times New Roman"/>
          <w:i w:val="0"/>
          <w:iCs w:val="0"/>
          <w:color w:val="000000" w:themeColor="text1"/>
          <w:sz w:val="16"/>
          <w:szCs w:val="16"/>
        </w:rPr>
        <w:t xml:space="preserve"> с</w:t>
      </w:r>
      <w:r w:rsidRPr="005E779E">
        <w:rPr>
          <w:rFonts w:ascii="Times New Roman" w:hAnsi="Times New Roman" w:cs="Times New Roman"/>
          <w:i w:val="0"/>
          <w:color w:val="000000" w:themeColor="text1"/>
          <w:sz w:val="16"/>
          <w:szCs w:val="16"/>
        </w:rPr>
        <w:t xml:space="preserve"> шестеренчатой передачей к двига</w:t>
      </w:r>
      <w:r w:rsidRPr="005E779E">
        <w:rPr>
          <w:rFonts w:ascii="Times New Roman" w:hAnsi="Times New Roman" w:cs="Times New Roman"/>
          <w:i w:val="0"/>
          <w:color w:val="000000" w:themeColor="text1"/>
          <w:sz w:val="16"/>
          <w:szCs w:val="16"/>
        </w:rPr>
        <w:softHyphen/>
        <w:t>телю и сухой фрикционной муфтой сцепления.</w:t>
      </w:r>
    </w:p>
    <w:p w14:paraId="4B7DBC1E" w14:textId="77777777" w:rsidR="003E4223" w:rsidRPr="005E779E" w:rsidRDefault="003E4223" w:rsidP="000B7A6C">
      <w:pPr>
        <w:pStyle w:val="1010"/>
        <w:shd w:val="clear" w:color="auto" w:fill="auto"/>
        <w:tabs>
          <w:tab w:val="left" w:pos="468"/>
        </w:tabs>
        <w:spacing w:line="240" w:lineRule="auto"/>
        <w:ind w:firstLine="0"/>
        <w:rPr>
          <w:rFonts w:ascii="Times New Roman" w:hAnsi="Times New Roman" w:cs="Times New Roman"/>
          <w:i w:val="0"/>
          <w:color w:val="000000" w:themeColor="text1"/>
          <w:sz w:val="16"/>
          <w:szCs w:val="16"/>
        </w:rPr>
      </w:pPr>
      <w:r w:rsidRPr="005E779E">
        <w:rPr>
          <w:rFonts w:ascii="Times New Roman" w:hAnsi="Times New Roman" w:cs="Times New Roman"/>
          <w:i w:val="0"/>
          <w:color w:val="000000" w:themeColor="text1"/>
          <w:sz w:val="16"/>
          <w:szCs w:val="16"/>
        </w:rPr>
        <w:t>3. Цепная закрытая передача на заднее колесо.</w:t>
      </w:r>
    </w:p>
    <w:p w14:paraId="31A6B140" w14:textId="77777777" w:rsidR="003E4223" w:rsidRPr="005E779E" w:rsidRDefault="003E4223" w:rsidP="000B7A6C">
      <w:pPr>
        <w:pStyle w:val="1010"/>
        <w:shd w:val="clear" w:color="auto" w:fill="auto"/>
        <w:tabs>
          <w:tab w:val="left" w:pos="468"/>
        </w:tabs>
        <w:spacing w:line="240" w:lineRule="auto"/>
        <w:ind w:firstLine="0"/>
        <w:rPr>
          <w:rFonts w:ascii="Times New Roman" w:hAnsi="Times New Roman" w:cs="Times New Roman"/>
          <w:i w:val="0"/>
          <w:color w:val="000000" w:themeColor="text1"/>
          <w:sz w:val="16"/>
          <w:szCs w:val="16"/>
        </w:rPr>
      </w:pPr>
      <w:r w:rsidRPr="005E779E">
        <w:rPr>
          <w:rFonts w:ascii="Times New Roman" w:hAnsi="Times New Roman" w:cs="Times New Roman"/>
          <w:i w:val="0"/>
          <w:color w:val="000000" w:themeColor="text1"/>
          <w:sz w:val="16"/>
          <w:szCs w:val="16"/>
        </w:rPr>
        <w:t>4. Рама - прессованная из листового железа.</w:t>
      </w:r>
    </w:p>
    <w:p w14:paraId="62EAC2BC" w14:textId="77777777" w:rsidR="003E4223" w:rsidRPr="005E779E" w:rsidRDefault="003E4223" w:rsidP="000B7A6C">
      <w:pPr>
        <w:pStyle w:val="1010"/>
        <w:shd w:val="clear" w:color="auto" w:fill="auto"/>
        <w:tabs>
          <w:tab w:val="left" w:pos="468"/>
        </w:tabs>
        <w:spacing w:line="240" w:lineRule="auto"/>
        <w:ind w:firstLine="0"/>
        <w:rPr>
          <w:rFonts w:ascii="Times New Roman" w:hAnsi="Times New Roman" w:cs="Times New Roman"/>
          <w:i w:val="0"/>
          <w:color w:val="000000" w:themeColor="text1"/>
          <w:sz w:val="16"/>
          <w:szCs w:val="16"/>
        </w:rPr>
      </w:pPr>
      <w:r w:rsidRPr="005E779E">
        <w:rPr>
          <w:rFonts w:ascii="Times New Roman" w:hAnsi="Times New Roman" w:cs="Times New Roman"/>
          <w:i w:val="0"/>
          <w:color w:val="000000" w:themeColor="text1"/>
          <w:sz w:val="16"/>
          <w:szCs w:val="16"/>
        </w:rPr>
        <w:t>5. Передняя вилка - рессорная.</w:t>
      </w:r>
    </w:p>
    <w:p w14:paraId="633D8202" w14:textId="77777777" w:rsidR="003E4223" w:rsidRPr="005E779E" w:rsidRDefault="003E4223" w:rsidP="000B7A6C">
      <w:pPr>
        <w:pStyle w:val="1010"/>
        <w:shd w:val="clear" w:color="auto" w:fill="auto"/>
        <w:tabs>
          <w:tab w:val="left" w:pos="468"/>
        </w:tabs>
        <w:spacing w:line="240" w:lineRule="auto"/>
        <w:ind w:firstLine="0"/>
        <w:rPr>
          <w:rFonts w:ascii="Times New Roman" w:hAnsi="Times New Roman" w:cs="Times New Roman"/>
          <w:i w:val="0"/>
          <w:color w:val="000000" w:themeColor="text1"/>
          <w:sz w:val="16"/>
          <w:szCs w:val="16"/>
        </w:rPr>
      </w:pPr>
      <w:r w:rsidRPr="005E779E">
        <w:rPr>
          <w:rFonts w:ascii="Times New Roman" w:hAnsi="Times New Roman" w:cs="Times New Roman"/>
          <w:i w:val="0"/>
          <w:color w:val="000000" w:themeColor="text1"/>
          <w:sz w:val="16"/>
          <w:szCs w:val="16"/>
        </w:rPr>
        <w:t>6. Колеса - легкосъемные, взаимозаменяемые».</w:t>
      </w:r>
    </w:p>
    <w:p w14:paraId="49B16D27" w14:textId="77777777" w:rsidR="003E4223" w:rsidRPr="005E779E" w:rsidRDefault="003E4223" w:rsidP="000B7A6C">
      <w:pPr>
        <w:pStyle w:val="a3"/>
        <w:rPr>
          <w:rStyle w:val="105"/>
          <w:rFonts w:ascii="Times New Roman" w:hAnsi="Times New Roman" w:cs="Times New Roman"/>
          <w:b w:val="0"/>
          <w:color w:val="000000" w:themeColor="text1"/>
          <w:sz w:val="16"/>
          <w:szCs w:val="16"/>
          <w:lang w:val="ru-RU"/>
        </w:rPr>
      </w:pPr>
      <w:r w:rsidRPr="005E779E">
        <w:rPr>
          <w:color w:val="000000" w:themeColor="text1"/>
          <w:lang w:val="ru-RU"/>
        </w:rPr>
        <w:t>Вскоре группу Можарова перевели в Москву и влили в реорганизо</w:t>
      </w:r>
      <w:r w:rsidRPr="005E779E">
        <w:rPr>
          <w:color w:val="000000" w:themeColor="text1"/>
          <w:lang w:val="ru-RU"/>
        </w:rPr>
        <w:softHyphen/>
        <w:t>ванный НАТИ. Перспективный мотоцикл получил обозначение А-750, или НАТИ-А-750,</w:t>
      </w:r>
      <w:r w:rsidRPr="005E779E">
        <w:rPr>
          <w:rStyle w:val="105"/>
          <w:rFonts w:ascii="Times New Roman" w:hAnsi="Times New Roman" w:cs="Times New Roman"/>
          <w:b w:val="0"/>
          <w:color w:val="000000" w:themeColor="text1"/>
          <w:sz w:val="16"/>
          <w:szCs w:val="16"/>
          <w:lang w:val="ru-RU"/>
        </w:rPr>
        <w:t xml:space="preserve"> т</w:t>
      </w:r>
      <w:r w:rsidRPr="005E779E">
        <w:rPr>
          <w:color w:val="000000" w:themeColor="text1"/>
          <w:lang w:val="ru-RU"/>
        </w:rPr>
        <w:t>.е. армейский (военная техника НАТИ имела индекс «А», а вездеходные</w:t>
      </w:r>
      <w:r w:rsidRPr="005E779E">
        <w:rPr>
          <w:rStyle w:val="105"/>
          <w:rFonts w:ascii="Times New Roman" w:hAnsi="Times New Roman" w:cs="Times New Roman"/>
          <w:b w:val="0"/>
          <w:color w:val="000000" w:themeColor="text1"/>
          <w:sz w:val="16"/>
          <w:szCs w:val="16"/>
          <w:lang w:val="ru-RU"/>
        </w:rPr>
        <w:t xml:space="preserve"> машины</w:t>
      </w:r>
      <w:r w:rsidRPr="005E779E">
        <w:rPr>
          <w:color w:val="000000" w:themeColor="text1"/>
          <w:lang w:val="ru-RU"/>
        </w:rPr>
        <w:t xml:space="preserve"> двойного назначения - индекс «В») с мотором объемом 750</w:t>
      </w:r>
      <w:r w:rsidRPr="005E779E">
        <w:rPr>
          <w:rStyle w:val="105"/>
          <w:rFonts w:ascii="Times New Roman" w:hAnsi="Times New Roman" w:cs="Times New Roman"/>
          <w:b w:val="0"/>
          <w:color w:val="000000" w:themeColor="text1"/>
          <w:sz w:val="16"/>
          <w:szCs w:val="16"/>
          <w:lang w:val="ru-RU"/>
        </w:rPr>
        <w:t xml:space="preserve"> см</w:t>
      </w:r>
      <w:r w:rsidRPr="005E779E">
        <w:rPr>
          <w:rStyle w:val="105"/>
          <w:rFonts w:ascii="Times New Roman" w:hAnsi="Times New Roman" w:cs="Times New Roman"/>
          <w:b w:val="0"/>
          <w:color w:val="000000" w:themeColor="text1"/>
          <w:sz w:val="16"/>
          <w:szCs w:val="16"/>
          <w:vertAlign w:val="superscript"/>
          <w:lang w:val="ru-RU"/>
        </w:rPr>
        <w:t>3</w:t>
      </w:r>
      <w:r w:rsidRPr="005E779E">
        <w:rPr>
          <w:rStyle w:val="105"/>
          <w:rFonts w:ascii="Times New Roman" w:hAnsi="Times New Roman" w:cs="Times New Roman"/>
          <w:b w:val="0"/>
          <w:color w:val="000000" w:themeColor="text1"/>
          <w:sz w:val="16"/>
          <w:szCs w:val="16"/>
          <w:lang w:val="ru-RU"/>
        </w:rPr>
        <w:t xml:space="preserve"> (15753).</w:t>
      </w:r>
    </w:p>
    <w:p w14:paraId="36B5569F" w14:textId="77777777" w:rsidR="003E4223" w:rsidRPr="005E779E" w:rsidRDefault="003E4223" w:rsidP="000B7A6C">
      <w:pPr>
        <w:pStyle w:val="a3"/>
        <w:rPr>
          <w:rStyle w:val="105"/>
          <w:rFonts w:ascii="Times New Roman" w:hAnsi="Times New Roman" w:cs="Times New Roman"/>
          <w:b w:val="0"/>
          <w:color w:val="000000" w:themeColor="text1"/>
          <w:sz w:val="16"/>
          <w:szCs w:val="16"/>
          <w:lang w:val="ru-RU"/>
        </w:rPr>
      </w:pPr>
    </w:p>
    <w:p w14:paraId="65C8E95A" w14:textId="77777777" w:rsidR="003E4223"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67AD087F" w14:textId="77777777" w:rsidR="003E4223" w:rsidRPr="005E779E" w:rsidRDefault="003E4223"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42BD211" w14:textId="77777777" w:rsidR="003E4223" w:rsidRPr="005E779E" w:rsidRDefault="003E422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октября в 1931 году в рамках кругосветного перелёта завершен первый в мире беспосадочный перелёт через Тихий океан. Первый в мире беспосадочный полет из Японии в США совершили Клайд Пангборн (Clyde Pangborn) и Хью Херндон (</w:t>
      </w:r>
      <w:r w:rsidRPr="005E779E">
        <w:rPr>
          <w:rFonts w:ascii="Times New Roman" w:hAnsi="Times New Roman"/>
          <w:color w:val="000000" w:themeColor="text1"/>
          <w:sz w:val="16"/>
          <w:szCs w:val="16"/>
          <w:lang w:val="en-US"/>
        </w:rPr>
        <w:t>Hugh</w:t>
      </w:r>
      <w:r w:rsidRPr="005E779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lang w:val="en-US"/>
        </w:rPr>
        <w:t>Herndon</w:t>
      </w:r>
      <w:r w:rsidRPr="005E779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lang w:val="en-US"/>
        </w:rPr>
        <w:t>Jr</w:t>
      </w:r>
      <w:r w:rsidRPr="005E779E">
        <w:rPr>
          <w:rFonts w:ascii="Times New Roman" w:hAnsi="Times New Roman"/>
          <w:color w:val="000000" w:themeColor="text1"/>
          <w:sz w:val="16"/>
          <w:szCs w:val="16"/>
        </w:rPr>
        <w:t>) намоноплане «</w:t>
      </w:r>
      <w:r w:rsidRPr="005E779E">
        <w:rPr>
          <w:rFonts w:ascii="Times New Roman" w:hAnsi="Times New Roman"/>
          <w:color w:val="000000" w:themeColor="text1"/>
          <w:sz w:val="16"/>
          <w:szCs w:val="16"/>
          <w:lang w:val="en-US"/>
        </w:rPr>
        <w:t>Bellanca</w:t>
      </w:r>
      <w:r w:rsidRPr="005E779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lang w:val="en-US"/>
        </w:rPr>
        <w:t>CH</w:t>
      </w:r>
      <w:r w:rsidRPr="005E779E">
        <w:rPr>
          <w:rFonts w:ascii="Times New Roman" w:hAnsi="Times New Roman"/>
          <w:color w:val="000000" w:themeColor="text1"/>
          <w:sz w:val="16"/>
          <w:szCs w:val="16"/>
        </w:rPr>
        <w:t>-400» «</w:t>
      </w:r>
      <w:r w:rsidRPr="005E779E">
        <w:rPr>
          <w:rFonts w:ascii="Times New Roman" w:hAnsi="Times New Roman"/>
          <w:color w:val="000000" w:themeColor="text1"/>
          <w:sz w:val="16"/>
          <w:szCs w:val="16"/>
          <w:lang w:val="en-US"/>
        </w:rPr>
        <w:t>Miss</w:t>
      </w:r>
      <w:r w:rsidRPr="005E779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lang w:val="en-US"/>
        </w:rPr>
        <w:t>Veedol</w:t>
      </w:r>
      <w:r w:rsidRPr="005E779E">
        <w:rPr>
          <w:rFonts w:ascii="Times New Roman" w:hAnsi="Times New Roman"/>
          <w:color w:val="000000" w:themeColor="text1"/>
          <w:sz w:val="16"/>
          <w:szCs w:val="16"/>
        </w:rPr>
        <w:t xml:space="preserve">». Как раз накануне прибытия в Японию обнаружилось, что японская газета "Асахи" объявил премию в 25 тысяч долларов тому экипажу, который совершит этот полет. Ввиду этого </w:t>
      </w:r>
      <w:r w:rsidRPr="005E779E">
        <w:rPr>
          <w:rFonts w:ascii="Times New Roman" w:hAnsi="Times New Roman"/>
          <w:color w:val="000000" w:themeColor="text1"/>
          <w:sz w:val="16"/>
          <w:szCs w:val="16"/>
        </w:rPr>
        <w:lastRenderedPageBreak/>
        <w:t>американцы столкнулись с волной недовольства японских конкурентов и просто ультрапатриотов, которые желали, чтобы эта премия досталась их соотечественникам, а не американцам. Многочисленные неприятности и враждебная обстановка значительно трепали нервы и отнимали время. Для того, чтобы хватило горючего на весь перелет, летчикам пришлось убрать все лишнее с борта, в том числе парашюты и даже подушки с сидений. Втайне от японцев даже немного модифицировали конструкцию самолета с помощью приспособления, позволяющее в полете сбросить колеса и специальной лыжи для успешной посадки в США. В 2 часа ночи 4 октября 1931 года, в день 27-летия Херндона, они взлетели с аэродрома Самуширо, расположенного в 483 километрах севернее Токио. Идя вдоль гряды Курильских островов, примерно в 300 милях от точки взлета, летчики сбросили колеса. Скорость полета тут же возросла, но Пангборн увидел, что под фюзеляжем остались торчать две стойки, которые не только увеличивали лобовое сопротивление, но и могли привести к катастрофе при посадке. Тогда он вылез на крыло и, держась одной рукой за подкосы крыла, другой рукой попытался сбросить эти стойки. Сделать это удалось только через 20 минут борьбы, но все же смелость и упорство летчика победили. 5 октября, проведя в воздухе 41 час 13 минут и пролетев 7334 км, они приземлились в небольшом городке Уэнатчи (кстати, Пангборн в нем родился). Самолет коснулся земли фюзеляжем, прополз по инерции более 100 метров и встал на нос, поломав винт. Условия перелета были выполнены, и японцы были вынуждены выписать летчикам чек на 25 тысяч долларов. Сам кругосветный перелёт они завершили 15 октября 1931 года (14790).</w:t>
      </w:r>
    </w:p>
    <w:p w14:paraId="5026BF86" w14:textId="77777777" w:rsidR="003E4223" w:rsidRPr="005E779E" w:rsidRDefault="003E4223" w:rsidP="000B7A6C">
      <w:pPr>
        <w:spacing w:after="0" w:line="240" w:lineRule="auto"/>
        <w:jc w:val="both"/>
        <w:rPr>
          <w:rFonts w:ascii="Times New Roman" w:hAnsi="Times New Roman"/>
          <w:color w:val="000000" w:themeColor="text1"/>
          <w:sz w:val="16"/>
          <w:szCs w:val="16"/>
        </w:rPr>
      </w:pPr>
    </w:p>
    <w:p w14:paraId="798E6080" w14:textId="77777777" w:rsidR="003E4223" w:rsidRPr="005E779E" w:rsidRDefault="003E4223" w:rsidP="000B7A6C">
      <w:pPr>
        <w:spacing w:after="0" w:line="240" w:lineRule="auto"/>
        <w:jc w:val="both"/>
        <w:rPr>
          <w:rStyle w:val="ucoz-forum-post"/>
          <w:rFonts w:ascii="Times New Roman" w:eastAsia="Times New Roman" w:hAnsi="Times New Roman"/>
          <w:color w:val="000000" w:themeColor="text1"/>
          <w:sz w:val="16"/>
          <w:szCs w:val="16"/>
        </w:rPr>
      </w:pPr>
      <w:r w:rsidRPr="005E779E">
        <w:rPr>
          <w:rStyle w:val="ucoz-forum-post"/>
          <w:rFonts w:ascii="Times New Roman" w:eastAsia="Times New Roman" w:hAnsi="Times New Roman"/>
          <w:bCs/>
          <w:color w:val="000000" w:themeColor="text1"/>
          <w:sz w:val="16"/>
          <w:szCs w:val="16"/>
        </w:rPr>
        <w:t>5 октября 1931 года</w:t>
      </w:r>
      <w:r w:rsidRPr="005E779E">
        <w:rPr>
          <w:rStyle w:val="ucoz-forum-post"/>
          <w:rFonts w:ascii="Times New Roman" w:eastAsia="Times New Roman" w:hAnsi="Times New Roman"/>
          <w:color w:val="000000" w:themeColor="text1"/>
          <w:sz w:val="16"/>
          <w:szCs w:val="16"/>
        </w:rPr>
        <w:t xml:space="preserve"> Завершен первый в мире кругосветный безостановочный перелет через Тихий океан. (Перелёт начался 28 июня 1931, о нём я упоминал). Его выполнили американские лётчики Клайд Пангборн (Clyde Pangborn) и Хью Херндон (</w:t>
      </w:r>
      <w:r w:rsidRPr="005E779E">
        <w:rPr>
          <w:rStyle w:val="ucoz-forum-post"/>
          <w:rFonts w:ascii="Times New Roman" w:eastAsia="Times New Roman" w:hAnsi="Times New Roman"/>
          <w:color w:val="000000" w:themeColor="text1"/>
          <w:sz w:val="16"/>
          <w:szCs w:val="16"/>
          <w:lang w:val="en-US"/>
        </w:rPr>
        <w:t>Hugh</w:t>
      </w:r>
      <w:r w:rsidRPr="005E779E">
        <w:rPr>
          <w:rStyle w:val="ucoz-forum-post"/>
          <w:rFonts w:ascii="Times New Roman" w:eastAsia="Times New Roman" w:hAnsi="Times New Roman"/>
          <w:color w:val="000000" w:themeColor="text1"/>
          <w:sz w:val="16"/>
          <w:szCs w:val="16"/>
        </w:rPr>
        <w:t xml:space="preserve"> </w:t>
      </w:r>
      <w:r w:rsidRPr="005E779E">
        <w:rPr>
          <w:rStyle w:val="ucoz-forum-post"/>
          <w:rFonts w:ascii="Times New Roman" w:eastAsia="Times New Roman" w:hAnsi="Times New Roman"/>
          <w:color w:val="000000" w:themeColor="text1"/>
          <w:sz w:val="16"/>
          <w:szCs w:val="16"/>
          <w:lang w:val="en-US"/>
        </w:rPr>
        <w:t>Herndon</w:t>
      </w:r>
      <w:r w:rsidRPr="005E779E">
        <w:rPr>
          <w:rStyle w:val="ucoz-forum-post"/>
          <w:rFonts w:ascii="Times New Roman" w:eastAsia="Times New Roman" w:hAnsi="Times New Roman"/>
          <w:color w:val="000000" w:themeColor="text1"/>
          <w:sz w:val="16"/>
          <w:szCs w:val="16"/>
        </w:rPr>
        <w:t xml:space="preserve"> </w:t>
      </w:r>
      <w:r w:rsidRPr="005E779E">
        <w:rPr>
          <w:rStyle w:val="ucoz-forum-post"/>
          <w:rFonts w:ascii="Times New Roman" w:eastAsia="Times New Roman" w:hAnsi="Times New Roman"/>
          <w:color w:val="000000" w:themeColor="text1"/>
          <w:sz w:val="16"/>
          <w:szCs w:val="16"/>
          <w:lang w:val="en-US"/>
        </w:rPr>
        <w:t>Jr</w:t>
      </w:r>
      <w:r w:rsidRPr="005E779E">
        <w:rPr>
          <w:rStyle w:val="ucoz-forum-post"/>
          <w:rFonts w:ascii="Times New Roman" w:eastAsia="Times New Roman" w:hAnsi="Times New Roman"/>
          <w:color w:val="000000" w:themeColor="text1"/>
          <w:sz w:val="16"/>
          <w:szCs w:val="16"/>
        </w:rPr>
        <w:t xml:space="preserve">) насамолёте </w:t>
      </w:r>
      <w:r w:rsidRPr="005E779E">
        <w:rPr>
          <w:rStyle w:val="ucoz-forum-post"/>
          <w:rFonts w:ascii="Times New Roman" w:eastAsia="Times New Roman" w:hAnsi="Times New Roman"/>
          <w:color w:val="000000" w:themeColor="text1"/>
          <w:sz w:val="16"/>
          <w:szCs w:val="16"/>
          <w:lang w:val="en-US"/>
        </w:rPr>
        <w:t>Bellanca</w:t>
      </w:r>
      <w:r w:rsidRPr="005E779E">
        <w:rPr>
          <w:rStyle w:val="ucoz-forum-post"/>
          <w:rFonts w:ascii="Times New Roman" w:eastAsia="Times New Roman" w:hAnsi="Times New Roman"/>
          <w:color w:val="000000" w:themeColor="text1"/>
          <w:sz w:val="16"/>
          <w:szCs w:val="16"/>
        </w:rPr>
        <w:t xml:space="preserve"> </w:t>
      </w:r>
      <w:r w:rsidRPr="005E779E">
        <w:rPr>
          <w:rStyle w:val="ucoz-forum-post"/>
          <w:rFonts w:ascii="Times New Roman" w:eastAsia="Times New Roman" w:hAnsi="Times New Roman"/>
          <w:color w:val="000000" w:themeColor="text1"/>
          <w:sz w:val="16"/>
          <w:szCs w:val="16"/>
          <w:lang w:val="en-US"/>
        </w:rPr>
        <w:t>CH</w:t>
      </w:r>
      <w:r w:rsidRPr="005E779E">
        <w:rPr>
          <w:rStyle w:val="ucoz-forum-post"/>
          <w:rFonts w:ascii="Times New Roman" w:eastAsia="Times New Roman" w:hAnsi="Times New Roman"/>
          <w:color w:val="000000" w:themeColor="text1"/>
          <w:sz w:val="16"/>
          <w:szCs w:val="16"/>
        </w:rPr>
        <w:t xml:space="preserve">-400 </w:t>
      </w:r>
      <w:r w:rsidRPr="005E779E">
        <w:rPr>
          <w:rStyle w:val="ucoz-forum-post"/>
          <w:rFonts w:ascii="Times New Roman" w:eastAsia="Times New Roman" w:hAnsi="Times New Roman"/>
          <w:color w:val="000000" w:themeColor="text1"/>
          <w:sz w:val="16"/>
          <w:szCs w:val="16"/>
          <w:lang w:val="en-US"/>
        </w:rPr>
        <w:t>Miss</w:t>
      </w:r>
      <w:r w:rsidRPr="005E779E">
        <w:rPr>
          <w:rStyle w:val="ucoz-forum-post"/>
          <w:rFonts w:ascii="Times New Roman" w:eastAsia="Times New Roman" w:hAnsi="Times New Roman"/>
          <w:color w:val="000000" w:themeColor="text1"/>
          <w:sz w:val="16"/>
          <w:szCs w:val="16"/>
        </w:rPr>
        <w:t xml:space="preserve"> </w:t>
      </w:r>
      <w:r w:rsidRPr="005E779E">
        <w:rPr>
          <w:rStyle w:val="ucoz-forum-post"/>
          <w:rFonts w:ascii="Times New Roman" w:eastAsia="Times New Roman" w:hAnsi="Times New Roman"/>
          <w:color w:val="000000" w:themeColor="text1"/>
          <w:sz w:val="16"/>
          <w:szCs w:val="16"/>
          <w:lang w:val="en-US"/>
        </w:rPr>
        <w:t>Veedol</w:t>
      </w:r>
      <w:r w:rsidRPr="005E779E">
        <w:rPr>
          <w:rStyle w:val="ucoz-forum-post"/>
          <w:rFonts w:ascii="Times New Roman" w:eastAsia="Times New Roman" w:hAnsi="Times New Roman"/>
          <w:color w:val="000000" w:themeColor="text1"/>
          <w:sz w:val="16"/>
          <w:szCs w:val="16"/>
        </w:rPr>
        <w:t xml:space="preserve"> (14790).</w:t>
      </w:r>
    </w:p>
    <w:p w14:paraId="6619131F" w14:textId="77777777" w:rsidR="003E4223" w:rsidRPr="005E779E" w:rsidRDefault="003E4223" w:rsidP="000B7A6C">
      <w:pPr>
        <w:spacing w:after="0" w:line="240" w:lineRule="auto"/>
        <w:jc w:val="both"/>
        <w:rPr>
          <w:rStyle w:val="ucoz-forum-post"/>
          <w:rFonts w:ascii="Times New Roman" w:eastAsia="Times New Roman" w:hAnsi="Times New Roman"/>
          <w:color w:val="000000" w:themeColor="text1"/>
          <w:sz w:val="16"/>
          <w:szCs w:val="16"/>
        </w:rPr>
      </w:pPr>
    </w:p>
    <w:p w14:paraId="3D444686" w14:textId="77777777" w:rsidR="0075626C" w:rsidRPr="005E779E" w:rsidRDefault="0075626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октября 1931 - Завершён первый в мире беспосадочный перелёт через Тихий океан. Его выполнили американские лётчики Клайд Пангборн (Clyde Pangborn) и Хью Херндон (Hugh Herndon Jr) на самолёте Bellanca CH-400 Miss Veedol в рамках кругосветного перелёта, начавшегося 28 июня (22346).</w:t>
      </w:r>
    </w:p>
    <w:p w14:paraId="7F525CBD" w14:textId="77777777" w:rsidR="0075626C" w:rsidRPr="005E779E" w:rsidRDefault="0075626C" w:rsidP="000B7A6C">
      <w:pPr>
        <w:spacing w:after="0" w:line="240" w:lineRule="auto"/>
        <w:jc w:val="both"/>
        <w:rPr>
          <w:rFonts w:ascii="Times New Roman" w:hAnsi="Times New Roman"/>
          <w:color w:val="000000" w:themeColor="text1"/>
          <w:sz w:val="16"/>
          <w:szCs w:val="16"/>
        </w:rPr>
      </w:pPr>
    </w:p>
    <w:p w14:paraId="6AFF7994" w14:textId="77777777" w:rsidR="003371BD"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65E8237E" w14:textId="77777777" w:rsidR="003371BD" w:rsidRPr="005E779E" w:rsidRDefault="003371BD"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5A67503"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сентября 1931 года И-4 (зав. №1514) с вторично использованным на</w:t>
      </w:r>
      <w:r w:rsidRPr="005E779E">
        <w:rPr>
          <w:rFonts w:ascii="Times New Roman" w:hAnsi="Times New Roman"/>
          <w:color w:val="000000" w:themeColor="text1"/>
          <w:sz w:val="16"/>
          <w:szCs w:val="16"/>
        </w:rPr>
        <w:softHyphen/>
        <w:t>званием И-4бис был предъявлен на испыта</w:t>
      </w:r>
      <w:r w:rsidRPr="005E779E">
        <w:rPr>
          <w:rFonts w:ascii="Times New Roman" w:hAnsi="Times New Roman"/>
          <w:color w:val="000000" w:themeColor="text1"/>
          <w:sz w:val="16"/>
          <w:szCs w:val="16"/>
        </w:rPr>
        <w:softHyphen/>
        <w:t>ния. На нем полностью убрали нижнее крыло, а двигатель оборудо</w:t>
      </w:r>
      <w:r w:rsidRPr="005E779E">
        <w:rPr>
          <w:rFonts w:ascii="Times New Roman" w:hAnsi="Times New Roman"/>
          <w:color w:val="000000" w:themeColor="text1"/>
          <w:sz w:val="16"/>
          <w:szCs w:val="16"/>
        </w:rPr>
        <w:softHyphen/>
        <w:t>вали комбинированным кольцевым капо</w:t>
      </w:r>
      <w:r w:rsidRPr="005E779E">
        <w:rPr>
          <w:rFonts w:ascii="Times New Roman" w:hAnsi="Times New Roman"/>
          <w:color w:val="000000" w:themeColor="text1"/>
          <w:sz w:val="16"/>
          <w:szCs w:val="16"/>
        </w:rPr>
        <w:softHyphen/>
        <w:t>том. Кроме прочего, верхнее крыло оснасти</w:t>
      </w:r>
      <w:r w:rsidRPr="005E779E">
        <w:rPr>
          <w:rFonts w:ascii="Times New Roman" w:hAnsi="Times New Roman"/>
          <w:color w:val="000000" w:themeColor="text1"/>
          <w:sz w:val="16"/>
          <w:szCs w:val="16"/>
        </w:rPr>
        <w:softHyphen/>
        <w:t>ли предкрылками, которые управлялись лет</w:t>
      </w:r>
      <w:r w:rsidRPr="005E779E">
        <w:rPr>
          <w:rFonts w:ascii="Times New Roman" w:hAnsi="Times New Roman"/>
          <w:color w:val="000000" w:themeColor="text1"/>
          <w:sz w:val="16"/>
          <w:szCs w:val="16"/>
        </w:rPr>
        <w:softHyphen/>
        <w:t>чиком, а также могли открываться автомати</w:t>
      </w:r>
      <w:r w:rsidRPr="005E779E">
        <w:rPr>
          <w:rFonts w:ascii="Times New Roman" w:hAnsi="Times New Roman"/>
          <w:color w:val="000000" w:themeColor="text1"/>
          <w:sz w:val="16"/>
          <w:szCs w:val="16"/>
        </w:rPr>
        <w:softHyphen/>
        <w:t>чески при уменьшении скорости полета до 90-100 км/ч. Испытания И-4бис №1514 ве</w:t>
      </w:r>
      <w:r w:rsidRPr="005E779E">
        <w:rPr>
          <w:rFonts w:ascii="Times New Roman" w:hAnsi="Times New Roman"/>
          <w:color w:val="000000" w:themeColor="text1"/>
          <w:sz w:val="16"/>
          <w:szCs w:val="16"/>
        </w:rPr>
        <w:softHyphen/>
        <w:t>лись в период 11.09-23.09 1931 г.</w:t>
      </w:r>
    </w:p>
    <w:p w14:paraId="2DE3BE92"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Выяснилось, что летные характеристики самолета №1514 по сравнению с серийны</w:t>
      </w:r>
      <w:r w:rsidRPr="005E779E">
        <w:rPr>
          <w:rFonts w:ascii="Times New Roman" w:hAnsi="Times New Roman"/>
          <w:color w:val="000000" w:themeColor="text1"/>
          <w:sz w:val="16"/>
          <w:szCs w:val="16"/>
        </w:rPr>
        <w:softHyphen/>
        <w:t>ми И-4 изменились мало. Благодаря исполь</w:t>
      </w:r>
      <w:r w:rsidRPr="005E779E">
        <w:rPr>
          <w:rFonts w:ascii="Times New Roman" w:hAnsi="Times New Roman"/>
          <w:color w:val="000000" w:themeColor="text1"/>
          <w:sz w:val="16"/>
          <w:szCs w:val="16"/>
        </w:rPr>
        <w:softHyphen/>
        <w:t>зованию предкрылков улучшилась попереч</w:t>
      </w:r>
      <w:r w:rsidRPr="005E779E">
        <w:rPr>
          <w:rFonts w:ascii="Times New Roman" w:hAnsi="Times New Roman"/>
          <w:color w:val="000000" w:themeColor="text1"/>
          <w:sz w:val="16"/>
          <w:szCs w:val="16"/>
        </w:rPr>
        <w:softHyphen/>
        <w:t>ная устойчивость на малых скоростях, одна</w:t>
      </w:r>
      <w:r w:rsidRPr="005E779E">
        <w:rPr>
          <w:rFonts w:ascii="Times New Roman" w:hAnsi="Times New Roman"/>
          <w:color w:val="000000" w:themeColor="text1"/>
          <w:sz w:val="16"/>
          <w:szCs w:val="16"/>
        </w:rPr>
        <w:softHyphen/>
        <w:t>ко скорость на посадке практически не из</w:t>
      </w:r>
      <w:r w:rsidRPr="005E779E">
        <w:rPr>
          <w:rFonts w:ascii="Times New Roman" w:hAnsi="Times New Roman"/>
          <w:color w:val="000000" w:themeColor="text1"/>
          <w:sz w:val="16"/>
          <w:szCs w:val="16"/>
        </w:rPr>
        <w:softHyphen/>
        <w:t>менилась. Несколько выросла полетная ско</w:t>
      </w:r>
      <w:r w:rsidRPr="005E779E">
        <w:rPr>
          <w:rFonts w:ascii="Times New Roman" w:hAnsi="Times New Roman"/>
          <w:color w:val="000000" w:themeColor="text1"/>
          <w:sz w:val="16"/>
          <w:szCs w:val="16"/>
        </w:rPr>
        <w:softHyphen/>
        <w:t>рость - до 268 км/ч, но ухудшились характе</w:t>
      </w:r>
      <w:r w:rsidRPr="005E779E">
        <w:rPr>
          <w:rFonts w:ascii="Times New Roman" w:hAnsi="Times New Roman"/>
          <w:color w:val="000000" w:themeColor="text1"/>
          <w:sz w:val="16"/>
          <w:szCs w:val="16"/>
        </w:rPr>
        <w:softHyphen/>
        <w:t>ристики штопора. Не принес удовлетворе</w:t>
      </w:r>
      <w:r w:rsidRPr="005E779E">
        <w:rPr>
          <w:rFonts w:ascii="Times New Roman" w:hAnsi="Times New Roman"/>
          <w:color w:val="000000" w:themeColor="text1"/>
          <w:sz w:val="16"/>
          <w:szCs w:val="16"/>
        </w:rPr>
        <w:softHyphen/>
        <w:t>ния и новый капот — он не обеспечивал наде</w:t>
      </w:r>
      <w:r w:rsidRPr="005E779E">
        <w:rPr>
          <w:rFonts w:ascii="Times New Roman" w:hAnsi="Times New Roman"/>
          <w:color w:val="000000" w:themeColor="text1"/>
          <w:sz w:val="16"/>
          <w:szCs w:val="16"/>
        </w:rPr>
        <w:softHyphen/>
        <w:t>жного и достаточного охлаждения двигате</w:t>
      </w:r>
      <w:r w:rsidRPr="005E779E">
        <w:rPr>
          <w:rFonts w:ascii="Times New Roman" w:hAnsi="Times New Roman"/>
          <w:color w:val="000000" w:themeColor="text1"/>
          <w:sz w:val="16"/>
          <w:szCs w:val="16"/>
        </w:rPr>
        <w:softHyphen/>
        <w:t>ля. В результате признавалось, что переделка И-4 в моноплан нецелесообразна.</w:t>
      </w:r>
    </w:p>
    <w:p w14:paraId="1512AFA6"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Еше одной работой ЦАГИ по усовершен</w:t>
      </w:r>
      <w:r w:rsidRPr="005E779E">
        <w:rPr>
          <w:rFonts w:ascii="Times New Roman" w:hAnsi="Times New Roman"/>
          <w:color w:val="000000" w:themeColor="text1"/>
          <w:sz w:val="16"/>
          <w:szCs w:val="16"/>
        </w:rPr>
        <w:softHyphen/>
        <w:t>ствованию И-4 стала его установка на по</w:t>
      </w:r>
      <w:r w:rsidRPr="005E779E">
        <w:rPr>
          <w:rFonts w:ascii="Times New Roman" w:hAnsi="Times New Roman"/>
          <w:color w:val="000000" w:themeColor="text1"/>
          <w:sz w:val="16"/>
          <w:szCs w:val="16"/>
        </w:rPr>
        <w:softHyphen/>
        <w:t>плавки с целью дальнейшего использования в качестве корабельного истребителя. Основ</w:t>
      </w:r>
      <w:r w:rsidRPr="005E779E">
        <w:rPr>
          <w:rFonts w:ascii="Times New Roman" w:hAnsi="Times New Roman"/>
          <w:color w:val="000000" w:themeColor="text1"/>
          <w:sz w:val="16"/>
          <w:szCs w:val="16"/>
        </w:rPr>
        <w:softHyphen/>
        <w:t>ной причиной указанной деятельности стало приобретение в октябре 1929 года в Англии нескольких комплектов поплавков фирмы «Шорт». Поплавки предназначались в пер</w:t>
      </w:r>
      <w:r w:rsidRPr="005E779E">
        <w:rPr>
          <w:rFonts w:ascii="Times New Roman" w:hAnsi="Times New Roman"/>
          <w:color w:val="000000" w:themeColor="text1"/>
          <w:sz w:val="16"/>
          <w:szCs w:val="16"/>
        </w:rPr>
        <w:softHyphen/>
        <w:t>вую очередь для бомбардировщиков ТБ-1а и разведчиков Р-ба, однако скоро на основе их конструкции и гидродинамики в ЦАГИ спроектировали поплавки для АНТ-10, АНТ- 9 и даже для ТБ-3. Для И-4 на основе англий</w:t>
      </w:r>
      <w:r w:rsidRPr="005E779E">
        <w:rPr>
          <w:rFonts w:ascii="Times New Roman" w:hAnsi="Times New Roman"/>
          <w:color w:val="000000" w:themeColor="text1"/>
          <w:sz w:val="16"/>
          <w:szCs w:val="16"/>
        </w:rPr>
        <w:softHyphen/>
        <w:t>ских образцов разработали и в середине 1931 г. изготовили цельнометаллические поплав</w:t>
      </w:r>
      <w:r w:rsidRPr="005E779E">
        <w:rPr>
          <w:rFonts w:ascii="Times New Roman" w:hAnsi="Times New Roman"/>
          <w:color w:val="000000" w:themeColor="text1"/>
          <w:sz w:val="16"/>
          <w:szCs w:val="16"/>
        </w:rPr>
        <w:softHyphen/>
        <w:t>ки со следующими размерами: длина 6,415 м, ширина 770 мм, высота 673 мм, длина носо</w:t>
      </w:r>
      <w:r w:rsidRPr="005E779E">
        <w:rPr>
          <w:rFonts w:ascii="Times New Roman" w:hAnsi="Times New Roman"/>
          <w:color w:val="000000" w:themeColor="text1"/>
          <w:sz w:val="16"/>
          <w:szCs w:val="16"/>
        </w:rPr>
        <w:softHyphen/>
        <w:t>вой части до редана 3,365 м. Поначалу пред</w:t>
      </w:r>
      <w:r w:rsidRPr="005E779E">
        <w:rPr>
          <w:rFonts w:ascii="Times New Roman" w:hAnsi="Times New Roman"/>
          <w:color w:val="000000" w:themeColor="text1"/>
          <w:sz w:val="16"/>
          <w:szCs w:val="16"/>
        </w:rPr>
        <w:softHyphen/>
        <w:t>лагалось установить на эти поплавки один из истребителей 29-й эскадрильи, базирующей</w:t>
      </w:r>
      <w:r w:rsidRPr="005E779E">
        <w:rPr>
          <w:rFonts w:ascii="Times New Roman" w:hAnsi="Times New Roman"/>
          <w:color w:val="000000" w:themeColor="text1"/>
          <w:sz w:val="16"/>
          <w:szCs w:val="16"/>
        </w:rPr>
        <w:softHyphen/>
        <w:t>ся в Евпатории. Однако в ЦАГИ использова</w:t>
      </w:r>
      <w:r w:rsidRPr="005E779E">
        <w:rPr>
          <w:rFonts w:ascii="Times New Roman" w:hAnsi="Times New Roman"/>
          <w:color w:val="000000" w:themeColor="text1"/>
          <w:sz w:val="16"/>
          <w:szCs w:val="16"/>
        </w:rPr>
        <w:softHyphen/>
        <w:t>ли один из серийных самолетов, полученных из НИИ ВВС. Согласно документам АГОС ЦАГИ оборудование поплавками должно было закончиться до 10 июля 1931 года. Од</w:t>
      </w:r>
      <w:r w:rsidRPr="005E779E">
        <w:rPr>
          <w:rFonts w:ascii="Times New Roman" w:hAnsi="Times New Roman"/>
          <w:color w:val="000000" w:themeColor="text1"/>
          <w:sz w:val="16"/>
          <w:szCs w:val="16"/>
        </w:rPr>
        <w:softHyphen/>
        <w:t>нако сведений о завершении работ не обна</w:t>
      </w:r>
      <w:r w:rsidRPr="005E779E">
        <w:rPr>
          <w:rFonts w:ascii="Times New Roman" w:hAnsi="Times New Roman"/>
          <w:color w:val="000000" w:themeColor="text1"/>
          <w:sz w:val="16"/>
          <w:szCs w:val="16"/>
        </w:rPr>
        <w:softHyphen/>
        <w:t>ружено. Очевидно, что летом 1931 года пред</w:t>
      </w:r>
      <w:r w:rsidRPr="005E779E">
        <w:rPr>
          <w:rFonts w:ascii="Times New Roman" w:hAnsi="Times New Roman"/>
          <w:color w:val="000000" w:themeColor="text1"/>
          <w:sz w:val="16"/>
          <w:szCs w:val="16"/>
        </w:rPr>
        <w:softHyphen/>
        <w:t>ставители морской авиации от обладания ма</w:t>
      </w:r>
      <w:r w:rsidRPr="005E779E">
        <w:rPr>
          <w:rFonts w:ascii="Times New Roman" w:hAnsi="Times New Roman"/>
          <w:color w:val="000000" w:themeColor="text1"/>
          <w:sz w:val="16"/>
          <w:szCs w:val="16"/>
        </w:rPr>
        <w:softHyphen/>
        <w:t>леньким поплавковым истребителем с недо</w:t>
      </w:r>
      <w:r w:rsidRPr="005E779E">
        <w:rPr>
          <w:rFonts w:ascii="Times New Roman" w:hAnsi="Times New Roman"/>
          <w:color w:val="000000" w:themeColor="text1"/>
          <w:sz w:val="16"/>
          <w:szCs w:val="16"/>
        </w:rPr>
        <w:softHyphen/>
        <w:t>статочной мореходностью решили отказать</w:t>
      </w:r>
      <w:r w:rsidRPr="005E779E">
        <w:rPr>
          <w:rFonts w:ascii="Times New Roman" w:hAnsi="Times New Roman"/>
          <w:color w:val="000000" w:themeColor="text1"/>
          <w:sz w:val="16"/>
          <w:szCs w:val="16"/>
        </w:rPr>
        <w:softHyphen/>
        <w:t>ся. Вероятнее всего на принятие решения по</w:t>
      </w:r>
      <w:r w:rsidRPr="005E779E">
        <w:rPr>
          <w:rFonts w:ascii="Times New Roman" w:hAnsi="Times New Roman"/>
          <w:color w:val="000000" w:themeColor="text1"/>
          <w:sz w:val="16"/>
          <w:szCs w:val="16"/>
        </w:rPr>
        <w:softHyphen/>
        <w:t>влиял двухлетний опыт эксплуатации летаю</w:t>
      </w:r>
      <w:r w:rsidRPr="005E779E">
        <w:rPr>
          <w:rFonts w:ascii="Times New Roman" w:hAnsi="Times New Roman"/>
          <w:color w:val="000000" w:themeColor="text1"/>
          <w:sz w:val="16"/>
          <w:szCs w:val="16"/>
        </w:rPr>
        <w:softHyphen/>
        <w:t>щих лодок КР-1 (Хейнкель НЭ.55).</w:t>
      </w:r>
    </w:p>
    <w:p w14:paraId="08E92729"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Еще одной работой 1931 года стала уста</w:t>
      </w:r>
      <w:r w:rsidRPr="005E779E">
        <w:rPr>
          <w:rFonts w:ascii="Times New Roman" w:hAnsi="Times New Roman"/>
          <w:color w:val="000000" w:themeColor="text1"/>
          <w:sz w:val="16"/>
          <w:szCs w:val="16"/>
        </w:rPr>
        <w:softHyphen/>
        <w:t>новка под крылом И-4 выливных авиацион</w:t>
      </w:r>
      <w:r w:rsidRPr="005E779E">
        <w:rPr>
          <w:rFonts w:ascii="Times New Roman" w:hAnsi="Times New Roman"/>
          <w:color w:val="000000" w:themeColor="text1"/>
          <w:sz w:val="16"/>
          <w:szCs w:val="16"/>
        </w:rPr>
        <w:softHyphen/>
        <w:t>ных приборов ВАП-4. Однако первые поле</w:t>
      </w:r>
      <w:r w:rsidRPr="005E779E">
        <w:rPr>
          <w:rFonts w:ascii="Times New Roman" w:hAnsi="Times New Roman"/>
          <w:color w:val="000000" w:themeColor="text1"/>
          <w:sz w:val="16"/>
          <w:szCs w:val="16"/>
        </w:rPr>
        <w:softHyphen/>
        <w:t>ты, проведенные в августе того года, показали, что ВАПы цепляют за землю, поэтому ис</w:t>
      </w:r>
      <w:r w:rsidRPr="005E779E">
        <w:rPr>
          <w:rFonts w:ascii="Times New Roman" w:hAnsi="Times New Roman"/>
          <w:color w:val="000000" w:themeColor="text1"/>
          <w:sz w:val="16"/>
          <w:szCs w:val="16"/>
        </w:rPr>
        <w:softHyphen/>
        <w:t>пользование небольшого истребителя в каче</w:t>
      </w:r>
      <w:r w:rsidRPr="005E779E">
        <w:rPr>
          <w:rFonts w:ascii="Times New Roman" w:hAnsi="Times New Roman"/>
          <w:color w:val="000000" w:themeColor="text1"/>
          <w:sz w:val="16"/>
          <w:szCs w:val="16"/>
        </w:rPr>
        <w:softHyphen/>
        <w:t>стве «химического» самолета не состоялось.</w:t>
      </w:r>
    </w:p>
    <w:p w14:paraId="738FF7AE"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экспериментам, в которых участвова</w:t>
      </w:r>
      <w:r w:rsidRPr="005E779E">
        <w:rPr>
          <w:rFonts w:ascii="Times New Roman" w:hAnsi="Times New Roman"/>
          <w:color w:val="000000" w:themeColor="text1"/>
          <w:sz w:val="16"/>
          <w:szCs w:val="16"/>
        </w:rPr>
        <w:softHyphen/>
        <w:t>ли И-4, следует отнести опыты с ракетны</w:t>
      </w:r>
      <w:r w:rsidRPr="005E779E">
        <w:rPr>
          <w:rFonts w:ascii="Times New Roman" w:hAnsi="Times New Roman"/>
          <w:color w:val="000000" w:themeColor="text1"/>
          <w:sz w:val="16"/>
          <w:szCs w:val="16"/>
        </w:rPr>
        <w:softHyphen/>
        <w:t>ми двигателями для ускорения взлета. Дея</w:t>
      </w:r>
      <w:r w:rsidRPr="005E779E">
        <w:rPr>
          <w:rFonts w:ascii="Times New Roman" w:hAnsi="Times New Roman"/>
          <w:color w:val="000000" w:themeColor="text1"/>
          <w:sz w:val="16"/>
          <w:szCs w:val="16"/>
        </w:rPr>
        <w:softHyphen/>
        <w:t>тельность по установке ракетных ускорите</w:t>
      </w:r>
      <w:r w:rsidRPr="005E779E">
        <w:rPr>
          <w:rFonts w:ascii="Times New Roman" w:hAnsi="Times New Roman"/>
          <w:color w:val="000000" w:themeColor="text1"/>
          <w:sz w:val="16"/>
          <w:szCs w:val="16"/>
        </w:rPr>
        <w:softHyphen/>
        <w:t>лей велась в 1934 году под руководством В.М. Мясишева. Во время испытаний отмечалось увеличение полетной скорости истребителя на 25 км/ч (12295).</w:t>
      </w:r>
    </w:p>
    <w:p w14:paraId="751DB95B" w14:textId="77777777" w:rsidR="003371BD" w:rsidRPr="005E779E" w:rsidRDefault="003371BD" w:rsidP="000B7A6C">
      <w:pPr>
        <w:spacing w:after="0" w:line="240" w:lineRule="auto"/>
        <w:jc w:val="both"/>
        <w:rPr>
          <w:rFonts w:ascii="Times New Roman" w:hAnsi="Times New Roman"/>
          <w:color w:val="000000" w:themeColor="text1"/>
          <w:sz w:val="16"/>
          <w:szCs w:val="16"/>
        </w:rPr>
      </w:pPr>
    </w:p>
    <w:p w14:paraId="105CCEAC" w14:textId="77777777" w:rsidR="00B15BD8" w:rsidRPr="005E779E" w:rsidRDefault="00B15BD8"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537164A4" w14:textId="77777777" w:rsidR="00B15BD8" w:rsidRPr="005E779E" w:rsidRDefault="00B15BD8"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02EBE58" w14:textId="77777777" w:rsidR="00B15BD8" w:rsidRPr="005E779E" w:rsidRDefault="00B15BD8" w:rsidP="000B7A6C">
      <w:pPr>
        <w:spacing w:after="0" w:line="240" w:lineRule="auto"/>
        <w:jc w:val="both"/>
        <w:rPr>
          <w:rFonts w:ascii="Times New Roman" w:hAnsi="Times New Roman"/>
          <w:iCs/>
          <w:color w:val="000000" w:themeColor="text1"/>
          <w:sz w:val="16"/>
          <w:szCs w:val="16"/>
          <w:shd w:val="clear" w:color="auto" w:fill="FFFFFF"/>
        </w:rPr>
      </w:pPr>
      <w:r w:rsidRPr="005E779E">
        <w:rPr>
          <w:rFonts w:ascii="Times New Roman" w:hAnsi="Times New Roman"/>
          <w:iCs/>
          <w:color w:val="000000" w:themeColor="text1"/>
          <w:sz w:val="16"/>
          <w:szCs w:val="16"/>
          <w:shd w:val="clear" w:color="auto" w:fill="FFFFFF"/>
        </w:rPr>
        <w:t>В самом начале октября 1931 года в Харькове завершилась сборка первого двухбашенного БТ.</w:t>
      </w:r>
    </w:p>
    <w:p w14:paraId="5C491CD8" w14:textId="77777777" w:rsidR="00B15BD8" w:rsidRPr="005E779E" w:rsidRDefault="00B15BD8" w:rsidP="000B7A6C">
      <w:pPr>
        <w:spacing w:after="0" w:line="240" w:lineRule="auto"/>
        <w:jc w:val="both"/>
        <w:rPr>
          <w:rFonts w:ascii="Times New Roman" w:hAnsi="Times New Roman"/>
          <w:color w:val="000000" w:themeColor="text1"/>
          <w:sz w:val="16"/>
          <w:szCs w:val="16"/>
          <w:shd w:val="clear" w:color="auto" w:fill="FFFFFF"/>
        </w:rPr>
      </w:pPr>
      <w:r w:rsidRPr="005E779E">
        <w:rPr>
          <w:rFonts w:ascii="Times New Roman" w:hAnsi="Times New Roman"/>
          <w:color w:val="000000" w:themeColor="text1"/>
          <w:sz w:val="16"/>
          <w:szCs w:val="16"/>
          <w:shd w:val="clear" w:color="auto" w:fill="FFFFFF"/>
        </w:rPr>
        <w:t>Осенью 1931 года на ХТЗ велось строительство первых серийных танков семейства БТ. Были построены первые пять корпусов, которые, однако, не удавалось укомплектовать башнями. Виноваты в этом были смежники: Ижорский завод, отвечавший за производство этих агрегатов, не успел поставить их вовремя. Выход из этой ситуации предложил начальник СКБ-6 А.А. Морозенко. На имеющиеся корпуса следовало установить уже полученные башни для танков Т-26, по две на каждую машину. В такой конфигурации новые колесно-гусеничные танки можно было отправить на парад и на учения, где их могли увидеть военные, гражданские зрители и иностранные специалисты.</w:t>
      </w:r>
    </w:p>
    <w:p w14:paraId="7BE4735D" w14:textId="77777777" w:rsidR="00B15BD8" w:rsidRPr="005E779E" w:rsidRDefault="00B15BD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shd w:val="clear" w:color="auto" w:fill="FFFFFF"/>
        </w:rPr>
        <w:t>Предложенный проект доработки изначально предусматривал установку новых башен без значительных изменений конструкции. Тем не менее, пришлось предусмотреть некоторые доработки корпуса и ходовой части. Так, из-за новых башен понадобилась обновленная крыша корпуса, а часть элементов свечной подвески пришлось перенести, поскольку их исходное расположение не позволяло оснастить танк сразу двумя башнями.</w:t>
      </w:r>
    </w:p>
    <w:p w14:paraId="062AC261" w14:textId="77777777" w:rsidR="00B15BD8" w:rsidRPr="005E779E" w:rsidRDefault="00B15BD8" w:rsidP="000B7A6C">
      <w:pPr>
        <w:spacing w:after="0" w:line="240" w:lineRule="auto"/>
        <w:jc w:val="both"/>
        <w:rPr>
          <w:rFonts w:ascii="Times New Roman" w:hAnsi="Times New Roman"/>
          <w:color w:val="000000" w:themeColor="text1"/>
          <w:sz w:val="16"/>
          <w:szCs w:val="16"/>
          <w:shd w:val="clear" w:color="auto" w:fill="FFFFFF"/>
        </w:rPr>
      </w:pPr>
      <w:r w:rsidRPr="005E779E">
        <w:rPr>
          <w:rFonts w:ascii="Times New Roman" w:hAnsi="Times New Roman"/>
          <w:color w:val="000000" w:themeColor="text1"/>
          <w:sz w:val="16"/>
          <w:szCs w:val="16"/>
          <w:shd w:val="clear" w:color="auto" w:fill="FFFFFF"/>
        </w:rPr>
        <w:t>По распоряжению М.Н. Тухачевского ХТЗ получил пять корпусов танков БТ и такое же количество силовых установок, которые следовало использовать при строительстве новых двухбашенных бронемашин. При проверке поставленных комплектующих выяснилось, что одна из поставленных машин неисправна и нуждается в доработках. Инженер-моторостроитель В.Д. Горлопанов провел регулировку всех систем, а также перевел танк с бензина на керосин, получив небольшой прирост мощности.</w:t>
      </w:r>
    </w:p>
    <w:p w14:paraId="316FC600" w14:textId="77777777" w:rsidR="00B15BD8" w:rsidRPr="005E779E" w:rsidRDefault="00B15BD8" w:rsidP="000B7A6C">
      <w:pPr>
        <w:spacing w:after="0" w:line="240" w:lineRule="auto"/>
        <w:jc w:val="both"/>
        <w:rPr>
          <w:rFonts w:ascii="Times New Roman" w:hAnsi="Times New Roman"/>
          <w:color w:val="000000" w:themeColor="text1"/>
          <w:sz w:val="16"/>
          <w:szCs w:val="16"/>
          <w:shd w:val="clear" w:color="auto" w:fill="FFFFFF"/>
        </w:rPr>
      </w:pPr>
      <w:r w:rsidRPr="005E779E">
        <w:rPr>
          <w:rFonts w:ascii="Times New Roman" w:hAnsi="Times New Roman"/>
          <w:color w:val="000000" w:themeColor="text1"/>
          <w:sz w:val="16"/>
          <w:szCs w:val="16"/>
          <w:shd w:val="clear" w:color="auto" w:fill="FFFFFF"/>
        </w:rPr>
        <w:t>Для обозначения нового проекта Наркомат танкостроения предложил аббревиатуру БТ-ВТ – «Быстроходный танк, внутренняя тюрьма» (внутренней тюрьмой именовали СКБ-6). Сборка четырех двухбашенных танков была завершена к 10 октября того же года. Одну из готовых машин обстреляли из винтовки и пулемета, еще две своим ходом отправились в Москву, где одна из них приняла участие в параде на Красной площади. Она прошла в одной колонне с танками БТ-2 первой серии/</w:t>
      </w:r>
    </w:p>
    <w:p w14:paraId="280BC1C6" w14:textId="77777777" w:rsidR="00B15BD8" w:rsidRPr="005E779E" w:rsidRDefault="00B15BD8" w:rsidP="000B7A6C">
      <w:pPr>
        <w:spacing w:after="0" w:line="240" w:lineRule="auto"/>
        <w:jc w:val="both"/>
        <w:rPr>
          <w:rFonts w:ascii="Times New Roman" w:hAnsi="Times New Roman"/>
          <w:color w:val="000000" w:themeColor="text1"/>
          <w:sz w:val="16"/>
          <w:szCs w:val="16"/>
          <w:shd w:val="clear" w:color="auto" w:fill="FFFFFF"/>
        </w:rPr>
      </w:pPr>
      <w:r w:rsidRPr="005E779E">
        <w:rPr>
          <w:rFonts w:ascii="Times New Roman" w:hAnsi="Times New Roman"/>
          <w:color w:val="000000" w:themeColor="text1"/>
          <w:sz w:val="16"/>
          <w:szCs w:val="16"/>
          <w:shd w:val="clear" w:color="auto" w:fill="FFFFFF"/>
        </w:rPr>
        <w:t>От серийных БТ ранних модификаций он отличался наличием двух сравнительно небольших башен с пушечным и пулеметным вооружением. В правой башне располагалась 37-мм пушка, в левой – пулемет ДТ калибра 7,62 мм. Корпус и ходовая часть, по-видимому, заимствовались у более ранней техники без значительных изменений, хотя и дорабатывались ввиду необходимости установки двух башен.</w:t>
      </w:r>
    </w:p>
    <w:p w14:paraId="66157F40" w14:textId="77777777" w:rsidR="00B15BD8" w:rsidRPr="005E779E" w:rsidRDefault="00B15BD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Следует отметить, что в данном случае под видом необычного и неизвестного проекта общественности может предлагаться не вполне правдивая информация, основанная на слухах, домыслах или сознательных мистификациях. Одним из примеров этого стал двухбашенный вариант танка БТ, появившийся благодаря слухам или непроверенной информации</w:t>
      </w:r>
      <w:r w:rsidRPr="005E779E">
        <w:rPr>
          <w:rFonts w:ascii="Times New Roman" w:hAnsi="Times New Roman"/>
          <w:iCs/>
          <w:color w:val="000000" w:themeColor="text1"/>
          <w:sz w:val="16"/>
          <w:szCs w:val="16"/>
          <w:shd w:val="clear" w:color="auto" w:fill="FFFFFF"/>
        </w:rPr>
        <w:t xml:space="preserve"> (19702).</w:t>
      </w:r>
    </w:p>
    <w:p w14:paraId="61BFAE89" w14:textId="77777777" w:rsidR="00B15BD8" w:rsidRPr="005E779E" w:rsidRDefault="00B15BD8" w:rsidP="000B7A6C">
      <w:pPr>
        <w:spacing w:after="0" w:line="240" w:lineRule="auto"/>
        <w:jc w:val="both"/>
        <w:rPr>
          <w:rFonts w:ascii="Times New Roman" w:hAnsi="Times New Roman"/>
          <w:color w:val="000000" w:themeColor="text1"/>
          <w:sz w:val="16"/>
          <w:szCs w:val="16"/>
        </w:rPr>
      </w:pPr>
    </w:p>
    <w:p w14:paraId="1197BA61" w14:textId="77777777" w:rsidR="003E4223"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Внешняя политика:</w:t>
      </w:r>
    </w:p>
    <w:p w14:paraId="04D5D157" w14:textId="77777777" w:rsidR="003E4223" w:rsidRPr="005E779E" w:rsidRDefault="003E4223"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9CCAFA1" w14:textId="77777777" w:rsidR="003E4223" w:rsidRPr="005E779E" w:rsidRDefault="003E422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октября 1931 пришли к соглашению: Синьцзяну продали пару хорошо зарекомен</w:t>
      </w:r>
      <w:r w:rsidRPr="005E779E">
        <w:rPr>
          <w:rFonts w:ascii="Times New Roman" w:hAnsi="Times New Roman"/>
          <w:color w:val="000000" w:themeColor="text1"/>
          <w:sz w:val="16"/>
          <w:szCs w:val="16"/>
        </w:rPr>
        <w:softHyphen/>
        <w:t>довавших себя самолётов Р-1 с моторами М-5, запчасти, 22 т бензина и 2 т масла, а также патроны к пулеметам «Льюис» и по 100 штук 8-кг, 12-кг и 32-кг осколочных бомб. Всё это «в сверхсрочном порядке» по железной дороге отправили на конечную станцию Турксиба Аягуз. Оттуда авиационное имущество автотранспортом везли в пограничный пункт Бахты и далее на подводах в Синьцзян (около 950 км). Самолёты в разобранном виде следовали по железной дороге в Алма-Ату и далее летели в Урумчи. Тем же пу</w:t>
      </w:r>
      <w:r w:rsidRPr="005E779E">
        <w:rPr>
          <w:rFonts w:ascii="Times New Roman" w:hAnsi="Times New Roman"/>
          <w:color w:val="000000" w:themeColor="text1"/>
          <w:sz w:val="16"/>
          <w:szCs w:val="16"/>
        </w:rPr>
        <w:softHyphen/>
        <w:t>тем по воздуху собирались перегонять и У-2.</w:t>
      </w:r>
    </w:p>
    <w:p w14:paraId="5C7A6FBB" w14:textId="77777777" w:rsidR="003E4223" w:rsidRPr="005E779E" w:rsidRDefault="003E422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Очень спешно отбирали лётные экипажи, в отправленный на согласование в ОГПУ список вошли четверо — лётчики Назаров Александр Матвеевич, Волынченко Андроник Сергеевич и техники Чекалов Николай Иванович и Сергеев Иван Михайлович. Все — члены ВКП(б) или кандидаты. Старшим авиагруппы назначили Волынченко.</w:t>
      </w:r>
    </w:p>
    <w:p w14:paraId="601D3445" w14:textId="77777777" w:rsidR="003E4223" w:rsidRPr="005E779E" w:rsidRDefault="003E422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«Экипировка» самолётов проходила с немалыми проблемами. По каждой мелочи — ку</w:t>
      </w:r>
      <w:r w:rsidRPr="005E779E">
        <w:rPr>
          <w:rFonts w:ascii="Times New Roman" w:hAnsi="Times New Roman"/>
          <w:color w:val="000000" w:themeColor="text1"/>
          <w:sz w:val="16"/>
          <w:szCs w:val="16"/>
        </w:rPr>
        <w:softHyphen/>
        <w:t>сок замши, воронки для бензина и масла, свечи, регулировочная линейка, уровень и уг</w:t>
      </w:r>
      <w:r w:rsidRPr="005E779E">
        <w:rPr>
          <w:rFonts w:ascii="Times New Roman" w:hAnsi="Times New Roman"/>
          <w:color w:val="000000" w:themeColor="text1"/>
          <w:sz w:val="16"/>
          <w:szCs w:val="16"/>
        </w:rPr>
        <w:softHyphen/>
        <w:t>ломер, топографические карты, не говоря уже о лыжах и запасных амортизаторах к ним, бомбоприцелах и звеньях для пулемётных лент — шла оживленная переписка между от</w:t>
      </w:r>
      <w:r w:rsidRPr="005E779E">
        <w:rPr>
          <w:rFonts w:ascii="Times New Roman" w:hAnsi="Times New Roman"/>
          <w:color w:val="000000" w:themeColor="text1"/>
          <w:sz w:val="16"/>
          <w:szCs w:val="16"/>
        </w:rPr>
        <w:softHyphen/>
        <w:t>делами ВСНХ, занимавшимися иностранными поставками, Глававиапромом и ИНО УВВС.</w:t>
      </w:r>
    </w:p>
    <w:p w14:paraId="5B6B2503" w14:textId="77777777" w:rsidR="003E4223" w:rsidRPr="005E779E" w:rsidRDefault="003E422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Одновременно между Бюро Особых поручений (БОП) ВСНХ, Наркоматом Иностранных дел (НКИД) и УВВС завязалась интенсивная переписка по согласованию условий служ</w:t>
      </w:r>
      <w:r w:rsidRPr="005E779E">
        <w:rPr>
          <w:rFonts w:ascii="Times New Roman" w:hAnsi="Times New Roman"/>
          <w:color w:val="000000" w:themeColor="text1"/>
          <w:sz w:val="16"/>
          <w:szCs w:val="16"/>
        </w:rPr>
        <w:softHyphen/>
      </w:r>
      <w:r w:rsidRPr="005E779E">
        <w:rPr>
          <w:rStyle w:val="0pt0"/>
          <w:rFonts w:eastAsia="Arial"/>
          <w:b w:val="0"/>
          <w:color w:val="000000" w:themeColor="text1"/>
          <w:spacing w:val="0"/>
          <w:sz w:val="16"/>
          <w:szCs w:val="16"/>
        </w:rPr>
        <w:t>бы</w:t>
      </w:r>
      <w:r w:rsidRPr="005E779E">
        <w:rPr>
          <w:rFonts w:ascii="Times New Roman" w:hAnsi="Times New Roman"/>
          <w:color w:val="000000" w:themeColor="text1"/>
          <w:sz w:val="16"/>
          <w:szCs w:val="16"/>
        </w:rPr>
        <w:t xml:space="preserve"> лётного состава в Китае. Спецкомандировка предполагалась сроком максимум на год. Эта, на первый взгляд, рутинная переписка по отправке четырёх человек, возмож</w:t>
      </w:r>
      <w:r w:rsidRPr="005E779E">
        <w:rPr>
          <w:rFonts w:ascii="Times New Roman" w:hAnsi="Times New Roman"/>
          <w:color w:val="000000" w:themeColor="text1"/>
          <w:sz w:val="16"/>
          <w:szCs w:val="16"/>
        </w:rPr>
        <w:softHyphen/>
        <w:t>но, и не заслуживает такого внимания, однако и во все последующие годы процедура оформления и отправки советских авиаторов за рубеж, а их были сотни и тысячи, оста</w:t>
      </w:r>
      <w:r w:rsidRPr="005E779E">
        <w:rPr>
          <w:rFonts w:ascii="Times New Roman" w:hAnsi="Times New Roman"/>
          <w:color w:val="000000" w:themeColor="text1"/>
          <w:sz w:val="16"/>
          <w:szCs w:val="16"/>
        </w:rPr>
        <w:softHyphen/>
        <w:t>валась практически неизменной.</w:t>
      </w:r>
    </w:p>
    <w:p w14:paraId="3877DE26" w14:textId="77777777" w:rsidR="003E4223" w:rsidRPr="005E779E" w:rsidRDefault="003E422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Условия содержания лётного состава в Китае уточняли в полном соответствии с со</w:t>
      </w:r>
      <w:r w:rsidRPr="005E779E">
        <w:rPr>
          <w:rFonts w:ascii="Times New Roman" w:hAnsi="Times New Roman"/>
          <w:color w:val="000000" w:themeColor="text1"/>
          <w:sz w:val="16"/>
          <w:szCs w:val="16"/>
        </w:rPr>
        <w:softHyphen/>
        <w:t xml:space="preserve">ветскими реалиями. По мнению руководства УВВС, всем им полагалось ежемесячно </w:t>
      </w:r>
      <w:r w:rsidRPr="005E779E">
        <w:rPr>
          <w:rStyle w:val="0pt0"/>
          <w:rFonts w:eastAsia="Arial"/>
          <w:b w:val="0"/>
          <w:color w:val="000000" w:themeColor="text1"/>
          <w:spacing w:val="0"/>
          <w:sz w:val="16"/>
          <w:szCs w:val="16"/>
        </w:rPr>
        <w:t>по</w:t>
      </w:r>
      <w:r w:rsidRPr="005E779E">
        <w:rPr>
          <w:rFonts w:ascii="Times New Roman" w:hAnsi="Times New Roman"/>
          <w:color w:val="000000" w:themeColor="text1"/>
          <w:sz w:val="16"/>
          <w:szCs w:val="16"/>
        </w:rPr>
        <w:t xml:space="preserve"> 200 американских долларов, а семьям доплачивать в СССР в советской валюте — </w:t>
      </w:r>
      <w:r w:rsidRPr="005E779E">
        <w:rPr>
          <w:rStyle w:val="0pt0"/>
          <w:rFonts w:eastAsia="Arial"/>
          <w:b w:val="0"/>
          <w:color w:val="000000" w:themeColor="text1"/>
          <w:spacing w:val="0"/>
          <w:sz w:val="16"/>
          <w:szCs w:val="16"/>
        </w:rPr>
        <w:t>по</w:t>
      </w:r>
      <w:r w:rsidRPr="005E779E">
        <w:rPr>
          <w:rFonts w:ascii="Times New Roman" w:hAnsi="Times New Roman"/>
          <w:color w:val="000000" w:themeColor="text1"/>
          <w:sz w:val="16"/>
          <w:szCs w:val="16"/>
        </w:rPr>
        <w:t xml:space="preserve"> 215 руб. лётчикам и;190 руб. бортмеханикам. На каждого оформлялась страховка </w:t>
      </w:r>
      <w:r w:rsidRPr="005E779E">
        <w:rPr>
          <w:rStyle w:val="0pt0"/>
          <w:rFonts w:eastAsia="Arial"/>
          <w:b w:val="0"/>
          <w:color w:val="000000" w:themeColor="text1"/>
          <w:spacing w:val="0"/>
          <w:sz w:val="16"/>
          <w:szCs w:val="16"/>
        </w:rPr>
        <w:t>в</w:t>
      </w:r>
      <w:r w:rsidRPr="005E779E">
        <w:rPr>
          <w:rFonts w:ascii="Times New Roman" w:hAnsi="Times New Roman"/>
          <w:color w:val="000000" w:themeColor="text1"/>
          <w:sz w:val="16"/>
          <w:szCs w:val="16"/>
        </w:rPr>
        <w:t xml:space="preserve"> 10 тыс. амер. долл.</w:t>
      </w:r>
    </w:p>
    <w:p w14:paraId="69922D85" w14:textId="77777777" w:rsidR="003E4223" w:rsidRPr="005E779E" w:rsidRDefault="003E422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свою очередь НКИД по согласованию с Разведупром РККА возражал против выплаты жалованья в Союзе и предлагал ехать с семьями, причем в условия содержания, поми</w:t>
      </w:r>
      <w:r w:rsidRPr="005E779E">
        <w:rPr>
          <w:rFonts w:ascii="Times New Roman" w:hAnsi="Times New Roman"/>
          <w:color w:val="000000" w:themeColor="text1"/>
          <w:sz w:val="16"/>
          <w:szCs w:val="16"/>
        </w:rPr>
        <w:softHyphen/>
        <w:t xml:space="preserve">мо оклада (175-200 долл.) и страховки, должны входить бесплатные (за счёт китайцев) проезд семей и квартира с коммунально-бытовым обслуживанием. НКИД предложил изменить условия УВВС «в сторону сокращения ставок для нашего лётного состава </w:t>
      </w:r>
      <w:r w:rsidRPr="005E779E">
        <w:rPr>
          <w:rStyle w:val="74"/>
          <w:rFonts w:eastAsia="Arial"/>
          <w:color w:val="000000" w:themeColor="text1"/>
          <w:sz w:val="16"/>
          <w:szCs w:val="16"/>
        </w:rPr>
        <w:t xml:space="preserve">до </w:t>
      </w:r>
      <w:r w:rsidRPr="005E779E">
        <w:rPr>
          <w:rStyle w:val="ArialUnicodeMS10pt-1pt"/>
          <w:rFonts w:ascii="Times New Roman" w:hAnsi="Times New Roman" w:cs="Times New Roman"/>
          <w:b w:val="0"/>
          <w:color w:val="000000" w:themeColor="text1"/>
          <w:spacing w:val="0"/>
          <w:sz w:val="16"/>
          <w:szCs w:val="16"/>
        </w:rPr>
        <w:t>200</w:t>
      </w:r>
      <w:r w:rsidRPr="005E779E">
        <w:rPr>
          <w:rStyle w:val="74"/>
          <w:rFonts w:eastAsia="Arial"/>
          <w:color w:val="000000" w:themeColor="text1"/>
          <w:sz w:val="16"/>
          <w:szCs w:val="16"/>
        </w:rPr>
        <w:t xml:space="preserve"> ам. долл. и никаких дополнительных оплат в червонной валюте требовать не следует</w:t>
      </w:r>
      <w:r w:rsidRPr="005E779E">
        <w:rPr>
          <w:rFonts w:ascii="Times New Roman" w:hAnsi="Times New Roman"/>
          <w:color w:val="000000" w:themeColor="text1"/>
          <w:sz w:val="16"/>
          <w:szCs w:val="16"/>
        </w:rPr>
        <w:t xml:space="preserve"> (выделено в тексте).</w:t>
      </w:r>
    </w:p>
    <w:p w14:paraId="27E93FBA" w14:textId="77777777" w:rsidR="003E4223" w:rsidRPr="005E779E" w:rsidRDefault="003E422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Надо и можно обусловить предоставление нашему персоналу квартир и соответству</w:t>
      </w:r>
      <w:r w:rsidRPr="005E779E">
        <w:rPr>
          <w:rFonts w:ascii="Times New Roman" w:hAnsi="Times New Roman"/>
          <w:color w:val="000000" w:themeColor="text1"/>
          <w:sz w:val="16"/>
          <w:szCs w:val="16"/>
        </w:rPr>
        <w:softHyphen/>
        <w:t>ющего коммунально-бытового обслуживания. Кроме того, от китайцев можно потребо</w:t>
      </w:r>
      <w:r w:rsidRPr="005E779E">
        <w:rPr>
          <w:rFonts w:ascii="Times New Roman" w:hAnsi="Times New Roman"/>
          <w:color w:val="000000" w:themeColor="text1"/>
          <w:sz w:val="16"/>
          <w:szCs w:val="16"/>
        </w:rPr>
        <w:softHyphen/>
      </w:r>
      <w:r w:rsidRPr="005E779E">
        <w:rPr>
          <w:rStyle w:val="0pt0"/>
          <w:rFonts w:eastAsia="Arial"/>
          <w:b w:val="0"/>
          <w:color w:val="000000" w:themeColor="text1"/>
          <w:spacing w:val="0"/>
          <w:sz w:val="16"/>
          <w:szCs w:val="16"/>
        </w:rPr>
        <w:t>вать</w:t>
      </w:r>
      <w:r w:rsidRPr="005E779E">
        <w:rPr>
          <w:rFonts w:ascii="Times New Roman" w:hAnsi="Times New Roman"/>
          <w:color w:val="000000" w:themeColor="text1"/>
          <w:sz w:val="16"/>
          <w:szCs w:val="16"/>
        </w:rPr>
        <w:t xml:space="preserve"> оплаты переезда также семей лётного персонала по себестоимости. Лучше послать лётный персонал с семьями.</w:t>
      </w:r>
    </w:p>
    <w:p w14:paraId="3A3E9870" w14:textId="77777777" w:rsidR="003E4223" w:rsidRPr="005E779E" w:rsidRDefault="003E422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этими добавлениями и исключив... [пункт об оплате в советской валюте], можно до</w:t>
      </w:r>
      <w:r w:rsidRPr="005E779E">
        <w:rPr>
          <w:rFonts w:ascii="Times New Roman" w:hAnsi="Times New Roman"/>
          <w:color w:val="000000" w:themeColor="text1"/>
          <w:sz w:val="16"/>
          <w:szCs w:val="16"/>
        </w:rPr>
        <w:softHyphen/>
        <w:t>говориться с Синьцзянским правительством. Подчеркиваем, что зарплата нашего Гене</w:t>
      </w:r>
      <w:r w:rsidRPr="005E779E">
        <w:rPr>
          <w:rFonts w:ascii="Times New Roman" w:hAnsi="Times New Roman"/>
          <w:color w:val="000000" w:themeColor="text1"/>
          <w:sz w:val="16"/>
          <w:szCs w:val="16"/>
        </w:rPr>
        <w:softHyphen/>
        <w:t>рального Консула в Урумчи равна 132 ам. долл., из коих</w:t>
      </w:r>
      <w:r w:rsidRPr="005E779E">
        <w:rPr>
          <w:rStyle w:val="9pt0"/>
          <w:rFonts w:ascii="Times New Roman" w:hAnsi="Times New Roman" w:cs="Times New Roman"/>
          <w:i w:val="0"/>
          <w:color w:val="000000" w:themeColor="text1"/>
          <w:sz w:val="16"/>
          <w:szCs w:val="16"/>
        </w:rPr>
        <w:t xml:space="preserve"> 20%</w:t>
      </w:r>
      <w:r w:rsidRPr="005E779E">
        <w:rPr>
          <w:rFonts w:ascii="Times New Roman" w:hAnsi="Times New Roman"/>
          <w:color w:val="000000" w:themeColor="text1"/>
          <w:sz w:val="16"/>
          <w:szCs w:val="16"/>
        </w:rPr>
        <w:t xml:space="preserve"> удерживают в Союзе. Лётный персонал и их семьи будут обеспечены больше, чем это требуется при этих условиях». </w:t>
      </w:r>
    </w:p>
    <w:p w14:paraId="0E6AE0AD" w14:textId="77777777" w:rsidR="003E4223" w:rsidRPr="005E779E" w:rsidRDefault="003E422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По-видимому, подписавших письмо чиновников НКИД прежде всего беспокоило, что- </w:t>
      </w:r>
      <w:r w:rsidRPr="005E779E">
        <w:rPr>
          <w:rStyle w:val="0pt0"/>
          <w:rFonts w:eastAsia="Arial"/>
          <w:b w:val="0"/>
          <w:color w:val="000000" w:themeColor="text1"/>
          <w:spacing w:val="0"/>
          <w:sz w:val="16"/>
          <w:szCs w:val="16"/>
          <w:lang w:val="en-US"/>
        </w:rPr>
        <w:t>j</w:t>
      </w:r>
      <w:r w:rsidRPr="005E779E">
        <w:rPr>
          <w:rStyle w:val="0pt0"/>
          <w:rFonts w:eastAsia="Arial"/>
          <w:b w:val="0"/>
          <w:color w:val="000000" w:themeColor="text1"/>
          <w:spacing w:val="0"/>
          <w:sz w:val="16"/>
          <w:szCs w:val="16"/>
        </w:rPr>
        <w:t xml:space="preserve"> вы</w:t>
      </w:r>
      <w:r w:rsidRPr="005E779E">
        <w:rPr>
          <w:rFonts w:ascii="Times New Roman" w:hAnsi="Times New Roman"/>
          <w:color w:val="000000" w:themeColor="text1"/>
          <w:sz w:val="16"/>
          <w:szCs w:val="16"/>
        </w:rPr>
        <w:t xml:space="preserve"> лётчики не получали слишком много по сравнению со служащими их ведомства и, </w:t>
      </w:r>
      <w:r w:rsidRPr="005E779E">
        <w:rPr>
          <w:rStyle w:val="0pt0"/>
          <w:rFonts w:eastAsia="Arial"/>
          <w:b w:val="0"/>
          <w:color w:val="000000" w:themeColor="text1"/>
          <w:spacing w:val="0"/>
          <w:sz w:val="16"/>
          <w:szCs w:val="16"/>
        </w:rPr>
        <w:t>что</w:t>
      </w:r>
      <w:r w:rsidRPr="005E779E">
        <w:rPr>
          <w:rFonts w:ascii="Times New Roman" w:hAnsi="Times New Roman"/>
          <w:color w:val="000000" w:themeColor="text1"/>
          <w:sz w:val="16"/>
          <w:szCs w:val="16"/>
        </w:rPr>
        <w:t xml:space="preserve"> ещё более странно, они вовсе не были заинтересованы в конвертации долларов в советскую валюту.</w:t>
      </w:r>
    </w:p>
    <w:p w14:paraId="3539F41C" w14:textId="77777777" w:rsidR="003E4223" w:rsidRPr="005E779E" w:rsidRDefault="003E4223" w:rsidP="000B7A6C">
      <w:pPr>
        <w:spacing w:after="0" w:line="240" w:lineRule="auto"/>
        <w:jc w:val="both"/>
        <w:rPr>
          <w:rStyle w:val="84"/>
          <w:rFonts w:eastAsia="Arial"/>
          <w:color w:val="000000" w:themeColor="text1"/>
          <w:sz w:val="16"/>
          <w:szCs w:val="16"/>
        </w:rPr>
      </w:pPr>
      <w:r w:rsidRPr="005E779E">
        <w:rPr>
          <w:rFonts w:ascii="Times New Roman" w:hAnsi="Times New Roman"/>
          <w:color w:val="000000" w:themeColor="text1"/>
          <w:sz w:val="16"/>
          <w:szCs w:val="16"/>
        </w:rPr>
        <w:t>Размашистая резолюция Начальника УВВС Я.И. Алксниса на документе НКИД не ос</w:t>
      </w:r>
      <w:r w:rsidRPr="005E779E">
        <w:rPr>
          <w:rFonts w:ascii="Times New Roman" w:hAnsi="Times New Roman"/>
          <w:color w:val="000000" w:themeColor="text1"/>
          <w:sz w:val="16"/>
          <w:szCs w:val="16"/>
        </w:rPr>
        <w:softHyphen/>
        <w:t>тавляла никаких сомнений: «Отправлять без семей и настоять на уплату семьям содер</w:t>
      </w:r>
      <w:r w:rsidRPr="005E779E">
        <w:rPr>
          <w:rFonts w:ascii="Times New Roman" w:hAnsi="Times New Roman"/>
          <w:color w:val="000000" w:themeColor="text1"/>
          <w:sz w:val="16"/>
          <w:szCs w:val="16"/>
        </w:rPr>
        <w:softHyphen/>
        <w:t>жания в советской валюте в размерах получаемого содержания в Союзе». После этого дипломаты задействовали «Главный Калибр» в лице зам. Наркома Л. Карахана, лично об</w:t>
      </w:r>
      <w:r w:rsidRPr="005E779E">
        <w:rPr>
          <w:rFonts w:ascii="Times New Roman" w:hAnsi="Times New Roman"/>
          <w:color w:val="000000" w:themeColor="text1"/>
          <w:sz w:val="16"/>
          <w:szCs w:val="16"/>
        </w:rPr>
        <w:softHyphen/>
        <w:t xml:space="preserve">ратившегося к Алкснису: «Я считаю необходимым разрешить окончательно вопрос о снижении ставки, которую должны получать лётчики на месте с 200 ам. долл. до 150 ам. долл., т.к. сохранение выплат в советской валюте семьям </w:t>
      </w:r>
      <w:r w:rsidRPr="005E779E">
        <w:rPr>
          <w:rStyle w:val="84"/>
          <w:rFonts w:eastAsia="Arial"/>
          <w:color w:val="000000" w:themeColor="text1"/>
          <w:sz w:val="16"/>
          <w:szCs w:val="16"/>
        </w:rPr>
        <w:t>делает предлагаемые Вами ус</w:t>
      </w:r>
      <w:r w:rsidRPr="005E779E">
        <w:rPr>
          <w:rStyle w:val="84"/>
          <w:rFonts w:eastAsia="Arial"/>
          <w:color w:val="000000" w:themeColor="text1"/>
          <w:sz w:val="16"/>
          <w:szCs w:val="16"/>
        </w:rPr>
        <w:softHyphen/>
        <w:t>ловия чрезмерно тяжёлыми для Синьцзянского правительства.</w:t>
      </w:r>
    </w:p>
    <w:p w14:paraId="0B56B6E8" w14:textId="77777777" w:rsidR="003E4223" w:rsidRPr="005E779E" w:rsidRDefault="003E422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Я считаю, что 150 ам. долл. являются предельной ставкой, которую мы можем требо</w:t>
      </w:r>
      <w:r w:rsidRPr="005E779E">
        <w:rPr>
          <w:rFonts w:ascii="Times New Roman" w:hAnsi="Times New Roman"/>
          <w:color w:val="000000" w:themeColor="text1"/>
          <w:sz w:val="16"/>
          <w:szCs w:val="16"/>
        </w:rPr>
        <w:softHyphen/>
        <w:t>вать от Синьцзянского правительства за услуги нашего персонала. Эта ставка не толь</w:t>
      </w:r>
      <w:r w:rsidRPr="005E779E">
        <w:rPr>
          <w:rFonts w:ascii="Times New Roman" w:hAnsi="Times New Roman"/>
          <w:color w:val="000000" w:themeColor="text1"/>
          <w:sz w:val="16"/>
          <w:szCs w:val="16"/>
        </w:rPr>
        <w:softHyphen/>
        <w:t>ко позволит лётному персоналу быть наиболее высокооплачиваемой группой работников во всем Синьцзяне, но и делать значительные накопления в инвалюте.</w:t>
      </w:r>
    </w:p>
    <w:p w14:paraId="18B3A8DE" w14:textId="77777777" w:rsidR="003E4223" w:rsidRPr="005E779E" w:rsidRDefault="003E422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Учитывая те условия, которыми правительство обусловливало продажу самолётов и командирование лётчиков, — я прошу Вас в виду необходимости закончить перегово</w:t>
      </w:r>
      <w:r w:rsidRPr="005E779E">
        <w:rPr>
          <w:rFonts w:ascii="Times New Roman" w:hAnsi="Times New Roman"/>
          <w:color w:val="000000" w:themeColor="text1"/>
          <w:sz w:val="16"/>
          <w:szCs w:val="16"/>
        </w:rPr>
        <w:softHyphen/>
        <w:t>ры об условиях, на которых будут командированы наши лётчики, в ближайшие дни, срочно подтвердить Ваше согласие принять ставку в 150 ам. долл...».</w:t>
      </w:r>
    </w:p>
    <w:p w14:paraId="3F62042C" w14:textId="77777777" w:rsidR="003E4223" w:rsidRPr="005E779E" w:rsidRDefault="003E422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Особое внимание привлекают формулировки: «чрезмерно тяжёлые для Синьцзянского правительства» условия содержания лётчиков и «условия, которыми правительство обу</w:t>
      </w:r>
      <w:r w:rsidRPr="005E779E">
        <w:rPr>
          <w:rFonts w:ascii="Times New Roman" w:hAnsi="Times New Roman"/>
          <w:color w:val="000000" w:themeColor="text1"/>
          <w:sz w:val="16"/>
          <w:szCs w:val="16"/>
        </w:rPr>
        <w:softHyphen/>
        <w:t>словливало продажу самолётов». Иными словами, фактически лётчики «расплачивались» за выгодную СССР сделку из своего жалованья.</w:t>
      </w:r>
    </w:p>
    <w:p w14:paraId="2E46D651" w14:textId="77777777" w:rsidR="003E4223" w:rsidRPr="005E779E" w:rsidRDefault="003E422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Как и следовало ожидать, это послание «подвело черту» под «денежными делами». В УВВС не посмели спорить с НКИД, лишь чуть-чуть попытались «поторговаться» с Караханом: «Если это возможно, часть сумм, подлежащих переводу в советской валюте — переводить на Торгсин».</w:t>
      </w:r>
    </w:p>
    <w:p w14:paraId="6E989C18" w14:textId="77777777" w:rsidR="003E4223" w:rsidRPr="005E779E" w:rsidRDefault="003E422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Мнения самих авиаторов, где им больше нужны деньги — в СССР или в Китае, разу</w:t>
      </w:r>
      <w:r w:rsidRPr="005E779E">
        <w:rPr>
          <w:rFonts w:ascii="Times New Roman" w:hAnsi="Times New Roman"/>
          <w:color w:val="000000" w:themeColor="text1"/>
          <w:sz w:val="16"/>
          <w:szCs w:val="16"/>
        </w:rPr>
        <w:softHyphen/>
        <w:t>меется, никто и не спрашивал. При оформлении загранпаспортов оказалось, что семья была только у Волынченко, остальные заработок в рублях перечисляли родителям. Впо</w:t>
      </w:r>
      <w:r w:rsidRPr="005E779E">
        <w:rPr>
          <w:rFonts w:ascii="Times New Roman" w:hAnsi="Times New Roman"/>
          <w:color w:val="000000" w:themeColor="text1"/>
          <w:sz w:val="16"/>
          <w:szCs w:val="16"/>
        </w:rPr>
        <w:softHyphen/>
        <w:t>следствии в переписке подчеркивалось, что «</w:t>
      </w:r>
      <w:r w:rsidRPr="005E779E">
        <w:rPr>
          <w:rStyle w:val="84"/>
          <w:rFonts w:eastAsia="Arial"/>
          <w:color w:val="000000" w:themeColor="text1"/>
          <w:sz w:val="16"/>
          <w:szCs w:val="16"/>
        </w:rPr>
        <w:t>все лётчики ехали в командировку с боль</w:t>
      </w:r>
      <w:r w:rsidRPr="005E779E">
        <w:rPr>
          <w:rStyle w:val="84"/>
          <w:rFonts w:eastAsia="Arial"/>
          <w:color w:val="000000" w:themeColor="text1"/>
          <w:sz w:val="16"/>
          <w:szCs w:val="16"/>
        </w:rPr>
        <w:softHyphen/>
        <w:t>шой неохотой</w:t>
      </w:r>
      <w:r w:rsidRPr="005E779E">
        <w:rPr>
          <w:rFonts w:ascii="Times New Roman" w:hAnsi="Times New Roman"/>
          <w:color w:val="000000" w:themeColor="text1"/>
          <w:sz w:val="16"/>
          <w:szCs w:val="16"/>
        </w:rPr>
        <w:t>, особенно тов. Волынченко, вынужденный оставить жену и ребенка в СССР». За его семьей закрепили жилье в Харькове, подчеркнув при этом необходимость оказывать ей всяческое содействие. Весьма неприятный «сюрприз» ждал авиаторов и в Алма-Ате — выяснилось, что оклады у них меньше, чем у советских лётчиков в Афгани</w:t>
      </w:r>
      <w:r w:rsidRPr="005E779E">
        <w:rPr>
          <w:rFonts w:ascii="Times New Roman" w:hAnsi="Times New Roman"/>
          <w:color w:val="000000" w:themeColor="text1"/>
          <w:sz w:val="16"/>
          <w:szCs w:val="16"/>
        </w:rPr>
        <w:softHyphen/>
        <w:t>стане и Персии, «хотя условия работы в Синьцзяне тяжелее и жизнь не дешевле, чем жизнь в других восточных странах» (15802).</w:t>
      </w:r>
    </w:p>
    <w:p w14:paraId="6FA9272C" w14:textId="77777777" w:rsidR="003E4223" w:rsidRPr="005E779E" w:rsidRDefault="003E4223" w:rsidP="000B7A6C">
      <w:pPr>
        <w:spacing w:after="0" w:line="240" w:lineRule="auto"/>
        <w:jc w:val="both"/>
        <w:rPr>
          <w:rFonts w:ascii="Times New Roman" w:hAnsi="Times New Roman"/>
          <w:color w:val="000000" w:themeColor="text1"/>
          <w:sz w:val="16"/>
          <w:szCs w:val="16"/>
        </w:rPr>
      </w:pPr>
    </w:p>
    <w:p w14:paraId="4750B6E6" w14:textId="77777777" w:rsidR="003E4223"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7E856F64" w14:textId="77777777" w:rsidR="003E4223" w:rsidRPr="005E779E" w:rsidRDefault="003E4223"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00F475D" w14:textId="77777777" w:rsidR="003E4223" w:rsidRPr="005E779E" w:rsidRDefault="003E422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начале октября 1931 г. взлетел </w:t>
      </w:r>
      <w:r w:rsidRPr="005E779E">
        <w:rPr>
          <w:rFonts w:ascii="Times New Roman" w:hAnsi="Times New Roman"/>
          <w:color w:val="000000" w:themeColor="text1"/>
          <w:sz w:val="16"/>
          <w:szCs w:val="16"/>
          <w:lang w:val="en-US"/>
        </w:rPr>
        <w:t>Ju</w:t>
      </w:r>
      <w:r w:rsidRPr="005E779E">
        <w:rPr>
          <w:rFonts w:ascii="Times New Roman" w:hAnsi="Times New Roman"/>
          <w:color w:val="000000" w:themeColor="text1"/>
          <w:sz w:val="16"/>
          <w:szCs w:val="16"/>
        </w:rPr>
        <w:t xml:space="preserve"> 49. Юнкере </w:t>
      </w:r>
      <w:r w:rsidRPr="005E779E">
        <w:rPr>
          <w:rFonts w:ascii="Times New Roman" w:hAnsi="Times New Roman"/>
          <w:color w:val="000000" w:themeColor="text1"/>
          <w:sz w:val="16"/>
          <w:szCs w:val="16"/>
          <w:lang w:val="en-US"/>
        </w:rPr>
        <w:t>Ju</w:t>
      </w:r>
      <w:r w:rsidRPr="005E779E">
        <w:rPr>
          <w:rFonts w:ascii="Times New Roman" w:hAnsi="Times New Roman"/>
          <w:color w:val="000000" w:themeColor="text1"/>
          <w:sz w:val="16"/>
          <w:szCs w:val="16"/>
        </w:rPr>
        <w:t xml:space="preserve"> 49, предназначенный для продолжительного полёта на большой высоте, по конструкции и размерам был ближе к транспортному самолёту или бомбардировщику, чем к истребителю. Он, как и </w:t>
      </w:r>
      <w:r w:rsidRPr="005E779E">
        <w:rPr>
          <w:rFonts w:ascii="Times New Roman" w:hAnsi="Times New Roman"/>
          <w:color w:val="000000" w:themeColor="text1"/>
          <w:sz w:val="16"/>
          <w:szCs w:val="16"/>
          <w:lang w:val="en-US"/>
        </w:rPr>
        <w:t>W</w:t>
      </w:r>
      <w:r w:rsidRPr="005E779E">
        <w:rPr>
          <w:rFonts w:ascii="Times New Roman" w:hAnsi="Times New Roman"/>
          <w:color w:val="000000" w:themeColor="text1"/>
          <w:sz w:val="16"/>
          <w:szCs w:val="16"/>
        </w:rPr>
        <w:t xml:space="preserve"> 34, пред</w:t>
      </w:r>
      <w:r w:rsidRPr="005E779E">
        <w:rPr>
          <w:rFonts w:ascii="Times New Roman" w:hAnsi="Times New Roman"/>
          <w:color w:val="000000" w:themeColor="text1"/>
          <w:sz w:val="16"/>
          <w:szCs w:val="16"/>
        </w:rPr>
        <w:softHyphen/>
        <w:t>ставлял собой металлический свободнонесущий низкоплан с гофрированной обшивкой (15842).</w:t>
      </w:r>
    </w:p>
    <w:p w14:paraId="45319453" w14:textId="77777777" w:rsidR="003E4223" w:rsidRPr="005E779E" w:rsidRDefault="003E4223" w:rsidP="000B7A6C">
      <w:pPr>
        <w:spacing w:after="0" w:line="240" w:lineRule="auto"/>
        <w:jc w:val="both"/>
        <w:rPr>
          <w:rFonts w:ascii="Times New Roman" w:hAnsi="Times New Roman"/>
          <w:color w:val="000000" w:themeColor="text1"/>
          <w:sz w:val="16"/>
          <w:szCs w:val="16"/>
        </w:rPr>
      </w:pPr>
    </w:p>
    <w:p w14:paraId="1A141051"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0EC2B6F1"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EF0E1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октября 1931 С.П.К. присутствовал вместе с Б.И. Черановским при проведении Ф.А. Цандером 32 опытов с двигателем ОР-1 (Там же) (10676).</w:t>
      </w:r>
    </w:p>
    <w:p w14:paraId="5A17A7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6D27CB2" w14:textId="77777777" w:rsidR="00221006" w:rsidRPr="005E779E" w:rsidRDefault="0022100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октября 1931 Королёв и Черановский по приглашению Цандера наблюдали в ИАМ 32-й по счёту стендо</w:t>
      </w:r>
      <w:r w:rsidRPr="005E779E">
        <w:rPr>
          <w:rFonts w:ascii="Times New Roman" w:hAnsi="Times New Roman"/>
          <w:color w:val="000000" w:themeColor="text1"/>
          <w:sz w:val="16"/>
          <w:szCs w:val="16"/>
        </w:rPr>
        <w:softHyphen/>
        <w:t>вый запуск двигателя ОР-1 (23550).</w:t>
      </w:r>
    </w:p>
    <w:p w14:paraId="1406822C" w14:textId="77777777" w:rsidR="00221006" w:rsidRPr="005E779E" w:rsidRDefault="00221006" w:rsidP="000B7A6C">
      <w:pPr>
        <w:spacing w:after="0" w:line="240" w:lineRule="auto"/>
        <w:jc w:val="both"/>
        <w:rPr>
          <w:rFonts w:ascii="Times New Roman" w:hAnsi="Times New Roman"/>
          <w:color w:val="000000" w:themeColor="text1"/>
          <w:sz w:val="16"/>
          <w:szCs w:val="16"/>
        </w:rPr>
      </w:pPr>
    </w:p>
    <w:p w14:paraId="588F0181"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01398B42"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CC818FF" w14:textId="77777777" w:rsidR="00DE24DE" w:rsidRPr="005E779E" w:rsidRDefault="00DE24D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период с 7 по 28 октября 1931 г. Комиссией Военно-морской инспекции Центральной контрольной комиссии (ВМИ ЦКК) ВКП(б) НКРКИ СССР под руководством старшего инспектора К. Ченцова проводилось обследование тракторного и танкового производства ХПЗ, строительства новых цехов, а также проверка состояния проработки заводом мобилизационного плана МВ-10.</w:t>
      </w:r>
    </w:p>
    <w:p w14:paraId="7373B5BE" w14:textId="77777777" w:rsidR="00DE24DE" w:rsidRPr="005E779E" w:rsidRDefault="00DE24D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завершения работы Комиссии, 18 ноября 1931 г. руководству ХПЗ с препроводительным письмом № 710с были направлены выводы, сделанные Комиссией по результатам проведенного обследования (24856).</w:t>
      </w:r>
    </w:p>
    <w:p w14:paraId="39102253" w14:textId="77777777" w:rsidR="00DE24DE" w:rsidRPr="005E779E" w:rsidRDefault="00DE24DE" w:rsidP="000B7A6C">
      <w:pPr>
        <w:spacing w:after="0" w:line="240" w:lineRule="auto"/>
        <w:jc w:val="both"/>
        <w:rPr>
          <w:rFonts w:ascii="Times New Roman" w:hAnsi="Times New Roman"/>
          <w:color w:val="000000" w:themeColor="text1"/>
          <w:sz w:val="16"/>
          <w:szCs w:val="16"/>
        </w:rPr>
      </w:pPr>
    </w:p>
    <w:p w14:paraId="1D752290" w14:textId="77777777" w:rsidR="00446A9C" w:rsidRPr="00142305" w:rsidRDefault="00446A9C" w:rsidP="00446A9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период с 7 по 28 октября 1931 г. работала военно-морская инспекция ЦКК ВКП (61 — HK РКП СССР по обследованию танко-тракторного производства на ХПЗ. Согласно ее выводам «…за весь период работы завода по изготовлению танков Т-24, заводоуправлением не был создан необходимый конструкторский аппарат. Техническая контора с аппаратом в 20 чел. Занималась только деталировкой чертежей. До 1 января 1931 г. это бюро даже не справлялось со своей текущей работой — деталировкой чертежей…» (25479).</w:t>
      </w:r>
    </w:p>
    <w:p w14:paraId="31BBBAE4" w14:textId="77777777" w:rsidR="00446A9C" w:rsidRPr="00142305" w:rsidRDefault="00446A9C" w:rsidP="00446A9C">
      <w:pPr>
        <w:spacing w:after="0" w:line="240" w:lineRule="auto"/>
        <w:jc w:val="both"/>
        <w:rPr>
          <w:rFonts w:ascii="Times New Roman" w:hAnsi="Times New Roman"/>
          <w:color w:val="0070C0"/>
          <w:sz w:val="16"/>
          <w:szCs w:val="16"/>
        </w:rPr>
      </w:pPr>
    </w:p>
    <w:p w14:paraId="403473E3" w14:textId="77777777" w:rsidR="00446A9C" w:rsidRPr="00142305" w:rsidRDefault="00446A9C" w:rsidP="00446A9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7 октября 1931 года «Амторг» получил письмо Кристи:</w:t>
      </w:r>
    </w:p>
    <w:p w14:paraId="374E980B" w14:textId="77777777" w:rsidR="00446A9C" w:rsidRPr="00142305" w:rsidRDefault="00446A9C" w:rsidP="00446A9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«Г. Гобару.</w:t>
      </w:r>
    </w:p>
    <w:p w14:paraId="5D2BA9E6" w14:textId="77777777" w:rsidR="00446A9C" w:rsidRPr="00142305" w:rsidRDefault="00446A9C" w:rsidP="00446A9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Ваш представитель инженер Свиридов только что посетил нас в целях осмотра, что, как я уверен, окажется полезным для нас обоих. Однако, как мне кажется, Ваше правительство было бы вполне удовлетворено, если бы господин Тоскин, назначенный сюда в качестве при</w:t>
      </w:r>
      <w:r w:rsidRPr="00142305">
        <w:rPr>
          <w:rFonts w:ascii="Times New Roman" w:hAnsi="Times New Roman"/>
          <w:color w:val="0070C0"/>
          <w:sz w:val="16"/>
          <w:szCs w:val="16"/>
        </w:rPr>
        <w:softHyphen/>
        <w:t>емщика, мог бы вернуться для беглого осмотра, привезя с собой требования и пожелания Ваших военных органов, и будучи осведомленным относительно каких-либо затруднений, возникших у Ваших комитетов в отношении двух шасси, закупленных у нас.</w:t>
      </w:r>
    </w:p>
    <w:p w14:paraId="6F21B677" w14:textId="77777777" w:rsidR="00446A9C" w:rsidRPr="00142305" w:rsidRDefault="00446A9C" w:rsidP="00446A9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развитием работ, которые почти что завершены в виде законченных черте</w:t>
      </w:r>
      <w:r w:rsidRPr="00142305">
        <w:rPr>
          <w:rFonts w:ascii="Times New Roman" w:hAnsi="Times New Roman"/>
          <w:color w:val="0070C0"/>
          <w:sz w:val="16"/>
          <w:szCs w:val="16"/>
        </w:rPr>
        <w:softHyphen/>
        <w:t>жей с допусками и всеми указаниями, необходимыми для успешного изготов</w:t>
      </w:r>
      <w:r w:rsidRPr="00142305">
        <w:rPr>
          <w:rFonts w:ascii="Times New Roman" w:hAnsi="Times New Roman"/>
          <w:color w:val="0070C0"/>
          <w:sz w:val="16"/>
          <w:szCs w:val="16"/>
        </w:rPr>
        <w:softHyphen/>
        <w:t>ления этих машин, наши разногласия могут быть скоро разрешены.</w:t>
      </w:r>
    </w:p>
    <w:p w14:paraId="7B61F23B" w14:textId="29CF04D1" w:rsidR="00446A9C" w:rsidRPr="00142305" w:rsidRDefault="00446A9C" w:rsidP="00446A9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этом письме обращаю последний раз Ваше внимание на достигнутое лично соглашение между господином Халеп - ским, Вами, автором этого письма и дру</w:t>
      </w:r>
      <w:r w:rsidRPr="00142305">
        <w:rPr>
          <w:rFonts w:ascii="Times New Roman" w:hAnsi="Times New Roman"/>
          <w:color w:val="0070C0"/>
          <w:sz w:val="16"/>
          <w:szCs w:val="16"/>
        </w:rPr>
        <w:softHyphen/>
        <w:t>гими членами Вашей комиссии, кото</w:t>
      </w:r>
      <w:r w:rsidRPr="00142305">
        <w:rPr>
          <w:rFonts w:ascii="Times New Roman" w:hAnsi="Times New Roman"/>
          <w:color w:val="0070C0"/>
          <w:sz w:val="16"/>
          <w:szCs w:val="16"/>
        </w:rPr>
        <w:softHyphen/>
        <w:t>рые были свидетелями того, что кон</w:t>
      </w:r>
      <w:r w:rsidRPr="00142305">
        <w:rPr>
          <w:rFonts w:ascii="Times New Roman" w:hAnsi="Times New Roman"/>
          <w:color w:val="0070C0"/>
          <w:sz w:val="16"/>
          <w:szCs w:val="16"/>
        </w:rPr>
        <w:softHyphen/>
        <w:t>тракт, заключенный со мной устно, должен быть выполнен независимо от легальных технических требований и из</w:t>
      </w:r>
      <w:r w:rsidRPr="00142305">
        <w:rPr>
          <w:rFonts w:ascii="Times New Roman" w:hAnsi="Times New Roman"/>
          <w:color w:val="0070C0"/>
          <w:sz w:val="16"/>
          <w:szCs w:val="16"/>
        </w:rPr>
        <w:softHyphen/>
        <w:t>менений. Поэтому сообщаю Вам, что контрактная цена в размере 160.000 $ за две машины и права на изготовление с усовершенствованиями, которые мы вводим день за днем, должна быть вы</w:t>
      </w:r>
      <w:r w:rsidRPr="00142305">
        <w:rPr>
          <w:rFonts w:ascii="Times New Roman" w:hAnsi="Times New Roman"/>
          <w:color w:val="0070C0"/>
          <w:sz w:val="16"/>
          <w:szCs w:val="16"/>
        </w:rPr>
        <w:softHyphen/>
        <w:t xml:space="preserve">держана, и мы должны получить остаток от 160.000 $ для продолжения наших </w:t>
      </w:r>
      <w:r w:rsidRPr="00142305">
        <w:rPr>
          <w:rFonts w:ascii="Times New Roman" w:hAnsi="Times New Roman"/>
          <w:noProof/>
          <w:color w:val="0070C0"/>
          <w:sz w:val="16"/>
          <w:szCs w:val="16"/>
        </w:rPr>
        <mc:AlternateContent>
          <mc:Choice Requires="wps">
            <w:drawing>
              <wp:anchor distT="0" distB="0" distL="0" distR="0" simplePos="0" relativeHeight="251659264" behindDoc="0" locked="0" layoutInCell="1" allowOverlap="1" wp14:anchorId="5EA4602F" wp14:editId="4419B8B0">
                <wp:simplePos x="0" y="0"/>
                <wp:positionH relativeFrom="page">
                  <wp:posOffset>111760</wp:posOffset>
                </wp:positionH>
                <wp:positionV relativeFrom="margin">
                  <wp:posOffset>-3596640</wp:posOffset>
                </wp:positionV>
                <wp:extent cx="1109345" cy="692150"/>
                <wp:effectExtent l="0" t="0" r="0" b="0"/>
                <wp:wrapNone/>
                <wp:docPr id="603363034" name="Надпись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09345" cy="692150"/>
                        </a:xfrm>
                        <a:prstGeom prst="rect">
                          <a:avLst/>
                        </a:prstGeom>
                        <a:noFill/>
                      </wps:spPr>
                      <wps:txbx>
                        <w:txbxContent>
                          <w:p w14:paraId="630ACC41" w14:textId="77777777" w:rsidR="00446A9C" w:rsidRDefault="00446A9C" w:rsidP="00446A9C">
                            <w:pPr>
                              <w:pStyle w:val="aff9"/>
                              <w:jc w:val="right"/>
                            </w:pPr>
                            <w:r>
                              <w:t>Танк Кристи М.1931 преодолевает препятствие. НИБТ полигон, лето 1932 года (АСКМ).</w:t>
                            </w:r>
                          </w:p>
                        </w:txbxContent>
                      </wps:txbx>
                      <wps:bodyPr lIns="0" tIns="0" rIns="0" bIns="0"/>
                    </wps:wsp>
                  </a:graphicData>
                </a:graphic>
                <wp14:sizeRelH relativeFrom="page">
                  <wp14:pctWidth>0</wp14:pctWidth>
                </wp14:sizeRelH>
                <wp14:sizeRelV relativeFrom="page">
                  <wp14:pctHeight>0</wp14:pctHeight>
                </wp14:sizeRelV>
              </wp:anchor>
            </w:drawing>
          </mc:Choice>
          <mc:Fallback>
            <w:pict>
              <v:shapetype w14:anchorId="5EA4602F" id="_x0000_t202" coordsize="21600,21600" o:spt="202" path="m,l,21600r21600,l21600,xe">
                <v:stroke joinstyle="miter"/>
                <v:path gradientshapeok="t" o:connecttype="rect"/>
              </v:shapetype>
              <v:shape id="Надпись 1" o:spid="_x0000_s1026" type="#_x0000_t202" style="position:absolute;left:0;text-align:left;margin-left:8.8pt;margin-top:-283.2pt;width:87.35pt;height:54.5pt;z-index:251659264;visibility:visible;mso-wrap-style:square;mso-width-percent:0;mso-height-percent:0;mso-wrap-distance-left:0;mso-wrap-distance-top:0;mso-wrap-distance-right:0;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" filled="f" stroked="f">
                <v:textbox inset="0,0,0,0">
                  <w:txbxContent>
                    <w:p w14:paraId="630ACC41" w14:textId="77777777" w:rsidR="00446A9C" w:rsidRDefault="00446A9C" w:rsidP="00446A9C">
                      <w:pPr>
                        <w:pStyle w:val="aff9"/>
                        <w:jc w:val="right"/>
                      </w:pPr>
                      <w:r>
                        <w:t>Танк Кристи М.1931 преодолевает препятствие. НИБТ полигон, лето 1932 года (АСКМ).</w:t>
                      </w:r>
                    </w:p>
                  </w:txbxContent>
                </v:textbox>
                <w10:wrap anchorx="page" anchory="margin"/>
              </v:shape>
            </w:pict>
          </mc:Fallback>
        </mc:AlternateContent>
      </w:r>
      <w:r w:rsidRPr="00142305">
        <w:rPr>
          <w:rFonts w:ascii="Times New Roman" w:hAnsi="Times New Roman"/>
          <w:color w:val="0070C0"/>
          <w:sz w:val="16"/>
          <w:szCs w:val="16"/>
        </w:rPr>
        <w:t>дружеских отношений в целях как на</w:t>
      </w:r>
      <w:r w:rsidRPr="00142305">
        <w:rPr>
          <w:rFonts w:ascii="Times New Roman" w:hAnsi="Times New Roman"/>
          <w:color w:val="0070C0"/>
          <w:sz w:val="16"/>
          <w:szCs w:val="16"/>
        </w:rPr>
        <w:softHyphen/>
        <w:t>ших, так и ваших успехов...</w:t>
      </w:r>
    </w:p>
    <w:p w14:paraId="7796BD23" w14:textId="77777777" w:rsidR="00446A9C" w:rsidRPr="00142305" w:rsidRDefault="00446A9C" w:rsidP="00446A9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Я не являюсь спекулянтом или капита</w:t>
      </w:r>
      <w:r w:rsidRPr="00142305">
        <w:rPr>
          <w:rFonts w:ascii="Times New Roman" w:hAnsi="Times New Roman"/>
          <w:color w:val="0070C0"/>
          <w:sz w:val="16"/>
          <w:szCs w:val="16"/>
        </w:rPr>
        <w:softHyphen/>
        <w:t>листом, я рабочий и заслуживаю быть оплаченным полностью за все то, что я делаю, что является только оплатой за годы учения и личные мои труды в дан</w:t>
      </w:r>
      <w:r w:rsidRPr="00142305">
        <w:rPr>
          <w:rFonts w:ascii="Times New Roman" w:hAnsi="Times New Roman"/>
          <w:color w:val="0070C0"/>
          <w:sz w:val="16"/>
          <w:szCs w:val="16"/>
        </w:rPr>
        <w:softHyphen/>
        <w:t>ной области. Благодарю Вас и остаюсь,</w:t>
      </w:r>
    </w:p>
    <w:p w14:paraId="6CE2E3B8" w14:textId="77777777" w:rsidR="00446A9C" w:rsidRPr="00142305" w:rsidRDefault="00446A9C" w:rsidP="00446A9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У. Кристи».</w:t>
      </w:r>
    </w:p>
    <w:p w14:paraId="5746FB5C" w14:textId="77777777" w:rsidR="00446A9C" w:rsidRPr="00142305" w:rsidRDefault="00446A9C" w:rsidP="00446A9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Не совсем понятно, о каком устном соглашении говорит Кристи в своем письме, но, видимо оно все-таки суще</w:t>
      </w:r>
      <w:r w:rsidRPr="00142305">
        <w:rPr>
          <w:rFonts w:ascii="Times New Roman" w:hAnsi="Times New Roman"/>
          <w:color w:val="0070C0"/>
          <w:sz w:val="16"/>
          <w:szCs w:val="16"/>
        </w:rPr>
        <w:softHyphen/>
        <w:t>ствовало. Остается только гадать, в чем оно состояло (25009).</w:t>
      </w:r>
    </w:p>
    <w:p w14:paraId="5925D974" w14:textId="77777777" w:rsidR="00446A9C" w:rsidRPr="00142305" w:rsidRDefault="00446A9C" w:rsidP="00446A9C">
      <w:pPr>
        <w:spacing w:after="0" w:line="240" w:lineRule="auto"/>
        <w:jc w:val="both"/>
        <w:rPr>
          <w:rFonts w:ascii="Times New Roman" w:hAnsi="Times New Roman"/>
          <w:color w:val="0070C0"/>
          <w:sz w:val="16"/>
          <w:szCs w:val="16"/>
        </w:rPr>
      </w:pPr>
    </w:p>
    <w:p w14:paraId="17A00A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октября 1931 года наморси В. М. Орлов утвердил разработанное Учебно-строевым управлением УВМС (И. М. Лудри) в 1931 г. оперативно-тактическое задание "на эсминец для Балтий</w:t>
      </w:r>
      <w:r w:rsidRPr="005E779E">
        <w:rPr>
          <w:rFonts w:ascii="Times New Roman" w:hAnsi="Times New Roman"/>
          <w:color w:val="000000" w:themeColor="text1"/>
          <w:sz w:val="16"/>
          <w:szCs w:val="16"/>
        </w:rPr>
        <w:softHyphen/>
        <w:t>ского и Черного морей" (3898).</w:t>
      </w:r>
    </w:p>
    <w:p w14:paraId="71CCA5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Назначение новых эсминцев предусматри</w:t>
      </w:r>
      <w:r w:rsidRPr="005E779E">
        <w:rPr>
          <w:rFonts w:ascii="Times New Roman" w:hAnsi="Times New Roman"/>
          <w:color w:val="000000" w:themeColor="text1"/>
          <w:sz w:val="16"/>
          <w:szCs w:val="16"/>
        </w:rPr>
        <w:softHyphen/>
        <w:t>вало: участие в бою совместно с главными силами в море и на по</w:t>
      </w:r>
      <w:r w:rsidRPr="005E779E">
        <w:rPr>
          <w:rFonts w:ascii="Times New Roman" w:hAnsi="Times New Roman"/>
          <w:color w:val="000000" w:themeColor="text1"/>
          <w:sz w:val="16"/>
          <w:szCs w:val="16"/>
        </w:rPr>
        <w:softHyphen/>
        <w:t>зиции; атаку десанта противника; обеспечение выхода и входа под</w:t>
      </w:r>
      <w:r w:rsidRPr="005E779E">
        <w:rPr>
          <w:rFonts w:ascii="Times New Roman" w:hAnsi="Times New Roman"/>
          <w:color w:val="000000" w:themeColor="text1"/>
          <w:sz w:val="16"/>
          <w:szCs w:val="16"/>
        </w:rPr>
        <w:softHyphen/>
        <w:t>водных лодок из баз и возвращение их в базы, обеспечение опера</w:t>
      </w:r>
      <w:r w:rsidRPr="005E779E">
        <w:rPr>
          <w:rFonts w:ascii="Times New Roman" w:hAnsi="Times New Roman"/>
          <w:color w:val="000000" w:themeColor="text1"/>
          <w:sz w:val="16"/>
          <w:szCs w:val="16"/>
        </w:rPr>
        <w:softHyphen/>
        <w:t>ций подводнь1х лодок и взаимодействие с ними; разведку и несе</w:t>
      </w:r>
      <w:r w:rsidRPr="005E779E">
        <w:rPr>
          <w:rFonts w:ascii="Times New Roman" w:hAnsi="Times New Roman"/>
          <w:color w:val="000000" w:themeColor="text1"/>
          <w:sz w:val="16"/>
          <w:szCs w:val="16"/>
        </w:rPr>
        <w:softHyphen/>
        <w:t>ние дозора при поддержке крейсеров; постановку активных минных заграждений (3898).</w:t>
      </w:r>
    </w:p>
    <w:p w14:paraId="5303C0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1F8F89F" w14:textId="77777777" w:rsidR="003371BD" w:rsidRPr="005E779E" w:rsidRDefault="003371BD" w:rsidP="000B7A6C">
      <w:pPr>
        <w:pStyle w:val="rtejustify"/>
        <w:spacing w:before="0" w:after="0"/>
        <w:rPr>
          <w:color w:val="000000" w:themeColor="text1"/>
          <w:sz w:val="16"/>
          <w:szCs w:val="16"/>
        </w:rPr>
      </w:pPr>
      <w:r w:rsidRPr="005E779E">
        <w:rPr>
          <w:rStyle w:val="af0"/>
          <w:i w:val="0"/>
          <w:color w:val="000000" w:themeColor="text1"/>
          <w:sz w:val="16"/>
          <w:szCs w:val="16"/>
        </w:rPr>
        <w:lastRenderedPageBreak/>
        <w:t>7 октября 1931 г. Протокол Реввоенсовета №32.</w:t>
      </w:r>
      <w:r w:rsidRPr="005E779E">
        <w:rPr>
          <w:color w:val="000000" w:themeColor="text1"/>
          <w:sz w:val="16"/>
          <w:szCs w:val="16"/>
        </w:rPr>
        <w:t xml:space="preserve"> 1. План заказов НКВМ на 1932 г. (Егоров). 6. О выводе из строя подводных лодок типа «Барс» Протокол Реввоенсовета № 5 и 6 (Орлов). (РГВА. Ф. 4. Оп. 18. Д. 21. Л. 135, 136) (12342).</w:t>
      </w:r>
    </w:p>
    <w:p w14:paraId="5766D75C" w14:textId="77777777" w:rsidR="003371BD" w:rsidRPr="005E779E" w:rsidRDefault="003371BD" w:rsidP="000B7A6C">
      <w:pPr>
        <w:pStyle w:val="rtejustify"/>
        <w:spacing w:before="0" w:after="0"/>
        <w:rPr>
          <w:color w:val="000000" w:themeColor="text1"/>
          <w:sz w:val="16"/>
          <w:szCs w:val="16"/>
        </w:rPr>
      </w:pPr>
    </w:p>
    <w:p w14:paraId="1F60B7F8"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5C7E6CE0"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923A7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октября 1931 в Магнитогорске закончена кладка первой домны (3960, 392).</w:t>
      </w:r>
    </w:p>
    <w:p w14:paraId="67E3F9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FF5ED67"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08A158E5"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0DBFF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октября 1931 была сделана первая инфракрасная фотография (3481).</w:t>
      </w:r>
    </w:p>
    <w:p w14:paraId="02F1B8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E3A8D8C"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7754EB75"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FD9CF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октября (21 - 1017,212) 1931 начались повторные гос. испытания МДР-2 (92,355) и проводились до 13 ноября (14 - 1076,888). Летали М.М.Громов, Б.Л.Бухгольц, Н.Г.Кастанаев. Были новые поплавки и многое другое. Был близок к Дорнье Валь, но в серию запускать не стали, так как устарел (346,40).</w:t>
      </w:r>
    </w:p>
    <w:p w14:paraId="3205E5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другим данным с 21 октября 1931</w:t>
      </w:r>
    </w:p>
    <w:p w14:paraId="274927DE"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9FDBA95" w14:textId="77777777" w:rsidR="00DE24DE" w:rsidRPr="005E779E" w:rsidRDefault="00DE24D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8 октября по 13 ноября 1931 г. вновь проводили государственные испытания доработанного по результатам первого этапа АНТ-8 -МДР-2. Их проводили М.М. Громов, Б.Л. Бухгольц, Н.Г. Кастанаев. Самолет испытывался на взлет, посадку, мореходность и т.д. Мореходность была признана очень хо</w:t>
      </w:r>
      <w:r w:rsidRPr="005E779E">
        <w:rPr>
          <w:rFonts w:ascii="Times New Roman" w:hAnsi="Times New Roman"/>
          <w:color w:val="000000" w:themeColor="text1"/>
          <w:sz w:val="16"/>
          <w:szCs w:val="16"/>
        </w:rPr>
        <w:softHyphen/>
        <w:t>рошей, самолет мог взлетать и садиться при значительной волне. По общей оценке, он соответствовал «требованиям сегодняшнего дня», был близок по сво</w:t>
      </w:r>
      <w:r w:rsidRPr="005E779E">
        <w:rPr>
          <w:rFonts w:ascii="Times New Roman" w:hAnsi="Times New Roman"/>
          <w:color w:val="000000" w:themeColor="text1"/>
          <w:sz w:val="16"/>
          <w:szCs w:val="16"/>
        </w:rPr>
        <w:softHyphen/>
        <w:t>им характеристикам к находившемуся на вооружении ВВС немецкому развед</w:t>
      </w:r>
      <w:r w:rsidRPr="005E779E">
        <w:rPr>
          <w:rFonts w:ascii="Times New Roman" w:hAnsi="Times New Roman"/>
          <w:color w:val="000000" w:themeColor="text1"/>
          <w:sz w:val="16"/>
          <w:szCs w:val="16"/>
        </w:rPr>
        <w:softHyphen/>
        <w:t>чику Dornier Wai, но запускать самолет в серию не стали. К моменту выхода се</w:t>
      </w:r>
      <w:r w:rsidRPr="005E779E">
        <w:rPr>
          <w:rFonts w:ascii="Times New Roman" w:hAnsi="Times New Roman"/>
          <w:color w:val="000000" w:themeColor="text1"/>
          <w:sz w:val="16"/>
          <w:szCs w:val="16"/>
        </w:rPr>
        <w:softHyphen/>
        <w:t>рийных машин их данные уже не смогли бы удовлетворить военных (23474).</w:t>
      </w:r>
    </w:p>
    <w:p w14:paraId="15EBE429" w14:textId="77777777" w:rsidR="00DE24DE" w:rsidRPr="005E779E" w:rsidRDefault="00DE24DE" w:rsidP="000B7A6C">
      <w:pPr>
        <w:spacing w:after="0" w:line="240" w:lineRule="auto"/>
        <w:jc w:val="both"/>
        <w:rPr>
          <w:rFonts w:ascii="Times New Roman" w:hAnsi="Times New Roman"/>
          <w:color w:val="000000" w:themeColor="text1"/>
          <w:sz w:val="16"/>
          <w:szCs w:val="16"/>
        </w:rPr>
      </w:pPr>
    </w:p>
    <w:p w14:paraId="3C8B3974" w14:textId="77777777" w:rsidR="00AD4FAD" w:rsidRPr="005E779E" w:rsidRDefault="00AD4FAD" w:rsidP="000B7A6C">
      <w:pPr>
        <w:pStyle w:val="rtejustify"/>
        <w:spacing w:before="0" w:after="0"/>
        <w:rPr>
          <w:color w:val="000000" w:themeColor="text1"/>
          <w:sz w:val="16"/>
          <w:szCs w:val="16"/>
        </w:rPr>
      </w:pPr>
      <w:r w:rsidRPr="005E779E">
        <w:rPr>
          <w:bCs/>
          <w:color w:val="000000" w:themeColor="text1"/>
          <w:sz w:val="16"/>
          <w:szCs w:val="16"/>
        </w:rPr>
        <w:t>8 октября 1931 г. — Рапорт руководства ЦАГИ в ЦК ВКП(б) об экспериментальном производстве дюралюминия</w:t>
      </w:r>
    </w:p>
    <w:p w14:paraId="4427EDC2" w14:textId="77777777" w:rsidR="003371BD" w:rsidRPr="005E779E" w:rsidRDefault="003371BD" w:rsidP="000B7A6C">
      <w:pPr>
        <w:pStyle w:val="rtejustify"/>
        <w:spacing w:before="0" w:after="0"/>
        <w:rPr>
          <w:color w:val="000000" w:themeColor="text1"/>
          <w:sz w:val="16"/>
          <w:szCs w:val="16"/>
        </w:rPr>
      </w:pPr>
      <w:r w:rsidRPr="005E779E">
        <w:rPr>
          <w:color w:val="000000" w:themeColor="text1"/>
          <w:sz w:val="16"/>
          <w:szCs w:val="16"/>
        </w:rPr>
        <w:t>До последнего времени основной самолетостроительный материал дюралюмин не мог вполне удовлетворять требованиям авиации. Его стойкость против действия атмосферы и влаги вообще была незначительной. Материал в эксплуатации быстро разрушался (поражался коррозией). Для предохранения металла от этого разъедания применялись лаки, краски, жиры и прочие средства которые, однако, не давали желаемых результатов и приводили к большому удорожанию производства. В 1926</w:t>
      </w:r>
      <w:r w:rsidRPr="005E779E">
        <w:rPr>
          <w:color w:val="000000" w:themeColor="text1"/>
          <w:sz w:val="16"/>
          <w:szCs w:val="16"/>
        </w:rPr>
        <w:noBreakHyphen/>
        <w:t>1927 гг. в Америке появился сплав «алклед», обладающий большой стойкостью против коррозии. Методы производства и принципы приготовления такого сплава держатся капиталистическими странами в секрете.</w:t>
      </w:r>
    </w:p>
    <w:p w14:paraId="4AD9046B" w14:textId="77777777" w:rsidR="003371BD" w:rsidRPr="005E779E" w:rsidRDefault="003371BD" w:rsidP="000B7A6C">
      <w:pPr>
        <w:pStyle w:val="rtejustify"/>
        <w:spacing w:before="0" w:after="0"/>
        <w:rPr>
          <w:color w:val="000000" w:themeColor="text1"/>
          <w:sz w:val="16"/>
          <w:szCs w:val="16"/>
        </w:rPr>
      </w:pPr>
      <w:r w:rsidRPr="005E779E">
        <w:rPr>
          <w:color w:val="000000" w:themeColor="text1"/>
          <w:sz w:val="16"/>
          <w:szCs w:val="16"/>
        </w:rPr>
        <w:t>В 1929 г. в металлургических цехах завода № 1 были получены первые листы дюралюмина, точно так же не подвергающиеся коррозии. В начале 1930 г. был установлен метод производства этих листов, заключающийся в покрытии (плакировании) дюралюминовых заготовок тонким слоем алюминия, которые сваривались друг с другом в процессе горячей прокатки. Полученный материал при испытании в наших лабораториях и при проверке по нашей просьбе ЦАГИ в условиях выдержки в морской воде Черного моря дал блестящую стойкость против коррозии, но обладал благодаря наличию слоя алюминия пониженными механическими свойствами.</w:t>
      </w:r>
    </w:p>
    <w:p w14:paraId="028B47A7" w14:textId="77777777" w:rsidR="003371BD" w:rsidRPr="005E779E" w:rsidRDefault="003371BD" w:rsidP="000B7A6C">
      <w:pPr>
        <w:pStyle w:val="rtejustify"/>
        <w:spacing w:before="0" w:after="0"/>
        <w:rPr>
          <w:color w:val="000000" w:themeColor="text1"/>
          <w:sz w:val="16"/>
          <w:szCs w:val="16"/>
        </w:rPr>
      </w:pPr>
      <w:r w:rsidRPr="005E779E">
        <w:rPr>
          <w:color w:val="000000" w:themeColor="text1"/>
          <w:sz w:val="16"/>
          <w:szCs w:val="16"/>
        </w:rPr>
        <w:t>В 1930 г. заводом № 1 была проведена работа по изысканию сплава, который при плакировании давал бы механические качества нормального дюралюмина. Летом 1930 г. заводу удалось получить плакированные листы не только одинакового качества с дюралюмином, но и превышающие их на 15%. В августе месяце 1930 г. технический отчет главного металлурга с указанием состава сплава и методов его производства был разослан всем заинтересованным учреждениям, ЦАГИ, ВАО, заводу 45 и т. д.</w:t>
      </w:r>
    </w:p>
    <w:p w14:paraId="34488FC9" w14:textId="77777777" w:rsidR="003371BD" w:rsidRPr="005E779E" w:rsidRDefault="003371BD" w:rsidP="000B7A6C">
      <w:pPr>
        <w:pStyle w:val="rtejustify"/>
        <w:spacing w:before="0" w:after="0"/>
        <w:rPr>
          <w:color w:val="000000" w:themeColor="text1"/>
          <w:sz w:val="16"/>
          <w:szCs w:val="16"/>
        </w:rPr>
      </w:pPr>
      <w:r w:rsidRPr="005E779E">
        <w:rPr>
          <w:color w:val="000000" w:themeColor="text1"/>
          <w:sz w:val="16"/>
          <w:szCs w:val="16"/>
        </w:rPr>
        <w:t>В ноябре 1930 г. из плакированного материала 1</w:t>
      </w:r>
      <w:r w:rsidRPr="005E779E">
        <w:rPr>
          <w:color w:val="000000" w:themeColor="text1"/>
          <w:sz w:val="16"/>
          <w:szCs w:val="16"/>
        </w:rPr>
        <w:noBreakHyphen/>
        <w:t>го завода на заводе № 22 было построено 2 самолета для испытания на стойкость против коррозии. Самолеты не были покрыты никакими красками и в течение 10 месяцев работы не показали никаких следов коррозии. Заводской масштаб производства этого сплава показал его преимущества не только в эксплуатации, но и в процессе производства. Одно только упрощение процесса производства должно дать уже в 1932 г. экономию 2,5 млн. руб. Что касается экономии, которую получит страна от эксплуатации самолетов из нового материала, на удлинении срока службы самолетов, сокращении ремонтных работ, уменьшении расходов на покраску, на облегчении конструкции и прочего, то она настолько велика, что подсчет ее является задачей чрезвычайно трудной.</w:t>
      </w:r>
    </w:p>
    <w:p w14:paraId="5EC0DBC0" w14:textId="77777777" w:rsidR="003371BD" w:rsidRPr="005E779E" w:rsidRDefault="003371BD" w:rsidP="000B7A6C">
      <w:pPr>
        <w:pStyle w:val="rtejustify"/>
        <w:spacing w:before="0" w:after="0"/>
        <w:rPr>
          <w:color w:val="000000" w:themeColor="text1"/>
          <w:sz w:val="16"/>
          <w:szCs w:val="16"/>
        </w:rPr>
      </w:pPr>
      <w:r w:rsidRPr="005E779E">
        <w:rPr>
          <w:color w:val="000000" w:themeColor="text1"/>
          <w:sz w:val="16"/>
          <w:szCs w:val="16"/>
        </w:rPr>
        <w:t>В 1931 г. на основе проведенных заводом № 1 опытно-исследовательских работ начат перевод производства обыкновенного дюралюмина на плакированный на заводе № 1 ВАО и Кольчугинском. С этого же времени ОИАМ ЦАГИ, относившийся раньше к плакированному дюралюмину очень индифферентно, заинтересовался этой работой и поставил опыты по внедрению в производство плакированного дюралюмина на заводе им. Ворошилова.</w:t>
      </w:r>
    </w:p>
    <w:p w14:paraId="27BB3B67" w14:textId="77777777" w:rsidR="003371BD" w:rsidRPr="005E779E" w:rsidRDefault="003371BD" w:rsidP="000B7A6C">
      <w:pPr>
        <w:pStyle w:val="rtejustify"/>
        <w:spacing w:before="0" w:after="0"/>
        <w:rPr>
          <w:color w:val="000000" w:themeColor="text1"/>
          <w:sz w:val="16"/>
          <w:szCs w:val="16"/>
        </w:rPr>
      </w:pPr>
      <w:r w:rsidRPr="005E779E">
        <w:rPr>
          <w:color w:val="000000" w:themeColor="text1"/>
          <w:sz w:val="16"/>
          <w:szCs w:val="16"/>
        </w:rPr>
        <w:t>В мае 1931 г. ЦАГИ специальному техническому совещанию доложило об изобретенном им плакированном сплаве с якобы более высокими механическими качествами, химический состав которого отличался от состава сплава завода № 1 введением присадки кремния. На совещании в ЦАГИ специалистами было дано разъяснение, что введение кремния в сплав завода № 1 не может улучшить его качеств.</w:t>
      </w:r>
    </w:p>
    <w:p w14:paraId="54E2B269" w14:textId="77777777" w:rsidR="003371BD" w:rsidRPr="005E779E" w:rsidRDefault="003371BD" w:rsidP="000B7A6C">
      <w:pPr>
        <w:pStyle w:val="rtejustify"/>
        <w:spacing w:before="0" w:after="0"/>
        <w:rPr>
          <w:color w:val="000000" w:themeColor="text1"/>
          <w:sz w:val="16"/>
          <w:szCs w:val="16"/>
        </w:rPr>
      </w:pPr>
      <w:r w:rsidRPr="005E779E">
        <w:rPr>
          <w:color w:val="000000" w:themeColor="text1"/>
          <w:sz w:val="16"/>
          <w:szCs w:val="16"/>
        </w:rPr>
        <w:t>22 августа с. г. в печати опубликован рапорт ЦАГИ в адрес т. Сталина, Орджоникидзе и Баранова об изобретении нового сплава именуемого «альплата ЦАГИ».</w:t>
      </w:r>
    </w:p>
    <w:p w14:paraId="17E357BD" w14:textId="77777777" w:rsidR="003371BD" w:rsidRPr="005E779E" w:rsidRDefault="003371BD" w:rsidP="000B7A6C">
      <w:pPr>
        <w:pStyle w:val="rtejustify"/>
        <w:spacing w:before="0" w:after="0"/>
        <w:rPr>
          <w:color w:val="000000" w:themeColor="text1"/>
          <w:sz w:val="16"/>
          <w:szCs w:val="16"/>
        </w:rPr>
      </w:pPr>
      <w:r w:rsidRPr="005E779E">
        <w:rPr>
          <w:color w:val="000000" w:themeColor="text1"/>
          <w:sz w:val="16"/>
          <w:szCs w:val="16"/>
        </w:rPr>
        <w:t>В день опубликования общественными организациями завода № 1 был поставлен в известность т. Баранов о том, что сплав ЦАГИ не является оригинальным, никаких преимуществ перед сплавом завода № 1 не имеет и кремний введен в сплав по странному недоразумению. 10 сентября экспертиза, проведенная согласно распоряжению т. Баранова, указала на отсутствие необходимости введения кремния в сплав завода № 1.</w:t>
      </w:r>
    </w:p>
    <w:p w14:paraId="07A9AF3A" w14:textId="77777777" w:rsidR="003371BD" w:rsidRPr="005E779E" w:rsidRDefault="003371BD" w:rsidP="000B7A6C">
      <w:pPr>
        <w:pStyle w:val="rtejustify"/>
        <w:spacing w:before="0" w:after="0"/>
        <w:rPr>
          <w:color w:val="000000" w:themeColor="text1"/>
          <w:sz w:val="16"/>
          <w:szCs w:val="16"/>
        </w:rPr>
      </w:pPr>
      <w:r w:rsidRPr="005E779E">
        <w:rPr>
          <w:color w:val="000000" w:themeColor="text1"/>
          <w:sz w:val="16"/>
          <w:szCs w:val="16"/>
        </w:rPr>
        <w:t>Проведенные с 20 по 30 сентября совместно с заводом № 1 и ЦАГИ сравнительные опыты по прокатке листов из сплава завода № 1 и «альплаты ЦАГИ» дали ухудшение качеств сплава от введения кремния и окончательно доказали , что «рапорт ЦАГИ» является документом, вводившим в заблуждение вождей партии и правительства.</w:t>
      </w:r>
    </w:p>
    <w:p w14:paraId="13B3F514" w14:textId="77777777" w:rsidR="003371BD" w:rsidRPr="005E779E" w:rsidRDefault="003371BD" w:rsidP="000B7A6C">
      <w:pPr>
        <w:pStyle w:val="rtejustify"/>
        <w:spacing w:before="0" w:after="0"/>
        <w:rPr>
          <w:color w:val="000000" w:themeColor="text1"/>
          <w:sz w:val="16"/>
          <w:szCs w:val="16"/>
        </w:rPr>
      </w:pPr>
      <w:r w:rsidRPr="005E779E">
        <w:rPr>
          <w:color w:val="000000" w:themeColor="text1"/>
          <w:sz w:val="16"/>
          <w:szCs w:val="16"/>
        </w:rPr>
        <w:t>Исследования и работу по постановке производства плакированного дюралюмина завода № 1 вели: 1. Ю. Г. Музалевский — главный металлург, инициатор работ по плакированию дюралюмина, основной руководитель исследований и производства этого сплава, кандидат ВКП(б). 2. С. М. Петров — начальник производства член ВКП(б) и А. Ф. Белов — начальник горячих цехов, кандидат ВКП(б) — руководители производства плакированного дюралюмина. 3. Равич В. Н. — начальник опытного бюро, исполнитель опытно-исследовательских работ по плакированному дюралюмину (кандидат ВКП(б)). 4. Инженер Ф. М. Шафит (член ВКП(б)) и начальник химической лаборатории Шандоров, проводившие лабораторные исследования. 5. Мастера Павлов (член ВКП(б)) и Арсентьев (член ВКП(б)). 6. Рабочие бригад: 1) чернового стана, 2) отжигальщиков. 7. Отдельные рабочие и ударники горячего цеха.</w:t>
      </w:r>
    </w:p>
    <w:p w14:paraId="79CDABCC" w14:textId="77777777" w:rsidR="003371BD" w:rsidRPr="005E779E" w:rsidRDefault="003371BD" w:rsidP="000B7A6C">
      <w:pPr>
        <w:pStyle w:val="rtejustify"/>
        <w:spacing w:before="0" w:after="0"/>
        <w:rPr>
          <w:color w:val="000000" w:themeColor="text1"/>
          <w:sz w:val="16"/>
          <w:szCs w:val="16"/>
        </w:rPr>
      </w:pPr>
      <w:r w:rsidRPr="005E779E">
        <w:rPr>
          <w:color w:val="000000" w:themeColor="text1"/>
          <w:sz w:val="16"/>
          <w:szCs w:val="16"/>
        </w:rPr>
        <w:t>Рапорт ЦАГИ подписали: 1. Начальник ЦАГИ — Друян (член ВКП(б)) 2. Партком — Асташев (член ВКП(б)) 3. Завком — Петров (член ВКП(б)) 4. Начальник ОИАМ ЦАГИ — Сидорин 5. Начальник секции металлов, проф. Акимов (член ВКП(б)) 6. Начальник коррозионной группы — Крениг.</w:t>
      </w:r>
    </w:p>
    <w:p w14:paraId="62449F67" w14:textId="77777777" w:rsidR="003371BD" w:rsidRPr="005E779E" w:rsidRDefault="003371BD" w:rsidP="000B7A6C">
      <w:pPr>
        <w:pStyle w:val="rtejustify"/>
        <w:spacing w:before="0" w:after="0"/>
        <w:rPr>
          <w:color w:val="000000" w:themeColor="text1"/>
          <w:sz w:val="16"/>
          <w:szCs w:val="16"/>
        </w:rPr>
      </w:pPr>
      <w:r w:rsidRPr="005E779E">
        <w:rPr>
          <w:color w:val="000000" w:themeColor="text1"/>
          <w:sz w:val="16"/>
          <w:szCs w:val="16"/>
        </w:rPr>
        <w:t>РГАСПИ Ф. 17. Оп. 120. Д. 56. Л. 38-39 об. Копия.</w:t>
      </w:r>
    </w:p>
    <w:p w14:paraId="7DA41AA4"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Архив: РГАСПИ Ф. 17. Оп. 120. Д. 56. Л. 38-39 об. Копия. </w:t>
      </w:r>
    </w:p>
    <w:p w14:paraId="1B9EF8D2"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Источник: Становление оборонно-промышленного комплекса СССР (1927-1932). М. 2008, стр. 566-567 (12535).</w:t>
      </w:r>
    </w:p>
    <w:p w14:paraId="3CBC51DA" w14:textId="77777777" w:rsidR="003371BD" w:rsidRPr="005E779E" w:rsidRDefault="003371BD" w:rsidP="000B7A6C">
      <w:pPr>
        <w:spacing w:after="0" w:line="240" w:lineRule="auto"/>
        <w:jc w:val="both"/>
        <w:rPr>
          <w:rFonts w:ascii="Times New Roman" w:hAnsi="Times New Roman"/>
          <w:color w:val="000000" w:themeColor="text1"/>
          <w:sz w:val="16"/>
          <w:szCs w:val="16"/>
        </w:rPr>
      </w:pPr>
    </w:p>
    <w:p w14:paraId="200C4803" w14:textId="77777777" w:rsidR="00446A9C" w:rsidRPr="00142305" w:rsidRDefault="00446A9C" w:rsidP="00446A9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8 октября 1931 г. в докладе, поданном в ЦК ВКП(б) указывалось, что в Америке появился в 1926-1927 гг. сплав «алклед», обладающий большой стойкостью против коррозии, однако принципы его производства держатся в секрете. В 1929 г. был получен первый подобный советский сплав, однако он обладал благодаря наличию слоя алюминия пониженными механическими свойствами (25126).</w:t>
      </w:r>
    </w:p>
    <w:p w14:paraId="1233522A" w14:textId="77777777" w:rsidR="00446A9C" w:rsidRPr="00142305" w:rsidRDefault="00446A9C" w:rsidP="00446A9C">
      <w:pPr>
        <w:spacing w:after="0" w:line="240" w:lineRule="auto"/>
        <w:jc w:val="both"/>
        <w:rPr>
          <w:rFonts w:ascii="Times New Roman" w:hAnsi="Times New Roman"/>
          <w:color w:val="0070C0"/>
          <w:sz w:val="16"/>
          <w:szCs w:val="16"/>
        </w:rPr>
      </w:pPr>
    </w:p>
    <w:p w14:paraId="55E3DC24" w14:textId="77777777" w:rsidR="00446A9C" w:rsidRPr="00142305" w:rsidRDefault="00446A9C" w:rsidP="00446A9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8 октября 1931 года в рапорте руководства ЦАГИ в ЦК ВКП(б) об экспериментальном производстве дюралюминия от указано, что «...До последнего времени основной самолетостроительный материал дюралюмин не мог вполне удовлетворять требованиям авиации. Его стойкость против действия атмосферы и влаги вообще была незначительной. Материал в эксплуатации быстро разрушался (поражался коррозией)... В 1929 г. в металлургических цехах завода № 1 были получены первые листы дюралюмина ... не подвергающиеся коррозии. В начале 1930 г. был установлен метод производства этих листов, заключающийся в покрытии (плакировании) дюралюминовых заготовок тонким слоем, алюминия, которые сваривались друг с другом в процессе горячей прокатки. Полученный материал при испыттан в наших лабораториях и при проверке по нашей просьбе Ц АГИ в условиях выдержки в морской воде Черного моря дал блестящую стойкость против коррозии, но обладал благодаря наличию слоя алюминия пониженными механическими свойствами» (25168).</w:t>
      </w:r>
    </w:p>
    <w:p w14:paraId="2181247A" w14:textId="77777777" w:rsidR="00446A9C" w:rsidRPr="00142305" w:rsidRDefault="00446A9C" w:rsidP="00446A9C">
      <w:pPr>
        <w:spacing w:after="0" w:line="240" w:lineRule="auto"/>
        <w:jc w:val="both"/>
        <w:rPr>
          <w:rFonts w:ascii="Times New Roman" w:hAnsi="Times New Roman"/>
          <w:color w:val="0070C0"/>
          <w:sz w:val="16"/>
          <w:szCs w:val="16"/>
        </w:rPr>
      </w:pPr>
    </w:p>
    <w:p w14:paraId="1F9CEF90"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629F3935"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16294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октября 1931 г. в составе ВСНХ СССР было организовано Главное управление по топливу (Главтоп), в связи с чем «Союзнефть» была разукрупнена, и на ее базе образован Нефтяной сектор Главтопа (11522).</w:t>
      </w:r>
    </w:p>
    <w:p w14:paraId="0DE9A7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7BBC3DE"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lastRenderedPageBreak/>
        <w:t>Авиапромышленность:</w:t>
      </w:r>
    </w:p>
    <w:p w14:paraId="5956036C"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3CE360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9-ое октября 1931 г. из записной книжки Н.Н.П.:</w:t>
      </w:r>
    </w:p>
    <w:p w14:paraId="28FB84A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8-9,5. Совещание с т. Фоминым по ИЗбис</w:t>
      </w:r>
    </w:p>
    <w:p w14:paraId="541DF4C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9,5-11. Осмотр вспомог. матер, по пассажирскому и Р11 с летчиком т. Козловым</w:t>
      </w:r>
    </w:p>
    <w:p w14:paraId="1C437F6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11-4. Работы по пассажирск. и по И-13</w:t>
      </w:r>
    </w:p>
    <w:p w14:paraId="647AA25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4-7. Обсуждение технич. требований по И-13 и пассажирск.» (10667).</w:t>
      </w:r>
    </w:p>
    <w:p w14:paraId="4FB22E2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A2D7D6" w14:textId="77777777" w:rsidR="00446A9C" w:rsidRPr="00142305" w:rsidRDefault="00446A9C" w:rsidP="00446A9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9 октября 1931 г., согласно краткого рабочего дневника, который Поликарпов вел с сентября по октябрь 1931 г., по часам расписан ход работ над проектами. Приведем несколько записей:</w:t>
      </w:r>
    </w:p>
    <w:p w14:paraId="683EEDB4" w14:textId="77777777" w:rsidR="00446A9C" w:rsidRPr="00142305" w:rsidRDefault="00446A9C" w:rsidP="00446A9C">
      <w:pPr>
        <w:pStyle w:val="Cite0"/>
        <w:ind w:left="0"/>
        <w:rPr>
          <w:color w:val="0070C0"/>
          <w:sz w:val="16"/>
          <w:szCs w:val="16"/>
        </w:rPr>
      </w:pPr>
      <w:r w:rsidRPr="00142305">
        <w:rPr>
          <w:color w:val="0070C0"/>
          <w:sz w:val="16"/>
          <w:szCs w:val="16"/>
        </w:rPr>
        <w:t xml:space="preserve">9 октября 1931 г. </w:t>
      </w:r>
    </w:p>
    <w:p w14:paraId="5131FEBC" w14:textId="77777777" w:rsidR="00446A9C" w:rsidRPr="00142305" w:rsidRDefault="00446A9C" w:rsidP="00446A9C">
      <w:pPr>
        <w:pStyle w:val="Cite0"/>
        <w:ind w:left="0"/>
        <w:rPr>
          <w:color w:val="0070C0"/>
          <w:sz w:val="16"/>
          <w:szCs w:val="16"/>
        </w:rPr>
      </w:pPr>
      <w:r w:rsidRPr="00142305">
        <w:rPr>
          <w:color w:val="0070C0"/>
          <w:sz w:val="16"/>
          <w:szCs w:val="16"/>
        </w:rPr>
        <w:t xml:space="preserve">8–9,5 Совещание с т. Фоминым по И-5бис </w:t>
      </w:r>
    </w:p>
    <w:p w14:paraId="0606652A" w14:textId="77777777" w:rsidR="00446A9C" w:rsidRPr="00142305" w:rsidRDefault="00446A9C" w:rsidP="00446A9C">
      <w:pPr>
        <w:pStyle w:val="Cite0"/>
        <w:ind w:left="0"/>
        <w:rPr>
          <w:color w:val="0070C0"/>
          <w:sz w:val="16"/>
          <w:szCs w:val="16"/>
        </w:rPr>
      </w:pPr>
      <w:r w:rsidRPr="00142305">
        <w:rPr>
          <w:color w:val="0070C0"/>
          <w:sz w:val="16"/>
          <w:szCs w:val="16"/>
        </w:rPr>
        <w:t xml:space="preserve">9.5-11 Осмотр вспомог. матер. по пассажирскому и Р11 с летчиком т. Козловым </w:t>
      </w:r>
    </w:p>
    <w:p w14:paraId="3E63C131" w14:textId="77777777" w:rsidR="00446A9C" w:rsidRPr="00142305" w:rsidRDefault="00446A9C" w:rsidP="00446A9C">
      <w:pPr>
        <w:pStyle w:val="Cite0"/>
        <w:ind w:left="0"/>
        <w:rPr>
          <w:color w:val="0070C0"/>
          <w:sz w:val="16"/>
          <w:szCs w:val="16"/>
        </w:rPr>
      </w:pPr>
      <w:r w:rsidRPr="00142305">
        <w:rPr>
          <w:color w:val="0070C0"/>
          <w:sz w:val="16"/>
          <w:szCs w:val="16"/>
        </w:rPr>
        <w:t xml:space="preserve">11-4 Работы по пассажирск. и по И-13 </w:t>
      </w:r>
    </w:p>
    <w:p w14:paraId="13F752D7" w14:textId="77777777" w:rsidR="00446A9C" w:rsidRPr="00142305" w:rsidRDefault="00446A9C" w:rsidP="00446A9C">
      <w:pPr>
        <w:pStyle w:val="Cite0"/>
        <w:ind w:left="0"/>
        <w:rPr>
          <w:color w:val="0070C0"/>
          <w:sz w:val="16"/>
          <w:szCs w:val="16"/>
        </w:rPr>
      </w:pPr>
      <w:r w:rsidRPr="00142305">
        <w:rPr>
          <w:color w:val="0070C0"/>
          <w:sz w:val="16"/>
          <w:szCs w:val="16"/>
        </w:rPr>
        <w:t xml:space="preserve">4–7 Обсуждение технич. требований по И-13 и пассажирск.» (25035). </w:t>
      </w:r>
    </w:p>
    <w:p w14:paraId="1231B403" w14:textId="77777777" w:rsidR="00446A9C" w:rsidRPr="00142305" w:rsidRDefault="00446A9C" w:rsidP="00446A9C">
      <w:pPr>
        <w:spacing w:after="0" w:line="240" w:lineRule="auto"/>
        <w:jc w:val="both"/>
        <w:rPr>
          <w:rFonts w:ascii="Times New Roman" w:hAnsi="Times New Roman"/>
          <w:color w:val="0070C0"/>
          <w:sz w:val="16"/>
          <w:szCs w:val="16"/>
          <w:lang w:eastAsia="ru-RU"/>
        </w:rPr>
      </w:pPr>
    </w:p>
    <w:p w14:paraId="01A287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октября 1931 завершился цикл испытаний мин ВОМИЗА, которые проходили с 13 июля.</w:t>
      </w:r>
    </w:p>
    <w:p w14:paraId="532F96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Первая советская авиационная мина называлась ВОМИЗА- 100. ВОМИЗА расшифровывалась как "воздушная МИна Заграждения", а цифра "100" означала вес боевого заряда - 100 кг. За основу при ее проектировании взяли проверенную в Первой мировой войне морскую якорную мину образца 1912 г. Ее заряд обеспечивал достаточную мощность взрыва для нанесения серьезных повреждений не только транспортам, но и боевым кораблям.</w:t>
      </w:r>
    </w:p>
    <w:p w14:paraId="63AAFB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Предполагалось, что мина будет сбрасываться со средних и больших высот, чтобы не подвергать самолет-носитель излишнему риску повреждения зенитным огнем. Для того чтобы погасить скорость падения, решили применить парашютную систему. Но удар, даже смягченный парашютами, все равно должен был быть приличным. Поэтому начали с серии сбрасывания мин с пятидесятиметровой стрелы плавучего крана. Это позволило выявить наиболее уязвимые места конструкции.</w:t>
      </w:r>
    </w:p>
    <w:p w14:paraId="317158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Проектирование ВОМИЗы-100 (это название в документах 30-х годов склоняли вовсю, не обращая внимания на то, что это сокращение) в целом завершили в 1928 г. Сама мина почти не изменилась, лишь получила ряд местных подкреплений, а также элементы подвески к самолету - направляющие штоки, поясные желобки, фиксирующие призмы и т.п. Зато она лишилась чугунной спусковой коробки. Изменили и конструкцию якоря.</w:t>
      </w:r>
    </w:p>
    <w:p w14:paraId="646526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Самым главным отличием авиационного варианта мины стала парашютная система. Она состояла из четырех куполов, выпускавшихся последовательно, чтобы сделать торможение падения мины по возможности более плавным". Для этой же цели в подвеску включили резиновые шнуры-амортизаторы. Парашюты шились из парусины и имели весьма оригинальную форму. Роль строп выполняли отростки полотнищ, края которых для жесткости укрепили тросами. Все четыре парашюта укладывались в коробку из кровельного железа, размерами превосходящую саму мину. Длина коробки составляла около полутора метров, а максимальная ширина - 770 мм. У конца, присоединявшегося к мине, коробка имела круглое сечение, а дальше сплющивалась и становилась овальной. Закрывал ее железный колпак, на котором еще находилась фанерная крышка. Материалы эти - кровельное железо, фанеру и парусину - выбрали, чтобы удешевить парашютную систему, части которой при боевом использовании безвозвратно терялись.</w:t>
      </w:r>
    </w:p>
    <w:p w14:paraId="17884A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Мины ВОМИЗА-100 не изготовлялись специально, их переделывали из обычных морских мин образца 1912 г., лежавших на складах. Переделка обходилась примерно в 2000 рублей, и столько же стоила парашютная система. Комплект весил около 900 кг, из них 325 кг - собственно мина с минрепом. Устройство получилось достаточно громоздким - общая длина равнялась 3,5 м, так что поднять ВОМИЗу-ЮО мог далеко не каждый самолет. Первые образцы мины переделывали в мастерских Остехбюро.</w:t>
      </w:r>
    </w:p>
    <w:p w14:paraId="62984F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Первым выпускался самый маленький, стабилизирующий, парашют площадью всего 1 кв. м. Он выходил из-под откидывавшейся набегающим потоком крышки. На нем мина падала всего 1,5-2 с. Затем этот купол отделялся, сдергивая с короба колпак. Из-под последнего выползал парашют побольше - 3,5 кв.м. На нем система опускалась, пока в специальных гнездах горели дистанционные трубки, запаленные в момент отделения от самолета. Время горения трубок определялось на земле. Чем больше высота сброса, тем дольше должна гореть трубка. В противном случае время опускания мины получается очень большим. С другой стороны, при длительном горении трубки мина успевает сильно разогнаться в своем падении и затем испытает значительный динамический удар. Дистанционные трубки конструкторы Остехбюро взяли из практики артиллерии, где их применяли в снарядах различных типов.</w:t>
      </w:r>
    </w:p>
    <w:p w14:paraId="083A83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Когда трубки догорели, пороховые заряды в пирозамках отделяли от мины парашютную коробку. Из нее сначала вытягивается третий парашют, площадью 7,5 кв. м, а через некоторое время, определяемое часовым механизмом, четвертый, самый большой, площадью 12 кв. м. С этого момента мина спускается на двух куполах. Они связаны между собой и с миной системой резиновых шнуров-амортизаторов. Шнуры должны были смягчить рывки, вызванные раскрытием парашютов. Параллельно шнурам-амортизаторам тянулись стальные тросы, которые сделали длиннее резиновых шнуров. Тросы принимали на себя нагрузку при предельной деформации резины.</w:t>
      </w:r>
    </w:p>
    <w:p w14:paraId="47C555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вхождении мины в воду автоматически отцеплялась подвеска парашютной системы. Делало это устройство, названное конструкторами "крылом" или "лопаткой". При ударе о поверхность воды оно поворачивало вал, по бокам которого находились замковые механизмы. Их язычки высвобождали тросы парашютной подвески. "Лопатка" же расфиксировала соединение мины и якоря. Преждевременно повернуться "лопатке" не давала система пружин. Вода начинает поступать в устройство расцепки якоря и собственно мины. Там находится таблетка из вещества, растворяемого в воде. В морских минах для этого традиционно использовали сахар. Когда кусок сахара растворяется, освободившаяся пружина расцепляет якорь и мину. Якорь ложится на дно, а мина всплывает, удерживаясь тросом-минрепом на заданном углублении. Последнее отслеживается с помощью гидростатической коробки, прекращающей вытравливание минрепа. Если сахарный блок размыло еще в полете, например сильным дождем, то "крыло" не давало мине и якорю разъединиться до момента удара о воду. В начале всплытия мины специальный тросик освобождал защелку гидростатического диска ударного прибора. При достижении заданного углубления последний приводил взрыватель в боевую готовность (12002).</w:t>
      </w:r>
    </w:p>
    <w:p w14:paraId="785C48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Испытания проводили на базе 62-й отдельной эскадрильи (эскадрилья имела по три ТБ-1а и ЮГ-1), дислоцировавшейся в Гребном порту в Ленинграде. До 9 октября самолеты сбросили 24 ВОМИЗы, из них 17 - успешно. При высоте сброса до 500 м результаты были великолепными - 11 из 12, а самым проблемным оказался диапазон 1000-1500 м В трех случаях мины оторвались от парашютов - лопнула пайка тросов. Большая часть ВОМИЗ сбрасывалась "на всплытие" (без углубления), но всплыли не все. Причиной оказалось частичное растворение сахара при разбеге самолета. При небольшом волнении и даже в штиль мина, подвешенная под брюхом поплавкового "Юнкерса", забрызгивалась водой. Сахар при этом растворялся неравномерно, пружина перекашивалась, и в итоге расцепки не происходило.</w:t>
      </w:r>
    </w:p>
    <w:p w14:paraId="07558D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Детали парашютной системы после приводнения мины подбирали - для этой цели к коробке, крышке и колпаку крепили буйки. Все это использовалось повторно. Кое-что, конечно, безвозвратно утопили. Выяснилось, что более четырех-пяти сбрасываний шнуры-амортизаторы не выдерживают, выходят из строя.</w:t>
      </w:r>
    </w:p>
    <w:p w14:paraId="782024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 самым больным местом оказалось крепление зарядной камеры мины. Удар о воду смещал ее, что могло впоследствии привести к тому, что она просто не взорвется. Особенно сильный удар имел место при затянутом горении дистанционных трубок, когда большие парашюты раскрывались с запозданием, и из-за этого скорость входа в воду превышала расчетные 25-30 м/с. Приличный удар получали и мины, приводнившиеся на гребень волны. Важной частью испытаний стал хронометраж процесса подвески мины под самолет. Команда из трех специалистов и четырех приданных им краснофлотцев тратила на это более двух с половиной часов. Час занимала сборка системы. К мине присоединяли парашютную коробку и регулировали длину сборки. Последнее было необходимо из-за значительной погрешности изготовления коробок - по документам допуск составлял до 100 мм. Затем уже собранный комплект грузили на бон и буксировали к самолету. Это "съедало" около 40 минут. Еще час уходил на собственно подвеску мины под мост, установку предохранительных защелок, укладку сахара в разъединитель и прибор малых глубин, пороховых зарядов в пирозамки и вставку дистанционных трубок. Непосредственно перед взлетом снимали предохранительные чеки (их было десять штук) (12002).</w:t>
      </w:r>
    </w:p>
    <w:p w14:paraId="04255D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88A7661"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62EC22B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7FD42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9 и 15 октября 1931. Из протокола заседания Политбюро № 68, 1931 г.</w:t>
      </w:r>
    </w:p>
    <w:p w14:paraId="69E5E3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 ходе хлебозаготовок </w:t>
      </w:r>
    </w:p>
    <w:p w14:paraId="33633E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Ввиду случаев самовольной отлучки и приезда в Москву некоторых секретарей обкомов и крайкомов, что ЦК считает совершенно недопустимым, предложить секретарям обкомов, крайкомов и национальных ЦК воздержаться от приезда в Москву без ведома и разрешения Политбюро ЦК (11652).</w:t>
      </w:r>
    </w:p>
    <w:p w14:paraId="016FC3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7AF0B6A" w14:textId="77777777" w:rsidR="00FB59EB" w:rsidRPr="005E779E" w:rsidRDefault="00FB59E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октября 1931. На московских улицах появились новые такси коричневой окраски, прибывшие из Америки (18724).</w:t>
      </w:r>
    </w:p>
    <w:p w14:paraId="5155A4A5" w14:textId="77777777" w:rsidR="00FB59EB" w:rsidRPr="005E779E" w:rsidRDefault="00FB59EB" w:rsidP="000B7A6C">
      <w:pPr>
        <w:spacing w:after="0" w:line="240" w:lineRule="auto"/>
        <w:jc w:val="both"/>
        <w:rPr>
          <w:rFonts w:ascii="Times New Roman" w:hAnsi="Times New Roman"/>
          <w:color w:val="000000" w:themeColor="text1"/>
          <w:sz w:val="16"/>
          <w:szCs w:val="16"/>
        </w:rPr>
      </w:pPr>
    </w:p>
    <w:p w14:paraId="5D9A29A7"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7E3CD217"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E54C8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10 ок</w:t>
      </w:r>
      <w:r w:rsidRPr="005E779E">
        <w:rPr>
          <w:rFonts w:ascii="Times New Roman" w:hAnsi="Times New Roman"/>
          <w:color w:val="000000" w:themeColor="text1"/>
          <w:sz w:val="16"/>
          <w:szCs w:val="16"/>
        </w:rPr>
        <w:softHyphen/>
        <w:t>тября 1931 возобновились полеты в НИИ ВВС И-5 № 18 с двигателем М-15№ 24109, которые начались 30 июля 1931 с М-15 № 6, а 15 августа 1931 г. по причине по</w:t>
      </w:r>
      <w:r w:rsidRPr="005E779E">
        <w:rPr>
          <w:rFonts w:ascii="Times New Roman" w:hAnsi="Times New Roman"/>
          <w:color w:val="000000" w:themeColor="text1"/>
          <w:sz w:val="16"/>
          <w:szCs w:val="16"/>
        </w:rPr>
        <w:softHyphen/>
        <w:t>ломки моторамы были прерваны. Через несколько дней самолет потерпел аварию при выполнении вынужденной по</w:t>
      </w:r>
      <w:r w:rsidRPr="005E779E">
        <w:rPr>
          <w:rFonts w:ascii="Times New Roman" w:hAnsi="Times New Roman"/>
          <w:color w:val="000000" w:themeColor="text1"/>
          <w:sz w:val="16"/>
          <w:szCs w:val="16"/>
        </w:rPr>
        <w:softHyphen/>
        <w:t>садки. Дальнейшая судьба машины не просле живется, однако из переписки завода №39 известно, что какой-то И-5 с М-15 потерпел аварию и не восстанавливался (вероятно это был И-5 №18).</w:t>
      </w:r>
    </w:p>
    <w:p w14:paraId="159017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 смотря на аварию, основные выводы в отношении испытывавшегося самолета были, получены. В частности, указывалось, что се</w:t>
      </w:r>
      <w:r w:rsidRPr="005E779E">
        <w:rPr>
          <w:rFonts w:ascii="Times New Roman" w:hAnsi="Times New Roman"/>
          <w:color w:val="000000" w:themeColor="text1"/>
          <w:sz w:val="16"/>
          <w:szCs w:val="16"/>
        </w:rPr>
        <w:softHyphen/>
        <w:t>рийные И-5 с М-15 будут обладать худшими летными данными и меньшим радиусом дей</w:t>
      </w:r>
      <w:r w:rsidRPr="005E779E">
        <w:rPr>
          <w:rFonts w:ascii="Times New Roman" w:hAnsi="Times New Roman"/>
          <w:color w:val="000000" w:themeColor="text1"/>
          <w:sz w:val="16"/>
          <w:szCs w:val="16"/>
        </w:rPr>
        <w:softHyphen/>
        <w:t>ствия, чем И-5 с двигателем «Юпитер» VI. Максимальная полетная скорость самолета с М-15 оказалась немного выше, а скороподъем</w:t>
      </w:r>
      <w:r w:rsidRPr="005E779E">
        <w:rPr>
          <w:rFonts w:ascii="Times New Roman" w:hAnsi="Times New Roman"/>
          <w:color w:val="000000" w:themeColor="text1"/>
          <w:sz w:val="16"/>
          <w:szCs w:val="16"/>
        </w:rPr>
        <w:softHyphen/>
        <w:t>ность чуть ниже, чем у второго опытного эк</w:t>
      </w:r>
      <w:r w:rsidRPr="005E779E">
        <w:rPr>
          <w:rFonts w:ascii="Times New Roman" w:hAnsi="Times New Roman"/>
          <w:color w:val="000000" w:themeColor="text1"/>
          <w:sz w:val="16"/>
          <w:szCs w:val="16"/>
        </w:rPr>
        <w:softHyphen/>
        <w:t>земпляра.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1002C3" w:rsidRPr="005E779E" w14:paraId="6AF20AE7" w14:textId="77777777">
        <w:tc>
          <w:tcPr>
            <w:tcW w:w="3736" w:type="dxa"/>
            <w:tcBorders>
              <w:top w:val="single" w:sz="12" w:space="0" w:color="auto"/>
            </w:tcBorders>
          </w:tcPr>
          <w:p w14:paraId="53EB09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736" w:type="dxa"/>
            <w:tcBorders>
              <w:top w:val="single" w:sz="12" w:space="0" w:color="auto"/>
            </w:tcBorders>
          </w:tcPr>
          <w:p w14:paraId="7AC5E5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 М-15</w:t>
            </w:r>
          </w:p>
        </w:tc>
        <w:tc>
          <w:tcPr>
            <w:tcW w:w="3736" w:type="dxa"/>
            <w:tcBorders>
              <w:top w:val="single" w:sz="12" w:space="0" w:color="auto"/>
            </w:tcBorders>
          </w:tcPr>
          <w:p w14:paraId="150138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 Ю</w:t>
            </w:r>
            <w:r w:rsidRPr="005E779E">
              <w:rPr>
                <w:rFonts w:ascii="Times New Roman" w:hAnsi="Times New Roman"/>
                <w:color w:val="000000" w:themeColor="text1"/>
                <w:sz w:val="16"/>
                <w:szCs w:val="16"/>
                <w:lang w:val="en-US"/>
              </w:rPr>
              <w:t>-VI</w:t>
            </w:r>
          </w:p>
        </w:tc>
      </w:tr>
      <w:tr w:rsidR="001002C3" w:rsidRPr="005E779E" w14:paraId="42576C14" w14:textId="77777777">
        <w:tc>
          <w:tcPr>
            <w:tcW w:w="3736" w:type="dxa"/>
          </w:tcPr>
          <w:p w14:paraId="629937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Скорость максимальная на 1000 м (км/ч)</w:t>
            </w:r>
          </w:p>
        </w:tc>
        <w:tc>
          <w:tcPr>
            <w:tcW w:w="3736" w:type="dxa"/>
          </w:tcPr>
          <w:p w14:paraId="2AE7A6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266</w:t>
            </w:r>
          </w:p>
        </w:tc>
        <w:tc>
          <w:tcPr>
            <w:tcW w:w="3736" w:type="dxa"/>
          </w:tcPr>
          <w:p w14:paraId="13E48F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258</w:t>
            </w:r>
          </w:p>
        </w:tc>
      </w:tr>
      <w:tr w:rsidR="001002C3" w:rsidRPr="005E779E" w14:paraId="5D829F3F" w14:textId="77777777">
        <w:tc>
          <w:tcPr>
            <w:tcW w:w="3736" w:type="dxa"/>
            <w:tcBorders>
              <w:bottom w:val="single" w:sz="12" w:space="0" w:color="auto"/>
            </w:tcBorders>
          </w:tcPr>
          <w:p w14:paraId="2EDA04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набора 3000 м (мин.)</w:t>
            </w:r>
          </w:p>
        </w:tc>
        <w:tc>
          <w:tcPr>
            <w:tcW w:w="3736" w:type="dxa"/>
            <w:tcBorders>
              <w:bottom w:val="single" w:sz="12" w:space="0" w:color="auto"/>
            </w:tcBorders>
          </w:tcPr>
          <w:p w14:paraId="7CDBFB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4,75</w:t>
            </w:r>
          </w:p>
        </w:tc>
        <w:tc>
          <w:tcPr>
            <w:tcW w:w="3736" w:type="dxa"/>
            <w:tcBorders>
              <w:bottom w:val="single" w:sz="12" w:space="0" w:color="auto"/>
            </w:tcBorders>
          </w:tcPr>
          <w:p w14:paraId="1E5928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4,68</w:t>
            </w:r>
          </w:p>
        </w:tc>
      </w:tr>
    </w:tbl>
    <w:p w14:paraId="77242D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тем, значительные усилия, потра</w:t>
      </w:r>
      <w:r w:rsidRPr="005E779E">
        <w:rPr>
          <w:rFonts w:ascii="Times New Roman" w:hAnsi="Times New Roman"/>
          <w:color w:val="000000" w:themeColor="text1"/>
          <w:sz w:val="16"/>
          <w:szCs w:val="16"/>
        </w:rPr>
        <w:softHyphen/>
        <w:t>ченные на внедрение М-15 в производство, и большие на него надежды обусловили про</w:t>
      </w:r>
      <w:r w:rsidRPr="005E779E">
        <w:rPr>
          <w:rFonts w:ascii="Times New Roman" w:hAnsi="Times New Roman"/>
          <w:color w:val="000000" w:themeColor="text1"/>
          <w:sz w:val="16"/>
          <w:szCs w:val="16"/>
        </w:rPr>
        <w:softHyphen/>
        <w:t>должение работ по его внедрению. Было ре</w:t>
      </w:r>
      <w:r w:rsidRPr="005E779E">
        <w:rPr>
          <w:rFonts w:ascii="Times New Roman" w:hAnsi="Times New Roman"/>
          <w:color w:val="000000" w:themeColor="text1"/>
          <w:sz w:val="16"/>
          <w:szCs w:val="16"/>
        </w:rPr>
        <w:softHyphen/>
        <w:t>шено, что в числе первой сотни серийных истребителей должны быть 10 машин с М-15, поэтому еще один самолет оснастили таким двигателем. Он прибыл на аэродром 25 но</w:t>
      </w:r>
      <w:r w:rsidRPr="005E779E">
        <w:rPr>
          <w:rFonts w:ascii="Times New Roman" w:hAnsi="Times New Roman"/>
          <w:color w:val="000000" w:themeColor="text1"/>
          <w:sz w:val="16"/>
          <w:szCs w:val="16"/>
        </w:rPr>
        <w:softHyphen/>
        <w:t>ября 1931 г., далее доводился в бригаде С.А. Кочеригина, в которой готовили чертежи для серийного производства. Впрочем, уже в конце 1931 г. от использования М-15 отказа</w:t>
      </w:r>
      <w:r w:rsidRPr="005E779E">
        <w:rPr>
          <w:rFonts w:ascii="Times New Roman" w:hAnsi="Times New Roman"/>
          <w:color w:val="000000" w:themeColor="text1"/>
          <w:sz w:val="16"/>
          <w:szCs w:val="16"/>
        </w:rPr>
        <w:softHyphen/>
        <w:t>лись и более И-5 с этими двигателями не строились (11974).</w:t>
      </w:r>
    </w:p>
    <w:p w14:paraId="41FAD3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E7E45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октября 1931 И-5 М-15 № 18 вернули на испытания после ремонта, но уже с серийным мотором, новой моторамой и изменённым капотом. Этот двигатель работал лучше предыдущего, но расход масла оставался чрезмерно большим.</w:t>
      </w:r>
    </w:p>
    <w:p w14:paraId="5D3576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мере освоения производства И-5 с "юпитерами" и М-22 отношение к замыслу модернизировать истребитель путём установки М-15 постепенно менялось. Мотор Бессонова долго и мучительно доводился. В 1930 г. его дважды выставляли на государственные испытания. Ни один из образцов не проработал даже заявленных 25 часов до переборки нагнетателя. Лучший из них продержался 15 часов до разрушения коленчатого вала.</w:t>
      </w:r>
    </w:p>
    <w:p w14:paraId="6716FE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Оргвыводы были сделаны в духе времени. "Вредитель" Бессонов остался на заводе, но как арестант в составе конструкторского бюро ОГПУ, разрабатывавшего мощный Х-образный двигатель ФЭД ("Феликс Эдмундович Дзержинский"), Работа по М-15 продолжалась без него.</w:t>
      </w:r>
    </w:p>
    <w:p w14:paraId="781B2B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Один из моторов второй серии ("Б") в январе 1931 г. опять выставили на госиспытания. На 41-м часу развалился фланец крепления одного из цилиндров. Назначенная УВВС комиссия признала двигатель не прошедшим испытания.</w:t>
      </w:r>
    </w:p>
    <w:p w14:paraId="455ED8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Вместо обещанных первоначально 650 л.с. максимальную мощность М-15 снизили до 600 л.с., а затем вообще до 450 л.с. Ресурс в 25 часов до замены подшипников нагнетателя военных ни с какого боку не устраивал. В НИИ ВВС подготовили заключение, в котором сравнивались М-15 и М-22. В нём отмечалось: "В тактическом отношении М-22 стоит выше М-15... При наличии меньшего веса на 25 кгр по мощности имеет несомненное превосходство..." Действительно, французский двигатель мог развить, пусть и в течение всего двух минут, мощность 585 л.с. При этом он расходовал меньше масла и бензина. По важнейшим характеристикам М-15 уступал и принятому за прототип "Хорнету" - при большем весе он развивал меньшую мощность. Что касается надёжности, то их вообще нельзя было сравнивать. Общий вывод специалистов НИИ ВВС гласил: "М-15 в конструктивном отношении полностью недоработан". Более того, они сочли, что этот двигатель не имеет перспектив развития.</w:t>
      </w:r>
    </w:p>
    <w:p w14:paraId="62AD64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УВВС беспокоили и рапорты военных приёмщиков с завода № 24. За десять дней февраля 1931 г. в ходе заводских испытаний вышли из строя восемь двигателей. Детали моторов подгонялись при монтаже и были невзаимозаменяемы. Всю серию "Б" после предъявления военпред отклонил и потребовал довести её до уровня требований технических условий (11997).</w:t>
      </w:r>
    </w:p>
    <w:p w14:paraId="310142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8519E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октября 1931 года по рекомендации заведующего инженерным отделом торгпредства СССР в Италии Фрадкина в Севастополь для работы в авиации Черноморского флота прибыли авиационные механики Ф. Пескатори и Т. Кассоло — представители итальянских фирм (АВП РФ. Ф. 098. Д. 569. П. 134. Л. 1—2.). Руководство УВВС Черноморского флота обеспечило им бесплатное питание и проживание, а также выплачивало суточные, правда, весьма скромные — 10 руб. плюс 1 долл. США. Видимо, их деятельность особой пользы не принесла, и от них постарались поскорее избавиться (11173).</w:t>
      </w:r>
    </w:p>
    <w:p w14:paraId="0E3325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B3C038D" w14:textId="77777777" w:rsidR="003371BD"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28611908" w14:textId="77777777" w:rsidR="003371BD" w:rsidRPr="005E779E" w:rsidRDefault="003371BD"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00A1575"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октября 1931 г. — Из доклада Военно-химического объединения в Комиссию обороны «О состоянии производства пороха и взрывчатых веществ и перспективах его развития»</w:t>
      </w:r>
    </w:p>
    <w:p w14:paraId="0DE60345"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Совершенно секретно.</w:t>
      </w:r>
    </w:p>
    <w:p w14:paraId="4C1838C5"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Перспективы развития производства порохов, взрыв[чатых] веществ и снаряжения</w:t>
      </w:r>
    </w:p>
    <w:p w14:paraId="5846BB13"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Очередной вариант № 12, выдвигаемый Наркомвоенмором в части подачи огнеприпасов, требует создания следующих производственных мощностей: а) по бездымным порохам — 175 тыс. т; б) по селитро-угольным довескам — 25 тыс. т; в) по взрыв[чатым] веществам — 567 тыс. т, в том числе: по нитроароматическим веществам — 195 тыс. т, по аммиачной селитре — 350 тыс. т, по динамитам — 22 тыс. т; г) по снаряжению мощность, обеспечивающая переработку, — 550 тыс. т взрыв[чатых] веществ. По сравнению с вариантом МВ</w:t>
      </w:r>
      <w:r w:rsidRPr="005E779E">
        <w:rPr>
          <w:rFonts w:ascii="Times New Roman" w:hAnsi="Times New Roman"/>
          <w:color w:val="000000" w:themeColor="text1"/>
          <w:sz w:val="16"/>
          <w:szCs w:val="16"/>
        </w:rPr>
        <w:noBreakHyphen/>
        <w:t>10, обеспечение которого будет полностью закончено лишь в середине 1932 г., мощности должны быть увеличены по всем химическим элементам выстрела более чем в 3 раза.</w:t>
      </w:r>
    </w:p>
    <w:p w14:paraId="2C83BC1E"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Решение задачи по обеспечению варианта № 12 на основе произведенных к настоящему времени научно-исследовательских, опытных работ и технико-экономических изысканий предлагается следующее:</w:t>
      </w:r>
    </w:p>
    <w:p w14:paraId="54D49A2C"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По порохам</w:t>
      </w:r>
    </w:p>
    <w:p w14:paraId="7B2B6A90"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Наиболее выгодным методом решения задачи по развитию мощности порохов является использование промышленности искусственного волокна (вискоза и нитрошелк).</w:t>
      </w:r>
    </w:p>
    <w:p w14:paraId="4BA41BAF"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Вискоза. В результате научно-исследовательских и опытных работ к настоящему времени задача технологической ассимиляции вискозного производства с пороховым принципиально разрешена, практически проверена на полузаводской установке, получены винтовочные пороха, испытаны на стойкость и отстрелом; качество порохов удовлетворяет требованиям военного времени, имеются некоторые трудности в технологическом процессе, устранение которых находится в процессе разрешения. Ближайшей задачей в этой области является выяснение возможности получения орудийных порохов.</w:t>
      </w:r>
    </w:p>
    <w:p w14:paraId="71C6EEB3"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Проведенная по решению Президиума ВСНХ проектная работа по приспособлению Клинской вискозной фабрики на 7 тыс. т порохов показала, что стоимость приспособления вискозного производства на 1 тыс. т пороха определяется суммой в 1 млн. руб. против стоимости 1 тыс. т специального порохового завода 5 млн. руб.</w:t>
      </w:r>
    </w:p>
    <w:p w14:paraId="77C038F8"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Президиум ВСНХ принял решение начать в текущем году работы по приспособлению Клинской вискозной фабрики к производству порохов мощностью 7 тыс. т и приступить к строительству в 1932 г. 2 вискозных фабрик (одна вистровая, другая шелковая) общей мощностью 20 тыс. т порохов.</w:t>
      </w:r>
    </w:p>
    <w:p w14:paraId="24566A52"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Нитрошелк. Использование нитрошелковых заводов для постановки на них порохового производства является наиболее выгодным, с точки зрения технологической и мобилизационной, вариантом ассимиляции порохового производства с мирной промышленностью по следующим соображениям, нитрошелковое производство является по существу законченным пороховым заводом, имеющим в своей основе наиболее трудную часть порохового производства — пироксилиновое, кислотное хозяйство и все прочие обслуживающие подсобные элементы, и требует затрат для приспособления к пороховому производству на 1 тыс. т пороха не более 250 тыс. руб., которые падают на менее ответственные и наиболее легкие и быстро осуществимые фазы производства (резка, разымка, мешка и сушка).</w:t>
      </w:r>
    </w:p>
    <w:p w14:paraId="223998BE"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отличие от других видов ассимиляции, в том числе и вискозы, к моменту мобилизации будет налицо подготовленный кадр технического персонала и рабочих в полном потребном количестве и освоивших в основном весь технологический процесс производства порохов. Перевод нитрошелкового завода на производство порохов может быть осуществлен немедленно.</w:t>
      </w:r>
    </w:p>
    <w:p w14:paraId="16A57968"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Выгодность использования нитрошелкового завода для производства порохов стала наиболее очевидной после того, как опытными работами, осуществленными в 1931 г. на заводе № 40, была установлена возможность получения орудийных порохов (4/1) на прядильных машинах. Недостатком этого вида ассимиляции являлась до настоящего времени высокая стоимость строительства (в 1,5 раза выше вискозного шелка) и себестоимость нитрошелка (25</w:t>
      </w:r>
      <w:r w:rsidRPr="005E779E">
        <w:rPr>
          <w:rFonts w:ascii="Times New Roman" w:hAnsi="Times New Roman"/>
          <w:color w:val="000000" w:themeColor="text1"/>
          <w:sz w:val="16"/>
          <w:szCs w:val="16"/>
        </w:rPr>
        <w:noBreakHyphen/>
        <w:t>30% выше вискозного).</w:t>
      </w:r>
    </w:p>
    <w:p w14:paraId="652F5017"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Проведенными к настоящему времени опытными работами в Институте волокна достигнуто ускорение скорости прядения почти в 5 раз по сравнению с проектом нитрошелкового завода иностранной фирмы «Стик», что, безусловно, должно значительно удешевить как капитальное строительство, так и себестоимость нитрошелка.</w:t>
      </w:r>
    </w:p>
    <w:p w14:paraId="63205CDE"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Президиум ВСНХ принял решение приступить в 1932 г. к строительству нитрошелковой фабрики мощностью в 7 тыс. т нитрошелка, что даст в переводе на порох 15</w:t>
      </w:r>
      <w:r w:rsidRPr="005E779E">
        <w:rPr>
          <w:rFonts w:ascii="Times New Roman" w:hAnsi="Times New Roman"/>
          <w:color w:val="000000" w:themeColor="text1"/>
          <w:sz w:val="16"/>
          <w:szCs w:val="16"/>
        </w:rPr>
        <w:noBreakHyphen/>
        <w:t>16 тыс. т пороха.</w:t>
      </w:r>
    </w:p>
    <w:p w14:paraId="6B979AAB"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Нитроглицериновые пороха. Недостатком в использовании промышленности искусственного волокна для производства порохов до настоящего времени является невозможность получения на их базе всех марок порохов (для орудий среднего и крупного калибров), в силу чего, наряду с использованием вискозы и нитрошелка, является необходимым в целях обеспечения варианта № 12 строительство специального порохового завода с наименьшим количеством затрат и наиболее выгодной формой использования его для производства изделий мирного назначения. Таким специальным пороховым заводом является завод нитроглицериновых порохов, спроектированный с учетом изготовления на нем в мирное время разного рода изделий (динамиты, пластические массы, лаки, целлулоид и т. д.).</w:t>
      </w:r>
    </w:p>
    <w:p w14:paraId="32159326"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 результате проведенных опытных работ, проверенных на заводской установке (завод им. Морозова, мощность 350 т), установлено, что нитроглицериновые пороха по своему качеству не хуже пироксилиновых, а по мощности превосходящие их. Себестоимость пороха на 20% дешевле пироксилинового, а капиталовложения при постройке завода нитроглицериновых порохов в 2 раза меньше, чем завода пироксилиновых порохов (2,5 млн. руб. вместо 5 млн. руб. на 1 тыс. т пороха).</w:t>
      </w:r>
    </w:p>
    <w:p w14:paraId="00BAEA8E"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значительно меньших капиталовложениях в абсолютном выражении, чем при нитрошелке, невыгодность этого способа заключается в большем омертвлении капитала в мирное время, чем при нитрошелковом заводе. Размер омертвления капитала зависит от тщательности и всесторонности проработки вопросов ассимиляции этого завода с мирными изделиями.</w:t>
      </w:r>
    </w:p>
    <w:p w14:paraId="1DC50395"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По взрывчатым веществам</w:t>
      </w:r>
    </w:p>
    <w:p w14:paraId="2A27353C"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Использование гражданской промышленности для получения взрывчатых веществ ограничивается получением аммиачной селитры во всем потребном количестве (350 тыс. т) динитронафталина на базе анилокрасочной промышленности и в незначительной степени мелинита. Все остальные взрывчатые вещества (тротил, тетрил, мелинит, тэн, гексоген) требуют специального оборонного строительства почти с полным омертвлением капитала в мирное время.</w:t>
      </w:r>
    </w:p>
    <w:p w14:paraId="3D32166D"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целях сведения омертвления капитала к минимально возможным размерам в условиях мирного времени наиболее выгодным методом строительства этих специальных заводов являются строительства их в хозяйственной комбинации кислотно-тукового производства на общей хозяйственной и энергетической базе, что даст удешевление строительства в несколько раз. Такими точками для строительства специальных установок взрывчатых веществ могут быть Бобриковский химкомбинат, Горловский, Березники, Магнитогорск, Кемерово.</w:t>
      </w:r>
    </w:p>
    <w:p w14:paraId="45932AB4"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По снаряжению</w:t>
      </w:r>
    </w:p>
    <w:p w14:paraId="39DA081E" w14:textId="77777777" w:rsidR="003371BD" w:rsidRPr="005E779E" w:rsidRDefault="003371BD" w:rsidP="000B7A6C">
      <w:pPr>
        <w:pStyle w:val="rtejustify"/>
        <w:spacing w:before="0" w:after="0"/>
        <w:rPr>
          <w:color w:val="000000" w:themeColor="text1"/>
          <w:sz w:val="16"/>
          <w:szCs w:val="16"/>
        </w:rPr>
      </w:pPr>
      <w:r w:rsidRPr="005E779E">
        <w:rPr>
          <w:color w:val="000000" w:themeColor="text1"/>
          <w:sz w:val="16"/>
          <w:szCs w:val="16"/>
        </w:rPr>
        <w:t>Удовлетворение варианта № 12 требует строительства двух гигантских снаряжательных заводов мощностью по переработке 200 тыс. т взрывчатых веществ каждый, со своим капсюльным и детонаторным производством. Ориентировочная стоимость каждого из этих заводов — до 30 млн. руб.</w:t>
      </w:r>
    </w:p>
    <w:p w14:paraId="7C7640BC" w14:textId="77777777" w:rsidR="003371BD" w:rsidRPr="005E779E" w:rsidRDefault="003371BD" w:rsidP="000B7A6C">
      <w:pPr>
        <w:pStyle w:val="rtejustify"/>
        <w:spacing w:before="0" w:after="0"/>
        <w:rPr>
          <w:color w:val="000000" w:themeColor="text1"/>
          <w:sz w:val="16"/>
          <w:szCs w:val="16"/>
        </w:rPr>
      </w:pPr>
      <w:r w:rsidRPr="005E779E">
        <w:rPr>
          <w:color w:val="000000" w:themeColor="text1"/>
          <w:sz w:val="16"/>
          <w:szCs w:val="16"/>
        </w:rPr>
        <w:t>Географическое размещение существующих снаряжательных заводов, обеспечивающих в основном снаряжение корпусов снаряда юга, центра и северо-западной области, диктует необходимость расположить один из этих заводов на Урале, где имеется большая производственная база по корпусам снарядов и в перспективе намечается развертывание производства взрывчатых веществ. К строительству Уральского снаряжательного завода должно быть приступлено уже в 1932 г. с окончанием его в 1933 г.</w:t>
      </w:r>
    </w:p>
    <w:p w14:paraId="5F9E6455" w14:textId="77777777" w:rsidR="003371BD" w:rsidRPr="005E779E" w:rsidRDefault="003371BD" w:rsidP="000B7A6C">
      <w:pPr>
        <w:pStyle w:val="rtejustify"/>
        <w:spacing w:before="0" w:after="0"/>
        <w:rPr>
          <w:color w:val="000000" w:themeColor="text1"/>
          <w:sz w:val="16"/>
          <w:szCs w:val="16"/>
        </w:rPr>
      </w:pPr>
      <w:r w:rsidRPr="005E779E">
        <w:rPr>
          <w:color w:val="000000" w:themeColor="text1"/>
          <w:sz w:val="16"/>
          <w:szCs w:val="16"/>
        </w:rPr>
        <w:t>Исходя из ближайшей перспективы развития сырьевой базы (аммиак, серная кислота, азотная кислота, толуол, бензол и т. д.) и учитывая громадный фактический объем работ и подготовленность к их осуществлению в части проектирования, осуществление варианта № 12 по времени намечается к началу 1935 г. со следующей очередностью²*:</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264"/>
        <w:gridCol w:w="1051"/>
        <w:gridCol w:w="1055"/>
        <w:gridCol w:w="849"/>
        <w:gridCol w:w="1157"/>
        <w:gridCol w:w="1051"/>
        <w:gridCol w:w="895"/>
      </w:tblGrid>
      <w:tr w:rsidR="001002C3" w:rsidRPr="005E779E" w14:paraId="1BDB5B6E"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5A7BEA6B"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CE708"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Мощность</w:t>
            </w:r>
          </w:p>
          <w:p w14:paraId="5B9807C7"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МВ</w:t>
            </w:r>
            <w:r w:rsidRPr="005E779E">
              <w:rPr>
                <w:rFonts w:ascii="Times New Roman" w:hAnsi="Times New Roman"/>
                <w:color w:val="000000" w:themeColor="text1"/>
                <w:sz w:val="16"/>
                <w:szCs w:val="16"/>
              </w:rPr>
              <w:noBreakHyphen/>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6F5061"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Требуемая</w:t>
            </w:r>
          </w:p>
          <w:p w14:paraId="336B9971"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Мощность</w:t>
            </w:r>
          </w:p>
          <w:p w14:paraId="41EA55CC"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вар[ианта]</w:t>
            </w:r>
          </w:p>
          <w:p w14:paraId="55EA5377"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990ECB3"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Прирост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7D55B27"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Общая</w:t>
            </w:r>
          </w:p>
          <w:p w14:paraId="7F16D5FC"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стоимость</w:t>
            </w:r>
          </w:p>
          <w:p w14:paraId="2A1C1730"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прироста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2B262FC"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Мощность</w:t>
            </w:r>
          </w:p>
          <w:p w14:paraId="608C0927"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748126D"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началу</w:t>
            </w:r>
          </w:p>
          <w:p w14:paraId="22F7EA11"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1935 г.</w:t>
            </w:r>
          </w:p>
        </w:tc>
      </w:tr>
      <w:tr w:rsidR="001002C3" w:rsidRPr="005E779E" w14:paraId="01AAAE63" w14:textId="77777777" w:rsidTr="004F5DFE">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494F48DA"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Пороха</w:t>
            </w:r>
          </w:p>
        </w:tc>
      </w:tr>
      <w:tr w:rsidR="001002C3" w:rsidRPr="005E779E" w14:paraId="416C1E67"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0BF0C19E"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Пироксилиновый порох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E407FFA"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7A5F6B"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AB7303"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6801F2"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1F822B"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52 000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D1A321"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60 000</w:t>
            </w:r>
          </w:p>
        </w:tc>
      </w:tr>
      <w:tr w:rsidR="001002C3" w:rsidRPr="005E779E" w14:paraId="45145450"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6BD7212B"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Нитроглицериновый порох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72060F6"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349E66"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AD9183"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B41C23"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100 000 000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A86AD7"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17AB53"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50 000</w:t>
            </w:r>
          </w:p>
        </w:tc>
      </w:tr>
      <w:tr w:rsidR="001002C3" w:rsidRPr="005E779E" w14:paraId="169D5BF8"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37F34DA4"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Вискозный порох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BF6587C"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4AD409A"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94063A"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BF8DFA"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200 000 000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67E6C"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1CBD78"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47 000</w:t>
            </w:r>
          </w:p>
        </w:tc>
      </w:tr>
      <w:tr w:rsidR="001002C3" w:rsidRPr="005E779E" w14:paraId="04FEB8E3"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2DDDF57D"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Нитроцелл[юлозный] порох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F7F52"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644E7F"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243294"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54CCD"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120 000 000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504A2F"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3AD4B3"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15 000</w:t>
            </w:r>
          </w:p>
        </w:tc>
      </w:tr>
      <w:tr w:rsidR="001002C3" w:rsidRPr="005E779E" w14:paraId="1B9A7600"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3B0798A2"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...³*-угольные дов[ески]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D775339"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C0796A"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FEAAD4"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EC6041"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3 000 000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358443"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1FF8D9"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25 000</w:t>
            </w:r>
          </w:p>
        </w:tc>
      </w:tr>
      <w:tr w:rsidR="001002C3" w:rsidRPr="005E779E" w14:paraId="58D8726A"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0FAD9753"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 по порохам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192FCE8"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FD1B22"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06D2CC"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129 000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D1C815"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423 000 000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59DA7"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ADE936"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197 000</w:t>
            </w:r>
          </w:p>
        </w:tc>
      </w:tr>
      <w:tr w:rsidR="001002C3" w:rsidRPr="005E779E" w14:paraId="56F51A54" w14:textId="77777777" w:rsidTr="004F5DFE">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02AA3663"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Взрыв[чатые] вещества</w:t>
            </w:r>
          </w:p>
        </w:tc>
      </w:tr>
      <w:tr w:rsidR="001002C3" w:rsidRPr="005E779E" w14:paraId="4F2A434A"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13FFE25C"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Тротил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A9BA5BB"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31ED9F"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75BBD0"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37 500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B2E63D"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40 000 000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379D89"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43 500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A34F68"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65 000</w:t>
            </w:r>
          </w:p>
        </w:tc>
      </w:tr>
      <w:tr w:rsidR="001002C3" w:rsidRPr="005E779E" w14:paraId="584EBF32"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23644720"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Мелинит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90956EA"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582300"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43A898"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A790C8"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22 000 000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6A2006"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44 000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B5813"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70 000</w:t>
            </w:r>
          </w:p>
        </w:tc>
      </w:tr>
      <w:tr w:rsidR="001002C3" w:rsidRPr="005E779E" w14:paraId="37545C19"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6009C963"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Динитронафталин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727FCE34"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1688AB"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85D19F"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C7C83B"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5 000 000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5968DD"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188934"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25 000</w:t>
            </w:r>
          </w:p>
        </w:tc>
      </w:tr>
      <w:tr w:rsidR="001002C3" w:rsidRPr="005E779E" w14:paraId="0C1B0B4C"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3A5DEB25"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Ксилил</w:t>
            </w:r>
          </w:p>
        </w:tc>
        <w:tc>
          <w:tcPr>
            <w:tcW w:w="0" w:type="auto"/>
            <w:tcBorders>
              <w:top w:val="outset" w:sz="6" w:space="0" w:color="auto"/>
              <w:left w:val="outset" w:sz="6" w:space="0" w:color="auto"/>
              <w:bottom w:val="outset" w:sz="6" w:space="0" w:color="auto"/>
              <w:right w:val="outset" w:sz="6" w:space="0" w:color="auto"/>
            </w:tcBorders>
            <w:vAlign w:val="center"/>
            <w:hideMark/>
          </w:tcPr>
          <w:p w14:paraId="4012CFE5"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BE5BC9"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D3EE76"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6FE06F"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8 000 000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01EBAC"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BB0E28"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15 000</w:t>
            </w:r>
          </w:p>
        </w:tc>
      </w:tr>
      <w:tr w:rsidR="001002C3" w:rsidRPr="005E779E" w14:paraId="31DCA176"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048D1258"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Новые взрыв[чатые] вещества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3056222"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92739D"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6A2FE4"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BC205C"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5 000 000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323DCB"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795C75"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r>
      <w:tr w:rsidR="001002C3" w:rsidRPr="005E779E" w14:paraId="0C099EAF"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782B051B"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Взрывчатые вещества нитро</w:t>
            </w:r>
            <w:r w:rsidRPr="005E779E">
              <w:rPr>
                <w:rFonts w:ascii="Times New Roman" w:hAnsi="Times New Roman"/>
                <w:color w:val="000000" w:themeColor="text1"/>
                <w:sz w:val="16"/>
                <w:szCs w:val="16"/>
              </w:rPr>
              <w:softHyphen/>
              <w:t>гл[ицеринового] пор[оха]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56FC376"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AA5A03"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4BFE41"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65E34C"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8 000 000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CDB2B9"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4E546C"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12 000</w:t>
            </w:r>
          </w:p>
        </w:tc>
      </w:tr>
      <w:tr w:rsidR="001002C3" w:rsidRPr="005E779E" w14:paraId="44F677DD"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6819652E"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Тетрил</w:t>
            </w:r>
          </w:p>
        </w:tc>
        <w:tc>
          <w:tcPr>
            <w:tcW w:w="0" w:type="auto"/>
            <w:tcBorders>
              <w:top w:val="outset" w:sz="6" w:space="0" w:color="auto"/>
              <w:left w:val="outset" w:sz="6" w:space="0" w:color="auto"/>
              <w:bottom w:val="outset" w:sz="6" w:space="0" w:color="auto"/>
              <w:right w:val="outset" w:sz="6" w:space="0" w:color="auto"/>
            </w:tcBorders>
            <w:vAlign w:val="center"/>
            <w:hideMark/>
          </w:tcPr>
          <w:p w14:paraId="314B8C19"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4A749F"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68D3EC"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96EE9C"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2 000 000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4CA367"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2559E5"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r>
      <w:tr w:rsidR="001002C3" w:rsidRPr="005E779E" w14:paraId="6452317E"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3E6132AD"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 по взрыв[чатым] веществам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1E1E513"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73 400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1DD5A8"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9A5A03"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122 500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7BDF9B"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90 000 000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3E3831"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108 700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FE8571"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195 000</w:t>
            </w:r>
          </w:p>
        </w:tc>
      </w:tr>
    </w:tbl>
    <w:p w14:paraId="404188C3" w14:textId="77777777" w:rsidR="003371BD" w:rsidRPr="005E779E" w:rsidRDefault="003371BD" w:rsidP="000B7A6C">
      <w:pPr>
        <w:pStyle w:val="rtejustify"/>
        <w:spacing w:before="0" w:after="0"/>
        <w:rPr>
          <w:color w:val="000000" w:themeColor="text1"/>
          <w:sz w:val="16"/>
          <w:szCs w:val="16"/>
        </w:rPr>
      </w:pPr>
      <w:r w:rsidRPr="005E779E">
        <w:rPr>
          <w:color w:val="000000" w:themeColor="text1"/>
          <w:sz w:val="16"/>
          <w:szCs w:val="16"/>
        </w:rPr>
        <w:t>Приведенный выше порядок удовлетворения варианта № 12 требует осуществления следующих мероприятий: 1. Немедленного приступа к проектированию завода нитрошелковых порохов на 15 тыс. т, двух вискозных — на 20 тыс. т порохов, с началом строительства их в 1932 г. и полным окончанием в середине 1933 г. 2. Немедленного приступа к проектированию заводов: тротила — на 16 тыс. т, мелинита — на 14 тыс. т, динитронафталина — 5 тыс. т, с началом строительства в 1932 г. и окончанием в середине 1933 г. 3. Немедленного приступа к разработке промзадания для проектирования снаряжательного завода; начало строительства — в 1932 г., окончание — в середине 1933 г. 4. Организации проектирования большого завода нитроглицериновых порохов мощностью в 40 тыс. т с учетом его ассимиляции с мирными изделиями. Начало строительства — в 1933 г., окончание — к весне 1935 г. 5. Пересмотра плана развития отдельных производств химической промышленности с целью выявления наиболее выгодного варианта сочетания военных и мирных производств как в количественном отношении, так и в части географического расположения. 6. Немедленного усиления научно-исследовательских и опытных работ в части ассимиляции порохов и взрывчатых веществ в Военно-химическом институте Вохимобъединения, для чего необходимо усилить последний группой крупных гражданских специалистов соответствующих специальностей. 7. Решительно усилить проектирующие организации Вохимобъединения и ВОИВа. Организовать посылку за границу группы специалистов для изучения производства искусственного волокна, нитроглицериновых порохов и взрывчатых веществ, а также обеспечить привлечение группы иностранных специалистов на работу в проектирующих организациях. 8. Пересмотреть количественный контингент учащихся во втузах по специальностям военно-химических производств и искусственного волокна в сторону его значительного увеличения, а также коренным образом пересмотреть учебные планы этих втузов с целью обеспечения в них элементов ассимиляции.</w:t>
      </w:r>
    </w:p>
    <w:p w14:paraId="2D288073" w14:textId="77777777" w:rsidR="003371BD" w:rsidRPr="005E779E" w:rsidRDefault="003371BD" w:rsidP="000B7A6C">
      <w:pPr>
        <w:pStyle w:val="ae"/>
        <w:spacing w:before="0" w:after="0"/>
        <w:jc w:val="both"/>
        <w:rPr>
          <w:color w:val="000000" w:themeColor="text1"/>
          <w:sz w:val="16"/>
          <w:szCs w:val="16"/>
        </w:rPr>
      </w:pPr>
      <w:r w:rsidRPr="005E779E">
        <w:rPr>
          <w:rStyle w:val="af0"/>
          <w:i w:val="0"/>
          <w:color w:val="000000" w:themeColor="text1"/>
          <w:sz w:val="16"/>
          <w:szCs w:val="16"/>
        </w:rPr>
        <w:t>Начальник Военно-химического объединения ВСНХ СССР Котт</w:t>
      </w:r>
    </w:p>
    <w:p w14:paraId="05D48CEE" w14:textId="77777777" w:rsidR="003371BD" w:rsidRPr="005E779E" w:rsidRDefault="003371BD" w:rsidP="000B7A6C">
      <w:pPr>
        <w:pStyle w:val="ae"/>
        <w:spacing w:before="0" w:after="0"/>
        <w:jc w:val="both"/>
        <w:rPr>
          <w:color w:val="000000" w:themeColor="text1"/>
          <w:sz w:val="16"/>
          <w:szCs w:val="16"/>
        </w:rPr>
      </w:pPr>
      <w:r w:rsidRPr="005E779E">
        <w:rPr>
          <w:rStyle w:val="af0"/>
          <w:i w:val="0"/>
          <w:color w:val="000000" w:themeColor="text1"/>
          <w:sz w:val="16"/>
          <w:szCs w:val="16"/>
        </w:rPr>
        <w:t>Примечания</w:t>
      </w:r>
      <w:r w:rsidRPr="005E779E">
        <w:rPr>
          <w:color w:val="000000" w:themeColor="text1"/>
          <w:sz w:val="16"/>
          <w:szCs w:val="16"/>
        </w:rPr>
        <w:t>:</w:t>
      </w:r>
    </w:p>
    <w:p w14:paraId="462F2F12" w14:textId="77777777" w:rsidR="003371BD" w:rsidRPr="005E779E" w:rsidRDefault="003371BD" w:rsidP="000B7A6C">
      <w:pPr>
        <w:pStyle w:val="rtejustify"/>
        <w:spacing w:before="0" w:after="0"/>
        <w:rPr>
          <w:color w:val="000000" w:themeColor="text1"/>
          <w:sz w:val="16"/>
          <w:szCs w:val="16"/>
        </w:rPr>
      </w:pPr>
      <w:r w:rsidRPr="005E779E">
        <w:rPr>
          <w:color w:val="000000" w:themeColor="text1"/>
          <w:sz w:val="16"/>
          <w:szCs w:val="16"/>
          <w:vertAlign w:val="superscript"/>
        </w:rPr>
        <w:t>1</w:t>
      </w:r>
      <w:r w:rsidRPr="005E779E">
        <w:rPr>
          <w:color w:val="000000" w:themeColor="text1"/>
          <w:sz w:val="16"/>
          <w:szCs w:val="16"/>
        </w:rPr>
        <w:t>* Опущены разделы: «Состояние производства и выполнение текущих заказов», «Обеспечение МВ</w:t>
      </w:r>
      <w:r w:rsidRPr="005E779E">
        <w:rPr>
          <w:color w:val="000000" w:themeColor="text1"/>
          <w:sz w:val="16"/>
          <w:szCs w:val="16"/>
        </w:rPr>
        <w:noBreakHyphen/>
        <w:t>10 и капитальное строительство текущего года».</w:t>
      </w:r>
    </w:p>
    <w:p w14:paraId="1B2DB09D" w14:textId="77777777" w:rsidR="003371BD" w:rsidRPr="005E779E" w:rsidRDefault="003371BD" w:rsidP="000B7A6C">
      <w:pPr>
        <w:pStyle w:val="rtejustify"/>
        <w:spacing w:before="0" w:after="0"/>
        <w:rPr>
          <w:color w:val="000000" w:themeColor="text1"/>
          <w:sz w:val="16"/>
          <w:szCs w:val="16"/>
        </w:rPr>
      </w:pPr>
      <w:r w:rsidRPr="005E779E">
        <w:rPr>
          <w:color w:val="000000" w:themeColor="text1"/>
          <w:sz w:val="16"/>
          <w:szCs w:val="16"/>
          <w:vertAlign w:val="superscript"/>
        </w:rPr>
        <w:t>2</w:t>
      </w:r>
      <w:r w:rsidRPr="005E779E">
        <w:rPr>
          <w:color w:val="000000" w:themeColor="text1"/>
          <w:sz w:val="16"/>
          <w:szCs w:val="16"/>
        </w:rPr>
        <w:t>* 1. Расчет стоимости по взрывчатым веществам взят ориентировочно, при условии постройки их при туковых комбинатах (без стоимости паросилового хозяйства и кислот). 2.350 тыс. т аммиачной селитры обеспечиваются в соответствующие годы планом развития туковой промышленности (</w:t>
      </w:r>
      <w:r w:rsidRPr="005E779E">
        <w:rPr>
          <w:rStyle w:val="af0"/>
          <w:i w:val="0"/>
          <w:color w:val="000000" w:themeColor="text1"/>
          <w:sz w:val="16"/>
          <w:szCs w:val="16"/>
        </w:rPr>
        <w:t>Прим. док</w:t>
      </w:r>
      <w:r w:rsidRPr="005E779E">
        <w:rPr>
          <w:color w:val="000000" w:themeColor="text1"/>
          <w:sz w:val="16"/>
          <w:szCs w:val="16"/>
        </w:rPr>
        <w:t>.).</w:t>
      </w:r>
    </w:p>
    <w:p w14:paraId="42DD402A" w14:textId="77777777" w:rsidR="003371BD" w:rsidRPr="005E779E" w:rsidRDefault="003371BD" w:rsidP="000B7A6C">
      <w:pPr>
        <w:pStyle w:val="rtejustify"/>
        <w:spacing w:before="0" w:after="0"/>
        <w:rPr>
          <w:color w:val="000000" w:themeColor="text1"/>
          <w:sz w:val="16"/>
          <w:szCs w:val="16"/>
        </w:rPr>
      </w:pPr>
      <w:r w:rsidRPr="005E779E">
        <w:rPr>
          <w:color w:val="000000" w:themeColor="text1"/>
          <w:sz w:val="16"/>
          <w:szCs w:val="16"/>
          <w:vertAlign w:val="superscript"/>
        </w:rPr>
        <w:t>3</w:t>
      </w:r>
      <w:r w:rsidRPr="005E779E">
        <w:rPr>
          <w:color w:val="000000" w:themeColor="text1"/>
          <w:sz w:val="16"/>
          <w:szCs w:val="16"/>
        </w:rPr>
        <w:t>* Текст поврежден</w:t>
      </w:r>
    </w:p>
    <w:p w14:paraId="3CF36FE3" w14:textId="77777777" w:rsidR="003371BD" w:rsidRPr="005E779E" w:rsidRDefault="003371BD" w:rsidP="000B7A6C">
      <w:pPr>
        <w:pStyle w:val="ae"/>
        <w:spacing w:before="0" w:after="0"/>
        <w:jc w:val="both"/>
        <w:rPr>
          <w:color w:val="000000" w:themeColor="text1"/>
          <w:sz w:val="16"/>
          <w:szCs w:val="16"/>
        </w:rPr>
      </w:pPr>
      <w:r w:rsidRPr="005E779E">
        <w:rPr>
          <w:color w:val="000000" w:themeColor="text1"/>
          <w:sz w:val="16"/>
          <w:szCs w:val="16"/>
        </w:rPr>
        <w:t>ГА РФ. Ф. Р-8418. Оп. 5. Д. 30. Л. 74—82. Подлинник.</w:t>
      </w:r>
    </w:p>
    <w:p w14:paraId="62182F21"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Архив: ГА РФ. Ф. Р-8418. Оп. 5. Д. 30. Л. 74—82. Подлинник. </w:t>
      </w:r>
    </w:p>
    <w:p w14:paraId="54D4F2C2"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Источник: Собрание узаконений и распоряжений правительства за 1917—1918 гг. Управление делами Совнаркома СССР М. 1942, стр. 568-572 (12536).</w:t>
      </w:r>
    </w:p>
    <w:p w14:paraId="0871DA4A" w14:textId="77777777" w:rsidR="003371BD" w:rsidRPr="005E779E" w:rsidRDefault="003371BD" w:rsidP="000B7A6C">
      <w:pPr>
        <w:spacing w:after="0" w:line="240" w:lineRule="auto"/>
        <w:jc w:val="both"/>
        <w:rPr>
          <w:rFonts w:ascii="Times New Roman" w:hAnsi="Times New Roman"/>
          <w:color w:val="000000" w:themeColor="text1"/>
          <w:sz w:val="16"/>
          <w:szCs w:val="16"/>
        </w:rPr>
      </w:pPr>
    </w:p>
    <w:p w14:paraId="12D00C3F" w14:textId="77777777" w:rsidR="00AD4FAD" w:rsidRPr="005E779E" w:rsidRDefault="00AD4FAD"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октября 1931 г. изготовленные в СКБ-6 ХПЗ двухбашенные танки БТ осматривали М. Тухачевский и И. Халепский. Через неделю один танк передали для испытаний обстрелом из винтовки и станкового пулемета новыми бронебойными пулями образца 1930 г. Танк успешно выдержал три обстрела, а чуть позднее два танка совершили пробег Харьков–Москва и один из них участвовал в параде на Красной площади 7 ноября 1931 г. вместе с первым полноценным танком БТ-2, несшим бутафорскую башню и макет пушки (15735).</w:t>
      </w:r>
    </w:p>
    <w:p w14:paraId="52728BAD" w14:textId="77777777" w:rsidR="00AD4FAD" w:rsidRPr="005E779E" w:rsidRDefault="00BE7680"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fldChar w:fldCharType="begin"/>
      </w:r>
      <w:r w:rsidR="00AD4FAD" w:rsidRPr="005E779E">
        <w:rPr>
          <w:rFonts w:ascii="Times New Roman" w:hAnsi="Times New Roman"/>
          <w:color w:val="000000" w:themeColor="text1"/>
          <w:sz w:val="16"/>
          <w:szCs w:val="16"/>
        </w:rPr>
        <w:instrText xml:space="preserve"> HYPERLINK "https://img-fotki.yandex.ru/get/26001/5684310.ab/0_151145_cbd7aa58_orig.jpg" \t "_blank" </w:instrText>
      </w:r>
      <w:r w:rsidRPr="005E779E">
        <w:rPr>
          <w:rFonts w:ascii="Times New Roman" w:hAnsi="Times New Roman"/>
          <w:color w:val="000000" w:themeColor="text1"/>
          <w:sz w:val="16"/>
          <w:szCs w:val="16"/>
        </w:rPr>
      </w:r>
      <w:r w:rsidRPr="005E779E">
        <w:rPr>
          <w:rFonts w:ascii="Times New Roman" w:hAnsi="Times New Roman"/>
          <w:color w:val="000000" w:themeColor="text1"/>
          <w:sz w:val="16"/>
          <w:szCs w:val="16"/>
        </w:rPr>
        <w:fldChar w:fldCharType="separate"/>
      </w:r>
    </w:p>
    <w:p w14:paraId="381CD277" w14:textId="32549CD7" w:rsidR="00446A9C" w:rsidRPr="00446A9C" w:rsidRDefault="00BE7680" w:rsidP="00446A9C">
      <w:pPr>
        <w:autoSpaceDE w:val="0"/>
        <w:autoSpaceDN w:val="0"/>
        <w:adjustRightInd w:val="0"/>
        <w:spacing w:after="0" w:line="240" w:lineRule="auto"/>
        <w:jc w:val="both"/>
        <w:rPr>
          <w:rFonts w:ascii="Times New Roman" w:hAnsi="Times New Roman"/>
          <w:i/>
          <w:iCs/>
          <w:color w:val="000000" w:themeColor="text1"/>
          <w:sz w:val="16"/>
          <w:szCs w:val="16"/>
        </w:rPr>
      </w:pPr>
      <w:r w:rsidRPr="005E779E">
        <w:rPr>
          <w:rFonts w:ascii="Times New Roman" w:hAnsi="Times New Roman"/>
          <w:color w:val="000000" w:themeColor="text1"/>
          <w:sz w:val="16"/>
          <w:szCs w:val="16"/>
        </w:rPr>
        <w:fldChar w:fldCharType="end"/>
      </w:r>
      <w:r w:rsidR="00446A9C" w:rsidRPr="00446A9C">
        <w:rPr>
          <w:rFonts w:ascii="Times New Roman" w:hAnsi="Times New Roman"/>
          <w:i/>
          <w:iCs/>
          <w:color w:val="000000" w:themeColor="text1"/>
          <w:sz w:val="16"/>
          <w:szCs w:val="16"/>
        </w:rPr>
        <w:t>Армия:</w:t>
      </w:r>
    </w:p>
    <w:p w14:paraId="44C2F3C0" w14:textId="77777777" w:rsidR="00446A9C" w:rsidRPr="00446A9C" w:rsidRDefault="00446A9C" w:rsidP="00446A9C">
      <w:pPr>
        <w:autoSpaceDE w:val="0"/>
        <w:autoSpaceDN w:val="0"/>
        <w:adjustRightInd w:val="0"/>
        <w:spacing w:after="0" w:line="240" w:lineRule="auto"/>
        <w:jc w:val="both"/>
        <w:rPr>
          <w:rFonts w:ascii="Times New Roman" w:hAnsi="Times New Roman"/>
          <w:i/>
          <w:iCs/>
          <w:color w:val="000000" w:themeColor="text1"/>
          <w:sz w:val="16"/>
          <w:szCs w:val="16"/>
        </w:rPr>
      </w:pPr>
    </w:p>
    <w:p w14:paraId="26E46D66" w14:textId="060DE266" w:rsidR="00446A9C" w:rsidRPr="00142305" w:rsidRDefault="00446A9C" w:rsidP="00446A9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10 октября 1931 г. НКО издал при</w:t>
      </w:r>
      <w:r w:rsidRPr="00142305">
        <w:rPr>
          <w:rFonts w:ascii="Times New Roman" w:hAnsi="Times New Roman"/>
          <w:color w:val="0070C0"/>
          <w:sz w:val="16"/>
          <w:szCs w:val="16"/>
        </w:rPr>
        <w:softHyphen/>
        <w:t>каз № 076 «О плохой подготовке пилотов, выпущенных 8-й школой пилотов [Одесса, подготовка морских пилотов], и объявлении строгого выговора началь</w:t>
      </w:r>
      <w:r w:rsidRPr="00142305">
        <w:rPr>
          <w:rFonts w:ascii="Times New Roman" w:hAnsi="Times New Roman"/>
          <w:color w:val="0070C0"/>
          <w:sz w:val="16"/>
          <w:szCs w:val="16"/>
        </w:rPr>
        <w:softHyphen/>
        <w:t>нику школы и командиру учебно-летной эскадрильи». В этом приказе говори</w:t>
      </w:r>
      <w:r w:rsidRPr="00142305">
        <w:rPr>
          <w:rFonts w:ascii="Times New Roman" w:hAnsi="Times New Roman"/>
          <w:color w:val="0070C0"/>
          <w:sz w:val="16"/>
          <w:szCs w:val="16"/>
        </w:rPr>
        <w:softHyphen/>
        <w:t>лось, что в июле 1931 г. 8-я школа пилотов выпустила в строевые части свою продукцию в числе 41 военного пилота. Проверкой качества подготовки этих пи</w:t>
      </w:r>
      <w:r w:rsidRPr="00142305">
        <w:rPr>
          <w:rFonts w:ascii="Times New Roman" w:hAnsi="Times New Roman"/>
          <w:color w:val="0070C0"/>
          <w:sz w:val="16"/>
          <w:szCs w:val="16"/>
        </w:rPr>
        <w:softHyphen/>
        <w:t>лотов в строевых частях установлено, что преобладающее большинство из них имеет целый ряд весьма существенных дефектов и ошибок в технике управления самолетом, в отличие от предшествующих двух выпусков, вполне удовлетвори</w:t>
      </w:r>
      <w:r w:rsidRPr="00142305">
        <w:rPr>
          <w:rFonts w:ascii="Times New Roman" w:hAnsi="Times New Roman"/>
          <w:color w:val="0070C0"/>
          <w:sz w:val="16"/>
          <w:szCs w:val="16"/>
        </w:rPr>
        <w:softHyphen/>
        <w:t>тельных в качественном отношении.</w:t>
      </w:r>
    </w:p>
    <w:p w14:paraId="24459C20" w14:textId="77777777" w:rsidR="00446A9C" w:rsidRPr="00142305" w:rsidRDefault="00446A9C" w:rsidP="00446A9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результате этой проверки Начальником ВВС РККА признано необходи</w:t>
      </w:r>
      <w:r w:rsidRPr="00142305">
        <w:rPr>
          <w:rFonts w:ascii="Times New Roman" w:hAnsi="Times New Roman"/>
          <w:color w:val="0070C0"/>
          <w:sz w:val="16"/>
          <w:szCs w:val="16"/>
        </w:rPr>
        <w:softHyphen/>
        <w:t>мым: пилотов вернуть в школу на доучивание, двух пилотов отстранить от лет</w:t>
      </w:r>
      <w:r w:rsidRPr="00142305">
        <w:rPr>
          <w:rFonts w:ascii="Times New Roman" w:hAnsi="Times New Roman"/>
          <w:color w:val="0070C0"/>
          <w:sz w:val="16"/>
          <w:szCs w:val="16"/>
        </w:rPr>
        <w:softHyphen/>
        <w:t>ной работы в ВВС из-за их полного несоответствия. Один еще до проверки раз</w:t>
      </w:r>
      <w:r w:rsidRPr="00142305">
        <w:rPr>
          <w:rFonts w:ascii="Times New Roman" w:hAnsi="Times New Roman"/>
          <w:color w:val="0070C0"/>
          <w:sz w:val="16"/>
          <w:szCs w:val="16"/>
        </w:rPr>
        <w:softHyphen/>
        <w:t>бился насмерть, вследствие ошибок в технике осуществления полета.</w:t>
      </w:r>
    </w:p>
    <w:p w14:paraId="1D8348B3" w14:textId="77777777" w:rsidR="00446A9C" w:rsidRPr="00142305" w:rsidRDefault="00446A9C" w:rsidP="00446A9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Ревовенсовет принял решение за недопустимое и безответственное отноше</w:t>
      </w:r>
      <w:r w:rsidRPr="00142305">
        <w:rPr>
          <w:rFonts w:ascii="Times New Roman" w:hAnsi="Times New Roman"/>
          <w:color w:val="0070C0"/>
          <w:sz w:val="16"/>
          <w:szCs w:val="16"/>
        </w:rPr>
        <w:softHyphen/>
        <w:t>ние к подготовке и выпуску пилотов объявить начальнику школы И. П. Антошину и командиру учебно-летной эскадрильи В. Г. Рязанову строгий выговор (24968).</w:t>
      </w:r>
    </w:p>
    <w:p w14:paraId="5088C308" w14:textId="77777777" w:rsidR="00446A9C" w:rsidRPr="00142305" w:rsidRDefault="00446A9C" w:rsidP="00446A9C">
      <w:pPr>
        <w:spacing w:after="0" w:line="240" w:lineRule="auto"/>
        <w:jc w:val="both"/>
        <w:rPr>
          <w:rFonts w:ascii="Times New Roman" w:hAnsi="Times New Roman"/>
          <w:color w:val="0070C0"/>
          <w:sz w:val="16"/>
          <w:szCs w:val="16"/>
        </w:rPr>
      </w:pPr>
    </w:p>
    <w:p w14:paraId="0F654DEF" w14:textId="29AEF91A"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3C6B7462"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15CB4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октября 1931 было принято решение о полной ликвидации частной торговли (3908,336).</w:t>
      </w:r>
    </w:p>
    <w:p w14:paraId="5C738E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8288DFA" w14:textId="77777777" w:rsidR="00FB59EB" w:rsidRPr="005E779E" w:rsidRDefault="00FB59E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октября 1931. Постановление о полной ликвидации частной торговли (18724).</w:t>
      </w:r>
    </w:p>
    <w:p w14:paraId="26DB841E" w14:textId="77777777" w:rsidR="00FB59EB" w:rsidRPr="005E779E" w:rsidRDefault="00FB59EB" w:rsidP="000B7A6C">
      <w:pPr>
        <w:spacing w:after="0" w:line="240" w:lineRule="auto"/>
        <w:jc w:val="both"/>
        <w:rPr>
          <w:rFonts w:ascii="Times New Roman" w:hAnsi="Times New Roman"/>
          <w:color w:val="000000" w:themeColor="text1"/>
          <w:sz w:val="16"/>
          <w:szCs w:val="16"/>
        </w:rPr>
      </w:pPr>
    </w:p>
    <w:p w14:paraId="4E6833A3" w14:textId="77777777" w:rsidR="00AD4FAD" w:rsidRPr="005E779E" w:rsidRDefault="00AD4FAD"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 xml:space="preserve">10 октября </w:t>
      </w:r>
      <w:r w:rsidRPr="005E779E">
        <w:rPr>
          <w:rFonts w:ascii="Times New Roman" w:hAnsi="Times New Roman"/>
          <w:color w:val="000000" w:themeColor="text1"/>
          <w:sz w:val="16"/>
          <w:szCs w:val="16"/>
        </w:rPr>
        <w:t>в 1931 году сверхдальний велопробег вдоль границ страны завершил камчатский спортсмен Глеб Травин. Стартовав во Владивостоке, он финишировал в Петропавловске-Камчатском, преодолев за три года гигантское расстояние — 85 тысяч км (14795).</w:t>
      </w:r>
    </w:p>
    <w:p w14:paraId="0E91CBA9" w14:textId="77777777" w:rsidR="00AD4FAD" w:rsidRPr="005E779E" w:rsidRDefault="00AD4FAD" w:rsidP="000B7A6C">
      <w:pPr>
        <w:spacing w:after="0" w:line="240" w:lineRule="auto"/>
        <w:jc w:val="both"/>
        <w:rPr>
          <w:rFonts w:ascii="Times New Roman" w:hAnsi="Times New Roman"/>
          <w:color w:val="000000" w:themeColor="text1"/>
          <w:sz w:val="16"/>
          <w:szCs w:val="16"/>
        </w:rPr>
      </w:pPr>
    </w:p>
    <w:p w14:paraId="0A3EC4E6" w14:textId="77777777" w:rsidR="00EC2876" w:rsidRPr="005E779E" w:rsidRDefault="00EC2876" w:rsidP="000B7A6C">
      <w:pPr>
        <w:pStyle w:val="ae"/>
        <w:shd w:val="clear" w:color="auto" w:fill="FFFFFF"/>
        <w:spacing w:before="0" w:after="0"/>
        <w:jc w:val="both"/>
        <w:rPr>
          <w:color w:val="000000" w:themeColor="text1"/>
          <w:sz w:val="16"/>
          <w:szCs w:val="16"/>
        </w:rPr>
      </w:pPr>
      <w:r w:rsidRPr="005E779E">
        <w:rPr>
          <w:color w:val="000000" w:themeColor="text1"/>
          <w:sz w:val="16"/>
          <w:szCs w:val="16"/>
        </w:rPr>
        <w:t>10 ноября 1931 года кузовная фирма Aug. Nowack A.G. из Баутцена заказала у Vickers-Armstrongs Limited первый тягач. Второй образец был заказан 12 сентября 1932 года, ещё один – 11 октября. Приобретённые машины носили регистрационные номера VAE 393, VAE 406 и VAE 407. Первая из них прибыла на полигон Куммерсдорф в январе 1932 года. Испытания показали, что Книпкамп оказался прав, и английская разработка явно больше годилась как основа для новых танков, чем отечественные немецкие разработки. К слову, приобретённые тягачи по ходовой части полностью соответствовали английскому танку-амфибии VCL 1931. Очень похожий тягач, приобретённый СССР примерно в это же время, стал основой для разработки танка-амфибии Т-33, советского аналога VCL 1931.</w:t>
      </w:r>
    </w:p>
    <w:p w14:paraId="25146F5E" w14:textId="77777777" w:rsidR="00EC2876" w:rsidRPr="005E779E" w:rsidRDefault="00EC2876" w:rsidP="000B7A6C">
      <w:pPr>
        <w:pStyle w:val="ae"/>
        <w:shd w:val="clear" w:color="auto" w:fill="FFFFFF"/>
        <w:spacing w:before="0" w:after="0"/>
        <w:jc w:val="both"/>
        <w:rPr>
          <w:color w:val="000000" w:themeColor="text1"/>
          <w:sz w:val="16"/>
          <w:szCs w:val="16"/>
        </w:rPr>
      </w:pPr>
      <w:r w:rsidRPr="005E779E">
        <w:rPr>
          <w:color w:val="000000" w:themeColor="text1"/>
          <w:sz w:val="16"/>
          <w:szCs w:val="16"/>
        </w:rPr>
        <w:t>Вместе с тем, говорить о полном копировании немцами английской разработки некорректно. Фактически с английского тягача позаимствовали общие принципы компоновки, отчасти подвеску и траки «скелетной» конструкции (17463).</w:t>
      </w:r>
    </w:p>
    <w:p w14:paraId="1C012B63" w14:textId="77777777" w:rsidR="00EC2876" w:rsidRPr="005E779E" w:rsidRDefault="00EC2876"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3EA3E51"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7C65A2F5"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22982D1"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период 11 по 23 сентября 1931 г. велись испытания И-4бис №1514</w:t>
      </w:r>
    </w:p>
    <w:p w14:paraId="6D8C88D4"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Выяснилось, что летные характеристики самолета №1514 по сравнению с серийны</w:t>
      </w:r>
      <w:r w:rsidRPr="005E779E">
        <w:rPr>
          <w:rFonts w:ascii="Times New Roman" w:hAnsi="Times New Roman"/>
          <w:color w:val="000000" w:themeColor="text1"/>
          <w:sz w:val="16"/>
          <w:szCs w:val="16"/>
        </w:rPr>
        <w:softHyphen/>
        <w:t>ми И-4 изменились мало. Благодаря исполь</w:t>
      </w:r>
      <w:r w:rsidRPr="005E779E">
        <w:rPr>
          <w:rFonts w:ascii="Times New Roman" w:hAnsi="Times New Roman"/>
          <w:color w:val="000000" w:themeColor="text1"/>
          <w:sz w:val="16"/>
          <w:szCs w:val="16"/>
        </w:rPr>
        <w:softHyphen/>
        <w:t>зованию предкрылков улучшилась попереч</w:t>
      </w:r>
      <w:r w:rsidRPr="005E779E">
        <w:rPr>
          <w:rFonts w:ascii="Times New Roman" w:hAnsi="Times New Roman"/>
          <w:color w:val="000000" w:themeColor="text1"/>
          <w:sz w:val="16"/>
          <w:szCs w:val="16"/>
        </w:rPr>
        <w:softHyphen/>
        <w:t>ная устойчивость на малых скоростях, одна</w:t>
      </w:r>
      <w:r w:rsidRPr="005E779E">
        <w:rPr>
          <w:rFonts w:ascii="Times New Roman" w:hAnsi="Times New Roman"/>
          <w:color w:val="000000" w:themeColor="text1"/>
          <w:sz w:val="16"/>
          <w:szCs w:val="16"/>
        </w:rPr>
        <w:softHyphen/>
        <w:t>ко скорость на посадке практически не из</w:t>
      </w:r>
      <w:r w:rsidRPr="005E779E">
        <w:rPr>
          <w:rFonts w:ascii="Times New Roman" w:hAnsi="Times New Roman"/>
          <w:color w:val="000000" w:themeColor="text1"/>
          <w:sz w:val="16"/>
          <w:szCs w:val="16"/>
        </w:rPr>
        <w:softHyphen/>
        <w:t>менилась. Несколько выросла полетная ско</w:t>
      </w:r>
      <w:r w:rsidRPr="005E779E">
        <w:rPr>
          <w:rFonts w:ascii="Times New Roman" w:hAnsi="Times New Roman"/>
          <w:color w:val="000000" w:themeColor="text1"/>
          <w:sz w:val="16"/>
          <w:szCs w:val="16"/>
        </w:rPr>
        <w:softHyphen/>
        <w:t>рость - до 268 км/ч, но ухудшились характе</w:t>
      </w:r>
      <w:r w:rsidRPr="005E779E">
        <w:rPr>
          <w:rFonts w:ascii="Times New Roman" w:hAnsi="Times New Roman"/>
          <w:color w:val="000000" w:themeColor="text1"/>
          <w:sz w:val="16"/>
          <w:szCs w:val="16"/>
        </w:rPr>
        <w:softHyphen/>
        <w:t>ристики штопора. Не принес удовлетворе</w:t>
      </w:r>
      <w:r w:rsidRPr="005E779E">
        <w:rPr>
          <w:rFonts w:ascii="Times New Roman" w:hAnsi="Times New Roman"/>
          <w:color w:val="000000" w:themeColor="text1"/>
          <w:sz w:val="16"/>
          <w:szCs w:val="16"/>
        </w:rPr>
        <w:softHyphen/>
        <w:t>ния и новый капот — он не обеспечивал наде</w:t>
      </w:r>
      <w:r w:rsidRPr="005E779E">
        <w:rPr>
          <w:rFonts w:ascii="Times New Roman" w:hAnsi="Times New Roman"/>
          <w:color w:val="000000" w:themeColor="text1"/>
          <w:sz w:val="16"/>
          <w:szCs w:val="16"/>
        </w:rPr>
        <w:softHyphen/>
        <w:t>жного и достаточного охлаждения двигате</w:t>
      </w:r>
      <w:r w:rsidRPr="005E779E">
        <w:rPr>
          <w:rFonts w:ascii="Times New Roman" w:hAnsi="Times New Roman"/>
          <w:color w:val="000000" w:themeColor="text1"/>
          <w:sz w:val="16"/>
          <w:szCs w:val="16"/>
        </w:rPr>
        <w:softHyphen/>
        <w:t>ля. В результате признавалось, что переделка И-4 в моноплан нецелесообразна.</w:t>
      </w:r>
    </w:p>
    <w:p w14:paraId="436A255A"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Еше одной работой ЦАГИ по усовершен</w:t>
      </w:r>
      <w:r w:rsidRPr="005E779E">
        <w:rPr>
          <w:rFonts w:ascii="Times New Roman" w:hAnsi="Times New Roman"/>
          <w:color w:val="000000" w:themeColor="text1"/>
          <w:sz w:val="16"/>
          <w:szCs w:val="16"/>
        </w:rPr>
        <w:softHyphen/>
        <w:t>ствованию И-4 стала его установка на по</w:t>
      </w:r>
      <w:r w:rsidRPr="005E779E">
        <w:rPr>
          <w:rFonts w:ascii="Times New Roman" w:hAnsi="Times New Roman"/>
          <w:color w:val="000000" w:themeColor="text1"/>
          <w:sz w:val="16"/>
          <w:szCs w:val="16"/>
        </w:rPr>
        <w:softHyphen/>
        <w:t>плавки с целью дальнейшего использования в качестве корабельного истребителя. Основ</w:t>
      </w:r>
      <w:r w:rsidRPr="005E779E">
        <w:rPr>
          <w:rFonts w:ascii="Times New Roman" w:hAnsi="Times New Roman"/>
          <w:color w:val="000000" w:themeColor="text1"/>
          <w:sz w:val="16"/>
          <w:szCs w:val="16"/>
        </w:rPr>
        <w:softHyphen/>
        <w:t>ной причиной указанной деятельности стало приобретение в октябре 1929 года в Англии нескольких комплектов поплавков фирмы «Шорт». Поплавки предназначались в пер</w:t>
      </w:r>
      <w:r w:rsidRPr="005E779E">
        <w:rPr>
          <w:rFonts w:ascii="Times New Roman" w:hAnsi="Times New Roman"/>
          <w:color w:val="000000" w:themeColor="text1"/>
          <w:sz w:val="16"/>
          <w:szCs w:val="16"/>
        </w:rPr>
        <w:softHyphen/>
        <w:t>вую очередь для бомбардировщиков ТБ-1а и разведчиков Р-ба, однако скоро на основе их конструкции и гидродинамики в ЦАГИ спроектировали поплавки для АНТ-10, АНТ- 9 и даже для ТБ-3. Для И-4 на основе англий</w:t>
      </w:r>
      <w:r w:rsidRPr="005E779E">
        <w:rPr>
          <w:rFonts w:ascii="Times New Roman" w:hAnsi="Times New Roman"/>
          <w:color w:val="000000" w:themeColor="text1"/>
          <w:sz w:val="16"/>
          <w:szCs w:val="16"/>
        </w:rPr>
        <w:softHyphen/>
        <w:t>ских образцов разработали и в середине 1931 г. изготовили цельнометаллические поплав</w:t>
      </w:r>
      <w:r w:rsidRPr="005E779E">
        <w:rPr>
          <w:rFonts w:ascii="Times New Roman" w:hAnsi="Times New Roman"/>
          <w:color w:val="000000" w:themeColor="text1"/>
          <w:sz w:val="16"/>
          <w:szCs w:val="16"/>
        </w:rPr>
        <w:softHyphen/>
        <w:t>ки со следующими размерами: длина 6,415 м, ширина 770 мм, высота 673 мм, длина носо</w:t>
      </w:r>
      <w:r w:rsidRPr="005E779E">
        <w:rPr>
          <w:rFonts w:ascii="Times New Roman" w:hAnsi="Times New Roman"/>
          <w:color w:val="000000" w:themeColor="text1"/>
          <w:sz w:val="16"/>
          <w:szCs w:val="16"/>
        </w:rPr>
        <w:softHyphen/>
        <w:t>вой части до редана 3,365 м. Поначалу пред</w:t>
      </w:r>
      <w:r w:rsidRPr="005E779E">
        <w:rPr>
          <w:rFonts w:ascii="Times New Roman" w:hAnsi="Times New Roman"/>
          <w:color w:val="000000" w:themeColor="text1"/>
          <w:sz w:val="16"/>
          <w:szCs w:val="16"/>
        </w:rPr>
        <w:softHyphen/>
        <w:t>лагалось установить на эти поплавки один из истребителей 29-й эскадрильи, базирующей</w:t>
      </w:r>
      <w:r w:rsidRPr="005E779E">
        <w:rPr>
          <w:rFonts w:ascii="Times New Roman" w:hAnsi="Times New Roman"/>
          <w:color w:val="000000" w:themeColor="text1"/>
          <w:sz w:val="16"/>
          <w:szCs w:val="16"/>
        </w:rPr>
        <w:softHyphen/>
        <w:t>ся в Евпатории. Однако в ЦАГИ использова</w:t>
      </w:r>
      <w:r w:rsidRPr="005E779E">
        <w:rPr>
          <w:rFonts w:ascii="Times New Roman" w:hAnsi="Times New Roman"/>
          <w:color w:val="000000" w:themeColor="text1"/>
          <w:sz w:val="16"/>
          <w:szCs w:val="16"/>
        </w:rPr>
        <w:softHyphen/>
        <w:t>ли один из серийных самолетов, полученных из НИИ ВВС. Согласно документам АГОС ЦАГИ оборудование поплавками должно было закончиться до 10 июля 1931 года. Од</w:t>
      </w:r>
      <w:r w:rsidRPr="005E779E">
        <w:rPr>
          <w:rFonts w:ascii="Times New Roman" w:hAnsi="Times New Roman"/>
          <w:color w:val="000000" w:themeColor="text1"/>
          <w:sz w:val="16"/>
          <w:szCs w:val="16"/>
        </w:rPr>
        <w:softHyphen/>
        <w:t>нако сведений о завершении работ не обна</w:t>
      </w:r>
      <w:r w:rsidRPr="005E779E">
        <w:rPr>
          <w:rFonts w:ascii="Times New Roman" w:hAnsi="Times New Roman"/>
          <w:color w:val="000000" w:themeColor="text1"/>
          <w:sz w:val="16"/>
          <w:szCs w:val="16"/>
        </w:rPr>
        <w:softHyphen/>
        <w:t>ружено. Очевидно, что летом 1931 года пред</w:t>
      </w:r>
      <w:r w:rsidRPr="005E779E">
        <w:rPr>
          <w:rFonts w:ascii="Times New Roman" w:hAnsi="Times New Roman"/>
          <w:color w:val="000000" w:themeColor="text1"/>
          <w:sz w:val="16"/>
          <w:szCs w:val="16"/>
        </w:rPr>
        <w:softHyphen/>
        <w:t>ставители морской авиации от обладания ма</w:t>
      </w:r>
      <w:r w:rsidRPr="005E779E">
        <w:rPr>
          <w:rFonts w:ascii="Times New Roman" w:hAnsi="Times New Roman"/>
          <w:color w:val="000000" w:themeColor="text1"/>
          <w:sz w:val="16"/>
          <w:szCs w:val="16"/>
        </w:rPr>
        <w:softHyphen/>
        <w:t>леньким поплавковым истребителем с недо</w:t>
      </w:r>
      <w:r w:rsidRPr="005E779E">
        <w:rPr>
          <w:rFonts w:ascii="Times New Roman" w:hAnsi="Times New Roman"/>
          <w:color w:val="000000" w:themeColor="text1"/>
          <w:sz w:val="16"/>
          <w:szCs w:val="16"/>
        </w:rPr>
        <w:softHyphen/>
        <w:t>статочной мореходностью решили отказать</w:t>
      </w:r>
      <w:r w:rsidRPr="005E779E">
        <w:rPr>
          <w:rFonts w:ascii="Times New Roman" w:hAnsi="Times New Roman"/>
          <w:color w:val="000000" w:themeColor="text1"/>
          <w:sz w:val="16"/>
          <w:szCs w:val="16"/>
        </w:rPr>
        <w:softHyphen/>
        <w:t>ся. Вероятнее всего на принятие решения по</w:t>
      </w:r>
      <w:r w:rsidRPr="005E779E">
        <w:rPr>
          <w:rFonts w:ascii="Times New Roman" w:hAnsi="Times New Roman"/>
          <w:color w:val="000000" w:themeColor="text1"/>
          <w:sz w:val="16"/>
          <w:szCs w:val="16"/>
        </w:rPr>
        <w:softHyphen/>
        <w:t>влиял двухлетний опыт эксплуатации летаю</w:t>
      </w:r>
      <w:r w:rsidRPr="005E779E">
        <w:rPr>
          <w:rFonts w:ascii="Times New Roman" w:hAnsi="Times New Roman"/>
          <w:color w:val="000000" w:themeColor="text1"/>
          <w:sz w:val="16"/>
          <w:szCs w:val="16"/>
        </w:rPr>
        <w:softHyphen/>
        <w:t>щих лодок КР-1 (Хейнкель НЭ.55).</w:t>
      </w:r>
    </w:p>
    <w:p w14:paraId="5A27BCBE"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Еще одной работой 1931 года стала уста</w:t>
      </w:r>
      <w:r w:rsidRPr="005E779E">
        <w:rPr>
          <w:rFonts w:ascii="Times New Roman" w:hAnsi="Times New Roman"/>
          <w:color w:val="000000" w:themeColor="text1"/>
          <w:sz w:val="16"/>
          <w:szCs w:val="16"/>
        </w:rPr>
        <w:softHyphen/>
        <w:t>новка под крылом И-4 выливных авиацион</w:t>
      </w:r>
      <w:r w:rsidRPr="005E779E">
        <w:rPr>
          <w:rFonts w:ascii="Times New Roman" w:hAnsi="Times New Roman"/>
          <w:color w:val="000000" w:themeColor="text1"/>
          <w:sz w:val="16"/>
          <w:szCs w:val="16"/>
        </w:rPr>
        <w:softHyphen/>
        <w:t>ных приборов ВАП-4. Однако первые поле</w:t>
      </w:r>
      <w:r w:rsidRPr="005E779E">
        <w:rPr>
          <w:rFonts w:ascii="Times New Roman" w:hAnsi="Times New Roman"/>
          <w:color w:val="000000" w:themeColor="text1"/>
          <w:sz w:val="16"/>
          <w:szCs w:val="16"/>
        </w:rPr>
        <w:softHyphen/>
        <w:t>ты, проведенные в августе того года, показали, что ВАПы цепляют за землю, поэтому ис</w:t>
      </w:r>
      <w:r w:rsidRPr="005E779E">
        <w:rPr>
          <w:rFonts w:ascii="Times New Roman" w:hAnsi="Times New Roman"/>
          <w:color w:val="000000" w:themeColor="text1"/>
          <w:sz w:val="16"/>
          <w:szCs w:val="16"/>
        </w:rPr>
        <w:softHyphen/>
        <w:t>пользование небольшого истребителя в каче</w:t>
      </w:r>
      <w:r w:rsidRPr="005E779E">
        <w:rPr>
          <w:rFonts w:ascii="Times New Roman" w:hAnsi="Times New Roman"/>
          <w:color w:val="000000" w:themeColor="text1"/>
          <w:sz w:val="16"/>
          <w:szCs w:val="16"/>
        </w:rPr>
        <w:softHyphen/>
        <w:t>стве «химического» самолета не состоялось.</w:t>
      </w:r>
    </w:p>
    <w:p w14:paraId="4180B711"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экспериментам, в которых участвова</w:t>
      </w:r>
      <w:r w:rsidRPr="005E779E">
        <w:rPr>
          <w:rFonts w:ascii="Times New Roman" w:hAnsi="Times New Roman"/>
          <w:color w:val="000000" w:themeColor="text1"/>
          <w:sz w:val="16"/>
          <w:szCs w:val="16"/>
        </w:rPr>
        <w:softHyphen/>
        <w:t>ли И-4, следует отнести опыты с ракетны</w:t>
      </w:r>
      <w:r w:rsidRPr="005E779E">
        <w:rPr>
          <w:rFonts w:ascii="Times New Roman" w:hAnsi="Times New Roman"/>
          <w:color w:val="000000" w:themeColor="text1"/>
          <w:sz w:val="16"/>
          <w:szCs w:val="16"/>
        </w:rPr>
        <w:softHyphen/>
        <w:t>ми двигателями для ускорения взлета. Дея</w:t>
      </w:r>
      <w:r w:rsidRPr="005E779E">
        <w:rPr>
          <w:rFonts w:ascii="Times New Roman" w:hAnsi="Times New Roman"/>
          <w:color w:val="000000" w:themeColor="text1"/>
          <w:sz w:val="16"/>
          <w:szCs w:val="16"/>
        </w:rPr>
        <w:softHyphen/>
        <w:t>тельность по установке ракетных ускорите</w:t>
      </w:r>
      <w:r w:rsidRPr="005E779E">
        <w:rPr>
          <w:rFonts w:ascii="Times New Roman" w:hAnsi="Times New Roman"/>
          <w:color w:val="000000" w:themeColor="text1"/>
          <w:sz w:val="16"/>
          <w:szCs w:val="16"/>
        </w:rPr>
        <w:softHyphen/>
        <w:t>лей велась в 1934 году под руководством В.М. Мясишева. Во время испытаний отмечалось увеличение полетной скорости истребителя на 25 км/ч (12295).</w:t>
      </w:r>
    </w:p>
    <w:p w14:paraId="01FBCC30" w14:textId="77777777" w:rsidR="003371BD" w:rsidRPr="005E779E" w:rsidRDefault="003371BD" w:rsidP="000B7A6C">
      <w:pPr>
        <w:spacing w:after="0" w:line="240" w:lineRule="auto"/>
        <w:jc w:val="both"/>
        <w:rPr>
          <w:rFonts w:ascii="Times New Roman" w:hAnsi="Times New Roman"/>
          <w:color w:val="000000" w:themeColor="text1"/>
          <w:sz w:val="16"/>
          <w:szCs w:val="16"/>
        </w:rPr>
      </w:pPr>
    </w:p>
    <w:p w14:paraId="33D50C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октября 1931 состоялся первый полет Сталь-2 - шестиместного с Райт 300 нр, выпущенного на строящемся заводе 81 (92,439). Летал Э.И.Шварц (420,74). По другим данным, строили в мастерских НИИ ГВФ (438,629).</w:t>
      </w:r>
    </w:p>
    <w:p w14:paraId="0F3D2F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воспоминаниям А.И.Путилова - Я.Г.Пауль</w:t>
      </w:r>
    </w:p>
    <w:p w14:paraId="3950BF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Решили строить специальный завод 81 для серии и производство Сталь-2 началось с июля 1933 (80,370).</w:t>
      </w:r>
    </w:p>
    <w:p w14:paraId="69C836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Летал на ЦА (271,127).</w:t>
      </w:r>
    </w:p>
    <w:p w14:paraId="40E68A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9D55C10" w14:textId="77777777" w:rsidR="0075626C" w:rsidRPr="005E779E" w:rsidRDefault="0075626C" w:rsidP="000B7A6C">
      <w:pPr>
        <w:spacing w:after="0" w:line="240" w:lineRule="auto"/>
        <w:jc w:val="both"/>
        <w:rPr>
          <w:rFonts w:ascii="Times New Roman" w:hAnsi="Times New Roman"/>
          <w:color w:val="000000" w:themeColor="text1"/>
          <w:sz w:val="16"/>
          <w:szCs w:val="16"/>
          <w:lang w:eastAsia="ru-RU" w:bidi="ru-RU"/>
        </w:rPr>
      </w:pPr>
      <w:r w:rsidRPr="005E779E">
        <w:rPr>
          <w:rFonts w:ascii="Times New Roman" w:hAnsi="Times New Roman"/>
          <w:color w:val="000000" w:themeColor="text1"/>
          <w:sz w:val="16"/>
          <w:szCs w:val="16"/>
          <w:lang w:eastAsia="ru-RU" w:bidi="ru-RU"/>
        </w:rPr>
        <w:t>11 ок</w:t>
      </w:r>
      <w:r w:rsidRPr="005E779E">
        <w:rPr>
          <w:rFonts w:ascii="Times New Roman" w:hAnsi="Times New Roman"/>
          <w:color w:val="000000" w:themeColor="text1"/>
          <w:sz w:val="16"/>
          <w:szCs w:val="16"/>
          <w:lang w:eastAsia="ru-RU" w:bidi="ru-RU"/>
        </w:rPr>
        <w:softHyphen/>
        <w:t>тября 1931 состоялся первый полет Сталь-2. Летал Эдуард Иванович Шварц, который оценил полетные данные нового самоле</w:t>
      </w:r>
      <w:r w:rsidRPr="005E779E">
        <w:rPr>
          <w:rFonts w:ascii="Times New Roman" w:hAnsi="Times New Roman"/>
          <w:color w:val="000000" w:themeColor="text1"/>
          <w:sz w:val="16"/>
          <w:szCs w:val="16"/>
          <w:lang w:eastAsia="ru-RU" w:bidi="ru-RU"/>
        </w:rPr>
        <w:softHyphen/>
        <w:t>та как вполне удовлетворительные. Очевидно, что сам факт первого полета представили пе</w:t>
      </w:r>
      <w:r w:rsidRPr="005E779E">
        <w:rPr>
          <w:rFonts w:ascii="Times New Roman" w:hAnsi="Times New Roman"/>
          <w:color w:val="000000" w:themeColor="text1"/>
          <w:sz w:val="16"/>
          <w:szCs w:val="16"/>
          <w:lang w:eastAsia="ru-RU" w:bidi="ru-RU"/>
        </w:rPr>
        <w:softHyphen/>
        <w:t>ред высшим руководством как значительное достижение советской науки и промышленности (20365).</w:t>
      </w:r>
    </w:p>
    <w:p w14:paraId="4939B5EB" w14:textId="77777777" w:rsidR="0075626C" w:rsidRPr="005E779E" w:rsidRDefault="0075626C" w:rsidP="000B7A6C">
      <w:pPr>
        <w:spacing w:after="0" w:line="240" w:lineRule="auto"/>
        <w:jc w:val="both"/>
        <w:rPr>
          <w:rFonts w:ascii="Times New Roman" w:hAnsi="Times New Roman"/>
          <w:color w:val="000000" w:themeColor="text1"/>
          <w:sz w:val="16"/>
          <w:szCs w:val="16"/>
          <w:lang w:eastAsia="ru-RU" w:bidi="ru-RU"/>
        </w:rPr>
      </w:pPr>
    </w:p>
    <w:p w14:paraId="674EC4F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октября-1931 г. с Московского центрального аэродрома летчик-испытатель НИИ ГВФ Э.И.Шварц совершил первый полет на самолете Сталь-2. Через некоторое время этот самолет демонстрировался на Парижском авиационном салоне, где к нему лен большой интерес со стороны авиационных специалистов. Сталь-2 был запущен в серийное производство и мно-ода эксплуатировался на воздушных линиях СССР (11114).</w:t>
      </w:r>
    </w:p>
    <w:p w14:paraId="53E65C6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73586C" w14:textId="77777777" w:rsidR="00AD4FAD" w:rsidRPr="005E779E" w:rsidRDefault="00AD4FAD"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11 октября 1931 года</w:t>
      </w:r>
      <w:r w:rsidRPr="005E779E">
        <w:rPr>
          <w:rFonts w:ascii="Times New Roman" w:hAnsi="Times New Roman"/>
          <w:color w:val="000000" w:themeColor="text1"/>
          <w:sz w:val="16"/>
          <w:szCs w:val="16"/>
        </w:rPr>
        <w:t xml:space="preserve"> Первый полет самолета из нержавеющей стали «Сталь-2» конструкции А.И.Путилова (НИИ ГВФ), пилот Эдуард Иванович Шварц. Первый испытательный полёт самолёт (прототип) совершил с двигателем Wright J-6-7. Самолет "Сталь-2" получил высокую оценку на XIV международной выставке в Париже, имел большой успех и был назван "Русское Чудо Страны Советов" (14796).</w:t>
      </w:r>
    </w:p>
    <w:p w14:paraId="2F13F6E2" w14:textId="77777777" w:rsidR="00AD4FAD" w:rsidRPr="005E779E" w:rsidRDefault="00AD4FAD" w:rsidP="000B7A6C">
      <w:pPr>
        <w:spacing w:after="0" w:line="240" w:lineRule="auto"/>
        <w:jc w:val="both"/>
        <w:rPr>
          <w:rFonts w:ascii="Times New Roman" w:hAnsi="Times New Roman"/>
          <w:color w:val="000000" w:themeColor="text1"/>
          <w:sz w:val="16"/>
          <w:szCs w:val="16"/>
        </w:rPr>
      </w:pPr>
    </w:p>
    <w:p w14:paraId="2BF319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октября 1931 года НИИ ГВФ выпустил в полет первый советский цельностальной самолет из нержавеющей стали электросварной конструкции "Сталь-2", который по производственным и летным качествам не только не уступал, но и превосходил достижения техники наиболее передовых капиталистических стран. Крылья самолета "Сталь-2" имели вес 7,6 кг на 1 кв. м по сравнению с 9-10 кг веса на кв. м обычных почтово-пассажирских машинах, что давало разницу в 25% в сторону облегчения …(7752, 63-65).</w:t>
      </w:r>
    </w:p>
    <w:p w14:paraId="28192A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65768DE" w14:textId="77777777" w:rsidR="00446A9C" w:rsidRPr="00142305" w:rsidRDefault="00446A9C" w:rsidP="00446A9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11 октября 1931 года был испытан самолет «Сталь-2», запущенный в серийное производство на еще строившемся тогда заводе № 81. В 1933 году туда же было переведено и ОКБ А.И. Путилова (25168).</w:t>
      </w:r>
    </w:p>
    <w:p w14:paraId="325EBA22" w14:textId="77777777" w:rsidR="00446A9C" w:rsidRPr="00142305" w:rsidRDefault="00446A9C" w:rsidP="00446A9C">
      <w:pPr>
        <w:spacing w:after="0" w:line="240" w:lineRule="auto"/>
        <w:jc w:val="both"/>
        <w:rPr>
          <w:rFonts w:ascii="Times New Roman" w:hAnsi="Times New Roman"/>
          <w:color w:val="0070C0"/>
          <w:sz w:val="16"/>
          <w:szCs w:val="16"/>
        </w:rPr>
      </w:pPr>
    </w:p>
    <w:p w14:paraId="771767A4" w14:textId="77777777" w:rsidR="00446A9C" w:rsidRPr="00142305" w:rsidRDefault="00446A9C" w:rsidP="00446A9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11 октября 1931 г. состоялся первый полёт Сталь-2. Машину, собранную в опытных мастерских НИИ ГВФ, пилотировал лётчик-испытатель Э. И. Шварц. Пилот отметил «исключительную лёгкость отделения самолёта от земли и быстрый набор высоты», хорошую маневренность, значительный диапазон скоростей и большой запас мощности мотора, что выделяло машину «в первые ряды». За создание самолёта главный конструктор А. И. Путилов, руководство НИИ ГВФ и ВВА были награждены денежными премиями.</w:t>
      </w:r>
    </w:p>
    <w:p w14:paraId="57EFEEBF" w14:textId="39A3E273" w:rsidR="00446A9C" w:rsidRPr="00142305" w:rsidRDefault="00446A9C" w:rsidP="00446A9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Серийные самолёты «Сталь-2» строились на заводе № 81 в подмосковном Тушине (впоследствии</w:t>
      </w:r>
      <w:r w:rsidR="00FE094E">
        <w:rPr>
          <w:rFonts w:ascii="Times New Roman" w:hAnsi="Times New Roman"/>
          <w:color w:val="0070C0"/>
          <w:sz w:val="16"/>
          <w:szCs w:val="16"/>
        </w:rPr>
        <w:t xml:space="preserve"> </w:t>
      </w:r>
      <w:r w:rsidRPr="00142305">
        <w:rPr>
          <w:rFonts w:ascii="Times New Roman" w:hAnsi="Times New Roman"/>
          <w:color w:val="0070C0"/>
          <w:sz w:val="16"/>
          <w:szCs w:val="16"/>
        </w:rPr>
        <w:t>– Тушинский машиностроительный завод). Всего было построено 111 самолётов (1933–1935) (25616).</w:t>
      </w:r>
    </w:p>
    <w:p w14:paraId="2AA6EC15" w14:textId="77777777" w:rsidR="00446A9C" w:rsidRPr="00142305" w:rsidRDefault="00446A9C" w:rsidP="00446A9C">
      <w:pPr>
        <w:spacing w:after="0" w:line="240" w:lineRule="auto"/>
        <w:jc w:val="both"/>
        <w:rPr>
          <w:rFonts w:ascii="Times New Roman" w:hAnsi="Times New Roman"/>
          <w:color w:val="0070C0"/>
          <w:sz w:val="16"/>
          <w:szCs w:val="16"/>
        </w:rPr>
      </w:pPr>
    </w:p>
    <w:p w14:paraId="68867D65" w14:textId="77777777" w:rsidR="003371BD"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0A856A08" w14:textId="77777777" w:rsidR="003371BD" w:rsidRPr="005E779E" w:rsidRDefault="003371BD"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B415C52"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11 октября 1931 </w:t>
      </w:r>
      <w:r w:rsidRPr="005E779E">
        <w:rPr>
          <w:rFonts w:ascii="Times New Roman" w:hAnsi="Times New Roman"/>
          <w:color w:val="000000" w:themeColor="text1"/>
          <w:sz w:val="16"/>
          <w:szCs w:val="16"/>
        </w:rPr>
        <w:t>СНК принял постановление «О порядке приемки новых предприятий» (12265).</w:t>
      </w:r>
    </w:p>
    <w:p w14:paraId="557F7E18"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1715436D"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25C864DF"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3D282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октября 1931 было принято решение о полной ликвидации частной торговли (1348,199).</w:t>
      </w:r>
    </w:p>
    <w:p w14:paraId="0DDD7B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4E300F4" w14:textId="77777777" w:rsidR="00AD4FAD" w:rsidRPr="005E779E" w:rsidRDefault="00AD4FAD"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 xml:space="preserve">11 октября </w:t>
      </w:r>
      <w:r w:rsidRPr="005E779E">
        <w:rPr>
          <w:rFonts w:ascii="Times New Roman" w:hAnsi="Times New Roman"/>
          <w:color w:val="000000" w:themeColor="text1"/>
          <w:sz w:val="16"/>
          <w:szCs w:val="16"/>
        </w:rPr>
        <w:t xml:space="preserve">в 1931 году в СССР принято решение о полной ликвидации частной торговли. Экономический и политический кризис, охватившие страну при «военном коммунизме», заставили политическое руководство искать выхода из них. Переход от «военного коммунизма» к «новой экономической политике» (НЭП) был провозглашен Х съездом российской коммунистической партии в марте 1921 года. Первоначальная идея перехода была сформулирована в работах В.И.Ленина 1921-1923 годов: конечная цель остается прежней - социализм, но положение России после гражданской войны диктует необходимость прибегнуть к «реформистскому» </w:t>
      </w:r>
      <w:r w:rsidRPr="005E779E">
        <w:rPr>
          <w:rFonts w:ascii="Times New Roman" w:hAnsi="Times New Roman"/>
          <w:color w:val="000000" w:themeColor="text1"/>
          <w:sz w:val="16"/>
          <w:szCs w:val="16"/>
        </w:rPr>
        <w:lastRenderedPageBreak/>
        <w:t>методу действий в коренных вопросах экономического строительства. Вместо прямой и полной ломки старого строя, проводившейся в годы «военного коммунизма», большевиками был предпринят «реформистский» подход: не ломать старый общественно-экономический уклад - торговлю, мелкое хозяйство, мелкое предпринимательство, а осторожно и постепенно овладевать ими и получить возможность подвергать их государственному регулированию. Предлагалось временно отступить от достигнутых «военно-коммунистических» завоеваний, сделать шаг назад с тем, чтобы набраться сил для скачка к социализму. Основные меры, проведенные в рамках НЭП - продразверстка заменена продовольственным налогом, легализовалась свободная торговля, частные лица получили право заниматься кустарными промыслами и открывать промышленные предприятия с числом рабочих до ста. Мелкие национализированные предприятия возвращались прежним владельцам. В 1922 году было признано право на аренду земли и использование наемного труда, отменена система трудовых повинностей и трудовых мобилизаций. Натуральная оплата труда заменена денежной, был учрежден новый государственный банк и восстановлена система банков. НЭП привела к быстрому оживлению экономики. Появившаяся у крестьян экономическая заинтересованность в производстве сельскохозяйственной продукции позволила быстро насытить рынок продовольствием и преодолеть последствия голодных лет «военного коммунизма». Однако уже на раннем этапе НЭП (1921-1923) признание роли рынка сочеталось с мерами по его упразднению. Рыночные методы регулирования экономики в нэповской России сочетались с внеэкономическими, с административным вмешательством. Партийно-государственные верхи не хотели реформ и были озабочены тем, что частный сектор получит преимущество перед государственным. Охваченные боязнью НЭП, они принимали меры по его дискредитации. Официальная пропаганда всячески третировала частника, в общественном сознании формировался образ «нэпмана» как эксплуататора, классового врага. С середины 1920-х годов меры по сдерживанию развития НЭП сменились курсом на его свертывание. Демонтаж НЭП начался негласно, сначала мерами по налоговому удушению частного сектора, затем лишению его правовых гарантий. При этом на всех партийных форумах провозглашалась верность «новой экономической политике». 27 декабря 1929 года в речи на конференции историков-марксистов Сталин заявлял: «Если мы придерживаемся НЭП, это потому, что она служит делу социализма. А когда она перестанет служить делу социализма, мы новую экономическую политику отбросим к черту». В конце 1920-х годов, посчитав, что новая экономическая политика перестала служить социализму, сталинское руководство ее отбросило. Была отменена частная торговля (кроме колхозных ранков). Все частные магазины были национализированы В ходе ликвидации так называемых «эксплуататорских классов» деревенскую «буржуазию» (кулаков) «раскулачивали», конфисковали все ее имущество, ссылали в Сибирь, а «остатки городской буржуазии» - предпринимателей, занимавшихся частной торговлей, ремеслом и продажей своих изделий («нэпманов»), а также членов их семей лишали политических прав («лишенцы»); многих подвергали судебным преследованиям. Но официальный запрет не смог окончательно выдавить негосударственную торговлю из общественной жизни. Теневая экономика долго еще оставалась характерной чертой советской действительности (14796).</w:t>
      </w:r>
    </w:p>
    <w:p w14:paraId="13A83AD4" w14:textId="77777777" w:rsidR="00AD4FAD" w:rsidRPr="005E779E" w:rsidRDefault="00AD4FAD" w:rsidP="000B7A6C">
      <w:pPr>
        <w:spacing w:after="0" w:line="240" w:lineRule="auto"/>
        <w:jc w:val="both"/>
        <w:rPr>
          <w:rFonts w:ascii="Times New Roman" w:hAnsi="Times New Roman"/>
          <w:color w:val="000000" w:themeColor="text1"/>
          <w:sz w:val="16"/>
          <w:szCs w:val="16"/>
        </w:rPr>
      </w:pPr>
    </w:p>
    <w:p w14:paraId="18ECE498" w14:textId="77777777" w:rsidR="0075626C" w:rsidRPr="005E779E" w:rsidRDefault="0075626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октября 1931 года в СССР принято решение о полной ликвидации частной торговли. Развертывание коллективизации бедняцко-середняцкого крестьянства и переход в конце 1929 г. от политики ограничения и вытеснения кулачества к политике его ликвидации как класса на базе сплошной коллективизации нанесли последний удар частному капиталу. В 1930 г. удельный вес частника в товарообороте снизился до 5,6%, а в 1931 г. сошел на нет. Торговля в СССР вступила тем самым в новую полосу развития — в полосу развертывания советской торговли. «Если торговля на первой стадии нэпа, — говорил товарищ Сталин на январском (1933 г.) пленуме ЦК ВКП(б), — допускала оживление капитализма и функционирование частно-капиталистического сектора в товарообороте, то советская торговля исходит из отрицания как того, так и другого. Что такое советская торговля? Советская торговля есть торговля без капиталистов — малых и больших, торговля без спекулянтов — малых и больших. Это особого рода торговля, которой не знала до сих пор история и которую практикуем только мы, большевики, в условиях советского развития» [Сталин, Вопросы ленинизма, изд. 11-е, стр. 390.].</w:t>
      </w:r>
    </w:p>
    <w:p w14:paraId="530A50CB" w14:textId="77777777" w:rsidR="0075626C" w:rsidRPr="005E779E" w:rsidRDefault="0075626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Индивидуальная торговля трудящихся — единоличников и колхозников — на протяжении нэпа никогда не запрещалась. Так, еще 15 марта 1930 г., учитывая имевшие кое-где место перегибы, Центральный Комитет партии в письме ко всем ЦК нацкомпартий, краевым, областным, окружным и районным комитетам партии «О борьбе с искривлениями партлинии в колхозном движении» обязывает местные парторганизации: «Воспретить закрытие рынков, восстановить базары и не стеснять продажу крестьянами, в том числе колхозниками, своих продуктов на рынке» [«Директивы ВКП(б) по хозяйственным вопросам», стр. 680.] (21166).</w:t>
      </w:r>
    </w:p>
    <w:p w14:paraId="4DCA50B7" w14:textId="77777777" w:rsidR="0075626C" w:rsidRPr="005E779E" w:rsidRDefault="0075626C" w:rsidP="000B7A6C">
      <w:pPr>
        <w:spacing w:after="0" w:line="240" w:lineRule="auto"/>
        <w:jc w:val="both"/>
        <w:rPr>
          <w:rFonts w:ascii="Times New Roman" w:hAnsi="Times New Roman"/>
          <w:color w:val="000000" w:themeColor="text1"/>
          <w:sz w:val="16"/>
          <w:szCs w:val="16"/>
        </w:rPr>
      </w:pPr>
    </w:p>
    <w:p w14:paraId="37E594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октября 1931 началось строительство Беломорканала им И.В.С. (1348,199).</w:t>
      </w:r>
    </w:p>
    <w:p w14:paraId="7D82E3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17127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октября 1931 во время посещения А.М.Г. вместе с В.М.М. и К.Е.В. И.В.С, прослушав Девушку и смерть произнес: "Эта штука посильнее, чем Фауст Гете" (3481).</w:t>
      </w:r>
    </w:p>
    <w:p w14:paraId="0CF3AB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B04A460" w14:textId="77777777" w:rsidR="00AD4FAD" w:rsidRPr="005E779E" w:rsidRDefault="00AD4FAD"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 xml:space="preserve">11 октября </w:t>
      </w:r>
      <w:r w:rsidRPr="005E779E">
        <w:rPr>
          <w:rFonts w:ascii="Times New Roman" w:hAnsi="Times New Roman"/>
          <w:color w:val="000000" w:themeColor="text1"/>
          <w:sz w:val="16"/>
          <w:szCs w:val="16"/>
        </w:rPr>
        <w:t>в 1931 году в гости к Максиму Горькому пожаловали Иосиф Виссарионович, Вячеслав Михайлович и Климент Ефремович. "Буревестник революции" читал им сказку "Девушка и смерть". Выслушав автора до конца, Сталин задумался, а потом взял книгу и написал на ней: "Эта штука сильнее, чем "Фауст" Гете. Любовь побеждает смерть". Вскоре после этого в СССР появился анекдот: "Узнав об оценке, которую Иосиф Виссарионович дал сказке Горького, литературовед член-корреспондент Академии наук Еголин начал разрабатывать новую тему: "Штука как жанр советской литературы" (14796).</w:t>
      </w:r>
    </w:p>
    <w:p w14:paraId="7C22FC05" w14:textId="77777777" w:rsidR="00AD4FAD" w:rsidRPr="005E779E" w:rsidRDefault="00AD4FAD" w:rsidP="000B7A6C">
      <w:pPr>
        <w:spacing w:after="0" w:line="240" w:lineRule="auto"/>
        <w:jc w:val="both"/>
        <w:rPr>
          <w:rFonts w:ascii="Times New Roman" w:hAnsi="Times New Roman"/>
          <w:color w:val="000000" w:themeColor="text1"/>
          <w:sz w:val="16"/>
          <w:szCs w:val="16"/>
        </w:rPr>
      </w:pPr>
    </w:p>
    <w:p w14:paraId="652B437A"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47C87C4E"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155A6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11 сентября 1931 г. D.33-02 с тем же экипажем повторил попытку связать воздушным мостом Париж и Токио. 12 сентября, спустя 22 часа с момента взлета, в сложнейших метеоусловиях, летчики потеряли контроль над управлением и приняли решение покинуть самолет. На этот раз парашютом воспользовался Доре. Ле Бри и Месмин погибли под обломками самолета, упавшего недалеко от Уфы (11941). </w:t>
      </w:r>
    </w:p>
    <w:p w14:paraId="7DD352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F0FC9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11-12 октября 1931 в Германии Стальной шлем, Немецкая национальная народная партия Германии, Содружество патриотических союзов и НСП объединились в Харцбургский фронт для демонстрации единства народной оппозиции правительству Генриха Брюнинга (3186).</w:t>
      </w:r>
    </w:p>
    <w:p w14:paraId="0BC4ED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CDC7FCC"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521F6DD4"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AC54B1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октября 1931 в НИИ ВВС начался второй этап испытания И5 № 18 (образец для серии) с другим мотором М15 № 24109 и с тем же винтом.</w:t>
      </w:r>
    </w:p>
    <w:p w14:paraId="1DDF5CF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Результаты испытания (образца для серии) самолета И5 № 18 с мотором М15</w:t>
      </w:r>
    </w:p>
    <w:p w14:paraId="1CFF64B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Выводы были сделаны на основании двух разновременных испытаний одного и того же самолета.</w:t>
      </w:r>
    </w:p>
    <w:p w14:paraId="0CC7EEF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Первый раз испытывался самолет И5 № 18 с мотором М15 № 6. Испытание было начато 30 июля 1931 года и прервано 15 августа 1931 года из-за поломки рамы моторной установки. Самолет И5 № 18 после ремонта вторично был предъявлен для испытания 10 октября 1931 года с другим мотором М15 № 24109 и с тем же винтом.</w:t>
      </w:r>
    </w:p>
    <w:p w14:paraId="6D283B5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И5 № 18 построен по типу серийных самолетов, т.е. отдельные части самолета изготовлялись на заводах №№ 39, 1 и 22, а вся сборка самолета произведена заводом № 39.</w:t>
      </w:r>
    </w:p>
    <w:p w14:paraId="3B78A9B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сообщению завода № 39 данный самолет в сравнении с И5 Юп VI усилен ………….</w:t>
      </w:r>
    </w:p>
    <w:p w14:paraId="1F13546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Цель испытаний</w:t>
      </w:r>
    </w:p>
    <w:p w14:paraId="4399D07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 период с 12 декабря 1930 года по 1 февраля 1931 года и с 6 мая 1931 года по 15 июня 1931 года испытывался самолет И5 № 3 с мотором М15. Этот самолет не имел целого ряда деталей, требующихся для установки вооружения и оборудования и имел конструкцию (капотаж, моторы, установка пулеметов) отличную от предполагаемой в серийной постройке, поэтому полученные летные данные не могли быть показаны для серийных самолетов И5-М15. Установка вооружения на самолете И5 № 3 носила макетный характер, вследствие чего вооружение не могло быть испытано. Поэтому заводом № 39 был дан на испытание в НИИ ВВС другой самолет И5 № 18 с мотором М15, который должен быть принят как образец для серии. Данный самолет мог быть испытан только в отношении летных данных, так как вооружение его не было отлажено (при заводских испытаниях был отмечен перегрев верхних пулеметов и трещины у трубы нижних пулеметов) и правые пулеметы не имели левых приемников.</w:t>
      </w:r>
    </w:p>
    <w:p w14:paraId="7EDFC91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 самолета И5-М15 отличается от вооружения самолета И5-ЮпVI тем, что верхние пулеметы разнесены на 40 мм больше и у нижних пулеметов поставлены трубы.</w:t>
      </w:r>
    </w:p>
    <w:p w14:paraId="6A3238F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Ход испытания</w:t>
      </w:r>
    </w:p>
    <w:p w14:paraId="23C1469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 период первого испытания самолет И5 № 18 произвел следующие полеты:</w:t>
      </w:r>
    </w:p>
    <w:p w14:paraId="48BE9C7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 июля 1931 года – полет на определение скороподъемности и горизонтальных скоростей на высотах 5000, 4000, 2000, 1000 м –45 минут</w:t>
      </w:r>
    </w:p>
    <w:p w14:paraId="5384B01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августа 1931 года – полет с целью определения скороподъемности, потолка и горизонтальных скоростей на высотах 7000, 6000, 5000 м. Определение расхода горючего на высоте 5000 м – 2 часа 5 минут</w:t>
      </w:r>
    </w:p>
    <w:p w14:paraId="2463FA5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августа 1931 года – полет на управляемость на 5000 и 3000 м. Определение расхода горючего на высоте 3000 м – 2 часа 20 минут</w:t>
      </w:r>
    </w:p>
    <w:p w14:paraId="2A876D8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 время второго испытания произведены следующие полеты:</w:t>
      </w:r>
    </w:p>
    <w:p w14:paraId="2881243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октября 1931 года - полет на управляемость и фигуры на высоте 1000 м. Полет с целью определения горизонтальных скоростей на высоте 100 м – 1 час 30 минут</w:t>
      </w:r>
    </w:p>
    <w:p w14:paraId="7D58165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Испытание прервано из-за поломки самолета при вынужденной посадке. Вынужденная посадка произошла вследствие прекращения подачи бензина.</w:t>
      </w:r>
    </w:p>
    <w:p w14:paraId="375E142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Заключение</w:t>
      </w:r>
    </w:p>
    <w:p w14:paraId="2F38AC8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основании произведенных испытаний можно установить, что самолет И5 при постановке на него мотора М15 в серийной постройке будет иметь как худшие летные данные, так и меньший радиус действия, чем с мотором ЮпVI (6964, 32-40).</w:t>
      </w:r>
    </w:p>
    <w:p w14:paraId="2C3FC15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D53167A" w14:textId="77777777" w:rsidR="00B64565" w:rsidRPr="005E779E" w:rsidRDefault="00B645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октября 1931 г. состоялся первый испытательный полет пассажирского самолета ”Сталь-2” конструкции инженера Александра Ивановича Путилова. “Сталь-2" - подкосный пятиместный высокоплан с мотором 300 л.с. Особенность самолета - построен из нержавеющей стали с применением электросварки н клепки впотай. Его данные: размах – 16 м, площадь крыла - 31 м2; вес конструкции - 1100 кг; полетный вес - 1800 кг; скорость - 174 км/ч; дальность полета - 770 км. Самолет построен мастерскими ГВФ, испытание проводил летчик НИИ ГВФ Эдуард Иванович Шварц.</w:t>
      </w:r>
    </w:p>
    <w:p w14:paraId="1791F6A7" w14:textId="77777777" w:rsidR="00B64565" w:rsidRPr="005E779E" w:rsidRDefault="00B6456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/«Гражданская авиация», 1931 № 11, стр. 13-14; ВВФ, 1931 № 12/ (23370).</w:t>
      </w:r>
    </w:p>
    <w:p w14:paraId="55B01E36" w14:textId="77777777" w:rsidR="00B64565" w:rsidRPr="005E779E" w:rsidRDefault="00B64565" w:rsidP="000B7A6C">
      <w:pPr>
        <w:spacing w:after="0" w:line="240" w:lineRule="auto"/>
        <w:jc w:val="both"/>
        <w:rPr>
          <w:rFonts w:ascii="Times New Roman" w:hAnsi="Times New Roman"/>
          <w:color w:val="000000" w:themeColor="text1"/>
          <w:sz w:val="16"/>
          <w:szCs w:val="16"/>
        </w:rPr>
      </w:pPr>
    </w:p>
    <w:p w14:paraId="24E9CC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октября 1931 года КО внесла постановление, обязывающее ГВФ построить в 1932 году 100 самолетов из нержавеющей стали посредством применения метода электросварки по типу недавно выпущенного нами первого в мире самолета "Сталь-2"……(7752, 73).</w:t>
      </w:r>
    </w:p>
    <w:p w14:paraId="3847C7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A3FBA5A" w14:textId="77777777" w:rsidR="0075626C" w:rsidRPr="005E779E" w:rsidRDefault="0075626C" w:rsidP="000B7A6C">
      <w:pPr>
        <w:spacing w:after="0" w:line="240" w:lineRule="auto"/>
        <w:jc w:val="both"/>
        <w:rPr>
          <w:rFonts w:ascii="Times New Roman" w:hAnsi="Times New Roman"/>
          <w:color w:val="000000" w:themeColor="text1"/>
          <w:sz w:val="16"/>
          <w:szCs w:val="16"/>
          <w:lang w:eastAsia="ru-RU" w:bidi="ru-RU"/>
        </w:rPr>
      </w:pPr>
      <w:r w:rsidRPr="005E779E">
        <w:rPr>
          <w:rFonts w:ascii="Times New Roman" w:hAnsi="Times New Roman"/>
          <w:color w:val="000000" w:themeColor="text1"/>
          <w:sz w:val="16"/>
          <w:szCs w:val="16"/>
          <w:lang w:eastAsia="ru-RU" w:bidi="ru-RU"/>
        </w:rPr>
        <w:t>12 октября 1931 года на заседании Комитета обороны (КО) было внесено постановление, обязывающее ГВФ построить в 1932 году 100 самолетов Сталь-2 из нержа</w:t>
      </w:r>
      <w:r w:rsidRPr="005E779E">
        <w:rPr>
          <w:rFonts w:ascii="Times New Roman" w:hAnsi="Times New Roman"/>
          <w:color w:val="000000" w:themeColor="text1"/>
          <w:sz w:val="16"/>
          <w:szCs w:val="16"/>
          <w:lang w:eastAsia="ru-RU" w:bidi="ru-RU"/>
        </w:rPr>
        <w:softHyphen/>
        <w:t>веющей стали. Понятно, что изготовление серии на опыт</w:t>
      </w:r>
      <w:r w:rsidRPr="005E779E">
        <w:rPr>
          <w:rFonts w:ascii="Times New Roman" w:hAnsi="Times New Roman"/>
          <w:color w:val="000000" w:themeColor="text1"/>
          <w:sz w:val="16"/>
          <w:szCs w:val="16"/>
          <w:lang w:eastAsia="ru-RU" w:bidi="ru-RU"/>
        </w:rPr>
        <w:softHyphen/>
        <w:t>ном производстве НИИ ГВФ на Ходынке представлялось не возможным и во исполнение постановления, был разработан проект по</w:t>
      </w:r>
      <w:r w:rsidRPr="005E779E">
        <w:rPr>
          <w:rFonts w:ascii="Times New Roman" w:hAnsi="Times New Roman"/>
          <w:color w:val="000000" w:themeColor="text1"/>
          <w:sz w:val="16"/>
          <w:szCs w:val="16"/>
          <w:lang w:eastAsia="ru-RU" w:bidi="ru-RU"/>
        </w:rPr>
        <w:softHyphen/>
        <w:t>стройки упрощенного заво</w:t>
      </w:r>
      <w:r w:rsidRPr="005E779E">
        <w:rPr>
          <w:rFonts w:ascii="Times New Roman" w:hAnsi="Times New Roman"/>
          <w:color w:val="000000" w:themeColor="text1"/>
          <w:sz w:val="16"/>
          <w:szCs w:val="16"/>
          <w:lang w:eastAsia="ru-RU" w:bidi="ru-RU"/>
        </w:rPr>
        <w:softHyphen/>
        <w:t>да (в барачных помещениях); проект технологического про</w:t>
      </w:r>
      <w:r w:rsidRPr="005E779E">
        <w:rPr>
          <w:rFonts w:ascii="Times New Roman" w:hAnsi="Times New Roman"/>
          <w:color w:val="000000" w:themeColor="text1"/>
          <w:sz w:val="16"/>
          <w:szCs w:val="16"/>
          <w:lang w:eastAsia="ru-RU" w:bidi="ru-RU"/>
        </w:rPr>
        <w:softHyphen/>
        <w:t>цесса этого завода и схема его оборудования. Исполь</w:t>
      </w:r>
      <w:r w:rsidRPr="005E779E">
        <w:rPr>
          <w:rFonts w:ascii="Times New Roman" w:hAnsi="Times New Roman"/>
          <w:color w:val="000000" w:themeColor="text1"/>
          <w:sz w:val="16"/>
          <w:szCs w:val="16"/>
          <w:lang w:eastAsia="ru-RU" w:bidi="ru-RU"/>
        </w:rPr>
        <w:softHyphen/>
        <w:t>зовалось (но не прижилось) название: завод стальных са</w:t>
      </w:r>
      <w:r w:rsidRPr="005E779E">
        <w:rPr>
          <w:rFonts w:ascii="Times New Roman" w:hAnsi="Times New Roman"/>
          <w:color w:val="000000" w:themeColor="text1"/>
          <w:sz w:val="16"/>
          <w:szCs w:val="16"/>
          <w:lang w:eastAsia="ru-RU" w:bidi="ru-RU"/>
        </w:rPr>
        <w:softHyphen/>
        <w:t>молетов «Авиасталь».</w:t>
      </w:r>
      <w:r w:rsidRPr="005E779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lang w:eastAsia="ru-RU" w:bidi="ru-RU"/>
        </w:rPr>
        <w:t>Место для постройки определили вблизи села Тушино под Москвой. Участок, выбран</w:t>
      </w:r>
      <w:r w:rsidRPr="005E779E">
        <w:rPr>
          <w:rFonts w:ascii="Times New Roman" w:hAnsi="Times New Roman"/>
          <w:color w:val="000000" w:themeColor="text1"/>
          <w:sz w:val="16"/>
          <w:szCs w:val="16"/>
          <w:lang w:eastAsia="ru-RU" w:bidi="ru-RU"/>
        </w:rPr>
        <w:softHyphen/>
        <w:t>ный для строительства, пред</w:t>
      </w:r>
      <w:r w:rsidRPr="005E779E">
        <w:rPr>
          <w:rFonts w:ascii="Times New Roman" w:hAnsi="Times New Roman"/>
          <w:color w:val="000000" w:themeColor="text1"/>
          <w:sz w:val="16"/>
          <w:szCs w:val="16"/>
          <w:lang w:eastAsia="ru-RU" w:bidi="ru-RU"/>
        </w:rPr>
        <w:softHyphen/>
        <w:t>ставлял собой сплошной лес</w:t>
      </w:r>
      <w:r w:rsidRPr="005E779E">
        <w:rPr>
          <w:rFonts w:ascii="Times New Roman" w:hAnsi="Times New Roman"/>
          <w:color w:val="000000" w:themeColor="text1"/>
          <w:sz w:val="16"/>
          <w:szCs w:val="16"/>
          <w:lang w:eastAsia="ru-RU" w:bidi="ru-RU"/>
        </w:rPr>
        <w:softHyphen/>
        <w:t>ной массив, поначалу там не было даже дорог. Тем не ме</w:t>
      </w:r>
      <w:r w:rsidRPr="005E779E">
        <w:rPr>
          <w:rFonts w:ascii="Times New Roman" w:hAnsi="Times New Roman"/>
          <w:color w:val="000000" w:themeColor="text1"/>
          <w:sz w:val="16"/>
          <w:szCs w:val="16"/>
          <w:lang w:eastAsia="ru-RU" w:bidi="ru-RU"/>
        </w:rPr>
        <w:softHyphen/>
        <w:t>нее, строительство началось зимой 1932-го и через 3,5 месяца, 5 мая тушинский за</w:t>
      </w:r>
      <w:r w:rsidRPr="005E779E">
        <w:rPr>
          <w:rFonts w:ascii="Times New Roman" w:hAnsi="Times New Roman"/>
          <w:color w:val="000000" w:themeColor="text1"/>
          <w:sz w:val="16"/>
          <w:szCs w:val="16"/>
          <w:lang w:eastAsia="ru-RU" w:bidi="ru-RU"/>
        </w:rPr>
        <w:softHyphen/>
        <w:t>вод вступил в строй. Понача</w:t>
      </w:r>
      <w:r w:rsidRPr="005E779E">
        <w:rPr>
          <w:rFonts w:ascii="Times New Roman" w:hAnsi="Times New Roman"/>
          <w:color w:val="000000" w:themeColor="text1"/>
          <w:sz w:val="16"/>
          <w:szCs w:val="16"/>
          <w:lang w:eastAsia="ru-RU" w:bidi="ru-RU"/>
        </w:rPr>
        <w:softHyphen/>
        <w:t>лу предприятие определя</w:t>
      </w:r>
      <w:r w:rsidRPr="005E779E">
        <w:rPr>
          <w:rFonts w:ascii="Times New Roman" w:hAnsi="Times New Roman"/>
          <w:color w:val="000000" w:themeColor="text1"/>
          <w:sz w:val="16"/>
          <w:szCs w:val="16"/>
          <w:lang w:eastAsia="ru-RU" w:bidi="ru-RU"/>
        </w:rPr>
        <w:softHyphen/>
        <w:t>лось как авиаремонтный завод АРЗ №62 ГВФ. С таким названием он существовал па</w:t>
      </w:r>
      <w:r w:rsidRPr="005E779E">
        <w:rPr>
          <w:rFonts w:ascii="Times New Roman" w:hAnsi="Times New Roman"/>
          <w:color w:val="000000" w:themeColor="text1"/>
          <w:sz w:val="16"/>
          <w:szCs w:val="16"/>
          <w:lang w:eastAsia="ru-RU" w:bidi="ru-RU"/>
        </w:rPr>
        <w:softHyphen/>
        <w:t>ру лет, затем его стали именовать как авиазавод №81 им. В.М.Молотова, а в 1936 году завод передали из ГВФ в нар</w:t>
      </w:r>
      <w:r w:rsidRPr="005E779E">
        <w:rPr>
          <w:rFonts w:ascii="Times New Roman" w:hAnsi="Times New Roman"/>
          <w:color w:val="000000" w:themeColor="text1"/>
          <w:sz w:val="16"/>
          <w:szCs w:val="16"/>
          <w:lang w:eastAsia="ru-RU" w:bidi="ru-RU"/>
        </w:rPr>
        <w:softHyphen/>
        <w:t>комат оборонной</w:t>
      </w:r>
      <w:r w:rsidRPr="005E779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lang w:eastAsia="ru-RU" w:bidi="ru-RU"/>
        </w:rPr>
        <w:t>промышленности (НКОП) (20365).</w:t>
      </w:r>
    </w:p>
    <w:p w14:paraId="69DCD92C" w14:textId="77777777" w:rsidR="0075626C" w:rsidRPr="005E779E" w:rsidRDefault="0075626C" w:rsidP="000B7A6C">
      <w:pPr>
        <w:spacing w:after="0" w:line="240" w:lineRule="auto"/>
        <w:jc w:val="both"/>
        <w:rPr>
          <w:rFonts w:ascii="Times New Roman" w:hAnsi="Times New Roman"/>
          <w:color w:val="000000" w:themeColor="text1"/>
          <w:sz w:val="16"/>
          <w:szCs w:val="16"/>
        </w:rPr>
      </w:pPr>
    </w:p>
    <w:p w14:paraId="34C05335"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5144D4F2"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8AA26B2" w14:textId="04C6FC8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октября 1931 г. завод (ГС завод № 184 ИМ. Серго НКОП, НКБ, МОП, п/я 1, Паратский сталелитейный завод, Волжско-Ижорский металлургический завод, Завод им. Серго НКТП, МОП, ММ, ПО «Завод им. Серго» ММ, ГУЛ «Зеленодольское ПО «Завод им. Серго» Росбоеприпаса, ФГУП «Производственное объединение «Завод им. Серго» (ПОЗИС) /г. Паратск,</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Зеленодольск/ /Татарстан 422546</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Зеленодольск ул. Привокзальная, 4 тел. 53-664/) официально вступил в строй, в этом же году ему присвоено имя Серго (в честь С. Орджоникидзе).</w:t>
      </w:r>
    </w:p>
    <w:p w14:paraId="129B72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октября 1930 г. в соответствии с пост. Президиума ВСНХ № 1304 началась реконструкция завода и восстановление производства пушечных гильз.</w:t>
      </w:r>
    </w:p>
    <w:p w14:paraId="707AD731" w14:textId="2CB04C4B"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марте 1922 г. на Паратском заводе (ГС завод № 184 ИМ. Серго НКОП, НКБ, МОП, п/я 1, Паратский сталелитейный завод, Волжско-Ижорский металлургический завод, Завод им. Серго НКТП, МОП, ММ, ПО «Завод им. Серго» ММ, ГУЛ «Зеленодольское ПО «Завод им. Серго» Росбоеприпаса, ФГУП «Производственное объединение «Завод им. Серго» (ПОЗИС) /г. Паратск,</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Зеленодольск/ /Татарстан 422546</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Зеленодольск ул. Привокзальная, 4 тел. 53-664/) сданы в эксплуатацию металлургический и прокатный станы, получены первые латунные полуфабрикаты и начато производство гильз калибра 120.. .150 мм. Но в 1923-26 г. производство было остановлено.</w:t>
      </w:r>
    </w:p>
    <w:p w14:paraId="339E59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 НКОГ1 № Обсс от 30.12.1936 г. Завод им. Серго переименован в завод № 184 им. Серго, в 02.1937 г. - в ведении 4ГУ. Приказом НКОП № 91 от 13.03.1937 г. утвержден Устав ГС завода № 184. По пр. НКОП № 0180 от 15.08.1937 г. завод передан из 4ГУ в новое 14ГУ.</w:t>
      </w:r>
      <w:r w:rsidRPr="005E779E">
        <w:rPr>
          <w:rFonts w:ascii="Times New Roman" w:hAnsi="Times New Roman"/>
          <w:color w:val="000000" w:themeColor="text1"/>
          <w:sz w:val="16"/>
          <w:szCs w:val="16"/>
          <w:vertAlign w:val="superscript"/>
        </w:rPr>
        <w:t>139</w:t>
      </w:r>
      <w:r w:rsidRPr="005E779E">
        <w:rPr>
          <w:rFonts w:ascii="Times New Roman" w:hAnsi="Times New Roman"/>
          <w:color w:val="000000" w:themeColor="text1"/>
          <w:sz w:val="16"/>
          <w:szCs w:val="16"/>
        </w:rPr>
        <w:t xml:space="preserve"> В 02.1939 г. завод № 184 21ГУ НКОП передан в ведение 21ГУ НКБ. В 12.1942-09.1944 г. - в ведении 5ГУ НКБ.</w:t>
      </w:r>
    </w:p>
    <w:p w14:paraId="5CE60A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Приказом НКОП № 0025 от 4.02.1937 г. заводу предписано к 1.01.1938 г. создать мощности по выпуску орудийных гильз - 20 млн. шт. в год. Приказом НКОП № 0079 от 15.04.1937 г. заводу предписано с 15.05.1937 г. начать производство патронных гильз из неплакированного железа; изготовить опытную партию 45-мм железных гильз. Приказом № 275 от 4.08.1937 г. предписано ввести в эксплуатацию к 1.01.1938 г. металлургический цех в составе электролитейного, прокатного и вырубного отделений; пр. № 97сс от 19.03.1938 г. требовалось ввести 1-ю очередь металлургического цеха к 1.06.1938 г. По пр. № 254 от 29.06.1938 г. была создана комиссия для установления правильности выбора площадки и необходимости реконструкции завода.</w:t>
      </w:r>
    </w:p>
    <w:p w14:paraId="0037F0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Приказом № 0223 от 28.09.1937 г. заводу была установлена программа по выпуску в 1938 г. 205 станков и 10 спецмашин.</w:t>
      </w:r>
    </w:p>
    <w:p w14:paraId="7D0882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годы войны продолжен выпуск гильз и зарядов для малокалиберных автоматических пушек. Распоряжением ГКО № 7194 от 23.12.1944 г. заводу уменьшен план по выпуску орудийных гильз.</w:t>
      </w:r>
    </w:p>
    <w:p w14:paraId="4A72B692" w14:textId="0602390A"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1946-50 г. завод перешел на выпуск станков, чугунного литья, запчастей для сельхозтехники. В 1950-х</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продолжен выпуск гильз и снарядов. В 1960-е</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освоено производство 23-мм патронов со снарядами: ИК-помех, противолокационными, многоэлементными.</w:t>
      </w:r>
    </w:p>
    <w:p w14:paraId="2DD2D2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1959 г. завод одним из первых в стране освоил выпуск бытовых холодильников.</w:t>
      </w:r>
    </w:p>
    <w:p w14:paraId="0BE58C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 184 - в ведении МОП (1953 г.). Имел наименование «п/я 1» (1950-66 г.)</w:t>
      </w:r>
    </w:p>
    <w:p w14:paraId="004333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МОП от 13.01.1966 г. для ускорения внедрения новых изделий в серию на заводе создано СКБ, руководитель которого одновременно был зам. гл. конструктора ГНПП «Прибор».</w:t>
      </w:r>
    </w:p>
    <w:p w14:paraId="2D23EE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ММ № 162 от 5.05.1977 г. завод преобразован в ПО «Завод им. Серго». По Указу Президента РФ № 1009 от 4.08.2004 г. вошел в число стратегических оборонных предприятий.</w:t>
      </w:r>
    </w:p>
    <w:p w14:paraId="56933A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Численность персонала (конец 1901 г.)- около 800 чел., (1902 г.)- около 200 чел., (12.1942 г.)- 5006 чел.</w:t>
      </w:r>
      <w:r w:rsidRPr="005E779E">
        <w:rPr>
          <w:rFonts w:ascii="Times New Roman" w:hAnsi="Times New Roman"/>
          <w:color w:val="000000" w:themeColor="text1"/>
          <w:sz w:val="16"/>
          <w:szCs w:val="16"/>
          <w:vertAlign w:val="superscript"/>
        </w:rPr>
        <w:t>132</w:t>
      </w:r>
    </w:p>
    <w:p w14:paraId="6934138C" w14:textId="702BCE7C"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(02.1935-7.06.1937 г.)- М.В. Хруничев, (7.06.1937-9.02.1938 г.)-</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Г.И. Волошинов, (9.02.1938 г.-)- В.В. Сытин, (6.12.1941-43 г.)- А.В. Саханицкий, (1943 г.-)- Г.И. Рудаков. Гендиректор (2002 г.)- О.В. Филиппов,</w:t>
      </w:r>
      <w:r w:rsidRPr="005E779E">
        <w:rPr>
          <w:rFonts w:ascii="Times New Roman" w:hAnsi="Times New Roman"/>
          <w:color w:val="000000" w:themeColor="text1"/>
          <w:sz w:val="16"/>
          <w:szCs w:val="16"/>
          <w:vertAlign w:val="superscript"/>
        </w:rPr>
        <w:t>69</w:t>
      </w:r>
      <w:r w:rsidRPr="005E779E">
        <w:rPr>
          <w:rFonts w:ascii="Times New Roman" w:hAnsi="Times New Roman"/>
          <w:color w:val="000000" w:themeColor="text1"/>
          <w:sz w:val="16"/>
          <w:szCs w:val="16"/>
        </w:rPr>
        <w:t xml:space="preserve"> (1998- 2006 г.-)- Р.Ш. Хасанов.</w:t>
      </w:r>
    </w:p>
    <w:p w14:paraId="0DDEE0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 строительства (-7.06.1937 г.)- М.В. Хруничев. Зам. директора (-29.05.1937 г.)- С.З. Довконт (снят), (8.03.1938 г.-)- Н.В. Мартынов. Помощник директора по найму и увольнению (31.12.1938 г.-)- М.В. Бычков. Зам. Гендиректора по экспорту (2002 г.)- К. Г. Насифуллин.</w:t>
      </w:r>
    </w:p>
    <w:p w14:paraId="3A5414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инженер (1935-37; 8.03.1938 г.-)- Н.В. Мартынов, (-29.04.1937 г.)- С.З. Довконт (снят).</w:t>
      </w:r>
    </w:p>
    <w:p w14:paraId="469CC1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энергетик (-1935 г.)- Н.В. Мартынов.</w:t>
      </w:r>
    </w:p>
    <w:p w14:paraId="06C541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Начальники цехов: энергоцеха (1934 г.-)- Н.В. Мартынов. Производство: гильзы: латунные 37-мм для пушек «Гочкис», «Виккерс» (1930-е), 20-мм, 45-мм (1930-е), «ЗИК» (1950-е); стальные 85-мм (1950-е), 57-мм (1960-е); патроны: для авиационных пулеметов и пушек НС-37, НС-45 (ВОВ), для пушек НР-23, АМ-23, Р-23, ЗУ-23 (1950-е), 261-ПН, 291-П, НН-30, НР-30 (1960-е), АО-18, ГШ-30, ГШ-301, ГШ-6-30, ГШ-23, ГШ-6-23, 2А7, 2А14, 2А42, 2А72, 2А38 (2000-е); для охотничьего оружия (1993-); заряды для авиационных пушек калибра 23-, 30-мм, для морских пушек;</w:t>
      </w:r>
      <w:r w:rsidRPr="005E779E">
        <w:rPr>
          <w:rFonts w:ascii="Times New Roman" w:hAnsi="Times New Roman"/>
          <w:color w:val="000000" w:themeColor="text1"/>
          <w:sz w:val="16"/>
          <w:szCs w:val="16"/>
          <w:vertAlign w:val="superscript"/>
        </w:rPr>
        <w:t>69</w:t>
      </w:r>
      <w:r w:rsidRPr="005E779E">
        <w:rPr>
          <w:rFonts w:ascii="Times New Roman" w:hAnsi="Times New Roman"/>
          <w:color w:val="000000" w:themeColor="text1"/>
          <w:sz w:val="16"/>
          <w:szCs w:val="16"/>
        </w:rPr>
        <w:t xml:space="preserve"> пиропатроны (24 вида) для авиационно-космических катапульт ПК-7Т, ПК-ЗМ, ПК-5-2, ПК-4-1, ПК-8М, ЕПК-28-6, кресел К-36; глубинные бомбы Б-30 (1950-е); выстрелы к 40-мм гранатомету ВОГ-25 (1980-е-2000-е);</w:t>
      </w:r>
      <w:r w:rsidRPr="005E779E">
        <w:rPr>
          <w:rFonts w:ascii="Times New Roman" w:hAnsi="Times New Roman"/>
          <w:color w:val="000000" w:themeColor="text1"/>
          <w:sz w:val="16"/>
          <w:szCs w:val="16"/>
          <w:vertAlign w:val="superscript"/>
        </w:rPr>
        <w:t>101</w:t>
      </w:r>
      <w:r w:rsidRPr="005E779E">
        <w:rPr>
          <w:rFonts w:ascii="Times New Roman" w:hAnsi="Times New Roman"/>
          <w:color w:val="000000" w:themeColor="text1"/>
          <w:sz w:val="16"/>
          <w:szCs w:val="16"/>
        </w:rPr>
        <w:t xml:space="preserve"> автоматическая роторная линия ДСП-116 (1976-77)-4;</w:t>
      </w:r>
    </w:p>
    <w:p w14:paraId="586CCB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холодильники: «Мир» ДХ-120 (1959-), «Свияга» (1971-), "</w:t>
      </w:r>
      <w:r w:rsidRPr="005E779E">
        <w:rPr>
          <w:rFonts w:ascii="Times New Roman" w:hAnsi="Times New Roman"/>
          <w:color w:val="000000" w:themeColor="text1"/>
          <w:sz w:val="16"/>
          <w:szCs w:val="16"/>
          <w:lang w:val="en-US"/>
        </w:rPr>
        <w:t>POZIS</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Premier</w:t>
      </w:r>
      <w:r w:rsidRPr="005E779E">
        <w:rPr>
          <w:rFonts w:ascii="Times New Roman" w:hAnsi="Times New Roman"/>
          <w:color w:val="000000" w:themeColor="text1"/>
          <w:sz w:val="16"/>
          <w:szCs w:val="16"/>
        </w:rPr>
        <w:t xml:space="preserve"> (2003-), -</w:t>
      </w:r>
      <w:r w:rsidRPr="005E779E">
        <w:rPr>
          <w:rFonts w:ascii="Times New Roman" w:hAnsi="Times New Roman"/>
          <w:color w:val="000000" w:themeColor="text1"/>
          <w:sz w:val="16"/>
          <w:szCs w:val="16"/>
          <w:lang w:val="en-US"/>
        </w:rPr>
        <w:t>Classic</w:t>
      </w:r>
      <w:r w:rsidRPr="005E779E">
        <w:rPr>
          <w:rFonts w:ascii="Times New Roman" w:hAnsi="Times New Roman"/>
          <w:color w:val="000000" w:themeColor="text1"/>
          <w:sz w:val="16"/>
          <w:szCs w:val="16"/>
        </w:rPr>
        <w:t>, -</w:t>
      </w:r>
      <w:r w:rsidRPr="005E779E">
        <w:rPr>
          <w:rFonts w:ascii="Times New Roman" w:hAnsi="Times New Roman"/>
          <w:color w:val="000000" w:themeColor="text1"/>
          <w:sz w:val="16"/>
          <w:szCs w:val="16"/>
          <w:lang w:val="en-US"/>
        </w:rPr>
        <w:t>ELECTROFROST</w:t>
      </w:r>
      <w:r w:rsidRPr="005E779E">
        <w:rPr>
          <w:rFonts w:ascii="Times New Roman" w:hAnsi="Times New Roman"/>
          <w:color w:val="000000" w:themeColor="text1"/>
          <w:sz w:val="16"/>
          <w:szCs w:val="16"/>
        </w:rPr>
        <w:t>- 148 (2005-), -МИР-244 (2005-)"; изотермические автофургоны для МО на шасси ГАЭ-3307, ГАЗ-ЗЗО8, КАМАЗ- 43501 (1997-); изотермический прицеп-фургон ПФИ-5; изотермические камеры КИ-1, КИ-1Д-2, КР-1, КИ-02М; реанимационно-эвакуационный автомобиль на шасси ГАЗ-3308 (2005); стиральная машина «Свияга» (1990-е); амортизаторы для легковых автомобилей (1991-) (11982).</w:t>
      </w:r>
    </w:p>
    <w:p w14:paraId="60CD3DE0" w14:textId="77777777" w:rsidR="00AD4FAD" w:rsidRPr="005E779E" w:rsidRDefault="00AD4FAD" w:rsidP="000B7A6C">
      <w:pPr>
        <w:autoSpaceDE w:val="0"/>
        <w:autoSpaceDN w:val="0"/>
        <w:adjustRightInd w:val="0"/>
        <w:spacing w:after="0" w:line="240" w:lineRule="auto"/>
        <w:jc w:val="both"/>
        <w:rPr>
          <w:rFonts w:ascii="Times New Roman" w:hAnsi="Times New Roman"/>
          <w:color w:val="000000" w:themeColor="text1"/>
          <w:sz w:val="16"/>
          <w:szCs w:val="16"/>
        </w:rPr>
      </w:pPr>
    </w:p>
    <w:p w14:paraId="00C3C10B" w14:textId="77777777" w:rsidR="00446A9C" w:rsidRPr="00142305" w:rsidRDefault="00446A9C" w:rsidP="00446A9C">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С 12 сентября 1931 г. по 15 декабря 1931 г. первая 76-мм система МПК, которая прибыла на НИАП без мотоцикла, была испытана 109 выстрелами зарядом 0,95 кг ленточного пороха ПКО. Снаряды: бронебойный весом 3,5 кг и осколочный весом 4,575 кг с 22-секундной трубкой.</w:t>
      </w:r>
    </w:p>
    <w:p w14:paraId="70D1787E" w14:textId="77777777" w:rsidR="00446A9C" w:rsidRPr="00142305" w:rsidRDefault="00446A9C" w:rsidP="00446A9C">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В ходе испытаний на НИАПе выяснилось, что максимальный угол стрельбы с мотоцикла составлял +37°40′. При стрельбе бронебойным снарядом весом 3,5 кг 40-мм цементированная броневая плита с расстояния 1000 м по нормали не пробивалась, 30-мм цементированная плита с расстояния 1000 м проламывалась при целом снаряде.</w:t>
      </w:r>
    </w:p>
    <w:p w14:paraId="2F086E24" w14:textId="77777777" w:rsidR="00446A9C" w:rsidRPr="00142305" w:rsidRDefault="00446A9C" w:rsidP="00446A9C">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76-мм МПК проходила войсковые испытания в июле 1932 г. в Московской Пролетарской стрелковой дивизии и 4-й кавалерийской дивизии. Результаты удовлетворительные. Пушка при выстреле подпрыгивала. Затвор заедал вследствие неполного сгорания пороха.</w:t>
      </w:r>
    </w:p>
    <w:p w14:paraId="71761D89" w14:textId="77777777" w:rsidR="00446A9C" w:rsidRPr="00142305" w:rsidRDefault="00446A9C" w:rsidP="00446A9C">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На вооружение система не принята ввиду малой проходимости мотоцикла. («Харлей Давидсон» проектировался как полицейский мотоцикл с мощным двигателем, но обладал малой проходимостью).</w:t>
      </w:r>
    </w:p>
    <w:p w14:paraId="5B581564" w14:textId="77777777" w:rsidR="00446A9C" w:rsidRPr="00142305" w:rsidRDefault="00446A9C" w:rsidP="00446A9C">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На 1932 г. заводу № 7 выдали заказ на 25 МПК. В 1932 г. было изготовлено 22 МПК, а сдано 14. Больше заказы на МПК не выдавались (25213).</w:t>
      </w:r>
    </w:p>
    <w:p w14:paraId="5D398AA6" w14:textId="77777777" w:rsidR="00446A9C" w:rsidRPr="00142305" w:rsidRDefault="00446A9C" w:rsidP="00446A9C">
      <w:pPr>
        <w:spacing w:after="0" w:line="240" w:lineRule="auto"/>
        <w:jc w:val="both"/>
        <w:rPr>
          <w:rFonts w:ascii="Times New Roman" w:hAnsi="Times New Roman"/>
          <w:color w:val="0070C0"/>
          <w:sz w:val="16"/>
          <w:szCs w:val="16"/>
        </w:rPr>
      </w:pPr>
    </w:p>
    <w:p w14:paraId="3CCB98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12 по 16 октября 1931 проходили испытания САУ СУ-2 - 76-мм установки на базе трактора Коммунар в окрестностях склада N 60 в Брянске. Машина прошла 35 км и сделала 39 выстрелов, в т.ч. один на ходу. Движение осуществлялось с расчетом в 5 чел. И прицепной тракторной тележкой с грузом в 2.5 т на скорости 12 км/час. Несмотря на положительный отзыв комиссии УММ РККА дальнейшие работы свернули (4306).</w:t>
      </w:r>
    </w:p>
    <w:p w14:paraId="69A2CC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588B0F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12-16 октября 1931 г. под Брянском в окрестностях военсклада № 60 прошли испытания СУ-2 опытного цеха завода «Большевик». Машина про</w:t>
      </w:r>
      <w:r w:rsidRPr="005E779E">
        <w:rPr>
          <w:rFonts w:ascii="Times New Roman" w:hAnsi="Times New Roman"/>
          <w:color w:val="000000" w:themeColor="text1"/>
          <w:sz w:val="16"/>
          <w:szCs w:val="16"/>
        </w:rPr>
        <w:softHyphen/>
        <w:t>шла 35 км и произвела 39 выстрелов из орудия (один вы</w:t>
      </w:r>
      <w:r w:rsidRPr="005E779E">
        <w:rPr>
          <w:rFonts w:ascii="Times New Roman" w:hAnsi="Times New Roman"/>
          <w:color w:val="000000" w:themeColor="text1"/>
          <w:sz w:val="16"/>
          <w:szCs w:val="16"/>
        </w:rPr>
        <w:softHyphen/>
        <w:t>стрел на ходу). Движение осуществлялось с расчетом 5 че</w:t>
      </w:r>
      <w:r w:rsidRPr="005E779E">
        <w:rPr>
          <w:rFonts w:ascii="Times New Roman" w:hAnsi="Times New Roman"/>
          <w:color w:val="000000" w:themeColor="text1"/>
          <w:sz w:val="16"/>
          <w:szCs w:val="16"/>
        </w:rPr>
        <w:softHyphen/>
        <w:t>ловек и прицепленной повозкой П-18 с грузом 2,5 т, с максимальной скоростью 12 км/ч. Комиссия УММ РККА, проводившая испытания, дала о машине положительный отзыв, дальнейшие работы по машине продолжены не были (11417).</w:t>
      </w:r>
    </w:p>
    <w:p w14:paraId="07F8A40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9225EA" w14:textId="77777777" w:rsidR="00446A9C" w:rsidRPr="00142305" w:rsidRDefault="00446A9C" w:rsidP="00446A9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12 по 16 октября 1931 года в Брянске на базе «склада» №60 проводили испытания самоходки СУ-2</w:t>
      </w:r>
      <w:r w:rsidRPr="00142305">
        <w:rPr>
          <w:rFonts w:ascii="Times New Roman" w:hAnsi="Times New Roman"/>
          <w:color w:val="0070C0"/>
          <w:sz w:val="16"/>
          <w:szCs w:val="16"/>
          <w:shd w:val="clear" w:color="auto" w:fill="FFFFFF"/>
        </w:rPr>
        <w:t xml:space="preserve"> </w:t>
      </w:r>
      <w:r w:rsidRPr="00142305">
        <w:rPr>
          <w:rFonts w:ascii="Times New Roman" w:hAnsi="Times New Roman"/>
          <w:color w:val="0070C0"/>
          <w:sz w:val="16"/>
          <w:szCs w:val="16"/>
        </w:rPr>
        <w:t>ленинградского завода «Большевик» совместно с военным складом №60, находившимся в Брянске (по сути, этот склад являлся номерным заводом, производившим броневагоны, бронедрезины и бронепоезд).</w:t>
      </w:r>
    </w:p>
    <w:p w14:paraId="7AC57120" w14:textId="77777777" w:rsidR="00446A9C" w:rsidRPr="00142305" w:rsidRDefault="00446A9C" w:rsidP="00446A9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 изготовлении прототипа САУ была усилена рама гусениц трактора</w:t>
      </w:r>
      <w:r w:rsidRPr="00142305">
        <w:rPr>
          <w:rFonts w:ascii="Times New Roman" w:hAnsi="Times New Roman"/>
          <w:color w:val="0070C0"/>
          <w:sz w:val="16"/>
          <w:szCs w:val="16"/>
          <w:shd w:val="clear" w:color="auto" w:fill="FFFFFF"/>
        </w:rPr>
        <w:t xml:space="preserve"> </w:t>
      </w:r>
      <w:r w:rsidRPr="00142305">
        <w:rPr>
          <w:rFonts w:ascii="Times New Roman" w:hAnsi="Times New Roman"/>
          <w:color w:val="0070C0"/>
          <w:sz w:val="16"/>
          <w:szCs w:val="16"/>
        </w:rPr>
        <w:t>«Коммунар» З-90 с бензиновым карбюраторным двигателем мощностью 90 л.с., чтобы она могла выдержать дополнительную нагрузку. Сидение водителя было сдвинуто вперед, а крепление бензобака, расположенное в задней части трактора, – демонтировано. На месте сидения в средней части танка была смонтирована орудийная тумба вместе с 76,2-мм дивизионным орудием образца 1902 года, а бензобак перенесли в переднюю часть трактора, прикрепив его сбоку от двигателя над гусеничной полкой, чтобы он не мешал орудию. Для испытаний на опытном образце запланированный 10-мм бронещит для САУ изготовили не из бронированного стального листа, а из конструкционной стали. Боекомплект орудия составлял 200 снарядов и, по замыслу проектантов, должен был перевозиться в буксируемой сзади тележке.</w:t>
      </w:r>
    </w:p>
    <w:p w14:paraId="0391C0C8" w14:textId="77777777" w:rsidR="00446A9C" w:rsidRPr="00142305" w:rsidRDefault="00446A9C" w:rsidP="00446A9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СУ-2 с экипажем в пять человек прошла 35 км и произвела 39 выстрелов. САУ развивала среднюю скорость 12 км/ч, что на тот момент считалось вполне достаточным. В целом, научно-техническая комиссия УММ признала испытания удовлетворительными, но дальнейшего развития данный проект не получил (25536).</w:t>
      </w:r>
    </w:p>
    <w:p w14:paraId="099D585B" w14:textId="77777777" w:rsidR="00446A9C" w:rsidRPr="00142305" w:rsidRDefault="00446A9C" w:rsidP="00446A9C">
      <w:pPr>
        <w:spacing w:after="0" w:line="240" w:lineRule="auto"/>
        <w:jc w:val="both"/>
        <w:rPr>
          <w:rFonts w:ascii="Times New Roman" w:hAnsi="Times New Roman"/>
          <w:color w:val="0070C0"/>
          <w:sz w:val="16"/>
          <w:szCs w:val="16"/>
        </w:rPr>
      </w:pPr>
    </w:p>
    <w:p w14:paraId="68B98D43"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316D32AF"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53E3A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12 сентября 1931, спустя 22 часа с момента взлета D.33-02 с тем же экипажем, который повторил попытку связать воздушным мостом Париж и Токио, в сложнейших метеоусловиях, летчики потерял контроль над управлением и летчики приняли решение покинуть самолет. На этот раз парашютом воспользовался Доре. Ле Бри и Месмин погибли под обломками самолета, упавшего недалеко от Уфы (11941). </w:t>
      </w:r>
    </w:p>
    <w:p w14:paraId="7F4E22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392A7B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октября 1931 на вершине холма в Рио-де-Жанейро открыт памятник Христу, ставший символом города (4962).</w:t>
      </w:r>
    </w:p>
    <w:p w14:paraId="5C38163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B9A2AF" w14:textId="77777777" w:rsidR="00AD4FAD" w:rsidRPr="005E779E" w:rsidRDefault="00AD4FAD" w:rsidP="000B7A6C">
      <w:pPr>
        <w:spacing w:after="0" w:line="240" w:lineRule="auto"/>
        <w:jc w:val="both"/>
        <w:rPr>
          <w:rFonts w:ascii="Times New Roman" w:hAnsi="Times New Roman"/>
          <w:color w:val="000000" w:themeColor="text1"/>
          <w:sz w:val="16"/>
          <w:szCs w:val="16"/>
        </w:rPr>
      </w:pPr>
      <w:r w:rsidRPr="005E779E">
        <w:rPr>
          <w:rStyle w:val="ucoz-forum-post"/>
          <w:rFonts w:ascii="Times New Roman" w:eastAsia="Times New Roman" w:hAnsi="Times New Roman"/>
          <w:bCs/>
          <w:color w:val="000000" w:themeColor="text1"/>
          <w:sz w:val="16"/>
          <w:szCs w:val="16"/>
        </w:rPr>
        <w:t xml:space="preserve">12 октября </w:t>
      </w:r>
      <w:r w:rsidRPr="005E779E">
        <w:rPr>
          <w:rFonts w:ascii="Times New Roman" w:hAnsi="Times New Roman"/>
          <w:color w:val="000000" w:themeColor="text1"/>
          <w:sz w:val="16"/>
          <w:szCs w:val="16"/>
        </w:rPr>
        <w:t>в 1931 году в Рио-де-Жанейро (Бразилия) на холме Корковаду состоялось торжественное открытие статуи Христа Спасителя. Главной достопримечательностью Рио-де-Жанейро считается статуя Христа Спасителя (Cristo Redentor). Она стоит на вершине холма Корковаду на высоте 704 метров над уровнем моря. Высота самой статуи - 30 метров, не считая семиметрового постамента, а ее вес - 1140 тонн. Идея этого сооружения зародилась в 1922 году, когда праздновалось столетие независимости Бразилии. Известный еженедельник объявил тогда конкурс проектов на лучший монумент - символ нации. Победитель, Эктор да Силва Коста, выдвинул идею скульптурного изображения Христа, распростершего руки и обнимающего весь город. Этот жест выражает сострадание и одновременно радостную гордость. Идея да Силвы была принята общественностью с восторгом еще и потому, что она перечеркнула прежний план возведения на горе Пан-ди-Асукар грандиозного памятника Христофору Колумбу. К делу тут же подключилась церковь, организовав по всей стране сбор пожертвований, дабы финансировать осуществление проекта. Перед началом работ архитекторы, инженеры и скульпторы встретились в Париже, чтобы обсудить все технические проблемы установки статуи на вершине холма, где она открыта всем ветрам и подвержена другим метеорологическим влияниям. Работы над проектировкой и созданием статуи шли в Париже. Затем она была доставлена в Рио-де- Жанейро и установлена на холме Корковаду. 12 октября 1931 года состоялось ее первое торжественное открытие и освящение, к этому дню была смонтирована и осветительная установка. В 1965 году папа Павел VI повторил церемонию освящения, по этому случаю была обновлена и осветительная установка. Еще одно большое торжество проходило здесь в присутствии папы Иоанна Павла II 12 октября 1981 года, когда отмечалось пятидесятилетие самой статуи. Статую Христа Спасителя считают одним из современных чудес света. Высота каменного монумента - 30 метров, не считая семиметрового постамента; голова статуи весит 35,6 тонны; кисти рук - по 9,1 тонны каждая, а размах рук составляет 23 метра. Построенная в 1885 году линия трамвая ведет теперь почти на вершину холма: конечная остановка находится всего в сорока метрах под статуей. От нее надо подняться по 220 ступеням лестницы к постаменту, на котором расположена смотровая площадка. В 2003 году был открыт эскалатор, на котором можно доехать до подножия знаменитой статуи. Отсюда хорошо видны протянувшиеся по правую руку пляжи Копакабана и Ипанема, а слева гигантская чаша «Мараканы», крупнейшего в мире стадиона, и международный аэропорт. Со стороны моря возвышается неповторимый силуэт горы Пан-ди-Асукар (14797).</w:t>
      </w:r>
    </w:p>
    <w:p w14:paraId="62A2F7D4" w14:textId="77777777" w:rsidR="00AD4FAD" w:rsidRPr="005E779E" w:rsidRDefault="00AD4FAD" w:rsidP="000B7A6C">
      <w:pPr>
        <w:spacing w:after="0" w:line="240" w:lineRule="auto"/>
        <w:jc w:val="both"/>
        <w:rPr>
          <w:rFonts w:ascii="Times New Roman" w:hAnsi="Times New Roman"/>
          <w:color w:val="000000" w:themeColor="text1"/>
          <w:sz w:val="16"/>
          <w:szCs w:val="16"/>
        </w:rPr>
      </w:pPr>
    </w:p>
    <w:p w14:paraId="210A5B5B"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255F75A5"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A310E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октября 1931 года начальник ВОГВФ Гольцман писал письмо № 10/1123с в Политбюро ЦК ВКП(б)</w:t>
      </w:r>
    </w:p>
    <w:p w14:paraId="270B58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НИИ ГВФ выпустил 11 октября 1931 года в полет первый советский цельностальной самолет из нержавеющей стали электросварной конструкции "Сталь-2", который по производственным и летным качествам не только не уступает, но и превосходит достижения техники наиболее передовых капиталистических стран.</w:t>
      </w:r>
    </w:p>
    <w:p w14:paraId="795F9A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Стальное самолетостроение – дело новое не только для промышленности нашего Союза, но и капиталистических стран. ………………… Завод "Электросталь" производит выплавку высокосортных сталей, а на "Электрозаводе" усилиями Института поставлено производство холоднокатаных стальных лент даже на весьма неприспособленном для этой цели оборудовании. (Сейчас по соглашению с заводом "Серп и Молот" Институтом создается на заводе производство холодной прокатки, которое будет пущено в начале 1932 года).</w:t>
      </w:r>
    </w:p>
    <w:p w14:paraId="63C532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F3DC1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1F4363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Крылья самолета "Сталь-2" имеют вес 7,6 кг на 1 кв. м, который по сравнению с 9-10 кг веса на кв. м обычных почтово-пассажирских машин дает разницу в 25% в сторону облегчения.</w:t>
      </w:r>
    </w:p>
    <w:p w14:paraId="774FD6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………………………(7752, 63-65).</w:t>
      </w:r>
    </w:p>
    <w:p w14:paraId="4CF3D6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179A986" w14:textId="3EE0C22D"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октября 1931 г. на старой площадке завода № 1 после его разделения на базе реконструированного прокатного цеха был образован завод № 34 (Завод № 34 им. Постышева НКТП, НКОП, Завод № 34 НКАП, НКЭС, Троицкий электромеханический завод (ТЭМЗ), ОАО «ТЭМЗ» / г. Москва 3-я ул. Ямского Поля, 26;</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Троицк Челябинской обл. ул. Малышева, 34/). Приказом ВАО № 331 от 13.10.1931 г. директором нового завода назначен С.М. Петров. С 1932 г. находился в подчинении «Авиаподсобтреста» ГУАП НКТП. В 02.1937-12.1938 г. - в ведении 1ГУ НКОП. По пр. № 336с от 22.08.1938 г. завод № 34 им. Постышева переименован в завод № 34.</w:t>
      </w:r>
    </w:p>
    <w:p w14:paraId="736941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Изготовлял прокат из алюминиевых и магниевых сплавов. Вскоре начато производство лент-расчалок, затем деталей для радиаторов, ободов колес. С 1934 г. освоил выпуск дизелей АЗ-1. В 1935-36 г. ввиду невозможности дальнейшего развития прокатного производства из-за недостаточных площадей, завод перепрофилирован на выпуск радиаторов как цельных агрегатов, а металлургическое производство передано на новый завод № 219.</w:t>
      </w:r>
    </w:p>
    <w:p w14:paraId="27F5A6AD" w14:textId="6446BAB0"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НКТП от 3.11.1934 г. на заводе организован отдел по конструированию и изготовлению авиационных радиаторов, в 1935 г. он пробразован в Конструкторский отдел № 12, который в 1940 г. преобразован в ОКБ-34. В 1936 г. по инициативе</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Г.И. Воронина на заводе организована лаборатория для испытаний радиаторов и проведения экспериментов.</w:t>
      </w:r>
    </w:p>
    <w:p w14:paraId="1607FA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1937 г. планировался выпуск самолета АИР-6. Приказом № 00116 от 28.05.1937 г. для обеспечения подготовки производства самолета Вулти заводу поручено организовать производство литых деталей из алюминия. К 1938 г. на заводе ликвидировано литейное производство, к началу 1940 г. должен быть выведен с завода выпуск лент-расчалок.</w:t>
      </w:r>
    </w:p>
    <w:p w14:paraId="4B14E3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 № 80с от 11.03.1938 г. «в целях правильной организации ремонтного производства» на заводе организован ремонтно-эксплуатационный отдел.</w:t>
      </w:r>
    </w:p>
    <w:p w14:paraId="7B644D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Приказом № 248сс от 14/15.07.1938 г. заводу поручено спроектировать воздухоохладительную установку для аэродинамической трубы Т-106 ЦАГИ.</w:t>
      </w:r>
    </w:p>
    <w:p w14:paraId="52083B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Перед войной завод имел ЛИС, которая базировалась на аэродроме завода № 469 НКАП в Орлнечногорске.</w:t>
      </w:r>
    </w:p>
    <w:p w14:paraId="20D631EA" w14:textId="05443140"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1941 г. завод имел филиал - бывшую Канатную фабрику в</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Кузнецке Пензенской обл. (есть упоминание, что филиал имел наименование завод № 34бис). В начале 1941 г. ряд конструкторов переведен для укрепления нового ОКБ завода № 472 НКАП.</w:t>
      </w:r>
    </w:p>
    <w:p w14:paraId="544596CD" w14:textId="4C849A44"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1941 г. завод вместе с ОКБ эвакуирован в</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Троицк Челябинской обл. Первый эшелон прибыл в 11.1941 г. Размещение завода шло на на площадках девяти неприспособленных небольших предприятий и организаций (бывший пивоваренный завод стал территорией «Б», территория «В» разместилась вблизи центра города). Продолжено производство водо- и маслорадиаторов.</w:t>
      </w:r>
    </w:p>
    <w:p w14:paraId="0CB72A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Москве на площадке эвакуированного завода по приказу № 51с от 20.01.1942 г. организованы Агрегатные ремонтные мастерские при 2ГУ НКАП. Начальник- М.Ф. Поликарпов. С начала 1942 г. началось восстановление производства, и 14.04.1942 г. образован филиал завода № 34. Директор филиала- Ю.Б. Эскин. Фактически в это время действовали два завода № 34: № 34т и № 34м. Шло активное восстановление работ на московской площадке, в 1942 г. обратно из Троицка прибыла первая группа специалистов. Приказом № 464с от 24.06.1942 г. филиал преобразован в новый завод № 124 при 2ГУ НКАП.</w:t>
      </w:r>
    </w:p>
    <w:p w14:paraId="69E7B1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По приказу № 735с от 8.12.1943 г. с завода № 34 переведена группа специалистов для усиления ОКБ завода № 219 НКАП. В 1944 г. с завода № 34 переведено на завод № 500 на постоянную работу около 200 специалистов.</w:t>
      </w:r>
    </w:p>
    <w:p w14:paraId="789031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 425с/82с от 5.11.1945 г. завод № 34 с частью оборудования и личного состава с 1.11.1945 г. передан в НКЭС. Специальное оборудование по производству радиаторов и 400 чел. личного состава переведены в Москву на завод № 124 НКАП.</w:t>
      </w:r>
    </w:p>
    <w:p w14:paraId="4EC4B421" w14:textId="3E1E8E6B"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Далее это - Троицкий электромеханический завод (1960-е</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ОАО «ТЭМЗ».</w:t>
      </w:r>
    </w:p>
    <w:p w14:paraId="6B3F43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(10-11.1931 г.; 06.1932-02.1934 г.)- С.М. Петров, (8.11.1931-3.06.1932 г.)- В.Я. Симочкин, (02.1934- 23.07.1937 г.)- В. Г. Гарнизов, (23.07.1937-05.1938 г.)- И.И. Авдеев, (15.06.1938-12.1044 г.)- М.П. Аржаков.</w:t>
      </w:r>
    </w:p>
    <w:p w14:paraId="750608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директора (06.1937 г.)- И.И. Авдеев. Помощник директора по найму и увольнению (-06.1937-38 г.-&gt; Н.В. Солнцев.</w:t>
      </w:r>
    </w:p>
    <w:p w14:paraId="03702A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Работы (2002 г.): разработка аэродромно-районной АС УВД «Синтез», тренажера для подготовки диспетчеров</w:t>
      </w:r>
    </w:p>
    <w:p w14:paraId="0109FF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«Инструктор», </w:t>
      </w:r>
      <w:r w:rsidRPr="005E779E">
        <w:rPr>
          <w:rFonts w:ascii="Times New Roman" w:hAnsi="Times New Roman"/>
          <w:color w:val="000000" w:themeColor="text1"/>
          <w:sz w:val="16"/>
          <w:szCs w:val="16"/>
          <w:lang w:val="en-US"/>
        </w:rPr>
        <w:t>PJI</w:t>
      </w:r>
      <w:r w:rsidRPr="005E779E">
        <w:rPr>
          <w:rFonts w:ascii="Times New Roman" w:hAnsi="Times New Roman"/>
          <w:color w:val="000000" w:themeColor="text1"/>
          <w:sz w:val="16"/>
          <w:szCs w:val="16"/>
        </w:rPr>
        <w:t xml:space="preserve"> комплексов «</w:t>
      </w:r>
      <w:r w:rsidRPr="005E779E">
        <w:rPr>
          <w:rFonts w:ascii="Times New Roman" w:hAnsi="Times New Roman"/>
          <w:color w:val="000000" w:themeColor="text1"/>
          <w:sz w:val="16"/>
          <w:szCs w:val="16"/>
          <w:lang w:val="en-US"/>
        </w:rPr>
        <w:t>BPJI</w:t>
      </w:r>
      <w:r w:rsidRPr="005E779E">
        <w:rPr>
          <w:rFonts w:ascii="Times New Roman" w:hAnsi="Times New Roman"/>
          <w:color w:val="000000" w:themeColor="text1"/>
          <w:sz w:val="16"/>
          <w:szCs w:val="16"/>
        </w:rPr>
        <w:t xml:space="preserve"> «Радуга», КА РЛП «Радуга-2», моноимпульсного </w:t>
      </w:r>
      <w:r w:rsidRPr="005E779E">
        <w:rPr>
          <w:rFonts w:ascii="Times New Roman" w:hAnsi="Times New Roman"/>
          <w:color w:val="000000" w:themeColor="text1"/>
          <w:sz w:val="16"/>
          <w:szCs w:val="16"/>
          <w:lang w:val="en-US"/>
        </w:rPr>
        <w:t>BPJIMBPJI</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CBK</w:t>
      </w:r>
      <w:r w:rsidRPr="005E779E">
        <w:rPr>
          <w:rFonts w:ascii="Times New Roman" w:hAnsi="Times New Roman"/>
          <w:color w:val="000000" w:themeColor="text1"/>
          <w:sz w:val="16"/>
          <w:szCs w:val="16"/>
        </w:rPr>
        <w:t xml:space="preserve"> и АПОИ (11982).</w:t>
      </w:r>
    </w:p>
    <w:p w14:paraId="7793165D" w14:textId="77777777" w:rsidR="00AD4FAD" w:rsidRPr="005E779E" w:rsidRDefault="00AD4FAD" w:rsidP="000B7A6C">
      <w:pPr>
        <w:spacing w:after="0" w:line="240" w:lineRule="auto"/>
        <w:jc w:val="both"/>
        <w:rPr>
          <w:rStyle w:val="ucoz-forum-post"/>
          <w:rFonts w:ascii="Times New Roman" w:eastAsia="Times New Roman" w:hAnsi="Times New Roman"/>
          <w:bCs/>
          <w:color w:val="000000" w:themeColor="text1"/>
          <w:sz w:val="16"/>
          <w:szCs w:val="16"/>
        </w:rPr>
      </w:pPr>
    </w:p>
    <w:p w14:paraId="60CDEA3E" w14:textId="77777777" w:rsidR="00AD4FAD" w:rsidRPr="005E779E" w:rsidRDefault="00AD4FAD" w:rsidP="000B7A6C">
      <w:pPr>
        <w:spacing w:after="0" w:line="240" w:lineRule="auto"/>
        <w:jc w:val="both"/>
        <w:rPr>
          <w:rFonts w:ascii="Times New Roman" w:hAnsi="Times New Roman"/>
          <w:color w:val="000000" w:themeColor="text1"/>
          <w:sz w:val="16"/>
          <w:szCs w:val="16"/>
        </w:rPr>
      </w:pPr>
      <w:r w:rsidRPr="005E779E">
        <w:rPr>
          <w:rStyle w:val="ucoz-forum-post"/>
          <w:rFonts w:ascii="Times New Roman" w:eastAsia="Times New Roman" w:hAnsi="Times New Roman"/>
          <w:bCs/>
          <w:color w:val="000000" w:themeColor="text1"/>
          <w:sz w:val="16"/>
          <w:szCs w:val="16"/>
        </w:rPr>
        <w:t xml:space="preserve">13 октября </w:t>
      </w:r>
      <w:r w:rsidRPr="005E779E">
        <w:rPr>
          <w:rFonts w:ascii="Times New Roman" w:hAnsi="Times New Roman"/>
          <w:color w:val="000000" w:themeColor="text1"/>
          <w:sz w:val="16"/>
          <w:szCs w:val="16"/>
        </w:rPr>
        <w:t>в 1931 году образован завод № 34, ныне ОАО Научно-производственное объединение "Наука" - одно из старейших предприятий-разработчиков России. История завода ведется от мастерских, собиравших в начале века самолеты "Ньюпор" и "Блерио". С 1934-го года на заводе организуется производство радиаторов и теплообменников для отечественных самолетов. В 1940-м году создается Опытное конструкторское бюро по разработке агрегатов и систем жизнеобеспечения. В настоящее время ОАО НПО "Наука" является единственным в России и странах СНГ разработчиком авиационных и космических систем жизнеобеспечения воздушных судов, летательных аппаратов, космических кораблей и орбитальных станций. ОАО НПО "Наука" производит изделия для самолетов «Ту-204», «Ту-334», «Ан-70», «Ан-140», «Ил-96», «Ил-114», «Бе-200», «Су-27», «Су-30», «Су-34», «МиГ-29», вертолетов «Ка-50», «Ка-52», «Ми-28». Важнейшее направление деятельности предприятия с 50-х годов прошлого столетия - проектироваение и изготовление систем терморегулирования, обеспечения газового состава, регулирования давления и водообеспечения обитаемых космических аппаратов. В 1961 году после первого полета человека в корабле «Восток» предприятие было награждено орденом Трудового Красного Знамени. В 1989 году предприятие было преобразовано в Научно-производственное объединение «Наука», а в 1993 в ОАО «НПО «Наука» (14798).</w:t>
      </w:r>
    </w:p>
    <w:p w14:paraId="56A026A9" w14:textId="77777777" w:rsidR="00AD4FAD" w:rsidRPr="005E779E" w:rsidRDefault="00AD4FAD" w:rsidP="000B7A6C">
      <w:pPr>
        <w:spacing w:after="0" w:line="240" w:lineRule="auto"/>
        <w:jc w:val="both"/>
        <w:rPr>
          <w:rFonts w:ascii="Times New Roman" w:hAnsi="Times New Roman"/>
          <w:color w:val="000000" w:themeColor="text1"/>
          <w:sz w:val="16"/>
          <w:szCs w:val="16"/>
        </w:rPr>
      </w:pPr>
    </w:p>
    <w:p w14:paraId="58F80EF0" w14:textId="77777777" w:rsidR="00AD4FAD" w:rsidRPr="005E779E" w:rsidRDefault="00AD4FAD" w:rsidP="000B7A6C">
      <w:pPr>
        <w:spacing w:after="0" w:line="240" w:lineRule="auto"/>
        <w:jc w:val="both"/>
        <w:rPr>
          <w:rFonts w:ascii="Times New Roman" w:hAnsi="Times New Roman"/>
          <w:color w:val="000000" w:themeColor="text1"/>
          <w:sz w:val="16"/>
          <w:szCs w:val="16"/>
        </w:rPr>
      </w:pPr>
      <w:r w:rsidRPr="005E779E">
        <w:rPr>
          <w:rStyle w:val="ucoz-forum-post"/>
          <w:rFonts w:ascii="Times New Roman" w:eastAsia="Times New Roman" w:hAnsi="Times New Roman"/>
          <w:bCs/>
          <w:color w:val="000000" w:themeColor="text1"/>
          <w:sz w:val="16"/>
          <w:szCs w:val="16"/>
        </w:rPr>
        <w:t>13 октября 1931 года</w:t>
      </w:r>
      <w:r w:rsidRPr="005E779E">
        <w:rPr>
          <w:rStyle w:val="ucoz-forum-post"/>
          <w:rFonts w:ascii="Times New Roman" w:eastAsia="Times New Roman" w:hAnsi="Times New Roman"/>
          <w:color w:val="000000" w:themeColor="text1"/>
          <w:sz w:val="16"/>
          <w:szCs w:val="16"/>
        </w:rPr>
        <w:t xml:space="preserve"> День образования завода № 34, ныне ОАО "НПО "Наука". Одно из старейших предприятий-разработчиков России. История завода ведется от мастерских, собиравших в начале века самолеты "Ньюпор" и "Блерио". ОАО НПО "Наука" производит изделия для самолетов Ту-204, Ту-334, Ан-70, Ан-140, Ил-96, Ил-114, Бе-200, Су-27, Су-30, Су-34, МиГ-29, вертолетов Ка-50, Ка-52, Ми-28; </w:t>
      </w:r>
    </w:p>
    <w:p w14:paraId="3F61FC75" w14:textId="77777777" w:rsidR="00AD4FAD" w:rsidRPr="005E779E" w:rsidRDefault="00AD4FAD" w:rsidP="000B7A6C">
      <w:pPr>
        <w:spacing w:after="0" w:line="240" w:lineRule="auto"/>
        <w:jc w:val="both"/>
        <w:rPr>
          <w:rStyle w:val="ucoz-forum-post"/>
          <w:rFonts w:ascii="Times New Roman" w:eastAsia="Times New Roman" w:hAnsi="Times New Roman"/>
          <w:color w:val="000000" w:themeColor="text1"/>
          <w:sz w:val="16"/>
          <w:szCs w:val="16"/>
        </w:rPr>
      </w:pPr>
    </w:p>
    <w:p w14:paraId="2D1EE4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октября 1931 отряду им. "Правды" выделили 3 самолета. Этот отряд возил матрицы центральных газет в различные города страны. На 1 июля 1932 г. в гражданской авиации было уже 24 П-5 (в том числе 10 в школах). Постепенно поставки нарастали, а аварийность была небольшой, и на 1 октября 1935 г. насчитывалось уже 603 машины. Большая часть П-5 эксплуатировалась как почтовые и грузовые самолеты.</w:t>
      </w:r>
    </w:p>
    <w:p w14:paraId="152669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Летали П-5 и на международных трассах. С 1934 г. они обслуживали линию Ташкент- Кабул. Ни один другой пассажирский самолет не мог перелететь горные хребты на этом маршруте и сесть на маленьких промежуточных площадках. В 1936 г. П-5 использовали на линии Алма-Ата-Ланьчжоу.</w:t>
      </w:r>
    </w:p>
    <w:p w14:paraId="7D9AD0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Широкое применение П-5 объяснялось вовсе не его высокой эффективностью. Наоборот, для гражданской авиации его считали малопригодным. Большой, тяжелый, груза перевозит мало, для размещения пассажиров приспособлен плохо. Положение несколько спасала нетребовательность к качеству аэродромов и высокая ремонтопригодность. Неоднократно П-5 пытались снять с эксплуатации в Аэрофлоте. Но перегруженная военными заказами промышленность взамен ничего не давала, и П-5 продолжали летать и летать...</w:t>
      </w:r>
    </w:p>
    <w:p w14:paraId="374657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1930-х гг. в парке ГВФ стала значительной доля ЛП-5 и ПР-5. В 1937 г. с Дальнего Востока докладывали: "Лимузин" зарекомендовал себя как прекрасная машина, наиболее удобная во всех отношениях для Сахалинской линии зимой".</w:t>
      </w:r>
    </w:p>
    <w:p w14:paraId="20A8B9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 второй половине 1930-х гг. в ГВФ влились самолеты, ставшие лишними в ВВС. В результате к началу 1940 г. П-5 занимал второе место по численности в парке гражданской авиации после У-2. На 1 марта только на линиях союзного значения работали 47 П-5, 13 ЛП-5 и 97 ПР-5 (11936).</w:t>
      </w:r>
    </w:p>
    <w:p w14:paraId="03ECD3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62C2F74" w14:textId="77777777" w:rsidR="00446A9C" w:rsidRPr="00142305" w:rsidRDefault="00446A9C" w:rsidP="00446A9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13 октября 1931 г. авиаотряду им. «Правды» выделили три самолета. Этот отряд, деятельность которого считалась очень важ</w:t>
      </w:r>
      <w:r w:rsidRPr="00142305">
        <w:rPr>
          <w:rFonts w:ascii="Times New Roman" w:hAnsi="Times New Roman"/>
          <w:color w:val="0070C0"/>
          <w:sz w:val="16"/>
          <w:szCs w:val="16"/>
        </w:rPr>
        <w:softHyphen/>
        <w:t>ной, возил матрицы центральных газет в различные горо</w:t>
      </w:r>
      <w:r w:rsidRPr="00142305">
        <w:rPr>
          <w:rFonts w:ascii="Times New Roman" w:hAnsi="Times New Roman"/>
          <w:color w:val="0070C0"/>
          <w:sz w:val="16"/>
          <w:szCs w:val="16"/>
        </w:rPr>
        <w:softHyphen/>
        <w:t>да страны. К «матричникам» относились с большим ува</w:t>
      </w:r>
      <w:r w:rsidRPr="00142305">
        <w:rPr>
          <w:rFonts w:ascii="Times New Roman" w:hAnsi="Times New Roman"/>
          <w:color w:val="0070C0"/>
          <w:sz w:val="16"/>
          <w:szCs w:val="16"/>
        </w:rPr>
        <w:softHyphen/>
        <w:t>жением, на последней странице газеты печатали: «Матри</w:t>
      </w:r>
      <w:r w:rsidRPr="00142305">
        <w:rPr>
          <w:rFonts w:ascii="Times New Roman" w:hAnsi="Times New Roman"/>
          <w:color w:val="0070C0"/>
          <w:sz w:val="16"/>
          <w:szCs w:val="16"/>
        </w:rPr>
        <w:softHyphen/>
        <w:t>цы доставлены на самолете летчиком...» Авиацией пере</w:t>
      </w:r>
      <w:r w:rsidRPr="00142305">
        <w:rPr>
          <w:rFonts w:ascii="Times New Roman" w:hAnsi="Times New Roman"/>
          <w:color w:val="0070C0"/>
          <w:sz w:val="16"/>
          <w:szCs w:val="16"/>
        </w:rPr>
        <w:softHyphen/>
        <w:t>возились матрицы «Правды» и «Известий» (24990).</w:t>
      </w:r>
    </w:p>
    <w:p w14:paraId="282555A6" w14:textId="77777777" w:rsidR="00446A9C" w:rsidRPr="00142305" w:rsidRDefault="00446A9C" w:rsidP="00446A9C">
      <w:pPr>
        <w:spacing w:after="0" w:line="240" w:lineRule="auto"/>
        <w:jc w:val="both"/>
        <w:rPr>
          <w:rFonts w:ascii="Times New Roman" w:hAnsi="Times New Roman"/>
          <w:color w:val="0070C0"/>
          <w:sz w:val="16"/>
          <w:szCs w:val="16"/>
        </w:rPr>
      </w:pPr>
    </w:p>
    <w:p w14:paraId="2F8CE3E1"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4B0F0235"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9D492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13 октября 1931 г. по 2 февраля 1932 г. 45-мм противотанковая пушка обр. 1931 г. прошла всесторонние испытания на НИАПе. Всего на 3.02.1932 г. из пушки было сделано 2461 выстрел. В ходе испытаний был подобран заряд 0,331 кг пороха Сп 92/16. Гильза пушки оригинальная, длина ее 282,2 мм (3861).</w:t>
      </w:r>
    </w:p>
    <w:p w14:paraId="0B0264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907F640" w14:textId="77777777" w:rsidR="00E92B50" w:rsidRPr="005E779E" w:rsidRDefault="00E92B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октября 1931 Постановление Президиума ВСНХ СССР признавало «совершенно необходимым в кратчайший срок поставить практически работу по производству быстроходных дизельмоторов и, в пер</w:t>
      </w:r>
      <w:r w:rsidRPr="005E779E">
        <w:rPr>
          <w:rFonts w:ascii="Times New Roman" w:hAnsi="Times New Roman"/>
          <w:color w:val="000000" w:themeColor="text1"/>
          <w:sz w:val="16"/>
          <w:szCs w:val="16"/>
        </w:rPr>
        <w:softHyphen/>
        <w:t>вую очередь, для тракторов и грузовых автомобилей от 2 72 тонн и выше».</w:t>
      </w:r>
    </w:p>
    <w:p w14:paraId="217EDC81" w14:textId="77777777" w:rsidR="00E92B50" w:rsidRPr="005E779E" w:rsidRDefault="00E92B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осуществления поставленных задач намеча</w:t>
      </w:r>
      <w:r w:rsidRPr="005E779E">
        <w:rPr>
          <w:rFonts w:ascii="Times New Roman" w:hAnsi="Times New Roman"/>
          <w:color w:val="000000" w:themeColor="text1"/>
          <w:sz w:val="16"/>
          <w:szCs w:val="16"/>
        </w:rPr>
        <w:softHyphen/>
        <w:t>лись мероприятия как по освоению иностранного опыта и развертыванию исследовательских работ, так и по организации производства (22518).</w:t>
      </w:r>
    </w:p>
    <w:p w14:paraId="1ADDFFE1" w14:textId="77777777" w:rsidR="00E92B50" w:rsidRPr="005E779E" w:rsidRDefault="00E92B50" w:rsidP="000B7A6C">
      <w:pPr>
        <w:spacing w:after="0" w:line="240" w:lineRule="auto"/>
        <w:jc w:val="both"/>
        <w:rPr>
          <w:rFonts w:ascii="Times New Roman" w:hAnsi="Times New Roman"/>
          <w:color w:val="000000" w:themeColor="text1"/>
          <w:sz w:val="16"/>
          <w:szCs w:val="16"/>
        </w:rPr>
      </w:pPr>
    </w:p>
    <w:p w14:paraId="08FEA97B" w14:textId="77777777" w:rsidR="00DE24DE" w:rsidRPr="005E779E" w:rsidRDefault="00DE24D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октября 1931 г., на заседании Президиума ВСНХ СССР было принято Постановление № 710 о быстроходных дизелях, непосредственно касавшееся развития дизельного отдела НАТИ и его производственной базы. В преамбуле данного документа было отмечено:</w:t>
      </w:r>
    </w:p>
    <w:p w14:paraId="2CB8770D" w14:textId="77777777" w:rsidR="00DE24DE" w:rsidRPr="005E779E" w:rsidRDefault="00DE24D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«Внедрение быстроходных дизелей является важнейшей задачей во всех областях применения двигателей внутреннего сгорания в СССР. Исключительное значение этой проблемы для авто-тракторного парка отмечено постановлением СТО от 6/I-30 г. и ЦК ВКП(б) от 15/XI-30 г.</w:t>
      </w:r>
    </w:p>
    <w:p w14:paraId="3BBBFD5F" w14:textId="77777777" w:rsidR="00DE24DE" w:rsidRPr="005E779E" w:rsidRDefault="00DE24D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Признавая абсолютно недостаточной проводимой в этом направлении до сего времени работу, Президиум ВСНХ отмечает совершенно необходимым в кратчайший срок поставить практически работу по производству быстроходных дизель-моторов и, в первую очередь, для тракторов и грузовых автомобилей от 2 1/2 тонн и выше».</w:t>
      </w:r>
    </w:p>
    <w:p w14:paraId="35F40293" w14:textId="77777777" w:rsidR="00DE24DE" w:rsidRPr="005E779E" w:rsidRDefault="00DE24D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[РГАЭ. Ф. 3429. Оп. 1. Д. 5248. Л. 35]</w:t>
      </w:r>
    </w:p>
    <w:p w14:paraId="6D138BCE" w14:textId="77777777" w:rsidR="00DE24DE" w:rsidRPr="005E779E" w:rsidRDefault="00DE24D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Данным постановлением, проведение всех научно-исследовательских и опытно-конструкторских работ по быстроходным (высокооборотным) автотракторным дизелям возлагалось главным образом на дизельный отдел НАТИ. При этом большое значение придавалось материально-техническому обеспечению дизельного отдела НАТИ и его опытного производства, по данному вопросу в постановлении были предусмотрены следующие мероприятия:</w:t>
      </w:r>
    </w:p>
    <w:p w14:paraId="21E745D7" w14:textId="77777777" w:rsidR="00DE24DE" w:rsidRPr="005E779E" w:rsidRDefault="00DE24D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Обязать ВАТО пустить в первом квартале 1932 года в ход опытный завод НАТИ и дизельные лаборатории Института настолько, чтобы они могли исчерпывающе испытывать и самостоятельно строить опытные авто-тракторные дизеля. Обязать Главмашпром и Стройсектор ВСНХ СССР принять все необходимые меры к форсированию окончания нового строительства НАТИ.</w:t>
      </w:r>
    </w:p>
    <w:p w14:paraId="406F0114" w14:textId="77777777" w:rsidR="00DE24DE" w:rsidRPr="005E779E" w:rsidRDefault="00DE24D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Не подлежит оглашению.</w:t>
      </w:r>
    </w:p>
    <w:p w14:paraId="7D892A0A" w14:textId="77777777" w:rsidR="00DE24DE" w:rsidRPr="005E779E" w:rsidRDefault="00DE24D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срочного пуска в ход опытного завода НАТИ и его лабораторий обязать Иносектор ВСНХ СССР обеспечить доставку Институту необходимого импортного оборудования.</w:t>
      </w:r>
    </w:p>
    <w:p w14:paraId="121EB04E" w14:textId="77777777" w:rsidR="00DE24DE" w:rsidRPr="005E779E" w:rsidRDefault="00DE24D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Не подлежит оглашению.</w:t>
      </w:r>
    </w:p>
    <w:p w14:paraId="3E5E5EC0" w14:textId="77777777" w:rsidR="00DE24DE" w:rsidRPr="005E779E" w:rsidRDefault="00DE24D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срочного проведения испытаний обязать Иносектор ВСНХ СССР срочно заказать и обеспечить доставку в НАТИ дизельных машин, дизель-моторов и их аппаратуры до 100.000 рублей в инвалюте.</w:t>
      </w:r>
    </w:p>
    <w:p w14:paraId="4565D15A" w14:textId="77777777" w:rsidR="00DE24DE" w:rsidRPr="005E779E" w:rsidRDefault="00DE24D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Обязать ВЭО не менее половины выпускаемых по конструкции НАТИ электрических тормозных машин отпускать НАТИ для оборудования испытательных установок для моторов.</w:t>
      </w:r>
    </w:p>
    <w:p w14:paraId="6E1D4F38" w14:textId="77777777" w:rsidR="00DE24DE" w:rsidRPr="005E779E" w:rsidRDefault="00DE24D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Не подлежит оглашению.</w:t>
      </w:r>
    </w:p>
    <w:p w14:paraId="75751C43" w14:textId="77777777" w:rsidR="00DE24DE" w:rsidRPr="005E779E" w:rsidRDefault="00DE24D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Обязать Иносектор ВСНХ СССР привлечь в Институт НАТИ высококвалифицированную иностранную техническую и научно-исследовательскую помощь по авто-тракторным дизелям, путем приглашения иностранных специалистов и командирования работников НАТИ за границу».</w:t>
      </w:r>
    </w:p>
    <w:p w14:paraId="28CA3F89" w14:textId="77777777" w:rsidR="00DE24DE" w:rsidRPr="005E779E" w:rsidRDefault="00DE24D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[РГАЭ. Ф. 3429. Оп. 1. Д. 5248. Л. 36 – 37] (23856).</w:t>
      </w:r>
    </w:p>
    <w:p w14:paraId="71F434B9" w14:textId="77777777" w:rsidR="00DE24DE" w:rsidRPr="005E779E" w:rsidRDefault="00DE24DE" w:rsidP="000B7A6C">
      <w:pPr>
        <w:spacing w:after="0" w:line="240" w:lineRule="auto"/>
        <w:jc w:val="both"/>
        <w:rPr>
          <w:rFonts w:ascii="Times New Roman" w:hAnsi="Times New Roman"/>
          <w:color w:val="000000" w:themeColor="text1"/>
          <w:sz w:val="16"/>
          <w:szCs w:val="16"/>
        </w:rPr>
      </w:pPr>
    </w:p>
    <w:p w14:paraId="409781C3" w14:textId="77777777" w:rsidR="00DE24DE" w:rsidRPr="005E779E" w:rsidRDefault="00DE24D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октября 1931 г.</w:t>
      </w:r>
    </w:p>
    <w:p w14:paraId="0F59E6B1" w14:textId="77777777" w:rsidR="00DE24DE" w:rsidRPr="005E779E" w:rsidRDefault="00DE24D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РГАЭ Фонд 3429 Опись 1 Дело 5248 лист 35 – 37</w:t>
      </w:r>
    </w:p>
    <w:p w14:paraId="06F3C768" w14:textId="77777777" w:rsidR="00DE24DE" w:rsidRPr="005E779E" w:rsidRDefault="00DE24D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Всем объединениям и трестам, ВСНХ Союзных республик, всем отраслевым Секторам, Плановому Сектору, Научному Автотракторному Институту, Иносектору, Челябтракторстрой, Харьковский тракторный завод, Сталинградский тракторный завод, т. Кашо, з-д АМО, Дизельный Научно-Исследовательский Институт, </w:t>
      </w:r>
      <w:r w:rsidRPr="005E779E">
        <w:rPr>
          <w:rFonts w:ascii="Times New Roman" w:hAnsi="Times New Roman"/>
          <w:color w:val="000000" w:themeColor="text1"/>
          <w:sz w:val="16"/>
          <w:szCs w:val="16"/>
        </w:rPr>
        <w:lastRenderedPageBreak/>
        <w:t>Институт Автомоторный, Гипровато, Сектор Кадров (3 экз.), Теплотехнический Институт, з-д "Большевик", Главмашпром, Сектор Проверки Исполнения (3 экз.), т. Шахназарову, т. Логинову, т. Мельникову, Упр. Делами СНК СССР (Промгруппа), Уфимский Моторный завод.</w:t>
      </w:r>
    </w:p>
    <w:p w14:paraId="51358F9C" w14:textId="77777777" w:rsidR="00DE24DE" w:rsidRPr="005E779E" w:rsidRDefault="00DE24D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Копия.</w:t>
      </w:r>
    </w:p>
    <w:p w14:paraId="0ED341AC" w14:textId="77777777" w:rsidR="00DE24DE" w:rsidRPr="005E779E" w:rsidRDefault="00DE24D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ПОСТАНОВЛЕНИЕ ПРЕЗИДИУМА ВСНХ СССР </w:t>
      </w:r>
    </w:p>
    <w:p w14:paraId="598B0979" w14:textId="77777777" w:rsidR="00DE24DE" w:rsidRPr="005E779E" w:rsidRDefault="00DE24D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 710 </w:t>
      </w:r>
    </w:p>
    <w:p w14:paraId="45F74451" w14:textId="77777777" w:rsidR="00DE24DE" w:rsidRPr="005E779E" w:rsidRDefault="00DE24D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гор. Москва, 13 октября 1931 года. </w:t>
      </w:r>
    </w:p>
    <w:p w14:paraId="3A04BDB4" w14:textId="77777777" w:rsidR="00DE24DE" w:rsidRPr="005E779E" w:rsidRDefault="00DE24D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 БЫСТРОХОДНЫХ ДИЗЕЛЯХ.</w:t>
      </w:r>
    </w:p>
    <w:p w14:paraId="62EE79E8" w14:textId="77777777" w:rsidR="00DE24DE" w:rsidRPr="005E779E" w:rsidRDefault="00DE24D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Внедрение быстроходных дизелей является важнейшей задачей во всех областях применения двигателей внутреннего сгорания в СССР. Исключительное значение этой проблемы для авто-тракторного парка отмечено постановлением СТО от 6/I-30 г. и ЦК ВКП(б) от 15/XI-30 г. </w:t>
      </w:r>
    </w:p>
    <w:p w14:paraId="71C7991D" w14:textId="77777777" w:rsidR="00DE24DE" w:rsidRPr="005E779E" w:rsidRDefault="00DE24D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Признавая абсолютно недостаточной проводимую в этом направлении до сего времени работу, Президиум ВСНХ считает совершенно необходимым в кратчайший срок поставить практически работу по производству быстроходных дизель-моторов и, в первую очередь, для тракторов и грузовых автомобилей от 2 ½ тонн и выше. </w:t>
      </w:r>
    </w:p>
    <w:p w14:paraId="1149D397" w14:textId="77777777" w:rsidR="00DE24DE" w:rsidRPr="005E779E" w:rsidRDefault="00DE24D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Для выбора типов и организации производства автотракторных дизелей Президиум ВСНХ СССР – ПОСТАНОВЛЯЕТ: </w:t>
      </w:r>
    </w:p>
    <w:p w14:paraId="58470A9E" w14:textId="77777777" w:rsidR="00DE24DE" w:rsidRPr="005E779E" w:rsidRDefault="00DE24D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 Обязать ВАТО в месячный срок выписать образцы новейших автотракторных дизелей. ВАТО и НАТИ в двухмесячный срок, после получения машин, произвести сравнительные их испытания. </w:t>
      </w:r>
    </w:p>
    <w:p w14:paraId="386F232B" w14:textId="77777777" w:rsidR="00DE24DE" w:rsidRPr="005E779E" w:rsidRDefault="00DE24D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 Машины, оправдавшие себя в лабораторных испытаниях, ВАТО и НАТИ подвергнуть испытаниям на автомобилях и тракторах. </w:t>
      </w:r>
    </w:p>
    <w:p w14:paraId="1AA5054F" w14:textId="77777777" w:rsidR="00DE24DE" w:rsidRPr="005E779E" w:rsidRDefault="00DE24D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 Обязать Иносектор ВСНХ СССР, ВАТО и НАТИ немедленно организовать конкурс между лучшими европейскими фирмами, строящими авто-тракторные дизеля, на поставку Союзу дизель-моторов этих фирм, смонтированных на готовых шасси тракторов "Интер" и "Катерпиллер-60" и автомобилей "АМО-3" и "Я-5" и конкурс на дизеля для нового Ярославского грузовика. </w:t>
      </w:r>
    </w:p>
    <w:p w14:paraId="47C975A0" w14:textId="77777777" w:rsidR="00DE24DE" w:rsidRPr="005E779E" w:rsidRDefault="00DE24D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Машины, предоставленные на конкурс, подвергнуть всесторонним испытаниям в НАТИ, с окончанием этих испытаний в двухмесячный срок после прибытия машин в НАТИ. </w:t>
      </w:r>
    </w:p>
    <w:p w14:paraId="16B2515F" w14:textId="77777777" w:rsidR="00DE24DE" w:rsidRPr="005E779E" w:rsidRDefault="00DE24D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Результаты испытаний дизельных машин лучших заграничных фирм и машин своих конструкций доложить Президиуму ВСНХ СССР для окончательного утверждения типов дизелей для "АМО-3", старого и нового Ярославского грузовика и тракторов ЧТЗ, ХТЗ и СТЗ. </w:t>
      </w:r>
    </w:p>
    <w:p w14:paraId="51E85F9C" w14:textId="77777777" w:rsidR="00DE24DE" w:rsidRPr="005E779E" w:rsidRDefault="00DE24D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4. После получения результатов испытания дизельных машин, Главмашпрому и ВАТО войти в Президиум ВСНХ СССР с конкретным планом массового перевода автомобилей и тракторов союзного производства на дизель-моторы. </w:t>
      </w:r>
    </w:p>
    <w:p w14:paraId="5AA8C30E" w14:textId="77777777" w:rsidR="00DE24DE" w:rsidRPr="005E779E" w:rsidRDefault="00DE24D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5. Обязать ВАТО на Уфимском заводе первой очереди поставить производство не менее 10.000 штук легких дизелей авто-тракторного типа. Вторую очередь завода ориентировать целиком на авто-тракторные дизель-моторы. Типы моторов для Уфимского завода первой очереди установить после лабораторных испытаний образцов и представить на утверждение Президиума ВСНХ СССР. </w:t>
      </w:r>
    </w:p>
    <w:p w14:paraId="174FD2B2" w14:textId="77777777" w:rsidR="00DE24DE" w:rsidRPr="005E779E" w:rsidRDefault="00DE24D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6. Установить следующий план внедрения авто-тракторных дизелей на существующие и строящиеся авто-тракторные заводы: </w:t>
      </w:r>
    </w:p>
    <w:p w14:paraId="6C52ABA3" w14:textId="77777777" w:rsidR="00DE24DE" w:rsidRPr="005E779E" w:rsidRDefault="00DE24D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 Челябинский завод – пускается в ход со старой моторной группой. Первый год своего производства выпускает не менее 100 тракторов с импортными дизель-моторами. Не позднее третьего квартала 1932 года с опытного завода выпускает первую серию в 15 тракторов с дизель-моторами, построенными на опытном заводе ЧТЗ и разработанными совместно с НАТИ. </w:t>
      </w:r>
    </w:p>
    <w:p w14:paraId="3A8F762A" w14:textId="77777777" w:rsidR="00DE24DE" w:rsidRPr="005E779E" w:rsidRDefault="00DE24D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б) Харьковский тракторный завод – в 1932 году выпускает не менее 100 тракторов с импортными дизель-моторами. </w:t>
      </w:r>
    </w:p>
    <w:p w14:paraId="2CB4FD1B" w14:textId="77777777" w:rsidR="00DE24DE" w:rsidRPr="005E779E" w:rsidRDefault="00DE24D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Заводу "АМО" в 1932 году выпустить не менее 100 автомобилей с импортными дизель-моторами. </w:t>
      </w:r>
    </w:p>
    <w:p w14:paraId="365EB21A" w14:textId="77777777" w:rsidR="00DE24DE" w:rsidRPr="005E779E" w:rsidRDefault="00DE24D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7. Возложить научно-исследовательскую и конструкторскую работу по авто-тракторным дизелям на Научный Авто-Тракторный Институт – "НАТИ" с привлечением к этой работе других организаций, ведущих работу по дизелям (Дизельный Институт, НАМ и т.д.). </w:t>
      </w:r>
    </w:p>
    <w:p w14:paraId="69E3593F" w14:textId="77777777" w:rsidR="00DE24DE" w:rsidRPr="005E779E" w:rsidRDefault="00DE24D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Опытное производство авто-тракторных дизель-моторов возложить на Институт НАТИ и его опытный завод с привлечением существующих заводов ВАТО. Проектирование технологических процессов по производству дизель-моторов на заводах ВАТО возложить на ГИПРОВАТО. </w:t>
      </w:r>
    </w:p>
    <w:p w14:paraId="51E3C2DE" w14:textId="77777777" w:rsidR="00DE24DE" w:rsidRPr="005E779E" w:rsidRDefault="00DE24D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Наблюдение и проработку результатов эксплоатации в СССР дизельных автомобилей и тракторов возложить на Институт НАТИ. </w:t>
      </w:r>
    </w:p>
    <w:p w14:paraId="29B79797" w14:textId="77777777" w:rsidR="00DE24DE" w:rsidRPr="005E779E" w:rsidRDefault="00DE24D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8. ВАТО, ГИПРОВАТО и НАТИ, при разработке типов дизелей для основных заводов ВАТО, разработать номенклатуру двигателей по серии мощностей с максимальной нормализацией и стандартизацией дизельных деталей, ведущихся в Научно-Исследовательском Дизельном Институте. </w:t>
      </w:r>
    </w:p>
    <w:p w14:paraId="033F46A3" w14:textId="77777777" w:rsidR="00DE24DE" w:rsidRPr="005E779E" w:rsidRDefault="00DE24D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9. Предложить Союзнефти при участии НАТИ в трехмесячный срок выработать стандарт авто-тракторной нефти. </w:t>
      </w:r>
    </w:p>
    <w:p w14:paraId="2D859955" w14:textId="77777777" w:rsidR="00DE24DE" w:rsidRPr="005E779E" w:rsidRDefault="00DE24D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10. Войти в Правительство с предложением обязательного импорта, в числе импортируемых автомобилей, тракторов и дорожных машин, дизельных машин с тем, чтобы в начале 1932 года, в условиях рядовой эксплоатации, под наблюдением НАТИ было не менее 100 дизельных машин. </w:t>
      </w:r>
    </w:p>
    <w:p w14:paraId="79581B9C" w14:textId="77777777" w:rsidR="00DE24DE" w:rsidRPr="005E779E" w:rsidRDefault="00DE24D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11. Обязать ВАТО пустить в первом квартале 1932 года в ход опытный завод НАТИ и дизельные лаборатории Института настолько, чтобы они могли исчерпывающе испытывать и самостоятельно строить опытные авто-тракторные дизеля. Обязать Главмашпром и Стройсектор ВСНХ СССР принять все необходимые меры к форсированию окончания нового строительства НАТИ. </w:t>
      </w:r>
    </w:p>
    <w:p w14:paraId="44281653" w14:textId="77777777" w:rsidR="00DE24DE" w:rsidRPr="005E779E" w:rsidRDefault="00DE24D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12. Не подлежит оглашению. </w:t>
      </w:r>
    </w:p>
    <w:p w14:paraId="50ED424C" w14:textId="77777777" w:rsidR="00DE24DE" w:rsidRPr="005E779E" w:rsidRDefault="00DE24D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Для срочного пуска в ход опытного завода НАТИ и его лабораторий обязать Иносектор ВСНХ СССР обеспечить доставку Институту необходимого импортного оборудования. </w:t>
      </w:r>
    </w:p>
    <w:p w14:paraId="391536C6" w14:textId="77777777" w:rsidR="00DE24DE" w:rsidRPr="005E779E" w:rsidRDefault="00DE24D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13. Не подлежит оглашению. </w:t>
      </w:r>
    </w:p>
    <w:p w14:paraId="7DE3299C" w14:textId="77777777" w:rsidR="00DE24DE" w:rsidRPr="005E779E" w:rsidRDefault="00DE24D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Для срочного проведения испытаний обязать Иносектор ВСНХ СССР срочно заказать и обеспечить доставку в НАТИ дизельных машин, дизель-моторов и их аппаратуры до 100.000 рублей в инвалюте. </w:t>
      </w:r>
    </w:p>
    <w:p w14:paraId="0EC04427" w14:textId="77777777" w:rsidR="00DE24DE" w:rsidRPr="005E779E" w:rsidRDefault="00DE24D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14. Обязать ВЭО не менее половины выпускаемых по конструкции НАТИ электрических тормозных машин отпускать НАТИ для оборудования испытательных установок для моторов. </w:t>
      </w:r>
    </w:p>
    <w:p w14:paraId="01035707" w14:textId="77777777" w:rsidR="00DE24DE" w:rsidRPr="005E779E" w:rsidRDefault="00DE24D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15. Не подлежит оглашению. </w:t>
      </w:r>
    </w:p>
    <w:p w14:paraId="782E4643" w14:textId="77777777" w:rsidR="00DE24DE" w:rsidRPr="005E779E" w:rsidRDefault="00DE24D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Обязать Иносектор ВСНХ СССР привлечь в Институт НАТИ высококвалифицированную иностранную техническую и научно-исследовательскую помощь по авто-тракторным дизелям, путем приглашения иностранных специалистов и командирования работников НАТИ за границу. </w:t>
      </w:r>
    </w:p>
    <w:p w14:paraId="224A6451" w14:textId="77777777" w:rsidR="00DE24DE" w:rsidRPr="005E779E" w:rsidRDefault="00DE24D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16. Концентрировать в Дизельном отделе НАТИ квалифицированных инженеров, для чего: </w:t>
      </w:r>
    </w:p>
    <w:p w14:paraId="1AF72CB4" w14:textId="77777777" w:rsidR="00DE24DE" w:rsidRPr="005E779E" w:rsidRDefault="00DE24D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 Обязать Сектор Кадров ВСНХ СССР немедленно войти в директивные инстанции о передаче в Институт задержанных Наркомвнешторгом на заграничной работе инженеров НАТИ – Вишневского, Корсова, Ганевского и Розенберга. </w:t>
      </w:r>
    </w:p>
    <w:p w14:paraId="177AAE7D" w14:textId="77777777" w:rsidR="00DE24DE" w:rsidRPr="005E779E" w:rsidRDefault="00DE24D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б) Обязать ВАО немедленно откомандировать в НАТИ задержанных на 29-м заводе ВАО временно командированных туда год тому назад инженеров НАТИ – Изаксона и Лев. </w:t>
      </w:r>
    </w:p>
    <w:p w14:paraId="5884B49F" w14:textId="77777777" w:rsidR="00DE24DE" w:rsidRPr="005E779E" w:rsidRDefault="00DE24D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Передать в НАТИ использованного не по специальности в Теплотехническом Институте инженера Гутермана – дизелиста, ведающего электрической станцией в Высшем Мех. Машиностроительном Институте инженеров Лебедева и Либровича (по совместителю с ВММИ). </w:t>
      </w:r>
    </w:p>
    <w:p w14:paraId="76120EFA" w14:textId="77777777" w:rsidR="00DE24DE" w:rsidRPr="005E779E" w:rsidRDefault="00DE24D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г) Ввести в директивные органы вопрос о передаче в НАТИ освобождающегося на заграничной работе инженера Кукса. </w:t>
      </w:r>
    </w:p>
    <w:p w14:paraId="2DD57725" w14:textId="77777777" w:rsidR="00DE24DE" w:rsidRPr="005E779E" w:rsidRDefault="00DE24D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17. До пуска в ход опытного завода НАТИ обязать ЧТЗ, Экспериментальный сектор завода АМО и завод "Большевик" строить опытные конструкции авто-тракторных дизелей по проектам НАТИ. </w:t>
      </w:r>
    </w:p>
    <w:p w14:paraId="714896B0" w14:textId="77777777" w:rsidR="00DE24DE" w:rsidRPr="005E779E" w:rsidRDefault="00DE24D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Возложить на Главмашпром общее руководство всей работой по внедрению быстроходных дизель-моторов в производство в СССР, и персональное наблюдение и ответственность за внедрение всей этой работы возложить на Зам. Нач. Главмашпрома ВСНХ СССР – тов. Крицмана.</w:t>
      </w:r>
    </w:p>
    <w:p w14:paraId="08C9CC63" w14:textId="77777777" w:rsidR="00DE24DE" w:rsidRPr="005E779E" w:rsidRDefault="00DE24D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ПРЕДСЕДАТЕЛЯ ВСНХ СССР: (Г. ПЯТАКОВ)</w:t>
      </w:r>
    </w:p>
    <w:p w14:paraId="40B29B8D" w14:textId="77777777" w:rsidR="00DE24DE" w:rsidRPr="005E779E" w:rsidRDefault="00DE24D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 подлинным верно: </w:t>
      </w:r>
    </w:p>
    <w:p w14:paraId="1F0642CC" w14:textId="77777777" w:rsidR="00DE24DE" w:rsidRPr="005E779E" w:rsidRDefault="00DE24D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Корректор Управления Делами ВСНХ СССР: подпись (24866).</w:t>
      </w:r>
    </w:p>
    <w:p w14:paraId="4E3D4607" w14:textId="77777777" w:rsidR="00DE24DE" w:rsidRPr="005E779E" w:rsidRDefault="00DE24DE" w:rsidP="000B7A6C">
      <w:pPr>
        <w:spacing w:after="0" w:line="240" w:lineRule="auto"/>
        <w:jc w:val="both"/>
        <w:rPr>
          <w:rFonts w:ascii="Times New Roman" w:hAnsi="Times New Roman"/>
          <w:color w:val="000000" w:themeColor="text1"/>
          <w:sz w:val="16"/>
          <w:szCs w:val="16"/>
        </w:rPr>
      </w:pPr>
    </w:p>
    <w:p w14:paraId="75D16541" w14:textId="77777777" w:rsidR="003371BD"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7D265928" w14:textId="77777777" w:rsidR="003371BD" w:rsidRPr="005E779E" w:rsidRDefault="003371BD"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3375F1F" w14:textId="77777777" w:rsidR="003371BD" w:rsidRPr="005E779E" w:rsidRDefault="003371BD"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14 октября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Постановление СТО СССР № 213сс о состоянии военно-химического дела (ГА РФ. Ф. Р?8418. Оп. 28. Д. 1а. Л. 61?72) (12415).</w:t>
      </w:r>
    </w:p>
    <w:p w14:paraId="3E491163" w14:textId="77777777" w:rsidR="003371BD" w:rsidRPr="005E779E" w:rsidRDefault="003371BD"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Постановление СТО СССР № 214с о распространении действия постановления СТО № 82сс от 7 мая 1931 г. на водный транспорт (ГА РФ. Ф. Р?8418. Оп. 28. Д. 25а. Л. 1?4) (12415).</w:t>
      </w:r>
    </w:p>
    <w:p w14:paraId="142CD6BD" w14:textId="77777777" w:rsidR="003371BD" w:rsidRPr="005E779E" w:rsidRDefault="003371BD" w:rsidP="000B7A6C">
      <w:pPr>
        <w:spacing w:after="0" w:line="240" w:lineRule="auto"/>
        <w:jc w:val="both"/>
        <w:rPr>
          <w:rFonts w:ascii="Times New Roman" w:hAnsi="Times New Roman"/>
          <w:color w:val="000000" w:themeColor="text1"/>
          <w:sz w:val="16"/>
          <w:szCs w:val="16"/>
          <w:u w:color="002060"/>
        </w:rPr>
      </w:pPr>
    </w:p>
    <w:p w14:paraId="1736C6FC" w14:textId="77777777" w:rsidR="00AD4FAD" w:rsidRPr="005E779E" w:rsidRDefault="00AD4FAD"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bCs/>
          <w:iCs/>
          <w:color w:val="000000" w:themeColor="text1"/>
          <w:sz w:val="16"/>
          <w:szCs w:val="16"/>
        </w:rPr>
        <w:t>14 октября 1931 г.</w:t>
      </w:r>
      <w:r w:rsidRPr="005E779E">
        <w:rPr>
          <w:rFonts w:ascii="Times New Roman" w:hAnsi="Times New Roman"/>
          <w:color w:val="000000" w:themeColor="text1"/>
          <w:sz w:val="16"/>
          <w:szCs w:val="16"/>
        </w:rPr>
        <w:t xml:space="preserve"> Постановление Комиссии Обороны при СТО СССР «</w:t>
      </w:r>
      <w:r w:rsidRPr="005E779E">
        <w:rPr>
          <w:rFonts w:ascii="Times New Roman" w:hAnsi="Times New Roman"/>
          <w:iCs/>
          <w:color w:val="000000" w:themeColor="text1"/>
          <w:sz w:val="16"/>
          <w:szCs w:val="16"/>
        </w:rPr>
        <w:t>О состоянии военно-химического дела</w:t>
      </w:r>
      <w:r w:rsidRPr="005E779E">
        <w:rPr>
          <w:rFonts w:ascii="Times New Roman" w:hAnsi="Times New Roman"/>
          <w:color w:val="000000" w:themeColor="text1"/>
          <w:sz w:val="16"/>
          <w:szCs w:val="16"/>
        </w:rPr>
        <w:t xml:space="preserve">». Представлен доклад специальной комиссии во главе с М.Н.Тухачевским. Мощности по выпуску ОВ по состоянию на 1 мая 1931 составили: по иприту 1800 тонн в год на химзаводе № 1 (Москва, нынешний ГСНИИОХТ) и 5000 тонн на госхимзаводе № 2 (Чапаевск), по фосгену — 1000 тонн на госхимзаводе № 1, 4000 тонн на Чернореченском химическом заводе и 2000 тонн на Рубежанском химическом заводе. Армейский запас артснарядов составлял на 1 мая 1931 г. в снаряжении ипритом — 90000 штук (в том числе 76 мм — 59000, 107 мм — 22000, 122 мм — 9000), а в снаряжении фосгеном и дифосгеном — 340000 штук (в том числе 76 мм — 250000, 107 мм — 31000, 122 мм — 59000). Запас авиахимбомб составлял 7600 штук (калибр — 8 кг). Страна располагала двумя станциями разливки ОВ по артхимбоеприпасам: в Москве на военно-химическом </w:t>
      </w:r>
      <w:r w:rsidRPr="005E779E">
        <w:rPr>
          <w:rFonts w:ascii="Times New Roman" w:hAnsi="Times New Roman"/>
          <w:color w:val="000000" w:themeColor="text1"/>
          <w:sz w:val="16"/>
          <w:szCs w:val="16"/>
        </w:rPr>
        <w:lastRenderedPageBreak/>
        <w:t>складе № 136 (Очаково) мобилизационной мощностью 1130000 шт. и в Чапаевске (Самарская область) на химзаводе № 2 с мощностью 4000000 шт. Решено мощность по производству синильной кислоты довести до 1500 тонн в год. НКВМ было предписано ввести на вооружение 25 кг и 100 кг авиационные химические бомбы и повысить удельный вес химических и осколочно-химических авиабомб к общему количеству авиабомб с 17% до 25 % (17133).</w:t>
      </w:r>
    </w:p>
    <w:p w14:paraId="2B7C7F79" w14:textId="77777777" w:rsidR="00AD4FAD" w:rsidRPr="005E779E" w:rsidRDefault="00AD4FAD" w:rsidP="000B7A6C">
      <w:pPr>
        <w:shd w:val="clear" w:color="auto" w:fill="FFFFFF"/>
        <w:spacing w:after="0" w:line="240" w:lineRule="auto"/>
        <w:jc w:val="both"/>
        <w:rPr>
          <w:rFonts w:ascii="Times New Roman" w:hAnsi="Times New Roman"/>
          <w:color w:val="000000" w:themeColor="text1"/>
          <w:sz w:val="16"/>
          <w:szCs w:val="16"/>
        </w:rPr>
      </w:pPr>
    </w:p>
    <w:p w14:paraId="62331B33" w14:textId="77777777" w:rsidR="00513C11" w:rsidRPr="005E779E" w:rsidRDefault="00513C11" w:rsidP="000B7A6C">
      <w:pPr>
        <w:pStyle w:val="rtejustify"/>
        <w:spacing w:before="0" w:after="0"/>
        <w:rPr>
          <w:color w:val="000000" w:themeColor="text1"/>
          <w:sz w:val="16"/>
          <w:szCs w:val="16"/>
        </w:rPr>
      </w:pPr>
      <w:r w:rsidRPr="005E779E">
        <w:rPr>
          <w:rStyle w:val="af0"/>
          <w:i w:val="0"/>
          <w:color w:val="000000" w:themeColor="text1"/>
          <w:sz w:val="16"/>
          <w:szCs w:val="16"/>
        </w:rPr>
        <w:t>14 октября 1931 г. впостановлении СТО СССР № 213сс «О состоянии военно-химического дела»</w:t>
      </w:r>
      <w:r w:rsidRPr="005E779E">
        <w:rPr>
          <w:color w:val="000000" w:themeColor="text1"/>
          <w:sz w:val="16"/>
          <w:szCs w:val="16"/>
        </w:rPr>
        <w:t xml:space="preserve"> отмечалось неудовлетворительное состояние военно-химического вооружения РККА и его промышленного обеспечения, что было вызвано следующими причинами: недостаточное развертывание научно-исследовательской работы; отсутствие конструкторской работы; неудовлетворительное выполнение текущих опытных заказов и плохое качество поставляемых приборов; невыполнение сроков строительства основных объектов военно-химического вооружения, а также недостаточное внимание к военно-химическому делу со стороны НКВМ и ВСНХ СССР.</w:t>
      </w:r>
    </w:p>
    <w:p w14:paraId="5DA74FFD" w14:textId="77777777" w:rsidR="00513C11" w:rsidRPr="005E779E" w:rsidRDefault="00513C11" w:rsidP="000B7A6C">
      <w:pPr>
        <w:pStyle w:val="rtejustify"/>
        <w:spacing w:before="0" w:after="0"/>
        <w:rPr>
          <w:color w:val="000000" w:themeColor="text1"/>
          <w:sz w:val="16"/>
          <w:szCs w:val="16"/>
        </w:rPr>
      </w:pPr>
      <w:r w:rsidRPr="005E779E">
        <w:rPr>
          <w:color w:val="000000" w:themeColor="text1"/>
          <w:sz w:val="16"/>
          <w:szCs w:val="16"/>
        </w:rPr>
        <w:t>Для улучшения положения в военно-химической промышленности ВСНХ предлагалось в двухмесячный срок: а) организовать конструкторские бюро по предметам военно-химического вооружения; б) организовать центральные научно-исследовательские лаборатории по химии и технологии отравляющих веществ и по противогазам и дымовым шашкам; в) выполнение заданий НКВМ по конструкторским и исследовательским работам проводить в ударном порядке, обеспечив эти работы необходимыми кадрами, финансированием и оборудованием. На НКВМ возлагались следующие обязательства: а) в двухмесячный срок организовать конструкторское бюро по средствам коллективной защиты; б) в месячный срок передать ВСНХ для работы в конструкторском бюро и лабораториях 15 инженеров.</w:t>
      </w:r>
    </w:p>
    <w:p w14:paraId="76B47C4A" w14:textId="77777777" w:rsidR="00513C11" w:rsidRPr="005E779E" w:rsidRDefault="00513C11" w:rsidP="000B7A6C">
      <w:pPr>
        <w:pStyle w:val="rtejustify"/>
        <w:spacing w:before="0" w:after="0"/>
        <w:rPr>
          <w:color w:val="000000" w:themeColor="text1"/>
          <w:sz w:val="16"/>
          <w:szCs w:val="16"/>
        </w:rPr>
      </w:pPr>
      <w:r w:rsidRPr="005E779E">
        <w:rPr>
          <w:color w:val="000000" w:themeColor="text1"/>
          <w:sz w:val="16"/>
          <w:szCs w:val="16"/>
        </w:rPr>
        <w:t>По средствам противохимической защиты постановлением предусматривались следующие мероприятия: 1. ВСНХ и НКВМ в течение 1931 г. закончить разработку улучшенного типа противогаза и после испытаний ввести на вооружение РККА. 2</w:t>
      </w:r>
      <w:r w:rsidRPr="005E779E">
        <w:rPr>
          <w:rStyle w:val="af0"/>
          <w:i w:val="0"/>
          <w:color w:val="000000" w:themeColor="text1"/>
          <w:sz w:val="16"/>
          <w:szCs w:val="16"/>
        </w:rPr>
        <w:t>. </w:t>
      </w:r>
      <w:r w:rsidRPr="005E779E">
        <w:rPr>
          <w:color w:val="000000" w:themeColor="text1"/>
          <w:sz w:val="16"/>
          <w:szCs w:val="16"/>
        </w:rPr>
        <w:t>В 1932 г. ВСНХ закончить строительство производства гопкалита против окиси углерода. 3. НКВМ и ВСНХ в 1931 г. закончить конструирование и испытание изолирующего противогаза. По средствам химического нападения: 1. Предложить ВСНХ и НКВМ предусмотреть в контрольных цифрах 1932 г. «решительный сдвиг в сторону увеличения производства дымовых веществ». 2. Обязать ВСНХ в 1932 г. закончить постройку и монтаж мощного завода иприта. 3. ВСНХ не позднее 1 января 1932 г. организовать полузаводское производство хлористого алюминия на 1000 тонн.</w:t>
      </w:r>
    </w:p>
    <w:p w14:paraId="05112BDB" w14:textId="77777777" w:rsidR="00513C11" w:rsidRPr="005E779E" w:rsidRDefault="00513C11" w:rsidP="000B7A6C">
      <w:pPr>
        <w:pStyle w:val="rtejustify"/>
        <w:spacing w:before="0" w:after="0"/>
        <w:rPr>
          <w:color w:val="000000" w:themeColor="text1"/>
          <w:sz w:val="16"/>
          <w:szCs w:val="16"/>
        </w:rPr>
      </w:pPr>
      <w:r w:rsidRPr="005E779E">
        <w:rPr>
          <w:color w:val="000000" w:themeColor="text1"/>
          <w:sz w:val="16"/>
          <w:szCs w:val="16"/>
        </w:rPr>
        <w:t>Выполнение текущих и опытных заказов и «капитальное строительство по средствам противохимической защиты, по отравляющим веществам, хлору, сере и мышьяку» приравнивались к ударным наравне со строительством военной промышленности. Для укрепления сырьевой базы постановлением предусматривалось строительство заводов по производству угля-сырца, хлора, серы газовой; увеличение добычи мышьяка, брома и серы. (ГА РФ. Ф. Р</w:t>
      </w:r>
      <w:r w:rsidRPr="005E779E">
        <w:rPr>
          <w:color w:val="000000" w:themeColor="text1"/>
          <w:sz w:val="16"/>
          <w:szCs w:val="16"/>
        </w:rPr>
        <w:noBreakHyphen/>
        <w:t>8418. Оп. 28. Д. 1а. Л. 61</w:t>
      </w:r>
      <w:r w:rsidRPr="005E779E">
        <w:rPr>
          <w:color w:val="000000" w:themeColor="text1"/>
          <w:sz w:val="16"/>
          <w:szCs w:val="16"/>
        </w:rPr>
        <w:noBreakHyphen/>
        <w:t>72) (12538).</w:t>
      </w:r>
    </w:p>
    <w:p w14:paraId="7ECC2588" w14:textId="77777777" w:rsidR="00513C11" w:rsidRPr="005E779E" w:rsidRDefault="00513C11" w:rsidP="000B7A6C">
      <w:pPr>
        <w:spacing w:after="0" w:line="240" w:lineRule="auto"/>
        <w:jc w:val="both"/>
        <w:rPr>
          <w:rFonts w:ascii="Times New Roman" w:hAnsi="Times New Roman"/>
          <w:color w:val="000000" w:themeColor="text1"/>
          <w:sz w:val="16"/>
          <w:szCs w:val="16"/>
        </w:rPr>
      </w:pPr>
    </w:p>
    <w:p w14:paraId="78C8BC5A" w14:textId="77777777" w:rsidR="00FB59EB" w:rsidRPr="005E779E" w:rsidRDefault="00FB59EB"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47EEC2E7" w14:textId="77777777" w:rsidR="00FB59EB" w:rsidRPr="005E779E" w:rsidRDefault="00FB59EB"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DB7FBA6" w14:textId="77777777" w:rsidR="00FB59EB" w:rsidRPr="005E779E" w:rsidRDefault="00FB59E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октября 1931 г.</w:t>
      </w:r>
    </w:p>
    <w:p w14:paraId="063DE015" w14:textId="77777777" w:rsidR="00FB59EB" w:rsidRPr="005E779E" w:rsidRDefault="00FB59E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Письмо инженера К. Ф. Неймаера неустановленному адресату, сотруднику ВСНХ, с просьбой о содействии в освобождении. 14 октября 1931 г.</w:t>
      </w:r>
    </w:p>
    <w:p w14:paraId="0ECA31C4" w14:textId="77777777" w:rsidR="00FB59EB" w:rsidRPr="005E779E" w:rsidRDefault="00FB59E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Источник: </w:t>
      </w:r>
    </w:p>
    <w:p w14:paraId="7DE3DF27" w14:textId="77777777" w:rsidR="00FB59EB" w:rsidRPr="005E779E" w:rsidRDefault="00FB59E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9F4C8CA" w14:textId="77777777" w:rsidR="00FB59EB" w:rsidRPr="005E779E" w:rsidRDefault="00FB59E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октября 1931 г.</w:t>
      </w:r>
    </w:p>
    <w:p w14:paraId="2EC7BD55" w14:textId="77777777" w:rsidR="00FB59EB" w:rsidRPr="005E779E" w:rsidRDefault="00FB59E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МНОГОУВАЖАЕМЫЙ ИВАН СЕРГЕЕВИЧ.</w:t>
      </w:r>
    </w:p>
    <w:p w14:paraId="3FB73873" w14:textId="77777777" w:rsidR="00FB59EB" w:rsidRPr="005E779E" w:rsidRDefault="00FB59E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Узнал, что Вы находитесь в Москве в ВСНХ и решил обратиться к Вам с просьбой оказать мне помощь выйти из того положения, в котором я сейчас нахожусь. Уверен, что Вы помните Неймаера по совместной работе в ГОМЗе, знаете также, что я был техническим руководителем по проектировке и сооружению на Ижорском заводе блюминга. Предложение взять на себя проектировку и руководство по изготовлению блюминга было сделано мне и В. А. Тихомирову представителем Экономического Отделения ОГПУ Горяновым от лица Коллегии ОГПУ, причем было заявлено, что дело будет ликвидировано, если блюминг будет изготовлен на Краматорском заводе. В дальнейшем, однако, было решено блюминг делать на Ижорском заводе. Подтверждение ликвидации дела и выпуска нас на свободу по изготовлении блюминга было сделано также Начальником Экономического Отделения] ОГПУ Прокофьевым во время его посещения Ижорского завода.</w:t>
      </w:r>
    </w:p>
    <w:p w14:paraId="72FD740F" w14:textId="77777777" w:rsidR="00FB59EB" w:rsidRPr="005E779E" w:rsidRDefault="00FB59E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Работали мы с раннего утра до поздней ночи без дней отдыха, проектировали, делали разного рода приспособления в различных мастерских Ижорского завода, руководили производством, обучали рабочих, в конце апреля 1931 г. дали первый советский блюминг.</w:t>
      </w:r>
    </w:p>
    <w:p w14:paraId="005A4CF4" w14:textId="77777777" w:rsidR="00FB59EB" w:rsidRPr="005E779E" w:rsidRDefault="00FB59E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Понятно[,] мы ожидали освобождения во исполнение данных нам двумя солидными представителями ОГПУ обещаний, но увы этого не случилось, причем наше начальство Остащенко заявил, что надо сделать еще один блюминг и тогда нам дадут свободу. К 25 сентября 1931 г. был готов 2-й советский &lt;блюминг&gt;, но и тут обещание не было выполнено, а 3-го октября меня и еще 4-х человек перевезли в Макеевку. Объявили, что к нам применен облегченный режим — мы ходим без стражи в город, по заводу, но не можем никого посещать или выезжать из Макеевки. Таким образом, ГПУ образовало при Макеевском заводе отделение нашего «Особого конструкторского Бюро № 3» для надзора за постройкою, якобы не только блюминга, но и мартенов с нагревательными колодцами. Всего здесь в бюро с ранее прибывшими 7 чел. За исключением одного командированного нами с Ижорского завода для записи и надзора за хранением прибывших частей блюминга, остальным делать нечего. Сами понимаете, что такая работа, как строительство требует не надзора, а действительной работы, но для этого надо иметь определенные права, в таком же положении, в котором находимся мы, пользы от нас весьма мало, а чудес делать мы не умеем. Другое дело, если бы люди были переданы заводу и получили бы определенные права в известной области. Со мною мое начальство Остащенко не советовался, полагая, вероятно, что он уже знает техническое дело в совершенстве. Между прочим, перебросили сюда и инж. Скворцова — специальности по механической обработке и инструментальное дело. Полезный для станкостроительного или машиностроительного завода специалист пропадает и делать ему здесь нечего. Я с моим опытом по строительству с пользою для дела мог быть использован при Правлении «Стали» или Гипростали как при проектировке, так и по строительству заводов. Словом, с точки зрения использования специалистов с наибольшею пользою для дела, такое решение в отношении нас не выдерживает никакой критики.</w:t>
      </w:r>
    </w:p>
    <w:p w14:paraId="2346D687" w14:textId="77777777" w:rsidR="00FB59EB" w:rsidRPr="005E779E" w:rsidRDefault="00FB59E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Нам теперь говорят, что когда блюминг будет пущен, тогда нас освободят. Но пущен он будет не ранее Сентября с. г. и то в том случае, если ножницы будут доставлены из-за границы; если же ножницы будет делать Краматорский завод, то срок пуска отдалится на 1-2 месяца. Что же мы будем делать до тех пор. Сборка блюминга начнется не ранее середины или конца марта. Сборка будет вестись Ижорским заводом, надзор будет на месте в количестве 1-2 инж[енеров] и наездом Тихомирова. Этого достаточно, н[о] наше начальство полагает, что надо держать целую стаю инженеров и обязательно под их высоким управлением, т. е. сохранив О.К.Д.З. и полутюремный режим. Понятно[,] им это приносит некоторые материальные выгоды, но в общем это абсурд.</w:t>
      </w:r>
    </w:p>
    <w:p w14:paraId="6FA0C11F" w14:textId="77777777" w:rsidR="00FB59EB" w:rsidRPr="005E779E" w:rsidRDefault="00FB59E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 всех нас подавленное настроение от проявленной к нам несправедливости. Много инженеров не делали ничего или пустяки &lt;по сравнении&gt; с проделанной нами работой и они уже на свободе, служат на заводах и живут со своей семьей, а мы работали, не покладая рук, не зная дней отдыха, с утра до поздней ночи сооружали грандиозную машину, сберегли Советской власти несколько миллионов рублей валюты — мы должны продолжать пребывать при полутюремном режиме, при чем ОГПУ до сих пор не сняло даже у многих из наших конфискации имущества, хотя решение об этом состоялось уже давно. Наш начальник Остащенко смотрит на нас, как на объектов для использования и не проявляет никакой заботы о реализации данных нам обещаний.</w:t>
      </w:r>
    </w:p>
    <w:p w14:paraId="051DC6D0" w14:textId="77777777" w:rsidR="00FB59EB" w:rsidRPr="005E779E" w:rsidRDefault="00FB59E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Я не могу себе представить, как может такое учреждение, как Коллегия ОГПУ, не исполнить своего обещания, или Горянов говорил неправду. Почему именно к нам проявлено такое жестокое отношение и не дают нам свободы с прикреплением к блюмингу на время его сборки, хотя последнее тоже не обязательно для всех, при чем мы должны были бы быть переданы Макеевскому и Ижорскому заводам и частью «Стали». Из всего вышеизложенного Вам ясно положение дела, можно добавить, что мы подавали нашему Остащенко прошение на имя тов. Орджоникидзе, в котором просили его освободить нас. Не знаю было ли передано это прошение.</w:t>
      </w:r>
    </w:p>
    <w:p w14:paraId="6260D979" w14:textId="77777777" w:rsidR="00FB59EB" w:rsidRPr="005E779E" w:rsidRDefault="00FB59E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Очень прошу Вас Иван Сергеевич во имя нашей совместной работы и для пользы дела строительства в нашем Союзе оказать Ваше посильное содействие к моему освобождению и передаче меня [«]Стали[»] в Харьков, где я могу принести пользу своей работой не только по Макеевскому заводу, но и по другим заводам того же объединения.</w:t>
      </w:r>
    </w:p>
    <w:p w14:paraId="3883F4D6" w14:textId="77777777" w:rsidR="00FB59EB" w:rsidRPr="005E779E" w:rsidRDefault="00FB59E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 форма якобы помощи Мак[еевскому] заводу, которую создала ГПУ в виде отдельного] Особ[ого] Конструкторского] Бюро-3, ничего существенного дать не может.</w:t>
      </w:r>
    </w:p>
    <w:p w14:paraId="39549594" w14:textId="77777777" w:rsidR="00FB59EB" w:rsidRPr="005E779E" w:rsidRDefault="00FB59E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товарищеским приветом — К. Неймаер.</w:t>
      </w:r>
    </w:p>
    <w:p w14:paraId="7CFB0E74" w14:textId="77777777" w:rsidR="00FB59EB" w:rsidRPr="005E779E" w:rsidRDefault="00FB59E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Макеевка, Донбасс</w:t>
      </w:r>
    </w:p>
    <w:p w14:paraId="4666611D" w14:textId="77777777" w:rsidR="00FB59EB" w:rsidRPr="005E779E" w:rsidRDefault="00FB59E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Почт[овое] Отд[еление] Металлургического] завода до востребования.</w:t>
      </w:r>
    </w:p>
    <w:p w14:paraId="60A881CE" w14:textId="77777777" w:rsidR="00FB59EB" w:rsidRPr="005E779E" w:rsidRDefault="00FB59E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 356. Л. 137-138. Машинописная копия того времени. Дата «14/Х-31 г.» на Л. 137 вверху справа (машинописью). Рукописная помета на Л. 137 вверху слева (карандашом) «Тов. Сталину. Прошу прочесть письмо инж. Неймаера. По[-]моему надо всех их освободить. Серго. 19/Х» (18674).</w:t>
      </w:r>
    </w:p>
    <w:p w14:paraId="3B88A7BC" w14:textId="77777777" w:rsidR="00FB59EB" w:rsidRPr="005E779E" w:rsidRDefault="00FB59EB" w:rsidP="000B7A6C">
      <w:pPr>
        <w:spacing w:after="0" w:line="240" w:lineRule="auto"/>
        <w:jc w:val="both"/>
        <w:rPr>
          <w:rFonts w:ascii="Times New Roman" w:hAnsi="Times New Roman"/>
          <w:color w:val="000000" w:themeColor="text1"/>
          <w:sz w:val="16"/>
          <w:szCs w:val="16"/>
        </w:rPr>
      </w:pPr>
    </w:p>
    <w:p w14:paraId="0497A05B"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Внешняя политика:</w:t>
      </w:r>
    </w:p>
    <w:p w14:paraId="47EF7A5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935D0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14 октября 1931 г. Литвинов предложил польскому поверенному в Москве подписать советско-польский пакт о ненападении. 25 июля 1932 г. он был подписан, а 29 ноября 1932 г. состоялось подписание и советско-французского пакта о ненападении. При этом Париж пытался представить дело таким образом, что переговоры о пакте были начаты по инициативе Москвы, и Париж пошел на них лишь после того, как поверил, что аналогичные переговоры ведутся также между Москвой и Варшавой. За всеми этими французскими шагами стоял замысел рассорить Германию с СССР и в конечном счете перетянуть Берлин на свою сторону, продемонстрировав ему сначала ненадежность Москвы как стратегического союзника. Ведь, действительно, получалось, что СССР заключил пакты с двумя злейшими </w:t>
      </w:r>
      <w:r w:rsidRPr="005E779E">
        <w:rPr>
          <w:rFonts w:ascii="Times New Roman" w:hAnsi="Times New Roman"/>
          <w:color w:val="000000" w:themeColor="text1"/>
          <w:sz w:val="16"/>
          <w:szCs w:val="16"/>
        </w:rPr>
        <w:lastRenderedPageBreak/>
        <w:t>противниками Германии, против которых в Берлине были обращены взоры практически всех политических партий страны, жившей идеей пересмотра границ. Однако Москва, сыграв «парижскую партию», сумела доказать Берлину тщетность всех усилий французов. И не случайно тогдашний канцлер Германии Брюнинг в своих мемуарах по этому поводу писал: «С весны 1931 года французы то и дело безрезультатно пытались отколоть от нас Россию» (Heinrich Bruning. Memoiren. Stuttgart, 1970. S. 616.). Симптоматичны в этой связи следующие слова Брюнинга: «Мы отпустим мизинец России, за который держимся сейчас, только тогда, когда будем твердо держать в своих руках руку Франции». Но этой-то «руки Франции» как раз и не было. Не случайно Брюнинг, сожалея впоследствии о начавшихся портиться тогда советско-германских отношениях, отметил: «Основа для полного отхода от России была заложена без какой-либо выгоды для нас взамен» (Ахтамзян А. А. Указ, соч, с. 277—278.). Таким образом, Парижу таки удалось добиться одной из своих целей — между Москвой и Берлином пролегла тень недоверия, а германская пресса истолковала переговоры СССР с Францией и Польшей и последующее заключение соответствующих пактов о ненападении как «взрыв» Рапалло. Москва свою «податливость» Франции объясняла реализацией политики безопасности, выражавшейся в заключении ряда двусторонних пактов о ненападении со своими соседями Турцией, Ираном, Афганистаном, той же Германией (11784).</w:t>
      </w:r>
    </w:p>
    <w:p w14:paraId="3099DB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9948E9F" w14:textId="77777777" w:rsidR="00157036" w:rsidRPr="005E779E" w:rsidRDefault="0015703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октября 1931 г. Литвинов предложил польскому поверенному в Москве подписать советско-польский пакт о ненападении. 25 июля 1932 г. он был подписан, а 29 ноября 1932 г. состоялось подписание и советско-французского пакта о ненападении. При этом Париж пытался представить дело таким образом, что переговоры о пакте были начаты по инициативе Москвы, и Париж пошел на них лишь после того, как поверил, что аналогичные переговоры ведутся также между Москвой и Варшавой. За всеми этими французскими шагами стоял замысел рассорить Германию с СССР и в конечном счете перетянуть Берлин на свою сторону, продемонстрировав ему сначала ненадежность Москвы как стратегического союзника. Ведь, действительно, получалось, что СССР заключил пакты с двумя злейшими противниками Германии, против которых в Берлине были обращены взоры практически всех политических партий страны, жившей идеей пересмотра границ.</w:t>
      </w:r>
    </w:p>
    <w:p w14:paraId="73301B5D" w14:textId="77777777" w:rsidR="00157036" w:rsidRPr="005E779E" w:rsidRDefault="0015703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Однако Москва, сыграв «парижскую партию», сумела доказать Берлину тщетность всех усилий французов (18265).</w:t>
      </w:r>
    </w:p>
    <w:p w14:paraId="1796A211" w14:textId="77777777" w:rsidR="00157036" w:rsidRPr="005E779E" w:rsidRDefault="00157036" w:rsidP="000B7A6C">
      <w:pPr>
        <w:spacing w:after="0" w:line="240" w:lineRule="auto"/>
        <w:jc w:val="both"/>
        <w:rPr>
          <w:rFonts w:ascii="Times New Roman" w:hAnsi="Times New Roman"/>
          <w:color w:val="000000" w:themeColor="text1"/>
          <w:sz w:val="16"/>
          <w:szCs w:val="16"/>
        </w:rPr>
      </w:pPr>
    </w:p>
    <w:p w14:paraId="447C1A17" w14:textId="77777777" w:rsidR="00E92B50" w:rsidRPr="005E779E" w:rsidRDefault="00E92B50"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6801C22A" w14:textId="77777777" w:rsidR="00E92B50" w:rsidRPr="005E779E" w:rsidRDefault="00E92B50"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10A4F12" w14:textId="77777777" w:rsidR="00E92B50" w:rsidRPr="005E779E" w:rsidRDefault="00E92B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октября 1931 года — первый полёт палубного истребителя Hawker Nimrod. /Великобритания/</w:t>
      </w:r>
    </w:p>
    <w:p w14:paraId="0388102E" w14:textId="77777777" w:rsidR="00E92B50" w:rsidRPr="005E779E" w:rsidRDefault="00E92B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Ещё в 1926 году авиационное министерство Великобритании объявило конкурс проектов для замены устаревшего палубного истребителя Fairey Flycatcher. В 1930 году компания Hawker Aircraft предложила свой проект. Конструктор Сидней Камм спроектировал палубный истребитель Norn, позднее переименованный в Nimrod.</w:t>
      </w:r>
    </w:p>
    <w:p w14:paraId="15E16663" w14:textId="77777777" w:rsidR="00E92B50" w:rsidRPr="005E779E" w:rsidRDefault="00E92B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Самолёт был типичным для своего времени бипланом с неубирающимся шасси и открытой кабиной. Двигатель Rolls-Royce Kestrel VFP V-12 позволял развить скорость до 312 км/ч. Nimrod стал первым флотским истребителем с рядным двигателем — до этого предпочтение отдавалось радиальным. Вооружение — 2 × 7,7-мм пулемётов + 4 × 9 кг бомбы на подкрыльевых подвесках.</w:t>
      </w:r>
    </w:p>
    <w:p w14:paraId="032194BA" w14:textId="77777777" w:rsidR="00E92B50" w:rsidRPr="005E779E" w:rsidRDefault="00E92B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 выпустили 92 единицы Hawker Nimrod. Самолёт стоял на вооружении морской авиации Королевских ВМС Великобритании. Несколько истребителей было поставлено на экспорт в Данию, Португалию и Японию. Сегодня в Англии сохранилось 2 летающих Nimrod (22300).</w:t>
      </w:r>
    </w:p>
    <w:p w14:paraId="3A536869" w14:textId="77777777" w:rsidR="00E92B50" w:rsidRPr="005E779E" w:rsidRDefault="00E92B50" w:rsidP="000B7A6C">
      <w:pPr>
        <w:spacing w:after="0" w:line="240" w:lineRule="auto"/>
        <w:jc w:val="both"/>
        <w:rPr>
          <w:rFonts w:ascii="Times New Roman" w:hAnsi="Times New Roman"/>
          <w:color w:val="000000" w:themeColor="text1"/>
          <w:sz w:val="16"/>
          <w:szCs w:val="16"/>
        </w:rPr>
      </w:pPr>
    </w:p>
    <w:p w14:paraId="28737B32" w14:textId="77777777" w:rsidR="00E92B50" w:rsidRPr="005E779E" w:rsidRDefault="00E92B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октября 1931 было письмо Нобиле от фашистской партии:</w:t>
      </w:r>
    </w:p>
    <w:p w14:paraId="7149F0D2" w14:textId="77777777" w:rsidR="00E92B50" w:rsidRPr="005E779E" w:rsidRDefault="00E92B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Национальная фашистская партия</w:t>
      </w:r>
    </w:p>
    <w:p w14:paraId="3CA8A951" w14:textId="77777777" w:rsidR="00E92B50" w:rsidRPr="005E779E" w:rsidRDefault="00E92B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Секретариат Рим, 14 октября 1931 г.</w:t>
      </w:r>
    </w:p>
    <w:p w14:paraId="2D745A2D" w14:textId="77777777" w:rsidR="00E92B50" w:rsidRPr="005E779E" w:rsidRDefault="00E92B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Уважаемый товарищ, Благодарю Вас за Ваше письмо, которое я прочел с должным вниманием. В этой связи, я рад сообщить Вам, что ничто не препятствует Вашему отправлению в Россию, чтобы принять на себя полномочия технического консультанта при ВО ГВФ.</w:t>
      </w:r>
    </w:p>
    <w:p w14:paraId="63B42A57" w14:textId="77777777" w:rsidR="00E92B50" w:rsidRPr="005E779E" w:rsidRDefault="00E92B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уважением,</w:t>
      </w:r>
    </w:p>
    <w:p w14:paraId="11C93C13" w14:textId="77777777" w:rsidR="00E92B50" w:rsidRPr="005E779E" w:rsidRDefault="00E92B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Джурати</w:t>
      </w:r>
    </w:p>
    <w:p w14:paraId="70127107" w14:textId="77777777" w:rsidR="00E92B50" w:rsidRPr="005E779E" w:rsidRDefault="00E92B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Инженеру генералу Умберто Нобиле Виа Джузеппе Феррари, 4 РИМ (21410).</w:t>
      </w:r>
    </w:p>
    <w:p w14:paraId="0E87085E" w14:textId="77777777" w:rsidR="00E92B50" w:rsidRPr="005E779E" w:rsidRDefault="00E92B50" w:rsidP="000B7A6C">
      <w:pPr>
        <w:spacing w:after="0" w:line="240" w:lineRule="auto"/>
        <w:jc w:val="both"/>
        <w:rPr>
          <w:rFonts w:ascii="Times New Roman" w:hAnsi="Times New Roman"/>
          <w:color w:val="000000" w:themeColor="text1"/>
          <w:sz w:val="16"/>
          <w:szCs w:val="16"/>
        </w:rPr>
      </w:pPr>
    </w:p>
    <w:p w14:paraId="08D43395"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4FCB8098"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D111A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15-го октября 1931 года был заслушан доклад руководителя проектированием Г-1 в ВВА Козлова по эскизному проекту самолета Г-1 (3054).</w:t>
      </w:r>
    </w:p>
    <w:p w14:paraId="24259A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19286B6" w14:textId="77777777" w:rsidR="003371BD" w:rsidRPr="005E779E" w:rsidRDefault="003371BD"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15 октября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Протокол заседания Политбюро ЦК ВКП(б) № 69. 14. О строительстве авиакомбината в Харькове. Постановили: просьбу ЦК КП(б)У об оставлении строительства авиакомбината в Харькове отклонить. (РГАСПИ. Ф. 17. Оп. 163. Д. 910. Л. 18) (12416).</w:t>
      </w:r>
    </w:p>
    <w:p w14:paraId="7D46C63C" w14:textId="77777777" w:rsidR="003371BD" w:rsidRPr="005E779E" w:rsidRDefault="003371BD" w:rsidP="000B7A6C">
      <w:pPr>
        <w:spacing w:after="0" w:line="240" w:lineRule="auto"/>
        <w:jc w:val="both"/>
        <w:rPr>
          <w:rFonts w:ascii="Times New Roman" w:hAnsi="Times New Roman"/>
          <w:color w:val="000000" w:themeColor="text1"/>
          <w:sz w:val="16"/>
          <w:szCs w:val="16"/>
          <w:u w:color="002060"/>
        </w:rPr>
      </w:pPr>
    </w:p>
    <w:p w14:paraId="1F2FEF00" w14:textId="77777777" w:rsidR="003371BD"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0CF08894" w14:textId="77777777" w:rsidR="003371BD" w:rsidRPr="005E779E" w:rsidRDefault="003371BD"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2B44460" w14:textId="77777777" w:rsidR="003371BD" w:rsidRPr="005E779E" w:rsidRDefault="003371BD"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15 октября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Постановление СТО СССР № 216сс об образовании комиссии для рассмотрения вопроса о замене латуни в винтовочных патронах и орудийных гильзах биметаллом и железом (ГА РФ. Ф. Р?8418. Оп. 28. Д. 1а. Л. 75) (12415).</w:t>
      </w:r>
    </w:p>
    <w:p w14:paraId="58AFC99A" w14:textId="77777777" w:rsidR="003371BD" w:rsidRPr="005E779E" w:rsidRDefault="003371BD" w:rsidP="000B7A6C">
      <w:pPr>
        <w:spacing w:after="0" w:line="240" w:lineRule="auto"/>
        <w:jc w:val="both"/>
        <w:rPr>
          <w:rFonts w:ascii="Times New Roman" w:hAnsi="Times New Roman"/>
          <w:color w:val="000000" w:themeColor="text1"/>
          <w:sz w:val="16"/>
          <w:szCs w:val="16"/>
          <w:u w:color="002060"/>
        </w:rPr>
      </w:pPr>
    </w:p>
    <w:p w14:paraId="6AD5F1A9"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 15 октября 1931 г. Ижорский завод отправил на ХПЗ 25 больших и 25 малых башен Т-24 (12303).</w:t>
      </w:r>
    </w:p>
    <w:p w14:paraId="2CA4D3A3" w14:textId="77777777" w:rsidR="003371BD" w:rsidRPr="005E779E" w:rsidRDefault="003371BD" w:rsidP="000B7A6C">
      <w:pPr>
        <w:spacing w:after="0" w:line="240" w:lineRule="auto"/>
        <w:jc w:val="both"/>
        <w:rPr>
          <w:rFonts w:ascii="Times New Roman" w:hAnsi="Times New Roman"/>
          <w:color w:val="000000" w:themeColor="text1"/>
          <w:sz w:val="16"/>
          <w:szCs w:val="16"/>
        </w:rPr>
      </w:pPr>
    </w:p>
    <w:p w14:paraId="117ABD11" w14:textId="77777777" w:rsidR="001A6B4D" w:rsidRPr="00142305" w:rsidRDefault="001A6B4D" w:rsidP="001A6B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До 15 октября 1931 г. Ижорский завод отправил на ХПЗ 25 больших и 25 малых башен для Т-24 (25479).</w:t>
      </w:r>
    </w:p>
    <w:p w14:paraId="2CB3DF83" w14:textId="77777777" w:rsidR="001A6B4D" w:rsidRPr="00142305" w:rsidRDefault="001A6B4D" w:rsidP="001A6B4D">
      <w:pPr>
        <w:spacing w:after="0" w:line="240" w:lineRule="auto"/>
        <w:jc w:val="both"/>
        <w:rPr>
          <w:rFonts w:ascii="Times New Roman" w:hAnsi="Times New Roman"/>
          <w:color w:val="0070C0"/>
          <w:sz w:val="16"/>
          <w:szCs w:val="16"/>
        </w:rPr>
      </w:pPr>
    </w:p>
    <w:p w14:paraId="4A57D5C7" w14:textId="77777777" w:rsidR="005B49AB" w:rsidRPr="005E779E" w:rsidRDefault="005B49AB" w:rsidP="000B7A6C">
      <w:pPr>
        <w:spacing w:after="0" w:line="240" w:lineRule="auto"/>
        <w:jc w:val="both"/>
        <w:rPr>
          <w:rFonts w:ascii="Times New Roman" w:hAnsi="Times New Roman"/>
          <w:color w:val="000000" w:themeColor="text1"/>
          <w:sz w:val="16"/>
          <w:szCs w:val="16"/>
        </w:rPr>
      </w:pPr>
      <w:r w:rsidRPr="005E779E">
        <w:rPr>
          <w:rStyle w:val="ucoz-forum-post"/>
          <w:rFonts w:ascii="Times New Roman" w:eastAsia="Times New Roman" w:hAnsi="Times New Roman"/>
          <w:bCs/>
          <w:color w:val="000000" w:themeColor="text1"/>
          <w:sz w:val="16"/>
          <w:szCs w:val="16"/>
        </w:rPr>
        <w:t xml:space="preserve">15 октября </w:t>
      </w:r>
      <w:r w:rsidRPr="005E779E">
        <w:rPr>
          <w:rFonts w:ascii="Times New Roman" w:hAnsi="Times New Roman"/>
          <w:color w:val="000000" w:themeColor="text1"/>
          <w:sz w:val="16"/>
          <w:szCs w:val="16"/>
        </w:rPr>
        <w:t>в 1931 году постановлением ВСНХ на базе физико-химического сектора Ленинградского физико-технического института был образован Институт химической физики во главе с членом-корреспондентом Академии Наук СССР (впоследствии академиком, лауреатом Нобелевской премии Н.Н.Семеновым). Ныне — ИХФ имени Н.Н.Семенова Российской Академии Наук. С 1943 г. находится в Москве. Один из широко известных в мире научных центров, изучающих динамику элементарных химических процессов в различных системах и агрегатных состояниях вещества (14800).</w:t>
      </w:r>
    </w:p>
    <w:p w14:paraId="26B10AA9" w14:textId="77777777" w:rsidR="005B49AB" w:rsidRPr="005E779E" w:rsidRDefault="005B49AB" w:rsidP="000B7A6C">
      <w:pPr>
        <w:spacing w:after="0" w:line="240" w:lineRule="auto"/>
        <w:jc w:val="both"/>
        <w:rPr>
          <w:rFonts w:ascii="Times New Roman" w:hAnsi="Times New Roman"/>
          <w:color w:val="000000" w:themeColor="text1"/>
          <w:sz w:val="16"/>
          <w:szCs w:val="16"/>
        </w:rPr>
      </w:pPr>
    </w:p>
    <w:p w14:paraId="70F2C74A" w14:textId="77777777" w:rsidR="005B49AB"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2CD4502E" w14:textId="77777777" w:rsidR="005B49AB" w:rsidRPr="005E779E" w:rsidRDefault="005B49AB"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814B692" w14:textId="77777777" w:rsidR="005B49AB" w:rsidRPr="005E779E" w:rsidRDefault="005B49AB"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октября 1931 Clyde Pangborn и Hugh Herndon совершили беспосадочный перелет через Тихий океан (3101).</w:t>
      </w:r>
    </w:p>
    <w:p w14:paraId="7DACF246" w14:textId="77777777" w:rsidR="005B49AB" w:rsidRPr="005E779E" w:rsidRDefault="005B49AB" w:rsidP="000B7A6C">
      <w:pPr>
        <w:autoSpaceDE w:val="0"/>
        <w:autoSpaceDN w:val="0"/>
        <w:adjustRightInd w:val="0"/>
        <w:spacing w:after="0" w:line="240" w:lineRule="auto"/>
        <w:jc w:val="both"/>
        <w:rPr>
          <w:rFonts w:ascii="Times New Roman" w:hAnsi="Times New Roman"/>
          <w:color w:val="000000" w:themeColor="text1"/>
          <w:sz w:val="16"/>
          <w:szCs w:val="16"/>
        </w:rPr>
      </w:pPr>
    </w:p>
    <w:p w14:paraId="6ED77591" w14:textId="77777777" w:rsidR="005B49AB" w:rsidRPr="005E779E" w:rsidRDefault="005B49AB" w:rsidP="000B7A6C">
      <w:pPr>
        <w:spacing w:after="0" w:line="240" w:lineRule="auto"/>
        <w:jc w:val="both"/>
        <w:rPr>
          <w:rFonts w:ascii="Times New Roman" w:hAnsi="Times New Roman"/>
          <w:color w:val="000000" w:themeColor="text1"/>
          <w:sz w:val="16"/>
          <w:szCs w:val="16"/>
        </w:rPr>
      </w:pPr>
      <w:r w:rsidRPr="005E779E">
        <w:rPr>
          <w:rStyle w:val="ucoz-forum-post"/>
          <w:rFonts w:ascii="Times New Roman" w:eastAsia="Times New Roman" w:hAnsi="Times New Roman"/>
          <w:bCs/>
          <w:color w:val="000000" w:themeColor="text1"/>
          <w:sz w:val="16"/>
          <w:szCs w:val="16"/>
        </w:rPr>
        <w:t xml:space="preserve">15 октября </w:t>
      </w:r>
      <w:r w:rsidRPr="005E779E">
        <w:rPr>
          <w:rFonts w:ascii="Times New Roman" w:hAnsi="Times New Roman"/>
          <w:color w:val="000000" w:themeColor="text1"/>
          <w:sz w:val="16"/>
          <w:szCs w:val="16"/>
        </w:rPr>
        <w:t>в 1931 году завершён кругосветный перелёт на моноплане «Bellanca CH-400» «Miss Veedol». В рамках кругосветного перелёта завершен также первый в мире беспосадочный перелёт через Тихий океан. Первый в мире беспосадочный полет из Японии в США совершили Клайд Пангборн (Clyde Pangborn) и Хью Херндон (</w:t>
      </w:r>
      <w:r w:rsidRPr="005E779E">
        <w:rPr>
          <w:rFonts w:ascii="Times New Roman" w:hAnsi="Times New Roman"/>
          <w:color w:val="000000" w:themeColor="text1"/>
          <w:sz w:val="16"/>
          <w:szCs w:val="16"/>
          <w:lang w:val="en-US"/>
        </w:rPr>
        <w:t>Hugh</w:t>
      </w:r>
      <w:r w:rsidRPr="005E779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lang w:val="en-US"/>
        </w:rPr>
        <w:t>Herndon</w:t>
      </w:r>
      <w:r w:rsidRPr="005E779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lang w:val="en-US"/>
        </w:rPr>
        <w:t>Jr</w:t>
      </w:r>
      <w:r w:rsidRPr="005E779E">
        <w:rPr>
          <w:rFonts w:ascii="Times New Roman" w:hAnsi="Times New Roman"/>
          <w:color w:val="000000" w:themeColor="text1"/>
          <w:sz w:val="16"/>
          <w:szCs w:val="16"/>
        </w:rPr>
        <w:t>) намоноплане «</w:t>
      </w:r>
      <w:r w:rsidRPr="005E779E">
        <w:rPr>
          <w:rFonts w:ascii="Times New Roman" w:hAnsi="Times New Roman"/>
          <w:color w:val="000000" w:themeColor="text1"/>
          <w:sz w:val="16"/>
          <w:szCs w:val="16"/>
          <w:lang w:val="en-US"/>
        </w:rPr>
        <w:t>Bellanca</w:t>
      </w:r>
      <w:r w:rsidRPr="005E779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lang w:val="en-US"/>
        </w:rPr>
        <w:t>CH</w:t>
      </w:r>
      <w:r w:rsidRPr="005E779E">
        <w:rPr>
          <w:rFonts w:ascii="Times New Roman" w:hAnsi="Times New Roman"/>
          <w:color w:val="000000" w:themeColor="text1"/>
          <w:sz w:val="16"/>
          <w:szCs w:val="16"/>
        </w:rPr>
        <w:t>-400» «</w:t>
      </w:r>
      <w:r w:rsidRPr="005E779E">
        <w:rPr>
          <w:rFonts w:ascii="Times New Roman" w:hAnsi="Times New Roman"/>
          <w:color w:val="000000" w:themeColor="text1"/>
          <w:sz w:val="16"/>
          <w:szCs w:val="16"/>
          <w:lang w:val="en-US"/>
        </w:rPr>
        <w:t>Miss</w:t>
      </w:r>
      <w:r w:rsidRPr="005E779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lang w:val="en-US"/>
        </w:rPr>
        <w:t>Veedol</w:t>
      </w:r>
      <w:r w:rsidRPr="005E779E">
        <w:rPr>
          <w:rFonts w:ascii="Times New Roman" w:hAnsi="Times New Roman"/>
          <w:color w:val="000000" w:themeColor="text1"/>
          <w:sz w:val="16"/>
          <w:szCs w:val="16"/>
        </w:rPr>
        <w:t>». Как раз накануне прибытия в Японию обнаружилось, что японская газета "Асахи" объявил премию в 25 тысяч долларов тому экипажу, который совершит этот полет. Ввиду этого американцы столкнулись с волной недовольства японских конкурентов и просто ультрапатриотов, которые желали, чтобы эта премия досталась их соотечественникам, а не американцам. Многочисленные неприятности и враждебная обстановка значительно трепали нервы и отнимали время. Для того, чтобы хватило горючего на весь перелет, летчикам пришлось убрать все лишнее с борта, в том числе парашюты и даже подушки с сидений. Втайне от японцев даже немного модифицировали конструкцию самолета с помощью приспособления, позволяющее в полете сбросить колеса и специальной лыжи для успешной посадки в США. В 2 часа ночи 4 октября 1931 года, в день 27-летия Херндона, они взлетели с аэродрома Самуширо, расположенного в 483 километрах севернее Токио. Идя вдоль гряды Курильских островов, примерно в 300 милях от точки взлета, летчики сбросили колеса. Скорость полета тут же возросла, но Пангборн увидел, что под фюзеляжем остались торчать две стойки, которые не только увеличивали лобовое сопротивление, но и могли привести к катастрофе при посадке. Тогда он вылез на крыло и, держась одной рукой за подкосы крыла, другой рукой попытался сбросить эти стойки. Сделать это удалось только через 20 минут борьбы, но все же смелость и упорство летчика победили. 5 октября, проведя в воздухе 41 час 13 минут и пролетев 7334 км, они приземлились в небольшом городке Уэнатчи (кстати, Пангборн в нем родился). Самолет коснулся земли фюзеляжем, прополз по инерции более 100 метров и встал на нос, поломав винт. Условия перелета были выполнены, и японцы были вынуждены выписать летчикам чек на 25 тысяч долларов (14800).</w:t>
      </w:r>
    </w:p>
    <w:p w14:paraId="5AC62B8B" w14:textId="77777777" w:rsidR="005B49AB" w:rsidRPr="005E779E" w:rsidRDefault="005B49AB" w:rsidP="000B7A6C">
      <w:pPr>
        <w:spacing w:after="0" w:line="240" w:lineRule="auto"/>
        <w:jc w:val="both"/>
        <w:rPr>
          <w:rFonts w:ascii="Times New Roman" w:hAnsi="Times New Roman"/>
          <w:color w:val="000000" w:themeColor="text1"/>
          <w:sz w:val="16"/>
          <w:szCs w:val="16"/>
        </w:rPr>
      </w:pPr>
    </w:p>
    <w:p w14:paraId="7F8154AD" w14:textId="77777777" w:rsidR="005B49AB"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1F9A613E" w14:textId="77777777" w:rsidR="005B49AB" w:rsidRPr="005E779E" w:rsidRDefault="005B49AB"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0914CB0" w14:textId="77777777" w:rsidR="005B49AB" w:rsidRPr="005E779E" w:rsidRDefault="005B49AB" w:rsidP="000B7A6C">
      <w:pPr>
        <w:pStyle w:val="a3"/>
        <w:rPr>
          <w:color w:val="000000" w:themeColor="text1"/>
          <w:lang w:val="ru-RU"/>
        </w:rPr>
      </w:pPr>
      <w:r w:rsidRPr="005E779E">
        <w:rPr>
          <w:color w:val="000000" w:themeColor="text1"/>
          <w:lang w:val="ru-RU"/>
        </w:rPr>
        <w:t>16 октября 1931 письмом из Рима У. Нобиле информировал советскую сторону об утверждении итальянским правительством его предварительного соглашения с ВО ГВФ СССР. А 7декабря БОСЭД переименовыва</w:t>
      </w:r>
      <w:r w:rsidRPr="005E779E">
        <w:rPr>
          <w:color w:val="000000" w:themeColor="text1"/>
          <w:lang w:val="ru-RU"/>
        </w:rPr>
        <w:softHyphen/>
        <w:t>ется в Производственно-эксплуатационное предприятие «Дирижаблестрой». В январе 1932 г. инженер-генерал получает офи</w:t>
      </w:r>
      <w:r w:rsidRPr="005E779E">
        <w:rPr>
          <w:color w:val="000000" w:themeColor="text1"/>
          <w:lang w:val="ru-RU"/>
        </w:rPr>
        <w:softHyphen/>
        <w:t>циальное приглашение «Аэрофлота» на приезд в СССР. В конце апреля он с группой итальянских специалистов прибывает в Москву, где после подписания контракта, зарегистрированного в Наркомтруде СССР, 2 мая приступает к исполнению своих обязанностей. Предлагаем неполный пере</w:t>
      </w:r>
      <w:r w:rsidRPr="005E779E">
        <w:rPr>
          <w:color w:val="000000" w:themeColor="text1"/>
          <w:lang w:val="ru-RU"/>
        </w:rPr>
        <w:softHyphen/>
        <w:t>чень</w:t>
      </w:r>
      <w:r w:rsidRPr="005E779E">
        <w:rPr>
          <w:rStyle w:val="83"/>
          <w:rFonts w:ascii="Times New Roman" w:eastAsia="Microsoft Sans Serif" w:hAnsi="Times New Roman" w:cs="Times New Roman"/>
          <w:i w:val="0"/>
          <w:color w:val="000000" w:themeColor="text1"/>
          <w:sz w:val="16"/>
          <w:szCs w:val="16"/>
          <w:lang w:val="ru-RU"/>
        </w:rPr>
        <w:t xml:space="preserve"> свиты</w:t>
      </w:r>
      <w:r w:rsidRPr="005E779E">
        <w:rPr>
          <w:color w:val="000000" w:themeColor="text1"/>
          <w:lang w:val="ru-RU"/>
        </w:rPr>
        <w:t xml:space="preserve"> </w:t>
      </w:r>
      <w:r w:rsidRPr="005E779E">
        <w:rPr>
          <w:color w:val="000000" w:themeColor="text1"/>
          <w:lang w:val="ru-RU"/>
        </w:rPr>
        <w:lastRenderedPageBreak/>
        <w:t>покорителя Северного полюса (с некоторыми примечаниями), который нам удалось восстановить:</w:t>
      </w:r>
    </w:p>
    <w:p w14:paraId="6137A226" w14:textId="77777777" w:rsidR="005B49AB" w:rsidRPr="005E779E" w:rsidRDefault="005B49AB" w:rsidP="000B7A6C">
      <w:pPr>
        <w:pStyle w:val="a3"/>
        <w:widowControl/>
        <w:numPr>
          <w:ilvl w:val="0"/>
          <w:numId w:val="4"/>
        </w:numPr>
        <w:tabs>
          <w:tab w:val="left" w:pos="428"/>
        </w:tabs>
        <w:autoSpaceDE/>
        <w:autoSpaceDN/>
        <w:adjustRightInd/>
        <w:rPr>
          <w:color w:val="000000" w:themeColor="text1"/>
          <w:lang w:val="ru-RU"/>
        </w:rPr>
      </w:pPr>
      <w:r w:rsidRPr="005E779E">
        <w:rPr>
          <w:color w:val="000000" w:themeColor="text1"/>
          <w:lang w:val="ru-RU"/>
        </w:rPr>
        <w:t>У. Нобиле - начальник КБ, женат. Месячный оклад 600$ и 1700 руб. (Справка: Курс $ США 1932 года соотносится к курсу 2014 г., как 17,5:1,0, т.е. был выше в 17,5 раз);</w:t>
      </w:r>
    </w:p>
    <w:p w14:paraId="2E547E13" w14:textId="77777777" w:rsidR="005B49AB" w:rsidRPr="005E779E" w:rsidRDefault="005B49AB" w:rsidP="000B7A6C">
      <w:pPr>
        <w:pStyle w:val="a3"/>
        <w:widowControl/>
        <w:numPr>
          <w:ilvl w:val="0"/>
          <w:numId w:val="4"/>
        </w:numPr>
        <w:tabs>
          <w:tab w:val="left" w:pos="390"/>
        </w:tabs>
        <w:autoSpaceDE/>
        <w:autoSpaceDN/>
        <w:adjustRightInd/>
        <w:rPr>
          <w:color w:val="000000" w:themeColor="text1"/>
        </w:rPr>
      </w:pPr>
      <w:r w:rsidRPr="005E779E">
        <w:rPr>
          <w:color w:val="000000" w:themeColor="text1"/>
          <w:lang w:val="ru-RU"/>
        </w:rPr>
        <w:t xml:space="preserve">Ф. Трояни - зам. начальника КБ, женат, оформлен по договору. </w:t>
      </w:r>
      <w:r w:rsidRPr="005E779E">
        <w:rPr>
          <w:color w:val="000000" w:themeColor="text1"/>
        </w:rPr>
        <w:t>Месячный оклад 300$ и 650 руб.;</w:t>
      </w:r>
    </w:p>
    <w:p w14:paraId="7A755DEA" w14:textId="77777777" w:rsidR="005B49AB" w:rsidRPr="005E779E" w:rsidRDefault="005B49AB" w:rsidP="000B7A6C">
      <w:pPr>
        <w:pStyle w:val="a3"/>
        <w:widowControl/>
        <w:numPr>
          <w:ilvl w:val="0"/>
          <w:numId w:val="4"/>
        </w:numPr>
        <w:tabs>
          <w:tab w:val="left" w:pos="423"/>
        </w:tabs>
        <w:autoSpaceDE/>
        <w:autoSpaceDN/>
        <w:adjustRightInd/>
        <w:rPr>
          <w:color w:val="000000" w:themeColor="text1"/>
        </w:rPr>
      </w:pPr>
      <w:r w:rsidRPr="005E779E">
        <w:rPr>
          <w:color w:val="000000" w:themeColor="text1"/>
          <w:lang w:val="ru-RU"/>
        </w:rPr>
        <w:t xml:space="preserve">Р. Палья - старший мастер-токарь. </w:t>
      </w:r>
      <w:r w:rsidRPr="005E779E">
        <w:rPr>
          <w:color w:val="000000" w:themeColor="text1"/>
        </w:rPr>
        <w:t>Месячный оклад 83$ и 450 руб.;</w:t>
      </w:r>
    </w:p>
    <w:p w14:paraId="03A0D0FF" w14:textId="77777777" w:rsidR="005B49AB" w:rsidRPr="005E779E" w:rsidRDefault="005B49AB" w:rsidP="000B7A6C">
      <w:pPr>
        <w:pStyle w:val="a3"/>
        <w:widowControl/>
        <w:numPr>
          <w:ilvl w:val="0"/>
          <w:numId w:val="4"/>
        </w:numPr>
        <w:tabs>
          <w:tab w:val="left" w:pos="394"/>
        </w:tabs>
        <w:autoSpaceDE/>
        <w:autoSpaceDN/>
        <w:adjustRightInd/>
        <w:rPr>
          <w:color w:val="000000" w:themeColor="text1"/>
          <w:lang w:val="ru-RU"/>
        </w:rPr>
      </w:pPr>
      <w:r w:rsidRPr="005E779E">
        <w:rPr>
          <w:color w:val="000000" w:themeColor="text1"/>
          <w:lang w:val="ru-RU"/>
        </w:rPr>
        <w:t>Д. Белли - механик. Месячный оклад 135$ и 550 руб.;</w:t>
      </w:r>
    </w:p>
    <w:p w14:paraId="4B7E8B32" w14:textId="77777777" w:rsidR="005B49AB" w:rsidRPr="005E779E" w:rsidRDefault="005B49AB" w:rsidP="000B7A6C">
      <w:pPr>
        <w:pStyle w:val="a3"/>
        <w:widowControl/>
        <w:numPr>
          <w:ilvl w:val="0"/>
          <w:numId w:val="4"/>
        </w:numPr>
        <w:tabs>
          <w:tab w:val="left" w:pos="442"/>
        </w:tabs>
        <w:autoSpaceDE/>
        <w:autoSpaceDN/>
        <w:adjustRightInd/>
        <w:rPr>
          <w:color w:val="000000" w:themeColor="text1"/>
        </w:rPr>
      </w:pPr>
      <w:r w:rsidRPr="005E779E">
        <w:rPr>
          <w:color w:val="000000" w:themeColor="text1"/>
          <w:lang w:val="ru-RU"/>
        </w:rPr>
        <w:t xml:space="preserve">А. Каратти - механик-моторист, оформлен по договору. </w:t>
      </w:r>
      <w:r w:rsidRPr="005E779E">
        <w:rPr>
          <w:color w:val="000000" w:themeColor="text1"/>
        </w:rPr>
        <w:t>Месячный оклад 20$ и 450 руб.;</w:t>
      </w:r>
    </w:p>
    <w:p w14:paraId="50AEDEB8" w14:textId="77777777" w:rsidR="005B49AB" w:rsidRPr="005E779E" w:rsidRDefault="005B49AB" w:rsidP="000B7A6C">
      <w:pPr>
        <w:pStyle w:val="a3"/>
        <w:widowControl/>
        <w:numPr>
          <w:ilvl w:val="0"/>
          <w:numId w:val="4"/>
        </w:numPr>
        <w:tabs>
          <w:tab w:val="left" w:pos="385"/>
        </w:tabs>
        <w:autoSpaceDE/>
        <w:autoSpaceDN/>
        <w:adjustRightInd/>
        <w:rPr>
          <w:color w:val="000000" w:themeColor="text1"/>
          <w:lang w:val="ru-RU"/>
        </w:rPr>
      </w:pPr>
      <w:r w:rsidRPr="005E779E">
        <w:rPr>
          <w:color w:val="000000" w:themeColor="text1"/>
          <w:lang w:val="ru-RU"/>
        </w:rPr>
        <w:t>Л. Високки - инженер. Месячный оклад 35$ и 650 руб.;</w:t>
      </w:r>
    </w:p>
    <w:p w14:paraId="5FA325B7" w14:textId="77777777" w:rsidR="005B49AB" w:rsidRPr="005E779E" w:rsidRDefault="005B49AB" w:rsidP="000B7A6C">
      <w:pPr>
        <w:pStyle w:val="a3"/>
        <w:widowControl/>
        <w:numPr>
          <w:ilvl w:val="0"/>
          <w:numId w:val="4"/>
        </w:numPr>
        <w:tabs>
          <w:tab w:val="left" w:pos="394"/>
        </w:tabs>
        <w:autoSpaceDE/>
        <w:autoSpaceDN/>
        <w:adjustRightInd/>
        <w:rPr>
          <w:color w:val="000000" w:themeColor="text1"/>
          <w:lang w:val="ru-RU"/>
        </w:rPr>
      </w:pPr>
      <w:r w:rsidRPr="005E779E">
        <w:rPr>
          <w:color w:val="000000" w:themeColor="text1"/>
          <w:lang w:val="ru-RU"/>
        </w:rPr>
        <w:t>А. (Д.) Вилла - мастер по металлокон</w:t>
      </w:r>
      <w:r w:rsidRPr="005E779E">
        <w:rPr>
          <w:color w:val="000000" w:themeColor="text1"/>
          <w:lang w:val="ru-RU"/>
        </w:rPr>
        <w:softHyphen/>
        <w:t>струкциям, женат. Месячный оклад 115$ и 700 руб.;</w:t>
      </w:r>
    </w:p>
    <w:p w14:paraId="10EAB467" w14:textId="77777777" w:rsidR="005B49AB" w:rsidRPr="005E779E" w:rsidRDefault="005B49AB" w:rsidP="000B7A6C">
      <w:pPr>
        <w:pStyle w:val="a3"/>
        <w:widowControl/>
        <w:numPr>
          <w:ilvl w:val="0"/>
          <w:numId w:val="4"/>
        </w:numPr>
        <w:tabs>
          <w:tab w:val="left" w:pos="399"/>
        </w:tabs>
        <w:autoSpaceDE/>
        <w:autoSpaceDN/>
        <w:adjustRightInd/>
        <w:rPr>
          <w:color w:val="000000" w:themeColor="text1"/>
          <w:lang w:val="ru-RU"/>
        </w:rPr>
      </w:pPr>
      <w:r w:rsidRPr="005E779E">
        <w:rPr>
          <w:color w:val="000000" w:themeColor="text1"/>
          <w:lang w:val="ru-RU"/>
        </w:rPr>
        <w:t>Вилли - чертежник КБ, холост. Месяч</w:t>
      </w:r>
      <w:r w:rsidRPr="005E779E">
        <w:rPr>
          <w:color w:val="000000" w:themeColor="text1"/>
          <w:lang w:val="ru-RU"/>
        </w:rPr>
        <w:softHyphen/>
        <w:t>ный оклад 115$ и 125 руб.;</w:t>
      </w:r>
    </w:p>
    <w:p w14:paraId="17177B82" w14:textId="77777777" w:rsidR="005B49AB" w:rsidRPr="005E779E" w:rsidRDefault="005B49AB" w:rsidP="000B7A6C">
      <w:pPr>
        <w:pStyle w:val="a3"/>
        <w:widowControl/>
        <w:numPr>
          <w:ilvl w:val="0"/>
          <w:numId w:val="4"/>
        </w:numPr>
        <w:tabs>
          <w:tab w:val="left" w:pos="442"/>
        </w:tabs>
        <w:autoSpaceDE/>
        <w:autoSpaceDN/>
        <w:adjustRightInd/>
        <w:rPr>
          <w:color w:val="000000" w:themeColor="text1"/>
        </w:rPr>
      </w:pPr>
      <w:r w:rsidRPr="005E779E">
        <w:rPr>
          <w:color w:val="000000" w:themeColor="text1"/>
          <w:lang w:val="ru-RU"/>
        </w:rPr>
        <w:t xml:space="preserve">Г. Гарутти - инженер-конструктор, холост, оформлен по договору. </w:t>
      </w:r>
      <w:r w:rsidRPr="005E779E">
        <w:rPr>
          <w:color w:val="000000" w:themeColor="text1"/>
        </w:rPr>
        <w:t>Месячный оклад 250$ и 1000 руб.;</w:t>
      </w:r>
    </w:p>
    <w:p w14:paraId="7AE9E484" w14:textId="77777777" w:rsidR="005B49AB" w:rsidRPr="005E779E" w:rsidRDefault="005B49AB" w:rsidP="000B7A6C">
      <w:pPr>
        <w:pStyle w:val="a3"/>
        <w:widowControl/>
        <w:numPr>
          <w:ilvl w:val="0"/>
          <w:numId w:val="4"/>
        </w:numPr>
        <w:tabs>
          <w:tab w:val="left" w:pos="414"/>
        </w:tabs>
        <w:autoSpaceDE/>
        <w:autoSpaceDN/>
        <w:adjustRightInd/>
        <w:rPr>
          <w:color w:val="000000" w:themeColor="text1"/>
        </w:rPr>
      </w:pPr>
      <w:r w:rsidRPr="005E779E">
        <w:rPr>
          <w:color w:val="000000" w:themeColor="text1"/>
          <w:lang w:val="ru-RU"/>
        </w:rPr>
        <w:t>А. Ди-Бернардино - мастер сбороч</w:t>
      </w:r>
      <w:r w:rsidRPr="005E779E">
        <w:rPr>
          <w:color w:val="000000" w:themeColor="text1"/>
          <w:lang w:val="ru-RU"/>
        </w:rPr>
        <w:softHyphen/>
        <w:t xml:space="preserve">ного цеха по металлоконструкциям, женат. </w:t>
      </w:r>
      <w:r w:rsidRPr="005E779E">
        <w:rPr>
          <w:color w:val="000000" w:themeColor="text1"/>
        </w:rPr>
        <w:t>Месячный оклад 45$ и 700 руб.;</w:t>
      </w:r>
    </w:p>
    <w:p w14:paraId="79F0A84A" w14:textId="77777777" w:rsidR="005B49AB" w:rsidRPr="005E779E" w:rsidRDefault="005B49AB" w:rsidP="000B7A6C">
      <w:pPr>
        <w:pStyle w:val="a3"/>
        <w:widowControl/>
        <w:numPr>
          <w:ilvl w:val="0"/>
          <w:numId w:val="4"/>
        </w:numPr>
        <w:tabs>
          <w:tab w:val="left" w:pos="414"/>
        </w:tabs>
        <w:autoSpaceDE/>
        <w:autoSpaceDN/>
        <w:adjustRightInd/>
        <w:rPr>
          <w:color w:val="000000" w:themeColor="text1"/>
        </w:rPr>
      </w:pPr>
      <w:r w:rsidRPr="005E779E">
        <w:rPr>
          <w:color w:val="000000" w:themeColor="text1"/>
          <w:lang w:val="ru-RU"/>
        </w:rPr>
        <w:t xml:space="preserve">А. Беретта - мастер моторного цеха, женат, оформлен по договору. </w:t>
      </w:r>
      <w:r w:rsidRPr="005E779E">
        <w:rPr>
          <w:color w:val="000000" w:themeColor="text1"/>
        </w:rPr>
        <w:t>Месячный оклад 20$ и 300 руб.;</w:t>
      </w:r>
    </w:p>
    <w:p w14:paraId="20752754" w14:textId="77777777" w:rsidR="005B49AB" w:rsidRPr="005E779E" w:rsidRDefault="005B49AB" w:rsidP="000B7A6C">
      <w:pPr>
        <w:pStyle w:val="a3"/>
        <w:widowControl/>
        <w:numPr>
          <w:ilvl w:val="0"/>
          <w:numId w:val="4"/>
        </w:numPr>
        <w:tabs>
          <w:tab w:val="left" w:pos="433"/>
        </w:tabs>
        <w:autoSpaceDE/>
        <w:autoSpaceDN/>
        <w:adjustRightInd/>
        <w:rPr>
          <w:color w:val="000000" w:themeColor="text1"/>
        </w:rPr>
      </w:pPr>
      <w:r w:rsidRPr="005E779E">
        <w:rPr>
          <w:color w:val="000000" w:themeColor="text1"/>
          <w:lang w:val="ru-RU"/>
        </w:rPr>
        <w:t xml:space="preserve">В. Шакко - мастер баллонного цеха, холост, оформлен по договору. </w:t>
      </w:r>
      <w:r w:rsidRPr="005E779E">
        <w:rPr>
          <w:color w:val="000000" w:themeColor="text1"/>
        </w:rPr>
        <w:t>Месячный оклад 83$ и 700 руб.;</w:t>
      </w:r>
    </w:p>
    <w:p w14:paraId="49729283" w14:textId="77777777" w:rsidR="005B49AB" w:rsidRPr="005E779E" w:rsidRDefault="005B49AB" w:rsidP="000B7A6C">
      <w:pPr>
        <w:pStyle w:val="a3"/>
        <w:widowControl/>
        <w:numPr>
          <w:ilvl w:val="0"/>
          <w:numId w:val="4"/>
        </w:numPr>
        <w:tabs>
          <w:tab w:val="left" w:pos="428"/>
        </w:tabs>
        <w:autoSpaceDE/>
        <w:autoSpaceDN/>
        <w:adjustRightInd/>
        <w:rPr>
          <w:color w:val="000000" w:themeColor="text1"/>
        </w:rPr>
      </w:pPr>
      <w:r w:rsidRPr="005E779E">
        <w:rPr>
          <w:color w:val="000000" w:themeColor="text1"/>
          <w:lang w:val="ru-RU"/>
        </w:rPr>
        <w:t>Н. Де-Мартино - инженер-конструк</w:t>
      </w:r>
      <w:r w:rsidRPr="005E779E">
        <w:rPr>
          <w:color w:val="000000" w:themeColor="text1"/>
          <w:lang w:val="ru-RU"/>
        </w:rPr>
        <w:softHyphen/>
        <w:t xml:space="preserve">тор, оформлен по договору. </w:t>
      </w:r>
      <w:r w:rsidRPr="005E779E">
        <w:rPr>
          <w:color w:val="000000" w:themeColor="text1"/>
        </w:rPr>
        <w:t>Месячный оклад 324$ и 650 руб.;</w:t>
      </w:r>
    </w:p>
    <w:p w14:paraId="4B6B92FE" w14:textId="77777777" w:rsidR="005B49AB" w:rsidRPr="005E779E" w:rsidRDefault="005B49AB" w:rsidP="000B7A6C">
      <w:pPr>
        <w:pStyle w:val="a3"/>
        <w:widowControl/>
        <w:numPr>
          <w:ilvl w:val="0"/>
          <w:numId w:val="4"/>
        </w:numPr>
        <w:tabs>
          <w:tab w:val="left" w:pos="404"/>
        </w:tabs>
        <w:autoSpaceDE/>
        <w:autoSpaceDN/>
        <w:adjustRightInd/>
        <w:rPr>
          <w:color w:val="000000" w:themeColor="text1"/>
          <w:lang w:val="ru-RU"/>
        </w:rPr>
      </w:pPr>
      <w:r w:rsidRPr="005E779E">
        <w:rPr>
          <w:color w:val="000000" w:themeColor="text1"/>
          <w:lang w:val="ru-RU"/>
        </w:rPr>
        <w:t>с Нобиле также работали прибывшие в Россию ранее:</w:t>
      </w:r>
    </w:p>
    <w:p w14:paraId="78F2E739" w14:textId="77777777" w:rsidR="005B49AB" w:rsidRPr="005E779E" w:rsidRDefault="005B49AB" w:rsidP="000B7A6C">
      <w:pPr>
        <w:pStyle w:val="a3"/>
        <w:widowControl/>
        <w:numPr>
          <w:ilvl w:val="0"/>
          <w:numId w:val="4"/>
        </w:numPr>
        <w:tabs>
          <w:tab w:val="left" w:pos="390"/>
        </w:tabs>
        <w:autoSpaceDE/>
        <w:autoSpaceDN/>
        <w:adjustRightInd/>
        <w:rPr>
          <w:color w:val="000000" w:themeColor="text1"/>
        </w:rPr>
      </w:pPr>
      <w:r w:rsidRPr="005E779E">
        <w:rPr>
          <w:color w:val="000000" w:themeColor="text1"/>
          <w:lang w:val="ru-RU"/>
        </w:rPr>
        <w:t xml:space="preserve">Р. Бианкони - переводчик, женат, член ВКП(б). </w:t>
      </w:r>
      <w:r w:rsidRPr="005E779E">
        <w:rPr>
          <w:color w:val="000000" w:themeColor="text1"/>
        </w:rPr>
        <w:t>Месячный оклад 350 руб.;</w:t>
      </w:r>
    </w:p>
    <w:p w14:paraId="199D6474" w14:textId="77777777" w:rsidR="005B49AB" w:rsidRPr="005E779E" w:rsidRDefault="005B49AB" w:rsidP="000B7A6C">
      <w:pPr>
        <w:pStyle w:val="a3"/>
        <w:widowControl/>
        <w:numPr>
          <w:ilvl w:val="0"/>
          <w:numId w:val="4"/>
        </w:numPr>
        <w:tabs>
          <w:tab w:val="left" w:pos="438"/>
        </w:tabs>
        <w:autoSpaceDE/>
        <w:autoSpaceDN/>
        <w:adjustRightInd/>
        <w:rPr>
          <w:color w:val="000000" w:themeColor="text1"/>
        </w:rPr>
      </w:pPr>
      <w:r w:rsidRPr="005E779E">
        <w:rPr>
          <w:color w:val="000000" w:themeColor="text1"/>
          <w:lang w:val="ru-RU"/>
        </w:rPr>
        <w:t xml:space="preserve">Б. Сигалини - инструктор бригады слесарей сборочного цеха, холост, член ВКП(б). </w:t>
      </w:r>
      <w:r w:rsidRPr="005E779E">
        <w:rPr>
          <w:color w:val="000000" w:themeColor="text1"/>
        </w:rPr>
        <w:t>Месячный оклад 350 руб.</w:t>
      </w:r>
    </w:p>
    <w:p w14:paraId="46237B99" w14:textId="77777777" w:rsidR="005B49AB" w:rsidRPr="005E779E" w:rsidRDefault="005B49AB" w:rsidP="000B7A6C">
      <w:pPr>
        <w:pStyle w:val="a3"/>
        <w:rPr>
          <w:color w:val="000000" w:themeColor="text1"/>
          <w:lang w:val="ru-RU"/>
        </w:rPr>
      </w:pPr>
      <w:r w:rsidRPr="005E779E">
        <w:rPr>
          <w:color w:val="000000" w:themeColor="text1"/>
          <w:lang w:val="ru-RU"/>
        </w:rPr>
        <w:t>Кроме денежного содержания итальян</w:t>
      </w:r>
      <w:r w:rsidRPr="005E779E">
        <w:rPr>
          <w:color w:val="000000" w:themeColor="text1"/>
          <w:lang w:val="ru-RU"/>
        </w:rPr>
        <w:softHyphen/>
        <w:t>цы обеспечивались:</w:t>
      </w:r>
    </w:p>
    <w:p w14:paraId="5A498508" w14:textId="77777777" w:rsidR="005B49AB" w:rsidRPr="005E779E" w:rsidRDefault="005B49AB" w:rsidP="000B7A6C">
      <w:pPr>
        <w:pStyle w:val="a3"/>
        <w:widowControl/>
        <w:numPr>
          <w:ilvl w:val="0"/>
          <w:numId w:val="4"/>
        </w:numPr>
        <w:tabs>
          <w:tab w:val="left" w:pos="385"/>
        </w:tabs>
        <w:autoSpaceDE/>
        <w:autoSpaceDN/>
        <w:adjustRightInd/>
        <w:rPr>
          <w:color w:val="000000" w:themeColor="text1"/>
          <w:lang w:val="ru-RU"/>
        </w:rPr>
      </w:pPr>
      <w:r w:rsidRPr="005E779E">
        <w:rPr>
          <w:color w:val="000000" w:themeColor="text1"/>
          <w:lang w:val="ru-RU"/>
        </w:rPr>
        <w:t>оплачиваемой комнатой (с кухней, ван</w:t>
      </w:r>
      <w:r w:rsidRPr="005E779E">
        <w:rPr>
          <w:color w:val="000000" w:themeColor="text1"/>
          <w:lang w:val="ru-RU"/>
        </w:rPr>
        <w:softHyphen/>
        <w:t>ной) в квартирах дома ИНО на Долгопрудной или гостиничным номером (квартирой) в Москве (У. Нобиле, Ф. Трояни, Г. Гарутти, Н. Де-Мартино, А. Беретта);</w:t>
      </w:r>
    </w:p>
    <w:p w14:paraId="518165B0" w14:textId="77777777" w:rsidR="005B49AB" w:rsidRPr="005E779E" w:rsidRDefault="005B49AB" w:rsidP="000B7A6C">
      <w:pPr>
        <w:pStyle w:val="a3"/>
        <w:widowControl/>
        <w:numPr>
          <w:ilvl w:val="0"/>
          <w:numId w:val="4"/>
        </w:numPr>
        <w:tabs>
          <w:tab w:val="left" w:pos="423"/>
        </w:tabs>
        <w:autoSpaceDE/>
        <w:autoSpaceDN/>
        <w:adjustRightInd/>
        <w:rPr>
          <w:color w:val="000000" w:themeColor="text1"/>
          <w:lang w:val="ru-RU"/>
        </w:rPr>
      </w:pPr>
      <w:r w:rsidRPr="005E779E">
        <w:rPr>
          <w:color w:val="000000" w:themeColor="text1"/>
          <w:lang w:val="ru-RU"/>
        </w:rPr>
        <w:t>оплачиваемым месячным отпуском (раз в году, включая проезд по ж/дороге 2-м классом до Италии и обратно);</w:t>
      </w:r>
    </w:p>
    <w:p w14:paraId="6C26EC59" w14:textId="77777777" w:rsidR="005B49AB" w:rsidRPr="005E779E" w:rsidRDefault="005B49AB" w:rsidP="000B7A6C">
      <w:pPr>
        <w:pStyle w:val="a3"/>
        <w:widowControl/>
        <w:numPr>
          <w:ilvl w:val="0"/>
          <w:numId w:val="4"/>
        </w:numPr>
        <w:tabs>
          <w:tab w:val="left" w:pos="409"/>
        </w:tabs>
        <w:autoSpaceDE/>
        <w:autoSpaceDN/>
        <w:adjustRightInd/>
        <w:rPr>
          <w:color w:val="000000" w:themeColor="text1"/>
          <w:lang w:val="ru-RU"/>
        </w:rPr>
      </w:pPr>
      <w:r w:rsidRPr="005E779E">
        <w:rPr>
          <w:color w:val="000000" w:themeColor="text1"/>
          <w:lang w:val="ru-RU"/>
        </w:rPr>
        <w:t>компенсацией расходов по приезду и отъезду из России (12732).</w:t>
      </w:r>
    </w:p>
    <w:p w14:paraId="2C460340" w14:textId="77777777" w:rsidR="005B49AB" w:rsidRPr="005E779E" w:rsidRDefault="005B49AB" w:rsidP="000B7A6C">
      <w:pPr>
        <w:pStyle w:val="a3"/>
        <w:rPr>
          <w:color w:val="000000" w:themeColor="text1"/>
          <w:lang w:val="ru-RU"/>
        </w:rPr>
      </w:pPr>
    </w:p>
    <w:p w14:paraId="14F77DE7"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75A5BD9D"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26820CD"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 октября 1931 г. Постановление Президиума ВСНХ СССР о возложении па Химический трест № 1 руководства и непосредственного исполнения некоторых научно-исследовательских, изыскательских и проектных работ по отравляющим веществам, а также в области охраны труда в производствах отравляющих веществ (РГАЭ. Ф. 3429. Оп. 6. Д. 189. Л. 92?91) (12417).</w:t>
      </w:r>
    </w:p>
    <w:p w14:paraId="1FBF408D" w14:textId="77777777" w:rsidR="003371BD" w:rsidRPr="005E779E" w:rsidRDefault="003371BD" w:rsidP="000B7A6C">
      <w:pPr>
        <w:spacing w:after="0" w:line="240" w:lineRule="auto"/>
        <w:jc w:val="both"/>
        <w:rPr>
          <w:rFonts w:ascii="Times New Roman" w:hAnsi="Times New Roman"/>
          <w:color w:val="000000" w:themeColor="text1"/>
          <w:sz w:val="16"/>
          <w:szCs w:val="16"/>
        </w:rPr>
      </w:pPr>
    </w:p>
    <w:p w14:paraId="071C203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 октября 1931 года, еще до изготовления опытного образца ФАИ, конструкторское бюро Ижорского завода получило задание на «проектирование и изготовление опытного бронеавтомобиля на шасси трехосного автомоби</w:t>
      </w:r>
      <w:r w:rsidRPr="005E779E">
        <w:rPr>
          <w:rFonts w:ascii="Times New Roman" w:hAnsi="Times New Roman"/>
          <w:color w:val="000000" w:themeColor="text1"/>
          <w:sz w:val="16"/>
          <w:szCs w:val="16"/>
        </w:rPr>
        <w:softHyphen/>
        <w:t>ля «Форд-А». В качестве базы предполагалось использовать серийный вариант трехоски, разработанной в Одессе инженерами И. Жаботинский и Д. Скобло(11284).</w:t>
      </w:r>
    </w:p>
    <w:p w14:paraId="5D0D94C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11A794" w14:textId="77777777" w:rsidR="005B49AB" w:rsidRPr="005E779E" w:rsidRDefault="005B49A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 октября 1931 г. — Докладная записка Всесоюзного объединения слаботочной электропромышленности в Комиссию обороны и ВСНХ СССР о мерах по обеспечению поставок радиостанций и телемеханических устройств</w:t>
      </w:r>
    </w:p>
    <w:p w14:paraId="5956BA52" w14:textId="77777777" w:rsidR="005B49AB" w:rsidRPr="005E779E" w:rsidRDefault="005B49A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Секретно.</w:t>
      </w:r>
    </w:p>
    <w:p w14:paraId="6F36C8CF" w14:textId="77777777" w:rsidR="005B49AB" w:rsidRPr="005E779E" w:rsidRDefault="005B49A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связи с решением Комиссии обороны от 12 октября 1931 г. о поставке Наркомвоенмору 6 тыс. радиостанций и телемеханических устройств на 5 млн. руб. необходимо провести следующие мероприятия, обеспечивающие выполнение этого задания.</w:t>
      </w:r>
    </w:p>
    <w:p w14:paraId="23C2920E" w14:textId="77777777" w:rsidR="005B49AB" w:rsidRPr="005E779E" w:rsidRDefault="005B49A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объединению ВЭСО</w:t>
      </w:r>
    </w:p>
    <w:p w14:paraId="7A69E971" w14:textId="77777777" w:rsidR="005B49AB" w:rsidRPr="005E779E" w:rsidRDefault="005B49A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Разрешить объединению ВЭСО наем 300</w:t>
      </w:r>
      <w:r w:rsidRPr="005E779E">
        <w:rPr>
          <w:rFonts w:ascii="Times New Roman" w:hAnsi="Times New Roman"/>
          <w:color w:val="000000" w:themeColor="text1"/>
          <w:sz w:val="16"/>
          <w:szCs w:val="16"/>
        </w:rPr>
        <w:noBreakHyphen/>
        <w:t>350 чел. рабочих высокой квалификации в Европе (Германии, Англии и Франции). Из них 250 чел. безвалютно, с оплатой лишь проезда в валюте, и 100 чел. особо высокой квалификации с оплатой от 25 до 50 руб. валютой в месяц. Наем указанных рабочих закончить не позднее февраля 1932 г., для чего немедленно командировать в IV квартале с. г. представителя ВЭСО за границу для подбора рабочих нужных квалификаций.</w:t>
      </w:r>
    </w:p>
    <w:p w14:paraId="4C2D8365" w14:textId="77777777" w:rsidR="005B49AB" w:rsidRPr="005E779E" w:rsidRDefault="005B49A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Для обеспечения жилплощадью приглашаемых из-за границы рабочих распоряжением Президиума ВСНХ СССР отпустить ВЭСО дополнительно в IV квартале 1 млн. руб. на приобретение стандартных домов для Нижегородского радиотелефонного завода и на приобретение жилплощади для иностранных рабочих, приглашаемых для ленинградских и московских заводов ВЭСО.</w:t>
      </w:r>
    </w:p>
    <w:p w14:paraId="09169089" w14:textId="77777777" w:rsidR="005B49AB" w:rsidRPr="005E779E" w:rsidRDefault="005B49A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Президиуму ВСНХ СССР в IV квартале для обеспечения приглашаемых иностранных рабочих жилплощадью выделить для Нижегородского радиозавода 20 стандартных домов квартирного типа площадью по 387 м² в каждом.</w:t>
      </w:r>
    </w:p>
    <w:p w14:paraId="41B39F40" w14:textId="77777777" w:rsidR="005B49AB" w:rsidRPr="005E779E" w:rsidRDefault="005B49A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В целях скорейшей реализации жилищного фонда для иностранных рабочих разрешить объединению ВЭСО приобретение жилплощади в порядке покупки квартир от жилкооперации, а также ремонт и восстановление квартир.</w:t>
      </w:r>
    </w:p>
    <w:p w14:paraId="22F13F08" w14:textId="77777777" w:rsidR="005B49AB" w:rsidRPr="005E779E" w:rsidRDefault="005B49A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Объединению ВЭСО закончить к 1 января 1932 г. строительство Нижегородского радиотелефонного завода, для чего Президиуму ВСНХ СССР выделить фонды строительных материалов для окончания строительства последнего квадрата (в 6 тыс. м²) и столярной мастерской завода, а также недостроенных 20 жилых домов для технического персонала и квалифицированных рабочих, перебрасываемых в Нижний [Новгород] с других заводов ВЭСО.</w:t>
      </w:r>
    </w:p>
    <w:p w14:paraId="1C0BD526" w14:textId="77777777" w:rsidR="005B49AB" w:rsidRPr="005E779E" w:rsidRDefault="005B49A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Выделить в IV квартале с. г. объединению ВЭСО валютный контингент...¹*, 496 тыс. руб. для обеспечения выпуска радиостанций импортным оборудованием и полуфабрикатами (оборудование, пьезокварц, высокоомные сопротивления, контрольно-измерительные приборы и др.).</w:t>
      </w:r>
    </w:p>
    <w:p w14:paraId="0CFCD1F9" w14:textId="77777777" w:rsidR="005B49AB" w:rsidRPr="005E779E" w:rsidRDefault="005B49A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 по ВЭСО валютных контингентов в IV квартале 1931 г. 496 тыс. руб. плюс оплата иностранных рабочих.</w:t>
      </w:r>
    </w:p>
    <w:p w14:paraId="5A0FF5A7" w14:textId="77777777" w:rsidR="005B49AB" w:rsidRPr="005E779E" w:rsidRDefault="005B49A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объединению ВЭО</w:t>
      </w:r>
    </w:p>
    <w:p w14:paraId="314FEA5A" w14:textId="77777777" w:rsidR="005B49AB" w:rsidRPr="005E779E" w:rsidRDefault="005B49A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Для обеспечения выпуска 6 тыс. радиостанций радиомашинами обязать ВЭО ускорить намечаемое в 1932 г. расширение производства радиомашин на Московском электрозаводе, для чего немедленно, не позднее 1 ноября с. г., отпустить ВЭО распоряжением Президиума ВСНХ 600 тыс. руб., из коих 300 тыс. руб. — валютным контингентом в IV квартале с. г.</w:t>
      </w:r>
    </w:p>
    <w:p w14:paraId="61DE3AA3" w14:textId="77777777" w:rsidR="005B49AB" w:rsidRPr="005E779E" w:rsidRDefault="005B49A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Обязать ВЭО форсировать строительство и оборудование вновь строящегося Саратовского завода щелочных аккумуляторов, а также выпустить в течение 1932 г. с этого завода щелочных батарей емкостью не менее 4 млн. ампер-часов.</w:t>
      </w:r>
    </w:p>
    <w:p w14:paraId="257C650B" w14:textId="77777777" w:rsidR="005B49AB" w:rsidRPr="005E779E" w:rsidRDefault="005B49A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Обязать Президиум ВСНХ СССР обеспечить строительство Саратовского завода щелочных аккумуляторов необходимыми стройматериалами для обеспечения пуска этого завода не позднее первой половины 1932 г. Разрешить заказ заграничного оборудования для этого завода в IV квартале с. г. на сумму 200 тыс. руб., для чего выделить в IV квартале с. г. соответствующий валютный контингент. Строительство завода включить в число ударных строек.</w:t>
      </w:r>
    </w:p>
    <w:p w14:paraId="303D2B11" w14:textId="77777777" w:rsidR="005B49AB" w:rsidRPr="005E779E" w:rsidRDefault="005B49A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Обеспечить в I квартале 1932 г. валютный контингент на 150 тыс. руб. на ввоз недостающего количества щелочных элементов.</w:t>
      </w:r>
    </w:p>
    <w:p w14:paraId="35A9FD60" w14:textId="77777777" w:rsidR="005B49AB" w:rsidRPr="005E779E" w:rsidRDefault="005B49A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 валютных контингентов по ВЭО: в IV квартале с. г. — 500 тыс. руб., в I квартале 1932 г. — 150 тыс. руб.; итого — 650 тыс. руб.</w:t>
      </w:r>
    </w:p>
    <w:p w14:paraId="556A0951" w14:textId="77777777" w:rsidR="005B49AB" w:rsidRPr="005E779E" w:rsidRDefault="005B49A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лабораториям ВЭСО</w:t>
      </w:r>
    </w:p>
    <w:p w14:paraId="5FF4402A" w14:textId="77777777" w:rsidR="005B49AB" w:rsidRPr="005E779E" w:rsidRDefault="005B49AB" w:rsidP="000B7A6C">
      <w:pPr>
        <w:pStyle w:val="rtejustify"/>
        <w:spacing w:before="0" w:after="0"/>
        <w:rPr>
          <w:color w:val="000000" w:themeColor="text1"/>
          <w:sz w:val="16"/>
          <w:szCs w:val="16"/>
        </w:rPr>
      </w:pPr>
      <w:r w:rsidRPr="005E779E">
        <w:rPr>
          <w:color w:val="000000" w:themeColor="text1"/>
          <w:sz w:val="16"/>
          <w:szCs w:val="16"/>
        </w:rPr>
        <w:t>1. Ввиду необходимости срочного расширения лабораторий радиоламп при заводе «Светлана», на что Ревсоветом СССР ассигновано 400 тыс. руб., обязать ВЭСО к 1 января закончить начатое строительство этой лаборатории, для чего Президиуму ВСНХ СССР обеспечить эту стройку стройматериалами не позднее 10 ноября.</w:t>
      </w:r>
    </w:p>
    <w:p w14:paraId="384E7FFF" w14:textId="77777777" w:rsidR="005B49AB" w:rsidRPr="005E779E" w:rsidRDefault="005B49AB" w:rsidP="000B7A6C">
      <w:pPr>
        <w:pStyle w:val="rtejustify"/>
        <w:spacing w:before="0" w:after="0"/>
        <w:rPr>
          <w:color w:val="000000" w:themeColor="text1"/>
          <w:sz w:val="16"/>
          <w:szCs w:val="16"/>
        </w:rPr>
      </w:pPr>
      <w:r w:rsidRPr="005E779E">
        <w:rPr>
          <w:color w:val="000000" w:themeColor="text1"/>
          <w:sz w:val="16"/>
          <w:szCs w:val="16"/>
        </w:rPr>
        <w:t>2. Для обеспечения Центральной военно-индустриальной радиолаборатории ВЭСО в Нижнем Новгороде разрешить заказать на 10 тыс. руб. лабораторно-измерительного оборудования в Америке.</w:t>
      </w:r>
    </w:p>
    <w:p w14:paraId="36913354" w14:textId="77777777" w:rsidR="005B49AB" w:rsidRPr="005E779E" w:rsidRDefault="005B49AB" w:rsidP="000B7A6C">
      <w:pPr>
        <w:pStyle w:val="rtejustify"/>
        <w:spacing w:before="0" w:after="0"/>
        <w:rPr>
          <w:color w:val="000000" w:themeColor="text1"/>
          <w:sz w:val="16"/>
          <w:szCs w:val="16"/>
        </w:rPr>
      </w:pPr>
      <w:r w:rsidRPr="005E779E">
        <w:rPr>
          <w:color w:val="000000" w:themeColor="text1"/>
          <w:sz w:val="16"/>
          <w:szCs w:val="16"/>
        </w:rPr>
        <w:t>3. Разрешить ВЭСО приглашение из-за границы 2 радиоспециалистов высокой квалификации по радиоприемным устройствам. Наем указанных специалистов разрешить с оплатой до 300 долларов в месяц сроком на полтора года.</w:t>
      </w:r>
    </w:p>
    <w:p w14:paraId="7B6AE13F" w14:textId="77777777" w:rsidR="005B49AB" w:rsidRPr="005E779E" w:rsidRDefault="005B49AB" w:rsidP="000B7A6C">
      <w:pPr>
        <w:pStyle w:val="rtejustify"/>
        <w:spacing w:before="0" w:after="0"/>
        <w:rPr>
          <w:color w:val="000000" w:themeColor="text1"/>
          <w:sz w:val="16"/>
          <w:szCs w:val="16"/>
        </w:rPr>
      </w:pPr>
      <w:r w:rsidRPr="005E779E">
        <w:rPr>
          <w:color w:val="000000" w:themeColor="text1"/>
          <w:sz w:val="16"/>
          <w:szCs w:val="16"/>
        </w:rPr>
        <w:t>Всего валютных контингентов ВЭО и ВЭСО. в IV квартале с. г. — 996 тыс. руб., в I квартале 1932 г. — 150 тыс. руб.; итого —1146 тыс. руб.</w:t>
      </w:r>
    </w:p>
    <w:p w14:paraId="4E5035E2" w14:textId="77777777" w:rsidR="005B49AB" w:rsidRPr="005E779E" w:rsidRDefault="005B49AB" w:rsidP="000B7A6C">
      <w:pPr>
        <w:pStyle w:val="ae"/>
        <w:spacing w:before="0" w:after="0"/>
        <w:jc w:val="both"/>
        <w:rPr>
          <w:color w:val="000000" w:themeColor="text1"/>
          <w:sz w:val="16"/>
          <w:szCs w:val="16"/>
        </w:rPr>
      </w:pPr>
      <w:r w:rsidRPr="005E779E">
        <w:rPr>
          <w:rStyle w:val="af0"/>
          <w:i w:val="0"/>
          <w:color w:val="000000" w:themeColor="text1"/>
          <w:sz w:val="16"/>
          <w:szCs w:val="16"/>
        </w:rPr>
        <w:t xml:space="preserve">Управляющий Всесоюзным электрослаботочным объединением ВЭСО </w:t>
      </w:r>
      <w:hyperlink r:id="rId183" w:history="1">
        <w:r w:rsidRPr="005E779E">
          <w:rPr>
            <w:rStyle w:val="af0"/>
            <w:i w:val="0"/>
            <w:color w:val="000000" w:themeColor="text1"/>
            <w:sz w:val="16"/>
            <w:szCs w:val="16"/>
          </w:rPr>
          <w:t>Романовский</w:t>
        </w:r>
      </w:hyperlink>
    </w:p>
    <w:p w14:paraId="762FECA6" w14:textId="77777777" w:rsidR="005B49AB" w:rsidRPr="005E779E" w:rsidRDefault="005B49AB" w:rsidP="000B7A6C">
      <w:pPr>
        <w:pStyle w:val="ae"/>
        <w:spacing w:before="0" w:after="0"/>
        <w:jc w:val="both"/>
        <w:rPr>
          <w:color w:val="000000" w:themeColor="text1"/>
          <w:sz w:val="16"/>
          <w:szCs w:val="16"/>
        </w:rPr>
      </w:pPr>
      <w:r w:rsidRPr="005E779E">
        <w:rPr>
          <w:rStyle w:val="af0"/>
          <w:i w:val="0"/>
          <w:color w:val="000000" w:themeColor="text1"/>
          <w:sz w:val="16"/>
          <w:szCs w:val="16"/>
        </w:rPr>
        <w:t>Примечание</w:t>
      </w:r>
      <w:r w:rsidRPr="005E779E">
        <w:rPr>
          <w:color w:val="000000" w:themeColor="text1"/>
          <w:sz w:val="16"/>
          <w:szCs w:val="16"/>
        </w:rPr>
        <w:t>:</w:t>
      </w:r>
    </w:p>
    <w:p w14:paraId="27969C6F" w14:textId="77777777" w:rsidR="005B49AB" w:rsidRPr="005E779E" w:rsidRDefault="005B49AB" w:rsidP="000B7A6C">
      <w:pPr>
        <w:pStyle w:val="ae"/>
        <w:spacing w:before="0" w:after="0"/>
        <w:jc w:val="both"/>
        <w:rPr>
          <w:color w:val="000000" w:themeColor="text1"/>
          <w:sz w:val="16"/>
          <w:szCs w:val="16"/>
        </w:rPr>
      </w:pPr>
      <w:r w:rsidRPr="005E779E">
        <w:rPr>
          <w:color w:val="000000" w:themeColor="text1"/>
          <w:sz w:val="16"/>
          <w:szCs w:val="16"/>
          <w:vertAlign w:val="superscript"/>
        </w:rPr>
        <w:t>1</w:t>
      </w:r>
      <w:r w:rsidRPr="005E779E">
        <w:rPr>
          <w:color w:val="000000" w:themeColor="text1"/>
          <w:sz w:val="16"/>
          <w:szCs w:val="16"/>
        </w:rPr>
        <w:t>* Отточие документа.</w:t>
      </w:r>
    </w:p>
    <w:p w14:paraId="57FC192D" w14:textId="77777777" w:rsidR="005B49AB" w:rsidRPr="005E779E" w:rsidRDefault="005B49AB" w:rsidP="000B7A6C">
      <w:pPr>
        <w:pStyle w:val="ae"/>
        <w:spacing w:before="0" w:after="0"/>
        <w:jc w:val="both"/>
        <w:rPr>
          <w:color w:val="000000" w:themeColor="text1"/>
          <w:sz w:val="16"/>
          <w:szCs w:val="16"/>
        </w:rPr>
      </w:pPr>
      <w:r w:rsidRPr="005E779E">
        <w:rPr>
          <w:color w:val="000000" w:themeColor="text1"/>
          <w:sz w:val="16"/>
          <w:szCs w:val="16"/>
        </w:rPr>
        <w:t>ГА РФ. Ф. Р-8418. Оп. 5. Д. 61. Л. 166—167 об. Подлинник.</w:t>
      </w:r>
    </w:p>
    <w:p w14:paraId="7D5EBECB" w14:textId="77777777" w:rsidR="005B49AB" w:rsidRPr="005E779E" w:rsidRDefault="005B49A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Архив: ГА РФ. Ф. Р-8418. Оп. 5. Д. 61. Л. 166—167 об. Подлинник. </w:t>
      </w:r>
    </w:p>
    <w:p w14:paraId="36CA5DB8" w14:textId="77777777" w:rsidR="005B49AB" w:rsidRPr="005E779E" w:rsidRDefault="005B49A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Источник: Собрание узаконений и распоряжений правительства за 1917—1918 гг. Управление делами Совнаркома СССР М. 1942, стр. 572-573 (12537).</w:t>
      </w:r>
    </w:p>
    <w:p w14:paraId="0C7A2BF2" w14:textId="77777777" w:rsidR="005B49AB" w:rsidRPr="005E779E" w:rsidRDefault="005B49AB" w:rsidP="000B7A6C">
      <w:pPr>
        <w:spacing w:after="0" w:line="240" w:lineRule="auto"/>
        <w:jc w:val="both"/>
        <w:rPr>
          <w:rFonts w:ascii="Times New Roman" w:hAnsi="Times New Roman"/>
          <w:color w:val="000000" w:themeColor="text1"/>
          <w:sz w:val="16"/>
          <w:szCs w:val="16"/>
        </w:rPr>
      </w:pPr>
    </w:p>
    <w:p w14:paraId="45F49D0F" w14:textId="77777777" w:rsidR="005B49AB" w:rsidRPr="005E779E" w:rsidRDefault="005B49AB" w:rsidP="000B7A6C">
      <w:pPr>
        <w:pStyle w:val="ae"/>
        <w:spacing w:before="0" w:after="0"/>
        <w:jc w:val="both"/>
        <w:rPr>
          <w:color w:val="000000" w:themeColor="text1"/>
          <w:sz w:val="16"/>
          <w:szCs w:val="16"/>
        </w:rPr>
      </w:pPr>
      <w:r w:rsidRPr="005E779E">
        <w:rPr>
          <w:color w:val="000000" w:themeColor="text1"/>
          <w:sz w:val="16"/>
          <w:szCs w:val="16"/>
        </w:rPr>
        <w:t>16 октября 1931 г. Секретно.</w:t>
      </w:r>
    </w:p>
    <w:p w14:paraId="543A207D" w14:textId="77777777" w:rsidR="005B49AB" w:rsidRPr="005E779E" w:rsidRDefault="005B49AB" w:rsidP="000B7A6C">
      <w:pPr>
        <w:pStyle w:val="ae"/>
        <w:spacing w:before="0" w:after="0"/>
        <w:jc w:val="both"/>
        <w:rPr>
          <w:color w:val="000000" w:themeColor="text1"/>
          <w:sz w:val="16"/>
          <w:szCs w:val="16"/>
        </w:rPr>
      </w:pPr>
      <w:r w:rsidRPr="005E779E">
        <w:rPr>
          <w:color w:val="000000" w:themeColor="text1"/>
          <w:sz w:val="16"/>
          <w:szCs w:val="16"/>
        </w:rPr>
        <w:t>«&lt;…&gt; необходимо провести следующие мероприятия, обеспечивающие выполнение этого задания.</w:t>
      </w:r>
    </w:p>
    <w:p w14:paraId="54FD45A8" w14:textId="77777777" w:rsidR="005B49AB" w:rsidRPr="005E779E" w:rsidRDefault="005B49AB" w:rsidP="000B7A6C">
      <w:pPr>
        <w:pStyle w:val="ae"/>
        <w:spacing w:before="0" w:after="0"/>
        <w:jc w:val="both"/>
        <w:rPr>
          <w:color w:val="000000" w:themeColor="text1"/>
          <w:sz w:val="16"/>
          <w:szCs w:val="16"/>
        </w:rPr>
      </w:pPr>
      <w:r w:rsidRPr="005E779E">
        <w:rPr>
          <w:bCs/>
          <w:color w:val="000000" w:themeColor="text1"/>
          <w:sz w:val="16"/>
          <w:szCs w:val="16"/>
        </w:rPr>
        <w:lastRenderedPageBreak/>
        <w:t>По объединению ВЭСО</w:t>
      </w:r>
    </w:p>
    <w:p w14:paraId="13662D9A" w14:textId="77777777" w:rsidR="005B49AB" w:rsidRPr="005E779E" w:rsidRDefault="005B49AB" w:rsidP="000B7A6C">
      <w:pPr>
        <w:pStyle w:val="ae"/>
        <w:spacing w:before="0" w:after="0"/>
        <w:jc w:val="both"/>
        <w:rPr>
          <w:color w:val="000000" w:themeColor="text1"/>
          <w:sz w:val="16"/>
          <w:szCs w:val="16"/>
        </w:rPr>
      </w:pPr>
      <w:r w:rsidRPr="005E779E">
        <w:rPr>
          <w:color w:val="000000" w:themeColor="text1"/>
          <w:sz w:val="16"/>
          <w:szCs w:val="16"/>
        </w:rPr>
        <w:t>1. Разрешить объединению ВЭСО наем 300–350 чел. рабочих высокой квалификации в Европе (Германии, Англии и Франции). Из них 250 чел. безвалютно, с оплатой лишь проезда в валюте, и 100 чел. особо высокой квалификации с оплатой от 25 до 50 руб. валютой в месяц. &lt;…&gt;</w:t>
      </w:r>
    </w:p>
    <w:p w14:paraId="51F0322E" w14:textId="77777777" w:rsidR="005B49AB" w:rsidRPr="005E779E" w:rsidRDefault="005B49AB" w:rsidP="000B7A6C">
      <w:pPr>
        <w:pStyle w:val="ae"/>
        <w:spacing w:before="0" w:after="0"/>
        <w:jc w:val="both"/>
        <w:rPr>
          <w:color w:val="000000" w:themeColor="text1"/>
          <w:sz w:val="16"/>
          <w:szCs w:val="16"/>
        </w:rPr>
      </w:pPr>
      <w:r w:rsidRPr="005E779E">
        <w:rPr>
          <w:color w:val="000000" w:themeColor="text1"/>
          <w:sz w:val="16"/>
          <w:szCs w:val="16"/>
        </w:rPr>
        <w:t>2. Для обеспечения жилплощадью приглашаемых из-за границы рабочих распоряжением Президиума ВСНХ СССР отпустить ВЭСО дополнительно в IVквартале 1 млн руб. на приобретение стандартных домов для Нижегородского радиотелефонного завода и на приобретение жилплощади для иностранных рабочих, приглашаемых для ленинградских и московских заводов ВЭСО.</w:t>
      </w:r>
    </w:p>
    <w:p w14:paraId="06C1E243" w14:textId="77777777" w:rsidR="005B49AB" w:rsidRPr="005E779E" w:rsidRDefault="005B49AB" w:rsidP="000B7A6C">
      <w:pPr>
        <w:pStyle w:val="ae"/>
        <w:spacing w:before="0" w:after="0"/>
        <w:jc w:val="both"/>
        <w:rPr>
          <w:color w:val="000000" w:themeColor="text1"/>
          <w:sz w:val="16"/>
          <w:szCs w:val="16"/>
        </w:rPr>
      </w:pPr>
      <w:r w:rsidRPr="005E779E">
        <w:rPr>
          <w:color w:val="000000" w:themeColor="text1"/>
          <w:sz w:val="16"/>
          <w:szCs w:val="16"/>
        </w:rPr>
        <w:t>3. Президиуму ВСНХ СССР в IV квартале для обеспечения приглашаемых иностранных рабочих жилплощадью выделить для Нижегородского радиозавода 20 стандартных домов квартирного типа, площадью по 387 м2 в каждом.</w:t>
      </w:r>
    </w:p>
    <w:p w14:paraId="5711C5C2" w14:textId="77777777" w:rsidR="005B49AB" w:rsidRPr="005E779E" w:rsidRDefault="005B49AB" w:rsidP="000B7A6C">
      <w:pPr>
        <w:pStyle w:val="ae"/>
        <w:spacing w:before="0" w:after="0"/>
        <w:jc w:val="both"/>
        <w:rPr>
          <w:color w:val="000000" w:themeColor="text1"/>
          <w:sz w:val="16"/>
          <w:szCs w:val="16"/>
        </w:rPr>
      </w:pPr>
      <w:r w:rsidRPr="005E779E">
        <w:rPr>
          <w:color w:val="000000" w:themeColor="text1"/>
          <w:sz w:val="16"/>
          <w:szCs w:val="16"/>
        </w:rPr>
        <w:t>4. В целях скорейшей реализации жилищного фонда для иностранных рабочих разрешить объединению ВЭСО приобретение жилплощади в порядке покупки квартир от жилкооперации, а также ремонт и восстановление квартир.</w:t>
      </w:r>
    </w:p>
    <w:p w14:paraId="5FDC7DC3" w14:textId="77777777" w:rsidR="005B49AB" w:rsidRPr="005E779E" w:rsidRDefault="005B49AB" w:rsidP="000B7A6C">
      <w:pPr>
        <w:pStyle w:val="ae"/>
        <w:spacing w:before="0" w:after="0"/>
        <w:jc w:val="both"/>
        <w:rPr>
          <w:color w:val="000000" w:themeColor="text1"/>
          <w:sz w:val="16"/>
          <w:szCs w:val="16"/>
        </w:rPr>
      </w:pPr>
      <w:r w:rsidRPr="005E779E">
        <w:rPr>
          <w:color w:val="000000" w:themeColor="text1"/>
          <w:sz w:val="16"/>
          <w:szCs w:val="16"/>
        </w:rPr>
        <w:t>5. Объединению ВЭСО закончить к 1 января 1932 г. строительство Нижегородского радиотелефонного завода, для чего Президиуму ВСНХ СССР выделить фонды строительных материалов для окончания строительства последнего квадрата (в 6 тыс. м2) и столярной мастерской завода, а также недостроенных 20 жилых домов для технического персонала и квалифицированных рабочих, перебрасываемых в Нижний [Новгород] с других заводов ВЭСО.</w:t>
      </w:r>
    </w:p>
    <w:p w14:paraId="28D19D53" w14:textId="77777777" w:rsidR="005B49AB" w:rsidRPr="005E779E" w:rsidRDefault="005B49AB" w:rsidP="000B7A6C">
      <w:pPr>
        <w:pStyle w:val="ae"/>
        <w:spacing w:before="0" w:after="0"/>
        <w:jc w:val="both"/>
        <w:rPr>
          <w:color w:val="000000" w:themeColor="text1"/>
          <w:sz w:val="16"/>
          <w:szCs w:val="16"/>
        </w:rPr>
      </w:pPr>
      <w:r w:rsidRPr="005E779E">
        <w:rPr>
          <w:color w:val="000000" w:themeColor="text1"/>
          <w:sz w:val="16"/>
          <w:szCs w:val="16"/>
        </w:rPr>
        <w:t>6. Выделить в IV квартале с. г. объединению ВЭСО валютный контингент &lt;…&gt; 496 тыс. руб. для обеспечения выпуска радиостанций импортным оборудованием и полуфабрикатами (оборудование, пьезокварц, высокоомные сопротивления, контрольно-измерительные приборы и др.).</w:t>
      </w:r>
    </w:p>
    <w:p w14:paraId="0C8D39D2" w14:textId="77777777" w:rsidR="005B49AB" w:rsidRPr="005E779E" w:rsidRDefault="005B49AB" w:rsidP="000B7A6C">
      <w:pPr>
        <w:pStyle w:val="ae"/>
        <w:spacing w:before="0" w:after="0"/>
        <w:jc w:val="both"/>
        <w:rPr>
          <w:color w:val="000000" w:themeColor="text1"/>
          <w:sz w:val="16"/>
          <w:szCs w:val="16"/>
        </w:rPr>
      </w:pPr>
      <w:r w:rsidRPr="005E779E">
        <w:rPr>
          <w:color w:val="000000" w:themeColor="text1"/>
          <w:sz w:val="16"/>
          <w:szCs w:val="16"/>
        </w:rPr>
        <w:t>Итого по ВЭСО валютных контингентов в IV квартале 1931 г. 496 тыс. руб. плюс оплата иностранных рабочих.</w:t>
      </w:r>
    </w:p>
    <w:p w14:paraId="20EFD767" w14:textId="77777777" w:rsidR="005B49AB" w:rsidRPr="005E779E" w:rsidRDefault="005B49AB" w:rsidP="000B7A6C">
      <w:pPr>
        <w:pStyle w:val="ae"/>
        <w:spacing w:before="0" w:after="0"/>
        <w:jc w:val="both"/>
        <w:rPr>
          <w:color w:val="000000" w:themeColor="text1"/>
          <w:sz w:val="16"/>
          <w:szCs w:val="16"/>
        </w:rPr>
      </w:pPr>
      <w:r w:rsidRPr="005E779E">
        <w:rPr>
          <w:color w:val="000000" w:themeColor="text1"/>
          <w:sz w:val="16"/>
          <w:szCs w:val="16"/>
        </w:rPr>
        <w:t>По объединению ВЭО</w:t>
      </w:r>
    </w:p>
    <w:p w14:paraId="2C27410B" w14:textId="77777777" w:rsidR="005B49AB" w:rsidRPr="005E779E" w:rsidRDefault="005B49AB" w:rsidP="000B7A6C">
      <w:pPr>
        <w:pStyle w:val="ae"/>
        <w:spacing w:before="0" w:after="0"/>
        <w:jc w:val="both"/>
        <w:rPr>
          <w:color w:val="000000" w:themeColor="text1"/>
          <w:sz w:val="16"/>
          <w:szCs w:val="16"/>
        </w:rPr>
      </w:pPr>
      <w:r w:rsidRPr="005E779E">
        <w:rPr>
          <w:color w:val="000000" w:themeColor="text1"/>
          <w:sz w:val="16"/>
          <w:szCs w:val="16"/>
        </w:rPr>
        <w:t>1. Для обеспечения выпуска 6 тыс. радиостанций радиомашинами обязать ВЭО ускорить намечаемое в 1932 г. расширение производства радиомашин на Московском электрозаводе, для чего немедленно, не позднее 1 ноября с. г., отпустить ВЭО распоряжением Президиума ВСНХ 600 тыс. руб., из коих 300 тыс. руб. – валютным контингентом в IVквартале с. г.</w:t>
      </w:r>
    </w:p>
    <w:p w14:paraId="78F7066E" w14:textId="77777777" w:rsidR="005B49AB" w:rsidRPr="005E779E" w:rsidRDefault="005B49AB" w:rsidP="000B7A6C">
      <w:pPr>
        <w:pStyle w:val="ae"/>
        <w:spacing w:before="0" w:after="0"/>
        <w:jc w:val="both"/>
        <w:rPr>
          <w:color w:val="000000" w:themeColor="text1"/>
          <w:sz w:val="16"/>
          <w:szCs w:val="16"/>
        </w:rPr>
      </w:pPr>
      <w:r w:rsidRPr="005E779E">
        <w:rPr>
          <w:color w:val="000000" w:themeColor="text1"/>
          <w:sz w:val="16"/>
          <w:szCs w:val="16"/>
        </w:rPr>
        <w:t>2. Обязать ВЭО форсировать строительство и оборудование вновь строящегося Саратовского завода щелочных аккумуляторов, а также выпустить в течение 1932 г. с этого завода щелочных батарей емкостью не менее 4 млн ампер-часов.</w:t>
      </w:r>
    </w:p>
    <w:p w14:paraId="37BE9615" w14:textId="77777777" w:rsidR="005B49AB" w:rsidRPr="005E779E" w:rsidRDefault="005B49AB" w:rsidP="000B7A6C">
      <w:pPr>
        <w:pStyle w:val="ae"/>
        <w:spacing w:before="0" w:after="0"/>
        <w:jc w:val="both"/>
        <w:rPr>
          <w:color w:val="000000" w:themeColor="text1"/>
          <w:sz w:val="16"/>
          <w:szCs w:val="16"/>
        </w:rPr>
      </w:pPr>
      <w:r w:rsidRPr="005E779E">
        <w:rPr>
          <w:color w:val="000000" w:themeColor="text1"/>
          <w:sz w:val="16"/>
          <w:szCs w:val="16"/>
        </w:rPr>
        <w:t>3. Обязать Президиум ВСНХ СССР обеспечить строительство Саратовского завода щелочных аккумуляторов необходимыми стройматериалами для обеспечения пуска этого завода не позднее первой половины 1932 г. Разрешить заказ заграничного оборудования для этого завода в IV квартале с. г. на сумму 200 тыс. руб., для чего выделить в IV квартале с. г. соответствующий валютный контингент. Строительство завода включить в число ударных строек» (15736).</w:t>
      </w:r>
    </w:p>
    <w:p w14:paraId="259081AA" w14:textId="77777777" w:rsidR="005B49AB" w:rsidRPr="005E779E" w:rsidRDefault="005B49AB" w:rsidP="000B7A6C">
      <w:pPr>
        <w:pStyle w:val="ae"/>
        <w:spacing w:before="0" w:after="0"/>
        <w:jc w:val="both"/>
        <w:rPr>
          <w:color w:val="000000" w:themeColor="text1"/>
          <w:sz w:val="16"/>
          <w:szCs w:val="16"/>
        </w:rPr>
      </w:pPr>
    </w:p>
    <w:p w14:paraId="33CB2F06"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14D7D1F9"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69EFA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16 и 22 октября 1931. Из протокола заседания Политбюро № 69, 1931 г.</w:t>
      </w:r>
    </w:p>
    <w:p w14:paraId="0BF522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 вербовке за границей специалистов и рабочих для промышленности Наркомснаба СССР </w:t>
      </w:r>
    </w:p>
    <w:p w14:paraId="5632DF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 а) План вербовки 775 специалистов, мастеров и квалифицированных рабочих за границей на условиях оплаты их в советской валюте утвердить. </w:t>
      </w:r>
    </w:p>
    <w:p w14:paraId="78C2D1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б) Для организации вербовки по европейским странам Наркомснабу командировать в Берлин своих представителей... </w:t>
      </w:r>
    </w:p>
    <w:p w14:paraId="64F053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е) Распространить на иноспециалистов и рабочих, приглашаемых в систему Наркомснаба, все льготы (увеличение норм ввоза вещей, своевременная доставка багажа и пр.), установленные специальным решением ЦК. </w:t>
      </w:r>
    </w:p>
    <w:p w14:paraId="72D131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Прекратить вербовку рабочих в Америке (11652).</w:t>
      </w:r>
    </w:p>
    <w:p w14:paraId="5E6792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67B21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16 и 22 октября 1931. Из протокола заседания Политбюро № 70, 1931 г.</w:t>
      </w:r>
    </w:p>
    <w:p w14:paraId="7CC2E7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 тов. А. Гарри </w:t>
      </w:r>
    </w:p>
    <w:p w14:paraId="5C2C8C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 Поручить тов. Кагановичу сообщить гр. Гарри (герой гражданской войны, журналист, писатель), что ЦК поручено ОГПУ пересмотреть его дело. </w:t>
      </w:r>
    </w:p>
    <w:p w14:paraId="341A10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 Предложить ОГПУ в двухдневный срок пересмотреть дело А. Гарри и выдать ему бумагу следующего содержания: </w:t>
      </w:r>
    </w:p>
    <w:p w14:paraId="66E8F6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 Обвинение А. Гарри в шпионаже считать недоказанным. </w:t>
      </w:r>
    </w:p>
    <w:p w14:paraId="123863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 Считать А. Гарри вполне реабилитированным. </w:t>
      </w:r>
    </w:p>
    <w:p w14:paraId="1852DE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Высылку в отношении А. Гарри отменить (в 1938 году он был репрессирован вновь) (11652).</w:t>
      </w:r>
    </w:p>
    <w:p w14:paraId="3E1E36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81ABD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 октября 1931 Из докладной записки нач.ОГПУ Г.Ягоды И.Сталину следует, что за два года раскулачивания (1930-1931) на север и в отдаленные районы страны выселено 1 158 986 человек. В их числе 459 916 детей. Всего же выселено и переселено 1 637 740 человек (10687).</w:t>
      </w:r>
    </w:p>
    <w:p w14:paraId="24F50E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82BEA71"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77CDE4D0"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878AF54" w14:textId="77777777" w:rsidR="00E92B50" w:rsidRPr="005E779E" w:rsidRDefault="00E92B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 октября 1931 - Первый полёт Gourdou Leseurre GL-430. Французский прототип палубного пикирующего бомбардировщика (33335).</w:t>
      </w:r>
    </w:p>
    <w:p w14:paraId="58EB0F0B" w14:textId="77777777" w:rsidR="00E92B50" w:rsidRPr="005E779E" w:rsidRDefault="00E92B50" w:rsidP="000B7A6C">
      <w:pPr>
        <w:spacing w:after="0" w:line="240" w:lineRule="auto"/>
        <w:jc w:val="both"/>
        <w:rPr>
          <w:rFonts w:ascii="Times New Roman" w:hAnsi="Times New Roman"/>
          <w:color w:val="000000" w:themeColor="text1"/>
          <w:sz w:val="16"/>
          <w:szCs w:val="16"/>
        </w:rPr>
      </w:pPr>
    </w:p>
    <w:p w14:paraId="30CFF1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 октября 1931 на заседании Совета Лиги наций обсуждалась агрессия Японии в Манчжурии (3481) и США приняли участие в этом обсуждении (3907,168).</w:t>
      </w:r>
    </w:p>
    <w:p w14:paraId="347A4C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2C4B836" w14:textId="77777777" w:rsidR="00D21393"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5FDBC482" w14:textId="77777777" w:rsidR="00D21393" w:rsidRPr="005E779E" w:rsidRDefault="00D21393"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D0EA7B7" w14:textId="77777777" w:rsidR="00D21393" w:rsidRPr="005E779E" w:rsidRDefault="00D2139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 октября в 1931 году вышло постановление СНК СССР об образовании Комитета резервов при Совете труда и обороны – первого в стране органа управления государственными материальными резервами, правопреемником которого является Федеральное агентство по государственным резервам (Росрезерв; образовано в 2004 г.) (14802).</w:t>
      </w:r>
    </w:p>
    <w:p w14:paraId="0644CDF5" w14:textId="77777777" w:rsidR="00D21393" w:rsidRPr="005E779E" w:rsidRDefault="00D21393" w:rsidP="000B7A6C">
      <w:pPr>
        <w:spacing w:after="0" w:line="240" w:lineRule="auto"/>
        <w:jc w:val="both"/>
        <w:rPr>
          <w:rFonts w:ascii="Times New Roman" w:hAnsi="Times New Roman"/>
          <w:color w:val="000000" w:themeColor="text1"/>
          <w:sz w:val="16"/>
          <w:szCs w:val="16"/>
        </w:rPr>
      </w:pPr>
    </w:p>
    <w:p w14:paraId="189DE581"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7C7A53DC"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97884E7" w14:textId="77777777" w:rsidR="00E92B50" w:rsidRPr="005E779E" w:rsidRDefault="00E92B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 октября 1931 первое испытание ВМС США программы взлета прототипа истребителя Curtiss XF9C-1 с дирижабля USS Лос - Анджелес (ZR-3) (20804).</w:t>
      </w:r>
    </w:p>
    <w:p w14:paraId="6F8F3AAD" w14:textId="77777777" w:rsidR="00E92B50" w:rsidRPr="005E779E" w:rsidRDefault="00E92B50" w:rsidP="000B7A6C">
      <w:pPr>
        <w:spacing w:after="0" w:line="240" w:lineRule="auto"/>
        <w:jc w:val="both"/>
        <w:rPr>
          <w:rFonts w:ascii="Times New Roman" w:hAnsi="Times New Roman"/>
          <w:color w:val="000000" w:themeColor="text1"/>
          <w:sz w:val="16"/>
          <w:szCs w:val="16"/>
        </w:rPr>
      </w:pPr>
    </w:p>
    <w:p w14:paraId="64CAF7DB" w14:textId="77777777" w:rsidR="00E92B50" w:rsidRPr="005E779E" w:rsidRDefault="00E92B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 октября 1931 года — первый полёт бомбардировщика Dornier Do Y. /Германия/</w:t>
      </w:r>
    </w:p>
    <w:p w14:paraId="599373E2" w14:textId="77777777" w:rsidR="00E92B50" w:rsidRPr="005E779E" w:rsidRDefault="00E92B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1930 году компания Dornier Flugzeugwerke и конструктор Клод Дорнье (Claude Dornier) начали работу над новым самолётом. Он задумывался как дальнейшее развитие бомбардировщика Do P. Из-за ограничений Версальского мирного договора самолёт представили как грузо-пассажирский. Но проектом заинтересовалось Королевство Югославии, искавшее бомбардировщики для своих ВВС. Так самолёт получил своё обозначение — Do Y (Y — Yougoslavie).</w:t>
      </w:r>
    </w:p>
    <w:p w14:paraId="08D19174" w14:textId="77777777" w:rsidR="00E92B50" w:rsidRPr="005E779E" w:rsidRDefault="00E92B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Это был несуразный цельнометаллический высокоплан с неубираемым шасси. 2 × двигателя Gnome-Rhône 9Kers (600 л.с.) были установлены в крыльевых мотогондолах, ещё один разместили сверху фюзеляжа. Максимальная скорость — 300 км/ч, дальность полёта — 1500 км. Вооружение — 5 × 7,7-мм пулемётов + 1,2 тонны бомб.</w:t>
      </w:r>
    </w:p>
    <w:p w14:paraId="6AC5B547" w14:textId="77777777" w:rsidR="00E92B50" w:rsidRPr="005E779E" w:rsidRDefault="00E92B5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 построили 4 бомбардировщика Do Y. Они стояли на вооружении Королевских ВВС Югославии до 1939 года. Позднее были переоборудованы в транспортные самолёты (22300).</w:t>
      </w:r>
    </w:p>
    <w:p w14:paraId="3DC85017" w14:textId="77777777" w:rsidR="00E92B50" w:rsidRPr="005E779E" w:rsidRDefault="00E92B50" w:rsidP="000B7A6C">
      <w:pPr>
        <w:spacing w:after="0" w:line="240" w:lineRule="auto"/>
        <w:jc w:val="both"/>
        <w:rPr>
          <w:rFonts w:ascii="Times New Roman" w:hAnsi="Times New Roman"/>
          <w:color w:val="000000" w:themeColor="text1"/>
          <w:sz w:val="16"/>
          <w:szCs w:val="16"/>
        </w:rPr>
      </w:pPr>
    </w:p>
    <w:p w14:paraId="7BF022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 октября 1931 Аль Капоне был приговорен к 11 годам тюрьмы за уклонение от налогов (3263,588) - единственное преступление, которое удалось доказать. (4962).</w:t>
      </w:r>
    </w:p>
    <w:p w14:paraId="46683A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7983A28" w14:textId="77777777" w:rsidR="00B44E92" w:rsidRPr="005E779E" w:rsidRDefault="00B44E92"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В ночь с 17 на 18 октября 1931 г. Адольф Гитлер и его сподвижники провел грандиозный массовый марш 100.000 нацистов в Брауншвейге (17325).</w:t>
      </w:r>
    </w:p>
    <w:p w14:paraId="15FBD039" w14:textId="77777777" w:rsidR="00B44E92" w:rsidRPr="005E779E" w:rsidRDefault="00B44E92" w:rsidP="000B7A6C">
      <w:pPr>
        <w:autoSpaceDE w:val="0"/>
        <w:autoSpaceDN w:val="0"/>
        <w:adjustRightInd w:val="0"/>
        <w:spacing w:after="0" w:line="240" w:lineRule="auto"/>
        <w:jc w:val="both"/>
        <w:rPr>
          <w:rFonts w:ascii="Times New Roman" w:hAnsi="Times New Roman"/>
          <w:color w:val="000000" w:themeColor="text1"/>
          <w:sz w:val="16"/>
          <w:szCs w:val="16"/>
        </w:rPr>
      </w:pPr>
    </w:p>
    <w:p w14:paraId="786FDD51" w14:textId="77777777" w:rsidR="00157036" w:rsidRPr="005E779E" w:rsidRDefault="00157036"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768A589F" w14:textId="77777777" w:rsidR="00157036" w:rsidRPr="005E779E" w:rsidRDefault="00157036"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476B0B1" w14:textId="77777777" w:rsidR="00157036" w:rsidRPr="005E779E" w:rsidRDefault="00157036"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18 октября 1931 г.</w:t>
      </w:r>
    </w:p>
    <w:p w14:paraId="4865438D" w14:textId="77777777" w:rsidR="00157036" w:rsidRPr="005E779E" w:rsidRDefault="00157036"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Приказ об организации режима работы по ОКБ № 11. 18 октября 1931 г.</w:t>
      </w:r>
    </w:p>
    <w:p w14:paraId="6FDD5C79" w14:textId="77777777" w:rsidR="00157036" w:rsidRPr="005E779E" w:rsidRDefault="00157036"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Источник: </w:t>
      </w:r>
    </w:p>
    <w:p w14:paraId="1A318F83" w14:textId="77777777" w:rsidR="00157036" w:rsidRPr="005E779E" w:rsidRDefault="0015703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A5B4A4F" w14:textId="77777777" w:rsidR="00157036" w:rsidRPr="005E779E" w:rsidRDefault="00157036"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Архив: </w:t>
      </w:r>
    </w:p>
    <w:p w14:paraId="1B3EC1F8" w14:textId="77777777" w:rsidR="00157036" w:rsidRPr="005E779E" w:rsidRDefault="0015703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РГАЭ. Ф. 38. Oп. 1. Д. 2. Л. 104-103</w:t>
      </w:r>
    </w:p>
    <w:p w14:paraId="51A417F1" w14:textId="77777777" w:rsidR="00157036" w:rsidRPr="005E779E" w:rsidRDefault="00157036" w:rsidP="000B7A6C">
      <w:pPr>
        <w:pStyle w:val="rteright"/>
        <w:spacing w:before="0" w:after="0"/>
        <w:jc w:val="both"/>
        <w:rPr>
          <w:color w:val="000000" w:themeColor="text1"/>
          <w:sz w:val="16"/>
          <w:szCs w:val="16"/>
        </w:rPr>
      </w:pPr>
      <w:r w:rsidRPr="005E779E">
        <w:rPr>
          <w:color w:val="000000" w:themeColor="text1"/>
          <w:sz w:val="16"/>
          <w:szCs w:val="16"/>
        </w:rPr>
        <w:t>от 18 октября 1931 г.</w:t>
      </w:r>
    </w:p>
    <w:p w14:paraId="1F375204" w14:textId="77777777" w:rsidR="00157036" w:rsidRPr="005E779E" w:rsidRDefault="00157036" w:rsidP="000B7A6C">
      <w:pPr>
        <w:pStyle w:val="ae"/>
        <w:spacing w:before="0" w:after="0"/>
        <w:jc w:val="both"/>
        <w:rPr>
          <w:color w:val="000000" w:themeColor="text1"/>
          <w:sz w:val="16"/>
          <w:szCs w:val="16"/>
        </w:rPr>
      </w:pPr>
      <w:r w:rsidRPr="005E779E">
        <w:rPr>
          <w:color w:val="000000" w:themeColor="text1"/>
          <w:sz w:val="16"/>
          <w:szCs w:val="16"/>
        </w:rPr>
        <w:t>ПРИКАЗАНИЕ</w:t>
      </w:r>
    </w:p>
    <w:p w14:paraId="285238A6" w14:textId="77777777" w:rsidR="00157036" w:rsidRPr="005E779E" w:rsidRDefault="00157036" w:rsidP="000B7A6C">
      <w:pPr>
        <w:pStyle w:val="ae"/>
        <w:spacing w:before="0" w:after="0"/>
        <w:jc w:val="both"/>
        <w:rPr>
          <w:color w:val="000000" w:themeColor="text1"/>
          <w:sz w:val="16"/>
          <w:szCs w:val="16"/>
        </w:rPr>
      </w:pPr>
      <w:r w:rsidRPr="005E779E">
        <w:rPr>
          <w:color w:val="000000" w:themeColor="text1"/>
          <w:sz w:val="16"/>
          <w:szCs w:val="16"/>
        </w:rPr>
        <w:t>ПО ОКБ № 11 ЭКУ ОГПУ</w:t>
      </w:r>
    </w:p>
    <w:p w14:paraId="7553FFEF" w14:textId="044AD833" w:rsidR="00157036" w:rsidRPr="005E779E" w:rsidRDefault="00157036" w:rsidP="000B7A6C">
      <w:pPr>
        <w:pStyle w:val="rtejustify"/>
        <w:spacing w:before="0" w:after="0"/>
        <w:rPr>
          <w:color w:val="000000" w:themeColor="text1"/>
          <w:sz w:val="16"/>
          <w:szCs w:val="16"/>
        </w:rPr>
      </w:pPr>
      <w:r w:rsidRPr="005E779E">
        <w:rPr>
          <w:color w:val="000000" w:themeColor="text1"/>
          <w:sz w:val="16"/>
          <w:szCs w:val="16"/>
        </w:rPr>
        <w:t>1.</w:t>
      </w:r>
      <w:r w:rsidR="00FE094E">
        <w:rPr>
          <w:color w:val="000000" w:themeColor="text1"/>
          <w:sz w:val="16"/>
          <w:szCs w:val="16"/>
        </w:rPr>
        <w:t xml:space="preserve"> </w:t>
      </w:r>
      <w:r w:rsidRPr="005E779E">
        <w:rPr>
          <w:color w:val="000000" w:themeColor="text1"/>
          <w:sz w:val="16"/>
          <w:szCs w:val="16"/>
        </w:rPr>
        <w:t>В ОКБ пропускаются безпрепятственно ПРЕДСЕДАТЕЛЬ, ЗАМ. ПРЕД., ЧЛЕНЫ КОЛЛЕГИИ ОГПУ. НАЧАЛЬНИК ЭКУ ОГПУ и его ПОМОЩНИКИ, НАЧ. ТЕХ. ОТД. ЭКУ ОГПУ тов. ГОРЯНОВ, его помощник тов. БЕДНЯКОВ, НАЧАЛЬНИК ТЮРЕМНОГО ОТДЕЛА ОГПУ тов. ПОПОВ, его помощник тов. МИРОНОВ, КОМЕНДАНТ всех ОКБ тов. БУДРИС, его помощник тов. НИКИТИН, Уполномоченный ТЕХ. ОТД. Тов. ЗМУДА, его помощник тов. ШКОЛЬНИК по предъявлению удостоверения личностей, а также доктор Санчасти ОГПУ тов. МАРИУПОЛЬСКИЙ (вместе с комендантом).</w:t>
      </w:r>
    </w:p>
    <w:p w14:paraId="328E668A" w14:textId="3E9169FA" w:rsidR="00157036" w:rsidRPr="005E779E" w:rsidRDefault="00157036" w:rsidP="000B7A6C">
      <w:pPr>
        <w:pStyle w:val="rtejustify"/>
        <w:spacing w:before="0" w:after="0"/>
        <w:rPr>
          <w:color w:val="000000" w:themeColor="text1"/>
          <w:sz w:val="16"/>
          <w:szCs w:val="16"/>
        </w:rPr>
      </w:pPr>
      <w:r w:rsidRPr="005E779E">
        <w:rPr>
          <w:color w:val="000000" w:themeColor="text1"/>
          <w:sz w:val="16"/>
          <w:szCs w:val="16"/>
        </w:rPr>
        <w:t>2.</w:t>
      </w:r>
      <w:r w:rsidR="00FE094E">
        <w:rPr>
          <w:color w:val="000000" w:themeColor="text1"/>
          <w:sz w:val="16"/>
          <w:szCs w:val="16"/>
        </w:rPr>
        <w:t xml:space="preserve"> </w:t>
      </w:r>
      <w:r w:rsidRPr="005E779E">
        <w:rPr>
          <w:color w:val="000000" w:themeColor="text1"/>
          <w:sz w:val="16"/>
          <w:szCs w:val="16"/>
        </w:rPr>
        <w:t>Разовые пропуска выдаются исключительно и действительны только за подписью НАЧ. ТЕХ. ОТД. тов. ГОРЯНОВА и НАЧ. ОКБ № 11 тов. НАУМИНА.</w:t>
      </w:r>
    </w:p>
    <w:p w14:paraId="1C009992" w14:textId="43B06094" w:rsidR="00157036" w:rsidRPr="005E779E" w:rsidRDefault="00157036" w:rsidP="000B7A6C">
      <w:pPr>
        <w:pStyle w:val="rtejustify"/>
        <w:spacing w:before="0" w:after="0"/>
        <w:rPr>
          <w:color w:val="000000" w:themeColor="text1"/>
          <w:sz w:val="16"/>
          <w:szCs w:val="16"/>
        </w:rPr>
      </w:pPr>
      <w:r w:rsidRPr="005E779E">
        <w:rPr>
          <w:color w:val="000000" w:themeColor="text1"/>
          <w:sz w:val="16"/>
          <w:szCs w:val="16"/>
        </w:rPr>
        <w:t>3.</w:t>
      </w:r>
      <w:r w:rsidR="00FE094E">
        <w:rPr>
          <w:color w:val="000000" w:themeColor="text1"/>
          <w:sz w:val="16"/>
          <w:szCs w:val="16"/>
        </w:rPr>
        <w:t xml:space="preserve"> </w:t>
      </w:r>
      <w:r w:rsidRPr="005E779E">
        <w:rPr>
          <w:color w:val="000000" w:themeColor="text1"/>
          <w:sz w:val="16"/>
          <w:szCs w:val="16"/>
        </w:rPr>
        <w:t>Постовой вахтер пропускает и выпускает из ОКБ с вещами по особым пропускам за подписью НАЧ. ОКБ или КОМЕНДАНТА.</w:t>
      </w:r>
    </w:p>
    <w:p w14:paraId="5E103CEB" w14:textId="26543635" w:rsidR="00157036" w:rsidRPr="005E779E" w:rsidRDefault="00157036" w:rsidP="000B7A6C">
      <w:pPr>
        <w:pStyle w:val="rtejustify"/>
        <w:spacing w:before="0" w:after="0"/>
        <w:rPr>
          <w:color w:val="000000" w:themeColor="text1"/>
          <w:sz w:val="16"/>
          <w:szCs w:val="16"/>
        </w:rPr>
      </w:pPr>
      <w:r w:rsidRPr="005E779E">
        <w:rPr>
          <w:color w:val="000000" w:themeColor="text1"/>
          <w:sz w:val="16"/>
          <w:szCs w:val="16"/>
        </w:rPr>
        <w:t>4.</w:t>
      </w:r>
      <w:r w:rsidR="00FE094E">
        <w:rPr>
          <w:color w:val="000000" w:themeColor="text1"/>
          <w:sz w:val="16"/>
          <w:szCs w:val="16"/>
        </w:rPr>
        <w:t xml:space="preserve"> </w:t>
      </w:r>
      <w:r w:rsidRPr="005E779E">
        <w:rPr>
          <w:color w:val="000000" w:themeColor="text1"/>
          <w:sz w:val="16"/>
          <w:szCs w:val="16"/>
        </w:rPr>
        <w:t xml:space="preserve"> Посторонних лиц ни в коем случае не впускать в ОКБ.</w:t>
      </w:r>
    </w:p>
    <w:p w14:paraId="2FFDFD22" w14:textId="11F6BAD9" w:rsidR="00157036" w:rsidRPr="005E779E" w:rsidRDefault="00157036" w:rsidP="000B7A6C">
      <w:pPr>
        <w:pStyle w:val="rtejustify"/>
        <w:spacing w:before="0" w:after="0"/>
        <w:rPr>
          <w:color w:val="000000" w:themeColor="text1"/>
          <w:sz w:val="16"/>
          <w:szCs w:val="16"/>
        </w:rPr>
      </w:pPr>
      <w:r w:rsidRPr="005E779E">
        <w:rPr>
          <w:color w:val="000000" w:themeColor="text1"/>
          <w:sz w:val="16"/>
          <w:szCs w:val="16"/>
        </w:rPr>
        <w:t>5.</w:t>
      </w:r>
      <w:r w:rsidR="00FE094E">
        <w:rPr>
          <w:color w:val="000000" w:themeColor="text1"/>
          <w:sz w:val="16"/>
          <w:szCs w:val="16"/>
        </w:rPr>
        <w:t xml:space="preserve"> </w:t>
      </w:r>
      <w:r w:rsidRPr="005E779E">
        <w:rPr>
          <w:color w:val="000000" w:themeColor="text1"/>
          <w:sz w:val="16"/>
          <w:szCs w:val="16"/>
        </w:rPr>
        <w:t>Как правило посещать свидания имеют право: жена, мать, отец, малолетние дети, остальные родственники по особому разрешению НАЧ. ОКБ.</w:t>
      </w:r>
    </w:p>
    <w:p w14:paraId="3DE4BB32" w14:textId="3958C4F1" w:rsidR="00157036" w:rsidRPr="005E779E" w:rsidRDefault="00157036" w:rsidP="000B7A6C">
      <w:pPr>
        <w:pStyle w:val="rtejustify"/>
        <w:spacing w:before="0" w:after="0"/>
        <w:rPr>
          <w:color w:val="000000" w:themeColor="text1"/>
          <w:sz w:val="16"/>
          <w:szCs w:val="16"/>
        </w:rPr>
      </w:pPr>
      <w:r w:rsidRPr="005E779E">
        <w:rPr>
          <w:color w:val="000000" w:themeColor="text1"/>
          <w:sz w:val="16"/>
          <w:szCs w:val="16"/>
        </w:rPr>
        <w:t>6.</w:t>
      </w:r>
      <w:r w:rsidR="00FE094E">
        <w:rPr>
          <w:color w:val="000000" w:themeColor="text1"/>
          <w:sz w:val="16"/>
          <w:szCs w:val="16"/>
        </w:rPr>
        <w:t xml:space="preserve"> </w:t>
      </w:r>
      <w:r w:rsidRPr="005E779E">
        <w:rPr>
          <w:color w:val="000000" w:themeColor="text1"/>
          <w:sz w:val="16"/>
          <w:szCs w:val="16"/>
        </w:rPr>
        <w:t>В цеха, где будет производится работа[,] осужденных выдавать по распоряжению НАЧ. ОКБ тов. НАУМИНА. Разговоры с рабочими со стороны осужденных строго воспрещаются, за исключением чисто деловых связанных с данной работой.</w:t>
      </w:r>
    </w:p>
    <w:p w14:paraId="0AEE4FB3" w14:textId="08F30FAA" w:rsidR="00157036" w:rsidRPr="005E779E" w:rsidRDefault="00157036" w:rsidP="000B7A6C">
      <w:pPr>
        <w:pStyle w:val="rtejustify"/>
        <w:spacing w:before="0" w:after="0"/>
        <w:rPr>
          <w:color w:val="000000" w:themeColor="text1"/>
          <w:sz w:val="16"/>
          <w:szCs w:val="16"/>
        </w:rPr>
      </w:pPr>
      <w:r w:rsidRPr="005E779E">
        <w:rPr>
          <w:color w:val="000000" w:themeColor="text1"/>
          <w:sz w:val="16"/>
          <w:szCs w:val="16"/>
        </w:rPr>
        <w:t>7.</w:t>
      </w:r>
      <w:r w:rsidR="00FE094E">
        <w:rPr>
          <w:color w:val="000000" w:themeColor="text1"/>
          <w:sz w:val="16"/>
          <w:szCs w:val="16"/>
        </w:rPr>
        <w:t xml:space="preserve"> </w:t>
      </w:r>
      <w:r w:rsidRPr="005E779E">
        <w:rPr>
          <w:color w:val="000000" w:themeColor="text1"/>
          <w:sz w:val="16"/>
          <w:szCs w:val="16"/>
        </w:rPr>
        <w:t>Комендантом ОКБ назначается тов. ПУГОВКИН, которому подчинена охрана ОКБ и все его указания по части охраны безприкословно выполнять.</w:t>
      </w:r>
    </w:p>
    <w:p w14:paraId="73743408" w14:textId="77777777" w:rsidR="00157036" w:rsidRPr="005E779E" w:rsidRDefault="00157036" w:rsidP="000B7A6C">
      <w:pPr>
        <w:pStyle w:val="ae"/>
        <w:spacing w:before="0" w:after="0"/>
        <w:jc w:val="both"/>
        <w:rPr>
          <w:color w:val="000000" w:themeColor="text1"/>
          <w:sz w:val="16"/>
          <w:szCs w:val="16"/>
        </w:rPr>
      </w:pPr>
      <w:r w:rsidRPr="005E779E">
        <w:rPr>
          <w:color w:val="000000" w:themeColor="text1"/>
          <w:sz w:val="16"/>
          <w:szCs w:val="16"/>
        </w:rPr>
        <w:t>РАСПОРЯДОК ДНЯ В ОКБ № 11</w:t>
      </w:r>
    </w:p>
    <w:p w14:paraId="4BFD04FA" w14:textId="77777777" w:rsidR="00157036" w:rsidRPr="005E779E" w:rsidRDefault="00157036" w:rsidP="000B7A6C">
      <w:pPr>
        <w:pStyle w:val="ae"/>
        <w:spacing w:before="0" w:after="0"/>
        <w:jc w:val="both"/>
        <w:rPr>
          <w:color w:val="000000" w:themeColor="text1"/>
          <w:sz w:val="16"/>
          <w:szCs w:val="16"/>
        </w:rPr>
      </w:pPr>
      <w:r w:rsidRPr="005E779E">
        <w:rPr>
          <w:color w:val="000000" w:themeColor="text1"/>
          <w:sz w:val="16"/>
          <w:szCs w:val="16"/>
        </w:rPr>
        <w:t>(рабочий день)</w:t>
      </w:r>
    </w:p>
    <w:p w14:paraId="44B4BE37" w14:textId="77777777" w:rsidR="00157036" w:rsidRPr="005E779E" w:rsidRDefault="00157036" w:rsidP="000B7A6C">
      <w:pPr>
        <w:pStyle w:val="ae"/>
        <w:spacing w:before="0" w:after="0"/>
        <w:jc w:val="both"/>
        <w:rPr>
          <w:color w:val="000000" w:themeColor="text1"/>
          <w:sz w:val="16"/>
          <w:szCs w:val="16"/>
        </w:rPr>
      </w:pPr>
      <w:r w:rsidRPr="005E779E">
        <w:rPr>
          <w:color w:val="000000" w:themeColor="text1"/>
          <w:sz w:val="16"/>
          <w:szCs w:val="16"/>
        </w:rPr>
        <w:t>Подъем................................................ 7 часов утра</w:t>
      </w:r>
    </w:p>
    <w:p w14:paraId="64F22430" w14:textId="77777777" w:rsidR="00157036" w:rsidRPr="005E779E" w:rsidRDefault="00157036" w:rsidP="000B7A6C">
      <w:pPr>
        <w:pStyle w:val="ae"/>
        <w:spacing w:before="0" w:after="0"/>
        <w:jc w:val="both"/>
        <w:rPr>
          <w:color w:val="000000" w:themeColor="text1"/>
          <w:sz w:val="16"/>
          <w:szCs w:val="16"/>
        </w:rPr>
      </w:pPr>
      <w:r w:rsidRPr="005E779E">
        <w:rPr>
          <w:color w:val="000000" w:themeColor="text1"/>
          <w:sz w:val="16"/>
          <w:szCs w:val="16"/>
        </w:rPr>
        <w:t>Умывание, чай, прогулка....................от 7 до 8 час.</w:t>
      </w:r>
    </w:p>
    <w:p w14:paraId="386327F8" w14:textId="77777777" w:rsidR="00157036" w:rsidRPr="005E779E" w:rsidRDefault="00157036" w:rsidP="000B7A6C">
      <w:pPr>
        <w:pStyle w:val="ae"/>
        <w:spacing w:before="0" w:after="0"/>
        <w:jc w:val="both"/>
        <w:rPr>
          <w:color w:val="000000" w:themeColor="text1"/>
          <w:sz w:val="16"/>
          <w:szCs w:val="16"/>
        </w:rPr>
      </w:pPr>
      <w:r w:rsidRPr="005E779E">
        <w:rPr>
          <w:color w:val="000000" w:themeColor="text1"/>
          <w:sz w:val="16"/>
          <w:szCs w:val="16"/>
        </w:rPr>
        <w:t>РАБОТА............................................... 8-12 час.</w:t>
      </w:r>
    </w:p>
    <w:p w14:paraId="4F012976" w14:textId="77777777" w:rsidR="00157036" w:rsidRPr="005E779E" w:rsidRDefault="00157036" w:rsidP="000B7A6C">
      <w:pPr>
        <w:pStyle w:val="ae"/>
        <w:spacing w:before="0" w:after="0"/>
        <w:jc w:val="both"/>
        <w:rPr>
          <w:color w:val="000000" w:themeColor="text1"/>
          <w:sz w:val="16"/>
          <w:szCs w:val="16"/>
        </w:rPr>
      </w:pPr>
      <w:r w:rsidRPr="005E779E">
        <w:rPr>
          <w:color w:val="000000" w:themeColor="text1"/>
          <w:sz w:val="16"/>
          <w:szCs w:val="16"/>
        </w:rPr>
        <w:t>Обед.................................................... 12-13 час.</w:t>
      </w:r>
    </w:p>
    <w:p w14:paraId="7AA081EF" w14:textId="77777777" w:rsidR="00157036" w:rsidRPr="005E779E" w:rsidRDefault="00157036" w:rsidP="000B7A6C">
      <w:pPr>
        <w:pStyle w:val="ae"/>
        <w:spacing w:before="0" w:after="0"/>
        <w:jc w:val="both"/>
        <w:rPr>
          <w:color w:val="000000" w:themeColor="text1"/>
          <w:sz w:val="16"/>
          <w:szCs w:val="16"/>
        </w:rPr>
      </w:pPr>
      <w:r w:rsidRPr="005E779E">
        <w:rPr>
          <w:color w:val="000000" w:themeColor="text1"/>
          <w:sz w:val="16"/>
          <w:szCs w:val="16"/>
        </w:rPr>
        <w:t>Отдых и прогулка.................................13-14 час.</w:t>
      </w:r>
    </w:p>
    <w:p w14:paraId="7AA5A781" w14:textId="77777777" w:rsidR="00157036" w:rsidRPr="005E779E" w:rsidRDefault="00157036" w:rsidP="000B7A6C">
      <w:pPr>
        <w:pStyle w:val="ae"/>
        <w:spacing w:before="0" w:after="0"/>
        <w:jc w:val="both"/>
        <w:rPr>
          <w:color w:val="000000" w:themeColor="text1"/>
          <w:sz w:val="16"/>
          <w:szCs w:val="16"/>
        </w:rPr>
      </w:pPr>
      <w:r w:rsidRPr="005E779E">
        <w:rPr>
          <w:color w:val="000000" w:themeColor="text1"/>
          <w:sz w:val="16"/>
          <w:szCs w:val="16"/>
        </w:rPr>
        <w:t>Работа.................................................. 14-17 час.</w:t>
      </w:r>
    </w:p>
    <w:p w14:paraId="4017FF77" w14:textId="77777777" w:rsidR="00157036" w:rsidRPr="005E779E" w:rsidRDefault="00157036" w:rsidP="000B7A6C">
      <w:pPr>
        <w:pStyle w:val="ae"/>
        <w:spacing w:before="0" w:after="0"/>
        <w:jc w:val="both"/>
        <w:rPr>
          <w:color w:val="000000" w:themeColor="text1"/>
          <w:sz w:val="16"/>
          <w:szCs w:val="16"/>
        </w:rPr>
      </w:pPr>
      <w:r w:rsidRPr="005E779E">
        <w:rPr>
          <w:color w:val="000000" w:themeColor="text1"/>
          <w:sz w:val="16"/>
          <w:szCs w:val="16"/>
        </w:rPr>
        <w:t>Ужин, чай и отдых................................17-18 час.</w:t>
      </w:r>
    </w:p>
    <w:p w14:paraId="73B05EF4" w14:textId="77777777" w:rsidR="00157036" w:rsidRPr="005E779E" w:rsidRDefault="00157036" w:rsidP="000B7A6C">
      <w:pPr>
        <w:pStyle w:val="ae"/>
        <w:spacing w:before="0" w:after="0"/>
        <w:jc w:val="both"/>
        <w:rPr>
          <w:color w:val="000000" w:themeColor="text1"/>
          <w:sz w:val="16"/>
          <w:szCs w:val="16"/>
        </w:rPr>
      </w:pPr>
      <w:r w:rsidRPr="005E779E">
        <w:rPr>
          <w:color w:val="000000" w:themeColor="text1"/>
          <w:sz w:val="16"/>
          <w:szCs w:val="16"/>
        </w:rPr>
        <w:t>Работа.................................................. 18-22 час.</w:t>
      </w:r>
    </w:p>
    <w:p w14:paraId="5037B7F7" w14:textId="77777777" w:rsidR="00157036" w:rsidRPr="005E779E" w:rsidRDefault="00157036" w:rsidP="000B7A6C">
      <w:pPr>
        <w:pStyle w:val="ae"/>
        <w:spacing w:before="0" w:after="0"/>
        <w:jc w:val="both"/>
        <w:rPr>
          <w:color w:val="000000" w:themeColor="text1"/>
          <w:sz w:val="16"/>
          <w:szCs w:val="16"/>
        </w:rPr>
      </w:pPr>
      <w:r w:rsidRPr="005E779E">
        <w:rPr>
          <w:color w:val="000000" w:themeColor="text1"/>
          <w:sz w:val="16"/>
          <w:szCs w:val="16"/>
        </w:rPr>
        <w:t>Чтение газет и литературы.................. 22-23 час.</w:t>
      </w:r>
    </w:p>
    <w:p w14:paraId="04996C5B" w14:textId="77777777" w:rsidR="00157036" w:rsidRPr="005E779E" w:rsidRDefault="00157036" w:rsidP="000B7A6C">
      <w:pPr>
        <w:pStyle w:val="ae"/>
        <w:spacing w:before="0" w:after="0"/>
        <w:jc w:val="both"/>
        <w:rPr>
          <w:color w:val="000000" w:themeColor="text1"/>
          <w:sz w:val="16"/>
          <w:szCs w:val="16"/>
        </w:rPr>
      </w:pPr>
      <w:r w:rsidRPr="005E779E">
        <w:rPr>
          <w:color w:val="000000" w:themeColor="text1"/>
          <w:sz w:val="16"/>
          <w:szCs w:val="16"/>
        </w:rPr>
        <w:t>Сон....................................................... 23 часа.</w:t>
      </w:r>
    </w:p>
    <w:p w14:paraId="0CDE8893" w14:textId="77777777" w:rsidR="00157036" w:rsidRPr="005E779E" w:rsidRDefault="00157036" w:rsidP="000B7A6C">
      <w:pPr>
        <w:pStyle w:val="rtejustify"/>
        <w:spacing w:before="0" w:after="0"/>
        <w:rPr>
          <w:color w:val="000000" w:themeColor="text1"/>
          <w:sz w:val="16"/>
          <w:szCs w:val="16"/>
        </w:rPr>
      </w:pPr>
      <w:r w:rsidRPr="005E779E">
        <w:rPr>
          <w:color w:val="000000" w:themeColor="text1"/>
          <w:sz w:val="16"/>
          <w:szCs w:val="16"/>
        </w:rPr>
        <w:t>1. Как правило посещать свидание имеют право: жена, мать, отец, малолетние дети, остальные все родственники по особому разрешению НАЧ. ОКБ.</w:t>
      </w:r>
    </w:p>
    <w:p w14:paraId="502A14A4" w14:textId="4B443E36" w:rsidR="00157036" w:rsidRPr="005E779E" w:rsidRDefault="00157036" w:rsidP="000B7A6C">
      <w:pPr>
        <w:pStyle w:val="rtejustify"/>
        <w:spacing w:before="0" w:after="0"/>
        <w:rPr>
          <w:color w:val="000000" w:themeColor="text1"/>
          <w:sz w:val="16"/>
          <w:szCs w:val="16"/>
        </w:rPr>
      </w:pPr>
      <w:r w:rsidRPr="005E779E">
        <w:rPr>
          <w:color w:val="000000" w:themeColor="text1"/>
          <w:sz w:val="16"/>
          <w:szCs w:val="16"/>
        </w:rPr>
        <w:t>2.</w:t>
      </w:r>
      <w:r w:rsidR="00FE094E">
        <w:rPr>
          <w:color w:val="000000" w:themeColor="text1"/>
          <w:sz w:val="16"/>
          <w:szCs w:val="16"/>
        </w:rPr>
        <w:t xml:space="preserve"> </w:t>
      </w:r>
      <w:r w:rsidRPr="005E779E">
        <w:rPr>
          <w:color w:val="000000" w:themeColor="text1"/>
          <w:sz w:val="16"/>
          <w:szCs w:val="16"/>
        </w:rPr>
        <w:t>Обращение с личными заявлениями бытового порядка происходит через старосту общежития ОКБ.</w:t>
      </w:r>
    </w:p>
    <w:p w14:paraId="7966BBFB" w14:textId="4B3385A8" w:rsidR="00157036" w:rsidRPr="005E779E" w:rsidRDefault="00157036" w:rsidP="000B7A6C">
      <w:pPr>
        <w:pStyle w:val="rtejustify"/>
        <w:spacing w:before="0" w:after="0"/>
        <w:rPr>
          <w:color w:val="000000" w:themeColor="text1"/>
          <w:sz w:val="16"/>
          <w:szCs w:val="16"/>
        </w:rPr>
      </w:pPr>
      <w:r w:rsidRPr="005E779E">
        <w:rPr>
          <w:color w:val="000000" w:themeColor="text1"/>
          <w:sz w:val="16"/>
          <w:szCs w:val="16"/>
        </w:rPr>
        <w:t>3.</w:t>
      </w:r>
      <w:r w:rsidR="00FE094E">
        <w:rPr>
          <w:color w:val="000000" w:themeColor="text1"/>
          <w:sz w:val="16"/>
          <w:szCs w:val="16"/>
        </w:rPr>
        <w:t xml:space="preserve"> </w:t>
      </w:r>
      <w:r w:rsidRPr="005E779E">
        <w:rPr>
          <w:color w:val="000000" w:themeColor="text1"/>
          <w:sz w:val="16"/>
          <w:szCs w:val="16"/>
        </w:rPr>
        <w:t>Дни отдыха 5, 11, 17, 23 и 29 каждого месяца. В эти дни происходят свидания с родными.</w:t>
      </w:r>
    </w:p>
    <w:p w14:paraId="7546754E" w14:textId="6D169137" w:rsidR="00157036" w:rsidRPr="005E779E" w:rsidRDefault="00157036" w:rsidP="000B7A6C">
      <w:pPr>
        <w:pStyle w:val="rtejustify"/>
        <w:spacing w:before="0" w:after="0"/>
        <w:rPr>
          <w:color w:val="000000" w:themeColor="text1"/>
          <w:sz w:val="16"/>
          <w:szCs w:val="16"/>
        </w:rPr>
      </w:pPr>
      <w:r w:rsidRPr="005E779E">
        <w:rPr>
          <w:color w:val="000000" w:themeColor="text1"/>
          <w:sz w:val="16"/>
          <w:szCs w:val="16"/>
        </w:rPr>
        <w:t>4.</w:t>
      </w:r>
      <w:r w:rsidR="00FE094E">
        <w:rPr>
          <w:color w:val="000000" w:themeColor="text1"/>
          <w:sz w:val="16"/>
          <w:szCs w:val="16"/>
        </w:rPr>
        <w:t xml:space="preserve"> </w:t>
      </w:r>
      <w:r w:rsidRPr="005E779E">
        <w:rPr>
          <w:color w:val="000000" w:themeColor="text1"/>
          <w:sz w:val="16"/>
          <w:szCs w:val="16"/>
        </w:rPr>
        <w:t>Письма разрешается адресовать только близким родственникам один раз в шестидневку.</w:t>
      </w:r>
    </w:p>
    <w:p w14:paraId="2B0F2B8C" w14:textId="77777777" w:rsidR="00157036" w:rsidRPr="005E779E" w:rsidRDefault="00157036" w:rsidP="000B7A6C">
      <w:pPr>
        <w:pStyle w:val="rtecenter"/>
        <w:spacing w:before="0" w:after="0"/>
        <w:jc w:val="both"/>
        <w:rPr>
          <w:color w:val="000000" w:themeColor="text1"/>
          <w:sz w:val="16"/>
          <w:szCs w:val="16"/>
        </w:rPr>
      </w:pPr>
      <w:r w:rsidRPr="005E779E">
        <w:rPr>
          <w:color w:val="000000" w:themeColor="text1"/>
          <w:sz w:val="16"/>
          <w:szCs w:val="16"/>
        </w:rPr>
        <w:t>(день отдыха)</w:t>
      </w:r>
    </w:p>
    <w:p w14:paraId="0006573B" w14:textId="77777777" w:rsidR="00157036" w:rsidRPr="005E779E" w:rsidRDefault="00157036" w:rsidP="000B7A6C">
      <w:pPr>
        <w:pStyle w:val="ae"/>
        <w:spacing w:before="0" w:after="0"/>
        <w:jc w:val="both"/>
        <w:rPr>
          <w:color w:val="000000" w:themeColor="text1"/>
          <w:sz w:val="16"/>
          <w:szCs w:val="16"/>
        </w:rPr>
      </w:pPr>
      <w:r w:rsidRPr="005E779E">
        <w:rPr>
          <w:color w:val="000000" w:themeColor="text1"/>
          <w:sz w:val="16"/>
          <w:szCs w:val="16"/>
        </w:rPr>
        <w:t>Подъем................................................ 8 час.</w:t>
      </w:r>
    </w:p>
    <w:p w14:paraId="0E4D1CD9" w14:textId="77777777" w:rsidR="00157036" w:rsidRPr="005E779E" w:rsidRDefault="00157036" w:rsidP="000B7A6C">
      <w:pPr>
        <w:pStyle w:val="ae"/>
        <w:spacing w:before="0" w:after="0"/>
        <w:jc w:val="both"/>
        <w:rPr>
          <w:color w:val="000000" w:themeColor="text1"/>
          <w:sz w:val="16"/>
          <w:szCs w:val="16"/>
        </w:rPr>
      </w:pPr>
      <w:r w:rsidRPr="005E779E">
        <w:rPr>
          <w:color w:val="000000" w:themeColor="text1"/>
          <w:sz w:val="16"/>
          <w:szCs w:val="16"/>
        </w:rPr>
        <w:t>Умывание, чай и прогулка................. 8-9 час.</w:t>
      </w:r>
    </w:p>
    <w:p w14:paraId="3F585CF7" w14:textId="77777777" w:rsidR="00157036" w:rsidRPr="005E779E" w:rsidRDefault="00157036" w:rsidP="000B7A6C">
      <w:pPr>
        <w:pStyle w:val="ae"/>
        <w:spacing w:before="0" w:after="0"/>
        <w:jc w:val="both"/>
        <w:rPr>
          <w:color w:val="000000" w:themeColor="text1"/>
          <w:sz w:val="16"/>
          <w:szCs w:val="16"/>
        </w:rPr>
      </w:pPr>
      <w:r w:rsidRPr="005E779E">
        <w:rPr>
          <w:color w:val="000000" w:themeColor="text1"/>
          <w:sz w:val="16"/>
          <w:szCs w:val="16"/>
        </w:rPr>
        <w:t>Обед.................................................... 12 час.</w:t>
      </w:r>
    </w:p>
    <w:p w14:paraId="3BF356B4" w14:textId="77777777" w:rsidR="00157036" w:rsidRPr="005E779E" w:rsidRDefault="00157036" w:rsidP="000B7A6C">
      <w:pPr>
        <w:pStyle w:val="ae"/>
        <w:spacing w:before="0" w:after="0"/>
        <w:jc w:val="both"/>
        <w:rPr>
          <w:color w:val="000000" w:themeColor="text1"/>
          <w:sz w:val="16"/>
          <w:szCs w:val="16"/>
        </w:rPr>
      </w:pPr>
      <w:r w:rsidRPr="005E779E">
        <w:rPr>
          <w:color w:val="000000" w:themeColor="text1"/>
          <w:sz w:val="16"/>
          <w:szCs w:val="16"/>
        </w:rPr>
        <w:t>Ужин.................................................... 17 час.</w:t>
      </w:r>
    </w:p>
    <w:p w14:paraId="0151F908" w14:textId="77777777" w:rsidR="00157036" w:rsidRPr="005E779E" w:rsidRDefault="00157036" w:rsidP="000B7A6C">
      <w:pPr>
        <w:pStyle w:val="ae"/>
        <w:spacing w:before="0" w:after="0"/>
        <w:jc w:val="both"/>
        <w:rPr>
          <w:color w:val="000000" w:themeColor="text1"/>
          <w:sz w:val="16"/>
          <w:szCs w:val="16"/>
        </w:rPr>
      </w:pPr>
      <w:r w:rsidRPr="005E779E">
        <w:rPr>
          <w:color w:val="000000" w:themeColor="text1"/>
          <w:sz w:val="16"/>
          <w:szCs w:val="16"/>
        </w:rPr>
        <w:t>Сон....................................................... 23 час.</w:t>
      </w:r>
    </w:p>
    <w:p w14:paraId="40CB5FE1" w14:textId="77777777" w:rsidR="00157036" w:rsidRPr="005E779E" w:rsidRDefault="00157036" w:rsidP="000B7A6C">
      <w:pPr>
        <w:pStyle w:val="ae"/>
        <w:spacing w:before="0" w:after="0"/>
        <w:jc w:val="both"/>
        <w:rPr>
          <w:color w:val="000000" w:themeColor="text1"/>
          <w:sz w:val="16"/>
          <w:szCs w:val="16"/>
        </w:rPr>
      </w:pPr>
      <w:r w:rsidRPr="005E779E">
        <w:rPr>
          <w:color w:val="000000" w:themeColor="text1"/>
          <w:sz w:val="16"/>
          <w:szCs w:val="16"/>
        </w:rPr>
        <w:t>Примечание: обработка технич. литературы.</w:t>
      </w:r>
    </w:p>
    <w:p w14:paraId="552A0884" w14:textId="77777777" w:rsidR="00157036" w:rsidRPr="005E779E" w:rsidRDefault="00157036" w:rsidP="000B7A6C">
      <w:pPr>
        <w:pStyle w:val="rtejustify"/>
        <w:spacing w:before="0" w:after="0"/>
        <w:rPr>
          <w:color w:val="000000" w:themeColor="text1"/>
          <w:sz w:val="16"/>
          <w:szCs w:val="16"/>
        </w:rPr>
      </w:pPr>
      <w:r w:rsidRPr="005E779E">
        <w:rPr>
          <w:color w:val="000000" w:themeColor="text1"/>
          <w:sz w:val="16"/>
          <w:szCs w:val="16"/>
        </w:rPr>
        <w:t>Свидание как правило с 1 час. до 8 час. Если в указанное время свидание для родственников неудобно, то таковое может быть перенесено только по особому распоряжению НАЧ. ОКБ.</w:t>
      </w:r>
    </w:p>
    <w:p w14:paraId="489583B9" w14:textId="77777777" w:rsidR="00157036" w:rsidRPr="005E779E" w:rsidRDefault="00157036" w:rsidP="000B7A6C">
      <w:pPr>
        <w:pStyle w:val="ae"/>
        <w:spacing w:before="0" w:after="0"/>
        <w:jc w:val="both"/>
        <w:rPr>
          <w:color w:val="000000" w:themeColor="text1"/>
          <w:sz w:val="16"/>
          <w:szCs w:val="16"/>
        </w:rPr>
      </w:pPr>
      <w:r w:rsidRPr="005E779E">
        <w:rPr>
          <w:color w:val="000000" w:themeColor="text1"/>
          <w:sz w:val="16"/>
          <w:szCs w:val="16"/>
        </w:rPr>
        <w:t>НАЧ. ОКБ № 11 Наумин</w:t>
      </w:r>
    </w:p>
    <w:p w14:paraId="2AEB2CE5" w14:textId="77777777" w:rsidR="00157036" w:rsidRPr="005E779E" w:rsidRDefault="00157036" w:rsidP="000B7A6C">
      <w:pPr>
        <w:pStyle w:val="ae"/>
        <w:spacing w:before="0" w:after="0"/>
        <w:jc w:val="both"/>
        <w:rPr>
          <w:color w:val="000000" w:themeColor="text1"/>
          <w:sz w:val="16"/>
          <w:szCs w:val="16"/>
        </w:rPr>
      </w:pPr>
      <w:r w:rsidRPr="005E779E">
        <w:rPr>
          <w:rStyle w:val="af0"/>
          <w:i w:val="0"/>
          <w:color w:val="000000" w:themeColor="text1"/>
          <w:sz w:val="16"/>
          <w:szCs w:val="16"/>
        </w:rPr>
        <w:t>РГАЭ. Ф. 38. Oп. 1. Д. 2. Л. 104-103. Машинописный подлинник, подпись — автограф. Ниже подписи написано рукой Наумина «18/Х-31». На Л. 104 вверху слева рукописная помета простым карандашом «ОКБ ОГПУ 18/Х» (19078).</w:t>
      </w:r>
    </w:p>
    <w:p w14:paraId="1B261B1F" w14:textId="77777777" w:rsidR="00157036" w:rsidRPr="005E779E" w:rsidRDefault="00157036" w:rsidP="000B7A6C">
      <w:pPr>
        <w:spacing w:after="0" w:line="240" w:lineRule="auto"/>
        <w:jc w:val="both"/>
        <w:rPr>
          <w:rFonts w:ascii="Times New Roman" w:hAnsi="Times New Roman"/>
          <w:color w:val="000000" w:themeColor="text1"/>
          <w:sz w:val="16"/>
          <w:szCs w:val="16"/>
        </w:rPr>
      </w:pPr>
    </w:p>
    <w:p w14:paraId="1FEB2425"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1AD6558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B9C6E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18 октября 1931 </w:t>
      </w:r>
      <w:r w:rsidR="006A7867" w:rsidRPr="005E779E">
        <w:rPr>
          <w:rFonts w:ascii="Times New Roman" w:hAnsi="Times New Roman"/>
          <w:color w:val="000000" w:themeColor="text1"/>
          <w:sz w:val="16"/>
          <w:szCs w:val="16"/>
        </w:rPr>
        <w:t xml:space="preserve">на 84 году жизни </w:t>
      </w:r>
      <w:r w:rsidRPr="005E779E">
        <w:rPr>
          <w:rFonts w:ascii="Times New Roman" w:hAnsi="Times New Roman"/>
          <w:color w:val="000000" w:themeColor="text1"/>
          <w:sz w:val="16"/>
          <w:szCs w:val="16"/>
        </w:rPr>
        <w:t>умер Томас Эдиссон (1847) (3263,590).</w:t>
      </w:r>
    </w:p>
    <w:p w14:paraId="2B48A08F" w14:textId="77777777" w:rsidR="005C4849" w:rsidRPr="005E779E" w:rsidRDefault="006A7867"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При жизни своей Эдисон в США получил всего 1 098 патентов, и один патент был присужден ему уже после смерти. Количество патентов, выданных Эдисону в тридцати четырех других странах мира, достигает в круглых цифрах 3 тысяч. Это объясняется тем, что в огромном числе случаев патент на одно и то же изобретение брался в нескольких странах. Еще при жизни Эдисона американская лампочка накаливания получила такое распространение в США, что 86,5 миллиона человек (70 процентов всего населения) жили в квартирах с электрическим освещением. Число мощных силовых установок возросло до 3 900. Эти силовые станции давали электрическую энергию для 25 миллионов домов, жители которых пользовались 19,6 миллиона электрических утюгов, 17,5 миллиона радиоприемников, 7,4 миллиона стиральных машин, 7,5 миллиона электрических печей, 5,75 миллиона вентиляторов, 5,75 миллиона электрических кофейников, 3,2 миллиона нагревательных приборов, 1,9 миллиона электрических рефрижераторов (холодильников), 8,8 миллиона электрических плиток (17325).</w:t>
      </w:r>
    </w:p>
    <w:p w14:paraId="1C44694A" w14:textId="77777777" w:rsidR="006A7867" w:rsidRPr="005E779E" w:rsidRDefault="006A7867" w:rsidP="000B7A6C">
      <w:pPr>
        <w:autoSpaceDE w:val="0"/>
        <w:autoSpaceDN w:val="0"/>
        <w:adjustRightInd w:val="0"/>
        <w:spacing w:after="0" w:line="240" w:lineRule="auto"/>
        <w:jc w:val="both"/>
        <w:rPr>
          <w:rFonts w:ascii="Times New Roman" w:hAnsi="Times New Roman"/>
          <w:color w:val="000000" w:themeColor="text1"/>
          <w:sz w:val="16"/>
          <w:szCs w:val="16"/>
        </w:rPr>
      </w:pPr>
    </w:p>
    <w:p w14:paraId="0787FF79"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0760724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A0D56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 октября 1931 г. Первая опытная передача из Ленинграда по оптико-механической системе. Передача из Ленинградского радиоцентра (Песочная ул., 5) (11482).</w:t>
      </w:r>
    </w:p>
    <w:p w14:paraId="0CC023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2319D24" w14:textId="77777777" w:rsidR="00157036" w:rsidRPr="005E779E" w:rsidRDefault="00157036"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04664E11" w14:textId="77777777" w:rsidR="00157036" w:rsidRPr="005E779E" w:rsidRDefault="00157036"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3CD8970" w14:textId="77777777" w:rsidR="00157036" w:rsidRPr="005E779E" w:rsidRDefault="0015703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октября 1931 г.</w:t>
      </w:r>
    </w:p>
    <w:p w14:paraId="5F1E6E6B" w14:textId="77777777" w:rsidR="00157036" w:rsidRPr="005E779E" w:rsidRDefault="0015703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Ходатайство Ф. Ф. Новицкого на имя наркома по военно-морским делам СССР К. Е. Ворошилова с просьбой «о полной реабилитации». 20 октября 1931 г.</w:t>
      </w:r>
    </w:p>
    <w:p w14:paraId="2D7EEBD1" w14:textId="77777777" w:rsidR="00157036" w:rsidRPr="005E779E" w:rsidRDefault="0015703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Источник: </w:t>
      </w:r>
    </w:p>
    <w:p w14:paraId="79298ECF" w14:textId="77777777" w:rsidR="00157036" w:rsidRPr="005E779E" w:rsidRDefault="0015703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A588BE4" w14:textId="77777777" w:rsidR="00157036" w:rsidRPr="005E779E" w:rsidRDefault="0015703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октября 1931 г.</w:t>
      </w:r>
    </w:p>
    <w:p w14:paraId="41FB8ADC" w14:textId="77777777" w:rsidR="00157036" w:rsidRPr="005E779E" w:rsidRDefault="0015703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НАРОДНОМУ КОМИССАРУ ПО ВОЕННЫМ И МОРСКИМ ДЕЛАМ И ПРЕДСЕДАТЕЛЮ РЕВОЛЮЦИОННОГО ВОЕННОГО СОВЕТА СССР</w:t>
      </w:r>
    </w:p>
    <w:p w14:paraId="6A0AFC60" w14:textId="77777777" w:rsidR="00157036" w:rsidRPr="005E779E" w:rsidRDefault="0015703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ТОВ. ВОРОШИЛОВУ, К. Е.</w:t>
      </w:r>
    </w:p>
    <w:p w14:paraId="4280E2A4" w14:textId="77777777" w:rsidR="00157036" w:rsidRPr="005E779E" w:rsidRDefault="0015703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Я, Федор Федорович НОВИЦКИЙ, 20 октября 1930 г. был арестован и, после 9-месячного заключения, освобожден 20 июля 1931 г. с объявлением мне условного приговора Коллегии ОГПУ от 18 июля о высылке на три года.</w:t>
      </w:r>
    </w:p>
    <w:p w14:paraId="65837967" w14:textId="77777777" w:rsidR="00157036" w:rsidRPr="005E779E" w:rsidRDefault="0015703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Приговор обоснован обвинением меня по ст. 58 п.п. 10 и 11 У. К., т. е. в деяниях, предусматривающих контр-революционную агитацию и к.-р. организацию, имеющих целью свержение Советской власти.</w:t>
      </w:r>
    </w:p>
    <w:p w14:paraId="7FD55DB9" w14:textId="77777777" w:rsidR="00157036" w:rsidRPr="005E779E" w:rsidRDefault="0015703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подтверждение моего обвинения мне не было предъявлено никаких материалов и не было приведено ни одного уличающего меня преступного факта.</w:t>
      </w:r>
    </w:p>
    <w:p w14:paraId="37798555" w14:textId="77777777" w:rsidR="00157036" w:rsidRPr="005E779E" w:rsidRDefault="0015703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Тов. Народный Комиссар! В связи с постигшим меня столь неожиданно и незаслуженно величайшим позором, я, видя в Вас после смерти М. В. ФРУНЗЕ его приемника, не только как руководителя Красной Армии, т. е. высшего своего начальника, но и как человека, лично перед которым я несу особую моральную ответственность за свою и службу, и жизнь, — я считаю своей обязанностью доложить Вам свои мысли и переживания. Я был бы бесконечно счастлив, если бы Вы разрешили мне осуществить это лично, но, сознавая всю трудность выполнения такого моего желания, я позволяю себе обратиться к Вам письменно.</w:t>
      </w:r>
    </w:p>
    <w:p w14:paraId="4BFCE2EC" w14:textId="77777777" w:rsidR="00157036" w:rsidRPr="005E779E" w:rsidRDefault="0015703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Тов. Народный Комиссар! Я никогда не был преступником и никогда не совершал не только никаких преступлений, но не знаю на своей совести никаких проступков, которые могли хоть сколько-нибудь компрометировать меня как честного советского работника.</w:t>
      </w:r>
    </w:p>
    <w:p w14:paraId="3F9A57CB" w14:textId="77777777" w:rsidR="00157036" w:rsidRPr="005E779E" w:rsidRDefault="0015703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Я не был и не мог быть преступником хотя бы потому, что малейшую свою вину перед Советской властью я считал бы для себя святотатством и оскорблением священной для меня памяти М. В. ФРУНЗЕ, оказывавшего мне всегда такое неограниченное доверие; доверие это доходило до того, что однажды М. В. ФРУНЗЕ заявил, что, если бы он собственными глазами увидал какое-либо мое преступное деяние, он все равно не поверил бы тому, что видел сам. И я, смело глядя в глаза Вам и всем меня знавшим и мне верившим, могу сказать, что я никогда и ни в чем не нарушил этого доверия по сей день.</w:t>
      </w:r>
    </w:p>
    <w:p w14:paraId="1F26DB58" w14:textId="77777777" w:rsidR="00157036" w:rsidRPr="005E779E" w:rsidRDefault="0015703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Я не мог быть преступником и потому, что, имея полную возможность уклониться от последствий Октябрьского переворота, я добровольно и убежденно, не колеблясь ни одного мгновения, сразу пошел работать с Вами, большевиками, будучи глубоко уверен, что правда на Вашей стороне и что только Советская власть может дать счастье стране и построить новую, лучшую жизнь.</w:t>
      </w:r>
    </w:p>
    <w:p w14:paraId="30B97538" w14:textId="77777777" w:rsidR="00157036" w:rsidRPr="005E779E" w:rsidRDefault="0015703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Я не мог быть, наконец, преступником еще и потому, что после той ласки, трогательного внимания и доверия, которое лично Вы и тов. ЯГОДА оказали мне летом 1927 г. в связи с моим ходатайством за арестованную мою дочь, я прилагал все усилия, чтобы оказаться достойным такого ко мне доверия.</w:t>
      </w:r>
    </w:p>
    <w:p w14:paraId="55D2AC4D" w14:textId="77777777" w:rsidR="00157036" w:rsidRPr="005E779E" w:rsidRDefault="0015703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Если я, в годы чрезвычайных лишений, отсылая свой паек семье и буквально голодая сам (ФРУНЗЕ впоследствии признался, что у него сердце кровью обливалось, глядя, как я голодаю, но безропотно переношу все лишения), считал необходимым честно работать, то трудно предположить, чтобы я мог переменить свою психологию и идеологию в последующие годы — тогда, когда я, окруженный исключительным вниманием Советской власти, был прекрасно материально обеспечен.</w:t>
      </w:r>
    </w:p>
    <w:p w14:paraId="0E28E057" w14:textId="77777777" w:rsidR="00157036" w:rsidRPr="005E779E" w:rsidRDefault="0015703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Что же могло случиться такого, что привело меня, Федора Новицкого, которого, смело скажу, все сколько-нибудь знавшие, считали всегда вне всяких сомнений и подозрений, в тюрьму с обвинением в тягчайших государственных преступлениях.</w:t>
      </w:r>
    </w:p>
    <w:p w14:paraId="51331F54" w14:textId="77777777" w:rsidR="00157036" w:rsidRPr="005E779E" w:rsidRDefault="0015703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Тов. Народный Комиссар, я не знаю, но думаю, что в данном случае имело место то, что уже бывало и раньше, т. е. клевета, оговор — самый грубый, ужасающий и бессмысленный. Что это отчасти так, я имел случай убедиться лично за время моего заключения.</w:t>
      </w:r>
    </w:p>
    <w:p w14:paraId="3145BC6C" w14:textId="77777777" w:rsidR="00157036" w:rsidRPr="005E779E" w:rsidRDefault="0015703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Вся моя беда в том, что из руководящих &lt;работников&gt; ОГПУ лично меня никто раньше не знал и со мною совместно не работал; поэтому оговоры меня другими лицами должны были учитываться и естественно влекли за собой применение в отношении меня репрессий.</w:t>
      </w:r>
    </w:p>
    <w:p w14:paraId="5B5A4C15" w14:textId="77777777" w:rsidR="00157036" w:rsidRPr="005E779E" w:rsidRDefault="0015703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Будь жив М. В. ФРУНЗЕ, он мог бы многое рассказать и разъяснить в моем деле, ибо подметные записки, в коих, частью уговаривали меня бросить работу у большевиков, частью угрожали мне репрессиями и террором за эту службу, а также клевета и оговоры меня имели место и раньше и были известны М. В. ФРУНЗЕ.</w:t>
      </w:r>
    </w:p>
    <w:p w14:paraId="32259B18" w14:textId="77777777" w:rsidR="00157036" w:rsidRPr="005E779E" w:rsidRDefault="0015703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Я знаю, что я стоял раньше и, вероятно, стою и теперь поперек горла, как здесь, так и за рубежом, многим из тех, которые не могут мне простить моей преданной службы Советской власти с первого момента Революции.</w:t>
      </w:r>
    </w:p>
    <w:p w14:paraId="67BBBCE9" w14:textId="77777777" w:rsidR="00157036" w:rsidRPr="005E779E" w:rsidRDefault="0015703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Мне не могут забыть и простить мое видное участие в организации Красной армии, мое участие в разгроме Колчака под Бугурусланом, проведение мною Орской операции, имевшей прямыми последствиями, с одной стороны, пленение главных сил армейской группы колчаковского ген. Белова и оренбургских казаков атамана Дутова, а, с другой, — открытие сообщения с Туркестаном; мне не могут простить моей боевой работы в Туркестане, закончившейся изгнанием белых из Семиречья и из Закаспия; наконец, мне не могут, по[-]видимому, простить моей ответственной работы в Военно-Воздушных Силах, работы, создавшей мне широкую популярность и огромный авторитет среди командного состава нашей Авиации, при условии, что значительная часть этого командного состава проходили через мои руки, являясь моими воспитанниками и учениками.</w:t>
      </w:r>
    </w:p>
    <w:p w14:paraId="284B24A4" w14:textId="77777777" w:rsidR="00157036" w:rsidRPr="005E779E" w:rsidRDefault="0015703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Кому-то нужно было свалить меня, ошельмовать и, так или иначе, устранить с той работы, на которой[,] по признанию моего начальства, я, на протяжении всей моей службы до кануна ареста включительно, приносил столь ощутимую пользу.</w:t>
      </w:r>
    </w:p>
    <w:p w14:paraId="65C973EE" w14:textId="77777777" w:rsidR="00157036" w:rsidRPr="005E779E" w:rsidRDefault="0015703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 всем этом я лично усматриваю как-бы особый род вредительства, имеющего целью удаление с работы честных и полезных советских работников.</w:t>
      </w:r>
    </w:p>
    <w:p w14:paraId="7C714ED1" w14:textId="77777777" w:rsidR="00157036" w:rsidRPr="005E779E" w:rsidRDefault="0015703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 если все это так, то я ощущаю особую горечь от сознания, что цель, которой добивались какие-то лица, как будто осуществлена, ибо я снят с работы и притом снят с тяжким позором; при этом осуществились, как будто, и делавшиеся мне предсказания и предупреждения, что я, как-бы я ни старался, как-бы честно ни работал, а рано или поздно меня сопричислят к врагам Советской власти и осудят за одно лишь мое прошлое.</w:t>
      </w:r>
    </w:p>
    <w:p w14:paraId="21E9B491" w14:textId="77777777" w:rsidR="00157036" w:rsidRPr="005E779E" w:rsidRDefault="0015703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Тов. Народный Комиссар! Простите мне все здесь излагаемое, но верьте, что мне слишком тяжело, особенно на склоне своих дней, переживать все то, что надо мною разразилось; мне слишком тяжело сознание, что я, отдавший все свои силы и помыслы на служение Революции, не будучи ни в чем повинен, оказался в рядах ее врагов.</w:t>
      </w:r>
    </w:p>
    <w:p w14:paraId="1DC0F645" w14:textId="77777777" w:rsidR="00157036" w:rsidRPr="005E779E" w:rsidRDefault="0015703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Тов. Народный Комиссар! Не хвалясь я могу сказать, что одной из основных черт моего характера всегда была скромность, благодаря которой я часто и много терял, как в жизни, так и на службе, но в настоящую минуту я вынужден, поневоле, хотя бы на миг, отбросить эту скромность для того, чтобы сказать, что я не знаю, много ли найдется лиц из числа беспартийных работников, а может быть даже и среди некоторых партийцев, которые могли бы конкурировать со мной, как в отношении честности и добросовестности в работе, так и в отношении заслуг перед Революцией, Партией и Советской страной. Между тем в обвинительном приговоре значится ст. 58 п. 10, трактующий о к.-р. агитации; да, я считаю, что я был агитатором, но не в том смысле, как это предусматривается У. К., а в том, что моя жизнь и служба с первого дня Революции и до нынешнего дня была сплошной живой агитацией за то, как надо жить и служить честному советскому работнику.</w:t>
      </w:r>
    </w:p>
    <w:p w14:paraId="0EB47582" w14:textId="77777777" w:rsidR="00157036" w:rsidRPr="005E779E" w:rsidRDefault="0015703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 желая кого-либо обвинять или хулить, я все же не могу не чувствовать и не высказать всей горечи от сознания, что я позорно выброшен из среды советских работников, в частности из состава родной мне Красной армии, служить в которой я считал для себя всегда такой честью и гордостью, — в то время, когда многие и многие ни в какой мере не равноценные мне, ни по своим заслугам, ни по своей идеологии, продолжают служить, работать и пользоваться соответствующими привилегиями, авторитетом и уважением.</w:t>
      </w:r>
    </w:p>
    <w:p w14:paraId="3C0CB7CC" w14:textId="77777777" w:rsidR="00157036" w:rsidRPr="005E779E" w:rsidRDefault="0015703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Тов. Народный Комиссар! В соответствии со всем изложенным мною я обращаюсь к Вам с ходатайством о восстановлении моего доброго и честного имени; я прошу Вас об отмене позорного приказа об исключении меня по морально-политическим мотивам из состава Красной армии, той самой армии, над созданием которой я так много и так любовно работал с первого момента ее зарождения, в рядах которой я с оружием в руках боролся против всех наших врагов и в составе которой за 13 лет непрерывной своей службы я пользовался таким авторитетом, уважением и доверием.</w:t>
      </w:r>
    </w:p>
    <w:p w14:paraId="4EF3D018" w14:textId="77777777" w:rsidR="00157036" w:rsidRPr="005E779E" w:rsidRDefault="0015703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Я ходатайствую перед Вами о полной моей реабилитации, о возвращении мне воинского звания, и честно заслуженной моей бывшей высокой категории и о предоставлении мне возможности продолжать работать и впредь сообразно моим силам.</w:t>
      </w:r>
    </w:p>
    <w:p w14:paraId="7A831164" w14:textId="77777777" w:rsidR="00157036" w:rsidRPr="005E779E" w:rsidRDefault="0015703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Помимо моральных побуждений, особенно для меня мучительных и имеющих главенствующее значение в просьбе о моей реабилитации, я прошу также учесть и причины чисто материального порядка, ибо, не состоя на действительной военной службе и не получая персональной пенсии, а, будучи рядовым пенсионером, я, при современных условиях жизни, испытываю значительные стеснения в вопросах содержания семьи.</w:t>
      </w:r>
    </w:p>
    <w:p w14:paraId="113F2005" w14:textId="77777777" w:rsidR="00157036" w:rsidRPr="005E779E" w:rsidRDefault="0015703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заключении докладываю, что настоящее мое обращение к Вам, имеющее целью ходатайство о моей реабилитации и о возвращении на работу, делается мною с ведома и согласия ОГПУ, о чем мне было сообщено по телефону следователем Особого отдела тов. СВИРИДОВЫМ, А. С.</w:t>
      </w:r>
    </w:p>
    <w:p w14:paraId="3DBC0881" w14:textId="77777777" w:rsidR="00157036" w:rsidRPr="005E779E" w:rsidRDefault="0015703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Федор Федорович НОВИЦКИЙ</w:t>
      </w:r>
    </w:p>
    <w:p w14:paraId="719F088A" w14:textId="77777777" w:rsidR="00157036" w:rsidRPr="005E779E" w:rsidRDefault="0015703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октября 1931 г.</w:t>
      </w:r>
    </w:p>
    <w:p w14:paraId="7D178180" w14:textId="77777777" w:rsidR="00157036" w:rsidRPr="005E779E" w:rsidRDefault="0015703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МОСКВА, 34</w:t>
      </w:r>
    </w:p>
    <w:p w14:paraId="09D016F2" w14:textId="77777777" w:rsidR="00157036" w:rsidRPr="005E779E" w:rsidRDefault="0015703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Кропоткинский переулок, 25, кв. 4</w:t>
      </w:r>
    </w:p>
    <w:p w14:paraId="0F0CF6BE" w14:textId="77777777" w:rsidR="00157036" w:rsidRPr="005E779E" w:rsidRDefault="0015703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тел. 3-56-06</w:t>
      </w:r>
    </w:p>
    <w:p w14:paraId="7F628CAB" w14:textId="77777777" w:rsidR="00157036" w:rsidRPr="005E779E" w:rsidRDefault="0015703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ПИСАНО СОБСТВЕННОРУЧНО</w:t>
      </w:r>
    </w:p>
    <w:p w14:paraId="02BB7E6D" w14:textId="77777777" w:rsidR="00157036" w:rsidRPr="005E779E" w:rsidRDefault="0015703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 НОВИЦКИЙ</w:t>
      </w:r>
    </w:p>
    <w:p w14:paraId="6DEDCA47" w14:textId="77777777" w:rsidR="00157036" w:rsidRPr="005E779E" w:rsidRDefault="0015703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 356. Л. 144-148. Машинописная копия того времени. На Л. 144 вверху справа машинописью «Копия»; на Л. 148 внизу формула «верно:» (заверяющая подпись отсутствует). На Л. 147 отчеркнут вертикальной чертой абзац «Я ходатайствую перед Вами о полной моей реабилитации, о возвращении мне воинского звания, и честно заслуженной моей бывшей высокой категории и о предоставлении мне возможности продолжать работать и впредь сообразно моим силам.», подчеркнуты слова «Я ходатайствую [...] воинского звания». На Л. 144 вверху слева — делопроизводственные штампы с вписанными от руки данными о размножении документа (25 экз.), рассылке (№ П2838) и датой ('«30.XI.1931 г.»), подпись-росчерк (неразборчиво); вверху справа — прямоугольный штамп «[Прот. П.Б. № 78 п. 16]» (цифры вписаны от руки).</w:t>
      </w:r>
    </w:p>
    <w:p w14:paraId="5675E5DA" w14:textId="1590D52C" w:rsidR="00157036" w:rsidRPr="005E779E" w:rsidRDefault="0015703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деле (Л. 143) имеется препроводительная записка К. Е. Ворошилова: «т. Сталину. Дорогой Коба! Посылаю тебе копию письма Ф. Ф. Новицкого, того самого, который Рамзину дал оружие для террористического акта. Думаю, что старик искренен. Прошу прочесть. С прив[етом]. К. Ворошилов». Рукописный подлинник на листке из блокнота, автограф К. Е. Ворошилова. Дата отсутствует. Вверху листа — штампы с вписанными от руки данными о размножении документа (25 экз.), рассылке (№ П2838) и датой («30.XI. 1931 г.»), подпись-росчерк</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(18675).</w:t>
      </w:r>
    </w:p>
    <w:p w14:paraId="03FFC7DF" w14:textId="77777777" w:rsidR="00157036" w:rsidRPr="005E779E" w:rsidRDefault="00157036" w:rsidP="000B7A6C">
      <w:pPr>
        <w:spacing w:after="0" w:line="240" w:lineRule="auto"/>
        <w:jc w:val="both"/>
        <w:rPr>
          <w:rFonts w:ascii="Times New Roman" w:hAnsi="Times New Roman"/>
          <w:color w:val="000000" w:themeColor="text1"/>
          <w:sz w:val="16"/>
          <w:szCs w:val="16"/>
        </w:rPr>
      </w:pPr>
    </w:p>
    <w:p w14:paraId="06A36A2A"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462C90E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6C062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октября 1931 в Испании был принят закон о защите Республики (3481).</w:t>
      </w:r>
    </w:p>
    <w:p w14:paraId="0D7DC4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CF64B12"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7FAAC3E2"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529A6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21 (11 - 346,40) октября по 13 ноября 1931 состоялись дополнительные гос. испытания АНТ-8 МДР-2. Летали Б.Л.Бухгольц и Н.Г.Кастанаев, а первые были с 25 февраля по 20 марта 1931 (1017,212) и М.М.Г. (1852,48).</w:t>
      </w:r>
    </w:p>
    <w:p w14:paraId="39F27C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69067F6"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0CF112C6"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769F7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 октября 1931 пред. 2-й секции Новосельцев подготовил отзыв на предложение Бродского по ж/д торпеде для ВВ и ОВ (2912).</w:t>
      </w:r>
    </w:p>
    <w:p w14:paraId="574B54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FE2C4DD"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lastRenderedPageBreak/>
        <w:t>Другие оборонные отрасли:</w:t>
      </w:r>
    </w:p>
    <w:p w14:paraId="39A740F4"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073B56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октября 1931 г. УММ заключило с ВОАО договор «на разработку проекта, изготовление рабо</w:t>
      </w:r>
      <w:r w:rsidRPr="005E779E">
        <w:rPr>
          <w:rFonts w:ascii="Times New Roman" w:hAnsi="Times New Roman"/>
          <w:color w:val="000000" w:themeColor="text1"/>
          <w:sz w:val="16"/>
          <w:szCs w:val="16"/>
        </w:rPr>
        <w:softHyphen/>
        <w:t>чих чертежей и постройка двух опытных образцов 16-ти тонного танка типа Т-28. Корпуса образцов изготовляются железные. Срок изготовления чертеже 15/ХП-с.г.; опытных образцов 1/У-32 г.» Ориентировочная стоимость работы должна была составить не более 400 000 рублей.</w:t>
      </w:r>
    </w:p>
    <w:p w14:paraId="5203AF7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Утвержденная Тактико-техническая характеристика танка Т-28 выглядела следующим образом:</w:t>
      </w:r>
    </w:p>
    <w:p w14:paraId="726F9A7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ТАКТИЧЕСКИЕ СВОЙСТВА</w:t>
      </w:r>
    </w:p>
    <w:p w14:paraId="3E86659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Прорыв укрепленной полосы в условиях как маневренных, так и позиционных, перекрытие любого окопа полной профи</w:t>
      </w:r>
      <w:r w:rsidRPr="005E779E">
        <w:rPr>
          <w:rFonts w:ascii="Times New Roman" w:hAnsi="Times New Roman"/>
          <w:color w:val="000000" w:themeColor="text1"/>
          <w:sz w:val="16"/>
          <w:szCs w:val="16"/>
        </w:rPr>
        <w:softHyphen/>
        <w:t>ли со стрелковой ступенью, быстроходность, проходимость по всем грунтам и достаточный километраж службы до ре</w:t>
      </w:r>
      <w:r w:rsidRPr="005E779E">
        <w:rPr>
          <w:rFonts w:ascii="Times New Roman" w:hAnsi="Times New Roman"/>
          <w:color w:val="000000" w:themeColor="text1"/>
          <w:sz w:val="16"/>
          <w:szCs w:val="16"/>
        </w:rPr>
        <w:softHyphen/>
        <w:t>монта. Возможность ведения огня с хода на местности.</w:t>
      </w:r>
    </w:p>
    <w:p w14:paraId="44F4CE2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 ТЕХНИЧЕСКИЕ ТРЕБОВАНИЯ</w:t>
      </w:r>
    </w:p>
    <w:p w14:paraId="7E9504F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Вес без переменной загрузки не более 17 тон. Полный боевой вес — не более 20 тон.</w:t>
      </w:r>
    </w:p>
    <w:p w14:paraId="35EC089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Удельная нагрузка при 100 мм погружении не более 0,5 кг/см</w:t>
      </w:r>
    </w:p>
    <w:p w14:paraId="3B125DC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Габаритные размеры. Танк должен вписываться в габа</w:t>
      </w:r>
      <w:r w:rsidRPr="005E779E">
        <w:rPr>
          <w:rFonts w:ascii="Times New Roman" w:hAnsi="Times New Roman"/>
          <w:color w:val="000000" w:themeColor="text1"/>
          <w:sz w:val="16"/>
          <w:szCs w:val="16"/>
        </w:rPr>
        <w:softHyphen/>
        <w:t>риты железнодорожного подвижного состава как СССР так и международный 1435мм.</w:t>
      </w:r>
    </w:p>
    <w:p w14:paraId="4AA360D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Километраж службы до износа гусеничного движителя и трансмиссии не менее 3000 клмтр.</w:t>
      </w:r>
    </w:p>
    <w:p w14:paraId="78C827D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Скорость по хорошей грунтовой дороге — 30 клм/час. На поле боя по самым тяжелым грунтам с под»емами до 20% скорость не должна падать ниже 10 клм.</w:t>
      </w:r>
    </w:p>
    <w:p w14:paraId="31AD8BB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Подъемы на плотном дерновом покрове должны быть обеспечены до 40град. без остановки вследствие буксования и заглухания мотора.</w:t>
      </w:r>
    </w:p>
    <w:p w14:paraId="69D4F9D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Танк должен проходить бортовые крены до 30 град. без соскакивания цепи и отказа мотора в работе.</w:t>
      </w:r>
    </w:p>
    <w:p w14:paraId="2A808BB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Препятствия: лунный ландшафт с воронками снарядов до 6 дюйм, лесные заросли любой густоты с деревьями до 100 млм и повалки одиночных деревьев в 300мм, через кирпичные кладки в 1,5 КИРПИЧА.</w:t>
      </w:r>
    </w:p>
    <w:p w14:paraId="207C953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Водные преграды — не менее чем 1,3 мтр. глубиной при любом грунте дна, проходимом для стрелков. Клиренс — 350мм На всем протяжении днища корпуса.</w:t>
      </w:r>
    </w:p>
    <w:p w14:paraId="66753F7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Вертикальные препятствия не ниже 1 мтр. отвесной стенки с твердой коркой.</w:t>
      </w:r>
    </w:p>
    <w:p w14:paraId="3B11767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Танк должен проходить все типы проволочных заграждений</w:t>
      </w:r>
    </w:p>
    <w:p w14:paraId="27FA040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Перекрываемый окоп полной профили со стрелковой ступенью не менее 2,5 мтр по верху.</w:t>
      </w:r>
    </w:p>
    <w:p w14:paraId="3D7949C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Готовность к движению с полной мощностью мотора в любых условиях не более 10-15 мин.</w:t>
      </w:r>
    </w:p>
    <w:p w14:paraId="710F0FF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 — воздушного охлаждения мощностью 400-450 л.с.</w:t>
      </w:r>
    </w:p>
    <w:p w14:paraId="69E50A1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 должен быть отрегулирован на средние сорта топ</w:t>
      </w:r>
      <w:r w:rsidRPr="005E779E">
        <w:rPr>
          <w:rFonts w:ascii="Times New Roman" w:hAnsi="Times New Roman"/>
          <w:color w:val="000000" w:themeColor="text1"/>
          <w:sz w:val="16"/>
          <w:szCs w:val="16"/>
        </w:rPr>
        <w:softHyphen/>
        <w:t>лива русского стандарта и работать на обыкновенном масле.</w:t>
      </w:r>
    </w:p>
    <w:p w14:paraId="12C1029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Бронирование:</w:t>
      </w:r>
    </w:p>
    <w:p w14:paraId="118CA2A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броня башни 16мм</w:t>
      </w:r>
    </w:p>
    <w:p w14:paraId="5B48FE6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бортовая броня 20мм.</w:t>
      </w:r>
    </w:p>
    <w:p w14:paraId="1A5429B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близкие к горизонтальным и горизонтальные не ниже 8мм.</w:t>
      </w:r>
    </w:p>
    <w:p w14:paraId="29D1B7E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Вооружение:</w:t>
      </w:r>
    </w:p>
    <w:p w14:paraId="6D8847D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1-45 мм пушка с круговым обстрелом</w:t>
      </w:r>
    </w:p>
    <w:p w14:paraId="2039152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пулемета Дегтярева, из коих один должен иметь круго</w:t>
      </w:r>
      <w:r w:rsidRPr="005E779E">
        <w:rPr>
          <w:rFonts w:ascii="Times New Roman" w:hAnsi="Times New Roman"/>
          <w:color w:val="000000" w:themeColor="text1"/>
          <w:sz w:val="16"/>
          <w:szCs w:val="16"/>
        </w:rPr>
        <w:softHyphen/>
        <w:t>вой обстрел.</w:t>
      </w:r>
    </w:p>
    <w:p w14:paraId="48ECE0A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Боеприпасы — 100 патронов для пушки</w:t>
      </w:r>
    </w:p>
    <w:p w14:paraId="4273CAC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 шт. для пулеметов</w:t>
      </w:r>
    </w:p>
    <w:p w14:paraId="6F35FE4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Число команды — 4-5 чел.</w:t>
      </w:r>
    </w:p>
    <w:p w14:paraId="0569553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ПРЕДСЕДАТЕЛЬ 1-й СЕКЦИИ НТК УММ РККА /Бегунов/» (10733,232).</w:t>
      </w:r>
    </w:p>
    <w:p w14:paraId="34F7146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ходе изготовления опытных образцов танка в его кон</w:t>
      </w:r>
      <w:r w:rsidRPr="005E779E">
        <w:rPr>
          <w:rFonts w:ascii="Times New Roman" w:hAnsi="Times New Roman"/>
          <w:color w:val="000000" w:themeColor="text1"/>
          <w:sz w:val="16"/>
          <w:szCs w:val="16"/>
        </w:rPr>
        <w:softHyphen/>
        <w:t>струкцию вносились изменения. В частности, были усилены бортовые редуктора, вместо 45-мм пушки, которая не была подана вовремя, опытный образец танка получил 37-мм по</w:t>
      </w:r>
      <w:r w:rsidRPr="005E779E">
        <w:rPr>
          <w:rFonts w:ascii="Times New Roman" w:hAnsi="Times New Roman"/>
          <w:color w:val="000000" w:themeColor="text1"/>
          <w:sz w:val="16"/>
          <w:szCs w:val="16"/>
        </w:rPr>
        <w:softHyphen/>
        <w:t>луавтоматическую пушку ПС-2 № 002, демонтированную из малой башни танка Гроте, для второго образца танка был по</w:t>
      </w:r>
      <w:r w:rsidRPr="005E779E">
        <w:rPr>
          <w:rFonts w:ascii="Times New Roman" w:hAnsi="Times New Roman"/>
          <w:color w:val="000000" w:themeColor="text1"/>
          <w:sz w:val="16"/>
          <w:szCs w:val="16"/>
        </w:rPr>
        <w:softHyphen/>
        <w:t>дан двигатель М-17 мощностью 420 л.с. (10733,232).</w:t>
      </w:r>
    </w:p>
    <w:p w14:paraId="05D6325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572B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октября 1931 г. построен и вступил в строй для выпуска продукции для почты, телеграфа, телефона и радио Завод № 6 МПСС, ОАО «Промсвязь» /601800 г. Юрьев-Польский Владимирской обл. ул. Набережная, 10/. После войны выпускал электропитающее оборудование для предприятий связи.</w:t>
      </w:r>
    </w:p>
    <w:p w14:paraId="7C2D72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Производство: бурильный агрегат для прокладки линий проводной связи, линейно-кабельные приспособления, выпрямительные устройства (1930-е); газогенераторные двигатели для радиоузлов (1942) (11982).</w:t>
      </w:r>
    </w:p>
    <w:p w14:paraId="768787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876B510"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0D0D0D8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8CD42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23 и 29 октября 1931. Из протокола заседания Политбюро № 71, 1931 г.</w:t>
      </w:r>
    </w:p>
    <w:p w14:paraId="056D80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 состоянии пожарного дела в республиках </w:t>
      </w:r>
    </w:p>
    <w:p w14:paraId="54DB99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Неоднократные директивы ЦК о необходимости большего внимания к противопожарной охране не нашли еще достаточного отражения в работе местных партийных и советских органов. Участившиеся за последнее время пожары, взрывы и аварии свидетельствуют о большом неблагополучии в области охраны пожарной безопасности. Исходя из этого: </w:t>
      </w:r>
    </w:p>
    <w:p w14:paraId="07A5BB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 ЦК предлагает ЦК национальных партий, крайкомам и обкомам предусмотреть по местному бюджету при составлении контрольных цифр на 1932 год увеличение расходов на противопожарные мероприятия и улучшение культурно-бытовых и материальных условий строевого состава пожарных работников... </w:t>
      </w:r>
    </w:p>
    <w:p w14:paraId="7C1727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 ЦК предлагает Колхозцентру и Крайколхозсоюзам разработать мероприятия по вовлечению колхозных масс в дело борьбы с пожарами... </w:t>
      </w:r>
    </w:p>
    <w:p w14:paraId="1F53E3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5. Наркомвнешторгу не позже 1-го квартала 1932 года обеспечить получение образцов новейшего заграничного противопожарного оборудования. </w:t>
      </w:r>
    </w:p>
    <w:p w14:paraId="703CF2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Организовать в составе Совета коммунального хозяйства при ЦИК СССР Особое пожарное бюро (11652).</w:t>
      </w:r>
    </w:p>
    <w:p w14:paraId="6D415A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F3B99E0" w14:textId="77777777" w:rsidR="003371BD"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2C8B31AB" w14:textId="77777777" w:rsidR="003371BD" w:rsidRPr="005E779E" w:rsidRDefault="003371BD"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2FD3A5F"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 октября 1931 г. Постановление Президиума ВСНХ СССР об обеспечении программы 1932 г. 32 тыс. т серы (РГАЭ. Ф. 3429. Оп. 6. Д. 189. Л. 104?103) (12417).</w:t>
      </w:r>
    </w:p>
    <w:p w14:paraId="77B532C3" w14:textId="77777777" w:rsidR="003371BD" w:rsidRPr="005E779E" w:rsidRDefault="003371BD" w:rsidP="000B7A6C">
      <w:pPr>
        <w:spacing w:after="0" w:line="240" w:lineRule="auto"/>
        <w:jc w:val="both"/>
        <w:rPr>
          <w:rFonts w:ascii="Times New Roman" w:hAnsi="Times New Roman"/>
          <w:color w:val="000000" w:themeColor="text1"/>
          <w:sz w:val="16"/>
          <w:szCs w:val="16"/>
        </w:rPr>
      </w:pPr>
    </w:p>
    <w:p w14:paraId="7D69648A" w14:textId="77777777" w:rsidR="003371BD" w:rsidRPr="005E779E" w:rsidRDefault="003371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 октября 1931 г. Постановление Президиума ВСНХ СССР о передаче Таганрогского инструментального завода объединения «Патрубвзрыв» и снарядного цеха Надеждинского завода объединения «Востокосталь» в ведение Всесоюзного государственного снарядного треста с 1 ноября 1931 г. (РГАЭ. Ф. 3429. Оп. 6. Д. 189. Л. 93) (12417) (12417).</w:t>
      </w:r>
    </w:p>
    <w:p w14:paraId="4F42EC28" w14:textId="77777777" w:rsidR="003371BD" w:rsidRPr="005E779E" w:rsidRDefault="003371BD" w:rsidP="000B7A6C">
      <w:pPr>
        <w:spacing w:after="0" w:line="240" w:lineRule="auto"/>
        <w:jc w:val="both"/>
        <w:rPr>
          <w:rFonts w:ascii="Times New Roman" w:hAnsi="Times New Roman"/>
          <w:color w:val="000000" w:themeColor="text1"/>
          <w:sz w:val="16"/>
          <w:szCs w:val="16"/>
        </w:rPr>
      </w:pPr>
    </w:p>
    <w:p w14:paraId="556A9545"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74ED50A1"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F3B252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 октября 1931 Леонид Брежнев вступил в КПСС (4962).</w:t>
      </w:r>
    </w:p>
    <w:p w14:paraId="2B0D1BF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F6A18E"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00A0A1BA"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D6907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 октября 1931 Аль Капоне был отправлен в тюрьму за налоговые нарушения (2100).</w:t>
      </w:r>
    </w:p>
    <w:p w14:paraId="31549C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60A5028"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24B1C113"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248AA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октября 1931 был подписан протокол № 35 заседания Краснопресненского РК ВКП(б) о создании парторганизации завода № 32: “В связи с выделением из ГАЗ № 1 цеха спецпроизводства в самостоятельный завод № 32 создать...ячейку...” (9651,73).</w:t>
      </w:r>
    </w:p>
    <w:p w14:paraId="48AF2E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3A3AB25"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38E96C27"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DE6F9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октября 1931 ЦК ВКП(б) выпустил постановление, в котором оставил в ведении ВСНХ только тяжелую промышленность (5484,203).</w:t>
      </w:r>
    </w:p>
    <w:p w14:paraId="50FD60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3702FC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С 25 октября 1931 г. по приказу заместителя председа</w:t>
      </w:r>
      <w:r w:rsidRPr="005E779E">
        <w:rPr>
          <w:rFonts w:ascii="Times New Roman" w:hAnsi="Times New Roman"/>
          <w:color w:val="000000" w:themeColor="text1"/>
          <w:sz w:val="16"/>
          <w:szCs w:val="16"/>
        </w:rPr>
        <w:softHyphen/>
        <w:t>теля РВС СССР Тухачевского специально назначенная ко</w:t>
      </w:r>
      <w:r w:rsidRPr="005E779E">
        <w:rPr>
          <w:rFonts w:ascii="Times New Roman" w:hAnsi="Times New Roman"/>
          <w:color w:val="000000" w:themeColor="text1"/>
          <w:sz w:val="16"/>
          <w:szCs w:val="16"/>
        </w:rPr>
        <w:softHyphen/>
        <w:t>миссия занялась «проверкой расчетов и оценки конструк</w:t>
      </w:r>
      <w:r w:rsidRPr="005E779E">
        <w:rPr>
          <w:rFonts w:ascii="Times New Roman" w:hAnsi="Times New Roman"/>
          <w:color w:val="000000" w:themeColor="text1"/>
          <w:sz w:val="16"/>
          <w:szCs w:val="16"/>
        </w:rPr>
        <w:softHyphen/>
        <w:t>ций танков Д-4, Д-5 и Д-38» Дыренкова (10733,114).</w:t>
      </w:r>
    </w:p>
    <w:p w14:paraId="21E6408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BFFF7D" w14:textId="77777777" w:rsidR="001A6B4D" w:rsidRPr="00142305" w:rsidRDefault="001A6B4D" w:rsidP="001A6B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25 октября 1931 г. по приказу заместителя председателя РВС СССР Тухачевского специально назначенная комиссия занялась «проверкой расчетов и оценки конструкций танков Д-4, Д-5 и Д-38». 18 ноября 1931 г. комиссия предъявила отчет. (25569).</w:t>
      </w:r>
    </w:p>
    <w:p w14:paraId="1DB94C7B" w14:textId="77777777" w:rsidR="001A6B4D" w:rsidRPr="00142305" w:rsidRDefault="001A6B4D" w:rsidP="001A6B4D">
      <w:pPr>
        <w:spacing w:after="0" w:line="240" w:lineRule="auto"/>
        <w:jc w:val="both"/>
        <w:rPr>
          <w:rFonts w:ascii="Times New Roman" w:hAnsi="Times New Roman"/>
          <w:color w:val="0070C0"/>
          <w:sz w:val="16"/>
          <w:szCs w:val="16"/>
        </w:rPr>
      </w:pPr>
    </w:p>
    <w:p w14:paraId="19468DAE" w14:textId="77777777" w:rsidR="00D21393" w:rsidRPr="005E779E" w:rsidRDefault="00D2139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 25 октября 1931 г. по приказу заместителя председателя РВС СССР Тухачевского специально назначенная комиссия занялась «проверкой расчетов и оценки конструкций </w:t>
      </w:r>
      <w:hyperlink r:id="rId184"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ов Д-4, Д-5 и Д-38». 18 ноября 1931 г. комиссия предъявила отчет, в котором, в частности, говорилось:</w:t>
      </w:r>
    </w:p>
    <w:p w14:paraId="42B611BF" w14:textId="77777777" w:rsidR="00D21393" w:rsidRPr="005E779E" w:rsidRDefault="00D2139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«Специальная Комиссия в составе председателя да. БОКИС – Начальник ТУУММ, и членов: т. ЛЕБЕДЕВА – Председателя НТК УММ, ДЕРЕВЦОВА – Начальника УСУ УММ, тт. БЕГУ НОВА, БРАВЕРМАН и РОЖКОВА, членов НТК УММ, т. ГИНЗБУРГ – Нач. КБ № 3 ОРПО, т. ЗАСЛАВСКОГО – Зам нач. КБ № 3 ОРПО, т. ИВАНОВА – пом начальника КБ № 3 ОРПО, т СИМСКОГО – Нач. ГКБ Завода Большевик, т. ТОСКИНА – Нач. Т2 ГХПЗ, организованная согласно приказания Зам. Председателя РВС СССР т. ТУХАЧЕВСКОГО, после рассмотрения чертежей, расчетов по машинам Д-4, Д-5 и Д-38, а также после ознакомления с макетом машины Д-5 и с макетом боевого отделения машины Д-38 и после доклада и разъяснений по указанным машинам конструктора их т. ДЫРЕНКОВА пришла к следующим выводам:</w:t>
      </w:r>
    </w:p>
    <w:p w14:paraId="5DD39571" w14:textId="77777777" w:rsidR="00D21393" w:rsidRPr="005E779E" w:rsidRDefault="00D2139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 Конструкция </w:t>
      </w:r>
      <w:hyperlink r:id="rId185"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а Д-4 имеющего колесный, гусеничный и жел. дор. ход и подводную проходимость, предложенная т. ДЫРЕНКОВЫМ, фактически в данный момент не существует, так как в процессе разработки машины выяснилась невозможность применить автомобильный колесный ход и использовать два мотора Геркулес мощностью 106 сил.</w:t>
      </w:r>
    </w:p>
    <w:p w14:paraId="1918EDB7" w14:textId="77777777" w:rsidR="00D21393" w:rsidRPr="005E779E" w:rsidRDefault="00D2139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 Комиссия констатирует, что тов. ДЫРЕНКОВ с заданием по конструированию </w:t>
      </w:r>
      <w:hyperlink r:id="rId186"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а Д-4 не справился и был вынужден на основе своей конструкции Д-4 приступить к разработке и постройке нового </w:t>
      </w:r>
      <w:hyperlink r:id="rId187"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а Д-5 с мотором М-17 мощностью 500 л.с. В конструкции оставлены: гусеничный и железно-дорожный ход и подводная проходимость. Автомобильный колесный ход, запроэктированный для машины в 12 тонн, снят за невозможностью его выполнения для машины Д-5 весом 25 тонн.</w:t>
      </w:r>
    </w:p>
    <w:p w14:paraId="6C643AE7" w14:textId="77777777" w:rsidR="00D21393" w:rsidRPr="005E779E" w:rsidRDefault="00D2139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 Конструкция </w:t>
      </w:r>
      <w:hyperlink r:id="rId188"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а Д-5, предусматривающая изжитие дефектов и конструктивных неполадок, выявленных т. ДЫРЕНКОВЫМ во время работы с </w:t>
      </w:r>
      <w:hyperlink r:id="rId189"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ом Д-4, имеет, по мнению комиссии, следующие крупные недостатки:</w:t>
      </w:r>
    </w:p>
    <w:p w14:paraId="5C349D50" w14:textId="77777777" w:rsidR="00D21393" w:rsidRPr="005E779E" w:rsidRDefault="00D2139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Носовая часть корпуса неудачна, так как вследствие наличия больших мертвых пространств наблюдение за дорогой затруднительно для водителя.</w:t>
      </w:r>
    </w:p>
    <w:p w14:paraId="6983E764" w14:textId="77777777" w:rsidR="00D21393" w:rsidRPr="005E779E" w:rsidRDefault="00D2139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Расположение вооружения данного класса машины/тип ДД/не дает возможность удовлетворительно использовать мощность установленного вооружения.</w:t>
      </w:r>
    </w:p>
    <w:p w14:paraId="0450E5A9" w14:textId="77777777" w:rsidR="00D21393" w:rsidRPr="005E779E" w:rsidRDefault="00D2139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В машине Д-5 поверхность охлаждения радиатора взята избыточной против Кристи и поставлен более мощный вентилятор. Однако, по мнению комиссии, надежность охлаждения не является достаточно обеспеченной, так как затрудненные проходы потоков воздуха потребуют специальный мощный вентилятор повышенным давлением, что трудно осуществимо в отведенных для него габаритах.</w:t>
      </w:r>
    </w:p>
    <w:p w14:paraId="2E874150" w14:textId="77777777" w:rsidR="00D21393" w:rsidRPr="005E779E" w:rsidRDefault="00D2139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г) Трансмиссия, состоящая из двух коробок скоростей, имеет избыточный запас прочности в своих основных деталях, комиссия считает эту конструкцию нецелесообразной и полагает, что обычная конструкция коробки скоростей даст значительную экономию в размерах машинного отделения, а, следовательно, и в весе </w:t>
      </w:r>
      <w:hyperlink r:id="rId190"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а.</w:t>
      </w:r>
    </w:p>
    <w:p w14:paraId="15E16764" w14:textId="77777777" w:rsidR="00D21393" w:rsidRPr="005E779E" w:rsidRDefault="00D2139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 бортовые фрикционы по своим размерам достаточны для обеспечения работы </w:t>
      </w:r>
      <w:hyperlink r:id="rId191"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а. Однако, конструктивное выполнение их неудачно, так как размешенные вне корпуса бортовые фрикционы, не имеют достаточной герметизации, предохраняющей от попадания в них грязи, воды и снега, что повлечет за собой ненормальный износ их и отказ в работе…</w:t>
      </w:r>
    </w:p>
    <w:p w14:paraId="03482C31" w14:textId="77777777" w:rsidR="00D21393" w:rsidRPr="005E779E" w:rsidRDefault="00D2139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 система подвески поддерживающих колес с весьма ограниченным ходом их вниз не приемлема, вследствие ненадежности работы ее на пересеченной местности.</w:t>
      </w:r>
    </w:p>
    <w:p w14:paraId="02D40482" w14:textId="77777777" w:rsidR="00D21393" w:rsidRPr="005E779E" w:rsidRDefault="00D2139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ж) конструкция механизмов для подводного хождения нуждается во всесторонней проверке.</w:t>
      </w:r>
    </w:p>
    <w:p w14:paraId="1ABDA541" w14:textId="77777777" w:rsidR="00D21393" w:rsidRPr="005E779E" w:rsidRDefault="00D2139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 На основании вышеизложенных соображений Комиссия считает </w:t>
      </w:r>
      <w:hyperlink r:id="rId192"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 Д-5 экспериментальной машиной для проверки работы железно-дорожного и гусеничного хода, который моет быть использован для мото-броне-вагонов и мощных </w:t>
      </w:r>
      <w:hyperlink r:id="rId193"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ов и подводной проходимости. Танк не может служить образцом для серийного производства…» (15618).</w:t>
      </w:r>
    </w:p>
    <w:p w14:paraId="787977A9" w14:textId="77777777" w:rsidR="00D21393" w:rsidRPr="005E779E" w:rsidRDefault="00D21393" w:rsidP="000B7A6C">
      <w:pPr>
        <w:spacing w:after="0" w:line="240" w:lineRule="auto"/>
        <w:jc w:val="both"/>
        <w:rPr>
          <w:rFonts w:ascii="Times New Roman" w:hAnsi="Times New Roman"/>
          <w:color w:val="000000" w:themeColor="text1"/>
          <w:sz w:val="16"/>
          <w:szCs w:val="16"/>
        </w:rPr>
      </w:pPr>
    </w:p>
    <w:p w14:paraId="66F08A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октября 1931 г. из ворот реконструированного завода АМО вышли первые 27 грузовиков, изготовленных полностью из своих деталей, они получили индекс АМО-3, хотя по конструкции незначительно отличались от АМО-2. О масштабах проделанной работы можно судить по образному сравнению директора завода И. А. Лихачева: "...если считать по затраченному капиталу, то можно сказать, что мы к пуговице пришивали пальто. Если основной капитал составлял 8 миллионов рублей, то вновь реконструированный... завод стоит сегодня 87 миллионов рублей". Оценивая успехи инженеров и рабочих АМО, один из американских специалистов, работавших в СССР, Тэйлор писал: "За два года вы построили оборудованный по последнему слову техники завод, который смело может стать в ряд с крупнейшими автомобильными заводами Америки" (12098).</w:t>
      </w:r>
    </w:p>
    <w:p w14:paraId="3508BB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B1B5F95" w14:textId="77777777" w:rsidR="0020231B" w:rsidRPr="005E779E" w:rsidRDefault="0020231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октября 1931 состоялся пуск первого отечественного сборочного автоконвейера и выпуск первых 27 грузовых автомобилей АМО-3 (2,5 т) (17494).</w:t>
      </w:r>
    </w:p>
    <w:p w14:paraId="542E923F" w14:textId="77777777" w:rsidR="0020231B" w:rsidRPr="005E779E" w:rsidRDefault="0020231B" w:rsidP="000B7A6C">
      <w:pPr>
        <w:spacing w:after="0" w:line="240" w:lineRule="auto"/>
        <w:jc w:val="both"/>
        <w:rPr>
          <w:rFonts w:ascii="Times New Roman" w:hAnsi="Times New Roman"/>
          <w:color w:val="000000" w:themeColor="text1"/>
          <w:sz w:val="16"/>
          <w:szCs w:val="16"/>
        </w:rPr>
      </w:pPr>
    </w:p>
    <w:p w14:paraId="19AD60CB" w14:textId="77777777" w:rsidR="0019393F" w:rsidRPr="005E779E" w:rsidRDefault="0019393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октября 1931. Газета "Вечерняя Москва" сообщала. "Сборка первых 25 автомобилей на заводе им. Сталина закончилась. Испытания показали хорошие результаты. На автомобилях марка: "Новый АМО"" (18724).</w:t>
      </w:r>
    </w:p>
    <w:p w14:paraId="2B67006C" w14:textId="77777777" w:rsidR="0019393F" w:rsidRPr="005E779E" w:rsidRDefault="0019393F" w:rsidP="000B7A6C">
      <w:pPr>
        <w:spacing w:after="0" w:line="240" w:lineRule="auto"/>
        <w:jc w:val="both"/>
        <w:rPr>
          <w:rFonts w:ascii="Times New Roman" w:hAnsi="Times New Roman"/>
          <w:color w:val="000000" w:themeColor="text1"/>
          <w:sz w:val="16"/>
          <w:szCs w:val="16"/>
        </w:rPr>
      </w:pPr>
    </w:p>
    <w:p w14:paraId="2987FD50" w14:textId="77777777" w:rsidR="003371BD" w:rsidRPr="005E779E" w:rsidRDefault="003371BD"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октября 1931 г. был пущен первый отечественный сборочный автомобильный конвейер, с которого сошли первые 27 грузовиков АМО-3.</w:t>
      </w:r>
    </w:p>
    <w:p w14:paraId="610DA3E0" w14:textId="77777777" w:rsidR="003371BD" w:rsidRPr="005E779E" w:rsidRDefault="003371BD" w:rsidP="000B7A6C">
      <w:pPr>
        <w:autoSpaceDE w:val="0"/>
        <w:autoSpaceDN w:val="0"/>
        <w:adjustRightInd w:val="0"/>
        <w:spacing w:after="0" w:line="240" w:lineRule="auto"/>
        <w:jc w:val="both"/>
        <w:rPr>
          <w:rFonts w:ascii="Times New Roman" w:hAnsi="Times New Roman"/>
          <w:color w:val="000000" w:themeColor="text1"/>
          <w:sz w:val="16"/>
          <w:szCs w:val="16"/>
        </w:rPr>
      </w:pPr>
    </w:p>
    <w:p w14:paraId="6354C2F5"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45C81123"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74647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октября 1931 в Нью Йорке открылся мост Дж. Вашингтона между Манхэттеном и Нью-Джерси - самый длинный подвесной (3907,171).</w:t>
      </w:r>
    </w:p>
    <w:p w14:paraId="4E2947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0A082DA"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48C8BC09"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7E293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 октября 1931 г. приказом Наркомтяжмаша, С.Орджоникидзе, создается Трест Специального Машиностроения. В его состав вошли ленинградские заводы им. Ворошилова, Красный Октябрь, 2-й завод ВАТО в Москве и Харьковский паровозостроительный завод. В 1933-34 гг. состав Треста были включены также ремонтные заводы № 104 и 105, Киевский завод им.В.Я.Чубаря и Харьковский автосборочный завод (11326).</w:t>
      </w:r>
    </w:p>
    <w:p w14:paraId="2A32A4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05DBD34" w14:textId="77777777" w:rsidR="00415552" w:rsidRPr="005E779E" w:rsidRDefault="00415552"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57305CCA" w14:textId="77777777" w:rsidR="00415552" w:rsidRPr="005E779E" w:rsidRDefault="00415552"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6043732" w14:textId="77777777" w:rsidR="00415552" w:rsidRPr="005E779E" w:rsidRDefault="0041555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26 октября 1931 состоялся первый полет De Havilland Tiger Moth DH.82 прототип G-ABRC (20804). </w:t>
      </w:r>
    </w:p>
    <w:p w14:paraId="4AC657A6" w14:textId="77777777" w:rsidR="00415552" w:rsidRPr="005E779E" w:rsidRDefault="00415552" w:rsidP="000B7A6C">
      <w:pPr>
        <w:spacing w:after="0" w:line="240" w:lineRule="auto"/>
        <w:jc w:val="both"/>
        <w:rPr>
          <w:rFonts w:ascii="Times New Roman" w:hAnsi="Times New Roman"/>
          <w:color w:val="000000" w:themeColor="text1"/>
          <w:sz w:val="16"/>
          <w:szCs w:val="16"/>
        </w:rPr>
      </w:pPr>
    </w:p>
    <w:p w14:paraId="361D5705" w14:textId="77777777" w:rsidR="00415552" w:rsidRPr="005E779E" w:rsidRDefault="0041555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 октября 1931 - Первый полёт Havilland DH.82 Tiger Moth, лётчик-испытатель Хуберт Броуд. Он эксплуатировался Королевскими военно-воздушными силами (RAF) и многими другими в качестве основного учебного самолёта. Всего было построено около 9000 экземпляров (22325).</w:t>
      </w:r>
    </w:p>
    <w:p w14:paraId="1EA01AE2" w14:textId="77777777" w:rsidR="00415552" w:rsidRPr="005E779E" w:rsidRDefault="00415552" w:rsidP="000B7A6C">
      <w:pPr>
        <w:spacing w:after="0" w:line="240" w:lineRule="auto"/>
        <w:jc w:val="both"/>
        <w:rPr>
          <w:rFonts w:ascii="Times New Roman" w:hAnsi="Times New Roman"/>
          <w:color w:val="000000" w:themeColor="text1"/>
          <w:sz w:val="16"/>
          <w:szCs w:val="16"/>
        </w:rPr>
      </w:pPr>
    </w:p>
    <w:p w14:paraId="73D676AA" w14:textId="77777777" w:rsidR="003371BD"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05933D4A" w14:textId="77777777" w:rsidR="003371BD" w:rsidRPr="005E779E" w:rsidRDefault="003371BD"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CA2F827" w14:textId="16858DAB" w:rsidR="00193905" w:rsidRPr="005E779E" w:rsidRDefault="0019390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октября 1931 года</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председателем НТК УММ РККА Лебедевым были утверждены требования на «проектирование и выполнение опытного образца» мотоброневагона с одной 107-мм пушкой обр. 1910 года:</w:t>
      </w:r>
    </w:p>
    <w:p w14:paraId="1316D9D2" w14:textId="77777777" w:rsidR="00193905" w:rsidRPr="005E779E" w:rsidRDefault="0019390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Мотор 90 л.с. Ярославского завода;</w:t>
      </w:r>
    </w:p>
    <w:p w14:paraId="6EAF0542" w14:textId="77777777" w:rsidR="00193905" w:rsidRPr="005E779E" w:rsidRDefault="0019390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Постановка реверса должна будет обеспечивать движение в обе стороны со скоростью 60 км/ч, запас хода - 500 км;</w:t>
      </w:r>
    </w:p>
    <w:p w14:paraId="4B69A91D" w14:textId="77777777" w:rsidR="00193905" w:rsidRPr="005E779E" w:rsidRDefault="0019390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Нагрузка на ось не должна превышать 18т;</w:t>
      </w:r>
    </w:p>
    <w:p w14:paraId="2F89AC5B" w14:textId="77777777" w:rsidR="00193905" w:rsidRPr="005E779E" w:rsidRDefault="0019390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Вооружение - одна 107 мм пушка обр. 1910 г., 4 пулемета Максима (2 бортовых и 2 торцевых, для стрельбы вдоль железнодорожного пути), 2 пулемета ДТ в орудийной башне и спаренная зенитная установка пулеметов Максима;</w:t>
      </w:r>
    </w:p>
    <w:p w14:paraId="4FA5EB56" w14:textId="77777777" w:rsidR="00193905" w:rsidRPr="005E779E" w:rsidRDefault="0019390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 Боекомплект - 1б0 снарядов, 30000 патронов для пулеметов Максима и 6000 для ДТ;</w:t>
      </w:r>
    </w:p>
    <w:p w14:paraId="2B4218A3" w14:textId="77777777" w:rsidR="00193905" w:rsidRPr="005E779E" w:rsidRDefault="0019390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 Пушка должна быть установлена в башне с круговым обстрелом в 360 градусов, углы горизонтального обстрела от -5 до +37 градусов;</w:t>
      </w:r>
    </w:p>
    <w:p w14:paraId="21B7E940" w14:textId="77777777" w:rsidR="00193905" w:rsidRPr="005E779E" w:rsidRDefault="0019390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ж). Броня - вертикальные и торцевые стенки 16 мм, поверхности, близкие к горизонтальным 10 мм, горизонтальные 8 мм;</w:t>
      </w:r>
    </w:p>
    <w:p w14:paraId="277C1365" w14:textId="77777777" w:rsidR="00193905" w:rsidRPr="005E779E" w:rsidRDefault="0019390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 Связь - внутренняя телефонная и звуковая, внешняя радиостанция 72 ТК;</w:t>
      </w:r>
    </w:p>
    <w:p w14:paraId="5E00C6AE" w14:textId="77777777" w:rsidR="00193905" w:rsidRPr="005E779E" w:rsidRDefault="0019390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 Экипаж - 15 человек».</w:t>
      </w:r>
    </w:p>
    <w:p w14:paraId="5ED2FBDE" w14:textId="77777777" w:rsidR="00193905" w:rsidRPr="005E779E" w:rsidRDefault="0019390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 xml:space="preserve">Но из-за большой загруженности опытно-конструкторского и испытательного бюро (плодовитый Дыренков одновременно вел разработку нескольких типов бронеавтомобилей, боевых химических машин, </w:t>
      </w:r>
      <w:hyperlink r:id="rId194"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ов, </w:t>
      </w:r>
      <w:hyperlink r:id="rId195"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еток, вездеходов и т.д.) проект тяжелого однобашенного мотоброневагона Д-6 был готов лишь летом 1932 года. Причем параллельно с этой работой у Дыренкова родилось еще несколько проектов (15624).</w:t>
      </w:r>
    </w:p>
    <w:p w14:paraId="5F155AC0" w14:textId="77777777" w:rsidR="00193905" w:rsidRPr="005E779E" w:rsidRDefault="00193905" w:rsidP="000B7A6C">
      <w:pPr>
        <w:spacing w:after="0" w:line="240" w:lineRule="auto"/>
        <w:jc w:val="both"/>
        <w:rPr>
          <w:rFonts w:ascii="Times New Roman" w:hAnsi="Times New Roman"/>
          <w:color w:val="000000" w:themeColor="text1"/>
          <w:sz w:val="16"/>
          <w:szCs w:val="16"/>
        </w:rPr>
      </w:pPr>
    </w:p>
    <w:p w14:paraId="51474F31" w14:textId="77777777" w:rsidR="00C07ED3" w:rsidRPr="005E779E" w:rsidRDefault="00C07ED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октября 1931 года председателем НТК УММ РККА Лебедевым были утверждены требования на «проектирование и выполнение опытного образца» мотоброневаго-на с одной 107-мм пушкой обр. 1910 года: </w:t>
      </w:r>
    </w:p>
    <w:p w14:paraId="37B5E3AB" w14:textId="77777777" w:rsidR="00C07ED3" w:rsidRPr="005E779E" w:rsidRDefault="00C07ED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Мотор 90 л.с. Ярославского завода; </w:t>
      </w:r>
    </w:p>
    <w:p w14:paraId="57EBDAEE" w14:textId="77777777" w:rsidR="00C07ED3" w:rsidRPr="005E779E" w:rsidRDefault="00C07ED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Постановка реверса должна будет обеспечивать движение в обе стороны со скоростью 60 км/ч, запас хода - 500 км; </w:t>
      </w:r>
    </w:p>
    <w:p w14:paraId="0E3AC510" w14:textId="77777777" w:rsidR="00C07ED3" w:rsidRPr="005E779E" w:rsidRDefault="00C07ED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Нагрузка на ось не должна превышать 18 т; </w:t>
      </w:r>
    </w:p>
    <w:p w14:paraId="7FA6C02A" w14:textId="77777777" w:rsidR="00C07ED3" w:rsidRPr="005E779E" w:rsidRDefault="00C07ED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Вооружение - одна 107 мм пушка обр. 1910 г., 4 пулемета Максима (2 бортовых и 2 торцевых, для стрельбы вдоль железнодорожного пути), 2 пулемета ДТ в орудийной башне и спаренная зенитная установка пулеметов Максима; </w:t>
      </w:r>
    </w:p>
    <w:p w14:paraId="3B2704CB" w14:textId="77777777" w:rsidR="00C07ED3" w:rsidRPr="005E779E" w:rsidRDefault="00C07ED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 Боекомплект - 160 снарядов, 30000 патронов для пулеметов Максима и 6000 для ДТ; </w:t>
      </w:r>
    </w:p>
    <w:p w14:paraId="62EFAB32" w14:textId="77777777" w:rsidR="00C07ED3" w:rsidRPr="005E779E" w:rsidRDefault="00C07ED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 Пушка должна быть установлена в башне с круговым обстрелом в 360 градусов, углы горизонтального обстрела от -5 до +37 градусов; </w:t>
      </w:r>
    </w:p>
    <w:p w14:paraId="1F8799FF" w14:textId="77777777" w:rsidR="00C07ED3" w:rsidRPr="005E779E" w:rsidRDefault="00C07ED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ж). Броня - вертикальные и торцевые стенки 16 мм, поверхности, близкие к горизонтальным 10 мм, горизонтальные 8 мм; </w:t>
      </w:r>
    </w:p>
    <w:p w14:paraId="302B96A4" w14:textId="77777777" w:rsidR="00C07ED3" w:rsidRPr="005E779E" w:rsidRDefault="00C07ED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 Связь - внутренняя телефонная и звуковая, внешняя радиостанция 72 ТК; </w:t>
      </w:r>
    </w:p>
    <w:p w14:paraId="133EE49A" w14:textId="77777777" w:rsidR="00C07ED3" w:rsidRPr="005E779E" w:rsidRDefault="00C07ED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 Экипаж - 15 человек». </w:t>
      </w:r>
    </w:p>
    <w:p w14:paraId="6ED4A54F" w14:textId="77777777" w:rsidR="00C07ED3" w:rsidRPr="005E779E" w:rsidRDefault="00C07ED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 из-за большой загруженности опытноконструкторского и испытательного бюро (плодовитый Дыренков одновременно вел разработку нескольких типов бронеавтомобилей, боевых химических машин, танков, танкеток, вездеходов и т.д.) проект тяжелого однобашенного мотоброневагона Д-6 был готов лишь летом 1932 года (18626).</w:t>
      </w:r>
    </w:p>
    <w:p w14:paraId="6ED6BED5" w14:textId="77777777" w:rsidR="00C07ED3" w:rsidRPr="005E779E" w:rsidRDefault="00C07ED3" w:rsidP="000B7A6C">
      <w:pPr>
        <w:spacing w:after="0" w:line="240" w:lineRule="auto"/>
        <w:jc w:val="both"/>
        <w:rPr>
          <w:rFonts w:ascii="Times New Roman" w:hAnsi="Times New Roman"/>
          <w:color w:val="000000" w:themeColor="text1"/>
          <w:sz w:val="16"/>
          <w:szCs w:val="16"/>
        </w:rPr>
      </w:pPr>
    </w:p>
    <w:p w14:paraId="783650AB" w14:textId="26FFB118" w:rsidR="001A6B4D" w:rsidRPr="00142305" w:rsidRDefault="001A6B4D" w:rsidP="001A6B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27 октября 1931 года</w:t>
      </w:r>
      <w:r w:rsidR="00FE094E">
        <w:rPr>
          <w:rFonts w:ascii="Times New Roman" w:hAnsi="Times New Roman"/>
          <w:color w:val="0070C0"/>
          <w:sz w:val="16"/>
          <w:szCs w:val="16"/>
        </w:rPr>
        <w:t xml:space="preserve"> </w:t>
      </w:r>
      <w:r w:rsidRPr="00142305">
        <w:rPr>
          <w:rFonts w:ascii="Times New Roman" w:hAnsi="Times New Roman"/>
          <w:color w:val="0070C0"/>
          <w:sz w:val="16"/>
          <w:szCs w:val="16"/>
        </w:rPr>
        <w:t>председателем НТК УММ РККА Лебедевым были утверждены требования на «проектирование и выполнение опытного образца» мотоброневагона Дыренкова с одной 107-мм пушкой обр. 1910 года:</w:t>
      </w:r>
    </w:p>
    <w:p w14:paraId="56C1AAC7" w14:textId="77777777" w:rsidR="001A6B4D" w:rsidRPr="00142305" w:rsidRDefault="001A6B4D" w:rsidP="001A6B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«а) Мотор 90 л.с. Ярославского завода;</w:t>
      </w:r>
    </w:p>
    <w:p w14:paraId="5EC17B78" w14:textId="77777777" w:rsidR="001A6B4D" w:rsidRPr="00142305" w:rsidRDefault="001A6B4D" w:rsidP="001A6B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б). Постановка реверса должна будет обеспечивать движение в обе стороны со скоростью 60 км/ч, запас хода — 500 км;</w:t>
      </w:r>
    </w:p>
    <w:p w14:paraId="3FAA8901" w14:textId="77777777" w:rsidR="001A6B4D" w:rsidRPr="00142305" w:rsidRDefault="001A6B4D" w:rsidP="001A6B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Нагрузка на ось не должна превышать 18т;</w:t>
      </w:r>
    </w:p>
    <w:p w14:paraId="0C56C01C" w14:textId="77777777" w:rsidR="001A6B4D" w:rsidRPr="00142305" w:rsidRDefault="001A6B4D" w:rsidP="001A6B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г). Вооружение — одна 107 мм пушка обр. 1910 г., 4 пулемета Максима (2 бортовых и 2 торцевых, для стрельбы вдоль железнодорожного пути), 2 пулемета ДТ в орудийной башне и спаренная зенитная установка пулеметов Максима;</w:t>
      </w:r>
    </w:p>
    <w:p w14:paraId="7714B65B" w14:textId="77777777" w:rsidR="001A6B4D" w:rsidRPr="00142305" w:rsidRDefault="001A6B4D" w:rsidP="001A6B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 Боекомплект — 1б0 снарядов, 30000 патронов для пулеметов Максима и 6000 для ДТ;</w:t>
      </w:r>
    </w:p>
    <w:p w14:paraId="70A4A622" w14:textId="77777777" w:rsidR="001A6B4D" w:rsidRPr="00142305" w:rsidRDefault="001A6B4D" w:rsidP="001A6B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е). Пушка должна быть установлена в башне с круговым обстрелом в 360 градусов, углы горизонтального обстрела от -5 до +37 градусов;</w:t>
      </w:r>
    </w:p>
    <w:p w14:paraId="778667E6" w14:textId="77777777" w:rsidR="001A6B4D" w:rsidRPr="00142305" w:rsidRDefault="001A6B4D" w:rsidP="001A6B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ж). Броня — вертикальные и торцевые стенки 16 мм, поверхности, близкие к горизонтальным 10 мм, горизонтальные 8 мм;</w:t>
      </w:r>
    </w:p>
    <w:p w14:paraId="7A4CE500" w14:textId="77777777" w:rsidR="001A6B4D" w:rsidRPr="00142305" w:rsidRDefault="001A6B4D" w:rsidP="001A6B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 Связь — внутренняя телефонная и звуковая, внешняя радиостанция 72 ТК;</w:t>
      </w:r>
    </w:p>
    <w:p w14:paraId="72FA3A57" w14:textId="77777777" w:rsidR="001A6B4D" w:rsidRPr="00142305" w:rsidRDefault="001A6B4D" w:rsidP="001A6B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 Экипаж — 15 человек».</w:t>
      </w:r>
    </w:p>
    <w:p w14:paraId="049D19DD" w14:textId="77777777" w:rsidR="001A6B4D" w:rsidRPr="00142305" w:rsidRDefault="001A6B4D" w:rsidP="001A6B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Но из-за большой загруженности опытно-конструкторского и испытательного бюро (плодовитый Дыренков одновременно вел разработку нескольких типов бронеавтомобилей, боевых химических машин, танков, танкеток, вездеходов и т.д.) проект тяжелого однобашенного мотоброневагона Д-6 был готов лишь летом 1932 года (25568).</w:t>
      </w:r>
    </w:p>
    <w:p w14:paraId="19F5E950" w14:textId="77777777" w:rsidR="001A6B4D" w:rsidRPr="00142305" w:rsidRDefault="001A6B4D" w:rsidP="001A6B4D">
      <w:pPr>
        <w:spacing w:after="0" w:line="240" w:lineRule="auto"/>
        <w:jc w:val="both"/>
        <w:rPr>
          <w:rFonts w:ascii="Times New Roman" w:hAnsi="Times New Roman"/>
          <w:color w:val="0070C0"/>
          <w:sz w:val="16"/>
          <w:szCs w:val="16"/>
        </w:rPr>
      </w:pPr>
    </w:p>
    <w:p w14:paraId="3F63EA63" w14:textId="77777777" w:rsidR="003371BD" w:rsidRPr="005E779E" w:rsidRDefault="003371BD" w:rsidP="000B7A6C">
      <w:pPr>
        <w:pStyle w:val="rtejustify"/>
        <w:spacing w:before="0" w:after="0"/>
        <w:rPr>
          <w:color w:val="000000" w:themeColor="text1"/>
          <w:sz w:val="16"/>
          <w:szCs w:val="16"/>
        </w:rPr>
      </w:pPr>
      <w:r w:rsidRPr="005E779E">
        <w:rPr>
          <w:rStyle w:val="af0"/>
          <w:i w:val="0"/>
          <w:color w:val="000000" w:themeColor="text1"/>
          <w:sz w:val="16"/>
          <w:szCs w:val="16"/>
        </w:rPr>
        <w:t>27 октября 1931 г. Протокол Реввоенсовета № 36.</w:t>
      </w:r>
      <w:r w:rsidRPr="005E779E">
        <w:rPr>
          <w:color w:val="000000" w:themeColor="text1"/>
          <w:sz w:val="16"/>
          <w:szCs w:val="16"/>
        </w:rPr>
        <w:t xml:space="preserve"> 3. Морская программа строительства (Орлов). (РГВА. Ф. 4. Оп. 18. Д. 21. Л. 198</w:t>
      </w:r>
      <w:r w:rsidRPr="005E779E">
        <w:rPr>
          <w:color w:val="000000" w:themeColor="text1"/>
          <w:sz w:val="16"/>
          <w:szCs w:val="16"/>
        </w:rPr>
        <w:noBreakHyphen/>
        <w:t>199) (12342).</w:t>
      </w:r>
    </w:p>
    <w:p w14:paraId="7723BF4A" w14:textId="77777777" w:rsidR="003371BD" w:rsidRPr="005E779E" w:rsidRDefault="003371BD" w:rsidP="000B7A6C">
      <w:pPr>
        <w:pStyle w:val="rtejustify"/>
        <w:spacing w:before="0" w:after="0"/>
        <w:rPr>
          <w:color w:val="000000" w:themeColor="text1"/>
          <w:sz w:val="16"/>
          <w:szCs w:val="16"/>
        </w:rPr>
      </w:pPr>
    </w:p>
    <w:p w14:paraId="316E663B"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7354B215"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5DE5E7D" w14:textId="77777777" w:rsidR="00893CC0" w:rsidRPr="005E779E" w:rsidRDefault="00893CC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октября 1931 Детройтская авиастроительная корпорация объявляет о банкротстве. В конце концов, доля Lockheed в компании выкуплена за счет конкурсного производства (20804).</w:t>
      </w:r>
    </w:p>
    <w:p w14:paraId="1EDBD09B" w14:textId="77777777" w:rsidR="00893CC0" w:rsidRPr="005E779E" w:rsidRDefault="00893CC0" w:rsidP="000B7A6C">
      <w:pPr>
        <w:spacing w:after="0" w:line="240" w:lineRule="auto"/>
        <w:jc w:val="both"/>
        <w:rPr>
          <w:rFonts w:ascii="Times New Roman" w:hAnsi="Times New Roman"/>
          <w:color w:val="000000" w:themeColor="text1"/>
          <w:sz w:val="16"/>
          <w:szCs w:val="16"/>
        </w:rPr>
      </w:pPr>
    </w:p>
    <w:p w14:paraId="71DE9E86" w14:textId="77777777" w:rsidR="00893CC0" w:rsidRPr="005E779E" w:rsidRDefault="00893CC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27–28 октября 1931 в качестве испытания второго моноплана дальнего действия Fairey в рамках подготовки к более поздней попытке установить новый рекорд беспосадочного полета командир эскадрильи Королевских ВВС Освальд Р. Гейфорд и лейтенант DLG Бетт вылетают из RAF Cranwell в Англии и RAF Abu Sueir в Египте в беспосадочный перелет на 2 857 миль (4 601 км) за 31 час (20804).</w:t>
      </w:r>
    </w:p>
    <w:p w14:paraId="0474812E" w14:textId="77777777" w:rsidR="00893CC0" w:rsidRPr="005E779E" w:rsidRDefault="00893CC0" w:rsidP="000B7A6C">
      <w:pPr>
        <w:spacing w:after="0" w:line="240" w:lineRule="auto"/>
        <w:jc w:val="both"/>
        <w:rPr>
          <w:rFonts w:ascii="Times New Roman" w:hAnsi="Times New Roman"/>
          <w:color w:val="000000" w:themeColor="text1"/>
          <w:sz w:val="16"/>
          <w:szCs w:val="16"/>
        </w:rPr>
      </w:pPr>
    </w:p>
    <w:p w14:paraId="60CFD636" w14:textId="77777777" w:rsidR="001A6B4D" w:rsidRPr="00142305" w:rsidRDefault="001A6B4D" w:rsidP="001A6B4D">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 xml:space="preserve">27 октября 1931 года успешную швартовку к дирижаблю </w:t>
      </w:r>
      <w:r w:rsidRPr="00142305">
        <w:rPr>
          <w:rStyle w:val="aff0"/>
          <w:rFonts w:ascii="Times New Roman" w:hAnsi="Times New Roman" w:cs="Times New Roman"/>
          <w:color w:val="0070C0"/>
          <w:spacing w:val="0"/>
          <w:sz w:val="16"/>
          <w:szCs w:val="16"/>
          <w:lang w:val="en-US"/>
        </w:rPr>
        <w:t>Los</w:t>
      </w:r>
      <w:r w:rsidRPr="00142305">
        <w:rPr>
          <w:rStyle w:val="aff0"/>
          <w:rFonts w:ascii="Times New Roman" w:hAnsi="Times New Roman" w:cs="Times New Roman"/>
          <w:color w:val="0070C0"/>
          <w:spacing w:val="0"/>
          <w:sz w:val="16"/>
          <w:szCs w:val="16"/>
        </w:rPr>
        <w:t xml:space="preserve"> </w:t>
      </w:r>
      <w:r w:rsidRPr="00142305">
        <w:rPr>
          <w:rStyle w:val="aff0"/>
          <w:rFonts w:ascii="Times New Roman" w:hAnsi="Times New Roman" w:cs="Times New Roman"/>
          <w:color w:val="0070C0"/>
          <w:spacing w:val="0"/>
          <w:sz w:val="16"/>
          <w:szCs w:val="16"/>
          <w:lang w:val="en-US"/>
        </w:rPr>
        <w:t>Angeles</w:t>
      </w:r>
      <w:r w:rsidRPr="00142305">
        <w:rPr>
          <w:rStyle w:val="aff0"/>
          <w:rFonts w:ascii="Times New Roman" w:hAnsi="Times New Roman" w:cs="Times New Roman"/>
          <w:color w:val="0070C0"/>
          <w:spacing w:val="0"/>
          <w:sz w:val="16"/>
          <w:szCs w:val="16"/>
        </w:rPr>
        <w:t xml:space="preserve"> совершил одно</w:t>
      </w:r>
      <w:r w:rsidRPr="00142305">
        <w:rPr>
          <w:rStyle w:val="aff0"/>
          <w:rFonts w:ascii="Times New Roman" w:hAnsi="Times New Roman" w:cs="Times New Roman"/>
          <w:color w:val="0070C0"/>
          <w:spacing w:val="0"/>
          <w:sz w:val="16"/>
          <w:szCs w:val="16"/>
        </w:rPr>
        <w:softHyphen/>
        <w:t xml:space="preserve">местный истребитель биплан </w:t>
      </w:r>
      <w:r w:rsidRPr="00142305">
        <w:rPr>
          <w:rStyle w:val="aff0"/>
          <w:rFonts w:ascii="Times New Roman" w:hAnsi="Times New Roman" w:cs="Times New Roman"/>
          <w:color w:val="0070C0"/>
          <w:spacing w:val="0"/>
          <w:sz w:val="16"/>
          <w:szCs w:val="16"/>
          <w:lang w:val="en-US"/>
        </w:rPr>
        <w:t>Curtiss</w:t>
      </w:r>
      <w:r w:rsidRPr="00142305">
        <w:rPr>
          <w:rStyle w:val="aff0"/>
          <w:rFonts w:ascii="Times New Roman" w:hAnsi="Times New Roman" w:cs="Times New Roman"/>
          <w:color w:val="0070C0"/>
          <w:spacing w:val="0"/>
          <w:sz w:val="16"/>
          <w:szCs w:val="16"/>
        </w:rPr>
        <w:t xml:space="preserve"> </w:t>
      </w:r>
      <w:r w:rsidRPr="00142305">
        <w:rPr>
          <w:rStyle w:val="aff0"/>
          <w:rFonts w:ascii="Times New Roman" w:hAnsi="Times New Roman" w:cs="Times New Roman"/>
          <w:color w:val="0070C0"/>
          <w:spacing w:val="0"/>
          <w:sz w:val="16"/>
          <w:szCs w:val="16"/>
          <w:lang w:val="en-US"/>
        </w:rPr>
        <w:t>XF</w:t>
      </w:r>
      <w:r w:rsidRPr="00142305">
        <w:rPr>
          <w:rStyle w:val="aff0"/>
          <w:rFonts w:ascii="Times New Roman" w:hAnsi="Times New Roman" w:cs="Times New Roman"/>
          <w:color w:val="0070C0"/>
          <w:spacing w:val="0"/>
          <w:sz w:val="16"/>
          <w:szCs w:val="16"/>
        </w:rPr>
        <w:t>9</w:t>
      </w:r>
      <w:r w:rsidRPr="00142305">
        <w:rPr>
          <w:rStyle w:val="aff0"/>
          <w:rFonts w:ascii="Times New Roman" w:hAnsi="Times New Roman" w:cs="Times New Roman"/>
          <w:color w:val="0070C0"/>
          <w:spacing w:val="0"/>
          <w:sz w:val="16"/>
          <w:szCs w:val="16"/>
          <w:lang w:val="en-US"/>
        </w:rPr>
        <w:t>C</w:t>
      </w:r>
      <w:r w:rsidRPr="00142305">
        <w:rPr>
          <w:rStyle w:val="aff0"/>
          <w:rFonts w:ascii="Times New Roman" w:hAnsi="Times New Roman" w:cs="Times New Roman"/>
          <w:color w:val="0070C0"/>
          <w:spacing w:val="0"/>
          <w:sz w:val="16"/>
          <w:szCs w:val="16"/>
        </w:rPr>
        <w:t xml:space="preserve">-1 </w:t>
      </w:r>
      <w:r w:rsidRPr="00142305">
        <w:rPr>
          <w:rStyle w:val="aff0"/>
          <w:rFonts w:ascii="Times New Roman" w:hAnsi="Times New Roman" w:cs="Times New Roman"/>
          <w:color w:val="0070C0"/>
          <w:spacing w:val="0"/>
          <w:sz w:val="16"/>
          <w:szCs w:val="16"/>
          <w:lang w:val="en-US"/>
        </w:rPr>
        <w:t>Sparrowhawk</w:t>
      </w:r>
      <w:r w:rsidRPr="00142305">
        <w:rPr>
          <w:rStyle w:val="aff0"/>
          <w:rFonts w:ascii="Times New Roman" w:hAnsi="Times New Roman" w:cs="Times New Roman"/>
          <w:color w:val="0070C0"/>
          <w:spacing w:val="0"/>
          <w:sz w:val="16"/>
          <w:szCs w:val="16"/>
        </w:rPr>
        <w:t>, специально соз</w:t>
      </w:r>
      <w:r w:rsidRPr="00142305">
        <w:rPr>
          <w:rStyle w:val="aff0"/>
          <w:rFonts w:ascii="Times New Roman" w:hAnsi="Times New Roman" w:cs="Times New Roman"/>
          <w:color w:val="0070C0"/>
          <w:spacing w:val="0"/>
          <w:sz w:val="16"/>
          <w:szCs w:val="16"/>
        </w:rPr>
        <w:softHyphen/>
        <w:t xml:space="preserve">данный в качестве палубного самолёта авианесущих дирижаблей </w:t>
      </w:r>
      <w:r w:rsidRPr="00142305">
        <w:rPr>
          <w:rStyle w:val="aff0"/>
          <w:rFonts w:ascii="Times New Roman" w:hAnsi="Times New Roman" w:cs="Times New Roman"/>
          <w:color w:val="0070C0"/>
          <w:spacing w:val="0"/>
          <w:sz w:val="16"/>
          <w:szCs w:val="16"/>
          <w:lang w:val="en-US"/>
        </w:rPr>
        <w:t>Akron</w:t>
      </w:r>
      <w:r w:rsidRPr="00142305">
        <w:rPr>
          <w:rStyle w:val="aff0"/>
          <w:rFonts w:ascii="Times New Roman" w:hAnsi="Times New Roman" w:cs="Times New Roman"/>
          <w:color w:val="0070C0"/>
          <w:spacing w:val="0"/>
          <w:sz w:val="16"/>
          <w:szCs w:val="16"/>
        </w:rPr>
        <w:t xml:space="preserve"> и </w:t>
      </w:r>
      <w:r w:rsidRPr="00142305">
        <w:rPr>
          <w:rStyle w:val="aff0"/>
          <w:rFonts w:ascii="Times New Roman" w:hAnsi="Times New Roman" w:cs="Times New Roman"/>
          <w:color w:val="0070C0"/>
          <w:spacing w:val="0"/>
          <w:sz w:val="16"/>
          <w:szCs w:val="16"/>
          <w:lang w:val="en-US"/>
        </w:rPr>
        <w:t>Macon</w:t>
      </w:r>
      <w:r w:rsidRPr="00142305">
        <w:rPr>
          <w:rStyle w:val="aff0"/>
          <w:rFonts w:ascii="Times New Roman" w:hAnsi="Times New Roman" w:cs="Times New Roman"/>
          <w:color w:val="0070C0"/>
          <w:spacing w:val="0"/>
          <w:sz w:val="16"/>
          <w:szCs w:val="16"/>
        </w:rPr>
        <w:t xml:space="preserve"> (25618).</w:t>
      </w:r>
    </w:p>
    <w:p w14:paraId="2059C856" w14:textId="77777777" w:rsidR="001A6B4D" w:rsidRPr="00142305" w:rsidRDefault="001A6B4D" w:rsidP="001A6B4D">
      <w:pPr>
        <w:spacing w:after="0" w:line="240" w:lineRule="auto"/>
        <w:jc w:val="both"/>
        <w:rPr>
          <w:rFonts w:ascii="Times New Roman" w:hAnsi="Times New Roman"/>
          <w:color w:val="0070C0"/>
          <w:sz w:val="16"/>
          <w:szCs w:val="16"/>
        </w:rPr>
      </w:pPr>
    </w:p>
    <w:p w14:paraId="048C76FD" w14:textId="790DAE25" w:rsidR="00893CC0" w:rsidRPr="005E779E" w:rsidRDefault="00893CC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октября 1931 - Рут Роуленд Николс(Ruth Rowland Nichols) установила женский мировой рекорд FAI, беспосадочного перелёта(по прямой 3182,65 км 1977,607 статутных миль) на самолёте</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Lockheed Model 5 Vega Special reg NR496M</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собственное имя Akita.</w:t>
      </w:r>
    </w:p>
    <w:p w14:paraId="1BBD8102" w14:textId="294D38E5" w:rsidR="00893CC0" w:rsidRPr="005E779E" w:rsidRDefault="00893CC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 3 месяца до этого, Ruth Rowland Nichols и Akita</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попали в аварию. У Рут было 5 переломов и повреждён позвоночник. На Akita, при аварийной посадке на склон холма, вырвало мотораму с двигателем и стойку шасси.</w:t>
      </w:r>
    </w:p>
    <w:p w14:paraId="500AECF0" w14:textId="2EC032CD" w:rsidR="00893CC0" w:rsidRPr="005E779E" w:rsidRDefault="00893CC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рекордный полёт, Рут Николс вылетела в металлическом корсете. Маршрут LA-NY. До Нью-Йорка не долетела, приземлилась на аэродроме Боулинг-Филд, Луисвилл, штат Кентукки. В этом полёте она побила предыдущий рекорд француженки мадемуазель Мариз Басти</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из Парижа, Франция, в Удино, СССР от 29 июня 1931 года.</w:t>
      </w:r>
    </w:p>
    <w:p w14:paraId="4E308A67" w14:textId="77777777" w:rsidR="00893CC0" w:rsidRPr="005E779E" w:rsidRDefault="00893CC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Утром 27 октября, Рут решила продолжить полёт до NY, но после запуска мотора от пиростартера, от тряски выбило клапан аварийного слива топлива. Бензин залил площадку под самолётом и вспыхнул. Рут успела выключить мотор и выпрыгнуть из горящего самолёта. От самолёта, упавшую женщину, оттащила стартовая команда. Самолёт сгорел полностью.</w:t>
      </w:r>
    </w:p>
    <w:p w14:paraId="373A7BBE" w14:textId="77777777" w:rsidR="00893CC0" w:rsidRPr="005E779E" w:rsidRDefault="00893CC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NR496M серийный 619, принадлежал Пауэллу Кросли младшему основателю Crosley radio corporation и был арендован Рут Николс за 1 доллар (обычная практика тех лет) (22324).</w:t>
      </w:r>
    </w:p>
    <w:p w14:paraId="59A9F832" w14:textId="77777777" w:rsidR="00893CC0" w:rsidRPr="005E779E" w:rsidRDefault="00893CC0" w:rsidP="000B7A6C">
      <w:pPr>
        <w:spacing w:after="0" w:line="240" w:lineRule="auto"/>
        <w:jc w:val="both"/>
        <w:rPr>
          <w:rFonts w:ascii="Times New Roman" w:hAnsi="Times New Roman"/>
          <w:color w:val="000000" w:themeColor="text1"/>
          <w:sz w:val="16"/>
          <w:szCs w:val="16"/>
        </w:rPr>
      </w:pPr>
    </w:p>
    <w:p w14:paraId="1340C8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октября 1931 года «Акрон» был официально принят флотом США. С этого дня началась военная служба, если можно считать ее таковой, для дирижабля, который все еще не был доведен до приемлемого эксплуатационного состояния. Так, ZSR-4 мог действовать на высотах до 1500 м, но иногда этого было недостаточно. Часто возникала необходимость, особенно при трансконтинентальных полетах, преодолевать горы высотой более 3000 м. Если не считать этих мелких недоработок, «Акрон» показывал себя с лучшей стороны. 3 ноября 1931 года дирижабль поднялся в воздух с 207 пассажирами на борту, что было доселе невиданным делом. В январе 1932 он удачно взаимодействовал с разведывательными [432] кораблями восточнее Флориды. Во время этих учений «Акрон» успешно миновал снежную бурю, хотя при этом ледовая корка, образовавшаяся на корпусе дирижабля, весила 8 т. Он обнаружил «неприятеля» на 7 часов раньше, чем крейсера, посланные в тот же район. Теперь пришла пора опробовать «Акрон» по его прямому назначению — в качестве дальнего стратегического разведчика и патрульного дирижабля. Но до этого следовало отработать взаимодействие с бортовыми самолетами и в первую очередь натренировать летчиков в таком непростом действии, как стыковка с дирижаблем (11321).</w:t>
      </w:r>
    </w:p>
    <w:p w14:paraId="37669C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68444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lang w:val="en-US"/>
        </w:rPr>
        <w:t>October 27, 1931 The rigid airship Akron (ZRS-4), having made its first trial flight on 23 September 1931 at Akron, Ohio, was commissioned at NAS Lakehurst with Lieutenant Commander C. E. Rosendahl as Commanding Officer (1090).</w:t>
      </w:r>
    </w:p>
    <w:p w14:paraId="4B3263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p w14:paraId="672711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октября 1931 жесткий дирижабль Акрон, выполнивший первый полет 23 сентября 1931, был принят в строй (1090).</w:t>
      </w:r>
    </w:p>
    <w:p w14:paraId="60E109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43685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октября 1931 года опытный образец самолета впервые состыковался с перекладиной дирижабля «Лос-Анджелес». В середине 1930 года дополнительно закупили 6 учебных бипланов Консолидейтед N2Y-1, оборудованных стыковочным крюком и использовавшихся для обучения летчиков стыковочным и расстыковочным маневрам. Предполагалось, что они будут состоять на вооружении дирижаблей до тех пор, пока не появятся более подходящие самолеты. В конце 1930 года был объявлен прием летчиков для будущей дирижабельной авиации и набран 41 доброволец (11324).</w:t>
      </w:r>
    </w:p>
    <w:p w14:paraId="2AA7F38B" w14:textId="68A37DA3"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317D07F" w14:textId="0FFA0530" w:rsidR="00893CC0" w:rsidRPr="005E779E" w:rsidRDefault="00893CC0" w:rsidP="000B7A6C">
      <w:pPr>
        <w:autoSpaceDE w:val="0"/>
        <w:autoSpaceDN w:val="0"/>
        <w:adjustRightInd w:val="0"/>
        <w:spacing w:after="0" w:line="240" w:lineRule="auto"/>
        <w:jc w:val="both"/>
        <w:rPr>
          <w:rFonts w:ascii="Times New Roman" w:hAnsi="Times New Roman"/>
          <w:i/>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45F33886" w14:textId="77777777" w:rsidR="00893CC0" w:rsidRPr="005E779E" w:rsidRDefault="00893CC0" w:rsidP="000B7A6C">
      <w:pPr>
        <w:autoSpaceDE w:val="0"/>
        <w:autoSpaceDN w:val="0"/>
        <w:adjustRightInd w:val="0"/>
        <w:spacing w:after="0" w:line="240" w:lineRule="auto"/>
        <w:jc w:val="both"/>
        <w:rPr>
          <w:rFonts w:ascii="Times New Roman" w:hAnsi="Times New Roman"/>
          <w:i/>
          <w:iCs/>
          <w:color w:val="000000" w:themeColor="text1"/>
          <w:sz w:val="16"/>
          <w:szCs w:val="16"/>
        </w:rPr>
      </w:pPr>
    </w:p>
    <w:p w14:paraId="0836E767" w14:textId="77777777" w:rsidR="0097726A" w:rsidRPr="005E779E" w:rsidRDefault="00A9405B" w:rsidP="000B7A6C">
      <w:pPr>
        <w:spacing w:after="0" w:line="240" w:lineRule="auto"/>
        <w:jc w:val="both"/>
        <w:rPr>
          <w:rFonts w:ascii="Times New Roman" w:hAnsi="Times New Roman"/>
          <w:color w:val="000000" w:themeColor="text1"/>
          <w:sz w:val="16"/>
          <w:szCs w:val="16"/>
          <w:lang w:eastAsia="ru-RU"/>
        </w:rPr>
      </w:pPr>
      <w:r w:rsidRPr="005E779E">
        <w:rPr>
          <w:rFonts w:ascii="Times New Roman" w:hAnsi="Times New Roman"/>
          <w:color w:val="000000" w:themeColor="text1"/>
          <w:sz w:val="16"/>
          <w:szCs w:val="16"/>
        </w:rPr>
        <w:lastRenderedPageBreak/>
        <w:t xml:space="preserve">Не ранее 29 октября 1931 г. </w:t>
      </w:r>
      <w:bookmarkStart w:id="47" w:name="_ednref1"/>
      <w:r w:rsidR="00BE7680" w:rsidRPr="005E779E">
        <w:rPr>
          <w:rFonts w:ascii="Times New Roman" w:hAnsi="Times New Roman"/>
          <w:color w:val="000000" w:themeColor="text1"/>
          <w:sz w:val="16"/>
          <w:szCs w:val="16"/>
        </w:rPr>
        <w:fldChar w:fldCharType="begin"/>
      </w:r>
      <w:r w:rsidRPr="005E779E">
        <w:rPr>
          <w:rFonts w:ascii="Times New Roman" w:hAnsi="Times New Roman"/>
          <w:color w:val="000000" w:themeColor="text1"/>
          <w:sz w:val="16"/>
          <w:szCs w:val="16"/>
        </w:rPr>
        <w:instrText xml:space="preserve"> HYPERLINK "http://www.great-country.ru/content/sssr_stat/ind_1929-1932/ind_1929-1932-016.php" \l "_edn1" \o "" </w:instrText>
      </w:r>
      <w:r w:rsidR="00BE7680" w:rsidRPr="005E779E">
        <w:rPr>
          <w:rFonts w:ascii="Times New Roman" w:hAnsi="Times New Roman"/>
          <w:color w:val="000000" w:themeColor="text1"/>
          <w:sz w:val="16"/>
          <w:szCs w:val="16"/>
        </w:rPr>
      </w:r>
      <w:r w:rsidR="00BE7680" w:rsidRPr="005E779E">
        <w:rPr>
          <w:rFonts w:ascii="Times New Roman" w:hAnsi="Times New Roman"/>
          <w:color w:val="000000" w:themeColor="text1"/>
          <w:sz w:val="16"/>
          <w:szCs w:val="16"/>
        </w:rPr>
        <w:fldChar w:fldCharType="separate"/>
      </w:r>
      <w:r w:rsidRPr="005E779E">
        <w:rPr>
          <w:rStyle w:val="a5"/>
          <w:rFonts w:ascii="Times New Roman" w:hAnsi="Times New Roman"/>
          <w:color w:val="000000" w:themeColor="text1"/>
          <w:sz w:val="16"/>
          <w:szCs w:val="16"/>
        </w:rPr>
        <w:t>[1]</w:t>
      </w:r>
      <w:r w:rsidR="00BE7680" w:rsidRPr="005E779E">
        <w:rPr>
          <w:rFonts w:ascii="Times New Roman" w:hAnsi="Times New Roman"/>
          <w:color w:val="000000" w:themeColor="text1"/>
          <w:sz w:val="16"/>
          <w:szCs w:val="16"/>
        </w:rPr>
        <w:fldChar w:fldCharType="end"/>
      </w:r>
      <w:bookmarkEnd w:id="47"/>
      <w:r w:rsidR="0097726A" w:rsidRPr="005E779E">
        <w:rPr>
          <w:rStyle w:val="a7"/>
          <w:rFonts w:ascii="Times New Roman" w:hAnsi="Times New Roman"/>
          <w:b w:val="0"/>
          <w:color w:val="000000" w:themeColor="text1"/>
          <w:sz w:val="16"/>
          <w:szCs w:val="16"/>
        </w:rPr>
        <w:t>Из докладной записки коллегии Наркомтруда СССР в Совнарком СССР об организации труда и системе заработной платы</w:t>
      </w:r>
    </w:p>
    <w:p w14:paraId="3D580DF8"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III. Организация труда и система заработной платы </w:t>
      </w:r>
    </w:p>
    <w:p w14:paraId="761CBBBB" w14:textId="77777777" w:rsidR="00A9405B"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Реконструктивный период социалистического строительства, рост производственной активности рабочих, что находит свое выражение в развертывании социалистических форм труда (соцсоревнование, ударничество, охватившее 3,5 млн. ударников, хозрасчетные бригады и др.), требуют решительных мероприятий по организации труда в производстве и правильному использованию рабочей силы.</w:t>
      </w:r>
    </w:p>
    <w:p w14:paraId="475AF091"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Важнейшей предпосылкой организации труда и правильного использования рабочей силы является внедрение технического нормирования во всех основных отраслях народного хозяйства. Однако состояние технического нормирования на предприятиях при наличии некоторых сдвигов в сторону улучшения все еще не обеспечивает бурных темпов роста промышленности и не отвечает предъявляемым к техническому нормированию требованиям. На большинстве предприятий технико-нормировочная работа находится в зачаточном состоянии, что объясняется недооценкой этой работы хозорганами и слабостью технико-нормировочного аппарата.</w:t>
      </w:r>
    </w:p>
    <w:p w14:paraId="06CBB96E"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До сих пор вместо предварительного изучения технологических процессов производства устанавливаются нормы «на глазок». Наиболее широко распространено на предприятиях применение так называемых опытно статистических норм, которые по существу не нормируют, а фиксируют выработку рабочих. Полных сведений о техническом нормировании не имеется. По отдельным заводам на май месяц 1931 г. нормированием охвачено: </w:t>
      </w:r>
    </w:p>
    <w:tbl>
      <w:tblPr>
        <w:tblW w:w="0" w:type="auto"/>
        <w:tblCellSpacing w:w="15"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2258"/>
        <w:gridCol w:w="1882"/>
        <w:gridCol w:w="3437"/>
      </w:tblGrid>
      <w:tr w:rsidR="001002C3" w:rsidRPr="005E779E" w14:paraId="064457DB" w14:textId="77777777">
        <w:trPr>
          <w:tblCellSpacing w:w="15" w:type="dxa"/>
        </w:trPr>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509560C4"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0DAE14B3"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[Завод] им. Дзержинского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6A5CD42B"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[Заводы] им. Петровского и им. Ленина [вместе] </w:t>
            </w:r>
          </w:p>
        </w:tc>
      </w:tr>
      <w:tr w:rsidR="001002C3" w:rsidRPr="005E779E" w14:paraId="5A2FE15C" w14:textId="77777777">
        <w:trPr>
          <w:tblCellSpacing w:w="15" w:type="dxa"/>
        </w:trPr>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06EB250F"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Техническое нормирование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05F96248"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19,2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4B3C0F9D"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2,3 </w:t>
            </w:r>
          </w:p>
        </w:tc>
      </w:tr>
      <w:tr w:rsidR="001002C3" w:rsidRPr="005E779E" w14:paraId="14B9B6F1" w14:textId="77777777">
        <w:trPr>
          <w:tblCellSpacing w:w="15" w:type="dxa"/>
        </w:trPr>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79E572C4"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Опытно-статистические нормы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7270BC11"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72,0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69EBC38C"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59 </w:t>
            </w:r>
          </w:p>
        </w:tc>
      </w:tr>
      <w:tr w:rsidR="001002C3" w:rsidRPr="005E779E" w14:paraId="3A1CB22F" w14:textId="77777777">
        <w:trPr>
          <w:tblCellSpacing w:w="15" w:type="dxa"/>
        </w:trPr>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33ABF04D"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Ненормированные работы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662E8F04"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8,8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23316C83"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38,7 </w:t>
            </w:r>
          </w:p>
        </w:tc>
      </w:tr>
      <w:tr w:rsidR="001002C3" w:rsidRPr="005E779E" w14:paraId="445B4D8B" w14:textId="77777777">
        <w:trPr>
          <w:tblCellSpacing w:w="15" w:type="dxa"/>
        </w:trPr>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79EC91AF"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039DD3E6"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100%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58D6D2A1"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100% </w:t>
            </w:r>
          </w:p>
        </w:tc>
      </w:tr>
    </w:tbl>
    <w:p w14:paraId="7DBAAC47"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связи с этим охват сдельщиной в 1931 г. совершенно недостаточный. Например, по всей промышленности в 1929 г. процент охвата сдельной работой выражается в 62,5, в 1930 г. — 58,6. По отдельным объединениям перевод на сдельщину характеризуется следующими данными: </w:t>
      </w:r>
    </w:p>
    <w:tbl>
      <w:tblPr>
        <w:tblW w:w="0" w:type="auto"/>
        <w:tblCellSpacing w:w="15"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2559"/>
        <w:gridCol w:w="566"/>
        <w:gridCol w:w="581"/>
      </w:tblGrid>
      <w:tr w:rsidR="001002C3" w:rsidRPr="005E779E" w14:paraId="3A44EC22" w14:textId="77777777">
        <w:trPr>
          <w:tblCellSpacing w:w="15" w:type="dxa"/>
        </w:trPr>
        <w:tc>
          <w:tcPr>
            <w:tcW w:w="0" w:type="auto"/>
            <w:vMerge w:val="restart"/>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7D701760"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503DBA2E"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1929 г.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6B1C5DBC"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1930 г. </w:t>
            </w:r>
          </w:p>
        </w:tc>
      </w:tr>
      <w:tr w:rsidR="001002C3" w:rsidRPr="005E779E" w14:paraId="721BB189" w14:textId="77777777">
        <w:trPr>
          <w:tblCellSpacing w:w="15"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0123B17E" w14:textId="77777777" w:rsidR="0097726A" w:rsidRPr="005E779E" w:rsidRDefault="0097726A" w:rsidP="000B7A6C">
            <w:pPr>
              <w:spacing w:after="0" w:line="240" w:lineRule="auto"/>
              <w:jc w:val="both"/>
              <w:rPr>
                <w:rFonts w:ascii="Times New Roman" w:hAnsi="Times New Roman"/>
                <w:color w:val="000000" w:themeColor="text1"/>
                <w:sz w:val="16"/>
                <w:szCs w:val="16"/>
              </w:rPr>
            </w:pPr>
          </w:p>
        </w:tc>
        <w:tc>
          <w:tcPr>
            <w:tcW w:w="0" w:type="auto"/>
            <w:gridSpan w:val="2"/>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515CD9C8"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 </w:t>
            </w:r>
          </w:p>
        </w:tc>
      </w:tr>
      <w:tr w:rsidR="001002C3" w:rsidRPr="005E779E" w14:paraId="5FBF3ABD" w14:textId="77777777">
        <w:trPr>
          <w:tblCellSpacing w:w="15" w:type="dxa"/>
        </w:trPr>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2B76BEF2"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Металлургия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05880C3B"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69,0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4F49DD65"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63,8 </w:t>
            </w:r>
          </w:p>
        </w:tc>
      </w:tr>
      <w:tr w:rsidR="001002C3" w:rsidRPr="005E779E" w14:paraId="3AFCA598" w14:textId="77777777">
        <w:trPr>
          <w:tblCellSpacing w:w="15" w:type="dxa"/>
        </w:trPr>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463D56B3"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Машиностроение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3A33FC66"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62,2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7766BA0E"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56,5 </w:t>
            </w:r>
          </w:p>
        </w:tc>
      </w:tr>
      <w:tr w:rsidR="001002C3" w:rsidRPr="005E779E" w14:paraId="7B534C45" w14:textId="77777777">
        <w:trPr>
          <w:tblCellSpacing w:w="15" w:type="dxa"/>
        </w:trPr>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09699176"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Тракторное машиностроение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31FE1C28"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71,6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7C8AFE86"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65,5 </w:t>
            </w:r>
          </w:p>
        </w:tc>
      </w:tr>
      <w:tr w:rsidR="001002C3" w:rsidRPr="005E779E" w14:paraId="37F4CC4B" w14:textId="77777777">
        <w:trPr>
          <w:tblCellSpacing w:w="15" w:type="dxa"/>
        </w:trPr>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45A1DAFE"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Электротехническое производство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6D5B19B6"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56,4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5AF65A58"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48,5 </w:t>
            </w:r>
          </w:p>
        </w:tc>
      </w:tr>
      <w:tr w:rsidR="001002C3" w:rsidRPr="005E779E" w14:paraId="424B00E0" w14:textId="77777777">
        <w:trPr>
          <w:tblCellSpacing w:w="15" w:type="dxa"/>
        </w:trPr>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454E296B"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Каменноугольная промышленность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6297D558"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52,3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75E08B40"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53,5 </w:t>
            </w:r>
          </w:p>
        </w:tc>
      </w:tr>
      <w:tr w:rsidR="001002C3" w:rsidRPr="005E779E" w14:paraId="6C845555" w14:textId="77777777">
        <w:trPr>
          <w:tblCellSpacing w:w="15" w:type="dxa"/>
        </w:trPr>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526D5722"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Химическая промышленность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47B49150"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60,0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75377B5B"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52,9 </w:t>
            </w:r>
          </w:p>
        </w:tc>
      </w:tr>
    </w:tbl>
    <w:p w14:paraId="2BCA80B6"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Данных о переводе на сдельщину в 1931 г. по этим объединениям не имеется, а по отдельным предприятиям процент сдельщины колеблется от 40 до 70. </w:t>
      </w:r>
    </w:p>
    <w:tbl>
      <w:tblPr>
        <w:tblW w:w="0" w:type="auto"/>
        <w:tblCellSpacing w:w="15"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1482"/>
        <w:gridCol w:w="994"/>
        <w:gridCol w:w="1371"/>
      </w:tblGrid>
      <w:tr w:rsidR="001002C3" w:rsidRPr="005E779E" w14:paraId="087C5867" w14:textId="77777777">
        <w:trPr>
          <w:tblCellSpacing w:w="15" w:type="dxa"/>
        </w:trPr>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12B89013"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4D7BE718"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1930 г.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255D546B"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Февраль 1931 г. % </w:t>
            </w:r>
          </w:p>
        </w:tc>
      </w:tr>
      <w:tr w:rsidR="001002C3" w:rsidRPr="005E779E" w14:paraId="6AF6B3CE" w14:textId="77777777">
        <w:trPr>
          <w:tblCellSpacing w:w="15" w:type="dxa"/>
        </w:trPr>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25581E7E"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Завод им. Калинина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40968EA8"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56,7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6AEB966D"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60,1 </w:t>
            </w:r>
          </w:p>
        </w:tc>
      </w:tr>
      <w:tr w:rsidR="001002C3" w:rsidRPr="005E779E" w14:paraId="3B2DE364" w14:textId="77777777">
        <w:trPr>
          <w:tblCellSpacing w:w="15" w:type="dxa"/>
        </w:trPr>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155CC85F"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Владимира Ильича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237F9298"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54,7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70279FE4"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60,9 </w:t>
            </w:r>
          </w:p>
        </w:tc>
      </w:tr>
      <w:tr w:rsidR="001002C3" w:rsidRPr="005E779E" w14:paraId="46ADB509" w14:textId="77777777">
        <w:trPr>
          <w:tblCellSpacing w:w="15" w:type="dxa"/>
        </w:trPr>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6A794D04"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Красный факел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4A8C7C8D"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67,8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0A930EDC"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66,2 </w:t>
            </w:r>
          </w:p>
        </w:tc>
      </w:tr>
      <w:tr w:rsidR="001002C3" w:rsidRPr="005E779E" w14:paraId="67146D16" w14:textId="77777777">
        <w:trPr>
          <w:tblCellSpacing w:w="15" w:type="dxa"/>
        </w:trPr>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1106ED12"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Серп и молот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51C17400"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68,1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058C0124"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63,6 </w:t>
            </w:r>
          </w:p>
        </w:tc>
      </w:tr>
      <w:tr w:rsidR="001002C3" w:rsidRPr="005E779E" w14:paraId="5F1558EE" w14:textId="77777777">
        <w:trPr>
          <w:tblCellSpacing w:w="15" w:type="dxa"/>
        </w:trPr>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15A9C8E0"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Металлист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2D8BF1B9"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67,7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6CC51075"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61,5 </w:t>
            </w:r>
          </w:p>
        </w:tc>
      </w:tr>
      <w:tr w:rsidR="001002C3" w:rsidRPr="005E779E" w14:paraId="5B0DB3FB" w14:textId="77777777">
        <w:trPr>
          <w:tblCellSpacing w:w="15" w:type="dxa"/>
        </w:trPr>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51018930"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Электрозавод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42F8D167"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40,0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5E862386"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46,0 </w:t>
            </w:r>
          </w:p>
        </w:tc>
      </w:tr>
      <w:tr w:rsidR="001002C3" w:rsidRPr="005E779E" w14:paraId="5E73517F" w14:textId="77777777">
        <w:trPr>
          <w:tblCellSpacing w:w="15" w:type="dxa"/>
        </w:trPr>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37BE7807"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Завод им. Сталина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210F8833"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сведений нет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6BE8D654"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49,0 </w:t>
            </w:r>
          </w:p>
        </w:tc>
      </w:tr>
    </w:tbl>
    <w:p w14:paraId="090A4E15"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Что касается внедрения технормирования в различные работы, то по отдельным заводам мы имеем следующие цифры: на Люберецком заводе только 40% сдельщины имеют действительно технические нормы, завод «Красная звезда» — 37,6 и т.д. В угольной промышленности и до сих пор часто применяются опытностатистические нормы, в результате чего в отдельных случаях проявляется «боязнь рабочего увеличивать производительность труда, чтобы не снизить расценки» (заявление бригады шахты 12/68 «Буденовка»). </w:t>
      </w:r>
    </w:p>
    <w:p w14:paraId="6B62200B"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На водном транспорте техническое нормирование носит формальный характер. Для всех затонов Волжского госпароходства разработаны единые нормы, которые проводятся на местах без всякого учета условий и технических особенностей каждого затона. </w:t>
      </w:r>
    </w:p>
    <w:p w14:paraId="2E742A7A"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На железнодорожном транспорте техническое нормирование находится в зачаточном состоянии. По 36 депо технормированием охвачено всего лишь 2,3% номенклатурных работ. По 25 заводам бывших ВОРЗ из общего количества работ охвачено нормированием 2,5 — 3%. </w:t>
      </w:r>
    </w:p>
    <w:p w14:paraId="398E5420"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Очень слабо внедряется технормирование в легкую индустрию, за исключением текстильной промышленности, где в связи с переходом на функциональную систему технормирование значительно шагнуло вперед (около.%) </w:t>
      </w:r>
      <w:bookmarkStart w:id="48" w:name="_ednref2"/>
      <w:r w:rsidR="00BE7680" w:rsidRPr="005E779E">
        <w:rPr>
          <w:rFonts w:ascii="Times New Roman" w:hAnsi="Times New Roman"/>
          <w:color w:val="000000" w:themeColor="text1"/>
          <w:sz w:val="16"/>
          <w:szCs w:val="16"/>
        </w:rPr>
        <w:fldChar w:fldCharType="begin"/>
      </w:r>
      <w:r w:rsidRPr="005E779E">
        <w:rPr>
          <w:rFonts w:ascii="Times New Roman" w:hAnsi="Times New Roman"/>
          <w:color w:val="000000" w:themeColor="text1"/>
          <w:sz w:val="16"/>
          <w:szCs w:val="16"/>
        </w:rPr>
        <w:instrText xml:space="preserve"> HYPERLINK "http://www.great-country.ru/content/sssr_stat/ind_1929-1932/ind_1929-1932-016.php" \l "_edn2" \o "" </w:instrText>
      </w:r>
      <w:r w:rsidR="00BE7680" w:rsidRPr="005E779E">
        <w:rPr>
          <w:rFonts w:ascii="Times New Roman" w:hAnsi="Times New Roman"/>
          <w:color w:val="000000" w:themeColor="text1"/>
          <w:sz w:val="16"/>
          <w:szCs w:val="16"/>
        </w:rPr>
      </w:r>
      <w:r w:rsidR="00BE7680" w:rsidRPr="005E779E">
        <w:rPr>
          <w:rFonts w:ascii="Times New Roman" w:hAnsi="Times New Roman"/>
          <w:color w:val="000000" w:themeColor="text1"/>
          <w:sz w:val="16"/>
          <w:szCs w:val="16"/>
        </w:rPr>
        <w:fldChar w:fldCharType="separate"/>
      </w:r>
      <w:r w:rsidRPr="005E779E">
        <w:rPr>
          <w:rStyle w:val="a5"/>
          <w:rFonts w:ascii="Times New Roman" w:hAnsi="Times New Roman"/>
          <w:color w:val="000000" w:themeColor="text1"/>
          <w:sz w:val="16"/>
          <w:szCs w:val="16"/>
        </w:rPr>
        <w:t>[2]</w:t>
      </w:r>
      <w:r w:rsidR="00BE7680" w:rsidRPr="005E779E">
        <w:rPr>
          <w:rFonts w:ascii="Times New Roman" w:hAnsi="Times New Roman"/>
          <w:color w:val="000000" w:themeColor="text1"/>
          <w:sz w:val="16"/>
          <w:szCs w:val="16"/>
        </w:rPr>
        <w:fldChar w:fldCharType="end"/>
      </w:r>
      <w:bookmarkEnd w:id="48"/>
      <w:r w:rsidRPr="005E779E">
        <w:rPr>
          <w:rFonts w:ascii="Times New Roman" w:hAnsi="Times New Roman"/>
          <w:color w:val="000000" w:themeColor="text1"/>
          <w:sz w:val="16"/>
          <w:szCs w:val="16"/>
        </w:rPr>
        <w:t xml:space="preserve">. Вследствие слабого внедрения технормированйя в ряде отраслей промышленности имеет место неполное использование оборудования, неправильное использование рабочей силы и т.д. По металлопромышленности коэффициент использования станков часто не превышает 50% (Ижорский завод, «АМО», завод Союзсельмаш и др.). По строительной промышленности коэффициент использования стройматериалов по всем трестам Союзстроя, наряду с большими достижениями (Магнитострой), на отдельных участках все еще низок; например: по бетономешалкам — 18%, гравиемойкам— 26,6%, камнедробилкам — 36% и т.д. По Мосуглю загрузка забойщиков производственной работой составляла 2— 3 часа в смену. </w:t>
      </w:r>
    </w:p>
    <w:p w14:paraId="243E263E"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Существующие на предприятиях кадры по технормированию слабы по качеству и недостаточны по количеству. Всего только около 20% из общего количества работников по технормированию имеют теоретическую подготовку в этой области. Основная масса нормировщиков — мало подготовленные работники, практиканты или выдвиженцы, с которыми, как правило, никакой работы по повышению квалификации не ведется. </w:t>
      </w:r>
    </w:p>
    <w:p w14:paraId="7F4DF176"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целях постановки правильной организации труда, усиления технормированйя, правильного использования рабочей силы, организации основных производственных процессов Наркомтруд СССР провел опытную работу, с привлечением инженерно-технических сил, на пяти предприятиях (Электрозавод, Трехгорная мануфактура, завод им. Сталина, «Красный профинтерн») </w:t>
      </w:r>
      <w:bookmarkStart w:id="49" w:name="_ednref3"/>
      <w:r w:rsidR="00BE7680" w:rsidRPr="005E779E">
        <w:rPr>
          <w:rFonts w:ascii="Times New Roman" w:hAnsi="Times New Roman"/>
          <w:color w:val="000000" w:themeColor="text1"/>
          <w:sz w:val="16"/>
          <w:szCs w:val="16"/>
        </w:rPr>
        <w:fldChar w:fldCharType="begin"/>
      </w:r>
      <w:r w:rsidRPr="005E779E">
        <w:rPr>
          <w:rFonts w:ascii="Times New Roman" w:hAnsi="Times New Roman"/>
          <w:color w:val="000000" w:themeColor="text1"/>
          <w:sz w:val="16"/>
          <w:szCs w:val="16"/>
        </w:rPr>
        <w:instrText xml:space="preserve"> HYPERLINK "http://www.great-country.ru/content/sssr_stat/ind_1929-1932/ind_1929-1932-016.php" \l "_edn3" \o "" </w:instrText>
      </w:r>
      <w:r w:rsidR="00BE7680" w:rsidRPr="005E779E">
        <w:rPr>
          <w:rFonts w:ascii="Times New Roman" w:hAnsi="Times New Roman"/>
          <w:color w:val="000000" w:themeColor="text1"/>
          <w:sz w:val="16"/>
          <w:szCs w:val="16"/>
        </w:rPr>
      </w:r>
      <w:r w:rsidR="00BE7680" w:rsidRPr="005E779E">
        <w:rPr>
          <w:rFonts w:ascii="Times New Roman" w:hAnsi="Times New Roman"/>
          <w:color w:val="000000" w:themeColor="text1"/>
          <w:sz w:val="16"/>
          <w:szCs w:val="16"/>
        </w:rPr>
        <w:fldChar w:fldCharType="separate"/>
      </w:r>
      <w:r w:rsidRPr="005E779E">
        <w:rPr>
          <w:rStyle w:val="a5"/>
          <w:rFonts w:ascii="Times New Roman" w:hAnsi="Times New Roman"/>
          <w:color w:val="000000" w:themeColor="text1"/>
          <w:sz w:val="16"/>
          <w:szCs w:val="16"/>
        </w:rPr>
        <w:t>[3]</w:t>
      </w:r>
      <w:r w:rsidR="00BE7680" w:rsidRPr="005E779E">
        <w:rPr>
          <w:rFonts w:ascii="Times New Roman" w:hAnsi="Times New Roman"/>
          <w:color w:val="000000" w:themeColor="text1"/>
          <w:sz w:val="16"/>
          <w:szCs w:val="16"/>
        </w:rPr>
        <w:fldChar w:fldCharType="end"/>
      </w:r>
      <w:bookmarkEnd w:id="49"/>
      <w:r w:rsidRPr="005E779E">
        <w:rPr>
          <w:rFonts w:ascii="Times New Roman" w:hAnsi="Times New Roman"/>
          <w:color w:val="000000" w:themeColor="text1"/>
          <w:sz w:val="16"/>
          <w:szCs w:val="16"/>
        </w:rPr>
        <w:t xml:space="preserve">. В результате этой работы мы имеем значительные положительные результаты. </w:t>
      </w:r>
    </w:p>
    <w:p w14:paraId="6C352D02"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Для опытной работы на Электрозаводе был выделен механический цех транспортного отдела как типичный для большого круга предприятий с серийным производством и, кроме того, как цех, оборудованный самыми различными типами станков. В этом цехе проведена паспортизация оборудования и составлена техническая характеристика цеха; разработана полностью для группы револьверных станков программа организации труда по методам ЦИТа; применительно к новой организации труда разработаны инструктивные карты организации труда по каждому рабочему месту и разработано прикрепление деталей к станкам, а также соответствующее оборудование (приспособления, инструментарий и этажерки по единому стандарту); ликвидирована обезличка на станках и рабочие бригады переведены на постоянный график (4-кадровый); в ближайшее время по окончании исследовательских работ, ведущихся в цехе, будет приступлено к переводу на инструктаж револьверных и болторезных станков; основные работы цеха в настоящее время охвачены нормированием и процент сдельщины достиг 75 вместо 40. Производительность на одного работающего в месяц равна в рублях 2379 вместо 1690. Переработка норм в среднем составляет 20%. Зарплата рабочих (средняя по цеху) выросла до 107 руб. вместо 80 руб. </w:t>
      </w:r>
    </w:p>
    <w:p w14:paraId="4F0C8A5B"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На Трехгорной мануфактуре группа Наркомтруда СССР совместно с тарифно-нормировочным бюро фабрики занялись вопросом организации труда в банкаброшном цехе. Было отобрано 12 машин со следующими заправками: тонкие банкаброши — 4 машины, заправленные ровницей № 6 1-го сорта; джеки — 6 машин, заправленные ровницей № 2 1-го сорта; перегонные банкаброши — 2 машины, заправленные ровницей № 2 1-го сорта. Такой ассортимент машин, хотя и сильно усложнил работу, но является характерным для фабрики и может быть изменен только перестановкой машин. </w:t>
      </w:r>
    </w:p>
    <w:p w14:paraId="2F249CCD"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Было произведено обследование состояния оборудования и обрывности. Значительная часть обрывов (до 35%) была из-за грязи на машинах и небрежности работниц. </w:t>
      </w:r>
    </w:p>
    <w:p w14:paraId="2AA032D9"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На основании наблюдений были проведены расчеты и поставлен опыт. </w:t>
      </w:r>
    </w:p>
    <w:p w14:paraId="5ECB8885"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 xml:space="preserve">Отличие нового варианта, разработанного группой Наркомтруда, от варианта, проводимого ЦИТом, заключается в следующем: по варианту ЦИТа присучалка ликвидирует обрывы и выставляет ставку спереди машин. </w:t>
      </w:r>
    </w:p>
    <w:p w14:paraId="4141406A"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При таком характере работ присучалка имеет сторожевые функции и заходит в простенок между машинами по мере необходимости ликвидировать обрыв или сменить катушку. </w:t>
      </w:r>
    </w:p>
    <w:p w14:paraId="7F510423"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По варианту группы Наркомтруда присучалка только ликвидирует обрывы и, таким образом, смешения функций нет. По варианту ЦИТа ставилыцица обслуживает машины только сзади. По варианту группы Наркомтруда ставилыцица обслуживает машину целиком, что связано с изменением функций присучалки. Это перераспределение функций вносит большую четкость в работу функционеров и делает ее более организованной. Экономия в штате получается согласно приводимой таблице [1]. </w:t>
      </w:r>
    </w:p>
    <w:p w14:paraId="6218A68D"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[ТАБЛИЦА 1] </w:t>
      </w:r>
    </w:p>
    <w:tbl>
      <w:tblPr>
        <w:tblW w:w="0" w:type="auto"/>
        <w:tblCellSpacing w:w="15"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2558"/>
        <w:gridCol w:w="1028"/>
        <w:gridCol w:w="1199"/>
        <w:gridCol w:w="512"/>
        <w:gridCol w:w="2399"/>
      </w:tblGrid>
      <w:tr w:rsidR="001002C3" w:rsidRPr="005E779E" w14:paraId="461F1D86" w14:textId="77777777">
        <w:trPr>
          <w:tblCellSpacing w:w="15" w:type="dxa"/>
        </w:trPr>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66BA6888"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Варианты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1849062C"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Ставильшица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447E7484"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Присучалыцица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4248BE13"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Итого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7BB0BBBC"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Число машин иа одного человека </w:t>
            </w:r>
          </w:p>
        </w:tc>
      </w:tr>
      <w:tr w:rsidR="001002C3" w:rsidRPr="005E779E" w14:paraId="22694DF2" w14:textId="77777777">
        <w:trPr>
          <w:tblCellSpacing w:w="15" w:type="dxa"/>
        </w:trPr>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32BC6BD5"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Вариант, поставленный ЦИТом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01818F2B"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0,1250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625E0E5B"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0,250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4D599991"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0,375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0165332F"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2,67 </w:t>
            </w:r>
          </w:p>
        </w:tc>
      </w:tr>
      <w:tr w:rsidR="001002C3" w:rsidRPr="005E779E" w14:paraId="2309BF8F" w14:textId="77777777">
        <w:trPr>
          <w:tblCellSpacing w:w="15" w:type="dxa"/>
        </w:trPr>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3CDFF569"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Те же машины по варианту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76D6A0D5"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0,125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22E51240"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0,167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48F9F94A"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0,292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38DD7622"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3,42 </w:t>
            </w:r>
          </w:p>
        </w:tc>
      </w:tr>
      <w:tr w:rsidR="001002C3" w:rsidRPr="005E779E" w14:paraId="0A668ABF" w14:textId="77777777">
        <w:trPr>
          <w:tblCellSpacing w:w="15" w:type="dxa"/>
        </w:trPr>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4806962F"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Те же машины при улучшенном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3FBC5C9F"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0,125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383A078B"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0,125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254039C9"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0,250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2BF5A924"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4,00 </w:t>
            </w:r>
          </w:p>
        </w:tc>
      </w:tr>
      <w:tr w:rsidR="001002C3" w:rsidRPr="005E779E" w14:paraId="76E2C64B" w14:textId="77777777">
        <w:trPr>
          <w:tblCellSpacing w:w="15" w:type="dxa"/>
        </w:trPr>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1AE56B80"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По варианту ЦИТа при правильном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6E59C41F"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0,083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04C5C310"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0,250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31D90292"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0,333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6D4478FF"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3,00 </w:t>
            </w:r>
          </w:p>
        </w:tc>
      </w:tr>
      <w:tr w:rsidR="001002C3" w:rsidRPr="005E779E" w14:paraId="5CD0C41C" w14:textId="77777777">
        <w:trPr>
          <w:tblCellSpacing w:w="15" w:type="dxa"/>
        </w:trPr>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74DE2E98"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По варианту Наркомтруда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0AAE6719"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0,111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5FB5D085"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0,125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5D0D5F1F"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0,236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65071C2D"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4,24 </w:t>
            </w:r>
          </w:p>
        </w:tc>
      </w:tr>
      <w:tr w:rsidR="001002C3" w:rsidRPr="005E779E" w14:paraId="0D7870DB" w14:textId="77777777">
        <w:trPr>
          <w:tblCellSpacing w:w="15" w:type="dxa"/>
        </w:trPr>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5000573D"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При бригадной ставке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381F9CAC"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0,080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2FCA4056"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0,125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7D12F283"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0,205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5AEE9289"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4,88 </w:t>
            </w:r>
          </w:p>
        </w:tc>
      </w:tr>
    </w:tbl>
    <w:p w14:paraId="608E484A"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Для каждой работницы были разработаны инструкции с указанием: что делать, как делать, за чем следить, за что работница отвечает, режим обслуживания. После произведенного фабрикой исправления машин обрывность уменьшилась на 16%. </w:t>
      </w:r>
    </w:p>
    <w:p w14:paraId="4D782AB4"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На заводе им. Сталина проведена работа по переводу рабочих лопаточной мастерской турбинного цеха на одновременную работу на двух станках, что дало следующий эффект: производительность рабочих (выпуск на одного рабочего) достигает 185—190%; зарплата переведенных рабочих выросла на 14%; перевод охватил 25 горизонтально-фрезерных станков, где освобождено и переброшено на другие работы вследствие перевода 37 рабочих; перевод сопровождался без каких бы то ни было затрат; стоимость обработки в части заработной платы вследствие перевода снижена на 40%; качество обработки от перевода не пострадало; процент брака не увеличился. </w:t>
      </w:r>
    </w:p>
    <w:p w14:paraId="160B23D8"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Такая же работа проведена и на других предприятиях. Основной недостаток состоит в том, что органы труда осуществляли слабый нажим на хозорганы по перенесению опыта этой работы. </w:t>
      </w:r>
    </w:p>
    <w:p w14:paraId="446AD0E3"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Действовавшие до настоящего времени тарифные сетки и тарифные справочники по каждой отрасли промышленности, транспорту и строительству представляли собою культивирование мелкобуржуазной уравниловки и тормозили стимулирование заинтересованности в поднятии квалификации рабочих. </w:t>
      </w:r>
      <w:r w:rsidRPr="005E779E">
        <w:rPr>
          <w:rFonts w:ascii="Times New Roman" w:hAnsi="Times New Roman"/>
          <w:color w:val="000000" w:themeColor="text1"/>
          <w:sz w:val="16"/>
          <w:szCs w:val="16"/>
        </w:rPr>
        <w:br/>
        <w:t xml:space="preserve">Соотношения в этих сетках были установлены следующие: у металлистов — 1:2,8; у химиков (основная химия) — 1:2,8; у строителей (огнеупорное, керамическое, гончарное [производство]) — 1:2,6; у деревообделочников, кожевников и бумажников — 1:3; у полиграфистов — 1:2,9; текстильщиков — 1:3,5; железнодорожников — 1:4. </w:t>
      </w:r>
    </w:p>
    <w:p w14:paraId="50DC6FE0"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Соотношения между разрядами были построены на принципах затухающей кривой от низшего к высшему разряду. Например, сетка металлистов имела следующие межразрядные соотношения [табл. 2]. </w:t>
      </w:r>
    </w:p>
    <w:p w14:paraId="33BCD54B"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[ТАБЛИЦА 2] </w:t>
      </w:r>
    </w:p>
    <w:tbl>
      <w:tblPr>
        <w:tblW w:w="0" w:type="auto"/>
        <w:tblCellSpacing w:w="15"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2096"/>
        <w:gridCol w:w="180"/>
        <w:gridCol w:w="380"/>
        <w:gridCol w:w="380"/>
        <w:gridCol w:w="380"/>
        <w:gridCol w:w="380"/>
        <w:gridCol w:w="380"/>
        <w:gridCol w:w="380"/>
        <w:gridCol w:w="395"/>
      </w:tblGrid>
      <w:tr w:rsidR="001002C3" w:rsidRPr="005E779E" w14:paraId="6F2F075D" w14:textId="77777777">
        <w:trPr>
          <w:tblCellSpacing w:w="15" w:type="dxa"/>
        </w:trPr>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6E4F6DD1"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Разряды: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7834E761"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1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209D6934"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2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51D9B832"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3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287C3ADF"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4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40EB3548"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5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1A67F4CF"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6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21276106"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7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7EC1E304"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8 </w:t>
            </w:r>
          </w:p>
        </w:tc>
      </w:tr>
      <w:tr w:rsidR="001002C3" w:rsidRPr="005E779E" w14:paraId="2BA31671" w14:textId="77777777">
        <w:trPr>
          <w:tblCellSpacing w:w="15" w:type="dxa"/>
        </w:trPr>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7A3A5ED0"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Внутренние соотношения, %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2C543E49"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0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36E63F93"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20,0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3A21C810"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20,8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3D04E99A"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17,2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00827FFB"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14,7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29747B27"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12,8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74A55F22"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13,6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073F8A23"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12,0 </w:t>
            </w:r>
          </w:p>
        </w:tc>
      </w:tr>
    </w:tbl>
    <w:p w14:paraId="2AA0A998" w14:textId="77777777" w:rsidR="00A9405B"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Эти соотношения не стимулировали повышения квалификации рабочего, так как разрывы между высшей и низшей квалификацией настолько незначительны, что рабочий материально не заинтересован в повышении квалификации.</w:t>
      </w:r>
    </w:p>
    <w:p w14:paraId="7096FD10"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практике были нередки случаи, когда высококвалифицированный рабочий зарабатывал менее невысококвалифицированного рабочего. Кроме того, имел место большой разрыв в оплате труда однородных профессий. До текущего года основной системой оплаты труда во всех отраслях промышленности была повременная оплата. Поощрительные системы оплаты труда (сдельщина и премирование) применялись слабо, причем эти системы были построены таким образом, что не стимулировали повышения производительности труда и вносили обезличку и уравниловку в заработную плату. Сдельщина, например, применялась главным образом коллективная, при которой заработок делился тремя способами: поровну между всеми членами коллектива независимо от коллективизации и производительности труда каждого из них; основная зарплата распределялась в соответствии с разрядом рабочего, а приработок — поровну; и весь заработок и приработок распределялся в соответствии с разрядом рабочего.</w:t>
      </w:r>
    </w:p>
    <w:p w14:paraId="6B774EA3"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Имелось много различных форм премирования, но большинство из них по существу не было связано с результатами работы.</w:t>
      </w:r>
    </w:p>
    <w:p w14:paraId="5B10BEEC"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При заключении коллективных договоров ставки первого разряда устанавливались, как правило, для сдельщиков и повременщиков одинаковые, и только так называемый расчетный процент приработка для повременщиков устанавливался в несколько меньшем размере, но это понижение в большинстве случаев было настолько незначительно, что не создавало для рабочего заинтересованности для перехода на сдельщину. Нередки случаи, когда повременщик зарабатывал больше сдельщика такой же квалификации или же лишь на несколько копеек меньше сдельщика. Для характеристики этого положения приводим следующие примеры [табл. 3]. </w:t>
      </w:r>
    </w:p>
    <w:p w14:paraId="2C793961"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[ТАБЛИЦА 3] </w:t>
      </w:r>
    </w:p>
    <w:tbl>
      <w:tblPr>
        <w:tblW w:w="0" w:type="auto"/>
        <w:tblCellSpacing w:w="15"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3761"/>
        <w:gridCol w:w="763"/>
        <w:gridCol w:w="1052"/>
      </w:tblGrid>
      <w:tr w:rsidR="001002C3" w:rsidRPr="005E779E" w14:paraId="581DBC1D" w14:textId="77777777">
        <w:trPr>
          <w:tblCellSpacing w:w="15" w:type="dxa"/>
        </w:trPr>
        <w:tc>
          <w:tcPr>
            <w:tcW w:w="0" w:type="auto"/>
            <w:vMerge w:val="restart"/>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419B0951"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Завод и профессия </w:t>
            </w:r>
          </w:p>
        </w:tc>
        <w:tc>
          <w:tcPr>
            <w:tcW w:w="0" w:type="auto"/>
            <w:gridSpan w:val="2"/>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73C14269"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Заработок в день, руб. </w:t>
            </w:r>
          </w:p>
        </w:tc>
      </w:tr>
      <w:tr w:rsidR="001002C3" w:rsidRPr="005E779E" w14:paraId="52F4C3C5" w14:textId="77777777">
        <w:trPr>
          <w:tblCellSpacing w:w="15"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07C69C0D" w14:textId="77777777" w:rsidR="0097726A" w:rsidRPr="005E779E" w:rsidRDefault="0097726A" w:rsidP="000B7A6C">
            <w:pPr>
              <w:spacing w:after="0" w:line="240" w:lineRule="auto"/>
              <w:jc w:val="both"/>
              <w:rPr>
                <w:rFonts w:ascii="Times New Roman" w:hAnsi="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695D4755"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сдельщик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3A8672F4"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повременщик </w:t>
            </w:r>
          </w:p>
        </w:tc>
      </w:tr>
      <w:tr w:rsidR="001002C3" w:rsidRPr="005E779E" w14:paraId="185CF2D5" w14:textId="77777777">
        <w:trPr>
          <w:tblCellSpacing w:w="15" w:type="dxa"/>
        </w:trPr>
        <w:tc>
          <w:tcPr>
            <w:tcW w:w="0" w:type="auto"/>
            <w:gridSpan w:val="3"/>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13074133"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Мытищинский завод</w:t>
            </w:r>
          </w:p>
        </w:tc>
      </w:tr>
      <w:tr w:rsidR="001002C3" w:rsidRPr="005E779E" w14:paraId="633355D0" w14:textId="77777777">
        <w:trPr>
          <w:tblCellSpacing w:w="15" w:type="dxa"/>
        </w:trPr>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40DC9CC9"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Слесари-сборщики 4-го разряда всех специальностей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6A77A8D4"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6,48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0B94B6BE"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6,75 </w:t>
            </w:r>
          </w:p>
        </w:tc>
      </w:tr>
      <w:tr w:rsidR="001002C3" w:rsidRPr="005E779E" w14:paraId="390CA9EB" w14:textId="77777777">
        <w:trPr>
          <w:tblCellSpacing w:w="15" w:type="dxa"/>
        </w:trPr>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436FEEA5"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Слесари-сборщики 5-го разряда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382300DD"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5,03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31E4FEB8"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5,81 </w:t>
            </w:r>
          </w:p>
        </w:tc>
      </w:tr>
      <w:tr w:rsidR="001002C3" w:rsidRPr="005E779E" w14:paraId="5D742A65" w14:textId="77777777">
        <w:trPr>
          <w:tblCellSpacing w:w="15" w:type="dxa"/>
        </w:trPr>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35DF6461"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Токари 5-го разряда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561AA611"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6,44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5761C94B"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7,43 </w:t>
            </w:r>
          </w:p>
        </w:tc>
      </w:tr>
      <w:tr w:rsidR="001002C3" w:rsidRPr="005E779E" w14:paraId="17ADD944" w14:textId="77777777">
        <w:trPr>
          <w:tblCellSpacing w:w="15" w:type="dxa"/>
        </w:trPr>
        <w:tc>
          <w:tcPr>
            <w:tcW w:w="0" w:type="auto"/>
            <w:gridSpan w:val="3"/>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4C8B50F6"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Харьковский завод</w:t>
            </w:r>
          </w:p>
        </w:tc>
      </w:tr>
      <w:tr w:rsidR="001002C3" w:rsidRPr="005E779E" w14:paraId="16E503E6" w14:textId="77777777">
        <w:trPr>
          <w:tblCellSpacing w:w="15" w:type="dxa"/>
        </w:trPr>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0374CEC3"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Разливальщики литейной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332CC623"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3,64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57BA0880"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4,60 </w:t>
            </w:r>
          </w:p>
        </w:tc>
      </w:tr>
      <w:tr w:rsidR="001002C3" w:rsidRPr="005E779E" w14:paraId="0E50D9C7" w14:textId="77777777">
        <w:trPr>
          <w:tblCellSpacing w:w="15" w:type="dxa"/>
        </w:trPr>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6AD34985"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Токари 3-го разряда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46B871A5"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4,11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2CECAA5F"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4,22 </w:t>
            </w:r>
          </w:p>
        </w:tc>
      </w:tr>
      <w:tr w:rsidR="001002C3" w:rsidRPr="005E779E" w14:paraId="1F68B976" w14:textId="77777777">
        <w:trPr>
          <w:tblCellSpacing w:w="15" w:type="dxa"/>
        </w:trPr>
        <w:tc>
          <w:tcPr>
            <w:tcW w:w="0" w:type="auto"/>
            <w:gridSpan w:val="3"/>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4EBF63E9"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Усть-Катавский завод Уральской области</w:t>
            </w:r>
          </w:p>
        </w:tc>
      </w:tr>
      <w:tr w:rsidR="001002C3" w:rsidRPr="005E779E" w14:paraId="02CD8C0C" w14:textId="77777777">
        <w:trPr>
          <w:tblCellSpacing w:w="15" w:type="dxa"/>
        </w:trPr>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0F9FB937"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Модельщики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7D91222F"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3,76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43D94F8C"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4,86 </w:t>
            </w:r>
          </w:p>
        </w:tc>
      </w:tr>
      <w:tr w:rsidR="001002C3" w:rsidRPr="005E779E" w14:paraId="377C609C" w14:textId="77777777">
        <w:trPr>
          <w:tblCellSpacing w:w="15" w:type="dxa"/>
        </w:trPr>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22826833"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Формовщики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7FE43D13"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3,51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7207FCDB"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3,85 </w:t>
            </w:r>
          </w:p>
        </w:tc>
      </w:tr>
      <w:tr w:rsidR="001002C3" w:rsidRPr="005E779E" w14:paraId="57A2981F" w14:textId="77777777">
        <w:trPr>
          <w:tblCellSpacing w:w="15" w:type="dxa"/>
        </w:trPr>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39930EAC"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Разливальщики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59A6B9B2"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3,72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6C2EBA01"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3,53 </w:t>
            </w:r>
          </w:p>
        </w:tc>
      </w:tr>
      <w:tr w:rsidR="001002C3" w:rsidRPr="005E779E" w14:paraId="679BADB4" w14:textId="77777777">
        <w:trPr>
          <w:tblCellSpacing w:w="15" w:type="dxa"/>
        </w:trPr>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13B2BC80"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Слесари-лекальщики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4AF628CE"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3,18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60884A6A"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3,29 </w:t>
            </w:r>
          </w:p>
        </w:tc>
      </w:tr>
      <w:tr w:rsidR="001002C3" w:rsidRPr="005E779E" w14:paraId="7182DB00" w14:textId="77777777">
        <w:trPr>
          <w:tblCellSpacing w:w="15" w:type="dxa"/>
        </w:trPr>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5A63D37E"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Слесари-сборщикн 5-го разряда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42B56157"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3,63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436414E8"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4,74 </w:t>
            </w:r>
          </w:p>
        </w:tc>
      </w:tr>
      <w:tr w:rsidR="001002C3" w:rsidRPr="005E779E" w14:paraId="7A88AEAC" w14:textId="77777777">
        <w:trPr>
          <w:tblCellSpacing w:w="15" w:type="dxa"/>
        </w:trPr>
        <w:tc>
          <w:tcPr>
            <w:tcW w:w="0" w:type="auto"/>
            <w:gridSpan w:val="3"/>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44187D38"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Сормовский завод</w:t>
            </w:r>
          </w:p>
        </w:tc>
      </w:tr>
      <w:tr w:rsidR="001002C3" w:rsidRPr="005E779E" w14:paraId="7DE9A9BF" w14:textId="77777777">
        <w:trPr>
          <w:tblCellSpacing w:w="15" w:type="dxa"/>
        </w:trPr>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68A1FAD0"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Слесари всех специальностей 7-го разряда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291FE0FE"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4,73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47074B89"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5,30 </w:t>
            </w:r>
          </w:p>
        </w:tc>
      </w:tr>
      <w:tr w:rsidR="001002C3" w:rsidRPr="005E779E" w14:paraId="15D5D514" w14:textId="77777777">
        <w:trPr>
          <w:tblCellSpacing w:w="15" w:type="dxa"/>
        </w:trPr>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08220292"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Токари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1BC94A06"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3,89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14297763"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5,55 </w:t>
            </w:r>
          </w:p>
        </w:tc>
      </w:tr>
      <w:tr w:rsidR="001002C3" w:rsidRPr="005E779E" w14:paraId="33120A53" w14:textId="77777777">
        <w:trPr>
          <w:tblCellSpacing w:w="15" w:type="dxa"/>
        </w:trPr>
        <w:tc>
          <w:tcPr>
            <w:tcW w:w="0" w:type="auto"/>
            <w:gridSpan w:val="3"/>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475C1803"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lastRenderedPageBreak/>
              <w:t>Первомайский завод</w:t>
            </w:r>
          </w:p>
        </w:tc>
      </w:tr>
      <w:tr w:rsidR="001002C3" w:rsidRPr="005E779E" w14:paraId="5402A992" w14:textId="77777777">
        <w:trPr>
          <w:tblCellSpacing w:w="15" w:type="dxa"/>
        </w:trPr>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5622E6D2"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Модельщики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13FDE9DF"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4,61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0F01D2DA"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5,81 </w:t>
            </w:r>
          </w:p>
        </w:tc>
      </w:tr>
      <w:tr w:rsidR="001002C3" w:rsidRPr="005E779E" w14:paraId="23674F8D" w14:textId="77777777">
        <w:trPr>
          <w:tblCellSpacing w:w="15" w:type="dxa"/>
        </w:trPr>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05301E9C"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Слесари всех специальностей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2212EE9C"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3,81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4B58A964"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3,88 </w:t>
            </w:r>
          </w:p>
        </w:tc>
      </w:tr>
    </w:tbl>
    <w:p w14:paraId="4D638F1E"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Уравниловка в оплате труда квалифицированных и неквалифицированных рабочих подтверждается следующими фактами. </w:t>
      </w:r>
    </w:p>
    <w:p w14:paraId="7F7642E4"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На Енакиевском металлургическом заводе на июнь месяц с.г. горновой 3-го разряда заработал 156 руб., а чугунщик 3-го разряда — 215 руб., вальцовщик на блюминге заработал 173 руб., а каталь кокса—160 руб. На заводе им. Войтовича заработок слесарей в апреле месяце был следующий: у слесарей 3-го разряда — 180 руб., у слесарей 4-го разряда — 209 руб., у слесарей 5-го разряда — 187 руб. Часовой заработок кузнеца в сборном цехе— 1 руб. 11 коп., в кузнечном — 71,4 коп., долбежников в сборном цехе — 1 руб. 28 коп., в токарном — 88 коп., в кузнечном — 47,7 коп.; чернорабочих в сборном цехе — 70,8 коп., в трубном — 84,3 коп., арматурном — 67,1 коп. Такая политика в заработной плате не соответствовала производственным заданиям в реконструктивный период. Уравниловка в оплате труда и текучесть квалифицированной рабочей силы понижала производительность труда. </w:t>
      </w:r>
    </w:p>
    <w:p w14:paraId="76F13297"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Наркомтруд СССР в конце 1930 г. поставил перед директивными органами вопрос о коренном изменении действующего порядка регулирования заработной платы в плоскости установления прямой зависимости оплаты труда от результатов работы, от квалификации рабочих и от степени тяжести труда. Начавшаяся на основе указаний тов. Сталина перестройка зарплаты коснулась в первую очередь важнейших отраслей промышленности: металла, угля, коксохимической, железорудной и марганцевой промышленности, которым постановлением ВСНХ СССР и ВЦСПС предложено было уже с 1 октября с.г. ввести новые справочники-сетки, тарифные ставки, прогрессивную сдельщину, выделение ведущих профессий, премирование инженерно-технического персонала и т.д., причем значительно увеличен фонд зарплаты для этих отраслей. </w:t>
      </w:r>
    </w:p>
    <w:p w14:paraId="1E2EBE2C"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Предварительные итоги перестройки системы зарплаты позволяют сделать следующие выводы о результатах тарифной перестройки. </w:t>
      </w:r>
    </w:p>
    <w:p w14:paraId="02426672"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Добыча угля неуклонно растет. Растет, хотя и не такими темпами, выплавка металла. 29 октября металлургические заводы дали рекордную выплавку стали —9471 т, или 91% плана. С. ростом производительности труда значительно выросла и зарплата рабочих (например, дневной заработок старшего горнового на заводе им. Дзержинского вырос с 7 руб. 94 коп. в сентябре до 10 руб. 50 коп. в первой половине октября, а забойщика на шахте «Парижская коммуна» — с 6 руб. 91 коп. в день в первую декаду сентября до 10 руб. 50 коп. в первые дни октября). По большинству заводов Урала план выплавки чугуна в первые дни проведения тарифной реформы выполнен на 71% против 54,7% в предыдущие пятидневки. </w:t>
      </w:r>
    </w:p>
    <w:p w14:paraId="4860C954"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Нижнесалдинский завод выполнил за последнюю пятидневку сентября 90,7% против 41,2%. Домна №4 завода им. Сталина за сентябрь дала самую высокую выплавку, перевыполнив план на З%. Мартен № 5 завода им. Фрунзе, никогда не выполнявший заданий, 30 сентября досрочно закончил сентябрьскую программу на 100,2%, коксовый цех с 27 сентября по 1 октября ежедневно выполняет 102% плана, листокровельный стан 27 сентября выполняет задание на 107%, а 30-го — на 113%. Некоторые шахты Боковского и Хрустальского рудоуправлений в ответ на тарифную перестройку повысили добычу на 50 и более процентов. Шахта № 12 Боковского рудоуправления в результате проработки нового тарифного соглашения повысила добычу за 3 дня с 242 т до 447. </w:t>
      </w:r>
    </w:p>
    <w:p w14:paraId="441871E9"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По другим отраслям промышленности перестройка оплаты выражается главным образом в выделении оплаты ведущих профессий, расширении охвата поощрительными системами, внедрении прогрессивной сдельщины и прогрессивно-премиальных систем как за количество, так и за качество, в введении премирования инженерно-технического персонала, переводе на индивидуальную сдельщину и разукрупнении бригад коллективной сдельщины. Так, по Московской области из заводов общего машиностроения выделены ведущие профессии по 5 заводам, а удельный вес выделенных профессий составляет 10—12% от всего количества рабочих этих заводов. Охват сдельщиной на предприятиях в связи с проведением новых форм оплаты все увеличивается. Так, в августе по сравнению с началом года по Нижегородскому краю процент сдельщины увеличивается с 71% до 81,7%, по МСНХс 65% до 70%, по объединению РОМО — с 58% до 72%. Внедрение прогрессивной сдельщины началось преимущественно в июле — августе, и охват ею еще невелик. </w:t>
      </w:r>
    </w:p>
    <w:p w14:paraId="78D6D2AE"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На Ростсельмаше из общего количества сдельщиков около 10 тыс. на прогрессивную сдельщину переведено 4200 человек, т.е. 42% всего количества сдельщиков. </w:t>
      </w:r>
    </w:p>
    <w:p w14:paraId="645D51A6"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На Электростали переведено на прогрессивку около 17% от всего числа рабочих завода, по «Красному профинтерну» — около 15%. Результаты применения прогрессивной сдельщины, особенно там, где она сопровождалась премированием за улучшение качества, показывает большую ее эффективность. На Подольском механическом заводе в литейном цехе стоимость брака на тонну уменьшилась в результате введения прогрессивки с 24 руб. 17 коп. в феврале до 8 руб. 23 коп. в августе. На Климовском заводе среднемесячная выработка на одного рабочего в литейной увеличилась с 1226 т в июне до 1348 т в июле, т.е. на 9,9%. По заводу им. Сталина в Ленинграде по отдельным бригадам рост производительности составляет от 7% до 39%. По Лысьвенскому заводу рабочий прорезал до прогрессивки 170 колец, а после введения — 250. На Невьянском заводе рабочий нарезал до прогрессивки 10 кольцевых труб, после — 15. </w:t>
      </w:r>
    </w:p>
    <w:p w14:paraId="6B1231A2"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Наряду с огромными положительными результатами практика проведения прогрессивки имеет немало ошибок, искривлений и извращений директив партии, правительства и указаний тов. Сталина. </w:t>
      </w:r>
    </w:p>
    <w:p w14:paraId="3406F602"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Отдельные предприятия и объединения после издания ВСНХ и ВЦСПС постановления о зарплате в металлургической и угольной промышленности </w:t>
      </w:r>
      <w:bookmarkStart w:id="50" w:name="_ednref4"/>
      <w:r w:rsidR="00BE7680" w:rsidRPr="005E779E">
        <w:rPr>
          <w:rFonts w:ascii="Times New Roman" w:hAnsi="Times New Roman"/>
          <w:color w:val="000000" w:themeColor="text1"/>
          <w:sz w:val="16"/>
          <w:szCs w:val="16"/>
        </w:rPr>
        <w:fldChar w:fldCharType="begin"/>
      </w:r>
      <w:r w:rsidRPr="005E779E">
        <w:rPr>
          <w:rFonts w:ascii="Times New Roman" w:hAnsi="Times New Roman"/>
          <w:color w:val="000000" w:themeColor="text1"/>
          <w:sz w:val="16"/>
          <w:szCs w:val="16"/>
        </w:rPr>
        <w:instrText xml:space="preserve"> HYPERLINK "http://www.great-country.ru/content/sssr_stat/ind_1929-1932/ind_1929-1932-016.php" \l "_edn4" \o "" </w:instrText>
      </w:r>
      <w:r w:rsidR="00BE7680" w:rsidRPr="005E779E">
        <w:rPr>
          <w:rFonts w:ascii="Times New Roman" w:hAnsi="Times New Roman"/>
          <w:color w:val="000000" w:themeColor="text1"/>
          <w:sz w:val="16"/>
          <w:szCs w:val="16"/>
        </w:rPr>
      </w:r>
      <w:r w:rsidR="00BE7680" w:rsidRPr="005E779E">
        <w:rPr>
          <w:rFonts w:ascii="Times New Roman" w:hAnsi="Times New Roman"/>
          <w:color w:val="000000" w:themeColor="text1"/>
          <w:sz w:val="16"/>
          <w:szCs w:val="16"/>
        </w:rPr>
        <w:fldChar w:fldCharType="separate"/>
      </w:r>
      <w:r w:rsidRPr="005E779E">
        <w:rPr>
          <w:rStyle w:val="a5"/>
          <w:rFonts w:ascii="Times New Roman" w:hAnsi="Times New Roman"/>
          <w:color w:val="000000" w:themeColor="text1"/>
          <w:sz w:val="16"/>
          <w:szCs w:val="16"/>
        </w:rPr>
        <w:t>[4]</w:t>
      </w:r>
      <w:r w:rsidR="00BE7680" w:rsidRPr="005E779E">
        <w:rPr>
          <w:rFonts w:ascii="Times New Roman" w:hAnsi="Times New Roman"/>
          <w:color w:val="000000" w:themeColor="text1"/>
          <w:sz w:val="16"/>
          <w:szCs w:val="16"/>
        </w:rPr>
        <w:fldChar w:fldCharType="end"/>
      </w:r>
      <w:bookmarkEnd w:id="50"/>
      <w:r w:rsidRPr="005E779E">
        <w:rPr>
          <w:rFonts w:ascii="Times New Roman" w:hAnsi="Times New Roman"/>
          <w:color w:val="000000" w:themeColor="text1"/>
          <w:sz w:val="16"/>
          <w:szCs w:val="16"/>
        </w:rPr>
        <w:t xml:space="preserve"> начали»пересматривать установленные тарифы и подтягивать уровень зарплаты рабочим других отраслей народного хозяйства (Москва, Ленинград, Закавказье и др.). В результате имеет место перерасход фондов зарплаты. </w:t>
      </w:r>
    </w:p>
    <w:p w14:paraId="0A1882C5" w14:textId="77777777" w:rsidR="00A9405B"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Соотношение численности лиц наемного труда с средней зарплатой и установленными фондами характеризуется следующей таблицей. </w:t>
      </w:r>
      <w:bookmarkStart w:id="51" w:name="_ednref5"/>
      <w:r w:rsidR="00BE7680" w:rsidRPr="005E779E">
        <w:rPr>
          <w:rFonts w:ascii="Times New Roman" w:hAnsi="Times New Roman"/>
          <w:color w:val="000000" w:themeColor="text1"/>
          <w:sz w:val="16"/>
          <w:szCs w:val="16"/>
        </w:rPr>
        <w:fldChar w:fldCharType="begin"/>
      </w:r>
      <w:r w:rsidRPr="005E779E">
        <w:rPr>
          <w:rFonts w:ascii="Times New Roman" w:hAnsi="Times New Roman"/>
          <w:color w:val="000000" w:themeColor="text1"/>
          <w:sz w:val="16"/>
          <w:szCs w:val="16"/>
        </w:rPr>
        <w:instrText xml:space="preserve"> HYPERLINK "http://www.great-country.ru/content/sssr_stat/ind_1929-1932/ind_1929-1932-016.php" \l "_edn5" \o "" </w:instrText>
      </w:r>
      <w:r w:rsidR="00BE7680" w:rsidRPr="005E779E">
        <w:rPr>
          <w:rFonts w:ascii="Times New Roman" w:hAnsi="Times New Roman"/>
          <w:color w:val="000000" w:themeColor="text1"/>
          <w:sz w:val="16"/>
          <w:szCs w:val="16"/>
        </w:rPr>
      </w:r>
      <w:r w:rsidR="00BE7680" w:rsidRPr="005E779E">
        <w:rPr>
          <w:rFonts w:ascii="Times New Roman" w:hAnsi="Times New Roman"/>
          <w:color w:val="000000" w:themeColor="text1"/>
          <w:sz w:val="16"/>
          <w:szCs w:val="16"/>
        </w:rPr>
        <w:fldChar w:fldCharType="separate"/>
      </w:r>
      <w:r w:rsidRPr="005E779E">
        <w:rPr>
          <w:rStyle w:val="a5"/>
          <w:rFonts w:ascii="Times New Roman" w:hAnsi="Times New Roman"/>
          <w:color w:val="000000" w:themeColor="text1"/>
          <w:sz w:val="16"/>
          <w:szCs w:val="16"/>
        </w:rPr>
        <w:t>[5]</w:t>
      </w:r>
      <w:r w:rsidR="00BE7680" w:rsidRPr="005E779E">
        <w:rPr>
          <w:rFonts w:ascii="Times New Roman" w:hAnsi="Times New Roman"/>
          <w:color w:val="000000" w:themeColor="text1"/>
          <w:sz w:val="16"/>
          <w:szCs w:val="16"/>
        </w:rPr>
        <w:fldChar w:fldCharType="end"/>
      </w:r>
      <w:bookmarkEnd w:id="51"/>
    </w:p>
    <w:p w14:paraId="695D8373" w14:textId="77777777" w:rsidR="00A9405B"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Работа органов труда над вопросами непрерывной производственной недели и сменности с начала 1931 г. была в основном сосредоточена вокруг проблемы правильной организации труда при многосменном непрерывном производстве.</w:t>
      </w:r>
    </w:p>
    <w:p w14:paraId="4388C258" w14:textId="77777777" w:rsidR="00A9405B"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Необходимость особенно тщательного изучения вопросов непрерывной производственной недели определялась тем положением, которое сложилось в первом квартале 1931 г. С начала особого квартала 1930 г. число рабочих, переведенных на непрерывку, стало сокращаться.</w:t>
      </w:r>
    </w:p>
    <w:p w14:paraId="70949590"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Следующая таблица [4] характеризует это положение (в %): </w:t>
      </w:r>
    </w:p>
    <w:p w14:paraId="0F3AAF39"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[ТАБЛИЦА 4] </w:t>
      </w:r>
    </w:p>
    <w:tbl>
      <w:tblPr>
        <w:tblW w:w="0" w:type="auto"/>
        <w:tblCellSpacing w:w="15"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2446"/>
        <w:gridCol w:w="1377"/>
        <w:gridCol w:w="1330"/>
        <w:gridCol w:w="1451"/>
      </w:tblGrid>
      <w:tr w:rsidR="001002C3" w:rsidRPr="005E779E" w14:paraId="252A000A" w14:textId="77777777">
        <w:trPr>
          <w:tblCellSpacing w:w="15" w:type="dxa"/>
        </w:trPr>
        <w:tc>
          <w:tcPr>
            <w:tcW w:w="0" w:type="auto"/>
            <w:vMerge w:val="restart"/>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5960E590"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c>
          <w:tcPr>
            <w:tcW w:w="0" w:type="auto"/>
            <w:gridSpan w:val="3"/>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7553A691"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Переведенные на непрерывную производственную неделю </w:t>
            </w:r>
          </w:p>
        </w:tc>
      </w:tr>
      <w:tr w:rsidR="001002C3" w:rsidRPr="005E779E" w14:paraId="753769B6" w14:textId="77777777">
        <w:trPr>
          <w:tblCellSpacing w:w="15"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575040BF" w14:textId="77777777" w:rsidR="0097726A" w:rsidRPr="005E779E" w:rsidRDefault="0097726A" w:rsidP="000B7A6C">
            <w:pPr>
              <w:spacing w:after="0" w:line="240" w:lineRule="auto"/>
              <w:jc w:val="both"/>
              <w:rPr>
                <w:rFonts w:ascii="Times New Roman" w:hAnsi="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3CD0B34F"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на 1/Х 1930 г.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2D7BA1F6"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на 1/1 1931 г.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7B01200C"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на 1/III 1931 г. </w:t>
            </w:r>
          </w:p>
        </w:tc>
      </w:tr>
      <w:tr w:rsidR="001002C3" w:rsidRPr="005E779E" w14:paraId="3A046F72" w14:textId="77777777">
        <w:trPr>
          <w:tblCellSpacing w:w="15" w:type="dxa"/>
        </w:trPr>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69DF66F9"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Всего по промышленности ВСНХ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3A7E420A"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72,95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18B83C79"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69,2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6EF4A254"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67,6 </w:t>
            </w:r>
          </w:p>
        </w:tc>
      </w:tr>
      <w:tr w:rsidR="001002C3" w:rsidRPr="005E779E" w14:paraId="69C6ACAD" w14:textId="77777777">
        <w:trPr>
          <w:tblCellSpacing w:w="15" w:type="dxa"/>
        </w:trPr>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573436DD"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том числе по группе «А»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09299CF2"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86,54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1C76AF88"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79,8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1038B00D"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80,1 </w:t>
            </w:r>
          </w:p>
        </w:tc>
      </w:tr>
      <w:tr w:rsidR="001002C3" w:rsidRPr="005E779E" w14:paraId="0202DE28" w14:textId="77777777">
        <w:trPr>
          <w:tblCellSpacing w:w="15" w:type="dxa"/>
        </w:trPr>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05DB4D68"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«Б»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4935391E"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52,19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19DCFF6E"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48,2 </w:t>
            </w:r>
          </w:p>
        </w:tc>
        <w:tc>
          <w:tcPr>
            <w:tcW w:w="0" w:type="auto"/>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hideMark/>
          </w:tcPr>
          <w:p w14:paraId="4E3FD608"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44,1 </w:t>
            </w:r>
          </w:p>
        </w:tc>
      </w:tr>
    </w:tbl>
    <w:p w14:paraId="43115190"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При этом наиболее резкое снижение непрерывки наметилось в электротехнической, горнорудной, каменноугольной и других важнейших отраслях. Такое положение свидетельствовало о явном неблагополучии в проведении непрерывной производственной недели. Наркомтруд, сигнализировав об этом положении правительству, предпринял детальное изучение причин, мешающих проведению непрерывной производственной недели. Положение с непрерывной производственной неделей было изучено на заводах «Серп и молот», «АМО», Электрозаводе, Ленинградском металлическом им. Сталина и других. Это изучение показало, что основной причиной, тормозящей проведение многосменного непрерывного производства, являлось применение неправильных, обезличивающих оборудование графиков, вызывавших падение производительности труда, частые простои, большое количество поломок, брак и т.д. В некоторых местах (например, на заводе «АМО») применялись графики «непрерывной» работы, узаконившие простои станков. В ряде мест заводы переходили к фактической прерывке (в выходные дни рабочих простаивали и станки). </w:t>
      </w:r>
    </w:p>
    <w:p w14:paraId="0A72E187" w14:textId="77777777" w:rsidR="00A9405B"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тем же выводам привело и обследование работы ночных смен, проведенное Наркомтрудом совместно с ВЦСПС. Обследование показало, что неправильные графики мешают наладить работу ночных смен даже там, где организация ночной работы поставлена в основном удовлетворительно. Так оказалось на заводе «Серп и молот», где правильный принцип постоянных бригад, в полном составе переходящих из смены в смену и одинаково обслуживаемых во все часы («смена — цех»), был извращен абсолютно неправильными графиками, усиливавшими обезличку и нарушавшими трудовое законодательство.</w:t>
      </w:r>
    </w:p>
    <w:p w14:paraId="7442A4D9" w14:textId="77777777" w:rsidR="00A9405B"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Таким образом, проблема графика оказалась основной в деле организации непрерывной производственной недели.</w:t>
      </w:r>
    </w:p>
    <w:p w14:paraId="3BBB0A80"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Единственным способом сохранения и укрепления непрерывки и полной ликвидации «скользунов» было введение так называемого четырехбригадного графика. Четырехбригадный график был разрешен Наркомтрудом к применению в виде опыта на ряде предприятий и подвергнут специальному изучению (прожекторный отдел Электрозавода, комбинат № 3 Мострикотажа, Ленинградский металлический завод им. Сталина, Московский рентгеновский завод, ряд предприятий ВЭО и др.).</w:t>
      </w:r>
    </w:p>
    <w:p w14:paraId="118E991C"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Успех четырехбригадного графика позволил Наркомтруду внести его на утверждение высших директивных органов, где он был признан обязательным для всех трехсменных работ. </w:t>
      </w:r>
    </w:p>
    <w:p w14:paraId="26947B06" w14:textId="77777777" w:rsidR="00A9405B"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Наряду с введением четырехбригадного графика для всех трехсменных работ Наркомтруд СССР и органы труда на местах проводили и проводят большую работу по борьбе с «бумажной» непрерывкой путем введения прерывной шестидневки на всех односменных предприятиях и тех из двухсменных, которые не могут быть переведены на трехсменную работу и четырехбригадный график. </w:t>
      </w:r>
      <w:bookmarkStart w:id="52" w:name="_ednref6"/>
      <w:r w:rsidR="00BE7680" w:rsidRPr="005E779E">
        <w:rPr>
          <w:rFonts w:ascii="Times New Roman" w:hAnsi="Times New Roman"/>
          <w:color w:val="000000" w:themeColor="text1"/>
          <w:sz w:val="16"/>
          <w:szCs w:val="16"/>
        </w:rPr>
        <w:fldChar w:fldCharType="begin"/>
      </w:r>
      <w:r w:rsidRPr="005E779E">
        <w:rPr>
          <w:rFonts w:ascii="Times New Roman" w:hAnsi="Times New Roman"/>
          <w:color w:val="000000" w:themeColor="text1"/>
          <w:sz w:val="16"/>
          <w:szCs w:val="16"/>
        </w:rPr>
        <w:instrText xml:space="preserve"> HYPERLINK "http://www.great-country.ru/content/sssr_stat/ind_1929-1932/ind_1929-1932-016.php" \l "_edn6" \o "" </w:instrText>
      </w:r>
      <w:r w:rsidR="00BE7680" w:rsidRPr="005E779E">
        <w:rPr>
          <w:rFonts w:ascii="Times New Roman" w:hAnsi="Times New Roman"/>
          <w:color w:val="000000" w:themeColor="text1"/>
          <w:sz w:val="16"/>
          <w:szCs w:val="16"/>
        </w:rPr>
      </w:r>
      <w:r w:rsidR="00BE7680" w:rsidRPr="005E779E">
        <w:rPr>
          <w:rFonts w:ascii="Times New Roman" w:hAnsi="Times New Roman"/>
          <w:color w:val="000000" w:themeColor="text1"/>
          <w:sz w:val="16"/>
          <w:szCs w:val="16"/>
        </w:rPr>
        <w:fldChar w:fldCharType="separate"/>
      </w:r>
      <w:r w:rsidRPr="005E779E">
        <w:rPr>
          <w:rStyle w:val="a5"/>
          <w:rFonts w:ascii="Times New Roman" w:hAnsi="Times New Roman"/>
          <w:color w:val="000000" w:themeColor="text1"/>
          <w:sz w:val="16"/>
          <w:szCs w:val="16"/>
        </w:rPr>
        <w:t>[6]</w:t>
      </w:r>
      <w:r w:rsidR="00BE7680" w:rsidRPr="005E779E">
        <w:rPr>
          <w:rFonts w:ascii="Times New Roman" w:hAnsi="Times New Roman"/>
          <w:color w:val="000000" w:themeColor="text1"/>
          <w:sz w:val="16"/>
          <w:szCs w:val="16"/>
        </w:rPr>
        <w:fldChar w:fldCharType="end"/>
      </w:r>
      <w:bookmarkEnd w:id="52"/>
    </w:p>
    <w:p w14:paraId="29406355" w14:textId="77777777" w:rsidR="0097726A" w:rsidRPr="005E779E" w:rsidRDefault="0097726A" w:rsidP="000B7A6C">
      <w:pPr>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ЦГАОР СССР, ф. 5515, on. 1, д. 359, лл. 312—324, 329—331. Копия.</w:t>
      </w:r>
    </w:p>
    <w:p w14:paraId="262F78AA" w14:textId="77777777" w:rsidR="0097726A" w:rsidRPr="005E779E" w:rsidRDefault="00000000" w:rsidP="000B7A6C">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lastRenderedPageBreak/>
        <w:pict w14:anchorId="5092C242">
          <v:rect id="_x0000_i1025" style="width:187.1pt;height:.75pt" o:hrpct="330" o:hrstd="t" o:hr="t" fillcolor="#a0a0a0" stroked="f"/>
        </w:pict>
      </w:r>
    </w:p>
    <w:bookmarkStart w:id="53" w:name="_edn1"/>
    <w:p w14:paraId="0634E1DC" w14:textId="77777777" w:rsidR="0097726A" w:rsidRPr="005E779E" w:rsidRDefault="00BE768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fldChar w:fldCharType="begin"/>
      </w:r>
      <w:r w:rsidR="0097726A" w:rsidRPr="005E779E">
        <w:rPr>
          <w:rFonts w:ascii="Times New Roman" w:hAnsi="Times New Roman"/>
          <w:color w:val="000000" w:themeColor="text1"/>
          <w:sz w:val="16"/>
          <w:szCs w:val="16"/>
        </w:rPr>
        <w:instrText xml:space="preserve"> HYPERLINK "http://www.great-country.ru/content/sssr_stat/ind_1929-1932/ind_1929-1932-016.php" \l "_ednref1" \o "" </w:instrText>
      </w:r>
      <w:r w:rsidRPr="005E779E">
        <w:rPr>
          <w:rFonts w:ascii="Times New Roman" w:hAnsi="Times New Roman"/>
          <w:color w:val="000000" w:themeColor="text1"/>
          <w:sz w:val="16"/>
          <w:szCs w:val="16"/>
        </w:rPr>
      </w:r>
      <w:r w:rsidRPr="005E779E">
        <w:rPr>
          <w:rFonts w:ascii="Times New Roman" w:hAnsi="Times New Roman"/>
          <w:color w:val="000000" w:themeColor="text1"/>
          <w:sz w:val="16"/>
          <w:szCs w:val="16"/>
        </w:rPr>
        <w:fldChar w:fldCharType="separate"/>
      </w:r>
      <w:r w:rsidR="0097726A" w:rsidRPr="005E779E">
        <w:rPr>
          <w:rStyle w:val="a7"/>
          <w:rFonts w:ascii="Times New Roman" w:hAnsi="Times New Roman"/>
          <w:b w:val="0"/>
          <w:color w:val="000000" w:themeColor="text1"/>
          <w:sz w:val="16"/>
          <w:szCs w:val="16"/>
        </w:rPr>
        <w:t>[1]</w:t>
      </w:r>
      <w:r w:rsidRPr="005E779E">
        <w:rPr>
          <w:rFonts w:ascii="Times New Roman" w:hAnsi="Times New Roman"/>
          <w:color w:val="000000" w:themeColor="text1"/>
          <w:sz w:val="16"/>
          <w:szCs w:val="16"/>
        </w:rPr>
        <w:fldChar w:fldCharType="end"/>
      </w:r>
      <w:bookmarkEnd w:id="53"/>
      <w:r w:rsidR="0097726A" w:rsidRPr="005E779E">
        <w:rPr>
          <w:rFonts w:ascii="Times New Roman" w:hAnsi="Times New Roman"/>
          <w:color w:val="000000" w:themeColor="text1"/>
          <w:sz w:val="16"/>
          <w:szCs w:val="16"/>
        </w:rPr>
        <w:t>Датируется по содержанию.</w:t>
      </w:r>
    </w:p>
    <w:bookmarkStart w:id="54" w:name="_edn2"/>
    <w:p w14:paraId="35C96F11" w14:textId="77777777" w:rsidR="0097726A" w:rsidRPr="005E779E" w:rsidRDefault="00BE768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fldChar w:fldCharType="begin"/>
      </w:r>
      <w:r w:rsidR="0097726A" w:rsidRPr="005E779E">
        <w:rPr>
          <w:rFonts w:ascii="Times New Roman" w:hAnsi="Times New Roman"/>
          <w:color w:val="000000" w:themeColor="text1"/>
          <w:sz w:val="16"/>
          <w:szCs w:val="16"/>
        </w:rPr>
        <w:instrText xml:space="preserve"> HYPERLINK "http://www.great-country.ru/content/sssr_stat/ind_1929-1932/ind_1929-1932-016.php" \l "_ednref2" \o "" </w:instrText>
      </w:r>
      <w:r w:rsidRPr="005E779E">
        <w:rPr>
          <w:rFonts w:ascii="Times New Roman" w:hAnsi="Times New Roman"/>
          <w:color w:val="000000" w:themeColor="text1"/>
          <w:sz w:val="16"/>
          <w:szCs w:val="16"/>
        </w:rPr>
      </w:r>
      <w:r w:rsidRPr="005E779E">
        <w:rPr>
          <w:rFonts w:ascii="Times New Roman" w:hAnsi="Times New Roman"/>
          <w:color w:val="000000" w:themeColor="text1"/>
          <w:sz w:val="16"/>
          <w:szCs w:val="16"/>
        </w:rPr>
        <w:fldChar w:fldCharType="separate"/>
      </w:r>
      <w:r w:rsidR="0097726A" w:rsidRPr="005E779E">
        <w:rPr>
          <w:rStyle w:val="a7"/>
          <w:rFonts w:ascii="Times New Roman" w:hAnsi="Times New Roman"/>
          <w:b w:val="0"/>
          <w:color w:val="000000" w:themeColor="text1"/>
          <w:sz w:val="16"/>
          <w:szCs w:val="16"/>
        </w:rPr>
        <w:t>[2]</w:t>
      </w:r>
      <w:r w:rsidRPr="005E779E">
        <w:rPr>
          <w:rFonts w:ascii="Times New Roman" w:hAnsi="Times New Roman"/>
          <w:color w:val="000000" w:themeColor="text1"/>
          <w:sz w:val="16"/>
          <w:szCs w:val="16"/>
        </w:rPr>
        <w:fldChar w:fldCharType="end"/>
      </w:r>
      <w:bookmarkEnd w:id="54"/>
      <w:r w:rsidR="0097726A" w:rsidRPr="005E779E">
        <w:rPr>
          <w:rFonts w:ascii="Times New Roman" w:hAnsi="Times New Roman"/>
          <w:color w:val="000000" w:themeColor="text1"/>
          <w:sz w:val="16"/>
          <w:szCs w:val="16"/>
        </w:rPr>
        <w:t>В документе цифра отсутствует.</w:t>
      </w:r>
    </w:p>
    <w:bookmarkStart w:id="55" w:name="_edn3"/>
    <w:p w14:paraId="0BB6B738" w14:textId="77777777" w:rsidR="0097726A" w:rsidRPr="005E779E" w:rsidRDefault="00BE768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fldChar w:fldCharType="begin"/>
      </w:r>
      <w:r w:rsidR="0097726A" w:rsidRPr="005E779E">
        <w:rPr>
          <w:rFonts w:ascii="Times New Roman" w:hAnsi="Times New Roman"/>
          <w:color w:val="000000" w:themeColor="text1"/>
          <w:sz w:val="16"/>
          <w:szCs w:val="16"/>
        </w:rPr>
        <w:instrText xml:space="preserve"> HYPERLINK "http://www.great-country.ru/content/sssr_stat/ind_1929-1932/ind_1929-1932-016.php" \l "_ednref3" \o "" </w:instrText>
      </w:r>
      <w:r w:rsidRPr="005E779E">
        <w:rPr>
          <w:rFonts w:ascii="Times New Roman" w:hAnsi="Times New Roman"/>
          <w:color w:val="000000" w:themeColor="text1"/>
          <w:sz w:val="16"/>
          <w:szCs w:val="16"/>
        </w:rPr>
      </w:r>
      <w:r w:rsidRPr="005E779E">
        <w:rPr>
          <w:rFonts w:ascii="Times New Roman" w:hAnsi="Times New Roman"/>
          <w:color w:val="000000" w:themeColor="text1"/>
          <w:sz w:val="16"/>
          <w:szCs w:val="16"/>
        </w:rPr>
        <w:fldChar w:fldCharType="separate"/>
      </w:r>
      <w:r w:rsidR="0097726A" w:rsidRPr="005E779E">
        <w:rPr>
          <w:rStyle w:val="a7"/>
          <w:rFonts w:ascii="Times New Roman" w:hAnsi="Times New Roman"/>
          <w:b w:val="0"/>
          <w:color w:val="000000" w:themeColor="text1"/>
          <w:sz w:val="16"/>
          <w:szCs w:val="16"/>
        </w:rPr>
        <w:t>[3]</w:t>
      </w:r>
      <w:r w:rsidRPr="005E779E">
        <w:rPr>
          <w:rFonts w:ascii="Times New Roman" w:hAnsi="Times New Roman"/>
          <w:color w:val="000000" w:themeColor="text1"/>
          <w:sz w:val="16"/>
          <w:szCs w:val="16"/>
        </w:rPr>
        <w:fldChar w:fldCharType="end"/>
      </w:r>
      <w:bookmarkEnd w:id="55"/>
      <w:r w:rsidR="0097726A" w:rsidRPr="005E779E">
        <w:rPr>
          <w:rFonts w:ascii="Times New Roman" w:hAnsi="Times New Roman"/>
          <w:color w:val="000000" w:themeColor="text1"/>
          <w:sz w:val="16"/>
          <w:szCs w:val="16"/>
        </w:rPr>
        <w:t>Пятый завод в документе не указан.</w:t>
      </w:r>
    </w:p>
    <w:bookmarkStart w:id="56" w:name="_edn4"/>
    <w:p w14:paraId="7B9FA33A" w14:textId="77777777" w:rsidR="0097726A" w:rsidRPr="005E779E" w:rsidRDefault="00BE768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fldChar w:fldCharType="begin"/>
      </w:r>
      <w:r w:rsidR="0097726A" w:rsidRPr="005E779E">
        <w:rPr>
          <w:rFonts w:ascii="Times New Roman" w:hAnsi="Times New Roman"/>
          <w:color w:val="000000" w:themeColor="text1"/>
          <w:sz w:val="16"/>
          <w:szCs w:val="16"/>
        </w:rPr>
        <w:instrText xml:space="preserve"> HYPERLINK "http://www.great-country.ru/content/sssr_stat/ind_1929-1932/ind_1929-1932-016.php" \l "_ednref4" \o "" </w:instrText>
      </w:r>
      <w:r w:rsidRPr="005E779E">
        <w:rPr>
          <w:rFonts w:ascii="Times New Roman" w:hAnsi="Times New Roman"/>
          <w:color w:val="000000" w:themeColor="text1"/>
          <w:sz w:val="16"/>
          <w:szCs w:val="16"/>
        </w:rPr>
      </w:r>
      <w:r w:rsidRPr="005E779E">
        <w:rPr>
          <w:rFonts w:ascii="Times New Roman" w:hAnsi="Times New Roman"/>
          <w:color w:val="000000" w:themeColor="text1"/>
          <w:sz w:val="16"/>
          <w:szCs w:val="16"/>
        </w:rPr>
        <w:fldChar w:fldCharType="separate"/>
      </w:r>
      <w:r w:rsidR="0097726A" w:rsidRPr="005E779E">
        <w:rPr>
          <w:rStyle w:val="a7"/>
          <w:rFonts w:ascii="Times New Roman" w:hAnsi="Times New Roman"/>
          <w:b w:val="0"/>
          <w:color w:val="000000" w:themeColor="text1"/>
          <w:sz w:val="16"/>
          <w:szCs w:val="16"/>
        </w:rPr>
        <w:t>[4]</w:t>
      </w:r>
      <w:r w:rsidRPr="005E779E">
        <w:rPr>
          <w:rFonts w:ascii="Times New Roman" w:hAnsi="Times New Roman"/>
          <w:color w:val="000000" w:themeColor="text1"/>
          <w:sz w:val="16"/>
          <w:szCs w:val="16"/>
        </w:rPr>
        <w:fldChar w:fldCharType="end"/>
      </w:r>
      <w:bookmarkEnd w:id="56"/>
      <w:r w:rsidR="0097726A" w:rsidRPr="005E779E">
        <w:rPr>
          <w:rFonts w:ascii="Times New Roman" w:hAnsi="Times New Roman"/>
          <w:color w:val="000000" w:themeColor="text1"/>
          <w:sz w:val="16"/>
          <w:szCs w:val="16"/>
        </w:rPr>
        <w:t>Имеется в виду постановление ВЦСПС и ВСНХ СССР от 21 сентября 1931 г. «О перестройке системы зарплаты в металлургии и угольной промышленности» («Труд», 23 сентября 1931 г.).</w:t>
      </w:r>
    </w:p>
    <w:bookmarkStart w:id="57" w:name="_edn5"/>
    <w:p w14:paraId="3645D7A4" w14:textId="77777777" w:rsidR="0097726A" w:rsidRPr="005E779E" w:rsidRDefault="00BE768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fldChar w:fldCharType="begin"/>
      </w:r>
      <w:r w:rsidR="0097726A" w:rsidRPr="005E779E">
        <w:rPr>
          <w:rFonts w:ascii="Times New Roman" w:hAnsi="Times New Roman"/>
          <w:color w:val="000000" w:themeColor="text1"/>
          <w:sz w:val="16"/>
          <w:szCs w:val="16"/>
        </w:rPr>
        <w:instrText xml:space="preserve"> HYPERLINK "http://www.great-country.ru/content/sssr_stat/ind_1929-1932/ind_1929-1932-016.php" \l "_ednref5" \o "" </w:instrText>
      </w:r>
      <w:r w:rsidRPr="005E779E">
        <w:rPr>
          <w:rFonts w:ascii="Times New Roman" w:hAnsi="Times New Roman"/>
          <w:color w:val="000000" w:themeColor="text1"/>
          <w:sz w:val="16"/>
          <w:szCs w:val="16"/>
        </w:rPr>
      </w:r>
      <w:r w:rsidRPr="005E779E">
        <w:rPr>
          <w:rFonts w:ascii="Times New Roman" w:hAnsi="Times New Roman"/>
          <w:color w:val="000000" w:themeColor="text1"/>
          <w:sz w:val="16"/>
          <w:szCs w:val="16"/>
        </w:rPr>
        <w:fldChar w:fldCharType="separate"/>
      </w:r>
      <w:r w:rsidR="0097726A" w:rsidRPr="005E779E">
        <w:rPr>
          <w:rStyle w:val="a7"/>
          <w:rFonts w:ascii="Times New Roman" w:hAnsi="Times New Roman"/>
          <w:b w:val="0"/>
          <w:color w:val="000000" w:themeColor="text1"/>
          <w:sz w:val="16"/>
          <w:szCs w:val="16"/>
        </w:rPr>
        <w:t>[5]</w:t>
      </w:r>
      <w:r w:rsidRPr="005E779E">
        <w:rPr>
          <w:rFonts w:ascii="Times New Roman" w:hAnsi="Times New Roman"/>
          <w:color w:val="000000" w:themeColor="text1"/>
          <w:sz w:val="16"/>
          <w:szCs w:val="16"/>
        </w:rPr>
        <w:fldChar w:fldCharType="end"/>
      </w:r>
      <w:bookmarkEnd w:id="57"/>
      <w:r w:rsidR="0097726A" w:rsidRPr="005E779E">
        <w:rPr>
          <w:rFonts w:ascii="Times New Roman" w:hAnsi="Times New Roman"/>
          <w:color w:val="000000" w:themeColor="text1"/>
          <w:sz w:val="16"/>
          <w:szCs w:val="16"/>
        </w:rPr>
        <w:t>Таблица не публикуется. Опущены также сведения по вопросам организации труда и регулирования заработной платы в сельском хозяйстве (ЦГАОР СССР, ф. 5515, on. 1, д. 359, лл. 325—329).</w:t>
      </w:r>
    </w:p>
    <w:bookmarkStart w:id="58" w:name="_edn6"/>
    <w:p w14:paraId="306E73E3" w14:textId="77777777" w:rsidR="0097726A" w:rsidRPr="005E779E" w:rsidRDefault="00BE7680"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fldChar w:fldCharType="begin"/>
      </w:r>
      <w:r w:rsidR="0097726A" w:rsidRPr="005E779E">
        <w:rPr>
          <w:rFonts w:ascii="Times New Roman" w:hAnsi="Times New Roman"/>
          <w:color w:val="000000" w:themeColor="text1"/>
          <w:sz w:val="16"/>
          <w:szCs w:val="16"/>
        </w:rPr>
        <w:instrText xml:space="preserve"> HYPERLINK "http://www.great-country.ru/content/sssr_stat/ind_1929-1932/ind_1929-1932-016.php" \l "_ednref6" \o "" </w:instrText>
      </w:r>
      <w:r w:rsidRPr="005E779E">
        <w:rPr>
          <w:rFonts w:ascii="Times New Roman" w:hAnsi="Times New Roman"/>
          <w:color w:val="000000" w:themeColor="text1"/>
          <w:sz w:val="16"/>
          <w:szCs w:val="16"/>
        </w:rPr>
      </w:r>
      <w:r w:rsidRPr="005E779E">
        <w:rPr>
          <w:rFonts w:ascii="Times New Roman" w:hAnsi="Times New Roman"/>
          <w:color w:val="000000" w:themeColor="text1"/>
          <w:sz w:val="16"/>
          <w:szCs w:val="16"/>
        </w:rPr>
        <w:fldChar w:fldCharType="separate"/>
      </w:r>
      <w:r w:rsidR="0097726A" w:rsidRPr="005E779E">
        <w:rPr>
          <w:rStyle w:val="a7"/>
          <w:rFonts w:ascii="Times New Roman" w:hAnsi="Times New Roman"/>
          <w:b w:val="0"/>
          <w:color w:val="000000" w:themeColor="text1"/>
          <w:sz w:val="16"/>
          <w:szCs w:val="16"/>
        </w:rPr>
        <w:t>[6]</w:t>
      </w:r>
      <w:r w:rsidRPr="005E779E">
        <w:rPr>
          <w:rFonts w:ascii="Times New Roman" w:hAnsi="Times New Roman"/>
          <w:color w:val="000000" w:themeColor="text1"/>
          <w:sz w:val="16"/>
          <w:szCs w:val="16"/>
        </w:rPr>
        <w:fldChar w:fldCharType="end"/>
      </w:r>
      <w:bookmarkEnd w:id="58"/>
      <w:r w:rsidR="0097726A" w:rsidRPr="005E779E">
        <w:rPr>
          <w:rFonts w:ascii="Times New Roman" w:hAnsi="Times New Roman"/>
          <w:color w:val="000000" w:themeColor="text1"/>
          <w:sz w:val="16"/>
          <w:szCs w:val="16"/>
        </w:rPr>
        <w:t>Опущены сведения о переводе промышленности на 7-часовой рабочий день (ЦГАОР СССР, ф. 5515, on. 1, д. 359, лл. 331—333) (17247).</w:t>
      </w:r>
    </w:p>
    <w:p w14:paraId="1860A5FB" w14:textId="77777777" w:rsidR="0097726A" w:rsidRPr="005E779E" w:rsidRDefault="0097726A" w:rsidP="000B7A6C">
      <w:pPr>
        <w:autoSpaceDE w:val="0"/>
        <w:autoSpaceDN w:val="0"/>
        <w:adjustRightInd w:val="0"/>
        <w:spacing w:after="0" w:line="240" w:lineRule="auto"/>
        <w:jc w:val="both"/>
        <w:rPr>
          <w:rFonts w:ascii="Times New Roman" w:hAnsi="Times New Roman"/>
          <w:color w:val="000000" w:themeColor="text1"/>
          <w:sz w:val="16"/>
          <w:szCs w:val="16"/>
        </w:rPr>
      </w:pPr>
    </w:p>
    <w:p w14:paraId="4ECC51D8"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0F6CA623"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62E37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 октября 1931 г. Приказом по ЦКБ отдел до</w:t>
      </w:r>
      <w:r w:rsidRPr="005E779E">
        <w:rPr>
          <w:rFonts w:ascii="Times New Roman" w:hAnsi="Times New Roman"/>
          <w:color w:val="000000" w:themeColor="text1"/>
          <w:sz w:val="16"/>
          <w:szCs w:val="16"/>
        </w:rPr>
        <w:softHyphen/>
        <w:t>водок (отдел № 9) расформировали. Для под</w:t>
      </w:r>
      <w:r w:rsidRPr="005E779E">
        <w:rPr>
          <w:rFonts w:ascii="Times New Roman" w:hAnsi="Times New Roman"/>
          <w:color w:val="000000" w:themeColor="text1"/>
          <w:sz w:val="16"/>
          <w:szCs w:val="16"/>
        </w:rPr>
        <w:softHyphen/>
        <w:t>готовки конструкторской документации, раз</w:t>
      </w:r>
      <w:r w:rsidRPr="005E779E">
        <w:rPr>
          <w:rFonts w:ascii="Times New Roman" w:hAnsi="Times New Roman"/>
          <w:color w:val="000000" w:themeColor="text1"/>
          <w:sz w:val="16"/>
          <w:szCs w:val="16"/>
        </w:rPr>
        <w:softHyphen/>
        <w:t>работки технологии и связи с производством создали Бюро внедрения, начальником кото</w:t>
      </w:r>
      <w:r w:rsidRPr="005E779E">
        <w:rPr>
          <w:rFonts w:ascii="Times New Roman" w:hAnsi="Times New Roman"/>
          <w:color w:val="000000" w:themeColor="text1"/>
          <w:sz w:val="16"/>
          <w:szCs w:val="16"/>
        </w:rPr>
        <w:softHyphen/>
        <w:t>рого назначили И.М. Косткина. Размещалось бюро на улице Радио, то есть во владениях ЦАГИ. О его пользе и роли имелись различные мнения, вплоть до полного отрицания необхо</w:t>
      </w:r>
      <w:r w:rsidRPr="005E779E">
        <w:rPr>
          <w:rFonts w:ascii="Times New Roman" w:hAnsi="Times New Roman"/>
          <w:color w:val="000000" w:themeColor="text1"/>
          <w:sz w:val="16"/>
          <w:szCs w:val="16"/>
        </w:rPr>
        <w:softHyphen/>
        <w:t>димости, однако очень скоро Бюро внедрения сыграло свою роль в истории истребителя И-5.</w:t>
      </w:r>
    </w:p>
    <w:p w14:paraId="462537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1932 г. серийное строительство И-5 ре</w:t>
      </w:r>
      <w:r w:rsidRPr="005E779E">
        <w:rPr>
          <w:rFonts w:ascii="Times New Roman" w:hAnsi="Times New Roman"/>
          <w:color w:val="000000" w:themeColor="text1"/>
          <w:sz w:val="16"/>
          <w:szCs w:val="16"/>
        </w:rPr>
        <w:softHyphen/>
        <w:t>шили передать на новый авиазавод №21 в Нижнем Новгороде. Завод только начал функ</w:t>
      </w:r>
      <w:r w:rsidRPr="005E779E">
        <w:rPr>
          <w:rFonts w:ascii="Times New Roman" w:hAnsi="Times New Roman"/>
          <w:color w:val="000000" w:themeColor="text1"/>
          <w:sz w:val="16"/>
          <w:szCs w:val="16"/>
        </w:rPr>
        <w:softHyphen/>
        <w:t>ционировать, поэтому при выпуске продукции предполагались трудности, которые должно было преодолеть Бюро внедрения и ответ</w:t>
      </w:r>
      <w:r w:rsidRPr="005E779E">
        <w:rPr>
          <w:rFonts w:ascii="Times New Roman" w:hAnsi="Times New Roman"/>
          <w:color w:val="000000" w:themeColor="text1"/>
          <w:sz w:val="16"/>
          <w:szCs w:val="16"/>
        </w:rPr>
        <w:softHyphen/>
        <w:t>ственные за процесс: Д.П. Григорович (стар</w:t>
      </w:r>
      <w:r w:rsidRPr="005E779E">
        <w:rPr>
          <w:rFonts w:ascii="Times New Roman" w:hAnsi="Times New Roman"/>
          <w:color w:val="000000" w:themeColor="text1"/>
          <w:sz w:val="16"/>
          <w:szCs w:val="16"/>
        </w:rPr>
        <w:softHyphen/>
        <w:t>ший), И.М. Косткин и К.А. Виганд.</w:t>
      </w:r>
    </w:p>
    <w:p w14:paraId="1CD6A0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Московской команде предстояло макси</w:t>
      </w:r>
      <w:r w:rsidRPr="005E779E">
        <w:rPr>
          <w:rFonts w:ascii="Times New Roman" w:hAnsi="Times New Roman"/>
          <w:color w:val="000000" w:themeColor="text1"/>
          <w:sz w:val="16"/>
          <w:szCs w:val="16"/>
        </w:rPr>
        <w:softHyphen/>
        <w:t>мально помочь освоению истребителя и ожи</w:t>
      </w:r>
      <w:r w:rsidRPr="005E779E">
        <w:rPr>
          <w:rFonts w:ascii="Times New Roman" w:hAnsi="Times New Roman"/>
          <w:color w:val="000000" w:themeColor="text1"/>
          <w:sz w:val="16"/>
          <w:szCs w:val="16"/>
        </w:rPr>
        <w:softHyphen/>
        <w:t>вить своим присутствием его строительство. По этой же причине в Нижний Новгород в ка</w:t>
      </w:r>
      <w:r w:rsidRPr="005E779E">
        <w:rPr>
          <w:rFonts w:ascii="Times New Roman" w:hAnsi="Times New Roman"/>
          <w:color w:val="000000" w:themeColor="text1"/>
          <w:sz w:val="16"/>
          <w:szCs w:val="16"/>
        </w:rPr>
        <w:softHyphen/>
        <w:t>честве эталона передали И-5 №4298, а затем в течение года перевезли из Москвы весь задел по серии завода №1 и всю необходимую тех</w:t>
      </w:r>
      <w:r w:rsidRPr="005E779E">
        <w:rPr>
          <w:rFonts w:ascii="Times New Roman" w:hAnsi="Times New Roman"/>
          <w:color w:val="000000" w:themeColor="text1"/>
          <w:sz w:val="16"/>
          <w:szCs w:val="16"/>
        </w:rPr>
        <w:softHyphen/>
        <w:t>нологическую оснастку. Впрочем, по причине продолжающегося строительства завода и си</w:t>
      </w:r>
      <w:r w:rsidRPr="005E779E">
        <w:rPr>
          <w:rFonts w:ascii="Times New Roman" w:hAnsi="Times New Roman"/>
          <w:color w:val="000000" w:themeColor="text1"/>
          <w:sz w:val="16"/>
          <w:szCs w:val="16"/>
        </w:rPr>
        <w:softHyphen/>
        <w:t>лового внедрения нового объекта успехи ока</w:t>
      </w:r>
      <w:r w:rsidRPr="005E779E">
        <w:rPr>
          <w:rFonts w:ascii="Times New Roman" w:hAnsi="Times New Roman"/>
          <w:color w:val="000000" w:themeColor="text1"/>
          <w:sz w:val="16"/>
          <w:szCs w:val="16"/>
        </w:rPr>
        <w:softHyphen/>
        <w:t>зались скромными. Основную часть годового выпуска построили на заводе №1 (76 самоле</w:t>
      </w:r>
      <w:r w:rsidRPr="005E779E">
        <w:rPr>
          <w:rFonts w:ascii="Times New Roman" w:hAnsi="Times New Roman"/>
          <w:color w:val="000000" w:themeColor="text1"/>
          <w:sz w:val="16"/>
          <w:szCs w:val="16"/>
        </w:rPr>
        <w:softHyphen/>
        <w:t>тов). Тем не менее, в план 21-го завода за 1932 г. зачли первые 10 серийных аппаратов (11974).</w:t>
      </w:r>
    </w:p>
    <w:p w14:paraId="70D34E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56DE31C" w14:textId="77777777" w:rsidR="00513C11" w:rsidRPr="005E779E" w:rsidRDefault="00513C1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 октября 1931 г. Приказом по ЦКБ отдел доводок (отдел № 9) расформировали. Для подготовки конструкторской документации, разработки технологии и связи с производст</w:t>
      </w:r>
      <w:r w:rsidRPr="005E779E">
        <w:rPr>
          <w:rFonts w:ascii="Times New Roman" w:hAnsi="Times New Roman"/>
          <w:color w:val="000000" w:themeColor="text1"/>
          <w:sz w:val="16"/>
          <w:szCs w:val="16"/>
        </w:rPr>
        <w:softHyphen/>
        <w:t>вом создали Бюро внедрения, начальником которого назначили И.М. Косткина. Разме</w:t>
      </w:r>
      <w:r w:rsidRPr="005E779E">
        <w:rPr>
          <w:rFonts w:ascii="Times New Roman" w:hAnsi="Times New Roman"/>
          <w:color w:val="000000" w:themeColor="text1"/>
          <w:sz w:val="16"/>
          <w:szCs w:val="16"/>
        </w:rPr>
        <w:softHyphen/>
        <w:t>щалось «бюро» на улице Радио, то есть во владениях ЦАГИ. О его пользе и роли име</w:t>
      </w:r>
      <w:r w:rsidRPr="005E779E">
        <w:rPr>
          <w:rFonts w:ascii="Times New Roman" w:hAnsi="Times New Roman"/>
          <w:color w:val="000000" w:themeColor="text1"/>
          <w:sz w:val="16"/>
          <w:szCs w:val="16"/>
        </w:rPr>
        <w:softHyphen/>
        <w:t>лись различные мнения, вплоть до полно</w:t>
      </w:r>
      <w:r w:rsidRPr="005E779E">
        <w:rPr>
          <w:rFonts w:ascii="Times New Roman" w:hAnsi="Times New Roman"/>
          <w:color w:val="000000" w:themeColor="text1"/>
          <w:sz w:val="16"/>
          <w:szCs w:val="16"/>
        </w:rPr>
        <w:softHyphen/>
        <w:t>го отрицания необходимости, однако очень скоро Бюро внедрения сыграло свою роль в истории истребителя (12295).</w:t>
      </w:r>
    </w:p>
    <w:p w14:paraId="13AE9EBD" w14:textId="77777777" w:rsidR="00513C11" w:rsidRPr="005E779E" w:rsidRDefault="00513C11" w:rsidP="000B7A6C">
      <w:pPr>
        <w:spacing w:after="0" w:line="240" w:lineRule="auto"/>
        <w:jc w:val="both"/>
        <w:rPr>
          <w:rFonts w:ascii="Times New Roman" w:hAnsi="Times New Roman"/>
          <w:color w:val="000000" w:themeColor="text1"/>
          <w:sz w:val="16"/>
          <w:szCs w:val="16"/>
        </w:rPr>
      </w:pPr>
    </w:p>
    <w:p w14:paraId="2D0C6B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 октября 1931 С.П.К. дал анализ конструкции планера Б.И. Черановского БИЧ-8 (ААН, ф. 1546, оп. 1, № 8. Автограф) (10676).</w:t>
      </w:r>
    </w:p>
    <w:p w14:paraId="50978C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0FB77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 октября 1931 вышел Отчет по испытанию стрелкового вооружения на сам. БМВ-VI (1-м опытном), представленного заводом N 1. (наверное, это И-7).</w:t>
      </w:r>
    </w:p>
    <w:p w14:paraId="2A270F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w:t>
      </w:r>
    </w:p>
    <w:p w14:paraId="3798FD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пулеметные установки испытания стрельбой выдержали (3208,457-468).</w:t>
      </w:r>
    </w:p>
    <w:p w14:paraId="03433F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BB21B5A" w14:textId="77777777" w:rsidR="00144B93" w:rsidRPr="005E779E" w:rsidRDefault="00144B9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 октября 1931 г. вышел «Отчет по испытанию стрелкового вооружения на сам. И-7 БМВ-VI (1-м опытном), представленного заводом №1», где указано, что «…пулеметные установки испытания стрельбой выдержали» (24331).</w:t>
      </w:r>
    </w:p>
    <w:p w14:paraId="3AD024DC" w14:textId="77777777" w:rsidR="00144B93" w:rsidRPr="005E779E" w:rsidRDefault="00144B93" w:rsidP="000B7A6C">
      <w:pPr>
        <w:spacing w:after="0" w:line="240" w:lineRule="auto"/>
        <w:jc w:val="both"/>
        <w:rPr>
          <w:rFonts w:ascii="Times New Roman" w:hAnsi="Times New Roman"/>
          <w:color w:val="000000" w:themeColor="text1"/>
          <w:sz w:val="16"/>
          <w:szCs w:val="16"/>
        </w:rPr>
      </w:pPr>
    </w:p>
    <w:p w14:paraId="45EB875B"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77B47F6E"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0D1BE62" w14:textId="77777777" w:rsidR="001A6B4D" w:rsidRPr="00142305" w:rsidRDefault="001A6B4D" w:rsidP="001A6B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30 октября 1931 года представитель «Амторга» Г. Гобар сообщал в своем письме в Москву:</w:t>
      </w:r>
    </w:p>
    <w:p w14:paraId="198186E7" w14:textId="77777777" w:rsidR="001A6B4D" w:rsidRPr="00142305" w:rsidRDefault="001A6B4D" w:rsidP="001A6B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 делах Кристи.</w:t>
      </w:r>
    </w:p>
    <w:p w14:paraId="19210278" w14:textId="77777777" w:rsidR="001A6B4D" w:rsidRPr="00142305" w:rsidRDefault="001A6B4D" w:rsidP="001A6B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Кристи целиком поглощен выполне</w:t>
      </w:r>
      <w:r w:rsidRPr="00142305">
        <w:rPr>
          <w:rFonts w:ascii="Times New Roman" w:hAnsi="Times New Roman"/>
          <w:color w:val="0070C0"/>
          <w:sz w:val="16"/>
          <w:szCs w:val="16"/>
        </w:rPr>
        <w:softHyphen/>
        <w:t>нием заказа для американской армии на 7 машин. Они строятся по типу машин, купленных нами, с небольшими изменениями, которые были известны еще т. Тоскину.</w:t>
      </w:r>
    </w:p>
    <w:p w14:paraId="22687210" w14:textId="77777777" w:rsidR="001A6B4D" w:rsidRPr="00142305" w:rsidRDefault="001A6B4D" w:rsidP="001A6B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Финансовое положение Кристи по-прежнему очень плохо. Он одалживает деньги, где может, и по сведениям, за</w:t>
      </w:r>
      <w:r w:rsidRPr="00142305">
        <w:rPr>
          <w:rFonts w:ascii="Times New Roman" w:hAnsi="Times New Roman"/>
          <w:color w:val="0070C0"/>
          <w:sz w:val="16"/>
          <w:szCs w:val="16"/>
        </w:rPr>
        <w:softHyphen/>
        <w:t>служивающим доверия, тех денег, кото</w:t>
      </w:r>
      <w:r w:rsidRPr="00142305">
        <w:rPr>
          <w:rFonts w:ascii="Times New Roman" w:hAnsi="Times New Roman"/>
          <w:color w:val="0070C0"/>
          <w:sz w:val="16"/>
          <w:szCs w:val="16"/>
        </w:rPr>
        <w:softHyphen/>
        <w:t>рые он получит за 7 машин не хватит, чтобы расплатиться с долгами.</w:t>
      </w:r>
    </w:p>
    <w:p w14:paraId="1BEC99B2" w14:textId="77777777" w:rsidR="001A6B4D" w:rsidRPr="00142305" w:rsidRDefault="001A6B4D" w:rsidP="001A6B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отношении нас он продолжает зани</w:t>
      </w:r>
      <w:r w:rsidRPr="00142305">
        <w:rPr>
          <w:rFonts w:ascii="Times New Roman" w:hAnsi="Times New Roman"/>
          <w:color w:val="0070C0"/>
          <w:sz w:val="16"/>
          <w:szCs w:val="16"/>
        </w:rPr>
        <w:softHyphen/>
        <w:t>мать твердую позицию, и договора не выполняет на основании, что мы не до</w:t>
      </w:r>
      <w:r w:rsidRPr="00142305">
        <w:rPr>
          <w:rFonts w:ascii="Times New Roman" w:hAnsi="Times New Roman"/>
          <w:color w:val="0070C0"/>
          <w:sz w:val="16"/>
          <w:szCs w:val="16"/>
        </w:rPr>
        <w:softHyphen/>
        <w:t>платили якобы ему 25.000 $...</w:t>
      </w:r>
    </w:p>
    <w:p w14:paraId="5ED0F8E2" w14:textId="77777777" w:rsidR="001A6B4D" w:rsidRPr="00142305" w:rsidRDefault="001A6B4D" w:rsidP="001A6B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Нужно думать, что после того, как он закончит контракт, заплатит частично свои долги и опять останется у разбитого корыта — он станет сговорчивее».</w:t>
      </w:r>
    </w:p>
    <w:p w14:paraId="11E8F149" w14:textId="77777777" w:rsidR="001A6B4D" w:rsidRPr="00142305" w:rsidRDefault="001A6B4D" w:rsidP="001A6B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 этом прилагалось письмо от Кри</w:t>
      </w:r>
      <w:r w:rsidRPr="00142305">
        <w:rPr>
          <w:rFonts w:ascii="Times New Roman" w:hAnsi="Times New Roman"/>
          <w:color w:val="0070C0"/>
          <w:sz w:val="16"/>
          <w:szCs w:val="16"/>
        </w:rPr>
        <w:softHyphen/>
        <w:t>сти, полученное «Амторгом» 7 октября 1931 года:</w:t>
      </w:r>
    </w:p>
    <w:p w14:paraId="307D48AD" w14:textId="77777777" w:rsidR="001A6B4D" w:rsidRPr="00142305" w:rsidRDefault="001A6B4D" w:rsidP="001A6B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«Г. Гобару.</w:t>
      </w:r>
    </w:p>
    <w:p w14:paraId="5159CF71" w14:textId="77777777" w:rsidR="001A6B4D" w:rsidRPr="00142305" w:rsidRDefault="001A6B4D" w:rsidP="001A6B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Ваш представитель инженер Свиридов только что посетил нас в целях осмотра, что, как я уверен, окажется полезным для нас обоих. Однако, как мне кажется, Ваше правительство было бы вполне удовлетворено, если бы господин Тоскин, назначенный сюда в качестве при</w:t>
      </w:r>
      <w:r w:rsidRPr="00142305">
        <w:rPr>
          <w:rFonts w:ascii="Times New Roman" w:hAnsi="Times New Roman"/>
          <w:color w:val="0070C0"/>
          <w:sz w:val="16"/>
          <w:szCs w:val="16"/>
        </w:rPr>
        <w:softHyphen/>
        <w:t>емщика, мог бы вернуться для беглого осмотра, привезя с собой требования и пожелания Ваших военных органов, и будучи осведомленным относительно каких-либо затруднений, возникших у Ваших комитетов в отношении двух шасси, закупленных у нас.</w:t>
      </w:r>
    </w:p>
    <w:p w14:paraId="7D77FD89" w14:textId="77777777" w:rsidR="001A6B4D" w:rsidRPr="00142305" w:rsidRDefault="001A6B4D" w:rsidP="001A6B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развитием работ, которые почти что завершены в виде законченных черте</w:t>
      </w:r>
      <w:r w:rsidRPr="00142305">
        <w:rPr>
          <w:rFonts w:ascii="Times New Roman" w:hAnsi="Times New Roman"/>
          <w:color w:val="0070C0"/>
          <w:sz w:val="16"/>
          <w:szCs w:val="16"/>
        </w:rPr>
        <w:softHyphen/>
        <w:t>жей с допусками и всеми указаниями, необходимыми для успешного изготов</w:t>
      </w:r>
      <w:r w:rsidRPr="00142305">
        <w:rPr>
          <w:rFonts w:ascii="Times New Roman" w:hAnsi="Times New Roman"/>
          <w:color w:val="0070C0"/>
          <w:sz w:val="16"/>
          <w:szCs w:val="16"/>
        </w:rPr>
        <w:softHyphen/>
        <w:t>ления этих машин, наши разногласия могут быть скоро разрешены.</w:t>
      </w:r>
    </w:p>
    <w:p w14:paraId="7F4668A7" w14:textId="54A5B24D" w:rsidR="001A6B4D" w:rsidRPr="00142305" w:rsidRDefault="001A6B4D" w:rsidP="001A6B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этом письме обращаю последний раз Ваше внимание на достигнутое лично соглашение между господином Халеп - ским, Вами, автором этого письма и дру</w:t>
      </w:r>
      <w:r w:rsidRPr="00142305">
        <w:rPr>
          <w:rFonts w:ascii="Times New Roman" w:hAnsi="Times New Roman"/>
          <w:color w:val="0070C0"/>
          <w:sz w:val="16"/>
          <w:szCs w:val="16"/>
        </w:rPr>
        <w:softHyphen/>
        <w:t>гими членами Вашей комиссии, кото</w:t>
      </w:r>
      <w:r w:rsidRPr="00142305">
        <w:rPr>
          <w:rFonts w:ascii="Times New Roman" w:hAnsi="Times New Roman"/>
          <w:color w:val="0070C0"/>
          <w:sz w:val="16"/>
          <w:szCs w:val="16"/>
        </w:rPr>
        <w:softHyphen/>
        <w:t>рые были свидетелями того, что кон</w:t>
      </w:r>
      <w:r w:rsidRPr="00142305">
        <w:rPr>
          <w:rFonts w:ascii="Times New Roman" w:hAnsi="Times New Roman"/>
          <w:color w:val="0070C0"/>
          <w:sz w:val="16"/>
          <w:szCs w:val="16"/>
        </w:rPr>
        <w:softHyphen/>
        <w:t>тракт, заключенный со мной устно, должен быть выполнен независимо от легальных технических требований и из</w:t>
      </w:r>
      <w:r w:rsidRPr="00142305">
        <w:rPr>
          <w:rFonts w:ascii="Times New Roman" w:hAnsi="Times New Roman"/>
          <w:color w:val="0070C0"/>
          <w:sz w:val="16"/>
          <w:szCs w:val="16"/>
        </w:rPr>
        <w:softHyphen/>
        <w:t>менений. Поэтому сообщаю Вам, что контрактная цена в размере 160.000 $ за две машины и права на изготовление с усовершенствованиями, которые мы вводим день за днем, должна быть вы</w:t>
      </w:r>
      <w:r w:rsidRPr="00142305">
        <w:rPr>
          <w:rFonts w:ascii="Times New Roman" w:hAnsi="Times New Roman"/>
          <w:color w:val="0070C0"/>
          <w:sz w:val="16"/>
          <w:szCs w:val="16"/>
        </w:rPr>
        <w:softHyphen/>
        <w:t xml:space="preserve">держана, и мы должны получить остаток от 160.000 $ для продолжения наших </w:t>
      </w:r>
      <w:r w:rsidRPr="00142305">
        <w:rPr>
          <w:rFonts w:ascii="Times New Roman" w:hAnsi="Times New Roman"/>
          <w:noProof/>
          <w:color w:val="0070C0"/>
          <w:sz w:val="16"/>
          <w:szCs w:val="16"/>
        </w:rPr>
        <mc:AlternateContent>
          <mc:Choice Requires="wps">
            <w:drawing>
              <wp:anchor distT="0" distB="0" distL="0" distR="0" simplePos="0" relativeHeight="251661312" behindDoc="0" locked="0" layoutInCell="1" allowOverlap="1" wp14:anchorId="257B5B9A" wp14:editId="4A45038A">
                <wp:simplePos x="0" y="0"/>
                <wp:positionH relativeFrom="page">
                  <wp:posOffset>111760</wp:posOffset>
                </wp:positionH>
                <wp:positionV relativeFrom="margin">
                  <wp:posOffset>-3596640</wp:posOffset>
                </wp:positionV>
                <wp:extent cx="1109345" cy="692150"/>
                <wp:effectExtent l="0" t="0" r="0" b="0"/>
                <wp:wrapNone/>
                <wp:docPr id="1943830170" name="Надпись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09345" cy="692150"/>
                        </a:xfrm>
                        <a:prstGeom prst="rect">
                          <a:avLst/>
                        </a:prstGeom>
                        <a:noFill/>
                      </wps:spPr>
                      <wps:txbx>
                        <w:txbxContent>
                          <w:p w14:paraId="0875E662" w14:textId="77777777" w:rsidR="001A6B4D" w:rsidRDefault="001A6B4D" w:rsidP="001A6B4D">
                            <w:pPr>
                              <w:pStyle w:val="aff9"/>
                              <w:jc w:val="right"/>
                            </w:pPr>
                            <w:r>
                              <w:t>Танк Кристи М.1931 преодолевает препятствие. НИБТ полигон, лето 1932 года (АСКМ).</w:t>
                            </w:r>
                          </w:p>
                        </w:txbxContent>
                      </wps:txbx>
                      <wps:bodyPr lIns="0" tIns="0" rIns="0" bIns="0"/>
                    </wps:wsp>
                  </a:graphicData>
                </a:graphic>
                <wp14:sizeRelH relativeFrom="page">
                  <wp14:pctWidth>0</wp14:pctWidth>
                </wp14:sizeRelH>
                <wp14:sizeRelV relativeFrom="page">
                  <wp14:pctHeight>0</wp14:pctHeight>
                </wp14:sizeRelV>
              </wp:anchor>
            </w:drawing>
          </mc:Choice>
          <mc:Fallback>
            <w:pict>
              <v:shape w14:anchorId="257B5B9A" id="Надпись 3" o:spid="_x0000_s1027" type="#_x0000_t202" style="position:absolute;left:0;text-align:left;margin-left:8.8pt;margin-top:-283.2pt;width:87.35pt;height:54.5pt;z-index:251661312;visibility:visible;mso-wrap-style:square;mso-width-percent:0;mso-height-percent:0;mso-wrap-distance-left:0;mso-wrap-distance-top:0;mso-wrap-distance-right:0;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" filled="f" stroked="f">
                <v:textbox inset="0,0,0,0">
                  <w:txbxContent>
                    <w:p w14:paraId="0875E662" w14:textId="77777777" w:rsidR="001A6B4D" w:rsidRDefault="001A6B4D" w:rsidP="001A6B4D">
                      <w:pPr>
                        <w:pStyle w:val="aff9"/>
                        <w:jc w:val="right"/>
                      </w:pPr>
                      <w:r>
                        <w:t>Танк Кристи М.1931 преодолевает препятствие. НИБТ полигон, лето 1932 года (АСКМ).</w:t>
                      </w:r>
                    </w:p>
                  </w:txbxContent>
                </v:textbox>
                <w10:wrap anchorx="page" anchory="margin"/>
              </v:shape>
            </w:pict>
          </mc:Fallback>
        </mc:AlternateContent>
      </w:r>
      <w:r w:rsidRPr="00142305">
        <w:rPr>
          <w:rFonts w:ascii="Times New Roman" w:hAnsi="Times New Roman"/>
          <w:color w:val="0070C0"/>
          <w:sz w:val="16"/>
          <w:szCs w:val="16"/>
        </w:rPr>
        <w:t>дружеских отношений в целях как на</w:t>
      </w:r>
      <w:r w:rsidRPr="00142305">
        <w:rPr>
          <w:rFonts w:ascii="Times New Roman" w:hAnsi="Times New Roman"/>
          <w:color w:val="0070C0"/>
          <w:sz w:val="16"/>
          <w:szCs w:val="16"/>
        </w:rPr>
        <w:softHyphen/>
        <w:t>ших, так и ваших успехов...</w:t>
      </w:r>
    </w:p>
    <w:p w14:paraId="4B29C07C" w14:textId="77777777" w:rsidR="001A6B4D" w:rsidRPr="00142305" w:rsidRDefault="001A6B4D" w:rsidP="001A6B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Я не являюсь спекулянтом или капита</w:t>
      </w:r>
      <w:r w:rsidRPr="00142305">
        <w:rPr>
          <w:rFonts w:ascii="Times New Roman" w:hAnsi="Times New Roman"/>
          <w:color w:val="0070C0"/>
          <w:sz w:val="16"/>
          <w:szCs w:val="16"/>
        </w:rPr>
        <w:softHyphen/>
        <w:t>листом, я рабочий и заслуживаю быть оплаченным полностью за все то, что я делаю, что является только оплатой за годы учения и личные мои труды в дан</w:t>
      </w:r>
      <w:r w:rsidRPr="00142305">
        <w:rPr>
          <w:rFonts w:ascii="Times New Roman" w:hAnsi="Times New Roman"/>
          <w:color w:val="0070C0"/>
          <w:sz w:val="16"/>
          <w:szCs w:val="16"/>
        </w:rPr>
        <w:softHyphen/>
        <w:t>ной области. Благодарю Вас и остаюсь,</w:t>
      </w:r>
    </w:p>
    <w:p w14:paraId="1BCA2B97" w14:textId="77777777" w:rsidR="001A6B4D" w:rsidRPr="00142305" w:rsidRDefault="001A6B4D" w:rsidP="001A6B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У. Кристи» (25009).</w:t>
      </w:r>
    </w:p>
    <w:p w14:paraId="35F711D4" w14:textId="77777777" w:rsidR="001A6B4D" w:rsidRPr="00142305" w:rsidRDefault="001A6B4D" w:rsidP="001A6B4D">
      <w:pPr>
        <w:spacing w:after="0" w:line="240" w:lineRule="auto"/>
        <w:jc w:val="both"/>
        <w:rPr>
          <w:rFonts w:ascii="Times New Roman" w:hAnsi="Times New Roman"/>
          <w:color w:val="0070C0"/>
          <w:sz w:val="16"/>
          <w:szCs w:val="16"/>
        </w:rPr>
      </w:pPr>
    </w:p>
    <w:p w14:paraId="628999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30 октября и 5 ноября 1931. Из протокола заседания Политбюро № 72, 1931 г.</w:t>
      </w:r>
    </w:p>
    <w:p w14:paraId="53DFC9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 зарплате текстильщиков </w:t>
      </w:r>
    </w:p>
    <w:p w14:paraId="4B3328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...б) Прибавку зарплаты по текстильной промышленности (лен, шерсть и хлопок) наметить такую, которая не уничтожала бы, но сохранила в неприкосновенности расстояние между зарплатами рабочих угля, железнодорожного транспорта и металла, с одной стороны, и прочими отраслями — с другой. </w:t>
      </w:r>
    </w:p>
    <w:p w14:paraId="04A9E9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Прибавку провести с 1 января 1932 года (11652).</w:t>
      </w:r>
    </w:p>
    <w:p w14:paraId="055D6A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BD698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30 октября и 5 ноября 1931. Из протокола заседания Политбюро № 72, 1931 г.</w:t>
      </w:r>
    </w:p>
    <w:p w14:paraId="22A668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 радии </w:t>
      </w:r>
    </w:p>
    <w:p w14:paraId="64FF3C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Поручить тт. Орджоникидзе и Ягоде выяснить наши радийные возможности и в декадный срок сообщить в Политбюро (11652).</w:t>
      </w:r>
    </w:p>
    <w:p w14:paraId="2EBF51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CB71A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30 октября и 5 ноября 1931. Из протокола заседания Политбюро № 72, 1931 г.</w:t>
      </w:r>
    </w:p>
    <w:p w14:paraId="177562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 золоте </w:t>
      </w:r>
    </w:p>
    <w:p w14:paraId="0D3EB3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Уполномочить комиссию по увеличению золотых ресурсов страны принять от имени Политбюро все необходимые меры, какие она (комиссия) найдет нужными, для быстрейшего увеличения золотых ресурсов СССР (11652).</w:t>
      </w:r>
    </w:p>
    <w:p w14:paraId="397E28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7F0A1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30 октября и 5 ноября 1931. Из протокола заседания Политбюро № 73, 1931 г.</w:t>
      </w:r>
    </w:p>
    <w:p w14:paraId="255E98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 ввозе мацы </w:t>
      </w:r>
    </w:p>
    <w:p w14:paraId="3901FD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Разрешить Наркомвнешторгу включить в номенклатуру посылочных операций Торгсина мацу, каковую принимать в порядке индивидуальных посылок из заграницы, и обязать председателя Торгсина тов. Шкляр выручить за эту операцию не менее 1 миллиона рублей в иностранной валюте (11652).</w:t>
      </w:r>
    </w:p>
    <w:p w14:paraId="1C578B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5989B76"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lastRenderedPageBreak/>
        <w:t>Внешняя политика:</w:t>
      </w:r>
    </w:p>
    <w:p w14:paraId="2A90FAD9"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6F42F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30 октября и 5 ноября 1931. Из протокола заседания Политбюро № 73, 1931 г.</w:t>
      </w:r>
    </w:p>
    <w:p w14:paraId="30D989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 Германии </w:t>
      </w:r>
    </w:p>
    <w:p w14:paraId="2484C9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 Разрешить Германскому посольству организовать в Москве небольшую школу для детей сотрудников Германского посольства. </w:t>
      </w:r>
    </w:p>
    <w:p w14:paraId="1528CC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б) Школу эту организовать в виде частной школы, формально не принадлежащей посольству, учреждаемой с разрешения МОНО (Московский отдел народного образования.— "Власть") и подлежащей контролю МОНО. </w:t>
      </w:r>
    </w:p>
    <w:p w14:paraId="593B26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Не возражать против того, чтобы занятия в этой школе велись по программе народных школ и средних учебных заведений Германии (11652).</w:t>
      </w:r>
    </w:p>
    <w:p w14:paraId="4D4831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59A8730"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7441246F"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21FBB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 октября 1931 г. была закончена сборка первого опытного образца 203-мм мортиры "Ж" завода "Красный Путиловец", после чего он был направлен на НИАП (3861).</w:t>
      </w:r>
    </w:p>
    <w:p w14:paraId="1656A3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4B93930" w14:textId="77777777" w:rsidR="0075269A" w:rsidRPr="005E779E" w:rsidRDefault="0075269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 октября 1931 г. была закончена сборка первого опытного образца 203-мм мортиры «Ж», после чего он был направлен на НИАП. После двух выстрелов 15 декабря 1931 г. мортира получила повреждения и была возвращена на завод для исправления, а затем вновь направлена на НИАП.</w:t>
      </w:r>
    </w:p>
    <w:p w14:paraId="20D3914C" w14:textId="77777777" w:rsidR="0075269A" w:rsidRPr="005E779E" w:rsidRDefault="0075269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Советскими конструкторами был успешно выполнен и пункт обеих артиллерийских программ по 203-мм корпусной мортире. Так, КБ завода «Красный Путиловец» (после переименованного в Кировский завод) начало проектирование 203-мм корпусной мортиры «Ж» еще в 1929 г. Длина ствола мортиры составляла 8,25 калибра, а вес ствола с затвором — 1210 кг. Заряжание мортиры раздельно-гильзовое, мортира могла стрелять 203-мм снарядами от гаубиц Б-4 системы Виккерса и системы «Шнейдер — Красный Путиловец».[102]</w:t>
      </w:r>
    </w:p>
    <w:p w14:paraId="6F79E68D" w14:textId="77777777" w:rsidR="0075269A" w:rsidRPr="005E779E" w:rsidRDefault="0075269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22 июня по 31 июля 1932 г. из мортиры сделали еще 153 выстрела. Стрельба велась снарядами весом 81 кг при полном заряде, начальная скорость составляла 260 м/с, а дальность — около 5 км.</w:t>
      </w:r>
    </w:p>
    <w:p w14:paraId="328E962D" w14:textId="77777777" w:rsidR="0075269A" w:rsidRPr="005E779E" w:rsidRDefault="0075269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Испытания на НИАПе продолжались до июля 1934 г., мортира «Ж» показала в целом неплохие результаты, но на вооружение принята не была. Возможно, читатель заметит, что дальность стрельбы мортиры составляла всего 5 км, а, мол, у 203-мм гаубицы Б-4 — 17,9 км. Но дальность была задана системой артиллерийского вооружения на 1929–1932 гг. А главное, мортира «Ж» весила 3,64 т, а Б-4 — 17 т, то есть в 4,7 раза больше, и стоила в несколько раз дороже, а фугасное действие снаряда мортиры «Ж» могло быть сильнее, чем у Б-4. Наконец, максимальный угол возвышения у Б-4 составлял 60°, а у мортиры «Ж» — 75°, что очень важно для боевых действий на пересеченной местности, в городе, для поражения закрытых позиций и т. д. (12705).</w:t>
      </w:r>
    </w:p>
    <w:p w14:paraId="23240601" w14:textId="77777777" w:rsidR="0075269A" w:rsidRPr="005E779E" w:rsidRDefault="0075269A" w:rsidP="000B7A6C">
      <w:pPr>
        <w:spacing w:after="0" w:line="240" w:lineRule="auto"/>
        <w:jc w:val="both"/>
        <w:rPr>
          <w:rFonts w:ascii="Times New Roman" w:hAnsi="Times New Roman"/>
          <w:color w:val="000000" w:themeColor="text1"/>
          <w:sz w:val="16"/>
          <w:szCs w:val="16"/>
        </w:rPr>
      </w:pPr>
    </w:p>
    <w:p w14:paraId="3A0DF312" w14:textId="77777777" w:rsidR="001A6B4D" w:rsidRPr="00142305" w:rsidRDefault="001A6B4D" w:rsidP="001A6B4D">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31 октября 1931 г. была закончена сборка 203-мм корпусная мортира «Ж», разрабатываемая КБ завода «Красный путиловец» (после переименованного в Кировский завод) еще с 1929 г. Длина ствола мортиры составляла 8,25 калибра, а вес ствола с затвором — 1210 кг. Заряжание мортиры раздельно-гильзовое, мортира могла стрелять 203-мм снарядами от гаубиц Б-4 системы Виккерса и системы «Шнейдер — «Красный путиловец».</w:t>
      </w:r>
    </w:p>
    <w:p w14:paraId="4432BFF9" w14:textId="77777777" w:rsidR="001A6B4D" w:rsidRPr="00142305" w:rsidRDefault="001A6B4D" w:rsidP="001A6B4D">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Мортира была направлен на НИАП. После двух выстрелов 15 декабря 1931 г. мортира получила повреждения и была возвращена на завод для исправления, а затем вновь направлена на НИАП.</w:t>
      </w:r>
    </w:p>
    <w:p w14:paraId="69FB8367" w14:textId="77777777" w:rsidR="001A6B4D" w:rsidRPr="00142305" w:rsidRDefault="001A6B4D" w:rsidP="001A6B4D">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С 22 июня по 31 июля 1932 г. из мортиры сделали еще 153 выстрела. Стрельба велась снарядами весом 81 кг при полном заряде, начальная скорость составляла 260 м/с, а дальность — около 5 км.</w:t>
      </w:r>
    </w:p>
    <w:p w14:paraId="70ECFF59" w14:textId="77777777" w:rsidR="001A6B4D" w:rsidRPr="00142305" w:rsidRDefault="001A6B4D" w:rsidP="001A6B4D">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Испытания на НИАПе продолжались до июля 1934 г., мортира «Ж» показала в целом неплохие результаты, но на вооружение принята не была. Возможно, читатель заметит, что дальность стрельбы мортиры составляла всего 5 км, а, мол, у 203-мм гаубицы Б-4 — 17,9 км. Но дальность была задана системой артиллерийского вооружения на 1929–1932 гг. А главное, мортира «Ж» весила 3,64 т, а Б-4 — 17 т, то есть в 4,7 раза больше, и стоила в несколько раз дороже, а фугасное действие снаряда мортиры «Ж» могло быть сильнее, чем у Б-4. Наконец, максимальный угол возвышения у Б-4 составлял 60°, а у мортиры «Ж» — 75°, что очень важно для боевых действий на пересеченной местности, в городе, для поражения закрытых позиций и т. д. (25283).</w:t>
      </w:r>
    </w:p>
    <w:p w14:paraId="4F0CFFFA" w14:textId="77777777" w:rsidR="001A6B4D" w:rsidRPr="00142305" w:rsidRDefault="001A6B4D" w:rsidP="001A6B4D">
      <w:pPr>
        <w:spacing w:after="0" w:line="240" w:lineRule="auto"/>
        <w:jc w:val="both"/>
        <w:rPr>
          <w:rFonts w:ascii="Times New Roman" w:hAnsi="Times New Roman"/>
          <w:color w:val="0070C0"/>
          <w:sz w:val="16"/>
          <w:szCs w:val="16"/>
        </w:rPr>
      </w:pPr>
    </w:p>
    <w:p w14:paraId="2D18A1C2" w14:textId="77777777" w:rsidR="00C477AB" w:rsidRPr="005E779E" w:rsidRDefault="00C477A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 октября 1931 года собрали Т-23, вместе с мотором. Башню машина так и не получила, да и была уже не нужна. Вместо танкетки получился аналог английского "патрульного" танка, с явно устаревшей конструкцией всех агрегатов. Поэтому судьба у Т-23 оказалась такой же, как и других похожих разработок - Т-17, Т-19 и Т-20. Опытный образец даже не стали испытывать и позже отправили, как учебное пособие, в Академию Механизации и Моторизации. А вот тема машины отнюдь не умерла. Тот самый "мобилизационный танк" Т-34, предлагавшийся Тухачевским - это ничто иное, как прямое развитие идеи Т-23, но уже на совсем другой агрегатной базе. Да и безумцем Тухачевского тут назвать сложно: предлагавшаяся им боевая машина повторяла "патрульные" танки Vickers-Carden-Loyd. Совершенно внезапно и Т-34, и "Виккерс 4-тонный" имели схожую боевую массу, как и компоновочные решения. Таким образом, вместо танкетки тема плавно перетекла в боевую машину, очень популярную в 30-е годы (22492).</w:t>
      </w:r>
    </w:p>
    <w:p w14:paraId="25026738" w14:textId="77777777" w:rsidR="00C477AB" w:rsidRPr="005E779E" w:rsidRDefault="00C477AB" w:rsidP="000B7A6C">
      <w:pPr>
        <w:spacing w:after="0" w:line="240" w:lineRule="auto"/>
        <w:jc w:val="both"/>
        <w:rPr>
          <w:rFonts w:ascii="Times New Roman" w:hAnsi="Times New Roman"/>
          <w:color w:val="000000" w:themeColor="text1"/>
          <w:sz w:val="16"/>
          <w:szCs w:val="16"/>
        </w:rPr>
      </w:pPr>
    </w:p>
    <w:p w14:paraId="683E9DB7" w14:textId="77777777" w:rsidR="00C477AB" w:rsidRPr="005E779E" w:rsidRDefault="00C477A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 октября 1931 года новый паровоз ФД был представлен общественности.</w:t>
      </w:r>
    </w:p>
    <w:p w14:paraId="45357588" w14:textId="77777777" w:rsidR="00C477AB" w:rsidRPr="005E779E" w:rsidRDefault="00C477A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ноября 1931 года состав, ведомый ФД20-1, выехал с рабочей делегацией Луганского паровозостроительного завода и прибыл в Москву 6 ноября, в канун празднования революции.</w:t>
      </w:r>
    </w:p>
    <w:p w14:paraId="2EEACC82" w14:textId="77777777" w:rsidR="00C477AB" w:rsidRPr="005E779E" w:rsidRDefault="00C477A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Проектирование и постройка первого паровоза серии заняли рекордно короткий срок — 170 дней, и это при том, что на нём было применено множество нововведений, которые кардинально изменили советскую школу паровозостроения. Являлся одним из мощнейших советских серийных паровозов и имел среди них самую высокую силу тяги.</w:t>
      </w:r>
    </w:p>
    <w:p w14:paraId="00B45280" w14:textId="77777777" w:rsidR="00C477AB" w:rsidRPr="005E779E" w:rsidRDefault="00C477A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тендере второго опытного паровоза была надпись: «Техника в период реконструкции решает всё». И. Сталин.</w:t>
      </w:r>
    </w:p>
    <w:p w14:paraId="20CD9F9D" w14:textId="77777777" w:rsidR="00C477AB" w:rsidRPr="005E779E" w:rsidRDefault="00C477A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Служебный вес паровоза: 134,4 т</w:t>
      </w:r>
    </w:p>
    <w:p w14:paraId="0B711CD6" w14:textId="77777777" w:rsidR="00C477AB" w:rsidRPr="005E779E" w:rsidRDefault="00C477A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Мощность: до 3100 л. с.</w:t>
      </w:r>
    </w:p>
    <w:p w14:paraId="0D6BF1B5" w14:textId="77777777" w:rsidR="00C477AB" w:rsidRPr="005E779E" w:rsidRDefault="00C477A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Конструкционная скорость: 85 км/ч</w:t>
      </w:r>
    </w:p>
    <w:p w14:paraId="0124722E" w14:textId="5898442D" w:rsidR="00C477AB" w:rsidRPr="005E779E" w:rsidRDefault="00C477A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октября 1931 г. был построен первый паровоз типа 1-5-1. 6 ноября 1931 г., к XIV годовщине Великой Октябрьской социалистической революции, паровоз ФД20-1, самый мощный и сильный серийный грузовой паровоз в истории СССР, привез поезд с рабочей делегацией завода из Луганска в Москву</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(21166).</w:t>
      </w:r>
    </w:p>
    <w:p w14:paraId="6E3CFA21" w14:textId="77777777" w:rsidR="00C477AB" w:rsidRPr="005E779E" w:rsidRDefault="00C477AB" w:rsidP="000B7A6C">
      <w:pPr>
        <w:spacing w:after="0" w:line="240" w:lineRule="auto"/>
        <w:jc w:val="both"/>
        <w:rPr>
          <w:rFonts w:ascii="Times New Roman" w:hAnsi="Times New Roman"/>
          <w:color w:val="000000" w:themeColor="text1"/>
          <w:sz w:val="16"/>
          <w:szCs w:val="16"/>
        </w:rPr>
      </w:pPr>
    </w:p>
    <w:p w14:paraId="3454BB04" w14:textId="77777777" w:rsidR="00C477AB" w:rsidRPr="005E779E" w:rsidRDefault="00C477A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31 октября 1931 г. первый экземпляр нового локомотива ФД был продемонстрирован общественности Испытания его (и второго экземпляра, изготовленного в 1932 г.) показали высокие эксплуатационные качества нового паровоза. В 1933 г. начался се</w:t>
      </w:r>
      <w:r w:rsidRPr="005E779E">
        <w:rPr>
          <w:rFonts w:ascii="Times New Roman" w:hAnsi="Times New Roman"/>
          <w:color w:val="000000" w:themeColor="text1"/>
          <w:sz w:val="16"/>
          <w:szCs w:val="16"/>
          <w:lang w:eastAsia="ru-RU" w:bidi="ru-RU"/>
        </w:rPr>
        <w:softHyphen/>
        <w:t>рийный выпуск локомотивов ФД, и до осени 1941 г. (времени эвакуации предприятия) Луганский завод из</w:t>
      </w:r>
      <w:r w:rsidRPr="005E779E">
        <w:rPr>
          <w:rFonts w:ascii="Times New Roman" w:hAnsi="Times New Roman"/>
          <w:color w:val="000000" w:themeColor="text1"/>
          <w:sz w:val="16"/>
          <w:szCs w:val="16"/>
          <w:lang w:eastAsia="ru-RU" w:bidi="ru-RU"/>
        </w:rPr>
        <w:softHyphen/>
        <w:t>готовил 3123 таких паровоза (23180).</w:t>
      </w:r>
    </w:p>
    <w:p w14:paraId="319748D1" w14:textId="77777777" w:rsidR="00C477AB" w:rsidRPr="005E779E" w:rsidRDefault="00C477AB" w:rsidP="000B7A6C">
      <w:pPr>
        <w:spacing w:after="0" w:line="240" w:lineRule="auto"/>
        <w:jc w:val="both"/>
        <w:rPr>
          <w:rFonts w:ascii="Times New Roman" w:hAnsi="Times New Roman"/>
          <w:color w:val="000000" w:themeColor="text1"/>
          <w:sz w:val="16"/>
          <w:szCs w:val="16"/>
        </w:rPr>
      </w:pPr>
    </w:p>
    <w:p w14:paraId="38071D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 октября 1931 г. по приказу Татаптекоуправления была образована Казанская химико-фармацевтическая фабрика, по приказа НКЗ РСФСР от 5.04.1939г. фабрика реорганизована в Казанский химико-фармацевтический завод № 11 (Завод № 11 НКЗ, Казанский химико-фармацевтический завод Минмедпрома, Казанское производственное химико-фармацевтическое объединение «Татхимфармпрепараты» Минмедпрома /420091 г. Казань ул. Беломорская, 260/).</w:t>
      </w:r>
    </w:p>
    <w:p w14:paraId="03F210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1941 г. на заводе организован специальный химический цех по выпуску медицинских препаратов. Создан бинтомотальный станок. Также в годы войны организована специальная экспериментальная лаборатория. Было расширено производство перевязочных средств, мазей от обморожения и ожогов и препаратов для дезинфекции.</w:t>
      </w:r>
    </w:p>
    <w:p w14:paraId="78637E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Минмедпрома от 30.12.1976г. завод реорганизован в Казанское производственное химико- фармацевтическое объединение «Татхимфармпрепараты».</w:t>
      </w:r>
    </w:p>
    <w:p w14:paraId="1C0204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Производство:</w:t>
      </w:r>
      <w:r w:rsidRPr="005E779E">
        <w:rPr>
          <w:rFonts w:ascii="Times New Roman" w:hAnsi="Times New Roman"/>
          <w:color w:val="000000" w:themeColor="text1"/>
          <w:sz w:val="16"/>
          <w:szCs w:val="16"/>
        </w:rPr>
        <w:t xml:space="preserve"> уротропин, хлористый кальций, сернокислый барий, лимоннокислый натрий (1941-), хлороформ, масла, спирты, таблетки шиповника, мази от обморожения и ожогов, препараты для дезинфекции (ВОВ).</w:t>
      </w:r>
    </w:p>
    <w:p w14:paraId="14674B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9D0F1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 октября 1931 г. В. М. Орлов утвердил четвертый вариант модернизации минного заградителя 18 Марта (б. императорской яхты Штандарт), который был рас</w:t>
      </w:r>
      <w:r w:rsidRPr="005E779E">
        <w:rPr>
          <w:rFonts w:ascii="Times New Roman" w:hAnsi="Times New Roman"/>
          <w:color w:val="000000" w:themeColor="text1"/>
          <w:sz w:val="16"/>
          <w:szCs w:val="16"/>
        </w:rPr>
        <w:softHyphen/>
        <w:t>считан на 545 мин образца 1926 г., из них 310 размещались на главной палубе, 125 — на верхней, а 110 — в специальном минном погребе впереди носового котельного отделения. Работа четырех электрических кранов (по 1,5 т) и двух лифтов (на 2 мины каж</w:t>
      </w:r>
      <w:r w:rsidRPr="005E779E">
        <w:rPr>
          <w:rFonts w:ascii="Times New Roman" w:hAnsi="Times New Roman"/>
          <w:color w:val="000000" w:themeColor="text1"/>
          <w:sz w:val="16"/>
          <w:szCs w:val="16"/>
        </w:rPr>
        <w:softHyphen/>
        <w:t>дый) обеспечивала прием полного минного запаса в течении 3,5 ч. Расчетное время постановки всех мин составило 30 мин. Утверж</w:t>
      </w:r>
      <w:r w:rsidRPr="005E779E">
        <w:rPr>
          <w:rFonts w:ascii="Times New Roman" w:hAnsi="Times New Roman"/>
          <w:color w:val="000000" w:themeColor="text1"/>
          <w:sz w:val="16"/>
          <w:szCs w:val="16"/>
        </w:rPr>
        <w:softHyphen/>
        <w:t>дая проект, новый наморси приказал довести его артвооружение до четырех 130-мм орудий длиной в 55 калибров, приняв для них ли</w:t>
      </w:r>
      <w:r w:rsidRPr="005E779E">
        <w:rPr>
          <w:rFonts w:ascii="Times New Roman" w:hAnsi="Times New Roman"/>
          <w:color w:val="000000" w:themeColor="text1"/>
          <w:sz w:val="16"/>
          <w:szCs w:val="16"/>
        </w:rPr>
        <w:softHyphen/>
        <w:t>нейно-возвышенное расположение. Срок готовности корабля был установлен к 1 августа 1933 г., полная стоимость переоборудова</w:t>
      </w:r>
      <w:r w:rsidRPr="005E779E">
        <w:rPr>
          <w:rFonts w:ascii="Times New Roman" w:hAnsi="Times New Roman"/>
          <w:color w:val="000000" w:themeColor="text1"/>
          <w:sz w:val="16"/>
          <w:szCs w:val="16"/>
        </w:rPr>
        <w:softHyphen/>
        <w:t>ния — 1730 тыс. руб.</w:t>
      </w:r>
    </w:p>
    <w:p w14:paraId="3FCB51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Однако только утверждение программы 1933 г. позволило на</w:t>
      </w:r>
      <w:r w:rsidRPr="005E779E">
        <w:rPr>
          <w:rFonts w:ascii="Times New Roman" w:hAnsi="Times New Roman"/>
          <w:color w:val="000000" w:themeColor="text1"/>
          <w:sz w:val="16"/>
          <w:szCs w:val="16"/>
        </w:rPr>
        <w:softHyphen/>
        <w:t>чать работы на "Штандарте", который был поставлен у стенки заво</w:t>
      </w:r>
      <w:r w:rsidRPr="005E779E">
        <w:rPr>
          <w:rFonts w:ascii="Times New Roman" w:hAnsi="Times New Roman"/>
          <w:color w:val="000000" w:themeColor="text1"/>
          <w:sz w:val="16"/>
          <w:szCs w:val="16"/>
        </w:rPr>
        <w:softHyphen/>
        <w:t>да им. А. Марти. Действительная стоимость переоборудования, включавшего изменения внутреннего расположения, замену кот</w:t>
      </w:r>
      <w:r w:rsidRPr="005E779E">
        <w:rPr>
          <w:rFonts w:ascii="Times New Roman" w:hAnsi="Times New Roman"/>
          <w:color w:val="000000" w:themeColor="text1"/>
          <w:sz w:val="16"/>
          <w:szCs w:val="16"/>
        </w:rPr>
        <w:softHyphen/>
        <w:t>лов, подкрепление палуб и сооружение новых надстроек, в 1924 г. достигла 8 млн руб., а к концу ремонта — 10,5 млн руб. Сам ко</w:t>
      </w:r>
      <w:r w:rsidRPr="005E779E">
        <w:rPr>
          <w:rFonts w:ascii="Times New Roman" w:hAnsi="Times New Roman"/>
          <w:color w:val="000000" w:themeColor="text1"/>
          <w:sz w:val="16"/>
          <w:szCs w:val="16"/>
        </w:rPr>
        <w:softHyphen/>
        <w:t>рабль 28 августа 1934 г. получил имя "Марти".</w:t>
      </w:r>
    </w:p>
    <w:p w14:paraId="760FA4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испытаниях в 1936 г. минный заградитель развил скорость 18,7 уз (мощность около 11420 л. с.). К сожалению, стремление к экономии помешало заменить главные машины турбинами, и ско</w:t>
      </w:r>
      <w:r w:rsidRPr="005E779E">
        <w:rPr>
          <w:rFonts w:ascii="Times New Roman" w:hAnsi="Times New Roman"/>
          <w:color w:val="000000" w:themeColor="text1"/>
          <w:sz w:val="16"/>
          <w:szCs w:val="16"/>
        </w:rPr>
        <w:softHyphen/>
        <w:t xml:space="preserve">рость оказалась несколько ниже проектной (20 уз). Тем не менее "Марти" оказался весьма ценным приобретением для Балтийского флота. </w:t>
      </w:r>
      <w:r w:rsidRPr="005E779E">
        <w:rPr>
          <w:rFonts w:ascii="Times New Roman" w:hAnsi="Times New Roman"/>
          <w:color w:val="000000" w:themeColor="text1"/>
          <w:sz w:val="16"/>
          <w:szCs w:val="16"/>
        </w:rPr>
        <w:lastRenderedPageBreak/>
        <w:t>При полном водоизмещении 6189 т (главные размерения 122,3х15,4х6,7 м) он принимал до 580 мин заграждения (обр. 1912 г.). В дополнение к четырем 130-мм орудиям на заградителе поставили семь 76-мм новых зенитньхх орудий, три 45-мм полуав</w:t>
      </w:r>
      <w:r w:rsidRPr="005E779E">
        <w:rPr>
          <w:rFonts w:ascii="Times New Roman" w:hAnsi="Times New Roman"/>
          <w:color w:val="000000" w:themeColor="text1"/>
          <w:sz w:val="16"/>
          <w:szCs w:val="16"/>
        </w:rPr>
        <w:softHyphen/>
        <w:t>томата 21К, три дальномера и два паравана-охранителя К-1.</w:t>
      </w:r>
    </w:p>
    <w:p w14:paraId="5125FA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 время войны "Марти", который немцы не без оснований на</w:t>
      </w:r>
      <w:r w:rsidRPr="005E779E">
        <w:rPr>
          <w:rFonts w:ascii="Times New Roman" w:hAnsi="Times New Roman"/>
          <w:color w:val="000000" w:themeColor="text1"/>
          <w:sz w:val="16"/>
          <w:szCs w:val="16"/>
        </w:rPr>
        <w:softHyphen/>
        <w:t>зывали "минным крейсером", сыграл главную роль в постановке центрального минного заграждения в Финском заливе, отличился при эвакуации гарнизона Ханко в ноябре —- декабре 1941 г., сбил шесть самолетов противника. 3 апреля 1942 г. он был удостоен гвардейского звания, а после войны под наименованием "Ока" (с 1948 г.) продолжал нести службу до 1961 г., когда был использован в качестве мишени при ракетнь1х стрельбах и пошел на слом (3898).</w:t>
      </w:r>
    </w:p>
    <w:p w14:paraId="39131E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D799BC9"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2D5A3607"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8D7735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 октября 1931 в Луганске выпущен первый в СССР тяжелый грузовой паровоз серии «Феликс Дзержинский» (4962).</w:t>
      </w:r>
    </w:p>
    <w:p w14:paraId="7C71F2A1" w14:textId="0968ABC1"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91AF28" w14:textId="5AC98FBF" w:rsidR="00622EB9" w:rsidRPr="005E779E" w:rsidRDefault="00622EB9" w:rsidP="000B7A6C">
      <w:pPr>
        <w:tabs>
          <w:tab w:val="left" w:pos="11199"/>
        </w:tabs>
        <w:autoSpaceDE w:val="0"/>
        <w:autoSpaceDN w:val="0"/>
        <w:adjustRightInd w:val="0"/>
        <w:spacing w:after="0" w:line="240" w:lineRule="auto"/>
        <w:jc w:val="both"/>
        <w:rPr>
          <w:rFonts w:ascii="Times New Roman" w:hAnsi="Times New Roman"/>
          <w:i/>
          <w:iCs/>
          <w:color w:val="000000" w:themeColor="text1"/>
          <w:sz w:val="16"/>
          <w:szCs w:val="16"/>
        </w:rPr>
      </w:pPr>
      <w:r w:rsidRPr="005E779E">
        <w:rPr>
          <w:rFonts w:ascii="Times New Roman" w:hAnsi="Times New Roman"/>
          <w:i/>
          <w:iCs/>
          <w:color w:val="000000" w:themeColor="text1"/>
          <w:sz w:val="16"/>
          <w:szCs w:val="16"/>
        </w:rPr>
        <w:t>За рубежом:</w:t>
      </w:r>
    </w:p>
    <w:p w14:paraId="11F876F5" w14:textId="77777777" w:rsidR="00622EB9" w:rsidRPr="005E779E" w:rsidRDefault="00622EB9" w:rsidP="000B7A6C">
      <w:pPr>
        <w:tabs>
          <w:tab w:val="left" w:pos="11199"/>
        </w:tabs>
        <w:autoSpaceDE w:val="0"/>
        <w:autoSpaceDN w:val="0"/>
        <w:adjustRightInd w:val="0"/>
        <w:spacing w:after="0" w:line="240" w:lineRule="auto"/>
        <w:jc w:val="both"/>
        <w:rPr>
          <w:rFonts w:ascii="Times New Roman" w:hAnsi="Times New Roman"/>
          <w:i/>
          <w:iCs/>
          <w:color w:val="000000" w:themeColor="text1"/>
          <w:sz w:val="16"/>
          <w:szCs w:val="16"/>
        </w:rPr>
      </w:pPr>
    </w:p>
    <w:p w14:paraId="4BF349A8" w14:textId="77777777" w:rsidR="00622EB9" w:rsidRPr="005E779E" w:rsidRDefault="00622EB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 октября 1931 состоялся первый полет Вестленд Уоллес (20804).</w:t>
      </w:r>
    </w:p>
    <w:p w14:paraId="4F5D9682" w14:textId="77777777" w:rsidR="00622EB9" w:rsidRPr="005E779E" w:rsidRDefault="00622EB9" w:rsidP="000B7A6C">
      <w:pPr>
        <w:spacing w:after="0" w:line="240" w:lineRule="auto"/>
        <w:jc w:val="both"/>
        <w:rPr>
          <w:rFonts w:ascii="Times New Roman" w:hAnsi="Times New Roman"/>
          <w:color w:val="000000" w:themeColor="text1"/>
          <w:sz w:val="16"/>
          <w:szCs w:val="16"/>
        </w:rPr>
      </w:pPr>
    </w:p>
    <w:p w14:paraId="5463E952" w14:textId="77777777" w:rsidR="00622EB9" w:rsidRPr="005E779E" w:rsidRDefault="00622EB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 октября 1931 - Первый полёт Westland Wallace. По британской классификации "Уоллэс" относился к самолётам так называемого "Общего назначения", совмещавших функции ближних разведчиков, самолётов связи и непосредственной поддержки. По существу, он являлся модификацией довольно известного "одноклассника" 20-х гг. "Уопити". Этот сравнительно большой биплан имел цельнометаллическую конструкцию, но его крылья и фюзеляж обтягивались полотном. С целью унификации и удешевления производства в нём использовали узлы знаменитого DH.9 (22320).</w:t>
      </w:r>
    </w:p>
    <w:p w14:paraId="17FABE71" w14:textId="77777777" w:rsidR="00622EB9" w:rsidRPr="005E779E" w:rsidRDefault="00622EB9" w:rsidP="000B7A6C">
      <w:pPr>
        <w:spacing w:after="0" w:line="240" w:lineRule="auto"/>
        <w:jc w:val="both"/>
        <w:rPr>
          <w:rFonts w:ascii="Times New Roman" w:hAnsi="Times New Roman"/>
          <w:color w:val="000000" w:themeColor="text1"/>
          <w:sz w:val="16"/>
          <w:szCs w:val="16"/>
        </w:rPr>
      </w:pPr>
    </w:p>
    <w:p w14:paraId="3A75F2B7"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59ED236E"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CD1CB29" w14:textId="77777777" w:rsidR="001A6B4D" w:rsidRPr="00142305" w:rsidRDefault="001A6B4D" w:rsidP="001A6B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концу октября 1931 г. все необходимые в заводские чертежи Ш-2 по</w:t>
      </w:r>
      <w:r w:rsidRPr="00142305">
        <w:rPr>
          <w:rFonts w:ascii="Times New Roman" w:hAnsi="Times New Roman"/>
          <w:color w:val="0070C0"/>
          <w:sz w:val="16"/>
          <w:szCs w:val="16"/>
        </w:rPr>
        <w:softHyphen/>
        <w:t>правки были внесены Шавровым. Серийные машины должны были отли</w:t>
      </w:r>
      <w:r w:rsidRPr="00142305">
        <w:rPr>
          <w:rFonts w:ascii="Times New Roman" w:hAnsi="Times New Roman"/>
          <w:color w:val="0070C0"/>
          <w:sz w:val="16"/>
          <w:szCs w:val="16"/>
        </w:rPr>
        <w:softHyphen/>
        <w:t>чаться от опытного образца. В основном отличия основывались на предложениях НИИ ГВФ после испытаний. В носовой части лодки намеревались усилить часть шпангоутов, заменив местами сосну на ясень. Редан должен был быть несъём</w:t>
      </w:r>
      <w:r w:rsidRPr="00142305">
        <w:rPr>
          <w:rFonts w:ascii="Times New Roman" w:hAnsi="Times New Roman"/>
          <w:color w:val="0070C0"/>
          <w:sz w:val="16"/>
          <w:szCs w:val="16"/>
        </w:rPr>
        <w:softHyphen/>
        <w:t>ным и с утолщённой обшивкой.</w:t>
      </w:r>
    </w:p>
    <w:p w14:paraId="076BBD96" w14:textId="77777777" w:rsidR="001A6B4D" w:rsidRPr="00142305" w:rsidRDefault="001A6B4D" w:rsidP="001A6B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Разъём между лонжеронами центро</w:t>
      </w:r>
      <w:r w:rsidRPr="00142305">
        <w:rPr>
          <w:rFonts w:ascii="Times New Roman" w:hAnsi="Times New Roman"/>
          <w:color w:val="0070C0"/>
          <w:sz w:val="16"/>
          <w:szCs w:val="16"/>
        </w:rPr>
        <w:softHyphen/>
        <w:t>плана и консолей на верхнем крыле под</w:t>
      </w:r>
      <w:r w:rsidRPr="00142305">
        <w:rPr>
          <w:rFonts w:ascii="Times New Roman" w:hAnsi="Times New Roman"/>
          <w:color w:val="0070C0"/>
          <w:sz w:val="16"/>
          <w:szCs w:val="16"/>
        </w:rPr>
        <w:softHyphen/>
        <w:t>лежал переделке. Торцевые нервюры у стыка хотели делать из дюралюминия. Дюралюминиевые трубы каплевидного сечения в средних и задних подкосах цен</w:t>
      </w:r>
      <w:r w:rsidRPr="00142305">
        <w:rPr>
          <w:rFonts w:ascii="Times New Roman" w:hAnsi="Times New Roman"/>
          <w:color w:val="0070C0"/>
          <w:sz w:val="16"/>
          <w:szCs w:val="16"/>
        </w:rPr>
        <w:softHyphen/>
        <w:t>троплана намеревались заменить сталь</w:t>
      </w:r>
      <w:r w:rsidRPr="00142305">
        <w:rPr>
          <w:rFonts w:ascii="Times New Roman" w:hAnsi="Times New Roman"/>
          <w:color w:val="0070C0"/>
          <w:sz w:val="16"/>
          <w:szCs w:val="16"/>
        </w:rPr>
        <w:softHyphen/>
        <w:t>ными. Элероны щелевого типа должны были навешиваться не на петлях, а на кронштейнах. В лонжеронах рулей пла</w:t>
      </w:r>
      <w:r w:rsidRPr="00142305">
        <w:rPr>
          <w:rFonts w:ascii="Times New Roman" w:hAnsi="Times New Roman"/>
          <w:color w:val="0070C0"/>
          <w:sz w:val="16"/>
          <w:szCs w:val="16"/>
        </w:rPr>
        <w:softHyphen/>
        <w:t>нировали использовать не сплошные бруски, а изготовлять их в форме дву</w:t>
      </w:r>
      <w:r w:rsidRPr="00142305">
        <w:rPr>
          <w:rFonts w:ascii="Times New Roman" w:hAnsi="Times New Roman"/>
          <w:color w:val="0070C0"/>
          <w:sz w:val="16"/>
          <w:szCs w:val="16"/>
        </w:rPr>
        <w:softHyphen/>
        <w:t>тавра. В целом запас прочности планёра доводился до 8.</w:t>
      </w:r>
    </w:p>
    <w:p w14:paraId="4B54E73A" w14:textId="77777777" w:rsidR="001A6B4D" w:rsidRPr="00142305" w:rsidRDefault="001A6B4D" w:rsidP="001A6B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Шасси требовали поднять на 70 мм, сделав стойки из стали ХМА. Предложе</w:t>
      </w:r>
      <w:r w:rsidRPr="00142305">
        <w:rPr>
          <w:rFonts w:ascii="Times New Roman" w:hAnsi="Times New Roman"/>
          <w:color w:val="0070C0"/>
          <w:sz w:val="16"/>
          <w:szCs w:val="16"/>
        </w:rPr>
        <w:softHyphen/>
        <w:t>ние ввести механические тормоза колёс, поступившее в ноябре 1930 г., проигно</w:t>
      </w:r>
      <w:r w:rsidRPr="00142305">
        <w:rPr>
          <w:rFonts w:ascii="Times New Roman" w:hAnsi="Times New Roman"/>
          <w:color w:val="0070C0"/>
          <w:sz w:val="16"/>
          <w:szCs w:val="16"/>
        </w:rPr>
        <w:softHyphen/>
        <w:t>рировали. Намечались также доработка костыля, использование в системе управ</w:t>
      </w:r>
      <w:r w:rsidRPr="00142305">
        <w:rPr>
          <w:rFonts w:ascii="Times New Roman" w:hAnsi="Times New Roman"/>
          <w:color w:val="0070C0"/>
          <w:sz w:val="16"/>
          <w:szCs w:val="16"/>
        </w:rPr>
        <w:softHyphen/>
        <w:t>ления тросов меньшего сечения, замена нормального второго управления съём</w:t>
      </w:r>
      <w:r w:rsidRPr="00142305">
        <w:rPr>
          <w:rFonts w:ascii="Times New Roman" w:hAnsi="Times New Roman"/>
          <w:color w:val="0070C0"/>
          <w:sz w:val="16"/>
          <w:szCs w:val="16"/>
        </w:rPr>
        <w:softHyphen/>
        <w:t>ной ручкой, усиление педалей.</w:t>
      </w:r>
    </w:p>
    <w:p w14:paraId="13377DB4" w14:textId="77777777" w:rsidR="001A6B4D" w:rsidRPr="00142305" w:rsidRDefault="001A6B4D" w:rsidP="001A6B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мотораме дюралюминиевое переднее кольцо меняли на стальное, вводили ка</w:t>
      </w:r>
      <w:r w:rsidRPr="00142305">
        <w:rPr>
          <w:rFonts w:ascii="Times New Roman" w:hAnsi="Times New Roman"/>
          <w:color w:val="0070C0"/>
          <w:sz w:val="16"/>
          <w:szCs w:val="16"/>
        </w:rPr>
        <w:softHyphen/>
        <w:t>потирование картера двигателя. Запас горючего и масла увеличивался, баки ре</w:t>
      </w:r>
      <w:r w:rsidRPr="00142305">
        <w:rPr>
          <w:rFonts w:ascii="Times New Roman" w:hAnsi="Times New Roman"/>
          <w:color w:val="0070C0"/>
          <w:sz w:val="16"/>
          <w:szCs w:val="16"/>
        </w:rPr>
        <w:softHyphen/>
        <w:t>шили делать из дешёвого лужёного желе</w:t>
      </w:r>
      <w:r w:rsidRPr="00142305">
        <w:rPr>
          <w:rFonts w:ascii="Times New Roman" w:hAnsi="Times New Roman"/>
          <w:color w:val="0070C0"/>
          <w:sz w:val="16"/>
          <w:szCs w:val="16"/>
        </w:rPr>
        <w:softHyphen/>
        <w:t>за. В нижнем (основном) топливном баке требовали поставить бензиномер (24952).</w:t>
      </w:r>
    </w:p>
    <w:p w14:paraId="52DE2FDE" w14:textId="77777777" w:rsidR="001A6B4D" w:rsidRPr="00142305" w:rsidRDefault="001A6B4D" w:rsidP="001A6B4D">
      <w:pPr>
        <w:spacing w:after="0" w:line="240" w:lineRule="auto"/>
        <w:jc w:val="both"/>
        <w:rPr>
          <w:rFonts w:ascii="Times New Roman" w:hAnsi="Times New Roman"/>
          <w:color w:val="0070C0"/>
          <w:sz w:val="16"/>
          <w:szCs w:val="16"/>
        </w:rPr>
      </w:pPr>
    </w:p>
    <w:p w14:paraId="797521B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октября 1931 КГ КАСКР опубликовала рапорт руководдству страны о результатах испытаний автожира КАСКР-2, в котором он был назван “вертолет” (8320,20).</w:t>
      </w:r>
    </w:p>
    <w:p w14:paraId="1D9AE21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DF5A66"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689BEC0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0BB5E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октября 1931 КБ, которое разрабатывало танк Гротте, получило задание на проектирование с учетом постройки ТГ нового многобашенного танка прорыва массой 35 т. Получился Т-35 (4402).</w:t>
      </w:r>
    </w:p>
    <w:p w14:paraId="6F3495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F671AB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октября 1931 года группа Астрова выполнила проект ПТ и предъявила специальной комиссии. Проект был рас</w:t>
      </w:r>
      <w:r w:rsidRPr="005E779E">
        <w:rPr>
          <w:rFonts w:ascii="Times New Roman" w:hAnsi="Times New Roman"/>
          <w:color w:val="000000" w:themeColor="text1"/>
          <w:sz w:val="16"/>
          <w:szCs w:val="16"/>
        </w:rPr>
        <w:softHyphen/>
        <w:t>смотрен благожелательно, но забракован, и дан месячный срок для устра</w:t>
      </w:r>
      <w:r w:rsidRPr="005E779E">
        <w:rPr>
          <w:rFonts w:ascii="Times New Roman" w:hAnsi="Times New Roman"/>
          <w:color w:val="000000" w:themeColor="text1"/>
          <w:sz w:val="16"/>
          <w:szCs w:val="16"/>
        </w:rPr>
        <w:softHyphen/>
        <w:t>нения замечаний. Положение группы Астрова было более чем трудным (11504).</w:t>
      </w:r>
    </w:p>
    <w:p w14:paraId="417935C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73DD45" w14:textId="77777777" w:rsidR="00622EB9" w:rsidRPr="005E779E" w:rsidRDefault="00622EB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октября 1931 г. был построен первый паровоз типа 1-5-1. 6 ноября 1931 г., к XIV годовщине Великой Октябрьской социалистической революции, паровоз ФД20-1, самый мощный и сильный серийный грузовой паровоз в истории СССР, привез поезд с рабочей делегацией завода из Луганска в Москву.</w:t>
      </w:r>
    </w:p>
    <w:p w14:paraId="46FC5DE2" w14:textId="77777777" w:rsidR="00622EB9" w:rsidRPr="005E779E" w:rsidRDefault="00622EB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Несмотря на высокую сложность технических задач, рабочий проект паровоза был завершен к 10 августа 1931 г. за рекордно короткий срок в 100 рабочих дней. В августе рабочие чертежи паровоза типа 1-5-1 были переданы на Луганский паровозостроительный завод, и первый паровоз был построен всего за 70 дней.</w:t>
      </w:r>
    </w:p>
    <w:p w14:paraId="5AAA7B52" w14:textId="77777777" w:rsidR="00622EB9" w:rsidRPr="005E779E" w:rsidRDefault="00622EB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октября был поставлен вопрос об имени для нового паровоза. И тогда ударная бригада «золотниковых тяг и маятников» во главе с Шугаевым предложила:</w:t>
      </w:r>
    </w:p>
    <w:p w14:paraId="5949D8EC" w14:textId="77777777" w:rsidR="00622EB9" w:rsidRPr="005E779E" w:rsidRDefault="00622EB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честь одного из лучших наркомов путей сообщения, организатора борьбы за обновление и реконструкцию социалистического транспорта, чекиста, непримиримого борца с контрреволюцией, саботажем и вредительством, верного часового пролетарской страны, железного Феликса Дзержинского, назвать его именем паровоз типа 1-5-1, присвоив ему серию «ФД».</w:t>
      </w:r>
    </w:p>
    <w:p w14:paraId="0113B14D" w14:textId="77777777" w:rsidR="00622EB9" w:rsidRPr="005E779E" w:rsidRDefault="00622EB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 октября 1931 года новый паровоз ФД был представлен общественности.</w:t>
      </w:r>
    </w:p>
    <w:p w14:paraId="6B858919" w14:textId="77777777" w:rsidR="00622EB9" w:rsidRPr="005E779E" w:rsidRDefault="00622EB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ноября 1931 года состав, ведомый ФД20-1, выехал с рабочей делегацией Луганского паровозостроительного завода и прибыл в Москву 6 ноября, в канун празднования революции.</w:t>
      </w:r>
    </w:p>
    <w:p w14:paraId="7CE971C6" w14:textId="77777777" w:rsidR="00622EB9" w:rsidRPr="005E779E" w:rsidRDefault="00622EB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Проектирование и постройка первого паровоза серии заняли рекордно короткий срок — 170 дней, и это при том, что на нём было применено множество нововведений, которые кардинально изменили советскую школу паровозостроения. Являлся одним из мощнейших советских серийных паровозов и имел среди них самую высокую силу тяги.</w:t>
      </w:r>
    </w:p>
    <w:p w14:paraId="22BEC1AD" w14:textId="77777777" w:rsidR="00622EB9" w:rsidRPr="005E779E" w:rsidRDefault="00622EB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тендере второго опытного паровоза была надпись: «Техника в период реконструкции решает всё». И. Сталин.</w:t>
      </w:r>
    </w:p>
    <w:p w14:paraId="0B18D05C" w14:textId="77777777" w:rsidR="00622EB9" w:rsidRPr="005E779E" w:rsidRDefault="00622EB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Служебный вес паровоза: 134,4 т</w:t>
      </w:r>
    </w:p>
    <w:p w14:paraId="51FE09FA" w14:textId="77777777" w:rsidR="00622EB9" w:rsidRPr="005E779E" w:rsidRDefault="00622EB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Мощность: до 3100 л. с.</w:t>
      </w:r>
    </w:p>
    <w:p w14:paraId="19D18A46" w14:textId="77777777" w:rsidR="00622EB9" w:rsidRPr="005E779E" w:rsidRDefault="00622EB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Конструкционная скорость: 85 км/ч (21166).</w:t>
      </w:r>
    </w:p>
    <w:p w14:paraId="16B259BA" w14:textId="77777777" w:rsidR="00622EB9" w:rsidRPr="005E779E" w:rsidRDefault="00622EB9" w:rsidP="000B7A6C">
      <w:pPr>
        <w:spacing w:after="0" w:line="240" w:lineRule="auto"/>
        <w:jc w:val="both"/>
        <w:rPr>
          <w:rFonts w:ascii="Times New Roman" w:hAnsi="Times New Roman"/>
          <w:color w:val="000000" w:themeColor="text1"/>
          <w:sz w:val="16"/>
          <w:szCs w:val="16"/>
        </w:rPr>
      </w:pPr>
    </w:p>
    <w:p w14:paraId="620FDAF8"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15503C3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22358A2" w14:textId="77777777" w:rsidR="006D0E5C" w:rsidRPr="005E779E" w:rsidRDefault="006D0E5C" w:rsidP="000B7A6C">
      <w:pPr>
        <w:pStyle w:val="a8"/>
        <w:jc w:val="both"/>
        <w:rPr>
          <w:rFonts w:ascii="Times New Roman" w:hAnsi="Times New Roman" w:cs="Times New Roman"/>
          <w:color w:val="000000" w:themeColor="text1"/>
        </w:rPr>
      </w:pPr>
      <w:r w:rsidRPr="005E779E">
        <w:rPr>
          <w:rFonts w:ascii="Times New Roman" w:hAnsi="Times New Roman" w:cs="Times New Roman"/>
          <w:color w:val="000000" w:themeColor="text1"/>
        </w:rPr>
        <w:t>В октябре 1931 г. производство И-4 завершили, сдав последние 11 машин. Всего выпустили 188 серийных истребителей этого типа (19100).</w:t>
      </w:r>
    </w:p>
    <w:p w14:paraId="610C1757" w14:textId="77777777" w:rsidR="006D0E5C" w:rsidRPr="005E779E" w:rsidRDefault="006D0E5C" w:rsidP="000B7A6C">
      <w:pPr>
        <w:pStyle w:val="a8"/>
        <w:jc w:val="both"/>
        <w:rPr>
          <w:rFonts w:ascii="Times New Roman" w:hAnsi="Times New Roman" w:cs="Times New Roman"/>
          <w:color w:val="000000" w:themeColor="text1"/>
        </w:rPr>
      </w:pPr>
    </w:p>
    <w:p w14:paraId="1D9ECEBA" w14:textId="77777777" w:rsidR="002E0A40" w:rsidRPr="005E779E" w:rsidRDefault="002E0A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октябре 1931 г. производство И-4 было прекращено. Общее количество построенных истребите</w:t>
      </w:r>
      <w:r w:rsidRPr="005E779E">
        <w:rPr>
          <w:rFonts w:ascii="Times New Roman" w:hAnsi="Times New Roman"/>
          <w:color w:val="000000" w:themeColor="text1"/>
          <w:sz w:val="16"/>
          <w:szCs w:val="16"/>
        </w:rPr>
        <w:softHyphen/>
        <w:t>лей этого типа составило 177 серийных и 2 опытных экземпляра.</w:t>
      </w:r>
    </w:p>
    <w:p w14:paraId="706D77F4" w14:textId="77777777" w:rsidR="002E0A40" w:rsidRPr="005E779E" w:rsidRDefault="002E0A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последующие четыре года они актив</w:t>
      </w:r>
      <w:r w:rsidRPr="005E779E">
        <w:rPr>
          <w:rFonts w:ascii="Times New Roman" w:hAnsi="Times New Roman"/>
          <w:color w:val="000000" w:themeColor="text1"/>
          <w:sz w:val="16"/>
          <w:szCs w:val="16"/>
        </w:rPr>
        <w:softHyphen/>
        <w:t>но эксплуатировались летом и зимой, уча</w:t>
      </w:r>
      <w:r w:rsidRPr="005E779E">
        <w:rPr>
          <w:rFonts w:ascii="Times New Roman" w:hAnsi="Times New Roman"/>
          <w:color w:val="000000" w:themeColor="text1"/>
          <w:sz w:val="16"/>
          <w:szCs w:val="16"/>
        </w:rPr>
        <w:softHyphen/>
        <w:t>ствовали в войсковых и флотских маневрах. Осенью 1935 г. последовало решение о сня</w:t>
      </w:r>
      <w:r w:rsidRPr="005E779E">
        <w:rPr>
          <w:rFonts w:ascii="Times New Roman" w:hAnsi="Times New Roman"/>
          <w:color w:val="000000" w:themeColor="text1"/>
          <w:sz w:val="16"/>
          <w:szCs w:val="16"/>
        </w:rPr>
        <w:softHyphen/>
        <w:t>тии И-4 с вооружения ВВС. Часть их отпра</w:t>
      </w:r>
      <w:r w:rsidRPr="005E779E">
        <w:rPr>
          <w:rFonts w:ascii="Times New Roman" w:hAnsi="Times New Roman"/>
          <w:color w:val="000000" w:themeColor="text1"/>
          <w:sz w:val="16"/>
          <w:szCs w:val="16"/>
        </w:rPr>
        <w:softHyphen/>
        <w:t>вили в учебные подразделения, еще некото</w:t>
      </w:r>
      <w:r w:rsidRPr="005E779E">
        <w:rPr>
          <w:rFonts w:ascii="Times New Roman" w:hAnsi="Times New Roman"/>
          <w:color w:val="000000" w:themeColor="text1"/>
          <w:sz w:val="16"/>
          <w:szCs w:val="16"/>
        </w:rPr>
        <w:softHyphen/>
        <w:t>рое количество использовалось для оснаще</w:t>
      </w:r>
      <w:r w:rsidRPr="005E779E">
        <w:rPr>
          <w:rFonts w:ascii="Times New Roman" w:hAnsi="Times New Roman"/>
          <w:color w:val="000000" w:themeColor="text1"/>
          <w:sz w:val="16"/>
          <w:szCs w:val="16"/>
        </w:rPr>
        <w:softHyphen/>
        <w:t>ния вновь сформированных эскадрилий. Та</w:t>
      </w:r>
      <w:r w:rsidRPr="005E779E">
        <w:rPr>
          <w:rFonts w:ascii="Times New Roman" w:hAnsi="Times New Roman"/>
          <w:color w:val="000000" w:themeColor="text1"/>
          <w:sz w:val="16"/>
          <w:szCs w:val="16"/>
        </w:rPr>
        <w:softHyphen/>
        <w:t>кая практика продолжалась до 1936 года, да</w:t>
      </w:r>
      <w:r w:rsidRPr="005E779E">
        <w:rPr>
          <w:rFonts w:ascii="Times New Roman" w:hAnsi="Times New Roman"/>
          <w:color w:val="000000" w:themeColor="text1"/>
          <w:sz w:val="16"/>
          <w:szCs w:val="16"/>
        </w:rPr>
        <w:softHyphen/>
        <w:t>лее началось перевооружение истребителями И-16 (12295).</w:t>
      </w:r>
    </w:p>
    <w:tbl>
      <w:tblPr>
        <w:tblW w:w="0" w:type="auto"/>
        <w:tblLayout w:type="fixed"/>
        <w:tblCellMar>
          <w:left w:w="10" w:type="dxa"/>
          <w:right w:w="10" w:type="dxa"/>
        </w:tblCellMar>
        <w:tblLook w:val="0000" w:firstRow="0" w:lastRow="0" w:firstColumn="0" w:lastColumn="0" w:noHBand="0" w:noVBand="0"/>
      </w:tblPr>
      <w:tblGrid>
        <w:gridCol w:w="3647"/>
        <w:gridCol w:w="1303"/>
        <w:gridCol w:w="1303"/>
        <w:gridCol w:w="1318"/>
      </w:tblGrid>
      <w:tr w:rsidR="002E0A40" w:rsidRPr="005E779E" w14:paraId="08BD57B4" w14:textId="77777777" w:rsidTr="004B2EA4">
        <w:trPr>
          <w:trHeight w:val="252"/>
        </w:trPr>
        <w:tc>
          <w:tcPr>
            <w:tcW w:w="3647" w:type="dxa"/>
            <w:tcBorders>
              <w:top w:val="single" w:sz="6" w:space="0" w:color="auto"/>
              <w:left w:val="single" w:sz="6" w:space="0" w:color="auto"/>
              <w:bottom w:val="single" w:sz="6" w:space="0" w:color="auto"/>
              <w:right w:val="single" w:sz="6" w:space="0" w:color="auto"/>
            </w:tcBorders>
            <w:shd w:val="clear" w:color="auto" w:fill="FFFFFF"/>
          </w:tcPr>
          <w:p w14:paraId="329FC94C" w14:textId="77777777" w:rsidR="002E0A40" w:rsidRPr="005E779E" w:rsidRDefault="002E0A40" w:rsidP="000B7A6C">
            <w:pPr>
              <w:spacing w:after="0" w:line="240" w:lineRule="auto"/>
              <w:jc w:val="both"/>
              <w:rPr>
                <w:rFonts w:ascii="Times New Roman" w:hAnsi="Times New Roman"/>
                <w:color w:val="000000" w:themeColor="text1"/>
                <w:sz w:val="16"/>
                <w:szCs w:val="16"/>
              </w:rPr>
            </w:pP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36FA339D" w14:textId="77777777" w:rsidR="002E0A40" w:rsidRPr="005E779E" w:rsidRDefault="002E0A40" w:rsidP="000B7A6C">
            <w:pPr>
              <w:pStyle w:val="113"/>
              <w:shd w:val="clear" w:color="auto" w:fill="auto"/>
              <w:spacing w:line="240" w:lineRule="auto"/>
              <w:jc w:val="both"/>
              <w:rPr>
                <w:rFonts w:ascii="Times New Roman" w:hAnsi="Times New Roman" w:cs="Times New Roman"/>
                <w:b w:val="0"/>
                <w:color w:val="000000" w:themeColor="text1"/>
                <w:sz w:val="16"/>
                <w:szCs w:val="16"/>
              </w:rPr>
            </w:pPr>
            <w:r w:rsidRPr="005E779E">
              <w:rPr>
                <w:rFonts w:ascii="Times New Roman" w:hAnsi="Times New Roman" w:cs="Times New Roman"/>
                <w:b w:val="0"/>
                <w:color w:val="000000" w:themeColor="text1"/>
                <w:sz w:val="16"/>
                <w:szCs w:val="16"/>
              </w:rPr>
              <w:t>И-4 дублер</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379AE10E" w14:textId="77777777" w:rsidR="002E0A40" w:rsidRPr="005E779E" w:rsidRDefault="002E0A40" w:rsidP="000B7A6C">
            <w:pPr>
              <w:pStyle w:val="113"/>
              <w:shd w:val="clear" w:color="auto" w:fill="auto"/>
              <w:spacing w:line="240" w:lineRule="auto"/>
              <w:jc w:val="both"/>
              <w:rPr>
                <w:rFonts w:ascii="Times New Roman" w:hAnsi="Times New Roman" w:cs="Times New Roman"/>
                <w:b w:val="0"/>
                <w:color w:val="000000" w:themeColor="text1"/>
                <w:sz w:val="16"/>
                <w:szCs w:val="16"/>
              </w:rPr>
            </w:pPr>
            <w:r w:rsidRPr="005E779E">
              <w:rPr>
                <w:rFonts w:ascii="Times New Roman" w:hAnsi="Times New Roman" w:cs="Times New Roman"/>
                <w:b w:val="0"/>
                <w:color w:val="000000" w:themeColor="text1"/>
                <w:sz w:val="16"/>
                <w:szCs w:val="16"/>
              </w:rPr>
              <w:t>И-4 №1513</w:t>
            </w:r>
          </w:p>
        </w:tc>
        <w:tc>
          <w:tcPr>
            <w:tcW w:w="1318" w:type="dxa"/>
            <w:tcBorders>
              <w:top w:val="single" w:sz="6" w:space="0" w:color="auto"/>
              <w:left w:val="single" w:sz="6" w:space="0" w:color="auto"/>
              <w:bottom w:val="single" w:sz="6" w:space="0" w:color="auto"/>
              <w:right w:val="single" w:sz="6" w:space="0" w:color="auto"/>
            </w:tcBorders>
            <w:shd w:val="clear" w:color="auto" w:fill="FFFFFF"/>
          </w:tcPr>
          <w:p w14:paraId="4BB8B9D1" w14:textId="77777777" w:rsidR="002E0A40" w:rsidRPr="005E779E" w:rsidRDefault="002E0A40" w:rsidP="000B7A6C">
            <w:pPr>
              <w:pStyle w:val="113"/>
              <w:shd w:val="clear" w:color="auto" w:fill="auto"/>
              <w:spacing w:line="240" w:lineRule="auto"/>
              <w:jc w:val="both"/>
              <w:rPr>
                <w:rFonts w:ascii="Times New Roman" w:hAnsi="Times New Roman" w:cs="Times New Roman"/>
                <w:b w:val="0"/>
                <w:color w:val="000000" w:themeColor="text1"/>
                <w:sz w:val="16"/>
                <w:szCs w:val="16"/>
              </w:rPr>
            </w:pPr>
            <w:r w:rsidRPr="005E779E">
              <w:rPr>
                <w:rFonts w:ascii="Times New Roman" w:hAnsi="Times New Roman" w:cs="Times New Roman"/>
                <w:b w:val="0"/>
                <w:color w:val="000000" w:themeColor="text1"/>
                <w:sz w:val="16"/>
                <w:szCs w:val="16"/>
              </w:rPr>
              <w:t>И-4 №1620</w:t>
            </w:r>
          </w:p>
        </w:tc>
      </w:tr>
      <w:tr w:rsidR="002E0A40" w:rsidRPr="005E779E" w14:paraId="58A0DAC7" w14:textId="77777777" w:rsidTr="004B2EA4">
        <w:trPr>
          <w:trHeight w:val="245"/>
        </w:trPr>
        <w:tc>
          <w:tcPr>
            <w:tcW w:w="3647" w:type="dxa"/>
            <w:tcBorders>
              <w:top w:val="single" w:sz="6" w:space="0" w:color="auto"/>
              <w:left w:val="single" w:sz="6" w:space="0" w:color="auto"/>
              <w:bottom w:val="single" w:sz="6" w:space="0" w:color="auto"/>
              <w:right w:val="single" w:sz="6" w:space="0" w:color="auto"/>
            </w:tcBorders>
            <w:shd w:val="clear" w:color="auto" w:fill="FFFFFF"/>
          </w:tcPr>
          <w:p w14:paraId="62DA4086" w14:textId="77777777" w:rsidR="002E0A40" w:rsidRPr="005E779E" w:rsidRDefault="002E0A40"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Длина в линии полета (м)</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69EA2DFE" w14:textId="77777777" w:rsidR="002E0A40" w:rsidRPr="005E779E" w:rsidRDefault="002E0A40"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7,285</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57F356E4" w14:textId="77777777" w:rsidR="002E0A40" w:rsidRPr="005E779E" w:rsidRDefault="002E0A40"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7,28</w:t>
            </w:r>
          </w:p>
        </w:tc>
        <w:tc>
          <w:tcPr>
            <w:tcW w:w="1318" w:type="dxa"/>
            <w:tcBorders>
              <w:top w:val="single" w:sz="6" w:space="0" w:color="auto"/>
              <w:left w:val="single" w:sz="6" w:space="0" w:color="auto"/>
              <w:bottom w:val="single" w:sz="6" w:space="0" w:color="auto"/>
              <w:right w:val="single" w:sz="6" w:space="0" w:color="auto"/>
            </w:tcBorders>
            <w:shd w:val="clear" w:color="auto" w:fill="FFFFFF"/>
          </w:tcPr>
          <w:p w14:paraId="2D595F11" w14:textId="77777777" w:rsidR="002E0A40" w:rsidRPr="005E779E" w:rsidRDefault="002E0A40"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7,8</w:t>
            </w:r>
          </w:p>
        </w:tc>
      </w:tr>
      <w:tr w:rsidR="002E0A40" w:rsidRPr="005E779E" w14:paraId="3E44F57C" w14:textId="77777777" w:rsidTr="004B2EA4">
        <w:trPr>
          <w:trHeight w:val="245"/>
        </w:trPr>
        <w:tc>
          <w:tcPr>
            <w:tcW w:w="3647" w:type="dxa"/>
            <w:tcBorders>
              <w:top w:val="single" w:sz="6" w:space="0" w:color="auto"/>
              <w:left w:val="single" w:sz="6" w:space="0" w:color="auto"/>
              <w:bottom w:val="single" w:sz="6" w:space="0" w:color="auto"/>
              <w:right w:val="single" w:sz="6" w:space="0" w:color="auto"/>
            </w:tcBorders>
            <w:shd w:val="clear" w:color="auto" w:fill="FFFFFF"/>
          </w:tcPr>
          <w:p w14:paraId="2DF5E8B3" w14:textId="77777777" w:rsidR="002E0A40" w:rsidRPr="005E779E" w:rsidRDefault="002E0A40"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Высота в линии полета (м)</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4DECDDCA" w14:textId="77777777" w:rsidR="002E0A40" w:rsidRPr="005E779E" w:rsidRDefault="002E0A40"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3,070</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13056228" w14:textId="77777777" w:rsidR="002E0A40" w:rsidRPr="005E779E" w:rsidRDefault="002E0A40" w:rsidP="000B7A6C">
            <w:pPr>
              <w:pStyle w:val="301"/>
              <w:shd w:val="clear" w:color="auto" w:fill="auto"/>
              <w:spacing w:line="240" w:lineRule="auto"/>
              <w:jc w:val="both"/>
              <w:rPr>
                <w:rFonts w:ascii="Times New Roman"/>
                <w:color w:val="000000" w:themeColor="text1"/>
                <w:sz w:val="16"/>
                <w:szCs w:val="16"/>
              </w:rPr>
            </w:pPr>
            <w:r w:rsidRPr="005E779E">
              <w:rPr>
                <w:rFonts w:ascii="Times New Roman"/>
                <w:color w:val="000000" w:themeColor="text1"/>
                <w:sz w:val="16"/>
                <w:szCs w:val="16"/>
              </w:rPr>
              <w:t>-</w:t>
            </w:r>
          </w:p>
        </w:tc>
        <w:tc>
          <w:tcPr>
            <w:tcW w:w="1318" w:type="dxa"/>
            <w:tcBorders>
              <w:top w:val="single" w:sz="6" w:space="0" w:color="auto"/>
              <w:left w:val="single" w:sz="6" w:space="0" w:color="auto"/>
              <w:bottom w:val="single" w:sz="6" w:space="0" w:color="auto"/>
              <w:right w:val="single" w:sz="6" w:space="0" w:color="auto"/>
            </w:tcBorders>
            <w:shd w:val="clear" w:color="auto" w:fill="FFFFFF"/>
          </w:tcPr>
          <w:p w14:paraId="50934EDB" w14:textId="6F822D37" w:rsidR="002E0A40" w:rsidRPr="005E779E" w:rsidRDefault="002E0A40"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w:t>
            </w:r>
          </w:p>
        </w:tc>
      </w:tr>
      <w:tr w:rsidR="002E0A40" w:rsidRPr="005E779E" w14:paraId="6EA26E17" w14:textId="77777777" w:rsidTr="004B2EA4">
        <w:trPr>
          <w:trHeight w:val="245"/>
        </w:trPr>
        <w:tc>
          <w:tcPr>
            <w:tcW w:w="3647" w:type="dxa"/>
            <w:tcBorders>
              <w:top w:val="single" w:sz="6" w:space="0" w:color="auto"/>
              <w:left w:val="single" w:sz="6" w:space="0" w:color="auto"/>
              <w:bottom w:val="single" w:sz="6" w:space="0" w:color="auto"/>
              <w:right w:val="single" w:sz="6" w:space="0" w:color="auto"/>
            </w:tcBorders>
            <w:shd w:val="clear" w:color="auto" w:fill="FFFFFF"/>
          </w:tcPr>
          <w:p w14:paraId="768A6C49" w14:textId="77777777" w:rsidR="002E0A40" w:rsidRPr="005E779E" w:rsidRDefault="002E0A40"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Размах верхнего крыла (м)</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37692F58" w14:textId="77777777" w:rsidR="002E0A40" w:rsidRPr="005E779E" w:rsidRDefault="002E0A40"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11,486</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594A2280" w14:textId="77777777" w:rsidR="002E0A40" w:rsidRPr="005E779E" w:rsidRDefault="002E0A40"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11,40</w:t>
            </w:r>
          </w:p>
        </w:tc>
        <w:tc>
          <w:tcPr>
            <w:tcW w:w="1318" w:type="dxa"/>
            <w:tcBorders>
              <w:top w:val="single" w:sz="6" w:space="0" w:color="auto"/>
              <w:left w:val="single" w:sz="6" w:space="0" w:color="auto"/>
              <w:bottom w:val="single" w:sz="6" w:space="0" w:color="auto"/>
              <w:right w:val="single" w:sz="6" w:space="0" w:color="auto"/>
            </w:tcBorders>
            <w:shd w:val="clear" w:color="auto" w:fill="FFFFFF"/>
          </w:tcPr>
          <w:p w14:paraId="0C1A790C" w14:textId="77777777" w:rsidR="002E0A40" w:rsidRPr="005E779E" w:rsidRDefault="002E0A40"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11,40</w:t>
            </w:r>
          </w:p>
        </w:tc>
      </w:tr>
      <w:tr w:rsidR="002E0A40" w:rsidRPr="005E779E" w14:paraId="630FC18A" w14:textId="77777777" w:rsidTr="004B2EA4">
        <w:trPr>
          <w:trHeight w:val="245"/>
        </w:trPr>
        <w:tc>
          <w:tcPr>
            <w:tcW w:w="3647" w:type="dxa"/>
            <w:tcBorders>
              <w:top w:val="single" w:sz="6" w:space="0" w:color="auto"/>
              <w:left w:val="single" w:sz="6" w:space="0" w:color="auto"/>
              <w:bottom w:val="single" w:sz="6" w:space="0" w:color="auto"/>
              <w:right w:val="single" w:sz="6" w:space="0" w:color="auto"/>
            </w:tcBorders>
            <w:shd w:val="clear" w:color="auto" w:fill="FFFFFF"/>
          </w:tcPr>
          <w:p w14:paraId="6866530D" w14:textId="77777777" w:rsidR="002E0A40" w:rsidRPr="005E779E" w:rsidRDefault="002E0A40"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Размах нижнего крыла (м)</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388D0CBD" w14:textId="77777777" w:rsidR="002E0A40" w:rsidRPr="005E779E" w:rsidRDefault="002E0A40"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5,536</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162E8189" w14:textId="77777777" w:rsidR="002E0A40" w:rsidRPr="005E779E" w:rsidRDefault="002E0A40"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5,536</w:t>
            </w:r>
          </w:p>
        </w:tc>
        <w:tc>
          <w:tcPr>
            <w:tcW w:w="1318" w:type="dxa"/>
            <w:tcBorders>
              <w:top w:val="single" w:sz="6" w:space="0" w:color="auto"/>
              <w:left w:val="single" w:sz="6" w:space="0" w:color="auto"/>
              <w:bottom w:val="single" w:sz="6" w:space="0" w:color="auto"/>
              <w:right w:val="single" w:sz="6" w:space="0" w:color="auto"/>
            </w:tcBorders>
            <w:shd w:val="clear" w:color="auto" w:fill="FFFFFF"/>
          </w:tcPr>
          <w:p w14:paraId="112C1434" w14:textId="77777777" w:rsidR="002E0A40" w:rsidRPr="005E779E" w:rsidRDefault="002E0A40"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5,536</w:t>
            </w:r>
          </w:p>
        </w:tc>
      </w:tr>
      <w:tr w:rsidR="002E0A40" w:rsidRPr="005E779E" w14:paraId="5FBBE1D6" w14:textId="77777777" w:rsidTr="004B2EA4">
        <w:trPr>
          <w:trHeight w:val="245"/>
        </w:trPr>
        <w:tc>
          <w:tcPr>
            <w:tcW w:w="3647" w:type="dxa"/>
            <w:tcBorders>
              <w:top w:val="single" w:sz="6" w:space="0" w:color="auto"/>
              <w:left w:val="single" w:sz="6" w:space="0" w:color="auto"/>
              <w:bottom w:val="single" w:sz="6" w:space="0" w:color="auto"/>
              <w:right w:val="single" w:sz="6" w:space="0" w:color="auto"/>
            </w:tcBorders>
            <w:shd w:val="clear" w:color="auto" w:fill="FFFFFF"/>
          </w:tcPr>
          <w:p w14:paraId="6E80C33E" w14:textId="77777777" w:rsidR="002E0A40" w:rsidRPr="005E779E" w:rsidRDefault="002E0A40"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Площадь верхнего крыла (м</w:t>
            </w:r>
            <w:r w:rsidRPr="005E779E">
              <w:rPr>
                <w:rFonts w:ascii="Times New Roman" w:hAnsi="Times New Roman"/>
                <w:color w:val="000000" w:themeColor="text1"/>
                <w:sz w:val="16"/>
                <w:szCs w:val="16"/>
                <w:vertAlign w:val="superscript"/>
              </w:rPr>
              <w:t>2</w:t>
            </w:r>
            <w:r w:rsidRPr="005E779E">
              <w:rPr>
                <w:rFonts w:ascii="Times New Roman" w:hAnsi="Times New Roman"/>
                <w:color w:val="000000" w:themeColor="text1"/>
                <w:sz w:val="16"/>
                <w:szCs w:val="16"/>
              </w:rPr>
              <w:t>)</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5CCF01E1" w14:textId="77777777" w:rsidR="002E0A40" w:rsidRPr="005E779E" w:rsidRDefault="002E0A40"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19,808</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0C88055C" w14:textId="77777777" w:rsidR="002E0A40" w:rsidRPr="005E779E" w:rsidRDefault="002E0A40"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19,8</w:t>
            </w:r>
          </w:p>
        </w:tc>
        <w:tc>
          <w:tcPr>
            <w:tcW w:w="1318" w:type="dxa"/>
            <w:tcBorders>
              <w:top w:val="single" w:sz="6" w:space="0" w:color="auto"/>
              <w:left w:val="single" w:sz="6" w:space="0" w:color="auto"/>
              <w:bottom w:val="single" w:sz="6" w:space="0" w:color="auto"/>
              <w:right w:val="single" w:sz="6" w:space="0" w:color="auto"/>
            </w:tcBorders>
            <w:shd w:val="clear" w:color="auto" w:fill="FFFFFF"/>
          </w:tcPr>
          <w:p w14:paraId="59424E1F" w14:textId="77777777" w:rsidR="002E0A40" w:rsidRPr="005E779E" w:rsidRDefault="002E0A40"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19,8</w:t>
            </w:r>
          </w:p>
        </w:tc>
      </w:tr>
      <w:tr w:rsidR="002E0A40" w:rsidRPr="005E779E" w14:paraId="7453C42B" w14:textId="77777777" w:rsidTr="004B2EA4">
        <w:trPr>
          <w:trHeight w:val="245"/>
        </w:trPr>
        <w:tc>
          <w:tcPr>
            <w:tcW w:w="3647" w:type="dxa"/>
            <w:tcBorders>
              <w:top w:val="single" w:sz="6" w:space="0" w:color="auto"/>
              <w:left w:val="single" w:sz="6" w:space="0" w:color="auto"/>
              <w:bottom w:val="single" w:sz="6" w:space="0" w:color="auto"/>
              <w:right w:val="single" w:sz="6" w:space="0" w:color="auto"/>
            </w:tcBorders>
            <w:shd w:val="clear" w:color="auto" w:fill="FFFFFF"/>
          </w:tcPr>
          <w:p w14:paraId="45D3C222" w14:textId="77777777" w:rsidR="002E0A40" w:rsidRPr="005E779E" w:rsidRDefault="002E0A40"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Площадь нижнего крыла (м</w:t>
            </w:r>
            <w:r w:rsidRPr="005E779E">
              <w:rPr>
                <w:rFonts w:ascii="Times New Roman" w:hAnsi="Times New Roman"/>
                <w:color w:val="000000" w:themeColor="text1"/>
                <w:sz w:val="16"/>
                <w:szCs w:val="16"/>
                <w:vertAlign w:val="superscript"/>
              </w:rPr>
              <w:t>2</w:t>
            </w:r>
            <w:r w:rsidRPr="005E779E">
              <w:rPr>
                <w:rFonts w:ascii="Times New Roman" w:hAnsi="Times New Roman"/>
                <w:color w:val="000000" w:themeColor="text1"/>
                <w:sz w:val="16"/>
                <w:szCs w:val="16"/>
              </w:rPr>
              <w:t>)</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67CB61B3" w14:textId="77777777" w:rsidR="002E0A40" w:rsidRPr="005E779E" w:rsidRDefault="002E0A40"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3,996</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006FF795" w14:textId="77777777" w:rsidR="002E0A40" w:rsidRPr="005E779E" w:rsidRDefault="002E0A40"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3,99</w:t>
            </w:r>
          </w:p>
        </w:tc>
        <w:tc>
          <w:tcPr>
            <w:tcW w:w="1318" w:type="dxa"/>
            <w:tcBorders>
              <w:top w:val="single" w:sz="6" w:space="0" w:color="auto"/>
              <w:left w:val="single" w:sz="6" w:space="0" w:color="auto"/>
              <w:bottom w:val="single" w:sz="6" w:space="0" w:color="auto"/>
              <w:right w:val="single" w:sz="6" w:space="0" w:color="auto"/>
            </w:tcBorders>
            <w:shd w:val="clear" w:color="auto" w:fill="FFFFFF"/>
          </w:tcPr>
          <w:p w14:paraId="6279C3A7" w14:textId="77777777" w:rsidR="002E0A40" w:rsidRPr="005E779E" w:rsidRDefault="002E0A40"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3,99</w:t>
            </w:r>
          </w:p>
        </w:tc>
      </w:tr>
      <w:tr w:rsidR="002E0A40" w:rsidRPr="005E779E" w14:paraId="079F3314" w14:textId="77777777" w:rsidTr="004B2EA4">
        <w:trPr>
          <w:trHeight w:val="241"/>
        </w:trPr>
        <w:tc>
          <w:tcPr>
            <w:tcW w:w="3647" w:type="dxa"/>
            <w:tcBorders>
              <w:top w:val="single" w:sz="6" w:space="0" w:color="auto"/>
              <w:left w:val="single" w:sz="6" w:space="0" w:color="auto"/>
              <w:bottom w:val="single" w:sz="6" w:space="0" w:color="auto"/>
              <w:right w:val="single" w:sz="6" w:space="0" w:color="auto"/>
            </w:tcBorders>
            <w:shd w:val="clear" w:color="auto" w:fill="FFFFFF"/>
          </w:tcPr>
          <w:p w14:paraId="4C999D82" w14:textId="77777777" w:rsidR="002E0A40" w:rsidRPr="005E779E" w:rsidRDefault="002E0A40"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Площадь крыльев (м</w:t>
            </w:r>
            <w:r w:rsidRPr="005E779E">
              <w:rPr>
                <w:rFonts w:ascii="Times New Roman" w:hAnsi="Times New Roman"/>
                <w:color w:val="000000" w:themeColor="text1"/>
                <w:sz w:val="16"/>
                <w:szCs w:val="16"/>
                <w:vertAlign w:val="superscript"/>
              </w:rPr>
              <w:t>2</w:t>
            </w:r>
            <w:r w:rsidRPr="005E779E">
              <w:rPr>
                <w:rFonts w:ascii="Times New Roman" w:hAnsi="Times New Roman"/>
                <w:color w:val="000000" w:themeColor="text1"/>
                <w:sz w:val="16"/>
                <w:szCs w:val="16"/>
              </w:rPr>
              <w:t>)</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3C3C4FAE" w14:textId="77777777" w:rsidR="002E0A40" w:rsidRPr="005E779E" w:rsidRDefault="002E0A40"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23,8</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70C99CAD" w14:textId="77777777" w:rsidR="002E0A40" w:rsidRPr="005E779E" w:rsidRDefault="002E0A40"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23,8</w:t>
            </w:r>
          </w:p>
        </w:tc>
        <w:tc>
          <w:tcPr>
            <w:tcW w:w="1318" w:type="dxa"/>
            <w:tcBorders>
              <w:top w:val="single" w:sz="6" w:space="0" w:color="auto"/>
              <w:left w:val="single" w:sz="6" w:space="0" w:color="auto"/>
              <w:bottom w:val="single" w:sz="6" w:space="0" w:color="auto"/>
              <w:right w:val="single" w:sz="6" w:space="0" w:color="auto"/>
            </w:tcBorders>
            <w:shd w:val="clear" w:color="auto" w:fill="FFFFFF"/>
          </w:tcPr>
          <w:p w14:paraId="018C8A38" w14:textId="77777777" w:rsidR="002E0A40" w:rsidRPr="005E779E" w:rsidRDefault="002E0A40"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23,8</w:t>
            </w:r>
          </w:p>
        </w:tc>
      </w:tr>
      <w:tr w:rsidR="002E0A40" w:rsidRPr="005E779E" w14:paraId="40FE821D" w14:textId="77777777" w:rsidTr="004B2EA4">
        <w:trPr>
          <w:trHeight w:val="248"/>
        </w:trPr>
        <w:tc>
          <w:tcPr>
            <w:tcW w:w="3647" w:type="dxa"/>
            <w:tcBorders>
              <w:top w:val="single" w:sz="6" w:space="0" w:color="auto"/>
              <w:left w:val="single" w:sz="6" w:space="0" w:color="auto"/>
              <w:bottom w:val="single" w:sz="6" w:space="0" w:color="auto"/>
              <w:right w:val="single" w:sz="6" w:space="0" w:color="auto"/>
            </w:tcBorders>
            <w:shd w:val="clear" w:color="auto" w:fill="FFFFFF"/>
          </w:tcPr>
          <w:p w14:paraId="01774A9B" w14:textId="77777777" w:rsidR="002E0A40" w:rsidRPr="005E779E" w:rsidRDefault="002E0A40"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Колея (мм)</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5875CE19" w14:textId="77777777" w:rsidR="002E0A40" w:rsidRPr="005E779E" w:rsidRDefault="002E0A40"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1620</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3A70769A" w14:textId="77777777" w:rsidR="002E0A40" w:rsidRPr="005E779E" w:rsidRDefault="002E0A40"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1620</w:t>
            </w:r>
          </w:p>
        </w:tc>
        <w:tc>
          <w:tcPr>
            <w:tcW w:w="1318" w:type="dxa"/>
            <w:tcBorders>
              <w:top w:val="single" w:sz="6" w:space="0" w:color="auto"/>
              <w:left w:val="single" w:sz="6" w:space="0" w:color="auto"/>
              <w:bottom w:val="single" w:sz="6" w:space="0" w:color="auto"/>
              <w:right w:val="single" w:sz="6" w:space="0" w:color="auto"/>
            </w:tcBorders>
            <w:shd w:val="clear" w:color="auto" w:fill="FFFFFF"/>
          </w:tcPr>
          <w:p w14:paraId="0782D3A8" w14:textId="77777777" w:rsidR="002E0A40" w:rsidRPr="005E779E" w:rsidRDefault="002E0A40"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1620</w:t>
            </w:r>
          </w:p>
        </w:tc>
      </w:tr>
      <w:tr w:rsidR="002E0A40" w:rsidRPr="005E779E" w14:paraId="226278FC" w14:textId="77777777" w:rsidTr="004B2EA4">
        <w:trPr>
          <w:trHeight w:val="245"/>
        </w:trPr>
        <w:tc>
          <w:tcPr>
            <w:tcW w:w="3647" w:type="dxa"/>
            <w:tcBorders>
              <w:top w:val="single" w:sz="6" w:space="0" w:color="auto"/>
              <w:left w:val="single" w:sz="6" w:space="0" w:color="auto"/>
              <w:bottom w:val="single" w:sz="6" w:space="0" w:color="auto"/>
              <w:right w:val="single" w:sz="6" w:space="0" w:color="auto"/>
            </w:tcBorders>
            <w:shd w:val="clear" w:color="auto" w:fill="FFFFFF"/>
          </w:tcPr>
          <w:p w14:paraId="7ED26135" w14:textId="77777777" w:rsidR="002E0A40" w:rsidRPr="005E779E" w:rsidRDefault="002E0A40"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Колеса (мм)</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67E823D0" w14:textId="77777777" w:rsidR="002E0A40" w:rsidRPr="005E779E" w:rsidRDefault="002E0A40"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750x150</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4FB2E29D" w14:textId="77777777" w:rsidR="002E0A40" w:rsidRPr="005E779E" w:rsidRDefault="002E0A40"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750x150</w:t>
            </w:r>
          </w:p>
        </w:tc>
        <w:tc>
          <w:tcPr>
            <w:tcW w:w="1318" w:type="dxa"/>
            <w:tcBorders>
              <w:top w:val="single" w:sz="6" w:space="0" w:color="auto"/>
              <w:left w:val="single" w:sz="6" w:space="0" w:color="auto"/>
              <w:bottom w:val="single" w:sz="6" w:space="0" w:color="auto"/>
              <w:right w:val="single" w:sz="6" w:space="0" w:color="auto"/>
            </w:tcBorders>
            <w:shd w:val="clear" w:color="auto" w:fill="FFFFFF"/>
          </w:tcPr>
          <w:p w14:paraId="1CAC8B23" w14:textId="77777777" w:rsidR="002E0A40" w:rsidRPr="005E779E" w:rsidRDefault="002E0A40"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750x150</w:t>
            </w:r>
          </w:p>
        </w:tc>
      </w:tr>
      <w:tr w:rsidR="002E0A40" w:rsidRPr="005E779E" w14:paraId="4777E9A3" w14:textId="77777777" w:rsidTr="004B2EA4">
        <w:trPr>
          <w:trHeight w:val="241"/>
        </w:trPr>
        <w:tc>
          <w:tcPr>
            <w:tcW w:w="3647" w:type="dxa"/>
            <w:tcBorders>
              <w:top w:val="single" w:sz="6" w:space="0" w:color="auto"/>
              <w:left w:val="single" w:sz="6" w:space="0" w:color="auto"/>
              <w:bottom w:val="single" w:sz="6" w:space="0" w:color="auto"/>
              <w:right w:val="single" w:sz="6" w:space="0" w:color="auto"/>
            </w:tcBorders>
            <w:shd w:val="clear" w:color="auto" w:fill="FFFFFF"/>
          </w:tcPr>
          <w:p w14:paraId="36C82906" w14:textId="77777777" w:rsidR="002E0A40" w:rsidRPr="005E779E" w:rsidRDefault="002E0A40"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пустого (кг)</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37DA9DFA" w14:textId="77777777" w:rsidR="002E0A40" w:rsidRPr="005E779E" w:rsidRDefault="002E0A40"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930</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58EB4EA5" w14:textId="77777777" w:rsidR="002E0A40" w:rsidRPr="005E779E" w:rsidRDefault="002E0A40"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974</w:t>
            </w:r>
          </w:p>
        </w:tc>
        <w:tc>
          <w:tcPr>
            <w:tcW w:w="1318" w:type="dxa"/>
            <w:tcBorders>
              <w:top w:val="single" w:sz="6" w:space="0" w:color="auto"/>
              <w:left w:val="single" w:sz="6" w:space="0" w:color="auto"/>
              <w:bottom w:val="single" w:sz="6" w:space="0" w:color="auto"/>
              <w:right w:val="single" w:sz="6" w:space="0" w:color="auto"/>
            </w:tcBorders>
            <w:shd w:val="clear" w:color="auto" w:fill="FFFFFF"/>
          </w:tcPr>
          <w:p w14:paraId="5634ED14" w14:textId="77777777" w:rsidR="002E0A40" w:rsidRPr="005E779E" w:rsidRDefault="002E0A40"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1005</w:t>
            </w:r>
          </w:p>
        </w:tc>
      </w:tr>
      <w:tr w:rsidR="002E0A40" w:rsidRPr="005E779E" w14:paraId="116C4372" w14:textId="77777777" w:rsidTr="004B2EA4">
        <w:trPr>
          <w:trHeight w:val="245"/>
        </w:trPr>
        <w:tc>
          <w:tcPr>
            <w:tcW w:w="3647" w:type="dxa"/>
            <w:tcBorders>
              <w:top w:val="single" w:sz="6" w:space="0" w:color="auto"/>
              <w:left w:val="single" w:sz="6" w:space="0" w:color="auto"/>
              <w:bottom w:val="single" w:sz="6" w:space="0" w:color="auto"/>
              <w:right w:val="single" w:sz="6" w:space="0" w:color="auto"/>
            </w:tcBorders>
            <w:shd w:val="clear" w:color="auto" w:fill="FFFFFF"/>
          </w:tcPr>
          <w:p w14:paraId="5E4AF618" w14:textId="77777777" w:rsidR="002E0A40" w:rsidRPr="005E779E" w:rsidRDefault="002E0A40"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Полетный вес (кг)</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7CCFD56D" w14:textId="77777777" w:rsidR="002E0A40" w:rsidRPr="005E779E" w:rsidRDefault="002E0A40"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1372</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4C3BA737" w14:textId="77777777" w:rsidR="002E0A40" w:rsidRPr="005E779E" w:rsidRDefault="002E0A40"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1416</w:t>
            </w:r>
          </w:p>
        </w:tc>
        <w:tc>
          <w:tcPr>
            <w:tcW w:w="1318" w:type="dxa"/>
            <w:tcBorders>
              <w:top w:val="single" w:sz="6" w:space="0" w:color="auto"/>
              <w:left w:val="single" w:sz="6" w:space="0" w:color="auto"/>
              <w:bottom w:val="single" w:sz="6" w:space="0" w:color="auto"/>
              <w:right w:val="single" w:sz="6" w:space="0" w:color="auto"/>
            </w:tcBorders>
            <w:shd w:val="clear" w:color="auto" w:fill="FFFFFF"/>
          </w:tcPr>
          <w:p w14:paraId="278AC31F" w14:textId="77777777" w:rsidR="002E0A40" w:rsidRPr="005E779E" w:rsidRDefault="002E0A40"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1461</w:t>
            </w:r>
          </w:p>
        </w:tc>
      </w:tr>
      <w:tr w:rsidR="002E0A40" w:rsidRPr="005E779E" w14:paraId="43D53B53" w14:textId="77777777" w:rsidTr="004B2EA4">
        <w:trPr>
          <w:trHeight w:val="245"/>
        </w:trPr>
        <w:tc>
          <w:tcPr>
            <w:tcW w:w="3647" w:type="dxa"/>
            <w:tcBorders>
              <w:top w:val="single" w:sz="6" w:space="0" w:color="auto"/>
              <w:left w:val="single" w:sz="6" w:space="0" w:color="auto"/>
              <w:bottom w:val="single" w:sz="6" w:space="0" w:color="auto"/>
              <w:right w:val="single" w:sz="6" w:space="0" w:color="auto"/>
            </w:tcBorders>
            <w:shd w:val="clear" w:color="auto" w:fill="FFFFFF"/>
          </w:tcPr>
          <w:p w14:paraId="01643553" w14:textId="77777777" w:rsidR="002E0A40" w:rsidRPr="005E779E" w:rsidRDefault="002E0A40"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Нагрузка на крыло (кг/м</w:t>
            </w:r>
            <w:r w:rsidRPr="005E779E">
              <w:rPr>
                <w:rFonts w:ascii="Times New Roman" w:hAnsi="Times New Roman"/>
                <w:color w:val="000000" w:themeColor="text1"/>
                <w:sz w:val="16"/>
                <w:szCs w:val="16"/>
                <w:vertAlign w:val="superscript"/>
              </w:rPr>
              <w:t>2</w:t>
            </w:r>
            <w:r w:rsidRPr="005E779E">
              <w:rPr>
                <w:rFonts w:ascii="Times New Roman" w:hAnsi="Times New Roman"/>
                <w:color w:val="000000" w:themeColor="text1"/>
                <w:sz w:val="16"/>
                <w:szCs w:val="16"/>
              </w:rPr>
              <w:t>)</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7C5E5A82" w14:textId="77777777" w:rsidR="002E0A40" w:rsidRPr="005E779E" w:rsidRDefault="002E0A40"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57,3</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4AC3379F" w14:textId="77777777" w:rsidR="002E0A40" w:rsidRPr="005E779E" w:rsidRDefault="002E0A40"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59,5</w:t>
            </w:r>
          </w:p>
        </w:tc>
        <w:tc>
          <w:tcPr>
            <w:tcW w:w="1318" w:type="dxa"/>
            <w:tcBorders>
              <w:top w:val="single" w:sz="6" w:space="0" w:color="auto"/>
              <w:left w:val="single" w:sz="6" w:space="0" w:color="auto"/>
              <w:bottom w:val="single" w:sz="6" w:space="0" w:color="auto"/>
              <w:right w:val="single" w:sz="6" w:space="0" w:color="auto"/>
            </w:tcBorders>
            <w:shd w:val="clear" w:color="auto" w:fill="FFFFFF"/>
          </w:tcPr>
          <w:p w14:paraId="3E39A0A9" w14:textId="77777777" w:rsidR="002E0A40" w:rsidRPr="005E779E" w:rsidRDefault="002E0A40"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61,4</w:t>
            </w:r>
          </w:p>
        </w:tc>
      </w:tr>
      <w:tr w:rsidR="002E0A40" w:rsidRPr="005E779E" w14:paraId="71DC0EE9" w14:textId="77777777" w:rsidTr="004B2EA4">
        <w:trPr>
          <w:trHeight w:val="252"/>
        </w:trPr>
        <w:tc>
          <w:tcPr>
            <w:tcW w:w="3647" w:type="dxa"/>
            <w:tcBorders>
              <w:top w:val="single" w:sz="6" w:space="0" w:color="auto"/>
              <w:left w:val="single" w:sz="6" w:space="0" w:color="auto"/>
              <w:bottom w:val="single" w:sz="6" w:space="0" w:color="auto"/>
              <w:right w:val="single" w:sz="6" w:space="0" w:color="auto"/>
            </w:tcBorders>
            <w:shd w:val="clear" w:color="auto" w:fill="FFFFFF"/>
          </w:tcPr>
          <w:p w14:paraId="6651C760" w14:textId="77777777" w:rsidR="002E0A40" w:rsidRPr="005E779E" w:rsidRDefault="002E0A40"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скорость (км/ч)</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6A5AA11D" w14:textId="77777777" w:rsidR="002E0A40" w:rsidRPr="005E779E" w:rsidRDefault="002E0A40"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257</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31E3BD50" w14:textId="77777777" w:rsidR="002E0A40" w:rsidRPr="005E779E" w:rsidRDefault="002E0A40"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249</w:t>
            </w:r>
          </w:p>
        </w:tc>
        <w:tc>
          <w:tcPr>
            <w:tcW w:w="1318" w:type="dxa"/>
            <w:tcBorders>
              <w:top w:val="single" w:sz="6" w:space="0" w:color="auto"/>
              <w:left w:val="single" w:sz="6" w:space="0" w:color="auto"/>
              <w:bottom w:val="single" w:sz="6" w:space="0" w:color="auto"/>
              <w:right w:val="single" w:sz="6" w:space="0" w:color="auto"/>
            </w:tcBorders>
            <w:shd w:val="clear" w:color="auto" w:fill="FFFFFF"/>
          </w:tcPr>
          <w:p w14:paraId="08E26F7F" w14:textId="77777777" w:rsidR="002E0A40" w:rsidRPr="005E779E" w:rsidRDefault="002E0A40"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260</w:t>
            </w:r>
          </w:p>
        </w:tc>
      </w:tr>
    </w:tbl>
    <w:p w14:paraId="63A296DB" w14:textId="77777777" w:rsidR="002E0A40" w:rsidRPr="005E779E" w:rsidRDefault="002E0A40" w:rsidP="000B7A6C">
      <w:pPr>
        <w:pStyle w:val="aff1"/>
        <w:shd w:val="clear" w:color="auto" w:fill="auto"/>
        <w:spacing w:line="240" w:lineRule="auto"/>
        <w:rPr>
          <w:rFonts w:ascii="Times New Roman" w:hAnsi="Times New Roman" w:cs="Times New Roman"/>
          <w:i w:val="0"/>
          <w:color w:val="000000" w:themeColor="text1"/>
          <w:sz w:val="16"/>
          <w:szCs w:val="16"/>
          <w:lang w:val="ru-RU"/>
        </w:rPr>
      </w:pPr>
      <w:r w:rsidRPr="005E779E">
        <w:rPr>
          <w:rFonts w:ascii="Times New Roman" w:hAnsi="Times New Roman" w:cs="Times New Roman"/>
          <w:i w:val="0"/>
          <w:color w:val="000000" w:themeColor="text1"/>
          <w:sz w:val="16"/>
          <w:szCs w:val="16"/>
          <w:lang w:val="ru-RU"/>
        </w:rPr>
        <w:t>Полетный вес И-4 согласно инструкции полетной эксплуатации составлял 1516,5 кг, нагрузка на кршо 59,2 кг/м</w:t>
      </w:r>
      <w:r w:rsidRPr="005E779E">
        <w:rPr>
          <w:rFonts w:ascii="Times New Roman" w:hAnsi="Times New Roman" w:cs="Times New Roman"/>
          <w:i w:val="0"/>
          <w:color w:val="000000" w:themeColor="text1"/>
          <w:sz w:val="16"/>
          <w:szCs w:val="16"/>
          <w:vertAlign w:val="superscript"/>
          <w:lang w:val="ru-RU"/>
        </w:rPr>
        <w:t>2</w:t>
      </w:r>
      <w:r w:rsidRPr="005E779E">
        <w:rPr>
          <w:rFonts w:ascii="Times New Roman" w:hAnsi="Times New Roman" w:cs="Times New Roman"/>
          <w:i w:val="0"/>
          <w:color w:val="000000" w:themeColor="text1"/>
          <w:sz w:val="16"/>
          <w:szCs w:val="16"/>
          <w:lang w:val="ru-RU"/>
        </w:rPr>
        <w:t>, полетная центровка — 25,7% САХ (12295).</w:t>
      </w:r>
    </w:p>
    <w:p w14:paraId="0AA60A8B" w14:textId="77777777" w:rsidR="007024A0" w:rsidRPr="005E779E" w:rsidRDefault="007024A0" w:rsidP="000B7A6C">
      <w:pPr>
        <w:spacing w:after="0" w:line="240" w:lineRule="auto"/>
        <w:jc w:val="both"/>
        <w:rPr>
          <w:rFonts w:ascii="Times New Roman" w:hAnsi="Times New Roman"/>
          <w:color w:val="000000" w:themeColor="text1"/>
          <w:sz w:val="16"/>
          <w:szCs w:val="16"/>
        </w:rPr>
      </w:pPr>
    </w:p>
    <w:p w14:paraId="06801D7C" w14:textId="54F65EF7" w:rsidR="002E0A40" w:rsidRPr="005E779E" w:rsidRDefault="002E0A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октябре 1931 г. в связи с появлением И-5 производство И-4 было прекра</w:t>
      </w:r>
      <w:r w:rsidRPr="005E779E">
        <w:rPr>
          <w:rFonts w:ascii="Times New Roman" w:hAnsi="Times New Roman"/>
          <w:color w:val="000000" w:themeColor="text1"/>
          <w:sz w:val="16"/>
          <w:szCs w:val="16"/>
        </w:rPr>
        <w:softHyphen/>
        <w:t>щено. Общее количество построенных истребителей этого типа составило 177 серийных машин и 2 опыт</w:t>
      </w:r>
      <w:r w:rsidRPr="005E779E">
        <w:rPr>
          <w:rFonts w:ascii="Times New Roman" w:hAnsi="Times New Roman"/>
          <w:color w:val="000000" w:themeColor="text1"/>
          <w:sz w:val="16"/>
          <w:szCs w:val="16"/>
        </w:rPr>
        <w:softHyphen/>
        <w:t>ных экземпляра. В последующие четыре года они ак</w:t>
      </w:r>
      <w:r w:rsidRPr="005E779E">
        <w:rPr>
          <w:rFonts w:ascii="Times New Roman" w:hAnsi="Times New Roman"/>
          <w:color w:val="000000" w:themeColor="text1"/>
          <w:sz w:val="16"/>
          <w:szCs w:val="16"/>
        </w:rPr>
        <w:softHyphen/>
        <w:t>тивно эксплуатировались летом и зимой, участвова</w:t>
      </w:r>
      <w:r w:rsidRPr="005E779E">
        <w:rPr>
          <w:rFonts w:ascii="Times New Roman" w:hAnsi="Times New Roman"/>
          <w:color w:val="000000" w:themeColor="text1"/>
          <w:sz w:val="16"/>
          <w:szCs w:val="16"/>
        </w:rPr>
        <w:softHyphen/>
        <w:t>ли в войсковых и флотских маневрах. Осенью 1935 г. последовало решение о снятии И-4 с вооружения ВВС. Часть их отправили в учебные подразделения, еще некоторое количество использовалось для осна</w:t>
      </w:r>
      <w:r w:rsidRPr="005E779E">
        <w:rPr>
          <w:rFonts w:ascii="Times New Roman" w:hAnsi="Times New Roman"/>
          <w:color w:val="000000" w:themeColor="text1"/>
          <w:sz w:val="16"/>
          <w:szCs w:val="16"/>
        </w:rPr>
        <w:softHyphen/>
        <w:t>щения вновь сформированных эскадрилий (23378).</w:t>
      </w:r>
    </w:p>
    <w:p w14:paraId="7BF7BFC3" w14:textId="77777777" w:rsidR="002E0A40" w:rsidRPr="005E779E" w:rsidRDefault="002E0A40" w:rsidP="000B7A6C">
      <w:pPr>
        <w:spacing w:after="0" w:line="240" w:lineRule="auto"/>
        <w:jc w:val="both"/>
        <w:rPr>
          <w:rFonts w:ascii="Times New Roman" w:hAnsi="Times New Roman"/>
          <w:color w:val="000000" w:themeColor="text1"/>
          <w:sz w:val="16"/>
          <w:szCs w:val="16"/>
        </w:rPr>
      </w:pPr>
    </w:p>
    <w:p w14:paraId="27E852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октября 1931 г. по март 1932 г. в качестве эталона испытывался и доведился Р-5 №4629. Изменения были следующими: перекомпоновано оборудование, в днище фюзеляжа сделано окно с подвижной шторкой для улучшения обзора пилоту при наведении на цель, в пилотской кабине установлен чемодан для пищевого довольствия, за сидением летнаба поставлена перегородка из перкаля, стойки шасси оборудованы ушками для буксировки самолета трактором. Часть Р-5 оборудовалась радиостанцией 14СК, их отличием являлась система антенн на верхнем крыле. Внесенные изменения привели к повышению полетного веса до 2955 кг. В акте испытания эталона на 1932 г. самолет Р-5 оценивался как бомбардировщик военного времени с максимальной бомбовой нагрузкой 500 кг. Несмотря на увеличение веса самолет по-прежнему допускался к выполнению фигур высшего пилотажа - петель и переворотов.</w:t>
      </w:r>
    </w:p>
    <w:p w14:paraId="16AA2A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1932 году выпуск Р-5 еще более возрос; всего за год выпустили 884 экземпляра используя упомянутую машину в качестве эталона.</w:t>
      </w:r>
    </w:p>
    <w:p w14:paraId="19395B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1932 г. Р-5 начал во все возрастающем количестве поставляться в различные ведомства. Вот, например, некоторые из нарядов на отправку: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61"/>
        <w:gridCol w:w="4261"/>
      </w:tblGrid>
      <w:tr w:rsidR="001002C3" w:rsidRPr="005E779E" w14:paraId="3290BEC0" w14:textId="77777777">
        <w:tc>
          <w:tcPr>
            <w:tcW w:w="4261" w:type="dxa"/>
          </w:tcPr>
          <w:p w14:paraId="487489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Р-5</w:t>
            </w:r>
          </w:p>
        </w:tc>
        <w:tc>
          <w:tcPr>
            <w:tcW w:w="4261" w:type="dxa"/>
          </w:tcPr>
          <w:p w14:paraId="39CE18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Главное геологическое управление для аэрофотосъемки;</w:t>
            </w:r>
          </w:p>
        </w:tc>
      </w:tr>
      <w:tr w:rsidR="001002C3" w:rsidRPr="005E779E" w14:paraId="37961A9F" w14:textId="77777777">
        <w:tc>
          <w:tcPr>
            <w:tcW w:w="4261" w:type="dxa"/>
          </w:tcPr>
          <w:p w14:paraId="75F2AA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Р-5</w:t>
            </w:r>
          </w:p>
        </w:tc>
        <w:tc>
          <w:tcPr>
            <w:tcW w:w="4261" w:type="dxa"/>
          </w:tcPr>
          <w:p w14:paraId="797C7B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спецотряд;</w:t>
            </w:r>
          </w:p>
        </w:tc>
      </w:tr>
      <w:tr w:rsidR="001002C3" w:rsidRPr="005E779E" w14:paraId="66F956FF" w14:textId="77777777">
        <w:tc>
          <w:tcPr>
            <w:tcW w:w="4261" w:type="dxa"/>
          </w:tcPr>
          <w:p w14:paraId="14880C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Р-5</w:t>
            </w:r>
          </w:p>
        </w:tc>
        <w:tc>
          <w:tcPr>
            <w:tcW w:w="4261" w:type="dxa"/>
          </w:tcPr>
          <w:p w14:paraId="424B89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военную школу спецслужб;</w:t>
            </w:r>
          </w:p>
        </w:tc>
      </w:tr>
      <w:tr w:rsidR="001002C3" w:rsidRPr="005E779E" w14:paraId="7432E0B6" w14:textId="77777777">
        <w:tc>
          <w:tcPr>
            <w:tcW w:w="4261" w:type="dxa"/>
          </w:tcPr>
          <w:p w14:paraId="068B55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Р-5</w:t>
            </w:r>
          </w:p>
        </w:tc>
        <w:tc>
          <w:tcPr>
            <w:tcW w:w="4261" w:type="dxa"/>
          </w:tcPr>
          <w:p w14:paraId="2A5404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7-ю школу военнь1х летчиков;</w:t>
            </w:r>
          </w:p>
        </w:tc>
      </w:tr>
      <w:tr w:rsidR="001002C3" w:rsidRPr="005E779E" w14:paraId="473DDC4E" w14:textId="77777777">
        <w:tc>
          <w:tcPr>
            <w:tcW w:w="4261" w:type="dxa"/>
          </w:tcPr>
          <w:p w14:paraId="5EE396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Р-5</w:t>
            </w:r>
          </w:p>
        </w:tc>
        <w:tc>
          <w:tcPr>
            <w:tcW w:w="4261" w:type="dxa"/>
          </w:tcPr>
          <w:p w14:paraId="5C0F04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Авиагруппу Академии ВВС РККА;</w:t>
            </w:r>
          </w:p>
        </w:tc>
      </w:tr>
      <w:tr w:rsidR="001002C3" w:rsidRPr="005E779E" w14:paraId="53EE961F" w14:textId="77777777">
        <w:tc>
          <w:tcPr>
            <w:tcW w:w="4261" w:type="dxa"/>
          </w:tcPr>
          <w:p w14:paraId="2B398A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Р-5</w:t>
            </w:r>
          </w:p>
        </w:tc>
        <w:tc>
          <w:tcPr>
            <w:tcW w:w="4261" w:type="dxa"/>
          </w:tcPr>
          <w:p w14:paraId="59740B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распоряжение Осконбюро УВВС РККА;</w:t>
            </w:r>
          </w:p>
        </w:tc>
      </w:tr>
      <w:tr w:rsidR="00365C94" w:rsidRPr="005E779E" w14:paraId="0E2EEDC9" w14:textId="77777777">
        <w:tc>
          <w:tcPr>
            <w:tcW w:w="4261" w:type="dxa"/>
          </w:tcPr>
          <w:p w14:paraId="030208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48 Р-5</w:t>
            </w:r>
          </w:p>
        </w:tc>
        <w:tc>
          <w:tcPr>
            <w:tcW w:w="4261" w:type="dxa"/>
          </w:tcPr>
          <w:p w14:paraId="0009AC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Главному Управлению пограничной охраны (5016).</w:t>
            </w:r>
          </w:p>
        </w:tc>
      </w:tr>
    </w:tbl>
    <w:p w14:paraId="3964E2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E5AB0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октябре 1931 на заседании ВАО под председательством П.И.Б. было принято решение формировать изготовление ТБ-6 и окончить постройку в конце 1932 (7425, 19).</w:t>
      </w:r>
    </w:p>
    <w:p w14:paraId="283600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ACE5D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октябре 1931 г. в НИИ ВВС, где и находился в это время АНТ-6. прибыла немецкая делегация. Ей показали истребители И-4 и И-5, а также бомбардировщик ТБ-1. На последнем даже дали полетать немецкому пилоту, после чего «экскурсанты» двинулись дальше, и вот тут, у одного из ангаров, делегация вместе с сопровождающими наткнулась на не вовремя выкаченный наружу гигантский бомбардировщик. Офицеры рейхсвера тут же закидали наших специалистов вопросами об этой машине, а те не знали, чего отвечать - ведь даже упоминать о существовании этого самолета им запретили. Тем не менее, из оправдательных записок руководства НИИ четко видно, что бомбардировщик произвел на немцев неизгладимое впечатление (7668).</w:t>
      </w:r>
    </w:p>
    <w:p w14:paraId="19D413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7F987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октябре 1931 года самолет ТБ-1 с гордостью продемонстрировали немцам. Германская военная делегация осмотрела ТБ-1 в НИИ ВВС. Один из офицеров рейхсвера, фон Ма- себах, даже получил возможность попилоти- ровать бомбардировщик с правого кресла под надзором советского инструктора. Машина получила очень высокую оценку - в Германии подобной техники тогда не было (12024).</w:t>
      </w:r>
    </w:p>
    <w:p w14:paraId="3AD4CE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45D382D" w14:textId="1ABCCA88" w:rsidR="007024A0" w:rsidRPr="005E779E" w:rsidRDefault="007024A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октябре </w:t>
      </w:r>
      <w:r w:rsidR="001A6B4D">
        <w:rPr>
          <w:rFonts w:ascii="Times New Roman" w:hAnsi="Times New Roman"/>
          <w:color w:val="000000" w:themeColor="text1"/>
          <w:sz w:val="16"/>
          <w:szCs w:val="16"/>
        </w:rPr>
        <w:t>1931</w:t>
      </w:r>
      <w:r w:rsidRPr="005E779E">
        <w:rPr>
          <w:rFonts w:ascii="Times New Roman" w:hAnsi="Times New Roman"/>
          <w:color w:val="000000" w:themeColor="text1"/>
          <w:sz w:val="16"/>
          <w:szCs w:val="16"/>
        </w:rPr>
        <w:t xml:space="preserve"> года самолёт продемонстрировали немцам. Гер</w:t>
      </w:r>
      <w:r w:rsidRPr="005E779E">
        <w:rPr>
          <w:rFonts w:ascii="Times New Roman" w:hAnsi="Times New Roman"/>
          <w:color w:val="000000" w:themeColor="text1"/>
          <w:sz w:val="16"/>
          <w:szCs w:val="16"/>
        </w:rPr>
        <w:softHyphen/>
        <w:t>манская военная делегация осмот</w:t>
      </w:r>
      <w:r w:rsidRPr="005E779E">
        <w:rPr>
          <w:rFonts w:ascii="Times New Roman" w:hAnsi="Times New Roman"/>
          <w:color w:val="000000" w:themeColor="text1"/>
          <w:sz w:val="16"/>
          <w:szCs w:val="16"/>
        </w:rPr>
        <w:softHyphen/>
        <w:t>рела ТБ-1 в НИИ ВВС. Один из офи</w:t>
      </w:r>
      <w:r w:rsidRPr="005E779E">
        <w:rPr>
          <w:rFonts w:ascii="Times New Roman" w:hAnsi="Times New Roman"/>
          <w:color w:val="000000" w:themeColor="text1"/>
          <w:sz w:val="16"/>
          <w:szCs w:val="16"/>
        </w:rPr>
        <w:softHyphen/>
        <w:t>церов Рейхсвера, фон Масебах, даже получил возможность попилотировать бомбардировщик с правого кресла под надзором советского ин</w:t>
      </w:r>
      <w:r w:rsidRPr="005E779E">
        <w:rPr>
          <w:rFonts w:ascii="Times New Roman" w:hAnsi="Times New Roman"/>
          <w:color w:val="000000" w:themeColor="text1"/>
          <w:sz w:val="16"/>
          <w:szCs w:val="16"/>
        </w:rPr>
        <w:softHyphen/>
        <w:t>структора. Машина получила очень высокую оценку - в Германии по</w:t>
      </w:r>
      <w:r w:rsidRPr="005E779E">
        <w:rPr>
          <w:rFonts w:ascii="Times New Roman" w:hAnsi="Times New Roman"/>
          <w:color w:val="000000" w:themeColor="text1"/>
          <w:sz w:val="16"/>
          <w:szCs w:val="16"/>
        </w:rPr>
        <w:softHyphen/>
        <w:t>добной техники тогда не было (23469).</w:t>
      </w:r>
    </w:p>
    <w:p w14:paraId="6740F834" w14:textId="77777777" w:rsidR="007024A0" w:rsidRPr="005E779E" w:rsidRDefault="007024A0" w:rsidP="000B7A6C">
      <w:pPr>
        <w:spacing w:after="0" w:line="240" w:lineRule="auto"/>
        <w:jc w:val="both"/>
        <w:rPr>
          <w:rFonts w:ascii="Times New Roman" w:hAnsi="Times New Roman"/>
          <w:color w:val="000000" w:themeColor="text1"/>
          <w:sz w:val="16"/>
          <w:szCs w:val="16"/>
        </w:rPr>
      </w:pPr>
    </w:p>
    <w:p w14:paraId="127C7911" w14:textId="77777777" w:rsidR="001A6B4D" w:rsidRPr="00142305" w:rsidRDefault="001A6B4D" w:rsidP="001A6B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В октябре 1931 г. </w:t>
      </w:r>
      <w:r>
        <w:rPr>
          <w:rFonts w:ascii="Times New Roman" w:hAnsi="Times New Roman"/>
          <w:color w:val="0070C0"/>
          <w:sz w:val="16"/>
          <w:szCs w:val="16"/>
        </w:rPr>
        <w:t>на ЦА</w:t>
      </w:r>
      <w:r w:rsidRPr="00142305">
        <w:rPr>
          <w:rFonts w:ascii="Times New Roman" w:hAnsi="Times New Roman"/>
          <w:color w:val="0070C0"/>
          <w:sz w:val="16"/>
          <w:szCs w:val="16"/>
        </w:rPr>
        <w:t xml:space="preserve"> прибыла немецкая делегация. Ей показали истреби</w:t>
      </w:r>
      <w:r w:rsidRPr="00142305">
        <w:rPr>
          <w:rFonts w:ascii="Times New Roman" w:hAnsi="Times New Roman"/>
          <w:color w:val="0070C0"/>
          <w:sz w:val="16"/>
          <w:szCs w:val="16"/>
        </w:rPr>
        <w:softHyphen/>
        <w:t>тели И-4 и И-5, а также бомбардировщик ТБ-1. И вот у одного из ангаров делегация и сопровождающие наткнулись на невов</w:t>
      </w:r>
      <w:r w:rsidRPr="00142305">
        <w:rPr>
          <w:rFonts w:ascii="Times New Roman" w:hAnsi="Times New Roman"/>
          <w:color w:val="0070C0"/>
          <w:sz w:val="16"/>
          <w:szCs w:val="16"/>
        </w:rPr>
        <w:softHyphen/>
        <w:t>ремя выкаченный наружу ТБ-3. Офицеры рейхсвера закидали наших вопросами о «четырехмоторном дневном бомбовозе», а те не знали, чего отвечать - ведь даже упоминать о существовании этой машины им запретили. Тем не менее, из оправда</w:t>
      </w:r>
      <w:r w:rsidRPr="00142305">
        <w:rPr>
          <w:rFonts w:ascii="Times New Roman" w:hAnsi="Times New Roman"/>
          <w:color w:val="0070C0"/>
          <w:sz w:val="16"/>
          <w:szCs w:val="16"/>
        </w:rPr>
        <w:softHyphen/>
        <w:t>тельных записок руководства НИИ четко видно, что бомбардировщик произвел на немцев неизгладимое впечатление (24937).</w:t>
      </w:r>
    </w:p>
    <w:p w14:paraId="4C3D30FB" w14:textId="77777777" w:rsidR="001A6B4D" w:rsidRPr="00142305" w:rsidRDefault="001A6B4D" w:rsidP="001A6B4D">
      <w:pPr>
        <w:spacing w:after="0" w:line="240" w:lineRule="auto"/>
        <w:jc w:val="both"/>
        <w:rPr>
          <w:rFonts w:ascii="Times New Roman" w:hAnsi="Times New Roman"/>
          <w:color w:val="0070C0"/>
          <w:sz w:val="16"/>
          <w:szCs w:val="16"/>
        </w:rPr>
      </w:pPr>
    </w:p>
    <w:p w14:paraId="628CE2AD" w14:textId="77777777" w:rsidR="001A6B4D" w:rsidRPr="00142305" w:rsidRDefault="001A6B4D" w:rsidP="001A6B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октябре 1931 года самолет ТБ-1 с гордостью продемонс</w:t>
      </w:r>
      <w:r w:rsidRPr="00142305">
        <w:rPr>
          <w:rFonts w:ascii="Times New Roman" w:hAnsi="Times New Roman"/>
          <w:color w:val="0070C0"/>
          <w:sz w:val="16"/>
          <w:szCs w:val="16"/>
        </w:rPr>
        <w:softHyphen/>
        <w:t>трировали немцам. Германская военная делегация осмот</w:t>
      </w:r>
      <w:r w:rsidRPr="00142305">
        <w:rPr>
          <w:rFonts w:ascii="Times New Roman" w:hAnsi="Times New Roman"/>
          <w:color w:val="0070C0"/>
          <w:sz w:val="16"/>
          <w:szCs w:val="16"/>
        </w:rPr>
        <w:softHyphen/>
        <w:t>рела ТБ-1 в НИИ ВВС. Один из офицеров рейхсвера, фон Масебах, даже получил возможность попилотировать бом</w:t>
      </w:r>
      <w:r w:rsidRPr="00142305">
        <w:rPr>
          <w:rFonts w:ascii="Times New Roman" w:hAnsi="Times New Roman"/>
          <w:color w:val="0070C0"/>
          <w:sz w:val="16"/>
          <w:szCs w:val="16"/>
        </w:rPr>
        <w:softHyphen/>
        <w:t>бардировщик с правого кресла под надзором советского инструктора. Машина получила очень высокую оценку — в Германии подобной техники тогда не было (24977).</w:t>
      </w:r>
    </w:p>
    <w:p w14:paraId="51E0EA5A" w14:textId="77777777" w:rsidR="001A6B4D" w:rsidRPr="00142305" w:rsidRDefault="001A6B4D" w:rsidP="001A6B4D">
      <w:pPr>
        <w:spacing w:after="0" w:line="240" w:lineRule="auto"/>
        <w:jc w:val="both"/>
        <w:rPr>
          <w:rFonts w:ascii="Times New Roman" w:hAnsi="Times New Roman"/>
          <w:color w:val="0070C0"/>
          <w:sz w:val="16"/>
          <w:szCs w:val="16"/>
        </w:rPr>
      </w:pPr>
    </w:p>
    <w:p w14:paraId="5ADE710B" w14:textId="77777777" w:rsidR="001A6B4D" w:rsidRPr="00142305" w:rsidRDefault="001A6B4D" w:rsidP="001A6B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октябре 1931 г. Р-5 среди других самолетов также по</w:t>
      </w:r>
      <w:r w:rsidRPr="00142305">
        <w:rPr>
          <w:rFonts w:ascii="Times New Roman" w:hAnsi="Times New Roman"/>
          <w:color w:val="0070C0"/>
          <w:sz w:val="16"/>
          <w:szCs w:val="16"/>
        </w:rPr>
        <w:softHyphen/>
        <w:t>казали немецкой военной делегации на Центральном аэ</w:t>
      </w:r>
      <w:r w:rsidRPr="00142305">
        <w:rPr>
          <w:rFonts w:ascii="Times New Roman" w:hAnsi="Times New Roman"/>
          <w:color w:val="0070C0"/>
          <w:sz w:val="16"/>
          <w:szCs w:val="16"/>
        </w:rPr>
        <w:softHyphen/>
        <w:t>родроме в Москве (24990).</w:t>
      </w:r>
    </w:p>
    <w:p w14:paraId="22A3886B" w14:textId="77777777" w:rsidR="001A6B4D" w:rsidRPr="00142305" w:rsidRDefault="001A6B4D" w:rsidP="001A6B4D">
      <w:pPr>
        <w:spacing w:after="0" w:line="240" w:lineRule="auto"/>
        <w:jc w:val="both"/>
        <w:rPr>
          <w:rFonts w:ascii="Times New Roman" w:hAnsi="Times New Roman"/>
          <w:color w:val="0070C0"/>
          <w:sz w:val="16"/>
          <w:szCs w:val="16"/>
        </w:rPr>
      </w:pPr>
    </w:p>
    <w:p w14:paraId="7C7E13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октябре 1931 г. после участия двух отрядов И-5 в манёврах Украинского военного округа в Москву отправили докладную, в которой сообщался длинный список дефектов самолёта. При интенсивной эксплуатации лопались расчалки, отваливались синхронизаторы, трескались панели капота. Опять много претензий предъявили к шасси - амортизация плохая, резина из них выпирает, костыль ломается... Лётчики жаловались, что сиденье натирает спину, а вырез кабины не имеет мягкой обивки. Вывод докладной был неутешительным: "В своём настоящем виде самолёт И-5 - не боевая машина" (11997).</w:t>
      </w:r>
    </w:p>
    <w:p w14:paraId="0BBFAA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2FD2B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октябре 1931 года НИИ был испытан винт конструкции Никифорова для с-та И-5 М-22. Данные испытания показали, что винт Никифорова уступает по своим летным характеристикам винту, находящемуся в настоящее время на вооружении самолета И-5 М-22 (3025,13-14).</w:t>
      </w:r>
    </w:p>
    <w:p w14:paraId="5572D5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185E4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октябре 1931 КБ А.Н.Т. представило НИИ ВВС расчет характеристик Р-6 с М-34 (346,37).</w:t>
      </w:r>
    </w:p>
    <w:p w14:paraId="78A38D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57F2035" w14:textId="77777777" w:rsidR="00513C11" w:rsidRPr="005E779E" w:rsidRDefault="00513C1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октября 1931 г. велось проектирование модификации Р-6 с новыми моторами М-34. Планами предусматривалось введение на этом варианте гладкой обшивки и металлических винтов. По расчётам, максимальная скорость должна была возрасти до 257 км/ч, потолок - до 7900 м. Но самолёт построен не был. Возможно, полученные результаты использовали при создании многоместного истребителя МИ-3 (12264).</w:t>
      </w:r>
    </w:p>
    <w:p w14:paraId="69035C8E" w14:textId="77777777" w:rsidR="00513C11" w:rsidRPr="005E779E" w:rsidRDefault="00513C11" w:rsidP="000B7A6C">
      <w:pPr>
        <w:spacing w:after="0" w:line="240" w:lineRule="auto"/>
        <w:jc w:val="both"/>
        <w:rPr>
          <w:rFonts w:ascii="Times New Roman" w:hAnsi="Times New Roman"/>
          <w:color w:val="000000" w:themeColor="text1"/>
          <w:sz w:val="16"/>
          <w:szCs w:val="16"/>
        </w:rPr>
      </w:pPr>
    </w:p>
    <w:p w14:paraId="2642781B" w14:textId="77777777" w:rsidR="002E0A40" w:rsidRPr="005E779E" w:rsidRDefault="002E0A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октябре 1931г. ЦАГИ представил НИИ ВВС расчет предполагаемых характе</w:t>
      </w:r>
      <w:r w:rsidRPr="005E779E">
        <w:rPr>
          <w:rFonts w:ascii="Times New Roman" w:hAnsi="Times New Roman"/>
          <w:color w:val="000000" w:themeColor="text1"/>
          <w:sz w:val="16"/>
          <w:szCs w:val="16"/>
        </w:rPr>
        <w:softHyphen/>
        <w:t>ристик самолета Р—6 с двумя двигателями М—34. Получалось, что скорость у земли возрастет до 259 км/ч, на высоте 3000 м — до 257 км/ч. Время набора высоты 3000 м должно было уменьшиться до 6,4 мин, а потолок составить 7900 м. Документы об установке двигателей М—34 не сохрани</w:t>
      </w:r>
      <w:r w:rsidRPr="005E779E">
        <w:rPr>
          <w:rFonts w:ascii="Times New Roman" w:hAnsi="Times New Roman"/>
          <w:color w:val="000000" w:themeColor="text1"/>
          <w:sz w:val="16"/>
          <w:szCs w:val="16"/>
        </w:rPr>
        <w:softHyphen/>
        <w:t>лись (23474).</w:t>
      </w:r>
    </w:p>
    <w:p w14:paraId="5F06794D" w14:textId="77777777" w:rsidR="002E0A40" w:rsidRPr="005E779E" w:rsidRDefault="002E0A40" w:rsidP="000B7A6C">
      <w:pPr>
        <w:spacing w:after="0" w:line="240" w:lineRule="auto"/>
        <w:jc w:val="both"/>
        <w:rPr>
          <w:rFonts w:ascii="Times New Roman" w:hAnsi="Times New Roman"/>
          <w:color w:val="000000" w:themeColor="text1"/>
          <w:sz w:val="16"/>
          <w:szCs w:val="16"/>
        </w:rPr>
      </w:pPr>
    </w:p>
    <w:p w14:paraId="4102A2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октябре 1931 в воздух поднялся Сталь-2 (3971,5).</w:t>
      </w:r>
    </w:p>
    <w:p w14:paraId="1D201B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147AAAC" w14:textId="77777777" w:rsidR="00C55371" w:rsidRPr="005E779E" w:rsidRDefault="00C55371" w:rsidP="000B7A6C">
      <w:pPr>
        <w:spacing w:after="0" w:line="240" w:lineRule="auto"/>
        <w:jc w:val="both"/>
        <w:rPr>
          <w:rFonts w:ascii="Times New Roman" w:hAnsi="Times New Roman"/>
          <w:color w:val="000000" w:themeColor="text1"/>
          <w:sz w:val="16"/>
          <w:szCs w:val="16"/>
          <w:lang w:eastAsia="ru-RU" w:bidi="ru-RU"/>
        </w:rPr>
      </w:pPr>
      <w:r w:rsidRPr="005E779E">
        <w:rPr>
          <w:rFonts w:ascii="Times New Roman" w:hAnsi="Times New Roman"/>
          <w:color w:val="000000" w:themeColor="text1"/>
          <w:sz w:val="16"/>
          <w:szCs w:val="16"/>
          <w:lang w:eastAsia="ru-RU" w:bidi="ru-RU"/>
        </w:rPr>
        <w:t>В октябре 1931 года первый опытный экземпляр Сталь-2 с дви</w:t>
      </w:r>
      <w:r w:rsidRPr="005E779E">
        <w:rPr>
          <w:rFonts w:ascii="Times New Roman" w:hAnsi="Times New Roman"/>
          <w:color w:val="000000" w:themeColor="text1"/>
          <w:sz w:val="16"/>
          <w:szCs w:val="16"/>
          <w:lang w:eastAsia="ru-RU" w:bidi="ru-RU"/>
        </w:rPr>
        <w:softHyphen/>
        <w:t>гателем «Райт» считался окончательно готовым, и 11 ок</w:t>
      </w:r>
      <w:r w:rsidRPr="005E779E">
        <w:rPr>
          <w:rFonts w:ascii="Times New Roman" w:hAnsi="Times New Roman"/>
          <w:color w:val="000000" w:themeColor="text1"/>
          <w:sz w:val="16"/>
          <w:szCs w:val="16"/>
          <w:lang w:eastAsia="ru-RU" w:bidi="ru-RU"/>
        </w:rPr>
        <w:softHyphen/>
        <w:t>тября состоялся первый полет. Летал Эдуард Иванович Шварц, который оценил полетные данные нового самоле</w:t>
      </w:r>
      <w:r w:rsidRPr="005E779E">
        <w:rPr>
          <w:rFonts w:ascii="Times New Roman" w:hAnsi="Times New Roman"/>
          <w:color w:val="000000" w:themeColor="text1"/>
          <w:sz w:val="16"/>
          <w:szCs w:val="16"/>
          <w:lang w:eastAsia="ru-RU" w:bidi="ru-RU"/>
        </w:rPr>
        <w:softHyphen/>
        <w:t>та как вполне удовлетворительные. Очевидно, что сам факт первого полета представили пе</w:t>
      </w:r>
      <w:r w:rsidRPr="005E779E">
        <w:rPr>
          <w:rFonts w:ascii="Times New Roman" w:hAnsi="Times New Roman"/>
          <w:color w:val="000000" w:themeColor="text1"/>
          <w:sz w:val="16"/>
          <w:szCs w:val="16"/>
          <w:lang w:eastAsia="ru-RU" w:bidi="ru-RU"/>
        </w:rPr>
        <w:softHyphen/>
        <w:t>ред высшим руководством как значительное достижение советской науки и промышленности (20365).</w:t>
      </w:r>
    </w:p>
    <w:p w14:paraId="156B76B5" w14:textId="77777777" w:rsidR="00C55371" w:rsidRPr="005E779E" w:rsidRDefault="00C55371" w:rsidP="000B7A6C">
      <w:pPr>
        <w:spacing w:after="0" w:line="240" w:lineRule="auto"/>
        <w:jc w:val="both"/>
        <w:rPr>
          <w:rFonts w:ascii="Times New Roman" w:hAnsi="Times New Roman"/>
          <w:color w:val="000000" w:themeColor="text1"/>
          <w:sz w:val="16"/>
          <w:szCs w:val="16"/>
          <w:lang w:eastAsia="ru-RU" w:bidi="ru-RU"/>
        </w:rPr>
      </w:pPr>
    </w:p>
    <w:p w14:paraId="73DC4B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октября 1931 в СССР начали поступать первые из 50 заказанных лл S.62 и к июлю 1932 все они прибыли (2446,41).</w:t>
      </w:r>
    </w:p>
    <w:p w14:paraId="65522F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6CE27D3" w14:textId="77777777" w:rsidR="001A6B4D" w:rsidRPr="00142305" w:rsidRDefault="001A6B4D" w:rsidP="001A6B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октябре 1931 г. на заводе № 28 началось изготовление лыж для S.62, а в январе 1932 г. завод отправил для испытаний на Балтику первый ком</w:t>
      </w:r>
      <w:r w:rsidRPr="00142305">
        <w:rPr>
          <w:rFonts w:ascii="Times New Roman" w:hAnsi="Times New Roman"/>
          <w:color w:val="0070C0"/>
          <w:sz w:val="16"/>
          <w:szCs w:val="16"/>
        </w:rPr>
        <w:softHyphen/>
        <w:t xml:space="preserve">плект. </w:t>
      </w:r>
    </w:p>
    <w:p w14:paraId="0DDAC2AA" w14:textId="77777777" w:rsidR="001A6B4D" w:rsidRPr="00142305" w:rsidRDefault="001A6B4D" w:rsidP="001A6B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Проектирование лыж поручили москов</w:t>
      </w:r>
      <w:r w:rsidRPr="00142305">
        <w:rPr>
          <w:rFonts w:ascii="Times New Roman" w:hAnsi="Times New Roman"/>
          <w:color w:val="0070C0"/>
          <w:sz w:val="16"/>
          <w:szCs w:val="16"/>
        </w:rPr>
        <w:softHyphen/>
        <w:t>скому заводу № 28. Через два окованных металлом гнезда из легированной стали (эти трубы закупали в Италии), кре</w:t>
      </w:r>
      <w:r w:rsidRPr="00142305">
        <w:rPr>
          <w:rFonts w:ascii="Times New Roman" w:hAnsi="Times New Roman"/>
          <w:color w:val="0070C0"/>
          <w:sz w:val="16"/>
          <w:szCs w:val="16"/>
        </w:rPr>
        <w:softHyphen/>
        <w:t>пившуюся к кильсону. На нее навешивали башмаки лыж. Амортизаторы крепились к шпангоутам. Лыжи были деревянные с медной оковкой. Под хвостовой частью лодки монтировался лыжонок - такая же по конструкции лыжа, но маленькая. Весь комплект весил 260 кг.</w:t>
      </w:r>
    </w:p>
    <w:p w14:paraId="1C6AB4A6" w14:textId="77777777" w:rsidR="001A6B4D" w:rsidRPr="00142305" w:rsidRDefault="001A6B4D" w:rsidP="001A6B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Опробование прошло удачно. Об</w:t>
      </w:r>
      <w:r w:rsidRPr="00142305">
        <w:rPr>
          <w:rFonts w:ascii="Times New Roman" w:hAnsi="Times New Roman"/>
          <w:color w:val="0070C0"/>
          <w:sz w:val="16"/>
          <w:szCs w:val="16"/>
        </w:rPr>
        <w:softHyphen/>
        <w:t>щий вывод был таков: «Техника взлета на лыжах существенных отличий от взлета с воды не имеет». Вскоре сменным лыж</w:t>
      </w:r>
      <w:r w:rsidRPr="00142305">
        <w:rPr>
          <w:rFonts w:ascii="Times New Roman" w:hAnsi="Times New Roman"/>
          <w:color w:val="0070C0"/>
          <w:sz w:val="16"/>
          <w:szCs w:val="16"/>
        </w:rPr>
        <w:softHyphen/>
        <w:t>ным шасси снабдили все «савойи» (24948).</w:t>
      </w:r>
    </w:p>
    <w:p w14:paraId="44A10352" w14:textId="77777777" w:rsidR="001A6B4D" w:rsidRPr="00142305" w:rsidRDefault="001A6B4D" w:rsidP="001A6B4D">
      <w:pPr>
        <w:spacing w:after="0" w:line="240" w:lineRule="auto"/>
        <w:jc w:val="both"/>
        <w:rPr>
          <w:rFonts w:ascii="Times New Roman" w:hAnsi="Times New Roman"/>
          <w:color w:val="0070C0"/>
          <w:sz w:val="16"/>
          <w:szCs w:val="16"/>
        </w:rPr>
      </w:pPr>
    </w:p>
    <w:p w14:paraId="1CFD067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октябре 1931 г. после наработки на стенде 38 часов первый М-34 выстави</w:t>
      </w:r>
      <w:r w:rsidRPr="005E779E">
        <w:rPr>
          <w:rFonts w:ascii="Times New Roman" w:hAnsi="Times New Roman"/>
          <w:color w:val="000000" w:themeColor="text1"/>
          <w:sz w:val="16"/>
          <w:szCs w:val="16"/>
        </w:rPr>
        <w:softHyphen/>
        <w:t>ли на государственные испытания. К 1 ноября мотор успешно отработал 100 часов, хотя и с некоторыми по</w:t>
      </w:r>
      <w:r w:rsidRPr="005E779E">
        <w:rPr>
          <w:rFonts w:ascii="Times New Roman" w:hAnsi="Times New Roman"/>
          <w:color w:val="000000" w:themeColor="text1"/>
          <w:sz w:val="16"/>
          <w:szCs w:val="16"/>
        </w:rPr>
        <w:softHyphen/>
        <w:t>ломками. В акте записали: «В целом удовлетворительно». По нормам того времени, это давало право поста</w:t>
      </w:r>
      <w:r w:rsidRPr="005E779E">
        <w:rPr>
          <w:rFonts w:ascii="Times New Roman" w:hAnsi="Times New Roman"/>
          <w:color w:val="000000" w:themeColor="text1"/>
          <w:sz w:val="16"/>
          <w:szCs w:val="16"/>
        </w:rPr>
        <w:softHyphen/>
        <w:t>вить вопрос о внедрении в серий</w:t>
      </w:r>
      <w:r w:rsidRPr="005E779E">
        <w:rPr>
          <w:rFonts w:ascii="Times New Roman" w:hAnsi="Times New Roman"/>
          <w:color w:val="000000" w:themeColor="text1"/>
          <w:sz w:val="16"/>
          <w:szCs w:val="16"/>
        </w:rPr>
        <w:softHyphen/>
        <w:t>ное производство. В документе так</w:t>
      </w:r>
      <w:r w:rsidRPr="005E779E">
        <w:rPr>
          <w:rFonts w:ascii="Times New Roman" w:hAnsi="Times New Roman"/>
          <w:color w:val="000000" w:themeColor="text1"/>
          <w:sz w:val="16"/>
          <w:szCs w:val="16"/>
        </w:rPr>
        <w:softHyphen/>
        <w:t>же отметили, что смонтированный на опытном образце М-34 карбюратор фирмы «Зенит» (взятый от М-17) не соответствует мощности двигателя. Поэтому начали проектировать новый. В Рыбинске собрали только два М-34, поскольку в январе 1932 г. из Главного управления авиапромыш</w:t>
      </w:r>
      <w:r w:rsidRPr="005E779E">
        <w:rPr>
          <w:rFonts w:ascii="Times New Roman" w:hAnsi="Times New Roman"/>
          <w:color w:val="000000" w:themeColor="text1"/>
          <w:sz w:val="16"/>
          <w:szCs w:val="16"/>
        </w:rPr>
        <w:softHyphen/>
        <w:t>ленности (ГУАП) поступило распоря</w:t>
      </w:r>
      <w:r w:rsidRPr="005E779E">
        <w:rPr>
          <w:rFonts w:ascii="Times New Roman" w:hAnsi="Times New Roman"/>
          <w:color w:val="000000" w:themeColor="text1"/>
          <w:sz w:val="16"/>
          <w:szCs w:val="16"/>
        </w:rPr>
        <w:softHyphen/>
        <w:t>жение остановиться на сборке двух моторов, сдать все уже готовые де</w:t>
      </w:r>
      <w:r w:rsidRPr="005E779E">
        <w:rPr>
          <w:rFonts w:ascii="Times New Roman" w:hAnsi="Times New Roman"/>
          <w:color w:val="000000" w:themeColor="text1"/>
          <w:sz w:val="16"/>
          <w:szCs w:val="16"/>
        </w:rPr>
        <w:softHyphen/>
        <w:t>тали ИАМ. В мастерских ИАМ к на</w:t>
      </w:r>
      <w:r w:rsidRPr="005E779E">
        <w:rPr>
          <w:rFonts w:ascii="Times New Roman" w:hAnsi="Times New Roman"/>
          <w:color w:val="000000" w:themeColor="text1"/>
          <w:sz w:val="16"/>
          <w:szCs w:val="16"/>
        </w:rPr>
        <w:softHyphen/>
        <w:t>чалу октября 1932 г. сделали пять М-34, из них один - макетный для ЦАГИ (11848).</w:t>
      </w:r>
    </w:p>
    <w:p w14:paraId="31ED3F7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A9BD2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октябре 1931 г. Особое конструкторское бюро (ОКБ) ОГПУ пере</w:t>
      </w:r>
      <w:r w:rsidRPr="005E779E">
        <w:rPr>
          <w:rFonts w:ascii="Times New Roman" w:hAnsi="Times New Roman"/>
          <w:color w:val="000000" w:themeColor="text1"/>
          <w:sz w:val="16"/>
          <w:szCs w:val="16"/>
        </w:rPr>
        <w:softHyphen/>
        <w:t>дало чертежи двигателя в ВАО (сменившее Авиатрест) и ИАМ. На заводе № 24 в это время уже имелись изготовленные опытные образцы моторов ФЭД и делались другие. Всего собрали десять экземпляров. По всей видимости, все они, или почти все, были разными. Сохрани</w:t>
      </w:r>
      <w:r w:rsidRPr="005E779E">
        <w:rPr>
          <w:rFonts w:ascii="Times New Roman" w:hAnsi="Times New Roman"/>
          <w:color w:val="000000" w:themeColor="text1"/>
          <w:sz w:val="16"/>
          <w:szCs w:val="16"/>
        </w:rPr>
        <w:softHyphen/>
        <w:t>лись разрозненные материалы по ФЭД-1, ФЭД-3, ФЭД-8 и ФЭД-10. Ис</w:t>
      </w:r>
      <w:r w:rsidRPr="005E779E">
        <w:rPr>
          <w:rFonts w:ascii="Times New Roman" w:hAnsi="Times New Roman"/>
          <w:color w:val="000000" w:themeColor="text1"/>
          <w:sz w:val="16"/>
          <w:szCs w:val="16"/>
        </w:rPr>
        <w:softHyphen/>
        <w:t>пытания ФЭД-1 начали еще осенью 1930 г. По результатам испытаний произвели усиление картера и шатунов. Наиболее доведен был ФЭД-3, оснащенный односкоростным ПЦН. После двух заводских испытаний, во время которых на одном экзем</w:t>
      </w:r>
      <w:r w:rsidRPr="005E779E">
        <w:rPr>
          <w:rFonts w:ascii="Times New Roman" w:hAnsi="Times New Roman"/>
          <w:color w:val="000000" w:themeColor="text1"/>
          <w:sz w:val="16"/>
          <w:szCs w:val="16"/>
        </w:rPr>
        <w:softHyphen/>
        <w:t>пляре оборвался главный шатун, его в апреле 1931 г. предъявили на государственные. Их проводили на стенде 6-го отделения НИИ ВВС. Хотя максимальная мощность оказалась выше расчетной, номинальная не до</w:t>
      </w:r>
      <w:r w:rsidRPr="005E779E">
        <w:rPr>
          <w:rFonts w:ascii="Times New Roman" w:hAnsi="Times New Roman"/>
          <w:color w:val="000000" w:themeColor="text1"/>
          <w:sz w:val="16"/>
          <w:szCs w:val="16"/>
        </w:rPr>
        <w:softHyphen/>
        <w:t>ходила до заданного уровня почти на 100 л.с. Через 25 часов пришлось заменить все шатунные вкладыши. Двигатель признали неудовлетвори</w:t>
      </w:r>
      <w:r w:rsidRPr="005E779E">
        <w:rPr>
          <w:rFonts w:ascii="Times New Roman" w:hAnsi="Times New Roman"/>
          <w:color w:val="000000" w:themeColor="text1"/>
          <w:sz w:val="16"/>
          <w:szCs w:val="16"/>
        </w:rPr>
        <w:softHyphen/>
        <w:t>тельным. После передачи задания по ФЭД в ИАМ там долго не могли подобрать специалиста, который взялся бы за его доводку. Фактически больше им по-настоящему не занимались. Вскоре интерес к мотору пропал, и его исключили из плановых документов.</w:t>
      </w:r>
    </w:p>
    <w:p w14:paraId="0BCB89F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Характеристики:</w:t>
      </w:r>
    </w:p>
    <w:p w14:paraId="1A77C2B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24-цилиндровый, рядный Х-образный, четырехтактный, водяного охлаждения;</w:t>
      </w:r>
    </w:p>
    <w:p w14:paraId="7F748F2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безредукторный;</w:t>
      </w:r>
    </w:p>
    <w:p w14:paraId="35A40A3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без наддува;</w:t>
      </w:r>
    </w:p>
    <w:p w14:paraId="71285AA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диаметр цилиндра/ход поршня 135/160 мм;</w:t>
      </w:r>
    </w:p>
    <w:p w14:paraId="342AE33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объем 55,0 л;</w:t>
      </w:r>
    </w:p>
    <w:p w14:paraId="6C5B2B9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мощность по проекту 900 л.с. (11852).</w:t>
      </w:r>
    </w:p>
    <w:p w14:paraId="00A50B3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AB12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октябре 1931 года разрабатывается проект реконструкции воронежского завода № 16 - теперь уже для выпуска самолетов. В начале 1932 года реконструкция в основном была завершена, значительная часть инженерно-технических работников прошла переподготовку на родственных предприятиях Москвы (9688).</w:t>
      </w:r>
    </w:p>
    <w:p w14:paraId="7BF808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1932 году завод собрал пять самолетов, еще пять находилось в производстве. Но летные испытания выявили ряд конструктивных и технологических недоработок, поэтому Всесоюзное авиационное объединение сочло нужным ликвидировать самолетостроительный профиль завода и переориентировать его на серийное производство самолетного оборудования.</w:t>
      </w:r>
    </w:p>
    <w:p w14:paraId="757D68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Как видно, за очень короткое время завод трижды менял и производственные программы, и основной профиль.</w:t>
      </w:r>
    </w:p>
    <w:p w14:paraId="672BCA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в феврале 1934 года по приказу Главного управления управления авиационной промыш ленности "Гипроавиапром" разрабатывается еще один прект реконструкции - на производство моторов воздушного охлаждения М-11 конструкции А.Д. Швецова. Мотор М-11 - формы пятиконечной звезды, воздушного охлаждения, мощность 110 л/с, ресурс - 400 часов, вес - 160 кг., расход топлива - 250 л/час - был одним из самых популярных на протяжении многих десятков лет.</w:t>
      </w:r>
    </w:p>
    <w:p w14:paraId="15F386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Потребность в них была велика, поскольку они устанавливались на знаменитые самолеты ПО-2 (У-2) конструкции Н.Н. Поликарпова, используемые для массовой подготовки пилотов, в сельском хозяйстве, для почтовой связи, в медицине, для пассажирских перевозок.</w:t>
      </w:r>
    </w:p>
    <w:p w14:paraId="3A6B84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Разработка проекта реконструкции, сама реконструкция, подготовка кадров и производства, освоение изделий - все это было осуществлено за шесть месяцев: с февраля по август. В августе 1934 года началось серийное производство. В 1934-1935 годах завод стал единственным предприятием, выпускающим подобные моторы. В 1936 году завод освоил конвейерную сборку изделий, что требовало четкого обеспечения узлами и деталями, организации внутрецехового планирования. В 1939 году завод получил задание - освоить новый первоклассный мотор ВК-105 конструкции В.Я. Климова.</w:t>
      </w:r>
    </w:p>
    <w:p w14:paraId="49D78C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Этот мотор, мощностью 1100 л/с и с ресурсом - 100 часов, был расчитан на полетную скорость - 480 км/час и устанавливался на знаменитые пикирующие бомбардировщики "Пе-2", "СБ". С 16 октября по 11 ноября 1941 года по решению Государственного Комитета Обороны пропроизошла эвакуация Воронежского завода №16 в Казань, на территорию завода №27. Объединение позволило сконцентрировать в одном месте научно - конструкторскую мысль, материальные и трудовые ресурсы, позволило на новой технической основе решать сложнейшие производственные задачи, выдвинутые необходимостью военного времени (9688).</w:t>
      </w:r>
    </w:p>
    <w:p w14:paraId="6D2B91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15E8636" w14:textId="77777777" w:rsidR="007024A0" w:rsidRPr="005E779E" w:rsidRDefault="007024A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октябре 1931 г. новым приказом по ВАО ЦКБ-39 подчинен Центральному аэрогидродинамическому институту, но только в административном отношении, при этом по планам работ ЦКБ-39 и АГОС ЦАГИ сохранили свою самостоятельность, несмотря то, что на распоряжение об объединении организаций имело конечной целью именно объединение их усилий в разработке новых самолетов.</w:t>
      </w:r>
    </w:p>
    <w:p w14:paraId="524FB45C" w14:textId="77777777" w:rsidR="007024A0" w:rsidRPr="005E779E" w:rsidRDefault="007024A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верстке новых планов для объединенной конструкторской организации были упущены ряд второстепенных заданий, в основном, гражданского назначения. Так не была включена в план пассажирская модификация разведчика Р-5, по которой были уже произведены значительные работы и потрачены средства. Эта работа была возвращена в план, такие самолеты были построены и эксплуатировались в Гражданском воздушном флоте (ГВФ) и в Полярной авиации, а с началом Великой Отечественной войны переданы ВВС в качестве транспортных и курьерских.</w:t>
      </w:r>
    </w:p>
    <w:p w14:paraId="56C7193E" w14:textId="77777777" w:rsidR="007024A0" w:rsidRPr="005E779E" w:rsidRDefault="007024A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Конструкторская часть завода №135 в Харькове (ГРОС) в большинстве приказов по объединению авиастроительных КБ вообще не упоминалась (23559).</w:t>
      </w:r>
    </w:p>
    <w:p w14:paraId="2F2047FA" w14:textId="77777777" w:rsidR="007024A0" w:rsidRPr="005E779E" w:rsidRDefault="007024A0" w:rsidP="000B7A6C">
      <w:pPr>
        <w:spacing w:after="0" w:line="240" w:lineRule="auto"/>
        <w:jc w:val="both"/>
        <w:rPr>
          <w:rFonts w:ascii="Times New Roman" w:hAnsi="Times New Roman"/>
          <w:color w:val="000000" w:themeColor="text1"/>
          <w:sz w:val="16"/>
          <w:szCs w:val="16"/>
        </w:rPr>
      </w:pPr>
    </w:p>
    <w:p w14:paraId="3B6FE1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октябре 1931 г. воронежский завод реконструируется под строительство самолетов, а в 1932 г. начинается выпуск серии штурмовиков ТШ-2 конструкции Кочеригина С.А. Самолет ТШ-2 представлял собой биплан смешанной конструкции с усиленным бронированием. Его носовая часть выполнялась в виде бронекоробки, в которой размешались двигатель водяного охлаждения М-17, водо- и маслорадиаторы, бензобаки, кабины летчика и стрелка. В 1932 г. завод собрал пять самолетов ТШ-2, и еще пять находились в производстве. Однако испытания показали, что самолет обладает низкими летно-техническими данными, максимальная скорость самолета у земли не превышала 215 км/час. Поэтому дальнейшее строительство самолетов было прекращено, а завод переводился на серийное производство авиационного оборудования. Таким образом, с 1931 по 1932 гг. завод три раза менял производственные программы и основной профиль. Наконец, в феврале 1934 г. завод реконструируется под производство моторов воздушного охлаждения М-11, становится моторостроительным и остается таковым до настоящего времени (12049).</w:t>
      </w:r>
    </w:p>
    <w:p w14:paraId="4E2113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5E728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октябре 1931 г. в результате разделения завода №1 на ряд производств (в том числе заводы №34, №219, №217 и др.) началась история Московского завода №32, который выделился из завода №1 (ранее - "Дукс"). Та часть ГАЗ №1, которая занималась установ. воор., осталась на старом месте и преобраз. в самостоятельный завод, получивший наименование завод №32 НКАП (ул. Правды). При окончательном переводе в 1933 г. ав. производства завода №1 на нов. пл. у Ходынки, заводу №32 передана осн. часть его площадей. Сначала кроме вооружения осуществлял производство радиаторов и колес, что далее перешло в ведение др. заводов (в основном на завод №34). В 1934 г. построено два планера Г№5 конструкции Г.Ф.Грошова. </w:t>
      </w:r>
    </w:p>
    <w:p w14:paraId="700CCF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На заводе №32 в 1938 г. образован конструкторский отдел по вооружению самолетов с бригадами (которые действовали с 1936 г.), далее - КБ (было четыре КБ при заводе), созданными из специалистов ЦАГИ и ВВА им. Жуковского. Главные кон-ры и основные работники (в к. 1930-х - н. 1940-х гг.).: И.П.Шебанов, А.И.Шульгин, И.И.Торопов, Н.А.Рубин, Г.М.Можаровский (гл.к. КБ) и И.В.Веневидов (нач. КБ), В.И.Ермилов (в н. 1942 г. руководил филиалом ОКБ завода №454 НКАП в г.Москве). Опsnysq цех возглавлял В.Н.Терехов, далее - М.Я.Горелик. До н. 1940-х завод был единственным специализированным заводом по установкам авиационного вооружения, т.к. кадры вооруженцев были разбросаны по самолетостроительным заводам. </w:t>
      </w:r>
    </w:p>
    <w:p w14:paraId="367951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началом ВОВ началось форсированное расширение производства (планировалось даже на правах филиалов заводу передать завод №289 и завод №290 для производства агрегатов авиавооружения).</w:t>
      </w:r>
    </w:p>
    <w:p w14:paraId="672753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Перед и во время ВОВ на заводе №32 были разработаны различные изделия, многие из которых находились в серийном пр-ве: торпедодержатель ТД-32 (1939 г.) для самолета ДБ-3, кассетный бомбодержатель КД-2-438, КД-1-1038 для самолета ББ-1, КД-2-439 для ТБ-7, ББ-1, ББ-22, установки вооружения КД-3-240 и КБ-2-240 для ДБ-240, замки МД-2-40, АСШ-340, лебедки БЛ-3 и БЛ-4 для подъема и подвески АБ, установка ТУР-9 для самолета ."СБ", установки ТУР-МВ-3, МВ-5, держатели КД-1, КД-2, КД-3, Дер-31, Дер-32, Дер-34, Дер-19П и Дер-20П, установки вооружения НУДБ-3 и НУДБ-3Ф для самолета Че-2 и много др. Кроме установок вооружения </w:t>
      </w:r>
      <w:r w:rsidRPr="005E779E">
        <w:rPr>
          <w:rFonts w:ascii="Times New Roman" w:hAnsi="Times New Roman"/>
          <w:color w:val="000000" w:themeColor="text1"/>
          <w:sz w:val="16"/>
          <w:szCs w:val="16"/>
        </w:rPr>
        <w:lastRenderedPageBreak/>
        <w:t>в пр-ве были прицелы: бобврдировочные ПС-1 (ОПБ-21), ОПБ-2М, -2АМ, -1М, -1АМ, НКПБ-3 и стрелковые МПТ-1, ОПТ-2 (К8-Т), ОП-2Л. Велось производство элементов установок для ракет М-8 (в помощь заводу "Компрессор"), с .7.41 г. началась серия ракетных блоков РО-82 (изд. 2РУ-223). В начале ВОВ осуществлялось изготовление запчастей к старым самолетам Р-5, Р-Z, И-153.</w:t>
      </w:r>
    </w:p>
    <w:p w14:paraId="6AC06D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соответствии приказом №1053 от 9.10.41 г. завод эвакуирован в г. Киров на площади строящегося завода №315 НКАП. Эвакуация прошла в две очереди. Здесь оба завода были слиты в единый завод №32 НКАП. </w:t>
      </w:r>
    </w:p>
    <w:p w14:paraId="734800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Директора: с к. 1930-х по 1941 г. - М.С.Жезлов, далее И.А.Соколов (с 1941 г., далее и в эвакуации в г.Кирове). Позже объединенный завод №32 в Кирове возглавляли - С.Л.Ребенко (с к. 1941-43г), С.А.Горюнов (1944 г.). </w:t>
      </w:r>
    </w:p>
    <w:p w14:paraId="2C56E1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Перед ВОВ при заводе было образовано и действовало крупеое вооруженческое Конструкторские бюро. Сначала действовали конструкторские бригады, в 1938 г. объединенные в ОКО. В составе ОКО работали КБ А.И.Шульгина, Г.М.Можаровского и И.В.Веневидова, И.П.Шебанова, И.И.Торопова. Приказом по НКАП №219 от 17.5.40 г. на заводе были закреплены три бюро в составе ОКО (кроме КБ И.П.Шебанова, переведенного на др. завод). В соответствии с приказом по 7ГУ №11/13 от 13.3.41 г. ОКО (отдел №1), руководимый начальником Б.К.Соколовым, был реорганизован и из него выделились на самостоятельный балланс три отдельнык конструкторских бюро с базированием на заводе. </w:t>
      </w:r>
    </w:p>
    <w:p w14:paraId="1C2801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КБ-1 завода №32 НКАП (ОКБ-1-32) возглавлял гл.к. А.И.Шульгина. Сначала это бригада №13 в КОСОС ЦАГИ, которая была переведена на серийный завод №32 в 1936 г. До .3.41 г. это КБ-1 в составе ОКО завода, после выделено в самостоятельное КБ-1 при заводе. Работало в предвоенные годы над разработкой замков Дер-19п, Дер-20п, Дер-21, установок РС-82 и -132, кассетам для зажигательных АБ. В окт. 1941 г. (приказ по 7ГУ №32/35 от 13.10.41 г.) КБ-1 А.И.Шульгина вместе с заводом №32 отправили в эвакуацию в г.Киров на завод №315 НКАП. В н. 1942 г. (приказ №146 от 21.2.42 г.) часть ОКБ-1 гл.к. А.И.Шульгина (33 чел.) была переведена в г.Москву и вошла в состав вновь образованного ОКБ завода №43 НКАП (см. ОАО "Дукс"). А.И.Шульгин назначен Гл.к.Остальной состав ОКБ-1 передан заводу №32 (уже в Кирове). </w:t>
      </w:r>
    </w:p>
    <w:p w14:paraId="45D4F2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КБ-2 (сначала КБ-4) завода №32 НКАП (ОКБ-2-32) возглавляли гл.к. Г.М.Можаровского и начальник И.В.Веневидова. Этот конструкторский коллектив по разработке унифицированных пулеметных установок и пушечной батареи переведен в 1936 г. из ВВА им. Жуковского для расширения работ по установкам пулеметно-пушечного вооружения самолетов. На заводе №32 КБ специализировалось на подвижных стрелковых установках. До .3.41 г. это КБ-4 в составе ОКО, потом - КБ-4 выделено в самостельное КБ-2 при заводе. Перед ВОВ создавало пулеметные установки МВ-3 и -5 под 12.7мм пулемет самолета Су-2. В н. ВОВ (еще в Москве) работало над установкой Б-12.7 для самолета ТБ-7. Создана турель ТАТ-УБ для самолета Ер-2, турель пушки ШКАС для самолета Пе-2. Кроме того предложен проект штурмовика МВ ("Комбайн", МоВ-2) в к. 1940 г. с мощным пушечным вооружением. В окт. 1941 г. КБ-2 Г.М.Можаровского и И.В.Веневидова вместе с заводом №32 было эвакуировано в г.Киров на завод №315 НКАП. В н. 1942 г. конструкторская бригада из ОКБ-2 вошла в состав ОКБ завода №43 НКАП. В .5.43 г. основная часть ОКБ-2 гл.к. Г.М.Можаровского и И.В.Веневидова вместе с частью опытного цеха была переведена из г.Кирова в г.Москву на территорию вновь образованного завода №140 НКАП. Тем же приказом ОКБ-2 было объединено с ОКБ завода №266 НКАП, в единое ОКБ-140 НКАП по электроавтоматике управления с., моторами и вооружением (фактически оба КБ были производственно объединены еще в г.Кирове в ~1942 г.). </w:t>
      </w:r>
    </w:p>
    <w:p w14:paraId="1571DD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КБ-3 завода №32 НКАП (ОКБ-3-32, ОКБ-32 НКАП) гл.к. И.И.Торопова. Небольшое КБ начало работать при заводе раньше других опытных бюро с сер. 1930-х. сначала по прицелам для установок пулеметного вооружения. Называлось КБ-4 (до перевода КБ И.П.Шебанова), далее КБ-3 в составе ОКО завода. В .3.1941 г. выделено в самост. КБ-3 при заводе. Перед ВОВ разработан ряд образцов стрелково-пушечных установок, прицелов. В н. ВОВ создана турельная установка под пулемет БТ для Пе-2. КБ-3 завода №32 НКАП гл.к. И.И.Торопова в .8.1941 г. было эвакуировано на завод №481 НКАП в г.Сызрань. Далее И.И.Торопов был гл.к. ОКБ-3 завода №32 НКАП. После 1943 г. ОКБ-3 числилось просто как заводское ОКБ-32. В .8.44 г. ОКБ-32 НКАП гл.к. И.И.Торопова с оп. цехом в полном составе переведено из г.Кирова в г.Москву на завод №43 НКАП и слито с ОКБ-43 в единое заводское ОКБ (см. ОАО "Дукс"). </w:t>
      </w:r>
    </w:p>
    <w:p w14:paraId="4C3A67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КБ-3 в ОКО завода №32 НКАП, ркеоводимое гл.к. И.П.Шебановым. Сначала это бригада №12 КОСОС ЦАГИ по артиллерийско-стрелковым установкам, переведенная в сер. 1936 г. на завод №32. Работы по вооружению и неподвижным стрелковым установкам. В 6.40 г. на вновь принятом в НКАП из системы НКОМ заводе им. КПГ (далее - завод №487 НКАП им. КПГ) был образован Опытный Отдел по проектированию и изготовлению опытных образцов установок арт.-стрелкового вооружения. Туд было переведено в полном составе КБ И.П.Шебанова, а также часть рабоч., ИТР и необходимого оборудования с завода №32. </w:t>
      </w:r>
    </w:p>
    <w:p w14:paraId="779FD9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На заводе №32 под руководством А.А.Архангельского доводился и проход. завод. ЛИ (сер.41 г.) пикир. б. СБ-Б1 ("Б"). В нач. ВОВ основная часть коллектива ОКБ А.А.Архангельского была переведена с завода №32 на завод №156 НКАП. </w:t>
      </w:r>
    </w:p>
    <w:p w14:paraId="4A6CE5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.10.41 г. (приказ №1073(а) от 20.10.41 г.) было решено организовать на оставленной площади завода в Москве Ремонтные мастерские по установкам вооружения при Ремотделе НКАП. Уже с ноя. 1941 г. на старом месте в г.Москве начало восстанавливаться производство и образован новый завод №43 НКАП с ОКБ-43 (см. ОАО "Дукс"). Из г.Кирова для формирования московского завода была передана часть оборудования и часть личного состава. </w:t>
      </w:r>
    </w:p>
    <w:p w14:paraId="4EAA95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Завод №32 2ГУ, продолжал работать в г.Кирове. В годы ВОВ на заводе шло серийное производство держателей Дер-19, Дер-21 для Пе-2, замков МД-З-40 и установок ВУБ-1 для Пе-2, электросбрасывателей ЭСБР-3п, сбрасывателей АСШЛ-340, турелей МВ-3, балок для ракет РС-82, лебедок БЛ-4. </w:t>
      </w:r>
    </w:p>
    <w:p w14:paraId="012A1F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После ВОВ продолжено производство установок вооружения, в т.ч. замков к держателям БД3-58-21, АПУ-19 и АПУ-20 под УРвв К-5М. Завод освоил и выпускал ряд новых изделий для авиации: лебёдки БЛ-47 для подъёмных грузов, турельную кормовую установку ИЛК-6 для самолётов ИЛ-28. </w:t>
      </w:r>
    </w:p>
    <w:p w14:paraId="480027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1960 г. развёртывается производство ракетной техники. Начат серийный выпуск зенитных управляемых ракет 5В24, 4К90, 5В27, 9МЗЗ, 9МЗЗМ2, 5В27Д, 9МЗЗО. К к. 1990-х гг. число типов ЗУР находившихся и находящихся в производстве на предприятии составило 14.</w:t>
      </w:r>
    </w:p>
    <w:p w14:paraId="49052C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Освоены стреляющие механизмы КСМ к катапультным креслам, поставлены на серийный выпуск кресла КМ-1. В 1971 г. запущены в серию унифицированные для всех боевых самолётов истребительной и штурмовой авиации СССР кресла К-36. Освоено производство грузоподъемного оборудования самолетов (лебедки, системы, комплексы грузоподъемностью 500-3000 кг), установок стрелково-пушечное вооружения, балочных держателей и замков для подвески и размещения бомбового вооружения и пусковых установок. </w:t>
      </w:r>
    </w:p>
    <w:p w14:paraId="668A69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Созданы имитаторы воздушной цели 9Ф841 "Саман" (на базе ЗУР "Оса-АКМ") и ракета-мишень РМ-5В27А. </w:t>
      </w:r>
    </w:p>
    <w:p w14:paraId="66F947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период 1960-90-х годов именовался - КМСЗ им. XX партсъезда и КМПО им. XX партсъезда. В структуре объединения появились филиалы и дочерними подразделениями: «Мураши», Гирсовский завод пиротехнических средств (ГЗПС). </w:t>
      </w:r>
    </w:p>
    <w:p w14:paraId="042729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н. 1990-х гг. названия КМПО им. XX партсъезда заменено на Вятское машиностроительное предприятие "АВИТЕК". </w:t>
      </w:r>
    </w:p>
    <w:p w14:paraId="6D641F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1999 году меняется название на ФГУП "ВМП "АВИТЕК" (Авиационные Технологии и Конструирование). В 2001 г. предприятие акционировано. </w:t>
      </w:r>
    </w:p>
    <w:p w14:paraId="351893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Сегодня предлагаются: ракетные зенитные модули 9М334 для комплекса «ТОР-М1», кресла К-36 и К-ЗбД-3,5, ракеты-мишени, услуги по обслуживанию и ремонту ранее поставленной военной техники. </w:t>
      </w:r>
    </w:p>
    <w:p w14:paraId="0AF236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Генеральный директор - Смердов Владимир Сергеевич. </w:t>
      </w:r>
    </w:p>
    <w:p w14:paraId="092AC4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Авитек, Вятское машиностроительное предприятие, ОАО</w:t>
      </w:r>
    </w:p>
    <w:p w14:paraId="48CA0C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ранее - Завод №32, Кировский завод им. ХХ партсъезда, ГП Вятское машиностроительное предприятие "Авитек" </w:t>
      </w:r>
    </w:p>
    <w:p w14:paraId="0A4031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адрес - 610047, Россия, г.Киров, Октябрьский пр-т, 1а, тел/факс: (8332) 232-522, e-mail: info@vmpavitec.ru, http://avitec.kirov.ru </w:t>
      </w:r>
    </w:p>
    <w:p w14:paraId="5BC310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55C59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октябре 1931 г. из состава завода выделилось вспомогательное производство в самостоятельные заводы: № 8, № 32 (вооружение), № 34 (металлургическое производство), № 217. Кроме того, из части мощностей завода № 34 выделен самостоятельный завод № 219 и переведен в Балашиху. К середине 1933г. Завод № 1 им. Авиахима (самолетостроительное производство) переведен на новую территорию - на Боткинский проезд (полностью вступил в строй в 1936г.), а на старой площадке (ул. Правды) остались заводы № 32 и № 34 (11892).</w:t>
      </w:r>
    </w:p>
    <w:p w14:paraId="22ED4D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DCC4A50" w14:textId="77777777" w:rsidR="00C55371" w:rsidRPr="005E779E" w:rsidRDefault="00C5537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октября 1931 на за</w:t>
      </w:r>
      <w:r w:rsidRPr="005E779E">
        <w:rPr>
          <w:rFonts w:ascii="Times New Roman" w:hAnsi="Times New Roman"/>
          <w:color w:val="000000" w:themeColor="text1"/>
          <w:sz w:val="16"/>
          <w:szCs w:val="16"/>
        </w:rPr>
        <w:softHyphen/>
        <w:t>воде №39 БОК велось изготовление гон</w:t>
      </w:r>
      <w:r w:rsidRPr="005E779E">
        <w:rPr>
          <w:rFonts w:ascii="Times New Roman" w:hAnsi="Times New Roman"/>
          <w:color w:val="000000" w:themeColor="text1"/>
          <w:sz w:val="16"/>
          <w:szCs w:val="16"/>
        </w:rPr>
        <w:softHyphen/>
        <w:t>долы стратостата «СССР», а стратосферный самолет строился на заводе опытных конструкций (ЗОК) ЦАГИ, вступившем в строй 1 января 1932 г. При этом наиболее важным делом счи</w:t>
      </w:r>
      <w:r w:rsidRPr="005E779E">
        <w:rPr>
          <w:rFonts w:ascii="Times New Roman" w:hAnsi="Times New Roman"/>
          <w:color w:val="000000" w:themeColor="text1"/>
          <w:sz w:val="16"/>
          <w:szCs w:val="16"/>
        </w:rPr>
        <w:softHyphen/>
        <w:t>талось разрешение проблемы самолета, способного осуществлять длительные полеты на больших высотах. Полеты таких самолетов (стратопланов) предполагались на высотах 10—12 км, где разряженная атмосфера позволя</w:t>
      </w:r>
      <w:r w:rsidRPr="005E779E">
        <w:rPr>
          <w:rFonts w:ascii="Times New Roman" w:hAnsi="Times New Roman"/>
          <w:color w:val="000000" w:themeColor="text1"/>
          <w:sz w:val="16"/>
          <w:szCs w:val="16"/>
        </w:rPr>
        <w:softHyphen/>
        <w:t>ла развивать большие полетные скорости и не зависеть от капризов погоды, поэтому особенно заманчивыми они представлялись для военного применения.</w:t>
      </w:r>
    </w:p>
    <w:p w14:paraId="614BA39F" w14:textId="77777777" w:rsidR="00C55371" w:rsidRPr="005E779E" w:rsidRDefault="00C5537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создании стратоплана предстояло решить следую</w:t>
      </w:r>
      <w:r w:rsidRPr="005E779E">
        <w:rPr>
          <w:rFonts w:ascii="Times New Roman" w:hAnsi="Times New Roman"/>
          <w:color w:val="000000" w:themeColor="text1"/>
          <w:sz w:val="16"/>
          <w:szCs w:val="16"/>
        </w:rPr>
        <w:softHyphen/>
        <w:t>щие задачи:</w:t>
      </w:r>
    </w:p>
    <w:p w14:paraId="2DD0EC52" w14:textId="77777777" w:rsidR="00C55371" w:rsidRPr="005E779E" w:rsidRDefault="00C5537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исследование аэродинамики высотных аппаратов;</w:t>
      </w:r>
    </w:p>
    <w:p w14:paraId="4306CC4C" w14:textId="77777777" w:rsidR="00C55371" w:rsidRPr="005E779E" w:rsidRDefault="00C5537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создание герметичной кабины экипажа;</w:t>
      </w:r>
    </w:p>
    <w:p w14:paraId="76D85686" w14:textId="77777777" w:rsidR="00C55371" w:rsidRPr="005E779E" w:rsidRDefault="00C5537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осуществление проводки органов управления из гер</w:t>
      </w:r>
      <w:r w:rsidRPr="005E779E">
        <w:rPr>
          <w:rFonts w:ascii="Times New Roman" w:hAnsi="Times New Roman"/>
          <w:color w:val="000000" w:themeColor="text1"/>
          <w:sz w:val="16"/>
          <w:szCs w:val="16"/>
        </w:rPr>
        <w:softHyphen/>
        <w:t>мокабины;</w:t>
      </w:r>
    </w:p>
    <w:p w14:paraId="647C477E" w14:textId="77777777" w:rsidR="00C55371" w:rsidRPr="005E779E" w:rsidRDefault="00C5537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обеспечение работы приборного оборудования в гер</w:t>
      </w:r>
      <w:r w:rsidRPr="005E779E">
        <w:rPr>
          <w:rFonts w:ascii="Times New Roman" w:hAnsi="Times New Roman"/>
          <w:color w:val="000000" w:themeColor="text1"/>
          <w:sz w:val="16"/>
          <w:szCs w:val="16"/>
        </w:rPr>
        <w:softHyphen/>
        <w:t>мокабине;</w:t>
      </w:r>
    </w:p>
    <w:p w14:paraId="0ECF8D82" w14:textId="77777777" w:rsidR="00C55371" w:rsidRPr="005E779E" w:rsidRDefault="00C5537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создание комфортных условий работы экипажа;</w:t>
      </w:r>
    </w:p>
    <w:p w14:paraId="4B747ACF" w14:textId="77777777" w:rsidR="00C55371" w:rsidRPr="005E779E" w:rsidRDefault="00C5537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создание специальной моторной установки, надежно работающей в условиях разреженного воздуха и низких температур (-55°...-70° С) (20363).</w:t>
      </w:r>
    </w:p>
    <w:p w14:paraId="4E983515" w14:textId="77777777" w:rsidR="00C55371" w:rsidRPr="005E779E" w:rsidRDefault="00C55371" w:rsidP="000B7A6C">
      <w:pPr>
        <w:shd w:val="clear" w:color="auto" w:fill="FFFFFF"/>
        <w:spacing w:after="0" w:line="240" w:lineRule="auto"/>
        <w:jc w:val="both"/>
        <w:rPr>
          <w:rFonts w:ascii="Times New Roman" w:hAnsi="Times New Roman"/>
          <w:color w:val="000000" w:themeColor="text1"/>
          <w:sz w:val="16"/>
          <w:szCs w:val="16"/>
        </w:rPr>
      </w:pPr>
    </w:p>
    <w:p w14:paraId="04CB02DB"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7B3946D3"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F5F00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 октябре 1931 года первый опытный образец 122-мм пушки, изготовленный в Перми, поступил на полигонные испытания на НИАП. Система поступила с двумя стволами скрепленным с дульным тормозом и лейнированным с дульным тормозом. Лейнированным ствол можно назвать лишь условно, так как кожух был надет в нагретом состоянии и лейнер нельзя было вынуть. Опытный образец пушки был испытан стрельбой в объеме 1525 выстрелов и возкой на дистанцию 500 км со скоростью до 17 км/час (3861).</w:t>
      </w:r>
    </w:p>
    <w:p w14:paraId="5AA2B4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EFBD3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октябре 1931 КБ № 3 Оружобъединения разработало установку в Т-28 двенадцатицилиндрового двигателя М-17 (9527,135).</w:t>
      </w:r>
    </w:p>
    <w:p w14:paraId="0DF1B6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CE7BB0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октября 1931 г. Завод «Красный Путиловец» изготавливал ка</w:t>
      </w:r>
      <w:r w:rsidRPr="005E779E">
        <w:rPr>
          <w:rFonts w:ascii="Times New Roman" w:hAnsi="Times New Roman"/>
          <w:color w:val="000000" w:themeColor="text1"/>
          <w:sz w:val="16"/>
          <w:szCs w:val="16"/>
        </w:rPr>
        <w:softHyphen/>
        <w:t>ретки подвески и бортовые редуктора танка Т-26, а в 1929 г. завод изготавливал шестерни для КПП танков Т-18 (10733,240).</w:t>
      </w:r>
    </w:p>
    <w:p w14:paraId="30FE3EE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5BDD82" w14:textId="77777777" w:rsidR="001A6B4D" w:rsidRPr="00142305" w:rsidRDefault="001A6B4D" w:rsidP="001A6B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октябре 1931 года, на ХПЗ прошли испытания нового мотора в 100 л.с., а ближе к концу месяца завод планировал закончить и новые трактора Коминтерн (25993).</w:t>
      </w:r>
    </w:p>
    <w:p w14:paraId="604DAFAC" w14:textId="77777777" w:rsidR="001A6B4D" w:rsidRPr="00142305" w:rsidRDefault="001A6B4D" w:rsidP="001A6B4D">
      <w:pPr>
        <w:spacing w:after="0" w:line="240" w:lineRule="auto"/>
        <w:jc w:val="both"/>
        <w:rPr>
          <w:rFonts w:ascii="Times New Roman" w:hAnsi="Times New Roman"/>
          <w:color w:val="0070C0"/>
          <w:sz w:val="16"/>
          <w:szCs w:val="16"/>
        </w:rPr>
      </w:pPr>
    </w:p>
    <w:p w14:paraId="24C0E5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октябре 1931 заводом Большевик был изготовлен опытный образец САУ СУ-1 на базе Т-26. Поступил на испытания, которые проходили до декабря 1931 (9527,270).</w:t>
      </w:r>
    </w:p>
    <w:p w14:paraId="1742DC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B0CDF5B" w14:textId="77777777" w:rsidR="00193905" w:rsidRPr="005E779E" w:rsidRDefault="00193905" w:rsidP="000B7A6C">
      <w:pPr>
        <w:pStyle w:val="27"/>
        <w:shd w:val="clear" w:color="auto" w:fill="auto"/>
        <w:spacing w:after="0" w:line="240" w:lineRule="auto"/>
        <w:ind w:firstLine="0"/>
        <w:rPr>
          <w:rFonts w:ascii="Times New Roman" w:cs="Times New Roman"/>
          <w:color w:val="000000" w:themeColor="text1"/>
          <w:spacing w:val="0"/>
        </w:rPr>
      </w:pPr>
      <w:r w:rsidRPr="005E779E">
        <w:rPr>
          <w:rFonts w:ascii="Times New Roman" w:cs="Times New Roman"/>
          <w:color w:val="000000" w:themeColor="text1"/>
          <w:spacing w:val="0"/>
        </w:rPr>
        <w:t>В октябре 1931 года 76- мм пушка на шасси танка Т-26 поступила на НИАП для прохождения испытаний.</w:t>
      </w:r>
    </w:p>
    <w:p w14:paraId="37E1A4C3" w14:textId="77777777" w:rsidR="00193905" w:rsidRPr="005E779E" w:rsidRDefault="00193905" w:rsidP="000B7A6C">
      <w:pPr>
        <w:pStyle w:val="27"/>
        <w:shd w:val="clear" w:color="auto" w:fill="auto"/>
        <w:spacing w:after="0" w:line="240" w:lineRule="auto"/>
        <w:ind w:firstLine="0"/>
        <w:rPr>
          <w:rFonts w:ascii="Times New Roman" w:cs="Times New Roman"/>
          <w:color w:val="000000" w:themeColor="text1"/>
          <w:spacing w:val="0"/>
        </w:rPr>
      </w:pPr>
      <w:r w:rsidRPr="005E779E">
        <w:rPr>
          <w:rFonts w:ascii="Times New Roman" w:cs="Times New Roman"/>
          <w:color w:val="000000" w:themeColor="text1"/>
          <w:spacing w:val="0"/>
        </w:rPr>
        <w:t>Конструктивно СУ-1 относилась к ти</w:t>
      </w:r>
      <w:r w:rsidRPr="005E779E">
        <w:rPr>
          <w:rFonts w:ascii="Times New Roman" w:cs="Times New Roman"/>
          <w:color w:val="000000" w:themeColor="text1"/>
          <w:spacing w:val="0"/>
        </w:rPr>
        <w:softHyphen/>
        <w:t>пу закрытых самоходных установок. Над боевым отделением, совмещенным с от</w:t>
      </w:r>
      <w:r w:rsidRPr="005E779E">
        <w:rPr>
          <w:rFonts w:ascii="Times New Roman" w:cs="Times New Roman"/>
          <w:color w:val="000000" w:themeColor="text1"/>
          <w:spacing w:val="0"/>
        </w:rPr>
        <w:softHyphen/>
        <w:t>делением управления, была установлена клепаная рубка коробчатой формы. В бортах рубки имелись двери для посадки и высадки экипажа, а на крыше — невра- щающаяся командирская башенка с круглым люком.</w:t>
      </w:r>
    </w:p>
    <w:p w14:paraId="667AACAC" w14:textId="77777777" w:rsidR="00193905" w:rsidRPr="005E779E" w:rsidRDefault="00193905" w:rsidP="000B7A6C">
      <w:pPr>
        <w:pStyle w:val="27"/>
        <w:shd w:val="clear" w:color="auto" w:fill="auto"/>
        <w:spacing w:after="0" w:line="240" w:lineRule="auto"/>
        <w:ind w:firstLine="0"/>
        <w:rPr>
          <w:rFonts w:ascii="Times New Roman" w:cs="Times New Roman"/>
          <w:color w:val="000000" w:themeColor="text1"/>
          <w:spacing w:val="0"/>
        </w:rPr>
      </w:pPr>
      <w:r w:rsidRPr="005E779E">
        <w:rPr>
          <w:rFonts w:ascii="Times New Roman" w:cs="Times New Roman"/>
          <w:color w:val="000000" w:themeColor="text1"/>
          <w:spacing w:val="0"/>
        </w:rPr>
        <w:t>76-мм полковая пушка обр. 1927 г. с укороченным до 500 — 550 мм откатом была установлена в боевом отделении на тумбе, заимствованной у противоштурмовой пушки обр. 1910 г. Последние со</w:t>
      </w:r>
      <w:r w:rsidRPr="005E779E">
        <w:rPr>
          <w:rFonts w:ascii="Times New Roman" w:cs="Times New Roman"/>
          <w:color w:val="000000" w:themeColor="text1"/>
          <w:spacing w:val="0"/>
        </w:rPr>
        <w:softHyphen/>
        <w:t>стояли на вооружении бронеавтомобилей «Гарфорд» периода Первой мировой вой</w:t>
      </w:r>
      <w:r w:rsidRPr="005E779E">
        <w:rPr>
          <w:rFonts w:ascii="Times New Roman" w:cs="Times New Roman"/>
          <w:color w:val="000000" w:themeColor="text1"/>
          <w:spacing w:val="0"/>
        </w:rPr>
        <w:softHyphen/>
        <w:t>ны. Амбразуру для пушки прорезали в лобовом листе рубки по месту (благо рубка была изготовлена из простой ста</w:t>
      </w:r>
      <w:r w:rsidRPr="005E779E">
        <w:rPr>
          <w:rFonts w:ascii="Times New Roman" w:cs="Times New Roman"/>
          <w:color w:val="000000" w:themeColor="text1"/>
          <w:spacing w:val="0"/>
        </w:rPr>
        <w:softHyphen/>
        <w:t>ли), и она имела слишком большие раз</w:t>
      </w:r>
      <w:r w:rsidRPr="005E779E">
        <w:rPr>
          <w:rFonts w:ascii="Times New Roman" w:cs="Times New Roman"/>
          <w:color w:val="000000" w:themeColor="text1"/>
          <w:spacing w:val="0"/>
        </w:rPr>
        <w:softHyphen/>
        <w:t>меры.</w:t>
      </w:r>
    </w:p>
    <w:p w14:paraId="0B3F288A" w14:textId="77777777" w:rsidR="00193905" w:rsidRPr="005E779E" w:rsidRDefault="0019390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стрельбе из СУ-1 наблюдалась лучшая кучность, чем из полковой пуш</w:t>
      </w:r>
      <w:r w:rsidRPr="005E779E">
        <w:rPr>
          <w:rFonts w:ascii="Times New Roman" w:hAnsi="Times New Roman"/>
          <w:color w:val="000000" w:themeColor="text1"/>
          <w:sz w:val="16"/>
          <w:szCs w:val="16"/>
        </w:rPr>
        <w:softHyphen/>
        <w:t>ки на полевом лафете и бронеавтомобиля «Гарфорд». Это объяснялось большей массой всей системы. Всего в ходе испытаний из САУ произвели 41 выстрел с места и три — с хода. При этом выясни</w:t>
      </w:r>
      <w:r w:rsidRPr="005E779E">
        <w:rPr>
          <w:rFonts w:ascii="Times New Roman" w:hAnsi="Times New Roman"/>
          <w:color w:val="000000" w:themeColor="text1"/>
          <w:sz w:val="16"/>
          <w:szCs w:val="16"/>
        </w:rPr>
        <w:softHyphen/>
        <w:t>лось, что прицельный огонь с хода вести невозможно — экипаж бросало по всей машине. Кроме того, работа заряжающего была крайне затруднена, так как боекомп</w:t>
      </w:r>
      <w:r w:rsidRPr="005E779E">
        <w:rPr>
          <w:rFonts w:ascii="Times New Roman" w:hAnsi="Times New Roman"/>
          <w:color w:val="000000" w:themeColor="text1"/>
          <w:sz w:val="16"/>
          <w:szCs w:val="16"/>
        </w:rPr>
        <w:softHyphen/>
        <w:t>лект перевозился в обычных ящиках.</w:t>
      </w:r>
    </w:p>
    <w:p w14:paraId="1102F8BF" w14:textId="77777777" w:rsidR="00193905" w:rsidRPr="005E779E" w:rsidRDefault="00193905" w:rsidP="000B7A6C">
      <w:pPr>
        <w:pStyle w:val="27"/>
        <w:shd w:val="clear" w:color="auto" w:fill="auto"/>
        <w:spacing w:after="0" w:line="240" w:lineRule="auto"/>
        <w:ind w:firstLine="0"/>
        <w:rPr>
          <w:rFonts w:ascii="Times New Roman" w:cs="Times New Roman"/>
          <w:color w:val="000000" w:themeColor="text1"/>
          <w:spacing w:val="0"/>
        </w:rPr>
      </w:pPr>
      <w:r w:rsidRPr="005E779E">
        <w:rPr>
          <w:rFonts w:ascii="Times New Roman" w:cs="Times New Roman"/>
          <w:color w:val="000000" w:themeColor="text1"/>
          <w:spacing w:val="0"/>
        </w:rPr>
        <w:t>По результатам испытаний члены ко</w:t>
      </w:r>
      <w:r w:rsidRPr="005E779E">
        <w:rPr>
          <w:rFonts w:ascii="Times New Roman" w:cs="Times New Roman"/>
          <w:color w:val="000000" w:themeColor="text1"/>
          <w:spacing w:val="0"/>
        </w:rPr>
        <w:softHyphen/>
        <w:t>миссии — представители НТК УММ и НТК ГАУ — приняли постановление, в котором констатировали, что СУ-1 ис</w:t>
      </w:r>
      <w:r w:rsidRPr="005E779E">
        <w:rPr>
          <w:rFonts w:ascii="Times New Roman" w:cs="Times New Roman"/>
          <w:color w:val="000000" w:themeColor="text1"/>
          <w:spacing w:val="0"/>
        </w:rPr>
        <w:softHyphen/>
        <w:t>пытания выдержала, но нуждается в целом ряде улучшений и изменений. Проект самоходной установки, усовер</w:t>
      </w:r>
      <w:r w:rsidRPr="005E779E">
        <w:rPr>
          <w:rFonts w:ascii="Times New Roman" w:cs="Times New Roman"/>
          <w:color w:val="000000" w:themeColor="text1"/>
          <w:spacing w:val="0"/>
        </w:rPr>
        <w:softHyphen/>
        <w:t>шенствованной в соответствии с этим постановлением, разработали к лету 1932 года. Но в это время уже было принято решение о вооружении 76-мм орудием артиллерийского танка Т-26 с увеличен</w:t>
      </w:r>
      <w:r w:rsidRPr="005E779E">
        <w:rPr>
          <w:rFonts w:ascii="Times New Roman" w:cs="Times New Roman"/>
          <w:color w:val="000000" w:themeColor="text1"/>
          <w:spacing w:val="0"/>
        </w:rPr>
        <w:softHyphen/>
        <w:t>ной вращающейся башней, и все работы по СУ-1 прекратили (15232).</w:t>
      </w:r>
    </w:p>
    <w:p w14:paraId="3A0D7D38" w14:textId="77777777" w:rsidR="00193905" w:rsidRPr="005E779E" w:rsidRDefault="00193905" w:rsidP="000B7A6C">
      <w:pPr>
        <w:pStyle w:val="27"/>
        <w:shd w:val="clear" w:color="auto" w:fill="auto"/>
        <w:spacing w:after="0" w:line="240" w:lineRule="auto"/>
        <w:ind w:firstLine="0"/>
        <w:rPr>
          <w:rFonts w:ascii="Times New Roman" w:cs="Times New Roman"/>
          <w:color w:val="000000" w:themeColor="text1"/>
          <w:spacing w:val="0"/>
        </w:rPr>
      </w:pPr>
    </w:p>
    <w:p w14:paraId="3289B24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октябре 1931 опытный образец СУ-1 поступил на НИАП для прохождения опытно-исследовательских работ. Сегодня трудно сказать однозначно, чей именно про</w:t>
      </w:r>
      <w:r w:rsidRPr="005E779E">
        <w:rPr>
          <w:rFonts w:ascii="Times New Roman" w:hAnsi="Times New Roman"/>
          <w:color w:val="000000" w:themeColor="text1"/>
          <w:sz w:val="16"/>
          <w:szCs w:val="16"/>
        </w:rPr>
        <w:softHyphen/>
        <w:t>ект лег в основу машины, известной как СУ-1. Курировали ее создание 4-я секция НТК УММ и 2-я секция НТК АУ. Конструктивно САУ была изготовлена в кратчайшие сроки буквально «на коленке» и потому не могла претендо</w:t>
      </w:r>
      <w:r w:rsidRPr="005E779E">
        <w:rPr>
          <w:rFonts w:ascii="Times New Roman" w:hAnsi="Times New Roman"/>
          <w:color w:val="000000" w:themeColor="text1"/>
          <w:sz w:val="16"/>
          <w:szCs w:val="16"/>
        </w:rPr>
        <w:softHyphen/>
        <w:t>вать на высокий балл. Все в ней было приспособлено «из то</w:t>
      </w:r>
      <w:r w:rsidRPr="005E779E">
        <w:rPr>
          <w:rFonts w:ascii="Times New Roman" w:hAnsi="Times New Roman"/>
          <w:color w:val="000000" w:themeColor="text1"/>
          <w:sz w:val="16"/>
          <w:szCs w:val="16"/>
        </w:rPr>
        <w:softHyphen/>
        <w:t>го, что под руками». В частности, 76-мм полковая пушка обр. 1927 г. с укороченным до 750 мм откатом монтировалась в боевом отделении на тумбе, заимствованной от бронеавто</w:t>
      </w:r>
      <w:r w:rsidRPr="005E779E">
        <w:rPr>
          <w:rFonts w:ascii="Times New Roman" w:hAnsi="Times New Roman"/>
          <w:color w:val="000000" w:themeColor="text1"/>
          <w:sz w:val="16"/>
          <w:szCs w:val="16"/>
        </w:rPr>
        <w:softHyphen/>
        <w:t>мобиля времен Первой мировой войны. Амбразура для пуш</w:t>
      </w:r>
      <w:r w:rsidRPr="005E779E">
        <w:rPr>
          <w:rFonts w:ascii="Times New Roman" w:hAnsi="Times New Roman"/>
          <w:color w:val="000000" w:themeColor="text1"/>
          <w:sz w:val="16"/>
          <w:szCs w:val="16"/>
        </w:rPr>
        <w:softHyphen/>
        <w:t>ки была прорезана в лобовом листе корпуса (изготовленно</w:t>
      </w:r>
      <w:r w:rsidRPr="005E779E">
        <w:rPr>
          <w:rFonts w:ascii="Times New Roman" w:hAnsi="Times New Roman"/>
          <w:color w:val="000000" w:themeColor="text1"/>
          <w:sz w:val="16"/>
          <w:szCs w:val="16"/>
        </w:rPr>
        <w:softHyphen/>
        <w:t>го к тому же из сырой брони) «по месту» и имела столь боль</w:t>
      </w:r>
      <w:r w:rsidRPr="005E779E">
        <w:rPr>
          <w:rFonts w:ascii="Times New Roman" w:hAnsi="Times New Roman"/>
          <w:color w:val="000000" w:themeColor="text1"/>
          <w:sz w:val="16"/>
          <w:szCs w:val="16"/>
        </w:rPr>
        <w:softHyphen/>
        <w:t>шие размеры, что без труда улавливала пули, прицельно вы</w:t>
      </w:r>
      <w:r w:rsidRPr="005E779E">
        <w:rPr>
          <w:rFonts w:ascii="Times New Roman" w:hAnsi="Times New Roman"/>
          <w:color w:val="000000" w:themeColor="text1"/>
          <w:sz w:val="16"/>
          <w:szCs w:val="16"/>
        </w:rPr>
        <w:softHyphen/>
        <w:t>пущенные из пулемета Дегтярева с дистанции 150-200 м.</w:t>
      </w:r>
    </w:p>
    <w:p w14:paraId="6788F49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первых испытаниях орудие вообще вышло из строя после первого же выстрела и требовало большого ремонта. Пробег же машины без вооружения ничего нового не дал. Машина прошла по бездорожью около 30 км, причем на хо</w:t>
      </w:r>
      <w:r w:rsidRPr="005E779E">
        <w:rPr>
          <w:rFonts w:ascii="Times New Roman" w:hAnsi="Times New Roman"/>
          <w:color w:val="000000" w:themeColor="text1"/>
          <w:sz w:val="16"/>
          <w:szCs w:val="16"/>
        </w:rPr>
        <w:softHyphen/>
        <w:t>довой части это никак не отразилось. После ремонта орудия и усиления конструкции тумбы испытания были продолже</w:t>
      </w:r>
      <w:r w:rsidRPr="005E779E">
        <w:rPr>
          <w:rFonts w:ascii="Times New Roman" w:hAnsi="Times New Roman"/>
          <w:color w:val="000000" w:themeColor="text1"/>
          <w:sz w:val="16"/>
          <w:szCs w:val="16"/>
        </w:rPr>
        <w:softHyphen/>
        <w:t>ны. Во время второго этапа исследовательских работ из САУ были произведены 41 выстрел с места и 3 — с хода (один выстрел дал осечку). Испытания стрельбой должны были про</w:t>
      </w:r>
      <w:r w:rsidRPr="005E779E">
        <w:rPr>
          <w:rFonts w:ascii="Times New Roman" w:hAnsi="Times New Roman"/>
          <w:color w:val="000000" w:themeColor="text1"/>
          <w:sz w:val="16"/>
          <w:szCs w:val="16"/>
        </w:rPr>
        <w:softHyphen/>
        <w:t>должиться, но боеприпасов больше подано не было. При стрельбе из СУ-1 наблюдалась лучшая кучность стрельбы, чем из полковой пушки и бронеавтомобиля Гар-форда, что объяснялось лучшей жесткостью системы. Но прицельный огонь с ходу вести не удалось — членов экипа</w:t>
      </w:r>
      <w:r w:rsidRPr="005E779E">
        <w:rPr>
          <w:rFonts w:ascii="Times New Roman" w:hAnsi="Times New Roman"/>
          <w:color w:val="000000" w:themeColor="text1"/>
          <w:sz w:val="16"/>
          <w:szCs w:val="16"/>
        </w:rPr>
        <w:softHyphen/>
        <w:t>жа болтало по боевому отделению даже на самом медлен</w:t>
      </w:r>
      <w:r w:rsidRPr="005E779E">
        <w:rPr>
          <w:rFonts w:ascii="Times New Roman" w:hAnsi="Times New Roman"/>
          <w:color w:val="000000" w:themeColor="text1"/>
          <w:sz w:val="16"/>
          <w:szCs w:val="16"/>
        </w:rPr>
        <w:softHyphen/>
        <w:t>ном ходу. Кроме того, боезапас в машине перевозился в ящиках, что также затрудняло операции с заряжанием ору</w:t>
      </w:r>
      <w:r w:rsidRPr="005E779E">
        <w:rPr>
          <w:rFonts w:ascii="Times New Roman" w:hAnsi="Times New Roman"/>
          <w:color w:val="000000" w:themeColor="text1"/>
          <w:sz w:val="16"/>
          <w:szCs w:val="16"/>
        </w:rPr>
        <w:softHyphen/>
        <w:t>дия и проведением выстрелов в движении.</w:t>
      </w:r>
    </w:p>
    <w:p w14:paraId="0C1CBB9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окончании исследований и испытаний, в декабре 1931 г., вышло постановление следующего содержания:</w:t>
      </w:r>
    </w:p>
    <w:p w14:paraId="4555958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«СУ-1 испытания выдержала и может быть допущена для проведения дальнейших работ по след, направлениям:</w:t>
      </w:r>
    </w:p>
    <w:p w14:paraId="7F5637A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1. Угол вертикального обстрела увеличить до 20 гр, для чего повысить высоту цапф на 40мм.</w:t>
      </w:r>
    </w:p>
    <w:p w14:paraId="29A2ED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2. Горизонтальный обстрел довести до +/- 20. В рубке иметь два открывающихся окна для наблюдения цели. Высоту рубки — увеличить, чтобы не мешалась наводчику.</w:t>
      </w:r>
    </w:p>
    <w:p w14:paraId="6A84A2D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3. Расположение маховиков должно быть удобно для на</w:t>
      </w:r>
      <w:r w:rsidRPr="005E779E">
        <w:rPr>
          <w:rFonts w:ascii="Times New Roman" w:hAnsi="Times New Roman"/>
          <w:iCs/>
          <w:color w:val="000000" w:themeColor="text1"/>
          <w:sz w:val="16"/>
          <w:szCs w:val="16"/>
        </w:rPr>
        <w:softHyphen/>
        <w:t>водчика и не отрывать его от прицела.</w:t>
      </w:r>
    </w:p>
    <w:p w14:paraId="7D681D9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 xml:space="preserve">4. Предусмотреть возможность проведения спуска как рукой со шнура, так и ногой </w:t>
      </w:r>
      <w:r w:rsidRPr="005E779E">
        <w:rPr>
          <w:rFonts w:ascii="Times New Roman" w:hAnsi="Times New Roman"/>
          <w:color w:val="000000" w:themeColor="text1"/>
          <w:sz w:val="16"/>
          <w:szCs w:val="16"/>
        </w:rPr>
        <w:t xml:space="preserve">— </w:t>
      </w:r>
      <w:r w:rsidRPr="005E779E">
        <w:rPr>
          <w:rFonts w:ascii="Times New Roman" w:hAnsi="Times New Roman"/>
          <w:iCs/>
          <w:color w:val="000000" w:themeColor="text1"/>
          <w:sz w:val="16"/>
          <w:szCs w:val="16"/>
        </w:rPr>
        <w:t>педалью.</w:t>
      </w:r>
    </w:p>
    <w:p w14:paraId="1E453ED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5. В бортах рубки предусмотреть шаровые яблоки для пу</w:t>
      </w:r>
      <w:r w:rsidRPr="005E779E">
        <w:rPr>
          <w:rFonts w:ascii="Times New Roman" w:hAnsi="Times New Roman"/>
          <w:iCs/>
          <w:color w:val="000000" w:themeColor="text1"/>
          <w:sz w:val="16"/>
          <w:szCs w:val="16"/>
        </w:rPr>
        <w:softHyphen/>
        <w:t>леметов Дегтярева. Заднее яблоко установить с расчетом пропуска через него троса для отката орудия.</w:t>
      </w:r>
    </w:p>
    <w:p w14:paraId="6188B57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6. Амбразура орудия должна прикрываться дополнитель</w:t>
      </w:r>
      <w:r w:rsidRPr="005E779E">
        <w:rPr>
          <w:rFonts w:ascii="Times New Roman" w:hAnsi="Times New Roman"/>
          <w:iCs/>
          <w:color w:val="000000" w:themeColor="text1"/>
          <w:sz w:val="16"/>
          <w:szCs w:val="16"/>
        </w:rPr>
        <w:softHyphen/>
        <w:t>ным щитком для защиты от пуль и осколков</w:t>
      </w:r>
    </w:p>
    <w:p w14:paraId="54A67DA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7. Трубку-визир прямой наводки заменить прицелом-те</w:t>
      </w:r>
      <w:r w:rsidRPr="005E779E">
        <w:rPr>
          <w:rFonts w:ascii="Times New Roman" w:hAnsi="Times New Roman"/>
          <w:iCs/>
          <w:color w:val="000000" w:themeColor="text1"/>
          <w:sz w:val="16"/>
          <w:szCs w:val="16"/>
        </w:rPr>
        <w:softHyphen/>
        <w:t>лескопом с полем зрения 10 гр. и с резиновым наглазником... Наводчик также должен иметь собственное окно или люк для обзора поля боя...</w:t>
      </w:r>
    </w:p>
    <w:p w14:paraId="122E7CC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8. Для предохранения номеров орудия от отката предус</w:t>
      </w:r>
      <w:r w:rsidRPr="005E779E">
        <w:rPr>
          <w:rFonts w:ascii="Times New Roman" w:hAnsi="Times New Roman"/>
          <w:iCs/>
          <w:color w:val="000000" w:themeColor="text1"/>
          <w:sz w:val="16"/>
          <w:szCs w:val="16"/>
        </w:rPr>
        <w:softHyphen/>
        <w:t>мотреть откидные щитки или иное ограждение.</w:t>
      </w:r>
    </w:p>
    <w:p w14:paraId="1C76B33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9. Должны быть предусмотрены специальные места для заряжающего и рации.</w:t>
      </w:r>
    </w:p>
    <w:p w14:paraId="10C630A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10. Боекомплект разместить в гнездах.</w:t>
      </w:r>
    </w:p>
    <w:p w14:paraId="1E45512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11. Предусмотреть перевозимый пулемет Дегтярева и 10 магазинов к нему для обороны машины от пехоты.</w:t>
      </w:r>
    </w:p>
    <w:p w14:paraId="64483BB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12. Необходимо наличие переговорного устройства само</w:t>
      </w:r>
      <w:r w:rsidRPr="005E779E">
        <w:rPr>
          <w:rFonts w:ascii="Times New Roman" w:hAnsi="Times New Roman"/>
          <w:iCs/>
          <w:color w:val="000000" w:themeColor="text1"/>
          <w:sz w:val="16"/>
          <w:szCs w:val="16"/>
        </w:rPr>
        <w:softHyphen/>
        <w:t>летного типа.</w:t>
      </w:r>
    </w:p>
    <w:p w14:paraId="422875F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13. Противооткатное приспособление прикрыть броне-кожухом.</w:t>
      </w:r>
    </w:p>
    <w:p w14:paraId="25422FF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Переделанных таким образом самоходов необходима пар</w:t>
      </w:r>
      <w:r w:rsidRPr="005E779E">
        <w:rPr>
          <w:rFonts w:ascii="Times New Roman" w:hAnsi="Times New Roman"/>
          <w:iCs/>
          <w:color w:val="000000" w:themeColor="text1"/>
          <w:sz w:val="16"/>
          <w:szCs w:val="16"/>
        </w:rPr>
        <w:softHyphen/>
        <w:t>тия в количестве 100 шт. Подписи: председатель 4 секции УММ Павлов</w:t>
      </w:r>
    </w:p>
    <w:p w14:paraId="7736E92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Зам. Нач. 5 секции УММ Сакс</w:t>
      </w:r>
    </w:p>
    <w:p w14:paraId="109B4F8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Cs/>
          <w:color w:val="000000" w:themeColor="text1"/>
          <w:sz w:val="16"/>
          <w:szCs w:val="16"/>
        </w:rPr>
        <w:t>Член НТК ГАУ Анисимов» (11417).</w:t>
      </w:r>
    </w:p>
    <w:p w14:paraId="3146466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13F9D9" w14:textId="77777777" w:rsidR="001A6B4D" w:rsidRPr="00142305" w:rsidRDefault="001A6B4D" w:rsidP="001A6B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октябре 1931 года готовый безбашенный артиллерийский танка поддержки, а точнее – самоходной установки, получившей обозначение СУ-1, разработанный КБ завода «Большевик», был передан на научно-исследовательский артиллерийский полигон на Охтинском поле (Ржевский полигон) для проведения испытаний.</w:t>
      </w:r>
    </w:p>
    <w:p w14:paraId="7364BE63" w14:textId="77777777" w:rsidR="001A6B4D" w:rsidRPr="00142305" w:rsidRDefault="001A6B4D" w:rsidP="001A6B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Конструкторы остановились на полковой 76-мм пушке образца 1927 года с откатом, укороченным до 750 мм, как основном вооружении будущей САУ. Орудие монтировалось в боевой рубке на специальной тумбе-лафете, конструкция которой была позаимствована у российского бронеавтомобиля типа «Гарфорд-Путиловец» образца 1915 года.</w:t>
      </w:r>
    </w:p>
    <w:p w14:paraId="7AE8E3E2" w14:textId="77777777" w:rsidR="001A6B4D" w:rsidRPr="00142305" w:rsidRDefault="001A6B4D" w:rsidP="001A6B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Для ускорения работ рубка была изготовлена не из бронелистов, а из котельного железа, что позднее вызвало нарекания приемной комиссии. Кроме того, орудийную амбразуру, вырезанную в лобовом листе рубки, не предусматривалось закрывать бронемаской или бронещитком, поэтому при пробных пулеметных обстрелах с расстояния 150–200 метров несколько пуль залетело внутрь рубки.</w:t>
      </w:r>
    </w:p>
    <w:p w14:paraId="537B421F" w14:textId="77777777" w:rsidR="001A6B4D" w:rsidRPr="00142305" w:rsidRDefault="001A6B4D" w:rsidP="001A6B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Спешность изготовления прототипа сказалась на его качестве и продуманности конструкции. При первых же выстрелах орудие САУ вышло из строя, так как орудийная тумба оказалась недостаточно массивной для выбранного орудия.</w:t>
      </w:r>
    </w:p>
    <w:p w14:paraId="3AA48431" w14:textId="77777777" w:rsidR="001A6B4D" w:rsidRPr="00142305" w:rsidRDefault="001A6B4D" w:rsidP="001A6B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После изменения конструкции тумбы и ремонта орудия испытания продолжили. Было произведено 44 выстрела (41 выстрел с места и 3 выстрела с хода), из которых осечка произошла только один раз. Ходовые испытания показали, что изменение конструкции рубки на ходовые свойства шасси не повлияло.</w:t>
      </w:r>
    </w:p>
    <w:p w14:paraId="547018FA" w14:textId="77777777" w:rsidR="001A6B4D" w:rsidRPr="00142305" w:rsidRDefault="001A6B4D" w:rsidP="001A6B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результатам испытаний, изложенным в постановлении НТК УММ, они признавались удовлетворительными. Комиссия обязала конструкторов прикрыть орудие бронещитком, а его противооткатное устройство – бронекожухом. Цапфы орудия необходимо было разместить выше на 40 мм, чтобы увеличить угол его вертикального наведения до +20°. Угол горизонтального наведения также должен был быть увеличен – до +/- 20°. Предлагалось увеличить высоту рубки и снабдить ее амбразурами для наблюдения экипажем поля боя. Также предлагались другие усовершенствования, призванные облегчить работу наводчика – педальный спуск орудия, усовершенствованные приборы наведения и т.д.</w:t>
      </w:r>
    </w:p>
    <w:p w14:paraId="6B7B0C1B" w14:textId="77777777" w:rsidR="001A6B4D" w:rsidRPr="00142305" w:rsidRDefault="001A6B4D" w:rsidP="001A6B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САУ предполагалось снабдить рацией, для которой конструкторы должно были предусмотреть соответствующее гнездо, а также танковым переговорным устройством. Дополнительно к орудию самоходка должна была оснащаться пулеметом ДП с 10-ю магазинами к нему, для которого в бортах и корме рубки нужно было спроектировать амбразуры с шаровыми яблоками. Специальные гнезда для размещения боекомплекта изначально спроектированы не были, что также предписывалось исправить. Общий потенциальный заказ СУ-1 комиссия предварительно оценила в 100 единиц (25645).</w:t>
      </w:r>
    </w:p>
    <w:p w14:paraId="6A8C471D" w14:textId="77777777" w:rsidR="001A6B4D" w:rsidRPr="00142305" w:rsidRDefault="001A6B4D" w:rsidP="001A6B4D">
      <w:pPr>
        <w:spacing w:after="0" w:line="240" w:lineRule="auto"/>
        <w:jc w:val="both"/>
        <w:rPr>
          <w:rFonts w:ascii="Times New Roman" w:hAnsi="Times New Roman"/>
          <w:color w:val="0070C0"/>
          <w:sz w:val="16"/>
          <w:szCs w:val="16"/>
        </w:rPr>
      </w:pPr>
    </w:p>
    <w:p w14:paraId="55C3F68B" w14:textId="77777777" w:rsidR="00E75A4A" w:rsidRPr="005E779E" w:rsidRDefault="00E75A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 октябре 1931 года, когда судьба танка и так была решена Фактически началась сдача Т-24. Всего сдали 24 танка, из которых, в лучшем случае, 5 штук получили вооружение. Вместе с Т-24 "умерла" и 45-мм пушка обр.1930 года. Вместо нее разрабатывали совсем иные орудия, которые поначалу имели калибр 37 мм (20203).</w:t>
      </w:r>
    </w:p>
    <w:p w14:paraId="59D60A9C" w14:textId="77777777" w:rsidR="00E75A4A" w:rsidRPr="005E779E" w:rsidRDefault="00E75A4A" w:rsidP="000B7A6C">
      <w:pPr>
        <w:spacing w:after="0" w:line="240" w:lineRule="auto"/>
        <w:jc w:val="both"/>
        <w:rPr>
          <w:rFonts w:ascii="Times New Roman" w:hAnsi="Times New Roman"/>
          <w:color w:val="000000" w:themeColor="text1"/>
          <w:sz w:val="16"/>
          <w:szCs w:val="16"/>
        </w:rPr>
      </w:pPr>
    </w:p>
    <w:p w14:paraId="0361F3E4" w14:textId="77777777" w:rsidR="00E75A4A" w:rsidRPr="005E779E" w:rsidRDefault="00E75A4A"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октябре 1931 года, в самый разгар доработки Д-2, Н. И. Дыренков предложил военным очередной проект — тяжелого мотоброневагона, получившего рабочий индекс Д-6. Вагон должен был вооружаться одной 107-мм пушкой образца 1910 года в орудийной башне, четырьмя пулеметами Максим, двумя пулеметами ДТ и спаренной зенитной установкой. На тот период одной аналогичной 107-мм пушкой вооружались и бронеплощадки тяжелых бронепоездов РККА. Бронирование корпуса Д-6 предусматривалось — борта 16 мм, днище и крыша 8 мм. Двигатель мощностью 90–100 л. с. должен был разгонять Д-6 до максимальной скорости движения в 60 км/час. Запас хода — до 500 км. В более-менее окончательном виде проект Д-6 был готов только к лету 1932 года, и в сентябре на заводе Можерез началось его изготовление. Шло оно медленно и тяжело, в том числе из-за задержек в передаче рабочих чертежей из конструкторского бюро Н. И. Дыренкова. Достроить опытный Д-6 удалось только в начале 1933 года, но в «усеченном» виде — 107-мм орудие заменили двумя 76-миллиметровками в башнях серийных Д-2 и уже без самого Н. И. Дыренкова (22743).</w:t>
      </w:r>
    </w:p>
    <w:p w14:paraId="5FD636E9" w14:textId="77777777" w:rsidR="00E75A4A" w:rsidRPr="005E779E" w:rsidRDefault="00E75A4A"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(22743).</w:t>
      </w:r>
    </w:p>
    <w:p w14:paraId="3805749E" w14:textId="77777777" w:rsidR="00E75A4A" w:rsidRPr="005E779E" w:rsidRDefault="00E75A4A" w:rsidP="000B7A6C">
      <w:pPr>
        <w:spacing w:after="0" w:line="240" w:lineRule="auto"/>
        <w:jc w:val="both"/>
        <w:rPr>
          <w:rFonts w:ascii="Times New Roman" w:hAnsi="Times New Roman"/>
          <w:color w:val="000000" w:themeColor="text1"/>
          <w:sz w:val="16"/>
          <w:szCs w:val="16"/>
        </w:rPr>
      </w:pPr>
    </w:p>
    <w:p w14:paraId="156719F5" w14:textId="77777777" w:rsidR="007024A0" w:rsidRPr="005E779E" w:rsidRDefault="007024A0" w:rsidP="000B7A6C">
      <w:pPr>
        <w:spacing w:after="0" w:line="240" w:lineRule="auto"/>
        <w:jc w:val="both"/>
        <w:rPr>
          <w:rFonts w:ascii="Times New Roman" w:hAnsi="Times New Roman"/>
          <w:color w:val="000000" w:themeColor="text1"/>
          <w:sz w:val="16"/>
          <w:szCs w:val="16"/>
        </w:rPr>
      </w:pPr>
      <w:hyperlink r:id="rId196" w:tgtFrame="_blank" w:history="1"/>
      <w:r w:rsidRPr="005E779E">
        <w:rPr>
          <w:rFonts w:ascii="Times New Roman" w:hAnsi="Times New Roman"/>
          <w:color w:val="000000" w:themeColor="text1"/>
          <w:sz w:val="16"/>
          <w:szCs w:val="16"/>
        </w:rPr>
        <w:t xml:space="preserve">В октябре 1931 г. В то время, когда в Москве на заседании Президиума ВСНХ СССР принималось постановление «О быстроходных дизелях», в Харькове на паровозостроительном заводе им. Коминтерна (далее – ХПЗ) работала Комиссия Военно-морской инспекции Центральной контрольной комиссии (ВМИ ЦКК) ВКП(б) НКРКИ СССР под руководством старшего инспектора К. Ченцова (24856). </w:t>
      </w:r>
    </w:p>
    <w:p w14:paraId="2F5B9B94" w14:textId="77777777" w:rsidR="007024A0" w:rsidRPr="005E779E" w:rsidRDefault="007024A0" w:rsidP="000B7A6C">
      <w:pPr>
        <w:spacing w:after="0" w:line="240" w:lineRule="auto"/>
        <w:jc w:val="both"/>
        <w:rPr>
          <w:rFonts w:ascii="Times New Roman" w:hAnsi="Times New Roman"/>
          <w:color w:val="000000" w:themeColor="text1"/>
          <w:sz w:val="16"/>
          <w:szCs w:val="16"/>
        </w:rPr>
      </w:pPr>
    </w:p>
    <w:p w14:paraId="4457A16C" w14:textId="77777777" w:rsidR="00E75A4A" w:rsidRPr="005E779E" w:rsidRDefault="00E75A4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октябре 1931 начались испытания первого бескомпрессорного двухтактного дизеля мощностью 60 л.с., изготовленного на заводе «Красный Проле</w:t>
      </w:r>
      <w:r w:rsidRPr="005E779E">
        <w:rPr>
          <w:rFonts w:ascii="Times New Roman" w:hAnsi="Times New Roman"/>
          <w:color w:val="000000" w:themeColor="text1"/>
          <w:sz w:val="16"/>
          <w:szCs w:val="16"/>
        </w:rPr>
        <w:softHyphen/>
        <w:t>тарий» для трактора типа Катерпиллер (позже он ста</w:t>
      </w:r>
      <w:r w:rsidRPr="005E779E">
        <w:rPr>
          <w:rFonts w:ascii="Times New Roman" w:hAnsi="Times New Roman"/>
          <w:color w:val="000000" w:themeColor="text1"/>
          <w:sz w:val="16"/>
          <w:szCs w:val="16"/>
        </w:rPr>
        <w:softHyphen/>
        <w:t>нет трактором С-60). Разработку этого двигателя вело ОПБ в системе ОГПУ (22518).</w:t>
      </w:r>
    </w:p>
    <w:p w14:paraId="70D885C5" w14:textId="77777777" w:rsidR="00E75A4A" w:rsidRPr="005E779E" w:rsidRDefault="00E75A4A" w:rsidP="000B7A6C">
      <w:pPr>
        <w:spacing w:after="0" w:line="240" w:lineRule="auto"/>
        <w:jc w:val="both"/>
        <w:rPr>
          <w:rFonts w:ascii="Times New Roman" w:hAnsi="Times New Roman"/>
          <w:color w:val="000000" w:themeColor="text1"/>
          <w:sz w:val="16"/>
          <w:szCs w:val="16"/>
        </w:rPr>
      </w:pPr>
    </w:p>
    <w:p w14:paraId="7007DA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октября 1931года Миусский авторемонтный завод (позже он получил название Московского завода пожарных машин) начал выпуск пожарных линеек на 12 человек на шасси автомобилей семейств ЗИС-5 и ГАЗ-АА, а впоследствии и цистерн на тех же шасси. После войны завод приступил к выпуску пожарной техники на шасси ГАЗ-51/63 и ЗИС-150/164/151. Последние пожарные машины на шасси ЗИЛ-130 покинули завод в середине 60-ых годов ХХ века, а примерно в начале 80-ых годов заводские корпуса были разобраны и на его месте выросли жилые кварталы (11833).</w:t>
      </w:r>
    </w:p>
    <w:p w14:paraId="784C94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CE054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октября 1931 г. на базе шасси АМО-4 Миусский завод стал строить новые пожарные автомобили. Миусский завод (до 1932 г. он назывался заводом № 6 ВАТО) с 1926 по 1929 г. выпустил 145 машин на шасси АМО-Ф-15. Но смонтированный на этих маломощных автомобилях насос не обеспечивал достаточную подачу воды. Их производство свернули, как только появились АМО-4. Они перевозили боевой расчет из 12 человек (на линейке), запас воды в 360 л, лестницы, 360 м пожарного рукава, и, главное, их центробежный насос мог подавать 1400 л воды в минуту. В конце 1932 г. завод развернул выпуск пожарных автомобилей ПМГ-1 на базе ГАЗ-АА, а в 1934 г. ПМЗ-1 на базе ЗИС-11. Для повышения надежности и боеготовности ПМЗ-1 оснащались зажиганием от магнето. На шасси ЗИС-11 монтировались также цистерны с расположенным в передней части рамы насосом для подачи воды - эти машины назывались ПМЗ-8, а также 45-метровые выдвижные лестницы типа "Метц" на длиннооб-разном трехосном шасси ЗИС-6. Такие лестницы устанавливались и на автомобили ЯГ-6. Среди многочисленных специальных автомобилей предвоенных лет можно назвать стреловые поворотные автокраны и цистерны емкостью 5000 л на шасси ЯГ-4, оснащенные разбрызгивателями для поливки улиц. Существовали также изготовленные небольшими партиями подметальные и снегоуборочные машины на шасси ЗИС-5, автогудронаюры и автомобили с компрессорными установками (12098).</w:t>
      </w:r>
    </w:p>
    <w:p w14:paraId="351E8E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04EA4A9" w14:textId="77777777" w:rsidR="006D0E5C" w:rsidRPr="005E779E" w:rsidRDefault="006D0E5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октябре 1931 г. в Главмашпроме ВСНХ СССР прошло представительное совещание, которое 5 октября постановило целесообразным организацию выпуска мотоциклов в Харькове для нужд обороны и народного хозяйства. Завод предстояло реконструировать для реализации среднегодовой программы в 3000 мотоциклов. Помимо реконструкции, в счет части выделенных средств на заводе выполнили несколько проектов оригинальных мотоциклов. К октябрю следующего, 1932 г., был готов эталонный мотоцикл для серии. Рама этого мотоцикла состояла из 2-х боковин, прессованных из листового железа, толщиной 2,5 мм. Верхние полосы обеих боковин были сведены вместе и сварены. Мотоцикл имел электрооборудование Московского Электрозавода. Бак мотоцикла был комбинированным с загородкой, разделявшей его на емкости для бензина и масла. В стандартное оборудование мотоцикла входили: передняя и задняя подставка, щитки на колеса, сплошной щиток на моторную цепь, багажник. Дополнительно мотоцикл мог быть оснащен вторым седлом на багажнике и добавочными подножками для второго седока. 1 ноября 1932 г. мотоцикл модели «1М 350» был испытан заводской приемочной комиссией пробегом в 50 км, после чего отправлен в подарок Наркомвоенмору Клименту Ворошилову. Не приходится сомневаться в том, что получатель остался мотоциклом доволен. Нарком не мог не увидеть объективный рост завода, прошедшего всего за пару лет путь от кустарных мастерских до современного промышленного предприятия. Поэтому мотоциклы в Харькове решили не строить. В 1932 Харьковский Автосборочный завод получил мобзадание по организации Бронетанковой ремонтной базы с подачей в первый год войны 1454 машин. По понятным причинам в прессе было сообщено о том, что завод получил задание на выпуск с 1933 г. сельхозтехники и железнодорожных платформ. Предприятие завершило реконструкцию и, сменив подчиненность, было переименовано в Харьковский механический завод «Серп и Молот». К счастью выполнять в 1933 г. мобзадание заводу не пришлось. Заказ же мирного времени на 1933 г., поданный Управлением Механизации и Моторизации РККА, включал ремонт 165 танков Т-26 и Т-18, 10 БТ, 5 Т-24 и 35 танкеток Т-27. Но и вопрос организации производства мотоциклов в Харькове всерьез более не рассматривался и после смены профиля предприятия некоторая часть материалов была передана в г. Таганрог (19776).</w:t>
      </w:r>
    </w:p>
    <w:p w14:paraId="140FDC83" w14:textId="77777777" w:rsidR="006D0E5C" w:rsidRPr="005E779E" w:rsidRDefault="006D0E5C" w:rsidP="000B7A6C">
      <w:pPr>
        <w:spacing w:after="0" w:line="240" w:lineRule="auto"/>
        <w:jc w:val="both"/>
        <w:rPr>
          <w:rFonts w:ascii="Times New Roman" w:hAnsi="Times New Roman"/>
          <w:color w:val="000000" w:themeColor="text1"/>
          <w:sz w:val="16"/>
          <w:szCs w:val="16"/>
        </w:rPr>
      </w:pPr>
    </w:p>
    <w:p w14:paraId="3F8B3D78" w14:textId="0E898A5D"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октябре 1931 г. по приказу ВСНХ при 1-й Ситценабивной фабрике была открыта мастерская по восстановлению перегоревших электроламп (Завод № 399 МОП, МПСС, МРТП, Московский электровакуумный завод «Кннолампа», завод «Электролампа» МПСС, п/я 3843, Завод «Мосдеталь» МОП, А-0018, ПО «Сапфир», ОАО «Московский завод «Сапфир» /117545</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Москва Днепропетровский пр-д, 4А тел. 312-02-03/). Затем мастерская преобразована в самостоятельную фабрику по производству кварцевых газосветных ламп в ведении НК текстильной промышленности. Затем фабрика передана в ведение Комитета по делам кинематографии при СНК и переименована в Московский электровакуумный завод «Кинолампа», позднее- завод «Электролампа» МПСС.</w:t>
      </w:r>
    </w:p>
    <w:p w14:paraId="5BC201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годы войны выпускал ртутнокварцевые лампы сверхвысокого давления, газоразрядные лампы, газотроны и стабилизаторы напряжения для радиопередающей аппаратуры.</w:t>
      </w:r>
    </w:p>
    <w:p w14:paraId="3CAF55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 399 в 1950-54 г.- в ведении МПСС, в 1955-65 г. - завод № 399 МРТП, «предприятие п/я 3843». В 1965 г. завод передан в ведение МОП и переименован в завод «Мосдеталь». Имел наименование «п/я А-0010».</w:t>
      </w:r>
    </w:p>
    <w:p w14:paraId="2D6EBF33" w14:textId="54C0F6E5"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1960-е</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разработан и выпускался серийно фотоприемник ФС-24ДА для тепловых ГСН.</w:t>
      </w:r>
      <w:r w:rsidRPr="005E779E">
        <w:rPr>
          <w:rFonts w:ascii="Times New Roman" w:hAnsi="Times New Roman"/>
          <w:color w:val="000000" w:themeColor="text1"/>
          <w:sz w:val="16"/>
          <w:szCs w:val="16"/>
          <w:vertAlign w:val="superscript"/>
        </w:rPr>
        <w:t>1(Ь</w:t>
      </w:r>
    </w:p>
    <w:p w14:paraId="0CA9E2DE" w14:textId="0A410096"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результате приватизации ПО «Сапфир» в 1990-е</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были созданы ОАО «Московский завод «Сапфир» и ОАО «Диод». По Указу Президента РФ № 1009 от 4.08.2004 г. ОАО «Сапфир» вошло в число стратегических оборонных предприятий.</w:t>
      </w:r>
    </w:p>
    <w:p w14:paraId="6C7122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Гендиректор (2000 г.)- Д.А. Гиндин.</w:t>
      </w:r>
    </w:p>
    <w:p w14:paraId="4B3B2B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«Диод», А-0029 /г. Москва/</w:t>
      </w:r>
    </w:p>
    <w:p w14:paraId="380056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Имел наименование «п/я А-0029».</w:t>
      </w:r>
    </w:p>
    <w:p w14:paraId="0005D1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ОАО «Диод» /г. Москва ул. Дербеневская, 11А тел. 235-77-80/</w:t>
      </w:r>
    </w:p>
    <w:p w14:paraId="7A4A450B" w14:textId="39517909"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Создано в 1990-е</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в результате разделения ПО «Сапфир» при приватизации.</w:t>
      </w:r>
    </w:p>
    <w:p w14:paraId="0E47BD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Руководитель (2000 г.)- В.П. Тихонов (11982).</w:t>
      </w:r>
    </w:p>
    <w:p w14:paraId="714613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875AF5A" w14:textId="77777777" w:rsidR="005C4849" w:rsidRPr="005E779E" w:rsidRDefault="00874B1E" w:rsidP="000B7A6C">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45D4D90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11979AE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октябре 1931 ТБ-1 с успехом продемонстрировали не</w:t>
      </w:r>
      <w:r w:rsidRPr="005E779E">
        <w:rPr>
          <w:rFonts w:ascii="Times New Roman" w:hAnsi="Times New Roman"/>
          <w:color w:val="000000" w:themeColor="text1"/>
          <w:sz w:val="16"/>
          <w:szCs w:val="16"/>
        </w:rPr>
        <w:softHyphen/>
        <w:t>мецкой военной делегации. К концу года количество этих бомбардировщиков в стро</w:t>
      </w:r>
      <w:r w:rsidRPr="005E779E">
        <w:rPr>
          <w:rFonts w:ascii="Times New Roman" w:hAnsi="Times New Roman"/>
          <w:color w:val="000000" w:themeColor="text1"/>
          <w:sz w:val="16"/>
          <w:szCs w:val="16"/>
        </w:rPr>
        <w:softHyphen/>
        <w:t>евых частях достигло 155 экземпляров (11286).</w:t>
      </w:r>
    </w:p>
    <w:p w14:paraId="001E0E8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1EE6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октябре 1931 года ТБ-1 продемонстрировали немецкой военной делегации в НИИ ВВС. Один из офицеров Рейхсвера, фон Масебах, даже получил возможность попилотировать бомбардировщик с правого кресла под контролем советского инструктора. Машина получила очень высокую оценку - в Германии подобной техники тогда не было (12001).</w:t>
      </w:r>
    </w:p>
    <w:p w14:paraId="688401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B3553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октябре 1931 после первой пробы 19 сентября 1931, когда в ходе имитации атаки ТБ-1 на л Парижская Коммуна, торпеду сбросили с 2000 м и она прошла мимо от цели, продолжились испытания высокой торпеды 10/15 На этот раз учебную атаку провела пара ТБ-1 во время учений флота. Сбросили 2 торпеды по буксируемому щиту в 15 милях от Херсонесского маяка. Потом сбрасывали по неподвижным целям - пятнам краски на воде. Всего до 14 ноября провели 9 сбросов с 2000-3000 м, но только 4 раза сбрасывали торпеды с ходом (1966,10).</w:t>
      </w:r>
    </w:p>
    <w:p w14:paraId="37DCEB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14F6C92" w14:textId="77777777" w:rsidR="005C4849" w:rsidRPr="005E779E" w:rsidRDefault="00874B1E" w:rsidP="000B7A6C">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4F04E6F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6CB97C7D" w14:textId="77777777" w:rsidR="00346741" w:rsidRPr="005E779E" w:rsidRDefault="0034674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октябре 1931 состоялся первый полет Авро 643 Кадет (20804).</w:t>
      </w:r>
    </w:p>
    <w:p w14:paraId="22E9B63B" w14:textId="77777777" w:rsidR="00346741" w:rsidRPr="005E779E" w:rsidRDefault="00346741" w:rsidP="000B7A6C">
      <w:pPr>
        <w:spacing w:after="0" w:line="240" w:lineRule="auto"/>
        <w:jc w:val="both"/>
        <w:rPr>
          <w:rFonts w:ascii="Times New Roman" w:hAnsi="Times New Roman"/>
          <w:color w:val="000000" w:themeColor="text1"/>
          <w:sz w:val="16"/>
          <w:szCs w:val="16"/>
        </w:rPr>
      </w:pPr>
    </w:p>
    <w:p w14:paraId="0A1E82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октябре 1931 года были заказаны 6 серийных самолетов F9C-2 с условием, что первые 3 машины будут готовы в сентябре 1932 года. Существенным улучшением в стыковочном устройстве стала установка на ферме опускаемой стрелы с седлообразной втулкой на конце. Эта втулка садилась на хвостовую часть фюзеляжа самолета тогда, когда он уже висел под перекладиной, и прочно удерживала его в устойчивом положении. Стыковочное устройство самолета состояло из вынесенного на четырех наклонных стойках управляемого гака и предохранителя винта, смонтированных над центропланом. Было достигнуто приемлемое время 15 минут на взлет или посадку самолета с момента открытия ворот ангара до их полного закрытия. Ангар был рассчитан на пять самолетов — четыре подвешены на потолке, а пятый — на перекладине фермы, втянутой внутрь. Но в действительности в нем помещалось только 3 машины, так как внутренняя арматура каркаса дирижабля препятствовала их удобному обслуживанию и размещению в процессе интенсивной эксплуатации. На втянутой перекладине самолет также никогда не устанавливался из-за того, что в случае неисправности мотора было практически невозможно отправить в полет остальные машины. Самолеты оснащались радиооборудованием, с помощью которого летчики могли разыскать свой «воздушный аэродром» в случае потери визуального контакта с дирижаблем. В действительности, однако, полный комплект оборудования был установлен только в 1934 году. Тогда же ввели и должность радиоофицера. Он постоянно контролировал положение отдельных самолетов, руководил действиями летчиков и следил одновременно за безопасностью полета с точки зрения запаса топлива, необходимого для возвращения. Предполагалось, что во время боевых действий самолеты должны были летать без шасси, которое над океаном было бесполезно, но на практике оно ни разу не демонтировалось. Техника посадки и взлета на дирижабль была отработана в достаточной степени, поэтому нет ничего удивительного в том, что планировалось увеличить парк используемых типов самолетов, в том числе и более тяжелых транспортных машин, способных доставить на борт воздушного корабля продовольствие, почту, топливо или постепенно заменить весь экипаж. Таким образом, воздушному [438] гиганту не обязательно было возвращаться на базу, так как транспортные самолеты могли обеспечить всем необходимым. На эту роль планировались самолеты Белланко «Эйрбас», но до практической реализации дело не дошло. За год эксплуатации «Акрона» был совершен 501 зацеп самолетов в разное время суток (11324).</w:t>
      </w:r>
    </w:p>
    <w:p w14:paraId="4F8DCF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2CEE5AB" w14:textId="77777777" w:rsidR="007024A0" w:rsidRPr="005E779E" w:rsidRDefault="007024A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октябре 1931 года в строй вступил ZRS-4 «Акрон» (Akron) объемом оболочки 194 000 куб. метров. Дирижабль был оснащен 8 двига</w:t>
      </w:r>
      <w:r w:rsidRPr="005E779E">
        <w:rPr>
          <w:rFonts w:ascii="Times New Roman" w:hAnsi="Times New Roman"/>
          <w:color w:val="000000" w:themeColor="text1"/>
          <w:sz w:val="16"/>
          <w:szCs w:val="16"/>
        </w:rPr>
        <w:softHyphen/>
        <w:t>телями «Майбах» мощностью по 560 л.с. каждый, от</w:t>
      </w:r>
      <w:r w:rsidRPr="005E779E">
        <w:rPr>
          <w:rFonts w:ascii="Times New Roman" w:hAnsi="Times New Roman"/>
          <w:color w:val="000000" w:themeColor="text1"/>
          <w:sz w:val="16"/>
          <w:szCs w:val="16"/>
        </w:rPr>
        <w:softHyphen/>
        <w:t>личался Т-образным вырезом (люком) в нижней по</w:t>
      </w:r>
      <w:r w:rsidRPr="005E779E">
        <w:rPr>
          <w:rFonts w:ascii="Times New Roman" w:hAnsi="Times New Roman"/>
          <w:color w:val="000000" w:themeColor="text1"/>
          <w:sz w:val="16"/>
          <w:szCs w:val="16"/>
        </w:rPr>
        <w:softHyphen/>
        <w:t>верхности для приема бортовых самолетов. Из указан</w:t>
      </w:r>
      <w:r w:rsidRPr="005E779E">
        <w:rPr>
          <w:rFonts w:ascii="Times New Roman" w:hAnsi="Times New Roman"/>
          <w:color w:val="000000" w:themeColor="text1"/>
          <w:sz w:val="16"/>
          <w:szCs w:val="16"/>
        </w:rPr>
        <w:softHyphen/>
        <w:t>ного люка выдвигалась причальная ферма с перекладиной, за которую зацеплялся причаливаю</w:t>
      </w:r>
      <w:r w:rsidRPr="005E779E">
        <w:rPr>
          <w:rFonts w:ascii="Times New Roman" w:hAnsi="Times New Roman"/>
          <w:color w:val="000000" w:themeColor="text1"/>
          <w:sz w:val="16"/>
          <w:szCs w:val="16"/>
        </w:rPr>
        <w:softHyphen/>
        <w:t>щий самолет. Внутри был оборудован ангар для раз</w:t>
      </w:r>
      <w:r w:rsidRPr="005E779E">
        <w:rPr>
          <w:rFonts w:ascii="Times New Roman" w:hAnsi="Times New Roman"/>
          <w:color w:val="000000" w:themeColor="text1"/>
          <w:sz w:val="16"/>
          <w:szCs w:val="16"/>
        </w:rPr>
        <w:softHyphen/>
        <w:t>мещения 5 самолетов F9C Curtiss Sparrowhawk, нахо</w:t>
      </w:r>
      <w:r w:rsidRPr="005E779E">
        <w:rPr>
          <w:rFonts w:ascii="Times New Roman" w:hAnsi="Times New Roman"/>
          <w:color w:val="000000" w:themeColor="text1"/>
          <w:sz w:val="16"/>
          <w:szCs w:val="16"/>
        </w:rPr>
        <w:softHyphen/>
        <w:t>дящихся в подвешенном состоянии. Предполагалось, что Curtiss F9C будут защищать дирижабли от вражес</w:t>
      </w:r>
      <w:r w:rsidRPr="005E779E">
        <w:rPr>
          <w:rFonts w:ascii="Times New Roman" w:hAnsi="Times New Roman"/>
          <w:color w:val="000000" w:themeColor="text1"/>
          <w:sz w:val="16"/>
          <w:szCs w:val="16"/>
        </w:rPr>
        <w:softHyphen/>
        <w:t>кой авиации и выполнять воздушную разведку. Пона</w:t>
      </w:r>
      <w:r w:rsidRPr="005E779E">
        <w:rPr>
          <w:rFonts w:ascii="Times New Roman" w:hAnsi="Times New Roman"/>
          <w:color w:val="000000" w:themeColor="text1"/>
          <w:sz w:val="16"/>
          <w:szCs w:val="16"/>
        </w:rPr>
        <w:softHyphen/>
        <w:t>чалу «спарроухоук» создавался как палубный самолет, однако благодаря малым размерам (размах верхнего крыла 9,2 м) он наиболее удачно подошел для базиро</w:t>
      </w:r>
      <w:r w:rsidRPr="005E779E">
        <w:rPr>
          <w:rFonts w:ascii="Times New Roman" w:hAnsi="Times New Roman"/>
          <w:color w:val="000000" w:themeColor="text1"/>
          <w:sz w:val="16"/>
          <w:szCs w:val="16"/>
        </w:rPr>
        <w:softHyphen/>
        <w:t>вания на дирижаблях. Самолет был оснащен двигате</w:t>
      </w:r>
      <w:r w:rsidRPr="005E779E">
        <w:rPr>
          <w:rFonts w:ascii="Times New Roman" w:hAnsi="Times New Roman"/>
          <w:color w:val="000000" w:themeColor="text1"/>
          <w:sz w:val="16"/>
          <w:szCs w:val="16"/>
        </w:rPr>
        <w:softHyphen/>
        <w:t>лем Райт Циклон R-975-C мощностью 420 л.с., двумя синхронными пулеметами и развивал скорость 283 км/ч. Всего построили 8 таких истребителей (вместе с двумя опытными экземплярами). Помимо F9C к при</w:t>
      </w:r>
      <w:r w:rsidRPr="005E779E">
        <w:rPr>
          <w:rFonts w:ascii="Times New Roman" w:hAnsi="Times New Roman"/>
          <w:color w:val="000000" w:themeColor="text1"/>
          <w:sz w:val="16"/>
          <w:szCs w:val="16"/>
        </w:rPr>
        <w:softHyphen/>
        <w:t>чальной ферме неоднократно прицеплялись двухмест</w:t>
      </w:r>
      <w:r w:rsidRPr="005E779E">
        <w:rPr>
          <w:rFonts w:ascii="Times New Roman" w:hAnsi="Times New Roman"/>
          <w:color w:val="000000" w:themeColor="text1"/>
          <w:sz w:val="16"/>
          <w:szCs w:val="16"/>
        </w:rPr>
        <w:softHyphen/>
        <w:t>ные Консолидейтед N2Y-1. Шесть таких бипланов ис</w:t>
      </w:r>
      <w:r w:rsidRPr="005E779E">
        <w:rPr>
          <w:rFonts w:ascii="Times New Roman" w:hAnsi="Times New Roman"/>
          <w:color w:val="000000" w:themeColor="text1"/>
          <w:sz w:val="16"/>
          <w:szCs w:val="16"/>
        </w:rPr>
        <w:softHyphen/>
        <w:t>пользовались в основном для тренировки и курьер</w:t>
      </w:r>
      <w:r w:rsidRPr="005E779E">
        <w:rPr>
          <w:rFonts w:ascii="Times New Roman" w:hAnsi="Times New Roman"/>
          <w:color w:val="000000" w:themeColor="text1"/>
          <w:sz w:val="16"/>
          <w:szCs w:val="16"/>
        </w:rPr>
        <w:softHyphen/>
        <w:t>ских полетов. Уже в полетах 1932 года на борту «Акрона» использовалось по одному F9C-2 и N2Y-1. За год эксплуатации «Акрона» указанные самолеты произвели ряд подцепок под дирижабль в разное вре</w:t>
      </w:r>
      <w:r w:rsidRPr="005E779E">
        <w:rPr>
          <w:rFonts w:ascii="Times New Roman" w:hAnsi="Times New Roman"/>
          <w:color w:val="000000" w:themeColor="text1"/>
          <w:sz w:val="16"/>
          <w:szCs w:val="16"/>
        </w:rPr>
        <w:softHyphen/>
        <w:t>мя суток. К сожалению, период эксплуатации «Акро</w:t>
      </w:r>
      <w:r w:rsidRPr="005E779E">
        <w:rPr>
          <w:rFonts w:ascii="Times New Roman" w:hAnsi="Times New Roman"/>
          <w:color w:val="000000" w:themeColor="text1"/>
          <w:sz w:val="16"/>
          <w:szCs w:val="16"/>
        </w:rPr>
        <w:softHyphen/>
        <w:t>на» оказался недолог. В ночь на 4 апреля 1933 года ди</w:t>
      </w:r>
      <w:r w:rsidRPr="005E779E">
        <w:rPr>
          <w:rFonts w:ascii="Times New Roman" w:hAnsi="Times New Roman"/>
          <w:color w:val="000000" w:themeColor="text1"/>
          <w:sz w:val="16"/>
          <w:szCs w:val="16"/>
        </w:rPr>
        <w:softHyphen/>
        <w:t>рижабль при проведении маневров в Атлантическом океане попал в мощный ураган и потерпел катастро</w:t>
      </w:r>
      <w:r w:rsidRPr="005E779E">
        <w:rPr>
          <w:rFonts w:ascii="Times New Roman" w:hAnsi="Times New Roman"/>
          <w:color w:val="000000" w:themeColor="text1"/>
          <w:sz w:val="16"/>
          <w:szCs w:val="16"/>
        </w:rPr>
        <w:softHyphen/>
        <w:t>фу. Из 76 членов экипажа выжили три человека. При рассмотрении причин катастрофы «Акрона», кроме прочего, указывались недостаточная прочность дири</w:t>
      </w:r>
      <w:r w:rsidRPr="005E779E">
        <w:rPr>
          <w:rFonts w:ascii="Times New Roman" w:hAnsi="Times New Roman"/>
          <w:color w:val="000000" w:themeColor="text1"/>
          <w:sz w:val="16"/>
          <w:szCs w:val="16"/>
        </w:rPr>
        <w:softHyphen/>
        <w:t>жабля и ошибки пилотирования (23378).</w:t>
      </w:r>
    </w:p>
    <w:p w14:paraId="464D9768" w14:textId="77777777" w:rsidR="007024A0" w:rsidRPr="005E779E" w:rsidRDefault="007024A0" w:rsidP="000B7A6C">
      <w:pPr>
        <w:spacing w:after="0" w:line="240" w:lineRule="auto"/>
        <w:jc w:val="both"/>
        <w:rPr>
          <w:rFonts w:ascii="Times New Roman" w:hAnsi="Times New Roman"/>
          <w:color w:val="000000" w:themeColor="text1"/>
          <w:sz w:val="16"/>
          <w:szCs w:val="16"/>
        </w:rPr>
      </w:pPr>
    </w:p>
    <w:p w14:paraId="02CD5DA7" w14:textId="77777777" w:rsidR="00782A5D" w:rsidRPr="005E779E" w:rsidRDefault="00782A5D" w:rsidP="00782A5D">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1B8E7642" w14:textId="77777777" w:rsidR="00782A5D" w:rsidRPr="005E779E" w:rsidRDefault="00782A5D" w:rsidP="00782A5D">
      <w:pPr>
        <w:autoSpaceDE w:val="0"/>
        <w:autoSpaceDN w:val="0"/>
        <w:adjustRightInd w:val="0"/>
        <w:spacing w:after="0" w:line="240" w:lineRule="auto"/>
        <w:jc w:val="both"/>
        <w:rPr>
          <w:rFonts w:ascii="Times New Roman" w:hAnsi="Times New Roman"/>
          <w:iCs/>
          <w:color w:val="000000" w:themeColor="text1"/>
          <w:sz w:val="16"/>
          <w:szCs w:val="16"/>
        </w:rPr>
      </w:pPr>
    </w:p>
    <w:p w14:paraId="4288D737" w14:textId="77777777" w:rsidR="00782A5D" w:rsidRPr="005E779E" w:rsidRDefault="00782A5D" w:rsidP="00782A5D">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октябре-ноябре 1931 прошли повторные испытания МДР-2 (АНТ-8) доработанного (увеличены площадь РП и водоизмещение поплавков). Улучшилась мореходность, но посадочная скорость была 115 км/час. Опробовал и Б.Л.Бухгольц, М.М.Г. и л НИИ ВВС Н.Г.Кастанаев. машина не была лучше Дорнье Валь (4269,19).</w:t>
      </w:r>
    </w:p>
    <w:p w14:paraId="16B5433B" w14:textId="77777777" w:rsidR="00782A5D" w:rsidRPr="005E779E" w:rsidRDefault="00782A5D" w:rsidP="00782A5D">
      <w:pPr>
        <w:autoSpaceDE w:val="0"/>
        <w:autoSpaceDN w:val="0"/>
        <w:adjustRightInd w:val="0"/>
        <w:spacing w:after="0" w:line="240" w:lineRule="auto"/>
        <w:jc w:val="both"/>
        <w:rPr>
          <w:rFonts w:ascii="Times New Roman" w:hAnsi="Times New Roman"/>
          <w:color w:val="000000" w:themeColor="text1"/>
          <w:sz w:val="16"/>
          <w:szCs w:val="16"/>
        </w:rPr>
      </w:pPr>
    </w:p>
    <w:p w14:paraId="4FEF507E" w14:textId="77777777" w:rsidR="00782A5D" w:rsidRPr="00142305" w:rsidRDefault="00782A5D" w:rsidP="00782A5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В октябре - ноябре 1931 года проходил второй этап испытания МДР-2 АНТ-8. </w:t>
      </w:r>
    </w:p>
    <w:p w14:paraId="2AEFE40A" w14:textId="77777777" w:rsidR="00782A5D" w:rsidRPr="00142305" w:rsidRDefault="00782A5D" w:rsidP="00782A5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результатам зимних 1930-1931 гг. летных испытаний МДР-2 доработали. Увеличили водоизме</w:t>
      </w:r>
      <w:r w:rsidRPr="00142305">
        <w:rPr>
          <w:rFonts w:ascii="Times New Roman" w:hAnsi="Times New Roman"/>
          <w:color w:val="0070C0"/>
          <w:sz w:val="16"/>
          <w:szCs w:val="16"/>
        </w:rPr>
        <w:softHyphen/>
        <w:t xml:space="preserve">щение поплавков и площадь руля направления. </w:t>
      </w:r>
    </w:p>
    <w:p w14:paraId="500C2D8C" w14:textId="77777777" w:rsidR="00782A5D" w:rsidRPr="00142305" w:rsidRDefault="00782A5D" w:rsidP="00782A5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Испытания показали, что мореходность улучшилась, но посадочная скорость оставалась довольно высокой - 115 км/ч.</w:t>
      </w:r>
    </w:p>
    <w:p w14:paraId="7E3C2C7F" w14:textId="77777777" w:rsidR="00782A5D" w:rsidRPr="00142305" w:rsidRDefault="00782A5D" w:rsidP="00782A5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втором этапе летных испытаний машину опробовали в воздухе Б. Л. Бухгольц, М.М. Громов и летчик НИИ ВВС Н.Г Кастанаев. МДР-2, построенный много позже, чем «Валь», так и не превзошел его по своим характеристикам. Но с нагрузкой 2360 кт они были при</w:t>
      </w:r>
      <w:r w:rsidRPr="00142305">
        <w:rPr>
          <w:rFonts w:ascii="Times New Roman" w:hAnsi="Times New Roman"/>
          <w:color w:val="0070C0"/>
          <w:sz w:val="16"/>
          <w:szCs w:val="16"/>
        </w:rPr>
        <w:softHyphen/>
        <w:t>мерно равны (24991).</w:t>
      </w:r>
    </w:p>
    <w:p w14:paraId="6583FFC4" w14:textId="77777777" w:rsidR="00782A5D" w:rsidRPr="00142305" w:rsidRDefault="00782A5D" w:rsidP="00782A5D">
      <w:pPr>
        <w:spacing w:after="0" w:line="240" w:lineRule="auto"/>
        <w:jc w:val="both"/>
        <w:rPr>
          <w:rFonts w:ascii="Times New Roman" w:hAnsi="Times New Roman"/>
          <w:color w:val="0070C0"/>
          <w:sz w:val="16"/>
          <w:szCs w:val="16"/>
        </w:rPr>
      </w:pPr>
    </w:p>
    <w:p w14:paraId="0E666B03"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0A24092A"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380572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октяб</w:t>
      </w:r>
      <w:r w:rsidRPr="005E779E">
        <w:rPr>
          <w:rFonts w:ascii="Times New Roman" w:hAnsi="Times New Roman"/>
          <w:color w:val="000000" w:themeColor="text1"/>
          <w:sz w:val="16"/>
          <w:szCs w:val="16"/>
        </w:rPr>
        <w:softHyphen/>
        <w:t>ре и июне 1931 года грузовики, известные как «Форд-Тимкен», доставлялись в Советский Союз двумя партиями и собирались на заводе «Гудок Октября» (11284).</w:t>
      </w:r>
    </w:p>
    <w:p w14:paraId="0D9BD37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0CA92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октябре — ноябре 1931 года в окрестностях Ленинграда испытали БАД-1 (боевая автодрезина) ТО ЭКО ПП ОГПУ и она показала хорошие результаты. Броневой корпус для грузовика «Форд-АА» спроектиро</w:t>
      </w:r>
      <w:r w:rsidRPr="005E779E">
        <w:rPr>
          <w:rFonts w:ascii="Times New Roman" w:hAnsi="Times New Roman"/>
          <w:color w:val="000000" w:themeColor="text1"/>
          <w:sz w:val="16"/>
          <w:szCs w:val="16"/>
        </w:rPr>
        <w:softHyphen/>
        <w:t>вали и изготовили осенью 1931 года в ТО ЭКО ПП ОГПУ. С базового автомобиля сняли грузовой кузов, кабину и сиденья. Передние рессоры усилили пятью листами, а зад</w:t>
      </w:r>
      <w:r w:rsidRPr="005E779E">
        <w:rPr>
          <w:rFonts w:ascii="Times New Roman" w:hAnsi="Times New Roman"/>
          <w:color w:val="000000" w:themeColor="text1"/>
          <w:sz w:val="16"/>
          <w:szCs w:val="16"/>
        </w:rPr>
        <w:softHyphen/>
        <w:t>ние оставили безо всяких изменений. Для избежания пере</w:t>
      </w:r>
      <w:r w:rsidRPr="005E779E">
        <w:rPr>
          <w:rFonts w:ascii="Times New Roman" w:hAnsi="Times New Roman"/>
          <w:color w:val="000000" w:themeColor="text1"/>
          <w:sz w:val="16"/>
          <w:szCs w:val="16"/>
        </w:rPr>
        <w:softHyphen/>
        <w:t>грева машины при движении в водяную трубу над мотором встроили аэротермометр, а указатель со стрелкой установи</w:t>
      </w:r>
      <w:r w:rsidRPr="005E779E">
        <w:rPr>
          <w:rFonts w:ascii="Times New Roman" w:hAnsi="Times New Roman"/>
          <w:color w:val="000000" w:themeColor="text1"/>
          <w:sz w:val="16"/>
          <w:szCs w:val="16"/>
        </w:rPr>
        <w:softHyphen/>
        <w:t>ли на щитке водителя. В остальном шасси «Форд-АА» оста</w:t>
      </w:r>
      <w:r w:rsidRPr="005E779E">
        <w:rPr>
          <w:rFonts w:ascii="Times New Roman" w:hAnsi="Times New Roman"/>
          <w:color w:val="000000" w:themeColor="text1"/>
          <w:sz w:val="16"/>
          <w:szCs w:val="16"/>
        </w:rPr>
        <w:softHyphen/>
        <w:t>лось без изменений. Броневой корпус изготавливался из броневых лис</w:t>
      </w:r>
      <w:r w:rsidRPr="005E779E">
        <w:rPr>
          <w:rFonts w:ascii="Times New Roman" w:hAnsi="Times New Roman"/>
          <w:color w:val="000000" w:themeColor="text1"/>
          <w:sz w:val="16"/>
          <w:szCs w:val="16"/>
        </w:rPr>
        <w:softHyphen/>
        <w:t>тов, сваренных между собой. Изнутри сварные швы уси</w:t>
      </w:r>
      <w:r w:rsidRPr="005E779E">
        <w:rPr>
          <w:rFonts w:ascii="Times New Roman" w:hAnsi="Times New Roman"/>
          <w:color w:val="000000" w:themeColor="text1"/>
          <w:sz w:val="16"/>
          <w:szCs w:val="16"/>
        </w:rPr>
        <w:softHyphen/>
        <w:t>ливались дополнительными угольниками. Толщина бро</w:t>
      </w:r>
      <w:r w:rsidRPr="005E779E">
        <w:rPr>
          <w:rFonts w:ascii="Times New Roman" w:hAnsi="Times New Roman"/>
          <w:color w:val="000000" w:themeColor="text1"/>
          <w:sz w:val="16"/>
          <w:szCs w:val="16"/>
        </w:rPr>
        <w:softHyphen/>
        <w:t>ни составляла 10 (лобовой лист и задвижки смотровых окон), 6 (корпус и башни) и 4 мм (крыша и защита ходо</w:t>
      </w:r>
      <w:r w:rsidRPr="005E779E">
        <w:rPr>
          <w:rFonts w:ascii="Times New Roman" w:hAnsi="Times New Roman"/>
          <w:color w:val="000000" w:themeColor="text1"/>
          <w:sz w:val="16"/>
          <w:szCs w:val="16"/>
        </w:rPr>
        <w:softHyphen/>
        <w:t>вой части). Экипаж машины состоял из водителя и 3 пулеметчи</w:t>
      </w:r>
      <w:r w:rsidRPr="005E779E">
        <w:rPr>
          <w:rFonts w:ascii="Times New Roman" w:hAnsi="Times New Roman"/>
          <w:color w:val="000000" w:themeColor="text1"/>
          <w:sz w:val="16"/>
          <w:szCs w:val="16"/>
        </w:rPr>
        <w:softHyphen/>
        <w:t>ков, вооружение состояло из 3 пулеметов ДТ (в башнях и лобовом листе корпуса). Кроме того, в БАД-1 было 2 за</w:t>
      </w:r>
      <w:r w:rsidRPr="005E779E">
        <w:rPr>
          <w:rFonts w:ascii="Times New Roman" w:hAnsi="Times New Roman"/>
          <w:color w:val="000000" w:themeColor="text1"/>
          <w:sz w:val="16"/>
          <w:szCs w:val="16"/>
        </w:rPr>
        <w:softHyphen/>
        <w:t>пасных ДТ, уложенных на стойках за сиденьем водителя и переднего пулеметчика. На задней дверце корпуса имелся специальный броневой кожух, в котором крепились 2 бал</w:t>
      </w:r>
      <w:r w:rsidRPr="005E779E">
        <w:rPr>
          <w:rFonts w:ascii="Times New Roman" w:hAnsi="Times New Roman"/>
          <w:color w:val="000000" w:themeColor="text1"/>
          <w:sz w:val="16"/>
          <w:szCs w:val="16"/>
        </w:rPr>
        <w:softHyphen/>
        <w:t>лона емкостью на 15 л для постановки дымовых завес. Для растаскивания завалов на дороге на корме машины крепились стальные крюки. Переход на железнодорожный ход осуществлялся при помощи домкрата и стальных бан</w:t>
      </w:r>
      <w:r w:rsidRPr="005E779E">
        <w:rPr>
          <w:rFonts w:ascii="Times New Roman" w:hAnsi="Times New Roman"/>
          <w:color w:val="000000" w:themeColor="text1"/>
          <w:sz w:val="16"/>
          <w:szCs w:val="16"/>
        </w:rPr>
        <w:softHyphen/>
        <w:t>дажей, одеваемых вместо колес. Через месяц БАД-1 передали на вооружение частей управления погра</w:t>
      </w:r>
      <w:r w:rsidRPr="005E779E">
        <w:rPr>
          <w:rFonts w:ascii="Times New Roman" w:hAnsi="Times New Roman"/>
          <w:color w:val="000000" w:themeColor="text1"/>
          <w:sz w:val="16"/>
          <w:szCs w:val="16"/>
        </w:rPr>
        <w:softHyphen/>
        <w:t>ничной охраны постоянного представительства ОГПУ в ЛВО (11284).</w:t>
      </w:r>
    </w:p>
    <w:p w14:paraId="36C292C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8623C0"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72166AD1"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10CCD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июне и октябре 1931 пленумы ЦК ВКП(б) обсуждал вопросы развития транспорта. Решили электрифицировать ж/д (226,417).</w:t>
      </w:r>
    </w:p>
    <w:p w14:paraId="4338B2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1347B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октябре 1931 журнал "Пролетарская революция" опубликовал статью И.В.С. "Некоторые вопросы истории большевизма" - начало формирования официальной концепции истории России и СССР (1348,269).</w:t>
      </w:r>
    </w:p>
    <w:p w14:paraId="056AE6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40B28FD" w14:textId="77777777" w:rsidR="004B5185" w:rsidRPr="005E779E" w:rsidRDefault="004B5185"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4B304528" w14:textId="77777777" w:rsidR="004B5185" w:rsidRPr="005E779E" w:rsidRDefault="004B5185"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5FB95A5" w14:textId="77777777" w:rsidR="004B5185" w:rsidRPr="005E779E" w:rsidRDefault="004B518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ноябрю 1931 г. была построена летающая лодка Четверикова МДР-3 (ЦКБ № 11). Это был лодочный гидросамолет с высоко</w:t>
      </w:r>
      <w:r w:rsidRPr="005E779E">
        <w:rPr>
          <w:rFonts w:ascii="Times New Roman" w:hAnsi="Times New Roman"/>
          <w:color w:val="000000" w:themeColor="text1"/>
          <w:sz w:val="16"/>
          <w:szCs w:val="16"/>
        </w:rPr>
        <w:softHyphen/>
        <w:t>расположенным подкосным крылом и двухкилевым вертикальным оперением. Он сохранил две тандемные силовые установки из четырех БМВ-VI, но не в крыле, а на стойках над центропланом. На два двигателя был общий радиатор под передним из них.</w:t>
      </w:r>
    </w:p>
    <w:p w14:paraId="6FA8A891" w14:textId="77777777" w:rsidR="004B5185" w:rsidRPr="005E779E" w:rsidRDefault="004B518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Стоит отметить, что работая в ОПО-3 (КБ гидроавиции), Бартини выступил с проектом морского дальнего разведчика МДР-3 с четырьмя моторами БМВ VI Е=7,3, установленными в два тандема в крыле, с промежуточными валами к пропеллерам. Схема была та же - подкосное высокорасположенное крыло- парасоль и жабры остойчивости с поплавками на концах. Взлётный вес самолёта составлял 16 тонн. В своём отзыве представитель НТК ВВС отметил, что эскизный проект представляет интерес, однако требуется повысить коэффициент полезной нагрузки, а также провести экспериментальную проработку конструкции передаточных валов и исследования обводов лодки. Материалы по проекту МДР-3 от Бартини были переданы в конструкторскую группу И.В.Четверикова (бригада №5 в ЦКБ).</w:t>
      </w:r>
    </w:p>
    <w:p w14:paraId="3457A369" w14:textId="77777777" w:rsidR="004B5185" w:rsidRPr="005E779E" w:rsidRDefault="004B518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Лётные испытания, проходившие в Севастополе с 14 января по 25 марта 1932 г., показали, что гидросамолет не отвечал всем требованиям для такого класса машин. В полете были отмечены очень сильные колебания лодки. Самолет показал плохую скороподъемность и потолок всего 3000 м. Причиной этого была отчасти тандемная </w:t>
      </w:r>
      <w:r w:rsidRPr="005E779E">
        <w:rPr>
          <w:rFonts w:ascii="Times New Roman" w:hAnsi="Times New Roman"/>
          <w:color w:val="000000" w:themeColor="text1"/>
          <w:sz w:val="16"/>
          <w:szCs w:val="16"/>
        </w:rPr>
        <w:lastRenderedPageBreak/>
        <w:t>установка двигателей, но главное - плохая аэроди</w:t>
      </w:r>
      <w:r w:rsidRPr="005E779E">
        <w:rPr>
          <w:rFonts w:ascii="Times New Roman" w:hAnsi="Times New Roman"/>
          <w:color w:val="000000" w:themeColor="text1"/>
          <w:sz w:val="16"/>
          <w:szCs w:val="16"/>
        </w:rPr>
        <w:softHyphen/>
        <w:t>намика самолета. В частности, сказывалось располо</w:t>
      </w:r>
      <w:r w:rsidRPr="005E779E">
        <w:rPr>
          <w:rFonts w:ascii="Times New Roman" w:hAnsi="Times New Roman"/>
          <w:color w:val="000000" w:themeColor="text1"/>
          <w:sz w:val="16"/>
          <w:szCs w:val="16"/>
        </w:rPr>
        <w:softHyphen/>
        <w:t>жение радиаторов тандемных установок над крылом на небольшом от него расстоянии.</w:t>
      </w:r>
    </w:p>
    <w:p w14:paraId="2124B9CE" w14:textId="77777777" w:rsidR="004B5185" w:rsidRPr="005E779E" w:rsidRDefault="004B518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Устранить недостатки было поручено коллективу КОСОС ЦАГИ во главе с А.Н. Туполевым. Там машину основательно переделали и получили уже совсем другой гидросамолет - трёхдвигательный АНТ-27 (МДР-4). [7]</w:t>
      </w:r>
    </w:p>
    <w:p w14:paraId="18F8D254" w14:textId="77777777" w:rsidR="004B5185" w:rsidRPr="005E779E" w:rsidRDefault="004B5185" w:rsidP="000B7A6C">
      <w:pPr>
        <w:spacing w:after="0" w:line="240" w:lineRule="auto"/>
        <w:jc w:val="both"/>
        <w:rPr>
          <w:rFonts w:ascii="Times New Roman" w:hAnsi="Times New Roman"/>
          <w:color w:val="000000" w:themeColor="text1"/>
          <w:sz w:val="16"/>
          <w:szCs w:val="16"/>
        </w:rPr>
      </w:pPr>
    </w:p>
    <w:p w14:paraId="561648BE" w14:textId="77777777" w:rsidR="00782A5D" w:rsidRPr="00142305" w:rsidRDefault="00782A5D" w:rsidP="00782A5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ноябрю 1931 г. построили МДР-3 Четверикова. В декабре самолет перевезли в Севастополь, где 14 января 1932 г. летчик-испытатель Б.Л. Бухгольц совершил первый полет. Вместе с ним на борту летающей лодки находились механик А. Днепров и сам конструктор (25300). </w:t>
      </w:r>
    </w:p>
    <w:p w14:paraId="2FF18BDF" w14:textId="77777777" w:rsidR="00782A5D" w:rsidRPr="00142305" w:rsidRDefault="00782A5D" w:rsidP="00782A5D">
      <w:pPr>
        <w:spacing w:after="0" w:line="240" w:lineRule="auto"/>
        <w:jc w:val="both"/>
        <w:rPr>
          <w:rFonts w:ascii="Times New Roman" w:hAnsi="Times New Roman"/>
          <w:color w:val="0070C0"/>
          <w:sz w:val="16"/>
          <w:szCs w:val="16"/>
        </w:rPr>
      </w:pPr>
    </w:p>
    <w:p w14:paraId="479FC423"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57344655"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B7B1F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1 ноября 1931 года в ВВА была закончена разработка эскизного проекта Г-1 и с этого числа цикл самолетоведения приступил к разработке предварительного проекта (3054).</w:t>
      </w:r>
    </w:p>
    <w:p w14:paraId="0D8729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54DA9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ноября 1931 были завершены испытания М-34 750 нр А.А.М. (62,691).</w:t>
      </w:r>
    </w:p>
    <w:p w14:paraId="5F6E1D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E5B6B3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ноября 1931 г. завершились гос. испытания двигателя М-34 мощностью 588 кВт, положившего начало выпуска мощных отечественных авиадвигателей. (6395).</w:t>
      </w:r>
    </w:p>
    <w:p w14:paraId="342D954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C5367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1 ноября 1934 первый мотор М-34 успешно отработал 100 часов, хотя и с некоторыми по</w:t>
      </w:r>
      <w:r w:rsidRPr="005E779E">
        <w:rPr>
          <w:rFonts w:ascii="Times New Roman" w:hAnsi="Times New Roman"/>
          <w:color w:val="000000" w:themeColor="text1"/>
          <w:sz w:val="16"/>
          <w:szCs w:val="16"/>
        </w:rPr>
        <w:softHyphen/>
        <w:t>ломками. В акте записали: «В целом удовлетворительно». По нормам того времени, это давало право поста</w:t>
      </w:r>
      <w:r w:rsidRPr="005E779E">
        <w:rPr>
          <w:rFonts w:ascii="Times New Roman" w:hAnsi="Times New Roman"/>
          <w:color w:val="000000" w:themeColor="text1"/>
          <w:sz w:val="16"/>
          <w:szCs w:val="16"/>
        </w:rPr>
        <w:softHyphen/>
        <w:t>вить вопрос о внедрении в серий</w:t>
      </w:r>
      <w:r w:rsidRPr="005E779E">
        <w:rPr>
          <w:rFonts w:ascii="Times New Roman" w:hAnsi="Times New Roman"/>
          <w:color w:val="000000" w:themeColor="text1"/>
          <w:sz w:val="16"/>
          <w:szCs w:val="16"/>
        </w:rPr>
        <w:softHyphen/>
        <w:t>ное производство. В документе так</w:t>
      </w:r>
      <w:r w:rsidRPr="005E779E">
        <w:rPr>
          <w:rFonts w:ascii="Times New Roman" w:hAnsi="Times New Roman"/>
          <w:color w:val="000000" w:themeColor="text1"/>
          <w:sz w:val="16"/>
          <w:szCs w:val="16"/>
        </w:rPr>
        <w:softHyphen/>
        <w:t>же отметили, что смонтированный на опытном образце М-34 карбюратор фирмы «Зенит» (взятый от М-17) не соответствует мощности двигателя. Поэтому начали проектировать новый. В Рыбинске собрали только два М-34, поскольку в январе 1932 г. из Главного управления авиапромыш</w:t>
      </w:r>
      <w:r w:rsidRPr="005E779E">
        <w:rPr>
          <w:rFonts w:ascii="Times New Roman" w:hAnsi="Times New Roman"/>
          <w:color w:val="000000" w:themeColor="text1"/>
          <w:sz w:val="16"/>
          <w:szCs w:val="16"/>
        </w:rPr>
        <w:softHyphen/>
        <w:t>ленности (ГУАП) поступило распоря</w:t>
      </w:r>
      <w:r w:rsidRPr="005E779E">
        <w:rPr>
          <w:rFonts w:ascii="Times New Roman" w:hAnsi="Times New Roman"/>
          <w:color w:val="000000" w:themeColor="text1"/>
          <w:sz w:val="16"/>
          <w:szCs w:val="16"/>
        </w:rPr>
        <w:softHyphen/>
        <w:t>жение остановиться на сборке двух моторов, сдать все уже готовые де</w:t>
      </w:r>
      <w:r w:rsidRPr="005E779E">
        <w:rPr>
          <w:rFonts w:ascii="Times New Roman" w:hAnsi="Times New Roman"/>
          <w:color w:val="000000" w:themeColor="text1"/>
          <w:sz w:val="16"/>
          <w:szCs w:val="16"/>
        </w:rPr>
        <w:softHyphen/>
        <w:t>тали ИАМ. В мастерских ИАМ к на</w:t>
      </w:r>
      <w:r w:rsidRPr="005E779E">
        <w:rPr>
          <w:rFonts w:ascii="Times New Roman" w:hAnsi="Times New Roman"/>
          <w:color w:val="000000" w:themeColor="text1"/>
          <w:sz w:val="16"/>
          <w:szCs w:val="16"/>
        </w:rPr>
        <w:softHyphen/>
        <w:t>чалу октября 1932 г. сделали пять М-34, из них один - макетный для ЦАГИ (11848).</w:t>
      </w:r>
    </w:p>
    <w:p w14:paraId="4FC6388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72BA8F" w14:textId="77777777" w:rsidR="00193905" w:rsidRPr="005E779E" w:rsidRDefault="00193905" w:rsidP="000B7A6C">
      <w:pPr>
        <w:spacing w:after="0" w:line="240" w:lineRule="auto"/>
        <w:jc w:val="both"/>
        <w:rPr>
          <w:rFonts w:ascii="Times New Roman" w:hAnsi="Times New Roman"/>
          <w:color w:val="000000" w:themeColor="text1"/>
          <w:sz w:val="16"/>
          <w:szCs w:val="16"/>
        </w:rPr>
      </w:pPr>
      <w:r w:rsidRPr="005E779E">
        <w:rPr>
          <w:rStyle w:val="ucoz-forum-post"/>
          <w:rFonts w:ascii="Times New Roman" w:hAnsi="Times New Roman"/>
          <w:bCs/>
          <w:color w:val="000000" w:themeColor="text1"/>
          <w:sz w:val="16"/>
          <w:szCs w:val="16"/>
        </w:rPr>
        <w:t xml:space="preserve">1 ноября </w:t>
      </w:r>
      <w:r w:rsidRPr="005E779E">
        <w:rPr>
          <w:rFonts w:ascii="Times New Roman" w:hAnsi="Times New Roman"/>
          <w:color w:val="000000" w:themeColor="text1"/>
          <w:sz w:val="16"/>
          <w:szCs w:val="16"/>
        </w:rPr>
        <w:t>в 1931 году завершены государственные испытания двигателя «М-34» мощностью 588 кВт, положившего начало выпуску в СССР мощных отечественных авиадвигателей. Фактически только один серийный самолет оснащался «М-34» — тяжелый бомбардировщик «ТБ-3». Хлопот с этим было много: пришлось менять моторамы, радиаторы и многое другое. А результат оказался почти нулевым. Практически весь прирост мощности «съел» увеличившийся вес мотоустановки. Управление ВВС потребовало установить на «М-34» редуктор. Он должен был повысить эффективность работы пропеллера на тихоходном самолете. В результате появился «М-34Р». Носок картера стал отъемным, в нем разместили простенький редуктор-«гитару» из двух шестерен. Он поднял вес двигателя примерно на 70 кг. Как отметили специалисты НИИ ВВС, это было примерно в полтора раза больше, чем у иностранных конструкций с той же мощностью. Первый опытный образец «М-34Р» завершили 6 ноября 1932 г., всего их сделали семь. Полгода продолжались заводские испытания и доводка, а в апреле-мае 1933 г. прошли государственные испытания на стенде. Один из двух участвовавших в них двигателей сломался (полетела вертикальная передача к распределительному валу). Но правила испытаний разрешали замену и вторую попытку. В итоге - «удовлетворительно».С конца 1933 г. завод № 24 приступил к серийному выпуску «М-34Р», который был объявлен основной продукцией. К 1 марта 1934 г. собрали 27 штук, дюжина из которых прошла испытания. Но военной приемке первую партию из 50 двигателей предъявили в апреле. Приемщики зафиксировали превышение веса против технических условий и завышенный расход топлива, но моторы приняли. 23 мая на повторных стендовых испытаниях двигателя был получен ресурс в 500 часов - по советским меркам просто огромный (у «М-17» было 400 часов). Конечно, серийные моторы столько не работали. До переборки они нарабатывали часов 150-200. До июля 1934 г. сборка «М-34Р» шла по временному эталону; к этому времени изготовили 260 моторов этой модификации. До конца же года выпустили 830 штук (14817).</w:t>
      </w:r>
    </w:p>
    <w:p w14:paraId="066B9F93" w14:textId="77777777" w:rsidR="00193905" w:rsidRPr="005E779E" w:rsidRDefault="00193905" w:rsidP="000B7A6C">
      <w:pPr>
        <w:spacing w:after="0" w:line="240" w:lineRule="auto"/>
        <w:jc w:val="both"/>
        <w:rPr>
          <w:rFonts w:ascii="Times New Roman" w:hAnsi="Times New Roman"/>
          <w:color w:val="000000" w:themeColor="text1"/>
          <w:sz w:val="16"/>
          <w:szCs w:val="16"/>
        </w:rPr>
      </w:pPr>
    </w:p>
    <w:p w14:paraId="76BDF7FB" w14:textId="77777777" w:rsidR="00C36871" w:rsidRPr="005E779E" w:rsidRDefault="00C3687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ноября 1931 г. закончились государственные испытания первого советского мощного авиадвигателя М-34 конструкции Александра Александровича Микулина. М-34 - 12-цилиндровый У-образный жидкостного охлаждения мощностью 750 л. с., весом 582 кг. С 1933 года выпускался с редуктором /М-34Р 800 л.с./ и с нагнетателем /М-34РН 950 л. Двигатель М-34 стоял на уровне лучших иностранных двигателей и сыграл больную роль в развитии советской авиации. На самолетах с двигателями М-34 были установлены первые в СССР мировые и международные рекорды, совершены выдающиеся перелеты М.М.Громова, В.П. Чкалова и др. В 1936 году двигателю М-34 было присвоено название АМ-34 /Александр Микулин/.</w:t>
      </w:r>
    </w:p>
    <w:p w14:paraId="70DF58FC" w14:textId="77777777" w:rsidR="00C36871" w:rsidRPr="005E779E" w:rsidRDefault="00C3687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/ТВФ, 1941 № 2/ (23370).</w:t>
      </w:r>
    </w:p>
    <w:p w14:paraId="43659EAD" w14:textId="77777777" w:rsidR="00C36871" w:rsidRPr="005E779E" w:rsidRDefault="00C36871" w:rsidP="000B7A6C">
      <w:pPr>
        <w:spacing w:after="0" w:line="240" w:lineRule="auto"/>
        <w:jc w:val="both"/>
        <w:rPr>
          <w:rFonts w:ascii="Times New Roman" w:hAnsi="Times New Roman"/>
          <w:color w:val="000000" w:themeColor="text1"/>
          <w:sz w:val="16"/>
          <w:szCs w:val="16"/>
        </w:rPr>
      </w:pPr>
    </w:p>
    <w:p w14:paraId="69D5708A"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3C4B606D"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C3584A9" w14:textId="77777777" w:rsidR="00346741" w:rsidRPr="005E779E" w:rsidRDefault="0034674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К 1 ноября 1931 г. на ХПЗ были готовы первые три боевые машины, получившие обозначение БТ-2, а полномасштабный выпуск начался в следующем году. Внедрение БТ-2 в производство сопровождалось многочисленными проблемами. Конструкцию танка Кристи, по сути, являвшегося экспери</w:t>
      </w:r>
      <w:r w:rsidRPr="005E779E">
        <w:rPr>
          <w:rFonts w:ascii="Times New Roman" w:hAnsi="Times New Roman"/>
          <w:color w:val="000000" w:themeColor="text1"/>
          <w:sz w:val="16"/>
          <w:szCs w:val="16"/>
          <w:lang w:eastAsia="ru-RU" w:bidi="ru-RU"/>
        </w:rPr>
        <w:softHyphen/>
        <w:t>ментальной машиной, пришлось приспосабливать к требованиям массового производства. Как следствие, из 600 танков, запланированных на 1932 г., завод сдал лишь 396. Всего же в те</w:t>
      </w:r>
      <w:r w:rsidRPr="005E779E">
        <w:rPr>
          <w:rFonts w:ascii="Times New Roman" w:hAnsi="Times New Roman"/>
          <w:color w:val="000000" w:themeColor="text1"/>
          <w:sz w:val="16"/>
          <w:szCs w:val="16"/>
          <w:lang w:eastAsia="ru-RU" w:bidi="ru-RU"/>
        </w:rPr>
        <w:softHyphen/>
        <w:t>чение 1932—1933 гг. ХПЗ изготовил 620 танков БТ-2 (23180).</w:t>
      </w:r>
    </w:p>
    <w:p w14:paraId="2C2F5336" w14:textId="77777777" w:rsidR="00346741" w:rsidRPr="005E779E" w:rsidRDefault="00346741" w:rsidP="000B7A6C">
      <w:pPr>
        <w:spacing w:after="0" w:line="240" w:lineRule="auto"/>
        <w:jc w:val="both"/>
        <w:rPr>
          <w:rFonts w:ascii="Times New Roman" w:hAnsi="Times New Roman"/>
          <w:color w:val="000000" w:themeColor="text1"/>
          <w:sz w:val="16"/>
          <w:szCs w:val="16"/>
        </w:rPr>
      </w:pPr>
    </w:p>
    <w:p w14:paraId="40A575EE" w14:textId="77777777" w:rsidR="00782A5D" w:rsidRPr="00142305" w:rsidRDefault="00782A5D" w:rsidP="00782A5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1 ноября 1931 г. на ХПЗ были выпущены всего три БТ, ко</w:t>
      </w:r>
      <w:r w:rsidRPr="00142305">
        <w:rPr>
          <w:rFonts w:ascii="Times New Roman" w:hAnsi="Times New Roman"/>
          <w:color w:val="0070C0"/>
          <w:sz w:val="16"/>
          <w:szCs w:val="16"/>
        </w:rPr>
        <w:softHyphen/>
        <w:t>торые и были показаны на параде 7 ноя</w:t>
      </w:r>
      <w:r w:rsidRPr="00142305">
        <w:rPr>
          <w:rFonts w:ascii="Times New Roman" w:hAnsi="Times New Roman"/>
          <w:color w:val="0070C0"/>
          <w:sz w:val="16"/>
          <w:szCs w:val="16"/>
        </w:rPr>
        <w:softHyphen/>
        <w:t>бря 1931 года. К изготовлению первых шести проб</w:t>
      </w:r>
      <w:r w:rsidRPr="00142305">
        <w:rPr>
          <w:rFonts w:ascii="Times New Roman" w:hAnsi="Times New Roman"/>
          <w:color w:val="0070C0"/>
          <w:sz w:val="16"/>
          <w:szCs w:val="16"/>
        </w:rPr>
        <w:softHyphen/>
        <w:t>ных машин БТ-2 планировалось присту</w:t>
      </w:r>
      <w:r w:rsidRPr="00142305">
        <w:rPr>
          <w:rFonts w:ascii="Times New Roman" w:hAnsi="Times New Roman"/>
          <w:color w:val="0070C0"/>
          <w:sz w:val="16"/>
          <w:szCs w:val="16"/>
        </w:rPr>
        <w:softHyphen/>
        <w:t>пить 15 июня с таким расчетом, чтобы сдать их к 1 ноября. Причем все эти танки имели корпуса и башни из обычной ста</w:t>
      </w:r>
      <w:r w:rsidRPr="00142305">
        <w:rPr>
          <w:rFonts w:ascii="Times New Roman" w:hAnsi="Times New Roman"/>
          <w:color w:val="0070C0"/>
          <w:sz w:val="16"/>
          <w:szCs w:val="16"/>
        </w:rPr>
        <w:softHyphen/>
        <w:t>ли. (Всего изготовили 13 таких корпусов и 66 башен, так как завод не сумел сразу освоить их производство из брони. В по</w:t>
      </w:r>
      <w:r w:rsidRPr="00142305">
        <w:rPr>
          <w:rFonts w:ascii="Times New Roman" w:hAnsi="Times New Roman"/>
          <w:color w:val="0070C0"/>
          <w:sz w:val="16"/>
          <w:szCs w:val="16"/>
        </w:rPr>
        <w:softHyphen/>
        <w:t>следующем часть из них заменили на броневые.) Планом на 1931 год предусматривался выпуск 50 БТ-2, но реально построили только три вышеупомянутых машины, которые к тому же не были приняты военной приемкой.</w:t>
      </w:r>
    </w:p>
    <w:p w14:paraId="26AA0095" w14:textId="77777777" w:rsidR="00782A5D" w:rsidRPr="00142305" w:rsidRDefault="00782A5D" w:rsidP="00782A5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 освоении серийного производст</w:t>
      </w:r>
      <w:r w:rsidRPr="00142305">
        <w:rPr>
          <w:rFonts w:ascii="Times New Roman" w:hAnsi="Times New Roman"/>
          <w:color w:val="0070C0"/>
          <w:sz w:val="16"/>
          <w:szCs w:val="16"/>
        </w:rPr>
        <w:softHyphen/>
        <w:t>ва на заводе столкнулись со значитель</w:t>
      </w:r>
      <w:r w:rsidRPr="00142305">
        <w:rPr>
          <w:rFonts w:ascii="Times New Roman" w:hAnsi="Times New Roman"/>
          <w:color w:val="0070C0"/>
          <w:sz w:val="16"/>
          <w:szCs w:val="16"/>
        </w:rPr>
        <w:softHyphen/>
        <w:t>ными трудностями, которых никто не ждал. Прежде всего, имевшаяся произ</w:t>
      </w:r>
      <w:r w:rsidRPr="00142305">
        <w:rPr>
          <w:rFonts w:ascii="Times New Roman" w:hAnsi="Times New Roman"/>
          <w:color w:val="0070C0"/>
          <w:sz w:val="16"/>
          <w:szCs w:val="16"/>
        </w:rPr>
        <w:softHyphen/>
        <w:t>водственная база ХПЗ не была рассчи</w:t>
      </w:r>
      <w:r w:rsidRPr="00142305">
        <w:rPr>
          <w:rFonts w:ascii="Times New Roman" w:hAnsi="Times New Roman"/>
          <w:color w:val="0070C0"/>
          <w:sz w:val="16"/>
          <w:szCs w:val="16"/>
        </w:rPr>
        <w:softHyphen/>
        <w:t>тана на изготовление столь большого количества танков, а ввод в строй но</w:t>
      </w:r>
      <w:r w:rsidRPr="00142305">
        <w:rPr>
          <w:rFonts w:ascii="Times New Roman" w:hAnsi="Times New Roman"/>
          <w:color w:val="0070C0"/>
          <w:sz w:val="16"/>
          <w:szCs w:val="16"/>
        </w:rPr>
        <w:softHyphen/>
        <w:t>вых цехов задерживался не только из-за отсутствия необходимого оборудова</w:t>
      </w:r>
      <w:r w:rsidRPr="00142305">
        <w:rPr>
          <w:rFonts w:ascii="Times New Roman" w:hAnsi="Times New Roman"/>
          <w:color w:val="0070C0"/>
          <w:sz w:val="16"/>
          <w:szCs w:val="16"/>
        </w:rPr>
        <w:softHyphen/>
        <w:t>ния (которое в основном закупалось за границей), но и стройматериалов — на</w:t>
      </w:r>
      <w:r w:rsidRPr="00142305">
        <w:rPr>
          <w:rFonts w:ascii="Times New Roman" w:hAnsi="Times New Roman"/>
          <w:color w:val="0070C0"/>
          <w:sz w:val="16"/>
          <w:szCs w:val="16"/>
        </w:rPr>
        <w:softHyphen/>
        <w:t>пример цемента, кстати, тоже импорт</w:t>
      </w:r>
      <w:r w:rsidRPr="00142305">
        <w:rPr>
          <w:rFonts w:ascii="Times New Roman" w:hAnsi="Times New Roman"/>
          <w:color w:val="0070C0"/>
          <w:sz w:val="16"/>
          <w:szCs w:val="16"/>
        </w:rPr>
        <w:softHyphen/>
        <w:t>ного. Возникли проблемы с разработ</w:t>
      </w:r>
      <w:r w:rsidRPr="00142305">
        <w:rPr>
          <w:rFonts w:ascii="Times New Roman" w:hAnsi="Times New Roman"/>
          <w:color w:val="0070C0"/>
          <w:sz w:val="16"/>
          <w:szCs w:val="16"/>
        </w:rPr>
        <w:softHyphen/>
        <w:t>кой и внедрением техпроцесса — танки Кристи не были рассчитаны на массо</w:t>
      </w:r>
      <w:r w:rsidRPr="00142305">
        <w:rPr>
          <w:rFonts w:ascii="Times New Roman" w:hAnsi="Times New Roman"/>
          <w:color w:val="0070C0"/>
          <w:sz w:val="16"/>
          <w:szCs w:val="16"/>
        </w:rPr>
        <w:softHyphen/>
        <w:t>вый выпуск, фактически это были опытные образцы, к тому же изготов</w:t>
      </w:r>
      <w:r w:rsidRPr="00142305">
        <w:rPr>
          <w:rFonts w:ascii="Times New Roman" w:hAnsi="Times New Roman"/>
          <w:color w:val="0070C0"/>
          <w:sz w:val="16"/>
          <w:szCs w:val="16"/>
        </w:rPr>
        <w:softHyphen/>
        <w:t>ленные высококвалифицированными рабочимию</w:t>
      </w:r>
    </w:p>
    <w:p w14:paraId="62E514CA" w14:textId="77777777" w:rsidR="00782A5D" w:rsidRPr="00142305" w:rsidRDefault="00782A5D" w:rsidP="00782A5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Были трудности и в других областях. Так, для установки на танки БТ предназ</w:t>
      </w:r>
      <w:r w:rsidRPr="00142305">
        <w:rPr>
          <w:rFonts w:ascii="Times New Roman" w:hAnsi="Times New Roman"/>
          <w:color w:val="0070C0"/>
          <w:sz w:val="16"/>
          <w:szCs w:val="16"/>
        </w:rPr>
        <w:softHyphen/>
        <w:t>начались авиационные моторы М-5 (яв</w:t>
      </w:r>
      <w:r w:rsidRPr="00142305">
        <w:rPr>
          <w:rFonts w:ascii="Times New Roman" w:hAnsi="Times New Roman"/>
          <w:color w:val="0070C0"/>
          <w:sz w:val="16"/>
          <w:szCs w:val="16"/>
        </w:rPr>
        <w:softHyphen/>
        <w:t>лявшиеся копией американского двига</w:t>
      </w:r>
      <w:r w:rsidRPr="00142305">
        <w:rPr>
          <w:rFonts w:ascii="Times New Roman" w:hAnsi="Times New Roman"/>
          <w:color w:val="0070C0"/>
          <w:sz w:val="16"/>
          <w:szCs w:val="16"/>
        </w:rPr>
        <w:softHyphen/>
        <w:t>теля «Либерти»), уже снятые с произ</w:t>
      </w:r>
      <w:r w:rsidRPr="00142305">
        <w:rPr>
          <w:rFonts w:ascii="Times New Roman" w:hAnsi="Times New Roman"/>
          <w:color w:val="0070C0"/>
          <w:sz w:val="16"/>
          <w:szCs w:val="16"/>
        </w:rPr>
        <w:softHyphen/>
        <w:t>водства (25009).</w:t>
      </w:r>
    </w:p>
    <w:p w14:paraId="095B8039" w14:textId="77777777" w:rsidR="00782A5D" w:rsidRPr="00142305" w:rsidRDefault="00782A5D" w:rsidP="00782A5D">
      <w:pPr>
        <w:spacing w:after="0" w:line="240" w:lineRule="auto"/>
        <w:jc w:val="both"/>
        <w:rPr>
          <w:rFonts w:ascii="Times New Roman" w:hAnsi="Times New Roman"/>
          <w:color w:val="0070C0"/>
          <w:sz w:val="16"/>
          <w:szCs w:val="16"/>
        </w:rPr>
      </w:pPr>
    </w:p>
    <w:p w14:paraId="32BEFB48" w14:textId="77777777" w:rsidR="00513C11" w:rsidRPr="005E779E" w:rsidRDefault="00513C11"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1 ноября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Протокол заседания Политбюро ЦК ВКП(б) № 72. 10. О развертывании собственного морского судостроения в 1932/34 гг. (ПБ от 5 октября 1931, пр. № 67, п. 3) (Орджоникидзе, Янсон, Розенгольц). (Политбюро... Т. 2. С. 236) (12416).</w:t>
      </w:r>
    </w:p>
    <w:p w14:paraId="63BAD025" w14:textId="77777777" w:rsidR="00513C11" w:rsidRPr="005E779E" w:rsidRDefault="00513C11" w:rsidP="000B7A6C">
      <w:pPr>
        <w:spacing w:after="0" w:line="240" w:lineRule="auto"/>
        <w:jc w:val="both"/>
        <w:rPr>
          <w:rFonts w:ascii="Times New Roman" w:hAnsi="Times New Roman"/>
          <w:color w:val="000000" w:themeColor="text1"/>
          <w:sz w:val="16"/>
          <w:szCs w:val="16"/>
          <w:u w:color="002060"/>
        </w:rPr>
      </w:pPr>
    </w:p>
    <w:p w14:paraId="10D0173A" w14:textId="77777777" w:rsidR="00513C11" w:rsidRPr="005E779E" w:rsidRDefault="00513C11"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1 ноября 1931 </w:t>
      </w:r>
      <w:r w:rsidRPr="005E779E">
        <w:rPr>
          <w:rFonts w:ascii="Times New Roman" w:hAnsi="Times New Roman"/>
          <w:color w:val="000000" w:themeColor="text1"/>
          <w:sz w:val="16"/>
          <w:szCs w:val="16"/>
        </w:rPr>
        <w:t>Политбюро ЦК ВКП (б) утвердило комиссию для приемки Магнитогорского и Кузнецкого заводов (12265).</w:t>
      </w:r>
    </w:p>
    <w:p w14:paraId="1A17C23F" w14:textId="77777777" w:rsidR="00513C11" w:rsidRPr="005E779E" w:rsidRDefault="00513C1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1C83AAE1" w14:textId="77777777" w:rsidR="00193905" w:rsidRPr="005E779E" w:rsidRDefault="00193905" w:rsidP="000B7A6C">
      <w:pPr>
        <w:spacing w:after="0" w:line="240" w:lineRule="auto"/>
        <w:jc w:val="both"/>
        <w:rPr>
          <w:rFonts w:ascii="Times New Roman" w:hAnsi="Times New Roman"/>
          <w:color w:val="000000" w:themeColor="text1"/>
          <w:sz w:val="16"/>
          <w:szCs w:val="16"/>
        </w:rPr>
      </w:pPr>
      <w:r w:rsidRPr="005E779E">
        <w:rPr>
          <w:rStyle w:val="ucoz-forum-post"/>
          <w:rFonts w:ascii="Times New Roman" w:hAnsi="Times New Roman"/>
          <w:bCs/>
          <w:color w:val="000000" w:themeColor="text1"/>
          <w:sz w:val="16"/>
          <w:szCs w:val="16"/>
        </w:rPr>
        <w:t xml:space="preserve">1 ноября </w:t>
      </w:r>
      <w:r w:rsidRPr="005E779E">
        <w:rPr>
          <w:rFonts w:ascii="Times New Roman" w:hAnsi="Times New Roman"/>
          <w:color w:val="000000" w:themeColor="text1"/>
          <w:sz w:val="16"/>
          <w:szCs w:val="16"/>
        </w:rPr>
        <w:t>в 1931 году на базе цеха Надеждинского металлургического завода на Урале был образован Всесоюзный государственный трест. Ныне ФГУП "Серовский механический завод" (Свердловская область) - одно из крупнейших современных предприятий Урала по производству противоаварийного инструмента для геолого-разведочных работ. Первой продукцией завода было выполнение заказов для наркоматов путей сообщения, авиации, земледелия. С 1946 года завод приступил к производству деталей бурового инструмента для геологоразведки, нефтяников, и газовиков и стал лидирующим предприятием в стране по производству бурового и противоаварийного инструмента для геологоразведочных работ. Сегодня ФГУП "Серовский механический завод" - крупное современное предприятие. Удачное расположение его в индустриальном центре севера Уральского региона - городе Серове с развитой сетью железных и автомобильных дорог - позволяет мобильно и продуктивно взаимодействовать с партнерами. В данный момент предприятие производит инструмент для нефтедобывающей и горнорудной промышленности, геологоразведки, электромонтажные изделия (14817).</w:t>
      </w:r>
    </w:p>
    <w:p w14:paraId="023F31DD" w14:textId="77777777" w:rsidR="00193905" w:rsidRPr="005E779E" w:rsidRDefault="00193905" w:rsidP="000B7A6C">
      <w:pPr>
        <w:spacing w:after="0" w:line="240" w:lineRule="auto"/>
        <w:jc w:val="both"/>
        <w:rPr>
          <w:rFonts w:ascii="Times New Roman" w:hAnsi="Times New Roman"/>
          <w:color w:val="000000" w:themeColor="text1"/>
          <w:sz w:val="16"/>
          <w:szCs w:val="16"/>
        </w:rPr>
      </w:pPr>
    </w:p>
    <w:p w14:paraId="4D68A0A2" w14:textId="07B653F8"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 ноября 1931 г. в соответствии с пост. ВСНХ и приказом по снарядному тресту кузнечно-прессовый цех Надеждинского металлургического комбината «Востоксталь» выделен в самостоятельный механический завод № 76 (Завод № 76 </w:t>
      </w:r>
      <w:r w:rsidRPr="005E779E">
        <w:rPr>
          <w:rFonts w:ascii="Times New Roman" w:hAnsi="Times New Roman"/>
          <w:color w:val="000000" w:themeColor="text1"/>
          <w:sz w:val="16"/>
          <w:szCs w:val="16"/>
          <w:lang w:val="en-US"/>
        </w:rPr>
        <w:t>BCHX</w:t>
      </w:r>
      <w:r w:rsidRPr="005E779E">
        <w:rPr>
          <w:rFonts w:ascii="Times New Roman" w:hAnsi="Times New Roman"/>
          <w:color w:val="000000" w:themeColor="text1"/>
          <w:sz w:val="16"/>
          <w:szCs w:val="16"/>
        </w:rPr>
        <w:t>, НКОП, НКБ, ФГУП «Серовский механический завод» Росбоеприпаса /г. Надеждинск,</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Серов Свердловской обл./ /624981</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Серов Свердловской обл. ул. Агломератчиков, 5 тел. 22-444,22-566/).</w:t>
      </w:r>
    </w:p>
    <w:p w14:paraId="41E74D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Производство буферных тарелок, комплектов вагонной сцепки, заготовок авиацилиндров, плугов, деталей к тракторам.</w:t>
      </w:r>
    </w:p>
    <w:p w14:paraId="618C99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Приказом № 91 от 13.03.1937 г. утвержден Устав ГС завода № 76 4ГУ НКОП, по пр. № 0180 от 15.08.1937 г. передан в новое 13ГУ. В 02.1939 г. завод № 76 13ГУ НКОП передан в ведение 13ГУ НКБ, в 12.1942-09.1944 г. - в ведении 4ГУНКБ.</w:t>
      </w:r>
    </w:p>
    <w:p w14:paraId="69DFFA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Приказом НКОП № 0025 от 4.02.1937 г. заводу предписано к 1.01.1938 г. создать мощности по выпуску корпусов 122-мм снарядов - 600 тыс. шт. в год, химических - 1 млн. шт. Пр. № 95с от 16.03.1938 г. заводу поручено изготовить к 1.05.1938 г. опытныю партию корпусов 122-мм химических снарядов НОВ.</w:t>
      </w:r>
    </w:p>
    <w:p w14:paraId="50A465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годы войны - производство осколочных, фугасных и дымовых артиллерийских снарядов, деталей к БМ-13, авиацилиндров.</w:t>
      </w:r>
    </w:p>
    <w:p w14:paraId="4DD8DA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войны выпуск оборонной продукции сокращен; освоено производство бурового инструмента (более 200 наименований). В 1955 г. создан новый механический цех для выпуска пилорам. В 1970 г. в цехе № 2 создан участок по выпуску бытовых светильников, который затем преобразован в цех ТНП. Имелись цеха № 11, № 14.</w:t>
      </w:r>
    </w:p>
    <w:p w14:paraId="134103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Производство: (1990-е)- буровой инструмент; (2000-е)- задвижки, вентили, фланцы.</w:t>
      </w:r>
    </w:p>
    <w:p w14:paraId="402D7F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9.07.1996 г. завод вошел во вновь созданную ФПГ «Оборонметхимпром». По Указу Президента РФ № 1009 от 4.08.2004 г. вошел в число стратегических оборонных предприятий.</w:t>
      </w:r>
    </w:p>
    <w:p w14:paraId="2C8B05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Численность персонала (12.1942 г.)- 4689 чел.</w:t>
      </w:r>
      <w:r w:rsidRPr="005E779E">
        <w:rPr>
          <w:rFonts w:ascii="Times New Roman" w:hAnsi="Times New Roman"/>
          <w:color w:val="000000" w:themeColor="text1"/>
          <w:sz w:val="16"/>
          <w:szCs w:val="16"/>
          <w:vertAlign w:val="superscript"/>
        </w:rPr>
        <w:t>132</w:t>
      </w:r>
    </w:p>
    <w:p w14:paraId="6C5BF92B" w14:textId="778ADD15"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И.О. директора (11.1931 г.-)- А.И. Миляев. Директор (-22.02.1937 г.)- К.П. Хотулев, (22.02.1937-03.1938 г.-)- Д.А. Ирлин, (1939-42 г.)- М.Н. Алексеев, (1942-43 г.)- В.Д. Кныш, (1943-44 г.)- В.Я. Клименков, (1944-45 г.)-</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Г.Ф. Черноус, (1990-е-2005 г.-)- А.А. Никитин.</w:t>
      </w:r>
    </w:p>
    <w:p w14:paraId="1F72C6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директора (06.1938 г.)- С.П. Казаков.</w:t>
      </w:r>
    </w:p>
    <w:p w14:paraId="114575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инженер (06.1938 г.)- С.П. Казаков, Ж.Н. Шуплецов.</w:t>
      </w:r>
    </w:p>
    <w:p w14:paraId="30B939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технолог- В.В. Пфлу г.</w:t>
      </w:r>
    </w:p>
    <w:p w14:paraId="4CF289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Производство; цилиндры авиационного мотора АМ-34 (1937); пилорамы ЛРМ-64 (1955-); буровой инструмент.</w:t>
      </w:r>
      <w:r w:rsidRPr="005E779E">
        <w:rPr>
          <w:rFonts w:ascii="Times New Roman" w:hAnsi="Times New Roman"/>
          <w:color w:val="000000" w:themeColor="text1"/>
          <w:sz w:val="16"/>
          <w:szCs w:val="16"/>
          <w:vertAlign w:val="superscript"/>
        </w:rPr>
        <w:t>101</w:t>
      </w:r>
    </w:p>
    <w:p w14:paraId="0F8792F9" w14:textId="77777777" w:rsidR="00193905" w:rsidRPr="005E779E" w:rsidRDefault="00193905"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Надеждинский металлургической завод, Надеждинский металлургический комбинат «Востоксталь», Серовский металлургический комбинат, ОАО «Серовский металлургический завод» / г. Надеждинск, г. Серов Свердловской обл./</w:t>
      </w:r>
    </w:p>
    <w:p w14:paraId="5F1E1B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Основан в 1894-96 г. как Надеждинский металлургический завод, самый крупный завод на Урале. До революции- производство проката, в основном, рельсов.</w:t>
      </w:r>
    </w:p>
    <w:p w14:paraId="211483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пост. ВСНХ и приказом по снарядному тресту от 1.11.1931 г. кузнечно-прессовый цех Надеждинского металлургического комбината «Востоксталь» выделен в самостоятельный механический завод № 76.</w:t>
      </w:r>
    </w:p>
    <w:p w14:paraId="2B1738A1" w14:textId="17460F52"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Производство высококачественной стали (1960-е</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w:t>
      </w:r>
    </w:p>
    <w:p w14:paraId="34E43E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ОАО «Серовский металлургический завод» входит в УГМК (2003 г.) (11982).</w:t>
      </w:r>
    </w:p>
    <w:p w14:paraId="3331F4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E8FF03E"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130030B3"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95903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 2 ноября по 20 декабря 1931 более совершенный вариант ТШ-2 с улучшенным бронированием и условиями охлаждения мотора - ТШ-2 второй вариант (№ 21 по плану ЦКБ) прошел испытания.</w:t>
      </w:r>
    </w:p>
    <w:p w14:paraId="36D58E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Штурмовик был вооружен двумя синхронными пулеметами ПВ-1 с боезапасом 1500 патронов. Подкрылье-вые пулеметы с целью улучшения аэродинамики располагались в утолщенной части нижнего крыла. На турели ТУР-7 был установлен пулемет ПВ-1 с запасом 600 патронов.</w:t>
      </w:r>
    </w:p>
    <w:p w14:paraId="39D968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скорость с использованием взлетного режима работы мотора возросла до 213 км/ч. Скороподъемность самолета оставалась, как и прежде, низкой - 3,5 м/с, а полное время набора высоты 3000 м составляло 24 минуты. Дальность полета -около 500 км. Время выполнения виража - 17-17,5 с. Разбег 160-180 м, пробег - 120-130 м. Взлетный вес -3225 кг. Вес брони - 532 кг.</w:t>
      </w:r>
    </w:p>
    <w:p w14:paraId="649A25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схеме самолет представлял собой биплан с выносом вперед верхнего крыла. Коробка планов соединялась М-образными стойками и была расчалена стальными лентами. Элероны были на верхних и нижних плоскостях.</w:t>
      </w:r>
    </w:p>
    <w:p w14:paraId="08AFF3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Задняя часть фюзеляжа выполнялась из стальных сварных труб с расчалками. Плоскости деревянные, покрытые полотном. Шасси из стальных труб. Амортизаторы из резиновых колец. Костыль управляемый.</w:t>
      </w:r>
    </w:p>
    <w:p w14:paraId="61228B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Броня служила остовом фюзеляжа. Забронированы были экипаж, основные бензобаки и маслобаки, мотор, радиатор.</w:t>
      </w:r>
    </w:p>
    <w:p w14:paraId="055A44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Как отмечалось в отчете по госиспытаниям, мотор в передней нижней части не был забронирован. В то же время радиатор был прикрыт регулируемыми жалюзи. Не был забронирован и пол кабины пилота.</w:t>
      </w:r>
    </w:p>
    <w:p w14:paraId="730803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Обзор вперед и вниз закрывался капотом мотора, вверх - верхним крылом, в стороны - боковинками брони у козырька. У летнаба был тоже плохой обзор.</w:t>
      </w:r>
    </w:p>
    <w:p w14:paraId="156D8B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результате, как отмечали военные летчики, заход на цель для второй атаки был затруднителен.</w:t>
      </w:r>
    </w:p>
    <w:p w14:paraId="2698AD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Тепловой режим мотора при использовании этиленгликоля был в норме (9649).</w:t>
      </w:r>
    </w:p>
    <w:p w14:paraId="4A39A8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Согласно утвержденной правительством программы для воронежского авиазавода № 16 последний в течение 1932 г. должен был изготовить 70 штурмовиков ТШ-2 с мотором М-17 (тот же BMW-6, но производства завода № 26 в г. Рыбинске по лицензии) для производства полномасштабных войсковых испытаний.</w:t>
      </w:r>
    </w:p>
    <w:p w14:paraId="210296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силу специфических особенностей мотора М-17 в серии возникли проблемы с его охлаждением, устранить которые быстро не удалось. Соответственно, заводские и государственные испытания первого ТШ-2 М-17 - эталона для серии, затянулись (9649).</w:t>
      </w:r>
    </w:p>
    <w:p w14:paraId="7B5E83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3DEAC07" w14:textId="77777777" w:rsidR="006D0E5C" w:rsidRPr="005E779E" w:rsidRDefault="006D0E5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Cо 2-го ноября по 20-е декабря 1931 года два опытных ТШ-2, которые проходили испытания.</w:t>
      </w:r>
    </w:p>
    <w:p w14:paraId="407A9123" w14:textId="77777777" w:rsidR="006D0E5C" w:rsidRPr="005E779E" w:rsidRDefault="006D0E5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ТШ-2 (ЦКБ № 21), для улучшения летных качеств пулеметные батареи, из четырех ПВ-1 каждая, были убраны в нижние крылья путем местного утолщения их профиля. На турели ТУР-7 был установлен пулемет ПВ-1 с запасом 600 патронов. Был отлажен тепловой режим, улучшено бронирование. После этих переделок летные качества улучшились/</w:t>
      </w:r>
    </w:p>
    <w:p w14:paraId="391ECAA6" w14:textId="77777777" w:rsidR="006D0E5C" w:rsidRPr="005E779E" w:rsidRDefault="006D0E5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Этот вариант штурмовика показывал скорость 213 км/час, потолок – 4220 метров, дальность полета – около 500 км, обладал несколько лучшими взлетно-посадочными и маневренными качествами, выполнял вираж за 15-17 секунд.</w:t>
      </w:r>
    </w:p>
    <w:p w14:paraId="6D512176" w14:textId="77777777" w:rsidR="006D0E5C" w:rsidRPr="005E779E" w:rsidRDefault="006D0E5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схеме ТШ-2 представлял собой биплан с выносом вперед верхнего крыла. Деревянный каркас верхнего крыла и дюралюминиевый каркас нижнего покрывались полотном. Задняя часть фюзеляжа изготавливалась из сварных стальных труб с расчалками. Шасси также были выполнены из стальных труб, амортизаторы колес - из резиновых пластин. Броня служила остовом фюзеляжа. Забронированы были экипаж, основные бензобаки и маслобаки, двигатель, радиатор.</w:t>
      </w:r>
    </w:p>
    <w:p w14:paraId="5C7D9FEE" w14:textId="77777777" w:rsidR="006D0E5C" w:rsidRPr="005E779E" w:rsidRDefault="006D0E5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испытаниях штурмовика военные летчики отмечали, что обзор вперед и вниз закрывался капотом двигателя, вверх – верхним крылом, в стороны – боковинками брони у козырька. У летнаба тоже был плохой обзор. В результате заход штурмовика на цель для атаки был затруднителен.</w:t>
      </w:r>
    </w:p>
    <w:p w14:paraId="5A6D553C" w14:textId="77777777" w:rsidR="006D0E5C" w:rsidRPr="005E779E" w:rsidRDefault="006D0E5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Согласно утвержденной Правительством программы Воронежский авиазавод № 16 в течение 1932 года должен был изготовить 70 штурмовиков для производства полномасштабный войсковых испытаний. На серийных машинах устанавливали тогда еще новые и не вполне освоенные двигатели М-17 (лицензионный вариант ВMW-6, мощностью 500/680 л.с., производства Рыбинского завода № 26). Из-за специфических особенностей двигателей были проблемы с их охлаждением, устранить которые быстро не удалось. Соответственно, заводские и Государственные испытания первого ТШ-2 М-17 – эталона для серии, затянулись. Затем было принято решение временно ограничить постройку войсковой серии десятью машинами.</w:t>
      </w:r>
    </w:p>
    <w:p w14:paraId="2F6BCE97" w14:textId="77777777" w:rsidR="006D0E5C" w:rsidRPr="005E779E" w:rsidRDefault="006D0E5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окончания заводских испытаний штурмовик был передан в НИИ ВВС для Государственных испытаний. Однако, в силу отмеченных выше недостатков, военные не смогли принять штурмовик в качестве эталона для серии. В результате в конце 1932 года изготовление серии было прекращено на первых десяти экземплярах, поскольку в это время уже велись работы по проектированию штурмовика-моноплана ТШ-3 вместо бипланной схемы. Об этом штурмовике будет рассказано ниже.</w:t>
      </w:r>
    </w:p>
    <w:p w14:paraId="55E150FE" w14:textId="77777777" w:rsidR="006D0E5C" w:rsidRPr="005E779E" w:rsidRDefault="006D0E5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1932 году на одном из ТШ-2 в качестве эксперимента был установлен двигатель М-27 (W-образный) с большим радиатором внизу. Испытывал этот экземпляр Ю.И. Пионтковский. Результаты оказались не лучше прежних (18293).</w:t>
      </w:r>
    </w:p>
    <w:p w14:paraId="3FED0DD2" w14:textId="77777777" w:rsidR="006D0E5C" w:rsidRPr="005E779E" w:rsidRDefault="006D0E5C" w:rsidP="000B7A6C">
      <w:pPr>
        <w:spacing w:after="0" w:line="240" w:lineRule="auto"/>
        <w:jc w:val="both"/>
        <w:rPr>
          <w:rFonts w:ascii="Times New Roman" w:hAnsi="Times New Roman"/>
          <w:color w:val="000000" w:themeColor="text1"/>
          <w:sz w:val="16"/>
          <w:szCs w:val="16"/>
        </w:rPr>
      </w:pPr>
    </w:p>
    <w:p w14:paraId="0437FA33" w14:textId="77777777" w:rsidR="00193905" w:rsidRPr="005E779E" w:rsidRDefault="00193905"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 2-го ноября по 20-е декабря 1931 года проходили испытания двух ТШ-2. На ТШ-2 (ЦКБ № 21), для улучшения летных качеств пулеметные батареи, из четырех ПВ-1 каждая, были убраны в нижние крылья путем местного утолщения их профиля. На турели ТУР-7 был установлен пулемет ПВ-1 с запасом 600 патронов. Был отлажен тепловой режим, улучшено бронирование. После этих переделок летные качества улучшились. Завод № 39 изготовил два опытных ТШ-2. Этот вариант штурмовика показывал скорость 213 км/час, потолок – 4220 метров, дальность полета – около 500 км, обладал несколько лучшими взлетно-посадочными и маневренными качествами, выполнял вираж за 15-17 секунд.</w:t>
      </w:r>
    </w:p>
    <w:p w14:paraId="72861FE3" w14:textId="77777777" w:rsidR="00193905" w:rsidRPr="005E779E" w:rsidRDefault="00193905"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схеме ТШ-2 представлял собой биплан с выносом вперед верхнего крыла. Деревянный каркас верхнего крыла и дюралюминиевый каркас нижнего покрывались полотном. Задняя часть фюзеляжа изготавливалась из сварных стальных труб с расчалками. Шасси также были выполнены из стальных труб, амортизаторы колес - из резиновых пластин. Броня служила остовом фюзеляжа. Забронированы были экипаж, основные бензобаки и маслобаки, двигатель, радиатор.</w:t>
      </w:r>
    </w:p>
    <w:p w14:paraId="1E822B7F" w14:textId="77777777" w:rsidR="00193905" w:rsidRPr="005E779E" w:rsidRDefault="00193905"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испытаниях штурмовика военные летчики отмечали, что обзор вперед и вниз закрывался капотом двигателя, вверх – верхним крылом, в стороны – боковинками брони у козырька. У летнаба тоже был плохой обзор. В результате заход штурмовика на цель для атаки был затруднителен.</w:t>
      </w:r>
    </w:p>
    <w:p w14:paraId="02CB6D80" w14:textId="77777777" w:rsidR="00193905" w:rsidRPr="005E779E" w:rsidRDefault="00193905"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Согласно утвержденной Правительством программы Воронежский авиазавод № 16 в течение 1932 года должен был изготовить 70 штурмовиков для производства полномасштабный войсковых испытаний. На серийных машинах устанавливали тогда еще новые и не вполне освоенные двигатели М-17 (лицензионный вариант ВMW-6, мощностью 500/680 л.с., производства Рыбинского завода № 26). Из-за специфических особенностей двигателей были проблемы с их охлаждением, устранить которые быстро не удалось. Соответственно, заводские и Государственные испытания первого ТШ-2 М-17 – эталона для серии, затянулись. Затем было принято решение временно ограничить постройку войсковой серии десятью машинами.</w:t>
      </w:r>
    </w:p>
    <w:p w14:paraId="51346A1E" w14:textId="77777777" w:rsidR="00193905" w:rsidRPr="005E779E" w:rsidRDefault="00193905"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После окончания заводских испытаний штурмовик был передан в НИИ ВВС для Государственных испытаний. Однако, в силу отмеченных выше недостатков, военные не смогли принять штурмовик в качестве эталона для серии. В результате в конце 1932 года изготовление серии было прекращено на первых десяти экземплярах, поскольку в это время уже велись работы по проектированию штурмовика-моноплана ТШ-3 вместо бипланной схемы.</w:t>
      </w:r>
    </w:p>
    <w:p w14:paraId="62D7D797" w14:textId="77777777" w:rsidR="00193905" w:rsidRPr="005E779E" w:rsidRDefault="00193905"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1932 году на одном из ТШ-2 в качестве эксперимента был установлен двигатель М-27 (W-образный) с большим радиатором внизу. Испытывал этот экземпляр Ю.И. Пионтковский. Результаты оказались не лучше прежних (15223).</w:t>
      </w:r>
    </w:p>
    <w:p w14:paraId="0D76B2C5" w14:textId="77777777" w:rsidR="00193905" w:rsidRPr="005E779E" w:rsidRDefault="00193905" w:rsidP="000B7A6C">
      <w:pPr>
        <w:shd w:val="clear" w:color="auto" w:fill="FFFFFF"/>
        <w:spacing w:after="0" w:line="240" w:lineRule="auto"/>
        <w:jc w:val="both"/>
        <w:rPr>
          <w:rFonts w:ascii="Times New Roman" w:hAnsi="Times New Roman"/>
          <w:color w:val="000000" w:themeColor="text1"/>
          <w:sz w:val="16"/>
          <w:szCs w:val="16"/>
        </w:rPr>
      </w:pPr>
    </w:p>
    <w:p w14:paraId="1DB4ED29" w14:textId="77777777" w:rsidR="00513C11"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40FAFD36" w14:textId="77777777" w:rsidR="00513C11" w:rsidRPr="005E779E" w:rsidRDefault="00513C11"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7D0C6BF" w14:textId="77777777" w:rsidR="00193905" w:rsidRPr="005E779E" w:rsidRDefault="00193905" w:rsidP="000B7A6C">
      <w:pPr>
        <w:widowControl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 ноября </w:t>
      </w:r>
      <w:smartTag w:uri="urn:schemas-microsoft-com:office:smarttags" w:element="metricconverter">
        <w:smartTagPr>
          <w:attr w:name="ProductID" w:val="1945 г"/>
        </w:smartTagPr>
        <w:r w:rsidRPr="005E779E">
          <w:rPr>
            <w:rFonts w:ascii="Times New Roman" w:hAnsi="Times New Roman"/>
            <w:color w:val="000000" w:themeColor="text1"/>
            <w:sz w:val="16"/>
            <w:szCs w:val="16"/>
          </w:rPr>
          <w:t>1931 г</w:t>
        </w:r>
      </w:smartTag>
      <w:r w:rsidRPr="005E779E">
        <w:rPr>
          <w:rFonts w:ascii="Times New Roman" w:hAnsi="Times New Roman"/>
          <w:color w:val="000000" w:themeColor="text1"/>
          <w:sz w:val="16"/>
          <w:szCs w:val="16"/>
        </w:rPr>
        <w:t xml:space="preserve">. на площадке против главной конторы, где ныне расположен прессовый корпус №2 состоялся митинг строителей, посвященный окончанию строительства автозавода. А 1 января </w:t>
      </w:r>
      <w:smartTag w:uri="urn:schemas-microsoft-com:office:smarttags" w:element="metricconverter">
        <w:smartTagPr>
          <w:attr w:name="ProductID" w:val="1945 г"/>
        </w:smartTagPr>
        <w:r w:rsidRPr="005E779E">
          <w:rPr>
            <w:rFonts w:ascii="Times New Roman" w:hAnsi="Times New Roman"/>
            <w:color w:val="000000" w:themeColor="text1"/>
            <w:sz w:val="16"/>
            <w:szCs w:val="16"/>
          </w:rPr>
          <w:t>1932 г</w:t>
        </w:r>
      </w:smartTag>
      <w:r w:rsidRPr="005E779E">
        <w:rPr>
          <w:rFonts w:ascii="Times New Roman" w:hAnsi="Times New Roman"/>
          <w:color w:val="000000" w:themeColor="text1"/>
          <w:sz w:val="16"/>
          <w:szCs w:val="16"/>
        </w:rPr>
        <w:t>. автозавод вступил в строй действующих гигантов страны. Одно из крупнейших в Европе предприятий по производству автомобилей выросло за 19 месяцев. Насколько был оправдан путь, по которому пошло наше автомобилестроение? Не лучше ли было использовать опыт отечественных производителей как в организации производства, так и в выборе моделей, экономя при этом миллионы валютных рублей? Наверное, второй путь был бы тоже возможен. Однако для его осуществления необходимо было создать новое станкостроение, которое лишь через несколько лет могло бы поставить нужное оборудование для будущих автозаводов. Параллельно пришлось бы методом проб и ошибок создавать конструкцию, которая бы полностью соответствовала конвейерной технологии. В конечном счете, этот путь оказался бы более длинным. Этого не могли позволить ни международная ситуация, ни внутреннее положение в стране. Иностранный опыт, научные знания, производственное оборудование позволили в кратчайшие сроки наладить выпуск автомобилей «Форд», «Аутокар», тракторов «Интернационал» (так тогда называли продукцию фирмы «Интернеэйшнл»), «Фордзон», «Катерпиллер», танков «Виккерс», «Кристи» и другой техники (15218).</w:t>
      </w:r>
    </w:p>
    <w:p w14:paraId="1F658E31" w14:textId="77777777" w:rsidR="00193905" w:rsidRPr="005E779E" w:rsidRDefault="00193905" w:rsidP="000B7A6C">
      <w:pPr>
        <w:widowControl w:val="0"/>
        <w:spacing w:after="0" w:line="240" w:lineRule="auto"/>
        <w:jc w:val="both"/>
        <w:rPr>
          <w:rFonts w:ascii="Times New Roman" w:hAnsi="Times New Roman"/>
          <w:color w:val="000000" w:themeColor="text1"/>
          <w:sz w:val="16"/>
          <w:szCs w:val="16"/>
        </w:rPr>
      </w:pPr>
    </w:p>
    <w:p w14:paraId="160CAA92" w14:textId="5C2EEB72" w:rsidR="00193905" w:rsidRPr="005E779E" w:rsidRDefault="0019390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 ноября </w:t>
      </w:r>
      <w:smartTag w:uri="urn:schemas-microsoft-com:office:smarttags" w:element="metricconverter">
        <w:smartTagPr>
          <w:attr w:name="ProductID" w:val="1945 г"/>
        </w:smartTagPr>
        <w:r w:rsidRPr="005E779E">
          <w:rPr>
            <w:rFonts w:ascii="Times New Roman" w:hAnsi="Times New Roman"/>
            <w:color w:val="000000" w:themeColor="text1"/>
            <w:sz w:val="16"/>
            <w:szCs w:val="16"/>
          </w:rPr>
          <w:t>1931 г</w:t>
        </w:r>
      </w:smartTag>
      <w:r w:rsidRPr="005E779E">
        <w:rPr>
          <w:rFonts w:ascii="Times New Roman" w:hAnsi="Times New Roman"/>
          <w:color w:val="000000" w:themeColor="text1"/>
          <w:sz w:val="16"/>
          <w:szCs w:val="16"/>
        </w:rPr>
        <w:t>. на площадке против главной конторы, где ныне расположен прессовый корпус №2 состоялся митинг строителей, посвященный окончанию строительства автозавода,.</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 xml:space="preserve">А 1 января </w:t>
      </w:r>
      <w:smartTag w:uri="urn:schemas-microsoft-com:office:smarttags" w:element="metricconverter">
        <w:smartTagPr>
          <w:attr w:name="ProductID" w:val="1945 г"/>
        </w:smartTagPr>
        <w:r w:rsidRPr="005E779E">
          <w:rPr>
            <w:rFonts w:ascii="Times New Roman" w:hAnsi="Times New Roman"/>
            <w:color w:val="000000" w:themeColor="text1"/>
            <w:sz w:val="16"/>
            <w:szCs w:val="16"/>
          </w:rPr>
          <w:t>1932 г</w:t>
        </w:r>
      </w:smartTag>
      <w:r w:rsidRPr="005E779E">
        <w:rPr>
          <w:rFonts w:ascii="Times New Roman" w:hAnsi="Times New Roman"/>
          <w:color w:val="000000" w:themeColor="text1"/>
          <w:sz w:val="16"/>
          <w:szCs w:val="16"/>
        </w:rPr>
        <w:t>. автозавод вступил в строй действующих гигантов страны. Одно из крупнейших в Европе предприятий по производству автомобилей выросло за 19 месяцев (15218).</w:t>
      </w:r>
    </w:p>
    <w:p w14:paraId="7EF8626D" w14:textId="77777777" w:rsidR="00193905" w:rsidRPr="005E779E" w:rsidRDefault="00193905" w:rsidP="000B7A6C">
      <w:pPr>
        <w:spacing w:after="0" w:line="240" w:lineRule="auto"/>
        <w:jc w:val="both"/>
        <w:rPr>
          <w:rFonts w:ascii="Times New Roman" w:hAnsi="Times New Roman"/>
          <w:color w:val="000000" w:themeColor="text1"/>
          <w:sz w:val="16"/>
          <w:szCs w:val="16"/>
        </w:rPr>
      </w:pPr>
    </w:p>
    <w:p w14:paraId="19E4E311" w14:textId="77777777" w:rsidR="00513C11" w:rsidRPr="005E779E" w:rsidRDefault="00513C11" w:rsidP="000B7A6C">
      <w:pPr>
        <w:pStyle w:val="rtejustify"/>
        <w:spacing w:before="0" w:after="0"/>
        <w:rPr>
          <w:color w:val="000000" w:themeColor="text1"/>
          <w:sz w:val="16"/>
          <w:szCs w:val="16"/>
        </w:rPr>
      </w:pPr>
      <w:r w:rsidRPr="005E779E">
        <w:rPr>
          <w:rStyle w:val="af0"/>
          <w:i w:val="0"/>
          <w:color w:val="000000" w:themeColor="text1"/>
          <w:sz w:val="16"/>
          <w:szCs w:val="16"/>
        </w:rPr>
        <w:t>2 ноября 1931 г. Протокол Реввоенсовета № 37.</w:t>
      </w:r>
      <w:r w:rsidRPr="005E779E">
        <w:rPr>
          <w:color w:val="000000" w:themeColor="text1"/>
          <w:sz w:val="16"/>
          <w:szCs w:val="16"/>
        </w:rPr>
        <w:t xml:space="preserve"> 4. О введении дуплекса для войсковых радиостанций (Левичев). (РГВА. Ф. 4. Оп. 18. Д. 21. Л. 207</w:t>
      </w:r>
      <w:r w:rsidRPr="005E779E">
        <w:rPr>
          <w:color w:val="000000" w:themeColor="text1"/>
          <w:sz w:val="16"/>
          <w:szCs w:val="16"/>
        </w:rPr>
        <w:noBreakHyphen/>
        <w:t>208, 209) (12342).</w:t>
      </w:r>
    </w:p>
    <w:p w14:paraId="7CE7B334" w14:textId="77777777" w:rsidR="00513C11" w:rsidRPr="005E779E" w:rsidRDefault="00513C11" w:rsidP="000B7A6C">
      <w:pPr>
        <w:pStyle w:val="rtejustify"/>
        <w:spacing w:before="0" w:after="0"/>
        <w:rPr>
          <w:color w:val="000000" w:themeColor="text1"/>
          <w:sz w:val="16"/>
          <w:szCs w:val="16"/>
        </w:rPr>
      </w:pPr>
    </w:p>
    <w:p w14:paraId="5FD2BC4A" w14:textId="77777777" w:rsidR="000A615A" w:rsidRPr="005E779E" w:rsidRDefault="000A615A"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2 ноября 1931 г.</w:t>
      </w:r>
    </w:p>
    <w:p w14:paraId="328E3A07" w14:textId="77777777" w:rsidR="000A615A" w:rsidRPr="005E779E" w:rsidRDefault="000A615A"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Докладная записка о завершении работы над проектом опытного образца прямоточного котла. 2 ноября 1931 г.</w:t>
      </w:r>
    </w:p>
    <w:p w14:paraId="1554DB8A" w14:textId="77777777" w:rsidR="000A615A" w:rsidRPr="005E779E" w:rsidRDefault="000A615A"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Источник: </w:t>
      </w:r>
    </w:p>
    <w:p w14:paraId="7376EB10" w14:textId="77777777" w:rsidR="000A615A" w:rsidRPr="005E779E" w:rsidRDefault="000A615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424ABEA" w14:textId="77777777" w:rsidR="000A615A" w:rsidRPr="005E779E" w:rsidRDefault="000A615A"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Архив: </w:t>
      </w:r>
    </w:p>
    <w:p w14:paraId="7DE40772" w14:textId="77777777" w:rsidR="000A615A" w:rsidRPr="005E779E" w:rsidRDefault="000A615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РГАЭ. Ф. 38. Oп. 1. Д. 2. Л. 109-108</w:t>
      </w:r>
    </w:p>
    <w:p w14:paraId="2FFE9FA5" w14:textId="77777777" w:rsidR="000A615A" w:rsidRPr="005E779E" w:rsidRDefault="000A615A" w:rsidP="000B7A6C">
      <w:pPr>
        <w:pStyle w:val="rteright"/>
        <w:spacing w:before="0" w:after="0"/>
        <w:jc w:val="both"/>
        <w:rPr>
          <w:color w:val="000000" w:themeColor="text1"/>
          <w:sz w:val="16"/>
          <w:szCs w:val="16"/>
        </w:rPr>
      </w:pPr>
      <w:r w:rsidRPr="005E779E">
        <w:rPr>
          <w:color w:val="000000" w:themeColor="text1"/>
          <w:sz w:val="16"/>
          <w:szCs w:val="16"/>
        </w:rPr>
        <w:t>2 ноября 1931 г.</w:t>
      </w:r>
    </w:p>
    <w:p w14:paraId="563F40E6" w14:textId="77777777" w:rsidR="000A615A" w:rsidRPr="005E779E" w:rsidRDefault="000A615A" w:rsidP="000B7A6C">
      <w:pPr>
        <w:pStyle w:val="ae"/>
        <w:spacing w:before="0" w:after="0"/>
        <w:jc w:val="both"/>
        <w:rPr>
          <w:color w:val="000000" w:themeColor="text1"/>
          <w:sz w:val="16"/>
          <w:szCs w:val="16"/>
        </w:rPr>
      </w:pPr>
      <w:r w:rsidRPr="005E779E">
        <w:rPr>
          <w:color w:val="000000" w:themeColor="text1"/>
          <w:sz w:val="16"/>
          <w:szCs w:val="16"/>
        </w:rPr>
        <w:t>НАЧАЛЬНИКУ ЭКУ ОГПУ тов. МИРОНОВУ</w:t>
      </w:r>
    </w:p>
    <w:p w14:paraId="53A9AE17" w14:textId="77777777" w:rsidR="000A615A" w:rsidRPr="005E779E" w:rsidRDefault="000A615A" w:rsidP="000B7A6C">
      <w:pPr>
        <w:pStyle w:val="ae"/>
        <w:spacing w:before="0" w:after="0"/>
        <w:jc w:val="both"/>
        <w:rPr>
          <w:color w:val="000000" w:themeColor="text1"/>
          <w:sz w:val="16"/>
          <w:szCs w:val="16"/>
        </w:rPr>
      </w:pPr>
      <w:r w:rsidRPr="005E779E">
        <w:rPr>
          <w:color w:val="000000" w:themeColor="text1"/>
          <w:sz w:val="16"/>
          <w:szCs w:val="16"/>
        </w:rPr>
        <w:t>РАПОРТ</w:t>
      </w:r>
    </w:p>
    <w:p w14:paraId="2F888FD5" w14:textId="77777777" w:rsidR="000A615A" w:rsidRPr="005E779E" w:rsidRDefault="000A615A" w:rsidP="000B7A6C">
      <w:pPr>
        <w:pStyle w:val="rtejustify"/>
        <w:spacing w:before="0" w:after="0"/>
        <w:rPr>
          <w:color w:val="000000" w:themeColor="text1"/>
          <w:sz w:val="16"/>
          <w:szCs w:val="16"/>
        </w:rPr>
      </w:pPr>
      <w:r w:rsidRPr="005E779E">
        <w:rPr>
          <w:color w:val="000000" w:themeColor="text1"/>
          <w:sz w:val="16"/>
          <w:szCs w:val="16"/>
        </w:rPr>
        <w:t>Доносим, что ОКБ №11 досрочно закончило рабочий проект опытного безбарабанного прямоточного котла системы РАМЗИНА на давление 140 атмосфер. Проверочный расчет котла дал еще более высокие показатели, чем намечалось предварительно. Съем пара с 1 кв. метра номинальной поверхности котла составляет 1780 кг/час против обычных 40-60 кг/час для советских котлов, превосходя последние в 30-45 раз, и слишком в 10 раз побивая мировой рекорд. Вес металла самого котла на 1 тн/час производимого пара составляет у данного котла лишь 58 кг, давая при одинаковой паропроизводительности экономию металла в 30-40 раз против советских котлов и в 15 раз против мирового рекорда. Себестоимость котла при одинаковой паропроизводительности получается в 25-40 раз дешевле советских котлов и в 15 раз дешевле рекордного в мире котла.</w:t>
      </w:r>
    </w:p>
    <w:p w14:paraId="2502B24D" w14:textId="77777777" w:rsidR="000A615A" w:rsidRPr="005E779E" w:rsidRDefault="000A615A" w:rsidP="000B7A6C">
      <w:pPr>
        <w:pStyle w:val="rtejustify"/>
        <w:spacing w:before="0" w:after="0"/>
        <w:rPr>
          <w:color w:val="000000" w:themeColor="text1"/>
          <w:sz w:val="16"/>
          <w:szCs w:val="16"/>
        </w:rPr>
      </w:pPr>
      <w:r w:rsidRPr="005E779E">
        <w:rPr>
          <w:color w:val="000000" w:themeColor="text1"/>
          <w:sz w:val="16"/>
          <w:szCs w:val="16"/>
        </w:rPr>
        <w:t>Достигнуто одновременно громадное улучшение показателей — сокращение веса и себестоимости — и для перегревателя и экономайзера.</w:t>
      </w:r>
    </w:p>
    <w:p w14:paraId="737EF83B" w14:textId="77777777" w:rsidR="000A615A" w:rsidRPr="005E779E" w:rsidRDefault="000A615A" w:rsidP="000B7A6C">
      <w:pPr>
        <w:pStyle w:val="rtejustify"/>
        <w:spacing w:before="0" w:after="0"/>
        <w:rPr>
          <w:color w:val="000000" w:themeColor="text1"/>
          <w:sz w:val="16"/>
          <w:szCs w:val="16"/>
        </w:rPr>
      </w:pPr>
      <w:r w:rsidRPr="005E779E">
        <w:rPr>
          <w:color w:val="000000" w:themeColor="text1"/>
          <w:sz w:val="16"/>
          <w:szCs w:val="16"/>
        </w:rPr>
        <w:t>Таким образом наш котел очень далеко обгоняет мировую котельную технику.</w:t>
      </w:r>
    </w:p>
    <w:p w14:paraId="6905DB7A" w14:textId="77777777" w:rsidR="000A615A" w:rsidRPr="005E779E" w:rsidRDefault="000A615A" w:rsidP="000B7A6C">
      <w:pPr>
        <w:pStyle w:val="rtejustify"/>
        <w:spacing w:before="0" w:after="0"/>
        <w:rPr>
          <w:color w:val="000000" w:themeColor="text1"/>
          <w:sz w:val="16"/>
          <w:szCs w:val="16"/>
        </w:rPr>
      </w:pPr>
      <w:r w:rsidRPr="005E779E">
        <w:rPr>
          <w:color w:val="000000" w:themeColor="text1"/>
          <w:sz w:val="16"/>
          <w:szCs w:val="16"/>
        </w:rPr>
        <w:t>В процессе работы разрешен ряд серьезных вопросов — найдены советские материалы для изготовления котлов сверхвысокого давления, разрабатываются методы сварки и т. п. Благодаря исключительной простоте конструкции котел может немедленно строиться на советских заводах. совершенно не требуя импортных материалов.</w:t>
      </w:r>
    </w:p>
    <w:p w14:paraId="20C1D4D4" w14:textId="77777777" w:rsidR="000A615A" w:rsidRPr="005E779E" w:rsidRDefault="000A615A" w:rsidP="000B7A6C">
      <w:pPr>
        <w:pStyle w:val="rtejustify"/>
        <w:spacing w:before="0" w:after="0"/>
        <w:rPr>
          <w:color w:val="000000" w:themeColor="text1"/>
          <w:sz w:val="16"/>
          <w:szCs w:val="16"/>
        </w:rPr>
      </w:pPr>
      <w:r w:rsidRPr="005E779E">
        <w:rPr>
          <w:color w:val="000000" w:themeColor="text1"/>
          <w:sz w:val="16"/>
          <w:szCs w:val="16"/>
        </w:rPr>
        <w:t>Первый опытный котел уже строится и будет готов к 1 мая.</w:t>
      </w:r>
    </w:p>
    <w:p w14:paraId="470E8602" w14:textId="77777777" w:rsidR="000A615A" w:rsidRPr="005E779E" w:rsidRDefault="000A615A" w:rsidP="000B7A6C">
      <w:pPr>
        <w:pStyle w:val="rtejustify"/>
        <w:spacing w:before="0" w:after="0"/>
        <w:rPr>
          <w:color w:val="000000" w:themeColor="text1"/>
          <w:sz w:val="16"/>
          <w:szCs w:val="16"/>
        </w:rPr>
      </w:pPr>
      <w:r w:rsidRPr="005E779E">
        <w:rPr>
          <w:color w:val="000000" w:themeColor="text1"/>
          <w:sz w:val="16"/>
          <w:szCs w:val="16"/>
        </w:rPr>
        <w:t>Одновременно с постройкой опытного котла идет разработка проекта крупнейшего в мире котла сверхвысокого давления — на 20 тн/час пара, при 140 атм. по системе РАМЗИНА для подмосковного угля.</w:t>
      </w:r>
    </w:p>
    <w:p w14:paraId="1337CF06" w14:textId="77777777" w:rsidR="000A615A" w:rsidRPr="005E779E" w:rsidRDefault="000A615A" w:rsidP="000B7A6C">
      <w:pPr>
        <w:pStyle w:val="rtejustify"/>
        <w:spacing w:before="0" w:after="0"/>
        <w:rPr>
          <w:color w:val="000000" w:themeColor="text1"/>
          <w:sz w:val="16"/>
          <w:szCs w:val="16"/>
        </w:rPr>
      </w:pPr>
      <w:r w:rsidRPr="005E779E">
        <w:rPr>
          <w:color w:val="000000" w:themeColor="text1"/>
          <w:sz w:val="16"/>
          <w:szCs w:val="16"/>
        </w:rPr>
        <w:t>НАЧАЛЬНИК ТЕХ. ОТД. ЭКУ ОГПУ (Горянов)</w:t>
      </w:r>
    </w:p>
    <w:p w14:paraId="5F0DD9EB" w14:textId="77777777" w:rsidR="000A615A" w:rsidRPr="005E779E" w:rsidRDefault="000A615A" w:rsidP="000B7A6C">
      <w:pPr>
        <w:pStyle w:val="rtejustify"/>
        <w:spacing w:before="0" w:after="0"/>
        <w:rPr>
          <w:color w:val="000000" w:themeColor="text1"/>
          <w:sz w:val="16"/>
          <w:szCs w:val="16"/>
        </w:rPr>
      </w:pPr>
      <w:r w:rsidRPr="005E779E">
        <w:rPr>
          <w:color w:val="000000" w:themeColor="text1"/>
          <w:sz w:val="16"/>
          <w:szCs w:val="16"/>
        </w:rPr>
        <w:t>НАЧАЛЬНИК ОКБ № 11 (Наумин)</w:t>
      </w:r>
    </w:p>
    <w:p w14:paraId="316DE3D0" w14:textId="77777777" w:rsidR="000A615A" w:rsidRPr="005E779E" w:rsidRDefault="000A615A" w:rsidP="000B7A6C">
      <w:pPr>
        <w:pStyle w:val="ae"/>
        <w:spacing w:before="0" w:after="0"/>
        <w:jc w:val="both"/>
        <w:rPr>
          <w:color w:val="000000" w:themeColor="text1"/>
          <w:sz w:val="16"/>
          <w:szCs w:val="16"/>
        </w:rPr>
      </w:pPr>
      <w:r w:rsidRPr="005E779E">
        <w:rPr>
          <w:color w:val="000000" w:themeColor="text1"/>
          <w:sz w:val="16"/>
          <w:szCs w:val="16"/>
        </w:rPr>
        <w:t>«2» ноября 1931 года</w:t>
      </w:r>
    </w:p>
    <w:p w14:paraId="5FC97B6D" w14:textId="77777777" w:rsidR="000A615A" w:rsidRPr="005E779E" w:rsidRDefault="000A615A" w:rsidP="000B7A6C">
      <w:pPr>
        <w:pStyle w:val="ae"/>
        <w:spacing w:before="0" w:after="0"/>
        <w:jc w:val="both"/>
        <w:rPr>
          <w:color w:val="000000" w:themeColor="text1"/>
          <w:sz w:val="16"/>
          <w:szCs w:val="16"/>
        </w:rPr>
      </w:pPr>
      <w:r w:rsidRPr="005E779E">
        <w:rPr>
          <w:rStyle w:val="af0"/>
          <w:i w:val="0"/>
          <w:color w:val="000000" w:themeColor="text1"/>
          <w:sz w:val="16"/>
          <w:szCs w:val="16"/>
        </w:rPr>
        <w:t>РГАЭ. Ф. 38. Oп. 1. Д. 2. Л. 109-108. Машинописная копия того времени. Число в дате вписано от руки. На Л. 109 в левом верхнем углу написано от руки «2/ХI» (19079).</w:t>
      </w:r>
    </w:p>
    <w:p w14:paraId="4F90EEC5" w14:textId="77777777" w:rsidR="000A615A" w:rsidRPr="005E779E" w:rsidRDefault="000A615A" w:rsidP="000B7A6C">
      <w:pPr>
        <w:spacing w:after="0" w:line="240" w:lineRule="auto"/>
        <w:jc w:val="both"/>
        <w:rPr>
          <w:rFonts w:ascii="Times New Roman" w:hAnsi="Times New Roman"/>
          <w:color w:val="000000" w:themeColor="text1"/>
          <w:sz w:val="16"/>
          <w:szCs w:val="16"/>
        </w:rPr>
      </w:pPr>
    </w:p>
    <w:p w14:paraId="0624E42C"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50520EFA"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7155F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ноября 1931 был принят в строй дирижабль Акрон.</w:t>
      </w:r>
    </w:p>
    <w:p w14:paraId="0A105E94"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7107759" w14:textId="77777777" w:rsidR="00346741" w:rsidRPr="005E779E" w:rsidRDefault="0034674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ноября 1931 эскадрильи Корпуса морской пехоты США VS-15M и VS-14M садится на корабли USS Lexington (CV-2) и USS Saratoga (CV-3). Впервые эскадрильи корпуса морской пехоты базируется на авианосцы (20804).</w:t>
      </w:r>
    </w:p>
    <w:p w14:paraId="5DBF6028" w14:textId="77777777" w:rsidR="00346741" w:rsidRPr="005E779E" w:rsidRDefault="00346741" w:rsidP="000B7A6C">
      <w:pPr>
        <w:spacing w:after="0" w:line="240" w:lineRule="auto"/>
        <w:jc w:val="both"/>
        <w:rPr>
          <w:rFonts w:ascii="Times New Roman" w:hAnsi="Times New Roman"/>
          <w:color w:val="000000" w:themeColor="text1"/>
          <w:sz w:val="16"/>
          <w:szCs w:val="16"/>
        </w:rPr>
      </w:pPr>
    </w:p>
    <w:p w14:paraId="31091C5F"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459242BA"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716A7B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ноября 1931 ПРОТОКОЛ</w:t>
      </w:r>
    </w:p>
    <w:p w14:paraId="5B2D28F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Совещания в Секции 132-й по вопросу об улучшении самолета И-5 от З/Х1-31 г.</w:t>
      </w:r>
    </w:p>
    <w:p w14:paraId="6E8A685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ПРИСУТСТВУЮТ: т.т. ПОЛИКАРПОВ, ГОНЧАРОВ, БЕЛЯЕВ, БЕРТОШ, ФОМИН, ГИММЕЛЬФАРБ.</w:t>
      </w:r>
    </w:p>
    <w:p w14:paraId="4ED2E50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Коробка крыльев</w:t>
      </w:r>
    </w:p>
    <w:p w14:paraId="0BA8C8D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Секции Ш дать заключение о пригодности и сравнительном ДВУХ вариантов коробок со следующими данными I</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941"/>
        <w:gridCol w:w="883"/>
        <w:gridCol w:w="893"/>
        <w:gridCol w:w="893"/>
        <w:gridCol w:w="893"/>
        <w:gridCol w:w="1027"/>
        <w:gridCol w:w="1411"/>
        <w:gridCol w:w="528"/>
        <w:gridCol w:w="269"/>
      </w:tblGrid>
      <w:tr w:rsidR="001002C3" w:rsidRPr="005E779E" w14:paraId="1C2B8999" w14:textId="77777777">
        <w:trPr>
          <w:trHeight w:val="624"/>
        </w:trPr>
        <w:tc>
          <w:tcPr>
            <w:tcW w:w="941" w:type="dxa"/>
            <w:tcBorders>
              <w:top w:val="single" w:sz="12" w:space="0" w:color="auto"/>
            </w:tcBorders>
          </w:tcPr>
          <w:p w14:paraId="652E63C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вар</w:t>
            </w:r>
          </w:p>
        </w:tc>
        <w:tc>
          <w:tcPr>
            <w:tcW w:w="883" w:type="dxa"/>
            <w:tcBorders>
              <w:top w:val="single" w:sz="12" w:space="0" w:color="auto"/>
            </w:tcBorders>
          </w:tcPr>
          <w:p w14:paraId="3FB7C56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12" w:space="0" w:color="auto"/>
            </w:tcBorders>
          </w:tcPr>
          <w:p w14:paraId="081CEC0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12" w:space="0" w:color="auto"/>
            </w:tcBorders>
          </w:tcPr>
          <w:p w14:paraId="589728F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12" w:space="0" w:color="auto"/>
            </w:tcBorders>
          </w:tcPr>
          <w:p w14:paraId="3A0CACC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12" w:space="0" w:color="auto"/>
            </w:tcBorders>
          </w:tcPr>
          <w:p w14:paraId="134D4EF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12" w:space="0" w:color="auto"/>
            </w:tcBorders>
          </w:tcPr>
          <w:p w14:paraId="17DA6F0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28" w:type="dxa"/>
            <w:tcBorders>
              <w:top w:val="single" w:sz="12" w:space="0" w:color="auto"/>
            </w:tcBorders>
          </w:tcPr>
          <w:p w14:paraId="31E26CE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 w:type="dxa"/>
            <w:tcBorders>
              <w:top w:val="single" w:sz="12" w:space="0" w:color="auto"/>
            </w:tcBorders>
          </w:tcPr>
          <w:p w14:paraId="5679DD4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F5E070C" w14:textId="77777777">
        <w:trPr>
          <w:trHeight w:val="307"/>
        </w:trPr>
        <w:tc>
          <w:tcPr>
            <w:tcW w:w="941" w:type="dxa"/>
          </w:tcPr>
          <w:p w14:paraId="4D4A760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I</w:t>
            </w:r>
          </w:p>
        </w:tc>
        <w:tc>
          <w:tcPr>
            <w:tcW w:w="883" w:type="dxa"/>
          </w:tcPr>
          <w:p w14:paraId="3C9E639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9750</w:t>
            </w:r>
          </w:p>
        </w:tc>
        <w:tc>
          <w:tcPr>
            <w:tcW w:w="893" w:type="dxa"/>
          </w:tcPr>
          <w:p w14:paraId="235EDC5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7000</w:t>
            </w:r>
          </w:p>
        </w:tc>
        <w:tc>
          <w:tcPr>
            <w:tcW w:w="893" w:type="dxa"/>
          </w:tcPr>
          <w:p w14:paraId="0938AD1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1500</w:t>
            </w:r>
          </w:p>
        </w:tc>
        <w:tc>
          <w:tcPr>
            <w:tcW w:w="893" w:type="dxa"/>
          </w:tcPr>
          <w:p w14:paraId="5E54DB8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1100</w:t>
            </w:r>
          </w:p>
        </w:tc>
        <w:tc>
          <w:tcPr>
            <w:tcW w:w="1027" w:type="dxa"/>
          </w:tcPr>
          <w:p w14:paraId="78771FF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13,72</w:t>
            </w:r>
          </w:p>
        </w:tc>
        <w:tc>
          <w:tcPr>
            <w:tcW w:w="1411" w:type="dxa"/>
          </w:tcPr>
          <w:p w14:paraId="0D12109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1б,82</w:t>
            </w:r>
          </w:p>
        </w:tc>
        <w:tc>
          <w:tcPr>
            <w:tcW w:w="528" w:type="dxa"/>
          </w:tcPr>
          <w:p w14:paraId="09140E6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20,54</w:t>
            </w:r>
          </w:p>
        </w:tc>
        <w:tc>
          <w:tcPr>
            <w:tcW w:w="269" w:type="dxa"/>
          </w:tcPr>
          <w:p w14:paraId="61798E8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5,3</w:t>
            </w:r>
          </w:p>
        </w:tc>
      </w:tr>
      <w:tr w:rsidR="001002C3" w:rsidRPr="005E779E" w14:paraId="70288D15" w14:textId="77777777">
        <w:trPr>
          <w:trHeight w:val="461"/>
        </w:trPr>
        <w:tc>
          <w:tcPr>
            <w:tcW w:w="941" w:type="dxa"/>
            <w:tcBorders>
              <w:bottom w:val="single" w:sz="12" w:space="0" w:color="auto"/>
            </w:tcBorders>
          </w:tcPr>
          <w:p w14:paraId="254112B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w:t>
            </w:r>
          </w:p>
        </w:tc>
        <w:tc>
          <w:tcPr>
            <w:tcW w:w="883" w:type="dxa"/>
            <w:tcBorders>
              <w:bottom w:val="single" w:sz="12" w:space="0" w:color="auto"/>
            </w:tcBorders>
          </w:tcPr>
          <w:p w14:paraId="4C7757D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10000</w:t>
            </w:r>
          </w:p>
        </w:tc>
        <w:tc>
          <w:tcPr>
            <w:tcW w:w="893" w:type="dxa"/>
            <w:tcBorders>
              <w:bottom w:val="single" w:sz="12" w:space="0" w:color="auto"/>
            </w:tcBorders>
          </w:tcPr>
          <w:p w14:paraId="19717B6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7050</w:t>
            </w:r>
          </w:p>
        </w:tc>
        <w:tc>
          <w:tcPr>
            <w:tcW w:w="893" w:type="dxa"/>
            <w:tcBorders>
              <w:bottom w:val="single" w:sz="12" w:space="0" w:color="auto"/>
            </w:tcBorders>
          </w:tcPr>
          <w:p w14:paraId="3198871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1450</w:t>
            </w:r>
          </w:p>
        </w:tc>
        <w:tc>
          <w:tcPr>
            <w:tcW w:w="893" w:type="dxa"/>
            <w:tcBorders>
              <w:bottom w:val="single" w:sz="12" w:space="0" w:color="auto"/>
            </w:tcBorders>
          </w:tcPr>
          <w:p w14:paraId="4382972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w:t>
            </w:r>
          </w:p>
        </w:tc>
        <w:tc>
          <w:tcPr>
            <w:tcW w:w="1027" w:type="dxa"/>
            <w:tcBorders>
              <w:bottom w:val="single" w:sz="12" w:space="0" w:color="auto"/>
            </w:tcBorders>
          </w:tcPr>
          <w:p w14:paraId="03ED964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13,42</w:t>
            </w:r>
          </w:p>
        </w:tc>
        <w:tc>
          <w:tcPr>
            <w:tcW w:w="1411" w:type="dxa"/>
            <w:tcBorders>
              <w:bottom w:val="single" w:sz="12" w:space="0" w:color="auto"/>
            </w:tcBorders>
          </w:tcPr>
          <w:p w14:paraId="4CABC75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6,12</w:t>
            </w:r>
          </w:p>
        </w:tc>
        <w:tc>
          <w:tcPr>
            <w:tcW w:w="528" w:type="dxa"/>
            <w:tcBorders>
              <w:bottom w:val="single" w:sz="12" w:space="0" w:color="auto"/>
            </w:tcBorders>
          </w:tcPr>
          <w:p w14:paraId="750C07E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9,54</w:t>
            </w:r>
          </w:p>
        </w:tc>
        <w:tc>
          <w:tcPr>
            <w:tcW w:w="269" w:type="dxa"/>
            <w:tcBorders>
              <w:bottom w:val="single" w:sz="12" w:space="0" w:color="auto"/>
            </w:tcBorders>
          </w:tcPr>
          <w:p w14:paraId="699765C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5,8</w:t>
            </w:r>
          </w:p>
        </w:tc>
      </w:tr>
    </w:tbl>
    <w:p w14:paraId="5EB9604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Секция 112 произвести продувки 2-х - 3-х вариантов коробки для выбора размерностей, и затем по выборе таковой, иссле</w:t>
      </w:r>
      <w:r w:rsidRPr="005E779E">
        <w:rPr>
          <w:rFonts w:ascii="Times New Roman" w:hAnsi="Times New Roman"/>
          <w:color w:val="000000" w:themeColor="text1"/>
          <w:sz w:val="16"/>
          <w:szCs w:val="16"/>
        </w:rPr>
        <w:softHyphen/>
        <w:t>довать 2-3-х коробки с разными профилями.</w:t>
      </w:r>
    </w:p>
    <w:p w14:paraId="08AE80B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Весовой,секции дать момент инерции варианта с коробкой 5,8 /см. выше пункт I, вар.П/ для секции 112.</w:t>
      </w:r>
    </w:p>
    <w:p w14:paraId="298DDEC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Секции 112 по получении данных от весовой секции сделать расчет виража</w:t>
      </w:r>
    </w:p>
    <w:p w14:paraId="42A8456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Передний вырез лучше уничтожить, исказив профиль, желатель</w:t>
      </w:r>
      <w:r w:rsidRPr="005E779E">
        <w:rPr>
          <w:rFonts w:ascii="Times New Roman" w:hAnsi="Times New Roman"/>
          <w:color w:val="000000" w:themeColor="text1"/>
          <w:sz w:val="16"/>
          <w:szCs w:val="16"/>
        </w:rPr>
        <w:softHyphen/>
        <w:t>но произвести пподувку с вырезом и без него</w:t>
      </w:r>
    </w:p>
    <w:p w14:paraId="4C7B0A0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Секции 112 для учета влияния закрытой кабины произвести продувку полной модели в двух вариантах: с закрытой каби</w:t>
      </w:r>
      <w:r w:rsidRPr="005E779E">
        <w:rPr>
          <w:rFonts w:ascii="Times New Roman" w:hAnsi="Times New Roman"/>
          <w:color w:val="000000" w:themeColor="text1"/>
          <w:sz w:val="16"/>
          <w:szCs w:val="16"/>
        </w:rPr>
        <w:softHyphen/>
        <w:t>ной и с открытой</w:t>
      </w:r>
    </w:p>
    <w:p w14:paraId="273BD22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Секции 111 и секции 112. Дать сравнительную оценку двух вариантов расположения расчалок коробки в одной плоскости и в двух плоскостях.</w:t>
      </w:r>
    </w:p>
    <w:p w14:paraId="3CFA23C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Секции Ш дать суждение о возможности постановки одного ряда расчалок крыла в горизонтальной плоскости.</w:t>
      </w:r>
    </w:p>
    <w:p w14:paraId="633C05B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П Ф ю з е д я ж.</w:t>
      </w:r>
    </w:p>
    <w:p w14:paraId="10B4886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Секции Ш выбрать лучшую схему фюзеляжа из хромо-молиб</w:t>
      </w:r>
      <w:r w:rsidRPr="005E779E">
        <w:rPr>
          <w:rFonts w:ascii="Times New Roman" w:hAnsi="Times New Roman"/>
          <w:color w:val="000000" w:themeColor="text1"/>
          <w:sz w:val="16"/>
          <w:szCs w:val="16"/>
        </w:rPr>
        <w:softHyphen/>
        <w:t>деновых труб.</w:t>
      </w:r>
    </w:p>
    <w:p w14:paraId="78E1134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AE934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ноября 1931 в НИИ ВВС закончились испытания серийного самолета Р6-2М17, которые проходили с 5 октября 1931.</w:t>
      </w:r>
    </w:p>
    <w:p w14:paraId="5D54825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Испытание головного серийного самолета Р6-2М17</w:t>
      </w:r>
    </w:p>
    <w:p w14:paraId="0E18964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Испытание начато 5 октября 1931 года</w:t>
      </w:r>
    </w:p>
    <w:p w14:paraId="6049D96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Испытание закончено 3 ноября 1931 года</w:t>
      </w:r>
    </w:p>
    <w:p w14:paraId="0C25A2A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 полетов – 21, число дней занятых полетами – 12</w:t>
      </w:r>
    </w:p>
    <w:p w14:paraId="1ADCB10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Несмотря на обусловленный протоколом заседания в ВАО 6 сентября 1931 года срок предъявления самолета Р6, для испытания в НИИ к 7 сентября 1931 года самолет был предъявлен лишь 3 октября 1931 года.</w:t>
      </w:r>
    </w:p>
    <w:p w14:paraId="1F80891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Постройка завода № 22, головной серийный (6931).</w:t>
      </w:r>
    </w:p>
    <w:p w14:paraId="2118745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3371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ноября 1931 закончились гос. испытания головного АНТ-7 (Р-6) N 2201 22 завода N 2201 с М-17, которые начались 5 октября 1931. Серийный стал еще на 126 кг тяжелее, включая 60 кг потяжеления моторов. Отметили 46 дефектов, но общий отзыв был одобрительным (1017,200).</w:t>
      </w:r>
    </w:p>
    <w:p w14:paraId="4A9F34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Есть данные, что 3 декабря 1931</w:t>
      </w:r>
    </w:p>
    <w:p w14:paraId="58AD1D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45E7B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ноября 1931 г. закончились испытания головного серийного самолета Р6-2М17, которые шли с 5 октября 1931.</w:t>
      </w:r>
    </w:p>
    <w:p w14:paraId="37BC5D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Число дней занятых полетами - 12</w:t>
      </w:r>
    </w:p>
    <w:p w14:paraId="505C62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Число полетов - 21</w:t>
      </w:r>
    </w:p>
    <w:p w14:paraId="033AAD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Несмотря на обусловленный протоколом заседания в ВАО 6.09.1931 г. срок предъявления самолета Р6 для испытаний в НИИ к 7.09.1931 г., самолет был предъявлен лишь 3.10.1931 г.</w:t>
      </w:r>
    </w:p>
    <w:p w14:paraId="7D295B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Р6 постройки зав. N 22 головной серии.</w:t>
      </w:r>
    </w:p>
    <w:p w14:paraId="36A423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w:t>
      </w:r>
    </w:p>
    <w:p w14:paraId="51E1E0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Констатируя некоторое снижение летных данных головного серийного самолета Р6-2М17 по сравнению с опытным экземпляром, отметить что даже с этими данными самолет не уступает большинству состоящих в настоящее время на вооружении самолетов соответствующего класса (3273).</w:t>
      </w:r>
    </w:p>
    <w:p w14:paraId="616D5C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B8711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ноября 1931 г. закончились госиспытания первого серийного Р-6 С, которые шли с 5 октября. От опытной машины он отличался моторами М-17 (советской копией BMW VI) и несколько измененными радиаторами. Серийный самолет был на 126 кг тяжелее опытного; основную лепту внесли моторы - 60 кг. Отечественные колеса вместо импортных добавили 28 кг. Оставшиеся 38 кг распределялись между различными частями планера. Головной Р-6 уступал опытному в максимальной скорости горизонтального полета 12-13 км/ч и около 1000 м в практическом потолке. Ухудшилась и скороподъемность. Показатели горизонтального маневра практически не изменились. На снижение летных данных оказало влияние даже не столько перетяжеление самолета, сколько ненадежная работа двигателей. Хотя М-17 номинально должен был выдавать ту же мощность, что и немецкий мотор, на практике он постоянно недодавал обороты. Кроме того, двигатели перегревались, вынуждая летчика убирать газ.</w:t>
      </w:r>
    </w:p>
    <w:p w14:paraId="47B1C8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списке дефектов отмечалось в основном то, что ЦАГИ внес при доработке в опытный образец, а на серийной машине отсутствовало, поскольку и доработки, и изготовление головной машины фактически осуществлялись параллельно. Моторамы стояли старые, не усиленные, и тряслись в полете. Козырек пилотской кабины не имел окантовки и боковых стекол. Отметили вибрации оперения. Кроме того, в отчете НИИ записали: "Необходимо констатировать весьма низкое качество производства самолета...".</w:t>
      </w:r>
    </w:p>
    <w:p w14:paraId="0A72D8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Однако, несмотря на все недостатки, общий отзыв о машине оказался одобрительным.</w:t>
      </w:r>
    </w:p>
    <w:p w14:paraId="72F495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Вывод НИИ гласил: "Несмотря на некоторое понижение летных данных, головной серийный самолет Р6-М17 не хуже, а по некоторым показателям даже лучше самолетов соответствующего класса, состоящих на вооружении на Западе, уступая лишь лучшим опытным образцам". Это действительно было так. Правда, "крейсеров" в мире почти никто не строил, поскольку не планировал или не мог себе позволить иметь флот тяжелых бомбовозов. Поэтому сравнение можно было провести лишь с рядом французских машин, которые фактически были не "крейсерами", а многоцелевыми самолетами. После того как головной Р-6 выдержал испытания, серийным самолетам был открыт путь в строевые части ВВС РККА. Эталоном для серии стал № 2201, на котором смонтировали и отладили оборудование и вооружение (12036).</w:t>
      </w:r>
    </w:p>
    <w:p w14:paraId="2C10A0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4F700F2" w14:textId="77777777" w:rsidR="00513C11"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62EBF72A" w14:textId="77777777" w:rsidR="00513C11" w:rsidRPr="005E779E" w:rsidRDefault="00513C11"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F952928" w14:textId="77777777" w:rsidR="00782A5D" w:rsidRPr="00142305" w:rsidRDefault="00782A5D" w:rsidP="00782A5D">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3 ноября 1931 г. полученные результаты испытаний двух бронепоездов: модернизированного сормовского и изготовленного по чертежам военсклада № 60 в августе – октябре 1931 г. на участке Брянск – Карачев рассматривались на заседании научно-технического комитета УММ РККА, посвященном модернизации бронепоездов.</w:t>
      </w:r>
    </w:p>
    <w:p w14:paraId="1858CEAE" w14:textId="77777777" w:rsidR="00782A5D" w:rsidRPr="00142305" w:rsidRDefault="00782A5D" w:rsidP="00782A5D">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В ходе обсуждения комитет пришел к решению, что проект военсклада № 60 имеет ряд преимуществ: вписывается в габарит европейских железных дорог, броня обеспечивает защиту при обстреле 7,62-мм простой винтовочной пулей со всех дистанций, а бронебойной с дистанции 400 шагов (280 м) и выше, бронеплощадки имеют увеличенный возимый боекомплект (540 выстрелов к орудиям и 10000 патронов к пулеметам), а установка смотровых оптических приборов, телефонной, рупорной, световой связи и электроосвещения значительно улучшают действия команды. В выводах отмечалось: «Проведенная модернизация бронепоездов позволяет управлять в бою как соединением (дивизион), так и отдельными единицами. Из средств ПВО на тендере оставить одну спаренную установку пулеметов Максима с броневым прикрытием для защиты прислуги от наземного огня.</w:t>
      </w:r>
    </w:p>
    <w:p w14:paraId="21FDB976" w14:textId="77777777" w:rsidR="00782A5D" w:rsidRPr="00142305" w:rsidRDefault="00782A5D" w:rsidP="00782A5D">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Особо отмечается необходимость срочного выполнения опытных работ по установке в рубках бронепаровозов бронепоездов типа военсклада № 60 предложенных управлением связи РККА стандартных радиостанций типа 72ТК» (</w:t>
      </w:r>
      <w:r w:rsidRPr="00782A5D">
        <w:rPr>
          <w:rStyle w:val="aff4"/>
          <w:rFonts w:ascii="Times New Roman" w:hAnsi="Times New Roman" w:cs="Times New Roman"/>
          <w:i w:val="0"/>
          <w:iCs w:val="0"/>
          <w:color w:val="0070C0"/>
          <w:sz w:val="16"/>
          <w:szCs w:val="16"/>
          <w:lang w:val="ru-RU"/>
        </w:rPr>
        <w:t>РГВА. Ф. 31811. Оп. 2. Д. 105. Л. 80.</w:t>
      </w:r>
      <w:r w:rsidRPr="00142305">
        <w:rPr>
          <w:rStyle w:val="aff0"/>
          <w:rFonts w:ascii="Times New Roman" w:hAnsi="Times New Roman" w:cs="Times New Roman"/>
          <w:color w:val="0070C0"/>
          <w:spacing w:val="0"/>
          <w:sz w:val="16"/>
          <w:szCs w:val="16"/>
        </w:rPr>
        <w:t>).</w:t>
      </w:r>
    </w:p>
    <w:p w14:paraId="1DC0ABF3" w14:textId="77777777" w:rsidR="00782A5D" w:rsidRPr="00142305" w:rsidRDefault="00782A5D" w:rsidP="00782A5D">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По результатам этого заседания было принято решение о бронировании паровозов по проекту военного склада № 60 и постепенной замене ими бронепаровозов, изготовленных в 1918 – 1920 годах. К серийному производству также принимались легкие бронеплощадки типа военного склада № 60. Планом на 1932 год предусматривалось изготовить в мастерских военного склада № 60 14 бронепаровозов и 26 легких бронеплощадок по разработанным в мастерских чертежам.</w:t>
      </w:r>
    </w:p>
    <w:p w14:paraId="03915914" w14:textId="77777777" w:rsidR="00782A5D" w:rsidRPr="00142305" w:rsidRDefault="00782A5D" w:rsidP="00782A5D">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При выполнении плана предусматривалось широко использовать «все имеющиеся материалы на поступающих объектах и внутренние ресурсы склада (нижегородская броня и прочее)», а также не изготавливать бронеплощадки полностью, а приводить уже имеющиеся площадки постройки 1918-1920 г. к разработанному проекту стандартной площадки типа военсклада № 60 (</w:t>
      </w:r>
      <w:r w:rsidRPr="00782A5D">
        <w:rPr>
          <w:rStyle w:val="aff4"/>
          <w:rFonts w:ascii="Times New Roman" w:hAnsi="Times New Roman" w:cs="Times New Roman"/>
          <w:i w:val="0"/>
          <w:iCs w:val="0"/>
          <w:color w:val="0070C0"/>
          <w:sz w:val="16"/>
          <w:szCs w:val="16"/>
          <w:lang w:val="ru-RU"/>
        </w:rPr>
        <w:t>РГВА. Ф. 31811. Оп. 1 Д. 362. Л. 23, 25, 27.</w:t>
      </w:r>
      <w:r w:rsidRPr="00142305">
        <w:rPr>
          <w:rStyle w:val="aff0"/>
          <w:rFonts w:ascii="Times New Roman" w:hAnsi="Times New Roman" w:cs="Times New Roman"/>
          <w:color w:val="0070C0"/>
          <w:spacing w:val="0"/>
          <w:sz w:val="16"/>
          <w:szCs w:val="16"/>
        </w:rPr>
        <w:t>). На них ставились башни с 76-мм орудиями на новых тумбовых установках, выпуск которых организовали на заводе «Красный Профинтерн» в Брянске. От ранее использовавшихся они отличались меньшей массой (их изготавливали литыми, а не клепаными) и более простой конструкцией.</w:t>
      </w:r>
    </w:p>
    <w:p w14:paraId="7A1318E6" w14:textId="77777777" w:rsidR="00782A5D" w:rsidRPr="00142305" w:rsidRDefault="00782A5D" w:rsidP="00782A5D">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План 1932 года выполнить не удалось – Ижорский завод в Ленинграде, который должен был поставлять броневой лист в Брянск, не смог отгрузить его в необходимом количестве. Проблемы с броневым листом были и в последующем. Так, в марте 1933 года представитель военного склада № 60 сообщал в УММ РККА о полном отсутствии брони для изготовления бронепоездов (</w:t>
      </w:r>
      <w:r w:rsidRPr="00782A5D">
        <w:rPr>
          <w:rStyle w:val="aff4"/>
          <w:rFonts w:ascii="Times New Roman" w:hAnsi="Times New Roman" w:cs="Times New Roman"/>
          <w:i w:val="0"/>
          <w:iCs w:val="0"/>
          <w:color w:val="0070C0"/>
          <w:sz w:val="16"/>
          <w:szCs w:val="16"/>
          <w:lang w:val="ru-RU"/>
        </w:rPr>
        <w:t xml:space="preserve">РГВА. Ф. 31811. </w:t>
      </w:r>
      <w:r w:rsidRPr="00981C63">
        <w:rPr>
          <w:rStyle w:val="aff4"/>
          <w:rFonts w:ascii="Times New Roman" w:hAnsi="Times New Roman" w:cs="Times New Roman"/>
          <w:i w:val="0"/>
          <w:iCs w:val="0"/>
          <w:color w:val="0070C0"/>
          <w:sz w:val="16"/>
          <w:szCs w:val="16"/>
          <w:lang w:val="ru-RU"/>
        </w:rPr>
        <w:t>Оп. 2. Д. 246. Л. 84.</w:t>
      </w:r>
      <w:r w:rsidRPr="00142305">
        <w:rPr>
          <w:rStyle w:val="aff0"/>
          <w:rFonts w:ascii="Times New Roman" w:hAnsi="Times New Roman" w:cs="Times New Roman"/>
          <w:color w:val="0070C0"/>
          <w:spacing w:val="0"/>
          <w:sz w:val="16"/>
          <w:szCs w:val="16"/>
        </w:rPr>
        <w:t>). Для выхода из этой ситуации было принято решение об использовании вместо отсутствующих бронелистов толщиной 10 и 15 мм листов толщиной 13, 15 и 16 мм, которые были забракованы при изготовлении броневых корпусов танков. При этом требовалось, чтобы эти листы не пробивались 7,62-мм бронебойной винтовочной пулей с дистанции 50 м (25635).</w:t>
      </w:r>
    </w:p>
    <w:p w14:paraId="49AF1814" w14:textId="77777777" w:rsidR="00782A5D" w:rsidRPr="00142305" w:rsidRDefault="00782A5D" w:rsidP="00782A5D">
      <w:pPr>
        <w:spacing w:after="0" w:line="240" w:lineRule="auto"/>
        <w:jc w:val="both"/>
        <w:rPr>
          <w:rFonts w:ascii="Times New Roman" w:hAnsi="Times New Roman"/>
          <w:color w:val="0070C0"/>
          <w:sz w:val="16"/>
          <w:szCs w:val="16"/>
        </w:rPr>
      </w:pPr>
    </w:p>
    <w:p w14:paraId="1175E964" w14:textId="77777777" w:rsidR="00513C11" w:rsidRPr="005E779E" w:rsidRDefault="00513C11"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3 ноября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Постановление СНК СССР № 228сс о строительстве хранилищ нефтепродуктов для обеспечения мобилизационной готовности РККА и залива выстроенных нефтепродуктами (ГА РФ. Ф. Р?8418. Оп. 28. Д. 14а. Л. 71?74) (12415).</w:t>
      </w:r>
    </w:p>
    <w:p w14:paraId="738760B7" w14:textId="77777777" w:rsidR="00513C11" w:rsidRPr="005E779E" w:rsidRDefault="00513C11" w:rsidP="000B7A6C">
      <w:pPr>
        <w:spacing w:after="0" w:line="240" w:lineRule="auto"/>
        <w:jc w:val="both"/>
        <w:rPr>
          <w:rFonts w:ascii="Times New Roman" w:hAnsi="Times New Roman"/>
          <w:color w:val="000000" w:themeColor="text1"/>
          <w:sz w:val="16"/>
          <w:szCs w:val="16"/>
          <w:u w:color="002060"/>
        </w:rPr>
      </w:pPr>
    </w:p>
    <w:p w14:paraId="2B963FF2"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3E1FFD4F"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C4583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ноября 1931 года Политбюро поручило Наркомвнешторгу СССР организовать в магазинах Торгсина скупку бытового золота в обмен на товары. Специальная комиссия, куда вошли Розенгольц (Наркомвнешторг), Гринько (Наркомфин), Серебровский (Союззолото), Калманович, Дерибас (ОПТУ), должна была определить районы деятельности Торгсина по скупке золотых предметов и методы расчета. В декабре 1931 года универмаг N 1 в Москве с устного разрешения председателя правления Торгсина М. И. Шкляра начал продавать товары советским гражданам в обмен на бытовое золото. 10 декабря 1931 года вышло Постановление СНК СССР "О предоставлении Всесоюзному объединению "Торгсин" права производства операций по покупке драгоценных металлов (золота). Хотя со временем последовали разрешения принимать от населения также и серебро, платину, бриллианты и другие драгоценные камни, именно золото сыграло главную роль в истории Торгсина. Всего за четыре года (1932-1935) люди снесли в него почти 100 тонн чистого золота! (11458).</w:t>
      </w:r>
    </w:p>
    <w:p w14:paraId="41DB9A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0C09E1F"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187EC02A"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19EC7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ноября 1931 года дирижабль поднялся в воздух с 207 пассажирами на борту, что было доселе невиданным делом. В январе 1932 он удачно взаимодействовал с разведывательными [432] кораблями восточнее Флориды. Во время этих учений «Акрон» успешно миновал снежную бурю, хотя при этом ледовая корка, образовавшаяся на корпусе дирижабля, весила 8 т. Он обнаружил «неприятеля» на 7 часов раньше, чем крейсера, посланные в тот же район. Теперь пришла пора опробовать «Акрон» по его прямому назначению — в качестве дальнего стратегического разведчика и патрульного дирижабля. Но до этого следовало отработать взаимодействие с бортовыми самолетами и в первую очередь натренировать летчиков в таком непростом действии, как стыковка с дирижаблем (11321).</w:t>
      </w:r>
    </w:p>
    <w:p w14:paraId="5366B4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61B91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ноября 1931 жесткий дирижабль ВМС США Акрон установил рекорд, перевозя за один рейс 207 чел. (3481).</w:t>
      </w:r>
    </w:p>
    <w:p w14:paraId="0A9C0E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FD24D34"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61E87BA3"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EDBFB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ноября 1931 закончилась серия испытаний торпеды ВВС-15 в Крыму, в районе Севастополя, начатая в марте 1931. При сбросе с высоты 1000- 1200 м система работала удовлетворительно, выше - время спуска превышало расчетное. Когда попытались увеличить участок свободного падения, торпеда после приводнения работать отказывалась - слишком сильный получался удар. После внесения некоторых усовершенствований торпеду выставили на войсковые испытания. Их собирались проводить в июле, но по различным причинам сперва перенесли на август, а фактически начали лишь 19 сентября. Проводил их временно сформированный отряд 9-й авиабригады, которым командовал летчик Морозов. Состоял отряд из двух ТБ-1.</w:t>
      </w:r>
    </w:p>
    <w:p w14:paraId="484A3F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Целью являлся линкор "Парижская Коммуна". Сбрасывали так, чтобы торпеда прошла заведомо мимо корабля. Дело в том, что не имелось "мнущихся" (практических) боевых зарядных отделений. В октябре, во время маневров флота, пара ТБ-1 залпом сбросила торпеды по буксируемому щиту в 15 милях от Херсонесского маяка. Обе промахнулись. Трудно было учесть снос парашютов ветром. Но механизмы торпед отработали исправно. Всего до 14 ноября выполнили девять сбрасываний. Поскольку в первую очередь всех интересовала баллистика системы, то часто сбрасывались "болванки" - габаритно-весовые макеты без "начинки"</w:t>
      </w:r>
    </w:p>
    <w:p w14:paraId="6370DB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высотного метания сочли наиболее выгодным приспособить тоже 18-дюймовую торпеду образца 1910/15 г. (тип "Л"), Первоначально она предназначалась для подводных лодок. Парашютная система значительно увеличивала продольный габарит, но торпеда образца 1910/15 г. была существенно короче (и легче) торпеды образца 1912 г.</w:t>
      </w:r>
    </w:p>
    <w:p w14:paraId="7BB488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Авиационный вариант, именовавшийся в документах ВВС- 10/15 или просто ВВС-15, отличался от своего прототипа усиленным корпусом боевого отделения, наличием стопорных устройств, автоматически открывавшихся при ударе о воду, и парашютной системой. Последняя находилась в специальной коробке, крепившейся к хвостовой части торпеды.</w:t>
      </w:r>
    </w:p>
    <w:p w14:paraId="57E464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Парашютная система в значительной степени была унифицирована с авиационной миной ВОМИЗА-ЮО, создававшейся в том же ОТБ. В момент отделения от самолета открывались все предохранительные защелки. Сперва все падало как единое целое, затем набегающий воздушный поток откидывал назад козырек колпака, освобождая находившийся под ним самый маленький, стабилизирующий парашют. Через 1,5-2 с рывок от раскрытия купола приводил в действие автоматический затвор, соединявший колпак и парашютную коробку. После этого колпак отделялся вместе с маленьким парашютом. Затем выпускался следующий купол, побольше. Время опускания на нем варьировалось в зависимости от высоты сброса.</w:t>
      </w:r>
    </w:p>
    <w:p w14:paraId="6FF7D9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Еще в момент отделения от самолета запаливались дистанционные трубки. Назначением их было - через заданный промежуток времени поджечь пороховые заряды в замках между парашютной коробкой и торпедой. После чего под давлением пороховых газов замки автоматически открывались, и коробка, отделившись, опускалась на парашюте. Время горения дистанционных трубок подбиралось так, чтобы главные парашюты срабатывали на высоте 350-400 м. Такое устройство вынуждало пилотов жестко выдерживать высоту сброса торпеды. Если высота оказывалась больше расчетной, то увеличивалось время спуска, а с ним и вероятность уничтожения торпеды зенитным огнем с атакуемого корабля, шансы которого уйти из зоны циркуляции торпеды тоже возрастали. Если же сброс происходил слишком низко, то парашютная система могла попросту не успеть достаточно затормозить торпеду, сильный удар которой о воду мог привести к выходу из строя ее механизмов.</w:t>
      </w:r>
    </w:p>
    <w:p w14:paraId="12585A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Главных куполов было два. Сначала раскрывался нижний, в 15 м под которым висела на тросах торпеда. Через 10-15 с после него выпускался верхний, тоже соединенный тросом с торпедой. Разделенное по времени раскрытие парашютов позволяло ослабить рывок. Этой же цели служили амортизаторы из резинового шнура, шедшие параллельно тросам. В ненагруженном состоянии их длина составляла примерно половину длины троса, поэтому динамический удар сначала гасился вытяжением амортизаторов.</w:t>
      </w:r>
    </w:p>
    <w:p w14:paraId="6298BB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двух парашютах торпеда в наклонном положении снижалась до самой воды. При ударе о поверхность моря бугеля, соединявшие торпеду и тросы парашютной системы, раскрывались и сдергивались с корпуса вспомогательным амортизатором. Система обеспечивала ВВС-15 вход в воду со скоростью 20-25 м/с, что примерно соответствовало свободному падению с высоты 25-30 м, предельной для торпеды образца 1910/15 г.</w:t>
      </w:r>
    </w:p>
    <w:p w14:paraId="184D04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Поскольку в боевых условиях парашютная система безвозвратно терялась, то, как и у ВОМИЗы, ее выполнили из недефицитных материалов. Купола изготовлялись из парусины, короб делали из кровельного железа, его крышку - из фанеры. На учениях все это поднимали из воды, находя по специальным буйкам, прикрепленным к элементам системы (12002).</w:t>
      </w:r>
    </w:p>
    <w:p w14:paraId="5DB6F6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F2A6C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ноября 1931 г. Пост. ВСНХ завод «Сжатый газ», созданный в 1928 на базе советско-американское АО «РАГАЗ» (1926-27 гг.) преобразован в 1-й московский автогенный завод в ведении ВАТ. В 1934-04.1937 г. Автогенный завод № 1 - в ведении ВАТ НКТП,</w:t>
      </w:r>
      <w:r w:rsidRPr="005E779E">
        <w:rPr>
          <w:rFonts w:ascii="Times New Roman" w:hAnsi="Times New Roman"/>
          <w:color w:val="000000" w:themeColor="text1"/>
          <w:sz w:val="16"/>
          <w:szCs w:val="16"/>
          <w:vertAlign w:val="superscript"/>
        </w:rPr>
        <w:t>139</w:t>
      </w:r>
      <w:r w:rsidRPr="005E779E">
        <w:rPr>
          <w:rFonts w:ascii="Times New Roman" w:hAnsi="Times New Roman"/>
          <w:color w:val="000000" w:themeColor="text1"/>
          <w:sz w:val="16"/>
          <w:szCs w:val="16"/>
        </w:rPr>
        <w:t xml:space="preserve"> в 1941 г. - НКТМ.</w:t>
      </w:r>
    </w:p>
    <w:p w14:paraId="298ADB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предложению академика П.Л. Капицы на заводе в 1939 г. организовано ОКБ по разработке турбомашин под руководством В.А. Гитиса и М.М. Левитина.</w:t>
      </w:r>
    </w:p>
    <w:p w14:paraId="4F04A0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1943 г. организовано КБ для создания воздухоразделительных установок (начальник - </w:t>
      </w:r>
      <w:r w:rsidRPr="005E779E">
        <w:rPr>
          <w:rFonts w:ascii="Times New Roman" w:hAnsi="Times New Roman"/>
          <w:color w:val="000000" w:themeColor="text1"/>
          <w:sz w:val="16"/>
          <w:szCs w:val="16"/>
          <w:lang w:val="en-US"/>
        </w:rPr>
        <w:t>A</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M</w:t>
      </w:r>
      <w:r w:rsidRPr="005E779E">
        <w:rPr>
          <w:rFonts w:ascii="Times New Roman" w:hAnsi="Times New Roman"/>
          <w:color w:val="000000" w:themeColor="text1"/>
          <w:sz w:val="16"/>
          <w:szCs w:val="16"/>
        </w:rPr>
        <w:t>. Горшков), в 12.1945 г. КБ Главкислорода вошло в состав созданного ВНИИКИМАШа.</w:t>
      </w:r>
    </w:p>
    <w:p w14:paraId="7F7C2B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1955 г. завод - в ведении ММиП, в 1956 г. - ММ, с 1965 г. - Минхимнефтемаша. В 1960 г. завод переименован в Московский завод кислородного машиностроения. В 1971 г. на базе завода и ВНИИКриогенмаша создано НПО «Гелиймаш». Завод переименован в МЭЗГМ.</w:t>
      </w:r>
    </w:p>
    <w:p w14:paraId="598E2F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Производство криогенного оборудования.</w:t>
      </w:r>
    </w:p>
    <w:p w14:paraId="3ED098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(1931 г.)- Е.А. Дрейцер, (1940 г.)- Филатов.</w:t>
      </w:r>
    </w:p>
    <w:p w14:paraId="636D6E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инженер (1931 г.)- Л.Б. Фалькевич.</w:t>
      </w:r>
    </w:p>
    <w:p w14:paraId="78432D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Производство: генератор ВД-25, газгольдер, скруббер, химический очиститель, регулятор давления (1938) (11982).</w:t>
      </w:r>
    </w:p>
    <w:p w14:paraId="4435E5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2C11380"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2415EDC4"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84F50FD" w14:textId="77777777" w:rsidR="000A615A" w:rsidRPr="005E779E" w:rsidRDefault="000A615A"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5 ноября 1931 г.</w:t>
      </w:r>
    </w:p>
    <w:p w14:paraId="15E3037B" w14:textId="77777777" w:rsidR="000A615A" w:rsidRPr="005E779E" w:rsidRDefault="000A615A"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Приказ об изменении распорядка дня в ОКБ и АТТБ ЭКУ ОГПУ в дни празднования «XIV годовщины Октябрьской Революции». 5 ноября 1931 г.</w:t>
      </w:r>
    </w:p>
    <w:p w14:paraId="41094C0B" w14:textId="77777777" w:rsidR="000A615A" w:rsidRPr="005E779E" w:rsidRDefault="000A615A"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Источник: </w:t>
      </w:r>
    </w:p>
    <w:p w14:paraId="1CB70AFB" w14:textId="77777777" w:rsidR="000A615A" w:rsidRPr="005E779E" w:rsidRDefault="000A615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52CEF83" w14:textId="77777777" w:rsidR="000A615A" w:rsidRPr="005E779E" w:rsidRDefault="000A615A"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Архив: </w:t>
      </w:r>
    </w:p>
    <w:p w14:paraId="17ED5480" w14:textId="77777777" w:rsidR="000A615A" w:rsidRPr="005E779E" w:rsidRDefault="000A615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РГАЭ. Ф. 38. Oп. 1. Д. 2. Л. 119</w:t>
      </w:r>
    </w:p>
    <w:p w14:paraId="06CF7929" w14:textId="77777777" w:rsidR="000A615A" w:rsidRPr="005E779E" w:rsidRDefault="000A615A" w:rsidP="000B7A6C">
      <w:pPr>
        <w:pStyle w:val="rteright"/>
        <w:spacing w:before="0" w:after="0"/>
        <w:jc w:val="both"/>
        <w:rPr>
          <w:color w:val="000000" w:themeColor="text1"/>
          <w:sz w:val="16"/>
          <w:szCs w:val="16"/>
        </w:rPr>
      </w:pPr>
      <w:r w:rsidRPr="005E779E">
        <w:rPr>
          <w:color w:val="000000" w:themeColor="text1"/>
          <w:sz w:val="16"/>
          <w:szCs w:val="16"/>
        </w:rPr>
        <w:t>[5] ноября 1931 г.</w:t>
      </w:r>
    </w:p>
    <w:p w14:paraId="6067D862" w14:textId="77777777" w:rsidR="000A615A" w:rsidRPr="005E779E" w:rsidRDefault="000A615A" w:rsidP="000B7A6C">
      <w:pPr>
        <w:pStyle w:val="ae"/>
        <w:spacing w:before="0" w:after="0"/>
        <w:jc w:val="both"/>
        <w:rPr>
          <w:color w:val="000000" w:themeColor="text1"/>
          <w:sz w:val="16"/>
          <w:szCs w:val="16"/>
        </w:rPr>
      </w:pPr>
      <w:r w:rsidRPr="005E779E">
        <w:rPr>
          <w:color w:val="000000" w:themeColor="text1"/>
          <w:sz w:val="16"/>
          <w:szCs w:val="16"/>
        </w:rPr>
        <w:t>ПРИКАЗАНИЕ</w:t>
      </w:r>
    </w:p>
    <w:p w14:paraId="0AE5142D" w14:textId="77777777" w:rsidR="000A615A" w:rsidRPr="005E779E" w:rsidRDefault="000A615A" w:rsidP="000B7A6C">
      <w:pPr>
        <w:pStyle w:val="ae"/>
        <w:spacing w:before="0" w:after="0"/>
        <w:jc w:val="both"/>
        <w:rPr>
          <w:color w:val="000000" w:themeColor="text1"/>
          <w:sz w:val="16"/>
          <w:szCs w:val="16"/>
        </w:rPr>
      </w:pPr>
      <w:r w:rsidRPr="005E779E">
        <w:rPr>
          <w:color w:val="000000" w:themeColor="text1"/>
          <w:sz w:val="16"/>
          <w:szCs w:val="16"/>
        </w:rPr>
        <w:t>ПО ТЕХНИЧЕСКОМУ ОТДЕЛЕНИЮ ЭКУ ОГПУ</w:t>
      </w:r>
    </w:p>
    <w:p w14:paraId="1143BD65" w14:textId="77777777" w:rsidR="000A615A" w:rsidRPr="005E779E" w:rsidRDefault="000A615A" w:rsidP="000B7A6C">
      <w:pPr>
        <w:pStyle w:val="rtejustify"/>
        <w:spacing w:before="0" w:after="0"/>
        <w:rPr>
          <w:color w:val="000000" w:themeColor="text1"/>
          <w:sz w:val="16"/>
          <w:szCs w:val="16"/>
        </w:rPr>
      </w:pPr>
      <w:r w:rsidRPr="005E779E">
        <w:rPr>
          <w:color w:val="000000" w:themeColor="text1"/>
          <w:sz w:val="16"/>
          <w:szCs w:val="16"/>
        </w:rPr>
        <w:t>На 7 и 8-ое ноября, дни празднества XIV годовщины Октябрьской Революции, всем НАЧАЛЬНИКАМ ОКБ и АТТБ по своему усмотрению в подведомственных им бюро разрешить внеочередные свидания заключенным.</w:t>
      </w:r>
    </w:p>
    <w:p w14:paraId="6EC58442" w14:textId="77777777" w:rsidR="000A615A" w:rsidRPr="005E779E" w:rsidRDefault="000A615A" w:rsidP="000B7A6C">
      <w:pPr>
        <w:pStyle w:val="rtejustify"/>
        <w:spacing w:before="0" w:after="0"/>
        <w:rPr>
          <w:color w:val="000000" w:themeColor="text1"/>
          <w:sz w:val="16"/>
          <w:szCs w:val="16"/>
        </w:rPr>
      </w:pPr>
      <w:r w:rsidRPr="005E779E">
        <w:rPr>
          <w:color w:val="000000" w:themeColor="text1"/>
          <w:sz w:val="16"/>
          <w:szCs w:val="16"/>
        </w:rPr>
        <w:t>7/XI свидания начать с 12 часов дня и до 10 час. вечера.</w:t>
      </w:r>
    </w:p>
    <w:p w14:paraId="2A6FDD80" w14:textId="77777777" w:rsidR="000A615A" w:rsidRPr="005E779E" w:rsidRDefault="000A615A" w:rsidP="000B7A6C">
      <w:pPr>
        <w:pStyle w:val="rtejustify"/>
        <w:spacing w:before="0" w:after="0"/>
        <w:rPr>
          <w:color w:val="000000" w:themeColor="text1"/>
          <w:sz w:val="16"/>
          <w:szCs w:val="16"/>
        </w:rPr>
      </w:pPr>
      <w:r w:rsidRPr="005E779E">
        <w:rPr>
          <w:color w:val="000000" w:themeColor="text1"/>
          <w:sz w:val="16"/>
          <w:szCs w:val="16"/>
        </w:rPr>
        <w:t>8/XI — с 10 час. утра и до 6 час. вечера.</w:t>
      </w:r>
    </w:p>
    <w:p w14:paraId="2091455A" w14:textId="77777777" w:rsidR="000A615A" w:rsidRPr="005E779E" w:rsidRDefault="000A615A" w:rsidP="000B7A6C">
      <w:pPr>
        <w:pStyle w:val="rtejustify"/>
        <w:spacing w:before="0" w:after="0"/>
        <w:rPr>
          <w:color w:val="000000" w:themeColor="text1"/>
          <w:sz w:val="16"/>
          <w:szCs w:val="16"/>
        </w:rPr>
      </w:pPr>
      <w:r w:rsidRPr="005E779E">
        <w:rPr>
          <w:color w:val="000000" w:themeColor="text1"/>
          <w:sz w:val="16"/>
          <w:szCs w:val="16"/>
        </w:rPr>
        <w:t>Кроме того за счет средств Отделения, всем заключенным дополнительно к обеду закупить на каждого по одной коробке консервов, одному кило фрукт[ов] и 200 грамм печенья.</w:t>
      </w:r>
    </w:p>
    <w:p w14:paraId="001E5CF9" w14:textId="77777777" w:rsidR="000A615A" w:rsidRPr="005E779E" w:rsidRDefault="000A615A" w:rsidP="000B7A6C">
      <w:pPr>
        <w:pStyle w:val="rtejustify"/>
        <w:spacing w:before="0" w:after="0"/>
        <w:rPr>
          <w:color w:val="000000" w:themeColor="text1"/>
          <w:sz w:val="16"/>
          <w:szCs w:val="16"/>
        </w:rPr>
      </w:pPr>
      <w:r w:rsidRPr="005E779E">
        <w:rPr>
          <w:color w:val="000000" w:themeColor="text1"/>
          <w:sz w:val="16"/>
          <w:szCs w:val="16"/>
        </w:rPr>
        <w:t>Начиная с 9/XI свидания проходят обычным порядком.</w:t>
      </w:r>
    </w:p>
    <w:p w14:paraId="27E176AE" w14:textId="77777777" w:rsidR="000A615A" w:rsidRPr="005E779E" w:rsidRDefault="000A615A" w:rsidP="000B7A6C">
      <w:pPr>
        <w:pStyle w:val="rtejustify"/>
        <w:spacing w:before="0" w:after="0"/>
        <w:rPr>
          <w:color w:val="000000" w:themeColor="text1"/>
          <w:sz w:val="16"/>
          <w:szCs w:val="16"/>
        </w:rPr>
      </w:pPr>
      <w:r w:rsidRPr="005E779E">
        <w:rPr>
          <w:color w:val="000000" w:themeColor="text1"/>
          <w:sz w:val="16"/>
          <w:szCs w:val="16"/>
        </w:rPr>
        <w:t>Приказание в копии выдать под расписку всем Нач. ОКБ и АТТБ, а также т.т. БУДРИС и ГОЛЬДА.</w:t>
      </w:r>
    </w:p>
    <w:p w14:paraId="0F92A9DD" w14:textId="77777777" w:rsidR="000A615A" w:rsidRPr="005E779E" w:rsidRDefault="000A615A" w:rsidP="000B7A6C">
      <w:pPr>
        <w:pStyle w:val="rtejustify"/>
        <w:spacing w:before="0" w:after="0"/>
        <w:rPr>
          <w:color w:val="000000" w:themeColor="text1"/>
          <w:sz w:val="16"/>
          <w:szCs w:val="16"/>
        </w:rPr>
      </w:pPr>
      <w:r w:rsidRPr="005E779E">
        <w:rPr>
          <w:color w:val="000000" w:themeColor="text1"/>
          <w:sz w:val="16"/>
          <w:szCs w:val="16"/>
        </w:rPr>
        <w:t>ПОМ. НАЧ. ТЕХ. ОТД. ЭКУ ОГПУ (Соколов)</w:t>
      </w:r>
    </w:p>
    <w:p w14:paraId="088B2B13" w14:textId="77777777" w:rsidR="000A615A" w:rsidRPr="005E779E" w:rsidRDefault="000A615A" w:rsidP="000B7A6C">
      <w:pPr>
        <w:pStyle w:val="ae"/>
        <w:spacing w:before="0" w:after="0"/>
        <w:jc w:val="both"/>
        <w:rPr>
          <w:color w:val="000000" w:themeColor="text1"/>
          <w:sz w:val="16"/>
          <w:szCs w:val="16"/>
        </w:rPr>
      </w:pPr>
      <w:r w:rsidRPr="005E779E">
        <w:rPr>
          <w:rStyle w:val="af0"/>
          <w:i w:val="0"/>
          <w:color w:val="000000" w:themeColor="text1"/>
          <w:sz w:val="16"/>
          <w:szCs w:val="16"/>
        </w:rPr>
        <w:t>РГАЭ. Ф. 38. Oп. 1. Д. 2. Л. 119. Машинописная копия того времени, дата «... ноября 1931 года» — вверху справа ниже заголовка (число отсутствует ).</w:t>
      </w:r>
    </w:p>
    <w:p w14:paraId="5E003CAF" w14:textId="77777777" w:rsidR="000A615A" w:rsidRPr="005E779E" w:rsidRDefault="000A615A" w:rsidP="000B7A6C">
      <w:pPr>
        <w:spacing w:after="0" w:line="240" w:lineRule="auto"/>
        <w:jc w:val="both"/>
        <w:rPr>
          <w:rFonts w:ascii="Times New Roman" w:hAnsi="Times New Roman"/>
          <w:color w:val="000000" w:themeColor="text1"/>
          <w:sz w:val="16"/>
          <w:szCs w:val="16"/>
        </w:rPr>
      </w:pPr>
    </w:p>
    <w:p w14:paraId="4A24FC09" w14:textId="5644CF00"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5 ноября 1931 г. по приказу ВСНХ № 15с Ярославский механический завод треста «Госшвеймашина», созданный в 1929, был преобразован в Государственный механический завод № 62 в ведении Всесоюзного снарядного треста и перепрофилирован на производство прессовальных штампов, прессформ, цепей Галя, втулок </w:t>
      </w:r>
      <w:r w:rsidRPr="005E779E">
        <w:rPr>
          <w:rFonts w:ascii="Times New Roman" w:hAnsi="Times New Roman"/>
          <w:color w:val="000000" w:themeColor="text1"/>
          <w:sz w:val="16"/>
          <w:szCs w:val="16"/>
        </w:rPr>
        <w:lastRenderedPageBreak/>
        <w:t>(Государственный механический завод № 62 ВСНХ, НКТП, Ярославский механический завод, ГС завод № 62 НКОП, НКБ, п/я 161, Челябинский завод электромонтажных механизмов, ГП, ФГУП «Челябинский автоматно-механический завод» (ЧАМЗ) МЭ, Росбоеприпаса, ФАП / г. Ярославль;</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Челябинск п/я 161 «Стрела» (1943 г.)/ /454028</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Челябинск ул. Ярославская, 1 тел. (3512) 62-02-98/). В 1934 г. на его базе был создан специальный завод по производству авиационных снарядов.</w:t>
      </w:r>
    </w:p>
    <w:p w14:paraId="07E5C5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1932 г. - в ведении НКТП, в 02.1937 г. - в ведении 4ГУ. Приказом НКОП № 91 от 13.03.1937 г. утвержден Устав завода. По пр. № 0180 от 15.08.1937 г. передан в новое 13ГУ. В 02.1939 г. завод № 62 13ГУ НКОП передан в ведение 13ГУ НКБ.</w:t>
      </w:r>
    </w:p>
    <w:p w14:paraId="14E13B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Приказом НКОП № 0025 от 4.02.1937 г. заводу предписано к 1,01.1938 г. создать мощности по выпуску корпусов снарядов: 20-мм - 1; 45-мм бронебойных - 6 млн. шт. в год. Мощность завода перед эвакуацией: снаряды: 20-мм - 9,6 млн. шт. в год; 25-мм - 1,2 млн. шт.; 37-мм - 9,84 млн. шт.</w:t>
      </w:r>
    </w:p>
    <w:p w14:paraId="1FAE1621" w14:textId="4FB0F3BE"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 62 4ГУ НКБ (производство 20-мм, 25-мм и 37-мм снарядов, всего 1249 ед. оборудования, 1980 чел.) эвакуирован в 1941 г. в</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Челябинск на площадку бывших складов УГМР Наркомзага, первый эшелон прибыл 7.11.1941 г. К 30.12.1941 г. все оборудование прибыло, большая его часть смонтирована и введена в строй. В Челябинске завод № 62 продолжил действовать под прежним номером. К 30.01.1942 г. восстановлено производство мощностью: 20-мм снаряды - 12 млн. шт. в год; 37-мм - 7 млн. шт. 3.11.1944 г. вышло распоряжение ГКО № 6859 о срочной поставке заводу дюралюминия.</w:t>
      </w:r>
    </w:p>
    <w:p w14:paraId="7493B9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12.1942-04.1943 г. - в ведении 5ГУ НКБ, в 08.1943-09.1944 г. - в ведении 8ГУ. Имел обозначение «п/я 161» (1943 г.). Упоминалось наименование «завод № 3».</w:t>
      </w:r>
    </w:p>
    <w:p w14:paraId="623478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месте эвакуированного завода в Ярославле организован механический завод № 599 НКБ. По приказу НКБ № 1045с от 10.11.1943 г. с завода № 62 на завод № 599 переведено 14 специалистов во главе с зам. гл. технолога А.В. Шихановым.</w:t>
      </w:r>
    </w:p>
    <w:p w14:paraId="11FBB4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составе завода цехи (1943 г.): основные: механические, прессовый, термический, кузница; вспомогательные: оксидировочный.</w:t>
      </w:r>
    </w:p>
    <w:p w14:paraId="004C3F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войны налажен выпуск зерноочистительных машин, магнитных пускателей, баллонов высокого давления, цилиндров, бытовой техники.</w:t>
      </w:r>
    </w:p>
    <w:p w14:paraId="08359C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20.11.1981 г. ЧАМЗ награжден Орденом Трудового Красного Знамени.</w:t>
      </w:r>
    </w:p>
    <w:p w14:paraId="0BCF79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имел (2001 г.) испытательный полигон.</w:t>
      </w:r>
    </w:p>
    <w:p w14:paraId="31636A0A" w14:textId="21169DE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15.06.1992 г. пост. Главы администрации</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Челябинска № 1021 зарегистрировано ГП ЧАМЗ. 28.04.1999 г. утвержден Устав ФГУП ЧАМЗ МЭ, в 2003 г. - в ведении Росбоеприпаса, в 2004 г. - ФАП. По Указу Президента РФ № 1009 от 4.08.2004 г. ФГУП вошло в число стратегических оборонных предприятий. В 2008 г. ФГУП являлось банкротом. 29.01.2009 г. на предприятии введена процедура внешнего управления сроком на 18 месяцев.</w:t>
      </w:r>
    </w:p>
    <w:p w14:paraId="4DE7BE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Количество оборудования (1943 г.)- 1228 ед.</w:t>
      </w:r>
    </w:p>
    <w:p w14:paraId="4E72E9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Площадь (1943 г.): производственная- 13292 м</w:t>
      </w:r>
      <w:r w:rsidRPr="005E779E">
        <w:rPr>
          <w:rFonts w:ascii="Times New Roman" w:hAnsi="Times New Roman"/>
          <w:color w:val="000000" w:themeColor="text1"/>
          <w:sz w:val="16"/>
          <w:szCs w:val="16"/>
          <w:vertAlign w:val="superscript"/>
        </w:rPr>
        <w:t>2</w:t>
      </w:r>
      <w:r w:rsidRPr="005E779E">
        <w:rPr>
          <w:rFonts w:ascii="Times New Roman" w:hAnsi="Times New Roman"/>
          <w:color w:val="000000" w:themeColor="text1"/>
          <w:sz w:val="16"/>
          <w:szCs w:val="16"/>
        </w:rPr>
        <w:t>; вспомогательная- 5348 м</w:t>
      </w:r>
      <w:r w:rsidRPr="005E779E">
        <w:rPr>
          <w:rFonts w:ascii="Times New Roman" w:hAnsi="Times New Roman"/>
          <w:color w:val="000000" w:themeColor="text1"/>
          <w:sz w:val="16"/>
          <w:szCs w:val="16"/>
          <w:vertAlign w:val="superscript"/>
        </w:rPr>
        <w:t>2</w:t>
      </w:r>
      <w:r w:rsidRPr="005E779E">
        <w:rPr>
          <w:rFonts w:ascii="Times New Roman" w:hAnsi="Times New Roman"/>
          <w:color w:val="000000" w:themeColor="text1"/>
          <w:sz w:val="16"/>
          <w:szCs w:val="16"/>
        </w:rPr>
        <w:t>.</w:t>
      </w:r>
    </w:p>
    <w:p w14:paraId="297168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Численность персонала (10.1941 г.)- 5000 чел., (12.1942 г.)- 4049 чел.</w:t>
      </w:r>
    </w:p>
    <w:p w14:paraId="7EC458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Директор (-27.05.1937 г.)- Х.В. Давыдов (снят), (27.05-20.08.1937 г.)- И.Ф. Готовкин, (20.08.1937 г.-)- С.С. Какунин, (04.1943 г.)- М.С. Завражнов, (1946-47 г.)- С.С. Зарва, (1947-53 г.)- С.А. Полянцев, (1953-58 г.)- </w:t>
      </w:r>
      <w:r w:rsidRPr="005E779E">
        <w:rPr>
          <w:rFonts w:ascii="Times New Roman" w:hAnsi="Times New Roman"/>
          <w:color w:val="000000" w:themeColor="text1"/>
          <w:sz w:val="16"/>
          <w:szCs w:val="16"/>
          <w:lang w:val="en-US"/>
        </w:rPr>
        <w:t>B</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C</w:t>
      </w:r>
      <w:r w:rsidRPr="005E779E">
        <w:rPr>
          <w:rFonts w:ascii="Times New Roman" w:hAnsi="Times New Roman"/>
          <w:color w:val="000000" w:themeColor="text1"/>
          <w:sz w:val="16"/>
          <w:szCs w:val="16"/>
        </w:rPr>
        <w:t>. Кононов, (1958-73 г.)- А.И. Бохонов, (1973 г.-)- Н.А. Никитин, В.М. Злоказов, (-1979 г.)- А.А. Бобылев, (1979-95 г.)- Э.А. Останин. Гендиректор (-2008 г.)- Е. Пастушков (осужден), (2009 г.)- А.В. Никулин. Внешний управляющий (01.2009 г.-)- И.А. Золотухин, (15.04.2009 г.-)- В.Д. Коробов.</w:t>
      </w:r>
    </w:p>
    <w:p w14:paraId="4D8766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директора (06.1937 г.)- А.П. Надеждин. Зам. гендиректора (2004 г.)- М. Гельфоид.</w:t>
      </w:r>
    </w:p>
    <w:p w14:paraId="5E6ABD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инженер (06.1937 г.)- А.П. Надеждин, (1946-66 г.)- Ф.Н. Рожков.</w:t>
      </w:r>
    </w:p>
    <w:p w14:paraId="40033A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гл. технолога (-11.1943 г.)- А.В. Шиханов.</w:t>
      </w:r>
    </w:p>
    <w:p w14:paraId="56EDF1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начальника цеха: ремоятно-механического (-11.1943 г.)- Н.В. Захаркин; инструментального (-11.1943 г.)- Н.Т. Сердюк; термического (-11.1943 г.)- Ф.М. Василенко.</w:t>
      </w:r>
    </w:p>
    <w:p w14:paraId="014F38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Начальники отделов: 2-го (04.1943 г.)- Колодин.</w:t>
      </w:r>
    </w:p>
    <w:p w14:paraId="574950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Производство: снаряды 20-мм, 23-мм, 37-мм (1943);</w:t>
      </w:r>
      <w:r w:rsidRPr="005E779E">
        <w:rPr>
          <w:rFonts w:ascii="Times New Roman" w:hAnsi="Times New Roman"/>
          <w:color w:val="000000" w:themeColor="text1"/>
          <w:sz w:val="16"/>
          <w:szCs w:val="16"/>
          <w:vertAlign w:val="superscript"/>
        </w:rPr>
        <w:t>ш</w:t>
      </w:r>
      <w:r w:rsidRPr="005E779E">
        <w:rPr>
          <w:rFonts w:ascii="Times New Roman" w:hAnsi="Times New Roman"/>
          <w:color w:val="000000" w:themeColor="text1"/>
          <w:sz w:val="16"/>
          <w:szCs w:val="16"/>
        </w:rPr>
        <w:t xml:space="preserve"> снаряды (2001); задвижки для нефтегазовой промышленности ЗМС1; магнитные пускатели ПМА-3000; баллоны для огнетушителей; инструмент режущий; плита газовая «Рябинка» (1993-2007-), электроплита «Рябинка-10» (2001-07-); переключатель для электроплит ПМ-7 (2000-е) (11982).</w:t>
      </w:r>
    </w:p>
    <w:p w14:paraId="32A984E6" w14:textId="77777777" w:rsidR="00193905" w:rsidRPr="005E779E" w:rsidRDefault="00193905" w:rsidP="000B7A6C">
      <w:pPr>
        <w:spacing w:after="0" w:line="240" w:lineRule="auto"/>
        <w:jc w:val="both"/>
        <w:rPr>
          <w:rFonts w:ascii="Times New Roman" w:hAnsi="Times New Roman"/>
          <w:bCs/>
          <w:color w:val="000000" w:themeColor="text1"/>
          <w:sz w:val="16"/>
          <w:szCs w:val="16"/>
        </w:rPr>
      </w:pPr>
    </w:p>
    <w:p w14:paraId="2C5C2E64" w14:textId="77777777" w:rsidR="00193905" w:rsidRPr="005E779E" w:rsidRDefault="00193905"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5 ноября</w:t>
      </w:r>
      <w:r w:rsidRPr="005E779E">
        <w:rPr>
          <w:rFonts w:ascii="Times New Roman" w:hAnsi="Times New Roman"/>
          <w:color w:val="000000" w:themeColor="text1"/>
          <w:sz w:val="16"/>
          <w:szCs w:val="16"/>
        </w:rPr>
        <w:t xml:space="preserve"> в 1931 году основан Челябинский автоматно-механический завод. Челябинский автоматно-механический завод (ФГУП ЧАМЗ), основан в городе Ярославле на базе небольшого предприятия по производству швейных машин треста «Госшвеймашина». Приказом ВСНХ СССР от 17 октября 1931 завод передан в подчинение Всесоюзному снарядному тресту. 5 ноября 1931 ему было присвоено название «Ярославский механический завод № 62». В 1932 г. была произведена первая партия корпусов для снарядов. 7 ноября 1942 г. завод эвакуирован в Челябинск, и уже 12 декабря была выпущена первая партия снарядов. За годы войны завод увеличил объем выпускаемой продукции в 4 раза. С 1957 г. завод начал специализироваться на выпуске электротехнической продукции – магнитных пускателей, тепловых реле, установочных автоматов. В 1999 г. завод преобразован в ФГУП ЧАМЗ, производственный профиль которого – элементы боеприпасов, другие оборонные изделия, высокотехнологичная продукция машиностроения. Сегодня ЧАМЗ – комплексное механизированное производство. По тактико-техническим характеристикам продукция ЧАМЗ признана одной из лучших в мире. За успешное освоение новой техники и достигнутые производственные успехи Указом Президиума Верховного Совета СССР от 20 ноября 1981 г. Челябинский автоматно-механический завод награжден Орденом Трудового Красного Знамени (14821).</w:t>
      </w:r>
    </w:p>
    <w:p w14:paraId="676C8D10" w14:textId="77777777" w:rsidR="00193905" w:rsidRPr="005E779E" w:rsidRDefault="00193905"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A6C9DBE"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43EC5053"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BD252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ноября 1931 Р.Макдоналд в Англии сформировал второе национальное правительство с Н.Чемберленом в качестве министра финансов (3481).</w:t>
      </w:r>
    </w:p>
    <w:p w14:paraId="2EC223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8CE6FB0"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529FAA4C"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2550D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ноября 1931 с письмом НИИ ГВФ N 288 в ЦАГИ и АГОС были направлены материалы ко 2-й конференции ГВФ (Реконструкция ГВФ, планы опытного строительства, данные иностранных самолетов) (351).</w:t>
      </w:r>
    </w:p>
    <w:p w14:paraId="23E0F9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основании личной с Вами договоренности пересылаю Вам материал для работ по подготовке ко 2-й конференции ГВФ. Материал из себя представляет те основные наметки по реконструкции ГВФ, на основании чего составляется план опытного строительства и анализ самолетного парка до 30 года зарубежных стран.</w:t>
      </w:r>
    </w:p>
    <w:p w14:paraId="08BEE3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наметкам самолетной секции желательно, чтобы Ваша группа проработала следующие вопросы:</w:t>
      </w:r>
    </w:p>
    <w:p w14:paraId="1E25C5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p w14:paraId="2A1866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наивыгоднейшая тоннажность,</w:t>
      </w:r>
    </w:p>
    <w:p w14:paraId="051C34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дальность полета,</w:t>
      </w:r>
    </w:p>
    <w:p w14:paraId="261846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распределение по районам,</w:t>
      </w:r>
    </w:p>
    <w:p w14:paraId="0C52E1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Группа т. Станклицкий, т. Шавров и т. Погосский</w:t>
      </w:r>
    </w:p>
    <w:p w14:paraId="62B1ED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типаж гидросамолетов по речным и..."(351).</w:t>
      </w:r>
    </w:p>
    <w:p w14:paraId="5EE3E9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Получили в ЦАГИ 6 ноября и дали N 1852с (351).</w:t>
      </w:r>
    </w:p>
    <w:p w14:paraId="689028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Приложили октябрьское письмо N 200/1058с в ВАО Управление опытного самолетостроения/</w:t>
      </w:r>
    </w:p>
    <w:p w14:paraId="7D5FD6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октября 1931 было подготовлен письмо N 200/1058с от Члена Правления ВОГВФ А.П.Голубкова и Нач. Самолетного отдела НИИ ГВФ Дементьева в ВАО:</w:t>
      </w:r>
    </w:p>
    <w:p w14:paraId="60B0D6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сем пересылаем Вам план опытного самолетостроения ВОГ ГВФ на 1931-1932 годы с указанием желательных сроков готовности опытных экземпляров (351,37):</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59"/>
        <w:gridCol w:w="992"/>
        <w:gridCol w:w="8647"/>
      </w:tblGrid>
      <w:tr w:rsidR="001002C3" w:rsidRPr="005E779E" w14:paraId="0E857EA2" w14:textId="77777777">
        <w:tc>
          <w:tcPr>
            <w:tcW w:w="959" w:type="dxa"/>
          </w:tcPr>
          <w:p w14:paraId="7B1575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Самолет</w:t>
            </w:r>
          </w:p>
        </w:tc>
        <w:tc>
          <w:tcPr>
            <w:tcW w:w="992" w:type="dxa"/>
          </w:tcPr>
          <w:p w14:paraId="01440B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К-7</w:t>
            </w:r>
          </w:p>
        </w:tc>
        <w:tc>
          <w:tcPr>
            <w:tcW w:w="8647" w:type="dxa"/>
          </w:tcPr>
          <w:p w14:paraId="2A72BB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1-й опытный экз. должен поступить в ВОГФ в мае 1932 (инф. т. Гольцмана)</w:t>
            </w:r>
          </w:p>
        </w:tc>
      </w:tr>
      <w:tr w:rsidR="001002C3" w:rsidRPr="005E779E" w14:paraId="14D0AC68" w14:textId="77777777">
        <w:tc>
          <w:tcPr>
            <w:tcW w:w="959" w:type="dxa"/>
          </w:tcPr>
          <w:p w14:paraId="3257D4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 </w:t>
            </w:r>
          </w:p>
        </w:tc>
        <w:tc>
          <w:tcPr>
            <w:tcW w:w="992" w:type="dxa"/>
          </w:tcPr>
          <w:p w14:paraId="6E8695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К-10</w:t>
            </w:r>
          </w:p>
        </w:tc>
        <w:tc>
          <w:tcPr>
            <w:tcW w:w="8647" w:type="dxa"/>
          </w:tcPr>
          <w:p w14:paraId="3C11E0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Должен поступить не позднее 1 января 1932</w:t>
            </w:r>
          </w:p>
        </w:tc>
      </w:tr>
      <w:tr w:rsidR="001002C3" w:rsidRPr="005E779E" w14:paraId="128E07FA" w14:textId="77777777">
        <w:tc>
          <w:tcPr>
            <w:tcW w:w="959" w:type="dxa"/>
          </w:tcPr>
          <w:p w14:paraId="2472D7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tc>
        <w:tc>
          <w:tcPr>
            <w:tcW w:w="992" w:type="dxa"/>
          </w:tcPr>
          <w:p w14:paraId="64CC46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МДР-3</w:t>
            </w:r>
          </w:p>
        </w:tc>
        <w:tc>
          <w:tcPr>
            <w:tcW w:w="8647" w:type="dxa"/>
          </w:tcPr>
          <w:p w14:paraId="0BC152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Самолет модифицируется под пассажирский. Желательно опытную военную после специальных </w:t>
            </w:r>
          </w:p>
        </w:tc>
      </w:tr>
      <w:tr w:rsidR="001002C3" w:rsidRPr="005E779E" w14:paraId="615C71B2" w14:textId="77777777">
        <w:tc>
          <w:tcPr>
            <w:tcW w:w="959" w:type="dxa"/>
          </w:tcPr>
          <w:p w14:paraId="6DD4B3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3FF99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647" w:type="dxa"/>
          </w:tcPr>
          <w:p w14:paraId="4F9D51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испытаний оборудовать в гражданскую</w:t>
            </w:r>
          </w:p>
        </w:tc>
      </w:tr>
      <w:tr w:rsidR="001002C3" w:rsidRPr="005E779E" w14:paraId="72729429" w14:textId="77777777">
        <w:tc>
          <w:tcPr>
            <w:tcW w:w="959" w:type="dxa"/>
          </w:tcPr>
          <w:p w14:paraId="3282A4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4. </w:t>
            </w:r>
          </w:p>
        </w:tc>
        <w:tc>
          <w:tcPr>
            <w:tcW w:w="992" w:type="dxa"/>
          </w:tcPr>
          <w:p w14:paraId="58FC6F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ТБ-5</w:t>
            </w:r>
          </w:p>
        </w:tc>
        <w:tc>
          <w:tcPr>
            <w:tcW w:w="8647" w:type="dxa"/>
          </w:tcPr>
          <w:p w14:paraId="674F90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Заключить договор на переделку имеющегося военного экземпляра в гражданский</w:t>
            </w:r>
          </w:p>
        </w:tc>
      </w:tr>
      <w:tr w:rsidR="001002C3" w:rsidRPr="005E779E" w14:paraId="2826360A" w14:textId="77777777">
        <w:tc>
          <w:tcPr>
            <w:tcW w:w="959" w:type="dxa"/>
          </w:tcPr>
          <w:p w14:paraId="30AACF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w:t>
            </w:r>
          </w:p>
        </w:tc>
        <w:tc>
          <w:tcPr>
            <w:tcW w:w="992" w:type="dxa"/>
          </w:tcPr>
          <w:p w14:paraId="23EBE1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ТБ-3</w:t>
            </w:r>
          </w:p>
        </w:tc>
        <w:tc>
          <w:tcPr>
            <w:tcW w:w="8647" w:type="dxa"/>
          </w:tcPr>
          <w:p w14:paraId="2B4243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Заключить договор на опытный экземпляр</w:t>
            </w:r>
          </w:p>
        </w:tc>
      </w:tr>
      <w:tr w:rsidR="001002C3" w:rsidRPr="005E779E" w14:paraId="6DA719C1" w14:textId="77777777">
        <w:tc>
          <w:tcPr>
            <w:tcW w:w="959" w:type="dxa"/>
          </w:tcPr>
          <w:p w14:paraId="5CF3F1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w:t>
            </w:r>
          </w:p>
        </w:tc>
        <w:tc>
          <w:tcPr>
            <w:tcW w:w="992" w:type="dxa"/>
          </w:tcPr>
          <w:p w14:paraId="159218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ТБ-4</w:t>
            </w:r>
          </w:p>
        </w:tc>
        <w:tc>
          <w:tcPr>
            <w:tcW w:w="8647" w:type="dxa"/>
          </w:tcPr>
          <w:p w14:paraId="20BC2A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1002C3" w:rsidRPr="005E779E" w14:paraId="633A2819" w14:textId="77777777">
        <w:tc>
          <w:tcPr>
            <w:tcW w:w="959" w:type="dxa"/>
          </w:tcPr>
          <w:p w14:paraId="3E93EE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w:t>
            </w:r>
          </w:p>
        </w:tc>
        <w:tc>
          <w:tcPr>
            <w:tcW w:w="992" w:type="dxa"/>
          </w:tcPr>
          <w:p w14:paraId="4C3D52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Р-5</w:t>
            </w:r>
          </w:p>
        </w:tc>
        <w:tc>
          <w:tcPr>
            <w:tcW w:w="8647" w:type="dxa"/>
          </w:tcPr>
          <w:p w14:paraId="678137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Заключить договор на переделку в гражданскую машину. Срок готовности - март 1932</w:t>
            </w:r>
          </w:p>
        </w:tc>
      </w:tr>
      <w:tr w:rsidR="001002C3" w:rsidRPr="005E779E" w14:paraId="5DDC700B" w14:textId="77777777">
        <w:tc>
          <w:tcPr>
            <w:tcW w:w="959" w:type="dxa"/>
          </w:tcPr>
          <w:p w14:paraId="49212C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w:t>
            </w:r>
          </w:p>
        </w:tc>
        <w:tc>
          <w:tcPr>
            <w:tcW w:w="992" w:type="dxa"/>
          </w:tcPr>
          <w:p w14:paraId="18BC1B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Р-5</w:t>
            </w:r>
          </w:p>
        </w:tc>
        <w:tc>
          <w:tcPr>
            <w:tcW w:w="8647" w:type="dxa"/>
          </w:tcPr>
          <w:p w14:paraId="036893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Заключить договор под переделку в самолет связи. Срок готовности - январь 1932</w:t>
            </w:r>
          </w:p>
        </w:tc>
      </w:tr>
      <w:tr w:rsidR="001002C3" w:rsidRPr="005E779E" w14:paraId="5D70A190" w14:textId="77777777">
        <w:tc>
          <w:tcPr>
            <w:tcW w:w="959" w:type="dxa"/>
          </w:tcPr>
          <w:p w14:paraId="6CC338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w:t>
            </w:r>
          </w:p>
        </w:tc>
        <w:tc>
          <w:tcPr>
            <w:tcW w:w="992" w:type="dxa"/>
          </w:tcPr>
          <w:p w14:paraId="1853C7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К-8</w:t>
            </w:r>
          </w:p>
        </w:tc>
        <w:tc>
          <w:tcPr>
            <w:tcW w:w="8647" w:type="dxa"/>
          </w:tcPr>
          <w:p w14:paraId="6124D7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Заключить договор на опытный экземпляр. Срок готовности - октябрь 1931</w:t>
            </w:r>
          </w:p>
        </w:tc>
      </w:tr>
      <w:tr w:rsidR="001002C3" w:rsidRPr="005E779E" w14:paraId="1D07BB2E" w14:textId="77777777">
        <w:tc>
          <w:tcPr>
            <w:tcW w:w="959" w:type="dxa"/>
          </w:tcPr>
          <w:p w14:paraId="44F2F0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w:t>
            </w:r>
          </w:p>
        </w:tc>
        <w:tc>
          <w:tcPr>
            <w:tcW w:w="992" w:type="dxa"/>
          </w:tcPr>
          <w:p w14:paraId="37143E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К-11</w:t>
            </w:r>
          </w:p>
        </w:tc>
        <w:tc>
          <w:tcPr>
            <w:tcW w:w="8647" w:type="dxa"/>
          </w:tcPr>
          <w:p w14:paraId="1EB83C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Срок готовности - январь 1932</w:t>
            </w:r>
          </w:p>
        </w:tc>
      </w:tr>
      <w:tr w:rsidR="001002C3" w:rsidRPr="005E779E" w14:paraId="29B5309C" w14:textId="77777777">
        <w:tc>
          <w:tcPr>
            <w:tcW w:w="959" w:type="dxa"/>
          </w:tcPr>
          <w:p w14:paraId="4CA499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w:t>
            </w:r>
          </w:p>
        </w:tc>
        <w:tc>
          <w:tcPr>
            <w:tcW w:w="992" w:type="dxa"/>
          </w:tcPr>
          <w:p w14:paraId="619AAE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АНТ-8</w:t>
            </w:r>
          </w:p>
        </w:tc>
        <w:tc>
          <w:tcPr>
            <w:tcW w:w="8647" w:type="dxa"/>
          </w:tcPr>
          <w:p w14:paraId="06313B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Заключить договор на передачу черноморского экземпляра для переделки в пассажирский</w:t>
            </w:r>
          </w:p>
        </w:tc>
      </w:tr>
      <w:tr w:rsidR="001002C3" w:rsidRPr="005E779E" w14:paraId="25F88BBC" w14:textId="77777777">
        <w:tc>
          <w:tcPr>
            <w:tcW w:w="959" w:type="dxa"/>
          </w:tcPr>
          <w:p w14:paraId="271694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83F9B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647" w:type="dxa"/>
          </w:tcPr>
          <w:p w14:paraId="2B48E1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w:t>
            </w:r>
          </w:p>
        </w:tc>
      </w:tr>
      <w:tr w:rsidR="001002C3" w:rsidRPr="005E779E" w14:paraId="69AB4C11" w14:textId="77777777">
        <w:tc>
          <w:tcPr>
            <w:tcW w:w="959" w:type="dxa"/>
          </w:tcPr>
          <w:p w14:paraId="4B1584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w:t>
            </w:r>
          </w:p>
        </w:tc>
        <w:tc>
          <w:tcPr>
            <w:tcW w:w="992" w:type="dxa"/>
          </w:tcPr>
          <w:p w14:paraId="139022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МБР3</w:t>
            </w:r>
          </w:p>
        </w:tc>
        <w:tc>
          <w:tcPr>
            <w:tcW w:w="8647" w:type="dxa"/>
          </w:tcPr>
          <w:p w14:paraId="1B7B71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Договор на переделку под гражданскую машину</w:t>
            </w:r>
          </w:p>
        </w:tc>
      </w:tr>
      <w:tr w:rsidR="001002C3" w:rsidRPr="005E779E" w14:paraId="10EBD8BE" w14:textId="77777777">
        <w:tc>
          <w:tcPr>
            <w:tcW w:w="959" w:type="dxa"/>
          </w:tcPr>
          <w:p w14:paraId="6B9209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13.</w:t>
            </w:r>
          </w:p>
        </w:tc>
        <w:tc>
          <w:tcPr>
            <w:tcW w:w="992" w:type="dxa"/>
          </w:tcPr>
          <w:p w14:paraId="5C7258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МФС</w:t>
            </w:r>
          </w:p>
        </w:tc>
        <w:tc>
          <w:tcPr>
            <w:tcW w:w="8647" w:type="dxa"/>
          </w:tcPr>
          <w:p w14:paraId="29CBF7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Амфибия конструкции т. Шаврова 39 завода с 2хМ26. Заключить договор на опытный экземпляр. </w:t>
            </w:r>
          </w:p>
        </w:tc>
      </w:tr>
      <w:tr w:rsidR="001002C3" w:rsidRPr="005E779E" w14:paraId="714B1281" w14:textId="77777777">
        <w:tc>
          <w:tcPr>
            <w:tcW w:w="959" w:type="dxa"/>
          </w:tcPr>
          <w:p w14:paraId="42E6A4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54753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647" w:type="dxa"/>
          </w:tcPr>
          <w:p w14:paraId="3C6B09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Срок готовности - май 1932</w:t>
            </w:r>
          </w:p>
        </w:tc>
      </w:tr>
      <w:tr w:rsidR="001002C3" w:rsidRPr="005E779E" w14:paraId="4804EFA4" w14:textId="77777777">
        <w:tc>
          <w:tcPr>
            <w:tcW w:w="959" w:type="dxa"/>
          </w:tcPr>
          <w:p w14:paraId="6811C9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w:t>
            </w:r>
          </w:p>
        </w:tc>
        <w:tc>
          <w:tcPr>
            <w:tcW w:w="992" w:type="dxa"/>
          </w:tcPr>
          <w:p w14:paraId="0D7CC5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горн.</w:t>
            </w:r>
          </w:p>
        </w:tc>
        <w:tc>
          <w:tcPr>
            <w:tcW w:w="8647" w:type="dxa"/>
          </w:tcPr>
          <w:p w14:paraId="06AD78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Желательно изготовить специальный опытный экз.</w:t>
            </w:r>
          </w:p>
        </w:tc>
      </w:tr>
      <w:tr w:rsidR="001002C3" w:rsidRPr="005E779E" w14:paraId="748E0823" w14:textId="77777777">
        <w:tc>
          <w:tcPr>
            <w:tcW w:w="959" w:type="dxa"/>
          </w:tcPr>
          <w:p w14:paraId="006A54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A4117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Районов</w:t>
            </w:r>
          </w:p>
        </w:tc>
        <w:tc>
          <w:tcPr>
            <w:tcW w:w="8647" w:type="dxa"/>
          </w:tcPr>
          <w:p w14:paraId="7E2F38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согл. с НИИ ВОГФ или переделать имеющийся</w:t>
            </w:r>
          </w:p>
        </w:tc>
      </w:tr>
      <w:tr w:rsidR="001002C3" w:rsidRPr="005E779E" w14:paraId="274A8ED5" w14:textId="77777777">
        <w:tc>
          <w:tcPr>
            <w:tcW w:w="959" w:type="dxa"/>
          </w:tcPr>
          <w:p w14:paraId="07DB2C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w:t>
            </w:r>
          </w:p>
        </w:tc>
        <w:tc>
          <w:tcPr>
            <w:tcW w:w="992" w:type="dxa"/>
          </w:tcPr>
          <w:p w14:paraId="7E3FCD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спец.</w:t>
            </w:r>
          </w:p>
        </w:tc>
        <w:tc>
          <w:tcPr>
            <w:tcW w:w="8647" w:type="dxa"/>
          </w:tcPr>
          <w:p w14:paraId="70C742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(Арктический ОБВ) - заключить договор с НИИ</w:t>
            </w:r>
          </w:p>
        </w:tc>
      </w:tr>
      <w:tr w:rsidR="001002C3" w:rsidRPr="005E779E" w14:paraId="607E050E" w14:textId="77777777">
        <w:tc>
          <w:tcPr>
            <w:tcW w:w="959" w:type="dxa"/>
          </w:tcPr>
          <w:p w14:paraId="725644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280EC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примен.</w:t>
            </w:r>
          </w:p>
        </w:tc>
        <w:tc>
          <w:tcPr>
            <w:tcW w:w="8647" w:type="dxa"/>
          </w:tcPr>
          <w:p w14:paraId="570B1D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ВОГФ (351)</w:t>
            </w:r>
          </w:p>
        </w:tc>
      </w:tr>
    </w:tbl>
    <w:p w14:paraId="5D94E5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Настоящим сообщаю, что на все указанные опытные экземпляры заключить договор от ВОГВФ уполномочен НИИ ГВФ, а также и за наблюдение за опытным строительством для ГВФ.</w:t>
      </w:r>
    </w:p>
    <w:p w14:paraId="343212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Моботдел ВОГВФ просит Вас перед заключением договора на все самолеты, имеющиеся в опытных экземплярах военного варианта, допустить к подробному с ними ознакомлению.</w:t>
      </w:r>
    </w:p>
    <w:p w14:paraId="000E40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Начальника самолетного отдела тов. Дементьева</w:t>
      </w:r>
    </w:p>
    <w:p w14:paraId="3DBD41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Инженеров самолетного отдела НИИ ГВФ тт. Бартини, Комарова, Гурьеву и Мясоедова.</w:t>
      </w:r>
    </w:p>
    <w:p w14:paraId="2094AC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Моботдел ВОГВФ со своей стороны просит Вас срочно оформить договор на опытные самолеты ГВФ и прислать проект договора для юридического оформления (351).</w:t>
      </w:r>
    </w:p>
    <w:p w14:paraId="029C44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FF267E5" w14:textId="77777777" w:rsidR="00193905" w:rsidRPr="005E779E" w:rsidRDefault="00193905"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6 ноября</w:t>
      </w:r>
      <w:r w:rsidRPr="005E779E">
        <w:rPr>
          <w:rFonts w:ascii="Times New Roman" w:hAnsi="Times New Roman"/>
          <w:color w:val="000000" w:themeColor="text1"/>
          <w:sz w:val="16"/>
          <w:szCs w:val="16"/>
        </w:rPr>
        <w:t xml:space="preserve"> в 1931 году в Москве на центральном аэродроме имени М.В.Фрунзе открыт первый в Советском Союзе аэровокзал Гражданского воздушного флота (14822).</w:t>
      </w:r>
    </w:p>
    <w:p w14:paraId="51889B94" w14:textId="77777777" w:rsidR="00193905" w:rsidRPr="005E779E" w:rsidRDefault="00193905" w:rsidP="000B7A6C">
      <w:pPr>
        <w:spacing w:after="0" w:line="240" w:lineRule="auto"/>
        <w:jc w:val="both"/>
        <w:rPr>
          <w:rFonts w:ascii="Times New Roman" w:hAnsi="Times New Roman"/>
          <w:color w:val="000000" w:themeColor="text1"/>
          <w:sz w:val="16"/>
          <w:szCs w:val="16"/>
        </w:rPr>
      </w:pPr>
    </w:p>
    <w:p w14:paraId="00C550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ноября 1931 в Москве на ЦА открыли авиавокзал - первый в СССР (442,303).</w:t>
      </w:r>
    </w:p>
    <w:p w14:paraId="2C9B55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C49F5C5" w14:textId="77777777" w:rsidR="00C36871" w:rsidRPr="005E779E" w:rsidRDefault="00C3687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ноября 1931 г. в Москве, на центральной аэродроме вмени М.В.Фрунзе стоялось открытие центрального московского аэропорта ГВФ. Центтральный аэропорт - узел воздушных линий, связывающих столицу с Периферией и заграницей. После войны аэропорт был переведен во Внуково Московской обл.</w:t>
      </w:r>
    </w:p>
    <w:p w14:paraId="7C665A55" w14:textId="77777777" w:rsidR="00C36871" w:rsidRPr="005E779E" w:rsidRDefault="00C3687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/“Красная звезда” за 12 ноября 1931 г./ (23370).</w:t>
      </w:r>
    </w:p>
    <w:p w14:paraId="7DA471ED" w14:textId="77777777" w:rsidR="00C36871" w:rsidRPr="005E779E" w:rsidRDefault="00C36871" w:rsidP="000B7A6C">
      <w:pPr>
        <w:spacing w:after="0" w:line="240" w:lineRule="auto"/>
        <w:jc w:val="both"/>
        <w:rPr>
          <w:rFonts w:ascii="Times New Roman" w:hAnsi="Times New Roman"/>
          <w:color w:val="000000" w:themeColor="text1"/>
          <w:sz w:val="16"/>
          <w:szCs w:val="16"/>
        </w:rPr>
      </w:pPr>
    </w:p>
    <w:p w14:paraId="3D65B7AB" w14:textId="77777777" w:rsidR="00497275" w:rsidRPr="005E779E" w:rsidRDefault="0049727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ноября 1931 года на территории "Ходынки" открыт первый в СССР пассажирский аэровокзал - один из самых больших в мире. В здании площадью 4 тысячи кв. м. разместились билетные кассы, таможня, зал ожидания, почтовое отделение и служебная зона. Самолеты подавались под посадку непосредственно к аэровокзалу. В 1936-1937 годах аэродром реконструировали, построили бетонную взлетно-посадочную полосу, а в 38-м к аэропорту подвели линию метро с одноименной станцией «Аэропорт» (20540).</w:t>
      </w:r>
    </w:p>
    <w:p w14:paraId="0243FC28" w14:textId="77777777" w:rsidR="00497275" w:rsidRPr="005E779E" w:rsidRDefault="00497275" w:rsidP="000B7A6C">
      <w:pPr>
        <w:spacing w:after="0" w:line="240" w:lineRule="auto"/>
        <w:jc w:val="both"/>
        <w:rPr>
          <w:rFonts w:ascii="Times New Roman" w:hAnsi="Times New Roman"/>
          <w:color w:val="000000" w:themeColor="text1"/>
          <w:sz w:val="16"/>
          <w:szCs w:val="16"/>
        </w:rPr>
      </w:pPr>
    </w:p>
    <w:p w14:paraId="5E269532" w14:textId="77777777" w:rsidR="000A615A" w:rsidRPr="005E779E" w:rsidRDefault="000A615A"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09367E4A" w14:textId="77777777" w:rsidR="000A615A" w:rsidRPr="005E779E" w:rsidRDefault="000A615A"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1CBEA7B" w14:textId="77777777" w:rsidR="00417AE0" w:rsidRPr="005E779E" w:rsidRDefault="00417AE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ноября 1931 г., к XIV годовщине Великой Октябрьской социалистической революции, паровоз ФД20-1, самый мощный и сильный серийный грузовой паровоз в истории СССР, привез поезд с рабочей делегацией завода из Луганска в Москву.</w:t>
      </w:r>
    </w:p>
    <w:p w14:paraId="46EF4CD8" w14:textId="77777777" w:rsidR="00417AE0" w:rsidRPr="005E779E" w:rsidRDefault="00417AE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Несмотря на высокую сложность технических задач, рабочий проект паровоза был завершен к 10 августа 1931 г. за рекордно короткий срок в 100 рабочих дней. В августе рабочие чертежи паровоза типа 1-5-1 были переданы на Луганский паровозостроительный завод, и первый паровоз был построен всего за 70 дней.</w:t>
      </w:r>
    </w:p>
    <w:p w14:paraId="6563E457" w14:textId="77777777" w:rsidR="00417AE0" w:rsidRPr="005E779E" w:rsidRDefault="00417AE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октября был поставлен вопрос об имени для нового паровоза. И тогда ударная бригада «золотниковых тяг и маятников» во главе с Шугаевым предложила:</w:t>
      </w:r>
    </w:p>
    <w:p w14:paraId="443BD0B2" w14:textId="77777777" w:rsidR="00417AE0" w:rsidRPr="005E779E" w:rsidRDefault="00417AE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честь одного из лучших наркомов путей сообщения, организатора борьбы за обновление и реконструкцию социалистического транспорта, чекиста, непримиримого борца с контрреволюцией, саботажем и вредительством, верного часового пролетарской страны, железного Феликса Дзержинского, назвать его именем паровоз типа 1-5-1, присвоив ему серию «ФД».</w:t>
      </w:r>
    </w:p>
    <w:p w14:paraId="45C21681" w14:textId="77777777" w:rsidR="00417AE0" w:rsidRPr="005E779E" w:rsidRDefault="00417AE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 октября 1931 года новый паровоз ФД был представлен общественности.</w:t>
      </w:r>
    </w:p>
    <w:p w14:paraId="41E62489" w14:textId="77777777" w:rsidR="00417AE0" w:rsidRPr="005E779E" w:rsidRDefault="00417AE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ноября 1931 года состав, ведомый ФД20-1, выехал с рабочей делегацией Луганского паровозостроительного завода и прибыл в Москву 6 ноября, в канун празднования революции.</w:t>
      </w:r>
    </w:p>
    <w:p w14:paraId="35147529" w14:textId="77777777" w:rsidR="00417AE0" w:rsidRPr="005E779E" w:rsidRDefault="00417AE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Проектирование и постройка первого паровоза серии заняли рекордно короткий срок — 170 дней, и это при том, что на нём было применено множество нововведений, которые кардинально изменили советскую школу паровозостроения. Являлся одним из мощнейших советских серийных паровозов и имел среди них самую высокую силу тяги.</w:t>
      </w:r>
    </w:p>
    <w:p w14:paraId="6CDF741E" w14:textId="77777777" w:rsidR="00417AE0" w:rsidRPr="005E779E" w:rsidRDefault="00417AE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тендере второго опытного паровоза была надпись: «Техника в период реконструкции решает всё». И. Сталин.</w:t>
      </w:r>
    </w:p>
    <w:p w14:paraId="53769503" w14:textId="77777777" w:rsidR="00417AE0" w:rsidRPr="005E779E" w:rsidRDefault="00417AE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Служебный вес паровоза: 134,4 т</w:t>
      </w:r>
    </w:p>
    <w:p w14:paraId="073F8682" w14:textId="77777777" w:rsidR="00417AE0" w:rsidRPr="005E779E" w:rsidRDefault="00417AE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Мощность: до 3100 л. с.</w:t>
      </w:r>
    </w:p>
    <w:p w14:paraId="2B17EAB7" w14:textId="77777777" w:rsidR="00417AE0" w:rsidRPr="005E779E" w:rsidRDefault="00417AE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Конструкционная скорость: 85 км/ч (21166).</w:t>
      </w:r>
    </w:p>
    <w:p w14:paraId="4F943EE1" w14:textId="77777777" w:rsidR="00417AE0" w:rsidRPr="005E779E" w:rsidRDefault="00417AE0" w:rsidP="000B7A6C">
      <w:pPr>
        <w:spacing w:after="0" w:line="240" w:lineRule="auto"/>
        <w:jc w:val="both"/>
        <w:rPr>
          <w:rFonts w:ascii="Times New Roman" w:hAnsi="Times New Roman"/>
          <w:color w:val="000000" w:themeColor="text1"/>
          <w:sz w:val="16"/>
          <w:szCs w:val="16"/>
        </w:rPr>
      </w:pPr>
    </w:p>
    <w:p w14:paraId="0A9793E2" w14:textId="77777777" w:rsidR="000A615A" w:rsidRPr="005E779E" w:rsidRDefault="000A615A"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6 ноября 1931 г.</w:t>
      </w:r>
    </w:p>
    <w:p w14:paraId="74110503" w14:textId="77777777" w:rsidR="000A615A" w:rsidRPr="005E779E" w:rsidRDefault="000A615A"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«Рапорт» о досрочной разработке «рабочего проекта» опытного образца прямоточного котла. 6 ноября 1931 г.</w:t>
      </w:r>
    </w:p>
    <w:p w14:paraId="4BFA41F8" w14:textId="77777777" w:rsidR="000A615A" w:rsidRPr="005E779E" w:rsidRDefault="000A615A"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Источник: </w:t>
      </w:r>
    </w:p>
    <w:p w14:paraId="5AC1A6ED" w14:textId="77777777" w:rsidR="000A615A" w:rsidRPr="005E779E" w:rsidRDefault="000A615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22DB826" w14:textId="77777777" w:rsidR="000A615A" w:rsidRPr="005E779E" w:rsidRDefault="000A615A"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Архив: </w:t>
      </w:r>
    </w:p>
    <w:p w14:paraId="3EFE72C8" w14:textId="77777777" w:rsidR="000A615A" w:rsidRPr="005E779E" w:rsidRDefault="000A615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РГАЭ. Ф. 38. Oп. 1. Д. 2. Л. 111</w:t>
      </w:r>
    </w:p>
    <w:p w14:paraId="4286287D" w14:textId="77777777" w:rsidR="000A615A" w:rsidRPr="005E779E" w:rsidRDefault="000A615A" w:rsidP="000B7A6C">
      <w:pPr>
        <w:pStyle w:val="rteright"/>
        <w:spacing w:before="0" w:after="0"/>
        <w:jc w:val="both"/>
        <w:rPr>
          <w:color w:val="000000" w:themeColor="text1"/>
          <w:sz w:val="16"/>
          <w:szCs w:val="16"/>
        </w:rPr>
      </w:pPr>
      <w:r w:rsidRPr="005E779E">
        <w:rPr>
          <w:color w:val="000000" w:themeColor="text1"/>
          <w:sz w:val="16"/>
          <w:szCs w:val="16"/>
        </w:rPr>
        <w:t>6 ноября 1931 г.</w:t>
      </w:r>
    </w:p>
    <w:p w14:paraId="2FCC2857" w14:textId="77777777" w:rsidR="000A615A" w:rsidRPr="005E779E" w:rsidRDefault="000A615A" w:rsidP="000B7A6C">
      <w:pPr>
        <w:pStyle w:val="ae"/>
        <w:spacing w:before="0" w:after="0"/>
        <w:jc w:val="both"/>
        <w:rPr>
          <w:color w:val="000000" w:themeColor="text1"/>
          <w:sz w:val="16"/>
          <w:szCs w:val="16"/>
        </w:rPr>
      </w:pPr>
      <w:r w:rsidRPr="005E779E">
        <w:rPr>
          <w:color w:val="000000" w:themeColor="text1"/>
          <w:sz w:val="16"/>
          <w:szCs w:val="16"/>
        </w:rPr>
        <w:t>НАЧ. ЭКУ ОГПУ тов. МИРОНОВУ</w:t>
      </w:r>
    </w:p>
    <w:p w14:paraId="46345EC8" w14:textId="77777777" w:rsidR="000A615A" w:rsidRPr="005E779E" w:rsidRDefault="000A615A" w:rsidP="000B7A6C">
      <w:pPr>
        <w:pStyle w:val="ae"/>
        <w:spacing w:before="0" w:after="0"/>
        <w:jc w:val="both"/>
        <w:rPr>
          <w:color w:val="000000" w:themeColor="text1"/>
          <w:sz w:val="16"/>
          <w:szCs w:val="16"/>
        </w:rPr>
      </w:pPr>
      <w:r w:rsidRPr="005E779E">
        <w:rPr>
          <w:color w:val="000000" w:themeColor="text1"/>
          <w:sz w:val="16"/>
          <w:szCs w:val="16"/>
        </w:rPr>
        <w:t>РАПОРТ</w:t>
      </w:r>
    </w:p>
    <w:p w14:paraId="6224FBF1" w14:textId="77777777" w:rsidR="000A615A" w:rsidRPr="005E779E" w:rsidRDefault="000A615A" w:rsidP="000B7A6C">
      <w:pPr>
        <w:pStyle w:val="rtejustify"/>
        <w:spacing w:before="0" w:after="0"/>
        <w:rPr>
          <w:color w:val="000000" w:themeColor="text1"/>
          <w:sz w:val="16"/>
          <w:szCs w:val="16"/>
        </w:rPr>
      </w:pPr>
      <w:r w:rsidRPr="005E779E">
        <w:rPr>
          <w:color w:val="000000" w:themeColor="text1"/>
          <w:sz w:val="16"/>
          <w:szCs w:val="16"/>
        </w:rPr>
        <w:t>ОКБ № 11 досрочно закончило рабочий проект опытного безбарабанного прямоточного котла системы РАМЗИНА на давление 140 атмосфер. Съем пара [с] 1 кв. метра номинальной поверхности составляет 1780 кг/час. Вес металла самого котла на 1 тн/час производимого пара составляет 58 кг.</w:t>
      </w:r>
    </w:p>
    <w:p w14:paraId="3FE22BDC" w14:textId="77777777" w:rsidR="000A615A" w:rsidRPr="005E779E" w:rsidRDefault="000A615A" w:rsidP="000B7A6C">
      <w:pPr>
        <w:pStyle w:val="rtejustify"/>
        <w:spacing w:before="0" w:after="0"/>
        <w:rPr>
          <w:color w:val="000000" w:themeColor="text1"/>
          <w:sz w:val="16"/>
          <w:szCs w:val="16"/>
        </w:rPr>
      </w:pPr>
      <w:r w:rsidRPr="005E779E">
        <w:rPr>
          <w:color w:val="000000" w:themeColor="text1"/>
          <w:sz w:val="16"/>
          <w:szCs w:val="16"/>
        </w:rPr>
        <w:t>Себестоимость котла при одинаковой паропроизводительности получается в 25-40 раз дешевле советских котлов и в 15 раз дешевле рекордного в мире котла.</w:t>
      </w:r>
    </w:p>
    <w:p w14:paraId="62B9728F" w14:textId="77777777" w:rsidR="000A615A" w:rsidRPr="005E779E" w:rsidRDefault="000A615A" w:rsidP="000B7A6C">
      <w:pPr>
        <w:pStyle w:val="rtejustify"/>
        <w:spacing w:before="0" w:after="0"/>
        <w:rPr>
          <w:color w:val="000000" w:themeColor="text1"/>
          <w:sz w:val="16"/>
          <w:szCs w:val="16"/>
        </w:rPr>
      </w:pPr>
      <w:r w:rsidRPr="005E779E">
        <w:rPr>
          <w:color w:val="000000" w:themeColor="text1"/>
          <w:sz w:val="16"/>
          <w:szCs w:val="16"/>
        </w:rPr>
        <w:t>Достигнуто одновременно громадное улучшение показателей — сокращение веса и себестоимости — и для перегревателя и экономайзера.</w:t>
      </w:r>
    </w:p>
    <w:p w14:paraId="7F6CB768" w14:textId="77777777" w:rsidR="000A615A" w:rsidRPr="005E779E" w:rsidRDefault="000A615A" w:rsidP="000B7A6C">
      <w:pPr>
        <w:pStyle w:val="rtejustify"/>
        <w:spacing w:before="0" w:after="0"/>
        <w:rPr>
          <w:color w:val="000000" w:themeColor="text1"/>
          <w:sz w:val="16"/>
          <w:szCs w:val="16"/>
        </w:rPr>
      </w:pPr>
      <w:r w:rsidRPr="005E779E">
        <w:rPr>
          <w:color w:val="000000" w:themeColor="text1"/>
          <w:sz w:val="16"/>
          <w:szCs w:val="16"/>
        </w:rPr>
        <w:t>В процессе работы разрешен ряд серьезных вопросов — найдены советские материалы для изготовления котлов сверхвысокого давления, разрабатываются методы сварки и т. п. Благодаря исключительной простоте конструкции котел может немедленно строиться на советских заводах. совершенно не требуя импортных материалов.</w:t>
      </w:r>
    </w:p>
    <w:p w14:paraId="08C4FA5C" w14:textId="77777777" w:rsidR="000A615A" w:rsidRPr="005E779E" w:rsidRDefault="000A615A" w:rsidP="000B7A6C">
      <w:pPr>
        <w:pStyle w:val="rtejustify"/>
        <w:spacing w:before="0" w:after="0"/>
        <w:rPr>
          <w:color w:val="000000" w:themeColor="text1"/>
          <w:sz w:val="16"/>
          <w:szCs w:val="16"/>
        </w:rPr>
      </w:pPr>
      <w:r w:rsidRPr="005E779E">
        <w:rPr>
          <w:color w:val="000000" w:themeColor="text1"/>
          <w:sz w:val="16"/>
          <w:szCs w:val="16"/>
        </w:rPr>
        <w:t>Первый опытный котел уже строится и будет готов к 1 мая.</w:t>
      </w:r>
    </w:p>
    <w:p w14:paraId="07C54C5B" w14:textId="77777777" w:rsidR="000A615A" w:rsidRPr="005E779E" w:rsidRDefault="000A615A" w:rsidP="000B7A6C">
      <w:pPr>
        <w:pStyle w:val="rtejustify"/>
        <w:spacing w:before="0" w:after="0"/>
        <w:rPr>
          <w:color w:val="000000" w:themeColor="text1"/>
          <w:sz w:val="16"/>
          <w:szCs w:val="16"/>
        </w:rPr>
      </w:pPr>
      <w:r w:rsidRPr="005E779E">
        <w:rPr>
          <w:color w:val="000000" w:themeColor="text1"/>
          <w:sz w:val="16"/>
          <w:szCs w:val="16"/>
        </w:rPr>
        <w:t>Одновременно с постройкой опытного котла идет разработка проекта промышленного котла сверхвысокого давления — на 200 тн/час пара, при 140 атм. По системе РАМЗИНА для подмосковного угля.</w:t>
      </w:r>
    </w:p>
    <w:p w14:paraId="370EE3A0" w14:textId="77777777" w:rsidR="000A615A" w:rsidRPr="005E779E" w:rsidRDefault="000A615A" w:rsidP="000B7A6C">
      <w:pPr>
        <w:pStyle w:val="rtejustify"/>
        <w:spacing w:before="0" w:after="0"/>
        <w:rPr>
          <w:color w:val="000000" w:themeColor="text1"/>
          <w:sz w:val="16"/>
          <w:szCs w:val="16"/>
        </w:rPr>
      </w:pPr>
      <w:r w:rsidRPr="005E779E">
        <w:rPr>
          <w:color w:val="000000" w:themeColor="text1"/>
          <w:sz w:val="16"/>
          <w:szCs w:val="16"/>
        </w:rPr>
        <w:t>Нач. ТЕХ. ОТД. ЭКУ ОГПУ (ГОРЯНОВ)</w:t>
      </w:r>
    </w:p>
    <w:p w14:paraId="513F3D2D" w14:textId="77777777" w:rsidR="000A615A" w:rsidRPr="005E779E" w:rsidRDefault="000A615A" w:rsidP="000B7A6C">
      <w:pPr>
        <w:pStyle w:val="rtejustify"/>
        <w:spacing w:before="0" w:after="0"/>
        <w:rPr>
          <w:color w:val="000000" w:themeColor="text1"/>
          <w:sz w:val="16"/>
          <w:szCs w:val="16"/>
        </w:rPr>
      </w:pPr>
      <w:r w:rsidRPr="005E779E">
        <w:rPr>
          <w:color w:val="000000" w:themeColor="text1"/>
          <w:sz w:val="16"/>
          <w:szCs w:val="16"/>
        </w:rPr>
        <w:t>НАЧ. ОКБ № 11 Наумин</w:t>
      </w:r>
    </w:p>
    <w:p w14:paraId="021ACF34" w14:textId="77777777" w:rsidR="000A615A" w:rsidRPr="005E779E" w:rsidRDefault="000A615A" w:rsidP="000B7A6C">
      <w:pPr>
        <w:pStyle w:val="ae"/>
        <w:spacing w:before="0" w:after="0"/>
        <w:jc w:val="both"/>
        <w:rPr>
          <w:color w:val="000000" w:themeColor="text1"/>
          <w:sz w:val="16"/>
          <w:szCs w:val="16"/>
        </w:rPr>
      </w:pPr>
      <w:r w:rsidRPr="005E779E">
        <w:rPr>
          <w:color w:val="000000" w:themeColor="text1"/>
          <w:sz w:val="16"/>
          <w:szCs w:val="16"/>
        </w:rPr>
        <w:t>«6» ноября 1931 г.</w:t>
      </w:r>
    </w:p>
    <w:p w14:paraId="598BA7ED" w14:textId="77777777" w:rsidR="000A615A" w:rsidRPr="005E779E" w:rsidRDefault="000A615A" w:rsidP="000B7A6C">
      <w:pPr>
        <w:pStyle w:val="ae"/>
        <w:spacing w:before="0" w:after="0"/>
        <w:jc w:val="both"/>
        <w:rPr>
          <w:color w:val="000000" w:themeColor="text1"/>
          <w:sz w:val="16"/>
          <w:szCs w:val="16"/>
        </w:rPr>
      </w:pPr>
      <w:r w:rsidRPr="005E779E">
        <w:rPr>
          <w:rStyle w:val="af0"/>
          <w:i w:val="0"/>
          <w:color w:val="000000" w:themeColor="text1"/>
          <w:sz w:val="16"/>
          <w:szCs w:val="16"/>
        </w:rPr>
        <w:t>РГАЭ. Ф. 38. Oп. 1. Д. 2. Л. 111. Машинописный подлинник, первая подпись отсутствует, вторая — автограф. Число в дате вписано от руки. В левом верхнем углу написано от руки «6/ХI» (19094).</w:t>
      </w:r>
    </w:p>
    <w:p w14:paraId="5DB6051E" w14:textId="77777777" w:rsidR="000A615A" w:rsidRPr="005E779E" w:rsidRDefault="000A615A" w:rsidP="000B7A6C">
      <w:pPr>
        <w:spacing w:after="0" w:line="240" w:lineRule="auto"/>
        <w:jc w:val="both"/>
        <w:rPr>
          <w:rFonts w:ascii="Times New Roman" w:hAnsi="Times New Roman"/>
          <w:color w:val="000000" w:themeColor="text1"/>
          <w:sz w:val="16"/>
          <w:szCs w:val="16"/>
        </w:rPr>
      </w:pPr>
    </w:p>
    <w:p w14:paraId="2AEF2E76" w14:textId="77777777" w:rsidR="005C4849" w:rsidRPr="005E779E" w:rsidRDefault="000A615A" w:rsidP="000B7A6C">
      <w:pPr>
        <w:autoSpaceDE w:val="0"/>
        <w:autoSpaceDN w:val="0"/>
        <w:adjustRightInd w:val="0"/>
        <w:spacing w:after="0" w:line="240" w:lineRule="auto"/>
        <w:jc w:val="both"/>
        <w:rPr>
          <w:rFonts w:ascii="Times New Roman" w:hAnsi="Times New Roman"/>
          <w:i/>
          <w:iCs/>
          <w:color w:val="000000" w:themeColor="text1"/>
          <w:sz w:val="16"/>
          <w:szCs w:val="16"/>
        </w:rPr>
      </w:pPr>
      <w:r w:rsidRPr="005E779E">
        <w:rPr>
          <w:rFonts w:ascii="Times New Roman" w:hAnsi="Times New Roman"/>
          <w:i/>
          <w:iCs/>
          <w:color w:val="000000" w:themeColor="text1"/>
          <w:sz w:val="16"/>
          <w:szCs w:val="16"/>
        </w:rPr>
        <w:t>Жизнь и в</w:t>
      </w:r>
      <w:r w:rsidR="005C4849" w:rsidRPr="005E779E">
        <w:rPr>
          <w:rFonts w:ascii="Times New Roman" w:hAnsi="Times New Roman"/>
          <w:i/>
          <w:iCs/>
          <w:color w:val="000000" w:themeColor="text1"/>
          <w:sz w:val="16"/>
          <w:szCs w:val="16"/>
        </w:rPr>
        <w:t>нутренняя политика:</w:t>
      </w:r>
    </w:p>
    <w:p w14:paraId="34D6212F" w14:textId="77777777" w:rsidR="005C4849" w:rsidRPr="005E779E" w:rsidRDefault="005C4849" w:rsidP="000B7A6C">
      <w:pPr>
        <w:autoSpaceDE w:val="0"/>
        <w:autoSpaceDN w:val="0"/>
        <w:adjustRightInd w:val="0"/>
        <w:spacing w:after="0" w:line="240" w:lineRule="auto"/>
        <w:jc w:val="both"/>
        <w:rPr>
          <w:rFonts w:ascii="Times New Roman" w:hAnsi="Times New Roman"/>
          <w:i/>
          <w:iCs/>
          <w:color w:val="000000" w:themeColor="text1"/>
          <w:sz w:val="16"/>
          <w:szCs w:val="16"/>
        </w:rPr>
      </w:pPr>
    </w:p>
    <w:p w14:paraId="15C3EA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6 и 12 ноября 1931. Из протокола заседания Политбюро № 73, 1931 г.</w:t>
      </w:r>
    </w:p>
    <w:p w14:paraId="180371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 Торгсине </w:t>
      </w:r>
    </w:p>
    <w:p w14:paraId="57156D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Поручить Наркомвнешторгу организовать в магазинах Торгсина покупку золотых вещей, в уплату за которые Торгсин выдает свои товары (11652).</w:t>
      </w:r>
    </w:p>
    <w:p w14:paraId="6C0CDC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1EEFDEA" w14:textId="77777777" w:rsidR="004B5185" w:rsidRPr="005E779E" w:rsidRDefault="004B5185"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688FB25A" w14:textId="77777777" w:rsidR="004B5185" w:rsidRPr="005E779E" w:rsidRDefault="004B5185"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1F25DFB" w14:textId="77777777" w:rsidR="004B5185" w:rsidRPr="005E779E" w:rsidRDefault="004B518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 начале ноября 1931 к октябрьским праздникам работы постройке и назем</w:t>
      </w:r>
      <w:r w:rsidRPr="005E779E">
        <w:rPr>
          <w:rFonts w:ascii="Times New Roman" w:hAnsi="Times New Roman"/>
          <w:color w:val="000000" w:themeColor="text1"/>
          <w:sz w:val="16"/>
          <w:szCs w:val="16"/>
        </w:rPr>
        <w:softHyphen/>
        <w:t>ной отладке в мастерских АГОСа 2ЭА а завершились, и вскоре 2ЭА перевезли на аэродром. В мире автожи</w:t>
      </w:r>
      <w:r w:rsidRPr="005E779E">
        <w:rPr>
          <w:rFonts w:ascii="Times New Roman" w:hAnsi="Times New Roman"/>
          <w:color w:val="000000" w:themeColor="text1"/>
          <w:sz w:val="16"/>
          <w:szCs w:val="16"/>
        </w:rPr>
        <w:softHyphen/>
        <w:t>ры хоть и не сумели как-то заметно потеснить самолеты, но диковинкой к началу 1930-х годов уже не были. Тем не менее, даже не</w:t>
      </w:r>
      <w:r w:rsidRPr="005E779E">
        <w:rPr>
          <w:rFonts w:ascii="Times New Roman" w:hAnsi="Times New Roman"/>
          <w:color w:val="000000" w:themeColor="text1"/>
          <w:sz w:val="16"/>
          <w:szCs w:val="16"/>
        </w:rPr>
        <w:softHyphen/>
        <w:t>смотря на то, что машина ЦАГИ была третьим летающим экземпляром этой разновидности летательных аппаратов, у нас нередко в по</w:t>
      </w:r>
      <w:r w:rsidRPr="005E779E">
        <w:rPr>
          <w:rFonts w:ascii="Times New Roman" w:hAnsi="Times New Roman"/>
          <w:color w:val="000000" w:themeColor="text1"/>
          <w:sz w:val="16"/>
          <w:szCs w:val="16"/>
        </w:rPr>
        <w:softHyphen/>
        <w:t>священных 2ЭА документах термин «Авто</w:t>
      </w:r>
      <w:r w:rsidRPr="005E779E">
        <w:rPr>
          <w:rFonts w:ascii="Times New Roman" w:hAnsi="Times New Roman"/>
          <w:color w:val="000000" w:themeColor="text1"/>
          <w:sz w:val="16"/>
          <w:szCs w:val="16"/>
        </w:rPr>
        <w:softHyphen/>
        <w:t>жир» использовали как имя собственное и писали с заглавной буквы.</w:t>
      </w:r>
    </w:p>
    <w:p w14:paraId="4A0C15FD" w14:textId="77777777" w:rsidR="004B5185" w:rsidRPr="005E779E" w:rsidRDefault="004B518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Интерес к новой машине был гораздо больше, чем просто академический. Военные настолько внимательно следили за ходом разработки, что автожир перевезли не на летную станцию АГОС, с 1932 года переиме</w:t>
      </w:r>
      <w:r w:rsidRPr="005E779E">
        <w:rPr>
          <w:rFonts w:ascii="Times New Roman" w:hAnsi="Times New Roman"/>
          <w:color w:val="000000" w:themeColor="text1"/>
          <w:sz w:val="16"/>
          <w:szCs w:val="16"/>
        </w:rPr>
        <w:softHyphen/>
        <w:t>нованную в отдел эксплуатации, летных ис</w:t>
      </w:r>
      <w:r w:rsidRPr="005E779E">
        <w:rPr>
          <w:rFonts w:ascii="Times New Roman" w:hAnsi="Times New Roman"/>
          <w:color w:val="000000" w:themeColor="text1"/>
          <w:sz w:val="16"/>
          <w:szCs w:val="16"/>
        </w:rPr>
        <w:softHyphen/>
        <w:t>пытаний и доводок (ОЭЛИД) ЦАГИ, а в НИИ ВВС, где включили в состав 2-й авиаэскад</w:t>
      </w:r>
      <w:r w:rsidRPr="005E779E">
        <w:rPr>
          <w:rFonts w:ascii="Times New Roman" w:hAnsi="Times New Roman"/>
          <w:color w:val="000000" w:themeColor="text1"/>
          <w:sz w:val="16"/>
          <w:szCs w:val="16"/>
        </w:rPr>
        <w:softHyphen/>
        <w:t>рильи авиабригады института. Испытания решили проводить совместно, соответствен</w:t>
      </w:r>
      <w:r w:rsidRPr="005E779E">
        <w:rPr>
          <w:rFonts w:ascii="Times New Roman" w:hAnsi="Times New Roman"/>
          <w:color w:val="000000" w:themeColor="text1"/>
          <w:sz w:val="16"/>
          <w:szCs w:val="16"/>
        </w:rPr>
        <w:softHyphen/>
        <w:t>но, были назначены два ведущих инженера: А.И. Филин - от НИИ ВВС и В.А. Кузнецов - от ЦАГИ. Первый полет на автожире ЦАГИ 2ЭА в конце ноября 1931 года выполнил инструк</w:t>
      </w:r>
      <w:r w:rsidRPr="005E779E">
        <w:rPr>
          <w:rFonts w:ascii="Times New Roman" w:hAnsi="Times New Roman"/>
          <w:color w:val="000000" w:themeColor="text1"/>
          <w:sz w:val="16"/>
          <w:szCs w:val="16"/>
        </w:rPr>
        <w:softHyphen/>
        <w:t>тор-летчик Сергей Александрович Корзин</w:t>
      </w:r>
      <w:r w:rsidRPr="005E779E">
        <w:rPr>
          <w:rFonts w:ascii="Times New Roman" w:hAnsi="Times New Roman"/>
          <w:color w:val="000000" w:themeColor="text1"/>
          <w:sz w:val="16"/>
          <w:szCs w:val="16"/>
        </w:rPr>
        <w:softHyphen/>
        <w:t>щиков, переведенный перед испытаниями из ЦАГИ в НИИ ВВС (23518).</w:t>
      </w:r>
    </w:p>
    <w:p w14:paraId="4CB46068" w14:textId="77777777" w:rsidR="004B5185" w:rsidRPr="005E779E" w:rsidRDefault="004B5185" w:rsidP="000B7A6C">
      <w:pPr>
        <w:spacing w:after="0" w:line="240" w:lineRule="auto"/>
        <w:jc w:val="both"/>
        <w:rPr>
          <w:rFonts w:ascii="Times New Roman" w:hAnsi="Times New Roman"/>
          <w:color w:val="000000" w:themeColor="text1"/>
          <w:sz w:val="16"/>
          <w:szCs w:val="16"/>
        </w:rPr>
      </w:pPr>
    </w:p>
    <w:p w14:paraId="4463F56F"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49CB7B11"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E3D098E"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ноября 1931 года заработал мотор опытного грузовика "Украина". Всего изготовили 2 машины. Они заняли небольшое помещение цеха так, что пришлось сломать стены, чтобы они смогли выехать "на люди". Обе машины были сделаны из отече-ственных материалов. Не просто собраны, а именно СДЕЛАНЫ. "У-4" делала бригада Михальского, шофера-механика с 25-летним стажем. Бригада Кочегарова склепала радиатор. Большую работу провела брига-да модельщиков под руковод-ством Дмитренко (11602).</w:t>
      </w:r>
    </w:p>
    <w:p w14:paraId="26A43FEA"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34B7BF"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2F79D5A8"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0065B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годовщине ОР 1931 на заводе 39 за три месяца начиная с конца июля построили АИР-5 А.С.Я. (3971,6).</w:t>
      </w:r>
    </w:p>
    <w:p w14:paraId="3EF15D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C8A7E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ноября 1931 был совершен первый полет самолета Г-8 В.К.Грибовского (237,162).</w:t>
      </w:r>
    </w:p>
    <w:p w14:paraId="7813A9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5556E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ноября 1931 в воздушном параде приняли участие 4 АНТ-9, которые шли за АНТ-14 (10542,30).</w:t>
      </w:r>
    </w:p>
    <w:p w14:paraId="598713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703A6A5" w14:textId="77777777" w:rsidR="00981C63" w:rsidRPr="00142305" w:rsidRDefault="00981C63" w:rsidP="00981C6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7 ноября 1931 г. во время ноябрьского парада 1931 г. четыре АНТ-9 гордо «про</w:t>
      </w:r>
      <w:r w:rsidRPr="00142305">
        <w:rPr>
          <w:rFonts w:ascii="Times New Roman" w:hAnsi="Times New Roman"/>
          <w:color w:val="0070C0"/>
          <w:sz w:val="16"/>
          <w:szCs w:val="16"/>
        </w:rPr>
        <w:softHyphen/>
        <w:t>плыли» над Красной площадью, вслед за пятимоторным АНТ-14. К концу года ВО ГВФ имел уже 18 туполевских трех-моторников.</w:t>
      </w:r>
    </w:p>
    <w:p w14:paraId="121D0680" w14:textId="77777777" w:rsidR="00981C63" w:rsidRPr="00142305" w:rsidRDefault="00981C63" w:rsidP="00981C6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эксплуатации выявились как до</w:t>
      </w:r>
      <w:r w:rsidRPr="00142305">
        <w:rPr>
          <w:rFonts w:ascii="Times New Roman" w:hAnsi="Times New Roman"/>
          <w:color w:val="0070C0"/>
          <w:sz w:val="16"/>
          <w:szCs w:val="16"/>
        </w:rPr>
        <w:softHyphen/>
        <w:t>стоинства, так и недостатки самолета. В полете машина держалась достаточно устойчиво, при хорошей регулировке ста</w:t>
      </w:r>
      <w:r w:rsidRPr="00142305">
        <w:rPr>
          <w:rFonts w:ascii="Times New Roman" w:hAnsi="Times New Roman"/>
          <w:color w:val="0070C0"/>
          <w:sz w:val="16"/>
          <w:szCs w:val="16"/>
        </w:rPr>
        <w:softHyphen/>
        <w:t>билизатора пилот мог бросить штурвал, а АНТ-9 продолжал идти горизонтально. Но при этом его немного тянуло влево, поскольку все моторы имели одно и то же направление вращения. Тенденция к развороту влево проявлялась также при взлете и посадке. Влияло это и на манев</w:t>
      </w:r>
      <w:r w:rsidRPr="00142305">
        <w:rPr>
          <w:rFonts w:ascii="Times New Roman" w:hAnsi="Times New Roman"/>
          <w:color w:val="0070C0"/>
          <w:sz w:val="16"/>
          <w:szCs w:val="16"/>
        </w:rPr>
        <w:softHyphen/>
        <w:t>ренность - правый разворот выполнялся труднее левого. В техническом описании говорилось: «В правый вираж... входит туго» В целом управляемость оценива</w:t>
      </w:r>
      <w:r w:rsidRPr="00142305">
        <w:rPr>
          <w:rFonts w:ascii="Times New Roman" w:hAnsi="Times New Roman"/>
          <w:color w:val="0070C0"/>
          <w:sz w:val="16"/>
          <w:szCs w:val="16"/>
        </w:rPr>
        <w:softHyphen/>
        <w:t>лась неплохо, хотя при скорости более 180 км/ч усилия на штурвале резко уве</w:t>
      </w:r>
      <w:r w:rsidRPr="00142305">
        <w:rPr>
          <w:rFonts w:ascii="Times New Roman" w:hAnsi="Times New Roman"/>
          <w:color w:val="0070C0"/>
          <w:sz w:val="16"/>
          <w:szCs w:val="16"/>
        </w:rPr>
        <w:softHyphen/>
        <w:t>личивались.</w:t>
      </w:r>
    </w:p>
    <w:p w14:paraId="7E8F07F4" w14:textId="77777777" w:rsidR="00981C63" w:rsidRPr="00142305" w:rsidRDefault="00981C63" w:rsidP="00981C6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полете очень сильно сказывалось пе</w:t>
      </w:r>
      <w:r w:rsidRPr="00142305">
        <w:rPr>
          <w:rFonts w:ascii="Times New Roman" w:hAnsi="Times New Roman"/>
          <w:color w:val="0070C0"/>
          <w:sz w:val="16"/>
          <w:szCs w:val="16"/>
        </w:rPr>
        <w:softHyphen/>
        <w:t>ремещение пассажиров по самолету. Это выявилось еще в ходе перелета «Крыль</w:t>
      </w:r>
      <w:r w:rsidRPr="00142305">
        <w:rPr>
          <w:rFonts w:ascii="Times New Roman" w:hAnsi="Times New Roman"/>
          <w:color w:val="0070C0"/>
          <w:sz w:val="16"/>
          <w:szCs w:val="16"/>
        </w:rPr>
        <w:softHyphen/>
        <w:t>ев Советов» - Громов ужасно ругался, когда кто-то без предупреждения поки</w:t>
      </w:r>
      <w:r w:rsidRPr="00142305">
        <w:rPr>
          <w:rFonts w:ascii="Times New Roman" w:hAnsi="Times New Roman"/>
          <w:color w:val="0070C0"/>
          <w:sz w:val="16"/>
          <w:szCs w:val="16"/>
        </w:rPr>
        <w:softHyphen/>
        <w:t>дал свое кресло. В техническом описании записано: «Переход заднего пассажира вперед или переднего назад (в уборную) создают довольно значительную нагрузку на штурвал». Для правильной центровки рекомендовалось всегда полностью за</w:t>
      </w:r>
      <w:r w:rsidRPr="00142305">
        <w:rPr>
          <w:rFonts w:ascii="Times New Roman" w:hAnsi="Times New Roman"/>
          <w:color w:val="0070C0"/>
          <w:sz w:val="16"/>
          <w:szCs w:val="16"/>
        </w:rPr>
        <w:softHyphen/>
        <w:t>гружать задний багажник, имея в нем не менее 110 кг.</w:t>
      </w:r>
    </w:p>
    <w:p w14:paraId="50312954" w14:textId="77777777" w:rsidR="00981C63" w:rsidRPr="00142305" w:rsidRDefault="00981C63" w:rsidP="00981C6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Посадка представляла определенные сложности Из-за большой (по тому вре</w:t>
      </w:r>
      <w:r w:rsidRPr="00142305">
        <w:rPr>
          <w:rFonts w:ascii="Times New Roman" w:hAnsi="Times New Roman"/>
          <w:color w:val="0070C0"/>
          <w:sz w:val="16"/>
          <w:szCs w:val="16"/>
        </w:rPr>
        <w:softHyphen/>
        <w:t>мени) нагрузки на крыло АНТ-9 планиро</w:t>
      </w:r>
      <w:r w:rsidRPr="00142305">
        <w:rPr>
          <w:rFonts w:ascii="Times New Roman" w:hAnsi="Times New Roman"/>
          <w:color w:val="0070C0"/>
          <w:sz w:val="16"/>
          <w:szCs w:val="16"/>
        </w:rPr>
        <w:softHyphen/>
        <w:t>вал плохо. При скорости 130-135 км/ч он резко проваливался вниз. При этом сле</w:t>
      </w:r>
      <w:r w:rsidRPr="00142305">
        <w:rPr>
          <w:rFonts w:ascii="Times New Roman" w:hAnsi="Times New Roman"/>
          <w:color w:val="0070C0"/>
          <w:sz w:val="16"/>
          <w:szCs w:val="16"/>
        </w:rPr>
        <w:softHyphen/>
        <w:t>довал резкий удар о землю колесами или лыжами. В результате получалась серия «козлов», а иногда - поломка шасси.</w:t>
      </w:r>
    </w:p>
    <w:p w14:paraId="090B67F1" w14:textId="77777777" w:rsidR="00981C63" w:rsidRPr="00142305" w:rsidRDefault="00981C63" w:rsidP="00981C6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Вообще машина могла лететь на двух двигателях, только с меньшей скоро</w:t>
      </w:r>
      <w:r w:rsidRPr="00142305">
        <w:rPr>
          <w:rFonts w:ascii="Times New Roman" w:hAnsi="Times New Roman"/>
          <w:color w:val="0070C0"/>
          <w:sz w:val="16"/>
          <w:szCs w:val="16"/>
        </w:rPr>
        <w:softHyphen/>
        <w:t>стью - около 150 км/ч. На двух боковых она шла по прямой, при полете на цен</w:t>
      </w:r>
      <w:r w:rsidRPr="00142305">
        <w:rPr>
          <w:rFonts w:ascii="Times New Roman" w:hAnsi="Times New Roman"/>
          <w:color w:val="0070C0"/>
          <w:sz w:val="16"/>
          <w:szCs w:val="16"/>
        </w:rPr>
        <w:softHyphen/>
        <w:t>тральном и одном из боковых моторов использовали механическое устройство, подключенное к штурвалу. Его резино</w:t>
      </w:r>
      <w:r w:rsidRPr="00142305">
        <w:rPr>
          <w:rFonts w:ascii="Times New Roman" w:hAnsi="Times New Roman"/>
          <w:color w:val="0070C0"/>
          <w:sz w:val="16"/>
          <w:szCs w:val="16"/>
        </w:rPr>
        <w:softHyphen/>
        <w:t>вые шнуры снимали часть нагрузки с рук летчика. А вот на одном моторе АНТ-9 практически просто падал.</w:t>
      </w:r>
    </w:p>
    <w:p w14:paraId="159F35A9" w14:textId="77777777" w:rsidR="00981C63" w:rsidRPr="00142305" w:rsidRDefault="00981C63" w:rsidP="00981C6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земле самолет хорошо управлялся, но нос загораживал летчику обзор и тре</w:t>
      </w:r>
      <w:r w:rsidRPr="00142305">
        <w:rPr>
          <w:rFonts w:ascii="Times New Roman" w:hAnsi="Times New Roman"/>
          <w:color w:val="0070C0"/>
          <w:sz w:val="16"/>
          <w:szCs w:val="16"/>
        </w:rPr>
        <w:softHyphen/>
        <w:t>бовалась помощь механика, высовыва</w:t>
      </w:r>
      <w:r w:rsidRPr="00142305">
        <w:rPr>
          <w:rFonts w:ascii="Times New Roman" w:hAnsi="Times New Roman"/>
          <w:color w:val="0070C0"/>
          <w:sz w:val="16"/>
          <w:szCs w:val="16"/>
        </w:rPr>
        <w:softHyphen/>
        <w:t>вшегося из окна и указывавшего нужное направление</w:t>
      </w:r>
    </w:p>
    <w:p w14:paraId="17DA5536" w14:textId="77777777" w:rsidR="00981C63" w:rsidRPr="00142305" w:rsidRDefault="00981C63" w:rsidP="00981C6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аэродроме АНТ-9 обслуживали тех</w:t>
      </w:r>
      <w:r w:rsidRPr="00142305">
        <w:rPr>
          <w:rFonts w:ascii="Times New Roman" w:hAnsi="Times New Roman"/>
          <w:color w:val="0070C0"/>
          <w:sz w:val="16"/>
          <w:szCs w:val="16"/>
        </w:rPr>
        <w:softHyphen/>
        <w:t>ник и три моториста, им помогал бортмеханик.</w:t>
      </w:r>
    </w:p>
    <w:p w14:paraId="2E03B0AA" w14:textId="77777777" w:rsidR="00981C63" w:rsidRPr="00142305" w:rsidRDefault="00981C63" w:rsidP="00981C6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Полный объем бензобаков использо</w:t>
      </w:r>
      <w:r w:rsidRPr="00142305">
        <w:rPr>
          <w:rFonts w:ascii="Times New Roman" w:hAnsi="Times New Roman"/>
          <w:color w:val="0070C0"/>
          <w:sz w:val="16"/>
          <w:szCs w:val="16"/>
        </w:rPr>
        <w:softHyphen/>
        <w:t>вали редко. При полном комплекте пас</w:t>
      </w:r>
      <w:r w:rsidRPr="00142305">
        <w:rPr>
          <w:rFonts w:ascii="Times New Roman" w:hAnsi="Times New Roman"/>
          <w:color w:val="0070C0"/>
          <w:sz w:val="16"/>
          <w:szCs w:val="16"/>
        </w:rPr>
        <w:softHyphen/>
        <w:t>сажиров обычно заправляли 500 - 700 л бензина (24949).</w:t>
      </w:r>
    </w:p>
    <w:p w14:paraId="5E9D3E80" w14:textId="77777777" w:rsidR="00981C63" w:rsidRPr="00142305" w:rsidRDefault="00981C63" w:rsidP="00981C63">
      <w:pPr>
        <w:spacing w:after="0" w:line="240" w:lineRule="auto"/>
        <w:jc w:val="both"/>
        <w:rPr>
          <w:rFonts w:ascii="Times New Roman" w:hAnsi="Times New Roman"/>
          <w:color w:val="0070C0"/>
          <w:sz w:val="16"/>
          <w:szCs w:val="16"/>
        </w:rPr>
      </w:pPr>
    </w:p>
    <w:p w14:paraId="2DF73A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ноября 1931 двигатель, получивший обозначение М-34, успешно прошел 100-часовые госиспытания, которые велись со 2 августа (9028).</w:t>
      </w:r>
    </w:p>
    <w:p w14:paraId="0096BC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1BE33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ноября 1931 г. приказом ГВФ № 106 баыл образована АРБ (авиаремонтная база) № 402 ГВФ, АРЗ № 402 ГА, АООТ, ОАО «Быковский АРЗ» (БАРЗ) /140150 пос. Быково Московской обл. ул. Аэропортовская, 14 тел. 558-48-10/ как Ремонтные мастерские Московской Авиабазы сельхозавиации. С 1942 г.- АРБ № 402. В 05.1994 г. АРЗ преобразован в АООТ «Быковский АРЗ».</w:t>
      </w:r>
    </w:p>
    <w:p w14:paraId="68C62E69" w14:textId="5421822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1990-е</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велась подготовка к освоению ремонта Ил-114 и двигателя ТВ7-117С.</w:t>
      </w:r>
    </w:p>
    <w:p w14:paraId="15EF68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Численность персонала (2002 г.)- 1894 чел.</w:t>
      </w:r>
    </w:p>
    <w:p w14:paraId="1C8892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(1947-70 г.)- А.Н. Шахов. Гендиректор (1990-е)- В. Г. Черняев, (2002 г.)- А.А. Рыбин.</w:t>
      </w:r>
    </w:p>
    <w:p w14:paraId="3E7B35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Коммерческий директор (2002 г.)- А.В. Блюгер.</w:t>
      </w:r>
    </w:p>
    <w:p w14:paraId="17B497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Ремонт: двигателей:</w:t>
      </w:r>
      <w:r w:rsidRPr="005E779E">
        <w:rPr>
          <w:rFonts w:ascii="Times New Roman" w:hAnsi="Times New Roman"/>
          <w:color w:val="000000" w:themeColor="text1"/>
          <w:sz w:val="16"/>
          <w:szCs w:val="16"/>
        </w:rPr>
        <w:t xml:space="preserve"> М-11(1932-), М-17 (1941-), АШ-62ИР (1945-), АШ-82В (1957-), РД-ЗМ (1958-), РД-ЗМ- 500 (1963-), ТГ-16 (1963-2002-), Д-30 (-1974-2003-);</w:t>
      </w:r>
      <w:r w:rsidRPr="005E779E">
        <w:rPr>
          <w:rFonts w:ascii="Times New Roman" w:hAnsi="Times New Roman"/>
          <w:iCs/>
          <w:color w:val="000000" w:themeColor="text1"/>
          <w:sz w:val="16"/>
          <w:szCs w:val="16"/>
        </w:rPr>
        <w:t xml:space="preserve"> самолетов:</w:t>
      </w:r>
      <w:r w:rsidRPr="005E779E">
        <w:rPr>
          <w:rFonts w:ascii="Times New Roman" w:hAnsi="Times New Roman"/>
          <w:color w:val="000000" w:themeColor="text1"/>
          <w:sz w:val="16"/>
          <w:szCs w:val="16"/>
        </w:rPr>
        <w:t xml:space="preserve"> Р-5, П-5, У-2 (1932-), Ли-2 (1945-), Ан-2 (1951-), Ил-18 (1960-2002-), Ил-76 (1980-2002-), Як-42 (1985-2002-), Ту-204 (2002); Ми-4 (1956-), Ми-6 (1965-), Ми-8 (1976-); переоборудование Ил-76МД в Ил-76ТД (2002).</w:t>
      </w:r>
      <w:r w:rsidRPr="005E779E">
        <w:rPr>
          <w:rFonts w:ascii="Times New Roman" w:hAnsi="Times New Roman"/>
          <w:color w:val="000000" w:themeColor="text1"/>
          <w:sz w:val="16"/>
          <w:szCs w:val="16"/>
          <w:vertAlign w:val="superscript"/>
        </w:rPr>
        <w:t>69</w:t>
      </w:r>
    </w:p>
    <w:p w14:paraId="062DAF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ООО «БАЗ» /пос. Быково Московской обл./</w:t>
      </w:r>
    </w:p>
    <w:p w14:paraId="21A863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Ремонт</w:t>
      </w:r>
      <w:r w:rsidRPr="005E779E">
        <w:rPr>
          <w:rFonts w:ascii="Times New Roman" w:hAnsi="Times New Roman"/>
          <w:color w:val="000000" w:themeColor="text1"/>
          <w:sz w:val="16"/>
          <w:szCs w:val="16"/>
        </w:rPr>
        <w:t xml:space="preserve"> (2003): ВСУ ТГ-16, в/винт АВ-68И; комплектующие изделия для Ил-76, Ил-18, Як-42, двигателей Д- 30, -КУ, -КП, НК-8-2 (11982).</w:t>
      </w:r>
    </w:p>
    <w:p w14:paraId="53FEAD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CB44DD1" w14:textId="77777777" w:rsidR="00996191" w:rsidRPr="005E779E" w:rsidRDefault="0099619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ноября 1931 г. сильный туман помешал ди</w:t>
      </w:r>
      <w:r w:rsidRPr="005E779E">
        <w:rPr>
          <w:rFonts w:ascii="Times New Roman" w:hAnsi="Times New Roman"/>
          <w:color w:val="000000" w:themeColor="text1"/>
          <w:sz w:val="16"/>
          <w:szCs w:val="16"/>
        </w:rPr>
        <w:softHyphen/>
        <w:t>рижаблю Комсомольская правла принять участие в демонстрации на Красной площади. На следующий день, дождав</w:t>
      </w:r>
      <w:r w:rsidRPr="005E779E">
        <w:rPr>
          <w:rFonts w:ascii="Times New Roman" w:hAnsi="Times New Roman"/>
          <w:color w:val="000000" w:themeColor="text1"/>
          <w:sz w:val="16"/>
          <w:szCs w:val="16"/>
        </w:rPr>
        <w:softHyphen/>
        <w:t xml:space="preserve">шись прояснения, он выполнил два полёта над рабочими окраинами Москвы (20120). </w:t>
      </w:r>
    </w:p>
    <w:p w14:paraId="2C1A5578" w14:textId="77777777" w:rsidR="00996191" w:rsidRPr="005E779E" w:rsidRDefault="00996191" w:rsidP="000B7A6C">
      <w:pPr>
        <w:spacing w:after="0" w:line="240" w:lineRule="auto"/>
        <w:jc w:val="both"/>
        <w:rPr>
          <w:rFonts w:ascii="Times New Roman" w:hAnsi="Times New Roman"/>
          <w:color w:val="000000" w:themeColor="text1"/>
          <w:sz w:val="16"/>
          <w:szCs w:val="16"/>
        </w:rPr>
      </w:pPr>
    </w:p>
    <w:p w14:paraId="6C46523D"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60CDE585"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5EB06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ноября 1931 15 первых машин Т-26 приняли участие в военном параде (3861).</w:t>
      </w:r>
    </w:p>
    <w:p w14:paraId="34706D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82BFD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ноября 1931 в параде на Красной Площади участвовали первые серийные Т-26 - двухбашенные и по конструкции практически не отличавшиеся от английских прототипов. На протяжении первых двух лет танк Т-26 выпускался исключительно в двухбашенном варианте (позже, когда в частях Красной Армии появились танки разных модификаций, для них использовали соответствующие обозначения. Двухбашенные танки Т-26 известны как танки образца 1931 и 1932 годов. однобашенные с цилиндрической башней - как танки образца 1933-1937 годов, а однобашенные с конической башней - как танки образца 1938 и 1939 года (широко используемые в иностранной литературе обозначения Т-26А, Т-26В и Т-26С впервые использованы немцами в годы 2-й Мировой войны и совершенно неизвестны в СССР, тем более, что Т-26А означает артиллерийский вариант танка) (3862).</w:t>
      </w:r>
    </w:p>
    <w:p w14:paraId="2AA45E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EC1ED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7 ноября 1931 был предъявлен вариант арттанка на шасси Т-26 с пушкой в корпусе (СУ-1) АНИИ и Академии ВАММ, но в нем обнаружилось большое количество недоработок и слишком малый, по мнению военных, угол горизонтального наведения. Еще не видя варианта с вращающейся башней, многие отдали предпочтение именно ему, правда ни один из конструкторских коллективов, работавших над ним, с проектом в срок не уложился, хотя башенными артиллерийскими танками болели в то время все (6469, 12).</w:t>
      </w:r>
    </w:p>
    <w:p w14:paraId="70C190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CBE79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ноября 1931 года три первых серийных танка БТ-2 участвовали в военном параде на Красной площади в Москве (9154).</w:t>
      </w:r>
    </w:p>
    <w:p w14:paraId="423EE5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20175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ноября 1931 в Москве по КП прошли только два БТ, т.к. у третьего при подходе загорелся двигатель. Два остальных покинули КП с трудом из-за неполадок КПП (3879,12).</w:t>
      </w:r>
    </w:p>
    <w:p w14:paraId="0D0B85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E120B92" w14:textId="77777777" w:rsidR="00193905" w:rsidRPr="005E779E" w:rsidRDefault="00193905"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7 ноября 1931 г. в параде на Красной площади вместе с первым полноценным танком БТ-2, несшим бутафорскую башню и макет пушки, участвовал двухбашенный БТ-ВТ. Потом два исправных танка из пяти построенных поступили на испытания на НИБТ полигон. Они очень понравились М.Н. Тухачевскому, который испытывал к многобашенным конструкциям большую симпатию. Эти два танка отличались не только своим необычным видом, но и более надежной работой, так как сотрудники СКБ-6 очень тщательно перебирали и регулировали все узлы и механизмы поступивших к ним на переоборудование танковых шасси и моторных агрегатов (15735).</w:t>
      </w:r>
    </w:p>
    <w:p w14:paraId="65528C3C" w14:textId="77777777" w:rsidR="00193905" w:rsidRPr="005E779E" w:rsidRDefault="00BE7680"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fldChar w:fldCharType="begin"/>
      </w:r>
      <w:r w:rsidR="00193905" w:rsidRPr="005E779E">
        <w:rPr>
          <w:rFonts w:ascii="Times New Roman" w:hAnsi="Times New Roman"/>
          <w:color w:val="000000" w:themeColor="text1"/>
          <w:sz w:val="16"/>
          <w:szCs w:val="16"/>
        </w:rPr>
        <w:instrText xml:space="preserve"> HYPERLINK "https://img-fotki.yandex.ru/get/26001/5684310.ab/0_151145_cbd7aa58_orig.jpg" \t "_blank" </w:instrText>
      </w:r>
      <w:r w:rsidRPr="005E779E">
        <w:rPr>
          <w:rFonts w:ascii="Times New Roman" w:hAnsi="Times New Roman"/>
          <w:color w:val="000000" w:themeColor="text1"/>
          <w:sz w:val="16"/>
          <w:szCs w:val="16"/>
        </w:rPr>
      </w:r>
      <w:r w:rsidRPr="005E779E">
        <w:rPr>
          <w:rFonts w:ascii="Times New Roman" w:hAnsi="Times New Roman"/>
          <w:color w:val="000000" w:themeColor="text1"/>
          <w:sz w:val="16"/>
          <w:szCs w:val="16"/>
        </w:rPr>
        <w:fldChar w:fldCharType="separate"/>
      </w:r>
    </w:p>
    <w:p w14:paraId="2ADAD132" w14:textId="77777777" w:rsidR="005C4849" w:rsidRPr="005E779E" w:rsidRDefault="00BE7680"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fldChar w:fldCharType="end"/>
      </w:r>
      <w:r w:rsidR="005C4849" w:rsidRPr="005E779E">
        <w:rPr>
          <w:rFonts w:ascii="Times New Roman" w:hAnsi="Times New Roman"/>
          <w:color w:val="000000" w:themeColor="text1"/>
          <w:sz w:val="16"/>
          <w:szCs w:val="16"/>
        </w:rPr>
        <w:t>7 ноября 1931 три танка БТ-2 (первый и два последующих танка выпущенные в сентябре 1931 года), приняли участие в параде войск на Красной площади. Они успешно, на макси</w:t>
      </w:r>
      <w:r w:rsidR="005C4849" w:rsidRPr="005E779E">
        <w:rPr>
          <w:rFonts w:ascii="Times New Roman" w:hAnsi="Times New Roman"/>
          <w:color w:val="000000" w:themeColor="text1"/>
          <w:sz w:val="16"/>
          <w:szCs w:val="16"/>
        </w:rPr>
        <w:softHyphen/>
        <w:t>мальной для гусеничного хода скорости — 52 км прошли Красную пло</w:t>
      </w:r>
      <w:r w:rsidR="005C4849" w:rsidRPr="005E779E">
        <w:rPr>
          <w:rFonts w:ascii="Times New Roman" w:hAnsi="Times New Roman"/>
          <w:color w:val="000000" w:themeColor="text1"/>
          <w:sz w:val="16"/>
          <w:szCs w:val="16"/>
        </w:rPr>
        <w:softHyphen/>
        <w:t>щадь, но на повороте у Москвы-реки один танк вдруг загорелся, у второго нарушилось управление переключением передач.</w:t>
      </w:r>
    </w:p>
    <w:p w14:paraId="279842D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ноябрьский военный парад 1931 года три танка БТ-2 прибыли своим ходом, совершив пробег Харьков-Москва. С Красной площади машины проследовали в Кубинку и после испытаний на полигоне совершили вновь пробег в обратном направлении Москва-Харь</w:t>
      </w:r>
      <w:r w:rsidRPr="005E779E">
        <w:rPr>
          <w:rFonts w:ascii="Times New Roman" w:hAnsi="Times New Roman"/>
          <w:color w:val="000000" w:themeColor="text1"/>
          <w:sz w:val="16"/>
          <w:szCs w:val="16"/>
        </w:rPr>
        <w:softHyphen/>
        <w:t>ков, после чего танк был рекомендован к серийному производству.</w:t>
      </w:r>
    </w:p>
    <w:p w14:paraId="1748ACC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полигоне в испытании БТ-2 принял непосредственное участие Е.А.Кульчицкий, который влюбился в эту машину и дал ей высокую оценку (11504).</w:t>
      </w:r>
    </w:p>
    <w:p w14:paraId="5A1978D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9A4D71" w14:textId="77777777" w:rsidR="001F7F26" w:rsidRPr="00142305" w:rsidRDefault="001F7F26" w:rsidP="001F7F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7 ноября 1931 года ХПЗ изготовил три опытных образца трактора, получивших соб</w:t>
      </w:r>
      <w:r w:rsidRPr="00142305">
        <w:rPr>
          <w:rFonts w:ascii="Times New Roman" w:hAnsi="Times New Roman"/>
          <w:color w:val="0070C0"/>
          <w:sz w:val="16"/>
          <w:szCs w:val="16"/>
        </w:rPr>
        <w:softHyphen/>
        <w:t>ственное название - «Коминтерн». Од</w:t>
      </w:r>
      <w:r w:rsidRPr="00142305">
        <w:rPr>
          <w:rFonts w:ascii="Times New Roman" w:hAnsi="Times New Roman"/>
          <w:color w:val="0070C0"/>
          <w:sz w:val="16"/>
          <w:szCs w:val="16"/>
        </w:rPr>
        <w:softHyphen/>
        <w:t>нако испытания показали, что 7-тон</w:t>
      </w:r>
      <w:r w:rsidRPr="00142305">
        <w:rPr>
          <w:rFonts w:ascii="Times New Roman" w:hAnsi="Times New Roman"/>
          <w:color w:val="0070C0"/>
          <w:sz w:val="16"/>
          <w:szCs w:val="16"/>
        </w:rPr>
        <w:softHyphen/>
        <w:t>ная машина, оснащенная двигателем в 65 л.с. имеет малую скорость (18 км/ч) и недостаточную силу тяги (25010).</w:t>
      </w:r>
    </w:p>
    <w:p w14:paraId="5B999335" w14:textId="77777777" w:rsidR="001F7F26" w:rsidRPr="00142305" w:rsidRDefault="001F7F26" w:rsidP="001F7F26">
      <w:pPr>
        <w:spacing w:after="0" w:line="240" w:lineRule="auto"/>
        <w:jc w:val="both"/>
        <w:rPr>
          <w:rFonts w:ascii="Times New Roman" w:hAnsi="Times New Roman"/>
          <w:color w:val="0070C0"/>
          <w:sz w:val="16"/>
          <w:szCs w:val="16"/>
        </w:rPr>
      </w:pPr>
    </w:p>
    <w:p w14:paraId="2DB14A12" w14:textId="77777777" w:rsidR="001F7F26" w:rsidRPr="00142305" w:rsidRDefault="001F7F26" w:rsidP="001F7F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7 ноября 1931 года на ЯГАЗ завершили сборку опытного образца грузовика ЯГ-10. Сразу же его откомандировали в Москву, в институт НАТИ, где затем испытывали в период с 16 по 27 ноября. За это время «трехоска» успела пробежать несколько сотен километров по Ленинградскому и Ярославскому шоссе, по Садовому кольцу в Москве и по грунтовым дорогам Подмосковья. В отдельных выездах ярославскую машину сопровождали еще две «трехоски» (серийный американский FWD и опытный советский «Форд-НАТИ-30»), а также обычный двухосный грузовик Я-5 (25595).</w:t>
      </w:r>
    </w:p>
    <w:p w14:paraId="05736B03" w14:textId="77777777" w:rsidR="001F7F26" w:rsidRPr="00142305" w:rsidRDefault="001F7F26" w:rsidP="001F7F26">
      <w:pPr>
        <w:spacing w:after="0" w:line="240" w:lineRule="auto"/>
        <w:jc w:val="both"/>
        <w:rPr>
          <w:rFonts w:ascii="Times New Roman" w:hAnsi="Times New Roman"/>
          <w:color w:val="0070C0"/>
          <w:sz w:val="16"/>
          <w:szCs w:val="16"/>
        </w:rPr>
      </w:pPr>
    </w:p>
    <w:p w14:paraId="1E3D46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ноября 1931 года на военном параде в честь 14-й годовщины Октябрьской социалистической революции в Москве среди новых образцов военной техники впервые были продемонстрированные маневренные, танки Т-24. Грозные боевые машины плавно двигались по Красной площади столицы. Присутствующие тогда на параде руководители оборонительной промышленности, командиры РККА, инженеры и конструкторы, которые принимали участие в создании этого танка, даже не подозревали о том, что всего через десять лет прямо с этой самой площади в бой пойдут всемирно известные харьковские средние танки Т-34 (10710).</w:t>
      </w:r>
    </w:p>
    <w:p w14:paraId="2FCFA5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C18FE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ноября 1931 года на военном параде в честь 14-й годовщины Октябрьской социалистической революции в Москве. Среди новых образцов военной техники впервые были продемонстрированные маневренные, танки Т-24. Грозные боевые машины плавно двигались по Красной площади столицы. Присутствующие тогда на параде руководители оборонительной промышленности, командиры РККА, инженеры и конструкторы, которые принимали участие в создании этого танка, даже не подозревали о том, что всего через десять лет прямо с этой самой площади в бой пойдут всемирно известные харьковские средние танки Т-34 (10278).</w:t>
      </w:r>
    </w:p>
    <w:p w14:paraId="75EDD0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F728EB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ноября 1931 в 14-ю годовщину Октябрьской революции два танка Т-24 участвовали в военном параде на Красной площади в Москве. После проверки танка Т-24 в условиях войсковой эксплуатации пред</w:t>
      </w:r>
      <w:r w:rsidRPr="005E779E">
        <w:rPr>
          <w:rFonts w:ascii="Times New Roman" w:hAnsi="Times New Roman"/>
          <w:color w:val="000000" w:themeColor="text1"/>
          <w:sz w:val="16"/>
          <w:szCs w:val="16"/>
        </w:rPr>
        <w:softHyphen/>
        <w:t>полагалось принять танк на вооружение Красной Армии и начать его серийное производство на ХПЗ. Однако этим намерениям не суждено было осуществиться, так как по решению правительства в 1931 году завод был ориентирован на крупносерийное производство быстроходных тан</w:t>
      </w:r>
      <w:r w:rsidRPr="005E779E">
        <w:rPr>
          <w:rFonts w:ascii="Times New Roman" w:hAnsi="Times New Roman"/>
          <w:color w:val="000000" w:themeColor="text1"/>
          <w:sz w:val="16"/>
          <w:szCs w:val="16"/>
        </w:rPr>
        <w:softHyphen/>
        <w:t>ков БТ, с прекращением работ по Т-24. При солидной мощности двигателя (250 л.с.) 18,5 тонный танк Т-24 с удельной мощностью в 13,5 л.с. на тонну веса мог двигаться с той же скоростью 22 км/час, что и танк МС-1. С большей скоростью танку Т-24 не позволяла двигаться несовер</w:t>
      </w:r>
      <w:r w:rsidRPr="005E779E">
        <w:rPr>
          <w:rFonts w:ascii="Times New Roman" w:hAnsi="Times New Roman"/>
          <w:color w:val="000000" w:themeColor="text1"/>
          <w:sz w:val="16"/>
          <w:szCs w:val="16"/>
        </w:rPr>
        <w:softHyphen/>
        <w:t>шенная конструкция ходовой части, в частности, подвеска ее к корпусу танка. Она была такой же, как и у МС-1, но усиленная на вес танка (11504).</w:t>
      </w:r>
    </w:p>
    <w:p w14:paraId="28D9F9F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5854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7 ноября 1931 года на ХПЗ под руководством Б.Н.Воронкова (ведущие конструкторы Д.М.Иванов, Д.Ф.Бобров) построили три опытных образца быстроходного среднего гусеничного тягача для буксировки орудий массой до 10 т, а также для выполнения в войсках тяжелых транспортных работ. Тягач, названный «Коминтерн», развивал скорость до 18 км/ч, имел новую подвеску и ходовую часть, однако при небольшой массе (7 т) и мощности (65 л.с.) показал недостаточную силу тяги. К тому же у него, как и у «Коммунара», отсутствовали грузовая платформа, лебедка и закрытая кабина. После полигонных испытаний, проведенных в 1932 году, доводкой тягача занималась в тракторно-конструкторском бюро (ТРК) бригада во главе с Н.Г.Зубаревым (Б.Н.воронков перешел на ХТЗ), куда также вошли инженеры А.Г.Гулита и В.П.Каплин. На «Коминтерн» установили оригинальный, специально разработанный двигатель увеличенной мощности, ходовую часть и подвеску использовали от танка Т-24, ранее выпускавшегося заводом, повысили скорость и силовой диапазон в трансмиссии, установили кабину автомобильного типа для экипажа и платформу для перевозки орудийного расчета, боекомплекта и снаряжения. Впервые в отечественной практике на тягаче была применена лебедка с тяговым усилием, сопоставимым с массой прицепа, и он стал соответствовать всем предъявленным тогда артиллеристами требованиям к быстроходной гусеничной машине для выполнения тяжелых транспортных работ в условиях бездорожья и вскоре был принят на снабжение Красной Армии (11639).</w:t>
      </w:r>
    </w:p>
    <w:p w14:paraId="50A4DF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030A9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ноября 1931 ЯГАЗ выпустил первый трехосный грузовой автомобиль ЯГ-10 грузоподъемностью 8 тонн, с двигателем мощностью 93,5 л.с. Директорами завода работали: с 26 февраля - Н.И. Милов, с 20 марта - Ф.И. Ильин. 28 декабря. Директором завода назначен В.А. Еленин. Главными инженерами работали: с 26 апреля - Н.И. Резванов, с 19 июля - А.Н. Жуков (11246).</w:t>
      </w:r>
    </w:p>
    <w:p w14:paraId="45E351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CC4A3DF" w14:textId="77777777" w:rsidR="00513C11" w:rsidRPr="005E779E" w:rsidRDefault="00513C1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ноября 1931 года на ярославском автозаводе была завершена постройка первого образца шестиколесного (как называли тогда «трехоски») автомобиля ЯГ-10. Диковинная по тем временам машина почти сразу же отбыла в Москву, где была передана в НАТИ для испытаний. Как отмечалось в отчете по ним, ЯГ-10 «...представлял собой серийный грузовик Я-5, поставленный на шестиколесный ход. Это увеличило тоннаж машины с 5 до 8 тонн и до 5 тонн по бездорожью». Этот автомобиль появился на свет в 1931 году и мелкосерийно производился в течение 8 лет. Он не обладал какими-то особо выдающимися характеристиками и даже не претендовал на статус оригинальной конструкции, фактически оставаясь лишь модификацией, к тому же так и не став полностью отечественным автомобилем (12201).</w:t>
      </w:r>
    </w:p>
    <w:p w14:paraId="5ECF696B" w14:textId="77777777" w:rsidR="00513C11" w:rsidRPr="005E779E" w:rsidRDefault="00513C11" w:rsidP="000B7A6C">
      <w:pPr>
        <w:spacing w:after="0" w:line="240" w:lineRule="auto"/>
        <w:jc w:val="both"/>
        <w:rPr>
          <w:rFonts w:ascii="Times New Roman" w:hAnsi="Times New Roman"/>
          <w:color w:val="000000" w:themeColor="text1"/>
          <w:sz w:val="16"/>
          <w:szCs w:val="16"/>
        </w:rPr>
      </w:pPr>
    </w:p>
    <w:p w14:paraId="560C0BAE"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ноября 1931 года оба грузовика У-4 ХАСЗ приняли участие в праздничной демонстрации трудящихся столицы Украины - города Харькова. В дальнейшем эти ав-томобили показывали свои рабо-чие качества в самых тяжелых условиях.</w:t>
      </w:r>
    </w:p>
    <w:p w14:paraId="2728FBF0"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грузовики были сдела-ны все рабочие чертежи, специ-фикации, протоколы сборки и разборки, анализы применяемых материалов - отработан весь тех-нологический процесс. Все дета-ли были изготовлены только из отечественных материалов, часть - на месте, а особо сложные - в кооперации с другими отече-ственными заводами. Большую работу провели по выпуску каче-ственного алюминиевого литья, чугунных блоков. Наладили в условиях полукустарного произ-водства нормальную термообра-ботку деталей.</w:t>
      </w:r>
    </w:p>
    <w:p w14:paraId="6A55E4FA"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Краткая характеристика грузовика "У-4": грузоподъем-ность - 4 т; "мертвый" вес - 3750 кг; число цилиндров - 6; мощ-ность двигателя - 70 л/с; число скоростей - 4 вперед; 1 назад; база - 4,7 м; длина, ширина, вы-сота - соответственно 7,0 х 1,9 х 1,8 м; колея - 1,7 м; размер шин - 34"х 6"; запас топлива - на 4 часа работы; скорость - 50 км/час.</w:t>
      </w:r>
    </w:p>
    <w:p w14:paraId="7C3E2CE6"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Необходимо добавить, что конструкторами ХАСЗ еще в 1929 году были разработаны:</w:t>
      </w:r>
    </w:p>
    <w:p w14:paraId="784D6AD6"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газогенератор на дровя-ных (березовых) чурках;</w:t>
      </w:r>
    </w:p>
    <w:p w14:paraId="4D089A8A"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автобусный кузов для пе-ревозки 40 пассажиров.</w:t>
      </w:r>
    </w:p>
    <w:p w14:paraId="5E1D7147"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году были разрабо-таны проекты и рабочие черте-жи:</w:t>
      </w:r>
    </w:p>
    <w:p w14:paraId="2A8FA622"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мотоцикла с объемом двигателя 375 куб.см. и карданной передачей;</w:t>
      </w:r>
    </w:p>
    <w:p w14:paraId="63E52B0F"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мотоцикла с объемом дви-гателя 750 куб.см. и карданной передачей;</w:t>
      </w:r>
    </w:p>
    <w:p w14:paraId="69B1CDF1"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мотоцикла с объемом дви-гателя 1200 куб.см. и цепной пе-редачей.</w:t>
      </w:r>
    </w:p>
    <w:p w14:paraId="65367B2D"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Наконец, на ХАСЗ был раз-работан проект малолитражного автомобиля с 4-хцилиндровым двигателем рабочим объемом 1000 куб.см. воздушного охлаждения, расположенным у задней разрезной оси. Коробка скорос-тей - трехступенчатая (3 вперед, 1 назад). Вес автомобиля - 550 кг. Предполагаемая скорость -100 км/час. Двигатель спроекти-рован с верхним кулачковым ва-лом, непосредственно действую-щим на клапаны. Кузов рассчи-тан на 4 места.</w:t>
      </w:r>
    </w:p>
    <w:p w14:paraId="76206B60"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сожалению, из-за малой мощности завода, отсутствия средств и оборудования, произ-водство грузовиков, мотоциклов и малолитражек так и не было налажено. Мотоциклы малыми сериями 'выпускали в 1931-1933 годах, а затем производство мо-дели "М" было передано в Таганрог (11602).</w:t>
      </w:r>
    </w:p>
    <w:p w14:paraId="54C42FA5" w14:textId="77777777" w:rsidR="005C4849" w:rsidRPr="005E779E" w:rsidRDefault="005C4849" w:rsidP="000B7A6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64AAD5" w14:textId="77777777" w:rsidR="00193905"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01FA5159" w14:textId="77777777" w:rsidR="00193905" w:rsidRPr="005E779E" w:rsidRDefault="00193905"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B0F7DFF" w14:textId="77777777" w:rsidR="00193905" w:rsidRPr="005E779E" w:rsidRDefault="00193905"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7 ноября</w:t>
      </w:r>
      <w:r w:rsidRPr="005E779E">
        <w:rPr>
          <w:rFonts w:ascii="Times New Roman" w:hAnsi="Times New Roman"/>
          <w:color w:val="000000" w:themeColor="text1"/>
          <w:sz w:val="16"/>
          <w:szCs w:val="16"/>
        </w:rPr>
        <w:t xml:space="preserve"> в 1931 году наркомом просвещения Анатолием Васильевичем Луначарским был открыт кинотеатр "Ударник", открытие приурочили к 14-й годовщине Октябрьской революции. Кинотеатр был оснащён самой современной техникой того времени, а его архитектура и знаменитый раздвижной потолок-купол сделали </w:t>
      </w:r>
      <w:r w:rsidRPr="005E779E">
        <w:rPr>
          <w:rFonts w:ascii="Times New Roman" w:hAnsi="Times New Roman"/>
          <w:color w:val="000000" w:themeColor="text1"/>
          <w:sz w:val="16"/>
          <w:szCs w:val="16"/>
        </w:rPr>
        <w:lastRenderedPageBreak/>
        <w:t>«Ударник» уникальным. Купол разводили всего один раз, в день открытия. Восторженные гости увидели звёздное небо, но потом механизм заклинило и тогда для проветривания зала начали использовать обычные в то время способы кондиционирования. Кинотеатр «Ударник» построен вместе с Домом на набережной по проекту Бориса Михайловича Иофана</w:t>
      </w:r>
    </w:p>
    <w:p w14:paraId="1C61A876" w14:textId="77777777" w:rsidR="00193905" w:rsidRPr="005E779E" w:rsidRDefault="00193905" w:rsidP="000B7A6C">
      <w:pPr>
        <w:spacing w:after="0" w:line="240" w:lineRule="auto"/>
        <w:jc w:val="both"/>
        <w:rPr>
          <w:rFonts w:ascii="Times New Roman" w:hAnsi="Times New Roman"/>
          <w:color w:val="000000" w:themeColor="text1"/>
          <w:sz w:val="16"/>
          <w:szCs w:val="16"/>
        </w:rPr>
      </w:pPr>
    </w:p>
    <w:p w14:paraId="698874FB" w14:textId="77777777" w:rsidR="00357876" w:rsidRPr="005E779E" w:rsidRDefault="0035787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ноября 1931. Открылся звуковой кинотеатр "Ударник" (18724).</w:t>
      </w:r>
    </w:p>
    <w:p w14:paraId="32FCB147" w14:textId="77777777" w:rsidR="00357876" w:rsidRPr="005E779E" w:rsidRDefault="00357876" w:rsidP="000B7A6C">
      <w:pPr>
        <w:spacing w:after="0" w:line="240" w:lineRule="auto"/>
        <w:jc w:val="both"/>
        <w:rPr>
          <w:rFonts w:ascii="Times New Roman" w:hAnsi="Times New Roman"/>
          <w:color w:val="000000" w:themeColor="text1"/>
          <w:sz w:val="16"/>
          <w:szCs w:val="16"/>
        </w:rPr>
      </w:pPr>
    </w:p>
    <w:p w14:paraId="2329C072"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13C88C1D"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FB3FE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ноября 1931 в провинции Гуанси китайские коммунисты провозгласили Китайскую советскую республику (3186). Прошел первый Всекитайский съезд советов. Избрал правительство во главе с Мао Цзе-дуном, утвердил проект конституции, проекты законов о земле, о труде, о советском строительстве (3878,3).</w:t>
      </w:r>
    </w:p>
    <w:p w14:paraId="074825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5C780C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ноября 1931 основано информационное агентство «Красный Китай» (теперь Синьхуа) (4962).</w:t>
      </w:r>
    </w:p>
    <w:p w14:paraId="01A3F9B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AAF5D37"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0497ACE6"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9D0AF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ноября 1931 из ЦАГИ взяли гидравлический отдел - переименован в Гидроэнергетический НИИ (ВИГМ) и передан Энергоцентру (71,243).</w:t>
      </w:r>
    </w:p>
    <w:p w14:paraId="65D9B1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B8211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ноября 1931 Открылся первый в стране аэровокзал на Центральном аэродроме (274).</w:t>
      </w:r>
    </w:p>
    <w:p w14:paraId="77E0FC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D481F87" w14:textId="77777777" w:rsidR="00F12FE0"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22EE47B3" w14:textId="77777777" w:rsidR="00F12FE0" w:rsidRPr="005E779E" w:rsidRDefault="00F12FE0"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A4166B6" w14:textId="77777777" w:rsidR="00F12FE0" w:rsidRPr="005E779E" w:rsidRDefault="00F12FE0"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8 ноября</w:t>
      </w:r>
      <w:r w:rsidRPr="005E779E">
        <w:rPr>
          <w:rFonts w:ascii="Times New Roman" w:hAnsi="Times New Roman"/>
          <w:color w:val="000000" w:themeColor="text1"/>
          <w:sz w:val="16"/>
          <w:szCs w:val="16"/>
        </w:rPr>
        <w:t xml:space="preserve"> в 1931 году было основано на Урале радиопредприятие - Егоршинский радиозавод. Ныне ОАО "ЕРЗ" (Свердловская область). В том же году заводом была выпущена первая радиопередвижка. За годы Великой отечественной войны переговорными устройствами производства Егоршинского радиозавода были оснащены сто две тысячи танков. В послевоенные годы радиозавод освоил выпуск средств радиосвязи КВ и УКВ диапазонов, завоевавших многочисленные премии на различных выставках, включая и всемирные. В настоящее время предприятие выпускает разнообразную продукцию военного и гражданского назначения. ОАО «Егоршинский радиозавод» производит и осуществляет поставки различной промышленной электроники для Министерства путей сообщения, предприятий транспорта и топливно- энергетического комплекса. В 2001 году завод освоил выпуск узлов, используемых в производстве холодильников. С 2002 г. нашим предприятием осуществляются поставки комплектующих для акционерного общества «АвтоВАЗ». Открытое акционерное общество «Егоршинский радиозавод» является предприятием, занимающим устойчивое лидирующее положение на российском рынке профессиональных средств радиосвязи. Радиостанции производства нашего предприятия находятся в эксплуатации практически во всех регионах Российской Федерации и стран СНГ. Более двух тысяч радиостанций производства ОАО «Егоршинский радиозавод» было экспортировано в страны Европы, Азии, Африки, Латинской Америки (14824).</w:t>
      </w:r>
    </w:p>
    <w:p w14:paraId="2A0E0EF0" w14:textId="77777777" w:rsidR="00F12FE0" w:rsidRPr="005E779E" w:rsidRDefault="00F12FE0" w:rsidP="000B7A6C">
      <w:pPr>
        <w:spacing w:after="0" w:line="240" w:lineRule="auto"/>
        <w:jc w:val="both"/>
        <w:rPr>
          <w:rFonts w:ascii="Times New Roman" w:hAnsi="Times New Roman"/>
          <w:color w:val="000000" w:themeColor="text1"/>
          <w:sz w:val="16"/>
          <w:szCs w:val="16"/>
        </w:rPr>
      </w:pPr>
    </w:p>
    <w:p w14:paraId="785FD737" w14:textId="77777777" w:rsidR="00513C11"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0FD04481" w14:textId="77777777" w:rsidR="00513C11" w:rsidRPr="005E779E" w:rsidRDefault="00513C11"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AFF211D" w14:textId="77777777" w:rsidR="00996191" w:rsidRPr="005E779E" w:rsidRDefault="0099619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shd w:val="clear" w:color="auto" w:fill="FFFFFF"/>
        </w:rPr>
        <w:t>9 ноября 1931 вышло решение КО (№ 878/ко от 9.11.1931 г.) - О порядке постройки нового образца танка типа Гроте (21563).</w:t>
      </w:r>
    </w:p>
    <w:p w14:paraId="58A654C3" w14:textId="77777777" w:rsidR="00996191" w:rsidRPr="005E779E" w:rsidRDefault="00996191" w:rsidP="000B7A6C">
      <w:pPr>
        <w:spacing w:after="0" w:line="240" w:lineRule="auto"/>
        <w:jc w:val="both"/>
        <w:rPr>
          <w:rFonts w:ascii="Times New Roman" w:hAnsi="Times New Roman"/>
          <w:color w:val="000000" w:themeColor="text1"/>
          <w:sz w:val="16"/>
          <w:szCs w:val="16"/>
        </w:rPr>
      </w:pPr>
    </w:p>
    <w:p w14:paraId="43E0D584" w14:textId="77777777" w:rsidR="00513C11" w:rsidRPr="005E779E" w:rsidRDefault="00513C11"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9 ноября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Постановление СНК СССР № 230н/о о продовольственном и промтоварном снабжении мобработников (ГА РФ. Ф. Р?8418. Оп. 28. Д. 14а. Л. 75?76) (12415).</w:t>
      </w:r>
    </w:p>
    <w:p w14:paraId="236BFBD3" w14:textId="77777777" w:rsidR="00513C11" w:rsidRPr="005E779E" w:rsidRDefault="00513C11"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Постановление СТО СССР № 229сс о выполнении заказов НКВМ по 1931 г. (ГА РФ. Ф. Р?8418. Оп. 28. Д. 1а. Л. 78?84) (12415).</w:t>
      </w:r>
    </w:p>
    <w:p w14:paraId="00A8A373" w14:textId="77777777" w:rsidR="00513C11" w:rsidRPr="005E779E" w:rsidRDefault="00513C11" w:rsidP="000B7A6C">
      <w:pPr>
        <w:spacing w:after="0" w:line="240" w:lineRule="auto"/>
        <w:jc w:val="both"/>
        <w:rPr>
          <w:rFonts w:ascii="Times New Roman" w:hAnsi="Times New Roman"/>
          <w:color w:val="000000" w:themeColor="text1"/>
          <w:sz w:val="16"/>
          <w:szCs w:val="16"/>
          <w:u w:color="002060"/>
        </w:rPr>
      </w:pPr>
    </w:p>
    <w:p w14:paraId="6093256D" w14:textId="77777777" w:rsidR="00357876" w:rsidRPr="005E779E" w:rsidRDefault="00357876"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Внешняя политика:</w:t>
      </w:r>
    </w:p>
    <w:p w14:paraId="080FBEB6" w14:textId="77777777" w:rsidR="00357876" w:rsidRPr="005E779E" w:rsidRDefault="00357876"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F141193" w14:textId="77777777" w:rsidR="00357876" w:rsidRPr="005E779E" w:rsidRDefault="0035787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ноября 1932 г. новый начальник штаба райхсвера генерал Адам, который сменил в 1930 г. генерал-полковника Хаммерштайна вел переговоры с высшим военным руководством СССР. В связи с начавшимися к тому времени переговорами СССР с Францией и предполагавшимися переговорами с Польшей, а также предстоявшей Всеобщей конференцией по разоружению в Женеве в начале 1932 г. стороны много внимания уделили этим международным проблемам. Немцы были обеспокоены франко-советскими переговорами и тем фактом, что переговоры между СССР и Польшей начнутся «под давлением Франции».</w:t>
      </w:r>
    </w:p>
    <w:p w14:paraId="1FF31CDB" w14:textId="77777777" w:rsidR="00357876" w:rsidRPr="005E779E" w:rsidRDefault="0035787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армии было бы очень неприятно, если бы при этих переговорах с Польшей были бы подтверждены наши существующие границы, которые мы не можем признать за Польшей», — заявил Ворошилову Адам.</w:t>
      </w:r>
    </w:p>
    <w:p w14:paraId="4CA6B8FA" w14:textId="77777777" w:rsidR="00357876" w:rsidRPr="005E779E" w:rsidRDefault="0035787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Ворошилов принялся уверять немецкого генерала в советско-германской дружбе. Он говорил, что «в переговорах с Францией нет и не может быть ничего, направленного против Германии», что если с Польшей будут вестись переговоры по пакту о ненападении, то, во всяком случае, дальше этого, мол, дело не пойдет, и «разговоров о границах и вообще о Германии» с поляками не будет. В немецкой записи беседы, пересланной затем Дирксеном в германский МИД, констатируется, что, «по словам Ворошилова, переговоры с Польшей о заключении пакта о ненападении ведутся уже давно» (18265).</w:t>
      </w:r>
    </w:p>
    <w:p w14:paraId="33132A3C" w14:textId="77777777" w:rsidR="00357876" w:rsidRPr="005E779E" w:rsidRDefault="00357876" w:rsidP="000B7A6C">
      <w:pPr>
        <w:spacing w:after="0" w:line="240" w:lineRule="auto"/>
        <w:jc w:val="both"/>
        <w:rPr>
          <w:rFonts w:ascii="Times New Roman" w:hAnsi="Times New Roman"/>
          <w:color w:val="000000" w:themeColor="text1"/>
          <w:sz w:val="16"/>
          <w:szCs w:val="16"/>
        </w:rPr>
      </w:pPr>
    </w:p>
    <w:p w14:paraId="01480A5B"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43C1EE45"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9AC8219" w14:textId="77777777" w:rsidR="001F7F26" w:rsidRPr="00142305" w:rsidRDefault="001F7F26" w:rsidP="001F7F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10 ноября 1931 г. в Лондоне погрузили на пароход «Рыков» последний танк Виккерс № 15, т.к. его сдача задержалась из-за дефектов в бронелистах башни. Таким образом, договор с фирмой «Виккерс-Армстронг» был полностью выполнен (25184).</w:t>
      </w:r>
    </w:p>
    <w:p w14:paraId="1A07E92D" w14:textId="77777777" w:rsidR="001F7F26" w:rsidRPr="00142305" w:rsidRDefault="001F7F26" w:rsidP="001F7F26">
      <w:pPr>
        <w:spacing w:after="0" w:line="240" w:lineRule="auto"/>
        <w:jc w:val="both"/>
        <w:rPr>
          <w:rFonts w:ascii="Times New Roman" w:hAnsi="Times New Roman"/>
          <w:color w:val="0070C0"/>
          <w:sz w:val="16"/>
          <w:szCs w:val="16"/>
        </w:rPr>
      </w:pPr>
    </w:p>
    <w:p w14:paraId="01DEA32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ноября 1931 года начальник Авто-танко-тракторного бюро эконо</w:t>
      </w:r>
      <w:r w:rsidRPr="005E779E">
        <w:rPr>
          <w:rFonts w:ascii="Times New Roman" w:hAnsi="Times New Roman"/>
          <w:color w:val="000000" w:themeColor="text1"/>
          <w:sz w:val="16"/>
          <w:szCs w:val="16"/>
        </w:rPr>
        <w:softHyphen/>
        <w:t>мического управления (АТТБ ЭКУ) ОГПУ Вунштейн на</w:t>
      </w:r>
      <w:r w:rsidRPr="005E779E">
        <w:rPr>
          <w:rFonts w:ascii="Times New Roman" w:hAnsi="Times New Roman"/>
          <w:color w:val="000000" w:themeColor="text1"/>
          <w:sz w:val="16"/>
          <w:szCs w:val="16"/>
        </w:rPr>
        <w:softHyphen/>
        <w:t>правил в УММ РККА два эскизных проекта бронеавтомобиля под обозначением «ФВВ». Проекты представляли со</w:t>
      </w:r>
      <w:r w:rsidRPr="005E779E">
        <w:rPr>
          <w:rFonts w:ascii="Times New Roman" w:hAnsi="Times New Roman"/>
          <w:color w:val="000000" w:themeColor="text1"/>
          <w:sz w:val="16"/>
          <w:szCs w:val="16"/>
        </w:rPr>
        <w:softHyphen/>
        <w:t>бой броневики на шасси «Форд-Тимкен» со следующими характеристиками:</w:t>
      </w:r>
    </w:p>
    <w:p w14:paraId="552635E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обеих вариантах следующая толщина брони:</w:t>
      </w:r>
    </w:p>
    <w:p w14:paraId="35EDFEB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радиатор спереди — 7 мм,</w:t>
      </w:r>
    </w:p>
    <w:p w14:paraId="0651744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 с боков — 6 мм,</w:t>
      </w:r>
    </w:p>
    <w:p w14:paraId="7DE640F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бок корпуса - 7 мм,</w:t>
      </w:r>
    </w:p>
    <w:p w14:paraId="05577C5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лист перед водителем и башня — 7 мм,</w:t>
      </w:r>
    </w:p>
    <w:p w14:paraId="084A781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крыша — 4 мм,</w:t>
      </w:r>
    </w:p>
    <w:p w14:paraId="2BEECE3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задняя стенка - 5 мм.</w:t>
      </w:r>
    </w:p>
    <w:p w14:paraId="03692FF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 первого варианта - 37-мм пушка образца 1930 года и 7,62-мм пулемет ДТУ в башне, 1 ДТУ в перед</w:t>
      </w:r>
      <w:r w:rsidRPr="005E779E">
        <w:rPr>
          <w:rFonts w:ascii="Times New Roman" w:hAnsi="Times New Roman"/>
          <w:color w:val="000000" w:themeColor="text1"/>
          <w:sz w:val="16"/>
          <w:szCs w:val="16"/>
        </w:rPr>
        <w:softHyphen/>
        <w:t>нем листе корпуса (угол снижения 6-8 градусов), 1 ДТУ для зенитной стрельбы впереди башни на специальном вра</w:t>
      </w:r>
      <w:r w:rsidRPr="005E779E">
        <w:rPr>
          <w:rFonts w:ascii="Times New Roman" w:hAnsi="Times New Roman"/>
          <w:color w:val="000000" w:themeColor="text1"/>
          <w:sz w:val="16"/>
          <w:szCs w:val="16"/>
        </w:rPr>
        <w:softHyphen/>
        <w:t>щающемся круге.</w:t>
      </w:r>
    </w:p>
    <w:p w14:paraId="75616AA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Второй вариант - все то же самое, только вместо зенит</w:t>
      </w:r>
      <w:r w:rsidRPr="005E779E">
        <w:rPr>
          <w:rFonts w:ascii="Times New Roman" w:hAnsi="Times New Roman"/>
          <w:color w:val="000000" w:themeColor="text1"/>
          <w:sz w:val="16"/>
          <w:szCs w:val="16"/>
        </w:rPr>
        <w:softHyphen/>
        <w:t>ного ДТУ установлена спарка авиационных пулеметов ДА.</w:t>
      </w:r>
    </w:p>
    <w:p w14:paraId="354629D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Боекомплект обоих вариантов состоит из 5985 патро</w:t>
      </w:r>
      <w:r w:rsidRPr="005E779E">
        <w:rPr>
          <w:rFonts w:ascii="Times New Roman" w:hAnsi="Times New Roman"/>
          <w:color w:val="000000" w:themeColor="text1"/>
          <w:sz w:val="16"/>
          <w:szCs w:val="16"/>
        </w:rPr>
        <w:softHyphen/>
        <w:t>нов, 80 снарядов, экипаж 3 человека, запас горючего 70 ли</w:t>
      </w:r>
      <w:r w:rsidRPr="005E779E">
        <w:rPr>
          <w:rFonts w:ascii="Times New Roman" w:hAnsi="Times New Roman"/>
          <w:color w:val="000000" w:themeColor="text1"/>
          <w:sz w:val="16"/>
          <w:szCs w:val="16"/>
        </w:rPr>
        <w:softHyphen/>
        <w:t>тров, приблизительный вес 4210 — 4237 кг» (11284).</w:t>
      </w:r>
    </w:p>
    <w:p w14:paraId="5FBF0EF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AE03FB"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11DB7D64"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C662A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10 ноября 1931 г. и заместитель Ворошилова Тухачевский (РГВА, ф. 33987, оп. 3, д. 375, л. 22-40,162-163.) разговаривал с Адамом об отсутствии в Липецке современной техники. В своей работе в Липецке немецкие военные исходили, безусловно, в первую очередь из собственных утилитарных интересов. Под руководством офицеров управления вооружений райхсвера и с привлечением технических специалистов соответствующих германских фирм-производителей в Липецке с 1927 г. проводились довольно интенсивные испытания новых боевых самолетов, авиационного оборудования и вооружения. Это позволило немцам подготовить там несколько (шесть — семь) типов самолетов, которые успешно прошли все испытания, считались годными для серийного производства и условно были приняты на вооружение райхсвера. Конкретно речь шла об истребителях, а также о самолетах-разведчиках ближнего и дальнего (их можно было использовать в качестве легких бомбардировщиков) радиусов действий. Немецкий исследователь О. Грелер считает, что в Липецке прошли испытания следующие типы самолетов: Хе-45, Хе-46, Хе-51, «Арадо 64-65», «Юнкере К-47», До-11 (Groehler Olaf. Op. cit. S. 45.). По-настоящему интерес к научно-техническому опыту и испытательным работам немцев в Липецке у советской стороны проснулся где-то на рубеже 1927 — 1928 гг. Она организовала там небольшие рабочие группы из своих летчиков и инженеров-самолетостроителей, которые теперь уже на постоянной основе подробно знакомились с работами германских специалистов. Появились там и ведущие специалисты ЦАГИ (Центральный аэрогидродинамический институт). Они участвовали во всех технических испытаниях немцев вплоть до 1933 г., причем советские </w:t>
      </w:r>
      <w:r w:rsidRPr="005E779E">
        <w:rPr>
          <w:rFonts w:ascii="Times New Roman" w:hAnsi="Times New Roman"/>
          <w:color w:val="000000" w:themeColor="text1"/>
          <w:sz w:val="16"/>
          <w:szCs w:val="16"/>
        </w:rPr>
        <w:lastRenderedPageBreak/>
        <w:t>летчики испытывали немецкие самолеты в воздухе. Советская сторона в 1930 — 1932гг. также устраивала показ своей авиационной техники и вооружений (например, авиационный пулемет Дегтярева в июле 1930 г. ), но лишь в сентябре 1931 г. в Тушине под Москвой была устроена широкая демонстрация советской авиатехники. Правда, по мнению немецких участников (Ф. Фельми, Х. Шпайдель, К. Друм, В. Виммер), это были в основном устаревшие модели. И хотя советские авиаконструкторы занимались разработкой новых типов самолетов (например, АНТ-14, АНТ-20, ТБ-1, ТБ-3, ТБ-4), немцам их старались не показывать. Причиной было очевидное нежелание демонстрировать то, что прогресс в советском авиастроении достигался во многом за счет элементарного освоения и тиражирования достижений иностранной, в том числе немецкой, технической мысли, хотя в этом, конечно, нет ничего предосудительного. В октябре 1932 г. «испытательный» период в Липецке закончился, в 1933 г. там проходили обучение лишь молодые немецкие летчики. Итоговую картину относительно подготовки летного и технического состава для советских ВВС в Липецке составить сложно, хотя можно однозначно сказать, что научились у немцев в авиационном деле многому. Достаточно упомянуть, что советские летчики обучались на основе наставлений и инструкций, разработанных в Липецке. В декабре 1932 г. Фельми передал Меженинову около десятка наставлений по ведению боевых действий в воздухе. Что касается немцев, то всего в период с 1925 по 1933 г. в Липецке прошел подготовку более 120 немецких боевых летчиков и около 100 летчиков-наблюдателей (всего порядка 270 человек), причем последний выпуск был осуществлен летом 1933 г. Кроме того, примерно 220 — 230 летчиков-истребителей и летчиков-наблюдателей было подготовлено в самой Германии на основе уникального опыта, приобретенного в авиационной школе Липецка. Таким образом, по свидетельству немецкого генерала X. Шпайделя, к 1933 г. благодаря Липецку было подготовлено около 450 немецких летчиков различной квалификации (Helm Speidel. Op. cit. S. 29, 30, 44; Manfred Zeidler. Op. cit.с 179—181.). Некоторые из них стали настоящими асами и прославились в годы второй мировой войны, действуя в том числе и на германо-советском фронте. Генералами «люфтваффе» стали прошедшие обучение в Липецкой школе X. Шпайдель, К. Штудент, X. Ешонек, В. Виммер, Э. Кваде, Г. Кастнер, О. Деслох и др. (11784).</w:t>
      </w:r>
    </w:p>
    <w:p w14:paraId="667BA9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13024B4"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1EFCE7AE"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750D3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ноября 1931 года на аэродроме Монино была проведена стрельба на земле с самолет И-12 с двумя пушками ДРП. Всего было сделано 8 выстрелов. Повреждений как артсистемы, так и самого самолета после стрельбы не было. При перелете на Октябрьский аэродром самолет вновь подломал костыли (7416, 58-59).</w:t>
      </w:r>
    </w:p>
    <w:p w14:paraId="22C824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32EB8F7" w14:textId="77777777" w:rsidR="00357876" w:rsidRPr="005E779E" w:rsidRDefault="00357876" w:rsidP="000B7A6C">
      <w:pPr>
        <w:pStyle w:val="rtejustify"/>
        <w:shd w:val="clear" w:color="auto" w:fill="FFFFFF"/>
        <w:spacing w:before="0" w:after="0"/>
        <w:rPr>
          <w:color w:val="000000" w:themeColor="text1"/>
          <w:sz w:val="16"/>
          <w:szCs w:val="16"/>
        </w:rPr>
      </w:pPr>
      <w:r w:rsidRPr="005E779E">
        <w:rPr>
          <w:color w:val="000000" w:themeColor="text1"/>
          <w:sz w:val="16"/>
          <w:szCs w:val="16"/>
        </w:rPr>
        <w:t>11 ноября 1931 на Монинском аэродроме выполнили наземные стрельбы из ДРП на И-12. Восемь выстрелов никаких повреждений самолету и артсистеме не принесли. Однако при перелете на Центральный аэродром, при посадке были сломаны костыли. Самолет нуждался в ремонте, к которому приступили лишь во второй половине января 1932 года (19172).</w:t>
      </w:r>
    </w:p>
    <w:p w14:paraId="627ADF14" w14:textId="77777777" w:rsidR="00357876" w:rsidRPr="005E779E" w:rsidRDefault="00357876" w:rsidP="000B7A6C">
      <w:pPr>
        <w:pStyle w:val="rtejustify"/>
        <w:shd w:val="clear" w:color="auto" w:fill="FFFFFF"/>
        <w:spacing w:before="0" w:after="0"/>
        <w:rPr>
          <w:color w:val="000000" w:themeColor="text1"/>
          <w:sz w:val="16"/>
          <w:szCs w:val="16"/>
        </w:rPr>
      </w:pPr>
    </w:p>
    <w:p w14:paraId="1ECCEC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ноября 1931 состоялись первые наземные стрельбы И-12 (АНТ-23) на аэродроме НИИ ВВС. Отстрелялись успешно, но при возвращении в Москву подломили костыли. Чинили 3 месяца. Вообще эта машина совершила первый полет еще 29 августа 1931, но ее пришлось доделывать и переделывать до осени. Двухкилевое оперение заменили на однокилевое. Меняли капотирование переднего двигателя (2693,14).</w:t>
      </w:r>
    </w:p>
    <w:p w14:paraId="368BED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12ED1AD" w14:textId="77777777" w:rsidR="00F12FE0" w:rsidRPr="005E779E" w:rsidRDefault="00F12FE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ноября 1931 на Монинском аэродроме с И-12 выполнили наземные стрельбы. Восемь выстре</w:t>
      </w:r>
      <w:r w:rsidRPr="005E779E">
        <w:rPr>
          <w:rFonts w:ascii="Times New Roman" w:hAnsi="Times New Roman"/>
          <w:color w:val="000000" w:themeColor="text1"/>
          <w:sz w:val="16"/>
          <w:szCs w:val="16"/>
        </w:rPr>
        <w:softHyphen/>
        <w:t>лов никаких повреждений самолёту и артсистеме не принесли. Однако при перелете на Центральный аэродром, при посадке были сломаны костыли. Самолёт нуждался в ре</w:t>
      </w:r>
      <w:r w:rsidRPr="005E779E">
        <w:rPr>
          <w:rFonts w:ascii="Times New Roman" w:hAnsi="Times New Roman"/>
          <w:color w:val="000000" w:themeColor="text1"/>
          <w:sz w:val="16"/>
          <w:szCs w:val="16"/>
        </w:rPr>
        <w:softHyphen/>
        <w:t>монте, к которому приступили лишь во второй половине января 1932 г. (15823).</w:t>
      </w:r>
    </w:p>
    <w:p w14:paraId="6C2EAB84" w14:textId="77777777" w:rsidR="00F12FE0" w:rsidRPr="005E779E" w:rsidRDefault="00F12FE0" w:rsidP="000B7A6C">
      <w:pPr>
        <w:spacing w:after="0" w:line="240" w:lineRule="auto"/>
        <w:jc w:val="both"/>
        <w:rPr>
          <w:rFonts w:ascii="Times New Roman" w:hAnsi="Times New Roman"/>
          <w:color w:val="000000" w:themeColor="text1"/>
          <w:sz w:val="16"/>
          <w:szCs w:val="16"/>
        </w:rPr>
      </w:pPr>
    </w:p>
    <w:p w14:paraId="5576E6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ноября 1931 г. на аэродроме НИИ ВВС состоялись первые наземные стрельбы И-12 с АПК-5. Отстрелялись вполне успешно, однако при возвращении в Москву самолет подломал костыли. Ремонт потянул за собой очередные доделки и улучшения. На аэродроме И-12 оказался лишь спустя три месяца, в феврале 1932 г. После опробования машины в воздухе 8 февраля летчик-испытатель Иван Фролович Козлов перегнал И-12 на аэродром в Монино, где были продолжены наземные огневые испытания (12091).</w:t>
      </w:r>
    </w:p>
    <w:p w14:paraId="4D7D7C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CDC5170" w14:textId="21CD9EB9" w:rsidR="00996191" w:rsidRPr="005E779E" w:rsidRDefault="0099619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ноября 1931 г. на аэродроме Монино был проведен первый наземный отстрел пушек АПК-4 на И-12 (АНТ-23) – было сделано 8 выстрелов без повреждений самолета и пушек.</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 xml:space="preserve"> При перелете на аэродром Октябрьский самолет сломал костыли шасси (видимо, уже не в первый раз).</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 xml:space="preserve"> 08.02.32 г. летчик Козлов перегнал самолет на аэродром Монино, где в тот же день был проведен повторный отстрел пушек на земле – сделано 26 выстрелов. Были отказы пневмомеханизма полуавтоматического перезаряжания пушек (неподача снаряда из магазина в ствол – задержка выстрела устранялась повторной перезарядкой) и на этот раз были повреждения –деформация обшивки и нервюр стабилизатора (23136).</w:t>
      </w:r>
    </w:p>
    <w:p w14:paraId="6B2D173E" w14:textId="77777777" w:rsidR="00996191" w:rsidRPr="005E779E" w:rsidRDefault="00996191" w:rsidP="000B7A6C">
      <w:pPr>
        <w:spacing w:after="0" w:line="240" w:lineRule="auto"/>
        <w:jc w:val="both"/>
        <w:rPr>
          <w:rFonts w:ascii="Times New Roman" w:hAnsi="Times New Roman"/>
          <w:color w:val="000000" w:themeColor="text1"/>
          <w:sz w:val="16"/>
          <w:szCs w:val="16"/>
        </w:rPr>
      </w:pPr>
    </w:p>
    <w:p w14:paraId="3754334C" w14:textId="77777777" w:rsidR="00723FFB" w:rsidRPr="005E779E" w:rsidRDefault="00723F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ноября 1931 г. на монинском полигоне на земле опробо</w:t>
      </w:r>
      <w:r w:rsidRPr="005E779E">
        <w:rPr>
          <w:rFonts w:ascii="Times New Roman" w:hAnsi="Times New Roman"/>
          <w:color w:val="000000" w:themeColor="text1"/>
          <w:sz w:val="16"/>
          <w:szCs w:val="16"/>
        </w:rPr>
        <w:softHyphen/>
        <w:t>вали установленные на машине АНТ-23 пушки АПК—4 калибра 76 мм. После восьми вы</w:t>
      </w:r>
      <w:r w:rsidRPr="005E779E">
        <w:rPr>
          <w:rFonts w:ascii="Times New Roman" w:hAnsi="Times New Roman"/>
          <w:color w:val="000000" w:themeColor="text1"/>
          <w:sz w:val="16"/>
          <w:szCs w:val="16"/>
        </w:rPr>
        <w:softHyphen/>
        <w:t>стрелов никаких повреждений конструк</w:t>
      </w:r>
      <w:r w:rsidRPr="005E779E">
        <w:rPr>
          <w:rFonts w:ascii="Times New Roman" w:hAnsi="Times New Roman"/>
          <w:color w:val="000000" w:themeColor="text1"/>
          <w:sz w:val="16"/>
          <w:szCs w:val="16"/>
        </w:rPr>
        <w:softHyphen/>
        <w:t>ции не обнаружили. В феврале 1932 г. провели повторные испытания, выпустив 26 снарядов. Они выявили необходи</w:t>
      </w:r>
      <w:r w:rsidRPr="005E779E">
        <w:rPr>
          <w:rFonts w:ascii="Times New Roman" w:hAnsi="Times New Roman"/>
          <w:color w:val="000000" w:themeColor="text1"/>
          <w:sz w:val="16"/>
          <w:szCs w:val="16"/>
        </w:rPr>
        <w:softHyphen/>
        <w:t>мость переделки хвостового оперения, требовалась и регулировка механизма ле</w:t>
      </w:r>
      <w:r w:rsidRPr="005E779E">
        <w:rPr>
          <w:rFonts w:ascii="Times New Roman" w:hAnsi="Times New Roman"/>
          <w:color w:val="000000" w:themeColor="text1"/>
          <w:sz w:val="16"/>
          <w:szCs w:val="16"/>
        </w:rPr>
        <w:softHyphen/>
        <w:t>вой пушки.</w:t>
      </w:r>
    </w:p>
    <w:p w14:paraId="3440CC9E" w14:textId="77777777" w:rsidR="00723FFB" w:rsidRPr="005E779E" w:rsidRDefault="00723F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доработок, 21 марта 1932 г., И—12 поднялся в воздух для проведения боевых стрельб. Каждую пушку зарядили двумя снарядами массой по 0,56 кг. На заводские испытания, высоте 1000 м И.Ф. Козлов выстрелил из левой пушки. В последующие минуты ему пришлось применить все свое мастерство, чтобы посадить поврежденную машину. При осмотре обнаружили, что разорвало диффузор, сорваны обтекатели, оборва</w:t>
      </w:r>
      <w:r w:rsidRPr="005E779E">
        <w:rPr>
          <w:rFonts w:ascii="Times New Roman" w:hAnsi="Times New Roman"/>
          <w:color w:val="000000" w:themeColor="text1"/>
          <w:sz w:val="16"/>
          <w:szCs w:val="16"/>
        </w:rPr>
        <w:softHyphen/>
        <w:t>лись тросы управления стабилизатором. За спасение опытного самолета летчика наградили орденом Красной Звезды.</w:t>
      </w:r>
    </w:p>
    <w:p w14:paraId="34F6935B" w14:textId="77777777" w:rsidR="00723FFB" w:rsidRPr="005E779E" w:rsidRDefault="00723F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отремонтировали, и испы</w:t>
      </w:r>
      <w:r w:rsidRPr="005E779E">
        <w:rPr>
          <w:rFonts w:ascii="Times New Roman" w:hAnsi="Times New Roman"/>
          <w:color w:val="000000" w:themeColor="text1"/>
          <w:sz w:val="16"/>
          <w:szCs w:val="16"/>
        </w:rPr>
        <w:softHyphen/>
        <w:t>тания продолжились до 28 сентября 1932 г. Затем И—12 разобрали и перевез</w:t>
      </w:r>
      <w:r w:rsidRPr="005E779E">
        <w:rPr>
          <w:rFonts w:ascii="Times New Roman" w:hAnsi="Times New Roman"/>
          <w:color w:val="000000" w:themeColor="text1"/>
          <w:sz w:val="16"/>
          <w:szCs w:val="16"/>
        </w:rPr>
        <w:softHyphen/>
        <w:t>ли на завод для укрепления стыков в тру</w:t>
      </w:r>
      <w:r w:rsidRPr="005E779E">
        <w:rPr>
          <w:rFonts w:ascii="Times New Roman" w:hAnsi="Times New Roman"/>
          <w:color w:val="000000" w:themeColor="text1"/>
          <w:sz w:val="16"/>
          <w:szCs w:val="16"/>
        </w:rPr>
        <w:softHyphen/>
        <w:t>бах-балках и доводки АПК. Больше на испытания самолет не передавался.</w:t>
      </w:r>
    </w:p>
    <w:p w14:paraId="727FC83F" w14:textId="77777777" w:rsidR="00723FFB" w:rsidRPr="005E779E" w:rsidRDefault="00723F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 свою «жизнь» АНТ—23 совершил 21 полет, пробыв в воздухе почти 9 часов. Испытания самолета затянулись, а в июне 1934 года работы по этой необычной машине прекратили (23474).</w:t>
      </w:r>
    </w:p>
    <w:p w14:paraId="2B320FF3" w14:textId="77777777" w:rsidR="00723FFB" w:rsidRPr="005E779E" w:rsidRDefault="00723FFB" w:rsidP="000B7A6C">
      <w:pPr>
        <w:spacing w:after="0" w:line="240" w:lineRule="auto"/>
        <w:jc w:val="both"/>
        <w:rPr>
          <w:rFonts w:ascii="Times New Roman" w:hAnsi="Times New Roman"/>
          <w:color w:val="000000" w:themeColor="text1"/>
          <w:sz w:val="16"/>
          <w:szCs w:val="16"/>
        </w:rPr>
      </w:pPr>
    </w:p>
    <w:p w14:paraId="199246E5" w14:textId="77777777" w:rsidR="001F7F26" w:rsidRPr="00142305" w:rsidRDefault="001F7F26" w:rsidP="001F7F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11 ноября 1931 г. первые стрельбы на земле с И-12 прошли нормально, но при повторе от сотрясений деформировалось оперение. Неприятностей добавила авария на посадке. Ремонт занял всю зиму, и первая стрельба в воздухе состоялась только 21 марта 1932 г. (25056).</w:t>
      </w:r>
    </w:p>
    <w:p w14:paraId="1BB67897" w14:textId="77777777" w:rsidR="001F7F26" w:rsidRPr="00142305" w:rsidRDefault="001F7F26" w:rsidP="001F7F26">
      <w:pPr>
        <w:spacing w:after="0" w:line="240" w:lineRule="auto"/>
        <w:jc w:val="both"/>
        <w:rPr>
          <w:rFonts w:ascii="Times New Roman" w:hAnsi="Times New Roman"/>
          <w:color w:val="0070C0"/>
          <w:sz w:val="16"/>
          <w:szCs w:val="16"/>
        </w:rPr>
      </w:pPr>
    </w:p>
    <w:p w14:paraId="423CF194" w14:textId="77777777" w:rsidR="001F7F26" w:rsidRPr="00142305" w:rsidRDefault="001F7F26" w:rsidP="001F7F26">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11 ноября 1931 г. на аэродроме НИИ ВВС состоялись первые наземные стрельбы И-12 с АПК-5.</w:t>
      </w:r>
    </w:p>
    <w:p w14:paraId="370C8180" w14:textId="77777777" w:rsidR="001F7F26" w:rsidRPr="00142305" w:rsidRDefault="001F7F26" w:rsidP="001F7F26">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Отстрелялись вполне успешно, однако при возвращении в Москву самолет подломал костыли. Ремонт потянул за собой очередные доделки и улучшения. На аэродроме И-12 оказался лишь спустя три месяца, в феврале 1932 г. После опробования машины в воздухе 8 февраля летчик испытатель Иван Фролович Козлов перегнал И-12 на аэродром в Монино, где были продолжены наземные огневые испытания (25213).</w:t>
      </w:r>
    </w:p>
    <w:p w14:paraId="75D0D0F5" w14:textId="77777777" w:rsidR="001F7F26" w:rsidRPr="00142305" w:rsidRDefault="001F7F26" w:rsidP="001F7F26">
      <w:pPr>
        <w:spacing w:after="0" w:line="240" w:lineRule="auto"/>
        <w:jc w:val="both"/>
        <w:rPr>
          <w:rFonts w:ascii="Times New Roman" w:hAnsi="Times New Roman"/>
          <w:color w:val="0070C0"/>
          <w:sz w:val="16"/>
          <w:szCs w:val="16"/>
        </w:rPr>
      </w:pPr>
    </w:p>
    <w:p w14:paraId="66ED2F74" w14:textId="77777777" w:rsidR="001F7F26" w:rsidRPr="00142305" w:rsidRDefault="001F7F26" w:rsidP="001F7F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11 ноября 1931 г. на аэродроме НИИ ВВС вполне успешно прошли стрельбы из АПК-5 с И-12 АНТ-23. Однако при возвращении в Москву самолет повредил костыли шасси. Ремонт сопровождался очередными доработками, и И-12 вернулся на аэродром только через три месяца. 8 февраля 1931 года, после проверки машины в воздухе, летчик-испытатель И.Ф. Козлов перегнал этот истребитель в Монино, где продолжились наземные огневые испытания (25642).</w:t>
      </w:r>
    </w:p>
    <w:p w14:paraId="34425713" w14:textId="77777777" w:rsidR="001F7F26" w:rsidRPr="00142305" w:rsidRDefault="001F7F26" w:rsidP="001F7F26">
      <w:pPr>
        <w:spacing w:after="0" w:line="240" w:lineRule="auto"/>
        <w:jc w:val="both"/>
        <w:rPr>
          <w:rFonts w:ascii="Times New Roman" w:hAnsi="Times New Roman"/>
          <w:color w:val="0070C0"/>
          <w:sz w:val="16"/>
          <w:szCs w:val="16"/>
        </w:rPr>
      </w:pPr>
    </w:p>
    <w:p w14:paraId="620CF7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ноября 1931 года секретным приказом по ВВАкадемии было организовано Особое конструкторское бюро для проектирования самолета Г-1 (3054).</w:t>
      </w:r>
    </w:p>
    <w:p w14:paraId="268B88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1EF6258" w14:textId="77777777" w:rsidR="00513C11" w:rsidRPr="005E779E" w:rsidRDefault="00513C11" w:rsidP="000B7A6C">
      <w:pPr>
        <w:pStyle w:val="rtejustify"/>
        <w:spacing w:before="0" w:after="0"/>
        <w:rPr>
          <w:color w:val="000000" w:themeColor="text1"/>
          <w:sz w:val="16"/>
          <w:szCs w:val="16"/>
        </w:rPr>
      </w:pPr>
      <w:r w:rsidRPr="005E779E">
        <w:rPr>
          <w:rStyle w:val="af0"/>
          <w:i w:val="0"/>
          <w:color w:val="000000" w:themeColor="text1"/>
          <w:sz w:val="16"/>
          <w:szCs w:val="16"/>
        </w:rPr>
        <w:t xml:space="preserve">11 ноября 1931 г. Протокол Реввоенсовета №38. </w:t>
      </w:r>
      <w:r w:rsidRPr="005E779E">
        <w:rPr>
          <w:color w:val="000000" w:themeColor="text1"/>
          <w:sz w:val="16"/>
          <w:szCs w:val="16"/>
        </w:rPr>
        <w:t>15. Планы заданий Осоавиахиму на ближайшие 2</w:t>
      </w:r>
      <w:r w:rsidRPr="005E779E">
        <w:rPr>
          <w:color w:val="000000" w:themeColor="text1"/>
          <w:sz w:val="16"/>
          <w:szCs w:val="16"/>
        </w:rPr>
        <w:noBreakHyphen/>
        <w:t>3 года (Фельдман). (РГВА. Ф. 4. Оп. 18. Д. 21. Л. 228) (12342).</w:t>
      </w:r>
    </w:p>
    <w:p w14:paraId="679C9AF7" w14:textId="77777777" w:rsidR="00513C11" w:rsidRPr="005E779E" w:rsidRDefault="00513C11" w:rsidP="000B7A6C">
      <w:pPr>
        <w:pStyle w:val="rtejustify"/>
        <w:spacing w:before="0" w:after="0"/>
        <w:rPr>
          <w:color w:val="000000" w:themeColor="text1"/>
          <w:sz w:val="16"/>
          <w:szCs w:val="16"/>
        </w:rPr>
      </w:pPr>
    </w:p>
    <w:p w14:paraId="7DF1DD21"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42BD2E4E"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62C25FF" w14:textId="77777777" w:rsidR="00996191" w:rsidRPr="005E779E" w:rsidRDefault="0099619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ноября 1931 ВСНХ принял решение провести дизельный конкурс в июне 1932 г. НАТИ должен был в двухнедельный срок разработать все необходи</w:t>
      </w:r>
      <w:r w:rsidRPr="005E779E">
        <w:rPr>
          <w:rFonts w:ascii="Times New Roman" w:hAnsi="Times New Roman"/>
          <w:color w:val="000000" w:themeColor="text1"/>
          <w:sz w:val="16"/>
          <w:szCs w:val="16"/>
        </w:rPr>
        <w:softHyphen/>
        <w:t>мые документы (22518).</w:t>
      </w:r>
    </w:p>
    <w:p w14:paraId="36BA5DD0" w14:textId="77777777" w:rsidR="00996191" w:rsidRPr="005E779E" w:rsidRDefault="00996191" w:rsidP="000B7A6C">
      <w:pPr>
        <w:spacing w:after="0" w:line="240" w:lineRule="auto"/>
        <w:jc w:val="both"/>
        <w:rPr>
          <w:rFonts w:ascii="Times New Roman" w:hAnsi="Times New Roman"/>
          <w:color w:val="000000" w:themeColor="text1"/>
          <w:sz w:val="16"/>
          <w:szCs w:val="16"/>
        </w:rPr>
      </w:pPr>
    </w:p>
    <w:p w14:paraId="6EA62E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ноября 1931 решением ПБ ЦК РКП(б) по вопросу освоения Северо-востока организовали трест по промышленному и дорожному строительству в районе Верхней Колымы (Дальстрой - ОГПУ выделил Э.П.Берзина). К концу 1932 получил 10 тыс. заключенных. В марте 1938 реорганизовали в ГУСтроительства Дальнего Севера и передали в НКВД (3398,392).</w:t>
      </w:r>
    </w:p>
    <w:p w14:paraId="785DEE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68132B9" w14:textId="77777777" w:rsidR="00F12FE0" w:rsidRPr="005E779E" w:rsidRDefault="00F12FE0" w:rsidP="000B7A6C">
      <w:pPr>
        <w:spacing w:after="0" w:line="240" w:lineRule="auto"/>
        <w:jc w:val="both"/>
        <w:rPr>
          <w:rFonts w:ascii="Times New Roman" w:hAnsi="Times New Roman"/>
          <w:color w:val="000000" w:themeColor="text1"/>
          <w:sz w:val="16"/>
          <w:szCs w:val="16"/>
        </w:rPr>
      </w:pPr>
      <w:r w:rsidRPr="005E779E">
        <w:rPr>
          <w:rStyle w:val="ucoz-forum-post"/>
          <w:rFonts w:ascii="Times New Roman" w:hAnsi="Times New Roman"/>
          <w:bCs/>
          <w:color w:val="000000" w:themeColor="text1"/>
          <w:sz w:val="16"/>
          <w:szCs w:val="16"/>
        </w:rPr>
        <w:t xml:space="preserve">11 ноября </w:t>
      </w:r>
      <w:r w:rsidRPr="005E779E">
        <w:rPr>
          <w:rFonts w:ascii="Times New Roman" w:hAnsi="Times New Roman"/>
          <w:color w:val="000000" w:themeColor="text1"/>
          <w:sz w:val="16"/>
          <w:szCs w:val="16"/>
        </w:rPr>
        <w:t xml:space="preserve">в 1931 году решением Политбюро ЦК ВКП(б) по вопросу освоения северо-востока страны организован трест по промышленному и дорожному строительству в районе верхней Колымы («Дальстрой»). Непосредственное руководство работой осуществляло ОГПУ (Э.П.Берзин). Трест ориентировался на </w:t>
      </w:r>
      <w:r w:rsidRPr="005E779E">
        <w:rPr>
          <w:rFonts w:ascii="Times New Roman" w:hAnsi="Times New Roman"/>
          <w:color w:val="000000" w:themeColor="text1"/>
          <w:sz w:val="16"/>
          <w:szCs w:val="16"/>
        </w:rPr>
        <w:lastRenderedPageBreak/>
        <w:t>использование труда заключенных, которых к концу 1932 г. насчитывалось около 10 тыс. человек, В марте 1938 г. реорганизован в Главное управление строительства Дальнего Севера и передан в ведение НКВД (14827).</w:t>
      </w:r>
    </w:p>
    <w:p w14:paraId="6583B540" w14:textId="77777777" w:rsidR="00F12FE0" w:rsidRPr="005E779E" w:rsidRDefault="00F12FE0" w:rsidP="000B7A6C">
      <w:pPr>
        <w:spacing w:after="0" w:line="240" w:lineRule="auto"/>
        <w:jc w:val="both"/>
        <w:rPr>
          <w:rFonts w:ascii="Times New Roman" w:hAnsi="Times New Roman"/>
          <w:color w:val="000000" w:themeColor="text1"/>
          <w:sz w:val="16"/>
          <w:szCs w:val="16"/>
        </w:rPr>
      </w:pPr>
    </w:p>
    <w:p w14:paraId="08CD54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ноября 1931 года ЦК ВКП(б) принял постановление «О Колыме», которым предусматривалось образование специального треста в подчинении ЦК ВКП(б). Задачей новой организации (в будущем получившего название « Дальстрой») являлась форсированная добыча золота в верховьях Колымы (9043).</w:t>
      </w:r>
    </w:p>
    <w:p w14:paraId="482ED2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754B7BF" w14:textId="77777777" w:rsidR="00357876" w:rsidRPr="005E779E" w:rsidRDefault="00357876"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Внешняя политика:</w:t>
      </w:r>
    </w:p>
    <w:p w14:paraId="1819FB1F" w14:textId="77777777" w:rsidR="00357876" w:rsidRPr="005E779E" w:rsidRDefault="00357876"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7C39AD8" w14:textId="77777777" w:rsidR="00357876" w:rsidRPr="005E779E" w:rsidRDefault="0035787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ноября 1931 Ворошилов в препроводительной записке Сталину писал:</w:t>
      </w:r>
    </w:p>
    <w:p w14:paraId="66182E5A" w14:textId="77777777" w:rsidR="00357876" w:rsidRPr="005E779E" w:rsidRDefault="0035787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«Дорогой Коба! Направляю запись разговора с Адамом. Все сказанное Адамом застенографировано. Свои слова записал с возможной точностью. Личные впечатления сообщу при встрече. Привет. Ворошилов».</w:t>
      </w:r>
    </w:p>
    <w:p w14:paraId="48B72363" w14:textId="77777777" w:rsidR="00357876" w:rsidRPr="005E779E" w:rsidRDefault="0035787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ноября 1931 г. на обеде, устроенном в Кремле в честь генерала Адама (присутствовали Енукидзе, Крестинский, Тухачевский, Егоров, Корк с женами, а также посол Дирксен, советники Хильгер и Твардовский, полковник Кестринг с женами, подполковник Манштайн и капитан Хофмайстер), Дирксен в соответствии с инструкцией из Берлина убеждал Ворошилова в том, чтобы СССР ни прямо, ни косвенно не давал гарантий западной польской границы. А самое лучшее для германо-советских отношений это чтобы советско-польский договор не был заключен вообще.</w:t>
      </w:r>
    </w:p>
    <w:p w14:paraId="34D56DFF" w14:textId="77777777" w:rsidR="00357876" w:rsidRPr="005E779E" w:rsidRDefault="0035787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Ворошилов, дав понять, что подписание договора о ненападении с Польшей состоится, заявил, что «ни при каких обстоятельствах» СССР не даст никакой гарантии западной границы Польши. Он указал, что</w:t>
      </w:r>
    </w:p>
    <w:p w14:paraId="7AE9B217" w14:textId="77777777" w:rsidR="00357876" w:rsidRPr="005E779E" w:rsidRDefault="0035787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«советское правительство — принципиальный противник Версальского договора, оно никогда не предпримет чего-либо такого, что могло бы каким-либо образом укрепить Данцигский коридор или Мемельскую границу».</w:t>
      </w:r>
    </w:p>
    <w:p w14:paraId="7262101E" w14:textId="77777777" w:rsidR="00357876" w:rsidRPr="005E779E" w:rsidRDefault="0035787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обеде Дирксен имел продолжительный разговор с Тухачевским. Тухачевский высказал ряд различных претензий по неудовлетворительному снабжению школ, упомянув о танках новой конструкции и авиационном нефтемоторе фирмы «Юнкерс», которые Германия держит в секрете. Он указал, что гораздо полнее Москву о новинках военной техники информируют англичане и итальянцы (18265).</w:t>
      </w:r>
    </w:p>
    <w:p w14:paraId="3711412A" w14:textId="77777777" w:rsidR="00357876" w:rsidRPr="005E779E" w:rsidRDefault="00357876" w:rsidP="000B7A6C">
      <w:pPr>
        <w:spacing w:after="0" w:line="240" w:lineRule="auto"/>
        <w:jc w:val="both"/>
        <w:rPr>
          <w:rFonts w:ascii="Times New Roman" w:hAnsi="Times New Roman"/>
          <w:color w:val="000000" w:themeColor="text1"/>
          <w:sz w:val="16"/>
          <w:szCs w:val="16"/>
        </w:rPr>
      </w:pPr>
    </w:p>
    <w:p w14:paraId="2BFDC240"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4111CA7F"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2923B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ноября 1931 года начальник 1 отдела НИИ ВВС писал письмо N 625 с в 8 сектор 3-го Управления ВВС.</w:t>
      </w:r>
    </w:p>
    <w:p w14:paraId="1EF92E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сем препровождается сводка результатов испытания головного серийного самолета Р6-2М17.</w:t>
      </w:r>
    </w:p>
    <w:p w14:paraId="587982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Испытание начато 5.10.1931 г.</w:t>
      </w:r>
    </w:p>
    <w:p w14:paraId="489D87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Число дней занятых полетами - 12</w:t>
      </w:r>
    </w:p>
    <w:p w14:paraId="5E75CC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Число полетов - 21</w:t>
      </w:r>
    </w:p>
    <w:p w14:paraId="68462A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Испытания закончены 3.11.1931 г.</w:t>
      </w:r>
    </w:p>
    <w:p w14:paraId="66D1B9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Несмотря на обусловленный протоколом заседания в ВАО 6.09.1931 г. срок предъявления самолета Р6 для испытаний в НИИ к 7.09.1931 г., самолет был предъявлен лишь 3.10.1931 г.</w:t>
      </w:r>
    </w:p>
    <w:p w14:paraId="16CF8B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Р6 постройки зав. N 22 головной серии.</w:t>
      </w:r>
    </w:p>
    <w:p w14:paraId="333454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w:t>
      </w:r>
    </w:p>
    <w:p w14:paraId="798B4E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Констатируя некоторое снижение летных данных головного серийного самолета Р6-2М17 по сравнению с опытным экземпляром, отметить что даже с этими данными самолет не уступает большинству состоящих в настоящее время на вооружении самолетов соответствующего класса (3273).</w:t>
      </w:r>
    </w:p>
    <w:p w14:paraId="705325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0D8BBC1" w14:textId="77777777" w:rsidR="00F12FE0" w:rsidRPr="005E779E" w:rsidRDefault="00F12FE0" w:rsidP="000B7A6C">
      <w:pPr>
        <w:spacing w:after="0" w:line="240" w:lineRule="auto"/>
        <w:jc w:val="both"/>
        <w:rPr>
          <w:rFonts w:ascii="Times New Roman" w:hAnsi="Times New Roman"/>
          <w:color w:val="000000" w:themeColor="text1"/>
          <w:sz w:val="16"/>
          <w:szCs w:val="16"/>
        </w:rPr>
      </w:pPr>
      <w:r w:rsidRPr="005E779E">
        <w:rPr>
          <w:rStyle w:val="ucoz-forum-post"/>
          <w:rFonts w:ascii="Times New Roman" w:hAnsi="Times New Roman"/>
          <w:bCs/>
          <w:color w:val="000000" w:themeColor="text1"/>
          <w:sz w:val="16"/>
          <w:szCs w:val="16"/>
        </w:rPr>
        <w:t xml:space="preserve">12 ноября </w:t>
      </w:r>
      <w:r w:rsidRPr="005E779E">
        <w:rPr>
          <w:rFonts w:ascii="Times New Roman" w:hAnsi="Times New Roman"/>
          <w:color w:val="000000" w:themeColor="text1"/>
          <w:sz w:val="16"/>
          <w:szCs w:val="16"/>
        </w:rPr>
        <w:t>в 1931 году в Ленинграде при ОСОАВИАХИМе создана Ленинградская группа изучения реактивного движения (ЛенГИРД), председатель В.В.Разумов (14828).</w:t>
      </w:r>
    </w:p>
    <w:p w14:paraId="55A7C297" w14:textId="77777777" w:rsidR="00F12FE0" w:rsidRPr="005E779E" w:rsidRDefault="00F12FE0" w:rsidP="000B7A6C">
      <w:pPr>
        <w:spacing w:after="0" w:line="240" w:lineRule="auto"/>
        <w:jc w:val="both"/>
        <w:rPr>
          <w:rFonts w:ascii="Times New Roman" w:hAnsi="Times New Roman"/>
          <w:color w:val="000000" w:themeColor="text1"/>
          <w:sz w:val="16"/>
          <w:szCs w:val="16"/>
        </w:rPr>
      </w:pPr>
    </w:p>
    <w:p w14:paraId="1FE0EEC7"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13350C8E"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52F69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ноября 1931 г. начальник УММ РККА доложил заместителю наркома Я.Б. Гамарнику о состоянии работ по механизации и моторизации артиллерии АРГК, а также дивизионной и корпусной артиллерии:</w:t>
      </w:r>
    </w:p>
    <w:p w14:paraId="36E653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тяжелых систем АРГК применяется в качестве тягача трактор Коммунар, при чем в 1931 г. завод выпустил трактор в 90л.с. со скоростью 15 клм в час под маркой 3-90 вместо выпускавшегося в прошлом году и в первой половине настоящего года трактора в 75л.с. со скоростью 9 клм в час под маркой 9-ГУ.</w:t>
      </w:r>
    </w:p>
    <w:p w14:paraId="3D0D3B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Октябрьским торжествам сего года ХПЗ приготовил три опытных образца более мощного трактора "Коминтерн" с мощностью мотора свыше 110 л.с. Скорость трактора предположено довести до 20 клм в час".</w:t>
      </w:r>
    </w:p>
    <w:p w14:paraId="3FC170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Первый вариант "Коминтерна", по сути, представлял собой модернизацию трактора БНВ в направлении повышения мощности двигателя и унификации гусеничного хода с танком Т-24. Следует отметить, что с самого начала на "Коминтерне" предполагалось использовать новый двигатель марки КИН мощностью около 130 л.с., поэтому в некоторых документах и сам трактор именовался так же.</w:t>
      </w:r>
    </w:p>
    <w:p w14:paraId="7AF4AB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Многочисленные доработки привели к серьезному пересмотру конструкции трактора. Принципиальная схема (как и основные габариты) осталась прежней, но элементы подвески унифицировали с аналогичными элементами подвески танка Т-24. Устройство тележек повторяло устройство тележек трактора БНВ, но производственное исполнение и размеры (в частности, диаметр опорных катков) отличались. В результате новый трактор получил три тележки на борт. Соответственно, доработкам подверглись трансмиссия и некоторые другие агрегаты (12008).</w:t>
      </w:r>
    </w:p>
    <w:p w14:paraId="175D21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4662774" w14:textId="77777777" w:rsidR="001F7F26" w:rsidRPr="00142305" w:rsidRDefault="001F7F26" w:rsidP="001F7F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12 ноября 1931 года начальник УММ РККА доложил заместителю нар</w:t>
      </w:r>
      <w:r w:rsidRPr="00142305">
        <w:rPr>
          <w:rFonts w:ascii="Times New Roman" w:hAnsi="Times New Roman"/>
          <w:color w:val="0070C0"/>
          <w:sz w:val="16"/>
          <w:szCs w:val="16"/>
        </w:rPr>
        <w:softHyphen/>
        <w:t>кома Я.Б. Гамарнику о состоянии ра</w:t>
      </w:r>
      <w:r w:rsidRPr="00142305">
        <w:rPr>
          <w:rFonts w:ascii="Times New Roman" w:hAnsi="Times New Roman"/>
          <w:color w:val="0070C0"/>
          <w:sz w:val="16"/>
          <w:szCs w:val="16"/>
        </w:rPr>
        <w:softHyphen/>
        <w:t>бот по механизации и моторизации артиллерии РГК, а также дивизионной и корпусной артиллерии:</w:t>
      </w:r>
    </w:p>
    <w:p w14:paraId="1E047332" w14:textId="77777777" w:rsidR="001F7F26" w:rsidRPr="00142305" w:rsidRDefault="001F7F26" w:rsidP="001F7F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«Для тяжелых систем АРГК применя</w:t>
      </w:r>
      <w:r w:rsidRPr="00142305">
        <w:rPr>
          <w:rFonts w:ascii="Times New Roman" w:hAnsi="Times New Roman"/>
          <w:color w:val="0070C0"/>
          <w:sz w:val="16"/>
          <w:szCs w:val="16"/>
        </w:rPr>
        <w:softHyphen/>
        <w:t>ется в качестве тягача трактор Комму</w:t>
      </w:r>
      <w:r w:rsidRPr="00142305">
        <w:rPr>
          <w:rFonts w:ascii="Times New Roman" w:hAnsi="Times New Roman"/>
          <w:color w:val="0070C0"/>
          <w:sz w:val="16"/>
          <w:szCs w:val="16"/>
        </w:rPr>
        <w:softHyphen/>
        <w:t>нар, причем в 1931 г. завод выпустил трактор в 90 л.с. со скоростью 15 клм в час под маркой 3-90 вместо выпу</w:t>
      </w:r>
      <w:r w:rsidRPr="00142305">
        <w:rPr>
          <w:rFonts w:ascii="Times New Roman" w:hAnsi="Times New Roman"/>
          <w:color w:val="0070C0"/>
          <w:sz w:val="16"/>
          <w:szCs w:val="16"/>
        </w:rPr>
        <w:softHyphen/>
        <w:t>скавшегося в прошлом году и в первой половине настоящего года трактора в 75 л.с. со скоростью 9 клм в час под маркой 9-ГУ.</w:t>
      </w:r>
    </w:p>
    <w:p w14:paraId="2BC407C7" w14:textId="77777777" w:rsidR="001F7F26" w:rsidRPr="00142305" w:rsidRDefault="001F7F26" w:rsidP="001F7F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Октябрьским торжествам сего года ХПЗ приготовил три опытных образца более мощного трактора «Коминтерн» с мощностью мотора свыше 110л.с. Ско</w:t>
      </w:r>
      <w:r w:rsidRPr="00142305">
        <w:rPr>
          <w:rFonts w:ascii="Times New Roman" w:hAnsi="Times New Roman"/>
          <w:color w:val="0070C0"/>
          <w:sz w:val="16"/>
          <w:szCs w:val="16"/>
        </w:rPr>
        <w:softHyphen/>
        <w:t>рость трактора предположено довести до 20 клм в час».</w:t>
      </w:r>
    </w:p>
    <w:p w14:paraId="1A6B2321" w14:textId="77777777" w:rsidR="001F7F26" w:rsidRPr="00142305" w:rsidRDefault="001F7F26" w:rsidP="001F7F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Новый трактор запланировали от</w:t>
      </w:r>
      <w:r w:rsidRPr="00142305">
        <w:rPr>
          <w:rFonts w:ascii="Times New Roman" w:hAnsi="Times New Roman"/>
          <w:color w:val="0070C0"/>
          <w:sz w:val="16"/>
          <w:szCs w:val="16"/>
        </w:rPr>
        <w:softHyphen/>
        <w:t>править на госиспытания, которые первоначально предполагали провес</w:t>
      </w:r>
      <w:r w:rsidRPr="00142305">
        <w:rPr>
          <w:rFonts w:ascii="Times New Roman" w:hAnsi="Times New Roman"/>
          <w:color w:val="0070C0"/>
          <w:sz w:val="16"/>
          <w:szCs w:val="16"/>
        </w:rPr>
        <w:softHyphen/>
        <w:t>ти в период с 26 ноября по 26 декабря 1931 года. На испытания трактор по</w:t>
      </w:r>
      <w:r w:rsidRPr="00142305">
        <w:rPr>
          <w:rFonts w:ascii="Times New Roman" w:hAnsi="Times New Roman"/>
          <w:color w:val="0070C0"/>
          <w:sz w:val="16"/>
          <w:szCs w:val="16"/>
        </w:rPr>
        <w:softHyphen/>
        <w:t>ступил уже под маркой «Коминтерн», а не БНВ. По организационным причи</w:t>
      </w:r>
      <w:r w:rsidRPr="00142305">
        <w:rPr>
          <w:rFonts w:ascii="Times New Roman" w:hAnsi="Times New Roman"/>
          <w:color w:val="0070C0"/>
          <w:sz w:val="16"/>
          <w:szCs w:val="16"/>
        </w:rPr>
        <w:softHyphen/>
        <w:t>нам было проведено два комплекса ис</w:t>
      </w:r>
      <w:r w:rsidRPr="00142305">
        <w:rPr>
          <w:rFonts w:ascii="Times New Roman" w:hAnsi="Times New Roman"/>
          <w:color w:val="0070C0"/>
          <w:sz w:val="16"/>
          <w:szCs w:val="16"/>
        </w:rPr>
        <w:softHyphen/>
        <w:t>пытаний (25003).</w:t>
      </w:r>
    </w:p>
    <w:p w14:paraId="1B2F678E" w14:textId="77777777" w:rsidR="001F7F26" w:rsidRPr="00142305" w:rsidRDefault="001F7F26" w:rsidP="001F7F26">
      <w:pPr>
        <w:spacing w:after="0" w:line="240" w:lineRule="auto"/>
        <w:jc w:val="both"/>
        <w:rPr>
          <w:rFonts w:ascii="Times New Roman" w:hAnsi="Times New Roman"/>
          <w:color w:val="0070C0"/>
          <w:sz w:val="16"/>
          <w:szCs w:val="16"/>
        </w:rPr>
      </w:pPr>
    </w:p>
    <w:p w14:paraId="2C8A0E48" w14:textId="77777777" w:rsidR="004F04A7" w:rsidRPr="005E779E" w:rsidRDefault="004F04A7" w:rsidP="000B7A6C">
      <w:pPr>
        <w:spacing w:after="0" w:line="240" w:lineRule="auto"/>
        <w:jc w:val="both"/>
        <w:rPr>
          <w:rFonts w:ascii="Times New Roman" w:hAnsi="Times New Roman"/>
          <w:color w:val="000000" w:themeColor="text1"/>
          <w:sz w:val="16"/>
          <w:szCs w:val="16"/>
          <w:shd w:val="clear" w:color="auto" w:fill="FFFFFF"/>
        </w:rPr>
      </w:pPr>
      <w:r w:rsidRPr="005E779E">
        <w:rPr>
          <w:rFonts w:ascii="Times New Roman" w:hAnsi="Times New Roman"/>
          <w:color w:val="000000" w:themeColor="text1"/>
          <w:sz w:val="16"/>
          <w:szCs w:val="16"/>
          <w:shd w:val="clear" w:color="auto" w:fill="FFFFFF"/>
        </w:rPr>
        <w:t>12 ноября 1931 года состоялось рассмотрение проекта "4-тонного танка с мотором "Геркулес" в 60 HP". Работы по танку изначально вело танковое КБ завода "Большевик" под руководством М.В. Симского. Изначальная идея танка предполагалась как максимальное копирование идей Carden-Loyd, но, в отличие от плавающего Т-33, разработка которого велась под руководством С.А. Гинзбурга, сухопутный вариант машины изначально выглядел совсем иначе. Это главная причина, почему их обычно не рассматривают в комплексе. От Carden-Loyd бралась общая компоновка, но уже на этом этапе пошли отличия. Если у английских патрульных танков мотор стоял сбоку от боевого отделения, то Т-34 получал силовую установку, размещавшуюся сзади, слева по ходу движения. Слева находилось место механика-водителя, а боевое отделение сместили вправо. Корпус и башня к английской машине не имели ровно никакого отношения. Что же касается ходовой части, то она предлагалась в двух вариантах. Первый из них представлял собой вариацию на тему Т-26, но с опорными катками диаметром 500 мм. Такая ходовая часть позволяла развивать более высокую скорость. Второй вариант также имел 4 катка на борт, но с 2 тележками, а также горизонтально расположенной пружиной как упругий элемент. Фактически в Ленинграде изобрели подвеску Хостманна, даже не видя исходник.</w:t>
      </w:r>
    </w:p>
    <w:p w14:paraId="4752AC49" w14:textId="77777777" w:rsidR="004F04A7" w:rsidRPr="005E779E" w:rsidRDefault="004F04A7" w:rsidP="000B7A6C">
      <w:pPr>
        <w:spacing w:after="0" w:line="240" w:lineRule="auto"/>
        <w:jc w:val="both"/>
        <w:rPr>
          <w:rFonts w:ascii="Times New Roman" w:hAnsi="Times New Roman"/>
          <w:color w:val="000000" w:themeColor="text1"/>
          <w:sz w:val="16"/>
          <w:szCs w:val="16"/>
        </w:rPr>
      </w:pPr>
      <w:r w:rsidRPr="005E779E">
        <w:rPr>
          <w:rFonts w:ascii="Times New Roman" w:eastAsia="Times New Roman" w:hAnsi="Times New Roman"/>
          <w:color w:val="000000" w:themeColor="text1"/>
          <w:sz w:val="16"/>
          <w:szCs w:val="16"/>
          <w:lang w:eastAsia="ru-RU"/>
        </w:rPr>
        <w:t>По итогам рассмотрения проекта 4-тонного танка с максимальной скоростью 40 км/ч НТК (научно-техническая комиссия) УММ КА постановила проект утвердить. При этом предполагалось строить танк с двумя вариантами ходовой части, дабы выбрать из них оптимальный. Оба варианта, к слову, разделялись еще на два типа - с одинарными и двойными опорными катками. Выбрали одинарный, под два гребня на трак. Также был поднят вопрос о постройке советского варианта быстроходного трактора по типу Carden-Loyd и мотором АМО-3. Эта тема позже вылилась в трактор "Комсомолец", но не тот, о котором все подумали. Создавали его на СТЗ, несмотря на то, что вроде бы это была наиболее простая задача, в Сталинграде ее завалили. Отчасти наследником того "Космомольца" можно назвать СТЗ-5 (те же задачи). Что же касается трактора Т-20, то он стал развитием совсем иной темы - советского аналога Vickers Utility Tractor</w:t>
      </w:r>
      <w:r w:rsidRPr="005E779E">
        <w:rPr>
          <w:rFonts w:ascii="Times New Roman" w:hAnsi="Times New Roman"/>
          <w:color w:val="000000" w:themeColor="text1"/>
          <w:sz w:val="16"/>
          <w:szCs w:val="16"/>
          <w:shd w:val="clear" w:color="auto" w:fill="FFFFFF"/>
        </w:rPr>
        <w:t xml:space="preserve"> (22724).</w:t>
      </w:r>
    </w:p>
    <w:p w14:paraId="49A834FA" w14:textId="77777777" w:rsidR="004F04A7" w:rsidRPr="005E779E" w:rsidRDefault="004F04A7" w:rsidP="000B7A6C">
      <w:pPr>
        <w:spacing w:after="0" w:line="240" w:lineRule="auto"/>
        <w:jc w:val="both"/>
        <w:rPr>
          <w:rFonts w:ascii="Times New Roman" w:hAnsi="Times New Roman"/>
          <w:color w:val="000000" w:themeColor="text1"/>
          <w:sz w:val="16"/>
          <w:szCs w:val="16"/>
        </w:rPr>
      </w:pPr>
    </w:p>
    <w:p w14:paraId="6AD2C5DC" w14:textId="77777777" w:rsidR="00513C11" w:rsidRPr="005E779E" w:rsidRDefault="00513C11"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12 ноября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Постановление СНК СССР № 242с об организации Военно-экономического факультета при Всесоюзной плановой академии (ГА РФ. Ф. Р?8418. Оп. 28. Д. 14а. Л. 77) (12415).</w:t>
      </w:r>
    </w:p>
    <w:p w14:paraId="32FD68AE" w14:textId="77777777" w:rsidR="00513C11" w:rsidRPr="005E779E" w:rsidRDefault="00513C11" w:rsidP="000B7A6C">
      <w:pPr>
        <w:spacing w:after="0" w:line="240" w:lineRule="auto"/>
        <w:jc w:val="both"/>
        <w:rPr>
          <w:rFonts w:ascii="Times New Roman" w:hAnsi="Times New Roman"/>
          <w:color w:val="000000" w:themeColor="text1"/>
          <w:sz w:val="16"/>
          <w:szCs w:val="16"/>
          <w:u w:color="002060"/>
        </w:rPr>
      </w:pPr>
    </w:p>
    <w:p w14:paraId="3EA5BA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12 ноября 1931 утвердили ТЗ на два типа бронекатеров: большой (для р. Амур) с 2х76-мм и малый с 1х76-мм (4305,30).</w:t>
      </w:r>
    </w:p>
    <w:p w14:paraId="76EE7C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61B15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ноября 1931 г. в тактическом задании на новые катера, утвержденном наморси В. М. Орловым, бьши предусмотрены два типа бронекатеров — для действий на Амуре (более крупный) и на Днепре (малый). Большой катер водоизмещением около 50 т предполагалось вооружить двумя 76-мм орудиями образца 1927 г. в двух башнях танкового типа, малый, водоизмещением 15—20 т, одним таким же орудием. Главное вооружение обоих катеров дополнялось двумя легкими башенками с 7,62-мм пулеметами. Осадка большого катера — не более 70 см, малого — 45 см (3898).</w:t>
      </w:r>
    </w:p>
    <w:p w14:paraId="48097B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ED4CBC0"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34995932"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9FFA1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ноября 1931 закончились дополнительные гос. испытания АНТ-8 МДР-2, которые проходили с 21 октября 1931. Решили, что серия нецелесообразна, так как первые будут через год-два, а тогда понадобится новая машина (1017,213).</w:t>
      </w:r>
    </w:p>
    <w:p w14:paraId="5EF084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C107E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ноября 1931 года Гольцман, Анвельт и Березин писали письмо № 10/1321с Сталину, Молотову</w:t>
      </w:r>
    </w:p>
    <w:p w14:paraId="2FBF96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октября 1931 года КО внесла постановление, обязывающее нас построить в 1932 году 100 самолетов из нержавеющей стали посредством применения метода электросварки по типу недавно выпущенного нами первого в мире самолета "Сталь-2".</w:t>
      </w:r>
    </w:p>
    <w:p w14:paraId="63F503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исполнение этого решения, нами к настоящему моменту разработан проект постройки упрощенного завода (в барачных помещениях); проект технологического процесса этого завода и схема его оборудования; найдено место для постройки в с. Тушино под Москвой. Это место закреплено за нами. Нами представлен в СТО проект ряда мероприятий, направленных к обеспечению строительства и пуска в ход этого завода в апреле 1932 года.</w:t>
      </w:r>
    </w:p>
    <w:p w14:paraId="49913A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данный момент нам стало известно, что некоторые ведомства возбуждают вопрос о пересмотре упомянутого выше постановления КО. Так, например, Госплан в своей докладной записке от 10 ноября за подписью Уншлихта пишет: "Госплан считает необходимым отменить принятое решение СТО о постройке ВОГВФ завода стальных самолетов и высказывается за передачу постройки этого завода ВСНХ". Мотив Госплана заключается в том, что наши предложения "противоречат основным плановым установкам в отношении развития авиапромышленности".</w:t>
      </w:r>
    </w:p>
    <w:p w14:paraId="636DBD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Нам совершенно неизвестны "основные плановые установки" Госплана и мы считаем невозможным поэтому с ними полемизировать. Считаем, однако, необходимым отметить, что в данном случае речь идет не о принципиальной схеме, а о фактически сложившимся положении вещей. Самолет из нержавеющей стали целиком сконструирован и построен нашими работниками. Необходимые для этого технологические процессы выплавки особых сортов нержавеющей стали (так называемой НР-6; прокатки тончайших профилей этой стали до 0,1 мм в поперечном сечении; размещение и применение сварочных приспособлений – все это от начала до конца разработано и применено на опыте работниками НИИГА в стенах своей мастерской. Поэтому, передача теперь всего этого сложного комплекса работ, находящегося к тому же еще в стадии опытной разработки, в какие бы то ни было другие руки, неизбежно за собой повлечет задержку стального самолетостроения по крайней мере на один год.</w:t>
      </w:r>
    </w:p>
    <w:p w14:paraId="04134A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 были свидетелями того, как на КО представители ВСНХ отказывались от постройки стальных самолетов в 1932 году, вследствие чего Сталин, вследствие чего Сталин вынужден был внести предложение о том, чтобы обязать нас приступить немедленно к постройке 100 стальных самолетов.</w:t>
      </w:r>
    </w:p>
    <w:p w14:paraId="732B6A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…………………………………(7752, 73).</w:t>
      </w:r>
    </w:p>
    <w:p w14:paraId="639B10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ECB4B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ноября 1931 в Ленинграде при Осоавиахиме была создана Ленинградская группа изучения реактивного движения (ЛенГИРД) (2990).</w:t>
      </w:r>
    </w:p>
    <w:p w14:paraId="6813CF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B09E4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ноября 1931 г. была создана Ленинградская группа изучения реактивного движения - ЛенГИРД, организаторами которой были Н.А. Рынин</w:t>
      </w:r>
      <w:r w:rsidRPr="005E779E">
        <w:rPr>
          <w:rFonts w:ascii="Times New Roman" w:hAnsi="Times New Roman"/>
          <w:color w:val="000000" w:themeColor="text1"/>
          <w:sz w:val="16"/>
          <w:szCs w:val="16"/>
          <w:vertAlign w:val="superscript"/>
        </w:rPr>
        <w:t>84</w:t>
      </w:r>
      <w:r w:rsidRPr="005E779E">
        <w:rPr>
          <w:rFonts w:ascii="Times New Roman" w:hAnsi="Times New Roman"/>
          <w:color w:val="000000" w:themeColor="text1"/>
          <w:sz w:val="16"/>
          <w:szCs w:val="16"/>
        </w:rPr>
        <w:t xml:space="preserve"> и В.В. Разумов (председатель); располагалась в Иоанновском равелине Петропавловской крепости (11982).</w:t>
      </w:r>
    </w:p>
    <w:p w14:paraId="257F14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EC19634" w14:textId="77777777" w:rsidR="004F04A7" w:rsidRPr="005E779E" w:rsidRDefault="004F04A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ноября 1931 г. была основане ЛенГИРД и ее работа практически с самого основания была тесно связана с деятельностью ГДЛ. Первым председателем ЛенГИРД был В.В. Разумов (1890-1967), с ним работали популяризаторы науки - H.A. Рынин, Я.И. Перельман, инженеры - А.Н. Штерн, Е.Е. Чертовский, физики - М.В. Гажала, И.Н. Самарин, М.В. Мачинский и др. ЛенГИРД в отличие от Московской Группы всегда носила массовый характер, к 1932 г. в ней уже насчитывались более 400 членов. Были и другие отличия: она не столько конструировала ракеты, сколько занималась пропагандистской работой, устраивались небольпхие показательные пуски пороховых ракет, читались курсы по теории реактивного движения. Правда, ряд оригинальных разработок все же был, в частности проект экспериментальной фоторакеты и метеорологической ракеты.</w:t>
      </w:r>
    </w:p>
    <w:p w14:paraId="33AC05E2" w14:textId="77777777" w:rsidR="004F04A7" w:rsidRPr="005E779E" w:rsidRDefault="004F04A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фонде ОСОАВИАХИМ сохранилась переписка С.П.Королева с начальником Сектора авиапромышленности и авиации ОСОАВИАХИМ т. Раскиным (№ 98с от 27.04.33) и Начальником авиации ЦС ОСОАВИАХИМ т. Гельфером (№ 170с от 9.07.33) о работе по снарядуракете тт. Штерн и Разумова (оба из ЛенГИРД). Они разработали оригинальный ротативный ЖРД. Королев требует: «Снаряд разработан в рабочих чертежах и начался монтаж. Согласно договору с ОСОАВИАХИМ, требую сумму 5000 руб. на завершение проекта» (ГА РФ. Фонд Р-8355. Оп. 1. Д. № 374. Л. 20, 38.). Деньги перечислили, но до объекта они дошли не сразу, и весь июль 1933 г. идут отписки ученого секретаря Постоянного военно-научного Совещания (Комитета - по другим документам) ОСОАВИАХИМ Ленинградской области т. Шорина, что деньги еще не получены (№ 5/У11/2 от 2.07.33 и № 5/УП/5 от 5.07.33)1 С деньгами в Ленинградской ГИРД так же плохо, как и в Московской. Ракете Разумова-Штерна еще повезло, она была доработана до стадии монтажа. (22685).</w:t>
      </w:r>
    </w:p>
    <w:p w14:paraId="696A8365" w14:textId="77777777" w:rsidR="004F04A7" w:rsidRPr="005E779E" w:rsidRDefault="004F04A7" w:rsidP="000B7A6C">
      <w:pPr>
        <w:spacing w:after="0" w:line="240" w:lineRule="auto"/>
        <w:jc w:val="both"/>
        <w:rPr>
          <w:rFonts w:ascii="Times New Roman" w:hAnsi="Times New Roman"/>
          <w:color w:val="000000" w:themeColor="text1"/>
          <w:sz w:val="16"/>
          <w:szCs w:val="16"/>
        </w:rPr>
      </w:pPr>
    </w:p>
    <w:p w14:paraId="5E7B2B43" w14:textId="77777777" w:rsidR="00723FFB" w:rsidRPr="005E779E" w:rsidRDefault="00723F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ноября 1931 года со</w:t>
      </w:r>
      <w:r w:rsidRPr="005E779E">
        <w:rPr>
          <w:rFonts w:ascii="Times New Roman" w:hAnsi="Times New Roman"/>
          <w:color w:val="000000" w:themeColor="text1"/>
          <w:sz w:val="16"/>
          <w:szCs w:val="16"/>
        </w:rPr>
        <w:softHyphen/>
        <w:t>брание активистов приняло решение о создании Ленин</w:t>
      </w:r>
      <w:r w:rsidRPr="005E779E">
        <w:rPr>
          <w:rFonts w:ascii="Times New Roman" w:hAnsi="Times New Roman"/>
          <w:color w:val="000000" w:themeColor="text1"/>
          <w:sz w:val="16"/>
          <w:szCs w:val="16"/>
        </w:rPr>
        <w:softHyphen/>
        <w:t>градской группы изучения ре</w:t>
      </w:r>
      <w:r w:rsidRPr="005E779E">
        <w:rPr>
          <w:rFonts w:ascii="Times New Roman" w:hAnsi="Times New Roman"/>
          <w:color w:val="000000" w:themeColor="text1"/>
          <w:sz w:val="16"/>
          <w:szCs w:val="16"/>
        </w:rPr>
        <w:softHyphen/>
        <w:t>активного движения (ЛенГИРД) при Бюро воздушной техни</w:t>
      </w:r>
      <w:r w:rsidRPr="005E779E">
        <w:rPr>
          <w:rFonts w:ascii="Times New Roman" w:hAnsi="Times New Roman"/>
          <w:color w:val="000000" w:themeColor="text1"/>
          <w:sz w:val="16"/>
          <w:szCs w:val="16"/>
        </w:rPr>
        <w:softHyphen/>
        <w:t>ки Ленинградского областно</w:t>
      </w:r>
      <w:r w:rsidRPr="005E779E">
        <w:rPr>
          <w:rFonts w:ascii="Times New Roman" w:hAnsi="Times New Roman"/>
          <w:color w:val="000000" w:themeColor="text1"/>
          <w:sz w:val="16"/>
          <w:szCs w:val="16"/>
        </w:rPr>
        <w:softHyphen/>
        <w:t>го совета Осоавиахима. В инициативную группу вошли В.В.Разумов, Н.А.Рынин, М.В.Гажала, А.Н.Штерн, Я.И.Перель- ман, П.Ф.Федосеенко, М.В.Мачинский, С.Н.Лоцманов, Е.Е.Чер</w:t>
      </w:r>
      <w:r w:rsidRPr="005E779E">
        <w:rPr>
          <w:rFonts w:ascii="Times New Roman" w:hAnsi="Times New Roman"/>
          <w:color w:val="000000" w:themeColor="text1"/>
          <w:sz w:val="16"/>
          <w:szCs w:val="16"/>
        </w:rPr>
        <w:softHyphen/>
        <w:t>товской, И.Н.Самарин, а также сотрудники ГДЛ Б.С.Петропав</w:t>
      </w:r>
      <w:r w:rsidRPr="005E779E">
        <w:rPr>
          <w:rFonts w:ascii="Times New Roman" w:hAnsi="Times New Roman"/>
          <w:color w:val="000000" w:themeColor="text1"/>
          <w:sz w:val="16"/>
          <w:szCs w:val="16"/>
        </w:rPr>
        <w:softHyphen/>
        <w:t>ловский и В.А.Артемьев. Председателем ЛенГИРДа был избран В.В.Разумов, его заместителем - Я.И.Перельман.</w:t>
      </w:r>
    </w:p>
    <w:p w14:paraId="363794F0" w14:textId="77777777" w:rsidR="00723FFB" w:rsidRPr="005E779E" w:rsidRDefault="00723F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Второе собрание, состоявшееся 21 ноября, утвердило по</w:t>
      </w:r>
      <w:r w:rsidRPr="005E779E">
        <w:rPr>
          <w:rFonts w:ascii="Times New Roman" w:hAnsi="Times New Roman"/>
          <w:color w:val="000000" w:themeColor="text1"/>
          <w:sz w:val="16"/>
          <w:szCs w:val="16"/>
        </w:rPr>
        <w:softHyphen/>
        <w:t>ложение о ЛенГИРДе и план работы. Организационно в состав ЛенГИРДа вошли пять групп: научно-исследовательская, про</w:t>
      </w:r>
      <w:r w:rsidRPr="005E779E">
        <w:rPr>
          <w:rFonts w:ascii="Times New Roman" w:hAnsi="Times New Roman"/>
          <w:color w:val="000000" w:themeColor="text1"/>
          <w:sz w:val="16"/>
          <w:szCs w:val="16"/>
        </w:rPr>
        <w:softHyphen/>
        <w:t>ектно-конструкторская, лабораторная, ракетодромная и груп</w:t>
      </w:r>
      <w:r w:rsidRPr="005E779E">
        <w:rPr>
          <w:rFonts w:ascii="Times New Roman" w:hAnsi="Times New Roman"/>
          <w:color w:val="000000" w:themeColor="text1"/>
          <w:sz w:val="16"/>
          <w:szCs w:val="16"/>
        </w:rPr>
        <w:softHyphen/>
        <w:t>па научной пропаганды. Уже в следующем году численность членов организации достигла более 400 человек.</w:t>
      </w:r>
    </w:p>
    <w:p w14:paraId="0D598EBC" w14:textId="77777777" w:rsidR="00723FFB" w:rsidRPr="005E779E" w:rsidRDefault="00723F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1932-1934 годах в ЛенГИРДе под руководством В.В.Разумова были спроектированы три пороховых ракеты — осветительная для подъема на высоту 5 километров, фотора</w:t>
      </w:r>
      <w:r w:rsidRPr="005E779E">
        <w:rPr>
          <w:rFonts w:ascii="Times New Roman" w:hAnsi="Times New Roman"/>
          <w:color w:val="000000" w:themeColor="text1"/>
          <w:sz w:val="16"/>
          <w:szCs w:val="16"/>
        </w:rPr>
        <w:softHyphen/>
        <w:t xml:space="preserve">кета для подъема на высоту 10 километров, регистрирующая ракета для подъема на высоту 10 километров. Осветительная ракета </w:t>
      </w:r>
    </w:p>
    <w:p w14:paraId="3FC58A14" w14:textId="77777777" w:rsidR="00723FFB" w:rsidRPr="005E779E" w:rsidRDefault="00723F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предназначалась для ослепления самолетов противника как дополнительное средство к прожекторам. Была изготовле</w:t>
      </w:r>
      <w:r w:rsidRPr="005E779E">
        <w:rPr>
          <w:rFonts w:ascii="Times New Roman" w:hAnsi="Times New Roman"/>
          <w:color w:val="000000" w:themeColor="text1"/>
          <w:sz w:val="16"/>
          <w:szCs w:val="16"/>
        </w:rPr>
        <w:softHyphen/>
        <w:t>на опытная партия этих ракет. Фоторакета предназначалась для фотосъемок местности. Ракета не изготовлялась. Регистрирующая ракета предназначалась для измерения давления, темпе</w:t>
      </w:r>
      <w:r w:rsidRPr="005E779E">
        <w:rPr>
          <w:rFonts w:ascii="Times New Roman" w:hAnsi="Times New Roman"/>
          <w:color w:val="000000" w:themeColor="text1"/>
          <w:sz w:val="16"/>
          <w:szCs w:val="16"/>
        </w:rPr>
        <w:softHyphen/>
        <w:t>ратуры и плотности воздуха на высоте до 10 километров и раз</w:t>
      </w:r>
      <w:r w:rsidRPr="005E779E">
        <w:rPr>
          <w:rFonts w:ascii="Times New Roman" w:hAnsi="Times New Roman"/>
          <w:color w:val="000000" w:themeColor="text1"/>
          <w:sz w:val="16"/>
          <w:szCs w:val="16"/>
        </w:rPr>
        <w:softHyphen/>
        <w:t>рабатывалась для Ленинградского географического института. Первоначально для регистрирующей ракеты под руководством А.Н.Штерна создавался жидкостной двигатель ЛРД-Д-1. Но до</w:t>
      </w:r>
      <w:r w:rsidRPr="005E779E">
        <w:rPr>
          <w:rFonts w:ascii="Times New Roman" w:hAnsi="Times New Roman"/>
          <w:color w:val="000000" w:themeColor="text1"/>
          <w:sz w:val="16"/>
          <w:szCs w:val="16"/>
        </w:rPr>
        <w:softHyphen/>
        <w:t>вести его не удалось, и в конце 1934 года ракета была запущена с пороховым двигателем В.А.Артемьева.</w:t>
      </w:r>
    </w:p>
    <w:p w14:paraId="184EFB8F" w14:textId="77777777" w:rsidR="00723FFB" w:rsidRPr="005E779E" w:rsidRDefault="00723F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ЛенГИРД просуществовал до 1934 года, после чего часть его членов переехали в Москву и поступили в РНИИ, а сам ЛенГИРД был преобразован в Секцию реактивного движения при аэроклубе Ленинградского облсовета Осоавиахима, кото</w:t>
      </w:r>
      <w:r w:rsidRPr="005E779E">
        <w:rPr>
          <w:rFonts w:ascii="Times New Roman" w:hAnsi="Times New Roman"/>
          <w:color w:val="000000" w:themeColor="text1"/>
          <w:sz w:val="16"/>
          <w:szCs w:val="16"/>
        </w:rPr>
        <w:softHyphen/>
        <w:t>рая под руководством М.В.Мачинского занималась пропаган</w:t>
      </w:r>
      <w:r w:rsidRPr="005E779E">
        <w:rPr>
          <w:rFonts w:ascii="Times New Roman" w:hAnsi="Times New Roman"/>
          <w:color w:val="000000" w:themeColor="text1"/>
          <w:sz w:val="16"/>
          <w:szCs w:val="16"/>
        </w:rPr>
        <w:softHyphen/>
        <w:t>дистской работой вплоть до 1939 года (23510).</w:t>
      </w:r>
    </w:p>
    <w:p w14:paraId="29154BB5" w14:textId="77777777" w:rsidR="00723FFB" w:rsidRPr="005E779E" w:rsidRDefault="00723FFB" w:rsidP="000B7A6C">
      <w:pPr>
        <w:spacing w:after="0" w:line="240" w:lineRule="auto"/>
        <w:jc w:val="both"/>
        <w:rPr>
          <w:rFonts w:ascii="Times New Roman" w:hAnsi="Times New Roman"/>
          <w:color w:val="000000" w:themeColor="text1"/>
          <w:sz w:val="16"/>
          <w:szCs w:val="16"/>
        </w:rPr>
      </w:pPr>
    </w:p>
    <w:p w14:paraId="31061F6B" w14:textId="77777777" w:rsidR="00723FFB" w:rsidRPr="005E779E" w:rsidRDefault="00723F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ноября 1931 г. на собрании активистов была учреждена Ле</w:t>
      </w:r>
      <w:r w:rsidRPr="005E779E">
        <w:rPr>
          <w:rFonts w:ascii="Times New Roman" w:hAnsi="Times New Roman"/>
          <w:color w:val="000000" w:themeColor="text1"/>
          <w:sz w:val="16"/>
          <w:szCs w:val="16"/>
        </w:rPr>
        <w:softHyphen/>
        <w:t>нинградская группа реактивного движения — ЛенГИРД. Её пред</w:t>
      </w:r>
      <w:r w:rsidRPr="005E779E">
        <w:rPr>
          <w:rFonts w:ascii="Times New Roman" w:hAnsi="Times New Roman"/>
          <w:color w:val="000000" w:themeColor="text1"/>
          <w:sz w:val="16"/>
          <w:szCs w:val="16"/>
        </w:rPr>
        <w:softHyphen/>
        <w:t>седателем избрали инженера-кораблестроителя Владимира Разу</w:t>
      </w:r>
      <w:r w:rsidRPr="005E779E">
        <w:rPr>
          <w:rFonts w:ascii="Times New Roman" w:hAnsi="Times New Roman"/>
          <w:color w:val="000000" w:themeColor="text1"/>
          <w:sz w:val="16"/>
          <w:szCs w:val="16"/>
        </w:rPr>
        <w:softHyphen/>
        <w:t>мова (1890-1967), заместителем — профессора Института путей сообщения Николая Рынина (1877-1942).</w:t>
      </w:r>
    </w:p>
    <w:p w14:paraId="52F01C58" w14:textId="77777777" w:rsidR="00723FFB" w:rsidRPr="005E779E" w:rsidRDefault="00723F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Среди активистов ЛенГИРД были инженеры А. Н. Штерн и Е. Е. Чертовской, математик М. В. Гажала, физик И. Н. Самарин, популяризатор науки Я. И. Перельман, другие известные в Ле</w:t>
      </w:r>
      <w:r w:rsidRPr="005E779E">
        <w:rPr>
          <w:rFonts w:ascii="Times New Roman" w:hAnsi="Times New Roman"/>
          <w:color w:val="000000" w:themeColor="text1"/>
          <w:sz w:val="16"/>
          <w:szCs w:val="16"/>
        </w:rPr>
        <w:softHyphen/>
        <w:t>нинграде специалисты различных отраслей науки и техники.</w:t>
      </w:r>
    </w:p>
    <w:p w14:paraId="607C38F4" w14:textId="77777777" w:rsidR="00723FFB" w:rsidRPr="005E779E" w:rsidRDefault="00723F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концу 1932 г. численность ЛенГИРД превысила 400 человек.</w:t>
      </w:r>
    </w:p>
    <w:p w14:paraId="18A1D271" w14:textId="77777777" w:rsidR="00723FFB" w:rsidRPr="005E779E" w:rsidRDefault="00723F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Согласно докладной записке Пе</w:t>
      </w:r>
      <w:r w:rsidRPr="005E779E">
        <w:rPr>
          <w:rFonts w:ascii="Times New Roman" w:hAnsi="Times New Roman"/>
          <w:color w:val="000000" w:themeColor="text1"/>
          <w:sz w:val="16"/>
          <w:szCs w:val="16"/>
        </w:rPr>
        <w:softHyphen/>
        <w:t>рельмана, составленной в декабре 1931 г., группа состояла из 4-х отделов:</w:t>
      </w:r>
    </w:p>
    <w:p w14:paraId="1312FED0" w14:textId="77777777" w:rsidR="00723FFB" w:rsidRPr="005E779E" w:rsidRDefault="00723F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проектного (руководитель В. В. Разумов);</w:t>
      </w:r>
    </w:p>
    <w:p w14:paraId="5AC62928" w14:textId="77777777" w:rsidR="00723FFB" w:rsidRPr="005E779E" w:rsidRDefault="00723F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лабораторного (А. Н. Штерн);</w:t>
      </w:r>
    </w:p>
    <w:p w14:paraId="7F25DB30" w14:textId="77777777" w:rsidR="00723FFB" w:rsidRPr="005E779E" w:rsidRDefault="00723F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исследовательского (М. В. Га- жала);</w:t>
      </w:r>
    </w:p>
    <w:p w14:paraId="6A56C3B6" w14:textId="77777777" w:rsidR="00723FFB" w:rsidRPr="005E779E" w:rsidRDefault="00723F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пропагандистского (Я. И. Пе</w:t>
      </w:r>
      <w:r w:rsidRPr="005E779E">
        <w:rPr>
          <w:rFonts w:ascii="Times New Roman" w:hAnsi="Times New Roman"/>
          <w:color w:val="000000" w:themeColor="text1"/>
          <w:sz w:val="16"/>
          <w:szCs w:val="16"/>
        </w:rPr>
        <w:softHyphen/>
        <w:t>рельман).</w:t>
      </w:r>
    </w:p>
    <w:p w14:paraId="1D9EFFF3" w14:textId="77777777" w:rsidR="00723FFB" w:rsidRPr="005E779E" w:rsidRDefault="00723F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Проектный отдел разрабатывал, в общей сложности, 7 проектов ракет.</w:t>
      </w:r>
    </w:p>
    <w:p w14:paraId="77CDD727" w14:textId="77777777" w:rsidR="00723FFB" w:rsidRPr="005E779E" w:rsidRDefault="00723FFB" w:rsidP="000B7A6C">
      <w:pPr>
        <w:spacing w:after="0" w:line="240" w:lineRule="auto"/>
        <w:jc w:val="both"/>
        <w:rPr>
          <w:rFonts w:ascii="Times New Roman" w:hAnsi="Times New Roman"/>
          <w:color w:val="000000" w:themeColor="text1"/>
          <w:sz w:val="16"/>
          <w:szCs w:val="16"/>
        </w:rPr>
      </w:pPr>
    </w:p>
    <w:p w14:paraId="17471DA9"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1E49A693"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A88288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13 ноября 1931 после рассмотрения проектов ФВВ на заседании научно-техни</w:t>
      </w:r>
      <w:r w:rsidRPr="005E779E">
        <w:rPr>
          <w:rFonts w:ascii="Times New Roman" w:hAnsi="Times New Roman"/>
          <w:color w:val="000000" w:themeColor="text1"/>
          <w:sz w:val="16"/>
          <w:szCs w:val="16"/>
        </w:rPr>
        <w:softHyphen/>
        <w:t>ческого комитета (НТК) УММ РККА, предсе</w:t>
      </w:r>
      <w:r w:rsidRPr="005E779E">
        <w:rPr>
          <w:rFonts w:ascii="Times New Roman" w:hAnsi="Times New Roman"/>
          <w:color w:val="000000" w:themeColor="text1"/>
          <w:sz w:val="16"/>
          <w:szCs w:val="16"/>
        </w:rPr>
        <w:softHyphen/>
        <w:t>датель НТК Лебедев направил в АТТБ ЭКУ ОГПУ письмо следующего содержания: «Ваши проекты бронеавтомобиля на трехосном шасси «Форд-Тимкен» утверждаются со сле</w:t>
      </w:r>
      <w:r w:rsidRPr="005E779E">
        <w:rPr>
          <w:rFonts w:ascii="Times New Roman" w:hAnsi="Times New Roman"/>
          <w:color w:val="000000" w:themeColor="text1"/>
          <w:sz w:val="16"/>
          <w:szCs w:val="16"/>
        </w:rPr>
        <w:softHyphen/>
        <w:t>дующими изменениями:</w:t>
      </w:r>
    </w:p>
    <w:p w14:paraId="24867AD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Устранить зенитный пулемет,</w:t>
      </w:r>
    </w:p>
    <w:p w14:paraId="5623306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Сдвинуть вперед башню, а заднюю стенку сделать наклонной.</w:t>
      </w:r>
    </w:p>
    <w:p w14:paraId="1F04659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Прошу срочно принять заказ на изготовление макета и опытного образца» (11284).</w:t>
      </w:r>
    </w:p>
    <w:p w14:paraId="06B91B1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230987" w14:textId="77777777" w:rsidR="00723FFB" w:rsidRPr="005E779E" w:rsidRDefault="00723F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ноября 1931 г. в соответствии с приказом по ВСНХ СССР № 185/с изготовление опытного образца дизеля ПГЕ и проведение его испытаний было поручено ленинградскому заводу «Большевик». 4 декабря 1931 г. председатель 2-й секции НТК УММ РККА В.Д. Свиридов с препроводительным письмом № 9031309 направил директору завода «Большевик» опытный заказ № Ц09031309 на изготовление опытного образца дизеля ПГЕ. Согласно этому документу, завод «Большевик» должен был изготовить и предъявить заказчику опытный образец танкового дизеля в марте 1932 г., при этом стоимость заказа ориентировочно была определена в сумме 100.000 рублей (24856).</w:t>
      </w:r>
    </w:p>
    <w:p w14:paraId="6F3138D6" w14:textId="77777777" w:rsidR="00723FFB" w:rsidRPr="005E779E" w:rsidRDefault="00723FFB" w:rsidP="000B7A6C">
      <w:pPr>
        <w:spacing w:after="0" w:line="240" w:lineRule="auto"/>
        <w:jc w:val="both"/>
        <w:rPr>
          <w:rFonts w:ascii="Times New Roman" w:hAnsi="Times New Roman"/>
          <w:color w:val="000000" w:themeColor="text1"/>
          <w:sz w:val="16"/>
          <w:szCs w:val="16"/>
        </w:rPr>
      </w:pPr>
    </w:p>
    <w:p w14:paraId="0651B3D4"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076C7767"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72D64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ноября 1931-го постановлением СТО № 516 для добычи золота в верховьях реки Колымы был образован Государственный трест по дорожному и промышленному строительству в районе Верхней Колымы, сокращенно - «Дальстрой». Хотя с момента организации Дальстрой подчинялся непосредственно СТО, а затем СНК СССР (формально в ведение НКВД его передали только в марте 1938-го), директором нового треста сразу же назначили чекиста Э. П. Берзина, ранее возглавлявшего Вишерлаг ОГПУ, а наблюдение и контроль за деятельность Дальстроя возложили за зампреда ОГПУ Г. Г. Ягоду (7560).</w:t>
      </w:r>
    </w:p>
    <w:p w14:paraId="537200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78E5329" w14:textId="77777777" w:rsidR="00F12FE0"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0A193AB8" w14:textId="77777777" w:rsidR="00F12FE0" w:rsidRPr="005E779E" w:rsidRDefault="00F12FE0"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4EE4AC3" w14:textId="77777777" w:rsidR="00F12FE0" w:rsidRPr="005E779E" w:rsidRDefault="00F12FE0" w:rsidP="000B7A6C">
      <w:pPr>
        <w:spacing w:after="0" w:line="240" w:lineRule="auto"/>
        <w:jc w:val="both"/>
        <w:rPr>
          <w:rFonts w:ascii="Times New Roman" w:hAnsi="Times New Roman"/>
          <w:color w:val="000000" w:themeColor="text1"/>
          <w:sz w:val="16"/>
          <w:szCs w:val="16"/>
        </w:rPr>
      </w:pPr>
      <w:r w:rsidRPr="005E779E">
        <w:rPr>
          <w:rStyle w:val="ucoz-forum-post"/>
          <w:rFonts w:ascii="Times New Roman" w:hAnsi="Times New Roman"/>
          <w:bCs/>
          <w:color w:val="000000" w:themeColor="text1"/>
          <w:sz w:val="16"/>
          <w:szCs w:val="16"/>
        </w:rPr>
        <w:t xml:space="preserve">13 ноября </w:t>
      </w:r>
      <w:r w:rsidRPr="005E779E">
        <w:rPr>
          <w:rFonts w:ascii="Times New Roman" w:hAnsi="Times New Roman"/>
          <w:color w:val="000000" w:themeColor="text1"/>
          <w:sz w:val="16"/>
          <w:szCs w:val="16"/>
        </w:rPr>
        <w:t>в 1931 году американец русского происхождения Владимир Зворыкин (1889-1981) создает иконоскоп — первую в мире электронно-лучевую трубку для телевизионного передатчика. Он эмигрировал в 1918 г., с 1919 — в США (свыше 120 патентов и более 80 научных работ) (14829).</w:t>
      </w:r>
    </w:p>
    <w:p w14:paraId="44B6CADE" w14:textId="77777777" w:rsidR="00F12FE0" w:rsidRPr="005E779E" w:rsidRDefault="00F12FE0" w:rsidP="000B7A6C">
      <w:pPr>
        <w:spacing w:after="0" w:line="240" w:lineRule="auto"/>
        <w:jc w:val="both"/>
        <w:rPr>
          <w:rFonts w:ascii="Times New Roman" w:hAnsi="Times New Roman"/>
          <w:color w:val="000000" w:themeColor="text1"/>
          <w:sz w:val="16"/>
          <w:szCs w:val="16"/>
        </w:rPr>
      </w:pPr>
    </w:p>
    <w:p w14:paraId="3391910C"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72765080"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FFB21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ноября 1931 окончились повторные гос. испытания МДР-2, которые начались с 8 октября 1931. Хорошая мореходность. Признан неперспективным - устарел (92,355).</w:t>
      </w:r>
    </w:p>
    <w:p w14:paraId="204EA3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другим данным гос. испытания начались только 15 февраля 1932.</w:t>
      </w:r>
    </w:p>
    <w:p w14:paraId="03D02C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4364AD5" w14:textId="77777777" w:rsidR="00513C11" w:rsidRPr="005E779E" w:rsidRDefault="00513C11"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14 ноября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Постановление СТО СССР № 233сс о производственной программе моторостроительных заводов ВАО на 1932 г. (ГА РФ. Ф. Р?8418. Оп. 28. Д. 1а. Л. 85) (12415).</w:t>
      </w:r>
    </w:p>
    <w:p w14:paraId="11E1A6FF" w14:textId="77777777" w:rsidR="00513C11" w:rsidRPr="005E779E" w:rsidRDefault="00513C11" w:rsidP="000B7A6C">
      <w:pPr>
        <w:spacing w:after="0" w:line="240" w:lineRule="auto"/>
        <w:jc w:val="both"/>
        <w:rPr>
          <w:rFonts w:ascii="Times New Roman" w:hAnsi="Times New Roman"/>
          <w:color w:val="000000" w:themeColor="text1"/>
          <w:sz w:val="16"/>
          <w:szCs w:val="16"/>
          <w:u w:color="002060"/>
        </w:rPr>
      </w:pPr>
    </w:p>
    <w:p w14:paraId="56D2014D" w14:textId="77777777" w:rsidR="004F04A7" w:rsidRPr="005E779E" w:rsidRDefault="004F04A7"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14 ноября 1931 вышло постановление № 233сс РЗ СТО или КО (№ 921/ко от 16.11.1931 г.) - 0 производственной программе моторостроительных заводов Всесоюзного авиообъединения на 1932 год (21565).</w:t>
      </w:r>
    </w:p>
    <w:p w14:paraId="5188D125" w14:textId="77777777" w:rsidR="004F04A7" w:rsidRPr="005E779E" w:rsidRDefault="004F04A7" w:rsidP="000B7A6C">
      <w:pPr>
        <w:spacing w:after="0" w:line="240" w:lineRule="auto"/>
        <w:jc w:val="both"/>
        <w:rPr>
          <w:rFonts w:ascii="Times New Roman" w:hAnsi="Times New Roman"/>
          <w:color w:val="000000" w:themeColor="text1"/>
          <w:sz w:val="16"/>
          <w:szCs w:val="16"/>
        </w:rPr>
      </w:pPr>
    </w:p>
    <w:p w14:paraId="18D041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ноября 1931 закончились войсковые испытания высокой торпеды 10/15, которые шли с первой пробы 19 сентября 1931, когда в ходе имитации атаки ТБ-1 на л Парижская Коммуна, торпеду сбросили с 2000 м и она прошла мимо от цели. В октябре 1931 учебную атаку провела пара ТБ-1 во время учений флота. Сбросили 2 торпеды по буксируемому щиту в 15 милях от Херсонесского маяка. Потом сбрасывали по неподвижным целям - пятнам краски на воде. Всего до 14 ноября провели 9 сбросов с 2000-3000 м, но только 4 раза сбрасывали торпеды с ходом (1966,10).</w:t>
      </w:r>
    </w:p>
    <w:p w14:paraId="0869F2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37C4F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ноября 1931 началась организация широкой сети планерных школ без отрыва от производства. Потом стали парашютно-планерными клубами (271,127).</w:t>
      </w:r>
    </w:p>
    <w:p w14:paraId="32F2D5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8EE1B21" w14:textId="77777777" w:rsidR="00F12FE0"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51939C40" w14:textId="77777777" w:rsidR="00F12FE0" w:rsidRPr="005E779E" w:rsidRDefault="00F12FE0"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6DE263B" w14:textId="77777777" w:rsidR="00F12FE0" w:rsidRPr="005E779E" w:rsidRDefault="00F12FE0" w:rsidP="000B7A6C">
      <w:pPr>
        <w:pStyle w:val="rtejustify"/>
        <w:spacing w:before="0" w:after="0"/>
        <w:rPr>
          <w:color w:val="000000" w:themeColor="text1"/>
          <w:sz w:val="16"/>
          <w:szCs w:val="16"/>
        </w:rPr>
      </w:pPr>
      <w:r w:rsidRPr="005E779E">
        <w:rPr>
          <w:color w:val="000000" w:themeColor="text1"/>
          <w:sz w:val="16"/>
          <w:szCs w:val="16"/>
        </w:rPr>
        <w:t>14 ноября 1931 г. состоялось заседание Комиссии обороны СССР, которое постановило принять за основу программу строительства морских сил, предложенную Наркомвоенмором (ГА РФ. Ф. 8418. Оп. 28. Д. 125. Л. 92</w:t>
      </w:r>
      <w:r w:rsidRPr="005E779E">
        <w:rPr>
          <w:color w:val="000000" w:themeColor="text1"/>
          <w:sz w:val="16"/>
          <w:szCs w:val="16"/>
        </w:rPr>
        <w:noBreakHyphen/>
        <w:t>94) (15253).</w:t>
      </w:r>
    </w:p>
    <w:p w14:paraId="336D7D40" w14:textId="77777777" w:rsidR="00F12FE0" w:rsidRPr="005E779E" w:rsidRDefault="00F12FE0" w:rsidP="000B7A6C">
      <w:pPr>
        <w:pStyle w:val="rtejustify"/>
        <w:spacing w:before="0" w:after="0"/>
        <w:rPr>
          <w:color w:val="000000" w:themeColor="text1"/>
          <w:sz w:val="16"/>
          <w:szCs w:val="16"/>
        </w:rPr>
      </w:pPr>
    </w:p>
    <w:p w14:paraId="0A6AD599"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3F90FDCA"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864F2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ноября 1931-го Л.П.Берия стал первым секретарем ЦК КП(б) Грузии и в связи с переходом на партийную работу был 3 декабря освобожден от должностей полпреда ОГПУ в ЗСФСР и члена Коллегии ОГПУ (7557).</w:t>
      </w:r>
    </w:p>
    <w:p w14:paraId="13B7A9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7FD2257"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151B11EA"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A8AFB39" w14:textId="77777777" w:rsidR="00F12FE0" w:rsidRPr="005E779E" w:rsidRDefault="00F12FE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ноября 1931 г. Протокол ПБ № 75 п.59/27: О самолетостроении (Гольцман) – ОП. Решено подтвердить постановление Комиссии обороны о производстве ВОГВФ 100 стальных самолетов в 1932 году (15897).</w:t>
      </w:r>
    </w:p>
    <w:p w14:paraId="50D4A2E8" w14:textId="77777777" w:rsidR="00F12FE0" w:rsidRPr="005E779E" w:rsidRDefault="00F12FE0" w:rsidP="000B7A6C">
      <w:pPr>
        <w:spacing w:after="0" w:line="240" w:lineRule="auto"/>
        <w:jc w:val="both"/>
        <w:rPr>
          <w:rFonts w:ascii="Times New Roman" w:hAnsi="Times New Roman"/>
          <w:color w:val="000000" w:themeColor="text1"/>
          <w:sz w:val="16"/>
          <w:szCs w:val="16"/>
        </w:rPr>
      </w:pPr>
    </w:p>
    <w:p w14:paraId="087A79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C 15 ноября 1931 по 17 февраля 1932 проходили испытания самолета Р-5 N 4629 (эталон на 1932 год) с мотором М-17 Е=6 N 26494 с испытанием на штопор при разных центровках.</w:t>
      </w:r>
    </w:p>
    <w:p w14:paraId="5D818D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Отв. исполнители:</w:t>
      </w:r>
    </w:p>
    <w:p w14:paraId="4E19B6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инженер ведущий самолет Жемчужин</w:t>
      </w:r>
    </w:p>
    <w:p w14:paraId="4B8A8E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летчик Байдуков</w:t>
      </w:r>
    </w:p>
    <w:p w14:paraId="1D8EF1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Цель испытания:</w:t>
      </w:r>
    </w:p>
    <w:p w14:paraId="0FD110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Выявление полной боеспособности самолета и возможности использования его в виде образца (эталона) для серийной постройки самолетов в 1932 году.</w:t>
      </w:r>
    </w:p>
    <w:p w14:paraId="6275F5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Определение летных данных самолета Р5-М17 с новыми вариантами нагрузки установленными 1-м управлением УВВС совместно с НИИ.</w:t>
      </w:r>
    </w:p>
    <w:p w14:paraId="6249B4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Фактически испытания начались 25 декабря 1931 (3064).</w:t>
      </w:r>
    </w:p>
    <w:p w14:paraId="408C3D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F1FF98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15 ноября 1931 по 17 февраля 1932 проходили гос. испытания Р-5 М-17 эталон 1932 (6778).</w:t>
      </w:r>
    </w:p>
    <w:p w14:paraId="68B4289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875C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ноября 1931 в ходе испытания самолета Р5 N 4629 с испытанием на штопор при разных центровках самолет получен с завода N 1 с недоведенным оборудованием для определения центровки. 22.09.31 - составлен совместно с заводом протокол необходимых доделок и самолет сдан на завод N 1. 7.12.31 г. - самолет получен с завода для испытания. 7.12-18.12 - работы не производились. 20.12-23.12 - во 2-й эскадрильи не было летчика для проведения испытания (3064).</w:t>
      </w:r>
    </w:p>
    <w:p w14:paraId="7DF9C3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1C3D5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15 ноября 1931 г. по 17 февраля 1932 г. эталон Р-5 на 1932 год, которым стал самолет № 4629 проходила испытания в НИИ ВВС; летал Г.Ф. Байдуков.</w:t>
      </w:r>
    </w:p>
    <w:p w14:paraId="00EED1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нем предусмотрели замену четырех (из шести) подкрыльных бомбодержателей Дер-7 на пару Дер-13. Дело в том, что при установленных под фюзеляжем балках Дер-13 внутренней кассетой пользоваться было нельзя. Если необходимо было загрузить самолет большим количеством мелких бомб, Дер- 13 нужно было снять. Но без них машина не могла нести бомбы крупного калибра. Перенос Дер-13 под крыло должен был повысить гибкость боевого использования бомбардировщика. Варианты загрузки теперь можно было менять без монтажа или демонтажа держателей. Одновременно переместили бомбовый прицел "Герц" в передний правый угол кабины летнаба, установив его на пятке чешского образца, и ввели полотняную перегородку в фюзеляже за турелью, чтобы уменьшить задувание.</w:t>
      </w:r>
    </w:p>
    <w:p w14:paraId="64E416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результате от установки Дер-13 под крылом отказались. Переход на комплект из двух Дер-7 и двух Дер-13 резко уменьшал бомбовую нагрузку при подвеске мелких бомб: на балки Дер-13 они вообще не могли подвешиваться. Кроме того, неудачная конструкция проводки тросиков привела к очень большому усилию на ручке механического сбрасывателя. Летнабу приходилось тянуть ее двумя руками. Остальные нововведения были одобрены.</w:t>
      </w:r>
    </w:p>
    <w:p w14:paraId="1D3F8A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1932 г. Р-5 строился в трех вариантах, отличавшихся по комплектации: легкий бомбардировщик, разведчик и учебный самолет. Разведчик имел полный комплект бомбового вооружения Бомбр-2, аналогичный Р-1 (шесть балок Дер-7 и две Дер-6), радиостанцию и фотоустановку. На бомбардировщике фото- и радиооборудование </w:t>
      </w:r>
      <w:r w:rsidRPr="005E779E">
        <w:rPr>
          <w:rFonts w:ascii="Times New Roman" w:hAnsi="Times New Roman"/>
          <w:color w:val="000000" w:themeColor="text1"/>
          <w:sz w:val="16"/>
          <w:szCs w:val="16"/>
        </w:rPr>
        <w:lastRenderedPageBreak/>
        <w:t>отсутствовало, а подфюзеляжные Дер-6 могли заменяться Дер- 13. Учебные машины часто отправлялись без вооружения или с неполным вооружением; радиостанции и фотоаппараты ставили крайне редко. Взлетный вес у них был меньше, чем у разведчиков, почти на 200 кг.</w:t>
      </w:r>
    </w:p>
    <w:p w14:paraId="29B08A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Радиостанции ставили разных типов - что удавалось получить. На большинстве машин монтировали 13СК и ИСК, но встречались также 14С1 и 13С.</w:t>
      </w:r>
    </w:p>
    <w:p w14:paraId="74BED1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1932 г. к вооружению Р-5 добавились выливные химические и дымовые приборы. Выливные приборы ВАП-4 предназначались для "поражения живой силы противника и заражения местности с налаженным валовым производством". Их разработали в 1930 г. для самолета Р-1. Прибор емкостью 82 л заправляли раствором иприта или люизита (или их смеси) в керосине или дихлорэтане. Раствор вытеснялся из емкости скоростным напором. На Р-5 поставили усовершенствованный образец ВАП-4 с продувным люком и возможностью сброса в полете. И выливанием, и сбросом управляли при помощи штатного бомбосбрасывателя Сбр-8. Самолет нес два, а позже четыре ВАП-4 под нижним крылом, на ближних к фюзеляжу балках Дер-7 (12034).</w:t>
      </w:r>
    </w:p>
    <w:p w14:paraId="5769BD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4B2A241" w14:textId="77777777" w:rsidR="00514E48" w:rsidRPr="00142305" w:rsidRDefault="00514E48" w:rsidP="00514E4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15 но</w:t>
      </w:r>
      <w:r w:rsidRPr="00142305">
        <w:rPr>
          <w:rFonts w:ascii="Times New Roman" w:hAnsi="Times New Roman"/>
          <w:color w:val="0070C0"/>
          <w:sz w:val="16"/>
          <w:szCs w:val="16"/>
        </w:rPr>
        <w:softHyphen/>
        <w:t xml:space="preserve">ября 1931 г. по 17 февраля 1932 г. Р-5 № 4629 – эталон на 1932 г. - проходил испытания в НИИ ВВС; летал Г.Ф. Байдуков. </w:t>
      </w:r>
    </w:p>
    <w:p w14:paraId="14077F51" w14:textId="77777777" w:rsidR="00514E48" w:rsidRPr="00142305" w:rsidRDefault="00514E48" w:rsidP="00514E4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Р-5 № 4629 предусмотрели замену четырех (из шести) подкрыльных бомбодержа</w:t>
      </w:r>
      <w:r w:rsidRPr="00142305">
        <w:rPr>
          <w:rFonts w:ascii="Times New Roman" w:hAnsi="Times New Roman"/>
          <w:color w:val="0070C0"/>
          <w:sz w:val="16"/>
          <w:szCs w:val="16"/>
        </w:rPr>
        <w:softHyphen/>
        <w:t>телей Дер-7 на пару Дер-13. Дело в том, что при установ</w:t>
      </w:r>
      <w:r w:rsidRPr="00142305">
        <w:rPr>
          <w:rFonts w:ascii="Times New Roman" w:hAnsi="Times New Roman"/>
          <w:color w:val="0070C0"/>
          <w:sz w:val="16"/>
          <w:szCs w:val="16"/>
        </w:rPr>
        <w:softHyphen/>
        <w:t>ленных под фюзеляжем балках Дер-13 внутренней кассе</w:t>
      </w:r>
      <w:r w:rsidRPr="00142305">
        <w:rPr>
          <w:rFonts w:ascii="Times New Roman" w:hAnsi="Times New Roman"/>
          <w:color w:val="0070C0"/>
          <w:sz w:val="16"/>
          <w:szCs w:val="16"/>
        </w:rPr>
        <w:softHyphen/>
        <w:t>той пользоваться было нельзя. Если необходимо было за</w:t>
      </w:r>
      <w:r w:rsidRPr="00142305">
        <w:rPr>
          <w:rFonts w:ascii="Times New Roman" w:hAnsi="Times New Roman"/>
          <w:color w:val="0070C0"/>
          <w:sz w:val="16"/>
          <w:szCs w:val="16"/>
        </w:rPr>
        <w:softHyphen/>
        <w:t>грузить самолет большим количеством мелких бомб, Дер- 13 нужно было снять. Но без них машина не могла нести бомбы крупного калибра. Перенос Дер-13 под крыло дол</w:t>
      </w:r>
      <w:r w:rsidRPr="00142305">
        <w:rPr>
          <w:rFonts w:ascii="Times New Roman" w:hAnsi="Times New Roman"/>
          <w:color w:val="0070C0"/>
          <w:sz w:val="16"/>
          <w:szCs w:val="16"/>
        </w:rPr>
        <w:softHyphen/>
        <w:t>жен был повысить гибкость боевого использования бом</w:t>
      </w:r>
      <w:r w:rsidRPr="00142305">
        <w:rPr>
          <w:rFonts w:ascii="Times New Roman" w:hAnsi="Times New Roman"/>
          <w:color w:val="0070C0"/>
          <w:sz w:val="16"/>
          <w:szCs w:val="16"/>
        </w:rPr>
        <w:softHyphen/>
        <w:t>бардировщика. Варианты загрузки теперь можно было ме</w:t>
      </w:r>
      <w:r w:rsidRPr="00142305">
        <w:rPr>
          <w:rFonts w:ascii="Times New Roman" w:hAnsi="Times New Roman"/>
          <w:color w:val="0070C0"/>
          <w:sz w:val="16"/>
          <w:szCs w:val="16"/>
        </w:rPr>
        <w:softHyphen/>
        <w:t>нять без монтажа или демонтажа держателей.</w:t>
      </w:r>
    </w:p>
    <w:p w14:paraId="7EAC08E2" w14:textId="77777777" w:rsidR="00514E48" w:rsidRPr="00142305" w:rsidRDefault="00514E48" w:rsidP="00514E4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Одновременно переместили бомбовый прицел «Герц» в передний правый угол кабины летнаба, установив его на пятке чешского образца, и ввели полотняную перегородку в фюзеляже за турелью, чтобы уменьшить задувание</w:t>
      </w:r>
    </w:p>
    <w:p w14:paraId="28DDCABA" w14:textId="77777777" w:rsidR="00514E48" w:rsidRPr="00142305" w:rsidRDefault="00514E48" w:rsidP="00514E4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результате от установки Дер-13 под крылом отказались. Переход на комплект из двух Дер-7 и двух Дер-13 резко уменьшал бомбовую нагрузку при подвеске мелких бомб: на балки Дер-13 они вообще не могли подвешиваться. Кроме того, неудачная конструкция проводки тросиков привела к очень большому усилию на ручке механическо</w:t>
      </w:r>
      <w:r w:rsidRPr="00142305">
        <w:rPr>
          <w:rFonts w:ascii="Times New Roman" w:hAnsi="Times New Roman"/>
          <w:color w:val="0070C0"/>
          <w:sz w:val="16"/>
          <w:szCs w:val="16"/>
        </w:rPr>
        <w:softHyphen/>
        <w:t>го сбрасывателя. Летнабу приходилось тянуть ее двумя ру</w:t>
      </w:r>
      <w:r w:rsidRPr="00142305">
        <w:rPr>
          <w:rFonts w:ascii="Times New Roman" w:hAnsi="Times New Roman"/>
          <w:color w:val="0070C0"/>
          <w:sz w:val="16"/>
          <w:szCs w:val="16"/>
        </w:rPr>
        <w:softHyphen/>
        <w:t>ками. Остальные нововведения были одобрены (24990).</w:t>
      </w:r>
    </w:p>
    <w:p w14:paraId="5FB70887" w14:textId="77777777" w:rsidR="00514E48" w:rsidRPr="00142305" w:rsidRDefault="00514E48" w:rsidP="00514E48">
      <w:pPr>
        <w:spacing w:after="0" w:line="240" w:lineRule="auto"/>
        <w:jc w:val="both"/>
        <w:rPr>
          <w:rFonts w:ascii="Times New Roman" w:hAnsi="Times New Roman"/>
          <w:color w:val="0070C0"/>
          <w:sz w:val="16"/>
          <w:szCs w:val="16"/>
        </w:rPr>
      </w:pPr>
    </w:p>
    <w:p w14:paraId="0E93C6C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ноября 1931 ПРОТОКОЛ совещания по вопросу о программе летных испытаний сам. И-5 от 15/Х1-31 г.</w:t>
      </w:r>
    </w:p>
    <w:p w14:paraId="563E6AA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ПРИСУТСТВУЮТ: от 132 секции Поликарпов, Фомин, Гиммельфарб,</w:t>
      </w:r>
    </w:p>
    <w:p w14:paraId="338E941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 112 Гончаров, Остославский.</w:t>
      </w:r>
    </w:p>
    <w:p w14:paraId="7FD4D14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Установить полную программу испытаний для данного самолета в следующем объеме:</w:t>
      </w:r>
    </w:p>
    <w:p w14:paraId="226DB29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Километраж</w:t>
      </w:r>
    </w:p>
    <w:p w14:paraId="65681E7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Скоропод"емность на 5000 м.</w:t>
      </w:r>
    </w:p>
    <w:p w14:paraId="6664D6F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Маневренности вираж, восьмерка, бочка, штопор.</w:t>
      </w:r>
    </w:p>
    <w:p w14:paraId="45980D5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Замер посадочной скорости, разбега и пробега.</w:t>
      </w:r>
    </w:p>
    <w:p w14:paraId="75437D6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 Снятие поляры в полете.</w:t>
      </w:r>
    </w:p>
    <w:p w14:paraId="392E628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Считать необходимым произвести испытание по полной про</w:t>
      </w:r>
      <w:r w:rsidRPr="005E779E">
        <w:rPr>
          <w:rFonts w:ascii="Times New Roman" w:hAnsi="Times New Roman"/>
          <w:color w:val="000000" w:themeColor="text1"/>
          <w:sz w:val="16"/>
          <w:szCs w:val="16"/>
        </w:rPr>
        <w:softHyphen/>
        <w:t>грамме для нормального серийного самолета, каковой в дальнейшем выделить в распоряжение 132 секции на все- время испытаний.</w:t>
      </w:r>
    </w:p>
    <w:p w14:paraId="4386E95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Для учета и исчерпывающей оценки влияния отдельных фак</w:t>
      </w:r>
      <w:r w:rsidRPr="005E779E">
        <w:rPr>
          <w:rFonts w:ascii="Times New Roman" w:hAnsi="Times New Roman"/>
          <w:color w:val="000000" w:themeColor="text1"/>
          <w:sz w:val="16"/>
          <w:szCs w:val="16"/>
        </w:rPr>
        <w:softHyphen/>
        <w:t>торов считать необходимым произвести испытания только на километ раж- самолета со следующими изменениями /с каждым в отдельности/.</w:t>
      </w:r>
    </w:p>
    <w:p w14:paraId="29B200E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С новыми колесами 700x100»</w:t>
      </w:r>
    </w:p>
    <w:p w14:paraId="2CD9590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То же с обтекателями на колесах.</w:t>
      </w:r>
    </w:p>
    <w:p w14:paraId="2939942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То же с улучшенным обтекателем оси.</w:t>
      </w:r>
    </w:p>
    <w:p w14:paraId="20F6370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С заделанным щелями и неровностями фюзеляжа /дверцы, уступы и т.д./</w:t>
      </w:r>
    </w:p>
    <w:p w14:paraId="20A9AF4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С кольцом Тауненда, для чего взять лучший из продутых в трубе Т-2 /хорда 350 мм, угол атаки - 4°/.</w:t>
      </w:r>
    </w:p>
    <w:p w14:paraId="28B534C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То те с добавлением новых индивидуальных обтекателей.</w:t>
      </w:r>
    </w:p>
    <w:p w14:paraId="4AB723F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С кольцом Тауненда с коллектором.</w:t>
      </w:r>
    </w:p>
    <w:p w14:paraId="6EEB9AD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С закрытыми- пулеметными желобами и с трубами для стрель</w:t>
      </w:r>
      <w:r w:rsidRPr="005E779E">
        <w:rPr>
          <w:rFonts w:ascii="Times New Roman" w:hAnsi="Times New Roman"/>
          <w:color w:val="000000" w:themeColor="text1"/>
          <w:sz w:val="16"/>
          <w:szCs w:val="16"/>
        </w:rPr>
        <w:softHyphen/>
        <w:t>бы.</w:t>
      </w:r>
    </w:p>
    <w:p w14:paraId="5FA0EBD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С закрытыми щелями между оперением и фюзеляжем.</w:t>
      </w:r>
    </w:p>
    <w:p w14:paraId="3B84BC7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С измененным носовым уступом /щель между коком винта и капотом мотора/.</w:t>
      </w:r>
    </w:p>
    <w:p w14:paraId="6E3F433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С улучшенным обтеканием пилотского места.</w:t>
      </w:r>
    </w:p>
    <w:p w14:paraId="0C02D6A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С улучшенным воздуховсасывающим патрубком.</w:t>
      </w:r>
    </w:p>
    <w:p w14:paraId="63F24CC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 С другими винтами /в том числе с металлическим/</w:t>
      </w:r>
    </w:p>
    <w:p w14:paraId="6178C61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 После отдельных испытаний произвести испытание по пол</w:t>
      </w:r>
      <w:r w:rsidRPr="005E779E">
        <w:rPr>
          <w:rFonts w:ascii="Times New Roman" w:hAnsi="Times New Roman"/>
          <w:color w:val="000000" w:themeColor="text1"/>
          <w:sz w:val="16"/>
          <w:szCs w:val="16"/>
        </w:rPr>
        <w:softHyphen/>
        <w:t>юй программе со всеми изменениями пунктов 4-16 одновременно.</w:t>
      </w:r>
    </w:p>
    <w:p w14:paraId="715418A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Испытать по полной программе самолет с крыльями из</w:t>
      </w:r>
      <w:r w:rsidRPr="005E779E">
        <w:rPr>
          <w:rFonts w:ascii="Times New Roman" w:hAnsi="Times New Roman"/>
          <w:color w:val="000000" w:themeColor="text1"/>
          <w:sz w:val="16"/>
          <w:szCs w:val="16"/>
        </w:rPr>
        <w:softHyphen/>
        <w:t>мененного профиля и со всеми изменениями пунктов 4-16.</w:t>
      </w:r>
    </w:p>
    <w:p w14:paraId="42419BC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 Для успешного проведения испытаний и переделок орга</w:t>
      </w:r>
      <w:r w:rsidRPr="005E779E">
        <w:rPr>
          <w:rFonts w:ascii="Times New Roman" w:hAnsi="Times New Roman"/>
          <w:color w:val="000000" w:themeColor="text1"/>
          <w:sz w:val="16"/>
          <w:szCs w:val="16"/>
        </w:rPr>
        <w:softHyphen/>
        <w:t>низовать сквозную бригаду в составе представителей от 132 сек</w:t>
      </w:r>
      <w:r w:rsidRPr="005E779E">
        <w:rPr>
          <w:rFonts w:ascii="Times New Roman" w:hAnsi="Times New Roman"/>
          <w:color w:val="000000" w:themeColor="text1"/>
          <w:sz w:val="16"/>
          <w:szCs w:val="16"/>
        </w:rPr>
        <w:softHyphen/>
        <w:t>ции Поликарпов, Фомин, Гиммельфарб, от 112 секции: Гончаров, Остославский, от ЛИС, от секции испытаний в натуру Тайц и от производства</w:t>
      </w:r>
    </w:p>
    <w:p w14:paraId="6A01D94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Все испытания вести на одном и тон же полетном весе.</w:t>
      </w:r>
    </w:p>
    <w:p w14:paraId="63F8D37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D5DDFD" w14:textId="77777777" w:rsidR="00513C11" w:rsidRPr="005E779E" w:rsidRDefault="00513C11"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15 ноября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Протокол заседания Политбюро ЦК ВКП(б) № 75. Опросом членов ПБ от 15 ноября 1931 г. 59/27. О самолетостроении (Гольцман). — ОП. Постановили: подтвердить постановление Комиссии обороны о производстве ВОГВФ 100 стальных самолетов в 1932 г. (Политбюро... Т. 2. С. 240, 242; РГАСПИ. Ф. 17. Оп. 162. Д. 11. Л. 48) (12416).</w:t>
      </w:r>
    </w:p>
    <w:p w14:paraId="36B2179D" w14:textId="77777777" w:rsidR="00513C11" w:rsidRPr="005E779E" w:rsidRDefault="00513C11" w:rsidP="000B7A6C">
      <w:pPr>
        <w:spacing w:after="0" w:line="240" w:lineRule="auto"/>
        <w:jc w:val="both"/>
        <w:rPr>
          <w:rFonts w:ascii="Times New Roman" w:hAnsi="Times New Roman"/>
          <w:color w:val="000000" w:themeColor="text1"/>
          <w:sz w:val="16"/>
          <w:szCs w:val="16"/>
          <w:u w:color="002060"/>
        </w:rPr>
      </w:pPr>
    </w:p>
    <w:p w14:paraId="6940C0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ноября 1931 года начальник бомбардировочного отделения НИИ ВВС Карташев подготовил Сведения о бомбах и взрывателях прошедших испытания в 4-м отделе НИИ ВВС с 20 ноября 1930 года по 15 ноября 1931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4484"/>
        <w:gridCol w:w="2887"/>
      </w:tblGrid>
      <w:tr w:rsidR="001002C3" w:rsidRPr="005E779E" w14:paraId="2DFD8810" w14:textId="77777777">
        <w:tc>
          <w:tcPr>
            <w:tcW w:w="3652" w:type="dxa"/>
          </w:tcPr>
          <w:p w14:paraId="742C49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Объект испытания</w:t>
            </w:r>
          </w:p>
        </w:tc>
        <w:tc>
          <w:tcPr>
            <w:tcW w:w="4484" w:type="dxa"/>
          </w:tcPr>
          <w:p w14:paraId="6216E8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Дата испытания</w:t>
            </w:r>
          </w:p>
        </w:tc>
        <w:tc>
          <w:tcPr>
            <w:tcW w:w="2887" w:type="dxa"/>
          </w:tcPr>
          <w:p w14:paraId="23EBF4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Результаты испытания</w:t>
            </w:r>
          </w:p>
        </w:tc>
      </w:tr>
      <w:tr w:rsidR="001002C3" w:rsidRPr="005E779E" w14:paraId="0ECB6216" w14:textId="77777777">
        <w:tc>
          <w:tcPr>
            <w:tcW w:w="3652" w:type="dxa"/>
          </w:tcPr>
          <w:p w14:paraId="725987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Сравнительные испытания 50 и 48 кг бомб</w:t>
            </w:r>
          </w:p>
        </w:tc>
        <w:tc>
          <w:tcPr>
            <w:tcW w:w="4484" w:type="dxa"/>
          </w:tcPr>
          <w:p w14:paraId="6FA7BB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мая - 8 июня 1931 г.</w:t>
            </w:r>
          </w:p>
        </w:tc>
        <w:tc>
          <w:tcPr>
            <w:tcW w:w="2887" w:type="dxa"/>
          </w:tcPr>
          <w:p w14:paraId="10C5C9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Обе бомбы годятся для бомбометания по легким</w:t>
            </w:r>
          </w:p>
        </w:tc>
      </w:tr>
      <w:tr w:rsidR="001002C3" w:rsidRPr="005E779E" w14:paraId="65810581" w14:textId="77777777">
        <w:tc>
          <w:tcPr>
            <w:tcW w:w="3652" w:type="dxa"/>
          </w:tcPr>
          <w:p w14:paraId="2B7EA3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484" w:type="dxa"/>
          </w:tcPr>
          <w:p w14:paraId="344AF1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887" w:type="dxa"/>
          </w:tcPr>
          <w:p w14:paraId="3A18D3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деревянным перекрытиям</w:t>
            </w:r>
          </w:p>
        </w:tc>
      </w:tr>
      <w:tr w:rsidR="001002C3" w:rsidRPr="005E779E" w14:paraId="59B4492D" w14:textId="77777777">
        <w:tc>
          <w:tcPr>
            <w:tcW w:w="3652" w:type="dxa"/>
          </w:tcPr>
          <w:p w14:paraId="21BD17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 кг фуг. Бомба марки "Д"</w:t>
            </w:r>
          </w:p>
        </w:tc>
        <w:tc>
          <w:tcPr>
            <w:tcW w:w="4484" w:type="dxa"/>
          </w:tcPr>
          <w:p w14:paraId="6E2865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мая - 8 июня 1931 г.</w:t>
            </w:r>
          </w:p>
        </w:tc>
        <w:tc>
          <w:tcPr>
            <w:tcW w:w="2887" w:type="dxa"/>
          </w:tcPr>
          <w:p w14:paraId="1ED7D9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Неудовлетворительна</w:t>
            </w:r>
          </w:p>
        </w:tc>
      </w:tr>
      <w:tr w:rsidR="001002C3" w:rsidRPr="005E779E" w14:paraId="4F67A620" w14:textId="77777777">
        <w:tc>
          <w:tcPr>
            <w:tcW w:w="3652" w:type="dxa"/>
          </w:tcPr>
          <w:p w14:paraId="746820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 кг фуг. Бомба</w:t>
            </w:r>
          </w:p>
        </w:tc>
        <w:tc>
          <w:tcPr>
            <w:tcW w:w="4484" w:type="dxa"/>
          </w:tcPr>
          <w:p w14:paraId="59B026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мая - 8 июня 1931 г.</w:t>
            </w:r>
          </w:p>
        </w:tc>
        <w:tc>
          <w:tcPr>
            <w:tcW w:w="2887" w:type="dxa"/>
          </w:tcPr>
          <w:p w14:paraId="55C3B0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Удовлетворительна</w:t>
            </w:r>
          </w:p>
        </w:tc>
      </w:tr>
      <w:tr w:rsidR="001002C3" w:rsidRPr="005E779E" w14:paraId="3384B0F2" w14:textId="77777777">
        <w:tc>
          <w:tcPr>
            <w:tcW w:w="3652" w:type="dxa"/>
          </w:tcPr>
          <w:p w14:paraId="565D09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 кг фуг. Бомба с широк. Стабилиз.</w:t>
            </w:r>
          </w:p>
        </w:tc>
        <w:tc>
          <w:tcPr>
            <w:tcW w:w="4484" w:type="dxa"/>
          </w:tcPr>
          <w:p w14:paraId="4A47C7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мая - 8 июня 1931 г.</w:t>
            </w:r>
          </w:p>
        </w:tc>
        <w:tc>
          <w:tcPr>
            <w:tcW w:w="2887" w:type="dxa"/>
          </w:tcPr>
          <w:p w14:paraId="3EC1FF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Удовлетворительна</w:t>
            </w:r>
          </w:p>
        </w:tc>
      </w:tr>
      <w:tr w:rsidR="001002C3" w:rsidRPr="005E779E" w14:paraId="3351D07B" w14:textId="77777777">
        <w:tc>
          <w:tcPr>
            <w:tcW w:w="3652" w:type="dxa"/>
          </w:tcPr>
          <w:p w14:paraId="0484F9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Подбор наивыгоднейшего замедления к</w:t>
            </w:r>
          </w:p>
        </w:tc>
        <w:tc>
          <w:tcPr>
            <w:tcW w:w="4484" w:type="dxa"/>
          </w:tcPr>
          <w:p w14:paraId="7C541A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887" w:type="dxa"/>
          </w:tcPr>
          <w:p w14:paraId="4188AC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B5345FB" w14:textId="77777777">
        <w:tc>
          <w:tcPr>
            <w:tcW w:w="3652" w:type="dxa"/>
          </w:tcPr>
          <w:p w14:paraId="64B7DE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фуг. бомбе 20 кг</w:t>
            </w:r>
          </w:p>
        </w:tc>
        <w:tc>
          <w:tcPr>
            <w:tcW w:w="4484" w:type="dxa"/>
          </w:tcPr>
          <w:p w14:paraId="7CD7B4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мая - 8 июня 1931 г.</w:t>
            </w:r>
          </w:p>
        </w:tc>
        <w:tc>
          <w:tcPr>
            <w:tcW w:w="2887" w:type="dxa"/>
          </w:tcPr>
          <w:p w14:paraId="7A3055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Бомба хороша для действия против полевых бетонных</w:t>
            </w:r>
          </w:p>
        </w:tc>
      </w:tr>
      <w:tr w:rsidR="001002C3" w:rsidRPr="005E779E" w14:paraId="361B4C7E" w14:textId="77777777">
        <w:tc>
          <w:tcPr>
            <w:tcW w:w="3652" w:type="dxa"/>
          </w:tcPr>
          <w:p w14:paraId="34B085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484" w:type="dxa"/>
          </w:tcPr>
          <w:p w14:paraId="72F7A4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887" w:type="dxa"/>
          </w:tcPr>
          <w:p w14:paraId="216EE3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сооружений</w:t>
            </w:r>
          </w:p>
        </w:tc>
      </w:tr>
      <w:tr w:rsidR="001002C3" w:rsidRPr="005E779E" w14:paraId="17D1B60A" w14:textId="77777777">
        <w:tc>
          <w:tcPr>
            <w:tcW w:w="3652" w:type="dxa"/>
          </w:tcPr>
          <w:p w14:paraId="50525C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Головные взрыватели Вишнев. С замедлен.</w:t>
            </w:r>
          </w:p>
        </w:tc>
        <w:tc>
          <w:tcPr>
            <w:tcW w:w="4484" w:type="dxa"/>
          </w:tcPr>
          <w:p w14:paraId="02A74B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мая - 8 июня 1931 г.</w:t>
            </w:r>
          </w:p>
        </w:tc>
        <w:tc>
          <w:tcPr>
            <w:tcW w:w="2887" w:type="dxa"/>
          </w:tcPr>
          <w:p w14:paraId="67147B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Неудовлетворительна</w:t>
            </w:r>
          </w:p>
        </w:tc>
      </w:tr>
      <w:tr w:rsidR="001002C3" w:rsidRPr="005E779E" w14:paraId="247B32D8" w14:textId="77777777">
        <w:tc>
          <w:tcPr>
            <w:tcW w:w="3652" w:type="dxa"/>
          </w:tcPr>
          <w:p w14:paraId="634169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Головн. Взрыватели с переменным до 30</w:t>
            </w:r>
          </w:p>
        </w:tc>
        <w:tc>
          <w:tcPr>
            <w:tcW w:w="4484" w:type="dxa"/>
          </w:tcPr>
          <w:p w14:paraId="5F74C6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мая - 8 июня 1931 г.</w:t>
            </w:r>
          </w:p>
        </w:tc>
        <w:tc>
          <w:tcPr>
            <w:tcW w:w="2887" w:type="dxa"/>
          </w:tcPr>
          <w:p w14:paraId="1E00EC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Необходимо доработать</w:t>
            </w:r>
          </w:p>
        </w:tc>
      </w:tr>
      <w:tr w:rsidR="001002C3" w:rsidRPr="005E779E" w14:paraId="302A53CA" w14:textId="77777777">
        <w:tc>
          <w:tcPr>
            <w:tcW w:w="3652" w:type="dxa"/>
          </w:tcPr>
          <w:p w14:paraId="255A5E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сек. Замедлением типа АГП</w:t>
            </w:r>
          </w:p>
        </w:tc>
        <w:tc>
          <w:tcPr>
            <w:tcW w:w="4484" w:type="dxa"/>
          </w:tcPr>
          <w:p w14:paraId="16D949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887" w:type="dxa"/>
          </w:tcPr>
          <w:p w14:paraId="28E9E6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1C2CB32" w14:textId="77777777">
        <w:tc>
          <w:tcPr>
            <w:tcW w:w="3652" w:type="dxa"/>
          </w:tcPr>
          <w:p w14:paraId="62DD3D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Мины Батинваля</w:t>
            </w:r>
          </w:p>
        </w:tc>
        <w:tc>
          <w:tcPr>
            <w:tcW w:w="4484" w:type="dxa"/>
          </w:tcPr>
          <w:p w14:paraId="5C8E59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 августа 1931 года</w:t>
            </w:r>
          </w:p>
        </w:tc>
        <w:tc>
          <w:tcPr>
            <w:tcW w:w="2887" w:type="dxa"/>
          </w:tcPr>
          <w:p w14:paraId="5C07C9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Допустить на войсковые испытания при условии</w:t>
            </w:r>
          </w:p>
        </w:tc>
      </w:tr>
      <w:tr w:rsidR="001002C3" w:rsidRPr="005E779E" w14:paraId="79282C00" w14:textId="77777777">
        <w:tc>
          <w:tcPr>
            <w:tcW w:w="3652" w:type="dxa"/>
          </w:tcPr>
          <w:p w14:paraId="18F9FB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4484" w:type="dxa"/>
          </w:tcPr>
          <w:p w14:paraId="492F82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887" w:type="dxa"/>
          </w:tcPr>
          <w:p w14:paraId="3EB321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удлинения стабил. на 30 мм</w:t>
            </w:r>
          </w:p>
        </w:tc>
      </w:tr>
      <w:tr w:rsidR="001002C3" w:rsidRPr="005E779E" w14:paraId="44CB35D4" w14:textId="77777777">
        <w:tc>
          <w:tcPr>
            <w:tcW w:w="3652" w:type="dxa"/>
          </w:tcPr>
          <w:p w14:paraId="152CE5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Снаряжение 250 кг фуг. бомб. (50%</w:t>
            </w:r>
          </w:p>
        </w:tc>
        <w:tc>
          <w:tcPr>
            <w:tcW w:w="4484" w:type="dxa"/>
          </w:tcPr>
          <w:p w14:paraId="7675CF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887" w:type="dxa"/>
          </w:tcPr>
          <w:p w14:paraId="20A3BE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86CB3A1" w14:textId="77777777">
        <w:tc>
          <w:tcPr>
            <w:tcW w:w="3652" w:type="dxa"/>
          </w:tcPr>
          <w:p w14:paraId="42DCCE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аммиачн. селитры и 50% тротила)</w:t>
            </w:r>
          </w:p>
        </w:tc>
        <w:tc>
          <w:tcPr>
            <w:tcW w:w="4484" w:type="dxa"/>
          </w:tcPr>
          <w:p w14:paraId="2BE6E4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 августа 1931 года</w:t>
            </w:r>
          </w:p>
        </w:tc>
        <w:tc>
          <w:tcPr>
            <w:tcW w:w="2887" w:type="dxa"/>
          </w:tcPr>
          <w:p w14:paraId="53D39E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Неудовлетворительна</w:t>
            </w:r>
          </w:p>
        </w:tc>
      </w:tr>
      <w:tr w:rsidR="001002C3" w:rsidRPr="005E779E" w14:paraId="0AEE6FF1" w14:textId="77777777">
        <w:tc>
          <w:tcPr>
            <w:tcW w:w="3652" w:type="dxa"/>
          </w:tcPr>
          <w:p w14:paraId="7D3428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 кг фуг. Бомба</w:t>
            </w:r>
          </w:p>
        </w:tc>
        <w:tc>
          <w:tcPr>
            <w:tcW w:w="4484" w:type="dxa"/>
          </w:tcPr>
          <w:p w14:paraId="550321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января 1931 года</w:t>
            </w:r>
          </w:p>
        </w:tc>
        <w:tc>
          <w:tcPr>
            <w:tcW w:w="2887" w:type="dxa"/>
          </w:tcPr>
          <w:p w14:paraId="7430B0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Удовлетворительна</w:t>
            </w:r>
          </w:p>
        </w:tc>
      </w:tr>
      <w:tr w:rsidR="001002C3" w:rsidRPr="005E779E" w14:paraId="67D19F71" w14:textId="77777777">
        <w:tc>
          <w:tcPr>
            <w:tcW w:w="3652" w:type="dxa"/>
          </w:tcPr>
          <w:p w14:paraId="784938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кг хим. Бомба</w:t>
            </w:r>
          </w:p>
        </w:tc>
        <w:tc>
          <w:tcPr>
            <w:tcW w:w="4484" w:type="dxa"/>
          </w:tcPr>
          <w:p w14:paraId="2C114E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апреля 1931 года</w:t>
            </w:r>
          </w:p>
        </w:tc>
        <w:tc>
          <w:tcPr>
            <w:tcW w:w="2887" w:type="dxa"/>
          </w:tcPr>
          <w:p w14:paraId="2EFE2B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Удовлетворительна</w:t>
            </w:r>
          </w:p>
        </w:tc>
      </w:tr>
      <w:tr w:rsidR="001002C3" w:rsidRPr="005E779E" w14:paraId="6A413F91" w14:textId="77777777">
        <w:tc>
          <w:tcPr>
            <w:tcW w:w="3652" w:type="dxa"/>
          </w:tcPr>
          <w:p w14:paraId="6FDE8F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Полнота взрыва бомбы валового</w:t>
            </w:r>
          </w:p>
        </w:tc>
        <w:tc>
          <w:tcPr>
            <w:tcW w:w="4484" w:type="dxa"/>
          </w:tcPr>
          <w:p w14:paraId="482236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887" w:type="dxa"/>
          </w:tcPr>
          <w:p w14:paraId="638116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AEF61E0" w14:textId="77777777">
        <w:tc>
          <w:tcPr>
            <w:tcW w:w="3652" w:type="dxa"/>
          </w:tcPr>
          <w:p w14:paraId="643095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изготовления марки АО8-М2 с </w:t>
            </w:r>
          </w:p>
        </w:tc>
        <w:tc>
          <w:tcPr>
            <w:tcW w:w="4484" w:type="dxa"/>
          </w:tcPr>
          <w:p w14:paraId="36DDE1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887" w:type="dxa"/>
          </w:tcPr>
          <w:p w14:paraId="791377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40998EE" w14:textId="77777777">
        <w:tc>
          <w:tcPr>
            <w:tcW w:w="3652" w:type="dxa"/>
          </w:tcPr>
          <w:p w14:paraId="4C8AD2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взрыват. АГМ-1</w:t>
            </w:r>
          </w:p>
        </w:tc>
        <w:tc>
          <w:tcPr>
            <w:tcW w:w="4484" w:type="dxa"/>
          </w:tcPr>
          <w:p w14:paraId="04B94E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апреля 1931 года</w:t>
            </w:r>
          </w:p>
        </w:tc>
        <w:tc>
          <w:tcPr>
            <w:tcW w:w="2887" w:type="dxa"/>
          </w:tcPr>
          <w:p w14:paraId="541065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Удовлетворительна</w:t>
            </w:r>
          </w:p>
        </w:tc>
      </w:tr>
      <w:tr w:rsidR="001002C3" w:rsidRPr="005E779E" w14:paraId="2F56ABB4" w14:textId="77777777">
        <w:tc>
          <w:tcPr>
            <w:tcW w:w="3652" w:type="dxa"/>
          </w:tcPr>
          <w:p w14:paraId="4F3C90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кг светящие бомбы</w:t>
            </w:r>
          </w:p>
        </w:tc>
        <w:tc>
          <w:tcPr>
            <w:tcW w:w="4484" w:type="dxa"/>
          </w:tcPr>
          <w:p w14:paraId="619052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 сентября 1931 года</w:t>
            </w:r>
          </w:p>
        </w:tc>
        <w:tc>
          <w:tcPr>
            <w:tcW w:w="2887" w:type="dxa"/>
          </w:tcPr>
          <w:p w14:paraId="78BABF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Неудовлетворительна</w:t>
            </w:r>
          </w:p>
        </w:tc>
      </w:tr>
      <w:tr w:rsidR="001002C3" w:rsidRPr="005E779E" w14:paraId="525F9873" w14:textId="77777777">
        <w:tc>
          <w:tcPr>
            <w:tcW w:w="3652" w:type="dxa"/>
          </w:tcPr>
          <w:p w14:paraId="2B05E9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Осветительные горящие на земле бомбы</w:t>
            </w:r>
          </w:p>
        </w:tc>
        <w:tc>
          <w:tcPr>
            <w:tcW w:w="4484" w:type="dxa"/>
          </w:tcPr>
          <w:p w14:paraId="1CEE61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ноября 1930 года</w:t>
            </w:r>
          </w:p>
        </w:tc>
        <w:tc>
          <w:tcPr>
            <w:tcW w:w="2887" w:type="dxa"/>
          </w:tcPr>
          <w:p w14:paraId="0018CC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Неудовлетворительна</w:t>
            </w:r>
          </w:p>
        </w:tc>
      </w:tr>
      <w:tr w:rsidR="001002C3" w:rsidRPr="005E779E" w14:paraId="6D003BCD" w14:textId="77777777">
        <w:tc>
          <w:tcPr>
            <w:tcW w:w="3652" w:type="dxa"/>
          </w:tcPr>
          <w:p w14:paraId="386843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32 кг фуг. бомбы снаряженные</w:t>
            </w:r>
          </w:p>
        </w:tc>
        <w:tc>
          <w:tcPr>
            <w:tcW w:w="4484" w:type="dxa"/>
          </w:tcPr>
          <w:p w14:paraId="12E9D7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887" w:type="dxa"/>
          </w:tcPr>
          <w:p w14:paraId="2FFF37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0061BFB" w14:textId="77777777">
        <w:tc>
          <w:tcPr>
            <w:tcW w:w="3652" w:type="dxa"/>
          </w:tcPr>
          <w:p w14:paraId="3D032A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82% амселитры и 18% кселила</w:t>
            </w:r>
          </w:p>
        </w:tc>
        <w:tc>
          <w:tcPr>
            <w:tcW w:w="4484" w:type="dxa"/>
          </w:tcPr>
          <w:p w14:paraId="3D88E4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887" w:type="dxa"/>
          </w:tcPr>
          <w:p w14:paraId="47AFD8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Неудовлетворительна</w:t>
            </w:r>
          </w:p>
        </w:tc>
      </w:tr>
      <w:tr w:rsidR="001002C3" w:rsidRPr="005E779E" w14:paraId="157896AE" w14:textId="77777777">
        <w:tc>
          <w:tcPr>
            <w:tcW w:w="3652" w:type="dxa"/>
          </w:tcPr>
          <w:p w14:paraId="456C44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80% амселитры и 20% тротила</w:t>
            </w:r>
          </w:p>
        </w:tc>
        <w:tc>
          <w:tcPr>
            <w:tcW w:w="4484" w:type="dxa"/>
          </w:tcPr>
          <w:p w14:paraId="659C07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октября 1931 года</w:t>
            </w:r>
          </w:p>
        </w:tc>
        <w:tc>
          <w:tcPr>
            <w:tcW w:w="2887" w:type="dxa"/>
          </w:tcPr>
          <w:p w14:paraId="2DE3C1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Удовлетворительна</w:t>
            </w:r>
          </w:p>
        </w:tc>
      </w:tr>
      <w:tr w:rsidR="001002C3" w:rsidRPr="005E779E" w14:paraId="0882A40E" w14:textId="77777777">
        <w:tc>
          <w:tcPr>
            <w:tcW w:w="3652" w:type="dxa"/>
          </w:tcPr>
          <w:p w14:paraId="4E3945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Флегматизация ВВ бомб</w:t>
            </w:r>
          </w:p>
        </w:tc>
        <w:tc>
          <w:tcPr>
            <w:tcW w:w="4484" w:type="dxa"/>
          </w:tcPr>
          <w:p w14:paraId="061B44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октября 1931 года</w:t>
            </w:r>
          </w:p>
        </w:tc>
        <w:tc>
          <w:tcPr>
            <w:tcW w:w="2887" w:type="dxa"/>
          </w:tcPr>
          <w:p w14:paraId="5F317C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Работу нельзя считать законченной</w:t>
            </w:r>
          </w:p>
        </w:tc>
      </w:tr>
      <w:tr w:rsidR="001002C3" w:rsidRPr="005E779E" w14:paraId="70238075" w14:textId="77777777">
        <w:tc>
          <w:tcPr>
            <w:tcW w:w="3652" w:type="dxa"/>
          </w:tcPr>
          <w:p w14:paraId="16DC67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Взрыватель АГМ-1 из черн. металла</w:t>
            </w:r>
          </w:p>
        </w:tc>
        <w:tc>
          <w:tcPr>
            <w:tcW w:w="4484" w:type="dxa"/>
          </w:tcPr>
          <w:p w14:paraId="20711A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сентября 1931 года</w:t>
            </w:r>
          </w:p>
        </w:tc>
        <w:tc>
          <w:tcPr>
            <w:tcW w:w="2887" w:type="dxa"/>
          </w:tcPr>
          <w:p w14:paraId="2E117E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Удовлетворительна</w:t>
            </w:r>
          </w:p>
        </w:tc>
      </w:tr>
      <w:tr w:rsidR="001002C3" w:rsidRPr="005E779E" w14:paraId="2C43A760" w14:textId="77777777">
        <w:tc>
          <w:tcPr>
            <w:tcW w:w="3652" w:type="dxa"/>
          </w:tcPr>
          <w:p w14:paraId="1D03F4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Взрыватель АГПВ (авиац. головы</w:t>
            </w:r>
          </w:p>
        </w:tc>
        <w:tc>
          <w:tcPr>
            <w:tcW w:w="4484" w:type="dxa"/>
          </w:tcPr>
          <w:p w14:paraId="3BB85C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887" w:type="dxa"/>
          </w:tcPr>
          <w:p w14:paraId="2AD444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F9DFD67" w14:textId="77777777">
        <w:tc>
          <w:tcPr>
            <w:tcW w:w="3652" w:type="dxa"/>
          </w:tcPr>
          <w:p w14:paraId="3A78E2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перемен. замедл. Вишневского)</w:t>
            </w:r>
          </w:p>
        </w:tc>
        <w:tc>
          <w:tcPr>
            <w:tcW w:w="4484" w:type="dxa"/>
          </w:tcPr>
          <w:p w14:paraId="4AA911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августа 1931 года</w:t>
            </w:r>
          </w:p>
        </w:tc>
        <w:tc>
          <w:tcPr>
            <w:tcW w:w="2887" w:type="dxa"/>
          </w:tcPr>
          <w:p w14:paraId="530987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Проверить на большем количестве образцов</w:t>
            </w:r>
          </w:p>
        </w:tc>
      </w:tr>
      <w:tr w:rsidR="001002C3" w:rsidRPr="005E779E" w14:paraId="27011A6A" w14:textId="77777777">
        <w:tc>
          <w:tcPr>
            <w:tcW w:w="3652" w:type="dxa"/>
          </w:tcPr>
          <w:p w14:paraId="5B0F1B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Взрыватели АДЗ упрощ. конструкции</w:t>
            </w:r>
          </w:p>
        </w:tc>
        <w:tc>
          <w:tcPr>
            <w:tcW w:w="4484" w:type="dxa"/>
          </w:tcPr>
          <w:p w14:paraId="6DAC66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887" w:type="dxa"/>
          </w:tcPr>
          <w:p w14:paraId="09DE0F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7A7416C" w14:textId="77777777">
        <w:tc>
          <w:tcPr>
            <w:tcW w:w="3652" w:type="dxa"/>
          </w:tcPr>
          <w:p w14:paraId="705F18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Стафеева</w:t>
            </w:r>
          </w:p>
        </w:tc>
        <w:tc>
          <w:tcPr>
            <w:tcW w:w="4484" w:type="dxa"/>
          </w:tcPr>
          <w:p w14:paraId="0B4EA2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августа 1931 года</w:t>
            </w:r>
          </w:p>
        </w:tc>
        <w:tc>
          <w:tcPr>
            <w:tcW w:w="2887" w:type="dxa"/>
          </w:tcPr>
          <w:p w14:paraId="62CAC2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Принять на вооружение</w:t>
            </w:r>
          </w:p>
        </w:tc>
      </w:tr>
      <w:tr w:rsidR="001002C3" w:rsidRPr="005E779E" w14:paraId="167F3188" w14:textId="77777777">
        <w:tc>
          <w:tcPr>
            <w:tcW w:w="3652" w:type="dxa"/>
          </w:tcPr>
          <w:p w14:paraId="06859A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Главный взрыв. Вишневского без</w:t>
            </w:r>
          </w:p>
        </w:tc>
        <w:tc>
          <w:tcPr>
            <w:tcW w:w="4484" w:type="dxa"/>
          </w:tcPr>
          <w:p w14:paraId="4E750D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887" w:type="dxa"/>
          </w:tcPr>
          <w:p w14:paraId="7B8ACA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BDA9645" w14:textId="77777777">
        <w:tc>
          <w:tcPr>
            <w:tcW w:w="3652" w:type="dxa"/>
          </w:tcPr>
          <w:p w14:paraId="289BEE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замедл. и с замедлит.</w:t>
            </w:r>
          </w:p>
        </w:tc>
        <w:tc>
          <w:tcPr>
            <w:tcW w:w="4484" w:type="dxa"/>
          </w:tcPr>
          <w:p w14:paraId="010CD7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мая 1931 года</w:t>
            </w:r>
          </w:p>
        </w:tc>
        <w:tc>
          <w:tcPr>
            <w:tcW w:w="2887" w:type="dxa"/>
          </w:tcPr>
          <w:p w14:paraId="64B697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Допустить к войсковым испытаниям</w:t>
            </w:r>
          </w:p>
        </w:tc>
      </w:tr>
      <w:tr w:rsidR="001002C3" w:rsidRPr="005E779E" w14:paraId="7B15295B" w14:textId="77777777">
        <w:tc>
          <w:tcPr>
            <w:tcW w:w="3652" w:type="dxa"/>
          </w:tcPr>
          <w:p w14:paraId="1BC3AA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Предвар. испытания головного</w:t>
            </w:r>
          </w:p>
        </w:tc>
        <w:tc>
          <w:tcPr>
            <w:tcW w:w="4484" w:type="dxa"/>
          </w:tcPr>
          <w:p w14:paraId="3C64B4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887" w:type="dxa"/>
          </w:tcPr>
          <w:p w14:paraId="7E5E19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8B12A40" w14:textId="77777777">
        <w:tc>
          <w:tcPr>
            <w:tcW w:w="3652" w:type="dxa"/>
          </w:tcPr>
          <w:p w14:paraId="75E071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взрывателя Вишневского</w:t>
            </w:r>
          </w:p>
        </w:tc>
        <w:tc>
          <w:tcPr>
            <w:tcW w:w="4484" w:type="dxa"/>
          </w:tcPr>
          <w:p w14:paraId="3E7FAA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апреля 1931 года</w:t>
            </w:r>
          </w:p>
        </w:tc>
        <w:tc>
          <w:tcPr>
            <w:tcW w:w="2887" w:type="dxa"/>
          </w:tcPr>
          <w:p w14:paraId="42C19D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Доработать</w:t>
            </w:r>
          </w:p>
        </w:tc>
      </w:tr>
      <w:tr w:rsidR="001002C3" w:rsidRPr="005E779E" w14:paraId="0F23BFE2" w14:textId="77777777">
        <w:tc>
          <w:tcPr>
            <w:tcW w:w="3652" w:type="dxa"/>
          </w:tcPr>
          <w:p w14:paraId="5FAE88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Взрыватели:</w:t>
            </w:r>
          </w:p>
        </w:tc>
        <w:tc>
          <w:tcPr>
            <w:tcW w:w="4484" w:type="dxa"/>
          </w:tcPr>
          <w:p w14:paraId="45B894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887" w:type="dxa"/>
          </w:tcPr>
          <w:p w14:paraId="552533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C414AF8" w14:textId="77777777">
        <w:tc>
          <w:tcPr>
            <w:tcW w:w="3652" w:type="dxa"/>
          </w:tcPr>
          <w:p w14:paraId="6984EB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АГД-1.П. с ветрянкой</w:t>
            </w:r>
          </w:p>
        </w:tc>
        <w:tc>
          <w:tcPr>
            <w:tcW w:w="4484" w:type="dxa"/>
          </w:tcPr>
          <w:p w14:paraId="2B5A32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887" w:type="dxa"/>
          </w:tcPr>
          <w:p w14:paraId="3E4DDD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Доработать</w:t>
            </w:r>
          </w:p>
        </w:tc>
      </w:tr>
      <w:tr w:rsidR="001002C3" w:rsidRPr="005E779E" w14:paraId="043D4E36" w14:textId="77777777">
        <w:tc>
          <w:tcPr>
            <w:tcW w:w="3652" w:type="dxa"/>
          </w:tcPr>
          <w:p w14:paraId="7FE5F0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АГД-1.П. с электрозапалом</w:t>
            </w:r>
          </w:p>
        </w:tc>
        <w:tc>
          <w:tcPr>
            <w:tcW w:w="4484" w:type="dxa"/>
          </w:tcPr>
          <w:p w14:paraId="3350C0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 апреля 1931 года</w:t>
            </w:r>
          </w:p>
        </w:tc>
        <w:tc>
          <w:tcPr>
            <w:tcW w:w="2887" w:type="dxa"/>
          </w:tcPr>
          <w:p w14:paraId="3C0418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Доработать</w:t>
            </w:r>
          </w:p>
        </w:tc>
      </w:tr>
      <w:tr w:rsidR="001002C3" w:rsidRPr="005E779E" w14:paraId="51DE95C0" w14:textId="77777777">
        <w:tc>
          <w:tcPr>
            <w:tcW w:w="3652" w:type="dxa"/>
          </w:tcPr>
          <w:p w14:paraId="3EEE28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Взрыватель АДД-0 (авиац. данн.</w:t>
            </w:r>
          </w:p>
        </w:tc>
        <w:tc>
          <w:tcPr>
            <w:tcW w:w="4484" w:type="dxa"/>
          </w:tcPr>
          <w:p w14:paraId="519D9A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2887" w:type="dxa"/>
          </w:tcPr>
          <w:p w14:paraId="263171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BEE329B" w14:textId="77777777">
        <w:tc>
          <w:tcPr>
            <w:tcW w:w="3652" w:type="dxa"/>
          </w:tcPr>
          <w:p w14:paraId="6323CA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дистанц. Остехбюро)</w:t>
            </w:r>
          </w:p>
        </w:tc>
        <w:tc>
          <w:tcPr>
            <w:tcW w:w="4484" w:type="dxa"/>
          </w:tcPr>
          <w:p w14:paraId="6F2CE0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 апреля 1931 года</w:t>
            </w:r>
          </w:p>
        </w:tc>
        <w:tc>
          <w:tcPr>
            <w:tcW w:w="2887" w:type="dxa"/>
          </w:tcPr>
          <w:p w14:paraId="27B453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Доработать</w:t>
            </w:r>
          </w:p>
        </w:tc>
      </w:tr>
      <w:tr w:rsidR="007122AB" w:rsidRPr="005E779E" w14:paraId="7BE1A18C" w14:textId="77777777">
        <w:tc>
          <w:tcPr>
            <w:tcW w:w="3652" w:type="dxa"/>
          </w:tcPr>
          <w:p w14:paraId="0C1843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Взрыватель АДП (с перем. зам.)</w:t>
            </w:r>
          </w:p>
        </w:tc>
        <w:tc>
          <w:tcPr>
            <w:tcW w:w="4484" w:type="dxa"/>
          </w:tcPr>
          <w:p w14:paraId="19EC9F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апреля 1931 года</w:t>
            </w:r>
          </w:p>
        </w:tc>
        <w:tc>
          <w:tcPr>
            <w:tcW w:w="2887" w:type="dxa"/>
          </w:tcPr>
          <w:p w14:paraId="25BA6C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Доработать (3505,203-204)</w:t>
            </w:r>
          </w:p>
        </w:tc>
      </w:tr>
    </w:tbl>
    <w:p w14:paraId="19FF6E66"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73B0050"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2D880549"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63F7DB0" w14:textId="77777777" w:rsidR="00513C11" w:rsidRPr="005E779E" w:rsidRDefault="00513C1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 ранее 15 ноября 1931 г. — Справка Комиссии обороны о выполнении постановления СТО СССР № 213сс от 14 октября 1931 г. о состоянии военно-химического дела</w:t>
      </w:r>
    </w:p>
    <w:p w14:paraId="5CC59D4E" w14:textId="77777777" w:rsidR="00513C11" w:rsidRPr="005E779E" w:rsidRDefault="00513C1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Совершенно секретно.</w:t>
      </w:r>
    </w:p>
    <w:p w14:paraId="2430A768" w14:textId="77777777" w:rsidR="00513C11" w:rsidRPr="005E779E" w:rsidRDefault="00513C1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Сырьевая база</w:t>
      </w:r>
    </w:p>
    <w:p w14:paraId="79931419" w14:textId="77777777" w:rsidR="00513C11" w:rsidRPr="005E779E" w:rsidRDefault="00513C1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Правительством было предложено обеспечить сырьевую базу внутри страны без завоза из-за границы. В частности, по хлору было предложено предусмотреть в контрольных цифрах 1932 г. новое строительство мощностью 175 тыс. т к весне 1933 г.; по фосфору — довести к 1 января 1933 г. производство до 3 тыс. т; по синильной кислоте — к 1 октября 1932 г. 1,5 тыс. т; по хлористому алюминию — к 1 октября 1932 г. мощностью на 5 тыс. т.</w:t>
      </w:r>
    </w:p>
    <w:p w14:paraId="1A7702B0" w14:textId="77777777" w:rsidR="00513C11" w:rsidRPr="005E779E" w:rsidRDefault="00513C1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справке НКВМ все эти строительства контрольными цифрами ВСНХ на 1932 г. не предусмотрены. МПС ВСНХ (т. </w:t>
      </w:r>
      <w:hyperlink r:id="rId197" w:history="1">
        <w:r w:rsidRPr="005E779E">
          <w:rPr>
            <w:rStyle w:val="a5"/>
            <w:rFonts w:ascii="Times New Roman" w:hAnsi="Times New Roman"/>
            <w:color w:val="000000" w:themeColor="text1"/>
            <w:sz w:val="16"/>
            <w:szCs w:val="16"/>
            <w:u w:val="none"/>
          </w:rPr>
          <w:t>Березницкий</w:t>
        </w:r>
      </w:hyperlink>
      <w:r w:rsidRPr="005E779E">
        <w:rPr>
          <w:rFonts w:ascii="Times New Roman" w:hAnsi="Times New Roman"/>
          <w:color w:val="000000" w:themeColor="text1"/>
          <w:sz w:val="16"/>
          <w:szCs w:val="16"/>
        </w:rPr>
        <w:t>) подтвердил этот факт. По его словам, для обеспечения заданий правительства на 1932 г. по военной химии требуется дополнительно предусмотреть к контрольным цифрам 40 млн. руб. и 2,18 млн. импорта.</w:t>
      </w:r>
    </w:p>
    <w:p w14:paraId="62AEDA4D" w14:textId="77777777" w:rsidR="00513C11" w:rsidRPr="005E779E" w:rsidRDefault="00513C1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мышьяку — программа 1931 г. сорвана, в частности по Такелийскому месторождению работы не начинались совершенно (справка НКВМ). По сере — добыча выполнения не более 25</w:t>
      </w:r>
      <w:r w:rsidRPr="005E779E">
        <w:rPr>
          <w:rFonts w:ascii="Times New Roman" w:hAnsi="Times New Roman"/>
          <w:color w:val="000000" w:themeColor="text1"/>
          <w:sz w:val="16"/>
          <w:szCs w:val="16"/>
        </w:rPr>
        <w:noBreakHyphen/>
        <w:t>30%. В Каракумах лежит не вывезенных 700 т серы. Транспорт отсутствует (несмотря на специальное указание в постановлении правительства), интенсификация разведок по Гаурданскому месторождению не осуществлена. Технология получения серы в Средней Азии не разработана (справка НКВМ).</w:t>
      </w:r>
    </w:p>
    <w:p w14:paraId="68F996EF" w14:textId="77777777" w:rsidR="00513C11" w:rsidRPr="005E779E" w:rsidRDefault="00513C1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Таким образом, решение об обеспечении независимой сырьевой базы по военной линии ни в какой мере не обеспечено.</w:t>
      </w:r>
    </w:p>
    <w:p w14:paraId="4A203C4B" w14:textId="77777777" w:rsidR="00513C11" w:rsidRPr="005E779E" w:rsidRDefault="00513C1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Конструкторские бюро</w:t>
      </w:r>
    </w:p>
    <w:p w14:paraId="51B5F18C" w14:textId="77777777" w:rsidR="00513C11" w:rsidRPr="005E779E" w:rsidRDefault="00513C1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НКВМ указывает на невыполнение и здесь решений правительства об организации конструкторских бюро и лабораторий в 2</w:t>
      </w:r>
      <w:r w:rsidRPr="005E779E">
        <w:rPr>
          <w:rFonts w:ascii="Times New Roman" w:hAnsi="Times New Roman"/>
          <w:color w:val="000000" w:themeColor="text1"/>
          <w:sz w:val="16"/>
          <w:szCs w:val="16"/>
        </w:rPr>
        <w:noBreakHyphen/>
        <w:t>месячный срок. По справке ВСНХ формально бюро созданы. Однако практическое выполнение решения правительства срывается отсутствием конструкторских кадров. НКВМ не выполнил постановления правительства о передаче 15 инженеров (срок истек 15 ноября 1931 г.).</w:t>
      </w:r>
    </w:p>
    <w:p w14:paraId="4C005BB4" w14:textId="77777777" w:rsidR="00513C11" w:rsidRPr="005E779E" w:rsidRDefault="00513C1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ВСНХ указывает, что задержки в выполнении заказов НКВМ вызываются несовершенством образцов и чертежей, поступающих от НКВМ. В частности, это отразилось на выполнении в срок заказа по осколочно-хим[ическим] снарядам (чертеж футляра оказался негодным; снаряды даются без футляров). Постановление правительства о передаче ВСНХ рецептуры по осколочно-хим[ическим] снарядам к 14 ноября 1931 г.²* НКВМ в срок не выполнено. Рецептура уже утверждена РВСС³*.</w:t>
      </w:r>
    </w:p>
    <w:p w14:paraId="44CAEC0C" w14:textId="77777777" w:rsidR="00513C11" w:rsidRPr="005E779E" w:rsidRDefault="00513C1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Ц[ентральная] лаборатория по ОВ дезорганизующего, деморализующего и коррозирующего действия создана при 1 заводе.</w:t>
      </w:r>
    </w:p>
    <w:p w14:paraId="37CE522A" w14:textId="77777777" w:rsidR="00513C11" w:rsidRPr="005E779E" w:rsidRDefault="00513C1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 приравнении строек по военной химии к ударным</w:t>
      </w:r>
    </w:p>
    <w:p w14:paraId="0132EBE1" w14:textId="77777777" w:rsidR="00513C11" w:rsidRPr="005E779E" w:rsidRDefault="00513C11" w:rsidP="000B7A6C">
      <w:pPr>
        <w:pStyle w:val="rtejustify"/>
        <w:spacing w:before="0" w:after="0"/>
        <w:rPr>
          <w:color w:val="000000" w:themeColor="text1"/>
          <w:sz w:val="16"/>
          <w:szCs w:val="16"/>
        </w:rPr>
      </w:pPr>
      <w:r w:rsidRPr="005E779E">
        <w:rPr>
          <w:color w:val="000000" w:themeColor="text1"/>
          <w:sz w:val="16"/>
          <w:szCs w:val="16"/>
        </w:rPr>
        <w:t>Никакого сдвига во исполнение решения правительства по справке МПС ВСНХ нет (справка МПС ВСНХ). НКСнаб, в частности, ничего по указанному решению не сделал (справка т. </w:t>
      </w:r>
      <w:hyperlink r:id="rId198" w:history="1">
        <w:r w:rsidRPr="005E779E">
          <w:rPr>
            <w:color w:val="000000" w:themeColor="text1"/>
            <w:sz w:val="16"/>
            <w:szCs w:val="16"/>
          </w:rPr>
          <w:t>Лоос</w:t>
        </w:r>
      </w:hyperlink>
      <w:r w:rsidRPr="005E779E">
        <w:rPr>
          <w:color w:val="000000" w:themeColor="text1"/>
          <w:sz w:val="16"/>
          <w:szCs w:val="16"/>
        </w:rPr>
        <w:t>). Не выполнены также решения правительства о производстве тары и проведении опытных проверок по 2</w:t>
      </w:r>
      <w:r w:rsidRPr="005E779E">
        <w:rPr>
          <w:color w:val="000000" w:themeColor="text1"/>
          <w:sz w:val="16"/>
          <w:szCs w:val="16"/>
        </w:rPr>
        <w:noBreakHyphen/>
        <w:t>3 заводам (справка НКВМ).</w:t>
      </w:r>
    </w:p>
    <w:p w14:paraId="198FC951" w14:textId="77777777" w:rsidR="00513C11" w:rsidRPr="005E779E" w:rsidRDefault="00513C11" w:rsidP="000B7A6C">
      <w:pPr>
        <w:pStyle w:val="ae"/>
        <w:spacing w:before="0" w:after="0"/>
        <w:jc w:val="both"/>
        <w:rPr>
          <w:color w:val="000000" w:themeColor="text1"/>
          <w:sz w:val="16"/>
          <w:szCs w:val="16"/>
        </w:rPr>
      </w:pPr>
      <w:r w:rsidRPr="005E779E">
        <w:rPr>
          <w:rStyle w:val="af0"/>
          <w:i w:val="0"/>
          <w:color w:val="000000" w:themeColor="text1"/>
          <w:sz w:val="16"/>
          <w:szCs w:val="16"/>
        </w:rPr>
        <w:t>Примечания</w:t>
      </w:r>
      <w:r w:rsidRPr="005E779E">
        <w:rPr>
          <w:color w:val="000000" w:themeColor="text1"/>
          <w:sz w:val="16"/>
          <w:szCs w:val="16"/>
        </w:rPr>
        <w:t>:</w:t>
      </w:r>
    </w:p>
    <w:p w14:paraId="3C2AF335" w14:textId="77777777" w:rsidR="00513C11" w:rsidRPr="005E779E" w:rsidRDefault="00513C11" w:rsidP="000B7A6C">
      <w:pPr>
        <w:pStyle w:val="rtejustify"/>
        <w:spacing w:before="0" w:after="0"/>
        <w:rPr>
          <w:color w:val="000000" w:themeColor="text1"/>
          <w:sz w:val="16"/>
          <w:szCs w:val="16"/>
        </w:rPr>
      </w:pPr>
      <w:r w:rsidRPr="005E779E">
        <w:rPr>
          <w:color w:val="000000" w:themeColor="text1"/>
          <w:sz w:val="16"/>
          <w:szCs w:val="16"/>
          <w:vertAlign w:val="superscript"/>
        </w:rPr>
        <w:t>1</w:t>
      </w:r>
      <w:r w:rsidRPr="005E779E">
        <w:rPr>
          <w:color w:val="000000" w:themeColor="text1"/>
          <w:sz w:val="16"/>
          <w:szCs w:val="16"/>
        </w:rPr>
        <w:t>* Датируется по содержанию.</w:t>
      </w:r>
    </w:p>
    <w:p w14:paraId="56C101DF" w14:textId="77777777" w:rsidR="00513C11" w:rsidRPr="005E779E" w:rsidRDefault="00513C11" w:rsidP="000B7A6C">
      <w:pPr>
        <w:pStyle w:val="rtejustify"/>
        <w:spacing w:before="0" w:after="0"/>
        <w:rPr>
          <w:color w:val="000000" w:themeColor="text1"/>
          <w:sz w:val="16"/>
          <w:szCs w:val="16"/>
        </w:rPr>
      </w:pPr>
      <w:r w:rsidRPr="005E779E">
        <w:rPr>
          <w:color w:val="000000" w:themeColor="text1"/>
          <w:sz w:val="16"/>
          <w:szCs w:val="16"/>
          <w:vertAlign w:val="superscript"/>
        </w:rPr>
        <w:t>2</w:t>
      </w:r>
      <w:r w:rsidRPr="005E779E">
        <w:rPr>
          <w:color w:val="000000" w:themeColor="text1"/>
          <w:sz w:val="16"/>
          <w:szCs w:val="16"/>
        </w:rPr>
        <w:t xml:space="preserve">* В </w:t>
      </w:r>
      <w:r w:rsidRPr="005E779E">
        <w:rPr>
          <w:rStyle w:val="af0"/>
          <w:i w:val="0"/>
          <w:color w:val="000000" w:themeColor="text1"/>
          <w:sz w:val="16"/>
          <w:szCs w:val="16"/>
        </w:rPr>
        <w:t>постановлении СТО СССР № 213сс от 14 октября 1931 г. «О состоянии военно-химического дела»</w:t>
      </w:r>
      <w:r w:rsidRPr="005E779E">
        <w:rPr>
          <w:color w:val="000000" w:themeColor="text1"/>
          <w:sz w:val="16"/>
          <w:szCs w:val="16"/>
        </w:rPr>
        <w:t xml:space="preserve"> отмечалось неудовлетворительное состояние военно-химического вооружения РККА и его промышленного обеспечения, что было вызвано следующими причинами: недостаточное развертывание научно-исследовательской работы; отсутствие конструкторской работы; неудовлетворительное выполнение текущих опытных заказов и плохое качество поставляемых приборов; невыполнение сроков строительства основных объектов военно-химического вооружения, а также недостаточное внимание к военно-химическому делу со стороны НКВМ и ВСНХ СССР.</w:t>
      </w:r>
    </w:p>
    <w:p w14:paraId="4571A06D" w14:textId="77777777" w:rsidR="00513C11" w:rsidRPr="005E779E" w:rsidRDefault="00513C11" w:rsidP="000B7A6C">
      <w:pPr>
        <w:pStyle w:val="rtejustify"/>
        <w:spacing w:before="0" w:after="0"/>
        <w:rPr>
          <w:color w:val="000000" w:themeColor="text1"/>
          <w:sz w:val="16"/>
          <w:szCs w:val="16"/>
        </w:rPr>
      </w:pPr>
      <w:r w:rsidRPr="005E779E">
        <w:rPr>
          <w:color w:val="000000" w:themeColor="text1"/>
          <w:sz w:val="16"/>
          <w:szCs w:val="16"/>
        </w:rPr>
        <w:t>Для улучшения положения в военно-химической промышленности ВСНХ предлагалось в двухмесячный срок: а) организовать конструкторские бюро по предметам военно-химического вооружения; б) организовать центральные научно-исследовательские лаборатории по химии и технологии отравляющих веществ и по противогазам и дымовым шашкам; в) выполнение заданий НКВМ по конструкторским и исследовательским работам проводить в ударном порядке, обеспечив эти работы необходимыми кадрами, финансированием и оборудованием. На НКВМ возлагались следующие обязательства: а) в двухмесячный срок организовать конструкторское бюро по средствам коллективной защиты; б) в месячный срок передать ВСНХ для работы в конструкторском бюро и лабораториях 15 инженеров.</w:t>
      </w:r>
    </w:p>
    <w:p w14:paraId="33245C53" w14:textId="77777777" w:rsidR="00513C11" w:rsidRPr="005E779E" w:rsidRDefault="00513C11" w:rsidP="000B7A6C">
      <w:pPr>
        <w:pStyle w:val="rtejustify"/>
        <w:spacing w:before="0" w:after="0"/>
        <w:rPr>
          <w:color w:val="000000" w:themeColor="text1"/>
          <w:sz w:val="16"/>
          <w:szCs w:val="16"/>
        </w:rPr>
      </w:pPr>
      <w:r w:rsidRPr="005E779E">
        <w:rPr>
          <w:color w:val="000000" w:themeColor="text1"/>
          <w:sz w:val="16"/>
          <w:szCs w:val="16"/>
        </w:rPr>
        <w:t>По средствам противохимической защиты постановлением предусматривались следующие мероприятия: 1. ВСНХ и НКВМ в течение 1931 г. закончить разработку улучшенного типа противогаза и после испытаний ввести на вооружение РККА. 2</w:t>
      </w:r>
      <w:r w:rsidRPr="005E779E">
        <w:rPr>
          <w:rStyle w:val="af0"/>
          <w:i w:val="0"/>
          <w:color w:val="000000" w:themeColor="text1"/>
          <w:sz w:val="16"/>
          <w:szCs w:val="16"/>
        </w:rPr>
        <w:t>. </w:t>
      </w:r>
      <w:r w:rsidRPr="005E779E">
        <w:rPr>
          <w:color w:val="000000" w:themeColor="text1"/>
          <w:sz w:val="16"/>
          <w:szCs w:val="16"/>
        </w:rPr>
        <w:t>В 1932 г. ВСНХ закончить строительство производства гопкалита против окиси углерода. 3. НКВМ и ВСНХ в 1931 г. закончить конструирование и испытание изолирующего противогаза. По средствам химического нападения: 1. Предложить ВСНХ и НКВМ предусмотреть в контрольных цифрах 1932 г. «решительный сдвиг в сторону увеличения производства дымовых веществ». 2. Обязать ВСНХ в 1932 г. закончить постройку и монтаж мощного завода иприта. 3. ВСНХ не позднее 1 января 1932 г. организовать полузаводское производство хлористого алюминия на 1000 тонн.</w:t>
      </w:r>
    </w:p>
    <w:p w14:paraId="14F6B71E" w14:textId="77777777" w:rsidR="00513C11" w:rsidRPr="005E779E" w:rsidRDefault="00513C11" w:rsidP="000B7A6C">
      <w:pPr>
        <w:pStyle w:val="rtejustify"/>
        <w:spacing w:before="0" w:after="0"/>
        <w:rPr>
          <w:color w:val="000000" w:themeColor="text1"/>
          <w:sz w:val="16"/>
          <w:szCs w:val="16"/>
        </w:rPr>
      </w:pPr>
      <w:r w:rsidRPr="005E779E">
        <w:rPr>
          <w:color w:val="000000" w:themeColor="text1"/>
          <w:sz w:val="16"/>
          <w:szCs w:val="16"/>
        </w:rPr>
        <w:t>Выполнение текущих и опытных заказов и «капитальное строительство по средствам противохимической защиты, по отравляющим веществам, хлору, сере и мышьяку» приравнивались к ударным наравне со строительством военной промышленности. Для укрепления сырьевой базы постановлением предусматривалось строительство заводов по производству угля-сырца, хлора, серы газовой; увеличение добычи мышьяка, брома и серы. (ГА РФ. Ф. Р</w:t>
      </w:r>
      <w:r w:rsidRPr="005E779E">
        <w:rPr>
          <w:color w:val="000000" w:themeColor="text1"/>
          <w:sz w:val="16"/>
          <w:szCs w:val="16"/>
        </w:rPr>
        <w:noBreakHyphen/>
        <w:t>8418. Оп. 28. Д. 1а. Л. 61</w:t>
      </w:r>
      <w:r w:rsidRPr="005E779E">
        <w:rPr>
          <w:color w:val="000000" w:themeColor="text1"/>
          <w:sz w:val="16"/>
          <w:szCs w:val="16"/>
        </w:rPr>
        <w:noBreakHyphen/>
        <w:t>72).</w:t>
      </w:r>
    </w:p>
    <w:p w14:paraId="57DBC101" w14:textId="77777777" w:rsidR="00513C11" w:rsidRPr="005E779E" w:rsidRDefault="00513C11" w:rsidP="000B7A6C">
      <w:pPr>
        <w:pStyle w:val="rtejustify"/>
        <w:spacing w:before="0" w:after="0"/>
        <w:rPr>
          <w:color w:val="000000" w:themeColor="text1"/>
          <w:sz w:val="16"/>
          <w:szCs w:val="16"/>
        </w:rPr>
      </w:pPr>
      <w:r w:rsidRPr="005E779E">
        <w:rPr>
          <w:color w:val="000000" w:themeColor="text1"/>
          <w:sz w:val="16"/>
          <w:szCs w:val="16"/>
          <w:vertAlign w:val="superscript"/>
        </w:rPr>
        <w:t>3</w:t>
      </w:r>
      <w:r w:rsidRPr="005E779E">
        <w:rPr>
          <w:color w:val="000000" w:themeColor="text1"/>
          <w:sz w:val="16"/>
          <w:szCs w:val="16"/>
        </w:rPr>
        <w:t>* Предложение дописано от руки.</w:t>
      </w:r>
    </w:p>
    <w:p w14:paraId="24882BAA" w14:textId="77777777" w:rsidR="00513C11" w:rsidRPr="005E779E" w:rsidRDefault="00513C11" w:rsidP="000B7A6C">
      <w:pPr>
        <w:pStyle w:val="ae"/>
        <w:spacing w:before="0" w:after="0"/>
        <w:jc w:val="both"/>
        <w:rPr>
          <w:color w:val="000000" w:themeColor="text1"/>
          <w:sz w:val="16"/>
          <w:szCs w:val="16"/>
        </w:rPr>
      </w:pPr>
      <w:r w:rsidRPr="005E779E">
        <w:rPr>
          <w:color w:val="000000" w:themeColor="text1"/>
          <w:sz w:val="16"/>
          <w:szCs w:val="16"/>
        </w:rPr>
        <w:t>ГА РФ. Ф. Р-8418. Оп. 5. Д. 55. Л. 144—145. Копия.</w:t>
      </w:r>
    </w:p>
    <w:p w14:paraId="16FFEC9B" w14:textId="77777777" w:rsidR="00513C11" w:rsidRPr="005E779E" w:rsidRDefault="00513C1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Архив: ГА РФ. Ф. Р-8418. Оп. 5. Д. 55. Л. 144—145. Копия. </w:t>
      </w:r>
    </w:p>
    <w:p w14:paraId="7324B399" w14:textId="77777777" w:rsidR="00513C11" w:rsidRPr="005E779E" w:rsidRDefault="00513C1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Источник: Становление оборонно-промышленного комплекса СССР (1927-1932). М. 2008, стр. 574-575 (12538).</w:t>
      </w:r>
    </w:p>
    <w:p w14:paraId="620AE4BF" w14:textId="77777777" w:rsidR="00513C11" w:rsidRPr="005E779E" w:rsidRDefault="00513C11" w:rsidP="000B7A6C">
      <w:pPr>
        <w:spacing w:after="0" w:line="240" w:lineRule="auto"/>
        <w:jc w:val="both"/>
        <w:rPr>
          <w:rFonts w:ascii="Times New Roman" w:hAnsi="Times New Roman"/>
          <w:color w:val="000000" w:themeColor="text1"/>
          <w:sz w:val="16"/>
          <w:szCs w:val="16"/>
        </w:rPr>
      </w:pPr>
    </w:p>
    <w:p w14:paraId="56F670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ноября 1931 г. постановлением Президиума ВСНХ СССР был создан Научно-исследовательский институт органических полупродуктов и красителей (НИОПИК) на базе ЦНОЛ и Экспериментального завода им. К. Е. Ворошилова. В 1931 - 1958 гг. назывался Научно-исследовательский институт органических полупродуктов и красителей (НИОПИК) им. К. Е. Ворошилова. В 1941 - 1943 гг. институт находился в эвакуации в г. Кемерово. 10 декабря 1981 г. награжден орденом Трудового Красного Знамени (12102).</w:t>
      </w:r>
    </w:p>
    <w:p w14:paraId="47447E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9C76A07" w14:textId="77777777" w:rsidR="00F12FE0" w:rsidRPr="005E779E" w:rsidRDefault="00F12FE0"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lastRenderedPageBreak/>
        <w:t xml:space="preserve">15 ноября </w:t>
      </w:r>
      <w:r w:rsidRPr="005E779E">
        <w:rPr>
          <w:rFonts w:ascii="Times New Roman" w:hAnsi="Times New Roman"/>
          <w:color w:val="000000" w:themeColor="text1"/>
          <w:sz w:val="16"/>
          <w:szCs w:val="16"/>
        </w:rPr>
        <w:t>в 1931 году в Москве основан Институт органических полупродуктов и красителей (ныне - Государственный научный центр Российской Федерации - НИИОПиК). Ведет исследования в области создания и разработки технологии органических красителей, текстильно-вспомогательных и оптически отбеливающих веществ</w:t>
      </w:r>
    </w:p>
    <w:p w14:paraId="623B4D08" w14:textId="77777777" w:rsidR="00F12FE0" w:rsidRPr="005E779E" w:rsidRDefault="00F12FE0" w:rsidP="000B7A6C">
      <w:pPr>
        <w:spacing w:after="0" w:line="240" w:lineRule="auto"/>
        <w:jc w:val="both"/>
        <w:rPr>
          <w:rFonts w:ascii="Times New Roman" w:hAnsi="Times New Roman"/>
          <w:color w:val="000000" w:themeColor="text1"/>
          <w:sz w:val="16"/>
          <w:szCs w:val="16"/>
        </w:rPr>
      </w:pPr>
    </w:p>
    <w:p w14:paraId="61016FB4" w14:textId="77777777" w:rsidR="004F04A7" w:rsidRPr="005E779E" w:rsidRDefault="004F04A7"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0F273751" w14:textId="77777777" w:rsidR="004F04A7" w:rsidRPr="005E779E" w:rsidRDefault="004F04A7"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EE7CBDE" w14:textId="77777777" w:rsidR="004F04A7" w:rsidRPr="005E779E" w:rsidRDefault="004F04A7"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В середине ноября 1931 вопрос о морской программе был возвращен в Комиссию обороны, причем с докладом по нему выступил начальник Штаба РККА Егоров. 14 ноября КО постановила "принять за основу программу строительства морских сил, предложенную НКВМором", и создала новую комиссию под председательством Куйбышева (члены комиссии: Тухачевский, Орлов, Муклевич, Егоров, Алкснис, Павлуновский, Баранов, Маргинович и Смирнов). Задачей этой комиссии являлась разработка проекта постановления КО исходя из необходимости "программу строительства осуществить в четыре года"; построить 75 больших подводных лодок, 20 малых и 75 лодок типа "Щука"; "2 крейсера строить, отодвинув начало постройки к 1933 г.", "в 1932 г. уложиться в ранее определенный лимит 25 млн руб. для всех заказов НКВМ" (Выписка из протокола № 15 заседания Комиссии Обороны СССР от 14.11.1931 (заверенная копия) // Там же. Д. 497. Л. 69). Постройка двух крейсеров и модернизация линкора "Фрунзе" были отложены до 1933-1934 гг. (Гривовекий В. Ю. и др. Указ. соч. С. 25) (22725).</w:t>
      </w:r>
    </w:p>
    <w:p w14:paraId="5D84CEF3" w14:textId="77777777" w:rsidR="004F04A7" w:rsidRPr="005E779E" w:rsidRDefault="004F04A7" w:rsidP="000B7A6C">
      <w:pPr>
        <w:spacing w:after="0" w:line="240" w:lineRule="auto"/>
        <w:jc w:val="both"/>
        <w:rPr>
          <w:rFonts w:ascii="Times New Roman" w:hAnsi="Times New Roman"/>
          <w:color w:val="000000" w:themeColor="text1"/>
          <w:sz w:val="16"/>
          <w:szCs w:val="16"/>
        </w:rPr>
      </w:pPr>
    </w:p>
    <w:p w14:paraId="62965255" w14:textId="331D9370" w:rsidR="00C11934" w:rsidRPr="00142305" w:rsidRDefault="00C11934" w:rsidP="00C1193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середине ноября 1931 года Комиссия, созданная по распоряжению заместителя председа</w:t>
      </w:r>
      <w:r w:rsidRPr="00142305">
        <w:rPr>
          <w:rFonts w:ascii="Times New Roman" w:hAnsi="Times New Roman"/>
          <w:color w:val="0070C0"/>
          <w:sz w:val="16"/>
          <w:szCs w:val="16"/>
        </w:rPr>
        <w:softHyphen/>
        <w:t>теля РВС СССР Н. Тухачевского для рас</w:t>
      </w:r>
      <w:r w:rsidRPr="00142305">
        <w:rPr>
          <w:rFonts w:ascii="Times New Roman" w:hAnsi="Times New Roman"/>
          <w:color w:val="0070C0"/>
          <w:sz w:val="16"/>
          <w:szCs w:val="16"/>
        </w:rPr>
        <w:softHyphen/>
        <w:t>смотрения проектов Дыренкова в состав которой</w:t>
      </w:r>
      <w:r w:rsidR="00FE094E">
        <w:rPr>
          <w:rFonts w:ascii="Times New Roman" w:hAnsi="Times New Roman"/>
          <w:color w:val="0070C0"/>
          <w:sz w:val="16"/>
          <w:szCs w:val="16"/>
        </w:rPr>
        <w:t xml:space="preserve"> </w:t>
      </w:r>
      <w:r w:rsidRPr="00142305">
        <w:rPr>
          <w:rFonts w:ascii="Times New Roman" w:hAnsi="Times New Roman"/>
          <w:color w:val="0070C0"/>
          <w:sz w:val="16"/>
          <w:szCs w:val="16"/>
        </w:rPr>
        <w:t>входили не только военные, но и представители промышленности — ра</w:t>
      </w:r>
      <w:r w:rsidRPr="00142305">
        <w:rPr>
          <w:rFonts w:ascii="Times New Roman" w:hAnsi="Times New Roman"/>
          <w:color w:val="0070C0"/>
          <w:sz w:val="16"/>
          <w:szCs w:val="16"/>
        </w:rPr>
        <w:softHyphen/>
        <w:t>ботники танковых заводов и КБ: началь</w:t>
      </w:r>
      <w:r w:rsidRPr="00142305">
        <w:rPr>
          <w:rFonts w:ascii="Times New Roman" w:hAnsi="Times New Roman"/>
          <w:color w:val="0070C0"/>
          <w:sz w:val="16"/>
          <w:szCs w:val="16"/>
        </w:rPr>
        <w:softHyphen/>
        <w:t>ник техуправления УММ РККА Г. Бокис, председатель НТК УММ И. Лебе</w:t>
      </w:r>
      <w:r w:rsidRPr="00142305">
        <w:rPr>
          <w:rFonts w:ascii="Times New Roman" w:hAnsi="Times New Roman"/>
          <w:color w:val="0070C0"/>
          <w:sz w:val="16"/>
          <w:szCs w:val="16"/>
        </w:rPr>
        <w:softHyphen/>
        <w:t>дев и члены НТК Браверман и Рожков, начальник КБ № 3 ОКМО С. Гинз</w:t>
      </w:r>
      <w:r w:rsidRPr="00142305">
        <w:rPr>
          <w:rFonts w:ascii="Times New Roman" w:hAnsi="Times New Roman"/>
          <w:color w:val="0070C0"/>
          <w:sz w:val="16"/>
          <w:szCs w:val="16"/>
        </w:rPr>
        <w:softHyphen/>
        <w:t>бург и его заместители К. Заславский и О. Иванов, начальник танкового КБ завода «Большевик» В. Симский, а так</w:t>
      </w:r>
      <w:r w:rsidRPr="00142305">
        <w:rPr>
          <w:rFonts w:ascii="Times New Roman" w:hAnsi="Times New Roman"/>
          <w:color w:val="0070C0"/>
          <w:sz w:val="16"/>
          <w:szCs w:val="16"/>
        </w:rPr>
        <w:softHyphen/>
        <w:t>же начальник Т2К ХПЗ Н. Тоскин (практически всех руководителей коллективов, кото</w:t>
      </w:r>
      <w:r w:rsidRPr="00142305">
        <w:rPr>
          <w:rFonts w:ascii="Times New Roman" w:hAnsi="Times New Roman"/>
          <w:color w:val="0070C0"/>
          <w:sz w:val="16"/>
          <w:szCs w:val="16"/>
        </w:rPr>
        <w:softHyphen/>
        <w:t>рые на тот момент занимались констру</w:t>
      </w:r>
      <w:r w:rsidRPr="00142305">
        <w:rPr>
          <w:rFonts w:ascii="Times New Roman" w:hAnsi="Times New Roman"/>
          <w:color w:val="0070C0"/>
          <w:sz w:val="16"/>
          <w:szCs w:val="16"/>
        </w:rPr>
        <w:softHyphen/>
        <w:t>ированием танков), прибыла на завод Можерез. Она оз</w:t>
      </w:r>
      <w:r w:rsidRPr="00142305">
        <w:rPr>
          <w:rFonts w:ascii="Times New Roman" w:hAnsi="Times New Roman"/>
          <w:color w:val="0070C0"/>
          <w:sz w:val="16"/>
          <w:szCs w:val="16"/>
        </w:rPr>
        <w:softHyphen/>
        <w:t>накомилась с чертежами Д-4 и Д-5, ма</w:t>
      </w:r>
      <w:r w:rsidRPr="00142305">
        <w:rPr>
          <w:rFonts w:ascii="Times New Roman" w:hAnsi="Times New Roman"/>
          <w:color w:val="0070C0"/>
          <w:sz w:val="16"/>
          <w:szCs w:val="16"/>
        </w:rPr>
        <w:softHyphen/>
        <w:t>кетом танка Д-5 и выслушала доклад Н. Дыренкова. В результате обсуждения члены комиссии пришли к следующим выводам:</w:t>
      </w:r>
    </w:p>
    <w:p w14:paraId="3BE16A16" w14:textId="77777777" w:rsidR="00C11934" w:rsidRPr="00142305" w:rsidRDefault="00C11934" w:rsidP="00C1193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Конструкция танка Д-4, имеюще</w:t>
      </w:r>
      <w:r w:rsidRPr="00142305">
        <w:rPr>
          <w:rFonts w:ascii="Times New Roman" w:hAnsi="Times New Roman"/>
          <w:color w:val="0070C0"/>
          <w:sz w:val="16"/>
          <w:szCs w:val="16"/>
        </w:rPr>
        <w:softHyphen/>
        <w:t>го колесный, гусеничный, железнодо</w:t>
      </w:r>
      <w:r w:rsidRPr="00142305">
        <w:rPr>
          <w:rFonts w:ascii="Times New Roman" w:hAnsi="Times New Roman"/>
          <w:color w:val="0070C0"/>
          <w:sz w:val="16"/>
          <w:szCs w:val="16"/>
        </w:rPr>
        <w:softHyphen/>
        <w:t>рожный ход и подводную проходимость, предложенная т. Дыренковым, факти</w:t>
      </w:r>
      <w:r w:rsidRPr="00142305">
        <w:rPr>
          <w:rFonts w:ascii="Times New Roman" w:hAnsi="Times New Roman"/>
          <w:color w:val="0070C0"/>
          <w:sz w:val="16"/>
          <w:szCs w:val="16"/>
        </w:rPr>
        <w:softHyphen/>
        <w:t>чески в данный момент не существует. В процессе разработки машины выяс</w:t>
      </w:r>
      <w:r w:rsidRPr="00142305">
        <w:rPr>
          <w:rFonts w:ascii="Times New Roman" w:hAnsi="Times New Roman"/>
          <w:color w:val="0070C0"/>
          <w:sz w:val="16"/>
          <w:szCs w:val="16"/>
        </w:rPr>
        <w:softHyphen/>
        <w:t>нилась невозможность применить авто</w:t>
      </w:r>
      <w:r w:rsidRPr="00142305">
        <w:rPr>
          <w:rFonts w:ascii="Times New Roman" w:hAnsi="Times New Roman"/>
          <w:color w:val="0070C0"/>
          <w:sz w:val="16"/>
          <w:szCs w:val="16"/>
        </w:rPr>
        <w:softHyphen/>
        <w:t>мобильный колесный ход и использо</w:t>
      </w:r>
      <w:r w:rsidRPr="00142305">
        <w:rPr>
          <w:rFonts w:ascii="Times New Roman" w:hAnsi="Times New Roman"/>
          <w:color w:val="0070C0"/>
          <w:sz w:val="16"/>
          <w:szCs w:val="16"/>
        </w:rPr>
        <w:softHyphen/>
        <w:t>вать два мотора «Геркулес» мощностью 160 л.с.</w:t>
      </w:r>
    </w:p>
    <w:p w14:paraId="51AF9459" w14:textId="77777777" w:rsidR="00C11934" w:rsidRPr="00142305" w:rsidRDefault="00C11934" w:rsidP="00C1193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 Комиссия считает, что т. Дыренков с заданием по конструированию тан</w:t>
      </w:r>
      <w:r w:rsidRPr="00142305">
        <w:rPr>
          <w:rFonts w:ascii="Times New Roman" w:hAnsi="Times New Roman"/>
          <w:color w:val="0070C0"/>
          <w:sz w:val="16"/>
          <w:szCs w:val="16"/>
        </w:rPr>
        <w:softHyphen/>
        <w:t>ка Д-4 не справился, и был вынужден на основе своей старой конструкции Д-4 приступить к разработке и постройке нового танка Д-5 с мотором М-17 мощ</w:t>
      </w:r>
      <w:r w:rsidRPr="00142305">
        <w:rPr>
          <w:rFonts w:ascii="Times New Roman" w:hAnsi="Times New Roman"/>
          <w:color w:val="0070C0"/>
          <w:sz w:val="16"/>
          <w:szCs w:val="16"/>
        </w:rPr>
        <w:softHyphen/>
        <w:t>ностью 500 л.с. В конструкции остав</w:t>
      </w:r>
      <w:r w:rsidRPr="00142305">
        <w:rPr>
          <w:rFonts w:ascii="Times New Roman" w:hAnsi="Times New Roman"/>
          <w:color w:val="0070C0"/>
          <w:sz w:val="16"/>
          <w:szCs w:val="16"/>
        </w:rPr>
        <w:softHyphen/>
        <w:t>лены: гусеничный и железнодорожный ход, и подводная проходимость. Авто</w:t>
      </w:r>
      <w:r w:rsidRPr="00142305">
        <w:rPr>
          <w:rFonts w:ascii="Times New Roman" w:hAnsi="Times New Roman"/>
          <w:color w:val="0070C0"/>
          <w:sz w:val="16"/>
          <w:szCs w:val="16"/>
        </w:rPr>
        <w:softHyphen/>
        <w:t>мобильный колесный ход, запроектированный для 12-тонной машины, снят за невозможностью исполнения для ма</w:t>
      </w:r>
      <w:r w:rsidRPr="00142305">
        <w:rPr>
          <w:rFonts w:ascii="Times New Roman" w:hAnsi="Times New Roman"/>
          <w:color w:val="0070C0"/>
          <w:sz w:val="16"/>
          <w:szCs w:val="16"/>
        </w:rPr>
        <w:softHyphen/>
        <w:t>шины весом в 25 т.</w:t>
      </w:r>
    </w:p>
    <w:p w14:paraId="57DB09AD" w14:textId="77777777" w:rsidR="00C11934" w:rsidRPr="00142305" w:rsidRDefault="00C11934" w:rsidP="00C11934">
      <w:pPr>
        <w:widowControl w:val="0"/>
        <w:tabs>
          <w:tab w:val="left" w:pos="452"/>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 Конструкция Д-5 предусматривает изжитие дефектов Д-4, но имеет, по мне</w:t>
      </w:r>
      <w:r w:rsidRPr="00142305">
        <w:rPr>
          <w:rFonts w:ascii="Times New Roman" w:hAnsi="Times New Roman"/>
          <w:color w:val="0070C0"/>
          <w:sz w:val="16"/>
          <w:szCs w:val="16"/>
        </w:rPr>
        <w:softHyphen/>
        <w:t>нию Комиссии, следующие крупные не</w:t>
      </w:r>
      <w:r w:rsidRPr="00142305">
        <w:rPr>
          <w:rFonts w:ascii="Times New Roman" w:hAnsi="Times New Roman"/>
          <w:color w:val="0070C0"/>
          <w:sz w:val="16"/>
          <w:szCs w:val="16"/>
        </w:rPr>
        <w:softHyphen/>
        <w:t>достатки:</w:t>
      </w:r>
    </w:p>
    <w:p w14:paraId="090F088B" w14:textId="77777777" w:rsidR="00C11934" w:rsidRPr="00142305" w:rsidRDefault="00C11934" w:rsidP="00C11934">
      <w:pPr>
        <w:tabs>
          <w:tab w:val="left" w:pos="462"/>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а). Носовая часть корпуса неудачна, так как вследствие наличия значитель</w:t>
      </w:r>
      <w:r w:rsidRPr="00142305">
        <w:rPr>
          <w:rFonts w:ascii="Times New Roman" w:hAnsi="Times New Roman"/>
          <w:color w:val="0070C0"/>
          <w:sz w:val="16"/>
          <w:szCs w:val="16"/>
        </w:rPr>
        <w:softHyphen/>
        <w:t>ных мертвых пространств, наблюдение за дорогой затруднительно для водителя.</w:t>
      </w:r>
    </w:p>
    <w:p w14:paraId="20C7760B" w14:textId="77777777" w:rsidR="00C11934" w:rsidRPr="00142305" w:rsidRDefault="00C11934" w:rsidP="00C11934">
      <w:pPr>
        <w:tabs>
          <w:tab w:val="left" w:pos="481"/>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б). В Д-5 поверхность охлаждения ра</w:t>
      </w:r>
      <w:r w:rsidRPr="00142305">
        <w:rPr>
          <w:rFonts w:ascii="Times New Roman" w:hAnsi="Times New Roman"/>
          <w:color w:val="0070C0"/>
          <w:sz w:val="16"/>
          <w:szCs w:val="16"/>
        </w:rPr>
        <w:softHyphen/>
        <w:t>диатора взята избыточной против Кри</w:t>
      </w:r>
      <w:r w:rsidRPr="00142305">
        <w:rPr>
          <w:rFonts w:ascii="Times New Roman" w:hAnsi="Times New Roman"/>
          <w:color w:val="0070C0"/>
          <w:sz w:val="16"/>
          <w:szCs w:val="16"/>
        </w:rPr>
        <w:softHyphen/>
        <w:t>сти, и поставлен более мощный венти</w:t>
      </w:r>
      <w:r w:rsidRPr="00142305">
        <w:rPr>
          <w:rFonts w:ascii="Times New Roman" w:hAnsi="Times New Roman"/>
          <w:color w:val="0070C0"/>
          <w:sz w:val="16"/>
          <w:szCs w:val="16"/>
        </w:rPr>
        <w:softHyphen/>
        <w:t>лятор. Однако, по мнению Комиссии, надежность охлаждения не является до</w:t>
      </w:r>
      <w:r w:rsidRPr="00142305">
        <w:rPr>
          <w:rFonts w:ascii="Times New Roman" w:hAnsi="Times New Roman"/>
          <w:color w:val="0070C0"/>
          <w:sz w:val="16"/>
          <w:szCs w:val="16"/>
        </w:rPr>
        <w:softHyphen/>
        <w:t>статочно обеспеченной, так как затруд</w:t>
      </w:r>
      <w:r w:rsidRPr="00142305">
        <w:rPr>
          <w:rFonts w:ascii="Times New Roman" w:hAnsi="Times New Roman"/>
          <w:color w:val="0070C0"/>
          <w:sz w:val="16"/>
          <w:szCs w:val="16"/>
        </w:rPr>
        <w:softHyphen/>
        <w:t>ненные проходы потоков воздуха потре</w:t>
      </w:r>
      <w:r w:rsidRPr="00142305">
        <w:rPr>
          <w:rFonts w:ascii="Times New Roman" w:hAnsi="Times New Roman"/>
          <w:color w:val="0070C0"/>
          <w:sz w:val="16"/>
          <w:szCs w:val="16"/>
        </w:rPr>
        <w:softHyphen/>
        <w:t>буют специальный мощный вентилятор</w:t>
      </w:r>
    </w:p>
    <w:p w14:paraId="1F084AA8" w14:textId="77777777" w:rsidR="00C11934" w:rsidRPr="00142305" w:rsidRDefault="00C11934" w:rsidP="00C11934">
      <w:pPr>
        <w:tabs>
          <w:tab w:val="left" w:pos="471"/>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Трансмиссия, состоящая из двух коробок скоростей, имеет избыточный запас прочности в своих основных дета</w:t>
      </w:r>
      <w:r w:rsidRPr="00142305">
        <w:rPr>
          <w:rFonts w:ascii="Times New Roman" w:hAnsi="Times New Roman"/>
          <w:color w:val="0070C0"/>
          <w:sz w:val="16"/>
          <w:szCs w:val="16"/>
        </w:rPr>
        <w:softHyphen/>
        <w:t>лях. Комиссия считает эту конструкцию нецелесообразной и полагает, что обыч</w:t>
      </w:r>
      <w:r w:rsidRPr="00142305">
        <w:rPr>
          <w:rFonts w:ascii="Times New Roman" w:hAnsi="Times New Roman"/>
          <w:color w:val="0070C0"/>
          <w:sz w:val="16"/>
          <w:szCs w:val="16"/>
        </w:rPr>
        <w:softHyphen/>
        <w:t>ная конструкция коробки скоростей даст значительную экономию в размерах ма</w:t>
      </w:r>
      <w:r w:rsidRPr="00142305">
        <w:rPr>
          <w:rFonts w:ascii="Times New Roman" w:hAnsi="Times New Roman"/>
          <w:color w:val="0070C0"/>
          <w:sz w:val="16"/>
          <w:szCs w:val="16"/>
        </w:rPr>
        <w:softHyphen/>
        <w:t>шинного отделения, а следовательно, и в весе танка.</w:t>
      </w:r>
    </w:p>
    <w:p w14:paraId="1C24CD86" w14:textId="77777777" w:rsidR="00C11934" w:rsidRPr="00142305" w:rsidRDefault="00C11934" w:rsidP="00C11934">
      <w:pPr>
        <w:tabs>
          <w:tab w:val="left" w:pos="452"/>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г). Бортовые фрикционы по своим раз</w:t>
      </w:r>
      <w:r w:rsidRPr="00142305">
        <w:rPr>
          <w:rFonts w:ascii="Times New Roman" w:hAnsi="Times New Roman"/>
          <w:color w:val="0070C0"/>
          <w:sz w:val="16"/>
          <w:szCs w:val="16"/>
        </w:rPr>
        <w:softHyphen/>
        <w:t>мерам достаточны для обеспечения ра</w:t>
      </w:r>
      <w:r w:rsidRPr="00142305">
        <w:rPr>
          <w:rFonts w:ascii="Times New Roman" w:hAnsi="Times New Roman"/>
          <w:color w:val="0070C0"/>
          <w:sz w:val="16"/>
          <w:szCs w:val="16"/>
        </w:rPr>
        <w:softHyphen/>
        <w:t>боты танка, однако расположение их в корпусе неудачно.</w:t>
      </w:r>
    </w:p>
    <w:p w14:paraId="4AED53E3" w14:textId="77777777" w:rsidR="00C11934" w:rsidRPr="00142305" w:rsidRDefault="00C11934" w:rsidP="00C11934">
      <w:pPr>
        <w:tabs>
          <w:tab w:val="left" w:pos="481"/>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 Система подвески поддерживаю</w:t>
      </w:r>
      <w:r w:rsidRPr="00142305">
        <w:rPr>
          <w:rFonts w:ascii="Times New Roman" w:hAnsi="Times New Roman"/>
          <w:color w:val="0070C0"/>
          <w:sz w:val="16"/>
          <w:szCs w:val="16"/>
        </w:rPr>
        <w:softHyphen/>
        <w:t>щих колес с весьма ограниченным хо</w:t>
      </w:r>
      <w:r w:rsidRPr="00142305">
        <w:rPr>
          <w:rFonts w:ascii="Times New Roman" w:hAnsi="Times New Roman"/>
          <w:color w:val="0070C0"/>
          <w:sz w:val="16"/>
          <w:szCs w:val="16"/>
        </w:rPr>
        <w:softHyphen/>
        <w:t>дом вниз, не приемлема вследствие не</w:t>
      </w:r>
      <w:r w:rsidRPr="00142305">
        <w:rPr>
          <w:rFonts w:ascii="Times New Roman" w:hAnsi="Times New Roman"/>
          <w:color w:val="0070C0"/>
          <w:sz w:val="16"/>
          <w:szCs w:val="16"/>
        </w:rPr>
        <w:softHyphen/>
        <w:t>надежности работы ее на пересеченной местности.</w:t>
      </w:r>
    </w:p>
    <w:p w14:paraId="0DB80CE0" w14:textId="77777777" w:rsidR="00C11934" w:rsidRPr="00142305" w:rsidRDefault="00C11934" w:rsidP="00C11934">
      <w:pPr>
        <w:tabs>
          <w:tab w:val="left" w:pos="481"/>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е). Конструкция механизмов для под</w:t>
      </w:r>
      <w:r w:rsidRPr="00142305">
        <w:rPr>
          <w:rFonts w:ascii="Times New Roman" w:hAnsi="Times New Roman"/>
          <w:color w:val="0070C0"/>
          <w:sz w:val="16"/>
          <w:szCs w:val="16"/>
        </w:rPr>
        <w:softHyphen/>
        <w:t>водного хода нуждается во всесторонней проверке.</w:t>
      </w:r>
    </w:p>
    <w:p w14:paraId="68D2A5F2" w14:textId="77777777" w:rsidR="00C11934" w:rsidRPr="00142305" w:rsidRDefault="00C11934" w:rsidP="00C1193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основании вышеизложенного, Ко</w:t>
      </w:r>
      <w:r w:rsidRPr="00142305">
        <w:rPr>
          <w:rFonts w:ascii="Times New Roman" w:hAnsi="Times New Roman"/>
          <w:color w:val="0070C0"/>
          <w:sz w:val="16"/>
          <w:szCs w:val="16"/>
        </w:rPr>
        <w:softHyphen/>
        <w:t>миссия считает Д-5 экспериментальной машиной для проверки работы желез</w:t>
      </w:r>
      <w:r w:rsidRPr="00142305">
        <w:rPr>
          <w:rFonts w:ascii="Times New Roman" w:hAnsi="Times New Roman"/>
          <w:color w:val="0070C0"/>
          <w:sz w:val="16"/>
          <w:szCs w:val="16"/>
        </w:rPr>
        <w:softHyphen/>
        <w:t>нодорожного и гусеничного хода, кото</w:t>
      </w:r>
      <w:r w:rsidRPr="00142305">
        <w:rPr>
          <w:rFonts w:ascii="Times New Roman" w:hAnsi="Times New Roman"/>
          <w:color w:val="0070C0"/>
          <w:sz w:val="16"/>
          <w:szCs w:val="16"/>
        </w:rPr>
        <w:softHyphen/>
        <w:t>рый может быть использован для мото- броневагонов и мощных танков, и под</w:t>
      </w:r>
      <w:r w:rsidRPr="00142305">
        <w:rPr>
          <w:rFonts w:ascii="Times New Roman" w:hAnsi="Times New Roman"/>
          <w:color w:val="0070C0"/>
          <w:sz w:val="16"/>
          <w:szCs w:val="16"/>
        </w:rPr>
        <w:softHyphen/>
        <w:t>водной проходимости. Танк не может служить образцом для серийного про</w:t>
      </w:r>
      <w:r w:rsidRPr="00142305">
        <w:rPr>
          <w:rFonts w:ascii="Times New Roman" w:hAnsi="Times New Roman"/>
          <w:color w:val="0070C0"/>
          <w:sz w:val="16"/>
          <w:szCs w:val="16"/>
        </w:rPr>
        <w:softHyphen/>
        <w:t>изводства».</w:t>
      </w:r>
    </w:p>
    <w:p w14:paraId="74351412" w14:textId="77777777" w:rsidR="00C11934" w:rsidRPr="00142305" w:rsidRDefault="00C11934" w:rsidP="00C1193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Однако неугомонный Дыренков обра</w:t>
      </w:r>
      <w:r w:rsidRPr="00142305">
        <w:rPr>
          <w:rFonts w:ascii="Times New Roman" w:hAnsi="Times New Roman"/>
          <w:color w:val="0070C0"/>
          <w:sz w:val="16"/>
          <w:szCs w:val="16"/>
        </w:rPr>
        <w:softHyphen/>
        <w:t>тился за помощью к заместителю нар</w:t>
      </w:r>
      <w:r w:rsidRPr="00142305">
        <w:rPr>
          <w:rFonts w:ascii="Times New Roman" w:hAnsi="Times New Roman"/>
          <w:color w:val="0070C0"/>
          <w:sz w:val="16"/>
          <w:szCs w:val="16"/>
        </w:rPr>
        <w:softHyphen/>
        <w:t>кома обороны СССР М. Тухачевско</w:t>
      </w:r>
      <w:r w:rsidRPr="00142305">
        <w:rPr>
          <w:rFonts w:ascii="Times New Roman" w:hAnsi="Times New Roman"/>
          <w:color w:val="0070C0"/>
          <w:sz w:val="16"/>
          <w:szCs w:val="16"/>
        </w:rPr>
        <w:softHyphen/>
        <w:t>му и получил добро на постройку Д-5! (25010).</w:t>
      </w:r>
    </w:p>
    <w:p w14:paraId="334FEA9B" w14:textId="77777777" w:rsidR="00C11934" w:rsidRPr="00142305" w:rsidRDefault="00C11934" w:rsidP="00C11934">
      <w:pPr>
        <w:spacing w:after="0" w:line="240" w:lineRule="auto"/>
        <w:jc w:val="both"/>
        <w:rPr>
          <w:rFonts w:ascii="Times New Roman" w:hAnsi="Times New Roman"/>
          <w:color w:val="0070C0"/>
          <w:sz w:val="16"/>
          <w:szCs w:val="16"/>
        </w:rPr>
      </w:pPr>
    </w:p>
    <w:p w14:paraId="1807187B"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6342E1BA"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7DA7B8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 ноября 1931 года начальник 12 отдела НИИ ВВС Гроховский П.И. писал письмо № 31 начальнику НИИ ВВС:</w:t>
      </w:r>
    </w:p>
    <w:p w14:paraId="33C0E30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Рапорт</w:t>
      </w:r>
    </w:p>
    <w:p w14:paraId="09D22AE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Настоящим доношу, что работа по оборудованию самолета ТБ1 № 48 аппаратурой для переливки бензина в воздухе находится в следующем состоянии:</w:t>
      </w:r>
    </w:p>
    <w:p w14:paraId="5EC3E17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самолете установлены все десять баков, установлены масляные баки. Задержка оборудования произошла по следующим причинам: для установки аппаратуры представлен самолет ТБ1 № 48, в то время как детали для указанной установки изготавливались под самолет ТБ1 № 693 (самолеты разных серий), последний был взят по Вашему распоряжению на несколько дней и до сего времени не прибыл, в силу чего пришлось изготавливать или переделывать детали для соединения системы.</w:t>
      </w:r>
    </w:p>
    <w:p w14:paraId="1BAC6E8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Последнее время мастерские НИИ не представляют для работ по установке необходимое число рабочей силы.</w:t>
      </w:r>
    </w:p>
    <w:p w14:paraId="411875D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Резолюция: «Гроховскому. Ваши объяснения неубедительны. Примите меры к скорейшему оборудованию самолета ТБ1 № 48. 17 ноября 1931 года. Аузан» (6770, 39).</w:t>
      </w:r>
    </w:p>
    <w:p w14:paraId="626DF30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1039CB"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1C85DEB7"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6BDCE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 ноября 1931 г. нарядом НТК АУ от заводу "Красный Путиловец" было заказано 4 опытных образца 76-мм универсальной пушки общей стоимостью 1,6 млн. рублей. Пушка, спроектированная в КБ завода "Красный Путиловец", стала первой универсальной пушкой. До этого АУ были разработаны ТТТ на универсальную пушку с круговым обстрелом и полууниверсальную без кругового обстрела. Последняя предназначалась "для ведения заградительного огня". Заводского индекса пушка, видимо, не имела, по крайней мере в актах испытаний его нет, там она так и называется "76-мм универсальная пушка завода "Красный Путиловец". Ради универсальной пушки АУ решилась на изменение гильзы обр. 1900 г. и для новой пушки была разработана специальная гильза, заряд которой составлял 2,25 кг. Согласно расчетам снаряд весом 7,1 кг должен был иметь начальную скорость 900 м/с (3861).</w:t>
      </w:r>
    </w:p>
    <w:p w14:paraId="4A9F2B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74DC51A" w14:textId="77777777" w:rsidR="00F12FE0" w:rsidRPr="005E779E" w:rsidRDefault="00F12FE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 ноября 1931 г. Нарядом НТК АУ заводу «Красный путиловец» было заказано 4 опытных образца 76-мм универсальной пушки общей стоимостью 1,6 млн. рублей. Ради такого чуда АУ посягнуло даже на «священную корову» — гильзу обр. 1900 г., и для новой пушки была разработана специальная гильза, заряд которой составлял 2,25 кг. Согласно расчетам снаряд весом 7Д кг должен был иметь начальную скорость 900 м/с.</w:t>
      </w:r>
    </w:p>
    <w:p w14:paraId="5D8F47E4" w14:textId="77777777" w:rsidR="00F12FE0" w:rsidRPr="005E779E" w:rsidRDefault="00F12FE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Первый образец пушки был собран 23 февраля 1932 г. и испытан на заводском полигоне 29 февраля и 1 марта 1932 г.</w:t>
      </w:r>
    </w:p>
    <w:p w14:paraId="5CC5E0AD" w14:textId="77777777" w:rsidR="00F12FE0" w:rsidRPr="005E779E" w:rsidRDefault="00F12FE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качающейся части пушки 950 кг, вес системы в боевом положении 3470 кг. Лафетные колеса от автомобиля Я-5.</w:t>
      </w:r>
    </w:p>
    <w:p w14:paraId="2E492770" w14:textId="77777777" w:rsidR="00F12FE0" w:rsidRPr="005E779E" w:rsidRDefault="00F12FE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Заводские испытания первого образца выявили плохую работу подъемного и поворотного механизмов. Поэтому доделка трех других опытных образцов была приостановлена. По результатам заводских испытаний подверглись изменениям подъемный механизм, нижний станок, модератор люльки и др.</w:t>
      </w:r>
    </w:p>
    <w:p w14:paraId="477ABE51" w14:textId="77777777" w:rsidR="00F12FE0" w:rsidRPr="005E779E" w:rsidRDefault="00F12FE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НИАП измененный опытный образец прибыл 30 мая 1932 г. Колеса для испытаний первого образца были взяты от Я-5, Результаты испытаний системы:</w:t>
      </w:r>
    </w:p>
    <w:p w14:paraId="4AE3FFF8" w14:textId="77777777" w:rsidR="00F12FE0" w:rsidRPr="005E779E" w:rsidRDefault="00F12FE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Снаряд …… Вес снаряда, кг — Начальная скорость, м/с — Длина отката при: 25° / 30° / 75°</w:t>
      </w:r>
    </w:p>
    <w:p w14:paraId="27DF9F11" w14:textId="77777777" w:rsidR="00F12FE0" w:rsidRPr="005E779E" w:rsidRDefault="00F12FE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Черт. 3809 …… 7,1 — 875 — 1193 / 1242 /830</w:t>
      </w:r>
    </w:p>
    <w:p w14:paraId="48E61E13" w14:textId="77777777" w:rsidR="00F12FE0" w:rsidRPr="005E779E" w:rsidRDefault="00F12FE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вооружение универсалка Путиловского завода, естественно, не поступила. Ее вес намного превосходил не только дивизионные, но и корпусные пушки. Так например, вес в боевом положении 107-мм пушки обр. 1910 г. был 2162 кг, а ее модернизации обр.1910/30 г. —2535 кг. В качестве орудия для стрельбы по наземным целям она была очень слаба (по сравнению со 107-мм пушкой обр. 1910/30 г., 122-мм пушкой обр. 1931 г. и 152-мм гаубицей). А для борьбы с воздушным врагом в корпусе должны были быть 76-мм зенитные пушки обр. 1931 г. (15117).</w:t>
      </w:r>
    </w:p>
    <w:p w14:paraId="3F1CA302" w14:textId="77777777" w:rsidR="00F12FE0" w:rsidRPr="005E779E" w:rsidRDefault="00F12FE0" w:rsidP="000B7A6C">
      <w:pPr>
        <w:spacing w:after="0" w:line="240" w:lineRule="auto"/>
        <w:jc w:val="both"/>
        <w:rPr>
          <w:rFonts w:ascii="Times New Roman" w:hAnsi="Times New Roman"/>
          <w:color w:val="000000" w:themeColor="text1"/>
          <w:sz w:val="16"/>
          <w:szCs w:val="16"/>
        </w:rPr>
      </w:pPr>
    </w:p>
    <w:p w14:paraId="493BF030" w14:textId="77777777" w:rsidR="00C11934" w:rsidRPr="00142305" w:rsidRDefault="00C11934" w:rsidP="00C11934">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16 ноября 1931 г. нарядом НТК АУ заводу «Красный путиловец» было заказано 4 опытных образца 76-мм универсальной пушки общей стоимостью 1,6 млн рублей. Ради такого чуда АУ посягнуло даже на «священную корову» — гильзу обр. 1900 г., и для новой пушки была разработана специальная гильза, заряд которой составлял 2,25 кг. Согласно расчетам, снаряд весом 7,1 кг должен был иметь начальную скорость 900 м/ с.</w:t>
      </w:r>
    </w:p>
    <w:p w14:paraId="1B7A489E" w14:textId="77777777" w:rsidR="00C11934" w:rsidRPr="00142305" w:rsidRDefault="00C11934" w:rsidP="00C11934">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Первый образец пушки был собран 23 февраля 1932 г. и испытан на заводском полигоне 29 февраля и 1 марта 1932 г.</w:t>
      </w:r>
    </w:p>
    <w:p w14:paraId="3D408D72" w14:textId="77777777" w:rsidR="00C11934" w:rsidRPr="00142305" w:rsidRDefault="00C11934" w:rsidP="00C11934">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Вес качающейся части пушки 950 кг, вес системы в боевом положении 3470 кг. Лафетные колеса от автомобиля Я-5.</w:t>
      </w:r>
    </w:p>
    <w:p w14:paraId="707F2328" w14:textId="77777777" w:rsidR="00C11934" w:rsidRPr="00142305" w:rsidRDefault="00C11934" w:rsidP="00C11934">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Заводские испытания первого образца выявили плохую работу подъемного и поворотного механизмов. Поэтому доделка трех других опытных образцов была приостановлена. По результатам заводских испытаний подверглись изменениям подъемный механизм, нижний станок, модератор люльки и др. (25213).</w:t>
      </w:r>
    </w:p>
    <w:p w14:paraId="5874A014" w14:textId="77777777" w:rsidR="00C11934" w:rsidRPr="00142305" w:rsidRDefault="00C11934" w:rsidP="00C11934">
      <w:pPr>
        <w:spacing w:after="0" w:line="240" w:lineRule="auto"/>
        <w:jc w:val="both"/>
        <w:rPr>
          <w:rFonts w:ascii="Times New Roman" w:hAnsi="Times New Roman"/>
          <w:color w:val="0070C0"/>
          <w:sz w:val="16"/>
          <w:szCs w:val="16"/>
        </w:rPr>
      </w:pPr>
    </w:p>
    <w:p w14:paraId="48A650FA" w14:textId="77777777" w:rsidR="00513C11" w:rsidRPr="005E779E" w:rsidRDefault="00513C1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16 ноября 1931 года в 12 часов дня первый образец ЯГ-10 поступил в НАТИ для испытаний, в то время как образцы Я-НАТИ-9 и -9Д были построены на том же Ярославском автозаводе только к лету 1933 года, и лишь в июне месяце впервые появились в НАТИ.</w:t>
      </w:r>
    </w:p>
    <w:p w14:paraId="2F7D6B13" w14:textId="77777777" w:rsidR="00513C11" w:rsidRPr="005E779E" w:rsidRDefault="00513C1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этой связи обычно пишут, что перед ЯГАЗ № 3 стоял выбор: какой вариант «трехоски» выбрать для выпуска – с червячной или двойной (цилиндрические и конические шестерни) главной передачей. И ярославцы, дескать, предпочли все же двойную шестеренчатую, уже освоенную на Я-5. Однако более чем полуторагодичная разница во времени между появлением ЯГ-10 и Я-НАТИ-9Д ясно дает понять, что никакого особого выбора перед заводом не стояло. На ЯГАЗе оперативно сделали то, что смогли сделать, взяв все необходимое с зарубежных моделей, причем задолго до появления образцов, разработанных в НАТИ. Это диктовалось срочностью заказа на шестиколесный грузовик, видимо, под нажимом РККА. Хотя надо признать, что «на бумаге» Я-9 и Я-9Д (буква «Д» - означает наличие демультипликатора) появились параллельно ЯГ-10. Вот только ЯГАЗ, занятый весь следующий год созданием четырехосного ЯГ-12 и шасси для автобуса-гиганта ЯА-2, смог построить образцы Я-НАТИ только в 1933 году (12201).</w:t>
      </w:r>
    </w:p>
    <w:p w14:paraId="79819316" w14:textId="77777777" w:rsidR="00513C11" w:rsidRPr="005E779E" w:rsidRDefault="00513C11" w:rsidP="000B7A6C">
      <w:pPr>
        <w:spacing w:after="0" w:line="240" w:lineRule="auto"/>
        <w:jc w:val="both"/>
        <w:rPr>
          <w:rFonts w:ascii="Times New Roman" w:hAnsi="Times New Roman"/>
          <w:color w:val="000000" w:themeColor="text1"/>
          <w:sz w:val="16"/>
          <w:szCs w:val="16"/>
        </w:rPr>
      </w:pPr>
    </w:p>
    <w:p w14:paraId="7AF4B55D" w14:textId="77777777" w:rsidR="00513C11" w:rsidRPr="005E779E" w:rsidRDefault="00513C1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16 по 27 ноября 1931 года по заданию ВАТО проводились испытания ЯГ-10 в целях экономии времени в сокращенном виде. Уже 16-го после осмотра и заправки машину отправили в пробный пробег по Ленинградскому шоссе для знакомства с ней и выявления неисправностей (пройдено 102 км с нагрузкой 4,2 тонны). На следующий день после осмотра и устранения течи воды в сальнике помпы грузовик проделал тот же маршрут еще раз. Средние скорости машины равнялись 20,2 – 25,4 км/ч при расходах топлива 42,2 – 45,9 л/100 км. Было замечено, что трансмиссия, особенно задние мосты, при движении издают сильный шум (неточная регулировка зацепления шестерен). 18-го ноября был произведен детальный осмотр и проверка действия всех механизмов машины. Были обнаружены подвижность задней левой рессоры (сорвало центральный болт крепления) и «забоины» на крестовинах карданных шарниров (из-за работы под углом, превышающим предельный).</w:t>
      </w:r>
    </w:p>
    <w:p w14:paraId="18DEB317" w14:textId="77777777" w:rsidR="00513C11" w:rsidRPr="005E779E" w:rsidRDefault="00513C1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19-го состоялся 195-километровый пробег по Ярославскому шоссе трех автомобилей: ЯГ-10 с нагрузкой 8 тонн, трехосного FWD с нагрузкой 5 тонн и трехосного Ford-НАТИ-30 (предшественник ГАЗ-ААА).</w:t>
      </w:r>
    </w:p>
    <w:p w14:paraId="32892809" w14:textId="77777777" w:rsidR="00513C11" w:rsidRPr="005E779E" w:rsidRDefault="00513C1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ходе пробега у ЯГ-10 выявились: обрыв трех болтов (из четырех) крепления картера карданного вала (на задний мост), «биение» самого вала, поломка двух пальцев шарнира заднего моста, большой люфт валов конических шестерен (причина шума), плохое удерживание смазки в шаровых опорах рессор. После ремонта ЯГ-10 совершил пробег по Москве (три круга по Садовому кольцу) с 8-ю тоннами груза, а 23 ноября состоялся еще один пробег по грунтовым дорогам Подмосковья. Кроме FWD (нагрузка 4 тонны) и Ford-30 (нагрузка 1,5 тонны) «компанию» ЯГ-10 (с нагрузкой в 5 тонн) составил серийный Я-5, груженный 3,7 тоннами. В районе с. Никольского на глине с глубокими колеями, заполненными грязью, ЯГ-10 три раза застревал, но выходил за 1 - 4 мин. без посторонней помощи (под колеса кидали ветки).</w:t>
      </w:r>
    </w:p>
    <w:p w14:paraId="52D1C154" w14:textId="77777777" w:rsidR="00513C11" w:rsidRPr="005E779E" w:rsidRDefault="00513C1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 FWD (6х6) застреваний не было. Ford застревал дважды, причем во второй раз редукторами задних мостов намертво «сел» на «копытник» дороги, и был вызволен только с помощью FWD.</w:t>
      </w:r>
    </w:p>
    <w:p w14:paraId="53F2881C" w14:textId="77777777" w:rsidR="00513C11" w:rsidRPr="005E779E" w:rsidRDefault="00513C1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ЯГ-10 показал примерно равные с FWD показатели средних скоростей по грунту (10,5 – 11 км/ч) и расходы топлива (92,5 – 99,7 л/100 км), значительно отличавшиеся от расходов по шоссе (50,8 – 60,8 л/100 км).</w:t>
      </w:r>
    </w:p>
    <w:p w14:paraId="1A5C76C9" w14:textId="77777777" w:rsidR="00513C11" w:rsidRPr="005E779E" w:rsidRDefault="00513C1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эту же поездку был предпринят также штурм грунтового подъема в 26 град. FWD взял его с первой попытки, Ford – только со второй на первой передаче, а Я-5 подъем вообще не взял. Не смог одолеть его и ЯГ-10, как выяснилось, из-за поломки сцепления.</w:t>
      </w:r>
    </w:p>
    <w:p w14:paraId="6845C3F9" w14:textId="77777777" w:rsidR="00513C11" w:rsidRPr="005E779E" w:rsidRDefault="00513C1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25 - 27 ноября проводилось определение кинематических свойств задней тележки, а так же – испытания на устойчивость, скорость и приемистость.</w:t>
      </w:r>
    </w:p>
    <w:p w14:paraId="577C282F" w14:textId="77777777" w:rsidR="00513C11" w:rsidRPr="005E779E" w:rsidRDefault="00513C1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Выводы специалистов НАТИ сводились к следующему: давление на грунт у ЯГ-10 значительно выше, чем у зарубежных образцов, но по клиренсу он им не уступает; при подъеме заднего левого и среднего правого колес максимальный перекос составляет 25 град.; машина может двигаться по окружности внутри цилиндра радиусом всего 6,5 - 7 м, что вполне удовлетворяет требованиям военного ведомства. Однако по сравнению с Я-5 тяговые свойства ЯГ-10 с тем же двигателем несколько ниже. Соответственно – ниже скорости движения. В целом динамика ЯГ-10 – невысокая. Вместе с тем, ЯГ-10 с полной нагрузкой получается экономичнее прочих испытуемых машин. Проходимость может считаться хорошей при движении по неровной, но твердой поверхности. Для мягкой поверхности она недостаточна. Маневренность удовлетворительна (радиус разворота – 9,5 - 9,7 м). В сравнении с Я-5 центр тяжести повышен, а значит – устойчивость хуже (высота ЯГ-10 значительно выше, чем у зарубежных образцов). Легкость управления и мягкость подвески – те же, что и у Я-5. Определить надежность конструкции ввиду краткости испытаний невозможно.</w:t>
      </w:r>
    </w:p>
    <w:p w14:paraId="511E6F29" w14:textId="77777777" w:rsidR="00513C11" w:rsidRPr="005E779E" w:rsidRDefault="00513C1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Недостатки конструкции: отсутствие демультипликатора, что уменьшает проходимость; отсутствуют ограничители перекосов мостов тележки; шаровые соединения не защищены от грязи; неправильная кинематика тормозов среднего моста (наблюдался неоднократный их «захват» при езде по неровностям).</w:t>
      </w:r>
    </w:p>
    <w:p w14:paraId="179B5ACD" w14:textId="77777777" w:rsidR="00513C11" w:rsidRPr="005E779E" w:rsidRDefault="00513C1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Основным же недостатком ЯГ-10, по мнению НАТИ, была шестеренчатая двойная главная передача – с дорогостоящими и ненадежными переборами. Однако, последующие поломки червяков на испытаниях образцов трехосных Я-НАТИ-9Д с одной стороны и усовершенствования ходовой части серийных ЯГ-10 с другой окончательно утвердили «жизнь» заводскому варианту.</w:t>
      </w:r>
    </w:p>
    <w:p w14:paraId="3DF73B52" w14:textId="77777777" w:rsidR="00513C11" w:rsidRPr="005E779E" w:rsidRDefault="00513C1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 и вправду, вполне естественно, что построенный «ударными» методами первый образец ЯГ-10 имел ощутимые конструктивные огрехи и недоработки. Главный конструктор ЯГАЗа Литвинов в «Замечаниях завода», адресованных тогда же испытателям НАТИ, прямо указывал:</w:t>
      </w:r>
    </w:p>
    <w:p w14:paraId="50AB9241" w14:textId="77777777" w:rsidR="00513C11" w:rsidRPr="005E779E" w:rsidRDefault="00513C1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конструкции ЯГ-10 есть следующие дефекты, подлежащие устранению. Надлежит:</w:t>
      </w:r>
    </w:p>
    <w:p w14:paraId="61169CCE" w14:textId="77777777" w:rsidR="00513C11" w:rsidRPr="005E779E" w:rsidRDefault="00513C1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Переставить реактивные штанги;</w:t>
      </w:r>
    </w:p>
    <w:p w14:paraId="3B8A78D5" w14:textId="77777777" w:rsidR="00513C11" w:rsidRPr="005E779E" w:rsidRDefault="00513C1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Установить 2-й опорный подшипник конической ведущей шестерни заднего моста;</w:t>
      </w:r>
    </w:p>
    <w:p w14:paraId="4A4A4FBB" w14:textId="77777777" w:rsidR="00513C11" w:rsidRPr="005E779E" w:rsidRDefault="00513C1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Установить ограничители перекоса осей;</w:t>
      </w:r>
    </w:p>
    <w:p w14:paraId="1FE1964C" w14:textId="77777777" w:rsidR="00513C11" w:rsidRPr="005E779E" w:rsidRDefault="00513C1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Поставить карданы типа «Мехеник» с автомобиля «Хеншель» вместо валов «Кливленд» с «Мореленда»;</w:t>
      </w:r>
    </w:p>
    <w:p w14:paraId="2C4FA186" w14:textId="77777777" w:rsidR="00513C11" w:rsidRPr="005E779E" w:rsidRDefault="00513C1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 Удлинить дополнительные швеллеры сзади машины до конца платформы;</w:t>
      </w:r>
    </w:p>
    <w:p w14:paraId="05F46933" w14:textId="77777777" w:rsidR="00513C11" w:rsidRPr="005E779E" w:rsidRDefault="00513C1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 Заменить однорядные шарикоподшипники в переборах на двухрядные качающиеся».</w:t>
      </w:r>
    </w:p>
    <w:p w14:paraId="0C748300" w14:textId="77777777" w:rsidR="00513C11" w:rsidRPr="005E779E" w:rsidRDefault="00513C1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 ноября первенец ЯГ-10 был отправлен обратно на завод для доработок и создания первой партии таких машин. А уже ко 2 февраля 1932 года в подарок к XVII всесоюзной партконференции, была выпущена первая партия серийных ЯГ-10. Колонна из пяти машин тоже отправилась в Москву, где 8 февраля расположилась в ряд на Красной площади.</w:t>
      </w:r>
    </w:p>
    <w:p w14:paraId="6CD256B0" w14:textId="77777777" w:rsidR="00513C11" w:rsidRPr="005E779E" w:rsidRDefault="00513C1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Делегаты в перерывах между заседаниями с интересом разглядывали необычные машины. На следующий день эти грузовики были осмотрены высшими военными чинами СССР. Тогдашний наркомвоенмор К. Е. Ворошилов остался очень доволен ими. Вот что писал он заводчанам: «9 февраля мне удалось лично осмотреть первую колонну изготовленных вами трехосных грузовиков. Хотя они не прошли всех испытаний, но, по свидетельству военных работников, по своим техническим данным и, наконец, по внешнему виду и результатам пробега в трудных зимних условиях, они полностью удовлетворяют предъявляемые к ним требования. Значение трехосной большегрузной машины велико не только для народного хозяйства, но и для обороны страны. Поздравляю вас с несомненным и очень важным техническим достижением. Важно, чтобы оно возможно скорее вышло из стадии опытных образцов в массовое производство».</w:t>
      </w:r>
    </w:p>
    <w:p w14:paraId="5C5486E9" w14:textId="77777777" w:rsidR="00513C11" w:rsidRPr="005E779E" w:rsidRDefault="00513C1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том же году машины совершили испытательный пробег по маршруту «Ярославль - Минск - Ярославль». Серьезную проверку в различных дорожных условиях прошел ЯГ-10 и на испытательном полигоне УММ РККА.</w:t>
      </w:r>
    </w:p>
    <w:p w14:paraId="31C884EB" w14:textId="77777777" w:rsidR="00513C11" w:rsidRPr="005E779E" w:rsidRDefault="00513C1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Многочисленные прогоны и проверки помогли устранить некоторые конструктивные недостатки и оперативно провести работы по модернизации. Так, серийный ЯГ-10 уже имел демультипликатор, позволявший понижать скорость, а значит – увеличивать силу тяги в 1,4 раза на любой передаче. При грузоподъемности 8000 кг и массе в снаряженном состоянии 5430 - 6000 кг мог преодолевать подъем с полной нагрузкой до 25 град. При наибольшей скорости 42 - 45 км/ч (а не 52, как ошибочно указано в ряде современных публикаций), ЯГ-10 имел эксплуатационный расход топлива 45 - 55 л на 100 км пути. Объем бензобака равнялся 177 л. Длина машины составляла 6990 мм, ширина – 2340 мм, высота – 2580 мм, база (до среднего моста) – 3600. Размер шин высокого давления – 40х8 дюймов. Для повышения проходимости предусматривались съемные гусеничные цепи типа «Оверол» («Оverall») (12201).</w:t>
      </w:r>
    </w:p>
    <w:p w14:paraId="749FF0E7" w14:textId="77777777" w:rsidR="00513C11" w:rsidRPr="005E779E" w:rsidRDefault="00513C11" w:rsidP="000B7A6C">
      <w:pPr>
        <w:spacing w:after="0" w:line="240" w:lineRule="auto"/>
        <w:jc w:val="both"/>
        <w:rPr>
          <w:rFonts w:ascii="Times New Roman" w:hAnsi="Times New Roman"/>
          <w:color w:val="000000" w:themeColor="text1"/>
          <w:sz w:val="16"/>
          <w:szCs w:val="16"/>
        </w:rPr>
      </w:pPr>
    </w:p>
    <w:p w14:paraId="63E323ED" w14:textId="77777777" w:rsidR="00C11934" w:rsidRPr="00142305" w:rsidRDefault="00C11934" w:rsidP="00C1193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период с 16 по 27 ноября 1931 г. в НАТИ испытали опытный образец грузовика ЯГ-10 ЯГАЗ.</w:t>
      </w:r>
    </w:p>
    <w:p w14:paraId="1BE636BB" w14:textId="77777777" w:rsidR="00C11934" w:rsidRPr="00142305" w:rsidRDefault="00C11934" w:rsidP="00C1193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заводе не стали ждать, когда проект машины закончат делать в столичном институте НАТИ, и подкатили третий мост под свой серийный грузовик Я-5 самостоятельно. Причем ярославские конструкторы смогли сохранить серийные мосты от Я-5, лишь незначительно реконструировав в них коническую ступень двойной главной передачи. Эта переделка потребовалась для того, чтобы превратить средний мост в проходной и организовать от него отбор мощности для привода заднего моста.</w:t>
      </w:r>
    </w:p>
    <w:p w14:paraId="69CE7288" w14:textId="77777777" w:rsidR="00C11934" w:rsidRPr="00142305" w:rsidRDefault="00C11934" w:rsidP="00C1193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«Трехоска» успела пробежать несколько сотен километров по Ленинградскому и Ярославскому шоссе, по Садовому кольцу в Москве и по грунтовым дорогам Подмосковья. В отдельных выездах ярославскую машину сопровождали еще две «трехоски» (серийный американский FWD и опытный советский «Форд-НАТИ-30»), а также обычный двухосный грузовик Я-5.</w:t>
      </w:r>
    </w:p>
    <w:p w14:paraId="300CBA00" w14:textId="77777777" w:rsidR="00C11934" w:rsidRPr="00142305" w:rsidRDefault="00C11934" w:rsidP="00C1193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Испытания подтвердили, что новый ярославский грузовик вполне справляется с 8-тонным грузом на шоссейных дорогах и может работать с 5-тонной нагрузкой на проселке. Однако отсутствие демультипликатора привело к снижению тяговых и динамических качеств в сравнении с двухосным грузовиком Я-5: в частности, максимальная скорость «трехоски» не превышала 45 км/ч. Не обошлось, конечно, и без дефектов. Было отмечено биение заднего карданного вала. Из-за значительных люфтов конические шестерни ведущих мостов издавали на ходу сильный вой. При переезде крупных бугров и ям прихватывало тормоза на колесах среднего моста. Периодически ломались отдельные детали задней подвески, а в отсутствие ограничителей перекоса ведущих мостов отмечались случаи повреждения шарниров карданной передачи, не выдерживающих работы на запредельных углах. Но в целом машина доказала работоспособность и приемлемую проходимость.</w:t>
      </w:r>
    </w:p>
    <w:p w14:paraId="73486FBC" w14:textId="77777777" w:rsidR="00C11934" w:rsidRPr="00142305" w:rsidRDefault="00C11934" w:rsidP="00C1193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По завершении испытаний опытный образец вернули на завод для исправления недочетов. А уже через два месяца на Ярославском государственном автозаводе (ЯГАЗ) построили первую опытно-промышленную партию из пяти доработанных грузовиков ЯГ-10. Подобная оперативность оказалась возможной благодаря тому, что освоение трехосных грузовиков не требовало приобретения заводом какого-либо нового технологического оборудования или постройки дополнительных цехов. Начало выпуска ЯГ-10 приурочили к открытию XVII Всесоюзной конференции ВКП (б), представив 8 февраля 1932 года всю первую партию «трехосок» делегатам на Красной площади в Москве (25595).</w:t>
      </w:r>
    </w:p>
    <w:p w14:paraId="3CF3620E" w14:textId="77777777" w:rsidR="00C11934" w:rsidRPr="00142305" w:rsidRDefault="00C11934" w:rsidP="00C11934">
      <w:pPr>
        <w:spacing w:after="0" w:line="240" w:lineRule="auto"/>
        <w:jc w:val="both"/>
        <w:rPr>
          <w:rFonts w:ascii="Times New Roman" w:hAnsi="Times New Roman"/>
          <w:color w:val="0070C0"/>
          <w:sz w:val="16"/>
          <w:szCs w:val="16"/>
        </w:rPr>
      </w:pPr>
    </w:p>
    <w:p w14:paraId="36E9BD56"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401169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71B7E93" w14:textId="77777777" w:rsidR="0069380D" w:rsidRPr="005E779E" w:rsidRDefault="0069380D" w:rsidP="000B7A6C">
      <w:pPr>
        <w:pStyle w:val="ae"/>
        <w:spacing w:before="0" w:after="0"/>
        <w:jc w:val="both"/>
        <w:rPr>
          <w:color w:val="000000" w:themeColor="text1"/>
          <w:sz w:val="16"/>
          <w:szCs w:val="16"/>
        </w:rPr>
      </w:pPr>
      <w:r w:rsidRPr="005E779E">
        <w:rPr>
          <w:color w:val="000000" w:themeColor="text1"/>
          <w:sz w:val="16"/>
          <w:szCs w:val="16"/>
        </w:rPr>
        <w:t xml:space="preserve">16 ноября 1931 года в Сталина пытался выстрелить Огарёв — белый офицер и секретный сотрудник английской разведки, работавший по линии РОВС (Русского общевоинского союза) и по линии нефтяной секции Торгпрома. Он случайно встретил И. В. Сталина на улице Ильинка около д. 5/2 и попытался выхватить револьвер. Следивший за ним сотрудник ОГПУ помешал покушению. После этого инцидента на записке зам. председателя ОГПУ Акулова по поводу произошедшего была наложена резолюция: «Членам Политбюро. Пешее хождение т. Сталину по Москве надо прекратить. В. Молотов» (подписались также Каганович, Калинин, Куйбышев) (17371). </w:t>
      </w:r>
    </w:p>
    <w:p w14:paraId="74D3B6AC" w14:textId="77777777" w:rsidR="0069380D" w:rsidRPr="005E779E" w:rsidRDefault="0069380D" w:rsidP="000B7A6C">
      <w:pPr>
        <w:pStyle w:val="ae"/>
        <w:spacing w:before="0" w:after="0"/>
        <w:jc w:val="both"/>
        <w:rPr>
          <w:color w:val="000000" w:themeColor="text1"/>
          <w:sz w:val="16"/>
          <w:szCs w:val="16"/>
        </w:rPr>
      </w:pPr>
    </w:p>
    <w:p w14:paraId="7913EC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 ноября 1931 приказом ОГПУ № 667/359 «О строительстве Беломорско-Балтийского водного пути» все работы по каналу перешли к вновь созданному Управлению строительства Беломорско-Балтийского водного пути ОГПУ во главе с Л. И. Коганом (по совместительству с должностью начальника Гулага), чьим заместителем также по совместительству стал помощник начальника ГУЛАГа Я. Д. Рапопорт. Они должны были лично руководить строительством, поочередно находясь непосредственно на месте работ. В составе ГУЛАГа была создана специальная группа по снабжению Беломорстроя (7560). Этим же приказом для строительства канала создавался Беломорско-Балтийский лагерь, который возглавил Э. И. Сенкевич, ранее бывший начальником Свирского ИТЛ ОГПУ (созданного незадолго перед тем в городе Лодейное Поле на базе отделений Соловецкого лагеря и снабжавшего дровами Ленинград) (7560).</w:t>
      </w:r>
    </w:p>
    <w:p w14:paraId="0C69B7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EC3C3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16 ноября 1931 г. на базе Соловецких и Карело-Мурманских лагерей был сформирован Беломорско-Балтийский исправительно-трудовой лагерь, задачей которого и являлось осуществление строительства канала. Число заключенных в лагере постепенно росло. Согласно имеющимся данным, на 1.01.1931 в Соловецком лагере числилось 71 800 чел. В дальнейшем данные выглядят следующим образом: 1.04.31–72 000 чел.; 1.07.31–83 700 чел.; 1.10.31–64 100 чел; 1.01.32 уже в Белбалтлаге - 64 400 чел; 1.04.32–80 200 чел; 1.07.32 - 122 800 чел; 1.10.32 - 125 000 чел; 1.01.33 - 107 900 чел; 104.33 - 119 660 чел; 1.07.33–66 971 чел. (началась переброска заключенных на строительство канала Москва - Волга и освобождение наиболее отличившихся). </w:t>
      </w:r>
    </w:p>
    <w:p w14:paraId="472CB2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Колебание численности зависело как от интенсивности движения спецконтингента (переводы в другие места, освобождения, побеги), так и от уровня смертности. За годы строительства уровень смертности в Беломорско-Балтийском ИТЛ колебался. В 1931 г. умерло 1438 чел., что составило 2,24 % от среднегодовой численности заключенных. В 1932 г. умерло 2010 чел., или 2,03 % среднегодовой численности. При этом наблюдается увеличение числа умерших к концу года. Вот как выглядела динамика смертности по месяцам: январь - 64 умерших; февраль - 42; март - 36; апрель - 75; май - 69; июнь - 89; июль - 116; август - 244; сентябрь - 331; октябрь - 313; ноябрь - 315; декабрь - 312. Повышение уровня смертности можно объяснить как возросшим уровнем производственных потерь (именно 1932 г. предусматривал выполнение наибольшего объема тяжелых работ), так и ухудшением продовольственной ситуации в стране, что сказывалось на состоянии прибывавших в лагерь пополнений и на питании заключенных. </w:t>
      </w:r>
    </w:p>
    <w:p w14:paraId="18C0B9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Здесь целесообразно привести таблицу 2, показывающую характер изменений норм питания заключенных в 1933 году по сравнению с 1932 г. </w:t>
      </w:r>
    </w:p>
    <w:p w14:paraId="349CC7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Таблица 2. Нормы питания заключенных Белбалтлага в 1932–1933 г. г. (на одного человека) Наименование продуктов Нормы 1932 г. (месячные) Нормы 1933 г. (месячные) Мука (кг) 23,5 17,16 Крупа (кг) 5,75 2,25 Макароны (кг) 0,5 0.4 Масло растительное (в литрах) 1,0 0,3 Жиры животные (кг) 0,15 Нет Сахар (кг) 0,95 0,6 Кондитерские изделия (кг) 0.5 0,5 Консервы разные 2 банки 1,5 банки </w:t>
      </w:r>
    </w:p>
    <w:p w14:paraId="7DA208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условиях, когда ручной труд являлся основным, многое зависело от организации работы масс заключенных. На Беломорстрое сформировалось два основных вида производственных объединений: бригады и фаланги. Бригадой называлось объединение, состоявшее из 25–30 человек и специализирующееся на выполнении определенного вида работ (землекопы, арматурщики, тачечники и др.). Фаланга состояла из 250–300 человек и выполняла полный комплекс работ на закрепленном за ней участке. Оба эти типа объединений существовали параллельно. </w:t>
      </w:r>
    </w:p>
    <w:p w14:paraId="4C1CDC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Важную роль играло стимулирование заключенных на выполнение и перевыполнение норм выработки (на земляных работах эта норма составляла 2,5 кубометра в день). Помимо моральных стимулов (вручение бригаде или фаланге почетного знамени, благодарности и грамоты, помещение имен отличившихся на доску почета) применялись и материальные стимулы. Выполнявшие и перевыполнявшие нормы получали усиленный хлебный паек (до 1200 г), премблюдо (обычно 75-граммовые пирожки с капустой или картофелем), денежное вознаграждение. Но самым желанным стимулом был зачет рабочих дней Перевыполняющие нормы выработки могли рассчитывать на зачет трех рабочих дней за 5 дней срока, а для ударников зачет составлял "день за два". В то же время в случае нарушения дисциплины либо фальсификации производственных показателей применялись наказания в виде урезания пайка, помещения в роту усиленного режима, отмены зачетов, предания суду (12107).</w:t>
      </w:r>
    </w:p>
    <w:p w14:paraId="0A4DAA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09CBBBA"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77DAB3F2"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F1D2B2F" w14:textId="77777777" w:rsidR="00723FFB" w:rsidRPr="005E779E" w:rsidRDefault="00723F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 ноября 1931 г. на заседании в ВАО по выполнению плана опытного самолетостроения ЦАГИ по программе 1932 г. в присутствии начальника УВВС П.И. Баранова выяснилось отсутствие в планах Института работ по совершенствованию самолета И-7 – начальнику ЦАГИ Н.М. Харламову поручили выяснить их целесообразность (24331).</w:t>
      </w:r>
    </w:p>
    <w:p w14:paraId="0D0E887D" w14:textId="77777777" w:rsidR="00723FFB" w:rsidRPr="005E779E" w:rsidRDefault="00723FFB" w:rsidP="000B7A6C">
      <w:pPr>
        <w:spacing w:after="0" w:line="240" w:lineRule="auto"/>
        <w:jc w:val="both"/>
        <w:rPr>
          <w:rFonts w:ascii="Times New Roman" w:hAnsi="Times New Roman"/>
          <w:color w:val="000000" w:themeColor="text1"/>
          <w:sz w:val="16"/>
          <w:szCs w:val="16"/>
        </w:rPr>
      </w:pPr>
    </w:p>
    <w:p w14:paraId="1C3641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 ноября 1931 состоялся первый полет автожира ЦАГИ-2ЭА (237,162). Летал С.А.Корзинщиков (391,51).</w:t>
      </w:r>
    </w:p>
    <w:p w14:paraId="688AFF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777CCE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 ноября 1931 г. на Центральном аэродроме летчи</w:t>
      </w:r>
      <w:r w:rsidRPr="005E779E">
        <w:rPr>
          <w:rFonts w:ascii="Times New Roman" w:hAnsi="Times New Roman"/>
          <w:color w:val="000000" w:themeColor="text1"/>
          <w:sz w:val="16"/>
          <w:szCs w:val="16"/>
        </w:rPr>
        <w:softHyphen/>
        <w:t>к-испытатель С. А. Корзинщиков выполнил первый успешный полет на автожире ЦАГИ-2ЭА. Позже был совершен ряд полетов, в результате которых непрерывно модифицировалась кон</w:t>
      </w:r>
      <w:r w:rsidRPr="005E779E">
        <w:rPr>
          <w:rFonts w:ascii="Times New Roman" w:hAnsi="Times New Roman"/>
          <w:color w:val="000000" w:themeColor="text1"/>
          <w:sz w:val="16"/>
          <w:szCs w:val="16"/>
        </w:rPr>
        <w:softHyphen/>
        <w:t>струкция автожира. В одном из полетов при демонстрации авто</w:t>
      </w:r>
      <w:r w:rsidRPr="005E779E">
        <w:rPr>
          <w:rFonts w:ascii="Times New Roman" w:hAnsi="Times New Roman"/>
          <w:color w:val="000000" w:themeColor="text1"/>
          <w:sz w:val="16"/>
          <w:szCs w:val="16"/>
        </w:rPr>
        <w:softHyphen/>
        <w:t>жира начальнику ВВС Я. Н. Алкснису произошла авария. При за</w:t>
      </w:r>
      <w:r w:rsidRPr="005E779E">
        <w:rPr>
          <w:rFonts w:ascii="Times New Roman" w:hAnsi="Times New Roman"/>
          <w:color w:val="000000" w:themeColor="text1"/>
          <w:sz w:val="16"/>
          <w:szCs w:val="16"/>
        </w:rPr>
        <w:softHyphen/>
        <w:t>вершении полета уже при посадке с пробегом произошел неуправ</w:t>
      </w:r>
      <w:r w:rsidRPr="005E779E">
        <w:rPr>
          <w:rFonts w:ascii="Times New Roman" w:hAnsi="Times New Roman"/>
          <w:color w:val="000000" w:themeColor="text1"/>
          <w:sz w:val="16"/>
          <w:szCs w:val="16"/>
        </w:rPr>
        <w:softHyphen/>
        <w:t>ляемый разворот, автожир скапотировал и был поврежден (10736).</w:t>
      </w:r>
    </w:p>
    <w:p w14:paraId="09FB9A4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CEF1DF" w14:textId="77777777" w:rsidR="004F04A7" w:rsidRPr="005E779E" w:rsidRDefault="004F04A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 ноября 1931 г. автожир ЦАГИ 2-ЭА впер</w:t>
      </w:r>
      <w:r w:rsidRPr="005E779E">
        <w:rPr>
          <w:rFonts w:ascii="Times New Roman" w:hAnsi="Times New Roman"/>
          <w:color w:val="000000" w:themeColor="text1"/>
          <w:sz w:val="16"/>
          <w:szCs w:val="16"/>
        </w:rPr>
        <w:softHyphen/>
        <w:t>вые поднялся в воздух. Практически с началом полетов ЦАГИ 2-ЭА автожирная тематика в ЦАГИ начала набирать обороты. Для расшире</w:t>
      </w:r>
      <w:r w:rsidRPr="005E779E">
        <w:rPr>
          <w:rFonts w:ascii="Times New Roman" w:hAnsi="Times New Roman"/>
          <w:color w:val="000000" w:themeColor="text1"/>
          <w:sz w:val="16"/>
          <w:szCs w:val="16"/>
        </w:rPr>
        <w:softHyphen/>
        <w:t>ния фронта работ сюда пригласили авторов КАСКР, кон</w:t>
      </w:r>
      <w:r w:rsidRPr="005E779E">
        <w:rPr>
          <w:rFonts w:ascii="Times New Roman" w:hAnsi="Times New Roman"/>
          <w:color w:val="000000" w:themeColor="text1"/>
          <w:sz w:val="16"/>
          <w:szCs w:val="16"/>
        </w:rPr>
        <w:softHyphen/>
        <w:t>структоров Камова и Скржинского. С ноября 1931 г. Камов является начальником конструкторской бригады № 2 СОК ЦАГИ и первоначально предполагает дальнейшее совер</w:t>
      </w:r>
      <w:r w:rsidRPr="005E779E">
        <w:rPr>
          <w:rFonts w:ascii="Times New Roman" w:hAnsi="Times New Roman"/>
          <w:color w:val="000000" w:themeColor="text1"/>
          <w:sz w:val="16"/>
          <w:szCs w:val="16"/>
        </w:rPr>
        <w:softHyphen/>
        <w:t>шенствование автожира под обозначением КАСКР-4. В дальнейшем на основе этого проекта появился автожир А- 7, предназначенный для использования в качестве артил</w:t>
      </w:r>
      <w:r w:rsidRPr="005E779E">
        <w:rPr>
          <w:rFonts w:ascii="Times New Roman" w:hAnsi="Times New Roman"/>
          <w:color w:val="000000" w:themeColor="text1"/>
          <w:sz w:val="16"/>
          <w:szCs w:val="16"/>
        </w:rPr>
        <w:softHyphen/>
        <w:t>лерийского корректировщика.</w:t>
      </w:r>
    </w:p>
    <w:p w14:paraId="0521AE30" w14:textId="77777777" w:rsidR="004F04A7" w:rsidRPr="005E779E" w:rsidRDefault="004F04A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Однако не только будущий А-7 занимал голову конструк</w:t>
      </w:r>
      <w:r w:rsidRPr="005E779E">
        <w:rPr>
          <w:rFonts w:ascii="Times New Roman" w:hAnsi="Times New Roman"/>
          <w:color w:val="000000" w:themeColor="text1"/>
          <w:sz w:val="16"/>
          <w:szCs w:val="16"/>
        </w:rPr>
        <w:softHyphen/>
        <w:t>тора Камова, он буквально генерировал идеи, связанные с автожирами. Одним из первых он предложил сбрасывать торпеды с самолетов при помощи складных авторотиру</w:t>
      </w:r>
      <w:r w:rsidRPr="005E779E">
        <w:rPr>
          <w:rFonts w:ascii="Times New Roman" w:hAnsi="Times New Roman"/>
          <w:color w:val="000000" w:themeColor="text1"/>
          <w:sz w:val="16"/>
          <w:szCs w:val="16"/>
        </w:rPr>
        <w:softHyphen/>
        <w:t>ющих устройств (высотная торпеда Камова - ВТК). После сброса торпеды лопасти ротора переводились из транс</w:t>
      </w:r>
      <w:r w:rsidRPr="005E779E">
        <w:rPr>
          <w:rFonts w:ascii="Times New Roman" w:hAnsi="Times New Roman"/>
          <w:color w:val="000000" w:themeColor="text1"/>
          <w:sz w:val="16"/>
          <w:szCs w:val="16"/>
        </w:rPr>
        <w:softHyphen/>
        <w:t>портного положения в рабочее и раскручивались порохо</w:t>
      </w:r>
      <w:r w:rsidRPr="005E779E">
        <w:rPr>
          <w:rFonts w:ascii="Times New Roman" w:hAnsi="Times New Roman"/>
          <w:color w:val="000000" w:themeColor="text1"/>
          <w:sz w:val="16"/>
          <w:szCs w:val="16"/>
        </w:rPr>
        <w:softHyphen/>
        <w:t>выми ракетами, установленными на их концах. В 1933 г. в ЦАГИ провели испытания моделей таких торпед, которые показали безотказное раскрытие лопастей и раскручива</w:t>
      </w:r>
      <w:r w:rsidRPr="005E779E">
        <w:rPr>
          <w:rFonts w:ascii="Times New Roman" w:hAnsi="Times New Roman"/>
          <w:color w:val="000000" w:themeColor="text1"/>
          <w:sz w:val="16"/>
          <w:szCs w:val="16"/>
        </w:rPr>
        <w:softHyphen/>
        <w:t>ние ротора до полных оборотов. Признавалось, что про</w:t>
      </w:r>
      <w:r w:rsidRPr="005E779E">
        <w:rPr>
          <w:rFonts w:ascii="Times New Roman" w:hAnsi="Times New Roman"/>
          <w:color w:val="000000" w:themeColor="text1"/>
          <w:sz w:val="16"/>
          <w:szCs w:val="16"/>
        </w:rPr>
        <w:softHyphen/>
        <w:t>екты Камова грамотны и своевременны, однако до прак</w:t>
      </w:r>
      <w:r w:rsidRPr="005E779E">
        <w:rPr>
          <w:rFonts w:ascii="Times New Roman" w:hAnsi="Times New Roman"/>
          <w:color w:val="000000" w:themeColor="text1"/>
          <w:sz w:val="16"/>
          <w:szCs w:val="16"/>
        </w:rPr>
        <w:softHyphen/>
        <w:t>тического использования они не доводились. (20361).</w:t>
      </w:r>
    </w:p>
    <w:p w14:paraId="7824276C" w14:textId="77777777" w:rsidR="004F04A7" w:rsidRPr="005E779E" w:rsidRDefault="004F04A7" w:rsidP="000B7A6C">
      <w:pPr>
        <w:shd w:val="clear" w:color="auto" w:fill="FFFFFF"/>
        <w:spacing w:after="0" w:line="240" w:lineRule="auto"/>
        <w:jc w:val="both"/>
        <w:rPr>
          <w:rFonts w:ascii="Times New Roman" w:hAnsi="Times New Roman"/>
          <w:color w:val="000000" w:themeColor="text1"/>
          <w:sz w:val="16"/>
          <w:szCs w:val="16"/>
        </w:rPr>
      </w:pPr>
    </w:p>
    <w:p w14:paraId="7EF630F7" w14:textId="77777777" w:rsidR="004F04A7" w:rsidRPr="005E779E" w:rsidRDefault="004F04A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 ноя</w:t>
      </w:r>
      <w:r w:rsidRPr="005E779E">
        <w:rPr>
          <w:rFonts w:ascii="Times New Roman" w:hAnsi="Times New Roman"/>
          <w:color w:val="000000" w:themeColor="text1"/>
          <w:sz w:val="16"/>
          <w:szCs w:val="16"/>
        </w:rPr>
        <w:softHyphen/>
        <w:t>бря 1931 г. ранним утром первый полет на автожире ЦАГИ 2-ЭА совершил летчик С.А. Корзинщиков. Присутствовали А.М. Черемухин, И.П. Братухин, М.Л. Миль, В.А. Кузнецов, М.А. Тайц. После раскрутки ротора автожир взлетел, сделал несколько кругов над Ходынкой и благо</w:t>
      </w:r>
      <w:r w:rsidRPr="005E779E">
        <w:rPr>
          <w:rFonts w:ascii="Times New Roman" w:hAnsi="Times New Roman"/>
          <w:color w:val="000000" w:themeColor="text1"/>
          <w:sz w:val="16"/>
          <w:szCs w:val="16"/>
        </w:rPr>
        <w:softHyphen/>
        <w:t>получно приземлился. Через несколько дней 2-ЭА произ</w:t>
      </w:r>
      <w:r w:rsidRPr="005E779E">
        <w:rPr>
          <w:rFonts w:ascii="Times New Roman" w:hAnsi="Times New Roman"/>
          <w:color w:val="000000" w:themeColor="text1"/>
          <w:sz w:val="16"/>
          <w:szCs w:val="16"/>
        </w:rPr>
        <w:softHyphen/>
        <w:t>вел облет Москвы в районе ЦАГИ в сопровождении само</w:t>
      </w:r>
      <w:r w:rsidRPr="005E779E">
        <w:rPr>
          <w:rFonts w:ascii="Times New Roman" w:hAnsi="Times New Roman"/>
          <w:color w:val="000000" w:themeColor="text1"/>
          <w:sz w:val="16"/>
          <w:szCs w:val="16"/>
        </w:rPr>
        <w:softHyphen/>
        <w:t>лета Р-5. Все сотрудники ЦАГИ и опытного завода высы</w:t>
      </w:r>
      <w:r w:rsidRPr="005E779E">
        <w:rPr>
          <w:rFonts w:ascii="Times New Roman" w:hAnsi="Times New Roman"/>
          <w:color w:val="000000" w:themeColor="text1"/>
          <w:sz w:val="16"/>
          <w:szCs w:val="16"/>
        </w:rPr>
        <w:softHyphen/>
        <w:t>пали на улицу, чтобы посмотреть летящий в небе автожир, созданный при их участии.</w:t>
      </w:r>
    </w:p>
    <w:p w14:paraId="45C17249" w14:textId="77777777" w:rsidR="004F04A7" w:rsidRPr="005E779E" w:rsidRDefault="004F04A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Несмотря на удачное начало испы</w:t>
      </w:r>
      <w:r w:rsidRPr="005E779E">
        <w:rPr>
          <w:rFonts w:ascii="Times New Roman" w:hAnsi="Times New Roman"/>
          <w:color w:val="000000" w:themeColor="text1"/>
          <w:sz w:val="16"/>
          <w:szCs w:val="16"/>
        </w:rPr>
        <w:softHyphen/>
        <w:t>таний, скоро проявились недостатки, особо присущие ав</w:t>
      </w:r>
      <w:r w:rsidRPr="005E779E">
        <w:rPr>
          <w:rFonts w:ascii="Times New Roman" w:hAnsi="Times New Roman"/>
          <w:color w:val="000000" w:themeColor="text1"/>
          <w:sz w:val="16"/>
          <w:szCs w:val="16"/>
        </w:rPr>
        <w:softHyphen/>
        <w:t>тожирам крыльевой схемы. На пробеге, на малой скорости автожир становился практически неуправляемым, его силь</w:t>
      </w:r>
      <w:r w:rsidRPr="005E779E">
        <w:rPr>
          <w:rFonts w:ascii="Times New Roman" w:hAnsi="Times New Roman"/>
          <w:color w:val="000000" w:themeColor="text1"/>
          <w:sz w:val="16"/>
          <w:szCs w:val="16"/>
        </w:rPr>
        <w:softHyphen/>
        <w:t>но раскачивало. Достаточно было небольшого бокового ветерка, чтобы завалить аппарат на бок. Инженер Изаксон так описал один из эпизодов испытания ЦАГИ 2-ЭА:</w:t>
      </w:r>
    </w:p>
    <w:p w14:paraId="294A2C6B" w14:textId="77777777" w:rsidR="004F04A7" w:rsidRPr="005E779E" w:rsidRDefault="004F04A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«Машина, которая подвергалась испытаниям, вообще бы</w:t>
      </w:r>
      <w:r w:rsidRPr="005E779E">
        <w:rPr>
          <w:rFonts w:ascii="Times New Roman" w:hAnsi="Times New Roman"/>
          <w:color w:val="000000" w:themeColor="text1"/>
          <w:sz w:val="16"/>
          <w:szCs w:val="16"/>
        </w:rPr>
        <w:softHyphen/>
        <w:t>ла очень удачна, поэтому однажды ее решили показать На</w:t>
      </w:r>
      <w:r w:rsidRPr="005E779E">
        <w:rPr>
          <w:rFonts w:ascii="Times New Roman" w:hAnsi="Times New Roman"/>
          <w:color w:val="000000" w:themeColor="text1"/>
          <w:sz w:val="16"/>
          <w:szCs w:val="16"/>
        </w:rPr>
        <w:softHyphen/>
        <w:t>чальнику ВВС Якову Алкснису. Пригласили его на Цент</w:t>
      </w:r>
      <w:r w:rsidRPr="005E779E">
        <w:rPr>
          <w:rFonts w:ascii="Times New Roman" w:hAnsi="Times New Roman"/>
          <w:color w:val="000000" w:themeColor="text1"/>
          <w:sz w:val="16"/>
          <w:szCs w:val="16"/>
        </w:rPr>
        <w:softHyphen/>
        <w:t>ральный аэродром, туда, где нынешний «Аэропорт», стан</w:t>
      </w:r>
      <w:r w:rsidRPr="005E779E">
        <w:rPr>
          <w:rFonts w:ascii="Times New Roman" w:hAnsi="Times New Roman"/>
          <w:color w:val="000000" w:themeColor="text1"/>
          <w:sz w:val="16"/>
          <w:szCs w:val="16"/>
        </w:rPr>
        <w:softHyphen/>
        <w:t>ция метро. Он приехал с группой своих офицеров. Наш испытатель летчик Корзинщиков поднялся в воздух. Это было очень эффектно. Он поднялся с очень маленького разбега, летал на двух тысячах, потом показал скорость очень маёенькую, скорость большую. Сел прекрасно и в этот момент его развернуёо, он завалился на бок, сломаё ротор, так, что вся «обедня» оказаёась испорчена.</w:t>
      </w:r>
    </w:p>
    <w:p w14:paraId="1D96CCCE" w14:textId="77777777" w:rsidR="004F04A7" w:rsidRPr="005E779E" w:rsidRDefault="004F04A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Конечно, Алкснис не знал истинной причины и решил, что стартер (т.е. дежурный, указывающий направёение стар</w:t>
      </w:r>
      <w:r w:rsidRPr="005E779E">
        <w:rPr>
          <w:rFonts w:ascii="Times New Roman" w:hAnsi="Times New Roman"/>
          <w:color w:val="000000" w:themeColor="text1"/>
          <w:sz w:val="16"/>
          <w:szCs w:val="16"/>
        </w:rPr>
        <w:softHyphen/>
        <w:t>та в соответствии с направёением ветра) непра- виёьно даё старт, поэтому посадка быёа выпоёнена с боковиком. И даже даё этому стартеру 10 суток гауптвах</w:t>
      </w:r>
      <w:r w:rsidRPr="005E779E">
        <w:rPr>
          <w:rFonts w:ascii="Times New Roman" w:hAnsi="Times New Roman"/>
          <w:color w:val="000000" w:themeColor="text1"/>
          <w:sz w:val="16"/>
          <w:szCs w:val="16"/>
        </w:rPr>
        <w:softHyphen/>
        <w:t>ты. Но мы-то поняёи, что стартер не причем, что это ор</w:t>
      </w:r>
      <w:r w:rsidRPr="005E779E">
        <w:rPr>
          <w:rFonts w:ascii="Times New Roman" w:hAnsi="Times New Roman"/>
          <w:color w:val="000000" w:themeColor="text1"/>
          <w:sz w:val="16"/>
          <w:szCs w:val="16"/>
        </w:rPr>
        <w:softHyphen/>
        <w:t>ганический порок этих машин: неуправёяемый разворот посёе посадки».</w:t>
      </w:r>
    </w:p>
    <w:p w14:paraId="3D3BBCB3" w14:textId="77777777" w:rsidR="004F04A7" w:rsidRPr="005E779E" w:rsidRDefault="004F04A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 после указанного случая авария повторилась. Начали искать причину, наиболее активно этим вопро</w:t>
      </w:r>
      <w:r w:rsidRPr="005E779E">
        <w:rPr>
          <w:rFonts w:ascii="Times New Roman" w:hAnsi="Times New Roman"/>
          <w:color w:val="000000" w:themeColor="text1"/>
          <w:sz w:val="16"/>
          <w:szCs w:val="16"/>
        </w:rPr>
        <w:softHyphen/>
        <w:t>сом занимался М.Л. Миль, который провел исследование «О неуправляемых разворотах автожиров при посадке». Это была его первая научная работа, посвященная проблемам винтокрылых аппаратов.</w:t>
      </w:r>
    </w:p>
    <w:p w14:paraId="37C2EBE8" w14:textId="77777777" w:rsidR="004F04A7" w:rsidRPr="005E779E" w:rsidRDefault="004F04A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продолжении летных испытаний ЦАГИ 2-ЭА на ско</w:t>
      </w:r>
      <w:r w:rsidRPr="005E779E">
        <w:rPr>
          <w:rFonts w:ascii="Times New Roman" w:hAnsi="Times New Roman"/>
          <w:color w:val="000000" w:themeColor="text1"/>
          <w:sz w:val="16"/>
          <w:szCs w:val="16"/>
        </w:rPr>
        <w:softHyphen/>
        <w:t>ростях 120—130 км/ч отмечалось биение ротора, причиной которого считалась недостаточная жесткость лопастей, ведущая к различной их закрутке в полете. В основном проблему удалось решить, используя в лонжеронах лопа</w:t>
      </w:r>
      <w:r w:rsidRPr="005E779E">
        <w:rPr>
          <w:rFonts w:ascii="Times New Roman" w:hAnsi="Times New Roman"/>
          <w:color w:val="000000" w:themeColor="text1"/>
          <w:sz w:val="16"/>
          <w:szCs w:val="16"/>
        </w:rPr>
        <w:softHyphen/>
        <w:t>стей стальные хромомолибденовые трубы взамен ранее используемых труб из углеродистой стали.</w:t>
      </w:r>
    </w:p>
    <w:p w14:paraId="4BE0E4B1" w14:textId="77777777" w:rsidR="004F04A7" w:rsidRPr="005E779E" w:rsidRDefault="004F04A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одном из полетов, по причине остановки двигателя, ав</w:t>
      </w:r>
      <w:r w:rsidRPr="005E779E">
        <w:rPr>
          <w:rFonts w:ascii="Times New Roman" w:hAnsi="Times New Roman"/>
          <w:color w:val="000000" w:themeColor="text1"/>
          <w:sz w:val="16"/>
          <w:szCs w:val="16"/>
        </w:rPr>
        <w:softHyphen/>
        <w:t>тожир совершил вполне благополучный планирующий спуск с высоты 70 м. В ходе испытаний, продолжающих</w:t>
      </w:r>
      <w:r w:rsidRPr="005E779E">
        <w:rPr>
          <w:rFonts w:ascii="Times New Roman" w:hAnsi="Times New Roman"/>
          <w:color w:val="000000" w:themeColor="text1"/>
          <w:sz w:val="16"/>
          <w:szCs w:val="16"/>
        </w:rPr>
        <w:softHyphen/>
        <w:t>ся в течение 1932 г., ЦАГИ 2-ЭА совершил 48 полетов об</w:t>
      </w:r>
      <w:r w:rsidRPr="005E779E">
        <w:rPr>
          <w:rFonts w:ascii="Times New Roman" w:hAnsi="Times New Roman"/>
          <w:color w:val="000000" w:themeColor="text1"/>
          <w:sz w:val="16"/>
          <w:szCs w:val="16"/>
        </w:rPr>
        <w:softHyphen/>
        <w:t>щей продолжительностью 17 ч 46 мин. Эти первые поле</w:t>
      </w:r>
      <w:r w:rsidRPr="005E779E">
        <w:rPr>
          <w:rFonts w:ascii="Times New Roman" w:hAnsi="Times New Roman"/>
          <w:color w:val="000000" w:themeColor="text1"/>
          <w:sz w:val="16"/>
          <w:szCs w:val="16"/>
        </w:rPr>
        <w:softHyphen/>
        <w:t>ты и проведение необходимых усовершенствований поз</w:t>
      </w:r>
      <w:r w:rsidRPr="005E779E">
        <w:rPr>
          <w:rFonts w:ascii="Times New Roman" w:hAnsi="Times New Roman"/>
          <w:color w:val="000000" w:themeColor="text1"/>
          <w:sz w:val="16"/>
          <w:szCs w:val="16"/>
        </w:rPr>
        <w:softHyphen/>
        <w:t>волили получить необходимый опыт для создания следующих конструкций.</w:t>
      </w:r>
    </w:p>
    <w:p w14:paraId="0DB24A19" w14:textId="77777777" w:rsidR="004F04A7" w:rsidRPr="005E779E" w:rsidRDefault="004F04A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1933 г. ЦАГИ 2-ЭА передали в агитэскадрилью им. Максима Горького, где он использовался для агитацион</w:t>
      </w:r>
      <w:r w:rsidRPr="005E779E">
        <w:rPr>
          <w:rFonts w:ascii="Times New Roman" w:hAnsi="Times New Roman"/>
          <w:color w:val="000000" w:themeColor="text1"/>
          <w:sz w:val="16"/>
          <w:szCs w:val="16"/>
        </w:rPr>
        <w:softHyphen/>
        <w:t>ных полетов в течение года. В 1934 г. после израсходова</w:t>
      </w:r>
      <w:r w:rsidRPr="005E779E">
        <w:rPr>
          <w:rFonts w:ascii="Times New Roman" w:hAnsi="Times New Roman"/>
          <w:color w:val="000000" w:themeColor="text1"/>
          <w:sz w:val="16"/>
          <w:szCs w:val="16"/>
        </w:rPr>
        <w:softHyphen/>
        <w:t>ния ресурса двигателя автожир передали в музей Осоави- ахима. Дальнейшая его судьба неизвестна.</w:t>
      </w:r>
    </w:p>
    <w:p w14:paraId="0BD154DC" w14:textId="77777777" w:rsidR="004F04A7" w:rsidRPr="005E779E" w:rsidRDefault="004F04A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Данные и характеристики ЦАГИ 2-ЭА</w:t>
      </w:r>
    </w:p>
    <w:tbl>
      <w:tblPr>
        <w:tblOverlap w:val="never"/>
        <w:tblW w:w="0" w:type="auto"/>
        <w:jc w:val="center"/>
        <w:tblLayout w:type="fixed"/>
        <w:tblCellMar>
          <w:left w:w="10" w:type="dxa"/>
          <w:right w:w="10" w:type="dxa"/>
        </w:tblCellMar>
        <w:tblLook w:val="04A0" w:firstRow="1" w:lastRow="0" w:firstColumn="1" w:lastColumn="0" w:noHBand="0" w:noVBand="1"/>
      </w:tblPr>
      <w:tblGrid>
        <w:gridCol w:w="4003"/>
        <w:gridCol w:w="1080"/>
      </w:tblGrid>
      <w:tr w:rsidR="001002C3" w:rsidRPr="005E779E" w14:paraId="0E61DB48" w14:textId="77777777" w:rsidTr="00027DFA">
        <w:trPr>
          <w:trHeight w:hRule="exact" w:val="298"/>
          <w:jc w:val="center"/>
        </w:trPr>
        <w:tc>
          <w:tcPr>
            <w:tcW w:w="4003" w:type="dxa"/>
            <w:tcBorders>
              <w:top w:val="single" w:sz="4" w:space="0" w:color="auto"/>
              <w:left w:val="single" w:sz="4" w:space="0" w:color="auto"/>
              <w:bottom w:val="nil"/>
              <w:right w:val="nil"/>
            </w:tcBorders>
            <w:vAlign w:val="bottom"/>
            <w:hideMark/>
          </w:tcPr>
          <w:p w14:paraId="78B1431A" w14:textId="77777777" w:rsidR="004F04A7" w:rsidRPr="005E779E" w:rsidRDefault="004F04A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Диаметр ротора (м)</w:t>
            </w:r>
          </w:p>
        </w:tc>
        <w:tc>
          <w:tcPr>
            <w:tcW w:w="1080" w:type="dxa"/>
            <w:tcBorders>
              <w:top w:val="single" w:sz="4" w:space="0" w:color="auto"/>
              <w:left w:val="nil"/>
              <w:bottom w:val="nil"/>
              <w:right w:val="single" w:sz="4" w:space="0" w:color="auto"/>
            </w:tcBorders>
            <w:vAlign w:val="bottom"/>
            <w:hideMark/>
          </w:tcPr>
          <w:p w14:paraId="43682BB7" w14:textId="77777777" w:rsidR="004F04A7" w:rsidRPr="005E779E" w:rsidRDefault="004F04A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12,0</w:t>
            </w:r>
          </w:p>
        </w:tc>
      </w:tr>
      <w:tr w:rsidR="001002C3" w:rsidRPr="005E779E" w14:paraId="39E2CB08" w14:textId="77777777" w:rsidTr="00027DFA">
        <w:trPr>
          <w:trHeight w:hRule="exact" w:val="197"/>
          <w:jc w:val="center"/>
        </w:trPr>
        <w:tc>
          <w:tcPr>
            <w:tcW w:w="4003" w:type="dxa"/>
            <w:tcBorders>
              <w:top w:val="nil"/>
              <w:left w:val="single" w:sz="4" w:space="0" w:color="auto"/>
              <w:bottom w:val="nil"/>
              <w:right w:val="nil"/>
            </w:tcBorders>
            <w:hideMark/>
          </w:tcPr>
          <w:p w14:paraId="5B261DCA" w14:textId="77777777" w:rsidR="004F04A7" w:rsidRPr="005E779E" w:rsidRDefault="004F04A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Длина без ротора (м)</w:t>
            </w:r>
          </w:p>
        </w:tc>
        <w:tc>
          <w:tcPr>
            <w:tcW w:w="1080" w:type="dxa"/>
            <w:tcBorders>
              <w:top w:val="nil"/>
              <w:left w:val="nil"/>
              <w:bottom w:val="nil"/>
              <w:right w:val="single" w:sz="4" w:space="0" w:color="auto"/>
            </w:tcBorders>
            <w:hideMark/>
          </w:tcPr>
          <w:p w14:paraId="6051B6E8" w14:textId="77777777" w:rsidR="004F04A7" w:rsidRPr="005E779E" w:rsidRDefault="004F04A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6,295</w:t>
            </w:r>
          </w:p>
        </w:tc>
      </w:tr>
      <w:tr w:rsidR="001002C3" w:rsidRPr="005E779E" w14:paraId="2C72788F" w14:textId="77777777" w:rsidTr="00027DFA">
        <w:trPr>
          <w:trHeight w:hRule="exact" w:val="192"/>
          <w:jc w:val="center"/>
        </w:trPr>
        <w:tc>
          <w:tcPr>
            <w:tcW w:w="4003" w:type="dxa"/>
            <w:tcBorders>
              <w:top w:val="nil"/>
              <w:left w:val="single" w:sz="4" w:space="0" w:color="auto"/>
              <w:bottom w:val="nil"/>
              <w:right w:val="nil"/>
            </w:tcBorders>
            <w:vAlign w:val="bottom"/>
            <w:hideMark/>
          </w:tcPr>
          <w:p w14:paraId="4C93C933" w14:textId="77777777" w:rsidR="004F04A7" w:rsidRPr="005E779E" w:rsidRDefault="004F04A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Высота в линии полета (м)</w:t>
            </w:r>
          </w:p>
        </w:tc>
        <w:tc>
          <w:tcPr>
            <w:tcW w:w="1080" w:type="dxa"/>
            <w:tcBorders>
              <w:top w:val="nil"/>
              <w:left w:val="nil"/>
              <w:bottom w:val="nil"/>
              <w:right w:val="single" w:sz="4" w:space="0" w:color="auto"/>
            </w:tcBorders>
            <w:vAlign w:val="bottom"/>
            <w:hideMark/>
          </w:tcPr>
          <w:p w14:paraId="5C9A7474" w14:textId="77777777" w:rsidR="004F04A7" w:rsidRPr="005E779E" w:rsidRDefault="004F04A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3,291</w:t>
            </w:r>
          </w:p>
        </w:tc>
      </w:tr>
      <w:tr w:rsidR="001002C3" w:rsidRPr="005E779E" w14:paraId="290CF603" w14:textId="77777777" w:rsidTr="00027DFA">
        <w:trPr>
          <w:trHeight w:hRule="exact" w:val="206"/>
          <w:jc w:val="center"/>
        </w:trPr>
        <w:tc>
          <w:tcPr>
            <w:tcW w:w="4003" w:type="dxa"/>
            <w:tcBorders>
              <w:top w:val="nil"/>
              <w:left w:val="single" w:sz="4" w:space="0" w:color="auto"/>
              <w:bottom w:val="nil"/>
              <w:right w:val="nil"/>
            </w:tcBorders>
            <w:vAlign w:val="bottom"/>
            <w:hideMark/>
          </w:tcPr>
          <w:p w14:paraId="3E87C770" w14:textId="77777777" w:rsidR="004F04A7" w:rsidRPr="005E779E" w:rsidRDefault="004F04A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Размах крыла (м)</w:t>
            </w:r>
          </w:p>
        </w:tc>
        <w:tc>
          <w:tcPr>
            <w:tcW w:w="1080" w:type="dxa"/>
            <w:tcBorders>
              <w:top w:val="nil"/>
              <w:left w:val="nil"/>
              <w:bottom w:val="nil"/>
              <w:right w:val="single" w:sz="4" w:space="0" w:color="auto"/>
            </w:tcBorders>
            <w:vAlign w:val="bottom"/>
            <w:hideMark/>
          </w:tcPr>
          <w:p w14:paraId="79FAE415" w14:textId="77777777" w:rsidR="004F04A7" w:rsidRPr="005E779E" w:rsidRDefault="004F04A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6,726</w:t>
            </w:r>
          </w:p>
        </w:tc>
      </w:tr>
      <w:tr w:rsidR="001002C3" w:rsidRPr="005E779E" w14:paraId="04F78A93" w14:textId="77777777" w:rsidTr="00027DFA">
        <w:trPr>
          <w:trHeight w:hRule="exact" w:val="202"/>
          <w:jc w:val="center"/>
        </w:trPr>
        <w:tc>
          <w:tcPr>
            <w:tcW w:w="4003" w:type="dxa"/>
            <w:tcBorders>
              <w:top w:val="nil"/>
              <w:left w:val="single" w:sz="4" w:space="0" w:color="auto"/>
              <w:bottom w:val="nil"/>
              <w:right w:val="nil"/>
            </w:tcBorders>
            <w:hideMark/>
          </w:tcPr>
          <w:p w14:paraId="714698A5" w14:textId="77777777" w:rsidR="004F04A7" w:rsidRPr="005E779E" w:rsidRDefault="004F04A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пустого (кг)</w:t>
            </w:r>
          </w:p>
        </w:tc>
        <w:tc>
          <w:tcPr>
            <w:tcW w:w="1080" w:type="dxa"/>
            <w:tcBorders>
              <w:top w:val="nil"/>
              <w:left w:val="nil"/>
              <w:bottom w:val="nil"/>
              <w:right w:val="single" w:sz="4" w:space="0" w:color="auto"/>
            </w:tcBorders>
            <w:hideMark/>
          </w:tcPr>
          <w:p w14:paraId="3C5ADDB0" w14:textId="77777777" w:rsidR="004F04A7" w:rsidRPr="005E779E" w:rsidRDefault="004F04A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765</w:t>
            </w:r>
          </w:p>
        </w:tc>
      </w:tr>
      <w:tr w:rsidR="001002C3" w:rsidRPr="005E779E" w14:paraId="4233D693" w14:textId="77777777" w:rsidTr="00027DFA">
        <w:trPr>
          <w:trHeight w:hRule="exact" w:val="192"/>
          <w:jc w:val="center"/>
        </w:trPr>
        <w:tc>
          <w:tcPr>
            <w:tcW w:w="4003" w:type="dxa"/>
            <w:tcBorders>
              <w:top w:val="nil"/>
              <w:left w:val="single" w:sz="4" w:space="0" w:color="auto"/>
              <w:bottom w:val="nil"/>
              <w:right w:val="nil"/>
            </w:tcBorders>
            <w:hideMark/>
          </w:tcPr>
          <w:p w14:paraId="278BD084" w14:textId="77777777" w:rsidR="004F04A7" w:rsidRPr="005E779E" w:rsidRDefault="004F04A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Полетный вес (кг)</w:t>
            </w:r>
          </w:p>
        </w:tc>
        <w:tc>
          <w:tcPr>
            <w:tcW w:w="1080" w:type="dxa"/>
            <w:tcBorders>
              <w:top w:val="nil"/>
              <w:left w:val="nil"/>
              <w:bottom w:val="nil"/>
              <w:right w:val="single" w:sz="4" w:space="0" w:color="auto"/>
            </w:tcBorders>
            <w:hideMark/>
          </w:tcPr>
          <w:p w14:paraId="39CB2AC0" w14:textId="77777777" w:rsidR="004F04A7" w:rsidRPr="005E779E" w:rsidRDefault="004F04A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1032</w:t>
            </w:r>
          </w:p>
        </w:tc>
      </w:tr>
      <w:tr w:rsidR="001002C3" w:rsidRPr="005E779E" w14:paraId="48118DBE" w14:textId="77777777" w:rsidTr="00027DFA">
        <w:trPr>
          <w:trHeight w:hRule="exact" w:val="211"/>
          <w:jc w:val="center"/>
        </w:trPr>
        <w:tc>
          <w:tcPr>
            <w:tcW w:w="4003" w:type="dxa"/>
            <w:tcBorders>
              <w:top w:val="nil"/>
              <w:left w:val="single" w:sz="4" w:space="0" w:color="auto"/>
              <w:bottom w:val="nil"/>
              <w:right w:val="nil"/>
            </w:tcBorders>
            <w:hideMark/>
          </w:tcPr>
          <w:p w14:paraId="59BBA289" w14:textId="77777777" w:rsidR="004F04A7" w:rsidRPr="005E779E" w:rsidRDefault="004F04A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Скорость максимальная у земли (км/ч)</w:t>
            </w:r>
          </w:p>
        </w:tc>
        <w:tc>
          <w:tcPr>
            <w:tcW w:w="1080" w:type="dxa"/>
            <w:tcBorders>
              <w:top w:val="nil"/>
              <w:left w:val="nil"/>
              <w:bottom w:val="nil"/>
              <w:right w:val="single" w:sz="4" w:space="0" w:color="auto"/>
            </w:tcBorders>
            <w:hideMark/>
          </w:tcPr>
          <w:p w14:paraId="0E575982" w14:textId="77777777" w:rsidR="004F04A7" w:rsidRPr="005E779E" w:rsidRDefault="004F04A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w:t>
            </w:r>
          </w:p>
        </w:tc>
      </w:tr>
      <w:tr w:rsidR="001002C3" w:rsidRPr="005E779E" w14:paraId="24B7694A" w14:textId="77777777" w:rsidTr="00027DFA">
        <w:trPr>
          <w:trHeight w:hRule="exact" w:val="192"/>
          <w:jc w:val="center"/>
        </w:trPr>
        <w:tc>
          <w:tcPr>
            <w:tcW w:w="4003" w:type="dxa"/>
            <w:tcBorders>
              <w:top w:val="nil"/>
              <w:left w:val="single" w:sz="4" w:space="0" w:color="auto"/>
              <w:bottom w:val="nil"/>
              <w:right w:val="nil"/>
            </w:tcBorders>
            <w:hideMark/>
          </w:tcPr>
          <w:p w14:paraId="647790BB" w14:textId="77777777" w:rsidR="004F04A7" w:rsidRPr="005E779E" w:rsidRDefault="004F04A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Скорость минимальная у земли (км/ч)</w:t>
            </w:r>
          </w:p>
        </w:tc>
        <w:tc>
          <w:tcPr>
            <w:tcW w:w="1080" w:type="dxa"/>
            <w:tcBorders>
              <w:top w:val="nil"/>
              <w:left w:val="nil"/>
              <w:bottom w:val="nil"/>
              <w:right w:val="single" w:sz="4" w:space="0" w:color="auto"/>
            </w:tcBorders>
            <w:hideMark/>
          </w:tcPr>
          <w:p w14:paraId="59F8468D" w14:textId="77777777" w:rsidR="004F04A7" w:rsidRPr="005E779E" w:rsidRDefault="004F04A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53</w:t>
            </w:r>
          </w:p>
        </w:tc>
      </w:tr>
      <w:tr w:rsidR="001002C3" w:rsidRPr="005E779E" w14:paraId="39EBB986" w14:textId="77777777" w:rsidTr="00027DFA">
        <w:trPr>
          <w:trHeight w:hRule="exact" w:val="250"/>
          <w:jc w:val="center"/>
        </w:trPr>
        <w:tc>
          <w:tcPr>
            <w:tcW w:w="4003" w:type="dxa"/>
            <w:tcBorders>
              <w:top w:val="nil"/>
              <w:left w:val="single" w:sz="4" w:space="0" w:color="auto"/>
              <w:bottom w:val="single" w:sz="4" w:space="0" w:color="auto"/>
              <w:right w:val="nil"/>
            </w:tcBorders>
            <w:hideMark/>
          </w:tcPr>
          <w:p w14:paraId="2B4EFC19" w14:textId="77777777" w:rsidR="004F04A7" w:rsidRPr="005E779E" w:rsidRDefault="004F04A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Потолок(м)</w:t>
            </w:r>
          </w:p>
        </w:tc>
        <w:tc>
          <w:tcPr>
            <w:tcW w:w="1080" w:type="dxa"/>
            <w:tcBorders>
              <w:top w:val="nil"/>
              <w:left w:val="nil"/>
              <w:bottom w:val="single" w:sz="4" w:space="0" w:color="auto"/>
              <w:right w:val="single" w:sz="4" w:space="0" w:color="auto"/>
            </w:tcBorders>
            <w:hideMark/>
          </w:tcPr>
          <w:p w14:paraId="102A181D" w14:textId="77777777" w:rsidR="004F04A7" w:rsidRPr="005E779E" w:rsidRDefault="004F04A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4200</w:t>
            </w:r>
          </w:p>
        </w:tc>
      </w:tr>
    </w:tbl>
    <w:p w14:paraId="23390ADF" w14:textId="77777777" w:rsidR="004F04A7" w:rsidRPr="005E779E" w:rsidRDefault="004F04A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(20361).</w:t>
      </w:r>
    </w:p>
    <w:p w14:paraId="5E62C189" w14:textId="77777777" w:rsidR="004F04A7" w:rsidRPr="005E779E" w:rsidRDefault="004F04A7" w:rsidP="000B7A6C">
      <w:pPr>
        <w:shd w:val="clear" w:color="auto" w:fill="FFFFFF"/>
        <w:spacing w:after="0" w:line="240" w:lineRule="auto"/>
        <w:jc w:val="both"/>
        <w:rPr>
          <w:rFonts w:ascii="Times New Roman" w:hAnsi="Times New Roman"/>
          <w:color w:val="000000" w:themeColor="text1"/>
          <w:sz w:val="16"/>
          <w:szCs w:val="16"/>
        </w:rPr>
      </w:pPr>
    </w:p>
    <w:p w14:paraId="145939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 ноября 1931 состоялось заседание в ВАО по выполнению плана опытного самолетостроения ЦАГИ по программе 1932 (351). Присутствовала куча народу: П.И.Б., И.И.Повережский, Н.М.Харламов, Н.Е.Пауфлер, А.Некрасов, А.Н.Т., С.В.И., Рафаэлянц, Пурвин, К-цов, Извоччиков, Берг, Генин, Удольс..., Марьямов, Беляевский, Райн, Мальцев, Кевич, И.И.Погосский, Чернышев, Осин..., Надашкевич, Машкевич, Терехов, Четвериков, Петров, Донскер, Пчелинцев, Кливцов,...нов, Мороз, Башан, Царев, В.М.Петляков, Шпенцер, Косткин, Сидельников, Скржинский, Виганд, Бородач, Благонадежден, Гор..., Меерсон, Савичев, С.И.Кочеригин, Мороз, А.А.А.</w:t>
      </w:r>
    </w:p>
    <w:p w14:paraId="3E0B62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Говорили об И-5 М-22 (Д.П.Г. и многие другие), И-5 М-15, И-7 М-17 (сняли и поручили Н.М.Харламову выяснить), Р-5 М-17, У-2 М-11, К-5 М-15, Савойя - АССО, АП М-11, АШ М-11, ТШ-М17</w:t>
      </w:r>
    </w:p>
    <w:p w14:paraId="55C66B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"Постановили:</w:t>
      </w:r>
    </w:p>
    <w:p w14:paraId="380A83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Заказ может быть принят только на машину под мотор М-17,</w:t>
      </w:r>
    </w:p>
    <w:p w14:paraId="065CE9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Охлаждение гликолевое,</w:t>
      </w:r>
    </w:p>
    <w:p w14:paraId="356993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Безусловно - вооружение бомбардировочное,</w:t>
      </w:r>
    </w:p>
    <w:p w14:paraId="2E59D0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Вооружение пулеметное, гранатное и химическое доводится нами и испытывается НИИ и принимается в качестве отдельного заказа,</w:t>
      </w:r>
    </w:p>
    <w:p w14:paraId="469C36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В 7-ми дневный срок начальнику ЦАГИ проработать планировку изготовления двух ТШ под М-17 с возможностью установления вооружения пулеметного, химического, гранатного и бомбового и представить на утверждение,</w:t>
      </w:r>
    </w:p>
    <w:p w14:paraId="71E9E3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Признать обязательным, чтобы вторые экз. машин проходили эксплуатационные испытания для выявления дефектов внутри самого Института,</w:t>
      </w:r>
    </w:p>
    <w:p w14:paraId="34C144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Поручить т. Н.М.Харламову заявить, что левых приемников нет и тем самым задерживается работа по всем самолетам и механизмам перезяряжания, спареммум вилкам и ручкам перезаряжания,</w:t>
      </w:r>
    </w:p>
    <w:p w14:paraId="757F31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Поручить ЦАГИ выработать технические условия и чертежи для заблаговременного заказа брони;</w:t>
      </w:r>
    </w:p>
    <w:p w14:paraId="2BAC84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Принять с сведению заявление ЦАГИ, что приостановлено изготовление ТШ-М-27,</w:t>
      </w:r>
    </w:p>
    <w:p w14:paraId="146CD6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Поручить т. Н.М.Харламову, совместно с Самолетным сектором выяснить вопрос организации производства ТШ на 16-м заводе, с выездом туда на место, и этот вопрос решить Нач. ВАО. Срок - до 15 декабря" (531).</w:t>
      </w:r>
    </w:p>
    <w:p w14:paraId="2E6120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Р6, ТБ3, МДР3, АНТ9, ТБ5, АНТ-14, Z (351).</w:t>
      </w:r>
    </w:p>
    <w:p w14:paraId="5F273DD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ПРОТОКОЛ</w:t>
      </w:r>
    </w:p>
    <w:p w14:paraId="7F7C14F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ЗАСЕДАНИЯ ПО ВЫПОЛНЕНИЮ ПЛАНА ОПЫТНОГО САМОЛЕТОСТРОЕНИЯ ЦАГИ ПО ПРОГРАММЕ 1932 года</w:t>
      </w:r>
    </w:p>
    <w:p w14:paraId="563CC92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 17 ноября 1931 г.</w:t>
      </w:r>
    </w:p>
    <w:p w14:paraId="74FDC8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Присутствуют: П.И.Б., И.И.Побережский, Н.М.Харламов, Н.Е.Пауфлер, А.Некрасов, А.Н.Т., С.В.И., Рафаэлянц, Пурвин, К-цов, Извоччиков, Берг, Генин, Удольс..., Марьямов, Беляевский, Райн, Мальцев, Кевич, И.И.Погосский, Чернышев, Осин..., Надашкевич, Машкевич, Терехов, Четвериков, Петров, Донскер, Пчелинцев, Кливцов,...нов, Мороз, Башан, Царев, В.М.Петляков, Шпенцер, Косткин, Сидельников, Скржинский, Виганд, Бородач, Благонадежден, Горб, Меерсон, Савичев, С.И.Кочеригин, Мороз, А.А.А.</w:t>
      </w:r>
    </w:p>
    <w:p w14:paraId="46FD7B6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Подготовка образцов к производству 1932 г, загрузка мастерских ЦАГИ и 30-го завода</w:t>
      </w:r>
    </w:p>
    <w:p w14:paraId="0573AE3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Слушали: По машине легкого типа И-5 с М-22.</w:t>
      </w:r>
    </w:p>
    <w:p w14:paraId="41EFCD6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Постановили: (Заявление ГРИГОРОВИЧА)</w:t>
      </w:r>
    </w:p>
    <w:p w14:paraId="27A886B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10 декабря И-5 с М-22 со внесеннием в него всех изменений, выявившихся в результате эксплоатации машины в строевых частя и, в частности, во время маневров в Украинском Военной Округе, в качестве эталона, могущего служить образцов для производства на заводе № 21, будет изготовлена.</w:t>
      </w:r>
    </w:p>
    <w:p w14:paraId="07451C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 1о до 15 декабря з-дом будут проведены испытания и стрельбы и 15 декабря машина будет передана в НИИ ВВС в законченном виде для испытаний.</w:t>
      </w:r>
    </w:p>
    <w:p w14:paraId="01655A0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Поручить Т.т ИЛЬЮШИНУ, КОСТКИНУ и БОРОДАЧУ в 10-ти дневный срок составить график передачи чертежей 21 заводу.</w:t>
      </w:r>
    </w:p>
    <w:p w14:paraId="283B0A8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т.ПАУФЛЕРУ в 3-х дневный срок разработать и доложить мне (Нач. ВАО) мероприятия по обеспечению выпуска чертежей для 211 з-да по самолету И-5 с М-22 в наикратчайший срок.</w:t>
      </w:r>
    </w:p>
    <w:p w14:paraId="7C104E1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4.Технические условия должны при заключении договора определять точное описание самолета и комплекта рабочих чертежей.</w:t>
      </w:r>
    </w:p>
    <w:p w14:paraId="1890944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Поручить ЦАГИ подготовить, с призлечением з-да № 22 технические условия на самолет И-5 с М-22 на предмет заключения договора с ВВС. Через 15 дней после заключения НИИ эти технич. условия должны быть готовы.</w:t>
      </w:r>
    </w:p>
    <w:p w14:paraId="7D95F1D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Заключение договора между зав. № 21 и ЦАГИ по изготовлению раб. чертежей и разработки технологичемкого процесса И5-М22 признать цслесообразным.</w:t>
      </w:r>
    </w:p>
    <w:p w14:paraId="7C6C855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Потребовать объяснения от Самолетного сектора, на каком основании заказ, выданный в начале года на приспособления и детали к И5-М22 заводу № 22 и др. з-дам, изготозлялся без всяких изменений как в отношении количества, так и качества.</w:t>
      </w:r>
    </w:p>
    <w:p w14:paraId="6A448E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Предложить т. КОСТКИНУ проверить на заводе № 22 какие из деталей и приспособлений могут быть использованы при производстве самолетов на 21-м заводе.</w:t>
      </w:r>
    </w:p>
    <w:p w14:paraId="630AB07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Поручить т. ХАЛАМОВУ проект серийных заводов с Отделом ЦАГИ по Внедрению машин разослать заводам для ознакомления и представления заключения. Утвердить по получения заключение от завода № 22. Срок рассылки 2-х дневный. Заключение представить к 1 декабря.</w:t>
      </w:r>
    </w:p>
    <w:p w14:paraId="2C21797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Применение шарикоподшипников на И5-М22 допустить в виде исключения, в том случае, если нельзя избежать таковых. И только в том случае, если констртрукторское бюро будет иметь документ от снабженческих органов, подтверждающий возможность обеспечения снасбжением серийного производства смолетостроительного завода № 21.</w:t>
      </w:r>
    </w:p>
    <w:p w14:paraId="1B3E6E3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СЛУШАЛИ: И5-М15</w:t>
      </w:r>
    </w:p>
    <w:p w14:paraId="45177B4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ПОСТАНОВИЛИ:</w:t>
      </w:r>
    </w:p>
    <w:p w14:paraId="30E1A60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2 машины И5-М15 изготовляется к 15 февраля.</w:t>
      </w:r>
    </w:p>
    <w:p w14:paraId="5BAAC30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15 февраля до 1 апреля должны быть закончены внутризаводские испытания и испытания вооружений путем стрельбы, как на земле, так и в воздухе и доводка. 1 апреля машины в законченном виде подлежат передаче в НИИ. При этом добиваться всеиерно, возможно большего совмещения отдельных деталей и аггрегатов.</w:t>
      </w:r>
    </w:p>
    <w:p w14:paraId="410848F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Желательно самолет И5-М15 получить в таком виде, чтобы на него можно было бы устанавливать и мотор М-22.</w:t>
      </w:r>
    </w:p>
    <w:p w14:paraId="75E333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 вопросы, связанные с внедрением в про</w:t>
      </w:r>
      <w:r w:rsidRPr="005E779E">
        <w:rPr>
          <w:rFonts w:ascii="Times New Roman" w:hAnsi="Times New Roman"/>
          <w:color w:val="000000" w:themeColor="text1"/>
          <w:sz w:val="16"/>
          <w:szCs w:val="16"/>
        </w:rPr>
        <w:softHyphen/>
        <w:t>изводство возложить на завод № 21 и Отдел по внедрению в производство при ЦАГИ.</w:t>
      </w:r>
    </w:p>
    <w:p w14:paraId="2831CEB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СЛУШАЛИ: М7-М17</w:t>
      </w:r>
    </w:p>
    <w:p w14:paraId="19D4A37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ПОСТАНОВИЛИ: Вопрос снимается</w:t>
      </w:r>
    </w:p>
    <w:p w14:paraId="0D90DE2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Т. ХАРЛАМОВУ поручить вопрос с самолетом И7-М17 выяснить с зав. № 1 и доложить.</w:t>
      </w:r>
    </w:p>
    <w:p w14:paraId="09A7860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СЛУШАЛИ: Р5-М17</w:t>
      </w:r>
    </w:p>
    <w:p w14:paraId="7ACD06F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ПОСТАНОВИЛИ: 1. Машину изготовлять в серийном произ</w:t>
      </w:r>
      <w:r w:rsidRPr="005E779E">
        <w:rPr>
          <w:rFonts w:ascii="Times New Roman" w:hAnsi="Times New Roman"/>
          <w:color w:val="000000" w:themeColor="text1"/>
          <w:sz w:val="16"/>
          <w:szCs w:val="16"/>
        </w:rPr>
        <w:softHyphen/>
        <w:t>водстве, но беря на себя обязательств по изменению.</w:t>
      </w:r>
    </w:p>
    <w:p w14:paraId="2692195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Изменения, производимое в машине к 1 декабря могут быть внесены в серийное производство лишь по со</w:t>
      </w:r>
      <w:r w:rsidRPr="005E779E">
        <w:rPr>
          <w:rFonts w:ascii="Times New Roman" w:hAnsi="Times New Roman"/>
          <w:color w:val="000000" w:themeColor="text1"/>
          <w:sz w:val="16"/>
          <w:szCs w:val="16"/>
        </w:rPr>
        <w:softHyphen/>
        <w:t>гласованию заказчика с заводом.</w:t>
      </w:r>
    </w:p>
    <w:p w14:paraId="4DE1E03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Поручить т. ХАРЛАМОВУ договориться с ВВС о том, чтобы, поплавковая машина испытывалась с имеющимся вооружением и оборудованием. Всякое изме</w:t>
      </w:r>
      <w:r w:rsidRPr="005E779E">
        <w:rPr>
          <w:rFonts w:ascii="Times New Roman" w:hAnsi="Times New Roman"/>
          <w:color w:val="000000" w:themeColor="text1"/>
          <w:sz w:val="16"/>
          <w:szCs w:val="16"/>
        </w:rPr>
        <w:softHyphen/>
        <w:t>нение в вооружении и оборудовании может быть произведено в качество особого заказа по окончании испытания машины (подлавковой).</w:t>
      </w:r>
    </w:p>
    <w:p w14:paraId="6D6362C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Обязать ЦАГИ добиться возможно скорейшей отправки этой машины в Севастополь и проведения испытаний.</w:t>
      </w:r>
    </w:p>
    <w:p w14:paraId="18D0C9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СЛУШАЛИ: У2-М11</w:t>
      </w:r>
    </w:p>
    <w:p w14:paraId="1CC76F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У2-М11 производится в 1932 без всяких изменений по сразнению с производзтвои 1931 г.</w:t>
      </w:r>
    </w:p>
    <w:p w14:paraId="2A0F799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СЛУШАЛИ: К5-М15</w:t>
      </w:r>
    </w:p>
    <w:p w14:paraId="2EB8A25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ПОСТАНОВИЛИ:</w:t>
      </w:r>
    </w:p>
    <w:p w14:paraId="7C38F9E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То-же,что по У2-М11</w:t>
      </w:r>
    </w:p>
    <w:p w14:paraId="30D847B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СЛУШАЛИ: Савойя - АССО</w:t>
      </w:r>
    </w:p>
    <w:p w14:paraId="7444433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ПОСТАНОВИЛИ: По возвращении т. БЕРИЕВА с 31-го з-да вопрос, относительно изготовления, испытания и вне</w:t>
      </w:r>
      <w:r w:rsidRPr="005E779E">
        <w:rPr>
          <w:rFonts w:ascii="Times New Roman" w:hAnsi="Times New Roman"/>
          <w:color w:val="000000" w:themeColor="text1"/>
          <w:sz w:val="16"/>
          <w:szCs w:val="16"/>
        </w:rPr>
        <w:softHyphen/>
        <w:t>дрения в серийное производство рам для моторных установок под моторы М21 и М34, разрешить т. ХАРЛАМОВУ.</w:t>
      </w:r>
    </w:p>
    <w:p w14:paraId="79D3B25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СЛУШАЛИ: АП-М11</w:t>
      </w:r>
    </w:p>
    <w:p w14:paraId="496D2B7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(Никаких недоразумений по АП-М11 нет)</w:t>
      </w:r>
    </w:p>
    <w:p w14:paraId="7C28495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СЛУШАЛИ: АШ-М11</w:t>
      </w:r>
    </w:p>
    <w:p w14:paraId="30919C4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ПОСТАНОВИЛИ: 1. По этой машине решить вопрос т. ХАРЛАМОВУ по возвращении т. ИЛЮШИНА.</w:t>
      </w:r>
    </w:p>
    <w:p w14:paraId="5D24AFA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Поручить ЦАГИ послать представителя на 23 завод, с целью выяснения всех вопросов, сзязанных с организацией серийного производства этой машины на 31-м заводе.</w:t>
      </w:r>
    </w:p>
    <w:p w14:paraId="6373501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СЛУШАЛИ: ТШ-М17</w:t>
      </w:r>
    </w:p>
    <w:p w14:paraId="59D3711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ПОСТАНОВИЛИ: 1. Заказ может быть принят только на машину под моторои М17.</w:t>
      </w:r>
    </w:p>
    <w:p w14:paraId="1FA591A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Охлаждение гликолевое.</w:t>
      </w:r>
    </w:p>
    <w:p w14:paraId="2DD1DD3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Безусловно - вооружение бомбардировочное.</w:t>
      </w:r>
    </w:p>
    <w:p w14:paraId="6720FC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Вооружение пулеметное гранатное и хи</w:t>
      </w:r>
      <w:r w:rsidRPr="005E779E">
        <w:rPr>
          <w:rFonts w:ascii="Times New Roman" w:hAnsi="Times New Roman"/>
          <w:color w:val="000000" w:themeColor="text1"/>
          <w:sz w:val="16"/>
          <w:szCs w:val="16"/>
        </w:rPr>
        <w:softHyphen/>
        <w:t>мическое доводится нами и испытывается в НИИ и принимается в качестве отдельного заказа.</w:t>
      </w:r>
    </w:p>
    <w:p w14:paraId="777BBD9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В 7-ми дневный срок Начальнику ЦАГИ доработать планировку изготовления двух ТШ под М17 с возможностью установления во</w:t>
      </w:r>
      <w:r w:rsidRPr="005E779E">
        <w:rPr>
          <w:rFonts w:ascii="Times New Roman" w:hAnsi="Times New Roman"/>
          <w:color w:val="000000" w:themeColor="text1"/>
          <w:sz w:val="16"/>
          <w:szCs w:val="16"/>
        </w:rPr>
        <w:softHyphen/>
        <w:t>оружения пулеметного, химического, гранатного и бомбового и представить на утверждение.</w:t>
      </w:r>
    </w:p>
    <w:p w14:paraId="6125E6E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Признатъ обязательным, чтобы вторые экземпляры машин проходили эксплоатационные испытания, для выявления дефектов внутри са</w:t>
      </w:r>
      <w:r w:rsidRPr="005E779E">
        <w:rPr>
          <w:rFonts w:ascii="Times New Roman" w:hAnsi="Times New Roman"/>
          <w:color w:val="000000" w:themeColor="text1"/>
          <w:sz w:val="16"/>
          <w:szCs w:val="16"/>
        </w:rPr>
        <w:softHyphen/>
        <w:t>мого Института.</w:t>
      </w:r>
    </w:p>
    <w:p w14:paraId="0617447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Поручить т. ХАРЛАМОВУ заявить, что левыхх приемников нет и тем самым задерживается ра</w:t>
      </w:r>
      <w:r w:rsidRPr="005E779E">
        <w:rPr>
          <w:rFonts w:ascii="Times New Roman" w:hAnsi="Times New Roman"/>
          <w:color w:val="000000" w:themeColor="text1"/>
          <w:sz w:val="16"/>
          <w:szCs w:val="16"/>
        </w:rPr>
        <w:softHyphen/>
        <w:t>бота по всем самолетам и механизмам перезарядки, спаренным вилкам и ручкам перезаряжения.</w:t>
      </w:r>
    </w:p>
    <w:p w14:paraId="45A982C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Поручить ЦАГИ выработать технические условия и чертежи для заблаговременного заказа брони.</w:t>
      </w:r>
    </w:p>
    <w:p w14:paraId="130C1E4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Принять к сведению заявление ЦАГИ,что при</w:t>
      </w:r>
      <w:r w:rsidRPr="005E779E">
        <w:rPr>
          <w:rFonts w:ascii="Times New Roman" w:hAnsi="Times New Roman"/>
          <w:color w:val="000000" w:themeColor="text1"/>
          <w:sz w:val="16"/>
          <w:szCs w:val="16"/>
        </w:rPr>
        <w:softHyphen/>
        <w:t>остановлено изготовление ТШ-4Л27.</w:t>
      </w:r>
    </w:p>
    <w:p w14:paraId="52F29D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Поручить т. ХАРЛАМОВУ, совместно с Само</w:t>
      </w:r>
      <w:r w:rsidRPr="005E779E">
        <w:rPr>
          <w:rFonts w:ascii="Times New Roman" w:hAnsi="Times New Roman"/>
          <w:color w:val="000000" w:themeColor="text1"/>
          <w:sz w:val="16"/>
          <w:szCs w:val="16"/>
        </w:rPr>
        <w:softHyphen/>
        <w:t>летным сектором выяснить вопрос организации производства ТШ на 16-м заводе, с выездом туда на место, и этот вопрос доложить Нач.ВАО. Срок до 15 декабря.</w:t>
      </w:r>
    </w:p>
    <w:p w14:paraId="40878C1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Труппа тяжелых самолетов</w:t>
      </w:r>
    </w:p>
    <w:p w14:paraId="2B1576F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Р6, ТБ3, МДР3, АНТ9, ТБ5, АНТ-14, </w:t>
      </w:r>
      <w:r w:rsidRPr="005E779E">
        <w:rPr>
          <w:rFonts w:ascii="Times New Roman" w:hAnsi="Times New Roman"/>
          <w:color w:val="000000" w:themeColor="text1"/>
          <w:sz w:val="16"/>
          <w:szCs w:val="16"/>
          <w:lang w:val="en-US"/>
        </w:rPr>
        <w:t>Z</w:t>
      </w:r>
    </w:p>
    <w:p w14:paraId="7182A9B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СЛУШАЛИ: Р-6</w:t>
      </w:r>
    </w:p>
    <w:p w14:paraId="3CB4C6B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ПОСТАНОВИЛИ: 1. Работы по Р-6 по изменениям и улучшениям оборудования и вооружения срочно закончить.</w:t>
      </w:r>
    </w:p>
    <w:p w14:paraId="7E38250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декабря проводится внутризаводская проверка и испытания всех этих изменений. 1 декабря с.г. машина сдается в НИИ ВВС.</w:t>
      </w:r>
    </w:p>
    <w:p w14:paraId="4AF199D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Относительно порядка внесения этих переделок в серийные машины - сроки устанавливаются директором завода при заключении договора.</w:t>
      </w:r>
    </w:p>
    <w:p w14:paraId="31A7C9B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Поручить т. ХАРЛАМОВУ разрешить с з-дом № 1 вопрос о передаче одной фото-установки.</w:t>
      </w:r>
    </w:p>
    <w:p w14:paraId="0CF2279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СЛУШАЛИ ТБ-3</w:t>
      </w:r>
    </w:p>
    <w:p w14:paraId="40E5382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ПОСТАНОВИЛИ: Принять к сведений заявление т. НАДАШКЕВИЧА.</w:t>
      </w:r>
    </w:p>
    <w:p w14:paraId="34A7EC6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Самолет ТБ-3 со всем оборудованием и вооружени ем, кроме башен, будет подготовлен к 25 декабря.</w:t>
      </w:r>
    </w:p>
    <w:p w14:paraId="2925537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Башни будут изготовлены к 1 февраля и смонтированы на самолете.</w:t>
      </w:r>
    </w:p>
    <w:p w14:paraId="18007FA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производства летных испытаний на машине не будут установлены макеты башен. От 25 ноября по 5 декабря ЦАГИ производит внутризаводские испыьания</w:t>
      </w:r>
    </w:p>
    <w:p w14:paraId="662D3D8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декабря с.г. машина сдается в НИИ ВВС.</w:t>
      </w:r>
    </w:p>
    <w:p w14:paraId="709EF9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При заключении договора директору завода № 22 руководствоваться вооружением и оборудование, разработанным ЦАГИ и утвержденная НИИ ВВС и поэтому образцу подлежат сдаче все машины, про</w:t>
      </w:r>
      <w:r w:rsidRPr="005E779E">
        <w:rPr>
          <w:rFonts w:ascii="Times New Roman" w:hAnsi="Times New Roman"/>
          <w:color w:val="000000" w:themeColor="text1"/>
          <w:sz w:val="16"/>
          <w:szCs w:val="16"/>
        </w:rPr>
        <w:softHyphen/>
        <w:t>изводства 1932 г.</w:t>
      </w:r>
    </w:p>
    <w:p w14:paraId="1DD974D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Что-же касается башенных установок, то таковые вводятся в серийное изготовление, по договоренности с директором завода № 22.</w:t>
      </w:r>
    </w:p>
    <w:p w14:paraId="3A63258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В части возможности выдачи заказа ди</w:t>
      </w:r>
      <w:r w:rsidRPr="005E779E">
        <w:rPr>
          <w:rFonts w:ascii="Times New Roman" w:hAnsi="Times New Roman"/>
          <w:color w:val="000000" w:themeColor="text1"/>
          <w:sz w:val="16"/>
          <w:szCs w:val="16"/>
        </w:rPr>
        <w:softHyphen/>
        <w:t>ректором з-да № 22 директору з-да № 32, т.ГОРБУНОВУ вопрос уточнить с Отделом Вооружения ЦАГИ в 3-х дневный срок и результаты доложить т. ХАРЛАМОВУ.</w:t>
      </w:r>
    </w:p>
    <w:p w14:paraId="08A2ACD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СЛУШАЛИ: МДР3</w:t>
      </w:r>
    </w:p>
    <w:p w14:paraId="63CC976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ПОСТАНОВИЛИ: 1. Не позже 10 декабря машина должна быть отправлена в Севастополь.</w:t>
      </w:r>
    </w:p>
    <w:p w14:paraId="3ADA381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Начальнику -ЦАГИ установить календарные сроки доставки неотправленных с самолетом пред</w:t>
      </w:r>
      <w:r w:rsidRPr="005E779E">
        <w:rPr>
          <w:rFonts w:ascii="Times New Roman" w:hAnsi="Times New Roman"/>
          <w:color w:val="000000" w:themeColor="text1"/>
          <w:sz w:val="16"/>
          <w:szCs w:val="16"/>
        </w:rPr>
        <w:softHyphen/>
        <w:t>метов вооружения и оборудования с таким расче</w:t>
      </w:r>
      <w:r w:rsidRPr="005E779E">
        <w:rPr>
          <w:rFonts w:ascii="Times New Roman" w:hAnsi="Times New Roman"/>
          <w:color w:val="000000" w:themeColor="text1"/>
          <w:sz w:val="16"/>
          <w:szCs w:val="16"/>
        </w:rPr>
        <w:softHyphen/>
        <w:t>том, чтобы все это было получено к моменту начала производства заводских испытаний.</w:t>
      </w:r>
    </w:p>
    <w:p w14:paraId="60A5CD9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Поставить в известность Нач. ВВС, что при испытании МДР-3 ЦАГИ будет базироваться на 45 завод, что вызовет необходимость измене</w:t>
      </w:r>
      <w:r w:rsidRPr="005E779E">
        <w:rPr>
          <w:rFonts w:ascii="Times New Roman" w:hAnsi="Times New Roman"/>
          <w:color w:val="000000" w:themeColor="text1"/>
          <w:sz w:val="16"/>
          <w:szCs w:val="16"/>
        </w:rPr>
        <w:softHyphen/>
        <w:t>ния сроков выпуска машин, находящихся на ре</w:t>
      </w:r>
      <w:r w:rsidRPr="005E779E">
        <w:rPr>
          <w:rFonts w:ascii="Times New Roman" w:hAnsi="Times New Roman"/>
          <w:color w:val="000000" w:themeColor="text1"/>
          <w:sz w:val="16"/>
          <w:szCs w:val="16"/>
        </w:rPr>
        <w:softHyphen/>
        <w:t>монте.</w:t>
      </w:r>
    </w:p>
    <w:p w14:paraId="53CD56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В виду особой важности в срочном про</w:t>
      </w:r>
      <w:r w:rsidRPr="005E779E">
        <w:rPr>
          <w:rFonts w:ascii="Times New Roman" w:hAnsi="Times New Roman"/>
          <w:color w:val="000000" w:themeColor="text1"/>
          <w:sz w:val="16"/>
          <w:szCs w:val="16"/>
        </w:rPr>
        <w:softHyphen/>
        <w:t>изводстве испытания МДР-3, ВВС должен взять на себя обязательство обеспечить эти испытания, как зазодские, так и сдаточные необходимым го</w:t>
      </w:r>
      <w:r w:rsidRPr="005E779E">
        <w:rPr>
          <w:rFonts w:ascii="Times New Roman" w:hAnsi="Times New Roman"/>
          <w:color w:val="000000" w:themeColor="text1"/>
          <w:sz w:val="16"/>
          <w:szCs w:val="16"/>
        </w:rPr>
        <w:softHyphen/>
        <w:t>рючим.</w:t>
      </w:r>
    </w:p>
    <w:p w14:paraId="0771BB4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Подготовка к сериному производству этой шины должна быть начата в ЦАГИ немедленно. Точный план и график этой подготовки будет составлен по возвращении из Таганрога т. БЕРИЕВА. Наблюдать за этим т. ХАРЛАМОВУ</w:t>
      </w:r>
    </w:p>
    <w:p w14:paraId="312A3BD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СЛУШАЛИ: АНТ-9</w:t>
      </w:r>
    </w:p>
    <w:p w14:paraId="3C4708B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ПОСТАНОВИЛИ: 1. Принять к сведению заявление директора завода о том, что АНТ-9 с мотором М26 сдан в НИИ ВОГВФ для испытания и к </w:t>
      </w:r>
      <w:r w:rsidRPr="005E779E">
        <w:rPr>
          <w:rFonts w:ascii="Times New Roman" w:hAnsi="Times New Roman"/>
          <w:color w:val="000000" w:themeColor="text1"/>
          <w:sz w:val="16"/>
          <w:szCs w:val="16"/>
          <w:lang w:val="en-US"/>
        </w:rPr>
        <w:t>I</w:t>
      </w:r>
      <w:r w:rsidRPr="005E779E">
        <w:rPr>
          <w:rFonts w:ascii="Times New Roman" w:hAnsi="Times New Roman"/>
          <w:color w:val="000000" w:themeColor="text1"/>
          <w:sz w:val="16"/>
          <w:szCs w:val="16"/>
        </w:rPr>
        <w:t xml:space="preserve"> декабря с.г. испытания будут закончены. После чего поручить т. ХАРЛАМОВУ рассмотреть все вопросы, связаннее с результатами испытания, с привлечением 24 завода для обсуждения вопросов, связанных с мотором.</w:t>
      </w:r>
    </w:p>
    <w:p w14:paraId="0C262B4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Серийный заказ 1932 г. будет состоять из машин пассажирского типа с М26.</w:t>
      </w:r>
    </w:p>
    <w:p w14:paraId="2F55F6C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СЛУШАЛИ: ТБ-5</w:t>
      </w:r>
    </w:p>
    <w:p w14:paraId="0FE87FB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ПОСТАНОВИЛИ: 1. Принять к сведению что исоолнение ре</w:t>
      </w:r>
      <w:r w:rsidRPr="005E779E">
        <w:rPr>
          <w:rFonts w:ascii="Times New Roman" w:hAnsi="Times New Roman"/>
          <w:color w:val="000000" w:themeColor="text1"/>
          <w:sz w:val="16"/>
          <w:szCs w:val="16"/>
        </w:rPr>
        <w:softHyphen/>
        <w:t>шения правительства по изготовлению пяти штук ТБ-5 явилось результатом:</w:t>
      </w:r>
    </w:p>
    <w:p w14:paraId="65795AE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Отсутсвия моторов.</w:t>
      </w:r>
    </w:p>
    <w:p w14:paraId="7BA09F8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Невыполнения всех тех требования, которые были выдвинуты для осуществления этого задания.</w:t>
      </w:r>
    </w:p>
    <w:p w14:paraId="5C1457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Принять к сведению заявление конструктора ГРИГОРОВИЧА о том, что он считает нецелесообразным закладку по новому решению правительства пять машин в серию, ввиду того, что моторе Юпитер не обладает достаточной мощностью и не дает расчетных данных, вследствие установки тандем, моторы же М-34 не обладают достаточной мощ</w:t>
      </w:r>
      <w:r w:rsidRPr="005E779E">
        <w:rPr>
          <w:rFonts w:ascii="Times New Roman" w:hAnsi="Times New Roman"/>
          <w:color w:val="000000" w:themeColor="text1"/>
          <w:sz w:val="16"/>
          <w:szCs w:val="16"/>
        </w:rPr>
        <w:softHyphen/>
        <w:t>ностью.</w:t>
      </w:r>
    </w:p>
    <w:p w14:paraId="1377680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Что касается моторов ФЭД, то ввиду снятия этих моторов с производства, решением пра</w:t>
      </w:r>
      <w:r w:rsidRPr="005E779E">
        <w:rPr>
          <w:rFonts w:ascii="Times New Roman" w:hAnsi="Times New Roman"/>
          <w:color w:val="000000" w:themeColor="text1"/>
          <w:sz w:val="16"/>
          <w:szCs w:val="16"/>
        </w:rPr>
        <w:softHyphen/>
        <w:t>вительства о прекращении их производства, таковые не могут быть даны. (Самолет расчиты</w:t>
      </w:r>
      <w:r w:rsidRPr="005E779E">
        <w:rPr>
          <w:rFonts w:ascii="Times New Roman" w:hAnsi="Times New Roman"/>
          <w:color w:val="000000" w:themeColor="text1"/>
          <w:sz w:val="16"/>
          <w:szCs w:val="16"/>
        </w:rPr>
        <w:softHyphen/>
        <w:t>вался с мотором ФЭД с редукторами).</w:t>
      </w:r>
    </w:p>
    <w:p w14:paraId="66DD762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Принимая во внимание заявление т. ПАУФЛЕРА и ГРИГОРОВИЧА, возбудить еще раз перед правительством запрос о снятии заказа 1931 г. и заказа 1932 г., ввиду нецелесообразности, необеспечения машины соответствующими моторами, или войти с ходатайством о разрешении закупить за границей соответствующие по ти</w:t>
      </w:r>
      <w:r w:rsidRPr="005E779E">
        <w:rPr>
          <w:rFonts w:ascii="Times New Roman" w:hAnsi="Times New Roman"/>
          <w:color w:val="000000" w:themeColor="text1"/>
          <w:sz w:val="16"/>
          <w:szCs w:val="16"/>
        </w:rPr>
        <w:softHyphen/>
        <w:t>пу моторы для этой серии.</w:t>
      </w:r>
    </w:p>
    <w:p w14:paraId="590AB22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Что касается 1-го экземпляра, признать целесообразным производство испытания этой машины с установкой мотора ФЭД без редукторов.</w:t>
      </w:r>
    </w:p>
    <w:p w14:paraId="0A62336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Машина должна быть доведена до конца в отношении вооружения с целью производства всестороннего испытания.</w:t>
      </w:r>
    </w:p>
    <w:p w14:paraId="745BB69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СЛУШАЛИ: О машине </w:t>
      </w:r>
      <w:r w:rsidRPr="005E779E">
        <w:rPr>
          <w:rFonts w:ascii="Times New Roman" w:hAnsi="Times New Roman"/>
          <w:color w:val="000000" w:themeColor="text1"/>
          <w:sz w:val="16"/>
          <w:szCs w:val="16"/>
          <w:lang w:val="en-US"/>
        </w:rPr>
        <w:t>Z</w:t>
      </w:r>
    </w:p>
    <w:p w14:paraId="7D7878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ПОСТАНОВИЛИ: После производства внутризаводских испы</w:t>
      </w:r>
      <w:r w:rsidRPr="005E779E">
        <w:rPr>
          <w:rFonts w:ascii="Times New Roman" w:hAnsi="Times New Roman"/>
          <w:color w:val="000000" w:themeColor="text1"/>
          <w:sz w:val="16"/>
          <w:szCs w:val="16"/>
        </w:rPr>
        <w:softHyphen/>
        <w:t>таний машины, таковую передать НИИ ВВС.</w:t>
      </w:r>
    </w:p>
    <w:p w14:paraId="11A44E9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Поручить т.ХАРЛАМОВУ собрать все материалы и подготовить докладную записку в Правительство и в Реввоенсовет, а также принят все нообходимые меры к обеспечению выпуска этих машин.</w:t>
      </w:r>
    </w:p>
    <w:p w14:paraId="6767EC4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СЛУШАЛИ: АНТ-14</w:t>
      </w:r>
    </w:p>
    <w:p w14:paraId="18DFDEB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ПОСТАНОВИЛИ: 1. Предложить ВВС выстроить несколько экземпляров военного варианта АНТ-14 за счет программы ТБ-3, с мотором М-34.</w:t>
      </w:r>
    </w:p>
    <w:p w14:paraId="5F710A6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том случае, если ВВС от этого продложения откакется, то в порядке кооперации строить ТБ-3, кооперпровав завод № 22, завод № 18 (где органнзовать производство) и торриторию 39-го завода.</w:t>
      </w:r>
    </w:p>
    <w:p w14:paraId="0EA8A9B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Осуществление этой кооперации возложить персонально на А.Н.Т.</w:t>
      </w:r>
    </w:p>
    <w:p w14:paraId="7782E5C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Вопрос остается открытым до выяснения Военным Ведомством вопроса о замене ТБ—3.</w:t>
      </w:r>
    </w:p>
    <w:p w14:paraId="73B70F5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В ближайшее время т. КЛЕВЦОВУ договориться с т. ГОРБУНОВЫМ о том, какие заказы т. КЛЕВЦОВ незамедлительно может принять (по вопросу о недогрузке мастерских ЦАГИ).</w:t>
      </w:r>
    </w:p>
    <w:p w14:paraId="50D542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ПРЕДСЕДАТЕЛЬ (БАРАНОВ), СЕКРЕТАРЬ (БЕРГ) (351,45).</w:t>
      </w:r>
    </w:p>
    <w:p w14:paraId="20698D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5B008E2" w14:textId="77777777" w:rsidR="004F04A7" w:rsidRPr="005E779E" w:rsidRDefault="004F04A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 ноября 1931 дири</w:t>
      </w:r>
      <w:r w:rsidRPr="005E779E">
        <w:rPr>
          <w:rFonts w:ascii="Times New Roman" w:hAnsi="Times New Roman"/>
          <w:color w:val="000000" w:themeColor="text1"/>
          <w:sz w:val="16"/>
          <w:szCs w:val="16"/>
        </w:rPr>
        <w:softHyphen/>
        <w:t>жабль Комсомольская правда совершил свой последний полёт, в ходе которого под руководством инженера ЦАГИ К.К. Федяевского определялись связь между числом оборотов мотора и скоростью полёта дирижабля. Частично провели и другие иссле</w:t>
      </w:r>
      <w:r w:rsidRPr="005E779E">
        <w:rPr>
          <w:rFonts w:ascii="Times New Roman" w:hAnsi="Times New Roman"/>
          <w:color w:val="000000" w:themeColor="text1"/>
          <w:sz w:val="16"/>
          <w:szCs w:val="16"/>
        </w:rPr>
        <w:softHyphen/>
        <w:t>дования: определение радиусов поворота дири</w:t>
      </w:r>
      <w:r w:rsidRPr="005E779E">
        <w:rPr>
          <w:rFonts w:ascii="Times New Roman" w:hAnsi="Times New Roman"/>
          <w:color w:val="000000" w:themeColor="text1"/>
          <w:sz w:val="16"/>
          <w:szCs w:val="16"/>
        </w:rPr>
        <w:softHyphen/>
        <w:t>жабля при разных углах отклонения руля на</w:t>
      </w:r>
      <w:r w:rsidRPr="005E779E">
        <w:rPr>
          <w:rFonts w:ascii="Times New Roman" w:hAnsi="Times New Roman"/>
          <w:color w:val="000000" w:themeColor="text1"/>
          <w:sz w:val="16"/>
          <w:szCs w:val="16"/>
        </w:rPr>
        <w:softHyphen/>
        <w:t>правления, падения скорости при движении ди</w:t>
      </w:r>
      <w:r w:rsidRPr="005E779E">
        <w:rPr>
          <w:rFonts w:ascii="Times New Roman" w:hAnsi="Times New Roman"/>
          <w:color w:val="000000" w:themeColor="text1"/>
          <w:sz w:val="16"/>
          <w:szCs w:val="16"/>
        </w:rPr>
        <w:softHyphen/>
        <w:t>рижабля по кругу, поворотного коэффициента дирижабля. В 1931 г. за два месяца эксплуатации дири</w:t>
      </w:r>
      <w:r w:rsidRPr="005E779E">
        <w:rPr>
          <w:rFonts w:ascii="Times New Roman" w:hAnsi="Times New Roman"/>
          <w:color w:val="000000" w:themeColor="text1"/>
          <w:sz w:val="16"/>
          <w:szCs w:val="16"/>
        </w:rPr>
        <w:softHyphen/>
        <w:t>жабль выполнил 25 полётов общей продолжи</w:t>
      </w:r>
      <w:r w:rsidRPr="005E779E">
        <w:rPr>
          <w:rFonts w:ascii="Times New Roman" w:hAnsi="Times New Roman"/>
          <w:color w:val="000000" w:themeColor="text1"/>
          <w:sz w:val="16"/>
          <w:szCs w:val="16"/>
        </w:rPr>
        <w:softHyphen/>
        <w:t>тельностью 29 ч 40 мин, пройдя 1716 км (20120).</w:t>
      </w:r>
    </w:p>
    <w:p w14:paraId="4D518710" w14:textId="77777777" w:rsidR="004F04A7" w:rsidRPr="005E779E" w:rsidRDefault="004F04A7" w:rsidP="000B7A6C">
      <w:pPr>
        <w:spacing w:after="0" w:line="240" w:lineRule="auto"/>
        <w:jc w:val="both"/>
        <w:rPr>
          <w:rFonts w:ascii="Times New Roman" w:hAnsi="Times New Roman"/>
          <w:color w:val="000000" w:themeColor="text1"/>
          <w:sz w:val="16"/>
          <w:szCs w:val="16"/>
        </w:rPr>
      </w:pPr>
    </w:p>
    <w:p w14:paraId="0C673DA0" w14:textId="77777777" w:rsidR="00357876" w:rsidRPr="005E779E" w:rsidRDefault="00357876"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Внешняя политика:</w:t>
      </w:r>
    </w:p>
    <w:p w14:paraId="6FB3E4D6" w14:textId="77777777" w:rsidR="00357876" w:rsidRPr="005E779E" w:rsidRDefault="00357876"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35ECB0B" w14:textId="77777777" w:rsidR="00357876" w:rsidRPr="005E779E" w:rsidRDefault="0035787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 ноября 1931 г. в письме статс-секретарю МИД Германии фон Бюлову Дирксен сообщал о высказываниях Ворошилова:</w:t>
      </w:r>
    </w:p>
    <w:p w14:paraId="46A05504" w14:textId="77777777" w:rsidR="00357876" w:rsidRPr="005E779E" w:rsidRDefault="0035787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«Как переговоры с Францией, так и переговоры с Польшей представляют из себя явления чисто политического и тактического характера, которые диктуются разумом. В особенности же ясно отдают себе здесь отчет об отсутствии внутренней ценности договора о ненападении с Польшей».</w:t>
      </w:r>
    </w:p>
    <w:p w14:paraId="0FEA4323" w14:textId="77777777" w:rsidR="00357876" w:rsidRPr="005E779E" w:rsidRDefault="0035787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Границы с Польшей Ворошилов считал «неокончательными». Этот документ был добыт ОГПУ и представлен Ворошилову.</w:t>
      </w:r>
    </w:p>
    <w:p w14:paraId="291E5089" w14:textId="77777777" w:rsidR="00357876" w:rsidRPr="005E779E" w:rsidRDefault="0035787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Ворошилов высказал недовольство деятельностью объектов райхсвера в СССР.</w:t>
      </w:r>
    </w:p>
    <w:p w14:paraId="0B0461CD" w14:textId="77777777" w:rsidR="00357876" w:rsidRPr="005E779E" w:rsidRDefault="0035787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авиационной школе в Липецке:</w:t>
      </w:r>
    </w:p>
    <w:p w14:paraId="4228BAA2" w14:textId="77777777" w:rsidR="00357876" w:rsidRPr="005E779E" w:rsidRDefault="0035787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«Липецкая школа пока технически плохо обставлена».</w:t>
      </w:r>
    </w:p>
    <w:p w14:paraId="2F8CA56E" w14:textId="77777777" w:rsidR="00357876" w:rsidRPr="005E779E" w:rsidRDefault="0035787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танковой школе:</w:t>
      </w:r>
    </w:p>
    <w:p w14:paraId="41B338DD" w14:textId="77777777" w:rsidR="00357876" w:rsidRPr="005E779E" w:rsidRDefault="0035787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«Что-то в ней неладно. Если бы я не знал немецкой армии, то я прямо сказал бы, что здесь вредительство».</w:t>
      </w:r>
    </w:p>
    <w:p w14:paraId="13995034" w14:textId="77777777" w:rsidR="00357876" w:rsidRPr="005E779E" w:rsidRDefault="0035787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«Томке»:</w:t>
      </w:r>
    </w:p>
    <w:p w14:paraId="7BA68D2A" w14:textId="77777777" w:rsidR="00357876" w:rsidRPr="005E779E" w:rsidRDefault="0035787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«Томке» дело обстоит несколько лучше, чем в Казани».</w:t>
      </w:r>
    </w:p>
    <w:p w14:paraId="3F827FE4" w14:textId="77777777" w:rsidR="00357876" w:rsidRPr="005E779E" w:rsidRDefault="0035787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Однако «школа не дает необходимого и возможного эффекта».</w:t>
      </w:r>
    </w:p>
    <w:p w14:paraId="0C711C95" w14:textId="77777777" w:rsidR="00357876" w:rsidRPr="005E779E" w:rsidRDefault="0035787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Предложив «как следует» использовать все три школы и отметив факт военного сотрудничества Германии с третьими государствами (Испания, Турция, Швеция, США, Голландия и т. д.), нарком прямо заявил Адаму:</w:t>
      </w:r>
    </w:p>
    <w:p w14:paraId="6A622FEE" w14:textId="77777777" w:rsidR="00357876" w:rsidRPr="005E779E" w:rsidRDefault="0035787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 нас Вы можете гораздо лучше расположиться, чем где-либо. Тут и наш, и Ваш прямой расчет. Давайте совместно подберем обоюдно надежных людей — хороших конструкторов и специалистов. А то теперь и Вы не полностью, а мы ничего не получаем».</w:t>
      </w:r>
    </w:p>
    <w:p w14:paraId="53D5B951" w14:textId="77777777" w:rsidR="00357876" w:rsidRPr="005E779E" w:rsidRDefault="0035787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Впрочем, Ворошилов здесь слегка лукавил. Все три школы немцы использовали по назначению и практически на полную мощность, немалой была и отдача от них для РККА. Она, конечно же, могла бы быть и большей, но немцы не считали необходимым интенсифицировать деятельность школ.</w:t>
      </w:r>
    </w:p>
    <w:p w14:paraId="49333BEE" w14:textId="77777777" w:rsidR="00357876" w:rsidRPr="005E779E" w:rsidRDefault="0035787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Адам пообещал, что «как и прежде» командиры РККА будут допущены на последний академический курс для обучения, несколько командиров пройдут курс обучения военному железнодорожному делу и курс экономической мобилизации («Они могут все посмотреть и поучиться»). Предусматривалось, что в СССР затем приедут германские эксперты! Причем немцы отмечали, что обучение советских специалистов имеет смысл для немцев лишь в том случае, если инструкторы-немцы смогут «на практических примерах на советских предприятиях дать русским практические советы».</w:t>
      </w:r>
    </w:p>
    <w:p w14:paraId="4D8EFBB1" w14:textId="77777777" w:rsidR="00357876" w:rsidRPr="005E779E" w:rsidRDefault="0035787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Относительно предстоящей в Женеве конференции по разоружению Адам заявил, что цели Германии на ней —</w:t>
      </w:r>
    </w:p>
    <w:p w14:paraId="015A942A" w14:textId="77777777" w:rsidR="00357876" w:rsidRPr="005E779E" w:rsidRDefault="0035787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«равная для всех безопасность, единство методов, единство запретов. &lt;…&gt; Если этого нельзя достигнуть, надо уходить с конференции».</w:t>
      </w:r>
    </w:p>
    <w:p w14:paraId="0AF2C117" w14:textId="77777777" w:rsidR="00357876" w:rsidRPr="005E779E" w:rsidRDefault="0035787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этом немец подчеркнул, что не верит в успех Женевской конференции.</w:t>
      </w:r>
    </w:p>
    <w:p w14:paraId="1DE63AD1" w14:textId="77777777" w:rsidR="00357876" w:rsidRPr="005E779E" w:rsidRDefault="0035787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Ворошилов также был настроен скептически:</w:t>
      </w:r>
    </w:p>
    <w:p w14:paraId="246B3064" w14:textId="77777777" w:rsidR="00357876" w:rsidRPr="005E779E" w:rsidRDefault="0035787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«Я тоже не верю в эту комедию и считаю, что все это затевается для общественного мнения. Но мы к этой комедии относимся серьезно».</w:t>
      </w:r>
    </w:p>
    <w:p w14:paraId="3F2C40F6" w14:textId="77777777" w:rsidR="00357876" w:rsidRPr="005E779E" w:rsidRDefault="0035787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Он заявил, что СССР не уйдет с Конференции и будет до конца «бороться за разоружение». Подобное заявление имело для немцев большое значение, поскольку, как отмечал Дирксен, Ворошилов являлся не только председателем Реввоенсовета и наркомвоенмором СССР, но еще и членом Политбюро и одним из ближайших друзей Сталина. Тем самым беседа с ним означала непосредственный контакт с «центром принятия политических решений СССР» (18265).</w:t>
      </w:r>
    </w:p>
    <w:p w14:paraId="1FC4EA49" w14:textId="77777777" w:rsidR="00357876" w:rsidRPr="005E779E" w:rsidRDefault="00357876" w:rsidP="000B7A6C">
      <w:pPr>
        <w:spacing w:after="0" w:line="240" w:lineRule="auto"/>
        <w:jc w:val="both"/>
        <w:rPr>
          <w:rFonts w:ascii="Times New Roman" w:hAnsi="Times New Roman"/>
          <w:color w:val="000000" w:themeColor="text1"/>
          <w:sz w:val="16"/>
          <w:szCs w:val="16"/>
        </w:rPr>
      </w:pPr>
    </w:p>
    <w:p w14:paraId="605CA445"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5D16DC48"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10DA1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 ноября 1931 Ч.Линдберг открыл авиалинию Пан Америкен от Кубы до Южной Америки с использованием лл Сикорского American Clipper) (2100).</w:t>
      </w:r>
    </w:p>
    <w:p w14:paraId="12FD7C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1AE1366"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2E2AE33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E5C2A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ноября 1931 Б.И.Ч. получил от Осоавиахима заказ на постройку двух бесхвостых планера с трапециевидным крылом БИЧ-11 (один потом был на планерных состязаниях 1933) (2544,59).</w:t>
      </w:r>
    </w:p>
    <w:p w14:paraId="70DAF3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AACAC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ноября 1931 Ф.А.Цандер как представитель ГИРД и председатель Бюро воздушной техники Военно-технической секции НИО ЦС Осоавиахима Я.Е.Афанасьева был заключен "Социалистический договор на укрепление обороны СССР", согласно которому Цандер брал на себя проектирование и разработку чертежей и производство опытов по опытному реактивному двигателю ОР-2 и реактивному самолету РП-1 за счет Осоавиахима (371,47).</w:t>
      </w:r>
    </w:p>
    <w:p w14:paraId="6D606B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6FF6E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ноября 1931 был подписан:</w:t>
      </w:r>
    </w:p>
    <w:p w14:paraId="3036C0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 подлежит оглашению.</w:t>
      </w:r>
    </w:p>
    <w:p w14:paraId="3F72DB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«СОЮЗ ОСОАВИАХИМА СССР И ОСОАВИАХИМА РСФСР</w:t>
      </w:r>
    </w:p>
    <w:p w14:paraId="345FD9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Социалистический договор по укреплению обороны СССР № 228/10 от 18 ноября 1931 года</w:t>
      </w:r>
    </w:p>
    <w:p w14:paraId="5C299C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Мы, нижеподписавшиеся с одной стороны, Председатель Бюро Воздушной техники научно-исследовательского отдела Центрального совета Союза Осоавиахима СССР т. Афанасьев Яков Емельянович, именуемый в дальнейшем "Бюро", и старший инженер 1-й лаборатории отдела бензиновых двигателей "ИАМ" т. Цандер Фридрих Артурович, именуемый в дальнейшем т. Цандер, с другой стороны, заключили настоящий договор в том, что т. Цандер берет на себя: </w:t>
      </w:r>
    </w:p>
    <w:p w14:paraId="436900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 Проектирование и разработку рабочих чертежей и производство по опытному реактивному двигателю ОР-2 к реактивному самолету РП-1, а именно: камеру сгорания с соплом де Лаваля, бачки для топлива с предохранительным клапаном, бак для бензина в срок к 25 ноября 1931 года. </w:t>
      </w:r>
    </w:p>
    <w:p w14:paraId="2E3E8E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 Компенсатор для охлаждения сопла и подогревания кислорода в срок к 3 декабря 1931 года. </w:t>
      </w:r>
    </w:p>
    <w:p w14:paraId="30EF90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 Расчет температур сгорания, скоростей истечения, осевого давления струи при разных давлениях в пространстве, вес деталей, длительность полета при разном содержании кислорода, расчет системы подогрева, охлаждения, приблизительный расчет температуры стенок камеры сгорания в сроки, соответствующие срокам подачи чертежей. </w:t>
      </w:r>
    </w:p>
    <w:p w14:paraId="718BA5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Изготовление и испытания сопла и камеры сгорания к 2 декабря 1931 года. Испытание баков для жидкого кислорода и бензина к 1 января 1932 года, испытание собранного прибора к 10 января 1932 года. Установка на самолет и испытание в полете к концу января 1932 года. </w:t>
      </w:r>
    </w:p>
    <w:p w14:paraId="154FC7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Примечание: В случае, если запроектированное улучшение даст прямой и обратный конус, то расчет и чертежи прямого и обратного конуса представить к 15 января 1932 года. </w:t>
      </w:r>
    </w:p>
    <w:p w14:paraId="3095AF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За проведенную работу т. Цандер получает вознаграждение 1 000 рублей с уплатой их (в случае выполнения работ) в начале срока приема 20 ноября 1931 года и по окончании работ по 500 рублей. </w:t>
      </w:r>
    </w:p>
    <w:p w14:paraId="798500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Договор составлен в 2-х экземплярах. Один в Центральном совете Союза Осоавиахима, а другой в ячейке Осоавиахима "ИАМ".</w:t>
      </w:r>
    </w:p>
    <w:p w14:paraId="7E6DD9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Председатель Бюро Я. Афанасьев. </w:t>
      </w:r>
    </w:p>
    <w:p w14:paraId="573502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XI 1931 г.</w:t>
      </w:r>
    </w:p>
    <w:p w14:paraId="27A0AD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Ответственный исполнитель</w:t>
      </w:r>
    </w:p>
    <w:p w14:paraId="5A2CA9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Ф.Цандер.» (11143).</w:t>
      </w:r>
    </w:p>
    <w:p w14:paraId="7E6A58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0E0B8DB" w14:textId="77777777" w:rsidR="0020231B" w:rsidRPr="005E779E" w:rsidRDefault="0020231B"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18 ноября 1931 г. идея ракетного планера С.П.Королева получила юридическое обоснование — был подписан следующий документ:</w:t>
      </w:r>
    </w:p>
    <w:p w14:paraId="582092FB" w14:textId="77777777" w:rsidR="0020231B" w:rsidRPr="005E779E" w:rsidRDefault="0020231B"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«Мы, нижеподписавшиеся, с одной стороны Председатель Бюро Воздушной техники научно-исследовательского отдела Центрального совета Союза Осоавиахима СССР т. Афанасьев Яков Емельянович, именуемый в дальнейшем „Бюро“, и старший инженер 1-й лаборатории отдела бензиновых двигателей „ИАМ“ т. Цандер Фридрих Артурович, именуемый в дальнейшем т. Цандер, с другой стороны, заключили настоящий договор в том, что т. Цандер берёт на себя:</w:t>
      </w:r>
    </w:p>
    <w:p w14:paraId="74B396D3" w14:textId="77777777" w:rsidR="0020231B" w:rsidRPr="005E779E" w:rsidRDefault="0020231B"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1. Проектирование и разработку рабочих чертежей и производство по опытному реактивному двигателю ОР-2 к реактивному самолёту РП-1, а именно: камеру сгорания с соплом Де Лаваля, бачки для топлива с предохранительным клапаном, бак для бензина в срок к 25 ноября 1931 года.</w:t>
      </w:r>
    </w:p>
    <w:p w14:paraId="28AE0F38" w14:textId="77777777" w:rsidR="0020231B" w:rsidRPr="005E779E" w:rsidRDefault="0020231B"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2. Компенсатор для охлаждения сопла и подогревания кислорода в срок к 3 декабря 1931 года.</w:t>
      </w:r>
    </w:p>
    <w:p w14:paraId="388AA6D8" w14:textId="77777777" w:rsidR="0020231B" w:rsidRPr="005E779E" w:rsidRDefault="0020231B"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3. Расчёт температур сгорания, скоростей истечения, осевого давления струи при разных давлениях в пространстве, вес деталей, длительность полёта при разном содержании кислорода, расчёт системы подогрева, охлаждения, приблизительный расчёт температуры стенок камеры сгорания в сроки, соответствующие срокам подачи чертежей.</w:t>
      </w:r>
    </w:p>
    <w:p w14:paraId="3A2F7B98" w14:textId="77777777" w:rsidR="0020231B" w:rsidRPr="005E779E" w:rsidRDefault="0020231B"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Изготовление и испытания сопла и камеры сгорания — к 2 декабря 1931 года. Испытание баков для жидкого кислорода и бензина — к 1 января 1932 года, испытание собранного прибора — к 10 января 1932 года. Установка на самолёт и испытание в полёте — к концу января 1932 года.</w:t>
      </w:r>
    </w:p>
    <w:p w14:paraId="4AA548DD" w14:textId="77777777" w:rsidR="0020231B" w:rsidRPr="005E779E" w:rsidRDefault="0020231B"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…За проведённую работу т. Цандер получает вознаграждение 1000 рублей с уплатой их (в случае выполнения работ) в начале срока приёма 20 ноября 1931 года и по окончании работ по 500 рублей» </w:t>
      </w:r>
      <w:hyperlink r:id="rId199" w:history="1">
        <w:r w:rsidRPr="005E779E">
          <w:rPr>
            <w:rFonts w:ascii="Times New Roman" w:eastAsia="Times New Roman" w:hAnsi="Times New Roman"/>
            <w:color w:val="000000" w:themeColor="text1"/>
            <w:sz w:val="16"/>
            <w:szCs w:val="16"/>
            <w:lang w:eastAsia="ru-RU"/>
          </w:rPr>
          <w:t>[258]</w:t>
        </w:r>
      </w:hyperlink>
      <w:r w:rsidRPr="005E779E">
        <w:rPr>
          <w:rFonts w:ascii="Times New Roman" w:eastAsia="Times New Roman" w:hAnsi="Times New Roman"/>
          <w:color w:val="000000" w:themeColor="text1"/>
          <w:sz w:val="16"/>
          <w:szCs w:val="16"/>
          <w:lang w:eastAsia="ru-RU"/>
        </w:rPr>
        <w:t>.</w:t>
      </w:r>
    </w:p>
    <w:p w14:paraId="41E92D89" w14:textId="77777777" w:rsidR="0020231B" w:rsidRPr="005E779E" w:rsidRDefault="0020231B"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Аналогичный договор был заключён с Б.И. Черановским на постройку двух бесхвостых планеров БИЧ-11 по типу БИЧ-8; последний был уже изрядно изношен и не годился для серьёзных испытаний (17489).</w:t>
      </w:r>
    </w:p>
    <w:p w14:paraId="2984C626" w14:textId="77777777" w:rsidR="0020231B" w:rsidRPr="005E779E" w:rsidRDefault="0020231B" w:rsidP="000B7A6C">
      <w:pPr>
        <w:spacing w:after="0" w:line="240" w:lineRule="auto"/>
        <w:jc w:val="both"/>
        <w:rPr>
          <w:rFonts w:ascii="Times New Roman" w:eastAsia="Times New Roman" w:hAnsi="Times New Roman"/>
          <w:color w:val="000000" w:themeColor="text1"/>
          <w:sz w:val="16"/>
          <w:szCs w:val="16"/>
          <w:lang w:eastAsia="ru-RU"/>
        </w:rPr>
      </w:pPr>
    </w:p>
    <w:p w14:paraId="26528FD2" w14:textId="77777777" w:rsidR="00043DC3" w:rsidRPr="005E779E" w:rsidRDefault="00043DC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ноября 1931 г. появился первый и единственный договор Ф.А. Цандера с ОСОАВИАХИМ о конструировании реактивного двигателя, который Цандер назвал ОР-2 (опытный реактивный второй). До этого договора Цандер два года работал на «птичьих правах», совершенно бесплатно в пустующем подвале заброшенной немецкой кирхи, где раньше размещалась лаборатория по наддуву авиационных двигателей ЦАГИ. Без электричества и без какого-либо специального оборудования он умудрился создать из старой паяльной лампы первый опытный образец своего двигателя ОР-1 и провести свыше пятидесяти испытаний, доказывающих, что двигатель может работать. Работу над двигателем Цандер совмещал с основной работой в Институте авиационного моторостроения (ЦИАМ), куда он перешел в декабре 1930 г. (22685).</w:t>
      </w:r>
    </w:p>
    <w:p w14:paraId="48643CA9" w14:textId="77777777" w:rsidR="00043DC3" w:rsidRPr="005E779E" w:rsidRDefault="00043DC3" w:rsidP="000B7A6C">
      <w:pPr>
        <w:shd w:val="clear" w:color="auto" w:fill="FFFFFF"/>
        <w:spacing w:after="0" w:line="240" w:lineRule="auto"/>
        <w:jc w:val="both"/>
        <w:rPr>
          <w:rFonts w:ascii="Times New Roman" w:hAnsi="Times New Roman"/>
          <w:color w:val="000000" w:themeColor="text1"/>
          <w:sz w:val="16"/>
          <w:szCs w:val="16"/>
        </w:rPr>
      </w:pPr>
    </w:p>
    <w:p w14:paraId="48780346" w14:textId="77777777" w:rsidR="00043DC3" w:rsidRPr="005E779E" w:rsidRDefault="00043DC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ноября 1931 г. появился договор, который начал финансирование работы ГИРД. Текст этого договора, составленный в двух экземплярах (для обеих сторон) был опубликован полностью в книге Я.К. Голованова «Королев: факты и мифы». Договор имел гриф «Не подлежит оглашению», полное название документа «Союз ОСОАВИАХИМа СССР и ОСОВИАХИМа РСФСР. Социалистический договор по укреплению обороны страны № 228/10 от 18 ноября 1931 г.» Договор заключался между Председателем Бюро воздушной техники Научноисследовательского отдела Центрального Совета Союза ОСОАВИАХИМа СССР т. Афанасьевым Яковом Емельяновичем и старшим инженером первой лаборатории отдела бензиновых двигателей «ИАМ» т. Цандером Фридрихом Артуровичем.</w:t>
      </w:r>
    </w:p>
    <w:p w14:paraId="3F227324" w14:textId="77777777" w:rsidR="00043DC3" w:rsidRPr="005E779E" w:rsidRDefault="00043DC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Согласно договору Цандер брал на себя:</w:t>
      </w:r>
    </w:p>
    <w:p w14:paraId="27A7F655" w14:textId="77777777" w:rsidR="00043DC3" w:rsidRPr="005E779E" w:rsidRDefault="00043DC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Проектирование и разработку рабочих чертежей и производство по опытному реактивному двигателю ОР-2 к реактивному самолету РП-1, а именно - камеру сгорания с соплом де Лаваля, баки для топлива с предохранительными клапанами и бак для бензина (срок 25 ноября 1931 г.).</w:t>
      </w:r>
    </w:p>
    <w:p w14:paraId="71A1F4F1" w14:textId="77777777" w:rsidR="00043DC3" w:rsidRPr="005E779E" w:rsidRDefault="00043DC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Компенсатор для охлаждения сопла и подогревания кислорода (срок 3 декабря 1931 г.).</w:t>
      </w:r>
    </w:p>
    <w:p w14:paraId="6D3EA820" w14:textId="77777777" w:rsidR="00043DC3" w:rsidRPr="005E779E" w:rsidRDefault="00043DC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Расчет температур сгорания, скоростей истечения, осевого давления струи при разных давлениях в пространстве, вес деталей, расчет системы подофева и охлаждения, приблизительный расчет температур и стенок камеры сгорания.</w:t>
      </w:r>
    </w:p>
    <w:p w14:paraId="17C4C718" w14:textId="77777777" w:rsidR="00043DC3" w:rsidRPr="005E779E" w:rsidRDefault="00043DC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4. Изготовление и испытание сопла и камеры сгорания (срок 2 декабря 1931 г.); испытание баков для жидкого кислорода и бензина (срок 1 января 1932 г.); испытание собранного двигателя (срок 10 января 1932 г.); установка на самолет и испытание в полете (срок конец января 1932 г.)... </w:t>
      </w:r>
    </w:p>
    <w:p w14:paraId="731693BF" w14:textId="77777777" w:rsidR="00043DC3" w:rsidRPr="005E779E" w:rsidRDefault="00043DC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 проведенную работу т. Цандер получает вознаграждение 1000 руб. с уплатой их (в случае выполнения работы) в начале срока приема 20 ноября 1931 г. и по окончании работ по 500 руб.» (22685).</w:t>
      </w:r>
    </w:p>
    <w:p w14:paraId="442EF0C9" w14:textId="77777777" w:rsidR="00043DC3" w:rsidRPr="005E779E" w:rsidRDefault="00043DC3" w:rsidP="000B7A6C">
      <w:pPr>
        <w:spacing w:after="0" w:line="240" w:lineRule="auto"/>
        <w:jc w:val="both"/>
        <w:rPr>
          <w:rFonts w:ascii="Times New Roman" w:hAnsi="Times New Roman"/>
          <w:color w:val="000000" w:themeColor="text1"/>
          <w:sz w:val="16"/>
          <w:szCs w:val="16"/>
        </w:rPr>
      </w:pPr>
    </w:p>
    <w:p w14:paraId="65B270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ноября 1931 была создана МосГИРД при ЦС Осоавиахим и ее нач. стал Ф.А.Цандер. заключили договор (2990).</w:t>
      </w:r>
    </w:p>
    <w:p w14:paraId="098FF0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20AFFDF"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18 ноября</w:t>
      </w:r>
      <w:r w:rsidRPr="005E779E">
        <w:rPr>
          <w:rFonts w:ascii="Times New Roman" w:hAnsi="Times New Roman"/>
          <w:color w:val="000000" w:themeColor="text1"/>
          <w:sz w:val="16"/>
          <w:szCs w:val="16"/>
        </w:rPr>
        <w:t xml:space="preserve"> в 1931 году в Москве при Центральном Совете ОСОАВИАХИМа создана Группа изучения реактивного движения (МосГИРД). Начальником МосГИРД стал Фридрих Артурович Цандер. Заключен договор с ОСОАВИАХИМОм на проектирование и постройку жидкостного ракетного двигателя для ракетоплана (14834).</w:t>
      </w:r>
    </w:p>
    <w:p w14:paraId="2B06FAE2" w14:textId="77777777" w:rsidR="00C54992" w:rsidRPr="005E779E" w:rsidRDefault="00C54992" w:rsidP="000B7A6C">
      <w:pPr>
        <w:spacing w:after="0" w:line="240" w:lineRule="auto"/>
        <w:jc w:val="both"/>
        <w:rPr>
          <w:rFonts w:ascii="Times New Roman" w:hAnsi="Times New Roman"/>
          <w:color w:val="000000" w:themeColor="text1"/>
          <w:sz w:val="16"/>
          <w:szCs w:val="16"/>
        </w:rPr>
      </w:pPr>
    </w:p>
    <w:p w14:paraId="2E72909B" w14:textId="77777777" w:rsidR="00723FFB" w:rsidRPr="005E779E" w:rsidRDefault="00723F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18 ноября 1931 г. члены МосГИРД приступила к проектно-кон</w:t>
      </w:r>
      <w:r w:rsidRPr="005E779E">
        <w:rPr>
          <w:rFonts w:ascii="Times New Roman" w:hAnsi="Times New Roman"/>
          <w:color w:val="000000" w:themeColor="text1"/>
          <w:sz w:val="16"/>
          <w:szCs w:val="16"/>
        </w:rPr>
        <w:softHyphen/>
        <w:t>структорской работе. Первой своей целью они поставили созда</w:t>
      </w:r>
      <w:r w:rsidRPr="005E779E">
        <w:rPr>
          <w:rFonts w:ascii="Times New Roman" w:hAnsi="Times New Roman"/>
          <w:color w:val="000000" w:themeColor="text1"/>
          <w:sz w:val="16"/>
          <w:szCs w:val="16"/>
        </w:rPr>
        <w:softHyphen/>
        <w:t>ние ракетоплана РП-1 (руководитель проекта С. Королев) и двига</w:t>
      </w:r>
      <w:r w:rsidRPr="005E779E">
        <w:rPr>
          <w:rFonts w:ascii="Times New Roman" w:hAnsi="Times New Roman"/>
          <w:color w:val="000000" w:themeColor="text1"/>
          <w:sz w:val="16"/>
          <w:szCs w:val="16"/>
        </w:rPr>
        <w:softHyphen/>
        <w:t>теля для него ОР-2 (руководитель Ф. Цандер) (23550).</w:t>
      </w:r>
    </w:p>
    <w:p w14:paraId="7C225BE7" w14:textId="77777777" w:rsidR="00723FFB" w:rsidRPr="005E779E" w:rsidRDefault="00723FFB" w:rsidP="000B7A6C">
      <w:pPr>
        <w:spacing w:after="0" w:line="240" w:lineRule="auto"/>
        <w:jc w:val="both"/>
        <w:rPr>
          <w:rFonts w:ascii="Times New Roman" w:hAnsi="Times New Roman"/>
          <w:color w:val="000000" w:themeColor="text1"/>
          <w:sz w:val="16"/>
          <w:szCs w:val="16"/>
        </w:rPr>
      </w:pPr>
    </w:p>
    <w:p w14:paraId="4D2CA5B4" w14:textId="77777777" w:rsidR="00723FFB" w:rsidRPr="005E779E" w:rsidRDefault="00723F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ноября 1931 года Центральный Со</w:t>
      </w:r>
      <w:r w:rsidRPr="005E779E">
        <w:rPr>
          <w:rFonts w:ascii="Times New Roman" w:hAnsi="Times New Roman"/>
          <w:color w:val="000000" w:themeColor="text1"/>
          <w:sz w:val="16"/>
          <w:szCs w:val="16"/>
        </w:rPr>
        <w:softHyphen/>
        <w:t>вет Осоавиахима заключил с ГИРДом договор на разработку и постройку жидкостного двигателя ОР-2. Двигатель проектиро</w:t>
      </w:r>
      <w:r w:rsidRPr="005E779E">
        <w:rPr>
          <w:rFonts w:ascii="Times New Roman" w:hAnsi="Times New Roman"/>
          <w:color w:val="000000" w:themeColor="text1"/>
          <w:sz w:val="16"/>
          <w:szCs w:val="16"/>
        </w:rPr>
        <w:softHyphen/>
        <w:t>вался простым и маломощным. Полет планера с ним был воз</w:t>
      </w:r>
      <w:r w:rsidRPr="005E779E">
        <w:rPr>
          <w:rFonts w:ascii="Times New Roman" w:hAnsi="Times New Roman"/>
          <w:color w:val="000000" w:themeColor="text1"/>
          <w:sz w:val="16"/>
          <w:szCs w:val="16"/>
        </w:rPr>
        <w:softHyphen/>
        <w:t>можен только после буксировки последнего на определенную высоту. Работа не представлялась сложной, а потому Цандер, не имея ни помещения, ни штатных сотрудников, подписал до</w:t>
      </w:r>
      <w:r w:rsidRPr="005E779E">
        <w:rPr>
          <w:rFonts w:ascii="Times New Roman" w:hAnsi="Times New Roman"/>
          <w:color w:val="000000" w:themeColor="text1"/>
          <w:sz w:val="16"/>
          <w:szCs w:val="16"/>
        </w:rPr>
        <w:softHyphen/>
        <w:t>говор, определив для работы сжатые сроки (23510).</w:t>
      </w:r>
    </w:p>
    <w:p w14:paraId="44DDBCBD" w14:textId="77777777" w:rsidR="00723FFB" w:rsidRPr="005E779E" w:rsidRDefault="00723FFB" w:rsidP="000B7A6C">
      <w:pPr>
        <w:spacing w:after="0" w:line="240" w:lineRule="auto"/>
        <w:jc w:val="both"/>
        <w:rPr>
          <w:rFonts w:ascii="Times New Roman" w:hAnsi="Times New Roman"/>
          <w:color w:val="000000" w:themeColor="text1"/>
          <w:sz w:val="16"/>
          <w:szCs w:val="16"/>
        </w:rPr>
      </w:pPr>
    </w:p>
    <w:p w14:paraId="099E6A0B" w14:textId="77777777" w:rsidR="00723FFB" w:rsidRPr="005E779E" w:rsidRDefault="00723F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ноября 1931 года Королев, Черановский и Цандер заключили с ОСОВИАХИМом «Социалистический договор по укреплению обороны СССР № 228/10».</w:t>
      </w:r>
    </w:p>
    <w:p w14:paraId="1D56D122" w14:textId="77777777" w:rsidR="00723FFB" w:rsidRPr="005E779E" w:rsidRDefault="00723F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Т..к. БИЧ-8 в результате многочислен</w:t>
      </w:r>
      <w:r w:rsidRPr="005E779E">
        <w:rPr>
          <w:rFonts w:ascii="Times New Roman" w:hAnsi="Times New Roman"/>
          <w:color w:val="000000" w:themeColor="text1"/>
          <w:sz w:val="16"/>
          <w:szCs w:val="16"/>
        </w:rPr>
        <w:softHyphen/>
        <w:t>ных летных испытаний пришёл в негодность, решили пере</w:t>
      </w:r>
      <w:r w:rsidRPr="005E779E">
        <w:rPr>
          <w:rFonts w:ascii="Times New Roman" w:hAnsi="Times New Roman"/>
          <w:color w:val="000000" w:themeColor="text1"/>
          <w:sz w:val="16"/>
          <w:szCs w:val="16"/>
        </w:rPr>
        <w:softHyphen/>
        <w:t>делать в ракетоплан планёр БИЧ-11, установив на нем двигатель ОР-2.</w:t>
      </w:r>
    </w:p>
    <w:p w14:paraId="26A1D47A" w14:textId="77777777" w:rsidR="00723FFB" w:rsidRPr="005E779E" w:rsidRDefault="00723F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Ракетопланом в ГИРД занялись две бригады: 1-я и 4-я. Первая работала с двигателем, 4-я — с планёром. Суть переделки заклю</w:t>
      </w:r>
      <w:r w:rsidRPr="005E779E">
        <w:rPr>
          <w:rFonts w:ascii="Times New Roman" w:hAnsi="Times New Roman"/>
          <w:color w:val="000000" w:themeColor="text1"/>
          <w:sz w:val="16"/>
          <w:szCs w:val="16"/>
        </w:rPr>
        <w:softHyphen/>
        <w:t>чалась в том, чтобы установить двигатель позади кабины пилота, а баки для топлива и окислителя разместить по бокам фюзеляжа. Соответственно, требовалось изменить распределение масс и по</w:t>
      </w:r>
      <w:r w:rsidRPr="005E779E">
        <w:rPr>
          <w:rFonts w:ascii="Times New Roman" w:hAnsi="Times New Roman"/>
          <w:color w:val="000000" w:themeColor="text1"/>
          <w:sz w:val="16"/>
          <w:szCs w:val="16"/>
        </w:rPr>
        <w:softHyphen/>
        <w:t>высить прочность всей конструкции планёра.</w:t>
      </w:r>
    </w:p>
    <w:p w14:paraId="29611EF8" w14:textId="77777777" w:rsidR="00723FFB" w:rsidRPr="005E779E" w:rsidRDefault="00723F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проекту, характеристики РП-1 были таковы: стартовый вес 470 кг; длина 3,2 м, размах крыла 12,5 м, высота 1,3 м; скорость в полете до 140 км/ч, посадочная скорость не более 55 км/ч; про</w:t>
      </w:r>
      <w:r w:rsidRPr="005E779E">
        <w:rPr>
          <w:rFonts w:ascii="Times New Roman" w:hAnsi="Times New Roman"/>
          <w:color w:val="000000" w:themeColor="text1"/>
          <w:sz w:val="16"/>
          <w:szCs w:val="16"/>
        </w:rPr>
        <w:softHyphen/>
        <w:t>должительность полёта с работающим РД до 7 минут. Двигатель ОР-2 весил 18 кг.</w:t>
      </w:r>
    </w:p>
    <w:p w14:paraId="0DEDD0FC" w14:textId="77777777" w:rsidR="00723FFB" w:rsidRPr="005E779E" w:rsidRDefault="00723F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Королёв, опытный планерист, сам провёл лётные испытания БИЧ-11, начавшиеся 22 февраля 1932 г. Он совершил на нём 29 па</w:t>
      </w:r>
      <w:r w:rsidRPr="005E779E">
        <w:rPr>
          <w:rFonts w:ascii="Times New Roman" w:hAnsi="Times New Roman"/>
          <w:color w:val="000000" w:themeColor="text1"/>
          <w:sz w:val="16"/>
          <w:szCs w:val="16"/>
        </w:rPr>
        <w:softHyphen/>
        <w:t>рящих полётов и еще 5 — с поршневым мотором «Scorpion».</w:t>
      </w:r>
    </w:p>
    <w:p w14:paraId="7777128F" w14:textId="77777777" w:rsidR="00723FFB" w:rsidRPr="005E779E" w:rsidRDefault="00723F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Цандер спроектировал два двигателя: ОР-2 — для ракетопла</w:t>
      </w:r>
      <w:r w:rsidRPr="005E779E">
        <w:rPr>
          <w:rFonts w:ascii="Times New Roman" w:hAnsi="Times New Roman"/>
          <w:color w:val="000000" w:themeColor="text1"/>
          <w:sz w:val="16"/>
          <w:szCs w:val="16"/>
        </w:rPr>
        <w:softHyphen/>
        <w:t>на, ОР-10 — для ракеты. С ОР-2 вышла заминка: в декабре 1932 г. его неоднократно запускали на стенде, но безуспешно.</w:t>
      </w:r>
    </w:p>
    <w:p w14:paraId="2E0FEEF0" w14:textId="77777777" w:rsidR="00723FFB" w:rsidRPr="005E779E" w:rsidRDefault="00723F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Несмотря на это, Королёв параллельно готовил два новых проекта: РП-2 под ракетный двигатель РД-А (с насосной подачей топлива) и двухместный РП-3, на котором хотел поставить порш</w:t>
      </w:r>
      <w:r w:rsidRPr="005E779E">
        <w:rPr>
          <w:rFonts w:ascii="Times New Roman" w:hAnsi="Times New Roman"/>
          <w:color w:val="000000" w:themeColor="text1"/>
          <w:sz w:val="16"/>
          <w:szCs w:val="16"/>
        </w:rPr>
        <w:softHyphen/>
        <w:t>невой мотор вместе с ракетным двигателем тягой 300 кг/сек. На РП-3 он хотел достигнуть высоты 40 км (!), не понимая, что в силу «букета» причин это абсолютно невозможно (23550).</w:t>
      </w:r>
    </w:p>
    <w:p w14:paraId="344E31BF" w14:textId="77777777" w:rsidR="00723FFB" w:rsidRPr="005E779E" w:rsidRDefault="00723FFB" w:rsidP="000B7A6C">
      <w:pPr>
        <w:spacing w:after="0" w:line="240" w:lineRule="auto"/>
        <w:jc w:val="both"/>
        <w:rPr>
          <w:rFonts w:ascii="Times New Roman" w:hAnsi="Times New Roman"/>
          <w:color w:val="000000" w:themeColor="text1"/>
          <w:sz w:val="16"/>
          <w:szCs w:val="16"/>
        </w:rPr>
      </w:pPr>
    </w:p>
    <w:p w14:paraId="36D74DF2" w14:textId="77777777" w:rsidR="00723FFB" w:rsidRPr="005E779E" w:rsidRDefault="00723F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ноября 1931 г. Черановский получил заказ на постройку двух бесхвостых планеров с трапециевидным крылом БИЧ-11 (один из них потом летал на планерных состязаниях 1933 г.), а Цандер — на разработку ЖРД ОР-2 с тягой 50 кгс.</w:t>
      </w:r>
    </w:p>
    <w:p w14:paraId="7CD6036B" w14:textId="7CB973DA" w:rsidR="00723FFB" w:rsidRPr="005E779E" w:rsidRDefault="00723F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Черановский выполнил задание быстро: первый БИЧ-11 был готов в начале 1932 г.</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(24253).</w:t>
      </w:r>
    </w:p>
    <w:p w14:paraId="394E1D27" w14:textId="77777777" w:rsidR="00723FFB" w:rsidRPr="005E779E" w:rsidRDefault="00723FFB" w:rsidP="000B7A6C">
      <w:pPr>
        <w:spacing w:after="0" w:line="240" w:lineRule="auto"/>
        <w:jc w:val="both"/>
        <w:rPr>
          <w:rFonts w:ascii="Times New Roman" w:hAnsi="Times New Roman"/>
          <w:color w:val="000000" w:themeColor="text1"/>
          <w:sz w:val="16"/>
          <w:szCs w:val="16"/>
        </w:rPr>
      </w:pPr>
    </w:p>
    <w:p w14:paraId="45D38718" w14:textId="77777777" w:rsidR="00357876" w:rsidRPr="005E779E" w:rsidRDefault="00357876"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5EF27923" w14:textId="77777777" w:rsidR="00357876" w:rsidRPr="005E779E" w:rsidRDefault="00357876"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71E104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ноября 1931 г. комиссия предъявила отчет, в котором, в частности, говорилось:</w:t>
      </w:r>
    </w:p>
    <w:p w14:paraId="77624D9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«Специальная Комиссия в составе председателя т. БОКИС — Начальник ТУУММ, и членов: т. ЛЕБЕДЕВА - Председателя НТК УММ, ДЕРЕВЦОВА -Начальника УСУ УММ, тт. БЕГУНОВА, БРАВЕРМАН и РОЖКОВА, членов НТК УММ, т ГИНЗБУРГ - Нач. КБ № 3 ОРПО, т. ЗАСЛАВСКОГО - Зам нач. КБ № 3 ОРПО, т. ИВАНОВА - пом начальника КБ № 3 ОРПО, т СИМСКОГО - Нач. ГКБ Завода Большевик, т. ТОСКИНА - Нач. Т2 ГХПЗ, орга</w:t>
      </w:r>
      <w:r w:rsidRPr="005E779E">
        <w:rPr>
          <w:rFonts w:ascii="Times New Roman" w:hAnsi="Times New Roman"/>
          <w:color w:val="000000" w:themeColor="text1"/>
          <w:sz w:val="16"/>
          <w:szCs w:val="16"/>
        </w:rPr>
        <w:softHyphen/>
        <w:t>низованная согласно приказания Зам. Председателя РВС СССР т. ТУХАЧЕВСКОГО, после рассмотрения чертежей, расчетов по ма</w:t>
      </w:r>
      <w:r w:rsidRPr="005E779E">
        <w:rPr>
          <w:rFonts w:ascii="Times New Roman" w:hAnsi="Times New Roman"/>
          <w:color w:val="000000" w:themeColor="text1"/>
          <w:sz w:val="16"/>
          <w:szCs w:val="16"/>
        </w:rPr>
        <w:softHyphen/>
        <w:t>шинам Д-4, Д-5 и Д-38, а также после ознакомления с макетом машины Д-5 и с макетом боевого отделения машины Д-38 и после доклада и раз»яснений по указанным машинам конструктора их т. ДЫРЕНКОВА пришла к следующим выводам:</w:t>
      </w:r>
    </w:p>
    <w:p w14:paraId="1147EB6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1. Конструкция танка Д-4 имеющего колесный, гусеничный и жел.дор. ход и подводную проходимость, предложенная т. ДЫРЕНКОВЫМ, фактически в данный момент не существует, так как в процессе разработки машины выяснилась невозмож</w:t>
      </w:r>
      <w:r w:rsidRPr="005E779E">
        <w:rPr>
          <w:rFonts w:ascii="Times New Roman" w:hAnsi="Times New Roman"/>
          <w:color w:val="000000" w:themeColor="text1"/>
          <w:sz w:val="16"/>
          <w:szCs w:val="16"/>
        </w:rPr>
        <w:softHyphen/>
        <w:t>ность применить автомобильный колесный ход и использовать два мотора Геркулес мощностью 106 сил.</w:t>
      </w:r>
    </w:p>
    <w:p w14:paraId="0F1FB6C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Комиссия констатирует, что тов. ДЫРЕНКОВ с заданием по конструированию танка Д-4 не справился и был вынужден на ос</w:t>
      </w:r>
      <w:r w:rsidRPr="005E779E">
        <w:rPr>
          <w:rFonts w:ascii="Times New Roman" w:hAnsi="Times New Roman"/>
          <w:color w:val="000000" w:themeColor="text1"/>
          <w:sz w:val="16"/>
          <w:szCs w:val="16"/>
        </w:rPr>
        <w:softHyphen/>
        <w:t>нове своей конструкции Д-4 приступить к разработке и построй</w:t>
      </w:r>
      <w:r w:rsidRPr="005E779E">
        <w:rPr>
          <w:rFonts w:ascii="Times New Roman" w:hAnsi="Times New Roman"/>
          <w:color w:val="000000" w:themeColor="text1"/>
          <w:sz w:val="16"/>
          <w:szCs w:val="16"/>
        </w:rPr>
        <w:softHyphen/>
        <w:t>ке нового танка Д-5 с мотором М-17мощностью 500л.с. В конст</w:t>
      </w:r>
      <w:r w:rsidRPr="005E779E">
        <w:rPr>
          <w:rFonts w:ascii="Times New Roman" w:hAnsi="Times New Roman"/>
          <w:color w:val="000000" w:themeColor="text1"/>
          <w:sz w:val="16"/>
          <w:szCs w:val="16"/>
        </w:rPr>
        <w:softHyphen/>
        <w:t>рукции оставлены: гусеничный и железно-дорожный ход и подвод</w:t>
      </w:r>
      <w:r w:rsidRPr="005E779E">
        <w:rPr>
          <w:rFonts w:ascii="Times New Roman" w:hAnsi="Times New Roman"/>
          <w:color w:val="000000" w:themeColor="text1"/>
          <w:sz w:val="16"/>
          <w:szCs w:val="16"/>
        </w:rPr>
        <w:softHyphen/>
        <w:t>ная проходимость. Автомобильный колесный ход, запроэктирован-ный для машины в 12 тонн, снят за невозможностью его выполне</w:t>
      </w:r>
      <w:r w:rsidRPr="005E779E">
        <w:rPr>
          <w:rFonts w:ascii="Times New Roman" w:hAnsi="Times New Roman"/>
          <w:color w:val="000000" w:themeColor="text1"/>
          <w:sz w:val="16"/>
          <w:szCs w:val="16"/>
        </w:rPr>
        <w:softHyphen/>
        <w:t>ния для машины Д-5 весом 25 тонн.</w:t>
      </w:r>
    </w:p>
    <w:p w14:paraId="4EB2AAC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Конструкция танка Д-5, предусматривающая изжитие дефектов и конструктивных неполадок, выявленных т. ДЫРЕНКОВЫМ во время работы с танком Д-4, имеет, по мне</w:t>
      </w:r>
      <w:r w:rsidRPr="005E779E">
        <w:rPr>
          <w:rFonts w:ascii="Times New Roman" w:hAnsi="Times New Roman"/>
          <w:color w:val="000000" w:themeColor="text1"/>
          <w:sz w:val="16"/>
          <w:szCs w:val="16"/>
        </w:rPr>
        <w:softHyphen/>
        <w:t>нию омиссии, следующие крупные недостатки:</w:t>
      </w:r>
    </w:p>
    <w:p w14:paraId="374E9BF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а/Носовая часть корпуса неудачна, так как вследствие налиния больших мертвых пространств наблюдение за дорогой за</w:t>
      </w:r>
      <w:r w:rsidRPr="005E779E">
        <w:rPr>
          <w:rFonts w:ascii="Times New Roman" w:hAnsi="Times New Roman"/>
          <w:color w:val="000000" w:themeColor="text1"/>
          <w:sz w:val="16"/>
          <w:szCs w:val="16"/>
        </w:rPr>
        <w:softHyphen/>
        <w:t>труднительно для водителя.</w:t>
      </w:r>
    </w:p>
    <w:p w14:paraId="5DC310E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б/Расположение вооружения данного класса машины/тип ДД/не дает возможность удовлетворительно использовать мощность установленного вооружения.</w:t>
      </w:r>
    </w:p>
    <w:p w14:paraId="1F6B44A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в/В машине Д-5 поверхность охлаждения радиатора взята избыточной против Кристи и поставлен более мощный вентиля</w:t>
      </w:r>
      <w:r w:rsidRPr="005E779E">
        <w:rPr>
          <w:rFonts w:ascii="Times New Roman" w:hAnsi="Times New Roman"/>
          <w:color w:val="000000" w:themeColor="text1"/>
          <w:sz w:val="16"/>
          <w:szCs w:val="16"/>
        </w:rPr>
        <w:softHyphen/>
        <w:t>тор. Однако, по мнению омиссии, надежность охлаждения не является достаточно обезпеченной, так как затрудненные про</w:t>
      </w:r>
      <w:r w:rsidRPr="005E779E">
        <w:rPr>
          <w:rFonts w:ascii="Times New Roman" w:hAnsi="Times New Roman"/>
          <w:color w:val="000000" w:themeColor="text1"/>
          <w:sz w:val="16"/>
          <w:szCs w:val="16"/>
        </w:rPr>
        <w:softHyphen/>
        <w:t>ходы потоков воздуха потребуют специальный мощный вентиля</w:t>
      </w:r>
      <w:r w:rsidRPr="005E779E">
        <w:rPr>
          <w:rFonts w:ascii="Times New Roman" w:hAnsi="Times New Roman"/>
          <w:color w:val="000000" w:themeColor="text1"/>
          <w:sz w:val="16"/>
          <w:szCs w:val="16"/>
        </w:rPr>
        <w:softHyphen/>
        <w:t>тор повышенным давлением, что трудно осуществимо в отве</w:t>
      </w:r>
      <w:r w:rsidRPr="005E779E">
        <w:rPr>
          <w:rFonts w:ascii="Times New Roman" w:hAnsi="Times New Roman"/>
          <w:color w:val="000000" w:themeColor="text1"/>
          <w:sz w:val="16"/>
          <w:szCs w:val="16"/>
        </w:rPr>
        <w:softHyphen/>
        <w:t>денных для него габаритах.</w:t>
      </w:r>
    </w:p>
    <w:p w14:paraId="7135AE5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г/Трансмиссия, состоящая из двух коробок скоростей, име</w:t>
      </w:r>
      <w:r w:rsidRPr="005E779E">
        <w:rPr>
          <w:rFonts w:ascii="Times New Roman" w:hAnsi="Times New Roman"/>
          <w:color w:val="000000" w:themeColor="text1"/>
          <w:sz w:val="16"/>
          <w:szCs w:val="16"/>
        </w:rPr>
        <w:softHyphen/>
        <w:t>ет избыточный запас прочности в своих основных деталях, о-миссия считает эту конструкцию нецелесообразной и полага</w:t>
      </w:r>
      <w:r w:rsidRPr="005E779E">
        <w:rPr>
          <w:rFonts w:ascii="Times New Roman" w:hAnsi="Times New Roman"/>
          <w:color w:val="000000" w:themeColor="text1"/>
          <w:sz w:val="16"/>
          <w:szCs w:val="16"/>
        </w:rPr>
        <w:softHyphen/>
        <w:t>ет, что обычная конструкция коробки скоростей даст значи</w:t>
      </w:r>
      <w:r w:rsidRPr="005E779E">
        <w:rPr>
          <w:rFonts w:ascii="Times New Roman" w:hAnsi="Times New Roman"/>
          <w:color w:val="000000" w:themeColor="text1"/>
          <w:sz w:val="16"/>
          <w:szCs w:val="16"/>
        </w:rPr>
        <w:softHyphen/>
        <w:t>тельную экономию в размерах машинного отделения, а, следо</w:t>
      </w:r>
      <w:r w:rsidRPr="005E779E">
        <w:rPr>
          <w:rFonts w:ascii="Times New Roman" w:hAnsi="Times New Roman"/>
          <w:color w:val="000000" w:themeColor="text1"/>
          <w:sz w:val="16"/>
          <w:szCs w:val="16"/>
        </w:rPr>
        <w:softHyphen/>
        <w:t>вательно, и в весе танка.</w:t>
      </w:r>
    </w:p>
    <w:p w14:paraId="336EC44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д/бортовые фрикционы по своим размерам достаточны для обеспечения работы танка. Однако, конструктивное выполнение их неудачно, так как размешенные вне корпуса бортовые фрик</w:t>
      </w:r>
      <w:r w:rsidRPr="005E779E">
        <w:rPr>
          <w:rFonts w:ascii="Times New Roman" w:hAnsi="Times New Roman"/>
          <w:color w:val="000000" w:themeColor="text1"/>
          <w:sz w:val="16"/>
          <w:szCs w:val="16"/>
        </w:rPr>
        <w:softHyphen/>
        <w:t>ционы, не имеют достаточной герметизации, предохраняющей от попадания в них грязи, воды и снега, что повлечет за собой не</w:t>
      </w:r>
      <w:r w:rsidRPr="005E779E">
        <w:rPr>
          <w:rFonts w:ascii="Times New Roman" w:hAnsi="Times New Roman"/>
          <w:color w:val="000000" w:themeColor="text1"/>
          <w:sz w:val="16"/>
          <w:szCs w:val="16"/>
        </w:rPr>
        <w:softHyphen/>
        <w:t>нормальный износ их и отказ в работе...</w:t>
      </w:r>
    </w:p>
    <w:p w14:paraId="3B6CD54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е/система подвески поддерживающих колес с весьма ограни</w:t>
      </w:r>
      <w:r w:rsidRPr="005E779E">
        <w:rPr>
          <w:rFonts w:ascii="Times New Roman" w:hAnsi="Times New Roman"/>
          <w:color w:val="000000" w:themeColor="text1"/>
          <w:sz w:val="16"/>
          <w:szCs w:val="16"/>
        </w:rPr>
        <w:softHyphen/>
        <w:t>ченным ходом их вниз не приемлема, вследствие ненадежности работы ее на пересеченной местности.</w:t>
      </w:r>
    </w:p>
    <w:p w14:paraId="593FA7F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ж/конструкция механизмов для подводного хождения нуж</w:t>
      </w:r>
      <w:r w:rsidRPr="005E779E">
        <w:rPr>
          <w:rFonts w:ascii="Times New Roman" w:hAnsi="Times New Roman"/>
          <w:color w:val="000000" w:themeColor="text1"/>
          <w:sz w:val="16"/>
          <w:szCs w:val="16"/>
        </w:rPr>
        <w:softHyphen/>
        <w:t>дается во всесторонней проверке.</w:t>
      </w:r>
    </w:p>
    <w:p w14:paraId="7A1B830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На основании вышеизложенных соображений Комиссия считает танк Д-5 экспериментальной машиной для проверки работы железно-дорожного и гусеничного хода, который моет быть использован для мото-броне-вагонов и мощных танков и подводной проходимости. Танк не может служить образцом для серийного производства...» (10733,117).</w:t>
      </w:r>
    </w:p>
    <w:p w14:paraId="0C7E644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D9F598"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ноября 1931 г. комиссия предъявила отчет, в котором, в частности, говорилось:</w:t>
      </w:r>
    </w:p>
    <w:p w14:paraId="2FAFC773"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«Специальная Комиссия в составе председателя да. БОКИС – Начальник ТУУММ, и членов: т. ЛЕБЕДЕВА – Председателя НТК УММ, ДЕРЕВЦОВА – Начальника УСУ УММ, тт. БЕГУ НОВА, БРАВЕРМАН и РОЖКОВА, членов НТК УММ, т. ГИНЗБУРГ – Нач. КБ № 3 ОРПО, т. ЗАСЛАВСКОГО – Зам нач. КБ № 3 ОРПО, т. ИВАНОВА – пом начальника КБ № 3 ОРПО, т СИМСКОГО – Нач. ГКБ Завода Большевик, т. ТОСКИНА – Нач. Т2 ГХПЗ, организованная согласно приказания Зам. Председателя РВС СССР т. ТУХАЧЕВСКОГО, после рассмотрения чертежей, расчетов по машинам Д-4, Д-5 и Д-38, а также после ознакомления с макетом машины Д-5 и с макетом боевого отделения машины Д-38 и после доклада и разъяснений по указанным машинам конструктора их т. ДЫРЕНКОВА пришла к следующим выводам:</w:t>
      </w:r>
    </w:p>
    <w:p w14:paraId="05834A97"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 Конструкция </w:t>
      </w:r>
      <w:hyperlink r:id="rId200"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а Д-4 имеющего колесный, гусеничный и жел.дор. ход и подводную проходимость, предложенная т. ДЫРЕНКОВЫМ, фактически в данный момент не существует, так как в процессе разработки машины выяснилась невозможность применить автомобильный колесный ход и использовать два мотора Геркулес мощностью 106 сил.</w:t>
      </w:r>
    </w:p>
    <w:p w14:paraId="18D14518"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 Комиссия констатирует, что тов. ДЫРЕНКОВ с заданием по конструированию </w:t>
      </w:r>
      <w:hyperlink r:id="rId201"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а Д-4 не справился и был вынужден на основе своей конструкции Д-4 приступить к разработке и постройке нового </w:t>
      </w:r>
      <w:hyperlink r:id="rId202"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а Д-5 с мотором М-17 мощностью 500 л.с. В конструкции оставлены: гусеничный и железно-дорожный ход и подводная проходимость. Автомобильный колесный ход, запроэктированный для машины в 12 тонн, снят за невозможностью его выполнения для машины Д-5 весом 25 тонн.</w:t>
      </w:r>
    </w:p>
    <w:p w14:paraId="2F547313"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 Конструкция </w:t>
      </w:r>
      <w:hyperlink r:id="rId203"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а Д-5, предусматривающая изжитие дефектов и конструктивных неполадок, выявленных т. ДЫРЕНКОВЫМ во время работы с </w:t>
      </w:r>
      <w:hyperlink r:id="rId204"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ом Д-4, имеет, по мнению комиссии, следующие крупные недостатки:</w:t>
      </w:r>
    </w:p>
    <w:p w14:paraId="55CF7312"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Носовая часть корпуса неудачна, так как вследствие наличия больших мертвых пространств наблюдение за дорогой затруднительно для водителя.</w:t>
      </w:r>
    </w:p>
    <w:p w14:paraId="127E6B35"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Расположение вооружения данного класса машины/тип ДД/не дает возможность удовлетворительно использовать мощность установленного вооружения.</w:t>
      </w:r>
    </w:p>
    <w:p w14:paraId="16E398CA"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В машине Д-5 поверхность охлаждения радиатора взята избыточной против Кристи и поставлен более мощный вентилятор. Однако, по мнению комиссии, надежность охлаждения не является достаточно обеспеченной, так как затрудненные проходы потоков воздуха потребуют специальный мощный вентилятор повышенным давлением, что трудно осуществимо в отведенных для него габаритах.</w:t>
      </w:r>
    </w:p>
    <w:p w14:paraId="34692A44"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г) Трансмиссия, состоящая из двух коробок скоростей, имеет избыточный запас прочности в своих основных деталях, комиссия считает эту конструкцию нецелесообразной и полагает, что обычная конструкция коробки скоростей даст значительную экономию в размерах машинного отделения, а, следовательно, и в весе </w:t>
      </w:r>
      <w:hyperlink r:id="rId205"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а.</w:t>
      </w:r>
    </w:p>
    <w:p w14:paraId="418744FA"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 бортовые фрикционы по своим размерам достаточны для обеспечения работы </w:t>
      </w:r>
      <w:hyperlink r:id="rId206"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а. Однако, конструктивное выполнение их неудачно, так как размешенные вне корпуса бортовые фрикционы, не имеют достаточной герметизации, предохраняющей от попадания в них грязи, воды и снега, что повлечет за собой ненормальный износ их и отказ в работе…</w:t>
      </w:r>
    </w:p>
    <w:p w14:paraId="7D6DEF3A"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 система подвески поддерживающих колес с весьма ограниченным ходом их вниз не приемлема, вследствие ненадежности работы ее на пересеченной местности.</w:t>
      </w:r>
    </w:p>
    <w:p w14:paraId="7D7F7E0D"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ж) конструкция механизмов для подводного хождения нуждается во всесторонней проверке.</w:t>
      </w:r>
    </w:p>
    <w:p w14:paraId="1F13ADD7"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 На основании вышеизложенных соображений Комиссия считает </w:t>
      </w:r>
      <w:hyperlink r:id="rId207"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 Д-5 экспериментальной машиной для проверки работы железно-дорожного и гусеничного хода, который моет быть использован для мото-броне-вагонов и мощных </w:t>
      </w:r>
      <w:hyperlink r:id="rId208"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ов и подводной проходимости. Танк не может служить образцом для серийного производства…».</w:t>
      </w:r>
    </w:p>
    <w:p w14:paraId="5100C0FC"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работы по Д-5, запланированные в 1932 г., были отменены, а сам </w:t>
      </w:r>
      <w:hyperlink r:id="rId209"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 больше не рассматривался для принятия на вооружение.</w:t>
      </w:r>
    </w:p>
    <w:p w14:paraId="24F86003"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ТАКТИКО-ТЕХНИЧЕСКИЕ ХАРАКТЕРИСТИКИ КОЛЕСНО-ГУСЕНИЧНЫХ ТАНКОВ</w:t>
      </w:r>
    </w:p>
    <w:tbl>
      <w:tblPr>
        <w:tblW w:w="5000" w:type="pct"/>
        <w:tblCellSpacing w:w="0" w:type="dxa"/>
        <w:tblCellMar>
          <w:top w:w="60" w:type="dxa"/>
          <w:left w:w="60" w:type="dxa"/>
          <w:bottom w:w="60" w:type="dxa"/>
          <w:right w:w="60" w:type="dxa"/>
        </w:tblCellMar>
        <w:tblLook w:val="04A0" w:firstRow="1" w:lastRow="0" w:firstColumn="1" w:lastColumn="0" w:noHBand="0" w:noVBand="1"/>
      </w:tblPr>
      <w:tblGrid>
        <w:gridCol w:w="1246"/>
        <w:gridCol w:w="679"/>
        <w:gridCol w:w="1925"/>
        <w:gridCol w:w="3736"/>
        <w:gridCol w:w="3736"/>
      </w:tblGrid>
      <w:tr w:rsidR="001002C3" w:rsidRPr="005E779E" w14:paraId="4A88D370" w14:textId="77777777" w:rsidTr="00360440">
        <w:trPr>
          <w:tblCellSpacing w:w="0" w:type="dxa"/>
        </w:trPr>
        <w:tc>
          <w:tcPr>
            <w:tcW w:w="1700" w:type="pct"/>
            <w:gridSpan w:val="3"/>
            <w:tcBorders>
              <w:top w:val="single" w:sz="6" w:space="0" w:color="BDBDBD"/>
              <w:left w:val="single" w:sz="6" w:space="0" w:color="BDBDBD"/>
              <w:bottom w:val="single" w:sz="6" w:space="0" w:color="BDBDBD"/>
              <w:right w:val="nil"/>
            </w:tcBorders>
            <w:shd w:val="clear" w:color="auto" w:fill="FFFFFF"/>
            <w:tcMar>
              <w:top w:w="57" w:type="dxa"/>
              <w:left w:w="57" w:type="dxa"/>
              <w:bottom w:w="57" w:type="dxa"/>
              <w:right w:w="0" w:type="dxa"/>
            </w:tcMar>
            <w:hideMark/>
          </w:tcPr>
          <w:p w14:paraId="67880C1C"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Тип </w:t>
            </w:r>
            <w:hyperlink r:id="rId210"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а</w:t>
            </w:r>
          </w:p>
        </w:tc>
        <w:tc>
          <w:tcPr>
            <w:tcW w:w="1650" w:type="pct"/>
            <w:tcBorders>
              <w:top w:val="single" w:sz="6" w:space="0" w:color="BDBDBD"/>
              <w:left w:val="single" w:sz="6" w:space="0" w:color="BDBDBD"/>
              <w:bottom w:val="single" w:sz="6" w:space="0" w:color="BDBDBD"/>
              <w:right w:val="nil"/>
            </w:tcBorders>
            <w:shd w:val="clear" w:color="auto" w:fill="FFFFFF"/>
            <w:tcMar>
              <w:top w:w="57" w:type="dxa"/>
              <w:left w:w="57" w:type="dxa"/>
              <w:bottom w:w="57" w:type="dxa"/>
              <w:right w:w="0" w:type="dxa"/>
            </w:tcMar>
            <w:hideMark/>
          </w:tcPr>
          <w:p w14:paraId="694570C6"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Т-25</w:t>
            </w:r>
          </w:p>
        </w:tc>
        <w:tc>
          <w:tcPr>
            <w:tcW w:w="1650" w:type="pct"/>
            <w:tcBorders>
              <w:top w:val="single" w:sz="6" w:space="0" w:color="000000"/>
              <w:left w:val="single" w:sz="6" w:space="0" w:color="000000"/>
              <w:bottom w:val="single" w:sz="6" w:space="0" w:color="000000"/>
              <w:right w:val="single" w:sz="6" w:space="0" w:color="000000"/>
            </w:tcBorders>
            <w:shd w:val="clear" w:color="auto" w:fill="FFFFFF"/>
            <w:tcMar>
              <w:top w:w="57" w:type="dxa"/>
              <w:left w:w="57" w:type="dxa"/>
              <w:bottom w:w="57" w:type="dxa"/>
              <w:right w:w="57" w:type="dxa"/>
            </w:tcMar>
            <w:hideMark/>
          </w:tcPr>
          <w:p w14:paraId="28045DA2"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Д-4</w:t>
            </w:r>
          </w:p>
        </w:tc>
      </w:tr>
      <w:tr w:rsidR="001002C3" w:rsidRPr="005E779E" w14:paraId="3264AAA8"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E244361"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Боевая масса, кг</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5039DC52"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около 3000</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56C607D6"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12000 (проектная)</w:t>
            </w:r>
          </w:p>
          <w:p w14:paraId="0627729D"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21000 (фактическая)</w:t>
            </w:r>
          </w:p>
        </w:tc>
      </w:tr>
      <w:tr w:rsidR="001002C3" w:rsidRPr="005E779E" w14:paraId="7C144EE7"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5AF3BCA8"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Экипаж, чел.</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539959C3"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3D157AC9"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w:t>
            </w:r>
          </w:p>
        </w:tc>
      </w:tr>
      <w:tr w:rsidR="001002C3" w:rsidRPr="005E779E" w14:paraId="260615B5" w14:textId="77777777" w:rsidTr="00360440">
        <w:trPr>
          <w:tblCellSpacing w:w="0" w:type="dxa"/>
        </w:trPr>
        <w:tc>
          <w:tcPr>
            <w:tcW w:w="5000" w:type="pct"/>
            <w:gridSpan w:val="5"/>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3223E49C"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Габаритные размеры, мм</w:t>
            </w:r>
          </w:p>
        </w:tc>
      </w:tr>
      <w:tr w:rsidR="001002C3" w:rsidRPr="005E779E" w14:paraId="714DA011"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527B7CD8"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Длина</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6715E3B"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4200</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638EFA0"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≈7800 </w:t>
            </w:r>
          </w:p>
        </w:tc>
      </w:tr>
      <w:tr w:rsidR="001002C3" w:rsidRPr="005E779E" w14:paraId="7D9780AF" w14:textId="77777777" w:rsidTr="00360440">
        <w:trPr>
          <w:tblCellSpacing w:w="0" w:type="dxa"/>
        </w:trPr>
        <w:tc>
          <w:tcPr>
            <w:tcW w:w="550" w:type="pct"/>
            <w:vMerge w:val="restar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A02AF4D"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Ширина</w:t>
            </w:r>
          </w:p>
        </w:tc>
        <w:tc>
          <w:tcPr>
            <w:tcW w:w="1150" w:type="pct"/>
            <w:gridSpan w:val="2"/>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40BF204"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гусеницах</w:t>
            </w:r>
          </w:p>
        </w:tc>
        <w:tc>
          <w:tcPr>
            <w:tcW w:w="1650" w:type="pct"/>
            <w:vMerge w:val="restar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9506383"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1900*</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5C066D2F"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2700</w:t>
            </w:r>
          </w:p>
        </w:tc>
      </w:tr>
      <w:tr w:rsidR="001002C3" w:rsidRPr="005E779E" w14:paraId="5C335A61" w14:textId="77777777" w:rsidTr="00360440">
        <w:trPr>
          <w:tblCellSpacing w:w="0" w:type="dxa"/>
        </w:trPr>
        <w:tc>
          <w:tcPr>
            <w:tcW w:w="0" w:type="auto"/>
            <w:vMerge/>
            <w:tcBorders>
              <w:top w:val="nil"/>
              <w:left w:val="single" w:sz="6" w:space="0" w:color="BDBDBD"/>
              <w:bottom w:val="single" w:sz="6" w:space="0" w:color="BDBDBD"/>
              <w:right w:val="nil"/>
            </w:tcBorders>
            <w:shd w:val="clear" w:color="auto" w:fill="FFFFFF"/>
            <w:hideMark/>
          </w:tcPr>
          <w:p w14:paraId="3830A6E5" w14:textId="77777777" w:rsidR="00C54992" w:rsidRPr="005E779E" w:rsidRDefault="00C54992" w:rsidP="000B7A6C">
            <w:pPr>
              <w:spacing w:after="0" w:line="240" w:lineRule="auto"/>
              <w:jc w:val="both"/>
              <w:rPr>
                <w:rFonts w:ascii="Times New Roman" w:hAnsi="Times New Roman"/>
                <w:color w:val="000000" w:themeColor="text1"/>
                <w:sz w:val="16"/>
                <w:szCs w:val="16"/>
              </w:rPr>
            </w:pPr>
          </w:p>
        </w:tc>
        <w:tc>
          <w:tcPr>
            <w:tcW w:w="1150" w:type="pct"/>
            <w:gridSpan w:val="2"/>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D7F79A1"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колёсах</w:t>
            </w:r>
          </w:p>
        </w:tc>
        <w:tc>
          <w:tcPr>
            <w:tcW w:w="0" w:type="auto"/>
            <w:vMerge/>
            <w:tcBorders>
              <w:top w:val="nil"/>
              <w:left w:val="single" w:sz="6" w:space="0" w:color="BDBDBD"/>
              <w:bottom w:val="single" w:sz="6" w:space="0" w:color="BDBDBD"/>
              <w:right w:val="nil"/>
            </w:tcBorders>
            <w:shd w:val="clear" w:color="auto" w:fill="FFFFFF"/>
            <w:hideMark/>
          </w:tcPr>
          <w:p w14:paraId="5E69F88B" w14:textId="77777777" w:rsidR="00C54992" w:rsidRPr="005E779E" w:rsidRDefault="00C54992" w:rsidP="000B7A6C">
            <w:pPr>
              <w:spacing w:after="0" w:line="240" w:lineRule="auto"/>
              <w:jc w:val="both"/>
              <w:rPr>
                <w:rFonts w:ascii="Times New Roman" w:hAnsi="Times New Roman"/>
                <w:color w:val="000000" w:themeColor="text1"/>
                <w:sz w:val="16"/>
                <w:szCs w:val="16"/>
              </w:rPr>
            </w:pP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270CB48"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≈2350</w:t>
            </w:r>
          </w:p>
        </w:tc>
      </w:tr>
      <w:tr w:rsidR="001002C3" w:rsidRPr="005E779E" w14:paraId="7806B0B5" w14:textId="77777777" w:rsidTr="00360440">
        <w:trPr>
          <w:tblCellSpacing w:w="0" w:type="dxa"/>
        </w:trPr>
        <w:tc>
          <w:tcPr>
            <w:tcW w:w="550" w:type="pct"/>
            <w:vMerge w:val="restar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91F112F"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Высота</w:t>
            </w:r>
          </w:p>
        </w:tc>
        <w:tc>
          <w:tcPr>
            <w:tcW w:w="1150" w:type="pct"/>
            <w:gridSpan w:val="2"/>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7E2F8A9"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гусеницах</w:t>
            </w:r>
          </w:p>
        </w:tc>
        <w:tc>
          <w:tcPr>
            <w:tcW w:w="1650" w:type="pct"/>
            <w:vMerge w:val="restar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596A5B43"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1750*</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603BFA85"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≈2600</w:t>
            </w:r>
          </w:p>
        </w:tc>
      </w:tr>
      <w:tr w:rsidR="001002C3" w:rsidRPr="005E779E" w14:paraId="67670713" w14:textId="77777777" w:rsidTr="00360440">
        <w:trPr>
          <w:tblCellSpacing w:w="0" w:type="dxa"/>
        </w:trPr>
        <w:tc>
          <w:tcPr>
            <w:tcW w:w="0" w:type="auto"/>
            <w:vMerge/>
            <w:tcBorders>
              <w:top w:val="nil"/>
              <w:left w:val="single" w:sz="6" w:space="0" w:color="BDBDBD"/>
              <w:bottom w:val="single" w:sz="6" w:space="0" w:color="BDBDBD"/>
              <w:right w:val="nil"/>
            </w:tcBorders>
            <w:shd w:val="clear" w:color="auto" w:fill="FFFFFF"/>
            <w:hideMark/>
          </w:tcPr>
          <w:p w14:paraId="33B5FB47" w14:textId="77777777" w:rsidR="00C54992" w:rsidRPr="005E779E" w:rsidRDefault="00C54992" w:rsidP="000B7A6C">
            <w:pPr>
              <w:spacing w:after="0" w:line="240" w:lineRule="auto"/>
              <w:jc w:val="both"/>
              <w:rPr>
                <w:rFonts w:ascii="Times New Roman" w:hAnsi="Times New Roman"/>
                <w:color w:val="000000" w:themeColor="text1"/>
                <w:sz w:val="16"/>
                <w:szCs w:val="16"/>
              </w:rPr>
            </w:pPr>
          </w:p>
        </w:tc>
        <w:tc>
          <w:tcPr>
            <w:tcW w:w="1150" w:type="pct"/>
            <w:gridSpan w:val="2"/>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7759F71"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колёсах</w:t>
            </w:r>
          </w:p>
        </w:tc>
        <w:tc>
          <w:tcPr>
            <w:tcW w:w="0" w:type="auto"/>
            <w:vMerge/>
            <w:tcBorders>
              <w:top w:val="nil"/>
              <w:left w:val="single" w:sz="6" w:space="0" w:color="BDBDBD"/>
              <w:bottom w:val="single" w:sz="6" w:space="0" w:color="BDBDBD"/>
              <w:right w:val="nil"/>
            </w:tcBorders>
            <w:shd w:val="clear" w:color="auto" w:fill="FFFFFF"/>
            <w:hideMark/>
          </w:tcPr>
          <w:p w14:paraId="2672AB49" w14:textId="77777777" w:rsidR="00C54992" w:rsidRPr="005E779E" w:rsidRDefault="00C54992" w:rsidP="000B7A6C">
            <w:pPr>
              <w:spacing w:after="0" w:line="240" w:lineRule="auto"/>
              <w:jc w:val="both"/>
              <w:rPr>
                <w:rFonts w:ascii="Times New Roman" w:hAnsi="Times New Roman"/>
                <w:color w:val="000000" w:themeColor="text1"/>
                <w:sz w:val="16"/>
                <w:szCs w:val="16"/>
              </w:rPr>
            </w:pP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1821E551"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≈2300</w:t>
            </w:r>
          </w:p>
        </w:tc>
      </w:tr>
      <w:tr w:rsidR="001002C3" w:rsidRPr="005E779E" w14:paraId="07B5DDAD" w14:textId="77777777" w:rsidTr="00360440">
        <w:trPr>
          <w:tblCellSpacing w:w="0" w:type="dxa"/>
        </w:trPr>
        <w:tc>
          <w:tcPr>
            <w:tcW w:w="550" w:type="pct"/>
            <w:vMerge w:val="restar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6875C02"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Клиренс</w:t>
            </w:r>
          </w:p>
        </w:tc>
        <w:tc>
          <w:tcPr>
            <w:tcW w:w="1150" w:type="pct"/>
            <w:gridSpan w:val="2"/>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1E1BF73"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гусеницах</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C7A6909"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w:t>
            </w:r>
          </w:p>
        </w:tc>
        <w:tc>
          <w:tcPr>
            <w:tcW w:w="1650" w:type="pct"/>
            <w:vMerge w:val="restar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F1C31F8"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w:t>
            </w:r>
          </w:p>
        </w:tc>
      </w:tr>
      <w:tr w:rsidR="001002C3" w:rsidRPr="005E779E" w14:paraId="4B78545C" w14:textId="77777777" w:rsidTr="00360440">
        <w:trPr>
          <w:tblCellSpacing w:w="0" w:type="dxa"/>
        </w:trPr>
        <w:tc>
          <w:tcPr>
            <w:tcW w:w="0" w:type="auto"/>
            <w:vMerge/>
            <w:tcBorders>
              <w:top w:val="nil"/>
              <w:left w:val="single" w:sz="6" w:space="0" w:color="BDBDBD"/>
              <w:bottom w:val="single" w:sz="6" w:space="0" w:color="BDBDBD"/>
              <w:right w:val="nil"/>
            </w:tcBorders>
            <w:shd w:val="clear" w:color="auto" w:fill="FFFFFF"/>
            <w:hideMark/>
          </w:tcPr>
          <w:p w14:paraId="6705DC82" w14:textId="77777777" w:rsidR="00C54992" w:rsidRPr="005E779E" w:rsidRDefault="00C54992" w:rsidP="000B7A6C">
            <w:pPr>
              <w:spacing w:after="0" w:line="240" w:lineRule="auto"/>
              <w:jc w:val="both"/>
              <w:rPr>
                <w:rFonts w:ascii="Times New Roman" w:hAnsi="Times New Roman"/>
                <w:color w:val="000000" w:themeColor="text1"/>
                <w:sz w:val="16"/>
                <w:szCs w:val="16"/>
              </w:rPr>
            </w:pPr>
          </w:p>
        </w:tc>
        <w:tc>
          <w:tcPr>
            <w:tcW w:w="1150" w:type="pct"/>
            <w:gridSpan w:val="2"/>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6E95CF0"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колёсах</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219F4ABE"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240</w:t>
            </w:r>
          </w:p>
        </w:tc>
        <w:tc>
          <w:tcPr>
            <w:tcW w:w="0" w:type="auto"/>
            <w:vMerge/>
            <w:tcBorders>
              <w:top w:val="nil"/>
              <w:left w:val="single" w:sz="6" w:space="0" w:color="BDBDBD"/>
              <w:bottom w:val="single" w:sz="6" w:space="0" w:color="BDBDBD"/>
              <w:right w:val="single" w:sz="6" w:space="0" w:color="BDBDBD"/>
            </w:tcBorders>
            <w:shd w:val="clear" w:color="auto" w:fill="FFFFFF"/>
            <w:vAlign w:val="center"/>
            <w:hideMark/>
          </w:tcPr>
          <w:p w14:paraId="77030F8C" w14:textId="77777777" w:rsidR="00C54992" w:rsidRPr="005E779E" w:rsidRDefault="00C54992" w:rsidP="000B7A6C">
            <w:pPr>
              <w:spacing w:after="0" w:line="240" w:lineRule="auto"/>
              <w:jc w:val="both"/>
              <w:rPr>
                <w:rFonts w:ascii="Times New Roman" w:hAnsi="Times New Roman"/>
                <w:color w:val="000000" w:themeColor="text1"/>
                <w:sz w:val="16"/>
                <w:szCs w:val="16"/>
              </w:rPr>
            </w:pPr>
          </w:p>
        </w:tc>
      </w:tr>
      <w:tr w:rsidR="001002C3" w:rsidRPr="005E779E" w14:paraId="2E3CE6F1" w14:textId="77777777" w:rsidTr="00360440">
        <w:trPr>
          <w:tblCellSpacing w:w="0" w:type="dxa"/>
        </w:trPr>
        <w:tc>
          <w:tcPr>
            <w:tcW w:w="5000" w:type="pct"/>
            <w:gridSpan w:val="5"/>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624939D7"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r>
      <w:tr w:rsidR="001002C3" w:rsidRPr="005E779E" w14:paraId="698552D4"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1746C5C"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Пушки, мм</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A6E0A33"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0A89F4E9"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х 45 обр. 1925/30 гг.</w:t>
            </w:r>
          </w:p>
        </w:tc>
      </w:tr>
      <w:tr w:rsidR="001002C3" w:rsidRPr="005E779E" w14:paraId="65355E4A"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AC77418"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Пулеметы, мм</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0BD97D6"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х 7,62 ДТ</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54769B6C"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х 7,62 ДТ</w:t>
            </w:r>
          </w:p>
        </w:tc>
      </w:tr>
      <w:tr w:rsidR="001002C3" w:rsidRPr="005E779E" w14:paraId="04BE0FB9" w14:textId="77777777" w:rsidTr="00360440">
        <w:trPr>
          <w:tblCellSpacing w:w="0" w:type="dxa"/>
        </w:trPr>
        <w:tc>
          <w:tcPr>
            <w:tcW w:w="5000" w:type="pct"/>
            <w:gridSpan w:val="5"/>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B6F37D7"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Боекомплект</w:t>
            </w:r>
          </w:p>
        </w:tc>
      </w:tr>
      <w:tr w:rsidR="001002C3" w:rsidRPr="005E779E" w14:paraId="33315EEC"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A6DCCCE"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Пушки</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156AED6"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657E23D4"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н/д</w:t>
            </w:r>
          </w:p>
        </w:tc>
      </w:tr>
      <w:tr w:rsidR="001002C3" w:rsidRPr="005E779E" w14:paraId="180C4F24"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8135496"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Пулеметы</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8A0B197"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(2142)</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7C9E969"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н/д</w:t>
            </w:r>
          </w:p>
        </w:tc>
      </w:tr>
      <w:tr w:rsidR="001002C3" w:rsidRPr="005E779E" w14:paraId="228E28B2"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2B44E46F"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Приборы прицеливания</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CFC2D53"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н/д</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1638911"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н/д</w:t>
            </w:r>
          </w:p>
        </w:tc>
      </w:tr>
      <w:tr w:rsidR="001002C3" w:rsidRPr="005E779E" w14:paraId="3EAB7468" w14:textId="77777777" w:rsidTr="00360440">
        <w:trPr>
          <w:tblCellSpacing w:w="0" w:type="dxa"/>
        </w:trPr>
        <w:tc>
          <w:tcPr>
            <w:tcW w:w="5000" w:type="pct"/>
            <w:gridSpan w:val="5"/>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2BBEE22"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Бронирование, мм</w:t>
            </w:r>
          </w:p>
        </w:tc>
      </w:tr>
      <w:tr w:rsidR="001002C3" w:rsidRPr="005E779E" w14:paraId="303936ED"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529D7C64"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Лоб корпуса</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EB9F485"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(10)</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3EE69D9C"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w:t>
            </w:r>
          </w:p>
        </w:tc>
      </w:tr>
      <w:tr w:rsidR="001002C3" w:rsidRPr="005E779E" w14:paraId="2990CBA8"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DFCDFFE"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Борт корпуса</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929C81A"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(10)</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2EE4319"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w:t>
            </w:r>
          </w:p>
        </w:tc>
      </w:tr>
      <w:tr w:rsidR="001002C3" w:rsidRPr="005E779E" w14:paraId="6B98F3C6"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2E1C100"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Корма корпуса</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9B5F618"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(10)</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4AEA911"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w:t>
            </w:r>
          </w:p>
        </w:tc>
      </w:tr>
      <w:tr w:rsidR="001002C3" w:rsidRPr="005E779E" w14:paraId="3B9D0BCB"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5CCE3D8"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Башня</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04DCB7C"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(10)</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3840ABF"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[8 — корма башни]</w:t>
            </w:r>
          </w:p>
        </w:tc>
      </w:tr>
      <w:tr w:rsidR="001002C3" w:rsidRPr="005E779E" w14:paraId="199AB7F8"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2DA3AC6"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Крыша </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590D711B"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(5)</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3B8F4F8"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w:t>
            </w:r>
          </w:p>
        </w:tc>
      </w:tr>
      <w:tr w:rsidR="001002C3" w:rsidRPr="005E779E" w14:paraId="2C48EAFD"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5F9071E5"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Днище</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36E3F00"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(5)</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773B08C"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w:t>
            </w:r>
          </w:p>
        </w:tc>
      </w:tr>
      <w:tr w:rsidR="001002C3" w:rsidRPr="005E779E" w14:paraId="334F424A" w14:textId="77777777" w:rsidTr="00360440">
        <w:trPr>
          <w:tblCellSpacing w:w="0" w:type="dxa"/>
        </w:trPr>
        <w:tc>
          <w:tcPr>
            <w:tcW w:w="5000" w:type="pct"/>
            <w:gridSpan w:val="5"/>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046BB6C4"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Силовая установка</w:t>
            </w:r>
          </w:p>
        </w:tc>
      </w:tr>
      <w:tr w:rsidR="001002C3" w:rsidRPr="005E779E" w14:paraId="32F6D976"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2AED67F"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Тип двигателя</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8676FCD"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карбюраторный, 2-цилинровый (6-цилиндровый бензиновый двигатель воздушного охлаждения Д-25-70)</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0338BEA8"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4-цилиндровый бензиновый Hercules</w:t>
            </w:r>
          </w:p>
        </w:tc>
      </w:tr>
      <w:tr w:rsidR="001002C3" w:rsidRPr="005E779E" w14:paraId="3DF81960"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301556B"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Мощность, л.с.</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2536D3BF"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 (70)</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366131D"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105</w:t>
            </w:r>
          </w:p>
        </w:tc>
      </w:tr>
      <w:tr w:rsidR="001002C3" w:rsidRPr="005E779E" w14:paraId="66198604"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1F2498B"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Общая мощность, л.с.</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6FC593F"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 (70)</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9F8BA8D"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210</w:t>
            </w:r>
          </w:p>
        </w:tc>
      </w:tr>
      <w:tr w:rsidR="001002C3" w:rsidRPr="005E779E" w14:paraId="7DE5B404"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C373CA3"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Трансмиссия</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E1E3CB6"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механическаяс 5-скоростной КПП [4+1]</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190C09EE"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механическая с 4-скоростной КПП [3+1]</w:t>
            </w:r>
          </w:p>
        </w:tc>
      </w:tr>
      <w:tr w:rsidR="001002C3" w:rsidRPr="005E779E" w14:paraId="3032FA89" w14:textId="77777777" w:rsidTr="00360440">
        <w:trPr>
          <w:tblCellSpacing w:w="0" w:type="dxa"/>
        </w:trPr>
        <w:tc>
          <w:tcPr>
            <w:tcW w:w="5000" w:type="pct"/>
            <w:gridSpan w:val="5"/>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038055F"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Ходовая часть</w:t>
            </w:r>
          </w:p>
        </w:tc>
      </w:tr>
      <w:tr w:rsidR="001002C3" w:rsidRPr="005E779E" w14:paraId="215C13D8"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2EC21856"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Гусеничная часть</w:t>
            </w:r>
          </w:p>
        </w:tc>
        <w:tc>
          <w:tcPr>
            <w:tcW w:w="1650" w:type="pct"/>
            <w:vMerge w:val="restar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72C686B"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опорных катка диаметром 880 мм, переднее направляющее колесо</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DAEAE29"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сдвоенных опорных катка</w:t>
            </w:r>
          </w:p>
        </w:tc>
      </w:tr>
      <w:tr w:rsidR="001002C3" w:rsidRPr="005E779E" w14:paraId="2D81AD32"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471FABE"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Колесная часть</w:t>
            </w:r>
          </w:p>
        </w:tc>
        <w:tc>
          <w:tcPr>
            <w:tcW w:w="0" w:type="auto"/>
            <w:vMerge/>
            <w:tcBorders>
              <w:top w:val="nil"/>
              <w:left w:val="single" w:sz="6" w:space="0" w:color="BDBDBD"/>
              <w:bottom w:val="single" w:sz="6" w:space="0" w:color="BDBDBD"/>
              <w:right w:val="nil"/>
            </w:tcBorders>
            <w:shd w:val="clear" w:color="auto" w:fill="FFFFFF"/>
            <w:hideMark/>
          </w:tcPr>
          <w:p w14:paraId="03AD2A7C" w14:textId="77777777" w:rsidR="00C54992" w:rsidRPr="005E779E" w:rsidRDefault="00C54992" w:rsidP="000B7A6C">
            <w:pPr>
              <w:spacing w:after="0" w:line="240" w:lineRule="auto"/>
              <w:jc w:val="both"/>
              <w:rPr>
                <w:rFonts w:ascii="Times New Roman" w:hAnsi="Times New Roman"/>
                <w:color w:val="000000" w:themeColor="text1"/>
                <w:sz w:val="16"/>
                <w:szCs w:val="16"/>
              </w:rPr>
            </w:pP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5439A42"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переднее направляющее и заднее ведущее колесо</w:t>
            </w:r>
          </w:p>
        </w:tc>
      </w:tr>
      <w:tr w:rsidR="001002C3" w:rsidRPr="005E779E" w14:paraId="7DC36ACB" w14:textId="77777777" w:rsidTr="00360440">
        <w:trPr>
          <w:tblCellSpacing w:w="0" w:type="dxa"/>
        </w:trPr>
        <w:tc>
          <w:tcPr>
            <w:tcW w:w="5000" w:type="pct"/>
            <w:gridSpan w:val="5"/>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62DE1B1F"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Скорость, км/ч</w:t>
            </w:r>
          </w:p>
        </w:tc>
      </w:tr>
      <w:tr w:rsidR="001002C3" w:rsidRPr="005E779E" w14:paraId="7A5C2823"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CE4FB96"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гусеницах</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7947D7E"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45 (52)</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669EEFA3"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w:t>
            </w:r>
          </w:p>
        </w:tc>
      </w:tr>
      <w:tr w:rsidR="001002C3" w:rsidRPr="005E779E" w14:paraId="676C3347"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C7CC472"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колесах</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9891B77"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65 (75)</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3BEF53BC"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н/д</w:t>
            </w:r>
          </w:p>
        </w:tc>
      </w:tr>
      <w:tr w:rsidR="001002C3" w:rsidRPr="005E779E" w14:paraId="15C1BF64" w14:textId="77777777" w:rsidTr="00360440">
        <w:trPr>
          <w:tblCellSpacing w:w="0" w:type="dxa"/>
        </w:trPr>
        <w:tc>
          <w:tcPr>
            <w:tcW w:w="5000" w:type="pct"/>
            <w:gridSpan w:val="5"/>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3CF81EC8"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Запас хода, км</w:t>
            </w:r>
          </w:p>
        </w:tc>
      </w:tr>
      <w:tr w:rsidR="001002C3" w:rsidRPr="005E779E" w14:paraId="6DE46D54"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4D825E9"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гусеницах</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3333988"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180</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F32E0BC"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н/д</w:t>
            </w:r>
          </w:p>
        </w:tc>
      </w:tr>
      <w:tr w:rsidR="001002C3" w:rsidRPr="005E779E" w14:paraId="33A43D6C"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F4311F8"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колесах</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B154B01"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250</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AEB6590"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н/д</w:t>
            </w:r>
          </w:p>
        </w:tc>
      </w:tr>
      <w:tr w:rsidR="001002C3" w:rsidRPr="005E779E" w14:paraId="14EBC932" w14:textId="77777777" w:rsidTr="00360440">
        <w:trPr>
          <w:tblCellSpacing w:w="0" w:type="dxa"/>
        </w:trPr>
        <w:tc>
          <w:tcPr>
            <w:tcW w:w="5000" w:type="pct"/>
            <w:gridSpan w:val="5"/>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3ED538AB"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Преодолеваемые препятствия</w:t>
            </w:r>
          </w:p>
        </w:tc>
      </w:tr>
      <w:tr w:rsidR="001002C3" w:rsidRPr="005E779E" w14:paraId="7E58498F" w14:textId="77777777" w:rsidTr="00360440">
        <w:trPr>
          <w:tblCellSpacing w:w="0" w:type="dxa"/>
        </w:trPr>
        <w:tc>
          <w:tcPr>
            <w:tcW w:w="850" w:type="pct"/>
            <w:gridSpan w:val="2"/>
            <w:vMerge w:val="restar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4924B2C"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Угол подъема, град</w:t>
            </w:r>
          </w:p>
        </w:tc>
        <w:tc>
          <w:tcPr>
            <w:tcW w:w="8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B5A9FD0"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гусеницах</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EB1DDAF"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45*</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5892446F"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н/д</w:t>
            </w:r>
          </w:p>
        </w:tc>
      </w:tr>
      <w:tr w:rsidR="001002C3" w:rsidRPr="005E779E" w14:paraId="2A7F2814" w14:textId="77777777" w:rsidTr="00360440">
        <w:trPr>
          <w:tblCellSpacing w:w="0" w:type="dxa"/>
        </w:trPr>
        <w:tc>
          <w:tcPr>
            <w:tcW w:w="0" w:type="auto"/>
            <w:gridSpan w:val="2"/>
            <w:vMerge/>
            <w:tcBorders>
              <w:top w:val="nil"/>
              <w:left w:val="single" w:sz="6" w:space="0" w:color="BDBDBD"/>
              <w:bottom w:val="single" w:sz="6" w:space="0" w:color="BDBDBD"/>
              <w:right w:val="nil"/>
            </w:tcBorders>
            <w:shd w:val="clear" w:color="auto" w:fill="FFFFFF"/>
            <w:hideMark/>
          </w:tcPr>
          <w:p w14:paraId="1C0B0117" w14:textId="77777777" w:rsidR="00C54992" w:rsidRPr="005E779E" w:rsidRDefault="00C54992" w:rsidP="000B7A6C">
            <w:pPr>
              <w:spacing w:after="0" w:line="240" w:lineRule="auto"/>
              <w:jc w:val="both"/>
              <w:rPr>
                <w:rFonts w:ascii="Times New Roman" w:hAnsi="Times New Roman"/>
                <w:color w:val="000000" w:themeColor="text1"/>
                <w:sz w:val="16"/>
                <w:szCs w:val="16"/>
              </w:rPr>
            </w:pPr>
          </w:p>
        </w:tc>
        <w:tc>
          <w:tcPr>
            <w:tcW w:w="8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D3598DC"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колёсах</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C361108"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013822F9"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н/д</w:t>
            </w:r>
          </w:p>
          <w:p w14:paraId="61A24D5F"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r>
      <w:tr w:rsidR="001002C3" w:rsidRPr="005E779E" w14:paraId="7D6E9BF6"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B316227"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Высота стенки, м</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08F58AB"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0,5</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649848A"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0,8</w:t>
            </w:r>
          </w:p>
        </w:tc>
      </w:tr>
      <w:tr w:rsidR="001002C3" w:rsidRPr="005E779E" w14:paraId="522EF8D7"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7623A0F"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Ширина рва, м</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2E5A1782"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5144A9B2"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w:t>
            </w:r>
          </w:p>
        </w:tc>
      </w:tr>
      <w:tr w:rsidR="001002C3" w:rsidRPr="005E779E" w14:paraId="7DDC1990"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F0D2E83"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Глубина брода, м</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7BE52B2"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0,85</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0B77614A"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н/д</w:t>
            </w:r>
          </w:p>
        </w:tc>
      </w:tr>
    </w:tbl>
    <w:p w14:paraId="7FCDA6AA"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(15618).</w:t>
      </w:r>
    </w:p>
    <w:p w14:paraId="0F7FC39E" w14:textId="77777777" w:rsidR="00C54992" w:rsidRPr="005E779E" w:rsidRDefault="00C54992" w:rsidP="000B7A6C">
      <w:pPr>
        <w:spacing w:after="0" w:line="240" w:lineRule="auto"/>
        <w:jc w:val="both"/>
        <w:rPr>
          <w:rFonts w:ascii="Times New Roman" w:hAnsi="Times New Roman"/>
          <w:color w:val="000000" w:themeColor="text1"/>
          <w:sz w:val="16"/>
          <w:szCs w:val="16"/>
        </w:rPr>
      </w:pPr>
    </w:p>
    <w:p w14:paraId="23E71FC8" w14:textId="77777777" w:rsidR="00C11934" w:rsidRPr="00142305" w:rsidRDefault="00C11934" w:rsidP="00C1193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18 ноября 1931 года проект Д-38 Дыренкова по доработке БТ был рассмотрен комиссией УММ РККА, ко</w:t>
      </w:r>
      <w:r w:rsidRPr="00142305">
        <w:rPr>
          <w:rFonts w:ascii="Times New Roman" w:hAnsi="Times New Roman"/>
          <w:color w:val="0070C0"/>
          <w:sz w:val="16"/>
          <w:szCs w:val="16"/>
        </w:rPr>
        <w:softHyphen/>
        <w:t>торая нашла его неудовлетворительным (25009).</w:t>
      </w:r>
    </w:p>
    <w:p w14:paraId="74BAFAE5" w14:textId="77777777" w:rsidR="00C11934" w:rsidRPr="00142305" w:rsidRDefault="00C11934" w:rsidP="00C11934">
      <w:pPr>
        <w:spacing w:after="0" w:line="240" w:lineRule="auto"/>
        <w:jc w:val="both"/>
        <w:rPr>
          <w:rFonts w:ascii="Times New Roman" w:hAnsi="Times New Roman"/>
          <w:color w:val="0070C0"/>
          <w:sz w:val="16"/>
          <w:szCs w:val="16"/>
        </w:rPr>
      </w:pPr>
    </w:p>
    <w:p w14:paraId="443808B8" w14:textId="77777777" w:rsidR="00C11934" w:rsidRPr="00142305" w:rsidRDefault="00C11934" w:rsidP="00C1193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18 ноября 1931 г. специально назначенная по приказу заместителя председателя РВС СССР Тухачевского комиссия для «проверки расчетов и оценки конструкций танков Д-4, Д-5 и Д-38» предъявила отчет:</w:t>
      </w:r>
    </w:p>
    <w:p w14:paraId="34B3597B" w14:textId="77777777" w:rsidR="00C11934" w:rsidRPr="00142305" w:rsidRDefault="00C11934" w:rsidP="00C1193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«Специальная Комиссия в составе председателя да. БОКИС – Начальник ТУУММ, и членов: т. ЛЕБЕДЕВА – Председателя НТК УММ, ДЕРЕВЦОВА – Начальника УСУ УММ, тт. БЕГУ НОВА, БРАВЕРМАН и РОЖКОВА, членов НТК УММ, т. ГИНЗБУРГ – Нач. КБ № 3 ОРПО, т. ЗАСЛАВСКОГО – Зам нач. КБ № 3 ОРПО, т. ИВАНОВА – пом начальника КБ № 3 ОРПО, т СИМСКОГО – Нач. ГКБ Завода Большевик, т. ТОСКИНА – Нач. Т2 ГХПЗ, организованная согласно приказания Зам. Председателя РВС СССР т. ТУХАЧЕВСКОГО, после рассмотрения чертежей, расчетов по машинам Д-4, Д-5 и Д-38, а также после ознакомления с макетом машины Д-5 и с макетом боевого отделения машины Д-38 и после доклада и разъяснений по указанным машинам конструктора их т. ДЫРЕНКОВА пришла к следующим выводам:</w:t>
      </w:r>
    </w:p>
    <w:p w14:paraId="5F7C86F8" w14:textId="77777777" w:rsidR="00C11934" w:rsidRPr="00142305" w:rsidRDefault="00C11934" w:rsidP="00C1193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Конструкция танка Д-4 имеющего колесный, гусеничный и жел.дор. ход и подводную проходимость, предложенная т. ДЫРЕНКОВЫМ, фактически в данный момент не существует, так как в процессе разработки машины выяснилась невозможность применить автомобильный колесный ход и использовать два мотора Геркулес мощностью 106 сил.</w:t>
      </w:r>
    </w:p>
    <w:p w14:paraId="4752B647" w14:textId="77777777" w:rsidR="00C11934" w:rsidRPr="00142305" w:rsidRDefault="00C11934" w:rsidP="00C1193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 Комиссия констатирует, что тов. ДЫРЕНКОВ с заданием по конструированию танка Д-4 не справился и был вынужден на основе своей конструкции Д-4 приступить к разработке и постройке нового танка Д-5 с мотором М-17 мощностью 500 л.с. В конструкции оставлены: гусеничный и железно-дорожный ход и подводная проходимость. Автомобильный колесный ход, запроэктированный для машины в 12 тонн, снят за невозможностью его выполнения для машины Д-5 весом 25 тонн.</w:t>
      </w:r>
    </w:p>
    <w:p w14:paraId="4B27A7FF" w14:textId="77777777" w:rsidR="00C11934" w:rsidRPr="00142305" w:rsidRDefault="00C11934" w:rsidP="00C1193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 Конструкция танка Д-5, предусматривающая изжитие дефектов и конструктивных неполадок, выявленных т. ДЫРЕНКОВЫМ во время работы с танком Д-4, имеет, по мнению комиссии, следующие крупные недостатки:</w:t>
      </w:r>
    </w:p>
    <w:p w14:paraId="4B64B22F" w14:textId="77777777" w:rsidR="00C11934" w:rsidRPr="00142305" w:rsidRDefault="00C11934" w:rsidP="00C1193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а) Носовая часть корпуса неудачна, так как вследствие наличия больших мертвых пространств наблюдение за дорогой затруднительно для водителя.</w:t>
      </w:r>
    </w:p>
    <w:p w14:paraId="71149907" w14:textId="77777777" w:rsidR="00C11934" w:rsidRPr="00142305" w:rsidRDefault="00C11934" w:rsidP="00C1193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б) Расположение вооружения данного класса машины/тип ДД/не дает возможность удовлетворительно использовать мощность установленного вооружения.</w:t>
      </w:r>
    </w:p>
    <w:p w14:paraId="3E3F8739" w14:textId="77777777" w:rsidR="00C11934" w:rsidRPr="00142305" w:rsidRDefault="00C11934" w:rsidP="00C1193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В машине Д-5 поверхность охлаждения радиатора взята избыточной против Кристи и поставлен более мощный вентилятор. Однако, по мнению комиссии, надежность охлаждения не является достаточно обеспеченной, так как затрудненные проходы потоков воздуха потребуют специальный мощный вентилятор повышенным давлением, что трудно осуществимо в отведенных для него габаритах.</w:t>
      </w:r>
    </w:p>
    <w:p w14:paraId="26335BEB" w14:textId="77777777" w:rsidR="00C11934" w:rsidRPr="00142305" w:rsidRDefault="00C11934" w:rsidP="00C1193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г) Трансмиссия, состоящая из двух коробок скоростей, имеет избыточный запас прочности в своих основных деталях, комиссия считает эту конструкцию нецелесообразной и полагает, что обычная конструкция коробки скоростей даст значительную экономию в размерах машинного отделения, а, следовательно, и в весе танка.</w:t>
      </w:r>
    </w:p>
    <w:p w14:paraId="1B5A016B" w14:textId="77777777" w:rsidR="00C11934" w:rsidRPr="00142305" w:rsidRDefault="00C11934" w:rsidP="00C1193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 бортовые фрикционы по своим размерам достаточны для обеспечения работы танка. Однако, конструктивное выполнение их неудачно, так как размешенные вне корпуса бортовые фрикционы, не имеют достаточной герметизации, предохраняющей от попадания в них грязи, воды и снега, что повлечет за собой ненормальный износ их и отказ в работе…</w:t>
      </w:r>
    </w:p>
    <w:p w14:paraId="66F51E71" w14:textId="77777777" w:rsidR="00C11934" w:rsidRPr="00142305" w:rsidRDefault="00C11934" w:rsidP="00C1193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е) система подвески поддерживающих колес с весьма ограниченным ходом их вниз не приемлема, вследствие ненадежности работы ее на пересеченной местности.</w:t>
      </w:r>
    </w:p>
    <w:p w14:paraId="649DB435" w14:textId="77777777" w:rsidR="00C11934" w:rsidRPr="00142305" w:rsidRDefault="00C11934" w:rsidP="00C1193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ж) конструкция механизмов для подводного хождения нуждается во всесторонней проверке.</w:t>
      </w:r>
    </w:p>
    <w:p w14:paraId="11174952" w14:textId="77777777" w:rsidR="00C11934" w:rsidRPr="00142305" w:rsidRDefault="00C11934" w:rsidP="00C1193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 На основании вышеизложенных соображений Комиссия считает танк Д-5 экспериментальной машиной для проверки работы железнодорожного и гусеничного хода, который моет быть использован для мото-броне-вагонов и мощных танков и подводной проходимости. Танк не может служить образцом для серийного производства…» (25569).</w:t>
      </w:r>
    </w:p>
    <w:p w14:paraId="45649020" w14:textId="77777777" w:rsidR="00C11934" w:rsidRPr="00142305" w:rsidRDefault="00C11934" w:rsidP="00C11934">
      <w:pPr>
        <w:spacing w:after="0" w:line="240" w:lineRule="auto"/>
        <w:jc w:val="both"/>
        <w:rPr>
          <w:rFonts w:ascii="Times New Roman" w:hAnsi="Times New Roman"/>
          <w:color w:val="0070C0"/>
          <w:sz w:val="16"/>
          <w:szCs w:val="16"/>
        </w:rPr>
      </w:pPr>
    </w:p>
    <w:p w14:paraId="3DFA0473" w14:textId="77777777" w:rsidR="00C11934" w:rsidRPr="00142305" w:rsidRDefault="00C11934" w:rsidP="00C1193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18 ноября 1931 года, Дыренков представил макет боевого отделения в натуральную величину и чертежи но</w:t>
      </w:r>
      <w:r w:rsidRPr="00142305">
        <w:rPr>
          <w:rFonts w:ascii="Times New Roman" w:hAnsi="Times New Roman"/>
          <w:color w:val="0070C0"/>
          <w:sz w:val="16"/>
          <w:szCs w:val="16"/>
        </w:rPr>
        <w:softHyphen/>
        <w:t>вой машины. Рассмотрев проект Д-38, комиссия УММ РККА составила следу</w:t>
      </w:r>
      <w:r w:rsidRPr="00142305">
        <w:rPr>
          <w:rFonts w:ascii="Times New Roman" w:hAnsi="Times New Roman"/>
          <w:color w:val="0070C0"/>
          <w:sz w:val="16"/>
          <w:szCs w:val="16"/>
        </w:rPr>
        <w:softHyphen/>
        <w:t>ющее заключение:</w:t>
      </w:r>
    </w:p>
    <w:p w14:paraId="3B898E0A" w14:textId="77777777" w:rsidR="00C11934" w:rsidRPr="00142305" w:rsidRDefault="00C11934" w:rsidP="00C1193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Размеры боевого помещения со</w:t>
      </w:r>
      <w:r w:rsidRPr="00142305">
        <w:rPr>
          <w:rFonts w:ascii="Times New Roman" w:hAnsi="Times New Roman"/>
          <w:color w:val="0070C0"/>
          <w:sz w:val="16"/>
          <w:szCs w:val="16"/>
        </w:rPr>
        <w:softHyphen/>
        <w:t>вершенно недостаточны для обслужи</w:t>
      </w:r>
      <w:r w:rsidRPr="00142305">
        <w:rPr>
          <w:rFonts w:ascii="Times New Roman" w:hAnsi="Times New Roman"/>
          <w:color w:val="0070C0"/>
          <w:sz w:val="16"/>
          <w:szCs w:val="16"/>
        </w:rPr>
        <w:softHyphen/>
        <w:t>вания и ведения одновременного огня из 37-мм пушки, размещенной в башне, и 76 мм за лобовой стенкой корпуса.</w:t>
      </w:r>
    </w:p>
    <w:p w14:paraId="271ADC71" w14:textId="77777777" w:rsidR="00C11934" w:rsidRPr="00142305" w:rsidRDefault="00C11934" w:rsidP="00C1193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Боевое отделение будет достаточно только при условии оставления одно</w:t>
      </w:r>
      <w:r w:rsidRPr="00142305">
        <w:rPr>
          <w:rFonts w:ascii="Times New Roman" w:hAnsi="Times New Roman"/>
          <w:color w:val="0070C0"/>
          <w:sz w:val="16"/>
          <w:szCs w:val="16"/>
        </w:rPr>
        <w:softHyphen/>
        <w:t>го орудия в башне или корпусе что, од</w:t>
      </w:r>
      <w:r w:rsidRPr="00142305">
        <w:rPr>
          <w:rFonts w:ascii="Times New Roman" w:hAnsi="Times New Roman"/>
          <w:color w:val="0070C0"/>
          <w:sz w:val="16"/>
          <w:szCs w:val="16"/>
        </w:rPr>
        <w:softHyphen/>
        <w:t>нако, не соответствует тактико-техни</w:t>
      </w:r>
      <w:r w:rsidRPr="00142305">
        <w:rPr>
          <w:rFonts w:ascii="Times New Roman" w:hAnsi="Times New Roman"/>
          <w:color w:val="0070C0"/>
          <w:sz w:val="16"/>
          <w:szCs w:val="16"/>
        </w:rPr>
        <w:softHyphen/>
        <w:t>ческим требованиям. Таким образом, пункт технических требований об уве</w:t>
      </w:r>
      <w:r w:rsidRPr="00142305">
        <w:rPr>
          <w:rFonts w:ascii="Times New Roman" w:hAnsi="Times New Roman"/>
          <w:color w:val="0070C0"/>
          <w:sz w:val="16"/>
          <w:szCs w:val="16"/>
        </w:rPr>
        <w:softHyphen/>
        <w:t>личении огневой мощи танка Кристи не выполнен.</w:t>
      </w:r>
    </w:p>
    <w:p w14:paraId="4C87A77A" w14:textId="77777777" w:rsidR="00C11934" w:rsidRPr="00142305" w:rsidRDefault="00C11934" w:rsidP="00C11934">
      <w:pPr>
        <w:widowControl w:val="0"/>
        <w:tabs>
          <w:tab w:val="left" w:pos="452"/>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 Охлаждение мотора Комиссия счи</w:t>
      </w:r>
      <w:r w:rsidRPr="00142305">
        <w:rPr>
          <w:rFonts w:ascii="Times New Roman" w:hAnsi="Times New Roman"/>
          <w:color w:val="0070C0"/>
          <w:sz w:val="16"/>
          <w:szCs w:val="16"/>
        </w:rPr>
        <w:softHyphen/>
        <w:t>тает неудачным по тем же обстоятель</w:t>
      </w:r>
      <w:r w:rsidRPr="00142305">
        <w:rPr>
          <w:rFonts w:ascii="Times New Roman" w:hAnsi="Times New Roman"/>
          <w:color w:val="0070C0"/>
          <w:sz w:val="16"/>
          <w:szCs w:val="16"/>
        </w:rPr>
        <w:softHyphen/>
        <w:t>ствам, что и у Д-5.</w:t>
      </w:r>
    </w:p>
    <w:p w14:paraId="0B30D7A7" w14:textId="77777777" w:rsidR="00C11934" w:rsidRPr="00142305" w:rsidRDefault="00C11934" w:rsidP="00C11934">
      <w:pPr>
        <w:widowControl w:val="0"/>
        <w:tabs>
          <w:tab w:val="left" w:pos="452"/>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 Трансмиссия Д-38 аналогична по своей конструкции трансмиссии Д-5, и имеет те же недостатки и непропорци</w:t>
      </w:r>
      <w:r w:rsidRPr="00142305">
        <w:rPr>
          <w:rFonts w:ascii="Times New Roman" w:hAnsi="Times New Roman"/>
          <w:color w:val="0070C0"/>
          <w:sz w:val="16"/>
          <w:szCs w:val="16"/>
        </w:rPr>
        <w:softHyphen/>
        <w:t>онально велика по своим габаритам.</w:t>
      </w:r>
    </w:p>
    <w:p w14:paraId="6BCDDD75" w14:textId="77777777" w:rsidR="00C11934" w:rsidRPr="00142305" w:rsidRDefault="00C11934" w:rsidP="00C11934">
      <w:pPr>
        <w:widowControl w:val="0"/>
        <w:tabs>
          <w:tab w:val="left" w:pos="447"/>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4. Конструкция бортовых фрикционов имеет те же недостатки, что и у Д-5.</w:t>
      </w:r>
    </w:p>
    <w:p w14:paraId="53B5CFC2" w14:textId="77777777" w:rsidR="00C11934" w:rsidRPr="00142305" w:rsidRDefault="00C11934" w:rsidP="00C11934">
      <w:pPr>
        <w:widowControl w:val="0"/>
        <w:tabs>
          <w:tab w:val="left" w:pos="452"/>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5. Схема рулевого управления на две пары поворотных колес конструктив</w:t>
      </w:r>
      <w:r w:rsidRPr="00142305">
        <w:rPr>
          <w:rFonts w:ascii="Times New Roman" w:hAnsi="Times New Roman"/>
          <w:color w:val="0070C0"/>
          <w:sz w:val="16"/>
          <w:szCs w:val="16"/>
        </w:rPr>
        <w:softHyphen/>
        <w:t>но неудачна, рулевое управление требует больших усилий.</w:t>
      </w:r>
    </w:p>
    <w:p w14:paraId="00F021DE" w14:textId="77777777" w:rsidR="00C11934" w:rsidRPr="00142305" w:rsidRDefault="00C11934" w:rsidP="00C11934">
      <w:pPr>
        <w:widowControl w:val="0"/>
        <w:tabs>
          <w:tab w:val="left" w:pos="462"/>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6. Передача на ведущие колеса (гита</w:t>
      </w:r>
      <w:r w:rsidRPr="00142305">
        <w:rPr>
          <w:rFonts w:ascii="Times New Roman" w:hAnsi="Times New Roman"/>
          <w:color w:val="0070C0"/>
          <w:sz w:val="16"/>
          <w:szCs w:val="16"/>
        </w:rPr>
        <w:softHyphen/>
        <w:t>ры) неудобна, а расположение гитары заднего колеса за очертанием корпуса, даже при наличии роликов, не предохра</w:t>
      </w:r>
      <w:r w:rsidRPr="00142305">
        <w:rPr>
          <w:rFonts w:ascii="Times New Roman" w:hAnsi="Times New Roman"/>
          <w:color w:val="0070C0"/>
          <w:sz w:val="16"/>
          <w:szCs w:val="16"/>
        </w:rPr>
        <w:softHyphen/>
        <w:t>няет ее от поломок.</w:t>
      </w:r>
    </w:p>
    <w:p w14:paraId="174FF3B4" w14:textId="77777777" w:rsidR="00C11934" w:rsidRPr="00142305" w:rsidRDefault="00C11934" w:rsidP="00C11934">
      <w:pPr>
        <w:widowControl w:val="0"/>
        <w:tabs>
          <w:tab w:val="left" w:pos="452"/>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7. Переход с колес на гусеницы слож</w:t>
      </w:r>
      <w:r w:rsidRPr="00142305">
        <w:rPr>
          <w:rFonts w:ascii="Times New Roman" w:hAnsi="Times New Roman"/>
          <w:color w:val="0070C0"/>
          <w:sz w:val="16"/>
          <w:szCs w:val="16"/>
        </w:rPr>
        <w:softHyphen/>
        <w:t>нее, чем у танка Кристи, и требует боль</w:t>
      </w:r>
      <w:r w:rsidRPr="00142305">
        <w:rPr>
          <w:rFonts w:ascii="Times New Roman" w:hAnsi="Times New Roman"/>
          <w:color w:val="0070C0"/>
          <w:sz w:val="16"/>
          <w:szCs w:val="16"/>
        </w:rPr>
        <w:softHyphen/>
        <w:t>шего времени, так как дополнительно необходимо ставить одну пару колес.</w:t>
      </w:r>
    </w:p>
    <w:p w14:paraId="714500C1" w14:textId="77777777" w:rsidR="00C11934" w:rsidRPr="00142305" w:rsidRDefault="00C11934" w:rsidP="00C11934">
      <w:pPr>
        <w:widowControl w:val="0"/>
        <w:tabs>
          <w:tab w:val="left" w:pos="466"/>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8. Исходя из вышеизложенного Ко</w:t>
      </w:r>
      <w:r w:rsidRPr="00142305">
        <w:rPr>
          <w:rFonts w:ascii="Times New Roman" w:hAnsi="Times New Roman"/>
          <w:color w:val="0070C0"/>
          <w:sz w:val="16"/>
          <w:szCs w:val="16"/>
        </w:rPr>
        <w:softHyphen/>
        <w:t>миссия считает, что автор конструкции Д-38 т. Дыренков, имея задание создать на основе танка Кристи машину усо</w:t>
      </w:r>
      <w:r w:rsidRPr="00142305">
        <w:rPr>
          <w:rFonts w:ascii="Times New Roman" w:hAnsi="Times New Roman"/>
          <w:color w:val="0070C0"/>
          <w:sz w:val="16"/>
          <w:szCs w:val="16"/>
        </w:rPr>
        <w:softHyphen/>
        <w:t>вершенствованной конструкции с 37-мм и 76-мм пушками, с поставленной зада</w:t>
      </w:r>
      <w:r w:rsidRPr="00142305">
        <w:rPr>
          <w:rFonts w:ascii="Times New Roman" w:hAnsi="Times New Roman"/>
          <w:color w:val="0070C0"/>
          <w:sz w:val="16"/>
          <w:szCs w:val="16"/>
        </w:rPr>
        <w:softHyphen/>
        <w:t>чей не справился.</w:t>
      </w:r>
    </w:p>
    <w:p w14:paraId="7F3AD293" w14:textId="77777777" w:rsidR="00C11934" w:rsidRPr="00142305" w:rsidRDefault="00C11934" w:rsidP="00C1193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Комиссия считает совершенно нецеле</w:t>
      </w:r>
      <w:r w:rsidRPr="00142305">
        <w:rPr>
          <w:rFonts w:ascii="Times New Roman" w:hAnsi="Times New Roman"/>
          <w:color w:val="0070C0"/>
          <w:sz w:val="16"/>
          <w:szCs w:val="16"/>
        </w:rPr>
        <w:softHyphen/>
        <w:t>сообразным осуществление изготовле</w:t>
      </w:r>
      <w:r w:rsidRPr="00142305">
        <w:rPr>
          <w:rFonts w:ascii="Times New Roman" w:hAnsi="Times New Roman"/>
          <w:color w:val="0070C0"/>
          <w:sz w:val="16"/>
          <w:szCs w:val="16"/>
        </w:rPr>
        <w:softHyphen/>
        <w:t>ния опытного образца по проекту т. Ды- ренкова, и рекомендует все дальнейшие работы по танку Д-38 прекратить».</w:t>
      </w:r>
    </w:p>
    <w:p w14:paraId="0EAD4D90" w14:textId="77777777" w:rsidR="00C11934" w:rsidRPr="00142305" w:rsidRDefault="00C11934" w:rsidP="00C1193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Поэтому дальнейшие работы по Д-38 прекратили, а к началу 1932 года интерес Дыренкова к проектированию «манев</w:t>
      </w:r>
      <w:r w:rsidRPr="00142305">
        <w:rPr>
          <w:rFonts w:ascii="Times New Roman" w:hAnsi="Times New Roman"/>
          <w:color w:val="0070C0"/>
          <w:sz w:val="16"/>
          <w:szCs w:val="16"/>
        </w:rPr>
        <w:softHyphen/>
        <w:t>ренных» танков вообще сильно охладел. Но еще год его конструкторское бюро занималось выполнением различных проектов (а их было немало: наиболь</w:t>
      </w:r>
      <w:r w:rsidRPr="00142305">
        <w:rPr>
          <w:rFonts w:ascii="Times New Roman" w:hAnsi="Times New Roman"/>
          <w:color w:val="0070C0"/>
          <w:sz w:val="16"/>
          <w:szCs w:val="16"/>
        </w:rPr>
        <w:softHyphen/>
        <w:t>ший известный автору индекс — Д-46) для Красной Армии. Справедливости ради следует сказать, что большинство их осталось либо только на бумаге или как Д-4 воплотились в груду неработаю</w:t>
      </w:r>
      <w:r w:rsidRPr="00142305">
        <w:rPr>
          <w:rFonts w:ascii="Times New Roman" w:hAnsi="Times New Roman"/>
          <w:color w:val="0070C0"/>
          <w:sz w:val="16"/>
          <w:szCs w:val="16"/>
        </w:rPr>
        <w:softHyphen/>
        <w:t>щего железа. К серийному производству в ограниченном количестве принятии только броневики Д-8/Д-12 и мотоброневагоны Д-2 (25010).</w:t>
      </w:r>
    </w:p>
    <w:p w14:paraId="2985400A" w14:textId="77777777" w:rsidR="00C11934" w:rsidRPr="00142305" w:rsidRDefault="00C11934" w:rsidP="00C11934">
      <w:pPr>
        <w:spacing w:after="0" w:line="240" w:lineRule="auto"/>
        <w:jc w:val="both"/>
        <w:rPr>
          <w:rFonts w:ascii="Times New Roman" w:hAnsi="Times New Roman"/>
          <w:color w:val="0070C0"/>
          <w:sz w:val="16"/>
          <w:szCs w:val="16"/>
        </w:rPr>
      </w:pPr>
    </w:p>
    <w:p w14:paraId="5193587E" w14:textId="77777777" w:rsidR="001C4D6B" w:rsidRPr="005E779E" w:rsidRDefault="001C4D6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ноября 1931 г. руководству ХПЗ с препроводительным письмом № 710с были направлены выводы, сделанные Комиссией Военно-морской инспекции Центральной контрольной комиссии (ВМИ ЦКК) ВКП(б) НКРКИ СССР по результатам проведенного обследования. В заключительной части этого документа заводоуправлению под личную ответственность директора ХПЗ Л.С. Владимирова предлагалось провести в жизнь ряд мероприятий, среди которых было и такое:</w:t>
      </w:r>
    </w:p>
    <w:p w14:paraId="1CB6C5AC" w14:textId="77777777" w:rsidR="001C4D6B" w:rsidRPr="005E779E" w:rsidRDefault="001C4D6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виду острой необходимости перехода мощных танков с авиационного типа моторов на дизельный, предложить ХПЗ немедленно приступить к разработке проекта легкого дизеля, могущего быть использованным для среднего танка, а также и для тракторов».</w:t>
      </w:r>
    </w:p>
    <w:p w14:paraId="2ACA208B" w14:textId="77777777" w:rsidR="001C4D6B" w:rsidRPr="005E779E" w:rsidRDefault="001C4D6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этом же документе Комиссией предлагалось проработать к 1 января 1932 г. по линии ВСНХ СССР вопрос о возможности перехода еще в 1932 г. средних танков "БТ" с авиационного типа мотора на дизельный.</w:t>
      </w:r>
    </w:p>
    <w:p w14:paraId="274F2BCC" w14:textId="77777777" w:rsidR="001C4D6B" w:rsidRPr="005E779E" w:rsidRDefault="001C4D6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Отметим, что острая необходимость перехода мощных танков с авиационного типа моторов на дизельный была вызвана тем, что программа по выпуску танков БТ в 1932 г. не была обеспечена двигателями. Авиационный двигатель М-5 (аналог американского двигателя «Либерти»), в СССР был снят с производства как устаревший, а двигателей М-17, которые УММ РККА предложило устанавливать в танки БТ в 1932 г., не хватало даже для нужд авиации. Учитывая, что на тот момент на ХПЗ имелся дизельный отдел, располагавший большим опытом в производстве стационарных и судовых дизелей, и имевший собственное конструкторское бюро, предложение Комиссии ВМИ о разработке на ХПЗ танкового дизеля было вполне оправданным (24856).</w:t>
      </w:r>
    </w:p>
    <w:p w14:paraId="234FE689" w14:textId="77777777" w:rsidR="001C4D6B" w:rsidRPr="005E779E" w:rsidRDefault="001C4D6B" w:rsidP="000B7A6C">
      <w:pPr>
        <w:spacing w:after="0" w:line="240" w:lineRule="auto"/>
        <w:jc w:val="both"/>
        <w:rPr>
          <w:rFonts w:ascii="Times New Roman" w:hAnsi="Times New Roman"/>
          <w:color w:val="000000" w:themeColor="text1"/>
          <w:sz w:val="16"/>
          <w:szCs w:val="16"/>
        </w:rPr>
      </w:pPr>
    </w:p>
    <w:p w14:paraId="3380419E" w14:textId="77777777" w:rsidR="00C54992" w:rsidRPr="005E779E" w:rsidRDefault="00C54992" w:rsidP="000B7A6C">
      <w:pPr>
        <w:autoSpaceDE w:val="0"/>
        <w:autoSpaceDN w:val="0"/>
        <w:adjustRightInd w:val="0"/>
        <w:spacing w:after="0" w:line="240" w:lineRule="auto"/>
        <w:jc w:val="both"/>
        <w:rPr>
          <w:rFonts w:ascii="Times New Roman" w:hAnsi="Times New Roman"/>
          <w:i/>
          <w:iCs/>
          <w:color w:val="000000" w:themeColor="text1"/>
          <w:sz w:val="16"/>
          <w:szCs w:val="16"/>
        </w:rPr>
      </w:pPr>
      <w:r w:rsidRPr="005E779E">
        <w:rPr>
          <w:rFonts w:ascii="Times New Roman" w:hAnsi="Times New Roman"/>
          <w:i/>
          <w:iCs/>
          <w:color w:val="000000" w:themeColor="text1"/>
          <w:sz w:val="16"/>
          <w:szCs w:val="16"/>
        </w:rPr>
        <w:t>Жизнь и внутре</w:t>
      </w:r>
      <w:r w:rsidR="00357876" w:rsidRPr="005E779E">
        <w:rPr>
          <w:rFonts w:ascii="Times New Roman" w:hAnsi="Times New Roman"/>
          <w:i/>
          <w:iCs/>
          <w:color w:val="000000" w:themeColor="text1"/>
          <w:sz w:val="16"/>
          <w:szCs w:val="16"/>
        </w:rPr>
        <w:t>н</w:t>
      </w:r>
      <w:r w:rsidRPr="005E779E">
        <w:rPr>
          <w:rFonts w:ascii="Times New Roman" w:hAnsi="Times New Roman"/>
          <w:i/>
          <w:iCs/>
          <w:color w:val="000000" w:themeColor="text1"/>
          <w:sz w:val="16"/>
          <w:szCs w:val="16"/>
        </w:rPr>
        <w:t>няя политика:</w:t>
      </w:r>
    </w:p>
    <w:p w14:paraId="5A620D3C" w14:textId="77777777" w:rsidR="00C54992" w:rsidRPr="005E779E" w:rsidRDefault="00C54992" w:rsidP="000B7A6C">
      <w:pPr>
        <w:autoSpaceDE w:val="0"/>
        <w:autoSpaceDN w:val="0"/>
        <w:adjustRightInd w:val="0"/>
        <w:spacing w:after="0" w:line="240" w:lineRule="auto"/>
        <w:jc w:val="both"/>
        <w:rPr>
          <w:rFonts w:ascii="Times New Roman" w:hAnsi="Times New Roman"/>
          <w:i/>
          <w:iCs/>
          <w:color w:val="000000" w:themeColor="text1"/>
          <w:sz w:val="16"/>
          <w:szCs w:val="16"/>
        </w:rPr>
      </w:pPr>
    </w:p>
    <w:p w14:paraId="7EA291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ноября 1931 новообразованный трест (в будущем получившего название « Дальстрой») получил « на образование основного капитала» 20 млн. рублей с целью немедленно развернуть интенсивные работы по освоению района (9043).</w:t>
      </w:r>
    </w:p>
    <w:p w14:paraId="3DB60D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C2A6AB2" w14:textId="77777777" w:rsidR="00357876" w:rsidRPr="005E779E" w:rsidRDefault="0035787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ноября 1931. Служащий МГК ВКП(б) А. Г. Соловьев записывает: "Большие трудности с продовольствием. В магазинах ничего нет. Продкарточки и промкарточки не отовариваются. Базары замерли. Колоссальные очереди в ожидании, что-нибудь появится. Городской транспорт - трамвай совсем перестал работать. Вагоны на улицах стоят без движения. Ходим пешком. Везде опоздания на работу. Население настроено мрачно" (18724).</w:t>
      </w:r>
    </w:p>
    <w:p w14:paraId="524BE8F5" w14:textId="77777777" w:rsidR="00357876" w:rsidRPr="005E779E" w:rsidRDefault="00357876" w:rsidP="000B7A6C">
      <w:pPr>
        <w:spacing w:after="0" w:line="240" w:lineRule="auto"/>
        <w:jc w:val="both"/>
        <w:rPr>
          <w:rFonts w:ascii="Times New Roman" w:hAnsi="Times New Roman"/>
          <w:color w:val="000000" w:themeColor="text1"/>
          <w:sz w:val="16"/>
          <w:szCs w:val="16"/>
        </w:rPr>
      </w:pPr>
    </w:p>
    <w:p w14:paraId="4534E4FB"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19415331"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A2148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 ноября 1931 специальным постановлением ЦК ВКП(б) было создано АВИАВНИТО (553,156).</w:t>
      </w:r>
    </w:p>
    <w:p w14:paraId="69F0F8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C8088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 ноября 1931 г. вышло постановление «Об организации научных инженерно-технических обществ (НИТО)» Всесоюзным авиационным научным инженерно-техническим обществом Авиавнито (сокращенно — АНИТО). В MAИ АНИТО, которое возглавили Н. С. Аржаников и Н. Л. Ган (заместитель — студент А. Агарков), оказало большое влияние на развитие проектно-конструкторской работы студентов. АНИТО-МАИ вошло в состав Всесоюзного авиационного научного инженерно-технического общества, председателем которого был П. И. Баранов. С 1931 по 1933 гг. заместителем П. И. Баранова в Авиавнито был Н. С. Аржаников, с сентября 1933 г. президиум общества возглавил И. С. Уншлихт. АНИТО занималось научно-технической пропагандой и популяризацией авиационной науки и техники, оказывало помощь в проектно-конст-рукторских работах. Активисты АНИТО читали лекции в МАИ, в подшефных школах и ФЗУ. В АНИТО-МАИ имелась глиссерная бригада по проектированию и строительству аэроглиссеров, в бригаде было несколько групп (12075).</w:t>
      </w:r>
    </w:p>
    <w:p w14:paraId="4A136B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6122224"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 ноября 1931 г. постановлением «Об организации научных инженерно-технических обществ (НИТО)» было создано Всесоюзное авиационное научно-инженерно-техническое общество Авиавнито (сокращенно — АНИТО). Председателем АНИТО был П. И. Баранов. С 1931 по 1933 гг. заместителем П. И. Баранова в Авиавнито был Н. С. Аржаников, с сентября 1933 г. президиум общества возглавил И. С. Уншлихт. АНИТО занималось научно-технической пропагандой и популяризацией авиационной науки и техники, оказывало помощь в проектно-конст-рукторских работах (15730).</w:t>
      </w:r>
    </w:p>
    <w:p w14:paraId="60B4AD12" w14:textId="77777777" w:rsidR="00C54992" w:rsidRPr="005E779E" w:rsidRDefault="00C54992" w:rsidP="000B7A6C">
      <w:pPr>
        <w:spacing w:after="0" w:line="240" w:lineRule="auto"/>
        <w:jc w:val="both"/>
        <w:rPr>
          <w:rFonts w:ascii="Times New Roman" w:hAnsi="Times New Roman"/>
          <w:color w:val="000000" w:themeColor="text1"/>
          <w:sz w:val="16"/>
          <w:szCs w:val="16"/>
        </w:rPr>
      </w:pPr>
    </w:p>
    <w:p w14:paraId="494EA523" w14:textId="77777777" w:rsidR="00B26A86" w:rsidRPr="005E779E" w:rsidRDefault="00B26A86"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6922195D" w14:textId="77777777" w:rsidR="00B26A86" w:rsidRPr="005E779E" w:rsidRDefault="00B26A86"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75C8C3B" w14:textId="77777777" w:rsidR="00B26A86" w:rsidRPr="005E779E" w:rsidRDefault="00B26A8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19 ноября 1931 г. Сталин совершенно неожиданно позвонил начальнику УММ РККА И.А. Халепскому, находившемуся в больнице из-за обострения язвы, и в жестком тоне потребовал объяснений по поводу его отказа от покупки плавающего танка Кристи во время нахождения в США закупочной комиссии. Не на шутку взволновавшийся Халепский немедленно направил Сталину подробнейшее письмо, в котором уверял, что в действительности такого танка у Кристи никогда не было, существовал лишь макет (РГВА. Ф. 31811. Оп. 2. Д. 55. Л. 1.). </w:t>
      </w:r>
    </w:p>
    <w:p w14:paraId="147CA793" w14:textId="77777777" w:rsidR="00B26A86" w:rsidRPr="005E779E" w:rsidRDefault="00B26A86" w:rsidP="000B7A6C">
      <w:pPr>
        <w:spacing w:after="0" w:line="240" w:lineRule="auto"/>
        <w:jc w:val="both"/>
        <w:rPr>
          <w:rFonts w:ascii="Times New Roman" w:hAnsi="Times New Roman"/>
          <w:color w:val="000000" w:themeColor="text1"/>
          <w:sz w:val="16"/>
          <w:szCs w:val="16"/>
        </w:rPr>
      </w:pPr>
    </w:p>
    <w:p w14:paraId="0E607E42"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26D860FA"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60D16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ноября 1931 вышел новый приказ N 229 по ЦКБ в ЦАГИ. Во изменение п. 3 приказа N 174 от 25 сентября 1931, прибывший из ВАО С.В.Ильюшин назначается заместителем Пауфлера и Начальником ЦКБ, А.Н.Рафаэлянц - с 25 сентября 1931 числится в отпуске, а А.Н.Туполев назначается Зам. начальника ЦКБ (61,128).</w:t>
      </w:r>
    </w:p>
    <w:p w14:paraId="4F2E01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Оценка ЦКБ самого Пауфлера: "Считаю, что благодаря слиянию двух опытных самолетных организаций, наличные конструкторские силы и производственные возможности ЦАГИ вполне обеспечивают успешное и своевременное решение задач, поставленных правительством в области опытного строительства самолетов, вооружения и внедрения их в серию. С целью создания более гибкой и четкой организации, способной быстро разрешить поставленные задачи, начальнику ЦКБ тов. С.В.Ильюшину предлагаю пересмотреть существующую схему организации ЦКБ и завода и свои соображения представить мне в 3 дневный срок (61,128).</w:t>
      </w:r>
    </w:p>
    <w:p w14:paraId="330868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Осенью 1931 г., когда в ЦКБ пришел С.В.Ильюшин, штат ЦКБ составлял 500 чел. специалистов (92,408). Создание самолетов велось централизовано, при этом каждый отдел или бригада выполняли определенную часть работы по нескольким самолетам (24,52).</w:t>
      </w:r>
    </w:p>
    <w:p w14:paraId="6499D0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Тут Пономарев подчеркивает, что А.Н.Т. был дурачек и понадобился С.В.И., чтобы сделать комплексные бригады. Ни одна из книг не говорит прямо о дружеских отношениях с А.Н.Туполевым, который был зам. С.В.Ильюшина. Явно с А.Н.Туполевым дружить было трудно, да и роль его потом в качестве помошника М.М.Кагановича, например в отношении К.А.К., пожалуй не лучше, чем у А.С.Яковлева в дальнейшем.</w:t>
      </w:r>
    </w:p>
    <w:p w14:paraId="7BE9F1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Пономарев считает, что С.В.Ильюшин видел в Н.Н.Поликарпове своего ближайшего помошника и единомышленника в конструкторских, организационных и хозяйственных делах (24,62). Они познакомились во время работы С.В.Ильюшина в НТК. Отношения были дружескими (24,62).</w:t>
      </w:r>
    </w:p>
    <w:p w14:paraId="58F5AF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Возможно это правда, некоторые считали, что Н.Н.Поликарпов был благодарен С.В.Ильюшину за участие и прежде всего в борьбе против А.Н.Туполева (Маслов).</w:t>
      </w:r>
    </w:p>
    <w:p w14:paraId="646763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ЦКБ было более 10 специализированных по операциям бригад (24,53) - отделов. Эскизные проекты делались в отделе общих видов, и далее они рассматривались и утверждались Техсоветом ЦКБ. Чертежи разрабатывались конструкторским отделом. Параллельно работали группы, бригады, отделы аэродинамики, прочности, подготовки производства, статиспытаний и др.</w:t>
      </w:r>
    </w:p>
    <w:p w14:paraId="6D599A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С.В.Ильюшин потребовал организационной перестройки ЦКБ, отказа от методики централизованного проектирования и перехода к созданию специализированных сквозных бригад.</w:t>
      </w:r>
    </w:p>
    <w:p w14:paraId="219760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Во всяком случае представляется целесообразным дать эти бригады в том виде, как их дает В.Б.Ш.:</w:t>
      </w:r>
    </w:p>
    <w:p w14:paraId="476412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по истребителям (Н.Н.Поликарпов);</w:t>
      </w:r>
    </w:p>
    <w:p w14:paraId="65313E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по штурмовикам (С.А.Кочеригин);</w:t>
      </w:r>
    </w:p>
    <w:p w14:paraId="2D46D8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по дальним бомбардировщикам (П.О.Сухой);</w:t>
      </w:r>
    </w:p>
    <w:p w14:paraId="11FB8C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по морским самолетам (И.И.Погосский, И.В.Четвериков, позднее Г.М.Бериев);</w:t>
      </w:r>
    </w:p>
    <w:p w14:paraId="7A5481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по винтокрылым аппаратам А.М.Изаксон);</w:t>
      </w:r>
    </w:p>
    <w:p w14:paraId="170B9C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по вооружению (А.В.Надашкевич);</w:t>
      </w:r>
    </w:p>
    <w:p w14:paraId="33849E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по винтам (В.Л.Александров);</w:t>
      </w:r>
    </w:p>
    <w:p w14:paraId="01C2C3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по колесам и лыжам (А.И.Машкевич);</w:t>
      </w:r>
    </w:p>
    <w:p w14:paraId="27D824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по стандартам и нормалям (П.А.Дудукалов).</w:t>
      </w:r>
    </w:p>
    <w:p w14:paraId="29F186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Н.Н.П. приступив в ЦКБ к разработке И-13 с М-32 - полутороплана смешанной конструкции - в ноябре законфликтовал с руководством и прежде всего А.Н.Т. "Мои расхождения с А.Н.Туполевым принципиальные...Жесткий контроль и безответственность". Был отстранен в ноябре 1931 - то есть при С.В.И. - и с бригады 5 перевели в инженера по проверке проектов. Сам Н.Н.П. считал - вынужденное безделье до июля 1932 (167,20). В любом случае все это утвердил С.В.И. (129,2).</w:t>
      </w:r>
    </w:p>
    <w:p w14:paraId="31B47D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Пожалуй, это было до прихода С.В.И.</w:t>
      </w:r>
    </w:p>
    <w:p w14:paraId="744EEA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D38D71E" w14:textId="77777777" w:rsidR="001C4D6B" w:rsidRPr="005E779E" w:rsidRDefault="001C4D6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ноября 1931 г. во изменение п. 3 приказа №174 от 25.09.31 г. выпущен новый приказ №229 по ЦКБ-ЦАГИ, которым переведенный из аппарата ВАО С.В. Ильюшин назначается заместителем начальника ЦКБ-ЦАГИ Пауфлера и Начальником ЦКБ, а А.Н. Туполев назначается Зам. начальника ЦКБ. Ильюшину также было поручено пересмотреть и в трехдневный срок представить свои соображения относительно дальнейшей целесообразности ведения работ в ЦКБ по постадийному принципу с учетом проявившихся недостатков (т.е. руководство ЦКБ-ЦАГИ и лично Пауфлер их видели). Это было Ильюшиным сделано, однако много позже – только в 1933 г.</w:t>
      </w:r>
    </w:p>
    <w:p w14:paraId="38A19CB9" w14:textId="77777777" w:rsidR="001C4D6B" w:rsidRPr="005E779E" w:rsidRDefault="001C4D6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Сергей Владимирович Ильюшин – пролетарского происхождения, член ВКП(б) с большим стажем, окончил Военно-воздушную академию им. Жуковского в мае 1926 г., имел большой опыт службы в военной авиации на должностях от рядовых до штабных.</w:t>
      </w:r>
    </w:p>
    <w:p w14:paraId="2B0644BE" w14:textId="77777777" w:rsidR="001C4D6B" w:rsidRPr="005E779E" w:rsidRDefault="001C4D6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 имея пока достаточного опыта самостоятельной конструкторской работы и будучи занят административными делами, на первых порах он совершенно не вмешивался в техническую политику, проводимую руководителями бригад ЦКБ, как и Пацфлер, предоставляя им все возможности для самостоятельного предложения разработки новых проектов. Однако Ильюшин, имея уже инженерное авиационное образование и (в отличие ото всех начальников бригад) опыт службы в строевых частях авиации и действующее пилотское удостоверение, начал постепенно вникать во все этапы работ с целью накопления необходимого для самостоятельной конструкторской деятельности опыта.</w:t>
      </w:r>
    </w:p>
    <w:p w14:paraId="2A87F734" w14:textId="77777777" w:rsidR="001C4D6B" w:rsidRPr="005E779E" w:rsidRDefault="001C4D6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своем становлении как конструктора С.В. Ильюшин опирался на помощь Н.Н. Поликарпова, с которым у него установились хорошие деловые и личные дружеские отношения. В то же время Ильюшин не использовал для помощи Поликарпову свои связи в ВАО и общем руководстве промышленностью, когда в 1932 г. после разногласий с ЦАГИ по вопросу о проектировании скоростного истребителя-моноплана того сняли с должности руководителя бригады, которой этот проект был поручен – см. ниже.</w:t>
      </w:r>
    </w:p>
    <w:p w14:paraId="3D2358FD" w14:textId="77777777" w:rsidR="001C4D6B" w:rsidRPr="005E779E" w:rsidRDefault="001C4D6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плане повышения своей личной инженерной квалификации Ильюшин также поддерживал постоянные контакты с ЦАГИ через его начальника Харламова, и с НИИ ВВС РККА (в то время формально эта организация еще именовалась НОА – Научно-опытный аэродром).</w:t>
      </w:r>
    </w:p>
    <w:p w14:paraId="1019A63F" w14:textId="77777777" w:rsidR="001C4D6B" w:rsidRPr="005E779E" w:rsidRDefault="001C4D6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Отношения же руководства ЦКБ, включая Ильюшина и Поликарпова, с руководством ЦАГИ и АГОС / КОСОС и лично с Туполевым и Сухим оставались сложными – по сути, нормальный деловой контакт так и не был установлен в силу разногласий по техническим вопросам. Не было и личных дружеских отношений, что могло бы помочь в работе, как это было в случае с Ильюшиным и Поликарповым (23559).</w:t>
      </w:r>
    </w:p>
    <w:p w14:paraId="430B8B8A" w14:textId="77777777" w:rsidR="001C4D6B" w:rsidRPr="005E779E" w:rsidRDefault="001C4D6B" w:rsidP="000B7A6C">
      <w:pPr>
        <w:spacing w:after="0" w:line="240" w:lineRule="auto"/>
        <w:jc w:val="both"/>
        <w:rPr>
          <w:rFonts w:ascii="Times New Roman" w:hAnsi="Times New Roman"/>
          <w:color w:val="000000" w:themeColor="text1"/>
          <w:sz w:val="16"/>
          <w:szCs w:val="16"/>
        </w:rPr>
      </w:pPr>
    </w:p>
    <w:p w14:paraId="129272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ноября 1931 года закончились предварительные испытания самолета ТБ3 4 Кертис-Конкверор по 600 НР - тяжелый бомбардировщик, опытный экземпляр, постройки ЦАГИ с целью выявления основных летных данных самолета и его эксплуатационных свойств для суждения о допущении к серийной постройке, которые проходили с 20 ноября 1930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1002C3" w:rsidRPr="005E779E" w14:paraId="72989686" w14:textId="77777777">
        <w:tc>
          <w:tcPr>
            <w:tcW w:w="5636" w:type="dxa"/>
          </w:tcPr>
          <w:p w14:paraId="174BAC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Число дней испытания</w:t>
            </w:r>
          </w:p>
        </w:tc>
        <w:tc>
          <w:tcPr>
            <w:tcW w:w="5636" w:type="dxa"/>
          </w:tcPr>
          <w:p w14:paraId="4D272A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92 дня</w:t>
            </w:r>
          </w:p>
        </w:tc>
      </w:tr>
      <w:tr w:rsidR="001002C3" w:rsidRPr="005E779E" w14:paraId="78F8FF03" w14:textId="77777777">
        <w:tc>
          <w:tcPr>
            <w:tcW w:w="5636" w:type="dxa"/>
          </w:tcPr>
          <w:p w14:paraId="62D386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Выполнение полетов</w:t>
            </w:r>
          </w:p>
        </w:tc>
        <w:tc>
          <w:tcPr>
            <w:tcW w:w="5636" w:type="dxa"/>
          </w:tcPr>
          <w:p w14:paraId="67CB2F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w:t>
            </w:r>
          </w:p>
        </w:tc>
      </w:tr>
      <w:tr w:rsidR="001002C3" w:rsidRPr="005E779E" w14:paraId="1669171A" w14:textId="77777777">
        <w:tc>
          <w:tcPr>
            <w:tcW w:w="5636" w:type="dxa"/>
          </w:tcPr>
          <w:p w14:paraId="035C17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Полетных дней </w:t>
            </w:r>
          </w:p>
        </w:tc>
        <w:tc>
          <w:tcPr>
            <w:tcW w:w="5636" w:type="dxa"/>
          </w:tcPr>
          <w:p w14:paraId="7EF84B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w:t>
            </w:r>
          </w:p>
        </w:tc>
      </w:tr>
      <w:tr w:rsidR="001002C3" w:rsidRPr="005E779E" w14:paraId="482E2C7F" w14:textId="77777777">
        <w:tc>
          <w:tcPr>
            <w:tcW w:w="5636" w:type="dxa"/>
          </w:tcPr>
          <w:p w14:paraId="58A80F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Устранение неисправностей</w:t>
            </w:r>
          </w:p>
        </w:tc>
        <w:tc>
          <w:tcPr>
            <w:tcW w:w="5636" w:type="dxa"/>
          </w:tcPr>
          <w:p w14:paraId="4272C6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57</w:t>
            </w:r>
          </w:p>
        </w:tc>
      </w:tr>
      <w:tr w:rsidR="001002C3" w:rsidRPr="005E779E" w14:paraId="32FB4FB0" w14:textId="77777777">
        <w:tc>
          <w:tcPr>
            <w:tcW w:w="5636" w:type="dxa"/>
          </w:tcPr>
          <w:p w14:paraId="2E6DEA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Установка лыж</w:t>
            </w:r>
          </w:p>
        </w:tc>
        <w:tc>
          <w:tcPr>
            <w:tcW w:w="5636" w:type="dxa"/>
          </w:tcPr>
          <w:p w14:paraId="49CF5B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w:t>
            </w:r>
          </w:p>
        </w:tc>
      </w:tr>
      <w:tr w:rsidR="001002C3" w:rsidRPr="005E779E" w14:paraId="2D8438A4" w14:textId="77777777">
        <w:tc>
          <w:tcPr>
            <w:tcW w:w="5636" w:type="dxa"/>
          </w:tcPr>
          <w:p w14:paraId="6E2CD3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Нелетных дней</w:t>
            </w:r>
          </w:p>
        </w:tc>
        <w:tc>
          <w:tcPr>
            <w:tcW w:w="5636" w:type="dxa"/>
          </w:tcPr>
          <w:p w14:paraId="48C44B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(3214)</w:t>
            </w:r>
          </w:p>
        </w:tc>
      </w:tr>
    </w:tbl>
    <w:p w14:paraId="447DAF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w:t>
      </w:r>
    </w:p>
    <w:p w14:paraId="24CCB0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Считать, что самолет ТБ3 4 Кертис Конкверор является по своим летным данным вполне современным тяжелым бомбардировщиком, стоящим на уровне лучших заграничных самолетов.</w:t>
      </w:r>
    </w:p>
    <w:p w14:paraId="5BAC02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Считать необходимым пустить самолет в серийную постройку с заменой импортных моторов Керти-Конкверор моторами М-17 (3214).</w:t>
      </w:r>
    </w:p>
    <w:p w14:paraId="70E824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То есть с ТБ-7, который был задуман якобы в 1931, что то не вяжется.</w:t>
      </w:r>
    </w:p>
    <w:p w14:paraId="14BD666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10EC541" w14:textId="77777777" w:rsidR="00CB6D91" w:rsidRPr="005E779E" w:rsidRDefault="00CB6D91" w:rsidP="000B7A6C">
      <w:pPr>
        <w:pStyle w:val="103"/>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ноября 1931 года было введено в действие согласно приказу №331 по Военно-Воздушным силам РККА техническое описание И-3:</w:t>
      </w:r>
    </w:p>
    <w:p w14:paraId="6EB212CC" w14:textId="77777777" w:rsidR="00CB6D91" w:rsidRPr="005E779E" w:rsidRDefault="00CB6D9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И-3 одноместный полутораплан, предназначенный к службе в качестве истре</w:t>
      </w:r>
      <w:r w:rsidRPr="005E779E">
        <w:rPr>
          <w:rFonts w:ascii="Times New Roman" w:hAnsi="Times New Roman"/>
          <w:color w:val="000000" w:themeColor="text1"/>
          <w:sz w:val="16"/>
          <w:szCs w:val="16"/>
        </w:rPr>
        <w:softHyphen/>
        <w:t>бителя. Самолет смешанной деревянно-ме</w:t>
      </w:r>
      <w:r w:rsidRPr="005E779E">
        <w:rPr>
          <w:rFonts w:ascii="Times New Roman" w:hAnsi="Times New Roman"/>
          <w:color w:val="000000" w:themeColor="text1"/>
          <w:sz w:val="16"/>
          <w:szCs w:val="16"/>
        </w:rPr>
        <w:softHyphen/>
        <w:t>таллической конструкции, с фюзеляжем ве</w:t>
      </w:r>
      <w:r w:rsidRPr="005E779E">
        <w:rPr>
          <w:rFonts w:ascii="Times New Roman" w:hAnsi="Times New Roman"/>
          <w:color w:val="000000" w:themeColor="text1"/>
          <w:sz w:val="16"/>
          <w:szCs w:val="16"/>
        </w:rPr>
        <w:softHyphen/>
        <w:t>ретенообразной формы. Планер самолета со</w:t>
      </w:r>
      <w:r w:rsidRPr="005E779E">
        <w:rPr>
          <w:rFonts w:ascii="Times New Roman" w:hAnsi="Times New Roman"/>
          <w:color w:val="000000" w:themeColor="text1"/>
          <w:sz w:val="16"/>
          <w:szCs w:val="16"/>
        </w:rPr>
        <w:softHyphen/>
        <w:t>стоит из фюзеляжа, крыльев, хвостового опе</w:t>
      </w:r>
      <w:r w:rsidRPr="005E779E">
        <w:rPr>
          <w:rFonts w:ascii="Times New Roman" w:hAnsi="Times New Roman"/>
          <w:color w:val="000000" w:themeColor="text1"/>
          <w:sz w:val="16"/>
          <w:szCs w:val="16"/>
        </w:rPr>
        <w:softHyphen/>
        <w:t>рения, шасси и двигателя.</w:t>
      </w:r>
    </w:p>
    <w:p w14:paraId="40880130" w14:textId="77777777" w:rsidR="00CB6D91" w:rsidRPr="005E779E" w:rsidRDefault="00CB6D9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Остов фюзеляжа состоит из четырех лон</w:t>
      </w:r>
      <w:r w:rsidRPr="005E779E">
        <w:rPr>
          <w:rFonts w:ascii="Times New Roman" w:hAnsi="Times New Roman"/>
          <w:color w:val="000000" w:themeColor="text1"/>
          <w:sz w:val="16"/>
          <w:szCs w:val="16"/>
        </w:rPr>
        <w:softHyphen/>
        <w:t>жеронов, четырех стрингеров в качестве продольного конструктивного набора и 13шпангоутов, составляющих поперечный на</w:t>
      </w:r>
      <w:r w:rsidRPr="005E779E">
        <w:rPr>
          <w:rFonts w:ascii="Times New Roman" w:hAnsi="Times New Roman"/>
          <w:color w:val="000000" w:themeColor="text1"/>
          <w:sz w:val="16"/>
          <w:szCs w:val="16"/>
        </w:rPr>
        <w:softHyphen/>
        <w:t>бор. Лонжероны прямоугольные, из цель</w:t>
      </w:r>
      <w:r w:rsidRPr="005E779E">
        <w:rPr>
          <w:rFonts w:ascii="Times New Roman" w:hAnsi="Times New Roman"/>
          <w:color w:val="000000" w:themeColor="text1"/>
          <w:sz w:val="16"/>
          <w:szCs w:val="16"/>
        </w:rPr>
        <w:softHyphen/>
        <w:t>ных сосновых брусьев, склеены подлине «на ус». К хвосту сечение лонжеронов уменьша</w:t>
      </w:r>
      <w:r w:rsidRPr="005E779E">
        <w:rPr>
          <w:rFonts w:ascii="Times New Roman" w:hAnsi="Times New Roman"/>
          <w:color w:val="000000" w:themeColor="text1"/>
          <w:sz w:val="16"/>
          <w:szCs w:val="16"/>
        </w:rPr>
        <w:softHyphen/>
        <w:t>ется, с внутренней стороны в отрезках между шпангоутами они облегчены и имеют форму швеллера.</w:t>
      </w:r>
    </w:p>
    <w:p w14:paraId="3CA269A0" w14:textId="77777777" w:rsidR="00CB6D91" w:rsidRPr="005E779E" w:rsidRDefault="00CB6D9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Шпангоуты носовой части склеены из 2,5- мм фанеры общей толщиной 25-27 мм. В хво</w:t>
      </w:r>
      <w:r w:rsidRPr="005E779E">
        <w:rPr>
          <w:rFonts w:ascii="Times New Roman" w:hAnsi="Times New Roman"/>
          <w:color w:val="000000" w:themeColor="text1"/>
          <w:sz w:val="16"/>
          <w:szCs w:val="16"/>
        </w:rPr>
        <w:softHyphen/>
        <w:t>стовой части шпангоуты собираются из гну</w:t>
      </w:r>
      <w:r w:rsidRPr="005E779E">
        <w:rPr>
          <w:rFonts w:ascii="Times New Roman" w:hAnsi="Times New Roman"/>
          <w:color w:val="000000" w:themeColor="text1"/>
          <w:sz w:val="16"/>
          <w:szCs w:val="16"/>
        </w:rPr>
        <w:softHyphen/>
        <w:t>тых ясеневых ободков, обшиты фанерой тол</w:t>
      </w:r>
      <w:r w:rsidRPr="005E779E">
        <w:rPr>
          <w:rFonts w:ascii="Times New Roman" w:hAnsi="Times New Roman"/>
          <w:color w:val="000000" w:themeColor="text1"/>
          <w:sz w:val="16"/>
          <w:szCs w:val="16"/>
        </w:rPr>
        <w:softHyphen/>
        <w:t>щиной 1,5-4 мм. Два первых шпангоута об</w:t>
      </w:r>
      <w:r w:rsidRPr="005E779E">
        <w:rPr>
          <w:rFonts w:ascii="Times New Roman" w:hAnsi="Times New Roman"/>
          <w:color w:val="000000" w:themeColor="text1"/>
          <w:sz w:val="16"/>
          <w:szCs w:val="16"/>
        </w:rPr>
        <w:softHyphen/>
        <w:t>шиты листовым дюралюминием, играющим роль противопожарной перегородки.</w:t>
      </w:r>
    </w:p>
    <w:p w14:paraId="3DBAFB23" w14:textId="77777777" w:rsidR="00CB6D91" w:rsidRPr="005E779E" w:rsidRDefault="00CB6D9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Собранный каркас фюзеляжа покрывается сверху специальной, выклеенной на болван</w:t>
      </w:r>
      <w:r w:rsidRPr="005E779E">
        <w:rPr>
          <w:rFonts w:ascii="Times New Roman" w:hAnsi="Times New Roman"/>
          <w:color w:val="000000" w:themeColor="text1"/>
          <w:sz w:val="16"/>
          <w:szCs w:val="16"/>
        </w:rPr>
        <w:softHyphen/>
        <w:t>ке фанерной обшивкой (скорлупой). Скор</w:t>
      </w:r>
      <w:r w:rsidRPr="005E779E">
        <w:rPr>
          <w:rFonts w:ascii="Times New Roman" w:hAnsi="Times New Roman"/>
          <w:color w:val="000000" w:themeColor="text1"/>
          <w:sz w:val="16"/>
          <w:szCs w:val="16"/>
        </w:rPr>
        <w:softHyphen/>
        <w:t>лупа выклеивается из двух половин — левой и правой. Технология изготовления фюзеля</w:t>
      </w:r>
      <w:r w:rsidRPr="005E779E">
        <w:rPr>
          <w:rFonts w:ascii="Times New Roman" w:hAnsi="Times New Roman"/>
          <w:color w:val="000000" w:themeColor="text1"/>
          <w:sz w:val="16"/>
          <w:szCs w:val="16"/>
        </w:rPr>
        <w:softHyphen/>
        <w:t>жа была следующая: макет (болван) фюзеля</w:t>
      </w:r>
      <w:r w:rsidRPr="005E779E">
        <w:rPr>
          <w:rFonts w:ascii="Times New Roman" w:hAnsi="Times New Roman"/>
          <w:color w:val="000000" w:themeColor="text1"/>
          <w:sz w:val="16"/>
          <w:szCs w:val="16"/>
        </w:rPr>
        <w:softHyphen/>
        <w:t>жа, покрытый тавотом и обклеенный бума</w:t>
      </w:r>
      <w:r w:rsidRPr="005E779E">
        <w:rPr>
          <w:rFonts w:ascii="Times New Roman" w:hAnsi="Times New Roman"/>
          <w:color w:val="000000" w:themeColor="text1"/>
          <w:sz w:val="16"/>
          <w:szCs w:val="16"/>
        </w:rPr>
        <w:softHyphen/>
        <w:t>гой, закрывается сверху полосами березового шпона (толщина 0,5 мм, ширина 70 мм) под углом 45 градусов к продольной оси самоле</w:t>
      </w:r>
      <w:r w:rsidRPr="005E779E">
        <w:rPr>
          <w:rFonts w:ascii="Times New Roman" w:hAnsi="Times New Roman"/>
          <w:color w:val="000000" w:themeColor="text1"/>
          <w:sz w:val="16"/>
          <w:szCs w:val="16"/>
        </w:rPr>
        <w:softHyphen/>
        <w:t>та, с зазором между полосами шпона 2 мм по ширине. Для обеспечения прилегания к бол</w:t>
      </w:r>
      <w:r w:rsidRPr="005E779E">
        <w:rPr>
          <w:rFonts w:ascii="Times New Roman" w:hAnsi="Times New Roman"/>
          <w:color w:val="000000" w:themeColor="text1"/>
          <w:sz w:val="16"/>
          <w:szCs w:val="16"/>
        </w:rPr>
        <w:softHyphen/>
        <w:t>вану используются обойные гвозди, которые слегка прибиваются, а потом вытаскивают</w:t>
      </w:r>
      <w:r w:rsidRPr="005E779E">
        <w:rPr>
          <w:rFonts w:ascii="Times New Roman" w:hAnsi="Times New Roman"/>
          <w:color w:val="000000" w:themeColor="text1"/>
          <w:sz w:val="16"/>
          <w:szCs w:val="16"/>
        </w:rPr>
        <w:softHyphen/>
        <w:t>ся. Прежде чем наклеить второй слой шпона, первый слой слегка смачивают сырой тряп</w:t>
      </w:r>
      <w:r w:rsidRPr="005E779E">
        <w:rPr>
          <w:rFonts w:ascii="Times New Roman" w:hAnsi="Times New Roman"/>
          <w:color w:val="000000" w:themeColor="text1"/>
          <w:sz w:val="16"/>
          <w:szCs w:val="16"/>
        </w:rPr>
        <w:softHyphen/>
        <w:t>кой, отчего шпон разбухает и зазоры уничто</w:t>
      </w:r>
      <w:r w:rsidRPr="005E779E">
        <w:rPr>
          <w:rFonts w:ascii="Times New Roman" w:hAnsi="Times New Roman"/>
          <w:color w:val="000000" w:themeColor="text1"/>
          <w:sz w:val="16"/>
          <w:szCs w:val="16"/>
        </w:rPr>
        <w:softHyphen/>
        <w:t>жаются.</w:t>
      </w:r>
    </w:p>
    <w:p w14:paraId="494149A7" w14:textId="77777777" w:rsidR="00CB6D91" w:rsidRPr="005E779E" w:rsidRDefault="00CB6D9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Второй и последующие ряды наклеивают</w:t>
      </w:r>
      <w:r w:rsidRPr="005E779E">
        <w:rPr>
          <w:rFonts w:ascii="Times New Roman" w:hAnsi="Times New Roman"/>
          <w:color w:val="000000" w:themeColor="text1"/>
          <w:sz w:val="16"/>
          <w:szCs w:val="16"/>
        </w:rPr>
        <w:softHyphen/>
        <w:t>ся казеиновым клеем и также слегка прико</w:t>
      </w:r>
      <w:r w:rsidRPr="005E779E">
        <w:rPr>
          <w:rFonts w:ascii="Times New Roman" w:hAnsi="Times New Roman"/>
          <w:color w:val="000000" w:themeColor="text1"/>
          <w:sz w:val="16"/>
          <w:szCs w:val="16"/>
        </w:rPr>
        <w:softHyphen/>
        <w:t>лачиваются гвоздями, интервал сушки меж</w:t>
      </w:r>
      <w:r w:rsidRPr="005E779E">
        <w:rPr>
          <w:rFonts w:ascii="Times New Roman" w:hAnsi="Times New Roman"/>
          <w:color w:val="000000" w:themeColor="text1"/>
          <w:sz w:val="16"/>
          <w:szCs w:val="16"/>
        </w:rPr>
        <w:softHyphen/>
        <w:t>ду рядами 6-7 часов. Каждый ряд после про</w:t>
      </w:r>
      <w:r w:rsidRPr="005E779E">
        <w:rPr>
          <w:rFonts w:ascii="Times New Roman" w:hAnsi="Times New Roman"/>
          <w:color w:val="000000" w:themeColor="text1"/>
          <w:sz w:val="16"/>
          <w:szCs w:val="16"/>
        </w:rPr>
        <w:softHyphen/>
        <w:t>сушки зачищается шкуркой. После наклейки всех слоев (носовая часть до пятого шпанго</w:t>
      </w:r>
      <w:r w:rsidRPr="005E779E">
        <w:rPr>
          <w:rFonts w:ascii="Times New Roman" w:hAnsi="Times New Roman"/>
          <w:color w:val="000000" w:themeColor="text1"/>
          <w:sz w:val="16"/>
          <w:szCs w:val="16"/>
        </w:rPr>
        <w:softHyphen/>
        <w:t>ута пять слоев, хвостовая часть четыре слоя), скорлупа снимается с макета и выдержива</w:t>
      </w:r>
      <w:r w:rsidRPr="005E779E">
        <w:rPr>
          <w:rFonts w:ascii="Times New Roman" w:hAnsi="Times New Roman"/>
          <w:color w:val="000000" w:themeColor="text1"/>
          <w:sz w:val="16"/>
          <w:szCs w:val="16"/>
        </w:rPr>
        <w:softHyphen/>
        <w:t>ется в течение 10-12 суток. Согласно завод</w:t>
      </w:r>
      <w:r w:rsidRPr="005E779E">
        <w:rPr>
          <w:rFonts w:ascii="Times New Roman" w:hAnsi="Times New Roman"/>
          <w:color w:val="000000" w:themeColor="text1"/>
          <w:sz w:val="16"/>
          <w:szCs w:val="16"/>
        </w:rPr>
        <w:softHyphen/>
        <w:t>ским нормам, для изготовления одного фю-</w:t>
      </w:r>
    </w:p>
    <w:p w14:paraId="68B360A2" w14:textId="77777777" w:rsidR="00CB6D91" w:rsidRPr="005E779E" w:rsidRDefault="00CB6D9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зеляжа И-3 требовалось 175 квадратных ме</w:t>
      </w:r>
      <w:r w:rsidRPr="005E779E">
        <w:rPr>
          <w:rFonts w:ascii="Times New Roman" w:hAnsi="Times New Roman"/>
          <w:color w:val="000000" w:themeColor="text1"/>
          <w:sz w:val="16"/>
          <w:szCs w:val="16"/>
        </w:rPr>
        <w:softHyphen/>
        <w:t>тров березового шпона толщиной 0,5 мм. Пе</w:t>
      </w:r>
      <w:r w:rsidRPr="005E779E">
        <w:rPr>
          <w:rFonts w:ascii="Times New Roman" w:hAnsi="Times New Roman"/>
          <w:color w:val="000000" w:themeColor="text1"/>
          <w:sz w:val="16"/>
          <w:szCs w:val="16"/>
        </w:rPr>
        <w:softHyphen/>
        <w:t>ред установкой скорлупы на каркасе, в месте стыка половин, ставятся на клею и гвоздях полоски фанеры толщиной до 50 мм. Правая половина обшивки накладывается на каркас фюзеляжа, находящийся на стапеле. В это время устанавливается большая часть вну</w:t>
      </w:r>
      <w:r w:rsidRPr="005E779E">
        <w:rPr>
          <w:rFonts w:ascii="Times New Roman" w:hAnsi="Times New Roman"/>
          <w:color w:val="000000" w:themeColor="text1"/>
          <w:sz w:val="16"/>
          <w:szCs w:val="16"/>
        </w:rPr>
        <w:softHyphen/>
        <w:t>тренних узлов и основной металлической ар</w:t>
      </w:r>
      <w:r w:rsidRPr="005E779E">
        <w:rPr>
          <w:rFonts w:ascii="Times New Roman" w:hAnsi="Times New Roman"/>
          <w:color w:val="000000" w:themeColor="text1"/>
          <w:sz w:val="16"/>
          <w:szCs w:val="16"/>
        </w:rPr>
        <w:softHyphen/>
        <w:t>матуры. Левая половина скорлупы устанав</w:t>
      </w:r>
      <w:r w:rsidRPr="005E779E">
        <w:rPr>
          <w:rFonts w:ascii="Times New Roman" w:hAnsi="Times New Roman"/>
          <w:color w:val="000000" w:themeColor="text1"/>
          <w:sz w:val="16"/>
          <w:szCs w:val="16"/>
        </w:rPr>
        <w:softHyphen/>
        <w:t>ливается на специальных козелках, уже по</w:t>
      </w:r>
      <w:r w:rsidRPr="005E779E">
        <w:rPr>
          <w:rFonts w:ascii="Times New Roman" w:hAnsi="Times New Roman"/>
          <w:color w:val="000000" w:themeColor="text1"/>
          <w:sz w:val="16"/>
          <w:szCs w:val="16"/>
        </w:rPr>
        <w:softHyphen/>
        <w:t>сле снятия со стапеля. К лонжеронам, шпан</w:t>
      </w:r>
      <w:r w:rsidRPr="005E779E">
        <w:rPr>
          <w:rFonts w:ascii="Times New Roman" w:hAnsi="Times New Roman"/>
          <w:color w:val="000000" w:themeColor="text1"/>
          <w:sz w:val="16"/>
          <w:szCs w:val="16"/>
        </w:rPr>
        <w:softHyphen/>
        <w:t>гоутам и стрингерам обшивка крепится на клею при помощи омедненных шурупов и гвоздей. После высыхания фюзеляж покры</w:t>
      </w:r>
      <w:r w:rsidRPr="005E779E">
        <w:rPr>
          <w:rFonts w:ascii="Times New Roman" w:hAnsi="Times New Roman"/>
          <w:color w:val="000000" w:themeColor="text1"/>
          <w:sz w:val="16"/>
          <w:szCs w:val="16"/>
        </w:rPr>
        <w:softHyphen/>
        <w:t>вается грунтом, шпаклевкой и красится ма</w:t>
      </w:r>
      <w:r w:rsidRPr="005E779E">
        <w:rPr>
          <w:rFonts w:ascii="Times New Roman" w:hAnsi="Times New Roman"/>
          <w:color w:val="000000" w:themeColor="text1"/>
          <w:sz w:val="16"/>
          <w:szCs w:val="16"/>
        </w:rPr>
        <w:softHyphen/>
        <w:t>сляной краской в два слоя. Носовая часть фюзеляжа в месте установки двигателя имеет полностью дюралюминиевую обшивку. Ка</w:t>
      </w:r>
      <w:r w:rsidRPr="005E779E">
        <w:rPr>
          <w:rFonts w:ascii="Times New Roman" w:hAnsi="Times New Roman"/>
          <w:color w:val="000000" w:themeColor="text1"/>
          <w:sz w:val="16"/>
          <w:szCs w:val="16"/>
        </w:rPr>
        <w:softHyphen/>
        <w:t>поты двигателя крепятся на формообразую</w:t>
      </w:r>
      <w:r w:rsidRPr="005E779E">
        <w:rPr>
          <w:rFonts w:ascii="Times New Roman" w:hAnsi="Times New Roman"/>
          <w:color w:val="000000" w:themeColor="text1"/>
          <w:sz w:val="16"/>
          <w:szCs w:val="16"/>
        </w:rPr>
        <w:softHyphen/>
        <w:t>щий каркас при помощи шомполов или ан</w:t>
      </w:r>
      <w:r w:rsidRPr="005E779E">
        <w:rPr>
          <w:rFonts w:ascii="Times New Roman" w:hAnsi="Times New Roman"/>
          <w:color w:val="000000" w:themeColor="text1"/>
          <w:sz w:val="16"/>
          <w:szCs w:val="16"/>
        </w:rPr>
        <w:softHyphen/>
        <w:t>глийских булавок. Подобным образом зака- потирована верхняя часть фюзеляжа над пу</w:t>
      </w:r>
      <w:r w:rsidRPr="005E779E">
        <w:rPr>
          <w:rFonts w:ascii="Times New Roman" w:hAnsi="Times New Roman"/>
          <w:color w:val="000000" w:themeColor="text1"/>
          <w:sz w:val="16"/>
          <w:szCs w:val="16"/>
        </w:rPr>
        <w:softHyphen/>
        <w:t>леметами до козырька пилота. Заканчивает</w:t>
      </w:r>
      <w:r w:rsidRPr="005E779E">
        <w:rPr>
          <w:rFonts w:ascii="Times New Roman" w:hAnsi="Times New Roman"/>
          <w:color w:val="000000" w:themeColor="text1"/>
          <w:sz w:val="16"/>
          <w:szCs w:val="16"/>
        </w:rPr>
        <w:softHyphen/>
        <w:t>ся фюзеляж дюралевым съемным обтекате</w:t>
      </w:r>
      <w:r w:rsidRPr="005E779E">
        <w:rPr>
          <w:rFonts w:ascii="Times New Roman" w:hAnsi="Times New Roman"/>
          <w:color w:val="000000" w:themeColor="text1"/>
          <w:sz w:val="16"/>
          <w:szCs w:val="16"/>
        </w:rPr>
        <w:softHyphen/>
        <w:t>лем, имеющим в верхней части каплеобраз</w:t>
      </w:r>
      <w:r w:rsidRPr="005E779E">
        <w:rPr>
          <w:rFonts w:ascii="Times New Roman" w:hAnsi="Times New Roman"/>
          <w:color w:val="000000" w:themeColor="text1"/>
          <w:sz w:val="16"/>
          <w:szCs w:val="16"/>
        </w:rPr>
        <w:softHyphen/>
        <w:t>ные выколотки для качалок управления ру</w:t>
      </w:r>
      <w:r w:rsidRPr="005E779E">
        <w:rPr>
          <w:rFonts w:ascii="Times New Roman" w:hAnsi="Times New Roman"/>
          <w:color w:val="000000" w:themeColor="text1"/>
          <w:sz w:val="16"/>
          <w:szCs w:val="16"/>
        </w:rPr>
        <w:softHyphen/>
        <w:t>лем поворота.</w:t>
      </w:r>
    </w:p>
    <w:p w14:paraId="448F264E" w14:textId="77777777" w:rsidR="00CB6D91" w:rsidRPr="005E779E" w:rsidRDefault="00CB6D91" w:rsidP="000B7A6C">
      <w:pPr>
        <w:pStyle w:val="121"/>
        <w:shd w:val="clear" w:color="auto" w:fill="auto"/>
        <w:spacing w:line="240" w:lineRule="auto"/>
        <w:jc w:val="both"/>
        <w:rPr>
          <w:rFonts w:ascii="Times New Roman" w:hAnsi="Times New Roman" w:cs="Times New Roman"/>
          <w:b w:val="0"/>
          <w:color w:val="000000" w:themeColor="text1"/>
          <w:sz w:val="16"/>
          <w:szCs w:val="16"/>
        </w:rPr>
      </w:pPr>
      <w:r w:rsidRPr="005E779E">
        <w:rPr>
          <w:rFonts w:ascii="Times New Roman" w:hAnsi="Times New Roman" w:cs="Times New Roman"/>
          <w:b w:val="0"/>
          <w:color w:val="000000" w:themeColor="text1"/>
          <w:sz w:val="16"/>
          <w:szCs w:val="16"/>
        </w:rPr>
        <w:t>Центральная часть воздушного вин</w:t>
      </w:r>
      <w:r w:rsidRPr="005E779E">
        <w:rPr>
          <w:rFonts w:ascii="Times New Roman" w:hAnsi="Times New Roman" w:cs="Times New Roman"/>
          <w:b w:val="0"/>
          <w:color w:val="000000" w:themeColor="text1"/>
          <w:sz w:val="16"/>
          <w:szCs w:val="16"/>
        </w:rPr>
        <w:softHyphen/>
        <w:t>та со ступицей, оборудованной храповиком для запуска двигателя от автомобильного стартера</w:t>
      </w:r>
    </w:p>
    <w:p w14:paraId="42BD570D" w14:textId="77777777" w:rsidR="00CB6D91" w:rsidRPr="005E779E" w:rsidRDefault="00CB6D9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Крылья самолета И-3 представляют собой полуторапланную коробку с И-образными стойками из профилированных дюралевых труб. Для крепления все стойки имеют на наконечниках болты с вилками. При помо</w:t>
      </w:r>
      <w:r w:rsidRPr="005E779E">
        <w:rPr>
          <w:rFonts w:ascii="Times New Roman" w:hAnsi="Times New Roman"/>
          <w:color w:val="000000" w:themeColor="text1"/>
          <w:sz w:val="16"/>
          <w:szCs w:val="16"/>
        </w:rPr>
        <w:softHyphen/>
        <w:t>щи этих болтов осуществляется регулировка крыльев после сборки. Конструктивно вер</w:t>
      </w:r>
      <w:r w:rsidRPr="005E779E">
        <w:rPr>
          <w:rFonts w:ascii="Times New Roman" w:hAnsi="Times New Roman"/>
          <w:color w:val="000000" w:themeColor="text1"/>
          <w:sz w:val="16"/>
          <w:szCs w:val="16"/>
        </w:rPr>
        <w:softHyphen/>
        <w:t>хние и нижние крылья одинаковы — деревян</w:t>
      </w:r>
      <w:r w:rsidRPr="005E779E">
        <w:rPr>
          <w:rFonts w:ascii="Times New Roman" w:hAnsi="Times New Roman"/>
          <w:color w:val="000000" w:themeColor="text1"/>
          <w:sz w:val="16"/>
          <w:szCs w:val="16"/>
        </w:rPr>
        <w:softHyphen/>
        <w:t>ные, двухлонжеронные, с зашивкой лобовой части до первого лонжерона фанерой. Ни</w:t>
      </w:r>
      <w:r w:rsidRPr="005E779E">
        <w:rPr>
          <w:rFonts w:ascii="Times New Roman" w:hAnsi="Times New Roman"/>
          <w:color w:val="000000" w:themeColor="text1"/>
          <w:sz w:val="16"/>
          <w:szCs w:val="16"/>
        </w:rPr>
        <w:softHyphen/>
        <w:t>жнее крыло в районе фюзеляжа между тор</w:t>
      </w:r>
      <w:r w:rsidRPr="005E779E">
        <w:rPr>
          <w:rFonts w:ascii="Times New Roman" w:hAnsi="Times New Roman"/>
          <w:color w:val="000000" w:themeColor="text1"/>
          <w:sz w:val="16"/>
          <w:szCs w:val="16"/>
        </w:rPr>
        <w:softHyphen/>
        <w:t>цевой и второй нервюрой зашито фанерой. В этом месте на крыло можно было становить</w:t>
      </w:r>
      <w:r w:rsidRPr="005E779E">
        <w:rPr>
          <w:rFonts w:ascii="Times New Roman" w:hAnsi="Times New Roman"/>
          <w:color w:val="000000" w:themeColor="text1"/>
          <w:sz w:val="16"/>
          <w:szCs w:val="16"/>
        </w:rPr>
        <w:softHyphen/>
        <w:t>ся ногами. На верхнем крыле устанавлива</w:t>
      </w:r>
      <w:r w:rsidRPr="005E779E">
        <w:rPr>
          <w:rFonts w:ascii="Times New Roman" w:hAnsi="Times New Roman"/>
          <w:color w:val="000000" w:themeColor="text1"/>
          <w:sz w:val="16"/>
          <w:szCs w:val="16"/>
        </w:rPr>
        <w:softHyphen/>
        <w:t>ются элероны, выполненные из дюралюми</w:t>
      </w:r>
      <w:r w:rsidRPr="005E779E">
        <w:rPr>
          <w:rFonts w:ascii="Times New Roman" w:hAnsi="Times New Roman"/>
          <w:color w:val="000000" w:themeColor="text1"/>
          <w:sz w:val="16"/>
          <w:szCs w:val="16"/>
        </w:rPr>
        <w:softHyphen/>
        <w:t>ния. Для крепления элеронов верхнее кры</w:t>
      </w:r>
      <w:r w:rsidRPr="005E779E">
        <w:rPr>
          <w:rFonts w:ascii="Times New Roman" w:hAnsi="Times New Roman"/>
          <w:color w:val="000000" w:themeColor="text1"/>
          <w:sz w:val="16"/>
          <w:szCs w:val="16"/>
        </w:rPr>
        <w:softHyphen/>
        <w:t>ло имеет третий добавочный лонжерон. Цен</w:t>
      </w:r>
      <w:r w:rsidRPr="005E779E">
        <w:rPr>
          <w:rFonts w:ascii="Times New Roman" w:hAnsi="Times New Roman"/>
          <w:color w:val="000000" w:themeColor="text1"/>
          <w:sz w:val="16"/>
          <w:szCs w:val="16"/>
        </w:rPr>
        <w:softHyphen/>
        <w:t>троплан верхних крыльев в передней части вмещает две профилированные емкости — для топлива и воды. Малая емкость — бен</w:t>
      </w:r>
      <w:r w:rsidRPr="005E779E">
        <w:rPr>
          <w:rFonts w:ascii="Times New Roman" w:hAnsi="Times New Roman"/>
          <w:color w:val="000000" w:themeColor="text1"/>
          <w:sz w:val="16"/>
          <w:szCs w:val="16"/>
        </w:rPr>
        <w:softHyphen/>
        <w:t>зиновый пусковой бачок емкостью 2,5 ли</w:t>
      </w:r>
      <w:r w:rsidRPr="005E779E">
        <w:rPr>
          <w:rFonts w:ascii="Times New Roman" w:hAnsi="Times New Roman"/>
          <w:color w:val="000000" w:themeColor="text1"/>
          <w:sz w:val="16"/>
          <w:szCs w:val="16"/>
        </w:rPr>
        <w:softHyphen/>
        <w:t>тра, предназначается для запуска двигателя. За счет высокого поднятия пускового бачка бензин к двигателю при этом поступает са</w:t>
      </w:r>
      <w:r w:rsidRPr="005E779E">
        <w:rPr>
          <w:rFonts w:ascii="Times New Roman" w:hAnsi="Times New Roman"/>
          <w:color w:val="000000" w:themeColor="text1"/>
          <w:sz w:val="16"/>
          <w:szCs w:val="16"/>
        </w:rPr>
        <w:softHyphen/>
        <w:t>мотеком. Второй бачок — расширительный, является частью водяной системы охлажде</w:t>
      </w:r>
      <w:r w:rsidRPr="005E779E">
        <w:rPr>
          <w:rFonts w:ascii="Times New Roman" w:hAnsi="Times New Roman"/>
          <w:color w:val="000000" w:themeColor="text1"/>
          <w:sz w:val="16"/>
          <w:szCs w:val="16"/>
        </w:rPr>
        <w:softHyphen/>
        <w:t>ния двигателя. При нагревании и расшире</w:t>
      </w:r>
      <w:r w:rsidRPr="005E779E">
        <w:rPr>
          <w:rFonts w:ascii="Times New Roman" w:hAnsi="Times New Roman"/>
          <w:color w:val="000000" w:themeColor="text1"/>
          <w:sz w:val="16"/>
          <w:szCs w:val="16"/>
        </w:rPr>
        <w:softHyphen/>
        <w:t>нии охлаждающей жидкости ее пары подни</w:t>
      </w:r>
      <w:r w:rsidRPr="005E779E">
        <w:rPr>
          <w:rFonts w:ascii="Times New Roman" w:hAnsi="Times New Roman"/>
          <w:color w:val="000000" w:themeColor="text1"/>
          <w:sz w:val="16"/>
          <w:szCs w:val="16"/>
        </w:rPr>
        <w:softHyphen/>
        <w:t xml:space="preserve">маются в этот бачок. Основным элементом системы охлаждения является выдвижной сотовый </w:t>
      </w:r>
      <w:r w:rsidRPr="005E779E">
        <w:rPr>
          <w:rFonts w:ascii="Times New Roman" w:hAnsi="Times New Roman"/>
          <w:color w:val="000000" w:themeColor="text1"/>
          <w:sz w:val="16"/>
          <w:szCs w:val="16"/>
        </w:rPr>
        <w:lastRenderedPageBreak/>
        <w:t>радиатор, который снабжен зубча</w:t>
      </w:r>
      <w:r w:rsidRPr="005E779E">
        <w:rPr>
          <w:rFonts w:ascii="Times New Roman" w:hAnsi="Times New Roman"/>
          <w:color w:val="000000" w:themeColor="text1"/>
          <w:sz w:val="16"/>
          <w:szCs w:val="16"/>
        </w:rPr>
        <w:softHyphen/>
        <w:t>той рейкой, связанной с шестерней. Шестер</w:t>
      </w:r>
      <w:r w:rsidRPr="005E779E">
        <w:rPr>
          <w:rFonts w:ascii="Times New Roman" w:hAnsi="Times New Roman"/>
          <w:color w:val="000000" w:themeColor="text1"/>
          <w:sz w:val="16"/>
          <w:szCs w:val="16"/>
        </w:rPr>
        <w:softHyphen/>
        <w:t>ня цепной передачей связана со штурвалом в кабине летчика. Пилот, при помощи это</w:t>
      </w:r>
      <w:r w:rsidRPr="005E779E">
        <w:rPr>
          <w:rFonts w:ascii="Times New Roman" w:hAnsi="Times New Roman"/>
          <w:color w:val="000000" w:themeColor="text1"/>
          <w:sz w:val="16"/>
          <w:szCs w:val="16"/>
        </w:rPr>
        <w:softHyphen/>
        <w:t>го штурвала, размещенного слева от сиденья, управляет перемещением радиатора, подни</w:t>
      </w:r>
      <w:r w:rsidRPr="005E779E">
        <w:rPr>
          <w:rFonts w:ascii="Times New Roman" w:hAnsi="Times New Roman"/>
          <w:color w:val="000000" w:themeColor="text1"/>
          <w:sz w:val="16"/>
          <w:szCs w:val="16"/>
        </w:rPr>
        <w:softHyphen/>
        <w:t>мает или опускает его и, тем самым, обеспе</w:t>
      </w:r>
      <w:r w:rsidRPr="005E779E">
        <w:rPr>
          <w:rFonts w:ascii="Times New Roman" w:hAnsi="Times New Roman"/>
          <w:color w:val="000000" w:themeColor="text1"/>
          <w:sz w:val="16"/>
          <w:szCs w:val="16"/>
        </w:rPr>
        <w:softHyphen/>
        <w:t>чивает приемлемую температуру жидкости в системе охлаждения. Охлаждение цилиндров двигателя производится водой, которая под</w:t>
      </w:r>
      <w:r w:rsidRPr="005E779E">
        <w:rPr>
          <w:rFonts w:ascii="Times New Roman" w:hAnsi="Times New Roman"/>
          <w:color w:val="000000" w:themeColor="text1"/>
          <w:sz w:val="16"/>
          <w:szCs w:val="16"/>
        </w:rPr>
        <w:softHyphen/>
        <w:t>ается в систему центробежной помпой. По</w:t>
      </w:r>
      <w:r w:rsidRPr="005E779E">
        <w:rPr>
          <w:rFonts w:ascii="Times New Roman" w:hAnsi="Times New Roman"/>
          <w:color w:val="000000" w:themeColor="text1"/>
          <w:sz w:val="16"/>
          <w:szCs w:val="16"/>
        </w:rPr>
        <w:softHyphen/>
        <w:t>мпа находится в нижней части картера дви гателя, приводится в движение от вертикаль</w:t>
      </w:r>
      <w:r w:rsidRPr="005E779E">
        <w:rPr>
          <w:rFonts w:ascii="Times New Roman" w:hAnsi="Times New Roman"/>
          <w:color w:val="000000" w:themeColor="text1"/>
          <w:sz w:val="16"/>
          <w:szCs w:val="16"/>
        </w:rPr>
        <w:softHyphen/>
        <w:t>ного передаточного вала. Питание двигателя после запуска осуществляется из основного фюзеляжного бензинового бака. Подача то</w:t>
      </w:r>
      <w:r w:rsidRPr="005E779E">
        <w:rPr>
          <w:rFonts w:ascii="Times New Roman" w:hAnsi="Times New Roman"/>
          <w:color w:val="000000" w:themeColor="text1"/>
          <w:sz w:val="16"/>
          <w:szCs w:val="16"/>
        </w:rPr>
        <w:softHyphen/>
        <w:t>плива принудительная, при помощи бензи</w:t>
      </w:r>
      <w:r w:rsidRPr="005E779E">
        <w:rPr>
          <w:rFonts w:ascii="Times New Roman" w:hAnsi="Times New Roman"/>
          <w:color w:val="000000" w:themeColor="text1"/>
          <w:sz w:val="16"/>
          <w:szCs w:val="16"/>
        </w:rPr>
        <w:softHyphen/>
        <w:t>новых помп типа АМ, начинающих работать после запуска двигателя.</w:t>
      </w:r>
    </w:p>
    <w:p w14:paraId="74C169F5" w14:textId="77777777" w:rsidR="00CB6D91" w:rsidRPr="005E779E" w:rsidRDefault="00CB6D9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Хвостовое оперение истребителя И-3 кле</w:t>
      </w:r>
      <w:r w:rsidRPr="005E779E">
        <w:rPr>
          <w:rFonts w:ascii="Times New Roman" w:hAnsi="Times New Roman"/>
          <w:color w:val="000000" w:themeColor="text1"/>
          <w:sz w:val="16"/>
          <w:szCs w:val="16"/>
        </w:rPr>
        <w:softHyphen/>
        <w:t>панной дюралюминиевой конструкции. Киль самолета — деревянный, выполнен за</w:t>
      </w:r>
      <w:r w:rsidRPr="005E779E">
        <w:rPr>
          <w:rFonts w:ascii="Times New Roman" w:hAnsi="Times New Roman"/>
          <w:color w:val="000000" w:themeColor="text1"/>
          <w:sz w:val="16"/>
          <w:szCs w:val="16"/>
        </w:rPr>
        <w:softHyphen/>
        <w:t>одно со скорлупой фюзеляжа.</w:t>
      </w:r>
    </w:p>
    <w:p w14:paraId="3B0ACCD9" w14:textId="77777777" w:rsidR="00CB6D91" w:rsidRPr="005E779E" w:rsidRDefault="00CB6D9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Первоначально самолет имел горизонталь</w:t>
      </w:r>
      <w:r w:rsidRPr="005E779E">
        <w:rPr>
          <w:rFonts w:ascii="Times New Roman" w:hAnsi="Times New Roman"/>
          <w:color w:val="000000" w:themeColor="text1"/>
          <w:sz w:val="16"/>
          <w:szCs w:val="16"/>
        </w:rPr>
        <w:softHyphen/>
        <w:t>ное оперение эллиптической формы. В целях улучшения управляемости машины с №4027 имели горизонтальное оперение увеличен</w:t>
      </w:r>
      <w:r w:rsidRPr="005E779E">
        <w:rPr>
          <w:rFonts w:ascii="Times New Roman" w:hAnsi="Times New Roman"/>
          <w:color w:val="000000" w:themeColor="text1"/>
          <w:sz w:val="16"/>
          <w:szCs w:val="16"/>
        </w:rPr>
        <w:softHyphen/>
        <w:t>ной площади, измененной формы с роговы</w:t>
      </w:r>
      <w:r w:rsidRPr="005E779E">
        <w:rPr>
          <w:rFonts w:ascii="Times New Roman" w:hAnsi="Times New Roman"/>
          <w:color w:val="000000" w:themeColor="text1"/>
          <w:sz w:val="16"/>
          <w:szCs w:val="16"/>
        </w:rPr>
        <w:softHyphen/>
        <w:t>ми компенсаторами руля высоты. Для облег</w:t>
      </w:r>
      <w:r w:rsidRPr="005E779E">
        <w:rPr>
          <w:rFonts w:ascii="Times New Roman" w:hAnsi="Times New Roman"/>
          <w:color w:val="000000" w:themeColor="text1"/>
          <w:sz w:val="16"/>
          <w:szCs w:val="16"/>
        </w:rPr>
        <w:softHyphen/>
        <w:t>чения управления самолетом на различных ре</w:t>
      </w:r>
      <w:r w:rsidRPr="005E779E">
        <w:rPr>
          <w:rFonts w:ascii="Times New Roman" w:hAnsi="Times New Roman"/>
          <w:color w:val="000000" w:themeColor="text1"/>
          <w:sz w:val="16"/>
          <w:szCs w:val="16"/>
        </w:rPr>
        <w:softHyphen/>
        <w:t>жимах полета стабилизатор имеет переменный угол установки от -4°40' до +2°40\ Управление перестановкой стабилизатора осуществляет</w:t>
      </w:r>
      <w:r w:rsidRPr="005E779E">
        <w:rPr>
          <w:rFonts w:ascii="Times New Roman" w:hAnsi="Times New Roman"/>
          <w:color w:val="000000" w:themeColor="text1"/>
          <w:sz w:val="16"/>
          <w:szCs w:val="16"/>
        </w:rPr>
        <w:softHyphen/>
        <w:t>ся летчиком из кабины при помощи рукоятки, расположенной справа от сиденья.</w:t>
      </w:r>
    </w:p>
    <w:p w14:paraId="28616997" w14:textId="77777777" w:rsidR="00CB6D91" w:rsidRPr="005E779E" w:rsidRDefault="00CB6D9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Шасси истребителя И-3 — стальная фер</w:t>
      </w:r>
      <w:r w:rsidRPr="005E779E">
        <w:rPr>
          <w:rFonts w:ascii="Times New Roman" w:hAnsi="Times New Roman"/>
          <w:color w:val="000000" w:themeColor="text1"/>
          <w:sz w:val="16"/>
          <w:szCs w:val="16"/>
        </w:rPr>
        <w:softHyphen/>
        <w:t>ма с рифлеными обтекателями из дюралю</w:t>
      </w:r>
      <w:r w:rsidRPr="005E779E">
        <w:rPr>
          <w:rFonts w:ascii="Times New Roman" w:hAnsi="Times New Roman"/>
          <w:color w:val="000000" w:themeColor="text1"/>
          <w:sz w:val="16"/>
          <w:szCs w:val="16"/>
        </w:rPr>
        <w:softHyphen/>
        <w:t>миния. Основные опоры шасси выполнены в виде плоских рам, внутри которых находится пластинчатый резиновый амортизатор.</w:t>
      </w:r>
    </w:p>
    <w:p w14:paraId="3C1C87A5" w14:textId="77777777" w:rsidR="00CB6D91" w:rsidRPr="005E779E" w:rsidRDefault="00CB6D9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Полуоси шасси в центральной части име</w:t>
      </w:r>
      <w:r w:rsidRPr="005E779E">
        <w:rPr>
          <w:rFonts w:ascii="Times New Roman" w:hAnsi="Times New Roman"/>
          <w:color w:val="000000" w:themeColor="text1"/>
          <w:sz w:val="16"/>
          <w:szCs w:val="16"/>
        </w:rPr>
        <w:softHyphen/>
        <w:t>ют общую ось вращения, подкрепленную в этой точке для большей жесткости дополни</w:t>
      </w:r>
      <w:r w:rsidRPr="005E779E">
        <w:rPr>
          <w:rFonts w:ascii="Times New Roman" w:hAnsi="Times New Roman"/>
          <w:color w:val="000000" w:themeColor="text1"/>
          <w:sz w:val="16"/>
          <w:szCs w:val="16"/>
        </w:rPr>
        <w:softHyphen/>
        <w:t>тельными подкосами. Вся система шасси бы</w:t>
      </w:r>
      <w:r w:rsidRPr="005E779E">
        <w:rPr>
          <w:rFonts w:ascii="Times New Roman" w:hAnsi="Times New Roman"/>
          <w:color w:val="000000" w:themeColor="text1"/>
          <w:sz w:val="16"/>
          <w:szCs w:val="16"/>
        </w:rPr>
        <w:softHyphen/>
        <w:t>ла достаточно простой и надежной, да и не</w:t>
      </w:r>
      <w:r w:rsidRPr="005E779E">
        <w:rPr>
          <w:rFonts w:ascii="Times New Roman" w:hAnsi="Times New Roman"/>
          <w:color w:val="000000" w:themeColor="text1"/>
          <w:sz w:val="16"/>
          <w:szCs w:val="16"/>
        </w:rPr>
        <w:softHyphen/>
        <w:t>мудрено, эта схема была отработана еще в Первую мировую войну.</w:t>
      </w:r>
    </w:p>
    <w:p w14:paraId="2D8C8ADA" w14:textId="77777777" w:rsidR="00CB6D91" w:rsidRPr="005E779E" w:rsidRDefault="00CB6D9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Колеса с жестким ободом размером 750x125 мм, применяемые на первых маши</w:t>
      </w:r>
      <w:r w:rsidRPr="005E779E">
        <w:rPr>
          <w:rFonts w:ascii="Times New Roman" w:hAnsi="Times New Roman"/>
          <w:color w:val="000000" w:themeColor="text1"/>
          <w:sz w:val="16"/>
          <w:szCs w:val="16"/>
        </w:rPr>
        <w:softHyphen/>
        <w:t>нах, скоро были заменены на спицевые ко</w:t>
      </w:r>
      <w:r w:rsidRPr="005E779E">
        <w:rPr>
          <w:rFonts w:ascii="Times New Roman" w:hAnsi="Times New Roman"/>
          <w:color w:val="000000" w:themeColor="text1"/>
          <w:sz w:val="16"/>
          <w:szCs w:val="16"/>
        </w:rPr>
        <w:softHyphen/>
        <w:t>леса размером 800x150 мм. Спицы обычно закрывались дюралевыми ободами-обтека</w:t>
      </w:r>
      <w:r w:rsidRPr="005E779E">
        <w:rPr>
          <w:rFonts w:ascii="Times New Roman" w:hAnsi="Times New Roman"/>
          <w:color w:val="000000" w:themeColor="text1"/>
          <w:sz w:val="16"/>
          <w:szCs w:val="16"/>
        </w:rPr>
        <w:softHyphen/>
        <w:t>телями с концентрическими зигованными выколотками для обеспечения жесткости. В случае, когда таких ободов не было, они вы</w:t>
      </w:r>
      <w:r w:rsidRPr="005E779E">
        <w:rPr>
          <w:rFonts w:ascii="Times New Roman" w:hAnsi="Times New Roman"/>
          <w:color w:val="000000" w:themeColor="text1"/>
          <w:sz w:val="16"/>
          <w:szCs w:val="16"/>
        </w:rPr>
        <w:softHyphen/>
        <w:t>резались из мягкого алюминиевого листа, после чего для более плотного прилегания обжимались по форме спиц.</w:t>
      </w:r>
    </w:p>
    <w:p w14:paraId="03B792BC" w14:textId="77777777" w:rsidR="00CB6D91" w:rsidRPr="005E779E" w:rsidRDefault="00CB6D9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зимнее время колеса заменялись лыжа</w:t>
      </w:r>
      <w:r w:rsidRPr="005E779E">
        <w:rPr>
          <w:rFonts w:ascii="Times New Roman" w:hAnsi="Times New Roman"/>
          <w:color w:val="000000" w:themeColor="text1"/>
          <w:sz w:val="16"/>
          <w:szCs w:val="16"/>
        </w:rPr>
        <w:softHyphen/>
        <w:t>ми типа Р-1, размерами 2730x340 мм, освоен</w:t>
      </w:r>
      <w:r w:rsidRPr="005E779E">
        <w:rPr>
          <w:rFonts w:ascii="Times New Roman" w:hAnsi="Times New Roman"/>
          <w:color w:val="000000" w:themeColor="text1"/>
          <w:sz w:val="16"/>
          <w:szCs w:val="16"/>
        </w:rPr>
        <w:softHyphen/>
        <w:t>ной деревянной конструкции с ясеневой по</w:t>
      </w:r>
      <w:r w:rsidRPr="005E779E">
        <w:rPr>
          <w:rFonts w:ascii="Times New Roman" w:hAnsi="Times New Roman"/>
          <w:color w:val="000000" w:themeColor="text1"/>
          <w:sz w:val="16"/>
          <w:szCs w:val="16"/>
        </w:rPr>
        <w:softHyphen/>
        <w:t>дошвой.</w:t>
      </w:r>
    </w:p>
    <w:p w14:paraId="3484D8FD" w14:textId="77777777" w:rsidR="00CB6D91" w:rsidRPr="005E779E" w:rsidRDefault="00CB6D9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Дополняет систему шасси хвостовой ко</w:t>
      </w:r>
      <w:r w:rsidRPr="005E779E">
        <w:rPr>
          <w:rFonts w:ascii="Times New Roman" w:hAnsi="Times New Roman"/>
          <w:color w:val="000000" w:themeColor="text1"/>
          <w:sz w:val="16"/>
          <w:szCs w:val="16"/>
        </w:rPr>
        <w:softHyphen/>
        <w:t>стыль, склепанный из дюралевых швеллеров и листа. Амортизатор костыля — стандартный резиновый шнур диаметром 12 мм. Костыль поворачивался одновременно с рулем поворо</w:t>
      </w:r>
      <w:r w:rsidRPr="005E779E">
        <w:rPr>
          <w:rFonts w:ascii="Times New Roman" w:hAnsi="Times New Roman"/>
          <w:color w:val="000000" w:themeColor="text1"/>
          <w:sz w:val="16"/>
          <w:szCs w:val="16"/>
        </w:rPr>
        <w:softHyphen/>
        <w:t>та. Соединение рычага костыля с рулем пово</w:t>
      </w:r>
      <w:r w:rsidRPr="005E779E">
        <w:rPr>
          <w:rFonts w:ascii="Times New Roman" w:hAnsi="Times New Roman"/>
          <w:color w:val="000000" w:themeColor="text1"/>
          <w:sz w:val="16"/>
          <w:szCs w:val="16"/>
        </w:rPr>
        <w:softHyphen/>
        <w:t>рота осуществляется специальной буферной тягой, призванной смягчить боковые переме</w:t>
      </w:r>
      <w:r w:rsidRPr="005E779E">
        <w:rPr>
          <w:rFonts w:ascii="Times New Roman" w:hAnsi="Times New Roman"/>
          <w:color w:val="000000" w:themeColor="text1"/>
          <w:sz w:val="16"/>
          <w:szCs w:val="16"/>
        </w:rPr>
        <w:softHyphen/>
        <w:t>щения костыля во время руления по земле.</w:t>
      </w:r>
    </w:p>
    <w:p w14:paraId="67853F92" w14:textId="77777777" w:rsidR="00CB6D91" w:rsidRPr="005E779E" w:rsidRDefault="00CB6D9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Оборудование кабины самолета и управле</w:t>
      </w:r>
      <w:r w:rsidRPr="005E779E">
        <w:rPr>
          <w:rFonts w:ascii="Times New Roman" w:hAnsi="Times New Roman"/>
          <w:color w:val="000000" w:themeColor="text1"/>
          <w:sz w:val="16"/>
          <w:szCs w:val="16"/>
        </w:rPr>
        <w:softHyphen/>
        <w:t>ние обычное для истребителей этого перио</w:t>
      </w:r>
      <w:r w:rsidRPr="005E779E">
        <w:rPr>
          <w:rFonts w:ascii="Times New Roman" w:hAnsi="Times New Roman"/>
          <w:color w:val="000000" w:themeColor="text1"/>
          <w:sz w:val="16"/>
          <w:szCs w:val="16"/>
        </w:rPr>
        <w:softHyphen/>
        <w:t>да. Следует отметить громоздкую установку компаса типа «АД» на подставке (нактоузе) под приборной доской между ног пилота.</w:t>
      </w:r>
    </w:p>
    <w:p w14:paraId="7DE49FD3" w14:textId="77777777" w:rsidR="00CB6D91" w:rsidRPr="005E779E" w:rsidRDefault="00CB6D9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Шпангоут №9, находящийся сразу за кре</w:t>
      </w:r>
      <w:r w:rsidRPr="005E779E">
        <w:rPr>
          <w:rFonts w:ascii="Times New Roman" w:hAnsi="Times New Roman"/>
          <w:color w:val="000000" w:themeColor="text1"/>
          <w:sz w:val="16"/>
          <w:szCs w:val="16"/>
        </w:rPr>
        <w:softHyphen/>
        <w:t>слом пилота, зашивался парусиновой пере</w:t>
      </w:r>
      <w:r w:rsidRPr="005E779E">
        <w:rPr>
          <w:rFonts w:ascii="Times New Roman" w:hAnsi="Times New Roman"/>
          <w:color w:val="000000" w:themeColor="text1"/>
          <w:sz w:val="16"/>
          <w:szCs w:val="16"/>
        </w:rPr>
        <w:softHyphen/>
        <w:t>боркой. Она представляла собой сшитый по габариту шпангоута щиток с отверстиями для труб управления. Переборка по периметру имела ряд крючков, которыми закреплялась при помощи киперной ленты на шпангоуте.</w:t>
      </w:r>
    </w:p>
    <w:p w14:paraId="46D44F0C" w14:textId="77777777" w:rsidR="00CB6D91" w:rsidRPr="005E779E" w:rsidRDefault="00CB6D9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Стрелковое вооружение И-3 состояло из двух пулеметов ПВ-1 калибра 7,62 мм. Пер</w:t>
      </w:r>
      <w:r w:rsidRPr="005E779E">
        <w:rPr>
          <w:rFonts w:ascii="Times New Roman" w:hAnsi="Times New Roman"/>
          <w:color w:val="000000" w:themeColor="text1"/>
          <w:sz w:val="16"/>
          <w:szCs w:val="16"/>
        </w:rPr>
        <w:softHyphen/>
        <w:t>вые 75 истребителей оснащались пулемета</w:t>
      </w:r>
      <w:r w:rsidRPr="005E779E">
        <w:rPr>
          <w:rFonts w:ascii="Times New Roman" w:hAnsi="Times New Roman"/>
          <w:color w:val="000000" w:themeColor="text1"/>
          <w:sz w:val="16"/>
          <w:szCs w:val="16"/>
        </w:rPr>
        <w:softHyphen/>
        <w:t>ми типа «Виккерс» снятыми с ранее эксплу</w:t>
      </w:r>
      <w:r w:rsidRPr="005E779E">
        <w:rPr>
          <w:rFonts w:ascii="Times New Roman" w:hAnsi="Times New Roman"/>
          <w:color w:val="000000" w:themeColor="text1"/>
          <w:sz w:val="16"/>
          <w:szCs w:val="16"/>
        </w:rPr>
        <w:softHyphen/>
        <w:t>атировавшихся самолетов и прошедшими ре</w:t>
      </w:r>
      <w:r w:rsidRPr="005E779E">
        <w:rPr>
          <w:rFonts w:ascii="Times New Roman" w:hAnsi="Times New Roman"/>
          <w:color w:val="000000" w:themeColor="text1"/>
          <w:sz w:val="16"/>
          <w:szCs w:val="16"/>
        </w:rPr>
        <w:softHyphen/>
        <w:t>монт. Прицеливание при стрельбе осуществ</w:t>
      </w:r>
      <w:r w:rsidRPr="005E779E">
        <w:rPr>
          <w:rFonts w:ascii="Times New Roman" w:hAnsi="Times New Roman"/>
          <w:color w:val="000000" w:themeColor="text1"/>
          <w:sz w:val="16"/>
          <w:szCs w:val="16"/>
        </w:rPr>
        <w:softHyphen/>
        <w:t>лялось оптическим прицелом ОП-1, разме</w:t>
      </w:r>
      <w:r w:rsidRPr="005E779E">
        <w:rPr>
          <w:rFonts w:ascii="Times New Roman" w:hAnsi="Times New Roman"/>
          <w:color w:val="000000" w:themeColor="text1"/>
          <w:sz w:val="16"/>
          <w:szCs w:val="16"/>
        </w:rPr>
        <w:softHyphen/>
        <w:t>щенного в центре козырька пилота. В допол нении к оптическому прицелу на правой сто</w:t>
      </w:r>
      <w:r w:rsidRPr="005E779E">
        <w:rPr>
          <w:rFonts w:ascii="Times New Roman" w:hAnsi="Times New Roman"/>
          <w:color w:val="000000" w:themeColor="text1"/>
          <w:sz w:val="16"/>
          <w:szCs w:val="16"/>
        </w:rPr>
        <w:softHyphen/>
        <w:t>роне фюзеляжа в районе козырька пилота размешался механический кольцевой прицел типа КП-5. Часть самолетов И-3 могла не</w:t>
      </w:r>
      <w:r w:rsidRPr="005E779E">
        <w:rPr>
          <w:rFonts w:ascii="Times New Roman" w:hAnsi="Times New Roman"/>
          <w:color w:val="000000" w:themeColor="text1"/>
          <w:sz w:val="16"/>
          <w:szCs w:val="16"/>
        </w:rPr>
        <w:softHyphen/>
        <w:t>сти бомбовое вооружение. Бомбодержатели для двух 25-фунтовых бомб устанавливались в районе пятой нервюры нижнего крыла.</w:t>
      </w:r>
    </w:p>
    <w:p w14:paraId="59E960B1" w14:textId="77777777" w:rsidR="00CB6D91" w:rsidRPr="005E779E" w:rsidRDefault="00CB6D9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Красились серийные самолеты сверху (а фюзеляж полностью) в защитный зеленый цвет. Нижняя поверхность крыльев и гори</w:t>
      </w:r>
      <w:r w:rsidRPr="005E779E">
        <w:rPr>
          <w:rFonts w:ascii="Times New Roman" w:hAnsi="Times New Roman"/>
          <w:color w:val="000000" w:themeColor="text1"/>
          <w:sz w:val="16"/>
          <w:szCs w:val="16"/>
        </w:rPr>
        <w:softHyphen/>
        <w:t>зонтального оперения окрашивались в свет- ло-голубой цвет. Начиная с четвертой се</w:t>
      </w:r>
      <w:r w:rsidRPr="005E779E">
        <w:rPr>
          <w:rFonts w:ascii="Times New Roman" w:hAnsi="Times New Roman"/>
          <w:color w:val="000000" w:themeColor="text1"/>
          <w:sz w:val="16"/>
          <w:szCs w:val="16"/>
        </w:rPr>
        <w:softHyphen/>
        <w:t>рии, нижняя часть фюзеляжа в районе шпан</w:t>
      </w:r>
      <w:r w:rsidRPr="005E779E">
        <w:rPr>
          <w:rFonts w:ascii="Times New Roman" w:hAnsi="Times New Roman"/>
          <w:color w:val="000000" w:themeColor="text1"/>
          <w:sz w:val="16"/>
          <w:szCs w:val="16"/>
        </w:rPr>
        <w:softHyphen/>
        <w:t>гоута №9 имела поперечную красную поло</w:t>
      </w:r>
      <w:r w:rsidRPr="005E779E">
        <w:rPr>
          <w:rFonts w:ascii="Times New Roman" w:hAnsi="Times New Roman"/>
          <w:color w:val="000000" w:themeColor="text1"/>
          <w:sz w:val="16"/>
          <w:szCs w:val="16"/>
        </w:rPr>
        <w:softHyphen/>
        <w:t>су, обозначающую место установки козелка. В районе вырезов-поручней для рук наноси</w:t>
      </w:r>
      <w:r w:rsidRPr="005E779E">
        <w:rPr>
          <w:rFonts w:ascii="Times New Roman" w:hAnsi="Times New Roman"/>
          <w:color w:val="000000" w:themeColor="text1"/>
          <w:sz w:val="16"/>
          <w:szCs w:val="16"/>
        </w:rPr>
        <w:softHyphen/>
        <w:t>лась красная надпись «Брать здесь». Участок нижнего крыла у фюзеляжа, в том месте, где разрешалось ступать ногами, окрашивался красной краской. Дюралюминиевые капоты носовой части фюзеляжа И-3 не красились. Иногда техсостав полировал их «под мороз», что отдаленно напоминало чешую рыбы.</w:t>
      </w:r>
    </w:p>
    <w:p w14:paraId="692F3E44" w14:textId="77777777" w:rsidR="00CB6D91" w:rsidRPr="005E779E" w:rsidRDefault="00CB6D9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Авиационный двигатель жидкостного ох</w:t>
      </w:r>
      <w:r w:rsidRPr="005E779E">
        <w:rPr>
          <w:rFonts w:ascii="Times New Roman" w:hAnsi="Times New Roman"/>
          <w:color w:val="000000" w:themeColor="text1"/>
          <w:sz w:val="16"/>
          <w:szCs w:val="16"/>
        </w:rPr>
        <w:softHyphen/>
        <w:t>лаждения М-17 номинальной мощностью 500 л.с. и максимальной 680—730 л.с. относился к так называемым высотным авиадвигателям, сохраняющим номинальную мощность до бо</w:t>
      </w:r>
      <w:r w:rsidRPr="005E779E">
        <w:rPr>
          <w:rFonts w:ascii="Times New Roman" w:hAnsi="Times New Roman"/>
          <w:color w:val="000000" w:themeColor="text1"/>
          <w:sz w:val="16"/>
          <w:szCs w:val="16"/>
        </w:rPr>
        <w:softHyphen/>
        <w:t>евой высоты (у М-17 до 2500—2700 м). Запуск двигателя на И-3 производился от пятилитро</w:t>
      </w:r>
      <w:r w:rsidRPr="005E779E">
        <w:rPr>
          <w:rFonts w:ascii="Times New Roman" w:hAnsi="Times New Roman"/>
          <w:color w:val="000000" w:themeColor="text1"/>
          <w:sz w:val="16"/>
          <w:szCs w:val="16"/>
        </w:rPr>
        <w:softHyphen/>
        <w:t>вого баллона со сжатым воздухом до 150 ат</w:t>
      </w:r>
      <w:r w:rsidRPr="005E779E">
        <w:rPr>
          <w:rFonts w:ascii="Times New Roman" w:hAnsi="Times New Roman"/>
          <w:color w:val="000000" w:themeColor="text1"/>
          <w:sz w:val="16"/>
          <w:szCs w:val="16"/>
        </w:rPr>
        <w:softHyphen/>
        <w:t>мосфер. В случае неудовлетворительной рабо</w:t>
      </w:r>
      <w:r w:rsidRPr="005E779E">
        <w:rPr>
          <w:rFonts w:ascii="Times New Roman" w:hAnsi="Times New Roman"/>
          <w:color w:val="000000" w:themeColor="text1"/>
          <w:sz w:val="16"/>
          <w:szCs w:val="16"/>
        </w:rPr>
        <w:softHyphen/>
        <w:t>ты воздушной системы запуск двигателя осу</w:t>
      </w:r>
      <w:r w:rsidRPr="005E779E">
        <w:rPr>
          <w:rFonts w:ascii="Times New Roman" w:hAnsi="Times New Roman"/>
          <w:color w:val="000000" w:themeColor="text1"/>
          <w:sz w:val="16"/>
          <w:szCs w:val="16"/>
        </w:rPr>
        <w:softHyphen/>
        <w:t>ществлялся от автостартера.</w:t>
      </w:r>
    </w:p>
    <w:p w14:paraId="547499FB" w14:textId="77777777" w:rsidR="00CB6D91" w:rsidRPr="005E779E" w:rsidRDefault="00CB6D91" w:rsidP="000B7A6C">
      <w:pPr>
        <w:pStyle w:val="67"/>
        <w:shd w:val="clear" w:color="auto" w:fill="auto"/>
        <w:spacing w:line="240" w:lineRule="auto"/>
        <w:jc w:val="both"/>
        <w:rPr>
          <w:rFonts w:ascii="Times New Roman" w:hAnsi="Times New Roman"/>
          <w:color w:val="000000" w:themeColor="text1"/>
          <w:sz w:val="16"/>
          <w:szCs w:val="16"/>
        </w:rPr>
      </w:pPr>
      <w:r w:rsidRPr="005E779E">
        <w:rPr>
          <w:rStyle w:val="68"/>
          <w:rFonts w:ascii="Times New Roman" w:eastAsia="Arial Unicode MS" w:hAnsi="Times New Roman"/>
          <w:b w:val="0"/>
          <w:color w:val="000000" w:themeColor="text1"/>
          <w:sz w:val="16"/>
          <w:szCs w:val="16"/>
        </w:rPr>
        <w:t>Технические и летные характеристики И-3 М-17 в сравнении с И-7 М-17</w:t>
      </w:r>
      <w:r w:rsidRPr="005E779E">
        <w:rPr>
          <w:rFonts w:ascii="Times New Roman" w:hAnsi="Times New Roman"/>
          <w:color w:val="000000" w:themeColor="text1"/>
          <w:sz w:val="16"/>
          <w:szCs w:val="16"/>
        </w:rPr>
        <w:t>(приведены значения для серийных истребителей по данным технических описаний)</w:t>
      </w:r>
    </w:p>
    <w:tbl>
      <w:tblPr>
        <w:tblW w:w="0" w:type="auto"/>
        <w:tblLayout w:type="fixed"/>
        <w:tblCellMar>
          <w:left w:w="10" w:type="dxa"/>
          <w:right w:w="10" w:type="dxa"/>
        </w:tblCellMar>
        <w:tblLook w:val="0000" w:firstRow="0" w:lastRow="0" w:firstColumn="0" w:lastColumn="0" w:noHBand="0" w:noVBand="0"/>
      </w:tblPr>
      <w:tblGrid>
        <w:gridCol w:w="3139"/>
        <w:gridCol w:w="2214"/>
        <w:gridCol w:w="2221"/>
      </w:tblGrid>
      <w:tr w:rsidR="001002C3" w:rsidRPr="005E779E" w14:paraId="1BB03DAD" w14:textId="77777777" w:rsidTr="004F5DFE">
        <w:trPr>
          <w:trHeight w:val="256"/>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184425E0" w14:textId="77777777" w:rsidR="00CB6D91" w:rsidRPr="005E779E" w:rsidRDefault="00CB6D91" w:rsidP="000B7A6C">
            <w:pPr>
              <w:spacing w:after="0" w:line="240" w:lineRule="auto"/>
              <w:jc w:val="both"/>
              <w:rPr>
                <w:rFonts w:ascii="Times New Roman" w:hAnsi="Times New Roman"/>
                <w:color w:val="000000" w:themeColor="text1"/>
                <w:sz w:val="16"/>
                <w:szCs w:val="16"/>
              </w:rPr>
            </w:pPr>
          </w:p>
        </w:tc>
        <w:tc>
          <w:tcPr>
            <w:tcW w:w="2214" w:type="dxa"/>
            <w:tcBorders>
              <w:top w:val="single" w:sz="6" w:space="0" w:color="auto"/>
              <w:left w:val="single" w:sz="6" w:space="0" w:color="auto"/>
              <w:bottom w:val="single" w:sz="6" w:space="0" w:color="auto"/>
              <w:right w:val="single" w:sz="6" w:space="0" w:color="auto"/>
            </w:tcBorders>
            <w:shd w:val="clear" w:color="auto" w:fill="FFFFFF"/>
          </w:tcPr>
          <w:p w14:paraId="096DC73D" w14:textId="77777777" w:rsidR="00CB6D91" w:rsidRPr="005E779E" w:rsidRDefault="00CB6D91"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И-3</w:t>
            </w:r>
          </w:p>
        </w:tc>
        <w:tc>
          <w:tcPr>
            <w:tcW w:w="2221" w:type="dxa"/>
            <w:tcBorders>
              <w:top w:val="single" w:sz="6" w:space="0" w:color="auto"/>
              <w:left w:val="single" w:sz="6" w:space="0" w:color="auto"/>
              <w:bottom w:val="single" w:sz="6" w:space="0" w:color="auto"/>
              <w:right w:val="single" w:sz="6" w:space="0" w:color="auto"/>
            </w:tcBorders>
            <w:shd w:val="clear" w:color="auto" w:fill="FFFFFF"/>
          </w:tcPr>
          <w:p w14:paraId="53811FDD" w14:textId="77777777" w:rsidR="00CB6D91" w:rsidRPr="005E779E" w:rsidRDefault="00CB6D91"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И-7</w:t>
            </w:r>
          </w:p>
        </w:tc>
      </w:tr>
      <w:tr w:rsidR="001002C3" w:rsidRPr="005E779E" w14:paraId="785B0E5E" w14:textId="77777777" w:rsidTr="004F5DFE">
        <w:trPr>
          <w:trHeight w:val="248"/>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533AC7E6" w14:textId="77777777" w:rsidR="00CB6D91" w:rsidRPr="005E779E" w:rsidRDefault="00CB6D91"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Длина в линии полета (м)</w:t>
            </w:r>
          </w:p>
        </w:tc>
        <w:tc>
          <w:tcPr>
            <w:tcW w:w="2214" w:type="dxa"/>
            <w:tcBorders>
              <w:top w:val="single" w:sz="6" w:space="0" w:color="auto"/>
              <w:left w:val="single" w:sz="6" w:space="0" w:color="auto"/>
              <w:bottom w:val="single" w:sz="6" w:space="0" w:color="auto"/>
              <w:right w:val="single" w:sz="6" w:space="0" w:color="auto"/>
            </w:tcBorders>
            <w:shd w:val="clear" w:color="auto" w:fill="FFFFFF"/>
          </w:tcPr>
          <w:p w14:paraId="1113A949" w14:textId="77777777" w:rsidR="00CB6D91" w:rsidRPr="005E779E" w:rsidRDefault="00CB6D91"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8,08</w:t>
            </w:r>
          </w:p>
        </w:tc>
        <w:tc>
          <w:tcPr>
            <w:tcW w:w="2221" w:type="dxa"/>
            <w:tcBorders>
              <w:top w:val="single" w:sz="6" w:space="0" w:color="auto"/>
              <w:left w:val="single" w:sz="6" w:space="0" w:color="auto"/>
              <w:bottom w:val="single" w:sz="6" w:space="0" w:color="auto"/>
              <w:right w:val="single" w:sz="6" w:space="0" w:color="auto"/>
            </w:tcBorders>
            <w:shd w:val="clear" w:color="auto" w:fill="FFFFFF"/>
          </w:tcPr>
          <w:p w14:paraId="3A520A1F" w14:textId="77777777" w:rsidR="00CB6D91" w:rsidRPr="005E779E" w:rsidRDefault="00CB6D91"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6,95</w:t>
            </w:r>
          </w:p>
        </w:tc>
      </w:tr>
      <w:tr w:rsidR="001002C3" w:rsidRPr="005E779E" w14:paraId="343978AD" w14:textId="77777777" w:rsidTr="004F5DFE">
        <w:trPr>
          <w:trHeight w:val="241"/>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58431473" w14:textId="77777777" w:rsidR="00CB6D91" w:rsidRPr="005E779E" w:rsidRDefault="00CB6D91"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Высота в линии полета (м)</w:t>
            </w:r>
          </w:p>
        </w:tc>
        <w:tc>
          <w:tcPr>
            <w:tcW w:w="2214" w:type="dxa"/>
            <w:tcBorders>
              <w:top w:val="single" w:sz="6" w:space="0" w:color="auto"/>
              <w:left w:val="single" w:sz="6" w:space="0" w:color="auto"/>
              <w:bottom w:val="single" w:sz="6" w:space="0" w:color="auto"/>
              <w:right w:val="single" w:sz="6" w:space="0" w:color="auto"/>
            </w:tcBorders>
            <w:shd w:val="clear" w:color="auto" w:fill="FFFFFF"/>
          </w:tcPr>
          <w:p w14:paraId="207453A0" w14:textId="77777777" w:rsidR="00CB6D91" w:rsidRPr="005E779E" w:rsidRDefault="00CB6D91"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3,360</w:t>
            </w:r>
          </w:p>
        </w:tc>
        <w:tc>
          <w:tcPr>
            <w:tcW w:w="2221" w:type="dxa"/>
            <w:tcBorders>
              <w:top w:val="single" w:sz="6" w:space="0" w:color="auto"/>
              <w:left w:val="single" w:sz="6" w:space="0" w:color="auto"/>
              <w:bottom w:val="single" w:sz="6" w:space="0" w:color="auto"/>
              <w:right w:val="single" w:sz="6" w:space="0" w:color="auto"/>
            </w:tcBorders>
            <w:shd w:val="clear" w:color="auto" w:fill="FFFFFF"/>
          </w:tcPr>
          <w:p w14:paraId="29B8DE6B" w14:textId="77777777" w:rsidR="00CB6D91" w:rsidRPr="005E779E" w:rsidRDefault="00CB6D91"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3,100</w:t>
            </w:r>
          </w:p>
        </w:tc>
      </w:tr>
      <w:tr w:rsidR="001002C3" w:rsidRPr="005E779E" w14:paraId="609A1C51" w14:textId="77777777" w:rsidTr="004F5DFE">
        <w:trPr>
          <w:trHeight w:val="241"/>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1BD75B78" w14:textId="77777777" w:rsidR="00CB6D91" w:rsidRPr="005E779E" w:rsidRDefault="00CB6D91"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Размах верхнего крыла (м)</w:t>
            </w:r>
          </w:p>
        </w:tc>
        <w:tc>
          <w:tcPr>
            <w:tcW w:w="2214" w:type="dxa"/>
            <w:tcBorders>
              <w:top w:val="single" w:sz="6" w:space="0" w:color="auto"/>
              <w:left w:val="single" w:sz="6" w:space="0" w:color="auto"/>
              <w:bottom w:val="single" w:sz="6" w:space="0" w:color="auto"/>
              <w:right w:val="single" w:sz="6" w:space="0" w:color="auto"/>
            </w:tcBorders>
            <w:shd w:val="clear" w:color="auto" w:fill="FFFFFF"/>
          </w:tcPr>
          <w:p w14:paraId="2FDCBD2C" w14:textId="77777777" w:rsidR="00CB6D91" w:rsidRPr="005E779E" w:rsidRDefault="00CB6D91"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11,080</w:t>
            </w:r>
          </w:p>
        </w:tc>
        <w:tc>
          <w:tcPr>
            <w:tcW w:w="2221" w:type="dxa"/>
            <w:tcBorders>
              <w:top w:val="single" w:sz="6" w:space="0" w:color="auto"/>
              <w:left w:val="single" w:sz="6" w:space="0" w:color="auto"/>
              <w:bottom w:val="single" w:sz="6" w:space="0" w:color="auto"/>
              <w:right w:val="single" w:sz="6" w:space="0" w:color="auto"/>
            </w:tcBorders>
            <w:shd w:val="clear" w:color="auto" w:fill="FFFFFF"/>
          </w:tcPr>
          <w:p w14:paraId="42520BC3" w14:textId="77777777" w:rsidR="00CB6D91" w:rsidRPr="005E779E" w:rsidRDefault="00CB6D91"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w:t>
            </w:r>
          </w:p>
        </w:tc>
      </w:tr>
      <w:tr w:rsidR="001002C3" w:rsidRPr="005E779E" w14:paraId="05313627" w14:textId="77777777" w:rsidTr="004F5DFE">
        <w:trPr>
          <w:trHeight w:val="248"/>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133D3F86" w14:textId="77777777" w:rsidR="00CB6D91" w:rsidRPr="005E779E" w:rsidRDefault="00CB6D91"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Размах нижнего крыла (м)</w:t>
            </w:r>
          </w:p>
        </w:tc>
        <w:tc>
          <w:tcPr>
            <w:tcW w:w="2214" w:type="dxa"/>
            <w:tcBorders>
              <w:top w:val="single" w:sz="6" w:space="0" w:color="auto"/>
              <w:left w:val="single" w:sz="6" w:space="0" w:color="auto"/>
              <w:bottom w:val="single" w:sz="6" w:space="0" w:color="auto"/>
              <w:right w:val="single" w:sz="6" w:space="0" w:color="auto"/>
            </w:tcBorders>
            <w:shd w:val="clear" w:color="auto" w:fill="FFFFFF"/>
          </w:tcPr>
          <w:p w14:paraId="2FBAA0F7" w14:textId="77777777" w:rsidR="00CB6D91" w:rsidRPr="005E779E" w:rsidRDefault="00CB6D91"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9,0</w:t>
            </w:r>
          </w:p>
        </w:tc>
        <w:tc>
          <w:tcPr>
            <w:tcW w:w="2221" w:type="dxa"/>
            <w:tcBorders>
              <w:top w:val="single" w:sz="6" w:space="0" w:color="auto"/>
              <w:left w:val="single" w:sz="6" w:space="0" w:color="auto"/>
              <w:bottom w:val="single" w:sz="6" w:space="0" w:color="auto"/>
              <w:right w:val="single" w:sz="6" w:space="0" w:color="auto"/>
            </w:tcBorders>
            <w:shd w:val="clear" w:color="auto" w:fill="FFFFFF"/>
          </w:tcPr>
          <w:p w14:paraId="25BE00CB" w14:textId="77777777" w:rsidR="00CB6D91" w:rsidRPr="005E779E" w:rsidRDefault="00CB6D91"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8,5</w:t>
            </w:r>
          </w:p>
        </w:tc>
      </w:tr>
      <w:tr w:rsidR="001002C3" w:rsidRPr="005E779E" w14:paraId="68E02A25" w14:textId="77777777" w:rsidTr="004F5DFE">
        <w:trPr>
          <w:trHeight w:val="245"/>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4BF737CE" w14:textId="77777777" w:rsidR="00CB6D91" w:rsidRPr="005E779E" w:rsidRDefault="00CB6D91"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Площадь крыльев (м</w:t>
            </w:r>
            <w:r w:rsidRPr="005E779E">
              <w:rPr>
                <w:rFonts w:ascii="Times New Roman" w:hAnsi="Times New Roman"/>
                <w:color w:val="000000" w:themeColor="text1"/>
                <w:sz w:val="16"/>
                <w:szCs w:val="16"/>
                <w:vertAlign w:val="superscript"/>
              </w:rPr>
              <w:t>:</w:t>
            </w:r>
            <w:r w:rsidRPr="005E779E">
              <w:rPr>
                <w:rFonts w:ascii="Times New Roman" w:hAnsi="Times New Roman"/>
                <w:color w:val="000000" w:themeColor="text1"/>
                <w:sz w:val="16"/>
                <w:szCs w:val="16"/>
              </w:rPr>
              <w:t>)</w:t>
            </w:r>
          </w:p>
        </w:tc>
        <w:tc>
          <w:tcPr>
            <w:tcW w:w="2214" w:type="dxa"/>
            <w:tcBorders>
              <w:top w:val="single" w:sz="6" w:space="0" w:color="auto"/>
              <w:left w:val="single" w:sz="6" w:space="0" w:color="auto"/>
              <w:bottom w:val="single" w:sz="6" w:space="0" w:color="auto"/>
              <w:right w:val="single" w:sz="6" w:space="0" w:color="auto"/>
            </w:tcBorders>
            <w:shd w:val="clear" w:color="auto" w:fill="FFFFFF"/>
          </w:tcPr>
          <w:p w14:paraId="6624B82B" w14:textId="77777777" w:rsidR="00CB6D91" w:rsidRPr="005E779E" w:rsidRDefault="00CB6D91"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27,86</w:t>
            </w:r>
          </w:p>
        </w:tc>
        <w:tc>
          <w:tcPr>
            <w:tcW w:w="2221" w:type="dxa"/>
            <w:tcBorders>
              <w:top w:val="single" w:sz="6" w:space="0" w:color="auto"/>
              <w:left w:val="single" w:sz="6" w:space="0" w:color="auto"/>
              <w:bottom w:val="single" w:sz="6" w:space="0" w:color="auto"/>
              <w:right w:val="single" w:sz="6" w:space="0" w:color="auto"/>
            </w:tcBorders>
            <w:shd w:val="clear" w:color="auto" w:fill="FFFFFF"/>
          </w:tcPr>
          <w:p w14:paraId="29BA3DC3" w14:textId="77777777" w:rsidR="00CB6D91" w:rsidRPr="005E779E" w:rsidRDefault="00CB6D91"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25,87</w:t>
            </w:r>
          </w:p>
        </w:tc>
      </w:tr>
      <w:tr w:rsidR="001002C3" w:rsidRPr="005E779E" w14:paraId="05260D48" w14:textId="77777777" w:rsidTr="004F5DFE">
        <w:trPr>
          <w:trHeight w:val="245"/>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7ABDB224" w14:textId="77777777" w:rsidR="00CB6D91" w:rsidRPr="005E779E" w:rsidRDefault="00CB6D91"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пустого (кг)</w:t>
            </w:r>
          </w:p>
        </w:tc>
        <w:tc>
          <w:tcPr>
            <w:tcW w:w="2214" w:type="dxa"/>
            <w:tcBorders>
              <w:top w:val="single" w:sz="6" w:space="0" w:color="auto"/>
              <w:left w:val="single" w:sz="6" w:space="0" w:color="auto"/>
              <w:bottom w:val="single" w:sz="6" w:space="0" w:color="auto"/>
              <w:right w:val="single" w:sz="6" w:space="0" w:color="auto"/>
            </w:tcBorders>
            <w:shd w:val="clear" w:color="auto" w:fill="FFFFFF"/>
          </w:tcPr>
          <w:p w14:paraId="5A681413" w14:textId="77777777" w:rsidR="00CB6D91" w:rsidRPr="005E779E" w:rsidRDefault="00CB6D91"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1403</w:t>
            </w:r>
          </w:p>
        </w:tc>
        <w:tc>
          <w:tcPr>
            <w:tcW w:w="2221" w:type="dxa"/>
            <w:tcBorders>
              <w:top w:val="single" w:sz="6" w:space="0" w:color="auto"/>
              <w:left w:val="single" w:sz="6" w:space="0" w:color="auto"/>
              <w:bottom w:val="single" w:sz="6" w:space="0" w:color="auto"/>
              <w:right w:val="single" w:sz="6" w:space="0" w:color="auto"/>
            </w:tcBorders>
            <w:shd w:val="clear" w:color="auto" w:fill="FFFFFF"/>
          </w:tcPr>
          <w:p w14:paraId="65D706A0" w14:textId="77777777" w:rsidR="00CB6D91" w:rsidRPr="005E779E" w:rsidRDefault="00CB6D91"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1419</w:t>
            </w:r>
          </w:p>
        </w:tc>
      </w:tr>
      <w:tr w:rsidR="001002C3" w:rsidRPr="005E779E" w14:paraId="6A655311" w14:textId="77777777" w:rsidTr="004F5DFE">
        <w:trPr>
          <w:trHeight w:val="241"/>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1FD83EE0" w14:textId="77777777" w:rsidR="00CB6D91" w:rsidRPr="005E779E" w:rsidRDefault="00CB6D91"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Полетный вес (кг)</w:t>
            </w:r>
          </w:p>
        </w:tc>
        <w:tc>
          <w:tcPr>
            <w:tcW w:w="2214" w:type="dxa"/>
            <w:tcBorders>
              <w:top w:val="single" w:sz="6" w:space="0" w:color="auto"/>
              <w:left w:val="single" w:sz="6" w:space="0" w:color="auto"/>
              <w:bottom w:val="single" w:sz="6" w:space="0" w:color="auto"/>
              <w:right w:val="single" w:sz="6" w:space="0" w:color="auto"/>
            </w:tcBorders>
            <w:shd w:val="clear" w:color="auto" w:fill="FFFFFF"/>
          </w:tcPr>
          <w:p w14:paraId="45F0E84C" w14:textId="77777777" w:rsidR="00CB6D91" w:rsidRPr="005E779E" w:rsidRDefault="00CB6D91"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1846</w:t>
            </w:r>
          </w:p>
        </w:tc>
        <w:tc>
          <w:tcPr>
            <w:tcW w:w="2221" w:type="dxa"/>
            <w:tcBorders>
              <w:top w:val="single" w:sz="6" w:space="0" w:color="auto"/>
              <w:left w:val="single" w:sz="6" w:space="0" w:color="auto"/>
              <w:bottom w:val="single" w:sz="6" w:space="0" w:color="auto"/>
              <w:right w:val="single" w:sz="6" w:space="0" w:color="auto"/>
            </w:tcBorders>
            <w:shd w:val="clear" w:color="auto" w:fill="FFFFFF"/>
          </w:tcPr>
          <w:p w14:paraId="460C8C0B" w14:textId="77777777" w:rsidR="00CB6D91" w:rsidRPr="005E779E" w:rsidRDefault="00CB6D91"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1792</w:t>
            </w:r>
          </w:p>
        </w:tc>
      </w:tr>
      <w:tr w:rsidR="001002C3" w:rsidRPr="005E779E" w14:paraId="3344F43D" w14:textId="77777777" w:rsidTr="004F5DFE">
        <w:trPr>
          <w:trHeight w:val="245"/>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4C30A18B" w14:textId="77777777" w:rsidR="00CB6D91" w:rsidRPr="005E779E" w:rsidRDefault="00CB6D91"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Нагрузка на крыло (кг/м</w:t>
            </w:r>
            <w:r w:rsidRPr="005E779E">
              <w:rPr>
                <w:rFonts w:ascii="Times New Roman" w:hAnsi="Times New Roman"/>
                <w:color w:val="000000" w:themeColor="text1"/>
                <w:sz w:val="16"/>
                <w:szCs w:val="16"/>
                <w:vertAlign w:val="superscript"/>
              </w:rPr>
              <w:t>2</w:t>
            </w:r>
            <w:r w:rsidRPr="005E779E">
              <w:rPr>
                <w:rFonts w:ascii="Times New Roman" w:hAnsi="Times New Roman"/>
                <w:color w:val="000000" w:themeColor="text1"/>
                <w:sz w:val="16"/>
                <w:szCs w:val="16"/>
              </w:rPr>
              <w:t>)</w:t>
            </w:r>
          </w:p>
        </w:tc>
        <w:tc>
          <w:tcPr>
            <w:tcW w:w="2214" w:type="dxa"/>
            <w:tcBorders>
              <w:top w:val="single" w:sz="6" w:space="0" w:color="auto"/>
              <w:left w:val="single" w:sz="6" w:space="0" w:color="auto"/>
              <w:bottom w:val="single" w:sz="6" w:space="0" w:color="auto"/>
              <w:right w:val="single" w:sz="6" w:space="0" w:color="auto"/>
            </w:tcBorders>
            <w:shd w:val="clear" w:color="auto" w:fill="FFFFFF"/>
          </w:tcPr>
          <w:p w14:paraId="00B240B2" w14:textId="77777777" w:rsidR="00CB6D91" w:rsidRPr="005E779E" w:rsidRDefault="00CB6D91"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67,4»</w:t>
            </w:r>
          </w:p>
        </w:tc>
        <w:tc>
          <w:tcPr>
            <w:tcW w:w="2221" w:type="dxa"/>
            <w:tcBorders>
              <w:top w:val="single" w:sz="6" w:space="0" w:color="auto"/>
              <w:left w:val="single" w:sz="6" w:space="0" w:color="auto"/>
              <w:bottom w:val="single" w:sz="6" w:space="0" w:color="auto"/>
              <w:right w:val="single" w:sz="6" w:space="0" w:color="auto"/>
            </w:tcBorders>
            <w:shd w:val="clear" w:color="auto" w:fill="FFFFFF"/>
          </w:tcPr>
          <w:p w14:paraId="51688F0E" w14:textId="77777777" w:rsidR="00CB6D91" w:rsidRPr="005E779E" w:rsidRDefault="00CB6D91"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69,3</w:t>
            </w:r>
          </w:p>
        </w:tc>
      </w:tr>
      <w:tr w:rsidR="001002C3" w:rsidRPr="005E779E" w14:paraId="0AD5DE90" w14:textId="77777777" w:rsidTr="004F5DFE">
        <w:trPr>
          <w:trHeight w:val="245"/>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775A9987" w14:textId="77777777" w:rsidR="00CB6D91" w:rsidRPr="005E779E" w:rsidRDefault="00CB6D91"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Скорость у земли (км/ч)</w:t>
            </w:r>
          </w:p>
        </w:tc>
        <w:tc>
          <w:tcPr>
            <w:tcW w:w="2214" w:type="dxa"/>
            <w:tcBorders>
              <w:top w:val="single" w:sz="6" w:space="0" w:color="auto"/>
              <w:left w:val="single" w:sz="6" w:space="0" w:color="auto"/>
              <w:bottom w:val="single" w:sz="6" w:space="0" w:color="auto"/>
              <w:right w:val="single" w:sz="6" w:space="0" w:color="auto"/>
            </w:tcBorders>
            <w:shd w:val="clear" w:color="auto" w:fill="FFFFFF"/>
          </w:tcPr>
          <w:p w14:paraId="69C0DA49" w14:textId="77777777" w:rsidR="00CB6D91" w:rsidRPr="005E779E" w:rsidRDefault="00CB6D91"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283</w:t>
            </w:r>
          </w:p>
        </w:tc>
        <w:tc>
          <w:tcPr>
            <w:tcW w:w="2221" w:type="dxa"/>
            <w:tcBorders>
              <w:top w:val="single" w:sz="6" w:space="0" w:color="auto"/>
              <w:left w:val="single" w:sz="6" w:space="0" w:color="auto"/>
              <w:bottom w:val="single" w:sz="6" w:space="0" w:color="auto"/>
              <w:right w:val="single" w:sz="6" w:space="0" w:color="auto"/>
            </w:tcBorders>
            <w:shd w:val="clear" w:color="auto" w:fill="FFFFFF"/>
          </w:tcPr>
          <w:p w14:paraId="2683014E" w14:textId="77777777" w:rsidR="00CB6D91" w:rsidRPr="005E779E" w:rsidRDefault="00CB6D91"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291</w:t>
            </w:r>
          </w:p>
        </w:tc>
      </w:tr>
      <w:tr w:rsidR="001002C3" w:rsidRPr="005E779E" w14:paraId="42D86600" w14:textId="77777777" w:rsidTr="004F5DFE">
        <w:trPr>
          <w:trHeight w:val="245"/>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49C7E9E4" w14:textId="77777777" w:rsidR="00CB6D91" w:rsidRPr="005E779E" w:rsidRDefault="00CB6D91"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Скорость на 2000-3000 м (км/ч)</w:t>
            </w:r>
          </w:p>
        </w:tc>
        <w:tc>
          <w:tcPr>
            <w:tcW w:w="2214" w:type="dxa"/>
            <w:tcBorders>
              <w:top w:val="single" w:sz="6" w:space="0" w:color="auto"/>
              <w:left w:val="single" w:sz="6" w:space="0" w:color="auto"/>
              <w:bottom w:val="single" w:sz="6" w:space="0" w:color="auto"/>
              <w:right w:val="single" w:sz="6" w:space="0" w:color="auto"/>
            </w:tcBorders>
            <w:shd w:val="clear" w:color="auto" w:fill="FFFFFF"/>
          </w:tcPr>
          <w:p w14:paraId="1564B6C8" w14:textId="77777777" w:rsidR="00CB6D91" w:rsidRPr="005E779E" w:rsidRDefault="00CB6D91"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276</w:t>
            </w:r>
          </w:p>
        </w:tc>
        <w:tc>
          <w:tcPr>
            <w:tcW w:w="2221" w:type="dxa"/>
            <w:tcBorders>
              <w:top w:val="single" w:sz="6" w:space="0" w:color="auto"/>
              <w:left w:val="single" w:sz="6" w:space="0" w:color="auto"/>
              <w:bottom w:val="single" w:sz="6" w:space="0" w:color="auto"/>
              <w:right w:val="single" w:sz="6" w:space="0" w:color="auto"/>
            </w:tcBorders>
            <w:shd w:val="clear" w:color="auto" w:fill="FFFFFF"/>
          </w:tcPr>
          <w:p w14:paraId="53C4E029" w14:textId="77777777" w:rsidR="00CB6D91" w:rsidRPr="005E779E" w:rsidRDefault="00CB6D91"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286</w:t>
            </w:r>
          </w:p>
        </w:tc>
      </w:tr>
      <w:tr w:rsidR="001002C3" w:rsidRPr="005E779E" w14:paraId="1988FBFB" w14:textId="77777777" w:rsidTr="004F5DFE">
        <w:trPr>
          <w:trHeight w:val="245"/>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02CDF76E" w14:textId="77777777" w:rsidR="00CB6D91" w:rsidRPr="005E779E" w:rsidRDefault="00CB6D91"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набора 5000 м (мин.)</w:t>
            </w:r>
          </w:p>
        </w:tc>
        <w:tc>
          <w:tcPr>
            <w:tcW w:w="2214" w:type="dxa"/>
            <w:tcBorders>
              <w:top w:val="single" w:sz="6" w:space="0" w:color="auto"/>
              <w:left w:val="single" w:sz="6" w:space="0" w:color="auto"/>
              <w:bottom w:val="single" w:sz="6" w:space="0" w:color="auto"/>
              <w:right w:val="single" w:sz="6" w:space="0" w:color="auto"/>
            </w:tcBorders>
            <w:shd w:val="clear" w:color="auto" w:fill="FFFFFF"/>
          </w:tcPr>
          <w:p w14:paraId="3299D9E1" w14:textId="77777777" w:rsidR="00CB6D91" w:rsidRPr="005E779E" w:rsidRDefault="00CB6D91"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10,2</w:t>
            </w:r>
          </w:p>
        </w:tc>
        <w:tc>
          <w:tcPr>
            <w:tcW w:w="2221" w:type="dxa"/>
            <w:tcBorders>
              <w:top w:val="single" w:sz="6" w:space="0" w:color="auto"/>
              <w:left w:val="single" w:sz="6" w:space="0" w:color="auto"/>
              <w:bottom w:val="single" w:sz="6" w:space="0" w:color="auto"/>
              <w:right w:val="single" w:sz="6" w:space="0" w:color="auto"/>
            </w:tcBorders>
            <w:shd w:val="clear" w:color="auto" w:fill="FFFFFF"/>
          </w:tcPr>
          <w:p w14:paraId="534858F1" w14:textId="77777777" w:rsidR="00CB6D91" w:rsidRPr="005E779E" w:rsidRDefault="00CB6D91"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11,4</w:t>
            </w:r>
          </w:p>
        </w:tc>
      </w:tr>
      <w:tr w:rsidR="001002C3" w:rsidRPr="005E779E" w14:paraId="697E5154" w14:textId="77777777" w:rsidTr="004F5DFE">
        <w:trPr>
          <w:trHeight w:val="263"/>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37378B46" w14:textId="77777777" w:rsidR="00CB6D91" w:rsidRPr="005E779E" w:rsidRDefault="00CB6D91"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виража (сек.)</w:t>
            </w:r>
          </w:p>
        </w:tc>
        <w:tc>
          <w:tcPr>
            <w:tcW w:w="2214" w:type="dxa"/>
            <w:tcBorders>
              <w:top w:val="single" w:sz="6" w:space="0" w:color="auto"/>
              <w:left w:val="single" w:sz="6" w:space="0" w:color="auto"/>
              <w:bottom w:val="single" w:sz="6" w:space="0" w:color="auto"/>
              <w:right w:val="single" w:sz="6" w:space="0" w:color="auto"/>
            </w:tcBorders>
            <w:shd w:val="clear" w:color="auto" w:fill="FFFFFF"/>
          </w:tcPr>
          <w:p w14:paraId="68E6D405" w14:textId="77777777" w:rsidR="00CB6D91" w:rsidRPr="005E779E" w:rsidRDefault="00CB6D91"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11,35</w:t>
            </w:r>
          </w:p>
        </w:tc>
        <w:tc>
          <w:tcPr>
            <w:tcW w:w="2221" w:type="dxa"/>
            <w:tcBorders>
              <w:top w:val="single" w:sz="6" w:space="0" w:color="auto"/>
              <w:left w:val="single" w:sz="6" w:space="0" w:color="auto"/>
              <w:bottom w:val="single" w:sz="6" w:space="0" w:color="auto"/>
              <w:right w:val="single" w:sz="6" w:space="0" w:color="auto"/>
            </w:tcBorders>
            <w:shd w:val="clear" w:color="auto" w:fill="FFFFFF"/>
          </w:tcPr>
          <w:p w14:paraId="7A60AA9D" w14:textId="77777777" w:rsidR="00CB6D91" w:rsidRPr="005E779E" w:rsidRDefault="00CB6D91" w:rsidP="000B7A6C">
            <w:pPr>
              <w:pStyle w:val="130"/>
              <w:shd w:val="clear" w:color="auto" w:fill="auto"/>
              <w:spacing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12,0</w:t>
            </w:r>
          </w:p>
        </w:tc>
      </w:tr>
    </w:tbl>
    <w:p w14:paraId="2E02ECF1" w14:textId="77777777" w:rsidR="00CB6D91" w:rsidRPr="005E779E" w:rsidRDefault="00CB6D9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Согласно технического описания 1931 г. По приведенным значениям нагрузка на крыш равняется 66.3 кг/м (12295).</w:t>
      </w:r>
    </w:p>
    <w:p w14:paraId="4148A2D5" w14:textId="77777777" w:rsidR="00CB6D91" w:rsidRPr="005E779E" w:rsidRDefault="00CB6D91" w:rsidP="000B7A6C">
      <w:pPr>
        <w:spacing w:after="0" w:line="240" w:lineRule="auto"/>
        <w:jc w:val="both"/>
        <w:rPr>
          <w:rFonts w:ascii="Times New Roman" w:hAnsi="Times New Roman"/>
          <w:color w:val="000000" w:themeColor="text1"/>
          <w:sz w:val="16"/>
          <w:szCs w:val="16"/>
        </w:rPr>
      </w:pPr>
    </w:p>
    <w:p w14:paraId="69B03AB9" w14:textId="77777777" w:rsidR="00B26A86" w:rsidRPr="005E779E" w:rsidRDefault="00B26A8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20 ноября 1931 после ряда корректиро</w:t>
      </w:r>
      <w:r w:rsidRPr="005E779E">
        <w:rPr>
          <w:rFonts w:ascii="Times New Roman" w:hAnsi="Times New Roman"/>
          <w:color w:val="000000" w:themeColor="text1"/>
          <w:sz w:val="16"/>
          <w:szCs w:val="16"/>
          <w:lang w:eastAsia="ru-RU" w:bidi="ru-RU"/>
        </w:rPr>
        <w:softHyphen/>
        <w:t>вок план опытного самолетостроения на 1932-34 гг. все же утвердили. В план вошли самолеты ТШ-2 с М-27 и М-34, ТШ-3 с М-34 и ЛШ-4 с М-22.</w:t>
      </w:r>
    </w:p>
    <w:p w14:paraId="28C9B7B4" w14:textId="77777777" w:rsidR="00B26A86" w:rsidRPr="005E779E" w:rsidRDefault="00B26A8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Согласно производственной про</w:t>
      </w:r>
      <w:r w:rsidRPr="005E779E">
        <w:rPr>
          <w:rFonts w:ascii="Times New Roman" w:hAnsi="Times New Roman"/>
          <w:color w:val="000000" w:themeColor="text1"/>
          <w:sz w:val="16"/>
          <w:szCs w:val="16"/>
          <w:lang w:eastAsia="ru-RU" w:bidi="ru-RU"/>
        </w:rPr>
        <w:softHyphen/>
        <w:t>грамме завод №16 до апреля 1932 г. дол</w:t>
      </w:r>
      <w:r w:rsidRPr="005E779E">
        <w:rPr>
          <w:rFonts w:ascii="Times New Roman" w:hAnsi="Times New Roman"/>
          <w:color w:val="000000" w:themeColor="text1"/>
          <w:sz w:val="16"/>
          <w:szCs w:val="16"/>
          <w:lang w:eastAsia="ru-RU" w:bidi="ru-RU"/>
        </w:rPr>
        <w:softHyphen/>
        <w:t>жен был изготовить 70 серийных само</w:t>
      </w:r>
      <w:r w:rsidRPr="005E779E">
        <w:rPr>
          <w:rFonts w:ascii="Times New Roman" w:hAnsi="Times New Roman"/>
          <w:color w:val="000000" w:themeColor="text1"/>
          <w:sz w:val="16"/>
          <w:szCs w:val="16"/>
          <w:lang w:eastAsia="ru-RU" w:bidi="ru-RU"/>
        </w:rPr>
        <w:softHyphen/>
        <w:t>летов ТШ-2, в том числе: 6 машин - под гранатницу, 9 - под пульбатарею, 6 - под бомбодержатели, 25 - под пульбатарею и бомбодержатели, 24 самолета - под гра- натницу и пульбатарею.</w:t>
      </w:r>
    </w:p>
    <w:p w14:paraId="5D994ED4" w14:textId="77777777" w:rsidR="00B26A86" w:rsidRPr="005E779E" w:rsidRDefault="00B26A86" w:rsidP="000B7A6C">
      <w:pPr>
        <w:spacing w:after="0" w:line="240" w:lineRule="auto"/>
        <w:jc w:val="both"/>
        <w:rPr>
          <w:rFonts w:ascii="Times New Roman" w:hAnsi="Times New Roman"/>
          <w:color w:val="000000" w:themeColor="text1"/>
          <w:sz w:val="16"/>
          <w:szCs w:val="16"/>
          <w:lang w:eastAsia="ru-RU" w:bidi="ru-RU"/>
        </w:rPr>
      </w:pPr>
      <w:r w:rsidRPr="005E779E">
        <w:rPr>
          <w:rFonts w:ascii="Times New Roman" w:hAnsi="Times New Roman"/>
          <w:color w:val="000000" w:themeColor="text1"/>
          <w:sz w:val="16"/>
          <w:szCs w:val="16"/>
          <w:lang w:eastAsia="ru-RU" w:bidi="ru-RU"/>
        </w:rPr>
        <w:t>Предполагалось на заказанных ВВС самолетах ТШ-2 установить тормозные колеса шасси, разрезное крыло и макси</w:t>
      </w:r>
      <w:r w:rsidRPr="005E779E">
        <w:rPr>
          <w:rFonts w:ascii="Times New Roman" w:hAnsi="Times New Roman"/>
          <w:color w:val="000000" w:themeColor="text1"/>
          <w:sz w:val="16"/>
          <w:szCs w:val="16"/>
          <w:lang w:eastAsia="ru-RU" w:bidi="ru-RU"/>
        </w:rPr>
        <w:softHyphen/>
        <w:t>мально их облегчить (21062).</w:t>
      </w:r>
    </w:p>
    <w:p w14:paraId="5D71FE12" w14:textId="77777777" w:rsidR="00B26A86" w:rsidRPr="005E779E" w:rsidRDefault="00B26A86" w:rsidP="000B7A6C">
      <w:pPr>
        <w:spacing w:after="0" w:line="240" w:lineRule="auto"/>
        <w:jc w:val="both"/>
        <w:rPr>
          <w:rFonts w:ascii="Times New Roman" w:hAnsi="Times New Roman"/>
          <w:color w:val="000000" w:themeColor="text1"/>
          <w:sz w:val="16"/>
          <w:szCs w:val="16"/>
        </w:rPr>
      </w:pPr>
    </w:p>
    <w:p w14:paraId="1A9B91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ноября 1931 Нач. ВВС Я.И.Алкснис подписал План опытного строительство по моторам и самолетам на 1932-1934 ВВС РККА (351).</w:t>
      </w:r>
    </w:p>
    <w:p w14:paraId="5D2CD0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ПЛАН ОПЫТНОГО СТРОИТЕЛЬСТВА ПО МОТОРАМ И САМОЛЕТАМ НА 1932/34 гг.</w:t>
      </w:r>
    </w:p>
    <w:p w14:paraId="1B499F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МОТОРЫ</w:t>
      </w:r>
    </w:p>
    <w:p w14:paraId="728212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Новые опытные моторы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1525"/>
        <w:gridCol w:w="1525"/>
        <w:gridCol w:w="1525"/>
        <w:gridCol w:w="1525"/>
        <w:gridCol w:w="1525"/>
        <w:gridCol w:w="1525"/>
        <w:gridCol w:w="1525"/>
      </w:tblGrid>
      <w:tr w:rsidR="001002C3" w:rsidRPr="005E779E" w14:paraId="3F5B6372" w14:textId="77777777">
        <w:tc>
          <w:tcPr>
            <w:tcW w:w="534" w:type="dxa"/>
            <w:tcBorders>
              <w:top w:val="single" w:sz="12" w:space="0" w:color="auto"/>
            </w:tcBorders>
          </w:tcPr>
          <w:p w14:paraId="0317B6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п/п</w:t>
            </w:r>
          </w:p>
        </w:tc>
        <w:tc>
          <w:tcPr>
            <w:tcW w:w="1525" w:type="dxa"/>
            <w:tcBorders>
              <w:top w:val="single" w:sz="12" w:space="0" w:color="auto"/>
            </w:tcBorders>
          </w:tcPr>
          <w:p w14:paraId="3FB7EA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Марка мотора</w:t>
            </w:r>
          </w:p>
        </w:tc>
        <w:tc>
          <w:tcPr>
            <w:tcW w:w="1525" w:type="dxa"/>
            <w:tcBorders>
              <w:top w:val="single" w:sz="12" w:space="0" w:color="auto"/>
            </w:tcBorders>
          </w:tcPr>
          <w:p w14:paraId="0DBD58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Охлаждение</w:t>
            </w:r>
          </w:p>
        </w:tc>
        <w:tc>
          <w:tcPr>
            <w:tcW w:w="1525" w:type="dxa"/>
            <w:tcBorders>
              <w:top w:val="single" w:sz="12" w:space="0" w:color="auto"/>
            </w:tcBorders>
          </w:tcPr>
          <w:p w14:paraId="33F815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Мощность в л.с.</w:t>
            </w:r>
          </w:p>
        </w:tc>
        <w:tc>
          <w:tcPr>
            <w:tcW w:w="1525" w:type="dxa"/>
            <w:tcBorders>
              <w:top w:val="single" w:sz="12" w:space="0" w:color="auto"/>
            </w:tcBorders>
          </w:tcPr>
          <w:p w14:paraId="4F6C8F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в кг</w:t>
            </w:r>
          </w:p>
        </w:tc>
        <w:tc>
          <w:tcPr>
            <w:tcW w:w="1525" w:type="dxa"/>
            <w:tcBorders>
              <w:top w:val="single" w:sz="12" w:space="0" w:color="auto"/>
            </w:tcBorders>
          </w:tcPr>
          <w:p w14:paraId="12DAC8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Высотность в м</w:t>
            </w:r>
          </w:p>
        </w:tc>
        <w:tc>
          <w:tcPr>
            <w:tcW w:w="1525" w:type="dxa"/>
            <w:tcBorders>
              <w:top w:val="single" w:sz="12" w:space="0" w:color="auto"/>
            </w:tcBorders>
          </w:tcPr>
          <w:p w14:paraId="6E42EA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Срок между переборками</w:t>
            </w:r>
          </w:p>
        </w:tc>
        <w:tc>
          <w:tcPr>
            <w:tcW w:w="1525" w:type="dxa"/>
            <w:tcBorders>
              <w:top w:val="single" w:sz="12" w:space="0" w:color="auto"/>
            </w:tcBorders>
          </w:tcPr>
          <w:p w14:paraId="183835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Расход горючего</w:t>
            </w:r>
          </w:p>
        </w:tc>
      </w:tr>
      <w:tr w:rsidR="001002C3" w:rsidRPr="005E779E" w14:paraId="79D4CDD6" w14:textId="77777777">
        <w:tc>
          <w:tcPr>
            <w:tcW w:w="534" w:type="dxa"/>
          </w:tcPr>
          <w:p w14:paraId="3002DD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1525" w:type="dxa"/>
          </w:tcPr>
          <w:p w14:paraId="78EC4C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М-35</w:t>
            </w:r>
          </w:p>
        </w:tc>
        <w:tc>
          <w:tcPr>
            <w:tcW w:w="1525" w:type="dxa"/>
          </w:tcPr>
          <w:p w14:paraId="1C5046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Водяное</w:t>
            </w:r>
          </w:p>
        </w:tc>
        <w:tc>
          <w:tcPr>
            <w:tcW w:w="1525" w:type="dxa"/>
          </w:tcPr>
          <w:p w14:paraId="4E9F9A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1200-1500</w:t>
            </w:r>
          </w:p>
        </w:tc>
        <w:tc>
          <w:tcPr>
            <w:tcW w:w="1525" w:type="dxa"/>
          </w:tcPr>
          <w:p w14:paraId="5BF0A5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800</w:t>
            </w:r>
          </w:p>
        </w:tc>
        <w:tc>
          <w:tcPr>
            <w:tcW w:w="1525" w:type="dxa"/>
          </w:tcPr>
          <w:p w14:paraId="39FB3B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525" w:type="dxa"/>
          </w:tcPr>
          <w:p w14:paraId="762681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250</w:t>
            </w:r>
          </w:p>
        </w:tc>
        <w:tc>
          <w:tcPr>
            <w:tcW w:w="1525" w:type="dxa"/>
          </w:tcPr>
          <w:p w14:paraId="3E5264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9535858" w14:textId="77777777">
        <w:tc>
          <w:tcPr>
            <w:tcW w:w="534" w:type="dxa"/>
          </w:tcPr>
          <w:p w14:paraId="73E994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1525" w:type="dxa"/>
          </w:tcPr>
          <w:p w14:paraId="62FCC6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М-38</w:t>
            </w:r>
          </w:p>
        </w:tc>
        <w:tc>
          <w:tcPr>
            <w:tcW w:w="1525" w:type="dxa"/>
          </w:tcPr>
          <w:p w14:paraId="16633E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Воздушное</w:t>
            </w:r>
          </w:p>
        </w:tc>
        <w:tc>
          <w:tcPr>
            <w:tcW w:w="1525" w:type="dxa"/>
          </w:tcPr>
          <w:p w14:paraId="785CC0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w:t>
            </w:r>
          </w:p>
        </w:tc>
        <w:tc>
          <w:tcPr>
            <w:tcW w:w="1525" w:type="dxa"/>
          </w:tcPr>
          <w:p w14:paraId="19535B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400</w:t>
            </w:r>
          </w:p>
        </w:tc>
        <w:tc>
          <w:tcPr>
            <w:tcW w:w="1525" w:type="dxa"/>
          </w:tcPr>
          <w:p w14:paraId="2DF98A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525" w:type="dxa"/>
          </w:tcPr>
          <w:p w14:paraId="594ECB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w:t>
            </w:r>
          </w:p>
        </w:tc>
        <w:tc>
          <w:tcPr>
            <w:tcW w:w="1525" w:type="dxa"/>
          </w:tcPr>
          <w:p w14:paraId="3ED4EB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4D3A36B" w14:textId="77777777">
        <w:tc>
          <w:tcPr>
            <w:tcW w:w="534" w:type="dxa"/>
          </w:tcPr>
          <w:p w14:paraId="5D70CF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tc>
        <w:tc>
          <w:tcPr>
            <w:tcW w:w="1525" w:type="dxa"/>
          </w:tcPr>
          <w:p w14:paraId="4BC24B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М-44</w:t>
            </w:r>
          </w:p>
        </w:tc>
        <w:tc>
          <w:tcPr>
            <w:tcW w:w="1525" w:type="dxa"/>
          </w:tcPr>
          <w:p w14:paraId="77D959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Водяное</w:t>
            </w:r>
          </w:p>
        </w:tc>
        <w:tc>
          <w:tcPr>
            <w:tcW w:w="1525" w:type="dxa"/>
          </w:tcPr>
          <w:p w14:paraId="684C93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2000</w:t>
            </w:r>
          </w:p>
        </w:tc>
        <w:tc>
          <w:tcPr>
            <w:tcW w:w="1525" w:type="dxa"/>
          </w:tcPr>
          <w:p w14:paraId="5CB6AD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1500</w:t>
            </w:r>
          </w:p>
        </w:tc>
        <w:tc>
          <w:tcPr>
            <w:tcW w:w="1525" w:type="dxa"/>
          </w:tcPr>
          <w:p w14:paraId="673132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3500</w:t>
            </w:r>
          </w:p>
        </w:tc>
        <w:tc>
          <w:tcPr>
            <w:tcW w:w="1525" w:type="dxa"/>
          </w:tcPr>
          <w:p w14:paraId="657750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w:t>
            </w:r>
          </w:p>
        </w:tc>
        <w:tc>
          <w:tcPr>
            <w:tcW w:w="1525" w:type="dxa"/>
          </w:tcPr>
          <w:p w14:paraId="2D58DA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56DC88B" w14:textId="77777777">
        <w:tc>
          <w:tcPr>
            <w:tcW w:w="534" w:type="dxa"/>
          </w:tcPr>
          <w:p w14:paraId="06311A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w:t>
            </w:r>
          </w:p>
        </w:tc>
        <w:tc>
          <w:tcPr>
            <w:tcW w:w="1525" w:type="dxa"/>
          </w:tcPr>
          <w:p w14:paraId="24C84B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М-32</w:t>
            </w:r>
          </w:p>
        </w:tc>
        <w:tc>
          <w:tcPr>
            <w:tcW w:w="1525" w:type="dxa"/>
          </w:tcPr>
          <w:p w14:paraId="331400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Водяное</w:t>
            </w:r>
          </w:p>
        </w:tc>
        <w:tc>
          <w:tcPr>
            <w:tcW w:w="1525" w:type="dxa"/>
          </w:tcPr>
          <w:p w14:paraId="21511D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w:t>
            </w:r>
          </w:p>
        </w:tc>
        <w:tc>
          <w:tcPr>
            <w:tcW w:w="1525" w:type="dxa"/>
          </w:tcPr>
          <w:p w14:paraId="3FE869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450</w:t>
            </w:r>
          </w:p>
        </w:tc>
        <w:tc>
          <w:tcPr>
            <w:tcW w:w="1525" w:type="dxa"/>
          </w:tcPr>
          <w:p w14:paraId="52323E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525" w:type="dxa"/>
          </w:tcPr>
          <w:p w14:paraId="6CA1AC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w:t>
            </w:r>
          </w:p>
        </w:tc>
        <w:tc>
          <w:tcPr>
            <w:tcW w:w="1525" w:type="dxa"/>
          </w:tcPr>
          <w:p w14:paraId="11542D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28F1E26" w14:textId="77777777">
        <w:tc>
          <w:tcPr>
            <w:tcW w:w="534" w:type="dxa"/>
          </w:tcPr>
          <w:p w14:paraId="3FB369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w:t>
            </w:r>
          </w:p>
        </w:tc>
        <w:tc>
          <w:tcPr>
            <w:tcW w:w="1525" w:type="dxa"/>
          </w:tcPr>
          <w:p w14:paraId="60EC71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М-53</w:t>
            </w:r>
          </w:p>
        </w:tc>
        <w:tc>
          <w:tcPr>
            <w:tcW w:w="1525" w:type="dxa"/>
          </w:tcPr>
          <w:p w14:paraId="69C7F6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Водяное</w:t>
            </w:r>
          </w:p>
        </w:tc>
        <w:tc>
          <w:tcPr>
            <w:tcW w:w="1525" w:type="dxa"/>
          </w:tcPr>
          <w:p w14:paraId="37383F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525" w:type="dxa"/>
          </w:tcPr>
          <w:p w14:paraId="03F449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2200</w:t>
            </w:r>
          </w:p>
        </w:tc>
        <w:tc>
          <w:tcPr>
            <w:tcW w:w="1525" w:type="dxa"/>
          </w:tcPr>
          <w:p w14:paraId="4DB3BB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525" w:type="dxa"/>
          </w:tcPr>
          <w:p w14:paraId="0328BE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w:t>
            </w:r>
          </w:p>
        </w:tc>
        <w:tc>
          <w:tcPr>
            <w:tcW w:w="1525" w:type="dxa"/>
          </w:tcPr>
          <w:p w14:paraId="4D26BF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0B004E5" w14:textId="77777777">
        <w:tc>
          <w:tcPr>
            <w:tcW w:w="534" w:type="dxa"/>
          </w:tcPr>
          <w:p w14:paraId="278482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w:t>
            </w:r>
          </w:p>
        </w:tc>
        <w:tc>
          <w:tcPr>
            <w:tcW w:w="1525" w:type="dxa"/>
          </w:tcPr>
          <w:p w14:paraId="219ADB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М-52</w:t>
            </w:r>
          </w:p>
        </w:tc>
        <w:tc>
          <w:tcPr>
            <w:tcW w:w="1525" w:type="dxa"/>
          </w:tcPr>
          <w:p w14:paraId="4CD051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Водяное</w:t>
            </w:r>
          </w:p>
        </w:tc>
        <w:tc>
          <w:tcPr>
            <w:tcW w:w="1525" w:type="dxa"/>
          </w:tcPr>
          <w:p w14:paraId="6ECF1A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350</w:t>
            </w:r>
          </w:p>
        </w:tc>
        <w:tc>
          <w:tcPr>
            <w:tcW w:w="1525" w:type="dxa"/>
          </w:tcPr>
          <w:p w14:paraId="1A2F20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275</w:t>
            </w:r>
          </w:p>
        </w:tc>
        <w:tc>
          <w:tcPr>
            <w:tcW w:w="1525" w:type="dxa"/>
          </w:tcPr>
          <w:p w14:paraId="1D0E30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525" w:type="dxa"/>
          </w:tcPr>
          <w:p w14:paraId="446114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w:t>
            </w:r>
          </w:p>
        </w:tc>
        <w:tc>
          <w:tcPr>
            <w:tcW w:w="1525" w:type="dxa"/>
          </w:tcPr>
          <w:p w14:paraId="5B651A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65E1A46" w14:textId="77777777">
        <w:tc>
          <w:tcPr>
            <w:tcW w:w="534" w:type="dxa"/>
          </w:tcPr>
          <w:p w14:paraId="0BB8B3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w:t>
            </w:r>
          </w:p>
        </w:tc>
        <w:tc>
          <w:tcPr>
            <w:tcW w:w="1525" w:type="dxa"/>
          </w:tcPr>
          <w:p w14:paraId="47BC24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М-54</w:t>
            </w:r>
          </w:p>
        </w:tc>
        <w:tc>
          <w:tcPr>
            <w:tcW w:w="1525" w:type="dxa"/>
          </w:tcPr>
          <w:p w14:paraId="17E12C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Водяное</w:t>
            </w:r>
          </w:p>
        </w:tc>
        <w:tc>
          <w:tcPr>
            <w:tcW w:w="1525" w:type="dxa"/>
          </w:tcPr>
          <w:p w14:paraId="34828D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900</w:t>
            </w:r>
          </w:p>
        </w:tc>
        <w:tc>
          <w:tcPr>
            <w:tcW w:w="1525" w:type="dxa"/>
          </w:tcPr>
          <w:p w14:paraId="0F6BD3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w:t>
            </w:r>
          </w:p>
        </w:tc>
        <w:tc>
          <w:tcPr>
            <w:tcW w:w="1525" w:type="dxa"/>
          </w:tcPr>
          <w:p w14:paraId="368F1A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7000</w:t>
            </w:r>
          </w:p>
        </w:tc>
        <w:tc>
          <w:tcPr>
            <w:tcW w:w="1525" w:type="dxa"/>
          </w:tcPr>
          <w:p w14:paraId="2AF239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w:t>
            </w:r>
          </w:p>
        </w:tc>
        <w:tc>
          <w:tcPr>
            <w:tcW w:w="1525" w:type="dxa"/>
          </w:tcPr>
          <w:p w14:paraId="2991B8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027F653" w14:textId="77777777">
        <w:tc>
          <w:tcPr>
            <w:tcW w:w="534" w:type="dxa"/>
          </w:tcPr>
          <w:p w14:paraId="7322CA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w:t>
            </w:r>
          </w:p>
        </w:tc>
        <w:tc>
          <w:tcPr>
            <w:tcW w:w="1525" w:type="dxa"/>
          </w:tcPr>
          <w:p w14:paraId="18D24A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Н-1 (нефть)</w:t>
            </w:r>
          </w:p>
        </w:tc>
        <w:tc>
          <w:tcPr>
            <w:tcW w:w="1525" w:type="dxa"/>
          </w:tcPr>
          <w:p w14:paraId="568B08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Водяное</w:t>
            </w:r>
          </w:p>
        </w:tc>
        <w:tc>
          <w:tcPr>
            <w:tcW w:w="1525" w:type="dxa"/>
          </w:tcPr>
          <w:p w14:paraId="2ED626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w:t>
            </w:r>
          </w:p>
        </w:tc>
        <w:tc>
          <w:tcPr>
            <w:tcW w:w="1525" w:type="dxa"/>
          </w:tcPr>
          <w:p w14:paraId="688F26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w:t>
            </w:r>
          </w:p>
        </w:tc>
        <w:tc>
          <w:tcPr>
            <w:tcW w:w="1525" w:type="dxa"/>
          </w:tcPr>
          <w:p w14:paraId="56C148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525" w:type="dxa"/>
          </w:tcPr>
          <w:p w14:paraId="5017DA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w:t>
            </w:r>
          </w:p>
        </w:tc>
        <w:tc>
          <w:tcPr>
            <w:tcW w:w="1525" w:type="dxa"/>
          </w:tcPr>
          <w:p w14:paraId="3E35C7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E6D8C30" w14:textId="77777777">
        <w:tc>
          <w:tcPr>
            <w:tcW w:w="534" w:type="dxa"/>
          </w:tcPr>
          <w:p w14:paraId="08219F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w:t>
            </w:r>
          </w:p>
        </w:tc>
        <w:tc>
          <w:tcPr>
            <w:tcW w:w="1525" w:type="dxa"/>
          </w:tcPr>
          <w:p w14:paraId="0CE63C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Н-2</w:t>
            </w:r>
          </w:p>
        </w:tc>
        <w:tc>
          <w:tcPr>
            <w:tcW w:w="1525" w:type="dxa"/>
          </w:tcPr>
          <w:p w14:paraId="779B94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Водяное</w:t>
            </w:r>
          </w:p>
        </w:tc>
        <w:tc>
          <w:tcPr>
            <w:tcW w:w="1525" w:type="dxa"/>
          </w:tcPr>
          <w:p w14:paraId="268D4B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w:t>
            </w:r>
          </w:p>
        </w:tc>
        <w:tc>
          <w:tcPr>
            <w:tcW w:w="1525" w:type="dxa"/>
          </w:tcPr>
          <w:p w14:paraId="15A338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1200</w:t>
            </w:r>
          </w:p>
        </w:tc>
        <w:tc>
          <w:tcPr>
            <w:tcW w:w="1525" w:type="dxa"/>
          </w:tcPr>
          <w:p w14:paraId="31CD4E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525" w:type="dxa"/>
          </w:tcPr>
          <w:p w14:paraId="2C5B67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w:t>
            </w:r>
          </w:p>
        </w:tc>
        <w:tc>
          <w:tcPr>
            <w:tcW w:w="1525" w:type="dxa"/>
          </w:tcPr>
          <w:p w14:paraId="49AC9F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2A6661F" w14:textId="77777777">
        <w:tc>
          <w:tcPr>
            <w:tcW w:w="534" w:type="dxa"/>
          </w:tcPr>
          <w:p w14:paraId="4BA7FA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w:t>
            </w:r>
          </w:p>
        </w:tc>
        <w:tc>
          <w:tcPr>
            <w:tcW w:w="1525" w:type="dxa"/>
          </w:tcPr>
          <w:p w14:paraId="06545E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Н-3</w:t>
            </w:r>
          </w:p>
        </w:tc>
        <w:tc>
          <w:tcPr>
            <w:tcW w:w="1525" w:type="dxa"/>
          </w:tcPr>
          <w:p w14:paraId="6DBE17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Водяное</w:t>
            </w:r>
          </w:p>
        </w:tc>
        <w:tc>
          <w:tcPr>
            <w:tcW w:w="1525" w:type="dxa"/>
          </w:tcPr>
          <w:p w14:paraId="309C71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w:t>
            </w:r>
          </w:p>
        </w:tc>
        <w:tc>
          <w:tcPr>
            <w:tcW w:w="1525" w:type="dxa"/>
          </w:tcPr>
          <w:p w14:paraId="7CAB93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w:t>
            </w:r>
          </w:p>
        </w:tc>
        <w:tc>
          <w:tcPr>
            <w:tcW w:w="1525" w:type="dxa"/>
          </w:tcPr>
          <w:p w14:paraId="5D3A80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525" w:type="dxa"/>
          </w:tcPr>
          <w:p w14:paraId="2869A6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w:t>
            </w:r>
          </w:p>
        </w:tc>
        <w:tc>
          <w:tcPr>
            <w:tcW w:w="1525" w:type="dxa"/>
          </w:tcPr>
          <w:p w14:paraId="782586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5276D02" w14:textId="77777777">
        <w:tc>
          <w:tcPr>
            <w:tcW w:w="534" w:type="dxa"/>
          </w:tcPr>
          <w:p w14:paraId="54A889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w:t>
            </w:r>
          </w:p>
        </w:tc>
        <w:tc>
          <w:tcPr>
            <w:tcW w:w="1525" w:type="dxa"/>
          </w:tcPr>
          <w:p w14:paraId="60C135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Н-4</w:t>
            </w:r>
          </w:p>
        </w:tc>
        <w:tc>
          <w:tcPr>
            <w:tcW w:w="1525" w:type="dxa"/>
          </w:tcPr>
          <w:p w14:paraId="6F3028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Водяное</w:t>
            </w:r>
          </w:p>
        </w:tc>
        <w:tc>
          <w:tcPr>
            <w:tcW w:w="1525" w:type="dxa"/>
          </w:tcPr>
          <w:p w14:paraId="259D24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w:t>
            </w:r>
          </w:p>
        </w:tc>
        <w:tc>
          <w:tcPr>
            <w:tcW w:w="1525" w:type="dxa"/>
          </w:tcPr>
          <w:p w14:paraId="1891A1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2500</w:t>
            </w:r>
          </w:p>
        </w:tc>
        <w:tc>
          <w:tcPr>
            <w:tcW w:w="1525" w:type="dxa"/>
          </w:tcPr>
          <w:p w14:paraId="25F073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525" w:type="dxa"/>
          </w:tcPr>
          <w:p w14:paraId="14953D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w:t>
            </w:r>
          </w:p>
        </w:tc>
        <w:tc>
          <w:tcPr>
            <w:tcW w:w="1525" w:type="dxa"/>
          </w:tcPr>
          <w:p w14:paraId="3C5508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442F579" w14:textId="77777777">
        <w:tc>
          <w:tcPr>
            <w:tcW w:w="534" w:type="dxa"/>
            <w:tcBorders>
              <w:bottom w:val="single" w:sz="12" w:space="0" w:color="auto"/>
            </w:tcBorders>
          </w:tcPr>
          <w:p w14:paraId="748DA4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w:t>
            </w:r>
          </w:p>
        </w:tc>
        <w:tc>
          <w:tcPr>
            <w:tcW w:w="1525" w:type="dxa"/>
            <w:tcBorders>
              <w:bottom w:val="single" w:sz="12" w:space="0" w:color="auto"/>
            </w:tcBorders>
          </w:tcPr>
          <w:p w14:paraId="78E1BE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Н-5</w:t>
            </w:r>
          </w:p>
        </w:tc>
        <w:tc>
          <w:tcPr>
            <w:tcW w:w="1525" w:type="dxa"/>
            <w:tcBorders>
              <w:bottom w:val="single" w:sz="12" w:space="0" w:color="auto"/>
            </w:tcBorders>
          </w:tcPr>
          <w:p w14:paraId="075808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Водяное</w:t>
            </w:r>
          </w:p>
        </w:tc>
        <w:tc>
          <w:tcPr>
            <w:tcW w:w="1525" w:type="dxa"/>
            <w:tcBorders>
              <w:bottom w:val="single" w:sz="12" w:space="0" w:color="auto"/>
            </w:tcBorders>
          </w:tcPr>
          <w:p w14:paraId="5752C7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w:t>
            </w:r>
          </w:p>
        </w:tc>
        <w:tc>
          <w:tcPr>
            <w:tcW w:w="1525" w:type="dxa"/>
            <w:tcBorders>
              <w:bottom w:val="single" w:sz="12" w:space="0" w:color="auto"/>
            </w:tcBorders>
          </w:tcPr>
          <w:p w14:paraId="1DB743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w:t>
            </w:r>
          </w:p>
        </w:tc>
        <w:tc>
          <w:tcPr>
            <w:tcW w:w="1525" w:type="dxa"/>
            <w:tcBorders>
              <w:bottom w:val="single" w:sz="12" w:space="0" w:color="auto"/>
            </w:tcBorders>
          </w:tcPr>
          <w:p w14:paraId="1A981F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10000</w:t>
            </w:r>
          </w:p>
        </w:tc>
        <w:tc>
          <w:tcPr>
            <w:tcW w:w="1525" w:type="dxa"/>
            <w:tcBorders>
              <w:bottom w:val="single" w:sz="12" w:space="0" w:color="auto"/>
            </w:tcBorders>
          </w:tcPr>
          <w:p w14:paraId="58FCBC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w:t>
            </w:r>
          </w:p>
        </w:tc>
        <w:tc>
          <w:tcPr>
            <w:tcW w:w="1525" w:type="dxa"/>
            <w:tcBorders>
              <w:bottom w:val="single" w:sz="12" w:space="0" w:color="auto"/>
            </w:tcBorders>
          </w:tcPr>
          <w:p w14:paraId="72DC30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bl>
    <w:p w14:paraId="17CFDA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(351,117).</w:t>
      </w:r>
    </w:p>
    <w:p w14:paraId="1BEC2B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Б. Модификации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1525"/>
        <w:gridCol w:w="1525"/>
        <w:gridCol w:w="1525"/>
        <w:gridCol w:w="1525"/>
        <w:gridCol w:w="1525"/>
        <w:gridCol w:w="1525"/>
        <w:gridCol w:w="1525"/>
      </w:tblGrid>
      <w:tr w:rsidR="001002C3" w:rsidRPr="005E779E" w14:paraId="6DF662A9" w14:textId="77777777">
        <w:tc>
          <w:tcPr>
            <w:tcW w:w="534" w:type="dxa"/>
            <w:tcBorders>
              <w:top w:val="single" w:sz="12" w:space="0" w:color="auto"/>
            </w:tcBorders>
          </w:tcPr>
          <w:p w14:paraId="4E58B7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w:t>
            </w:r>
          </w:p>
        </w:tc>
        <w:tc>
          <w:tcPr>
            <w:tcW w:w="1525" w:type="dxa"/>
            <w:tcBorders>
              <w:top w:val="single" w:sz="12" w:space="0" w:color="auto"/>
            </w:tcBorders>
          </w:tcPr>
          <w:p w14:paraId="3C8F2D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М-34Н</w:t>
            </w:r>
          </w:p>
        </w:tc>
        <w:tc>
          <w:tcPr>
            <w:tcW w:w="1525" w:type="dxa"/>
            <w:tcBorders>
              <w:top w:val="single" w:sz="12" w:space="0" w:color="auto"/>
            </w:tcBorders>
          </w:tcPr>
          <w:p w14:paraId="5BD16A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Водяное</w:t>
            </w:r>
          </w:p>
        </w:tc>
        <w:tc>
          <w:tcPr>
            <w:tcW w:w="1525" w:type="dxa"/>
            <w:tcBorders>
              <w:top w:val="single" w:sz="12" w:space="0" w:color="auto"/>
            </w:tcBorders>
          </w:tcPr>
          <w:p w14:paraId="0BDD89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750</w:t>
            </w:r>
          </w:p>
        </w:tc>
        <w:tc>
          <w:tcPr>
            <w:tcW w:w="1525" w:type="dxa"/>
            <w:tcBorders>
              <w:top w:val="single" w:sz="12" w:space="0" w:color="auto"/>
            </w:tcBorders>
          </w:tcPr>
          <w:p w14:paraId="4CE830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580</w:t>
            </w:r>
          </w:p>
        </w:tc>
        <w:tc>
          <w:tcPr>
            <w:tcW w:w="1525" w:type="dxa"/>
            <w:tcBorders>
              <w:top w:val="single" w:sz="12" w:space="0" w:color="auto"/>
            </w:tcBorders>
          </w:tcPr>
          <w:p w14:paraId="029971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525" w:type="dxa"/>
            <w:tcBorders>
              <w:top w:val="single" w:sz="12" w:space="0" w:color="auto"/>
            </w:tcBorders>
          </w:tcPr>
          <w:p w14:paraId="53B05E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w:t>
            </w:r>
          </w:p>
        </w:tc>
        <w:tc>
          <w:tcPr>
            <w:tcW w:w="1525" w:type="dxa"/>
            <w:tcBorders>
              <w:top w:val="single" w:sz="12" w:space="0" w:color="auto"/>
            </w:tcBorders>
          </w:tcPr>
          <w:p w14:paraId="302747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7D43E29" w14:textId="77777777">
        <w:tc>
          <w:tcPr>
            <w:tcW w:w="534" w:type="dxa"/>
          </w:tcPr>
          <w:p w14:paraId="2033D5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w:t>
            </w:r>
          </w:p>
        </w:tc>
        <w:tc>
          <w:tcPr>
            <w:tcW w:w="1525" w:type="dxa"/>
          </w:tcPr>
          <w:p w14:paraId="7FA281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М-34Р</w:t>
            </w:r>
          </w:p>
        </w:tc>
        <w:tc>
          <w:tcPr>
            <w:tcW w:w="1525" w:type="dxa"/>
          </w:tcPr>
          <w:p w14:paraId="184339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Водяное</w:t>
            </w:r>
          </w:p>
        </w:tc>
        <w:tc>
          <w:tcPr>
            <w:tcW w:w="1525" w:type="dxa"/>
          </w:tcPr>
          <w:p w14:paraId="65FED1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750</w:t>
            </w:r>
          </w:p>
        </w:tc>
        <w:tc>
          <w:tcPr>
            <w:tcW w:w="1525" w:type="dxa"/>
          </w:tcPr>
          <w:p w14:paraId="7BBA0E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580</w:t>
            </w:r>
          </w:p>
        </w:tc>
        <w:tc>
          <w:tcPr>
            <w:tcW w:w="1525" w:type="dxa"/>
          </w:tcPr>
          <w:p w14:paraId="2BDC5C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525" w:type="dxa"/>
          </w:tcPr>
          <w:p w14:paraId="3FD03E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w:t>
            </w:r>
          </w:p>
        </w:tc>
        <w:tc>
          <w:tcPr>
            <w:tcW w:w="1525" w:type="dxa"/>
          </w:tcPr>
          <w:p w14:paraId="3304BD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AAB8B8C" w14:textId="77777777">
        <w:tc>
          <w:tcPr>
            <w:tcW w:w="534" w:type="dxa"/>
          </w:tcPr>
          <w:p w14:paraId="046180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w:t>
            </w:r>
          </w:p>
        </w:tc>
        <w:tc>
          <w:tcPr>
            <w:tcW w:w="1525" w:type="dxa"/>
          </w:tcPr>
          <w:p w14:paraId="2B8A19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М-34НР</w:t>
            </w:r>
          </w:p>
        </w:tc>
        <w:tc>
          <w:tcPr>
            <w:tcW w:w="1525" w:type="dxa"/>
          </w:tcPr>
          <w:p w14:paraId="6BFAFC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Водяное</w:t>
            </w:r>
          </w:p>
        </w:tc>
        <w:tc>
          <w:tcPr>
            <w:tcW w:w="1525" w:type="dxa"/>
          </w:tcPr>
          <w:p w14:paraId="16BDD7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750</w:t>
            </w:r>
          </w:p>
        </w:tc>
        <w:tc>
          <w:tcPr>
            <w:tcW w:w="1525" w:type="dxa"/>
          </w:tcPr>
          <w:p w14:paraId="0C095C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620</w:t>
            </w:r>
          </w:p>
        </w:tc>
        <w:tc>
          <w:tcPr>
            <w:tcW w:w="1525" w:type="dxa"/>
          </w:tcPr>
          <w:p w14:paraId="5E23E1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525" w:type="dxa"/>
          </w:tcPr>
          <w:p w14:paraId="21855F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w:t>
            </w:r>
          </w:p>
        </w:tc>
        <w:tc>
          <w:tcPr>
            <w:tcW w:w="1525" w:type="dxa"/>
          </w:tcPr>
          <w:p w14:paraId="14B4E4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857E38D" w14:textId="77777777">
        <w:tc>
          <w:tcPr>
            <w:tcW w:w="534" w:type="dxa"/>
          </w:tcPr>
          <w:p w14:paraId="221580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w:t>
            </w:r>
          </w:p>
        </w:tc>
        <w:tc>
          <w:tcPr>
            <w:tcW w:w="1525" w:type="dxa"/>
          </w:tcPr>
          <w:p w14:paraId="2DE71E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М-55</w:t>
            </w:r>
          </w:p>
        </w:tc>
        <w:tc>
          <w:tcPr>
            <w:tcW w:w="1525" w:type="dxa"/>
          </w:tcPr>
          <w:p w14:paraId="169948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Водяное</w:t>
            </w:r>
          </w:p>
        </w:tc>
        <w:tc>
          <w:tcPr>
            <w:tcW w:w="1525" w:type="dxa"/>
          </w:tcPr>
          <w:p w14:paraId="116FF2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750</w:t>
            </w:r>
          </w:p>
        </w:tc>
        <w:tc>
          <w:tcPr>
            <w:tcW w:w="1525" w:type="dxa"/>
          </w:tcPr>
          <w:p w14:paraId="0EB7D9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w:t>
            </w:r>
          </w:p>
        </w:tc>
        <w:tc>
          <w:tcPr>
            <w:tcW w:w="1525" w:type="dxa"/>
          </w:tcPr>
          <w:p w14:paraId="3E2B15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1525" w:type="dxa"/>
          </w:tcPr>
          <w:p w14:paraId="15EFC6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w:t>
            </w:r>
          </w:p>
        </w:tc>
        <w:tc>
          <w:tcPr>
            <w:tcW w:w="1525" w:type="dxa"/>
          </w:tcPr>
          <w:p w14:paraId="2A9CB1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3DA63EB" w14:textId="77777777">
        <w:tc>
          <w:tcPr>
            <w:tcW w:w="534" w:type="dxa"/>
          </w:tcPr>
          <w:p w14:paraId="3EC185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w:t>
            </w:r>
          </w:p>
        </w:tc>
        <w:tc>
          <w:tcPr>
            <w:tcW w:w="1525" w:type="dxa"/>
          </w:tcPr>
          <w:p w14:paraId="212CFF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М-56</w:t>
            </w:r>
          </w:p>
        </w:tc>
        <w:tc>
          <w:tcPr>
            <w:tcW w:w="1525" w:type="dxa"/>
          </w:tcPr>
          <w:p w14:paraId="566077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Воздушное</w:t>
            </w:r>
          </w:p>
        </w:tc>
        <w:tc>
          <w:tcPr>
            <w:tcW w:w="1525" w:type="dxa"/>
          </w:tcPr>
          <w:p w14:paraId="4DC26A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w:t>
            </w:r>
          </w:p>
        </w:tc>
        <w:tc>
          <w:tcPr>
            <w:tcW w:w="1525" w:type="dxa"/>
          </w:tcPr>
          <w:p w14:paraId="368199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450</w:t>
            </w:r>
          </w:p>
        </w:tc>
        <w:tc>
          <w:tcPr>
            <w:tcW w:w="1525" w:type="dxa"/>
          </w:tcPr>
          <w:p w14:paraId="24F241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7000</w:t>
            </w:r>
          </w:p>
        </w:tc>
        <w:tc>
          <w:tcPr>
            <w:tcW w:w="1525" w:type="dxa"/>
          </w:tcPr>
          <w:p w14:paraId="7CC753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w:t>
            </w:r>
          </w:p>
        </w:tc>
        <w:tc>
          <w:tcPr>
            <w:tcW w:w="1525" w:type="dxa"/>
          </w:tcPr>
          <w:p w14:paraId="05ED18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1F4A138" w14:textId="77777777">
        <w:tc>
          <w:tcPr>
            <w:tcW w:w="534" w:type="dxa"/>
            <w:tcBorders>
              <w:bottom w:val="single" w:sz="12" w:space="0" w:color="auto"/>
            </w:tcBorders>
          </w:tcPr>
          <w:p w14:paraId="1C3832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w:t>
            </w:r>
          </w:p>
        </w:tc>
        <w:tc>
          <w:tcPr>
            <w:tcW w:w="1525" w:type="dxa"/>
            <w:tcBorders>
              <w:bottom w:val="single" w:sz="12" w:space="0" w:color="auto"/>
            </w:tcBorders>
          </w:tcPr>
          <w:p w14:paraId="32E6A9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М-57</w:t>
            </w:r>
          </w:p>
        </w:tc>
        <w:tc>
          <w:tcPr>
            <w:tcW w:w="1525" w:type="dxa"/>
            <w:tcBorders>
              <w:bottom w:val="single" w:sz="12" w:space="0" w:color="auto"/>
            </w:tcBorders>
          </w:tcPr>
          <w:p w14:paraId="55F3D5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Водяное</w:t>
            </w:r>
          </w:p>
        </w:tc>
        <w:tc>
          <w:tcPr>
            <w:tcW w:w="1525" w:type="dxa"/>
            <w:tcBorders>
              <w:bottom w:val="single" w:sz="12" w:space="0" w:color="auto"/>
            </w:tcBorders>
          </w:tcPr>
          <w:p w14:paraId="066189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1200-1500</w:t>
            </w:r>
          </w:p>
        </w:tc>
        <w:tc>
          <w:tcPr>
            <w:tcW w:w="1525" w:type="dxa"/>
            <w:tcBorders>
              <w:bottom w:val="single" w:sz="12" w:space="0" w:color="auto"/>
            </w:tcBorders>
          </w:tcPr>
          <w:p w14:paraId="66EFA4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850</w:t>
            </w:r>
          </w:p>
        </w:tc>
        <w:tc>
          <w:tcPr>
            <w:tcW w:w="1525" w:type="dxa"/>
            <w:tcBorders>
              <w:bottom w:val="single" w:sz="12" w:space="0" w:color="auto"/>
            </w:tcBorders>
          </w:tcPr>
          <w:p w14:paraId="1284FE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7000</w:t>
            </w:r>
          </w:p>
        </w:tc>
        <w:tc>
          <w:tcPr>
            <w:tcW w:w="1525" w:type="dxa"/>
            <w:tcBorders>
              <w:bottom w:val="single" w:sz="12" w:space="0" w:color="auto"/>
            </w:tcBorders>
          </w:tcPr>
          <w:p w14:paraId="1321D1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250</w:t>
            </w:r>
          </w:p>
        </w:tc>
        <w:tc>
          <w:tcPr>
            <w:tcW w:w="1525" w:type="dxa"/>
            <w:tcBorders>
              <w:bottom w:val="single" w:sz="12" w:space="0" w:color="auto"/>
            </w:tcBorders>
          </w:tcPr>
          <w:p w14:paraId="13759C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bl>
    <w:p w14:paraId="40D9B0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(351,117).</w:t>
      </w:r>
    </w:p>
    <w:p w14:paraId="7A50DE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Экспериментальные работы</w:t>
      </w:r>
    </w:p>
    <w:p w14:paraId="0B6FA7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Газовая турбина</w:t>
      </w:r>
    </w:p>
    <w:p w14:paraId="557A7E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Паросиловая установка</w:t>
      </w:r>
    </w:p>
    <w:p w14:paraId="574FC3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Бензиновый 2-х тактный двигатель</w:t>
      </w:r>
    </w:p>
    <w:p w14:paraId="2A178A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Реактивный двигатель</w:t>
      </w:r>
    </w:p>
    <w:p w14:paraId="6437B9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Двигатель двойного действия</w:t>
      </w:r>
    </w:p>
    <w:p w14:paraId="48DF9B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Авиационный электроческий двигатель</w:t>
      </w:r>
    </w:p>
    <w:p w14:paraId="456525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Винт переменного шага</w:t>
      </w:r>
    </w:p>
    <w:p w14:paraId="54495E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Удлиненные валы</w:t>
      </w:r>
    </w:p>
    <w:p w14:paraId="1DB44A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Рекорд высоты (351,117).</w:t>
      </w:r>
    </w:p>
    <w:p w14:paraId="288D96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Опытные самолеты на 1932-1934 (по плану опытного строительства на 1932-1934)</w:t>
      </w:r>
    </w:p>
    <w:p w14:paraId="5ACA1E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 САМОЛЕТЫ</w:t>
      </w:r>
    </w:p>
    <w:p w14:paraId="1701A5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Опытные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850"/>
        <w:gridCol w:w="992"/>
        <w:gridCol w:w="834"/>
        <w:gridCol w:w="1009"/>
        <w:gridCol w:w="581"/>
        <w:gridCol w:w="912"/>
        <w:gridCol w:w="914"/>
        <w:gridCol w:w="907"/>
        <w:gridCol w:w="831"/>
        <w:gridCol w:w="763"/>
        <w:gridCol w:w="763"/>
      </w:tblGrid>
      <w:tr w:rsidR="001002C3" w:rsidRPr="005E779E" w14:paraId="0BB79F95" w14:textId="77777777">
        <w:tc>
          <w:tcPr>
            <w:tcW w:w="1668" w:type="dxa"/>
          </w:tcPr>
          <w:p w14:paraId="352A15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самолета с указанием использования по линии ГВФ</w:t>
            </w:r>
          </w:p>
        </w:tc>
        <w:tc>
          <w:tcPr>
            <w:tcW w:w="850" w:type="dxa"/>
          </w:tcPr>
          <w:p w14:paraId="2A902F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Литер</w:t>
            </w:r>
          </w:p>
        </w:tc>
        <w:tc>
          <w:tcPr>
            <w:tcW w:w="992" w:type="dxa"/>
          </w:tcPr>
          <w:p w14:paraId="78774A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Срок</w:t>
            </w:r>
          </w:p>
        </w:tc>
        <w:tc>
          <w:tcPr>
            <w:tcW w:w="834" w:type="dxa"/>
          </w:tcPr>
          <w:p w14:paraId="1360A1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Скорость на высоте применения</w:t>
            </w:r>
          </w:p>
        </w:tc>
        <w:tc>
          <w:tcPr>
            <w:tcW w:w="1009" w:type="dxa"/>
          </w:tcPr>
          <w:p w14:paraId="7D1033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Высота применения/потолок/время подъема</w:t>
            </w:r>
          </w:p>
        </w:tc>
        <w:tc>
          <w:tcPr>
            <w:tcW w:w="581" w:type="dxa"/>
          </w:tcPr>
          <w:p w14:paraId="718E57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Посадочная скорость</w:t>
            </w:r>
          </w:p>
        </w:tc>
        <w:tc>
          <w:tcPr>
            <w:tcW w:w="912" w:type="dxa"/>
          </w:tcPr>
          <w:p w14:paraId="7CBF29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действия/перегрузка</w:t>
            </w:r>
          </w:p>
        </w:tc>
        <w:tc>
          <w:tcPr>
            <w:tcW w:w="914" w:type="dxa"/>
          </w:tcPr>
          <w:p w14:paraId="4CB963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Сбрасываемый груз</w:t>
            </w:r>
          </w:p>
        </w:tc>
        <w:tc>
          <w:tcPr>
            <w:tcW w:w="907" w:type="dxa"/>
          </w:tcPr>
          <w:p w14:paraId="7F38D0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w:t>
            </w:r>
          </w:p>
        </w:tc>
        <w:tc>
          <w:tcPr>
            <w:tcW w:w="831" w:type="dxa"/>
          </w:tcPr>
          <w:p w14:paraId="419A25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Материал</w:t>
            </w:r>
          </w:p>
        </w:tc>
        <w:tc>
          <w:tcPr>
            <w:tcW w:w="763" w:type="dxa"/>
          </w:tcPr>
          <w:p w14:paraId="51A082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Заменяет</w:t>
            </w:r>
          </w:p>
        </w:tc>
        <w:tc>
          <w:tcPr>
            <w:tcW w:w="763" w:type="dxa"/>
          </w:tcPr>
          <w:p w14:paraId="15AF93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Примечания</w:t>
            </w:r>
          </w:p>
        </w:tc>
      </w:tr>
      <w:tr w:rsidR="001002C3" w:rsidRPr="005E779E" w14:paraId="586B58E6" w14:textId="77777777">
        <w:tc>
          <w:tcPr>
            <w:tcW w:w="1668" w:type="dxa"/>
          </w:tcPr>
          <w:p w14:paraId="1E71C8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Опытные:</w:t>
            </w:r>
          </w:p>
        </w:tc>
        <w:tc>
          <w:tcPr>
            <w:tcW w:w="850" w:type="dxa"/>
          </w:tcPr>
          <w:p w14:paraId="0E28D1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EF8E4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3D63D3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39A85D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0B0F4C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64E47D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2CA464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39A4BB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7FB4B9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533E22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11B499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56C8531" w14:textId="77777777">
        <w:tc>
          <w:tcPr>
            <w:tcW w:w="1668" w:type="dxa"/>
          </w:tcPr>
          <w:p w14:paraId="293E55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Тяжелый бомбардировщик</w:t>
            </w:r>
          </w:p>
        </w:tc>
        <w:tc>
          <w:tcPr>
            <w:tcW w:w="850" w:type="dxa"/>
          </w:tcPr>
          <w:p w14:paraId="576424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ТБ6-М44/35</w:t>
            </w:r>
          </w:p>
        </w:tc>
        <w:tc>
          <w:tcPr>
            <w:tcW w:w="992" w:type="dxa"/>
          </w:tcPr>
          <w:p w14:paraId="37D5C0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01.05.1933</w:t>
            </w:r>
          </w:p>
        </w:tc>
        <w:tc>
          <w:tcPr>
            <w:tcW w:w="834" w:type="dxa"/>
          </w:tcPr>
          <w:p w14:paraId="1E4553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250</w:t>
            </w:r>
          </w:p>
        </w:tc>
        <w:tc>
          <w:tcPr>
            <w:tcW w:w="1009" w:type="dxa"/>
          </w:tcPr>
          <w:p w14:paraId="649E26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5000/7000/-</w:t>
            </w:r>
          </w:p>
        </w:tc>
        <w:tc>
          <w:tcPr>
            <w:tcW w:w="581" w:type="dxa"/>
          </w:tcPr>
          <w:p w14:paraId="22486A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70-80</w:t>
            </w:r>
          </w:p>
        </w:tc>
        <w:tc>
          <w:tcPr>
            <w:tcW w:w="912" w:type="dxa"/>
          </w:tcPr>
          <w:p w14:paraId="4F24DC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1500/2000</w:t>
            </w:r>
          </w:p>
        </w:tc>
        <w:tc>
          <w:tcPr>
            <w:tcW w:w="914" w:type="dxa"/>
          </w:tcPr>
          <w:p w14:paraId="541DCB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15000</w:t>
            </w:r>
          </w:p>
        </w:tc>
        <w:tc>
          <w:tcPr>
            <w:tcW w:w="907" w:type="dxa"/>
          </w:tcPr>
          <w:p w14:paraId="160A90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тяж. пул. и пушки</w:t>
            </w:r>
          </w:p>
        </w:tc>
        <w:tc>
          <w:tcPr>
            <w:tcW w:w="831" w:type="dxa"/>
          </w:tcPr>
          <w:p w14:paraId="2E4A88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Сталь</w:t>
            </w:r>
          </w:p>
        </w:tc>
        <w:tc>
          <w:tcPr>
            <w:tcW w:w="763" w:type="dxa"/>
          </w:tcPr>
          <w:p w14:paraId="7C5097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ТБ4-К7</w:t>
            </w:r>
          </w:p>
        </w:tc>
        <w:tc>
          <w:tcPr>
            <w:tcW w:w="763" w:type="dxa"/>
          </w:tcPr>
          <w:p w14:paraId="3AC793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8E2635F" w14:textId="77777777">
        <w:tc>
          <w:tcPr>
            <w:tcW w:w="1668" w:type="dxa"/>
          </w:tcPr>
          <w:p w14:paraId="7F3E63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(пас. и груз.)</w:t>
            </w:r>
          </w:p>
        </w:tc>
        <w:tc>
          <w:tcPr>
            <w:tcW w:w="850" w:type="dxa"/>
          </w:tcPr>
          <w:p w14:paraId="178374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91F5E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338764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6C37E9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37F5B6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686DE1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5A838A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035C27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0150EB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187089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304883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BFA28E1" w14:textId="77777777">
        <w:tc>
          <w:tcPr>
            <w:tcW w:w="1668" w:type="dxa"/>
          </w:tcPr>
          <w:p w14:paraId="500B2A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Сверхтяжелый бомбардировщик</w:t>
            </w:r>
          </w:p>
        </w:tc>
        <w:tc>
          <w:tcPr>
            <w:tcW w:w="850" w:type="dxa"/>
          </w:tcPr>
          <w:p w14:paraId="577444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ТБ7-М44</w:t>
            </w:r>
          </w:p>
        </w:tc>
        <w:tc>
          <w:tcPr>
            <w:tcW w:w="992" w:type="dxa"/>
          </w:tcPr>
          <w:p w14:paraId="227764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01.05.1934</w:t>
            </w:r>
          </w:p>
        </w:tc>
        <w:tc>
          <w:tcPr>
            <w:tcW w:w="834" w:type="dxa"/>
          </w:tcPr>
          <w:p w14:paraId="595E90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250</w:t>
            </w:r>
          </w:p>
        </w:tc>
        <w:tc>
          <w:tcPr>
            <w:tcW w:w="1009" w:type="dxa"/>
          </w:tcPr>
          <w:p w14:paraId="1BED77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5000/7000/-</w:t>
            </w:r>
          </w:p>
        </w:tc>
        <w:tc>
          <w:tcPr>
            <w:tcW w:w="581" w:type="dxa"/>
          </w:tcPr>
          <w:p w14:paraId="000A92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70-80</w:t>
            </w:r>
          </w:p>
        </w:tc>
        <w:tc>
          <w:tcPr>
            <w:tcW w:w="912" w:type="dxa"/>
          </w:tcPr>
          <w:p w14:paraId="309FF1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2000/2500</w:t>
            </w:r>
          </w:p>
        </w:tc>
        <w:tc>
          <w:tcPr>
            <w:tcW w:w="914" w:type="dxa"/>
          </w:tcPr>
          <w:p w14:paraId="02F54C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30000</w:t>
            </w:r>
          </w:p>
        </w:tc>
        <w:tc>
          <w:tcPr>
            <w:tcW w:w="907" w:type="dxa"/>
          </w:tcPr>
          <w:p w14:paraId="1772A4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тяж. пул. и пушки</w:t>
            </w:r>
          </w:p>
        </w:tc>
        <w:tc>
          <w:tcPr>
            <w:tcW w:w="831" w:type="dxa"/>
          </w:tcPr>
          <w:p w14:paraId="242AFF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Сталь</w:t>
            </w:r>
          </w:p>
        </w:tc>
        <w:tc>
          <w:tcPr>
            <w:tcW w:w="763" w:type="dxa"/>
          </w:tcPr>
          <w:p w14:paraId="20A3A2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ТБ4-К7</w:t>
            </w:r>
          </w:p>
        </w:tc>
        <w:tc>
          <w:tcPr>
            <w:tcW w:w="763" w:type="dxa"/>
          </w:tcPr>
          <w:p w14:paraId="409EED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10B99E7" w14:textId="77777777">
        <w:tc>
          <w:tcPr>
            <w:tcW w:w="1668" w:type="dxa"/>
          </w:tcPr>
          <w:p w14:paraId="36FF08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(пас. и груз.)</w:t>
            </w:r>
          </w:p>
        </w:tc>
        <w:tc>
          <w:tcPr>
            <w:tcW w:w="850" w:type="dxa"/>
          </w:tcPr>
          <w:p w14:paraId="7106F1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25E12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5DF2CE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46EAD8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3A7FB7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50B675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02CAD4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3A59B6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1EB320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58F4D9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44399B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DB9F1D2" w14:textId="77777777">
        <w:tc>
          <w:tcPr>
            <w:tcW w:w="1668" w:type="dxa"/>
          </w:tcPr>
          <w:p w14:paraId="651C2A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Тяжелый десантный (груз.)</w:t>
            </w:r>
          </w:p>
        </w:tc>
        <w:tc>
          <w:tcPr>
            <w:tcW w:w="850" w:type="dxa"/>
          </w:tcPr>
          <w:p w14:paraId="04A2EC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Д1-10М34</w:t>
            </w:r>
          </w:p>
        </w:tc>
        <w:tc>
          <w:tcPr>
            <w:tcW w:w="992" w:type="dxa"/>
          </w:tcPr>
          <w:p w14:paraId="794FA9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01.10.1932</w:t>
            </w:r>
          </w:p>
        </w:tc>
        <w:tc>
          <w:tcPr>
            <w:tcW w:w="834" w:type="dxa"/>
          </w:tcPr>
          <w:p w14:paraId="0020AC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215/3000</w:t>
            </w:r>
          </w:p>
        </w:tc>
        <w:tc>
          <w:tcPr>
            <w:tcW w:w="1009" w:type="dxa"/>
          </w:tcPr>
          <w:p w14:paraId="008E22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581" w:type="dxa"/>
          </w:tcPr>
          <w:p w14:paraId="67BFE9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w:t>
            </w:r>
          </w:p>
        </w:tc>
        <w:tc>
          <w:tcPr>
            <w:tcW w:w="912" w:type="dxa"/>
          </w:tcPr>
          <w:p w14:paraId="487F5D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900-</w:t>
            </w:r>
          </w:p>
        </w:tc>
        <w:tc>
          <w:tcPr>
            <w:tcW w:w="914" w:type="dxa"/>
          </w:tcPr>
          <w:p w14:paraId="592EAE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15000</w:t>
            </w:r>
          </w:p>
        </w:tc>
        <w:tc>
          <w:tcPr>
            <w:tcW w:w="907" w:type="dxa"/>
          </w:tcPr>
          <w:p w14:paraId="6EE48C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831" w:type="dxa"/>
          </w:tcPr>
          <w:p w14:paraId="50DD3C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Сталь</w:t>
            </w:r>
          </w:p>
        </w:tc>
        <w:tc>
          <w:tcPr>
            <w:tcW w:w="763" w:type="dxa"/>
          </w:tcPr>
          <w:p w14:paraId="526488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63" w:type="dxa"/>
          </w:tcPr>
          <w:p w14:paraId="75D955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ВВА</w:t>
            </w:r>
          </w:p>
        </w:tc>
      </w:tr>
      <w:tr w:rsidR="001002C3" w:rsidRPr="005E779E" w14:paraId="75FA5FC7" w14:textId="77777777">
        <w:tc>
          <w:tcPr>
            <w:tcW w:w="1668" w:type="dxa"/>
          </w:tcPr>
          <w:p w14:paraId="517EE2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Тяжелый бомбовоз</w:t>
            </w:r>
          </w:p>
        </w:tc>
        <w:tc>
          <w:tcPr>
            <w:tcW w:w="850" w:type="dxa"/>
          </w:tcPr>
          <w:p w14:paraId="0BD280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ТБ4-6М34</w:t>
            </w:r>
          </w:p>
        </w:tc>
        <w:tc>
          <w:tcPr>
            <w:tcW w:w="992" w:type="dxa"/>
          </w:tcPr>
          <w:p w14:paraId="258CC9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01.05.1932</w:t>
            </w:r>
          </w:p>
        </w:tc>
        <w:tc>
          <w:tcPr>
            <w:tcW w:w="834" w:type="dxa"/>
          </w:tcPr>
          <w:p w14:paraId="251409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200/3000</w:t>
            </w:r>
          </w:p>
        </w:tc>
        <w:tc>
          <w:tcPr>
            <w:tcW w:w="1009" w:type="dxa"/>
          </w:tcPr>
          <w:p w14:paraId="0CB8D0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-/5000-6000</w:t>
            </w:r>
          </w:p>
        </w:tc>
        <w:tc>
          <w:tcPr>
            <w:tcW w:w="581" w:type="dxa"/>
          </w:tcPr>
          <w:p w14:paraId="2913D3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912" w:type="dxa"/>
          </w:tcPr>
          <w:p w14:paraId="78B42A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w:t>
            </w:r>
          </w:p>
        </w:tc>
        <w:tc>
          <w:tcPr>
            <w:tcW w:w="914" w:type="dxa"/>
          </w:tcPr>
          <w:p w14:paraId="32C370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6000</w:t>
            </w:r>
          </w:p>
        </w:tc>
        <w:tc>
          <w:tcPr>
            <w:tcW w:w="907" w:type="dxa"/>
          </w:tcPr>
          <w:p w14:paraId="0EB6D2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пул, 2 пуш.</w:t>
            </w:r>
          </w:p>
        </w:tc>
        <w:tc>
          <w:tcPr>
            <w:tcW w:w="831" w:type="dxa"/>
          </w:tcPr>
          <w:p w14:paraId="16AB8F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Дюраль</w:t>
            </w:r>
          </w:p>
        </w:tc>
        <w:tc>
          <w:tcPr>
            <w:tcW w:w="763" w:type="dxa"/>
          </w:tcPr>
          <w:p w14:paraId="4EA558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ТБ3</w:t>
            </w:r>
          </w:p>
        </w:tc>
        <w:tc>
          <w:tcPr>
            <w:tcW w:w="763" w:type="dxa"/>
          </w:tcPr>
          <w:p w14:paraId="383F78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 плана № 1</w:t>
            </w:r>
          </w:p>
        </w:tc>
      </w:tr>
      <w:tr w:rsidR="001002C3" w:rsidRPr="005E779E" w14:paraId="4F44125D" w14:textId="77777777">
        <w:tc>
          <w:tcPr>
            <w:tcW w:w="1668" w:type="dxa"/>
          </w:tcPr>
          <w:p w14:paraId="213952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Тяжелый бомбовоз</w:t>
            </w:r>
          </w:p>
        </w:tc>
        <w:tc>
          <w:tcPr>
            <w:tcW w:w="850" w:type="dxa"/>
          </w:tcPr>
          <w:p w14:paraId="2F1060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ТБ4бис-6М34</w:t>
            </w:r>
          </w:p>
        </w:tc>
        <w:tc>
          <w:tcPr>
            <w:tcW w:w="992" w:type="dxa"/>
          </w:tcPr>
          <w:p w14:paraId="225D93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01.08.1932</w:t>
            </w:r>
          </w:p>
        </w:tc>
        <w:tc>
          <w:tcPr>
            <w:tcW w:w="834" w:type="dxa"/>
          </w:tcPr>
          <w:p w14:paraId="7AE6D9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w:t>
            </w:r>
          </w:p>
        </w:tc>
        <w:tc>
          <w:tcPr>
            <w:tcW w:w="1009" w:type="dxa"/>
          </w:tcPr>
          <w:p w14:paraId="053BF9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81" w:type="dxa"/>
          </w:tcPr>
          <w:p w14:paraId="68D34B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912" w:type="dxa"/>
          </w:tcPr>
          <w:p w14:paraId="0D0550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w:t>
            </w:r>
          </w:p>
        </w:tc>
        <w:tc>
          <w:tcPr>
            <w:tcW w:w="914" w:type="dxa"/>
          </w:tcPr>
          <w:p w14:paraId="1FEE7C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4500</w:t>
            </w:r>
          </w:p>
        </w:tc>
        <w:tc>
          <w:tcPr>
            <w:tcW w:w="907" w:type="dxa"/>
          </w:tcPr>
          <w:p w14:paraId="1B2EA6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пул, 2 пуш.</w:t>
            </w:r>
          </w:p>
        </w:tc>
        <w:tc>
          <w:tcPr>
            <w:tcW w:w="831" w:type="dxa"/>
          </w:tcPr>
          <w:p w14:paraId="67AC55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Сталь</w:t>
            </w:r>
          </w:p>
        </w:tc>
        <w:tc>
          <w:tcPr>
            <w:tcW w:w="763" w:type="dxa"/>
          </w:tcPr>
          <w:p w14:paraId="5967DC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ТБ3</w:t>
            </w:r>
          </w:p>
        </w:tc>
        <w:tc>
          <w:tcPr>
            <w:tcW w:w="763" w:type="dxa"/>
          </w:tcPr>
          <w:p w14:paraId="0086D2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 плана № 1</w:t>
            </w:r>
          </w:p>
        </w:tc>
      </w:tr>
      <w:tr w:rsidR="001002C3" w:rsidRPr="005E779E" w14:paraId="15F106BE" w14:textId="77777777">
        <w:tc>
          <w:tcPr>
            <w:tcW w:w="1668" w:type="dxa"/>
          </w:tcPr>
          <w:p w14:paraId="018167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Тяж. хим. боевик (для горючего</w:t>
            </w:r>
          </w:p>
        </w:tc>
        <w:tc>
          <w:tcPr>
            <w:tcW w:w="850" w:type="dxa"/>
          </w:tcPr>
          <w:p w14:paraId="5C68DC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Х1-2М34</w:t>
            </w:r>
          </w:p>
        </w:tc>
        <w:tc>
          <w:tcPr>
            <w:tcW w:w="992" w:type="dxa"/>
          </w:tcPr>
          <w:p w14:paraId="3DD154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01.09.1932</w:t>
            </w:r>
          </w:p>
        </w:tc>
        <w:tc>
          <w:tcPr>
            <w:tcW w:w="834" w:type="dxa"/>
          </w:tcPr>
          <w:p w14:paraId="22B0E7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250/3000</w:t>
            </w:r>
          </w:p>
        </w:tc>
        <w:tc>
          <w:tcPr>
            <w:tcW w:w="1009" w:type="dxa"/>
          </w:tcPr>
          <w:p w14:paraId="77C0C8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81" w:type="dxa"/>
          </w:tcPr>
          <w:p w14:paraId="39EAE0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w:t>
            </w:r>
          </w:p>
        </w:tc>
        <w:tc>
          <w:tcPr>
            <w:tcW w:w="912" w:type="dxa"/>
          </w:tcPr>
          <w:p w14:paraId="02A647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450/600</w:t>
            </w:r>
          </w:p>
        </w:tc>
        <w:tc>
          <w:tcPr>
            <w:tcW w:w="914" w:type="dxa"/>
          </w:tcPr>
          <w:p w14:paraId="400C4C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2000/3000</w:t>
            </w:r>
          </w:p>
        </w:tc>
        <w:tc>
          <w:tcPr>
            <w:tcW w:w="907" w:type="dxa"/>
          </w:tcPr>
          <w:p w14:paraId="32D8AC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3D624D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Сталь</w:t>
            </w:r>
          </w:p>
        </w:tc>
        <w:tc>
          <w:tcPr>
            <w:tcW w:w="763" w:type="dxa"/>
          </w:tcPr>
          <w:p w14:paraId="7F3147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АНТ-9</w:t>
            </w:r>
          </w:p>
        </w:tc>
        <w:tc>
          <w:tcPr>
            <w:tcW w:w="763" w:type="dxa"/>
          </w:tcPr>
          <w:p w14:paraId="208B2A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9019BE5" w14:textId="77777777">
        <w:tc>
          <w:tcPr>
            <w:tcW w:w="1668" w:type="dxa"/>
          </w:tcPr>
          <w:p w14:paraId="5A9C5C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 пассажирский)</w:t>
            </w:r>
          </w:p>
        </w:tc>
        <w:tc>
          <w:tcPr>
            <w:tcW w:w="850" w:type="dxa"/>
          </w:tcPr>
          <w:p w14:paraId="3BA78D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5FBC1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464556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6D1F74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6AC05D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70CCA3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75B944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5F7BB8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2859F0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1D7AED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0FF870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E8E46C3" w14:textId="77777777">
        <w:tc>
          <w:tcPr>
            <w:tcW w:w="1668" w:type="dxa"/>
          </w:tcPr>
          <w:p w14:paraId="5DC68A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7. Крейсер сухоп., средн. </w:t>
            </w:r>
          </w:p>
        </w:tc>
        <w:tc>
          <w:tcPr>
            <w:tcW w:w="850" w:type="dxa"/>
          </w:tcPr>
          <w:p w14:paraId="24BCBA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К1-2М34</w:t>
            </w:r>
          </w:p>
        </w:tc>
        <w:tc>
          <w:tcPr>
            <w:tcW w:w="992" w:type="dxa"/>
          </w:tcPr>
          <w:p w14:paraId="773D45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01.11.1932</w:t>
            </w:r>
          </w:p>
        </w:tc>
        <w:tc>
          <w:tcPr>
            <w:tcW w:w="834" w:type="dxa"/>
          </w:tcPr>
          <w:p w14:paraId="0490CA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300/5000</w:t>
            </w:r>
          </w:p>
        </w:tc>
        <w:tc>
          <w:tcPr>
            <w:tcW w:w="1009" w:type="dxa"/>
          </w:tcPr>
          <w:p w14:paraId="41B03C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7000/-</w:t>
            </w:r>
          </w:p>
        </w:tc>
        <w:tc>
          <w:tcPr>
            <w:tcW w:w="581" w:type="dxa"/>
          </w:tcPr>
          <w:p w14:paraId="210A4D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90</w:t>
            </w:r>
          </w:p>
        </w:tc>
        <w:tc>
          <w:tcPr>
            <w:tcW w:w="912" w:type="dxa"/>
          </w:tcPr>
          <w:p w14:paraId="235895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1000/1250</w:t>
            </w:r>
          </w:p>
        </w:tc>
        <w:tc>
          <w:tcPr>
            <w:tcW w:w="914" w:type="dxa"/>
          </w:tcPr>
          <w:p w14:paraId="185943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w:t>
            </w:r>
          </w:p>
        </w:tc>
        <w:tc>
          <w:tcPr>
            <w:tcW w:w="907" w:type="dxa"/>
          </w:tcPr>
          <w:p w14:paraId="3371BE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тяж. и легк. пул.</w:t>
            </w:r>
          </w:p>
        </w:tc>
        <w:tc>
          <w:tcPr>
            <w:tcW w:w="831" w:type="dxa"/>
          </w:tcPr>
          <w:p w14:paraId="2DB863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Сталь/дюраль</w:t>
            </w:r>
          </w:p>
        </w:tc>
        <w:tc>
          <w:tcPr>
            <w:tcW w:w="763" w:type="dxa"/>
          </w:tcPr>
          <w:p w14:paraId="15C16D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Р6-МИ3</w:t>
            </w:r>
          </w:p>
        </w:tc>
        <w:tc>
          <w:tcPr>
            <w:tcW w:w="763" w:type="dxa"/>
          </w:tcPr>
          <w:p w14:paraId="389170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 плана № 1</w:t>
            </w:r>
          </w:p>
        </w:tc>
      </w:tr>
      <w:tr w:rsidR="001002C3" w:rsidRPr="005E779E" w14:paraId="31868905" w14:textId="77777777">
        <w:tc>
          <w:tcPr>
            <w:tcW w:w="1668" w:type="dxa"/>
          </w:tcPr>
          <w:p w14:paraId="733D8C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 дальн. разведч.</w:t>
            </w:r>
          </w:p>
        </w:tc>
        <w:tc>
          <w:tcPr>
            <w:tcW w:w="850" w:type="dxa"/>
          </w:tcPr>
          <w:p w14:paraId="1B3BF0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59328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598A1E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22B92E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3546B0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73F928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389563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561D64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40ABF4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1FC605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0ADF3F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497BE32" w14:textId="77777777">
        <w:tc>
          <w:tcPr>
            <w:tcW w:w="1668" w:type="dxa"/>
          </w:tcPr>
          <w:p w14:paraId="114354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Многоместный истребитель</w:t>
            </w:r>
          </w:p>
        </w:tc>
        <w:tc>
          <w:tcPr>
            <w:tcW w:w="850" w:type="dxa"/>
          </w:tcPr>
          <w:p w14:paraId="5EFDD6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МИ3-2М34</w:t>
            </w:r>
          </w:p>
        </w:tc>
        <w:tc>
          <w:tcPr>
            <w:tcW w:w="992" w:type="dxa"/>
          </w:tcPr>
          <w:p w14:paraId="4B2B94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01.01.1932</w:t>
            </w:r>
          </w:p>
        </w:tc>
        <w:tc>
          <w:tcPr>
            <w:tcW w:w="834" w:type="dxa"/>
          </w:tcPr>
          <w:p w14:paraId="61E128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300/5000</w:t>
            </w:r>
          </w:p>
        </w:tc>
        <w:tc>
          <w:tcPr>
            <w:tcW w:w="1009" w:type="dxa"/>
          </w:tcPr>
          <w:p w14:paraId="15D38E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5000/7000-8000/15-18</w:t>
            </w:r>
          </w:p>
        </w:tc>
        <w:tc>
          <w:tcPr>
            <w:tcW w:w="581" w:type="dxa"/>
          </w:tcPr>
          <w:p w14:paraId="701B1C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912" w:type="dxa"/>
          </w:tcPr>
          <w:p w14:paraId="5B29F0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w:t>
            </w:r>
          </w:p>
          <w:p w14:paraId="730A8B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 штабом РККА согл. Уменьш. До 500</w:t>
            </w:r>
          </w:p>
        </w:tc>
        <w:tc>
          <w:tcPr>
            <w:tcW w:w="914" w:type="dxa"/>
          </w:tcPr>
          <w:p w14:paraId="76847A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907" w:type="dxa"/>
          </w:tcPr>
          <w:p w14:paraId="535FAD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4-6 пул, 1 пушка</w:t>
            </w:r>
          </w:p>
        </w:tc>
        <w:tc>
          <w:tcPr>
            <w:tcW w:w="831" w:type="dxa"/>
          </w:tcPr>
          <w:p w14:paraId="189C4F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Дюраль</w:t>
            </w:r>
          </w:p>
        </w:tc>
        <w:tc>
          <w:tcPr>
            <w:tcW w:w="763" w:type="dxa"/>
          </w:tcPr>
          <w:p w14:paraId="3FAA23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63" w:type="dxa"/>
          </w:tcPr>
          <w:p w14:paraId="7D22A1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 плана № 1</w:t>
            </w:r>
          </w:p>
        </w:tc>
      </w:tr>
      <w:tr w:rsidR="001002C3" w:rsidRPr="005E779E" w14:paraId="58979739" w14:textId="77777777">
        <w:tc>
          <w:tcPr>
            <w:tcW w:w="1668" w:type="dxa"/>
          </w:tcPr>
          <w:p w14:paraId="3C6857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Двухместный истребитель пуш.</w:t>
            </w:r>
          </w:p>
        </w:tc>
        <w:tc>
          <w:tcPr>
            <w:tcW w:w="850" w:type="dxa"/>
          </w:tcPr>
          <w:p w14:paraId="09F9A8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ДИП1-М34</w:t>
            </w:r>
          </w:p>
        </w:tc>
        <w:tc>
          <w:tcPr>
            <w:tcW w:w="992" w:type="dxa"/>
          </w:tcPr>
          <w:p w14:paraId="49D159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01.08.1932</w:t>
            </w:r>
          </w:p>
        </w:tc>
        <w:tc>
          <w:tcPr>
            <w:tcW w:w="834" w:type="dxa"/>
          </w:tcPr>
          <w:p w14:paraId="7F7088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325/5000</w:t>
            </w:r>
          </w:p>
        </w:tc>
        <w:tc>
          <w:tcPr>
            <w:tcW w:w="1009" w:type="dxa"/>
          </w:tcPr>
          <w:p w14:paraId="1B34C9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5000/8000/10-12</w:t>
            </w:r>
          </w:p>
        </w:tc>
        <w:tc>
          <w:tcPr>
            <w:tcW w:w="581" w:type="dxa"/>
          </w:tcPr>
          <w:p w14:paraId="5323C3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90-100</w:t>
            </w:r>
          </w:p>
        </w:tc>
        <w:tc>
          <w:tcPr>
            <w:tcW w:w="912" w:type="dxa"/>
          </w:tcPr>
          <w:p w14:paraId="1E1DD9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300/600</w:t>
            </w:r>
          </w:p>
        </w:tc>
        <w:tc>
          <w:tcPr>
            <w:tcW w:w="914" w:type="dxa"/>
          </w:tcPr>
          <w:p w14:paraId="7A23DE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w:t>
            </w:r>
          </w:p>
        </w:tc>
        <w:tc>
          <w:tcPr>
            <w:tcW w:w="907" w:type="dxa"/>
          </w:tcPr>
          <w:p w14:paraId="4D28A4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ДРП и легк. пул.</w:t>
            </w:r>
          </w:p>
        </w:tc>
        <w:tc>
          <w:tcPr>
            <w:tcW w:w="831" w:type="dxa"/>
          </w:tcPr>
          <w:p w14:paraId="2B3192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Дюраль</w:t>
            </w:r>
          </w:p>
        </w:tc>
        <w:tc>
          <w:tcPr>
            <w:tcW w:w="763" w:type="dxa"/>
          </w:tcPr>
          <w:p w14:paraId="27D1DA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И12</w:t>
            </w:r>
          </w:p>
        </w:tc>
        <w:tc>
          <w:tcPr>
            <w:tcW w:w="763" w:type="dxa"/>
          </w:tcPr>
          <w:p w14:paraId="38BD7E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1E80B88" w14:textId="77777777">
        <w:tc>
          <w:tcPr>
            <w:tcW w:w="1668" w:type="dxa"/>
          </w:tcPr>
          <w:p w14:paraId="4A913B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Двухместный истребитель, легк.</w:t>
            </w:r>
          </w:p>
        </w:tc>
        <w:tc>
          <w:tcPr>
            <w:tcW w:w="850" w:type="dxa"/>
          </w:tcPr>
          <w:p w14:paraId="40AA36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ДИ6-М34</w:t>
            </w:r>
          </w:p>
        </w:tc>
        <w:tc>
          <w:tcPr>
            <w:tcW w:w="992" w:type="dxa"/>
          </w:tcPr>
          <w:p w14:paraId="5CF04B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01.07.1932</w:t>
            </w:r>
          </w:p>
        </w:tc>
        <w:tc>
          <w:tcPr>
            <w:tcW w:w="834" w:type="dxa"/>
          </w:tcPr>
          <w:p w14:paraId="098C8E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375/5000</w:t>
            </w:r>
          </w:p>
        </w:tc>
        <w:tc>
          <w:tcPr>
            <w:tcW w:w="1009" w:type="dxa"/>
          </w:tcPr>
          <w:p w14:paraId="704EC4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5000/9000/9</w:t>
            </w:r>
          </w:p>
        </w:tc>
        <w:tc>
          <w:tcPr>
            <w:tcW w:w="581" w:type="dxa"/>
          </w:tcPr>
          <w:p w14:paraId="18E102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90-100</w:t>
            </w:r>
          </w:p>
        </w:tc>
        <w:tc>
          <w:tcPr>
            <w:tcW w:w="912" w:type="dxa"/>
          </w:tcPr>
          <w:p w14:paraId="0B28F5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400/700</w:t>
            </w:r>
          </w:p>
        </w:tc>
        <w:tc>
          <w:tcPr>
            <w:tcW w:w="914" w:type="dxa"/>
          </w:tcPr>
          <w:p w14:paraId="3D4D37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w:t>
            </w:r>
          </w:p>
        </w:tc>
        <w:tc>
          <w:tcPr>
            <w:tcW w:w="907" w:type="dxa"/>
          </w:tcPr>
          <w:p w14:paraId="565C01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легк. или тяж. пул.</w:t>
            </w:r>
          </w:p>
        </w:tc>
        <w:tc>
          <w:tcPr>
            <w:tcW w:w="831" w:type="dxa"/>
          </w:tcPr>
          <w:p w14:paraId="22BC93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Св. Трубы/дер.</w:t>
            </w:r>
          </w:p>
        </w:tc>
        <w:tc>
          <w:tcPr>
            <w:tcW w:w="763" w:type="dxa"/>
          </w:tcPr>
          <w:p w14:paraId="377BD9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ДИ4-Р5</w:t>
            </w:r>
          </w:p>
        </w:tc>
        <w:tc>
          <w:tcPr>
            <w:tcW w:w="763" w:type="dxa"/>
          </w:tcPr>
          <w:p w14:paraId="255AA7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98DF256" w14:textId="77777777">
        <w:tc>
          <w:tcPr>
            <w:tcW w:w="1668" w:type="dxa"/>
          </w:tcPr>
          <w:p w14:paraId="5E0F26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пикир. бомбард., разв., (скор.</w:t>
            </w:r>
          </w:p>
        </w:tc>
        <w:tc>
          <w:tcPr>
            <w:tcW w:w="850" w:type="dxa"/>
          </w:tcPr>
          <w:p w14:paraId="063AD7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A5A5A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174FF0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70D195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33655D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52B97F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3152EA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550D4B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7A263A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27A6FE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4C7AAE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B4E66F2" w14:textId="77777777">
        <w:tc>
          <w:tcPr>
            <w:tcW w:w="1668" w:type="dxa"/>
          </w:tcPr>
          <w:p w14:paraId="75967B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Почтовый)</w:t>
            </w:r>
          </w:p>
        </w:tc>
        <w:tc>
          <w:tcPr>
            <w:tcW w:w="850" w:type="dxa"/>
          </w:tcPr>
          <w:p w14:paraId="29172D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92828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14A8D1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2B85E6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4AF0BF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10E663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718F8F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2B9368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51123D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43BC2C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24F3E2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2B8B626" w14:textId="77777777">
        <w:tc>
          <w:tcPr>
            <w:tcW w:w="1668" w:type="dxa"/>
          </w:tcPr>
          <w:p w14:paraId="49D016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Одноместный истреб.</w:t>
            </w:r>
          </w:p>
        </w:tc>
        <w:tc>
          <w:tcPr>
            <w:tcW w:w="850" w:type="dxa"/>
          </w:tcPr>
          <w:p w14:paraId="4EEF82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И13-М32</w:t>
            </w:r>
          </w:p>
        </w:tc>
        <w:tc>
          <w:tcPr>
            <w:tcW w:w="992" w:type="dxa"/>
          </w:tcPr>
          <w:p w14:paraId="555C43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01.10.1932</w:t>
            </w:r>
          </w:p>
        </w:tc>
        <w:tc>
          <w:tcPr>
            <w:tcW w:w="834" w:type="dxa"/>
          </w:tcPr>
          <w:p w14:paraId="4FA5A3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425/5000</w:t>
            </w:r>
          </w:p>
        </w:tc>
        <w:tc>
          <w:tcPr>
            <w:tcW w:w="1009" w:type="dxa"/>
          </w:tcPr>
          <w:p w14:paraId="209063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8000/11000/6 на 5000</w:t>
            </w:r>
          </w:p>
        </w:tc>
        <w:tc>
          <w:tcPr>
            <w:tcW w:w="581" w:type="dxa"/>
          </w:tcPr>
          <w:p w14:paraId="5E58ED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90-100</w:t>
            </w:r>
          </w:p>
        </w:tc>
        <w:tc>
          <w:tcPr>
            <w:tcW w:w="912" w:type="dxa"/>
          </w:tcPr>
          <w:p w14:paraId="14A0F1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w:t>
            </w:r>
          </w:p>
        </w:tc>
        <w:tc>
          <w:tcPr>
            <w:tcW w:w="914" w:type="dxa"/>
          </w:tcPr>
          <w:p w14:paraId="7D61C9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-/75</w:t>
            </w:r>
          </w:p>
        </w:tc>
        <w:tc>
          <w:tcPr>
            <w:tcW w:w="907" w:type="dxa"/>
          </w:tcPr>
          <w:p w14:paraId="2B779B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легк. или тяж. пул.</w:t>
            </w:r>
          </w:p>
        </w:tc>
        <w:tc>
          <w:tcPr>
            <w:tcW w:w="831" w:type="dxa"/>
          </w:tcPr>
          <w:p w14:paraId="268341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Св. трубы/дер.</w:t>
            </w:r>
          </w:p>
        </w:tc>
        <w:tc>
          <w:tcPr>
            <w:tcW w:w="763" w:type="dxa"/>
          </w:tcPr>
          <w:p w14:paraId="14642E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И7</w:t>
            </w:r>
          </w:p>
        </w:tc>
        <w:tc>
          <w:tcPr>
            <w:tcW w:w="763" w:type="dxa"/>
          </w:tcPr>
          <w:p w14:paraId="624957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0659BC6" w14:textId="77777777">
        <w:tc>
          <w:tcPr>
            <w:tcW w:w="1668" w:type="dxa"/>
          </w:tcPr>
          <w:p w14:paraId="73308F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(скоростн.)</w:t>
            </w:r>
          </w:p>
        </w:tc>
        <w:tc>
          <w:tcPr>
            <w:tcW w:w="850" w:type="dxa"/>
          </w:tcPr>
          <w:p w14:paraId="28F51E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E91F7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20BFEC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7DD4E3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6B20D0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64DC21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6C06C3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5A9614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4A9EBE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4709F7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6477BB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3578DA4" w14:textId="77777777">
        <w:tc>
          <w:tcPr>
            <w:tcW w:w="1668" w:type="dxa"/>
          </w:tcPr>
          <w:p w14:paraId="3515F3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Одноместный истреб.</w:t>
            </w:r>
          </w:p>
        </w:tc>
        <w:tc>
          <w:tcPr>
            <w:tcW w:w="850" w:type="dxa"/>
          </w:tcPr>
          <w:p w14:paraId="2619A6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И14-М38</w:t>
            </w:r>
          </w:p>
        </w:tc>
        <w:tc>
          <w:tcPr>
            <w:tcW w:w="992" w:type="dxa"/>
          </w:tcPr>
          <w:p w14:paraId="412828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01.08.1933</w:t>
            </w:r>
          </w:p>
        </w:tc>
        <w:tc>
          <w:tcPr>
            <w:tcW w:w="834" w:type="dxa"/>
          </w:tcPr>
          <w:p w14:paraId="3CA1DD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400/5000</w:t>
            </w:r>
          </w:p>
        </w:tc>
        <w:tc>
          <w:tcPr>
            <w:tcW w:w="1009" w:type="dxa"/>
          </w:tcPr>
          <w:p w14:paraId="28B627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8000/12000/5 на 5000</w:t>
            </w:r>
          </w:p>
        </w:tc>
        <w:tc>
          <w:tcPr>
            <w:tcW w:w="581" w:type="dxa"/>
          </w:tcPr>
          <w:p w14:paraId="6F1A31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90-100</w:t>
            </w:r>
          </w:p>
        </w:tc>
        <w:tc>
          <w:tcPr>
            <w:tcW w:w="912" w:type="dxa"/>
          </w:tcPr>
          <w:p w14:paraId="5AED1D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250/-</w:t>
            </w:r>
          </w:p>
        </w:tc>
        <w:tc>
          <w:tcPr>
            <w:tcW w:w="914" w:type="dxa"/>
          </w:tcPr>
          <w:p w14:paraId="55A051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907" w:type="dxa"/>
          </w:tcPr>
          <w:p w14:paraId="026652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легк. или тяж. пул.</w:t>
            </w:r>
          </w:p>
        </w:tc>
        <w:tc>
          <w:tcPr>
            <w:tcW w:w="831" w:type="dxa"/>
          </w:tcPr>
          <w:p w14:paraId="2A784A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Св. трубы/дер.</w:t>
            </w:r>
          </w:p>
        </w:tc>
        <w:tc>
          <w:tcPr>
            <w:tcW w:w="763" w:type="dxa"/>
          </w:tcPr>
          <w:p w14:paraId="63DB55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w:t>
            </w:r>
          </w:p>
        </w:tc>
        <w:tc>
          <w:tcPr>
            <w:tcW w:w="763" w:type="dxa"/>
          </w:tcPr>
          <w:p w14:paraId="706525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86FD115" w14:textId="77777777">
        <w:tc>
          <w:tcPr>
            <w:tcW w:w="1668" w:type="dxa"/>
          </w:tcPr>
          <w:p w14:paraId="00E1CE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(скоропод.)</w:t>
            </w:r>
          </w:p>
        </w:tc>
        <w:tc>
          <w:tcPr>
            <w:tcW w:w="850" w:type="dxa"/>
          </w:tcPr>
          <w:p w14:paraId="71BEE3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322CB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28D875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132C23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1F4C3A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4A6B0D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07F636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0BA6C5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1801BB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157C4B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5C6EF9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6EF149A" w14:textId="77777777">
        <w:tc>
          <w:tcPr>
            <w:tcW w:w="1668" w:type="dxa"/>
          </w:tcPr>
          <w:p w14:paraId="64B4CB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Войсковой самолет, легк.</w:t>
            </w:r>
          </w:p>
        </w:tc>
        <w:tc>
          <w:tcPr>
            <w:tcW w:w="850" w:type="dxa"/>
          </w:tcPr>
          <w:p w14:paraId="06DE82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ВC2-2М33</w:t>
            </w:r>
          </w:p>
        </w:tc>
        <w:tc>
          <w:tcPr>
            <w:tcW w:w="992" w:type="dxa"/>
          </w:tcPr>
          <w:p w14:paraId="215253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01.07.1932</w:t>
            </w:r>
          </w:p>
        </w:tc>
        <w:tc>
          <w:tcPr>
            <w:tcW w:w="834" w:type="dxa"/>
          </w:tcPr>
          <w:p w14:paraId="6E67DF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250/3000</w:t>
            </w:r>
          </w:p>
        </w:tc>
        <w:tc>
          <w:tcPr>
            <w:tcW w:w="1009" w:type="dxa"/>
          </w:tcPr>
          <w:p w14:paraId="21F66E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w:t>
            </w:r>
          </w:p>
        </w:tc>
        <w:tc>
          <w:tcPr>
            <w:tcW w:w="581" w:type="dxa"/>
          </w:tcPr>
          <w:p w14:paraId="05EA6F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50-60</w:t>
            </w:r>
          </w:p>
        </w:tc>
        <w:tc>
          <w:tcPr>
            <w:tcW w:w="912" w:type="dxa"/>
          </w:tcPr>
          <w:p w14:paraId="0DD3BA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350/600</w:t>
            </w:r>
          </w:p>
        </w:tc>
        <w:tc>
          <w:tcPr>
            <w:tcW w:w="914" w:type="dxa"/>
          </w:tcPr>
          <w:p w14:paraId="0EB7C1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300/500</w:t>
            </w:r>
          </w:p>
        </w:tc>
        <w:tc>
          <w:tcPr>
            <w:tcW w:w="907" w:type="dxa"/>
          </w:tcPr>
          <w:p w14:paraId="3A84B2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легк. пул.</w:t>
            </w:r>
          </w:p>
        </w:tc>
        <w:tc>
          <w:tcPr>
            <w:tcW w:w="831" w:type="dxa"/>
          </w:tcPr>
          <w:p w14:paraId="0FB7A6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Св. трубы/дер.</w:t>
            </w:r>
          </w:p>
        </w:tc>
        <w:tc>
          <w:tcPr>
            <w:tcW w:w="763" w:type="dxa"/>
          </w:tcPr>
          <w:p w14:paraId="137F62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Р5, К5</w:t>
            </w:r>
          </w:p>
        </w:tc>
        <w:tc>
          <w:tcPr>
            <w:tcW w:w="763" w:type="dxa"/>
          </w:tcPr>
          <w:p w14:paraId="18E7FD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Вместо Р9</w:t>
            </w:r>
          </w:p>
        </w:tc>
      </w:tr>
      <w:tr w:rsidR="001002C3" w:rsidRPr="005E779E" w14:paraId="79074D91" w14:textId="77777777">
        <w:tc>
          <w:tcPr>
            <w:tcW w:w="1668" w:type="dxa"/>
          </w:tcPr>
          <w:p w14:paraId="6CF626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хим. боевик, (сам. борьбы с </w:t>
            </w:r>
          </w:p>
        </w:tc>
        <w:tc>
          <w:tcPr>
            <w:tcW w:w="850" w:type="dxa"/>
          </w:tcPr>
          <w:p w14:paraId="3A3191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A97FD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53D53E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36BCA1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7D8A74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43959D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5DCFF7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0E56E6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36C396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086DAA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723512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D8EFFDE" w14:textId="77777777">
        <w:tc>
          <w:tcPr>
            <w:tcW w:w="1668" w:type="dxa"/>
          </w:tcPr>
          <w:p w14:paraId="2837B2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вред. с/х и лесов, фотосъем,</w:t>
            </w:r>
          </w:p>
        </w:tc>
        <w:tc>
          <w:tcPr>
            <w:tcW w:w="850" w:type="dxa"/>
          </w:tcPr>
          <w:p w14:paraId="7BC313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5BF7F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1E8EAC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628EEC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202529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4CAF49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7BA14A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75ABFB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61E42E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09D097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2242F3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214B86F" w14:textId="77777777">
        <w:tc>
          <w:tcPr>
            <w:tcW w:w="1668" w:type="dxa"/>
          </w:tcPr>
          <w:p w14:paraId="71FADB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санит, пас.)</w:t>
            </w:r>
          </w:p>
        </w:tc>
        <w:tc>
          <w:tcPr>
            <w:tcW w:w="850" w:type="dxa"/>
          </w:tcPr>
          <w:p w14:paraId="3FB1DD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59DCD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31ED60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7A8ADB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3C1251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25BB49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1CFF39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0647C5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0A6711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2F20C3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16E59F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91DD2AB" w14:textId="77777777">
        <w:tc>
          <w:tcPr>
            <w:tcW w:w="1668" w:type="dxa"/>
          </w:tcPr>
          <w:p w14:paraId="6FF418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Переходн. для школ и корп.</w:t>
            </w:r>
          </w:p>
        </w:tc>
        <w:tc>
          <w:tcPr>
            <w:tcW w:w="850" w:type="dxa"/>
          </w:tcPr>
          <w:p w14:paraId="026067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П3-М52</w:t>
            </w:r>
          </w:p>
        </w:tc>
        <w:tc>
          <w:tcPr>
            <w:tcW w:w="992" w:type="dxa"/>
          </w:tcPr>
          <w:p w14:paraId="4778E3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01.05.1933</w:t>
            </w:r>
          </w:p>
        </w:tc>
        <w:tc>
          <w:tcPr>
            <w:tcW w:w="834" w:type="dxa"/>
          </w:tcPr>
          <w:p w14:paraId="03C717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250/3000</w:t>
            </w:r>
          </w:p>
        </w:tc>
        <w:tc>
          <w:tcPr>
            <w:tcW w:w="1009" w:type="dxa"/>
          </w:tcPr>
          <w:p w14:paraId="07DE2C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3000/5000/-</w:t>
            </w:r>
          </w:p>
        </w:tc>
        <w:tc>
          <w:tcPr>
            <w:tcW w:w="581" w:type="dxa"/>
          </w:tcPr>
          <w:p w14:paraId="714D97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70-80</w:t>
            </w:r>
          </w:p>
        </w:tc>
        <w:tc>
          <w:tcPr>
            <w:tcW w:w="912" w:type="dxa"/>
          </w:tcPr>
          <w:p w14:paraId="48C5E8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w:t>
            </w:r>
          </w:p>
        </w:tc>
        <w:tc>
          <w:tcPr>
            <w:tcW w:w="914" w:type="dxa"/>
          </w:tcPr>
          <w:p w14:paraId="6B6C73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907" w:type="dxa"/>
          </w:tcPr>
          <w:p w14:paraId="3A9837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легк. пул.</w:t>
            </w:r>
          </w:p>
        </w:tc>
        <w:tc>
          <w:tcPr>
            <w:tcW w:w="831" w:type="dxa"/>
          </w:tcPr>
          <w:p w14:paraId="7C8CFB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Дерево</w:t>
            </w:r>
          </w:p>
        </w:tc>
        <w:tc>
          <w:tcPr>
            <w:tcW w:w="763" w:type="dxa"/>
          </w:tcPr>
          <w:p w14:paraId="478809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63" w:type="dxa"/>
          </w:tcPr>
          <w:p w14:paraId="48D89D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AD10B9F" w14:textId="77777777">
        <w:tc>
          <w:tcPr>
            <w:tcW w:w="1668" w:type="dxa"/>
          </w:tcPr>
          <w:p w14:paraId="4827CE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разв., (самолет местн. авиации)</w:t>
            </w:r>
          </w:p>
        </w:tc>
        <w:tc>
          <w:tcPr>
            <w:tcW w:w="850" w:type="dxa"/>
          </w:tcPr>
          <w:p w14:paraId="3A2234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D391B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22F17B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25175D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0C6918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36EAA0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621F61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68FE72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04714D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09B327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39025D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CFA5BBA" w14:textId="77777777">
        <w:tc>
          <w:tcPr>
            <w:tcW w:w="1668" w:type="dxa"/>
          </w:tcPr>
          <w:p w14:paraId="30B78E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Учебный сам., связи и сопров.</w:t>
            </w:r>
          </w:p>
        </w:tc>
        <w:tc>
          <w:tcPr>
            <w:tcW w:w="850" w:type="dxa"/>
          </w:tcPr>
          <w:p w14:paraId="0CEA75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У3-М48</w:t>
            </w:r>
          </w:p>
        </w:tc>
        <w:tc>
          <w:tcPr>
            <w:tcW w:w="992" w:type="dxa"/>
          </w:tcPr>
          <w:p w14:paraId="199FB9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01.08.1932</w:t>
            </w:r>
          </w:p>
        </w:tc>
        <w:tc>
          <w:tcPr>
            <w:tcW w:w="834" w:type="dxa"/>
          </w:tcPr>
          <w:p w14:paraId="1F98E9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180/1000</w:t>
            </w:r>
          </w:p>
        </w:tc>
        <w:tc>
          <w:tcPr>
            <w:tcW w:w="1009" w:type="dxa"/>
          </w:tcPr>
          <w:p w14:paraId="484A82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1000/5000/-</w:t>
            </w:r>
          </w:p>
        </w:tc>
        <w:tc>
          <w:tcPr>
            <w:tcW w:w="581" w:type="dxa"/>
          </w:tcPr>
          <w:p w14:paraId="6D718F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50-60</w:t>
            </w:r>
          </w:p>
        </w:tc>
        <w:tc>
          <w:tcPr>
            <w:tcW w:w="912" w:type="dxa"/>
          </w:tcPr>
          <w:p w14:paraId="38AA85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360/-</w:t>
            </w:r>
          </w:p>
        </w:tc>
        <w:tc>
          <w:tcPr>
            <w:tcW w:w="914" w:type="dxa"/>
          </w:tcPr>
          <w:p w14:paraId="00D657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907" w:type="dxa"/>
          </w:tcPr>
          <w:p w14:paraId="39F5D7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легк. пул., фото или радио</w:t>
            </w:r>
          </w:p>
        </w:tc>
        <w:tc>
          <w:tcPr>
            <w:tcW w:w="831" w:type="dxa"/>
          </w:tcPr>
          <w:p w14:paraId="27602D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Дерево</w:t>
            </w:r>
          </w:p>
        </w:tc>
        <w:tc>
          <w:tcPr>
            <w:tcW w:w="763" w:type="dxa"/>
          </w:tcPr>
          <w:p w14:paraId="2FD036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У2</w:t>
            </w:r>
          </w:p>
        </w:tc>
        <w:tc>
          <w:tcPr>
            <w:tcW w:w="763" w:type="dxa"/>
          </w:tcPr>
          <w:p w14:paraId="61C490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63E11E5" w14:textId="77777777">
        <w:tc>
          <w:tcPr>
            <w:tcW w:w="1668" w:type="dxa"/>
          </w:tcPr>
          <w:p w14:paraId="3B9DBC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(туризм, спорт, легк. санит.,</w:t>
            </w:r>
          </w:p>
        </w:tc>
        <w:tc>
          <w:tcPr>
            <w:tcW w:w="850" w:type="dxa"/>
          </w:tcPr>
          <w:p w14:paraId="2D43EB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1A12C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3F2F7C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1BBC5B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24107A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273E11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131F90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3CFF49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28BFBD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5ED5CA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4AD55C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915173D" w14:textId="77777777">
        <w:tc>
          <w:tcPr>
            <w:tcW w:w="1668" w:type="dxa"/>
          </w:tcPr>
          <w:p w14:paraId="46417F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местн. авиация)</w:t>
            </w:r>
          </w:p>
        </w:tc>
        <w:tc>
          <w:tcPr>
            <w:tcW w:w="850" w:type="dxa"/>
          </w:tcPr>
          <w:p w14:paraId="59C2F8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7C905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65E568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2CDF39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0AAEA4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68EC35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48C0EB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2C21B8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249E18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601CAB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46F892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39881C9" w14:textId="77777777">
        <w:tc>
          <w:tcPr>
            <w:tcW w:w="1668" w:type="dxa"/>
          </w:tcPr>
          <w:p w14:paraId="492964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Гидросамолеты</w:t>
            </w:r>
          </w:p>
        </w:tc>
        <w:tc>
          <w:tcPr>
            <w:tcW w:w="850" w:type="dxa"/>
          </w:tcPr>
          <w:p w14:paraId="53F753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24279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5B3AF7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002329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5FEA8D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445550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17FADB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0DBA4A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3EC003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676619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52F45C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89B2D53" w14:textId="77777777">
        <w:tc>
          <w:tcPr>
            <w:tcW w:w="1668" w:type="dxa"/>
          </w:tcPr>
          <w:p w14:paraId="0CB7AB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 Морской крейсер</w:t>
            </w:r>
          </w:p>
        </w:tc>
        <w:tc>
          <w:tcPr>
            <w:tcW w:w="850" w:type="dxa"/>
          </w:tcPr>
          <w:p w14:paraId="7D41D3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МК1-4М34</w:t>
            </w:r>
          </w:p>
        </w:tc>
        <w:tc>
          <w:tcPr>
            <w:tcW w:w="992" w:type="dxa"/>
          </w:tcPr>
          <w:p w14:paraId="615802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01.10.1932</w:t>
            </w:r>
          </w:p>
        </w:tc>
        <w:tc>
          <w:tcPr>
            <w:tcW w:w="834" w:type="dxa"/>
          </w:tcPr>
          <w:p w14:paraId="0857E6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215/4000</w:t>
            </w:r>
          </w:p>
        </w:tc>
        <w:tc>
          <w:tcPr>
            <w:tcW w:w="1009" w:type="dxa"/>
          </w:tcPr>
          <w:p w14:paraId="2F4186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4000/5000/-</w:t>
            </w:r>
          </w:p>
        </w:tc>
        <w:tc>
          <w:tcPr>
            <w:tcW w:w="581" w:type="dxa"/>
          </w:tcPr>
          <w:p w14:paraId="7FCA31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108</w:t>
            </w:r>
          </w:p>
        </w:tc>
        <w:tc>
          <w:tcPr>
            <w:tcW w:w="912" w:type="dxa"/>
          </w:tcPr>
          <w:p w14:paraId="0ACBB4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750/1200</w:t>
            </w:r>
          </w:p>
        </w:tc>
        <w:tc>
          <w:tcPr>
            <w:tcW w:w="914" w:type="dxa"/>
          </w:tcPr>
          <w:p w14:paraId="43CBFF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500-1800/3600</w:t>
            </w:r>
          </w:p>
        </w:tc>
        <w:tc>
          <w:tcPr>
            <w:tcW w:w="907" w:type="dxa"/>
          </w:tcPr>
          <w:p w14:paraId="041509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военное снаряжение на 1850/2230 кг</w:t>
            </w:r>
          </w:p>
        </w:tc>
        <w:tc>
          <w:tcPr>
            <w:tcW w:w="831" w:type="dxa"/>
          </w:tcPr>
          <w:p w14:paraId="361731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32DC71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Переходн. К МТБ-3. Использование по линии ВОГВФ не предусматр.</w:t>
            </w:r>
          </w:p>
        </w:tc>
        <w:tc>
          <w:tcPr>
            <w:tcW w:w="763" w:type="dxa"/>
          </w:tcPr>
          <w:p w14:paraId="4DF986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пост. РВС от 5/УШ-31</w:t>
            </w:r>
          </w:p>
        </w:tc>
      </w:tr>
      <w:tr w:rsidR="001002C3" w:rsidRPr="005E779E" w14:paraId="391D68D2" w14:textId="77777777">
        <w:tc>
          <w:tcPr>
            <w:tcW w:w="1668" w:type="dxa"/>
          </w:tcPr>
          <w:p w14:paraId="7426AF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 Морской крейсер</w:t>
            </w:r>
          </w:p>
        </w:tc>
        <w:tc>
          <w:tcPr>
            <w:tcW w:w="850" w:type="dxa"/>
          </w:tcPr>
          <w:p w14:paraId="0B3066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МДР4-4М34</w:t>
            </w:r>
          </w:p>
        </w:tc>
        <w:tc>
          <w:tcPr>
            <w:tcW w:w="992" w:type="dxa"/>
          </w:tcPr>
          <w:p w14:paraId="5AC73D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01.08.1934</w:t>
            </w:r>
          </w:p>
        </w:tc>
        <w:tc>
          <w:tcPr>
            <w:tcW w:w="834" w:type="dxa"/>
          </w:tcPr>
          <w:p w14:paraId="289566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300/5000</w:t>
            </w:r>
          </w:p>
        </w:tc>
        <w:tc>
          <w:tcPr>
            <w:tcW w:w="1009" w:type="dxa"/>
          </w:tcPr>
          <w:p w14:paraId="069550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5000/7000</w:t>
            </w:r>
          </w:p>
        </w:tc>
        <w:tc>
          <w:tcPr>
            <w:tcW w:w="581" w:type="dxa"/>
          </w:tcPr>
          <w:p w14:paraId="294CF7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90-100</w:t>
            </w:r>
          </w:p>
        </w:tc>
        <w:tc>
          <w:tcPr>
            <w:tcW w:w="912" w:type="dxa"/>
          </w:tcPr>
          <w:p w14:paraId="08CC07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1500-2500/-</w:t>
            </w:r>
          </w:p>
        </w:tc>
        <w:tc>
          <w:tcPr>
            <w:tcW w:w="914" w:type="dxa"/>
          </w:tcPr>
          <w:p w14:paraId="164BC6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w:t>
            </w:r>
          </w:p>
        </w:tc>
        <w:tc>
          <w:tcPr>
            <w:tcW w:w="907" w:type="dxa"/>
          </w:tcPr>
          <w:p w14:paraId="74009C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легк. и тяж. пул. и пушки</w:t>
            </w:r>
          </w:p>
        </w:tc>
        <w:tc>
          <w:tcPr>
            <w:tcW w:w="831" w:type="dxa"/>
          </w:tcPr>
          <w:p w14:paraId="568F16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Сталь</w:t>
            </w:r>
          </w:p>
        </w:tc>
        <w:tc>
          <w:tcPr>
            <w:tcW w:w="763" w:type="dxa"/>
          </w:tcPr>
          <w:p w14:paraId="4A550C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МДР3</w:t>
            </w:r>
          </w:p>
        </w:tc>
        <w:tc>
          <w:tcPr>
            <w:tcW w:w="763" w:type="dxa"/>
          </w:tcPr>
          <w:p w14:paraId="3BCCC1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504F6B3" w14:textId="77777777">
        <w:tc>
          <w:tcPr>
            <w:tcW w:w="1668" w:type="dxa"/>
          </w:tcPr>
          <w:p w14:paraId="384B14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3531F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или 2М35</w:t>
            </w:r>
          </w:p>
        </w:tc>
        <w:tc>
          <w:tcPr>
            <w:tcW w:w="992" w:type="dxa"/>
          </w:tcPr>
          <w:p w14:paraId="16FAC0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2CB4C6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2E2574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6DF2BB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142119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54D324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4325E0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1F3169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дюраль</w:t>
            </w:r>
          </w:p>
        </w:tc>
        <w:tc>
          <w:tcPr>
            <w:tcW w:w="763" w:type="dxa"/>
          </w:tcPr>
          <w:p w14:paraId="45967E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МК1</w:t>
            </w:r>
          </w:p>
        </w:tc>
        <w:tc>
          <w:tcPr>
            <w:tcW w:w="763" w:type="dxa"/>
          </w:tcPr>
          <w:p w14:paraId="3977D3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0DEC89E" w14:textId="77777777">
        <w:tc>
          <w:tcPr>
            <w:tcW w:w="1668" w:type="dxa"/>
          </w:tcPr>
          <w:p w14:paraId="6A7916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Морской тяжелый бомбарди-</w:t>
            </w:r>
          </w:p>
        </w:tc>
        <w:tc>
          <w:tcPr>
            <w:tcW w:w="850" w:type="dxa"/>
          </w:tcPr>
          <w:p w14:paraId="4268E3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МТБ3-М34/35</w:t>
            </w:r>
          </w:p>
        </w:tc>
        <w:tc>
          <w:tcPr>
            <w:tcW w:w="992" w:type="dxa"/>
          </w:tcPr>
          <w:p w14:paraId="4CFB55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01.05.1933</w:t>
            </w:r>
          </w:p>
        </w:tc>
        <w:tc>
          <w:tcPr>
            <w:tcW w:w="834" w:type="dxa"/>
          </w:tcPr>
          <w:p w14:paraId="611B61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250/5000</w:t>
            </w:r>
          </w:p>
        </w:tc>
        <w:tc>
          <w:tcPr>
            <w:tcW w:w="1009" w:type="dxa"/>
          </w:tcPr>
          <w:p w14:paraId="728A6C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w:t>
            </w:r>
          </w:p>
        </w:tc>
        <w:tc>
          <w:tcPr>
            <w:tcW w:w="581" w:type="dxa"/>
          </w:tcPr>
          <w:p w14:paraId="436757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912" w:type="dxa"/>
          </w:tcPr>
          <w:p w14:paraId="6E9E10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1500/-</w:t>
            </w:r>
          </w:p>
        </w:tc>
        <w:tc>
          <w:tcPr>
            <w:tcW w:w="914" w:type="dxa"/>
          </w:tcPr>
          <w:p w14:paraId="40E54D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4000/-</w:t>
            </w:r>
          </w:p>
        </w:tc>
        <w:tc>
          <w:tcPr>
            <w:tcW w:w="907" w:type="dxa"/>
          </w:tcPr>
          <w:p w14:paraId="37D9BE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тяж. пул. и пушки</w:t>
            </w:r>
          </w:p>
        </w:tc>
        <w:tc>
          <w:tcPr>
            <w:tcW w:w="831" w:type="dxa"/>
          </w:tcPr>
          <w:p w14:paraId="376465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Ст./дюр.</w:t>
            </w:r>
          </w:p>
        </w:tc>
        <w:tc>
          <w:tcPr>
            <w:tcW w:w="763" w:type="dxa"/>
          </w:tcPr>
          <w:p w14:paraId="21A73C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27CE4F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плану</w:t>
            </w:r>
          </w:p>
        </w:tc>
      </w:tr>
      <w:tr w:rsidR="001002C3" w:rsidRPr="005E779E" w14:paraId="124B9840" w14:textId="77777777">
        <w:tc>
          <w:tcPr>
            <w:tcW w:w="1668" w:type="dxa"/>
          </w:tcPr>
          <w:p w14:paraId="6DC321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ровщик (пас., груз.)</w:t>
            </w:r>
          </w:p>
        </w:tc>
        <w:tc>
          <w:tcPr>
            <w:tcW w:w="850" w:type="dxa"/>
          </w:tcPr>
          <w:p w14:paraId="71FB3F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EC876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7B6B3B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5BE3CB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4D13F4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118981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63376B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601C12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3003AA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17AC9A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53AF97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59C5BE7" w14:textId="77777777">
        <w:tc>
          <w:tcPr>
            <w:tcW w:w="1668" w:type="dxa"/>
          </w:tcPr>
          <w:p w14:paraId="791C82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 Морской бл. Разведчик амфиб.</w:t>
            </w:r>
          </w:p>
        </w:tc>
        <w:tc>
          <w:tcPr>
            <w:tcW w:w="850" w:type="dxa"/>
          </w:tcPr>
          <w:p w14:paraId="55CFEB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МБР5-М35</w:t>
            </w:r>
          </w:p>
        </w:tc>
        <w:tc>
          <w:tcPr>
            <w:tcW w:w="992" w:type="dxa"/>
          </w:tcPr>
          <w:p w14:paraId="248083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01.03.1933</w:t>
            </w:r>
          </w:p>
        </w:tc>
        <w:tc>
          <w:tcPr>
            <w:tcW w:w="834" w:type="dxa"/>
          </w:tcPr>
          <w:p w14:paraId="7130D8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300/3000</w:t>
            </w:r>
          </w:p>
        </w:tc>
        <w:tc>
          <w:tcPr>
            <w:tcW w:w="1009" w:type="dxa"/>
          </w:tcPr>
          <w:p w14:paraId="7A00B2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3000/6000</w:t>
            </w:r>
          </w:p>
        </w:tc>
        <w:tc>
          <w:tcPr>
            <w:tcW w:w="581" w:type="dxa"/>
          </w:tcPr>
          <w:p w14:paraId="07C633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80</w:t>
            </w:r>
          </w:p>
        </w:tc>
        <w:tc>
          <w:tcPr>
            <w:tcW w:w="912" w:type="dxa"/>
          </w:tcPr>
          <w:p w14:paraId="59B97B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500/800</w:t>
            </w:r>
          </w:p>
        </w:tc>
        <w:tc>
          <w:tcPr>
            <w:tcW w:w="914" w:type="dxa"/>
          </w:tcPr>
          <w:p w14:paraId="3BB41C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100/600</w:t>
            </w:r>
          </w:p>
        </w:tc>
        <w:tc>
          <w:tcPr>
            <w:tcW w:w="907" w:type="dxa"/>
          </w:tcPr>
          <w:p w14:paraId="07AC25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легк. и тяж. пул.</w:t>
            </w:r>
          </w:p>
        </w:tc>
        <w:tc>
          <w:tcPr>
            <w:tcW w:w="831" w:type="dxa"/>
          </w:tcPr>
          <w:p w14:paraId="72331A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Дерево</w:t>
            </w:r>
          </w:p>
        </w:tc>
        <w:tc>
          <w:tcPr>
            <w:tcW w:w="763" w:type="dxa"/>
          </w:tcPr>
          <w:p w14:paraId="2D9C5D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С62б</w:t>
            </w:r>
          </w:p>
        </w:tc>
        <w:tc>
          <w:tcPr>
            <w:tcW w:w="763" w:type="dxa"/>
          </w:tcPr>
          <w:p w14:paraId="62A882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55ED6B5" w14:textId="77777777">
        <w:tc>
          <w:tcPr>
            <w:tcW w:w="1668" w:type="dxa"/>
          </w:tcPr>
          <w:p w14:paraId="0A7E9E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(санит, фотосъемщ., опылит.)</w:t>
            </w:r>
          </w:p>
        </w:tc>
        <w:tc>
          <w:tcPr>
            <w:tcW w:w="850" w:type="dxa"/>
          </w:tcPr>
          <w:p w14:paraId="368569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73B82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011B96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1A6B2C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1C9390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64264F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2CCFD5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3C4370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0240F2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10A754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7E704D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67F99FD" w14:textId="77777777">
        <w:tc>
          <w:tcPr>
            <w:tcW w:w="1668" w:type="dxa"/>
          </w:tcPr>
          <w:p w14:paraId="125FA0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Модификации:</w:t>
            </w:r>
          </w:p>
        </w:tc>
        <w:tc>
          <w:tcPr>
            <w:tcW w:w="850" w:type="dxa"/>
          </w:tcPr>
          <w:p w14:paraId="79A37B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FC458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7A8AB3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3618CA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7026FD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22D3D6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33E31D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2AF76F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718E13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727F4F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191786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5BC3503" w14:textId="77777777">
        <w:tc>
          <w:tcPr>
            <w:tcW w:w="1668" w:type="dxa"/>
          </w:tcPr>
          <w:p w14:paraId="584347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850" w:type="dxa"/>
          </w:tcPr>
          <w:p w14:paraId="2829CC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ТБ3-4М17</w:t>
            </w:r>
          </w:p>
        </w:tc>
        <w:tc>
          <w:tcPr>
            <w:tcW w:w="992" w:type="dxa"/>
          </w:tcPr>
          <w:p w14:paraId="6697EA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6D0179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Установка М34 и торм. колес</w:t>
            </w:r>
          </w:p>
        </w:tc>
        <w:tc>
          <w:tcPr>
            <w:tcW w:w="1009" w:type="dxa"/>
          </w:tcPr>
          <w:p w14:paraId="6CA7B9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798150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710B90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63A26D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694386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5E9B3C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045FCE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6A8119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62FF244" w14:textId="77777777">
        <w:tc>
          <w:tcPr>
            <w:tcW w:w="1668" w:type="dxa"/>
          </w:tcPr>
          <w:p w14:paraId="504ABB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850" w:type="dxa"/>
          </w:tcPr>
          <w:p w14:paraId="5E0486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ТБ3-4М17</w:t>
            </w:r>
          </w:p>
        </w:tc>
        <w:tc>
          <w:tcPr>
            <w:tcW w:w="992" w:type="dxa"/>
          </w:tcPr>
          <w:p w14:paraId="6EB386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782CF0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Совмещение назначения пассажирского</w:t>
            </w:r>
          </w:p>
        </w:tc>
        <w:tc>
          <w:tcPr>
            <w:tcW w:w="1009" w:type="dxa"/>
          </w:tcPr>
          <w:p w14:paraId="6F0439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101D55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505BB1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68C462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5104A1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39BBFC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7BD3E9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0BB412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3DEC8E2" w14:textId="77777777">
        <w:tc>
          <w:tcPr>
            <w:tcW w:w="1668" w:type="dxa"/>
          </w:tcPr>
          <w:p w14:paraId="486DD4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tc>
        <w:tc>
          <w:tcPr>
            <w:tcW w:w="850" w:type="dxa"/>
          </w:tcPr>
          <w:p w14:paraId="3885A1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ТШ2-М27</w:t>
            </w:r>
          </w:p>
        </w:tc>
        <w:tc>
          <w:tcPr>
            <w:tcW w:w="992" w:type="dxa"/>
          </w:tcPr>
          <w:p w14:paraId="798361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403F74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Установка М-34, облегчение, уст. тормозных колес и разр. крыло</w:t>
            </w:r>
          </w:p>
        </w:tc>
        <w:tc>
          <w:tcPr>
            <w:tcW w:w="1009" w:type="dxa"/>
          </w:tcPr>
          <w:p w14:paraId="5D5755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7A753A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7E4B42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28325D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2F440F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61035B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58CD3F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550961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0BBFB77" w14:textId="77777777">
        <w:tc>
          <w:tcPr>
            <w:tcW w:w="1668" w:type="dxa"/>
          </w:tcPr>
          <w:p w14:paraId="74CD66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w:t>
            </w:r>
          </w:p>
        </w:tc>
        <w:tc>
          <w:tcPr>
            <w:tcW w:w="850" w:type="dxa"/>
          </w:tcPr>
          <w:p w14:paraId="06F1C6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Р6-2М17</w:t>
            </w:r>
          </w:p>
        </w:tc>
        <w:tc>
          <w:tcPr>
            <w:tcW w:w="992" w:type="dxa"/>
          </w:tcPr>
          <w:p w14:paraId="044D46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238366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Установка М-34, разр. крыльев и торм. колес</w:t>
            </w:r>
          </w:p>
        </w:tc>
        <w:tc>
          <w:tcPr>
            <w:tcW w:w="1009" w:type="dxa"/>
          </w:tcPr>
          <w:p w14:paraId="02EE40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093361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1334DC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6DFC96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0E36CA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6709C5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7CF564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6D166F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275ED75" w14:textId="77777777">
        <w:tc>
          <w:tcPr>
            <w:tcW w:w="1668" w:type="dxa"/>
          </w:tcPr>
          <w:p w14:paraId="16AAB7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w:t>
            </w:r>
          </w:p>
        </w:tc>
        <w:tc>
          <w:tcPr>
            <w:tcW w:w="850" w:type="dxa"/>
          </w:tcPr>
          <w:p w14:paraId="2E452D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Р5-М17</w:t>
            </w:r>
          </w:p>
        </w:tc>
        <w:tc>
          <w:tcPr>
            <w:tcW w:w="992" w:type="dxa"/>
          </w:tcPr>
          <w:p w14:paraId="2EE3EF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796D58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Установка М-34, разр. крыльев и торм. колес</w:t>
            </w:r>
          </w:p>
        </w:tc>
        <w:tc>
          <w:tcPr>
            <w:tcW w:w="1009" w:type="dxa"/>
          </w:tcPr>
          <w:p w14:paraId="72F910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57F162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625167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680D56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62BB5C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48DADC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0F5477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36721A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7E09875" w14:textId="77777777">
        <w:tc>
          <w:tcPr>
            <w:tcW w:w="1668" w:type="dxa"/>
          </w:tcPr>
          <w:p w14:paraId="11238B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w:t>
            </w:r>
          </w:p>
        </w:tc>
        <w:tc>
          <w:tcPr>
            <w:tcW w:w="850" w:type="dxa"/>
          </w:tcPr>
          <w:p w14:paraId="1BA9B4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И7-М17</w:t>
            </w:r>
          </w:p>
        </w:tc>
        <w:tc>
          <w:tcPr>
            <w:tcW w:w="992" w:type="dxa"/>
          </w:tcPr>
          <w:p w14:paraId="588B4B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72DABF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Установка М-34, разр. крыльев и торм. колес</w:t>
            </w:r>
          </w:p>
        </w:tc>
        <w:tc>
          <w:tcPr>
            <w:tcW w:w="1009" w:type="dxa"/>
          </w:tcPr>
          <w:p w14:paraId="4D0149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457BF6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3FACB4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5FA081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2BA335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2F5037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3371B0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2B7C3A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FC7F0F2" w14:textId="77777777">
        <w:tc>
          <w:tcPr>
            <w:tcW w:w="1668" w:type="dxa"/>
          </w:tcPr>
          <w:p w14:paraId="5E45A6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w:t>
            </w:r>
          </w:p>
        </w:tc>
        <w:tc>
          <w:tcPr>
            <w:tcW w:w="850" w:type="dxa"/>
          </w:tcPr>
          <w:p w14:paraId="30FF5F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И5-М22</w:t>
            </w:r>
          </w:p>
        </w:tc>
        <w:tc>
          <w:tcPr>
            <w:tcW w:w="992" w:type="dxa"/>
          </w:tcPr>
          <w:p w14:paraId="4FFE3A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6726DE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Установка М-34, разр. крыльев и торм. колес</w:t>
            </w:r>
          </w:p>
        </w:tc>
        <w:tc>
          <w:tcPr>
            <w:tcW w:w="1009" w:type="dxa"/>
          </w:tcPr>
          <w:p w14:paraId="5943F6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1F453D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3E63B2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11D45E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1B3F1E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5F778B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083B5D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688DB7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0EC838B" w14:textId="77777777">
        <w:tc>
          <w:tcPr>
            <w:tcW w:w="1668" w:type="dxa"/>
          </w:tcPr>
          <w:p w14:paraId="547341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w:t>
            </w:r>
          </w:p>
        </w:tc>
        <w:tc>
          <w:tcPr>
            <w:tcW w:w="850" w:type="dxa"/>
          </w:tcPr>
          <w:p w14:paraId="64A06C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И5-М22</w:t>
            </w:r>
          </w:p>
        </w:tc>
        <w:tc>
          <w:tcPr>
            <w:tcW w:w="992" w:type="dxa"/>
          </w:tcPr>
          <w:p w14:paraId="7960D6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130FD6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Приспособление под легкий небронир. штурмовик</w:t>
            </w:r>
          </w:p>
        </w:tc>
        <w:tc>
          <w:tcPr>
            <w:tcW w:w="1009" w:type="dxa"/>
          </w:tcPr>
          <w:p w14:paraId="61B4A0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697C6C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656E00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4815F9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0E033D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2D5C5C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4B50C4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748156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AA7500A" w14:textId="77777777">
        <w:tc>
          <w:tcPr>
            <w:tcW w:w="1668" w:type="dxa"/>
          </w:tcPr>
          <w:p w14:paraId="2C7F29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9.</w:t>
            </w:r>
          </w:p>
        </w:tc>
        <w:tc>
          <w:tcPr>
            <w:tcW w:w="850" w:type="dxa"/>
          </w:tcPr>
          <w:p w14:paraId="256676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МДР3-4М34</w:t>
            </w:r>
          </w:p>
        </w:tc>
        <w:tc>
          <w:tcPr>
            <w:tcW w:w="992" w:type="dxa"/>
          </w:tcPr>
          <w:p w14:paraId="66CA9C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05D23A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Увел. мощн., приспос. под уст. мин, снабж. рак. ускор., хим. оруж.</w:t>
            </w:r>
          </w:p>
        </w:tc>
        <w:tc>
          <w:tcPr>
            <w:tcW w:w="1009" w:type="dxa"/>
          </w:tcPr>
          <w:p w14:paraId="6D288E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47F514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201D74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2504DF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470AD6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05D3BF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275BB5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045136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C50ABEF" w14:textId="77777777">
        <w:tc>
          <w:tcPr>
            <w:tcW w:w="1668" w:type="dxa"/>
          </w:tcPr>
          <w:p w14:paraId="3FB650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w:t>
            </w:r>
          </w:p>
        </w:tc>
        <w:tc>
          <w:tcPr>
            <w:tcW w:w="850" w:type="dxa"/>
          </w:tcPr>
          <w:p w14:paraId="5041A3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МДР3-4М34</w:t>
            </w:r>
          </w:p>
        </w:tc>
        <w:tc>
          <w:tcPr>
            <w:tcW w:w="992" w:type="dxa"/>
          </w:tcPr>
          <w:p w14:paraId="0127C8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6E331F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Приспособл. для Сев. и ДВ, устр. посад. приспособл.</w:t>
            </w:r>
          </w:p>
        </w:tc>
        <w:tc>
          <w:tcPr>
            <w:tcW w:w="1009" w:type="dxa"/>
          </w:tcPr>
          <w:p w14:paraId="3A59A2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1BB5FF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3018DE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450A48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369D51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4C52DA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218A93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5C3730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74F39FF" w14:textId="77777777">
        <w:tc>
          <w:tcPr>
            <w:tcW w:w="1668" w:type="dxa"/>
          </w:tcPr>
          <w:p w14:paraId="4DE0D2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w:t>
            </w:r>
          </w:p>
        </w:tc>
        <w:tc>
          <w:tcPr>
            <w:tcW w:w="850" w:type="dxa"/>
          </w:tcPr>
          <w:p w14:paraId="450400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К1-2М34 торп.</w:t>
            </w:r>
          </w:p>
        </w:tc>
        <w:tc>
          <w:tcPr>
            <w:tcW w:w="992" w:type="dxa"/>
          </w:tcPr>
          <w:p w14:paraId="4599DC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3A9A34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 сухоп. на поплавки и воор как крейсера для БМ и ДВ</w:t>
            </w:r>
          </w:p>
        </w:tc>
        <w:tc>
          <w:tcPr>
            <w:tcW w:w="1009" w:type="dxa"/>
          </w:tcPr>
          <w:p w14:paraId="48E2FB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46D761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4FD66C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701496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60F08B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072B2E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1EADAA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0766A1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1E77EDE" w14:textId="77777777">
        <w:tc>
          <w:tcPr>
            <w:tcW w:w="1668" w:type="dxa"/>
          </w:tcPr>
          <w:p w14:paraId="057094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w:t>
            </w:r>
          </w:p>
        </w:tc>
        <w:tc>
          <w:tcPr>
            <w:tcW w:w="850" w:type="dxa"/>
          </w:tcPr>
          <w:p w14:paraId="4AFCBF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ДИ6-М34</w:t>
            </w:r>
          </w:p>
        </w:tc>
        <w:tc>
          <w:tcPr>
            <w:tcW w:w="992" w:type="dxa"/>
          </w:tcPr>
          <w:p w14:paraId="5D4E27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1A4182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 сухоп. на поплавки, пикир. бомб. и штурм.</w:t>
            </w:r>
          </w:p>
        </w:tc>
        <w:tc>
          <w:tcPr>
            <w:tcW w:w="1009" w:type="dxa"/>
          </w:tcPr>
          <w:p w14:paraId="5E3369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757572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35A88C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1E1542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30AFB6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5FEF3C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77E606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4E8365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BBFF91F" w14:textId="77777777">
        <w:tc>
          <w:tcPr>
            <w:tcW w:w="1668" w:type="dxa"/>
          </w:tcPr>
          <w:p w14:paraId="48FACB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w:t>
            </w:r>
          </w:p>
        </w:tc>
        <w:tc>
          <w:tcPr>
            <w:tcW w:w="850" w:type="dxa"/>
          </w:tcPr>
          <w:p w14:paraId="5853AC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С62б-М35</w:t>
            </w:r>
          </w:p>
        </w:tc>
        <w:tc>
          <w:tcPr>
            <w:tcW w:w="992" w:type="dxa"/>
          </w:tcPr>
          <w:p w14:paraId="1D13D6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1D26C5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Увел. мощн., постройка килеватой лодки лучш. морех.</w:t>
            </w:r>
          </w:p>
        </w:tc>
        <w:tc>
          <w:tcPr>
            <w:tcW w:w="1009" w:type="dxa"/>
          </w:tcPr>
          <w:p w14:paraId="737BA0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68C535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7098F4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36E7BB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730ED7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1B5D41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63AE55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321507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DEBA4F0" w14:textId="77777777">
        <w:tc>
          <w:tcPr>
            <w:tcW w:w="1668" w:type="dxa"/>
          </w:tcPr>
          <w:p w14:paraId="3EC4FC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w:t>
            </w:r>
          </w:p>
        </w:tc>
        <w:tc>
          <w:tcPr>
            <w:tcW w:w="850" w:type="dxa"/>
          </w:tcPr>
          <w:p w14:paraId="261A2C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Р6-2М34</w:t>
            </w:r>
          </w:p>
        </w:tc>
        <w:tc>
          <w:tcPr>
            <w:tcW w:w="992" w:type="dxa"/>
          </w:tcPr>
          <w:p w14:paraId="552A24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4CD7B7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 сухоп. на поплавки, пов. мощности</w:t>
            </w:r>
          </w:p>
        </w:tc>
        <w:tc>
          <w:tcPr>
            <w:tcW w:w="1009" w:type="dxa"/>
          </w:tcPr>
          <w:p w14:paraId="0A951E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15C491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310ED0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20578D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59E9A7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73DC37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623A61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74AF8E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62BC1A9" w14:textId="77777777">
        <w:tc>
          <w:tcPr>
            <w:tcW w:w="1668" w:type="dxa"/>
          </w:tcPr>
          <w:p w14:paraId="242339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w:t>
            </w:r>
          </w:p>
        </w:tc>
        <w:tc>
          <w:tcPr>
            <w:tcW w:w="850" w:type="dxa"/>
          </w:tcPr>
          <w:p w14:paraId="766FD9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У3-М48</w:t>
            </w:r>
          </w:p>
        </w:tc>
        <w:tc>
          <w:tcPr>
            <w:tcW w:w="992" w:type="dxa"/>
          </w:tcPr>
          <w:p w14:paraId="3BFFC9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5EDC38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 сухоп. на поплавки</w:t>
            </w:r>
          </w:p>
        </w:tc>
        <w:tc>
          <w:tcPr>
            <w:tcW w:w="1009" w:type="dxa"/>
          </w:tcPr>
          <w:p w14:paraId="415DE5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4A4380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1A9C8D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02E063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755B6D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4F787F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5CBCE0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54EDE9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34E5280" w14:textId="77777777">
        <w:tc>
          <w:tcPr>
            <w:tcW w:w="1668" w:type="dxa"/>
          </w:tcPr>
          <w:p w14:paraId="17B142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Экспериментальные</w:t>
            </w:r>
          </w:p>
        </w:tc>
        <w:tc>
          <w:tcPr>
            <w:tcW w:w="850" w:type="dxa"/>
          </w:tcPr>
          <w:p w14:paraId="064BDF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7B8B3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73C9A9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1A77B7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7DD84D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6E22F7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4E82AF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068D33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7201B8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470DBF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758827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E105BF0" w14:textId="77777777">
        <w:tc>
          <w:tcPr>
            <w:tcW w:w="1668" w:type="dxa"/>
          </w:tcPr>
          <w:p w14:paraId="6EBF9D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Двухместный истребитель пуш.</w:t>
            </w:r>
          </w:p>
        </w:tc>
        <w:tc>
          <w:tcPr>
            <w:tcW w:w="850" w:type="dxa"/>
          </w:tcPr>
          <w:p w14:paraId="4818FF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ДИП2-М34</w:t>
            </w:r>
          </w:p>
        </w:tc>
        <w:tc>
          <w:tcPr>
            <w:tcW w:w="992" w:type="dxa"/>
          </w:tcPr>
          <w:p w14:paraId="021A79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01.05.1932</w:t>
            </w:r>
          </w:p>
        </w:tc>
        <w:tc>
          <w:tcPr>
            <w:tcW w:w="834" w:type="dxa"/>
          </w:tcPr>
          <w:p w14:paraId="4CBF59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350/5000</w:t>
            </w:r>
          </w:p>
        </w:tc>
        <w:tc>
          <w:tcPr>
            <w:tcW w:w="1009" w:type="dxa"/>
          </w:tcPr>
          <w:p w14:paraId="63DA88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5000/8000/8</w:t>
            </w:r>
          </w:p>
        </w:tc>
        <w:tc>
          <w:tcPr>
            <w:tcW w:w="581" w:type="dxa"/>
          </w:tcPr>
          <w:p w14:paraId="51BD36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90-100</w:t>
            </w:r>
          </w:p>
        </w:tc>
        <w:tc>
          <w:tcPr>
            <w:tcW w:w="912" w:type="dxa"/>
          </w:tcPr>
          <w:p w14:paraId="62E06C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300/600</w:t>
            </w:r>
          </w:p>
        </w:tc>
        <w:tc>
          <w:tcPr>
            <w:tcW w:w="914" w:type="dxa"/>
          </w:tcPr>
          <w:p w14:paraId="56B1EC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w:t>
            </w:r>
          </w:p>
        </w:tc>
        <w:tc>
          <w:tcPr>
            <w:tcW w:w="907" w:type="dxa"/>
          </w:tcPr>
          <w:p w14:paraId="02DD78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пушка и пулеметы</w:t>
            </w:r>
          </w:p>
        </w:tc>
        <w:tc>
          <w:tcPr>
            <w:tcW w:w="831" w:type="dxa"/>
          </w:tcPr>
          <w:p w14:paraId="0563E6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Св. трубы/дер.</w:t>
            </w:r>
          </w:p>
        </w:tc>
        <w:tc>
          <w:tcPr>
            <w:tcW w:w="763" w:type="dxa"/>
          </w:tcPr>
          <w:p w14:paraId="64A07B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63" w:type="dxa"/>
          </w:tcPr>
          <w:p w14:paraId="7BA46D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1002C3" w:rsidRPr="005E779E" w14:paraId="77598A65" w14:textId="77777777">
        <w:tc>
          <w:tcPr>
            <w:tcW w:w="1668" w:type="dxa"/>
          </w:tcPr>
          <w:p w14:paraId="04A3FB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Армейский скор. Разведчик</w:t>
            </w:r>
          </w:p>
        </w:tc>
        <w:tc>
          <w:tcPr>
            <w:tcW w:w="850" w:type="dxa"/>
          </w:tcPr>
          <w:p w14:paraId="21E6CF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Р10</w:t>
            </w:r>
          </w:p>
        </w:tc>
        <w:tc>
          <w:tcPr>
            <w:tcW w:w="992" w:type="dxa"/>
          </w:tcPr>
          <w:p w14:paraId="2EB239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01.12.1932</w:t>
            </w:r>
          </w:p>
        </w:tc>
        <w:tc>
          <w:tcPr>
            <w:tcW w:w="834" w:type="dxa"/>
          </w:tcPr>
          <w:p w14:paraId="065AE7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450-500/4000</w:t>
            </w:r>
          </w:p>
        </w:tc>
        <w:tc>
          <w:tcPr>
            <w:tcW w:w="1009" w:type="dxa"/>
          </w:tcPr>
          <w:p w14:paraId="685DE1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3000-4000/-</w:t>
            </w:r>
          </w:p>
        </w:tc>
        <w:tc>
          <w:tcPr>
            <w:tcW w:w="581" w:type="dxa"/>
          </w:tcPr>
          <w:p w14:paraId="7494F2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115</w:t>
            </w:r>
          </w:p>
        </w:tc>
        <w:tc>
          <w:tcPr>
            <w:tcW w:w="912" w:type="dxa"/>
          </w:tcPr>
          <w:p w14:paraId="113A93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750/1000</w:t>
            </w:r>
          </w:p>
        </w:tc>
        <w:tc>
          <w:tcPr>
            <w:tcW w:w="914" w:type="dxa"/>
          </w:tcPr>
          <w:p w14:paraId="0F42FD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907" w:type="dxa"/>
          </w:tcPr>
          <w:p w14:paraId="17FC30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легк. пул.</w:t>
            </w:r>
          </w:p>
        </w:tc>
        <w:tc>
          <w:tcPr>
            <w:tcW w:w="831" w:type="dxa"/>
          </w:tcPr>
          <w:p w14:paraId="40DFE9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63" w:type="dxa"/>
          </w:tcPr>
          <w:p w14:paraId="69207B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763" w:type="dxa"/>
          </w:tcPr>
          <w:p w14:paraId="1E2B1F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r w:rsidR="001002C3" w:rsidRPr="005E779E" w14:paraId="3CCECFA9" w14:textId="77777777">
        <w:tc>
          <w:tcPr>
            <w:tcW w:w="1668" w:type="dxa"/>
          </w:tcPr>
          <w:p w14:paraId="411F49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Высотн. самолет, рекорд выс.</w:t>
            </w:r>
          </w:p>
        </w:tc>
        <w:tc>
          <w:tcPr>
            <w:tcW w:w="850" w:type="dxa"/>
          </w:tcPr>
          <w:p w14:paraId="68608E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B43E2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564E93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Высота применения 10000-12000, потолок 15000, 2-местный с гермокабиной</w:t>
            </w:r>
          </w:p>
        </w:tc>
        <w:tc>
          <w:tcPr>
            <w:tcW w:w="1009" w:type="dxa"/>
          </w:tcPr>
          <w:p w14:paraId="1F7787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478B00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3A939F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4C62D4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06763C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00E98D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1AECAA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045B47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обеспечения повышения летн. Данных с-тов</w:t>
            </w:r>
          </w:p>
        </w:tc>
      </w:tr>
      <w:tr w:rsidR="001002C3" w:rsidRPr="005E779E" w14:paraId="2116DF1C" w14:textId="77777777">
        <w:tc>
          <w:tcPr>
            <w:tcW w:w="1668" w:type="dxa"/>
          </w:tcPr>
          <w:p w14:paraId="650160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Рекордн. Скоростн.</w:t>
            </w:r>
          </w:p>
        </w:tc>
        <w:tc>
          <w:tcPr>
            <w:tcW w:w="850" w:type="dxa"/>
          </w:tcPr>
          <w:p w14:paraId="00CE7F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D0ACF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72BB69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1AC01C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57201D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060E3D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6B4E7C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3CFA1D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624D46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49A4DB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547B81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7F26D30" w14:textId="77777777">
        <w:tc>
          <w:tcPr>
            <w:tcW w:w="1668" w:type="dxa"/>
          </w:tcPr>
          <w:p w14:paraId="0579E7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Рекордн. дальн.</w:t>
            </w:r>
          </w:p>
        </w:tc>
        <w:tc>
          <w:tcPr>
            <w:tcW w:w="850" w:type="dxa"/>
          </w:tcPr>
          <w:p w14:paraId="30A57C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7A87F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762C32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18A534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14E904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4A637D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65C864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53C281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67DE5B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586C97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5904CB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23EAC5E" w14:textId="77777777">
        <w:tc>
          <w:tcPr>
            <w:tcW w:w="1668" w:type="dxa"/>
          </w:tcPr>
          <w:p w14:paraId="1A5391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Летающее крыло</w:t>
            </w:r>
          </w:p>
        </w:tc>
        <w:tc>
          <w:tcPr>
            <w:tcW w:w="850" w:type="dxa"/>
          </w:tcPr>
          <w:p w14:paraId="1314A9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AA506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47EF77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48C8B7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573969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50939D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4A0DBE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0C64F6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184DCF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7C183B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48ADE5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накопления опыта для гиганта</w:t>
            </w:r>
          </w:p>
        </w:tc>
      </w:tr>
      <w:tr w:rsidR="001002C3" w:rsidRPr="005E779E" w14:paraId="79569B29" w14:textId="77777777">
        <w:tc>
          <w:tcPr>
            <w:tcW w:w="1668" w:type="dxa"/>
          </w:tcPr>
          <w:p w14:paraId="49677F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Раздвижное крыло</w:t>
            </w:r>
          </w:p>
        </w:tc>
        <w:tc>
          <w:tcPr>
            <w:tcW w:w="850" w:type="dxa"/>
          </w:tcPr>
          <w:p w14:paraId="22A618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У3бис-М48</w:t>
            </w:r>
          </w:p>
        </w:tc>
        <w:tc>
          <w:tcPr>
            <w:tcW w:w="992" w:type="dxa"/>
          </w:tcPr>
          <w:p w14:paraId="58F590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01.10.1932</w:t>
            </w:r>
          </w:p>
        </w:tc>
        <w:tc>
          <w:tcPr>
            <w:tcW w:w="834" w:type="dxa"/>
          </w:tcPr>
          <w:p w14:paraId="5FAEA5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180/1000</w:t>
            </w:r>
          </w:p>
        </w:tc>
        <w:tc>
          <w:tcPr>
            <w:tcW w:w="1009" w:type="dxa"/>
          </w:tcPr>
          <w:p w14:paraId="4A16E2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1000/5000</w:t>
            </w:r>
          </w:p>
        </w:tc>
        <w:tc>
          <w:tcPr>
            <w:tcW w:w="581" w:type="dxa"/>
          </w:tcPr>
          <w:p w14:paraId="6B0682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w:t>
            </w:r>
          </w:p>
        </w:tc>
        <w:tc>
          <w:tcPr>
            <w:tcW w:w="912" w:type="dxa"/>
          </w:tcPr>
          <w:p w14:paraId="73BF8D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360/-</w:t>
            </w:r>
          </w:p>
        </w:tc>
        <w:tc>
          <w:tcPr>
            <w:tcW w:w="914" w:type="dxa"/>
          </w:tcPr>
          <w:p w14:paraId="169876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907" w:type="dxa"/>
          </w:tcPr>
          <w:p w14:paraId="720BD2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легк. пул.</w:t>
            </w:r>
          </w:p>
        </w:tc>
        <w:tc>
          <w:tcPr>
            <w:tcW w:w="831" w:type="dxa"/>
          </w:tcPr>
          <w:p w14:paraId="4A9C6A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Дерево</w:t>
            </w:r>
          </w:p>
        </w:tc>
        <w:tc>
          <w:tcPr>
            <w:tcW w:w="763" w:type="dxa"/>
          </w:tcPr>
          <w:p w14:paraId="6D9BFB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140405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Низк. пос. скор.</w:t>
            </w:r>
          </w:p>
        </w:tc>
      </w:tr>
      <w:tr w:rsidR="001002C3" w:rsidRPr="005E779E" w14:paraId="4F3057C7" w14:textId="77777777">
        <w:tc>
          <w:tcPr>
            <w:tcW w:w="1668" w:type="dxa"/>
          </w:tcPr>
          <w:p w14:paraId="0A8B6E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8. Сам. с особым типом раздв.</w:t>
            </w:r>
          </w:p>
        </w:tc>
        <w:tc>
          <w:tcPr>
            <w:tcW w:w="850" w:type="dxa"/>
          </w:tcPr>
          <w:p w14:paraId="2208DF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96E68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2B9C7B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2D38A1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709D4F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5DFE67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03E834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7E2544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76B2C9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43F2B4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50F12B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FAB170B" w14:textId="77777777">
        <w:tc>
          <w:tcPr>
            <w:tcW w:w="1668" w:type="dxa"/>
          </w:tcPr>
          <w:p w14:paraId="0CA45E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крыла (сист. Кричевского)</w:t>
            </w:r>
          </w:p>
        </w:tc>
        <w:tc>
          <w:tcPr>
            <w:tcW w:w="850" w:type="dxa"/>
          </w:tcPr>
          <w:p w14:paraId="18BF0D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469E6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1DCBAD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29D42D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4BD346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034ACA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67398D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25F6AA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02F959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32F34B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3AB653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0BFA70D0" w14:textId="77777777">
        <w:tc>
          <w:tcPr>
            <w:tcW w:w="1668" w:type="dxa"/>
          </w:tcPr>
          <w:p w14:paraId="61A005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Геликоптер</w:t>
            </w:r>
          </w:p>
        </w:tc>
        <w:tc>
          <w:tcPr>
            <w:tcW w:w="850" w:type="dxa"/>
          </w:tcPr>
          <w:p w14:paraId="530A2B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82C60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697535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50A41F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436676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4CDD5F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63AB37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3A8C4F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33C5EB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4AEB67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43E039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6302DCD" w14:textId="77777777">
        <w:tc>
          <w:tcPr>
            <w:tcW w:w="1668" w:type="dxa"/>
          </w:tcPr>
          <w:p w14:paraId="21C686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Автожир</w:t>
            </w:r>
          </w:p>
        </w:tc>
        <w:tc>
          <w:tcPr>
            <w:tcW w:w="850" w:type="dxa"/>
          </w:tcPr>
          <w:p w14:paraId="581153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BC99A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70463E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51D727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46165C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62E9ED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434B5A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3CD5C2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6F871A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2D1EFE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190740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EF679D2" w14:textId="77777777">
        <w:tc>
          <w:tcPr>
            <w:tcW w:w="1668" w:type="dxa"/>
          </w:tcPr>
          <w:p w14:paraId="4159E2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Сам. типа Утка</w:t>
            </w:r>
          </w:p>
        </w:tc>
        <w:tc>
          <w:tcPr>
            <w:tcW w:w="850" w:type="dxa"/>
          </w:tcPr>
          <w:p w14:paraId="3051FC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4638F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0A885C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2C4755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47A6B7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61CB70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54B476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2A2155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5BDD7A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5AB6B7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2EBACA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BA114D4" w14:textId="77777777">
        <w:tc>
          <w:tcPr>
            <w:tcW w:w="1668" w:type="dxa"/>
          </w:tcPr>
          <w:p w14:paraId="60AC3C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Сам. с реакт. двиг.</w:t>
            </w:r>
          </w:p>
        </w:tc>
        <w:tc>
          <w:tcPr>
            <w:tcW w:w="850" w:type="dxa"/>
          </w:tcPr>
          <w:p w14:paraId="4A9681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AE59C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25AE9A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366059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2964AA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15FE74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5DC39A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33FBFB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64DC6F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77BA12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386451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F921234" w14:textId="77777777">
        <w:tc>
          <w:tcPr>
            <w:tcW w:w="1668" w:type="dxa"/>
          </w:tcPr>
          <w:p w14:paraId="6DA900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Сам. с нефт. двиг. Паккард</w:t>
            </w:r>
          </w:p>
        </w:tc>
        <w:tc>
          <w:tcPr>
            <w:tcW w:w="850" w:type="dxa"/>
          </w:tcPr>
          <w:p w14:paraId="077D6A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167E8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3A5FC1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068CAA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5D7793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4F72C7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015BB8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36C06D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0F393B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21A04C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1DA936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B6CB633" w14:textId="77777777">
        <w:tc>
          <w:tcPr>
            <w:tcW w:w="1668" w:type="dxa"/>
          </w:tcPr>
          <w:p w14:paraId="21D14B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Сам. из новых мат. и их комб.</w:t>
            </w:r>
          </w:p>
        </w:tc>
        <w:tc>
          <w:tcPr>
            <w:tcW w:w="850" w:type="dxa"/>
          </w:tcPr>
          <w:p w14:paraId="754A5C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0B902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14A4F5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175DD0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050193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287EA7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1DDE89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7D3ED5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6E834A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3DD39F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7A92C3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58E634B" w14:textId="77777777">
        <w:tc>
          <w:tcPr>
            <w:tcW w:w="1668" w:type="dxa"/>
          </w:tcPr>
          <w:p w14:paraId="4496C2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Сам. из новых мат. и их комб.</w:t>
            </w:r>
          </w:p>
        </w:tc>
        <w:tc>
          <w:tcPr>
            <w:tcW w:w="850" w:type="dxa"/>
          </w:tcPr>
          <w:p w14:paraId="66B951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E7F60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27A88B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07EED6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70AD47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4297A9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4F46EC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6EDF68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0BAD04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079587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0E79E6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C574A43" w14:textId="77777777">
        <w:tc>
          <w:tcPr>
            <w:tcW w:w="1668" w:type="dxa"/>
          </w:tcPr>
          <w:p w14:paraId="72843D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Гидросамолеты</w:t>
            </w:r>
          </w:p>
        </w:tc>
        <w:tc>
          <w:tcPr>
            <w:tcW w:w="850" w:type="dxa"/>
          </w:tcPr>
          <w:p w14:paraId="563E81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70242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6CBF56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0363EA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2B1F1B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638127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6CD63A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718E9C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0706C7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2A1A3C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4B8585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61B22EC" w14:textId="77777777">
        <w:tc>
          <w:tcPr>
            <w:tcW w:w="1668" w:type="dxa"/>
          </w:tcPr>
          <w:p w14:paraId="1BC8D9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 Морск. ближн. разв.-амфиб.</w:t>
            </w:r>
          </w:p>
        </w:tc>
        <w:tc>
          <w:tcPr>
            <w:tcW w:w="850" w:type="dxa"/>
          </w:tcPr>
          <w:p w14:paraId="033EE3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МБР3-М34</w:t>
            </w:r>
          </w:p>
        </w:tc>
        <w:tc>
          <w:tcPr>
            <w:tcW w:w="992" w:type="dxa"/>
          </w:tcPr>
          <w:p w14:paraId="1EB0C3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01.06.1932</w:t>
            </w:r>
          </w:p>
        </w:tc>
        <w:tc>
          <w:tcPr>
            <w:tcW w:w="834" w:type="dxa"/>
          </w:tcPr>
          <w:p w14:paraId="7E424D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225/3000</w:t>
            </w:r>
          </w:p>
        </w:tc>
        <w:tc>
          <w:tcPr>
            <w:tcW w:w="1009" w:type="dxa"/>
          </w:tcPr>
          <w:p w14:paraId="50AF8B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581" w:type="dxa"/>
          </w:tcPr>
          <w:p w14:paraId="798BCD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90</w:t>
            </w:r>
          </w:p>
        </w:tc>
        <w:tc>
          <w:tcPr>
            <w:tcW w:w="912" w:type="dxa"/>
          </w:tcPr>
          <w:p w14:paraId="034F86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6-7 час.</w:t>
            </w:r>
          </w:p>
        </w:tc>
        <w:tc>
          <w:tcPr>
            <w:tcW w:w="914" w:type="dxa"/>
          </w:tcPr>
          <w:p w14:paraId="1CD91F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w:t>
            </w:r>
          </w:p>
        </w:tc>
        <w:tc>
          <w:tcPr>
            <w:tcW w:w="907" w:type="dxa"/>
          </w:tcPr>
          <w:p w14:paraId="5087A8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легк. пул.</w:t>
            </w:r>
          </w:p>
        </w:tc>
        <w:tc>
          <w:tcPr>
            <w:tcW w:w="831" w:type="dxa"/>
          </w:tcPr>
          <w:p w14:paraId="7F557B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Дюр./дер.</w:t>
            </w:r>
          </w:p>
        </w:tc>
        <w:tc>
          <w:tcPr>
            <w:tcW w:w="763" w:type="dxa"/>
          </w:tcPr>
          <w:p w14:paraId="0D7CFF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0F5A6A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Перех. к МБР5</w:t>
            </w:r>
          </w:p>
          <w:p w14:paraId="1AA3B9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 ВОГВФ не пред.</w:t>
            </w:r>
          </w:p>
        </w:tc>
      </w:tr>
      <w:tr w:rsidR="001002C3" w:rsidRPr="005E779E" w14:paraId="0B3DFEFB" w14:textId="77777777">
        <w:tc>
          <w:tcPr>
            <w:tcW w:w="1668" w:type="dxa"/>
          </w:tcPr>
          <w:p w14:paraId="2A1775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 Кор. разв. коррект., катап.</w:t>
            </w:r>
          </w:p>
        </w:tc>
        <w:tc>
          <w:tcPr>
            <w:tcW w:w="850" w:type="dxa"/>
          </w:tcPr>
          <w:p w14:paraId="610296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КР2-М34</w:t>
            </w:r>
          </w:p>
        </w:tc>
        <w:tc>
          <w:tcPr>
            <w:tcW w:w="992" w:type="dxa"/>
          </w:tcPr>
          <w:p w14:paraId="3B5743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01.07.1932</w:t>
            </w:r>
          </w:p>
        </w:tc>
        <w:tc>
          <w:tcPr>
            <w:tcW w:w="834" w:type="dxa"/>
          </w:tcPr>
          <w:p w14:paraId="1DBD6F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300/3000</w:t>
            </w:r>
          </w:p>
        </w:tc>
        <w:tc>
          <w:tcPr>
            <w:tcW w:w="1009" w:type="dxa"/>
          </w:tcPr>
          <w:p w14:paraId="0768D1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3000/6000</w:t>
            </w:r>
          </w:p>
        </w:tc>
        <w:tc>
          <w:tcPr>
            <w:tcW w:w="581" w:type="dxa"/>
          </w:tcPr>
          <w:p w14:paraId="5B33AC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115</w:t>
            </w:r>
          </w:p>
        </w:tc>
        <w:tc>
          <w:tcPr>
            <w:tcW w:w="912" w:type="dxa"/>
          </w:tcPr>
          <w:p w14:paraId="686135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350/550</w:t>
            </w:r>
          </w:p>
        </w:tc>
        <w:tc>
          <w:tcPr>
            <w:tcW w:w="914" w:type="dxa"/>
          </w:tcPr>
          <w:p w14:paraId="74552D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w:t>
            </w:r>
          </w:p>
        </w:tc>
        <w:tc>
          <w:tcPr>
            <w:tcW w:w="907" w:type="dxa"/>
          </w:tcPr>
          <w:p w14:paraId="02B7BB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легк. пул.</w:t>
            </w:r>
          </w:p>
        </w:tc>
        <w:tc>
          <w:tcPr>
            <w:tcW w:w="831" w:type="dxa"/>
          </w:tcPr>
          <w:p w14:paraId="5DA82B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Сталь</w:t>
            </w:r>
          </w:p>
        </w:tc>
        <w:tc>
          <w:tcPr>
            <w:tcW w:w="763" w:type="dxa"/>
          </w:tcPr>
          <w:p w14:paraId="178D27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1D3DCF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КР1-ЮУГ</w:t>
            </w:r>
          </w:p>
          <w:p w14:paraId="6752FE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 должен иметь варианты крыльев:</w:t>
            </w:r>
          </w:p>
          <w:p w14:paraId="75F192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разрезные и в т.ж. время складываемые</w:t>
            </w:r>
          </w:p>
          <w:p w14:paraId="4F8A64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выдвижные</w:t>
            </w:r>
          </w:p>
        </w:tc>
      </w:tr>
      <w:tr w:rsidR="001002C3" w:rsidRPr="005E779E" w14:paraId="033ED67A" w14:textId="77777777">
        <w:tc>
          <w:tcPr>
            <w:tcW w:w="1668" w:type="dxa"/>
          </w:tcPr>
          <w:p w14:paraId="646BA8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 Самолет подлодок</w:t>
            </w:r>
          </w:p>
        </w:tc>
        <w:tc>
          <w:tcPr>
            <w:tcW w:w="850" w:type="dxa"/>
          </w:tcPr>
          <w:p w14:paraId="1128E4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СПЛ</w:t>
            </w:r>
          </w:p>
        </w:tc>
        <w:tc>
          <w:tcPr>
            <w:tcW w:w="992" w:type="dxa"/>
          </w:tcPr>
          <w:p w14:paraId="68CFA4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Требования устанавливаются отдельно</w:t>
            </w:r>
          </w:p>
        </w:tc>
        <w:tc>
          <w:tcPr>
            <w:tcW w:w="834" w:type="dxa"/>
          </w:tcPr>
          <w:p w14:paraId="00EC74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0A4FB0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2E247C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48C0FE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2EFE03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61CD59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1DDE10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6B3C3F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016463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D508BE9" w14:textId="77777777">
        <w:tc>
          <w:tcPr>
            <w:tcW w:w="1668" w:type="dxa"/>
          </w:tcPr>
          <w:p w14:paraId="1CB6C1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Самолеты особой группы:</w:t>
            </w:r>
          </w:p>
        </w:tc>
        <w:tc>
          <w:tcPr>
            <w:tcW w:w="850" w:type="dxa"/>
          </w:tcPr>
          <w:p w14:paraId="2A1F37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AA022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3C5346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61C776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3C189B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171384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62C56E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4B3C84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6BA416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110437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69D64C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1243E9A" w14:textId="77777777">
        <w:tc>
          <w:tcPr>
            <w:tcW w:w="1668" w:type="dxa"/>
          </w:tcPr>
          <w:p w14:paraId="761455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Истреб. для перевозки на тяж.</w:t>
            </w:r>
          </w:p>
        </w:tc>
        <w:tc>
          <w:tcPr>
            <w:tcW w:w="850" w:type="dxa"/>
          </w:tcPr>
          <w:p w14:paraId="05255E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5A42E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06A33E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3F91E2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5AA0BE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63AC04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593E71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4BA710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633033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4B2BD0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6ADE67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57225D1" w14:textId="77777777">
        <w:tc>
          <w:tcPr>
            <w:tcW w:w="1668" w:type="dxa"/>
          </w:tcPr>
          <w:p w14:paraId="168294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w:t>
            </w:r>
          </w:p>
        </w:tc>
        <w:tc>
          <w:tcPr>
            <w:tcW w:w="850" w:type="dxa"/>
          </w:tcPr>
          <w:p w14:paraId="2A973E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7498E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2BE26A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280ADE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43F71E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7A4AAE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1E0404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1B1C9D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33D205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1B2E76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607F79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217114F7" w14:textId="77777777">
        <w:tc>
          <w:tcPr>
            <w:tcW w:w="1668" w:type="dxa"/>
          </w:tcPr>
          <w:p w14:paraId="57218E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Самолет Таран</w:t>
            </w:r>
          </w:p>
        </w:tc>
        <w:tc>
          <w:tcPr>
            <w:tcW w:w="850" w:type="dxa"/>
          </w:tcPr>
          <w:p w14:paraId="3D5D15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ТА1</w:t>
            </w:r>
          </w:p>
        </w:tc>
        <w:tc>
          <w:tcPr>
            <w:tcW w:w="992" w:type="dxa"/>
          </w:tcPr>
          <w:p w14:paraId="371B81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3551F4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400/5000</w:t>
            </w:r>
          </w:p>
        </w:tc>
        <w:tc>
          <w:tcPr>
            <w:tcW w:w="1009" w:type="dxa"/>
          </w:tcPr>
          <w:p w14:paraId="2415C8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5000/8000/6</w:t>
            </w:r>
          </w:p>
        </w:tc>
        <w:tc>
          <w:tcPr>
            <w:tcW w:w="581" w:type="dxa"/>
          </w:tcPr>
          <w:p w14:paraId="72B995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912" w:type="dxa"/>
          </w:tcPr>
          <w:p w14:paraId="54A9B9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час</w:t>
            </w:r>
          </w:p>
        </w:tc>
        <w:tc>
          <w:tcPr>
            <w:tcW w:w="914" w:type="dxa"/>
          </w:tcPr>
          <w:p w14:paraId="0E4127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w:t>
            </w:r>
          </w:p>
        </w:tc>
        <w:tc>
          <w:tcPr>
            <w:tcW w:w="907" w:type="dxa"/>
          </w:tcPr>
          <w:p w14:paraId="748E7C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195318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23E489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116D19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62BEDE51" w14:textId="77777777">
        <w:tc>
          <w:tcPr>
            <w:tcW w:w="1668" w:type="dxa"/>
          </w:tcPr>
          <w:p w14:paraId="0A3E07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Самолет Таран</w:t>
            </w:r>
          </w:p>
        </w:tc>
        <w:tc>
          <w:tcPr>
            <w:tcW w:w="850" w:type="dxa"/>
          </w:tcPr>
          <w:p w14:paraId="08BAFC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ТА2</w:t>
            </w:r>
          </w:p>
        </w:tc>
        <w:tc>
          <w:tcPr>
            <w:tcW w:w="992" w:type="dxa"/>
          </w:tcPr>
          <w:p w14:paraId="086EFE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251BDD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400/5000</w:t>
            </w:r>
          </w:p>
        </w:tc>
        <w:tc>
          <w:tcPr>
            <w:tcW w:w="1009" w:type="dxa"/>
          </w:tcPr>
          <w:p w14:paraId="390D36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5000/8000/6</w:t>
            </w:r>
          </w:p>
        </w:tc>
        <w:tc>
          <w:tcPr>
            <w:tcW w:w="581" w:type="dxa"/>
          </w:tcPr>
          <w:p w14:paraId="4AF416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912" w:type="dxa"/>
          </w:tcPr>
          <w:p w14:paraId="110DFA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час</w:t>
            </w:r>
          </w:p>
        </w:tc>
        <w:tc>
          <w:tcPr>
            <w:tcW w:w="914" w:type="dxa"/>
          </w:tcPr>
          <w:p w14:paraId="6044F1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907" w:type="dxa"/>
          </w:tcPr>
          <w:p w14:paraId="500160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5FF2D8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0279B2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11C58C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Радиоупр.</w:t>
            </w:r>
          </w:p>
        </w:tc>
      </w:tr>
      <w:tr w:rsidR="001002C3" w:rsidRPr="005E779E" w14:paraId="4BF7258F" w14:textId="77777777">
        <w:tc>
          <w:tcPr>
            <w:tcW w:w="1668" w:type="dxa"/>
          </w:tcPr>
          <w:p w14:paraId="4F63A5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Сам. для перевозки пушки</w:t>
            </w:r>
          </w:p>
        </w:tc>
        <w:tc>
          <w:tcPr>
            <w:tcW w:w="850" w:type="dxa"/>
          </w:tcPr>
          <w:p w14:paraId="3CCE95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C4EF0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5B5DA1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32155A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784D9F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54E2FE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234524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2EA59A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22146A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044483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536E5D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072E3E4" w14:textId="77777777">
        <w:tc>
          <w:tcPr>
            <w:tcW w:w="1668" w:type="dxa"/>
          </w:tcPr>
          <w:p w14:paraId="6368BA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Бронир. истр. Миноносец</w:t>
            </w:r>
          </w:p>
        </w:tc>
        <w:tc>
          <w:tcPr>
            <w:tcW w:w="850" w:type="dxa"/>
          </w:tcPr>
          <w:p w14:paraId="43D0AB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М1</w:t>
            </w:r>
          </w:p>
        </w:tc>
        <w:tc>
          <w:tcPr>
            <w:tcW w:w="992" w:type="dxa"/>
          </w:tcPr>
          <w:p w14:paraId="375786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33D4CC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325-350/5000</w:t>
            </w:r>
          </w:p>
        </w:tc>
        <w:tc>
          <w:tcPr>
            <w:tcW w:w="1009" w:type="dxa"/>
          </w:tcPr>
          <w:p w14:paraId="05C251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5000/8000/10</w:t>
            </w:r>
          </w:p>
        </w:tc>
        <w:tc>
          <w:tcPr>
            <w:tcW w:w="581" w:type="dxa"/>
          </w:tcPr>
          <w:p w14:paraId="0AB22B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w:t>
            </w:r>
          </w:p>
        </w:tc>
        <w:tc>
          <w:tcPr>
            <w:tcW w:w="912" w:type="dxa"/>
          </w:tcPr>
          <w:p w14:paraId="703EB7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час.</w:t>
            </w:r>
          </w:p>
        </w:tc>
        <w:tc>
          <w:tcPr>
            <w:tcW w:w="914" w:type="dxa"/>
          </w:tcPr>
          <w:p w14:paraId="31253B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w:t>
            </w:r>
          </w:p>
        </w:tc>
        <w:tc>
          <w:tcPr>
            <w:tcW w:w="907" w:type="dxa"/>
          </w:tcPr>
          <w:p w14:paraId="7C7AC2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легк. пул.</w:t>
            </w:r>
          </w:p>
        </w:tc>
        <w:tc>
          <w:tcPr>
            <w:tcW w:w="831" w:type="dxa"/>
          </w:tcPr>
          <w:p w14:paraId="0C7F03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7FB2B1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055B08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3A3A765A" w14:textId="77777777">
        <w:tc>
          <w:tcPr>
            <w:tcW w:w="1668" w:type="dxa"/>
          </w:tcPr>
          <w:p w14:paraId="229D49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Летающ. торп. катер</w:t>
            </w:r>
          </w:p>
        </w:tc>
        <w:tc>
          <w:tcPr>
            <w:tcW w:w="850" w:type="dxa"/>
          </w:tcPr>
          <w:p w14:paraId="070F97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ЛТК</w:t>
            </w:r>
          </w:p>
        </w:tc>
        <w:tc>
          <w:tcPr>
            <w:tcW w:w="992" w:type="dxa"/>
          </w:tcPr>
          <w:p w14:paraId="7C4084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523065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25B1E3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346002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623F4D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319BCE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41498C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3D9BF6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233E17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202B5A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bl>
    <w:p w14:paraId="6FDB1C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Примечание: Самолеты особой группы строятся в порядке особой засекреченности не проходя обычных путей разработки и утверждения требований и макетов. Самолеты этой группы проходят специальные испытания и быть введенными на вооружение ВВС РККА в мирное время не предполагаются.</w:t>
      </w:r>
    </w:p>
    <w:p w14:paraId="43E086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Интересно, что нет АНТ-20, Р7 (АНТ-10), Ш2, ДИ3, ТОМ, ТШ1, ТБ-7 (ЦАГИ), ШОН, МУ3, ИZ, МБР-2, Сталь-2.</w:t>
      </w:r>
    </w:p>
    <w:p w14:paraId="17A62A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FB8C1FB" w14:textId="77777777" w:rsidR="001C4D6B" w:rsidRPr="005E779E" w:rsidRDefault="001C4D6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ноября 1931 г. Начальник ВВС Я.И. Алкснис подписал предложенный ВВС РККА План опытного строительство по моторам и самолетам на 1932-1934 гг., в котором к 01.10.32 г. ВАО должно было представить на испытания новый истребитель И13-М32 для замены самолетов И-7 в скором будущем – подобной смешанной конструкции, но с улучшенными летными данными. Тем же документом предполагалось до замены самолетов И-7 новыми внедрить на них двигатели М-34, предкрылки (патент закупался у английской фирмы «Хэндли Пейдж») и тормозные колеса шасси.</w:t>
      </w:r>
    </w:p>
    <w:p w14:paraId="6DF6AE2C" w14:textId="77777777" w:rsidR="001C4D6B" w:rsidRPr="005E779E" w:rsidRDefault="001C4D6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ВАО предложение поддержано, однако, по-видимому, никакие практические работы не выполнялись, т.к. задание не было внесено в планы.</w:t>
      </w:r>
    </w:p>
    <w:p w14:paraId="2B84AEB8" w14:textId="77777777" w:rsidR="001C4D6B" w:rsidRPr="005E779E" w:rsidRDefault="001C4D6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Вопрос внедрения предкрылков на самолет И-7 М-34, как имеющий в серийном исполнении с мотором М-17 проблемы со штопором, поручен ЦАГИ, но Институт им не занимался, будучи перегружен в т.ч. и подобной темой по истребителю И-4 (АНТ-5) его собственной разработки (24331).</w:t>
      </w:r>
    </w:p>
    <w:p w14:paraId="1C2F8F81" w14:textId="77777777" w:rsidR="001C4D6B" w:rsidRPr="005E779E" w:rsidRDefault="001C4D6B" w:rsidP="000B7A6C">
      <w:pPr>
        <w:spacing w:after="0" w:line="240" w:lineRule="auto"/>
        <w:jc w:val="both"/>
        <w:rPr>
          <w:rFonts w:ascii="Times New Roman" w:hAnsi="Times New Roman"/>
          <w:color w:val="000000" w:themeColor="text1"/>
          <w:sz w:val="16"/>
          <w:szCs w:val="16"/>
        </w:rPr>
      </w:pPr>
    </w:p>
    <w:p w14:paraId="5CBD990F" w14:textId="77777777" w:rsidR="00C54992"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70A5ADFC" w14:textId="77777777" w:rsidR="00C54992" w:rsidRPr="005E779E" w:rsidRDefault="00C54992"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F109F13" w14:textId="77777777" w:rsidR="00C54992" w:rsidRPr="005E779E" w:rsidRDefault="00C54992" w:rsidP="000B7A6C">
      <w:pPr>
        <w:widowControl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20 ноября 1931 года рабочие чертежи 82-мм миномета были отправлены Н.А. Доровлевым в Артуправление. Первый 82-мм миномет был спроектирован группой Д на базе 81-мм трофейного миномета Стокса-Брандта. Почему у минометов группы Доровлева калибр был 82, а не </w:t>
      </w:r>
      <w:smartTag w:uri="urn:schemas-microsoft-com:office:smarttags" w:element="metricconverter">
        <w:smartTagPr>
          <w:attr w:name="ProductID" w:val="1945 г"/>
        </w:smartTagPr>
        <w:r w:rsidRPr="005E779E">
          <w:rPr>
            <w:rFonts w:ascii="Times New Roman" w:hAnsi="Times New Roman"/>
            <w:color w:val="000000" w:themeColor="text1"/>
            <w:sz w:val="16"/>
            <w:szCs w:val="16"/>
          </w:rPr>
          <w:t>81,4 мм</w:t>
        </w:r>
      </w:smartTag>
      <w:r w:rsidRPr="005E779E">
        <w:rPr>
          <w:rFonts w:ascii="Times New Roman" w:hAnsi="Times New Roman"/>
          <w:color w:val="000000" w:themeColor="text1"/>
          <w:sz w:val="16"/>
          <w:szCs w:val="16"/>
        </w:rPr>
        <w:t xml:space="preserve">, как у минометов Стокса-Брандта в остальных государствах мира? Доровлев обосновывал разницу в калибрах так: мины батальонных минометов иностранных армий могли быть использованы нашими минометчиками при стрельбе из наших минометов, в то время как наши мины не были пригодны для стрельбы из иностранных минометов. Рассмотрев рабочие чертежи, Артуправление утвердило их и дало 7 января 1932 года опытный заказ на пять 82-мм минометов заводу «Красный Октябрь». Полигонные испытания 82-мм минометов, изготовленных на заводе «Красный Октябрь», начались 17 июня 1933 года. Вес минометов с колесным ходом составлял </w:t>
      </w:r>
      <w:smartTag w:uri="urn:schemas-microsoft-com:office:smarttags" w:element="metricconverter">
        <w:smartTagPr>
          <w:attr w:name="ProductID" w:val="1945 г"/>
        </w:smartTagPr>
        <w:r w:rsidRPr="005E779E">
          <w:rPr>
            <w:rFonts w:ascii="Times New Roman" w:hAnsi="Times New Roman"/>
            <w:color w:val="000000" w:themeColor="text1"/>
            <w:sz w:val="16"/>
            <w:szCs w:val="16"/>
          </w:rPr>
          <w:t>81 кг</w:t>
        </w:r>
      </w:smartTag>
      <w:r w:rsidRPr="005E779E">
        <w:rPr>
          <w:rFonts w:ascii="Times New Roman" w:hAnsi="Times New Roman"/>
          <w:color w:val="000000" w:themeColor="text1"/>
          <w:sz w:val="16"/>
          <w:szCs w:val="16"/>
        </w:rPr>
        <w:t xml:space="preserve">. Стрельба велась трофейными минами с шестикрылыми стабилизаторами. Всего у китайцев было захвачено около 10 тысяч мин. Стрельба ими велась на дистанции от 1800 до </w:t>
      </w:r>
      <w:smartTag w:uri="urn:schemas-microsoft-com:office:smarttags" w:element="metricconverter">
        <w:smartTagPr>
          <w:attr w:name="ProductID" w:val="1945 г"/>
        </w:smartTagPr>
        <w:r w:rsidRPr="005E779E">
          <w:rPr>
            <w:rFonts w:ascii="Times New Roman" w:hAnsi="Times New Roman"/>
            <w:color w:val="000000" w:themeColor="text1"/>
            <w:sz w:val="16"/>
            <w:szCs w:val="16"/>
          </w:rPr>
          <w:t>80 метров</w:t>
        </w:r>
      </w:smartTag>
      <w:r w:rsidRPr="005E779E">
        <w:rPr>
          <w:rFonts w:ascii="Times New Roman" w:hAnsi="Times New Roman"/>
          <w:color w:val="000000" w:themeColor="text1"/>
          <w:sz w:val="16"/>
          <w:szCs w:val="16"/>
        </w:rPr>
        <w:t xml:space="preserve"> (15218).</w:t>
      </w:r>
    </w:p>
    <w:p w14:paraId="5BB35F90" w14:textId="77777777" w:rsidR="00C54992" w:rsidRPr="005E779E" w:rsidRDefault="00C54992" w:rsidP="000B7A6C">
      <w:pPr>
        <w:widowControl w:val="0"/>
        <w:spacing w:after="0" w:line="240" w:lineRule="auto"/>
        <w:jc w:val="both"/>
        <w:rPr>
          <w:rFonts w:ascii="Times New Roman" w:hAnsi="Times New Roman"/>
          <w:color w:val="000000" w:themeColor="text1"/>
          <w:sz w:val="16"/>
          <w:szCs w:val="16"/>
        </w:rPr>
      </w:pPr>
    </w:p>
    <w:p w14:paraId="0B65F1FB"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6100D56A"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8083C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ноября 1931 Президиум ВЦИК постановил переименовать Тверь МО в Калинин. Указ подписал сам М.К. (3263,667).</w:t>
      </w:r>
    </w:p>
    <w:p w14:paraId="6EFDDB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FE0EDEA" w14:textId="77777777" w:rsidR="00A73FA4" w:rsidRPr="005E779E" w:rsidRDefault="00A73FA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ноября 1931 года Президиум ЦИК Союза СССР постановил: «Ходатайство Президиума ВЦИК и Московского облисполкома удовлетворить и переименовать город Тверь Московской области в город Калинин» (21166).</w:t>
      </w:r>
    </w:p>
    <w:p w14:paraId="3313F34A" w14:textId="77777777" w:rsidR="00A73FA4" w:rsidRPr="005E779E" w:rsidRDefault="00A73FA4" w:rsidP="000B7A6C">
      <w:pPr>
        <w:spacing w:after="0" w:line="240" w:lineRule="auto"/>
        <w:jc w:val="both"/>
        <w:rPr>
          <w:rFonts w:ascii="Times New Roman" w:hAnsi="Times New Roman"/>
          <w:color w:val="000000" w:themeColor="text1"/>
          <w:sz w:val="16"/>
          <w:szCs w:val="16"/>
        </w:rPr>
      </w:pPr>
    </w:p>
    <w:p w14:paraId="1BDE21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20 ноября и 3 декабря 1931. Из протокола заседания Политбюро № 75, 1931 г.</w:t>
      </w:r>
    </w:p>
    <w:p w14:paraId="33BE9A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 порядке представления материалов к заседаниям Политбюро </w:t>
      </w:r>
    </w:p>
    <w:p w14:paraId="3227D0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 изменение постановления Политбюро от 5 ноября с. г. ограничить представляемые в ЦК к заседаниям Политбюро материалы (объяснительная записка и проект постановления вместе) максимум 8 страницами (11652).</w:t>
      </w:r>
    </w:p>
    <w:p w14:paraId="3C7726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21A5D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20 ноября и 3 декабря 1931. Из протокола заседания Политбюро № 75, 1931 г.</w:t>
      </w:r>
    </w:p>
    <w:p w14:paraId="087A20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Вопрос тов. Элиавы </w:t>
      </w:r>
    </w:p>
    <w:p w14:paraId="50330E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"Антиквариату" продать находящуюся в Эрмитаже картину Рембрандта "Аман в гневе" (11652). </w:t>
      </w:r>
    </w:p>
    <w:p w14:paraId="51D1CE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8EDF9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20 ноября и 3 декабря 1931. Из протокола заседания Политбюро № 75, 1931 г.</w:t>
      </w:r>
    </w:p>
    <w:p w14:paraId="5C8D3E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Ставки для коммунистов-хозяйственников и инженерно-технического персонала </w:t>
      </w:r>
    </w:p>
    <w:p w14:paraId="31A449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 Распространить получение заработка выше партмаксимума на следующие категории работников-коммунистов: директоров (управляющих) на производстве (строительстве), начальников депо, станций и дистанций железной дороги и соответствующих им должностей водного транспорта; специалистов, работающих по специальности как в производстве, так и в учреждениях, в том числе и в научно-исследовательских институтах. </w:t>
      </w:r>
    </w:p>
    <w:p w14:paraId="069F2E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 Установить отчисления членских взносов для коммунистов, получающих зарплату свыше партмаксимума, в размере 5%. </w:t>
      </w:r>
    </w:p>
    <w:p w14:paraId="23C6F9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Установить для коммунистов, получающих сверх партмаксимума, три категории оплаты труда: 400-500 руб., 600-700 руб. и 800-900 рублей (11652).</w:t>
      </w:r>
    </w:p>
    <w:p w14:paraId="2355F5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3B45DBD" w14:textId="77777777" w:rsidR="00CB6D91"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297CF606" w14:textId="77777777" w:rsidR="00CB6D91" w:rsidRPr="005E779E" w:rsidRDefault="00CB6D91"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9F72044" w14:textId="77777777" w:rsidR="00CB6D91" w:rsidRPr="005E779E" w:rsidRDefault="00CB6D91"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20 ноября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Постановление СТО СССР № 243с о подготовке квалифицированных рабочих и специалистов в системе наркоматов для РККА (ГА РФ. Ф. Р?8418. Оп. 28. Д. 1а. Л. 86) (12415).</w:t>
      </w:r>
    </w:p>
    <w:p w14:paraId="589DB39B" w14:textId="77777777" w:rsidR="00CB6D91" w:rsidRPr="005E779E" w:rsidRDefault="00CB6D91" w:rsidP="000B7A6C">
      <w:pPr>
        <w:spacing w:after="0" w:line="240" w:lineRule="auto"/>
        <w:jc w:val="both"/>
        <w:rPr>
          <w:rFonts w:ascii="Times New Roman" w:hAnsi="Times New Roman"/>
          <w:color w:val="000000" w:themeColor="text1"/>
          <w:sz w:val="16"/>
          <w:szCs w:val="16"/>
          <w:u w:color="002060"/>
        </w:rPr>
      </w:pPr>
    </w:p>
    <w:p w14:paraId="35003885"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Внешняя политика:</w:t>
      </w:r>
    </w:p>
    <w:p w14:paraId="64851FC7"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22110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20 и 26 ноября 1931. Из протокола заседания Политбюро № 74, 1931 г.</w:t>
      </w:r>
    </w:p>
    <w:p w14:paraId="299042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 закупке сельдей в Англии </w:t>
      </w:r>
    </w:p>
    <w:p w14:paraId="1E608B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Послать Торгпредству в Англии следующую телеграмму: "Хотя мы в сельдях не очень нуждаемся, так как своих сельдей у нас в настоящее время несравненно больше, чем в прошлом году, однако, учитывая настоятельную просьбу известных политических кругов Англии, мы согласны импортировать 50 тыс. бочек сельдей по цене максимум 28 шиллингов за бочку. Желательно дальнейшее снижение цены и, если возможно, увеличение срока кредита" (11652).</w:t>
      </w:r>
    </w:p>
    <w:p w14:paraId="78CF72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968CB81"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5453EB74"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78C9A06" w14:textId="77777777" w:rsidR="00A73FA4" w:rsidRPr="005E779E" w:rsidRDefault="00A73FA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ноября 1931 правительство Филиппин создает офис при Министерстве торговли и коммуникаций для решения авиационных вопросов на Филиппинах, в частности, обеспечения соблюдения правил и положений, регулирующих коммерческую авиацию и частные полеты (20804).</w:t>
      </w:r>
    </w:p>
    <w:p w14:paraId="67FDD54F" w14:textId="77777777" w:rsidR="00A73FA4" w:rsidRPr="005E779E" w:rsidRDefault="00A73FA4" w:rsidP="000B7A6C">
      <w:pPr>
        <w:spacing w:after="0" w:line="240" w:lineRule="auto"/>
        <w:jc w:val="both"/>
        <w:rPr>
          <w:rFonts w:ascii="Times New Roman" w:hAnsi="Times New Roman"/>
          <w:color w:val="000000" w:themeColor="text1"/>
          <w:sz w:val="16"/>
          <w:szCs w:val="16"/>
        </w:rPr>
      </w:pPr>
    </w:p>
    <w:p w14:paraId="327CA7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ноября 1931 Япония и Китай отклонили условия урегулирования в Манчжурии, предложенные Лигой наций в Женеве (2100).</w:t>
      </w:r>
    </w:p>
    <w:p w14:paraId="7343AA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5F01A09" w14:textId="77777777" w:rsidR="00996162" w:rsidRPr="005E779E" w:rsidRDefault="00996162"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67238DBB" w14:textId="77777777" w:rsidR="00996162" w:rsidRPr="005E779E" w:rsidRDefault="00996162"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A011D31" w14:textId="77777777" w:rsidR="00996162" w:rsidRPr="005E779E" w:rsidRDefault="00996162" w:rsidP="000B7A6C">
      <w:pPr>
        <w:spacing w:after="0" w:line="240" w:lineRule="auto"/>
        <w:jc w:val="both"/>
        <w:rPr>
          <w:rFonts w:ascii="Times New Roman" w:eastAsia="Times New Roman" w:hAnsi="Times New Roman"/>
          <w:bCs/>
          <w:iCs/>
          <w:color w:val="000000" w:themeColor="text1"/>
          <w:sz w:val="16"/>
          <w:szCs w:val="16"/>
          <w:lang w:eastAsia="ru-RU"/>
        </w:rPr>
      </w:pPr>
      <w:r w:rsidRPr="005E779E">
        <w:rPr>
          <w:rFonts w:ascii="Times New Roman" w:eastAsia="Times New Roman" w:hAnsi="Times New Roman"/>
          <w:bCs/>
          <w:iCs/>
          <w:color w:val="000000" w:themeColor="text1"/>
          <w:sz w:val="16"/>
          <w:szCs w:val="16"/>
          <w:lang w:eastAsia="ru-RU"/>
        </w:rPr>
        <w:t>21 ноября 1931</w:t>
      </w:r>
    </w:p>
    <w:p w14:paraId="77C9CDF8" w14:textId="77777777" w:rsidR="00996162" w:rsidRPr="005E779E" w:rsidRDefault="00996162"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bCs/>
          <w:iCs/>
          <w:color w:val="000000" w:themeColor="text1"/>
          <w:sz w:val="16"/>
          <w:szCs w:val="16"/>
          <w:lang w:eastAsia="ru-RU"/>
        </w:rPr>
        <w:t>РГВА Фонд 31811 Опись 3 Дело 28 лист 91</w:t>
      </w:r>
    </w:p>
    <w:p w14:paraId="13EF95E3" w14:textId="77777777" w:rsidR="00996162" w:rsidRPr="005E779E" w:rsidRDefault="00996162"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iCs/>
          <w:color w:val="000000" w:themeColor="text1"/>
          <w:sz w:val="16"/>
          <w:szCs w:val="16"/>
          <w:lang w:eastAsia="ru-RU"/>
        </w:rPr>
        <w:t>[Документ напечатан на бланке Отдела внешних заказов при уполномоченном НКВМД в НКВТ СССР]</w:t>
      </w:r>
      <w:r w:rsidRPr="005E779E">
        <w:rPr>
          <w:rFonts w:ascii="Times New Roman" w:eastAsia="Times New Roman" w:hAnsi="Times New Roman"/>
          <w:color w:val="000000" w:themeColor="text1"/>
          <w:sz w:val="16"/>
          <w:szCs w:val="16"/>
          <w:lang w:eastAsia="ru-RU"/>
        </w:rPr>
        <w:t xml:space="preserve"> </w:t>
      </w:r>
    </w:p>
    <w:p w14:paraId="6955E36E" w14:textId="77777777" w:rsidR="00996162" w:rsidRPr="005E779E" w:rsidRDefault="00996162"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Не подлежит оглашению</w:t>
      </w:r>
    </w:p>
    <w:p w14:paraId="1F02D51F" w14:textId="77777777" w:rsidR="00996162" w:rsidRPr="005E779E" w:rsidRDefault="00996162"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21/XI-1931 г. </w:t>
      </w:r>
    </w:p>
    <w:p w14:paraId="4AB6B7CA" w14:textId="77777777" w:rsidR="00996162" w:rsidRPr="005E779E" w:rsidRDefault="00996162"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 8592 </w:t>
      </w:r>
    </w:p>
    <w:p w14:paraId="5EB59CB1" w14:textId="77777777" w:rsidR="00996162" w:rsidRPr="005E779E" w:rsidRDefault="00996162"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Начальнику Управления Механизации и Моторизации</w:t>
      </w:r>
    </w:p>
    <w:p w14:paraId="78492A1C" w14:textId="77777777" w:rsidR="00996162" w:rsidRPr="005E779E" w:rsidRDefault="00996162"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Препровождается информация т. Гобар по делу Кристи. </w:t>
      </w:r>
    </w:p>
    <w:p w14:paraId="29E15F05" w14:textId="77777777" w:rsidR="00996162" w:rsidRPr="005E779E" w:rsidRDefault="00996162"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Приложение на 4 листах. </w:t>
      </w:r>
    </w:p>
    <w:p w14:paraId="46071D8E" w14:textId="77777777" w:rsidR="00996162" w:rsidRPr="005E779E" w:rsidRDefault="00996162"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Отв. Исп. подпись В.М. Гиттиса</w:t>
      </w:r>
    </w:p>
    <w:p w14:paraId="1A05A927" w14:textId="77777777" w:rsidR="00996162" w:rsidRPr="005E779E" w:rsidRDefault="00996162"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bCs/>
          <w:iCs/>
          <w:color w:val="000000" w:themeColor="text1"/>
          <w:sz w:val="16"/>
          <w:szCs w:val="16"/>
          <w:lang w:eastAsia="ru-RU"/>
        </w:rPr>
        <w:t>РГВА Фонд 31811 Опись 3 Дело 28 лист 92 – 93</w:t>
      </w:r>
      <w:r w:rsidRPr="005E779E">
        <w:rPr>
          <w:rFonts w:ascii="Times New Roman" w:eastAsia="Times New Roman" w:hAnsi="Times New Roman"/>
          <w:color w:val="000000" w:themeColor="text1"/>
          <w:sz w:val="16"/>
          <w:szCs w:val="16"/>
          <w:lang w:eastAsia="ru-RU"/>
        </w:rPr>
        <w:t xml:space="preserve"> </w:t>
      </w:r>
    </w:p>
    <w:p w14:paraId="66370B77" w14:textId="77777777" w:rsidR="00996162" w:rsidRPr="005E779E" w:rsidRDefault="00996162"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Нью-Иорк "30" Октября 1931 г. </w:t>
      </w:r>
    </w:p>
    <w:p w14:paraId="68BFCD50" w14:textId="77777777" w:rsidR="00996162" w:rsidRPr="005E779E" w:rsidRDefault="00996162"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 227 лит "А/о" </w:t>
      </w:r>
    </w:p>
    <w:p w14:paraId="21346449" w14:textId="77777777" w:rsidR="00996162" w:rsidRPr="005E779E" w:rsidRDefault="00996162"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u w:val="single"/>
          <w:lang w:eastAsia="ru-RU"/>
        </w:rPr>
        <w:t>Москва, ОВЗ тов. Гиттису.</w:t>
      </w:r>
      <w:r w:rsidRPr="005E779E">
        <w:rPr>
          <w:rFonts w:ascii="Times New Roman" w:eastAsia="Times New Roman" w:hAnsi="Times New Roman"/>
          <w:color w:val="000000" w:themeColor="text1"/>
          <w:sz w:val="16"/>
          <w:szCs w:val="16"/>
          <w:lang w:eastAsia="ru-RU"/>
        </w:rPr>
        <w:t xml:space="preserve"> </w:t>
      </w:r>
    </w:p>
    <w:p w14:paraId="71F7FF69" w14:textId="77777777" w:rsidR="00996162" w:rsidRPr="005E779E" w:rsidRDefault="00996162"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Тов. Халепский прислал телеграмму с просьбой информировать его о положении тут дел с Кристи. </w:t>
      </w:r>
    </w:p>
    <w:p w14:paraId="520E5681" w14:textId="77777777" w:rsidR="00996162" w:rsidRPr="005E779E" w:rsidRDefault="00996162"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6-го Ноября выезжает в Союз тов. Свиридов, который даст подробную информацию. </w:t>
      </w:r>
    </w:p>
    <w:p w14:paraId="0B197A58" w14:textId="77777777" w:rsidR="00996162" w:rsidRPr="005E779E" w:rsidRDefault="00996162"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В основном положение такое: Кристи целиком поглощен выполнением контракта для американской армии на 7 машин, которые он должен сдать в течение Ноября, и занят с утра до ночи в мастерской. </w:t>
      </w:r>
    </w:p>
    <w:p w14:paraId="6B772F86" w14:textId="77777777" w:rsidR="00996162" w:rsidRPr="005E779E" w:rsidRDefault="00996162"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Никакой конструкторской работы в отношении новых машин не производится и посланная тов. Свиридовым картинка 10-ти колесной машины с мотором Конквера, никакого конструктивного оформления не получила. </w:t>
      </w:r>
    </w:p>
    <w:p w14:paraId="5667124D" w14:textId="77777777" w:rsidR="00996162" w:rsidRPr="005E779E" w:rsidRDefault="00996162"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Американские машины строятся по типу машин, купленных нами с теми небольшими изменениями, которые были еще известны тов. Тоскину. Кристи продолжает заканчивать детальные чертежи на эту машину, однако, полный их комплект еще не готов. </w:t>
      </w:r>
    </w:p>
    <w:p w14:paraId="4B360018" w14:textId="77777777" w:rsidR="00996162" w:rsidRPr="005E779E" w:rsidRDefault="00996162"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Финансовое его положение попрежнему очень плохо. Он одалживает деньги, где может, и по сведениям заслуживающим полного доверия, тех денег, которые он получит за 7 машин ему не хватит для покрытия даже половины имеющихся долгов. </w:t>
      </w:r>
    </w:p>
    <w:p w14:paraId="71AE76AD" w14:textId="77777777" w:rsidR="00996162" w:rsidRPr="005E779E" w:rsidRDefault="00996162"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При получении последнего заказа Кристи принужден был связаться с неким Мр. Холден, который выдал в обеспечение заказа бонд, и сейчас пытается выяснить вопрос о выгодности повести дело постройки самостоятельно, или вовсе без участия Кристи или с использованием его лишь в качестве сотрудника. Сам Кристи этому всячески противится и во что выльется это все – пока неизвестно. </w:t>
      </w:r>
    </w:p>
    <w:p w14:paraId="4D0BC282" w14:textId="77777777" w:rsidR="00996162" w:rsidRPr="005E779E" w:rsidRDefault="00996162"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В отношении нас, как видно из прилагаемого письма, он продолжает занимать твердую позицию и договора не выполняет на том основании, что мы не доплатили якобы ему 25 тысяч долларов. </w:t>
      </w:r>
    </w:p>
    <w:p w14:paraId="5731D236" w14:textId="77777777" w:rsidR="00996162" w:rsidRPr="005E779E" w:rsidRDefault="00996162"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Единственное, что может быть, нам нужно было бы от него получить это его новые чертежи. Однако, т.к. по существу ничего нового они в себе не заключают, изменения, внесенные в конструкцию в общем нам известны и сами машины у нас уже есть – стоит ли нам платить за них какие-либо деньги – сомнительно. Нужно кроме того думать, что после того как он закончит контракт, заплатит частично свои долги и опять останется у разбитого корыта – он станет сговорчивей. </w:t>
      </w:r>
    </w:p>
    <w:p w14:paraId="2D5A4B6B" w14:textId="77777777" w:rsidR="00996162" w:rsidRPr="005E779E" w:rsidRDefault="00996162"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Отношения у нас, в общем, не испортились и мы их не заостряем т.к. мы на юридическую точку зрения в вопросе о невыполнении им договора – встать практически не можем. </w:t>
      </w:r>
    </w:p>
    <w:p w14:paraId="7C0C0DA0" w14:textId="77777777" w:rsidR="00996162" w:rsidRPr="005E779E" w:rsidRDefault="00996162"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Относительно поездки Кристи в Союз, предполагаю, что после окончания заказа армии, если не будет новых заказов (а при общей обстановке тут они маловероятны), поездка его будет реальной. </w:t>
      </w:r>
    </w:p>
    <w:p w14:paraId="7573B772" w14:textId="77777777" w:rsidR="00996162" w:rsidRPr="005E779E" w:rsidRDefault="00996162"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Относительно приглашения к нам одного из работавших у него инженеров конструкторов, то подробное сообщение сделает тов. Свиридов. </w:t>
      </w:r>
    </w:p>
    <w:p w14:paraId="73518839" w14:textId="77777777" w:rsidR="00996162" w:rsidRPr="005E779E" w:rsidRDefault="00996162"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lastRenderedPageBreak/>
        <w:t xml:space="preserve">В прилагаемом письме Кристи сроки, относящиеся к приезду Тоскина в Америку, конечно, пустая болтовня, ставящая себе целью нас заинтриговать и получить какие-нибудь деньги. </w:t>
      </w:r>
    </w:p>
    <w:p w14:paraId="19E3DDA2" w14:textId="77777777" w:rsidR="00996162" w:rsidRPr="005E779E" w:rsidRDefault="00996162"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Копию настоящего письма прошу направить тов. Халепскому. </w:t>
      </w:r>
    </w:p>
    <w:p w14:paraId="55BA4B1E" w14:textId="77777777" w:rsidR="00996162" w:rsidRPr="005E779E" w:rsidRDefault="00996162"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(Г. Гобар)</w:t>
      </w:r>
    </w:p>
    <w:p w14:paraId="66E0B1BC" w14:textId="77777777" w:rsidR="00996162" w:rsidRPr="005E779E" w:rsidRDefault="00996162"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Отп. 3 экз. </w:t>
      </w:r>
    </w:p>
    <w:p w14:paraId="550F7274" w14:textId="77777777" w:rsidR="00996162" w:rsidRPr="005E779E" w:rsidRDefault="00996162"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Т.М. </w:t>
      </w:r>
    </w:p>
    <w:p w14:paraId="4CA6C154" w14:textId="77777777" w:rsidR="00996162" w:rsidRPr="005E779E" w:rsidRDefault="00996162"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30.Х-31 г. </w:t>
      </w:r>
    </w:p>
    <w:p w14:paraId="345390A7" w14:textId="77777777" w:rsidR="00996162" w:rsidRPr="005E779E" w:rsidRDefault="00996162"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bCs/>
          <w:iCs/>
          <w:color w:val="000000" w:themeColor="text1"/>
          <w:sz w:val="16"/>
          <w:szCs w:val="16"/>
          <w:lang w:eastAsia="ru-RU"/>
        </w:rPr>
        <w:t>РГВА Фонд 31811 Опись 3 Дело 28 лист 95</w:t>
      </w:r>
      <w:r w:rsidRPr="005E779E">
        <w:rPr>
          <w:rFonts w:ascii="Times New Roman" w:eastAsia="Times New Roman" w:hAnsi="Times New Roman"/>
          <w:color w:val="000000" w:themeColor="text1"/>
          <w:sz w:val="16"/>
          <w:szCs w:val="16"/>
          <w:lang w:eastAsia="ru-RU"/>
        </w:rPr>
        <w:t xml:space="preserve"> </w:t>
      </w:r>
    </w:p>
    <w:p w14:paraId="04E1280B" w14:textId="77777777" w:rsidR="00996162" w:rsidRPr="005E779E" w:rsidRDefault="00996162"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u w:val="single"/>
          <w:lang w:eastAsia="ru-RU"/>
        </w:rPr>
        <w:t>КОПИЯ.</w:t>
      </w:r>
      <w:r w:rsidRPr="005E779E">
        <w:rPr>
          <w:rFonts w:ascii="Times New Roman" w:eastAsia="Times New Roman" w:hAnsi="Times New Roman"/>
          <w:color w:val="000000" w:themeColor="text1"/>
          <w:sz w:val="16"/>
          <w:szCs w:val="16"/>
          <w:lang w:eastAsia="ru-RU"/>
        </w:rPr>
        <w:t xml:space="preserve"> </w:t>
      </w:r>
    </w:p>
    <w:p w14:paraId="4CC9EB83" w14:textId="77777777" w:rsidR="00996162" w:rsidRPr="005E779E" w:rsidRDefault="00996162"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7 октября 1931 г. </w:t>
      </w:r>
    </w:p>
    <w:p w14:paraId="795CDF4C" w14:textId="77777777" w:rsidR="00996162" w:rsidRPr="005E779E" w:rsidRDefault="00996162"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Уиль Трек Лайер Корпорешион </w:t>
      </w:r>
    </w:p>
    <w:p w14:paraId="7AEF5739" w14:textId="77777777" w:rsidR="00996162" w:rsidRPr="005E779E" w:rsidRDefault="00996162"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Амторгу – т. Гобару</w:t>
      </w:r>
    </w:p>
    <w:p w14:paraId="4AF22635" w14:textId="77777777" w:rsidR="00996162" w:rsidRPr="005E779E" w:rsidRDefault="00996162"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Ваш представитель инженер т. Свиридов только что посетил нас в целях осмотра, что как я уверен, окажется полезным для нас обеих. Однако, как мне кажется, Ваше правительство было бы вполне удовлетворено, если г. Тоскин, назначенный сюда в качестве приемщика, мог бы вернуться сюда для беглого осмотра, привезя с собой требования и пожелания Ваших военных органов, будучи осведомленным относительно каких-либо затруднений, возникших у Ваших комитентов в отношении двух шасси, закупленных у нас. С развитием работ, которые почти что завершены в виде законченных чертежей с допусками и всеми указаниями, необходимыми для успешного изготовления этих машин, наши разногласия могут быть скоро разрешены. </w:t>
      </w:r>
    </w:p>
    <w:p w14:paraId="46B0ACE0" w14:textId="77777777" w:rsidR="00996162" w:rsidRPr="005E779E" w:rsidRDefault="00996162"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В этом письме обращаю в последний раз Ваше внимание на достигнутое лично соглашение между т. Халепским, Вами, автором этого письма и другими членами Вашей комиссии, которые были свидетелями того, что контракт, заключенный со мной устно, должен быть выполнен независимо от легальных технических требований и изменений. Поэтому сообщаю Вам, что контрактная цена в размере ам. долл.160.000 за две машины и права на изготовление с усовершенствованиями, которые мы вводим день за днем, должна быть выдержана и мы должны удержать остаток от ам. долл. 160.000 для продолжения наших дружеских отношений, в целях как наших, так и Ваших успехов. </w:t>
      </w:r>
    </w:p>
    <w:p w14:paraId="02E4DD41" w14:textId="77777777" w:rsidR="00996162" w:rsidRPr="005E779E" w:rsidRDefault="00996162"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Письмо, подписанное г. Тиффани и мною под давлением нужды и крайней необходимости денежных средств, не было санкционированно нашим правлением. Г. Тиффани и я оба мы были нашей компанией осуждены и принуждены возместить ей ам. долл. 25.000, следуемые нам по контракту. </w:t>
      </w:r>
    </w:p>
    <w:p w14:paraId="2108ABDB" w14:textId="77777777" w:rsidR="00996162" w:rsidRPr="005E779E" w:rsidRDefault="00996162"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В следствие этого прошу серьезно рассмотреть это дело совместно с т. Халепским и Вашей комиссией, пользуясь теми сведениями, которые у Вас без сомнения имеются. </w:t>
      </w:r>
    </w:p>
    <w:p w14:paraId="64B5AE9A" w14:textId="77777777" w:rsidR="00996162" w:rsidRPr="005E779E" w:rsidRDefault="00996162"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Я не являюсь спекулянтом или капиталистом, я – рабочий и заслуживаю быть оплаченным полностью за все то, что я делаю, что является только оплатой за годы учения и личные мои труды в данной области. </w:t>
      </w:r>
    </w:p>
    <w:p w14:paraId="28F823B6" w14:textId="77777777" w:rsidR="00996162" w:rsidRPr="005E779E" w:rsidRDefault="00996162"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Благодарю Вас за Ваше внимание и остаюсь </w:t>
      </w:r>
    </w:p>
    <w:p w14:paraId="527EC7D2" w14:textId="77777777" w:rsidR="00996162" w:rsidRPr="005E779E" w:rsidRDefault="00996162"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И. Вальтер Кристи (Председатель)</w:t>
      </w:r>
    </w:p>
    <w:p w14:paraId="64C4A0CC" w14:textId="77777777" w:rsidR="00996162" w:rsidRPr="005E779E" w:rsidRDefault="00996162"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подпись</w:t>
      </w:r>
    </w:p>
    <w:p w14:paraId="6659A652" w14:textId="77777777" w:rsidR="00996162" w:rsidRPr="005E779E" w:rsidRDefault="00996162"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Отп. 3 экз. </w:t>
      </w:r>
    </w:p>
    <w:p w14:paraId="184E8D6E" w14:textId="77777777" w:rsidR="00996162" w:rsidRPr="005E779E" w:rsidRDefault="00996162"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НК/ФК 21/XI-31 г. </w:t>
      </w:r>
    </w:p>
    <w:p w14:paraId="18946F2F" w14:textId="77777777" w:rsidR="00996162" w:rsidRPr="005E779E" w:rsidRDefault="00996162"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Перев. К. Фрейган (19766).</w:t>
      </w:r>
    </w:p>
    <w:p w14:paraId="117A16B9" w14:textId="77777777" w:rsidR="00996162" w:rsidRPr="005E779E" w:rsidRDefault="00996162" w:rsidP="000B7A6C">
      <w:pPr>
        <w:spacing w:after="0" w:line="240" w:lineRule="auto"/>
        <w:jc w:val="both"/>
        <w:rPr>
          <w:rFonts w:ascii="Times New Roman" w:eastAsia="Times New Roman" w:hAnsi="Times New Roman"/>
          <w:color w:val="000000" w:themeColor="text1"/>
          <w:sz w:val="16"/>
          <w:szCs w:val="16"/>
          <w:lang w:eastAsia="ru-RU"/>
        </w:rPr>
      </w:pPr>
    </w:p>
    <w:p w14:paraId="13C676F9" w14:textId="77777777" w:rsidR="00996162" w:rsidRPr="005E779E" w:rsidRDefault="00996162"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3FCEF809" w14:textId="77777777" w:rsidR="00996162" w:rsidRPr="005E779E" w:rsidRDefault="00996162"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20E5959" w14:textId="77777777" w:rsidR="00996162" w:rsidRPr="005E779E" w:rsidRDefault="009961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 ноября 1931. Введена шестидневная рабочая неделя (отменена в 1940 году) (18724).</w:t>
      </w:r>
    </w:p>
    <w:p w14:paraId="7B866A45" w14:textId="77777777" w:rsidR="00996162" w:rsidRPr="005E779E" w:rsidRDefault="00996162" w:rsidP="000B7A6C">
      <w:pPr>
        <w:spacing w:after="0" w:line="240" w:lineRule="auto"/>
        <w:jc w:val="both"/>
        <w:rPr>
          <w:rFonts w:ascii="Times New Roman" w:hAnsi="Times New Roman"/>
          <w:color w:val="000000" w:themeColor="text1"/>
          <w:sz w:val="16"/>
          <w:szCs w:val="16"/>
        </w:rPr>
      </w:pPr>
    </w:p>
    <w:p w14:paraId="6EA7C916" w14:textId="77777777" w:rsidR="00C54992"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Внешняя политика:</w:t>
      </w:r>
    </w:p>
    <w:p w14:paraId="35DA30AD" w14:textId="77777777" w:rsidR="00C54992" w:rsidRPr="005E779E" w:rsidRDefault="00C54992"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E8A350B"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 ноября 1931 (Назаров догнал их 27-го) экипажи советских самолетов для Китая прибыли в Алма-Ату, и на месте вы</w:t>
      </w:r>
      <w:r w:rsidRPr="005E779E">
        <w:rPr>
          <w:rFonts w:ascii="Times New Roman" w:hAnsi="Times New Roman"/>
          <w:color w:val="000000" w:themeColor="text1"/>
          <w:sz w:val="16"/>
          <w:szCs w:val="16"/>
        </w:rPr>
        <w:softHyphen/>
        <w:t>яснилось, что ни самому Берестецкому, ни лётчикам жилья просто не полагалось. Они «</w:t>
      </w:r>
      <w:r w:rsidRPr="005E779E">
        <w:rPr>
          <w:rFonts w:ascii="Times New Roman" w:eastAsia="Arial" w:hAnsi="Times New Roman"/>
          <w:color w:val="000000" w:themeColor="text1"/>
          <w:sz w:val="16"/>
          <w:szCs w:val="16"/>
        </w:rPr>
        <w:t>не имели даже кроватей</w:t>
      </w:r>
      <w:r w:rsidRPr="005E779E">
        <w:rPr>
          <w:rFonts w:ascii="Times New Roman" w:hAnsi="Times New Roman"/>
          <w:color w:val="000000" w:themeColor="text1"/>
          <w:sz w:val="16"/>
          <w:szCs w:val="16"/>
        </w:rPr>
        <w:t>, подушек и одеял, спали на полу, покрываясь шинелями, толь</w:t>
      </w:r>
      <w:r w:rsidRPr="005E779E">
        <w:rPr>
          <w:rFonts w:ascii="Times New Roman" w:hAnsi="Times New Roman"/>
          <w:color w:val="000000" w:themeColor="text1"/>
          <w:sz w:val="16"/>
          <w:szCs w:val="16"/>
        </w:rPr>
        <w:softHyphen/>
        <w:t xml:space="preserve">ко с огромным трудом и </w:t>
      </w:r>
      <w:r w:rsidRPr="005E779E">
        <w:rPr>
          <w:rFonts w:ascii="Times New Roman" w:eastAsia="Arial" w:hAnsi="Times New Roman"/>
          <w:color w:val="000000" w:themeColor="text1"/>
          <w:sz w:val="16"/>
          <w:szCs w:val="16"/>
        </w:rPr>
        <w:t>за большие деньги... удалось достать для лётчиков средства передвижения для поездок за 18 км на аэродром</w:t>
      </w:r>
      <w:r w:rsidRPr="005E779E">
        <w:rPr>
          <w:rFonts w:ascii="Times New Roman" w:hAnsi="Times New Roman"/>
          <w:color w:val="000000" w:themeColor="text1"/>
          <w:sz w:val="16"/>
          <w:szCs w:val="16"/>
        </w:rPr>
        <w:t xml:space="preserve">, лётчики все время питались из рук вон плохо, только ОГПУ подкармливало их...», пуская в столовую на завтраки и обеды. В Алма-Ате достать хлеб было почти невозможно, авиаторы всё время оставались без ужина, а нередко и без обеда при тяжёлой работе на аэродроме. </w:t>
      </w:r>
      <w:r w:rsidRPr="005E779E">
        <w:rPr>
          <w:rFonts w:ascii="Times New Roman" w:eastAsia="Arial" w:hAnsi="Times New Roman"/>
          <w:color w:val="000000" w:themeColor="text1"/>
          <w:sz w:val="16"/>
          <w:szCs w:val="16"/>
        </w:rPr>
        <w:t>За целый месяц эки</w:t>
      </w:r>
      <w:r w:rsidRPr="005E779E">
        <w:rPr>
          <w:rFonts w:ascii="Times New Roman" w:eastAsia="Arial" w:hAnsi="Times New Roman"/>
          <w:color w:val="000000" w:themeColor="text1"/>
          <w:sz w:val="16"/>
          <w:szCs w:val="16"/>
        </w:rPr>
        <w:softHyphen/>
        <w:t>пажи ни разу не имели ни ванны, ни бани, им ни разу не выдали чистое белье</w:t>
      </w:r>
      <w:r w:rsidRPr="005E779E">
        <w:rPr>
          <w:rFonts w:ascii="Times New Roman" w:hAnsi="Times New Roman"/>
          <w:color w:val="000000" w:themeColor="text1"/>
          <w:sz w:val="16"/>
          <w:szCs w:val="16"/>
        </w:rPr>
        <w:t>».</w:t>
      </w:r>
    </w:p>
    <w:p w14:paraId="67219274"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Трудно сказать, организовали ли такое безобразие намеренно, с целью побыстрее «вытолкнуть» самолёты в Китай, или же оно явилось следствием обычной чиновной не</w:t>
      </w:r>
      <w:r w:rsidRPr="005E779E">
        <w:rPr>
          <w:rFonts w:ascii="Times New Roman" w:hAnsi="Times New Roman"/>
          <w:color w:val="000000" w:themeColor="text1"/>
          <w:sz w:val="16"/>
          <w:szCs w:val="16"/>
        </w:rPr>
        <w:softHyphen/>
        <w:t>разберихи. Берестецкий писал, что «всё это отражалось на настроении и работоспо</w:t>
      </w:r>
      <w:r w:rsidRPr="005E779E">
        <w:rPr>
          <w:rFonts w:ascii="Times New Roman" w:hAnsi="Times New Roman"/>
          <w:color w:val="000000" w:themeColor="text1"/>
          <w:sz w:val="16"/>
          <w:szCs w:val="16"/>
        </w:rPr>
        <w:softHyphen/>
        <w:t xml:space="preserve">собности лётчиков». По прилёте в Бахты экипажи по предварительной договоренности ещё в Москве разместили в доме консульства. </w:t>
      </w:r>
      <w:r w:rsidRPr="005E779E">
        <w:rPr>
          <w:rFonts w:ascii="Times New Roman" w:eastAsia="Arial" w:hAnsi="Times New Roman"/>
          <w:color w:val="000000" w:themeColor="text1"/>
          <w:sz w:val="16"/>
          <w:szCs w:val="16"/>
        </w:rPr>
        <w:t>Впервые за месяц лётчики, наконец-то. смогли помыться и переночевать в нормальных человеческих условиях</w:t>
      </w:r>
      <w:r w:rsidRPr="005E779E">
        <w:rPr>
          <w:rFonts w:ascii="Times New Roman" w:hAnsi="Times New Roman"/>
          <w:color w:val="000000" w:themeColor="text1"/>
          <w:sz w:val="16"/>
          <w:szCs w:val="16"/>
        </w:rPr>
        <w:t>. Однако Управ</w:t>
      </w:r>
      <w:r w:rsidRPr="005E779E">
        <w:rPr>
          <w:rFonts w:ascii="Times New Roman" w:hAnsi="Times New Roman"/>
          <w:color w:val="000000" w:themeColor="text1"/>
          <w:sz w:val="16"/>
          <w:szCs w:val="16"/>
        </w:rPr>
        <w:softHyphen/>
        <w:t>ляющий местной конторой Совсинторга (Советская торговля с иностранцами — А.Д.), ко</w:t>
      </w:r>
      <w:r w:rsidRPr="005E779E">
        <w:rPr>
          <w:rFonts w:ascii="Times New Roman" w:hAnsi="Times New Roman"/>
          <w:color w:val="000000" w:themeColor="text1"/>
          <w:sz w:val="16"/>
          <w:szCs w:val="16"/>
        </w:rPr>
        <w:softHyphen/>
        <w:t xml:space="preserve">торый «давно считал консульскую квартиру своей», </w:t>
      </w:r>
      <w:r w:rsidRPr="005E779E">
        <w:rPr>
          <w:rFonts w:ascii="Times New Roman" w:eastAsia="Arial" w:hAnsi="Times New Roman"/>
          <w:color w:val="000000" w:themeColor="text1"/>
          <w:sz w:val="16"/>
          <w:szCs w:val="16"/>
        </w:rPr>
        <w:t>устроил скандал и выгнал авиаторов оттуда уже на следующую ночь</w:t>
      </w:r>
      <w:r w:rsidRPr="005E779E">
        <w:rPr>
          <w:rFonts w:ascii="Times New Roman" w:hAnsi="Times New Roman"/>
          <w:color w:val="000000" w:themeColor="text1"/>
          <w:sz w:val="16"/>
          <w:szCs w:val="16"/>
        </w:rPr>
        <w:t>.</w:t>
      </w:r>
    </w:p>
    <w:p w14:paraId="0DFC5378"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 лучше обстояло дело со сборкой самолётов и отправкой грузов. Несмотря на то, что две платформы с самолётами и вагон с запчастями отправили «как военный груз» из Таганрога в Алма-Ату и Аягуз «большой скоростью» ещё 2 ноября, платформы при</w:t>
      </w:r>
      <w:r w:rsidRPr="005E779E">
        <w:rPr>
          <w:rFonts w:ascii="Times New Roman" w:hAnsi="Times New Roman"/>
          <w:color w:val="000000" w:themeColor="text1"/>
          <w:sz w:val="16"/>
          <w:szCs w:val="16"/>
        </w:rPr>
        <w:softHyphen/>
        <w:t>были лишь 29 ноября. На следующий день их подали на площадку кирпичного завода Турксиба, примерно в 1,5 км от аэродрома. Берестецкий докладывал, что перемеще</w:t>
      </w:r>
      <w:r w:rsidRPr="005E779E">
        <w:rPr>
          <w:rFonts w:ascii="Times New Roman" w:hAnsi="Times New Roman"/>
          <w:color w:val="000000" w:themeColor="text1"/>
          <w:sz w:val="16"/>
          <w:szCs w:val="16"/>
        </w:rPr>
        <w:softHyphen/>
        <w:t>нию самолётов на аэродром мешали «технические причины (грязь и неблагоприятная погода)», а из рапорта Волынченко следовало, что разгрузка началась лишь 3 декабря, на пятый (!?) день «из-за отсутствия необходимых приспособлений для разгрузки са</w:t>
      </w:r>
      <w:r w:rsidRPr="005E779E">
        <w:rPr>
          <w:rFonts w:ascii="Times New Roman" w:hAnsi="Times New Roman"/>
          <w:color w:val="000000" w:themeColor="text1"/>
          <w:sz w:val="16"/>
          <w:szCs w:val="16"/>
        </w:rPr>
        <w:softHyphen/>
        <w:t>молётов и переброски их на аэродром».</w:t>
      </w:r>
    </w:p>
    <w:p w14:paraId="241AE894"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Самолёты собирали, регулировали и промывали баки в течение недели. Длитель</w:t>
      </w:r>
      <w:r w:rsidRPr="005E779E">
        <w:rPr>
          <w:rFonts w:ascii="Times New Roman" w:hAnsi="Times New Roman"/>
          <w:color w:val="000000" w:themeColor="text1"/>
          <w:sz w:val="16"/>
          <w:szCs w:val="16"/>
        </w:rPr>
        <w:softHyphen/>
        <w:t>ность работы лётчик в рапорте из Китая объяснял, «во-первых, отсутствием козелков, стремянок и других необходимых для сборки приспособлений; во-вторых, непредоста</w:t>
      </w:r>
      <w:r w:rsidRPr="005E779E">
        <w:rPr>
          <w:rFonts w:ascii="Times New Roman" w:hAnsi="Times New Roman"/>
          <w:color w:val="000000" w:themeColor="text1"/>
          <w:sz w:val="16"/>
          <w:szCs w:val="16"/>
        </w:rPr>
        <w:softHyphen/>
        <w:t>влением нам достаточной помощи рабочей силой со стороны граждвоздухфлота».</w:t>
      </w:r>
    </w:p>
    <w:p w14:paraId="37594245"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Ещё хуже обстояло дело с доставкой авиа</w:t>
      </w:r>
      <w:r w:rsidRPr="005E779E">
        <w:rPr>
          <w:rFonts w:ascii="Times New Roman" w:hAnsi="Times New Roman"/>
          <w:color w:val="000000" w:themeColor="text1"/>
          <w:sz w:val="16"/>
          <w:szCs w:val="16"/>
        </w:rPr>
        <w:softHyphen/>
        <w:t xml:space="preserve">ционного имущества до границы. Вагон с запчастями застрял в пути, не доехав даже до Самары, и в Аягуз </w:t>
      </w:r>
      <w:r w:rsidRPr="005E779E">
        <w:rPr>
          <w:rStyle w:val="105pt0pt"/>
          <w:rFonts w:ascii="Times New Roman" w:hAnsi="Times New Roman" w:cs="Times New Roman"/>
          <w:color w:val="000000" w:themeColor="text1"/>
          <w:spacing w:val="0"/>
          <w:sz w:val="16"/>
          <w:szCs w:val="16"/>
        </w:rPr>
        <w:t>прибыл лишь в сере</w:t>
      </w:r>
      <w:r w:rsidRPr="005E779E">
        <w:rPr>
          <w:rStyle w:val="105pt0pt"/>
          <w:rFonts w:ascii="Times New Roman" w:hAnsi="Times New Roman" w:cs="Times New Roman"/>
          <w:color w:val="000000" w:themeColor="text1"/>
          <w:spacing w:val="0"/>
          <w:sz w:val="16"/>
          <w:szCs w:val="16"/>
        </w:rPr>
        <w:softHyphen/>
      </w:r>
      <w:r w:rsidRPr="005E779E">
        <w:rPr>
          <w:rFonts w:ascii="Times New Roman" w:hAnsi="Times New Roman"/>
          <w:color w:val="000000" w:themeColor="text1"/>
          <w:sz w:val="16"/>
          <w:szCs w:val="16"/>
        </w:rPr>
        <w:t>дине декабря. Однако даже спустя две неде</w:t>
      </w:r>
      <w:r w:rsidRPr="005E779E">
        <w:rPr>
          <w:rFonts w:ascii="Times New Roman" w:hAnsi="Times New Roman"/>
          <w:color w:val="000000" w:themeColor="text1"/>
          <w:sz w:val="16"/>
          <w:szCs w:val="16"/>
        </w:rPr>
        <w:softHyphen/>
        <w:t>ли некий «ответственный» чиновник местного Союзтранса уверял Берестецкого, что груз ещё не дошёл. Лишь с помощью сотрудников его конторы выяснилось, что груз прибыл 14.12, пролежал на скла</w:t>
      </w:r>
      <w:r w:rsidRPr="005E779E">
        <w:rPr>
          <w:rFonts w:ascii="Times New Roman" w:hAnsi="Times New Roman"/>
          <w:color w:val="000000" w:themeColor="text1"/>
          <w:sz w:val="16"/>
          <w:szCs w:val="16"/>
        </w:rPr>
        <w:softHyphen/>
        <w:t>дах до 28.12 и отправлен в Бахты. Но даже эти сведения чиновника ни в чем не убедили!</w:t>
      </w:r>
    </w:p>
    <w:p w14:paraId="765015FF"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Союзтрансе Берестецкого клятвенно заверили, что авиабомбы, бензин и масло хра</w:t>
      </w:r>
      <w:r w:rsidRPr="005E779E">
        <w:rPr>
          <w:rFonts w:ascii="Times New Roman" w:hAnsi="Times New Roman"/>
          <w:color w:val="000000" w:themeColor="text1"/>
          <w:sz w:val="16"/>
          <w:szCs w:val="16"/>
        </w:rPr>
        <w:softHyphen/>
        <w:t>нятся в Вахтах в полном порядке. После окончания сборки самолётов руководитель экс</w:t>
      </w:r>
      <w:r w:rsidRPr="005E779E">
        <w:rPr>
          <w:rFonts w:ascii="Times New Roman" w:hAnsi="Times New Roman"/>
          <w:color w:val="000000" w:themeColor="text1"/>
          <w:sz w:val="16"/>
          <w:szCs w:val="16"/>
        </w:rPr>
        <w:softHyphen/>
        <w:t>педиции выехал туда для передачи китайцам авиационного имущества. Трижды преодо</w:t>
      </w:r>
      <w:r w:rsidRPr="005E779E">
        <w:rPr>
          <w:rFonts w:ascii="Times New Roman" w:hAnsi="Times New Roman"/>
          <w:color w:val="000000" w:themeColor="text1"/>
          <w:sz w:val="16"/>
          <w:szCs w:val="16"/>
        </w:rPr>
        <w:softHyphen/>
        <w:t>левая буран, на машинах и подводах он добирался семь суток. На месте выяснилось, что на складе из 122 бочек с бензином в наличии имелись всего 111, не хватало и одной из 10 бочек масла. Рядом стояли 35 бочек с бензином для комендатуры, 12-13 из них по</w:t>
      </w:r>
      <w:r w:rsidRPr="005E779E">
        <w:rPr>
          <w:rFonts w:ascii="Times New Roman" w:hAnsi="Times New Roman"/>
          <w:color w:val="000000" w:themeColor="text1"/>
          <w:sz w:val="16"/>
          <w:szCs w:val="16"/>
        </w:rPr>
        <w:softHyphen/>
        <w:t>ходили на «китайские». Стояло много бочек без пломб, хотя начальник погранотряда ут</w:t>
      </w:r>
      <w:r w:rsidRPr="005E779E">
        <w:rPr>
          <w:rFonts w:ascii="Times New Roman" w:hAnsi="Times New Roman"/>
          <w:color w:val="000000" w:themeColor="text1"/>
          <w:sz w:val="16"/>
          <w:szCs w:val="16"/>
        </w:rPr>
        <w:softHyphen/>
        <w:t>верждал, что по прибытии не хватало всего лишь двух пломб. (Однако ещё в Алма-Ате Берестецкого проинформировали, что шоферы Совсинторга по дороге бензин исполь</w:t>
      </w:r>
      <w:r w:rsidRPr="005E779E">
        <w:rPr>
          <w:rFonts w:ascii="Times New Roman" w:hAnsi="Times New Roman"/>
          <w:color w:val="000000" w:themeColor="text1"/>
          <w:sz w:val="16"/>
          <w:szCs w:val="16"/>
        </w:rPr>
        <w:softHyphen/>
        <w:t>зуют для себя, доливая бочки водой.)</w:t>
      </w:r>
    </w:p>
    <w:p w14:paraId="7968DC08"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Чтобы «не терять лицо» перед китайцами, руководитель экспедиции опломбировал не</w:t>
      </w:r>
      <w:r w:rsidRPr="005E779E">
        <w:rPr>
          <w:rFonts w:ascii="Times New Roman" w:hAnsi="Times New Roman"/>
          <w:color w:val="000000" w:themeColor="text1"/>
          <w:sz w:val="16"/>
          <w:szCs w:val="16"/>
        </w:rPr>
        <w:softHyphen/>
        <w:t>достающие бочки с «бог знает чем» и присоединил их к 111, особо пометив и предупре</w:t>
      </w:r>
      <w:r w:rsidRPr="005E779E">
        <w:rPr>
          <w:rFonts w:ascii="Times New Roman" w:hAnsi="Times New Roman"/>
          <w:color w:val="000000" w:themeColor="text1"/>
          <w:sz w:val="16"/>
          <w:szCs w:val="16"/>
        </w:rPr>
        <w:softHyphen/>
        <w:t>див лётчиков, чтобы предварительно проверяли качество горючего. Остальные похожие бочки на складе спрятали подальше от глаз китайцев, а отсутствующую 10-ю бочку с маслом накануне якобы «залили в моторы» (15802).</w:t>
      </w:r>
    </w:p>
    <w:p w14:paraId="46CE1D9C" w14:textId="77777777" w:rsidR="00C54992" w:rsidRPr="005E779E" w:rsidRDefault="00C54992" w:rsidP="000B7A6C">
      <w:pPr>
        <w:spacing w:after="0" w:line="240" w:lineRule="auto"/>
        <w:jc w:val="both"/>
        <w:rPr>
          <w:rFonts w:ascii="Times New Roman" w:hAnsi="Times New Roman"/>
          <w:color w:val="000000" w:themeColor="text1"/>
          <w:sz w:val="16"/>
          <w:szCs w:val="16"/>
        </w:rPr>
      </w:pPr>
    </w:p>
    <w:p w14:paraId="6C52C981"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3F093FEA"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0E5DD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 ноября 1931 был принят Вестминстерский статут, доминионы получили суверенные права и было создано Британское содружество (2443,406).</w:t>
      </w:r>
    </w:p>
    <w:p w14:paraId="6D6135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53FC2F3"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3A26B247"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9922B00" w14:textId="77777777" w:rsidR="00CB6D91" w:rsidRPr="005E779E" w:rsidRDefault="00CB6D9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 ноября 1931 г. планом на 1932 г., утверждёнными начальником УВВС Я.И. Алкснисом, предусматривалось формирование шести эскадрилий многоместных истребителей Р-6: 96-й, 98-й и 100-й в Московском военном округе (соответственно - Монино, Воронеж и Иваново-Вознесенск), одной в Белорусском - 102-й во Ржеве, одной на Украине - 104-й в Запорожье и одной в Ленинградском округе - 92-й в Кречевицах. Первоочередными считались 92-я, 96-я и 98-я эскадрильи, которые должны были получить новую технику ещё в январе, а к декабрю располагать полным комплектом из дюжины Р-6 в каждой. Три другие эскадрильи собирались обеспечить к концу года самолётами на 50% (12264).</w:t>
      </w:r>
    </w:p>
    <w:p w14:paraId="77889DB3" w14:textId="77777777" w:rsidR="00CB6D91" w:rsidRPr="005E779E" w:rsidRDefault="00CB6D91" w:rsidP="000B7A6C">
      <w:pPr>
        <w:spacing w:after="0" w:line="240" w:lineRule="auto"/>
        <w:jc w:val="both"/>
        <w:rPr>
          <w:rFonts w:ascii="Times New Roman" w:hAnsi="Times New Roman"/>
          <w:color w:val="000000" w:themeColor="text1"/>
          <w:sz w:val="16"/>
          <w:szCs w:val="16"/>
        </w:rPr>
      </w:pPr>
    </w:p>
    <w:p w14:paraId="4F16E2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 xml:space="preserve">22 ноября 1931 г. ВОГВФ за подписью тов. Гольцмана4, препровождая письмо «Пан-Америкэн эруэйз», считало, что это предложение могло бы быть осуществлено на первых порах путем организации воздушного сообщения по маршруту через Аляску — Камчатку, и просило НКИД высказать свое принципиальное мнение по затронутому вопросу. </w:t>
      </w:r>
    </w:p>
    <w:p w14:paraId="3BF18A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 20.XII.31 г. Коллегия НКИД постановила: «Считать предложение не вызывающим возражений с политической стороны, но рекомендовать ВОГВФ внести вопрос на разрешение правительства». </w:t>
      </w:r>
    </w:p>
    <w:p w14:paraId="3C67FD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4. Уже после этого, в декабре 1931 г., Томас А. Морган, президент Северо-американской авиационной корпорации («Норд-Америкэн эвиэйшн корпорэйшн»), являющийся одновременно и президентом Американских авиационных ко[мпаний] «Сперри-гироскоп» и «Кэртис Райт», обратился к представителю Всесоюзного объединения авиационной промышленности (ВАО) в США тов. Петрову5 с запросом, заинтересовано ли советское правительство в организации на совместных началах воздушной линии между Аляской и Владивостоком. Морган заявил о заинтересованности США в том, чтобы сомкнуть свои воздушные пути, протянутые до Аляски, с воздушными путями в Китае, эксплуатируемыми фирмой «Кэртис Райт», до Шанхая и далее вовнутрь Китая. Причем он заметил, что смычка этих путей может иметь место или через территорию СССР, или через Японию. Однако они предпочитают смычку путей через СССР. </w:t>
      </w:r>
    </w:p>
    <w:p w14:paraId="7C6E1A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5. 11.II.32 г. на запрос тов. Мирошникова6 дать заключение по этому последнему предложению НКИД за подписью тов. Крестинского7 и Рубинина ответил, что считает целесообразным дать нашим соответствующим организациям директиву ответить американцам примерно следующим образом: «Американские предложения подвергаются нами внимательному изучению, однако уже с самого начала нельзя не подчеркнуть, что речь идет о такого рода сотрудничестве, реализацию которого трудно себе представить при отсутствии нормальных общих взаимоотношений между заинтересованными государствами». </w:t>
      </w:r>
    </w:p>
    <w:p w14:paraId="270975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6. В июле 1932 г. тов. Богданов и Петров сообщили НКВТ, НКИД и Главному управлению Гражданского воздушного флота о том, что к ним опять обратился представитель «Норд-Америкэн эвиэйшн корпорейшн» г[-н] Тальбот с письмом, в котором, ссылаясь на вышеупомянутые предложения Томаса Моргана и на последующие их беседы с тт. Силиным и Ангеловым, эта фирма сделала предложение о предоставлении ей «концессии» и о «кооперации» с СССР в деле организации проектируемого ими воздушного сообщения между США и Китаем (от гор. Ном на Аляске к Пекину через Хабаровск или Якутск — Иркутск — Урга или ст[анцию] Рухлово). </w:t>
      </w:r>
    </w:p>
    <w:p w14:paraId="30F0EB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Тов. Богданов и Петров тогда сообщили нам, что хотя они с фирмой подробностей не обсуждали, но с ее слов можно было понять, что Ко[мпания] согласится взять на себя устройство аэродромов и промежуточных посадочных площадок, их оборудование, установку маяков и радиостанций и снабдит часть линий, проходящих по нашей территории, своими самолетами и необходимым личным составом, если мы этого пожелаем. В другом случае Ко[мпания] согласна обсуждать вопрос об организации этой части линии на совместных с СССР началах как в отношении материальной части, так и персонала, на основе создания «смешанного общества». </w:t>
      </w:r>
    </w:p>
    <w:p w14:paraId="2587C9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7. 15.XII. 33 г., уже после установления дипотношений с США, вице-президент «Пан-Америкэн эруэйз» Эван Е. Юнг8 снова вернулся к этому вопросу и в письме к тов. Сквирскому он указывает, что ввиду существенно изменившегося положения вещей у него возникает мысль, нельзя ли ожидать в ближайшем будущем другого, более положительного сообщения со стороны наших руководящих органов на основе сделанного ими ранее предложения, которое остается в силе и ныне. </w:t>
      </w:r>
    </w:p>
    <w:p w14:paraId="65413D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8. 3-й Западный отдел направил это последнее обращение «Пан-Америкэн эруэйз» тов. Уншлихту (с копией тов. Ворошилову9). Начальник ИНО Всесоюзного объединения Гражданского воздушного флота сообщил нам, что этот вопрос ими теперь разрабатывается конкретно для постановки его на разрешение правительства. </w:t>
      </w:r>
    </w:p>
    <w:p w14:paraId="12D78A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9. Примечание: </w:t>
      </w:r>
    </w:p>
    <w:p w14:paraId="71E0B1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 О фирме «Пан-Америкэн эруэйз» нам известно, что она руководит эксплуатацией воздушных линий Центральной и Южной Америки, Мексики, Западной Индии и через Карибское море. Полковник Линдберг10 является их техническим консультантом. Тов. Сквирский в свое время сообщал, что «Пан-Америкэн эруэйз» является монополистом во всех воздушных линиях в Латинскую Америку из США, что она близка к правительственным кругам, что эта фирма подготовляет почтовую трансатлантическую линию сообщений с европейскими компаниями. Кроме того, в самое последнее время стало известно (ТАСС, Токио, от 22.XII.33 г.), что недавнее установление регулярной воздушной линии между Шанхаем и Кантоном является одним из звеньев в транстихоокеанских планах «Пан-Америкэн эруэйз», которая через свое дочернее предприятие «Чайна эруэйз» владеет 45% акций американо-китайской ко[мпании] «Чайна нэшнл эвиэйшн корпорейшн». Следующим шагом будет связь линии Шанхай — Кантон с Гонконгом, откуда, в свою очередь, пойдет линия на Филиппинские острова. В дальнейшем ко[мпания] «Пасифик-Америкэн эруэйз» приступит к установлению линий протяжением примерно в 6000 миль от Сан-Франциско до Манилы. </w:t>
      </w:r>
    </w:p>
    <w:p w14:paraId="53FF3D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Б) О фирме «Норд-Америкэн эвиэйшн» известно (по ее собственной информации), что она владеет целиком и активно руководит: </w:t>
      </w:r>
    </w:p>
    <w:p w14:paraId="01D41B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 фирмой «Сперри гироскоп», производящей гироскопические аппараты для пароходов и других навигационных целей, а также контрольную аппаратуру для аэропланов; </w:t>
      </w:r>
    </w:p>
    <w:p w14:paraId="412C99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б) «Форд инструмент Ко»; </w:t>
      </w:r>
    </w:p>
    <w:p w14:paraId="67042E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«Берлинер — Джойс эркрафт корпорейшн», производящей быстроходные военные самолеты и </w:t>
      </w:r>
    </w:p>
    <w:p w14:paraId="26851B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г) «Истерн эр транспорт» (известная авиационная фирма, контролирующая пассажирское и почтовое воздушные сообщения между Нью-Йорком и Флоридой). </w:t>
      </w:r>
    </w:p>
    <w:p w14:paraId="5B758A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Кроме того, «Норд-Америкэн эвиэйшн корпорейшн» владеет солидным пакетом акций фирмы «Кэртис Райт» и «Дуглас эркрафт Ко» (два выдающихся производителя самолетов в США) и является активным участником фирмы «Трансконтинентл-уэстерн эр». </w:t>
      </w:r>
    </w:p>
    <w:p w14:paraId="47512F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Она также активно участвует в «Интерконтинентл эвиэйшн корпорейшн», через которую она инвестирует капиталы в авиационных предприятиях за границей. </w:t>
      </w:r>
    </w:p>
    <w:p w14:paraId="10A360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Зав. 3-м Западным отделом Е. РУБИНИН </w:t>
      </w:r>
    </w:p>
    <w:p w14:paraId="66AC97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Отв. референт С. СТОЛЯР </w:t>
      </w:r>
    </w:p>
    <w:p w14:paraId="062D9F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АВП РФ. Ф. 05. Оп. 14. П. 101. Д. 84. Л. 1—3. Подлинник (11430).</w:t>
      </w:r>
    </w:p>
    <w:p w14:paraId="1F50CB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B34DD14" w14:textId="77777777" w:rsidR="002739C9" w:rsidRPr="005E779E" w:rsidRDefault="002739C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 ноября 1931 г. ПИСЬМО НАЧАЛЬНИКА ВОГВФ А.З. ГОЛЬЦМАНА В НКИД СССР О ПРЕДЛОЖЕНИИ ОБЪЕДИНЕНИЯ ПАНАМЕРИКАНСКИХ ВОЗДУШНЫХ ЛИНИЙ ОТНОСИТЕЛЬНО СОВМЕСТНОЙ ОРГАНИЗАЦИИ И ЭКСПЛУАТАЦИИ ТРАНСТИХООКЕАНСКОГО ВОЗДУШНОГО СООБЩЕНИЯ</w:t>
      </w:r>
    </w:p>
    <w:p w14:paraId="16123D4E" w14:textId="77777777" w:rsidR="002739C9" w:rsidRPr="005E779E" w:rsidRDefault="002739C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Секретно</w:t>
      </w:r>
    </w:p>
    <w:p w14:paraId="54C6A889" w14:textId="77777777" w:rsidR="002739C9" w:rsidRPr="005E779E" w:rsidRDefault="002739C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Объединение панамериканских воздушных линий' обратилось к Всесоюзному объединению гражданского воздушного флота с предложением о совместной организации и эксплуатации Транстихоокеанского воздушного сообщения.</w:t>
      </w:r>
    </w:p>
    <w:p w14:paraId="643C6962" w14:textId="77777777" w:rsidR="002739C9" w:rsidRPr="005E779E" w:rsidRDefault="002739C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Считая, что это предложение могло бы быть осуществлено на первых порах путем организации воздушного сообщения, примерно по маршруту через Аляску - Камчатку, я прошу Народный комиссариат по иностранным делам высказать свое принципиальное мнение по затронутым в письме Панамериканского объединения вопросам.</w:t>
      </w:r>
    </w:p>
    <w:p w14:paraId="7CA3B7BA" w14:textId="77777777" w:rsidR="002739C9" w:rsidRPr="005E779E" w:rsidRDefault="002739C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Приложение: письмо с переводом.</w:t>
      </w:r>
    </w:p>
    <w:p w14:paraId="2FCC66B0" w14:textId="77777777" w:rsidR="002739C9" w:rsidRPr="005E779E" w:rsidRDefault="002739C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 Всесоюзного объединения ГВФ ГОЛЬЦМАН</w:t>
      </w:r>
    </w:p>
    <w:p w14:paraId="4F8C3B30" w14:textId="77777777" w:rsidR="002739C9" w:rsidRPr="005E779E" w:rsidRDefault="002739C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АВП РФ. Ф. 0129. Он. 14. П. 127. Д. 325. Л. 54. Подлинник (23884).</w:t>
      </w:r>
    </w:p>
    <w:p w14:paraId="51C784B1" w14:textId="77777777" w:rsidR="002739C9" w:rsidRPr="005E779E" w:rsidRDefault="002739C9" w:rsidP="000B7A6C">
      <w:pPr>
        <w:spacing w:after="0" w:line="240" w:lineRule="auto"/>
        <w:jc w:val="both"/>
        <w:rPr>
          <w:rFonts w:ascii="Times New Roman" w:hAnsi="Times New Roman"/>
          <w:color w:val="000000" w:themeColor="text1"/>
          <w:sz w:val="16"/>
          <w:szCs w:val="16"/>
        </w:rPr>
      </w:pPr>
    </w:p>
    <w:p w14:paraId="7988F36D" w14:textId="77777777" w:rsidR="00CB6D91"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15EF856D" w14:textId="77777777" w:rsidR="00CB6D91" w:rsidRPr="005E779E" w:rsidRDefault="00CB6D91"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0DE5E92" w14:textId="77777777" w:rsidR="00CB6D91" w:rsidRPr="005E779E" w:rsidRDefault="00CB6D91"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22 ноября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Постановление СТО СССР № 244сс о ценах Патрубвзрыва на военные изделия (ГА РФ. Ф. Р?8418. Оп. 28. Д. 1а. Л. 87) (12415).</w:t>
      </w:r>
    </w:p>
    <w:p w14:paraId="0DDED4D1" w14:textId="77777777" w:rsidR="00CB6D91" w:rsidRPr="005E779E" w:rsidRDefault="00CB6D91" w:rsidP="000B7A6C">
      <w:pPr>
        <w:spacing w:after="0" w:line="240" w:lineRule="auto"/>
        <w:jc w:val="both"/>
        <w:rPr>
          <w:rFonts w:ascii="Times New Roman" w:hAnsi="Times New Roman"/>
          <w:color w:val="000000" w:themeColor="text1"/>
          <w:sz w:val="16"/>
          <w:szCs w:val="16"/>
          <w:u w:color="002060"/>
        </w:rPr>
      </w:pPr>
    </w:p>
    <w:p w14:paraId="0B2FFA0F" w14:textId="77777777" w:rsidR="00480CB7" w:rsidRPr="005E779E" w:rsidRDefault="00480C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 ноября 1931 фирма «Виккерс-Армстронг» обратилась к советским представителям с предложением продать партию из 20–25 танков-амфибий (РГВА. Ф. 31811. Оп. 2. Д. 55. Л. 4.). Сталин буквально ухватился за это предложение, о чем 9 декабря 1931 г. сообщил М.Н. Тухачевский в письме К.Е. Ворошилову: «Показали мы т[оварищу]. Сталину и т[оварищу]. Молотову фильм: испытания танка-амфибии Карден-Ллойда. Это чрезвычайно интересно и т[оварищ]. Сталин предложил купить десять штук по 25 тыс. руб. (Виккерс просит по 34 тыс. руб.) Через Темзу этот танк плавает шутя» (РГВА. Ф. 33987. Оп. 3 с. Д. 155. Л. 184). «Высочайшее внимание» сыграло свою роль, и замнаркома обороны М.Н. Тухачевский распорядился немедленно начать переговоры о покупке, и, не дожидаясь их результатов, приступить к созданию собственного плавающего танка, используя имевшиеся фотографии английского образца (РГВА. Ф. 31811. Оп. 2. Д. 55. Л. 4). Работы развернулись небывалыми темпами, и уже в апреле 1932 г. советский танк-амфибия Т-33 вышел на испытания (21522).</w:t>
      </w:r>
    </w:p>
    <w:p w14:paraId="4A98D602" w14:textId="77777777" w:rsidR="00480CB7" w:rsidRPr="005E779E" w:rsidRDefault="00480CB7" w:rsidP="000B7A6C">
      <w:pPr>
        <w:spacing w:after="0" w:line="240" w:lineRule="auto"/>
        <w:jc w:val="both"/>
        <w:rPr>
          <w:rFonts w:ascii="Times New Roman" w:hAnsi="Times New Roman"/>
          <w:color w:val="000000" w:themeColor="text1"/>
          <w:sz w:val="16"/>
          <w:szCs w:val="16"/>
        </w:rPr>
      </w:pPr>
    </w:p>
    <w:p w14:paraId="5DF39F6C" w14:textId="77777777" w:rsidR="002739C9" w:rsidRPr="005E779E" w:rsidRDefault="002739C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 ноября 1931 г. отправленным членом коллегии НКРКИ СССР и начальником ВМИ Н.В. Куйбышевым заместителю председателя ВСНХ СССР И.П. Павлуновскому и заместителю председателя Реввоенсовета СССР М.Н. Тухачевскому относительно обеспечения выпуска танков БТ двигателями было написано:</w:t>
      </w:r>
    </w:p>
    <w:p w14:paraId="6637E4DF" w14:textId="77777777" w:rsidR="002739C9" w:rsidRPr="005E779E" w:rsidRDefault="002739C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 настоящего времени остается неразрешенным вопрос какими заводами в 1932 г. будут поставляться моторы и броня для танкового производства ХПЗ. В виду острого недостатка у нас в авиационных моторах, на очередь дня стает вопрос о переходе средних танков и «БТ» с авиационного типа мотора на дизельный».</w:t>
      </w:r>
    </w:p>
    <w:p w14:paraId="09543BC5" w14:textId="77777777" w:rsidR="002739C9" w:rsidRPr="005E779E" w:rsidRDefault="002739C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[РГВА. Ф. 31811. Оп. 2. Д. 54. Л. 41]</w:t>
      </w:r>
    </w:p>
    <w:p w14:paraId="7F85B899" w14:textId="77777777" w:rsidR="002739C9" w:rsidRPr="005E779E" w:rsidRDefault="002739C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Практически одновременно с этим, вопрос о проблеме с обеспечением выпуска танков БТ двигателями был поднят и руководством Государственного Всесоюзного Локомотивного объединения «Локомотив» (далее – объединение «Локомотив»), в ведении которого в то время находился ХПЗ (24856).</w:t>
      </w:r>
    </w:p>
    <w:p w14:paraId="4807C316" w14:textId="77777777" w:rsidR="002739C9" w:rsidRPr="005E779E" w:rsidRDefault="002739C9" w:rsidP="000B7A6C">
      <w:pPr>
        <w:spacing w:after="0" w:line="240" w:lineRule="auto"/>
        <w:jc w:val="both"/>
        <w:rPr>
          <w:rFonts w:ascii="Times New Roman" w:hAnsi="Times New Roman"/>
          <w:color w:val="000000" w:themeColor="text1"/>
          <w:sz w:val="16"/>
          <w:szCs w:val="16"/>
        </w:rPr>
      </w:pPr>
    </w:p>
    <w:p w14:paraId="6CD4066B" w14:textId="77777777" w:rsidR="002739C9" w:rsidRPr="005E779E" w:rsidRDefault="002739C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 ноября 1931 г.</w:t>
      </w:r>
    </w:p>
    <w:p w14:paraId="1D073880" w14:textId="77777777" w:rsidR="002739C9" w:rsidRPr="005E779E" w:rsidRDefault="002739C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РГВА Фонд 31811 Опись 2 Дело 54 лист 40 – 41 </w:t>
      </w:r>
    </w:p>
    <w:p w14:paraId="390F4345" w14:textId="77777777" w:rsidR="002739C9" w:rsidRPr="005E779E" w:rsidRDefault="002739C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 xml:space="preserve">Сов. Секретно. </w:t>
      </w:r>
    </w:p>
    <w:p w14:paraId="19946D75" w14:textId="77777777" w:rsidR="002739C9" w:rsidRPr="005E779E" w:rsidRDefault="002739C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Копия.</w:t>
      </w:r>
    </w:p>
    <w:p w14:paraId="6E37EE9A" w14:textId="77777777" w:rsidR="002739C9" w:rsidRPr="005E779E" w:rsidRDefault="002739C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22 ноября 1931 г. </w:t>
      </w:r>
    </w:p>
    <w:p w14:paraId="72C986A0" w14:textId="77777777" w:rsidR="002739C9" w:rsidRPr="005E779E" w:rsidRDefault="002739C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728с</w:t>
      </w:r>
    </w:p>
    <w:p w14:paraId="383E8B8E" w14:textId="77777777" w:rsidR="002739C9" w:rsidRPr="005E779E" w:rsidRDefault="002739C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ЗАМ. ПРЕДСЕДАТЕЛЯ ВСНХ СССР тов. ПАВЛУНОВСКОМУ </w:t>
      </w:r>
    </w:p>
    <w:p w14:paraId="527CA1EC" w14:textId="77777777" w:rsidR="002739C9" w:rsidRPr="005E779E" w:rsidRDefault="002739C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Копия: ЗАМ. ПРЕД. РВС СССР – тов. ТУХАЧЕВСКОМУ</w:t>
      </w:r>
    </w:p>
    <w:p w14:paraId="125CC4B0" w14:textId="77777777" w:rsidR="002739C9" w:rsidRPr="005E779E" w:rsidRDefault="002739C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октябре месяце т.г. происходило обследование танко-тракторного производства и состояния мобплана по Харьковскому Паровозостроительному заводу им. Коминтерна Комиссией Военно-Морской Инспекции. Сообщение комиссии ВМИ и доклад Директора ХПЗ т. Владимирова были заслушаны на с/президиуме ЦКК КП(б)У 30.X-31 г., где было постановлено с выводами ВМИ в основном согласиться. </w:t>
      </w:r>
    </w:p>
    <w:p w14:paraId="0BF24146" w14:textId="77777777" w:rsidR="002739C9" w:rsidRPr="005E779E" w:rsidRDefault="002739C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При обследовании выявлено: </w:t>
      </w:r>
    </w:p>
    <w:p w14:paraId="67BEC9C8" w14:textId="77777777" w:rsidR="002739C9" w:rsidRPr="005E779E" w:rsidRDefault="002739C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тракторному производству:</w:t>
      </w:r>
    </w:p>
    <w:p w14:paraId="1D4FF612" w14:textId="77777777" w:rsidR="002739C9" w:rsidRPr="005E779E" w:rsidRDefault="002739C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Мощность. </w:t>
      </w:r>
    </w:p>
    <w:p w14:paraId="1F9FC00C" w14:textId="77777777" w:rsidR="002739C9" w:rsidRPr="005E779E" w:rsidRDefault="002739C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Пропускная способность действующего ныне мех. оборудования в 516 станков ТрО – тракторного отдела – исчислена заводом в 100 тракторов "Коммунар" с нормальным комплектом запчастей в месяц – при максимальной работе станков по узкому месту – 450 час/мес., взятии в резерв на необходимый ремонт 47 станков, и существующем технологическом процессе и нормах выработки. При добавлении лишь 5 станков (2 токарных, 2 продольно строгальных и 1 шлифов. безцентр.), пропускная способность ТрО увеличивается до 125 тракторов, при добавлении 65 станков – до 190 тракторов с запчастями в месяц (2280 тракторов в год). </w:t>
      </w:r>
    </w:p>
    <w:p w14:paraId="4E9745FB" w14:textId="77777777" w:rsidR="002739C9" w:rsidRPr="005E779E" w:rsidRDefault="002739C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Выполнение программы 1931 г. </w:t>
      </w:r>
    </w:p>
    <w:p w14:paraId="1C647BD0" w14:textId="77777777" w:rsidR="002739C9" w:rsidRPr="005E779E" w:rsidRDefault="002739C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За последнее время завод обнаружил тенденцию выйти из бывшего в 1-м полугодии прорыва в выполнении программы по тракторам "Коммунар" и успешно закончить их годовую программу. Так программа 3-го квартала была выполнена по тракторам на 104%, при выполнении программы за 9 месяцев лишь на 84,5%. При этом программа по запасным частям трактора "Коммунар", имеющая такое важное значение для обеспечения нормальной работы уже работающего парка тракторов, из месяца в месяц все ухудшается и заводом игнорируется. </w:t>
      </w:r>
    </w:p>
    <w:p w14:paraId="55EE94EE" w14:textId="77777777" w:rsidR="002739C9" w:rsidRPr="005E779E" w:rsidRDefault="002739C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При этом сокращение программы ТрО в июне месяце на 175 танков Т-24 по трудоемкости равным 393 тракторам "Коммунар" (коэф. 2,25) не отразилось на увеличении основной тракторной программы в сторону ее увеличения. Программа по изготовлению запчастей к машинам Т-24 на 2 мил. рублей не обеспечена заготовками и к выполнению ее завод еще не приступал. </w:t>
      </w:r>
    </w:p>
    <w:p w14:paraId="3CD45B68" w14:textId="77777777" w:rsidR="002739C9" w:rsidRPr="005E779E" w:rsidRDefault="002739C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Объяснение Локомотивообъединения, что задание заводу не было увеличено в то время из-за большого прорыва в выполнении программы по тракторам и запчастям к ним и необходимости обработки ряда деталей машины "БТ" до полного пуска танкового цеха Т-2, – нельзя считать удовлетворительным. </w:t>
      </w:r>
    </w:p>
    <w:p w14:paraId="39C382AB" w14:textId="77777777" w:rsidR="002739C9" w:rsidRPr="005E779E" w:rsidRDefault="002739C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Брак и отходы. </w:t>
      </w:r>
    </w:p>
    <w:p w14:paraId="1C78A474" w14:textId="77777777" w:rsidR="002739C9" w:rsidRPr="005E779E" w:rsidRDefault="002739C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Выполнение качественных показателей по тракторно-танковому производству до сих пор не обеспечено. Брак велик, особенно по ответственным деталям. Так, по данным за 3-й квартал: </w:t>
      </w:r>
    </w:p>
    <w:p w14:paraId="5B49B0CF" w14:textId="77777777" w:rsidR="002739C9" w:rsidRPr="005E779E" w:rsidRDefault="002739C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По поршням брак достигал 75%, по цилиндрам – 28%, по коленчатому валу – 44% и т.п., при этом 55% всего брака падает по вине заготовительных цехов и 45% по вине самого тракторного отдела, главным образом по механической обработке. Общие потери на браке ТрО достигают до 7% от стоимости выпущенной продукции. </w:t>
      </w:r>
    </w:p>
    <w:p w14:paraId="3510D7A8" w14:textId="77777777" w:rsidR="002739C9" w:rsidRPr="005E779E" w:rsidRDefault="002739C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Отход материала также ненормально высок. По коленчатому валу он достигает 235% по отношению к чистому весу; по клапану (дет. 401), по муфте сцепления (дет. 2580), по кулаку сцепления (дет. 2583) и некоторым другим – отход также больше 200%. </w:t>
      </w:r>
    </w:p>
    <w:p w14:paraId="622E156E" w14:textId="77777777" w:rsidR="002739C9" w:rsidRPr="005E779E" w:rsidRDefault="002739C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Программа 1932 г. </w:t>
      </w:r>
    </w:p>
    <w:p w14:paraId="1CF90F27" w14:textId="77777777" w:rsidR="002739C9" w:rsidRPr="005E779E" w:rsidRDefault="002739C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Проектируемый дирекцией завода на 1932 г. выпуск тракторов "3-90" Коммунар – 730 шт. и 200 одиночных (десятикратных) запчастей без гусениц – явно недостаточен и не превышает достигнутых уже заводом темпов и фактический выпуск 62 тракторов с нормальным комплектом запчастей на 38 тыс. рублей одиночных запчастей в августе месяце, без учета освобождения площадей и оборудования ТрО от производства машин Т-24 с 1932 г., без учета рационализации производственного процесса, роста производительности труда и полной загрузки 2 и 3 смены. </w:t>
      </w:r>
    </w:p>
    <w:p w14:paraId="19C71E1E" w14:textId="77777777" w:rsidR="002739C9" w:rsidRPr="005E779E" w:rsidRDefault="002739C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При коэффициенте сменности 1,74 в августе, оборудование имело 45,4% (126584 станко-часов) простоя. </w:t>
      </w:r>
    </w:p>
    <w:p w14:paraId="06DB1B4D" w14:textId="77777777" w:rsidR="002739C9" w:rsidRPr="005E779E" w:rsidRDefault="002739C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По заявлению дирекции, программа 1932 г. по тракторам упирается в узкое место завода – изготовление гусеницы, поковкам и стальному литью. Кооперирование по изготовлению деталей гусеницы с заводом им. "Марти" в Николаеве не дало результатов. По заявлению гл. инженера завода т. Бондаренко, завод в настоящее время проводит упрощение конструкции щеки гусеницы – наиболее трудную по обработке. </w:t>
      </w:r>
    </w:p>
    <w:p w14:paraId="1EB30781" w14:textId="77777777" w:rsidR="002739C9" w:rsidRPr="005E779E" w:rsidRDefault="002739C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Военно-Морская Инспекция считает, что при разрешении вопроса, со стороны ВСНХ СССР, с размещением заказа на детали гусеницы и необходимые поковки трактора "Коммунар" 3-90 путем кооперирования с другими заводами, – программа ХПЗ по тракторам на 1932 г., исходя из пропускной способности ТрО завода, может быть увеличена до 2000 единиц с запчастями в год. </w:t>
      </w:r>
    </w:p>
    <w:p w14:paraId="5533B1FC" w14:textId="77777777" w:rsidR="002739C9" w:rsidRPr="005E779E" w:rsidRDefault="002739C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танковому производству.</w:t>
      </w:r>
    </w:p>
    <w:p w14:paraId="3B3FED62" w14:textId="77777777" w:rsidR="002739C9" w:rsidRPr="005E779E" w:rsidRDefault="002739C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Обеспеченность выполнения текущей программы. </w:t>
      </w:r>
    </w:p>
    <w:p w14:paraId="1E82A477" w14:textId="77777777" w:rsidR="002739C9" w:rsidRPr="005E779E" w:rsidRDefault="002739C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Организация серийного производства машин "БТ" запаздывает против намеченных заводом сроков. Так, на 1 сентября, по принятому заводом плану, должно было быть подано в Т-2 заготовок на 63 машины БТ и укомплектована полностью первая смена рабочими. По данным завода на 26/X заготовки деталей поступают в отдел Т-2 некомплектно, в количестве на 2 до 50 машин, не обеспечивая полностью имеющегося оборудования и рабочей силы. Отдел Т-2 в настоящее время не обеспечен рабсилой (особенно станковыми рабочими) еще и на первую смену полностью. </w:t>
      </w:r>
    </w:p>
    <w:p w14:paraId="14EC373C" w14:textId="77777777" w:rsidR="002739C9" w:rsidRPr="005E779E" w:rsidRDefault="002739C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Ссылаясь на некомплектность станков в цехе Т-2 и недостачу инструмента, заводом выдвигается перед Объединением [предложение] о сокращении программы 1931 г. по танкам "БТ" вместо 25 машин по выпуску и 25 машин по первому испытанию к 1.I-32 г. только 6 машин по сдаче и 19 машин по первому испытанию, меняя этим Правительственное задание. По имеющимся материалам в ВМИ, предложение завода о сокращении текущей программы по "БТ" находит поддержку со стороны Управляющего Локомотивного Объединения тов. Курицына. </w:t>
      </w:r>
    </w:p>
    <w:p w14:paraId="450FAFA5" w14:textId="77777777" w:rsidR="002739C9" w:rsidRPr="005E779E" w:rsidRDefault="002739C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Недостающие до комплекта по выполнению текущей программы 18 станков в танковом отделе Т-2 для производства машин "БТ", могут быть восполнены путем кооперирования обработки деталей с другими цехами завода. </w:t>
      </w:r>
    </w:p>
    <w:p w14:paraId="05D22549" w14:textId="77777777" w:rsidR="002739C9" w:rsidRPr="005E779E" w:rsidRDefault="002739C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Танки типа Т-24. </w:t>
      </w:r>
    </w:p>
    <w:p w14:paraId="69ED1AEA" w14:textId="77777777" w:rsidR="002739C9" w:rsidRPr="005E779E" w:rsidRDefault="002739C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Выпущенные заводом последние образцы танка Т-24 имеют уже меньше дефектов, чем первые образцы. Военно-Морская Инспекция считает необходимым продолжением опытных работ по среднему танку типа Т-24 на ХПЗ, с целью доработки его конструкции на основе полученного опыта по его изготовлению и эксплоатации. </w:t>
      </w:r>
    </w:p>
    <w:p w14:paraId="482E6217" w14:textId="77777777" w:rsidR="002739C9" w:rsidRPr="005E779E" w:rsidRDefault="002739C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Опытный цех гусеничных машин. </w:t>
      </w:r>
    </w:p>
    <w:p w14:paraId="3675F974" w14:textId="77777777" w:rsidR="002739C9" w:rsidRPr="005E779E" w:rsidRDefault="002739C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Т.к. ХПЗ готовится к производству танков в крупно-серийных размерах и является единственной базой среднего танкостроения и производства мощных гусеничных тракторов, считаем необходимым создание опытного цеха гусеничных машин (танки, трактора), с необходимым конструкторским и минимально необходимым оборудованием и площадями. Такие опытные ячейки имеются уже на ХПЗ по выпуску 3-х опытных танков "БТ" и 3-х опытных тракторов "Коминтерн". </w:t>
      </w:r>
    </w:p>
    <w:p w14:paraId="66EF9C99" w14:textId="77777777" w:rsidR="002739C9" w:rsidRPr="005E779E" w:rsidRDefault="002739C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Очередные вопросы танкостроения. </w:t>
      </w:r>
    </w:p>
    <w:p w14:paraId="11578209" w14:textId="77777777" w:rsidR="002739C9" w:rsidRPr="005E779E" w:rsidRDefault="002739C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До настоящего времени остается неразрешенным вопрос какими заводами в 1932 г. будут поставляться моторы и броня для танкового производства ХПЗ. В виду острого недостатка у нас в авиационных моторах, на очередь дня стает вопрос о переходе средних танков и "БТ" с авиационного типа моторов на дизельный. </w:t>
      </w:r>
    </w:p>
    <w:p w14:paraId="65244EB0" w14:textId="77777777" w:rsidR="002739C9" w:rsidRPr="005E779E" w:rsidRDefault="002739C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До настоящего времени не разрешен вопрос с созданием радиаторной мастерской для машин "БТ". Дирекция ХПЗ, которой поручено практически проработать этот вопрос, от постройки радиаторной мастерской, не требующей сложного и большого оборудования, упорно и необоснованно отказывается. Необходимо обязать директора завода немедленно приступить к проектированию этой мастерской, с расчетом пуска ее в эксплуатацию на позднее 1 мая 1932 г. </w:t>
      </w:r>
    </w:p>
    <w:p w14:paraId="3CEB915A" w14:textId="77777777" w:rsidR="002739C9" w:rsidRPr="005E779E" w:rsidRDefault="002739C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Состояние мобплана.</w:t>
      </w:r>
    </w:p>
    <w:p w14:paraId="3433F440" w14:textId="77777777" w:rsidR="002739C9" w:rsidRPr="005E779E" w:rsidRDefault="002739C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Проработка мобплана на ХПЗ не обеспечена. </w:t>
      </w:r>
    </w:p>
    <w:p w14:paraId="482E0AD3" w14:textId="77777777" w:rsidR="002739C9" w:rsidRPr="005E779E" w:rsidRDefault="002739C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Несмотря на наличие ряда мобзаданий по военной продукции как в прошлом, так и в настоящее время, заводоуправление не приступило к документальной обработке имеющих мобзаданий. Завод считает выданное задание не полным и вместо деловой проработки занимается бесконечной бюрократической перепиской. Мобзадание по этому не доведено до цеха, не составляются расчеты потребного оборудования, снабжения и рабсилы, не разработана система кооперирования и план развертывания производства в военное время. На ХПЗ до последнего времени практическое руководство по спецпроизводству не было выделено, отсутствовал Зам. Директора завода по спецпроизводству. Во главе спецотдела завода находился Н-к т. Федосиенко, канд. ВКП(б), техник, без военного образования и опыта, и неавторитетный человек. </w:t>
      </w:r>
    </w:p>
    <w:p w14:paraId="296216BF" w14:textId="77777777" w:rsidR="002739C9" w:rsidRPr="005E779E" w:rsidRDefault="002739C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Нами выдвинут вопрос о немедленном выделении специального Зам. Директора по спецпроизводству и качественного укрепления спецотдела завода. </w:t>
      </w:r>
    </w:p>
    <w:p w14:paraId="330F6BEA" w14:textId="77777777" w:rsidR="002739C9" w:rsidRPr="005E779E" w:rsidRDefault="002739C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Со стороны спецсектора Локомотивобъединения отмечаются отдельные факты нечеткого руководства мобработой. Между спецотделом завода и спецсектором Объединения в настоящее время имеются нездоровые отношения, сводящиеся к прямым невыполнениям заводом распоряжений Объединения. </w:t>
      </w:r>
    </w:p>
    <w:p w14:paraId="71ABB145" w14:textId="77777777" w:rsidR="002739C9" w:rsidRPr="005E779E" w:rsidRDefault="002739C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Сообщая Вам факты, полученные при обследовании и наши предложения, прошу о принятых Вами мерах по устранению отмеченных выше недостатков сообщить в ВМИ.</w:t>
      </w:r>
    </w:p>
    <w:p w14:paraId="62BC85EC" w14:textId="77777777" w:rsidR="002739C9" w:rsidRPr="005E779E" w:rsidRDefault="002739C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п/п ЧЛЕН КОЛЛЕГИИ НК РКИ СССР и НАЧАЛЬНИК ВМИ (КУЙБЫШЕВ) </w:t>
      </w:r>
    </w:p>
    <w:p w14:paraId="756A9143" w14:textId="77777777" w:rsidR="002739C9" w:rsidRPr="005E779E" w:rsidRDefault="002739C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 xml:space="preserve">Ст. Инспектор – ЧЕНЦОВ </w:t>
      </w:r>
    </w:p>
    <w:p w14:paraId="1453B213" w14:textId="77777777" w:rsidR="002739C9" w:rsidRPr="005E779E" w:rsidRDefault="002739C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верно: подпись</w:t>
      </w:r>
    </w:p>
    <w:p w14:paraId="69E34AC2" w14:textId="77777777" w:rsidR="002739C9" w:rsidRPr="005E779E" w:rsidRDefault="002739C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ЕК. 1 – экз. </w:t>
      </w:r>
    </w:p>
    <w:p w14:paraId="4FB7D5BC" w14:textId="77777777" w:rsidR="002739C9" w:rsidRPr="005E779E" w:rsidRDefault="002739C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для. т. Тухачевского. </w:t>
      </w:r>
    </w:p>
    <w:p w14:paraId="5A8F5E4B" w14:textId="77777777" w:rsidR="002739C9" w:rsidRPr="005E779E" w:rsidRDefault="002739C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Допечатано на машинке: «Резолюция т. Тухачевского в контр. листе 8.XII.31 г. "Доложить результаты совещания у т. Павлуновского"». </w:t>
      </w:r>
    </w:p>
    <w:p w14:paraId="49214AA6" w14:textId="77777777" w:rsidR="002739C9" w:rsidRPr="005E779E" w:rsidRDefault="002739C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Дописано от руки: «тов. Бокису. Нужно дать еще наше заключение с конкретными предложениями. 30/XI подпись И.А. Халепского» (24867).</w:t>
      </w:r>
    </w:p>
    <w:p w14:paraId="1D398F42" w14:textId="77777777" w:rsidR="002739C9" w:rsidRPr="005E779E" w:rsidRDefault="002739C9" w:rsidP="000B7A6C">
      <w:pPr>
        <w:spacing w:after="0" w:line="240" w:lineRule="auto"/>
        <w:jc w:val="both"/>
        <w:rPr>
          <w:rFonts w:ascii="Times New Roman" w:hAnsi="Times New Roman"/>
          <w:color w:val="000000" w:themeColor="text1"/>
          <w:sz w:val="16"/>
          <w:szCs w:val="16"/>
        </w:rPr>
      </w:pPr>
    </w:p>
    <w:p w14:paraId="38971E3B"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 xml:space="preserve">22 ноября </w:t>
      </w:r>
      <w:r w:rsidRPr="005E779E">
        <w:rPr>
          <w:rFonts w:ascii="Times New Roman" w:hAnsi="Times New Roman"/>
          <w:color w:val="000000" w:themeColor="text1"/>
          <w:sz w:val="16"/>
          <w:szCs w:val="16"/>
        </w:rPr>
        <w:t>в 1931 году образовано ФГУП "Государственный научный центр "Научно-исследовательский институт органических полупродуктов и красителей", Москва - одно из старейших научных учреждений России. Предшественниками института были: «Акционерное общество химической промышленности 1914 года» – «Русско–Краска» (1915-1918), Центральная лаборатория Анилтреста (ЦЛАТ) (1918-1928), Экспериментальный завод Анилтреста (1921-1928), Центральная научно-опытная лаборатория (ЦНОЛ, 1928-1931) - после объединения Центральной лаборатории и Экспериментального завода Анилтреста. Известные ученые: профессор Н.Н.Ворожцов (старший), профессор В.А.Измаильский, почетный академик М.А.Ильинский, академик А.Е.Порай-Кошиц, академик Н.М.Кижнер, академик В.М.Родионов, профессор В.В.Шарвин и другие - были первыми основоположниками НИОПИК и научной школы по химии ароматических и гетероциклических соединений – фундамента отечественной анилинокрасочной промышленности. 1931 год. Образование «Научно-исследовательскго института полупродуктов и красителей» имени К.Е.Ворошилова и его филиала в Ленинграде. 1931-1940 годы. Создание основной сырьевой базы (коксохимиической промышленности) и мощностей важнейших, в том числе многотоннажных, промежуточных продуктов для производства красителей. Увеличение масштаба выработки отечественных полупродуктов до 102 наименований (48000т. в год), что целиком обеспечивает ассортимент красителей (148 марок, 25200т. в 1935 г. и 186 марок 33936 т. в 1940 году). Впервые в стране организовано производство прочных кубовых, кислотных и хромовых красителей, азотолов, азоаминов, диазолей, трифенилметанов и других видов красящих веществ, а также ускорителей вулканизации каучука и антиоксидантов на Дорогомиловском (14837).</w:t>
      </w:r>
    </w:p>
    <w:p w14:paraId="186FA224" w14:textId="77777777" w:rsidR="00C54992" w:rsidRPr="005E779E" w:rsidRDefault="00C54992" w:rsidP="000B7A6C">
      <w:pPr>
        <w:spacing w:after="0" w:line="240" w:lineRule="auto"/>
        <w:jc w:val="both"/>
        <w:rPr>
          <w:rFonts w:ascii="Times New Roman" w:hAnsi="Times New Roman"/>
          <w:color w:val="000000" w:themeColor="text1"/>
          <w:sz w:val="16"/>
          <w:szCs w:val="16"/>
        </w:rPr>
      </w:pPr>
    </w:p>
    <w:p w14:paraId="0DABF75A"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193CFAFC"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3754D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 ноября 1931 г. Алкснис утвердил план на 1932, которым предусматривалось формирование шести эскадрилий многоместных истребителей (позднее переименованных в крейсерские): трех - 96-й,98-й и 100-й в Московском военном округе (Монино, Воронеж и Иваново-Вознесенск), одной в Белорусском (102-я во Ржеве), одной на Украине (104-й в Запорожье) и одной в Ленинградском округе (92-й в Кречевицах). Все они должны были войти в состав тяжелобомбардировочных бригад - по одной на бригаду. Приоритет отдавался 92-й, 96-й и 98-й эскадрильям. Первые самолеты поступали гуда по плану уже в январе 1932 г. К концу декабря от них требовалось дойти до штатного состава - 12 машин в эскадрилье. Три другие эскадрильи к этому сроку предполагалось обеспечить техникой наполовину (12036).</w:t>
      </w:r>
    </w:p>
    <w:p w14:paraId="5625F5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3F7ADEE" w14:textId="77777777" w:rsidR="003C29EC" w:rsidRPr="00142305" w:rsidRDefault="003C29EC" w:rsidP="003C29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22 но</w:t>
      </w:r>
      <w:r w:rsidRPr="00142305">
        <w:rPr>
          <w:rFonts w:ascii="Times New Roman" w:hAnsi="Times New Roman"/>
          <w:color w:val="0070C0"/>
          <w:sz w:val="16"/>
          <w:szCs w:val="16"/>
        </w:rPr>
        <w:softHyphen/>
        <w:t xml:space="preserve">ября 1931 </w:t>
      </w:r>
      <w:r w:rsidRPr="00142305">
        <w:rPr>
          <w:rFonts w:ascii="Times New Roman" w:hAnsi="Times New Roman"/>
          <w:smallCaps/>
          <w:color w:val="0070C0"/>
          <w:sz w:val="16"/>
          <w:szCs w:val="16"/>
        </w:rPr>
        <w:t>г.</w:t>
      </w:r>
      <w:r w:rsidRPr="00142305">
        <w:rPr>
          <w:rFonts w:ascii="Times New Roman" w:hAnsi="Times New Roman"/>
          <w:color w:val="0070C0"/>
          <w:sz w:val="16"/>
          <w:szCs w:val="16"/>
        </w:rPr>
        <w:t xml:space="preserve"> в утвержденном Алкснисом планом на 1932 </w:t>
      </w:r>
      <w:r w:rsidRPr="00142305">
        <w:rPr>
          <w:rFonts w:ascii="Times New Roman" w:hAnsi="Times New Roman"/>
          <w:smallCaps/>
          <w:color w:val="0070C0"/>
          <w:sz w:val="16"/>
          <w:szCs w:val="16"/>
        </w:rPr>
        <w:t>г.</w:t>
      </w:r>
      <w:r w:rsidRPr="00142305">
        <w:rPr>
          <w:rFonts w:ascii="Times New Roman" w:hAnsi="Times New Roman"/>
          <w:color w:val="0070C0"/>
          <w:sz w:val="16"/>
          <w:szCs w:val="16"/>
        </w:rPr>
        <w:t xml:space="preserve"> предусматривалось формирование шести эс</w:t>
      </w:r>
      <w:r w:rsidRPr="00142305">
        <w:rPr>
          <w:rFonts w:ascii="Times New Roman" w:hAnsi="Times New Roman"/>
          <w:color w:val="0070C0"/>
          <w:sz w:val="16"/>
          <w:szCs w:val="16"/>
        </w:rPr>
        <w:softHyphen/>
        <w:t>кадрилий многоместных истребителей Р-6 (позднее пере</w:t>
      </w:r>
      <w:r w:rsidRPr="00142305">
        <w:rPr>
          <w:rFonts w:ascii="Times New Roman" w:hAnsi="Times New Roman"/>
          <w:color w:val="0070C0"/>
          <w:sz w:val="16"/>
          <w:szCs w:val="16"/>
        </w:rPr>
        <w:softHyphen/>
        <w:t>именованных в крейсерские): трех — 96-й,98-й и 100-й в Московском военном округе (Монино, Воронеж и Ива</w:t>
      </w:r>
      <w:r w:rsidRPr="00142305">
        <w:rPr>
          <w:rFonts w:ascii="Times New Roman" w:hAnsi="Times New Roman"/>
          <w:color w:val="0070C0"/>
          <w:sz w:val="16"/>
          <w:szCs w:val="16"/>
        </w:rPr>
        <w:softHyphen/>
        <w:t>ново-Вознесенск), одной в Белорусском (102-я во Ржеве), одной на Украине (104-й в Запорожье) и одной в Ленинг</w:t>
      </w:r>
      <w:r w:rsidRPr="00142305">
        <w:rPr>
          <w:rFonts w:ascii="Times New Roman" w:hAnsi="Times New Roman"/>
          <w:color w:val="0070C0"/>
          <w:sz w:val="16"/>
          <w:szCs w:val="16"/>
        </w:rPr>
        <w:softHyphen/>
        <w:t>радском округе (92-й в Кречевицах). Все они должны были войти в состав тяжелобомбардировочных бригад — по одной на бригаду. Приоритет отдавался 92-й, 96-й и 98-й эскадри</w:t>
      </w:r>
      <w:r w:rsidRPr="00142305">
        <w:rPr>
          <w:rFonts w:ascii="Times New Roman" w:hAnsi="Times New Roman"/>
          <w:color w:val="0070C0"/>
          <w:sz w:val="16"/>
          <w:szCs w:val="16"/>
        </w:rPr>
        <w:softHyphen/>
        <w:t>льям. Первые самолеты поступали туда по плану уже в ян</w:t>
      </w:r>
      <w:r w:rsidRPr="00142305">
        <w:rPr>
          <w:rFonts w:ascii="Times New Roman" w:hAnsi="Times New Roman"/>
          <w:color w:val="0070C0"/>
          <w:sz w:val="16"/>
          <w:szCs w:val="16"/>
        </w:rPr>
        <w:softHyphen/>
        <w:t>варе 1932 г. К концу декабря от них требовалось дойти до штатного состава — 12 машин в эскадрилье. Три другие эс</w:t>
      </w:r>
      <w:r w:rsidRPr="00142305">
        <w:rPr>
          <w:rFonts w:ascii="Times New Roman" w:hAnsi="Times New Roman"/>
          <w:color w:val="0070C0"/>
          <w:sz w:val="16"/>
          <w:szCs w:val="16"/>
        </w:rPr>
        <w:softHyphen/>
        <w:t>кадрильи к этому сроку предполагалось обеспечить техни</w:t>
      </w:r>
      <w:r w:rsidRPr="00142305">
        <w:rPr>
          <w:rFonts w:ascii="Times New Roman" w:hAnsi="Times New Roman"/>
          <w:color w:val="0070C0"/>
          <w:sz w:val="16"/>
          <w:szCs w:val="16"/>
        </w:rPr>
        <w:softHyphen/>
        <w:t>кой наполовину (24977).</w:t>
      </w:r>
    </w:p>
    <w:p w14:paraId="1FD82F12" w14:textId="77777777" w:rsidR="003C29EC" w:rsidRPr="00142305" w:rsidRDefault="003C29EC" w:rsidP="003C29EC">
      <w:pPr>
        <w:spacing w:after="0" w:line="240" w:lineRule="auto"/>
        <w:jc w:val="both"/>
        <w:rPr>
          <w:rFonts w:ascii="Times New Roman" w:hAnsi="Times New Roman"/>
          <w:color w:val="0070C0"/>
          <w:sz w:val="16"/>
          <w:szCs w:val="16"/>
        </w:rPr>
      </w:pPr>
    </w:p>
    <w:p w14:paraId="09424E3F" w14:textId="77777777" w:rsidR="00CB6D91"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4FC0847A" w14:textId="77777777" w:rsidR="00CB6D91" w:rsidRPr="005E779E" w:rsidRDefault="00CB6D91"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1A83F51" w14:textId="77777777" w:rsidR="00480CB7" w:rsidRPr="005E779E" w:rsidRDefault="00480C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ноября 1931 г. успешно завершены войсковые испытания катеров волнового управления системы ЦЛПС образца 1930 – 1931 гг. (22288).</w:t>
      </w:r>
    </w:p>
    <w:p w14:paraId="1E91E716" w14:textId="77777777" w:rsidR="00480CB7" w:rsidRPr="005E779E" w:rsidRDefault="00480CB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shd w:val="clear" w:color="auto" w:fill="FFFFFF"/>
        </w:rPr>
        <w:t>«Испытания проводили в Финском заливе, – вспоминал контр-адмирал Б.В. Никитин, участник испытаний, – Катера, управляемые с самолета (аппаратурой А.Ф. Шорина) или с корабля (аппаратурой В.И. Бекаури), по радиокомандамотходили от причала, выходили в море, маневрировали, устремлялись в атаку и производили пуск торпед. Проводились атаки и по прикрытому дымовой завесой кораблю-цели &lt;…&gt; Оператор на самолете оказался в лучшем положении, чем тот, что находился на корабле управления: наблюдению с корабля мешала дымовая завеса. Комиссия предложила принять на вооружение комплекс А.Ф. Шорина. Остехбюро предложили доработать свою аппаратуру» (22290).</w:t>
      </w:r>
    </w:p>
    <w:p w14:paraId="5E5B04FE" w14:textId="77777777" w:rsidR="00480CB7" w:rsidRPr="005E779E" w:rsidRDefault="00480CB7" w:rsidP="000B7A6C">
      <w:pPr>
        <w:spacing w:after="0" w:line="240" w:lineRule="auto"/>
        <w:jc w:val="both"/>
        <w:rPr>
          <w:rFonts w:ascii="Times New Roman" w:hAnsi="Times New Roman"/>
          <w:color w:val="000000" w:themeColor="text1"/>
          <w:sz w:val="16"/>
          <w:szCs w:val="16"/>
        </w:rPr>
      </w:pPr>
    </w:p>
    <w:p w14:paraId="27A72200" w14:textId="77777777" w:rsidR="00CB6D91" w:rsidRPr="005E779E" w:rsidRDefault="00CB6D91"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23 ноября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Постановление СТО СССР № 245с о составе финансово-технической арбитражной комиссии НК РКИ СССР по заказам НКВМ (ГА РФ. Ф. Р?8418. Оп. 28. Д. 1а. Л. 88) (12415).</w:t>
      </w:r>
    </w:p>
    <w:p w14:paraId="51D02022" w14:textId="77777777" w:rsidR="00CB6D91" w:rsidRPr="005E779E" w:rsidRDefault="00CB6D91" w:rsidP="000B7A6C">
      <w:pPr>
        <w:spacing w:after="0" w:line="240" w:lineRule="auto"/>
        <w:jc w:val="both"/>
        <w:rPr>
          <w:rFonts w:ascii="Times New Roman" w:hAnsi="Times New Roman"/>
          <w:color w:val="000000" w:themeColor="text1"/>
          <w:sz w:val="16"/>
          <w:szCs w:val="16"/>
          <w:u w:color="002060"/>
        </w:rPr>
      </w:pPr>
    </w:p>
    <w:p w14:paraId="386D92CA"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5EA53270"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28CD17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25 ноября по 23 декабря 1931 в НИИ ВВС проходили контрольные испытания опытного самолета И-5 № 4372 постройки завода № 1 с мотором М-15 № 24104</w:t>
      </w:r>
    </w:p>
    <w:p w14:paraId="6F4CE02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Результаты контрольных испытаний опытного самолета И-5 № 4372 постройки завода № 1 с мотором М-15 № 24104</w:t>
      </w:r>
    </w:p>
    <w:p w14:paraId="73411AA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аэродром самолет прибыл 25 ноября 1931 года.</w:t>
      </w:r>
    </w:p>
    <w:p w14:paraId="23A876A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Первый контрольный полет был произведен 19 декабря 1931 года, второй – 23 декабря 1931 года. После второго полета самолет передан на Экспедицию для окончательной отделки (6964, 26-29).</w:t>
      </w:r>
    </w:p>
    <w:p w14:paraId="10DB98A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7B8E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но</w:t>
      </w:r>
      <w:r w:rsidRPr="005E779E">
        <w:rPr>
          <w:rFonts w:ascii="Times New Roman" w:hAnsi="Times New Roman"/>
          <w:color w:val="000000" w:themeColor="text1"/>
          <w:sz w:val="16"/>
          <w:szCs w:val="16"/>
        </w:rPr>
        <w:softHyphen/>
        <w:t>ября 1931 г. на аэродром прибыл еще один И-5 с двигателем М-15. Было ре</w:t>
      </w:r>
      <w:r w:rsidRPr="005E779E">
        <w:rPr>
          <w:rFonts w:ascii="Times New Roman" w:hAnsi="Times New Roman"/>
          <w:color w:val="000000" w:themeColor="text1"/>
          <w:sz w:val="16"/>
          <w:szCs w:val="16"/>
        </w:rPr>
        <w:softHyphen/>
        <w:t>шено, что в числе первой сотни серийных истребителей должны быть 10 машин с М-15, поэтому еще один самолет оснастили таким двигателем. Далее доводился в бригаде С.А. Кочеригина, в которой готовили чертежи для серийного производства. Впрочем, уже в конце 1931 г. от использования М-15 отказа</w:t>
      </w:r>
      <w:r w:rsidRPr="005E779E">
        <w:rPr>
          <w:rFonts w:ascii="Times New Roman" w:hAnsi="Times New Roman"/>
          <w:color w:val="000000" w:themeColor="text1"/>
          <w:sz w:val="16"/>
          <w:szCs w:val="16"/>
        </w:rPr>
        <w:softHyphen/>
        <w:t>лись и более И-5 с этими двигателями не строились (11974).</w:t>
      </w:r>
    </w:p>
    <w:p w14:paraId="4607D3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553C8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ноября 1931 г. в НИИ ВВС прибыл истребитель И-5 М-15 № 4372 постройки завода № 1. Машина имела уже полноценное вооружение из четырёх ПВ-1. В совокупности с усилением конструкции это привело к тому, что вес пустого самолёта по сравнению с истребителем №18 возрос более чем на 100 кг и достиг 1110,6 кг. В НИИ ВВС на И-5 № 4372 совершили всего два полёта. Первый выполнил лётчик Калиншин 19 декабря. Длился он всего 18 минут. При наборе высоты началась сильная тряска, вдобавок пилот обнаружил, что альтиметр не работает. На посадке он с трудом справился с тягой машины влево. Поскольку на аэродроме лежал снег, то полёт проходил на лыжном шасси. После посадки обнаружили, что неудачно ориентированные патрубки привели к тому, что горячая струя выхлопа била прямо на тросы-оттяжки лыж.</w:t>
      </w:r>
    </w:p>
    <w:p w14:paraId="6A4E9F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устранения ряда выявленных дефектов 23 декабря Калиншин совершил второй полёт. Видимо, он был столь же неудачен, сколь и первый. Во всяком случае, 14 января 1932 г. машину вернули заводу № 1 с актом о недостатках, в котором насчитывался 31 пункт. Больше подобных самолётов не делали.</w:t>
      </w:r>
    </w:p>
    <w:p w14:paraId="654EC4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 последующие И-5 выпускались только с двигателями М-22, а изготовленные М-15 передали в гражданскую авиацию. Ими оснастили часть пассажирских самолётов К-5. Похоже, что Алкснис был прав - в Аэрофлоте М-15 зарекомендовали себя не лучшим образом, работали они ненадёжно и частенько являлись причиной аварий (11997).</w:t>
      </w:r>
    </w:p>
    <w:p w14:paraId="19CD65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7AEAFA8" w14:textId="77777777" w:rsidR="00CB6D91" w:rsidRPr="005E779E" w:rsidRDefault="00CB6D9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ноября 1931 года на аэродром прибыл один самолет И-5, который осна</w:t>
      </w:r>
      <w:r w:rsidRPr="005E779E">
        <w:rPr>
          <w:rFonts w:ascii="Times New Roman" w:hAnsi="Times New Roman"/>
          <w:color w:val="000000" w:themeColor="text1"/>
          <w:sz w:val="16"/>
          <w:szCs w:val="16"/>
        </w:rPr>
        <w:softHyphen/>
        <w:t>стили двигателем М-15, далее доводил</w:t>
      </w:r>
      <w:r w:rsidRPr="005E779E">
        <w:rPr>
          <w:rFonts w:ascii="Times New Roman" w:hAnsi="Times New Roman"/>
          <w:color w:val="000000" w:themeColor="text1"/>
          <w:sz w:val="16"/>
          <w:szCs w:val="16"/>
        </w:rPr>
        <w:softHyphen/>
        <w:t>ся в бригаде С.А. Кочеригина, в которой го</w:t>
      </w:r>
      <w:r w:rsidRPr="005E779E">
        <w:rPr>
          <w:rFonts w:ascii="Times New Roman" w:hAnsi="Times New Roman"/>
          <w:color w:val="000000" w:themeColor="text1"/>
          <w:sz w:val="16"/>
          <w:szCs w:val="16"/>
        </w:rPr>
        <w:softHyphen/>
        <w:t>товили чертежи для серийного производства. Впрочем, уже в конце 1931 года от использо</w:t>
      </w:r>
      <w:r w:rsidRPr="005E779E">
        <w:rPr>
          <w:rFonts w:ascii="Times New Roman" w:hAnsi="Times New Roman"/>
          <w:color w:val="000000" w:themeColor="text1"/>
          <w:sz w:val="16"/>
          <w:szCs w:val="16"/>
        </w:rPr>
        <w:softHyphen/>
        <w:t>вания М-15 на истребителях отказались и бо</w:t>
      </w:r>
      <w:r w:rsidRPr="005E779E">
        <w:rPr>
          <w:rFonts w:ascii="Times New Roman" w:hAnsi="Times New Roman"/>
          <w:color w:val="000000" w:themeColor="text1"/>
          <w:sz w:val="16"/>
          <w:szCs w:val="16"/>
        </w:rPr>
        <w:softHyphen/>
        <w:t>лее И-5 с этими двигателями не строились (12295).</w:t>
      </w:r>
    </w:p>
    <w:p w14:paraId="0395B11A" w14:textId="77777777" w:rsidR="00CB6D91" w:rsidRPr="005E779E" w:rsidRDefault="00CB6D91" w:rsidP="000B7A6C">
      <w:pPr>
        <w:spacing w:after="0" w:line="240" w:lineRule="auto"/>
        <w:jc w:val="both"/>
        <w:rPr>
          <w:rFonts w:ascii="Times New Roman" w:hAnsi="Times New Roman"/>
          <w:color w:val="000000" w:themeColor="text1"/>
          <w:sz w:val="16"/>
          <w:szCs w:val="16"/>
        </w:rPr>
      </w:pPr>
    </w:p>
    <w:p w14:paraId="3D243A31" w14:textId="77777777" w:rsidR="003C29EC" w:rsidRPr="00142305" w:rsidRDefault="003C29EC" w:rsidP="003C29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25 ноября 1931 г. завод № 31 получил новую производственную программу, куда внесли 90 амфибий Ш-2 для ГВФ и 10 для ВВС (24952).</w:t>
      </w:r>
    </w:p>
    <w:p w14:paraId="31D9370E" w14:textId="77777777" w:rsidR="003C29EC" w:rsidRPr="00142305" w:rsidRDefault="003C29EC" w:rsidP="003C29EC">
      <w:pPr>
        <w:spacing w:after="0" w:line="240" w:lineRule="auto"/>
        <w:jc w:val="both"/>
        <w:rPr>
          <w:rFonts w:ascii="Times New Roman" w:hAnsi="Times New Roman"/>
          <w:color w:val="0070C0"/>
          <w:sz w:val="16"/>
          <w:szCs w:val="16"/>
        </w:rPr>
      </w:pPr>
    </w:p>
    <w:p w14:paraId="20B7E9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ноября 1931 Директором серийного завода (ХАЗ) назначен В. И. Ситников (10674).</w:t>
      </w:r>
    </w:p>
    <w:p w14:paraId="4A8C19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BCBFDB3" w14:textId="77777777" w:rsidR="00CB6D91"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5BD0C359" w14:textId="77777777" w:rsidR="00CB6D91" w:rsidRPr="005E779E" w:rsidRDefault="00CB6D91"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2E308F7" w14:textId="77777777" w:rsidR="00CB6D91" w:rsidRPr="005E779E" w:rsidRDefault="00CB6D91"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25 ноября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 77. Опросом членов ПБ от 23 ноября 1931 г. 26/4. О Сталинградском тракторном заводе (ПБ от 10 декабря 1930 г., пр. № 20, п. 4/10). От 25 ноября 1931 г. 55/34. О развертывании собственного морского судостроения в 1932/34 гг. (ПБ от 1 ноября 1931., пр. № 72, п. 10) (Петровский). (Политбюро... Т. 2. С. 245, 246) (12416).</w:t>
      </w:r>
    </w:p>
    <w:p w14:paraId="0ADBF18E" w14:textId="65193B74" w:rsidR="00CB6D91" w:rsidRPr="005E779E" w:rsidRDefault="00CB6D91" w:rsidP="000B7A6C">
      <w:pPr>
        <w:spacing w:after="0" w:line="240" w:lineRule="auto"/>
        <w:jc w:val="both"/>
        <w:rPr>
          <w:rFonts w:ascii="Times New Roman" w:hAnsi="Times New Roman"/>
          <w:color w:val="000000" w:themeColor="text1"/>
          <w:sz w:val="16"/>
          <w:szCs w:val="16"/>
          <w:u w:color="002060"/>
        </w:rPr>
      </w:pPr>
    </w:p>
    <w:p w14:paraId="140AC26F" w14:textId="4E15FF24" w:rsidR="00AE643E" w:rsidRPr="005E779E" w:rsidRDefault="00AE643E" w:rsidP="000B7A6C">
      <w:pPr>
        <w:spacing w:after="0" w:line="240" w:lineRule="auto"/>
        <w:jc w:val="both"/>
        <w:rPr>
          <w:rFonts w:ascii="Times New Roman" w:hAnsi="Times New Roman"/>
          <w:i/>
          <w:iCs/>
          <w:color w:val="000000" w:themeColor="text1"/>
          <w:sz w:val="16"/>
          <w:szCs w:val="16"/>
          <w:u w:color="002060"/>
        </w:rPr>
      </w:pPr>
      <w:r w:rsidRPr="005E779E">
        <w:rPr>
          <w:rFonts w:ascii="Times New Roman" w:hAnsi="Times New Roman"/>
          <w:i/>
          <w:iCs/>
          <w:color w:val="000000" w:themeColor="text1"/>
          <w:sz w:val="16"/>
          <w:szCs w:val="16"/>
          <w:u w:color="002060"/>
        </w:rPr>
        <w:t>За рубежом:</w:t>
      </w:r>
    </w:p>
    <w:p w14:paraId="3ECC92BA" w14:textId="77777777" w:rsidR="00AE643E" w:rsidRPr="005E779E" w:rsidRDefault="00AE643E" w:rsidP="000B7A6C">
      <w:pPr>
        <w:spacing w:after="0" w:line="240" w:lineRule="auto"/>
        <w:jc w:val="both"/>
        <w:rPr>
          <w:rFonts w:ascii="Times New Roman" w:hAnsi="Times New Roman"/>
          <w:i/>
          <w:iCs/>
          <w:color w:val="000000" w:themeColor="text1"/>
          <w:sz w:val="16"/>
          <w:szCs w:val="16"/>
          <w:u w:color="002060"/>
        </w:rPr>
      </w:pPr>
    </w:p>
    <w:p w14:paraId="656D901A" w14:textId="77777777" w:rsidR="00AE643E" w:rsidRPr="005E779E" w:rsidRDefault="00AE643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25 ноября 1931 состоялся первый полет Couzinet 33 Biarritz (20804). </w:t>
      </w:r>
    </w:p>
    <w:p w14:paraId="373E1E32" w14:textId="77777777" w:rsidR="00AE643E" w:rsidRPr="005E779E" w:rsidRDefault="00AE643E" w:rsidP="000B7A6C">
      <w:pPr>
        <w:spacing w:after="0" w:line="240" w:lineRule="auto"/>
        <w:jc w:val="both"/>
        <w:rPr>
          <w:rFonts w:ascii="Times New Roman" w:hAnsi="Times New Roman"/>
          <w:color w:val="000000" w:themeColor="text1"/>
          <w:sz w:val="16"/>
          <w:szCs w:val="16"/>
        </w:rPr>
      </w:pPr>
    </w:p>
    <w:p w14:paraId="32CE97F3"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3AA80411"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AB0E2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 ноября 1931 года Гольцман, Анвельт и Березин писали письмо № 10/1419сс Сталину</w:t>
      </w:r>
    </w:p>
    <w:p w14:paraId="4EE4CE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3AE22D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Авиапромышленность переживает состояние длительного и глубокого прорыва. Вместо 100 трехмоторных самолетов (АНТ-9) она сдала нам 12 штук. Вместо 200 одномоторных пассажирских самолетов (К-5) нам сдано 38 штук. Хуже всего, однако, то, что качество этих самолетов и моторов к ним таково, что фактически ни один из них не летает. О качестве самолетов К-5 лучше всего свидетельствует телеграмма, полученная нами от его конструктора Калинина:</w:t>
      </w:r>
    </w:p>
    <w:p w14:paraId="120B13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новых крыльях К-5, выпущенных Харьковским заводом, обнаружена опасная гниль, следствие небрежного изготовления и преступного хранения. Прошу распоряжения во избежание катастроф немедленно выпущенные крылья самолетов изъять для капитального осмотра и ремонта и назначить расследование."</w:t>
      </w:r>
    </w:p>
    <w:p w14:paraId="4E0A72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 качестве моторов для этого типа самолетов можно судить по выдержке из письма к нам УВВС:</w:t>
      </w:r>
    </w:p>
    <w:p w14:paraId="01D97A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"УВВС слагает с себя всякую ответственность за принимаемые Вами моторы и могущие быть последствия в виде аварий и катастроф. Одновременно еще раз подтверждается непригодность моторов М-15 без исправлений для эксплуатации". Это же подтверждается результатами только что закончившегося госиспытания в НИИ".</w:t>
      </w:r>
    </w:p>
    <w:p w14:paraId="0F3A23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 лучше обстоит дело с качеством моторов для трехмоторного АНТ-9. Не было ни одного случая вылета самолета с этими моторами, который бы обошелся без вынужденной посадки.</w:t>
      </w:r>
    </w:p>
    <w:p w14:paraId="447599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6E8615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Вместо 340 учебных машин мы получили от ВАО 39 единиц.</w:t>
      </w:r>
    </w:p>
    <w:p w14:paraId="28FB7D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…………………………….(7752, 74).</w:t>
      </w:r>
    </w:p>
    <w:p w14:paraId="52FFBD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81BE0F3"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20919AFA"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CF334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26–28 ноября 1931 г. на бронекатере Н-5 Днепровской флотилии КПК была впервые испытана в корабельных условиях. Пушку установили на расстоянии 1,5 м от кормового среза. Всего было произведено 33 выстрела.</w:t>
      </w:r>
    </w:p>
    <w:p w14:paraId="692C17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 сентября 1932 г. КПК прошла испытания на подводной лодке АГ-25, где ее установили на месте штатной 47-мм пушки. До начала стрельб лодка с ДРП находилась под водой около трех часов. По расчетам, 47-мм пушка с боекомплектом могла быть заменена без весовых нарушений 76-мм КПК с боекомплектом 70 патронов.</w:t>
      </w:r>
    </w:p>
    <w:p w14:paraId="5B98A7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76-мм КПК (катерная пушка Курчевского). Качающаяся часть для нее была взята Курчевским от 76-мм БПК (батальонной пушки Курчевского) с небольшими изменениями. Заряжание КПК производилось с казенной части при помощи сдвижного затвора, соединенного с соплом. Стрельба велась унитарными патронами. Гильзы латунные с донными отверстиями диаметром около 60 мм (рис. 7.5).</w:t>
      </w:r>
    </w:p>
    <w:p w14:paraId="0A5CBA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КПК была установлена на легкой конической тумбе. Подъемный механизм имел винт, действующий на рычаг, связанный с левой цапфой. Поворотный механизм имел зубчатый обод и червяк.</w:t>
      </w:r>
    </w:p>
    <w:p w14:paraId="225F0A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КПК могла стрелять штатными гранатами и шрапнелями весом 6,5 кг от 3-дюймовой полевой пушки обр. 1902 г., а также специально созданными легкими снарядами: осколочным весом 4,7 кг и бронебойным весом 4 кг (12091).</w:t>
      </w:r>
    </w:p>
    <w:p w14:paraId="3316DC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F0F7D40"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26—28 ноября 1931 г. на бронекатере Н-5 Днепровской флотилии впервые была испытана в корабельных условиях КПК. Пушку установили на расстоянии 1,5 м от кормового среза. Всего было произведено 33 выстрелов.</w:t>
      </w:r>
    </w:p>
    <w:p w14:paraId="6044C7F4"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 сентября 1932 г: КПК прошла испытания на подводной лодке АГ-25, где ее установили на месте штатной 47-мм пушки. По расчетам, 47-мм пушка с боекомплектом могла быть заменена без весовых нарушений 76-мм КПК с боекомплектом 70 патронов. До начала стрельб лодка с ДРП находилась под водой около трех часов.</w:t>
      </w:r>
    </w:p>
    <w:p w14:paraId="49B7D553"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 было сделано 12 выстрелов. Первые три прошли успешно, но после четвертого выстрела на лодке появились первые повреждения. Однако стрельбу решили все равно продолжить. После седьмого, восьмого и девятого выстрела на лодке появились новые повреждения. Во время последнего выстрела произошел прорыв газов через затвор, и лишь по счастливой случайности наводчик пушки не пострадал.</w:t>
      </w:r>
    </w:p>
    <w:p w14:paraId="2C7FAA65"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Затем провели девять выстрелов по щиту. На пятом выстреле начались осечки, после седьмого выстрела перекосило болт затвора, а после девятого он перестал закрываться. Испытания пришлось прекратить. Повреждения лодки были незначительные — кое-где обгорела краска, были разбиты колпаки и перегорело несколько лампочек.</w:t>
      </w:r>
    </w:p>
    <w:p w14:paraId="38B8A4FB"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мае 1934 г. КПК была испытана в Севастополе на торпедных катерах (ТКА № 124 типа Ш-4 и ТКА типа Г-5 с заводским № 135). Кроме КПК весом 165 кг на катере установили систему креплений весом 270 кг. Торпедное вооружение на испытаниях отсутствовало. Испытания производились при волнении моря до 2—3 баллов. (Сх. 6)</w:t>
      </w:r>
    </w:p>
    <w:p w14:paraId="1E9E052E"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Испытания показали, что наводка КПК возможна лили» на самом малом ходу (до 17 узлов), а на полном ходу невозможно даже обслуживание пушки. При стрельбе отмечены срывы заклепок обшивки борта катера. Согласно заключению комиссии, для КПК, установленных на торпедных катерах, требовался дюралевый щит для артсистемы и расчета.</w:t>
      </w:r>
    </w:p>
    <w:p w14:paraId="2F3980F1"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Следует отметить, что стрельбы из КПК на кораблях проходили относительно успешно. Это в значительной степени объясняется отработанностью 76-мм стволов ДРП и их выстрелов, которые использовались еще с 1930 г. Хотя при наземных стрельбах в 1933—1934 гг. у КПК были отмечены отрывы казенников и раздутия стволов. Для предотвращения этого специальная комиссия предложила уменьшить начальную скорость снаряда весом 4,72 кг до 345-350 м/с и изменить устройство медных поясков снарядов, что нарушало взаимозаменяемость снарядов КПК со снарядами полевых дивизионных орудий.</w:t>
      </w:r>
    </w:p>
    <w:p w14:paraId="4C145F1D"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КПК официально приняли на вооружение в 1934 г. В 1932— 1935 гг. на заводах № 7 и № 8 было изготовлено около 250 КПК.</w:t>
      </w:r>
    </w:p>
    <w:p w14:paraId="4491B2E7"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 октября 1934 г. на Дальний Восток отправили 50 КПК, из них 25 — на Амурскую флотилию. В Тихоокеанском флоте планировалось вооружить КПК тральщики и подводные лодки типа «М». В Амурской флотилии КПК были вооружены канонерские лодки «Бурят» (2), «Монгол» (2) и «Пролетарий» (2), а также катера «Копье» и «Пика»,</w:t>
      </w:r>
    </w:p>
    <w:p w14:paraId="248919D1"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Интересно, что КПК продержались на вооружении дольше других пушек Курчевского и были сняты с вооружения лишь в конце 1938 г.</w:t>
      </w:r>
    </w:p>
    <w:p w14:paraId="3AB02EDC"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Кроме того, была произведена попытка использовать 76-мм КПК в береговой обороне. Так, под Владивостоком на острове Русский на мысе Створный были установлены три пушки КПК. Батарея устанавливалась в течение 6 часов. Расстояние между орудиями составляло 50 м, сектор обстрела —130° из всех орудий или 360° из одного.</w:t>
      </w:r>
    </w:p>
    <w:p w14:paraId="14026FC9"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проведения испытаний комиссия сделала следующие выводы: «Комиссия считает размещение и использование систем КПК-75 на береговой обороне технически возможным и тактически целесообразным в смысле усиления огневых средств против вероятного противника в условиях ТОФ».</w:t>
      </w:r>
    </w:p>
    <w:p w14:paraId="3C873EE6" w14:textId="77777777" w:rsidR="00C54992" w:rsidRPr="005E779E" w:rsidRDefault="00C54992" w:rsidP="000B7A6C">
      <w:pPr>
        <w:spacing w:after="0" w:line="240" w:lineRule="auto"/>
        <w:jc w:val="both"/>
        <w:rPr>
          <w:rFonts w:ascii="Times New Roman" w:hAnsi="Times New Roman"/>
          <w:bCs/>
          <w:color w:val="000000" w:themeColor="text1"/>
          <w:sz w:val="16"/>
          <w:szCs w:val="16"/>
        </w:rPr>
      </w:pPr>
      <w:bookmarkStart w:id="59" w:name="label68"/>
      <w:bookmarkEnd w:id="59"/>
      <w:r w:rsidRPr="005E779E">
        <w:rPr>
          <w:rFonts w:ascii="Times New Roman" w:hAnsi="Times New Roman"/>
          <w:bCs/>
          <w:color w:val="000000" w:themeColor="text1"/>
          <w:sz w:val="16"/>
          <w:szCs w:val="16"/>
        </w:rPr>
        <w:t>Данные 76-мм КПК</w:t>
      </w:r>
    </w:p>
    <w:p w14:paraId="2B84BEF8"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Калибр, мм …… 76,2</w:t>
      </w:r>
    </w:p>
    <w:p w14:paraId="1E9EF987"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Длина ствола, мм/клб: </w:t>
      </w:r>
    </w:p>
    <w:p w14:paraId="53D763D1"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воронкой …… 2780/36,6</w:t>
      </w:r>
    </w:p>
    <w:p w14:paraId="091D367A"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без воронки …… 2080/27,3</w:t>
      </w:r>
    </w:p>
    <w:p w14:paraId="40BF88DD"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Длина воронки, мм …… 784</w:t>
      </w:r>
    </w:p>
    <w:p w14:paraId="0EF25603"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Угол BH, град …… -10°; +60°</w:t>
      </w:r>
    </w:p>
    <w:p w14:paraId="01DA6EC3"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Угол ГН, град …… 360°</w:t>
      </w:r>
    </w:p>
    <w:p w14:paraId="33D7CEC3"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Высота оси цапф от основания тумбы, мм …… 1278</w:t>
      </w:r>
    </w:p>
    <w:p w14:paraId="7923D0DA"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ствола, кг …… 80</w:t>
      </w:r>
    </w:p>
    <w:p w14:paraId="6E102D02"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сопла, кг …… 8</w:t>
      </w:r>
    </w:p>
    <w:p w14:paraId="7D9BA2A1"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тумбы, кг …… 75</w:t>
      </w:r>
    </w:p>
    <w:p w14:paraId="56BAF2E6"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всей системы, кг …… 165</w:t>
      </w:r>
    </w:p>
    <w:p w14:paraId="5D05377F"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Скорсчлрельность, выстр./мин …… 6</w:t>
      </w:r>
    </w:p>
    <w:p w14:paraId="2C2EEA17" w14:textId="77777777" w:rsidR="00C54992" w:rsidRPr="005E779E" w:rsidRDefault="00C54992" w:rsidP="000B7A6C">
      <w:pPr>
        <w:spacing w:after="0" w:line="240" w:lineRule="auto"/>
        <w:jc w:val="both"/>
        <w:rPr>
          <w:rFonts w:ascii="Times New Roman" w:hAnsi="Times New Roman"/>
          <w:bCs/>
          <w:color w:val="000000" w:themeColor="text1"/>
          <w:sz w:val="16"/>
          <w:szCs w:val="16"/>
        </w:rPr>
      </w:pPr>
      <w:bookmarkStart w:id="60" w:name="label69"/>
      <w:bookmarkStart w:id="61" w:name="label70"/>
      <w:bookmarkEnd w:id="60"/>
      <w:bookmarkEnd w:id="61"/>
      <w:r w:rsidRPr="005E779E">
        <w:rPr>
          <w:rFonts w:ascii="Times New Roman" w:hAnsi="Times New Roman"/>
          <w:bCs/>
          <w:color w:val="000000" w:themeColor="text1"/>
          <w:sz w:val="16"/>
          <w:szCs w:val="16"/>
        </w:rPr>
        <w:t>Боеприпасы и баллистика 76-мм КПК</w:t>
      </w:r>
    </w:p>
    <w:p w14:paraId="1ED73DDD" w14:textId="77777777" w:rsidR="00C54992" w:rsidRPr="005E779E" w:rsidRDefault="00C54992" w:rsidP="000B7A6C">
      <w:pPr>
        <w:spacing w:after="0" w:line="240" w:lineRule="auto"/>
        <w:jc w:val="both"/>
        <w:rPr>
          <w:rFonts w:ascii="Times New Roman" w:hAnsi="Times New Roman"/>
          <w:bCs/>
          <w:color w:val="000000" w:themeColor="text1"/>
          <w:sz w:val="16"/>
          <w:szCs w:val="16"/>
        </w:rPr>
      </w:pPr>
      <w:bookmarkStart w:id="62" w:name="label71"/>
      <w:bookmarkStart w:id="63" w:name="label72"/>
      <w:bookmarkEnd w:id="62"/>
      <w:bookmarkEnd w:id="63"/>
      <w:r w:rsidRPr="005E779E">
        <w:rPr>
          <w:rFonts w:ascii="Times New Roman" w:hAnsi="Times New Roman"/>
          <w:bCs/>
          <w:color w:val="000000" w:themeColor="text1"/>
          <w:sz w:val="16"/>
          <w:szCs w:val="16"/>
        </w:rPr>
        <w:t>Стрельба на полигоне из КПК 10 мая 1934 г.</w:t>
      </w:r>
    </w:p>
    <w:p w14:paraId="426D0207" w14:textId="77777777" w:rsidR="00C54992" w:rsidRPr="005E779E" w:rsidRDefault="00C54992" w:rsidP="000B7A6C">
      <w:pPr>
        <w:spacing w:after="0" w:line="240" w:lineRule="auto"/>
        <w:jc w:val="both"/>
        <w:rPr>
          <w:rFonts w:ascii="Times New Roman" w:hAnsi="Times New Roman"/>
          <w:bCs/>
          <w:color w:val="000000" w:themeColor="text1"/>
          <w:sz w:val="16"/>
          <w:szCs w:val="16"/>
        </w:rPr>
      </w:pPr>
      <w:bookmarkStart w:id="64" w:name="label73"/>
      <w:bookmarkEnd w:id="64"/>
      <w:r w:rsidRPr="005E779E">
        <w:rPr>
          <w:rFonts w:ascii="Times New Roman" w:hAnsi="Times New Roman"/>
          <w:bCs/>
          <w:color w:val="000000" w:themeColor="text1"/>
          <w:sz w:val="16"/>
          <w:szCs w:val="16"/>
          <w:vertAlign w:val="superscript"/>
        </w:rPr>
        <w:t>Вес снаряда, кг …… Заряд — Начальная скорость, м/с — Давление в канале, кг/см2</w:t>
      </w:r>
    </w:p>
    <w:p w14:paraId="6AF3AFF7"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4,69 …… 0,98 кг ПКО 1/11К — 354 — 1270</w:t>
      </w:r>
    </w:p>
    <w:p w14:paraId="21B28660" w14:textId="77777777" w:rsidR="00C54992" w:rsidRPr="005E779E" w:rsidRDefault="00C5499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4,72 …… 0,98 кг ПКО 1/11К — 353 — — (15117).</w:t>
      </w:r>
    </w:p>
    <w:p w14:paraId="58D9DD3A" w14:textId="77777777" w:rsidR="00C54992" w:rsidRPr="005E779E" w:rsidRDefault="00C54992" w:rsidP="000B7A6C">
      <w:pPr>
        <w:spacing w:after="0" w:line="240" w:lineRule="auto"/>
        <w:jc w:val="both"/>
        <w:rPr>
          <w:rFonts w:ascii="Times New Roman" w:hAnsi="Times New Roman"/>
          <w:color w:val="000000" w:themeColor="text1"/>
          <w:sz w:val="16"/>
          <w:szCs w:val="16"/>
        </w:rPr>
      </w:pPr>
    </w:p>
    <w:p w14:paraId="6C16EC7A" w14:textId="77777777" w:rsidR="003C29EC" w:rsidRPr="00142305" w:rsidRDefault="003C29EC" w:rsidP="003C29EC">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26–28 ноября 1931 г. на бронекатере Н-5 Днепровской флотилии впервые была испытана 76-мм КПК (катерная пушка Курчевского) в корабельных условиях. Пушку установили на расстоянии 1,5 м от кормового среза. Всего было произведено 33 выстрелов (25213).</w:t>
      </w:r>
    </w:p>
    <w:p w14:paraId="467B032D" w14:textId="77777777" w:rsidR="003C29EC" w:rsidRPr="00142305" w:rsidRDefault="003C29EC" w:rsidP="003C29EC">
      <w:pPr>
        <w:spacing w:after="0" w:line="240" w:lineRule="auto"/>
        <w:jc w:val="both"/>
        <w:rPr>
          <w:rFonts w:ascii="Times New Roman" w:hAnsi="Times New Roman"/>
          <w:color w:val="0070C0"/>
          <w:sz w:val="16"/>
          <w:szCs w:val="16"/>
        </w:rPr>
      </w:pPr>
    </w:p>
    <w:p w14:paraId="4244EB86" w14:textId="77777777" w:rsidR="008935EF" w:rsidRPr="005E779E" w:rsidRDefault="008935E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 ноября 1931 г. На имя начальника Мобилизационно-планового сектора ВСНХ СССР К.Ф. Мартиновича было отправлено письмо № 291/3799с, в котором, в частности, было указано, что:</w:t>
      </w:r>
    </w:p>
    <w:p w14:paraId="690C504A" w14:textId="77777777" w:rsidR="008935EF" w:rsidRPr="005E779E" w:rsidRDefault="008935E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танкового производства ХПЗ необходимо получить со стороны в 1932 г. 400 моторов "ЛИБЕРТИ" в совершенно готовом и отрегулированном виде.</w:t>
      </w:r>
    </w:p>
    <w:p w14:paraId="18711435" w14:textId="77777777" w:rsidR="008935EF" w:rsidRPr="005E779E" w:rsidRDefault="008935E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текущую программу 1931 г. н/ХПЗ получает моторы от УММ РККА, который обязался поставить в IV кв. с.г. 100 импортных моторов. Поставлять же моторы на программу 1932 г. УММ РККА отказался, мотивируя свой отказ отсутствием надлежащих средств. Наши попытки получить моторы от ВАО не увенчались успехом, т.к. единственный для нас пригодный мотор "М-17" является узким местом в авиапромышленности.</w:t>
      </w:r>
    </w:p>
    <w:p w14:paraId="4520E941" w14:textId="77777777" w:rsidR="008935EF" w:rsidRPr="005E779E" w:rsidRDefault="008935E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Ввиду того, что вопрос об удовлетворении ХПЗ моторами на сегодняшний день остается совершенно открытым, а нам не известно кто-же будет поставщиком моторов для текущей программы ХПЗ 1932 г., не говоря уже о плане МВ-10, согласно которого ХПЗ необходимо будет получить 2000 моторов, просим Вас разрешить вопрос обеспечения ХПЗ моторами и указать нам поставщика их».</w:t>
      </w:r>
    </w:p>
    <w:p w14:paraId="1AA13EB4" w14:textId="77777777" w:rsidR="008935EF" w:rsidRPr="005E779E" w:rsidRDefault="008935E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[РГАЭ. Ф. 8122. Оп. 1. Д. 31. Л. 599 с об.]</w:t>
      </w:r>
    </w:p>
    <w:p w14:paraId="36EF3BEF" w14:textId="77777777" w:rsidR="008935EF" w:rsidRPr="005E779E" w:rsidRDefault="008935E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Забегая вперед скажем, что в 1932 г. выпуск танков БТ был обеспечен главным образом за счет закупленных заграницей двигателей «Либерти», а также за счет переданных из авиации бывших в эксплуатации и требовавших ремонта отечественных двигателей М-5. Но в целом эти мероприятия не снимали вопроса о выборе типа двигателя для танков БТ (24856). </w:t>
      </w:r>
    </w:p>
    <w:p w14:paraId="12DB10AD" w14:textId="77777777" w:rsidR="008935EF" w:rsidRPr="005E779E" w:rsidRDefault="008935EF" w:rsidP="000B7A6C">
      <w:pPr>
        <w:spacing w:after="0" w:line="240" w:lineRule="auto"/>
        <w:jc w:val="both"/>
        <w:rPr>
          <w:rFonts w:ascii="Times New Roman" w:hAnsi="Times New Roman"/>
          <w:color w:val="000000" w:themeColor="text1"/>
          <w:sz w:val="16"/>
          <w:szCs w:val="16"/>
        </w:rPr>
      </w:pPr>
    </w:p>
    <w:p w14:paraId="791B6FF2" w14:textId="77777777" w:rsidR="008935EF" w:rsidRPr="005E779E" w:rsidRDefault="008935E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 ноября 1931 г.</w:t>
      </w:r>
    </w:p>
    <w:p w14:paraId="2CA29279" w14:textId="77777777" w:rsidR="008935EF" w:rsidRPr="005E779E" w:rsidRDefault="008935E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РГАЭ Фонд 8122 Опись 1 Дело 31 лист 599 с об. </w:t>
      </w:r>
    </w:p>
    <w:p w14:paraId="73D9F3A9" w14:textId="77777777" w:rsidR="008935EF" w:rsidRPr="005E779E" w:rsidRDefault="008935E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СОВ.СЕКРЕТНО. </w:t>
      </w:r>
    </w:p>
    <w:p w14:paraId="0B659415" w14:textId="77777777" w:rsidR="008935EF" w:rsidRPr="005E779E" w:rsidRDefault="008935E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26/XI-1931 г. </w:t>
      </w:r>
    </w:p>
    <w:p w14:paraId="52EE9C81" w14:textId="77777777" w:rsidR="008935EF" w:rsidRPr="005E779E" w:rsidRDefault="008935E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291/3799c</w:t>
      </w:r>
    </w:p>
    <w:p w14:paraId="26F6E784" w14:textId="77777777" w:rsidR="008935EF" w:rsidRPr="005E779E" w:rsidRDefault="008935E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НАЧ. МПС ВСНХ СССР тов. МАРТИНОВИЧУ </w:t>
      </w:r>
    </w:p>
    <w:p w14:paraId="691C86F2" w14:textId="77777777" w:rsidR="008935EF" w:rsidRPr="005E779E" w:rsidRDefault="008935E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н/исп. Расколин </w:t>
      </w:r>
    </w:p>
    <w:p w14:paraId="0671E382" w14:textId="77777777" w:rsidR="008935EF" w:rsidRPr="005E779E" w:rsidRDefault="008935E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 4-53-87</w:t>
      </w:r>
    </w:p>
    <w:p w14:paraId="5A31B3CA" w14:textId="77777777" w:rsidR="008935EF" w:rsidRPr="005E779E" w:rsidRDefault="008935E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ПО ВОПРОСУ: моторов для танков "БТ". </w:t>
      </w:r>
    </w:p>
    <w:p w14:paraId="3FCB23C0" w14:textId="77777777" w:rsidR="008935EF" w:rsidRPr="005E779E" w:rsidRDefault="008935E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Для танкового производства ХПЗ необходимо получить со стороны в 1932 г. 400 моторов "ЛИБЕРТИ" в совершенно готовом и отрегулированном виде. </w:t>
      </w:r>
    </w:p>
    <w:p w14:paraId="6F274EA5" w14:textId="77777777" w:rsidR="008935EF" w:rsidRPr="005E779E" w:rsidRDefault="008935E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На текущую программу 1931 г. н/ХПЗ получает моторы от УММ РККА, который обязался поставить в IV кв. с.г. 100 импортных моторов. Поставлять же моторы на программу 1932 г. УММ РККА отказался, мотивируя свой отказ отсутствием надлежащих средств. Наши попытки получить моторы от ВАО не увенчались успехом, т.к. единственный для нас пригодный мотор "М-17" является узким местом в авиапромышленности. </w:t>
      </w:r>
    </w:p>
    <w:p w14:paraId="5200FE3C" w14:textId="77777777" w:rsidR="008935EF" w:rsidRPr="005E779E" w:rsidRDefault="008935E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Ввиду того, что вопрос об удовлетворении ХПЗ моторами на сегодняшний день остается совершенно открытым, а нам не известно кто-же будет поставщиком моторов для текущей программы ХПЗ 1932 г., не говоря уже о плане МВ-10, согласно которого ХПЗ необходимо будет получить 2000 моторов, просим Вас разрешить вопрос обеспечения ХПЗ моторами и указать нам поставщика их.</w:t>
      </w:r>
    </w:p>
    <w:p w14:paraId="0B262C07" w14:textId="77777777" w:rsidR="008935EF" w:rsidRPr="005E779E" w:rsidRDefault="008935E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ЗАМ. УПРАВЛЯЮЩЕГО ОБЪЕДИНЕНИЕМ (Богданов) </w:t>
      </w:r>
    </w:p>
    <w:p w14:paraId="5273AF0E" w14:textId="77777777" w:rsidR="008935EF" w:rsidRPr="005E779E" w:rsidRDefault="008935E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НАЧ. СПЕЦСЕКТОРА (Валейчик)</w:t>
      </w:r>
    </w:p>
    <w:p w14:paraId="3B0F93DD" w14:textId="77777777" w:rsidR="008935EF" w:rsidRPr="005E779E" w:rsidRDefault="008935E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ВАХ. № 5133 </w:t>
      </w:r>
    </w:p>
    <w:p w14:paraId="5FA84EB7" w14:textId="77777777" w:rsidR="008935EF" w:rsidRPr="005E779E" w:rsidRDefault="008935E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25.11.31 г. </w:t>
      </w:r>
    </w:p>
    <w:p w14:paraId="56E09C9E" w14:textId="77777777" w:rsidR="008935EF" w:rsidRPr="005E779E" w:rsidRDefault="008935E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Отп. 2 экз. (24868).</w:t>
      </w:r>
    </w:p>
    <w:p w14:paraId="01E546F3" w14:textId="77777777" w:rsidR="008935EF" w:rsidRPr="005E779E" w:rsidRDefault="008935EF" w:rsidP="000B7A6C">
      <w:pPr>
        <w:spacing w:after="0" w:line="240" w:lineRule="auto"/>
        <w:jc w:val="both"/>
        <w:rPr>
          <w:rFonts w:ascii="Times New Roman" w:hAnsi="Times New Roman"/>
          <w:color w:val="000000" w:themeColor="text1"/>
          <w:sz w:val="16"/>
          <w:szCs w:val="16"/>
        </w:rPr>
      </w:pPr>
    </w:p>
    <w:p w14:paraId="0977055E" w14:textId="77777777" w:rsidR="003C29EC" w:rsidRPr="00142305" w:rsidRDefault="003C29EC" w:rsidP="003C29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26 по 28 но</w:t>
      </w:r>
      <w:r w:rsidRPr="00142305">
        <w:rPr>
          <w:rFonts w:ascii="Times New Roman" w:hAnsi="Times New Roman"/>
          <w:color w:val="0070C0"/>
          <w:sz w:val="16"/>
          <w:szCs w:val="16"/>
        </w:rPr>
        <w:softHyphen/>
        <w:t>ября 1931 г. в ходе первого теста были испытаны трактор «Ком</w:t>
      </w:r>
      <w:r w:rsidRPr="00142305">
        <w:rPr>
          <w:rFonts w:ascii="Times New Roman" w:hAnsi="Times New Roman"/>
          <w:color w:val="0070C0"/>
          <w:sz w:val="16"/>
          <w:szCs w:val="16"/>
        </w:rPr>
        <w:softHyphen/>
        <w:t>мунар» 3-90, американский трактор «Катерпиллер» модели «60» и опытный образец нового трактора челябинского тракторного завода.</w:t>
      </w:r>
    </w:p>
    <w:p w14:paraId="3615A544" w14:textId="77777777" w:rsidR="003C29EC" w:rsidRPr="00142305" w:rsidRDefault="003C29EC" w:rsidP="003C29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Основные испытания были проведе</w:t>
      </w:r>
      <w:r w:rsidRPr="00142305">
        <w:rPr>
          <w:rFonts w:ascii="Times New Roman" w:hAnsi="Times New Roman"/>
          <w:color w:val="0070C0"/>
          <w:sz w:val="16"/>
          <w:szCs w:val="16"/>
        </w:rPr>
        <w:softHyphen/>
        <w:t>ны с 1 по 16 марта 1932 года трактор</w:t>
      </w:r>
      <w:r w:rsidRPr="00142305">
        <w:rPr>
          <w:rFonts w:ascii="Times New Roman" w:hAnsi="Times New Roman"/>
          <w:color w:val="0070C0"/>
          <w:sz w:val="16"/>
          <w:szCs w:val="16"/>
        </w:rPr>
        <w:softHyphen/>
        <w:t>ной станцией испытательного отдела НИАБТП УММ РККА по программе, ут</w:t>
      </w:r>
      <w:r w:rsidRPr="00142305">
        <w:rPr>
          <w:rFonts w:ascii="Times New Roman" w:hAnsi="Times New Roman"/>
          <w:color w:val="0070C0"/>
          <w:sz w:val="16"/>
          <w:szCs w:val="16"/>
        </w:rPr>
        <w:softHyphen/>
        <w:t>вержденной представителем Прави</w:t>
      </w:r>
      <w:r w:rsidRPr="00142305">
        <w:rPr>
          <w:rFonts w:ascii="Times New Roman" w:hAnsi="Times New Roman"/>
          <w:color w:val="0070C0"/>
          <w:sz w:val="16"/>
          <w:szCs w:val="16"/>
        </w:rPr>
        <w:softHyphen/>
        <w:t>тельственной комиссии. Первоочеред</w:t>
      </w:r>
      <w:r w:rsidRPr="00142305">
        <w:rPr>
          <w:rFonts w:ascii="Times New Roman" w:hAnsi="Times New Roman"/>
          <w:color w:val="0070C0"/>
          <w:sz w:val="16"/>
          <w:szCs w:val="16"/>
        </w:rPr>
        <w:softHyphen/>
        <w:t>ной целью испытаний было утвержде</w:t>
      </w:r>
      <w:r w:rsidRPr="00142305">
        <w:rPr>
          <w:rFonts w:ascii="Times New Roman" w:hAnsi="Times New Roman"/>
          <w:color w:val="0070C0"/>
          <w:sz w:val="16"/>
          <w:szCs w:val="16"/>
        </w:rPr>
        <w:softHyphen/>
        <w:t>ние типа трактора для производства на Челябинском тракторном заводе. В этой связи основное внимание ко</w:t>
      </w:r>
      <w:r w:rsidRPr="00142305">
        <w:rPr>
          <w:rFonts w:ascii="Times New Roman" w:hAnsi="Times New Roman"/>
          <w:color w:val="0070C0"/>
          <w:sz w:val="16"/>
          <w:szCs w:val="16"/>
        </w:rPr>
        <w:softHyphen/>
        <w:t>миссии сосредоточилось на тракторах «Сталинец» № 4, Sixty и КПД (25003).</w:t>
      </w:r>
    </w:p>
    <w:p w14:paraId="7771F916" w14:textId="77777777" w:rsidR="003C29EC" w:rsidRPr="00142305" w:rsidRDefault="003C29EC" w:rsidP="003C29EC">
      <w:pPr>
        <w:spacing w:after="0" w:line="240" w:lineRule="auto"/>
        <w:jc w:val="both"/>
        <w:rPr>
          <w:rFonts w:ascii="Times New Roman" w:hAnsi="Times New Roman"/>
          <w:color w:val="0070C0"/>
          <w:sz w:val="16"/>
          <w:szCs w:val="16"/>
        </w:rPr>
      </w:pPr>
    </w:p>
    <w:p w14:paraId="3908D76F" w14:textId="77777777" w:rsidR="00996162" w:rsidRPr="005E779E" w:rsidRDefault="009961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 ноября 1931</w:t>
      </w:r>
    </w:p>
    <w:p w14:paraId="233D7D3D" w14:textId="77777777" w:rsidR="00996162" w:rsidRPr="005E779E" w:rsidRDefault="009961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Опросом членов Политбюро от 26.XI.1931 г.</w:t>
      </w:r>
    </w:p>
    <w:p w14:paraId="08FA64AE" w14:textId="77777777" w:rsidR="00996162" w:rsidRPr="005E779E" w:rsidRDefault="009961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 30/2: О радиевой промышленности</w:t>
      </w:r>
    </w:p>
    <w:p w14:paraId="08F520AF" w14:textId="77777777" w:rsidR="00996162" w:rsidRPr="005E779E" w:rsidRDefault="009961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Принять следующие предложения ВСНХ:</w:t>
      </w:r>
    </w:p>
    <w:p w14:paraId="3EF39943" w14:textId="77777777" w:rsidR="00996162" w:rsidRPr="005E779E" w:rsidRDefault="009961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Тюя-Муюнский радиевый рудник.</w:t>
      </w:r>
    </w:p>
    <w:p w14:paraId="224B8851" w14:textId="77777777" w:rsidR="00996162" w:rsidRPr="005E779E" w:rsidRDefault="009961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“Союзредмету” в 1932 г. развернуть полностью глубинные разведки, изучение геологии Тюя-Муюна и его района.</w:t>
      </w:r>
    </w:p>
    <w:p w14:paraId="46B95142" w14:textId="77777777" w:rsidR="00996162" w:rsidRPr="005E779E" w:rsidRDefault="009961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Обязать Академию Наук и “Союзгеологоразведку” принять непосредственное участие в разведочных работах, выделив для этого в распоряжение Союзредмета одного геолога (Щербакова Д. И. — Академия Наук), одного радиолога (Государственный Радиевый Институт) и двух геологов (Союзгеологоразведка).</w:t>
      </w:r>
    </w:p>
    <w:p w14:paraId="4E6F35E8" w14:textId="77777777" w:rsidR="00996162" w:rsidRPr="005E779E" w:rsidRDefault="009961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Обязать ВСНХ СССР обеспечить эти работы необходимым техническим снабжением и средствами.</w:t>
      </w:r>
    </w:p>
    <w:p w14:paraId="1B73D276" w14:textId="77777777" w:rsidR="00996162" w:rsidRPr="005E779E" w:rsidRDefault="009961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Государственному Гидро-Геологическому Институту к концу II квартала 1932 г. разрешить проблему водоснабжения обогатительной фабрики и поселка в Тюя-Муюне, приступив к работе немедленно.</w:t>
      </w:r>
    </w:p>
    <w:p w14:paraId="455DAFCA" w14:textId="77777777" w:rsidR="00996162" w:rsidRPr="005E779E" w:rsidRDefault="009961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По Табашарскому месторождению.</w:t>
      </w:r>
    </w:p>
    <w:p w14:paraId="362DB7B1" w14:textId="77777777" w:rsidR="00996162" w:rsidRPr="005E779E" w:rsidRDefault="009961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САРГРУ форсировать окончание разведочных работ на Табашарском месторождении и передать их в 1932 г. Союзредмету для промышленного освоения.</w:t>
      </w:r>
    </w:p>
    <w:p w14:paraId="12ECDCF1" w14:textId="77777777" w:rsidR="00996162" w:rsidRPr="005E779E" w:rsidRDefault="009961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Союзредмету организовать быстрое технологическое изучение руд с расчетом организации производства, начиная с 1933 года.</w:t>
      </w:r>
    </w:p>
    <w:p w14:paraId="23E4C2A6" w14:textId="77777777" w:rsidR="00996162" w:rsidRPr="005E779E" w:rsidRDefault="009961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По Берекейским йодным источникам.</w:t>
      </w:r>
    </w:p>
    <w:p w14:paraId="1A0C1D85" w14:textId="77777777" w:rsidR="00996162" w:rsidRPr="005E779E" w:rsidRDefault="009961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Союзредмету немедленно приступить и окончить в 1932 г. изучение радиоактивности вод и технологии извлечения из них радия.</w:t>
      </w:r>
    </w:p>
    <w:p w14:paraId="5DD5282B" w14:textId="77777777" w:rsidR="00996162" w:rsidRPr="005E779E" w:rsidRDefault="009961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Общие мероприятия.</w:t>
      </w:r>
    </w:p>
    <w:p w14:paraId="5572E3F1" w14:textId="77777777" w:rsidR="00996162" w:rsidRPr="005E779E" w:rsidRDefault="009961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Радиевому Отделению Научно-Исследовательского Института Редких Элементов в целях окончания работ по поискам новых месторождений радиоактивных минералов провести исследование на радиоактивность коллекции руд и минералов, находящихся в научно-исследовательских институтах и Союзгеологоразведке в течение 1932 г.</w:t>
      </w:r>
    </w:p>
    <w:p w14:paraId="339F8B17" w14:textId="77777777" w:rsidR="00996162" w:rsidRPr="005E779E" w:rsidRDefault="009961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Для надлежащего руководства научно-исследовательскими работами в области радиоактивности и применения радия и в целях концентрации всей научно-исследовательской работы по радию передать Государственный Радиевый Институт в Ленинграде в ведение Института Редких Элементов на правах его филиала, пересмотрев его тематический план в сторону большего приближения к запросам промышленности.</w:t>
      </w:r>
    </w:p>
    <w:p w14:paraId="0AA7B279" w14:textId="77777777" w:rsidR="00996162" w:rsidRPr="005E779E" w:rsidRDefault="009961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Отделу Кадров ЦК ВКП(б) выделить для руководящей работы на Средне-Азиатских предприятиях Союзредмета не менее 3</w:t>
      </w:r>
      <w:r w:rsidRPr="005E779E">
        <w:rPr>
          <w:rFonts w:ascii="Times New Roman" w:hAnsi="Times New Roman"/>
          <w:color w:val="000000" w:themeColor="text1"/>
          <w:sz w:val="16"/>
          <w:szCs w:val="16"/>
        </w:rPr>
        <w:noBreakHyphen/>
        <w:t>х ответственных работников со стажем не менее 4 лет.</w:t>
      </w:r>
    </w:p>
    <w:p w14:paraId="5E767983" w14:textId="77777777" w:rsidR="00996162" w:rsidRPr="005E779E" w:rsidRDefault="009961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Сектору Кадров ВСНХ СССР выделить для той же цели горных инженеров — 5, из них один с большим стажем, горных техников — 5, геологов-разведчиков — 4, маркшейдеров — 2, работников ОЭТ — 2, работников ТНБ — 2.</w:t>
      </w:r>
    </w:p>
    <w:p w14:paraId="02208138" w14:textId="77777777" w:rsidR="00996162" w:rsidRPr="005E779E" w:rsidRDefault="009961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ВСНХ СССР командировать заграницу в IV квартале 1931 г. на cрок 6 месяцев трех работников Союзредмета для изучения состояния и техники по радиевому делу.</w:t>
      </w:r>
    </w:p>
    <w:p w14:paraId="3409E0AA" w14:textId="77777777" w:rsidR="00996162" w:rsidRPr="005E779E" w:rsidRDefault="009961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Все предприятия по добыче радиевых руд, разведки радиевых месторождений, радиевый завод и Институт Редких Элементов по снабжению и строительству приравнять к группе ударных предприятий, установив нормы снабжения прод. и промтоварами рабочих рудников и фабрик в соответствии с нормами “Цветметзолото”.</w:t>
      </w:r>
    </w:p>
    <w:p w14:paraId="79FCB0C0" w14:textId="77777777" w:rsidR="00996162" w:rsidRPr="005E779E" w:rsidRDefault="009961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Отделу Кадров ЦК ВКП(б) и сектору кадров ВСНХ СССР принять меры к обеспечению радиевых предприятий необходимыми инженерно-техническими кадрами, возвратив в эту отрасль промышленности всех, ранее работавших в ней, в частности, инженера Александрова С. П. (Гинцветмет), Щербакова Д. И. (Академия Наук).</w:t>
      </w:r>
    </w:p>
    <w:p w14:paraId="6E15A22B" w14:textId="77777777" w:rsidR="00996162" w:rsidRPr="005E779E" w:rsidRDefault="009961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ОГПУ разработать вопрос о целесообразности обеспечения Тюя-Муюнского рудника рабочей силой в порядке организации при руднике Лагеря Особого назначения.</w:t>
      </w:r>
    </w:p>
    <w:p w14:paraId="4EFB4587" w14:textId="77777777" w:rsidR="00996162" w:rsidRPr="005E779E" w:rsidRDefault="009961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Признать возможным увеличение партмаксимума на 50% ответработникам, работающим в отдаленных предприятиях Союзредмета.</w:t>
      </w:r>
    </w:p>
    <w:p w14:paraId="18A73A44" w14:textId="77777777" w:rsidR="00996162" w:rsidRPr="005E779E" w:rsidRDefault="009961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10. Комиссии т. Краснопольского одновременно с докладом о проделанной на рудниках работе, представить список выявившихся конкретных мероприятий, обеспечивающих дальнейшее развертывание радиевой промышленности.</w:t>
      </w:r>
    </w:p>
    <w:p w14:paraId="6272FD98" w14:textId="77777777" w:rsidR="00996162" w:rsidRPr="005E779E" w:rsidRDefault="009961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(18118).</w:t>
      </w:r>
    </w:p>
    <w:p w14:paraId="7077A794" w14:textId="77777777" w:rsidR="00996162" w:rsidRPr="005E779E" w:rsidRDefault="00996162" w:rsidP="000B7A6C">
      <w:pPr>
        <w:spacing w:after="0" w:line="240" w:lineRule="auto"/>
        <w:jc w:val="both"/>
        <w:rPr>
          <w:rFonts w:ascii="Times New Roman" w:hAnsi="Times New Roman"/>
          <w:color w:val="000000" w:themeColor="text1"/>
          <w:sz w:val="16"/>
          <w:szCs w:val="16"/>
        </w:rPr>
      </w:pPr>
    </w:p>
    <w:p w14:paraId="3964C02B" w14:textId="77777777" w:rsidR="00996162" w:rsidRPr="005E779E" w:rsidRDefault="00996162"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26 ноября 1931 г.</w:t>
      </w:r>
    </w:p>
    <w:p w14:paraId="692CFE92" w14:textId="77777777" w:rsidR="00996162" w:rsidRPr="005E779E" w:rsidRDefault="00996162"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Доклад председателя ВЦСПС Н. М. Шверника на пленуме Всесоюзного межсекционного бюро инженерно-технических секций. 26 ноября 1931 г.</w:t>
      </w:r>
    </w:p>
    <w:p w14:paraId="7E2F15C8" w14:textId="77777777" w:rsidR="00996162" w:rsidRPr="005E779E" w:rsidRDefault="00996162"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Источник: </w:t>
      </w:r>
    </w:p>
    <w:p w14:paraId="6F638553" w14:textId="77777777" w:rsidR="00996162" w:rsidRPr="005E779E" w:rsidRDefault="009961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7FEC21A" w14:textId="77777777" w:rsidR="00996162" w:rsidRPr="005E779E" w:rsidRDefault="00996162"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Архив: </w:t>
      </w:r>
    </w:p>
    <w:p w14:paraId="63695083" w14:textId="77777777" w:rsidR="00996162" w:rsidRPr="005E779E" w:rsidRDefault="0099616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Опубликовано в: Инженерный труд. 1931. № 22-23. С. 658-664. («Доклад генерального секретаря ВПСПС тов. Н. М, Шверника ВРЕДИТЕЛЬСТВО И ЗАДАЧИ ИТС»)</w:t>
      </w:r>
    </w:p>
    <w:p w14:paraId="5A428F19" w14:textId="77777777" w:rsidR="00996162" w:rsidRPr="005E779E" w:rsidRDefault="00996162" w:rsidP="000B7A6C">
      <w:pPr>
        <w:pStyle w:val="rteright"/>
        <w:spacing w:before="0" w:after="0"/>
        <w:jc w:val="both"/>
        <w:rPr>
          <w:color w:val="000000" w:themeColor="text1"/>
          <w:sz w:val="16"/>
          <w:szCs w:val="16"/>
        </w:rPr>
      </w:pPr>
      <w:r w:rsidRPr="005E779E">
        <w:rPr>
          <w:color w:val="000000" w:themeColor="text1"/>
          <w:sz w:val="16"/>
          <w:szCs w:val="16"/>
        </w:rPr>
        <w:t>26 ноября 1931 г.</w:t>
      </w:r>
    </w:p>
    <w:p w14:paraId="4678A64C" w14:textId="77777777" w:rsidR="00996162" w:rsidRPr="005E779E" w:rsidRDefault="00996162" w:rsidP="000B7A6C">
      <w:pPr>
        <w:pStyle w:val="ae"/>
        <w:spacing w:before="0" w:after="0"/>
        <w:jc w:val="both"/>
        <w:rPr>
          <w:color w:val="000000" w:themeColor="text1"/>
          <w:sz w:val="16"/>
          <w:szCs w:val="16"/>
        </w:rPr>
      </w:pPr>
      <w:r w:rsidRPr="005E779E">
        <w:rPr>
          <w:color w:val="000000" w:themeColor="text1"/>
          <w:sz w:val="16"/>
          <w:szCs w:val="16"/>
        </w:rPr>
        <w:t>ДОКЛАД ТОВ. ШВЕРНИКА НА IV-м ПЛЕНУМЕ ВМБИТ</w:t>
      </w:r>
    </w:p>
    <w:p w14:paraId="1D9080E3" w14:textId="77777777" w:rsidR="00996162" w:rsidRPr="005E779E" w:rsidRDefault="00996162" w:rsidP="000B7A6C">
      <w:pPr>
        <w:pStyle w:val="ae"/>
        <w:spacing w:before="0" w:after="0"/>
        <w:jc w:val="both"/>
        <w:rPr>
          <w:color w:val="000000" w:themeColor="text1"/>
          <w:sz w:val="16"/>
          <w:szCs w:val="16"/>
        </w:rPr>
      </w:pPr>
      <w:r w:rsidRPr="005E779E">
        <w:rPr>
          <w:color w:val="000000" w:themeColor="text1"/>
          <w:sz w:val="16"/>
          <w:szCs w:val="16"/>
        </w:rPr>
        <w:t>«ВРЕДИТЕЛЬСТВО И ЗАДАЧИ ИТС»</w:t>
      </w:r>
    </w:p>
    <w:p w14:paraId="4BAD3EAF"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Товарищи, IV-й расширенный Пленум ВМБИТ происходит в момент, когда внутреннее положение СССР и международная обстановка характеризуются усилением социалистических позиций пролетариата. Не случайно, что именно теперь обостряется классовая борьба внутри страны и идет лихорадочная подготовка международного империализма к интервенции против нашей страны строящегося социализма. Наглядным показателем этого является происходящий сейчас в Москве процесс Промышленной вредительской партии, отражающий борьбу наших внешних и внутренних врагов, направленную против социалистического строительства.</w:t>
      </w:r>
    </w:p>
    <w:p w14:paraId="504A9E95"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СССР уже вступил в полосу развернутого наступления социализма по всему фронту, сопровождающегося выкорчевыванием остатков капитализма в нашей стране. Нелепо было бы думать, что умирающие классы будут без боя сдавать свои позиции.</w:t>
      </w:r>
    </w:p>
    <w:p w14:paraId="59B2A041"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На каждом участке социалистического строительства и в области промышленности и в области сельского хозяйства, мы встречаем ощетинившегося врага, открыто или замаскировано подрывающего это строительство.</w:t>
      </w:r>
    </w:p>
    <w:p w14:paraId="34BACD8F"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Рабочий класс в союзе с основными массами крестьянства, под руководством Коммунистической партии, ломая все преграды на своем пути, с успехом осуществляет свое наступление на всех участках социалистического строительства. Красноречивым доказательством наших успехов является осуществление планов первых двух лет пятилетки, осуществление величайшей экономической и политической программы, намеченной нашей партией.</w:t>
      </w:r>
    </w:p>
    <w:p w14:paraId="7D6CA8A8"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Первые два года пятилетки показали, что этап пройден пролетариатом и трудящимися СССР, несмотря на все трудности, с хорошим результатом. Сейчас нет ни одной страны в мире, которая могла бы похвастаться такими же темпами, которых достигли пролетариат и трудящиеся Советского Союза в области развертывания промышленности и сельского хозяйства.</w:t>
      </w:r>
    </w:p>
    <w:p w14:paraId="4C8F40B2"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Успехи первых двух лет пятилетки обязывают нас обеспечить дальнейшее победоносное наступление пролетариата СССР, создав необходимые условия для осуществления 3-го года пятилетки. 3-й год будет решающим. В [19]31 г. должны вступить в эксплоатацию ряд крупнейших предприятий тяжелой индустрии, которые подведут новую мощную базу дальнейшего развертывания промышленности. Работа новых предприятий даст возможность значительного освобождения нашего строительства в техническом и экономическом отношении от зависимости капиталистических стран.</w:t>
      </w:r>
    </w:p>
    <w:p w14:paraId="2EB1DCAF"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Мы уже вплотную подошли к ликвидации последнего оплота капитализма, класса кулаков, на базе сплошной коллективизации. Огромны наши достижения (я не буду здесь приводить цифр потому, что аудитория совершенно достаточно квалифицированная) и в области перестройки сельского хозяйства. Не отметить этих достижений мы не можем потому, что именно вокруг перестройки сельского хозяйства на базе коллективизации больше всего было проявлено неверия как со стороны правых и «левых» оппортунистов, внутри партии.</w:t>
      </w:r>
    </w:p>
    <w:p w14:paraId="786BEE40"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Однако успехи наши в области развертывания коллективизации сельского хозяйства, когда уже свыше 40 % индивидуальных бедняцко-середняцких хозяйств охвачено колхозами, опрокидывают надежды наших врагов. У нас уже имеется целый ряд районов сплошной коллективизации, ряд прекраснейших отдельных колхозов и коммун, которые являются в глазах широких крестьянских масс лучшими агитаторами преимущества крупного хозяйства перед мелким, индивидуальным крестьянским хозяйством. У нас налицо все стимулы для того, чтобы решительнее развивать дальнейшую работу в области коллективизации.</w:t>
      </w:r>
    </w:p>
    <w:p w14:paraId="5FA014CB"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Наши успехи достигнуты исключительно потому, что рабочий класс и трудящиеся СССР с огромным энтузиазмом осуществляют на практике генеральную линию нашей партии. Успехами нашего наступательного движения опрокидываются все кривотолки врагов пролетариата и «пророческие» предсказания правых и левых оппортунистов о «высоких» темпах развертывания промышленности и об осторожности, которую они рекомендуют проявлять в отношении развертывания коллективизации и ликвидации кулачества, как класса.</w:t>
      </w:r>
    </w:p>
    <w:p w14:paraId="1B4AA037"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Наше наступательное движение сопровождается ожесточенной классовой борьбой. В деревне против нас выступает кулак. Лучшей же иллюстрацией классовой борьбы &lt;на предприятии&gt; является происходящий ныне процесс Промышленной вредительской партии, держащей ответ перед судом пролетариата за разрушительную работу, которую они в течении ряда лет совершали.</w:t>
      </w:r>
    </w:p>
    <w:p w14:paraId="18F12A1C"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Размах вредительской деятельности был огромен. Все их мероприятия были направлены к тому, чтобы довести нашу страну до полной экономической катастрофы. Не удалось им это только потому, что наше социалистическое строительство осуществляется миллионными массами рабочих и трудящихся СССР, которые несмотря на все трудности, самоотверженно и с огромным энтузиазмом борятся на всех участках социалистического строительства. Только благодаря этим обстоятельствам последствия вредительства не нанесли и не могли нанести того вреда, который пытались причинить Промпартия и др. вредительские организации. На процессе сами вредители говорят, что их работа наталкивалась на величайшую активность и энтузиазм рабочего класса, железными тисками пролетарских рук парализовавших маневры и ухищрения вредителей.</w:t>
      </w:r>
    </w:p>
    <w:p w14:paraId="76E93CA0"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Все надежды вредителей на внутренние силы контр-революции постоянно сметались сопротивлением широчайших рабочих масс. Не случайно поэтому поставлен вопрос об интервенции империалистических государств. “Внутренних к/p сил недостаточно, для них необходима интервенция, чтобы при ее посредстве сорвать социалистическое строительство.</w:t>
      </w:r>
    </w:p>
    <w:p w14:paraId="6CC7B8C3"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Бешенная ненависть, которую питают к нам капиталистические государства толкает последние на всякие авантюры, на всевозможные ухищрения, чтобы сорвать наше социалистическое строительство, в успехе которого они видят гибель капиталистического строя. Вам из газет известно, что сейчас ведется ожесточеннейшая кампания во всех капиталистических странах против так называемого нашего советского демпинга. Не случайно, что кампания эта наиболее широко развернулась именно во Франции, где во главе правительства стоят и стояли наиболее матерые империалисты и враги Советского Союза, вроде Пуанкаре и Бриана. Для чего им понадобилась история с «советским демпингом»? Для того, чтобы подготовить общественное мнение к необходимости интервенции в страну Советов. Они понимают, что говорить открыто об интервенции против Советского Союза невозможно и пытаются Подготовиться к ней путем соответствующего общественного мнения и накопления сил. В средствах же они не стесняются. Страх перед успехами социалистического строительства настолько велик, что все средства, которые только имеются в распоряжении капитализма пущены в ход. Центр внимания всех прикован к тому, чтобы помешать выполнению пятилетки, чтобы подорвать экономическую базу строительства социализма. В осуществлении пятилетки капитализм видит неимоверный рост экономической мощи народного хозяйства СССР, а следовательно и укрепление ее обороноспособности. С осуществлением пятилетки уже трудно будет задушить Советский Союз. В этом можно достаточно убедиться, взглянув лишь на страницы газет и показания, которые даны проф. Рамзиным на процессе. Из них видно, что интервенция намечалась на 1930 г., когда результаты вредительской деятельности будут наиболее ощутимы. Когда же осуществлению этого помешало усиление темпов соцстроительства, срок интервенции переносится на 1931 г. К этому времени господа капиталисты, путем распространения всяких сплетен о Советском Союзе, собирались подготовить первоначально экономическую блокаду против Советского Союза, чтоб сорвать пятилетку, а затем уже и обеспечить путь для интервенции. Вот отчего так усиленно развернулась пропаганда о так называемом советском демпинге. Они хотят лишить нас возможности продавать наши товары за границу, и тем самым приобретать необходимое для соц. строительства оборудование. Другими словами, объявляют нам экономическую блокаду. Сами же под шумок осуществляют 100 % демпинг. Франция, например, продает железо по цене на 10-70 % ниже против цен внутри страны. Америка на мировом рынке продает проволоку по цене 117 марок, а внутри страны по 190 марок за тонну. В Бельгии гвозди на внутреннем рынке стоят 212 марок, а в других странах 117 марок. Такое же положение в Англии, Германии и целом ряде других капиталистических стран. И об этом молчат господа капиталисты. Никто не пытается обвинять капиталистические страны, когда они осуществляют настоящий демпинг. Острие же целиком направлено против Советского Союза. Говорить же всерьез о советском демпинге не приходится, ибо всем очевидна вздорность таких рассуждений.</w:t>
      </w:r>
    </w:p>
    <w:p w14:paraId="45080DBF"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Но дело одним демпингом не ограничивается. За последнее время совершенно открыто происходит сговор фашистов Германии и Франции, за создание военного союза, острие которого целиком направлено против СССР. Французские фашисты обещают фашистам Германии огромные уступки лишь для того, чтобы еще больше усилить блок империалистических государств против Советского Союза.</w:t>
      </w:r>
    </w:p>
    <w:p w14:paraId="61042A6E"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Твердолобые в английском парламенте опять начали атаки, направленные к срыву торговых и дипломатических отношений с Советским Союзом.</w:t>
      </w:r>
    </w:p>
    <w:p w14:paraId="77DCBA30"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Не случайно заворочались и подозрительно путешествуют друг с другом генеральные штабы Польши и Румынии.</w:t>
      </w:r>
    </w:p>
    <w:p w14:paraId="69DFC9C8"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 xml:space="preserve">И все это пытаются замаскировать пустой болтовней о разоружении. Наш представитель на сессии подготовительной комиссии Нарком Иностранных Дел тов. Литвинов сорвал маски с представителей капиталистических стран. В штыки встретили они предложения тов. Литвинова об установлении пределов вооружений. Этим лишний раз было подчеркнуто нежелание капиталистических стран действительно разоружиться и разоблачены фашистские разговорчики о разоружении. Ведь </w:t>
      </w:r>
      <w:r w:rsidRPr="005E779E">
        <w:rPr>
          <w:color w:val="000000" w:themeColor="text1"/>
          <w:sz w:val="16"/>
          <w:szCs w:val="16"/>
        </w:rPr>
        <w:lastRenderedPageBreak/>
        <w:t>ни для кого не секрет, что под шумок о разоружительных конференциях идет лихорадочное вооружение, растут военные бюджеты Англии, Франции, Польши и других капиталистических стран. Острие всех этих приготовлений, главным образом, направляется против Советского Союза.</w:t>
      </w:r>
    </w:p>
    <w:p w14:paraId="494CF1B8"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В свете этих международных событий особенно должна быть отмечена огромная заслуга нашего верного и славного стража революции ОГПУ. (Аплодисменты). Своевременное раскрытие вредительских организаций, произведенное ОГПУ[,] вовремя прекратило разрушительную деятельность вредителей и отрубило лапы международного империализма внутри нашей страны.</w:t>
      </w:r>
    </w:p>
    <w:p w14:paraId="27E2078C"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Не случайно, товарищи, злейший враг Советского Союза Пуанкаре выступил в последнее время с несколькими статьями, направленными против СССР. Пуанкаре взял на себя «благородную» миссию подготовить общественное мнение буржуазии и призыв капиталистических стран к войне против Советского Союза. Он прямо говорит об опасности, которую представляет для капиталистических стран дальнейшее укрепление Советского Союза. Особенно он проявляет большое недовольство постановлением Советского правительства в связи с ликвидацией безработицы. Он мечет гром и молнии против страны советов. Пуанкаре пишет, что декрет устанавливает принудительный труд на огромном протяжении советской территории. Пуанкаре считает, что декрет советского правительства должен быть известен всему «цивилизованному миру» для того чтобы все «цивилизованные народы знали, как понимают советы личную свободу».</w:t>
      </w:r>
    </w:p>
    <w:p w14:paraId="25484853"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В этой части статьи мы должны согласиться с Пуанкаре. Мир действительно должен знать, что в СССР — стране диктатуры пролетариата, безработица ликвидирована. В первую очередь это должны знать 25 мил. безработных Англии, Германии, С. Штатов, Франции, Польши и др. «цивилизованных» стран. Об этом же должен знать и весь рабочий класс «цивилизованных» стран и пролетариат колоний, находящихся под гнетом капитализма.</w:t>
      </w:r>
    </w:p>
    <w:p w14:paraId="610B500C"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Почему же недоволен Пуанкаре? Да потому, что он видит, как СССР успешно осуществляет свое социалистическое строительство, в то время, как в «цивилизованных» странах жесточайший экономический кризис.</w:t>
      </w:r>
    </w:p>
    <w:p w14:paraId="0A0AC989"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Он наглядно убеждается в преимуществах социалистической системы над капиталистической. Он видит, что в то время как капиталистические страны переживают жесточайший экономический кризис, в связи с чем падает производство продукции, увеличивается безработица, снижается зарплата, в СССР огромный размах строительства, повышается жизненный уровень трудящихся, ликвидирована безработица.</w:t>
      </w:r>
    </w:p>
    <w:p w14:paraId="5AE232D5"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В Германии напр. выработка стали в сентябре т. г. упала на 34 % против прошлого года, в Америке на 36 %.</w:t>
      </w:r>
    </w:p>
    <w:p w14:paraId="32C4F9B6"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Производственные механизмы капиталистических стран не используются с полной нагрузкой. В Америке напр. домны используются лишь на 60 % их производительности. Вы видите, что даже такая передовая в смысле капиталистической организованности страна, каковой является Америка, не в состоянии расправить производственные крылья и полностью использовать свои технические возможности.</w:t>
      </w:r>
    </w:p>
    <w:p w14:paraId="49AC76E9"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А что происходит в Советском Союзе? Как раз обратное явление. В первые два года пятилетки мы достигли колоссальных успехов. Несмотря на все трудности из года в год увеличивается выпуск продукции, растет основной капитал промышленности, перестраивается сельское хозяйство, ликвидирован[а] безработица, улучшается культурно-бытовое и материальное положение рабочих, миллионные массы пролетариата и трудящихся практически изо дня в день ведут борьбу на всех фронтах социалистического строительства.</w:t>
      </w:r>
    </w:p>
    <w:p w14:paraId="785AA088"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Экономический кризис[,] переживаемый калит[алистическими] странами, сопровождающийся увеличением безработицы, ухудшение материального положения пролетариата, начинает перерастать в кризис политический. В последнее время мы уже видим целый ряд ярких политических выступлений пролетариата в отдельных капиталистических странах.</w:t>
      </w:r>
    </w:p>
    <w:p w14:paraId="47CD8415"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Всем очевидно памятна последняя стачка металлистов Германии, в которой участвовало до 1340 тыс. рабочих. Из-за предательства социал- фашистских лакеев буржуазии, стачка была сорвана, но пролетариат Берлина ответил на это созданием своих красных революционных союзов металлистов. Памятны вам и выборы в Германский рейхстаг, когда берлинский пролетариат отдав свои голоса компартии, проголосовал тем самым за Советскую Германию. Мы наблюдаем огромный подъем революционной волны в Китае, Индии и др. полуколониальных странах.</w:t>
      </w:r>
    </w:p>
    <w:p w14:paraId="3250EB14"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Страх перед грядущей революцией и заставляет кричать о «фанатиках из СССР» таких ярых империалистов, как Пуанкаре.</w:t>
      </w:r>
    </w:p>
    <w:p w14:paraId="655722C0"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Отсюда и та лихорадочная подготовка, которую ведут они против нашей страны Советов. Капитализм желая разрешить кризис ищет выхода. И единственный путь он находит в интервенции в наш Советский Союз. Капитализм торопится, ибо он видит что успешное осуществление социалистического строительства отнимает у них последние надежды удушения единственной в мире социалистической республики?</w:t>
      </w:r>
    </w:p>
    <w:p w14:paraId="5ADCFA56"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Зараза, про которую пишет в своих статьях Пуанкаре распространяется изо дня в день, несмотря на все ухищрения империализма. Пролетариат всего мира на своей спине убеждается в «прелестях» капиталистической системы и видит свое спасение только в свержении капитализма.</w:t>
      </w:r>
    </w:p>
    <w:p w14:paraId="6A7CA63B"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Но в предсмертной агонии враг идет на всякие авантюры, лишь бы найти выход и спасение.</w:t>
      </w:r>
    </w:p>
    <w:p w14:paraId="4B022257"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Поэтому мы должны быть бдительны.</w:t>
      </w:r>
    </w:p>
    <w:p w14:paraId="2BEC3594"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Поэтому нам необходимо с особой внимательностью отнестись к происходящему сейчас процессу «Пром. партии», надо внимательно изучить все их планы, чтобы впредь предупредить всякую возможность вредительства.</w:t>
      </w:r>
    </w:p>
    <w:p w14:paraId="1FD03DAB"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Промышленная партия ставила своей задачей создать почву для интервенции путем создания экономических кризисов в отдельных отраслях промышленности и народного хозяйства, подготовив тем самым, предпосылки для интервенции международного империализма в СССР.</w:t>
      </w:r>
    </w:p>
    <w:p w14:paraId="12DA86DD"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Промышленная партия, состоя в связи с международным капитализмом^] деятельность свою[,] главным образом, распространяла на отрасли промышленности, связанные в прошлом с международным капиталом. Объектами вредительской деятельности были все области промышленности и земледелия. Нет[,] кажется, ни одной отрасли народного хозяйства, где верхушка буржуазной, технической интеллигенции, связанная корнями с бывшими капиталистами, не вела своей разрушительной работы. Эта верхушка, состоявшая из бывш. акционеров и людей[,] бывших в прив[и]л[е]гированном положении у своих хозяев, установили связь с ними и генеральными штабами некоторых империалистических стран, стремясь подорвать мощь Советского Союза и свергнуть диктатуру пролетариата. Не случайно поэтому центр своей деятельности вредители сосредоточили, главным образом, в нефтяной промышленности, где хозяйствовал англо-французский капитал, в черной металлургии и угле, где хозяйствовал франко-бельгийский капитал.</w:t>
      </w:r>
    </w:p>
    <w:p w14:paraId="64749989"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Какие же методы борьбы применялись вредительскими элементами. Основной задачей они ставили длительное омертвление капиталовложений, путем создания диспропорции между отдельными отраслями народного хозяйства, а также замедление развертывания основных отраслей промышленности, без которых невозможно формировать производство средств производства.</w:t>
      </w:r>
    </w:p>
    <w:p w14:paraId="68330105"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Возьмем выработку чугуна. Вредители предполагали к концу пятилетки ограничить добычу 7 мил. тонн чугуна.</w:t>
      </w:r>
    </w:p>
    <w:p w14:paraId="07BB1E5F"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В результате борьбы с вредителями, в результате непосредственного практического руководства Центрального Комитета партии цифра производства чугуна к концу пятилетки увеличена до 17 мил. тонн. Разница в два с половиной раза против первоначальной наметки, которую выдвигали вредители, как максимальную.</w:t>
      </w:r>
    </w:p>
    <w:p w14:paraId="3088D829"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Такая же картина и по нефти. По пятилетнему плану принятому съездом Советов цифра добычи нефти была определена в размере 2223 мил. тонн. Цифра в 22-23 мил. тонн, как заявляют целый ряд работников нефтяной промышленности, принята при ожесточенной борьбе против вредителей, которые настаивали на 16-17 мил. тонн добычи, как максимальном количестве.</w:t>
      </w:r>
    </w:p>
    <w:p w14:paraId="0CD978D6"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Теперь же получается, что пятилетний план по добыче нефти, утвержденный съездом Советов выполнен в 2</w:t>
      </w:r>
      <w:r w:rsidRPr="005E779E">
        <w:rPr>
          <w:color w:val="000000" w:themeColor="text1"/>
          <w:sz w:val="16"/>
          <w:szCs w:val="16"/>
          <w:vertAlign w:val="superscript"/>
        </w:rPr>
        <w:t>1</w:t>
      </w:r>
      <w:r w:rsidRPr="005E779E">
        <w:rPr>
          <w:color w:val="000000" w:themeColor="text1"/>
          <w:sz w:val="16"/>
          <w:szCs w:val="16"/>
        </w:rPr>
        <w:t>/</w:t>
      </w:r>
      <w:r w:rsidRPr="005E779E">
        <w:rPr>
          <w:color w:val="000000" w:themeColor="text1"/>
          <w:sz w:val="16"/>
          <w:szCs w:val="16"/>
          <w:vertAlign w:val="subscript"/>
        </w:rPr>
        <w:t>2</w:t>
      </w:r>
      <w:r w:rsidRPr="005E779E">
        <w:rPr>
          <w:color w:val="000000" w:themeColor="text1"/>
          <w:sz w:val="16"/>
          <w:szCs w:val="16"/>
        </w:rPr>
        <w:t>–3 года. Недавно правительство рассмотрев вопрос по существу наметило цифру добычи к концу пятилетки в 46 мил. тонн, т. е. в 2 раза больше против первоначальной цифры, утвержденной съездом Советов.</w:t>
      </w:r>
    </w:p>
    <w:p w14:paraId="0DFD585A"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По углю деятельность вредителей была направлена по линии замедления добычи особенно в районах Подмосковном, Кузнецком и в Донбассе. С этой целью увеличивали количество бездействующих шахт, медленно развертывали строительство новых и задерживали капитальные ремонты старых, искусственно ухудшали жилищные условия, создавали кризис в электроснабжении Донбасса, Кузбасса и др. угольных районов.</w:t>
      </w:r>
    </w:p>
    <w:p w14:paraId="4B33276C"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Особое внимание я хотел бы обратить на строительство Штеровской станции. Смотрите, сколько лет она строилась. Ведь делалось это на глазах у всех. Как реагировали на это явление специалисты? Мы к сожалению не слышали своевременно сигнализации от специалистов во время строительства. Сейчас, когда факты вредительской работы раскрыты, некоторые делают хорошую мину при плохой игре, заявляя: «а я тогда говорил и т. д.» Грош цена тому, что они говорили. Не важно то, что они говорили, а важно то, что они сделали, чтобы предупредить вредительство.</w:t>
      </w:r>
    </w:p>
    <w:p w14:paraId="047C32F4"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Огромный размер вредительство приняло на транспорте, в текстильной промышленности, электропромышленности и др. отраслях народного хозяйства.</w:t>
      </w:r>
    </w:p>
    <w:p w14:paraId="2BBB7084"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Анализируя непосредственную работу вредительской организации, нам надо усилить нашу классовую бдительность и наметить такие практические мероприятия в работе, которые бы укрепили на всех участках классовые позиции пролетариата и таким образом исключили возможность малейшего развития вредительской работы.</w:t>
      </w:r>
    </w:p>
    <w:p w14:paraId="50D8426E"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Классовый враг не сдаст своих позиций без боя, а будет изыскивать пути, чтобы завуалировать свою борьбу, и наносить удар за ударом нашему социалистическому строительству. В этом вся механика классовой борьбы. Никакими инструкциями, никакими контрольными] цифрами не ликвидируем вредительства. Если была бы хоть какая[-]нибудь возможность написать документ, который гарантировал бы от вредительской работы, то поверьте, мы сумели бы и очень хорошо написали бы такой документ. Но бумагой и словами не ликвидируешь вредительства. Только делом, непосредственной работой каждого на своем участке можно будет ликвидировать последствия и предупредить возможность дальнейшего вредительства. Классовый враг будет сражаться не на жизнь, а на смерть. Корни вредительства в промышленности и в сельском хозяйстве еще не выкорчеваны и классовые бои предстоят нам еще, как внутри страны, так и с зарубежным капитализмом.</w:t>
      </w:r>
    </w:p>
    <w:p w14:paraId="137964EF"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Чем же объяснить тот факт, что вредительство протекавшее значительный промежуток времени оставалось так долго нераскрытым? Объяснить тем что мы проглядели, было бы совершенно неправильным. Объяснять так, это значит не понимать переживаемой нами эпохи реконструктивного периода, не понимать того, что новое[,] приходящее на смену отживающему, внедряется путем «кровавой и бескровной борьбы».</w:t>
      </w:r>
    </w:p>
    <w:p w14:paraId="3321D8AD"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 xml:space="preserve">Кто виноват в том, что своевременно не сигнализировал о наличии вредительства? Некоторые товарищи говорят «ВМБИТ виноват» и тут же делают вывод: «распустить ВМБИТ». Я считаю, что такая постановка в корне неправильна. Если бы так стоял вопрос, что роспуском ВМБИТ был бы разрешен вопрос о полной </w:t>
      </w:r>
      <w:r w:rsidRPr="005E779E">
        <w:rPr>
          <w:color w:val="000000" w:themeColor="text1"/>
          <w:sz w:val="16"/>
          <w:szCs w:val="16"/>
        </w:rPr>
        <w:lastRenderedPageBreak/>
        <w:t>ликвидации вредительства, то поверьте мы бы ВМБИТ распустили, ни минуту об этом не задумываясь. Но еще раз повторяю, что не в роспуске ВМБИТа, ОМБИТов и ИТС дело. Надо глубже смотреть — прямо в корень зла. Надо понять сущность дела и ту механику классовой борьбы, которая сейчас ведется на всех участках социалистического строительства. В реконструктивный период, когда мы создаем новую социалистическую базу, когда мы пересматриваем и уничтожаем последние устои капитализма, ставя своей задачей «догнать и перегнать в технико-экономическом отношении» передовые капиталистические страны, все враждебные нам классы ощетиниваются, отчаянно сопротивляются, ибо в успешном осуществлении нашего строительства они теряют окончательную надежду на возврат старого. Отсюда понятны должны быть для каждого причины вредительства, отсюда понятны для каждого обострение классовой борьбы. «Объяснять все зевком — это значит не понять сути дела», как правильно сказал тов. Сталин. Надо понять те взаимоотношения, которые создаются на почве экономического роста нашего Советского Союза[,] и причины классовой борьбы и тогда станет совершенно ясным вопрос и о причинах вредительства.</w:t>
      </w:r>
    </w:p>
    <w:p w14:paraId="34823300"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Товарищи, прав был тов. Сталин, когда он после шахтинского процесса, на пленуме ЦК сделал такой вывод[:] «Было бы глупо предполагать, что международный капитал оставит нас в покое. Классы существуют, международный капитал существует и он не может спокойно смотреть на развитие страны строящегося социализма. Он будет стараться впредь ослабить нашу хозяйственную мощь путем невиданной, не всегда заметной, но довольно внушительной экономической интервенции, организуя вредительство, подготовляя всякие кризисы в тех или иных отраслях промышленности и облегчая тем самым возможность будущей военной интервенции» (Сталин).</w:t>
      </w:r>
    </w:p>
    <w:p w14:paraId="01EB4BCA"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И этот вывод в полной мере подтверждается происходящими ныне событиями. Классовый враг[,] не брезгуя никакими средствами и прикрываясь лицемерием, влезает в доверие рабочего класса и массы инженерно-технических работников. Вредители пробрались даже в составы руководящих органов инженерно-технических секций. На одном из таких вредителей, всем вам известном бывшем председателе ВМБИТа Шеине, я хочу несколько остановиться. Как выяснилось на процессе Шеин выступал в качестве общественного обвинителя шахтинцев по поручению «Промпартии». Как низко пал этот представитель вредительской верхушки специалистов, связанный с буржуазией, видно по отдельным цитатам его речи на процессе. В обвинительной речи на шахтинском процессе он заявил: «Сидящие здесь на скамье подсудимых продавали интересы народа, среди которого они выросли и из недр которого они вышли. Они были цепными собаками капитализма. Они хотели обезобразить лицо нашей промышленности, они хотели вызвать смерть рабочего класса».</w:t>
      </w:r>
    </w:p>
    <w:p w14:paraId="3AC72E1E"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Скажите, можно ли придумать какое-нибудь название этому факту? (С мест — провокация). Это еще слабо. Вот на что способен враг лишь-бы остаться незамеченным. Здесь спрашивают, почему шахтинцы его не выдали? Да потому, что принцип построения промышленной партии был цепочечным, т. е. по каждой отдельной отрасли промышленности существовала своя самостоятельная вредительская цепь организаций, при чем одна отрасль промышленности не знала участников вредительской работы другой отрасли. Поэтому вредитель химической промышленности Шеин выступал не боясь быть разоблаченным на процессе вредителей шахтинцев.</w:t>
      </w:r>
    </w:p>
    <w:p w14:paraId="0641156A"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Принцип построения организации был таким, что одна цепочка людей делала свою вредительскую работу, другая свою и лишь небольшое количество членов Центрального Комитета координировали всю вредительскую деятельность.</w:t>
      </w:r>
    </w:p>
    <w:p w14:paraId="09DF25D4"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Поэтому так легко Шеин мог говорить: «если бы мне задали вопрос — какой худший вид преступника можно вообразить себе? Не зная процесса, я бы задумался, но теперь скажу: смотрите на них, контрреволюционеров Донбасса».</w:t>
      </w:r>
    </w:p>
    <w:p w14:paraId="50BAF0D5"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Как ловко этот классовый враг не стесняясь в выражениях в отношении своих соучастников искуссно прикрываясь именем честного специалистов, в тоге общественного обвинителя смог обмануть всех и вся, чтоб втереться в доверие рабочего класса и основной массы инженерно-технических работников.</w:t>
      </w:r>
    </w:p>
    <w:p w14:paraId="2EB60BC6"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Я думаю, что это чрезвычайно важный эпизод, мимо которого мы не можем пройти.</w:t>
      </w:r>
    </w:p>
    <w:p w14:paraId="18EE7017"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Мне пришлось слышать много разговоров о том: как же ВМБИТ терпел такого руководителя, как Шеин, как он его не разоблачил? Сейчас нужно распустить весь ВМБИТ.</w:t>
      </w:r>
    </w:p>
    <w:p w14:paraId="0E4EEEEF"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Товарищи, такая постановка, как я уже говорил, в корне неправильна. Ведь ВМБИТ организация непосредственно связанная с широкими массами инженерно-технических работников. Так вот, кто[-]либо из вас в течении всего этого времени давал ли хоть какой[-]то повод или намек руководителям ВМБИТ или профсоюзам, что Шеин является вредителем? К сожалению у нас никаких данных об этом не было. И лишь после того как Шеина арестовали и факт о вредительстве сделался достоянием широких рабочих масс, тогда находятся одиночки, которые говорят, что ВМБИТ проглядел историю с Шейном, надо его распустить.</w:t>
      </w:r>
    </w:p>
    <w:p w14:paraId="053112BB"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Если бы мы стали на этот путь, то нам пришлось бы распустить большинство хозяйственных аппаратов, в которых свили себе гнезда вредители. Конечно вина и ВМБИТа и хозяйственных органов огромна.</w:t>
      </w:r>
    </w:p>
    <w:p w14:paraId="46A8437C"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Однако выводов о роспуске всех их мы не делаем потому, что не только в этом существе вопроса, а дело в обострении классовой борьбы и тех формах, которые она принимает.</w:t>
      </w:r>
    </w:p>
    <w:p w14:paraId="4031C4B0"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Работа всех наших профсоюзных, секционных организаций и хозяйственных органов не поставлена еще так, чтобы можно было во время обнаружить вредителей, разоблачить и парализовать из деятельность.</w:t>
      </w:r>
    </w:p>
    <w:p w14:paraId="50536935"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Поэтому я считаю, что говорить о роспуске ВМБИТа, как конкретного носителя зла, совершенно неправильно.</w:t>
      </w:r>
    </w:p>
    <w:p w14:paraId="2AF7E4DB"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История с Шеиным и ему подобными является результатом обострившейся классовой борьбы и обнаруживает слабость работы инженерно-технических секций, отсутствие общественного контроля и пролетарской самокритики среди специалистов. Слабость работы ИТС не дала возможность использовать творческую инициативу массы инженерно-технических работников.</w:t>
      </w:r>
    </w:p>
    <w:p w14:paraId="03136DCB"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Было бы в высшей степени неправильно[,] посколько верхушечная часть специалистов, связанная в прошлом с буржуазией, замешана во вредительстве, подозревать в этом всю массу инженерно-технических работников. Основная масса специалистов честно и преданно работает на стройке социализма и у нас нет никаких оснований ставить такой вопрос. Но самая постановка работы среди специалистов не гарантирует нам своевременное выявление слабых мест и определения — кто твердо и безраздельно с нами и кто против нас. Поэтому вредительская верхушка специалистов имела возможность срывать нашу работу, не получив должного и своевременного отпора с нашей стороны. Сейчас надо перестать разговаривать о самокритике, а нанести сокрушительный удар чинопочитанию, отчужденности инженерно-технических работников от рабочих масс.</w:t>
      </w:r>
    </w:p>
    <w:p w14:paraId="1B67BC1F"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В инженерно-технических кругах, несмотря на безконечные разговоры, сильно развиты кастовость, чинопочитание. Молодежь вливающуюся в большом количестве за последнее время в среду инженеров, еще очень часто встречают в штыки. Нередко, когда о предложениях молодежи приходится слышать такие разговоры: «Ну, что, стоит ли обращать на них внимание? Ведь это горячие головы». Между тем эти «горячие головы» очень часто и своевременно выдвигают серьезнейшие вопросы. И лишь из-за какого[-]то, подчас совершенно непонятного упорства, а иногда из-за вредительских целей, предпочитают отделываться отговорочками: «у тебя на губах молоко не обсохло». С указаниями рабочих подчас также совершенно не считаются. Таким явлениям должна быть объявлена самая беспощадная борьба.</w:t>
      </w:r>
    </w:p>
    <w:p w14:paraId="75A8ADA7"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Самокритика не на словах, а на деле, должна быть развернута и направлена главным образом на разрешение производственных задач. Решительно надо также покончить с отчужденностью инженерно-технических работников от обще-профессиональной работы и тех вопросов, которые выдвигаются рабочими. Инж.[-]техн. работники очень часто говорят, что у них времени не хватает, они слишком загружены непосредственной работой на предприятии и поэтому мол не могут установить необходимой связи и принять участие в работе обще-профессиональных организаций. Это вреднейшие разговоры, которыми пытаются оправдать отчужденность. Мы считаем, что инженер должен основное свое внимание уделять делу, которое он выполняет на производстве. Но это не только не исключает, а наоборот обязывает инженера, вместе с рабочей массой — принимать участие в разрешении всех производственных вопросов и вопросов, стоящих перед профдвижением в целом. Так этот вопрос был поставлен XVI съездом — это лозунг «лицом к производству». Конкретное же осуществление его это борьба за выполнение и перевыполнение промфинплана, путем развертывания соц. соревнования, ударничества и высших ступеней их, — сквозных ударных бригад, общественного буксира, планово-оперативных групп и пр.</w:t>
      </w:r>
    </w:p>
    <w:p w14:paraId="631ADFF2"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До сих пор инженерно-технические силы в области промышленности и области сельского хозяйства не включились по[-]настоящему в эти новые, действительно социалистические формы труда рабочего класса и не оказывают содействия делу развития их. Мы вступили сейчас в период, когда активность рабочего класса не может мириться с такими явлениями и требует немедленной перестройки органов ИТР, чтоб обеспечить активное участие инженерно-технических работников в разрешении задач, стоящих перед пролетариатом по осуществлению лозунга «пятилетки в 4 года» и в частности программы 3-го решающего года пятилетки.</w:t>
      </w:r>
    </w:p>
    <w:p w14:paraId="190E1F8F"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Нам необходимо особенно подчеркнуть, что судить о перестройке работы инженерно-технических секций сверху донизу мы будем прежде всего по выполнению и перевыполнению производственных планов нашей промышленности.</w:t>
      </w:r>
    </w:p>
    <w:p w14:paraId="4DDD5FDB"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Инженерно-технические работники должны также активизировать свою работу в области рационализации производства и в особенности изобретательства и проведения рабочих предложений, улучшающих наше производство и оказать непосредственную техническую помощь осуществлению наших предложений, обеспечив быстрое их проведение, чтобы максимально стимулировать творческую энергию и инициативу широких рабочих масс. ИТР должны стать фактическими проводниками производственной инициативы рабочих масс и оформления их технической мысли.</w:t>
      </w:r>
    </w:p>
    <w:p w14:paraId="40B32329"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Вместе с тем ИТС должны обеспечить участие ИТР в развертывании соц. соревнования и ударных бригад, обеспечить помощь рабочих ударниками и соревнующимися.</w:t>
      </w:r>
    </w:p>
    <w:p w14:paraId="3358A420"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Перестройка работы секций должна обеспечить действительную борьбу инженерно-технической массы за генеральную линию партии, за дело рабочего класса, только тогда, когда каждый день на практической работе каждый ИТР будет конкретно участвовать в творческой работе широких масс пролетариата, мы сможем сказать, что перестройка ИТС действительно завершена.</w:t>
      </w:r>
    </w:p>
    <w:p w14:paraId="6A9D3D5C"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 xml:space="preserve">Самое активное участие должны принять инженерно-технические работники, в деле разработки встречных промфинпланов и обеспечению мероприятий к их выполнению. Из обвинительного акта по делу Промпартии вам уже известно, что вредители стремились сокращать программу отдельных отраслей промышленности и лишь ЦК партии вовремя это предусмотрел и внес соответствующие коррективы. Однако ни профсоюзы, ни инженерно-технические работники не смогли этого </w:t>
      </w:r>
      <w:r w:rsidRPr="005E779E">
        <w:rPr>
          <w:color w:val="000000" w:themeColor="text1"/>
          <w:sz w:val="16"/>
          <w:szCs w:val="16"/>
        </w:rPr>
        <w:lastRenderedPageBreak/>
        <w:t>делать. Почему? Да потому что работа наша не была поставлена как следует. Плохо участвовали основные массы ИТР в составлении промфинпланов, проходили очень часто иногда и мимо вредительских предложений, предпочитая соблюдать «нейтралитет», не желая вступать в пререкания с «начальством». Встречные же планы, составляемые самой рабочей массой, на основе действительного учета опыта повседневной работы и рационализаторских мероприятий, могущих улучшить процессы производства, являются действительным залогом предупреждения планового вредительства, которое осуществлялось Промпартией и ее агентурой. Включение же ИТР в практическую проработку этих планов и разработка мероприятий по выполнению, будет обеспечивать действительную реальность их.</w:t>
      </w:r>
    </w:p>
    <w:p w14:paraId="2D47D52E"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То положение, которое имеет сейчас в области выполнения планов, заставляет бить тревогу. Я получил сведения о ходе выполнения программы в особый квартал в южной металлургии. Что же мы там имеем? Южная металлургия в октябре мес. особого ударного квартала, вместо снижения себестоимости на 6,1 % повысила ее на 0,93 %. Я задам вопрос тов. Прокофьеву и др., которые сидят в ВМБИТе. Сигнализировал ли вам кто-либо из ИТР с южной металлургии о неблагополучии с выполнением программы за октябрь. (Прокофьев — Нет, не сигнализировал. С места — он наверно забыл). Я знаю, что у Прокофьева хорошая память, да притом такие вещи не забываются.</w:t>
      </w:r>
    </w:p>
    <w:p w14:paraId="37CA089F"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Производственная программа по чугуну выполнена в размере 88 % месячного плана, по стали 84 %. Я думаю, что кое-какую и не малую ответственность за этот прорыв несут инженерно-технические работники. Сейчас надо уже побеспокоится и забить тревогу и начать перестраивать работу так, чтобы в ноябре и декабре мес. были покрыты прорывы октября. К сожалению ИТР пока находятся в сладком неведении. Не слыхать еще про их мероприятия к ликвидации этого прорыва. А ведь в таких мероприятиях и заключается весь смысл поворота профсоюзов и ИТР «лицом к производству».</w:t>
      </w:r>
    </w:p>
    <w:p w14:paraId="5CB99D77"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Отсутствие сигнализаций показывает, что несмотря на наши успехи в области развертывания соцсоревнования и ударничества, все же у нас из рук вон плохо обстоит дело с практическим осуществлением лозунга «лицом к производству». А прорывы у нас не только в одной металлургии. Данные о других отраслях промышленности также заставляют бить тревогу. ИТР сейчас должны напрячь всю энергию к тому, чтобы план особого квартала являющийся залогом успешного осуществления 3-го года пятилетки, был выполнен на 100 %.</w:t>
      </w:r>
    </w:p>
    <w:p w14:paraId="57DAD909"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Имеющиеся у нас факты отношения инженерства к работе говорят о совершенно недопустимых явлениях. Напр., главный инженер Чулковского шахтоуправления заявляет: «Нам врубовые машины не нужны. Мы будем больше добывать угля вручную». Или вот еще факт: помощник завед. шахтой «Иван» заявляет: «зачем вводят механизацию, это лишнее». А на заседании шахткома марганцевого рудника инженер Клауман заявляет: «зачем участвовать в соц. соревновании, мы работаем и так как следует. Впрочем написать договор не трудно, все равно это ни к чему не обязывает».</w:t>
      </w:r>
    </w:p>
    <w:p w14:paraId="01C52350"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Я задаю вопрос — как называть эти явления? Здесь, конечно, скажут, что отвечать за отдельные проявления настроений инженеров идущих в явный разрез с установками в области развертывания нашей профсоюзной работы, никто не может. Но такие факты, товарищи, являются весьма показательными. Ведь это же действительно вредительство. Когда мы кричим о механизации добычи угля и мобилизуем вокруг этого рабочие массы, а главный инженер говорит: «зачем это, лучше работать вручную». Я спрашиваю, кто говорит голосом инженера Чулковского шахтоуправления? Классовый враг, вредитель, агент капитализма. Только враг может выступить против механизации, только враг может говорить о снижении добычи. Иначе нельзя на 14-м году Октябрьской Революции назвать такого главного инженера. Разве можно рас[с]читывать, что он обеспечит высокие темпы работы, высокую производительность труда, наилучшее использованием механического оборудования, правильную расстановку машин и рабочей силы.</w:t>
      </w:r>
    </w:p>
    <w:p w14:paraId="02E85CE7"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Какой бы маской он не прикрывался, классовый враг виден в его действиях.</w:t>
      </w:r>
    </w:p>
    <w:p w14:paraId="2740BD2C"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Сейчас, когда уже достаточно ясна для всех деятельность вредителей, являющаяся результатом обострения классовой борьбы, совершенно недопустимы всякие разговоры о нейтральности инженерства. В то время, когда рабочий класс наступает по всему фронту социалистического строительства, ни о каком нейтралитете инженерства не может быть и речи. Обстановка сейчас такова, что мы ставим перед инженерством вопрос: либо целиком и полностью с рабочим классом против вредителей, против капиталистов, либо против рабочего класса. Другого выхода и пути нет, нейтралитета быть не может (аплодисменты). Рабочий класс не может больше терпеть, чтобы люди[,] вооруженные техническими знаниями, соблюдали нейтралитет в то время, когда на глазах у них совершаются действия, направленные против интересов рабочего класса, на срыв социалист, строительства. Мы вовсе не требуем от инженерства обязательного вступления в коммунистическую партию. Но мы потребуем от специалистов связать свою судьбу с рабочим классом и вместе с ним бороться за осуществление генеральной линии нашей коммунистической партии, направленной на социалистическую перестройку всего народного хозяйства страны. Надо прекратить всякую болтологию об аполитичности и плеч[о]м к плечу, вместе с рабочим классом, быть в первых рядах строителей социализма. Вот почему я думаю сейчас оценку ИТР надо производить не с точки зрения того, кто какую речь сказал, а с точки зрения практической, повседневной работы[,] вернее результатов ее.</w:t>
      </w:r>
    </w:p>
    <w:p w14:paraId="79A614BF"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Решительную борьбу надо повести с право-оппортунистическими настроениями работников, повседневно разоблачать нытиков, маловеров, плетущихся в хвосте активности рабочего класса. Мы должны работу построить таким образом, чтобы действительно повернуться лицом к производству и вовлечь ИТР в действительное участие в социалистическом соревновании и ударничестве. Мы должны добиться, чтобы инженернотехнические работники способствовали повышению технического уровня знаний рабочих, так как без этого нам трудно будет продвигаться вперед.</w:t>
      </w:r>
    </w:p>
    <w:p w14:paraId="7376DECA"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Вопрос о кадрах приобретает в наших условиях чрезвычайно важное значение. Перед нами колоссальная задача в 3 или 4 раза увеличить число имеющихся у нас специалистов. Мы уже по деятельности вредительских организаций можем судить, какую остроту приобретает проблема кадров в социалистическом строительстве. К проблеме кадров необходимо подходить не только с хозяйственно-технической точки зрения, но как к сугубо классовой политической проблеме. Поэтому наша задача новые кадры специалистов готовить из рабочего класса. Побольше выдвигать молодежи и технически грамотных рабочих на руководящие должности. Однако мы не собираемся делать вывод о том, что старое инженерство нам не нужно. Это вредная, антипролетарская философия. Старый, преданно работающий специалист должен быть на ответственнейших участках строительства. Судить о его преданности будем по активному участию в соц. соревновании и ударничестве, по участию в составлении встречных промфинпланов, по помощи проведению рабочих предложений и изобретений.</w:t>
      </w:r>
    </w:p>
    <w:p w14:paraId="324DF1E1"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Серьезное внимание следует обратить и на участие ИТР в подготовке квалифицированных рабочих. Без активной помощи специалистов мы не справимся с задачей подготовки квалифицированных рабочих, которых требует наша социалистическая промышленность. Каждый инженер должен активно участвовать в руководстве кружками технич. знаний, в продвижении способных рабочих на более квалифицированную работу и др. мероприятиях, способствующих повышению квалификации рабочих. Максимум внимания и профсоюзы и ИТС должны уделить вопросам продвижения молодых, преданных делу соц. строительства инженеров, техников и рабочих[,] выдвинувшихся в процессе работы производственных совещаний, ВКК и ударных бригад. Должны быть установлены постоянная помощь и организованное шефство инженеров над отдельными группами рабочих по вопросам повышения уровня их производственно-технических знаний.</w:t>
      </w:r>
    </w:p>
    <w:p w14:paraId="7345205F"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Еще вопрос, на который я хотел бы обратить внимание — это о правильной расстановке квалифицированной рабочей силы на предприятиях. Мне недавно рассказали товарищи, вернувшиеся из Донбасса, что им пришлось встретиться с случаями, когда быв. бандиты работали в качестве десятников в шахтах. Был обнаружен один десятник, который в [19]21 г. руководил бандой. Естественно этот тип под кличкой «Ангел» и подбирал соответствующих людей в свою бригаду. Скажите, разве это случайное явление, что до последнего времени этот «Ангел» остался неразоблаченным? Разве этот самый бандит, которого недавно разоблачили, не является представителем ЦК промпартии на предприятии? Это их низовое звено. Он в течении ряда лет работал и подбирал себе людей, и лишь по случайности его разоблачили. Это вынуждает нас быть бдительными. Ведь вот через таких типов и осуществляют центральные вредительские организации свою деятельность.</w:t>
      </w:r>
    </w:p>
    <w:p w14:paraId="3DF7E256"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Вопрос о проверке и правильной расстановке кадров на важнейших участках имеет огромное значение и для подъема производительности труда и для выполнения в срок директив административно-технического персонала и в целом тех задач, которые стоят перед рабочим классом.</w:t>
      </w:r>
    </w:p>
    <w:p w14:paraId="69B2C09A"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Сейчас перед инженерно-техническими секциями стоит важнейшая задача о перестройке всех форм, методов и темпов работы, чтоб на деле осуществить лозунг «лицом к производству». Осуществление этого возможно только путем мобилизации масс инженерства на борьбу вместе с рабочим классом, за осуществление темпов социалистического строительства и выполнения пятилетки в четыре года. Мы должны добиться того, чтобы перестройка работы секций гарантировала бы выполнение задач, поставленных перед профсоюзами.</w:t>
      </w:r>
    </w:p>
    <w:p w14:paraId="0993B91A"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IV-й Пленум ВМБИТа должен не на словах, а на деле обеспечить организацию основной массы специалистов для большевистского наступления на всех фронтах социалистического строительства и на борьбу с вредительством. Решительно нужно улучшить и качество руководства профсоюзов.</w:t>
      </w:r>
    </w:p>
    <w:p w14:paraId="0330D62B"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В порядке самокритики, я несколько слов хочу сказать и о профсоюзах. Долго такое явление, когда профсоюзы будут так относиться, как они относятся по сей день к руководству инженерно-техническими секциями, продолжаться не может. Я считаю, что дальше терпеть этого невозможно (аплодисменты). На этом пленуме мы со всей силой и энергией должны подчеркнуть всю важность и значение руководства инжсекциями со стороны профсоюзов, начиная от ВЦСПС и кончая низовыми профсоюзными звеньями. (Апл[одисменты]; с места — не на словах, а на деле).</w:t>
      </w:r>
    </w:p>
    <w:p w14:paraId="0394DA2F"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Нам надо наметить целый ряд организационных мероприятий, которые дали бы нам возможность увязать работу инженерно-технических секций с обще-профсоюзной работой Это чрезвычайно важная задача.</w:t>
      </w:r>
    </w:p>
    <w:p w14:paraId="0082F726"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Некоторые товарищи поднимали и поднимают вопрос о том, не пора ли ликвидировать инженерно-технические секции, не пора ли в порядке общепрофсоюзной работы осуществлять и работу среди инж.[-]техн. работников. Этот вопрос уже достаточно продуман, разрешен в отрицательном смысле и надо со всей решительностью заявить, что пора прекратить разговоры о ликвидации инженерно-технических секций. (Аплодисменты])</w:t>
      </w:r>
    </w:p>
    <w:p w14:paraId="3B502E82"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Надо браться за работу по[-]настоящему и прекратить эти вредные разговоры о ликвидации.</w:t>
      </w:r>
    </w:p>
    <w:p w14:paraId="0E150747"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В ближайшее время мы предполагаем созвать Всесоюзную конференцию инженерно-технических работников для разрешения целого ряда узловых вопросов.</w:t>
      </w:r>
    </w:p>
    <w:p w14:paraId="57C4E2DE"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Но не дожидаясь конференции, мы должны теперь же наметить целый ряд организационных мероприятий, которые дали бы возможность начать работу по[-]настоящему, с тем, чтобы к Всесоюзной конференции придти с опытом работы по новому.</w:t>
      </w:r>
    </w:p>
    <w:p w14:paraId="374041B4"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Руководство секциями должно быть поручено ИТР ударникам, на деле доказавшим свою преданность интересам пролетариата.</w:t>
      </w:r>
    </w:p>
    <w:p w14:paraId="3725752D"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lastRenderedPageBreak/>
        <w:t>Мы рекомендуем пленуму в целях укрепления инженерно-технических секций и для усиления влияния их на производственную жизнь заводов, обсудить вопрос о включении в состав инженерно-технических секций помощников директоров — председателей производственно-технических совещаний, всех начальников цехов, служб, отделов и их помощников и мастеров.</w:t>
      </w:r>
    </w:p>
    <w:p w14:paraId="330D1092"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Кроме того надо, чтобы профсоюзы и инженерно-техн. секции вовлекали широкие массы рабочих в работу секций, путем приглашения их на собрания и совещания, вовлечения в деятельность различных обществ, в совместную работу ИТР в рабочих клубах, кружках и т. д.</w:t>
      </w:r>
    </w:p>
    <w:p w14:paraId="174186FC"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Мы также рекомендуем выбирать в состав ИТС представителей профорганизаций от низовых ячеек до ВМБИта, включительно. Сейчас мы все время говорим об усилении руководства. Я думаю, что таким путем мы обяжем и ВЦСПС, президиумы союзных организаций принять непосредственное участие в работе ИТС и отвечать на ряду с бюро ИТС за состояние работы среди инженеров. (С мест — правильно, аплодисменты]).</w:t>
      </w:r>
    </w:p>
    <w:p w14:paraId="47E43223"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Я считаю также необходимым, чтобы и члены Президиума ВЦСПС участвовали непосредственно в работе ВМБИТ, а освобожденные руководящие работники ВМБИТа в повседневной работе ВЦСПС. Таким образом мы сумеем наладить контакт в работе и настоящую взаимопомощь союзных и секционных организаций друг другу.</w:t>
      </w:r>
    </w:p>
    <w:p w14:paraId="18643239"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На этом пленуме вскрыв в порядке самокритики все больные места нашей работы, надо наметить конкретные мероприятия, которые сдвинули бы работу профсоюзов и самих секций.</w:t>
      </w:r>
    </w:p>
    <w:p w14:paraId="56E76F73"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Надо добиться такого положения, чтобы настоящий пленум был действительно переломным в деле перестройки работы инженерно-технических секций.</w:t>
      </w:r>
    </w:p>
    <w:p w14:paraId="07AB7835" w14:textId="77777777" w:rsidR="00996162" w:rsidRPr="005E779E" w:rsidRDefault="00996162" w:rsidP="000B7A6C">
      <w:pPr>
        <w:pStyle w:val="rtejustify"/>
        <w:spacing w:before="0" w:after="0"/>
        <w:rPr>
          <w:color w:val="000000" w:themeColor="text1"/>
          <w:sz w:val="16"/>
          <w:szCs w:val="16"/>
        </w:rPr>
      </w:pPr>
      <w:r w:rsidRPr="005E779E">
        <w:rPr>
          <w:color w:val="000000" w:themeColor="text1"/>
          <w:sz w:val="16"/>
          <w:szCs w:val="16"/>
        </w:rPr>
        <w:t>Заканчивая, товарищи, я должен сказать, что социалистическое строительство требует развития большевистского наступления на капитализм по всему фронту. Это развитие наступления несомненно еще более обострит классовую борьбу и внутри и вне страны. Нелепо было бы думать, что классовый враг сдаст свои позиции без боя. В этих условиях как никогда надо напрячь все усилия в борьбе за победу социализма. Инженеры, специалисты, техники не могут быть в стороне от этой борьбы. Лучшим ответом будет непосредственное участие специалистов в борьбе за генеральную линию партии, в борьбе за осуществление пятилетки в 4 года. ВЦСПС убежден, что этот пленум положит начало активной творческой работы основной массы специалистов за дело укрепления диктатуры пролетариата. (Апл[одисменты]).</w:t>
      </w:r>
    </w:p>
    <w:p w14:paraId="582F2C2B" w14:textId="77777777" w:rsidR="00996162" w:rsidRPr="005E779E" w:rsidRDefault="00996162" w:rsidP="000B7A6C">
      <w:pPr>
        <w:pStyle w:val="ae"/>
        <w:spacing w:before="0" w:after="0"/>
        <w:jc w:val="both"/>
        <w:rPr>
          <w:color w:val="000000" w:themeColor="text1"/>
          <w:sz w:val="16"/>
          <w:szCs w:val="16"/>
        </w:rPr>
      </w:pPr>
      <w:r w:rsidRPr="005E779E">
        <w:rPr>
          <w:rStyle w:val="af0"/>
          <w:i w:val="0"/>
          <w:color w:val="000000" w:themeColor="text1"/>
          <w:sz w:val="16"/>
          <w:szCs w:val="16"/>
        </w:rPr>
        <w:t>ГА РФ. Ф. P-5548. On. 9. Д. 6. Л. 1-21. (А) Машинописный экземпляр того времени с рукописной правкой Н. М. Шверника.</w:t>
      </w:r>
    </w:p>
    <w:p w14:paraId="24BE6030" w14:textId="77777777" w:rsidR="00996162" w:rsidRPr="005E779E" w:rsidRDefault="00996162" w:rsidP="000B7A6C">
      <w:pPr>
        <w:pStyle w:val="ae"/>
        <w:spacing w:before="0" w:after="0"/>
        <w:jc w:val="both"/>
        <w:rPr>
          <w:color w:val="000000" w:themeColor="text1"/>
          <w:sz w:val="16"/>
          <w:szCs w:val="16"/>
        </w:rPr>
      </w:pPr>
      <w:r w:rsidRPr="005E779E">
        <w:rPr>
          <w:rStyle w:val="af0"/>
          <w:i w:val="0"/>
          <w:color w:val="000000" w:themeColor="text1"/>
          <w:sz w:val="16"/>
          <w:szCs w:val="16"/>
        </w:rPr>
        <w:t>ГА</w:t>
      </w:r>
      <w:r w:rsidRPr="005E779E">
        <w:rPr>
          <w:rStyle w:val="af0"/>
          <w:i w:val="0"/>
          <w:color w:val="000000" w:themeColor="text1"/>
          <w:sz w:val="16"/>
          <w:szCs w:val="16"/>
          <w:lang w:val="en-US"/>
        </w:rPr>
        <w:t xml:space="preserve"> </w:t>
      </w:r>
      <w:r w:rsidRPr="005E779E">
        <w:rPr>
          <w:rStyle w:val="af0"/>
          <w:i w:val="0"/>
          <w:color w:val="000000" w:themeColor="text1"/>
          <w:sz w:val="16"/>
          <w:szCs w:val="16"/>
        </w:rPr>
        <w:t>РФ</w:t>
      </w:r>
      <w:r w:rsidRPr="005E779E">
        <w:rPr>
          <w:rStyle w:val="af0"/>
          <w:i w:val="0"/>
          <w:color w:val="000000" w:themeColor="text1"/>
          <w:sz w:val="16"/>
          <w:szCs w:val="16"/>
          <w:lang w:val="en-US"/>
        </w:rPr>
        <w:t xml:space="preserve">. </w:t>
      </w:r>
      <w:r w:rsidRPr="005E779E">
        <w:rPr>
          <w:rStyle w:val="af0"/>
          <w:i w:val="0"/>
          <w:color w:val="000000" w:themeColor="text1"/>
          <w:sz w:val="16"/>
          <w:szCs w:val="16"/>
        </w:rPr>
        <w:t>Ф</w:t>
      </w:r>
      <w:r w:rsidRPr="005E779E">
        <w:rPr>
          <w:rStyle w:val="af0"/>
          <w:i w:val="0"/>
          <w:color w:val="000000" w:themeColor="text1"/>
          <w:sz w:val="16"/>
          <w:szCs w:val="16"/>
          <w:lang w:val="en-US"/>
        </w:rPr>
        <w:t>. P-5548. On. 9.</w:t>
      </w:r>
      <w:r w:rsidRPr="005E779E">
        <w:rPr>
          <w:rStyle w:val="af0"/>
          <w:i w:val="0"/>
          <w:color w:val="000000" w:themeColor="text1"/>
          <w:sz w:val="16"/>
          <w:szCs w:val="16"/>
        </w:rPr>
        <w:t>Д</w:t>
      </w:r>
      <w:r w:rsidRPr="005E779E">
        <w:rPr>
          <w:rStyle w:val="af0"/>
          <w:i w:val="0"/>
          <w:color w:val="000000" w:themeColor="text1"/>
          <w:sz w:val="16"/>
          <w:szCs w:val="16"/>
          <w:lang w:val="en-US"/>
        </w:rPr>
        <w:t xml:space="preserve">. 5. </w:t>
      </w:r>
      <w:r w:rsidRPr="005E779E">
        <w:rPr>
          <w:rStyle w:val="af0"/>
          <w:i w:val="0"/>
          <w:color w:val="000000" w:themeColor="text1"/>
          <w:sz w:val="16"/>
          <w:szCs w:val="16"/>
        </w:rPr>
        <w:t>Л</w:t>
      </w:r>
      <w:r w:rsidRPr="005E779E">
        <w:rPr>
          <w:rStyle w:val="af0"/>
          <w:i w:val="0"/>
          <w:color w:val="000000" w:themeColor="text1"/>
          <w:sz w:val="16"/>
          <w:szCs w:val="16"/>
          <w:lang w:val="en-US"/>
        </w:rPr>
        <w:t xml:space="preserve">. 2-7,9 -40. </w:t>
      </w:r>
      <w:r w:rsidRPr="005E779E">
        <w:rPr>
          <w:rStyle w:val="af0"/>
          <w:i w:val="0"/>
          <w:color w:val="000000" w:themeColor="text1"/>
          <w:sz w:val="16"/>
          <w:szCs w:val="16"/>
        </w:rPr>
        <w:t>(Б) Машинописный экземпляр того времени из стенограммы заседания пленума ВМБИТ (устное выступление).</w:t>
      </w:r>
    </w:p>
    <w:p w14:paraId="367CE0DD" w14:textId="77777777" w:rsidR="00996162" w:rsidRPr="005E779E" w:rsidRDefault="00996162" w:rsidP="000B7A6C">
      <w:pPr>
        <w:pStyle w:val="ae"/>
        <w:spacing w:before="0" w:after="0"/>
        <w:jc w:val="both"/>
        <w:rPr>
          <w:color w:val="000000" w:themeColor="text1"/>
          <w:sz w:val="16"/>
          <w:szCs w:val="16"/>
        </w:rPr>
      </w:pPr>
      <w:r w:rsidRPr="005E779E">
        <w:rPr>
          <w:rStyle w:val="af0"/>
          <w:i w:val="0"/>
          <w:color w:val="000000" w:themeColor="text1"/>
          <w:sz w:val="16"/>
          <w:szCs w:val="16"/>
        </w:rPr>
        <w:t>ГА</w:t>
      </w:r>
      <w:r w:rsidRPr="005E779E">
        <w:rPr>
          <w:rStyle w:val="af0"/>
          <w:i w:val="0"/>
          <w:color w:val="000000" w:themeColor="text1"/>
          <w:sz w:val="16"/>
          <w:szCs w:val="16"/>
          <w:lang w:val="en-US"/>
        </w:rPr>
        <w:t xml:space="preserve"> </w:t>
      </w:r>
      <w:r w:rsidRPr="005E779E">
        <w:rPr>
          <w:rStyle w:val="af0"/>
          <w:i w:val="0"/>
          <w:color w:val="000000" w:themeColor="text1"/>
          <w:sz w:val="16"/>
          <w:szCs w:val="16"/>
        </w:rPr>
        <w:t>РФ</w:t>
      </w:r>
      <w:r w:rsidRPr="005E779E">
        <w:rPr>
          <w:rStyle w:val="af0"/>
          <w:i w:val="0"/>
          <w:color w:val="000000" w:themeColor="text1"/>
          <w:sz w:val="16"/>
          <w:szCs w:val="16"/>
          <w:lang w:val="en-US"/>
        </w:rPr>
        <w:t xml:space="preserve">. </w:t>
      </w:r>
      <w:r w:rsidRPr="005E779E">
        <w:rPr>
          <w:rStyle w:val="af0"/>
          <w:i w:val="0"/>
          <w:color w:val="000000" w:themeColor="text1"/>
          <w:sz w:val="16"/>
          <w:szCs w:val="16"/>
        </w:rPr>
        <w:t>Ф</w:t>
      </w:r>
      <w:r w:rsidRPr="005E779E">
        <w:rPr>
          <w:rStyle w:val="af0"/>
          <w:i w:val="0"/>
          <w:color w:val="000000" w:themeColor="text1"/>
          <w:sz w:val="16"/>
          <w:szCs w:val="16"/>
          <w:lang w:val="en-US"/>
        </w:rPr>
        <w:t xml:space="preserve">. P-5548. On. 9. </w:t>
      </w:r>
      <w:r w:rsidRPr="005E779E">
        <w:rPr>
          <w:rStyle w:val="af0"/>
          <w:i w:val="0"/>
          <w:color w:val="000000" w:themeColor="text1"/>
          <w:sz w:val="16"/>
          <w:szCs w:val="16"/>
        </w:rPr>
        <w:t>Д</w:t>
      </w:r>
      <w:r w:rsidRPr="005E779E">
        <w:rPr>
          <w:rStyle w:val="af0"/>
          <w:i w:val="0"/>
          <w:color w:val="000000" w:themeColor="text1"/>
          <w:sz w:val="16"/>
          <w:szCs w:val="16"/>
          <w:lang w:val="en-US"/>
        </w:rPr>
        <w:t xml:space="preserve">. 64. </w:t>
      </w:r>
      <w:r w:rsidRPr="005E779E">
        <w:rPr>
          <w:rStyle w:val="af0"/>
          <w:i w:val="0"/>
          <w:color w:val="000000" w:themeColor="text1"/>
          <w:sz w:val="16"/>
          <w:szCs w:val="16"/>
        </w:rPr>
        <w:t>Л</w:t>
      </w:r>
      <w:r w:rsidRPr="005E779E">
        <w:rPr>
          <w:rStyle w:val="af0"/>
          <w:i w:val="0"/>
          <w:color w:val="000000" w:themeColor="text1"/>
          <w:sz w:val="16"/>
          <w:szCs w:val="16"/>
          <w:lang w:val="en-US"/>
        </w:rPr>
        <w:t xml:space="preserve">. 2-38. </w:t>
      </w:r>
      <w:r w:rsidRPr="005E779E">
        <w:rPr>
          <w:rStyle w:val="af0"/>
          <w:i w:val="0"/>
          <w:color w:val="000000" w:themeColor="text1"/>
          <w:sz w:val="16"/>
          <w:szCs w:val="16"/>
        </w:rPr>
        <w:t>(В) Экземпляр машинописной закладки, идентичный Б. Имеется большая рукописная правка Н. М. Шверника, воспроизведенная в экземпляре А.</w:t>
      </w:r>
    </w:p>
    <w:p w14:paraId="6FCB4670" w14:textId="77777777" w:rsidR="00996162" w:rsidRPr="005E779E" w:rsidRDefault="00996162" w:rsidP="000B7A6C">
      <w:pPr>
        <w:pStyle w:val="rtejustify"/>
        <w:spacing w:before="0" w:after="0"/>
        <w:rPr>
          <w:color w:val="000000" w:themeColor="text1"/>
          <w:sz w:val="16"/>
          <w:szCs w:val="16"/>
        </w:rPr>
      </w:pPr>
      <w:r w:rsidRPr="005E779E">
        <w:rPr>
          <w:rStyle w:val="af0"/>
          <w:i w:val="0"/>
          <w:color w:val="000000" w:themeColor="text1"/>
          <w:sz w:val="16"/>
          <w:szCs w:val="16"/>
        </w:rPr>
        <w:t>Опубликовано в: Инженерный труд. 1931. № 22-23. С. 658-664. («Доклад генерального секретаря ВПСПС тов. Н. М, Шверника ВРЕДИТЕЛЬСТВО И ЗАДАЧИ ИТС») (19051).</w:t>
      </w:r>
    </w:p>
    <w:p w14:paraId="645A33D1" w14:textId="77777777" w:rsidR="00996162" w:rsidRPr="005E779E" w:rsidRDefault="00996162" w:rsidP="000B7A6C">
      <w:pPr>
        <w:spacing w:after="0" w:line="240" w:lineRule="auto"/>
        <w:jc w:val="both"/>
        <w:rPr>
          <w:rFonts w:ascii="Times New Roman" w:hAnsi="Times New Roman"/>
          <w:color w:val="000000" w:themeColor="text1"/>
          <w:sz w:val="16"/>
          <w:szCs w:val="16"/>
        </w:rPr>
      </w:pPr>
    </w:p>
    <w:p w14:paraId="20BF3126" w14:textId="77777777" w:rsidR="003C29EC" w:rsidRPr="00142305" w:rsidRDefault="003C29EC" w:rsidP="003C29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26 ноября 1931 г. выходит постановление «О мероприятиях по упорядочению проектирования капитального строительства промышленности», которое реформирует всю существующую систему институтов технологического проектирования всех отраслей промышленности.</w:t>
      </w:r>
    </w:p>
    <w:p w14:paraId="61CD37D3" w14:textId="77777777" w:rsidR="003C29EC" w:rsidRPr="00142305" w:rsidRDefault="003C29EC" w:rsidP="003C29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СССР начали массово применять поточно-конвейерный способ быстрого строительства промышленных объектов. Именно он стал залогом того, что в начале Великой Отечественной войны страна смогла в кратчайшие сроки эвакуировать за Урал и на Дальний Восток около 3500 предприятий, быстро их там запустить, наладив производство необходимой для фронта продукции. Именно благодаря этой технологии после освобождения территорий удалось быстро вернуть заводы обратно (25170).</w:t>
      </w:r>
    </w:p>
    <w:p w14:paraId="18E37C43" w14:textId="77777777" w:rsidR="003C29EC" w:rsidRPr="00142305" w:rsidRDefault="003C29EC" w:rsidP="003C29EC">
      <w:pPr>
        <w:spacing w:after="0" w:line="240" w:lineRule="auto"/>
        <w:jc w:val="both"/>
        <w:rPr>
          <w:rFonts w:ascii="Times New Roman" w:hAnsi="Times New Roman"/>
          <w:color w:val="0070C0"/>
          <w:sz w:val="16"/>
          <w:szCs w:val="16"/>
        </w:rPr>
      </w:pPr>
    </w:p>
    <w:p w14:paraId="7382BFF3"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7A0AC41C"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A1269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27 ноября 1931 г. завод № 22 изготовил 91 бомбардировщик из 146 заложенных в план. К новому году задание было выполнено полностью. Производство уже сворачивалось. На смену ТБ-1 шел четырехмоторный ТБ-3. Последние две машины прошли военную приемку в начале 1932 г. Всего выпустили 216 серийных самолетов.</w:t>
      </w:r>
    </w:p>
    <w:p w14:paraId="7F6CBC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пошло массовое производство ТБ-1. Головным самолетом года, на котором внесли целый ряд важных изменений, считался бомбардировщик № 670. В носовой части фюзеляжа он имел усиленную раму с вваренной в нее стальной трубой. К ней крепились ушки торпедной подвески. Противопожарная перегородка в мотогондолах стала трехслойной: между двумя листами кольчугалюминия находился асбест. Верхнюю обшивку фюзеляжа за пилотской кабиной подкрепили дополнительным профилем. На правом борту сделали люк, облегчавший подвеску нижних бомб на Дер-9. Поворот жалюзи радиаторов стал осуществляться не секторами, а штурвалами. Управление рулями высоты перевели на смешанную схему: в хвостовой части тросы заменили трубчатыми тягами. Заднюю часть глушителей начали делать из стали - железные слишком быстро прогорали. Баллон сжатого воздуха, ранее стоявший вертикально, положили на бок в деревянную коробку, обитую изнутри войлоком.</w:t>
      </w:r>
    </w:p>
    <w:p w14:paraId="0998E1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Машины выпуска 1931 г. отличались также по комплектации. Некоторое время предусматривалась установка двух радиостанций: коротковолновой 14СК - у штурмана и длинноволновой 11С - у стрелков. Затем перешли на комплект из станции 11СК и маячного приемника 13ПС. Все они пользовались одними и теми же антеннами и запитывались от генератора РМ-9, стоявшего с ветрянкой на фюзеляже.</w:t>
      </w:r>
    </w:p>
    <w:p w14:paraId="49086E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первых ТБ-1 предполагалась система внутренней связи для трех абонентов, состоявшая из микрофонов и "дву- ухих телефонов". Но наладить ее не смогли. Из-за помех и шума моторов услышать что-либо из наушников было невозможно. Поэтому перешли к цветовой сигнализации. Комплект из трех лампочек, загоравшихся в разных сочетаниях и последовательности, передавал набор кодовых сообщений.</w:t>
      </w:r>
    </w:p>
    <w:p w14:paraId="638197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Неподвижную фотоустановку заменили турельной с отечественным аппаратом "Фото-1бис", позволявшей вести и перспективную съемку. На самолетах последних серий фары убрали в переднюю кромку крыла. Сверху в хвостовой части фюзеляжа смонтировали еще одну пару кодовых огней, дополняющую нижнюю.</w:t>
      </w:r>
    </w:p>
    <w:p w14:paraId="7D9466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Модернизировали стрелковое вооружение. Устаревшие пулеметы "Льюис" заменили более скорострельными отечественными ДА. Они также стояли парами на тех же турелях, но боезапас изменился. Если к "льюисам" в носовой установке придавали по 10 дисков, а в двух остальных по 12, то для ДА, соответственно, - 22 и 24 диска. Пулемет ДА впервые опробовали еще на "дублере" в марте 1929 г., заменив пару "лью- исов" на носовой турели Тур-6. Но нехватка нового оружия привела к тому, что массово этот пулемет стали монтировать только в 1931 г.</w:t>
      </w:r>
    </w:p>
    <w:p w14:paraId="413CF1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лета того же года возле носовой турели появилась откидная дужка-ограни- читель. Она не давала стрелку пальнуть по собственному самолету. Опасность этого выявилась еще при испытаниях вооружения "дублера", но дужку испытали и одобрили лишь в июле 1930 г. На серийных же бомбардировщиках ее ввели еще позже, поскольку потребовалось дополнительное соглашение с Авиатрестом. Ограничители изготавливались в больших количествах и досылались к ранее выпущенным ТБ-1 (12001).</w:t>
      </w:r>
    </w:p>
    <w:p w14:paraId="5A125A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0171D63" w14:textId="77777777" w:rsidR="003C29EC" w:rsidRPr="00142305" w:rsidRDefault="003C29EC" w:rsidP="003C29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27 ноября 1931 г. завод № 22 изготовил 91 бомбардиров</w:t>
      </w:r>
      <w:r w:rsidRPr="00142305">
        <w:rPr>
          <w:rFonts w:ascii="Times New Roman" w:hAnsi="Times New Roman"/>
          <w:color w:val="0070C0"/>
          <w:sz w:val="16"/>
          <w:szCs w:val="16"/>
        </w:rPr>
        <w:softHyphen/>
        <w:t>щик АНТ-4 из 146 заложенных в план. К новому году задание выполнили полностью. В то время производство уже сворачивалось: на смену ТБ-1 шел четырехмоторный ТБ-3. Последние две машины прошли военную прием</w:t>
      </w:r>
      <w:r w:rsidRPr="00142305">
        <w:rPr>
          <w:rFonts w:ascii="Times New Roman" w:hAnsi="Times New Roman"/>
          <w:color w:val="0070C0"/>
          <w:sz w:val="16"/>
          <w:szCs w:val="16"/>
        </w:rPr>
        <w:softHyphen/>
        <w:t>ку в начале 1932 г. Всего выпустили 216 серийных са</w:t>
      </w:r>
      <w:r w:rsidRPr="00142305">
        <w:rPr>
          <w:rFonts w:ascii="Times New Roman" w:hAnsi="Times New Roman"/>
          <w:color w:val="0070C0"/>
          <w:sz w:val="16"/>
          <w:szCs w:val="16"/>
        </w:rPr>
        <w:softHyphen/>
        <w:t>молетов (25994)</w:t>
      </w:r>
    </w:p>
    <w:p w14:paraId="21CF37FB" w14:textId="77777777" w:rsidR="003C29EC" w:rsidRPr="00142305" w:rsidRDefault="003C29EC" w:rsidP="003C29EC">
      <w:pPr>
        <w:spacing w:after="0" w:line="240" w:lineRule="auto"/>
        <w:jc w:val="both"/>
        <w:rPr>
          <w:rFonts w:ascii="Times New Roman" w:hAnsi="Times New Roman"/>
          <w:color w:val="0070C0"/>
          <w:sz w:val="16"/>
          <w:szCs w:val="16"/>
        </w:rPr>
      </w:pPr>
    </w:p>
    <w:p w14:paraId="0D31D8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27 ноября 1931 на заводе № 1 сдали всего 44 истребителя И-5. За 1931 г. завод изготовил 66 машин, из которых военную приёмку прошли 53. Например, за октябрь и первую половину ноября из цеха вообще не вышло ни одного И-5. В отчёте военной приёмки причины этого сформулированы следующим образом: "Пуск в производство недоработанной конструкции. Ряд серьёзных дефектов, выявившихся в процессе эксплоатации, что потребовало значительных переделок конструкции. Отсутствие моторов". По сути, так оно и было (11997).</w:t>
      </w:r>
    </w:p>
    <w:p w14:paraId="4C50DC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52ADACD"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6818DDC9"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D0156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ноября 1931 КБ-1 Орудийно-Арсенального объединения получило заказ на проектирование и изготовление опытного образца спаренной 20 мм пушки обр. 1930 на лафете и тумбе. Параллельно спроектировали установку на трехосном Форде и хотели ставить на Т-37 (1116,43).</w:t>
      </w:r>
    </w:p>
    <w:p w14:paraId="576A62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75216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ноября 1931 года КБ № 1 Орудийно-Арсенального объединения получило заказ на проектирование и изготовление опытного образца спаренной 20-мм пушки обр. 1930 г. Спаренная установка проектировалась в двух вариантах: на колесном лафете и на тумбе для стационарной установки. Вес установки на колесном лафете - 550 кг, угол ВН 0°, +80°, угол ГН - 360°. Установка имела съемный щит толщиной около 4 мм. Параллельно была спроектирована самоходная 20-мм установка на шасси трехосного автомобиля типа "Форд" для оснащения мото-механизированных бригад РККА. В ходе переоборудования платформа и кабина машины не менялась. Угол ГН по воздушным целям составлял 360°, а по наземным - 270° (из-за кабины). Расчет 4 человека. На платформе размещался боекомплект 1000 патронов, из них 200 в обоймах. Установка легко снималась с платформы и устанавливалась на грунт. Кроме того, проектировалось установить 20-мм пушку обр. 1930 г. в танкетку Т-27. Справа на месте пулемета устанавливалась качающаяся часть 20-мм автомата. Угол ГН составлял +15°, максимальный угол возвышения +10°. Таким образом установка не была приспособлена для зенитной стрельбы (3861).</w:t>
      </w:r>
    </w:p>
    <w:p w14:paraId="1326CD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2A54F42" w14:textId="77777777" w:rsidR="005D6F9D" w:rsidRPr="005E779E" w:rsidRDefault="005D6F9D"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bCs/>
          <w:iCs/>
          <w:color w:val="000000" w:themeColor="text1"/>
          <w:sz w:val="16"/>
          <w:szCs w:val="16"/>
        </w:rPr>
        <w:lastRenderedPageBreak/>
        <w:t>27 ноября 1931 г.</w:t>
      </w:r>
      <w:r w:rsidRPr="005E779E">
        <w:rPr>
          <w:rFonts w:ascii="Times New Roman" w:hAnsi="Times New Roman"/>
          <w:color w:val="000000" w:themeColor="text1"/>
          <w:sz w:val="16"/>
          <w:szCs w:val="16"/>
        </w:rPr>
        <w:t xml:space="preserve"> Демонстрация членам РВС СССР новых средств химического вооружения на военно-химическом полигоне в Кузьминках (Москва). Во время демонстрации командир химической роты распорядился «</w:t>
      </w:r>
      <w:r w:rsidRPr="005E779E">
        <w:rPr>
          <w:rFonts w:ascii="Times New Roman" w:hAnsi="Times New Roman"/>
          <w:iCs/>
          <w:color w:val="000000" w:themeColor="text1"/>
          <w:sz w:val="16"/>
          <w:szCs w:val="16"/>
        </w:rPr>
        <w:t>разогреть на костре бочку иприта</w:t>
      </w:r>
      <w:r w:rsidRPr="005E779E">
        <w:rPr>
          <w:rFonts w:ascii="Times New Roman" w:hAnsi="Times New Roman"/>
          <w:color w:val="000000" w:themeColor="text1"/>
          <w:sz w:val="16"/>
          <w:szCs w:val="16"/>
        </w:rPr>
        <w:t>» с завинченной пробкой, она взорвалась, три рядовых красноармейца, облитых ипритом, получили поражение (17133).</w:t>
      </w:r>
    </w:p>
    <w:p w14:paraId="2ADE6893" w14:textId="77777777" w:rsidR="005D6F9D" w:rsidRPr="005E779E" w:rsidRDefault="005D6F9D" w:rsidP="000B7A6C">
      <w:pPr>
        <w:shd w:val="clear" w:color="auto" w:fill="FFFFFF"/>
        <w:spacing w:after="0" w:line="240" w:lineRule="auto"/>
        <w:jc w:val="both"/>
        <w:rPr>
          <w:rFonts w:ascii="Times New Roman" w:hAnsi="Times New Roman"/>
          <w:color w:val="000000" w:themeColor="text1"/>
          <w:sz w:val="16"/>
          <w:szCs w:val="16"/>
        </w:rPr>
      </w:pPr>
    </w:p>
    <w:p w14:paraId="315EA1D3"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1672EE00"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22141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27 ноября и 3 декабря 1931. Из протокола заседания Политбюро № 78, 1931 г.</w:t>
      </w:r>
    </w:p>
    <w:p w14:paraId="60D5F5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Вопрос РВС </w:t>
      </w:r>
    </w:p>
    <w:p w14:paraId="0B4122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 Утвердить решение Оргбюро о мобилизации 10 тыс. коммунистов для набора в военные школы. </w:t>
      </w:r>
    </w:p>
    <w:p w14:paraId="5CE04B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б) Проведение мобилизации возложить на тт. Постышева, Гамарника, Ежова (11652). </w:t>
      </w:r>
    </w:p>
    <w:p w14:paraId="23C3A0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2DE521B"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4600A66E"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1FDB4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27 ноября и 3 декабря 1931. Из протокола заседания Политбюро № 77, 1931 г.</w:t>
      </w:r>
    </w:p>
    <w:p w14:paraId="1D1123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 плане отгрузок хлеба </w:t>
      </w:r>
    </w:p>
    <w:p w14:paraId="3591D0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Обязать Наркомснаб (тов. Микоян) выполнить полностью установленный план отгрузок хлеба на экспорт в ноябре месяце, заменив недостающее количество кукурузы, бобовых и ячменя отгрузкой в остающиеся дни ноября месяца ржи в количестве 100 тыс. тонн и пшеницы в количестве 30 тыс. тонн (11652). </w:t>
      </w:r>
    </w:p>
    <w:p w14:paraId="360804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CAE54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27 ноября и 3 декабря 1931. Из протокола заседания Политбюро № 77, 1931 г.</w:t>
      </w:r>
    </w:p>
    <w:p w14:paraId="76E0BC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 железнодорожной катастрофе с колхозниками, перевозимыми на Дальний Восток </w:t>
      </w:r>
    </w:p>
    <w:p w14:paraId="26AABA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Обязать НКПС (Народный комиссариат путей сообщения.— "Власть") представить в Политбюро исчерпывающие данные о железнодорожной катастрофе с колхозниками, перевозимыми на Дальний Восток, указав НКПСу на недопустимость того, что им до сих пор ничего не было сообщено в ЦК об этой катастрофе (11652).</w:t>
      </w:r>
    </w:p>
    <w:p w14:paraId="7EC6A2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5551D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27 ноября и 3 декабря 1931. Из протокола заседания Политбюро № 77, 1931 г.</w:t>
      </w:r>
    </w:p>
    <w:p w14:paraId="4D692E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 продовольственном снабжении районных руководящих работников </w:t>
      </w:r>
    </w:p>
    <w:p w14:paraId="572E15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Нормы снабжения районных работников (с членами их семей), подлежащих снабжению в централизованном порядке. </w:t>
      </w:r>
    </w:p>
    <w:p w14:paraId="1DE884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По продовольствию на одно лицо: хлеба — 800 г в день, крупы — 2,5 кг в месяц, рыбы — 2 кг в месяц, сахара — 1,5 кг в месяц, растительного масла — 400 г в месяц, чая — 25 г в месяц, мыла хозяйственного — 500 г в месяц, мыла туалетного — 1 кусок в месяц, консервов разных — 3 банки в месяц. </w:t>
      </w:r>
    </w:p>
    <w:p w14:paraId="7C278B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промтоварам: хлопчатобумажной ткани, готовое платье, обувь, галоши, трикотаж, папиросы, нитки — на 10 руб. в месяц на человека (11652).</w:t>
      </w:r>
    </w:p>
    <w:p w14:paraId="141ED8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E74136B"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Внешняя политика:</w:t>
      </w:r>
    </w:p>
    <w:p w14:paraId="4619F997"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D88EA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ноября 1931 СССР и Финляндия подписали соглашение о ненападении (2242,1).</w:t>
      </w:r>
    </w:p>
    <w:p w14:paraId="38915A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B4F61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ноября 1931 И.В.С в письме к К.Е.В. рассмотрел последствия японского вторжения в Манчжурию (сентябрь) (9089,149).</w:t>
      </w:r>
    </w:p>
    <w:p w14:paraId="6F622B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420DE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27 ноября и 3 декабря 1931. Из протокола заседания Политбюро № 77, 1931 г.</w:t>
      </w:r>
    </w:p>
    <w:p w14:paraId="1BFA64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 столкновении пароходов в Кильском канале </w:t>
      </w:r>
    </w:p>
    <w:p w14:paraId="6FDB94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Обязать Наркомвод представить в Политбюро исчерпывающие данные о затоплении нашим теплоходом голландского теплохода в Кильском канале, указав Наркомводу на недопустимость того, что им до сих пор ничего не было сообщено в ЦК об этом случае (11652).</w:t>
      </w:r>
    </w:p>
    <w:p w14:paraId="55CE12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D9EE2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27 ноября и 3 декабря 1931. Из протокола заседания Политбюро № 78, 1931 г.</w:t>
      </w:r>
    </w:p>
    <w:p w14:paraId="33649D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 конвенции по борьбе с наркотиками </w:t>
      </w:r>
    </w:p>
    <w:p w14:paraId="35F900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Считать нежелательным подписание конвенции о борьбе с наркотиками от 13 июля 1931 года (11652).</w:t>
      </w:r>
    </w:p>
    <w:p w14:paraId="2CA0588B" w14:textId="5F72B97E"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F4306B7" w14:textId="4150D7E9" w:rsidR="00AE643E" w:rsidRPr="005E779E" w:rsidRDefault="00AE643E" w:rsidP="000B7A6C">
      <w:pPr>
        <w:autoSpaceDE w:val="0"/>
        <w:autoSpaceDN w:val="0"/>
        <w:adjustRightInd w:val="0"/>
        <w:spacing w:after="0" w:line="240" w:lineRule="auto"/>
        <w:jc w:val="both"/>
        <w:rPr>
          <w:rFonts w:ascii="Times New Roman" w:hAnsi="Times New Roman"/>
          <w:i/>
          <w:iCs/>
          <w:color w:val="000000" w:themeColor="text1"/>
          <w:sz w:val="16"/>
          <w:szCs w:val="16"/>
        </w:rPr>
      </w:pPr>
      <w:r w:rsidRPr="005E779E">
        <w:rPr>
          <w:rFonts w:ascii="Times New Roman" w:hAnsi="Times New Roman"/>
          <w:i/>
          <w:iCs/>
          <w:color w:val="000000" w:themeColor="text1"/>
          <w:sz w:val="16"/>
          <w:szCs w:val="16"/>
        </w:rPr>
        <w:t>За рубежом:</w:t>
      </w:r>
    </w:p>
    <w:p w14:paraId="264E66E4" w14:textId="77777777" w:rsidR="00AE643E" w:rsidRPr="005E779E" w:rsidRDefault="00AE643E" w:rsidP="000B7A6C">
      <w:pPr>
        <w:autoSpaceDE w:val="0"/>
        <w:autoSpaceDN w:val="0"/>
        <w:adjustRightInd w:val="0"/>
        <w:spacing w:after="0" w:line="240" w:lineRule="auto"/>
        <w:jc w:val="both"/>
        <w:rPr>
          <w:rFonts w:ascii="Times New Roman" w:hAnsi="Times New Roman"/>
          <w:i/>
          <w:iCs/>
          <w:color w:val="000000" w:themeColor="text1"/>
          <w:sz w:val="16"/>
          <w:szCs w:val="16"/>
        </w:rPr>
      </w:pPr>
    </w:p>
    <w:p w14:paraId="3302A717" w14:textId="77777777" w:rsidR="00AE643E" w:rsidRPr="005E779E" w:rsidRDefault="00AE643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27 ноября 1931 состоялся первый полет Фейри Сил (20804). </w:t>
      </w:r>
    </w:p>
    <w:p w14:paraId="07D0DD46" w14:textId="77777777" w:rsidR="00AE643E" w:rsidRPr="005E779E" w:rsidRDefault="00AE643E" w:rsidP="000B7A6C">
      <w:pPr>
        <w:spacing w:after="0" w:line="240" w:lineRule="auto"/>
        <w:jc w:val="both"/>
        <w:rPr>
          <w:rFonts w:ascii="Times New Roman" w:hAnsi="Times New Roman"/>
          <w:color w:val="000000" w:themeColor="text1"/>
          <w:sz w:val="16"/>
          <w:szCs w:val="16"/>
        </w:rPr>
      </w:pPr>
    </w:p>
    <w:p w14:paraId="72C57794" w14:textId="77777777" w:rsidR="00AE643E" w:rsidRPr="005E779E" w:rsidRDefault="00AE643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 ноября 1931 состоялся первый полет Fokker D.XVII (20804).</w:t>
      </w:r>
    </w:p>
    <w:p w14:paraId="1C896EF7" w14:textId="77777777" w:rsidR="00AE643E" w:rsidRPr="005E779E" w:rsidRDefault="00AE643E" w:rsidP="000B7A6C">
      <w:pPr>
        <w:spacing w:after="0" w:line="240" w:lineRule="auto"/>
        <w:jc w:val="both"/>
        <w:rPr>
          <w:rFonts w:ascii="Times New Roman" w:hAnsi="Times New Roman"/>
          <w:color w:val="000000" w:themeColor="text1"/>
          <w:sz w:val="16"/>
          <w:szCs w:val="16"/>
        </w:rPr>
      </w:pPr>
    </w:p>
    <w:p w14:paraId="069F88EF" w14:textId="77777777" w:rsidR="00793DC8" w:rsidRPr="005E779E" w:rsidRDefault="00793DC8"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3154F152" w14:textId="77777777" w:rsidR="00793DC8" w:rsidRPr="005E779E" w:rsidRDefault="00793DC8"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945E8DE" w14:textId="77777777" w:rsidR="00793DC8" w:rsidRPr="005E779E" w:rsidRDefault="00793DC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28 ноября 1931 заводчане завода № 31 отрапортовали «наверх», что машина почти готова, не успели только обтянуть плоскости полотном и смонтировать оборудование. Но уже на следующий день кто-то из рабочих по ошибке оставил на ночь открытым паровой вентиль в цехе (гнутые деревян</w:t>
      </w:r>
      <w:r w:rsidRPr="005E779E">
        <w:rPr>
          <w:rFonts w:ascii="Times New Roman" w:hAnsi="Times New Roman"/>
          <w:color w:val="000000" w:themeColor="text1"/>
          <w:sz w:val="16"/>
          <w:szCs w:val="16"/>
          <w:lang w:eastAsia="ru-RU" w:bidi="ru-RU"/>
        </w:rPr>
        <w:softHyphen/>
        <w:t>ные детали предварительно распаривали). К утру все межкрыльевые стойки и подмоторные брусья перекосились и растрескались.</w:t>
      </w:r>
    </w:p>
    <w:p w14:paraId="1A037242" w14:textId="77777777" w:rsidR="00793DC8" w:rsidRPr="005E779E" w:rsidRDefault="00793DC8" w:rsidP="000B7A6C">
      <w:pPr>
        <w:spacing w:after="0" w:line="240" w:lineRule="auto"/>
        <w:jc w:val="both"/>
        <w:rPr>
          <w:rFonts w:ascii="Times New Roman" w:hAnsi="Times New Roman"/>
          <w:color w:val="000000" w:themeColor="text1"/>
          <w:sz w:val="16"/>
          <w:szCs w:val="16"/>
          <w:lang w:eastAsia="ru-RU" w:bidi="ru-RU"/>
        </w:rPr>
      </w:pPr>
      <w:r w:rsidRPr="005E779E">
        <w:rPr>
          <w:rFonts w:ascii="Times New Roman" w:hAnsi="Times New Roman"/>
          <w:color w:val="000000" w:themeColor="text1"/>
          <w:sz w:val="16"/>
          <w:szCs w:val="16"/>
          <w:lang w:eastAsia="ru-RU" w:bidi="ru-RU"/>
        </w:rPr>
        <w:t>В попытке спасти ситуацию завод обратился в ВАО с просьбой уменьшить план до 30 самолетов, а пять первых считать опытными. Эта маленькая хитрость позволяла су</w:t>
      </w:r>
      <w:r w:rsidRPr="005E779E">
        <w:rPr>
          <w:rFonts w:ascii="Times New Roman" w:hAnsi="Times New Roman"/>
          <w:color w:val="000000" w:themeColor="text1"/>
          <w:sz w:val="16"/>
          <w:szCs w:val="16"/>
          <w:lang w:eastAsia="ru-RU" w:bidi="ru-RU"/>
        </w:rPr>
        <w:softHyphen/>
        <w:t>щественно отклоняться от требований к серийным ма</w:t>
      </w:r>
      <w:r w:rsidRPr="005E779E">
        <w:rPr>
          <w:rFonts w:ascii="Times New Roman" w:hAnsi="Times New Roman"/>
          <w:color w:val="000000" w:themeColor="text1"/>
          <w:sz w:val="16"/>
          <w:szCs w:val="16"/>
          <w:lang w:eastAsia="ru-RU" w:bidi="ru-RU"/>
        </w:rPr>
        <w:softHyphen/>
        <w:t>шинам. ВАО с предложением завода согласился, но зато на следующий, 1932 г., от предприятия потребовали вы</w:t>
      </w:r>
      <w:r w:rsidRPr="005E779E">
        <w:rPr>
          <w:rFonts w:ascii="Times New Roman" w:hAnsi="Times New Roman"/>
          <w:color w:val="000000" w:themeColor="text1"/>
          <w:sz w:val="16"/>
          <w:szCs w:val="16"/>
          <w:lang w:eastAsia="ru-RU" w:bidi="ru-RU"/>
        </w:rPr>
        <w:softHyphen/>
        <w:t>пустить уже 110 лодок. При этом первые 50 машин долж</w:t>
      </w:r>
      <w:r w:rsidRPr="005E779E">
        <w:rPr>
          <w:rFonts w:ascii="Times New Roman" w:hAnsi="Times New Roman"/>
          <w:color w:val="000000" w:themeColor="text1"/>
          <w:sz w:val="16"/>
          <w:szCs w:val="16"/>
          <w:lang w:eastAsia="ru-RU" w:bidi="ru-RU"/>
        </w:rPr>
        <w:softHyphen/>
        <w:t>ны были оснащаться двигателями «Ассо», 10-20 следую</w:t>
      </w:r>
      <w:r w:rsidRPr="005E779E">
        <w:rPr>
          <w:rFonts w:ascii="Times New Roman" w:hAnsi="Times New Roman"/>
          <w:color w:val="000000" w:themeColor="text1"/>
          <w:sz w:val="16"/>
          <w:szCs w:val="16"/>
          <w:lang w:eastAsia="ru-RU" w:bidi="ru-RU"/>
        </w:rPr>
        <w:softHyphen/>
        <w:t>щих — новыми отечественными моторами М-27 (тоже 18-ци</w:t>
      </w:r>
      <w:r w:rsidRPr="005E779E">
        <w:rPr>
          <w:rFonts w:ascii="Times New Roman" w:hAnsi="Times New Roman"/>
          <w:color w:val="000000" w:themeColor="text1"/>
          <w:sz w:val="16"/>
          <w:szCs w:val="16"/>
          <w:lang w:eastAsia="ru-RU" w:bidi="ru-RU"/>
        </w:rPr>
        <w:softHyphen/>
        <w:t xml:space="preserve">линдровыми, </w:t>
      </w:r>
      <w:r w:rsidRPr="005E779E">
        <w:rPr>
          <w:rFonts w:ascii="Times New Roman" w:hAnsi="Times New Roman"/>
          <w:color w:val="000000" w:themeColor="text1"/>
          <w:sz w:val="16"/>
          <w:szCs w:val="16"/>
          <w:lang w:val="en-US" w:bidi="en-US"/>
        </w:rPr>
        <w:t>W</w:t>
      </w:r>
      <w:r w:rsidRPr="005E779E">
        <w:rPr>
          <w:rFonts w:ascii="Times New Roman" w:hAnsi="Times New Roman"/>
          <w:color w:val="000000" w:themeColor="text1"/>
          <w:sz w:val="16"/>
          <w:szCs w:val="16"/>
          <w:lang w:eastAsia="ru-RU" w:bidi="ru-RU"/>
        </w:rPr>
        <w:t>-образными, как «Ассо»), а все остальные — двигателями М-34. Машины с М-27 предназначались для гражданской авиации, с М-34 — для ВВС. Проектирование вариантов с М-27 и М-34 начали на заводе №31, но с кон</w:t>
      </w:r>
      <w:r w:rsidRPr="005E779E">
        <w:rPr>
          <w:rFonts w:ascii="Times New Roman" w:hAnsi="Times New Roman"/>
          <w:color w:val="000000" w:themeColor="text1"/>
          <w:sz w:val="16"/>
          <w:szCs w:val="16"/>
          <w:lang w:eastAsia="ru-RU" w:bidi="ru-RU"/>
        </w:rPr>
        <w:softHyphen/>
        <w:t>ца года все материалы передали в ЦАГИ (20325).</w:t>
      </w:r>
    </w:p>
    <w:p w14:paraId="1142FDC9" w14:textId="77777777" w:rsidR="00793DC8" w:rsidRPr="005E779E" w:rsidRDefault="00793DC8" w:rsidP="000B7A6C">
      <w:pPr>
        <w:spacing w:after="0" w:line="240" w:lineRule="auto"/>
        <w:jc w:val="both"/>
        <w:rPr>
          <w:rFonts w:ascii="Times New Roman" w:hAnsi="Times New Roman"/>
          <w:color w:val="000000" w:themeColor="text1"/>
          <w:sz w:val="16"/>
          <w:szCs w:val="16"/>
        </w:rPr>
      </w:pPr>
    </w:p>
    <w:p w14:paraId="1E719C72"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078B93FD"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0B90A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 ноября 1931 года Н.А. Доровлевым в Артиллерийское управление были отправлены рабочие чертежи 82-мм миномета. Первый 82-мм миномет был спроектирован группой Д на базе 81-мм трофейного миномета Стокса-Браундта. У минометов группы Д калибр был 82 мм, а не 81,4 мм, как у минометов Стокса-Браундта в остальных государствах мира для того, чтобы мины батальонных минометов иностранных армий могли быть использованы нашими минометчиками при стрельбе из наших минометов, в то время как наши мины не были пригодны для стрельбы из иностранных минометов.</w:t>
      </w:r>
    </w:p>
    <w:p w14:paraId="25E150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Cогласно проекту ствол миномета был гладкий. На конец трубы навинчен казенник с шаровой пятой для упора в плиту. На ствол надета обойма, связывающая ствол со станком. Обойма снабжена амортизаторными пружинами.</w:t>
      </w:r>
    </w:p>
    <w:p w14:paraId="4FDAA8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Станок двухколесный с механизмами вертикального и горизонтального наведения. Колеса в боевом положении вывешиваются. На поле боя станок перекатывался вручную с помощью двух оглобель.</w:t>
      </w:r>
    </w:p>
    <w:p w14:paraId="12739A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Число зарядов пять, вес их от 6 до 62 гр (3861).</w:t>
      </w:r>
    </w:p>
    <w:p w14:paraId="780D12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882329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 ноября 1931 года в резолюции по докладу директора ХПЗ Л.С.Владимирова на заседа</w:t>
      </w:r>
      <w:r w:rsidRPr="005E779E">
        <w:rPr>
          <w:rFonts w:ascii="Times New Roman" w:hAnsi="Times New Roman"/>
          <w:color w:val="000000" w:themeColor="text1"/>
          <w:sz w:val="16"/>
          <w:szCs w:val="16"/>
        </w:rPr>
        <w:softHyphen/>
        <w:t>нии бюро парткома завода отмечалось: «Разработан</w:t>
      </w:r>
      <w:r w:rsidRPr="005E779E">
        <w:rPr>
          <w:rFonts w:ascii="Times New Roman" w:hAnsi="Times New Roman"/>
          <w:color w:val="000000" w:themeColor="text1"/>
          <w:sz w:val="16"/>
          <w:szCs w:val="16"/>
        </w:rPr>
        <w:softHyphen/>
        <w:t>ная конструкторскими силами ХПЗ новая конструкция дизеля марки Д-40 сможет заменить строящиеся на заводе заграничные типы дизелей и тем самым освободить СССР в этой части от иностранной зависимости. В на</w:t>
      </w:r>
      <w:r w:rsidRPr="005E779E">
        <w:rPr>
          <w:rFonts w:ascii="Times New Roman" w:hAnsi="Times New Roman"/>
          <w:color w:val="000000" w:themeColor="text1"/>
          <w:sz w:val="16"/>
          <w:szCs w:val="16"/>
        </w:rPr>
        <w:softHyphen/>
        <w:t>стоящее время на заводе строится опытный образец этой машины».</w:t>
      </w:r>
    </w:p>
    <w:p w14:paraId="25DC733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1931 года началось изготовление дизеля Д-40. Его испыта</w:t>
      </w:r>
      <w:r w:rsidRPr="005E779E">
        <w:rPr>
          <w:rFonts w:ascii="Times New Roman" w:hAnsi="Times New Roman"/>
          <w:color w:val="000000" w:themeColor="text1"/>
          <w:sz w:val="16"/>
          <w:szCs w:val="16"/>
        </w:rPr>
        <w:softHyphen/>
        <w:t>ния дали удовлетворительные результаты. В апреле 1932 года «Комсо</w:t>
      </w:r>
      <w:r w:rsidRPr="005E779E">
        <w:rPr>
          <w:rFonts w:ascii="Times New Roman" w:hAnsi="Times New Roman"/>
          <w:color w:val="000000" w:themeColor="text1"/>
          <w:sz w:val="16"/>
          <w:szCs w:val="16"/>
        </w:rPr>
        <w:softHyphen/>
        <w:t>мольский» — так назвали заводчане своего первенца — был сдан в эксплу</w:t>
      </w:r>
      <w:r w:rsidRPr="005E779E">
        <w:rPr>
          <w:rFonts w:ascii="Times New Roman" w:hAnsi="Times New Roman"/>
          <w:color w:val="000000" w:themeColor="text1"/>
          <w:sz w:val="16"/>
          <w:szCs w:val="16"/>
        </w:rPr>
        <w:softHyphen/>
        <w:t>атацию. Настал конец зависимости нашего дизелестроения от иностран</w:t>
      </w:r>
      <w:r w:rsidRPr="005E779E">
        <w:rPr>
          <w:rFonts w:ascii="Times New Roman" w:hAnsi="Times New Roman"/>
          <w:color w:val="000000" w:themeColor="text1"/>
          <w:sz w:val="16"/>
          <w:szCs w:val="16"/>
        </w:rPr>
        <w:softHyphen/>
        <w:t>ной фирмы «Зульцер». А уже в начале 1933 года коллектив паровозостроителей работал над проблемой изготовления дизеля для тепловозов (11504).</w:t>
      </w:r>
    </w:p>
    <w:p w14:paraId="153C2DEB" w14:textId="6551AD54"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2B27CB" w14:textId="77777777" w:rsidR="003C29EC" w:rsidRPr="005E779E" w:rsidRDefault="003C29EC" w:rsidP="003C29E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52A25F47" w14:textId="77777777" w:rsidR="003C29EC" w:rsidRPr="005E779E" w:rsidRDefault="003C29EC" w:rsidP="003C29EC">
      <w:pPr>
        <w:autoSpaceDE w:val="0"/>
        <w:autoSpaceDN w:val="0"/>
        <w:adjustRightInd w:val="0"/>
        <w:spacing w:after="0" w:line="240" w:lineRule="auto"/>
        <w:jc w:val="both"/>
        <w:rPr>
          <w:rFonts w:ascii="Times New Roman" w:hAnsi="Times New Roman"/>
          <w:iCs/>
          <w:color w:val="000000" w:themeColor="text1"/>
          <w:sz w:val="16"/>
          <w:szCs w:val="16"/>
        </w:rPr>
      </w:pPr>
    </w:p>
    <w:p w14:paraId="74FEDE0F" w14:textId="77777777" w:rsidR="003C29EC" w:rsidRPr="00142305" w:rsidRDefault="003C29EC" w:rsidP="003C29EC">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lastRenderedPageBreak/>
        <w:t>29 ноября 1931 г. начальник группы «Д» Доровлев отправил в Артиллерийское управление рабочие чертежи 82-мм миномета. Согласно проекту ствол 82-мм миномета был гладкий. На конец трубы навинчен казенник с шаровой пятой для упора в плиту. На ствол надета обойма, связывающая ствол со станком. Обойма снабжена амортизаторными пружи</w:t>
      </w:r>
      <w:r w:rsidRPr="00142305">
        <w:rPr>
          <w:rStyle w:val="aff0"/>
          <w:rFonts w:ascii="Times New Roman" w:hAnsi="Times New Roman" w:cs="Times New Roman"/>
          <w:color w:val="0070C0"/>
          <w:spacing w:val="0"/>
          <w:sz w:val="16"/>
          <w:szCs w:val="16"/>
        </w:rPr>
        <w:softHyphen/>
        <w:t>нами.</w:t>
      </w:r>
    </w:p>
    <w:p w14:paraId="7099D23E" w14:textId="77777777" w:rsidR="003C29EC" w:rsidRPr="00142305" w:rsidRDefault="003C29EC" w:rsidP="003C29EC">
      <w:pPr>
        <w:spacing w:after="0" w:line="240" w:lineRule="auto"/>
        <w:jc w:val="both"/>
        <w:rPr>
          <w:rStyle w:val="aff0"/>
          <w:rFonts w:ascii="Times New Roman" w:hAnsi="Times New Roman" w:cs="Times New Roman"/>
          <w:color w:val="0070C0"/>
          <w:spacing w:val="0"/>
          <w:sz w:val="16"/>
          <w:szCs w:val="16"/>
        </w:rPr>
      </w:pPr>
      <w:r w:rsidRPr="00142305">
        <w:rPr>
          <w:rStyle w:val="aff0"/>
          <w:rFonts w:ascii="Times New Roman" w:hAnsi="Times New Roman" w:cs="Times New Roman"/>
          <w:color w:val="0070C0"/>
          <w:spacing w:val="0"/>
          <w:sz w:val="16"/>
          <w:szCs w:val="16"/>
        </w:rPr>
        <w:t>Инженер Колесников спроектировал колесный ход к миномету по типу своего знаменитого пулеметного станка обр. 1912 г. Колеса в боевом положении вывешивались. На поле боя станок перекатывался вручную с помощью двух оглобель. Число зарядов пять, вес их от 6 до 62 г</w:t>
      </w:r>
    </w:p>
    <w:p w14:paraId="58238AD6" w14:textId="77777777" w:rsidR="003C29EC" w:rsidRPr="00142305" w:rsidRDefault="003C29EC" w:rsidP="003C29EC">
      <w:pPr>
        <w:spacing w:after="0" w:line="240" w:lineRule="auto"/>
        <w:jc w:val="both"/>
        <w:rPr>
          <w:rStyle w:val="aff0"/>
          <w:rFonts w:ascii="Times New Roman" w:hAnsi="Times New Roman" w:cs="Times New Roman"/>
          <w:color w:val="0070C0"/>
          <w:spacing w:val="0"/>
          <w:sz w:val="16"/>
          <w:szCs w:val="16"/>
        </w:rPr>
      </w:pPr>
      <w:r w:rsidRPr="00142305">
        <w:rPr>
          <w:rStyle w:val="aff0"/>
          <w:rFonts w:ascii="Times New Roman" w:hAnsi="Times New Roman" w:cs="Times New Roman"/>
          <w:color w:val="0070C0"/>
          <w:spacing w:val="0"/>
          <w:sz w:val="16"/>
          <w:szCs w:val="16"/>
        </w:rPr>
        <w:t>При весе мины 3,6 кг и максимальном давлении в ка</w:t>
      </w:r>
      <w:r w:rsidRPr="00142305">
        <w:rPr>
          <w:rStyle w:val="aff0"/>
          <w:rFonts w:ascii="Times New Roman" w:hAnsi="Times New Roman" w:cs="Times New Roman"/>
          <w:color w:val="0070C0"/>
          <w:spacing w:val="0"/>
          <w:sz w:val="16"/>
          <w:szCs w:val="16"/>
        </w:rPr>
        <w:softHyphen/>
        <w:t>нале ствола 250 кг/см</w:t>
      </w:r>
      <w:r w:rsidRPr="00142305">
        <w:rPr>
          <w:rStyle w:val="aff0"/>
          <w:rFonts w:ascii="Times New Roman" w:hAnsi="Times New Roman" w:cs="Times New Roman"/>
          <w:color w:val="0070C0"/>
          <w:spacing w:val="0"/>
          <w:sz w:val="16"/>
          <w:szCs w:val="16"/>
          <w:vertAlign w:val="superscript"/>
        </w:rPr>
        <w:t>2</w:t>
      </w:r>
      <w:r w:rsidRPr="00142305">
        <w:rPr>
          <w:rStyle w:val="aff0"/>
          <w:rFonts w:ascii="Times New Roman" w:hAnsi="Times New Roman" w:cs="Times New Roman"/>
          <w:color w:val="0070C0"/>
          <w:spacing w:val="0"/>
          <w:sz w:val="16"/>
          <w:szCs w:val="16"/>
        </w:rPr>
        <w:t xml:space="preserve"> максимальная дальность стрельбы составляла 2500 м, а минимальная (при угле +70°) — 150 м (25437).</w:t>
      </w:r>
    </w:p>
    <w:p w14:paraId="66920663" w14:textId="77777777" w:rsidR="003C29EC" w:rsidRPr="00142305" w:rsidRDefault="003C29EC" w:rsidP="003C29EC">
      <w:pPr>
        <w:spacing w:after="0" w:line="240" w:lineRule="auto"/>
        <w:jc w:val="both"/>
        <w:rPr>
          <w:rFonts w:ascii="Times New Roman" w:hAnsi="Times New Roman"/>
          <w:color w:val="0070C0"/>
          <w:sz w:val="16"/>
          <w:szCs w:val="16"/>
        </w:rPr>
      </w:pPr>
    </w:p>
    <w:p w14:paraId="0973557F" w14:textId="789B5DB6" w:rsidR="009F41D1" w:rsidRPr="005E779E" w:rsidRDefault="009F41D1" w:rsidP="000B7A6C">
      <w:pPr>
        <w:shd w:val="clear" w:color="auto" w:fill="FFFFFF"/>
        <w:autoSpaceDE w:val="0"/>
        <w:autoSpaceDN w:val="0"/>
        <w:adjustRightInd w:val="0"/>
        <w:spacing w:after="0" w:line="240" w:lineRule="auto"/>
        <w:jc w:val="both"/>
        <w:rPr>
          <w:rFonts w:ascii="Times New Roman" w:hAnsi="Times New Roman"/>
          <w:i/>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28F5569D" w14:textId="77777777" w:rsidR="009F41D1" w:rsidRPr="005E779E" w:rsidRDefault="009F41D1" w:rsidP="000B7A6C">
      <w:pPr>
        <w:shd w:val="clear" w:color="auto" w:fill="FFFFFF"/>
        <w:autoSpaceDE w:val="0"/>
        <w:autoSpaceDN w:val="0"/>
        <w:adjustRightInd w:val="0"/>
        <w:spacing w:after="0" w:line="240" w:lineRule="auto"/>
        <w:jc w:val="both"/>
        <w:rPr>
          <w:rFonts w:ascii="Times New Roman" w:hAnsi="Times New Roman"/>
          <w:i/>
          <w:iCs/>
          <w:color w:val="000000" w:themeColor="text1"/>
          <w:sz w:val="16"/>
          <w:szCs w:val="16"/>
        </w:rPr>
      </w:pPr>
    </w:p>
    <w:p w14:paraId="3EB9E4C7" w14:textId="77777777" w:rsidR="009F41D1" w:rsidRPr="005E779E" w:rsidRDefault="009F41D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 ноября 1931 г. Поста</w:t>
      </w:r>
      <w:r w:rsidRPr="005E779E">
        <w:rPr>
          <w:rFonts w:ascii="Times New Roman" w:hAnsi="Times New Roman"/>
          <w:color w:val="000000" w:themeColor="text1"/>
          <w:sz w:val="16"/>
          <w:szCs w:val="16"/>
        </w:rPr>
        <w:softHyphen/>
        <w:t>новлением СТО при Наркомате рабоче</w:t>
      </w:r>
      <w:r w:rsidRPr="005E779E">
        <w:rPr>
          <w:rFonts w:ascii="Times New Roman" w:hAnsi="Times New Roman"/>
          <w:color w:val="000000" w:themeColor="text1"/>
          <w:sz w:val="16"/>
          <w:szCs w:val="16"/>
        </w:rPr>
        <w:softHyphen/>
        <w:t>крестьянской инспекции (НКРКИ) была создана специальная финансово-техническая арбитражная комиссия для разбора споров по военным заказам. В 1934 г. арбитражная комиссия была ликвидирована вместе с НКРКИ, — взамен была установ</w:t>
      </w:r>
      <w:r w:rsidRPr="005E779E">
        <w:rPr>
          <w:rFonts w:ascii="Times New Roman" w:hAnsi="Times New Roman"/>
          <w:color w:val="000000" w:themeColor="text1"/>
          <w:sz w:val="16"/>
          <w:szCs w:val="16"/>
        </w:rPr>
        <w:softHyphen/>
        <w:t>лена новая специальная процедура. Споры по военным заказам не подлежали рассмотрению местных органов арбитража, а мог</w:t>
      </w:r>
      <w:r w:rsidRPr="005E779E">
        <w:rPr>
          <w:rFonts w:ascii="Times New Roman" w:hAnsi="Times New Roman"/>
          <w:color w:val="000000" w:themeColor="text1"/>
          <w:sz w:val="16"/>
          <w:szCs w:val="16"/>
        </w:rPr>
        <w:softHyphen/>
        <w:t>ли разбираться только в центре, главным арбитром «вне зависи</w:t>
      </w:r>
      <w:r w:rsidRPr="005E779E">
        <w:rPr>
          <w:rFonts w:ascii="Times New Roman" w:hAnsi="Times New Roman"/>
          <w:color w:val="000000" w:themeColor="text1"/>
          <w:sz w:val="16"/>
          <w:szCs w:val="16"/>
        </w:rPr>
        <w:softHyphen/>
        <w:t>мости от цены иска» (ГАРФ. Ф. 5446. On. 15a. Д. 1101. Л. 1. Постановление CHK 561/92-c от 18.03.1934). Так как главный арбитр сразу же оказал</w:t>
      </w:r>
      <w:r w:rsidRPr="005E779E">
        <w:rPr>
          <w:rFonts w:ascii="Times New Roman" w:hAnsi="Times New Roman"/>
          <w:color w:val="000000" w:themeColor="text1"/>
          <w:sz w:val="16"/>
          <w:szCs w:val="16"/>
        </w:rPr>
        <w:softHyphen/>
        <w:t>ся перегружен работой по спорам вокруг военных заказов, то уже в 1936 г. был установлен ценз — сначала в 10 тыс. руб., а чуть позже в 25 тыс. руб. — для исков, которые он должен был рассматривать. Иски по несекретным военным заказам на меньшие суммы подлежали рассмотрению в общем порядке (ГАРФ. Ф. 5446. On. 18a. Д. 893. Л. 1. Письмо CHK в Госарбитраж от 16.12.1936.) (22647).94.</w:t>
      </w:r>
    </w:p>
    <w:p w14:paraId="7C8A6BAC" w14:textId="77777777" w:rsidR="009F41D1" w:rsidRPr="005E779E" w:rsidRDefault="009F41D1" w:rsidP="000B7A6C">
      <w:pPr>
        <w:spacing w:after="0" w:line="240" w:lineRule="auto"/>
        <w:jc w:val="both"/>
        <w:rPr>
          <w:rFonts w:ascii="Times New Roman" w:hAnsi="Times New Roman"/>
          <w:color w:val="000000" w:themeColor="text1"/>
          <w:sz w:val="16"/>
          <w:szCs w:val="16"/>
        </w:rPr>
      </w:pPr>
    </w:p>
    <w:p w14:paraId="40BA414D"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4467F1E7"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2B7F6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 ноября 1931 испанское правительство конфисковало крупные поместья с целью перераспределения земли (2100).</w:t>
      </w:r>
    </w:p>
    <w:p w14:paraId="468A6F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7F56750" w14:textId="77777777" w:rsidR="005D6F9D"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2C893E15" w14:textId="77777777" w:rsidR="005D6F9D" w:rsidRPr="005E779E" w:rsidRDefault="005D6F9D"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81F7330" w14:textId="77777777" w:rsidR="005D6F9D" w:rsidRPr="005E779E" w:rsidRDefault="005D6F9D"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 ноября 1931 НТК ВВС утвердил новые тактико-технические требования к самолетам-штурмовикам этого класса. В конструкцию ТШ-1 пришлось вносить соответствующие коррективы. Новый штурмовик принципиально отличался от прежних машин тем, что его броня была не добавочной обшивкой, закрепляемой на основной части конструкции, а представляла собой коробку, образующую переднюю часть фюзеляжа. Такой способ бронирования оказался очень интересным решением, обладающим большими потенциальными возможностями и на протяжении следующих лет послужил основой разнообразных проектов штурмовиков. Бронекоробка состояла из плоских или цилиндрически согнутых кусков. Поверхностей двоякой кривизны не было. Кабина летнаба замыкалась сзади большим листом, согнутым в форме цилиндра, поставленного вертикально. Всего было до 20 кусков брони. В месте установки двигателя и у края кабины летчика, борт бронекоробки мог открываться на шарнирах. Толщина брони: по низу 6 мм, по бортам 5 мм, по верху 4 мм. Броня для штурмовиков изготовлялась на Ижорском заводе под Ленинградом и доставлялась на завод № 39 кусками. Относительно способов соединения кусков брони не было единого решения. Применялась сварка, соединение на болтах и на заклепках. Сварка брони (автогенная) оказалась не простым делом. При ее выполнении нарушалась строгая геометрия бронекоробки, иногда появлялись трещины. После изготовления первого экземпляра самолета со сварной бронекоробкой, от сварки отказались и обратились к болтовому соединению. Однако броня на завод № 39 доставлялась уже закаленной и сверлить в ней отверстия также было непросто. Пробовали травить отверстия соляной кислотой, но это мало помогало. В итоге сделали чертежи и заказали куски брони со всеми отверстиями. После этого стали собирать бронекоробку на 6-мм болтах с потайной головкой и шагом 25-30 мм. На болтах (винтах) крепились и все узлы бронекоробки. Масса бронекоробки составляла около 520 кг. Конструкция ТШ-1 была смешанной. В бронекоробке размещались кабины летчика и стрелка, двигатель ВМW-6, радиатор и основной бензобак. К бронекоробке крепилась сваренная из стальных труб хвостовая часть. Крылья имели площадь 60 кв. метров, шасси значительно усиленные. В соответствии с основным назначением – атака наземных целей с малых высот - бортовое вооружение ТШ-1 состояло из двух установленных над двигателем синхронных пулеметов ПВ-1, двух пулеметов ДА (Дегтярев, авиационный) - на турели и восьми пулемеметов ПВ-1 под нижним крылом. Вместо этих пулеметов могла подвешиваться «гранатница» – ящик на 300 ручных гранат, помещавшихся вертикально и сбрасываемых посредством отсечного механизма – «мальтийского креста». Вопросами вооружения штурмовика занимался А.В. Надашкевич, отличавшийся творческим подходом, изобретательностью и достижением хороших результатов работ (15223).</w:t>
      </w:r>
    </w:p>
    <w:p w14:paraId="5992BDD2" w14:textId="77777777" w:rsidR="005D6F9D" w:rsidRPr="005E779E" w:rsidRDefault="005D6F9D" w:rsidP="000B7A6C">
      <w:pPr>
        <w:shd w:val="clear" w:color="auto" w:fill="FFFFFF"/>
        <w:spacing w:after="0" w:line="240" w:lineRule="auto"/>
        <w:jc w:val="both"/>
        <w:rPr>
          <w:rFonts w:ascii="Times New Roman" w:hAnsi="Times New Roman"/>
          <w:color w:val="000000" w:themeColor="text1"/>
          <w:sz w:val="16"/>
          <w:szCs w:val="16"/>
        </w:rPr>
      </w:pPr>
    </w:p>
    <w:p w14:paraId="6D8902C5" w14:textId="77777777" w:rsidR="00CB6D91"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3C3C2578" w14:textId="77777777" w:rsidR="00CB6D91" w:rsidRPr="005E779E" w:rsidRDefault="00CB6D91"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A7647A1" w14:textId="77777777" w:rsidR="00CB6D91" w:rsidRPr="005E779E" w:rsidRDefault="00CB6D91"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30 ноября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Постановление СНК СССР № 257сс об утверждении плана вывоза на 1931 г. по Западной приграничной полосе, Крымской АССР, Северному Кавказу, ЗСФСР, Дальневосточному и Восточносибирскому краю (ГА РФ. Ф. Р?8418. Оп. 28. Д. 14а. Л. 79?89) (12415).</w:t>
      </w:r>
    </w:p>
    <w:p w14:paraId="56A6DFED" w14:textId="77777777" w:rsidR="00CB6D91" w:rsidRPr="005E779E" w:rsidRDefault="00CB6D91" w:rsidP="000B7A6C">
      <w:pPr>
        <w:spacing w:after="0" w:line="240" w:lineRule="auto"/>
        <w:jc w:val="both"/>
        <w:rPr>
          <w:rFonts w:ascii="Times New Roman" w:hAnsi="Times New Roman"/>
          <w:color w:val="000000" w:themeColor="text1"/>
          <w:sz w:val="16"/>
          <w:szCs w:val="16"/>
          <w:u w:color="002060"/>
        </w:rPr>
      </w:pPr>
    </w:p>
    <w:p w14:paraId="5AE96B47"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47C55703"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6F5063A" w14:textId="77777777" w:rsidR="0058334C" w:rsidRPr="005E779E" w:rsidRDefault="0058334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К концу ноября 1931 заводу №39 удалось завершить постройку ТШ-2 № 2 с М-17 и довести самолет до летного состояния. Собственно доводился не столько са</w:t>
      </w:r>
      <w:r w:rsidRPr="005E779E">
        <w:rPr>
          <w:rFonts w:ascii="Times New Roman" w:hAnsi="Times New Roman"/>
          <w:color w:val="000000" w:themeColor="text1"/>
          <w:sz w:val="16"/>
          <w:szCs w:val="16"/>
          <w:lang w:eastAsia="ru-RU" w:bidi="ru-RU"/>
        </w:rPr>
        <w:softHyphen/>
        <w:t>молет, сколько система охлаждения мо</w:t>
      </w:r>
      <w:r w:rsidRPr="005E779E">
        <w:rPr>
          <w:rFonts w:ascii="Times New Roman" w:hAnsi="Times New Roman"/>
          <w:color w:val="000000" w:themeColor="text1"/>
          <w:sz w:val="16"/>
          <w:szCs w:val="16"/>
          <w:lang w:eastAsia="ru-RU" w:bidi="ru-RU"/>
        </w:rPr>
        <w:softHyphen/>
        <w:t>тора. Несколько раз переделывалась маслосистема. Долго подбирались сорта резины и металлов, стойкие к воздей</w:t>
      </w:r>
      <w:r w:rsidRPr="005E779E">
        <w:rPr>
          <w:rFonts w:ascii="Times New Roman" w:hAnsi="Times New Roman"/>
          <w:color w:val="000000" w:themeColor="text1"/>
          <w:sz w:val="16"/>
          <w:szCs w:val="16"/>
          <w:lang w:eastAsia="ru-RU" w:bidi="ru-RU"/>
        </w:rPr>
        <w:softHyphen/>
        <w:t>ствию этиленгликоля. В конечном итоге, удалось добиться вполне устойчивой ра</w:t>
      </w:r>
      <w:r w:rsidRPr="005E779E">
        <w:rPr>
          <w:rFonts w:ascii="Times New Roman" w:hAnsi="Times New Roman"/>
          <w:color w:val="000000" w:themeColor="text1"/>
          <w:sz w:val="16"/>
          <w:szCs w:val="16"/>
          <w:lang w:eastAsia="ru-RU" w:bidi="ru-RU"/>
        </w:rPr>
        <w:softHyphen/>
        <w:t>боты системы охлаждения - «тепловой режим мотора при использовании эти</w:t>
      </w:r>
      <w:r w:rsidRPr="005E779E">
        <w:rPr>
          <w:rFonts w:ascii="Times New Roman" w:hAnsi="Times New Roman"/>
          <w:color w:val="000000" w:themeColor="text1"/>
          <w:sz w:val="16"/>
          <w:szCs w:val="16"/>
          <w:lang w:eastAsia="ru-RU" w:bidi="ru-RU"/>
        </w:rPr>
        <w:softHyphen/>
        <w:t>ленгликоля в норме».</w:t>
      </w:r>
    </w:p>
    <w:p w14:paraId="40FCA966" w14:textId="77777777" w:rsidR="0058334C" w:rsidRPr="005E779E" w:rsidRDefault="0058334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Испытания продолжались до конца 1931 г. Были получены в целом те же ре</w:t>
      </w:r>
      <w:r w:rsidRPr="005E779E">
        <w:rPr>
          <w:rFonts w:ascii="Times New Roman" w:hAnsi="Times New Roman"/>
          <w:color w:val="000000" w:themeColor="text1"/>
          <w:sz w:val="16"/>
          <w:szCs w:val="16"/>
          <w:lang w:eastAsia="ru-RU" w:bidi="ru-RU"/>
        </w:rPr>
        <w:softHyphen/>
        <w:t>зультаты, что и годом ранее. Летные данные - скорость, вертикальная и го</w:t>
      </w:r>
      <w:r w:rsidRPr="005E779E">
        <w:rPr>
          <w:rFonts w:ascii="Times New Roman" w:hAnsi="Times New Roman"/>
          <w:color w:val="000000" w:themeColor="text1"/>
          <w:sz w:val="16"/>
          <w:szCs w:val="16"/>
          <w:lang w:eastAsia="ru-RU" w:bidi="ru-RU"/>
        </w:rPr>
        <w:softHyphen/>
        <w:t>ризонтальная маневренность, радиус действия, признавались недостаточными для штурмовика. Боевые качества также оставляли желать лучшего. К тому же производственное исполнение самолета оказалось неважным. Вопросы надеж</w:t>
      </w:r>
      <w:r w:rsidRPr="005E779E">
        <w:rPr>
          <w:rFonts w:ascii="Times New Roman" w:hAnsi="Times New Roman"/>
          <w:color w:val="000000" w:themeColor="text1"/>
          <w:sz w:val="16"/>
          <w:szCs w:val="16"/>
          <w:lang w:eastAsia="ru-RU" w:bidi="ru-RU"/>
        </w:rPr>
        <w:softHyphen/>
        <w:t>ной эксплуатации системы охлаждения на основе гликоля в полной мере разре</w:t>
      </w:r>
      <w:r w:rsidRPr="005E779E">
        <w:rPr>
          <w:rFonts w:ascii="Times New Roman" w:hAnsi="Times New Roman"/>
          <w:color w:val="000000" w:themeColor="text1"/>
          <w:sz w:val="16"/>
          <w:szCs w:val="16"/>
          <w:lang w:eastAsia="ru-RU" w:bidi="ru-RU"/>
        </w:rPr>
        <w:softHyphen/>
        <w:t>шить все же не удалось.</w:t>
      </w:r>
    </w:p>
    <w:p w14:paraId="37FB8F16" w14:textId="77777777" w:rsidR="0058334C" w:rsidRPr="005E779E" w:rsidRDefault="0058334C" w:rsidP="000B7A6C">
      <w:pPr>
        <w:spacing w:after="0" w:line="240" w:lineRule="auto"/>
        <w:jc w:val="both"/>
        <w:rPr>
          <w:rFonts w:ascii="Times New Roman" w:hAnsi="Times New Roman"/>
          <w:color w:val="000000" w:themeColor="text1"/>
          <w:sz w:val="16"/>
          <w:szCs w:val="16"/>
          <w:lang w:eastAsia="ru-RU" w:bidi="ru-RU"/>
        </w:rPr>
      </w:pPr>
      <w:r w:rsidRPr="005E779E">
        <w:rPr>
          <w:rFonts w:ascii="Times New Roman" w:hAnsi="Times New Roman"/>
          <w:color w:val="000000" w:themeColor="text1"/>
          <w:sz w:val="16"/>
          <w:szCs w:val="16"/>
          <w:lang w:eastAsia="ru-RU" w:bidi="ru-RU"/>
        </w:rPr>
        <w:t>В итоге решили довести самолет в части вооружения (главным образом, бомбардировочного и химического) и качества внешней отделки, после чего вновь испытать. Все улучшения предла</w:t>
      </w:r>
      <w:r w:rsidRPr="005E779E">
        <w:rPr>
          <w:rFonts w:ascii="Times New Roman" w:hAnsi="Times New Roman"/>
          <w:color w:val="000000" w:themeColor="text1"/>
          <w:sz w:val="16"/>
          <w:szCs w:val="16"/>
          <w:lang w:eastAsia="ru-RU" w:bidi="ru-RU"/>
        </w:rPr>
        <w:softHyphen/>
        <w:t>галось использовать при постройке эта</w:t>
      </w:r>
      <w:r w:rsidRPr="005E779E">
        <w:rPr>
          <w:rFonts w:ascii="Times New Roman" w:hAnsi="Times New Roman"/>
          <w:color w:val="000000" w:themeColor="text1"/>
          <w:sz w:val="16"/>
          <w:szCs w:val="16"/>
          <w:lang w:eastAsia="ru-RU" w:bidi="ru-RU"/>
        </w:rPr>
        <w:softHyphen/>
        <w:t>лонного (для серии) образца ТШ-2 М-17, срок предъявления которого на государ</w:t>
      </w:r>
      <w:r w:rsidRPr="005E779E">
        <w:rPr>
          <w:rFonts w:ascii="Times New Roman" w:hAnsi="Times New Roman"/>
          <w:color w:val="000000" w:themeColor="text1"/>
          <w:sz w:val="16"/>
          <w:szCs w:val="16"/>
          <w:lang w:eastAsia="ru-RU" w:bidi="ru-RU"/>
        </w:rPr>
        <w:softHyphen/>
        <w:t>ственные испытания устанавливался 1 марта 1932 г.</w:t>
      </w:r>
    </w:p>
    <w:p w14:paraId="48AD2173" w14:textId="77777777" w:rsidR="0058334C" w:rsidRPr="005E779E" w:rsidRDefault="0058334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В связи с объединением ЦКБ и АГОС ЦАГИ с обра</w:t>
      </w:r>
      <w:r w:rsidRPr="005E779E">
        <w:rPr>
          <w:rFonts w:ascii="Times New Roman" w:hAnsi="Times New Roman"/>
          <w:color w:val="000000" w:themeColor="text1"/>
          <w:sz w:val="16"/>
          <w:szCs w:val="16"/>
          <w:lang w:eastAsia="ru-RU" w:bidi="ru-RU"/>
        </w:rPr>
        <w:softHyphen/>
        <w:t>зованием единого конструкторского бюро - ЦКБ ЦАГИ, и переездом ЦКБ в ЦАГИ туда же старались передать и все работы по постройке опытных самоле</w:t>
      </w:r>
      <w:r w:rsidRPr="005E779E">
        <w:rPr>
          <w:rFonts w:ascii="Times New Roman" w:hAnsi="Times New Roman"/>
          <w:color w:val="000000" w:themeColor="text1"/>
          <w:sz w:val="16"/>
          <w:szCs w:val="16"/>
          <w:lang w:eastAsia="ru-RU" w:bidi="ru-RU"/>
        </w:rPr>
        <w:softHyphen/>
        <w:t>тов. В частности, в случае невозможности обеспечить на заводе №39 постройку к установленному сроку образцового само</w:t>
      </w:r>
      <w:r w:rsidRPr="005E779E">
        <w:rPr>
          <w:rFonts w:ascii="Times New Roman" w:hAnsi="Times New Roman"/>
          <w:color w:val="000000" w:themeColor="text1"/>
          <w:sz w:val="16"/>
          <w:szCs w:val="16"/>
          <w:lang w:eastAsia="ru-RU" w:bidi="ru-RU"/>
        </w:rPr>
        <w:softHyphen/>
        <w:t>лета ТШ-2 М-17 предполагалось достро</w:t>
      </w:r>
      <w:r w:rsidRPr="005E779E">
        <w:rPr>
          <w:rFonts w:ascii="Times New Roman" w:hAnsi="Times New Roman"/>
          <w:color w:val="000000" w:themeColor="text1"/>
          <w:sz w:val="16"/>
          <w:szCs w:val="16"/>
          <w:lang w:eastAsia="ru-RU" w:bidi="ru-RU"/>
        </w:rPr>
        <w:softHyphen/>
        <w:t>ить машину на заводе опытных конструк</w:t>
      </w:r>
      <w:r w:rsidRPr="005E779E">
        <w:rPr>
          <w:rFonts w:ascii="Times New Roman" w:hAnsi="Times New Roman"/>
          <w:color w:val="000000" w:themeColor="text1"/>
          <w:sz w:val="16"/>
          <w:szCs w:val="16"/>
          <w:lang w:eastAsia="ru-RU" w:bidi="ru-RU"/>
        </w:rPr>
        <w:softHyphen/>
        <w:t>ций ЦАГИ. В то же время уже построен</w:t>
      </w:r>
      <w:r w:rsidRPr="005E779E">
        <w:rPr>
          <w:rFonts w:ascii="Times New Roman" w:hAnsi="Times New Roman"/>
          <w:color w:val="000000" w:themeColor="text1"/>
          <w:sz w:val="16"/>
          <w:szCs w:val="16"/>
          <w:lang w:eastAsia="ru-RU" w:bidi="ru-RU"/>
        </w:rPr>
        <w:softHyphen/>
        <w:t>ные экземпляры ТШ-2 М-17 должны были пройти на заводе №39 контрольные по</w:t>
      </w:r>
      <w:r w:rsidRPr="005E779E">
        <w:rPr>
          <w:rFonts w:ascii="Times New Roman" w:hAnsi="Times New Roman"/>
          <w:color w:val="000000" w:themeColor="text1"/>
          <w:sz w:val="16"/>
          <w:szCs w:val="16"/>
          <w:lang w:eastAsia="ru-RU" w:bidi="ru-RU"/>
        </w:rPr>
        <w:softHyphen/>
        <w:t>леты, после чего их следовало передать в ЦАГИ для окончательной доводки.</w:t>
      </w:r>
    </w:p>
    <w:p w14:paraId="34E9062E" w14:textId="77777777" w:rsidR="0058334C" w:rsidRPr="005E779E" w:rsidRDefault="0058334C" w:rsidP="000B7A6C">
      <w:pPr>
        <w:spacing w:after="0" w:line="240" w:lineRule="auto"/>
        <w:jc w:val="both"/>
        <w:rPr>
          <w:rFonts w:ascii="Times New Roman" w:hAnsi="Times New Roman"/>
          <w:color w:val="000000" w:themeColor="text1"/>
          <w:sz w:val="16"/>
          <w:szCs w:val="16"/>
          <w:lang w:eastAsia="ru-RU" w:bidi="ru-RU"/>
        </w:rPr>
      </w:pPr>
      <w:r w:rsidRPr="005E779E">
        <w:rPr>
          <w:rFonts w:ascii="Times New Roman" w:hAnsi="Times New Roman"/>
          <w:color w:val="000000" w:themeColor="text1"/>
          <w:sz w:val="16"/>
          <w:szCs w:val="16"/>
          <w:lang w:eastAsia="ru-RU" w:bidi="ru-RU"/>
        </w:rPr>
        <w:t>Кроме того, сочли возможным начать изготовление серийных ТШ-2 М-17 на за</w:t>
      </w:r>
      <w:r w:rsidRPr="005E779E">
        <w:rPr>
          <w:rFonts w:ascii="Times New Roman" w:hAnsi="Times New Roman"/>
          <w:color w:val="000000" w:themeColor="text1"/>
          <w:sz w:val="16"/>
          <w:szCs w:val="16"/>
          <w:lang w:eastAsia="ru-RU" w:bidi="ru-RU"/>
        </w:rPr>
        <w:softHyphen/>
        <w:t>воде №16, не дожидаясь результатов го</w:t>
      </w:r>
      <w:r w:rsidRPr="005E779E">
        <w:rPr>
          <w:rFonts w:ascii="Times New Roman" w:hAnsi="Times New Roman"/>
          <w:color w:val="000000" w:themeColor="text1"/>
          <w:sz w:val="16"/>
          <w:szCs w:val="16"/>
          <w:lang w:eastAsia="ru-RU" w:bidi="ru-RU"/>
        </w:rPr>
        <w:softHyphen/>
        <w:t>сударственных контрольных испытаний эталонных образцов самолета (21062)</w:t>
      </w:r>
    </w:p>
    <w:p w14:paraId="6A9EDE89" w14:textId="77777777" w:rsidR="0058334C" w:rsidRPr="005E779E" w:rsidRDefault="0058334C" w:rsidP="000B7A6C">
      <w:pPr>
        <w:spacing w:after="0" w:line="240" w:lineRule="auto"/>
        <w:jc w:val="both"/>
        <w:rPr>
          <w:rFonts w:ascii="Times New Roman" w:hAnsi="Times New Roman"/>
          <w:color w:val="000000" w:themeColor="text1"/>
          <w:sz w:val="16"/>
          <w:szCs w:val="16"/>
        </w:rPr>
      </w:pPr>
    </w:p>
    <w:p w14:paraId="6BCC2713" w14:textId="77777777" w:rsidR="0058334C" w:rsidRPr="005E779E" w:rsidRDefault="0058334C" w:rsidP="000B7A6C">
      <w:pPr>
        <w:spacing w:after="0" w:line="240" w:lineRule="auto"/>
        <w:jc w:val="both"/>
        <w:rPr>
          <w:rFonts w:ascii="Times New Roman" w:hAnsi="Times New Roman"/>
          <w:color w:val="000000" w:themeColor="text1"/>
          <w:sz w:val="16"/>
          <w:szCs w:val="16"/>
          <w:lang w:eastAsia="ru-RU" w:bidi="ru-RU"/>
        </w:rPr>
      </w:pPr>
      <w:r w:rsidRPr="005E779E">
        <w:rPr>
          <w:rFonts w:ascii="Times New Roman" w:hAnsi="Times New Roman"/>
          <w:color w:val="000000" w:themeColor="text1"/>
          <w:sz w:val="16"/>
          <w:szCs w:val="16"/>
          <w:lang w:eastAsia="ru-RU" w:bidi="ru-RU"/>
        </w:rPr>
        <w:t>С конца ноября 1931 г. раз</w:t>
      </w:r>
      <w:r w:rsidRPr="005E779E">
        <w:rPr>
          <w:rFonts w:ascii="Times New Roman" w:hAnsi="Times New Roman"/>
          <w:color w:val="000000" w:themeColor="text1"/>
          <w:sz w:val="16"/>
          <w:szCs w:val="16"/>
          <w:lang w:eastAsia="ru-RU" w:bidi="ru-RU"/>
        </w:rPr>
        <w:softHyphen/>
        <w:t>вернулись работы по перепроектированию завода №16 в Воронеже под выпуск самолетов с годо</w:t>
      </w:r>
      <w:r w:rsidRPr="005E779E">
        <w:rPr>
          <w:rFonts w:ascii="Times New Roman" w:hAnsi="Times New Roman"/>
          <w:color w:val="000000" w:themeColor="text1"/>
          <w:sz w:val="16"/>
          <w:szCs w:val="16"/>
          <w:lang w:eastAsia="ru-RU" w:bidi="ru-RU"/>
        </w:rPr>
        <w:softHyphen/>
        <w:t>вой производственной мощностью в 1600 легких штурмовиков типа ЛШ-4 и 200 тя</w:t>
      </w:r>
      <w:r w:rsidRPr="005E779E">
        <w:rPr>
          <w:rFonts w:ascii="Times New Roman" w:hAnsi="Times New Roman"/>
          <w:color w:val="000000" w:themeColor="text1"/>
          <w:sz w:val="16"/>
          <w:szCs w:val="16"/>
          <w:lang w:eastAsia="ru-RU" w:bidi="ru-RU"/>
        </w:rPr>
        <w:softHyphen/>
        <w:t>желых штурмовиков типа ТШ-2 и ТШ-3 (21062).</w:t>
      </w:r>
    </w:p>
    <w:p w14:paraId="12040708" w14:textId="77777777" w:rsidR="0058334C" w:rsidRPr="005E779E" w:rsidRDefault="0058334C" w:rsidP="000B7A6C">
      <w:pPr>
        <w:spacing w:after="0" w:line="240" w:lineRule="auto"/>
        <w:jc w:val="both"/>
        <w:rPr>
          <w:rFonts w:ascii="Times New Roman" w:hAnsi="Times New Roman"/>
          <w:color w:val="000000" w:themeColor="text1"/>
          <w:sz w:val="16"/>
          <w:szCs w:val="16"/>
        </w:rPr>
      </w:pPr>
    </w:p>
    <w:p w14:paraId="78A7EE38"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ноября 1931 года состоялся первый полет аппарата 2-ЭА, который был построен по схеме одного из последних английских автожиров; он обладал достаточно удовлетворительными конструктивными и летными данными, почти не уступающими соответствующим данным английского автожира, взятого в виде образца. Этот аппарат сыграл большую роль в деле освоения теории и конструкции автожира, а также обучения летно-технического персонала (3849,13).</w:t>
      </w:r>
    </w:p>
    <w:p w14:paraId="5D6ADC45"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531167A4" w14:textId="77777777" w:rsidR="00E50D5F" w:rsidRPr="005E779E" w:rsidRDefault="00E50D5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ноября 1931 года первый полет на автожире ЦАГИ 2ЭА выполнил инструк</w:t>
      </w:r>
      <w:r w:rsidRPr="005E779E">
        <w:rPr>
          <w:rFonts w:ascii="Times New Roman" w:hAnsi="Times New Roman"/>
          <w:color w:val="000000" w:themeColor="text1"/>
          <w:sz w:val="16"/>
          <w:szCs w:val="16"/>
        </w:rPr>
        <w:softHyphen/>
        <w:t>тор-летчик Сергей Александрович Корзин</w:t>
      </w:r>
      <w:r w:rsidRPr="005E779E">
        <w:rPr>
          <w:rFonts w:ascii="Times New Roman" w:hAnsi="Times New Roman"/>
          <w:color w:val="000000" w:themeColor="text1"/>
          <w:sz w:val="16"/>
          <w:szCs w:val="16"/>
        </w:rPr>
        <w:softHyphen/>
        <w:t>щиков, переведенный перед испытаниями из ЦАГИ в НИИ ВВС.</w:t>
      </w:r>
    </w:p>
    <w:p w14:paraId="5DC1F14B" w14:textId="77777777" w:rsidR="00E50D5F" w:rsidRPr="005E779E" w:rsidRDefault="00E50D5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М. Изаксон в своей книге «Советское вертолетостроение» писал, что во время пер</w:t>
      </w:r>
      <w:r w:rsidRPr="005E779E">
        <w:rPr>
          <w:rFonts w:ascii="Times New Roman" w:hAnsi="Times New Roman"/>
          <w:color w:val="000000" w:themeColor="text1"/>
          <w:sz w:val="16"/>
          <w:szCs w:val="16"/>
        </w:rPr>
        <w:softHyphen/>
        <w:t>вого этапа летных испытаний пришлось столкнуться с рядом неизвестных ранее про</w:t>
      </w:r>
      <w:r w:rsidRPr="005E779E">
        <w:rPr>
          <w:rFonts w:ascii="Times New Roman" w:hAnsi="Times New Roman"/>
          <w:color w:val="000000" w:themeColor="text1"/>
          <w:sz w:val="16"/>
          <w:szCs w:val="16"/>
        </w:rPr>
        <w:softHyphen/>
        <w:t>блем: поддувом лопастей ротора при его рас</w:t>
      </w:r>
      <w:r w:rsidRPr="005E779E">
        <w:rPr>
          <w:rFonts w:ascii="Times New Roman" w:hAnsi="Times New Roman"/>
          <w:color w:val="000000" w:themeColor="text1"/>
          <w:sz w:val="16"/>
          <w:szCs w:val="16"/>
        </w:rPr>
        <w:softHyphen/>
        <w:t>крутке от случайных порывов ветра; труд</w:t>
      </w:r>
      <w:r w:rsidRPr="005E779E">
        <w:rPr>
          <w:rFonts w:ascii="Times New Roman" w:hAnsi="Times New Roman"/>
          <w:color w:val="000000" w:themeColor="text1"/>
          <w:sz w:val="16"/>
          <w:szCs w:val="16"/>
        </w:rPr>
        <w:softHyphen/>
        <w:t>ностью раскрутки ротора до нужной частоты вращения перед взлетом ввиду невозможно</w:t>
      </w:r>
      <w:r w:rsidRPr="005E779E">
        <w:rPr>
          <w:rFonts w:ascii="Times New Roman" w:hAnsi="Times New Roman"/>
          <w:color w:val="000000" w:themeColor="text1"/>
          <w:sz w:val="16"/>
          <w:szCs w:val="16"/>
        </w:rPr>
        <w:softHyphen/>
        <w:t>сти удержать автожир на месте из-за отсут</w:t>
      </w:r>
      <w:r w:rsidRPr="005E779E">
        <w:rPr>
          <w:rFonts w:ascii="Times New Roman" w:hAnsi="Times New Roman"/>
          <w:color w:val="000000" w:themeColor="text1"/>
          <w:sz w:val="16"/>
          <w:szCs w:val="16"/>
        </w:rPr>
        <w:softHyphen/>
        <w:t>ствия тормозов на колесах; потряхиванием автожира вследствие биения ротора, лопасти которого чрезмерно деформировались из-за недостаточной жесткости лонжеронов; тен</w:t>
      </w:r>
      <w:r w:rsidRPr="005E779E">
        <w:rPr>
          <w:rFonts w:ascii="Times New Roman" w:hAnsi="Times New Roman"/>
          <w:color w:val="000000" w:themeColor="text1"/>
          <w:sz w:val="16"/>
          <w:szCs w:val="16"/>
        </w:rPr>
        <w:softHyphen/>
        <w:t>денцией автожира к боковому неуправляе</w:t>
      </w:r>
      <w:r w:rsidRPr="005E779E">
        <w:rPr>
          <w:rFonts w:ascii="Times New Roman" w:hAnsi="Times New Roman"/>
          <w:color w:val="000000" w:themeColor="text1"/>
          <w:sz w:val="16"/>
          <w:szCs w:val="16"/>
        </w:rPr>
        <w:softHyphen/>
        <w:t>мому развороту при посадке (23518).</w:t>
      </w:r>
    </w:p>
    <w:p w14:paraId="7452A79B" w14:textId="77777777" w:rsidR="00E50D5F" w:rsidRPr="005E779E" w:rsidRDefault="00E50D5F" w:rsidP="000B7A6C">
      <w:pPr>
        <w:spacing w:after="0" w:line="240" w:lineRule="auto"/>
        <w:jc w:val="both"/>
        <w:rPr>
          <w:rFonts w:ascii="Times New Roman" w:hAnsi="Times New Roman"/>
          <w:color w:val="000000" w:themeColor="text1"/>
          <w:sz w:val="16"/>
          <w:szCs w:val="16"/>
        </w:rPr>
      </w:pPr>
    </w:p>
    <w:p w14:paraId="67911BB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ноября 1931 г. начальником ЦКБ и одновре</w:t>
      </w:r>
      <w:r w:rsidRPr="005E779E">
        <w:rPr>
          <w:rFonts w:ascii="Times New Roman" w:hAnsi="Times New Roman"/>
          <w:color w:val="000000" w:themeColor="text1"/>
          <w:sz w:val="16"/>
          <w:szCs w:val="16"/>
        </w:rPr>
        <w:softHyphen/>
        <w:t>менно заместителем начальника ЦАГИ стал С.В.Илью</w:t>
      </w:r>
      <w:r w:rsidRPr="005E779E">
        <w:rPr>
          <w:rFonts w:ascii="Times New Roman" w:hAnsi="Times New Roman"/>
          <w:color w:val="000000" w:themeColor="text1"/>
          <w:sz w:val="16"/>
          <w:szCs w:val="16"/>
        </w:rPr>
        <w:softHyphen/>
        <w:t>шин. Николай Николаевич познакомился с Сергеем Владимировичем еще в 1919 г. на заводе «Дукс», куда красноармеец Ильюшин доставил захваченный у белых в районе Петрозаводска самолет Авро-504К. Они были друзьями и не случайно, поэтому, на столе в рабочем ка</w:t>
      </w:r>
      <w:r w:rsidRPr="005E779E">
        <w:rPr>
          <w:rFonts w:ascii="Times New Roman" w:hAnsi="Times New Roman"/>
          <w:color w:val="000000" w:themeColor="text1"/>
          <w:sz w:val="16"/>
          <w:szCs w:val="16"/>
        </w:rPr>
        <w:softHyphen/>
        <w:t>бинете С.В.Ильюшина всегда стоял барельеф Н.Н.По</w:t>
      </w:r>
      <w:r w:rsidRPr="005E779E">
        <w:rPr>
          <w:rFonts w:ascii="Times New Roman" w:hAnsi="Times New Roman"/>
          <w:color w:val="000000" w:themeColor="text1"/>
          <w:sz w:val="16"/>
          <w:szCs w:val="16"/>
        </w:rPr>
        <w:softHyphen/>
        <w:t xml:space="preserve">ликарпова. Вступив в должность начальника ЦКБ, Сергей </w:t>
      </w:r>
      <w:r w:rsidRPr="005E779E">
        <w:rPr>
          <w:rFonts w:ascii="Times New Roman" w:hAnsi="Times New Roman"/>
          <w:color w:val="000000" w:themeColor="text1"/>
          <w:sz w:val="16"/>
          <w:szCs w:val="16"/>
        </w:rPr>
        <w:lastRenderedPageBreak/>
        <w:t>Вла</w:t>
      </w:r>
      <w:r w:rsidRPr="005E779E">
        <w:rPr>
          <w:rFonts w:ascii="Times New Roman" w:hAnsi="Times New Roman"/>
          <w:color w:val="000000" w:themeColor="text1"/>
          <w:sz w:val="16"/>
          <w:szCs w:val="16"/>
        </w:rPr>
        <w:softHyphen/>
        <w:t>димирович ознакомился с работой всех подразделений, попытался выяснить достоинства и недостатки сущест</w:t>
      </w:r>
      <w:r w:rsidRPr="005E779E">
        <w:rPr>
          <w:rFonts w:ascii="Times New Roman" w:hAnsi="Times New Roman"/>
          <w:color w:val="000000" w:themeColor="text1"/>
          <w:sz w:val="16"/>
          <w:szCs w:val="16"/>
        </w:rPr>
        <w:softHyphen/>
        <w:t>вующей организации, чтобы затем выработать пра</w:t>
      </w:r>
      <w:r w:rsidRPr="005E779E">
        <w:rPr>
          <w:rFonts w:ascii="Times New Roman" w:hAnsi="Times New Roman"/>
          <w:color w:val="000000" w:themeColor="text1"/>
          <w:sz w:val="16"/>
          <w:szCs w:val="16"/>
        </w:rPr>
        <w:softHyphen/>
        <w:t>вильную техническую политику, увязывая ее с запросами авиапромышленности (10667).</w:t>
      </w:r>
    </w:p>
    <w:p w14:paraId="44E0C40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465BB4" w14:textId="77777777" w:rsidR="00E50D5F" w:rsidRPr="005E779E" w:rsidRDefault="00E50D5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ноября 1931 г. началь</w:t>
      </w:r>
      <w:r w:rsidRPr="005E779E">
        <w:rPr>
          <w:rFonts w:ascii="Times New Roman" w:hAnsi="Times New Roman"/>
          <w:color w:val="000000" w:themeColor="text1"/>
          <w:sz w:val="16"/>
          <w:szCs w:val="16"/>
        </w:rPr>
        <w:softHyphen/>
        <w:t>ником ЦКБ и одновременно заме</w:t>
      </w:r>
      <w:r w:rsidRPr="005E779E">
        <w:rPr>
          <w:rFonts w:ascii="Times New Roman" w:hAnsi="Times New Roman"/>
          <w:color w:val="000000" w:themeColor="text1"/>
          <w:sz w:val="16"/>
          <w:szCs w:val="16"/>
        </w:rPr>
        <w:softHyphen/>
        <w:t>стителем начальника ЦАГИ стал С.В. Ильюшин, до этого возглавляв</w:t>
      </w:r>
      <w:r w:rsidRPr="005E779E">
        <w:rPr>
          <w:rFonts w:ascii="Times New Roman" w:hAnsi="Times New Roman"/>
          <w:color w:val="000000" w:themeColor="text1"/>
          <w:sz w:val="16"/>
          <w:szCs w:val="16"/>
        </w:rPr>
        <w:softHyphen/>
        <w:t>ший НТК ВВС. Николай Николаевич познакомился с Сергеем Владими</w:t>
      </w:r>
      <w:r w:rsidRPr="005E779E">
        <w:rPr>
          <w:rFonts w:ascii="Times New Roman" w:hAnsi="Times New Roman"/>
          <w:color w:val="000000" w:themeColor="text1"/>
          <w:sz w:val="16"/>
          <w:szCs w:val="16"/>
        </w:rPr>
        <w:softHyphen/>
        <w:t>ровичем еще в 1919 г. на заводе «Дукс», куда красноармеец Илью</w:t>
      </w:r>
      <w:r w:rsidRPr="005E779E">
        <w:rPr>
          <w:rFonts w:ascii="Times New Roman" w:hAnsi="Times New Roman"/>
          <w:color w:val="000000" w:themeColor="text1"/>
          <w:sz w:val="16"/>
          <w:szCs w:val="16"/>
        </w:rPr>
        <w:softHyphen/>
        <w:t>шин доставил захваченный у белых в районе Петрозаводска самолет Авро 504К. Не исключено, что они встречались еще раньше, в 1916</w:t>
      </w:r>
      <w:r w:rsidRPr="005E779E">
        <w:rPr>
          <w:rFonts w:ascii="Times New Roman" w:hAnsi="Times New Roman"/>
          <w:color w:val="000000" w:themeColor="text1"/>
          <w:sz w:val="16"/>
          <w:szCs w:val="16"/>
        </w:rPr>
        <w:softHyphen/>
        <w:t>1917 гг., когда Ильюшин проходил службу авиамехаником на Комен</w:t>
      </w:r>
      <w:r w:rsidRPr="005E779E">
        <w:rPr>
          <w:rFonts w:ascii="Times New Roman" w:hAnsi="Times New Roman"/>
          <w:color w:val="000000" w:themeColor="text1"/>
          <w:sz w:val="16"/>
          <w:szCs w:val="16"/>
        </w:rPr>
        <w:softHyphen/>
        <w:t>дантском аэродроме Петрограда (впоследствии они стали друзьями и не случайно на столе в рабочем кабинете С.В. Ильюшина всегда стоял барельеф Н.Н. Поликарпова).</w:t>
      </w:r>
    </w:p>
    <w:p w14:paraId="2338BA12" w14:textId="77777777" w:rsidR="00E50D5F" w:rsidRPr="005E779E" w:rsidRDefault="00E50D5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Вступив в должность начальника ЦКБ, Сергей Владимирович ознако</w:t>
      </w:r>
      <w:r w:rsidRPr="005E779E">
        <w:rPr>
          <w:rFonts w:ascii="Times New Roman" w:hAnsi="Times New Roman"/>
          <w:color w:val="000000" w:themeColor="text1"/>
          <w:sz w:val="16"/>
          <w:szCs w:val="16"/>
        </w:rPr>
        <w:softHyphen/>
        <w:t>мился с работой всех подразделе</w:t>
      </w:r>
      <w:r w:rsidRPr="005E779E">
        <w:rPr>
          <w:rFonts w:ascii="Times New Roman" w:hAnsi="Times New Roman"/>
          <w:color w:val="000000" w:themeColor="text1"/>
          <w:sz w:val="16"/>
          <w:szCs w:val="16"/>
        </w:rPr>
        <w:softHyphen/>
        <w:t>ний, попытался выяснить достоин</w:t>
      </w:r>
      <w:r w:rsidRPr="005E779E">
        <w:rPr>
          <w:rFonts w:ascii="Times New Roman" w:hAnsi="Times New Roman"/>
          <w:color w:val="000000" w:themeColor="text1"/>
          <w:sz w:val="16"/>
          <w:szCs w:val="16"/>
        </w:rPr>
        <w:softHyphen/>
        <w:t>ства и недостатки существующей организации, чтобы затем выра</w:t>
      </w:r>
      <w:r w:rsidRPr="005E779E">
        <w:rPr>
          <w:rFonts w:ascii="Times New Roman" w:hAnsi="Times New Roman"/>
          <w:color w:val="000000" w:themeColor="text1"/>
          <w:sz w:val="16"/>
          <w:szCs w:val="16"/>
        </w:rPr>
        <w:softHyphen/>
        <w:t>ботать правильную техническую политику, увязывая ее с запросами авиапромышленности (23406).</w:t>
      </w:r>
    </w:p>
    <w:p w14:paraId="5247086C" w14:textId="77777777" w:rsidR="00E50D5F" w:rsidRPr="005E779E" w:rsidRDefault="00E50D5F" w:rsidP="000B7A6C">
      <w:pPr>
        <w:spacing w:after="0" w:line="240" w:lineRule="auto"/>
        <w:jc w:val="both"/>
        <w:rPr>
          <w:rFonts w:ascii="Times New Roman" w:hAnsi="Times New Roman"/>
          <w:color w:val="000000" w:themeColor="text1"/>
          <w:sz w:val="16"/>
          <w:szCs w:val="16"/>
        </w:rPr>
      </w:pPr>
    </w:p>
    <w:p w14:paraId="04465D8A" w14:textId="77777777" w:rsidR="00527BED" w:rsidRPr="00142305" w:rsidRDefault="00527BED" w:rsidP="00527BE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ноября 1931 г. начальником ЦКБ и одновременно заместителем начальника ЦАГИ стал С. В. Ильюшин. Николай Николаевич познакомился с Сергеем Владимировичем еще в 1919 г. на заводе «Дукс», куда красноармеец Ильюшин доставил захваченный у белых в районе Петрозаводска самолет Авро-504К. Они были друзьями, и не случайно поэтому после войны на столе в рабочем кабинете С. В. Ильюшина всегда стоял барельеф Н. Н. Поликарпова.</w:t>
      </w:r>
    </w:p>
    <w:p w14:paraId="1A7F176E" w14:textId="77777777" w:rsidR="00527BED" w:rsidRPr="00142305" w:rsidRDefault="00527BED" w:rsidP="00527BE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Вступив в должность начальника ЦКБ, Сергей Владимирович ознакомился с работой всех подразделений, попытался выяснить достоинства и недостатки существующей организации, чтобы затем выработать правильную техническую политику, увязывая ее с запросами авиапромышленности (25035).</w:t>
      </w:r>
    </w:p>
    <w:p w14:paraId="18B29574" w14:textId="77777777" w:rsidR="00527BED" w:rsidRPr="00142305" w:rsidRDefault="00527BED" w:rsidP="00527BED">
      <w:pPr>
        <w:spacing w:after="0" w:line="240" w:lineRule="auto"/>
        <w:jc w:val="both"/>
        <w:rPr>
          <w:rFonts w:ascii="Times New Roman" w:hAnsi="Times New Roman"/>
          <w:color w:val="0070C0"/>
          <w:sz w:val="16"/>
          <w:szCs w:val="16"/>
        </w:rPr>
      </w:pPr>
    </w:p>
    <w:p w14:paraId="7DCCE8C7" w14:textId="77777777" w:rsidR="00E66CC9" w:rsidRPr="005E779E" w:rsidRDefault="00E66CC9"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390B08E3" w14:textId="77777777" w:rsidR="00E66CC9" w:rsidRPr="005E779E" w:rsidRDefault="00E66CC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760CA32" w14:textId="77777777" w:rsidR="00E66CC9" w:rsidRPr="005E779E" w:rsidRDefault="00E66CC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ноября 1931 г. Ротерт. и Финкель представили горкому партии набросок схемы линий метрополитена. Инженер Катцен, принимавший участие в обсуждении, припоминал позднее, как Каганович подвел черту под длительной дискуссией: «Помню, встает Лазарь Моисеевич, рядом с ним находились Рындин, Булганин, кажется, Хрущев. Лазарь Моисеевич так слушает, слушает, встает, подходит к схеме и начинает развивать опять-таки строение Москвы, где город будет развиваться, где будет промышленность, где сейчас перегрузка движения. И говорит: мы тут думать много не будем, строим первую линию от Сокольников до Дворца Советов, и вторую линию — как это постановлено — от Смоленской площади до библиотеки Ленина. Правильно, говорит Рындин»{404}.Разработанная Метростроем схема линий в варианте, представленном ниже, включала 5 диаметральных маршрутов (10 радиальных) общей протяженностью 80,3 км с 86 станциями, из них 17 пересадочных (см. рис. 19)[39].</w:t>
      </w:r>
    </w:p>
    <w:p w14:paraId="5739E948" w14:textId="77777777" w:rsidR="00E66CC9" w:rsidRPr="005E779E" w:rsidRDefault="00E66CC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Станции пересадки намечались на пл. Дзержинского, у Ильинских ворот и на пл. Ногина, куда должна была подойти проведенная к центру города линия пригородной железной дороги. На Красной пл. пересекались три диаметральные линии и предусматривалась общая пересадочная станция. Помимо того думали и о кольцевой линии, но ее трассу предстояло еще уточнить. Сквозные линии в центре города должны были проходить по подземным тоннелям и лишь при пересечении Москвы-реки выходить на эстакады. За пределами Московской окружной железной дороги движение на линиях метро предусматривалось наземным путем в направлении пригородов, которые не обслуживались пригородными железнодорожными поездами. </w:t>
      </w:r>
    </w:p>
    <w:p w14:paraId="63B75894" w14:textId="77777777" w:rsidR="00E66CC9" w:rsidRPr="005E779E" w:rsidRDefault="00E66CC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Проект Метростроя, ноябрь 1931 г.{405}Радиус ... Протяженность (км)</w:t>
      </w:r>
    </w:p>
    <w:p w14:paraId="0BCE156A" w14:textId="68972DC8" w:rsidR="00E66CC9" w:rsidRPr="005E779E" w:rsidRDefault="00FE094E" w:rsidP="000B7A6C">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E66CC9" w:rsidRPr="005E779E">
        <w:rPr>
          <w:rFonts w:ascii="Times New Roman" w:hAnsi="Times New Roman"/>
          <w:color w:val="000000" w:themeColor="text1"/>
          <w:sz w:val="16"/>
          <w:szCs w:val="16"/>
        </w:rPr>
        <w:t xml:space="preserve"> 1.Мясницкий (Черкизово — библиотека Ленина) ... 10,0</w:t>
      </w:r>
    </w:p>
    <w:p w14:paraId="7C182958" w14:textId="23103573" w:rsidR="00E66CC9" w:rsidRPr="005E779E" w:rsidRDefault="00FE094E" w:rsidP="000B7A6C">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E66CC9" w:rsidRPr="005E779E">
        <w:rPr>
          <w:rFonts w:ascii="Times New Roman" w:hAnsi="Times New Roman"/>
          <w:color w:val="000000" w:themeColor="text1"/>
          <w:sz w:val="16"/>
          <w:szCs w:val="16"/>
        </w:rPr>
        <w:t xml:space="preserve"> 2.Усачевский (Усачевка — библиотека Ленина) ... 6,0</w:t>
      </w:r>
    </w:p>
    <w:p w14:paraId="45F70AC2" w14:textId="716A725A" w:rsidR="00E66CC9" w:rsidRPr="005E779E" w:rsidRDefault="00FE094E" w:rsidP="000B7A6C">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E66CC9" w:rsidRPr="005E779E">
        <w:rPr>
          <w:rFonts w:ascii="Times New Roman" w:hAnsi="Times New Roman"/>
          <w:color w:val="000000" w:themeColor="text1"/>
          <w:sz w:val="16"/>
          <w:szCs w:val="16"/>
        </w:rPr>
        <w:t xml:space="preserve"> 3.Арбатский (ст. Кутузово — библиотека Ленина) ... 5,0</w:t>
      </w:r>
    </w:p>
    <w:p w14:paraId="31647CA2" w14:textId="0E9E4939" w:rsidR="00E66CC9" w:rsidRPr="005E779E" w:rsidRDefault="00FE094E" w:rsidP="000B7A6C">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E66CC9" w:rsidRPr="005E779E">
        <w:rPr>
          <w:rFonts w:ascii="Times New Roman" w:hAnsi="Times New Roman"/>
          <w:color w:val="000000" w:themeColor="text1"/>
          <w:sz w:val="16"/>
          <w:szCs w:val="16"/>
        </w:rPr>
        <w:t xml:space="preserve"> 4.Тверской (ст. Всехсвятское — Охотный ряд) ... 9,5</w:t>
      </w:r>
    </w:p>
    <w:p w14:paraId="770E299E" w14:textId="69D1E9B7" w:rsidR="00E66CC9" w:rsidRPr="005E779E" w:rsidRDefault="00FE094E" w:rsidP="000B7A6C">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E66CC9" w:rsidRPr="005E779E">
        <w:rPr>
          <w:rFonts w:ascii="Times New Roman" w:hAnsi="Times New Roman"/>
          <w:color w:val="000000" w:themeColor="text1"/>
          <w:sz w:val="16"/>
          <w:szCs w:val="16"/>
        </w:rPr>
        <w:t xml:space="preserve"> 5.Таганский (завод АМО — Охотный ряд) ... 10,6</w:t>
      </w:r>
    </w:p>
    <w:p w14:paraId="755F7946" w14:textId="5963956A" w:rsidR="00E66CC9" w:rsidRPr="005E779E" w:rsidRDefault="00FE094E" w:rsidP="000B7A6C">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E66CC9" w:rsidRPr="005E779E">
        <w:rPr>
          <w:rFonts w:ascii="Times New Roman" w:hAnsi="Times New Roman"/>
          <w:color w:val="000000" w:themeColor="text1"/>
          <w:sz w:val="16"/>
          <w:szCs w:val="16"/>
        </w:rPr>
        <w:t xml:space="preserve"> 6.Покровский (Измайлово — библиотека Ленина) ... 9,3</w:t>
      </w:r>
    </w:p>
    <w:p w14:paraId="6ABC5B67" w14:textId="1C3B1C1D" w:rsidR="00E66CC9" w:rsidRPr="005E779E" w:rsidRDefault="00FE094E" w:rsidP="000B7A6C">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E66CC9" w:rsidRPr="005E779E">
        <w:rPr>
          <w:rFonts w:ascii="Times New Roman" w:hAnsi="Times New Roman"/>
          <w:color w:val="000000" w:themeColor="text1"/>
          <w:sz w:val="16"/>
          <w:szCs w:val="16"/>
        </w:rPr>
        <w:t xml:space="preserve"> 7.Замоскворецкий (ст. Нижние Котлы — пл. Свердлова) ... 8,0</w:t>
      </w:r>
    </w:p>
    <w:p w14:paraId="570B6AB0" w14:textId="2A693946" w:rsidR="00E66CC9" w:rsidRPr="005E779E" w:rsidRDefault="00FE094E" w:rsidP="000B7A6C">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E66CC9" w:rsidRPr="005E779E">
        <w:rPr>
          <w:rFonts w:ascii="Times New Roman" w:hAnsi="Times New Roman"/>
          <w:color w:val="000000" w:themeColor="text1"/>
          <w:sz w:val="16"/>
          <w:szCs w:val="16"/>
        </w:rPr>
        <w:t xml:space="preserve"> 8.Рогожский (Перово — Арбат) ... 9,6</w:t>
      </w:r>
    </w:p>
    <w:p w14:paraId="6C08CDD5" w14:textId="66F02122" w:rsidR="00E66CC9" w:rsidRPr="005E779E" w:rsidRDefault="00FE094E" w:rsidP="000B7A6C">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E66CC9" w:rsidRPr="005E779E">
        <w:rPr>
          <w:rFonts w:ascii="Times New Roman" w:hAnsi="Times New Roman"/>
          <w:color w:val="000000" w:themeColor="text1"/>
          <w:sz w:val="16"/>
          <w:szCs w:val="16"/>
        </w:rPr>
        <w:t xml:space="preserve"> 9.Краснопресненский (Красная Пресня — Арбат) ... 4,5</w:t>
      </w:r>
    </w:p>
    <w:p w14:paraId="28CD53CD" w14:textId="554F1241" w:rsidR="00E66CC9" w:rsidRPr="005E779E" w:rsidRDefault="00FE094E" w:rsidP="000B7A6C">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E66CC9" w:rsidRPr="005E779E">
        <w:rPr>
          <w:rFonts w:ascii="Times New Roman" w:hAnsi="Times New Roman"/>
          <w:color w:val="000000" w:themeColor="text1"/>
          <w:sz w:val="16"/>
          <w:szCs w:val="16"/>
        </w:rPr>
        <w:t xml:space="preserve"> 10.Дзержинский (Останкино — пл. Свердлова) ... 7,8</w:t>
      </w:r>
    </w:p>
    <w:p w14:paraId="681496D8" w14:textId="18FEEF94" w:rsidR="00E66CC9" w:rsidRPr="005E779E" w:rsidRDefault="00FE094E" w:rsidP="000B7A6C">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E66CC9" w:rsidRPr="005E779E">
        <w:rPr>
          <w:rFonts w:ascii="Times New Roman" w:hAnsi="Times New Roman"/>
          <w:color w:val="000000" w:themeColor="text1"/>
          <w:sz w:val="16"/>
          <w:szCs w:val="16"/>
        </w:rPr>
        <w:t xml:space="preserve"> Всего ... 80,3* * * </w:t>
      </w:r>
    </w:p>
    <w:p w14:paraId="78EBBF39" w14:textId="4DF506FA" w:rsidR="00E66CC9" w:rsidRPr="005E779E" w:rsidRDefault="00FE094E" w:rsidP="000B7A6C">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E66CC9" w:rsidRPr="005E779E">
        <w:rPr>
          <w:rFonts w:ascii="Times New Roman" w:hAnsi="Times New Roman"/>
          <w:color w:val="000000" w:themeColor="text1"/>
          <w:sz w:val="16"/>
          <w:szCs w:val="16"/>
        </w:rPr>
        <w:t xml:space="preserve"> Цель заключалась в том, чтобы из любого пункта достичь места назначения только с одной пересадкой{406}.На отдельных линиях поезда метро должны были следовать по окружной железной дороге{407} (18299).</w:t>
      </w:r>
    </w:p>
    <w:p w14:paraId="0713D6FC" w14:textId="77777777" w:rsidR="00E66CC9" w:rsidRPr="005E779E" w:rsidRDefault="00E66CC9" w:rsidP="000B7A6C">
      <w:pPr>
        <w:spacing w:after="0" w:line="240" w:lineRule="auto"/>
        <w:jc w:val="both"/>
        <w:rPr>
          <w:rFonts w:ascii="Times New Roman" w:hAnsi="Times New Roman"/>
          <w:color w:val="000000" w:themeColor="text1"/>
          <w:sz w:val="16"/>
          <w:szCs w:val="16"/>
        </w:rPr>
      </w:pPr>
    </w:p>
    <w:p w14:paraId="1F2B3CF8" w14:textId="77777777" w:rsidR="001A30FC"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58CEAB24" w14:textId="77777777" w:rsidR="001A30FC" w:rsidRPr="005E779E" w:rsidRDefault="001A30FC"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B887500" w14:textId="77777777" w:rsidR="001A30FC" w:rsidRPr="005E779E" w:rsidRDefault="001A30F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 второй половине ноября 1931 по заданию ВАТО специалисты НАТИ провели испытания трехосного автомобиля ЯГ-10 (15764).</w:t>
      </w:r>
    </w:p>
    <w:p w14:paraId="0CFD2A37" w14:textId="77777777" w:rsidR="001A30FC" w:rsidRPr="005E779E" w:rsidRDefault="001A30FC" w:rsidP="000B7A6C">
      <w:pPr>
        <w:spacing w:after="0" w:line="240" w:lineRule="auto"/>
        <w:jc w:val="both"/>
        <w:rPr>
          <w:rFonts w:ascii="Times New Roman" w:hAnsi="Times New Roman"/>
          <w:color w:val="000000" w:themeColor="text1"/>
          <w:sz w:val="16"/>
          <w:szCs w:val="16"/>
        </w:rPr>
      </w:pPr>
    </w:p>
    <w:p w14:paraId="67492FB5"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7DB827A3"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C5905AD" w14:textId="77777777" w:rsidR="00C71A6E" w:rsidRPr="005E779E" w:rsidRDefault="00C71A6E" w:rsidP="000B7A6C">
      <w:pPr>
        <w:spacing w:after="0" w:line="240" w:lineRule="auto"/>
        <w:jc w:val="both"/>
        <w:rPr>
          <w:rFonts w:ascii="Times New Roman" w:hAnsi="Times New Roman"/>
          <w:color w:val="000000" w:themeColor="text1"/>
          <w:sz w:val="16"/>
          <w:szCs w:val="16"/>
          <w:lang w:eastAsia="ru-RU" w:bidi="ru-RU"/>
        </w:rPr>
      </w:pPr>
      <w:r w:rsidRPr="005E779E">
        <w:rPr>
          <w:rFonts w:ascii="Times New Roman" w:hAnsi="Times New Roman"/>
          <w:color w:val="000000" w:themeColor="text1"/>
          <w:sz w:val="16"/>
          <w:szCs w:val="16"/>
          <w:lang w:eastAsia="ru-RU" w:bidi="ru-RU"/>
        </w:rPr>
        <w:t>В ноябре месяце 1931 при согласовании плана опытного строительства на 1932-1934 гг. было принято оконча</w:t>
      </w:r>
      <w:r w:rsidRPr="005E779E">
        <w:rPr>
          <w:rFonts w:ascii="Times New Roman" w:hAnsi="Times New Roman"/>
          <w:color w:val="000000" w:themeColor="text1"/>
          <w:sz w:val="16"/>
          <w:szCs w:val="16"/>
          <w:lang w:eastAsia="ru-RU" w:bidi="ru-RU"/>
        </w:rPr>
        <w:softHyphen/>
        <w:t>тельное решение о прекращении всяких работ по самолету ТШ-1. Соответственно, из плана самолет исключили (21062).</w:t>
      </w:r>
    </w:p>
    <w:p w14:paraId="2E3BAF11" w14:textId="77777777" w:rsidR="00C71A6E" w:rsidRPr="005E779E" w:rsidRDefault="00C71A6E" w:rsidP="000B7A6C">
      <w:pPr>
        <w:spacing w:after="0" w:line="240" w:lineRule="auto"/>
        <w:jc w:val="both"/>
        <w:rPr>
          <w:rFonts w:ascii="Times New Roman" w:hAnsi="Times New Roman"/>
          <w:color w:val="000000" w:themeColor="text1"/>
          <w:sz w:val="16"/>
          <w:szCs w:val="16"/>
        </w:rPr>
      </w:pPr>
    </w:p>
    <w:p w14:paraId="1CD5A6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1931 г. УВВС сообщило, что хочет получить Р-5 в варианте штурмовика. Он должен был нести 30 балок Дер-5 под мелкие бомбы (шестью блоками-"агре- гатами") и две Дер-6. По взглядам того времени, основная цель для штурмовой авиации - живая сила противника, а также обозы в ближнем тылу, передвигавшиеся в основном на конной тяге. Их собирались поражать с малых высот пулеметным огнем, мелкими осколочными бомбами и о (равняющими веществами. Но завод не захотел взять на себя дополнительные обязательства. В итоге легкий штурмовик Р-5Ш (именуемый также иногда ЛШ-5, Р-5Шт или Р-5ЛШ) появился в результате импровизации строевых летчиков. Летом 1932 г. в 252-й авиабригаде в Гомеле по инициативе комбрига А.А. Туржанского и инженера Павлова доработали один Р-5, смонтировав дополнительные неподвижные пулеметы ПВ-1 сверху нижнего крыла (по два с каждой стороны). Испытывал машину сам Туржанский. С одного захода пулеметным огнем удалось поразить до половины мишеней, причем в некоторых было по 4-5 пробоин. После демонстрации штурмовика представителю УВВС А.В. Хрипину последовало распоряжение отправить его в Москву (11936).</w:t>
      </w:r>
    </w:p>
    <w:p w14:paraId="4B55FA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C8433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1931 г. УВВС сообщило заводу № 1, что хочет получать Р-5 также в варианте штурмовика, отличающемся бомбовым вооружением. Штурмовик должен был нести 30 балок Дер-5 под мелкие бомбы (шестью блоками - "агрегатами") и две Дер-6. Но завод не мог обеспечить даже плановый выпуск уже существовавших модификаций. Взять на себя дополнительные обязательства его руководству не хотелось. Решение вопроса благополучно утопили в переписке, выясняя, кто должен вести проектирование.</w:t>
      </w:r>
    </w:p>
    <w:p w14:paraId="36BDDC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итоге легкий небронированный штурмовик Р-5Ш (именовавшийся также иногда ДШ-5, Р-5Шт или Р- 5ЛШ) появился в результате удачной импровизации строевых летчиков. По взглядам того времени, основная цель для штурмовой авиации - живая сила противника (пехота, кавалерия и артиллерийские расчеты), а также обозы в ближнем тылу, передвигавшиеся в основном на конной тяге. Их собирались поражать с малых высот мощным пулеметным огнем, мелкими осколочными бомбами и разбрызгиванием отравляющих веществ (12034).</w:t>
      </w:r>
    </w:p>
    <w:p w14:paraId="2CCFE7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28D66D0" w14:textId="77777777" w:rsidR="003A03A7" w:rsidRPr="00142305" w:rsidRDefault="003A03A7" w:rsidP="003A03A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ноябре 1931 г. УВВС сообщило заводу № 1, что хочет получать Р-5 также в варианте штурмовика, отличающемся бомбо</w:t>
      </w:r>
      <w:r w:rsidRPr="00142305">
        <w:rPr>
          <w:rFonts w:ascii="Times New Roman" w:hAnsi="Times New Roman"/>
          <w:color w:val="0070C0"/>
          <w:sz w:val="16"/>
          <w:szCs w:val="16"/>
        </w:rPr>
        <w:softHyphen/>
        <w:t>вым вооружением. Штурмовик должен был нести 30 балок Дер-5 под мелкие бомбы (шестью блокам и «агрегатами») и две Дер-6. Но завод не мог обеспечить даже плановый вы</w:t>
      </w:r>
      <w:r w:rsidRPr="00142305">
        <w:rPr>
          <w:rFonts w:ascii="Times New Roman" w:hAnsi="Times New Roman"/>
          <w:color w:val="0070C0"/>
          <w:sz w:val="16"/>
          <w:szCs w:val="16"/>
        </w:rPr>
        <w:softHyphen/>
        <w:t>пуск уже существовавших модификаций. Взять на себя до</w:t>
      </w:r>
      <w:r w:rsidRPr="00142305">
        <w:rPr>
          <w:rFonts w:ascii="Times New Roman" w:hAnsi="Times New Roman"/>
          <w:color w:val="0070C0"/>
          <w:sz w:val="16"/>
          <w:szCs w:val="16"/>
        </w:rPr>
        <w:softHyphen/>
        <w:t>полнительные обязательства его руководству не хотелось. Решение вопроса благополучно утопили в переписке, вы</w:t>
      </w:r>
      <w:r w:rsidRPr="00142305">
        <w:rPr>
          <w:rFonts w:ascii="Times New Roman" w:hAnsi="Times New Roman"/>
          <w:color w:val="0070C0"/>
          <w:sz w:val="16"/>
          <w:szCs w:val="16"/>
        </w:rPr>
        <w:softHyphen/>
        <w:t>ясняя, кто должен вести проектирование.</w:t>
      </w:r>
    </w:p>
    <w:p w14:paraId="05ADEBD8" w14:textId="77777777" w:rsidR="003A03A7" w:rsidRPr="00142305" w:rsidRDefault="003A03A7" w:rsidP="003A03A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итоге легкий небронированный штурмовик Р-5Ш (именовавшийся также иногда ЛШ-5, Р-5Шт или Р- 5ЛШ) появился в результате удачной импровизации стро</w:t>
      </w:r>
      <w:r w:rsidRPr="00142305">
        <w:rPr>
          <w:rFonts w:ascii="Times New Roman" w:hAnsi="Times New Roman"/>
          <w:color w:val="0070C0"/>
          <w:sz w:val="16"/>
          <w:szCs w:val="16"/>
        </w:rPr>
        <w:softHyphen/>
        <w:t>евых летчиков. По взглядам того времени, основная цель для штурмовой авиации — живая сила противника (пехо</w:t>
      </w:r>
      <w:r w:rsidRPr="00142305">
        <w:rPr>
          <w:rFonts w:ascii="Times New Roman" w:hAnsi="Times New Roman"/>
          <w:color w:val="0070C0"/>
          <w:sz w:val="16"/>
          <w:szCs w:val="16"/>
        </w:rPr>
        <w:softHyphen/>
        <w:t>та, кавалерия и артиллерийские расчеты), а также обозы в ближнем тылу, передвигавшиеся в основном на конной тяге. Их собирались поражать с малых высот мощным пу</w:t>
      </w:r>
      <w:r w:rsidRPr="00142305">
        <w:rPr>
          <w:rFonts w:ascii="Times New Roman" w:hAnsi="Times New Roman"/>
          <w:color w:val="0070C0"/>
          <w:sz w:val="16"/>
          <w:szCs w:val="16"/>
        </w:rPr>
        <w:softHyphen/>
        <w:t>леметным огнем, мелкими осколочными бомбами и раз</w:t>
      </w:r>
      <w:r w:rsidRPr="00142305">
        <w:rPr>
          <w:rFonts w:ascii="Times New Roman" w:hAnsi="Times New Roman"/>
          <w:color w:val="0070C0"/>
          <w:sz w:val="16"/>
          <w:szCs w:val="16"/>
        </w:rPr>
        <w:softHyphen/>
        <w:t>брызгиванием отравляющих веществ (24990).</w:t>
      </w:r>
    </w:p>
    <w:p w14:paraId="7C3D6C5F" w14:textId="77777777" w:rsidR="003A03A7" w:rsidRPr="00142305" w:rsidRDefault="003A03A7" w:rsidP="003A03A7">
      <w:pPr>
        <w:spacing w:after="0" w:line="240" w:lineRule="auto"/>
        <w:jc w:val="both"/>
        <w:rPr>
          <w:rFonts w:ascii="Times New Roman" w:hAnsi="Times New Roman"/>
          <w:color w:val="0070C0"/>
          <w:sz w:val="16"/>
          <w:szCs w:val="16"/>
        </w:rPr>
      </w:pPr>
    </w:p>
    <w:p w14:paraId="469F4D54" w14:textId="77777777" w:rsidR="003A03A7" w:rsidRPr="00142305" w:rsidRDefault="003A03A7" w:rsidP="003A03A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ноябре 1931 года, через год после запуска самолета в серию, первый серийный АНТ-7 с двигателями М-17Ф сошел со стапелей авиазавода № 22. В последующие годы на трех серийных заводах собрали 410 самолетов: 385 - на заводе № 22 в подмосковных Филях, пять в поплавковом варианте КР-6П - в Таганроге на заводе № 31 и 20 - в Комсомольске-на- Амуре (24991).</w:t>
      </w:r>
    </w:p>
    <w:p w14:paraId="68665892" w14:textId="77777777" w:rsidR="003A03A7" w:rsidRPr="00142305" w:rsidRDefault="003A03A7" w:rsidP="003A03A7">
      <w:pPr>
        <w:spacing w:after="0" w:line="240" w:lineRule="auto"/>
        <w:jc w:val="both"/>
        <w:rPr>
          <w:rFonts w:ascii="Times New Roman" w:hAnsi="Times New Roman"/>
          <w:color w:val="0070C0"/>
          <w:sz w:val="16"/>
          <w:szCs w:val="16"/>
        </w:rPr>
      </w:pPr>
    </w:p>
    <w:p w14:paraId="3EE392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1931 было создано КБ ВВА Жуковского (66,168) под руководством С.Г.Козлова для разработки 12 моторного Гиганта - крыла (80,323) с 12 М-17 в носке толстого крыла. Оперение - на двух балках - 6 винтов. Финансирование закрыли из-за неудачи испытаний спарки двигателей (92,435).</w:t>
      </w:r>
    </w:p>
    <w:p w14:paraId="3B6D3A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Якобы проект поддерживал М.Н.Т., который надеялся, что машина с крылом площадью 600 кв. м сможет перевозить танки (предусматривалась опускающаяся платформа). В работе участвовал и С.А.Л., который в то время работал в ВНК у Лавиля и подрабатывал у С.Г.Козлова (78,37).</w:t>
      </w:r>
    </w:p>
    <w:p w14:paraId="6857BD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901BF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1931 в воздух поднялся АИР-5 А.С.Я. (3971,6).</w:t>
      </w:r>
    </w:p>
    <w:p w14:paraId="231A26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D3825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1931 состоялся первый полет АИР-5 (210,11).</w:t>
      </w:r>
    </w:p>
    <w:p w14:paraId="2DFCE7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A3E67A4" w14:textId="77777777" w:rsidR="006813D3" w:rsidRPr="005E779E" w:rsidRDefault="006813D3" w:rsidP="000B7A6C">
      <w:pPr>
        <w:pStyle w:val="a8"/>
        <w:jc w:val="both"/>
        <w:rPr>
          <w:rFonts w:ascii="Times New Roman" w:hAnsi="Times New Roman" w:cs="Times New Roman"/>
          <w:color w:val="000000" w:themeColor="text1"/>
        </w:rPr>
      </w:pPr>
      <w:r w:rsidRPr="005E779E">
        <w:rPr>
          <w:rFonts w:ascii="Times New Roman" w:hAnsi="Times New Roman" w:cs="Times New Roman"/>
          <w:color w:val="000000" w:themeColor="text1"/>
        </w:rPr>
        <w:t>В ноябре 1931 г. АИР-5 впервые поднялся в воздух. Самолет продемонстрировал хорошие летные данные, устойчивость и управляемость. После кратких заводских испытаний его передали в НИИ ГВФ на государственные. Там на машину нанесли обозначение «СССР-Э8».</w:t>
      </w:r>
    </w:p>
    <w:p w14:paraId="271AEFCC" w14:textId="77777777" w:rsidR="006813D3" w:rsidRPr="005E779E" w:rsidRDefault="006813D3" w:rsidP="000B7A6C">
      <w:pPr>
        <w:pStyle w:val="a8"/>
        <w:jc w:val="both"/>
        <w:rPr>
          <w:rFonts w:ascii="Times New Roman" w:hAnsi="Times New Roman" w:cs="Times New Roman"/>
          <w:color w:val="000000" w:themeColor="text1"/>
        </w:rPr>
      </w:pPr>
    </w:p>
    <w:p w14:paraId="3599DA89" w14:textId="77777777" w:rsidR="003A03A7" w:rsidRPr="00142305" w:rsidRDefault="003A03A7" w:rsidP="003A03A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ноябре 1931 г. АИР-5 впервые поднялся в воздух. Самолет продемонстрировал хоро</w:t>
      </w:r>
      <w:r w:rsidRPr="00142305">
        <w:rPr>
          <w:rFonts w:ascii="Times New Roman" w:hAnsi="Times New Roman"/>
          <w:color w:val="0070C0"/>
          <w:sz w:val="16"/>
          <w:szCs w:val="16"/>
        </w:rPr>
        <w:softHyphen/>
        <w:t>шие летные данные, устойчивость и уп</w:t>
      </w:r>
      <w:r w:rsidRPr="00142305">
        <w:rPr>
          <w:rFonts w:ascii="Times New Roman" w:hAnsi="Times New Roman"/>
          <w:color w:val="0070C0"/>
          <w:sz w:val="16"/>
          <w:szCs w:val="16"/>
        </w:rPr>
        <w:softHyphen/>
        <w:t>равляемость. После кратких заводских испытаний его передали в НИИ ГВФ на государственные. Там на машину нанес</w:t>
      </w:r>
      <w:r w:rsidRPr="00142305">
        <w:rPr>
          <w:rFonts w:ascii="Times New Roman" w:hAnsi="Times New Roman"/>
          <w:color w:val="0070C0"/>
          <w:sz w:val="16"/>
          <w:szCs w:val="16"/>
        </w:rPr>
        <w:softHyphen/>
        <w:t>ли обозначение «СССР-Э8». К апрелю 1932 г. она прошла полную программу испытаний (24945).</w:t>
      </w:r>
    </w:p>
    <w:p w14:paraId="6A618F69" w14:textId="77777777" w:rsidR="003A03A7" w:rsidRPr="00142305" w:rsidRDefault="003A03A7" w:rsidP="003A03A7">
      <w:pPr>
        <w:spacing w:after="0" w:line="240" w:lineRule="auto"/>
        <w:jc w:val="both"/>
        <w:rPr>
          <w:rFonts w:ascii="Times New Roman" w:hAnsi="Times New Roman"/>
          <w:color w:val="0070C0"/>
          <w:sz w:val="16"/>
          <w:szCs w:val="16"/>
        </w:rPr>
      </w:pPr>
    </w:p>
    <w:p w14:paraId="4F6E2A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1931 начались отстрелы пушек на АНТ-23 (И-12) на земле (2072,70).</w:t>
      </w:r>
    </w:p>
    <w:p w14:paraId="505585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BF9CC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1931 на основании данных по опытному самолету АНТ-16 ЦАГИ составил требования к головному серийному ТБ-4. Предназначался для уничтожения крупных военно-промышленных объектов в тылу (7388, 9).</w:t>
      </w:r>
    </w:p>
    <w:p w14:paraId="393886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72966E1" w14:textId="77777777" w:rsidR="00D82FF1" w:rsidRPr="005E779E" w:rsidRDefault="00D82FF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1931 г. решили, что КБ А.Н.Т. будет строить головной самолет АНТ-16 (дуб</w:t>
      </w:r>
      <w:r w:rsidRPr="005E779E">
        <w:rPr>
          <w:rFonts w:ascii="Times New Roman" w:hAnsi="Times New Roman"/>
          <w:color w:val="000000" w:themeColor="text1"/>
          <w:sz w:val="16"/>
          <w:szCs w:val="16"/>
        </w:rPr>
        <w:softHyphen/>
        <w:t>лер) — эталон для серии — по новым ТТТ. При этом в проект внесли ряд конструк</w:t>
      </w:r>
      <w:r w:rsidRPr="005E779E">
        <w:rPr>
          <w:rFonts w:ascii="Times New Roman" w:hAnsi="Times New Roman"/>
          <w:color w:val="000000" w:themeColor="text1"/>
          <w:sz w:val="16"/>
          <w:szCs w:val="16"/>
        </w:rPr>
        <w:softHyphen/>
        <w:t>тивных изменений, предусматривавших возможность быстрого переоборудова</w:t>
      </w:r>
      <w:r w:rsidRPr="005E779E">
        <w:rPr>
          <w:rFonts w:ascii="Times New Roman" w:hAnsi="Times New Roman"/>
          <w:color w:val="000000" w:themeColor="text1"/>
          <w:sz w:val="16"/>
          <w:szCs w:val="16"/>
        </w:rPr>
        <w:softHyphen/>
        <w:t>ния машины в транспортный или пасса</w:t>
      </w:r>
      <w:r w:rsidRPr="005E779E">
        <w:rPr>
          <w:rFonts w:ascii="Times New Roman" w:hAnsi="Times New Roman"/>
          <w:color w:val="000000" w:themeColor="text1"/>
          <w:sz w:val="16"/>
          <w:szCs w:val="16"/>
        </w:rPr>
        <w:softHyphen/>
        <w:t>жирский варианты. Головная машина должна была отличаться переделанной носовой частью фюзеляжа: кроме откры</w:t>
      </w:r>
      <w:r w:rsidRPr="005E779E">
        <w:rPr>
          <w:rFonts w:ascii="Times New Roman" w:hAnsi="Times New Roman"/>
          <w:color w:val="000000" w:themeColor="text1"/>
          <w:sz w:val="16"/>
          <w:szCs w:val="16"/>
        </w:rPr>
        <w:softHyphen/>
        <w:t>той турели, которую сместили ближе к кабине летчиков, предполагалось устано</w:t>
      </w:r>
      <w:r w:rsidRPr="005E779E">
        <w:rPr>
          <w:rFonts w:ascii="Times New Roman" w:hAnsi="Times New Roman"/>
          <w:color w:val="000000" w:themeColor="text1"/>
          <w:sz w:val="16"/>
          <w:szCs w:val="16"/>
        </w:rPr>
        <w:softHyphen/>
        <w:t>вить башню с тремя пулеметами или пушкой.</w:t>
      </w:r>
    </w:p>
    <w:p w14:paraId="2A5C95D7" w14:textId="77777777" w:rsidR="00D82FF1" w:rsidRPr="005E779E" w:rsidRDefault="00D82FF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Постройка дублера началась в августе 1932 г. К 1 января 1933 г. техническая го</w:t>
      </w:r>
      <w:r w:rsidRPr="005E779E">
        <w:rPr>
          <w:rFonts w:ascii="Times New Roman" w:hAnsi="Times New Roman"/>
          <w:color w:val="000000" w:themeColor="text1"/>
          <w:sz w:val="16"/>
          <w:szCs w:val="16"/>
        </w:rPr>
        <w:softHyphen/>
        <w:t>товность самолета составила 17% (23474).</w:t>
      </w:r>
    </w:p>
    <w:p w14:paraId="3CED1340" w14:textId="77777777" w:rsidR="00D82FF1" w:rsidRPr="005E779E" w:rsidRDefault="00D82FF1" w:rsidP="000B7A6C">
      <w:pPr>
        <w:spacing w:after="0" w:line="240" w:lineRule="auto"/>
        <w:jc w:val="both"/>
        <w:rPr>
          <w:rFonts w:ascii="Times New Roman" w:hAnsi="Times New Roman"/>
          <w:color w:val="000000" w:themeColor="text1"/>
          <w:sz w:val="16"/>
          <w:szCs w:val="16"/>
        </w:rPr>
      </w:pPr>
    </w:p>
    <w:p w14:paraId="48806E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1931 состоялся первый полет самолета Г-8 В.К.Грибовского (9080).</w:t>
      </w:r>
    </w:p>
    <w:p w14:paraId="022D2A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3DC0472" w14:textId="77777777" w:rsidR="003B5258" w:rsidRPr="005E779E" w:rsidRDefault="003B5258" w:rsidP="003B5258">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1931 г. состоялся первый полет самолета Г-8.</w:t>
      </w:r>
    </w:p>
    <w:p w14:paraId="6AA35550" w14:textId="77777777" w:rsidR="003B5258" w:rsidRPr="005E779E" w:rsidRDefault="003B5258" w:rsidP="003B5258">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1930 г. Грибовского переводят на должность начальника Московской школы летчиков. Эта школа, принадлежащая Осоавиахиму,поначалу располагалась на Центральном аэродроме им. Фрунзе, где ее существование к тому моменту уже ощутимо затруднялось соседством других, более «весомых» организаций. Поэтому вновь прибывший начальник свою деятельность начал с поисков нового места базирования.</w:t>
      </w:r>
    </w:p>
    <w:p w14:paraId="170CDE58" w14:textId="77777777" w:rsidR="003B5258" w:rsidRPr="005E779E" w:rsidRDefault="003B5258" w:rsidP="003B5258">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пойме реки Москвы, у деревни Тушино он обнаружил с воздуха приличную площадку, на которую школу перевели в 1931 г. Впоследствии, здесь оборудовали хороший аэродром и образовали Центральный аэроклуб Осоавиахима, которые стали центром спортивной авиации СССР.</w:t>
      </w:r>
    </w:p>
    <w:p w14:paraId="63BA883E" w14:textId="77777777" w:rsidR="003B5258" w:rsidRPr="005E779E" w:rsidRDefault="003B5258" w:rsidP="003B5258">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должности начальника школы Грибовский находился до середины 1932 г., по-прежнему не прекращая своей конструкторской деятельности. Здесь он спроектировал и построил легкий спортивный самолет Г-8.</w:t>
      </w:r>
    </w:p>
    <w:p w14:paraId="0609AE29" w14:textId="77777777" w:rsidR="003B5258" w:rsidRPr="005E779E" w:rsidRDefault="003B5258" w:rsidP="003B5258">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Г-8 представлял собой одноместный, свободнонесущий низкоплан деревянной конструкции, рассчитанный на выполнение полетов продолжительностью не менее четырех часов.</w:t>
      </w:r>
    </w:p>
    <w:p w14:paraId="3C6B0322" w14:textId="77777777" w:rsidR="003B5258" w:rsidRPr="005E779E" w:rsidRDefault="003B5258" w:rsidP="003B5258">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Крыло двухлонжеронное, обшивка лобовой части из фанеры, вся остальная поверхность обтянута полотном. Хвостовое оперение деревянное с полотняной обшивкой.</w:t>
      </w:r>
    </w:p>
    <w:p w14:paraId="7063F794" w14:textId="77777777" w:rsidR="003B5258" w:rsidRPr="005E779E" w:rsidRDefault="003B5258" w:rsidP="003B5258">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Веретенообразный фюзеляж типа полумонокок, обшит фанерой. Кабина открытая, с небольшим козырьком и обтекателем-заголовником.</w:t>
      </w:r>
    </w:p>
    <w:p w14:paraId="461DECDD" w14:textId="77777777" w:rsidR="003B5258" w:rsidRPr="005E779E" w:rsidRDefault="003B5258" w:rsidP="003B5258">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Двигатель «Вальтер» 60 л.с, пятицилиндровый, звездообразный, воздушного охлаждения.</w:t>
      </w:r>
    </w:p>
    <w:p w14:paraId="0514BD1F" w14:textId="77777777" w:rsidR="003B5258" w:rsidRPr="005E779E" w:rsidRDefault="003B5258" w:rsidP="003B5258">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1932 г. самолет прошел весь цикл летных испытаний с положительной оценкой устойчивости и управляемости, после чего было решено испытать его в длительном перелете, назначенном на сентябрь.</w:t>
      </w:r>
    </w:p>
    <w:p w14:paraId="07A7F1C8" w14:textId="77777777" w:rsidR="003B5258" w:rsidRPr="005E779E" w:rsidRDefault="003B5258" w:rsidP="003B5258">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декабря 1931 г. опытный образец 203-мм мортиры «Ж» на НИАП после двух выстрелов мортира получила повреждения и была возвращена на завод для исправления, а затем вновь направлена на НИАП.</w:t>
      </w:r>
    </w:p>
    <w:p w14:paraId="50F33CE1" w14:textId="77777777" w:rsidR="003B5258" w:rsidRPr="005E779E" w:rsidRDefault="003B5258" w:rsidP="003B5258">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Советскими конструкторами был успешно выполнен и пункт обеих артиллерийских программ по 203-мм корпусной мортире. Так, КБ завода «Красный Путиловец» (после переименованного в Кировский завод) начало проектирование 203-мм корпусной мортиры «Ж» еще в 1929 г. Длина ствола мортиры составляла 8,25 калибра, а вес ствола с затвором — 1210 кг. Заряжание мортиры раздельно-гильзовое, мортира могла стрелять 203-мм снарядами от гаубиц Б-4 системы Виккерса и системы «Шнейдер — Красный Путиловец».[102]</w:t>
      </w:r>
    </w:p>
    <w:p w14:paraId="1E73588F" w14:textId="77777777" w:rsidR="003B5258" w:rsidRPr="005E779E" w:rsidRDefault="003B5258" w:rsidP="003B5258">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22 июня по 31 июля 1932 г. из мортиры сделали еще 153 выстрела. Стрельба велась снарядами весом 81 кг при полном заряде, начальная скорость составляла 260 м/с, а дальность — около 5 км.</w:t>
      </w:r>
    </w:p>
    <w:p w14:paraId="4A19311A" w14:textId="77777777" w:rsidR="003B5258" w:rsidRPr="005E779E" w:rsidRDefault="003B5258" w:rsidP="003B5258">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Испытания на НИАПе продолжались до июля 1934 г., мортира «Ж» показала в целом неплохие результаты, но на вооружение принята не была. Возможно, читатель заметит, что дальность стрельбы мортиры составляла всего 5 км, а, мол, у 203-мм гаубицы Б-4 — 17,9 км. Но дальность была задана системой артиллерийского вооружения на 1929–1932 гг. А главное, мортира «Ж» весила 3,64 т, а Б-4 — 17 т, то есть в 4,7 раза больше, и стоила в несколько раз дороже, а фугасное действие снаряда мортиры «Ж» могло быть сильнее, чем у Б-4. Наконец, максимальный угол возвышения у Б-4 составлял 60°, а у мортиры «Ж» — 75°, что очень важно для боевых действий на пересеченной местности, в городе, для поражения закрытых позиций и т. д. (12705).</w:t>
      </w:r>
    </w:p>
    <w:p w14:paraId="437D9367" w14:textId="77777777" w:rsidR="003B5258" w:rsidRPr="005E779E" w:rsidRDefault="003B5258" w:rsidP="003B5258">
      <w:pPr>
        <w:spacing w:after="0" w:line="240" w:lineRule="auto"/>
        <w:jc w:val="both"/>
        <w:rPr>
          <w:rFonts w:ascii="Times New Roman" w:hAnsi="Times New Roman"/>
          <w:color w:val="000000" w:themeColor="text1"/>
          <w:sz w:val="16"/>
          <w:szCs w:val="16"/>
        </w:rPr>
      </w:pPr>
    </w:p>
    <w:p w14:paraId="6114AB9F" w14:textId="77777777" w:rsidR="006813D3" w:rsidRPr="005E779E" w:rsidRDefault="006813D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1931 же года приказом №229 Н. Е. Пауфлер назначил своим заместителем и начальником ЦКБ С. В. Ильюшина. В заключительной части приказа говорилось: «Считаю, что благодаря слиянию двух опытных самолетных организаций, наличные конструкторские силы и производственные возможности ЦАГИ вполне обеспечивают успешное и своевременное разрешение задач, поставленных правительством в области опытного строительства самолетов, вооружения и внедрения их в серии» (19727).</w:t>
      </w:r>
    </w:p>
    <w:p w14:paraId="7108D4D7" w14:textId="77777777" w:rsidR="006813D3" w:rsidRPr="005E779E" w:rsidRDefault="006813D3" w:rsidP="000B7A6C">
      <w:pPr>
        <w:spacing w:after="0" w:line="240" w:lineRule="auto"/>
        <w:jc w:val="both"/>
        <w:rPr>
          <w:rFonts w:ascii="Times New Roman" w:hAnsi="Times New Roman"/>
          <w:color w:val="000000" w:themeColor="text1"/>
          <w:sz w:val="16"/>
          <w:szCs w:val="16"/>
        </w:rPr>
      </w:pPr>
    </w:p>
    <w:p w14:paraId="70E44108" w14:textId="77777777" w:rsidR="003A03A7" w:rsidRPr="00142305" w:rsidRDefault="003A03A7" w:rsidP="003A03A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ноябре 1931 года С.В.И. возглавил конструкторское бюро ЦАГИ (25093).</w:t>
      </w:r>
    </w:p>
    <w:p w14:paraId="7F9FD520" w14:textId="77777777" w:rsidR="003A03A7" w:rsidRPr="00142305" w:rsidRDefault="003A03A7" w:rsidP="003A03A7">
      <w:pPr>
        <w:spacing w:after="0" w:line="240" w:lineRule="auto"/>
        <w:jc w:val="both"/>
        <w:rPr>
          <w:rFonts w:ascii="Times New Roman" w:hAnsi="Times New Roman"/>
          <w:color w:val="0070C0"/>
          <w:sz w:val="16"/>
          <w:szCs w:val="16"/>
        </w:rPr>
      </w:pPr>
    </w:p>
    <w:p w14:paraId="31C02B54" w14:textId="77777777" w:rsidR="003A03A7" w:rsidRPr="00142305" w:rsidRDefault="003A03A7" w:rsidP="003A03A7">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В ноябре 1931 г. бывшие мастерские АГОС и мастерские (на Яузе) были реорганизованы в завод опытных конструкций (ЗОК), на котором сосредоточили производство опытных образцов. Директором ЗОК назначили А.А. Осипова (25667).</w:t>
      </w:r>
    </w:p>
    <w:p w14:paraId="344B155A" w14:textId="77777777" w:rsidR="003A03A7" w:rsidRPr="00142305" w:rsidRDefault="003A03A7" w:rsidP="003A03A7">
      <w:pPr>
        <w:spacing w:after="0" w:line="240" w:lineRule="auto"/>
        <w:jc w:val="both"/>
        <w:rPr>
          <w:rFonts w:ascii="Times New Roman" w:hAnsi="Times New Roman"/>
          <w:color w:val="0070C0"/>
          <w:sz w:val="16"/>
          <w:szCs w:val="16"/>
        </w:rPr>
      </w:pPr>
    </w:p>
    <w:p w14:paraId="02B6C44B" w14:textId="77777777" w:rsidR="003B5258" w:rsidRPr="005E779E" w:rsidRDefault="003B5258" w:rsidP="003B5258">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1931 Н.Н.П., по причине разногласий (прежде всего с А.Н.Туполевым), становится «не ко двору» организации ЦКБ-ЦАГИ и с должности начальника бригады снимается. Затем следуют более чем полгода вынужденного бездействия, работа на второстепенных должностях, явно не сооветствую-щих квалификации конструктора (6593).</w:t>
      </w:r>
    </w:p>
    <w:p w14:paraId="3895215A" w14:textId="77777777" w:rsidR="003B5258" w:rsidRPr="005E779E" w:rsidRDefault="003B5258" w:rsidP="003B5258">
      <w:pPr>
        <w:autoSpaceDE w:val="0"/>
        <w:autoSpaceDN w:val="0"/>
        <w:adjustRightInd w:val="0"/>
        <w:spacing w:after="0" w:line="240" w:lineRule="auto"/>
        <w:jc w:val="both"/>
        <w:rPr>
          <w:rFonts w:ascii="Times New Roman" w:hAnsi="Times New Roman"/>
          <w:color w:val="000000" w:themeColor="text1"/>
          <w:sz w:val="16"/>
          <w:szCs w:val="16"/>
        </w:rPr>
      </w:pPr>
    </w:p>
    <w:p w14:paraId="7ADA33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1931 г. на сове</w:t>
      </w:r>
      <w:r w:rsidRPr="005E779E">
        <w:rPr>
          <w:rFonts w:ascii="Times New Roman" w:hAnsi="Times New Roman"/>
          <w:color w:val="000000" w:themeColor="text1"/>
          <w:sz w:val="16"/>
          <w:szCs w:val="16"/>
        </w:rPr>
        <w:softHyphen/>
        <w:t>щании в кабинете Туполева начавшийся было спокой</w:t>
      </w:r>
      <w:r w:rsidRPr="005E779E">
        <w:rPr>
          <w:rFonts w:ascii="Times New Roman" w:hAnsi="Times New Roman"/>
          <w:color w:val="000000" w:themeColor="text1"/>
          <w:sz w:val="16"/>
          <w:szCs w:val="16"/>
        </w:rPr>
        <w:softHyphen/>
        <w:t>ным разговор по работам бригады №3 дошел до высшей точки кипения. Туполев выразил свое мнение, что зада</w:t>
      </w:r>
      <w:r w:rsidRPr="005E779E">
        <w:rPr>
          <w:rFonts w:ascii="Times New Roman" w:hAnsi="Times New Roman"/>
          <w:color w:val="000000" w:themeColor="text1"/>
          <w:sz w:val="16"/>
          <w:szCs w:val="16"/>
        </w:rPr>
        <w:softHyphen/>
        <w:t>ние на истребитель И-13 бригада № 3 смогла бы быстро выполнить, взяв за основу И-8 (АНТ-13), который про</w:t>
      </w:r>
      <w:r w:rsidRPr="005E779E">
        <w:rPr>
          <w:rFonts w:ascii="Times New Roman" w:hAnsi="Times New Roman"/>
          <w:color w:val="000000" w:themeColor="text1"/>
          <w:sz w:val="16"/>
          <w:szCs w:val="16"/>
        </w:rPr>
        <w:softHyphen/>
        <w:t>ходил в то время испытания, соответственно усилив его конструкцию и улучшив аэродинамику самолета, и дал указания о немедленном проведении этой работы. Ни</w:t>
      </w:r>
      <w:r w:rsidRPr="005E779E">
        <w:rPr>
          <w:rFonts w:ascii="Times New Roman" w:hAnsi="Times New Roman"/>
          <w:color w:val="000000" w:themeColor="text1"/>
          <w:sz w:val="16"/>
          <w:szCs w:val="16"/>
        </w:rPr>
        <w:softHyphen/>
        <w:t>колай Николаевич сослался на различие требований к машинам, сказал, что только его проект может наиболее полно удовлетворить их и что брать за основу И-8 он не собирается. Самолюбивый Андрей Николаевич был бук</w:t>
      </w:r>
      <w:r w:rsidRPr="005E779E">
        <w:rPr>
          <w:rFonts w:ascii="Times New Roman" w:hAnsi="Times New Roman"/>
          <w:color w:val="000000" w:themeColor="text1"/>
          <w:sz w:val="16"/>
          <w:szCs w:val="16"/>
        </w:rPr>
        <w:softHyphen/>
        <w:t>вально взбешен отказом Поликарпова. По воспомина</w:t>
      </w:r>
      <w:r w:rsidRPr="005E779E">
        <w:rPr>
          <w:rFonts w:ascii="Times New Roman" w:hAnsi="Times New Roman"/>
          <w:color w:val="000000" w:themeColor="text1"/>
          <w:sz w:val="16"/>
          <w:szCs w:val="16"/>
        </w:rPr>
        <w:softHyphen/>
        <w:t>ниям инженера Тарасова, Туполев вскочил, опрокинув стулья. «Я этого сукина сына навек в рядовых инженерах сгною, он у меня забудет, как самолеты проектируются», - в ярости кричал Андрей Николаевич. Немедленно по</w:t>
      </w:r>
      <w:r w:rsidRPr="005E779E">
        <w:rPr>
          <w:rFonts w:ascii="Times New Roman" w:hAnsi="Times New Roman"/>
          <w:color w:val="000000" w:themeColor="text1"/>
          <w:sz w:val="16"/>
          <w:szCs w:val="16"/>
        </w:rPr>
        <w:softHyphen/>
        <w:t>следовал приказ о смещении Н.Н.Поликарпова с долж</w:t>
      </w:r>
      <w:r w:rsidRPr="005E779E">
        <w:rPr>
          <w:rFonts w:ascii="Times New Roman" w:hAnsi="Times New Roman"/>
          <w:color w:val="000000" w:themeColor="text1"/>
          <w:sz w:val="16"/>
          <w:szCs w:val="16"/>
        </w:rPr>
        <w:softHyphen/>
        <w:t>ности начальника бригады № 3. Ему поручили проверку проектов, анализ результатов статических испытаний, пересадив за рабочий стол в главное здание ЦАГИ, что, безусловно, не соответствовало ни его квалификации, ни опыту (10667).</w:t>
      </w:r>
    </w:p>
    <w:p w14:paraId="1FF263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4345FE1" w14:textId="77777777" w:rsidR="00D82FF1" w:rsidRPr="005E779E" w:rsidRDefault="00D82FF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1931 г. на совещании в кабинете Туполева на</w:t>
      </w:r>
      <w:r w:rsidRPr="005E779E">
        <w:rPr>
          <w:rFonts w:ascii="Times New Roman" w:hAnsi="Times New Roman"/>
          <w:color w:val="000000" w:themeColor="text1"/>
          <w:sz w:val="16"/>
          <w:szCs w:val="16"/>
        </w:rPr>
        <w:softHyphen/>
        <w:t>чавшийся было спокойным разговор по работам бригады №3, дошел до высшей точки кипения. Туполев вы</w:t>
      </w:r>
      <w:r w:rsidRPr="005E779E">
        <w:rPr>
          <w:rFonts w:ascii="Times New Roman" w:hAnsi="Times New Roman"/>
          <w:color w:val="000000" w:themeColor="text1"/>
          <w:sz w:val="16"/>
          <w:szCs w:val="16"/>
        </w:rPr>
        <w:softHyphen/>
        <w:t>разил свое мнение, что задание на истребитель И-13 бригада №3 смогла бы быстро выполнить, взяв за основу спроектированный ранее П.О. Сухим истребитель И-8 (АНТ-</w:t>
      </w:r>
      <w:r w:rsidRPr="005E779E">
        <w:rPr>
          <w:rFonts w:ascii="Times New Roman" w:hAnsi="Times New Roman"/>
          <w:color w:val="000000" w:themeColor="text1"/>
          <w:sz w:val="16"/>
          <w:szCs w:val="16"/>
        </w:rPr>
        <w:lastRenderedPageBreak/>
        <w:t>13), который проходил в то время испытания. Он считал, что требовалось лишь немного усилить его конструкцию и улучшить аэродинамику самолета, а потому дал указания о немедленном проведении этой работы.</w:t>
      </w:r>
    </w:p>
    <w:p w14:paraId="784F1D31" w14:textId="77777777" w:rsidR="00D82FF1" w:rsidRPr="005E779E" w:rsidRDefault="00D82FF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Николай Николаевич сослался на различие требований к машинам, сказал, что только его проект может наиболее полно удовлетворить их и что брать за основу И-8 он не собирается.</w:t>
      </w:r>
    </w:p>
    <w:p w14:paraId="0E1FD492" w14:textId="77777777" w:rsidR="00D82FF1" w:rsidRPr="005E779E" w:rsidRDefault="00D82FF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Самолюбивый Андрей Нико</w:t>
      </w:r>
      <w:r w:rsidRPr="005E779E">
        <w:rPr>
          <w:rFonts w:ascii="Times New Roman" w:hAnsi="Times New Roman"/>
          <w:color w:val="000000" w:themeColor="text1"/>
          <w:sz w:val="16"/>
          <w:szCs w:val="16"/>
        </w:rPr>
        <w:softHyphen/>
        <w:t>лаевич был буквально взбешен отказом Н.Н. Поликарпова. По воспоминаниям инженера Тара</w:t>
      </w:r>
      <w:r w:rsidRPr="005E779E">
        <w:rPr>
          <w:rFonts w:ascii="Times New Roman" w:hAnsi="Times New Roman"/>
          <w:color w:val="000000" w:themeColor="text1"/>
          <w:sz w:val="16"/>
          <w:szCs w:val="16"/>
        </w:rPr>
        <w:softHyphen/>
        <w:t>сова, Туполев вскочил, опрокинув стулья. «Я этого (мат) сукина сына навек в рядовых инженерах сгною, он у меня забудет, как самолеты проектируются», - в ярости кричал Андрей Николаевич. Немедленно последовал приказ о смещении Н.Н. Поликарпова с должности начальника бригады №3. Его перевели в рядовые инженеры и поручили проверку проектов, анализ результатов статических испытаний, пересадив за рабочий стол в главное здание ЦАГИ, что, безусловно, не соответствовало ни его квалификации, ни опыту. Нес</w:t>
      </w:r>
      <w:r w:rsidRPr="005E779E">
        <w:rPr>
          <w:rFonts w:ascii="Times New Roman" w:hAnsi="Times New Roman"/>
          <w:color w:val="000000" w:themeColor="text1"/>
          <w:sz w:val="16"/>
          <w:szCs w:val="16"/>
        </w:rPr>
        <w:softHyphen/>
        <w:t>праведливо. Обидно...</w:t>
      </w:r>
    </w:p>
    <w:p w14:paraId="762A8A93" w14:textId="77777777" w:rsidR="00D82FF1" w:rsidRPr="005E779E" w:rsidRDefault="00D82FF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написанных Поликарповым заметках несколькими скупыми словами дана его оценка произо</w:t>
      </w:r>
      <w:r w:rsidRPr="005E779E">
        <w:rPr>
          <w:rFonts w:ascii="Times New Roman" w:hAnsi="Times New Roman"/>
          <w:color w:val="000000" w:themeColor="text1"/>
          <w:sz w:val="16"/>
          <w:szCs w:val="16"/>
        </w:rPr>
        <w:softHyphen/>
        <w:t>шедшим событиям: «Мои разногла</w:t>
      </w:r>
      <w:r w:rsidRPr="005E779E">
        <w:rPr>
          <w:rFonts w:ascii="Times New Roman" w:hAnsi="Times New Roman"/>
          <w:color w:val="000000" w:themeColor="text1"/>
          <w:sz w:val="16"/>
          <w:szCs w:val="16"/>
        </w:rPr>
        <w:softHyphen/>
        <w:t>сия с Туполевым принципиальные, захват ЦАГИ, проверка проектов, проверка статиспытаний, жесткий контроль и безответственность. Наше переселение в ЦАГИ «для оздо</w:t>
      </w:r>
      <w:r w:rsidRPr="005E779E">
        <w:rPr>
          <w:rFonts w:ascii="Times New Roman" w:hAnsi="Times New Roman"/>
          <w:color w:val="000000" w:themeColor="text1"/>
          <w:sz w:val="16"/>
          <w:szCs w:val="16"/>
        </w:rPr>
        <w:softHyphen/>
        <w:t>ровления». Перелом и гонения.</w:t>
      </w:r>
    </w:p>
    <w:p w14:paraId="591329AE" w14:textId="77777777" w:rsidR="00D82FF1" w:rsidRPr="005E779E" w:rsidRDefault="00D82FF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Зажим в ЦАГИ: смещение в ноябре 1931 года, снятие программы (раз</w:t>
      </w:r>
      <w:r w:rsidRPr="005E779E">
        <w:rPr>
          <w:rFonts w:ascii="Times New Roman" w:hAnsi="Times New Roman"/>
          <w:color w:val="000000" w:themeColor="text1"/>
          <w:sz w:val="16"/>
          <w:szCs w:val="16"/>
        </w:rPr>
        <w:softHyphen/>
        <w:t>ведчики и истребители), вынужден</w:t>
      </w:r>
      <w:r w:rsidRPr="005E779E">
        <w:rPr>
          <w:rFonts w:ascii="Times New Roman" w:hAnsi="Times New Roman"/>
          <w:color w:val="000000" w:themeColor="text1"/>
          <w:sz w:val="16"/>
          <w:szCs w:val="16"/>
        </w:rPr>
        <w:softHyphen/>
        <w:t>ное безделье до июля 1932 года...».</w:t>
      </w:r>
    </w:p>
    <w:p w14:paraId="4F32D0DA" w14:textId="77777777" w:rsidR="00D82FF1" w:rsidRPr="005E779E" w:rsidRDefault="00D82FF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Конечно же, Николай Николае</w:t>
      </w:r>
      <w:r w:rsidRPr="005E779E">
        <w:rPr>
          <w:rFonts w:ascii="Times New Roman" w:hAnsi="Times New Roman"/>
          <w:color w:val="000000" w:themeColor="text1"/>
          <w:sz w:val="16"/>
          <w:szCs w:val="16"/>
        </w:rPr>
        <w:softHyphen/>
        <w:t>вич не сидел, сложа руки, однако отрыв от любимого дела он воспри</w:t>
      </w:r>
      <w:r w:rsidRPr="005E779E">
        <w:rPr>
          <w:rFonts w:ascii="Times New Roman" w:hAnsi="Times New Roman"/>
          <w:color w:val="000000" w:themeColor="text1"/>
          <w:sz w:val="16"/>
          <w:szCs w:val="16"/>
        </w:rPr>
        <w:softHyphen/>
        <w:t>нимал очень тяжело.</w:t>
      </w:r>
    </w:p>
    <w:p w14:paraId="6B831076" w14:textId="77777777" w:rsidR="00D82FF1" w:rsidRPr="005E779E" w:rsidRDefault="00D82FF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Вместо него бригаду возглавил инженер Бертош, один из участни</w:t>
      </w:r>
      <w:r w:rsidRPr="005E779E">
        <w:rPr>
          <w:rFonts w:ascii="Times New Roman" w:hAnsi="Times New Roman"/>
          <w:color w:val="000000" w:themeColor="text1"/>
          <w:sz w:val="16"/>
          <w:szCs w:val="16"/>
        </w:rPr>
        <w:softHyphen/>
        <w:t>ков проектирования И-8, который взялся за разработку конструкции истребителя И-13 в соответствии с указаниями А.Н. Туполева (23406).</w:t>
      </w:r>
    </w:p>
    <w:p w14:paraId="1E1B73D5" w14:textId="77777777" w:rsidR="00D82FF1" w:rsidRPr="005E779E" w:rsidRDefault="00D82FF1" w:rsidP="000B7A6C">
      <w:pPr>
        <w:spacing w:after="0" w:line="240" w:lineRule="auto"/>
        <w:jc w:val="both"/>
        <w:rPr>
          <w:rFonts w:ascii="Times New Roman" w:hAnsi="Times New Roman"/>
          <w:color w:val="000000" w:themeColor="text1"/>
          <w:sz w:val="16"/>
          <w:szCs w:val="16"/>
        </w:rPr>
      </w:pPr>
    </w:p>
    <w:p w14:paraId="70A4728E" w14:textId="542E5128" w:rsidR="003A03A7" w:rsidRPr="00142305" w:rsidRDefault="003A03A7" w:rsidP="003A03A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ноябре 1931 г. на совещании в кабинете Туполева начавшийся было спокойным разговор по работам бригады № 3 (Н.Н.П.) дошел до высшей точки кипения. Туполев выразил свое мнение, что задание на истребитель И-13 бригада № 3 смогла бы быстро выполнить, взяв за основу И-8 (АНТ-13), который проходил в то время испытания, соответственно, усилив его конструкцию и улучшив аэродинамику самолета, и дал указания о немедленном проведении этой работы. Николай Николаевич сослался на различие требований к машинам, сказал, что только его проект может наиболее полно удовлетворить их и что брать за основу И-8 он не собирается. Самолюбивый Андрей Николаевич был буквально взбешен отказом Н. Н. Поликарпова. По воспоминаниям инженера Тарасова, Туполев вскочил, опрокинув стулья. «Я этого</w:t>
      </w:r>
      <w:r w:rsidR="00FE094E">
        <w:rPr>
          <w:rFonts w:ascii="Times New Roman" w:hAnsi="Times New Roman"/>
          <w:color w:val="0070C0"/>
          <w:sz w:val="16"/>
          <w:szCs w:val="16"/>
        </w:rPr>
        <w:t xml:space="preserve"> </w:t>
      </w:r>
      <w:r w:rsidRPr="00142305">
        <w:rPr>
          <w:rFonts w:ascii="Times New Roman" w:hAnsi="Times New Roman"/>
          <w:color w:val="0070C0"/>
          <w:sz w:val="16"/>
          <w:szCs w:val="16"/>
        </w:rPr>
        <w:t>(мат) сукина сына навек в рядовых инженерах сгною, он у меня забудет, как самолеты проектируются», —</w:t>
      </w:r>
      <w:r w:rsidR="00FE094E">
        <w:rPr>
          <w:rFonts w:ascii="Times New Roman" w:hAnsi="Times New Roman"/>
          <w:color w:val="0070C0"/>
          <w:sz w:val="16"/>
          <w:szCs w:val="16"/>
        </w:rPr>
        <w:t xml:space="preserve"> </w:t>
      </w:r>
      <w:r w:rsidRPr="00142305">
        <w:rPr>
          <w:rFonts w:ascii="Times New Roman" w:hAnsi="Times New Roman"/>
          <w:color w:val="0070C0"/>
          <w:sz w:val="16"/>
          <w:szCs w:val="16"/>
        </w:rPr>
        <w:t>в ярости кричал Андрей Николаевич. Немедленно последовал приказ о смещении Н. Н. Поликарпова с должности начальника бригады № 3. Ему поручили проверку проектов, анализ результатов статических испытаний, пересадив за рабочий стол в главное здание ЦАГИ, что, безусловно, не соответствовало ни его квалификации, ни опыту. Несправедливо. Обидно…</w:t>
      </w:r>
    </w:p>
    <w:p w14:paraId="6FCB9876" w14:textId="77777777" w:rsidR="003A03A7" w:rsidRPr="00142305" w:rsidRDefault="003A03A7" w:rsidP="003A03A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написанных Поликарповым заметках несколькими скупыми словами дана его оценка произошедшим событиям:</w:t>
      </w:r>
    </w:p>
    <w:p w14:paraId="70A4CFD7" w14:textId="77777777" w:rsidR="003A03A7" w:rsidRPr="00142305" w:rsidRDefault="003A03A7" w:rsidP="003A03A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«Мои разногласия с Туполевым принципиальные: захват ЦАГИ, проверка проектов, проверка статиспытаний, жесткий контроль и безответственность. Наше переселение в ЦАГИ «для оздоровления». Перелом и гонения. </w:t>
      </w:r>
    </w:p>
    <w:p w14:paraId="7DC65760" w14:textId="77777777" w:rsidR="003A03A7" w:rsidRPr="00142305" w:rsidRDefault="003A03A7" w:rsidP="003A03A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Зажим в ЦАГИ: смещение в ноябре 1931 г., снятие программы (разведчики и истребители), вынужденное безделье до июля 1932 г.. .».</w:t>
      </w:r>
    </w:p>
    <w:p w14:paraId="3D12E9D9" w14:textId="77777777" w:rsidR="003A03A7" w:rsidRPr="00142305" w:rsidRDefault="003A03A7" w:rsidP="003A03A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Вместо Н.Н.П.о бригаду возглавил инженер Бертош, один из участников проектирования И-8, который взялся за разработку конструкции истребителя И -13 в соответствии с указаниями А. Н. Туполева (25035).</w:t>
      </w:r>
    </w:p>
    <w:p w14:paraId="19A1F9EF" w14:textId="77777777" w:rsidR="003A03A7" w:rsidRPr="00142305" w:rsidRDefault="003A03A7" w:rsidP="003A03A7">
      <w:pPr>
        <w:spacing w:after="0" w:line="240" w:lineRule="auto"/>
        <w:jc w:val="both"/>
        <w:rPr>
          <w:rFonts w:ascii="Times New Roman" w:hAnsi="Times New Roman"/>
          <w:color w:val="0070C0"/>
          <w:sz w:val="16"/>
          <w:szCs w:val="16"/>
        </w:rPr>
      </w:pPr>
    </w:p>
    <w:p w14:paraId="796C2C1B" w14:textId="77777777" w:rsidR="0096546D" w:rsidRPr="005E779E" w:rsidRDefault="0096546D"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В ноябре 1931 г. Центральный совет Осоавиахима объявил конкурс на лучший проект легкомоторного самолёта. Самая большая премия (25 тыс. рублей) предусматривалась для самолёта из электрона. Среди участников конкурса был начинающий авиаконструктор Сергей Павлович Королёв. Он разработал двухместный безфюзеляжный самолёт «Электрон-1» с двухбалочным хвостовым оперением, а также построил аналогичный по схеме планер СК-6 с применением электрона. Но вскоре Королёв коренным образом переработал проект. Новый самолёт «Высокий путь» обычной схемы с мотором М-11 должен был иметь складывающееся на земле крыло. Основным конструкционным материалом по-прежнему оставался сплав электрон, но обшивку крыла и оперения планировалось сделать полотняной.</w:t>
      </w:r>
    </w:p>
    <w:p w14:paraId="45E50BE8" w14:textId="77777777" w:rsidR="0096546D" w:rsidRPr="005E779E" w:rsidRDefault="0096546D"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В октябре 1932 г. были подведены итоги конкурса. «6-ю тысячами рублей премирован инженер Королёв С.П. — автор проекта лёгкого электронного (клёпаного) самолёта», — отмечалось в решении жюри </w:t>
      </w:r>
      <w:hyperlink r:id="rId211" w:history="1">
        <w:r w:rsidRPr="005E779E">
          <w:rPr>
            <w:rFonts w:ascii="Times New Roman" w:eastAsia="Times New Roman" w:hAnsi="Times New Roman"/>
            <w:color w:val="000000" w:themeColor="text1"/>
            <w:sz w:val="16"/>
            <w:szCs w:val="16"/>
            <w:lang w:eastAsia="ru-RU"/>
          </w:rPr>
          <w:t>[144]</w:t>
        </w:r>
      </w:hyperlink>
      <w:r w:rsidRPr="005E779E">
        <w:rPr>
          <w:rFonts w:ascii="Times New Roman" w:eastAsia="Times New Roman" w:hAnsi="Times New Roman"/>
          <w:color w:val="000000" w:themeColor="text1"/>
          <w:sz w:val="16"/>
          <w:szCs w:val="16"/>
          <w:lang w:eastAsia="ru-RU"/>
        </w:rPr>
        <w:t xml:space="preserve"> .</w:t>
      </w:r>
    </w:p>
    <w:p w14:paraId="7F06A61C" w14:textId="77777777" w:rsidR="0096546D" w:rsidRPr="005E779E" w:rsidRDefault="0096546D"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Королёв был убежден в перспективности магниевого сплава. В рукописи «Лёгкий электронный самолёт „Высокий путь“» (1932 г.) он писал: «Количество сырья в СССР для производства „электрона“ огромно; целый ряд заводов освоил выпуск этого сплава, и тем самым могут быть обеспечены постройка и ремонт „электронных“ самолётов; опасность коррозии „электрона“, его воспламеняемость и прочее следует считать сильно преувеличенными и не представляющими на сегодняшний день особой опасности для опытного самолётостроения, а в самом ближайшем будущем — и для значительных серий» </w:t>
      </w:r>
      <w:hyperlink r:id="rId212" w:history="1">
        <w:r w:rsidRPr="005E779E">
          <w:rPr>
            <w:rFonts w:ascii="Times New Roman" w:eastAsia="Times New Roman" w:hAnsi="Times New Roman"/>
            <w:color w:val="000000" w:themeColor="text1"/>
            <w:sz w:val="16"/>
            <w:szCs w:val="16"/>
            <w:lang w:eastAsia="ru-RU"/>
          </w:rPr>
          <w:t>[145]</w:t>
        </w:r>
      </w:hyperlink>
      <w:r w:rsidRPr="005E779E">
        <w:rPr>
          <w:rFonts w:ascii="Times New Roman" w:eastAsia="Times New Roman" w:hAnsi="Times New Roman"/>
          <w:color w:val="000000" w:themeColor="text1"/>
          <w:sz w:val="16"/>
          <w:szCs w:val="16"/>
          <w:lang w:eastAsia="ru-RU"/>
        </w:rPr>
        <w:t xml:space="preserve"> (17489).</w:t>
      </w:r>
    </w:p>
    <w:p w14:paraId="3D1F706A" w14:textId="77777777" w:rsidR="0096546D" w:rsidRPr="005E779E" w:rsidRDefault="0096546D" w:rsidP="000B7A6C">
      <w:pPr>
        <w:spacing w:after="0" w:line="240" w:lineRule="auto"/>
        <w:jc w:val="both"/>
        <w:rPr>
          <w:rFonts w:ascii="Times New Roman" w:eastAsia="Times New Roman" w:hAnsi="Times New Roman"/>
          <w:color w:val="000000" w:themeColor="text1"/>
          <w:sz w:val="16"/>
          <w:szCs w:val="16"/>
          <w:lang w:eastAsia="ru-RU"/>
        </w:rPr>
      </w:pPr>
    </w:p>
    <w:p w14:paraId="01356940" w14:textId="77777777" w:rsidR="00D82FF1" w:rsidRPr="005E779E" w:rsidRDefault="00D82FF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1931 года научно</w:t>
      </w:r>
      <w:r w:rsidRPr="005E779E">
        <w:rPr>
          <w:rFonts w:ascii="Times New Roman" w:hAnsi="Times New Roman"/>
          <w:color w:val="000000" w:themeColor="text1"/>
          <w:sz w:val="16"/>
          <w:szCs w:val="16"/>
        </w:rPr>
        <w:noBreakHyphen/>
        <w:t>исследовательский сектор центрального совета Осоавиахима объявил конкурс на разработку легкомоторного самолета. Первая премия этого конкурса, составлявшая 25 тысяч рублей, предназначалась автору лучшего проекта стандартного легкомоторного самолета, изготавливаемого из «электрона». Так назывался новейший по тем временам, исключительно легкий сплав на основе магния, который одновременно отличался чрезвычайными трудностями в обработке. За лучший конкурсный проект легкомоторного самолета из стали полагалась премия 20 тысяч рублей. Предусматривались, кроме того, и премии за частичное выполнение требований конкурса – в виде проекта в чертежах или в натуре, за проекты отдельных узлов самолета, глубокую проработку его компоновочной схемы. Условиями конкурса предусматривалось также изготовление макетов спроектированных самолетов.</w:t>
      </w:r>
    </w:p>
    <w:p w14:paraId="79137438" w14:textId="77777777" w:rsidR="00D82FF1" w:rsidRPr="005E779E" w:rsidRDefault="00D82FF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Последним днем приема материалов на конкурс было объявлено 31 января 1932 года. Правда, в дальнейшем этот крайне жесткий срок был продлен до июня 1932 года. (24213).</w:t>
      </w:r>
    </w:p>
    <w:p w14:paraId="7A5E7C7B" w14:textId="77777777" w:rsidR="00D82FF1" w:rsidRPr="005E779E" w:rsidRDefault="00D82FF1" w:rsidP="000B7A6C">
      <w:pPr>
        <w:spacing w:after="0" w:line="240" w:lineRule="auto"/>
        <w:jc w:val="both"/>
        <w:rPr>
          <w:rFonts w:ascii="Times New Roman" w:hAnsi="Times New Roman"/>
          <w:color w:val="000000" w:themeColor="text1"/>
          <w:sz w:val="16"/>
          <w:szCs w:val="16"/>
        </w:rPr>
      </w:pPr>
    </w:p>
    <w:p w14:paraId="7A2870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1931 С.П.К. опубликовал дополненный и переработанный вариант анализа планера БИЧ-8 (журн. "Самолет". 1931. № 11/12) (10676).</w:t>
      </w:r>
    </w:p>
    <w:p w14:paraId="7C66DD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143D6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1931 г. начались летные испытания автожи</w:t>
      </w:r>
      <w:r w:rsidRPr="005E779E">
        <w:rPr>
          <w:rFonts w:ascii="Times New Roman" w:hAnsi="Times New Roman"/>
          <w:color w:val="000000" w:themeColor="text1"/>
          <w:sz w:val="16"/>
          <w:szCs w:val="16"/>
        </w:rPr>
        <w:softHyphen/>
        <w:t>ра 2-ЭА, также созданного под руководством Черемухина (10224,30).</w:t>
      </w:r>
    </w:p>
    <w:p w14:paraId="727DEB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3C805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1931 автожир 2-ЭА поднялся в воздух и летал С.А.Корзинщиков (2666,93).</w:t>
      </w:r>
    </w:p>
    <w:p w14:paraId="0B7C40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1FF27C6" w14:textId="77777777" w:rsidR="000306D2" w:rsidRPr="005E779E" w:rsidRDefault="000306D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ноября 1931 г. Камов является начальником конструкторской бригады № 2 СОК ЦАГИ и первоначально предполагает дальнейшее совер</w:t>
      </w:r>
      <w:r w:rsidRPr="005E779E">
        <w:rPr>
          <w:rFonts w:ascii="Times New Roman" w:hAnsi="Times New Roman"/>
          <w:color w:val="000000" w:themeColor="text1"/>
          <w:sz w:val="16"/>
          <w:szCs w:val="16"/>
        </w:rPr>
        <w:softHyphen/>
        <w:t>шенствование автожира под обозначением КАСКР-4. В дальнейшем на основе этого проекта появился автожир А- 7, предназначенный для использования в качестве артил</w:t>
      </w:r>
      <w:r w:rsidRPr="005E779E">
        <w:rPr>
          <w:rFonts w:ascii="Times New Roman" w:hAnsi="Times New Roman"/>
          <w:color w:val="000000" w:themeColor="text1"/>
          <w:sz w:val="16"/>
          <w:szCs w:val="16"/>
        </w:rPr>
        <w:softHyphen/>
        <w:t>лерийского корректировщика.</w:t>
      </w:r>
    </w:p>
    <w:p w14:paraId="44A5B364" w14:textId="77777777" w:rsidR="000306D2" w:rsidRPr="005E779E" w:rsidRDefault="000306D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Однако не только будущий А-7 занимал голову конструк</w:t>
      </w:r>
      <w:r w:rsidRPr="005E779E">
        <w:rPr>
          <w:rFonts w:ascii="Times New Roman" w:hAnsi="Times New Roman"/>
          <w:color w:val="000000" w:themeColor="text1"/>
          <w:sz w:val="16"/>
          <w:szCs w:val="16"/>
        </w:rPr>
        <w:softHyphen/>
        <w:t>тора Камова, он буквально генерировал идеи, связанные с автожирами. Одним из первых он предложил сбрасывать торпеды с самолетов при помощи складных авторотиру</w:t>
      </w:r>
      <w:r w:rsidRPr="005E779E">
        <w:rPr>
          <w:rFonts w:ascii="Times New Roman" w:hAnsi="Times New Roman"/>
          <w:color w:val="000000" w:themeColor="text1"/>
          <w:sz w:val="16"/>
          <w:szCs w:val="16"/>
        </w:rPr>
        <w:softHyphen/>
        <w:t>ющих устройств (высотная торпеда Камова - ВТК). После сброса торпеды лопасти ротора переводились из транс</w:t>
      </w:r>
      <w:r w:rsidRPr="005E779E">
        <w:rPr>
          <w:rFonts w:ascii="Times New Roman" w:hAnsi="Times New Roman"/>
          <w:color w:val="000000" w:themeColor="text1"/>
          <w:sz w:val="16"/>
          <w:szCs w:val="16"/>
        </w:rPr>
        <w:softHyphen/>
        <w:t>портного положения в рабочее и раскручивались порохо</w:t>
      </w:r>
      <w:r w:rsidRPr="005E779E">
        <w:rPr>
          <w:rFonts w:ascii="Times New Roman" w:hAnsi="Times New Roman"/>
          <w:color w:val="000000" w:themeColor="text1"/>
          <w:sz w:val="16"/>
          <w:szCs w:val="16"/>
        </w:rPr>
        <w:softHyphen/>
        <w:t>выми ракетами, установленными на их концах. В 1933 г. в ЦАГИ провели испытания моделей таких торпед, которые показали безотказное раскрытие лопастей и раскручива</w:t>
      </w:r>
      <w:r w:rsidRPr="005E779E">
        <w:rPr>
          <w:rFonts w:ascii="Times New Roman" w:hAnsi="Times New Roman"/>
          <w:color w:val="000000" w:themeColor="text1"/>
          <w:sz w:val="16"/>
          <w:szCs w:val="16"/>
        </w:rPr>
        <w:softHyphen/>
        <w:t>ние ротора до полных оборотов. Признавалось, что про</w:t>
      </w:r>
      <w:r w:rsidRPr="005E779E">
        <w:rPr>
          <w:rFonts w:ascii="Times New Roman" w:hAnsi="Times New Roman"/>
          <w:color w:val="000000" w:themeColor="text1"/>
          <w:sz w:val="16"/>
          <w:szCs w:val="16"/>
        </w:rPr>
        <w:softHyphen/>
        <w:t>екты Камова грамотны и своевременны, однако до прак</w:t>
      </w:r>
      <w:r w:rsidRPr="005E779E">
        <w:rPr>
          <w:rFonts w:ascii="Times New Roman" w:hAnsi="Times New Roman"/>
          <w:color w:val="000000" w:themeColor="text1"/>
          <w:sz w:val="16"/>
          <w:szCs w:val="16"/>
        </w:rPr>
        <w:softHyphen/>
        <w:t>тического использования они не доводились. (20361).</w:t>
      </w:r>
    </w:p>
    <w:p w14:paraId="23DFE2B7" w14:textId="77777777" w:rsidR="000306D2" w:rsidRPr="005E779E" w:rsidRDefault="000306D2" w:rsidP="000B7A6C">
      <w:pPr>
        <w:shd w:val="clear" w:color="auto" w:fill="FFFFFF"/>
        <w:spacing w:after="0" w:line="240" w:lineRule="auto"/>
        <w:jc w:val="both"/>
        <w:rPr>
          <w:rFonts w:ascii="Times New Roman" w:hAnsi="Times New Roman"/>
          <w:color w:val="000000" w:themeColor="text1"/>
          <w:sz w:val="16"/>
          <w:szCs w:val="16"/>
        </w:rPr>
      </w:pPr>
    </w:p>
    <w:p w14:paraId="38D5B3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1931 закончились испытания М-34 (80,72). Это были 100 час. испытания (2310,130).</w:t>
      </w:r>
    </w:p>
    <w:p w14:paraId="7959D8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другим данным 100 часовые испытания закончились в конце 1931.</w:t>
      </w:r>
    </w:p>
    <w:p w14:paraId="06DA11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6DE65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1931 г. М-34 прошел государственные испытания с импортными карбюраторами и магнето, а в следующем году - с отечественными агрегатами (7668).</w:t>
      </w:r>
    </w:p>
    <w:p w14:paraId="4CEC48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FB90A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1931 года двигатель М-34 прошел Государственные испытания. М-34 являлся в значительной степени развитием М-17, его выпуск в 1932 году начал осваивать моторный завод №24 в Москве. Первые два серийных новых двигателя летом того же года были установлены на разведчики Р-5. Хотя целью данной установки являлась доводка и совершенствование двигателей, предполагалось, что в ближайшем будущем эти мощные моторы займут место М-17 и на серийных Р-5. В жизни этого, однако, не произошло. М-34 был признан предпочтительным для установки на тяжелые бомбардировщики ТБ-3 и с 1933 года действительно стал в первую очередь поставляться заводом-изготовителем на эти «летающие крепости» (5016).</w:t>
      </w:r>
    </w:p>
    <w:p w14:paraId="18E4C0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ABE792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ноября 1931 г. после наработки на стенде 38 ч велись государственные испыта</w:t>
      </w:r>
      <w:r w:rsidRPr="005E779E">
        <w:rPr>
          <w:rFonts w:ascii="Times New Roman" w:hAnsi="Times New Roman"/>
          <w:color w:val="000000" w:themeColor="text1"/>
          <w:sz w:val="16"/>
          <w:szCs w:val="16"/>
        </w:rPr>
        <w:softHyphen/>
        <w:t xml:space="preserve">ния М-34. В июле 1932 г. опытный образец М-34 установили на доработанный биплан Р-5, на котором провели летные испытания. В октябре — ноябре 1932 г. проводились повторные государственные стендовые испытания с отечественными карбюраторами 92КД-3 (в серии обозначались К-34), в ходе которых выявили ряд дефектов. При этом был взят мотор 1-й серии, которая позже вся была забракована и использована для учебных целей. В третий раз госиспытания на стенде вели в январе 1933 г., и опять неудачно — двигатель разрушился. В октябре того же года М-34 проходил государственные летные испытания на бомбардировщике ТБ-3. В 1932 г. начали серийный выпуск нового двигателя на заводе № 24 (Москва), к концу года ВВС получили 64 мотора 2-й серии, признанной годной для опытной эксплуатации. За следующий, 1933 г., выпущено было уже 790 экз. В 1934 г. М-34 </w:t>
      </w:r>
      <w:r w:rsidRPr="005E779E">
        <w:rPr>
          <w:rFonts w:ascii="Times New Roman" w:hAnsi="Times New Roman"/>
          <w:color w:val="000000" w:themeColor="text1"/>
          <w:sz w:val="16"/>
          <w:szCs w:val="16"/>
        </w:rPr>
        <w:lastRenderedPageBreak/>
        <w:t>демонстрировался в Париже как одно из достижений советской авиации. М-34 выпускался на заводе № 24 в большом количестве модификаций. Авиационные моторы закончили вы</w:t>
      </w:r>
      <w:r w:rsidRPr="005E779E">
        <w:rPr>
          <w:rFonts w:ascii="Times New Roman" w:hAnsi="Times New Roman"/>
          <w:color w:val="000000" w:themeColor="text1"/>
          <w:sz w:val="16"/>
          <w:szCs w:val="16"/>
        </w:rPr>
        <w:softHyphen/>
        <w:t>пускать в 1940 г., далее в небольших количествах делали катерные до конца 1942 г. Производство двигателей для торпедных катеров неодно</w:t>
      </w:r>
      <w:r w:rsidRPr="005E779E">
        <w:rPr>
          <w:rFonts w:ascii="Times New Roman" w:hAnsi="Times New Roman"/>
          <w:color w:val="000000" w:themeColor="text1"/>
          <w:sz w:val="16"/>
          <w:szCs w:val="16"/>
        </w:rPr>
        <w:softHyphen/>
        <w:t>кратно пытались восстановить вплоть до 1946 г., но этому мешала боль</w:t>
      </w:r>
      <w:r w:rsidRPr="005E779E">
        <w:rPr>
          <w:rFonts w:ascii="Times New Roman" w:hAnsi="Times New Roman"/>
          <w:color w:val="000000" w:themeColor="text1"/>
          <w:sz w:val="16"/>
          <w:szCs w:val="16"/>
        </w:rPr>
        <w:softHyphen/>
        <w:t>шая загрузка заводов заказами ВВС. Всего было изготовлено 10 538 экз. Позднее различными мастерскими производилась сборка двигателей из комплектов запасных частей и восстановленных деталей. С 9 августа 1936 г. в ознаменование заслуг Микулина двигатель был переименован в АМ-34. Однако на практике и далее пользовались как старым, гак и новым обозначением. Специальные модификации двигателя М-34 применялись на танках, са</w:t>
      </w:r>
      <w:r w:rsidRPr="005E779E">
        <w:rPr>
          <w:rFonts w:ascii="Times New Roman" w:hAnsi="Times New Roman"/>
          <w:color w:val="000000" w:themeColor="text1"/>
          <w:sz w:val="16"/>
          <w:szCs w:val="16"/>
        </w:rPr>
        <w:softHyphen/>
        <w:t>моходных артиллерийских установках, торпедных катерах и речных броне</w:t>
      </w:r>
      <w:r w:rsidRPr="005E779E">
        <w:rPr>
          <w:rFonts w:ascii="Times New Roman" w:hAnsi="Times New Roman"/>
          <w:color w:val="000000" w:themeColor="text1"/>
          <w:sz w:val="16"/>
          <w:szCs w:val="16"/>
        </w:rPr>
        <w:softHyphen/>
        <w:t>катерах.</w:t>
      </w:r>
    </w:p>
    <w:p w14:paraId="183A2AB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Характеристики:</w:t>
      </w:r>
    </w:p>
    <w:p w14:paraId="0A84FFF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12-цилиндровый, рядный У-образный, четырехтактный, водяного охлаждения;</w:t>
      </w:r>
    </w:p>
    <w:p w14:paraId="2B5BEED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мощность и вес в зависимости от модификации;</w:t>
      </w:r>
    </w:p>
    <w:p w14:paraId="00E64E4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степень сжатия 6,0 (у всех массовых модификаций);</w:t>
      </w:r>
    </w:p>
    <w:p w14:paraId="1E54C42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диаметр цилиндра/ход поршня 160/190 (у модификации ФРН и более поздних в цилиндрах с прицепными шатунами — 196,7 мм);</w:t>
      </w:r>
    </w:p>
    <w:p w14:paraId="34F6741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полный рабочий объем у ранних модификаций 45,82 л, начиная с</w:t>
      </w:r>
    </w:p>
    <w:p w14:paraId="6DCFC2B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ФРН — 46,66 л. М-34 выпускался в следующих модификациях:</w:t>
      </w:r>
    </w:p>
    <w:p w14:paraId="566D1B4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М-34, первая серийная модификация двигателя, безредукторная, 750/800 л.с., 608 кг. Первые серии комплектовались импортными карбюраторами «Зенит 90Р», далее отечественными К-34. Эта моди</w:t>
      </w:r>
      <w:r w:rsidRPr="005E779E">
        <w:rPr>
          <w:rFonts w:ascii="Times New Roman" w:hAnsi="Times New Roman"/>
          <w:color w:val="000000" w:themeColor="text1"/>
          <w:sz w:val="16"/>
          <w:szCs w:val="16"/>
        </w:rPr>
        <w:softHyphen/>
        <w:t>фикация выпускалась до конца 1939 г.</w:t>
      </w:r>
    </w:p>
    <w:p w14:paraId="32BCC86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Спаренная установка из двух М-34 с работой на один винт, проект для самолета К-7.</w:t>
      </w:r>
    </w:p>
    <w:p w14:paraId="0F615EE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М-34Ф, малая серия М-34 с форсированием по оборотам без вне</w:t>
      </w:r>
      <w:r w:rsidRPr="005E779E">
        <w:rPr>
          <w:rFonts w:ascii="Times New Roman" w:hAnsi="Times New Roman"/>
          <w:color w:val="000000" w:themeColor="text1"/>
          <w:sz w:val="16"/>
          <w:szCs w:val="16"/>
        </w:rPr>
        <w:softHyphen/>
        <w:t>сения конструктивных изменений, только за счет регулировки, июнь 1933 г., 750/830 л.с.</w:t>
      </w:r>
    </w:p>
    <w:p w14:paraId="2581A5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М-34Р. редукторный вариант, вес 677 кг, 750/800 л.с. Опытный об</w:t>
      </w:r>
      <w:r w:rsidRPr="005E779E">
        <w:rPr>
          <w:rFonts w:ascii="Times New Roman" w:hAnsi="Times New Roman"/>
          <w:color w:val="000000" w:themeColor="text1"/>
          <w:sz w:val="16"/>
          <w:szCs w:val="16"/>
        </w:rPr>
        <w:softHyphen/>
        <w:t>разец сделали в ноябре 1932 г. Государственные испытания успешно</w:t>
      </w:r>
    </w:p>
    <w:p w14:paraId="79B4D9B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прошли в марте — мае 1933 г., серийный выпуск начали с конца того же года. 23 мая 1934 г. на повторных стендовых испытаниях получен ресурс в 500 ч. М-34Р в больших количествах выпускался до конца 1939 г.</w:t>
      </w:r>
    </w:p>
    <w:p w14:paraId="2A11DA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М-34РД (он же М-34РСп), двигатель типа М-34Р специального за</w:t>
      </w:r>
      <w:r w:rsidRPr="005E779E">
        <w:rPr>
          <w:rFonts w:ascii="Times New Roman" w:hAnsi="Times New Roman"/>
          <w:color w:val="000000" w:themeColor="text1"/>
          <w:sz w:val="16"/>
          <w:szCs w:val="16"/>
        </w:rPr>
        <w:softHyphen/>
        <w:t>каза для рекордных самолетов АНТ-25 (РД), выпущенный в 1934 г. Сделали 20 комплектов деталей, из которых собрали 15 моторов, а сдали 10. Они отличались новыми всасывающими патрубками, мас</w:t>
      </w:r>
      <w:r w:rsidRPr="005E779E">
        <w:rPr>
          <w:rFonts w:ascii="Times New Roman" w:hAnsi="Times New Roman"/>
          <w:color w:val="000000" w:themeColor="text1"/>
          <w:sz w:val="16"/>
          <w:szCs w:val="16"/>
        </w:rPr>
        <w:softHyphen/>
        <w:t>ляными и водяными насосами, распредвалами, конструкцией хво</w:t>
      </w:r>
      <w:r w:rsidRPr="005E779E">
        <w:rPr>
          <w:rFonts w:ascii="Times New Roman" w:hAnsi="Times New Roman"/>
          <w:color w:val="000000" w:themeColor="text1"/>
          <w:sz w:val="16"/>
          <w:szCs w:val="16"/>
        </w:rPr>
        <w:softHyphen/>
        <w:t>стовика коленвала, наличием второго бензонасоса, а также более качественным изготовлением деталей (по другой технологии), мень</w:t>
      </w:r>
      <w:r w:rsidRPr="005E779E">
        <w:rPr>
          <w:rFonts w:ascii="Times New Roman" w:hAnsi="Times New Roman"/>
          <w:color w:val="000000" w:themeColor="text1"/>
          <w:sz w:val="16"/>
          <w:szCs w:val="16"/>
        </w:rPr>
        <w:softHyphen/>
        <w:t>шими допусками, применением для уплотнений высококачественной резины, тщательной регулировкой и карбюраторами К-34РД. За счет небольшого форсирования по оборотам максимальную мощность по</w:t>
      </w:r>
      <w:r w:rsidRPr="005E779E">
        <w:rPr>
          <w:rFonts w:ascii="Times New Roman" w:hAnsi="Times New Roman"/>
          <w:color w:val="000000" w:themeColor="text1"/>
          <w:sz w:val="16"/>
          <w:szCs w:val="16"/>
        </w:rPr>
        <w:softHyphen/>
        <w:t>высили до 830 л.с. Делались два варианта: со степенями сжатия 6,0 и 6,7. Первоначально для большей надежности их хотели укомплек</w:t>
      </w:r>
      <w:r w:rsidRPr="005E779E">
        <w:rPr>
          <w:rFonts w:ascii="Times New Roman" w:hAnsi="Times New Roman"/>
          <w:color w:val="000000" w:themeColor="text1"/>
          <w:sz w:val="16"/>
          <w:szCs w:val="16"/>
        </w:rPr>
        <w:softHyphen/>
        <w:t>товать импортными агрегатами, но получили запрет ГУАП. Позднее выпустили еще около 50 таких моторов для «представительских» ТБ-3, на которых наносились визиты в столицы европейских госу</w:t>
      </w:r>
      <w:r w:rsidRPr="005E779E">
        <w:rPr>
          <w:rFonts w:ascii="Times New Roman" w:hAnsi="Times New Roman"/>
          <w:color w:val="000000" w:themeColor="text1"/>
          <w:sz w:val="16"/>
          <w:szCs w:val="16"/>
        </w:rPr>
        <w:softHyphen/>
        <w:t>дарств.</w:t>
      </w:r>
    </w:p>
    <w:p w14:paraId="09F9A08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М-34Н, безредукторный с ПЦН, проектировался с 1931 г., 750/820 л.с. Первоначально планировали, что мотор пройдет госиспытания к 15 июня 1932 г. Но первый, двухскоростной, нагнетатель, спроекти</w:t>
      </w:r>
      <w:r w:rsidRPr="005E779E">
        <w:rPr>
          <w:rFonts w:ascii="Times New Roman" w:hAnsi="Times New Roman"/>
          <w:color w:val="000000" w:themeColor="text1"/>
          <w:sz w:val="16"/>
          <w:szCs w:val="16"/>
        </w:rPr>
        <w:softHyphen/>
        <w:t>рованный П.И. Орловым, А.А. Микулиным и А.Н. Данилевским, ока</w:t>
      </w:r>
      <w:r w:rsidRPr="005E779E">
        <w:rPr>
          <w:rFonts w:ascii="Times New Roman" w:hAnsi="Times New Roman"/>
          <w:color w:val="000000" w:themeColor="text1"/>
          <w:sz w:val="16"/>
          <w:szCs w:val="16"/>
        </w:rPr>
        <w:softHyphen/>
        <w:t>зался недостаточно надежным. Второй вариант ПЦН, односкоростной, создал Данилевский в ЦИАМ. Государственные испытания на двух опытных экземплярах провели в ноябре 1933 г., серия с сентября 1934 г. Нагнетатель выполнялся в виде отдельного съемного узла и мог монтироваться на моторы других модификаций. Введен карбю</w:t>
      </w:r>
      <w:r w:rsidRPr="005E779E">
        <w:rPr>
          <w:rFonts w:ascii="Times New Roman" w:hAnsi="Times New Roman"/>
          <w:color w:val="000000" w:themeColor="text1"/>
          <w:sz w:val="16"/>
          <w:szCs w:val="16"/>
        </w:rPr>
        <w:softHyphen/>
        <w:t>ратор К-34Б, устанавливавшийся впоследствии на все модификации с ПЦН. Проектировался облегченный вариант (560 кг) с картером из магниевого сплава. В дальнейшем ПЦН хотели сделать отключаемым. В 1934 г. вели переговоры с французскими фирмами «Испано-Сюиза» и «Фарман» о проектировании нового ПЦН для М-34Н. Пытались также приобрести нагнетатели «Рато» (М-34РАТО).</w:t>
      </w:r>
    </w:p>
    <w:p w14:paraId="488F031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М-34Н с паротурбинным нагнетателем ПТК; нагнетатель ПТК спро</w:t>
      </w:r>
      <w:r w:rsidRPr="005E779E">
        <w:rPr>
          <w:rFonts w:ascii="Times New Roman" w:hAnsi="Times New Roman"/>
          <w:color w:val="000000" w:themeColor="text1"/>
          <w:sz w:val="16"/>
          <w:szCs w:val="16"/>
        </w:rPr>
        <w:softHyphen/>
        <w:t>ектирован в ХАЙ в 1938 г., доводился в Центральном котлотурбин-ном институте с 1939 г., в 1940 г. двигатель проходил стендовые и летные испытания; серийно не выпускался.</w:t>
      </w:r>
    </w:p>
    <w:p w14:paraId="3176C38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 М-34Н с нагнетателем</w:t>
      </w:r>
    </w:p>
    <w:p w14:paraId="3438E08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М-34РН, редукторный с ПЦН, малая серия, 750/820 л.с., вес 737,5 кг. По плану предполагалось представить опытный образец на госиспытания к 1 декабря 1932 г. Фактически же первый М-34РН начал заводские ис</w:t>
      </w:r>
      <w:r w:rsidRPr="005E779E">
        <w:rPr>
          <w:rFonts w:ascii="Times New Roman" w:hAnsi="Times New Roman"/>
          <w:color w:val="000000" w:themeColor="text1"/>
          <w:sz w:val="16"/>
          <w:szCs w:val="16"/>
        </w:rPr>
        <w:softHyphen/>
        <w:t>пытания 1 мая 1934 г. Его усовершенствованный вариант предъявили на госиспытания в сентябре, но они закончились неудачно — прогорели поршни. Нагнетатель идентичен использовавшемуся в М-34Н. М-34НА, усовершенствованный вариант М-34Н; мелкие изменения отдельных деталей для увеличения ресурса; 750/820 л.с. М-34РА, аналогичный предыдущей модификации вариант М-34Р с редуктором; 750/820 л.с.</w:t>
      </w:r>
    </w:p>
    <w:p w14:paraId="050A48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М-34РНА, редукторный с ПЦН, включал все мелкие усовер</w:t>
      </w:r>
      <w:r w:rsidRPr="005E779E">
        <w:rPr>
          <w:rFonts w:ascii="Times New Roman" w:hAnsi="Times New Roman"/>
          <w:color w:val="000000" w:themeColor="text1"/>
          <w:sz w:val="16"/>
          <w:szCs w:val="16"/>
        </w:rPr>
        <w:softHyphen/>
        <w:t>шенствования, введенные на типах НА и РА, 750/820 л.с., вес 748 кг. Испытывался на ТБ-3 в мае 1935 г., серия с конца 1935 г. У ранних серий М-34РНА клапаны имели масляное охлаждение.</w:t>
      </w:r>
    </w:p>
    <w:p w14:paraId="768D205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М-34НБ, усовершенствованный вариант типа НА с ужесточенным картером, облегченным коленвалом с измененным носком, дорабо</w:t>
      </w:r>
      <w:r w:rsidRPr="005E779E">
        <w:rPr>
          <w:rFonts w:ascii="Times New Roman" w:hAnsi="Times New Roman"/>
          <w:color w:val="000000" w:themeColor="text1"/>
          <w:sz w:val="16"/>
          <w:szCs w:val="16"/>
        </w:rPr>
        <w:softHyphen/>
        <w:t>танным ПЦН, 750/820 л.с., вес 638 кг.</w:t>
      </w:r>
    </w:p>
    <w:p w14:paraId="1F1E4D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М-34Н2Б с двумя турбонагнетателями ТК-1 и ПЦН от серийного М-34РН. Новые кованые поршни, четыре карбюратора К-4. Степень сжатия 7,0, мощность по документации 760/950 л.с. (реально полу</w:t>
      </w:r>
      <w:r w:rsidRPr="005E779E">
        <w:rPr>
          <w:rFonts w:ascii="Times New Roman" w:hAnsi="Times New Roman"/>
          <w:color w:val="000000" w:themeColor="text1"/>
          <w:sz w:val="16"/>
          <w:szCs w:val="16"/>
        </w:rPr>
        <w:softHyphen/>
        <w:t>чили 789/1033 л.с.), вес сухой без генератора 689 кг. Испытывался в июле — сентябре 1938 г. на опытном самолете РШ; испытания пре</w:t>
      </w:r>
      <w:r w:rsidRPr="005E779E">
        <w:rPr>
          <w:rFonts w:ascii="Times New Roman" w:hAnsi="Times New Roman"/>
          <w:color w:val="000000" w:themeColor="text1"/>
          <w:sz w:val="16"/>
          <w:szCs w:val="16"/>
        </w:rPr>
        <w:softHyphen/>
        <w:t>кращены из-за неоднократного обрыва лопаток турбины. М-34РНБ, аналогичный типу НБ редукторный вариант с облегченным по сравнению с РНА редуктором, 750/820 л.с., вес 725 кг. Существовал также его опытный вариант с двумя турбонагнетателя</w:t>
      </w:r>
      <w:r w:rsidRPr="005E779E">
        <w:rPr>
          <w:rFonts w:ascii="Times New Roman" w:hAnsi="Times New Roman"/>
          <w:color w:val="000000" w:themeColor="text1"/>
          <w:sz w:val="16"/>
          <w:szCs w:val="16"/>
        </w:rPr>
        <w:softHyphen/>
        <w:t>ми ТК-1, спроектированный В.И. Дмитриевским. М-34РНБ серийно выпускался с октября 1935 г. до конца 1939 г. В ноябре 1939 г. ис</w:t>
      </w:r>
      <w:r w:rsidRPr="005E779E">
        <w:rPr>
          <w:rFonts w:ascii="Times New Roman" w:hAnsi="Times New Roman"/>
          <w:color w:val="000000" w:themeColor="text1"/>
          <w:sz w:val="16"/>
          <w:szCs w:val="16"/>
        </w:rPr>
        <w:softHyphen/>
        <w:t>пытывался вариант этого мотора, форсированный до 900/1000 л.с. М-34П, вариант М-34РН с установкой пушки в развале цилиндров со стрельбой через полый вал редуктора. Задание было выдано в августе 1934 г. Информации о постройке опытных образцов нет. Установка из двух М-34, из которых один работал на винт, а вто</w:t>
      </w:r>
      <w:r w:rsidRPr="005E779E">
        <w:rPr>
          <w:rFonts w:ascii="Times New Roman" w:hAnsi="Times New Roman"/>
          <w:color w:val="000000" w:themeColor="text1"/>
          <w:sz w:val="16"/>
          <w:szCs w:val="16"/>
        </w:rPr>
        <w:softHyphen/>
        <w:t>рой вращал мощный нагнетатель. Проектировалась в марте 1934 г. в Военно-воздушной академии для стратосферного самолета. М-34, работавший на топливе с добавкой газообразного водорода, ис</w:t>
      </w:r>
      <w:r w:rsidRPr="005E779E">
        <w:rPr>
          <w:rFonts w:ascii="Times New Roman" w:hAnsi="Times New Roman"/>
          <w:color w:val="000000" w:themeColor="text1"/>
          <w:sz w:val="16"/>
          <w:szCs w:val="16"/>
        </w:rPr>
        <w:softHyphen/>
        <w:t>пытывался в ЦИАМ во второй половине 30-х годов. М-34СО, опытный образец, испытывавшийся в марте 1936 г. со сме</w:t>
      </w:r>
      <w:r w:rsidRPr="005E779E">
        <w:rPr>
          <w:rFonts w:ascii="Times New Roman" w:hAnsi="Times New Roman"/>
          <w:color w:val="000000" w:themeColor="text1"/>
          <w:sz w:val="16"/>
          <w:szCs w:val="16"/>
        </w:rPr>
        <w:softHyphen/>
        <w:t>шанным охлаждением: гильзы — воздухом, головки — этиленглико-лем. На испытаниях получена мощность 1050 л.с. М-34РСО, проект 1937 г., развитие преды</w:t>
      </w:r>
      <w:r w:rsidRPr="005E779E">
        <w:rPr>
          <w:rFonts w:ascii="Times New Roman" w:hAnsi="Times New Roman"/>
          <w:color w:val="000000" w:themeColor="text1"/>
          <w:sz w:val="16"/>
          <w:szCs w:val="16"/>
        </w:rPr>
        <w:softHyphen/>
        <w:t>дущего типа с редуктором, 1050/1200 л.с. М-34НВ, опытный, с непосредственным впрыском топлива, 985 л.с. Система впры</w:t>
      </w:r>
      <w:r w:rsidRPr="005E779E">
        <w:rPr>
          <w:rFonts w:ascii="Times New Roman" w:hAnsi="Times New Roman"/>
          <w:color w:val="000000" w:themeColor="text1"/>
          <w:sz w:val="16"/>
          <w:szCs w:val="16"/>
        </w:rPr>
        <w:softHyphen/>
        <w:t>ска создана С.А. Косбергом и Н.П. Сер-дюковым в ЦИАМ в 1934 г. Двигатель прошел 60-часовые стендовые испытания в 1935 г. и летные испытания на Р-Зет и ТБ-3 в 1937 г. Серийно не выпускался. М-34РНВ, опытный образец, аналогичен предыдущему типу, но оснащался пони</w:t>
      </w:r>
      <w:r w:rsidRPr="005E779E">
        <w:rPr>
          <w:rFonts w:ascii="Times New Roman" w:hAnsi="Times New Roman"/>
          <w:color w:val="000000" w:themeColor="text1"/>
          <w:sz w:val="16"/>
          <w:szCs w:val="16"/>
        </w:rPr>
        <w:softHyphen/>
        <w:t>жающим редуктором. М-34РНВ-ТК (он же М-34НРВ-ТК), опытный, отличался от предыдущего типа установкой турбонагнетателей ТК-1, 700/850 л.с., вес проектный 810 кг, конец 1938 г.</w:t>
      </w:r>
    </w:p>
    <w:p w14:paraId="687E9C0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М-34 для привода агрегата центрального наддува АЦН-1, сконструи</w:t>
      </w:r>
      <w:r w:rsidRPr="005E779E">
        <w:rPr>
          <w:rFonts w:ascii="Times New Roman" w:hAnsi="Times New Roman"/>
          <w:color w:val="000000" w:themeColor="text1"/>
          <w:sz w:val="16"/>
          <w:szCs w:val="16"/>
        </w:rPr>
        <w:softHyphen/>
        <w:t>рованного под руководством С.А. Трескина в 1935 г. Проходил лет</w:t>
      </w:r>
      <w:r w:rsidRPr="005E779E">
        <w:rPr>
          <w:rFonts w:ascii="Times New Roman" w:hAnsi="Times New Roman"/>
          <w:color w:val="000000" w:themeColor="text1"/>
          <w:sz w:val="16"/>
          <w:szCs w:val="16"/>
        </w:rPr>
        <w:softHyphen/>
        <w:t>ные испытания на ТБ-3.</w:t>
      </w:r>
    </w:p>
    <w:p w14:paraId="5C357EA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М-34ФРН (он же М-34РФН и М-34РНФ), форсированный вариант М-34РН. В январе 1935 г. проходил госиспытания, но был снят из-за неполадок. Выпущена малая серия в 1935 г., доводился до весны 1938 г. По проекту мощность 1050/1200 л.с., фактически 900/1200 л.с. Усилены коленвал, редуктор, картер, введено боковое сочленение ша</w:t>
      </w:r>
      <w:r w:rsidRPr="005E779E">
        <w:rPr>
          <w:rFonts w:ascii="Times New Roman" w:hAnsi="Times New Roman"/>
          <w:color w:val="000000" w:themeColor="text1"/>
          <w:sz w:val="16"/>
          <w:szCs w:val="16"/>
        </w:rPr>
        <w:softHyphen/>
        <w:t>тунов, измененная система смазки, усовершенствованный ПЦН, новый механизм газораспределения, карбюраторы установлены после ПЦН (ранее стоял один карбюратор до ПЦН); рабочий объем 46,66 л, вес 735 кг. В 1937 г. опытный образец М-34ФРН выставлялся на авиаса</w:t>
      </w:r>
      <w:r w:rsidRPr="005E779E">
        <w:rPr>
          <w:rFonts w:ascii="Times New Roman" w:hAnsi="Times New Roman"/>
          <w:color w:val="000000" w:themeColor="text1"/>
          <w:sz w:val="16"/>
          <w:szCs w:val="16"/>
        </w:rPr>
        <w:softHyphen/>
        <w:t>лоне в Париже. В 1938 г. была выпущена небольшая серия М-34ФРН с турбонаддувом (М-34РНФТ, с двумя ТК-1), 1017 л.с./'1200 л.с. (по другим данным — 750/1200 л.с.), вес (проектный) 690 кг (по другим данным — 810 кг). Такие моторы проходили летные испытания на самолете ДБ-А.</w:t>
      </w:r>
    </w:p>
    <w:p w14:paraId="0B47D38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М-34ФРНУ, проект форсированного до 900 л.с. М-34РН с удлинен</w:t>
      </w:r>
      <w:r w:rsidRPr="005E779E">
        <w:rPr>
          <w:rFonts w:ascii="Times New Roman" w:hAnsi="Times New Roman"/>
          <w:color w:val="000000" w:themeColor="text1"/>
          <w:sz w:val="16"/>
          <w:szCs w:val="16"/>
        </w:rPr>
        <w:softHyphen/>
        <w:t>ным валом, 1933 г.</w:t>
      </w:r>
    </w:p>
    <w:p w14:paraId="5D8A071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М-34ФРНА, массовая серия на базе типа ФРН с четырьмя карбюра</w:t>
      </w:r>
      <w:r w:rsidRPr="005E779E">
        <w:rPr>
          <w:rFonts w:ascii="Times New Roman" w:hAnsi="Times New Roman"/>
          <w:color w:val="000000" w:themeColor="text1"/>
          <w:sz w:val="16"/>
          <w:szCs w:val="16"/>
        </w:rPr>
        <w:softHyphen/>
        <w:t>торами.</w:t>
      </w:r>
    </w:p>
    <w:p w14:paraId="133E76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М-34ФРНБ, массовая серия на базе типа ФРН с шестью карбюрато</w:t>
      </w:r>
      <w:r w:rsidRPr="005E779E">
        <w:rPr>
          <w:rFonts w:ascii="Times New Roman" w:hAnsi="Times New Roman"/>
          <w:color w:val="000000" w:themeColor="text1"/>
          <w:sz w:val="16"/>
          <w:szCs w:val="16"/>
        </w:rPr>
        <w:softHyphen/>
        <w:t>рами. В феврале 1937 г. проходил госиспытания вариант М-34ФРНБ (РФНБ) с карбюратором К-85, усиленным картером и облегченным редуктором, мощностью 1000/1050 л.с. Малой серией также был вы</w:t>
      </w:r>
      <w:r w:rsidRPr="005E779E">
        <w:rPr>
          <w:rFonts w:ascii="Times New Roman" w:hAnsi="Times New Roman"/>
          <w:color w:val="000000" w:themeColor="text1"/>
          <w:sz w:val="16"/>
          <w:szCs w:val="16"/>
        </w:rPr>
        <w:softHyphen/>
        <w:t>пущен вариант, рассчитанный на применение агрегата центрального наддува АЦН-2, созданного в ЦИАМ под руководством К.В. Минк-нера. АЦН-2 приводился в действие дополнительным мотором М-100 и обеспечивал наддув одновременно четырех М-34ФРНБ; мотоуста</w:t>
      </w:r>
      <w:r w:rsidRPr="005E779E">
        <w:rPr>
          <w:rFonts w:ascii="Times New Roman" w:hAnsi="Times New Roman"/>
          <w:color w:val="000000" w:themeColor="text1"/>
          <w:sz w:val="16"/>
          <w:szCs w:val="16"/>
        </w:rPr>
        <w:softHyphen/>
        <w:t>новка из четырех М-34ФРНБ и АЦН-2 испытывалась на опытном образце бомбардировщика ТБ-7 зимой и весной 1938 г. М-34ФРН с испарительным охлаждением; разрабатывался с начала 1935 г. в ЦИАМ Р.И. Бартошем, в 1936 г. изготовлена небольшая серия для опытного истребителя И-21. Двигатель имел повышающий редуктор и нестандартный нижний картер с герметическим сквозным каналом для прохода трубы лонжерона центроплана. В начале 1937 г. совершено несколько полетов на опытном образце И-21. М-34ФРНВ, дальнейшее развитие М-34ФРНБ, 1050/1200 л.с. Спроек</w:t>
      </w:r>
      <w:r w:rsidRPr="005E779E">
        <w:rPr>
          <w:rFonts w:ascii="Times New Roman" w:hAnsi="Times New Roman"/>
          <w:color w:val="000000" w:themeColor="text1"/>
          <w:sz w:val="16"/>
          <w:szCs w:val="16"/>
        </w:rPr>
        <w:softHyphen/>
        <w:t>тирован с тремя вариантами редуктора и двумя типами ПЦН. Впер</w:t>
      </w:r>
      <w:r w:rsidRPr="005E779E">
        <w:rPr>
          <w:rFonts w:ascii="Times New Roman" w:hAnsi="Times New Roman"/>
          <w:color w:val="000000" w:themeColor="text1"/>
          <w:sz w:val="16"/>
          <w:szCs w:val="16"/>
        </w:rPr>
        <w:softHyphen/>
        <w:t>вые выставлен на госиспытания в декабре 1937 г. (с весом 749 кг), но на испытаниях разрушился. По сравнению с М-34ФРНБ имел</w:t>
      </w:r>
    </w:p>
    <w:p w14:paraId="5E61D12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измененный картер, бронзовые (с покрытием свинцовистой бронзой, а не баббитом) вкладыши коренных опор с гиперболической расточкой, кожуха над клапанным механизмом из магниевого сплава, иной комплект агрега</w:t>
      </w:r>
      <w:r w:rsidRPr="005E779E">
        <w:rPr>
          <w:rFonts w:ascii="Times New Roman" w:hAnsi="Times New Roman"/>
          <w:color w:val="000000" w:themeColor="text1"/>
          <w:sz w:val="16"/>
          <w:szCs w:val="16"/>
        </w:rPr>
        <w:softHyphen/>
        <w:t>тов, удлиненный носок редуктора, усиленный коленвал с измененной схе</w:t>
      </w:r>
      <w:r w:rsidRPr="005E779E">
        <w:rPr>
          <w:rFonts w:ascii="Times New Roman" w:hAnsi="Times New Roman"/>
          <w:color w:val="000000" w:themeColor="text1"/>
          <w:sz w:val="16"/>
          <w:szCs w:val="16"/>
        </w:rPr>
        <w:softHyphen/>
        <w:t>мой смазки и четыре карбюратора К-4. В апреле 1938 г. был выставлен повторно с усилением ряда деталей (вес поднялся до 763,5 кг при 740 кг по заданию) и удовлетворительно отработал 100 ч. После этого заказали опытную серию из 50 двигателей. Серийное производство М-34ФРНВ велось в 1939-1940 гг. В мае — июне 1938 г. испытывался вариант М-34ФРНВ с непосредственным впрыском топлива (1050/1200 л.с., вес 810 кг). Последняя крупносерийная модификация М-34.</w:t>
      </w:r>
    </w:p>
    <w:p w14:paraId="69A17DB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М-34НФ, опытный вариант с блоками от модификации ФРНВ, допол</w:t>
      </w:r>
      <w:r w:rsidRPr="005E779E">
        <w:rPr>
          <w:rFonts w:ascii="Times New Roman" w:hAnsi="Times New Roman"/>
          <w:color w:val="000000" w:themeColor="text1"/>
          <w:sz w:val="16"/>
          <w:szCs w:val="16"/>
        </w:rPr>
        <w:softHyphen/>
        <w:t>нительными масло- и бензонасосом, форсирован по "оборотам, имел ПЦН и два турбонагнетателя ТК-1. Карбюраторы К-4 установлены после ПЦН. Мощность 787/985 л.с., степень сжатия 7,0, испытывался в 1938-1939 гг. на самолетах Р-Зет и ТБ-3.</w:t>
      </w:r>
    </w:p>
    <w:p w14:paraId="73619AD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 М-34ФРНВ-ТК, вариант предыдущего типа. Имел два турбонагнетате</w:t>
      </w:r>
      <w:r w:rsidRPr="005E779E">
        <w:rPr>
          <w:rFonts w:ascii="Times New Roman" w:hAnsi="Times New Roman"/>
          <w:color w:val="000000" w:themeColor="text1"/>
          <w:sz w:val="16"/>
          <w:szCs w:val="16"/>
        </w:rPr>
        <w:softHyphen/>
        <w:t>ля ТК-1. Вес по проекту (с турбонагнетателями) 850 кг, 950/1200 л.с. Испытывался в сентябре 1939 г.</w:t>
      </w:r>
    </w:p>
    <w:p w14:paraId="027D37F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М-34ФРГН, подробности неизвестны.</w:t>
      </w:r>
    </w:p>
    <w:p w14:paraId="18D9CCB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М-34РБ, в 1938-1939 гг. переделывались из М-34РНБ путем демон</w:t>
      </w:r>
      <w:r w:rsidRPr="005E779E">
        <w:rPr>
          <w:rFonts w:ascii="Times New Roman" w:hAnsi="Times New Roman"/>
          <w:color w:val="000000" w:themeColor="text1"/>
          <w:sz w:val="16"/>
          <w:szCs w:val="16"/>
        </w:rPr>
        <w:softHyphen/>
        <w:t>тажа ПЦН для повышения надежности и увеличения реечрса.</w:t>
      </w:r>
    </w:p>
    <w:p w14:paraId="768E455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 М-34РБ</w:t>
      </w:r>
    </w:p>
    <w:p w14:paraId="4B08184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Катерный мотор ГМ-34 (ГАМ-34)</w:t>
      </w:r>
    </w:p>
    <w:p w14:paraId="1098B38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ГМ-34, двигатель для торпедных катеров с реверс-редуктором, муф</w:t>
      </w:r>
      <w:r w:rsidRPr="005E779E">
        <w:rPr>
          <w:rFonts w:ascii="Times New Roman" w:hAnsi="Times New Roman"/>
          <w:color w:val="000000" w:themeColor="text1"/>
          <w:sz w:val="16"/>
          <w:szCs w:val="16"/>
        </w:rPr>
        <w:softHyphen/>
        <w:t>той свободного хода, измененными системами охлаждения (забортной водой) и выхлопной. Разрабатывался В.М. Яковлевым с 1932 г. По плану планировалось представить на госиспытания к 1 октября 1932 г.]</w:t>
      </w:r>
    </w:p>
    <w:p w14:paraId="4D2B804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1932 г. пару опытных двигателей установили на торпед</w:t>
      </w:r>
      <w:r w:rsidRPr="005E779E">
        <w:rPr>
          <w:rFonts w:ascii="Times New Roman" w:hAnsi="Times New Roman"/>
          <w:color w:val="000000" w:themeColor="text1"/>
          <w:sz w:val="16"/>
          <w:szCs w:val="16"/>
        </w:rPr>
        <w:softHyphen/>
        <w:t>ный катер. Государственные испытания на нем завершились в августе 1934 г. С того же года мотор выпускался серийно, 750/800 л.с., вес 864 кг (с реверс-муфтой и коллекторами 1000 кг).</w:t>
      </w:r>
    </w:p>
    <w:p w14:paraId="18E42B6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ГМ-34Ф, усовершенствованный вариант предыдущего типа. Имел коренные вкладыши из бронзы, коленвал, головки блоков и часть агрегатов от М-34ФРНВ. Степень сжатия 7,3. Строился серийно, 800/1000 л.с., вес 1080 кг. Работал на бензин-спиртовой .смеси.</w:t>
      </w:r>
    </w:p>
    <w:p w14:paraId="04612C6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ГМ-34ФН, вариант ГМ-34Ф с ПЦН ФН-25 и одним карбюратором К-4. Маслосистема по типу ГАМ-34БС. Степень сжатия 6,0, мощ</w:t>
      </w:r>
      <w:r w:rsidRPr="005E779E">
        <w:rPr>
          <w:rFonts w:ascii="Times New Roman" w:hAnsi="Times New Roman"/>
          <w:color w:val="000000" w:themeColor="text1"/>
          <w:sz w:val="16"/>
          <w:szCs w:val="16"/>
        </w:rPr>
        <w:softHyphen/>
        <w:t>ность 1200 л.с., вес 1110 кг. Работал на бензин-спиртовой смеси. Се</w:t>
      </w:r>
      <w:r w:rsidRPr="005E779E">
        <w:rPr>
          <w:rFonts w:ascii="Times New Roman" w:hAnsi="Times New Roman"/>
          <w:color w:val="000000" w:themeColor="text1"/>
          <w:sz w:val="16"/>
          <w:szCs w:val="16"/>
        </w:rPr>
        <w:softHyphen/>
        <w:t>рийно выпускался с августа 1939 г.</w:t>
      </w:r>
    </w:p>
    <w:p w14:paraId="1EF1A1D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ГМ-34БП, вариант для речных бронекатеров с реверс-редуктором, 800 л.с., выпускался серийно.</w:t>
      </w:r>
    </w:p>
    <w:p w14:paraId="36DBA6C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ГМ-34БС, усовершенствованный вариант предыдущего типа, 850 л.с., выпускался серийно до 1943 г. Работал на бензин-спиртовой смеси. Вес 1045 кг.</w:t>
      </w:r>
    </w:p>
    <w:p w14:paraId="239AE88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ГМ-34БТ. вариант для танков на базе катерного с измененной си</w:t>
      </w:r>
      <w:r w:rsidRPr="005E779E">
        <w:rPr>
          <w:rFonts w:ascii="Times New Roman" w:hAnsi="Times New Roman"/>
          <w:color w:val="000000" w:themeColor="text1"/>
          <w:sz w:val="16"/>
          <w:szCs w:val="16"/>
        </w:rPr>
        <w:softHyphen/>
        <w:t>стемой охлаждения, вентилятором принудительного обдува, новым редуктором; мощность 850 л.с. Имел электростартер вместо пневмо-пуска. Выпускался малой серией в 1939 г.</w:t>
      </w:r>
    </w:p>
    <w:p w14:paraId="08D8608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Моторы семейства М-34 (АМ-34) устанавливались на серийных самолетах ТБ-3, КР-6, Р-Зет, АНТ-25 (РД, ДБ-1), МБР-2, МТБ-1, ТБ-7 (Пе-8, первая малая серия), ДБ-А, опытных ЛР, ТШ-3, МИ-ЗД, Т-1 (АНТ-41), ТБ-4, К-7, МГ (АНТ-20), ПС-124, И-21 (ЦКБ-32, с паровым охлаждением), ПИ (не до</w:t>
      </w:r>
      <w:r w:rsidRPr="005E779E">
        <w:rPr>
          <w:rFonts w:ascii="Times New Roman" w:hAnsi="Times New Roman"/>
          <w:color w:val="000000" w:themeColor="text1"/>
          <w:sz w:val="16"/>
          <w:szCs w:val="16"/>
        </w:rPr>
        <w:softHyphen/>
        <w:t>строен), К-13, МК-1, «Сталь-МАИ», МИ-3. Их применение также предусма</w:t>
      </w:r>
      <w:r w:rsidRPr="005E779E">
        <w:rPr>
          <w:rFonts w:ascii="Times New Roman" w:hAnsi="Times New Roman"/>
          <w:color w:val="000000" w:themeColor="text1"/>
          <w:sz w:val="16"/>
          <w:szCs w:val="16"/>
        </w:rPr>
        <w:softHyphen/>
        <w:t>тривалось в проектах ТБ-6, «Сталь-5», АНТ-15, ТШ-Б (АНТ-17 и АНТ-18), ВИТ-2, АНТ-51 (СЗ), бронированного штурмовика Самсонова и Доброволь</w:t>
      </w:r>
      <w:r w:rsidRPr="005E779E">
        <w:rPr>
          <w:rFonts w:ascii="Times New Roman" w:hAnsi="Times New Roman"/>
          <w:color w:val="000000" w:themeColor="text1"/>
          <w:sz w:val="16"/>
          <w:szCs w:val="16"/>
        </w:rPr>
        <w:softHyphen/>
        <w:t>ского на гусеничном ходу (на базе ТШ-2), танка-вертолета Камова.</w:t>
      </w:r>
    </w:p>
    <w:p w14:paraId="6FFB3BA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Моторы типа ГМ-34 (ГАМ-34) монтировались на торпедных катерах Г-5 (серийно строились до 1943 г.), Г-6, Г-8, СМ-4 (построено по одному катеру), закладывались в проекты катеров Г-9 и Г-10, а также на речных бронекатерах проектов 1124 и 1125 (массово строились до 1944 г.).</w:t>
      </w:r>
    </w:p>
    <w:p w14:paraId="142C937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Танковые моторы ГМ-34БТ (ГАМ-34БТ) устанавливались на опытных танках Т-100 и СМК, проходивших войсковые испытания на фронте во время войны с Финляндией зимой 1940 г., а также опытном самоходном орудии СУ-100у («Игрек», 1940 г.), применявшемся в боях под Москвой зимой 1941 г. (11952)</w:t>
      </w:r>
    </w:p>
    <w:p w14:paraId="0D222AC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2E4D4C" w14:textId="77777777" w:rsidR="003A03A7" w:rsidRPr="00142305" w:rsidRDefault="003A03A7" w:rsidP="003A03A7">
      <w:pPr>
        <w:spacing w:after="0" w:line="240" w:lineRule="auto"/>
        <w:jc w:val="both"/>
        <w:rPr>
          <w:rStyle w:val="aff0"/>
          <w:rFonts w:ascii="Times New Roman" w:hAnsi="Times New Roman" w:cs="Times New Roman"/>
          <w:color w:val="0070C0"/>
          <w:spacing w:val="0"/>
          <w:sz w:val="16"/>
          <w:szCs w:val="16"/>
        </w:rPr>
      </w:pPr>
      <w:r w:rsidRPr="00142305">
        <w:rPr>
          <w:rStyle w:val="aff0"/>
          <w:rFonts w:ascii="Times New Roman" w:hAnsi="Times New Roman" w:cs="Times New Roman"/>
          <w:color w:val="0070C0"/>
          <w:spacing w:val="0"/>
          <w:sz w:val="16"/>
          <w:szCs w:val="16"/>
        </w:rPr>
        <w:t>В ноябре 1931 г. приступили к государственным испытаниям М-34, а в июле 1932 г. опытный образец мотора установили на доработанный биплан Р-5. В этом же году началось освоение в серии нового двигателя на московском заводе № 24 (25145).</w:t>
      </w:r>
    </w:p>
    <w:p w14:paraId="29583F37" w14:textId="77777777" w:rsidR="003A03A7" w:rsidRPr="00142305" w:rsidRDefault="003A03A7" w:rsidP="003A03A7">
      <w:pPr>
        <w:spacing w:after="0" w:line="240" w:lineRule="auto"/>
        <w:jc w:val="both"/>
        <w:rPr>
          <w:rFonts w:ascii="Times New Roman" w:hAnsi="Times New Roman"/>
          <w:color w:val="0070C0"/>
          <w:sz w:val="16"/>
          <w:szCs w:val="16"/>
        </w:rPr>
      </w:pPr>
    </w:p>
    <w:p w14:paraId="72CEDE8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ноября 1931 г. работники ГВФ стали принимать двигатели М-15 самостоятельно. 15 моторов М-26 1-й серии собрали к 27 марта 1931 г. Но выпускались М-15 и М-26 недолго. 5 августа 1931 г. вышло постановление Реввоен</w:t>
      </w:r>
      <w:r w:rsidRPr="005E779E">
        <w:rPr>
          <w:rFonts w:ascii="Times New Roman" w:hAnsi="Times New Roman"/>
          <w:color w:val="000000" w:themeColor="text1"/>
          <w:sz w:val="16"/>
          <w:szCs w:val="16"/>
        </w:rPr>
        <w:softHyphen/>
        <w:t>совета СССР о сокращении количества типов авиамоторов, находящихся в серийном производстве. Оставляли только М-11, М-17, М-22 и М-28. Высокая аварийность самолетов АНТ-9 и К-5 с двигателями М-26 и М-15 соответственно нанесла дополнительный удар по их репутации. Моторы сняли с производства, а вскоре и с эксплуатации. Выпущено 406 экз. В военной авиации М-15 был вытеснен (в основном, из-за низкой надежности) мотором М-22. В январе 1932 г. он проиграл сравнительные испытания в НИИ ВВС двигателю М-22. Все построенные М-15 передали для эксплуатации в гражданскую авиацию.</w:t>
      </w:r>
    </w:p>
    <w:p w14:paraId="053B54D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Характеристики:</w:t>
      </w:r>
    </w:p>
    <w:p w14:paraId="503231F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9-цилиндровый, звездообразный, четырехтактный, воздушного охлаж</w:t>
      </w:r>
      <w:r w:rsidRPr="005E779E">
        <w:rPr>
          <w:rFonts w:ascii="Times New Roman" w:hAnsi="Times New Roman"/>
          <w:color w:val="000000" w:themeColor="text1"/>
          <w:sz w:val="16"/>
          <w:szCs w:val="16"/>
        </w:rPr>
        <w:softHyphen/>
        <w:t>дения;</w:t>
      </w:r>
    </w:p>
    <w:p w14:paraId="30B4A31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мощность 450/660 л.с.;</w:t>
      </w:r>
    </w:p>
    <w:p w14:paraId="1CE227B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диаметр цилиндра/ход поршня 150/170 мм;</w:t>
      </w:r>
    </w:p>
    <w:p w14:paraId="2B1B4AD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объем 27,02 л;</w:t>
      </w:r>
    </w:p>
    <w:p w14:paraId="5112D10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степень сжатия 5,4 (фактически 5,5-5,7);</w:t>
      </w:r>
    </w:p>
    <w:p w14:paraId="59E9D8D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безредукторный;</w:t>
      </w:r>
    </w:p>
    <w:p w14:paraId="7B30FED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мощность и вес в зависимости от модификации и серии;</w:t>
      </w:r>
    </w:p>
    <w:p w14:paraId="21AD10D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имел ПЦН и синхронизатор. Известны варианты:</w:t>
      </w:r>
    </w:p>
    <w:p w14:paraId="076BCB7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М-15, первоначальный вариант. Изготовлен в двух опытных экзем</w:t>
      </w:r>
      <w:r w:rsidRPr="005E779E">
        <w:rPr>
          <w:rFonts w:ascii="Times New Roman" w:hAnsi="Times New Roman"/>
          <w:color w:val="000000" w:themeColor="text1"/>
          <w:sz w:val="16"/>
          <w:szCs w:val="16"/>
        </w:rPr>
        <w:softHyphen/>
        <w:t>плярах. Мощность по проекту 500/600 л.с., вес 420 кг.</w:t>
      </w:r>
    </w:p>
    <w:p w14:paraId="4D69796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2М-15, второй вариант конструкции с усиленными головками цилин</w:t>
      </w:r>
      <w:r w:rsidRPr="005E779E">
        <w:rPr>
          <w:rFonts w:ascii="Times New Roman" w:hAnsi="Times New Roman"/>
          <w:color w:val="000000" w:themeColor="text1"/>
          <w:sz w:val="16"/>
          <w:szCs w:val="16"/>
        </w:rPr>
        <w:softHyphen/>
        <w:t>дров, новыми клапанами. Выпускался серийно как М-15. Мощность 450/550 л.с. (по проекту 500/650 л.с.). Вес у серии «А» — 419,5 кг, У серии «Г» — 450 кг. На серии «Б» укорочен коленвал. усилены | крепления головок цилиндров, усилена шестерня привода ПЦН. На серии «В» введены новые клапанные пружины, усиленные гайки кре</w:t>
      </w:r>
      <w:r w:rsidRPr="005E779E">
        <w:rPr>
          <w:rFonts w:ascii="Times New Roman" w:hAnsi="Times New Roman"/>
          <w:color w:val="000000" w:themeColor="text1"/>
          <w:sz w:val="16"/>
          <w:szCs w:val="16"/>
        </w:rPr>
        <w:softHyphen/>
        <w:t>пления цилиндров, цельные тяги клапанных рычагов. - М-15а, проект усовершенствованной модификации с мощностью 500 л.с., весом 400 кг.</w:t>
      </w:r>
    </w:p>
    <w:p w14:paraId="626286A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 устанавливался на самолетах К-5, И-5 (опытные образцы), пред</w:t>
      </w:r>
      <w:r w:rsidRPr="005E779E">
        <w:rPr>
          <w:rFonts w:ascii="Times New Roman" w:hAnsi="Times New Roman"/>
          <w:color w:val="000000" w:themeColor="text1"/>
          <w:sz w:val="16"/>
          <w:szCs w:val="16"/>
        </w:rPr>
        <w:softHyphen/>
        <w:t>лагался для установки на И-4 (11852).</w:t>
      </w:r>
    </w:p>
    <w:p w14:paraId="78D5B87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13C092" w14:textId="77777777" w:rsidR="006813D3" w:rsidRPr="005E779E" w:rsidRDefault="006813D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1931 года, в двенадцати километрах от Москвы, вблизи бывшего поселка Тушино появились первые строители завода № 62. В то время на месте строительства было болото, поросшее кустарником, а на будущей улице Спортивная (ныне -Лодочная) шумел сосновый лес.</w:t>
      </w:r>
    </w:p>
    <w:p w14:paraId="22CF7230" w14:textId="77777777" w:rsidR="006813D3" w:rsidRPr="005E779E" w:rsidRDefault="006813D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Строительство завода началось 11 января 1932 г. С 1932 г. на заводе начали работать Е.Г.Глебов, И.В.Азаров, В.И.Батов, А.Ф.Александрова, А.В.Колпикова, А.С.Олейник, АА.Павлова, А.В.Сибиркина, Л.Д.Шевченко, И.Л.Чинников и др. Руководил строительством директор будущего завода Антон Дмитриевич Вяль-цев. Секретарем комитета ВКП(б) был Павлинов, председателем заводского комитета профсоюзов - В.В.Горошкин, секретарем комитета комсомола - И.В.Дорошенко (19602).</w:t>
      </w:r>
    </w:p>
    <w:p w14:paraId="0B5C6A6A" w14:textId="77777777" w:rsidR="006813D3" w:rsidRPr="005E779E" w:rsidRDefault="006813D3" w:rsidP="000B7A6C">
      <w:pPr>
        <w:spacing w:after="0" w:line="240" w:lineRule="auto"/>
        <w:jc w:val="both"/>
        <w:rPr>
          <w:rFonts w:ascii="Times New Roman" w:hAnsi="Times New Roman"/>
          <w:color w:val="000000" w:themeColor="text1"/>
          <w:sz w:val="16"/>
          <w:szCs w:val="16"/>
        </w:rPr>
      </w:pPr>
    </w:p>
    <w:p w14:paraId="554ADA63" w14:textId="77777777" w:rsidR="003B5258" w:rsidRPr="005E779E" w:rsidRDefault="003B5258" w:rsidP="003B5258">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1931 года, в двенадцати километрах от Москвы, вблизи бывшего поселка Тушино появились первые строители. В то время на месте строительства было болото, поросшее кустарником, а на будущей улице Спортивная (ныне -Лодочная) шумел сосновый лес. Строительство завода началось 11 января 1932 г. С 1932 г. на заводе начали работать Е.Г.Глебов, И.В.Азаров, В.И.Батов, А.Ф.Александрова, А.В.Колпикова, А.С.Олейник, АА.Павлова, А.В.Сибиркина, Л.Д.Шевченко, И.Л.Чинников и др. Руководил строительством директор будущего завода Антон Дмитриевич Вяльцев. Секретарем комитета ВКП(б) был Павлинов, председателем заводского комитета профсоюзов - В.В.Горошкин, секретарем комитета комсомола - И.В.Дорошенко (11200).</w:t>
      </w:r>
    </w:p>
    <w:p w14:paraId="33A8D9B6" w14:textId="77777777" w:rsidR="003B5258" w:rsidRPr="005E779E" w:rsidRDefault="003B5258" w:rsidP="003B5258">
      <w:pPr>
        <w:autoSpaceDE w:val="0"/>
        <w:autoSpaceDN w:val="0"/>
        <w:adjustRightInd w:val="0"/>
        <w:spacing w:after="0" w:line="240" w:lineRule="auto"/>
        <w:jc w:val="both"/>
        <w:rPr>
          <w:rFonts w:ascii="Times New Roman" w:hAnsi="Times New Roman"/>
          <w:color w:val="000000" w:themeColor="text1"/>
          <w:sz w:val="16"/>
          <w:szCs w:val="16"/>
        </w:rPr>
      </w:pPr>
    </w:p>
    <w:p w14:paraId="64F68DE5" w14:textId="6E1E73FE" w:rsidR="003B5258" w:rsidRPr="005E779E" w:rsidRDefault="003B5258" w:rsidP="003B5258">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w:t>
      </w:r>
      <w:r w:rsidR="00FE094E">
        <w:rPr>
          <w:rFonts w:ascii="Times New Roman" w:hAnsi="Times New Roman"/>
          <w:color w:val="000000" w:themeColor="text1"/>
          <w:sz w:val="16"/>
          <w:szCs w:val="16"/>
        </w:rPr>
        <w:t xml:space="preserve"> </w:t>
      </w:r>
      <w:r w:rsidRPr="005E779E">
        <w:rPr>
          <w:rStyle w:val="highlight"/>
          <w:rFonts w:ascii="Times New Roman" w:hAnsi="Times New Roman"/>
          <w:color w:val="000000" w:themeColor="text1"/>
          <w:sz w:val="16"/>
          <w:szCs w:val="16"/>
        </w:rPr>
        <w:t>ноябре</w:t>
      </w:r>
      <w:r w:rsidR="00FE094E">
        <w:rPr>
          <w:rStyle w:val="highlight"/>
          <w:rFonts w:ascii="Times New Roman" w:hAnsi="Times New Roman"/>
          <w:color w:val="000000" w:themeColor="text1"/>
          <w:sz w:val="16"/>
          <w:szCs w:val="16"/>
        </w:rPr>
        <w:t xml:space="preserve"> </w:t>
      </w:r>
      <w:r w:rsidRPr="005E779E">
        <w:rPr>
          <w:rStyle w:val="highlight"/>
          <w:rFonts w:ascii="Times New Roman" w:hAnsi="Times New Roman"/>
          <w:color w:val="000000" w:themeColor="text1"/>
          <w:sz w:val="16"/>
          <w:szCs w:val="16"/>
        </w:rPr>
        <w:t>1931</w:t>
      </w:r>
      <w:r w:rsidR="00FE094E">
        <w:rPr>
          <w:rStyle w:val="highlight"/>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года началось строительство ТМЗ (как завода № 62) и уже 5 мая 1932 г.</w:t>
      </w:r>
      <w:r w:rsidR="00FE094E">
        <w:rPr>
          <w:rFonts w:ascii="Times New Roman" w:hAnsi="Times New Roman"/>
          <w:color w:val="000000" w:themeColor="text1"/>
          <w:sz w:val="16"/>
          <w:szCs w:val="16"/>
        </w:rPr>
        <w:t xml:space="preserve"> </w:t>
      </w:r>
      <w:r w:rsidRPr="005E779E">
        <w:rPr>
          <w:rStyle w:val="highlight"/>
          <w:rFonts w:ascii="Times New Roman" w:hAnsi="Times New Roman"/>
          <w:color w:val="000000" w:themeColor="text1"/>
          <w:sz w:val="16"/>
          <w:szCs w:val="16"/>
        </w:rPr>
        <w:t>завод</w:t>
      </w:r>
      <w:r w:rsidR="00FE094E">
        <w:rPr>
          <w:rStyle w:val="highlight"/>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вступил в строй, а с июня 1933-го был начат серийный выпуск самолетов СТАЛЬ-2 с двигателем М-26 в 300 л.с. (17245). В двенадцати километрах от Москвы, вблизи бывшего поселка Тушино появились первые строители. В то время на месте строительства было болото, поросшее кустарником, а на будущей улице Спортивная (ныне -Лодочная) шумел сосновый лес.</w:t>
      </w:r>
    </w:p>
    <w:p w14:paraId="61AE78B5" w14:textId="1399A972" w:rsidR="003B5258" w:rsidRPr="005E779E" w:rsidRDefault="003B5258" w:rsidP="003B5258">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Строительство</w:t>
      </w:r>
      <w:r w:rsidR="00FE094E">
        <w:rPr>
          <w:rFonts w:ascii="Times New Roman" w:hAnsi="Times New Roman"/>
          <w:color w:val="000000" w:themeColor="text1"/>
          <w:sz w:val="16"/>
          <w:szCs w:val="16"/>
        </w:rPr>
        <w:t xml:space="preserve"> </w:t>
      </w:r>
      <w:r w:rsidRPr="005E779E">
        <w:rPr>
          <w:rStyle w:val="highlight"/>
          <w:rFonts w:ascii="Times New Roman" w:hAnsi="Times New Roman"/>
          <w:color w:val="000000" w:themeColor="text1"/>
          <w:sz w:val="16"/>
          <w:szCs w:val="16"/>
        </w:rPr>
        <w:t>завода</w:t>
      </w:r>
      <w:r w:rsidR="00FE094E">
        <w:rPr>
          <w:rStyle w:val="highlight"/>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началось 11 января 1932 г. С 1932 г. на заводе начали работать Е.Г.Глебов, И.В.Азаров, В.И.Батов, А.Ф.Александрова, А.В.Колпикова, А.С.Олейник, АА.Павлова, А.В.Сибиркина, Л.Д.Шевченко, И.Л.Чинников и др. Руководил строительством директор будущего завода Антон Дмитриевич Вяльцев. Секретарем комитета ВКП(б) был Павлинов, председателем заводского комитета профсоюзов - В.В.Горошкин, секретарем комитета комсомола - И.В.Дорошенко (17246).</w:t>
      </w:r>
    </w:p>
    <w:p w14:paraId="7D59B4E1" w14:textId="77777777" w:rsidR="003B5258" w:rsidRPr="005E779E" w:rsidRDefault="003B5258" w:rsidP="003B5258">
      <w:pPr>
        <w:autoSpaceDE w:val="0"/>
        <w:autoSpaceDN w:val="0"/>
        <w:adjustRightInd w:val="0"/>
        <w:spacing w:after="0" w:line="240" w:lineRule="auto"/>
        <w:jc w:val="both"/>
        <w:rPr>
          <w:rFonts w:ascii="Times New Roman" w:hAnsi="Times New Roman"/>
          <w:color w:val="000000" w:themeColor="text1"/>
          <w:sz w:val="16"/>
          <w:szCs w:val="16"/>
        </w:rPr>
      </w:pPr>
    </w:p>
    <w:p w14:paraId="736B29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1931 УВВС выдало тех. задание на проектирование авиаторпеды СУ с радиоуправлением и светосигнализацией. Хотели две модификации - 450 с 320 кг и 533 мм с 500 кг. В НИМТИ работали и над РУТ калибром 450, но все ограничилось проектами и опытными образцами (561,8).</w:t>
      </w:r>
    </w:p>
    <w:p w14:paraId="711912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9E690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1931 г. УВВС выдало техническое задание на проектирование радиоуправляемой торпеды СУ со световой сигнализацией о местоположении. Предусматривались две ее разновидности - 24-дюймовая с зарядом 320 кг и 27-дюймовая с зарядом 500 кг. Последняя могла нанести серьезные повреждения даже линкору. В НИМТИ работали и еще над одним типом радиоуправляемой торпеды - РУТ калибром 18 дюймов.</w:t>
      </w:r>
    </w:p>
    <w:p w14:paraId="4D45A2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 дошла до воплощения и оригинальная ВТК - "высотная торпеда Камова", в которой система парашютов была заменена авторотирующим винтом. По расчетам, такое устройство при сохранении низкой скорости приводнения могло сократить общее время спуска и тем самым увеличить шансы на поражение цели. В сентябре 1932 г. изготовили модель ВТК, но на этом все приостановилось. Эта тема значилась в планах до 1936 г., но не привела даже к постройке опытного образца (12002).</w:t>
      </w:r>
    </w:p>
    <w:p w14:paraId="036DA6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7E6C4BE" w14:textId="77777777" w:rsidR="00D82FF1" w:rsidRPr="005E779E" w:rsidRDefault="00D82FF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 ноябре 1931 г. УВВС выдало техническое задание на проектирование радио</w:t>
      </w:r>
      <w:r w:rsidRPr="005E779E">
        <w:rPr>
          <w:rFonts w:ascii="Times New Roman" w:hAnsi="Times New Roman"/>
          <w:color w:val="000000" w:themeColor="text1"/>
          <w:sz w:val="16"/>
          <w:szCs w:val="16"/>
        </w:rPr>
        <w:softHyphen/>
        <w:t>управляемой торпеды СУ со световой сигнализацией о местоположении. Предусматри</w:t>
      </w:r>
      <w:r w:rsidRPr="005E779E">
        <w:rPr>
          <w:rFonts w:ascii="Times New Roman" w:hAnsi="Times New Roman"/>
          <w:color w:val="000000" w:themeColor="text1"/>
          <w:sz w:val="16"/>
          <w:szCs w:val="16"/>
        </w:rPr>
        <w:softHyphen/>
        <w:t>вались две ее разновидности - 24-дюймовая с зарядом 320 кг и 27-дюймовая с зарядом 500 кг. Последняя могла нанести серьезные повреждения даже линкору. В НИМТИ работали и еще над одним типом радиоуправляемой торпеды - РУТ калибром 18 дюймов (23464).</w:t>
      </w:r>
    </w:p>
    <w:p w14:paraId="2B167D33" w14:textId="77777777" w:rsidR="00D82FF1" w:rsidRPr="005E779E" w:rsidRDefault="00D82FF1" w:rsidP="000B7A6C">
      <w:pPr>
        <w:spacing w:after="0" w:line="240" w:lineRule="auto"/>
        <w:jc w:val="both"/>
        <w:rPr>
          <w:rFonts w:ascii="Times New Roman" w:hAnsi="Times New Roman"/>
          <w:color w:val="000000" w:themeColor="text1"/>
          <w:sz w:val="16"/>
          <w:szCs w:val="16"/>
        </w:rPr>
      </w:pPr>
    </w:p>
    <w:p w14:paraId="208CBF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1931 на ЧМ в районе Качи закончились гос. испытания высотной торпеды ТАВ-15, которые начались в мае 1931. Председателем комиссии был Командующий ЧФ В.К.Лавров (1085,126).</w:t>
      </w:r>
    </w:p>
    <w:p w14:paraId="52A213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ED61C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1931 года было подготовлено Постановление СТО (проект)</w:t>
      </w:r>
    </w:p>
    <w:p w14:paraId="671A32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 строительстве Всесоюзным объединением ГВФ стальных самолетов и завода стальных самолетов "Авиасталь"</w:t>
      </w:r>
    </w:p>
    <w:p w14:paraId="730920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Учитывая огромное значение для авиации Союза широкое применение цельностальных самолетов из нержавеющей стали, СТО постановляет:</w:t>
      </w:r>
    </w:p>
    <w:p w14:paraId="4025F9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Обязать Всесоюзное объединение ГВФ изготовить и сдать на эксплуатацию в 1932 году сто стальных самолетов из нержавеющей стали типа "Сталь 2".</w:t>
      </w:r>
    </w:p>
    <w:p w14:paraId="0BE2B3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выполнения этого задания обязать ВОГВФ не позднее 15 ноября 1931 года приступить к постройке завода стальных самолетов "Авиасталь", обеспечив пуск завода не позднее 1 апреля 1932 года. Стоимость строительства завода определить суммой порядка 9 млн. рублей.</w:t>
      </w:r>
    </w:p>
    <w:p w14:paraId="130EAC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…………………………..(7772, 65-69).</w:t>
      </w:r>
    </w:p>
    <w:p w14:paraId="350AA4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30CE3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1931 в Москве состоялись переговоры М.Тухачевского и нач. УВВС Я.Алксниса с г Адамом (нач. войскового управления рейхсвера), но немцы отказались превращать Липецкую школу в совместный НИ центр. Ма предлагали изучать стратосфорный самолет, нефтяные двигатели, автоматическую стабилизацию машины в полете и т.п. рассчитывая на германские достижения (1131,32).</w:t>
      </w:r>
    </w:p>
    <w:p w14:paraId="707855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36436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1931 С.Н.Анохин закончил и, как один из лучших выпускников, был оставлен в ней командиром учебного летного отряда. В 1932-м Сергей Николаевич заканчивает Центральную лётную школу Осоавиахима в Тушино, а в 1933-м - Высшую парашютную школу. Таким образом, Анохин стал универсалом: освоил прыжки с парашютом и полёты как на планерах, так и на самолётах (5996).</w:t>
      </w:r>
    </w:p>
    <w:p w14:paraId="467B93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DD3A799"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0BD15ABF"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99313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1931 СТО принял специальное постановление о развитии оборонных отраслей промышленности (5484,324).</w:t>
      </w:r>
    </w:p>
    <w:p w14:paraId="1A6A6A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0D65472" w14:textId="38135CF2" w:rsidR="000306D2" w:rsidRPr="005E779E" w:rsidRDefault="000306D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1931 г. на основе конструкции трофейного 81-мм батальонного миномета инженерами группы «Д» были разработаны и представлены на рассмотрение II секции НТК АУ рабочие чертежи и ведомость деталей 82-мм батальонного миномета (82-БМ). Помимо возможности стрельбы из окопа, для увеличения маневренности системы предполагалось использование колесного хода (по системе военного инженера А. А. Соколова). Миномет предназначался для применения в качестве орудия сопровождения для непосредственной огневой поддержки пехоты. Вес системы в боевом положении составлял 75 кг. Проектируемая наибольшая дальность стрельбы - 2 500 м, наименьшая дальность – около 150 м (при угле возвышения 70°), скорострельность – 15-18 выстрелов в минуту. Вес мины – 3,6 кг. Система включала в себя гладкий стальной ствол, снабженный с казенной части шаровой пятой для упора в плиту, опорную плиту с шаровым гнездом и двухколесный станок, оснащенный механизмом для вертикальной и горизонтальной наводки. После рассмотрения чертежей II секцией НТК АУ было принято решение о целесообразности изготовления 5 шт. опытных образцов 82-мм батальонных минометов и выдаче заказа на изготовление стволов на заводе «Большевик», а станков и проведение окончательной сборки – на заводе №7 в срок до 1 мая 1932 г. После проведения испытаний и внесения в чертежи необходимых изменений, предполагалось начать их серийный выпуск в том же 1932 г. (Журнал НТК АУ РККА №360с от 29 декабря 1931 г.).189 (20074)</w:t>
      </w:r>
    </w:p>
    <w:p w14:paraId="29726D1D" w14:textId="77777777" w:rsidR="000306D2" w:rsidRPr="005E779E" w:rsidRDefault="000306D2" w:rsidP="000B7A6C">
      <w:pPr>
        <w:spacing w:after="0" w:line="240" w:lineRule="auto"/>
        <w:jc w:val="both"/>
        <w:rPr>
          <w:rFonts w:ascii="Times New Roman" w:hAnsi="Times New Roman"/>
          <w:color w:val="000000" w:themeColor="text1"/>
          <w:sz w:val="16"/>
          <w:szCs w:val="16"/>
        </w:rPr>
      </w:pPr>
    </w:p>
    <w:p w14:paraId="7F79D7B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1931 в ходе беседы с Нач. Генштаба рейхсвера В.Адамом НК ВМД К.Е.В. сказал: “Мы предоставили немецкой стороне, как нигде в Европе, возможность заниматься экспериментальными химическими разработками, поэтому дайте нам конкретную материальную компенсацию в виде опытных результатов. Дайте на Томку больше оборудования ип всяких средств.” Просил новый газ, но Адам ответил: “не верьте...Наша задача по химии - сделать иптир технически более устойчивым”(6221).</w:t>
      </w:r>
    </w:p>
    <w:p w14:paraId="0055342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BE06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1931 поскольку вопрос создания быстроходного танка был решен, Н.М. Тоскин (как кадровый военный инженер) был отозван из ХПЗ в Управление механизации и моторизации КА для продолжения своей основной службы (9154).</w:t>
      </w:r>
    </w:p>
    <w:p w14:paraId="180A14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5B556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1931 КБ № 3 Оружобъединения разработало проект модернизированного Т-24 с использованием трансмиссии Т-28. Хотели сделать опытный образец на заводе Большевик, но так и не сделали (9527,117).</w:t>
      </w:r>
    </w:p>
    <w:p w14:paraId="28BD5C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38B1859" w14:textId="77777777" w:rsidR="00CB6D91" w:rsidRPr="005E779E" w:rsidRDefault="00CB6D9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1931 г. КБ №3 Оружобъединения выполнило проект модернизированного танка Т-24 с использованием трансмиссии танка Т-28. Опытный образец машины планировалось изготовить на заводе «Большевик» к 15 апреля 1932 г., но проект так и не был реализован (12303).</w:t>
      </w:r>
    </w:p>
    <w:p w14:paraId="0A31B30D" w14:textId="77777777" w:rsidR="00CB6D91" w:rsidRPr="005E779E" w:rsidRDefault="00CB6D91" w:rsidP="000B7A6C">
      <w:pPr>
        <w:spacing w:after="0" w:line="240" w:lineRule="auto"/>
        <w:jc w:val="both"/>
        <w:rPr>
          <w:rFonts w:ascii="Times New Roman" w:hAnsi="Times New Roman"/>
          <w:color w:val="000000" w:themeColor="text1"/>
          <w:sz w:val="16"/>
          <w:szCs w:val="16"/>
        </w:rPr>
      </w:pPr>
    </w:p>
    <w:p w14:paraId="7C62D44D" w14:textId="77777777" w:rsidR="00033E6C" w:rsidRPr="00142305" w:rsidRDefault="00033E6C" w:rsidP="00033E6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ноябре 1931 г. КБ №3 Оружобъединения выполнило проект модернизированного танка Т-24 с использованием трансмиссии танка Т-28. Опытный образец машины планировалось изготовить на заводе «Большевик» к 15 апреля 1932 г., но проект так и не был реализован (25479).</w:t>
      </w:r>
    </w:p>
    <w:p w14:paraId="767799DC" w14:textId="77777777" w:rsidR="00033E6C" w:rsidRPr="00142305" w:rsidRDefault="00033E6C" w:rsidP="00033E6C">
      <w:pPr>
        <w:spacing w:after="0" w:line="240" w:lineRule="auto"/>
        <w:jc w:val="both"/>
        <w:rPr>
          <w:rFonts w:ascii="Times New Roman" w:hAnsi="Times New Roman"/>
          <w:color w:val="0070C0"/>
          <w:sz w:val="16"/>
          <w:szCs w:val="16"/>
        </w:rPr>
      </w:pPr>
    </w:p>
    <w:p w14:paraId="2FAEAD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1931 ОКМО завода Большевик по ТТТ УММ РККА был выдан заказ на проектирование и изготовление двух опытных тяжелых танков со сроком сдачи в июле 1932 (9527,119).</w:t>
      </w:r>
    </w:p>
    <w:p w14:paraId="5B3D0E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7FF10A4" w14:textId="77777777" w:rsidR="00033E6C" w:rsidRPr="00142305" w:rsidRDefault="00033E6C" w:rsidP="00033E6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ноябре 1931 года начались работы по тяжелому танку в реорганизованном после отъезда Гротте КБ АВО-5. В состав КБ дополнительно включили отечественных конструкторов М. Зигеля, Б. Андрыхевича, А. Гаккеля, Я. Обухова и других. Возглавил новое КБ Николай Барыков, в свое время работавший у Э. Гроте заместителем. Новое конструкторское бюро получило от УММ РККА задание «к 1 авгу</w:t>
      </w:r>
      <w:r w:rsidRPr="00142305">
        <w:rPr>
          <w:rFonts w:ascii="Times New Roman" w:hAnsi="Times New Roman"/>
          <w:color w:val="0070C0"/>
          <w:sz w:val="16"/>
          <w:szCs w:val="16"/>
        </w:rPr>
        <w:softHyphen/>
        <w:t>ста 1932 года разработать и построить новый 35-тонный танк прорыва типа ТГ». Работы по проектированию новой машины, которая должна была иметь массу 35 тонн, ходовую часть и «силовой агрегат» по типу ТГ, воору</w:t>
      </w:r>
      <w:r w:rsidRPr="00142305">
        <w:rPr>
          <w:rFonts w:ascii="Times New Roman" w:hAnsi="Times New Roman"/>
          <w:color w:val="0070C0"/>
          <w:sz w:val="16"/>
          <w:szCs w:val="16"/>
        </w:rPr>
        <w:softHyphen/>
        <w:t>жение и компоновку - по типу проекта Т-32, разработанного Н. Барыковым и М. Зигелем. Вскоре танку присвоили индекс - Т-35 (25014).</w:t>
      </w:r>
    </w:p>
    <w:p w14:paraId="4F2E3267" w14:textId="77777777" w:rsidR="00033E6C" w:rsidRPr="00142305" w:rsidRDefault="00033E6C" w:rsidP="00033E6C">
      <w:pPr>
        <w:spacing w:after="0" w:line="240" w:lineRule="auto"/>
        <w:jc w:val="both"/>
        <w:rPr>
          <w:rFonts w:ascii="Times New Roman" w:hAnsi="Times New Roman"/>
          <w:color w:val="0070C0"/>
          <w:sz w:val="16"/>
          <w:szCs w:val="16"/>
        </w:rPr>
      </w:pPr>
    </w:p>
    <w:p w14:paraId="507304B3" w14:textId="77777777" w:rsidR="001A30FC" w:rsidRPr="005E779E" w:rsidRDefault="001A30F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ноябре 1931 г. ОКМО завода "Большевик" по ТТТ, разработанным УММ РККА, был выдан заказ на проектирование и изготовление двух опытных тяжелых </w:t>
      </w:r>
      <w:hyperlink r:id="rId213"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ов. Срок сдачи готовых образцов был намечен на июль 1932 г. Проект нового </w:t>
      </w:r>
      <w:hyperlink r:id="rId214"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а был утвержден УММ 8 февраля 1932 г. Эти работы привели к созданию тяжелого </w:t>
      </w:r>
      <w:hyperlink r:id="rId215"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а Т-35.</w:t>
      </w:r>
    </w:p>
    <w:p w14:paraId="67881600" w14:textId="77777777" w:rsidR="001A30FC" w:rsidRPr="005E779E" w:rsidRDefault="001A30FC" w:rsidP="000B7A6C">
      <w:pPr>
        <w:spacing w:after="0" w:line="240" w:lineRule="auto"/>
        <w:jc w:val="both"/>
        <w:rPr>
          <w:rFonts w:ascii="Times New Roman" w:hAnsi="Times New Roman"/>
          <w:color w:val="000000" w:themeColor="text1"/>
          <w:sz w:val="16"/>
          <w:szCs w:val="16"/>
        </w:rPr>
      </w:pPr>
    </w:p>
    <w:p w14:paraId="6AC0E9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1931 чертежи танка Т-28 КБ-3 ВОАО были переданы на завод Большевик (9527,134).</w:t>
      </w:r>
    </w:p>
    <w:p w14:paraId="05BA47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643E2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1931 СТО утвердил ТТТ к химическому танку, предназначенному для дымопуска и распылению ОВ. В качестве базы предлагали использовать Т-26 (9527,179).</w:t>
      </w:r>
    </w:p>
    <w:p w14:paraId="055679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DEE0AE9" w14:textId="77777777" w:rsidR="00033E6C" w:rsidRPr="00142305" w:rsidRDefault="00033E6C" w:rsidP="00033E6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ноябре 1931 года СТО утвердил требования к химическому танку. Проектно-конструкторские работы велись как в направлении создания специальных боевых машин на оригинальной базе, так и на основе серийных тан</w:t>
      </w:r>
      <w:r w:rsidRPr="00142305">
        <w:rPr>
          <w:rFonts w:ascii="Times New Roman" w:hAnsi="Times New Roman"/>
          <w:color w:val="0070C0"/>
          <w:sz w:val="16"/>
          <w:szCs w:val="16"/>
        </w:rPr>
        <w:softHyphen/>
        <w:t>ков. Второе направление было экономически более оправданным (25021).</w:t>
      </w:r>
    </w:p>
    <w:p w14:paraId="50255626" w14:textId="77777777" w:rsidR="00033E6C" w:rsidRPr="00142305" w:rsidRDefault="00033E6C" w:rsidP="00033E6C">
      <w:pPr>
        <w:spacing w:after="0" w:line="240" w:lineRule="auto"/>
        <w:jc w:val="both"/>
        <w:rPr>
          <w:rFonts w:ascii="Times New Roman" w:hAnsi="Times New Roman"/>
          <w:color w:val="0070C0"/>
          <w:sz w:val="16"/>
          <w:szCs w:val="16"/>
        </w:rPr>
      </w:pPr>
    </w:p>
    <w:p w14:paraId="617D85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1931 на заводе Большевик совместно с КБ ОАТ разрабатывалась гусеничная танкетка с пушечным вооружением (20 мм) для борьбы с танками. На базе Т-27 (9527,254).</w:t>
      </w:r>
    </w:p>
    <w:p w14:paraId="2767C7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35E6FC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ноября 1931 г. корпус Т-26 склепывался целиком. Передний и задний наклон</w:t>
      </w:r>
      <w:r w:rsidRPr="005E779E">
        <w:rPr>
          <w:rFonts w:ascii="Times New Roman" w:hAnsi="Times New Roman"/>
          <w:color w:val="000000" w:themeColor="text1"/>
          <w:sz w:val="16"/>
          <w:szCs w:val="16"/>
        </w:rPr>
        <w:softHyphen/>
        <w:t>ные листы корпуса (крыши) в танке выполнялись съемны</w:t>
      </w:r>
      <w:r w:rsidRPr="005E779E">
        <w:rPr>
          <w:rFonts w:ascii="Times New Roman" w:hAnsi="Times New Roman"/>
          <w:color w:val="000000" w:themeColor="text1"/>
          <w:sz w:val="16"/>
          <w:szCs w:val="16"/>
        </w:rPr>
        <w:softHyphen/>
        <w:t>ми для удобства доступа к двигателю и механизмам транс</w:t>
      </w:r>
      <w:r w:rsidRPr="005E779E">
        <w:rPr>
          <w:rFonts w:ascii="Times New Roman" w:hAnsi="Times New Roman"/>
          <w:color w:val="000000" w:themeColor="text1"/>
          <w:sz w:val="16"/>
          <w:szCs w:val="16"/>
        </w:rPr>
        <w:softHyphen/>
        <w:t>миссии. Однако для этого требовалось отвернуть такое ко</w:t>
      </w:r>
      <w:r w:rsidRPr="005E779E">
        <w:rPr>
          <w:rFonts w:ascii="Times New Roman" w:hAnsi="Times New Roman"/>
          <w:color w:val="000000" w:themeColor="text1"/>
          <w:sz w:val="16"/>
          <w:szCs w:val="16"/>
        </w:rPr>
        <w:softHyphen/>
        <w:t>личество винтов, что только разбронировка первых Т-26 перед ремонтом занимала несколько часов (10733,180).</w:t>
      </w:r>
    </w:p>
    <w:p w14:paraId="68F2975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A5602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 но</w:t>
      </w:r>
      <w:r w:rsidRPr="005E779E">
        <w:rPr>
          <w:rFonts w:ascii="Times New Roman" w:hAnsi="Times New Roman"/>
          <w:color w:val="000000" w:themeColor="text1"/>
          <w:sz w:val="16"/>
          <w:szCs w:val="16"/>
        </w:rPr>
        <w:softHyphen/>
        <w:t xml:space="preserve">ября 1931 г. не разрешали даже осваивать в производстве башни Т-26, по форме отличавшиеся от оригинала. Всякие рационализации категорически пресекались в пользу точного копирования. Нетрудно догадаться, что все, казавшееся высшему руководству наиболее простым, оказалось на поверку куда более сложным. Никак </w:t>
      </w:r>
      <w:r w:rsidRPr="005E779E">
        <w:rPr>
          <w:rFonts w:ascii="Times New Roman" w:hAnsi="Times New Roman"/>
          <w:color w:val="000000" w:themeColor="text1"/>
          <w:sz w:val="16"/>
          <w:szCs w:val="16"/>
        </w:rPr>
        <w:lastRenderedPageBreak/>
        <w:t>не желали нормально подходить друг другу цилиндры, поршни и кольца новых двигателей. Не ладилось с закалкой коленчатого вала, рассыпались прокладки, при пробных пусках из мотора бесследно исче</w:t>
      </w:r>
      <w:r w:rsidRPr="005E779E">
        <w:rPr>
          <w:rFonts w:ascii="Times New Roman" w:hAnsi="Times New Roman"/>
          <w:color w:val="000000" w:themeColor="text1"/>
          <w:sz w:val="16"/>
          <w:szCs w:val="16"/>
        </w:rPr>
        <w:softHyphen/>
        <w:t>зало масло, рвались клапана... Вообще сначала считалось нормальным, если брак в двигателях составлял до 65% от поданного количества. Корпуса, поступавшие с Ижорского завода, тоже не ра</w:t>
      </w:r>
      <w:r w:rsidRPr="005E779E">
        <w:rPr>
          <w:rFonts w:ascii="Times New Roman" w:hAnsi="Times New Roman"/>
          <w:color w:val="000000" w:themeColor="text1"/>
          <w:sz w:val="16"/>
          <w:szCs w:val="16"/>
        </w:rPr>
        <w:softHyphen/>
        <w:t>довали. Они неизменно имели большое число сквозных трещин в броневых листах, особенно у отверстий под за</w:t>
      </w:r>
      <w:r w:rsidRPr="005E779E">
        <w:rPr>
          <w:rFonts w:ascii="Times New Roman" w:hAnsi="Times New Roman"/>
          <w:color w:val="000000" w:themeColor="text1"/>
          <w:sz w:val="16"/>
          <w:szCs w:val="16"/>
        </w:rPr>
        <w:softHyphen/>
        <w:t>клепочные или болтовые соединения. Броневые листы толщиной 10 мм первоначально пробивались винтовочной бронебойной пулей с дистанции 150-200 м, хотя это счита</w:t>
      </w:r>
      <w:r w:rsidRPr="005E779E">
        <w:rPr>
          <w:rFonts w:ascii="Times New Roman" w:hAnsi="Times New Roman"/>
          <w:color w:val="000000" w:themeColor="text1"/>
          <w:sz w:val="16"/>
          <w:szCs w:val="16"/>
        </w:rPr>
        <w:softHyphen/>
        <w:t>лось невероятным. Положение усугублялось еще и тем, что спешка с осво</w:t>
      </w:r>
      <w:r w:rsidRPr="005E779E">
        <w:rPr>
          <w:rFonts w:ascii="Times New Roman" w:hAnsi="Times New Roman"/>
          <w:color w:val="000000" w:themeColor="text1"/>
          <w:sz w:val="16"/>
          <w:szCs w:val="16"/>
        </w:rPr>
        <w:softHyphen/>
        <w:t>ением танка неизбежно привела к прописке кустарщины, которая процветала фактически до 1934 г. Стоимость первых серийных Т-26 почти вдвое превы</w:t>
      </w:r>
      <w:r w:rsidRPr="005E779E">
        <w:rPr>
          <w:rFonts w:ascii="Times New Roman" w:hAnsi="Times New Roman"/>
          <w:color w:val="000000" w:themeColor="text1"/>
          <w:sz w:val="16"/>
          <w:szCs w:val="16"/>
        </w:rPr>
        <w:softHyphen/>
        <w:t>шала таковую у «Виккерс» Мк.Е., тем более что в танке еще было большое число покупных импортных деталей и узлов. Проблемы с освоением Т-26 в 1931 г. реанимировали было свернутые работы по сборке Т-18 и возродили интерес к оригинальным отечественным проек</w:t>
      </w:r>
      <w:r w:rsidRPr="005E779E">
        <w:rPr>
          <w:rFonts w:ascii="Times New Roman" w:hAnsi="Times New Roman"/>
          <w:color w:val="000000" w:themeColor="text1"/>
          <w:sz w:val="16"/>
          <w:szCs w:val="16"/>
        </w:rPr>
        <w:softHyphen/>
        <w:t>там танка сопровождения. Первые десять Т-26 были изготовлены по временной технологии из неброневой стали в четком соответствии с ан</w:t>
      </w:r>
      <w:r w:rsidRPr="005E779E">
        <w:rPr>
          <w:rFonts w:ascii="Times New Roman" w:hAnsi="Times New Roman"/>
          <w:color w:val="000000" w:themeColor="text1"/>
          <w:sz w:val="16"/>
          <w:szCs w:val="16"/>
        </w:rPr>
        <w:softHyphen/>
        <w:t>глийскими чертежами с широким использованием специ</w:t>
      </w:r>
      <w:r w:rsidRPr="005E779E">
        <w:rPr>
          <w:rFonts w:ascii="Times New Roman" w:hAnsi="Times New Roman"/>
          <w:color w:val="000000" w:themeColor="text1"/>
          <w:sz w:val="16"/>
          <w:szCs w:val="16"/>
        </w:rPr>
        <w:softHyphen/>
        <w:t>ально закупленных импортных деталей и запасных частей. Но двигатели на них работать отказались. Следующие пят</w:t>
      </w:r>
      <w:r w:rsidRPr="005E779E">
        <w:rPr>
          <w:rFonts w:ascii="Times New Roman" w:hAnsi="Times New Roman"/>
          <w:color w:val="000000" w:themeColor="text1"/>
          <w:sz w:val="16"/>
          <w:szCs w:val="16"/>
        </w:rPr>
        <w:softHyphen/>
        <w:t>надцать танков первой серии также не смогли двигаться сво</w:t>
      </w:r>
      <w:r w:rsidRPr="005E779E">
        <w:rPr>
          <w:rFonts w:ascii="Times New Roman" w:hAnsi="Times New Roman"/>
          <w:color w:val="000000" w:themeColor="text1"/>
          <w:sz w:val="16"/>
          <w:szCs w:val="16"/>
        </w:rPr>
        <w:softHyphen/>
        <w:t>им ходом и приобретали подвижность только при переста</w:t>
      </w:r>
      <w:r w:rsidRPr="005E779E">
        <w:rPr>
          <w:rFonts w:ascii="Times New Roman" w:hAnsi="Times New Roman"/>
          <w:color w:val="000000" w:themeColor="text1"/>
          <w:sz w:val="16"/>
          <w:szCs w:val="16"/>
        </w:rPr>
        <w:softHyphen/>
        <w:t>новке в них мотора с эталонного «Виккерса» (10733,176).</w:t>
      </w:r>
    </w:p>
    <w:p w14:paraId="0C66160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66DE6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1931 г. новый состав КБ АВО-5 приступил к ра</w:t>
      </w:r>
      <w:r w:rsidRPr="005E779E">
        <w:rPr>
          <w:rFonts w:ascii="Times New Roman" w:hAnsi="Times New Roman"/>
          <w:color w:val="000000" w:themeColor="text1"/>
          <w:sz w:val="16"/>
          <w:szCs w:val="16"/>
        </w:rPr>
        <w:softHyphen/>
        <w:t>ботам над Т-35, а уже 28 февраля 1932 г. за</w:t>
      </w:r>
      <w:r w:rsidRPr="005E779E">
        <w:rPr>
          <w:rFonts w:ascii="Times New Roman" w:hAnsi="Times New Roman"/>
          <w:color w:val="000000" w:themeColor="text1"/>
          <w:sz w:val="16"/>
          <w:szCs w:val="16"/>
        </w:rPr>
        <w:softHyphen/>
        <w:t>меститель начальника УММ РККА Г. Бокис докладывал М. Тухачевскому, что работы по Т-35 идут ударными темпами и срыва сроков их окончания не намечается. Однако по срокам все-таки опоздали. Первый прототип Т-35 был по</w:t>
      </w:r>
      <w:r w:rsidRPr="005E779E">
        <w:rPr>
          <w:rFonts w:ascii="Times New Roman" w:hAnsi="Times New Roman"/>
          <w:color w:val="000000" w:themeColor="text1"/>
          <w:sz w:val="16"/>
          <w:szCs w:val="16"/>
        </w:rPr>
        <w:softHyphen/>
        <w:t>казан представителям Заказчика - УММ РККА во главе с Бокисом только 1 сентября, тогда как первоначально в сен</w:t>
      </w:r>
      <w:r w:rsidRPr="005E779E">
        <w:rPr>
          <w:rFonts w:ascii="Times New Roman" w:hAnsi="Times New Roman"/>
          <w:color w:val="000000" w:themeColor="text1"/>
          <w:sz w:val="16"/>
          <w:szCs w:val="16"/>
        </w:rPr>
        <w:softHyphen/>
        <w:t>тябре планировалось уже принять танк на вооружение. Присутствующих на показе, уже видевших в статике и на ходу «Риккардо», «Рено», МС-1, Т-12, «Гросстрактор» и ТГ, новый танк, несомненно, поразил:</w:t>
      </w:r>
    </w:p>
    <w:p w14:paraId="5C70196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«Танк оставляет самое благоприятное впечатление... Он имеет пять башенъ, равномерно распределенных по сторонам и содержащих очень мощное вооружение: длинноствольную 76-мм полуавтоматическую пушку, две 37-мм полуавтома</w:t>
      </w:r>
      <w:r w:rsidRPr="005E779E">
        <w:rPr>
          <w:rFonts w:ascii="Times New Roman" w:hAnsi="Times New Roman"/>
          <w:color w:val="000000" w:themeColor="text1"/>
          <w:sz w:val="16"/>
          <w:szCs w:val="16"/>
        </w:rPr>
        <w:softHyphen/>
        <w:t>тические пушки, четыре пулемета ДТ-29, два пулемета ДП-27. Команда танка — 8 человек... Размеры танка позволят ему легко преодолевать любые вражеские укрепления без сни</w:t>
      </w:r>
      <w:r w:rsidRPr="005E779E">
        <w:rPr>
          <w:rFonts w:ascii="Times New Roman" w:hAnsi="Times New Roman"/>
          <w:color w:val="000000" w:themeColor="text1"/>
          <w:sz w:val="16"/>
          <w:szCs w:val="16"/>
        </w:rPr>
        <w:softHyphen/>
        <w:t>жения скорости хода... В лице этого танка мы имеем сегодня весьма сильную боевую машину, предназначенную для качест</w:t>
      </w:r>
      <w:r w:rsidRPr="005E779E">
        <w:rPr>
          <w:rFonts w:ascii="Times New Roman" w:hAnsi="Times New Roman"/>
          <w:color w:val="000000" w:themeColor="text1"/>
          <w:sz w:val="16"/>
          <w:szCs w:val="16"/>
        </w:rPr>
        <w:softHyphen/>
        <w:t>венного усиления стрелковых (в обороне) и броневых (в на</w:t>
      </w:r>
      <w:r w:rsidRPr="005E779E">
        <w:rPr>
          <w:rFonts w:ascii="Times New Roman" w:hAnsi="Times New Roman"/>
          <w:color w:val="000000" w:themeColor="text1"/>
          <w:sz w:val="16"/>
          <w:szCs w:val="16"/>
        </w:rPr>
        <w:softHyphen/>
        <w:t>ступлении) сил республики...» - делился своими впечатле</w:t>
      </w:r>
      <w:r w:rsidRPr="005E779E">
        <w:rPr>
          <w:rFonts w:ascii="Times New Roman" w:hAnsi="Times New Roman"/>
          <w:color w:val="000000" w:themeColor="text1"/>
          <w:sz w:val="16"/>
          <w:szCs w:val="16"/>
        </w:rPr>
        <w:softHyphen/>
        <w:t>ниями после демонстрации Т-35 представитель УММ В. Перельман в письме на имя К. Ворошилова. Однако испытания танка «на ходу» принесли много не</w:t>
      </w:r>
      <w:r w:rsidRPr="005E779E">
        <w:rPr>
          <w:rFonts w:ascii="Times New Roman" w:hAnsi="Times New Roman"/>
          <w:color w:val="000000" w:themeColor="text1"/>
          <w:sz w:val="16"/>
          <w:szCs w:val="16"/>
        </w:rPr>
        <w:softHyphen/>
        <w:t>приятных неожиданностей. Хоть в управлении танк ока</w:t>
      </w:r>
      <w:r w:rsidRPr="005E779E">
        <w:rPr>
          <w:rFonts w:ascii="Times New Roman" w:hAnsi="Times New Roman"/>
          <w:color w:val="000000" w:themeColor="text1"/>
          <w:sz w:val="16"/>
          <w:szCs w:val="16"/>
        </w:rPr>
        <w:softHyphen/>
        <w:t>зался чрезвычайно легким даже на пересеченной местнос</w:t>
      </w:r>
      <w:r w:rsidRPr="005E779E">
        <w:rPr>
          <w:rFonts w:ascii="Times New Roman" w:hAnsi="Times New Roman"/>
          <w:color w:val="000000" w:themeColor="text1"/>
          <w:sz w:val="16"/>
          <w:szCs w:val="16"/>
        </w:rPr>
        <w:softHyphen/>
        <w:t>ти, но постоянно отказывала система пневмоуправления, перегревался двигатель, подтекала топливная система, не работало 76-мм орудие ПС-3. Танк ремонтировался, дора</w:t>
      </w:r>
      <w:r w:rsidRPr="005E779E">
        <w:rPr>
          <w:rFonts w:ascii="Times New Roman" w:hAnsi="Times New Roman"/>
          <w:color w:val="000000" w:themeColor="text1"/>
          <w:sz w:val="16"/>
          <w:szCs w:val="16"/>
        </w:rPr>
        <w:softHyphen/>
        <w:t>батывался, потом вновь «учился ходить». Итогом осенних испытаний 1932 г. стало то, что на системе управления по типу ТГ был поставлен крест, а также приняли решение по установке более мощного двигателя водяного охлаждения, «как обеспечивающего более надежную работу в малом забро</w:t>
      </w:r>
      <w:r w:rsidRPr="005E779E">
        <w:rPr>
          <w:rFonts w:ascii="Times New Roman" w:hAnsi="Times New Roman"/>
          <w:color w:val="000000" w:themeColor="text1"/>
          <w:sz w:val="16"/>
          <w:szCs w:val="16"/>
        </w:rPr>
        <w:softHyphen/>
        <w:t>нированном объеме. Тогда же отказались от установки на танк полусферической штампованной башни и переходе на клепано-сварную цилиндрическую как более приспособ</w:t>
      </w:r>
      <w:r w:rsidRPr="005E779E">
        <w:rPr>
          <w:rFonts w:ascii="Times New Roman" w:hAnsi="Times New Roman"/>
          <w:color w:val="000000" w:themeColor="text1"/>
          <w:sz w:val="16"/>
          <w:szCs w:val="16"/>
        </w:rPr>
        <w:softHyphen/>
        <w:t>ленную к серийному производству (10733,261).</w:t>
      </w:r>
    </w:p>
    <w:p w14:paraId="538B260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3FFCA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1931 года все дальнейшие работы по колес</w:t>
      </w:r>
      <w:r w:rsidRPr="005E779E">
        <w:rPr>
          <w:rFonts w:ascii="Times New Roman" w:hAnsi="Times New Roman"/>
          <w:color w:val="000000" w:themeColor="text1"/>
          <w:sz w:val="16"/>
          <w:szCs w:val="16"/>
        </w:rPr>
        <w:softHyphen/>
        <w:t>ным танкеткам прекратили. Обе машины передали на воен</w:t>
      </w:r>
      <w:r w:rsidRPr="005E779E">
        <w:rPr>
          <w:rFonts w:ascii="Times New Roman" w:hAnsi="Times New Roman"/>
          <w:color w:val="000000" w:themeColor="text1"/>
          <w:sz w:val="16"/>
          <w:szCs w:val="16"/>
        </w:rPr>
        <w:softHyphen/>
        <w:t>ный склад № 37 в Москве, а позднее их разбронировали (11284).</w:t>
      </w:r>
    </w:p>
    <w:p w14:paraId="5DCC0EB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5CAA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1931 проходил испытания ба БАД-1, разработанный ТО ЭКО ПП ОГПУ ЛВО в 1931 на базе Форд А. Передали в Управление Погранохраны ПП ОГПУ в ЛВО (9527,306).</w:t>
      </w:r>
    </w:p>
    <w:p w14:paraId="1611D9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5DEAC5A" w14:textId="77777777" w:rsidR="001A30FC" w:rsidRPr="005E779E" w:rsidRDefault="001A30F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 декабре 1931 года в конструкцию бронемотовагона Д-2 кнструкции Дыренкова внесли ряд существенных изменений, значительно повышающих его боеспособность. По сравнению с опытным Д-2 во вновь разработанном проекте была изменена конструкция орудийных и панорамных башен, командирской рубки и частично корпуса, артиллерийское вооружение планировалось из 7б,2-мм пушки образца 1902 года на типовых тумбовых бронепоездных установках, предусмотрена установка постов управления огнем, внутренней телефонной связи, радиостанции, а также возможность перевода на железнодорожную колею 1435 мм. В качестве силовой установки предполагалось использовать автомобильный двигатель «Геркулес» с коробкой перемены передач Д-35 конструкции Дыренкова.</w:t>
      </w:r>
    </w:p>
    <w:p w14:paraId="0A86C8B9" w14:textId="77777777" w:rsidR="001A30FC" w:rsidRPr="005E779E" w:rsidRDefault="001A30F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Разработанный вариант мотоброневагона под тем же обозначением Д-2 представили наркому обороны СССР К Ворошилову, который к этому времени уже было ознакомлен с результатами испытаний опытных образцов Д-2 и Д-3 (15624).</w:t>
      </w:r>
    </w:p>
    <w:p w14:paraId="6FCF1461" w14:textId="77777777" w:rsidR="001A30FC" w:rsidRPr="005E779E" w:rsidRDefault="001A30FC" w:rsidP="000B7A6C">
      <w:pPr>
        <w:spacing w:after="0" w:line="240" w:lineRule="auto"/>
        <w:jc w:val="both"/>
        <w:rPr>
          <w:rFonts w:ascii="Times New Roman" w:hAnsi="Times New Roman"/>
          <w:color w:val="000000" w:themeColor="text1"/>
          <w:sz w:val="16"/>
          <w:szCs w:val="16"/>
        </w:rPr>
      </w:pPr>
    </w:p>
    <w:p w14:paraId="509F62AC" w14:textId="77777777" w:rsidR="00E3153B" w:rsidRPr="005E779E" w:rsidRDefault="00E3153B" w:rsidP="000B7A6C">
      <w:pPr>
        <w:spacing w:after="0" w:line="240" w:lineRule="auto"/>
        <w:jc w:val="both"/>
        <w:rPr>
          <w:rFonts w:ascii="Times New Roman" w:hAnsi="Times New Roman"/>
          <w:color w:val="000000" w:themeColor="text1"/>
          <w:sz w:val="16"/>
          <w:szCs w:val="16"/>
          <w:lang w:eastAsia="ru-RU" w:bidi="ru-RU"/>
        </w:rPr>
      </w:pPr>
      <w:r w:rsidRPr="005E779E">
        <w:rPr>
          <w:rFonts w:ascii="Times New Roman" w:hAnsi="Times New Roman"/>
          <w:color w:val="000000" w:themeColor="text1"/>
          <w:sz w:val="16"/>
          <w:szCs w:val="16"/>
          <w:lang w:eastAsia="ru-RU" w:bidi="ru-RU"/>
        </w:rPr>
        <w:t xml:space="preserve">В ноябре 1931 г. на ХПЗ были готовы два опытных образца тягача «Коминтерн». </w:t>
      </w:r>
    </w:p>
    <w:p w14:paraId="0D994185" w14:textId="77777777" w:rsidR="00E3153B" w:rsidRPr="005E779E" w:rsidRDefault="00E3153B" w:rsidP="000B7A6C">
      <w:pPr>
        <w:spacing w:after="0" w:line="240" w:lineRule="auto"/>
        <w:jc w:val="both"/>
        <w:rPr>
          <w:rFonts w:ascii="Times New Roman" w:hAnsi="Times New Roman"/>
          <w:color w:val="000000" w:themeColor="text1"/>
          <w:sz w:val="16"/>
          <w:szCs w:val="16"/>
          <w:lang w:eastAsia="ru-RU" w:bidi="ru-RU"/>
        </w:rPr>
      </w:pPr>
      <w:r w:rsidRPr="005E779E">
        <w:rPr>
          <w:rFonts w:ascii="Times New Roman" w:hAnsi="Times New Roman"/>
          <w:color w:val="000000" w:themeColor="text1"/>
          <w:sz w:val="16"/>
          <w:szCs w:val="16"/>
          <w:lang w:eastAsia="ru-RU" w:bidi="ru-RU"/>
        </w:rPr>
        <w:t>Проектирование этой машины ХПЗ осуществлял по заказу Главного артиллерийского управления с 1930 г. Конструкторский коллектив возглавил Борис Воронков. Для тягача соз</w:t>
      </w:r>
      <w:r w:rsidRPr="005E779E">
        <w:rPr>
          <w:rFonts w:ascii="Times New Roman" w:hAnsi="Times New Roman"/>
          <w:color w:val="000000" w:themeColor="text1"/>
          <w:sz w:val="16"/>
          <w:szCs w:val="16"/>
          <w:lang w:eastAsia="ru-RU" w:bidi="ru-RU"/>
        </w:rPr>
        <w:softHyphen/>
        <w:t>дали специальный четырехцилиндровый карбюраторный двигатель — на</w:t>
      </w:r>
      <w:r w:rsidRPr="005E779E">
        <w:rPr>
          <w:rFonts w:ascii="Times New Roman" w:hAnsi="Times New Roman"/>
          <w:color w:val="000000" w:themeColor="text1"/>
          <w:sz w:val="16"/>
          <w:szCs w:val="16"/>
          <w:lang w:eastAsia="ru-RU" w:bidi="ru-RU"/>
        </w:rPr>
        <w:softHyphen/>
        <w:t>дежный и неприхотливый, способный работать на низкосортном горючем. При собственной массе 10,5 т «Коминтерн» мог буксировать орудия (или другие прицепы) массой до 12 т. Кроме того, в кузове тягач мог перевозить 2 т груза (или 12 человек расчета орудия).</w:t>
      </w:r>
    </w:p>
    <w:p w14:paraId="4B734769" w14:textId="77777777" w:rsidR="00E3153B" w:rsidRPr="005E779E" w:rsidRDefault="00E315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По итогам ис</w:t>
      </w:r>
      <w:r w:rsidRPr="005E779E">
        <w:rPr>
          <w:rFonts w:ascii="Times New Roman" w:hAnsi="Times New Roman"/>
          <w:color w:val="000000" w:themeColor="text1"/>
          <w:sz w:val="16"/>
          <w:szCs w:val="16"/>
          <w:lang w:eastAsia="ru-RU" w:bidi="ru-RU"/>
        </w:rPr>
        <w:softHyphen/>
        <w:t>пытаний «Коминтерн» в 1933 г. был принят на вооружение. На следующий год ХПЗ изготовил первую партию тягачей (50 экземпляров), а с 1935 г. началось массовое производство. До 1940 г. завод выпустил 1798 машин. «Коминтерн» стал первым советским специально спроектированным ар</w:t>
      </w:r>
      <w:r w:rsidRPr="005E779E">
        <w:rPr>
          <w:rFonts w:ascii="Times New Roman" w:hAnsi="Times New Roman"/>
          <w:color w:val="000000" w:themeColor="text1"/>
          <w:sz w:val="16"/>
          <w:szCs w:val="16"/>
          <w:lang w:eastAsia="ru-RU" w:bidi="ru-RU"/>
        </w:rPr>
        <w:softHyphen/>
        <w:t>тиллерийским тягачом. Он применялся для буксировки тяжелых систем корпусной артиллерии — главным образом, 152-мм пушек (23180).</w:t>
      </w:r>
    </w:p>
    <w:p w14:paraId="2087548C" w14:textId="77777777" w:rsidR="00E3153B" w:rsidRPr="005E779E" w:rsidRDefault="00E3153B" w:rsidP="000B7A6C">
      <w:pPr>
        <w:spacing w:after="0" w:line="240" w:lineRule="auto"/>
        <w:jc w:val="both"/>
        <w:rPr>
          <w:rFonts w:ascii="Times New Roman" w:hAnsi="Times New Roman"/>
          <w:color w:val="000000" w:themeColor="text1"/>
          <w:sz w:val="16"/>
          <w:szCs w:val="16"/>
        </w:rPr>
      </w:pPr>
    </w:p>
    <w:p w14:paraId="02C34AB1" w14:textId="77777777" w:rsidR="00E3153B" w:rsidRPr="005E779E" w:rsidRDefault="00E315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1931 изготавливается разработанный в институте трехосный автомобиль повышенной про</w:t>
      </w:r>
      <w:r w:rsidRPr="005E779E">
        <w:rPr>
          <w:rFonts w:ascii="Times New Roman" w:hAnsi="Times New Roman"/>
          <w:color w:val="000000" w:themeColor="text1"/>
          <w:sz w:val="16"/>
          <w:szCs w:val="16"/>
        </w:rPr>
        <w:softHyphen/>
        <w:t>ходимости Я-НАТИ-10 (Я-НАТИ-Х) грузоподъемнос</w:t>
      </w:r>
      <w:r w:rsidRPr="005E779E">
        <w:rPr>
          <w:rFonts w:ascii="Times New Roman" w:hAnsi="Times New Roman"/>
          <w:color w:val="000000" w:themeColor="text1"/>
          <w:sz w:val="16"/>
          <w:szCs w:val="16"/>
        </w:rPr>
        <w:softHyphen/>
        <w:t>тью 8 т. При его проектировании широко использова</w:t>
      </w:r>
      <w:r w:rsidRPr="005E779E">
        <w:rPr>
          <w:rFonts w:ascii="Times New Roman" w:hAnsi="Times New Roman"/>
          <w:color w:val="000000" w:themeColor="text1"/>
          <w:sz w:val="16"/>
          <w:szCs w:val="16"/>
        </w:rPr>
        <w:softHyphen/>
        <w:t>ли узлы и агрегаты серийно выпускаемых автомо</w:t>
      </w:r>
      <w:r w:rsidRPr="005E779E">
        <w:rPr>
          <w:rFonts w:ascii="Times New Roman" w:hAnsi="Times New Roman"/>
          <w:color w:val="000000" w:themeColor="text1"/>
          <w:sz w:val="16"/>
          <w:szCs w:val="16"/>
        </w:rPr>
        <w:softHyphen/>
        <w:t>билей. Радиатор, капот, переднюю ось, руль, каби</w:t>
      </w:r>
      <w:r w:rsidRPr="005E779E">
        <w:rPr>
          <w:rFonts w:ascii="Times New Roman" w:hAnsi="Times New Roman"/>
          <w:color w:val="000000" w:themeColor="text1"/>
          <w:sz w:val="16"/>
          <w:szCs w:val="16"/>
        </w:rPr>
        <w:softHyphen/>
        <w:t>ну, бензиновый бак, крылья и подножки, но, главное, двигатель позаимствовали со стандартного пятитонного грузовика ЯГ-5.</w:t>
      </w:r>
    </w:p>
    <w:p w14:paraId="191514E3" w14:textId="77777777" w:rsidR="00E3153B" w:rsidRPr="005E779E" w:rsidRDefault="00E3153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Наиболее интересной частью конструкции автомобиля являлась задняя двухосная тележка. Тележка эта была устроена так, что каждое из колес могло независимо от других преодолеть препятствия высотой до 45 см. Такая подвижность позволяла трехоске проходить по дорогам, непреодолимым для двухосных машин. Двойная шестеренчатая главная передача по сравнению с червячными редукторами большинства заграничных автомобилей давала более высокий коэффициент полезного действия, простоту монтажа, меньший износ и возможность изготовления почти на каждом ремонтном или машиностроительном заводе (22518)</w:t>
      </w:r>
    </w:p>
    <w:p w14:paraId="58CEFEDD" w14:textId="77777777" w:rsidR="00E3153B" w:rsidRPr="005E779E" w:rsidRDefault="00E3153B" w:rsidP="000B7A6C">
      <w:pPr>
        <w:spacing w:after="0" w:line="240" w:lineRule="auto"/>
        <w:jc w:val="both"/>
        <w:rPr>
          <w:rFonts w:ascii="Times New Roman" w:hAnsi="Times New Roman"/>
          <w:color w:val="000000" w:themeColor="text1"/>
          <w:sz w:val="16"/>
          <w:szCs w:val="16"/>
        </w:rPr>
      </w:pPr>
    </w:p>
    <w:p w14:paraId="764DCF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ноября 1931 г. на смену АМО-2 (их собрано 1715 штук) пришли грузовики АМО-3, целиком изготовленные у нас в стране. От АМО-2 они отличались отдельными элементами конструкции. Среди них - модернизированный задний мост, форма передних крыльев, размеры боковых бортов грузовой платформы, батарейное зажигание (вместо магнето), форма кронштейнов фар. Разумеется, пришлось пересмотреть многие размеры, допуски на них, а главное, перевести все размеры из дюймов в миллиметры. Эту кропотливую и невидную работу главный конструктор завода АМО Е. И. Важинский и другие инженеры выполнили быстро и хорошо. Изменили материалы, термообработку, конфигурацию некоторых деталей. Но несмотря на мелкие усовершенствования, машина оказалась перетяжеленной, а многие узлы неравнопрочными. Что было хорошо в 1928 г. для американских условий эксплуатации, оказалось малоприемлемым для наших уже в 1931 г. Однако несмотря на необходимость ревизии отдельных инженерных решений, АМО-2 и АМО-3 в нашем автомобилестроении сыграли роль пионеров. В 1930-1931 гг. они явились первыми отечественными моделями, снабженными гидравлическим приводом тормозов, батарейной системой зажигания, ди-афрагенным бензонасосом, приводимым от коробки передач компрессором для накачки шин. Оценивая конструкцию с позиций современного развития автомобильной техники, мы вряд ли обратим внимание на то, что АМО-3 имел тормоза на всех четырех колесах. Первым среди отечественных моделей! Да и немалое количество зарубежных грузовиков того времени еще обходилось тормозами только задних колес. Надо сказать, что все эти новинки, непривычные тогда для наших автомобилистов, не остались техническим курьезом. Большая их часть получила дальнейшее развитие (12098).</w:t>
      </w:r>
    </w:p>
    <w:p w14:paraId="222855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072DA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1931 г. был основан Егоршинский радиозавод (ГС завод № 626 НКЭП, Егоршинский радиозавод НКЭП, Свердловский радиозавод, Свердловский завод автоматики /г. Егоршино Свердловской обл./). В 1941 г. после начала войны на площадку Егоршинского радиозавода НКЭП был эвакуирован Киевский радиозавод НКЭП. По пр. НКЭП № 264с от 5.09.1941 г. на базе Киевского и Егоршинского заводов организован объединенный ГС завод № 625 в ведении Главрадиопрома НКЭП.</w:t>
      </w:r>
    </w:p>
    <w:p w14:paraId="5122F0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Выпускал танковые переговорные устройства. В 1946 г. завод получил оборудование, вывезенное из Германии, которое было размещено на новой площадке Дома промышленности. Новое производство вступило в строй 4.04.1946 г. Освоено производство самолетных и танковых переговорных устройств, приемных буквопечатающих аппаратов, измерителей помех, бытовой радиоаппаратуры (репродукторов, радиоприемников, радиол «Урал»).</w:t>
      </w:r>
    </w:p>
    <w:p w14:paraId="447A9D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1952 г. при заводе организовано СКБ-626, в 1953 г. СКБ и завод преобразованы в НИИ-592 с опытным заводом. В 1965 г. опытный завод получил название Свердловский завод автоматики.</w:t>
      </w:r>
    </w:p>
    <w:p w14:paraId="2F0047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СКБ-626 /г. Свердловск/</w:t>
      </w:r>
    </w:p>
    <w:p w14:paraId="38B556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СКБ-626 создано в 1952 г. для разработки и изготовления систем управления для БРТ, ОТРК и БРПЛ. Из СКБ- 385 сюда переведена группа конструкторов, в т.ч. Н.А. Семихатов.</w:t>
      </w:r>
    </w:p>
    <w:p w14:paraId="1FC2E3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1953(6) г. СКБ и завод преобразованы в НИИ-592 с опытным заводом.</w:t>
      </w:r>
    </w:p>
    <w:p w14:paraId="12A92D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конструктор (1953 г.)- Н.А. Семихатов.</w:t>
      </w:r>
    </w:p>
    <w:p w14:paraId="7F39AF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инженер (1953 г.)- Н.А. Семихатов.</w:t>
      </w:r>
    </w:p>
    <w:p w14:paraId="631113CF" w14:textId="502C1231"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Егоршинский радиозавод (ЕРЗ), Р-6693, ОАО «ЕРЗ» /623750 (623782)</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Артемовский Свердловской обл. ул. Заводская, 40 тел. 33-086/</w:t>
      </w:r>
    </w:p>
    <w:p w14:paraId="2131C6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ЕРЗ имел наименование «п/я Р-6693».</w:t>
      </w:r>
    </w:p>
    <w:p w14:paraId="0D9E3E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0AC7BB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Гендиректор- И. Губанов, (2002 г.)- В. Одесских, (2009 г.)- В. Елькин.</w:t>
      </w:r>
    </w:p>
    <w:p w14:paraId="2B7E6B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финансовый (-2007-08 г.-)- А. Собакин.</w:t>
      </w:r>
    </w:p>
    <w:p w14:paraId="2BEBBD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Производство: комплекс средств радиосвязи «Акватория» (2002); радиостанции: </w:t>
      </w:r>
      <w:r w:rsidRPr="005E779E">
        <w:rPr>
          <w:rFonts w:ascii="Times New Roman" w:hAnsi="Times New Roman"/>
          <w:color w:val="000000" w:themeColor="text1"/>
          <w:sz w:val="16"/>
          <w:szCs w:val="16"/>
          <w:lang w:val="en-US"/>
        </w:rPr>
        <w:t>KB</w:t>
      </w:r>
      <w:r w:rsidRPr="005E779E">
        <w:rPr>
          <w:rFonts w:ascii="Times New Roman" w:hAnsi="Times New Roman"/>
          <w:color w:val="000000" w:themeColor="text1"/>
          <w:sz w:val="16"/>
          <w:szCs w:val="16"/>
        </w:rPr>
        <w:t xml:space="preserve"> «Ангара-1», «Ангара РП», 17Р10 «Ангара РБ» (2002); УКВ «Спрут» (2002); «Ласточка»; РТ-20У, РТ-50; радиоустановка «Баркас» (2002);</w:t>
      </w:r>
      <w:r w:rsidRPr="005E779E">
        <w:rPr>
          <w:rFonts w:ascii="Times New Roman" w:hAnsi="Times New Roman"/>
          <w:color w:val="000000" w:themeColor="text1"/>
          <w:sz w:val="16"/>
          <w:szCs w:val="16"/>
          <w:vertAlign w:val="superscript"/>
        </w:rPr>
        <w:t>69</w:t>
      </w:r>
      <w:r w:rsidRPr="005E779E">
        <w:rPr>
          <w:rFonts w:ascii="Times New Roman" w:hAnsi="Times New Roman"/>
          <w:color w:val="000000" w:themeColor="text1"/>
          <w:sz w:val="16"/>
          <w:szCs w:val="16"/>
        </w:rPr>
        <w:t xml:space="preserve"> передвижной пункт управления на базе автомобиля «Баргузин» (2003); телевизор «Аметист» 27ТЦ-5205.</w:t>
      </w:r>
    </w:p>
    <w:p w14:paraId="0DDDBB84" w14:textId="0BCD3A8B"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Союзный НИИ-592 ГКРЭ, НИИ автоматики (НИИА) </w:t>
      </w:r>
      <w:r w:rsidRPr="005E779E">
        <w:rPr>
          <w:rFonts w:ascii="Times New Roman" w:hAnsi="Times New Roman"/>
          <w:color w:val="000000" w:themeColor="text1"/>
          <w:sz w:val="16"/>
          <w:szCs w:val="16"/>
          <w:lang w:val="en-US"/>
        </w:rPr>
        <w:t>MOM</w:t>
      </w:r>
      <w:r w:rsidRPr="005E779E">
        <w:rPr>
          <w:rFonts w:ascii="Times New Roman" w:hAnsi="Times New Roman"/>
          <w:color w:val="000000" w:themeColor="text1"/>
          <w:sz w:val="16"/>
          <w:szCs w:val="16"/>
        </w:rPr>
        <w:t>, НПО автоматики (НПОА), ФГУП «НПОА им. академика Н.А. Семихатова» /620075</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Свердловск,</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Екатеринбург ул. Мамина-Сибиряка, 145 тел. 55-95-25/</w:t>
      </w:r>
    </w:p>
    <w:p w14:paraId="0E6F80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1953(6) г. СКБ-626 и завод № 626 преобразованы в Союзный НИИ-592 с опытным заводом. В 1965 г. НИИ- 592 ГКРЭ передано в ведение 4ГУ </w:t>
      </w:r>
      <w:r w:rsidRPr="005E779E">
        <w:rPr>
          <w:rFonts w:ascii="Times New Roman" w:hAnsi="Times New Roman"/>
          <w:color w:val="000000" w:themeColor="text1"/>
          <w:sz w:val="16"/>
          <w:szCs w:val="16"/>
          <w:lang w:val="en-US"/>
        </w:rPr>
        <w:t>MOM</w:t>
      </w:r>
      <w:r w:rsidRPr="005E779E">
        <w:rPr>
          <w:rFonts w:ascii="Times New Roman" w:hAnsi="Times New Roman"/>
          <w:color w:val="000000" w:themeColor="text1"/>
          <w:sz w:val="16"/>
          <w:szCs w:val="16"/>
        </w:rPr>
        <w:t xml:space="preserve"> и по приказу от 6.03.1966 г. преобразовано в НИИА.</w:t>
      </w:r>
      <w:r w:rsidRPr="005E779E">
        <w:rPr>
          <w:rFonts w:ascii="Times New Roman" w:hAnsi="Times New Roman"/>
          <w:color w:val="000000" w:themeColor="text1"/>
          <w:sz w:val="16"/>
          <w:szCs w:val="16"/>
          <w:vertAlign w:val="superscript"/>
        </w:rPr>
        <w:t>77</w:t>
      </w:r>
      <w:r w:rsidRPr="005E779E">
        <w:rPr>
          <w:rFonts w:ascii="Times New Roman" w:hAnsi="Times New Roman"/>
          <w:color w:val="000000" w:themeColor="text1"/>
          <w:sz w:val="16"/>
          <w:szCs w:val="16"/>
        </w:rPr>
        <w:t xml:space="preserve"> В 1973(7) г. на базе института и Опытного завода создано НПОА.</w:t>
      </w:r>
    </w:p>
    <w:p w14:paraId="669FE9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Разработка и изготовление систем управления для БРПЛ, БРТ и ОТРК. В 1959 г. создана СУ для первого в мире РК для ПЛ. На ракете Р-29 впервые в мире реализована СУ с асгрокоррекцией и принципиально новыми способами автономного управления. На Р-29РМУ впервые в мире наряду с астрокоррекцией была введена коррекция траектории по космической системе ГЛОНАСС.</w:t>
      </w:r>
    </w:p>
    <w:p w14:paraId="1FD1EF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53CE5B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Имело филиалы (2002 г.): ОКБ «Автоматика», ГУП НПОА-РЦЭ, «Криптон».</w:t>
      </w:r>
    </w:p>
    <w:p w14:paraId="2E93CA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Работы (2002 г.): разработка и производство унифицированных малогабаритных прецизионных систем управления для РН, разгонных блоков, спускаемых аппаратов. Автоматизированные системы управления для теплэнергетики, нефтегазовой, металлургической, легкой промышленности, связи, транспорта.</w:t>
      </w:r>
    </w:p>
    <w:p w14:paraId="76DF1B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Численность персонала (2002 г.)- 3400 чел.</w:t>
      </w:r>
    </w:p>
    <w:p w14:paraId="68287A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конструктор (1953-92 г.)- академик (1990 г.) Н.А. Семихатов {10.12.1918-}, (-2002-04 г.-)- С.Ф. Дерюгин, (2005 г.)- Л.И. Шалимов.</w:t>
      </w:r>
    </w:p>
    <w:p w14:paraId="73EC71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Гендиректор (-2002-05 г.-)- Л.И. Шалимов.</w:t>
      </w:r>
    </w:p>
    <w:p w14:paraId="50DA4C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1-й зам гендиректора по науке (2002 г.)- С.Ф. Дерюгин. Зам. Гендиректора: по РКТ (-2002-06 г.-)- Л.Н. Вельский; по конверсии (2002 г.)- Н. Г. Манько; по экономике и финансам (2002 г.)- В.В. Микотин.</w:t>
      </w:r>
    </w:p>
    <w:p w14:paraId="61A3DA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инженер (1953 г.-)- Н.А. Семихатов, (2002 г.)- В.А. Костромин.</w:t>
      </w:r>
      <w:r w:rsidRPr="005E779E">
        <w:rPr>
          <w:rFonts w:ascii="Times New Roman" w:hAnsi="Times New Roman"/>
          <w:color w:val="000000" w:themeColor="text1"/>
          <w:sz w:val="16"/>
          <w:szCs w:val="16"/>
          <w:vertAlign w:val="superscript"/>
        </w:rPr>
        <w:t>69</w:t>
      </w:r>
    </w:p>
    <w:p w14:paraId="65F6A3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Создано: инерциальныс системы управления БРПЛ: Р-11ФМ, Р-13 (1950-е), Р-21, Р-27 комплекса Д-5 (1968), Р-29 комплекса Д-9 (пнв в 1974 г.), Р-29РМУ, Р-39 комплекса Д-19, «Булава-30»; БРТ: Р-17 «Скад» (1961); ОТРК: 8К14, «Темп-С» (1960-е).</w:t>
      </w:r>
      <w:r w:rsidRPr="005E779E">
        <w:rPr>
          <w:rFonts w:ascii="Times New Roman" w:hAnsi="Times New Roman"/>
          <w:color w:val="000000" w:themeColor="text1"/>
          <w:sz w:val="16"/>
          <w:szCs w:val="16"/>
          <w:vertAlign w:val="superscript"/>
        </w:rPr>
        <w:t>102</w:t>
      </w:r>
    </w:p>
    <w:p w14:paraId="41F30D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Производство: радиоприемники: «Москвич-В», «Искра», «Свердловск»; радиолы: «Урал-49, -50, -52», «Амур-2» (11982).</w:t>
      </w:r>
    </w:p>
    <w:p w14:paraId="246085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5E12B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1931 г., рассмотрев проект комплексного плана строительства ВМС РККА га 1932-35 гг, Комиссия обороны, ввиду нападения Японии на Китай и выхода японских войск к границам СССР, рекомендовала усилить оборону Дальнего Востока путем пе</w:t>
      </w:r>
      <w:r w:rsidRPr="005E779E">
        <w:rPr>
          <w:rFonts w:ascii="Times New Roman" w:hAnsi="Times New Roman"/>
          <w:color w:val="000000" w:themeColor="text1"/>
          <w:sz w:val="16"/>
          <w:szCs w:val="16"/>
        </w:rPr>
        <w:softHyphen/>
        <w:t>рераспределения кораблей и типов подводных лодок — строить большие, средние и малые лодки — 75, 75 и 20 единиц соответст</w:t>
      </w:r>
      <w:r w:rsidRPr="005E779E">
        <w:rPr>
          <w:rFonts w:ascii="Times New Roman" w:hAnsi="Times New Roman"/>
          <w:color w:val="000000" w:themeColor="text1"/>
          <w:sz w:val="16"/>
          <w:szCs w:val="16"/>
        </w:rPr>
        <w:softHyphen/>
        <w:t>венно. Намеченное на 1932 г. начало постройки двух крейсеров и модернизации линкора "Фрунзе" временно отложили до 1933— 1934 гг. (3898).</w:t>
      </w:r>
    </w:p>
    <w:p w14:paraId="4A41F0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EA418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1931 г. в беседе с начальником генштаба райхсвера генералом Адамом Ворошилов неоднократно подчеркивал, что «и здесь немецкая сторона могла бы шире поставить исследовательские работы, ввезти для испытания больше всяких средств и активных, и пассивных- &lt;„. &gt; В «Томке» есть возможность Вам заниматься опытной работой, как нигде в Европе. Давайте и Вы, и мы этим пользоваться. Мы даем Вам необходимые условия и просим взамен также конкретную материальную компенсацию» (РГВА, ф. 33987, оп. 3, 375, л. 32.) (11784).</w:t>
      </w:r>
    </w:p>
    <w:p w14:paraId="5859C7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7407F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1931 г. Решением ВСНХ СССР Контора по проектированию речных и морских судов "Речсудопроект" преобразована в Проектное бюро металлических судов речного, внутреннего морского и озерного флотов "Речсудопроект". В марте 1934 г. разделено на Сормовское государственное всесоюзное проектно-конструкторское бюро речного судостроения "Речсудопроект" (Сормовский "Речсудопроект") и Проектное бюро "Горьковский Речсудопроект". В апреле 1938 г. Проектная контора "Горьковский Речсудопроект" и Сормовский "Речсудопроект" объединены в Государственное всесоюзное проектное бюро по проектированию речных и морских судов "Горьковский Речсудопроект", переименованное в сентябре 1939 г. в Центральное конструкторское бюро (ЦКБ). Приказом Наркомата судостроительной промышленности СССР от 7 октября 1939 г. переименовано в Государственное союзное центральное конструкторское бюро N 51 (ЦКБ -51). Приказом Министерства судостроительной промышленности СССР от 31 января 1966 г. переименовано в Центральное конструкторское бюро "Волгобалтсудопроект" (ЦКБ "Волгобалтсудопроект"), приказом министерства от 6 июля 1972 г. - в Центральное конструкторское бюро "Вымпел" (ЦКБ "Вымпел"). Указом Президиума Верховного Совета СССР от 25 октября 1977 г. награждено орденом Трудового Красного Знамени (12102).</w:t>
      </w:r>
    </w:p>
    <w:p w14:paraId="50594BB5" w14:textId="77777777" w:rsidR="00497B38" w:rsidRPr="005E779E" w:rsidRDefault="00497B38"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CBA463C"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6125195A"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74A7C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1931 г. в ходе визита в СССР нового начальника генштаба райхсвера генерала В. Адама Ворошилов, как и в беседе с Хаммерштайном в 1929 г., вновь жаловался на отсутствие в Липецке более современной техники. Он говорил Адаму: «Мне известно, что в Германии уже есть моторы, работающие на тяжелом топливе, новые высотные измерительные приспособления, пушки и пулеметные установки на самолетах, усовершенствованные средства связи между самолетами и землей, высококачественная специальная аппаратура и т. п. » Дабы сильней заинтересовать немцев, он поставил на повестку дня такие совместные работы как бомбометание и фотографирование с больших высот, стрельбы из крупнокалиберных пулеметов на различных высотах по земле и по воздушному противнику, использование осветительной службы при ночных полетах и т. д. Адам же, сославшись на ограниченность финансовых средств, признал справедливость упреков и пообещал... камеру-панораму со многими объективами, изготовленную на фирме «К. Цайсс», а также крупнокалиберные пулеметы. На ту же тему разговаривал с Адамом 10 ноября 1931 г. и заместитель Ворошилова Тухачевский (РГВА, ф. 33987, оп. 3, д. 375, л. 22-40,162-163.). В своей работе в Липецке немецкие военные исходили, безусловно, в первую очередь из собственных утилитарных интересов. Под руководством офицеров управления вооружений райхсвера и с привлечением технических специалистов соответствующих германских фирм-производителей в Липецке с 1927 г. проводились довольно интенсивные испытания новых боевых самолетов, авиационного оборудования и вооружения. Это позволило немцам подготовить там несколько (шесть — семь) типов самолетов, которые успешно прошли все испытания, считались годными для серийного производства и условно были приняты на вооружение райхсвера. Конкретно речь шла об истребителях, а также о самолетах-разведчиках ближнего и дальнего (их можно было использовать в качестве легких бомбардировщиков) радиусов действий. Немецкий исследователь О. Грелер считает, что в Липецке прошли испытания следующие типы самолетов: Хе-45, Хе-46, Хе-51, «Арадо 64-65», «Юнкере К-47», До-11 (Groehler Olaf. Op. cit. S. 45.). По-настоящему интерес к научно-техническому опыту и испытательным работам немцев в Липецке у советской стороны проснулся где-то на рубеже 1927 — 1928 гг. Она организовала там небольшие рабочие группы из своих летчиков и инженеров-самолетостроителей, которые теперь уже на постоянной основе подробно знакомились с работами германских специалистов. Появились там и ведущие специалисты ЦАГИ (Центральный аэрогидродинамический институт). Они участвовали во всех технических испытаниях немцев вплоть до 1933 г., причем советские летчики испытывали немецкие самолеты в воздухе. Советская сторона в 1930 — 1932гг. также устраивала показ своей авиационной техники и вооружений (например, авиационный пулемет Дегтярева в июле 1930 г. ), но лишь в сентябре 1931 г. в Тушине под Москвой была устроена широкая демонстрация советской авиатехники. Правда, по мнению немецких участников (Ф. Фельми, Х. Шпайдель, К. Друм, В. Виммер), это были в основном устаревшие модели. И хотя советские авиаконструкторы занимались разработкой новых типов самолетов (например, АНТ-14, АНТ-20, ТБ-1, ТБ-3, ТБ-4), немцам их старались не показывать. Причиной было очевидное нежелание демонстрировать то, что прогресс в советском авиастроении достигался во многом за счет элементарного освоения и тиражирования достижений иностранной, в том числе немецкой, технической мысли, хотя в этом, конечно, нет ничего предосудительного. В октябре 1932 г. «испытательный» период в Липецке закончился, в 1933 г. там проходили обучение лишь молодые немецкие летчики. Итоговую картину относительно подготовки летного и технического состава для советских ВВС в Липецке составить сложно, хотя можно однозначно сказать, что научились у немцев в авиационном деле многому. Достаточно упомянуть, что советские летчики обучались на основе наставлений и инструкций, разработанных в Липецке. В декабре 1932 г. Фельми передал Меженинову около десятка наставлений по ведению боевых действий в воздухе. Что касается немцев, то всего в период с 1925 по 1933 г. в Липецке прошел подготовку более 120 немецких боевых летчиков и около 100 летчиков-наблюдателей (всего порядка 270 человек), причем последний выпуск был осуществлен летом 1933 г. Кроме того, примерно 220 — 230 летчиков-истребителей и летчиков-наблюдателей было подготовлено в самой Германии на основе уникального опыта, приобретенного в авиационной школе Липецка. Таким образом, по свидетельству немецкого генерала X. Шпайделя, к 1933 г. благодаря Липецку было подготовлено около 450 немецких летчиков различной квалификации (Helm Speidel. Op. cit. S. 29, 30, 44; Manfred Zeidler. Op. cit.с 179—181.). Некоторые из них стали настоящими асами и прославились в годы второй мировой войны, действуя в том числе и на германо-советском фронте. Генералами «люфтваффе» стали прошедшие обучение в Липецкой школе X. Шпайдель, К. Штудент, X. Ешонек, В. Виммер, Э. Кваде, Г. Кастнер, О. Деслох и др. (11784).</w:t>
      </w:r>
    </w:p>
    <w:p w14:paraId="2F901B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67AC7F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 ноябре 1931 г. переговоры К. Во</w:t>
      </w:r>
      <w:r w:rsidRPr="005E779E">
        <w:rPr>
          <w:rFonts w:ascii="Times New Roman" w:hAnsi="Times New Roman"/>
          <w:color w:val="000000" w:themeColor="text1"/>
          <w:sz w:val="16"/>
          <w:szCs w:val="16"/>
        </w:rPr>
        <w:softHyphen/>
        <w:t>рошилова с генералом Адамом показали, что последний стоит на позиции вспомогательной роли танков в грядущей войне и потому в 1932 г. новых типов немецких танков ожи</w:t>
      </w:r>
      <w:r w:rsidRPr="005E779E">
        <w:rPr>
          <w:rFonts w:ascii="Times New Roman" w:hAnsi="Times New Roman"/>
          <w:color w:val="000000" w:themeColor="text1"/>
          <w:sz w:val="16"/>
          <w:szCs w:val="16"/>
        </w:rPr>
        <w:softHyphen/>
        <w:t>дать не приходилось. Более того, в марте 1932 г. немецкое руководство попросило доставить в «Каму» закупленные СССР в Великобритании и САСШ танки «Виккерс» и «Кристи» для их совместного изучения (10733,126).</w:t>
      </w:r>
    </w:p>
    <w:p w14:paraId="6F558AB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B6AB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1931 г. начальник генштаба райхсвера генерал Адам в ходе своего визита в СССР благодарил Ворошилова за разведматериалы по Польше и просил «способствовать их получению и в дальнейшем», высоко оценив качество переданных советской разведкой материалов. Ворошилов обещал «продолжить взаимный обмен, так как нет оснований к пересмотру существующих в этом деле решений». Он заверил, что «все наиболее ценное и важное передается немецкой стороне». Можно предположить, что обмен разведданными продолжался, — как и все активное военное сотрудничество между СССР и Германией, — вплоть до середины 1933 г. Своеобразным гарантом этого было то, что главнокомандующим райхсвера вплоть до конца января 1934 г. был сторонник «восточной ориентации» Германии Хаммерштайн, и поддерживавший эту же линию генерал Шляйхер, военный министр в кабинете Палена (июнь — декабрь 1932 г. ) и затем последний канцлер Германии накануне прихода к власти Гитлера (11784).</w:t>
      </w:r>
    </w:p>
    <w:p w14:paraId="5DD2A9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5CEDB17" w14:textId="77777777" w:rsidR="006813D3" w:rsidRPr="005E779E" w:rsidRDefault="006813D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1931 г. в СССР с официальным визитом прибыл новый начальник штаба райхсвера генерал Адам. Он сменил в 1930 г. генерал-полковника Хаммерштайна. Хаммерштайн стал главнокомандующим райхсвера и находился на это посту почти четыре года до конца января 1934 г. Адама сопровождали подполковник Э. фон Манштайн (Манштейн) и капитан Хофмайстер. Адам посетил в Москве Военную Академию, школу ВЦИК, военную школу им. Каменева в Харькове, ряд войсковых подразделений РККА (кавалерийский и танковый полки), харьковскую воздушную бригаду, моторизованный разведотряд в Киеве, к осмотру которого он проявил повышенный интерес. 9 ноября 1932 г. он вел переговоры с высшим военным руководством СССР. В связи с начавшимися к тому времени переговорами СССР с Францией и предполагавшимися переговорами с Польшей, а также предстоявшей Всеобщей конференцией по разоружению в Женеве в начале 1932 г. стороны много внимания уделили этим международным проблемам. Немцы были обеспокоены франко-советскими переговорами и тем фактом, что переговоры между СССР и Польшей начнутся «под давлением Франции».</w:t>
      </w:r>
    </w:p>
    <w:p w14:paraId="1BB7FF50" w14:textId="77777777" w:rsidR="006813D3" w:rsidRPr="005E779E" w:rsidRDefault="006813D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армии было бы очень неприятно, если бы при этих переговорах с Польшей были бы подтверждены наши существующие границы, которые мы не можем признать за Польшей», — заявил Ворошилову Адам.</w:t>
      </w:r>
    </w:p>
    <w:p w14:paraId="7CCA6093" w14:textId="77777777" w:rsidR="006813D3" w:rsidRPr="005E779E" w:rsidRDefault="006813D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Ворошилов принялся уверять немецкого генерала в советско-германской дружбе. Он говорил, что «в переговорах с Францией нет и не может быть ничего, направленного против Германии», что если с Польшей будут вестись переговоры по пакту о ненападении, то, во всяком случае, дальше этого, мол, дело не пойдет, и «разговоров о границах и вообще о Германии» с поляками не будет. В немецкой записи беседы, пересланной затем Дирксеном в германский МИД, констатируется, что, «по словам Ворошилова, переговоры с Польшей о заключении пакта о ненападении ведутся уже давно» (18265).</w:t>
      </w:r>
    </w:p>
    <w:p w14:paraId="7AE7D04C" w14:textId="77777777" w:rsidR="006813D3" w:rsidRPr="005E779E" w:rsidRDefault="006813D3" w:rsidP="000B7A6C">
      <w:pPr>
        <w:spacing w:after="0" w:line="240" w:lineRule="auto"/>
        <w:jc w:val="both"/>
        <w:rPr>
          <w:rFonts w:ascii="Times New Roman" w:hAnsi="Times New Roman"/>
          <w:color w:val="000000" w:themeColor="text1"/>
          <w:sz w:val="16"/>
          <w:szCs w:val="16"/>
        </w:rPr>
      </w:pPr>
    </w:p>
    <w:p w14:paraId="2A2EFF34" w14:textId="77777777" w:rsidR="006813D3" w:rsidRPr="005E779E" w:rsidRDefault="006813D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1931 г. в ходе визита в СССР нового начальника генштаба райхсвера генерала В. Адама Ворошилов, как и в беседе с Хаммерштайном в 1929 г., вновь жаловался на отсутствие в Липецке более современной техники. Он говорил Адаму:</w:t>
      </w:r>
    </w:p>
    <w:p w14:paraId="680130A6" w14:textId="77777777" w:rsidR="006813D3" w:rsidRPr="005E779E" w:rsidRDefault="006813D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«Мне известно, что в Германии уже есть моторы, работающие на тяжелом топливе, новые высотные измерительные приспособления, пушки и пулеметные установки на самолетах, усовершенствованные средства связи между самолетами и землей, высококачественная специальная аппаратура и т. п.»</w:t>
      </w:r>
    </w:p>
    <w:p w14:paraId="10B44A71" w14:textId="77777777" w:rsidR="006813D3" w:rsidRPr="005E779E" w:rsidRDefault="006813D3" w:rsidP="000B7A6C">
      <w:pPr>
        <w:spacing w:after="0" w:line="240" w:lineRule="auto"/>
        <w:jc w:val="both"/>
        <w:rPr>
          <w:rFonts w:ascii="Times New Roman" w:hAnsi="Times New Roman"/>
          <w:color w:val="000000" w:themeColor="text1"/>
          <w:sz w:val="16"/>
          <w:szCs w:val="16"/>
        </w:rPr>
      </w:pPr>
      <w:hyperlink r:id="rId216" w:anchor="n_314" w:history="1">
        <w:r w:rsidRPr="005E779E">
          <w:rPr>
            <w:rStyle w:val="a5"/>
            <w:rFonts w:ascii="Times New Roman" w:hAnsi="Times New Roman"/>
            <w:color w:val="000000" w:themeColor="text1"/>
            <w:sz w:val="16"/>
            <w:szCs w:val="16"/>
            <w:u w:val="none"/>
          </w:rPr>
          <w:t>Дабы сильней заинтересовать немцев, он поставил на повестку дня такие совместные работы как бомбометание и фотографирование с больших высот, стрельбы из крупнокалиберных пулеметов на различных высотах по земле и по воздушному противнику, использование осветительной службы при ночных полетах и т. д. Адам же, сославшись на ограниченность финансовых средств, признал справедливость упреков и пообещал… камеру-панораму со многими объективами, изготовленную на фирме «К. Цайсс», а также крупнокалиберные пулеметы. На ту же тему разговаривал с Адамом 10 ноября 1931 г. и заместитель Ворошилова Тухачевский</w:t>
        </w:r>
      </w:hyperlink>
      <w:r w:rsidRPr="005E779E">
        <w:rPr>
          <w:rFonts w:ascii="Times New Roman" w:hAnsi="Times New Roman"/>
          <w:color w:val="000000" w:themeColor="text1"/>
          <w:sz w:val="16"/>
          <w:szCs w:val="16"/>
        </w:rPr>
        <w:t xml:space="preserve"> (18265).</w:t>
      </w:r>
    </w:p>
    <w:p w14:paraId="6F98875F" w14:textId="77777777" w:rsidR="006813D3" w:rsidRPr="005E779E" w:rsidRDefault="006813D3" w:rsidP="000B7A6C">
      <w:pPr>
        <w:spacing w:after="0" w:line="240" w:lineRule="auto"/>
        <w:jc w:val="both"/>
        <w:rPr>
          <w:rFonts w:ascii="Times New Roman" w:hAnsi="Times New Roman"/>
          <w:color w:val="000000" w:themeColor="text1"/>
          <w:sz w:val="16"/>
          <w:szCs w:val="16"/>
        </w:rPr>
      </w:pPr>
    </w:p>
    <w:p w14:paraId="498E3BCD" w14:textId="77777777" w:rsidR="006813D3" w:rsidRPr="005E779E" w:rsidRDefault="006813D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1931 г. в беседе с начальником генштаба райхсвера генералом Адамом Ворошилов по поволу химических вооружений неоднократно подчеркивал, что «и здесь немецкая сторона могла бы шире поставить исследовательские работы, ввезти для испытания больше всяких средств и активных, и пассивных- &lt;…&gt; В «Томке» есть возможность Вам заниматься опытной работой, как нигде в Европе. Давайте и Вы, и мы этим пользоваться. Мы даем Вам необходимые условия и просим взамен также конкретную материальную компенсацию» (18265).</w:t>
      </w:r>
    </w:p>
    <w:p w14:paraId="7098FDB6" w14:textId="77777777" w:rsidR="006813D3" w:rsidRPr="005E779E" w:rsidRDefault="006813D3" w:rsidP="000B7A6C">
      <w:pPr>
        <w:spacing w:after="0" w:line="240" w:lineRule="auto"/>
        <w:jc w:val="both"/>
        <w:rPr>
          <w:rFonts w:ascii="Times New Roman" w:hAnsi="Times New Roman"/>
          <w:color w:val="000000" w:themeColor="text1"/>
          <w:sz w:val="16"/>
          <w:szCs w:val="16"/>
        </w:rPr>
      </w:pPr>
    </w:p>
    <w:p w14:paraId="384A31F1" w14:textId="77777777" w:rsidR="006813D3" w:rsidRPr="005E779E" w:rsidRDefault="006813D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1931 г. беседа К.Е. Ворошилова с начальником генштаба рейхсвера генералом В. Адамом, посетившим Россию, стала последней попыткой побудить немцев к продуктивной отдаче в области разработок и испытания 0В. Касаясь объекта «Томка», К.Е. Ворошилов поставил вопрос ребром: «Мы предоставили немецкой стороне, как нигде в Европе, возможность заниматься экспериментальными химическими разработками, поэтому дайте нам конкретную материальную компенсацию в виде опытных результатов. Давайте на «Томку» больше оборудования и всяких средств» Алимов Н.И. Химическая оборона России: К 70-летию Центр, науч.-испытательского ин-та радиац., хим. и биол. защиты. // http://himvoiska.narod.ru/tomka.html.</w:t>
      </w:r>
    </w:p>
    <w:p w14:paraId="116ACA16" w14:textId="77777777" w:rsidR="006813D3" w:rsidRPr="005E779E" w:rsidRDefault="006813D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Адам был очень немногословен. В оправдание пассивности немецких химиков на объекте он заявил, что промышленность Германии этим делом мало интересуется. Отвергая настойчивые предположения о том, что в Германии изобретен какой-то особый газ, генерал заверил Наркома: «Не верьте... Наша задача по химии - сделать иприт технически более устойчивым» Там же..</w:t>
      </w:r>
    </w:p>
    <w:p w14:paraId="48D7782C" w14:textId="77777777" w:rsidR="006813D3" w:rsidRPr="005E779E" w:rsidRDefault="006813D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результате руководство РККА все больше склонялось к мысли о нецелесообразности дальнейшего пребывания немцев в Шиханах. «Ввиду развертывания наших собственных работ в 1932 году «друзей» желательно перевести с территории ЦВХП в другое место»,- докладывал К.Е. Ворошилову начальник разведуправления РККА Я.К. Берзин Там же (18271).</w:t>
      </w:r>
    </w:p>
    <w:p w14:paraId="0D2A0315" w14:textId="77777777" w:rsidR="006813D3" w:rsidRPr="005E779E" w:rsidRDefault="006813D3" w:rsidP="000B7A6C">
      <w:pPr>
        <w:spacing w:after="0" w:line="240" w:lineRule="auto"/>
        <w:jc w:val="both"/>
        <w:rPr>
          <w:rFonts w:ascii="Times New Roman" w:hAnsi="Times New Roman"/>
          <w:color w:val="000000" w:themeColor="text1"/>
          <w:sz w:val="16"/>
          <w:szCs w:val="16"/>
        </w:rPr>
      </w:pPr>
    </w:p>
    <w:p w14:paraId="1FC500F7" w14:textId="77777777" w:rsidR="006813D3" w:rsidRPr="005E779E" w:rsidRDefault="006813D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1931 г. начальник генштаба райхсвера генерал Адам в ходе своего визита в СССР благодарил Ворошилова за разведматериалы по Польше и просил «способствовать их получению и в дальнейшем», высоко оценив качество переданных советской разведкой материалов. Ворошилов обещал «продолжить взаимный обмен, так как нет оснований к пересмотру существующих в этом деле решений». Он заверил, что «все наиболее ценное и важное передается немецкой стороне». Можно предположить, что обмен разведданными продолжался, — как и все активное военное сотрудничество между СССР и Германией, — вплоть до середины 1933 г. Своеобразным гарантом этого было то, что главнокомандующим райхсвера вплоть до конца января 1934 г. был сторонник «восточной ориентации» Германии Хаммерштайн, и поддерживавший эту же линию генерал Шляйхер, военный министр в кабинете Палена (июнь — декабрь 1932 г.) и затем последний канцлер Германии накануне прихода к власти Гитлера (18265).</w:t>
      </w:r>
    </w:p>
    <w:p w14:paraId="63C2D061" w14:textId="77777777" w:rsidR="006813D3" w:rsidRPr="005E779E" w:rsidRDefault="006813D3" w:rsidP="000B7A6C">
      <w:pPr>
        <w:spacing w:after="0" w:line="240" w:lineRule="auto"/>
        <w:jc w:val="both"/>
        <w:rPr>
          <w:rFonts w:ascii="Times New Roman" w:hAnsi="Times New Roman"/>
          <w:color w:val="000000" w:themeColor="text1"/>
          <w:sz w:val="16"/>
          <w:szCs w:val="16"/>
        </w:rPr>
      </w:pPr>
    </w:p>
    <w:p w14:paraId="43C11279" w14:textId="77777777" w:rsidR="006813D3" w:rsidRPr="005E779E" w:rsidRDefault="006813D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1931 года состоялась встреча Тухачевского с делегацией немецких военных, в которую входил, кстати, и Манштейн. В ходе встречи Тухачевский сетовал по поводу медленных темпов развития совместных «предприятий» и считал необходимым ускорить их с целью извлечения максимальной пользы (18270).</w:t>
      </w:r>
    </w:p>
    <w:p w14:paraId="60EE81C0" w14:textId="77777777" w:rsidR="006813D3" w:rsidRPr="005E779E" w:rsidRDefault="006813D3" w:rsidP="000B7A6C">
      <w:pPr>
        <w:spacing w:after="0" w:line="240" w:lineRule="auto"/>
        <w:jc w:val="both"/>
        <w:rPr>
          <w:rFonts w:ascii="Times New Roman" w:hAnsi="Times New Roman"/>
          <w:color w:val="000000" w:themeColor="text1"/>
          <w:sz w:val="16"/>
          <w:szCs w:val="16"/>
        </w:rPr>
      </w:pPr>
    </w:p>
    <w:p w14:paraId="38F47BC4" w14:textId="77777777" w:rsidR="00B03615" w:rsidRPr="005E779E" w:rsidRDefault="00874B1E" w:rsidP="000B7A6C">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163CDFF4" w14:textId="77777777" w:rsidR="00B03615" w:rsidRPr="005E779E" w:rsidRDefault="00B03615" w:rsidP="000B7A6C">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38684DA3" w14:textId="77777777" w:rsidR="00B03615" w:rsidRPr="005E779E" w:rsidRDefault="00B0361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1931 было покушение на Сталина. Покушался боевик РОВС, белогвардейский офицер. Задержан ребятами из ОГПУ. Политбюро обязало прекратить «пешие хождения т. Сталина по Москве». До этого Сталин не в бронированном лимузине проносился по улицам, а ходил пешком в сопровождении минимума охраны…(12629).</w:t>
      </w:r>
    </w:p>
    <w:p w14:paraId="14773052" w14:textId="77777777" w:rsidR="00B03615" w:rsidRPr="005E779E" w:rsidRDefault="00B03615" w:rsidP="000B7A6C">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3B8585EB" w14:textId="77777777" w:rsidR="006813D3" w:rsidRPr="005E779E" w:rsidRDefault="006813D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1931 г. Моссовет перевел 500 тыс. руб. из фонда на непредвиденные расходы и пообещал еще 1,4 млн. руб. из государственного бюджета{574}. Правительство, впрочем, выделило до конца года только 500 тыс. руб. из резервного фонда Совнаркома{575}.</w:t>
      </w:r>
    </w:p>
    <w:p w14:paraId="0C6F50D5" w14:textId="77777777" w:rsidR="006813D3" w:rsidRPr="005E779E" w:rsidRDefault="006813D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Финансирование Метростроя велось сначала через Центральный Коммунальный банк (Цекомбанк), с марта 1932 г. — через Московский Коммунальный банк (Москомбанк). Последний осуществлял также финансовый контроль. Метрострой обязан был регулярно представлять в Моссовет отчеты о ходе строительных работ{576}.</w:t>
      </w:r>
    </w:p>
    <w:p w14:paraId="257CA14B" w14:textId="77777777" w:rsidR="006813D3" w:rsidRPr="005E779E" w:rsidRDefault="006813D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январе 1932 г. Политбюро утвердило выделение 40 млн. руб. на строительство метро по финплану 1932 г. Сумма предоставлялась пополам из союзного бюджета и средств Московской области{577}.Причитающиеся на Москву расходы в сумме 20 млн. руб. были относительно невелики. Инвестиционный план Москвы на 1932 г. предусматривал гораздо большие затраты по другим статьям (жилищное строительство — 100 млн. руб., трамвайная сеть — 56 млн., дорожное и подземное строительство — 35,5 млн. руб.){578}.У организаций, ответственных за жилищное строительство и городские коммуникации, Моссовет изъял из бюджета 12 млн. руб. и перевел их Метрострою. В качестве ответноймеры Метрострой заключил с этими организациями договоры на выполнение работ, за которые расплачивался этими деньгами. На работы, выполняемые самостоятельно, в 1932 г. Метрострой потратил только 8 млн. руб.{579}Осенью 1932 г. коммунальные учреждения Москвы перечислили Метрострою еще 5 млн. руб.{580}</w:t>
      </w:r>
    </w:p>
    <w:p w14:paraId="394490A4" w14:textId="77777777" w:rsidR="006813D3" w:rsidRPr="005E779E" w:rsidRDefault="006813D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На 1933 финансовый год Моссовет выделил метростроевцам 110 млн. руб. Кроме того, на баланс Метростроя были переведены бараки, склады, каменоломни и вспомогательные предприятия общей стоимостью 20 млн. руб.{581}Метрострой первоначально представил на 1933 г. финансовый план на сумму свыше 125 млн. руб., но после сокращения выделенных средств вынужден был его урезать{582}.Политбюро и правительство в марте 1933 г. утвердили инвестиции на строительство </w:t>
      </w:r>
      <w:r w:rsidRPr="005E779E">
        <w:rPr>
          <w:rFonts w:ascii="Times New Roman" w:hAnsi="Times New Roman"/>
          <w:color w:val="000000" w:themeColor="text1"/>
          <w:sz w:val="16"/>
          <w:szCs w:val="16"/>
        </w:rPr>
        <w:lastRenderedPageBreak/>
        <w:t>метро в сумме 110 млн. руб. Предварительно правительство намечало выделить на 1933 г. только 80 млн. Недостающие 30 млн. перевели из бюджета строительства канала Москва — Волга{583}.Из этого факта можно заключить, что финансирование Метростроя в 1933 г. осуществлялось уже не из городского, а из союзного бюджета. Бюджет Москвы был бы переобременен такой крупной статьей расходов[58].</w:t>
      </w:r>
    </w:p>
    <w:p w14:paraId="166DA79E" w14:textId="77777777" w:rsidR="006813D3" w:rsidRPr="005E779E" w:rsidRDefault="006813D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1932 г. Метрострой перерасходовал свой бюджет, так как полностью потратил выделенные средства, но годовой план выполнил всего на треть. Когда осенью 1933 г. наметилась подобная тенденция, в дело вмешалась городская комиссия партийного контроля [МГКК ВКП(б)] и дала Ротерту указание ввести строгую финансовую дисциплину. Его заместитель Рошаль получил строгий выговор, главный бухгалтер и начальник финансового отдела были уволены и отданы под суд, поскольку игнорировали указания контрольной комиссии. Объектом критики являлись завышенные товарные запасы на складах при одновременном дефиците важных материалов, превышение лимита фонда заработной платы и премиального фонда и отсутствие какой-либо бережливости в расходовании средств{584}.</w:t>
      </w:r>
    </w:p>
    <w:p w14:paraId="07C4092E" w14:textId="77777777" w:rsidR="006813D3" w:rsidRPr="005E779E" w:rsidRDefault="006813D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1934 г. правительство утвердило объем инвестиций на строительство метро в размере 348,8 млн. руб.{585}По распоряжению Московского комитета партии шахты и дистанции с 1 февраля 1934 г. перешли к составлению собственных балансов. Этой мерой рассчитывали укрепить финансовую дисциплину{586}.Кроме того, немедленно вводилась система финансирования не по плановым цифрам, а по фактически выполненной работе, чтобы поощрить тех, кто экономил средства, и привлечь к ответственности тех, кто расточительно хозяйничал. Ежемесячно, поквартально и в конце года следовало составлять баланс расходов и выполненных работ, а также проводить ревизию кассы{587}.</w:t>
      </w:r>
    </w:p>
    <w:p w14:paraId="06A0E6B5" w14:textId="77777777" w:rsidR="006813D3" w:rsidRPr="005E779E" w:rsidRDefault="006813D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Призывы к бережливости и соблюдению финансовой дисциплины не имели особого воздействия, поскольку одновременно партия и правительство повышали темпы строительства метро, объявляли объект стройкой высшего значения, и, как заявил Булганин в январе 1934 г., первая линия должна быть пущена к 17-й годовщине Октябрьской революции, «чего бы это ни стоило»{588}.В таких условиях угрозы приостановить финансирование при несоблюдении плана расходов{589}выглядели явно надуманными.</w:t>
      </w:r>
    </w:p>
    <w:p w14:paraId="65BF5BAF" w14:textId="77777777" w:rsidR="006813D3" w:rsidRPr="005E779E" w:rsidRDefault="006813D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Вместо предназначенных на 1934 г. 348,8 млн. руб. было выделено в конечном итоге 457-458 млн. Впрочем, это вовсе не означало, что Метрострой мог произвольно тратить любые суммы. Политбюро и Совнарком хотя и одобряли дополнительные ассигнования, но все же не в желаемом Метростроем объеме. В мае 1934 г. Хрущев напрасно пытался убедить Сталина и Политбюро помимо выделенных на второй квартал 100 млн. руб. предоставить еще 23 млн. Несмотря на его предостережения, что работы могут быть приостановлены, Политбюро одобрило только 10 млн. руб., запретив Метрострою в дальнейшем увеличивать число рабочих{590}.И в четвертом квартале вместо запрошенных 18 млн. руб. Метрострой получил только 10 млн. За счет «мобилизации внутренних ресурсов» руководству организации удалось раздобыть еще 3 млн., остальные 5 млн. были получены благодаря банковскому кредиту, который перешел в бюджет 1935 г.{591} (18299).</w:t>
      </w:r>
    </w:p>
    <w:p w14:paraId="792D2FAC" w14:textId="77777777" w:rsidR="006813D3" w:rsidRPr="005E779E" w:rsidRDefault="006813D3" w:rsidP="000B7A6C">
      <w:pPr>
        <w:spacing w:after="0" w:line="240" w:lineRule="auto"/>
        <w:jc w:val="both"/>
        <w:rPr>
          <w:rFonts w:ascii="Times New Roman" w:hAnsi="Times New Roman"/>
          <w:color w:val="000000" w:themeColor="text1"/>
          <w:sz w:val="16"/>
          <w:szCs w:val="16"/>
        </w:rPr>
      </w:pPr>
    </w:p>
    <w:p w14:paraId="558AD74A" w14:textId="77777777" w:rsidR="005C4849" w:rsidRPr="005E779E" w:rsidRDefault="00874B1E" w:rsidP="000B7A6C">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4A720AD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192146AE" w14:textId="77777777" w:rsidR="000306D2" w:rsidRPr="005E779E" w:rsidRDefault="000306D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1931 основана Hillman's Airways. Она начнет чартерные рейсы в декабре 1931 года, а запланированные - в апреле 1932 года (20804).</w:t>
      </w:r>
    </w:p>
    <w:p w14:paraId="2CA137AF" w14:textId="77777777" w:rsidR="000306D2" w:rsidRPr="005E779E" w:rsidRDefault="000306D2" w:rsidP="000B7A6C">
      <w:pPr>
        <w:spacing w:after="0" w:line="240" w:lineRule="auto"/>
        <w:jc w:val="both"/>
        <w:rPr>
          <w:rFonts w:ascii="Times New Roman" w:hAnsi="Times New Roman"/>
          <w:color w:val="000000" w:themeColor="text1"/>
          <w:sz w:val="16"/>
          <w:szCs w:val="16"/>
        </w:rPr>
      </w:pPr>
    </w:p>
    <w:p w14:paraId="3FE21070" w14:textId="77777777" w:rsidR="000306D2" w:rsidRPr="005E779E" w:rsidRDefault="000306D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1931 года фирма «Фейри» представила на испытания свой ночной тяжелый бом</w:t>
      </w:r>
      <w:r w:rsidRPr="005E779E">
        <w:rPr>
          <w:rFonts w:ascii="Times New Roman" w:hAnsi="Times New Roman"/>
          <w:color w:val="000000" w:themeColor="text1"/>
          <w:sz w:val="16"/>
          <w:szCs w:val="16"/>
        </w:rPr>
        <w:softHyphen/>
        <w:t>бардировщик-моноплан «Хендон», командование Королевских ВВС и Министерство авиации встретили его весьма холодно.</w:t>
      </w:r>
    </w:p>
    <w:p w14:paraId="5E9D66B0" w14:textId="77777777" w:rsidR="000306D2" w:rsidRPr="005E779E" w:rsidRDefault="000306D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тем проект был не так уж плох — самолет имел относитель</w:t>
      </w:r>
      <w:r w:rsidRPr="005E779E">
        <w:rPr>
          <w:rFonts w:ascii="Times New Roman" w:hAnsi="Times New Roman"/>
          <w:color w:val="000000" w:themeColor="text1"/>
          <w:sz w:val="16"/>
          <w:szCs w:val="16"/>
        </w:rPr>
        <w:softHyphen/>
        <w:t>но небольшое лобовое сопротивле</w:t>
      </w:r>
      <w:r w:rsidRPr="005E779E">
        <w:rPr>
          <w:rFonts w:ascii="Times New Roman" w:hAnsi="Times New Roman"/>
          <w:color w:val="000000" w:themeColor="text1"/>
          <w:sz w:val="16"/>
          <w:szCs w:val="16"/>
        </w:rPr>
        <w:softHyphen/>
        <w:t>ние благодаря скругленным формам фюзеляжа, зализам в зоне стыка су</w:t>
      </w:r>
      <w:r w:rsidRPr="005E779E">
        <w:rPr>
          <w:rFonts w:ascii="Times New Roman" w:hAnsi="Times New Roman"/>
          <w:color w:val="000000" w:themeColor="text1"/>
          <w:sz w:val="16"/>
          <w:szCs w:val="16"/>
        </w:rPr>
        <w:softHyphen/>
        <w:t>жающегося крыла и стабилизатора, а также обтекателям шасси. Каркас был цельнометаллический, обшив</w:t>
      </w:r>
      <w:r w:rsidRPr="005E779E">
        <w:rPr>
          <w:rFonts w:ascii="Times New Roman" w:hAnsi="Times New Roman"/>
          <w:color w:val="000000" w:themeColor="text1"/>
          <w:sz w:val="16"/>
          <w:szCs w:val="16"/>
        </w:rPr>
        <w:softHyphen/>
        <w:t>ка, правда, местами осталась полот</w:t>
      </w:r>
      <w:r w:rsidRPr="005E779E">
        <w:rPr>
          <w:rFonts w:ascii="Times New Roman" w:hAnsi="Times New Roman"/>
          <w:color w:val="000000" w:themeColor="text1"/>
          <w:sz w:val="16"/>
          <w:szCs w:val="16"/>
        </w:rPr>
        <w:softHyphen/>
        <w:t>няная. Силовую установку состав</w:t>
      </w:r>
      <w:r w:rsidRPr="005E779E">
        <w:rPr>
          <w:rFonts w:ascii="Times New Roman" w:hAnsi="Times New Roman"/>
          <w:color w:val="000000" w:themeColor="text1"/>
          <w:sz w:val="16"/>
          <w:szCs w:val="16"/>
        </w:rPr>
        <w:softHyphen/>
        <w:t>ляли два звездообразных Бристоль «Юпитера» по 460 л.с. на взлете. Вся бомбовая нагрузка помещалась в закрытых отсеках мощного крыла, а оборону должны были обеспечивать носовая и хвостовая экранированные (т.е. полностью закрытые от набегаю</w:t>
      </w:r>
      <w:r w:rsidRPr="005E779E">
        <w:rPr>
          <w:rFonts w:ascii="Times New Roman" w:hAnsi="Times New Roman"/>
          <w:color w:val="000000" w:themeColor="text1"/>
          <w:sz w:val="16"/>
          <w:szCs w:val="16"/>
        </w:rPr>
        <w:softHyphen/>
        <w:t>щего потока) турели, в каждой из ко</w:t>
      </w:r>
      <w:r w:rsidRPr="005E779E">
        <w:rPr>
          <w:rFonts w:ascii="Times New Roman" w:hAnsi="Times New Roman"/>
          <w:color w:val="000000" w:themeColor="text1"/>
          <w:sz w:val="16"/>
          <w:szCs w:val="16"/>
        </w:rPr>
        <w:softHyphen/>
        <w:t>торых было по спаренному «льюису». Все кабины соединялись между собой единым проходом. Опытный само</w:t>
      </w:r>
      <w:r w:rsidRPr="005E779E">
        <w:rPr>
          <w:rFonts w:ascii="Times New Roman" w:hAnsi="Times New Roman"/>
          <w:color w:val="000000" w:themeColor="text1"/>
          <w:sz w:val="16"/>
          <w:szCs w:val="16"/>
        </w:rPr>
        <w:softHyphen/>
        <w:t>лет совершил первый полет в ноябре 1931 года, а в следующем году был на</w:t>
      </w:r>
      <w:r w:rsidRPr="005E779E">
        <w:rPr>
          <w:rFonts w:ascii="Times New Roman" w:hAnsi="Times New Roman"/>
          <w:color w:val="000000" w:themeColor="text1"/>
          <w:sz w:val="16"/>
          <w:szCs w:val="16"/>
        </w:rPr>
        <w:softHyphen/>
        <w:t>чат его выпуск. Серийный «Хендон» Mk.I получил новейшие высотные мо</w:t>
      </w:r>
      <w:r w:rsidRPr="005E779E">
        <w:rPr>
          <w:rFonts w:ascii="Times New Roman" w:hAnsi="Times New Roman"/>
          <w:color w:val="000000" w:themeColor="text1"/>
          <w:sz w:val="16"/>
          <w:szCs w:val="16"/>
        </w:rPr>
        <w:softHyphen/>
        <w:t>торы «Кестрел» IIIS (480 л.с.), но зна</w:t>
      </w:r>
      <w:r w:rsidRPr="005E779E">
        <w:rPr>
          <w:rFonts w:ascii="Times New Roman" w:hAnsi="Times New Roman"/>
          <w:color w:val="000000" w:themeColor="text1"/>
          <w:sz w:val="16"/>
          <w:szCs w:val="16"/>
        </w:rPr>
        <w:softHyphen/>
        <w:t>чительных преимуществ перед бипла</w:t>
      </w:r>
      <w:r w:rsidRPr="005E779E">
        <w:rPr>
          <w:rFonts w:ascii="Times New Roman" w:hAnsi="Times New Roman"/>
          <w:color w:val="000000" w:themeColor="text1"/>
          <w:sz w:val="16"/>
          <w:szCs w:val="16"/>
        </w:rPr>
        <w:softHyphen/>
        <w:t>ном Хендли-Пейдж «Хейфорд» Mk.I с такой же силовой установкой не имел, проигрывая ему в вооружении. Потому выпуск «Хендона» был оста</w:t>
      </w:r>
      <w:r w:rsidRPr="005E779E">
        <w:rPr>
          <w:rFonts w:ascii="Times New Roman" w:hAnsi="Times New Roman"/>
          <w:color w:val="000000" w:themeColor="text1"/>
          <w:sz w:val="16"/>
          <w:szCs w:val="16"/>
        </w:rPr>
        <w:softHyphen/>
        <w:t>новлен после приемки 14-й машины, а фирме было поручено улучшить ха</w:t>
      </w:r>
      <w:r w:rsidRPr="005E779E">
        <w:rPr>
          <w:rFonts w:ascii="Times New Roman" w:hAnsi="Times New Roman"/>
          <w:color w:val="000000" w:themeColor="text1"/>
          <w:sz w:val="16"/>
          <w:szCs w:val="16"/>
        </w:rPr>
        <w:softHyphen/>
        <w:t>рактеристики самолета (22799).</w:t>
      </w:r>
    </w:p>
    <w:p w14:paraId="57794B26" w14:textId="77777777" w:rsidR="000306D2" w:rsidRPr="005E779E" w:rsidRDefault="000306D2" w:rsidP="000B7A6C">
      <w:pPr>
        <w:spacing w:after="0" w:line="240" w:lineRule="auto"/>
        <w:jc w:val="both"/>
        <w:rPr>
          <w:rFonts w:ascii="Times New Roman" w:hAnsi="Times New Roman"/>
          <w:color w:val="000000" w:themeColor="text1"/>
          <w:sz w:val="16"/>
          <w:szCs w:val="16"/>
        </w:rPr>
      </w:pPr>
    </w:p>
    <w:p w14:paraId="14160B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1931 года фюзеляж R.100 продали на металлолом. Оценка британского участия в послевоенном развитии воздухоплавательной техники весьма противоречива. С технической стороны появились интересные конструкции — R.100 и R.101, между тем как более ранние дирижабли являлись лишь развитием военных конструкций. С другой стороны, более грамотное и целенаправленное управление воздухоплавательными исследованиями и производством могло привести к меньшим расходам и лучшему конечному результату. [305] (11324).</w:t>
      </w:r>
    </w:p>
    <w:p w14:paraId="2CC15F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A792BE1" w14:textId="77777777" w:rsidR="00D82FF1" w:rsidRPr="005E779E" w:rsidRDefault="00D82FF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 ноября 1931 г. гидроплан второй прототип, Ju-52bi (Werk Nr. 4002, D-2133), который после установки на поплавки именовался Ju-52ci, проходил испытания на Балтике в Травемюнде (24200).</w:t>
      </w:r>
    </w:p>
    <w:p w14:paraId="05952052" w14:textId="77777777" w:rsidR="00D82FF1" w:rsidRPr="005E779E" w:rsidRDefault="00D82FF1" w:rsidP="000B7A6C">
      <w:pPr>
        <w:spacing w:after="0" w:line="240" w:lineRule="auto"/>
        <w:jc w:val="both"/>
        <w:rPr>
          <w:rFonts w:ascii="Times New Roman" w:hAnsi="Times New Roman"/>
          <w:color w:val="000000" w:themeColor="text1"/>
          <w:sz w:val="16"/>
          <w:szCs w:val="16"/>
        </w:rPr>
      </w:pPr>
    </w:p>
    <w:p w14:paraId="4505AB80" w14:textId="77777777" w:rsidR="00D82FF1" w:rsidRPr="005E779E" w:rsidRDefault="00D82FF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1931 г. авиакомпания Canadian Airways Ltd. приобрела Ju-52ce (CF-ARM, Werk Nr. 4006). Самолет Ju-52ce мог быть оснащен колесным, лыжным или поплавковым шасси, что было очень важным для эксплуатации машины в разнообразных климатических условиях Канады. Авиакомпания Canadian Airways Ltd. использовала Ju-52ce для перевозки грузов с конца 1931 г. по 1943 г.</w:t>
      </w:r>
    </w:p>
    <w:p w14:paraId="059132CF" w14:textId="77777777" w:rsidR="00D82FF1" w:rsidRPr="005E779E" w:rsidRDefault="00D82FF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Перед погрузкой на судно «BEAVERBRAE» машину разобрали. Судно доставило самолет в порт Лонгуил, Квебек, расположенный недалеко от Монреаля. Сборка самолета осуществлялась в Монреале на заводе фирмы Фэйрчайльд Авиэйшн Компани. 26 октября 1931 г машине присвоили канадский гражданский регистрационный номер «CF-ARM». Первый полет в Канаде выполнил летчик Алекс Шнейдер 28 ноября 1931 г. Самолет получил собственное имя «White Elephant». «Белый слон» совершил рекламный тур по восточным провинциям Канады и северным штатам США. Двигатель BMW VIIaU не выдержал испытания суровой канадской зимой — в январе 1936 г. мотор пришлось заменить на 825-сильный 12-цилиндровый двигатель жидкостного охлаждения Роллс-Ройс «Баззард». После замены двигателя самолет стал обозначаться Ju-52cao.</w:t>
      </w:r>
    </w:p>
    <w:p w14:paraId="2E56D27E" w14:textId="77777777" w:rsidR="00D82FF1" w:rsidRPr="005E779E" w:rsidRDefault="00D82FF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довольно напряженного эксплуатировался в северных районах Канады, доставляя самые различные грузы: от рыбы до строительных материалов. В 1941 г. компанию Canadian Airways Ltd купила железнодорожная компания Canadian Pasific Railway, a Ju-52cao оказался в компании Canadian Air Services Ltd. К этому времени почти истек ресурс двигателя «Баззард». Мотор следовало менять, но германская субмарина потопила судно, которое везло из Европы в Канаду такой же. но новый мотор. Тем не менее, самолет летал в Canadian Air Services Ltd до 1943 г. В 1943 г. машину передали на консервацию в Виннипег, Манитоба. Здесь он находился до разделки на металлолом в 1947 г. (24200).</w:t>
      </w:r>
    </w:p>
    <w:p w14:paraId="53D5F474" w14:textId="77777777" w:rsidR="00D82FF1" w:rsidRPr="005E779E" w:rsidRDefault="00D82FF1" w:rsidP="000B7A6C">
      <w:pPr>
        <w:spacing w:after="0" w:line="240" w:lineRule="auto"/>
        <w:jc w:val="both"/>
        <w:rPr>
          <w:rFonts w:ascii="Times New Roman" w:hAnsi="Times New Roman"/>
          <w:color w:val="000000" w:themeColor="text1"/>
          <w:sz w:val="16"/>
          <w:szCs w:val="16"/>
        </w:rPr>
      </w:pPr>
    </w:p>
    <w:p w14:paraId="685BCADF" w14:textId="77777777" w:rsidR="00BF6E52" w:rsidRPr="005E779E" w:rsidRDefault="00BF6E52"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2482AB80" w14:textId="77777777" w:rsidR="00BF6E52" w:rsidRPr="005E779E" w:rsidRDefault="00BF6E52"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BB9486F" w14:textId="77777777" w:rsidR="00BF6E52" w:rsidRPr="005E779E" w:rsidRDefault="00BF6E52" w:rsidP="000B7A6C">
      <w:pPr>
        <w:spacing w:after="0" w:line="240" w:lineRule="auto"/>
        <w:jc w:val="both"/>
        <w:rPr>
          <w:rFonts w:ascii="Times New Roman" w:hAnsi="Times New Roman"/>
          <w:color w:val="000000" w:themeColor="text1"/>
          <w:sz w:val="16"/>
          <w:szCs w:val="16"/>
          <w:lang w:eastAsia="ru-RU" w:bidi="ru-RU"/>
        </w:rPr>
      </w:pPr>
      <w:r w:rsidRPr="005E779E">
        <w:rPr>
          <w:rFonts w:ascii="Times New Roman" w:hAnsi="Times New Roman"/>
          <w:color w:val="000000" w:themeColor="text1"/>
          <w:sz w:val="16"/>
          <w:szCs w:val="16"/>
        </w:rPr>
        <w:t>В ноябре — декабре 1931 г. испытания доработанного ТШ-2 показали повышение летных качеств (максимальная скорость возросла до 213 км/ч), и самолет решили внедрить в серийное производство на воронежском авиазаводе № 16. Согласно утвержденной программе в 1932 г. завод № 16 должен был сдать 70 самолетов ТШ-2 с двигателями М-17. Но вот тут-то и начались проблемы. Несмотря на то что М-17 представлял собой лицензионную копию ВМ</w:t>
      </w:r>
      <w:r w:rsidRPr="005E779E">
        <w:rPr>
          <w:rFonts w:ascii="Times New Roman" w:hAnsi="Times New Roman"/>
          <w:color w:val="000000" w:themeColor="text1"/>
          <w:sz w:val="16"/>
          <w:szCs w:val="16"/>
          <w:lang w:val="en-US"/>
        </w:rPr>
        <w:t>W</w:t>
      </w:r>
      <w:r w:rsidRPr="005E779E">
        <w:rPr>
          <w:rFonts w:ascii="Times New Roman" w:hAnsi="Times New Roman"/>
          <w:color w:val="000000" w:themeColor="text1"/>
          <w:sz w:val="16"/>
          <w:szCs w:val="16"/>
        </w:rPr>
        <w:t xml:space="preserve"> VI, на ТШ-2 он упорно перегревался. В итоге все ограничилось выпуском малой серии ТШ-2 из 10 единиц, и на вооружение ВВС РККА первый бронированный штурмовик так и не попал (21241).</w:t>
      </w:r>
    </w:p>
    <w:p w14:paraId="5E1C8A76" w14:textId="77777777" w:rsidR="00BF6E52" w:rsidRPr="005E779E" w:rsidRDefault="00BF6E52" w:rsidP="000B7A6C">
      <w:pPr>
        <w:spacing w:after="0" w:line="240" w:lineRule="auto"/>
        <w:jc w:val="both"/>
        <w:rPr>
          <w:rFonts w:ascii="Times New Roman" w:hAnsi="Times New Roman"/>
          <w:color w:val="000000" w:themeColor="text1"/>
          <w:sz w:val="16"/>
          <w:szCs w:val="16"/>
          <w:lang w:eastAsia="ru-RU" w:bidi="ru-RU"/>
        </w:rPr>
      </w:pPr>
    </w:p>
    <w:p w14:paraId="11773BC9" w14:textId="77777777" w:rsidR="006813D3" w:rsidRPr="005E779E" w:rsidRDefault="006813D3"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263D374F" w14:textId="77777777" w:rsidR="006813D3" w:rsidRPr="005E779E" w:rsidRDefault="006813D3"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57F8866" w14:textId="77777777" w:rsidR="006813D3" w:rsidRPr="005E779E" w:rsidRDefault="006813D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 декабре 1931 года в конструкцию Д-2 внесли ряд существенных изменений, значительно повышающих его боеспособность. По сравнению с опытным Д-2 во вновь разработанном проекте была изменена конструкция орудийных и панорамных башен, командирской рубки и частично корпуса, артиллерийское вооружение планировалось из 7б,2-мм пушки образца 1902 года на типовых тумбовых бронепоездных установках, предусмотрена установка постов управления огнем, внутренней телефонной связи, радиостанции, а также возможность перевода на железнодорожную колею 1435 мм. В качестве силовой установки предполагалось использовать автомобильный двигатель «Геркулес» с коробкой перемены передач Д-35 конструкции Дыренкова. </w:t>
      </w:r>
    </w:p>
    <w:p w14:paraId="58A07B75" w14:textId="77777777" w:rsidR="006813D3" w:rsidRPr="005E779E" w:rsidRDefault="006813D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Разработанный вариант мотоброневагона под тем же обозначением Д-2 представили наркому обороны СССР К. Ворошилову, который к этому времени уже было ознакомлен с результатами испытаний опытных образцов Д-2 и Д-3. В результате этого 31 декабря 1931 года на совещании у заместителя председателя Высшего совета народного хозяйства (ВСНХ) СССР было принято решение об изготовлении Главмашпромом в течение двух месяцев 60 мотоброневагонов Д-2 (по вновь разработанному проекту), необходимых для формирования в Красной Армии 20 дивизионов МБВ. Выполнение этой задачи поручалось четырем заводам - «Красный Профин-терн» в Брянске, заводу № 1 транспортного отдела ОПТУ в Люблино (бывший Экспериментальный завод НКПС), Калужскому и Коломенскому машиностроительным. Распоряжением президиума ВСНХ СССР № 3/с от 7 января 1932 года на каждом из них планировалось к 15 марта изготовить по 15 Д-2. Различные комплектующие и агрегаты должны были поставлять Ижорский завод (броня), 2-й завод ВАТО (двигатели), завод № 8 (орудия), «Красный Путиловец», «Борец», «Красный Октябрь», Ярославский тормозной завод, завод имени Буденного (шестерни реверсной передачи). </w:t>
      </w:r>
    </w:p>
    <w:p w14:paraId="1FAD1F82" w14:textId="77777777" w:rsidR="006813D3" w:rsidRPr="005E779E" w:rsidRDefault="006813D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Однако к этому моменту выяснилось, что рабочие чертежи на серийный вариант Д-2 готовы только на 30%. В результате привлечения дополнительных кадров, к 6 февраля готовность составила 70%, и только к 16 марта были выполнены «все рабочие чертежи за исключением: а) установки электрооборудования, б) внутренней телефонной связи, в) настила пола и внутреннего ограждения» (18626).</w:t>
      </w:r>
    </w:p>
    <w:p w14:paraId="4F9E7633" w14:textId="77777777" w:rsidR="006813D3" w:rsidRPr="005E779E" w:rsidRDefault="006813D3" w:rsidP="000B7A6C">
      <w:pPr>
        <w:spacing w:after="0" w:line="240" w:lineRule="auto"/>
        <w:jc w:val="both"/>
        <w:rPr>
          <w:rFonts w:ascii="Times New Roman" w:hAnsi="Times New Roman"/>
          <w:color w:val="000000" w:themeColor="text1"/>
          <w:sz w:val="16"/>
          <w:szCs w:val="16"/>
        </w:rPr>
      </w:pPr>
    </w:p>
    <w:p w14:paraId="3B6DA72C" w14:textId="77777777" w:rsidR="00033E6C" w:rsidRPr="00142305" w:rsidRDefault="00033E6C" w:rsidP="00033E6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ноябре — декабре 1931 года в конструкцию нового мотоброневагона Д-2 внесли ряд существенных изменений, значительно повышающих его боеспособность. По сравнению с опытным Д-2 во вновь разработанном проекте была изменена конструкция орудийных и панорамных башен, командирской рубки и частично корпуса, артиллерийское вооружение планировалось из 7б,2-мм пушки образца 1902 года на типовых тумбовых бронепоездных установках, предусмотрена установка постов управления огнем, внутренней телефонной связи, радиостанции, а также возможность перевода на железнодорожную колею 1435 мм. В качестве силовой установки предполагалось использовать автомобильный двигатель «Геркулес» с коробкой перемены передач Д-35 конструкции Дыренкова.</w:t>
      </w:r>
    </w:p>
    <w:p w14:paraId="78B30B70" w14:textId="77777777" w:rsidR="00033E6C" w:rsidRPr="00142305" w:rsidRDefault="00033E6C" w:rsidP="00033E6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Разработанный вариант мотоброневагона под тем же обозначением Д-2 представили наркому обороны СССР К Ворошилову, который к этому времени уже было ознакомлен с результатами испытаний опытных образцов Д-2 и Д-3 (25568).</w:t>
      </w:r>
    </w:p>
    <w:p w14:paraId="07CABA55" w14:textId="77777777" w:rsidR="00033E6C" w:rsidRPr="00142305" w:rsidRDefault="00033E6C" w:rsidP="00033E6C">
      <w:pPr>
        <w:spacing w:after="0" w:line="240" w:lineRule="auto"/>
        <w:jc w:val="both"/>
        <w:rPr>
          <w:rFonts w:ascii="Times New Roman" w:hAnsi="Times New Roman"/>
          <w:color w:val="0070C0"/>
          <w:sz w:val="16"/>
          <w:szCs w:val="16"/>
        </w:rPr>
      </w:pPr>
    </w:p>
    <w:p w14:paraId="0D29504E"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04FA88A5"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A58E04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ноябре-декабре 1931 г. для усиления авиации Отдельной краснознаменной дальневосточной армии (ОКДВА) из Моск</w:t>
      </w:r>
      <w:r w:rsidRPr="005E779E">
        <w:rPr>
          <w:rFonts w:ascii="Times New Roman" w:hAnsi="Times New Roman"/>
          <w:color w:val="000000" w:themeColor="text1"/>
          <w:sz w:val="16"/>
          <w:szCs w:val="16"/>
        </w:rPr>
        <w:softHyphen/>
        <w:t>вы в Омск перебросили 51-ю отдельную тя</w:t>
      </w:r>
      <w:r w:rsidRPr="005E779E">
        <w:rPr>
          <w:rFonts w:ascii="Times New Roman" w:hAnsi="Times New Roman"/>
          <w:color w:val="000000" w:themeColor="text1"/>
          <w:sz w:val="16"/>
          <w:szCs w:val="16"/>
        </w:rPr>
        <w:softHyphen/>
        <w:t>желобомбардировочную авиаэскадрилью (ТБАЭ), включавшую 12 ТБ-1 (завод. №№ 612, 620, 626, 635, 647, 648, 656, 662, 670, 701, 703, 718). Опасаясь аварий при перелете, самолеты перевезли разобран</w:t>
      </w:r>
      <w:r w:rsidRPr="005E779E">
        <w:rPr>
          <w:rFonts w:ascii="Times New Roman" w:hAnsi="Times New Roman"/>
          <w:color w:val="000000" w:themeColor="text1"/>
          <w:sz w:val="16"/>
          <w:szCs w:val="16"/>
        </w:rPr>
        <w:softHyphen/>
        <w:t>ными по железной дороге. Уже 25 декабря эскадрилья разместилась на Ново-Омском аэродроме и, согласно докладу командова</w:t>
      </w:r>
      <w:r w:rsidRPr="005E779E">
        <w:rPr>
          <w:rFonts w:ascii="Times New Roman" w:hAnsi="Times New Roman"/>
          <w:color w:val="000000" w:themeColor="text1"/>
          <w:sz w:val="16"/>
          <w:szCs w:val="16"/>
        </w:rPr>
        <w:softHyphen/>
        <w:t>ния, приступила к работе. Весной 1932 г. 51-ю ТБАЭ перебросили под Хабаровск и в апреле передали Морским силам Дальнего Востока, где самолеты предполагали ис</w:t>
      </w:r>
      <w:r w:rsidRPr="005E779E">
        <w:rPr>
          <w:rFonts w:ascii="Times New Roman" w:hAnsi="Times New Roman"/>
          <w:color w:val="000000" w:themeColor="text1"/>
          <w:sz w:val="16"/>
          <w:szCs w:val="16"/>
        </w:rPr>
        <w:softHyphen/>
        <w:t>пользовать в качестве торпедоносцев. Для этой цели машины начали оборудовать тор</w:t>
      </w:r>
      <w:r w:rsidRPr="005E779E">
        <w:rPr>
          <w:rFonts w:ascii="Times New Roman" w:hAnsi="Times New Roman"/>
          <w:color w:val="000000" w:themeColor="text1"/>
          <w:sz w:val="16"/>
          <w:szCs w:val="16"/>
        </w:rPr>
        <w:softHyphen/>
        <w:t>педными мостами, выпуск которых только осваивала промышленность. В 1933 г. отряд ТБ-1 под командованием П.И. Сучко, вхо</w:t>
      </w:r>
      <w:r w:rsidRPr="005E779E">
        <w:rPr>
          <w:rFonts w:ascii="Times New Roman" w:hAnsi="Times New Roman"/>
          <w:color w:val="000000" w:themeColor="text1"/>
          <w:sz w:val="16"/>
          <w:szCs w:val="16"/>
        </w:rPr>
        <w:softHyphen/>
        <w:t>дивший в то время в 28-ю ТБАБ, начал осво</w:t>
      </w:r>
      <w:r w:rsidRPr="005E779E">
        <w:rPr>
          <w:rFonts w:ascii="Times New Roman" w:hAnsi="Times New Roman"/>
          <w:color w:val="000000" w:themeColor="text1"/>
          <w:sz w:val="16"/>
          <w:szCs w:val="16"/>
        </w:rPr>
        <w:softHyphen/>
        <w:t>ение высотного торпедометания (11286).</w:t>
      </w:r>
    </w:p>
    <w:p w14:paraId="5EA108C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84B207" w14:textId="77777777" w:rsidR="00D82FF1" w:rsidRPr="005E779E" w:rsidRDefault="00D82FF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ноябре-декабре 1931 г. 12 ТБ-1 51-й тбаэ перевезли на ДВ по железной дороге. Летом 1932 г. поближе к Тихому океану решили перевести еще несколько эскадрилий из Центральной России. Однако главным событием летнего сезона должна была стать перегонка 24 самолетов ТБ-3 (две эскад</w:t>
      </w:r>
      <w:r w:rsidRPr="005E779E">
        <w:rPr>
          <w:rFonts w:ascii="Times New Roman" w:hAnsi="Times New Roman"/>
          <w:color w:val="000000" w:themeColor="text1"/>
          <w:sz w:val="16"/>
          <w:szCs w:val="16"/>
        </w:rPr>
        <w:softHyphen/>
        <w:t>рильи) вновь сформированной 19-й тяжелой бомбардировочной авиабригады (тбаб). Задуманная понача</w:t>
      </w:r>
      <w:r w:rsidRPr="005E779E">
        <w:rPr>
          <w:rFonts w:ascii="Times New Roman" w:hAnsi="Times New Roman"/>
          <w:color w:val="000000" w:themeColor="text1"/>
          <w:sz w:val="16"/>
          <w:szCs w:val="16"/>
        </w:rPr>
        <w:softHyphen/>
        <w:t>лу перевозка по железной дороге представлялась чрезвычайно сложной и долгой, поэтому выбран был все-таки перелет группы самолетов. Для решения задуманного планировалось не позд</w:t>
      </w:r>
      <w:r w:rsidRPr="005E779E">
        <w:rPr>
          <w:rFonts w:ascii="Times New Roman" w:hAnsi="Times New Roman"/>
          <w:color w:val="000000" w:themeColor="text1"/>
          <w:sz w:val="16"/>
          <w:szCs w:val="16"/>
        </w:rPr>
        <w:softHyphen/>
        <w:t>нее августа 1932 г. создать одну тяжелую бомбарди</w:t>
      </w:r>
      <w:r w:rsidRPr="005E779E">
        <w:rPr>
          <w:rFonts w:ascii="Times New Roman" w:hAnsi="Times New Roman"/>
          <w:color w:val="000000" w:themeColor="text1"/>
          <w:sz w:val="16"/>
          <w:szCs w:val="16"/>
        </w:rPr>
        <w:softHyphen/>
        <w:t>ровочную авиабригаду для ОКДВА в составе двух эс</w:t>
      </w:r>
      <w:r w:rsidRPr="005E779E">
        <w:rPr>
          <w:rFonts w:ascii="Times New Roman" w:hAnsi="Times New Roman"/>
          <w:color w:val="000000" w:themeColor="text1"/>
          <w:sz w:val="16"/>
          <w:szCs w:val="16"/>
        </w:rPr>
        <w:softHyphen/>
        <w:t>кадрилий ТБ-1 и двух эскадрилий ТБ-3 (23378).</w:t>
      </w:r>
    </w:p>
    <w:p w14:paraId="66AEBFCF" w14:textId="77777777" w:rsidR="00D82FF1" w:rsidRPr="005E779E" w:rsidRDefault="00D82FF1" w:rsidP="000B7A6C">
      <w:pPr>
        <w:spacing w:after="0" w:line="240" w:lineRule="auto"/>
        <w:jc w:val="both"/>
        <w:rPr>
          <w:rFonts w:ascii="Times New Roman" w:hAnsi="Times New Roman"/>
          <w:color w:val="000000" w:themeColor="text1"/>
          <w:sz w:val="16"/>
          <w:szCs w:val="16"/>
        </w:rPr>
      </w:pPr>
    </w:p>
    <w:p w14:paraId="00EFAFB5" w14:textId="77777777" w:rsidR="00033E6C" w:rsidRPr="005E779E" w:rsidRDefault="00033E6C" w:rsidP="00033E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06345779" w14:textId="77777777" w:rsidR="00033E6C" w:rsidRPr="005E779E" w:rsidRDefault="00033E6C" w:rsidP="00033E6C">
      <w:pPr>
        <w:autoSpaceDE w:val="0"/>
        <w:autoSpaceDN w:val="0"/>
        <w:adjustRightInd w:val="0"/>
        <w:spacing w:after="0" w:line="240" w:lineRule="auto"/>
        <w:jc w:val="both"/>
        <w:rPr>
          <w:rFonts w:ascii="Times New Roman" w:hAnsi="Times New Roman"/>
          <w:iCs/>
          <w:color w:val="000000" w:themeColor="text1"/>
          <w:sz w:val="16"/>
          <w:szCs w:val="16"/>
        </w:rPr>
      </w:pPr>
    </w:p>
    <w:p w14:paraId="43BF1E34" w14:textId="77777777" w:rsidR="00033E6C" w:rsidRPr="00142305" w:rsidRDefault="00033E6C" w:rsidP="00033E6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зиме 1931-1932 г. машину АНТ-9 с тремя двигателями М-26 выпус</w:t>
      </w:r>
      <w:r w:rsidRPr="00142305">
        <w:rPr>
          <w:rFonts w:ascii="Times New Roman" w:hAnsi="Times New Roman"/>
          <w:color w:val="0070C0"/>
          <w:sz w:val="16"/>
          <w:szCs w:val="16"/>
        </w:rPr>
        <w:softHyphen/>
        <w:t>тили на испытания в НИИ ГВФ Летали на лыжах. Данные сильно разочаровали всех. Максимальная скорость не превышала 180 км/ч. Даже с поправкой на вес лыж (которые всегда тяжелее колес) и создава</w:t>
      </w:r>
      <w:r w:rsidRPr="00142305">
        <w:rPr>
          <w:rFonts w:ascii="Times New Roman" w:hAnsi="Times New Roman"/>
          <w:color w:val="0070C0"/>
          <w:sz w:val="16"/>
          <w:szCs w:val="16"/>
        </w:rPr>
        <w:softHyphen/>
        <w:t>емое ими дополнительное сопротивление, это выглядело просто отвратительно. Кро</w:t>
      </w:r>
      <w:r w:rsidRPr="00142305">
        <w:rPr>
          <w:rFonts w:ascii="Times New Roman" w:hAnsi="Times New Roman"/>
          <w:color w:val="0070C0"/>
          <w:sz w:val="16"/>
          <w:szCs w:val="16"/>
        </w:rPr>
        <w:softHyphen/>
        <w:t>ме того, выявился ряд конструктивных и производственных дефектов. Произошло несколько обрывов маслопроводов - ре</w:t>
      </w:r>
      <w:r w:rsidRPr="00142305">
        <w:rPr>
          <w:rFonts w:ascii="Times New Roman" w:hAnsi="Times New Roman"/>
          <w:color w:val="0070C0"/>
          <w:sz w:val="16"/>
          <w:szCs w:val="16"/>
        </w:rPr>
        <w:softHyphen/>
        <w:t>комендовали заменить медные трубки на импортные шланги. При попытке запустить мотор пневмопуском начали вращаться два других двигателя - травили краны. Испытания завершили в середине янва</w:t>
      </w:r>
      <w:r w:rsidRPr="00142305">
        <w:rPr>
          <w:rFonts w:ascii="Times New Roman" w:hAnsi="Times New Roman"/>
          <w:color w:val="0070C0"/>
          <w:sz w:val="16"/>
          <w:szCs w:val="16"/>
        </w:rPr>
        <w:softHyphen/>
        <w:t>ря 1932 г.</w:t>
      </w:r>
    </w:p>
    <w:p w14:paraId="15F677A0" w14:textId="77777777" w:rsidR="00033E6C" w:rsidRPr="00142305" w:rsidRDefault="00033E6C" w:rsidP="00033E6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Рассматривавшая их результаты комиссия пришла к выводу, что установ</w:t>
      </w:r>
      <w:r w:rsidRPr="00142305">
        <w:rPr>
          <w:rFonts w:ascii="Times New Roman" w:hAnsi="Times New Roman"/>
          <w:color w:val="0070C0"/>
          <w:sz w:val="16"/>
          <w:szCs w:val="16"/>
        </w:rPr>
        <w:softHyphen/>
        <w:t>ленные винты для М-26 тяжеловаты На машину поставили пропеллеры с тем же шагом, но меньшим диаметром - 2,65 м против 2,7 м. Это немного улучшило лет</w:t>
      </w:r>
      <w:r w:rsidRPr="00142305">
        <w:rPr>
          <w:rFonts w:ascii="Times New Roman" w:hAnsi="Times New Roman"/>
          <w:color w:val="0070C0"/>
          <w:sz w:val="16"/>
          <w:szCs w:val="16"/>
        </w:rPr>
        <w:softHyphen/>
        <w:t>ные данные. Максимальная скорость до</w:t>
      </w:r>
      <w:r w:rsidRPr="00142305">
        <w:rPr>
          <w:rFonts w:ascii="Times New Roman" w:hAnsi="Times New Roman"/>
          <w:color w:val="0070C0"/>
          <w:sz w:val="16"/>
          <w:szCs w:val="16"/>
        </w:rPr>
        <w:softHyphen/>
        <w:t>шла до 190 км/ч. Но все равно показатели получились хуже, чем с «райтами».</w:t>
      </w:r>
    </w:p>
    <w:p w14:paraId="2B57FA96" w14:textId="77777777" w:rsidR="00033E6C" w:rsidRPr="00142305" w:rsidRDefault="00033E6C" w:rsidP="00033E6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Но «райтов» не имелось, а М-26 да</w:t>
      </w:r>
      <w:r w:rsidRPr="00142305">
        <w:rPr>
          <w:rFonts w:ascii="Times New Roman" w:hAnsi="Times New Roman"/>
          <w:color w:val="0070C0"/>
          <w:sz w:val="16"/>
          <w:szCs w:val="16"/>
        </w:rPr>
        <w:softHyphen/>
        <w:t>вали сколько угодно. Поэтому за первым самолетом последовали другие. Серий</w:t>
      </w:r>
      <w:r w:rsidRPr="00142305">
        <w:rPr>
          <w:rFonts w:ascii="Times New Roman" w:hAnsi="Times New Roman"/>
          <w:color w:val="0070C0"/>
          <w:sz w:val="16"/>
          <w:szCs w:val="16"/>
        </w:rPr>
        <w:softHyphen/>
        <w:t>ный самолет с М-26 стоил дешевле, чем с «райтами», - 110 000 рублей плюс 55 000 рублей - моторы. К концу года за</w:t>
      </w:r>
      <w:r w:rsidRPr="00142305">
        <w:rPr>
          <w:rFonts w:ascii="Times New Roman" w:hAnsi="Times New Roman"/>
          <w:color w:val="0070C0"/>
          <w:sz w:val="16"/>
          <w:szCs w:val="16"/>
        </w:rPr>
        <w:softHyphen/>
        <w:t>вод № 22 выпустил, в общей сложности, 33 АНТ-9 - меньше, чем по плану, но уже достаточно заметное количество (24949).</w:t>
      </w:r>
    </w:p>
    <w:p w14:paraId="69350E94" w14:textId="77777777" w:rsidR="00033E6C" w:rsidRPr="00142305" w:rsidRDefault="00033E6C" w:rsidP="00033E6C">
      <w:pPr>
        <w:spacing w:after="0" w:line="240" w:lineRule="auto"/>
        <w:jc w:val="both"/>
        <w:rPr>
          <w:rFonts w:ascii="Times New Roman" w:hAnsi="Times New Roman"/>
          <w:color w:val="0070C0"/>
          <w:sz w:val="16"/>
          <w:szCs w:val="16"/>
        </w:rPr>
      </w:pPr>
    </w:p>
    <w:p w14:paraId="337D258C" w14:textId="77777777" w:rsidR="00033E6C" w:rsidRPr="00142305" w:rsidRDefault="00033E6C" w:rsidP="00033E6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зиме 1931 г., отставая от графика более чем на пять месяцев, поплавковый Р-5 смогли выпустить, но Москва-река уже покрылась льдом и самолет отправили в Севастополь (24990).</w:t>
      </w:r>
    </w:p>
    <w:p w14:paraId="63164745" w14:textId="77777777" w:rsidR="00033E6C" w:rsidRPr="00142305" w:rsidRDefault="00033E6C" w:rsidP="00033E6C">
      <w:pPr>
        <w:spacing w:after="0" w:line="240" w:lineRule="auto"/>
        <w:jc w:val="both"/>
        <w:rPr>
          <w:rFonts w:ascii="Times New Roman" w:hAnsi="Times New Roman"/>
          <w:color w:val="0070C0"/>
          <w:sz w:val="16"/>
          <w:szCs w:val="16"/>
        </w:rPr>
      </w:pPr>
    </w:p>
    <w:p w14:paraId="561E570A" w14:textId="77777777" w:rsidR="00033E6C" w:rsidRPr="005E779E" w:rsidRDefault="00033E6C" w:rsidP="00033E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64FE0FF8" w14:textId="77777777" w:rsidR="00033E6C" w:rsidRPr="005E779E" w:rsidRDefault="00033E6C" w:rsidP="00033E6C">
      <w:pPr>
        <w:autoSpaceDE w:val="0"/>
        <w:autoSpaceDN w:val="0"/>
        <w:adjustRightInd w:val="0"/>
        <w:spacing w:after="0" w:line="240" w:lineRule="auto"/>
        <w:jc w:val="both"/>
        <w:rPr>
          <w:rFonts w:ascii="Times New Roman" w:hAnsi="Times New Roman"/>
          <w:iCs/>
          <w:color w:val="000000" w:themeColor="text1"/>
          <w:sz w:val="16"/>
          <w:szCs w:val="16"/>
        </w:rPr>
      </w:pPr>
    </w:p>
    <w:p w14:paraId="63B1A8F3" w14:textId="77777777" w:rsidR="00033E6C" w:rsidRPr="00142305" w:rsidRDefault="00033E6C" w:rsidP="00033E6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зиме 1931-1932 гг. были завершены заводские испытания трактора Миронова и Горякова АТТБ ОГПУ – забронированного Катерпиллера с отечественным двухтактным бескомпрессорным дизелем, в ходе которых от облегченной гусеницы отказались, отдав предпочтение оригинальной гусенице, заимствованной от трактора «Sixty» (25589).</w:t>
      </w:r>
    </w:p>
    <w:p w14:paraId="31AB53E9" w14:textId="77777777" w:rsidR="00033E6C" w:rsidRPr="00142305" w:rsidRDefault="00033E6C" w:rsidP="00033E6C">
      <w:pPr>
        <w:spacing w:after="0" w:line="240" w:lineRule="auto"/>
        <w:jc w:val="both"/>
        <w:rPr>
          <w:rFonts w:ascii="Times New Roman" w:hAnsi="Times New Roman"/>
          <w:color w:val="0070C0"/>
          <w:sz w:val="16"/>
          <w:szCs w:val="16"/>
        </w:rPr>
      </w:pPr>
    </w:p>
    <w:p w14:paraId="62DB1708"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0A0F6C18"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CB294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декабрю 1931 на 39 заводе был закончен МБР-2 М-17 и к весне 1932 был доставлен на гидробазу 45 завода в Севастополь (2555,14).</w:t>
      </w:r>
    </w:p>
    <w:p w14:paraId="39FA02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73EA617"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4976A608"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7CC6D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декабря 1931 на испытания в НИИ ВВС был предъявлен для специальных испытаний самолет типа ТБ-1, серии N 8, построенный на заводе N 22 с мотором 2хМ-17, 500НР NN 26427, 26430, степень сжатия 1:6 постройки завода N 26 серии 4 с воздушными винтами диам. 3,3, шаг 2,42 м (2995).</w:t>
      </w:r>
    </w:p>
    <w:p w14:paraId="288DE2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644CE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декабря 1931 года опытный экземпляр звена ТБ-1 + И-4 был готов. Все три самолета раздельно в целях соблюдения секретности, были перегнаны в Монино, где был проведен пробный полет в составе следующего экипажа:</w:t>
      </w:r>
    </w:p>
    <w:p w14:paraId="78B73B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летчик на ТБ1 - Залевский</w:t>
      </w:r>
    </w:p>
    <w:p w14:paraId="287EB8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второй летчик на ТБ1 - Шарапов</w:t>
      </w:r>
    </w:p>
    <w:p w14:paraId="20794F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летчик наблюдатель - Вахмистров</w:t>
      </w:r>
    </w:p>
    <w:p w14:paraId="68ECFB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второй летчик наблюдатель - Морозов</w:t>
      </w:r>
    </w:p>
    <w:p w14:paraId="6673C1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летчик на И4 - Анисимов</w:t>
      </w:r>
    </w:p>
    <w:p w14:paraId="01E382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летчик на втором И4 - Чекалов</w:t>
      </w:r>
    </w:p>
    <w:p w14:paraId="1006EE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звено легко оторвался в воздух, быстро набрал высоту в 1000 м, на которой по сигналу оба истребителя были освобождены. Они благополучно отделились от Тб1. По окончании полета все три самолета приземлились в Монино (3788).</w:t>
      </w:r>
    </w:p>
    <w:p w14:paraId="74F162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B649CF5" w14:textId="77777777" w:rsidR="00D52B7D" w:rsidRPr="005E779E" w:rsidRDefault="00D52B7D"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1 декабря 1931 г. ТБ-1 и два И-4 перелетели на аэродром Монино, для испытаний были выделены самые опытные лётчики. Пилотировать бомбардировщик должны были А.И. Залевский (командир корабля) и А.Р. Шарапов, в задней кабине находились В.С. Вахмистров и бортинженер В.В. Морозов. Лётчиком левого И-4 назначили B.П. Чкалова, правого — А.Ф. Анисимова.</w:t>
      </w:r>
    </w:p>
    <w:p w14:paraId="0DE64FBA" w14:textId="77777777" w:rsidR="00D52B7D" w:rsidRPr="005E779E" w:rsidRDefault="00D52B7D"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Полёт самолёта-звена состоялся 3 декабря. Шарапов слишком рано освободил передние замки истребителя Анисимова, который не успел увеличить угол атаки, что едва не привело к трагедии.</w:t>
      </w:r>
    </w:p>
    <w:p w14:paraId="578D5BA0" w14:textId="77777777" w:rsidR="00D52B7D" w:rsidRPr="005E779E" w:rsidRDefault="00D52B7D"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Описание опасного эксперимента содержится в докладе Валерия Чкалова, написанном сразу после полёта: «Самолёты И4 после прогрева моторов на земле были закатаны на самолёт ТБ1, где сразу же установлены на замки… После запуска всех моторов были даны разные режимы моторов на месте, никаких вибраций нет. После вторичного осмотра замков и креплений „самолёт-звено“ начал рулёжку, сначала на моторах ТБ1.</w:t>
      </w:r>
    </w:p>
    <w:p w14:paraId="6500E6C9" w14:textId="77777777" w:rsidR="00D52B7D" w:rsidRPr="005E779E" w:rsidRDefault="00D52B7D"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Я наблюдал за правым самолётом И4 и заметил, что в креплении замков у шасси имеется качание. После рулёжки на одних моторах ТБ1 была произведена рулёжка с поднятым хвостом на всех четырёх моторах. Обороты И4 1000 об/мин. Никаких ненормальностей нет. Качания правого И4 при 1000 об/мин отсутствовало.</w:t>
      </w:r>
    </w:p>
    <w:p w14:paraId="6EA288CE" w14:textId="77777777" w:rsidR="00D52B7D" w:rsidRPr="005E779E" w:rsidRDefault="00D52B7D"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После этого был произведен тщательный осмотр замков и креплений и был дан старт. Моторы ТБ1 имели обороты для взлёта, а моторы И4 — 1450 об/мин. Взлёт нормальный, отрыв быстрее, чем у одного ТБ, набор высоты производился на небольшой скорости — 145–150 км/ч. Вибраций никаких не заметно.</w:t>
      </w:r>
    </w:p>
    <w:p w14:paraId="6C67343B" w14:textId="77777777" w:rsidR="00D52B7D" w:rsidRPr="005E779E" w:rsidRDefault="00D52B7D"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На высоте 1000 м произведено отцепление самолётов И4, сначала правого, затем меня. После дачи сигнала „отцепи хвост“ правому И4 таковое произошло, но тренога ещё не опустилась, в этот момент произведено было отцепление передних замков. Самолёт И4 оторвался на полметра вверх от замков, ударился за ними о плоскость ТБ1, поломал себе винт и пробил обшивку крыла ТБ1, и низко над плоскостью сошёл вправо.</w:t>
      </w:r>
    </w:p>
    <w:p w14:paraId="4E4B9CC4" w14:textId="77777777" w:rsidR="00D52B7D" w:rsidRPr="005E779E" w:rsidRDefault="00D52B7D"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lastRenderedPageBreak/>
        <w:t xml:space="preserve">В момент удара правого И4 о плоскость ТБ1 произвели сбрасывание меня (левого). Как только были освобождены замки моего самолёта, я немного взял ручку рулей на себя и мой самолёт был уже метров на десять выше ТБ1. Пройдя над ТБ1, посмотрел за его правой плоскостью и после этого посмотрел шасси правого И4, они были исправны, после всего этого пошёл на посадку. Весь полёт, как в звене, так и одиночку, нормален… Полёт длился 12 минут» </w:t>
      </w:r>
      <w:hyperlink r:id="rId217" w:history="1">
        <w:r w:rsidRPr="005E779E">
          <w:rPr>
            <w:rFonts w:ascii="Times New Roman" w:eastAsia="Times New Roman" w:hAnsi="Times New Roman"/>
            <w:color w:val="000000" w:themeColor="text1"/>
            <w:sz w:val="16"/>
            <w:szCs w:val="16"/>
            <w:lang w:eastAsia="ru-RU"/>
          </w:rPr>
          <w:t>[75]</w:t>
        </w:r>
      </w:hyperlink>
      <w:r w:rsidRPr="005E779E">
        <w:rPr>
          <w:rFonts w:ascii="Times New Roman" w:eastAsia="Times New Roman" w:hAnsi="Times New Roman"/>
          <w:color w:val="000000" w:themeColor="text1"/>
          <w:sz w:val="16"/>
          <w:szCs w:val="16"/>
          <w:lang w:eastAsia="ru-RU"/>
        </w:rPr>
        <w:t xml:space="preserve"> .</w:t>
      </w:r>
    </w:p>
    <w:p w14:paraId="45C9E33E" w14:textId="77777777" w:rsidR="00D52B7D" w:rsidRPr="005E779E" w:rsidRDefault="00D52B7D"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В докладе Вахмистрова содержится похожее, но не идентичное описание ЧП при разъединении «звена»: «На высоте 1000 м при скорости 160 км/час было произведено отцепление самолётов почти одновременное, причём ввиду того, что правый самолёт был отцеплен в тот момент, когда у него был поднят хвост, при срыве, не имея достаточной подъемной силы, он ударился колесом о 3-й лонжерон ТБ1, пробил гофр и лопастью винта помял ногу правого паука (треноги. — Д.С.) установки, отбив концы лопастей винта. Посадка всех трёх самолётов по одиночке произведена благополучно на Монинском аэродроме» </w:t>
      </w:r>
      <w:hyperlink r:id="rId218" w:history="1">
        <w:r w:rsidRPr="005E779E">
          <w:rPr>
            <w:rFonts w:ascii="Times New Roman" w:eastAsia="Times New Roman" w:hAnsi="Times New Roman"/>
            <w:color w:val="000000" w:themeColor="text1"/>
            <w:sz w:val="16"/>
            <w:szCs w:val="16"/>
            <w:lang w:eastAsia="ru-RU"/>
          </w:rPr>
          <w:t>[76]</w:t>
        </w:r>
      </w:hyperlink>
      <w:r w:rsidRPr="005E779E">
        <w:rPr>
          <w:rFonts w:ascii="Times New Roman" w:eastAsia="Times New Roman" w:hAnsi="Times New Roman"/>
          <w:color w:val="000000" w:themeColor="text1"/>
          <w:sz w:val="16"/>
          <w:szCs w:val="16"/>
          <w:lang w:eastAsia="ru-RU"/>
        </w:rPr>
        <w:t xml:space="preserve"> .</w:t>
      </w:r>
    </w:p>
    <w:p w14:paraId="6D1FABC5" w14:textId="77777777" w:rsidR="00D52B7D" w:rsidRPr="005E779E" w:rsidRDefault="00D52B7D"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Как бы то ни было, всё закончилось хорошо, идея самолёта-звена доказала жизнеспособность. Не вдаваясь в подробности, руководство НИИ ВВС подготовило высшему командованию письмо о первом в мире успешном испытании самолёта-звена и получило указание продолжить испытания (17489).</w:t>
      </w:r>
    </w:p>
    <w:p w14:paraId="730D9422" w14:textId="77777777" w:rsidR="00D52B7D" w:rsidRPr="005E779E" w:rsidRDefault="00D52B7D" w:rsidP="000B7A6C">
      <w:pPr>
        <w:spacing w:after="0" w:line="240" w:lineRule="auto"/>
        <w:jc w:val="both"/>
        <w:rPr>
          <w:rFonts w:ascii="Times New Roman" w:eastAsia="Times New Roman" w:hAnsi="Times New Roman"/>
          <w:color w:val="000000" w:themeColor="text1"/>
          <w:sz w:val="16"/>
          <w:szCs w:val="16"/>
          <w:lang w:eastAsia="ru-RU"/>
        </w:rPr>
      </w:pPr>
    </w:p>
    <w:p w14:paraId="6AF8C805" w14:textId="77777777" w:rsidR="001D0400" w:rsidRPr="005E779E" w:rsidRDefault="001D0400" w:rsidP="000B7A6C">
      <w:pPr>
        <w:pStyle w:val="rtejustify"/>
        <w:spacing w:before="0" w:after="0"/>
        <w:rPr>
          <w:color w:val="000000" w:themeColor="text1"/>
          <w:sz w:val="16"/>
          <w:szCs w:val="16"/>
        </w:rPr>
      </w:pPr>
      <w:r w:rsidRPr="005E779E">
        <w:rPr>
          <w:color w:val="000000" w:themeColor="text1"/>
          <w:sz w:val="16"/>
          <w:szCs w:val="16"/>
        </w:rPr>
        <w:t xml:space="preserve">По состоянию на 1 декабря 1931 г. в справке НК РКИ о </w:t>
      </w:r>
      <w:r w:rsidRPr="005E779E">
        <w:rPr>
          <w:rStyle w:val="af0"/>
          <w:i w:val="0"/>
          <w:color w:val="000000" w:themeColor="text1"/>
          <w:sz w:val="16"/>
          <w:szCs w:val="16"/>
        </w:rPr>
        <w:t>выполнении постановления СТО СССР 25 июля 1931 г.</w:t>
      </w:r>
      <w:r w:rsidRPr="005E779E">
        <w:rPr>
          <w:color w:val="000000" w:themeColor="text1"/>
          <w:sz w:val="16"/>
          <w:szCs w:val="16"/>
        </w:rPr>
        <w:t xml:space="preserve"> указывалось, что сделано: I. По опытному строительству: п. 1, 11, 12 и 17 не выполнены; п. 14 и 18 выполнены частично; п. 13, 15 и 16 выполняются с запозданием. Пункт 2: отмечены достижения по Институту авиационных моторов — успешно завершены работы по мотору М</w:t>
      </w:r>
      <w:r w:rsidRPr="005E779E">
        <w:rPr>
          <w:color w:val="000000" w:themeColor="text1"/>
          <w:sz w:val="16"/>
          <w:szCs w:val="16"/>
        </w:rPr>
        <w:noBreakHyphen/>
        <w:t>34, отмечены удовлетворительные результаты в области исследования и применения новых авиационных сплавов. Пункт о привлечении иностранной помощи выполняется неудовлетворительно. Пункт 3: моторостроение — «при ИАМе создан специальный отдел серийного производства, разработано положение о его работе и порядок введения опытных образцов в серию», начато изучение методики «Гипроспецмета по проектированию технологических процессов и оборудованию заводов серийного производства». Самолетостроение, специальный отдел ЦАГИ по внедрению опытных образцов в серийное производство не ведет работы должными темпами из-за отсутствия достаточно квалифицированных инженеров. Пункт 4: ИАМ распределил свои опытные моторы по заводам серийного производства, учтя их производственные возможности и опыт. Однако по самолетам полная увязка отсутствует: АНТ</w:t>
      </w:r>
      <w:r w:rsidRPr="005E779E">
        <w:rPr>
          <w:color w:val="000000" w:themeColor="text1"/>
          <w:sz w:val="16"/>
          <w:szCs w:val="16"/>
        </w:rPr>
        <w:noBreakHyphen/>
        <w:t>14 выпуска 1930 г. до этого момента полностью не испытан и не включен в серийное производство 1932 г. Пункт 5: в ИАМе активизирован процесс по созданию технологического отдела; в ЦАГИ проведены большие работы по хромомолибденовым трубам. Пункт 6: запроектированы самолеты ТШ и ТБ-4 стальной конструкции; на 1932 г. в серийное производство включены тяжелые самолеты ТБ</w:t>
      </w:r>
      <w:r w:rsidRPr="005E779E">
        <w:rPr>
          <w:color w:val="000000" w:themeColor="text1"/>
          <w:sz w:val="16"/>
          <w:szCs w:val="16"/>
        </w:rPr>
        <w:noBreakHyphen/>
        <w:t>3, ТБ</w:t>
      </w:r>
      <w:r w:rsidRPr="005E779E">
        <w:rPr>
          <w:color w:val="000000" w:themeColor="text1"/>
          <w:sz w:val="16"/>
          <w:szCs w:val="16"/>
        </w:rPr>
        <w:noBreakHyphen/>
        <w:t>1, АНТ</w:t>
      </w:r>
      <w:r w:rsidRPr="005E779E">
        <w:rPr>
          <w:color w:val="000000" w:themeColor="text1"/>
          <w:sz w:val="16"/>
          <w:szCs w:val="16"/>
        </w:rPr>
        <w:noBreakHyphen/>
        <w:t>9. Пункт 7: ИАМ создал нефтяной отдел, где проводятся эксперименты с одноцилиндровыми установками, начаты работы по проектированию дизель-моторов. Однако в части привлечения иностранной технической помощи для постройки 5 дизелей и по вопросам остановки мотора в воздухе постановление не выполнено. Пункт 8: успешно проведены испытания и начато серийное производство мотора 65 НР. В ЦАГИ запроектированы и будут построены в 1932 г. 2 маломощных самолета, однако массовый выпуск маломощных самолетов на повестку дня не поставлен. Пункт 9 выполнен полностью. Пункт 10: капитальное строительство опытных организаций идет неудовлетворительно; Президиум ВСНХ специальных указаний не дал и не контролировал выполнение этого решения трестами и объединениями. II. По иностранной технической помощи: ВАО был разработан план реализации постановления по привлечению иностранной технической помощи и представлена смета. Однако иностранный отдел ВСНХ не оформил командировок и не перевел необходимые средства. Все пункты этого раздела не выполнены. III. По выполнению плана строительства и программы 1931 г.: выполнены только пункты 4“в”, 5, 8, 11 и 12. V. По кадрам: не выполнены пункты 6“б”, 7“в”, 8, 11</w:t>
      </w:r>
      <w:r w:rsidRPr="005E779E">
        <w:rPr>
          <w:color w:val="000000" w:themeColor="text1"/>
          <w:sz w:val="16"/>
          <w:szCs w:val="16"/>
        </w:rPr>
        <w:noBreakHyphen/>
        <w:t>14, 17, 18. Разделы VI</w:t>
      </w:r>
      <w:r w:rsidRPr="005E779E">
        <w:rPr>
          <w:color w:val="000000" w:themeColor="text1"/>
          <w:sz w:val="16"/>
          <w:szCs w:val="16"/>
        </w:rPr>
        <w:noBreakHyphen/>
        <w:t>VIII выполнены полностью. (ГА РФ. Ф. Р</w:t>
      </w:r>
      <w:r w:rsidRPr="005E779E">
        <w:rPr>
          <w:color w:val="000000" w:themeColor="text1"/>
          <w:sz w:val="16"/>
          <w:szCs w:val="16"/>
        </w:rPr>
        <w:noBreakHyphen/>
        <w:t>8418. Оп. 5. Д. 163. Л. 123</w:t>
      </w:r>
      <w:r w:rsidRPr="005E779E">
        <w:rPr>
          <w:color w:val="000000" w:themeColor="text1"/>
          <w:sz w:val="16"/>
          <w:szCs w:val="16"/>
        </w:rPr>
        <w:noBreakHyphen/>
        <w:t>136 (12535).</w:t>
      </w:r>
    </w:p>
    <w:p w14:paraId="651E68C4" w14:textId="77777777" w:rsidR="001D0400" w:rsidRPr="005E779E" w:rsidRDefault="001D0400" w:rsidP="000B7A6C">
      <w:pPr>
        <w:spacing w:after="0" w:line="240" w:lineRule="auto"/>
        <w:jc w:val="both"/>
        <w:rPr>
          <w:rFonts w:ascii="Times New Roman" w:hAnsi="Times New Roman"/>
          <w:color w:val="000000" w:themeColor="text1"/>
          <w:sz w:val="16"/>
          <w:szCs w:val="16"/>
          <w:u w:color="002060"/>
        </w:rPr>
      </w:pPr>
    </w:p>
    <w:p w14:paraId="5AA618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декабря 1931 года приказ ВВС № 317/143</w:t>
      </w:r>
    </w:p>
    <w:p w14:paraId="30FDEC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 исполнение приказа зам. наркомвоенмора Тухачевского за № 113/3 КБ, назначенная мною комиссия по выявлению дела постановки и использования изобретательства и реализации рационализаторских предложений в НИИ ВВС установила:</w:t>
      </w:r>
    </w:p>
    <w:p w14:paraId="1869B79E"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Несмотря на ряд партийных и правительственных постановлений, приказов РВС и моих, о максимальном внимании к изобретательским и рационализаторским предложениям, как одному из рычагов, увеличивающих боеготовность Воздушного Флота – командование НИИ, Политорганизация и Парторганизация не уделяли этому вопросу внимания. Огромный творческий коллектив изобретателей и рационализаторов со стороны НИИ не только не получал помощь, содействие и руководство, нов силу невнимательного отношения, часто тормозил реализацию ценнейших предложений для ВВС. До 50% всех полученных предложений хранится в "Секторе изобретений" и в отделы НИИ для заключения не направлялись. До 10% предложений еще вообще не прочитаны и с ними никто не ознакомился.</w:t>
      </w:r>
    </w:p>
    <w:p w14:paraId="2AB5F7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течение последнего месяца было рассмотрено начальником "Сектора изобретений" по его заявлению 306 дел. Рассмотрение такого большого количества изобретений и рационализаторских предложений в один месяц вызывает сомнение в достаточно внимательном изучении и полноте оценки последних. Отсутствует учет предложений по видам изобретений, не разграничены крупные изобретения от мелких предложений и негодных, "живые" дела хранятся в общей куче с архивными. Предложения, идущие от работников авиачастей рассматриваются чрезвычайно медленно. Авторы предложений, несмотря на настойчивые запросы, ответов в большинстве случаев не получают. Некоторые изобретения совершенно утеряны.</w:t>
      </w:r>
    </w:p>
    <w:p w14:paraId="21EB62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Даже то небольшое количество усовершенствований и изобретений, которое проходя через "рогатки" получило наконец одобрение и признано подлежащим реализации, остается в бумагах и в лучшем случае, автор получает премию. Как правило, до внедрения в серийное производство и принятия на вооружение (снабжение) дело не доводится, а погибает в бумагах, так как никто за это дело персонально не отвечает.</w:t>
      </w:r>
    </w:p>
    <w:p w14:paraId="5E1E05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Рационализаторские предложения не доводятся до сведения строевых частей. Одобренные специальной выездной бригадой НИИ 240 предложений не име.т окончательного решения, хотя многие из них имеют крупное значение. По 14-ти ценным предложениям 6 Авиабригады решений не принято. Предложения 7-й авиабригады и Липецкой Авиагруппы не рассмотрены. Ни одно из изобретений не испытано и не оформлено принятием на вооружение ВВС. Только немногим отличается судьба изобретательских предложений Гроховского. Построенные им образцы испытывались только им же. Никаких программ и протоколов испытания нет. Даже после демонстрации образцов на специальных учениях и маневрах – их испытание в НИИ и принятие на вооружение (снабжение) не проведено до последнего времени.</w:t>
      </w:r>
    </w:p>
    <w:p w14:paraId="40B9C2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Дальше такое положение вещей терпимо быть не может.</w:t>
      </w:r>
    </w:p>
    <w:p w14:paraId="315C0E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Приказываю:</w:t>
      </w:r>
    </w:p>
    <w:p w14:paraId="33A3F9AC"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Начальнику НИИ ВВС немедленно реорганизовать конструкторский отдел НИИ, возложив на него задачи организации, руководства и планирования изобретательского и рационализаторского дела в ВВС с реализацией полезных изобретений и усовершенствований. Отдел несет ответственность от начала прохождения предложений до момента окончания испытания построенного образца, принятия его на снабжение ВВС и внедрения в серийное производство.</w:t>
      </w:r>
    </w:p>
    <w:p w14:paraId="34ADFA6D"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Конструкторскому отделу объединить в своей работе изобретателей и рационализаторов ВВС, давая им на разработку определенно наиболее актуальные для ВВС задания, всячески обеспечивая реализацию их предложений.</w:t>
      </w:r>
    </w:p>
    <w:p w14:paraId="116CF141"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Существующий "Сектор изобретения" НИИ как ненужную и беспомощную организацию – ликвидировать. Находящиеся в секторе дела рассмотреть вторично; предложения разбить по важности, актуальности и роду изобретения. В двух декадный срок сообщить всем авторам заключение НИИ по рассмотренным предложениям.</w:t>
      </w:r>
    </w:p>
    <w:p w14:paraId="1B70134C"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Начальнику НИИ не позднее февраля организовать совещание с изобретателями и рационализаторами. Состав участников совещания и повестку совещаний доложить мне не позднее 15 января 1932 года.</w:t>
      </w:r>
    </w:p>
    <w:p w14:paraId="35A1056E"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Конструкторскую группу Гроховского вместе с мастерскими НИИ ВВС выделить в самостоятельную организацию. Группу эту перевести на строгий хозрасчет, предоставив ……………………. аналогичные других конструкторских бюро, Осконбюро). Руководство Конструкторским бюро Гроховского и контроль выполнения плана работ возлагаю на начальника НИИ ВВС. Испытание всех построенных образцов производить НИИ на общих основаниях.</w:t>
      </w:r>
    </w:p>
    <w:p w14:paraId="7D5A16FD"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Начальнику НИИ не позднее 25 декабря 1931 года доложить мне о выполнении настоящего приказа.</w:t>
      </w:r>
    </w:p>
    <w:p w14:paraId="0430D3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начальника ВВС Наумов) (7427, 42-44).</w:t>
      </w:r>
    </w:p>
    <w:p w14:paraId="602C15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84ADF6B" w14:textId="77777777" w:rsidR="000D04DE" w:rsidRPr="005E779E" w:rsidRDefault="000D04D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декабря 1931 года Приказом начальника ВВС № 317/143 конструкторская группа П. Гроховского вместе с мастерскими НИИ ВВС выделялась в самостоятельную организацию – Особое конструкторское бюро (Осконбюро), которая была переведена на строгий хозрасчет. Ей были предоставлены такие же права, как и другим конструкторским бюро (КБ) (РГВА. Ф. 29. Оп. 71. Д. 1. Лл. 340-341.) (21402).</w:t>
      </w:r>
    </w:p>
    <w:p w14:paraId="1B69F539" w14:textId="77777777" w:rsidR="000D04DE" w:rsidRPr="005E779E" w:rsidRDefault="000D04DE" w:rsidP="000B7A6C">
      <w:pPr>
        <w:spacing w:after="0" w:line="240" w:lineRule="auto"/>
        <w:jc w:val="both"/>
        <w:rPr>
          <w:rFonts w:ascii="Times New Roman" w:hAnsi="Times New Roman"/>
          <w:color w:val="000000" w:themeColor="text1"/>
          <w:sz w:val="16"/>
          <w:szCs w:val="16"/>
        </w:rPr>
      </w:pPr>
    </w:p>
    <w:p w14:paraId="1653EA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 декабря 1931 года по 15 января 1932 года на полигоне НИИ ВВС проходили испытания бомб - корпус железный, насыпные осколки - бомба осколочная и осколочно-химическая (3326).</w:t>
      </w:r>
    </w:p>
    <w:p w14:paraId="2C5F5E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1A997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декабря 1931 года зам. председателя РВС Тухачевский писал письмо N 5/3200сс в комиссию обороны СНК.</w:t>
      </w:r>
    </w:p>
    <w:p w14:paraId="422ED9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Доклад о состоянии авиабомбостроительства</w:t>
      </w:r>
    </w:p>
    <w:p w14:paraId="1A495B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Опытное строительство</w:t>
      </w:r>
    </w:p>
    <w:p w14:paraId="0B427C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Оснащение армии новыми образцами авиабомб началось с 1931 года. До этого времени на вооружении имелось и установлено было производством 4 типа авиабомб мелкого калибра (8 кг, 16 кг, 32 кг и 82 кг фугасных бомб). Не существовало также и базы для проектирования и изготовления новых опытных образцов.</w:t>
      </w:r>
    </w:p>
    <w:p w14:paraId="10A223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 втором квартале 1930 года было приступлено к организации КБ и опытной мастерской на заводе Мастяжарт (ныне Снарядного треста).</w:t>
      </w:r>
    </w:p>
    <w:p w14:paraId="373455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Научно-исследовательская работа и конструирование новых образцов фактически начались лишь в 1 квартале 1931 года, однако, ограниченные производственные возможности этой опытной мастерской (невозможность изготовления бомб крупных калибров), некомплект КБ специалистами инженерами чувствительно отражается на сроках изготовления опытной партии.</w:t>
      </w:r>
    </w:p>
    <w:p w14:paraId="6DBDDC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1 декабря 1931 года состояние работ по реализации системы вооружения представляется в следующем виде:</w:t>
      </w:r>
    </w:p>
    <w:p w14:paraId="27C163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Осколочные бомбы</w:t>
      </w:r>
    </w:p>
    <w:p w14:paraId="41257E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Предусмотрено системой вооружения 3 калибра бомб: 2, 10 и 25 кг.</w:t>
      </w:r>
    </w:p>
    <w:p w14:paraId="5678D1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 них: 2 кг испытаны; в виду малой эффективности ее в валовое производство не передана и работа по ней прекращена.</w:t>
      </w:r>
    </w:p>
    <w:p w14:paraId="73FC31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кг пущена в валовое производство со второго квартала 1931 года, как осколочная и осколочно-химическая бомба.</w:t>
      </w:r>
    </w:p>
    <w:p w14:paraId="2CFC9E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кг в стадии испытания, окончательное решение 1 января 1932 года.</w:t>
      </w:r>
    </w:p>
    <w:p w14:paraId="72624F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Фугасные бомбы</w:t>
      </w:r>
    </w:p>
    <w:p w14:paraId="4096FD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Предусмотрено 7 калибров: 25, 50, 100, 250,500, 1000 и 2000 кг бомба.</w:t>
      </w:r>
    </w:p>
    <w:p w14:paraId="7B891D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 них: 25 кг бомба в виду малой эффективности в валовое производство не передана и дальнейшие работы прекращены.</w:t>
      </w:r>
    </w:p>
    <w:p w14:paraId="562C62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 кг, 250, 500 и 1000 кг испытания окончены и передано в валовое производство.</w:t>
      </w:r>
    </w:p>
    <w:p w14:paraId="7FDDCF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 кг находится в стадии испытания; окончательное решение к 1 февраля 1932 года.</w:t>
      </w:r>
    </w:p>
    <w:p w14:paraId="7B80D5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2000 кг бомба - ввиду неподачи промышленностью опытной партии в 1931 г. испытания перенесены на 2-й квартал 1932 года.</w:t>
      </w:r>
    </w:p>
    <w:p w14:paraId="187C4F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АУ считает возможным передать в валовое производство изготовления их не дожидаясь опытной партии.</w:t>
      </w:r>
    </w:p>
    <w:p w14:paraId="740810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Бронебойные бомбы</w:t>
      </w:r>
    </w:p>
    <w:p w14:paraId="746F15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Предусмотрены 3 калибра: 250, 500 и 1000 кг.</w:t>
      </w:r>
    </w:p>
    <w:p w14:paraId="64AA4F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Промышленностью опытные партии не поданы, изготовление их предполагается лишь в III квартале 1932 года.</w:t>
      </w:r>
    </w:p>
    <w:p w14:paraId="74ADCA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мнению АУ 500 и 1000 кг могут быть спущены в валовое производство не дожидаясь этих опытных партий.</w:t>
      </w:r>
    </w:p>
    <w:p w14:paraId="4A3F2C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Химические бомбы</w:t>
      </w:r>
    </w:p>
    <w:p w14:paraId="749A2E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Предусмотрено 2 калибра: 25, со стойким ОВ, 100 кг со стойким и не стойким ОВ.</w:t>
      </w:r>
    </w:p>
    <w:p w14:paraId="59F0C0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 них 25 кг испытана и передается в производство, 100 кг находится в стадии изготовления опытной партии. В валовое производство может быть спущена в 1932 году.</w:t>
      </w:r>
    </w:p>
    <w:p w14:paraId="041AD8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Светящие бомбы</w:t>
      </w:r>
    </w:p>
    <w:p w14:paraId="14F445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Предусмотрено 4 калибра: 5, 10, 25 кг и 25 кг для ночной фотосъемки.</w:t>
      </w:r>
    </w:p>
    <w:p w14:paraId="7A2BF8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Изготовлены опытной партией, окончательное решение для валового производства по 5 кг - 1 января 1932 года и 10 кг и 25 кг светящимися к 1 февраля 1932 года и по 25 кг бомба для ночной фотосъемки к 1 июля 1932 года.</w:t>
      </w:r>
    </w:p>
    <w:p w14:paraId="03EF11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Зажигательные бомбы</w:t>
      </w:r>
    </w:p>
    <w:p w14:paraId="05721A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кг электронная бомба находится в стадии испытания. К 1 января 1932 года передается в валовое производство.</w:t>
      </w:r>
    </w:p>
    <w:p w14:paraId="0569BA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Дымовые бомбы</w:t>
      </w:r>
    </w:p>
    <w:p w14:paraId="4436B8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кг фосфорные испытания не выдержали. Калибр в 25 кг невелик. Разработан новый образец. Испытания январь-февраль.</w:t>
      </w:r>
    </w:p>
    <w:p w14:paraId="025E47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Гидростатические бомбы</w:t>
      </w:r>
    </w:p>
    <w:p w14:paraId="75DF79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 и 100 кг бомбы изготовлены - опытные партии. Образцы для введения на вооружение будут готовы в III кв. 1932 года.</w:t>
      </w:r>
    </w:p>
    <w:p w14:paraId="1947DF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Полигона для испытания с соответствующим штатом личного состава, пока еще не имеется и испытания ведутся весьма примитивно.</w:t>
      </w:r>
    </w:p>
    <w:p w14:paraId="756000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Одновременно Артиллерийским управлением проводится работа по подбору рецептуры взрывчатых веществ, обеспечивающих мощное фугасное действие аэробомб при минимальной их чувствительности к удару пули.</w:t>
      </w:r>
    </w:p>
    <w:p w14:paraId="7F0D69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Большое количество испытаний различных рецептур взрыв. веществ не дало удовлетворительных результатов и показало, что добиться резкого снижения чувствительности к пуле без снижения фугасного действия на 15-20% не удается.</w:t>
      </w:r>
    </w:p>
    <w:p w14:paraId="40A20A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Обеспечение безопасности аэробомб может быть также достигнуто утолщением стенок корпуса до 12 мм. Однако, это потребует переконструирования всех типов существующих аэробомб и не обеспечит безопасность их бронебойной пуле и к пуль крупнокалиберного пулемета.</w:t>
      </w:r>
    </w:p>
    <w:p w14:paraId="23887F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Следует отметить, что рецептура военного времени (суррогаты взрыв. веществ) обладают еще большей чувствительностью к пуле.</w:t>
      </w:r>
    </w:p>
    <w:p w14:paraId="469803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других странах эта задача по-видимому также не разрешена...</w:t>
      </w:r>
    </w:p>
    <w:p w14:paraId="50B990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Научно-исследовательская и опытная работа продолжаются рядом институтов по линии:</w:t>
      </w:r>
    </w:p>
    <w:p w14:paraId="79FC2B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максимальной флегматизации в.в. при усилении детонатора и устройства пластичных прослоек.</w:t>
      </w:r>
    </w:p>
    <w:p w14:paraId="5A1DB5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Выводы:</w:t>
      </w:r>
    </w:p>
    <w:p w14:paraId="40C5EE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Обязать промышленность крупные калибры авиабомб, по которым выданы заказы (2000 кг фугасная, 500 и 1000 кг бронебойные бомбы) подать на испытания в первой половине II квартала 1932 года (3535,3-10).</w:t>
      </w:r>
    </w:p>
    <w:p w14:paraId="0449CE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E83C850"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40A8674D"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78FBE55" w14:textId="2D29BAD3" w:rsidR="001D0400" w:rsidRPr="005E779E" w:rsidRDefault="001D040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1 декабря 1931 г ХПЗ сдал 17 танков Т-24 и подготовил к сдаче еще три машины. Ещетри танка находились всборке. По состоянию на 22 декабря 1931 г., 16 танков были отправлены в части, три находились в переборке, четыре — в стадии сборки и два прошли контрольные испытания. Таким образом, всего было выпущено 25 танков Т-24.Компоновочная схема танка Т-24 отличалась от классической трехъярусным размещением оружия и представляла собой улучшенный вариант схемы компоновки танка Т-12. По сравнению с предшественником новая машина имела меньшую толщину броневых листов и измененную конструкцию корпуса и башни. В лобовом листе корпуса слева появилась установка курсового пулемета. В корпусе была также произведена перекомпоновка оборудования с увеличением жесткости днища моторно-трансмиссионного отделения и переносом топливных баков из отделения управления в боковые ниши. Кроме того, в носовой части предусмотрели место для радиостанции.</w:t>
      </w:r>
      <w:r w:rsidR="00E21551">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Экипаж состоял из пяти—шести человек. Механик-водитель располагался у правого борта корпуса и осуществлял управление машиной с помощью рулевой колонки. Слева от механика-водителя размещался пулеметчик. Командир танка находился в главной башне и выполнял одновременно функции наводчика и пулеметчика. Справа от него было место заряжающего, который также выполнял обязанности стрелка из лобового башенного пулемета. В малой башне имелось рабочее место пулеметчика (12303).</w:t>
      </w:r>
    </w:p>
    <w:p w14:paraId="00856FB1" w14:textId="77777777" w:rsidR="001D0400" w:rsidRPr="005E779E" w:rsidRDefault="001D0400" w:rsidP="000B7A6C">
      <w:pPr>
        <w:spacing w:after="0" w:line="240" w:lineRule="auto"/>
        <w:jc w:val="both"/>
        <w:rPr>
          <w:rFonts w:ascii="Times New Roman" w:hAnsi="Times New Roman"/>
          <w:color w:val="000000" w:themeColor="text1"/>
          <w:sz w:val="16"/>
          <w:szCs w:val="16"/>
        </w:rPr>
      </w:pPr>
    </w:p>
    <w:p w14:paraId="3E6175B3" w14:textId="77777777" w:rsidR="00E21551" w:rsidRPr="00142305" w:rsidRDefault="00E21551" w:rsidP="00E2155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1 декабря 1931 г. ХПЗ сдал 17 танков Т-24 и подготовил к сдаче еще три машины. Еще три танкаа находились в сборке. По состоянию на 22 декабря 1931 г., 16 танков были отправлены в части, три находились в переборке, четыре — в стадии сборки и два прошли контрольные испытания. Таким образом, всего было выпущено 25 танков Т-24.</w:t>
      </w:r>
    </w:p>
    <w:p w14:paraId="3BED37C2" w14:textId="77777777" w:rsidR="00E21551" w:rsidRPr="00142305" w:rsidRDefault="00E21551" w:rsidP="00E2155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Себестоимость ьанка Т-24 составляла 173499 руб. 51 коп. (25479).</w:t>
      </w:r>
    </w:p>
    <w:p w14:paraId="1680DE41" w14:textId="77777777" w:rsidR="00E21551" w:rsidRPr="00142305" w:rsidRDefault="00E21551" w:rsidP="00E21551">
      <w:pPr>
        <w:spacing w:after="0" w:line="240" w:lineRule="auto"/>
        <w:jc w:val="both"/>
        <w:rPr>
          <w:rFonts w:ascii="Times New Roman" w:hAnsi="Times New Roman"/>
          <w:color w:val="0070C0"/>
          <w:sz w:val="16"/>
          <w:szCs w:val="16"/>
        </w:rPr>
      </w:pPr>
    </w:p>
    <w:p w14:paraId="68DB0FBE" w14:textId="77777777" w:rsidR="00E21551" w:rsidRPr="00142305" w:rsidRDefault="00E21551" w:rsidP="00E2155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декабря 1931 года в заключении по проекту Тоскина и ХПЗ руководство КБ-3 ВОАО, высказывались сомнения в перспективах "12-тонного колесно-гусеничного танка". Указывалось, что повышение массы танка прямым образом отразится на системе охлаждения, которая не менялась. Также имелась масса критических замечаний с точки зрения ходовой части и трансмиссии. По итогам комиссия, в которую входили Гинзбург, В.И. Заславский, О.М. Иванов и еще несколько инженеров КБ-3, посчитала ненужным развивать такой танк (25678).</w:t>
      </w:r>
    </w:p>
    <w:p w14:paraId="36F7EBB4" w14:textId="77777777" w:rsidR="00E21551" w:rsidRPr="00142305" w:rsidRDefault="00E21551" w:rsidP="00E21551">
      <w:pPr>
        <w:spacing w:after="0" w:line="240" w:lineRule="auto"/>
        <w:jc w:val="both"/>
        <w:rPr>
          <w:rFonts w:ascii="Times New Roman" w:hAnsi="Times New Roman"/>
          <w:color w:val="0070C0"/>
          <w:sz w:val="16"/>
          <w:szCs w:val="16"/>
        </w:rPr>
      </w:pPr>
    </w:p>
    <w:p w14:paraId="601A1FA5" w14:textId="77777777" w:rsidR="00E21551" w:rsidRPr="00142305" w:rsidRDefault="00E21551" w:rsidP="00E2155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де</w:t>
      </w:r>
      <w:r w:rsidRPr="00142305">
        <w:rPr>
          <w:rFonts w:ascii="Times New Roman" w:hAnsi="Times New Roman"/>
          <w:color w:val="0070C0"/>
          <w:sz w:val="16"/>
          <w:szCs w:val="16"/>
        </w:rPr>
        <w:softHyphen/>
        <w:t>кабря 1931 года на заседании НТК УММ РККА рассматривал</w:t>
      </w:r>
      <w:r w:rsidRPr="00142305">
        <w:rPr>
          <w:rFonts w:ascii="Times New Roman" w:hAnsi="Times New Roman"/>
          <w:color w:val="0070C0"/>
          <w:sz w:val="16"/>
          <w:szCs w:val="16"/>
        </w:rPr>
        <w:softHyphen/>
        <w:t>ся очередной проект модернизации БТ, разработанный под руководством на</w:t>
      </w:r>
      <w:r w:rsidRPr="00142305">
        <w:rPr>
          <w:rFonts w:ascii="Times New Roman" w:hAnsi="Times New Roman"/>
          <w:color w:val="0070C0"/>
          <w:sz w:val="16"/>
          <w:szCs w:val="16"/>
        </w:rPr>
        <w:softHyphen/>
        <w:t>чальника Т2 Н. Тоскина.</w:t>
      </w:r>
    </w:p>
    <w:p w14:paraId="653CF32D" w14:textId="77777777" w:rsidR="00E21551" w:rsidRPr="00142305" w:rsidRDefault="00E21551" w:rsidP="00E2155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Проект модернизации был представ</w:t>
      </w:r>
      <w:r w:rsidRPr="00142305">
        <w:rPr>
          <w:rFonts w:ascii="Times New Roman" w:hAnsi="Times New Roman"/>
          <w:color w:val="0070C0"/>
          <w:sz w:val="16"/>
          <w:szCs w:val="16"/>
        </w:rPr>
        <w:softHyphen/>
        <w:t>лен в двух вариантах: облегченном и утя</w:t>
      </w:r>
      <w:r w:rsidRPr="00142305">
        <w:rPr>
          <w:rFonts w:ascii="Times New Roman" w:hAnsi="Times New Roman"/>
          <w:color w:val="0070C0"/>
          <w:sz w:val="16"/>
          <w:szCs w:val="16"/>
        </w:rPr>
        <w:softHyphen/>
        <w:t>желенном.</w:t>
      </w:r>
    </w:p>
    <w:p w14:paraId="6E49F750" w14:textId="77777777" w:rsidR="00E21551" w:rsidRPr="00142305" w:rsidRDefault="00E21551" w:rsidP="00E2155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Первый предусматривал создание танка массой 7,5 т, броней 6 — 13 мм, авиамотором М-6 в 300 л.с., скоростью на гусеницах и колесах 53 км/ч, воору</w:t>
      </w:r>
      <w:r w:rsidRPr="00142305">
        <w:rPr>
          <w:rFonts w:ascii="Times New Roman" w:hAnsi="Times New Roman"/>
          <w:color w:val="0070C0"/>
          <w:sz w:val="16"/>
          <w:szCs w:val="16"/>
        </w:rPr>
        <w:softHyphen/>
        <w:t>женного 37-мм пушкой и пулеметом ДТ, с экипажем из двух человек. При этом отмечалось, что уменьшение мас</w:t>
      </w:r>
      <w:r w:rsidRPr="00142305">
        <w:rPr>
          <w:rFonts w:ascii="Times New Roman" w:hAnsi="Times New Roman"/>
          <w:color w:val="0070C0"/>
          <w:sz w:val="16"/>
          <w:szCs w:val="16"/>
        </w:rPr>
        <w:softHyphen/>
        <w:t>сы «по отношению к прежней конст</w:t>
      </w:r>
      <w:r w:rsidRPr="00142305">
        <w:rPr>
          <w:rFonts w:ascii="Times New Roman" w:hAnsi="Times New Roman"/>
          <w:color w:val="0070C0"/>
          <w:sz w:val="16"/>
          <w:szCs w:val="16"/>
        </w:rPr>
        <w:softHyphen/>
        <w:t>рукции будет получено за счет габарит</w:t>
      </w:r>
      <w:r w:rsidRPr="00142305">
        <w:rPr>
          <w:rFonts w:ascii="Times New Roman" w:hAnsi="Times New Roman"/>
          <w:color w:val="0070C0"/>
          <w:sz w:val="16"/>
          <w:szCs w:val="16"/>
        </w:rPr>
        <w:softHyphen/>
        <w:t>ных размеров и облегчения некоторых деталей».</w:t>
      </w:r>
    </w:p>
    <w:p w14:paraId="26A19C78" w14:textId="77777777" w:rsidR="00E21551" w:rsidRPr="00142305" w:rsidRDefault="00E21551" w:rsidP="00E2155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второму варианту машина имела массу до 12,5 т, броню 6 — 13мм, двига</w:t>
      </w:r>
      <w:r w:rsidRPr="00142305">
        <w:rPr>
          <w:rFonts w:ascii="Times New Roman" w:hAnsi="Times New Roman"/>
          <w:color w:val="0070C0"/>
          <w:sz w:val="16"/>
          <w:szCs w:val="16"/>
        </w:rPr>
        <w:softHyphen/>
        <w:t>тель М-17 в 500 л.с., скорость на гусени</w:t>
      </w:r>
      <w:r w:rsidRPr="00142305">
        <w:rPr>
          <w:rFonts w:ascii="Times New Roman" w:hAnsi="Times New Roman"/>
          <w:color w:val="0070C0"/>
          <w:sz w:val="16"/>
          <w:szCs w:val="16"/>
        </w:rPr>
        <w:softHyphen/>
        <w:t>цах 53 км/ч, на колесах 74 км/ч, воору</w:t>
      </w:r>
      <w:r w:rsidRPr="00142305">
        <w:rPr>
          <w:rFonts w:ascii="Times New Roman" w:hAnsi="Times New Roman"/>
          <w:color w:val="0070C0"/>
          <w:sz w:val="16"/>
          <w:szCs w:val="16"/>
        </w:rPr>
        <w:softHyphen/>
        <w:t>жение — одна 76-мм пушка и два пулеме</w:t>
      </w:r>
      <w:r w:rsidRPr="00142305">
        <w:rPr>
          <w:rFonts w:ascii="Times New Roman" w:hAnsi="Times New Roman"/>
          <w:color w:val="0070C0"/>
          <w:sz w:val="16"/>
          <w:szCs w:val="16"/>
        </w:rPr>
        <w:softHyphen/>
        <w:t>та ДТ, экипаж — 3 человека. Ходовая часть состояла из 5 опорных катков большого диаметра, причем на колесном ходу ведущими были два колеса (на борт), привод к которым осуществлялся «самостоятельной подвеской через две гитары, расположенные на одной оси».</w:t>
      </w:r>
    </w:p>
    <w:p w14:paraId="20FC6A5B" w14:textId="2FB96412" w:rsidR="00E21551" w:rsidRPr="00142305" w:rsidRDefault="00E21551" w:rsidP="00E21551">
      <w:pPr>
        <w:spacing w:after="0" w:line="240" w:lineRule="auto"/>
        <w:jc w:val="both"/>
        <w:rPr>
          <w:rFonts w:ascii="Times New Roman" w:hAnsi="Times New Roman"/>
          <w:color w:val="0070C0"/>
          <w:sz w:val="16"/>
          <w:szCs w:val="16"/>
        </w:rPr>
      </w:pPr>
      <w:r w:rsidRPr="00142305">
        <w:rPr>
          <w:rFonts w:ascii="Times New Roman" w:hAnsi="Times New Roman"/>
          <w:noProof/>
          <w:color w:val="0070C0"/>
          <w:sz w:val="16"/>
          <w:szCs w:val="16"/>
        </w:rPr>
        <mc:AlternateContent>
          <mc:Choice Requires="wps">
            <w:drawing>
              <wp:anchor distT="0" distB="0" distL="0" distR="0" simplePos="0" relativeHeight="251663360" behindDoc="0" locked="0" layoutInCell="1" allowOverlap="1" wp14:anchorId="18738341" wp14:editId="36F9FF06">
                <wp:simplePos x="0" y="0"/>
                <wp:positionH relativeFrom="page">
                  <wp:posOffset>6402070</wp:posOffset>
                </wp:positionH>
                <wp:positionV relativeFrom="margin">
                  <wp:posOffset>-2533015</wp:posOffset>
                </wp:positionV>
                <wp:extent cx="1143000" cy="826135"/>
                <wp:effectExtent l="0" t="0" r="0" b="0"/>
                <wp:wrapNone/>
                <wp:docPr id="1358626560" name="Надпись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43000" cy="826135"/>
                        </a:xfrm>
                        <a:prstGeom prst="rect">
                          <a:avLst/>
                        </a:prstGeom>
                        <a:noFill/>
                      </wps:spPr>
                      <wps:txbx>
                        <w:txbxContent>
                          <w:p w14:paraId="227F0C5D" w14:textId="77777777" w:rsidR="00E21551" w:rsidRDefault="00E21551" w:rsidP="00E21551">
                            <w:pPr>
                              <w:pStyle w:val="aff9"/>
                            </w:pPr>
                            <w:r>
                              <w:t>Обслуживание танка БТ-2 после маневров. Московский военный округ, лето 1934 года (АСКМ).</w:t>
                            </w:r>
                          </w:p>
                        </w:txbxContent>
                      </wps:txbx>
                      <wps:bodyPr lIns="0" tIns="0" rIns="0" bIns="0"/>
                    </wps:wsp>
                  </a:graphicData>
                </a:graphic>
                <wp14:sizeRelH relativeFrom="page">
                  <wp14:pctWidth>0</wp14:pctWidth>
                </wp14:sizeRelH>
                <wp14:sizeRelV relativeFrom="page">
                  <wp14:pctHeight>0</wp14:pctHeight>
                </wp14:sizeRelV>
              </wp:anchor>
            </w:drawing>
          </mc:Choice>
          <mc:Fallback>
            <w:pict>
              <v:shape w14:anchorId="18738341" id="Надпись 5" o:spid="_x0000_s1028" type="#_x0000_t202" style="position:absolute;left:0;text-align:left;margin-left:504.1pt;margin-top:-199.45pt;width:90pt;height:65.05pt;z-index:251663360;visibility:visible;mso-wrap-style:square;mso-width-percent:0;mso-height-percent:0;mso-wrap-distance-left:0;mso-wrap-distance-top:0;mso-wrap-distance-right:0;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" filled="f" stroked="f">
                <v:textbox inset="0,0,0,0">
                  <w:txbxContent>
                    <w:p w14:paraId="227F0C5D" w14:textId="77777777" w:rsidR="00E21551" w:rsidRDefault="00E21551" w:rsidP="00E21551">
                      <w:pPr>
                        <w:pStyle w:val="aff9"/>
                      </w:pPr>
                      <w:r>
                        <w:t>Обслуживание танка БТ-2 после маневров. Московский военный округ, лето 1934 года (АСКМ).</w:t>
                      </w:r>
                    </w:p>
                  </w:txbxContent>
                </v:textbox>
                <w10:wrap anchorx="page" anchory="margin"/>
              </v:shape>
            </w:pict>
          </mc:Fallback>
        </mc:AlternateContent>
      </w:r>
      <w:r w:rsidRPr="00142305">
        <w:rPr>
          <w:rFonts w:ascii="Times New Roman" w:hAnsi="Times New Roman"/>
          <w:color w:val="0070C0"/>
          <w:sz w:val="16"/>
          <w:szCs w:val="16"/>
        </w:rPr>
        <w:t>В результате рассмотрения проектов, НТК УММ постановил:</w:t>
      </w:r>
    </w:p>
    <w:p w14:paraId="0E88F8D5" w14:textId="77777777" w:rsidR="00E21551" w:rsidRPr="00142305" w:rsidRDefault="00E21551" w:rsidP="00E2155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Считать первоочередной задачей модернизацию существующего серий</w:t>
      </w:r>
      <w:r w:rsidRPr="00142305">
        <w:rPr>
          <w:rFonts w:ascii="Times New Roman" w:hAnsi="Times New Roman"/>
          <w:color w:val="0070C0"/>
          <w:sz w:val="16"/>
          <w:szCs w:val="16"/>
        </w:rPr>
        <w:softHyphen/>
        <w:t>ного образца.</w:t>
      </w:r>
    </w:p>
    <w:p w14:paraId="37BEB9B4" w14:textId="77777777" w:rsidR="00E21551" w:rsidRPr="00142305" w:rsidRDefault="00E21551" w:rsidP="00E21551">
      <w:pPr>
        <w:widowControl w:val="0"/>
        <w:tabs>
          <w:tab w:val="left" w:pos="472"/>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 По модернизации БТ:</w:t>
      </w:r>
    </w:p>
    <w:p w14:paraId="2AE6FC51" w14:textId="77777777" w:rsidR="00E21551" w:rsidRPr="00142305" w:rsidRDefault="00E21551" w:rsidP="00E2155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работы по БТ (утяжеленному типу) не прекращать. В узловых чертежах ис</w:t>
      </w:r>
      <w:r w:rsidRPr="00142305">
        <w:rPr>
          <w:rFonts w:ascii="Times New Roman" w:hAnsi="Times New Roman"/>
          <w:color w:val="0070C0"/>
          <w:sz w:val="16"/>
          <w:szCs w:val="16"/>
        </w:rPr>
        <w:softHyphen/>
        <w:t>править все ошибки, как в части конст</w:t>
      </w:r>
      <w:r w:rsidRPr="00142305">
        <w:rPr>
          <w:rFonts w:ascii="Times New Roman" w:hAnsi="Times New Roman"/>
          <w:color w:val="0070C0"/>
          <w:sz w:val="16"/>
          <w:szCs w:val="16"/>
        </w:rPr>
        <w:softHyphen/>
        <w:t>руктивного исполнения, так и в расчет</w:t>
      </w:r>
      <w:r w:rsidRPr="00142305">
        <w:rPr>
          <w:rFonts w:ascii="Times New Roman" w:hAnsi="Times New Roman"/>
          <w:color w:val="0070C0"/>
          <w:sz w:val="16"/>
          <w:szCs w:val="16"/>
        </w:rPr>
        <w:softHyphen/>
        <w:t>ной. Срок представления проекта</w:t>
      </w:r>
    </w:p>
    <w:p w14:paraId="7A6A85AA" w14:textId="77777777" w:rsidR="00E21551" w:rsidRPr="00142305" w:rsidRDefault="00E21551" w:rsidP="00E2155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НТК УММ постановило разработку утяжеленного типа БТ не прекращать, но вместе с тем первоочередной задачей считать модернизацию серийного об</w:t>
      </w:r>
      <w:r w:rsidRPr="00142305">
        <w:rPr>
          <w:rFonts w:ascii="Times New Roman" w:hAnsi="Times New Roman"/>
          <w:color w:val="0070C0"/>
          <w:sz w:val="16"/>
          <w:szCs w:val="16"/>
        </w:rPr>
        <w:softHyphen/>
        <w:t>разца».</w:t>
      </w:r>
    </w:p>
    <w:p w14:paraId="6396CD95" w14:textId="77777777" w:rsidR="00E21551" w:rsidRPr="00142305" w:rsidRDefault="00E21551" w:rsidP="00E2155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Ход дальнейших работ по этому проек</w:t>
      </w:r>
      <w:r w:rsidRPr="00142305">
        <w:rPr>
          <w:rFonts w:ascii="Times New Roman" w:hAnsi="Times New Roman"/>
          <w:color w:val="0070C0"/>
          <w:sz w:val="16"/>
          <w:szCs w:val="16"/>
        </w:rPr>
        <w:softHyphen/>
        <w:t>ту неизвестен (25009).</w:t>
      </w:r>
    </w:p>
    <w:p w14:paraId="2B59ACAA" w14:textId="77777777" w:rsidR="00E21551" w:rsidRPr="00142305" w:rsidRDefault="00E21551" w:rsidP="00E21551">
      <w:pPr>
        <w:spacing w:after="0" w:line="240" w:lineRule="auto"/>
        <w:jc w:val="both"/>
        <w:rPr>
          <w:rFonts w:ascii="Times New Roman" w:hAnsi="Times New Roman"/>
          <w:color w:val="0070C0"/>
          <w:sz w:val="16"/>
          <w:szCs w:val="16"/>
        </w:rPr>
      </w:pPr>
    </w:p>
    <w:p w14:paraId="1A1A7E3E" w14:textId="77777777" w:rsidR="001D0400" w:rsidRPr="005E779E" w:rsidRDefault="001D0400"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1 декабря 1931 </w:t>
      </w:r>
      <w:r w:rsidRPr="005E779E">
        <w:rPr>
          <w:rFonts w:ascii="Times New Roman" w:hAnsi="Times New Roman"/>
          <w:color w:val="000000" w:themeColor="text1"/>
          <w:sz w:val="16"/>
          <w:szCs w:val="16"/>
        </w:rPr>
        <w:t>Политбюро ЦК ВКП (б) одобрило решение ВСНХ о развитии радиевой промышленности; утвердило проект постановления ЦК ВКП (б) о сахарной промышленности (12265).</w:t>
      </w:r>
    </w:p>
    <w:p w14:paraId="0569D90F" w14:textId="77777777" w:rsidR="001D0400" w:rsidRPr="005E779E" w:rsidRDefault="001D040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48B8CC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На 1 декабря 1931 г. хозрасчёт на Электрозаводе стал повсеместным: </w:t>
      </w:r>
    </w:p>
    <w:p w14:paraId="7496E8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Охваченность Электрозавода хозрасчётными отношениями на 1 декабря 1931 г.</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5" w:type="dxa"/>
          <w:right w:w="15" w:type="dxa"/>
        </w:tblCellMar>
        <w:tblLook w:val="0000" w:firstRow="0" w:lastRow="0" w:firstColumn="0" w:lastColumn="0" w:noHBand="0" w:noVBand="0"/>
      </w:tblPr>
      <w:tblGrid>
        <w:gridCol w:w="3211"/>
        <w:gridCol w:w="728"/>
        <w:gridCol w:w="6245"/>
      </w:tblGrid>
      <w:tr w:rsidR="001002C3" w:rsidRPr="005E779E" w14:paraId="1465E178" w14:textId="77777777">
        <w:trPr>
          <w:jc w:val="center"/>
        </w:trPr>
        <w:tc>
          <w:tcPr>
            <w:tcW w:w="3211" w:type="dxa"/>
            <w:tcBorders>
              <w:top w:val="single" w:sz="12" w:space="0" w:color="auto"/>
            </w:tcBorders>
          </w:tcPr>
          <w:p w14:paraId="5C5A96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хозрасчётных бригадах работало:</w:t>
            </w:r>
          </w:p>
        </w:tc>
        <w:tc>
          <w:tcPr>
            <w:tcW w:w="728" w:type="dxa"/>
            <w:tcBorders>
              <w:top w:val="single" w:sz="12" w:space="0" w:color="auto"/>
            </w:tcBorders>
          </w:tcPr>
          <w:p w14:paraId="1A5660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человек</w:t>
            </w:r>
          </w:p>
        </w:tc>
        <w:tc>
          <w:tcPr>
            <w:tcW w:w="6245" w:type="dxa"/>
            <w:tcBorders>
              <w:top w:val="single" w:sz="12" w:space="0" w:color="auto"/>
            </w:tcBorders>
          </w:tcPr>
          <w:p w14:paraId="7EC987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охвата по отношению ко всем работникам данной категории на заводе</w:t>
            </w:r>
          </w:p>
        </w:tc>
      </w:tr>
      <w:tr w:rsidR="001002C3" w:rsidRPr="005E779E" w14:paraId="35A67697" w14:textId="77777777">
        <w:trPr>
          <w:jc w:val="center"/>
        </w:trPr>
        <w:tc>
          <w:tcPr>
            <w:tcW w:w="3211" w:type="dxa"/>
          </w:tcPr>
          <w:p w14:paraId="23877D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Рабочих</w:t>
            </w:r>
          </w:p>
        </w:tc>
        <w:tc>
          <w:tcPr>
            <w:tcW w:w="728" w:type="dxa"/>
          </w:tcPr>
          <w:p w14:paraId="1FDEE2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13581</w:t>
            </w:r>
          </w:p>
        </w:tc>
        <w:tc>
          <w:tcPr>
            <w:tcW w:w="6245" w:type="dxa"/>
          </w:tcPr>
          <w:p w14:paraId="44A2D3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93,3</w:t>
            </w:r>
          </w:p>
        </w:tc>
      </w:tr>
      <w:tr w:rsidR="001002C3" w:rsidRPr="005E779E" w14:paraId="697AF532" w14:textId="77777777">
        <w:trPr>
          <w:jc w:val="center"/>
        </w:trPr>
        <w:tc>
          <w:tcPr>
            <w:tcW w:w="3211" w:type="dxa"/>
          </w:tcPr>
          <w:p w14:paraId="4E2046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ИТР</w:t>
            </w:r>
          </w:p>
        </w:tc>
        <w:tc>
          <w:tcPr>
            <w:tcW w:w="728" w:type="dxa"/>
          </w:tcPr>
          <w:p w14:paraId="473456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1949</w:t>
            </w:r>
          </w:p>
        </w:tc>
        <w:tc>
          <w:tcPr>
            <w:tcW w:w="6245" w:type="dxa"/>
          </w:tcPr>
          <w:p w14:paraId="3DD9D9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82,8</w:t>
            </w:r>
          </w:p>
        </w:tc>
      </w:tr>
      <w:tr w:rsidR="001002C3" w:rsidRPr="005E779E" w14:paraId="77E636EC" w14:textId="77777777">
        <w:trPr>
          <w:jc w:val="center"/>
        </w:trPr>
        <w:tc>
          <w:tcPr>
            <w:tcW w:w="3211" w:type="dxa"/>
          </w:tcPr>
          <w:p w14:paraId="2D1D61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Прочие</w:t>
            </w:r>
          </w:p>
        </w:tc>
        <w:tc>
          <w:tcPr>
            <w:tcW w:w="728" w:type="dxa"/>
          </w:tcPr>
          <w:p w14:paraId="5B287E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4266</w:t>
            </w:r>
          </w:p>
        </w:tc>
        <w:tc>
          <w:tcPr>
            <w:tcW w:w="6245" w:type="dxa"/>
          </w:tcPr>
          <w:p w14:paraId="3B95AB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73,1</w:t>
            </w:r>
          </w:p>
        </w:tc>
      </w:tr>
      <w:tr w:rsidR="001002C3" w:rsidRPr="005E779E" w14:paraId="745280EB" w14:textId="77777777">
        <w:trPr>
          <w:jc w:val="center"/>
        </w:trPr>
        <w:tc>
          <w:tcPr>
            <w:tcW w:w="3211" w:type="dxa"/>
            <w:tcBorders>
              <w:bottom w:val="single" w:sz="12" w:space="0" w:color="auto"/>
            </w:tcBorders>
          </w:tcPr>
          <w:p w14:paraId="55D5EA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w:t>
            </w:r>
          </w:p>
        </w:tc>
        <w:tc>
          <w:tcPr>
            <w:tcW w:w="728" w:type="dxa"/>
            <w:tcBorders>
              <w:bottom w:val="single" w:sz="12" w:space="0" w:color="auto"/>
            </w:tcBorders>
          </w:tcPr>
          <w:p w14:paraId="0A82D6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19796</w:t>
            </w:r>
          </w:p>
        </w:tc>
        <w:tc>
          <w:tcPr>
            <w:tcW w:w="6245" w:type="dxa"/>
            <w:tcBorders>
              <w:bottom w:val="single" w:sz="12" w:space="0" w:color="auto"/>
            </w:tcBorders>
          </w:tcPr>
          <w:p w14:paraId="5873FA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87,8</w:t>
            </w:r>
          </w:p>
        </w:tc>
      </w:tr>
    </w:tbl>
    <w:p w14:paraId="1C28A4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Впечатляюще так же выглядит и рост числа собственно хозрасчётных бригад: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5" w:type="dxa"/>
          <w:right w:w="15" w:type="dxa"/>
        </w:tblCellMar>
        <w:tblLook w:val="0000" w:firstRow="0" w:lastRow="0" w:firstColumn="0" w:lastColumn="0" w:noHBand="0" w:noVBand="0"/>
      </w:tblPr>
      <w:tblGrid>
        <w:gridCol w:w="3300"/>
        <w:gridCol w:w="908"/>
        <w:gridCol w:w="908"/>
        <w:gridCol w:w="979"/>
        <w:gridCol w:w="908"/>
      </w:tblGrid>
      <w:tr w:rsidR="001002C3" w:rsidRPr="005E779E" w14:paraId="18F8031A" w14:textId="77777777">
        <w:trPr>
          <w:jc w:val="center"/>
        </w:trPr>
        <w:tc>
          <w:tcPr>
            <w:tcW w:w="3300" w:type="dxa"/>
            <w:tcBorders>
              <w:top w:val="single" w:sz="12" w:space="0" w:color="auto"/>
            </w:tcBorders>
          </w:tcPr>
          <w:p w14:paraId="5E2915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Дата</w:t>
            </w:r>
          </w:p>
        </w:tc>
        <w:tc>
          <w:tcPr>
            <w:tcW w:w="908" w:type="dxa"/>
            <w:tcBorders>
              <w:top w:val="single" w:sz="12" w:space="0" w:color="auto"/>
            </w:tcBorders>
          </w:tcPr>
          <w:p w14:paraId="693D00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1.10.1931</w:t>
            </w:r>
          </w:p>
        </w:tc>
        <w:tc>
          <w:tcPr>
            <w:tcW w:w="908" w:type="dxa"/>
            <w:tcBorders>
              <w:top w:val="single" w:sz="12" w:space="0" w:color="auto"/>
            </w:tcBorders>
          </w:tcPr>
          <w:p w14:paraId="644BB8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1.11.1031</w:t>
            </w:r>
          </w:p>
        </w:tc>
        <w:tc>
          <w:tcPr>
            <w:tcW w:w="979" w:type="dxa"/>
            <w:tcBorders>
              <w:top w:val="single" w:sz="12" w:space="0" w:color="auto"/>
            </w:tcBorders>
          </w:tcPr>
          <w:p w14:paraId="47EB5F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1.12.1931.</w:t>
            </w:r>
          </w:p>
        </w:tc>
        <w:tc>
          <w:tcPr>
            <w:tcW w:w="908" w:type="dxa"/>
            <w:tcBorders>
              <w:top w:val="single" w:sz="12" w:space="0" w:color="auto"/>
            </w:tcBorders>
          </w:tcPr>
          <w:p w14:paraId="2BC754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1.01.1932</w:t>
            </w:r>
          </w:p>
        </w:tc>
      </w:tr>
      <w:tr w:rsidR="001002C3" w:rsidRPr="005E779E" w14:paraId="24480474" w14:textId="77777777">
        <w:trPr>
          <w:jc w:val="center"/>
        </w:trPr>
        <w:tc>
          <w:tcPr>
            <w:tcW w:w="3300" w:type="dxa"/>
          </w:tcPr>
          <w:p w14:paraId="7D9BCC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Хозрасчетных бригад</w:t>
            </w:r>
          </w:p>
        </w:tc>
        <w:tc>
          <w:tcPr>
            <w:tcW w:w="908" w:type="dxa"/>
          </w:tcPr>
          <w:p w14:paraId="5D0E50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254</w:t>
            </w:r>
          </w:p>
        </w:tc>
        <w:tc>
          <w:tcPr>
            <w:tcW w:w="908" w:type="dxa"/>
          </w:tcPr>
          <w:p w14:paraId="093292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321</w:t>
            </w:r>
          </w:p>
        </w:tc>
        <w:tc>
          <w:tcPr>
            <w:tcW w:w="979" w:type="dxa"/>
          </w:tcPr>
          <w:p w14:paraId="743CF9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418</w:t>
            </w:r>
          </w:p>
        </w:tc>
        <w:tc>
          <w:tcPr>
            <w:tcW w:w="908" w:type="dxa"/>
          </w:tcPr>
          <w:p w14:paraId="623B9E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420</w:t>
            </w:r>
          </w:p>
        </w:tc>
      </w:tr>
      <w:tr w:rsidR="001002C3" w:rsidRPr="005E779E" w14:paraId="58993148" w14:textId="77777777">
        <w:trPr>
          <w:jc w:val="center"/>
        </w:trPr>
        <w:tc>
          <w:tcPr>
            <w:tcW w:w="3300" w:type="dxa"/>
            <w:tcBorders>
              <w:bottom w:val="single" w:sz="12" w:space="0" w:color="auto"/>
            </w:tcBorders>
          </w:tcPr>
          <w:p w14:paraId="79DF91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Рабочих, охваченных хозрасчетными бригадами</w:t>
            </w:r>
          </w:p>
        </w:tc>
        <w:tc>
          <w:tcPr>
            <w:tcW w:w="908" w:type="dxa"/>
            <w:tcBorders>
              <w:bottom w:val="single" w:sz="12" w:space="0" w:color="auto"/>
            </w:tcBorders>
          </w:tcPr>
          <w:p w14:paraId="10E895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3500</w:t>
            </w:r>
          </w:p>
        </w:tc>
        <w:tc>
          <w:tcPr>
            <w:tcW w:w="908" w:type="dxa"/>
            <w:tcBorders>
              <w:bottom w:val="single" w:sz="12" w:space="0" w:color="auto"/>
            </w:tcBorders>
          </w:tcPr>
          <w:p w14:paraId="45CE56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3733</w:t>
            </w:r>
          </w:p>
        </w:tc>
        <w:tc>
          <w:tcPr>
            <w:tcW w:w="979" w:type="dxa"/>
            <w:tcBorders>
              <w:bottom w:val="single" w:sz="12" w:space="0" w:color="auto"/>
            </w:tcBorders>
          </w:tcPr>
          <w:p w14:paraId="17C961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5068</w:t>
            </w:r>
          </w:p>
        </w:tc>
        <w:tc>
          <w:tcPr>
            <w:tcW w:w="908" w:type="dxa"/>
            <w:tcBorders>
              <w:bottom w:val="single" w:sz="12" w:space="0" w:color="auto"/>
            </w:tcBorders>
          </w:tcPr>
          <w:p w14:paraId="23B457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5823</w:t>
            </w:r>
          </w:p>
        </w:tc>
      </w:tr>
    </w:tbl>
    <w:p w14:paraId="080480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Однако, не смотря на все вышеприведённые показатели, свидетельствующие о, якобы, победной поступи хозрасчёта по заводу, на деле 1931 г. стал годом полного провала хозрасчёта как средства интенсификации труда. Напомним, что одной из основных целей хозрасчёта было снижение себестоимости продукции. Видимо, в расчёте на благотворное влияние распространения хозрасчёта, на 1931 г. по заводу было запланировано снижение себестоимости на 25,4%. На деле всё оказалось много хуже. </w:t>
      </w:r>
    </w:p>
    <w:p w14:paraId="2FD11C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Выполнение плана по снижению себестоимости на Электрозаводе за 3 квартала 1931 г.</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5" w:type="dxa"/>
          <w:right w:w="15" w:type="dxa"/>
        </w:tblCellMar>
        <w:tblLook w:val="0000" w:firstRow="0" w:lastRow="0" w:firstColumn="0" w:lastColumn="0" w:noHBand="0" w:noVBand="0"/>
      </w:tblPr>
      <w:tblGrid>
        <w:gridCol w:w="613"/>
        <w:gridCol w:w="1358"/>
        <w:gridCol w:w="1631"/>
        <w:gridCol w:w="1395"/>
        <w:gridCol w:w="965"/>
        <w:gridCol w:w="1042"/>
      </w:tblGrid>
      <w:tr w:rsidR="001002C3" w:rsidRPr="005E779E" w14:paraId="6B4F1DB7" w14:textId="77777777">
        <w:trPr>
          <w:jc w:val="center"/>
        </w:trPr>
        <w:tc>
          <w:tcPr>
            <w:tcW w:w="613" w:type="dxa"/>
            <w:tcBorders>
              <w:top w:val="single" w:sz="12" w:space="0" w:color="auto"/>
            </w:tcBorders>
          </w:tcPr>
          <w:p w14:paraId="044E38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квартал</w:t>
            </w:r>
          </w:p>
        </w:tc>
        <w:tc>
          <w:tcPr>
            <w:tcW w:w="1358" w:type="dxa"/>
            <w:tcBorders>
              <w:top w:val="single" w:sz="12" w:space="0" w:color="auto"/>
            </w:tcBorders>
          </w:tcPr>
          <w:p w14:paraId="47EA13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снижение стоимости по плану</w:t>
            </w:r>
          </w:p>
        </w:tc>
        <w:tc>
          <w:tcPr>
            <w:tcW w:w="1631" w:type="dxa"/>
            <w:tcBorders>
              <w:top w:val="single" w:sz="12" w:space="0" w:color="auto"/>
            </w:tcBorders>
          </w:tcPr>
          <w:p w14:paraId="79FD82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фактическая динамика себестоимости</w:t>
            </w:r>
          </w:p>
        </w:tc>
        <w:tc>
          <w:tcPr>
            <w:tcW w:w="1395" w:type="dxa"/>
            <w:tcBorders>
              <w:top w:val="single" w:sz="12" w:space="0" w:color="auto"/>
            </w:tcBorders>
          </w:tcPr>
          <w:p w14:paraId="0D753D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экономия по плану, тыс. руб.</w:t>
            </w:r>
          </w:p>
        </w:tc>
        <w:tc>
          <w:tcPr>
            <w:tcW w:w="965" w:type="dxa"/>
            <w:tcBorders>
              <w:top w:val="single" w:sz="12" w:space="0" w:color="auto"/>
            </w:tcBorders>
          </w:tcPr>
          <w:p w14:paraId="65BB62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убыток, тыс. руб.</w:t>
            </w:r>
          </w:p>
        </w:tc>
        <w:tc>
          <w:tcPr>
            <w:tcW w:w="1042" w:type="dxa"/>
            <w:tcBorders>
              <w:top w:val="single" w:sz="12" w:space="0" w:color="auto"/>
            </w:tcBorders>
          </w:tcPr>
          <w:p w14:paraId="60AD16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Экономия, тыс. руб.</w:t>
            </w:r>
          </w:p>
        </w:tc>
      </w:tr>
      <w:tr w:rsidR="001002C3" w:rsidRPr="005E779E" w14:paraId="4739C660" w14:textId="77777777">
        <w:trPr>
          <w:jc w:val="center"/>
        </w:trPr>
        <w:tc>
          <w:tcPr>
            <w:tcW w:w="613" w:type="dxa"/>
          </w:tcPr>
          <w:p w14:paraId="5533DE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I</w:t>
            </w:r>
          </w:p>
        </w:tc>
        <w:tc>
          <w:tcPr>
            <w:tcW w:w="1358" w:type="dxa"/>
          </w:tcPr>
          <w:p w14:paraId="41E714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17,2%</w:t>
            </w:r>
          </w:p>
        </w:tc>
        <w:tc>
          <w:tcPr>
            <w:tcW w:w="1631" w:type="dxa"/>
          </w:tcPr>
          <w:p w14:paraId="590902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6%</w:t>
            </w:r>
          </w:p>
        </w:tc>
        <w:tc>
          <w:tcPr>
            <w:tcW w:w="1395" w:type="dxa"/>
          </w:tcPr>
          <w:p w14:paraId="49A950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2103,3</w:t>
            </w:r>
          </w:p>
        </w:tc>
        <w:tc>
          <w:tcPr>
            <w:tcW w:w="965" w:type="dxa"/>
          </w:tcPr>
          <w:p w14:paraId="7F93A7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 </w:t>
            </w:r>
          </w:p>
        </w:tc>
        <w:tc>
          <w:tcPr>
            <w:tcW w:w="1042" w:type="dxa"/>
          </w:tcPr>
          <w:p w14:paraId="5E99A4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513</w:t>
            </w:r>
          </w:p>
        </w:tc>
      </w:tr>
      <w:tr w:rsidR="001002C3" w:rsidRPr="005E779E" w14:paraId="15E51EE6" w14:textId="77777777">
        <w:trPr>
          <w:jc w:val="center"/>
        </w:trPr>
        <w:tc>
          <w:tcPr>
            <w:tcW w:w="613" w:type="dxa"/>
          </w:tcPr>
          <w:p w14:paraId="0E7C22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II</w:t>
            </w:r>
          </w:p>
        </w:tc>
        <w:tc>
          <w:tcPr>
            <w:tcW w:w="1358" w:type="dxa"/>
          </w:tcPr>
          <w:p w14:paraId="4B462E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22,1%</w:t>
            </w:r>
          </w:p>
        </w:tc>
        <w:tc>
          <w:tcPr>
            <w:tcW w:w="1631" w:type="dxa"/>
          </w:tcPr>
          <w:p w14:paraId="5E691B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+ 4,3%</w:t>
            </w:r>
          </w:p>
        </w:tc>
        <w:tc>
          <w:tcPr>
            <w:tcW w:w="1395" w:type="dxa"/>
          </w:tcPr>
          <w:p w14:paraId="014FE3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2936,9</w:t>
            </w:r>
          </w:p>
        </w:tc>
        <w:tc>
          <w:tcPr>
            <w:tcW w:w="965" w:type="dxa"/>
          </w:tcPr>
          <w:p w14:paraId="70C71B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405,5</w:t>
            </w:r>
          </w:p>
        </w:tc>
        <w:tc>
          <w:tcPr>
            <w:tcW w:w="1042" w:type="dxa"/>
          </w:tcPr>
          <w:p w14:paraId="218567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 </w:t>
            </w:r>
          </w:p>
        </w:tc>
      </w:tr>
      <w:tr w:rsidR="001002C3" w:rsidRPr="005E779E" w14:paraId="707775A7" w14:textId="77777777">
        <w:trPr>
          <w:jc w:val="center"/>
        </w:trPr>
        <w:tc>
          <w:tcPr>
            <w:tcW w:w="613" w:type="dxa"/>
            <w:tcBorders>
              <w:bottom w:val="single" w:sz="12" w:space="0" w:color="auto"/>
            </w:tcBorders>
          </w:tcPr>
          <w:p w14:paraId="11DF12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III</w:t>
            </w:r>
          </w:p>
        </w:tc>
        <w:tc>
          <w:tcPr>
            <w:tcW w:w="1358" w:type="dxa"/>
            <w:tcBorders>
              <w:bottom w:val="single" w:sz="12" w:space="0" w:color="auto"/>
            </w:tcBorders>
          </w:tcPr>
          <w:p w14:paraId="35DF4E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26,2%</w:t>
            </w:r>
          </w:p>
        </w:tc>
        <w:tc>
          <w:tcPr>
            <w:tcW w:w="1631" w:type="dxa"/>
            <w:tcBorders>
              <w:bottom w:val="single" w:sz="12" w:space="0" w:color="auto"/>
            </w:tcBorders>
          </w:tcPr>
          <w:p w14:paraId="52D757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+ 3,1%</w:t>
            </w:r>
          </w:p>
        </w:tc>
        <w:tc>
          <w:tcPr>
            <w:tcW w:w="1395" w:type="dxa"/>
            <w:tcBorders>
              <w:bottom w:val="single" w:sz="12" w:space="0" w:color="auto"/>
            </w:tcBorders>
          </w:tcPr>
          <w:p w14:paraId="2A4A05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4051,7</w:t>
            </w:r>
          </w:p>
        </w:tc>
        <w:tc>
          <w:tcPr>
            <w:tcW w:w="965" w:type="dxa"/>
            <w:tcBorders>
              <w:bottom w:val="single" w:sz="12" w:space="0" w:color="auto"/>
            </w:tcBorders>
          </w:tcPr>
          <w:p w14:paraId="74BEC7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295,4</w:t>
            </w:r>
          </w:p>
        </w:tc>
        <w:tc>
          <w:tcPr>
            <w:tcW w:w="1042" w:type="dxa"/>
            <w:tcBorders>
              <w:bottom w:val="single" w:sz="12" w:space="0" w:color="auto"/>
            </w:tcBorders>
          </w:tcPr>
          <w:p w14:paraId="56009C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bl>
    <w:p w14:paraId="31E974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Таким образом, хозрасчёт рос, а себестоимость не только не сокращалась, но и нарастала. Это требовало каких-то новых решений в области организации хозрасчётного движения.</w:t>
      </w:r>
    </w:p>
    <w:p w14:paraId="641A49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Следующим этапом развития хозрасчёта стало его слияние с ударным движением. Как уже говорилось выше, на этом этапе хозрасчёт рассматривался как новая, высшая стадия развития ударничества. В практической плоскости это мнение выразилось в массовом переводе ударных бригад на хозрасчёт. Так в 1931 г. на хозрасчёт перешло 338 ударных бригад с охватом 4733 человек. Однако, по мнению парткома, этого было недостаточно, поэтому на 1932 г. было запланировано перевести на хозрасчёт все ударные бригады поголовно. Видимо, не последнюю роль в успехе этого начинания сыграло то, что ударные книжки нового образца, появившиеся в 1932 г., вручались только «истинным» ударникам. Соответственно, ударники, не желающие переходить на хозрасчёт, объявлялись «лжеударниками» и теряли права на привилегированное снабжение (11564).</w:t>
      </w:r>
    </w:p>
    <w:p w14:paraId="5F8A14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F49B5A1" w14:textId="77777777" w:rsidR="00EF159B" w:rsidRPr="005E779E" w:rsidRDefault="00EF159B"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декабря 1931 ПБ вернулось к вопросу о закупке сторожевых судов и предложило Наркомвнешторгу «реализовать заказ в Италии двух сторожевых судов для ОГПУ» (РГАСПИ. Ф. 17. Оп. 162. Д. П. Л. 71). 8 декабря ПБ пересмотрело свое решение и разрешило закупку для ОГПУ трех сторожевых судов при условии сохранения прежнего валютного лимита (Там же. Л. 84) (17281).</w:t>
      </w:r>
    </w:p>
    <w:p w14:paraId="59C9B2B6" w14:textId="77777777" w:rsidR="00EF159B" w:rsidRPr="005E779E" w:rsidRDefault="00EF159B" w:rsidP="000B7A6C">
      <w:pPr>
        <w:autoSpaceDE w:val="0"/>
        <w:autoSpaceDN w:val="0"/>
        <w:adjustRightInd w:val="0"/>
        <w:spacing w:after="0" w:line="240" w:lineRule="auto"/>
        <w:jc w:val="both"/>
        <w:rPr>
          <w:rFonts w:ascii="Times New Roman" w:hAnsi="Times New Roman"/>
          <w:color w:val="000000" w:themeColor="text1"/>
          <w:sz w:val="16"/>
          <w:szCs w:val="16"/>
        </w:rPr>
      </w:pPr>
    </w:p>
    <w:p w14:paraId="29D9C610" w14:textId="77777777" w:rsidR="00497B38" w:rsidRPr="005E779E" w:rsidRDefault="00497B38" w:rsidP="000B7A6C">
      <w:pPr>
        <w:spacing w:after="0" w:line="240" w:lineRule="auto"/>
        <w:jc w:val="both"/>
        <w:rPr>
          <w:rFonts w:ascii="Times New Roman" w:hAnsi="Times New Roman"/>
          <w:iCs/>
          <w:color w:val="000000" w:themeColor="text1"/>
          <w:sz w:val="16"/>
          <w:szCs w:val="16"/>
        </w:rPr>
      </w:pPr>
      <w:r w:rsidRPr="005E779E">
        <w:rPr>
          <w:rFonts w:ascii="Times New Roman" w:hAnsi="Times New Roman"/>
          <w:color w:val="000000" w:themeColor="text1"/>
          <w:sz w:val="16"/>
          <w:szCs w:val="16"/>
        </w:rPr>
        <w:t>1 декабря 1931 г. Протокол ПБ № 78 п.30/2: О радиевой промышленности. Решено принять следующие предложения ВСНХ: А. Тюя-Муюнский радиевый рудник. 1. Союзредмету в 1932 году развернуть полностью глубинные разведки, изучение геологии Тюя-Муюна и его района. Обязать АН СССР и Союзгеологоразведку принять участие в разведочных работах. 2. Обязать ВСНХ СССР обеспечить эти работы техническим снабжением и средствами. 3. Государственному Гидрогеологическому институту разрешить проблему водоснабжения обогатительной фабрики и поселка в Тюя-Муюне. Б. По Табашарскому месторождению 1. САРГРУ форсировать окончание разведочных работ на Табашарском месторождении и передать их в 1932 году Союзредмету для промышленного освоения. 2. Союзредмету организовать быстрое изучение руд с расчетом организации производства с 1933 г. В. По Берекейским йодным источникам. Союзредмету немедленно приступить и окончить в 1932 году изучение радиоактивности вод и технологии извлечения из них радия. Г. Общие мероприятия. 1. Радиевому отделению НИИ редких элементов провести исследование на радиоактивность коллекции руд и минералов, находящихся в научно-исследовательских институтах и Союзгеологоразведке. 2. Передать Государственный радиевый институт в Ленинграде в ведение Института редких элементов на правах его филиала. 3. Отделу кадров ЦК ВКП(б) выделить для руководящей работы на среднеазиатских предприятиях Союзредмета не менее трех ответственных работников. 4. Сектору кадров ВСНХ СССР выделить горных инженеров, техников, геологов, маркшейдеров, работников ОЭТ, работников ТНБ. 5. ВСНХ СССР командировать заграницу в IV квартале 1931 года трех работников Союзредмета для изучения состояния радиевого дела. 6. Все предприятия по добыче радиевых руд, их разведке, радиевый завод и Институт редких элементов по снабжению и строительству приравнять к группе ударных предприятий, установив нормы снабжения продовольствием и промтоварами рабочих рудников и фабрик в соответствии с нормами Цветметзолото. 7. Принять меры к обеспечению радиевых предприятий инженерно-техническими кадрами, возвратив в эту отрасль всех, ранее работавших в ней. 8. ОГПУ разработать вопрос о целесообразности обеспечения Тюя-Муюнского рудника рабочей силой в порядке организации при руднике Лагеря особого назначения. 9. Признать возможным увеличение партмаксимума на 50 % ответственным работникам, работающим в отделанных предприятиях Союзредмета. 10. Комиссии Краснопольского, одновременно с докладом, представить список конкретных мероприятий для дальнейшего развития радиевой промышленности (15870).</w:t>
      </w:r>
    </w:p>
    <w:p w14:paraId="22901467" w14:textId="77777777" w:rsidR="00497B38" w:rsidRPr="005E779E" w:rsidRDefault="00497B38" w:rsidP="000B7A6C">
      <w:pPr>
        <w:spacing w:after="0" w:line="240" w:lineRule="auto"/>
        <w:jc w:val="both"/>
        <w:rPr>
          <w:rFonts w:ascii="Times New Roman" w:hAnsi="Times New Roman"/>
          <w:iCs/>
          <w:color w:val="000000" w:themeColor="text1"/>
          <w:sz w:val="16"/>
          <w:szCs w:val="16"/>
        </w:rPr>
      </w:pPr>
    </w:p>
    <w:p w14:paraId="0C6B7CED"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12A44AD8"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3D803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декабря 1931 была создана комиссия Совета Лиги наций (комиссия Литтона) по расследованию инцидента в Манчжурии - оккупации ее Японией (3186).</w:t>
      </w:r>
    </w:p>
    <w:p w14:paraId="510C41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E40C923"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76713980"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0B7D20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декабря 1931 года вышел Приказ ВВС № 327/143 [О постановке и использовании изобретательства и реализации рацпредложений в НИИ]</w:t>
      </w:r>
    </w:p>
    <w:p w14:paraId="5700E0A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(Дело поставлено плохо).</w:t>
      </w:r>
    </w:p>
    <w:p w14:paraId="57B77AF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34F4A80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Приказываю:</w:t>
      </w:r>
    </w:p>
    <w:p w14:paraId="28DECFAA"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Начальнику НИИ ВВС немедленно организовать Конструкторский отдел НИИ, возложив на него задачи организации, руководства и планирования изобретательского и рационализаторского дела в ВВС с реализацией полезных изобретений и усовершенствований. Отдел несет ответственность от начала прохождения предложения до момента окончания испытания построенного образца, принятия его на снабжение ВВС и внедрения в серийное производство.</w:t>
      </w:r>
    </w:p>
    <w:p w14:paraId="06D16C4D"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Конструкторскому отделу объединить в своей работе изобретателей и рационализаторов ВВС, давая им на разработку определенные, наиболее актуальные для ВВС задания, всячески обеспечивая реализацию их предложений.</w:t>
      </w:r>
    </w:p>
    <w:p w14:paraId="2B347AA6"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Существующий «Сектор изобретений» НИИ как ненужную и беспомощную организацию – ликвидировать.</w:t>
      </w:r>
    </w:p>
    <w:p w14:paraId="1752006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3FE56D6B"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Конструкторскую группу Гроховского вместе с мастерскими по НИИ ВВС выделить в самостоятельную организацию. Группу эту перевести на строгий хозрасчет, предоставив ей права, аналогичные другим КБ (Осконбюро). Руководство КБ Гроховского и контроль выполнения плана работ возлагаю на начальника НИИ ВВС. Испытания всех построенных образцов проводить НИИ на общих основаниях (6770, 187-190).</w:t>
      </w:r>
    </w:p>
    <w:p w14:paraId="5FA37617"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F6307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декабря 1931 Зам. наркома по военным и морским делам и председатель РВС Тухачевский писал письмо № 11/37общ. начальнику ВВС Алкснису (6769):</w:t>
      </w:r>
    </w:p>
    <w:p w14:paraId="2BAF06F9"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 связи с выявившимися результатами демонстрации технических средств Гроховского для высадки десантов с воздуха предлагаю:</w:t>
      </w:r>
    </w:p>
    <w:p w14:paraId="74AB56F2"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Немедленно дать заказ на массовую партию образцов, давших положительные результаты:</w:t>
      </w:r>
    </w:p>
    <w:p w14:paraId="6C336F9B"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Автоматическая кабина (люлька Г39).</w:t>
      </w:r>
    </w:p>
    <w:p w14:paraId="0C4D8A84"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Десантные парашюты к автоматическим кабинам (Г5).</w:t>
      </w:r>
    </w:p>
    <w:p w14:paraId="15C7B183"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Авиабусы грузовые на 1 тонну (Г45).</w:t>
      </w:r>
    </w:p>
    <w:p w14:paraId="28F1B3FA"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Авиабусы трехместные.</w:t>
      </w:r>
    </w:p>
    <w:p w14:paraId="5B9238F0"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Парашютная установка для сбрасывания мотоцикла.</w:t>
      </w:r>
    </w:p>
    <w:p w14:paraId="139F3518"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Парашютная площадка для сбрасывания велосипедов.</w:t>
      </w:r>
    </w:p>
    <w:p w14:paraId="5DC48E64"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Картонажный сбрасыватель винтовок (Г52).</w:t>
      </w:r>
    </w:p>
    <w:p w14:paraId="589786C4"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Транспортные мешки для деформирующих грузов (Г3).</w:t>
      </w:r>
    </w:p>
    <w:p w14:paraId="4819F162"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Транспортный парашют (Г2).</w:t>
      </w:r>
    </w:p>
    <w:p w14:paraId="264E10D3"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Продолжать дальнейшую работу по:</w:t>
      </w:r>
    </w:p>
    <w:p w14:paraId="1BE8286D"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Парашютная установка для сбрасывания автомобиля (Г38).</w:t>
      </w:r>
    </w:p>
    <w:p w14:paraId="346392CC"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Установка орудия сбрасываемого с бреющего полета (Г49) (6769, 9).</w:t>
      </w:r>
    </w:p>
    <w:p w14:paraId="6B037499"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9CFF46" w14:textId="77777777" w:rsidR="001D0400" w:rsidRPr="005E779E" w:rsidRDefault="001D040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декабря 1931 г. Тухачевский распорядился запустить авиабус Г- 45 в серийное производство, при этом в документе указано, что грузоподъемность аппарата составляет 1 т. (12253).</w:t>
      </w:r>
    </w:p>
    <w:p w14:paraId="67FA1DA2" w14:textId="77777777" w:rsidR="001D0400" w:rsidRPr="005E779E" w:rsidRDefault="001D0400" w:rsidP="000B7A6C">
      <w:pPr>
        <w:spacing w:after="0" w:line="240" w:lineRule="auto"/>
        <w:jc w:val="both"/>
        <w:rPr>
          <w:rFonts w:ascii="Times New Roman" w:hAnsi="Times New Roman"/>
          <w:color w:val="000000" w:themeColor="text1"/>
          <w:sz w:val="16"/>
          <w:szCs w:val="16"/>
        </w:rPr>
      </w:pPr>
    </w:p>
    <w:p w14:paraId="014FBDC7" w14:textId="77777777" w:rsidR="009E3773"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6B301A50" w14:textId="77777777" w:rsidR="009E3773" w:rsidRPr="005E779E" w:rsidRDefault="009E3773"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F6E508C" w14:textId="77777777" w:rsidR="001D0400" w:rsidRPr="005E779E" w:rsidRDefault="001D0400"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2 декабря 1931 </w:t>
      </w:r>
      <w:r w:rsidRPr="005E779E">
        <w:rPr>
          <w:rFonts w:ascii="Times New Roman" w:hAnsi="Times New Roman"/>
          <w:color w:val="000000" w:themeColor="text1"/>
          <w:sz w:val="16"/>
          <w:szCs w:val="16"/>
        </w:rPr>
        <w:t>Политбюро ЦК ВКП (б) утвердило проект постановления ЦК ВКП (б) о черной металлургии (12265).</w:t>
      </w:r>
    </w:p>
    <w:p w14:paraId="3614D603" w14:textId="77777777" w:rsidR="001D0400" w:rsidRPr="005E779E" w:rsidRDefault="001D040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СТО принял постановление «О прибылях предприятий, входящих в объединения и тресты» (12265).</w:t>
      </w:r>
    </w:p>
    <w:p w14:paraId="5863120C" w14:textId="77777777" w:rsidR="001D0400" w:rsidRPr="005E779E" w:rsidRDefault="001D040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6BB831D8" w14:textId="77777777" w:rsidR="002D2823" w:rsidRPr="005E779E" w:rsidRDefault="002D282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декабря 1931 г. было завершено строительство завода Остехбюро им. К.Е. Ворошилова в Ленинграде на Сампсониевской набережной, 5. Сейчас это главный корпус ЦНИИ «Гидроприбор».</w:t>
      </w:r>
    </w:p>
    <w:p w14:paraId="145D235B" w14:textId="77777777" w:rsidR="002D2823" w:rsidRPr="005E779E" w:rsidRDefault="002D2823" w:rsidP="000B7A6C">
      <w:pPr>
        <w:spacing w:after="0" w:line="240" w:lineRule="auto"/>
        <w:jc w:val="both"/>
        <w:rPr>
          <w:rFonts w:ascii="Times New Roman" w:hAnsi="Times New Roman"/>
          <w:color w:val="000000" w:themeColor="text1"/>
          <w:sz w:val="16"/>
          <w:szCs w:val="16"/>
        </w:rPr>
      </w:pPr>
    </w:p>
    <w:p w14:paraId="226BC221" w14:textId="77777777" w:rsidR="000D04DE" w:rsidRPr="005E779E" w:rsidRDefault="000D04D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декабря 1931 г. завершено строительство завода Остехбюро НКВМ, получившего имя К.Е. Ворошилова. Директором назначен И.А. Муравкин (22288).</w:t>
      </w:r>
    </w:p>
    <w:p w14:paraId="1B0337AB" w14:textId="77777777" w:rsidR="000D04DE" w:rsidRPr="005E779E" w:rsidRDefault="000D04DE" w:rsidP="000B7A6C">
      <w:pPr>
        <w:spacing w:after="0" w:line="240" w:lineRule="auto"/>
        <w:jc w:val="both"/>
        <w:rPr>
          <w:rFonts w:ascii="Times New Roman" w:hAnsi="Times New Roman"/>
          <w:color w:val="000000" w:themeColor="text1"/>
          <w:sz w:val="16"/>
          <w:szCs w:val="16"/>
        </w:rPr>
      </w:pPr>
    </w:p>
    <w:p w14:paraId="5B64214F" w14:textId="77777777" w:rsidR="002542A5" w:rsidRPr="00142305" w:rsidRDefault="002542A5" w:rsidP="002542A5">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2 декабря 1931 г. было завершено строительство завода Остехбюро им. К.Е. Ворошилова в Ленинграде на Сампсониевской набережной, 5. Сейчас это главный корпус ЦНИИ «Гидроприбор» (25213).</w:t>
      </w:r>
    </w:p>
    <w:p w14:paraId="2B5EB33C" w14:textId="77777777" w:rsidR="002542A5" w:rsidRPr="00142305" w:rsidRDefault="002542A5" w:rsidP="002542A5">
      <w:pPr>
        <w:spacing w:after="0" w:line="240" w:lineRule="auto"/>
        <w:jc w:val="both"/>
        <w:rPr>
          <w:rFonts w:ascii="Times New Roman" w:hAnsi="Times New Roman"/>
          <w:color w:val="0070C0"/>
          <w:sz w:val="16"/>
          <w:szCs w:val="16"/>
        </w:rPr>
      </w:pPr>
    </w:p>
    <w:p w14:paraId="54222583"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3D05E90F"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6CAAF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декабря 1931 закончились гос. испытания головного серийного АНТ-7 Р-6 производства 22 завода N 2201, которые начались 5 октября 1931 (1017,198). Решили, что может быть эталоном на 1932 (1017,204).</w:t>
      </w:r>
    </w:p>
    <w:p w14:paraId="48B9C8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другим данным это было 3 ноября 1931</w:t>
      </w:r>
    </w:p>
    <w:p w14:paraId="1A40B0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EC4BA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декабря 1931 на заседании РВС (прот. 40) по докладу Я.И.Алксниса рассмотрели вопрос "О конструировании машины для полетов на предельную дальность" Хотели организовать летом 1932 на 13 тыс. км на самолете советской конструкции с мотором советской конструкции. Утвердили предложения нач. ВВС о постройке специального рекордного самолета по проекту А.Н.Т. (2 экз. АНТ-25 под М-34). Организацию перелета возложили на нач. ВВС, а постройку - на ВАО (1028,147).</w:t>
      </w:r>
    </w:p>
    <w:p w14:paraId="1C42DC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 конструировании машины для полетов на предельную дальность.</w:t>
      </w:r>
    </w:p>
    <w:p w14:paraId="4C00B8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Признать необходимым организовать летом 1932 года (не позже августа) полет на дальность 13000 км на самолете и моторе советской конструкции и производства.</w:t>
      </w:r>
    </w:p>
    <w:p w14:paraId="52A11E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Утвердить предложение начальника ВВС о постройке для этой цели специального рекордного самолета на дальность 13000 км по проекту Туполева (2 экз. АНТ-25) под мотор М-34 с редуктором (3531,4).</w:t>
      </w:r>
    </w:p>
    <w:p w14:paraId="0A2AE0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9FB24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декабря 1931 года выписка из протокола № 40 заседания РВС</w:t>
      </w:r>
    </w:p>
    <w:p w14:paraId="22C708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 О конструировании машины для полетов на предельную дальность.</w:t>
      </w:r>
    </w:p>
    <w:p w14:paraId="48A4BD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Докл. Алкснис.</w:t>
      </w:r>
    </w:p>
    <w:p w14:paraId="7318CD39"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Признать необходимым организовать летом 1932 года (не позже августа) полет на адльность 13 тыс. км на самолете и моторе советской конструкции и производства.</w:t>
      </w:r>
    </w:p>
    <w:p w14:paraId="198606C2"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Утвердить предложение начальника ВВС о постройке для этой цели специального рекордного самолета на дальность 13 тыс. км по проекту А.Н. Туполева (2 экз. АНТ-25) под мотор М-34 с редуктором.</w:t>
      </w:r>
    </w:p>
    <w:p w14:paraId="45BE0E7A"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Организацию и подготовку полета возложить на начальника ВВС, а постройку специального рекордного самолета – на ВАО.</w:t>
      </w:r>
    </w:p>
    <w:p w14:paraId="273E3B88"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Настоящее постановление внести на утверждение Комиссии обороны (3432, 7).</w:t>
      </w:r>
    </w:p>
    <w:p w14:paraId="197EA8C0"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289FB4D8" w14:textId="77777777" w:rsidR="00181C0F" w:rsidRPr="005E779E" w:rsidRDefault="00181C0F"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3 декабря 1931 года Реввоенсовет СССР по докладу Я.И. Алксниса, незадолго перед тем сменившего П.И. Баранова на посту начальника ВВС РККА, выдвинул предложение создать самолет, способный преодолеть без посадки 13 тысяч километров (мировой рекорд дальности тогда составлял чуть более 9 тысяч километров). Расстояние, названное Алкснисом, было не случайным, сопоставимым с протяженностью морского пути из Архангельска во Владивосток — свыше 12 тысяч километров.</w:t>
      </w:r>
    </w:p>
    <w:p w14:paraId="11E99C29" w14:textId="77777777" w:rsidR="00181C0F" w:rsidRPr="005E779E" w:rsidRDefault="00181C0F"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На следующий день приглашенный на продолжение обсуждения вопроса авиаконструктор и заместитель директора ЦАГИ А.Н. Туполев стал доказывать, что проектируемый им самолет АНТ-25 рассчитывается на беспосадочный полет в 9—10 тысяч километров. Однако председательствовавший на заседании Я.Б. Гамарник, лишь полтора года назад сменивший работу профессионального партийного руководителя на должность начальника Политуправления армии и флота — заместителя председателя Реввоенсовета, оказался глух к доводам конструктора и потребовал в кратчайший срок довести дальность полета до 13 тысяч километров. А заодно предложил назвать новую машину не иначе как РД — рекорд дальности. 7 декабря предложение Реввоенсовета утвердила комиссия обороны, назначив завершение всех работ и испытательный полет на лето 1932 года (20467).</w:t>
      </w:r>
    </w:p>
    <w:p w14:paraId="4A1894A1" w14:textId="77777777" w:rsidR="00181C0F" w:rsidRPr="005E779E" w:rsidRDefault="00181C0F" w:rsidP="000B7A6C">
      <w:pPr>
        <w:spacing w:after="0" w:line="240" w:lineRule="auto"/>
        <w:jc w:val="both"/>
        <w:rPr>
          <w:rFonts w:ascii="Times New Roman" w:hAnsi="Times New Roman"/>
          <w:color w:val="000000" w:themeColor="text1"/>
          <w:sz w:val="16"/>
          <w:szCs w:val="16"/>
        </w:rPr>
      </w:pPr>
    </w:p>
    <w:p w14:paraId="190735C9" w14:textId="77777777" w:rsidR="0098310F" w:rsidRPr="00142305" w:rsidRDefault="0098310F" w:rsidP="0098310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 декабря 1931 г. вопрос об организации даль</w:t>
      </w:r>
      <w:r w:rsidRPr="00142305">
        <w:rPr>
          <w:rFonts w:ascii="Times New Roman" w:hAnsi="Times New Roman"/>
          <w:color w:val="0070C0"/>
          <w:sz w:val="16"/>
          <w:szCs w:val="16"/>
        </w:rPr>
        <w:softHyphen/>
        <w:t>них перелетов и создании для этого специ</w:t>
      </w:r>
      <w:r w:rsidRPr="00142305">
        <w:rPr>
          <w:rFonts w:ascii="Times New Roman" w:hAnsi="Times New Roman"/>
          <w:color w:val="0070C0"/>
          <w:sz w:val="16"/>
          <w:szCs w:val="16"/>
        </w:rPr>
        <w:softHyphen/>
        <w:t>ального самолета рассматривался на за</w:t>
      </w:r>
      <w:r w:rsidRPr="00142305">
        <w:rPr>
          <w:rFonts w:ascii="Times New Roman" w:hAnsi="Times New Roman"/>
          <w:color w:val="0070C0"/>
          <w:sz w:val="16"/>
          <w:szCs w:val="16"/>
        </w:rPr>
        <w:softHyphen/>
        <w:t>седании РВС. Выступивший там Туполев рассказал о проекте, оценив практическую дальность в 9000 -10 000 км. Члены РВС решили, что этого недостаточно.</w:t>
      </w:r>
    </w:p>
    <w:p w14:paraId="44A70CAD" w14:textId="77777777" w:rsidR="0098310F" w:rsidRPr="00142305" w:rsidRDefault="0098310F" w:rsidP="0098310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Дело в том, что соперники уже под</w:t>
      </w:r>
      <w:r w:rsidRPr="00142305">
        <w:rPr>
          <w:rFonts w:ascii="Times New Roman" w:hAnsi="Times New Roman"/>
          <w:color w:val="0070C0"/>
          <w:sz w:val="16"/>
          <w:szCs w:val="16"/>
        </w:rPr>
        <w:softHyphen/>
        <w:t>бирались к этим цифрам. Французские летчики Доре и Лебри на специальном рекордном самолете Девуатин 33 в июне 1931 г. пролетели по кольцевому маршру</w:t>
      </w:r>
      <w:r w:rsidRPr="00142305">
        <w:rPr>
          <w:rFonts w:ascii="Times New Roman" w:hAnsi="Times New Roman"/>
          <w:color w:val="0070C0"/>
          <w:sz w:val="16"/>
          <w:szCs w:val="16"/>
        </w:rPr>
        <w:softHyphen/>
        <w:t>ту около 10500 км. Они же дважды на той же машине пытались осуществить беспо</w:t>
      </w:r>
      <w:r w:rsidRPr="00142305">
        <w:rPr>
          <w:rFonts w:ascii="Times New Roman" w:hAnsi="Times New Roman"/>
          <w:color w:val="0070C0"/>
          <w:sz w:val="16"/>
          <w:szCs w:val="16"/>
        </w:rPr>
        <w:softHyphen/>
        <w:t>садочный перелет по прямой из Парижа на Восток через территории СССР, но в обоих случаях терпели аварии: в первый раз - в районе Иркутска, второй - под Уфой. В июле 1931 г. американцы Борт</w:t>
      </w:r>
      <w:r w:rsidRPr="00142305">
        <w:rPr>
          <w:rFonts w:ascii="Times New Roman" w:hAnsi="Times New Roman"/>
          <w:color w:val="0070C0"/>
          <w:sz w:val="16"/>
          <w:szCs w:val="16"/>
        </w:rPr>
        <w:softHyphen/>
        <w:t>ман и Поландо перелетели из Нью-Йорка в Стамбул, покрыв 8065 км (24946).</w:t>
      </w:r>
    </w:p>
    <w:p w14:paraId="579E2C93" w14:textId="77777777" w:rsidR="0098310F" w:rsidRPr="00142305" w:rsidRDefault="0098310F" w:rsidP="0098310F">
      <w:pPr>
        <w:spacing w:after="0" w:line="240" w:lineRule="auto"/>
        <w:jc w:val="both"/>
        <w:rPr>
          <w:rFonts w:ascii="Times New Roman" w:hAnsi="Times New Roman"/>
          <w:color w:val="0070C0"/>
          <w:sz w:val="16"/>
          <w:szCs w:val="16"/>
        </w:rPr>
      </w:pPr>
    </w:p>
    <w:p w14:paraId="2B1C87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3 декабря 1931 по 25 февраля 1932 проходили специальные испытания самолета типа ТБ-1, серии N 8, построенного на заводе N 22 с мотором 2хМ-17, 500НР NN 26427, 26430, степень сжатия 1:6 постройки завода N 26 серии 4 с воздушными винтами диам. 3,3, шаг 2,42 м.</w:t>
      </w:r>
    </w:p>
    <w:p w14:paraId="007975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Испытание проводили летчики-сдатчики Лозовский и Моисеев.</w:t>
      </w:r>
    </w:p>
    <w:p w14:paraId="4E9E82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Серия N 8 состоит из 35 самолетов с N 725 по N 760 включительно.</w:t>
      </w:r>
    </w:p>
    <w:p w14:paraId="320BD1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Степень готовности самолетов данной серии находилась в момент предъявления серии - вся серия сдана (сам. N 760 задержан ввиду испытания).</w:t>
      </w:r>
    </w:p>
    <w:p w14:paraId="0A7AA6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Предъявленных заводом Военной приемке для технического осмотра и испытания в воздухе - 35 самолетов.</w:t>
      </w:r>
    </w:p>
    <w:p w14:paraId="1E58A1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В воздухе испытано 35 самолетов.</w:t>
      </w:r>
    </w:p>
    <w:p w14:paraId="49395C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Из них на высоту - 13 самолетов.</w:t>
      </w:r>
    </w:p>
    <w:p w14:paraId="3899F9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 На продолжительность - 22 самолета</w:t>
      </w:r>
    </w:p>
    <w:p w14:paraId="05F69B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Примечание: испытание 22-х самолетов на высоту 3000 м было заменено испытанием на продолжительность, с согласия УВВС, вследствие неблагоприятного состояния погоды (2995).</w:t>
      </w:r>
    </w:p>
    <w:p w14:paraId="60B3F4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2ADA8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 (3 - 91,35) декабре 1931 состоялся полет звена В.С.Вахмистрова: ТБ-1 плюс 2 И-4 снизу (85,38) Пилотировали В.П.Чкалов и А.Ф.Анисимов + А.Р.Шарапов (88,106). И-4 был с нижним крылом, укороченным на 0.5 м с каждой стороны (92,344).</w:t>
      </w:r>
    </w:p>
    <w:p w14:paraId="0B2F60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Испытания проходили до 8 апреля 1932 (372,38).</w:t>
      </w:r>
    </w:p>
    <w:p w14:paraId="3383F9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другим данным это было на год раньше.</w:t>
      </w:r>
    </w:p>
    <w:p w14:paraId="68F597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Видел фото с И-5 - много на ТБ-3 (АНТ-6).</w:t>
      </w:r>
    </w:p>
    <w:p w14:paraId="30CF47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Резолюция М.Н.Тухачевского (от 19 декабря 1931 - 375,37) на отчете об испытаниях "т. Алкснис. Это крупное изобретение. Надо сделать расчет на полет ТБ-1 и ТБ-3 (АНТ-6) с радиусом 800-1200 км с тем, чтобы учесть общую эффективность звена" (237,162).</w:t>
      </w:r>
    </w:p>
    <w:p w14:paraId="1B0674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1B3682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декабря 1931 г. на аэродроме 17-й авиабригады в Монино состоялось первое испытание системы «СЗ-1» Вахмистрова. После того, как аэродромная команда закатила на крыло ТБ-1 истребители и закрепила их, провели тщательную проверку всех соединений и пе</w:t>
      </w:r>
      <w:r w:rsidRPr="005E779E">
        <w:rPr>
          <w:rFonts w:ascii="Times New Roman" w:hAnsi="Times New Roman"/>
          <w:color w:val="000000" w:themeColor="text1"/>
          <w:sz w:val="16"/>
          <w:szCs w:val="16"/>
        </w:rPr>
        <w:softHyphen/>
        <w:t>решли к пробежкам на различных режимах работы всех двигателей. В 14 ч 30 мин был произведен первый взлет СЗ-1, стартовая масса которого составила 8180 кг (ТБ-1 — 5640 кг + два И-4 по 1270 кг). На командир</w:t>
      </w:r>
      <w:r w:rsidRPr="005E779E">
        <w:rPr>
          <w:rFonts w:ascii="Times New Roman" w:hAnsi="Times New Roman"/>
          <w:color w:val="000000" w:themeColor="text1"/>
          <w:sz w:val="16"/>
          <w:szCs w:val="16"/>
        </w:rPr>
        <w:softHyphen/>
        <w:t>ском кресле ТБ-1 находился летчик Адам Залевский, правое сиденье занимал Андрей Шарапов, Вахмистров и инженер Морозов разместились на местах стрелков. Левый И-4 пилотировал Валерий Чкалов, правый — Александр Анисимов. Взлет СЗ-1 произо</w:t>
      </w:r>
      <w:r w:rsidRPr="005E779E">
        <w:rPr>
          <w:rFonts w:ascii="Times New Roman" w:hAnsi="Times New Roman"/>
          <w:color w:val="000000" w:themeColor="text1"/>
          <w:sz w:val="16"/>
          <w:szCs w:val="16"/>
        </w:rPr>
        <w:softHyphen/>
        <w:t>шел на скорости 140 км/ч без осложнений, вибраций и излишних нагрузок на органы уп</w:t>
      </w:r>
      <w:r w:rsidRPr="005E779E">
        <w:rPr>
          <w:rFonts w:ascii="Times New Roman" w:hAnsi="Times New Roman"/>
          <w:color w:val="000000" w:themeColor="text1"/>
          <w:sz w:val="16"/>
          <w:szCs w:val="16"/>
        </w:rPr>
        <w:softHyphen/>
        <w:t>равления испытатели не отметили. На высо</w:t>
      </w:r>
      <w:r w:rsidRPr="005E779E">
        <w:rPr>
          <w:rFonts w:ascii="Times New Roman" w:hAnsi="Times New Roman"/>
          <w:color w:val="000000" w:themeColor="text1"/>
          <w:sz w:val="16"/>
          <w:szCs w:val="16"/>
        </w:rPr>
        <w:softHyphen/>
        <w:t>те 1000 м при скорости 160 км/ч было произ</w:t>
      </w:r>
      <w:r w:rsidRPr="005E779E">
        <w:rPr>
          <w:rFonts w:ascii="Times New Roman" w:hAnsi="Times New Roman"/>
          <w:color w:val="000000" w:themeColor="text1"/>
          <w:sz w:val="16"/>
          <w:szCs w:val="16"/>
        </w:rPr>
        <w:softHyphen/>
        <w:t>ведено первое разделение истребителей и носителя. И-4 Анисимова отцепился с под</w:t>
      </w:r>
      <w:r w:rsidRPr="005E779E">
        <w:rPr>
          <w:rFonts w:ascii="Times New Roman" w:hAnsi="Times New Roman"/>
          <w:color w:val="000000" w:themeColor="text1"/>
          <w:sz w:val="16"/>
          <w:szCs w:val="16"/>
        </w:rPr>
        <w:softHyphen/>
        <w:t>нятым хвостом, не имея достаточной по</w:t>
      </w:r>
      <w:r w:rsidRPr="005E779E">
        <w:rPr>
          <w:rFonts w:ascii="Times New Roman" w:hAnsi="Times New Roman"/>
          <w:color w:val="000000" w:themeColor="text1"/>
          <w:sz w:val="16"/>
          <w:szCs w:val="16"/>
        </w:rPr>
        <w:softHyphen/>
        <w:t>дъемной силы, поэтому соскочил с пирамид, ударился колесом о крыло ТБ-1 в районе третьего лонжерона и пробил обшивку. При этом воздушный винт зацепил пирамиду, в результате чего и лопасть винта, и пирамида оказались повреждены. Тем не менее, экс</w:t>
      </w:r>
      <w:r w:rsidRPr="005E779E">
        <w:rPr>
          <w:rFonts w:ascii="Times New Roman" w:hAnsi="Times New Roman"/>
          <w:color w:val="000000" w:themeColor="text1"/>
          <w:sz w:val="16"/>
          <w:szCs w:val="16"/>
        </w:rPr>
        <w:softHyphen/>
        <w:t>перимент завершился благополучно — все 3 самолета приземлились на Монинском аэ</w:t>
      </w:r>
      <w:r w:rsidRPr="005E779E">
        <w:rPr>
          <w:rFonts w:ascii="Times New Roman" w:hAnsi="Times New Roman"/>
          <w:color w:val="000000" w:themeColor="text1"/>
          <w:sz w:val="16"/>
          <w:szCs w:val="16"/>
        </w:rPr>
        <w:softHyphen/>
        <w:t>родроме. Именно так событие представили в официальном отчете по испытаниям СЗ-1, подписанном лично Вахмистровым.</w:t>
      </w:r>
    </w:p>
    <w:p w14:paraId="3AAF427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Летчик-испытатель П.М. Стефановский несколько по-иному описал произошед</w:t>
      </w:r>
      <w:r w:rsidRPr="005E779E">
        <w:rPr>
          <w:rFonts w:ascii="Times New Roman" w:hAnsi="Times New Roman"/>
          <w:color w:val="000000" w:themeColor="text1"/>
          <w:sz w:val="16"/>
          <w:szCs w:val="16"/>
        </w:rPr>
        <w:softHyphen/>
        <w:t>шее. «Соединенные самолеты взлетели хо</w:t>
      </w:r>
      <w:r w:rsidRPr="005E779E">
        <w:rPr>
          <w:rFonts w:ascii="Times New Roman" w:hAnsi="Times New Roman"/>
          <w:color w:val="000000" w:themeColor="text1"/>
          <w:sz w:val="16"/>
          <w:szCs w:val="16"/>
        </w:rPr>
        <w:softHyphen/>
        <w:t>рошо и перешли в набор. На расчетной вы</w:t>
      </w:r>
      <w:r w:rsidRPr="005E779E">
        <w:rPr>
          <w:rFonts w:ascii="Times New Roman" w:hAnsi="Times New Roman"/>
          <w:color w:val="000000" w:themeColor="text1"/>
          <w:sz w:val="16"/>
          <w:szCs w:val="16"/>
        </w:rPr>
        <w:softHyphen/>
        <w:t>соте в строго установленное время Залев-ский подал Шарапову сигнал — отцепить истребители. Следовало сначала открыть задние замки, чтобы освободить хвост И-4, затем — передние: дать им возможность обрести самостоятельную подъемную силу и отделиться от бомбардировщика. Рукоят</w:t>
      </w:r>
      <w:r w:rsidRPr="005E779E">
        <w:rPr>
          <w:rFonts w:ascii="Times New Roman" w:hAnsi="Times New Roman"/>
          <w:color w:val="000000" w:themeColor="text1"/>
          <w:sz w:val="16"/>
          <w:szCs w:val="16"/>
        </w:rPr>
        <w:softHyphen/>
        <w:t>ки, с помощью которых открывались перед</w:t>
      </w:r>
      <w:r w:rsidRPr="005E779E">
        <w:rPr>
          <w:rFonts w:ascii="Times New Roman" w:hAnsi="Times New Roman"/>
          <w:color w:val="000000" w:themeColor="text1"/>
          <w:sz w:val="16"/>
          <w:szCs w:val="16"/>
        </w:rPr>
        <w:softHyphen/>
        <w:t>ние замки, располагались внизу, в проходе между первым и вторым летчиками. И Анд</w:t>
      </w:r>
      <w:r w:rsidRPr="005E779E">
        <w:rPr>
          <w:rFonts w:ascii="Times New Roman" w:hAnsi="Times New Roman"/>
          <w:color w:val="000000" w:themeColor="text1"/>
          <w:sz w:val="16"/>
          <w:szCs w:val="16"/>
        </w:rPr>
        <w:softHyphen/>
        <w:t>рей поторопился: на самолете Чкалова он раньше заднего замка открыл передние.</w:t>
      </w:r>
    </w:p>
    <w:p w14:paraId="7096703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Чкалов тут же почувствовал: хотя шасси и освобождено, хвост по-прежнему «на при</w:t>
      </w:r>
      <w:r w:rsidRPr="005E779E">
        <w:rPr>
          <w:rFonts w:ascii="Times New Roman" w:hAnsi="Times New Roman"/>
          <w:color w:val="000000" w:themeColor="text1"/>
          <w:sz w:val="16"/>
          <w:szCs w:val="16"/>
        </w:rPr>
        <w:softHyphen/>
        <w:t>вязи». Стремительно растет подъемная си</w:t>
      </w:r>
      <w:r w:rsidRPr="005E779E">
        <w:rPr>
          <w:rFonts w:ascii="Times New Roman" w:hAnsi="Times New Roman"/>
          <w:color w:val="000000" w:themeColor="text1"/>
          <w:sz w:val="16"/>
          <w:szCs w:val="16"/>
        </w:rPr>
        <w:softHyphen/>
        <w:t>ла. Сейчас последует петля вокруг закреп</w:t>
      </w:r>
      <w:r w:rsidRPr="005E779E">
        <w:rPr>
          <w:rFonts w:ascii="Times New Roman" w:hAnsi="Times New Roman"/>
          <w:color w:val="000000" w:themeColor="text1"/>
          <w:sz w:val="16"/>
          <w:szCs w:val="16"/>
        </w:rPr>
        <w:softHyphen/>
        <w:t>ленного хвоста и... Валерий Павлович мгно</w:t>
      </w:r>
      <w:r w:rsidRPr="005E779E">
        <w:rPr>
          <w:rFonts w:ascii="Times New Roman" w:hAnsi="Times New Roman"/>
          <w:color w:val="000000" w:themeColor="text1"/>
          <w:sz w:val="16"/>
          <w:szCs w:val="16"/>
        </w:rPr>
        <w:softHyphen/>
        <w:t>венно оценил создавшееся положение и немедленно среагировал. Он резко дал ру</w:t>
      </w:r>
      <w:r w:rsidRPr="005E779E">
        <w:rPr>
          <w:rFonts w:ascii="Times New Roman" w:hAnsi="Times New Roman"/>
          <w:color w:val="000000" w:themeColor="text1"/>
          <w:sz w:val="16"/>
          <w:szCs w:val="16"/>
        </w:rPr>
        <w:softHyphen/>
        <w:t>ля, открыл крепление заднего замка и, силь</w:t>
      </w:r>
      <w:r w:rsidRPr="005E779E">
        <w:rPr>
          <w:rFonts w:ascii="Times New Roman" w:hAnsi="Times New Roman"/>
          <w:color w:val="000000" w:themeColor="text1"/>
          <w:sz w:val="16"/>
          <w:szCs w:val="16"/>
        </w:rPr>
        <w:softHyphen/>
        <w:t>но вогнув колесами верхнюю обшивку бом</w:t>
      </w:r>
      <w:r w:rsidRPr="005E779E">
        <w:rPr>
          <w:rFonts w:ascii="Times New Roman" w:hAnsi="Times New Roman"/>
          <w:color w:val="000000" w:themeColor="text1"/>
          <w:sz w:val="16"/>
          <w:szCs w:val="16"/>
        </w:rPr>
        <w:softHyphen/>
        <w:t>бардировщика, унесся в свободный полет.</w:t>
      </w:r>
    </w:p>
    <w:p w14:paraId="565C517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Истребитель Анисимова все еще нахо</w:t>
      </w:r>
      <w:r w:rsidRPr="005E779E">
        <w:rPr>
          <w:rFonts w:ascii="Times New Roman" w:hAnsi="Times New Roman"/>
          <w:color w:val="000000" w:themeColor="text1"/>
          <w:sz w:val="16"/>
          <w:szCs w:val="16"/>
        </w:rPr>
        <w:softHyphen/>
        <w:t>дился на крыле бомбардировщика. Вопре</w:t>
      </w:r>
      <w:r w:rsidRPr="005E779E">
        <w:rPr>
          <w:rFonts w:ascii="Times New Roman" w:hAnsi="Times New Roman"/>
          <w:color w:val="000000" w:themeColor="text1"/>
          <w:sz w:val="16"/>
          <w:szCs w:val="16"/>
        </w:rPr>
        <w:softHyphen/>
        <w:t>ки ранее высказанным опасениям, ТБ-1 сохранял вполне достаточную управляе</w:t>
      </w:r>
      <w:r w:rsidRPr="005E779E">
        <w:rPr>
          <w:rFonts w:ascii="Times New Roman" w:hAnsi="Times New Roman"/>
          <w:color w:val="000000" w:themeColor="text1"/>
          <w:sz w:val="16"/>
          <w:szCs w:val="16"/>
        </w:rPr>
        <w:softHyphen/>
        <w:t>мость. Поэтому последняя задача испыта</w:t>
      </w:r>
      <w:r w:rsidRPr="005E779E">
        <w:rPr>
          <w:rFonts w:ascii="Times New Roman" w:hAnsi="Times New Roman"/>
          <w:color w:val="000000" w:themeColor="text1"/>
          <w:sz w:val="16"/>
          <w:szCs w:val="16"/>
        </w:rPr>
        <w:softHyphen/>
        <w:t>ний оказалась выполненной в числе пер</w:t>
      </w:r>
      <w:r w:rsidRPr="005E779E">
        <w:rPr>
          <w:rFonts w:ascii="Times New Roman" w:hAnsi="Times New Roman"/>
          <w:color w:val="000000" w:themeColor="text1"/>
          <w:sz w:val="16"/>
          <w:szCs w:val="16"/>
        </w:rPr>
        <w:softHyphen/>
        <w:t>вых. При отцеплении самолета Анисимова Шарапов действовал уже хладнокровно. Разъединение прошло благополучно.</w:t>
      </w:r>
    </w:p>
    <w:p w14:paraId="2EAE076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Владимир Сергеевич Вахмистров после этого полета затаил некоторую неприязнь к Андрею Шарапову. Хотя сам убедился, что в конструкции нужно произвести ряд переде</w:t>
      </w:r>
      <w:r w:rsidRPr="005E779E">
        <w:rPr>
          <w:rFonts w:ascii="Times New Roman" w:hAnsi="Times New Roman"/>
          <w:color w:val="000000" w:themeColor="text1"/>
          <w:sz w:val="16"/>
          <w:szCs w:val="16"/>
        </w:rPr>
        <w:softHyphen/>
        <w:t>лок. Прежде всего, механизм разъедине</w:t>
      </w:r>
      <w:r w:rsidRPr="005E779E">
        <w:rPr>
          <w:rFonts w:ascii="Times New Roman" w:hAnsi="Times New Roman"/>
          <w:color w:val="000000" w:themeColor="text1"/>
          <w:sz w:val="16"/>
          <w:szCs w:val="16"/>
        </w:rPr>
        <w:softHyphen/>
        <w:t>ния самолетов он перенес в кабины истребителя. Стоило только взять на себя ручку управления. Пе</w:t>
      </w:r>
      <w:r w:rsidRPr="005E779E">
        <w:rPr>
          <w:rFonts w:ascii="Times New Roman" w:hAnsi="Times New Roman"/>
          <w:color w:val="000000" w:themeColor="text1"/>
          <w:sz w:val="16"/>
          <w:szCs w:val="16"/>
        </w:rPr>
        <w:softHyphen/>
        <w:t>редние крепления сразу размыкались, и истребители, оторвавшись от плоскости ТБ-1, поднимались метров на десять вверх, несколько отставая от бомбардировщика» (11286).</w:t>
      </w:r>
    </w:p>
    <w:p w14:paraId="655E53E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C5B72E" w14:textId="77777777" w:rsidR="00484B32" w:rsidRPr="005E779E" w:rsidRDefault="00484B32" w:rsidP="000B7A6C">
      <w:pPr>
        <w:pStyle w:val="a8"/>
        <w:jc w:val="both"/>
        <w:rPr>
          <w:rFonts w:ascii="Times New Roman" w:hAnsi="Times New Roman" w:cs="Times New Roman"/>
          <w:color w:val="000000" w:themeColor="text1"/>
        </w:rPr>
      </w:pPr>
      <w:r w:rsidRPr="005E779E">
        <w:rPr>
          <w:rFonts w:ascii="Times New Roman" w:hAnsi="Times New Roman" w:cs="Times New Roman"/>
          <w:color w:val="000000" w:themeColor="text1"/>
        </w:rPr>
        <w:t>3 декабря 1931 г. в Монино состоялся первый полет «Звена-1». Перед накаткой на крыло моторы И-4 предварительно прогрели. Командиром ТБ-1 являлся А.И. Залевский, вторым пилотом - А.Р. Шарапов. На месте бортмеханика находился инженер В.В. Морозов. В документах Вахмистров записан оператором расцепки, но сидел он в кабине стрелков и мог только наблюдать за процессом. Левый истребитель пилотировал В.П. Чкалов, правый - А.Ф. Анисимов.</w:t>
      </w:r>
    </w:p>
    <w:p w14:paraId="32115FFD" w14:textId="77777777" w:rsidR="00484B32" w:rsidRPr="005E779E" w:rsidRDefault="00484B32" w:rsidP="000B7A6C">
      <w:pPr>
        <w:pStyle w:val="a8"/>
        <w:jc w:val="both"/>
        <w:rPr>
          <w:rFonts w:ascii="Times New Roman" w:hAnsi="Times New Roman" w:cs="Times New Roman"/>
          <w:color w:val="000000" w:themeColor="text1"/>
        </w:rPr>
      </w:pPr>
      <w:r w:rsidRPr="005E779E">
        <w:rPr>
          <w:rFonts w:ascii="Times New Roman" w:hAnsi="Times New Roman" w:cs="Times New Roman"/>
          <w:color w:val="000000" w:themeColor="text1"/>
        </w:rPr>
        <w:t>Бомбардировщик сначала немного порулил только на своих двигателях. Затем еще раз все проверили и, наконец, «звено» двинулось к линии старта при всех работающих моторах. Взлетели нормально и постепенно набрали высоту 1000 м. Здесь истребителям предстояло отделиться. Их летчики открыли задние замки и постарались придать самолетам необходимое для старта горизонтальное положение, работая рулями. Шарапов открыл замки на «пауке» левого И-4. Чкалов успешно отделился от носителя и ушел вверх и во внешнюю сторону, как и намечалось. У Анисимова операция прошла не столь благополучно. Когда замки «паука» сработали, у его машины хвост оказался приподнят. Истребитель ударил колесами по крылу в районе третьего лонжерона, пробил гофрированную обшивку, а винтом ударил по «пауку». Одна из стоек последнего помялась, а пропеллер лишился кончиков лопастей. Но все обошлось благополучно. Второй И-4 тоже успешно отделился от носителя. Вся группа сделала круг и зашла на посадку.</w:t>
      </w:r>
    </w:p>
    <w:p w14:paraId="5F9C458C" w14:textId="77777777" w:rsidR="00484B32" w:rsidRPr="005E779E" w:rsidRDefault="00484B32" w:rsidP="000B7A6C">
      <w:pPr>
        <w:pStyle w:val="a8"/>
        <w:jc w:val="both"/>
        <w:rPr>
          <w:rFonts w:ascii="Times New Roman" w:hAnsi="Times New Roman" w:cs="Times New Roman"/>
          <w:color w:val="000000" w:themeColor="text1"/>
        </w:rPr>
      </w:pPr>
      <w:r w:rsidRPr="005E779E">
        <w:rPr>
          <w:rFonts w:ascii="Times New Roman" w:hAnsi="Times New Roman" w:cs="Times New Roman"/>
          <w:color w:val="000000" w:themeColor="text1"/>
        </w:rPr>
        <w:t>На земле летчиков встречали как победителей. Из НИИ ВВС отправили рапорт наркому по военным и морским делам К.Е. Ворошилову. В нем принятыми в те годы цветистыми выражениями говорилось: «САМОЛЕТ-ЗВЕНО построен под общим руководством инженера Вахмистрова совместными силами работников НИИ ВВС и КОСОС ЦАГИ к 14-й годовщине Октябрьской Революции... Отмечая с великой радостью эту победу советской авиационной техники, мы шлем пламенный привет вождю Красной Армии Климен- тию Ефремовичу Ворошилову и Революционному Военному Совету СССР и просим принять от нас подарок Воздушному Флоту — САМОЛЕТ-ЗВЕНО» (19100).</w:t>
      </w:r>
    </w:p>
    <w:p w14:paraId="0925077F" w14:textId="77777777" w:rsidR="00484B32" w:rsidRPr="005E779E" w:rsidRDefault="00484B32" w:rsidP="000B7A6C">
      <w:pPr>
        <w:pStyle w:val="a8"/>
        <w:jc w:val="both"/>
        <w:rPr>
          <w:rFonts w:ascii="Times New Roman" w:hAnsi="Times New Roman" w:cs="Times New Roman"/>
          <w:color w:val="000000" w:themeColor="text1"/>
        </w:rPr>
      </w:pPr>
    </w:p>
    <w:p w14:paraId="7AE11FDE" w14:textId="77777777" w:rsidR="00D82FF1" w:rsidRPr="005E779E" w:rsidRDefault="00D82FF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декабря 1931 года на аэродроме 17-й авиа</w:t>
      </w:r>
      <w:r w:rsidRPr="005E779E">
        <w:rPr>
          <w:rFonts w:ascii="Times New Roman" w:hAnsi="Times New Roman"/>
          <w:color w:val="000000" w:themeColor="text1"/>
          <w:sz w:val="16"/>
          <w:szCs w:val="16"/>
        </w:rPr>
        <w:softHyphen/>
        <w:t>бригады в подмосковном Монино со</w:t>
      </w:r>
      <w:r w:rsidRPr="005E779E">
        <w:rPr>
          <w:rFonts w:ascii="Times New Roman" w:hAnsi="Times New Roman"/>
          <w:color w:val="000000" w:themeColor="text1"/>
          <w:sz w:val="16"/>
          <w:szCs w:val="16"/>
        </w:rPr>
        <w:softHyphen/>
        <w:t>стоялось первое испытание воздушного соединения, полу</w:t>
      </w:r>
      <w:r w:rsidRPr="005E779E">
        <w:rPr>
          <w:rFonts w:ascii="Times New Roman" w:hAnsi="Times New Roman"/>
          <w:color w:val="000000" w:themeColor="text1"/>
          <w:sz w:val="16"/>
          <w:szCs w:val="16"/>
        </w:rPr>
        <w:softHyphen/>
        <w:t>чившего наименование «Самолет-Звено-1» (СЗ-1). Первым делом при стоянке на земле были запущены и прогреты двигате</w:t>
      </w:r>
      <w:r w:rsidRPr="005E779E">
        <w:rPr>
          <w:rFonts w:ascii="Times New Roman" w:hAnsi="Times New Roman"/>
          <w:color w:val="000000" w:themeColor="text1"/>
          <w:sz w:val="16"/>
          <w:szCs w:val="16"/>
        </w:rPr>
        <w:softHyphen/>
        <w:t>ли обоих истребителей И-4, после чего аэродромная команда по наклонной рампе закатила их на крыло ТБ-1. После соединения всех систем и последующей их тщательной проверки начались пробежки по аэро</w:t>
      </w:r>
      <w:r w:rsidRPr="005E779E">
        <w:rPr>
          <w:rFonts w:ascii="Times New Roman" w:hAnsi="Times New Roman"/>
          <w:color w:val="000000" w:themeColor="text1"/>
          <w:sz w:val="16"/>
          <w:szCs w:val="16"/>
        </w:rPr>
        <w:softHyphen/>
        <w:t>дрому на различных режимах работы двигателей. В 14 часов 30 минут был произведен первый взлет СЗ-1, стартовый вес которого составил 8180 кг (ТБ-1 5640 кг + 2 И-4 2х1270 кг). В ТБ-1 на левом командирском кресле находился летчик Адам Залевский, летчик Ан</w:t>
      </w:r>
      <w:r w:rsidRPr="005E779E">
        <w:rPr>
          <w:rFonts w:ascii="Times New Roman" w:hAnsi="Times New Roman"/>
          <w:color w:val="000000" w:themeColor="text1"/>
          <w:sz w:val="16"/>
          <w:szCs w:val="16"/>
        </w:rPr>
        <w:softHyphen/>
        <w:t>дрей Шарапов занимал правое сиденье носителя, кон</w:t>
      </w:r>
      <w:r w:rsidRPr="005E779E">
        <w:rPr>
          <w:rFonts w:ascii="Times New Roman" w:hAnsi="Times New Roman"/>
          <w:color w:val="000000" w:themeColor="text1"/>
          <w:sz w:val="16"/>
          <w:szCs w:val="16"/>
        </w:rPr>
        <w:softHyphen/>
        <w:t>структор Вахмистров — в 1-м люке кормовых стрел</w:t>
      </w:r>
      <w:r w:rsidRPr="005E779E">
        <w:rPr>
          <w:rFonts w:ascii="Times New Roman" w:hAnsi="Times New Roman"/>
          <w:color w:val="000000" w:themeColor="text1"/>
          <w:sz w:val="16"/>
          <w:szCs w:val="16"/>
        </w:rPr>
        <w:softHyphen/>
        <w:t>ков, инженер Морозов — во 2-м люке. Левым И-4 уп</w:t>
      </w:r>
      <w:r w:rsidRPr="005E779E">
        <w:rPr>
          <w:rFonts w:ascii="Times New Roman" w:hAnsi="Times New Roman"/>
          <w:color w:val="000000" w:themeColor="text1"/>
          <w:sz w:val="16"/>
          <w:szCs w:val="16"/>
        </w:rPr>
        <w:softHyphen/>
        <w:t>равлял летчик Валерий Чкалов, правым — Александр Анисимов. Взлет СЗ-1 с аэродрома произошел на ско</w:t>
      </w:r>
      <w:r w:rsidRPr="005E779E">
        <w:rPr>
          <w:rFonts w:ascii="Times New Roman" w:hAnsi="Times New Roman"/>
          <w:color w:val="000000" w:themeColor="text1"/>
          <w:sz w:val="16"/>
          <w:szCs w:val="16"/>
        </w:rPr>
        <w:softHyphen/>
        <w:t>рости 140 км/ч без осложнений. Адам Залевский виб</w:t>
      </w:r>
      <w:r w:rsidRPr="005E779E">
        <w:rPr>
          <w:rFonts w:ascii="Times New Roman" w:hAnsi="Times New Roman"/>
          <w:color w:val="000000" w:themeColor="text1"/>
          <w:sz w:val="16"/>
          <w:szCs w:val="16"/>
        </w:rPr>
        <w:softHyphen/>
        <w:t>раций и излишних давлений на органы управления при выполнении старта и наборе высоты не отметил. На высоте 1000 м при скорости 160 км/ч был произве</w:t>
      </w:r>
      <w:r w:rsidRPr="005E779E">
        <w:rPr>
          <w:rFonts w:ascii="Times New Roman" w:hAnsi="Times New Roman"/>
          <w:color w:val="000000" w:themeColor="text1"/>
          <w:sz w:val="16"/>
          <w:szCs w:val="16"/>
        </w:rPr>
        <w:softHyphen/>
        <w:t>ден первый отрыв самолетов от носителя. При этом И-4 Анисимова отцепился с поднятым хвостом, не имея достаточной подъемной силы, поэтому соскочил с пирамид, ударился колесом о 3-й лонжерон крыла ТБ-1 и пробил гофрированную обшивку. Воздушный винт истребителя в ходе этого нештатного отцепления задел пирамиду крепления, в результате чего лопасть винта и сама пирамида оказались повреждены. Тем не менее неприятность не помешала благополучному за</w:t>
      </w:r>
      <w:r w:rsidRPr="005E779E">
        <w:rPr>
          <w:rFonts w:ascii="Times New Roman" w:hAnsi="Times New Roman"/>
          <w:color w:val="000000" w:themeColor="text1"/>
          <w:sz w:val="16"/>
          <w:szCs w:val="16"/>
        </w:rPr>
        <w:softHyphen/>
        <w:t>вершению эксперимента — все три самолета успешно приземлились на Монинском аэродроме. Именно так выглядели произошедшие события согласно офици</w:t>
      </w:r>
      <w:r w:rsidRPr="005E779E">
        <w:rPr>
          <w:rFonts w:ascii="Times New Roman" w:hAnsi="Times New Roman"/>
          <w:color w:val="000000" w:themeColor="text1"/>
          <w:sz w:val="16"/>
          <w:szCs w:val="16"/>
        </w:rPr>
        <w:softHyphen/>
        <w:t>альному отчету по испытаниям СЗ-1, подписанному лично Вахмистровым.</w:t>
      </w:r>
    </w:p>
    <w:p w14:paraId="29908348" w14:textId="77777777" w:rsidR="00D82FF1" w:rsidRPr="005E779E" w:rsidRDefault="00D82FF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позднейших воспоминаниях Владимир Сергее</w:t>
      </w:r>
      <w:r w:rsidRPr="005E779E">
        <w:rPr>
          <w:rFonts w:ascii="Times New Roman" w:hAnsi="Times New Roman"/>
          <w:color w:val="000000" w:themeColor="text1"/>
          <w:sz w:val="16"/>
          <w:szCs w:val="16"/>
        </w:rPr>
        <w:softHyphen/>
        <w:t>вич несколько иначе описал первые испытания: «Предполагалось, что я полечу на правом месте ря</w:t>
      </w:r>
      <w:r w:rsidRPr="005E779E">
        <w:rPr>
          <w:rFonts w:ascii="Times New Roman" w:hAnsi="Times New Roman"/>
          <w:color w:val="000000" w:themeColor="text1"/>
          <w:sz w:val="16"/>
          <w:szCs w:val="16"/>
        </w:rPr>
        <w:softHyphen/>
        <w:t>дом с командиром ТБ-1 Залевским. По первому ва</w:t>
      </w:r>
      <w:r w:rsidRPr="005E779E">
        <w:rPr>
          <w:rFonts w:ascii="Times New Roman" w:hAnsi="Times New Roman"/>
          <w:color w:val="000000" w:themeColor="text1"/>
          <w:sz w:val="16"/>
          <w:szCs w:val="16"/>
        </w:rPr>
        <w:softHyphen/>
        <w:t>рианту проекта предусматривалось, что замки, осво</w:t>
      </w:r>
      <w:r w:rsidRPr="005E779E">
        <w:rPr>
          <w:rFonts w:ascii="Times New Roman" w:hAnsi="Times New Roman"/>
          <w:color w:val="000000" w:themeColor="text1"/>
          <w:sz w:val="16"/>
          <w:szCs w:val="16"/>
        </w:rPr>
        <w:softHyphen/>
        <w:t>бождающие истребители, буду открывать я. Во время тренировки всё так и делали, однако в самый послед</w:t>
      </w:r>
      <w:r w:rsidRPr="005E779E">
        <w:rPr>
          <w:rFonts w:ascii="Times New Roman" w:hAnsi="Times New Roman"/>
          <w:color w:val="000000" w:themeColor="text1"/>
          <w:sz w:val="16"/>
          <w:szCs w:val="16"/>
        </w:rPr>
        <w:softHyphen/>
        <w:t>ний момент начальство распорядилось, чтобы на правом месте сидел тоже летчик. Посадили туда лет</w:t>
      </w:r>
      <w:r w:rsidRPr="005E779E">
        <w:rPr>
          <w:rFonts w:ascii="Times New Roman" w:hAnsi="Times New Roman"/>
          <w:color w:val="000000" w:themeColor="text1"/>
          <w:sz w:val="16"/>
          <w:szCs w:val="16"/>
        </w:rPr>
        <w:softHyphen/>
        <w:t>чика Шарапова, а мне с инженером Морозовым при</w:t>
      </w:r>
      <w:r w:rsidRPr="005E779E">
        <w:rPr>
          <w:rFonts w:ascii="Times New Roman" w:hAnsi="Times New Roman"/>
          <w:color w:val="000000" w:themeColor="text1"/>
          <w:sz w:val="16"/>
          <w:szCs w:val="16"/>
        </w:rPr>
        <w:softHyphen/>
        <w:t>шлось сесть в задние кабины.</w:t>
      </w:r>
    </w:p>
    <w:p w14:paraId="28092FE8" w14:textId="77777777" w:rsidR="00D82FF1" w:rsidRPr="005E779E" w:rsidRDefault="00D82FF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результате такой замены, сделанной в самый по</w:t>
      </w:r>
      <w:r w:rsidRPr="005E779E">
        <w:rPr>
          <w:rFonts w:ascii="Times New Roman" w:hAnsi="Times New Roman"/>
          <w:color w:val="000000" w:themeColor="text1"/>
          <w:sz w:val="16"/>
          <w:szCs w:val="16"/>
        </w:rPr>
        <w:softHyphen/>
        <w:t>следний момент, чуть не случилось беда Поднимаясь в воздух, мы не знали, как поведет себя система, ес</w:t>
      </w:r>
      <w:r w:rsidRPr="005E779E">
        <w:rPr>
          <w:rFonts w:ascii="Times New Roman" w:hAnsi="Times New Roman"/>
          <w:color w:val="000000" w:themeColor="text1"/>
          <w:sz w:val="16"/>
          <w:szCs w:val="16"/>
        </w:rPr>
        <w:softHyphen/>
        <w:t>ли самолеты отцепятся не одновременно. Естествен</w:t>
      </w:r>
      <w:r w:rsidRPr="005E779E">
        <w:rPr>
          <w:rFonts w:ascii="Times New Roman" w:hAnsi="Times New Roman"/>
          <w:color w:val="000000" w:themeColor="text1"/>
          <w:sz w:val="16"/>
          <w:szCs w:val="16"/>
        </w:rPr>
        <w:softHyphen/>
        <w:t>но, что нам хотелось добиться наибольшей одновре</w:t>
      </w:r>
      <w:r w:rsidRPr="005E779E">
        <w:rPr>
          <w:rFonts w:ascii="Times New Roman" w:hAnsi="Times New Roman"/>
          <w:color w:val="000000" w:themeColor="text1"/>
          <w:sz w:val="16"/>
          <w:szCs w:val="16"/>
        </w:rPr>
        <w:softHyphen/>
        <w:t>менности. Когда Залевский подал команду к отцеп</w:t>
      </w:r>
      <w:r w:rsidRPr="005E779E">
        <w:rPr>
          <w:rFonts w:ascii="Times New Roman" w:hAnsi="Times New Roman"/>
          <w:color w:val="000000" w:themeColor="text1"/>
          <w:sz w:val="16"/>
          <w:szCs w:val="16"/>
        </w:rPr>
        <w:softHyphen/>
        <w:t>лению, Шарапов растерялся. Не дождавшись, пока Чкалов освободит хвост своего самолета (этот замок истребители отпирали сами), он освободил колеса. Чкалов завис на одной хвостовой точке. Однако он быстро оценил обстановку, рванул машину вправо и влево, оторвался и улетел. Не растерялся и Аниси</w:t>
      </w:r>
      <w:r w:rsidRPr="005E779E">
        <w:rPr>
          <w:rFonts w:ascii="Times New Roman" w:hAnsi="Times New Roman"/>
          <w:color w:val="000000" w:themeColor="text1"/>
          <w:sz w:val="16"/>
          <w:szCs w:val="16"/>
        </w:rPr>
        <w:softHyphen/>
        <w:t>мов. Быстро освободив хвост, он взлетел, как поло</w:t>
      </w:r>
      <w:r w:rsidRPr="005E779E">
        <w:rPr>
          <w:rFonts w:ascii="Times New Roman" w:hAnsi="Times New Roman"/>
          <w:color w:val="000000" w:themeColor="text1"/>
          <w:sz w:val="16"/>
          <w:szCs w:val="16"/>
        </w:rPr>
        <w:softHyphen/>
        <w:t>жено. Разумеется, после такого происшествия замки были заменены новыми, предусматривавшими авто</w:t>
      </w:r>
      <w:r w:rsidRPr="005E779E">
        <w:rPr>
          <w:rFonts w:ascii="Times New Roman" w:hAnsi="Times New Roman"/>
          <w:color w:val="000000" w:themeColor="text1"/>
          <w:sz w:val="16"/>
          <w:szCs w:val="16"/>
        </w:rPr>
        <w:softHyphen/>
        <w:t>матическое отцепление».</w:t>
      </w:r>
    </w:p>
    <w:p w14:paraId="037FAD74" w14:textId="77777777" w:rsidR="00D82FF1" w:rsidRPr="005E779E" w:rsidRDefault="00D82FF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Летчик-испытатель П.М.Стефановский по-своему описал произошедшее событие: «Перед самым выле</w:t>
      </w:r>
      <w:r w:rsidRPr="005E779E">
        <w:rPr>
          <w:rFonts w:ascii="Times New Roman" w:hAnsi="Times New Roman"/>
          <w:color w:val="000000" w:themeColor="text1"/>
          <w:sz w:val="16"/>
          <w:szCs w:val="16"/>
        </w:rPr>
        <w:softHyphen/>
        <w:t>том — он производился с подмосковного аэродрома — неожиданно поступило распоряжение: инженера Вахмистрова поместить в кабине переднего стрелка, обязанности второго пилота будет выполнять коман</w:t>
      </w:r>
      <w:r w:rsidRPr="005E779E">
        <w:rPr>
          <w:rFonts w:ascii="Times New Roman" w:hAnsi="Times New Roman"/>
          <w:color w:val="000000" w:themeColor="text1"/>
          <w:sz w:val="16"/>
          <w:szCs w:val="16"/>
        </w:rPr>
        <w:softHyphen/>
        <w:t>дир эскадрильи Андрей Родионович Шарапов.</w:t>
      </w:r>
    </w:p>
    <w:p w14:paraId="542DEA45" w14:textId="77777777" w:rsidR="00D82FF1" w:rsidRPr="005E779E" w:rsidRDefault="00D82FF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Соединенные самолеты взлетели хорошо и пере</w:t>
      </w:r>
      <w:r w:rsidRPr="005E779E">
        <w:rPr>
          <w:rFonts w:ascii="Times New Roman" w:hAnsi="Times New Roman"/>
          <w:color w:val="000000" w:themeColor="text1"/>
          <w:sz w:val="16"/>
          <w:szCs w:val="16"/>
        </w:rPr>
        <w:softHyphen/>
        <w:t>шли в набор. На расчетной высоте в строго установ</w:t>
      </w:r>
      <w:r w:rsidRPr="005E779E">
        <w:rPr>
          <w:rFonts w:ascii="Times New Roman" w:hAnsi="Times New Roman"/>
          <w:color w:val="000000" w:themeColor="text1"/>
          <w:sz w:val="16"/>
          <w:szCs w:val="16"/>
        </w:rPr>
        <w:softHyphen/>
        <w:t>ленное время Залевский подал Шарапову сигнал — отцепить истребители. Следовало сначала открыть задние замки, чтобы освободить хвост И-4, затем — передние: дать им возможность обрести самостоя</w:t>
      </w:r>
      <w:r w:rsidRPr="005E779E">
        <w:rPr>
          <w:rFonts w:ascii="Times New Roman" w:hAnsi="Times New Roman"/>
          <w:color w:val="000000" w:themeColor="text1"/>
          <w:sz w:val="16"/>
          <w:szCs w:val="16"/>
        </w:rPr>
        <w:softHyphen/>
        <w:t>тельную подъемную силу и отделиться от бомбарди</w:t>
      </w:r>
      <w:r w:rsidRPr="005E779E">
        <w:rPr>
          <w:rFonts w:ascii="Times New Roman" w:hAnsi="Times New Roman"/>
          <w:color w:val="000000" w:themeColor="text1"/>
          <w:sz w:val="16"/>
          <w:szCs w:val="16"/>
        </w:rPr>
        <w:softHyphen/>
        <w:t>ровщика. Рукоятки, с помощью которых открыва</w:t>
      </w:r>
      <w:r w:rsidRPr="005E779E">
        <w:rPr>
          <w:rFonts w:ascii="Times New Roman" w:hAnsi="Times New Roman"/>
          <w:color w:val="000000" w:themeColor="text1"/>
          <w:sz w:val="16"/>
          <w:szCs w:val="16"/>
        </w:rPr>
        <w:softHyphen/>
        <w:t>лись передние замки, располагались внизу, в проходе между первым и вторым летчиком. И Андрей пото</w:t>
      </w:r>
      <w:r w:rsidRPr="005E779E">
        <w:rPr>
          <w:rFonts w:ascii="Times New Roman" w:hAnsi="Times New Roman"/>
          <w:color w:val="000000" w:themeColor="text1"/>
          <w:sz w:val="16"/>
          <w:szCs w:val="16"/>
        </w:rPr>
        <w:softHyphen/>
        <w:t>ропился: на самолете Чкалова он раньше заднего замка открыл передние.</w:t>
      </w:r>
    </w:p>
    <w:p w14:paraId="00813C93" w14:textId="77777777" w:rsidR="00D82FF1" w:rsidRPr="005E779E" w:rsidRDefault="00D82FF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Чкалов тут же почувствовал: хотя шасси и осво</w:t>
      </w:r>
      <w:r w:rsidRPr="005E779E">
        <w:rPr>
          <w:rFonts w:ascii="Times New Roman" w:hAnsi="Times New Roman"/>
          <w:color w:val="000000" w:themeColor="text1"/>
          <w:sz w:val="16"/>
          <w:szCs w:val="16"/>
        </w:rPr>
        <w:softHyphen/>
        <w:t>бождено, хвост по-прежнему «на привязи». Стремительно растет подъемная сила. Сейчас последует пет</w:t>
      </w:r>
      <w:r w:rsidRPr="005E779E">
        <w:rPr>
          <w:rFonts w:ascii="Times New Roman" w:hAnsi="Times New Roman"/>
          <w:color w:val="000000" w:themeColor="text1"/>
          <w:sz w:val="16"/>
          <w:szCs w:val="16"/>
        </w:rPr>
        <w:softHyphen/>
        <w:t>ля вокруг закрепленного хвоста и... Валерий Павло</w:t>
      </w:r>
      <w:r w:rsidRPr="005E779E">
        <w:rPr>
          <w:rFonts w:ascii="Times New Roman" w:hAnsi="Times New Roman"/>
          <w:color w:val="000000" w:themeColor="text1"/>
          <w:sz w:val="16"/>
          <w:szCs w:val="16"/>
        </w:rPr>
        <w:softHyphen/>
        <w:t>вич мгновенно оценил создавшееся положение и не</w:t>
      </w:r>
      <w:r w:rsidRPr="005E779E">
        <w:rPr>
          <w:rFonts w:ascii="Times New Roman" w:hAnsi="Times New Roman"/>
          <w:color w:val="000000" w:themeColor="text1"/>
          <w:sz w:val="16"/>
          <w:szCs w:val="16"/>
        </w:rPr>
        <w:softHyphen/>
        <w:t>медленно отреагировал. Он резко дал руля, открыл крепление заднего замка и, сильно вогнув колесами верхнюю обшивку бомбардировщика, унесся в сво</w:t>
      </w:r>
      <w:r w:rsidRPr="005E779E">
        <w:rPr>
          <w:rFonts w:ascii="Times New Roman" w:hAnsi="Times New Roman"/>
          <w:color w:val="000000" w:themeColor="text1"/>
          <w:sz w:val="16"/>
          <w:szCs w:val="16"/>
        </w:rPr>
        <w:softHyphen/>
        <w:t>бодный полет.</w:t>
      </w:r>
    </w:p>
    <w:p w14:paraId="78FD8F44" w14:textId="77777777" w:rsidR="00D82FF1" w:rsidRPr="005E779E" w:rsidRDefault="00D82FF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Истребитель Анисимова все еще находился на крыле бомбардировщика. Вопреки ранее высказан</w:t>
      </w:r>
      <w:r w:rsidRPr="005E779E">
        <w:rPr>
          <w:rFonts w:ascii="Times New Roman" w:hAnsi="Times New Roman"/>
          <w:color w:val="000000" w:themeColor="text1"/>
          <w:sz w:val="16"/>
          <w:szCs w:val="16"/>
        </w:rPr>
        <w:softHyphen/>
        <w:t>ным опасениям, ТБ-1 сохранял вполне достаточную управляемость. Поэтому последняя задача испыта</w:t>
      </w:r>
      <w:r w:rsidRPr="005E779E">
        <w:rPr>
          <w:rFonts w:ascii="Times New Roman" w:hAnsi="Times New Roman"/>
          <w:color w:val="000000" w:themeColor="text1"/>
          <w:sz w:val="16"/>
          <w:szCs w:val="16"/>
        </w:rPr>
        <w:softHyphen/>
        <w:t>ний оказалась выполненной в числе первых.</w:t>
      </w:r>
    </w:p>
    <w:p w14:paraId="326E28EE" w14:textId="77777777" w:rsidR="00D82FF1" w:rsidRPr="005E779E" w:rsidRDefault="00D82FF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отцеплении самолета Анисимова Шарапов действовал уже хладнокровно. Разъединение прошло благополучно.</w:t>
      </w:r>
    </w:p>
    <w:p w14:paraId="4724EFD4" w14:textId="77777777" w:rsidR="00D82FF1" w:rsidRPr="005E779E" w:rsidRDefault="00D82FF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Владимир Сергеевич Вахмистров после этого поле</w:t>
      </w:r>
      <w:r w:rsidRPr="005E779E">
        <w:rPr>
          <w:rFonts w:ascii="Times New Roman" w:hAnsi="Times New Roman"/>
          <w:color w:val="000000" w:themeColor="text1"/>
          <w:sz w:val="16"/>
          <w:szCs w:val="16"/>
        </w:rPr>
        <w:softHyphen/>
        <w:t>та затаил некоторую неприязнь к Андрею Шарапову. Хотя сам убедился, что в конструкции нужно произвести ряд переделок. Прежде всего, механизм разъе</w:t>
      </w:r>
      <w:r w:rsidRPr="005E779E">
        <w:rPr>
          <w:rFonts w:ascii="Times New Roman" w:hAnsi="Times New Roman"/>
          <w:color w:val="000000" w:themeColor="text1"/>
          <w:sz w:val="16"/>
          <w:szCs w:val="16"/>
        </w:rPr>
        <w:softHyphen/>
        <w:t>динения самолетов он перенес в кабины истребите</w:t>
      </w:r>
      <w:r w:rsidRPr="005E779E">
        <w:rPr>
          <w:rFonts w:ascii="Times New Roman" w:hAnsi="Times New Roman"/>
          <w:color w:val="000000" w:themeColor="text1"/>
          <w:sz w:val="16"/>
          <w:szCs w:val="16"/>
        </w:rPr>
        <w:softHyphen/>
        <w:t>лей. Теперь летчики носимых машин, получив ко</w:t>
      </w:r>
      <w:r w:rsidRPr="005E779E">
        <w:rPr>
          <w:rFonts w:ascii="Times New Roman" w:hAnsi="Times New Roman"/>
          <w:color w:val="000000" w:themeColor="text1"/>
          <w:sz w:val="16"/>
          <w:szCs w:val="16"/>
        </w:rPr>
        <w:softHyphen/>
        <w:t xml:space="preserve">манду на отрыв, сами </w:t>
      </w:r>
      <w:r w:rsidRPr="005E779E">
        <w:rPr>
          <w:rFonts w:ascii="Times New Roman" w:hAnsi="Times New Roman"/>
          <w:color w:val="000000" w:themeColor="text1"/>
          <w:sz w:val="16"/>
          <w:szCs w:val="16"/>
        </w:rPr>
        <w:lastRenderedPageBreak/>
        <w:t>открывали хвостовые замки и с помощью руля глубины удерживали самолеты на двух передних точках. Для полного отрыва им надо было только - взять на себя ручку управления. Перед</w:t>
      </w:r>
      <w:r w:rsidRPr="005E779E">
        <w:rPr>
          <w:rFonts w:ascii="Times New Roman" w:hAnsi="Times New Roman"/>
          <w:color w:val="000000" w:themeColor="text1"/>
          <w:sz w:val="16"/>
          <w:szCs w:val="16"/>
        </w:rPr>
        <w:softHyphen/>
        <w:t>ние крепления сразу размыкались, и истребители, оторвавшись от плоскости ТБ-1, поднимались мет</w:t>
      </w:r>
      <w:r w:rsidRPr="005E779E">
        <w:rPr>
          <w:rFonts w:ascii="Times New Roman" w:hAnsi="Times New Roman"/>
          <w:color w:val="000000" w:themeColor="text1"/>
          <w:sz w:val="16"/>
          <w:szCs w:val="16"/>
        </w:rPr>
        <w:softHyphen/>
        <w:t>ров на десять вверх, несколько отставая от бомбарди</w:t>
      </w:r>
      <w:r w:rsidRPr="005E779E">
        <w:rPr>
          <w:rFonts w:ascii="Times New Roman" w:hAnsi="Times New Roman"/>
          <w:color w:val="000000" w:themeColor="text1"/>
          <w:sz w:val="16"/>
          <w:szCs w:val="16"/>
        </w:rPr>
        <w:softHyphen/>
        <w:t>ровщика» (23378).</w:t>
      </w:r>
    </w:p>
    <w:p w14:paraId="6F1168C9" w14:textId="77777777" w:rsidR="00D82FF1" w:rsidRPr="005E779E" w:rsidRDefault="00D82FF1" w:rsidP="000B7A6C">
      <w:pPr>
        <w:spacing w:after="0" w:line="240" w:lineRule="auto"/>
        <w:jc w:val="both"/>
        <w:rPr>
          <w:rFonts w:ascii="Times New Roman" w:hAnsi="Times New Roman"/>
          <w:color w:val="000000" w:themeColor="text1"/>
          <w:sz w:val="16"/>
          <w:szCs w:val="16"/>
        </w:rPr>
      </w:pPr>
    </w:p>
    <w:p w14:paraId="6C9D3B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декабря 1931 г. состоялся первый полет "Звена". Носитель (ТБ-1) пилотировали А.И. Залевский и B.C. Вахмистров, в кабине левого И-4 сидел В.П. Чкалов, правого- А.Ф. Анисимов. На высоте 1000 м истребители отцепились от бомбардировщика, при этом правый ударился колесом в крыло ТБ-1, пробил обшивку и смял опору. Но приземлились все три самолета нормально.</w:t>
      </w:r>
    </w:p>
    <w:p w14:paraId="66FB9A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ТБ-1 стал первым самолетом, использованным в программе "Звено". По проекту B.C. Вахмистрова он стал "летающим авианосцем". На его крыльях размещались два истребителя И-4, которые могли отделяться от носителя в воздухе. Таким образом, группа тяжелых бомбардировщиков позволяла обеспечить собственное прикрытие за пределами дальности истребителей того времени.</w:t>
      </w:r>
    </w:p>
    <w:p w14:paraId="5D53DB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Самолет-носитель получил усиленное шасси, на крыле установили стержневые пирамиды с замками. Каждый истребитель крепился в трех точках. Задний замок открывался первым.</w:t>
      </w:r>
    </w:p>
    <w:p w14:paraId="751A46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земле истребители закатывали на крыло вручную, по деревянным помостам. Это была довольно трудоемкая операция. Взлет осуществлялся при работе моторов всех трех самолетов. Бензин для истребителей подавался из баков ТБ-1.</w:t>
      </w:r>
    </w:p>
    <w:p w14:paraId="0C05EE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некоторой доработки конструкции провели повторные испытания. Они шли с 1 по 8 апреля 1932 г. По их завершении НИИ ВВС дал заключение о том, что полеты на "авианосце" и его истребителях доступны для летчиков со средним уровнем подготовки. Приняли решение о постройке небольшой серии "звеньев". В июле 1932 г. ЦАГИ получил заказ на разработку чертежей серийного варианта подвески (12001).</w:t>
      </w:r>
    </w:p>
    <w:p w14:paraId="5A9C6C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DF9C6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декабря 1931 г. состоялся первый полет “завена”. Носитель пилотировали А.И. Залевский и B.C. Вахмистров, в кабине левого И-4 сидел В.П. Чкалов, правого - А.Ф. Ани- симов. На высоте 1000 м истребители отцепились от бомбардировщика, при этом правый ударился колесом в крыло ТБ-1, пробил обшивку и смял опору. Но приземлились все три самолета нормально.</w:t>
      </w:r>
    </w:p>
    <w:p w14:paraId="323882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некоторой доработки конструкции провели повторные испытания. Они шли с 1 по 8 апреля 1932 г. По их завершении НИИ ВВС дал заключение о том, что полеты на "авианосце" и его истребителях доступны для летчиков со среднем уровнем подготовки. Управление ВВС приняло решение о постройке небольшой серии "Звеньев". В июле 1932 г. ЦАГИ получил от военных заказ на разработку чертежей серийного варианта подвески.</w:t>
      </w:r>
    </w:p>
    <w:p w14:paraId="3CFB4F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 время войсковых испытаний "Звена" оно совершило учебный налет на Киев. На подходе к городу бомбардировщик выпустил истребители сопровождения и под их прикрытием долетел до пригородного полигона, где произвел бомбометание.</w:t>
      </w:r>
    </w:p>
    <w:p w14:paraId="102D0F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ноябре 1932 г. планировалось сформировать в Забайкальском военном округе эскадрилью, вооруженную системой "Звено-1". Bee штат должны были войти шесть носителей и 12 истребителей И-4.</w:t>
      </w:r>
    </w:p>
    <w:p w14:paraId="2BB464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 техника развивалась быстро. И-4 скоро устарели. Следующий вариант "авиаматки", "Звено-1 А", нес вместо И-4 пару истребителей И-5. Его испытывали в сентябре 1933 г. ТБ-1 пилотировал Стефановский, истребители - Коккинаки и Лагутин (12036).</w:t>
      </w:r>
    </w:p>
    <w:p w14:paraId="427579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FC7112B" w14:textId="77777777" w:rsidR="002D2823" w:rsidRPr="005E779E" w:rsidRDefault="002D2823" w:rsidP="000B7A6C">
      <w:pPr>
        <w:pStyle w:val="a3"/>
        <w:rPr>
          <w:color w:val="000000" w:themeColor="text1"/>
          <w:lang w:val="ru-RU"/>
        </w:rPr>
      </w:pPr>
      <w:r w:rsidRPr="005E779E">
        <w:rPr>
          <w:color w:val="000000" w:themeColor="text1"/>
          <w:lang w:val="ru-RU"/>
        </w:rPr>
        <w:t>3 декабря 1931 г. состоялся первый полёт «Звена». Впервые в мире поднялся в воз</w:t>
      </w:r>
      <w:r w:rsidRPr="005E779E">
        <w:rPr>
          <w:color w:val="000000" w:themeColor="text1"/>
          <w:lang w:val="ru-RU"/>
        </w:rPr>
        <w:softHyphen/>
        <w:t>дух самолёт, составленный из трёх самолётов: тяжёлого бомбардировщика ТБ-1 и двух истребителей И-4 (АНТ-5), установленных на его крыле. Масса «Звена» достигала 12 т. На высоте 1000 м при скорости 160 км/ч оба И-4 отцепились от крыльев ТБ-1, при этом левый И-4 ударился колесом о 3-й лонжерон крыла ТБ-1, пробил гофр обшивки и смял ногу «паука» установки. Но приземлились все три самолёта нормально.</w:t>
      </w:r>
    </w:p>
    <w:p w14:paraId="02EA5AA5" w14:textId="77777777" w:rsidR="002D2823" w:rsidRPr="005E779E" w:rsidRDefault="002D2823" w:rsidP="000B7A6C">
      <w:pPr>
        <w:pStyle w:val="a3"/>
        <w:rPr>
          <w:color w:val="000000" w:themeColor="text1"/>
          <w:lang w:val="ru-RU"/>
        </w:rPr>
      </w:pPr>
      <w:r w:rsidRPr="005E779E">
        <w:rPr>
          <w:color w:val="000000" w:themeColor="text1"/>
          <w:lang w:val="ru-RU"/>
        </w:rPr>
        <w:t>При разборе полёта установили, что задний замок на левом истребителе не был своевременно открыт. Схема отцепки допускала несогласованность действий экипажа. Её срочно переделали и для исключения возможности аналогичных случаев передали управление открыванием замков в руки самих лётчиков-истребителей (15821).</w:t>
      </w:r>
    </w:p>
    <w:p w14:paraId="73A40C02" w14:textId="77777777" w:rsidR="002D2823" w:rsidRPr="005E779E" w:rsidRDefault="002D2823" w:rsidP="000B7A6C">
      <w:pPr>
        <w:spacing w:after="0" w:line="240" w:lineRule="auto"/>
        <w:jc w:val="both"/>
        <w:rPr>
          <w:rFonts w:ascii="Times New Roman" w:hAnsi="Times New Roman"/>
          <w:color w:val="000000" w:themeColor="text1"/>
          <w:sz w:val="16"/>
          <w:szCs w:val="16"/>
        </w:rPr>
      </w:pPr>
    </w:p>
    <w:p w14:paraId="776D9F0A" w14:textId="77777777" w:rsidR="0034103F" w:rsidRPr="005E779E" w:rsidRDefault="0034103F"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3 декабря 1931 в НИИ ВВС состоялся первый полёт самолёта-звена. Пилотировать бомбардировщик должны были А.И. Залевский (командир корабля) и А.Р. Шарапов, в задней кабине находились В.С. Вахмистров и бортинженер В.В. Морозов. Лётчиком левого И-4 назначили B.П. Чкалова, правого — А.Ф. Анисимова.</w:t>
      </w:r>
    </w:p>
    <w:p w14:paraId="437B2C35" w14:textId="77777777" w:rsidR="0034103F" w:rsidRPr="005E779E" w:rsidRDefault="0034103F"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Шарапов слишком рано освободил передние замки истребителя Анисимова, который не успел увеличить угол атаки, что едва не привело к трагедии.</w:t>
      </w:r>
    </w:p>
    <w:p w14:paraId="675BC48B" w14:textId="77777777" w:rsidR="0034103F" w:rsidRPr="005E779E" w:rsidRDefault="0034103F"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Описание опасного эксперимента содержится в докладе Валерия Чкалова, написанном сразу после полёта: «Самолёты И4 после прогрева моторов на земле были закатаны на самолёт ТБ1, где сразу же установлены на замки… После запуска всех моторов были даны разные режимы моторов на месте, никаких вибраций нет. После вторичного осмотра замков и креплений „самолёт-звено“ начал рулёжку, сначала на моторах ТБ1.</w:t>
      </w:r>
    </w:p>
    <w:p w14:paraId="468FF9CA" w14:textId="77777777" w:rsidR="0034103F" w:rsidRPr="005E779E" w:rsidRDefault="0034103F"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Я наблюдал за правым самолётом И4 и заметил, что в креплении замков у шасси имеется качание. После рулёжки на одних моторах ТБ1 была произведена рулёжка с поднятым хвостом на всех четырёх моторах. Обороты И4 1000 об/мин. Никаких ненормальностей нет. Качания правого И4 при 1000 об/мин отсутствовало.</w:t>
      </w:r>
    </w:p>
    <w:p w14:paraId="1C6E8670" w14:textId="77777777" w:rsidR="0034103F" w:rsidRPr="005E779E" w:rsidRDefault="0034103F"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После этого был произведен тщательный осмотр замков и креплений и был дан старт. Моторы ТБ1 имели обороты для взлёта, а моторы И4 — 1450 об/мин. Взлёт нормальный, отрыв быстрее, чем у одного ТБ, набор высоты производился на небольшой скорости — 145–150 км/ч. Вибраций никаких не заметно.</w:t>
      </w:r>
    </w:p>
    <w:p w14:paraId="5728382C" w14:textId="77777777" w:rsidR="0034103F" w:rsidRPr="005E779E" w:rsidRDefault="0034103F"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На высоте 1000 м произведено отцепление самолётов И4, сначала правого, затем меня. После дачи сигнала „отцепи хвост“ правому И4 таковое произошло, но тренога ещё не опустилась, в этот момент произведено было отцепление передних замков. Самолёт И4 оторвался на полметра вверх от замков, ударился за ними о плоскость ТБ1, поломал себе винт и пробил обшивку крыла ТБ1, и низко над плоскостью сошёл вправо.</w:t>
      </w:r>
    </w:p>
    <w:p w14:paraId="3CFFE6BF" w14:textId="77777777" w:rsidR="0034103F" w:rsidRPr="005E779E" w:rsidRDefault="0034103F"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В момент удара правого И4 о плоскость ТБ1 произвели сбрасывание меня (левого). Как только были освобождены замки моего самолёта, я немного взял ручку рулей на себя и мой самолёт был уже метров на десять выше ТБ1. Пройдя над ТБ1, посмотрел за его правой плоскостью и после этого посмотрел шасси правого И4, они были исправны, после всего этого пошёл на посадку. Весь полёт, как в звене, так и одиночку, нормален… Полёт длился 12 минут» </w:t>
      </w:r>
      <w:hyperlink r:id="rId219" w:history="1">
        <w:r w:rsidRPr="005E779E">
          <w:rPr>
            <w:rFonts w:ascii="Times New Roman" w:eastAsia="Times New Roman" w:hAnsi="Times New Roman"/>
            <w:color w:val="000000" w:themeColor="text1"/>
            <w:sz w:val="16"/>
            <w:szCs w:val="16"/>
            <w:lang w:eastAsia="ru-RU"/>
          </w:rPr>
          <w:t>[75]</w:t>
        </w:r>
      </w:hyperlink>
      <w:r w:rsidRPr="005E779E">
        <w:rPr>
          <w:rFonts w:ascii="Times New Roman" w:eastAsia="Times New Roman" w:hAnsi="Times New Roman"/>
          <w:color w:val="000000" w:themeColor="text1"/>
          <w:sz w:val="16"/>
          <w:szCs w:val="16"/>
          <w:lang w:eastAsia="ru-RU"/>
        </w:rPr>
        <w:t xml:space="preserve"> .</w:t>
      </w:r>
    </w:p>
    <w:p w14:paraId="40440368" w14:textId="77777777" w:rsidR="0034103F" w:rsidRPr="005E779E" w:rsidRDefault="0034103F"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В докладе Вахмистрова содержится похожее, но не идентичное описание ЧП при разъединении «звена»: «На высоте 1000 м при скорости 160 км/час было произведено отцепление самолётов почти одновременное, причём ввиду того, что правый самолёт был отцеплен в тот момент, когда у него был поднят хвост, при срыве, не имея достаточной подъемной силы, он ударился колесом о 3-й лонжерон ТБ1, пробил гофр и лопастью винта помял ногу правого паука (треноги) установки, отбив концы лопастей винта. Посадка всех трёх самолётов по одиночке произведена благополучно на Монинском аэродроме» </w:t>
      </w:r>
      <w:hyperlink r:id="rId220" w:history="1">
        <w:r w:rsidRPr="005E779E">
          <w:rPr>
            <w:rFonts w:ascii="Times New Roman" w:eastAsia="Times New Roman" w:hAnsi="Times New Roman"/>
            <w:color w:val="000000" w:themeColor="text1"/>
            <w:sz w:val="16"/>
            <w:szCs w:val="16"/>
            <w:lang w:eastAsia="ru-RU"/>
          </w:rPr>
          <w:t>[76]</w:t>
        </w:r>
      </w:hyperlink>
      <w:r w:rsidRPr="005E779E">
        <w:rPr>
          <w:rFonts w:ascii="Times New Roman" w:eastAsia="Times New Roman" w:hAnsi="Times New Roman"/>
          <w:color w:val="000000" w:themeColor="text1"/>
          <w:sz w:val="16"/>
          <w:szCs w:val="16"/>
          <w:lang w:eastAsia="ru-RU"/>
        </w:rPr>
        <w:t xml:space="preserve"> .</w:t>
      </w:r>
    </w:p>
    <w:p w14:paraId="0C437457" w14:textId="77777777" w:rsidR="0034103F" w:rsidRPr="005E779E" w:rsidRDefault="0034103F"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Как бы то ни было, всё закончилось хорошо, идея самолёта-звена доказала жизнеспособность. Не вдаваясь в подробности, руководство НИИ ВВС подготовило высшему командованию письмо о первом в мире успешном испытании самолёта-звена и получило указание продолжить испытания (17489).</w:t>
      </w:r>
    </w:p>
    <w:p w14:paraId="12D2F2FE" w14:textId="77777777" w:rsidR="0034103F" w:rsidRPr="005E779E" w:rsidRDefault="0034103F" w:rsidP="000B7A6C">
      <w:pPr>
        <w:spacing w:after="0" w:line="240" w:lineRule="auto"/>
        <w:jc w:val="both"/>
        <w:rPr>
          <w:rFonts w:ascii="Times New Roman" w:eastAsia="Times New Roman" w:hAnsi="Times New Roman"/>
          <w:color w:val="000000" w:themeColor="text1"/>
          <w:sz w:val="16"/>
          <w:szCs w:val="16"/>
          <w:lang w:eastAsia="ru-RU"/>
        </w:rPr>
      </w:pPr>
    </w:p>
    <w:p w14:paraId="41C0B564" w14:textId="77777777" w:rsidR="0034103F" w:rsidRPr="005E779E" w:rsidRDefault="0034103F"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hAnsi="Times New Roman"/>
          <w:color w:val="000000" w:themeColor="text1"/>
          <w:sz w:val="16"/>
          <w:szCs w:val="16"/>
        </w:rPr>
        <w:t>3 декабря 1931 г. в Монино состоялся первый полет «Звена-1». Перед на</w:t>
      </w:r>
      <w:r w:rsidRPr="005E779E">
        <w:rPr>
          <w:rFonts w:ascii="Times New Roman" w:hAnsi="Times New Roman"/>
          <w:color w:val="000000" w:themeColor="text1"/>
          <w:sz w:val="16"/>
          <w:szCs w:val="16"/>
        </w:rPr>
        <w:softHyphen/>
        <w:t>каткой на крыло моторы И-4 предва</w:t>
      </w:r>
      <w:r w:rsidRPr="005E779E">
        <w:rPr>
          <w:rFonts w:ascii="Times New Roman" w:hAnsi="Times New Roman"/>
          <w:color w:val="000000" w:themeColor="text1"/>
          <w:sz w:val="16"/>
          <w:szCs w:val="16"/>
        </w:rPr>
        <w:softHyphen/>
        <w:t>рительно прогрели. Командиром ТБ-1 являлся А.И. Залевский, вторым пило</w:t>
      </w:r>
      <w:r w:rsidRPr="005E779E">
        <w:rPr>
          <w:rFonts w:ascii="Times New Roman" w:hAnsi="Times New Roman"/>
          <w:color w:val="000000" w:themeColor="text1"/>
          <w:sz w:val="16"/>
          <w:szCs w:val="16"/>
        </w:rPr>
        <w:softHyphen/>
        <w:t>том - А.Р. Шарапов. На месте бортмеха</w:t>
      </w:r>
      <w:r w:rsidRPr="005E779E">
        <w:rPr>
          <w:rFonts w:ascii="Times New Roman" w:hAnsi="Times New Roman"/>
          <w:color w:val="000000" w:themeColor="text1"/>
          <w:sz w:val="16"/>
          <w:szCs w:val="16"/>
        </w:rPr>
        <w:softHyphen/>
        <w:t>ника находился инженер В.В. Морозов. В документах Вахмистров записан опе</w:t>
      </w:r>
      <w:r w:rsidRPr="005E779E">
        <w:rPr>
          <w:rFonts w:ascii="Times New Roman" w:hAnsi="Times New Roman"/>
          <w:color w:val="000000" w:themeColor="text1"/>
          <w:sz w:val="16"/>
          <w:szCs w:val="16"/>
        </w:rPr>
        <w:softHyphen/>
        <w:t>ратором расцепки, но сидел он в кабине стрелков и мог только наблюдать за про</w:t>
      </w:r>
      <w:r w:rsidRPr="005E779E">
        <w:rPr>
          <w:rFonts w:ascii="Times New Roman" w:hAnsi="Times New Roman"/>
          <w:color w:val="000000" w:themeColor="text1"/>
          <w:sz w:val="16"/>
          <w:szCs w:val="16"/>
        </w:rPr>
        <w:softHyphen/>
        <w:t>цессом. Левый истребитель пилотировал В.П. Чкалов, правый - А.Ф. Анисимов.</w:t>
      </w:r>
    </w:p>
    <w:p w14:paraId="18FBA33C" w14:textId="77777777" w:rsidR="0034103F" w:rsidRPr="005E779E" w:rsidRDefault="0034103F" w:rsidP="000B7A6C">
      <w:pPr>
        <w:pStyle w:val="a3"/>
        <w:rPr>
          <w:color w:val="000000" w:themeColor="text1"/>
          <w:lang w:val="ru-RU"/>
        </w:rPr>
      </w:pPr>
      <w:r w:rsidRPr="005E779E">
        <w:rPr>
          <w:color w:val="000000" w:themeColor="text1"/>
          <w:lang w:val="ru-RU"/>
        </w:rPr>
        <w:t>Бомбардировщик сначала немного порулил только на своих двигателях. За</w:t>
      </w:r>
      <w:r w:rsidRPr="005E779E">
        <w:rPr>
          <w:color w:val="000000" w:themeColor="text1"/>
          <w:lang w:val="ru-RU"/>
        </w:rPr>
        <w:softHyphen/>
        <w:t>тем еще раз все проверили и, наконец, «звено» двинулось к линии старта при всех работающих моторах. Взлетели нормально и постепенно набрали высоту 1000 м. Здесь истребителям предстояло отделиться. Их летчики открыли задние замки и постарались придать самолетам необходимое для старта горизонтальное положение, работая рулями. Шарапов от</w:t>
      </w:r>
      <w:r w:rsidRPr="005E779E">
        <w:rPr>
          <w:color w:val="000000" w:themeColor="text1"/>
          <w:lang w:val="ru-RU"/>
        </w:rPr>
        <w:softHyphen/>
        <w:t>крыл замки на «пауке» левого И-4. Чкалов успешно отделился от носителя и ушел вверх и во внешнюю сторону, как и наме</w:t>
      </w:r>
      <w:r w:rsidRPr="005E779E">
        <w:rPr>
          <w:color w:val="000000" w:themeColor="text1"/>
          <w:lang w:val="ru-RU"/>
        </w:rPr>
        <w:softHyphen/>
        <w:t>чалось. У Анисимова операция прошла не столь благополучно. Когда замки «паука» сработали, у его машины хвост оказался приподнят. Истребитель ударил колесами по крылу в районе третьего лонжерона, пробил гофрированную обшивку, а вин</w:t>
      </w:r>
      <w:r w:rsidRPr="005E779E">
        <w:rPr>
          <w:color w:val="000000" w:themeColor="text1"/>
          <w:lang w:val="ru-RU"/>
        </w:rPr>
        <w:softHyphen/>
        <w:t>том ударил по «пауку». Одна из стоек по</w:t>
      </w:r>
      <w:r w:rsidRPr="005E779E">
        <w:rPr>
          <w:color w:val="000000" w:themeColor="text1"/>
          <w:lang w:val="ru-RU"/>
        </w:rPr>
        <w:softHyphen/>
        <w:t>следнего помялась, а пропеллер лишился кончиков лопастей. Но все обошлось бла</w:t>
      </w:r>
      <w:r w:rsidRPr="005E779E">
        <w:rPr>
          <w:color w:val="000000" w:themeColor="text1"/>
          <w:lang w:val="ru-RU"/>
        </w:rPr>
        <w:softHyphen/>
        <w:t>гополучно. Второй И-4 тоже успешно от</w:t>
      </w:r>
      <w:r w:rsidRPr="005E779E">
        <w:rPr>
          <w:color w:val="000000" w:themeColor="text1"/>
          <w:lang w:val="ru-RU"/>
        </w:rPr>
        <w:softHyphen/>
        <w:t>делился от носителя. Вся группа сделала круг и зашла на посадку.</w:t>
      </w:r>
    </w:p>
    <w:p w14:paraId="08B1E97A" w14:textId="77777777" w:rsidR="0034103F" w:rsidRPr="005E779E" w:rsidRDefault="0034103F" w:rsidP="000B7A6C">
      <w:pPr>
        <w:pStyle w:val="a3"/>
        <w:rPr>
          <w:color w:val="000000" w:themeColor="text1"/>
          <w:lang w:val="ru-RU"/>
        </w:rPr>
      </w:pPr>
      <w:r w:rsidRPr="005E779E">
        <w:rPr>
          <w:color w:val="000000" w:themeColor="text1"/>
          <w:lang w:val="ru-RU"/>
        </w:rPr>
        <w:t>На земле летчиков встречали, как победителей. Из НИИ ВВС отправили рапорт наркому по военным и морским делам К.Е. Ворошилову. В нем приняты</w:t>
      </w:r>
      <w:r w:rsidRPr="005E779E">
        <w:rPr>
          <w:color w:val="000000" w:themeColor="text1"/>
          <w:lang w:val="ru-RU"/>
        </w:rPr>
        <w:softHyphen/>
        <w:t>ми в те годы цветистыми выражениями говорилось: «САМОЛЕТ-ЗВЕНО постро</w:t>
      </w:r>
      <w:r w:rsidRPr="005E779E">
        <w:rPr>
          <w:color w:val="000000" w:themeColor="text1"/>
          <w:lang w:val="ru-RU"/>
        </w:rPr>
        <w:softHyphen/>
        <w:t>ен под общим руководством инженера Вахмистрова совместными силами ра</w:t>
      </w:r>
      <w:r w:rsidRPr="005E779E">
        <w:rPr>
          <w:color w:val="000000" w:themeColor="text1"/>
          <w:lang w:val="ru-RU"/>
        </w:rPr>
        <w:softHyphen/>
        <w:t>ботников НИИ ВВС и КОСОС ЦАГИ к 14-й годовщине Октябрьской Революции... От</w:t>
      </w:r>
      <w:r w:rsidRPr="005E779E">
        <w:rPr>
          <w:color w:val="000000" w:themeColor="text1"/>
          <w:lang w:val="ru-RU"/>
        </w:rPr>
        <w:softHyphen/>
        <w:t>мечая с великой радостью эту победу со</w:t>
      </w:r>
      <w:r w:rsidRPr="005E779E">
        <w:rPr>
          <w:color w:val="000000" w:themeColor="text1"/>
          <w:lang w:val="ru-RU"/>
        </w:rPr>
        <w:softHyphen/>
        <w:t>ветской авиационной техники, мы шлем пламенный привет вождю Красной Армии Климентию Ефремовичу Ворошилову и Революционному Военному Совету СССР и просим принять от нас подарок Воздуш</w:t>
      </w:r>
      <w:r w:rsidRPr="005E779E">
        <w:rPr>
          <w:color w:val="000000" w:themeColor="text1"/>
          <w:lang w:val="ru-RU"/>
        </w:rPr>
        <w:softHyphen/>
        <w:t>ному Флоту - САМОЛЕТ-ЗВЕНО».</w:t>
      </w:r>
    </w:p>
    <w:p w14:paraId="2C569509" w14:textId="77777777" w:rsidR="0034103F" w:rsidRPr="005E779E" w:rsidRDefault="0034103F" w:rsidP="000B7A6C">
      <w:pPr>
        <w:pStyle w:val="a3"/>
        <w:rPr>
          <w:color w:val="000000" w:themeColor="text1"/>
          <w:lang w:val="ru-RU"/>
        </w:rPr>
      </w:pPr>
      <w:r w:rsidRPr="005E779E">
        <w:rPr>
          <w:color w:val="000000" w:themeColor="text1"/>
          <w:lang w:val="ru-RU"/>
        </w:rPr>
        <w:t>Интересно, что среди подписавших рапорт никого из работников ЦАГИ нет. Похоже, что в НИИ вообще старались представить их вклад как сугубо второ</w:t>
      </w:r>
      <w:r w:rsidRPr="005E779E">
        <w:rPr>
          <w:color w:val="000000" w:themeColor="text1"/>
          <w:lang w:val="ru-RU"/>
        </w:rPr>
        <w:softHyphen/>
        <w:t>степенный. Это, например, четко следует из представления по награждению участ</w:t>
      </w:r>
      <w:r w:rsidRPr="005E779E">
        <w:rPr>
          <w:color w:val="000000" w:themeColor="text1"/>
          <w:lang w:val="ru-RU"/>
        </w:rPr>
        <w:softHyphen/>
        <w:t>ников работы. Вахмистрова предлагалось наградить орденом Ленина, выделить ему легковой «Форд А» и назначить персо</w:t>
      </w:r>
      <w:r w:rsidRPr="005E779E">
        <w:rPr>
          <w:color w:val="000000" w:themeColor="text1"/>
          <w:lang w:val="ru-RU"/>
        </w:rPr>
        <w:softHyphen/>
        <w:t>нальный оклад в 500 рублей. Залевского и Чкалова представили к ордену Красной звезды, причем «в довесок» первому по</w:t>
      </w:r>
      <w:r w:rsidRPr="005E779E">
        <w:rPr>
          <w:color w:val="000000" w:themeColor="text1"/>
          <w:lang w:val="ru-RU"/>
        </w:rPr>
        <w:softHyphen/>
        <w:t>лагался «форд», а второму - мотоцикл. Анисимову ни ордена, ни медали не за</w:t>
      </w:r>
      <w:r w:rsidRPr="005E779E">
        <w:rPr>
          <w:color w:val="000000" w:themeColor="text1"/>
          <w:lang w:val="ru-RU"/>
        </w:rPr>
        <w:softHyphen/>
        <w:t>писали, но тоже пообещали мотоцикл. Двухколесными «конями» предлагали также наградить инженера Морозова и старшего техника ТБ-1 М.И. Панюшкина. Кроме того, «форд» хотел получить и начальник 1-го отдела НИИ ВВС, прав</w:t>
      </w:r>
      <w:r w:rsidRPr="005E779E">
        <w:rPr>
          <w:color w:val="000000" w:themeColor="text1"/>
          <w:lang w:val="ru-RU"/>
        </w:rPr>
        <w:softHyphen/>
        <w:t>да, как служебный. А всем сотрудникам КОСОС записали только благодарности! (17741)</w:t>
      </w:r>
    </w:p>
    <w:p w14:paraId="10A03817" w14:textId="77777777" w:rsidR="0034103F" w:rsidRPr="005E779E" w:rsidRDefault="0034103F" w:rsidP="000B7A6C">
      <w:pPr>
        <w:spacing w:after="0" w:line="240" w:lineRule="auto"/>
        <w:jc w:val="both"/>
        <w:rPr>
          <w:rFonts w:ascii="Times New Roman" w:eastAsia="Times New Roman" w:hAnsi="Times New Roman"/>
          <w:color w:val="000000" w:themeColor="text1"/>
          <w:sz w:val="16"/>
          <w:szCs w:val="16"/>
          <w:lang w:eastAsia="ru-RU"/>
        </w:rPr>
      </w:pPr>
    </w:p>
    <w:p w14:paraId="34C0D225" w14:textId="77777777" w:rsidR="00181C0F" w:rsidRPr="005E779E" w:rsidRDefault="00181C0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декабря 1931 г. на аэродроме 17-й авиабригады в подмосковном Монино состоялось первое испытание системы, получившей наименование «Самолет-Звено-1» (СЗ-1). Первым делом при стоянке на земле были запущены и про</w:t>
      </w:r>
      <w:r w:rsidRPr="005E779E">
        <w:rPr>
          <w:rFonts w:ascii="Times New Roman" w:hAnsi="Times New Roman"/>
          <w:color w:val="000000" w:themeColor="text1"/>
          <w:sz w:val="16"/>
          <w:szCs w:val="16"/>
        </w:rPr>
        <w:softHyphen/>
        <w:t>греты двигатели обоих истребителей И-4, после чего аэ</w:t>
      </w:r>
      <w:r w:rsidRPr="005E779E">
        <w:rPr>
          <w:rFonts w:ascii="Times New Roman" w:hAnsi="Times New Roman"/>
          <w:color w:val="000000" w:themeColor="text1"/>
          <w:sz w:val="16"/>
          <w:szCs w:val="16"/>
        </w:rPr>
        <w:softHyphen/>
        <w:t xml:space="preserve">родромная команда по наклонной рампе закатила </w:t>
      </w:r>
      <w:r w:rsidRPr="005E779E">
        <w:rPr>
          <w:rFonts w:ascii="Times New Roman" w:hAnsi="Times New Roman"/>
          <w:color w:val="000000" w:themeColor="text1"/>
          <w:sz w:val="16"/>
          <w:szCs w:val="16"/>
        </w:rPr>
        <w:lastRenderedPageBreak/>
        <w:t>их на крыло ТБ-1. После соединения всех систем и последую</w:t>
      </w:r>
      <w:r w:rsidRPr="005E779E">
        <w:rPr>
          <w:rFonts w:ascii="Times New Roman" w:hAnsi="Times New Roman"/>
          <w:color w:val="000000" w:themeColor="text1"/>
          <w:sz w:val="16"/>
          <w:szCs w:val="16"/>
        </w:rPr>
        <w:softHyphen/>
        <w:t>щей их тщательной проверки начались пробежки по аэро</w:t>
      </w:r>
      <w:r w:rsidRPr="005E779E">
        <w:rPr>
          <w:rFonts w:ascii="Times New Roman" w:hAnsi="Times New Roman"/>
          <w:color w:val="000000" w:themeColor="text1"/>
          <w:sz w:val="16"/>
          <w:szCs w:val="16"/>
        </w:rPr>
        <w:softHyphen/>
        <w:t>дрому на различных режимах работы двигателей. В 14 ча</w:t>
      </w:r>
      <w:r w:rsidRPr="005E779E">
        <w:rPr>
          <w:rFonts w:ascii="Times New Roman" w:hAnsi="Times New Roman"/>
          <w:color w:val="000000" w:themeColor="text1"/>
          <w:sz w:val="16"/>
          <w:szCs w:val="16"/>
        </w:rPr>
        <w:softHyphen/>
        <w:t>сов 30 минут был произведен первый взлет СЗ-1, старто</w:t>
      </w:r>
      <w:r w:rsidRPr="005E779E">
        <w:rPr>
          <w:rFonts w:ascii="Times New Roman" w:hAnsi="Times New Roman"/>
          <w:color w:val="000000" w:themeColor="text1"/>
          <w:sz w:val="16"/>
          <w:szCs w:val="16"/>
        </w:rPr>
        <w:softHyphen/>
        <w:t>вый вес которого составил 8180 кг (ТБ-1 5640 кг + 2 И-4 2х1270 кг). В ТБ-1 на левом командирском кресле находил</w:t>
      </w:r>
      <w:r w:rsidRPr="005E779E">
        <w:rPr>
          <w:rFonts w:ascii="Times New Roman" w:hAnsi="Times New Roman"/>
          <w:color w:val="000000" w:themeColor="text1"/>
          <w:sz w:val="16"/>
          <w:szCs w:val="16"/>
        </w:rPr>
        <w:softHyphen/>
        <w:t>ся летчик Адам Залевский, Андрей Шарапов занимал пра</w:t>
      </w:r>
      <w:r w:rsidRPr="005E779E">
        <w:rPr>
          <w:rFonts w:ascii="Times New Roman" w:hAnsi="Times New Roman"/>
          <w:color w:val="000000" w:themeColor="text1"/>
          <w:sz w:val="16"/>
          <w:szCs w:val="16"/>
        </w:rPr>
        <w:softHyphen/>
        <w:t>вое сидение носителя, конструктор Вахмистров - в 1-м лю</w:t>
      </w:r>
      <w:r w:rsidRPr="005E779E">
        <w:rPr>
          <w:rFonts w:ascii="Times New Roman" w:hAnsi="Times New Roman"/>
          <w:color w:val="000000" w:themeColor="text1"/>
          <w:sz w:val="16"/>
          <w:szCs w:val="16"/>
        </w:rPr>
        <w:softHyphen/>
        <w:t>ке кормовых стрелков, инженер Морозов - во 2-м люке. Левым И-4 управлял летчик Валерий Чкалов, правым - Александр Анисимов. Взлет СЗ-1 с аэродрома произошел на скорости 140 км/ч без осложнений. Адам Залевский ви</w:t>
      </w:r>
      <w:r w:rsidRPr="005E779E">
        <w:rPr>
          <w:rFonts w:ascii="Times New Roman" w:hAnsi="Times New Roman"/>
          <w:color w:val="000000" w:themeColor="text1"/>
          <w:sz w:val="16"/>
          <w:szCs w:val="16"/>
        </w:rPr>
        <w:softHyphen/>
        <w:t>браций и излишнего давления на органы управления при выполнении старта и наборе высоты не отметил. На высо</w:t>
      </w:r>
      <w:r w:rsidRPr="005E779E">
        <w:rPr>
          <w:rFonts w:ascii="Times New Roman" w:hAnsi="Times New Roman"/>
          <w:color w:val="000000" w:themeColor="text1"/>
          <w:sz w:val="16"/>
          <w:szCs w:val="16"/>
        </w:rPr>
        <w:softHyphen/>
        <w:t>те 1000 м при скорости 160 км/ч был произведен первый отрыв самолетов от носителя. При этом И-4 Анисимова от</w:t>
      </w:r>
      <w:r w:rsidRPr="005E779E">
        <w:rPr>
          <w:rFonts w:ascii="Times New Roman" w:hAnsi="Times New Roman"/>
          <w:color w:val="000000" w:themeColor="text1"/>
          <w:sz w:val="16"/>
          <w:szCs w:val="16"/>
        </w:rPr>
        <w:softHyphen/>
        <w:t>цепился с поднятым хвостом, не имея достаточной подъ</w:t>
      </w:r>
      <w:r w:rsidRPr="005E779E">
        <w:rPr>
          <w:rFonts w:ascii="Times New Roman" w:hAnsi="Times New Roman"/>
          <w:color w:val="000000" w:themeColor="text1"/>
          <w:sz w:val="16"/>
          <w:szCs w:val="16"/>
        </w:rPr>
        <w:softHyphen/>
        <w:t>емной силы, поэтому соскочил с пирамид, ударился коле</w:t>
      </w:r>
      <w:r w:rsidRPr="005E779E">
        <w:rPr>
          <w:rFonts w:ascii="Times New Roman" w:hAnsi="Times New Roman"/>
          <w:color w:val="000000" w:themeColor="text1"/>
          <w:sz w:val="16"/>
          <w:szCs w:val="16"/>
        </w:rPr>
        <w:softHyphen/>
        <w:t>сом о 3-й лонжерон крыла ТБ-1 и пробил гофрированную обшивку. Воздушный винт истребителя в ходе этого не</w:t>
      </w:r>
      <w:r w:rsidRPr="005E779E">
        <w:rPr>
          <w:rFonts w:ascii="Times New Roman" w:hAnsi="Times New Roman"/>
          <w:color w:val="000000" w:themeColor="text1"/>
          <w:sz w:val="16"/>
          <w:szCs w:val="16"/>
        </w:rPr>
        <w:softHyphen/>
        <w:t>штатного отцепления задел пирамиду крепления, в резуль</w:t>
      </w:r>
      <w:r w:rsidRPr="005E779E">
        <w:rPr>
          <w:rFonts w:ascii="Times New Roman" w:hAnsi="Times New Roman"/>
          <w:color w:val="000000" w:themeColor="text1"/>
          <w:sz w:val="16"/>
          <w:szCs w:val="16"/>
        </w:rPr>
        <w:softHyphen/>
        <w:t>тате чего лопасть винта и сама пирамида оказались по</w:t>
      </w:r>
      <w:r w:rsidRPr="005E779E">
        <w:rPr>
          <w:rFonts w:ascii="Times New Roman" w:hAnsi="Times New Roman"/>
          <w:color w:val="000000" w:themeColor="text1"/>
          <w:sz w:val="16"/>
          <w:szCs w:val="16"/>
        </w:rPr>
        <w:softHyphen/>
        <w:t>вреждены. Тем не менее, эта небольшая неприятность не помешала благополучному завершению эксперимента - все три самолета успешно приземлились на Монинском аэ</w:t>
      </w:r>
      <w:r w:rsidRPr="005E779E">
        <w:rPr>
          <w:rFonts w:ascii="Times New Roman" w:hAnsi="Times New Roman"/>
          <w:color w:val="000000" w:themeColor="text1"/>
          <w:sz w:val="16"/>
          <w:szCs w:val="16"/>
        </w:rPr>
        <w:softHyphen/>
        <w:t>родроме. Именно так выглядели произошедшие события согласно официальному отчету по испытаниям СЗ-1, под</w:t>
      </w:r>
      <w:r w:rsidRPr="005E779E">
        <w:rPr>
          <w:rFonts w:ascii="Times New Roman" w:hAnsi="Times New Roman"/>
          <w:color w:val="000000" w:themeColor="text1"/>
          <w:sz w:val="16"/>
          <w:szCs w:val="16"/>
        </w:rPr>
        <w:softHyphen/>
        <w:t>писанному лично Вахмистровым.</w:t>
      </w:r>
    </w:p>
    <w:p w14:paraId="644AA95C" w14:textId="77777777" w:rsidR="00181C0F" w:rsidRPr="005E779E" w:rsidRDefault="00181C0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позднейших воспоминаниях Владимир Сергеевич не</w:t>
      </w:r>
      <w:r w:rsidRPr="005E779E">
        <w:rPr>
          <w:rFonts w:ascii="Times New Roman" w:hAnsi="Times New Roman"/>
          <w:color w:val="000000" w:themeColor="text1"/>
          <w:sz w:val="16"/>
          <w:szCs w:val="16"/>
        </w:rPr>
        <w:softHyphen/>
        <w:t>сколько иначе описал первые испытания: «Предполагалось, что я полечу на правом месте рядом с командиром ТБ-1 Залевским. По первому варианту проекта предусматрива</w:t>
      </w:r>
      <w:r w:rsidRPr="005E779E">
        <w:rPr>
          <w:rFonts w:ascii="Times New Roman" w:hAnsi="Times New Roman"/>
          <w:color w:val="000000" w:themeColor="text1"/>
          <w:sz w:val="16"/>
          <w:szCs w:val="16"/>
        </w:rPr>
        <w:softHyphen/>
        <w:t>лось, что замки, освобождающие истребители, буду откры</w:t>
      </w:r>
      <w:r w:rsidRPr="005E779E">
        <w:rPr>
          <w:rFonts w:ascii="Times New Roman" w:hAnsi="Times New Roman"/>
          <w:color w:val="000000" w:themeColor="text1"/>
          <w:sz w:val="16"/>
          <w:szCs w:val="16"/>
        </w:rPr>
        <w:softHyphen/>
        <w:t>вать я. Во время тренировки все так и делали, однако в самый последний момент начальство распорядилось, что</w:t>
      </w:r>
      <w:r w:rsidRPr="005E779E">
        <w:rPr>
          <w:rFonts w:ascii="Times New Roman" w:hAnsi="Times New Roman"/>
          <w:color w:val="000000" w:themeColor="text1"/>
          <w:sz w:val="16"/>
          <w:szCs w:val="16"/>
        </w:rPr>
        <w:softHyphen/>
        <w:t>бы на правом месте сидел тоже летчик. Посадили туда лет</w:t>
      </w:r>
      <w:r w:rsidRPr="005E779E">
        <w:rPr>
          <w:rFonts w:ascii="Times New Roman" w:hAnsi="Times New Roman"/>
          <w:color w:val="000000" w:themeColor="text1"/>
          <w:sz w:val="16"/>
          <w:szCs w:val="16"/>
        </w:rPr>
        <w:softHyphen/>
        <w:t>чика Шарапова, а мне с инженером Морозовым при</w:t>
      </w:r>
      <w:r w:rsidRPr="005E779E">
        <w:rPr>
          <w:rFonts w:ascii="Times New Roman" w:hAnsi="Times New Roman"/>
          <w:color w:val="000000" w:themeColor="text1"/>
          <w:sz w:val="16"/>
          <w:szCs w:val="16"/>
        </w:rPr>
        <w:softHyphen/>
        <w:t>шлось сесть в задние кабины.</w:t>
      </w:r>
    </w:p>
    <w:p w14:paraId="1F50190C" w14:textId="77777777" w:rsidR="00181C0F" w:rsidRPr="005E779E" w:rsidRDefault="00181C0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результате такой замены, сделанной в самый по</w:t>
      </w:r>
      <w:r w:rsidRPr="005E779E">
        <w:rPr>
          <w:rFonts w:ascii="Times New Roman" w:hAnsi="Times New Roman"/>
          <w:color w:val="000000" w:themeColor="text1"/>
          <w:sz w:val="16"/>
          <w:szCs w:val="16"/>
        </w:rPr>
        <w:softHyphen/>
        <w:t>следний момент, чуть не случилось беда. Поднимаясь в воздух, мы не знали, как поведет себя система, если са</w:t>
      </w:r>
      <w:r w:rsidRPr="005E779E">
        <w:rPr>
          <w:rFonts w:ascii="Times New Roman" w:hAnsi="Times New Roman"/>
          <w:color w:val="000000" w:themeColor="text1"/>
          <w:sz w:val="16"/>
          <w:szCs w:val="16"/>
        </w:rPr>
        <w:softHyphen/>
        <w:t>молеты отцепятся неодновременно. Естественно, что нам хотелось добиться наибольшей одновременности. Когда Залевский подал команду к отцеплению, Шарапов расте</w:t>
      </w:r>
      <w:r w:rsidRPr="005E779E">
        <w:rPr>
          <w:rFonts w:ascii="Times New Roman" w:hAnsi="Times New Roman"/>
          <w:color w:val="000000" w:themeColor="text1"/>
          <w:sz w:val="16"/>
          <w:szCs w:val="16"/>
        </w:rPr>
        <w:softHyphen/>
        <w:t>рялся. Не дождавшись, пока Чкалов освободит хвост сво</w:t>
      </w:r>
      <w:r w:rsidRPr="005E779E">
        <w:rPr>
          <w:rFonts w:ascii="Times New Roman" w:hAnsi="Times New Roman"/>
          <w:color w:val="000000" w:themeColor="text1"/>
          <w:sz w:val="16"/>
          <w:szCs w:val="16"/>
        </w:rPr>
        <w:softHyphen/>
        <w:t>его самолета (этот замок истребители отпирали сами), он освободил колеса. Чкалов завис на одной хвостовой точ</w:t>
      </w:r>
      <w:r w:rsidRPr="005E779E">
        <w:rPr>
          <w:rFonts w:ascii="Times New Roman" w:hAnsi="Times New Roman"/>
          <w:color w:val="000000" w:themeColor="text1"/>
          <w:sz w:val="16"/>
          <w:szCs w:val="16"/>
        </w:rPr>
        <w:softHyphen/>
        <w:t>ке. Однако, он быстро оценил обстановку, рванул маши</w:t>
      </w:r>
      <w:r w:rsidRPr="005E779E">
        <w:rPr>
          <w:rFonts w:ascii="Times New Roman" w:hAnsi="Times New Roman"/>
          <w:color w:val="000000" w:themeColor="text1"/>
          <w:sz w:val="16"/>
          <w:szCs w:val="16"/>
        </w:rPr>
        <w:softHyphen/>
        <w:t>ну вправо и влево, оторвался и улетел. Не растерялся и Анисимов. Быстро освободив хвост, он взлетел, как поло</w:t>
      </w:r>
      <w:r w:rsidRPr="005E779E">
        <w:rPr>
          <w:rFonts w:ascii="Times New Roman" w:hAnsi="Times New Roman"/>
          <w:color w:val="000000" w:themeColor="text1"/>
          <w:sz w:val="16"/>
          <w:szCs w:val="16"/>
        </w:rPr>
        <w:softHyphen/>
        <w:t>жено. Разумеется, после такого происшествия замки бы</w:t>
      </w:r>
      <w:r w:rsidRPr="005E779E">
        <w:rPr>
          <w:rFonts w:ascii="Times New Roman" w:hAnsi="Times New Roman"/>
          <w:color w:val="000000" w:themeColor="text1"/>
          <w:sz w:val="16"/>
          <w:szCs w:val="16"/>
        </w:rPr>
        <w:softHyphen/>
        <w:t>ли заменены новыми, предусматривавшими автомати</w:t>
      </w:r>
      <w:r w:rsidRPr="005E779E">
        <w:rPr>
          <w:rFonts w:ascii="Times New Roman" w:hAnsi="Times New Roman"/>
          <w:color w:val="000000" w:themeColor="text1"/>
          <w:sz w:val="16"/>
          <w:szCs w:val="16"/>
        </w:rPr>
        <w:softHyphen/>
        <w:t>ческое отцепление».</w:t>
      </w:r>
    </w:p>
    <w:p w14:paraId="5EDDA70B" w14:textId="77777777" w:rsidR="00181C0F" w:rsidRPr="005E779E" w:rsidRDefault="00181C0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Летчик-испытатель П.М.Стефановский по-своему описал произошедшее событие: «Перед самым вылетом - он производился с подмосковного аэродрома - неожиданно поступило распоряжение: инженера Вахмистрова помес</w:t>
      </w:r>
      <w:r w:rsidRPr="005E779E">
        <w:rPr>
          <w:rFonts w:ascii="Times New Roman" w:hAnsi="Times New Roman"/>
          <w:color w:val="000000" w:themeColor="text1"/>
          <w:sz w:val="16"/>
          <w:szCs w:val="16"/>
        </w:rPr>
        <w:softHyphen/>
        <w:t>тить в кабине переднего стрелка, обязанности второго пи</w:t>
      </w:r>
      <w:r w:rsidRPr="005E779E">
        <w:rPr>
          <w:rFonts w:ascii="Times New Roman" w:hAnsi="Times New Roman"/>
          <w:color w:val="000000" w:themeColor="text1"/>
          <w:sz w:val="16"/>
          <w:szCs w:val="16"/>
        </w:rPr>
        <w:softHyphen/>
        <w:t>лота будет выполнять командир эскадрильи Андрей Роди</w:t>
      </w:r>
      <w:r w:rsidRPr="005E779E">
        <w:rPr>
          <w:rFonts w:ascii="Times New Roman" w:hAnsi="Times New Roman"/>
          <w:color w:val="000000" w:themeColor="text1"/>
          <w:sz w:val="16"/>
          <w:szCs w:val="16"/>
        </w:rPr>
        <w:softHyphen/>
        <w:t>онович Шарапов.</w:t>
      </w:r>
    </w:p>
    <w:p w14:paraId="785E27FC" w14:textId="77777777" w:rsidR="00181C0F" w:rsidRPr="005E779E" w:rsidRDefault="00181C0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Соединенные самолеты взлетели хорошо и перешли в набор. На расчетной высоте в строго установленное вре</w:t>
      </w:r>
      <w:r w:rsidRPr="005E779E">
        <w:rPr>
          <w:rFonts w:ascii="Times New Roman" w:hAnsi="Times New Roman"/>
          <w:color w:val="000000" w:themeColor="text1"/>
          <w:sz w:val="16"/>
          <w:szCs w:val="16"/>
        </w:rPr>
        <w:softHyphen/>
        <w:t>мя Залевский подал Шарапову сигнал - отцепить истре</w:t>
      </w:r>
      <w:r w:rsidRPr="005E779E">
        <w:rPr>
          <w:rFonts w:ascii="Times New Roman" w:hAnsi="Times New Roman"/>
          <w:color w:val="000000" w:themeColor="text1"/>
          <w:sz w:val="16"/>
          <w:szCs w:val="16"/>
        </w:rPr>
        <w:softHyphen/>
        <w:t>бители. Следовало сначала открыть задние замки, чтобы освободить хвост И-4, затем - передние: дать им возмож</w:t>
      </w:r>
      <w:r w:rsidRPr="005E779E">
        <w:rPr>
          <w:rFonts w:ascii="Times New Roman" w:hAnsi="Times New Roman"/>
          <w:color w:val="000000" w:themeColor="text1"/>
          <w:sz w:val="16"/>
          <w:szCs w:val="16"/>
        </w:rPr>
        <w:softHyphen/>
        <w:t>ность обрести самостоятельную подъемную силу и отде</w:t>
      </w:r>
      <w:r w:rsidRPr="005E779E">
        <w:rPr>
          <w:rFonts w:ascii="Times New Roman" w:hAnsi="Times New Roman"/>
          <w:color w:val="000000" w:themeColor="text1"/>
          <w:sz w:val="16"/>
          <w:szCs w:val="16"/>
        </w:rPr>
        <w:softHyphen/>
        <w:t>литься от бомбардировщика. Рукоятки, с помощью кото</w:t>
      </w:r>
      <w:r w:rsidRPr="005E779E">
        <w:rPr>
          <w:rFonts w:ascii="Times New Roman" w:hAnsi="Times New Roman"/>
          <w:color w:val="000000" w:themeColor="text1"/>
          <w:sz w:val="16"/>
          <w:szCs w:val="16"/>
        </w:rPr>
        <w:softHyphen/>
        <w:t>рых открывались передние замки, располагались внизу, в проходе между первым и вторым летчиками. И Андрей по</w:t>
      </w:r>
      <w:r w:rsidRPr="005E779E">
        <w:rPr>
          <w:rFonts w:ascii="Times New Roman" w:hAnsi="Times New Roman"/>
          <w:color w:val="000000" w:themeColor="text1"/>
          <w:sz w:val="16"/>
          <w:szCs w:val="16"/>
        </w:rPr>
        <w:softHyphen/>
        <w:t>торопился: на самолете Чкалова он раньше заднего зам</w:t>
      </w:r>
      <w:r w:rsidRPr="005E779E">
        <w:rPr>
          <w:rFonts w:ascii="Times New Roman" w:hAnsi="Times New Roman"/>
          <w:color w:val="000000" w:themeColor="text1"/>
          <w:sz w:val="16"/>
          <w:szCs w:val="16"/>
        </w:rPr>
        <w:softHyphen/>
        <w:t>ка открыл передние.</w:t>
      </w:r>
    </w:p>
    <w:p w14:paraId="4F30EA54" w14:textId="77777777" w:rsidR="00181C0F" w:rsidRPr="005E779E" w:rsidRDefault="00181C0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Чкалов тут же почувствовал: хотя шасси и освобождено, хвост по-прежнему «на привязи». Стремительно растет подъемная сила. Сейчас последует петля вокруг закреп</w:t>
      </w:r>
      <w:r w:rsidRPr="005E779E">
        <w:rPr>
          <w:rFonts w:ascii="Times New Roman" w:hAnsi="Times New Roman"/>
          <w:color w:val="000000" w:themeColor="text1"/>
          <w:sz w:val="16"/>
          <w:szCs w:val="16"/>
        </w:rPr>
        <w:softHyphen/>
        <w:t>ленного хвоста и... Валерий Павлович мгновенно оценил создавшееся положение и немедленно отреагировал. Он резко дал руля, открыл крепление заднего замка и, силь</w:t>
      </w:r>
      <w:r w:rsidRPr="005E779E">
        <w:rPr>
          <w:rFonts w:ascii="Times New Roman" w:hAnsi="Times New Roman"/>
          <w:color w:val="000000" w:themeColor="text1"/>
          <w:sz w:val="16"/>
          <w:szCs w:val="16"/>
        </w:rPr>
        <w:softHyphen/>
        <w:t>но вогнув колесами верхнюю обшивку бомбардировщика, унесся в свободный полет.</w:t>
      </w:r>
    </w:p>
    <w:p w14:paraId="229A750E" w14:textId="77777777" w:rsidR="00181C0F" w:rsidRPr="005E779E" w:rsidRDefault="00181C0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Истребитель Анисимова все еще находился на крыле бомбардировщика. Вопреки ранее высказанным опасени</w:t>
      </w:r>
      <w:r w:rsidRPr="005E779E">
        <w:rPr>
          <w:rFonts w:ascii="Times New Roman" w:hAnsi="Times New Roman"/>
          <w:color w:val="000000" w:themeColor="text1"/>
          <w:sz w:val="16"/>
          <w:szCs w:val="16"/>
        </w:rPr>
        <w:softHyphen/>
        <w:t>ям ТБ-1 сохранял вполне достаточную управляемость. Поэтому последняя задача испытаний оказалась выполнен</w:t>
      </w:r>
      <w:r w:rsidRPr="005E779E">
        <w:rPr>
          <w:rFonts w:ascii="Times New Roman" w:hAnsi="Times New Roman"/>
          <w:color w:val="000000" w:themeColor="text1"/>
          <w:sz w:val="16"/>
          <w:szCs w:val="16"/>
        </w:rPr>
        <w:softHyphen/>
        <w:t>ной в числе первых.</w:t>
      </w:r>
    </w:p>
    <w:p w14:paraId="1A895A14" w14:textId="77777777" w:rsidR="00181C0F" w:rsidRPr="005E779E" w:rsidRDefault="00181C0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отцеплении самолета Анисимова Шарапов действо</w:t>
      </w:r>
      <w:r w:rsidRPr="005E779E">
        <w:rPr>
          <w:rFonts w:ascii="Times New Roman" w:hAnsi="Times New Roman"/>
          <w:color w:val="000000" w:themeColor="text1"/>
          <w:sz w:val="16"/>
          <w:szCs w:val="16"/>
        </w:rPr>
        <w:softHyphen/>
        <w:t>вал уже хладнокровно. Разъединение прошло благо</w:t>
      </w:r>
      <w:r w:rsidRPr="005E779E">
        <w:rPr>
          <w:rFonts w:ascii="Times New Roman" w:hAnsi="Times New Roman"/>
          <w:color w:val="000000" w:themeColor="text1"/>
          <w:sz w:val="16"/>
          <w:szCs w:val="16"/>
        </w:rPr>
        <w:softHyphen/>
        <w:t>получно.</w:t>
      </w:r>
    </w:p>
    <w:p w14:paraId="22516964" w14:textId="77777777" w:rsidR="00181C0F" w:rsidRPr="005E779E" w:rsidRDefault="00181C0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Владимир Сергеевич Вахмистров после этого полета за</w:t>
      </w:r>
      <w:r w:rsidRPr="005E779E">
        <w:rPr>
          <w:rFonts w:ascii="Times New Roman" w:hAnsi="Times New Roman"/>
          <w:color w:val="000000" w:themeColor="text1"/>
          <w:sz w:val="16"/>
          <w:szCs w:val="16"/>
        </w:rPr>
        <w:softHyphen/>
        <w:t>таил некоторую неприязнь к Андрею Шарапову. Хотя сам убедился, что в конструкции нужно произвести ряд пере</w:t>
      </w:r>
      <w:r w:rsidRPr="005E779E">
        <w:rPr>
          <w:rFonts w:ascii="Times New Roman" w:hAnsi="Times New Roman"/>
          <w:color w:val="000000" w:themeColor="text1"/>
          <w:sz w:val="16"/>
          <w:szCs w:val="16"/>
        </w:rPr>
        <w:softHyphen/>
        <w:t>делок. Прежде всего, механизм разъединения самолетов он перенес в кабины истребителей. Теперь летчики носи</w:t>
      </w:r>
      <w:r w:rsidRPr="005E779E">
        <w:rPr>
          <w:rFonts w:ascii="Times New Roman" w:hAnsi="Times New Roman"/>
          <w:color w:val="000000" w:themeColor="text1"/>
          <w:sz w:val="16"/>
          <w:szCs w:val="16"/>
        </w:rPr>
        <w:softHyphen/>
        <w:t>мых машин, получив команду на отрыв, сами открывали хвостовые замки и с помощью руля глубины удерживали самолеты на двух передних точках. Для полного отрыва им надо было только взять на себя ручку управления. Перед</w:t>
      </w:r>
      <w:r w:rsidRPr="005E779E">
        <w:rPr>
          <w:rFonts w:ascii="Times New Roman" w:hAnsi="Times New Roman"/>
          <w:color w:val="000000" w:themeColor="text1"/>
          <w:sz w:val="16"/>
          <w:szCs w:val="16"/>
        </w:rPr>
        <w:softHyphen/>
        <w:t>ние крепления сразу размыкались, и истребители, оторвав</w:t>
      </w:r>
      <w:r w:rsidRPr="005E779E">
        <w:rPr>
          <w:rFonts w:ascii="Times New Roman" w:hAnsi="Times New Roman"/>
          <w:color w:val="000000" w:themeColor="text1"/>
          <w:sz w:val="16"/>
          <w:szCs w:val="16"/>
        </w:rPr>
        <w:softHyphen/>
        <w:t>шись от плоскости ТБ-1, поднимались метров на десять вверх, несколько отставая от бомбардировщика» (20345).</w:t>
      </w:r>
    </w:p>
    <w:p w14:paraId="2844D6AE" w14:textId="77777777" w:rsidR="00181C0F" w:rsidRPr="005E779E" w:rsidRDefault="00181C0F" w:rsidP="000B7A6C">
      <w:pPr>
        <w:spacing w:after="0" w:line="240" w:lineRule="auto"/>
        <w:jc w:val="both"/>
        <w:rPr>
          <w:rFonts w:ascii="Times New Roman" w:hAnsi="Times New Roman"/>
          <w:color w:val="000000" w:themeColor="text1"/>
          <w:sz w:val="16"/>
          <w:szCs w:val="16"/>
        </w:rPr>
      </w:pPr>
    </w:p>
    <w:p w14:paraId="3D512854" w14:textId="77777777" w:rsidR="00181C0F" w:rsidRPr="005E779E" w:rsidRDefault="00181C0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декабря 1931 в Монино состоялось первое испытание составного авианосца. На его крыльях были специальными замками закреплены два истребителя И-4, нижние плоскости которых были удалены в целях защиты от вращающихся винтов тяжёлого бомбардировщика.</w:t>
      </w:r>
    </w:p>
    <w:p w14:paraId="6D84FBA6" w14:textId="77777777" w:rsidR="00181C0F" w:rsidRPr="005E779E" w:rsidRDefault="00181C0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Первый испытательный полёт прошёл успешно и все 3 самолёта благополучно совершили посадку (21535).</w:t>
      </w:r>
    </w:p>
    <w:p w14:paraId="21B7070B" w14:textId="77777777" w:rsidR="00181C0F" w:rsidRPr="005E779E" w:rsidRDefault="00181C0F" w:rsidP="000B7A6C">
      <w:pPr>
        <w:spacing w:after="0" w:line="240" w:lineRule="auto"/>
        <w:jc w:val="both"/>
        <w:rPr>
          <w:rFonts w:ascii="Times New Roman" w:hAnsi="Times New Roman"/>
          <w:color w:val="000000" w:themeColor="text1"/>
          <w:sz w:val="16"/>
          <w:szCs w:val="16"/>
        </w:rPr>
      </w:pPr>
    </w:p>
    <w:p w14:paraId="0C86BF77" w14:textId="0152B51F" w:rsidR="00033D69" w:rsidRPr="005E779E" w:rsidRDefault="00033D6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декабря 1931 г. состоялся первый в мире опытный полет самолета-авианосца с двумя истребителями на крыльях. Самолетом ТБ-1 управляли летчики НИИ ВВС А.И.Заленский я А.Р.Шарапов, истребителями И-4 - А.А.Анисимов и В.П.Чкалов. Авианосец удачно взлетел, и оба истребителя на внсоте 1000 м были отцеплены. Приспособил самолет под авианосец инженер НИИ ВВС Владимир Сергеевич Вахмистров, почему авианосец и назывался “звеном Вахмистрова “ю В проведенном опыте осуществлена идея транспортировки истребителей тяжелым самолетом, что весьма важно для бомбардировщиков и охраняющих их истребителей сопровождения. В 1933-35 гг. опыт Вахмистрова был повторен в усложненной обстановке: авианосец ТБ—3 взлетал</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с четырьмя истребителями.</w:t>
      </w:r>
    </w:p>
    <w:p w14:paraId="286BED48" w14:textId="77777777" w:rsidR="00033D69" w:rsidRPr="005E779E" w:rsidRDefault="00033D6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/«Крылья родины», 1951 № 11; «Советская авиация» за 2 декабря 1956/ (23370).</w:t>
      </w:r>
    </w:p>
    <w:p w14:paraId="4F7AADB6" w14:textId="77777777" w:rsidR="00033D69" w:rsidRPr="005E779E" w:rsidRDefault="00033D69" w:rsidP="000B7A6C">
      <w:pPr>
        <w:spacing w:after="0" w:line="240" w:lineRule="auto"/>
        <w:jc w:val="both"/>
        <w:rPr>
          <w:rFonts w:ascii="Times New Roman" w:hAnsi="Times New Roman"/>
          <w:color w:val="000000" w:themeColor="text1"/>
          <w:sz w:val="16"/>
          <w:szCs w:val="16"/>
        </w:rPr>
      </w:pPr>
    </w:p>
    <w:p w14:paraId="26DE49FD" w14:textId="77777777" w:rsidR="0098310F" w:rsidRPr="00142305" w:rsidRDefault="0098310F" w:rsidP="0098310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 декабря 1931 г. состоялся первый полет «Звена» Но</w:t>
      </w:r>
      <w:r w:rsidRPr="00142305">
        <w:rPr>
          <w:rFonts w:ascii="Times New Roman" w:hAnsi="Times New Roman"/>
          <w:color w:val="0070C0"/>
          <w:sz w:val="16"/>
          <w:szCs w:val="16"/>
        </w:rPr>
        <w:softHyphen/>
        <w:t>ситель пилотировали А.И. Залевский и В.С Вахмистров, в кабине левого И-4 сидел В.П. Чкалов, правого — А.Ф. Ани</w:t>
      </w:r>
      <w:r w:rsidRPr="00142305">
        <w:rPr>
          <w:rFonts w:ascii="Times New Roman" w:hAnsi="Times New Roman"/>
          <w:color w:val="0070C0"/>
          <w:sz w:val="16"/>
          <w:szCs w:val="16"/>
        </w:rPr>
        <w:softHyphen/>
        <w:t>симов. На высоте 1000 м истребители отцепились от бом</w:t>
      </w:r>
      <w:r w:rsidRPr="00142305">
        <w:rPr>
          <w:rFonts w:ascii="Times New Roman" w:hAnsi="Times New Roman"/>
          <w:color w:val="0070C0"/>
          <w:sz w:val="16"/>
          <w:szCs w:val="16"/>
        </w:rPr>
        <w:softHyphen/>
        <w:t>бардировщика, при этом правый ударился колесом в крыло ТБ-l, пробил обшивку и смял опору. Но приземлились все три самолета нормально (24977).</w:t>
      </w:r>
    </w:p>
    <w:p w14:paraId="38C948D3" w14:textId="77777777" w:rsidR="0098310F" w:rsidRPr="00142305" w:rsidRDefault="0098310F" w:rsidP="0098310F">
      <w:pPr>
        <w:spacing w:after="0" w:line="240" w:lineRule="auto"/>
        <w:jc w:val="both"/>
        <w:rPr>
          <w:rFonts w:ascii="Times New Roman" w:hAnsi="Times New Roman"/>
          <w:color w:val="0070C0"/>
          <w:sz w:val="16"/>
          <w:szCs w:val="16"/>
        </w:rPr>
      </w:pPr>
    </w:p>
    <w:p w14:paraId="1CFB9F4C" w14:textId="77777777" w:rsidR="0098310F" w:rsidRPr="00142305" w:rsidRDefault="0098310F" w:rsidP="0098310F">
      <w:pPr>
        <w:spacing w:after="0" w:line="240" w:lineRule="auto"/>
        <w:jc w:val="both"/>
        <w:rPr>
          <w:rStyle w:val="aff0"/>
          <w:rFonts w:ascii="Times New Roman" w:hAnsi="Times New Roman" w:cs="Times New Roman"/>
          <w:color w:val="0070C0"/>
          <w:spacing w:val="0"/>
          <w:sz w:val="16"/>
          <w:szCs w:val="16"/>
        </w:rPr>
      </w:pPr>
      <w:r w:rsidRPr="00142305">
        <w:rPr>
          <w:rStyle w:val="aff0"/>
          <w:rFonts w:ascii="Times New Roman" w:hAnsi="Times New Roman" w:cs="Times New Roman"/>
          <w:color w:val="0070C0"/>
          <w:spacing w:val="0"/>
          <w:sz w:val="16"/>
          <w:szCs w:val="16"/>
        </w:rPr>
        <w:t>3 декабря 1931 года на аэродроме в подмосковном Монино состоялся первый полет звена Вахмистрова, получившего наимено</w:t>
      </w:r>
      <w:r w:rsidRPr="00142305">
        <w:rPr>
          <w:rStyle w:val="aff0"/>
          <w:rFonts w:ascii="Times New Roman" w:hAnsi="Times New Roman" w:cs="Times New Roman"/>
          <w:color w:val="0070C0"/>
          <w:spacing w:val="0"/>
          <w:sz w:val="16"/>
          <w:szCs w:val="16"/>
        </w:rPr>
        <w:softHyphen/>
        <w:t>вание «Самолёт-Звено-1» (СЗ-1) или просто «Звено-1» (25618).</w:t>
      </w:r>
    </w:p>
    <w:p w14:paraId="7C1AD583" w14:textId="77777777" w:rsidR="0098310F" w:rsidRPr="00142305" w:rsidRDefault="0098310F" w:rsidP="0098310F">
      <w:pPr>
        <w:spacing w:after="0" w:line="240" w:lineRule="auto"/>
        <w:jc w:val="both"/>
        <w:rPr>
          <w:rFonts w:ascii="Times New Roman" w:hAnsi="Times New Roman"/>
          <w:color w:val="0070C0"/>
          <w:sz w:val="16"/>
          <w:szCs w:val="16"/>
        </w:rPr>
      </w:pPr>
    </w:p>
    <w:p w14:paraId="2C7DF78E" w14:textId="77777777" w:rsidR="0098310F" w:rsidRPr="00142305" w:rsidRDefault="0098310F" w:rsidP="0098310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 декабря 1931 г. состоялся первый полёт "Звена". Носитель пилотировали лётчик-испытатель Адам Иосифович Залевский и разработчик Владимир Сергеевич Вахмистров, в кабине левого И-4 сидел Валерий Павлович Чкалов, правого - Александр Фролович Анисимов. На высоте 1000 м истребители отцепились от бомбардировщика, при этом правый ударился колесом в крыло ТБ-1, пробил обшивку и смял опору. Но приземлились все три самолёта нормально (25740).</w:t>
      </w:r>
    </w:p>
    <w:p w14:paraId="778ECAE4" w14:textId="77777777" w:rsidR="0098310F" w:rsidRPr="00142305" w:rsidRDefault="0098310F" w:rsidP="0098310F">
      <w:pPr>
        <w:spacing w:after="0" w:line="240" w:lineRule="auto"/>
        <w:jc w:val="both"/>
        <w:rPr>
          <w:rFonts w:ascii="Times New Roman" w:hAnsi="Times New Roman"/>
          <w:color w:val="0070C0"/>
          <w:sz w:val="16"/>
          <w:szCs w:val="16"/>
        </w:rPr>
      </w:pPr>
    </w:p>
    <w:p w14:paraId="6D947836" w14:textId="77777777" w:rsidR="009E3773"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73D48FBF" w14:textId="77777777" w:rsidR="009E3773" w:rsidRPr="005E779E" w:rsidRDefault="009E3773"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C9B9463" w14:textId="77777777" w:rsidR="009E3773" w:rsidRPr="005E779E" w:rsidRDefault="009E3773" w:rsidP="000B7A6C">
      <w:pPr>
        <w:pStyle w:val="rtejustify"/>
        <w:spacing w:before="0" w:after="0"/>
        <w:rPr>
          <w:color w:val="000000" w:themeColor="text1"/>
          <w:sz w:val="16"/>
          <w:szCs w:val="16"/>
        </w:rPr>
      </w:pPr>
      <w:r w:rsidRPr="005E779E">
        <w:rPr>
          <w:rStyle w:val="af0"/>
          <w:i w:val="0"/>
          <w:color w:val="000000" w:themeColor="text1"/>
          <w:sz w:val="16"/>
          <w:szCs w:val="16"/>
        </w:rPr>
        <w:t>3 декабря 1931 г. Протокол Реввоенсовета № 40.</w:t>
      </w:r>
      <w:r w:rsidRPr="005E779E">
        <w:rPr>
          <w:color w:val="000000" w:themeColor="text1"/>
          <w:sz w:val="16"/>
          <w:szCs w:val="16"/>
        </w:rPr>
        <w:t xml:space="preserve"> 10. О работе МПС, мобилизационной подготовке и готовности промышленности. (Левичев). 11. Организация службы ПВО (Медведев). 14. Выполнение постановления РВСС о снарядах с волосовиной (Симонов). 17. О прекращении постройки сторожевых кораблей типа «Ураган». (Каменев). 19. О награждении за электрический бомбодержатель Китенко и Спатареля (Алкснис). 20. О введении на вооружение самолетов Р</w:t>
      </w:r>
      <w:r w:rsidRPr="005E779E">
        <w:rPr>
          <w:color w:val="000000" w:themeColor="text1"/>
          <w:sz w:val="16"/>
          <w:szCs w:val="16"/>
        </w:rPr>
        <w:noBreakHyphen/>
        <w:t>6 и ТБ</w:t>
      </w:r>
      <w:r w:rsidRPr="005E779E">
        <w:rPr>
          <w:color w:val="000000" w:themeColor="text1"/>
          <w:sz w:val="16"/>
          <w:szCs w:val="16"/>
        </w:rPr>
        <w:noBreakHyphen/>
        <w:t>3. (Меженинов). 29. О конструировании машины для полетов на предельную дальность. (Алкснис). 32. О «Выстреле». (Лапин). (РГВА. Ф. 4. Оп. 18. Д. 21. Л. 279</w:t>
      </w:r>
      <w:r w:rsidRPr="005E779E">
        <w:rPr>
          <w:color w:val="000000" w:themeColor="text1"/>
          <w:sz w:val="16"/>
          <w:szCs w:val="16"/>
        </w:rPr>
        <w:noBreakHyphen/>
        <w:t>280, 281, 283) (12342).</w:t>
      </w:r>
    </w:p>
    <w:p w14:paraId="37987980" w14:textId="77777777" w:rsidR="009E3773" w:rsidRPr="005E779E" w:rsidRDefault="009E3773" w:rsidP="000B7A6C">
      <w:pPr>
        <w:pStyle w:val="rtejustify"/>
        <w:spacing w:before="0" w:after="0"/>
        <w:rPr>
          <w:color w:val="000000" w:themeColor="text1"/>
          <w:sz w:val="16"/>
          <w:szCs w:val="16"/>
        </w:rPr>
      </w:pPr>
    </w:p>
    <w:p w14:paraId="6F79EDAD" w14:textId="77777777" w:rsidR="009E3773" w:rsidRPr="005E779E" w:rsidRDefault="009E37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декабря 1931 года на аэродроме 17-й авиабригады в подмосков</w:t>
      </w:r>
      <w:r w:rsidRPr="005E779E">
        <w:rPr>
          <w:rFonts w:ascii="Times New Roman" w:hAnsi="Times New Roman"/>
          <w:color w:val="000000" w:themeColor="text1"/>
          <w:sz w:val="16"/>
          <w:szCs w:val="16"/>
        </w:rPr>
        <w:softHyphen/>
        <w:t>ном Монино состоялось первое испытание системы «Самолет-звено-1» (СЗ-1). Первым делом при стоянке на земле были запущены и прогреты двигате</w:t>
      </w:r>
      <w:r w:rsidRPr="005E779E">
        <w:rPr>
          <w:rFonts w:ascii="Times New Roman" w:hAnsi="Times New Roman"/>
          <w:color w:val="000000" w:themeColor="text1"/>
          <w:sz w:val="16"/>
          <w:szCs w:val="16"/>
        </w:rPr>
        <w:softHyphen/>
        <w:t>ли обоих истребителей И-4, после чего аэ</w:t>
      </w:r>
      <w:r w:rsidRPr="005E779E">
        <w:rPr>
          <w:rFonts w:ascii="Times New Roman" w:hAnsi="Times New Roman"/>
          <w:color w:val="000000" w:themeColor="text1"/>
          <w:sz w:val="16"/>
          <w:szCs w:val="16"/>
        </w:rPr>
        <w:softHyphen/>
        <w:t>родромная команда по наклонной рампе за</w:t>
      </w:r>
      <w:r w:rsidRPr="005E779E">
        <w:rPr>
          <w:rFonts w:ascii="Times New Roman" w:hAnsi="Times New Roman"/>
          <w:color w:val="000000" w:themeColor="text1"/>
          <w:sz w:val="16"/>
          <w:szCs w:val="16"/>
        </w:rPr>
        <w:softHyphen/>
        <w:t>катила их на крыло ТБ-1. После соединения всех систем и последующей их тщательной проверки начались пробежки по аэродрому на различных режимах работы двигателей. В 14 часов 30 минут был произведен первый взлет СЗ-1, стартовый вес которого составил 8180 кг (ТБ-1 5640 кг + 2 И-4 2x1270 кг). В ТБ-1 на левом командирском кресле нахо</w:t>
      </w:r>
      <w:r w:rsidRPr="005E779E">
        <w:rPr>
          <w:rFonts w:ascii="Times New Roman" w:hAnsi="Times New Roman"/>
          <w:color w:val="000000" w:themeColor="text1"/>
          <w:sz w:val="16"/>
          <w:szCs w:val="16"/>
        </w:rPr>
        <w:softHyphen/>
        <w:t>дился летчик Адам Залевский, Андрей Шара</w:t>
      </w:r>
      <w:r w:rsidRPr="005E779E">
        <w:rPr>
          <w:rFonts w:ascii="Times New Roman" w:hAnsi="Times New Roman"/>
          <w:color w:val="000000" w:themeColor="text1"/>
          <w:sz w:val="16"/>
          <w:szCs w:val="16"/>
        </w:rPr>
        <w:softHyphen/>
        <w:t>пов занимал правое сидение носителя, кон</w:t>
      </w:r>
      <w:r w:rsidRPr="005E779E">
        <w:rPr>
          <w:rFonts w:ascii="Times New Roman" w:hAnsi="Times New Roman"/>
          <w:color w:val="000000" w:themeColor="text1"/>
          <w:sz w:val="16"/>
          <w:szCs w:val="16"/>
        </w:rPr>
        <w:softHyphen/>
        <w:t>структор Вахмистров — в 1-м люке кормовых стрелков, инженер Морозов - во 2-м люке. Левым И-4 управлял летчик Валерий Чкалов, правым— Александр Анисимов. Взлет СЗ-1 с аэродрома произошел на скорости 140 км/ч без осложнений. Адам Залевский вибраций и излишних давлений на органы управле</w:t>
      </w:r>
      <w:r w:rsidRPr="005E779E">
        <w:rPr>
          <w:rFonts w:ascii="Times New Roman" w:hAnsi="Times New Roman"/>
          <w:color w:val="000000" w:themeColor="text1"/>
          <w:sz w:val="16"/>
          <w:szCs w:val="16"/>
        </w:rPr>
        <w:softHyphen/>
        <w:t>ния при выполнении старта и наборе высо</w:t>
      </w:r>
      <w:r w:rsidRPr="005E779E">
        <w:rPr>
          <w:rFonts w:ascii="Times New Roman" w:hAnsi="Times New Roman"/>
          <w:color w:val="000000" w:themeColor="text1"/>
          <w:sz w:val="16"/>
          <w:szCs w:val="16"/>
        </w:rPr>
        <w:softHyphen/>
        <w:t>ты не отметил. На высоте 1000 м при скоро</w:t>
      </w:r>
      <w:r w:rsidRPr="005E779E">
        <w:rPr>
          <w:rFonts w:ascii="Times New Roman" w:hAnsi="Times New Roman"/>
          <w:color w:val="000000" w:themeColor="text1"/>
          <w:sz w:val="16"/>
          <w:szCs w:val="16"/>
        </w:rPr>
        <w:softHyphen/>
        <w:t>сти 160 км/ч был произведен первый отрыв самолетов от носителя. При этом И-4 Ани симова отцепился с поднятым хвостом, не имея достаточной одъемной силы, поэто</w:t>
      </w:r>
      <w:r w:rsidRPr="005E779E">
        <w:rPr>
          <w:rFonts w:ascii="Times New Roman" w:hAnsi="Times New Roman"/>
          <w:color w:val="000000" w:themeColor="text1"/>
          <w:sz w:val="16"/>
          <w:szCs w:val="16"/>
        </w:rPr>
        <w:softHyphen/>
        <w:t>му соскочил с пирамид, ударился колесом о 3-й лонжерон крыла ТБ-1 и пробил гофри</w:t>
      </w:r>
      <w:r w:rsidRPr="005E779E">
        <w:rPr>
          <w:rFonts w:ascii="Times New Roman" w:hAnsi="Times New Roman"/>
          <w:color w:val="000000" w:themeColor="text1"/>
          <w:sz w:val="16"/>
          <w:szCs w:val="16"/>
        </w:rPr>
        <w:softHyphen/>
        <w:t>рованную обшивку. Воздушный винт истре</w:t>
      </w:r>
      <w:r w:rsidRPr="005E779E">
        <w:rPr>
          <w:rFonts w:ascii="Times New Roman" w:hAnsi="Times New Roman"/>
          <w:color w:val="000000" w:themeColor="text1"/>
          <w:sz w:val="16"/>
          <w:szCs w:val="16"/>
        </w:rPr>
        <w:softHyphen/>
        <w:t>бителя в ходе этого нештатного отцепления задел пирамиду крепления, в результате че</w:t>
      </w:r>
      <w:r w:rsidRPr="005E779E">
        <w:rPr>
          <w:rFonts w:ascii="Times New Roman" w:hAnsi="Times New Roman"/>
          <w:color w:val="000000" w:themeColor="text1"/>
          <w:sz w:val="16"/>
          <w:szCs w:val="16"/>
        </w:rPr>
        <w:softHyphen/>
        <w:t>го лопасть винта и сама пирамида оказались повреждены. Тем не менее эта небольшая не</w:t>
      </w:r>
      <w:r w:rsidRPr="005E779E">
        <w:rPr>
          <w:rFonts w:ascii="Times New Roman" w:hAnsi="Times New Roman"/>
          <w:color w:val="000000" w:themeColor="text1"/>
          <w:sz w:val="16"/>
          <w:szCs w:val="16"/>
        </w:rPr>
        <w:softHyphen/>
        <w:t>приятность не помешала благополучному за</w:t>
      </w:r>
      <w:r w:rsidRPr="005E779E">
        <w:rPr>
          <w:rFonts w:ascii="Times New Roman" w:hAnsi="Times New Roman"/>
          <w:color w:val="000000" w:themeColor="text1"/>
          <w:sz w:val="16"/>
          <w:szCs w:val="16"/>
        </w:rPr>
        <w:softHyphen/>
        <w:t>вершению эксперимента — все три самолета успешно приземлились на Монинском аэро</w:t>
      </w:r>
      <w:r w:rsidRPr="005E779E">
        <w:rPr>
          <w:rFonts w:ascii="Times New Roman" w:hAnsi="Times New Roman"/>
          <w:color w:val="000000" w:themeColor="text1"/>
          <w:sz w:val="16"/>
          <w:szCs w:val="16"/>
        </w:rPr>
        <w:softHyphen/>
        <w:t>дроме (12295).</w:t>
      </w:r>
    </w:p>
    <w:p w14:paraId="339FFF4F" w14:textId="77777777" w:rsidR="009E3773" w:rsidRPr="005E779E" w:rsidRDefault="009E3773" w:rsidP="000B7A6C">
      <w:pPr>
        <w:spacing w:after="0" w:line="240" w:lineRule="auto"/>
        <w:jc w:val="both"/>
        <w:rPr>
          <w:rFonts w:ascii="Times New Roman" w:hAnsi="Times New Roman"/>
          <w:color w:val="000000" w:themeColor="text1"/>
          <w:sz w:val="16"/>
          <w:szCs w:val="16"/>
        </w:rPr>
      </w:pPr>
    </w:p>
    <w:p w14:paraId="1C123E1C" w14:textId="77777777" w:rsidR="009E3773" w:rsidRPr="005E779E" w:rsidRDefault="009E37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декабря 1931 г. отчет по предварительным испытаниям поступил в НТК Вохиму. По итогам заводских испытаний химизированную танкетку Т-27 признали пригодной для решения основных поставленных перед ней задач.</w:t>
      </w:r>
    </w:p>
    <w:p w14:paraId="02E58BCC" w14:textId="77777777" w:rsidR="009E3773" w:rsidRPr="005E779E" w:rsidRDefault="009E37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Однако не обошлось без потерь. В ходе испытаний Кратиров сжег и порвал свой кожаный реглан. Изобретатель обратился в НТК ВОХИМУ с заявлением, в котором писал: «Т.к. я не имею средств купить себе другую одежду, а в старом командиру Красной Армии неудобно появляться даже на работе, прошу Вашего ходатайства перед соответствующими инстанциями о выдаче мне другого кожаного пальто». Рассмотрев материалы по испытаниям и заявление Кратирова, председатель и управделами НТК ВОХИМУ 14 декабря 1931 г. решили: «Тов. Кратиров по своей инициативе разработал химизированную танкетку, которая при испытании дала </w:t>
      </w:r>
      <w:r w:rsidRPr="005E779E">
        <w:rPr>
          <w:rFonts w:ascii="Times New Roman" w:hAnsi="Times New Roman"/>
          <w:color w:val="000000" w:themeColor="text1"/>
          <w:sz w:val="16"/>
          <w:szCs w:val="16"/>
        </w:rPr>
        <w:lastRenderedPageBreak/>
        <w:t>весьма удовлетворительные результаты и представляется к вводу на вооружение. Для премирования тов. Кратиро-ва отпустить кожаное пальто, стоимость будет НТК Вохиму оплачена» (12253).</w:t>
      </w:r>
    </w:p>
    <w:p w14:paraId="3B30B97F" w14:textId="77777777" w:rsidR="009E3773" w:rsidRPr="005E779E" w:rsidRDefault="009E37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 время испытаний по дымопуску на танкетке были опробованы распылители четырех типов: аппарат «Ганзеатише», К-К, НПЗ-З и аппарат завода «Промет» (аналогичный применяемому на боевой машине БХМ-Форд-Промет). Последний представлял из себя полушаровидную насадку с приемным отверстием диаметром 4 мм, переходящим в щель шириной 2 мм с раствором на выходе 120' и углом выхода смеси 45' к горизонту. Управление дымопуском производилось изнутри машины при помощи тросовой проводки.</w:t>
      </w:r>
    </w:p>
    <w:p w14:paraId="5749134E" w14:textId="77777777" w:rsidR="009E3773" w:rsidRPr="005E779E" w:rsidRDefault="009E37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Устойчивость образуемого маскировочного облака при использовании всех распылителей оказалась практически одинаковой, составив чуть менее 2,5 мин. Отмечалось, что «Промет более рентабелен, т.к. оставляет некоторое количество вещества на земле, продолжающее дымопуск, что выгодно при ходе машины свыше 25 клм. - час.». Правда, из-за измерительных приборов во время испытаний измерение высоты облака производилось грубым наблюдением. Сектор расхождения дымовой завесы при скорости ветра 2—3 м/с при пуске газа с места на дистанции 100 м составлял 50—55 м, на дистанции 200 м от машины был равен 100—110 м, на расстояниях 400 и 600 м — 125—130 м и 130 м соответственно. Далее на дистанции около 700 м облако поднималось вверх.</w:t>
      </w:r>
    </w:p>
    <w:p w14:paraId="297683D5" w14:textId="77777777" w:rsidR="009E3773" w:rsidRPr="005E779E" w:rsidRDefault="009E37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Резервуары наполнялись с помощью мерного ведра и лейки за 14 мин. Давление 5 атм в резервуарах создавалось тремя воздушными баллонами емкостью 0,7 л каждый с давлением 120 атм. Танкетка отправлялась на задание без давления в резервуарах. При дымопуске предварительное давление в 5 атм должно было подаваться перед началом боя с помощью первого баллончика, затем при падении давления до 2,5 атм открывался второй баллончик, а третий баллончик использовался как запасной. В ходе испытаний обнаружилось протекание смеси через выпускные краники из-за их плохой герметизации.</w:t>
      </w:r>
    </w:p>
    <w:p w14:paraId="42AC5CD1" w14:textId="77777777" w:rsidR="009E3773" w:rsidRPr="005E779E" w:rsidRDefault="009E37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Непосредственной опасности экипажу танкетки при работе с дымосмесью 5-1У не было, так как элементы системы газопуска располагались снаружи машины. На случай возможного попадания газов в машину имелись противогазы (12253).</w:t>
      </w:r>
    </w:p>
    <w:p w14:paraId="6971A0FB" w14:textId="77777777" w:rsidR="009E3773" w:rsidRPr="005E779E" w:rsidRDefault="009E3773" w:rsidP="000B7A6C">
      <w:pPr>
        <w:spacing w:after="0" w:line="240" w:lineRule="auto"/>
        <w:jc w:val="both"/>
        <w:rPr>
          <w:rFonts w:ascii="Times New Roman" w:hAnsi="Times New Roman"/>
          <w:color w:val="000000" w:themeColor="text1"/>
          <w:sz w:val="16"/>
          <w:szCs w:val="16"/>
        </w:rPr>
      </w:pPr>
    </w:p>
    <w:p w14:paraId="675ED53D" w14:textId="77777777" w:rsidR="0098310F" w:rsidRPr="00142305" w:rsidRDefault="0098310F" w:rsidP="0098310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 декабря 1931 г. в НТК Вохиму поступил отчет по предварительным испытаниям танкетки Т-27с огнеметом. По итогам заводских испытаний химизированную танкетку Т-27 признали пригодной для решения основных поставленных перед ней задач.</w:t>
      </w:r>
    </w:p>
    <w:p w14:paraId="3C2785F6" w14:textId="77777777" w:rsidR="0098310F" w:rsidRPr="00142305" w:rsidRDefault="0098310F" w:rsidP="0098310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ходе испытании химизированной танкетки на ЦВХП следовало проверить работу дымовых и огнеметных приборов на предмет надежности, безопасности и эффективности. На машине, поступившей на испытания, два резервуара для химических веществ (емкостью 18 л каждый) были установлены открыто в задней части машины и соединены трубопроводами с огнеметом и агрегатами дымопуска. Интересно, что при доработке танкетки использовалось только доступное оборудование. Во время испытаний по дымопуску на танкетке были опробованы распылители четырех типов: аппарат «Ганзеатише», К-К, НПЗ-3 и аппарат завода «Промет» (аналогичный применяемому на боевой машине БХМ-Форд-Промет). Последний представлял из себя полушаровидную насадку с приемным отверстием диаметром 4 мм, переходящим в щель шириной 2 мм с раствором на выходе 120º и углом выхода смеси 45º к горизонту. Управление дымопуском производилось изнутри машины при помощи тросовой проводки.</w:t>
      </w:r>
    </w:p>
    <w:p w14:paraId="534B116C" w14:textId="77777777" w:rsidR="0098310F" w:rsidRPr="00142305" w:rsidRDefault="0098310F" w:rsidP="0098310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Устойчивость образуемого маскировочного облака при использовании всех распылителей оказалась практически одинаковой, составив чуть менее 2,5 мин. Отмечалось, что «Промет более рентабелен, т.к. оставляет некоторое количество вещества на земле, продолжающее дымопуск, что выгодно при ходе машины свыше 25 клм. — час».</w:t>
      </w:r>
    </w:p>
    <w:p w14:paraId="01E83B06" w14:textId="77777777" w:rsidR="0098310F" w:rsidRPr="00142305" w:rsidRDefault="0098310F" w:rsidP="0098310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Правда, из-за измерительных приборов во время испытаний измерение высоты облака производилось грубым наблюдением. Сектор расхождения дымовой завесы при скорости ветра 2—3 м/с при пуске газа с места на дистанции 100 м составлял 50—55 м, на дистанции 200 м от машины был равен 100—110 м, на расстояниях 400 и 600 м — 125—130 м и 130 м соответственно. Далее на дистанции около 700 м облако поднималось вверх.</w:t>
      </w:r>
    </w:p>
    <w:p w14:paraId="452D000A" w14:textId="77777777" w:rsidR="0098310F" w:rsidRPr="00142305" w:rsidRDefault="0098310F" w:rsidP="0098310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учетом выявленных по результатам испытаний достоинств и недостатков были сделаны выводы:</w:t>
      </w:r>
    </w:p>
    <w:p w14:paraId="6A675593" w14:textId="77777777" w:rsidR="0098310F" w:rsidRPr="00142305" w:rsidRDefault="0098310F" w:rsidP="0098310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«Перспективы серийного изготовления.</w:t>
      </w:r>
    </w:p>
    <w:p w14:paraId="194AE65C" w14:textId="77777777" w:rsidR="0098310F" w:rsidRPr="00142305" w:rsidRDefault="0098310F" w:rsidP="0098310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Основной аппаратурой, как-то резервуарами, шлангами, кранами, соответствующие склады ВОХИМУ могут снабдить около 100 шт. машин. Детали могут быть изготовлены на заводах Лен. Отд. Арматреста и Лентремасса.</w:t>
      </w:r>
    </w:p>
    <w:p w14:paraId="697417DC" w14:textId="77777777" w:rsidR="0098310F" w:rsidRPr="00142305" w:rsidRDefault="0098310F" w:rsidP="0098310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Вентиля к воздушным баллончикам типа «Мандетт» может дать завод «Манометр» — Арматреста и наконец сами баллончики — Днепропетровский завод имени Ленина-Петровского. Изготовление и монтаж окончательного типа химическ. установки на Т-27 может быть произведен в условиях работы в мастерских №-ской бригады при 1 токарном станке, 1 сварщике, 2 слесарях и 2 монтажниках в 8-9 дневный срок».</w:t>
      </w:r>
    </w:p>
    <w:p w14:paraId="25C434DB" w14:textId="77777777" w:rsidR="0098310F" w:rsidRPr="00142305" w:rsidRDefault="0098310F" w:rsidP="0098310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Химизированная танкетка после испытаний на полигоне была передана для ремонта в мастерские Мехбригады имени Калиновского, откуда должна была поступить в 1-й батальон. </w:t>
      </w:r>
    </w:p>
    <w:p w14:paraId="732C788B" w14:textId="77777777" w:rsidR="0098310F" w:rsidRPr="00142305" w:rsidRDefault="0098310F" w:rsidP="0098310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ходе испытаний конструктор огнеметов Кратиров сжег и порвал свой кожаный реглан. Изобретатель обратился в НТК ВОХИМУ с заявлением, в котором писал:</w:t>
      </w:r>
    </w:p>
    <w:p w14:paraId="0C19552D" w14:textId="77777777" w:rsidR="0098310F" w:rsidRPr="00142305" w:rsidRDefault="0098310F" w:rsidP="0098310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«Т.к. я не имею средств купить себе другую одежду, а в старом командиру Красной Армии неудобно появляться даже на работе, прошу Вашего ходатайства перед соответствующими инстанциями о выдаче мне другого кожаного пальто».</w:t>
      </w:r>
    </w:p>
    <w:p w14:paraId="42E54962" w14:textId="77777777" w:rsidR="0098310F" w:rsidRPr="00142305" w:rsidRDefault="0098310F" w:rsidP="0098310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Рассмотрев материалы по испытаниям и заявление Кратирова, председатель и управделами НТК ВОХИМУ 14 декабря 1931 г. решили:</w:t>
      </w:r>
    </w:p>
    <w:p w14:paraId="713D0A9E" w14:textId="77777777" w:rsidR="0098310F" w:rsidRPr="00142305" w:rsidRDefault="0098310F" w:rsidP="0098310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«Тов. Кратиров по своей инициативе разработал химизированную танкетку, которая при испытании дала весьма удовлетворительные результаты и представляется к вводу на вооружение. Для премирования тов. Кратирова отпустить кожаное пальто, стоимость будет НТК Вохиму оплачена» (25556).</w:t>
      </w:r>
    </w:p>
    <w:p w14:paraId="4DCD3D51" w14:textId="77777777" w:rsidR="0098310F" w:rsidRPr="00142305" w:rsidRDefault="0098310F" w:rsidP="0098310F">
      <w:pPr>
        <w:spacing w:after="0" w:line="240" w:lineRule="auto"/>
        <w:jc w:val="both"/>
        <w:rPr>
          <w:rFonts w:ascii="Times New Roman" w:hAnsi="Times New Roman"/>
          <w:color w:val="0070C0"/>
          <w:sz w:val="16"/>
          <w:szCs w:val="16"/>
        </w:rPr>
      </w:pPr>
    </w:p>
    <w:p w14:paraId="47399BF8" w14:textId="77777777" w:rsidR="009E3773" w:rsidRPr="005E779E" w:rsidRDefault="009E3773"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3 декабря 1931 </w:t>
      </w:r>
      <w:r w:rsidRPr="005E779E">
        <w:rPr>
          <w:rFonts w:ascii="Times New Roman" w:hAnsi="Times New Roman"/>
          <w:color w:val="000000" w:themeColor="text1"/>
          <w:sz w:val="16"/>
          <w:szCs w:val="16"/>
        </w:rPr>
        <w:t>Комиссия исполнения при СНК приняла постановление «О выполнении директив партии и правительства о развитии инструментальной промышленности» (12265).</w:t>
      </w:r>
    </w:p>
    <w:p w14:paraId="08214A52" w14:textId="77777777" w:rsidR="009E3773" w:rsidRPr="005E779E" w:rsidRDefault="009E37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002CDB5F"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53E88C19"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B538AF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декабря 1931 Вестминстерский устав закрепил равные права британских доминионов Канада, Ньюфаундлен, Австралия, Новая Зеландия, Южная Африка (4962).</w:t>
      </w:r>
    </w:p>
    <w:p w14:paraId="6F067BC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C7193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декабря 1931 начался выпуск средства против тошноты «Алка-Зельцер» (4962).</w:t>
      </w:r>
    </w:p>
    <w:p w14:paraId="7F1E6AE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F814A8" w14:textId="77777777" w:rsidR="000C5145" w:rsidRPr="005E779E" w:rsidRDefault="000C5145" w:rsidP="000B7A6C">
      <w:pPr>
        <w:spacing w:after="0" w:line="240" w:lineRule="auto"/>
        <w:jc w:val="both"/>
        <w:rPr>
          <w:rFonts w:ascii="Times New Roman" w:hAnsi="Times New Roman"/>
          <w:color w:val="000000" w:themeColor="text1"/>
          <w:sz w:val="16"/>
          <w:szCs w:val="16"/>
        </w:rPr>
      </w:pPr>
      <w:r w:rsidRPr="005E779E">
        <w:rPr>
          <w:rStyle w:val="ucoz-forum-post"/>
          <w:rFonts w:ascii="Times New Roman" w:hAnsi="Times New Roman"/>
          <w:bCs/>
          <w:color w:val="000000" w:themeColor="text1"/>
          <w:sz w:val="16"/>
          <w:szCs w:val="16"/>
        </w:rPr>
        <w:t xml:space="preserve">3 декабря </w:t>
      </w:r>
      <w:r w:rsidRPr="005E779E">
        <w:rPr>
          <w:rFonts w:ascii="Times New Roman" w:hAnsi="Times New Roman"/>
          <w:color w:val="000000" w:themeColor="text1"/>
          <w:sz w:val="16"/>
          <w:szCs w:val="16"/>
        </w:rPr>
        <w:t>в 1931 году начался выпуск средства против тошноты "Алка-Зельцер". "Алка-Зельцер" хорошо разрекламирован как антипохмельное средство, известен в народе и продается по цене бутылки дешевой водки. Учитывая все это, разумно считать его решением всех вопросов. Однако, чтобы развеять эти иллюзии, достаточно взглянуть на состав шипучей таблетки: лимонная кислота плюс бикарбонат натрия (для вкуса и "шипения") и аспирин. Так что если "Алка-Зельцера" под рукой не оказалось, то обычный аспирин и раствор пищевой соды (либо любая "щелочная" вода типа "Боржоми" или "Ессентуки") - вполне достойная замена (14849).</w:t>
      </w:r>
    </w:p>
    <w:p w14:paraId="643D4ADE" w14:textId="77777777" w:rsidR="000C5145" w:rsidRPr="005E779E" w:rsidRDefault="000C5145" w:rsidP="000B7A6C">
      <w:pPr>
        <w:spacing w:after="0" w:line="240" w:lineRule="auto"/>
        <w:jc w:val="both"/>
        <w:rPr>
          <w:rFonts w:ascii="Times New Roman" w:hAnsi="Times New Roman"/>
          <w:color w:val="000000" w:themeColor="text1"/>
          <w:sz w:val="16"/>
          <w:szCs w:val="16"/>
        </w:rPr>
      </w:pPr>
    </w:p>
    <w:p w14:paraId="1E6E1EB0"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019BF8F8"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C8E9CAC" w14:textId="77777777" w:rsidR="00E048DE" w:rsidRPr="005E779E" w:rsidRDefault="00E048DE" w:rsidP="000B7A6C">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4 декабря 1931 года, рассмотрев и всесторонне обсудив предложение Алксниса и Туполева по проекту самолета для установления мирового рекорда дальности полета, председатель РВС СССР К.Е. Ворошилов обратился в правительство с докладом о постройке рекордного самолета и об организации дальнего перелета. 7 декабря 1931 года вышло постановление СНК СССР в котором с революционным оптимизмом ставилась задача «об организации летом 1932 года полета на предельную дальность и о постройке для этой цели самолета конструкции А.Н. Туполева АНТ-25 под мотор М-34 с проектной дальностью 13000 км» (21249).</w:t>
      </w:r>
    </w:p>
    <w:p w14:paraId="361D534B" w14:textId="77777777" w:rsidR="00E048DE" w:rsidRPr="005E779E" w:rsidRDefault="00E048DE" w:rsidP="000B7A6C">
      <w:pPr>
        <w:shd w:val="clear" w:color="auto" w:fill="FFFFFF"/>
        <w:spacing w:after="0" w:line="240" w:lineRule="auto"/>
        <w:jc w:val="both"/>
        <w:rPr>
          <w:rFonts w:ascii="Times New Roman" w:hAnsi="Times New Roman"/>
          <w:color w:val="000000" w:themeColor="text1"/>
          <w:sz w:val="16"/>
          <w:szCs w:val="16"/>
          <w:shd w:val="clear" w:color="auto" w:fill="FFFFFF"/>
        </w:rPr>
      </w:pPr>
    </w:p>
    <w:p w14:paraId="13950671" w14:textId="77777777" w:rsidR="0098310F" w:rsidRPr="00142305" w:rsidRDefault="0098310F" w:rsidP="0098310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4 де</w:t>
      </w:r>
      <w:r w:rsidRPr="00142305">
        <w:rPr>
          <w:rFonts w:ascii="Times New Roman" w:hAnsi="Times New Roman"/>
          <w:color w:val="0070C0"/>
          <w:sz w:val="16"/>
          <w:szCs w:val="16"/>
        </w:rPr>
        <w:softHyphen/>
        <w:t>кабря 1931 г. в постановлении РВС говорилось: «Признать необходи</w:t>
      </w:r>
      <w:r w:rsidRPr="00142305">
        <w:rPr>
          <w:rFonts w:ascii="Times New Roman" w:hAnsi="Times New Roman"/>
          <w:color w:val="0070C0"/>
          <w:sz w:val="16"/>
          <w:szCs w:val="16"/>
        </w:rPr>
        <w:softHyphen/>
        <w:t>мым организовать летом 1932 года (не позже августа месяца) полет на дальность 13 тыс. км на самолете и моторе советс</w:t>
      </w:r>
      <w:r w:rsidRPr="00142305">
        <w:rPr>
          <w:rFonts w:ascii="Times New Roman" w:hAnsi="Times New Roman"/>
          <w:color w:val="0070C0"/>
          <w:sz w:val="16"/>
          <w:szCs w:val="16"/>
        </w:rPr>
        <w:softHyphen/>
        <w:t>кой конструкции и производства». Этим же документом утверждалась постройка в двух экземплярах специального самолета, оснащенного усовершенствованным дви</w:t>
      </w:r>
      <w:r w:rsidRPr="00142305">
        <w:rPr>
          <w:rFonts w:ascii="Times New Roman" w:hAnsi="Times New Roman"/>
          <w:color w:val="0070C0"/>
          <w:sz w:val="16"/>
          <w:szCs w:val="16"/>
        </w:rPr>
        <w:softHyphen/>
        <w:t>гателем М-34Р с редуктором. Подготовка будущих перелетов возлагалась на ВВС, а изготовление машин - на ВАС.</w:t>
      </w:r>
    </w:p>
    <w:p w14:paraId="5724DF5C" w14:textId="77777777" w:rsidR="0098310F" w:rsidRPr="00142305" w:rsidRDefault="0098310F" w:rsidP="0098310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5 декабря 1931 г. заместитель наркома по военным и морским делам (он же заместитель председателя РВС) Я.Б. Гамарник обратился в Комитет обо</w:t>
      </w:r>
      <w:r w:rsidRPr="00142305">
        <w:rPr>
          <w:rFonts w:ascii="Times New Roman" w:hAnsi="Times New Roman"/>
          <w:color w:val="0070C0"/>
          <w:sz w:val="16"/>
          <w:szCs w:val="16"/>
        </w:rPr>
        <w:softHyphen/>
        <w:t>роны с докладом. В нем сообщалось при</w:t>
      </w:r>
      <w:r w:rsidRPr="00142305">
        <w:rPr>
          <w:rFonts w:ascii="Times New Roman" w:hAnsi="Times New Roman"/>
          <w:color w:val="0070C0"/>
          <w:sz w:val="16"/>
          <w:szCs w:val="16"/>
        </w:rPr>
        <w:softHyphen/>
        <w:t>мерно то же самое, что и в предыдущих документах, но упоминались расчетная дальность - 12 000 км и практическая - 10 000 км. Гамарника поддержал нарком К.Е. Ворошилов (24946).</w:t>
      </w:r>
    </w:p>
    <w:p w14:paraId="3C99C31C" w14:textId="77777777" w:rsidR="0098310F" w:rsidRPr="00142305" w:rsidRDefault="0098310F" w:rsidP="0098310F">
      <w:pPr>
        <w:spacing w:after="0" w:line="240" w:lineRule="auto"/>
        <w:jc w:val="both"/>
        <w:rPr>
          <w:rFonts w:ascii="Times New Roman" w:hAnsi="Times New Roman"/>
          <w:color w:val="0070C0"/>
          <w:sz w:val="16"/>
          <w:szCs w:val="16"/>
        </w:rPr>
      </w:pPr>
    </w:p>
    <w:p w14:paraId="57AAE9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декабря 1931 года зам. Наркомвоенмора и председатель РВС Гамарник писал письмо N 02340 Сталину и Молотову.</w:t>
      </w:r>
    </w:p>
    <w:p w14:paraId="52DE27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связи с созданием нашего нового советского мотора М-34 мощностью в 750-900 л.с., показавшего на гос. испытаниях небывалую экономичность в расходе горючего (в среднем 202 грамма против 222-230 грамм на силу-час наиболее экономичных современных заграничных авиационных бензиновых двигателей) начальник ВВС Алкснис и гл. конструктор ЦАГИ Туполев предварительно проработали и внесли на утверждение Реввоенсовета предложение об организации в 1932 году полета на предельную дальность.</w:t>
      </w:r>
    </w:p>
    <w:p w14:paraId="2FA814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этой цели они предложили построить в ЦАГИ в 2-х экз. специальный одномоторный рекордный самолет по проекту Туполева (АНТ-25) под наш новый мотор М-34 с редуктором.</w:t>
      </w:r>
    </w:p>
    <w:p w14:paraId="5E3754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расчетам ЦАГИ этот самолет будет иметь:</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1002C3" w:rsidRPr="005E779E" w14:paraId="00760306" w14:textId="77777777">
        <w:tc>
          <w:tcPr>
            <w:tcW w:w="5636" w:type="dxa"/>
          </w:tcPr>
          <w:p w14:paraId="0BA76B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Полетный вес при взлете</w:t>
            </w:r>
          </w:p>
        </w:tc>
        <w:tc>
          <w:tcPr>
            <w:tcW w:w="5636" w:type="dxa"/>
          </w:tcPr>
          <w:p w14:paraId="30E5F1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10000 кг</w:t>
            </w:r>
          </w:p>
        </w:tc>
      </w:tr>
      <w:tr w:rsidR="001002C3" w:rsidRPr="005E779E" w14:paraId="617683F9" w14:textId="77777777">
        <w:tc>
          <w:tcPr>
            <w:tcW w:w="5636" w:type="dxa"/>
          </w:tcPr>
          <w:p w14:paraId="4A5EA9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Продолжительность полета без посадки</w:t>
            </w:r>
          </w:p>
        </w:tc>
        <w:tc>
          <w:tcPr>
            <w:tcW w:w="5636" w:type="dxa"/>
          </w:tcPr>
          <w:p w14:paraId="2CAC1A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80 час.</w:t>
            </w:r>
          </w:p>
        </w:tc>
      </w:tr>
      <w:tr w:rsidR="001002C3" w:rsidRPr="005E779E" w14:paraId="47FF8CE3" w14:textId="77777777">
        <w:tc>
          <w:tcPr>
            <w:tcW w:w="5636" w:type="dxa"/>
          </w:tcPr>
          <w:p w14:paraId="1AB1D9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Горизонтальная скорость:</w:t>
            </w:r>
          </w:p>
        </w:tc>
        <w:tc>
          <w:tcPr>
            <w:tcW w:w="5636" w:type="dxa"/>
          </w:tcPr>
          <w:p w14:paraId="33E089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722891B4" w14:textId="77777777">
        <w:tc>
          <w:tcPr>
            <w:tcW w:w="5636" w:type="dxa"/>
          </w:tcPr>
          <w:p w14:paraId="31CCB2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в начале полета</w:t>
            </w:r>
          </w:p>
        </w:tc>
        <w:tc>
          <w:tcPr>
            <w:tcW w:w="5636" w:type="dxa"/>
          </w:tcPr>
          <w:p w14:paraId="14E361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188 км/час</w:t>
            </w:r>
          </w:p>
        </w:tc>
      </w:tr>
      <w:tr w:rsidR="001002C3" w:rsidRPr="005E779E" w14:paraId="4567C2E0" w14:textId="77777777">
        <w:tc>
          <w:tcPr>
            <w:tcW w:w="5636" w:type="dxa"/>
          </w:tcPr>
          <w:p w14:paraId="196A99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в конце полета</w:t>
            </w:r>
          </w:p>
        </w:tc>
        <w:tc>
          <w:tcPr>
            <w:tcW w:w="5636" w:type="dxa"/>
          </w:tcPr>
          <w:p w14:paraId="29949D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128 км/час</w:t>
            </w:r>
          </w:p>
        </w:tc>
      </w:tr>
      <w:tr w:rsidR="001002C3" w:rsidRPr="005E779E" w14:paraId="2AE647A6" w14:textId="77777777">
        <w:tc>
          <w:tcPr>
            <w:tcW w:w="5636" w:type="dxa"/>
          </w:tcPr>
          <w:p w14:paraId="38ABDD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Дальность полета:</w:t>
            </w:r>
          </w:p>
        </w:tc>
        <w:tc>
          <w:tcPr>
            <w:tcW w:w="5636" w:type="dxa"/>
          </w:tcPr>
          <w:p w14:paraId="34548E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58DDD8D7" w14:textId="77777777">
        <w:tc>
          <w:tcPr>
            <w:tcW w:w="5636" w:type="dxa"/>
          </w:tcPr>
          <w:p w14:paraId="5F5778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теоретическая (расчетная)</w:t>
            </w:r>
          </w:p>
        </w:tc>
        <w:tc>
          <w:tcPr>
            <w:tcW w:w="5636" w:type="dxa"/>
          </w:tcPr>
          <w:p w14:paraId="39AA64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12000 км</w:t>
            </w:r>
          </w:p>
        </w:tc>
      </w:tr>
      <w:tr w:rsidR="001002C3" w:rsidRPr="005E779E" w14:paraId="5E342D71" w14:textId="77777777">
        <w:tc>
          <w:tcPr>
            <w:tcW w:w="5636" w:type="dxa"/>
          </w:tcPr>
          <w:p w14:paraId="51D48A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практическая</w:t>
            </w:r>
          </w:p>
        </w:tc>
        <w:tc>
          <w:tcPr>
            <w:tcW w:w="5636" w:type="dxa"/>
          </w:tcPr>
          <w:p w14:paraId="61C85A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10000 км</w:t>
            </w:r>
          </w:p>
        </w:tc>
      </w:tr>
      <w:tr w:rsidR="001002C3" w:rsidRPr="005E779E" w14:paraId="0A826DAC" w14:textId="77777777">
        <w:tc>
          <w:tcPr>
            <w:tcW w:w="5636" w:type="dxa"/>
          </w:tcPr>
          <w:p w14:paraId="12C03E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Экипаж самолета</w:t>
            </w:r>
          </w:p>
        </w:tc>
        <w:tc>
          <w:tcPr>
            <w:tcW w:w="5636" w:type="dxa"/>
          </w:tcPr>
          <w:p w14:paraId="741CA8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чел.</w:t>
            </w:r>
          </w:p>
        </w:tc>
      </w:tr>
    </w:tbl>
    <w:p w14:paraId="48B621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Туполев, вызванный нами вчера на заседание РВС настаивал, чтобы РВС пока определил дальность полета проектируемого АНТ-25 в 9-10 тыс. км. Реввоенсовет все же решил определить дальность полета в 13000 км (3531,2-3).</w:t>
      </w:r>
    </w:p>
    <w:p w14:paraId="0E359F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A3C20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декабря 1931 года зам. наркомвоенмора и председатель РВС Гамарник писал письмо № 02340 в Комиссию обороны Сталину, Молотову</w:t>
      </w:r>
    </w:p>
    <w:p w14:paraId="2FBB32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связи с созданием нашего нового советского мотора М-34 мощностью в 750-900 л.с., показавшего на госиспытаниях небывалую экономичность в расходе горючего (в среднем 202 грамма против 222-230 грамм на силу-час наиболее экономичных современных заграничных авиационных бензиновых двигателей), начальник ВВС Алкснис и гл. конструктор ЦАГИ А.Н. Туполев предварительно проработали и внесли на утверждение Реввоенсовета Союза предложение об организации в 1932 году полета на предельную дальность.</w:t>
      </w:r>
    </w:p>
    <w:p w14:paraId="3B7FA7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этой цели они предложили построить в ЦАГИ в двух экземплярах специальный одномоторный рекордный самолет по проекту А.Н. Туполева (АНТ-25) под наш новый мотор М-34 с редуктором.</w:t>
      </w:r>
    </w:p>
    <w:p w14:paraId="2B5764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расчетам ЦАГИ этот самолет будет иметь:</w:t>
      </w:r>
    </w:p>
    <w:p w14:paraId="52B3E0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Полетный вес при взлете – 10000 кг</w:t>
      </w:r>
    </w:p>
    <w:p w14:paraId="59BA0A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Продолжительность полета без посадки – 80 часов</w:t>
      </w:r>
    </w:p>
    <w:p w14:paraId="513231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Горизонтальная скорость:</w:t>
      </w:r>
    </w:p>
    <w:p w14:paraId="0DA233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в начале полета – 188 км/час</w:t>
      </w:r>
    </w:p>
    <w:p w14:paraId="22B0B8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в конце полета – 128 км/час</w:t>
      </w:r>
    </w:p>
    <w:p w14:paraId="70B3B5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Дальность полета:</w:t>
      </w:r>
    </w:p>
    <w:p w14:paraId="39370E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теоретическая (расчетная) – 12000 км</w:t>
      </w:r>
    </w:p>
    <w:p w14:paraId="103006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практическая – 10000 км</w:t>
      </w:r>
    </w:p>
    <w:p w14:paraId="1D8351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Экипаж самолета – 3 человека</w:t>
      </w:r>
    </w:p>
    <w:p w14:paraId="51D0FA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Мировые рекорды, установленные в 1931 году на предельную дальность и продолжительность полета без посадки и без пополнения горючим в воздухе следующие:</w:t>
      </w:r>
    </w:p>
    <w:p w14:paraId="592EF8A0"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кругу над аэродромом французским летчиками Дорэ и Лебри на специальном рекордном самолете Девуатин-33 под мотор Испано 650 л.с. 7-10 июня 1931 года – 70 часов 11 минут, что при средней полученной ими скорости 150 км/час должно было составить по прямой около 10500 км (без учета ветра и пути).</w:t>
      </w:r>
    </w:p>
    <w:p w14:paraId="7A04EA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Дважды предпринятый этими же летчиками в этом году полет по прямой на предельную дальность на том же самолете из Парижа на Восток через территорию СССР, как Вы помните, кончился авариями: 1-й раз в районе Иркутска, 2-й раз в районе Уфы из-за отказа мотора.</w:t>
      </w:r>
    </w:p>
    <w:p w14:paraId="29983782"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прямой из Нью-Йорка в Стамбул 28-30 июля 1931 года американскими летчиками Бортманом и Поландо на специально приспособленном самолете Белланка с мотором Уосп 450 л.с. при средней путевой скорости 175 км/час – 8065 км, оставив тем самым позади рекорд на предельную дальность, установленный летчиком Кост в сентябре 1929 года на самолете Бреге-19 "Супербидон" с мотором Испано 760 л.с., покрывшим 7905 км при перелете через СССР из Парижа в Цицикар.</w:t>
      </w:r>
    </w:p>
    <w:p w14:paraId="4F963F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Туполев, вызванный нами вчера на заседание РВС, настаивал, чтобы РВСС пока определил дальность полета проектируемого АНТ-25 в 9-10000 км. Реввоенсовет все же решил определить дальность полета в 13000 км.</w:t>
      </w:r>
    </w:p>
    <w:p w14:paraId="52120A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Прилагая при сем постановление РВСС, прошу рассмотреть этот вопрос на заседании КО 7 декабря 1931 года.</w:t>
      </w:r>
    </w:p>
    <w:p w14:paraId="1921F7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Приложение: упомянутое (7432, 8-9).</w:t>
      </w:r>
    </w:p>
    <w:p w14:paraId="471827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4A96E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декабря 1931 г. Народный комиссар обороны К.Е.Ворошилов обратился в Правительство со следующим докладом:</w:t>
      </w:r>
    </w:p>
    <w:p w14:paraId="72FD11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связи с созданием нашего нового советского мотора М-34 мощностью 750-900 л.е., показавшего на государственных испытаниях небывалую экономичность в расходе горючего (в среднем 202 грамма против 222-230 г/л.с./час у наиболее экономичных современных заграничных авиационных бензиновых двигателей), Начальник ВВС РККА т. Алкснис и главный конструктор ЦАГИ А.Н.Туполев предварительно проработали и внесли на утверждение РВС Союза предложение об организации в 1932 г. полета на предельную дальность".</w:t>
      </w:r>
    </w:p>
    <w:p w14:paraId="718E87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Предложение утвердили, после чего конструкторский отдел ЦАГИ получил задание построить в 2-х экземплярах специальный одномоторный рекордный самолет АНТ-25 с редук- торным двигателем М-34.</w:t>
      </w:r>
    </w:p>
    <w:p w14:paraId="040162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расчетам ЦАГИ самолет с экипажем из трех человек должен был обладать следующими характеристиками:</w:t>
      </w:r>
    </w:p>
    <w:p w14:paraId="4437DB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Полетный вес при взлете (кг) </w:t>
      </w:r>
      <w:r w:rsidRPr="005E779E">
        <w:rPr>
          <w:rFonts w:ascii="Times New Roman" w:hAnsi="Times New Roman"/>
          <w:color w:val="000000" w:themeColor="text1"/>
          <w:sz w:val="16"/>
          <w:szCs w:val="16"/>
        </w:rPr>
        <w:tab/>
        <w:t>10000</w:t>
      </w:r>
    </w:p>
    <w:p w14:paraId="2DEE16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Продолжительность полета</w:t>
      </w:r>
    </w:p>
    <w:p w14:paraId="21D481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без посадки (час)</w:t>
      </w:r>
      <w:r w:rsidRPr="005E779E">
        <w:rPr>
          <w:rFonts w:ascii="Times New Roman" w:hAnsi="Times New Roman"/>
          <w:color w:val="000000" w:themeColor="text1"/>
          <w:sz w:val="16"/>
          <w:szCs w:val="16"/>
        </w:rPr>
        <w:tab/>
        <w:t>80</w:t>
      </w:r>
    </w:p>
    <w:p w14:paraId="707ADE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Скорости полета (км/ч)</w:t>
      </w:r>
      <w:r w:rsidRPr="005E779E">
        <w:rPr>
          <w:rFonts w:ascii="Times New Roman" w:hAnsi="Times New Roman"/>
          <w:color w:val="000000" w:themeColor="text1"/>
          <w:sz w:val="16"/>
          <w:szCs w:val="16"/>
        </w:rPr>
        <w:tab/>
        <w:t>128-188</w:t>
      </w:r>
    </w:p>
    <w:p w14:paraId="34B9C4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Дальность полета расчетная (км) </w:t>
      </w:r>
      <w:r w:rsidRPr="005E779E">
        <w:rPr>
          <w:rFonts w:ascii="Times New Roman" w:hAnsi="Times New Roman"/>
          <w:color w:val="000000" w:themeColor="text1"/>
          <w:sz w:val="16"/>
          <w:szCs w:val="16"/>
        </w:rPr>
        <w:tab/>
        <w:t>12000</w:t>
      </w:r>
    </w:p>
    <w:p w14:paraId="55A9FD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Дальность полета</w:t>
      </w:r>
    </w:p>
    <w:p w14:paraId="758215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практическая (км) </w:t>
      </w:r>
      <w:r w:rsidRPr="005E779E">
        <w:rPr>
          <w:rFonts w:ascii="Times New Roman" w:hAnsi="Times New Roman"/>
          <w:color w:val="000000" w:themeColor="text1"/>
          <w:sz w:val="16"/>
          <w:szCs w:val="16"/>
        </w:rPr>
        <w:tab/>
        <w:t>10000</w:t>
      </w:r>
    </w:p>
    <w:p w14:paraId="1A7CBE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ходе обсуждения технических характеристик Туполев настаивал на реальном значении максимальной дальности 9000 км. Однако такая цифра не могла удовлетворить амбиции высшего руководства, в котором считали, что самолеты, способные преодолеть 10 тысяч километров без посадки, в Европе уже имеются. Именно поэтому на заседании Реввоенсовета максимальную дальность полета, которую требовалось получить, определили в 13000 км.</w:t>
      </w:r>
    </w:p>
    <w:p w14:paraId="3EAEC8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Задуманный самолет во всех последующих документах, за немногими исключениями, обозначался как РД - "Рекорд Дальности", его проектирование вела конструкторская бригада под руководством П.О.Сухого (11940).</w:t>
      </w:r>
    </w:p>
    <w:p w14:paraId="526026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DB147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декабря 1931 состоялся первый полет на ЦА самолета-звена В.С.Вахмистрова из ТБ-1 и 4хИ-4 (АНТ-5) на плоскостях (2668).</w:t>
      </w:r>
    </w:p>
    <w:p w14:paraId="251D4F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076562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декабря 1931 г. был выполнен первый полет на ЦА им. М.В.Фрунзе самолета-"звена" В.С.Вахмистрова: бомбардировщик ТБ-1 с двумя истребителями И-4 (АНТ-5) на плоскостях (6395).</w:t>
      </w:r>
    </w:p>
    <w:p w14:paraId="06D381A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212D0B" w14:textId="77777777" w:rsidR="000C5145" w:rsidRPr="005E779E" w:rsidRDefault="000C5145" w:rsidP="000B7A6C">
      <w:pPr>
        <w:spacing w:after="0" w:line="240" w:lineRule="auto"/>
        <w:jc w:val="both"/>
        <w:rPr>
          <w:rFonts w:ascii="Times New Roman" w:hAnsi="Times New Roman"/>
          <w:color w:val="000000" w:themeColor="text1"/>
          <w:sz w:val="16"/>
          <w:szCs w:val="16"/>
        </w:rPr>
      </w:pPr>
      <w:r w:rsidRPr="005E779E">
        <w:rPr>
          <w:rStyle w:val="ucoz-forum-post"/>
          <w:rFonts w:ascii="Times New Roman" w:hAnsi="Times New Roman"/>
          <w:bCs/>
          <w:color w:val="000000" w:themeColor="text1"/>
          <w:sz w:val="16"/>
          <w:szCs w:val="16"/>
        </w:rPr>
        <w:t xml:space="preserve">4 декабря </w:t>
      </w:r>
      <w:r w:rsidRPr="005E779E">
        <w:rPr>
          <w:rFonts w:ascii="Times New Roman" w:hAnsi="Times New Roman"/>
          <w:color w:val="000000" w:themeColor="text1"/>
          <w:sz w:val="16"/>
          <w:szCs w:val="16"/>
        </w:rPr>
        <w:t>в 1931 году первый полет самолета-"звена" В.С.Вахмистрова: бомбардировщик «ТБ-1» (А.И.Залевский, В.С.Вахмистров) с двумя истребителями «И-4» («АНТ-5») на плоскостях (В.П.Чкалов, А.Ф.Анисимов)</w:t>
      </w:r>
    </w:p>
    <w:p w14:paraId="42C9EF3D" w14:textId="77777777" w:rsidR="000C5145" w:rsidRPr="005E779E" w:rsidRDefault="000C5145" w:rsidP="000B7A6C">
      <w:pPr>
        <w:spacing w:after="0" w:line="240" w:lineRule="auto"/>
        <w:jc w:val="both"/>
        <w:rPr>
          <w:rFonts w:ascii="Times New Roman" w:hAnsi="Times New Roman"/>
          <w:color w:val="000000" w:themeColor="text1"/>
          <w:sz w:val="16"/>
          <w:szCs w:val="16"/>
        </w:rPr>
      </w:pPr>
    </w:p>
    <w:p w14:paraId="57EBD4E5"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0D5337F3"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C9628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декабря 1931 года АУ выдало заводу № 8 опытный заказ на изготовление одного 45-мм ствола для наложения на лафет 37-мм ПТП обр. 1930 г. Сам лафет должен быть взят из валовой партии. Срок выполнения заказа 1 марта 1932 года. Для 45-мм пушки была изготовлена новая труба. Кожух был сделан из поковки 37-мм пушки. Поковка оказалась коротка, и потребовался дополнительный надульник. Серийные пушки изготавливались уже без надульника. Казенник такой же, как и у 37-мм ПТП. Клиновой затвор взят также от 37-мм ПТП, только пришлось увеличить лоток - вырез для заряжания. Затвор по прежнему был горизонтальным. В лафете был произведен ряд изменений:</w:t>
      </w:r>
    </w:p>
    <w:p w14:paraId="37909B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Удлинены шток и цилиндр тормоза отката.</w:t>
      </w:r>
    </w:p>
    <w:p w14:paraId="419CAE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Люлька удлинена и сварена из двух кусков. У заднего среза люльки снизу подвешен груз 6,65 кг для уравновешивания качающейся части. В дальнейшем цапфы будут перенесены вперед и надобность в грузе отпадет.</w:t>
      </w:r>
    </w:p>
    <w:p w14:paraId="32EE09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Станины удлинены на 300 мм.</w:t>
      </w:r>
    </w:p>
    <w:p w14:paraId="70E179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Щит взят без изменений, только увеличено окно (3861).</w:t>
      </w:r>
    </w:p>
    <w:p w14:paraId="14F672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03CBA17" w14:textId="77777777" w:rsidR="000674C1" w:rsidRPr="005E779E" w:rsidRDefault="000674C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4 декабря 1931 г. председатель 2-й секции НТК УММ РККА В.Д. Свиридов с препроводительным письмом № 9031309 направил директору завода «Большевик» опытный заказ № Ц09031309 на изготовление опытного образца дизеля ПГЕ. Согласно этому документу, завод «Большевик» должен был изготовить и предъявить заказчику опытный образец танкового дизеля в марте 1932 г., при этом стоимость заказа ориентировочно была определена в сумме 100.000 рублей (24856).</w:t>
      </w:r>
    </w:p>
    <w:p w14:paraId="24BBCC10" w14:textId="77777777" w:rsidR="000674C1" w:rsidRPr="005E779E" w:rsidRDefault="000674C1" w:rsidP="000B7A6C">
      <w:pPr>
        <w:spacing w:after="0" w:line="240" w:lineRule="auto"/>
        <w:jc w:val="both"/>
        <w:rPr>
          <w:rFonts w:ascii="Times New Roman" w:hAnsi="Times New Roman"/>
          <w:color w:val="000000" w:themeColor="text1"/>
          <w:sz w:val="16"/>
          <w:szCs w:val="16"/>
        </w:rPr>
      </w:pPr>
    </w:p>
    <w:p w14:paraId="4D8FE2E9" w14:textId="77777777" w:rsidR="009E3773" w:rsidRPr="005E779E" w:rsidRDefault="009E3773"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4 декабря 1931 </w:t>
      </w:r>
      <w:r w:rsidRPr="005E779E">
        <w:rPr>
          <w:rFonts w:ascii="Times New Roman" w:hAnsi="Times New Roman"/>
          <w:color w:val="000000" w:themeColor="text1"/>
          <w:sz w:val="16"/>
          <w:szCs w:val="16"/>
        </w:rPr>
        <w:t>Политбюро ЦК ВКП (б) одобрило директивы по народнохозяйственному плану на 1932 г (12265).</w:t>
      </w:r>
    </w:p>
    <w:p w14:paraId="2400EA66" w14:textId="77777777" w:rsidR="009E3773" w:rsidRPr="005E779E" w:rsidRDefault="009E37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02FBBD12" w14:textId="77777777" w:rsidR="00E048DE" w:rsidRPr="005E779E" w:rsidRDefault="00E048DE"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4 декабря 1931Председатель СО Госплана Мехоношин "с полной определенностью" докладывал руководству Госплана, что "мобвариант № 10 к весне 1932 г. обеспечен не будет". "При энергичном и умелом проведении такой работы", заявлял Мехоношин, остается надежда "обеспечить производственные мощности промышленности на уровне варианта "МВ-10" к началу 1933 года". В этом случае "выполнение ряда постановлений Правительства будет отсрочено": артиллерийские заводы и к 1933 г. не достигнут заданных мощностей; авиапромышленность сможет дать не более 30 тыс. моторов и 10 тыс. самолетов (вместо предписанных 37 тыс. и 12,5 тыс. соответственно); "не будет на Урале броневой базы и мощностей на 8 тыс. танков сопровождения; не обеспечены моторы для средних танков"; "отставание по иприту, фосфору, цианистым солям и синильной кислоте" (Доклад Председателя СО Госплана СССР Мехоношина Председателю Госплана СССР Куйбышеву, 4.12.1931 // РГАЭ.Ф.4372.0п.91.Д 1272. Л. 10-18. T STONE D. Hammer and Rifle. P. 181-182.) (22725).</w:t>
      </w:r>
    </w:p>
    <w:p w14:paraId="0E911FE1" w14:textId="77777777" w:rsidR="00E048DE" w:rsidRPr="005E779E" w:rsidRDefault="00E048DE" w:rsidP="000B7A6C">
      <w:pPr>
        <w:spacing w:after="0" w:line="240" w:lineRule="auto"/>
        <w:jc w:val="both"/>
        <w:rPr>
          <w:rFonts w:ascii="Times New Roman" w:hAnsi="Times New Roman"/>
          <w:color w:val="000000" w:themeColor="text1"/>
          <w:sz w:val="16"/>
          <w:szCs w:val="16"/>
        </w:rPr>
      </w:pPr>
    </w:p>
    <w:p w14:paraId="522D1828"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27048CDA"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49C44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4 и 10 декабря 1931. Из протокола заседания Политбюро № 79, 1931 г.</w:t>
      </w:r>
    </w:p>
    <w:p w14:paraId="29F399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Об охране электростанций и заводов </w:t>
      </w:r>
    </w:p>
    <w:p w14:paraId="01588C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Констатируя, что на промышленных предприятиях дело охраны, как наружной, так и внутренней, поставлено неудовлетворительно, ЦК обязывает ВСНХ, НКПС, НКСнаб и органы ОГПУ (к которым перешла военизированная охрана) организовать охрану предприятий таким образом, чтобы в первую очередь устранить такие вопиющие недостатки, как пропуск на заводы непроверенных людей, лиц, не имеющих к ним отношения, хождение из цеха в цех без деловой необходимости, самовольное распоряжение соответствующей аппаратурой, допуск к агрегатам рабочих, не имеющих к ним никакого отношения, самовольное демонстрирование производственных процессов отдельными рабочими своим друзьям, приятелям, что зачастую приводит к авариям, к порче и остановке станков. Основное внимание должно быть обращено на борьбу, выявление и преду</w:t>
      </w:r>
      <w:r w:rsidRPr="005E779E">
        <w:rPr>
          <w:rFonts w:ascii="Times New Roman" w:hAnsi="Times New Roman"/>
          <w:color w:val="000000" w:themeColor="text1"/>
          <w:sz w:val="16"/>
          <w:szCs w:val="16"/>
        </w:rPr>
        <w:softHyphen/>
        <w:t xml:space="preserve">преждение повреждения агрегатов и машин и т. д. </w:t>
      </w:r>
    </w:p>
    <w:p w14:paraId="3D029A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 Осуществление вышеуказанных задач требует: </w:t>
      </w:r>
    </w:p>
    <w:p w14:paraId="27F3EC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 улучшения и постановки на должную высоту караульной службы наружной охраны предприятий; б) разработки точных и строгих правил внутреннего распорядка, в том числе обязанностей рабочих в отношении к машинам, агрегатам, специального технического надзора предупредительного ремонта во избежание аварий, а также обучение рабочих обращению с машинами; в) изменение порядка допуска на предприятия и в цеха; г) улучшение проверки личного состава и контроля при приеме на важнейшие предприятия и стройки; д) улучшение дела противопожарной охраны. </w:t>
      </w:r>
    </w:p>
    <w:p w14:paraId="53B6B6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Все предприятия должны быть разделены на несколько категорий по степени своей важности. В первую категорию должны быть выделены важнейшие электростанции и линии передачи, военные заводы, крупнейшие водопроводы и крупнейшие транспортные узлы, важнейшие предприятия основных отраслей промышленности. Обязать ОГПУ совместно с соответствующими хозяйственными органами в 2-недельный срок составить список предприятий 1-й категории (11652).</w:t>
      </w:r>
    </w:p>
    <w:p w14:paraId="237611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39456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декабря 1931 г. СНК СССР возлагает на войска ОГПУ охрану и оборону железнодорожных объектов (10303).</w:t>
      </w:r>
    </w:p>
    <w:p w14:paraId="6CD120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DC768D1" w14:textId="77777777" w:rsidR="000F17FB" w:rsidRPr="005E779E" w:rsidRDefault="000F17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декабря 1931 Г. Бокис докладывал заместителю наркома по военным и морским делам Н. Тухачевскому о ходе работ в КБ Дыренкова, среди которых фигурировала и Д-37: </w:t>
      </w:r>
    </w:p>
    <w:p w14:paraId="560CE886" w14:textId="77777777" w:rsidR="000F17FB" w:rsidRPr="005E779E" w:rsidRDefault="000F17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Д-37 - бронедрезина с мотором Форд-АА, срок изготовления 15 ноября. Состояние работ - первый опытный образец находится в сборке и будет готов в середине января </w:t>
      </w:r>
    </w:p>
    <w:p w14:paraId="48414B46" w14:textId="77777777" w:rsidR="000F17FB" w:rsidRPr="005E779E" w:rsidRDefault="000F17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1932 года. Рабочих чертежей не имеется» (18626).</w:t>
      </w:r>
    </w:p>
    <w:p w14:paraId="0BF19A2B" w14:textId="77777777" w:rsidR="000F17FB" w:rsidRPr="005E779E" w:rsidRDefault="000F17FB" w:rsidP="000B7A6C">
      <w:pPr>
        <w:spacing w:after="0" w:line="240" w:lineRule="auto"/>
        <w:jc w:val="both"/>
        <w:rPr>
          <w:rFonts w:ascii="Times New Roman" w:hAnsi="Times New Roman"/>
          <w:color w:val="000000" w:themeColor="text1"/>
          <w:sz w:val="16"/>
          <w:szCs w:val="16"/>
        </w:rPr>
      </w:pPr>
    </w:p>
    <w:p w14:paraId="4EB420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4 и 10 декабря 1931. Из протокола заседания Политбюро № 79, 1931 г.</w:t>
      </w:r>
    </w:p>
    <w:p w14:paraId="6F3CFC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Телеграмма тов. Певзняка от 4 декабря 1931 г. </w:t>
      </w:r>
    </w:p>
    <w:p w14:paraId="11AA5D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Согласиться со следующим постановлением бюро Якутского обкома: "За отсутствием всякого частного рынка в северных туземных районах кулаков при выполнении твердых заданий по пушным и рыбным заготовкам и второстепенному экспорту снабжать товаропродуктами в размерах потребительской нормы семей. В южных районах кулаков по сельхоззаготовкам не фондировать, по лесодровозаготовкам, перевозкам грузов снабжать по продовольственной группе товарами при условии выполнения твердых заданий. Зажиточная часть населения, сдающая товарную продукцию сельского хозяйства в порядке выполнения твердого задания, фондируется не более 15% заготовительной стоимости сданной продукции" (11652).</w:t>
      </w:r>
    </w:p>
    <w:p w14:paraId="4FD17F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30A5605" w14:textId="77777777" w:rsidR="000C5145" w:rsidRPr="005E779E" w:rsidRDefault="000C5145" w:rsidP="000B7A6C">
      <w:pPr>
        <w:spacing w:after="0" w:line="240" w:lineRule="auto"/>
        <w:jc w:val="both"/>
        <w:rPr>
          <w:rFonts w:ascii="Times New Roman" w:hAnsi="Times New Roman"/>
          <w:color w:val="000000" w:themeColor="text1"/>
          <w:sz w:val="16"/>
          <w:szCs w:val="16"/>
        </w:rPr>
      </w:pPr>
      <w:r w:rsidRPr="005E779E">
        <w:rPr>
          <w:rStyle w:val="ucoz-forum-post"/>
          <w:rFonts w:ascii="Times New Roman" w:hAnsi="Times New Roman"/>
          <w:bCs/>
          <w:color w:val="000000" w:themeColor="text1"/>
          <w:sz w:val="16"/>
          <w:szCs w:val="16"/>
        </w:rPr>
        <w:t xml:space="preserve">4 декабря </w:t>
      </w:r>
      <w:r w:rsidRPr="005E779E">
        <w:rPr>
          <w:rFonts w:ascii="Times New Roman" w:hAnsi="Times New Roman"/>
          <w:color w:val="000000" w:themeColor="text1"/>
          <w:sz w:val="16"/>
          <w:szCs w:val="16"/>
        </w:rPr>
        <w:t>в 1931 году Политбюро ЦК ВКП(б) принимает постановление о том, чтобы наказать должностных лиц Амторга, "Растративших 25 тысяч долларов в пользу дезертировавшего из СССР Сергея Эйзенштейна. Речь идет о финансировании фильма о мексиканской революции, который Эйзенштейн собирался снимать в Мексике (14850).</w:t>
      </w:r>
    </w:p>
    <w:p w14:paraId="2E92CD04" w14:textId="77777777" w:rsidR="000C5145" w:rsidRPr="005E779E" w:rsidRDefault="000C5145" w:rsidP="000B7A6C">
      <w:pPr>
        <w:spacing w:after="0" w:line="240" w:lineRule="auto"/>
        <w:jc w:val="both"/>
        <w:rPr>
          <w:rFonts w:ascii="Times New Roman" w:hAnsi="Times New Roman"/>
          <w:color w:val="000000" w:themeColor="text1"/>
          <w:sz w:val="16"/>
          <w:szCs w:val="16"/>
        </w:rPr>
      </w:pPr>
    </w:p>
    <w:p w14:paraId="50CFEC11"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53A02B4E"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1F06DC0" w14:textId="77777777" w:rsidR="000674C1" w:rsidRPr="005E779E" w:rsidRDefault="000674C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декабря 1931 г. в письме №453/489 от зам. начальника НИИ ВВС Аузана председателю РВС Ворошилову сказано, что (цитата) «Самолет И7-БМВVI Е-7,3 превосходит И5-ЮVI горизонтальными скоростями и уступает ему в отношении скороподъемн. и маневренности» (24331).</w:t>
      </w:r>
    </w:p>
    <w:p w14:paraId="6FAF2BC6" w14:textId="77777777" w:rsidR="000674C1" w:rsidRPr="005E779E" w:rsidRDefault="000674C1" w:rsidP="000B7A6C">
      <w:pPr>
        <w:spacing w:after="0" w:line="240" w:lineRule="auto"/>
        <w:jc w:val="both"/>
        <w:rPr>
          <w:rFonts w:ascii="Times New Roman" w:hAnsi="Times New Roman"/>
          <w:color w:val="000000" w:themeColor="text1"/>
          <w:sz w:val="16"/>
          <w:szCs w:val="16"/>
        </w:rPr>
      </w:pPr>
    </w:p>
    <w:p w14:paraId="625536C5" w14:textId="77777777" w:rsidR="0098310F" w:rsidRPr="00142305" w:rsidRDefault="0098310F" w:rsidP="0098310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5 декабря 1931 г. заместитель наркома по военным и морским делам (он же заместитель председателя РВС) Я.Б. Гамарник обратился в Комитет обо</w:t>
      </w:r>
      <w:r w:rsidRPr="00142305">
        <w:rPr>
          <w:rFonts w:ascii="Times New Roman" w:hAnsi="Times New Roman"/>
          <w:color w:val="0070C0"/>
          <w:sz w:val="16"/>
          <w:szCs w:val="16"/>
        </w:rPr>
        <w:softHyphen/>
        <w:t>роны с докладом. В нем сообщалось при</w:t>
      </w:r>
      <w:r w:rsidRPr="00142305">
        <w:rPr>
          <w:rFonts w:ascii="Times New Roman" w:hAnsi="Times New Roman"/>
          <w:color w:val="0070C0"/>
          <w:sz w:val="16"/>
          <w:szCs w:val="16"/>
        </w:rPr>
        <w:softHyphen/>
        <w:t>мерно то же самое, что и в предыдущих документах, но упоминались расчетная дальность - 12 000 км и практическая - 10 000 км. Гамарника поддержал нарком К.Е. Ворошилов (24946).</w:t>
      </w:r>
    </w:p>
    <w:p w14:paraId="7A2303C5" w14:textId="77777777" w:rsidR="0098310F" w:rsidRPr="00142305" w:rsidRDefault="0098310F" w:rsidP="0098310F">
      <w:pPr>
        <w:spacing w:after="0" w:line="240" w:lineRule="auto"/>
        <w:jc w:val="both"/>
        <w:rPr>
          <w:rFonts w:ascii="Times New Roman" w:hAnsi="Times New Roman"/>
          <w:color w:val="0070C0"/>
          <w:sz w:val="16"/>
          <w:szCs w:val="16"/>
        </w:rPr>
      </w:pPr>
    </w:p>
    <w:p w14:paraId="42AA351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декабря 1931 г. , согласно поста</w:t>
      </w:r>
      <w:r w:rsidRPr="005E779E">
        <w:rPr>
          <w:rFonts w:ascii="Times New Roman" w:hAnsi="Times New Roman"/>
          <w:color w:val="000000" w:themeColor="text1"/>
          <w:sz w:val="16"/>
          <w:szCs w:val="16"/>
        </w:rPr>
        <w:softHyphen/>
        <w:t>новлению СТО, 1,5 млн руб. выделялось на строитель</w:t>
      </w:r>
      <w:r w:rsidRPr="005E779E">
        <w:rPr>
          <w:rFonts w:ascii="Times New Roman" w:hAnsi="Times New Roman"/>
          <w:color w:val="000000" w:themeColor="text1"/>
          <w:sz w:val="16"/>
          <w:szCs w:val="16"/>
        </w:rPr>
        <w:softHyphen/>
        <w:t>ство завода № 63 ГВФ. Он начал функционировать в 1933 г., но уже под № 82 НКОП (11852).</w:t>
      </w:r>
    </w:p>
    <w:p w14:paraId="16C3807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402043" w14:textId="2E2A6F77" w:rsidR="000674C1" w:rsidRPr="005E779E" w:rsidRDefault="000674C1" w:rsidP="000B7A6C">
      <w:pPr>
        <w:autoSpaceDE w:val="0"/>
        <w:autoSpaceDN w:val="0"/>
        <w:adjustRightInd w:val="0"/>
        <w:spacing w:after="0" w:line="240" w:lineRule="auto"/>
        <w:jc w:val="both"/>
        <w:rPr>
          <w:rFonts w:ascii="Times New Roman" w:hAnsi="Times New Roman"/>
          <w:i/>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5C699390" w14:textId="77777777" w:rsidR="000674C1" w:rsidRPr="005E779E" w:rsidRDefault="000674C1" w:rsidP="000B7A6C">
      <w:pPr>
        <w:autoSpaceDE w:val="0"/>
        <w:autoSpaceDN w:val="0"/>
        <w:adjustRightInd w:val="0"/>
        <w:spacing w:after="0" w:line="240" w:lineRule="auto"/>
        <w:jc w:val="both"/>
        <w:rPr>
          <w:rFonts w:ascii="Times New Roman" w:hAnsi="Times New Roman"/>
          <w:i/>
          <w:iCs/>
          <w:color w:val="000000" w:themeColor="text1"/>
          <w:sz w:val="16"/>
          <w:szCs w:val="16"/>
        </w:rPr>
      </w:pPr>
    </w:p>
    <w:p w14:paraId="594EECC1" w14:textId="77777777" w:rsidR="000674C1" w:rsidRPr="005E779E" w:rsidRDefault="000674C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декабря 1931 г., пытаясь внести ясность в разрешение вопроса двигателей для производства танков на ХПЗ, заместитель начальника специального сектора объединения «Локомотив» П.Л. Валейчик направил начальнику УММ РККА И.А. Халепскому письмо № 291/3850с следующего содержания:</w:t>
      </w:r>
    </w:p>
    <w:p w14:paraId="43DD821A" w14:textId="77777777" w:rsidR="000674C1" w:rsidRPr="005E779E" w:rsidRDefault="000674C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выводах Военно-Морской Инспекции ЦКК ВКП(б) – НК РКИ СССР предусмотрена проработка вопроса о возможности перехода танков «БТ» с авиамотора на дизельный мотор, просим дать задание НТК УММ с тем, чтобы последний проработал этот вопрос и в случае возможности такой замены, необходимо выдать заказ на разработку конструкции дизельного мотора».</w:t>
      </w:r>
    </w:p>
    <w:p w14:paraId="23D4FF0E" w14:textId="77777777" w:rsidR="000674C1" w:rsidRPr="005E779E" w:rsidRDefault="000674C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[РГВА. Ф. 31811. Оп. 3. Д. 19. Л. 16 с об.]</w:t>
      </w:r>
    </w:p>
    <w:p w14:paraId="3D498D3C" w14:textId="77777777" w:rsidR="000674C1" w:rsidRPr="005E779E" w:rsidRDefault="000674C1" w:rsidP="000B7A6C">
      <w:pPr>
        <w:spacing w:after="0" w:line="240" w:lineRule="auto"/>
        <w:jc w:val="both"/>
        <w:rPr>
          <w:rFonts w:ascii="Times New Roman" w:hAnsi="Times New Roman"/>
          <w:color w:val="000000" w:themeColor="text1"/>
          <w:sz w:val="16"/>
          <w:szCs w:val="16"/>
        </w:rPr>
      </w:pPr>
    </w:p>
    <w:p w14:paraId="49BC05C5" w14:textId="77777777" w:rsidR="000674C1" w:rsidRPr="005E779E" w:rsidRDefault="000674C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декабря 1931 г.</w:t>
      </w:r>
    </w:p>
    <w:p w14:paraId="4D3641A3" w14:textId="77777777" w:rsidR="000674C1" w:rsidRPr="005E779E" w:rsidRDefault="000674C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РГВА Фонд 31811 Опись 3 Дело 19 лист 16 с об. </w:t>
      </w:r>
    </w:p>
    <w:p w14:paraId="3580F9B6" w14:textId="77777777" w:rsidR="000674C1" w:rsidRPr="005E779E" w:rsidRDefault="000674C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СЕКРЕТНО </w:t>
      </w:r>
    </w:p>
    <w:p w14:paraId="2FF87962" w14:textId="77777777" w:rsidR="000674C1" w:rsidRPr="005E779E" w:rsidRDefault="000674C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5/XII-1931 г. </w:t>
      </w:r>
    </w:p>
    <w:p w14:paraId="6A557C44" w14:textId="77777777" w:rsidR="000674C1" w:rsidRPr="005E779E" w:rsidRDefault="000674C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291/3850с</w:t>
      </w:r>
    </w:p>
    <w:p w14:paraId="6C8D2A78" w14:textId="77777777" w:rsidR="000674C1" w:rsidRPr="005E779E" w:rsidRDefault="000674C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НАЧАЛЬНИКУ УММ РККА </w:t>
      </w:r>
    </w:p>
    <w:p w14:paraId="7EA341C4" w14:textId="77777777" w:rsidR="000674C1" w:rsidRPr="005E779E" w:rsidRDefault="000674C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н/исп. Расколин, тел. 4-53-87</w:t>
      </w:r>
    </w:p>
    <w:p w14:paraId="581EE5ED" w14:textId="77777777" w:rsidR="000674C1" w:rsidRPr="005E779E" w:rsidRDefault="000674C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ПО ВОПРОСУ: Моторов для танков "БТ". </w:t>
      </w:r>
    </w:p>
    <w:p w14:paraId="34679A54" w14:textId="77777777" w:rsidR="000674C1" w:rsidRPr="005E779E" w:rsidRDefault="000674C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выводах Военно-Морской Инспекции ЦКК ВКП(б) – НК РКИ СССР предусмотрена проработка вопроса о возможности перехода танков "БТ" с авиамотора на дизельный мотор, просим дать задание НТК УММ с тем, чтобы последний проработал этот вопрос и в случае возможности такой замены, необходимо выдать заказ на разработку конструкции дизельного мотора.</w:t>
      </w:r>
    </w:p>
    <w:p w14:paraId="05984B35" w14:textId="77777777" w:rsidR="000674C1" w:rsidRPr="005E779E" w:rsidRDefault="000674C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 xml:space="preserve">ЗАМ. НАЧ. СПЕЦСЕКТОРА подпись (Валейчик) </w:t>
      </w:r>
    </w:p>
    <w:p w14:paraId="3E89D6B1" w14:textId="77777777" w:rsidR="000674C1" w:rsidRPr="005E779E" w:rsidRDefault="000674C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Исполнитель подпись (Расколин)</w:t>
      </w:r>
    </w:p>
    <w:p w14:paraId="48FE251C" w14:textId="77777777" w:rsidR="000674C1" w:rsidRPr="005E779E" w:rsidRDefault="000674C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ЕЕ № 5181 </w:t>
      </w:r>
    </w:p>
    <w:p w14:paraId="58E270B9" w14:textId="77777777" w:rsidR="000674C1" w:rsidRPr="005E779E" w:rsidRDefault="000674C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Отп. 2 экз. </w:t>
      </w:r>
    </w:p>
    <w:p w14:paraId="020B42FA" w14:textId="77777777" w:rsidR="000674C1" w:rsidRPr="005E779E" w:rsidRDefault="000674C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3.XII-1931 г. </w:t>
      </w:r>
    </w:p>
    <w:p w14:paraId="0515152A" w14:textId="77777777" w:rsidR="000674C1" w:rsidRPr="005E779E" w:rsidRDefault="000674C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На обороте листа написано от руки: </w:t>
      </w:r>
    </w:p>
    <w:p w14:paraId="14D9A369" w14:textId="77777777" w:rsidR="000674C1" w:rsidRPr="005E779E" w:rsidRDefault="000674C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9 декабря 1931 г. </w:t>
      </w:r>
    </w:p>
    <w:p w14:paraId="7C5EB19F" w14:textId="77777777" w:rsidR="000674C1" w:rsidRPr="005E779E" w:rsidRDefault="000674C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 9031343 </w:t>
      </w:r>
    </w:p>
    <w:p w14:paraId="57D12472" w14:textId="77777777" w:rsidR="000674C1" w:rsidRPr="005E779E" w:rsidRDefault="000674C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Вопрос о переходе с авио-моторов на дизель-моторы в танках БТ нами предусмотрен. </w:t>
      </w:r>
    </w:p>
    <w:p w14:paraId="0D701F6E" w14:textId="77777777" w:rsidR="000674C1" w:rsidRPr="005E779E" w:rsidRDefault="000674C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Готовится опытный образец 400-сильного дизель-мотора. По окончании испытаний этого мотора выяснится возможность установки дизель-моторов в танки Б-Т.</w:t>
      </w:r>
    </w:p>
    <w:p w14:paraId="217275A9" w14:textId="77777777" w:rsidR="000674C1" w:rsidRPr="005E779E" w:rsidRDefault="000674C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Председатель 1-й секции подпись В.М. Бегунова</w:t>
      </w:r>
    </w:p>
    <w:p w14:paraId="3F189ECC" w14:textId="77777777" w:rsidR="000674C1" w:rsidRPr="005E779E" w:rsidRDefault="000674C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Верно: Секретарь подпись (24869).</w:t>
      </w:r>
    </w:p>
    <w:p w14:paraId="2E90E01C" w14:textId="77777777" w:rsidR="000674C1" w:rsidRPr="005E779E" w:rsidRDefault="000674C1" w:rsidP="000B7A6C">
      <w:pPr>
        <w:spacing w:after="0" w:line="240" w:lineRule="auto"/>
        <w:jc w:val="both"/>
        <w:rPr>
          <w:rFonts w:ascii="Times New Roman" w:hAnsi="Times New Roman"/>
          <w:color w:val="000000" w:themeColor="text1"/>
          <w:sz w:val="16"/>
          <w:szCs w:val="16"/>
        </w:rPr>
      </w:pPr>
    </w:p>
    <w:p w14:paraId="6523DED2" w14:textId="0E227EDD"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2C2801B8"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5D6CB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декабря 1931 в Москве был взорван храм Христа Спасителя (3263,708) - в 12:00 - взорвали один из четырех центральных пилонов и за 45 минут разрушили остальные 3 (3481).</w:t>
      </w:r>
    </w:p>
    <w:p w14:paraId="6C3AAD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229F633" w14:textId="77777777" w:rsidR="000F17FB" w:rsidRPr="005E779E" w:rsidRDefault="000F17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декабря 1931. Взорвали строившийся всей Россией в течение полувека храм Христа Спасителя. "Чудо советской пиротехники", -так назывался фильм об уничтожении этой святыни (18724).</w:t>
      </w:r>
    </w:p>
    <w:p w14:paraId="3ED6D7DF" w14:textId="77777777" w:rsidR="000F17FB" w:rsidRPr="005E779E" w:rsidRDefault="000F17FB" w:rsidP="000B7A6C">
      <w:pPr>
        <w:spacing w:after="0" w:line="240" w:lineRule="auto"/>
        <w:jc w:val="both"/>
        <w:rPr>
          <w:rFonts w:ascii="Times New Roman" w:hAnsi="Times New Roman"/>
          <w:color w:val="000000" w:themeColor="text1"/>
          <w:sz w:val="16"/>
          <w:szCs w:val="16"/>
        </w:rPr>
      </w:pPr>
    </w:p>
    <w:p w14:paraId="0E19BEF0" w14:textId="77777777" w:rsidR="00827C42" w:rsidRPr="005E779E" w:rsidRDefault="00827C42"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5 декабря 1931 года — день сноса храма Христа Спасителя (21166).</w:t>
      </w:r>
    </w:p>
    <w:p w14:paraId="0CBEB1B7" w14:textId="77777777" w:rsidR="00827C42" w:rsidRPr="005E779E" w:rsidRDefault="00827C42" w:rsidP="000B7A6C">
      <w:pPr>
        <w:spacing w:after="0" w:line="240" w:lineRule="auto"/>
        <w:jc w:val="both"/>
        <w:rPr>
          <w:rFonts w:ascii="Times New Roman" w:hAnsi="Times New Roman"/>
          <w:color w:val="000000" w:themeColor="text1"/>
          <w:sz w:val="16"/>
          <w:szCs w:val="16"/>
        </w:rPr>
      </w:pPr>
    </w:p>
    <w:p w14:paraId="53245B94" w14:textId="77777777" w:rsidR="000C5145" w:rsidRPr="005E779E" w:rsidRDefault="000C5145"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5 декабря</w:t>
      </w:r>
      <w:r w:rsidRPr="005E779E">
        <w:rPr>
          <w:rFonts w:ascii="Times New Roman" w:hAnsi="Times New Roman"/>
          <w:color w:val="000000" w:themeColor="text1"/>
          <w:sz w:val="16"/>
          <w:szCs w:val="16"/>
        </w:rPr>
        <w:t xml:space="preserve"> в 1931 году в 12 часов дня производится первый взрыв, в результате которого рушится один из четырех центральных пилонов Храма Христа Спасителя в Москве, построенного в 1881 на народные деньги в память избавления России от нашествия Наполеона. В течение 45 минут будут обрушены остальные пилоны. На его месте должны выстроить Дворец Советов, но построят лишь бассейн "Москва". Храм Христа Спасителя, идея строительства которого возникла сразу по окончании Отечественной войны 1812 года, закладывался трижды. Трижды на протяжении почти двух столетий освящался его первый камень. В 1832 году император Николай I утвердил проект Храма Христа Спасителя, представленный архитектором Константином Тоном.</w:t>
      </w:r>
    </w:p>
    <w:p w14:paraId="34DA273D" w14:textId="77777777" w:rsidR="000C5145" w:rsidRPr="005E779E" w:rsidRDefault="000C514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Закладка храма состоялась в 1839 году. Величественный храм на берегу реки Москвы, на Волхонке, строился более 40 лет. В праздник Вознесения Господня, 26 мая 1883 года, с необыкновенной торжественностью Храм Христа Спасителя был освящен. Специально ко дню освящения П.И.Чайковский написал вдохновенную увертюру «1812 год», исполненную храмовым хором. Над созданием Храма трудились лучшие архитекторы, строители, художники того времени. Уникальная роспись создавалась русскими живописцами В.Суриковым, Н.Кошелевым, И.Крамским, Г.Семирадским, В.Верещагиным, В.Маковским, В.Васнецовым, В.Марковым, И. Прянишниковым, Ф.Бруни, др. Авторами фасадных скульптур стали барон П.Клодт, Н.Рамазанов, А.Логановский. Врата Храма были исполнены в технике гальванопластики по моделям графа Ф.Толстого. Храм Христа Спасителя был памятником не только религиозным, но и историческим, «свидетельствующим о божественном заступлении за русский народ в Отечественную войну 1812 года» и запечатлевшим его ратный подвиг. На стенах Храма были изображены военные события, установлены 177 мраморных плит с описанием сражений и именами награжденных орденом святого Георгия, увековечена была и память воинов, проливших кровь за веру и Отечество. Летом 1931 года правительство СССР приняло решение снести храм, а на его месте воздвигнуть грандиозный ансамбль Дворца Советов, на вершине которого поместить фигуру В.И.Ленина. 5 декабря 1931 года в 12 часов всего за 45 минут храм был взорван. Начавшаяся Великая Отечественная война не дала довести проект строительства Дворца до конца, и с 1960 по 1994 год на месте христианской святыни находился открытый плавательный бассейн «Москва» (14851).</w:t>
      </w:r>
    </w:p>
    <w:p w14:paraId="30202D45" w14:textId="06F2B658" w:rsidR="000C5145" w:rsidRPr="005E779E" w:rsidRDefault="000C5145" w:rsidP="000B7A6C">
      <w:pPr>
        <w:spacing w:after="0" w:line="240" w:lineRule="auto"/>
        <w:jc w:val="both"/>
        <w:rPr>
          <w:rFonts w:ascii="Times New Roman" w:hAnsi="Times New Roman"/>
          <w:color w:val="000000" w:themeColor="text1"/>
          <w:sz w:val="16"/>
          <w:szCs w:val="16"/>
        </w:rPr>
      </w:pPr>
    </w:p>
    <w:p w14:paraId="2849FCA7" w14:textId="0BC147AD" w:rsidR="00827C42" w:rsidRPr="005E779E" w:rsidRDefault="00827C42" w:rsidP="000B7A6C">
      <w:pPr>
        <w:spacing w:after="0" w:line="240" w:lineRule="auto"/>
        <w:jc w:val="both"/>
        <w:rPr>
          <w:rFonts w:ascii="Times New Roman" w:hAnsi="Times New Roman"/>
          <w:i/>
          <w:iCs/>
          <w:color w:val="000000" w:themeColor="text1"/>
          <w:sz w:val="16"/>
          <w:szCs w:val="16"/>
        </w:rPr>
      </w:pPr>
      <w:r w:rsidRPr="005E779E">
        <w:rPr>
          <w:rFonts w:ascii="Times New Roman" w:hAnsi="Times New Roman"/>
          <w:i/>
          <w:iCs/>
          <w:color w:val="000000" w:themeColor="text1"/>
          <w:sz w:val="16"/>
          <w:szCs w:val="16"/>
        </w:rPr>
        <w:t>За рубежом:</w:t>
      </w:r>
    </w:p>
    <w:p w14:paraId="57746061" w14:textId="77777777" w:rsidR="00827C42" w:rsidRPr="005E779E" w:rsidRDefault="00827C42" w:rsidP="000B7A6C">
      <w:pPr>
        <w:spacing w:after="0" w:line="240" w:lineRule="auto"/>
        <w:jc w:val="both"/>
        <w:rPr>
          <w:rFonts w:ascii="Times New Roman" w:hAnsi="Times New Roman"/>
          <w:i/>
          <w:iCs/>
          <w:color w:val="000000" w:themeColor="text1"/>
          <w:sz w:val="16"/>
          <w:szCs w:val="16"/>
        </w:rPr>
      </w:pPr>
    </w:p>
    <w:p w14:paraId="66C60313" w14:textId="77777777" w:rsidR="00827C42" w:rsidRPr="005E779E" w:rsidRDefault="00827C4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декабря 1931 Лоуэлл Бейлс, обладатель трофея Томпсона 1931 года, погибает, когда пилотируемый им гоночный самолет Gee Bee Model Z разбивается во время скоростного полета в аэропорту Уэйн Каунти в Детройте, штат Мичиган (20804).</w:t>
      </w:r>
    </w:p>
    <w:p w14:paraId="5570EB02" w14:textId="77777777" w:rsidR="00827C42" w:rsidRPr="005E779E" w:rsidRDefault="00827C42" w:rsidP="000B7A6C">
      <w:pPr>
        <w:spacing w:after="0" w:line="240" w:lineRule="auto"/>
        <w:jc w:val="both"/>
        <w:rPr>
          <w:rFonts w:ascii="Times New Roman" w:hAnsi="Times New Roman"/>
          <w:color w:val="000000" w:themeColor="text1"/>
          <w:sz w:val="16"/>
          <w:szCs w:val="16"/>
        </w:rPr>
      </w:pPr>
    </w:p>
    <w:p w14:paraId="67F49646" w14:textId="77777777" w:rsidR="00827C42" w:rsidRPr="005E779E" w:rsidRDefault="00827C4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декабря 1931 Hillman's Airways начинает полеты с чартерного рейса. Она начнет плановые работы в апреле 1932 года (20804).</w:t>
      </w:r>
    </w:p>
    <w:p w14:paraId="2D35E082" w14:textId="77777777" w:rsidR="00827C42" w:rsidRPr="005E779E" w:rsidRDefault="00827C42" w:rsidP="000B7A6C">
      <w:pPr>
        <w:spacing w:after="0" w:line="240" w:lineRule="auto"/>
        <w:jc w:val="both"/>
        <w:rPr>
          <w:rFonts w:ascii="Times New Roman" w:hAnsi="Times New Roman"/>
          <w:color w:val="000000" w:themeColor="text1"/>
          <w:sz w:val="16"/>
          <w:szCs w:val="16"/>
        </w:rPr>
      </w:pPr>
    </w:p>
    <w:p w14:paraId="5D758F4C"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020751A5"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DD3E4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декабря 1931 П.И.Баранов говорил о АНТ-14 в присутствии В.Б.Ш., что страна не может строить гражданские машины, так как заводы полностью загружены военными машинами. Когда сказали, что военные машины тесные и не годятся П.И.Баранов сказал - складывайтесь как перочинные ножики, но летайте на них (1076,693).</w:t>
      </w:r>
    </w:p>
    <w:p w14:paraId="74E4BB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602E6C1"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385B2A4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C725138" w14:textId="77777777" w:rsidR="000C5145" w:rsidRPr="005E779E" w:rsidRDefault="000C5145" w:rsidP="000B7A6C">
      <w:pPr>
        <w:pStyle w:val="a3"/>
        <w:rPr>
          <w:color w:val="000000" w:themeColor="text1"/>
          <w:lang w:val="ru-RU"/>
        </w:rPr>
      </w:pPr>
      <w:r w:rsidRPr="005E779E">
        <w:rPr>
          <w:color w:val="000000" w:themeColor="text1"/>
          <w:lang w:val="ru-RU"/>
        </w:rPr>
        <w:t>6 декабря 1930 г. в письме Бегунова на имя Халепского отме</w:t>
      </w:r>
      <w:r w:rsidRPr="005E779E">
        <w:rPr>
          <w:color w:val="000000" w:themeColor="text1"/>
          <w:lang w:val="ru-RU"/>
        </w:rPr>
        <w:softHyphen/>
        <w:t>чалось:</w:t>
      </w:r>
    </w:p>
    <w:p w14:paraId="68A2A03E" w14:textId="77777777" w:rsidR="000C5145" w:rsidRPr="005E779E" w:rsidRDefault="000C5145" w:rsidP="000B7A6C">
      <w:pPr>
        <w:pStyle w:val="1010"/>
        <w:shd w:val="clear" w:color="auto" w:fill="auto"/>
        <w:spacing w:line="240" w:lineRule="auto"/>
        <w:ind w:firstLine="0"/>
        <w:rPr>
          <w:rFonts w:ascii="Times New Roman" w:hAnsi="Times New Roman" w:cs="Times New Roman"/>
          <w:i w:val="0"/>
          <w:color w:val="000000" w:themeColor="text1"/>
          <w:sz w:val="16"/>
          <w:szCs w:val="16"/>
        </w:rPr>
      </w:pPr>
      <w:r w:rsidRPr="005E779E">
        <w:rPr>
          <w:rFonts w:ascii="Times New Roman" w:hAnsi="Times New Roman" w:cs="Times New Roman"/>
          <w:i w:val="0"/>
          <w:color w:val="000000" w:themeColor="text1"/>
          <w:sz w:val="16"/>
          <w:szCs w:val="16"/>
        </w:rPr>
        <w:t>«1) Весьма затруднительна регулировка эпициклической коробки передач</w:t>
      </w:r>
      <w:r w:rsidRPr="005E779E">
        <w:rPr>
          <w:rStyle w:val="1028"/>
          <w:rFonts w:ascii="Times New Roman" w:eastAsia="Arial Unicode MS" w:hAnsi="Times New Roman" w:cs="Times New Roman"/>
          <w:i w:val="0"/>
          <w:iCs w:val="0"/>
          <w:color w:val="000000" w:themeColor="text1"/>
          <w:sz w:val="16"/>
          <w:szCs w:val="16"/>
        </w:rPr>
        <w:t xml:space="preserve"> (демультипликатора</w:t>
      </w:r>
      <w:r w:rsidRPr="005E779E">
        <w:rPr>
          <w:rFonts w:ascii="Times New Roman" w:hAnsi="Times New Roman" w:cs="Times New Roman"/>
          <w:i w:val="0"/>
          <w:color w:val="000000" w:themeColor="text1"/>
          <w:sz w:val="16"/>
          <w:szCs w:val="16"/>
        </w:rPr>
        <w:t>). Это мнение завода. Со сво</w:t>
      </w:r>
      <w:r w:rsidRPr="005E779E">
        <w:rPr>
          <w:rFonts w:ascii="Times New Roman" w:hAnsi="Times New Roman" w:cs="Times New Roman"/>
          <w:i w:val="0"/>
          <w:color w:val="000000" w:themeColor="text1"/>
          <w:sz w:val="16"/>
          <w:szCs w:val="16"/>
        </w:rPr>
        <w:softHyphen/>
        <w:t>ей стороны считаю, что это мнение весьма вероятно, но утвердительно сказать не могу, так как испытание не дало мне полностью установить причину дефекта (пробуксовывание дисков сцепления).</w:t>
      </w:r>
    </w:p>
    <w:p w14:paraId="41EA4EA1" w14:textId="77777777" w:rsidR="000C5145" w:rsidRPr="005E779E" w:rsidRDefault="000C5145" w:rsidP="000B7A6C">
      <w:pPr>
        <w:pStyle w:val="1010"/>
        <w:shd w:val="clear" w:color="auto" w:fill="auto"/>
        <w:spacing w:line="240" w:lineRule="auto"/>
        <w:ind w:firstLine="0"/>
        <w:rPr>
          <w:rFonts w:ascii="Times New Roman" w:hAnsi="Times New Roman" w:cs="Times New Roman"/>
          <w:i w:val="0"/>
          <w:color w:val="000000" w:themeColor="text1"/>
          <w:sz w:val="16"/>
          <w:szCs w:val="16"/>
        </w:rPr>
      </w:pPr>
      <w:r w:rsidRPr="005E779E">
        <w:rPr>
          <w:rFonts w:ascii="Times New Roman" w:hAnsi="Times New Roman" w:cs="Times New Roman"/>
          <w:i w:val="0"/>
          <w:color w:val="000000" w:themeColor="text1"/>
          <w:sz w:val="16"/>
          <w:szCs w:val="16"/>
        </w:rPr>
        <w:t>2) Прошу обратить внимание на металлический стук (удар), который получается при пользовании рычагами фрикционов при поворотах тан</w:t>
      </w:r>
      <w:r w:rsidRPr="005E779E">
        <w:rPr>
          <w:rFonts w:ascii="Times New Roman" w:hAnsi="Times New Roman" w:cs="Times New Roman"/>
          <w:i w:val="0"/>
          <w:color w:val="000000" w:themeColor="text1"/>
          <w:sz w:val="16"/>
          <w:szCs w:val="16"/>
        </w:rPr>
        <w:softHyphen/>
        <w:t>ка. Обусловливается этот стук конструкцией сцепления.</w:t>
      </w:r>
    </w:p>
    <w:p w14:paraId="54D743BD" w14:textId="77777777" w:rsidR="000C5145" w:rsidRPr="005E779E" w:rsidRDefault="000C5145" w:rsidP="000B7A6C">
      <w:pPr>
        <w:pStyle w:val="1010"/>
        <w:shd w:val="clear" w:color="auto" w:fill="auto"/>
        <w:tabs>
          <w:tab w:val="left" w:pos="510"/>
        </w:tabs>
        <w:spacing w:line="240" w:lineRule="auto"/>
        <w:ind w:firstLine="0"/>
        <w:rPr>
          <w:rFonts w:ascii="Times New Roman" w:hAnsi="Times New Roman" w:cs="Times New Roman"/>
          <w:i w:val="0"/>
          <w:color w:val="000000" w:themeColor="text1"/>
          <w:sz w:val="16"/>
          <w:szCs w:val="16"/>
        </w:rPr>
      </w:pPr>
      <w:r w:rsidRPr="005E779E">
        <w:rPr>
          <w:rFonts w:ascii="Times New Roman" w:hAnsi="Times New Roman" w:cs="Times New Roman"/>
          <w:i w:val="0"/>
          <w:color w:val="000000" w:themeColor="text1"/>
          <w:sz w:val="16"/>
          <w:szCs w:val="16"/>
        </w:rPr>
        <w:t>3) При испытании танка на преодоление подъема в 45' на сыром, разрыхленном грунте танк не показал удовлетворительных результатов.</w:t>
      </w:r>
    </w:p>
    <w:p w14:paraId="614E8DEA" w14:textId="77777777" w:rsidR="000C5145" w:rsidRPr="005E779E" w:rsidRDefault="000C5145" w:rsidP="000B7A6C">
      <w:pPr>
        <w:pStyle w:val="1010"/>
        <w:shd w:val="clear" w:color="auto" w:fill="auto"/>
        <w:tabs>
          <w:tab w:val="left" w:pos="490"/>
        </w:tabs>
        <w:spacing w:line="240" w:lineRule="auto"/>
        <w:ind w:firstLine="0"/>
        <w:rPr>
          <w:rFonts w:ascii="Times New Roman" w:hAnsi="Times New Roman" w:cs="Times New Roman"/>
          <w:i w:val="0"/>
          <w:color w:val="000000" w:themeColor="text1"/>
          <w:sz w:val="16"/>
          <w:szCs w:val="16"/>
        </w:rPr>
      </w:pPr>
      <w:r w:rsidRPr="005E779E">
        <w:rPr>
          <w:rFonts w:ascii="Times New Roman" w:hAnsi="Times New Roman" w:cs="Times New Roman"/>
          <w:i w:val="0"/>
          <w:color w:val="000000" w:themeColor="text1"/>
          <w:sz w:val="16"/>
          <w:szCs w:val="16"/>
        </w:rPr>
        <w:t>4) При преодолении вертикального препятствия высотой 0,8 м., об</w:t>
      </w:r>
      <w:r w:rsidRPr="005E779E">
        <w:rPr>
          <w:rFonts w:ascii="Times New Roman" w:hAnsi="Times New Roman" w:cs="Times New Roman"/>
          <w:i w:val="0"/>
          <w:color w:val="000000" w:themeColor="text1"/>
          <w:sz w:val="16"/>
          <w:szCs w:val="16"/>
        </w:rPr>
        <w:softHyphen/>
        <w:t>условленной техническими требованиями по нашему договору и являю</w:t>
      </w:r>
      <w:r w:rsidRPr="005E779E">
        <w:rPr>
          <w:rFonts w:ascii="Times New Roman" w:hAnsi="Times New Roman" w:cs="Times New Roman"/>
          <w:i w:val="0"/>
          <w:color w:val="000000" w:themeColor="text1"/>
          <w:sz w:val="16"/>
          <w:szCs w:val="16"/>
        </w:rPr>
        <w:softHyphen/>
        <w:t>щиеся стандартными, по</w:t>
      </w:r>
      <w:r w:rsidRPr="005E779E">
        <w:rPr>
          <w:rStyle w:val="1028"/>
          <w:rFonts w:ascii="Times New Roman" w:eastAsia="Arial Unicode MS" w:hAnsi="Times New Roman" w:cs="Times New Roman"/>
          <w:i w:val="0"/>
          <w:iCs w:val="0"/>
          <w:color w:val="000000" w:themeColor="text1"/>
          <w:sz w:val="16"/>
          <w:szCs w:val="16"/>
        </w:rPr>
        <w:t xml:space="preserve"> заявлению</w:t>
      </w:r>
      <w:r w:rsidRPr="005E779E">
        <w:rPr>
          <w:rFonts w:ascii="Times New Roman" w:hAnsi="Times New Roman" w:cs="Times New Roman"/>
          <w:i w:val="0"/>
          <w:color w:val="000000" w:themeColor="text1"/>
          <w:sz w:val="16"/>
          <w:szCs w:val="16"/>
        </w:rPr>
        <w:t xml:space="preserve"> фирмы, танк также не преодолел. Препятствие было представлено в виде бетонной стенки, совершенно вертикальной, с острым углом.</w:t>
      </w:r>
    </w:p>
    <w:p w14:paraId="1DA72533" w14:textId="77777777" w:rsidR="000C5145" w:rsidRPr="005E779E" w:rsidRDefault="000C5145" w:rsidP="000B7A6C">
      <w:pPr>
        <w:pStyle w:val="1010"/>
        <w:shd w:val="clear" w:color="auto" w:fill="auto"/>
        <w:spacing w:line="240" w:lineRule="auto"/>
        <w:ind w:firstLine="0"/>
        <w:rPr>
          <w:rFonts w:ascii="Times New Roman" w:hAnsi="Times New Roman" w:cs="Times New Roman"/>
          <w:i w:val="0"/>
          <w:color w:val="000000" w:themeColor="text1"/>
          <w:sz w:val="16"/>
          <w:szCs w:val="16"/>
        </w:rPr>
      </w:pPr>
      <w:r w:rsidRPr="005E779E">
        <w:rPr>
          <w:rFonts w:ascii="Times New Roman" w:hAnsi="Times New Roman" w:cs="Times New Roman"/>
          <w:i w:val="0"/>
          <w:color w:val="000000" w:themeColor="text1"/>
          <w:sz w:val="16"/>
          <w:szCs w:val="16"/>
        </w:rPr>
        <w:t>В момент преодоления препятствия наблюдалось пробуксовывание траков».</w:t>
      </w:r>
    </w:p>
    <w:p w14:paraId="304ACB2D" w14:textId="77777777" w:rsidR="000C5145" w:rsidRPr="005E779E" w:rsidRDefault="000C5145" w:rsidP="000B7A6C">
      <w:pPr>
        <w:pStyle w:val="a3"/>
        <w:rPr>
          <w:color w:val="000000" w:themeColor="text1"/>
          <w:lang w:val="ru-RU"/>
        </w:rPr>
      </w:pPr>
      <w:r w:rsidRPr="005E779E">
        <w:rPr>
          <w:rStyle w:val="1028"/>
          <w:rFonts w:ascii="Times New Roman" w:eastAsia="Arial Unicode MS" w:hAnsi="Times New Roman" w:cs="Times New Roman"/>
          <w:iCs/>
          <w:color w:val="000000" w:themeColor="text1"/>
          <w:sz w:val="16"/>
          <w:szCs w:val="16"/>
          <w:lang w:val="ru-RU"/>
        </w:rPr>
        <w:t>Задержка со сдачей первой машины объяснялась, по мнению Бегу</w:t>
      </w:r>
      <w:r w:rsidRPr="005E779E">
        <w:rPr>
          <w:rStyle w:val="1028"/>
          <w:rFonts w:ascii="Times New Roman" w:eastAsia="Arial Unicode MS" w:hAnsi="Times New Roman" w:cs="Times New Roman"/>
          <w:iCs/>
          <w:color w:val="000000" w:themeColor="text1"/>
          <w:sz w:val="16"/>
          <w:szCs w:val="16"/>
          <w:lang w:val="ru-RU"/>
        </w:rPr>
        <w:softHyphen/>
        <w:t>нова, главным образом тем, что</w:t>
      </w:r>
      <w:r w:rsidRPr="005E779E">
        <w:rPr>
          <w:color w:val="000000" w:themeColor="text1"/>
          <w:lang w:val="ru-RU"/>
        </w:rPr>
        <w:t xml:space="preserve"> «...завод в Нью-Кастеле до выдачи на</w:t>
      </w:r>
      <w:r w:rsidRPr="005E779E">
        <w:rPr>
          <w:color w:val="000000" w:themeColor="text1"/>
          <w:lang w:val="ru-RU"/>
        </w:rPr>
        <w:softHyphen/>
        <w:t>шего заказа сборкой этих танков не занимался. Производство танков происходило в другом месте: в Шеффилде на заводе «Инглиш Стеел Корпорейшн». Отсутствие опыта у завода в Нью-Кастеле является ос</w:t>
      </w:r>
      <w:r w:rsidRPr="005E779E">
        <w:rPr>
          <w:color w:val="000000" w:themeColor="text1"/>
          <w:lang w:val="ru-RU"/>
        </w:rPr>
        <w:softHyphen/>
        <w:t>новным мотивом для предъявления танков в срок, обусловленный на</w:t>
      </w:r>
      <w:r w:rsidRPr="005E779E">
        <w:rPr>
          <w:color w:val="000000" w:themeColor="text1"/>
          <w:lang w:val="ru-RU"/>
        </w:rPr>
        <w:softHyphen/>
        <w:t>шим договором».</w:t>
      </w:r>
      <w:r w:rsidRPr="005E779E">
        <w:rPr>
          <w:rStyle w:val="1028"/>
          <w:rFonts w:ascii="Times New Roman" w:eastAsia="Arial Unicode MS" w:hAnsi="Times New Roman" w:cs="Times New Roman"/>
          <w:iCs/>
          <w:color w:val="000000" w:themeColor="text1"/>
          <w:sz w:val="16"/>
          <w:szCs w:val="16"/>
          <w:lang w:val="ru-RU"/>
        </w:rPr>
        <w:t xml:space="preserve"> Кроме того, выяснилось, что производство отдельных деталей и комплектующих фирма разместила на целом ряде предприя</w:t>
      </w:r>
      <w:r w:rsidRPr="005E779E">
        <w:rPr>
          <w:rStyle w:val="1028"/>
          <w:rFonts w:ascii="Times New Roman" w:eastAsia="Arial Unicode MS" w:hAnsi="Times New Roman" w:cs="Times New Roman"/>
          <w:iCs/>
          <w:color w:val="000000" w:themeColor="text1"/>
          <w:sz w:val="16"/>
          <w:szCs w:val="16"/>
          <w:lang w:val="ru-RU"/>
        </w:rPr>
        <w:softHyphen/>
        <w:t>тий, разбросанных по всей Англии. Эти заводы также постоянно срыва</w:t>
      </w:r>
      <w:r w:rsidRPr="005E779E">
        <w:rPr>
          <w:rStyle w:val="1028"/>
          <w:rFonts w:ascii="Times New Roman" w:eastAsia="Arial Unicode MS" w:hAnsi="Times New Roman" w:cs="Times New Roman"/>
          <w:iCs/>
          <w:color w:val="000000" w:themeColor="text1"/>
          <w:sz w:val="16"/>
          <w:szCs w:val="16"/>
          <w:lang w:val="ru-RU"/>
        </w:rPr>
        <w:softHyphen/>
        <w:t>ли сроки поставок. Немаловажным являлось и то, что танки предъявля</w:t>
      </w:r>
      <w:r w:rsidRPr="005E779E">
        <w:rPr>
          <w:rStyle w:val="1028"/>
          <w:rFonts w:ascii="Times New Roman" w:eastAsia="Arial Unicode MS" w:hAnsi="Times New Roman" w:cs="Times New Roman"/>
          <w:iCs/>
          <w:color w:val="000000" w:themeColor="text1"/>
          <w:sz w:val="16"/>
          <w:szCs w:val="16"/>
          <w:lang w:val="ru-RU"/>
        </w:rPr>
        <w:softHyphen/>
        <w:t>лись для приемки зачастую недоукомплектованными. Это вызывало с нашей стороны вполне справедливые нарекания и задерживало оконча</w:t>
      </w:r>
      <w:r w:rsidRPr="005E779E">
        <w:rPr>
          <w:rStyle w:val="1028"/>
          <w:rFonts w:ascii="Times New Roman" w:eastAsia="Arial Unicode MS" w:hAnsi="Times New Roman" w:cs="Times New Roman"/>
          <w:iCs/>
          <w:color w:val="000000" w:themeColor="text1"/>
          <w:sz w:val="16"/>
          <w:szCs w:val="16"/>
          <w:lang w:val="ru-RU"/>
        </w:rPr>
        <w:softHyphen/>
        <w:t xml:space="preserve">тельную приемку танков. </w:t>
      </w:r>
      <w:r w:rsidRPr="005E779E">
        <w:rPr>
          <w:color w:val="000000" w:themeColor="text1"/>
          <w:lang w:val="ru-RU"/>
        </w:rPr>
        <w:t>Однако, несмотря на ряд отклонений от технических требований, танк №229 был принят советской стороной, учитывая острую необходи</w:t>
      </w:r>
      <w:r w:rsidRPr="005E779E">
        <w:rPr>
          <w:color w:val="000000" w:themeColor="text1"/>
          <w:lang w:val="ru-RU"/>
        </w:rPr>
        <w:softHyphen/>
        <w:t>мость проведения испытаний в СССР для скорейшего изучения и совер</w:t>
      </w:r>
      <w:r w:rsidRPr="005E779E">
        <w:rPr>
          <w:color w:val="000000" w:themeColor="text1"/>
          <w:lang w:val="ru-RU"/>
        </w:rPr>
        <w:softHyphen/>
        <w:t>шенствования конструкции современного типа танка (15745).</w:t>
      </w:r>
    </w:p>
    <w:p w14:paraId="40615949" w14:textId="77777777" w:rsidR="000C5145" w:rsidRPr="005E779E" w:rsidRDefault="000C5145" w:rsidP="000B7A6C">
      <w:pPr>
        <w:spacing w:after="0" w:line="240" w:lineRule="auto"/>
        <w:jc w:val="both"/>
        <w:rPr>
          <w:rFonts w:ascii="Times New Roman" w:hAnsi="Times New Roman"/>
          <w:color w:val="000000" w:themeColor="text1"/>
          <w:sz w:val="16"/>
          <w:szCs w:val="16"/>
        </w:rPr>
      </w:pPr>
    </w:p>
    <w:p w14:paraId="71AB1A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6 декабря 1931 Н.М.Тоскин был отозван в Москву и специальное танковое КБ ХПЗ возглавил А.О.Фирсов. Завод выпустил всего 3 БТ за 1931, т.к. Ижорский завод подвел с башнями (3879,12).</w:t>
      </w:r>
    </w:p>
    <w:p w14:paraId="4C2406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D1A35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декабря 1931 года руководителем танкового КБ на ХПЗ был назначен А.О. Фирсов (9154).</w:t>
      </w:r>
    </w:p>
    <w:p w14:paraId="117B3B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F96A7B7"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11ACE077"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02BE58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декабря 1931 принят Вестминстерский устав, определяющий роль доминионов (Канады, Австралии, Новой Зеландии и др.) в создающемся Британском содружестве (4962).</w:t>
      </w:r>
    </w:p>
    <w:p w14:paraId="1F127ED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998495" w14:textId="77777777" w:rsidR="009E3773"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5380069E" w14:textId="77777777" w:rsidR="009E3773" w:rsidRPr="005E779E" w:rsidRDefault="009E3773"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18AC7F8" w14:textId="77777777" w:rsidR="009E3773" w:rsidRPr="005E779E" w:rsidRDefault="009E37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декабря 1931 г. начальник ЦАГИ Н.Е. Пауфлер принял решение организовать работу ЦКБ по бригадному принципу. При этом объекты, поручаемые бригадам для исполнения, прорабатывались этой бригадой от начала проектирования и вплоть до внесения изменений при серийной постройке. Начальник бригады полностью отвечал за порученные ему к исполнению самолеты.</w:t>
      </w:r>
    </w:p>
    <w:p w14:paraId="7426567F" w14:textId="77777777" w:rsidR="009E3773" w:rsidRPr="005E779E" w:rsidRDefault="009E37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связи с этим в структуре ЦКБ были образованы семь секторов: сектор тяжелых самолетов — руководитель А.Н. Туполев; сектор легких самолетов — руководитель Д.П. Григорович; сектор особых конструкций — руководитель В.Н. Чернышев; сектор вооружений — руководитель А.В. Надашкевич; сектор общих работ — руководитель А.И. Рафаэлянц; планово-технический сектор и административно-хозяйственный сектор.</w:t>
      </w:r>
    </w:p>
    <w:p w14:paraId="7DD14B6E" w14:textId="77777777" w:rsidR="009E3773" w:rsidRPr="005E779E" w:rsidRDefault="009E37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сектор легких самолетов вошли: бригада №4 П.О. Сухого (заместитель Н.Н. Поликарпов) и бригада №5 С.А. Кочеригина (заместитель Петров). Сектор особых конструкций включал: бригаду №3 В.Н. Чернышева (заместитель Г.О. Бертош) и бригаду №6 В.А. Чижевского.</w:t>
      </w:r>
    </w:p>
    <w:p w14:paraId="6147C08E" w14:textId="77777777" w:rsidR="009E3773" w:rsidRPr="005E779E" w:rsidRDefault="009E37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Уместно отметить, что полностью специализация бригад по типам самолетов завершилась лишь в 1935 г. (12230).</w:t>
      </w:r>
    </w:p>
    <w:p w14:paraId="18B302B2" w14:textId="77777777" w:rsidR="009E3773" w:rsidRPr="005E779E" w:rsidRDefault="009E3773" w:rsidP="000B7A6C">
      <w:pPr>
        <w:spacing w:after="0" w:line="240" w:lineRule="auto"/>
        <w:jc w:val="both"/>
        <w:rPr>
          <w:rFonts w:ascii="Times New Roman" w:hAnsi="Times New Roman"/>
          <w:color w:val="000000" w:themeColor="text1"/>
          <w:sz w:val="16"/>
          <w:szCs w:val="16"/>
        </w:rPr>
      </w:pPr>
    </w:p>
    <w:p w14:paraId="267B2ADA" w14:textId="77777777" w:rsidR="000F17FB" w:rsidRPr="005E779E" w:rsidRDefault="000F17FB" w:rsidP="000B7A6C">
      <w:pPr>
        <w:pStyle w:val="rtejustify"/>
        <w:shd w:val="clear" w:color="auto" w:fill="FFFFFF"/>
        <w:spacing w:before="0" w:after="0"/>
        <w:rPr>
          <w:color w:val="000000" w:themeColor="text1"/>
          <w:sz w:val="16"/>
          <w:szCs w:val="16"/>
        </w:rPr>
      </w:pPr>
      <w:r w:rsidRPr="005E779E">
        <w:rPr>
          <w:color w:val="000000" w:themeColor="text1"/>
          <w:sz w:val="16"/>
          <w:szCs w:val="16"/>
        </w:rPr>
        <w:t>В начале декабря 1931 года начальник ЦАГИ Н. Е. Пауфлер принял решение организовать работу ЦКБ по бригадному принципу. При этом объекты, поручаемые бригадам для исполнения, прорабатывались этой бригадой от начала проектирования и вплоть до внесения изменений при серийной постройке. Начальник бригады полностью отвечал за порученные ему к исполнению самолеты.</w:t>
      </w:r>
    </w:p>
    <w:p w14:paraId="5E27ABE9" w14:textId="77777777" w:rsidR="000F17FB" w:rsidRPr="005E779E" w:rsidRDefault="000F17FB" w:rsidP="000B7A6C">
      <w:pPr>
        <w:pStyle w:val="rtejustify"/>
        <w:shd w:val="clear" w:color="auto" w:fill="FFFFFF"/>
        <w:spacing w:before="0" w:after="0"/>
        <w:rPr>
          <w:color w:val="000000" w:themeColor="text1"/>
          <w:sz w:val="16"/>
          <w:szCs w:val="16"/>
        </w:rPr>
      </w:pPr>
      <w:r w:rsidRPr="005E779E">
        <w:rPr>
          <w:color w:val="000000" w:themeColor="text1"/>
          <w:sz w:val="16"/>
          <w:szCs w:val="16"/>
        </w:rPr>
        <w:t>В связи с этим в структуре ЦКБ были образованы семь секторов: сектор тяжелых самолетов – руководитель А. Н. Туполев; сектор легких самолетов – руководитель Д. П. Григорович; сектор особых конструкций – руководитель В. Н. Чернышев; сектор вооружений – руководитель A. В. Надашкевич; сектор общих работ – руководитель А. И. Рафаэлянц; планово-технический сектор и административно-хозяйственный сектор.</w:t>
      </w:r>
    </w:p>
    <w:p w14:paraId="32FAE4C2" w14:textId="77777777" w:rsidR="000F17FB" w:rsidRPr="005E779E" w:rsidRDefault="000F17FB" w:rsidP="000B7A6C">
      <w:pPr>
        <w:pStyle w:val="rtejustify"/>
        <w:shd w:val="clear" w:color="auto" w:fill="FFFFFF"/>
        <w:spacing w:before="0" w:after="0"/>
        <w:rPr>
          <w:color w:val="000000" w:themeColor="text1"/>
          <w:sz w:val="16"/>
          <w:szCs w:val="16"/>
        </w:rPr>
      </w:pPr>
      <w:r w:rsidRPr="005E779E">
        <w:rPr>
          <w:color w:val="000000" w:themeColor="text1"/>
          <w:sz w:val="16"/>
          <w:szCs w:val="16"/>
        </w:rPr>
        <w:t>В сектор легких самолетов вошли: бригада №4 П. О. Сухого (заместитель Н. Н. Поликарпов) и бригада №5 С. А. Кочеригина (заместитель Петров). Сектор особых конструкций включал: бригаду №3 В. Н. Чернышева (заместитель Г. О. Бертош) и бригаду №6 B. А. Чижевского (19171).</w:t>
      </w:r>
    </w:p>
    <w:p w14:paraId="5E26BB85" w14:textId="77777777" w:rsidR="000F17FB" w:rsidRPr="005E779E" w:rsidRDefault="000F17FB" w:rsidP="000B7A6C">
      <w:pPr>
        <w:pStyle w:val="rtejustify"/>
        <w:shd w:val="clear" w:color="auto" w:fill="FFFFFF"/>
        <w:spacing w:before="0" w:after="0"/>
        <w:rPr>
          <w:color w:val="000000" w:themeColor="text1"/>
          <w:sz w:val="16"/>
          <w:szCs w:val="16"/>
        </w:rPr>
      </w:pPr>
    </w:p>
    <w:p w14:paraId="155204FA" w14:textId="77777777" w:rsidR="0098310F" w:rsidRPr="00142305" w:rsidRDefault="0098310F" w:rsidP="0098310F">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В начале декабря 1931 г. начальник ЦАГИ Н.Е. Пауфлер принял решение организовать работу ЦКБ по бригадному принципу. При этом объекты, поручаемые бригадам для исполнения, прорабатывались этой бригадой от начала проектирования и вплоть до внесения изменений при серийной постройке. Начальник бригады полностью отвечал за порученные ему к исполнению самолеты.</w:t>
      </w:r>
    </w:p>
    <w:p w14:paraId="0695B72D" w14:textId="77777777" w:rsidR="0098310F" w:rsidRPr="00142305" w:rsidRDefault="0098310F" w:rsidP="0098310F">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В связи с этим в структуре ЦКБ были образованы семь секторов: сектор тяжелых самолетов – руководитель А.Н. Туполев; сектор легких самолетов – руководитель Д.П. Григорович; сектор особых конструкций – руководитель В.Н. Чернышев; сектор вооружений – руководитель А.В. Надашкевич; сектор общих работ – руководитель А.И. Рафаэлянц; планово-технический сектор и административно</w:t>
      </w:r>
      <w:r w:rsidRPr="00142305">
        <w:rPr>
          <w:rStyle w:val="aff0"/>
          <w:rFonts w:ascii="Times New Roman" w:hAnsi="Times New Roman" w:cs="Times New Roman"/>
          <w:color w:val="0070C0"/>
          <w:spacing w:val="0"/>
          <w:sz w:val="16"/>
          <w:szCs w:val="16"/>
        </w:rPr>
        <w:softHyphen/>
        <w:t>хозяйственный сектор.</w:t>
      </w:r>
    </w:p>
    <w:p w14:paraId="38A0F059" w14:textId="77777777" w:rsidR="0098310F" w:rsidRPr="00142305" w:rsidRDefault="0098310F" w:rsidP="0098310F">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В сектор легких самолетов вошли: бригада № 4 П.О. Сухого (заместитель Н.Н. Поликарпов) и бригада № 5 С.А. Кочеригина (заместитель Петров). Сектор особых конструкций включал: бригаду № 3 В.Н. Чернышева (заместитель Г.О. Бертош) и бригаду № 6 В.А. Чижевского (25667).</w:t>
      </w:r>
    </w:p>
    <w:p w14:paraId="11314640" w14:textId="77777777" w:rsidR="0098310F" w:rsidRPr="00142305" w:rsidRDefault="0098310F" w:rsidP="0098310F">
      <w:pPr>
        <w:spacing w:after="0" w:line="240" w:lineRule="auto"/>
        <w:jc w:val="both"/>
        <w:rPr>
          <w:rFonts w:ascii="Times New Roman" w:hAnsi="Times New Roman"/>
          <w:color w:val="0070C0"/>
          <w:sz w:val="16"/>
          <w:szCs w:val="16"/>
        </w:rPr>
      </w:pPr>
    </w:p>
    <w:p w14:paraId="0EF4BD61" w14:textId="77777777" w:rsidR="009E3773"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5E11E078" w14:textId="77777777" w:rsidR="009E3773" w:rsidRPr="005E779E" w:rsidRDefault="009E3773"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EDD3834" w14:textId="77777777" w:rsidR="009E3773" w:rsidRPr="005E779E" w:rsidRDefault="009E3773" w:rsidP="000B7A6C">
      <w:pPr>
        <w:pStyle w:val="a3"/>
        <w:rPr>
          <w:color w:val="000000" w:themeColor="text1"/>
          <w:lang w:val="ru-RU"/>
        </w:rPr>
      </w:pPr>
      <w:r w:rsidRPr="005E779E">
        <w:rPr>
          <w:color w:val="000000" w:themeColor="text1"/>
          <w:lang w:val="ru-RU"/>
        </w:rPr>
        <w:t>В начале декабря 1931 Техническое бюро на СТЗ начало функционировать (12622).</w:t>
      </w:r>
    </w:p>
    <w:p w14:paraId="37C21036" w14:textId="77777777" w:rsidR="009E3773" w:rsidRPr="005E779E" w:rsidRDefault="009E3773" w:rsidP="000B7A6C">
      <w:pPr>
        <w:pStyle w:val="152"/>
        <w:shd w:val="clear" w:color="auto" w:fill="auto"/>
        <w:spacing w:line="240" w:lineRule="auto"/>
        <w:rPr>
          <w:rFonts w:ascii="Times New Roman" w:hAnsi="Times New Roman" w:cs="Times New Roman"/>
          <w:color w:val="000000" w:themeColor="text1"/>
          <w:sz w:val="16"/>
          <w:szCs w:val="16"/>
        </w:rPr>
      </w:pPr>
    </w:p>
    <w:p w14:paraId="2AF4C20F"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0AC57625"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45221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декабря 1931 Правительство приняло решение об изготовлении 20 самолетов перехватчиков типа Z на заводе 39 (2286,21).</w:t>
      </w:r>
    </w:p>
    <w:p w14:paraId="6DE9EC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2230D2B"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декабря 1931 Зам. Пред. РВС и Зам НКВМД Я.Б.Гамарник писал, что на вооружение КА предполагается ввести У-2 М-11 качестве самолета-сопроводителя для пехоты, кавалерии, моточастей на марше с целью разведки впереди лежащей местности. Хотели возить в боевых порядках на буксире или в кузове полуторки. Я.И.Алкснис согласился с этим предложением, но отметил, что надо поставить вооружение. Поэтому в 1932 Н.Н.П. разработал У-2ВС (4542).</w:t>
      </w:r>
    </w:p>
    <w:p w14:paraId="55BD11A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5ADDC7" w14:textId="77777777" w:rsidR="000C5145" w:rsidRPr="005E779E" w:rsidRDefault="000C514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декабря 1931 г. Заместитель Председателя РВС, Заместитель Наркома по Военным и Морским делам Я. Б. Гамарник сообщал, что на вооружение Красной Армии предлагается ввести самолет У-2 М-11 в качестве самолета-сопроводителя. Сопровождать предполагалось пехоту, кавалерию и моторизованные части на марше с целью разведки впереди лежащей местности. При этом рассчитывалось, что самолет-сопроводитель можно будет перевозить в боевых порядках походных колонн на буксире или в кузове полуторки.</w:t>
      </w:r>
    </w:p>
    <w:p w14:paraId="25FAF848" w14:textId="77777777" w:rsidR="000C5145" w:rsidRPr="005E779E" w:rsidRDefault="000C514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 ВВС РККА Я. И. Алкснис согласился с этим предложением, но отметил, что при этом на У-2 необходимо установить вооружение. Такой вариант самолета У-2 — У-2ВС — был создан в ОКБ Поликарпова в 1932 г., а в 1933 г. успешно прошел государственные испытания и был принят на вооружение. В июне-июле 1933 г. У-2ВС проходил войсковые испытания в Борисоглебской школе. По их результатам сделали вывод о целесообразности использования самолета в качестве учебно-боевого. У-2ВС в 1935-36 годах выпускался относительно большой серией. Было построено 468 экземпляров. Приемка самолетов осуществлялась по требованиям, изложенным в авиационном стандарте 93 СТУ, разработанным Объединенным Бюро Стандартизации ГУАП.</w:t>
      </w:r>
    </w:p>
    <w:p w14:paraId="2813A598" w14:textId="77777777" w:rsidR="000C5145" w:rsidRPr="005E779E" w:rsidRDefault="000C514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Стандарт определял основные геометрические размеры самолета У-2 М-11(воор) — У-2ВС.</w:t>
      </w:r>
    </w:p>
    <w:p w14:paraId="14C47DFB" w14:textId="77777777" w:rsidR="000C5145" w:rsidRPr="005E779E" w:rsidRDefault="000C514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Весовые характеристики: полетный вес — 1064,00 кг.</w:t>
      </w:r>
    </w:p>
    <w:p w14:paraId="5121BDC8" w14:textId="77777777" w:rsidR="000C5145" w:rsidRPr="005E779E" w:rsidRDefault="000C514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пустого самолета — 726,22 кг,</w:t>
      </w:r>
    </w:p>
    <w:p w14:paraId="167A72F5" w14:textId="77777777" w:rsidR="000C5145" w:rsidRPr="005E779E" w:rsidRDefault="000C514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полной нагрузки — 237,76 кг.</w:t>
      </w:r>
    </w:p>
    <w:p w14:paraId="7298D78D" w14:textId="77777777" w:rsidR="000C5145" w:rsidRPr="005E779E" w:rsidRDefault="000C514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Стрелковое вооружение предусматривало использование переднего огня в виде синхронного крыльевого пулемета ПВ-1 с запасом 200 патронов (ленточное питание) и заднего огня — шкворневой турели ТУР-7 под пулемет Дегтярева ДТ с запасом 252 патрона, размещенных в четырех сменных магазинах.</w:t>
      </w:r>
    </w:p>
    <w:p w14:paraId="6C921F0D" w14:textId="77777777" w:rsidR="000C5145" w:rsidRPr="005E779E" w:rsidRDefault="000C514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Бомбардировочное вооружение предусматривало подвеску шести бомб калибра 8 кг. Управление сбросом бомб механическое. Прицел для бомбометания — АП-2.</w:t>
      </w:r>
    </w:p>
    <w:p w14:paraId="3CBE260A" w14:textId="77777777" w:rsidR="000C5145" w:rsidRPr="005E779E" w:rsidRDefault="000C514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приборной доске летчика размещались: указатель скорости, высотомер, указатели поворота и скольжения, навигационные приборы — компас и часы, приборы контроля работы мотора — тахометр, манометр давления масла, термометр масла. Для улучшения обзора задней полусферы было установлено зеркало, предусматривалось переговорное устройство для связи между членами экипажа.</w:t>
      </w:r>
    </w:p>
    <w:p w14:paraId="65C63242" w14:textId="77777777" w:rsidR="000C5145" w:rsidRPr="005E779E" w:rsidRDefault="000C514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Приборное оборудование кабины наблюдателя включало: указатель скорости, высотомер, манометр и термометр масла, компас.</w:t>
      </w:r>
    </w:p>
    <w:p w14:paraId="7F830C01" w14:textId="77777777" w:rsidR="000C5145" w:rsidRPr="005E779E" w:rsidRDefault="000C514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обеспечения посадки в ночных условиях под нижним крылом устанавливались два посадочных факела.</w:t>
      </w:r>
    </w:p>
    <w:p w14:paraId="61707022" w14:textId="77777777" w:rsidR="000C5145" w:rsidRPr="005E779E" w:rsidRDefault="000C514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Если вначале планировалось использовать У-2ВС преимущественно как легкий боевой самолет, то позднее он, в основном, стал применяться как учебно-тренировочный для обучения использованию стрелкового и бомбардировочного вооружения. В частности, об этом говорилось в отчете по специальным испытаниям У-2ВС в начале 1938 г. На самолете дополнительно устанавливалась фотоустановка ФТ-1 для обучения ведению фоторазведки (15142).</w:t>
      </w:r>
    </w:p>
    <w:p w14:paraId="318AA63D" w14:textId="77777777" w:rsidR="000C5145" w:rsidRPr="005E779E" w:rsidRDefault="000C5145" w:rsidP="000B7A6C">
      <w:pPr>
        <w:spacing w:after="0" w:line="240" w:lineRule="auto"/>
        <w:jc w:val="both"/>
        <w:rPr>
          <w:rFonts w:ascii="Times New Roman" w:hAnsi="Times New Roman"/>
          <w:color w:val="000000" w:themeColor="text1"/>
          <w:sz w:val="16"/>
          <w:szCs w:val="16"/>
        </w:rPr>
      </w:pPr>
    </w:p>
    <w:p w14:paraId="2F183C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декабря 1931 вышло постановление СТО, а 28 декабря 1931 вышел приказ ВСНХ о реорганизации ВАО в ГУАП (Глававиапром) с подчинением ему вновь созданных трестов:</w:t>
      </w:r>
    </w:p>
    <w:p w14:paraId="4FD568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Самолетостроительного</w:t>
      </w:r>
    </w:p>
    <w:p w14:paraId="491499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Авиамоторостроительного</w:t>
      </w:r>
    </w:p>
    <w:p w14:paraId="3651DD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Треста подсобных предприятий</w:t>
      </w:r>
    </w:p>
    <w:p w14:paraId="7DB035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Треста ремонтно-запасного производства (1647,5).</w:t>
      </w:r>
    </w:p>
    <w:p w14:paraId="6BFA37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92B14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декабря 1931 правительство (приказ Наркома обороны В.Е.Ворошилова - 84,27) утвердило предложения Реввоенсовета об организации перелета на предельную дальность и о постройке двух рекордных самолетов АНТ-25 с проектной 13 тыс. и гарантированной - 10 тыс. для М-34Р - к лету 1932 на 13000 км (92,484). Тут и было принято решение об образовании спец. комиссии - ее стали называть Комитетом по дальним перелетам - Комитет РД. Спецкомитет был под председательством К.Е.В. (92,484). Он опирался на ТК по РД, который возглавил А.Н.Т. (80,332).</w:t>
      </w:r>
    </w:p>
    <w:p w14:paraId="04B876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другим данным комиссия была создана еще в августе 1931 по результатам докладной Я.И.Алксниса и А.Н.Т.</w:t>
      </w:r>
    </w:p>
    <w:p w14:paraId="339E0A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Текст: "Утвердить предложение РВС СССР об организации летом 1932 полета на предельную дальность и о постройке для этой цели самолета конструкции А.Н.Т. АНТ-25 под мотор М-34 с проектной дальностью 13000 км, при гарантированной ЦАГИ дальности 9000 км с мотором без редуктора и 10000 км - с редуктором" (2072,71).</w:t>
      </w:r>
    </w:p>
    <w:p w14:paraId="50F6B4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36D1008" w14:textId="77777777" w:rsidR="0078004B" w:rsidRPr="005E779E" w:rsidRDefault="0078004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декабря 1931 года постановление СНК о полете на пре</w:t>
      </w:r>
      <w:r w:rsidRPr="005E779E">
        <w:rPr>
          <w:rFonts w:ascii="Times New Roman" w:hAnsi="Times New Roman"/>
          <w:color w:val="000000" w:themeColor="text1"/>
          <w:sz w:val="16"/>
          <w:szCs w:val="16"/>
        </w:rPr>
        <w:softHyphen/>
        <w:t>дельную дальность 13 000 км и о постройке самолета РД (рекордный дальний) с мото</w:t>
      </w:r>
      <w:r w:rsidRPr="005E779E">
        <w:rPr>
          <w:rFonts w:ascii="Times New Roman" w:hAnsi="Times New Roman"/>
          <w:color w:val="000000" w:themeColor="text1"/>
          <w:sz w:val="16"/>
          <w:szCs w:val="16"/>
        </w:rPr>
        <w:softHyphen/>
        <w:t>ром М-34 стало итогом работы комиссии Ворошилова (12725).</w:t>
      </w:r>
    </w:p>
    <w:p w14:paraId="2A0CB928" w14:textId="77777777" w:rsidR="0078004B" w:rsidRPr="005E779E" w:rsidRDefault="0078004B" w:rsidP="000B7A6C">
      <w:pPr>
        <w:spacing w:after="0" w:line="240" w:lineRule="auto"/>
        <w:jc w:val="both"/>
        <w:rPr>
          <w:rFonts w:ascii="Times New Roman" w:hAnsi="Times New Roman"/>
          <w:color w:val="000000" w:themeColor="text1"/>
          <w:sz w:val="16"/>
          <w:szCs w:val="16"/>
        </w:rPr>
      </w:pPr>
    </w:p>
    <w:p w14:paraId="0FABD229" w14:textId="77777777" w:rsidR="00162C5B" w:rsidRPr="005E779E" w:rsidRDefault="00162C5B" w:rsidP="000B7A6C">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lastRenderedPageBreak/>
        <w:t>7 декабря 1931 года вышло постановление СНК СССР в котором с революционным оптимизмом ставилась задача «об организации летом 1932 года полета на предельную дальность и о постройке для этой цели самолета конструкции А.Н. Туполева АНТ-25 под мотор М-34 с проектной дальностью 13000 км».</w:t>
      </w:r>
    </w:p>
    <w:p w14:paraId="4DAA2298" w14:textId="77777777" w:rsidR="00162C5B" w:rsidRPr="005E779E" w:rsidRDefault="00162C5B" w:rsidP="000B7A6C">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Для координации работ по созданию самолета и проведению предстоящих дальних перелетов при СНК СССР была организована правительственная комиссия во главе с Ворошиловым. Комиссия получила название «Комитет по дальним перелетам». Ничего принципиально нового по сравнению с «Комиссиями по большим советским перелетам», действовавшим в 20-х годах, в работе нового Комитета не было. Однако масштабная цель, поставленная перед ним – достижение рекордов мирового уровня, несоизмеримо усложняла и задачи, которые требовалось решить в ходе реализации планов. Для этого требовалось объединить усилия десятков предприятий и организаций авиапрома и множества других ведомств. Так, например, кроме создания самолета АНТ-25, специально для рекордных перелетов на Щелковском аэродроме под Москвой была построена взлетная полоса с бетонированным покрытием длиной 1800 метров и 12-ти метровой горкой в ее начале (21249).</w:t>
      </w:r>
    </w:p>
    <w:p w14:paraId="12FE07CC" w14:textId="77777777" w:rsidR="00162C5B" w:rsidRPr="005E779E" w:rsidRDefault="00162C5B" w:rsidP="000B7A6C">
      <w:pPr>
        <w:shd w:val="clear" w:color="auto" w:fill="FFFFFF"/>
        <w:spacing w:after="0" w:line="240" w:lineRule="auto"/>
        <w:jc w:val="both"/>
        <w:rPr>
          <w:rFonts w:ascii="Times New Roman" w:hAnsi="Times New Roman"/>
          <w:color w:val="000000" w:themeColor="text1"/>
          <w:sz w:val="16"/>
          <w:szCs w:val="16"/>
          <w:shd w:val="clear" w:color="auto" w:fill="FFFFFF"/>
        </w:rPr>
      </w:pPr>
    </w:p>
    <w:p w14:paraId="7D305C68" w14:textId="77777777" w:rsidR="00162C5B" w:rsidRPr="005E779E" w:rsidRDefault="00162C5B"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7 декабря 1931 предложение Реввоенсовета по РД утвердила комиссия обороны, назначив завершение всех работ и испытательный полет на лето 1932 года.</w:t>
      </w:r>
    </w:p>
    <w:p w14:paraId="4355F70B" w14:textId="77777777" w:rsidR="00162C5B" w:rsidRPr="005E779E" w:rsidRDefault="00162C5B" w:rsidP="000B7A6C">
      <w:pPr>
        <w:pStyle w:val="ae"/>
        <w:shd w:val="clear" w:color="auto" w:fill="FFFFFF"/>
        <w:spacing w:before="0" w:after="0"/>
        <w:jc w:val="both"/>
        <w:rPr>
          <w:color w:val="000000" w:themeColor="text1"/>
          <w:sz w:val="16"/>
          <w:szCs w:val="16"/>
        </w:rPr>
      </w:pPr>
      <w:r w:rsidRPr="005E779E">
        <w:rPr>
          <w:color w:val="000000" w:themeColor="text1"/>
          <w:sz w:val="16"/>
          <w:szCs w:val="16"/>
        </w:rPr>
        <w:t>Такая поспешность вызывалась не предощущением надвигающейся войны, а стремлением во что бы то ни стало опередить «конкурентов», Британскую авиакомпанию «Бритиш эйруейс» и американскую «Пан Америкен», завершавших прокладку воздушной трассы Европа — Северная Америка. Отказавшись окончательно от использования дирижаблей, Великобритания и США решили независимо друг от друга добиться в самое ближайшее время открытия регулярных рейсов через заполярные районы Северной Атлантики. Но с промежуточными посадками на Лабрадоре, в Гренландии и Исландии.</w:t>
      </w:r>
    </w:p>
    <w:p w14:paraId="53F3452D" w14:textId="77777777" w:rsidR="00162C5B" w:rsidRPr="005E779E" w:rsidRDefault="00162C5B" w:rsidP="000B7A6C">
      <w:pPr>
        <w:pStyle w:val="ae"/>
        <w:shd w:val="clear" w:color="auto" w:fill="FFFFFF"/>
        <w:spacing w:before="0" w:after="0"/>
        <w:jc w:val="both"/>
        <w:rPr>
          <w:color w:val="000000" w:themeColor="text1"/>
          <w:sz w:val="16"/>
          <w:szCs w:val="16"/>
        </w:rPr>
      </w:pPr>
      <w:r w:rsidRPr="005E779E">
        <w:rPr>
          <w:color w:val="000000" w:themeColor="text1"/>
          <w:sz w:val="16"/>
          <w:szCs w:val="16"/>
        </w:rPr>
        <w:t>Сама авиация уже доказала возможность, даже простоту такой трассы. Дважды, в 1931 и 1932 годах, по ней с востока на запад, и не в первый раз, пролетал немецкий летчик Вольфганг фон Гронау. Одновременно с ним опробовали маршрут, только с запада на восток, датские пилоты Кремер и Покетт, английский Хатчинсон, норвежский Ли Брокхоп. Все они не проявляли торопливости. Подолгу сидели в разных поселках Гренландии — в Скорбисунне, Суккертопплене, Готхобе, в Исландии, тщательно выбирая наилучшие места для будущих аэродромов. Тем же занималась и сухопутная экспедиция «Пан Америкен». Все лето 1932 года на западном и восточном побережье арктического острова вели картографирование, изучали погоду, иные аэронавигационные условия (20467).</w:t>
      </w:r>
    </w:p>
    <w:p w14:paraId="36B1A391" w14:textId="77777777" w:rsidR="00162C5B" w:rsidRPr="005E779E" w:rsidRDefault="00162C5B" w:rsidP="000B7A6C">
      <w:pPr>
        <w:spacing w:after="0" w:line="240" w:lineRule="auto"/>
        <w:jc w:val="both"/>
        <w:rPr>
          <w:rFonts w:ascii="Times New Roman" w:hAnsi="Times New Roman"/>
          <w:color w:val="000000" w:themeColor="text1"/>
          <w:sz w:val="16"/>
          <w:szCs w:val="16"/>
        </w:rPr>
      </w:pPr>
    </w:p>
    <w:p w14:paraId="66B4E4E8" w14:textId="77777777" w:rsidR="00C534F7" w:rsidRPr="005E779E" w:rsidRDefault="00C534F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декабря 1931 г. правительство поста</w:t>
      </w:r>
      <w:r w:rsidRPr="005E779E">
        <w:rPr>
          <w:rFonts w:ascii="Times New Roman" w:hAnsi="Times New Roman"/>
          <w:color w:val="000000" w:themeColor="text1"/>
          <w:sz w:val="16"/>
          <w:szCs w:val="16"/>
        </w:rPr>
        <w:softHyphen/>
        <w:t>новило: «Утвердить предложение РВС СССР об организации летом 1932 г. полета на предельную дальность и о постройке для этой цели самолета конструкции А.Н. Туполева АНТ—25 под мотор М—34 с проектной дальностью 13000 км, при га</w:t>
      </w:r>
      <w:r w:rsidRPr="005E779E">
        <w:rPr>
          <w:rFonts w:ascii="Times New Roman" w:hAnsi="Times New Roman"/>
          <w:color w:val="000000" w:themeColor="text1"/>
          <w:sz w:val="16"/>
          <w:szCs w:val="16"/>
        </w:rPr>
        <w:softHyphen/>
        <w:t>рантированной ЦАГИ дальности — 9000 км с мотором без редуктора и 10000 км — с ре</w:t>
      </w:r>
      <w:r w:rsidRPr="005E779E">
        <w:rPr>
          <w:rFonts w:ascii="Times New Roman" w:hAnsi="Times New Roman"/>
          <w:color w:val="000000" w:themeColor="text1"/>
          <w:sz w:val="16"/>
          <w:szCs w:val="16"/>
        </w:rPr>
        <w:softHyphen/>
        <w:t>дуктором» (23474).</w:t>
      </w:r>
    </w:p>
    <w:p w14:paraId="44BE7DCF" w14:textId="77777777" w:rsidR="00C534F7" w:rsidRPr="005E779E" w:rsidRDefault="00C534F7" w:rsidP="000B7A6C">
      <w:pPr>
        <w:spacing w:after="0" w:line="240" w:lineRule="auto"/>
        <w:jc w:val="both"/>
        <w:rPr>
          <w:rFonts w:ascii="Times New Roman" w:hAnsi="Times New Roman"/>
          <w:color w:val="000000" w:themeColor="text1"/>
          <w:sz w:val="16"/>
          <w:szCs w:val="16"/>
        </w:rPr>
      </w:pPr>
    </w:p>
    <w:p w14:paraId="5AED4CC2" w14:textId="77777777" w:rsidR="00C534F7" w:rsidRPr="005E779E" w:rsidRDefault="00C534F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декабря 1931 г. в СССР был образован правительственный «Комитет по дальним перелётам» или «Комитет РД» (РД - рекорд дальности) во гла</w:t>
      </w:r>
      <w:r w:rsidRPr="005E779E">
        <w:rPr>
          <w:rFonts w:ascii="Times New Roman" w:hAnsi="Times New Roman"/>
          <w:color w:val="000000" w:themeColor="text1"/>
          <w:sz w:val="16"/>
          <w:szCs w:val="16"/>
        </w:rPr>
        <w:softHyphen/>
        <w:t>ве с председателем Революционного Во</w:t>
      </w:r>
      <w:r w:rsidRPr="005E779E">
        <w:rPr>
          <w:rFonts w:ascii="Times New Roman" w:hAnsi="Times New Roman"/>
          <w:color w:val="000000" w:themeColor="text1"/>
          <w:sz w:val="16"/>
          <w:szCs w:val="16"/>
        </w:rPr>
        <w:softHyphen/>
        <w:t>енного Совета СССР (РВС) К.Е. Ворошило</w:t>
      </w:r>
      <w:r w:rsidRPr="005E779E">
        <w:rPr>
          <w:rFonts w:ascii="Times New Roman" w:hAnsi="Times New Roman"/>
          <w:color w:val="000000" w:themeColor="text1"/>
          <w:sz w:val="16"/>
          <w:szCs w:val="16"/>
        </w:rPr>
        <w:softHyphen/>
        <w:t>вым. В стране развернулась активная под</w:t>
      </w:r>
      <w:r w:rsidRPr="005E779E">
        <w:rPr>
          <w:rFonts w:ascii="Times New Roman" w:hAnsi="Times New Roman"/>
          <w:color w:val="000000" w:themeColor="text1"/>
          <w:sz w:val="16"/>
          <w:szCs w:val="16"/>
        </w:rPr>
        <w:softHyphen/>
        <w:t>готовка к штурму мировых авиарекордов.</w:t>
      </w:r>
    </w:p>
    <w:p w14:paraId="5CA69128" w14:textId="77777777" w:rsidR="00C534F7" w:rsidRPr="005E779E" w:rsidRDefault="00C534F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Забегая вперёд, отметим, что «Коми</w:t>
      </w:r>
      <w:r w:rsidRPr="005E779E">
        <w:rPr>
          <w:rFonts w:ascii="Times New Roman" w:hAnsi="Times New Roman"/>
          <w:color w:val="000000" w:themeColor="text1"/>
          <w:sz w:val="16"/>
          <w:szCs w:val="16"/>
        </w:rPr>
        <w:softHyphen/>
        <w:t>тету РД» в СССР предшествовала деятель</w:t>
      </w:r>
      <w:r w:rsidRPr="005E779E">
        <w:rPr>
          <w:rFonts w:ascii="Times New Roman" w:hAnsi="Times New Roman"/>
          <w:color w:val="000000" w:themeColor="text1"/>
          <w:sz w:val="16"/>
          <w:szCs w:val="16"/>
        </w:rPr>
        <w:softHyphen/>
        <w:t>ность в 1925-1930 гг. Комиссии Осоавиа- хима по организации больших советских перелётов сначала во главе с С.С. Камене</w:t>
      </w:r>
      <w:r w:rsidRPr="005E779E">
        <w:rPr>
          <w:rFonts w:ascii="Times New Roman" w:hAnsi="Times New Roman"/>
          <w:color w:val="000000" w:themeColor="text1"/>
          <w:sz w:val="16"/>
          <w:szCs w:val="16"/>
        </w:rPr>
        <w:softHyphen/>
        <w:t>вым, а затем с С.А. Межениновым.</w:t>
      </w:r>
    </w:p>
    <w:p w14:paraId="7D1B8DD5" w14:textId="77777777" w:rsidR="00C534F7" w:rsidRPr="005E779E" w:rsidRDefault="00C534F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Справедливости ради, следует под</w:t>
      </w:r>
      <w:r w:rsidRPr="005E779E">
        <w:rPr>
          <w:rFonts w:ascii="Times New Roman" w:hAnsi="Times New Roman"/>
          <w:color w:val="000000" w:themeColor="text1"/>
          <w:sz w:val="16"/>
          <w:szCs w:val="16"/>
        </w:rPr>
        <w:softHyphen/>
        <w:t>черкнуть, что погоня за авиационны</w:t>
      </w:r>
      <w:r w:rsidRPr="005E779E">
        <w:rPr>
          <w:rFonts w:ascii="Times New Roman" w:hAnsi="Times New Roman"/>
          <w:color w:val="000000" w:themeColor="text1"/>
          <w:sz w:val="16"/>
          <w:szCs w:val="16"/>
        </w:rPr>
        <w:softHyphen/>
        <w:t>ми рекордами дальности наблюдалась во всём мире, причём практически с мо</w:t>
      </w:r>
      <w:r w:rsidRPr="005E779E">
        <w:rPr>
          <w:rFonts w:ascii="Times New Roman" w:hAnsi="Times New Roman"/>
          <w:color w:val="000000" w:themeColor="text1"/>
          <w:sz w:val="16"/>
          <w:szCs w:val="16"/>
        </w:rPr>
        <w:softHyphen/>
        <w:t>мента зарождения авиации (24309).</w:t>
      </w:r>
    </w:p>
    <w:p w14:paraId="251D3092" w14:textId="77777777" w:rsidR="00C534F7" w:rsidRPr="005E779E" w:rsidRDefault="00C534F7" w:rsidP="000B7A6C">
      <w:pPr>
        <w:spacing w:after="0" w:line="240" w:lineRule="auto"/>
        <w:jc w:val="both"/>
        <w:rPr>
          <w:rFonts w:ascii="Times New Roman" w:hAnsi="Times New Roman"/>
          <w:color w:val="000000" w:themeColor="text1"/>
          <w:sz w:val="16"/>
          <w:szCs w:val="16"/>
        </w:rPr>
      </w:pPr>
    </w:p>
    <w:p w14:paraId="6BDD252E" w14:textId="77777777" w:rsidR="00C534F7" w:rsidRPr="005E779E" w:rsidRDefault="00C534F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декабря 1931 г., одновременно с со</w:t>
      </w:r>
      <w:r w:rsidRPr="005E779E">
        <w:rPr>
          <w:rFonts w:ascii="Times New Roman" w:hAnsi="Times New Roman"/>
          <w:color w:val="000000" w:themeColor="text1"/>
          <w:sz w:val="16"/>
          <w:szCs w:val="16"/>
        </w:rPr>
        <w:softHyphen/>
        <w:t>зданием «Комитета РД», вышло поста</w:t>
      </w:r>
      <w:r w:rsidRPr="005E779E">
        <w:rPr>
          <w:rFonts w:ascii="Times New Roman" w:hAnsi="Times New Roman"/>
          <w:color w:val="000000" w:themeColor="text1"/>
          <w:sz w:val="16"/>
          <w:szCs w:val="16"/>
        </w:rPr>
        <w:softHyphen/>
        <w:t>новление правительства, утвердившее предложение РВС об организации летом 1932 г. полёта на предельную дальность и о постройке для этой цели самолёта кон</w:t>
      </w:r>
      <w:r w:rsidRPr="005E779E">
        <w:rPr>
          <w:rFonts w:ascii="Times New Roman" w:hAnsi="Times New Roman"/>
          <w:color w:val="000000" w:themeColor="text1"/>
          <w:sz w:val="16"/>
          <w:szCs w:val="16"/>
        </w:rPr>
        <w:softHyphen/>
        <w:t>струкции А.Н. Туполева, получившего на</w:t>
      </w:r>
      <w:r w:rsidRPr="005E779E">
        <w:rPr>
          <w:rFonts w:ascii="Times New Roman" w:hAnsi="Times New Roman"/>
          <w:color w:val="000000" w:themeColor="text1"/>
          <w:sz w:val="16"/>
          <w:szCs w:val="16"/>
        </w:rPr>
        <w:softHyphen/>
        <w:t>звание РД или АНТ-25, с проектной даль</w:t>
      </w:r>
      <w:r w:rsidRPr="005E779E">
        <w:rPr>
          <w:rFonts w:ascii="Times New Roman" w:hAnsi="Times New Roman"/>
          <w:color w:val="000000" w:themeColor="text1"/>
          <w:sz w:val="16"/>
          <w:szCs w:val="16"/>
        </w:rPr>
        <w:softHyphen/>
        <w:t>ностью 13000 км (24309).</w:t>
      </w:r>
    </w:p>
    <w:p w14:paraId="1DE8553E" w14:textId="77777777" w:rsidR="00C534F7" w:rsidRPr="005E779E" w:rsidRDefault="00C534F7" w:rsidP="000B7A6C">
      <w:pPr>
        <w:spacing w:after="0" w:line="240" w:lineRule="auto"/>
        <w:jc w:val="both"/>
        <w:rPr>
          <w:rFonts w:ascii="Times New Roman" w:hAnsi="Times New Roman"/>
          <w:color w:val="000000" w:themeColor="text1"/>
          <w:sz w:val="16"/>
          <w:szCs w:val="16"/>
        </w:rPr>
      </w:pPr>
    </w:p>
    <w:p w14:paraId="751AE4FE" w14:textId="77777777" w:rsidR="00C534F7" w:rsidRPr="005E779E" w:rsidRDefault="00C534F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декабря 1931 года вышло правительственное решение о строительстве самолета РД, способного выполнить беспосадочный полет на дальность до 13 000 км. Одновременно началось рассмотрение и возможных трасс для будущих сверхдальних перелетов, поскольку для получения рекордного результата не хватало даже огромных размеров СССР. Не хватало и опыта организации и проведения столь дальних перелетов, в связи с чем этой комиссией был поставлен вопрос о необходимости создания меньшего по размерам самолета с дальностью беспосадочного полета до 5000 км. За такой «промежуточный» самолет и взялся известный авиаконструктор Дмитрий Павлович Григорович, возглавлявший тогда кафедру конструкции и проектирования самолетов МАИ (24213).</w:t>
      </w:r>
    </w:p>
    <w:p w14:paraId="23CFCA54" w14:textId="77777777" w:rsidR="00C534F7" w:rsidRPr="005E779E" w:rsidRDefault="00C534F7" w:rsidP="000B7A6C">
      <w:pPr>
        <w:spacing w:after="0" w:line="240" w:lineRule="auto"/>
        <w:jc w:val="both"/>
        <w:rPr>
          <w:rFonts w:ascii="Times New Roman" w:hAnsi="Times New Roman"/>
          <w:color w:val="000000" w:themeColor="text1"/>
          <w:sz w:val="16"/>
          <w:szCs w:val="16"/>
        </w:rPr>
      </w:pPr>
    </w:p>
    <w:p w14:paraId="02D0A383" w14:textId="77777777" w:rsidR="0098310F" w:rsidRPr="00142305" w:rsidRDefault="0098310F" w:rsidP="0098310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7 декабря 1931 г. Комитет обороны ут</w:t>
      </w:r>
      <w:r w:rsidRPr="00142305">
        <w:rPr>
          <w:rFonts w:ascii="Times New Roman" w:hAnsi="Times New Roman"/>
          <w:color w:val="0070C0"/>
          <w:sz w:val="16"/>
          <w:szCs w:val="16"/>
        </w:rPr>
        <w:softHyphen/>
        <w:t>вердил предложение РВС об организа</w:t>
      </w:r>
      <w:r w:rsidRPr="00142305">
        <w:rPr>
          <w:rFonts w:ascii="Times New Roman" w:hAnsi="Times New Roman"/>
          <w:color w:val="0070C0"/>
          <w:sz w:val="16"/>
          <w:szCs w:val="16"/>
        </w:rPr>
        <w:softHyphen/>
        <w:t>ции летом 1932 г. полета на предельную дальность и о постройке для этой цели самолета АНТ-25 под мотор М-34. В пос</w:t>
      </w:r>
      <w:r w:rsidRPr="00142305">
        <w:rPr>
          <w:rFonts w:ascii="Times New Roman" w:hAnsi="Times New Roman"/>
          <w:color w:val="0070C0"/>
          <w:sz w:val="16"/>
          <w:szCs w:val="16"/>
        </w:rPr>
        <w:softHyphen/>
        <w:t>тановлении указывались проектная даль</w:t>
      </w:r>
      <w:r w:rsidRPr="00142305">
        <w:rPr>
          <w:rFonts w:ascii="Times New Roman" w:hAnsi="Times New Roman"/>
          <w:color w:val="0070C0"/>
          <w:sz w:val="16"/>
          <w:szCs w:val="16"/>
        </w:rPr>
        <w:softHyphen/>
        <w:t>ность 13 000 км «при гарантированной ЦАГИ дальности - 9000 км с мотором без редуктора и 10 000 км - с редуктором».</w:t>
      </w:r>
    </w:p>
    <w:p w14:paraId="191D9BA7" w14:textId="77777777" w:rsidR="0098310F" w:rsidRPr="00142305" w:rsidRDefault="0098310F" w:rsidP="0098310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Для руководства и координации работ при СНК организовали правительствен</w:t>
      </w:r>
      <w:r w:rsidRPr="00142305">
        <w:rPr>
          <w:rFonts w:ascii="Times New Roman" w:hAnsi="Times New Roman"/>
          <w:color w:val="0070C0"/>
          <w:sz w:val="16"/>
          <w:szCs w:val="16"/>
        </w:rPr>
        <w:softHyphen/>
        <w:t>ную комиссию во главе с К.Е. Ворошило</w:t>
      </w:r>
      <w:r w:rsidRPr="00142305">
        <w:rPr>
          <w:rFonts w:ascii="Times New Roman" w:hAnsi="Times New Roman"/>
          <w:color w:val="0070C0"/>
          <w:sz w:val="16"/>
          <w:szCs w:val="16"/>
        </w:rPr>
        <w:softHyphen/>
        <w:t>вым, названную Комитетом по дальним перелетам, или Комитетом РД. При нем, в свою очередь, создали Технический ко</w:t>
      </w:r>
      <w:r w:rsidRPr="00142305">
        <w:rPr>
          <w:rFonts w:ascii="Times New Roman" w:hAnsi="Times New Roman"/>
          <w:color w:val="0070C0"/>
          <w:sz w:val="16"/>
          <w:szCs w:val="16"/>
        </w:rPr>
        <w:softHyphen/>
        <w:t>митет по РД, который возглавил А Н. Ту</w:t>
      </w:r>
      <w:r w:rsidRPr="00142305">
        <w:rPr>
          <w:rFonts w:ascii="Times New Roman" w:hAnsi="Times New Roman"/>
          <w:color w:val="0070C0"/>
          <w:sz w:val="16"/>
          <w:szCs w:val="16"/>
        </w:rPr>
        <w:softHyphen/>
        <w:t>полев. Все эти бюрократические мероп</w:t>
      </w:r>
      <w:r w:rsidRPr="00142305">
        <w:rPr>
          <w:rFonts w:ascii="Times New Roman" w:hAnsi="Times New Roman"/>
          <w:color w:val="0070C0"/>
          <w:sz w:val="16"/>
          <w:szCs w:val="16"/>
        </w:rPr>
        <w:softHyphen/>
        <w:t>риятия проводились из-за того, что тре</w:t>
      </w:r>
      <w:r w:rsidRPr="00142305">
        <w:rPr>
          <w:rFonts w:ascii="Times New Roman" w:hAnsi="Times New Roman"/>
          <w:color w:val="0070C0"/>
          <w:sz w:val="16"/>
          <w:szCs w:val="16"/>
        </w:rPr>
        <w:softHyphen/>
        <w:t>бовалось объединение усилий различных организаций. Собирались задействовать ЦАГИ, ЦИАМ, авиамоторный завод № 24 и еще десятки предприятий и организа</w:t>
      </w:r>
      <w:r w:rsidRPr="00142305">
        <w:rPr>
          <w:rFonts w:ascii="Times New Roman" w:hAnsi="Times New Roman"/>
          <w:color w:val="0070C0"/>
          <w:sz w:val="16"/>
          <w:szCs w:val="16"/>
        </w:rPr>
        <w:softHyphen/>
        <w:t>ций других ведомств. За всей программой пристально следил сам И В. Сталин, что возлагало на участников дополнитель</w:t>
      </w:r>
      <w:r w:rsidRPr="00142305">
        <w:rPr>
          <w:rFonts w:ascii="Times New Roman" w:hAnsi="Times New Roman"/>
          <w:color w:val="0070C0"/>
          <w:sz w:val="16"/>
          <w:szCs w:val="16"/>
        </w:rPr>
        <w:softHyphen/>
        <w:t>ное бремя ответственности, хотя одно</w:t>
      </w:r>
      <w:r w:rsidRPr="00142305">
        <w:rPr>
          <w:rFonts w:ascii="Times New Roman" w:hAnsi="Times New Roman"/>
          <w:color w:val="0070C0"/>
          <w:sz w:val="16"/>
          <w:szCs w:val="16"/>
        </w:rPr>
        <w:softHyphen/>
        <w:t>временно облегчало и решение многих организационных вопросов (24946).</w:t>
      </w:r>
    </w:p>
    <w:p w14:paraId="1FE91EF4" w14:textId="77777777" w:rsidR="0098310F" w:rsidRPr="00142305" w:rsidRDefault="0098310F" w:rsidP="0098310F">
      <w:pPr>
        <w:spacing w:after="0" w:line="240" w:lineRule="auto"/>
        <w:jc w:val="both"/>
        <w:rPr>
          <w:rFonts w:ascii="Times New Roman" w:hAnsi="Times New Roman"/>
          <w:color w:val="0070C0"/>
          <w:sz w:val="16"/>
          <w:szCs w:val="16"/>
        </w:rPr>
      </w:pPr>
    </w:p>
    <w:p w14:paraId="4D55337B" w14:textId="77777777" w:rsidR="0098310F" w:rsidRPr="00142305" w:rsidRDefault="0098310F" w:rsidP="0098310F">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7 декабря 1931 г. была создана правительственная комиссия под названием «Комитет по дальним перелётам» пли «Комитет РД» во главе с наркомом тяжёлой промышлен</w:t>
      </w:r>
      <w:r w:rsidRPr="00142305">
        <w:rPr>
          <w:rStyle w:val="aff0"/>
          <w:rFonts w:ascii="Times New Roman" w:hAnsi="Times New Roman" w:cs="Times New Roman"/>
          <w:color w:val="0070C0"/>
          <w:spacing w:val="0"/>
          <w:sz w:val="16"/>
          <w:szCs w:val="16"/>
        </w:rPr>
        <w:softHyphen/>
        <w:t>ности Г.К. Орджоникидзе, в СССР, в которой шла активная подготовка к штурму мировых авиа</w:t>
      </w:r>
      <w:r w:rsidRPr="00142305">
        <w:rPr>
          <w:rStyle w:val="aff0"/>
          <w:rFonts w:ascii="Times New Roman" w:hAnsi="Times New Roman" w:cs="Times New Roman"/>
          <w:color w:val="0070C0"/>
          <w:spacing w:val="0"/>
          <w:sz w:val="16"/>
          <w:szCs w:val="16"/>
        </w:rPr>
        <w:softHyphen/>
        <w:t>ционных рекордов. Топ в ней задавали главным образом военные лётчики во главес начальником Управления ВВС РККА ЯЛ. Алкснисом (25653).</w:t>
      </w:r>
    </w:p>
    <w:p w14:paraId="58A4E267" w14:textId="77777777" w:rsidR="0098310F" w:rsidRPr="00142305" w:rsidRDefault="0098310F" w:rsidP="0098310F">
      <w:pPr>
        <w:spacing w:after="0" w:line="240" w:lineRule="auto"/>
        <w:jc w:val="both"/>
        <w:rPr>
          <w:rFonts w:ascii="Times New Roman" w:hAnsi="Times New Roman"/>
          <w:color w:val="0070C0"/>
          <w:sz w:val="16"/>
          <w:szCs w:val="16"/>
        </w:rPr>
      </w:pPr>
    </w:p>
    <w:p w14:paraId="086BB4FF" w14:textId="77777777" w:rsidR="0098310F" w:rsidRPr="005E779E" w:rsidRDefault="0098310F" w:rsidP="00983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декабря 1931 г. Начало производства авиационного вооружения на авиазаводе №32 (6395).</w:t>
      </w:r>
    </w:p>
    <w:p w14:paraId="270B5B3A" w14:textId="77777777" w:rsidR="0098310F" w:rsidRPr="005E779E" w:rsidRDefault="0098310F" w:rsidP="00983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7DEA23" w14:textId="77777777" w:rsidR="00162C5B" w:rsidRPr="005E779E" w:rsidRDefault="00162C5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декабря 1931 г. приказом начальника ВО ГВФ № 462 БОСЭД преобразовали в Научно-исследо</w:t>
      </w:r>
      <w:r w:rsidRPr="005E779E">
        <w:rPr>
          <w:rFonts w:ascii="Times New Roman" w:hAnsi="Times New Roman"/>
          <w:color w:val="000000" w:themeColor="text1"/>
          <w:sz w:val="16"/>
          <w:szCs w:val="16"/>
        </w:rPr>
        <w:softHyphen/>
        <w:t>вательский комбинат «Дирижаблестрой», основ</w:t>
      </w:r>
      <w:r w:rsidRPr="005E779E">
        <w:rPr>
          <w:rFonts w:ascii="Times New Roman" w:hAnsi="Times New Roman"/>
          <w:color w:val="000000" w:themeColor="text1"/>
          <w:sz w:val="16"/>
          <w:szCs w:val="16"/>
        </w:rPr>
        <w:softHyphen/>
        <w:t>ной задачей которого стала координация работ по опытному строительству и эксплуатации ди</w:t>
      </w:r>
      <w:r w:rsidRPr="005E779E">
        <w:rPr>
          <w:rFonts w:ascii="Times New Roman" w:hAnsi="Times New Roman"/>
          <w:color w:val="000000" w:themeColor="text1"/>
          <w:sz w:val="16"/>
          <w:szCs w:val="16"/>
        </w:rPr>
        <w:softHyphen/>
        <w:t>рижаблей. Он подчинялся ВО ГВФ (с 1932 г. — Главное управление ГВФ (ГУ ГВФ)).</w:t>
      </w:r>
    </w:p>
    <w:p w14:paraId="178C1011" w14:textId="77777777" w:rsidR="00162C5B" w:rsidRPr="005E779E" w:rsidRDefault="00162C5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Москве коллективу КБ «Дирижаблестроя» поручили срочно спроектировать, изготовить и собрать учебно-тренировочные дирижаб</w:t>
      </w:r>
      <w:r w:rsidRPr="005E779E">
        <w:rPr>
          <w:rFonts w:ascii="Times New Roman" w:hAnsi="Times New Roman"/>
          <w:color w:val="000000" w:themeColor="text1"/>
          <w:sz w:val="16"/>
          <w:szCs w:val="16"/>
        </w:rPr>
        <w:softHyphen/>
        <w:t>ли мягкого типа «СССР В-2» (5000 м3) и «СССР В-3» (6500 м3) с закрытыми гондолами, а за</w:t>
      </w:r>
      <w:r w:rsidRPr="005E779E">
        <w:rPr>
          <w:rFonts w:ascii="Times New Roman" w:hAnsi="Times New Roman"/>
          <w:color w:val="000000" w:themeColor="text1"/>
          <w:sz w:val="16"/>
          <w:szCs w:val="16"/>
        </w:rPr>
        <w:softHyphen/>
        <w:t>тем модернизировать дирижабль «Комсо</w:t>
      </w:r>
      <w:r w:rsidRPr="005E779E">
        <w:rPr>
          <w:rFonts w:ascii="Times New Roman" w:hAnsi="Times New Roman"/>
          <w:color w:val="000000" w:themeColor="text1"/>
          <w:sz w:val="16"/>
          <w:szCs w:val="16"/>
        </w:rPr>
        <w:softHyphen/>
        <w:t>мольская правда». Коллектив КБ, состоявший в основном из молодых специалистов — вы</w:t>
      </w:r>
      <w:r w:rsidRPr="005E779E">
        <w:rPr>
          <w:rFonts w:ascii="Times New Roman" w:hAnsi="Times New Roman"/>
          <w:color w:val="000000" w:themeColor="text1"/>
          <w:sz w:val="16"/>
          <w:szCs w:val="16"/>
        </w:rPr>
        <w:softHyphen/>
        <w:t>пускников вузов Москвы и Ленинграда и сту</w:t>
      </w:r>
      <w:r w:rsidRPr="005E779E">
        <w:rPr>
          <w:rFonts w:ascii="Times New Roman" w:hAnsi="Times New Roman"/>
          <w:color w:val="000000" w:themeColor="text1"/>
          <w:sz w:val="16"/>
          <w:szCs w:val="16"/>
        </w:rPr>
        <w:softHyphen/>
        <w:t>дентов-практикантов МАИ и МГУ, пользуясь консультациями А.Н. Туполева, В.Н. Беляева, А.И. Путилова и ряда других специалистов, бы</w:t>
      </w:r>
      <w:r w:rsidRPr="005E779E">
        <w:rPr>
          <w:rFonts w:ascii="Times New Roman" w:hAnsi="Times New Roman"/>
          <w:color w:val="000000" w:themeColor="text1"/>
          <w:sz w:val="16"/>
          <w:szCs w:val="16"/>
        </w:rPr>
        <w:softHyphen/>
        <w:t>стро и успешно справился с порученной рабо</w:t>
      </w:r>
      <w:r w:rsidRPr="005E779E">
        <w:rPr>
          <w:rFonts w:ascii="Times New Roman" w:hAnsi="Times New Roman"/>
          <w:color w:val="000000" w:themeColor="text1"/>
          <w:sz w:val="16"/>
          <w:szCs w:val="16"/>
        </w:rPr>
        <w:softHyphen/>
        <w:t>той (20120).</w:t>
      </w:r>
    </w:p>
    <w:p w14:paraId="73511D5C" w14:textId="77777777" w:rsidR="00162C5B" w:rsidRPr="005E779E" w:rsidRDefault="00162C5B" w:rsidP="000B7A6C">
      <w:pPr>
        <w:spacing w:after="0" w:line="240" w:lineRule="auto"/>
        <w:jc w:val="both"/>
        <w:rPr>
          <w:rFonts w:ascii="Times New Roman" w:hAnsi="Times New Roman"/>
          <w:color w:val="000000" w:themeColor="text1"/>
          <w:sz w:val="16"/>
          <w:szCs w:val="16"/>
        </w:rPr>
      </w:pPr>
    </w:p>
    <w:p w14:paraId="7BB6F3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декабря 1931 приказом № 462 начальника ВОГВФ Гольцмана БОСЭД был преобразован в НИ комбинат "Дирижаблестрой" или в Производственно-эксплуатационное предприятие “Дирижаблестрой”, который получил завод дирижаблей, учебно-опытную эскадру, воздухоплавательную группу свободных аэростатов и водородный завод. В том числе "Дирижаблестрой" получил деньги (25 млн.) и все функции по постройке эскадры дирижаблей Ленин (61).</w:t>
      </w:r>
    </w:p>
    <w:p w14:paraId="3495C3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0747144" w14:textId="77777777" w:rsidR="000C5145" w:rsidRPr="005E779E" w:rsidRDefault="000C514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декабря 1931 г. Приказом № 462 ВОГВФ была переименована в производственно-эксплуатационное предприятие строительства и эксплуатации дирижаблей («Дирижаблестрой») (15797).</w:t>
      </w:r>
    </w:p>
    <w:p w14:paraId="3E2A3D88" w14:textId="77777777" w:rsidR="000C5145" w:rsidRPr="005E779E" w:rsidRDefault="000C5145" w:rsidP="000B7A6C">
      <w:pPr>
        <w:spacing w:after="0" w:line="240" w:lineRule="auto"/>
        <w:jc w:val="both"/>
        <w:rPr>
          <w:rFonts w:ascii="Times New Roman" w:hAnsi="Times New Roman"/>
          <w:color w:val="000000" w:themeColor="text1"/>
          <w:sz w:val="16"/>
          <w:szCs w:val="16"/>
        </w:rPr>
      </w:pPr>
    </w:p>
    <w:p w14:paraId="75875FBF" w14:textId="77777777" w:rsidR="0078004B" w:rsidRPr="005E779E" w:rsidRDefault="0078004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7декабря 1931 БОСЭД переименовыва</w:t>
      </w:r>
      <w:r w:rsidRPr="005E779E">
        <w:rPr>
          <w:rFonts w:ascii="Times New Roman" w:hAnsi="Times New Roman"/>
          <w:color w:val="000000" w:themeColor="text1"/>
          <w:sz w:val="16"/>
          <w:szCs w:val="16"/>
        </w:rPr>
        <w:softHyphen/>
        <w:t>ется в Производственно-эксплуатационное предприятие «Дирижаблестрой» (12732).</w:t>
      </w:r>
    </w:p>
    <w:p w14:paraId="65711E51" w14:textId="77777777" w:rsidR="0078004B" w:rsidRPr="005E779E" w:rsidRDefault="0078004B" w:rsidP="000B7A6C">
      <w:pPr>
        <w:spacing w:after="0" w:line="240" w:lineRule="auto"/>
        <w:jc w:val="both"/>
        <w:rPr>
          <w:rFonts w:ascii="Times New Roman" w:hAnsi="Times New Roman"/>
          <w:color w:val="000000" w:themeColor="text1"/>
          <w:sz w:val="16"/>
          <w:szCs w:val="16"/>
        </w:rPr>
      </w:pPr>
    </w:p>
    <w:p w14:paraId="3FA4F40D" w14:textId="2A70E522"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декабря 1931 г. по приказу начальника ВО ГВФ № 462 БОСЭД преобразована в Научно- исследовательский комбинат «Дирижаблестрой» (Завод № 207 НКОП, НКАП, База опытного строительства и эксплуатации дирижаблей (БОСЭД), Комбинат «Дирижаблестрой» ГВФ, НКТП /пос. Дирижаблестрой, ст. Долгопрудная Северных ж/д,</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Долгопрудный Московской обл. ст. Водники/). Перед ним поставлена задача координации всех работ в стране по дирижаблестроению. Ему были подчинены завод по проектированию и строительству дирижаблей, учеЬн^ опытная эскадра по эксплуатации дирижаблей, газовый завод. В 1932 г. ему также передана территория Центральной воздухоплавательной базы Осоавиахима в</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Долгопрудный, куда и был переведен «Дирижаблестрой». Строительство базы начато в 1930-31 г. в 18 км от Москвы с помощью итальянцев (с 05.1932 г. работал У. Нобиле). Для этого в 05.1931 г. был отведен пустующий участок земли. В 05.1931 г. началось строительство дирижаблестроительной верфи, Газового завода и поселка Дирижаблестрой. 5.05.1932 г. база частично введена в строй, а уже к 7.11.1932 г. построен первый дирижабль. В 03.1934 г. территория была увеличена еще более чем вдвое. Строился аэродром. Один из цехов предприятия (№ 5) размещался на ул. Б. Никитской (1933 г.).</w:t>
      </w:r>
    </w:p>
    <w:p w14:paraId="36335C68" w14:textId="1EE3FB60"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от 31.05.1933 г. членами НТС «Дирижаблестроя» утверждены: А.Н. Туполев (председатель расчетно-конструкторской секции),</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Г.А. Озеров (председатель научно-исследовательской секции), И.И. Погосский.</w:t>
      </w:r>
    </w:p>
    <w:p w14:paraId="6B6CD8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соответствии с пост. СТО от 10.08.1936 г. и приказом НКТП № 287сс от 21.08.1936 г. производственная часть «Дирижаблестроя» со всеми сооружениями и личным составом передана из ГВФ в ГУАП НКТП, в 12.1936 г. - в 1ГУ НКОП. По пр. НКОП № Обсс от 30.12.1936 г. «Дирижаблестрой» переименован в завод № 207 по </w:t>
      </w:r>
      <w:r w:rsidRPr="005E779E">
        <w:rPr>
          <w:rFonts w:ascii="Times New Roman" w:hAnsi="Times New Roman"/>
          <w:color w:val="000000" w:themeColor="text1"/>
          <w:sz w:val="16"/>
          <w:szCs w:val="16"/>
        </w:rPr>
        <w:lastRenderedPageBreak/>
        <w:t>производству дирижаблей. Эксплуатационная часть базы осталась в ГВФ как Управление Воздухоплавания. Акт разделения юридически не оформлялся. В 02.1937 г. завод № 207 - в ведении 1ГУ НКОП, пр. № 22 от 24.01.1938 г. утвержден Устав завода, в 12.1938 г. - в ведении 1ГУ.</w:t>
      </w:r>
    </w:p>
    <w:p w14:paraId="49C4F9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1ГУ НКОП № 05 от 17.01.1937 г. гл. инженером завода № 207 назначен А.И. Путилов, переведенный с завода № 81. В НИО и КБ-4 завода № 207 (КБ-207 гл. конструктора А.И. Путилова) в 1938-39 г. разработаны и испытаны 3 типа аэростатов «АСН» (АСН-П02 - в 1939 г.). Построено 9 опытных дирижаблей.</w:t>
      </w:r>
    </w:p>
    <w:p w14:paraId="249EA7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09.1937 г. был пущен в эксплуатацию Газовый завод для заправки дирижаблей.</w:t>
      </w:r>
    </w:p>
    <w:p w14:paraId="759AD5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осени 1938 г. завод стал производственной базой коллектива Боровкова и Флорова, переведённого с завода № 21 и получившего название ОКБ завода № 207. В 07.1941 г. ОКБ закрыто.</w:t>
      </w:r>
    </w:p>
    <w:p w14:paraId="50109C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НКАП № 304с от 11.09.1939 г. профиль завода изменен - начались работы по истребителю И-207. В связи с этим началась реконструкция завода и новая застройка. На территории по ул. Б. Никитской с 08.1939 г. образованы экспериментальные сварочные мастерские Треста «Оборонпром», преобразованные затем в завод № 6 ОАП НКАП.</w:t>
      </w:r>
    </w:p>
    <w:p w14:paraId="28501C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1939 г. проектная мощность завода составляла 1000 двухмоторных истребителей. План производства на 1941 г.: 235 Су-2.</w:t>
      </w:r>
    </w:p>
    <w:p w14:paraId="246F04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решению СНК № 68сс от 8.02.1940 г. работы по дирижаблестроению окончательно свернуты, матчасть законсервирована. По приказу № 353с от 18.07.1940 г. на базе НИО, аэростатного КБ и части дирижабельно- конструкторского отдела (ДКО) завода была образована Научно-исследовательская лаборатория воздухоплавания (НИЛВ) при ЦАГИ. На завод возложено освоение производства ББ-1. Основная часть ДКО передана СКО завода № 207 для участия в работах по подготовке серии ББ-1. Вновь проведена полная реконструкция цехов.</w:t>
      </w:r>
    </w:p>
    <w:p w14:paraId="521701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1940 г. на заводе было оборудовано несколько групп самолетов в «звено Вахмистрова» с СПБ.</w:t>
      </w:r>
    </w:p>
    <w:p w14:paraId="57983F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08.1941 г. на завод № 207 с завода № 156 НКАП переведена конструкторская группа С.А. Кочеригина.</w:t>
      </w:r>
    </w:p>
    <w:p w14:paraId="06C176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 1053сс от 9.10.1941 г. завод № 207 1ГУ НКАП эвакуирован в Молотов и с 10.1941 г. выбыл из числа действующих в результате объединения с эвакуированным сюда же заводом № 135 НКАП. По приказу № 1168с от 16.12.1941 г. часть личного состава с завода № 207 переведена на завод № 156 НКАП.</w:t>
      </w:r>
    </w:p>
    <w:p w14:paraId="46F058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приказам № 1073с от 20.10.1941 г. и № 93с от 2.02.1942 г. на площадке эвакуированного завода № 207 с 10.1941 г. образовались самолетные Ремонтные мастерские при Ремотделе, далее- при Главремуправлении НКАП. Начальник с 01.1942 г.- М.П. Озимков (с завода № 487). Сюда возвращены кадры, ранее отправленные на завод № 156. Ремонт ЛаГГ-1, Ла-5, МиГ-3, Як-3, Як-9, Ил-2.</w:t>
      </w:r>
    </w:p>
    <w:p w14:paraId="0D889C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04.1942 г. на площадке завода № 207 образован завод № 462 НКАП. С 1957 г. здесь же - ОКБ-424 (ДКБА).</w:t>
      </w:r>
    </w:p>
    <w:p w14:paraId="4CE5FF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Количество оборудования: (11.1940 г.)- 198 металлорежущих станков.</w:t>
      </w:r>
    </w:p>
    <w:p w14:paraId="2E758B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(1932 г.)- П. Пурмаль,</w:t>
      </w:r>
      <w:r w:rsidRPr="005E779E">
        <w:rPr>
          <w:rFonts w:ascii="Times New Roman" w:hAnsi="Times New Roman"/>
          <w:color w:val="000000" w:themeColor="text1"/>
          <w:sz w:val="16"/>
          <w:szCs w:val="16"/>
          <w:vertAlign w:val="superscript"/>
        </w:rPr>
        <w:t>104</w:t>
      </w:r>
      <w:r w:rsidRPr="005E779E">
        <w:rPr>
          <w:rFonts w:ascii="Times New Roman" w:hAnsi="Times New Roman"/>
          <w:color w:val="000000" w:themeColor="text1"/>
          <w:sz w:val="16"/>
          <w:szCs w:val="16"/>
        </w:rPr>
        <w:t xml:space="preserve"> (1932 г.)- И. Фильдман, (-06.193 7-11.04.193 8 г.)- С. Г. Хорьков (арестован), (19.06-09.1938 г.-)- С.В. Житенев, (1938-05.1941 г.-)- </w:t>
      </w:r>
      <w:r w:rsidRPr="005E779E">
        <w:rPr>
          <w:rFonts w:ascii="Times New Roman" w:hAnsi="Times New Roman"/>
          <w:color w:val="000000" w:themeColor="text1"/>
          <w:sz w:val="16"/>
          <w:szCs w:val="16"/>
          <w:lang w:val="en-US"/>
        </w:rPr>
        <w:t>B</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II</w:t>
      </w:r>
      <w:r w:rsidRPr="005E779E">
        <w:rPr>
          <w:rFonts w:ascii="Times New Roman" w:hAnsi="Times New Roman"/>
          <w:color w:val="000000" w:themeColor="text1"/>
          <w:sz w:val="16"/>
          <w:szCs w:val="16"/>
        </w:rPr>
        <w:t>. Горин.</w:t>
      </w:r>
    </w:p>
    <w:p w14:paraId="6E8601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директора: (-06-20.12.1937 г.)- П.Б. Рудини (снят); по строительству (28.02.1937 г.-)- И.П. Афанасьев.</w:t>
      </w:r>
    </w:p>
    <w:p w14:paraId="2602D5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инженер (01.1937-39 г.)- А.И. Путилов (репрессирован), (-06-20.12.1937 г.)- П.Б. Рудини,</w:t>
      </w:r>
      <w:r w:rsidRPr="005E779E">
        <w:rPr>
          <w:rFonts w:ascii="Times New Roman" w:hAnsi="Times New Roman"/>
          <w:color w:val="000000" w:themeColor="text1"/>
          <w:sz w:val="16"/>
          <w:szCs w:val="16"/>
          <w:vertAlign w:val="superscript"/>
        </w:rPr>
        <w:t>139</w:t>
      </w:r>
      <w:r w:rsidRPr="005E779E">
        <w:rPr>
          <w:rFonts w:ascii="Times New Roman" w:hAnsi="Times New Roman"/>
          <w:color w:val="000000" w:themeColor="text1"/>
          <w:sz w:val="16"/>
          <w:szCs w:val="16"/>
        </w:rPr>
        <w:t xml:space="preserve"> (10.1941 г.)- В.К. Таиров.</w:t>
      </w:r>
    </w:p>
    <w:p w14:paraId="55B621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конструктор (1932 г.-)- Умберто Нобиле.</w:t>
      </w:r>
      <w:r w:rsidRPr="005E779E">
        <w:rPr>
          <w:rFonts w:ascii="Times New Roman" w:hAnsi="Times New Roman"/>
          <w:color w:val="000000" w:themeColor="text1"/>
          <w:sz w:val="16"/>
          <w:szCs w:val="16"/>
          <w:vertAlign w:val="superscript"/>
        </w:rPr>
        <w:t>104</w:t>
      </w:r>
    </w:p>
    <w:p w14:paraId="472F60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 КБ «Дирижаблестроя» (1938-46 г.)- Умберто Нобиле.</w:t>
      </w:r>
    </w:p>
    <w:p w14:paraId="7F8769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Производство: дирижабли: В-2, В-3 (1932), В-5, В-6, В-8 (1936)- 1, ДП-9, В-12, ДП-16 (1938), ДС-8, Д-100; самолеты: И-207 (1939-41)- 4, Су-2 (1940-41)- 92.</w:t>
      </w:r>
    </w:p>
    <w:p w14:paraId="08E4E8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ОКБ завода № 207 НКАП гл. конструкторов А.А. Боровкова и И.Ф. Флорова</w:t>
      </w:r>
    </w:p>
    <w:p w14:paraId="50AF7F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Образовалось на заводе № 207 после перехода сюда осенью 1938 г. с завода № 21 конструкторской группы А.А. Боровкова и И.Ф. Флорова. Работы по истребителю И-207; проект экспериментального истребителя «Д» с комбинированной двигательной установкой (М-71 и ПВРД, 2х ДМ-12). В 1941 г. работы по «Д» прекращены из-за эвакуации.</w:t>
      </w:r>
    </w:p>
    <w:p w14:paraId="77AFA3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07.1941 г. ОКБ было расформировано. По приказу № 792сс от 3/4.08.1941 г. Боровков и Флоров с группой сотрудников откомандированы в ОКБ-293 Болховитинова.</w:t>
      </w:r>
    </w:p>
    <w:p w14:paraId="281081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СЖБ-207 НКАП гл. конструктора С.А. Кочеригина</w:t>
      </w:r>
    </w:p>
    <w:p w14:paraId="1C5229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08.1941 г. конструкторская группа С.А. Кочеригина из 28 чел. переведена с завода № 156 НКАП на площадку завода № 207 для доделки ОПБ и подготовки его к испытаниям. Здесь группа получила обозначение ОКБ-207 НКАП. Однако, из-за эвакуации завода достроить самолет не удалось. В 10.1941 г. планер ОПБ направлен на завод № 135, а Кочеригин назначен гл. редактором БНТ НКАП (11982).</w:t>
      </w:r>
    </w:p>
    <w:p w14:paraId="1704E6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D935340" w14:textId="77777777" w:rsidR="0098310F" w:rsidRPr="00142305" w:rsidRDefault="0098310F" w:rsidP="0098310F">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7 декабря 1931 г., при Всесоюзном объеди</w:t>
      </w:r>
      <w:r w:rsidRPr="00142305">
        <w:rPr>
          <w:rStyle w:val="aff0"/>
          <w:rFonts w:ascii="Times New Roman" w:hAnsi="Times New Roman" w:cs="Times New Roman"/>
          <w:color w:val="0070C0"/>
          <w:spacing w:val="0"/>
          <w:sz w:val="16"/>
          <w:szCs w:val="16"/>
        </w:rPr>
        <w:softHyphen/>
        <w:t>нении Гражданского воздушного флота было образова</w:t>
      </w:r>
      <w:r w:rsidRPr="00142305">
        <w:rPr>
          <w:rStyle w:val="aff0"/>
          <w:rFonts w:ascii="Times New Roman" w:hAnsi="Times New Roman" w:cs="Times New Roman"/>
          <w:color w:val="0070C0"/>
          <w:spacing w:val="0"/>
          <w:sz w:val="16"/>
          <w:szCs w:val="16"/>
        </w:rPr>
        <w:softHyphen/>
        <w:t>но производственно-экспериментальное предприятие строительства и эксплуатации дирижаблей «Дирижаблвстрой» в городе Долгопрудном под Москвой. Там предполагалось построить серию воздушных кораблей полужёсткого типа объёмом до 150000 кубометров для использования па внутрисоюзных линиях, в том числе и на трансарктической: Москва-Обдорск (ныне Салехард) Игарка Тиксн Уэлен (25653).</w:t>
      </w:r>
    </w:p>
    <w:p w14:paraId="17EDC606" w14:textId="77777777" w:rsidR="0098310F" w:rsidRPr="00142305" w:rsidRDefault="0098310F" w:rsidP="0098310F">
      <w:pPr>
        <w:spacing w:after="0" w:line="240" w:lineRule="auto"/>
        <w:jc w:val="both"/>
        <w:rPr>
          <w:rStyle w:val="aff0"/>
          <w:rFonts w:ascii="Times New Roman" w:hAnsi="Times New Roman" w:cs="Times New Roman"/>
          <w:color w:val="0070C0"/>
          <w:spacing w:val="0"/>
          <w:sz w:val="16"/>
          <w:szCs w:val="16"/>
        </w:rPr>
      </w:pPr>
    </w:p>
    <w:p w14:paraId="17D28CC1" w14:textId="77777777" w:rsidR="0098310F" w:rsidRPr="00142305" w:rsidRDefault="0098310F" w:rsidP="0098310F">
      <w:pPr>
        <w:spacing w:after="0" w:line="240" w:lineRule="auto"/>
        <w:jc w:val="both"/>
        <w:rPr>
          <w:rStyle w:val="aff0"/>
          <w:rFonts w:ascii="Times New Roman" w:hAnsi="Times New Roman" w:cs="Times New Roman"/>
          <w:color w:val="0070C0"/>
          <w:spacing w:val="0"/>
          <w:sz w:val="16"/>
          <w:szCs w:val="16"/>
        </w:rPr>
      </w:pPr>
      <w:r w:rsidRPr="00142305">
        <w:rPr>
          <w:rStyle w:val="aff0"/>
          <w:rFonts w:ascii="Times New Roman" w:hAnsi="Times New Roman" w:cs="Times New Roman"/>
          <w:color w:val="0070C0"/>
          <w:spacing w:val="0"/>
          <w:sz w:val="16"/>
          <w:szCs w:val="16"/>
        </w:rPr>
        <w:t>7 декабря 1931 г. решением КО «Об авиапромышленности» было решено реорганизовать ВАО в Главное Управление Авиационной промышленно</w:t>
      </w:r>
      <w:r w:rsidRPr="00142305">
        <w:rPr>
          <w:rStyle w:val="aff0"/>
          <w:rFonts w:ascii="Times New Roman" w:hAnsi="Times New Roman" w:cs="Times New Roman"/>
          <w:color w:val="0070C0"/>
          <w:spacing w:val="0"/>
          <w:sz w:val="16"/>
          <w:szCs w:val="16"/>
        </w:rPr>
        <w:softHyphen/>
        <w:t>сти, непосредственно подчиненное президиуму ВСНХ. Одновременно развора</w:t>
      </w:r>
      <w:r w:rsidRPr="00142305">
        <w:rPr>
          <w:rStyle w:val="aff0"/>
          <w:rFonts w:ascii="Times New Roman" w:hAnsi="Times New Roman" w:cs="Times New Roman"/>
          <w:color w:val="0070C0"/>
          <w:spacing w:val="0"/>
          <w:sz w:val="16"/>
          <w:szCs w:val="16"/>
        </w:rPr>
        <w:softHyphen/>
        <w:t>чивалась мощная программа как производства авиапродукции, так и расшире</w:t>
      </w:r>
      <w:r w:rsidRPr="00142305">
        <w:rPr>
          <w:rStyle w:val="aff0"/>
          <w:rFonts w:ascii="Times New Roman" w:hAnsi="Times New Roman" w:cs="Times New Roman"/>
          <w:color w:val="0070C0"/>
          <w:spacing w:val="0"/>
          <w:sz w:val="16"/>
          <w:szCs w:val="16"/>
        </w:rPr>
        <w:softHyphen/>
        <w:t>ние капстроительства авиапредприятий, причем ВСНХ должен был обеспечить авиапром материалами как внутреннего, так и зарубежного производства (</w:t>
      </w:r>
      <w:r w:rsidRPr="0098310F">
        <w:rPr>
          <w:rStyle w:val="aff4"/>
          <w:rFonts w:ascii="Times New Roman" w:hAnsi="Times New Roman" w:cs="Times New Roman"/>
          <w:i w:val="0"/>
          <w:iCs w:val="0"/>
          <w:color w:val="0070C0"/>
          <w:sz w:val="16"/>
          <w:szCs w:val="16"/>
          <w:lang w:val="ru-RU"/>
        </w:rPr>
        <w:t>Быстрова И.В. Советский военно-промышленный комплекс: проблемы становления и раз</w:t>
      </w:r>
      <w:r w:rsidRPr="0098310F">
        <w:rPr>
          <w:rStyle w:val="aff4"/>
          <w:rFonts w:ascii="Times New Roman" w:hAnsi="Times New Roman" w:cs="Times New Roman"/>
          <w:i w:val="0"/>
          <w:iCs w:val="0"/>
          <w:color w:val="0070C0"/>
          <w:sz w:val="16"/>
          <w:szCs w:val="16"/>
          <w:lang w:val="ru-RU"/>
        </w:rPr>
        <w:softHyphen/>
        <w:t>вития (1930-1980-е годы). М., 2006. С. 88, 90</w:t>
      </w:r>
      <w:r w:rsidRPr="00142305">
        <w:rPr>
          <w:rStyle w:val="aff0"/>
          <w:rFonts w:ascii="Times New Roman" w:hAnsi="Times New Roman" w:cs="Times New Roman"/>
          <w:color w:val="0070C0"/>
          <w:spacing w:val="0"/>
          <w:sz w:val="16"/>
          <w:szCs w:val="16"/>
        </w:rPr>
        <w:t>).</w:t>
      </w:r>
    </w:p>
    <w:p w14:paraId="036E80EA" w14:textId="77777777" w:rsidR="0098310F" w:rsidRPr="00142305" w:rsidRDefault="0098310F" w:rsidP="0098310F">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Как отмечает И.В. Быстрова, «мощности 11 авиационных заводов, во</w:t>
      </w:r>
      <w:r w:rsidRPr="00142305">
        <w:rPr>
          <w:rStyle w:val="aff0"/>
          <w:rFonts w:ascii="Times New Roman" w:hAnsi="Times New Roman" w:cs="Times New Roman"/>
          <w:color w:val="0070C0"/>
          <w:spacing w:val="0"/>
          <w:sz w:val="16"/>
          <w:szCs w:val="16"/>
        </w:rPr>
        <w:softHyphen/>
        <w:t>шедших в 1930 г. во Всесоюзное авиационное объединение, были очень не</w:t>
      </w:r>
      <w:r w:rsidRPr="00142305">
        <w:rPr>
          <w:rStyle w:val="aff0"/>
          <w:rFonts w:ascii="Times New Roman" w:hAnsi="Times New Roman" w:cs="Times New Roman"/>
          <w:color w:val="0070C0"/>
          <w:spacing w:val="0"/>
          <w:sz w:val="16"/>
          <w:szCs w:val="16"/>
        </w:rPr>
        <w:softHyphen/>
        <w:t>большими», поэтому план заказов Наркомвоеномора на 1931 г. даже в сокра</w:t>
      </w:r>
      <w:r w:rsidRPr="00142305">
        <w:rPr>
          <w:rStyle w:val="aff0"/>
          <w:rFonts w:ascii="Times New Roman" w:hAnsi="Times New Roman" w:cs="Times New Roman"/>
          <w:color w:val="0070C0"/>
          <w:spacing w:val="0"/>
          <w:sz w:val="16"/>
          <w:szCs w:val="16"/>
        </w:rPr>
        <w:softHyphen/>
        <w:t>щенном виде был выполнен авиапромом явно неудовлетворительно (25647).</w:t>
      </w:r>
    </w:p>
    <w:p w14:paraId="41543858" w14:textId="77777777" w:rsidR="0098310F" w:rsidRPr="00142305" w:rsidRDefault="0098310F" w:rsidP="0098310F">
      <w:pPr>
        <w:spacing w:after="0" w:line="240" w:lineRule="auto"/>
        <w:jc w:val="both"/>
        <w:rPr>
          <w:rFonts w:ascii="Times New Roman" w:hAnsi="Times New Roman"/>
          <w:color w:val="0070C0"/>
          <w:sz w:val="16"/>
          <w:szCs w:val="16"/>
        </w:rPr>
      </w:pPr>
    </w:p>
    <w:p w14:paraId="321DA1D2" w14:textId="77777777" w:rsidR="009E3773"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35D5B414" w14:textId="77777777" w:rsidR="009E3773" w:rsidRPr="005E779E" w:rsidRDefault="009E3773"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26A4558" w14:textId="77777777" w:rsidR="009E3773" w:rsidRPr="005E779E" w:rsidRDefault="009E3773" w:rsidP="000B7A6C">
      <w:pPr>
        <w:pStyle w:val="rtejustify"/>
        <w:spacing w:before="0" w:after="0"/>
        <w:rPr>
          <w:color w:val="000000" w:themeColor="text1"/>
          <w:sz w:val="16"/>
          <w:szCs w:val="16"/>
        </w:rPr>
      </w:pPr>
      <w:r w:rsidRPr="005E779E">
        <w:rPr>
          <w:rStyle w:val="af0"/>
          <w:i w:val="0"/>
          <w:color w:val="000000" w:themeColor="text1"/>
          <w:sz w:val="16"/>
          <w:szCs w:val="16"/>
        </w:rPr>
        <w:t>7 декабря 1931 г. Протокол Реввоенсовета № 41.</w:t>
      </w:r>
      <w:r w:rsidRPr="005E779E">
        <w:rPr>
          <w:color w:val="000000" w:themeColor="text1"/>
          <w:sz w:val="16"/>
          <w:szCs w:val="16"/>
        </w:rPr>
        <w:t xml:space="preserve"> 1. О состоянии торпедно-минного вооружения РККА (Орлов). 3. О введении на вооружение самолета сопровождения (Алкснис). 5. Организация службы ПВО (Егоров). 8. О бронемашине «Форд АА» (Бокис). 19. Об отпуске 12 млн. руб. авансом для изготовления дополнительных винтовочных патронов (Хрулев). (РГВА. Ф. 4. Оп. 18. Д. 21. Л. 209, 310</w:t>
      </w:r>
      <w:r w:rsidRPr="005E779E">
        <w:rPr>
          <w:color w:val="000000" w:themeColor="text1"/>
          <w:sz w:val="16"/>
          <w:szCs w:val="16"/>
        </w:rPr>
        <w:noBreakHyphen/>
        <w:t>311, 313) (12342).</w:t>
      </w:r>
    </w:p>
    <w:p w14:paraId="21F33842" w14:textId="77777777" w:rsidR="009E3773" w:rsidRPr="005E779E" w:rsidRDefault="009E3773" w:rsidP="000B7A6C">
      <w:pPr>
        <w:pStyle w:val="rtejustify"/>
        <w:spacing w:before="0" w:after="0"/>
        <w:rPr>
          <w:color w:val="000000" w:themeColor="text1"/>
          <w:sz w:val="16"/>
          <w:szCs w:val="16"/>
        </w:rPr>
      </w:pPr>
    </w:p>
    <w:p w14:paraId="0AC1F60D" w14:textId="77777777" w:rsidR="009E3773" w:rsidRPr="005E779E" w:rsidRDefault="009E3773"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7 декабря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Постановление ЦИК и СНК СССР об использовании труда граждан, состоящих в тыловом ополчении (РГАЭ. Ф. 3429. Оп. 1. Д. 5265. Л. 224?226. Заверенная копия) (12415).</w:t>
      </w:r>
    </w:p>
    <w:p w14:paraId="4E08FB6E" w14:textId="77777777" w:rsidR="009E3773" w:rsidRPr="005E779E" w:rsidRDefault="009E3773" w:rsidP="000B7A6C">
      <w:pPr>
        <w:spacing w:after="0" w:line="240" w:lineRule="auto"/>
        <w:jc w:val="both"/>
        <w:rPr>
          <w:rFonts w:ascii="Times New Roman" w:hAnsi="Times New Roman"/>
          <w:color w:val="000000" w:themeColor="text1"/>
          <w:sz w:val="16"/>
          <w:szCs w:val="16"/>
          <w:u w:color="002060"/>
        </w:rPr>
      </w:pPr>
    </w:p>
    <w:p w14:paraId="49A29954"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7DE11AB5"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FCA80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декабря 1931 появились сведения о том, что нацисты ратуют за стерилизацию определенных рас (2100).</w:t>
      </w:r>
    </w:p>
    <w:p w14:paraId="56BED3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1BA9809"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1E67790C"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29B8A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8-9 декабря 1931 года и был рассмотрен первый вариант проекта 180-мм двухорудийной башенной установки в НТК УВМС. Он был принят за основу для дальнейших разработок, с учетом внесенных НТК изменений (3861).</w:t>
      </w:r>
    </w:p>
    <w:p w14:paraId="242B21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5ACE2C2" w14:textId="77777777" w:rsidR="000C5145" w:rsidRPr="005E779E" w:rsidRDefault="000C5145" w:rsidP="000B7A6C">
      <w:pPr>
        <w:spacing w:after="0" w:line="240" w:lineRule="auto"/>
        <w:jc w:val="both"/>
        <w:rPr>
          <w:rStyle w:val="af0"/>
          <w:rFonts w:ascii="Times New Roman" w:hAnsi="Times New Roman"/>
          <w:i w:val="0"/>
          <w:color w:val="000000" w:themeColor="text1"/>
          <w:sz w:val="16"/>
          <w:szCs w:val="16"/>
        </w:rPr>
      </w:pPr>
      <w:r w:rsidRPr="005E779E">
        <w:rPr>
          <w:rFonts w:ascii="Times New Roman" w:hAnsi="Times New Roman"/>
          <w:bCs/>
          <w:color w:val="000000" w:themeColor="text1"/>
          <w:sz w:val="16"/>
          <w:szCs w:val="16"/>
        </w:rPr>
        <w:t>8 декабря 1931 г. — Доклад заместителя наркома по военным и морским делам и председателя Реввоенсовета СССР М. Н. Тухачевского председателю Комиссии обороны В. М. Молотову о выполнении решений комиссии по танкостроению</w:t>
      </w:r>
    </w:p>
    <w:p w14:paraId="7483E665" w14:textId="77777777" w:rsidR="009E3773" w:rsidRPr="005E779E" w:rsidRDefault="009E3773" w:rsidP="000B7A6C">
      <w:pPr>
        <w:spacing w:after="0" w:line="240" w:lineRule="auto"/>
        <w:jc w:val="both"/>
        <w:rPr>
          <w:rFonts w:ascii="Times New Roman" w:hAnsi="Times New Roman"/>
          <w:color w:val="000000" w:themeColor="text1"/>
          <w:sz w:val="16"/>
          <w:szCs w:val="16"/>
        </w:rPr>
      </w:pPr>
      <w:r w:rsidRPr="005E779E">
        <w:rPr>
          <w:rStyle w:val="af0"/>
          <w:rFonts w:ascii="Times New Roman" w:hAnsi="Times New Roman"/>
          <w:i w:val="0"/>
          <w:color w:val="000000" w:themeColor="text1"/>
          <w:sz w:val="16"/>
          <w:szCs w:val="16"/>
        </w:rPr>
        <w:t>Совершенно секретно.</w:t>
      </w:r>
    </w:p>
    <w:p w14:paraId="032A9A32" w14:textId="77777777" w:rsidR="009E3773" w:rsidRPr="005E779E" w:rsidRDefault="009E3773" w:rsidP="000B7A6C">
      <w:pPr>
        <w:pStyle w:val="rtejustify"/>
        <w:spacing w:before="0" w:after="0"/>
        <w:rPr>
          <w:color w:val="000000" w:themeColor="text1"/>
          <w:sz w:val="16"/>
          <w:szCs w:val="16"/>
        </w:rPr>
      </w:pPr>
      <w:r w:rsidRPr="005E779E">
        <w:rPr>
          <w:color w:val="000000" w:themeColor="text1"/>
          <w:sz w:val="16"/>
          <w:szCs w:val="16"/>
        </w:rPr>
        <w:t>1 августа с. г. КО приняла важнейшие решения о танкостроении¹*. В порядке контроля за выполнением этих решений докладываю:</w:t>
      </w:r>
    </w:p>
    <w:p w14:paraId="146A1A0D" w14:textId="77777777" w:rsidR="009E3773" w:rsidRPr="005E779E" w:rsidRDefault="009E3773" w:rsidP="000B7A6C">
      <w:pPr>
        <w:pStyle w:val="rtejustify"/>
        <w:spacing w:before="0" w:after="0"/>
        <w:rPr>
          <w:color w:val="000000" w:themeColor="text1"/>
          <w:sz w:val="16"/>
          <w:szCs w:val="16"/>
        </w:rPr>
      </w:pPr>
      <w:r w:rsidRPr="005E779E">
        <w:rPr>
          <w:rStyle w:val="af0"/>
          <w:i w:val="0"/>
          <w:color w:val="000000" w:themeColor="text1"/>
          <w:sz w:val="16"/>
          <w:szCs w:val="16"/>
        </w:rPr>
        <w:t>Принятые решения:</w:t>
      </w:r>
      <w:r w:rsidRPr="005E779E">
        <w:rPr>
          <w:color w:val="000000" w:themeColor="text1"/>
          <w:sz w:val="16"/>
          <w:szCs w:val="16"/>
        </w:rPr>
        <w:t xml:space="preserve"> I. По Ижорскому заводу.</w:t>
      </w:r>
    </w:p>
    <w:p w14:paraId="45762CCE" w14:textId="77777777" w:rsidR="009E3773" w:rsidRPr="005E779E" w:rsidRDefault="009E3773" w:rsidP="000B7A6C">
      <w:pPr>
        <w:pStyle w:val="rtejustify"/>
        <w:spacing w:before="0" w:after="0"/>
        <w:rPr>
          <w:color w:val="000000" w:themeColor="text1"/>
          <w:sz w:val="16"/>
          <w:szCs w:val="16"/>
        </w:rPr>
      </w:pPr>
      <w:r w:rsidRPr="005E779E">
        <w:rPr>
          <w:color w:val="000000" w:themeColor="text1"/>
          <w:sz w:val="16"/>
          <w:szCs w:val="16"/>
        </w:rPr>
        <w:t>1. ВСНХ и ВОМТу в течение 1931 г. подготовить Ижорский завод к подаче 12 тыс. т цементованных броневых листов или 6 тыс. т в весе готовых бронеизделий.</w:t>
      </w:r>
    </w:p>
    <w:p w14:paraId="61A1C1A3" w14:textId="77777777" w:rsidR="009E3773" w:rsidRPr="005E779E" w:rsidRDefault="009E3773" w:rsidP="000B7A6C">
      <w:pPr>
        <w:pStyle w:val="rtejustify"/>
        <w:spacing w:before="0" w:after="0"/>
        <w:rPr>
          <w:color w:val="000000" w:themeColor="text1"/>
          <w:sz w:val="16"/>
          <w:szCs w:val="16"/>
        </w:rPr>
      </w:pPr>
      <w:r w:rsidRPr="005E779E">
        <w:rPr>
          <w:color w:val="000000" w:themeColor="text1"/>
          <w:sz w:val="16"/>
          <w:szCs w:val="16"/>
        </w:rPr>
        <w:t>2. Исходя из указанной программы, помимо восстановленных уже на Ижорском заводе 4 цементационных печей, восстановить еще 6 печей и построить новые цементационные печи.</w:t>
      </w:r>
    </w:p>
    <w:p w14:paraId="158E6C26" w14:textId="77777777" w:rsidR="009E3773" w:rsidRPr="005E779E" w:rsidRDefault="009E3773" w:rsidP="000B7A6C">
      <w:pPr>
        <w:pStyle w:val="rtejustify"/>
        <w:spacing w:before="0" w:after="0"/>
        <w:rPr>
          <w:color w:val="000000" w:themeColor="text1"/>
          <w:sz w:val="16"/>
          <w:szCs w:val="16"/>
        </w:rPr>
      </w:pPr>
      <w:r w:rsidRPr="005E779E">
        <w:rPr>
          <w:color w:val="000000" w:themeColor="text1"/>
          <w:sz w:val="16"/>
          <w:szCs w:val="16"/>
        </w:rPr>
        <w:t>3. С 1 октября 1931 г. ввести в эксплуатацию новый цех бронетанковых корпусов (цех № 6).</w:t>
      </w:r>
    </w:p>
    <w:p w14:paraId="13D7B0CB" w14:textId="77777777" w:rsidR="009E3773" w:rsidRPr="005E779E" w:rsidRDefault="009E3773" w:rsidP="000B7A6C">
      <w:pPr>
        <w:pStyle w:val="rtejustify"/>
        <w:spacing w:before="0" w:after="0"/>
        <w:rPr>
          <w:color w:val="000000" w:themeColor="text1"/>
          <w:sz w:val="16"/>
          <w:szCs w:val="16"/>
        </w:rPr>
      </w:pPr>
      <w:r w:rsidRPr="005E779E">
        <w:rPr>
          <w:rStyle w:val="af0"/>
          <w:i w:val="0"/>
          <w:color w:val="000000" w:themeColor="text1"/>
          <w:sz w:val="16"/>
          <w:szCs w:val="16"/>
        </w:rPr>
        <w:t>Что сделано</w:t>
      </w:r>
      <w:r w:rsidRPr="005E779E">
        <w:rPr>
          <w:color w:val="000000" w:themeColor="text1"/>
          <w:sz w:val="16"/>
          <w:szCs w:val="16"/>
        </w:rPr>
        <w:t>: 1. Задание полностью не выполнено. Вместо требуемых 6 тыс. т подготовлено к производству танковых бронеизделий 3,5</w:t>
      </w:r>
      <w:r w:rsidRPr="005E779E">
        <w:rPr>
          <w:color w:val="000000" w:themeColor="text1"/>
          <w:sz w:val="16"/>
          <w:szCs w:val="16"/>
        </w:rPr>
        <w:noBreakHyphen/>
        <w:t>4 тыс. т в весе готовых бронеизделий²*.</w:t>
      </w:r>
    </w:p>
    <w:p w14:paraId="54A61E0F" w14:textId="77777777" w:rsidR="009E3773" w:rsidRPr="005E779E" w:rsidRDefault="009E3773" w:rsidP="000B7A6C">
      <w:pPr>
        <w:pStyle w:val="rtejustify"/>
        <w:spacing w:before="0" w:after="0"/>
        <w:rPr>
          <w:color w:val="000000" w:themeColor="text1"/>
          <w:sz w:val="16"/>
          <w:szCs w:val="16"/>
        </w:rPr>
      </w:pPr>
      <w:r w:rsidRPr="005E779E">
        <w:rPr>
          <w:color w:val="000000" w:themeColor="text1"/>
          <w:sz w:val="16"/>
          <w:szCs w:val="16"/>
        </w:rPr>
        <w:t>2. Восстановлено 5 печей, к постройке новых цементационных печей не приступлено.</w:t>
      </w:r>
    </w:p>
    <w:p w14:paraId="03DBF5C7" w14:textId="77777777" w:rsidR="009E3773" w:rsidRPr="005E779E" w:rsidRDefault="009E3773" w:rsidP="000B7A6C">
      <w:pPr>
        <w:pStyle w:val="rtejustify"/>
        <w:spacing w:before="0" w:after="0"/>
        <w:rPr>
          <w:color w:val="000000" w:themeColor="text1"/>
          <w:sz w:val="16"/>
          <w:szCs w:val="16"/>
        </w:rPr>
      </w:pPr>
      <w:r w:rsidRPr="005E779E">
        <w:rPr>
          <w:color w:val="000000" w:themeColor="text1"/>
          <w:sz w:val="16"/>
          <w:szCs w:val="16"/>
        </w:rPr>
        <w:t>3. Цех № 6 введен в эксплуатацию частично, не обеспечен оборудованием на 75%. Главным образом прессы³*.</w:t>
      </w:r>
    </w:p>
    <w:p w14:paraId="28707BFB" w14:textId="77777777" w:rsidR="009E3773" w:rsidRPr="005E779E" w:rsidRDefault="009E3773" w:rsidP="000B7A6C">
      <w:pPr>
        <w:pStyle w:val="rtejustify"/>
        <w:spacing w:before="0" w:after="0"/>
        <w:rPr>
          <w:color w:val="000000" w:themeColor="text1"/>
          <w:sz w:val="16"/>
          <w:szCs w:val="16"/>
        </w:rPr>
      </w:pPr>
      <w:r w:rsidRPr="005E779E">
        <w:rPr>
          <w:rStyle w:val="af0"/>
          <w:i w:val="0"/>
          <w:color w:val="000000" w:themeColor="text1"/>
          <w:sz w:val="16"/>
          <w:szCs w:val="16"/>
        </w:rPr>
        <w:t>Принятые решения:</w:t>
      </w:r>
      <w:r w:rsidRPr="005E779E">
        <w:rPr>
          <w:color w:val="000000" w:themeColor="text1"/>
          <w:sz w:val="16"/>
          <w:szCs w:val="16"/>
        </w:rPr>
        <w:t xml:space="preserve"> II. По Кулебакскому заводу.</w:t>
      </w:r>
    </w:p>
    <w:p w14:paraId="7E5117DC" w14:textId="77777777" w:rsidR="009E3773" w:rsidRPr="005E779E" w:rsidRDefault="009E3773" w:rsidP="000B7A6C">
      <w:pPr>
        <w:pStyle w:val="rtejustify"/>
        <w:spacing w:before="0" w:after="0"/>
        <w:rPr>
          <w:color w:val="000000" w:themeColor="text1"/>
          <w:sz w:val="16"/>
          <w:szCs w:val="16"/>
        </w:rPr>
      </w:pPr>
      <w:r w:rsidRPr="005E779E">
        <w:rPr>
          <w:color w:val="000000" w:themeColor="text1"/>
          <w:sz w:val="16"/>
          <w:szCs w:val="16"/>
        </w:rPr>
        <w:lastRenderedPageBreak/>
        <w:t>1. Обязать ВСНХ СССР и объединение Парвагдиз в течение второго полугодия 1931 г. приступить к строительству на Кулебакском заводе цементационного цеха с таким расчетом, чтобы еще в 1931 г. установить в этом цеху цементационные печи.</w:t>
      </w:r>
    </w:p>
    <w:p w14:paraId="080D3E4C" w14:textId="77777777" w:rsidR="009E3773" w:rsidRPr="005E779E" w:rsidRDefault="009E3773" w:rsidP="000B7A6C">
      <w:pPr>
        <w:pStyle w:val="rtejustify"/>
        <w:spacing w:before="0" w:after="0"/>
        <w:rPr>
          <w:color w:val="000000" w:themeColor="text1"/>
          <w:sz w:val="16"/>
          <w:szCs w:val="16"/>
        </w:rPr>
      </w:pPr>
      <w:r w:rsidRPr="005E779E">
        <w:rPr>
          <w:color w:val="000000" w:themeColor="text1"/>
          <w:sz w:val="16"/>
          <w:szCs w:val="16"/>
        </w:rPr>
        <w:t>2. Подготовку механизмов и печей на Кулебакском заводе в 1931 г. вести с таким расчетом, чтобы на 1932 г. обеспечить текущий заказ по подаче 5 тыс. т цементованного листа.</w:t>
      </w:r>
    </w:p>
    <w:p w14:paraId="7F1BA852" w14:textId="77777777" w:rsidR="009E3773" w:rsidRPr="005E779E" w:rsidRDefault="009E3773" w:rsidP="000B7A6C">
      <w:pPr>
        <w:pStyle w:val="rtejustify"/>
        <w:spacing w:before="0" w:after="0"/>
        <w:rPr>
          <w:color w:val="000000" w:themeColor="text1"/>
          <w:sz w:val="16"/>
          <w:szCs w:val="16"/>
        </w:rPr>
      </w:pPr>
      <w:r w:rsidRPr="005E779E">
        <w:rPr>
          <w:color w:val="000000" w:themeColor="text1"/>
          <w:sz w:val="16"/>
          <w:szCs w:val="16"/>
        </w:rPr>
        <w:t>3. Подготовить к концу 1931 г. завод к возможности выпуска 57 тыс. т цементованного листа.</w:t>
      </w:r>
    </w:p>
    <w:p w14:paraId="63155343" w14:textId="77777777" w:rsidR="009E3773" w:rsidRPr="005E779E" w:rsidRDefault="009E3773" w:rsidP="000B7A6C">
      <w:pPr>
        <w:pStyle w:val="rtejustify"/>
        <w:spacing w:before="0" w:after="0"/>
        <w:rPr>
          <w:color w:val="000000" w:themeColor="text1"/>
          <w:sz w:val="16"/>
          <w:szCs w:val="16"/>
        </w:rPr>
      </w:pPr>
      <w:r w:rsidRPr="005E779E">
        <w:rPr>
          <w:color w:val="000000" w:themeColor="text1"/>
          <w:sz w:val="16"/>
          <w:szCs w:val="16"/>
        </w:rPr>
        <w:t>4. Отпустить в 1931 г. на приспособления Кулебакского завода к выпуску брони 2,5 млн. руб. и обеспечить строительство завода необходимым фондом стройматериалов.</w:t>
      </w:r>
    </w:p>
    <w:p w14:paraId="44282CBF" w14:textId="77777777" w:rsidR="009E3773" w:rsidRPr="005E779E" w:rsidRDefault="009E3773" w:rsidP="000B7A6C">
      <w:pPr>
        <w:pStyle w:val="rtejustify"/>
        <w:spacing w:before="0" w:after="0"/>
        <w:rPr>
          <w:color w:val="000000" w:themeColor="text1"/>
          <w:sz w:val="16"/>
          <w:szCs w:val="16"/>
        </w:rPr>
      </w:pPr>
      <w:r w:rsidRPr="005E779E">
        <w:rPr>
          <w:rStyle w:val="af0"/>
          <w:i w:val="0"/>
          <w:color w:val="000000" w:themeColor="text1"/>
          <w:sz w:val="16"/>
          <w:szCs w:val="16"/>
        </w:rPr>
        <w:t>Что сделано:</w:t>
      </w:r>
      <w:r w:rsidRPr="005E779E">
        <w:rPr>
          <w:color w:val="000000" w:themeColor="text1"/>
          <w:sz w:val="16"/>
          <w:szCs w:val="16"/>
        </w:rPr>
        <w:t xml:space="preserve"> ничего не сделано. ВОВАТом дано только промзадание Гипроспецмету на реконструкцию завода, куда включено и строительство цементационного цеха. Ассигнованные на спецстроительство 200 тыс. руб. не израсходованы.</w:t>
      </w:r>
    </w:p>
    <w:p w14:paraId="54497B72" w14:textId="77777777" w:rsidR="009E3773" w:rsidRPr="005E779E" w:rsidRDefault="009E3773" w:rsidP="000B7A6C">
      <w:pPr>
        <w:pStyle w:val="rtejustify"/>
        <w:spacing w:before="0" w:after="0"/>
        <w:rPr>
          <w:color w:val="000000" w:themeColor="text1"/>
          <w:sz w:val="16"/>
          <w:szCs w:val="16"/>
        </w:rPr>
      </w:pPr>
      <w:r w:rsidRPr="005E779E">
        <w:rPr>
          <w:rStyle w:val="af0"/>
          <w:i w:val="0"/>
          <w:color w:val="000000" w:themeColor="text1"/>
          <w:sz w:val="16"/>
          <w:szCs w:val="16"/>
        </w:rPr>
        <w:t>Принятые решения:</w:t>
      </w:r>
      <w:r w:rsidRPr="005E779E">
        <w:rPr>
          <w:color w:val="000000" w:themeColor="text1"/>
          <w:sz w:val="16"/>
          <w:szCs w:val="16"/>
        </w:rPr>
        <w:t xml:space="preserve"> III. По Мариупольскому заводу.</w:t>
      </w:r>
    </w:p>
    <w:p w14:paraId="22119903" w14:textId="77777777" w:rsidR="009E3773" w:rsidRPr="005E779E" w:rsidRDefault="009E3773" w:rsidP="000B7A6C">
      <w:pPr>
        <w:pStyle w:val="rtejustify"/>
        <w:spacing w:before="0" w:after="0"/>
        <w:rPr>
          <w:color w:val="000000" w:themeColor="text1"/>
          <w:sz w:val="16"/>
          <w:szCs w:val="16"/>
        </w:rPr>
      </w:pPr>
      <w:r w:rsidRPr="005E779E">
        <w:rPr>
          <w:color w:val="000000" w:themeColor="text1"/>
          <w:sz w:val="16"/>
          <w:szCs w:val="16"/>
        </w:rPr>
        <w:t>1. Обязать ВСНХ СССР и объединение «Сталь» в течение 1931 г. отремонтировать и оборудовать в броневом цеху 9 имеющихся цементационных печей.</w:t>
      </w:r>
    </w:p>
    <w:p w14:paraId="1827BE57" w14:textId="77777777" w:rsidR="009E3773" w:rsidRPr="005E779E" w:rsidRDefault="009E3773" w:rsidP="000B7A6C">
      <w:pPr>
        <w:pStyle w:val="rtejustify"/>
        <w:spacing w:before="0" w:after="0"/>
        <w:rPr>
          <w:color w:val="000000" w:themeColor="text1"/>
          <w:sz w:val="16"/>
          <w:szCs w:val="16"/>
        </w:rPr>
      </w:pPr>
      <w:r w:rsidRPr="005E779E">
        <w:rPr>
          <w:color w:val="000000" w:themeColor="text1"/>
          <w:sz w:val="16"/>
          <w:szCs w:val="16"/>
        </w:rPr>
        <w:t>2. Работы по заводу в 1931 г. провести с таким расчетом, чтобы уже на 1932 г. завод обеспечил текущий заказ в 10</w:t>
      </w:r>
      <w:r w:rsidRPr="005E779E">
        <w:rPr>
          <w:color w:val="000000" w:themeColor="text1"/>
          <w:sz w:val="16"/>
          <w:szCs w:val="16"/>
        </w:rPr>
        <w:noBreakHyphen/>
        <w:t>11 тыс. т цементованного листа.</w:t>
      </w:r>
    </w:p>
    <w:p w14:paraId="47BDD690" w14:textId="77777777" w:rsidR="009E3773" w:rsidRPr="005E779E" w:rsidRDefault="009E3773" w:rsidP="000B7A6C">
      <w:pPr>
        <w:pStyle w:val="rtejustify"/>
        <w:spacing w:before="0" w:after="0"/>
        <w:rPr>
          <w:color w:val="000000" w:themeColor="text1"/>
          <w:sz w:val="16"/>
          <w:szCs w:val="16"/>
        </w:rPr>
      </w:pPr>
      <w:r w:rsidRPr="005E779E">
        <w:rPr>
          <w:color w:val="000000" w:themeColor="text1"/>
          <w:sz w:val="16"/>
          <w:szCs w:val="16"/>
        </w:rPr>
        <w:t>3. Подготовить Мариупольский завод к концу 1932 г. к подаче на нем 62 тыс. т цементованного броневого листа.</w:t>
      </w:r>
    </w:p>
    <w:p w14:paraId="58DD2CAD" w14:textId="77777777" w:rsidR="009E3773" w:rsidRPr="005E779E" w:rsidRDefault="009E3773" w:rsidP="000B7A6C">
      <w:pPr>
        <w:pStyle w:val="rtejustify"/>
        <w:spacing w:before="0" w:after="0"/>
        <w:rPr>
          <w:color w:val="000000" w:themeColor="text1"/>
          <w:sz w:val="16"/>
          <w:szCs w:val="16"/>
        </w:rPr>
      </w:pPr>
      <w:r w:rsidRPr="005E779E">
        <w:rPr>
          <w:color w:val="000000" w:themeColor="text1"/>
          <w:sz w:val="16"/>
          <w:szCs w:val="16"/>
        </w:rPr>
        <w:t>4. Отпустить в 1931 г. для приспособления завода к выпуску брони 1 млн. руб.</w:t>
      </w:r>
    </w:p>
    <w:p w14:paraId="3807C4EF" w14:textId="77777777" w:rsidR="009E3773" w:rsidRPr="005E779E" w:rsidRDefault="009E3773" w:rsidP="000B7A6C">
      <w:pPr>
        <w:pStyle w:val="rtejustify"/>
        <w:spacing w:before="0" w:after="0"/>
        <w:rPr>
          <w:color w:val="000000" w:themeColor="text1"/>
          <w:sz w:val="16"/>
          <w:szCs w:val="16"/>
        </w:rPr>
      </w:pPr>
      <w:r w:rsidRPr="005E779E">
        <w:rPr>
          <w:rStyle w:val="af0"/>
          <w:i w:val="0"/>
          <w:color w:val="000000" w:themeColor="text1"/>
          <w:sz w:val="16"/>
          <w:szCs w:val="16"/>
        </w:rPr>
        <w:t>Что сделано:</w:t>
      </w:r>
      <w:r w:rsidRPr="005E779E">
        <w:rPr>
          <w:color w:val="000000" w:themeColor="text1"/>
          <w:sz w:val="16"/>
          <w:szCs w:val="16"/>
        </w:rPr>
        <w:t xml:space="preserve"> 1. Ремонт одной печи заканчивается, ремонт 2</w:t>
      </w:r>
      <w:r w:rsidRPr="005E779E">
        <w:rPr>
          <w:color w:val="000000" w:themeColor="text1"/>
          <w:sz w:val="16"/>
          <w:szCs w:val="16"/>
        </w:rPr>
        <w:noBreakHyphen/>
        <w:t>й печи предполагается закончить к 15 декабря 1931 г.</w:t>
      </w:r>
      <w:r w:rsidRPr="005E779E">
        <w:rPr>
          <w:rStyle w:val="a7"/>
          <w:b w:val="0"/>
          <w:color w:val="000000" w:themeColor="text1"/>
          <w:sz w:val="16"/>
          <w:szCs w:val="16"/>
        </w:rPr>
        <w:t xml:space="preserve">, </w:t>
      </w:r>
      <w:r w:rsidRPr="005E779E">
        <w:rPr>
          <w:color w:val="000000" w:themeColor="text1"/>
          <w:sz w:val="16"/>
          <w:szCs w:val="16"/>
        </w:rPr>
        <w:t>ремонт 3</w:t>
      </w:r>
      <w:r w:rsidRPr="005E779E">
        <w:rPr>
          <w:color w:val="000000" w:themeColor="text1"/>
          <w:sz w:val="16"/>
          <w:szCs w:val="16"/>
        </w:rPr>
        <w:noBreakHyphen/>
        <w:t>й, 4</w:t>
      </w:r>
      <w:r w:rsidRPr="005E779E">
        <w:rPr>
          <w:color w:val="000000" w:themeColor="text1"/>
          <w:sz w:val="16"/>
          <w:szCs w:val="16"/>
        </w:rPr>
        <w:noBreakHyphen/>
        <w:t>й, 5</w:t>
      </w:r>
      <w:r w:rsidRPr="005E779E">
        <w:rPr>
          <w:color w:val="000000" w:themeColor="text1"/>
          <w:sz w:val="16"/>
          <w:szCs w:val="16"/>
        </w:rPr>
        <w:noBreakHyphen/>
        <w:t>й и 6</w:t>
      </w:r>
      <w:r w:rsidRPr="005E779E">
        <w:rPr>
          <w:color w:val="000000" w:themeColor="text1"/>
          <w:sz w:val="16"/>
          <w:szCs w:val="16"/>
        </w:rPr>
        <w:noBreakHyphen/>
        <w:t>й печей предполагается закончить к 15 января 1932 г., на восстановление 7</w:t>
      </w:r>
      <w:r w:rsidRPr="005E779E">
        <w:rPr>
          <w:color w:val="000000" w:themeColor="text1"/>
          <w:sz w:val="16"/>
          <w:szCs w:val="16"/>
        </w:rPr>
        <w:noBreakHyphen/>
        <w:t>й, 8</w:t>
      </w:r>
      <w:r w:rsidRPr="005E779E">
        <w:rPr>
          <w:color w:val="000000" w:themeColor="text1"/>
          <w:sz w:val="16"/>
          <w:szCs w:val="16"/>
        </w:rPr>
        <w:noBreakHyphen/>
        <w:t>й и 9</w:t>
      </w:r>
      <w:r w:rsidRPr="005E779E">
        <w:rPr>
          <w:color w:val="000000" w:themeColor="text1"/>
          <w:sz w:val="16"/>
          <w:szCs w:val="16"/>
        </w:rPr>
        <w:noBreakHyphen/>
        <w:t>й печей требуется двухмесячный срок с момента получения 2 тыс. т шамота, которого на заводе не имеется.</w:t>
      </w:r>
    </w:p>
    <w:p w14:paraId="1D1AE7BB" w14:textId="77777777" w:rsidR="009E3773" w:rsidRPr="005E779E" w:rsidRDefault="009E3773" w:rsidP="000B7A6C">
      <w:pPr>
        <w:pStyle w:val="rtejustify"/>
        <w:spacing w:before="0" w:after="0"/>
        <w:rPr>
          <w:color w:val="000000" w:themeColor="text1"/>
          <w:sz w:val="16"/>
          <w:szCs w:val="16"/>
        </w:rPr>
      </w:pPr>
      <w:r w:rsidRPr="005E779E">
        <w:rPr>
          <w:color w:val="000000" w:themeColor="text1"/>
          <w:sz w:val="16"/>
          <w:szCs w:val="16"/>
        </w:rPr>
        <w:t>2. Для выполнения задания требуется, кроме 9 печей, еще 8 печей, для которых нет и площадей.</w:t>
      </w:r>
    </w:p>
    <w:p w14:paraId="2C38C1C8" w14:textId="77777777" w:rsidR="009E3773" w:rsidRPr="005E779E" w:rsidRDefault="009E3773" w:rsidP="000B7A6C">
      <w:pPr>
        <w:pStyle w:val="rtejustify"/>
        <w:spacing w:before="0" w:after="0"/>
        <w:rPr>
          <w:color w:val="000000" w:themeColor="text1"/>
          <w:sz w:val="16"/>
          <w:szCs w:val="16"/>
        </w:rPr>
      </w:pPr>
      <w:r w:rsidRPr="005E779E">
        <w:rPr>
          <w:color w:val="000000" w:themeColor="text1"/>
          <w:sz w:val="16"/>
          <w:szCs w:val="16"/>
        </w:rPr>
        <w:t>3. На заводе нет ни производственной базы, ни проекта на нее, выполнение военной программы на 1932 г. не обеспечено.</w:t>
      </w:r>
    </w:p>
    <w:p w14:paraId="186EEF20" w14:textId="77777777" w:rsidR="009E3773" w:rsidRPr="005E779E" w:rsidRDefault="009E3773" w:rsidP="000B7A6C">
      <w:pPr>
        <w:pStyle w:val="rtejustify"/>
        <w:spacing w:before="0" w:after="0"/>
        <w:rPr>
          <w:color w:val="000000" w:themeColor="text1"/>
          <w:sz w:val="16"/>
          <w:szCs w:val="16"/>
        </w:rPr>
      </w:pPr>
      <w:r w:rsidRPr="005E779E">
        <w:rPr>
          <w:color w:val="000000" w:themeColor="text1"/>
          <w:sz w:val="16"/>
          <w:szCs w:val="16"/>
        </w:rPr>
        <w:t>4. По заявке завода отпущено 465 тыс. руб., которые полностью не израсходованы.</w:t>
      </w:r>
    </w:p>
    <w:p w14:paraId="72D84D74" w14:textId="77777777" w:rsidR="009E3773" w:rsidRPr="005E779E" w:rsidRDefault="009E3773" w:rsidP="000B7A6C">
      <w:pPr>
        <w:pStyle w:val="rtejustify"/>
        <w:spacing w:before="0" w:after="0"/>
        <w:rPr>
          <w:color w:val="000000" w:themeColor="text1"/>
          <w:sz w:val="16"/>
          <w:szCs w:val="16"/>
        </w:rPr>
      </w:pPr>
      <w:r w:rsidRPr="005E779E">
        <w:rPr>
          <w:rStyle w:val="af0"/>
          <w:i w:val="0"/>
          <w:color w:val="000000" w:themeColor="text1"/>
          <w:sz w:val="16"/>
          <w:szCs w:val="16"/>
        </w:rPr>
        <w:t>Принятые решения:</w:t>
      </w:r>
      <w:r w:rsidRPr="005E779E">
        <w:rPr>
          <w:color w:val="000000" w:themeColor="text1"/>
          <w:sz w:val="16"/>
          <w:szCs w:val="16"/>
        </w:rPr>
        <w:t xml:space="preserve"> IV. По Подольскому крекинг заводу.</w:t>
      </w:r>
    </w:p>
    <w:p w14:paraId="6F204922" w14:textId="77777777" w:rsidR="009E3773" w:rsidRPr="005E779E" w:rsidRDefault="009E3773" w:rsidP="000B7A6C">
      <w:pPr>
        <w:pStyle w:val="rtejustify"/>
        <w:spacing w:before="0" w:after="0"/>
        <w:rPr>
          <w:color w:val="000000" w:themeColor="text1"/>
          <w:sz w:val="16"/>
          <w:szCs w:val="16"/>
        </w:rPr>
      </w:pPr>
      <w:r w:rsidRPr="005E779E">
        <w:rPr>
          <w:color w:val="000000" w:themeColor="text1"/>
          <w:sz w:val="16"/>
          <w:szCs w:val="16"/>
        </w:rPr>
        <w:t>1. Обязать ВСНХ СССР и ВОМТ в 1931 г. приступить к строительству термической мастерской с таким расчетом, чтобы еще в 1931 г. на заводе было построено 4 термические печи.</w:t>
      </w:r>
    </w:p>
    <w:p w14:paraId="44A29011" w14:textId="77777777" w:rsidR="009E3773" w:rsidRPr="005E779E" w:rsidRDefault="009E3773" w:rsidP="000B7A6C">
      <w:pPr>
        <w:pStyle w:val="rtejustify"/>
        <w:spacing w:before="0" w:after="0"/>
        <w:rPr>
          <w:color w:val="000000" w:themeColor="text1"/>
          <w:sz w:val="16"/>
          <w:szCs w:val="16"/>
        </w:rPr>
      </w:pPr>
      <w:r w:rsidRPr="005E779E">
        <w:rPr>
          <w:color w:val="000000" w:themeColor="text1"/>
          <w:sz w:val="16"/>
          <w:szCs w:val="16"/>
        </w:rPr>
        <w:t>2. Работы по заводу вести с таким расчетом, чтобы завод был подготовлен на подачу по текущему заказу НКВМора 4 тыс. т в весе готовых бронеизделий к 1 января 1932 г.</w:t>
      </w:r>
    </w:p>
    <w:p w14:paraId="2B7DB99D" w14:textId="77777777" w:rsidR="009E3773" w:rsidRPr="005E779E" w:rsidRDefault="009E3773" w:rsidP="000B7A6C">
      <w:pPr>
        <w:pStyle w:val="rtejustify"/>
        <w:spacing w:before="0" w:after="0"/>
        <w:rPr>
          <w:color w:val="000000" w:themeColor="text1"/>
          <w:sz w:val="16"/>
          <w:szCs w:val="16"/>
        </w:rPr>
      </w:pPr>
      <w:r w:rsidRPr="005E779E">
        <w:rPr>
          <w:color w:val="000000" w:themeColor="text1"/>
          <w:sz w:val="16"/>
          <w:szCs w:val="16"/>
        </w:rPr>
        <w:t>3. Подготовить к концу 1932 г. завод к изготовлению на нем в военное время 28,5 тыс. т в весе готовых бронеизделий.</w:t>
      </w:r>
    </w:p>
    <w:p w14:paraId="114682EC" w14:textId="77777777" w:rsidR="009E3773" w:rsidRPr="005E779E" w:rsidRDefault="009E3773" w:rsidP="000B7A6C">
      <w:pPr>
        <w:pStyle w:val="rtejustify"/>
        <w:spacing w:before="0" w:after="0"/>
        <w:rPr>
          <w:color w:val="000000" w:themeColor="text1"/>
          <w:sz w:val="16"/>
          <w:szCs w:val="16"/>
        </w:rPr>
      </w:pPr>
      <w:r w:rsidRPr="005E779E">
        <w:rPr>
          <w:color w:val="000000" w:themeColor="text1"/>
          <w:sz w:val="16"/>
          <w:szCs w:val="16"/>
        </w:rPr>
        <w:t>4. Отпустить в 1931 г. на приспособления завода к производству броневых корпусов 2,5 млн. руб. и обеспечить строительство необходимым фондом стройматериалов.</w:t>
      </w:r>
    </w:p>
    <w:p w14:paraId="591944C4" w14:textId="77777777" w:rsidR="009E3773" w:rsidRPr="005E779E" w:rsidRDefault="009E3773" w:rsidP="000B7A6C">
      <w:pPr>
        <w:pStyle w:val="rtejustify"/>
        <w:spacing w:before="0" w:after="0"/>
        <w:rPr>
          <w:color w:val="000000" w:themeColor="text1"/>
          <w:sz w:val="16"/>
          <w:szCs w:val="16"/>
        </w:rPr>
      </w:pPr>
      <w:r w:rsidRPr="005E779E">
        <w:rPr>
          <w:rStyle w:val="af0"/>
          <w:i w:val="0"/>
          <w:color w:val="000000" w:themeColor="text1"/>
          <w:sz w:val="16"/>
          <w:szCs w:val="16"/>
        </w:rPr>
        <w:t>Что сделано:</w:t>
      </w:r>
      <w:r w:rsidRPr="005E779E">
        <w:rPr>
          <w:color w:val="000000" w:themeColor="text1"/>
          <w:sz w:val="16"/>
          <w:szCs w:val="16"/>
        </w:rPr>
        <w:t xml:space="preserve"> 1. Термическая мастерская не построена, сделана только одна пристройка, в которой и построена одна термическая печь.</w:t>
      </w:r>
    </w:p>
    <w:p w14:paraId="396FF369" w14:textId="77777777" w:rsidR="009E3773" w:rsidRPr="005E779E" w:rsidRDefault="009E3773" w:rsidP="000B7A6C">
      <w:pPr>
        <w:pStyle w:val="rtejustify"/>
        <w:spacing w:before="0" w:after="0"/>
        <w:rPr>
          <w:color w:val="000000" w:themeColor="text1"/>
          <w:sz w:val="16"/>
          <w:szCs w:val="16"/>
        </w:rPr>
      </w:pPr>
      <w:r w:rsidRPr="005E779E">
        <w:rPr>
          <w:color w:val="000000" w:themeColor="text1"/>
          <w:sz w:val="16"/>
          <w:szCs w:val="16"/>
        </w:rPr>
        <w:t>2. Завод не подготовлен начиная с 1 января 1932 г. к подаче 4 тыс. т бронеизделий.</w:t>
      </w:r>
    </w:p>
    <w:p w14:paraId="16D9E5AE" w14:textId="77777777" w:rsidR="009E3773" w:rsidRPr="005E779E" w:rsidRDefault="009E3773" w:rsidP="000B7A6C">
      <w:pPr>
        <w:pStyle w:val="rtejustify"/>
        <w:spacing w:before="0" w:after="0"/>
        <w:rPr>
          <w:color w:val="000000" w:themeColor="text1"/>
          <w:sz w:val="16"/>
          <w:szCs w:val="16"/>
        </w:rPr>
      </w:pPr>
      <w:r w:rsidRPr="005E779E">
        <w:rPr>
          <w:rStyle w:val="af0"/>
          <w:i w:val="0"/>
          <w:color w:val="000000" w:themeColor="text1"/>
          <w:sz w:val="16"/>
          <w:szCs w:val="16"/>
        </w:rPr>
        <w:t>Принятые решения:</w:t>
      </w:r>
      <w:r w:rsidRPr="005E779E">
        <w:rPr>
          <w:color w:val="000000" w:themeColor="text1"/>
          <w:sz w:val="16"/>
          <w:szCs w:val="16"/>
        </w:rPr>
        <w:t xml:space="preserve"> V. По Уральской броневой базе.</w:t>
      </w:r>
    </w:p>
    <w:p w14:paraId="404CF238" w14:textId="77777777" w:rsidR="009E3773" w:rsidRPr="005E779E" w:rsidRDefault="009E3773" w:rsidP="000B7A6C">
      <w:pPr>
        <w:pStyle w:val="rtejustify"/>
        <w:spacing w:before="0" w:after="0"/>
        <w:rPr>
          <w:color w:val="000000" w:themeColor="text1"/>
          <w:sz w:val="16"/>
          <w:szCs w:val="16"/>
        </w:rPr>
      </w:pPr>
      <w:r w:rsidRPr="005E779E">
        <w:rPr>
          <w:color w:val="000000" w:themeColor="text1"/>
          <w:sz w:val="16"/>
          <w:szCs w:val="16"/>
        </w:rPr>
        <w:t>Поручить Президиуму ВСНХ СССР в двухмесячный срок проработать мероприятия о создании броневой базы на Урале.</w:t>
      </w:r>
    </w:p>
    <w:p w14:paraId="62F5160C" w14:textId="77777777" w:rsidR="009E3773" w:rsidRPr="005E779E" w:rsidRDefault="009E3773" w:rsidP="000B7A6C">
      <w:pPr>
        <w:pStyle w:val="rtejustify"/>
        <w:spacing w:before="0" w:after="0"/>
        <w:rPr>
          <w:color w:val="000000" w:themeColor="text1"/>
          <w:sz w:val="16"/>
          <w:szCs w:val="16"/>
        </w:rPr>
      </w:pPr>
      <w:r w:rsidRPr="005E779E">
        <w:rPr>
          <w:rStyle w:val="af0"/>
          <w:i w:val="0"/>
          <w:color w:val="000000" w:themeColor="text1"/>
          <w:sz w:val="16"/>
          <w:szCs w:val="16"/>
        </w:rPr>
        <w:t>Что сделано:</w:t>
      </w:r>
      <w:r w:rsidRPr="005E779E">
        <w:rPr>
          <w:color w:val="000000" w:themeColor="text1"/>
          <w:sz w:val="16"/>
          <w:szCs w:val="16"/>
        </w:rPr>
        <w:t xml:space="preserve"> вопрос не проработан.</w:t>
      </w:r>
    </w:p>
    <w:p w14:paraId="6F5BC40A" w14:textId="77777777" w:rsidR="009E3773" w:rsidRPr="005E779E" w:rsidRDefault="009E3773" w:rsidP="000B7A6C">
      <w:pPr>
        <w:pStyle w:val="rtejustify"/>
        <w:spacing w:before="0" w:after="0"/>
        <w:rPr>
          <w:color w:val="000000" w:themeColor="text1"/>
          <w:sz w:val="16"/>
          <w:szCs w:val="16"/>
        </w:rPr>
      </w:pPr>
      <w:r w:rsidRPr="005E779E">
        <w:rPr>
          <w:rStyle w:val="af0"/>
          <w:i w:val="0"/>
          <w:color w:val="000000" w:themeColor="text1"/>
          <w:sz w:val="16"/>
          <w:szCs w:val="16"/>
        </w:rPr>
        <w:t>Принятые решения:</w:t>
      </w:r>
      <w:r w:rsidRPr="005E779E">
        <w:rPr>
          <w:color w:val="000000" w:themeColor="text1"/>
          <w:sz w:val="16"/>
          <w:szCs w:val="16"/>
        </w:rPr>
        <w:t xml:space="preserve"> VI. О создании бюро по цементации брони.</w:t>
      </w:r>
    </w:p>
    <w:p w14:paraId="2E7CB33D" w14:textId="77777777" w:rsidR="009E3773" w:rsidRPr="005E779E" w:rsidRDefault="009E3773" w:rsidP="000B7A6C">
      <w:pPr>
        <w:pStyle w:val="rtejustify"/>
        <w:spacing w:before="0" w:after="0"/>
        <w:rPr>
          <w:color w:val="000000" w:themeColor="text1"/>
          <w:sz w:val="16"/>
          <w:szCs w:val="16"/>
        </w:rPr>
      </w:pPr>
      <w:r w:rsidRPr="005E779E">
        <w:rPr>
          <w:color w:val="000000" w:themeColor="text1"/>
          <w:sz w:val="16"/>
          <w:szCs w:val="16"/>
        </w:rPr>
        <w:t>Обязать ВСНХ СССР немедленно организовать на Ижорском заводе бюро по цементации брони, поставить перед ним задачу практической разработки вопросов наилучших способов цементации брони и внедрения этих способов в массовое производство на Ижорском, Мариупольском и Кулебакском заводах.</w:t>
      </w:r>
    </w:p>
    <w:p w14:paraId="00F4EB87" w14:textId="77777777" w:rsidR="009E3773" w:rsidRPr="005E779E" w:rsidRDefault="009E3773" w:rsidP="000B7A6C">
      <w:pPr>
        <w:pStyle w:val="rtejustify"/>
        <w:spacing w:before="0" w:after="0"/>
        <w:rPr>
          <w:color w:val="000000" w:themeColor="text1"/>
          <w:sz w:val="16"/>
          <w:szCs w:val="16"/>
        </w:rPr>
      </w:pPr>
      <w:r w:rsidRPr="005E779E">
        <w:rPr>
          <w:rStyle w:val="af0"/>
          <w:i w:val="0"/>
          <w:color w:val="000000" w:themeColor="text1"/>
          <w:sz w:val="16"/>
          <w:szCs w:val="16"/>
        </w:rPr>
        <w:t>Что сделано:</w:t>
      </w:r>
      <w:r w:rsidRPr="005E779E">
        <w:rPr>
          <w:color w:val="000000" w:themeColor="text1"/>
          <w:sz w:val="16"/>
          <w:szCs w:val="16"/>
        </w:rPr>
        <w:t xml:space="preserve"> бюро создано, но на сегодняшний день не проработаны наилучшие способы цементации брони в массовое производство.</w:t>
      </w:r>
    </w:p>
    <w:p w14:paraId="4EFC4EA4" w14:textId="77777777" w:rsidR="009E3773" w:rsidRPr="005E779E" w:rsidRDefault="009E3773" w:rsidP="000B7A6C">
      <w:pPr>
        <w:pStyle w:val="rtejustify"/>
        <w:spacing w:before="0" w:after="0"/>
        <w:rPr>
          <w:color w:val="000000" w:themeColor="text1"/>
          <w:sz w:val="16"/>
          <w:szCs w:val="16"/>
        </w:rPr>
      </w:pPr>
      <w:r w:rsidRPr="005E779E">
        <w:rPr>
          <w:rStyle w:val="af0"/>
          <w:i w:val="0"/>
          <w:color w:val="000000" w:themeColor="text1"/>
          <w:sz w:val="16"/>
          <w:szCs w:val="16"/>
        </w:rPr>
        <w:t>Принятые решения:</w:t>
      </w:r>
      <w:r w:rsidRPr="005E779E">
        <w:rPr>
          <w:color w:val="000000" w:themeColor="text1"/>
          <w:sz w:val="16"/>
          <w:szCs w:val="16"/>
        </w:rPr>
        <w:t xml:space="preserve"> VII. По сборке корпусов для ХПЗ и СТЗ.</w:t>
      </w:r>
    </w:p>
    <w:p w14:paraId="4061D70D" w14:textId="77777777" w:rsidR="009E3773" w:rsidRPr="005E779E" w:rsidRDefault="009E3773" w:rsidP="000B7A6C">
      <w:pPr>
        <w:pStyle w:val="rtejustify"/>
        <w:spacing w:before="0" w:after="0"/>
        <w:rPr>
          <w:color w:val="000000" w:themeColor="text1"/>
          <w:sz w:val="16"/>
          <w:szCs w:val="16"/>
        </w:rPr>
      </w:pPr>
      <w:r w:rsidRPr="005E779E">
        <w:rPr>
          <w:color w:val="000000" w:themeColor="text1"/>
          <w:sz w:val="16"/>
          <w:szCs w:val="16"/>
        </w:rPr>
        <w:t>МПС ВСНХ СССР 17 октября 1931 г. дал следующую директиву таганрогскому заводу «Красный котельщик» — подготовить завод к концу 1932 г. к выпуску бронекорпусов. Т</w:t>
      </w:r>
      <w:r w:rsidRPr="005E779E">
        <w:rPr>
          <w:color w:val="000000" w:themeColor="text1"/>
          <w:sz w:val="16"/>
          <w:szCs w:val="16"/>
        </w:rPr>
        <w:noBreakHyphen/>
        <w:t>26 — 12,5 тыс., БТ — 2 тыс.</w:t>
      </w:r>
    </w:p>
    <w:p w14:paraId="0483DB21" w14:textId="77777777" w:rsidR="009E3773" w:rsidRPr="005E779E" w:rsidRDefault="009E3773" w:rsidP="000B7A6C">
      <w:pPr>
        <w:pStyle w:val="rtejustify"/>
        <w:spacing w:before="0" w:after="0"/>
        <w:rPr>
          <w:color w:val="000000" w:themeColor="text1"/>
          <w:sz w:val="16"/>
          <w:szCs w:val="16"/>
        </w:rPr>
      </w:pPr>
      <w:r w:rsidRPr="005E779E">
        <w:rPr>
          <w:rStyle w:val="af0"/>
          <w:i w:val="0"/>
          <w:color w:val="000000" w:themeColor="text1"/>
          <w:sz w:val="16"/>
          <w:szCs w:val="16"/>
        </w:rPr>
        <w:t>Что сделано:</w:t>
      </w:r>
      <w:r w:rsidRPr="005E779E">
        <w:rPr>
          <w:color w:val="000000" w:themeColor="text1"/>
          <w:sz w:val="16"/>
          <w:szCs w:val="16"/>
        </w:rPr>
        <w:t xml:space="preserve"> заводом совместно с КТО составлена ориентировочная смета по спецстроительству на 1932 г. и препровождена в МПС 23 октября 1931 г.; указаний по смете завод не имеет.</w:t>
      </w:r>
    </w:p>
    <w:p w14:paraId="517A2674" w14:textId="77777777" w:rsidR="009E3773" w:rsidRPr="005E779E" w:rsidRDefault="009E3773" w:rsidP="000B7A6C">
      <w:pPr>
        <w:pStyle w:val="rtejustify"/>
        <w:spacing w:before="0" w:after="0"/>
        <w:rPr>
          <w:color w:val="000000" w:themeColor="text1"/>
          <w:sz w:val="16"/>
          <w:szCs w:val="16"/>
        </w:rPr>
      </w:pPr>
      <w:r w:rsidRPr="005E779E">
        <w:rPr>
          <w:color w:val="000000" w:themeColor="text1"/>
          <w:sz w:val="16"/>
          <w:szCs w:val="16"/>
        </w:rPr>
        <w:t>По осуществлению программы танкостроения за первое полугодие 1931 г.</w:t>
      </w:r>
    </w:p>
    <w:p w14:paraId="56220316" w14:textId="77777777" w:rsidR="009E3773" w:rsidRPr="005E779E" w:rsidRDefault="009E3773" w:rsidP="000B7A6C">
      <w:pPr>
        <w:pStyle w:val="rtejustify"/>
        <w:spacing w:before="0" w:after="0"/>
        <w:rPr>
          <w:color w:val="000000" w:themeColor="text1"/>
          <w:sz w:val="16"/>
          <w:szCs w:val="16"/>
        </w:rPr>
      </w:pPr>
      <w:r w:rsidRPr="005E779E">
        <w:rPr>
          <w:rStyle w:val="af0"/>
          <w:i w:val="0"/>
          <w:color w:val="000000" w:themeColor="text1"/>
          <w:sz w:val="16"/>
          <w:szCs w:val="16"/>
        </w:rPr>
        <w:t>Принятые решения:</w:t>
      </w:r>
      <w:r w:rsidRPr="005E779E">
        <w:rPr>
          <w:color w:val="000000" w:themeColor="text1"/>
          <w:sz w:val="16"/>
          <w:szCs w:val="16"/>
        </w:rPr>
        <w:t xml:space="preserve"> I. По Нижегородскому, «АМО» и Ярославскому заводам.</w:t>
      </w:r>
    </w:p>
    <w:p w14:paraId="71DD3FC0" w14:textId="77777777" w:rsidR="009E3773" w:rsidRPr="005E779E" w:rsidRDefault="009E3773" w:rsidP="000B7A6C">
      <w:pPr>
        <w:pStyle w:val="rtejustify"/>
        <w:spacing w:before="0" w:after="0"/>
        <w:rPr>
          <w:color w:val="000000" w:themeColor="text1"/>
          <w:sz w:val="16"/>
          <w:szCs w:val="16"/>
        </w:rPr>
      </w:pPr>
      <w:r w:rsidRPr="005E779E">
        <w:rPr>
          <w:color w:val="000000" w:themeColor="text1"/>
          <w:sz w:val="16"/>
          <w:szCs w:val="16"/>
        </w:rPr>
        <w:t>Предложить Президиуму ВСНХ СССР и объединению ВАТО осуществить все мероприятия по подготовке к концу 1932 г. Нижегородского автозавода к подаче в военное время 12 тыс. танкеток и заводов АМО и Ярославского к подаче к тому же сроку 8,2 тыс. танков 2</w:t>
      </w:r>
      <w:r w:rsidRPr="005E779E">
        <w:rPr>
          <w:color w:val="000000" w:themeColor="text1"/>
          <w:sz w:val="16"/>
          <w:szCs w:val="16"/>
        </w:rPr>
        <w:noBreakHyphen/>
        <w:t>го эшелона сопровождения пехоты.</w:t>
      </w:r>
    </w:p>
    <w:p w14:paraId="4FE3A402" w14:textId="77777777" w:rsidR="009E3773" w:rsidRPr="005E779E" w:rsidRDefault="009E3773" w:rsidP="000B7A6C">
      <w:pPr>
        <w:pStyle w:val="rtejustify"/>
        <w:spacing w:before="0" w:after="0"/>
        <w:rPr>
          <w:color w:val="000000" w:themeColor="text1"/>
          <w:sz w:val="16"/>
          <w:szCs w:val="16"/>
        </w:rPr>
      </w:pPr>
      <w:r w:rsidRPr="005E779E">
        <w:rPr>
          <w:rStyle w:val="af0"/>
          <w:i w:val="0"/>
          <w:color w:val="000000" w:themeColor="text1"/>
          <w:sz w:val="16"/>
          <w:szCs w:val="16"/>
        </w:rPr>
        <w:t>Что сделано:</w:t>
      </w:r>
      <w:r w:rsidRPr="005E779E">
        <w:rPr>
          <w:color w:val="000000" w:themeColor="text1"/>
          <w:sz w:val="16"/>
          <w:szCs w:val="16"/>
        </w:rPr>
        <w:t xml:space="preserve"> к подготовительным работам по выполнению задания...⁴* По предложению ВАТО исключены из контрольных цифр ассигнования на подготовку производственной базы танков 2</w:t>
      </w:r>
      <w:r w:rsidRPr="005E779E">
        <w:rPr>
          <w:color w:val="000000" w:themeColor="text1"/>
          <w:sz w:val="16"/>
          <w:szCs w:val="16"/>
        </w:rPr>
        <w:noBreakHyphen/>
        <w:t>го эшелона, несмотря на то что чертежи первого изготовленного образца означенного танка переданы ВАТО, а второй образец находится в стадии изготовления на заводе «Большевик»</w:t>
      </w:r>
    </w:p>
    <w:p w14:paraId="6B17B2EC" w14:textId="77777777" w:rsidR="009E3773" w:rsidRPr="005E779E" w:rsidRDefault="009E3773" w:rsidP="000B7A6C">
      <w:pPr>
        <w:pStyle w:val="rtejustify"/>
        <w:spacing w:before="0" w:after="0"/>
        <w:rPr>
          <w:color w:val="000000" w:themeColor="text1"/>
          <w:sz w:val="16"/>
          <w:szCs w:val="16"/>
        </w:rPr>
      </w:pPr>
      <w:r w:rsidRPr="005E779E">
        <w:rPr>
          <w:rStyle w:val="af0"/>
          <w:i w:val="0"/>
          <w:color w:val="000000" w:themeColor="text1"/>
          <w:sz w:val="16"/>
          <w:szCs w:val="16"/>
        </w:rPr>
        <w:t>Принятые решения:</w:t>
      </w:r>
      <w:r w:rsidRPr="005E779E">
        <w:rPr>
          <w:color w:val="000000" w:themeColor="text1"/>
          <w:sz w:val="16"/>
          <w:szCs w:val="16"/>
        </w:rPr>
        <w:t xml:space="preserve"> II. По Сталинградскому опытному заводу и по 2</w:t>
      </w:r>
      <w:r w:rsidRPr="005E779E">
        <w:rPr>
          <w:color w:val="000000" w:themeColor="text1"/>
          <w:sz w:val="16"/>
          <w:szCs w:val="16"/>
        </w:rPr>
        <w:noBreakHyphen/>
        <w:t>му заводу.</w:t>
      </w:r>
    </w:p>
    <w:p w14:paraId="0737EB8B" w14:textId="77777777" w:rsidR="009E3773" w:rsidRPr="005E779E" w:rsidRDefault="009E3773" w:rsidP="000B7A6C">
      <w:pPr>
        <w:pStyle w:val="rtejustify"/>
        <w:spacing w:before="0" w:after="0"/>
        <w:rPr>
          <w:color w:val="000000" w:themeColor="text1"/>
          <w:sz w:val="16"/>
          <w:szCs w:val="16"/>
        </w:rPr>
      </w:pPr>
      <w:r w:rsidRPr="005E779E">
        <w:rPr>
          <w:color w:val="000000" w:themeColor="text1"/>
          <w:sz w:val="16"/>
          <w:szCs w:val="16"/>
        </w:rPr>
        <w:t>Отмечая недостаточные темпы строительства по Сталинградскому заводу по обеспечению программы танкостроения и неудовлетворительное выполнение плана заказов по 2</w:t>
      </w:r>
      <w:r w:rsidRPr="005E779E">
        <w:rPr>
          <w:color w:val="000000" w:themeColor="text1"/>
          <w:sz w:val="16"/>
          <w:szCs w:val="16"/>
        </w:rPr>
        <w:noBreakHyphen/>
        <w:t>му заводу ВАТО, обязать Президиум ВСНХ СССР и объединение ВАТО: а) обеспечить пуск Сталинградского цеха мелкого фасонного литья с весны 1932 г. из расчета на подачу 55 тыс. т литья; б) развернуть работу по строительству опытного цеха для ассимиляции танкового производства на СТЗ с тем, чтобы к весне 1932 г. была обеспечена подача в мирное время 100 танков по опытному заводу, а к концу 1932 г. по основному заводу в военное время 12 тыс. танков плюс запасные части; в) принять все меры по выполнению программы текущего года по 2</w:t>
      </w:r>
      <w:r w:rsidRPr="005E779E">
        <w:rPr>
          <w:color w:val="000000" w:themeColor="text1"/>
          <w:sz w:val="16"/>
          <w:szCs w:val="16"/>
        </w:rPr>
        <w:noBreakHyphen/>
        <w:t>му заводу ВАТО в количестве 400 танкеток Т</w:t>
      </w:r>
      <w:r w:rsidRPr="005E779E">
        <w:rPr>
          <w:color w:val="000000" w:themeColor="text1"/>
          <w:sz w:val="16"/>
          <w:szCs w:val="16"/>
        </w:rPr>
        <w:noBreakHyphen/>
        <w:t>27 и подготовке этого завода к выполнению мобзадания на 4 тыс. танкеток с весны 1932 г.</w:t>
      </w:r>
    </w:p>
    <w:p w14:paraId="0753E4E1" w14:textId="77777777" w:rsidR="009E3773" w:rsidRPr="005E779E" w:rsidRDefault="009E3773" w:rsidP="000B7A6C">
      <w:pPr>
        <w:pStyle w:val="rtejustify"/>
        <w:spacing w:before="0" w:after="0"/>
        <w:rPr>
          <w:color w:val="000000" w:themeColor="text1"/>
          <w:sz w:val="16"/>
          <w:szCs w:val="16"/>
        </w:rPr>
      </w:pPr>
      <w:r w:rsidRPr="005E779E">
        <w:rPr>
          <w:rStyle w:val="af0"/>
          <w:i w:val="0"/>
          <w:color w:val="000000" w:themeColor="text1"/>
          <w:sz w:val="16"/>
          <w:szCs w:val="16"/>
        </w:rPr>
        <w:t>Что сделано:</w:t>
      </w:r>
      <w:r w:rsidRPr="005E779E">
        <w:rPr>
          <w:color w:val="000000" w:themeColor="text1"/>
          <w:sz w:val="16"/>
          <w:szCs w:val="16"/>
        </w:rPr>
        <w:t xml:space="preserve"> а) цех мелкого фасонного литья не построен и к весне 1932 г. пущен не будет; б) опытный цех построен, но не приступлено к монтажу оборудования, так как последнее не было импортировано, что ставит под угрозу выполнение программы б[удущего] года в количестве 100 танков. По основному заводу ведется разработка технологического процесса; в) программа будет выполнена в количестве 300 танкеток. Подготовка к выполнению мобзадания идет неудовлетворительно из-за необеспеченности строительства стройматериалами и несвоевременного ввоза оборудования.</w:t>
      </w:r>
    </w:p>
    <w:p w14:paraId="388033C0" w14:textId="77777777" w:rsidR="009E3773" w:rsidRPr="005E779E" w:rsidRDefault="009E3773" w:rsidP="000B7A6C">
      <w:pPr>
        <w:pStyle w:val="rtejustify"/>
        <w:spacing w:before="0" w:after="0"/>
        <w:rPr>
          <w:color w:val="000000" w:themeColor="text1"/>
          <w:sz w:val="16"/>
          <w:szCs w:val="16"/>
        </w:rPr>
      </w:pPr>
      <w:r w:rsidRPr="005E779E">
        <w:rPr>
          <w:rStyle w:val="af0"/>
          <w:i w:val="0"/>
          <w:color w:val="000000" w:themeColor="text1"/>
          <w:sz w:val="16"/>
          <w:szCs w:val="16"/>
        </w:rPr>
        <w:t>Принятые решения:</w:t>
      </w:r>
      <w:r w:rsidRPr="005E779E">
        <w:rPr>
          <w:color w:val="000000" w:themeColor="text1"/>
          <w:sz w:val="16"/>
          <w:szCs w:val="16"/>
        </w:rPr>
        <w:t xml:space="preserve"> III. По Ижорскому заводу.</w:t>
      </w:r>
    </w:p>
    <w:p w14:paraId="294E2671" w14:textId="77777777" w:rsidR="009E3773" w:rsidRPr="005E779E" w:rsidRDefault="009E3773" w:rsidP="000B7A6C">
      <w:pPr>
        <w:pStyle w:val="rtejustify"/>
        <w:spacing w:before="0" w:after="0"/>
        <w:rPr>
          <w:color w:val="000000" w:themeColor="text1"/>
          <w:sz w:val="16"/>
          <w:szCs w:val="16"/>
        </w:rPr>
      </w:pPr>
      <w:r w:rsidRPr="005E779E">
        <w:rPr>
          <w:color w:val="000000" w:themeColor="text1"/>
          <w:sz w:val="16"/>
          <w:szCs w:val="16"/>
        </w:rPr>
        <w:t>Предложить ВСНХ и объединению ВОМТ обеспечить по Ижорскому заводу программу заказов текущего года по броневым корпусам для танкеток в количестве 480 шт., для малого танка 200 готовых корпусов Т</w:t>
      </w:r>
      <w:r w:rsidRPr="005E779E">
        <w:rPr>
          <w:color w:val="000000" w:themeColor="text1"/>
          <w:sz w:val="16"/>
          <w:szCs w:val="16"/>
        </w:rPr>
        <w:noBreakHyphen/>
        <w:t>26 и на 100 корпусов Т</w:t>
      </w:r>
      <w:r w:rsidRPr="005E779E">
        <w:rPr>
          <w:color w:val="000000" w:themeColor="text1"/>
          <w:sz w:val="16"/>
          <w:szCs w:val="16"/>
        </w:rPr>
        <w:noBreakHyphen/>
        <w:t>26 комплектов брони для завода «Большевик», 100 комплектов для быстроходного танка («Кристи») для ХПЗ. Закончить постройку инструментальной мастерской Ижорского завода к 1 января 1932 г.</w:t>
      </w:r>
    </w:p>
    <w:p w14:paraId="362580C9" w14:textId="77777777" w:rsidR="009E3773" w:rsidRPr="005E779E" w:rsidRDefault="009E3773" w:rsidP="000B7A6C">
      <w:pPr>
        <w:pStyle w:val="rtejustify"/>
        <w:spacing w:before="0" w:after="0"/>
        <w:rPr>
          <w:color w:val="000000" w:themeColor="text1"/>
          <w:sz w:val="16"/>
          <w:szCs w:val="16"/>
        </w:rPr>
      </w:pPr>
      <w:r w:rsidRPr="005E779E">
        <w:rPr>
          <w:rStyle w:val="af0"/>
          <w:i w:val="0"/>
          <w:color w:val="000000" w:themeColor="text1"/>
          <w:sz w:val="16"/>
          <w:szCs w:val="16"/>
        </w:rPr>
        <w:t>Что сделано:</w:t>
      </w:r>
      <w:r w:rsidRPr="005E779E">
        <w:rPr>
          <w:color w:val="000000" w:themeColor="text1"/>
          <w:sz w:val="16"/>
          <w:szCs w:val="16"/>
        </w:rPr>
        <w:t xml:space="preserve"> изготовлено корпусов для танкеток 298 шт., по Т</w:t>
      </w:r>
      <w:r w:rsidRPr="005E779E">
        <w:rPr>
          <w:color w:val="000000" w:themeColor="text1"/>
          <w:sz w:val="16"/>
          <w:szCs w:val="16"/>
        </w:rPr>
        <w:noBreakHyphen/>
        <w:t>26 изготовлено 12 корпусов, по БТ — 3 корпуса. Такое выполнение сорвало программу по Т</w:t>
      </w:r>
      <w:r w:rsidRPr="005E779E">
        <w:rPr>
          <w:color w:val="000000" w:themeColor="text1"/>
          <w:sz w:val="16"/>
          <w:szCs w:val="16"/>
        </w:rPr>
        <w:noBreakHyphen/>
        <w:t>26 и по БТ. К постройке инструментальной мастерской не приступлено.</w:t>
      </w:r>
    </w:p>
    <w:p w14:paraId="57CA80A6" w14:textId="77777777" w:rsidR="009E3773" w:rsidRPr="005E779E" w:rsidRDefault="009E3773" w:rsidP="000B7A6C">
      <w:pPr>
        <w:pStyle w:val="rtejustify"/>
        <w:spacing w:before="0" w:after="0"/>
        <w:rPr>
          <w:color w:val="000000" w:themeColor="text1"/>
          <w:sz w:val="16"/>
          <w:szCs w:val="16"/>
        </w:rPr>
      </w:pPr>
      <w:r w:rsidRPr="005E779E">
        <w:rPr>
          <w:rStyle w:val="af0"/>
          <w:i w:val="0"/>
          <w:color w:val="000000" w:themeColor="text1"/>
          <w:sz w:val="16"/>
          <w:szCs w:val="16"/>
        </w:rPr>
        <w:t>Принятые решения:</w:t>
      </w:r>
      <w:r w:rsidRPr="005E779E">
        <w:rPr>
          <w:color w:val="000000" w:themeColor="text1"/>
          <w:sz w:val="16"/>
          <w:szCs w:val="16"/>
        </w:rPr>
        <w:t xml:space="preserve"> IV. По ХПЗ.</w:t>
      </w:r>
    </w:p>
    <w:p w14:paraId="0EB65426" w14:textId="77777777" w:rsidR="009E3773" w:rsidRPr="005E779E" w:rsidRDefault="009E3773" w:rsidP="000B7A6C">
      <w:pPr>
        <w:pStyle w:val="rtejustify"/>
        <w:spacing w:before="0" w:after="0"/>
        <w:rPr>
          <w:color w:val="000000" w:themeColor="text1"/>
          <w:sz w:val="16"/>
          <w:szCs w:val="16"/>
        </w:rPr>
      </w:pPr>
      <w:r w:rsidRPr="005E779E">
        <w:rPr>
          <w:color w:val="000000" w:themeColor="text1"/>
          <w:sz w:val="16"/>
          <w:szCs w:val="16"/>
        </w:rPr>
        <w:t>Обязать Президиум ВСНХ СССР и объединение Парвагдиз обеспечить выполнение программы текущего года по быстроходному танку «Кристи»: 25 танков сдать к 1 января 1932 г., 25 танков предъявить к приемке к тому же сроку, 25 танков иметь в виде собранных механизмов и на 25 танков механически обработанных деталей к 1 января 1932 г.</w:t>
      </w:r>
    </w:p>
    <w:p w14:paraId="03C6E23E" w14:textId="77777777" w:rsidR="009E3773" w:rsidRPr="005E779E" w:rsidRDefault="009E3773" w:rsidP="000B7A6C">
      <w:pPr>
        <w:pStyle w:val="rtejustify"/>
        <w:spacing w:before="0" w:after="0"/>
        <w:rPr>
          <w:color w:val="000000" w:themeColor="text1"/>
          <w:sz w:val="16"/>
          <w:szCs w:val="16"/>
        </w:rPr>
      </w:pPr>
      <w:r w:rsidRPr="005E779E">
        <w:rPr>
          <w:color w:val="000000" w:themeColor="text1"/>
          <w:sz w:val="16"/>
          <w:szCs w:val="16"/>
        </w:rPr>
        <w:t>...⁴*в количестве 100 шт. ...⁴*к 15 февраля 1932 г.</w:t>
      </w:r>
    </w:p>
    <w:p w14:paraId="7FE20CFB" w14:textId="77777777" w:rsidR="009E3773" w:rsidRPr="005E779E" w:rsidRDefault="009E3773" w:rsidP="000B7A6C">
      <w:pPr>
        <w:pStyle w:val="rtejustify"/>
        <w:spacing w:before="0" w:after="0"/>
        <w:rPr>
          <w:color w:val="000000" w:themeColor="text1"/>
          <w:sz w:val="16"/>
          <w:szCs w:val="16"/>
        </w:rPr>
      </w:pPr>
      <w:r w:rsidRPr="005E779E">
        <w:rPr>
          <w:color w:val="000000" w:themeColor="text1"/>
          <w:sz w:val="16"/>
          <w:szCs w:val="16"/>
        </w:rPr>
        <w:t>По Харьковскому паровозостроительному заводу подготовить к концу 1932 г. танковое производство по типу танка БТ в количестве 2 тыс. шт. на военное время. Обеспечить в текущем году постройку и пуск термического и инструментального цехов не позднее 1 января 1932 г.</w:t>
      </w:r>
    </w:p>
    <w:p w14:paraId="1E18FCAF" w14:textId="77777777" w:rsidR="009E3773" w:rsidRPr="005E779E" w:rsidRDefault="009E3773" w:rsidP="000B7A6C">
      <w:pPr>
        <w:pStyle w:val="rtejustify"/>
        <w:spacing w:before="0" w:after="0"/>
        <w:rPr>
          <w:color w:val="000000" w:themeColor="text1"/>
          <w:sz w:val="16"/>
          <w:szCs w:val="16"/>
        </w:rPr>
      </w:pPr>
      <w:r w:rsidRPr="005E779E">
        <w:rPr>
          <w:rStyle w:val="af0"/>
          <w:i w:val="0"/>
          <w:color w:val="000000" w:themeColor="text1"/>
          <w:sz w:val="16"/>
          <w:szCs w:val="16"/>
        </w:rPr>
        <w:t>Что сделано</w:t>
      </w:r>
      <w:r w:rsidRPr="005E779E">
        <w:rPr>
          <w:color w:val="000000" w:themeColor="text1"/>
          <w:sz w:val="16"/>
          <w:szCs w:val="16"/>
        </w:rPr>
        <w:t>: задание не выполнено. Директор завода и председатель Локомотивного объединения т. </w:t>
      </w:r>
      <w:hyperlink r:id="rId221" w:history="1">
        <w:r w:rsidRPr="005E779E">
          <w:rPr>
            <w:color w:val="000000" w:themeColor="text1"/>
            <w:sz w:val="16"/>
            <w:szCs w:val="16"/>
          </w:rPr>
          <w:t>Курицын</w:t>
        </w:r>
      </w:hyperlink>
      <w:r w:rsidRPr="005E779E">
        <w:rPr>
          <w:color w:val="000000" w:themeColor="text1"/>
          <w:sz w:val="16"/>
          <w:szCs w:val="16"/>
        </w:rPr>
        <w:t xml:space="preserve"> самовольно снизили программу сдачи с 25 танков до 6 танков. На сегодняшний день положение таково, что к 1 января 1932 г. даже и 6 танков сдано не будет. Работы по инструментальному и термическому готовы на 50%, по механическому не хватает 140 станков. Крановым хозяйством цех не обеспечен.</w:t>
      </w:r>
    </w:p>
    <w:p w14:paraId="3FA29706" w14:textId="77777777" w:rsidR="009E3773" w:rsidRPr="005E779E" w:rsidRDefault="009E3773" w:rsidP="000B7A6C">
      <w:pPr>
        <w:pStyle w:val="rtejustify"/>
        <w:spacing w:before="0" w:after="0"/>
        <w:rPr>
          <w:color w:val="000000" w:themeColor="text1"/>
          <w:sz w:val="16"/>
          <w:szCs w:val="16"/>
        </w:rPr>
      </w:pPr>
      <w:r w:rsidRPr="005E779E">
        <w:rPr>
          <w:rStyle w:val="af0"/>
          <w:i w:val="0"/>
          <w:color w:val="000000" w:themeColor="text1"/>
          <w:sz w:val="16"/>
          <w:szCs w:val="16"/>
        </w:rPr>
        <w:t>Принятые решения</w:t>
      </w:r>
      <w:r w:rsidRPr="005E779E">
        <w:rPr>
          <w:color w:val="000000" w:themeColor="text1"/>
          <w:sz w:val="16"/>
          <w:szCs w:val="16"/>
        </w:rPr>
        <w:t>: V. По моторной базе.</w:t>
      </w:r>
    </w:p>
    <w:p w14:paraId="5B8885AA" w14:textId="77777777" w:rsidR="009E3773" w:rsidRPr="005E779E" w:rsidRDefault="009E3773" w:rsidP="000B7A6C">
      <w:pPr>
        <w:pStyle w:val="rtejustify"/>
        <w:spacing w:before="0" w:after="0"/>
        <w:rPr>
          <w:color w:val="000000" w:themeColor="text1"/>
          <w:sz w:val="16"/>
          <w:szCs w:val="16"/>
        </w:rPr>
      </w:pPr>
      <w:r w:rsidRPr="005E779E">
        <w:rPr>
          <w:color w:val="000000" w:themeColor="text1"/>
          <w:sz w:val="16"/>
          <w:szCs w:val="16"/>
        </w:rPr>
        <w:t>Отметить, что ВСНХ до сих пор не принял конкретных решений по вопросу о моторной базе для среднего танка как по заказу мирного времени, так и военного времени. Обязать Президиум ВСНХ СССР ускорить практическое разрешение вопроса о моторной базе для среднего танка с тем, чтобы программа танкостроения по танку БТ была обеспечена по программе мирного времени к началу 1932 г., а по программе военного времени к концу 1932 г.</w:t>
      </w:r>
    </w:p>
    <w:p w14:paraId="1F7CA559" w14:textId="77777777" w:rsidR="009E3773" w:rsidRPr="005E779E" w:rsidRDefault="009E3773" w:rsidP="000B7A6C">
      <w:pPr>
        <w:pStyle w:val="rtejustify"/>
        <w:spacing w:before="0" w:after="0"/>
        <w:rPr>
          <w:color w:val="000000" w:themeColor="text1"/>
          <w:sz w:val="16"/>
          <w:szCs w:val="16"/>
        </w:rPr>
      </w:pPr>
      <w:r w:rsidRPr="005E779E">
        <w:rPr>
          <w:rStyle w:val="af0"/>
          <w:i w:val="0"/>
          <w:color w:val="000000" w:themeColor="text1"/>
          <w:sz w:val="16"/>
          <w:szCs w:val="16"/>
        </w:rPr>
        <w:t>Что сделано</w:t>
      </w:r>
      <w:r w:rsidRPr="005E779E">
        <w:rPr>
          <w:color w:val="000000" w:themeColor="text1"/>
          <w:sz w:val="16"/>
          <w:szCs w:val="16"/>
        </w:rPr>
        <w:t>: НКВМ внес в КО доклад о расширении базы по моторостроению, необходимую для обеспечения танковой программы. Со стороны ВСНХ СССР по этому вопросу ничего не сделано.</w:t>
      </w:r>
    </w:p>
    <w:p w14:paraId="0BE011F7" w14:textId="77777777" w:rsidR="009E3773" w:rsidRPr="005E779E" w:rsidRDefault="009E3773" w:rsidP="000B7A6C">
      <w:pPr>
        <w:pStyle w:val="rtejustify"/>
        <w:spacing w:before="0" w:after="0"/>
        <w:rPr>
          <w:color w:val="000000" w:themeColor="text1"/>
          <w:sz w:val="16"/>
          <w:szCs w:val="16"/>
        </w:rPr>
      </w:pPr>
      <w:r w:rsidRPr="005E779E">
        <w:rPr>
          <w:rStyle w:val="af0"/>
          <w:i w:val="0"/>
          <w:color w:val="000000" w:themeColor="text1"/>
          <w:sz w:val="16"/>
          <w:szCs w:val="16"/>
        </w:rPr>
        <w:t>Принятые решения:</w:t>
      </w:r>
      <w:r w:rsidRPr="005E779E">
        <w:rPr>
          <w:color w:val="000000" w:themeColor="text1"/>
          <w:sz w:val="16"/>
          <w:szCs w:val="16"/>
        </w:rPr>
        <w:t xml:space="preserve"> VI. Президиуму ВСНХ СССР о принятых решениях и конкретных мероприятиях по программе танкостроения на основе данного постановления доложить через месяц КО и впредь ежемесячно докладывать о ходе выполнения программы танкостроения.</w:t>
      </w:r>
    </w:p>
    <w:p w14:paraId="2E1DE0E9" w14:textId="77777777" w:rsidR="009E3773" w:rsidRPr="005E779E" w:rsidRDefault="009E3773" w:rsidP="000B7A6C">
      <w:pPr>
        <w:pStyle w:val="rtejustify"/>
        <w:spacing w:before="0" w:after="0"/>
        <w:rPr>
          <w:color w:val="000000" w:themeColor="text1"/>
          <w:sz w:val="16"/>
          <w:szCs w:val="16"/>
        </w:rPr>
      </w:pPr>
      <w:r w:rsidRPr="005E779E">
        <w:rPr>
          <w:rStyle w:val="af0"/>
          <w:i w:val="0"/>
          <w:color w:val="000000" w:themeColor="text1"/>
          <w:sz w:val="16"/>
          <w:szCs w:val="16"/>
        </w:rPr>
        <w:t>Что сделано:</w:t>
      </w:r>
      <w:r w:rsidRPr="005E779E">
        <w:rPr>
          <w:color w:val="000000" w:themeColor="text1"/>
          <w:sz w:val="16"/>
          <w:szCs w:val="16"/>
        </w:rPr>
        <w:t xml:space="preserve"> Президиум ВСНХ СССР этого постановления не выполнил. НКВМ вторично докладывает о срыве ВСНХ СССР программы по танкостроению.</w:t>
      </w:r>
    </w:p>
    <w:p w14:paraId="4B4A1C9E" w14:textId="77777777" w:rsidR="009E3773" w:rsidRPr="005E779E" w:rsidRDefault="009E3773" w:rsidP="000B7A6C">
      <w:pPr>
        <w:pStyle w:val="rtejustify"/>
        <w:spacing w:before="0" w:after="0"/>
        <w:rPr>
          <w:color w:val="000000" w:themeColor="text1"/>
          <w:sz w:val="16"/>
          <w:szCs w:val="16"/>
        </w:rPr>
      </w:pPr>
      <w:r w:rsidRPr="005E779E">
        <w:rPr>
          <w:rStyle w:val="af0"/>
          <w:i w:val="0"/>
          <w:color w:val="000000" w:themeColor="text1"/>
          <w:sz w:val="16"/>
          <w:szCs w:val="16"/>
        </w:rPr>
        <w:t>Принятые решения:</w:t>
      </w:r>
      <w:r w:rsidRPr="005E779E">
        <w:rPr>
          <w:color w:val="000000" w:themeColor="text1"/>
          <w:sz w:val="16"/>
          <w:szCs w:val="16"/>
        </w:rPr>
        <w:t xml:space="preserve"> VII. О покупке моторов.</w:t>
      </w:r>
    </w:p>
    <w:p w14:paraId="7538A84C" w14:textId="77777777" w:rsidR="009E3773" w:rsidRPr="005E779E" w:rsidRDefault="009E3773" w:rsidP="000B7A6C">
      <w:pPr>
        <w:pStyle w:val="rtejustify"/>
        <w:spacing w:before="0" w:after="0"/>
        <w:rPr>
          <w:color w:val="000000" w:themeColor="text1"/>
          <w:sz w:val="16"/>
          <w:szCs w:val="16"/>
        </w:rPr>
      </w:pPr>
      <w:r w:rsidRPr="005E779E">
        <w:rPr>
          <w:color w:val="000000" w:themeColor="text1"/>
          <w:sz w:val="16"/>
          <w:szCs w:val="16"/>
        </w:rPr>
        <w:lastRenderedPageBreak/>
        <w:t>Поручить НКВМору для обеспечения программы текущих заказов по БТ закупить за границей 100 моторов «Либерти» со сроком поставки 50 шт. в октябре и 50 шт. в декабре 1931 г. Одновременно обязать Наркомвнешторг и Наркомфин обеспечить эту покупку моторов соответствующими лицензионными контингентами и валютным ассигнованием.</w:t>
      </w:r>
    </w:p>
    <w:p w14:paraId="199D4FB7" w14:textId="77777777" w:rsidR="009E3773" w:rsidRPr="005E779E" w:rsidRDefault="009E3773" w:rsidP="000B7A6C">
      <w:pPr>
        <w:pStyle w:val="rtejustify"/>
        <w:spacing w:before="0" w:after="0"/>
        <w:rPr>
          <w:color w:val="000000" w:themeColor="text1"/>
          <w:sz w:val="16"/>
          <w:szCs w:val="16"/>
        </w:rPr>
      </w:pPr>
      <w:r w:rsidRPr="005E779E">
        <w:rPr>
          <w:rStyle w:val="af0"/>
          <w:i w:val="0"/>
          <w:color w:val="000000" w:themeColor="text1"/>
          <w:sz w:val="16"/>
          <w:szCs w:val="16"/>
        </w:rPr>
        <w:t>Что сделано:</w:t>
      </w:r>
      <w:r w:rsidRPr="005E779E">
        <w:rPr>
          <w:color w:val="000000" w:themeColor="text1"/>
          <w:sz w:val="16"/>
          <w:szCs w:val="16"/>
        </w:rPr>
        <w:t xml:space="preserve"> НКВМ вторично вошел в правительство о покупке в Америке 500 моторов для обеспечения ими БТ.</w:t>
      </w:r>
    </w:p>
    <w:p w14:paraId="4307ECBB" w14:textId="77777777" w:rsidR="009E3773" w:rsidRPr="005E779E" w:rsidRDefault="009E3773" w:rsidP="000B7A6C">
      <w:pPr>
        <w:pStyle w:val="rtejustify"/>
        <w:spacing w:before="0" w:after="0"/>
        <w:rPr>
          <w:color w:val="000000" w:themeColor="text1"/>
          <w:sz w:val="16"/>
          <w:szCs w:val="16"/>
        </w:rPr>
      </w:pPr>
      <w:r w:rsidRPr="005E779E">
        <w:rPr>
          <w:color w:val="000000" w:themeColor="text1"/>
          <w:sz w:val="16"/>
          <w:szCs w:val="16"/>
        </w:rPr>
        <w:t>Изложенное показывает, что важнейшие решения инстанции и КО о танкостроении не выполняются. Поэтому настоятельно считаю необходимым заслушать в порядке контроля доклад ВСНХ СССР и РВС СССР о выполнении постановления КО от 1 августа с. г. на ближайшем заседании КО.</w:t>
      </w:r>
    </w:p>
    <w:p w14:paraId="2211A631" w14:textId="77777777" w:rsidR="009E3773" w:rsidRPr="005E779E" w:rsidRDefault="009E3773" w:rsidP="000B7A6C">
      <w:pPr>
        <w:pStyle w:val="rteright"/>
        <w:spacing w:before="0" w:after="0"/>
        <w:jc w:val="both"/>
        <w:rPr>
          <w:color w:val="000000" w:themeColor="text1"/>
          <w:sz w:val="16"/>
          <w:szCs w:val="16"/>
        </w:rPr>
      </w:pPr>
      <w:r w:rsidRPr="005E779E">
        <w:rPr>
          <w:rStyle w:val="af0"/>
          <w:i w:val="0"/>
          <w:color w:val="000000" w:themeColor="text1"/>
          <w:sz w:val="16"/>
          <w:szCs w:val="16"/>
        </w:rPr>
        <w:t xml:space="preserve">Зам. народного комиссара по военным и морским делам и председателя РВС СССР </w:t>
      </w:r>
      <w:hyperlink r:id="rId222" w:history="1">
        <w:r w:rsidRPr="005E779E">
          <w:rPr>
            <w:rStyle w:val="af0"/>
            <w:i w:val="0"/>
            <w:color w:val="000000" w:themeColor="text1"/>
            <w:sz w:val="16"/>
            <w:szCs w:val="16"/>
          </w:rPr>
          <w:t>Тухачевский</w:t>
        </w:r>
      </w:hyperlink>
    </w:p>
    <w:p w14:paraId="1A215AA1" w14:textId="77777777" w:rsidR="009E3773" w:rsidRPr="005E779E" w:rsidRDefault="009E3773" w:rsidP="000B7A6C">
      <w:pPr>
        <w:pStyle w:val="ae"/>
        <w:spacing w:before="0" w:after="0"/>
        <w:jc w:val="both"/>
        <w:rPr>
          <w:color w:val="000000" w:themeColor="text1"/>
          <w:sz w:val="16"/>
          <w:szCs w:val="16"/>
        </w:rPr>
      </w:pPr>
      <w:r w:rsidRPr="005E779E">
        <w:rPr>
          <w:rStyle w:val="af0"/>
          <w:i w:val="0"/>
          <w:color w:val="000000" w:themeColor="text1"/>
          <w:sz w:val="16"/>
          <w:szCs w:val="16"/>
        </w:rPr>
        <w:t>Примечания</w:t>
      </w:r>
      <w:r w:rsidRPr="005E779E">
        <w:rPr>
          <w:color w:val="000000" w:themeColor="text1"/>
          <w:sz w:val="16"/>
          <w:szCs w:val="16"/>
        </w:rPr>
        <w:t>:</w:t>
      </w:r>
    </w:p>
    <w:p w14:paraId="0C9E8824" w14:textId="77777777" w:rsidR="009E3773" w:rsidRPr="005E779E" w:rsidRDefault="009E3773" w:rsidP="000B7A6C">
      <w:pPr>
        <w:pStyle w:val="rtejustify"/>
        <w:spacing w:before="0" w:after="0"/>
        <w:rPr>
          <w:color w:val="000000" w:themeColor="text1"/>
          <w:sz w:val="16"/>
          <w:szCs w:val="16"/>
        </w:rPr>
      </w:pPr>
      <w:r w:rsidRPr="005E779E">
        <w:rPr>
          <w:color w:val="000000" w:themeColor="text1"/>
          <w:sz w:val="16"/>
          <w:szCs w:val="16"/>
          <w:vertAlign w:val="superscript"/>
        </w:rPr>
        <w:t>1</w:t>
      </w:r>
      <w:r w:rsidRPr="005E779E">
        <w:rPr>
          <w:color w:val="000000" w:themeColor="text1"/>
          <w:sz w:val="16"/>
          <w:szCs w:val="16"/>
        </w:rPr>
        <w:t>* В постановлении Комиссии обороны по программе танкостроения и по броне, принятом 1 августа 1931 г., говорилось: «I. По программе танкостроения: в развитие постановления инстанции от 20 февраля 1931 г. по программе танкостроения в военное время установить к концу 1932 г. реально обеспеченную мощность по годовой подаче танков: по танкам I эшелона: танкеток Т</w:t>
      </w:r>
      <w:r w:rsidRPr="005E779E">
        <w:rPr>
          <w:color w:val="000000" w:themeColor="text1"/>
          <w:sz w:val="16"/>
          <w:szCs w:val="16"/>
        </w:rPr>
        <w:noBreakHyphen/>
        <w:t>27 — 16 тыс., танков малых Т</w:t>
      </w:r>
      <w:r w:rsidRPr="005E779E">
        <w:rPr>
          <w:color w:val="000000" w:themeColor="text1"/>
          <w:sz w:val="16"/>
          <w:szCs w:val="16"/>
        </w:rPr>
        <w:noBreakHyphen/>
        <w:t>26 — 13,8 тыс., танков средних (БТ типа «Кристи») — 2 тыс.; по танкам II эшелона: сопровождения пехоты — 8,2 тыс. II. По броне: 1. В соответствии с утвержденной программой танкостроения промышленности обеспечить потребность брони: для танков I эшелона — 46 тыс. т, для танков II эшелона — 16,5 тыс. т, для бронемашин, бронепоездов — 2,5 тыс. т; итого — 65 тыс. т». Для обеспечения потребности в броне планировалось подготовить броневые базы на Ижорском, Кулебакском, Мариупольском заводах и Подольском крекингзаводе. Президиуму ВСНХ СССР было поручено в двухмесячный срок проработать мероприятия о создании броневой базы на Урале, а также организовать на Ижорском заводе бюро по цементации брони. (ГА РФ. Ф. Р</w:t>
      </w:r>
      <w:r w:rsidRPr="005E779E">
        <w:rPr>
          <w:color w:val="000000" w:themeColor="text1"/>
          <w:sz w:val="16"/>
          <w:szCs w:val="16"/>
        </w:rPr>
        <w:noBreakHyphen/>
        <w:t>8418. Оп. 5. Д. 59. Л. 1</w:t>
      </w:r>
      <w:r w:rsidRPr="005E779E">
        <w:rPr>
          <w:color w:val="000000" w:themeColor="text1"/>
          <w:sz w:val="16"/>
          <w:szCs w:val="16"/>
        </w:rPr>
        <w:noBreakHyphen/>
        <w:t>3).</w:t>
      </w:r>
    </w:p>
    <w:p w14:paraId="38D982A7" w14:textId="77777777" w:rsidR="009E3773" w:rsidRPr="005E779E" w:rsidRDefault="009E3773" w:rsidP="000B7A6C">
      <w:pPr>
        <w:pStyle w:val="rtejustify"/>
        <w:spacing w:before="0" w:after="0"/>
        <w:rPr>
          <w:color w:val="000000" w:themeColor="text1"/>
          <w:sz w:val="16"/>
          <w:szCs w:val="16"/>
        </w:rPr>
      </w:pPr>
      <w:r w:rsidRPr="005E779E">
        <w:rPr>
          <w:color w:val="000000" w:themeColor="text1"/>
          <w:sz w:val="16"/>
          <w:szCs w:val="16"/>
          <w:vertAlign w:val="superscript"/>
        </w:rPr>
        <w:t>2</w:t>
      </w:r>
      <w:r w:rsidRPr="005E779E">
        <w:rPr>
          <w:color w:val="000000" w:themeColor="text1"/>
          <w:sz w:val="16"/>
          <w:szCs w:val="16"/>
        </w:rPr>
        <w:t>* Дописано от руки со слов «в весе».</w:t>
      </w:r>
    </w:p>
    <w:p w14:paraId="0B7615A4" w14:textId="77777777" w:rsidR="009E3773" w:rsidRPr="005E779E" w:rsidRDefault="009E3773" w:rsidP="000B7A6C">
      <w:pPr>
        <w:pStyle w:val="rtejustify"/>
        <w:spacing w:before="0" w:after="0"/>
        <w:rPr>
          <w:color w:val="000000" w:themeColor="text1"/>
          <w:sz w:val="16"/>
          <w:szCs w:val="16"/>
        </w:rPr>
      </w:pPr>
      <w:r w:rsidRPr="005E779E">
        <w:rPr>
          <w:color w:val="000000" w:themeColor="text1"/>
          <w:sz w:val="16"/>
          <w:szCs w:val="16"/>
          <w:vertAlign w:val="superscript"/>
        </w:rPr>
        <w:t>3</w:t>
      </w:r>
      <w:r w:rsidRPr="005E779E">
        <w:rPr>
          <w:color w:val="000000" w:themeColor="text1"/>
          <w:sz w:val="16"/>
          <w:szCs w:val="16"/>
        </w:rPr>
        <w:t>* Последнее предложение дописано от руки.</w:t>
      </w:r>
    </w:p>
    <w:p w14:paraId="4C28E74E" w14:textId="77777777" w:rsidR="009E3773" w:rsidRPr="005E779E" w:rsidRDefault="009E3773" w:rsidP="000B7A6C">
      <w:pPr>
        <w:pStyle w:val="rtejustify"/>
        <w:spacing w:before="0" w:after="0"/>
        <w:rPr>
          <w:color w:val="000000" w:themeColor="text1"/>
          <w:sz w:val="16"/>
          <w:szCs w:val="16"/>
        </w:rPr>
      </w:pPr>
      <w:r w:rsidRPr="005E779E">
        <w:rPr>
          <w:color w:val="000000" w:themeColor="text1"/>
          <w:sz w:val="16"/>
          <w:szCs w:val="16"/>
          <w:vertAlign w:val="superscript"/>
        </w:rPr>
        <w:t>4</w:t>
      </w:r>
      <w:r w:rsidRPr="005E779E">
        <w:rPr>
          <w:color w:val="000000" w:themeColor="text1"/>
          <w:sz w:val="16"/>
          <w:szCs w:val="16"/>
        </w:rPr>
        <w:t>* Текст поврежден.</w:t>
      </w:r>
    </w:p>
    <w:p w14:paraId="583E740D" w14:textId="77777777" w:rsidR="009E3773" w:rsidRPr="005E779E" w:rsidRDefault="009E3773" w:rsidP="000B7A6C">
      <w:pPr>
        <w:pStyle w:val="ae"/>
        <w:spacing w:before="0" w:after="0"/>
        <w:jc w:val="both"/>
        <w:rPr>
          <w:color w:val="000000" w:themeColor="text1"/>
          <w:sz w:val="16"/>
          <w:szCs w:val="16"/>
        </w:rPr>
      </w:pPr>
      <w:r w:rsidRPr="005E779E">
        <w:rPr>
          <w:color w:val="000000" w:themeColor="text1"/>
          <w:sz w:val="16"/>
          <w:szCs w:val="16"/>
        </w:rPr>
        <w:t>РГВА. Ф. 31811. Оп. 2. Д. 54. Л. 65—66 об. Копия.</w:t>
      </w:r>
    </w:p>
    <w:p w14:paraId="6EF6F2F5" w14:textId="77777777" w:rsidR="009E3773" w:rsidRPr="005E779E" w:rsidRDefault="009E37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Архив: РГВА. Ф. 31811. Оп. 2. Д. 54. Л. 65—66 об. Копия. </w:t>
      </w:r>
    </w:p>
    <w:p w14:paraId="12D391D9" w14:textId="77777777" w:rsidR="009E3773" w:rsidRPr="005E779E" w:rsidRDefault="009E377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Источник: Становление оборонно-промышленного комплекса СССР (1927-1932). М. 2008, стр. 575-578 (12539).</w:t>
      </w:r>
    </w:p>
    <w:p w14:paraId="598EFA96" w14:textId="77777777" w:rsidR="009E3773" w:rsidRPr="005E779E" w:rsidRDefault="009E3773" w:rsidP="000B7A6C">
      <w:pPr>
        <w:spacing w:after="0" w:line="240" w:lineRule="auto"/>
        <w:jc w:val="both"/>
        <w:rPr>
          <w:rFonts w:ascii="Times New Roman" w:hAnsi="Times New Roman"/>
          <w:color w:val="000000" w:themeColor="text1"/>
          <w:sz w:val="16"/>
          <w:szCs w:val="16"/>
        </w:rPr>
      </w:pPr>
    </w:p>
    <w:p w14:paraId="5D3034A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декабря 1931 года начальник КБ Ижорского завода направил в управление механизации и моторизации Крас</w:t>
      </w:r>
      <w:r w:rsidRPr="005E779E">
        <w:rPr>
          <w:rFonts w:ascii="Times New Roman" w:hAnsi="Times New Roman"/>
          <w:color w:val="000000" w:themeColor="text1"/>
          <w:sz w:val="16"/>
          <w:szCs w:val="16"/>
        </w:rPr>
        <w:softHyphen/>
        <w:t>ной Армии письмо, в котором сообщал следующее:</w:t>
      </w:r>
    </w:p>
    <w:p w14:paraId="1D6063D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«Согласно задания НТК УММ РККА КБ Ижорского завода выполнило проект бронеавтомобиля ФАИ-2 на 3-ос-ном шасси «Форд-А». Теоретический вес брони приблизи</w:t>
      </w:r>
      <w:r w:rsidRPr="005E779E">
        <w:rPr>
          <w:rFonts w:ascii="Times New Roman" w:hAnsi="Times New Roman"/>
          <w:color w:val="000000" w:themeColor="text1"/>
          <w:sz w:val="16"/>
          <w:szCs w:val="16"/>
        </w:rPr>
        <w:softHyphen/>
        <w:t>тельно 500 кг, броня 4-6 мм. Вооружение - 2 пулемета ДТ, экипаж 3 человека. Корпус удлинен против корпуса обыч</w:t>
      </w:r>
      <w:r w:rsidRPr="005E779E">
        <w:rPr>
          <w:rFonts w:ascii="Times New Roman" w:hAnsi="Times New Roman"/>
          <w:color w:val="000000" w:themeColor="text1"/>
          <w:sz w:val="16"/>
          <w:szCs w:val="16"/>
        </w:rPr>
        <w:softHyphen/>
        <w:t>ного ФАЙ на 500 мм...» Однако производство трехосных «Форд-А» так и не бы</w:t>
      </w:r>
      <w:r w:rsidRPr="005E779E">
        <w:rPr>
          <w:rFonts w:ascii="Times New Roman" w:hAnsi="Times New Roman"/>
          <w:color w:val="000000" w:themeColor="text1"/>
          <w:sz w:val="16"/>
          <w:szCs w:val="16"/>
        </w:rPr>
        <w:softHyphen/>
        <w:t>ло развернуто, и проект ФАИ-2 остался только на бумаге (11284).</w:t>
      </w:r>
    </w:p>
    <w:p w14:paraId="15E367B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0F39FD" w14:textId="516D0962"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декабря 1931 г. приказом ВСНХ СССР на базе гидравлической лаборатории ЦАГИ был создан Гидроэнергетический научно-исследовательский институт (ГЭИ)</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В декабре 1934 г. преобразован во Всесоюзный научно-исследовательский институт гидромашиностроения (ВИГМ). Приказом Госкомитета химического и нефтяного машиностроения при Госплане СССР от 12 июня 1964 г. ВИГМ и Государственное центральное конструкторское бюро гидромашиностроения (ЦКБ ГМ) были объединены во Всесоюзный научно-исследовательский, конструкторский и технологический институт гидромашиностроения "ВНИИгидромаш" (12102).</w:t>
      </w:r>
    </w:p>
    <w:p w14:paraId="73307C91" w14:textId="77777777" w:rsidR="000C5145" w:rsidRPr="005E779E" w:rsidRDefault="000C5145"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627C8D4"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5F50341F"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2EC7190" w14:textId="77777777" w:rsidR="00EF159B" w:rsidRPr="005E779E" w:rsidRDefault="00EF159B"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декабря ПБ пересмотрело свое решение и разрешило закупку для ОГПУ в Италии трех сторожевых судов при условии сохранения прежнего валютного лимита (17281).</w:t>
      </w:r>
    </w:p>
    <w:p w14:paraId="63CD7528" w14:textId="77777777" w:rsidR="00EF159B" w:rsidRPr="005E779E" w:rsidRDefault="00EF159B" w:rsidP="000B7A6C">
      <w:pPr>
        <w:autoSpaceDE w:val="0"/>
        <w:autoSpaceDN w:val="0"/>
        <w:adjustRightInd w:val="0"/>
        <w:spacing w:after="0" w:line="240" w:lineRule="auto"/>
        <w:jc w:val="both"/>
        <w:rPr>
          <w:rFonts w:ascii="Times New Roman" w:hAnsi="Times New Roman"/>
          <w:color w:val="000000" w:themeColor="text1"/>
          <w:sz w:val="16"/>
          <w:szCs w:val="16"/>
        </w:rPr>
      </w:pPr>
    </w:p>
    <w:p w14:paraId="78D6FB9C" w14:textId="77777777" w:rsidR="00203904" w:rsidRPr="005E779E" w:rsidRDefault="00203904"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6A7F75A6" w14:textId="77777777" w:rsidR="00203904" w:rsidRPr="005E779E" w:rsidRDefault="00203904"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38D3D30" w14:textId="77777777" w:rsidR="00203904" w:rsidRPr="005E779E" w:rsidRDefault="00203904"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shd w:val="clear" w:color="auto" w:fill="FFFFFF"/>
        </w:rPr>
        <w:t>9 декабря 1931 года случилось событие, которое стало началом конца КБ-3 ВОАО в его текущем виде. Дело в том, что 3 декабря был рассмотрен проект 30-тонного танка ТГ-3 конструкции Эдварда Гроте. Проект забраковали, но еще 9 ноября возникла идея создания похожей машины. Она первоначально носила обозначение ТГ, но 9 декабря 1931 года прозвучал и другой индекс - Т-35. Под задачу разработки данной машины к декабрю 1931 года на заводе "Большевик" был создан опытный отдел, он же ОКМО (опытно-конструкторский машиностроительный отдел). Официально его организовали 16 февраля 1932 года, но на самом деле всё решили еще раньше. Начальником ОКМО стал Н.В. Барыков, до того курировавший работы по ТГ-1. А заместителем Барыкова назначили Гинзбурга. Таким образом, теперь начальник КБ-3 ВОАО оказался между Ленинградом и Москвой. Приказом НКТП №35 от 15 февраля 1932 года танковое производство "Большевика" выделили в новое предприятие - завод №174 им. Ворошилова. Что же касается КБ-3 ВОАО, то оно просуществовало до осени 1932 года. Впрочем, постепенно шла переброска сотрудников в Ленинград. Никакого глубинного смысла нахождения данного КБ в отрыве от производства не имелось. Гинзбург стал главным конструктором ОКМО, а Иванов его заместителем (20375).</w:t>
      </w:r>
    </w:p>
    <w:p w14:paraId="2C71163B" w14:textId="77777777" w:rsidR="00203904" w:rsidRPr="005E779E" w:rsidRDefault="00203904" w:rsidP="000B7A6C">
      <w:pPr>
        <w:shd w:val="clear" w:color="auto" w:fill="FFFFFF"/>
        <w:spacing w:after="0" w:line="240" w:lineRule="auto"/>
        <w:jc w:val="both"/>
        <w:rPr>
          <w:rFonts w:ascii="Times New Roman" w:hAnsi="Times New Roman"/>
          <w:color w:val="000000" w:themeColor="text1"/>
          <w:sz w:val="16"/>
          <w:szCs w:val="16"/>
        </w:rPr>
      </w:pPr>
    </w:p>
    <w:p w14:paraId="096EAD54" w14:textId="77777777" w:rsidR="00203904" w:rsidRPr="005E779E" w:rsidRDefault="0020390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декабря 1931 г. М.Н. Тухачевский в письме К.Е. Ворошилову писал: «Показали мы т[оварищу]. Сталину и т[оварищу]. Молотову фильм: испытания танка-амфибии Карден-Ллойда. Это чрезвычайно интересно и т[оварищ]. Сталин предложил купить десять штук по 25 тыс. руб. (Виккерс просит по 34 тыс. руб.) Через Темзу этот танк плавает шутя» (РГВА. Ф. 33987. Оп. 3 с. Д. 155. Л. 184). «Высочайшее внимание» сыграло свою роль, и замнаркома обороны М.Н. Тухачевский распорядился немедленно начать переговоры о покупке, и, не дожидаясь их результатов, приступить к созданию собственного плавающего танка, используя имевшиеся фотографии английского образца (РГВА. Ф. 31811. Оп. 2. Д. 55. Л. 4). Работы развернулись небывалыми темпами, и уже в апреле 1932 г. советский танк-амфибия Т-33 вышел на испытания (21522).</w:t>
      </w:r>
    </w:p>
    <w:p w14:paraId="75FC2576" w14:textId="77777777" w:rsidR="00203904" w:rsidRPr="005E779E" w:rsidRDefault="00203904" w:rsidP="000B7A6C">
      <w:pPr>
        <w:spacing w:after="0" w:line="240" w:lineRule="auto"/>
        <w:jc w:val="both"/>
        <w:rPr>
          <w:rFonts w:ascii="Times New Roman" w:hAnsi="Times New Roman"/>
          <w:color w:val="000000" w:themeColor="text1"/>
          <w:sz w:val="16"/>
          <w:szCs w:val="16"/>
        </w:rPr>
      </w:pPr>
    </w:p>
    <w:p w14:paraId="3E37CC10" w14:textId="77777777" w:rsidR="00560FA4" w:rsidRPr="005E779E" w:rsidRDefault="00560FA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декабря 1931 г. председатель 1-й секции НТК УММ РККА В.М. Бегунов в письме № 9031343 уведомил руководство объединения «Локомотив» о том, что:</w:t>
      </w:r>
    </w:p>
    <w:p w14:paraId="7D9C61F1" w14:textId="77777777" w:rsidR="00560FA4" w:rsidRPr="005E779E" w:rsidRDefault="00560FA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«Вопрос о переходе с авио-моторов на дизель-моторы в танках БТ нами предусмотрен. Готовится опытный образец 400-сильного дизель-мотора. По окончании испытаний этого мотора выяснится возможность установки дизель-моторов в танки Б-Т»</w:t>
      </w:r>
    </w:p>
    <w:p w14:paraId="73665C79" w14:textId="77777777" w:rsidR="00560FA4" w:rsidRPr="005E779E" w:rsidRDefault="00560FA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[РГАЭ. Ф. 8122. Оп. 1. Д. 31. Л. 621]</w:t>
      </w:r>
    </w:p>
    <w:p w14:paraId="38F68CF6" w14:textId="77777777" w:rsidR="00560FA4" w:rsidRPr="005E779E" w:rsidRDefault="00560FA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данном письме В.М. Бегунова речь шла о дизеле ПГЕ, разработка которого была завершена в ТО ЭКУ ОГПУ. Как уже было написано выше, двигатель ПГЕ предназначался для установки в плавающий колесно-гусеничный танк ПТ-1. Это был двухтактный шестицилиндровый жидкостного охлаждения дизель с рядным (вертикальным) расположением цилиндров. Заявленная максимальная мощность дизеля ПГЕ составляла 400 л.с. при частоте вращения коленчатого вала 1500 об/мин, диаметр и ход поршня – 170 мм, степень сжатия – 15 (94856).</w:t>
      </w:r>
    </w:p>
    <w:p w14:paraId="658A8EB5" w14:textId="77777777" w:rsidR="00560FA4" w:rsidRPr="005E779E" w:rsidRDefault="00560FA4" w:rsidP="000B7A6C">
      <w:pPr>
        <w:spacing w:after="0" w:line="240" w:lineRule="auto"/>
        <w:jc w:val="both"/>
        <w:rPr>
          <w:rFonts w:ascii="Times New Roman" w:hAnsi="Times New Roman"/>
          <w:color w:val="000000" w:themeColor="text1"/>
          <w:sz w:val="16"/>
          <w:szCs w:val="16"/>
        </w:rPr>
      </w:pPr>
    </w:p>
    <w:p w14:paraId="0F91B1B0" w14:textId="77777777" w:rsidR="00560FA4" w:rsidRPr="005E779E" w:rsidRDefault="00560FA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декабря 1931 г.</w:t>
      </w:r>
    </w:p>
    <w:p w14:paraId="635A710C" w14:textId="77777777" w:rsidR="00560FA4" w:rsidRPr="005E779E" w:rsidRDefault="00560FA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РГАЭ Фонд 8122 Опись 1 Дело 31 лист 621 </w:t>
      </w:r>
    </w:p>
    <w:p w14:paraId="1FAFB779" w14:textId="77777777" w:rsidR="00560FA4" w:rsidRPr="005E779E" w:rsidRDefault="00560FA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СЕКРЕТНО </w:t>
      </w:r>
    </w:p>
    <w:p w14:paraId="331E55D4" w14:textId="77777777" w:rsidR="00560FA4" w:rsidRPr="005E779E" w:rsidRDefault="00560FA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9 декабря 1931 г. </w:t>
      </w:r>
    </w:p>
    <w:p w14:paraId="2DCF7AB0" w14:textId="77777777" w:rsidR="00560FA4" w:rsidRPr="005E779E" w:rsidRDefault="00560FA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9031343</w:t>
      </w:r>
    </w:p>
    <w:p w14:paraId="0BA26F28" w14:textId="77777777" w:rsidR="00560FA4" w:rsidRPr="005E779E" w:rsidRDefault="00560FA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НАЧАЛЬНИКУ СПЕЦСЕКТОРА ГОС </w:t>
      </w:r>
    </w:p>
    <w:p w14:paraId="718F145D" w14:textId="77777777" w:rsidR="00560FA4" w:rsidRPr="005E779E" w:rsidRDefault="00560FA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ВСЕСОЮЗНОГО ЛОКОМОТИВНОГО ОБЪЕДИНЕНИЯ – ЛОКОМОТИВ </w:t>
      </w:r>
    </w:p>
    <w:p w14:paraId="190D34E4" w14:textId="77777777" w:rsidR="00560FA4" w:rsidRPr="005E779E" w:rsidRDefault="00560FA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Здесь, Никольская 1/5</w:t>
      </w:r>
    </w:p>
    <w:p w14:paraId="2AB2C11B" w14:textId="77777777" w:rsidR="00560FA4" w:rsidRPr="005E779E" w:rsidRDefault="00560FA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В/№ 291/3859с</w:t>
      </w:r>
    </w:p>
    <w:p w14:paraId="26A6FE14" w14:textId="77777777" w:rsidR="00560FA4" w:rsidRPr="005E779E" w:rsidRDefault="00560FA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Вопрос о переходе с авио моторов на дизель-моторы в танках Б-Т нами предусмотрен. Готовится опытный образец 400-сильного дизель-мотора. По окончании испытаний этого мотора выяснится возможность установки дизель-моторов в танках Б-Т.</w:t>
      </w:r>
    </w:p>
    <w:p w14:paraId="6F6E13DD" w14:textId="77777777" w:rsidR="00560FA4" w:rsidRPr="005E779E" w:rsidRDefault="00560FA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 I СЕКЦИИ НТК УММ подпись В.М. Бегунова</w:t>
      </w:r>
    </w:p>
    <w:p w14:paraId="6CFCF3E0" w14:textId="77777777" w:rsidR="00560FA4" w:rsidRPr="005E779E" w:rsidRDefault="00560FA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Отпеч. в 2 экз. (24870).</w:t>
      </w:r>
    </w:p>
    <w:p w14:paraId="3F24DC79" w14:textId="77777777" w:rsidR="00560FA4" w:rsidRPr="005E779E" w:rsidRDefault="00560FA4" w:rsidP="000B7A6C">
      <w:pPr>
        <w:spacing w:after="0" w:line="240" w:lineRule="auto"/>
        <w:jc w:val="both"/>
        <w:rPr>
          <w:rFonts w:ascii="Times New Roman" w:hAnsi="Times New Roman"/>
          <w:color w:val="000000" w:themeColor="text1"/>
          <w:sz w:val="16"/>
          <w:szCs w:val="16"/>
        </w:rPr>
      </w:pPr>
    </w:p>
    <w:p w14:paraId="4BA3911F" w14:textId="77777777" w:rsidR="00203904" w:rsidRPr="005E779E" w:rsidRDefault="00203904"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5D033F22" w14:textId="77777777" w:rsidR="00203904" w:rsidRPr="005E779E" w:rsidRDefault="00203904"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C1463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декабря 1931 в Испании была принята республиканская конституция (2443,406).</w:t>
      </w:r>
    </w:p>
    <w:p w14:paraId="152DF2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EB30B2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декабря 1931 Испания провозглашена республикой (4962).</w:t>
      </w:r>
    </w:p>
    <w:p w14:paraId="55BF3D0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94B399"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77BAB2B2"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06646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декабря 1931 должен был быть готов И-5 М-22 со внесением в него всех изменений по результатам войсковых испытаний, который должен был стать эталоном для 21 завода. 10-15 планировались заводские испытания и с 15 - гос. испытания (352).</w:t>
      </w:r>
    </w:p>
    <w:p w14:paraId="7EB550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D785389" w14:textId="3D5CF87A" w:rsidR="0098310F" w:rsidRPr="005E779E" w:rsidRDefault="0098310F" w:rsidP="0098310F">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Другие оборонные отрасли</w:t>
      </w:r>
      <w:r w:rsidRPr="005E779E">
        <w:rPr>
          <w:rFonts w:ascii="Times New Roman" w:hAnsi="Times New Roman"/>
          <w:i/>
          <w:iCs/>
          <w:color w:val="000000" w:themeColor="text1"/>
          <w:sz w:val="16"/>
          <w:szCs w:val="16"/>
        </w:rPr>
        <w:t>:</w:t>
      </w:r>
    </w:p>
    <w:p w14:paraId="3C2991D3" w14:textId="77777777" w:rsidR="0098310F" w:rsidRPr="005E779E" w:rsidRDefault="0098310F" w:rsidP="0098310F">
      <w:pPr>
        <w:autoSpaceDE w:val="0"/>
        <w:autoSpaceDN w:val="0"/>
        <w:adjustRightInd w:val="0"/>
        <w:spacing w:after="0" w:line="240" w:lineRule="auto"/>
        <w:jc w:val="both"/>
        <w:rPr>
          <w:rFonts w:ascii="Times New Roman" w:hAnsi="Times New Roman"/>
          <w:iCs/>
          <w:color w:val="000000" w:themeColor="text1"/>
          <w:sz w:val="16"/>
          <w:szCs w:val="16"/>
        </w:rPr>
      </w:pPr>
    </w:p>
    <w:p w14:paraId="37D39807" w14:textId="77777777" w:rsidR="0098310F" w:rsidRPr="00142305" w:rsidRDefault="0098310F" w:rsidP="0098310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10 декабря 1931 года у 1-го заместителя председателя Го</w:t>
      </w:r>
      <w:r w:rsidRPr="00142305">
        <w:rPr>
          <w:rFonts w:ascii="Times New Roman" w:hAnsi="Times New Roman"/>
          <w:color w:val="0070C0"/>
          <w:sz w:val="16"/>
          <w:szCs w:val="16"/>
        </w:rPr>
        <w:softHyphen/>
        <w:t>сплана Межлаука состоялось совещание с представителями Наркомзема, Лесхоза и Наркомвоенмора «об из’ятии из РККА 400 тракторов «Коммунар» для лесного хозяйства». Такая постановка вопроса была не случайной, поскольку лес был од</w:t>
      </w:r>
      <w:r w:rsidRPr="00142305">
        <w:rPr>
          <w:rFonts w:ascii="Times New Roman" w:hAnsi="Times New Roman"/>
          <w:color w:val="0070C0"/>
          <w:sz w:val="16"/>
          <w:szCs w:val="16"/>
        </w:rPr>
        <w:softHyphen/>
        <w:t>ним из существенных источников дохода страны на внешнем рынке. Запрос лесной отрасли встретил возражения военных, поскольку, согласно плану организацион</w:t>
      </w:r>
      <w:r w:rsidRPr="00142305">
        <w:rPr>
          <w:rFonts w:ascii="Times New Roman" w:hAnsi="Times New Roman"/>
          <w:color w:val="0070C0"/>
          <w:sz w:val="16"/>
          <w:szCs w:val="16"/>
        </w:rPr>
        <w:softHyphen/>
        <w:t>ных мероприятий РВС в 1931 году для их обеспечения требовалось 2000 тракторов «Коммунар», а в наличии имелось 720, или 30% потребности. Причем из на</w:t>
      </w:r>
      <w:r w:rsidRPr="00142305">
        <w:rPr>
          <w:rFonts w:ascii="Times New Roman" w:hAnsi="Times New Roman"/>
          <w:color w:val="0070C0"/>
          <w:sz w:val="16"/>
          <w:szCs w:val="16"/>
        </w:rPr>
        <w:softHyphen/>
        <w:t>личного парка тракторов 20% требова</w:t>
      </w:r>
      <w:r w:rsidRPr="00142305">
        <w:rPr>
          <w:rFonts w:ascii="Times New Roman" w:hAnsi="Times New Roman"/>
          <w:color w:val="0070C0"/>
          <w:sz w:val="16"/>
          <w:szCs w:val="16"/>
        </w:rPr>
        <w:softHyphen/>
        <w:t>ли капитального или среднего ремонта, не обеспеченного запчастями.</w:t>
      </w:r>
    </w:p>
    <w:p w14:paraId="4B7C2101" w14:textId="77777777" w:rsidR="0098310F" w:rsidRPr="00142305" w:rsidRDefault="0098310F" w:rsidP="0098310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стремлении примирить интересы на</w:t>
      </w:r>
      <w:r w:rsidRPr="00142305">
        <w:rPr>
          <w:rFonts w:ascii="Times New Roman" w:hAnsi="Times New Roman"/>
          <w:color w:val="0070C0"/>
          <w:sz w:val="16"/>
          <w:szCs w:val="16"/>
        </w:rPr>
        <w:softHyphen/>
        <w:t>родного хозяйства и военных было выработано Постановление СТО №265/с «Об отпуске тракторов черной металлур</w:t>
      </w:r>
      <w:r w:rsidRPr="00142305">
        <w:rPr>
          <w:rFonts w:ascii="Times New Roman" w:hAnsi="Times New Roman"/>
          <w:color w:val="0070C0"/>
          <w:sz w:val="16"/>
          <w:szCs w:val="16"/>
        </w:rPr>
        <w:softHyphen/>
        <w:t>гии и лесной промышленности», вышед</w:t>
      </w:r>
      <w:r w:rsidRPr="00142305">
        <w:rPr>
          <w:rFonts w:ascii="Times New Roman" w:hAnsi="Times New Roman"/>
          <w:color w:val="0070C0"/>
          <w:sz w:val="16"/>
          <w:szCs w:val="16"/>
        </w:rPr>
        <w:softHyphen/>
        <w:t>шее 14 декабря 1931 года.</w:t>
      </w:r>
    </w:p>
    <w:p w14:paraId="740B02BF" w14:textId="77777777" w:rsidR="0098310F" w:rsidRPr="00142305" w:rsidRDefault="0098310F" w:rsidP="0098310F">
      <w:pPr>
        <w:tabs>
          <w:tab w:val="left" w:pos="2059"/>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Путиловского завода предполага</w:t>
      </w:r>
      <w:r w:rsidRPr="00142305">
        <w:rPr>
          <w:rFonts w:ascii="Times New Roman" w:hAnsi="Times New Roman"/>
          <w:color w:val="0070C0"/>
          <w:sz w:val="16"/>
          <w:szCs w:val="16"/>
        </w:rPr>
        <w:softHyphen/>
        <w:t>лось отгрузить до конца года 30 тракто</w:t>
      </w:r>
      <w:r w:rsidRPr="00142305">
        <w:rPr>
          <w:rFonts w:ascii="Times New Roman" w:hAnsi="Times New Roman"/>
          <w:color w:val="0070C0"/>
          <w:sz w:val="16"/>
          <w:szCs w:val="16"/>
        </w:rPr>
        <w:softHyphen/>
        <w:t>ров «Фордзон» и 120 «тягачей на рези</w:t>
      </w:r>
      <w:r w:rsidRPr="00142305">
        <w:rPr>
          <w:rFonts w:ascii="Times New Roman" w:hAnsi="Times New Roman"/>
          <w:color w:val="0070C0"/>
          <w:sz w:val="16"/>
          <w:szCs w:val="16"/>
        </w:rPr>
        <w:softHyphen/>
        <w:t>новом ходу» (тот же трактор «Фордзон», но на пневматиках высокого давления или грузошинах), а с ХПЗ в декабре 40 «Коммунаров» и в январе следу</w:t>
      </w:r>
      <w:r w:rsidRPr="00142305">
        <w:rPr>
          <w:rFonts w:ascii="Times New Roman" w:hAnsi="Times New Roman"/>
          <w:color w:val="0070C0"/>
          <w:sz w:val="16"/>
          <w:szCs w:val="16"/>
        </w:rPr>
        <w:softHyphen/>
        <w:t>ющего года еще 60. Других поставок «Коммунаров» народному хозяйству на 1932 год не планировалось. Нелиш</w:t>
      </w:r>
      <w:r w:rsidRPr="00142305">
        <w:rPr>
          <w:rFonts w:ascii="Times New Roman" w:hAnsi="Times New Roman"/>
          <w:color w:val="0070C0"/>
          <w:sz w:val="16"/>
          <w:szCs w:val="16"/>
        </w:rPr>
        <w:softHyphen/>
        <w:t>не заметить, что трактор «Фордзон» на замену «Коммунара» явно не годил</w:t>
      </w:r>
      <w:r w:rsidRPr="00142305">
        <w:rPr>
          <w:rFonts w:ascii="Times New Roman" w:hAnsi="Times New Roman"/>
          <w:color w:val="0070C0"/>
          <w:sz w:val="16"/>
          <w:szCs w:val="16"/>
        </w:rPr>
        <w:softHyphen/>
        <w:t>ся, но ничего другого просто не было. Сталинградский тракторный завод еще только вступил в строй и не мог удов</w:t>
      </w:r>
      <w:r w:rsidRPr="00142305">
        <w:rPr>
          <w:rFonts w:ascii="Times New Roman" w:hAnsi="Times New Roman"/>
          <w:color w:val="0070C0"/>
          <w:sz w:val="16"/>
          <w:szCs w:val="16"/>
        </w:rPr>
        <w:softHyphen/>
        <w:t>летворить потребности в более мощ</w:t>
      </w:r>
      <w:r w:rsidRPr="00142305">
        <w:rPr>
          <w:rFonts w:ascii="Times New Roman" w:hAnsi="Times New Roman"/>
          <w:color w:val="0070C0"/>
          <w:sz w:val="16"/>
          <w:szCs w:val="16"/>
        </w:rPr>
        <w:softHyphen/>
        <w:t>ных колесных тракторах СХТЗ-15/30, а Обуховский («Большевик») завод все усилия направил на танковую програм</w:t>
      </w:r>
      <w:r w:rsidRPr="00142305">
        <w:rPr>
          <w:rFonts w:ascii="Times New Roman" w:hAnsi="Times New Roman"/>
          <w:color w:val="0070C0"/>
          <w:sz w:val="16"/>
          <w:szCs w:val="16"/>
        </w:rPr>
        <w:softHyphen/>
        <w:t>му. Обеспечить снабжение народного хозяйства гусеничными тракторами удалось лишь после пуска завода в Челябинске (25003).</w:t>
      </w:r>
    </w:p>
    <w:p w14:paraId="65753BFE" w14:textId="77777777" w:rsidR="0098310F" w:rsidRPr="00142305" w:rsidRDefault="0098310F" w:rsidP="0098310F">
      <w:pPr>
        <w:spacing w:after="0" w:line="240" w:lineRule="auto"/>
        <w:jc w:val="both"/>
        <w:rPr>
          <w:rFonts w:ascii="Times New Roman" w:hAnsi="Times New Roman"/>
          <w:color w:val="0070C0"/>
          <w:sz w:val="16"/>
          <w:szCs w:val="16"/>
        </w:rPr>
      </w:pPr>
    </w:p>
    <w:p w14:paraId="0CCFB8B0"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17ED027E"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A856B58" w14:textId="77777777" w:rsidR="000F17FB" w:rsidRPr="005E779E" w:rsidRDefault="000F17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декабря 1931 г. Московский горком партии одобрил предложения Метростроя выстроить в качестве первой линии Мясницкий и Усачевский радиусы от Сокольников до Дворца Советов (7 км) и на двух коротких участках начать изыскательские работы открытого и закрытого типа. Собственно строительные работы предстояло развернуть в апреле 1932 г.{408}В середине декабря 1931 г.[40]на ул. Русакова, 13 у Митьковского виадука был заложен опытный участок строительства тоннеля по парижскому способу, позднее известный как шахта № 29. Даже если Каганович лично присутствовал при закладке, как об этом позже упоминал Николаи{409},начало метростроительства выглядело довольно буднично: «Тут достали первых семь рабочих. Где-то им купили полушубки и валенки, Метроснаба (организации снабжения при Метрострое. —Д.Н.)еще не было. Значит, отправили их копать. Жители прилегающих домов смотрели, что тут делается. Какой-то странный наклонный ход во дворе одного дома»{410}.</w:t>
      </w:r>
    </w:p>
    <w:p w14:paraId="6B740B6C" w14:textId="77777777" w:rsidR="000F17FB" w:rsidRPr="005E779E" w:rsidRDefault="000F17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недостаточных средствах и отсутствии квалифицированной рабочей силы была начата проходка шахты с деревянными крепями и забутовкой стен камнем. Когда вскоре Каганович нанес визит на строительный объект, он задал много скептических вопросов и выразил сомнение в осуществимости замысла столь примитивными методами{411} (18299).</w:t>
      </w:r>
    </w:p>
    <w:p w14:paraId="5DE72332" w14:textId="77777777" w:rsidR="000F17FB" w:rsidRPr="005E779E" w:rsidRDefault="000F17FB" w:rsidP="000B7A6C">
      <w:pPr>
        <w:spacing w:after="0" w:line="240" w:lineRule="auto"/>
        <w:jc w:val="both"/>
        <w:rPr>
          <w:rFonts w:ascii="Times New Roman" w:hAnsi="Times New Roman"/>
          <w:color w:val="000000" w:themeColor="text1"/>
          <w:sz w:val="16"/>
          <w:szCs w:val="16"/>
        </w:rPr>
      </w:pPr>
    </w:p>
    <w:p w14:paraId="073E23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декабря 1931 года вышло Постановление СНК СССР "О предоставлении Всесоюзному объединению "Торгсин" права производства операций по покупке драгоценных металлов (золота). Хотя со временем последовали разрешения принимать от населения также и серебро, платину, бриллианты и другие драгоценные камни, именно золото сыграло главную роль в истории Торгсина. Всего за четыре года (1932-1935) люди снесли в него почти 100 тонн чистого золота!</w:t>
      </w:r>
    </w:p>
    <w:p w14:paraId="75F187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Золото в Торгсине принималось во всех видах: в ломе, ювелирных, художественных, бытовых изделиях, монетах, слитках, песке (шлихт), самородках, утиле, даже в отходах, за исключением церковной утвари. Имущество церкви было национализировано, церковные предметы в частном владении считались краденными у государства и подлежали конфискации.</w:t>
      </w:r>
    </w:p>
    <w:p w14:paraId="4DD80F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 это разнообразие форм золота уничтожалось. Приемщик-оценщик выламывал драгоценные камни, часовые и другие механизмы, эмаль, дерево, ткань, кость и любые другие вставки, самородки разбивал молотком. О технике приемки говорит и набор инструментов работников Торгсина: плоскогубцы (флахцанг), круглогубцы (бихцанг), кусачки (кнайфцанг), магнит, отвертка часовая, напильники - треугольный и плоский (шабер), штихель, лупа, ножницы для металла и, наконец, - внимание! - наковальня, зубило и молоток на 4-6 кг веса для рубки больших слитков.</w:t>
      </w:r>
    </w:p>
    <w:p w14:paraId="74CE67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обезличенной куче лома уже не было семейных напутствий, передававшихся с кольцом прабабки от матери дочери или невестке, воспоминаний о последних беззаботных довоенных именинах, что навевало подаренное тогда мужем золотое колечко, или историй о подвигах прадедов в минувших войнах, рассказанных в их орденах. Отторгнутый от своих семей, золотой лом был свободен от человеческой памяти. Официально и вполне символично "лом" стал главной категорией в статистике учета золота в Торгсине, второй группой были монеты царского чекана ("чекан"). В кладовых Госбанка все переплавлялось в слитки, которые затем переправляли в Европу, главным образом в Германию, для продажи на мировом рынке. Взамен изымаемых из частного владения дореволюционных изделий из драгоценных металлов Ювелирное объединение Наркомвнуторга заполняло внутренний рынок современными советскими поделками из мельхиора, биметалла, легковесного серебра, искусственных и низкокачественных драгоценных камней.</w:t>
      </w:r>
    </w:p>
    <w:p w14:paraId="2D54B5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Процесс приемки ценностей был долгим, трудоемким и ответственным. Металл должен был пройти испытание. Для этого приемщик делал надрез напильником или глубокую царапину шилом или иглой. На место пореза капал азотной кислотой. Если реакции не было, то предмет золотой, если появлялось потемневшее пятно - серебряный, а если на месте разреза кислота начинала кипеть и показывалась зелень - медный. Убедившись, что предмет золотой, оценщик устанавливал его пробу, то есть содержание чистого золота в металле.</w:t>
      </w:r>
    </w:p>
    <w:p w14:paraId="25D5A6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Следующий этап - взвешивание. Инструкция предписывала тщательно выверить и очистить от пыли весы. Запрещалось в качестве разновеса использовать - видимо, в практике таких случаев хватало - монеты, спички и другие предметы, а только клейменые гирьки. Перед взвешиванием оценщик должен был удалить из изделия все постороннее, что не являлось драгоценным металлом: механизмы, всевозможные вставки, впайки других металлов. Из выломанных незолотых предметов государство также пыталось извлечь пользу. На совещании Ленинградской областной конторы Торгсина один из работников, например, советовал "обратить внимание на сбор мелких драгоценных камней и часовых механизмов, от которых отказываются сдатчики золота, необходимых для нашей промышленности".</w:t>
      </w:r>
    </w:p>
    <w:p w14:paraId="10730A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Испытание золота было и испытанием для пробирера, который за ошибки отвечал кошельком. "На днях я убедился, насколько сложно идет процесс приемки, - говорил на совещании у управляющего Ленинградской конторой один из директоров скупочного пункта. - Одна знакомая попросила меня принять ее без очереди, я дал пробиреру (кольцо) и остался посмотреть, что он делает. Он в семи местах пробовал пробированное обручальное кольцо - и на камне поскоблил, и по-всякому. Я спросил его - почему вы так смотрите, он отвечает: "Нам банк столько наговорил, что мы за все отвечаем, мы так напуганы, что иначе не можем принимать". Впрочем, попытка перестраховаться и отказ принять подозрительное золото могли стоить оценщику самого дорогого - продовольственного пайка.</w:t>
      </w:r>
    </w:p>
    <w:p w14:paraId="285C2B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Испытание золота было и испытанием для сдатчика. Можно только догадываться, что чувствовали люди, глядя на изрезанные, исколотые, разломанные семейные реликвии. Документы описывают случаи, когда люди, не доверившись одному оценщику, несли золото в другой скупочный пункт, и нередко оценки одного и того же предмета разными приемщиками расходились. Да и неудивительно: плохие весы, отсутствие гирь, просроченные реактивы. Приблизительность оценки и количество ошибок увеличивались при продвижении в глубинку, где не хватало инвентаря, реактивов и специалистов.</w:t>
      </w:r>
    </w:p>
    <w:p w14:paraId="72F47B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Инструкции по приему золота свидетельствуют, что государство боялось потерять даже пылинку золота. Стол приемщика по бокам имел бортики, "предохраняющие от возможного отскакивания на пол камней, пружин и др. предметов при взломе (так в инструкции) изделий", а также раструски золотой пыли. Со стороны клиента он был защищен стеклянной перегородкой, через которую сдатчик наблюдал работу оценщика. В правой плоскости крышки стола следовало вырезать отверстия, каждое для определенной пробы золота. Приняв золото, оценщик опускал его в соответствующее отверстие ящика, из которого уже не мог его достать. Ящик был опломбирован в течение всего рабочего дня. С левой стороны в крышке стола предписывалось сделать еще одно отверстие и под ним аналогичный опломбированный ящик, но для утиля (драгоценных и полудрагоценных камней, металлических отходов, бумаги от обтираемых реактивов, металлической пыли и других предметов без цены). Спиливание нужно было производить над специальным ящиком, дно которого покрывалось плотной белой бумагой. В конце рабочего дня оценщик должен был собрать золотую пыль, распыленную в результате испытания золота: смести со стола весь мусор в специальный ящик в столе, очистить щеткой все пылинки с рабочей одежды, "указать уборщику, от какого и до какого места самым аккуратным образом подмести пол и куда убрать весь собирающийся мусор", и даже тщательно вымыть руки в особом рукомойнике - вашбанке. </w:t>
      </w:r>
    </w:p>
    <w:p w14:paraId="2825BB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Поверхность стола покрывалась стеклом, линолеумом или металлическим листом - материалами, не позволяющими застрять ни одной пылинке золота, а оценщик должен был работать в нарукавниках из клеенки. Золотоносный и другой ценный утиль сдавался старшему приемщику или заведующему, тот хранил его в несгораемом шкафу и раз в два месяца, предварительно взвесив и опломбировав ящик, сдавал в Управление драгоценных металлов и инвалюты Госбанка. Для того чтобы оценщик собирал утиль не за страх, а за совесть, ему полагалась премия - 10 рублей за каждый грамм выделенного из отходов чистого золота.</w:t>
      </w:r>
    </w:p>
    <w:p w14:paraId="4A8C3F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 огромной стране "распыление" неоплаченного золота было значительным. Например, в 1933 году "припек", образовавшийся из неоплаченных людям излишков и отходов золота и серебра, составил 9 миллионов рублей, по курсу приемки это почти 7 тонн чистого золота!</w:t>
      </w:r>
    </w:p>
    <w:p w14:paraId="017715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погоне за золотом появился "скользящий пробирер" - приемщик-оценщик, выезжавший скупать золото у населения в районы, где не было Торгсина. В начальный период золото и серебро "против товаров Торгсина" скупали Мосторг и отделения Госбанка. Сам Торгсин имел сеть агентов, которые забирались в глухие районы частной старательской добычи в Сибири и Казахстане. Наживался на этом и частный капитал. Предприимчивые люди скупали золото в глухих деревнях и от своего имени сдавали в Торгсин. По признанию правления, обороты таких частников превышали обороты некоторых торговых точек Торгсина. Чтобы защитить себя от ОГПУ, частные скупщики порой легализовывали свою деятельность, заключив договор и став официальными агентами Торгсина по скупке с обязательством ежемесячно сдавать оговоренную сумму ценностей.</w:t>
      </w:r>
    </w:p>
    <w:p w14:paraId="50874E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скупке постоянно толпились очереди. Из Ленинграда, например, писали: "Золотая касса не может в короткий восьмичасовой срок пропустить всех желающих сдать золото. Больше 70-80 человек не пропустить, а желающих 100 человек, приходится их разбивать по дням. Многие говорят: "Я больше не приду". В крупных городах оценщики работали в две смены и практиковали "запись на сдачу". Со сдачей ценностей мытарства сдатчиков, однако, не кончались.</w:t>
      </w:r>
    </w:p>
    <w:p w14:paraId="71E187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Приняв ценности, оценщик в трех копиях выписывал квитанцию. Одну оставлял у себя, две другие посылал для проверки контролеру по приемке ценностей. Сдатчик же получал квиток - номерной ярлык, в народе прозванный "собачкой". Этимология этого слова потерялась.</w:t>
      </w:r>
    </w:p>
    <w:p w14:paraId="7423CA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Пока сдатчик "с собачкой" ждал в тесном и душном коридоре, контролер проверял, правильно ли назначена цена и произведен расчет. Затем вызывал притомившегося сдатчика, отбирал у него "собачку", а взамен вручал... квитанцию. Усталому сдатчику предстояло отправляться в третью очередь - в кассу, куда контролер под расписку отдавал оставшуюся у него копию квитанции. И только тогда сдатчик наконец-то получал деньги Торгсина. Форма "денег" с годами менялась. Вначале это были боны, или товарные ордера, коротко "ТОТ". Подделать ТОТ было несложно, поэтому в 1933 году ввели именные товарные книжки, именуемые заборными, которые состояли из отрывных талонов. При оплате кассир магазина срезал талоны на сумму совершенной покупки. Полностью отоваренные книжки оставались в магазине в "мертвой картотеке". В 1934 году товарные книжки образца 1933 года, так называемые купюрные, были аннулированы. Вместо них ввели товарные книжки нового образца и новый порядок отоваривания, при котором покупатели прикреплялись к определенному магазину.</w:t>
      </w:r>
    </w:p>
    <w:p w14:paraId="1C0AEA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зимы - весной 1934 года в разных городах СССР на скупочных пунктах Торгсина появилось значительное количество крупных поддельных слитков золота низкой пробы. Боясь, что известие о фальсификации слитков вызовет массовый отказ оценщиков принимать золото, - видимо, сигналы об отказах уже начали поступать с мест, - Правление Торгсина спешно разослало на места письмо, в котором призывало оценщиков не избегать ответственности в определении пробы слитков. За необоснованный отказ принимать золото правление грозило оценщикам полным или частичным лишением пайка. РГАЭ. Ф. 4433. Оп. 1.</w:t>
      </w:r>
    </w:p>
    <w:p w14:paraId="69D411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Летом 1933 года двухсменная работа, например, была введена в 10 скупочных пунктах Ленинграда. ЛОГАВ. Ф. 1154. Оп. 3. Д. 59. Л. 261.</w:t>
      </w:r>
    </w:p>
    <w:p w14:paraId="07AFB7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Наибольший паек в размере 12 золотых рублей полагался приемщикам при обслуживании 4200 сдатчиков в месяц.</w:t>
      </w:r>
    </w:p>
    <w:p w14:paraId="7B0F96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Контролеры же, чтобы получить наибольший для них паек стоимостью 10 рублей, должны были "обработать" в 2 раза больше - 8400 сдатчиков в месяц (до 350 человек в день). При превышении высшей нормы оценщики и контролеры получали прибавку к зарплате. Наименьший паек стоимостью 6 золотых рублей должны были получать оценщики при обслуживании 2400 и меньше сдатчиков в месяц и контролеры при обслуживании 275 сдатчиков в день.</w:t>
      </w:r>
    </w:p>
    <w:p w14:paraId="2001AF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Вот, например, данные по Ленинградской конторе. Скупка бытового золота началась в конце декабря 1931 года. В январе 1932 года контора скупила золота на 61 тыс., в феврале на 147 тыс., в марте на 173 тыс., в апреле на 207 тыс. рублей. Директивный план скупки золота на апрель был выполнен на 244%! ЛОГАВ. Ф. 1154. Оп. 2. Д. 19. Л. 34, 55.</w:t>
      </w:r>
    </w:p>
    <w:p w14:paraId="7BB358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 Более трети этого плана - 14 миллионов рублей - должно было быть обеспечено скупкой бытового золота. Начальный план на 1932 год также предусматривал получение Торгсином чекана и инвалюты на сумму 13 миллионов, переводов на сумму 10 миллионов и приход от портовой торговли в размере 3 миллионов рублей. РГАЭ. Ф. 4433. Оп. 1. Д. 19. Л. 135.</w:t>
      </w:r>
    </w:p>
    <w:p w14:paraId="2A5C4A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 том, что золото старого чекана в значительной степени поступало из "глубинных пунктов" от крестьян, например, говорится в "Объяснительной записке к плану привлечения ценностей на 1935 год" ( РГАЭ. Ф. 4433. Оп. 1. Д. 140. Л. 76), а также в "Анализе каналов притока валюты в Торгсин", подготовленном в феврале 1934 года И. Орбеловым (РГАЭ.</w:t>
      </w:r>
    </w:p>
    <w:p w14:paraId="31B4D9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 за 9 месяцев 1932 года Торгсин скупил золота на 17,148 млн рублей. РГАЭ. Ф. 4433. Оп. 1. Д. 66.</w:t>
      </w:r>
    </w:p>
    <w:p w14:paraId="0202E9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общей сложности украинские конторы (Харьковская, Киевская, Днепропетровская, Одесская, Мариупольская и Винницкая) за 9 месяцев 1932 года скупили золота на 3,5 млн рублей, в том числе лома на 2,3 и чекана на 1,2 млн рублей. Украина обеспечила более пятой части скупки золота по стране за этот период. РГАЭ. Ф. 4433. Оп. 1. Д. 66.</w:t>
      </w:r>
    </w:p>
    <w:p w14:paraId="44BA0A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РГАЭ. Ф. 4433. Оп. 1. Д. 66. Л. 98.</w:t>
      </w:r>
    </w:p>
    <w:p w14:paraId="3040CF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1932 году гражданские отрасли золотодобывающей промышленности намыли 36,3 т чистого золота. Гулаговский Дальстрой, который только становился на ноги, дал еще 0,5 т. Гражданская золотодобыча высчитана мной на основе следующих данных: добыча золота в 1932 году составила 129,1% от добычи 1930 года (28,1 т). РГАЭ. Ф. 8153. Оп. 1. Д. 53. Л. 16; Ф. 8154. Оп. 1. Д. 266. Л. 5. Данные по Дальстрою: Широков А. И. Дальстрой: Предыстория и первое десятилетие. Магадан. 2000.</w:t>
      </w:r>
    </w:p>
    <w:p w14:paraId="4159F0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План скупки ценностей на 1933 год по остальным конторам: Восточная Сибирь - 3 млн; Западная Сибирь - 2,7 млн; Дальневосточная - 2,5 млн; Западная - 2,4 млн; Уральская, ЦЧО - по 2,3 млн; Нижегородская, Башкирская, Казахская - по 2 млн; Нижняя Волга - 1,8 млн; Северная, Татарская, Средняя Волга, Крым, Узбекская - по 1,5 млн; Туркменская - 1 млн; Якутия - 0,5 млн руб. РГАЭ. Ф. 4433. Оп. 1. Д. 66. Л. 134,146 (11458).</w:t>
      </w:r>
    </w:p>
    <w:p w14:paraId="3278E7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34D8F12" w14:textId="77777777" w:rsidR="000C5145" w:rsidRPr="005E779E" w:rsidRDefault="000C5145" w:rsidP="000B7A6C">
      <w:pPr>
        <w:spacing w:after="0" w:line="240" w:lineRule="auto"/>
        <w:jc w:val="both"/>
        <w:rPr>
          <w:rFonts w:ascii="Times New Roman" w:hAnsi="Times New Roman"/>
          <w:color w:val="000000" w:themeColor="text1"/>
          <w:sz w:val="16"/>
          <w:szCs w:val="16"/>
        </w:rPr>
      </w:pPr>
      <w:r w:rsidRPr="005E779E">
        <w:rPr>
          <w:rStyle w:val="ucoz-forum-post"/>
          <w:rFonts w:ascii="Times New Roman" w:hAnsi="Times New Roman"/>
          <w:bCs/>
          <w:color w:val="000000" w:themeColor="text1"/>
          <w:sz w:val="16"/>
          <w:szCs w:val="16"/>
        </w:rPr>
        <w:t xml:space="preserve">10 декабря </w:t>
      </w:r>
      <w:r w:rsidRPr="005E779E">
        <w:rPr>
          <w:rFonts w:ascii="Times New Roman" w:hAnsi="Times New Roman"/>
          <w:color w:val="000000" w:themeColor="text1"/>
          <w:sz w:val="16"/>
          <w:szCs w:val="16"/>
        </w:rPr>
        <w:t>в 1931 году ОГПУ докладывало руководству страны: "1931 год характеризуется... выявлением нового типа контрреволюционных формирований интеллигенции, для которых характерна... сознательная, глубокая зашифровка антисоветской деятельности под маской "идеологической нетерпимости". Режиссер Берсенев говорил: "Подумайте, какие темы в кино, в искусстве - тракторостроение, дизелестроение и подобная гадость" (14856).</w:t>
      </w:r>
    </w:p>
    <w:p w14:paraId="31767E2E" w14:textId="77777777" w:rsidR="000C5145" w:rsidRPr="005E779E" w:rsidRDefault="000C5145" w:rsidP="000B7A6C">
      <w:pPr>
        <w:spacing w:after="0" w:line="240" w:lineRule="auto"/>
        <w:jc w:val="both"/>
        <w:rPr>
          <w:rFonts w:ascii="Times New Roman" w:hAnsi="Times New Roman"/>
          <w:color w:val="000000" w:themeColor="text1"/>
          <w:sz w:val="16"/>
          <w:szCs w:val="16"/>
        </w:rPr>
      </w:pPr>
    </w:p>
    <w:p w14:paraId="29D37FFB" w14:textId="77777777" w:rsidR="000C5145"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31E18EC9" w14:textId="77777777" w:rsidR="000C5145" w:rsidRPr="005E779E" w:rsidRDefault="000C5145"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52F7D40" w14:textId="77777777" w:rsidR="000C5145" w:rsidRPr="005E779E" w:rsidRDefault="000C5145" w:rsidP="000B7A6C">
      <w:pPr>
        <w:spacing w:after="0" w:line="240" w:lineRule="auto"/>
        <w:jc w:val="both"/>
        <w:rPr>
          <w:rFonts w:ascii="Times New Roman" w:hAnsi="Times New Roman"/>
          <w:color w:val="000000" w:themeColor="text1"/>
          <w:sz w:val="16"/>
          <w:szCs w:val="16"/>
        </w:rPr>
      </w:pPr>
      <w:r w:rsidRPr="005E779E">
        <w:rPr>
          <w:rStyle w:val="ucoz-forum-post"/>
          <w:rFonts w:ascii="Times New Roman" w:hAnsi="Times New Roman"/>
          <w:bCs/>
          <w:color w:val="000000" w:themeColor="text1"/>
          <w:sz w:val="16"/>
          <w:szCs w:val="16"/>
        </w:rPr>
        <w:t xml:space="preserve">10 декабря </w:t>
      </w:r>
      <w:r w:rsidRPr="005E779E">
        <w:rPr>
          <w:rFonts w:ascii="Times New Roman" w:hAnsi="Times New Roman"/>
          <w:color w:val="000000" w:themeColor="text1"/>
          <w:sz w:val="16"/>
          <w:szCs w:val="16"/>
        </w:rPr>
        <w:t>в 1931 году первый полёт учебного «Blackburn» «B-2» (14856).</w:t>
      </w:r>
    </w:p>
    <w:p w14:paraId="79E4DDFB" w14:textId="77777777" w:rsidR="000C5145" w:rsidRPr="005E779E" w:rsidRDefault="000C5145" w:rsidP="000B7A6C">
      <w:pPr>
        <w:spacing w:after="0" w:line="240" w:lineRule="auto"/>
        <w:jc w:val="both"/>
        <w:rPr>
          <w:rFonts w:ascii="Times New Roman" w:hAnsi="Times New Roman"/>
          <w:color w:val="000000" w:themeColor="text1"/>
          <w:sz w:val="16"/>
          <w:szCs w:val="16"/>
        </w:rPr>
      </w:pPr>
    </w:p>
    <w:p w14:paraId="1F736FDA" w14:textId="77777777" w:rsidR="00A244C1" w:rsidRPr="005E779E" w:rsidRDefault="00A244C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декабря 1931 - Первый полёт в Великобритании учебного Blackburn B-2 (22710).</w:t>
      </w:r>
    </w:p>
    <w:p w14:paraId="2A96C00F" w14:textId="77777777" w:rsidR="00A244C1" w:rsidRPr="005E779E" w:rsidRDefault="00A244C1" w:rsidP="000B7A6C">
      <w:pPr>
        <w:spacing w:after="0" w:line="240" w:lineRule="auto"/>
        <w:jc w:val="both"/>
        <w:rPr>
          <w:rFonts w:ascii="Times New Roman" w:hAnsi="Times New Roman"/>
          <w:color w:val="000000" w:themeColor="text1"/>
          <w:sz w:val="16"/>
          <w:szCs w:val="16"/>
        </w:rPr>
      </w:pPr>
    </w:p>
    <w:p w14:paraId="0D835D20" w14:textId="77777777" w:rsidR="00A244C1" w:rsidRPr="005E779E" w:rsidRDefault="00A244C1"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03983DC4" w14:textId="77777777" w:rsidR="00A244C1" w:rsidRPr="005E779E" w:rsidRDefault="00A244C1"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FED3AF7" w14:textId="77777777" w:rsidR="00A244C1" w:rsidRPr="005E779E" w:rsidRDefault="00A244C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декабря 1931 г. Де Бернарди писал советскому военному атташе в Италии В.С. Трудолюбову, где приводит смету по перелету в СССР на Ca.97 на 4.950 лир, а также предполагаемый маршрут180: Милан-Инсбрук-ПрагаВроцлав-Варшава-Минск-Смоленск-Москва, всего 2340 км. В экипаж должны были входить, помимо Де Бернарди, коммерческий представитель фирмы «Caproni» и механик (21410).</w:t>
      </w:r>
    </w:p>
    <w:p w14:paraId="2AFBF6D7" w14:textId="77777777" w:rsidR="00A244C1" w:rsidRPr="005E779E" w:rsidRDefault="00A244C1" w:rsidP="000B7A6C">
      <w:pPr>
        <w:spacing w:after="0" w:line="240" w:lineRule="auto"/>
        <w:jc w:val="both"/>
        <w:rPr>
          <w:rFonts w:ascii="Times New Roman" w:hAnsi="Times New Roman"/>
          <w:color w:val="000000" w:themeColor="text1"/>
          <w:sz w:val="16"/>
          <w:szCs w:val="16"/>
        </w:rPr>
      </w:pPr>
    </w:p>
    <w:p w14:paraId="5C24EF4D"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0FFD4666"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28280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декабря 1931 г. постановлением СНК было утверждено Положение о Регистре СССР (3898).</w:t>
      </w:r>
    </w:p>
    <w:p w14:paraId="63822F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462F7D8"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33CAD244"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6F148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декабря 1931 г. Главное управление рабоче-крестьянской милиции НКВД РСФСР впервые утверждает типовые "Правила уличного движения", на основе которых местные Советы разработали и ввели правила уличного движения на своей территории (10303).</w:t>
      </w:r>
    </w:p>
    <w:p w14:paraId="71737F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6E08A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декабря 1931 приказом начальника Главного управления рабоче-крестьянской милиции в СССР утверждены типовые Правила уличного движения (11275).</w:t>
      </w:r>
    </w:p>
    <w:p w14:paraId="1F36B9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178D75A" w14:textId="77777777" w:rsidR="000C5145" w:rsidRPr="005E779E" w:rsidRDefault="000C5145"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11 декабря</w:t>
      </w:r>
      <w:r w:rsidRPr="005E779E">
        <w:rPr>
          <w:rFonts w:ascii="Times New Roman" w:hAnsi="Times New Roman"/>
          <w:color w:val="000000" w:themeColor="text1"/>
          <w:sz w:val="16"/>
          <w:szCs w:val="16"/>
        </w:rPr>
        <w:t xml:space="preserve"> в 1931 году в СССР для обеспечения безопасности пешеходов и автомобилистов принимаются первые правила уличного движения (14857).</w:t>
      </w:r>
    </w:p>
    <w:p w14:paraId="63EA409B" w14:textId="77777777" w:rsidR="000C5145" w:rsidRPr="005E779E" w:rsidRDefault="000C5145" w:rsidP="000B7A6C">
      <w:pPr>
        <w:spacing w:after="0" w:line="240" w:lineRule="auto"/>
        <w:jc w:val="both"/>
        <w:rPr>
          <w:rFonts w:ascii="Times New Roman" w:hAnsi="Times New Roman"/>
          <w:color w:val="000000" w:themeColor="text1"/>
          <w:sz w:val="16"/>
          <w:szCs w:val="16"/>
        </w:rPr>
      </w:pPr>
    </w:p>
    <w:p w14:paraId="2CBD5A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11 и 17 декабря 1931. Из протокола заседания Политбюро № 79, 1931 г.</w:t>
      </w:r>
    </w:p>
    <w:p w14:paraId="7754BB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 затоваривании и перевозке товаров без надлежащей тары и упаковки</w:t>
      </w:r>
    </w:p>
    <w:p w14:paraId="08B6E6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 По текстильному объединению Центросоюза: </w:t>
      </w:r>
    </w:p>
    <w:p w14:paraId="6BC3C2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 имеется затоваривание по платкам на 536 тыс. руб.; </w:t>
      </w:r>
    </w:p>
    <w:p w14:paraId="500FE2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б) отправка платков на периферию в массовом порядке производилась без тары, путем простой навалки в вагоны, что привело к хищению и порче платков. </w:t>
      </w:r>
    </w:p>
    <w:p w14:paraId="0C7CB3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 xml:space="preserve">2. По кондитерскому объединению Наркомснаба РСФСР. Констатировать, что с июля 1931 года перевозка кондитерских изделий кондитерским объединением Наркомснаба производилась в мягкой таре (мешках) и даже в порядке простой навалки в вагоны, в результате чего печенье превращалось в труху и вновь отправлялось на фабрики для переработки, а конфеты превращались в сплошную массу... Поручить т. Анцеловичу дополнительно расследовать факт отгрузки кондитерских изделий без тары фабрикой "Красный Октябрь" (Москва). </w:t>
      </w:r>
    </w:p>
    <w:p w14:paraId="270ABD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 По объединению Наркомснаба СССР "Союзконсерв". Констатировать: </w:t>
      </w:r>
    </w:p>
    <w:p w14:paraId="622044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 затоваривание на складах "Союзконсерва" в размере 25 млн банок; </w:t>
      </w:r>
    </w:p>
    <w:p w14:paraId="0AFA6D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б) преступно-небрежную задержку разнарядок по консервным заводам для отправки консервов на периферию; </w:t>
      </w:r>
    </w:p>
    <w:p w14:paraId="44454C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погрузку и перевозку консервов без надлежащей тары в порядке простой навалки в вагоны, что привело к массовому хищению и порче консервов. </w:t>
      </w:r>
    </w:p>
    <w:p w14:paraId="31A45D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5. По мыловаренному парфюмерному объединению ВСНХ РСФСР. Констатировать затоваривание парфюмерных изделий на 25 млн руб. сверх лимита, основными причинами которого являются высокие цены, недоброкачественная упаковка (большая, грубая посуда и т. п.) и отсутствие надлежащей работы по продвижению этих товаров... </w:t>
      </w:r>
    </w:p>
    <w:p w14:paraId="09ABEB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По швейному объединению Центросоюза. Констатировать, что на московской базе швейного объединения Центросоюза имеется затоваривание в 4 млн руб. Наряду с этим считать установленными массовые случаи перевозки готового платья как по железной дороге, так и в порядке внутригородских перевозок без тары, простым навалом в вагоны и грузовики... (11652).</w:t>
      </w:r>
    </w:p>
    <w:p w14:paraId="23768C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5F066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Между 11 и 17 декабря 1931. Из протокола заседания Политбюро № 79, 1931 г.</w:t>
      </w:r>
    </w:p>
    <w:p w14:paraId="4299D7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 развитии коммунально-жилищного хозяйства Ленинграда </w:t>
      </w:r>
    </w:p>
    <w:p w14:paraId="22E4AC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 Утвердить принятую комиссией тов. Молотова основную директиву о подтягивании развития коммунального и жилищного строительства Ленинграда к Москве с отнесением Москвы и Ленинграда в особую первоочередную группу... </w:t>
      </w:r>
    </w:p>
    <w:p w14:paraId="39B16E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 Разрешить ЛК (Ленинградский комитет ВКП(б).— "Власть") для нужд коммунально-жилищного хозяйства привлечь из-за границы иностранных инженеров, техников и рабочих на началах безвалютного расчета, до 100 человек... </w:t>
      </w:r>
    </w:p>
    <w:p w14:paraId="66EE5D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Канализация. </w:t>
      </w:r>
    </w:p>
    <w:p w14:paraId="6182DB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Учитывая техническую устарелость (47% деревянной), изношенность и недостаточность канализационной сети, считать необходимым: </w:t>
      </w:r>
    </w:p>
    <w:p w14:paraId="743A83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 Закончить сооружение основной магистрали и присоединение к домам Василеостровской канализации. </w:t>
      </w:r>
    </w:p>
    <w:p w14:paraId="03D8B4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 Произвести прокладку бетонной канализации взамен пришедшей в негодность деревянной и проложить новую в районах жилстроительства. </w:t>
      </w:r>
    </w:p>
    <w:p w14:paraId="2B9038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Бани и прачечные. </w:t>
      </w:r>
    </w:p>
    <w:p w14:paraId="56D5AA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Признавая недостаточность банно-прачечного хозяйства, предложить ЛК и Ленсовету осуществить в 1932 году строительство пяти бань и трех банно-прачечных комбинатов с пропускной способностью бань до 400 человек каждая, а также привести в надлежащее состояние имеющееся банное хозяйство. Одновременно принять меры к развитию домовых прачечных в старом жилфонде, и особенно при осуществлении нового жилого строительства (11652).</w:t>
      </w:r>
    </w:p>
    <w:p w14:paraId="5DFCA1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FC65056"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3604C2E4"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FB581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декабря 1931 Британский парламент принял Вестминстерский статут, провозгласивший суверенитет доминионов во внутренних и внешних делах (3186).</w:t>
      </w:r>
    </w:p>
    <w:p w14:paraId="2144D2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84209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декабря 1931 Япония отказалась от золотого обеспечения свой валюты (3907,168).</w:t>
      </w:r>
    </w:p>
    <w:p w14:paraId="4873A5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7A21C10" w14:textId="77777777" w:rsidR="00987BB5"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411B5A7E" w14:textId="77777777" w:rsidR="00987BB5" w:rsidRPr="005E779E" w:rsidRDefault="00987BB5"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16B74F4"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12 декабря 1931 </w:t>
      </w:r>
      <w:r w:rsidRPr="005E779E">
        <w:rPr>
          <w:rFonts w:ascii="Times New Roman" w:hAnsi="Times New Roman"/>
          <w:color w:val="000000" w:themeColor="text1"/>
          <w:sz w:val="16"/>
          <w:szCs w:val="16"/>
        </w:rPr>
        <w:t>СНК принял постановление «О Всесоюзном комитете по стандартизации» (12265).</w:t>
      </w:r>
    </w:p>
    <w:p w14:paraId="2272A509"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23320F6E" w14:textId="77777777" w:rsidR="00332C4C"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Внешняя политика:</w:t>
      </w:r>
    </w:p>
    <w:p w14:paraId="5286BB89" w14:textId="77777777" w:rsidR="00332C4C" w:rsidRPr="005E779E" w:rsidRDefault="00332C4C"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5D5690A" w14:textId="77777777" w:rsidR="00332C4C" w:rsidRPr="005E779E" w:rsidRDefault="00332C4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декабря 1931 г. в Алма-Ате прошел предпоследний этап оформления поступления советских лётчиков на службу в китайскую авиацию. Представителю Синьцзянского Пра</w:t>
      </w:r>
      <w:r w:rsidRPr="005E779E">
        <w:rPr>
          <w:rFonts w:ascii="Times New Roman" w:hAnsi="Times New Roman"/>
          <w:color w:val="000000" w:themeColor="text1"/>
          <w:sz w:val="16"/>
          <w:szCs w:val="16"/>
        </w:rPr>
        <w:softHyphen/>
        <w:t>вительства — Генеральному консулу в Ташкенте Моу Вейтуну передали заявления авиа</w:t>
      </w:r>
      <w:r w:rsidRPr="005E779E">
        <w:rPr>
          <w:rFonts w:ascii="Times New Roman" w:hAnsi="Times New Roman"/>
          <w:color w:val="000000" w:themeColor="text1"/>
          <w:sz w:val="16"/>
          <w:szCs w:val="16"/>
        </w:rPr>
        <w:softHyphen/>
        <w:t>торов с условиями приёма. Вместе с вышеупомянутыми там фигурировали: оплата транспортных расходов Москва — Урумчи и обратно (билеты, суточные, гостиницы), подъёмные (по месячному окладу), оплаченный месячный отпуск с полной компенсаци</w:t>
      </w:r>
      <w:r w:rsidRPr="005E779E">
        <w:rPr>
          <w:rFonts w:ascii="Times New Roman" w:hAnsi="Times New Roman"/>
          <w:color w:val="000000" w:themeColor="text1"/>
          <w:sz w:val="16"/>
          <w:szCs w:val="16"/>
        </w:rPr>
        <w:softHyphen/>
        <w:t>ей при невозможности его предоставить. Местные власти также обеспечивали лётчиков соответствующими помещениями и транспортом по служебным делам, предоставляли комплект лётной одежды (кожаное пальто на меху, шлем, перчатки, очки и сапоги). Окон</w:t>
      </w:r>
      <w:r w:rsidRPr="005E779E">
        <w:rPr>
          <w:rFonts w:ascii="Times New Roman" w:hAnsi="Times New Roman"/>
          <w:color w:val="000000" w:themeColor="text1"/>
          <w:sz w:val="16"/>
          <w:szCs w:val="16"/>
        </w:rPr>
        <w:softHyphen/>
        <w:t>чательно подписать контракты планировали в Урумчи. Генконсулу в Алма-Ате сообщи</w:t>
      </w:r>
      <w:r w:rsidRPr="005E779E">
        <w:rPr>
          <w:rFonts w:ascii="Times New Roman" w:hAnsi="Times New Roman"/>
          <w:color w:val="000000" w:themeColor="text1"/>
          <w:sz w:val="16"/>
          <w:szCs w:val="16"/>
        </w:rPr>
        <w:softHyphen/>
        <w:t>ли адреса семей для пересылки жалованья в советской валюте (это была его обязан</w:t>
      </w:r>
      <w:r w:rsidRPr="005E779E">
        <w:rPr>
          <w:rFonts w:ascii="Times New Roman" w:hAnsi="Times New Roman"/>
          <w:color w:val="000000" w:themeColor="text1"/>
          <w:sz w:val="16"/>
          <w:szCs w:val="16"/>
        </w:rPr>
        <w:softHyphen/>
        <w:t>ность), а он передал лётчикам подъемные (2950 руб.), в том числе и на экипировку. Но за деньги в СССР ничего не продавали, и НКИД запросил четыре комплекта лётной спецодежды в УВВС, особо подчеркнув, «что Наркоминдел... не имеет возможности оп</w:t>
      </w:r>
      <w:r w:rsidRPr="005E779E">
        <w:rPr>
          <w:rFonts w:ascii="Times New Roman" w:hAnsi="Times New Roman"/>
          <w:color w:val="000000" w:themeColor="text1"/>
          <w:sz w:val="16"/>
          <w:szCs w:val="16"/>
        </w:rPr>
        <w:softHyphen/>
        <w:t>латить [его] стоимость... Поэтому прошу Вас выяснить возможность удовлетворения лётчиков обмундированием за счет УВВС... считая обмундирование 1-м сроком носки». Дошли ли до лётчиков деньги «на экипировку» — неизвестно.</w:t>
      </w:r>
    </w:p>
    <w:p w14:paraId="372B582F" w14:textId="77777777" w:rsidR="00332C4C" w:rsidRPr="005E779E" w:rsidRDefault="00332C4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Срочному и качественному выполнению Синьцзянского «аэрозаказа» на правительст</w:t>
      </w:r>
      <w:r w:rsidRPr="005E779E">
        <w:rPr>
          <w:rFonts w:ascii="Times New Roman" w:hAnsi="Times New Roman"/>
          <w:color w:val="000000" w:themeColor="text1"/>
          <w:sz w:val="16"/>
          <w:szCs w:val="16"/>
        </w:rPr>
        <w:softHyphen/>
        <w:t xml:space="preserve">венном уровне придавали </w:t>
      </w:r>
      <w:r w:rsidRPr="005E779E">
        <w:rPr>
          <w:rStyle w:val="84"/>
          <w:rFonts w:eastAsia="Arial"/>
          <w:color w:val="000000" w:themeColor="text1"/>
          <w:sz w:val="16"/>
          <w:szCs w:val="16"/>
        </w:rPr>
        <w:t>очень большое значение</w:t>
      </w:r>
      <w:r w:rsidRPr="005E779E">
        <w:rPr>
          <w:rFonts w:ascii="Times New Roman" w:hAnsi="Times New Roman"/>
          <w:color w:val="000000" w:themeColor="text1"/>
          <w:sz w:val="16"/>
          <w:szCs w:val="16"/>
        </w:rPr>
        <w:t xml:space="preserve"> (это были одни из первых советских самолётов, продаваемых за рубеж. Вся сделка находилась под личным контролем у руководства Реввоенсовета СССР, Совета Труда и Обороны (СТО) и Наркома Внешней торговли. Ко всему, Ответственный секретарь Восточной Комиссии СТО Б.Н. Иванов строго предупредил Я.И. Алксниса, что «по требованию Зам. Нарко- миндела т. Карахана, заказ Синьцзяна должен быть выполнен в сверхсрочном порядке...».</w:t>
      </w:r>
    </w:p>
    <w:p w14:paraId="14E2DBB8" w14:textId="77777777" w:rsidR="00332C4C" w:rsidRPr="005E779E" w:rsidRDefault="00332C4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Однако уже в Алма-Ате авиаторы сразу же почувствовали, каково же на самом деле за рубежом представлять Республику Советов. Из рапортов начальника экспедиции И.Г. Берестецкого (ответственного представителя БОП ВСНХ) и лётчика Волынченко выясни</w:t>
      </w:r>
      <w:r w:rsidRPr="005E779E">
        <w:rPr>
          <w:rFonts w:ascii="Times New Roman" w:hAnsi="Times New Roman"/>
          <w:color w:val="000000" w:themeColor="text1"/>
          <w:sz w:val="16"/>
          <w:szCs w:val="16"/>
        </w:rPr>
        <w:softHyphen/>
        <w:t>лись более чем «живописные» детали «должного» выполнения местными властями «сверхсрочного» заказа, имеющего «исключительно важное» значение (15802).</w:t>
      </w:r>
    </w:p>
    <w:p w14:paraId="5E13D0BF" w14:textId="77777777" w:rsidR="00332C4C" w:rsidRPr="005E779E" w:rsidRDefault="00332C4C" w:rsidP="000B7A6C">
      <w:pPr>
        <w:spacing w:after="0" w:line="240" w:lineRule="auto"/>
        <w:jc w:val="both"/>
        <w:rPr>
          <w:rFonts w:ascii="Times New Roman" w:hAnsi="Times New Roman"/>
          <w:color w:val="000000" w:themeColor="text1"/>
          <w:sz w:val="16"/>
          <w:szCs w:val="16"/>
        </w:rPr>
      </w:pPr>
    </w:p>
    <w:p w14:paraId="393C245A"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534B58ED"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C9F59D6" w14:textId="77777777" w:rsidR="00332C4C" w:rsidRPr="005E779E" w:rsidRDefault="00332C4C"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 xml:space="preserve">12 декабря </w:t>
      </w:r>
      <w:r w:rsidRPr="005E779E">
        <w:rPr>
          <w:rFonts w:ascii="Times New Roman" w:hAnsi="Times New Roman"/>
          <w:color w:val="000000" w:themeColor="text1"/>
          <w:sz w:val="16"/>
          <w:szCs w:val="16"/>
        </w:rPr>
        <w:t>в 1931 году первый полёт модернизированного варианта самолета «SPCA 40T», получивший обозначение «SPCA 41T». Основным отличием нового самолета стала силовая установка, состоящая из трех двигателей «Salmson 9Nc» мощностью 135 л.с. Благодаря этому «SPCA 41T» мог развивать максимальную скорость в 190 км/ч и имел практическую дальность в 750 километров (14858).</w:t>
      </w:r>
    </w:p>
    <w:p w14:paraId="58462322" w14:textId="77777777" w:rsidR="00332C4C" w:rsidRPr="005E779E" w:rsidRDefault="00332C4C" w:rsidP="000B7A6C">
      <w:pPr>
        <w:spacing w:after="0" w:line="240" w:lineRule="auto"/>
        <w:jc w:val="both"/>
        <w:rPr>
          <w:rFonts w:ascii="Times New Roman" w:hAnsi="Times New Roman"/>
          <w:color w:val="000000" w:themeColor="text1"/>
          <w:sz w:val="16"/>
          <w:szCs w:val="16"/>
        </w:rPr>
      </w:pPr>
    </w:p>
    <w:p w14:paraId="5C0B649A" w14:textId="77777777" w:rsidR="00A244C1" w:rsidRPr="005E779E" w:rsidRDefault="00A244C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декабря 1931 - Первый полёт летающей лодки Amiot 110S. Два экземпляра лодки, оборудованной двигателем Hispano-Suiza 12Nbr мощностью 650 л.с и пропеллером толкающего типа, были переданы Морской авиации Франции в 1932 году.</w:t>
      </w:r>
    </w:p>
    <w:p w14:paraId="3C1F4A54" w14:textId="2E2328D4" w:rsidR="00A244C1" w:rsidRPr="005E779E" w:rsidRDefault="00A244C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проведения испытаний был заказаны еще два экземпляра самолета. Эти варианты были модернизированы - фюзеляж стал полностью металлическим, установили новый двигатель</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Hispano-Suiza 12Ydrs мощностью 860 л.с. с тянущим винтом. Оба Amiot 110S modifie были переданы в 1935 году (22706).</w:t>
      </w:r>
    </w:p>
    <w:p w14:paraId="17733EF3" w14:textId="77777777" w:rsidR="00A244C1" w:rsidRPr="005E779E" w:rsidRDefault="00A244C1" w:rsidP="000B7A6C">
      <w:pPr>
        <w:spacing w:after="0" w:line="240" w:lineRule="auto"/>
        <w:jc w:val="both"/>
        <w:rPr>
          <w:rFonts w:ascii="Times New Roman" w:hAnsi="Times New Roman"/>
          <w:color w:val="000000" w:themeColor="text1"/>
          <w:sz w:val="16"/>
          <w:szCs w:val="16"/>
        </w:rPr>
      </w:pPr>
    </w:p>
    <w:p w14:paraId="15BEB8A1" w14:textId="77777777" w:rsidR="00332C4C" w:rsidRPr="005E779E" w:rsidRDefault="00332C4C"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 xml:space="preserve">12 декабря </w:t>
      </w:r>
      <w:r w:rsidRPr="005E779E">
        <w:rPr>
          <w:rFonts w:ascii="Times New Roman" w:hAnsi="Times New Roman"/>
          <w:color w:val="000000" w:themeColor="text1"/>
          <w:sz w:val="16"/>
          <w:szCs w:val="16"/>
        </w:rPr>
        <w:t>в 1931 году первый полёт летающей лодки «Amiot 110S» (14858).</w:t>
      </w:r>
    </w:p>
    <w:p w14:paraId="50BDB3D5" w14:textId="77777777" w:rsidR="00332C4C" w:rsidRPr="005E779E" w:rsidRDefault="00332C4C" w:rsidP="000B7A6C">
      <w:pPr>
        <w:spacing w:after="0" w:line="240" w:lineRule="auto"/>
        <w:jc w:val="both"/>
        <w:rPr>
          <w:rFonts w:ascii="Times New Roman" w:hAnsi="Times New Roman"/>
          <w:color w:val="000000" w:themeColor="text1"/>
          <w:sz w:val="16"/>
          <w:szCs w:val="16"/>
        </w:rPr>
      </w:pPr>
    </w:p>
    <w:p w14:paraId="18A8C6D3" w14:textId="77777777" w:rsidR="00332C4C" w:rsidRPr="005E779E" w:rsidRDefault="00332C4C"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 xml:space="preserve">12 декабря </w:t>
      </w:r>
      <w:r w:rsidRPr="005E779E">
        <w:rPr>
          <w:rFonts w:ascii="Times New Roman" w:hAnsi="Times New Roman"/>
          <w:color w:val="000000" w:themeColor="text1"/>
          <w:sz w:val="16"/>
          <w:szCs w:val="16"/>
        </w:rPr>
        <w:t>в 1931 году начало одиночного перелёта лётчицы Мари Басти. Она стартовала на самолет «Caudron» «С.635» «Simoun», носящем имя "Джин Мермоз" в Орли и 19 декабря достигла Дакара в Западной Африке. Затем она пересекла Южную Атлантику и приземлилась в Бразилии, в Натале, покрыв расстояние в 3100 км. со средней скоростью 264км/ч. Это превысило рекорд, установленный ранее Джин Баттен из Новой Зеландии. Модель «Caudron» «С.635» «Simoun» отличалась от базовой модели «Caudron» «С.630» «Simoun» двигателем «Renault Bengali» «6Q-09» или «6Q-15» мощностью 220 л. с. и строилась в достаточно больших количествах (14858).</w:t>
      </w:r>
    </w:p>
    <w:p w14:paraId="1DE05B54" w14:textId="77777777" w:rsidR="00332C4C" w:rsidRPr="005E779E" w:rsidRDefault="00332C4C" w:rsidP="000B7A6C">
      <w:pPr>
        <w:spacing w:after="0" w:line="240" w:lineRule="auto"/>
        <w:jc w:val="both"/>
        <w:rPr>
          <w:rFonts w:ascii="Times New Roman" w:hAnsi="Times New Roman"/>
          <w:color w:val="000000" w:themeColor="text1"/>
          <w:sz w:val="16"/>
          <w:szCs w:val="16"/>
        </w:rPr>
      </w:pPr>
    </w:p>
    <w:p w14:paraId="431C74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декабря 1931 под давлением коммунистов из Кантона Чапн-Кай-Ши подал в отставку с поста президента Нанкинского правительства, но остался главой националистического правительства, которое номинально управляло Китаем (2100).</w:t>
      </w:r>
    </w:p>
    <w:p w14:paraId="35B66A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A3F4BCF" w14:textId="77777777" w:rsidR="005E3256" w:rsidRPr="005E779E" w:rsidRDefault="005E3256"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694C314B" w14:textId="77777777" w:rsidR="005E3256" w:rsidRPr="005E779E" w:rsidRDefault="005E3256"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57E6E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декабря 1931 года врид. нач. ЦКБ Кочеригин и нач. бриг. 5 Бериев писали письмо N 466 c начальнику ВВС Алкснису и начальнику НИИ ВВС Зильберту.</w:t>
      </w:r>
    </w:p>
    <w:p w14:paraId="6E6593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Сравнительная таблица летных данных вариантов</w:t>
      </w:r>
    </w:p>
    <w:p w14:paraId="49D9D2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самолета МБР-5 с моторами НS12Ybrs, Райт-Циклон, М-34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227"/>
        <w:gridCol w:w="877"/>
        <w:gridCol w:w="1816"/>
        <w:gridCol w:w="4678"/>
      </w:tblGrid>
      <w:tr w:rsidR="001002C3" w:rsidRPr="005E779E" w14:paraId="5B1A68B0" w14:textId="77777777">
        <w:tc>
          <w:tcPr>
            <w:tcW w:w="3227" w:type="dxa"/>
          </w:tcPr>
          <w:p w14:paraId="4461C9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768A0D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 НS12Ybrs</w:t>
            </w:r>
          </w:p>
        </w:tc>
        <w:tc>
          <w:tcPr>
            <w:tcW w:w="1816" w:type="dxa"/>
          </w:tcPr>
          <w:p w14:paraId="292A8A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 Райт-Циклон FIII</w:t>
            </w:r>
          </w:p>
        </w:tc>
        <w:tc>
          <w:tcPr>
            <w:tcW w:w="4678" w:type="dxa"/>
          </w:tcPr>
          <w:p w14:paraId="600FD9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 М-34 с импеллер.</w:t>
            </w:r>
          </w:p>
        </w:tc>
      </w:tr>
      <w:tr w:rsidR="001002C3" w:rsidRPr="005E779E" w14:paraId="39A2941C" w14:textId="77777777">
        <w:tc>
          <w:tcPr>
            <w:tcW w:w="3227" w:type="dxa"/>
          </w:tcPr>
          <w:p w14:paraId="1F2F20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Полетный вес</w:t>
            </w:r>
          </w:p>
        </w:tc>
        <w:tc>
          <w:tcPr>
            <w:tcW w:w="877" w:type="dxa"/>
          </w:tcPr>
          <w:p w14:paraId="6DED4C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2900 кг</w:t>
            </w:r>
          </w:p>
        </w:tc>
        <w:tc>
          <w:tcPr>
            <w:tcW w:w="1816" w:type="dxa"/>
          </w:tcPr>
          <w:p w14:paraId="43A4F8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2600 кг</w:t>
            </w:r>
          </w:p>
        </w:tc>
        <w:tc>
          <w:tcPr>
            <w:tcW w:w="4678" w:type="dxa"/>
          </w:tcPr>
          <w:p w14:paraId="2AEF4E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3500 кг</w:t>
            </w:r>
          </w:p>
        </w:tc>
      </w:tr>
      <w:tr w:rsidR="001002C3" w:rsidRPr="005E779E" w14:paraId="1AE0CB11" w14:textId="77777777">
        <w:tc>
          <w:tcPr>
            <w:tcW w:w="3227" w:type="dxa"/>
          </w:tcPr>
          <w:p w14:paraId="2D18BE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Несущая поверхн.</w:t>
            </w:r>
          </w:p>
        </w:tc>
        <w:tc>
          <w:tcPr>
            <w:tcW w:w="877" w:type="dxa"/>
          </w:tcPr>
          <w:p w14:paraId="294A73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 м кв.</w:t>
            </w:r>
          </w:p>
        </w:tc>
        <w:tc>
          <w:tcPr>
            <w:tcW w:w="1816" w:type="dxa"/>
          </w:tcPr>
          <w:p w14:paraId="283578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32,5 м кв.</w:t>
            </w:r>
          </w:p>
        </w:tc>
        <w:tc>
          <w:tcPr>
            <w:tcW w:w="4678" w:type="dxa"/>
          </w:tcPr>
          <w:p w14:paraId="264AB3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43,75 м кв.</w:t>
            </w:r>
          </w:p>
        </w:tc>
      </w:tr>
      <w:tr w:rsidR="001002C3" w:rsidRPr="005E779E" w14:paraId="7D7E2E04" w14:textId="77777777">
        <w:tc>
          <w:tcPr>
            <w:tcW w:w="3227" w:type="dxa"/>
          </w:tcPr>
          <w:p w14:paraId="3CDB0D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Номинальн. мощность</w:t>
            </w:r>
          </w:p>
        </w:tc>
        <w:tc>
          <w:tcPr>
            <w:tcW w:w="877" w:type="dxa"/>
          </w:tcPr>
          <w:p w14:paraId="3AAFA4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760 л.с.</w:t>
            </w:r>
          </w:p>
        </w:tc>
        <w:tc>
          <w:tcPr>
            <w:tcW w:w="1816" w:type="dxa"/>
          </w:tcPr>
          <w:p w14:paraId="7F36C0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640 л.с.</w:t>
            </w:r>
          </w:p>
        </w:tc>
        <w:tc>
          <w:tcPr>
            <w:tcW w:w="4678" w:type="dxa"/>
          </w:tcPr>
          <w:p w14:paraId="728F46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750 л.с.</w:t>
            </w:r>
          </w:p>
        </w:tc>
      </w:tr>
      <w:tr w:rsidR="001002C3" w:rsidRPr="005E779E" w14:paraId="3994AD0B" w14:textId="77777777">
        <w:tc>
          <w:tcPr>
            <w:tcW w:w="3227" w:type="dxa"/>
          </w:tcPr>
          <w:p w14:paraId="6CB847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V посад.</w:t>
            </w:r>
          </w:p>
        </w:tc>
        <w:tc>
          <w:tcPr>
            <w:tcW w:w="877" w:type="dxa"/>
          </w:tcPr>
          <w:p w14:paraId="749E3F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90</w:t>
            </w:r>
          </w:p>
        </w:tc>
        <w:tc>
          <w:tcPr>
            <w:tcW w:w="1816" w:type="dxa"/>
          </w:tcPr>
          <w:p w14:paraId="760053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87</w:t>
            </w:r>
          </w:p>
        </w:tc>
        <w:tc>
          <w:tcPr>
            <w:tcW w:w="4678" w:type="dxa"/>
          </w:tcPr>
          <w:p w14:paraId="05917D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87</w:t>
            </w:r>
          </w:p>
        </w:tc>
      </w:tr>
      <w:tr w:rsidR="001002C3" w:rsidRPr="005E779E" w14:paraId="4BCE4C25" w14:textId="77777777">
        <w:tc>
          <w:tcPr>
            <w:tcW w:w="3227" w:type="dxa"/>
          </w:tcPr>
          <w:p w14:paraId="17BF4A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Потолок практ.</w:t>
            </w:r>
          </w:p>
        </w:tc>
        <w:tc>
          <w:tcPr>
            <w:tcW w:w="877" w:type="dxa"/>
          </w:tcPr>
          <w:p w14:paraId="20AC13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6500 м</w:t>
            </w:r>
          </w:p>
        </w:tc>
        <w:tc>
          <w:tcPr>
            <w:tcW w:w="1816" w:type="dxa"/>
          </w:tcPr>
          <w:p w14:paraId="046EC5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6200 м</w:t>
            </w:r>
          </w:p>
        </w:tc>
        <w:tc>
          <w:tcPr>
            <w:tcW w:w="4678" w:type="dxa"/>
          </w:tcPr>
          <w:p w14:paraId="288D32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6000 м</w:t>
            </w:r>
          </w:p>
        </w:tc>
      </w:tr>
      <w:tr w:rsidR="001002C3" w:rsidRPr="005E779E" w14:paraId="11270138" w14:textId="77777777">
        <w:tc>
          <w:tcPr>
            <w:tcW w:w="3227" w:type="dxa"/>
          </w:tcPr>
          <w:p w14:paraId="444C01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Скороподъемн. на 1000 м</w:t>
            </w:r>
          </w:p>
        </w:tc>
        <w:tc>
          <w:tcPr>
            <w:tcW w:w="877" w:type="dxa"/>
          </w:tcPr>
          <w:p w14:paraId="32DFB8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мин.</w:t>
            </w:r>
          </w:p>
        </w:tc>
        <w:tc>
          <w:tcPr>
            <w:tcW w:w="1816" w:type="dxa"/>
          </w:tcPr>
          <w:p w14:paraId="4BB88A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3,2 мин.</w:t>
            </w:r>
          </w:p>
        </w:tc>
        <w:tc>
          <w:tcPr>
            <w:tcW w:w="4678" w:type="dxa"/>
          </w:tcPr>
          <w:p w14:paraId="019A22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3,4 мин.</w:t>
            </w:r>
          </w:p>
        </w:tc>
      </w:tr>
      <w:tr w:rsidR="001002C3" w:rsidRPr="005E779E" w14:paraId="360F64E9" w14:textId="77777777">
        <w:tc>
          <w:tcPr>
            <w:tcW w:w="3227" w:type="dxa"/>
          </w:tcPr>
          <w:p w14:paraId="20668A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Скороподъемн. на 3000 м</w:t>
            </w:r>
          </w:p>
        </w:tc>
        <w:tc>
          <w:tcPr>
            <w:tcW w:w="877" w:type="dxa"/>
          </w:tcPr>
          <w:p w14:paraId="18DB34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7,5 м</w:t>
            </w:r>
          </w:p>
        </w:tc>
        <w:tc>
          <w:tcPr>
            <w:tcW w:w="1816" w:type="dxa"/>
          </w:tcPr>
          <w:p w14:paraId="2C6A16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9,0 м</w:t>
            </w:r>
          </w:p>
        </w:tc>
        <w:tc>
          <w:tcPr>
            <w:tcW w:w="4678" w:type="dxa"/>
          </w:tcPr>
          <w:p w14:paraId="7CE69C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9,5 м</w:t>
            </w:r>
          </w:p>
        </w:tc>
      </w:tr>
      <w:tr w:rsidR="001002C3" w:rsidRPr="005E779E" w14:paraId="5430FA34" w14:textId="77777777">
        <w:tc>
          <w:tcPr>
            <w:tcW w:w="3227" w:type="dxa"/>
          </w:tcPr>
          <w:p w14:paraId="079EFE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Дальность норм.</w:t>
            </w:r>
          </w:p>
        </w:tc>
        <w:tc>
          <w:tcPr>
            <w:tcW w:w="877" w:type="dxa"/>
          </w:tcPr>
          <w:p w14:paraId="79988B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750 км</w:t>
            </w:r>
          </w:p>
        </w:tc>
        <w:tc>
          <w:tcPr>
            <w:tcW w:w="1816" w:type="dxa"/>
          </w:tcPr>
          <w:p w14:paraId="6C2B34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750 км</w:t>
            </w:r>
          </w:p>
        </w:tc>
        <w:tc>
          <w:tcPr>
            <w:tcW w:w="4678" w:type="dxa"/>
          </w:tcPr>
          <w:p w14:paraId="50792F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850 км</w:t>
            </w:r>
          </w:p>
        </w:tc>
      </w:tr>
      <w:tr w:rsidR="001002C3" w:rsidRPr="005E779E" w14:paraId="1E59F9AF" w14:textId="77777777">
        <w:tc>
          <w:tcPr>
            <w:tcW w:w="3227" w:type="dxa"/>
          </w:tcPr>
          <w:p w14:paraId="75FB8B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Дальность при max перегр.</w:t>
            </w:r>
          </w:p>
        </w:tc>
        <w:tc>
          <w:tcPr>
            <w:tcW w:w="877" w:type="dxa"/>
          </w:tcPr>
          <w:p w14:paraId="4E3431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1400 км</w:t>
            </w:r>
          </w:p>
        </w:tc>
        <w:tc>
          <w:tcPr>
            <w:tcW w:w="1816" w:type="dxa"/>
          </w:tcPr>
          <w:p w14:paraId="4348E3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1400 км</w:t>
            </w:r>
          </w:p>
        </w:tc>
        <w:tc>
          <w:tcPr>
            <w:tcW w:w="4678" w:type="dxa"/>
          </w:tcPr>
          <w:p w14:paraId="5E592E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1500 км (3558,1-2)</w:t>
            </w:r>
          </w:p>
        </w:tc>
      </w:tr>
    </w:tbl>
    <w:p w14:paraId="7CCC7A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Краткое описание проекта</w:t>
      </w:r>
    </w:p>
    <w:p w14:paraId="4B91D3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самолета МБР-5 с мотором НS12Ybrs</w:t>
      </w:r>
    </w:p>
    <w:p w14:paraId="346F0B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Тип - береговой разведчик</w:t>
      </w:r>
    </w:p>
    <w:p w14:paraId="232AE0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Свободнонесущий лодочный моноплан-амфибия с убирающимся шасси</w:t>
      </w:r>
    </w:p>
    <w:p w14:paraId="3F0077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 - Испано Сюиза 12Ybrs</w:t>
      </w:r>
    </w:p>
    <w:p w14:paraId="0FEF19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 - стрелковое - 2 пулемета ШКАС (один пулемет в перегрузку).</w:t>
      </w:r>
    </w:p>
    <w:p w14:paraId="62A976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бомбовая нагрузка (в перегрузку) - 500 кг</w:t>
      </w:r>
    </w:p>
    <w:p w14:paraId="1A2113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Краткие данные конструкции самолета</w:t>
      </w:r>
    </w:p>
    <w:p w14:paraId="020645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Лодка средней килеватости, однореданная, деревянной конструкции.</w:t>
      </w:r>
    </w:p>
    <w:p w14:paraId="45B1FB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Крыло -свободнонесущий моноплан - лонжероны хромомолибденовой стали</w:t>
      </w:r>
    </w:p>
    <w:p w14:paraId="5802D4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нервюры Альтмаг - обшивка полотняная</w:t>
      </w:r>
    </w:p>
    <w:p w14:paraId="7F8BED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Мотоустановка из хромомолибденовых труб</w:t>
      </w:r>
    </w:p>
    <w:p w14:paraId="362BB7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Оперение - конструкция из альтмага</w:t>
      </w:r>
    </w:p>
    <w:p w14:paraId="462626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Шасси - убирающееся в полете</w:t>
      </w:r>
    </w:p>
    <w:p w14:paraId="40A5B3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Амортизация - масляно-пневматическая (3558,3).</w:t>
      </w:r>
    </w:p>
    <w:p w14:paraId="2FE51A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Краткое описание проекта</w:t>
      </w:r>
    </w:p>
    <w:p w14:paraId="032C41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самолета МБР-5 с мотором Райт-Циклон F III</w:t>
      </w:r>
    </w:p>
    <w:p w14:paraId="53DE31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0E2672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 - стрелковое - 2 пулемета ШКАС</w:t>
      </w:r>
    </w:p>
    <w:p w14:paraId="740595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бомбовая нагрузка (в перегрузку) - 500 кг</w:t>
      </w:r>
    </w:p>
    <w:p w14:paraId="153575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Краткие данные конструкции самолета</w:t>
      </w:r>
    </w:p>
    <w:p w14:paraId="3EECDA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1F8466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Шасси - из хромомолибден. труб (3558,9).</w:t>
      </w:r>
    </w:p>
    <w:p w14:paraId="3566EE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Краткое описание проекта</w:t>
      </w:r>
    </w:p>
    <w:p w14:paraId="48CC1C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самолета МБР-5 с мотором М34 (с импеллером).</w:t>
      </w:r>
    </w:p>
    <w:p w14:paraId="595CE1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Вооружение - стрелковое - 2 пулемета ШКАС (один пулемет в перегрузку).</w:t>
      </w:r>
    </w:p>
    <w:p w14:paraId="5B37A6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бомбовая нагрузка (в перегрузку) - 500 кг</w:t>
      </w:r>
    </w:p>
    <w:p w14:paraId="00F4F8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Краткие данные конструкции самолета</w:t>
      </w:r>
    </w:p>
    <w:p w14:paraId="50DCD7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Лодка умеренной килеватости, однореданная, металлической конструкции (3558,11).</w:t>
      </w:r>
    </w:p>
    <w:p w14:paraId="4336B1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43652F9" w14:textId="77777777" w:rsidR="00987BB5" w:rsidRPr="005E779E" w:rsidRDefault="00987BB5" w:rsidP="000B7A6C">
      <w:pPr>
        <w:pStyle w:val="rtejustify"/>
        <w:spacing w:before="0" w:after="0"/>
        <w:rPr>
          <w:color w:val="000000" w:themeColor="text1"/>
          <w:sz w:val="16"/>
          <w:szCs w:val="16"/>
        </w:rPr>
      </w:pPr>
      <w:r w:rsidRPr="005E779E">
        <w:rPr>
          <w:rStyle w:val="af0"/>
          <w:i w:val="0"/>
          <w:color w:val="000000" w:themeColor="text1"/>
          <w:sz w:val="16"/>
          <w:szCs w:val="16"/>
        </w:rPr>
        <w:t>13 декабря 1931 г. Протокол Реввоенсовета № 42.</w:t>
      </w:r>
      <w:r w:rsidRPr="005E779E">
        <w:rPr>
          <w:color w:val="000000" w:themeColor="text1"/>
          <w:sz w:val="16"/>
          <w:szCs w:val="16"/>
        </w:rPr>
        <w:t xml:space="preserve"> 1. О выполнении плана авиационного строительства за 1931 г. и об аэродромном строительстве на 1932 г. (Зиновьев). 7. О разрешении Особому конструкторскому бюро и заводу Протокол Реввоенсовета № 1 Вирджили проектировать и строить заводы по производству ветрянок (металлических винтов и оптических приборов) (Алкснис). 9. О выполнении постановления правительства по артвооружению (Симонов). 10. О состоянии изобретательства (в том числе реализация важнейших изобретений за 1931 г.) (Тухачевский). 11. Проведение оргмероприятий в 1931 г. и состояние новых формирований 1931 г. (Левичев). 12. О состоянии работ по системе железнодорожного вооружения. 21. Сообщение всех довольствующих управлений о ходе заключения ими договоров с промышленностью на 1932 г. (РГВА. Ф. 4. Оп. 18. Д. 21. Л. 330, 331</w:t>
      </w:r>
      <w:r w:rsidRPr="005E779E">
        <w:rPr>
          <w:color w:val="000000" w:themeColor="text1"/>
          <w:sz w:val="16"/>
          <w:szCs w:val="16"/>
        </w:rPr>
        <w:noBreakHyphen/>
        <w:t>334, 335) (12342).</w:t>
      </w:r>
    </w:p>
    <w:p w14:paraId="5319EA54" w14:textId="77777777" w:rsidR="00987BB5" w:rsidRPr="005E779E" w:rsidRDefault="00987BB5" w:rsidP="000B7A6C">
      <w:pPr>
        <w:pStyle w:val="rtejustify"/>
        <w:spacing w:before="0" w:after="0"/>
        <w:rPr>
          <w:color w:val="000000" w:themeColor="text1"/>
          <w:sz w:val="16"/>
          <w:szCs w:val="16"/>
        </w:rPr>
      </w:pPr>
    </w:p>
    <w:p w14:paraId="6E412EEB" w14:textId="77777777" w:rsidR="005E3256" w:rsidRPr="005E779E" w:rsidRDefault="005E325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декабря 1931 г. Реввоенсовет вынес постановление о постройке «сверхвысотного» самолета под мотор М-34 с кислородным питанием экипажа.</w:t>
      </w:r>
    </w:p>
    <w:p w14:paraId="55B1EED9" w14:textId="77777777" w:rsidR="005E3256" w:rsidRPr="005E779E" w:rsidRDefault="005E325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связи с этим поручалось нескольким предприятиям изготовить кислородную аппаратуры для высотных самолетов. Постановление PBC положило начало высотной авиации в нашей стране.</w:t>
      </w:r>
    </w:p>
    <w:p w14:paraId="2624CFE1" w14:textId="77777777" w:rsidR="005E3256" w:rsidRPr="005E779E" w:rsidRDefault="005E325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/ЦГАСА, ф. 4, оп. 1, д. 1217, л. 230/ (23370).</w:t>
      </w:r>
    </w:p>
    <w:p w14:paraId="6D47A46E" w14:textId="77777777" w:rsidR="005E3256" w:rsidRPr="005E779E" w:rsidRDefault="005E3256" w:rsidP="000B7A6C">
      <w:pPr>
        <w:spacing w:after="0" w:line="240" w:lineRule="auto"/>
        <w:jc w:val="both"/>
        <w:rPr>
          <w:rFonts w:ascii="Times New Roman" w:hAnsi="Times New Roman"/>
          <w:color w:val="000000" w:themeColor="text1"/>
          <w:sz w:val="16"/>
          <w:szCs w:val="16"/>
        </w:rPr>
      </w:pPr>
    </w:p>
    <w:p w14:paraId="7088B61D" w14:textId="77777777" w:rsidR="00C2063C" w:rsidRPr="005E779E" w:rsidRDefault="00C2063C" w:rsidP="000B7A6C">
      <w:pPr>
        <w:pStyle w:val="rtejustify"/>
        <w:spacing w:before="0" w:after="0"/>
        <w:rPr>
          <w:bCs/>
          <w:color w:val="000000" w:themeColor="text1"/>
          <w:sz w:val="16"/>
          <w:szCs w:val="16"/>
        </w:rPr>
      </w:pPr>
      <w:r w:rsidRPr="005E779E">
        <w:rPr>
          <w:bCs/>
          <w:color w:val="000000" w:themeColor="text1"/>
          <w:sz w:val="16"/>
          <w:szCs w:val="16"/>
        </w:rPr>
        <w:t>13 декабря 1931 г. — Справка комиссии ЦК ВКП(б) по обследованию работы авиационного завода № 1</w:t>
      </w:r>
    </w:p>
    <w:p w14:paraId="47BF70AB" w14:textId="77777777" w:rsidR="00C2063C" w:rsidRPr="005E779E" w:rsidRDefault="00C2063C" w:rsidP="000B7A6C">
      <w:pPr>
        <w:pStyle w:val="rtejustify"/>
        <w:spacing w:before="0" w:after="0"/>
        <w:rPr>
          <w:color w:val="000000" w:themeColor="text1"/>
          <w:sz w:val="16"/>
          <w:szCs w:val="16"/>
        </w:rPr>
      </w:pPr>
      <w:r w:rsidRPr="005E779E">
        <w:rPr>
          <w:rStyle w:val="af0"/>
          <w:i w:val="0"/>
          <w:color w:val="000000" w:themeColor="text1"/>
          <w:sz w:val="16"/>
          <w:szCs w:val="16"/>
        </w:rPr>
        <w:t>Секретно.</w:t>
      </w:r>
    </w:p>
    <w:p w14:paraId="16522CF6" w14:textId="77777777" w:rsidR="00C2063C" w:rsidRPr="005E779E" w:rsidRDefault="00C2063C" w:rsidP="000B7A6C">
      <w:pPr>
        <w:pStyle w:val="rtejustify"/>
        <w:spacing w:before="0" w:after="0"/>
        <w:rPr>
          <w:color w:val="000000" w:themeColor="text1"/>
          <w:sz w:val="16"/>
          <w:szCs w:val="16"/>
        </w:rPr>
      </w:pPr>
      <w:r w:rsidRPr="005E779E">
        <w:rPr>
          <w:rStyle w:val="a7"/>
          <w:b w:val="0"/>
          <w:bCs w:val="0"/>
          <w:color w:val="000000" w:themeColor="text1"/>
          <w:sz w:val="16"/>
          <w:szCs w:val="16"/>
        </w:rPr>
        <w:t>1. Краткая характеристика завода № 1</w:t>
      </w:r>
    </w:p>
    <w:p w14:paraId="69938EDD"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Авиационный завод № 1 имени Осоавиахима к началу 1931 г. представлял из себя, по сути дела, комбинат, в который входило самолетостроение, специальное металлургическое производство, предметы вооружения, колеса, расчалки и прочие подсобные детали. Во второй половине 1931 г. завод разделился на 3 самостоятельных завода: завод № 1 — самолетостроительный, завод № 32 — вооружение, колеса, радиаторы, расчалки и пр. и завод № 34 — металлургический (литье и прокатка специальных авиационных материалов).</w:t>
      </w:r>
    </w:p>
    <w:p w14:paraId="5CDCA8A6"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В начале 1931 г. завод находился на одной территории, так называемой старой территории завода. В течение 1931 г. был построен ряд корпусов на новой территории завода около центрального аэродрома, куда была перенесена часть производства самолетного завода. Всего за 1931 г. освоено новой площади около 15 тыс. м².</w:t>
      </w:r>
    </w:p>
    <w:p w14:paraId="183EC585"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В настоящее время на старой территории завода остались цеха: заготовительный, слесарный, механический, сварочный, паяльный, штамповочный, ремонтный и инструментальный. На новую территорию переведены: столярный, сборочный, малярный и обойный цеха и вновь организован на новой территории фюзеляжно-сварочный цех. Наконец, на новой территории находятся также экспедиция, тир и летно-испытательная станция. На старой территории, помимо перечисленной части цехов самолетного завода, целиком находятся выделенные в самостоятельные единицы заводы № 32 и 34.</w:t>
      </w:r>
    </w:p>
    <w:p w14:paraId="3B2C314B"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По линии внутризаводской работы 1931 г. ушел на значительную реорганизацию цехов, их перемещение по территории, расширение некоторых цехов, их переоборудование и пр. Разделение первоначально единого завода на 3 завода до конца пока что не доведено, и в современном состоянии организации этих 3 заводов таятся еще возможности для больших неполадок и внутренних трений.</w:t>
      </w:r>
    </w:p>
    <w:p w14:paraId="296BEA02"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В настоящее время Гипроспецмет ведет разработку большой реконструкции завода № 1, ориентируясь на пропускную способность завода примерно 5 тыс. самолетов в год. Проект этой реконструкции в настоящее время разрабатывается, и реконструкцию эту намечено проводить начиная с начала 1933 г.</w:t>
      </w:r>
    </w:p>
    <w:p w14:paraId="2BFD0773"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Для обеспечения выполнения программы 1932 г. на заводе разрабатывается так называемая малая реконструкция завода, исходя из программы примерно 1,2 тыс. самолетов в год при односменной работе сборочного цеха. Эта малая реконструкция, не внося какого-либо кардинального изменения в техническую структуру завода, предусматривает в основном техническое упорядочение дела сборки самолетов, их прохождение по определенной системе и частичное введение поточной системы их сборки. Малая реконструкция, проводимая в настоящее время на заводе, потребует изготовления целого ряда приспособлений, стапелей и пр. Календарная программа на выполнение всего этого на заводе составлена и в основном намечена к проведению на заводе в течении I квартала 1932 г. с тем, чтобы начиная со II квартала сборка машин шла уже по новой системе.</w:t>
      </w:r>
    </w:p>
    <w:p w14:paraId="25138D83"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К началу 1931 г. на заводе существовал централизованный метод планирования производства, что не давало достаточно четкой картины выполнения отдельных конструктивных узлов и деталей в процессе их прохождения по цехам и влекло за собой целый ряд неожиданных остановок при окончательном монтаже машины. В течение 1931 г. завод перешел на новый метод планирования по конструктивным узлам и комплектам, что дало возможность значительно удобнее вести учет производства и обеспечивало строго комплектную подачу деталей. Это мероприятие, совместно с перенесением детального планирования и учета в цеха, внесло несомненные улучшения в общую постановку планирования завода.</w:t>
      </w:r>
    </w:p>
    <w:p w14:paraId="7A28A00C" w14:textId="77777777" w:rsidR="00C2063C" w:rsidRPr="005E779E" w:rsidRDefault="00C2063C" w:rsidP="000B7A6C">
      <w:pPr>
        <w:pStyle w:val="rtejustify"/>
        <w:spacing w:before="0" w:after="0"/>
        <w:rPr>
          <w:color w:val="000000" w:themeColor="text1"/>
          <w:sz w:val="16"/>
          <w:szCs w:val="16"/>
        </w:rPr>
      </w:pPr>
      <w:r w:rsidRPr="005E779E">
        <w:rPr>
          <w:rStyle w:val="a7"/>
          <w:b w:val="0"/>
          <w:bCs w:val="0"/>
          <w:color w:val="000000" w:themeColor="text1"/>
          <w:sz w:val="16"/>
          <w:szCs w:val="16"/>
        </w:rPr>
        <w:lastRenderedPageBreak/>
        <w:t>2. Характеристика программы 1931 г.</w:t>
      </w:r>
    </w:p>
    <w:p w14:paraId="0390D4D0"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Программа на 1931 г. в течение года менялась 4 раза. Первый вариант программы был дан 10 декабря 1930 г., второй вариант — 27 марта 1931 г., третий вариант — 22 июля 1931 г. и, наконец, четвертый вариант был утвержден 22 октября 1931 г. Изменения, вносившиеся в программу от одного варианта к другому, были столь существенны, что крайне неблагоприятно отражалось на всем ходе хозяйственной жизни завода, так как каждое изменение программы связано с изменением общей планировки по заводу и по цехам, с изменением методов изготовления тех или иных деталей и разработки приспособлений к ним, с изменением графика прохождения деталей по заводу и ломало всю ранее согласованную систему подачи материала, подачи инструмента, выхода деталей, количества рабочей силы и пр. и пр. Совершенно очевидно, что ломка программы в течение года 4 раза — вещь совершенно не допустимая, дезорганизующая работу завода и вносящая туда полнейшую деморализацию.</w:t>
      </w:r>
    </w:p>
    <w:p w14:paraId="6640EB21"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В основном, если брать только по самолетам и откинуть вопрос о групповых комплектах, который не является решающим и подвергался сравнительно малым изменениям, программа 1931 г. имела такой характер.</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197"/>
        <w:gridCol w:w="1841"/>
        <w:gridCol w:w="1428"/>
        <w:gridCol w:w="1428"/>
        <w:gridCol w:w="1428"/>
      </w:tblGrid>
      <w:tr w:rsidR="001002C3" w:rsidRPr="005E779E" w14:paraId="399464E7"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63893A56"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Тип самолета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28FDDEB"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вариант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44150B3"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вариант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8C18BB6"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вариант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419B729"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вариант</w:t>
            </w:r>
          </w:p>
        </w:tc>
      </w:tr>
      <w:tr w:rsidR="001002C3" w:rsidRPr="005E779E" w14:paraId="545F00AA"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0CEFD6ED"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Р</w:t>
            </w:r>
            <w:r w:rsidRPr="005E779E">
              <w:rPr>
                <w:rFonts w:ascii="Times New Roman" w:hAnsi="Times New Roman"/>
                <w:color w:val="000000" w:themeColor="text1"/>
                <w:sz w:val="16"/>
                <w:szCs w:val="16"/>
              </w:rPr>
              <w:noBreakHyphen/>
              <w:t>5 (разведчик) ²*</w:t>
            </w:r>
          </w:p>
        </w:tc>
        <w:tc>
          <w:tcPr>
            <w:tcW w:w="0" w:type="auto"/>
            <w:tcBorders>
              <w:top w:val="outset" w:sz="6" w:space="0" w:color="auto"/>
              <w:left w:val="outset" w:sz="6" w:space="0" w:color="auto"/>
              <w:bottom w:val="outset" w:sz="6" w:space="0" w:color="auto"/>
              <w:right w:val="outset" w:sz="6" w:space="0" w:color="auto"/>
            </w:tcBorders>
            <w:vAlign w:val="center"/>
            <w:hideMark/>
          </w:tcPr>
          <w:p w14:paraId="6814EFE0"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760 маш[ин]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064363E8"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776</w:t>
            </w:r>
          </w:p>
        </w:tc>
        <w:tc>
          <w:tcPr>
            <w:tcW w:w="0" w:type="auto"/>
            <w:tcBorders>
              <w:top w:val="outset" w:sz="6" w:space="0" w:color="auto"/>
              <w:left w:val="outset" w:sz="6" w:space="0" w:color="auto"/>
              <w:bottom w:val="outset" w:sz="6" w:space="0" w:color="auto"/>
              <w:right w:val="outset" w:sz="6" w:space="0" w:color="auto"/>
            </w:tcBorders>
            <w:vAlign w:val="center"/>
            <w:hideMark/>
          </w:tcPr>
          <w:p w14:paraId="625C749A"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F21010"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610</w:t>
            </w:r>
          </w:p>
        </w:tc>
      </w:tr>
      <w:tr w:rsidR="001002C3" w:rsidRPr="005E779E" w14:paraId="336020AA"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5BA96534"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И</w:t>
            </w:r>
            <w:r w:rsidRPr="005E779E">
              <w:rPr>
                <w:rFonts w:ascii="Times New Roman" w:hAnsi="Times New Roman"/>
                <w:color w:val="000000" w:themeColor="text1"/>
                <w:sz w:val="16"/>
                <w:szCs w:val="16"/>
              </w:rPr>
              <w:noBreakHyphen/>
              <w:t>5 (истребитель)³*</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C67DE"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381</w:t>
            </w:r>
          </w:p>
        </w:tc>
        <w:tc>
          <w:tcPr>
            <w:tcW w:w="0" w:type="auto"/>
            <w:tcBorders>
              <w:top w:val="outset" w:sz="6" w:space="0" w:color="auto"/>
              <w:left w:val="outset" w:sz="6" w:space="0" w:color="auto"/>
              <w:bottom w:val="outset" w:sz="6" w:space="0" w:color="auto"/>
              <w:right w:val="outset" w:sz="6" w:space="0" w:color="auto"/>
            </w:tcBorders>
            <w:vAlign w:val="center"/>
            <w:hideMark/>
          </w:tcPr>
          <w:p w14:paraId="6749594E"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371</w:t>
            </w:r>
          </w:p>
        </w:tc>
        <w:tc>
          <w:tcPr>
            <w:tcW w:w="0" w:type="auto"/>
            <w:tcBorders>
              <w:top w:val="outset" w:sz="6" w:space="0" w:color="auto"/>
              <w:left w:val="outset" w:sz="6" w:space="0" w:color="auto"/>
              <w:bottom w:val="outset" w:sz="6" w:space="0" w:color="auto"/>
              <w:right w:val="outset" w:sz="6" w:space="0" w:color="auto"/>
            </w:tcBorders>
            <w:vAlign w:val="center"/>
            <w:hideMark/>
          </w:tcPr>
          <w:p w14:paraId="03F4053E"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79D152"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130</w:t>
            </w:r>
          </w:p>
        </w:tc>
      </w:tr>
      <w:tr w:rsidR="001002C3" w:rsidRPr="005E779E" w14:paraId="10B51906"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09D1E67D"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И</w:t>
            </w:r>
            <w:r w:rsidRPr="005E779E">
              <w:rPr>
                <w:rFonts w:ascii="Times New Roman" w:hAnsi="Times New Roman"/>
                <w:color w:val="000000" w:themeColor="text1"/>
                <w:sz w:val="16"/>
                <w:szCs w:val="16"/>
              </w:rPr>
              <w:noBreakHyphen/>
              <w:t>7 (истребитель)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483FCE3"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896222"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86B21B"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6B8409"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r>
      <w:tr w:rsidR="001002C3" w:rsidRPr="005E779E" w14:paraId="3B997CF1"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0E8DC729"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ТШ (тяжелый штурмовик)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701E2A69"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4DF907"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57572F"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3B89784"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w:t>
            </w:r>
          </w:p>
        </w:tc>
      </w:tr>
      <w:tr w:rsidR="001002C3" w:rsidRPr="005E779E" w14:paraId="42D5A861"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0A5B092A"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И</w:t>
            </w:r>
            <w:r w:rsidRPr="005E779E">
              <w:rPr>
                <w:rFonts w:ascii="Times New Roman" w:hAnsi="Times New Roman"/>
                <w:color w:val="000000" w:themeColor="text1"/>
                <w:sz w:val="16"/>
                <w:szCs w:val="16"/>
              </w:rPr>
              <w:noBreakHyphen/>
              <w:t>3 (истребитель)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17B3B0A"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94E3F8"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A8C2B"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016C1"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55</w:t>
            </w:r>
          </w:p>
        </w:tc>
      </w:tr>
    </w:tbl>
    <w:p w14:paraId="19A968E8"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Помимо этого, по данной программе нужно отметить, что некоторые самолеты включались в план и держались в плане почти в течение всего года, не имея законченным даже первого экземпляра аппарата этого типа. Так обстоит дело с самолетом ТШ (тяжелый штурмовик), заказ на который в количестве 100 шт. был дан в начале года на основании «парадного» вылета аппарата без какого бы то ни было серьезного анализа его летных данных и висел на плечах завода до июля месяца. Этот самолет даже сейчас, спустя год после включения этой машины в план завода, готового образца для серийного производства не имеет, и он появится не раньше, как через несколько месяцев (порядка 4</w:t>
      </w:r>
      <w:r w:rsidRPr="005E779E">
        <w:rPr>
          <w:color w:val="000000" w:themeColor="text1"/>
          <w:sz w:val="16"/>
          <w:szCs w:val="16"/>
        </w:rPr>
        <w:noBreakHyphen/>
        <w:t>6 месяцев).</w:t>
      </w:r>
    </w:p>
    <w:p w14:paraId="132A53B1" w14:textId="77777777" w:rsidR="00C2063C" w:rsidRPr="005E779E" w:rsidRDefault="00C2063C" w:rsidP="000B7A6C">
      <w:pPr>
        <w:pStyle w:val="rtejustify"/>
        <w:spacing w:before="0" w:after="0"/>
        <w:rPr>
          <w:color w:val="000000" w:themeColor="text1"/>
          <w:sz w:val="16"/>
          <w:szCs w:val="16"/>
        </w:rPr>
      </w:pPr>
      <w:r w:rsidRPr="005E779E">
        <w:rPr>
          <w:rStyle w:val="a7"/>
          <w:b w:val="0"/>
          <w:bCs w:val="0"/>
          <w:color w:val="000000" w:themeColor="text1"/>
          <w:sz w:val="16"/>
          <w:szCs w:val="16"/>
        </w:rPr>
        <w:t>3. Состояние выполнения программы 1931 г.</w:t>
      </w:r>
    </w:p>
    <w:p w14:paraId="59D964BF"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Фактическая сторона выполнения программы выпуска самолетов на I квартал 1931 г. рисуется в таком виде:</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598"/>
        <w:gridCol w:w="2334"/>
        <w:gridCol w:w="2131"/>
        <w:gridCol w:w="2259"/>
      </w:tblGrid>
      <w:tr w:rsidR="001002C3" w:rsidRPr="005E779E" w14:paraId="675DF3F0"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03FADD1D"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[Тип самолета]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A016053"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Задано 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9323C"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Выполнено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468F8B7"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Проценты</w:t>
            </w:r>
          </w:p>
          <w:p w14:paraId="7A1A8B46"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выполнения</w:t>
            </w:r>
          </w:p>
        </w:tc>
      </w:tr>
      <w:tr w:rsidR="001002C3" w:rsidRPr="005E779E" w14:paraId="254C5534"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1A64339A"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Р</w:t>
            </w:r>
            <w:r w:rsidRPr="005E779E">
              <w:rPr>
                <w:rFonts w:ascii="Times New Roman" w:hAnsi="Times New Roman"/>
                <w:color w:val="000000" w:themeColor="text1"/>
                <w:sz w:val="16"/>
                <w:szCs w:val="16"/>
              </w:rPr>
              <w:noBreakHyphen/>
              <w:t>5 с моторами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11C66A0"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99CD23"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252</w:t>
            </w:r>
          </w:p>
        </w:tc>
        <w:tc>
          <w:tcPr>
            <w:tcW w:w="0" w:type="auto"/>
            <w:tcBorders>
              <w:top w:val="outset" w:sz="6" w:space="0" w:color="auto"/>
              <w:left w:val="outset" w:sz="6" w:space="0" w:color="auto"/>
              <w:bottom w:val="outset" w:sz="6" w:space="0" w:color="auto"/>
              <w:right w:val="outset" w:sz="6" w:space="0" w:color="auto"/>
            </w:tcBorders>
            <w:vAlign w:val="center"/>
            <w:hideMark/>
          </w:tcPr>
          <w:p w14:paraId="6C5F765A"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74,1</w:t>
            </w:r>
          </w:p>
        </w:tc>
      </w:tr>
      <w:tr w:rsidR="001002C3" w:rsidRPr="005E779E" w14:paraId="0AF2D233"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7C6D8520"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Р</w:t>
            </w:r>
            <w:r w:rsidRPr="005E779E">
              <w:rPr>
                <w:rFonts w:ascii="Times New Roman" w:hAnsi="Times New Roman"/>
                <w:color w:val="000000" w:themeColor="text1"/>
                <w:sz w:val="16"/>
                <w:szCs w:val="16"/>
              </w:rPr>
              <w:noBreakHyphen/>
              <w:t>5 без моторов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09929A5"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104</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F4CB9"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77</w:t>
            </w:r>
          </w:p>
        </w:tc>
        <w:tc>
          <w:tcPr>
            <w:tcW w:w="0" w:type="auto"/>
            <w:tcBorders>
              <w:top w:val="outset" w:sz="6" w:space="0" w:color="auto"/>
              <w:left w:val="outset" w:sz="6" w:space="0" w:color="auto"/>
              <w:bottom w:val="outset" w:sz="6" w:space="0" w:color="auto"/>
              <w:right w:val="outset" w:sz="6" w:space="0" w:color="auto"/>
            </w:tcBorders>
            <w:vAlign w:val="center"/>
            <w:hideMark/>
          </w:tcPr>
          <w:p w14:paraId="378F2E5F"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74</w:t>
            </w:r>
          </w:p>
        </w:tc>
      </w:tr>
      <w:tr w:rsidR="001002C3" w:rsidRPr="005E779E" w14:paraId="1C89B608"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2076A048"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И</w:t>
            </w:r>
            <w:r w:rsidRPr="005E779E">
              <w:rPr>
                <w:rFonts w:ascii="Times New Roman" w:hAnsi="Times New Roman"/>
                <w:color w:val="000000" w:themeColor="text1"/>
                <w:sz w:val="16"/>
                <w:szCs w:val="16"/>
              </w:rPr>
              <w:noBreakHyphen/>
              <w:t>5 с мотором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1EFB504"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76</w:t>
            </w:r>
          </w:p>
        </w:tc>
        <w:tc>
          <w:tcPr>
            <w:tcW w:w="0" w:type="auto"/>
            <w:tcBorders>
              <w:top w:val="outset" w:sz="6" w:space="0" w:color="auto"/>
              <w:left w:val="outset" w:sz="6" w:space="0" w:color="auto"/>
              <w:bottom w:val="outset" w:sz="6" w:space="0" w:color="auto"/>
              <w:right w:val="outset" w:sz="6" w:space="0" w:color="auto"/>
            </w:tcBorders>
            <w:vAlign w:val="center"/>
            <w:hideMark/>
          </w:tcPr>
          <w:p w14:paraId="63FFF92C"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6F8F5"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65,5</w:t>
            </w:r>
          </w:p>
        </w:tc>
      </w:tr>
      <w:tr w:rsidR="001002C3" w:rsidRPr="005E779E" w14:paraId="488ABBE0"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6A192174"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И</w:t>
            </w:r>
            <w:r w:rsidRPr="005E779E">
              <w:rPr>
                <w:rFonts w:ascii="Times New Roman" w:hAnsi="Times New Roman"/>
                <w:color w:val="000000" w:themeColor="text1"/>
                <w:sz w:val="16"/>
                <w:szCs w:val="16"/>
              </w:rPr>
              <w:noBreakHyphen/>
              <w:t>5 без мотора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1254318"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54</w:t>
            </w:r>
          </w:p>
        </w:tc>
        <w:tc>
          <w:tcPr>
            <w:tcW w:w="0" w:type="auto"/>
            <w:tcBorders>
              <w:top w:val="outset" w:sz="6" w:space="0" w:color="auto"/>
              <w:left w:val="outset" w:sz="6" w:space="0" w:color="auto"/>
              <w:bottom w:val="outset" w:sz="6" w:space="0" w:color="auto"/>
              <w:right w:val="outset" w:sz="6" w:space="0" w:color="auto"/>
            </w:tcBorders>
            <w:vAlign w:val="center"/>
            <w:hideMark/>
          </w:tcPr>
          <w:p w14:paraId="6D8BD565"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867030"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w:t>
            </w:r>
          </w:p>
        </w:tc>
      </w:tr>
      <w:tr w:rsidR="001002C3" w:rsidRPr="005E779E" w14:paraId="7BC7910F"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0D56636F"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И</w:t>
            </w:r>
            <w:r w:rsidRPr="005E779E">
              <w:rPr>
                <w:rFonts w:ascii="Times New Roman" w:hAnsi="Times New Roman"/>
                <w:color w:val="000000" w:themeColor="text1"/>
                <w:sz w:val="16"/>
                <w:szCs w:val="16"/>
              </w:rPr>
              <w:noBreakHyphen/>
              <w:t>7 с мотором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63151BF"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D19DD9B"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4577F9E"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w:t>
            </w:r>
          </w:p>
        </w:tc>
      </w:tr>
      <w:tr w:rsidR="001002C3" w:rsidRPr="005E779E" w14:paraId="49102B52"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3214E349"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И</w:t>
            </w:r>
            <w:r w:rsidRPr="005E779E">
              <w:rPr>
                <w:rFonts w:ascii="Times New Roman" w:hAnsi="Times New Roman"/>
                <w:color w:val="000000" w:themeColor="text1"/>
                <w:sz w:val="16"/>
                <w:szCs w:val="16"/>
              </w:rPr>
              <w:noBreakHyphen/>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666044A7"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1636B268"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4B66FD4C"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w:t>
            </w:r>
          </w:p>
        </w:tc>
      </w:tr>
    </w:tbl>
    <w:p w14:paraId="0C5AB30C"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Нужно отметить, что в графе «Задано» фигурируют цифры по последнему варианту программы от 22 октября с. г. Если выполнение программы отнести к первому варианту программы, то процент выполнения получается весьма мизерный, и картина достаточна мрачная. Нужно отметить, что, помимо выпуска готовых самолетов согласно приведенной только что таблицы, на заводе имеется так называемого незавершенного производства на общую сумму, считая на 1 ноября 1931 г., 13 339 174 [руб.] 27 коп. при годовом бюджете завода примерно 21 млн. Это незавершенное производство состоит в основном из 250 сваренных фюзеляжей для самолета И</w:t>
      </w:r>
      <w:r w:rsidRPr="005E779E">
        <w:rPr>
          <w:color w:val="000000" w:themeColor="text1"/>
          <w:sz w:val="16"/>
          <w:szCs w:val="16"/>
        </w:rPr>
        <w:noBreakHyphen/>
        <w:t>5, из огромного количества баков для самолета И</w:t>
      </w:r>
      <w:r w:rsidRPr="005E779E">
        <w:rPr>
          <w:color w:val="000000" w:themeColor="text1"/>
          <w:sz w:val="16"/>
          <w:szCs w:val="16"/>
        </w:rPr>
        <w:noBreakHyphen/>
        <w:t>5 и Р</w:t>
      </w:r>
      <w:r w:rsidRPr="005E779E">
        <w:rPr>
          <w:color w:val="000000" w:themeColor="text1"/>
          <w:sz w:val="16"/>
          <w:szCs w:val="16"/>
        </w:rPr>
        <w:noBreakHyphen/>
        <w:t>5 (все заготовительные помещения и цеха забиты баками, крыльями и другими крупными деталями самолета). Это незавершенное производство загромоздило все складочные помещения и основные цеха, внесло полнейшую дезорганизацию во всю систему выполнения программы и фактически заморозило около 65%⁴* годового бюджета завода. Помимо этого, незавершенное производство, принужденное лежать в течение нескольких месяцев на заводе, подвержено влиянию атмосферных условий и всяких случайных причин, в результате чего при окончательной сборке машины приходится встречаться с чрезвычайно большим количеством дефектов и недостатков, которые нужно срочно устранять, затрачивая на это дело много сил, денег и времени. Приводимые несколько фотографий (4 шт.) дают примерную картину загрузки цехов элементами незавершенной продукций.</w:t>
      </w:r>
    </w:p>
    <w:p w14:paraId="0E938710" w14:textId="77777777" w:rsidR="00C2063C" w:rsidRPr="005E779E" w:rsidRDefault="00C2063C" w:rsidP="000B7A6C">
      <w:pPr>
        <w:pStyle w:val="rtejustify"/>
        <w:spacing w:before="0" w:after="0"/>
        <w:rPr>
          <w:color w:val="000000" w:themeColor="text1"/>
          <w:sz w:val="16"/>
          <w:szCs w:val="16"/>
        </w:rPr>
      </w:pPr>
      <w:r w:rsidRPr="005E779E">
        <w:rPr>
          <w:rStyle w:val="a7"/>
          <w:b w:val="0"/>
          <w:bCs w:val="0"/>
          <w:color w:val="000000" w:themeColor="text1"/>
          <w:sz w:val="16"/>
          <w:szCs w:val="16"/>
        </w:rPr>
        <w:t>4. Основные причины невыполнения программы 1931 г.</w:t>
      </w:r>
    </w:p>
    <w:p w14:paraId="4CB13107"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Основными причинами невыполнения программы являются:</w:t>
      </w:r>
    </w:p>
    <w:p w14:paraId="44B2A692"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1. Указанная выше неразбериха и лихорадка в изменениях программы.</w:t>
      </w:r>
    </w:p>
    <w:p w14:paraId="14ACFE64"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2. Совершенно неудовлетворительное и ненормальное поступление авиационных моторов, предназначенных к постановке на самолеты. Картина поступления моторов рисуется в таком виде: на 1 декабря 1931 г. должно было поступить моторов М</w:t>
      </w:r>
      <w:r w:rsidRPr="005E779E">
        <w:rPr>
          <w:color w:val="000000" w:themeColor="text1"/>
          <w:sz w:val="16"/>
          <w:szCs w:val="16"/>
        </w:rPr>
        <w:noBreakHyphen/>
        <w:t>17 для самолета Р</w:t>
      </w:r>
      <w:r w:rsidRPr="005E779E">
        <w:rPr>
          <w:color w:val="000000" w:themeColor="text1"/>
          <w:sz w:val="16"/>
          <w:szCs w:val="16"/>
        </w:rPr>
        <w:noBreakHyphen/>
        <w:t>5 594 поступило на завод 273. Моторов М</w:t>
      </w:r>
      <w:r w:rsidRPr="005E779E">
        <w:rPr>
          <w:color w:val="000000" w:themeColor="text1"/>
          <w:sz w:val="16"/>
          <w:szCs w:val="16"/>
        </w:rPr>
        <w:noBreakHyphen/>
        <w:t>22 для самолета И</w:t>
      </w:r>
      <w:r w:rsidRPr="005E779E">
        <w:rPr>
          <w:color w:val="000000" w:themeColor="text1"/>
          <w:sz w:val="16"/>
          <w:szCs w:val="16"/>
        </w:rPr>
        <w:noBreakHyphen/>
        <w:t>5 должно было быть 130, поступило на 1 декабря 52.</w:t>
      </w:r>
    </w:p>
    <w:p w14:paraId="4BA80384"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Помимо суммарной недодачи моторов, чрезвычайно отражалось лихорадочное поступление моторов по месяцам. Прилагаемые графики 1, 2 и 3 отчетливо показывают всю ненормальность в снабжении завода авиационными моторами. Совершенно очевидно, что при такой подаче моторов говорить о нормальном выпуске самолетов не приходится.</w:t>
      </w:r>
    </w:p>
    <w:p w14:paraId="079BB9D8"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3. Третьим фактором, срывающим выполнение программы является пуск в серийное производство конструкций самолетов, весьма мало продуманных с точки зрения производственной и эксплуатационной, что неизбежно влекло за собой очень значительное количество конструктивных изменений как в чертежах, так и в отдельных деталях и комплектах. Достаточно сказать, что за год по самолету И</w:t>
      </w:r>
      <w:r w:rsidRPr="005E779E">
        <w:rPr>
          <w:color w:val="000000" w:themeColor="text1"/>
          <w:sz w:val="16"/>
          <w:szCs w:val="16"/>
        </w:rPr>
        <w:noBreakHyphen/>
        <w:t>5 было 914 изменений (общее количество чертежей — 2,7 тыс.). Особенно нужно отметить чрезвычайно болезненное прохождение в серию самолета И</w:t>
      </w:r>
      <w:r w:rsidRPr="005E779E">
        <w:rPr>
          <w:color w:val="000000" w:themeColor="text1"/>
          <w:sz w:val="16"/>
          <w:szCs w:val="16"/>
        </w:rPr>
        <w:noBreakHyphen/>
        <w:t xml:space="preserve">5, так как этот аппарат при подаче в серию не прошел нормальных государственных испытаний, а тем более войсковых испытаний. Отсюда громадное количество переделок и мелких и очень крупных было вызвано постепенным ознакомлением </w:t>
      </w:r>
      <w:r w:rsidRPr="005E779E">
        <w:rPr>
          <w:rStyle w:val="af0"/>
          <w:i w:val="0"/>
          <w:color w:val="000000" w:themeColor="text1"/>
          <w:sz w:val="16"/>
          <w:szCs w:val="16"/>
        </w:rPr>
        <w:t>с</w:t>
      </w:r>
      <w:r w:rsidRPr="005E779E">
        <w:rPr>
          <w:color w:val="000000" w:themeColor="text1"/>
          <w:sz w:val="16"/>
          <w:szCs w:val="16"/>
        </w:rPr>
        <w:t xml:space="preserve"> аппаратом в летных частях. Даже в настоящий момент, спустя год после начала производства самолетов И</w:t>
      </w:r>
      <w:r w:rsidRPr="005E779E">
        <w:rPr>
          <w:color w:val="000000" w:themeColor="text1"/>
          <w:sz w:val="16"/>
          <w:szCs w:val="16"/>
        </w:rPr>
        <w:noBreakHyphen/>
        <w:t>5, выяснилась необходимость чрезвычайно серьезной переделки наиболее крупных частей самолетов. Достаточно сказать, что должны подвергнуться полным переделкам капот, обтекатели и обшивка фюзеляжа, обводка кабины летчика, педаль, костыли, хвостовой отсек фюзеляжа, шасси, бензиновый бак, коробка пулеметной ленты, крепление пулемета, задний шкворень пулемета, кольцевой прицел, козырек и под вопросом стоит переделка крыльев самолета.</w:t>
      </w:r>
    </w:p>
    <w:p w14:paraId="7C35539B"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Источником всех этих многочисленных переделок является передача в серию аппаратов, не доведенных до конца с точки зрения конструктивной, производственно-эксплуатационной и отсутствие твердо фиксированного эталонного образца, по которому завод должен был бы производить серию машин.</w:t>
      </w:r>
    </w:p>
    <w:p w14:paraId="24D54DBB"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4. Снабжение завода материалами для производства протекало в ненормальных условиях. По целому ряду материалов поставщики не выполняли своих обязательств. Как правило, большинство материала, поступающего от поставщиков (завод «Серп и молот», завод в Мотовилихе, завод в Сталинграде и пр.), не соответствует кондиционным условиям и имеет ряд пороков (раковины, неровная поверхность и пр.) Помимо этого, поступаемый материал сплошь и рядом не соответствует его паспортизации и вынуждает завод производить испытание чуть ли не каждого листа из поступаемого материала. Этим самым завод обращается в громадного масштаба лабораторию испытания материалов, что, естественно, влечет за собой задержку в производстве, загрузку оборудования и людей. Поставка недоброкачественного материала вызвала, например, такой случай, когда пришлось из всех цехов изъять свыше 50 тыс. готовых деталей, все их испытывать в лаборатории на твердость и только таким путем отобрать оттуда детали из негодного материала. Затем поставка материалов не соответствующего размера влекла за собой исключительную загрузку оборудования и громадный перерасход материала. Достаточно сказать, что за 4 месяца (с июля по октябрь) было перерасходовано материала около 3,5 т только за счет несоответствующих размеров поставленных материалов.</w:t>
      </w:r>
    </w:p>
    <w:p w14:paraId="2613D27B"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5. На невыполнение программы 1931 г. большое влияние, помимо указанных выше причин, имели причины внутризаводского порядка. Эти причины сводятся к следующему: а) неудовлетворительная система подетального планирования, имевшая место на заводе в начале года. Реорганизация системы планирования в достаточной мере затянулась и по всем деталям целиком еще не внедрена и не дает надлежащего эффекта; б) наличие огромной потери в производстве, недостаточно рациональное использование мощности цехов, ненормально высокий процент простоев и в то же время непомерно большое количество сверхурочных работ в некоторые месяцы. Количество простоев доходило в сентябре месяце до 60 тыс. рабочих часов (11% [от] полной мощности), Количество сверхурочных часов доходило в марте месяце до 45 тыс. часов (11%⁵*) (см. график № 4); в) при преобладании на заводе ручных работ (около 60%) слишком мало сделано для механизации процесса производства. Большое количество брака и совершенно неудовлетворительная постановка дела технического контроля; г) чрезвычайно частая смена руководящего технического персонала. Достаточно сказать, что из руководящего технического персонала завода почти нет людей, работающих на заводе больше года. За 1931 г. сменилось 3 начальника механического цеха, 3 начальника слесарного цеха и 4 начальника сборочного цеха. Такая же примерно картина наблюдается по линии частой сменяемости начальников основных отделов завода; д) крайне неудовлетворительная работа инструментального цеха из-за большого брака, плохого снабжения материалами, слабой организации цеха и плохого состояния термической.</w:t>
      </w:r>
    </w:p>
    <w:p w14:paraId="617E8077" w14:textId="77777777" w:rsidR="00C2063C" w:rsidRPr="005E779E" w:rsidRDefault="00C2063C" w:rsidP="000B7A6C">
      <w:pPr>
        <w:pStyle w:val="rtejustify"/>
        <w:spacing w:before="0" w:after="0"/>
        <w:rPr>
          <w:color w:val="000000" w:themeColor="text1"/>
          <w:sz w:val="16"/>
          <w:szCs w:val="16"/>
        </w:rPr>
      </w:pPr>
      <w:r w:rsidRPr="005E779E">
        <w:rPr>
          <w:rStyle w:val="a7"/>
          <w:b w:val="0"/>
          <w:bCs w:val="0"/>
          <w:color w:val="000000" w:themeColor="text1"/>
          <w:sz w:val="16"/>
          <w:szCs w:val="16"/>
        </w:rPr>
        <w:t>5. Программа завода на 1932 г.</w:t>
      </w:r>
    </w:p>
    <w:p w14:paraId="4D132F85"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Программа завода на 1932 г. намечается:</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20"/>
        <w:gridCol w:w="2848"/>
        <w:gridCol w:w="2793"/>
        <w:gridCol w:w="3761"/>
      </w:tblGrid>
      <w:tr w:rsidR="001002C3" w:rsidRPr="005E779E" w14:paraId="7F97BBFF"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7412D66F"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Тип самолета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1B9475B"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Намечено на 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BF3183F"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Переходит с 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7F5E67B"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Вновь изготовить с 1932 г.</w:t>
            </w:r>
          </w:p>
        </w:tc>
      </w:tr>
      <w:tr w:rsidR="001002C3" w:rsidRPr="005E779E" w14:paraId="2469DC39"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7B141221"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Р</w:t>
            </w:r>
            <w:r w:rsidRPr="005E779E">
              <w:rPr>
                <w:rFonts w:ascii="Times New Roman" w:hAnsi="Times New Roman"/>
                <w:color w:val="000000" w:themeColor="text1"/>
                <w:sz w:val="16"/>
                <w:szCs w:val="16"/>
              </w:rPr>
              <w:noBreakHyphen/>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4C087CCA"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A83482"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F36B57"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900</w:t>
            </w:r>
          </w:p>
        </w:tc>
      </w:tr>
      <w:tr w:rsidR="001002C3" w:rsidRPr="005E779E" w14:paraId="22F6985D"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0C32349A"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И-5</w:t>
            </w:r>
          </w:p>
        </w:tc>
        <w:tc>
          <w:tcPr>
            <w:tcW w:w="0" w:type="auto"/>
            <w:tcBorders>
              <w:top w:val="outset" w:sz="6" w:space="0" w:color="auto"/>
              <w:left w:val="outset" w:sz="6" w:space="0" w:color="auto"/>
              <w:bottom w:val="outset" w:sz="6" w:space="0" w:color="auto"/>
              <w:right w:val="outset" w:sz="6" w:space="0" w:color="auto"/>
            </w:tcBorders>
            <w:vAlign w:val="center"/>
            <w:hideMark/>
          </w:tcPr>
          <w:p w14:paraId="7D18ACC4"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64</w:t>
            </w:r>
          </w:p>
        </w:tc>
        <w:tc>
          <w:tcPr>
            <w:tcW w:w="0" w:type="auto"/>
            <w:tcBorders>
              <w:top w:val="outset" w:sz="6" w:space="0" w:color="auto"/>
              <w:left w:val="outset" w:sz="6" w:space="0" w:color="auto"/>
              <w:bottom w:val="outset" w:sz="6" w:space="0" w:color="auto"/>
              <w:right w:val="outset" w:sz="6" w:space="0" w:color="auto"/>
            </w:tcBorders>
            <w:vAlign w:val="center"/>
            <w:hideMark/>
          </w:tcPr>
          <w:p w14:paraId="36A8DD94"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64</w:t>
            </w:r>
          </w:p>
        </w:tc>
        <w:tc>
          <w:tcPr>
            <w:tcW w:w="0" w:type="auto"/>
            <w:tcBorders>
              <w:top w:val="outset" w:sz="6" w:space="0" w:color="auto"/>
              <w:left w:val="outset" w:sz="6" w:space="0" w:color="auto"/>
              <w:bottom w:val="outset" w:sz="6" w:space="0" w:color="auto"/>
              <w:right w:val="outset" w:sz="6" w:space="0" w:color="auto"/>
            </w:tcBorders>
            <w:vAlign w:val="center"/>
            <w:hideMark/>
          </w:tcPr>
          <w:p w14:paraId="074952B5"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r>
      <w:tr w:rsidR="001002C3" w:rsidRPr="005E779E" w14:paraId="4E45DBB5"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693FDA82"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И-7</w:t>
            </w:r>
          </w:p>
        </w:tc>
        <w:tc>
          <w:tcPr>
            <w:tcW w:w="0" w:type="auto"/>
            <w:tcBorders>
              <w:top w:val="outset" w:sz="6" w:space="0" w:color="auto"/>
              <w:left w:val="outset" w:sz="6" w:space="0" w:color="auto"/>
              <w:bottom w:val="outset" w:sz="6" w:space="0" w:color="auto"/>
              <w:right w:val="outset" w:sz="6" w:space="0" w:color="auto"/>
            </w:tcBorders>
            <w:vAlign w:val="center"/>
            <w:hideMark/>
          </w:tcPr>
          <w:p w14:paraId="51AEAC4E"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50893"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02F6B9E3"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tc>
      </w:tr>
    </w:tbl>
    <w:p w14:paraId="690A88F8"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Для выполнения этой программы завод в основном имеет все возможности. Прилагаемый график 5 показывает пропускную способность по рабсиле на 1 декабря 1931 г. в количествах самолетов (отнеся к самолету Р</w:t>
      </w:r>
      <w:r w:rsidRPr="005E779E">
        <w:rPr>
          <w:color w:val="000000" w:themeColor="text1"/>
          <w:sz w:val="16"/>
          <w:szCs w:val="16"/>
        </w:rPr>
        <w:noBreakHyphen/>
        <w:t>5) по отдельным цехам.</w:t>
      </w:r>
    </w:p>
    <w:p w14:paraId="5435773F"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В части оборудования завод обеспечен всеми необходимыми станками для выполнения указанной выше программы. График 6 показывает пропускную способность цехов по оборудованию в количествах самолета (отнеся к самолету Р</w:t>
      </w:r>
      <w:r w:rsidRPr="005E779E">
        <w:rPr>
          <w:color w:val="000000" w:themeColor="text1"/>
          <w:sz w:val="16"/>
          <w:szCs w:val="16"/>
        </w:rPr>
        <w:noBreakHyphen/>
        <w:t>5). Из этого графика можно видеть подготовленность завода по оборудованию для осуществления намеченной на 1932 г. программы. Вместе с тем этот же график показывает, что при небольшом увеличении оборудования и при известной перегруппировке его можно достаточно реально ставить вопрос о возможности увеличить пропускную способность завода до 170</w:t>
      </w:r>
      <w:r w:rsidRPr="005E779E">
        <w:rPr>
          <w:color w:val="000000" w:themeColor="text1"/>
          <w:sz w:val="16"/>
          <w:szCs w:val="16"/>
        </w:rPr>
        <w:noBreakHyphen/>
        <w:t>190 самолетов в месяц (2040</w:t>
      </w:r>
      <w:r w:rsidRPr="005E779E">
        <w:rPr>
          <w:color w:val="000000" w:themeColor="text1"/>
          <w:sz w:val="16"/>
          <w:szCs w:val="16"/>
        </w:rPr>
        <w:noBreakHyphen/>
        <w:t>2280 аппаратов в год).</w:t>
      </w:r>
    </w:p>
    <w:p w14:paraId="222C8DF8"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Что касается пропускной способности завода по линии рабочих площадей, то нужно отметить, что малая внутренняя реконструкция завода рассчитана на выпуск 1,2 тыс. самолетов в год при условии односменной работы сборочного цеха и трехсменной работы заготовительных цехов. В случае установления повышенного количества смен в сборочном цехе и усиления по линии оборудования и по линии рабочей силы заготовительных цехов, пропускную способность завода можно без особых трудностей довести примерно до 2</w:t>
      </w:r>
      <w:r w:rsidRPr="005E779E">
        <w:rPr>
          <w:color w:val="000000" w:themeColor="text1"/>
          <w:sz w:val="16"/>
          <w:szCs w:val="16"/>
        </w:rPr>
        <w:noBreakHyphen/>
        <w:t>2,4 тыс. самолетов в год.</w:t>
      </w:r>
    </w:p>
    <w:p w14:paraId="224F3405"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Кадры</w:t>
      </w:r>
    </w:p>
    <w:p w14:paraId="538B5DE3"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в течение 1931 г. был полностью обеспечен рабочими и инженерно-техническим составом. На заводе рабочих имеется на 1 декабря всего 5856 чел., инженеров — 126 чел., экономистов — 14, практиков — 441 и техников — 180 чел. Полностью удовлетворенный количественно кадрами, завод страдает от громадного недостатка квалифицированной рабочей силы. Основная масса рабочих, т. е. 3236 чел., работает на заводе до года, от 1 года до 3 лет — 1253 чел., от 3 до 5 лет — 241 чел., от 5 до 10 лет — 363 чел. Это говорит за то, что рабочие кадры не имеют достаточной специализации в специфических особенностях самолетной промышленности. Инженерно-технический персонал в основном является молодняком недавних выпусков авиационных институтов.</w:t>
      </w:r>
    </w:p>
    <w:p w14:paraId="249D9E8A"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Дополнительная потребность рабочих кадров на 1932 г. определяется в 1491 чел. Эту потребность завод покрывает собственной сетью подготовки рабочих кадров. По инженерно-техническому персоналу и экономистам на 1932 г. потребуется: инженеров разных специальностей — 16 чел., техников-планировщиков — 16 чел. и инженеров-экономистов — 20 чел., и 15 чел. квалифицированных счетных работников.</w:t>
      </w:r>
    </w:p>
    <w:p w14:paraId="4DD7DC23"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Вопросы труда</w:t>
      </w:r>
    </w:p>
    <w:p w14:paraId="6D2519E8"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Состояние вопросов труда характеризуется нижеследующими данными. Охвачено сдельщиной примерно около 70%. Производительность труда в сравнении с 1930 г. пала на 21,3%. Простои поквартально возрастают: за I квартал 1931 г. — 52 220 часов, за II квартал — 32 483 часа и III квартал — 122 047 часов. В среднем ежедневно по заводу простаивало в I квартале — 81, во II — 58, в III — 223 рабочих.</w:t>
      </w:r>
    </w:p>
    <w:p w14:paraId="435FC866"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Соцсоревнованием и ударничеством охвачено: рабочих — 76%, коммунистов — 93,1%, комсомольцев — 89,1%. Состояние с проведением хозрасчета по цехам и по бригадам до сего дня является крайне неудовлетворительным. Только 2 декабря приказом по заводу эта работа возложена на зам. директора завода т. Горбунова и по сегодняшний день по существу еще не развернута. Средние показатели хозрасчета не выработаны и до цехов не доведены.</w:t>
      </w:r>
    </w:p>
    <w:p w14:paraId="4C97D948"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Зарплата рабочих высока и недостаточно протарифицирована между отдельными цехами и между отдельными группами внутри цехов. Так, например, по сварочному цеху рабочий 6</w:t>
      </w:r>
      <w:r w:rsidRPr="005E779E">
        <w:rPr>
          <w:rFonts w:ascii="Times New Roman" w:hAnsi="Times New Roman"/>
          <w:color w:val="000000" w:themeColor="text1"/>
          <w:sz w:val="16"/>
          <w:szCs w:val="16"/>
        </w:rPr>
        <w:noBreakHyphen/>
        <w:t>го разряда получает от 350 руб. до 638 руб. Рабочие 6</w:t>
      </w:r>
      <w:r w:rsidRPr="005E779E">
        <w:rPr>
          <w:rFonts w:ascii="Times New Roman" w:hAnsi="Times New Roman"/>
          <w:color w:val="000000" w:themeColor="text1"/>
          <w:sz w:val="16"/>
          <w:szCs w:val="16"/>
        </w:rPr>
        <w:noBreakHyphen/>
        <w:t>го разряда, тоже достаточно квалифицированные, винтомоторного цеха получают от 200 до 300 руб. 6</w:t>
      </w:r>
      <w:r w:rsidRPr="005E779E">
        <w:rPr>
          <w:rFonts w:ascii="Times New Roman" w:hAnsi="Times New Roman"/>
          <w:color w:val="000000" w:themeColor="text1"/>
          <w:sz w:val="16"/>
          <w:szCs w:val="16"/>
        </w:rPr>
        <w:noBreakHyphen/>
        <w:t>й разряд самолетно-сборочного цеха получает до 200 руб. Инженерно-технический персонал имеет чрезвычайно низкую зарплату. Так, начальник цеха в среднем получает от 360 до 390 руб., зам. начальника цеха в среднем 330 руб. Примерно такие же ставки начальников отделов завода. Технический директор завода получает всего 554 руб.</w:t>
      </w:r>
    </w:p>
    <w:p w14:paraId="78776C08"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Состояние парторганизаций</w:t>
      </w:r>
    </w:p>
    <w:p w14:paraId="187856AF"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Парторганизация завода на 1 декабря с. г. насчитывает в своем составе 1581 чел., из коих 876 — членов партии и 705 — кандидатов; служащих в составе членов партии 4,2%. Комсомольская организация насчитывает в своем составе 2240 членов, из коих служащих 200 чел. Следовательно, общий процент партийцев и комсомольцев к составу рабочих и инженерно-технических работников составляет 55%.</w:t>
      </w:r>
    </w:p>
    <w:p w14:paraId="5BA24114"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Партийная организация завода имеет 13 цеховых ячеек, 14 сменных ячеек и 112 партгрупп. Парторганизация и весь завод находятся под достаточно удовлетворительным повседневным наблюдением и конкретным руководством со стороны как районного комитета, так и городского парткомитета. Перелом в настроении, мобилизующий массы вокруг решений партии и вокруг борьбы за выполнение программы 1931 г., был создан решением выездного бюро районного комитета партии от 26 сентября 1931 г., в котором районный комитет партии вскрыл достаточно глубоко все недостатки завода, зависящие как от внутризаводских условий, так и от внешних, и дал ряд исчерпывающих директивных указаний как по линии партийной, так и по линии хозяйственной.</w:t>
      </w:r>
    </w:p>
    <w:p w14:paraId="7AA77D5F"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Выводы и предложения по созданию условий, обеспечивающих выполнение заводом № 1 производственной программы 1932 г.</w:t>
      </w:r>
    </w:p>
    <w:p w14:paraId="06818EF1"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Общее состояние завода в части наличной рабочей силы, соответствующего оборудования, необходимого количества рабочих площадей, количества и качества административно-хозяйственного и технического руководящего состава, а также состояния парторганизаций — все это дает основание считать, что завод имеет в основном все необходимое для выполнения без особого напряжения программы 1932 г.</w:t>
      </w:r>
    </w:p>
    <w:p w14:paraId="3355568B"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Вместе с тем необходимо проведение ряда дополнительных мероприятий для того, чтобы создать гарантию в выполнении заводом № 1 программы 1932 г. Эти гарантирующие условия сводятся к следующему:</w:t>
      </w:r>
    </w:p>
    <w:p w14:paraId="6BE5E5AA"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Дать заводу твердую производственную программу и не допускать изменение этой программы в течение года.</w:t>
      </w:r>
    </w:p>
    <w:p w14:paraId="6DA89C6C"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Создать твердую программу подачи заводу авиационных моторов, уточненную поквартально и помесячно. Обязать ВАО установить жесткие сроки поставки моторов, обеспечивающие нормальное выполнение программы выпуска готовых самолетов, и твердо их придерживаться.</w:t>
      </w:r>
    </w:p>
    <w:p w14:paraId="7885CA33"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Обязать заводы-поставщики качественного материала снабжать завод № 1 необходимым материалом в обусловленные сроки и соответственно техническим требованиям. Обязать директоров заводов «Серп и молот» (Москва), Мотовилихинского, Мариупольского и Сталинградского обеспечить снабжение завода № 1 материалами и количественно и качественно согласно заключенным договорам.</w:t>
      </w:r>
    </w:p>
    <w:p w14:paraId="3FAB072E"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Обязать директора завода № 34 обеспечить в течение 1932 г. бесперебойную термическую обработку дюраля и сталей для завода № 1.</w:t>
      </w:r>
    </w:p>
    <w:p w14:paraId="1F3F44E8"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Обязать Станкоинструмент (а также Сестрорецкий завод) снабдить завод № 1 необходимым количеством нормального и мерительного инструмента согласно поданным заводом заявок.</w:t>
      </w:r>
    </w:p>
    <w:p w14:paraId="59433FE9"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Обязать ВАО обеспечить завод № 1 необходимыми материалами по осуществлению в течение I квартала 1932 г. малой реконструкции завода.</w:t>
      </w:r>
    </w:p>
    <w:p w14:paraId="03F7C05D"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Директору завода № 1 провести практическое окончание осуществления малой реконструкции завода в течение I квартала 1932 г.</w:t>
      </w:r>
    </w:p>
    <w:p w14:paraId="529B66C8"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Для укрепления кадров завода предложить ВАО перебросить на завод № 1 из аппарата ВАО т. Орловского и Чаусского. Распред[елительному] отделу ЦК ВКП(б) и сектору кадров ВСНХ перебросить в двухдекадный срок 10 экономистов-плановиков, инженеров-технологов — 4, инженеров-механиков — 5, техников-планировщиков — 5 чел. Краснопресненскому райкому выделить для парткома завода № 1 редактора газеты «Заводская правда» и культпропорга парткома.</w:t>
      </w:r>
    </w:p>
    <w:p w14:paraId="2EC2ECEF"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Обязать ВСНХ СССР выделить не позже января 1932 г. для завода № 1 2 легковых машины, 2 грузовых машины (одну из них с прицепной тележкой).</w:t>
      </w:r>
    </w:p>
    <w:p w14:paraId="07086458"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Директору и парткому завода № 1 категорически запретить частую смену руководящего состава цехов и отделов завода.</w:t>
      </w:r>
    </w:p>
    <w:p w14:paraId="67FE3D70"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 Директору завода № 1 и парторганизации ВКП(б) завода необходимо устранить внутризаводские неполадки и недочеты, указанные выше, а также отмеченные в постановлении выездного бюро Краснопресненского райкома ВКП(б) от 27 сентября 1931 г. Закончить в основном устранение указанных неполадок в течение I квартала 1932 г.</w:t>
      </w:r>
    </w:p>
    <w:p w14:paraId="1F87D7BE"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Считать необходимым прекратить какие бы то ни было обследования завода в течение I квартала 1932 г., а в будущем производить обследование только с разрешения московского городского комитета ВКП(б).</w:t>
      </w:r>
    </w:p>
    <w:p w14:paraId="396C56A3"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Общие выводы и предложения, касающиеся всей авиационной промышленности, полученные на основе обследования завода № 1</w:t>
      </w:r>
    </w:p>
    <w:p w14:paraId="0C44710D"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Обследование завода № 1 выявило наличие ряда крупнейших принципиальных ненормальностей в работе авиационной промышленности. Отсюда неизбежно приходится, помимо практических предложений, относящихся только к заводу № 1, дать целый ряд практических предложений, общих для всей авиационной промышленности. Эти общие предложения сводятся к следующему:</w:t>
      </w:r>
    </w:p>
    <w:p w14:paraId="38B1BE4A"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1. До настоящего времени существует громадная диспропорция между выпусками самолетных заводов и заводов авиамоторных. Эта диспропорция, если не будут приняты решительные кардинальные меры по моторостроению, будет иметь самые печальные последствия для всей авиационной промышленности.</w:t>
      </w:r>
    </w:p>
    <w:p w14:paraId="15DDEA10"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2. До самого последнего времени программа самолетных заводов страдает большой нереальностью, совершенно не увязана с возможным выпуском моторных заводов и претерпевает лихорадочные изменения в течение года. С этим положением нужно повести жестокую борьбу и в корне изменить практику этого дела на 1932 г.</w:t>
      </w:r>
    </w:p>
    <w:p w14:paraId="7D691EBB"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 xml:space="preserve">3. При наличии достаточно мощных конструкторских бюро и опытной производственной базы для создания опытных образцов самолетов, а также при наличии достаточной базы для серийной постройки этих образцов нужно констатировать совершенно ненормальное положение с прохождением опытного экземпляра в серию. Общие недостатки, влияющие на это дело, вообще говоря, достаточно известны. Конкретные мероприятия, которые необходимо провести для урегулирования этого вопроса, сводятся к следующему: а) категорически воспретить военному ведомству давать заказы, а авиапромышленности принимать заказы на серийное </w:t>
      </w:r>
      <w:r w:rsidRPr="005E779E">
        <w:rPr>
          <w:color w:val="000000" w:themeColor="text1"/>
          <w:sz w:val="16"/>
          <w:szCs w:val="16"/>
        </w:rPr>
        <w:lastRenderedPageBreak/>
        <w:t>изготовление аппарата, опытный экземпляр которого (вышедший из опытного завода) не прошел нормального государственного испытания НИИ ВВС; б) в части передачи в серию машин большого тоннажа (бомбардировщики тяжелые разведчики, многоместные и многомоторные) необходимо установить следующий порядок: опытный экземпляр данного аппарата по изготовлении передается в НИИ ВВС для испытания, после испытания конструкторские бюро и опытный завод должны в максимально быстрый срок устранить отмеченные при испытании дефекты. Опытный экземпляр этой машины с устраненными дефектами, вновь проконтролированный НИИ ВВС, доводится до состояния эталона, который и передается на серийную постройку на авиационные заводы в качестве образца; в) в части опытных аппаратов истребительного и разведывательного типа (одномоторные) необходимо установить порядок: аппарат после нормального испытания в НИИ ВВС и устранения дефектов, отмеченных там, передается на изготовление опытной войсковой серии в количестве от 10 до 15 шт. Затем машины из войсковой серии передаются в летные части или испытываются на маневрах и лишь после этого, устранив отмеченные там дефекты и создав опять-таки окончательный эталонный образец, окончательно утвержденный ВВС, передается на серийное изготовление на один из серийных заводов; г) считать совершенно необходимым, чтобы ни одна опытная машина не шла в серийное производство без наличия совершенно законченного эталонного образца (под эталонным образцом понимать совершенно законченную машину с полной установкой всего вооружения и оборудования); д) считать необходимым создать необходимую постоянность в требованиях, предъявляемых к серийной машине со стороны военного ведомства. Военное ведомство должно принимать все заказанные в данной серии машины, изготовленные по утвержденному военным ведомством эталону, лишенные производственных дефектов. Запретить военному ведомству менять требования к серийным машинам в процессе прохождения данной серии. Предложить на всякие изменения и переделки заключать специальные договора с ВАО на сей предмет.</w:t>
      </w:r>
    </w:p>
    <w:p w14:paraId="44CCF19B"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4. Так как в системе ВАО углубленной проработкой и технико-экономических вопросов авиационной промышленности в соответствии с созданием новых авиационных заводов и с общим разворачиванием авиационной промышленности никто не занимается, считать необходимым создание при ВАО специального мощного отдела по углубленной научной разработке вопросов техники и экономики авиационной промышленности.</w:t>
      </w:r>
    </w:p>
    <w:p w14:paraId="055DA2F3"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5. Считая, что постановка инструментального дела на заводах авиационной промышленности совершенно неудовлетворительна, признать необходимым немедленную постройку центрального инструментального завода для обслуживания всей авиационной промышленности. Обязать Станкоинструмент впредь до создания такого завода обеспечить авиационную промышленность необходимым нормальным и измерительным инструментом.</w:t>
      </w:r>
    </w:p>
    <w:p w14:paraId="7440FD5F"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6. Исходя из того, что снабжение авиационной промышленности качественным материалом совершенно неудовлетворительно, обязать ВСНХ СССР прикрепить ряд соответствующих заводов для снабжения авиационной промышленности всеми нужными материалами. Необходимо эти выделенные заводы особо специализировать на выработку высококачественной продукции для авиационной промышленности. Необходимо, чтобы ВСНХ СССР возложил ответственность на соответствующие объединения и заводы за нормальное снабжение авиационной промышленности качественными материалами.</w:t>
      </w:r>
    </w:p>
    <w:p w14:paraId="7C450F15"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7. Обязать Наркомтруд и ЦК автотракторной промышленности в двухдекадный срок пересмотреть всю тарифную систему авиационных заводов с тем, чтобы в этой промышленности провести стимул повышения квалификации, улучшения качества продукции, борьбы с текучестью и разрыва в зарплате между отдельными кадрами квалифицированных рабочих. В частности, разрешить начальнику ВАО ввести персональные оклады всему руководящему инженерно-техническому персоналу заводов.</w:t>
      </w:r>
    </w:p>
    <w:p w14:paraId="0060964A"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8. Считать необходимым провести обследование УВВС в части подготовленности к приемке, хранению и нормальной эксплуатации продукции 1932 г.</w:t>
      </w:r>
    </w:p>
    <w:p w14:paraId="14723987"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9. В целях дальнейшего улучшения в развитии авиационной промышленности признать необходимым произвести специальное обследование комиссией ЦК ВКП(б) наряду с серийными заводами также ЦАГИ и ИАМ.</w:t>
      </w:r>
    </w:p>
    <w:p w14:paraId="7D159CB3" w14:textId="77777777" w:rsidR="00987BB5" w:rsidRPr="005E779E" w:rsidRDefault="00987BB5" w:rsidP="000B7A6C">
      <w:pPr>
        <w:pStyle w:val="ae"/>
        <w:spacing w:before="0" w:after="0"/>
        <w:jc w:val="both"/>
        <w:rPr>
          <w:color w:val="000000" w:themeColor="text1"/>
          <w:sz w:val="16"/>
          <w:szCs w:val="16"/>
        </w:rPr>
      </w:pPr>
      <w:r w:rsidRPr="005E779E">
        <w:rPr>
          <w:rStyle w:val="af0"/>
          <w:i w:val="0"/>
          <w:color w:val="000000" w:themeColor="text1"/>
          <w:sz w:val="16"/>
          <w:szCs w:val="16"/>
        </w:rPr>
        <w:t>Бригада ЦК ВКП(б)⁶*</w:t>
      </w:r>
    </w:p>
    <w:p w14:paraId="41297120" w14:textId="77777777" w:rsidR="00987BB5" w:rsidRPr="005E779E" w:rsidRDefault="00987BB5" w:rsidP="000B7A6C">
      <w:pPr>
        <w:pStyle w:val="ae"/>
        <w:spacing w:before="0" w:after="0"/>
        <w:jc w:val="both"/>
        <w:rPr>
          <w:color w:val="000000" w:themeColor="text1"/>
          <w:sz w:val="16"/>
          <w:szCs w:val="16"/>
        </w:rPr>
      </w:pPr>
      <w:r w:rsidRPr="005E779E">
        <w:rPr>
          <w:rStyle w:val="af0"/>
          <w:i w:val="0"/>
          <w:color w:val="000000" w:themeColor="text1"/>
          <w:sz w:val="16"/>
          <w:szCs w:val="16"/>
        </w:rPr>
        <w:t>Примечания</w:t>
      </w:r>
      <w:r w:rsidRPr="005E779E">
        <w:rPr>
          <w:color w:val="000000" w:themeColor="text1"/>
          <w:sz w:val="16"/>
          <w:szCs w:val="16"/>
        </w:rPr>
        <w:t>:</w:t>
      </w:r>
    </w:p>
    <w:p w14:paraId="6DE5AC78"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vertAlign w:val="superscript"/>
        </w:rPr>
        <w:t>1</w:t>
      </w:r>
      <w:r w:rsidRPr="005E779E">
        <w:rPr>
          <w:color w:val="000000" w:themeColor="text1"/>
          <w:sz w:val="16"/>
          <w:szCs w:val="16"/>
        </w:rPr>
        <w:t>* Направлена секретарю ЦК ВКП(б) Л. М. Кагановичу.</w:t>
      </w:r>
    </w:p>
    <w:p w14:paraId="1F165B40"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vertAlign w:val="superscript"/>
        </w:rPr>
        <w:t>2</w:t>
      </w:r>
      <w:r w:rsidRPr="005E779E">
        <w:rPr>
          <w:color w:val="000000" w:themeColor="text1"/>
          <w:sz w:val="16"/>
          <w:szCs w:val="16"/>
        </w:rPr>
        <w:t>* Причем в последнем вари анте из 610 сам[олетов] 340 должны бать выпущены с моторами, 120 сам[олетов] без моторов, но целиком законченные, и 150 сам[олетов] д[олжны] б[ыть] готовы в деталях, не приступая к их сборке (</w:t>
      </w:r>
      <w:r w:rsidRPr="005E779E">
        <w:rPr>
          <w:rStyle w:val="af0"/>
          <w:i w:val="0"/>
          <w:color w:val="000000" w:themeColor="text1"/>
          <w:sz w:val="16"/>
          <w:szCs w:val="16"/>
        </w:rPr>
        <w:t>Прим. док</w:t>
      </w:r>
      <w:r w:rsidRPr="005E779E">
        <w:rPr>
          <w:color w:val="000000" w:themeColor="text1"/>
          <w:sz w:val="16"/>
          <w:szCs w:val="16"/>
        </w:rPr>
        <w:t>.).</w:t>
      </w:r>
    </w:p>
    <w:p w14:paraId="37B77034"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vertAlign w:val="superscript"/>
        </w:rPr>
        <w:t>3</w:t>
      </w:r>
      <w:r w:rsidRPr="005E779E">
        <w:rPr>
          <w:color w:val="000000" w:themeColor="text1"/>
          <w:sz w:val="16"/>
          <w:szCs w:val="16"/>
        </w:rPr>
        <w:t>* Из них 54 аппарата без моторов (</w:t>
      </w:r>
      <w:r w:rsidRPr="005E779E">
        <w:rPr>
          <w:rStyle w:val="af0"/>
          <w:i w:val="0"/>
          <w:color w:val="000000" w:themeColor="text1"/>
          <w:sz w:val="16"/>
          <w:szCs w:val="16"/>
        </w:rPr>
        <w:t>Прим. док</w:t>
      </w:r>
      <w:r w:rsidRPr="005E779E">
        <w:rPr>
          <w:color w:val="000000" w:themeColor="text1"/>
          <w:sz w:val="16"/>
          <w:szCs w:val="16"/>
        </w:rPr>
        <w:t>.).</w:t>
      </w:r>
    </w:p>
    <w:p w14:paraId="13585F73"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vertAlign w:val="superscript"/>
        </w:rPr>
        <w:t>4</w:t>
      </w:r>
      <w:r w:rsidRPr="005E779E">
        <w:rPr>
          <w:color w:val="000000" w:themeColor="text1"/>
          <w:sz w:val="16"/>
          <w:szCs w:val="16"/>
        </w:rPr>
        <w:t>* В документе ошибочно указаны градусы.</w:t>
      </w:r>
    </w:p>
    <w:p w14:paraId="4052691D"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vertAlign w:val="superscript"/>
        </w:rPr>
        <w:t>5</w:t>
      </w:r>
      <w:r w:rsidRPr="005E779E">
        <w:rPr>
          <w:color w:val="000000" w:themeColor="text1"/>
          <w:sz w:val="16"/>
          <w:szCs w:val="16"/>
        </w:rPr>
        <w:t>* Так в тексте.</w:t>
      </w:r>
    </w:p>
    <w:p w14:paraId="34974910"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vertAlign w:val="superscript"/>
        </w:rPr>
        <w:t>6</w:t>
      </w:r>
      <w:r w:rsidRPr="005E779E">
        <w:rPr>
          <w:color w:val="000000" w:themeColor="text1"/>
          <w:sz w:val="16"/>
          <w:szCs w:val="16"/>
        </w:rPr>
        <w:t>* Подписи неразборчивы.</w:t>
      </w:r>
    </w:p>
    <w:p w14:paraId="2ADAC840"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РГАСПИ. Ф. 17. Оп. 120. Д. 56. Л. 46—56. Подлинник.</w:t>
      </w:r>
    </w:p>
    <w:p w14:paraId="26410622"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Архив: РГАСПИ. Ф. 17. Оп. 120. Д. 56. Л. 46—56. Подлинник. </w:t>
      </w:r>
    </w:p>
    <w:p w14:paraId="279519C0"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Источник: Становление оборонно-промышленного комплекса СССР (1927-1932). М. 2008, стр. 579-587 (12540).</w:t>
      </w:r>
    </w:p>
    <w:p w14:paraId="1E099499" w14:textId="77777777" w:rsidR="00987BB5" w:rsidRPr="005E779E" w:rsidRDefault="00987BB5" w:rsidP="000B7A6C">
      <w:pPr>
        <w:spacing w:after="0" w:line="240" w:lineRule="auto"/>
        <w:jc w:val="both"/>
        <w:rPr>
          <w:rFonts w:ascii="Times New Roman" w:hAnsi="Times New Roman"/>
          <w:color w:val="000000" w:themeColor="text1"/>
          <w:sz w:val="16"/>
          <w:szCs w:val="16"/>
        </w:rPr>
      </w:pPr>
    </w:p>
    <w:p w14:paraId="3C57D912" w14:textId="77777777" w:rsidR="005E3256" w:rsidRPr="005E779E" w:rsidRDefault="005E3256"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112F4FEC" w14:textId="77777777" w:rsidR="005E3256" w:rsidRPr="005E779E" w:rsidRDefault="005E3256"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0966D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декабря 1931 года легкий танк Т-26 был принят на вооружение. Всего Красная Армия получила 11 тысяч машин 23 модификаций, включая огнеметные (тогда их называли химическими) и саперные (мостовые). После доработки двухбашенный британский «Виккерс-6т» трансформировался в отечественный Т-26. За год подготовили всю необходимую документацию для его серийного производства (11765).</w:t>
      </w:r>
    </w:p>
    <w:p w14:paraId="55FD33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D9EF41E" w14:textId="77777777" w:rsidR="006F7ACC" w:rsidRPr="005E779E" w:rsidRDefault="006F7ACC"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13 декабря 1931 г.</w:t>
      </w:r>
    </w:p>
    <w:p w14:paraId="06080429" w14:textId="77777777" w:rsidR="006F7ACC" w:rsidRPr="005E779E" w:rsidRDefault="006F7ACC"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О переброске для работы в ОКБ № 11 специалиста по железобетонным конструкциям инженера Рухина. 13 декабря 1931 г.</w:t>
      </w:r>
    </w:p>
    <w:p w14:paraId="7C9443AD" w14:textId="77777777" w:rsidR="006F7ACC" w:rsidRPr="005E779E" w:rsidRDefault="006F7ACC"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Источник: </w:t>
      </w:r>
    </w:p>
    <w:p w14:paraId="5EF5392F" w14:textId="77777777" w:rsidR="006F7ACC" w:rsidRPr="005E779E" w:rsidRDefault="006F7AC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09FAB4D" w14:textId="77777777" w:rsidR="006F7ACC" w:rsidRPr="005E779E" w:rsidRDefault="006F7ACC"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Архив: </w:t>
      </w:r>
    </w:p>
    <w:p w14:paraId="087B59AE" w14:textId="77777777" w:rsidR="006F7ACC" w:rsidRPr="005E779E" w:rsidRDefault="006F7AC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РГАЭ. Ф. 38. Oп. 1. Д. 2. Л. 128</w:t>
      </w:r>
    </w:p>
    <w:p w14:paraId="7F2C1E3B" w14:textId="77777777" w:rsidR="006F7ACC" w:rsidRPr="005E779E" w:rsidRDefault="006F7ACC" w:rsidP="000B7A6C">
      <w:pPr>
        <w:pStyle w:val="rteright"/>
        <w:spacing w:before="0" w:after="0"/>
        <w:jc w:val="both"/>
        <w:rPr>
          <w:color w:val="000000" w:themeColor="text1"/>
          <w:sz w:val="16"/>
          <w:szCs w:val="16"/>
        </w:rPr>
      </w:pPr>
      <w:r w:rsidRPr="005E779E">
        <w:rPr>
          <w:color w:val="000000" w:themeColor="text1"/>
          <w:sz w:val="16"/>
          <w:szCs w:val="16"/>
        </w:rPr>
        <w:t>13 декабря 1931 г.</w:t>
      </w:r>
    </w:p>
    <w:p w14:paraId="5A90C7B6" w14:textId="77777777" w:rsidR="006F7ACC" w:rsidRPr="005E779E" w:rsidRDefault="006F7ACC" w:rsidP="000B7A6C">
      <w:pPr>
        <w:pStyle w:val="ae"/>
        <w:spacing w:before="0" w:after="0"/>
        <w:jc w:val="both"/>
        <w:rPr>
          <w:color w:val="000000" w:themeColor="text1"/>
          <w:sz w:val="16"/>
          <w:szCs w:val="16"/>
        </w:rPr>
      </w:pPr>
      <w:r w:rsidRPr="005E779E">
        <w:rPr>
          <w:color w:val="000000" w:themeColor="text1"/>
          <w:sz w:val="16"/>
          <w:szCs w:val="16"/>
        </w:rPr>
        <w:t>НАЧ. ТЕХ. ОТД. ЭКУ ОГПУ.</w:t>
      </w:r>
    </w:p>
    <w:p w14:paraId="7F4A8687" w14:textId="77777777" w:rsidR="006F7ACC" w:rsidRPr="005E779E" w:rsidRDefault="006F7ACC" w:rsidP="000B7A6C">
      <w:pPr>
        <w:pStyle w:val="ae"/>
        <w:spacing w:before="0" w:after="0"/>
        <w:jc w:val="both"/>
        <w:rPr>
          <w:color w:val="000000" w:themeColor="text1"/>
          <w:sz w:val="16"/>
          <w:szCs w:val="16"/>
        </w:rPr>
      </w:pPr>
      <w:r w:rsidRPr="005E779E">
        <w:rPr>
          <w:color w:val="000000" w:themeColor="text1"/>
          <w:sz w:val="16"/>
          <w:szCs w:val="16"/>
        </w:rPr>
        <w:t>От Нач. ОКБ № 11 НАУМИНА</w:t>
      </w:r>
    </w:p>
    <w:p w14:paraId="6917DB15" w14:textId="77777777" w:rsidR="006F7ACC" w:rsidRPr="005E779E" w:rsidRDefault="006F7ACC" w:rsidP="000B7A6C">
      <w:pPr>
        <w:pStyle w:val="ae"/>
        <w:spacing w:before="0" w:after="0"/>
        <w:jc w:val="both"/>
        <w:rPr>
          <w:color w:val="000000" w:themeColor="text1"/>
          <w:sz w:val="16"/>
          <w:szCs w:val="16"/>
        </w:rPr>
      </w:pPr>
      <w:r w:rsidRPr="005E779E">
        <w:rPr>
          <w:color w:val="000000" w:themeColor="text1"/>
          <w:sz w:val="16"/>
          <w:szCs w:val="16"/>
        </w:rPr>
        <w:t>РАПОРТ</w:t>
      </w:r>
    </w:p>
    <w:p w14:paraId="533CA026" w14:textId="77777777" w:rsidR="006F7ACC" w:rsidRPr="005E779E" w:rsidRDefault="006F7ACC" w:rsidP="000B7A6C">
      <w:pPr>
        <w:pStyle w:val="rtejustify"/>
        <w:spacing w:before="0" w:after="0"/>
        <w:rPr>
          <w:color w:val="000000" w:themeColor="text1"/>
          <w:sz w:val="16"/>
          <w:szCs w:val="16"/>
        </w:rPr>
      </w:pPr>
      <w:r w:rsidRPr="005E779E">
        <w:rPr>
          <w:color w:val="000000" w:themeColor="text1"/>
          <w:sz w:val="16"/>
          <w:szCs w:val="16"/>
        </w:rPr>
        <w:t>Ввиду того, что во в[веренном] мне ОКБ № 11 нет ни одного инженера строителя по железо-бетону и железн. конструкции, а в настоящее время явилась острая нужда, т. к. сейчас развернулась большая работа по строительству и монтажу, прошу Вашего распоряжения о переброске из ОКБ № 8 РУХИНА, последний является большим специалистом по указанной работе т. к. выполнял будучи на службе в Тепло-Институте. Что же касается его работы в ОКБ № 8 — работает не по специальности.</w:t>
      </w:r>
    </w:p>
    <w:p w14:paraId="57D8C4BE" w14:textId="77777777" w:rsidR="006F7ACC" w:rsidRPr="005E779E" w:rsidRDefault="006F7ACC" w:rsidP="000B7A6C">
      <w:pPr>
        <w:pStyle w:val="rtejustify"/>
        <w:spacing w:before="0" w:after="0"/>
        <w:rPr>
          <w:color w:val="000000" w:themeColor="text1"/>
          <w:sz w:val="16"/>
          <w:szCs w:val="16"/>
        </w:rPr>
      </w:pPr>
      <w:r w:rsidRPr="005E779E">
        <w:rPr>
          <w:color w:val="000000" w:themeColor="text1"/>
          <w:sz w:val="16"/>
          <w:szCs w:val="16"/>
        </w:rPr>
        <w:t>Наумин</w:t>
      </w:r>
    </w:p>
    <w:p w14:paraId="32009F4A" w14:textId="77777777" w:rsidR="006F7ACC" w:rsidRPr="005E779E" w:rsidRDefault="006F7ACC" w:rsidP="000B7A6C">
      <w:pPr>
        <w:pStyle w:val="ae"/>
        <w:spacing w:before="0" w:after="0"/>
        <w:jc w:val="both"/>
        <w:rPr>
          <w:color w:val="000000" w:themeColor="text1"/>
          <w:sz w:val="16"/>
          <w:szCs w:val="16"/>
        </w:rPr>
      </w:pPr>
      <w:r w:rsidRPr="005E779E">
        <w:rPr>
          <w:color w:val="000000" w:themeColor="text1"/>
          <w:sz w:val="16"/>
          <w:szCs w:val="16"/>
        </w:rPr>
        <w:t>«13» декабря 1931 г.</w:t>
      </w:r>
    </w:p>
    <w:p w14:paraId="5CEBB3CC" w14:textId="77777777" w:rsidR="006F7ACC" w:rsidRPr="005E779E" w:rsidRDefault="006F7ACC" w:rsidP="000B7A6C">
      <w:pPr>
        <w:pStyle w:val="ae"/>
        <w:spacing w:before="0" w:after="0"/>
        <w:jc w:val="both"/>
        <w:rPr>
          <w:color w:val="000000" w:themeColor="text1"/>
          <w:sz w:val="16"/>
          <w:szCs w:val="16"/>
        </w:rPr>
      </w:pPr>
      <w:r w:rsidRPr="005E779E">
        <w:rPr>
          <w:rStyle w:val="af0"/>
          <w:i w:val="0"/>
          <w:color w:val="000000" w:themeColor="text1"/>
          <w:sz w:val="16"/>
          <w:szCs w:val="16"/>
        </w:rPr>
        <w:t>РГАЭ. Ф. 38. Oп. 1. Д. 2. Л. 128. Машинописный подлинник, подпись — автограф. Число в дате вписано от руки. Вверху слева от руки написана дата «13/ХII», ниже рукописная помета «На консультацию» (подпись- росчерк, неразборчиво ) (19093).</w:t>
      </w:r>
    </w:p>
    <w:p w14:paraId="595D71C0" w14:textId="77777777" w:rsidR="006F7ACC" w:rsidRPr="005E779E" w:rsidRDefault="006F7ACC" w:rsidP="000B7A6C">
      <w:pPr>
        <w:spacing w:after="0" w:line="240" w:lineRule="auto"/>
        <w:jc w:val="both"/>
        <w:rPr>
          <w:rFonts w:ascii="Times New Roman" w:hAnsi="Times New Roman"/>
          <w:color w:val="000000" w:themeColor="text1"/>
          <w:sz w:val="16"/>
          <w:szCs w:val="16"/>
        </w:rPr>
      </w:pPr>
    </w:p>
    <w:p w14:paraId="70E1A804" w14:textId="77777777" w:rsidR="00332C4C"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Внешняя политика:</w:t>
      </w:r>
    </w:p>
    <w:p w14:paraId="1BF7966B" w14:textId="77777777" w:rsidR="00332C4C" w:rsidRPr="005E779E" w:rsidRDefault="00332C4C"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4524F2E" w14:textId="77777777" w:rsidR="00332C4C" w:rsidRPr="005E779E" w:rsidRDefault="00332C4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декабря 1931 с задержкой по метеоусловиям удалось облетать самолёты. Ко всему величина снежного покрова в Алма-Ате и в Урумчи допускала полёты только на колесах, в то время как на маршруте (Сергиополь, Бахты, Чугучак) глубокий снег позволял исполь</w:t>
      </w:r>
      <w:r w:rsidRPr="005E779E">
        <w:rPr>
          <w:rFonts w:ascii="Times New Roman" w:hAnsi="Times New Roman"/>
          <w:color w:val="000000" w:themeColor="text1"/>
          <w:sz w:val="16"/>
          <w:szCs w:val="16"/>
        </w:rPr>
        <w:softHyphen/>
        <w:t>зовать только лыжи.</w:t>
      </w:r>
    </w:p>
    <w:p w14:paraId="64B4560D" w14:textId="77777777" w:rsidR="00332C4C" w:rsidRPr="005E779E" w:rsidRDefault="00332C4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Лётчиков очень торопили со стартом и наши, и китайцы, но погода все время стоя</w:t>
      </w:r>
      <w:r w:rsidRPr="005E779E">
        <w:rPr>
          <w:rFonts w:ascii="Times New Roman" w:hAnsi="Times New Roman"/>
          <w:color w:val="000000" w:themeColor="text1"/>
          <w:sz w:val="16"/>
          <w:szCs w:val="16"/>
        </w:rPr>
        <w:softHyphen/>
        <w:t>ла неблагоприятная: морозы, сильные ветры и туманы на незнакомом маршруте. По словам Берестецкого, «Волынченко совершенно изнервничался и был панически на</w:t>
      </w:r>
      <w:r w:rsidRPr="005E779E">
        <w:rPr>
          <w:rFonts w:ascii="Times New Roman" w:hAnsi="Times New Roman"/>
          <w:color w:val="000000" w:themeColor="text1"/>
          <w:sz w:val="16"/>
          <w:szCs w:val="16"/>
        </w:rPr>
        <w:softHyphen/>
        <w:t>строен», полагая, что лётной погоды не будет до весны. Начальник экспедиции писал, что «со стороны метеослужбы помощи перелёту не было...» (15802).</w:t>
      </w:r>
    </w:p>
    <w:p w14:paraId="75560F5B" w14:textId="77777777" w:rsidR="00332C4C" w:rsidRPr="005E779E" w:rsidRDefault="00332C4C" w:rsidP="000B7A6C">
      <w:pPr>
        <w:spacing w:after="0" w:line="240" w:lineRule="auto"/>
        <w:jc w:val="both"/>
        <w:rPr>
          <w:rFonts w:ascii="Times New Roman" w:hAnsi="Times New Roman"/>
          <w:color w:val="000000" w:themeColor="text1"/>
          <w:sz w:val="16"/>
          <w:szCs w:val="16"/>
        </w:rPr>
      </w:pPr>
    </w:p>
    <w:p w14:paraId="0197FFB6"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3F39A117"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0E5BD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 декабря 1931 произошло одно из сильнейших извержений вулкана в 20 в Мерапи на Яве. Погибло 1300 чел. (3263,728).</w:t>
      </w:r>
    </w:p>
    <w:p w14:paraId="289595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D86A2F4"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01261235"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C952B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декабря 1931 В.М.П. направил Н.М.Харламову докладную с ответами на вопросы по ТБ-3 (АНТ-6) с разными моторами (1077,123).</w:t>
      </w:r>
    </w:p>
    <w:p w14:paraId="71A493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1C77D72" w14:textId="77777777" w:rsidR="00987BB5"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lastRenderedPageBreak/>
        <w:t>Другие оборонные отрасли:</w:t>
      </w:r>
    </w:p>
    <w:p w14:paraId="6D246FC7" w14:textId="77777777" w:rsidR="00987BB5" w:rsidRPr="005E779E" w:rsidRDefault="00987BB5"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9E11EAE" w14:textId="77777777" w:rsidR="006F7ACC" w:rsidRPr="005E779E" w:rsidRDefault="006F7ACC" w:rsidP="000B7A6C">
      <w:pPr>
        <w:spacing w:after="0" w:line="240" w:lineRule="auto"/>
        <w:jc w:val="both"/>
        <w:rPr>
          <w:rFonts w:ascii="Times New Roman" w:eastAsia="Times New Roman" w:hAnsi="Times New Roman"/>
          <w:bCs/>
          <w:iCs/>
          <w:color w:val="000000" w:themeColor="text1"/>
          <w:sz w:val="16"/>
          <w:szCs w:val="16"/>
          <w:lang w:eastAsia="ru-RU"/>
        </w:rPr>
      </w:pPr>
      <w:r w:rsidRPr="005E779E">
        <w:rPr>
          <w:rFonts w:ascii="Times New Roman" w:eastAsia="Times New Roman" w:hAnsi="Times New Roman"/>
          <w:bCs/>
          <w:iCs/>
          <w:color w:val="000000" w:themeColor="text1"/>
          <w:sz w:val="16"/>
          <w:szCs w:val="16"/>
          <w:lang w:eastAsia="ru-RU"/>
        </w:rPr>
        <w:t>14 декабря 1931</w:t>
      </w:r>
    </w:p>
    <w:p w14:paraId="3C62B694" w14:textId="77777777" w:rsidR="006F7ACC" w:rsidRPr="005E779E" w:rsidRDefault="006F7ACC"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bCs/>
          <w:iCs/>
          <w:color w:val="000000" w:themeColor="text1"/>
          <w:sz w:val="16"/>
          <w:szCs w:val="16"/>
          <w:lang w:eastAsia="ru-RU"/>
        </w:rPr>
        <w:t>РГВА Фонд 31811 Опись 3 Дело 28 лист 96 – 97</w:t>
      </w:r>
    </w:p>
    <w:p w14:paraId="32031C8A" w14:textId="77777777" w:rsidR="006F7ACC" w:rsidRPr="005E779E" w:rsidRDefault="006F7ACC"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iCs/>
          <w:color w:val="000000" w:themeColor="text1"/>
          <w:sz w:val="16"/>
          <w:szCs w:val="16"/>
          <w:lang w:eastAsia="ru-RU"/>
        </w:rPr>
        <w:t>На документе штампы:</w:t>
      </w:r>
      <w:r w:rsidRPr="005E779E">
        <w:rPr>
          <w:rFonts w:ascii="Times New Roman" w:eastAsia="Times New Roman" w:hAnsi="Times New Roman"/>
          <w:color w:val="000000" w:themeColor="text1"/>
          <w:sz w:val="16"/>
          <w:szCs w:val="16"/>
          <w:lang w:eastAsia="ru-RU"/>
        </w:rPr>
        <w:t xml:space="preserve"> </w:t>
      </w:r>
    </w:p>
    <w:p w14:paraId="3C6AACA1" w14:textId="77777777" w:rsidR="006F7ACC" w:rsidRPr="005E779E" w:rsidRDefault="006F7ACC"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«От. 1 Зам. Пред. РВС СССР № 07229/сс 11/XII-1931 г.» </w:t>
      </w:r>
    </w:p>
    <w:p w14:paraId="636D75CD" w14:textId="77777777" w:rsidR="006F7ACC" w:rsidRPr="005E779E" w:rsidRDefault="006F7ACC"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«УММ РККА Вх. 02380 от 14/XII-1931 г.» </w:t>
      </w:r>
    </w:p>
    <w:p w14:paraId="794D2717" w14:textId="77777777" w:rsidR="006F7ACC" w:rsidRPr="005E779E" w:rsidRDefault="006F7ACC"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Сов. Секретно. </w:t>
      </w:r>
    </w:p>
    <w:p w14:paraId="1FE19398" w14:textId="77777777" w:rsidR="006F7ACC" w:rsidRPr="005E779E" w:rsidRDefault="006F7ACC"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Экз. № 1 </w:t>
      </w:r>
    </w:p>
    <w:p w14:paraId="2BE7F9F9" w14:textId="77777777" w:rsidR="006F7ACC" w:rsidRPr="005E779E" w:rsidRDefault="006F7ACC"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ДОКЛАД</w:t>
      </w:r>
    </w:p>
    <w:p w14:paraId="7D6D916E" w14:textId="77777777" w:rsidR="006F7ACC" w:rsidRPr="005E779E" w:rsidRDefault="006F7ACC"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О положении вопроса о танках Кристи в С.А.С.Ш.</w:t>
      </w:r>
    </w:p>
    <w:p w14:paraId="6F713034" w14:textId="77777777" w:rsidR="006F7ACC" w:rsidRPr="005E779E" w:rsidRDefault="006F7ACC"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Впервые я посетил мастерскую Кристи в начале июня с.г. (после приезда из Детройта по окончании приемки первой партии агрегатов Тикмена). В дальнейшем я встречался с Кристи в его мастерской каждый месяц. В течение октября перед отъездом в Союз я был у Кристи несколько раз. </w:t>
      </w:r>
    </w:p>
    <w:p w14:paraId="645335D9" w14:textId="77777777" w:rsidR="006F7ACC" w:rsidRPr="005E779E" w:rsidRDefault="006F7ACC"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ПОЛОЖЕНИЕ С КОНСТРУКЦИЕЙ ТАНКА КРИСТИ. </w:t>
      </w:r>
    </w:p>
    <w:p w14:paraId="6745A284" w14:textId="77777777" w:rsidR="006F7ACC" w:rsidRPr="005E779E" w:rsidRDefault="006F7ACC"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К моменту моего первого посещения конструкторское бюро Кристи в составе двух человек приступило к разработке рабочих чертежей той машины, которая имеется у нас в Союзе, так как до того времени в распоряжении Кристи были только сборочные чертежи. Эти рабочие чертежи заканчивались к моменту моего последнего посещения перед отъездом в Союз. </w:t>
      </w:r>
    </w:p>
    <w:p w14:paraId="7578963D" w14:textId="77777777" w:rsidR="006F7ACC" w:rsidRPr="005E779E" w:rsidRDefault="006F7ACC"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В конструкцию при разработке детальных чертежей было внесено большое количество мелких изменений, упрощающих изготовление. Кроме того, были сделаны конструктивные изменения, не меняющие принципа конструкции, на основании всех проведенных Кристи и военным департаментом испытаний: </w:t>
      </w:r>
    </w:p>
    <w:p w14:paraId="2E289EC4" w14:textId="77777777" w:rsidR="006F7ACC" w:rsidRPr="005E779E" w:rsidRDefault="006F7ACC"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1. Носовая часть корпуса была усилена и сделана в виде стальной отливки, к которой укрепляются листы брони. </w:t>
      </w:r>
    </w:p>
    <w:p w14:paraId="675FA1BD" w14:textId="77777777" w:rsidR="006F7ACC" w:rsidRPr="005E779E" w:rsidRDefault="006F7ACC"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2. Усилена конструкция кронштейна, подвески, передних (малых) колес. Этот кронштейн представляет собой массивную стальную отливку. </w:t>
      </w:r>
    </w:p>
    <w:p w14:paraId="5ACCB603" w14:textId="77777777" w:rsidR="006F7ACC" w:rsidRPr="005E779E" w:rsidRDefault="006F7ACC"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3. Улучшена конструкция подвода смазки к подшипникам бортового сцепления. </w:t>
      </w:r>
    </w:p>
    <w:p w14:paraId="7A6F6F92" w14:textId="77777777" w:rsidR="006F7ACC" w:rsidRPr="005E779E" w:rsidRDefault="006F7ACC"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4. Изменена, с целью упрощения, конструкция тяг управления для выключения бортового сцепления. </w:t>
      </w:r>
    </w:p>
    <w:p w14:paraId="2018361E" w14:textId="77777777" w:rsidR="006F7ACC" w:rsidRPr="005E779E" w:rsidRDefault="006F7ACC"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Так как Кристи под разными предлогами ("не готовы, нужно изменить еще раз") отказывался дать материалы по изменению конструкции, то мне удалось материалы по п. п. 2 и 3 получить помимо Кристи. Эти материалы я выслал в Союз. Это были эскизы и карандашная копировка со сборочных чертежей, где были указаны эти изменения. </w:t>
      </w:r>
    </w:p>
    <w:p w14:paraId="5BE0DCF6" w14:textId="77777777" w:rsidR="006F7ACC" w:rsidRPr="005E779E" w:rsidRDefault="006F7ACC"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В основном нежелание Кристи дать эти изменения объясняются тем, что он все время хочет получить не уплаченные ему 25.000 долл., которые были удержаны за невыполнение договора при сдаче двух машин (не сдача рабочих чертежей и поставка машин без башен). </w:t>
      </w:r>
    </w:p>
    <w:p w14:paraId="5C89AED2" w14:textId="77777777" w:rsidR="006F7ACC" w:rsidRPr="005E779E" w:rsidRDefault="006F7ACC"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Принципиальные изменения, которые повлияли бы на динамические и другие качества, в конструкции машины Кристи не имеется. </w:t>
      </w:r>
    </w:p>
    <w:p w14:paraId="290485E2" w14:textId="77777777" w:rsidR="006F7ACC" w:rsidRPr="005E779E" w:rsidRDefault="006F7ACC"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Попытки к получению рабочих чертежей также не увенчались успехом, так как Кристи предварительно желает получить вышеуказанные 25.000 долларов. </w:t>
      </w:r>
    </w:p>
    <w:p w14:paraId="2D90EF8B" w14:textId="77777777" w:rsidR="006F7ACC" w:rsidRPr="005E779E" w:rsidRDefault="006F7ACC"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НОВЫЕ КОНСТРУКЦИИ. </w:t>
      </w:r>
    </w:p>
    <w:p w14:paraId="2C426311" w14:textId="77777777" w:rsidR="006F7ACC" w:rsidRPr="005E779E" w:rsidRDefault="006F7ACC"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В июне мес. Кристи при первой встрече поделился со мной своими планами по разработке новых конструкций. Характеристики этих задуманных им машин вместе с одной из схем я направил к Вам. Однако дальнейшие посещения показали, что никакой разработки этих конструкций Кристи не производит и один из конструкторов Кристи мистер Андерсон в частной беседе заявил, что он не верит в осуществление этих конструкций Кристи. </w:t>
      </w:r>
    </w:p>
    <w:p w14:paraId="09DF462A" w14:textId="77777777" w:rsidR="006F7ACC" w:rsidRPr="005E779E" w:rsidRDefault="006F7ACC"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Перед моим отъездом в Союз Кристи сообщил, что он приступит к разработке новой конструкции после окончания рабочих чертежей машины старого типа и окончания правительственного заказа, о котором я пишу ниже. Новая машина, как я уже писал, есть измененная конструкция старого типа с более мощным мотором 600 НР и вооружением 76-мм пушки. Танк был намечен не плавучим. </w:t>
      </w:r>
    </w:p>
    <w:p w14:paraId="55937B92" w14:textId="77777777" w:rsidR="006F7ACC" w:rsidRPr="005E779E" w:rsidRDefault="006F7ACC"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ЗАКАЗЫ КРИСТИ. </w:t>
      </w:r>
    </w:p>
    <w:p w14:paraId="15F8605D" w14:textId="77777777" w:rsidR="006F7ACC" w:rsidRPr="005E779E" w:rsidRDefault="006F7ACC"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Кристи в настоящее время выполняет правительственный заказ. Изготовляется 6 машин по тому же типу, которые были сделаны нам с изменениями, описанными выше. </w:t>
      </w:r>
    </w:p>
    <w:p w14:paraId="74959ED5" w14:textId="77777777" w:rsidR="006F7ACC" w:rsidRPr="005E779E" w:rsidRDefault="006F7ACC"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В июне мес. я нашел в мастерской только корпуса этих танков. При последнем посещении в первых числах ноября можно было видеть установленные в корпуса коробки скоростей и подготовку к установке мотора. Окончательная сдача машин намечена на конец ноября. </w:t>
      </w:r>
    </w:p>
    <w:p w14:paraId="2AFB436C" w14:textId="77777777" w:rsidR="006F7ACC" w:rsidRPr="005E779E" w:rsidRDefault="006F7ACC"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Кристи заявил, что он надеется на получение заказа на 100 штук таких машин и что он вынужден будет расширить свою мастерскую. Это маловероятно в связи с резким сокращением военного бюджета С.А.С.Ш. на 1932 г. и, по моему мнению, все это говорилось для того, чтобы как-нибудь подготовить пути к получению наших 25.000 долларов. </w:t>
      </w:r>
    </w:p>
    <w:p w14:paraId="04564B66" w14:textId="77777777" w:rsidR="006F7ACC" w:rsidRPr="005E779E" w:rsidRDefault="006F7ACC"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ВОПРОС О ПОЕЗДКЕ КРИСТИ В СОЮЗ. </w:t>
      </w:r>
    </w:p>
    <w:p w14:paraId="7D972E44" w14:textId="77777777" w:rsidR="006F7ACC" w:rsidRPr="005E779E" w:rsidRDefault="006F7ACC"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Предложение поехать работать в Союз Кристи отклонил. Здесь нужно отметить, что Кристи заявил, что заказ правительства на 6 машин он получил после того, как он сообщил в военном департаменте о своем желании поехать работать в Союз. Это заявление весьма правдоподобно. </w:t>
      </w:r>
    </w:p>
    <w:p w14:paraId="2BD6D8F8" w14:textId="77777777" w:rsidR="006F7ACC" w:rsidRPr="005E779E" w:rsidRDefault="006F7ACC"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Я вел переговоры, конечно, не официально с его конструкторами Лейкок и Андерсон с тем, чтобы выявить настроение по вопросу поездки их в Союз. Мнение Андерсона Вам известно и изложено в его письме, адресованном на мое имя. Лейкок вообще к моему последнему приезду из Детройта в Нью-Иорк ушел от Кристи и работает главным инженером одного маленького завода грузовых машин и с танковым делом сейчас не связан. Кроме того, Андерсон заявил мне, что в конце ноября он также уходит от Кристи, организуя свою танковую контору. При этом Андерсон указал, что его первой работой будет модернизация танка T1E1 по увеличению его скорости движения. По его заявлению он уже имел переговоры в военном департаменте. Предложение Андерсона по поводу танка Кристи известно Вам по его письму. </w:t>
      </w:r>
    </w:p>
    <w:p w14:paraId="6C4E7C15" w14:textId="77777777" w:rsidR="006F7ACC" w:rsidRPr="005E779E" w:rsidRDefault="006F7ACC"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Однако все эти заявления требуют проверки, так как у меня есть предположение, что Андерсон работает в полном контакте с Кристи и его предложение есть желание получить 25.000 долларов с другой стороны. </w:t>
      </w:r>
    </w:p>
    <w:p w14:paraId="19FB113D" w14:textId="77777777" w:rsidR="006F7ACC" w:rsidRPr="005E779E" w:rsidRDefault="006F7ACC"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ФИНАНСОВОЕ СОСТОЯНИЕ. </w:t>
      </w:r>
    </w:p>
    <w:p w14:paraId="4FD1224F" w14:textId="77777777" w:rsidR="006F7ACC" w:rsidRPr="005E779E" w:rsidRDefault="006F7ACC"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Финансовое состояние Кристи мало отличается от прошлогоднего. Все финансовые операции по правительственному заказу контролируются м-ром Теффини, и Кристи попрежнему сидит без денег. </w:t>
      </w:r>
    </w:p>
    <w:p w14:paraId="251DFFAD" w14:textId="77777777" w:rsidR="006F7ACC" w:rsidRPr="005E779E" w:rsidRDefault="006F7ACC"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Кристи имел большие затруднения при получении правительственного заказа, т.к. он не имел денег для начала работ, а правительство при выдаче заказа аванса не давало. Деньги были получены через Теффини. Тяжелым финансовым положением и объясняется стремление Кристи получить наши 25.000 долл. </w:t>
      </w:r>
    </w:p>
    <w:p w14:paraId="0AE6548F" w14:textId="77777777" w:rsidR="006F7ACC" w:rsidRPr="005E779E" w:rsidRDefault="006F7ACC"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ВЗАИМООТНОШЕНИЯ С КРИСТИ. </w:t>
      </w:r>
    </w:p>
    <w:p w14:paraId="4146BB14" w14:textId="77777777" w:rsidR="006F7ACC" w:rsidRPr="005E779E" w:rsidRDefault="006F7ACC"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С Кристи мы поддерживаем самые лучшие отношения, и они были сохранены по день моего отъезда в Союз, так что я думаю деловые отношения с Кристи на практической почве могут быть возобновлены в любой момент. </w:t>
      </w:r>
    </w:p>
    <w:p w14:paraId="5183D2E5" w14:textId="77777777" w:rsidR="006F7ACC" w:rsidRPr="005E779E" w:rsidRDefault="006F7ACC"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ПЕРСПЕКТИВЫ. </w:t>
      </w:r>
    </w:p>
    <w:p w14:paraId="493E72DB" w14:textId="77777777" w:rsidR="006F7ACC" w:rsidRPr="005E779E" w:rsidRDefault="006F7ACC"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Нужно признать, что Кристи является солидным экспериментатором, но не является производственником. Несомненно, Кристи будет продолжать работать с новыми образцами, весь вопрос в деньгах. </w:t>
      </w:r>
    </w:p>
    <w:p w14:paraId="7BC92953" w14:textId="77777777" w:rsidR="006F7ACC" w:rsidRPr="005E779E" w:rsidRDefault="006F7ACC"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То, что танк Кристи является по идее шагом вперед, подтверждается той сравнительной демонстрацией на Эбердинском Полигоне 15-тн. танка Т-2 и танка Кристи. По сравнению с танком Кристи, 15-тн. танк в смысле динамики сильно уступал танку Кристи, имея преимущество в вооружении. Танки Кристи на этой демонстрации вызывали видимое одобрение. И если в танке Кристи к настоящему дню имеется ряд недостатков, то это не является причиной к тому, что над этим типом не следует работать. Ведь не зря военный департамент выдал заказ Кристи на 6 танков. Можно предполагать, что будут произведены солидные испытания и исследования этих образцов, на основании которых будут внесены изменения в конструкцию Кристи. </w:t>
      </w:r>
    </w:p>
    <w:p w14:paraId="6F435953" w14:textId="77777777" w:rsidR="006F7ACC" w:rsidRPr="005E779E" w:rsidRDefault="006F7ACC"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подпись В.Д. Свиридова (19767).</w:t>
      </w:r>
    </w:p>
    <w:p w14:paraId="05C6AEE1" w14:textId="77777777" w:rsidR="006F7ACC" w:rsidRPr="005E779E" w:rsidRDefault="006F7ACC" w:rsidP="000B7A6C">
      <w:pPr>
        <w:spacing w:after="0" w:line="240" w:lineRule="auto"/>
        <w:jc w:val="both"/>
        <w:rPr>
          <w:rFonts w:ascii="Times New Roman" w:eastAsia="Times New Roman" w:hAnsi="Times New Roman"/>
          <w:color w:val="000000" w:themeColor="text1"/>
          <w:sz w:val="16"/>
          <w:szCs w:val="16"/>
          <w:lang w:eastAsia="ru-RU"/>
        </w:rPr>
      </w:pPr>
    </w:p>
    <w:p w14:paraId="553C84C6" w14:textId="77777777" w:rsidR="008070AE" w:rsidRPr="00142305" w:rsidRDefault="008070AE" w:rsidP="008070A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14 декабря 1931 года вернувшийся из Америки член НТК УММ РККА В. Сви</w:t>
      </w:r>
      <w:r w:rsidRPr="00142305">
        <w:rPr>
          <w:rFonts w:ascii="Times New Roman" w:hAnsi="Times New Roman"/>
          <w:color w:val="0070C0"/>
          <w:sz w:val="16"/>
          <w:szCs w:val="16"/>
        </w:rPr>
        <w:softHyphen/>
        <w:t>ридов, сообщил:</w:t>
      </w:r>
    </w:p>
    <w:p w14:paraId="0DBE74FA" w14:textId="77777777" w:rsidR="008070AE" w:rsidRPr="00142305" w:rsidRDefault="008070AE" w:rsidP="008070A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«...Впервые я посетил Кристи в начале июля с.г. (по окончании приемки агрега</w:t>
      </w:r>
      <w:r w:rsidRPr="00142305">
        <w:rPr>
          <w:rFonts w:ascii="Times New Roman" w:hAnsi="Times New Roman"/>
          <w:color w:val="0070C0"/>
          <w:sz w:val="16"/>
          <w:szCs w:val="16"/>
        </w:rPr>
        <w:softHyphen/>
        <w:t>тов «Тимкена»). В дальнейшем я встре</w:t>
      </w:r>
      <w:r w:rsidRPr="00142305">
        <w:rPr>
          <w:rFonts w:ascii="Times New Roman" w:hAnsi="Times New Roman"/>
          <w:color w:val="0070C0"/>
          <w:sz w:val="16"/>
          <w:szCs w:val="16"/>
        </w:rPr>
        <w:softHyphen/>
        <w:t>чался с Кристи в его мастерской каждый месяц. В течение октября, перед отъез</w:t>
      </w:r>
      <w:r w:rsidRPr="00142305">
        <w:rPr>
          <w:rFonts w:ascii="Times New Roman" w:hAnsi="Times New Roman"/>
          <w:color w:val="0070C0"/>
          <w:sz w:val="16"/>
          <w:szCs w:val="16"/>
        </w:rPr>
        <w:softHyphen/>
        <w:t>дом в Союз, я был у него несколько раз.</w:t>
      </w:r>
    </w:p>
    <w:p w14:paraId="5E9A5483" w14:textId="77777777" w:rsidR="008070AE" w:rsidRPr="00142305" w:rsidRDefault="008070AE" w:rsidP="008070A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 изготовлении 7 машин для армии САСШ в чертежи было внесено большое количество мелких изменений, упроща</w:t>
      </w:r>
      <w:r w:rsidRPr="00142305">
        <w:rPr>
          <w:rFonts w:ascii="Times New Roman" w:hAnsi="Times New Roman"/>
          <w:color w:val="0070C0"/>
          <w:sz w:val="16"/>
          <w:szCs w:val="16"/>
        </w:rPr>
        <w:softHyphen/>
        <w:t>ющих изготовление. Но так как эти чер</w:t>
      </w:r>
      <w:r w:rsidRPr="00142305">
        <w:rPr>
          <w:rFonts w:ascii="Times New Roman" w:hAnsi="Times New Roman"/>
          <w:color w:val="0070C0"/>
          <w:sz w:val="16"/>
          <w:szCs w:val="16"/>
        </w:rPr>
        <w:softHyphen/>
        <w:t>тежи Кристи под разными предлогами отказывался дать, я достал эти материалы помимо Кристи. В основном нежелание Кристи дать эти изменения объясняются тем, что он все время хочет получить не уплаченные ему 25.000 $, которые были удержаны за невыполнение договора при сдаче двух маши (не сдача рабочих черте</w:t>
      </w:r>
      <w:r w:rsidRPr="00142305">
        <w:rPr>
          <w:rFonts w:ascii="Times New Roman" w:hAnsi="Times New Roman"/>
          <w:color w:val="0070C0"/>
          <w:sz w:val="16"/>
          <w:szCs w:val="16"/>
        </w:rPr>
        <w:softHyphen/>
        <w:t>жей и поставка машин без башен)...</w:t>
      </w:r>
    </w:p>
    <w:p w14:paraId="61A9208C" w14:textId="77777777" w:rsidR="008070AE" w:rsidRPr="00142305" w:rsidRDefault="008070AE" w:rsidP="008070A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Предложение поехать в СССР рабо</w:t>
      </w:r>
      <w:r w:rsidRPr="00142305">
        <w:rPr>
          <w:rFonts w:ascii="Times New Roman" w:hAnsi="Times New Roman"/>
          <w:color w:val="0070C0"/>
          <w:sz w:val="16"/>
          <w:szCs w:val="16"/>
        </w:rPr>
        <w:softHyphen/>
        <w:t>тать Кристи отклонил. Здесь нужно от</w:t>
      </w:r>
      <w:r w:rsidRPr="00142305">
        <w:rPr>
          <w:rFonts w:ascii="Times New Roman" w:hAnsi="Times New Roman"/>
          <w:color w:val="0070C0"/>
          <w:sz w:val="16"/>
          <w:szCs w:val="16"/>
        </w:rPr>
        <w:softHyphen/>
        <w:t>метить, что Кристи заявил, что заказ на Правительства на 7 машин он получил после того, как сообщил в Военном Де</w:t>
      </w:r>
      <w:r w:rsidRPr="00142305">
        <w:rPr>
          <w:rFonts w:ascii="Times New Roman" w:hAnsi="Times New Roman"/>
          <w:color w:val="0070C0"/>
          <w:sz w:val="16"/>
          <w:szCs w:val="16"/>
        </w:rPr>
        <w:softHyphen/>
        <w:t>партаменте о своем желании поехать ра</w:t>
      </w:r>
      <w:r w:rsidRPr="00142305">
        <w:rPr>
          <w:rFonts w:ascii="Times New Roman" w:hAnsi="Times New Roman"/>
          <w:color w:val="0070C0"/>
          <w:sz w:val="16"/>
          <w:szCs w:val="16"/>
        </w:rPr>
        <w:softHyphen/>
        <w:t>ботать в СССР.</w:t>
      </w:r>
    </w:p>
    <w:p w14:paraId="30527779" w14:textId="77777777" w:rsidR="008070AE" w:rsidRPr="00142305" w:rsidRDefault="008070AE" w:rsidP="008070A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...Мы с Кристи поддерживали самые лучшие отношения, и они были сохране</w:t>
      </w:r>
      <w:r w:rsidRPr="00142305">
        <w:rPr>
          <w:rFonts w:ascii="Times New Roman" w:hAnsi="Times New Roman"/>
          <w:color w:val="0070C0"/>
          <w:sz w:val="16"/>
          <w:szCs w:val="16"/>
        </w:rPr>
        <w:softHyphen/>
        <w:t>ны по день моего отъезда в Союз, так что я думаю, деловые отношения с Кристи на практической почве могут быть во</w:t>
      </w:r>
      <w:r w:rsidRPr="00142305">
        <w:rPr>
          <w:rFonts w:ascii="Times New Roman" w:hAnsi="Times New Roman"/>
          <w:color w:val="0070C0"/>
          <w:sz w:val="16"/>
          <w:szCs w:val="16"/>
        </w:rPr>
        <w:softHyphen/>
        <w:t>зобновлены в любой момент» (25009).</w:t>
      </w:r>
    </w:p>
    <w:p w14:paraId="66BE23E9" w14:textId="77777777" w:rsidR="008070AE" w:rsidRPr="00142305" w:rsidRDefault="008070AE" w:rsidP="008070AE">
      <w:pPr>
        <w:spacing w:after="0" w:line="240" w:lineRule="auto"/>
        <w:jc w:val="both"/>
        <w:rPr>
          <w:rFonts w:ascii="Times New Roman" w:hAnsi="Times New Roman"/>
          <w:color w:val="0070C0"/>
          <w:sz w:val="16"/>
          <w:szCs w:val="16"/>
        </w:rPr>
      </w:pPr>
    </w:p>
    <w:p w14:paraId="322FAC9B"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 декабря 1931 г., рассмотрев материалы по испытаниям и заявление Кратирова, председатель и управделами НТК ВОХИМУ, решили: «Тов. Кратиров по своей инициативе разработал химизированную танкетку, которая при испытании дала весьма удовлетворительные результаты и представляется к вводу на вооружение. Для премирования тов. Кратиро-ва отпустить кожаное пальто, стоимость будет НТК Вохиму оплачена» (12253).</w:t>
      </w:r>
    </w:p>
    <w:p w14:paraId="69FD78FE" w14:textId="77777777" w:rsidR="00987BB5" w:rsidRPr="005E779E" w:rsidRDefault="00987BB5" w:rsidP="000B7A6C">
      <w:pPr>
        <w:spacing w:after="0" w:line="240" w:lineRule="auto"/>
        <w:jc w:val="both"/>
        <w:rPr>
          <w:rFonts w:ascii="Times New Roman" w:hAnsi="Times New Roman"/>
          <w:color w:val="000000" w:themeColor="text1"/>
          <w:sz w:val="16"/>
          <w:szCs w:val="16"/>
        </w:rPr>
      </w:pPr>
    </w:p>
    <w:p w14:paraId="67038990" w14:textId="77777777" w:rsidR="000E52C6" w:rsidRPr="005E779E" w:rsidRDefault="000E52C6" w:rsidP="000B7A6C">
      <w:pPr>
        <w:spacing w:after="0" w:line="240" w:lineRule="auto"/>
        <w:jc w:val="both"/>
        <w:rPr>
          <w:rFonts w:ascii="Times New Roman" w:hAnsi="Times New Roman"/>
          <w:color w:val="000000" w:themeColor="text1"/>
          <w:sz w:val="16"/>
          <w:szCs w:val="16"/>
          <w:highlight w:val="green"/>
          <w:shd w:val="clear" w:color="auto" w:fill="000000"/>
        </w:rPr>
      </w:pPr>
      <w:r w:rsidRPr="005E779E">
        <w:rPr>
          <w:rFonts w:ascii="Times New Roman" w:hAnsi="Times New Roman"/>
          <w:color w:val="000000" w:themeColor="text1"/>
          <w:sz w:val="16"/>
          <w:szCs w:val="16"/>
        </w:rPr>
        <w:t>14 декабря 1931 г. Судебным решением Коллегии ОГПУ при СНК СССР Бриллинг освобожден досрочно (21441).</w:t>
      </w:r>
    </w:p>
    <w:p w14:paraId="0DC159AB" w14:textId="77777777" w:rsidR="000E52C6" w:rsidRPr="005E779E" w:rsidRDefault="000E52C6" w:rsidP="000B7A6C">
      <w:pPr>
        <w:pStyle w:val="article-renderblock"/>
        <w:shd w:val="clear" w:color="auto" w:fill="FFFFFF"/>
        <w:spacing w:before="0" w:beforeAutospacing="0" w:after="0" w:afterAutospacing="0"/>
        <w:jc w:val="both"/>
        <w:rPr>
          <w:color w:val="000000" w:themeColor="text1"/>
          <w:sz w:val="16"/>
          <w:szCs w:val="16"/>
        </w:rPr>
      </w:pPr>
    </w:p>
    <w:p w14:paraId="3C179B70" w14:textId="77777777" w:rsidR="00332C4C" w:rsidRPr="005E779E" w:rsidRDefault="00332C4C" w:rsidP="000B7A6C">
      <w:pPr>
        <w:spacing w:after="0" w:line="240" w:lineRule="auto"/>
        <w:jc w:val="both"/>
        <w:rPr>
          <w:rStyle w:val="af0"/>
          <w:rFonts w:ascii="Times New Roman" w:hAnsi="Times New Roman"/>
          <w:i w:val="0"/>
          <w:color w:val="000000" w:themeColor="text1"/>
          <w:sz w:val="16"/>
          <w:szCs w:val="16"/>
        </w:rPr>
      </w:pPr>
      <w:r w:rsidRPr="005E779E">
        <w:rPr>
          <w:rFonts w:ascii="Times New Roman" w:hAnsi="Times New Roman"/>
          <w:bCs/>
          <w:color w:val="000000" w:themeColor="text1"/>
          <w:sz w:val="16"/>
          <w:szCs w:val="16"/>
        </w:rPr>
        <w:t>14 декабря 1931 г. — Докладная записка управляющего объединением «Союзверфь» И. И. Кондратьева заместителю председателя ВСНХ СССР И. П. Павлуновскому о мерах по выполнению программы военного судостроения</w:t>
      </w:r>
    </w:p>
    <w:p w14:paraId="70B2F87E"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Style w:val="af0"/>
          <w:rFonts w:ascii="Times New Roman" w:hAnsi="Times New Roman"/>
          <w:i w:val="0"/>
          <w:color w:val="000000" w:themeColor="text1"/>
          <w:sz w:val="16"/>
          <w:szCs w:val="16"/>
        </w:rPr>
        <w:t>Совершенно секретно.</w:t>
      </w:r>
    </w:p>
    <w:p w14:paraId="1CF3EDB1"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В заседании 9 декабря с. г. у зам. председателя Госплана т. </w:t>
      </w:r>
      <w:hyperlink r:id="rId223" w:history="1">
        <w:r w:rsidRPr="005E779E">
          <w:rPr>
            <w:color w:val="000000" w:themeColor="text1"/>
            <w:sz w:val="16"/>
            <w:szCs w:val="16"/>
          </w:rPr>
          <w:t>Уншлихта</w:t>
        </w:r>
      </w:hyperlink>
      <w:r w:rsidRPr="005E779E">
        <w:rPr>
          <w:color w:val="000000" w:themeColor="text1"/>
          <w:sz w:val="16"/>
          <w:szCs w:val="16"/>
        </w:rPr>
        <w:t xml:space="preserve"> и во всех последующих заседаниях в аппарате ВСНХ СССР и Госплана по вопросам о программе военного судостроения выяснились следующие обстоятельства:</w:t>
      </w:r>
    </w:p>
    <w:p w14:paraId="54F252C7"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1. Правительством утверждена 4</w:t>
      </w:r>
      <w:r w:rsidRPr="005E779E">
        <w:rPr>
          <w:color w:val="000000" w:themeColor="text1"/>
          <w:sz w:val="16"/>
          <w:szCs w:val="16"/>
        </w:rPr>
        <w:noBreakHyphen/>
        <w:t>летняя программа военного судостроения, требующая вложений на производство в 1932 г. 117 млн. руб. Эта программа в 1933 г. возрастает как по затратам, так и по количеству строящихся судов в 3 раза.</w:t>
      </w:r>
    </w:p>
    <w:p w14:paraId="6F5E6DF6"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2. На капитальное строительство 1932 г. предположено отпустить 70 млн. руб. при полном отсутствии импортного контингента.</w:t>
      </w:r>
    </w:p>
    <w:p w14:paraId="14AD761F"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3. На начало постройки новых заводов в Хабаровске и Мариуполе из тех же 70 млн. руб. должно быть выделено 20 млн. руб. для Хабаровского завода; Мариупольский же завод не обеспечивается совершенно вложениями на строительство.</w:t>
      </w:r>
    </w:p>
    <w:p w14:paraId="5D99518F"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4. Импорт судового снабжения (роторы турбин, лопатки, цельнокованые коллекторы и пр.) не обеспечиваются валютными контингентами.</w:t>
      </w:r>
    </w:p>
    <w:p w14:paraId="5DDAD408"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5. По сообщению т. Уншлихта доклад ВСНХ СССР, направленный в Комиссию обороны о мероприятиях, обеспечивающих выполнение морской военной программы, суммы затрат на капитальное строительство поняты как полная стоимость заводов, которые будут заняты выполнением программы, а не как только часть, ассигнуемая на цеха специального назначения. Так, стоимость Хабаровского завода, выражающаяся около 110 млн., сводится к сумме затрат на Осиповский затон — 4 млн. руб.; стоимость Мариупольского завода — 315 млн. руб. — сводится к стоимости специальных цехов — 20 млн. руб.</w:t>
      </w:r>
    </w:p>
    <w:p w14:paraId="2F052521"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6. Из контрольных цифр ВСНХ СССР выпала постройка Уфимского турбиностроительного завода, моторного завода в Рыбинске и ряд прочих специальных заводов, обслуживающих судостроение выполнением контрагентских заказов.</w:t>
      </w:r>
    </w:p>
    <w:p w14:paraId="736E1DE1"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Для того чтобы военная судостроительная программа была обеспечена выполнением в указанный правительством 4</w:t>
      </w:r>
      <w:r w:rsidRPr="005E779E">
        <w:rPr>
          <w:color w:val="000000" w:themeColor="text1"/>
          <w:sz w:val="16"/>
          <w:szCs w:val="16"/>
        </w:rPr>
        <w:noBreakHyphen/>
        <w:t>летний срок и не потерпела бы срывов по причине неподготовленности «Союзверфи» и промышленности в целом, считаем необходимым немедленно доложить Вам о следующем:</w:t>
      </w:r>
    </w:p>
    <w:p w14:paraId="627D3819"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1. Для того чтобы без вреда для программы коммерческого судостроения в 1932 г. и почти полного прекращения его в 1933 и 1934 гг. на Балтийском заводе и НГЗ [им.] «Марти», необходимо создать ряд специальных цехов (сборочно-установочных, специальных механических, мортонов эллинг, оборудованных набережных и т. п.) на существующих заводах. Эти специальные сооружения требуют затрат не менее 78 млн. руб., о чем нами неоднократно докладывалось в МПС ВСНХ СССР. При этом, ввиду того что мы должны ввести на своих заводах ряд новых производств для оборудовании военных судов (турбины, эсминцев на Северной верфи и НГЗ [им.] «Марти», изготовление специальной арматуры высокого давления паровой, воздушной и т. п. на Балтийском заводе, Северной верфи, Судомехе, НГЗ «Марти» и т. д.), необходимо дооборудовать заводы приобретением станков, не изготавливающихся в СССР. На Северную верфь в текущем году уже будет завезено некоторое количество станков для обработки турбин, но для создания комплектности в оборудовании в 1932 г. потребуется ввоз ряда недостающих станков.</w:t>
      </w:r>
    </w:p>
    <w:p w14:paraId="78DDFE8E"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Транспортные средства заводов (железнодорожные краны, стапельные краны, портальные краны) настолько ничтожны, что выполнение программы военной поставлено будет, особенно в 1933 г., под несомненную угрозу срыва.</w:t>
      </w:r>
    </w:p>
    <w:p w14:paraId="777B87DE"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Снижение лимита капитальных затрат в 1932 г. до 50 млн. для существующих заводов при полном отсутствии порта лишает «Союзверфь» возможности подготовиться к выполнению военной судостроительной программы 1933 г. Мы считаем необходимым просить увеличить лимит капитальных затрат на реконструкцию существующих заводов до 78 млн. руб. и обеспечить импорт заводского оборудования (станков, специальных кранов и пр.) в сумме не менее 1,7 млн. руб.</w:t>
      </w:r>
    </w:p>
    <w:p w14:paraId="59183A45"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2. На постройку новых заводов из общего лимита в 70 млн. руб., намеченного ВСНХ, 20 млн. руб. бронируется для строительства Хабаровского завода и в том числе около 4 млн. будет ассигновано на подготовку к сборке судов Осиповского затона начиная с 1932 г.</w:t>
      </w:r>
    </w:p>
    <w:p w14:paraId="11805531"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Считаем необходимым немедленно указать, что строительство Хабаровского завода (основного) для своего правильного развития и возможности подготовиться к закладке судов (эсминцев и эс[кадренных] подлодок) в 1933 г. должно быть начато с производства землечерпательных и рефулерных работ. Эти работы по плану, намеченному нами, должны были начаться с лета 1932 г. Для выполнения их к этому сроку в Хабаровск должен быть заброшен землечерпательный караван (3</w:t>
      </w:r>
      <w:r w:rsidRPr="005E779E">
        <w:rPr>
          <w:color w:val="000000" w:themeColor="text1"/>
          <w:sz w:val="16"/>
          <w:szCs w:val="16"/>
        </w:rPr>
        <w:noBreakHyphen/>
        <w:t>4 снаряда), который может быть приобретен только за границей (Германия или Америка). Стоимость этого каравана с буксировкой его к месту работ определяется приблизительно в 2 млн. руб. Если эта сумма не будет ассигнована Хабаровскому строительству в валюте, то землечерпательные работы в 1932 г. начаты не будут, а, следовательно, завод не подготовится к закладке судов в 1933 г. Мариупольский завод, который тоже должен подготовиться к закладке эсминцев и эс[кадренных] подлодок с 1933 г., совершенно не обеспечен средствами на строительство 1932 г., следовательно, и этот завод не подготовится к закладке судов в намеченный четырехлетним планом срок.</w:t>
      </w:r>
    </w:p>
    <w:p w14:paraId="0350F067"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Таким образом, оба новых завода, участие которых в выполнении 4-летней военной судостроительной программы обязательно начиная с 1933 г., по причине недостаточного и неправильного финансирования своевременно в эксплуатацию не вступят, а следовательно, и программа в намеченный срок выполнена не будет. При этом надо иметь в виду, что цеха специального судостроения этих заводов, даже если они и будут построены к намеченному сроку, не смогут существовать самостоятельно без соответствующей готовности основных заводов. Стоимость же этих заводов выражается в суммах не по 20</w:t>
      </w:r>
      <w:r w:rsidRPr="005E779E">
        <w:rPr>
          <w:color w:val="000000" w:themeColor="text1"/>
          <w:sz w:val="16"/>
          <w:szCs w:val="16"/>
        </w:rPr>
        <w:noBreakHyphen/>
        <w:t>22 млн., как указывается в докладе ВСНХ СССР, а ориентировочно по Хабаровскому заводу она достигает 110 млн. руб. с жилстроительством и по Мариупольскому — 315 млн. руб. тоже с жилстроительством.</w:t>
      </w:r>
    </w:p>
    <w:p w14:paraId="53234A5A"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3. Готовностью заводов «Союзверфи», являющихся в основном сборочными верфями, не исчерпываются мероприятия, необходимые для того, чтобы судостроительная программа была бы выполнена в срок и морское командование получило бы в этот срок боеспособные суда. Необходима подготовка столь же тщательная и также требующая значительных затрат контрагентской для судостроения промышленности. В первую очередь должна быть подготовлена совершенно своевременно база для постройки морских быстроходных мощных турбин для эсминцев и крейсеров.</w:t>
      </w:r>
    </w:p>
    <w:p w14:paraId="0BE83B9D"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Турбинный цех Северной верфи после его полной реконструкции и оборудования будет выпускать 300 тыс. сил турбинных механизмов в год. Все остальные турбинные механизмы в количестве около 1 млн. сил в год, начиная с 1933 и кончая 1935 г., должны быть поданы «Союзверфи» с заводов Котлотурбины. По сообщению Котлотурбины таким заводом должен был явиться Уфимский завод, постройку которого предположено было начать в текущем же году и форсировать в 1932 г. Выпадение строительства этого завода из контрольных цифр 1932 г. для «Союзверфи» совершенно непонятно и внушает очень серьезное опасение в том, что даже своевременно построенные на судостроительных заводах суда не будут снабжены механизмами, а, следовательно, вся программа по военному судостроению будет сорвана. Точно в таком же положении из-за неподготовленности промышленности за 1932 г. окажется постройка подводных лодок всех типов, торпедных катеров и пр.</w:t>
      </w:r>
    </w:p>
    <w:p w14:paraId="6743A324"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Из изложенного явствует, что все мероприятия, предусмотренные докладом МПС ВСНХ СССР в Комиссию обороны по подготовке контрагентской промышленности, должны форсироваться и обеспечиваться капиталовложениями и импортными контингентами совершенно так же, как и мероприятия на судостроительных заводах, не отставая от последних, ибо в противном случае вся 4</w:t>
      </w:r>
      <w:r w:rsidRPr="005E779E">
        <w:rPr>
          <w:color w:val="000000" w:themeColor="text1"/>
          <w:sz w:val="16"/>
          <w:szCs w:val="16"/>
        </w:rPr>
        <w:noBreakHyphen/>
        <w:t>летняя морская военная судостроительная программа окажется по всем типам судов не выполненной не только в намеченный срок, но и вообще.</w:t>
      </w:r>
    </w:p>
    <w:p w14:paraId="28D68342"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4. Изложенные в 1</w:t>
      </w:r>
      <w:r w:rsidRPr="005E779E">
        <w:rPr>
          <w:color w:val="000000" w:themeColor="text1"/>
          <w:sz w:val="16"/>
          <w:szCs w:val="16"/>
        </w:rPr>
        <w:noBreakHyphen/>
        <w:t>м и 2</w:t>
      </w:r>
      <w:r w:rsidRPr="005E779E">
        <w:rPr>
          <w:color w:val="000000" w:themeColor="text1"/>
          <w:sz w:val="16"/>
          <w:szCs w:val="16"/>
        </w:rPr>
        <w:noBreakHyphen/>
        <w:t>м параграфах претензии «Союзверфи» по линии капитального строительства (78 млн. руб., капзатрат при импорте оборудования на сумму 1,7 млн. руб. плюс 2 млн. руб.) предусматривают подготовку в течение 1932 г. всех специальных цехов и сооружений для выполнения морской военной программы. Как и сказано, выше такой объем капиталовложений почти полностью переводит Балтийский завод в Ленинграде и НГЗ «Марти» в Николаеве на военное судостроение, и коммерческое судостроение на этих заводах почти полностью прекращается вследствие недостаточности мощности корпусных цехов и стапельных мест для продолжения последнего. На Северной верфи при этом также часть стапелей будет занята эсминцами за счет сокращения в 1933 и 1934 гг. программы по коммерческому судостроению.</w:t>
      </w:r>
    </w:p>
    <w:p w14:paraId="48763306"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Так как суда коммерческого флота в случае войны должны сопутствовать военному флоту как вспомогательные средства (десантные операции, снабженческие функции и пр.) и, кроме того, надобность в коммерческом флоте категорически диктует максимальное развитие судостроения, а не сокращение его, то отсюда вытекает совершенно ясная необходимость отпуска средств на капитальное строительство заводов «Союзверфи» в таком размере, чтобы коммерческое судостроение не пострадало бы от обязательства выполнить в срок 4</w:t>
      </w:r>
      <w:r w:rsidRPr="005E779E">
        <w:rPr>
          <w:color w:val="000000" w:themeColor="text1"/>
          <w:sz w:val="16"/>
          <w:szCs w:val="16"/>
        </w:rPr>
        <w:noBreakHyphen/>
        <w:t>летнюю судостроительную программу по военному судостроению. Минимальной суммой капитальных затрат 1932 г. для подготовки к производству 1933 г. как по военному, так и по коммерческому судостроению является сумма около 120 млн. руб.</w:t>
      </w:r>
    </w:p>
    <w:p w14:paraId="799041EC"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Для новых заводов в Мариуполе и Хабаровске необходимо ассигновать не менее чем по 20 млн. руб. для подготовки их с конца 1933 г. к эксплуатации, при этом Осиповский затон при затрате около 4 млн. руб. вступит в эксплуатацию с 1932 г.</w:t>
      </w:r>
    </w:p>
    <w:p w14:paraId="2E3DE549"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 xml:space="preserve">Одновременно </w:t>
      </w:r>
      <w:r w:rsidRPr="005E779E">
        <w:rPr>
          <w:rStyle w:val="af0"/>
          <w:i w:val="0"/>
          <w:color w:val="000000" w:themeColor="text1"/>
          <w:sz w:val="16"/>
          <w:szCs w:val="16"/>
        </w:rPr>
        <w:t>с</w:t>
      </w:r>
      <w:r w:rsidRPr="005E779E">
        <w:rPr>
          <w:color w:val="000000" w:themeColor="text1"/>
          <w:sz w:val="16"/>
          <w:szCs w:val="16"/>
        </w:rPr>
        <w:t xml:space="preserve"> увеличением общей суммы затрат категорически необходимо выделение импортных контингентов в сумме 1,7 млн. руб. для существующих заводов и 2 млн. руб. для землечерпательного каравана в Хабаровск. Импортное оборудование цехов Хабаровского завода и Мариупольского завода может быть завезено за счет контингентов 1933 г., но обязательно в течение первого полугодия этого года.</w:t>
      </w:r>
    </w:p>
    <w:p w14:paraId="1791E063"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lastRenderedPageBreak/>
        <w:t>Сообщая изложенное, прошу Ваших распоряжений по затронутым вопросам в самый кратчайший срок, так как запоздание к подготовке как заводов «Союзверфи», так и заводов контрагентской промышленности к заданной правительством 4</w:t>
      </w:r>
      <w:r w:rsidRPr="005E779E">
        <w:rPr>
          <w:color w:val="000000" w:themeColor="text1"/>
          <w:sz w:val="16"/>
          <w:szCs w:val="16"/>
        </w:rPr>
        <w:noBreakHyphen/>
        <w:t>летней программе по морскому военному судостроению самим пагубным образом отразится на последней.</w:t>
      </w:r>
    </w:p>
    <w:p w14:paraId="5259F8A6" w14:textId="77777777" w:rsidR="00987BB5" w:rsidRPr="005E779E" w:rsidRDefault="00987BB5" w:rsidP="000B7A6C">
      <w:pPr>
        <w:pStyle w:val="ae"/>
        <w:spacing w:before="0" w:after="0"/>
        <w:jc w:val="both"/>
        <w:rPr>
          <w:color w:val="000000" w:themeColor="text1"/>
          <w:sz w:val="16"/>
          <w:szCs w:val="16"/>
        </w:rPr>
      </w:pPr>
      <w:r w:rsidRPr="005E779E">
        <w:rPr>
          <w:rStyle w:val="af0"/>
          <w:i w:val="0"/>
          <w:color w:val="000000" w:themeColor="text1"/>
          <w:sz w:val="16"/>
          <w:szCs w:val="16"/>
        </w:rPr>
        <w:t>Управляющий «Союзверфью» Кондратьев И. И.</w:t>
      </w:r>
    </w:p>
    <w:p w14:paraId="60A4EB78" w14:textId="77777777" w:rsidR="00987BB5" w:rsidRPr="005E779E" w:rsidRDefault="00987BB5" w:rsidP="000B7A6C">
      <w:pPr>
        <w:pStyle w:val="ae"/>
        <w:spacing w:before="0" w:after="0"/>
        <w:jc w:val="both"/>
        <w:rPr>
          <w:color w:val="000000" w:themeColor="text1"/>
          <w:sz w:val="16"/>
          <w:szCs w:val="16"/>
        </w:rPr>
      </w:pPr>
      <w:r w:rsidRPr="005E779E">
        <w:rPr>
          <w:rStyle w:val="af0"/>
          <w:i w:val="0"/>
          <w:color w:val="000000" w:themeColor="text1"/>
          <w:sz w:val="16"/>
          <w:szCs w:val="16"/>
        </w:rPr>
        <w:t>Зам. начальника сектора капработ «Союзверфи» Штагер В. В.</w:t>
      </w:r>
    </w:p>
    <w:p w14:paraId="31EA3B67" w14:textId="77777777" w:rsidR="00987BB5" w:rsidRPr="005E779E" w:rsidRDefault="00987BB5" w:rsidP="000B7A6C">
      <w:pPr>
        <w:pStyle w:val="ae"/>
        <w:spacing w:before="0" w:after="0"/>
        <w:jc w:val="both"/>
        <w:rPr>
          <w:color w:val="000000" w:themeColor="text1"/>
          <w:sz w:val="16"/>
          <w:szCs w:val="16"/>
        </w:rPr>
      </w:pPr>
      <w:r w:rsidRPr="005E779E">
        <w:rPr>
          <w:rStyle w:val="af0"/>
          <w:i w:val="0"/>
          <w:color w:val="000000" w:themeColor="text1"/>
          <w:sz w:val="16"/>
          <w:szCs w:val="16"/>
        </w:rPr>
        <w:t>Примечание</w:t>
      </w:r>
      <w:r w:rsidRPr="005E779E">
        <w:rPr>
          <w:color w:val="000000" w:themeColor="text1"/>
          <w:sz w:val="16"/>
          <w:szCs w:val="16"/>
        </w:rPr>
        <w:t>:</w:t>
      </w:r>
    </w:p>
    <w:p w14:paraId="01F5ABF9"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vertAlign w:val="superscript"/>
        </w:rPr>
        <w:t>1</w:t>
      </w:r>
      <w:r w:rsidRPr="005E779E">
        <w:rPr>
          <w:color w:val="000000" w:themeColor="text1"/>
          <w:sz w:val="16"/>
          <w:szCs w:val="16"/>
        </w:rPr>
        <w:t>* Копии направлены зам. председателя Госплана СССР И. С. Уншлихту и правлению «Союзверфи».</w:t>
      </w:r>
    </w:p>
    <w:p w14:paraId="48D322DC" w14:textId="77777777" w:rsidR="00987BB5" w:rsidRPr="005E779E" w:rsidRDefault="00987BB5" w:rsidP="000B7A6C">
      <w:pPr>
        <w:pStyle w:val="ae"/>
        <w:spacing w:before="0" w:after="0"/>
        <w:jc w:val="both"/>
        <w:rPr>
          <w:color w:val="000000" w:themeColor="text1"/>
          <w:sz w:val="16"/>
          <w:szCs w:val="16"/>
        </w:rPr>
      </w:pPr>
      <w:r w:rsidRPr="005E779E">
        <w:rPr>
          <w:color w:val="000000" w:themeColor="text1"/>
          <w:sz w:val="16"/>
          <w:szCs w:val="16"/>
        </w:rPr>
        <w:t>РГАЭ. Ф. 4372. Оп. 91. Д. 1096. Л. 133—132 об. Подлинник.</w:t>
      </w:r>
    </w:p>
    <w:p w14:paraId="66ED1CA0"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Архив: РГАЭ. Ф. 4372. Оп. 91. Д. 1096. Л. 133—132 об. Подлинник. </w:t>
      </w:r>
    </w:p>
    <w:p w14:paraId="31701AA4"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Источник: Становление оборонно-промышленного комплекса СССР (1927-1932). М. 2008, стр. 588-591 (12541).</w:t>
      </w:r>
    </w:p>
    <w:p w14:paraId="34BACA5D" w14:textId="77777777" w:rsidR="00987BB5" w:rsidRPr="005E779E" w:rsidRDefault="00987BB5" w:rsidP="000B7A6C">
      <w:pPr>
        <w:spacing w:after="0" w:line="240" w:lineRule="auto"/>
        <w:jc w:val="both"/>
        <w:rPr>
          <w:rFonts w:ascii="Times New Roman" w:hAnsi="Times New Roman"/>
          <w:color w:val="000000" w:themeColor="text1"/>
          <w:sz w:val="16"/>
          <w:szCs w:val="16"/>
        </w:rPr>
      </w:pPr>
    </w:p>
    <w:p w14:paraId="7CF221E1"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700ABB9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6CC27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декабря 1931 Дир. Завода № 39 Клевцов и Пом. Директора по техчасти Ермолаев писали письмо № 318/сзд Нач. ЦАГИ т. Пауфлер</w:t>
      </w:r>
    </w:p>
    <w:p w14:paraId="411C5B7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 ет И-5 с мот. 2М15 имевший вынужденную посадку требует для восстановления выполнения сле</w:t>
      </w:r>
      <w:r w:rsidRPr="005E779E">
        <w:rPr>
          <w:rFonts w:ascii="Times New Roman" w:hAnsi="Times New Roman"/>
          <w:color w:val="000000" w:themeColor="text1"/>
          <w:sz w:val="16"/>
          <w:szCs w:val="16"/>
        </w:rPr>
        <w:softHyphen/>
        <w:t>дующих работ:</w:t>
      </w:r>
    </w:p>
    <w:p w14:paraId="77ECCE3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Замена всей хвостовой части фюзеляжа.</w:t>
      </w:r>
    </w:p>
    <w:p w14:paraId="52B0482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 шасси.</w:t>
      </w:r>
    </w:p>
    <w:p w14:paraId="4FCE071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Ремонт плоскостей.</w:t>
      </w:r>
    </w:p>
    <w:p w14:paraId="2DF208C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Переделка капотов.</w:t>
      </w:r>
    </w:p>
    <w:p w14:paraId="39472F2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 оперения. .</w:t>
      </w:r>
    </w:p>
    <w:p w14:paraId="7AE7DC5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Устранение мелких производственных дефектов,</w:t>
      </w:r>
    </w:p>
    <w:p w14:paraId="2BFD60F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подсчетам, сданным по предварительной калькуляции выходит, что разборка и переделка самолета достигает значительной суммы, приближающейся к стоимости нового самолета.</w:t>
      </w:r>
    </w:p>
    <w:p w14:paraId="327D5F0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виду того, что в настоящее время на заводе строятся два самолета под моторы 2МТ5 /И5 № 18 улучш./ и учитывая стоимость восстановления самолета, имев</w:t>
      </w:r>
      <w:r w:rsidRPr="005E779E">
        <w:rPr>
          <w:rFonts w:ascii="Times New Roman" w:hAnsi="Times New Roman"/>
          <w:color w:val="000000" w:themeColor="text1"/>
          <w:sz w:val="16"/>
          <w:szCs w:val="16"/>
        </w:rPr>
        <w:softHyphen/>
        <w:t>шего аварию, завод № 39 просит Вас самолет № 18 /имевший аварию/ разобрать на запасные части и заказ закрыть (10757).</w:t>
      </w:r>
    </w:p>
    <w:p w14:paraId="0EB2BEE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532C7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декабря 1931 года в НИИ ВВС было получено письмо № 1547с от Алксниса Наумову, Меженинову, Аузану, Жарову:</w:t>
      </w:r>
    </w:p>
    <w:p w14:paraId="63DE9F8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Дело с рассмотрением и реализацией ценных предложений изобретателей и рационализаторов у нас обстоит из рук вон плохо, гл. образом потому, что оно идет самотеком: нет лиц организующих это дело и отвечающих за его состояние, нет и заданий с нашей стороны изобретателям и рационализаторам ………………………..</w:t>
      </w:r>
    </w:p>
    <w:p w14:paraId="6E9C1D5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будущее предлагаю:</w:t>
      </w:r>
    </w:p>
    <w:p w14:paraId="761F98FB"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КБ Гроховского с мастерской выделить в самостоятельное особое конструкторское бюро наподобие того, как работают бюро Ниренберга, Майзеля и др. с переводом его на строгий хозрасчет. Более подробные указания на этот счет мною Вам даны особой запиской.</w:t>
      </w:r>
    </w:p>
    <w:p w14:paraId="353CBC83"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Это же КБ Гроховского будет в дальнейшем реализовывать часть наиболее ценных предложений рационализаторов и изобретателей.</w:t>
      </w:r>
    </w:p>
    <w:p w14:paraId="7618B3A5"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составе НИИ создать небольшой сектор или отдел по рассмотрению и реализации предложений изобретателей и рационализаторов ………………………(6770, 53).</w:t>
      </w:r>
    </w:p>
    <w:p w14:paraId="2CB0BAC7" w14:textId="77777777" w:rsidR="005C4849" w:rsidRPr="005E779E" w:rsidRDefault="005C4849" w:rsidP="000B7A6C">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FA2542" w14:textId="77777777" w:rsidR="00332C4C" w:rsidRPr="005E779E" w:rsidRDefault="00332C4C" w:rsidP="000B7A6C">
      <w:pPr>
        <w:pStyle w:val="28"/>
        <w:shd w:val="clear" w:color="auto" w:fill="auto"/>
        <w:spacing w:before="0" w:line="240" w:lineRule="auto"/>
        <w:jc w:val="both"/>
        <w:rPr>
          <w:rFonts w:ascii="Times New Roman" w:hAnsi="Times New Roman" w:cs="Times New Roman"/>
          <w:color w:val="000000" w:themeColor="text1"/>
          <w:sz w:val="16"/>
          <w:szCs w:val="16"/>
        </w:rPr>
      </w:pPr>
      <w:r w:rsidRPr="005E779E">
        <w:rPr>
          <w:rFonts w:ascii="Times New Roman" w:hAnsi="Times New Roman" w:cs="Times New Roman"/>
          <w:color w:val="000000" w:themeColor="text1"/>
          <w:sz w:val="16"/>
          <w:szCs w:val="16"/>
        </w:rPr>
        <w:t>15 декабря 1931 г. Письмо-запрос № 1953с начальника ЦКБ ЦАГИ С.В. Ильюшина в Комитет по изобретательству при СТО СССР о причинах задержки рассмотрения изобретения С.С. Кричевского «Самолет»</w:t>
      </w:r>
    </w:p>
    <w:p w14:paraId="21741AF6" w14:textId="77777777" w:rsidR="00332C4C" w:rsidRPr="005E779E" w:rsidRDefault="00332C4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Секретно</w:t>
      </w:r>
    </w:p>
    <w:p w14:paraId="7E3B1BDE" w14:textId="77777777" w:rsidR="00332C4C" w:rsidRPr="005E779E" w:rsidRDefault="00332C4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Письмом от 30 октября 1931 г. № К6-24 мы запросили Комитет о причинах задержки в рассмотрении дела по изобретению С.С. Кричев</w:t>
      </w:r>
      <w:r w:rsidRPr="005E779E">
        <w:rPr>
          <w:rFonts w:ascii="Times New Roman" w:hAnsi="Times New Roman"/>
          <w:color w:val="000000" w:themeColor="text1"/>
          <w:sz w:val="16"/>
          <w:szCs w:val="16"/>
        </w:rPr>
        <w:softHyphen/>
        <w:t>ского под названием «САМОЛЕТ». Ответа на это письмо мы не получи</w:t>
      </w:r>
      <w:r w:rsidRPr="005E779E">
        <w:rPr>
          <w:rFonts w:ascii="Times New Roman" w:hAnsi="Times New Roman"/>
          <w:color w:val="000000" w:themeColor="text1"/>
          <w:sz w:val="16"/>
          <w:szCs w:val="16"/>
        </w:rPr>
        <w:softHyphen/>
        <w:t>ли. Имея в виду:</w:t>
      </w:r>
    </w:p>
    <w:p w14:paraId="3CA8FEF2" w14:textId="77777777" w:rsidR="00332C4C" w:rsidRPr="005E779E" w:rsidRDefault="00332C4C" w:rsidP="000B7A6C">
      <w:pPr>
        <w:tabs>
          <w:tab w:val="left" w:pos="842"/>
        </w:tabs>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что заявка сделана изобретателем более двух лет тому назад (20 декабря 1929 г.) и</w:t>
      </w:r>
    </w:p>
    <w:p w14:paraId="3A4967F3" w14:textId="77777777" w:rsidR="00332C4C" w:rsidRPr="005E779E" w:rsidRDefault="00332C4C" w:rsidP="000B7A6C">
      <w:pPr>
        <w:tabs>
          <w:tab w:val="left" w:pos="827"/>
        </w:tabs>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что движение этого изобретения и сделанной заявки представ</w:t>
      </w:r>
      <w:r w:rsidRPr="005E779E">
        <w:rPr>
          <w:rFonts w:ascii="Times New Roman" w:hAnsi="Times New Roman"/>
          <w:color w:val="000000" w:themeColor="text1"/>
          <w:sz w:val="16"/>
          <w:szCs w:val="16"/>
        </w:rPr>
        <w:softHyphen/>
        <w:t>ляет интерес и для ЦКБ, просьба</w:t>
      </w:r>
      <w:r w:rsidRPr="005E779E">
        <w:rPr>
          <w:rStyle w:val="aff8"/>
          <w:rFonts w:ascii="Times New Roman" w:hAnsi="Times New Roman" w:cs="Times New Roman"/>
          <w:b w:val="0"/>
          <w:color w:val="000000" w:themeColor="text1"/>
          <w:spacing w:val="0"/>
          <w:sz w:val="16"/>
          <w:szCs w:val="16"/>
        </w:rPr>
        <w:t xml:space="preserve"> без дальнейшего,</w:t>
      </w:r>
      <w:r w:rsidRPr="005E779E">
        <w:rPr>
          <w:rFonts w:ascii="Times New Roman" w:hAnsi="Times New Roman"/>
          <w:color w:val="000000" w:themeColor="text1"/>
          <w:sz w:val="16"/>
          <w:szCs w:val="16"/>
        </w:rPr>
        <w:t xml:space="preserve"> по возможности,</w:t>
      </w:r>
      <w:r w:rsidRPr="005E779E">
        <w:rPr>
          <w:rStyle w:val="aff8"/>
          <w:rFonts w:ascii="Times New Roman" w:hAnsi="Times New Roman" w:cs="Times New Roman"/>
          <w:b w:val="0"/>
          <w:color w:val="000000" w:themeColor="text1"/>
          <w:spacing w:val="0"/>
          <w:sz w:val="16"/>
          <w:szCs w:val="16"/>
        </w:rPr>
        <w:t xml:space="preserve"> про</w:t>
      </w:r>
      <w:r w:rsidRPr="005E779E">
        <w:rPr>
          <w:rStyle w:val="aff8"/>
          <w:rFonts w:ascii="Times New Roman" w:hAnsi="Times New Roman" w:cs="Times New Roman"/>
          <w:b w:val="0"/>
          <w:color w:val="000000" w:themeColor="text1"/>
          <w:spacing w:val="0"/>
          <w:sz w:val="16"/>
          <w:szCs w:val="16"/>
        </w:rPr>
        <w:softHyphen/>
        <w:t>медления</w:t>
      </w:r>
      <w:r w:rsidRPr="005E779E">
        <w:rPr>
          <w:rFonts w:ascii="Times New Roman" w:hAnsi="Times New Roman"/>
          <w:color w:val="000000" w:themeColor="text1"/>
          <w:sz w:val="16"/>
          <w:szCs w:val="16"/>
        </w:rPr>
        <w:t xml:space="preserve"> указать, в чем заключается затруднение Комитета в связи с этой заявкой.</w:t>
      </w:r>
    </w:p>
    <w:p w14:paraId="2D25AD8B" w14:textId="77777777" w:rsidR="00332C4C" w:rsidRPr="005E779E" w:rsidRDefault="00332C4C" w:rsidP="000B7A6C">
      <w:pPr>
        <w:tabs>
          <w:tab w:val="left" w:pos="5042"/>
        </w:tabs>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 ЦКБ</w:t>
      </w:r>
      <w:r w:rsidRPr="005E779E">
        <w:rPr>
          <w:rFonts w:ascii="Times New Roman" w:hAnsi="Times New Roman"/>
          <w:color w:val="000000" w:themeColor="text1"/>
          <w:sz w:val="16"/>
          <w:szCs w:val="16"/>
        </w:rPr>
        <w:tab/>
        <w:t>С.В. Ильюшин</w:t>
      </w:r>
    </w:p>
    <w:p w14:paraId="197F864A" w14:textId="77777777" w:rsidR="00332C4C" w:rsidRPr="005E779E" w:rsidRDefault="00332C4C" w:rsidP="000B7A6C">
      <w:pPr>
        <w:tabs>
          <w:tab w:val="left" w:pos="5046"/>
        </w:tabs>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начальника патентного отдела</w:t>
      </w:r>
      <w:r w:rsidRPr="005E779E">
        <w:rPr>
          <w:rFonts w:ascii="Times New Roman" w:hAnsi="Times New Roman"/>
          <w:color w:val="000000" w:themeColor="text1"/>
          <w:sz w:val="16"/>
          <w:szCs w:val="16"/>
        </w:rPr>
        <w:tab/>
        <w:t>Пастушенко</w:t>
      </w:r>
    </w:p>
    <w:p w14:paraId="4C4F81B9" w14:textId="77777777" w:rsidR="00332C4C" w:rsidRPr="005E779E" w:rsidRDefault="00332C4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Филиал РГАНТД. Ф. Р-1. Оп. 47-5. Д. 538. Л. 55. Подлинник (15633).</w:t>
      </w:r>
    </w:p>
    <w:p w14:paraId="213082EE" w14:textId="77777777" w:rsidR="00332C4C" w:rsidRPr="005E779E" w:rsidRDefault="00332C4C" w:rsidP="000B7A6C">
      <w:pPr>
        <w:spacing w:after="0" w:line="240" w:lineRule="auto"/>
        <w:jc w:val="both"/>
        <w:rPr>
          <w:rFonts w:ascii="Times New Roman" w:hAnsi="Times New Roman"/>
          <w:color w:val="000000" w:themeColor="text1"/>
          <w:sz w:val="16"/>
          <w:szCs w:val="16"/>
        </w:rPr>
      </w:pPr>
    </w:p>
    <w:p w14:paraId="5D1BAD71" w14:textId="77777777" w:rsidR="00332C4C" w:rsidRPr="005E779E" w:rsidRDefault="00332C4C" w:rsidP="000B7A6C">
      <w:pPr>
        <w:spacing w:after="0" w:line="240" w:lineRule="auto"/>
        <w:jc w:val="both"/>
        <w:rPr>
          <w:rStyle w:val="af0"/>
          <w:rFonts w:ascii="Times New Roman" w:hAnsi="Times New Roman"/>
          <w:i w:val="0"/>
          <w:color w:val="000000" w:themeColor="text1"/>
          <w:sz w:val="16"/>
          <w:szCs w:val="16"/>
        </w:rPr>
      </w:pPr>
      <w:r w:rsidRPr="005E779E">
        <w:rPr>
          <w:rFonts w:ascii="Times New Roman" w:hAnsi="Times New Roman"/>
          <w:bCs/>
          <w:color w:val="000000" w:themeColor="text1"/>
          <w:sz w:val="16"/>
          <w:szCs w:val="16"/>
        </w:rPr>
        <w:t>15 декабря 1931 г. — Доклад Сектора обороны Госплана СССР председателю Комиссии обороны В. М. Молотову о необходимости увеличения затрат на капитальное строительство в связи мобилизационной подготовкой</w:t>
      </w:r>
    </w:p>
    <w:p w14:paraId="09D99EBF"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Style w:val="af0"/>
          <w:rFonts w:ascii="Times New Roman" w:hAnsi="Times New Roman"/>
          <w:i w:val="0"/>
          <w:color w:val="000000" w:themeColor="text1"/>
          <w:sz w:val="16"/>
          <w:szCs w:val="16"/>
        </w:rPr>
        <w:t>Совершенно секретно.</w:t>
      </w:r>
    </w:p>
    <w:p w14:paraId="7CABBEEE"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В плане капитального строительства по машиностроению на 1932 г. предусмотрены специальные работы по мобилизационной подготовке на сумму 43 млн. руб. Общая же потребность выражается в 132 млн. руб.; таким образом, остается необеспеченными капитальные работы на сумму 89 млн. руб.</w:t>
      </w:r>
    </w:p>
    <w:p w14:paraId="63C89D7B" w14:textId="77777777" w:rsidR="00987BB5" w:rsidRPr="005E779E" w:rsidRDefault="00987BB5" w:rsidP="000B7A6C">
      <w:pPr>
        <w:pStyle w:val="rtejustify"/>
        <w:spacing w:before="0" w:after="0"/>
        <w:rPr>
          <w:color w:val="000000" w:themeColor="text1"/>
          <w:sz w:val="16"/>
          <w:szCs w:val="16"/>
        </w:rPr>
      </w:pPr>
      <w:r w:rsidRPr="005E779E">
        <w:rPr>
          <w:rStyle w:val="af0"/>
          <w:i w:val="0"/>
          <w:color w:val="000000" w:themeColor="text1"/>
          <w:sz w:val="16"/>
          <w:szCs w:val="16"/>
        </w:rPr>
        <w:t>Танкостроение.</w:t>
      </w:r>
      <w:r w:rsidRPr="005E779E">
        <w:rPr>
          <w:color w:val="000000" w:themeColor="text1"/>
          <w:sz w:val="16"/>
          <w:szCs w:val="16"/>
        </w:rPr>
        <w:t xml:space="preserve"> Постановлением Комиссии обороны от 1 августа с. г., пр[отокол] № 12, предложено к концу 1932 г. создать реально обеспеченную мощность по годовой подаче танков 40 тыс. ед. и по броне для обеспечения танковой программы — 65 тыс. т. Ориентировочные затраты, связанные с выполнением указанной танковой программы и подготовкой производства 3</w:t>
      </w:r>
      <w:r w:rsidRPr="005E779E">
        <w:rPr>
          <w:color w:val="000000" w:themeColor="text1"/>
          <w:sz w:val="16"/>
          <w:szCs w:val="16"/>
        </w:rPr>
        <w:noBreakHyphen/>
        <w:t>осных машин, по данным ВСНХ СССР на 1932 г., определяются в 78,5 млн. руб., в том числе около 12 млн. руб. — импорт. В указанные подсчеты не входят затраты, потребные на строительство броневой базы на Урале и моторной базы для среднего танка.</w:t>
      </w:r>
    </w:p>
    <w:p w14:paraId="224E5C9D"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При рассмотрении в Секторе обороны Госплана оборонной части контрольных цифр на 1932 г. объем капитальных затрат по авто-танкостроению, прокату, цементации и обработке брони принят в 70 млн. руб. (в том числе импорт 8 млн. руб.). Признано также необходимым по танкам второго эшелона зарезервировать необходимые средства (3 млн. руб.) на проектирование, разработку производственного процесса, заготовку приспособлений и подготовку строительства, обязав НКВМ и ВСНХ Союза в месячный срок установить окончательно образцы танков второго эшелона (см. приложение № 1 по танковой программе)¹*.</w:t>
      </w:r>
    </w:p>
    <w:p w14:paraId="3343C036"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Вопрос об обеспечении мероприятий по созданию броневой базы на Урале из-за его непроработанности ВСНХ остался неразрешенным. До сего времени нет окончательного решения по производству моторов для среднего танка. По этим вопросам необходимо в ближайшее время заслушать доклад ВСНХ.</w:t>
      </w:r>
    </w:p>
    <w:p w14:paraId="4931B4E7" w14:textId="77777777" w:rsidR="00987BB5" w:rsidRPr="005E779E" w:rsidRDefault="00987BB5" w:rsidP="000B7A6C">
      <w:pPr>
        <w:pStyle w:val="rtejustify"/>
        <w:spacing w:before="0" w:after="0"/>
        <w:rPr>
          <w:color w:val="000000" w:themeColor="text1"/>
          <w:sz w:val="16"/>
          <w:szCs w:val="16"/>
        </w:rPr>
      </w:pPr>
      <w:r w:rsidRPr="005E779E">
        <w:rPr>
          <w:rStyle w:val="af0"/>
          <w:i w:val="0"/>
          <w:color w:val="000000" w:themeColor="text1"/>
          <w:sz w:val="16"/>
          <w:szCs w:val="16"/>
        </w:rPr>
        <w:t>Капитальное строительство в обеспечение снарядной, авиационной и программы связи.</w:t>
      </w:r>
      <w:r w:rsidRPr="005E779E">
        <w:rPr>
          <w:color w:val="000000" w:themeColor="text1"/>
          <w:sz w:val="16"/>
          <w:szCs w:val="16"/>
        </w:rPr>
        <w:t xml:space="preserve"> Весь объем капитального строительства по 13 машиностроительным объединениям узко оборонного значения и заводам, планируемым ВСНХ РСФСР и УССР (без авто-танковой программы), определяется в 62 млн. руб., из них минимальный импорт составляет 4,9 млн. руб.</w:t>
      </w:r>
    </w:p>
    <w:p w14:paraId="12F5E13B"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Наибольший объем капитального строительства падает на ВЭО и ВЭСО (17,5 млн. руб.) и является прямым следствием требований по обеспечению авиапрограммы и РККА средствами связи. Проектировки по последним объединениям вызваны несогласованностью с оборонными требованиями программы капитального строительства по общим лимитам. Так, предполагается строить новый завод осветительных ламп, не обеспечивая строительство завода радиоламп. В общей программе капитального строительства по ВЭО и ВЭСО по гражданской линии игнорируется выпуск радиомашинок (вычеркнут из титульных списков завод им. Лепсе), совершенно не обеспечено развитие производства приборов телевидения, телемеханики и приборов для автоматического управления стрельбой и бомбометанием. Необходимо сохранить учтенные по общим лимитам машиностроения заводы — Прожекторный (8 млн. руб.) и Павшинский оптический (13 млн. руб.).</w:t>
      </w:r>
    </w:p>
    <w:p w14:paraId="7DCE49B4"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Затраты по остальным объединениям падают главным образом на обеспечение мощностей на подачу снарядов, авиабомб, мин, руч[ных] и руж[ейных] гранат, винтовок и пулеметов, исходя из заявок по варианту МВ</w:t>
      </w:r>
      <w:r w:rsidRPr="005E779E">
        <w:rPr>
          <w:color w:val="000000" w:themeColor="text1"/>
          <w:sz w:val="16"/>
          <w:szCs w:val="16"/>
        </w:rPr>
        <w:noBreakHyphen/>
        <w:t>10. Причем почти все целиком капитальные затраты идут на завершение начатых в 1931 г. работ. Дальнейшее сокращение по указанным объединениям капитального строительства по отдельным объектам, безусловно, влечет за собой нарушение пропорций по отдельным элементам выстрела, связи, приборам управления и приборам телемеханики и телевидения.</w:t>
      </w:r>
    </w:p>
    <w:p w14:paraId="6DEE8436" w14:textId="77777777" w:rsidR="00987BB5" w:rsidRPr="005E779E" w:rsidRDefault="00987BB5" w:rsidP="000B7A6C">
      <w:pPr>
        <w:pStyle w:val="rtejustify"/>
        <w:spacing w:before="0" w:after="0"/>
        <w:rPr>
          <w:color w:val="000000" w:themeColor="text1"/>
          <w:sz w:val="16"/>
          <w:szCs w:val="16"/>
        </w:rPr>
      </w:pPr>
      <w:r w:rsidRPr="005E779E">
        <w:rPr>
          <w:rStyle w:val="af0"/>
          <w:i w:val="0"/>
          <w:color w:val="000000" w:themeColor="text1"/>
          <w:sz w:val="16"/>
          <w:szCs w:val="16"/>
        </w:rPr>
        <w:t>Судостроение.</w:t>
      </w:r>
      <w:r w:rsidRPr="005E779E">
        <w:rPr>
          <w:color w:val="000000" w:themeColor="text1"/>
          <w:sz w:val="16"/>
          <w:szCs w:val="16"/>
        </w:rPr>
        <w:t xml:space="preserve"> Потребность для обеспечения программы военного судостроения определяется в 60 млн. руб., на коммерческое судостроение — 20 млн. руб., а всего — 80 млн. руб. В плане капитального строительства машиностроения предусмотрено только 35 млн. руб., таким образом, разрыв составляет 45 млн. руб.</w:t>
      </w:r>
    </w:p>
    <w:p w14:paraId="7252F557"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Предполагаемая разбивка ассигнований по военному судостроению по заводам представляется в следующем виде: 1) Балтийский завод — 8 млн. руб.; 2) Сев[ерная] судостроительная] верфь — 6 млн. руб.; 3) Николаевский завод — 12 млн. руб.; 4) Севастопольский завод — 4,7 млн. руб.; 5) Ленинград — Марти — 4,5 млн. руб.; 6) Мариупольский — 14 млн. руб.; 7) Ленинград — Судомехан[ический] — 2,5 млн. руб.; 8) Хабаровск (Осиповский завод) — 3,8 млн. руб.; [итого] — 55,5 млн. руб.; 9) Речсоюзверфь — 4,5 млн. руб.; итого — 60 млн. руб. При окончательном рассмотрении титульных списков могут произойти перегруппировки, но во всяком случае заявленный объем капиталовложений является минимальным для обеспечения программы военного судостроения.</w:t>
      </w:r>
    </w:p>
    <w:p w14:paraId="739AEFD5"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Предлагаемые титулы узко оборонного капитального строительства в машиностроении на 1932 г. не включены в проектировки общеэкономического значения.</w:t>
      </w:r>
    </w:p>
    <w:p w14:paraId="19EFA782"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Докладываю, что все оборонные требования к плану капитального строительства предъявлялись своевременно, и только благодаря решению этот вопрос рассмотреть самостоятельно эти требования оказались неучтенными в указанном выше объеме.</w:t>
      </w:r>
    </w:p>
    <w:p w14:paraId="19F9D3B6" w14:textId="77777777" w:rsidR="00987BB5" w:rsidRPr="005E779E" w:rsidRDefault="00987BB5" w:rsidP="000B7A6C">
      <w:pPr>
        <w:pStyle w:val="ae"/>
        <w:spacing w:before="0" w:after="0"/>
        <w:jc w:val="both"/>
        <w:rPr>
          <w:color w:val="000000" w:themeColor="text1"/>
          <w:sz w:val="16"/>
          <w:szCs w:val="16"/>
        </w:rPr>
      </w:pPr>
      <w:r w:rsidRPr="005E779E">
        <w:rPr>
          <w:rStyle w:val="af0"/>
          <w:i w:val="0"/>
          <w:color w:val="000000" w:themeColor="text1"/>
          <w:sz w:val="16"/>
          <w:szCs w:val="16"/>
        </w:rPr>
        <w:lastRenderedPageBreak/>
        <w:t>Примечание</w:t>
      </w:r>
      <w:r w:rsidRPr="005E779E">
        <w:rPr>
          <w:color w:val="000000" w:themeColor="text1"/>
          <w:sz w:val="16"/>
          <w:szCs w:val="16"/>
        </w:rPr>
        <w:t>:</w:t>
      </w:r>
    </w:p>
    <w:p w14:paraId="203BAA69" w14:textId="77777777" w:rsidR="00987BB5" w:rsidRPr="005E779E" w:rsidRDefault="00987BB5" w:rsidP="000B7A6C">
      <w:pPr>
        <w:pStyle w:val="ae"/>
        <w:spacing w:before="0" w:after="0"/>
        <w:jc w:val="both"/>
        <w:rPr>
          <w:color w:val="000000" w:themeColor="text1"/>
          <w:sz w:val="16"/>
          <w:szCs w:val="16"/>
        </w:rPr>
      </w:pPr>
      <w:r w:rsidRPr="005E779E">
        <w:rPr>
          <w:color w:val="000000" w:themeColor="text1"/>
          <w:sz w:val="16"/>
          <w:szCs w:val="16"/>
          <w:vertAlign w:val="superscript"/>
        </w:rPr>
        <w:t>1</w:t>
      </w:r>
      <w:r w:rsidRPr="005E779E">
        <w:rPr>
          <w:color w:val="000000" w:themeColor="text1"/>
          <w:sz w:val="16"/>
          <w:szCs w:val="16"/>
        </w:rPr>
        <w:t>* Приложение в деле не обнаружено.</w:t>
      </w:r>
    </w:p>
    <w:p w14:paraId="2C0547F3" w14:textId="77777777" w:rsidR="00987BB5" w:rsidRPr="005E779E" w:rsidRDefault="00987BB5" w:rsidP="000B7A6C">
      <w:pPr>
        <w:pStyle w:val="ae"/>
        <w:spacing w:before="0" w:after="0"/>
        <w:jc w:val="both"/>
        <w:rPr>
          <w:color w:val="000000" w:themeColor="text1"/>
          <w:sz w:val="16"/>
          <w:szCs w:val="16"/>
        </w:rPr>
      </w:pPr>
      <w:r w:rsidRPr="005E779E">
        <w:rPr>
          <w:color w:val="000000" w:themeColor="text1"/>
          <w:sz w:val="16"/>
          <w:szCs w:val="16"/>
        </w:rPr>
        <w:t>РГАЭ. Ф. 4372. Оп. 91. Д. 951. Л. 23—20. Копия.</w:t>
      </w:r>
    </w:p>
    <w:p w14:paraId="61A60BE5"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Архив: РГАЭ. Ф. 4372. Оп. 91. Д. 951. Л. 23—20. Копия. </w:t>
      </w:r>
    </w:p>
    <w:p w14:paraId="3A232922"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Источник: Становление оборонно-промышленного комплекса СССР (1927-1932). М. 2008, стр. 591-592 (12542).</w:t>
      </w:r>
    </w:p>
    <w:p w14:paraId="71EDC821" w14:textId="77777777" w:rsidR="00987BB5" w:rsidRPr="005E779E" w:rsidRDefault="00987BB5" w:rsidP="000B7A6C">
      <w:pPr>
        <w:spacing w:after="0" w:line="240" w:lineRule="auto"/>
        <w:jc w:val="both"/>
        <w:rPr>
          <w:rFonts w:ascii="Times New Roman" w:hAnsi="Times New Roman"/>
          <w:color w:val="000000" w:themeColor="text1"/>
          <w:sz w:val="16"/>
          <w:szCs w:val="16"/>
        </w:rPr>
      </w:pPr>
    </w:p>
    <w:p w14:paraId="4A237E78"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4EB78B66"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26B9E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декабря 1931 г. при стрельбе на НИАПе из первого опытного образца 203-мм мортиры "Ж" завода "Красный Путиловец" при первом выстреле снарядом весом 81,5 кг и зарядом 2,0 кг длина отката составила 640 мм, после чего ствол не накатился. При втором выстреле мортира опрокинулась. После двух выстрелов вышли из строя:</w:t>
      </w:r>
    </w:p>
    <w:p w14:paraId="25B305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пружина подрессоривающего механизма;</w:t>
      </w:r>
    </w:p>
    <w:p w14:paraId="5FE3F1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вал подъемного механизма;</w:t>
      </w:r>
    </w:p>
    <w:p w14:paraId="46B2B4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цапфенная обойма;</w:t>
      </w:r>
    </w:p>
    <w:p w14:paraId="50B8DA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тормоз отката.</w:t>
      </w:r>
    </w:p>
    <w:p w14:paraId="5EAA15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Система была возвращена на завод (3861).</w:t>
      </w:r>
    </w:p>
    <w:p w14:paraId="3DFD78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FFE5768" w14:textId="77777777" w:rsidR="00C2063C" w:rsidRPr="005E779E" w:rsidRDefault="00C2063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декабря 1931 г. после двух выстрелов 203-мм мортира получила повреждения и была возвращена на завод для исправления, а затем вновь направлена на НИАП.</w:t>
      </w:r>
    </w:p>
    <w:p w14:paraId="1B6BF44B" w14:textId="77777777" w:rsidR="00C2063C" w:rsidRPr="005E779E" w:rsidRDefault="00C2063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22 июня по 31 июля 1932 г. из мортиры сделали еще 153 выстрела. Стрельба велась снарядами весом 81 кг при полном заряде, начальная скорость составляла 260 м/с, а дальность — около 5 км.</w:t>
      </w:r>
    </w:p>
    <w:p w14:paraId="1787ADFA" w14:textId="77777777" w:rsidR="00C2063C" w:rsidRPr="005E779E" w:rsidRDefault="00C2063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Испытания на НИАПе продолжались до июля 1934 г., мортира «Ж» показала в целом неплохие результаты, но на вооружение принята не была. Возможно, читатель заметит, что дальность стрельбы мортиры составляла всего 5 км, а, мол, у 203-мм гаубицы Б-4 — 17,9 км. Но дальность была задана системой артиллерийского вооружения на 1929—1932 гг. А главное, мортира «Ж» весила 3,64 т, а Б-4 — 17 т, то есть в 4,7 раза больше, и стоила в несколько раз дороже, а фугасное действие снаряда мортиры «Ж» могло быть сильнее, чем у Б-4. Наконец, максимальный угол возвышения у Б-4 составлял 60°, а у мортиры «Ж» — 75°, что очень важно для боевых действий на пересеченной местности, в городе, для поражения закрытых позиций и т.д. (15117).</w:t>
      </w:r>
    </w:p>
    <w:p w14:paraId="4B2A034C" w14:textId="77777777" w:rsidR="00C2063C" w:rsidRPr="005E779E" w:rsidRDefault="00C2063C" w:rsidP="000B7A6C">
      <w:pPr>
        <w:spacing w:after="0" w:line="240" w:lineRule="auto"/>
        <w:jc w:val="both"/>
        <w:rPr>
          <w:rFonts w:ascii="Times New Roman" w:hAnsi="Times New Roman"/>
          <w:color w:val="000000" w:themeColor="text1"/>
          <w:sz w:val="16"/>
          <w:szCs w:val="16"/>
        </w:rPr>
      </w:pPr>
    </w:p>
    <w:p w14:paraId="25CD4C48" w14:textId="77777777" w:rsidR="00C2063C" w:rsidRPr="005E779E" w:rsidRDefault="00C2063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 декабря 1931 г. были закончены испытания первой 76-мм системы МПК, которая прибыла на НИАП без мотоцикла и испытывалась с 12 сентября 1931 г. 109 выстрелами зарядом 0,95 кг ленточного пороха ПКО и. Снаряды: бронебойный весом 3,5 кг и осколочный весом 4,575 кг с 22-секундной трубкой.</w:t>
      </w:r>
    </w:p>
    <w:p w14:paraId="4FF43F8C" w14:textId="77777777" w:rsidR="00C2063C" w:rsidRPr="005E779E" w:rsidRDefault="00C2063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ходе испытаний на НИАПе выяснилось, что максимальный угол стрельбы с мотоцикла составлял +37°40'. При стрельбе бронебойным снарядом весом 3,5 кг 40-мм цементированная броневая плита с расстояния 1000 м по нормали не пробивалась, 30-мм цементированная плита с расстояния 1000 м проламывалась при целом снаряде.</w:t>
      </w:r>
    </w:p>
    <w:p w14:paraId="6836AC15" w14:textId="77777777" w:rsidR="00C2063C" w:rsidRPr="005E779E" w:rsidRDefault="00C2063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76-мм МПК проходила войсковые испытания в июле 1932 г. в Московской Пролетарской стрелковой дивизии и 4-й кавалерийской дивизии. Результаты удовлетворительные. Пушка при выстреле подпрыгивала. Затвор заедал вследствие неполного сгорания пороха.</w:t>
      </w:r>
    </w:p>
    <w:p w14:paraId="147493BF" w14:textId="77777777" w:rsidR="00C2063C" w:rsidRPr="005E779E" w:rsidRDefault="00C2063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вооружение система не принята ввиду малой проходимости мотоцикла. («Харлей Давидсон» проектировался как полицейский мотоцикл с мощным двигателем, но обладал малой проходимостью).</w:t>
      </w:r>
    </w:p>
    <w:p w14:paraId="5754D25D" w14:textId="77777777" w:rsidR="00C2063C" w:rsidRPr="005E779E" w:rsidRDefault="00C2063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1932 г. заводу № 7 выдали заказ на 25 МПК. В1932 г. было изготовлено 22 МПК, а сдано 14. Больше заказы на МПК не выдавались (15117).</w:t>
      </w:r>
    </w:p>
    <w:p w14:paraId="6C171AAA" w14:textId="77777777" w:rsidR="00C2063C" w:rsidRPr="005E779E" w:rsidRDefault="00C2063C" w:rsidP="000B7A6C">
      <w:pPr>
        <w:spacing w:after="0" w:line="240" w:lineRule="auto"/>
        <w:jc w:val="both"/>
        <w:rPr>
          <w:rFonts w:ascii="Times New Roman" w:hAnsi="Times New Roman"/>
          <w:color w:val="000000" w:themeColor="text1"/>
          <w:sz w:val="16"/>
          <w:szCs w:val="16"/>
        </w:rPr>
      </w:pPr>
    </w:p>
    <w:p w14:paraId="4D66E6A4" w14:textId="77777777" w:rsidR="00C2063C" w:rsidRPr="005E779E" w:rsidRDefault="00C2063C" w:rsidP="000B7A6C">
      <w:pPr>
        <w:widowControl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К 15 декабря </w:t>
      </w:r>
      <w:smartTag w:uri="urn:schemas-microsoft-com:office:smarttags" w:element="metricconverter">
        <w:smartTagPr>
          <w:attr w:name="ProductID" w:val="1945 г"/>
        </w:smartTagPr>
        <w:r w:rsidRPr="005E779E">
          <w:rPr>
            <w:rFonts w:ascii="Times New Roman" w:hAnsi="Times New Roman"/>
            <w:color w:val="000000" w:themeColor="text1"/>
            <w:sz w:val="16"/>
            <w:szCs w:val="16"/>
          </w:rPr>
          <w:t>1931 г</w:t>
        </w:r>
      </w:smartTag>
      <w:r w:rsidRPr="005E779E">
        <w:rPr>
          <w:rFonts w:ascii="Times New Roman" w:hAnsi="Times New Roman"/>
          <w:color w:val="000000" w:themeColor="text1"/>
          <w:sz w:val="16"/>
          <w:szCs w:val="16"/>
        </w:rPr>
        <w:t xml:space="preserve">. для первой смены Горьковский автозавод имел 11503 человека (рабочих – 7242, ИТР – 1743. служащих – 1824, младшего обслуживающего персонала – 694). В </w:t>
      </w:r>
      <w:smartTag w:uri="urn:schemas-microsoft-com:office:smarttags" w:element="metricconverter">
        <w:smartTagPr>
          <w:attr w:name="ProductID" w:val="1945 г"/>
        </w:smartTagPr>
        <w:r w:rsidRPr="005E779E">
          <w:rPr>
            <w:rFonts w:ascii="Times New Roman" w:hAnsi="Times New Roman"/>
            <w:color w:val="000000" w:themeColor="text1"/>
            <w:sz w:val="16"/>
            <w:szCs w:val="16"/>
          </w:rPr>
          <w:t>1932 г</w:t>
        </w:r>
      </w:smartTag>
      <w:r w:rsidRPr="005E779E">
        <w:rPr>
          <w:rFonts w:ascii="Times New Roman" w:hAnsi="Times New Roman"/>
          <w:color w:val="000000" w:themeColor="text1"/>
          <w:sz w:val="16"/>
          <w:szCs w:val="16"/>
        </w:rPr>
        <w:t xml:space="preserve">. вернулись на автозавод проходившие производственное обучение на предприятиях Москвы, Ленинграда, Сталинграда, Ростова-на-Дону, Харькова около 600 квалифицированных кузнецов, станочников и рабочих других специальностей. По данным профсоюзной переписи, в авиационной, автотракторной промышленности СССР рабочие из крестьян составляли в 1932-1933 гг. 54,1%, так было и на Горьковском автозаводе. В январе </w:t>
      </w:r>
      <w:smartTag w:uri="urn:schemas-microsoft-com:office:smarttags" w:element="metricconverter">
        <w:smartTagPr>
          <w:attr w:name="ProductID" w:val="1945 г"/>
        </w:smartTagPr>
        <w:r w:rsidRPr="005E779E">
          <w:rPr>
            <w:rFonts w:ascii="Times New Roman" w:hAnsi="Times New Roman"/>
            <w:color w:val="000000" w:themeColor="text1"/>
            <w:sz w:val="16"/>
            <w:szCs w:val="16"/>
          </w:rPr>
          <w:t>1934 г</w:t>
        </w:r>
      </w:smartTag>
      <w:r w:rsidRPr="005E779E">
        <w:rPr>
          <w:rFonts w:ascii="Times New Roman" w:hAnsi="Times New Roman"/>
          <w:color w:val="000000" w:themeColor="text1"/>
          <w:sz w:val="16"/>
          <w:szCs w:val="16"/>
        </w:rPr>
        <w:t>. А.А. Жданов говорил, что сюда пришла «деревенская молодежь, не видевшая крупного заводского производства» (15218).</w:t>
      </w:r>
    </w:p>
    <w:p w14:paraId="7FAAF738" w14:textId="77777777" w:rsidR="00C2063C" w:rsidRPr="005E779E" w:rsidRDefault="00C2063C" w:rsidP="000B7A6C">
      <w:pPr>
        <w:widowControl w:val="0"/>
        <w:spacing w:after="0" w:line="240" w:lineRule="auto"/>
        <w:jc w:val="both"/>
        <w:rPr>
          <w:rFonts w:ascii="Times New Roman" w:hAnsi="Times New Roman"/>
          <w:color w:val="000000" w:themeColor="text1"/>
          <w:sz w:val="16"/>
          <w:szCs w:val="16"/>
        </w:rPr>
      </w:pPr>
    </w:p>
    <w:p w14:paraId="5CDB10C9" w14:textId="77777777" w:rsidR="00856678"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5B1FC928" w14:textId="77777777" w:rsidR="00856678" w:rsidRPr="005E779E" w:rsidRDefault="00856678"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D74F113" w14:textId="77777777" w:rsidR="00856678" w:rsidRPr="005E779E" w:rsidRDefault="00856678" w:rsidP="000B7A6C">
      <w:pPr>
        <w:pStyle w:val="a3"/>
        <w:rPr>
          <w:color w:val="000000" w:themeColor="text1"/>
          <w:lang w:val="ru-RU"/>
        </w:rPr>
      </w:pPr>
      <w:r w:rsidRPr="005E779E">
        <w:rPr>
          <w:color w:val="000000" w:themeColor="text1"/>
          <w:lang w:val="ru-RU"/>
        </w:rPr>
        <w:t>В середине декабря 1930 советским специалистам были представлены чертежи башни Виккерс 12-тонный, доработанной под установку отечественного вооруже</w:t>
      </w:r>
      <w:r w:rsidRPr="005E779E">
        <w:rPr>
          <w:color w:val="000000" w:themeColor="text1"/>
          <w:lang w:val="ru-RU"/>
        </w:rPr>
        <w:softHyphen/>
        <w:t>ния, а окончательно согласовать эти вопросы планировалось на дере</w:t>
      </w:r>
      <w:r w:rsidRPr="005E779E">
        <w:rPr>
          <w:color w:val="000000" w:themeColor="text1"/>
          <w:lang w:val="ru-RU"/>
        </w:rPr>
        <w:softHyphen/>
        <w:t>вянном макете (15745).</w:t>
      </w:r>
    </w:p>
    <w:p w14:paraId="3A51552C" w14:textId="77777777" w:rsidR="00856678" w:rsidRPr="005E779E" w:rsidRDefault="00856678" w:rsidP="000B7A6C">
      <w:pPr>
        <w:pStyle w:val="a3"/>
        <w:rPr>
          <w:color w:val="000000" w:themeColor="text1"/>
          <w:lang w:val="ru-RU"/>
        </w:rPr>
      </w:pPr>
    </w:p>
    <w:p w14:paraId="5D3D48C8" w14:textId="77777777" w:rsidR="00856678"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131E0BA8" w14:textId="77777777" w:rsidR="00856678" w:rsidRPr="005E779E" w:rsidRDefault="00856678"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2B1EE32" w14:textId="77777777" w:rsidR="00856678" w:rsidRPr="005E779E" w:rsidRDefault="0085667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 декабря 1931 г. Протокол ПБ № 80 п.13: О реорганизации Всесоюзного объединения авиационной промышленности (ВАО) (Молотов, Пятаков). Решено: а) Утвердить постановление комиссии обороны о реорганизации ВАО в Главное управление авиационной промышленности (с четырьмя трестами), непосредственно подчиненное президиуму ВСНХ СССР и возглавляемое заместителем председателя ВСНХ, без увеличения штатов по Главному управлению авиационной промышленности. б) Утвердить Баранова заместителем председателя ВСНХ по Главному управлению авиационной промышленности (15939).</w:t>
      </w:r>
    </w:p>
    <w:p w14:paraId="7F0BB68C" w14:textId="77777777" w:rsidR="00856678" w:rsidRPr="005E779E" w:rsidRDefault="00856678" w:rsidP="000B7A6C">
      <w:pPr>
        <w:spacing w:after="0" w:line="240" w:lineRule="auto"/>
        <w:jc w:val="both"/>
        <w:rPr>
          <w:rFonts w:ascii="Times New Roman" w:hAnsi="Times New Roman"/>
          <w:color w:val="000000" w:themeColor="text1"/>
          <w:sz w:val="16"/>
          <w:szCs w:val="16"/>
        </w:rPr>
      </w:pPr>
    </w:p>
    <w:p w14:paraId="7F671683" w14:textId="77777777" w:rsidR="00987BB5"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30D7A7E3" w14:textId="77777777" w:rsidR="00987BB5" w:rsidRPr="005E779E" w:rsidRDefault="00987BB5"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C507286" w14:textId="77777777" w:rsidR="00987BB5" w:rsidRPr="005E779E" w:rsidRDefault="00987BB5"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16 декабря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Протокол заседания Политбюро ЦК ВКП(б) №80. 1. О мобзапасе паровозов (Сталин). 28. Об организации взрывного дела (Пятаков). (Политбюро... Т. 2. С. 251, 252) (12416).</w:t>
      </w:r>
    </w:p>
    <w:p w14:paraId="15466E53" w14:textId="77777777" w:rsidR="00987BB5" w:rsidRPr="005E779E" w:rsidRDefault="00987BB5" w:rsidP="000B7A6C">
      <w:pPr>
        <w:spacing w:after="0" w:line="240" w:lineRule="auto"/>
        <w:jc w:val="both"/>
        <w:rPr>
          <w:rFonts w:ascii="Times New Roman" w:hAnsi="Times New Roman"/>
          <w:color w:val="000000" w:themeColor="text1"/>
          <w:sz w:val="16"/>
          <w:szCs w:val="16"/>
          <w:u w:color="002060"/>
        </w:rPr>
      </w:pPr>
    </w:p>
    <w:p w14:paraId="4A03325B" w14:textId="77777777" w:rsidR="00445005" w:rsidRPr="005E779E" w:rsidRDefault="00445005" w:rsidP="000B7A6C">
      <w:pPr>
        <w:pStyle w:val="a3"/>
        <w:rPr>
          <w:color w:val="000000" w:themeColor="text1"/>
          <w:lang w:val="ru-RU"/>
        </w:rPr>
      </w:pPr>
      <w:r w:rsidRPr="005E779E">
        <w:rPr>
          <w:color w:val="000000" w:themeColor="text1"/>
          <w:lang w:val="ru-RU"/>
        </w:rPr>
        <w:t>16 декабря 1930 Бегунов в своем письме отмечал:</w:t>
      </w:r>
    </w:p>
    <w:p w14:paraId="77AF9C7B" w14:textId="77777777" w:rsidR="00445005" w:rsidRPr="005E779E" w:rsidRDefault="00445005" w:rsidP="000B7A6C">
      <w:pPr>
        <w:pStyle w:val="1010"/>
        <w:shd w:val="clear" w:color="auto" w:fill="auto"/>
        <w:spacing w:line="240" w:lineRule="auto"/>
        <w:ind w:firstLine="0"/>
        <w:rPr>
          <w:rFonts w:ascii="Times New Roman" w:hAnsi="Times New Roman" w:cs="Times New Roman"/>
          <w:i w:val="0"/>
          <w:color w:val="000000" w:themeColor="text1"/>
          <w:sz w:val="16"/>
          <w:szCs w:val="16"/>
        </w:rPr>
      </w:pPr>
      <w:r w:rsidRPr="005E779E">
        <w:rPr>
          <w:rFonts w:ascii="Times New Roman" w:hAnsi="Times New Roman" w:cs="Times New Roman"/>
          <w:i w:val="0"/>
          <w:color w:val="000000" w:themeColor="text1"/>
          <w:sz w:val="16"/>
          <w:szCs w:val="16"/>
        </w:rPr>
        <w:t>«1. Башня.</w:t>
      </w:r>
    </w:p>
    <w:p w14:paraId="27130934" w14:textId="77777777" w:rsidR="00445005" w:rsidRPr="005E779E" w:rsidRDefault="00445005" w:rsidP="000B7A6C">
      <w:pPr>
        <w:pStyle w:val="1010"/>
        <w:shd w:val="clear" w:color="auto" w:fill="auto"/>
        <w:spacing w:line="240" w:lineRule="auto"/>
        <w:ind w:firstLine="0"/>
        <w:rPr>
          <w:rFonts w:ascii="Times New Roman" w:hAnsi="Times New Roman" w:cs="Times New Roman"/>
          <w:i w:val="0"/>
          <w:color w:val="000000" w:themeColor="text1"/>
          <w:sz w:val="16"/>
          <w:szCs w:val="16"/>
        </w:rPr>
      </w:pPr>
      <w:r w:rsidRPr="005E779E">
        <w:rPr>
          <w:rFonts w:ascii="Times New Roman" w:hAnsi="Times New Roman" w:cs="Times New Roman"/>
          <w:i w:val="0"/>
          <w:color w:val="000000" w:themeColor="text1"/>
          <w:sz w:val="16"/>
          <w:szCs w:val="16"/>
        </w:rPr>
        <w:t>Общее расположение башни и будки водителя.</w:t>
      </w:r>
    </w:p>
    <w:p w14:paraId="2054E6BC" w14:textId="77777777" w:rsidR="00445005" w:rsidRPr="005E779E" w:rsidRDefault="00445005" w:rsidP="000B7A6C">
      <w:pPr>
        <w:pStyle w:val="1010"/>
        <w:shd w:val="clear" w:color="auto" w:fill="auto"/>
        <w:spacing w:line="240" w:lineRule="auto"/>
        <w:ind w:firstLine="0"/>
        <w:rPr>
          <w:rFonts w:ascii="Times New Roman" w:hAnsi="Times New Roman" w:cs="Times New Roman"/>
          <w:i w:val="0"/>
          <w:color w:val="000000" w:themeColor="text1"/>
          <w:sz w:val="16"/>
          <w:szCs w:val="16"/>
        </w:rPr>
      </w:pPr>
      <w:r w:rsidRPr="005E779E">
        <w:rPr>
          <w:rFonts w:ascii="Times New Roman" w:hAnsi="Times New Roman" w:cs="Times New Roman"/>
          <w:i w:val="0"/>
          <w:color w:val="000000" w:themeColor="text1"/>
          <w:sz w:val="16"/>
          <w:szCs w:val="16"/>
        </w:rPr>
        <w:t>а/ При просмотре этого чертежа возник вопрос-о возможности про</w:t>
      </w:r>
      <w:r w:rsidRPr="005E779E">
        <w:rPr>
          <w:rFonts w:ascii="Times New Roman" w:hAnsi="Times New Roman" w:cs="Times New Roman"/>
          <w:i w:val="0"/>
          <w:color w:val="000000" w:themeColor="text1"/>
          <w:sz w:val="16"/>
          <w:szCs w:val="16"/>
        </w:rPr>
        <w:softHyphen/>
        <w:t>ворачивания башни на 360', не задевая будки водителя.</w:t>
      </w:r>
    </w:p>
    <w:p w14:paraId="742481C7" w14:textId="77777777" w:rsidR="00445005" w:rsidRPr="005E779E" w:rsidRDefault="00445005" w:rsidP="000B7A6C">
      <w:pPr>
        <w:pStyle w:val="1010"/>
        <w:shd w:val="clear" w:color="auto" w:fill="auto"/>
        <w:spacing w:line="240" w:lineRule="auto"/>
        <w:ind w:firstLine="0"/>
        <w:rPr>
          <w:rFonts w:ascii="Times New Roman" w:hAnsi="Times New Roman" w:cs="Times New Roman"/>
          <w:i w:val="0"/>
          <w:color w:val="000000" w:themeColor="text1"/>
          <w:sz w:val="16"/>
          <w:szCs w:val="16"/>
        </w:rPr>
      </w:pPr>
      <w:r w:rsidRPr="005E779E">
        <w:rPr>
          <w:rFonts w:ascii="Times New Roman" w:hAnsi="Times New Roman" w:cs="Times New Roman"/>
          <w:i w:val="0"/>
          <w:color w:val="000000" w:themeColor="text1"/>
          <w:sz w:val="16"/>
          <w:szCs w:val="16"/>
        </w:rPr>
        <w:t>Такое явление может наблюдатйся, если пушка и башенные пуле</w:t>
      </w:r>
      <w:r w:rsidRPr="005E779E">
        <w:rPr>
          <w:rFonts w:ascii="Times New Roman" w:hAnsi="Times New Roman" w:cs="Times New Roman"/>
          <w:i w:val="0"/>
          <w:color w:val="000000" w:themeColor="text1"/>
          <w:sz w:val="16"/>
          <w:szCs w:val="16"/>
        </w:rPr>
        <w:softHyphen/>
        <w:t>меты будут находиться на предельном угле снижения. Отсутствие точ</w:t>
      </w:r>
      <w:r w:rsidRPr="005E779E">
        <w:rPr>
          <w:rFonts w:ascii="Times New Roman" w:hAnsi="Times New Roman" w:cs="Times New Roman"/>
          <w:i w:val="0"/>
          <w:color w:val="000000" w:themeColor="text1"/>
          <w:sz w:val="16"/>
          <w:szCs w:val="16"/>
        </w:rPr>
        <w:softHyphen/>
        <w:t>ных размеров как пушки, так и пулеметов у меня вызвало збтруднения в окончательном ответе, и я прошу Вас сообщить мне Ваши указания и решение по этому вопросу. Проверить не трудно при наличии пулеме</w:t>
      </w:r>
      <w:r w:rsidRPr="005E779E">
        <w:rPr>
          <w:rFonts w:ascii="Times New Roman" w:hAnsi="Times New Roman" w:cs="Times New Roman"/>
          <w:i w:val="0"/>
          <w:color w:val="000000" w:themeColor="text1"/>
          <w:sz w:val="16"/>
          <w:szCs w:val="16"/>
        </w:rPr>
        <w:softHyphen/>
        <w:t>тов, пушки и макет, который Вам немедленно отправляется.</w:t>
      </w:r>
    </w:p>
    <w:p w14:paraId="37939413" w14:textId="77777777" w:rsidR="00445005" w:rsidRPr="005E779E" w:rsidRDefault="00445005" w:rsidP="000B7A6C">
      <w:pPr>
        <w:pStyle w:val="1010"/>
        <w:shd w:val="clear" w:color="auto" w:fill="auto"/>
        <w:spacing w:line="240" w:lineRule="auto"/>
        <w:ind w:firstLine="0"/>
        <w:rPr>
          <w:rFonts w:ascii="Times New Roman" w:hAnsi="Times New Roman" w:cs="Times New Roman"/>
          <w:i w:val="0"/>
          <w:color w:val="000000" w:themeColor="text1"/>
          <w:sz w:val="16"/>
          <w:szCs w:val="16"/>
        </w:rPr>
      </w:pPr>
      <w:r w:rsidRPr="005E779E">
        <w:rPr>
          <w:rFonts w:ascii="Times New Roman" w:hAnsi="Times New Roman" w:cs="Times New Roman"/>
          <w:i w:val="0"/>
          <w:color w:val="000000" w:themeColor="text1"/>
          <w:sz w:val="16"/>
          <w:szCs w:val="16"/>
        </w:rPr>
        <w:t>б/ Одновременно с этим вопросом возник вопрос и о нанесении смотровых люков. Трудность заключается в том, что сейчас не известно точное расположение отверстий для пушки и пулеметов по высоте.</w:t>
      </w:r>
    </w:p>
    <w:p w14:paraId="33A45C38" w14:textId="77777777" w:rsidR="00445005" w:rsidRPr="005E779E" w:rsidRDefault="00445005" w:rsidP="000B7A6C">
      <w:pPr>
        <w:pStyle w:val="1010"/>
        <w:shd w:val="clear" w:color="auto" w:fill="auto"/>
        <w:spacing w:line="240" w:lineRule="auto"/>
        <w:ind w:firstLine="0"/>
        <w:rPr>
          <w:rFonts w:ascii="Times New Roman" w:hAnsi="Times New Roman" w:cs="Times New Roman"/>
          <w:i w:val="0"/>
          <w:color w:val="000000" w:themeColor="text1"/>
          <w:sz w:val="16"/>
          <w:szCs w:val="16"/>
        </w:rPr>
      </w:pPr>
      <w:r w:rsidRPr="005E779E">
        <w:rPr>
          <w:rFonts w:ascii="Times New Roman" w:hAnsi="Times New Roman" w:cs="Times New Roman"/>
          <w:i w:val="0"/>
          <w:color w:val="000000" w:themeColor="text1"/>
          <w:sz w:val="16"/>
          <w:szCs w:val="16"/>
        </w:rPr>
        <w:t>Возник вопрос об изменении скосов крыши башни, которые нами предлагались в целях увеличения жесткости. Англичане в своей кон</w:t>
      </w:r>
      <w:r w:rsidRPr="005E779E">
        <w:rPr>
          <w:rFonts w:ascii="Times New Roman" w:hAnsi="Times New Roman" w:cs="Times New Roman"/>
          <w:i w:val="0"/>
          <w:color w:val="000000" w:themeColor="text1"/>
          <w:sz w:val="16"/>
          <w:szCs w:val="16"/>
        </w:rPr>
        <w:softHyphen/>
        <w:t>струкции (стандартной) придали скосы крыше башни исключительно ради соблюдения железно-дорож. габаритов и отнюдь не ради увеличе</w:t>
      </w:r>
      <w:r w:rsidRPr="005E779E">
        <w:rPr>
          <w:rFonts w:ascii="Times New Roman" w:hAnsi="Times New Roman" w:cs="Times New Roman"/>
          <w:i w:val="0"/>
          <w:color w:val="000000" w:themeColor="text1"/>
          <w:sz w:val="16"/>
          <w:szCs w:val="16"/>
        </w:rPr>
        <w:softHyphen/>
        <w:t>ния жесткости. Сила вооружения как в нашей башне, так и в стандарт</w:t>
      </w:r>
      <w:r w:rsidRPr="005E779E">
        <w:rPr>
          <w:rFonts w:ascii="Times New Roman" w:hAnsi="Times New Roman" w:cs="Times New Roman"/>
          <w:i w:val="0"/>
          <w:color w:val="000000" w:themeColor="text1"/>
          <w:sz w:val="16"/>
          <w:szCs w:val="16"/>
        </w:rPr>
        <w:softHyphen/>
        <w:t>ной остается почти одинаковой. Возможно, что и у нас в части соблюде</w:t>
      </w:r>
      <w:r w:rsidRPr="005E779E">
        <w:rPr>
          <w:rFonts w:ascii="Times New Roman" w:hAnsi="Times New Roman" w:cs="Times New Roman"/>
          <w:i w:val="0"/>
          <w:color w:val="000000" w:themeColor="text1"/>
          <w:sz w:val="16"/>
          <w:szCs w:val="16"/>
        </w:rPr>
        <w:softHyphen/>
        <w:t>ния габаритных размеров возникнут затруднения.</w:t>
      </w:r>
    </w:p>
    <w:p w14:paraId="4372967A" w14:textId="77777777" w:rsidR="00445005" w:rsidRPr="005E779E" w:rsidRDefault="00445005" w:rsidP="000B7A6C">
      <w:pPr>
        <w:pStyle w:val="1010"/>
        <w:shd w:val="clear" w:color="auto" w:fill="auto"/>
        <w:spacing w:line="240" w:lineRule="auto"/>
        <w:ind w:firstLine="0"/>
        <w:rPr>
          <w:rFonts w:ascii="Times New Roman" w:hAnsi="Times New Roman" w:cs="Times New Roman"/>
          <w:i w:val="0"/>
          <w:color w:val="000000" w:themeColor="text1"/>
          <w:sz w:val="16"/>
          <w:szCs w:val="16"/>
        </w:rPr>
      </w:pPr>
      <w:r w:rsidRPr="005E779E">
        <w:rPr>
          <w:rFonts w:ascii="Times New Roman" w:hAnsi="Times New Roman" w:cs="Times New Roman"/>
          <w:i w:val="0"/>
          <w:color w:val="000000" w:themeColor="text1"/>
          <w:sz w:val="16"/>
          <w:szCs w:val="16"/>
        </w:rPr>
        <w:t>Использован</w:t>
      </w:r>
      <w:r w:rsidRPr="005E779E">
        <w:rPr>
          <w:rStyle w:val="1014"/>
          <w:rFonts w:ascii="Times New Roman" w:eastAsia="Arial Unicode MS" w:hAnsi="Times New Roman" w:cs="Times New Roman"/>
          <w:b w:val="0"/>
          <w:iCs/>
          <w:color w:val="000000" w:themeColor="text1"/>
          <w:sz w:val="16"/>
          <w:szCs w:val="16"/>
        </w:rPr>
        <w:t xml:space="preserve"> стандартный</w:t>
      </w:r>
      <w:r w:rsidRPr="005E779E">
        <w:rPr>
          <w:rFonts w:ascii="Times New Roman" w:hAnsi="Times New Roman" w:cs="Times New Roman"/>
          <w:i w:val="0"/>
          <w:color w:val="000000" w:themeColor="text1"/>
          <w:sz w:val="16"/>
          <w:szCs w:val="16"/>
        </w:rPr>
        <w:t xml:space="preserve"> механизм 12 тон. танка с добавлением выключаемого</w:t>
      </w:r>
      <w:r w:rsidRPr="005E779E">
        <w:rPr>
          <w:rStyle w:val="1014"/>
          <w:rFonts w:ascii="Times New Roman" w:eastAsia="Arial Unicode MS" w:hAnsi="Times New Roman" w:cs="Times New Roman"/>
          <w:b w:val="0"/>
          <w:iCs/>
          <w:color w:val="000000" w:themeColor="text1"/>
          <w:sz w:val="16"/>
          <w:szCs w:val="16"/>
        </w:rPr>
        <w:t xml:space="preserve"> приспособления,</w:t>
      </w:r>
      <w:r w:rsidRPr="005E779E">
        <w:rPr>
          <w:rFonts w:ascii="Times New Roman" w:hAnsi="Times New Roman" w:cs="Times New Roman"/>
          <w:i w:val="0"/>
          <w:color w:val="000000" w:themeColor="text1"/>
          <w:sz w:val="16"/>
          <w:szCs w:val="16"/>
        </w:rPr>
        <w:t xml:space="preserve"> которое даст возможность при выклю</w:t>
      </w:r>
      <w:r w:rsidRPr="005E779E">
        <w:rPr>
          <w:rFonts w:ascii="Times New Roman" w:hAnsi="Times New Roman" w:cs="Times New Roman"/>
          <w:i w:val="0"/>
          <w:color w:val="000000" w:themeColor="text1"/>
          <w:sz w:val="16"/>
          <w:szCs w:val="16"/>
        </w:rPr>
        <w:softHyphen/>
        <w:t>чении его поворачивать</w:t>
      </w:r>
      <w:r w:rsidRPr="005E779E">
        <w:rPr>
          <w:rStyle w:val="1014"/>
          <w:rFonts w:ascii="Times New Roman" w:eastAsia="Arial Unicode MS" w:hAnsi="Times New Roman" w:cs="Times New Roman"/>
          <w:b w:val="0"/>
          <w:iCs/>
          <w:color w:val="000000" w:themeColor="text1"/>
          <w:sz w:val="16"/>
          <w:szCs w:val="16"/>
        </w:rPr>
        <w:t xml:space="preserve"> башню</w:t>
      </w:r>
      <w:r w:rsidRPr="005E779E">
        <w:rPr>
          <w:rFonts w:ascii="Times New Roman" w:hAnsi="Times New Roman" w:cs="Times New Roman"/>
          <w:i w:val="0"/>
          <w:color w:val="000000" w:themeColor="text1"/>
          <w:sz w:val="16"/>
          <w:szCs w:val="16"/>
        </w:rPr>
        <w:t xml:space="preserve"> рукой. Нами не была задана скорость поворачивания</w:t>
      </w:r>
      <w:r w:rsidRPr="005E779E">
        <w:rPr>
          <w:rStyle w:val="1014"/>
          <w:rFonts w:ascii="Times New Roman" w:eastAsia="Arial Unicode MS" w:hAnsi="Times New Roman" w:cs="Times New Roman"/>
          <w:b w:val="0"/>
          <w:iCs/>
          <w:color w:val="000000" w:themeColor="text1"/>
          <w:sz w:val="16"/>
          <w:szCs w:val="16"/>
        </w:rPr>
        <w:t xml:space="preserve"> башни. Фирма</w:t>
      </w:r>
      <w:r w:rsidRPr="005E779E">
        <w:rPr>
          <w:rFonts w:ascii="Times New Roman" w:hAnsi="Times New Roman" w:cs="Times New Roman"/>
          <w:i w:val="0"/>
          <w:color w:val="000000" w:themeColor="text1"/>
          <w:sz w:val="16"/>
          <w:szCs w:val="16"/>
        </w:rPr>
        <w:t xml:space="preserve"> предложила скорость поворачивания стандартную для</w:t>
      </w:r>
      <w:r w:rsidRPr="005E779E">
        <w:rPr>
          <w:rStyle w:val="1014"/>
          <w:rFonts w:ascii="Times New Roman" w:eastAsia="Arial Unicode MS" w:hAnsi="Times New Roman" w:cs="Times New Roman"/>
          <w:b w:val="0"/>
          <w:iCs/>
          <w:color w:val="000000" w:themeColor="text1"/>
          <w:sz w:val="16"/>
          <w:szCs w:val="16"/>
        </w:rPr>
        <w:t xml:space="preserve"> Британского Военного</w:t>
      </w:r>
      <w:r w:rsidRPr="005E779E">
        <w:rPr>
          <w:rFonts w:ascii="Times New Roman" w:hAnsi="Times New Roman" w:cs="Times New Roman"/>
          <w:i w:val="0"/>
          <w:color w:val="000000" w:themeColor="text1"/>
          <w:sz w:val="16"/>
          <w:szCs w:val="16"/>
        </w:rPr>
        <w:t xml:space="preserve"> Министерства, и именно: 3,4' при одном повороте</w:t>
      </w:r>
      <w:r w:rsidRPr="005E779E">
        <w:rPr>
          <w:rStyle w:val="1014"/>
          <w:rFonts w:ascii="Times New Roman" w:eastAsia="Arial Unicode MS" w:hAnsi="Times New Roman" w:cs="Times New Roman"/>
          <w:b w:val="0"/>
          <w:iCs/>
          <w:color w:val="000000" w:themeColor="text1"/>
          <w:sz w:val="16"/>
          <w:szCs w:val="16"/>
        </w:rPr>
        <w:t xml:space="preserve"> рукоятки механизма.</w:t>
      </w:r>
    </w:p>
    <w:p w14:paraId="1E03A0C3" w14:textId="77777777" w:rsidR="00445005" w:rsidRPr="005E779E" w:rsidRDefault="00445005" w:rsidP="000B7A6C">
      <w:pPr>
        <w:pStyle w:val="1010"/>
        <w:shd w:val="clear" w:color="auto" w:fill="auto"/>
        <w:spacing w:line="240" w:lineRule="auto"/>
        <w:ind w:firstLine="0"/>
        <w:rPr>
          <w:rFonts w:ascii="Times New Roman" w:hAnsi="Times New Roman" w:cs="Times New Roman"/>
          <w:i w:val="0"/>
          <w:color w:val="000000" w:themeColor="text1"/>
          <w:sz w:val="16"/>
          <w:szCs w:val="16"/>
        </w:rPr>
      </w:pPr>
      <w:r w:rsidRPr="005E779E">
        <w:rPr>
          <w:rStyle w:val="1014"/>
          <w:rFonts w:ascii="Times New Roman" w:eastAsia="Arial Unicode MS" w:hAnsi="Times New Roman" w:cs="Times New Roman"/>
          <w:b w:val="0"/>
          <w:iCs/>
          <w:color w:val="000000" w:themeColor="text1"/>
          <w:sz w:val="16"/>
          <w:szCs w:val="16"/>
        </w:rPr>
        <w:t>По</w:t>
      </w:r>
      <w:r w:rsidRPr="005E779E">
        <w:rPr>
          <w:rFonts w:ascii="Times New Roman" w:hAnsi="Times New Roman" w:cs="Times New Roman"/>
          <w:i w:val="0"/>
          <w:color w:val="000000" w:themeColor="text1"/>
          <w:sz w:val="16"/>
          <w:szCs w:val="16"/>
        </w:rPr>
        <w:t xml:space="preserve"> нашему заданию</w:t>
      </w:r>
      <w:r w:rsidRPr="005E779E">
        <w:rPr>
          <w:rStyle w:val="1014"/>
          <w:rFonts w:ascii="Times New Roman" w:eastAsia="Arial Unicode MS" w:hAnsi="Times New Roman" w:cs="Times New Roman"/>
          <w:b w:val="0"/>
          <w:iCs/>
          <w:color w:val="000000" w:themeColor="text1"/>
          <w:sz w:val="16"/>
          <w:szCs w:val="16"/>
        </w:rPr>
        <w:t xml:space="preserve"> башня</w:t>
      </w:r>
      <w:r w:rsidRPr="005E779E">
        <w:rPr>
          <w:rStyle w:val="1091"/>
          <w:rFonts w:ascii="Times New Roman" w:eastAsia="Arial Unicode MS" w:hAnsi="Times New Roman" w:cs="Times New Roman"/>
          <w:b w:val="0"/>
          <w:i w:val="0"/>
          <w:iCs w:val="0"/>
          <w:color w:val="000000" w:themeColor="text1"/>
          <w:spacing w:val="0"/>
          <w:sz w:val="16"/>
          <w:szCs w:val="16"/>
        </w:rPr>
        <w:t xml:space="preserve"> должка</w:t>
      </w:r>
      <w:r w:rsidRPr="005E779E">
        <w:rPr>
          <w:rStyle w:val="1014"/>
          <w:rFonts w:ascii="Times New Roman" w:eastAsia="Arial Unicode MS" w:hAnsi="Times New Roman" w:cs="Times New Roman"/>
          <w:b w:val="0"/>
          <w:iCs/>
          <w:color w:val="000000" w:themeColor="text1"/>
          <w:sz w:val="16"/>
          <w:szCs w:val="16"/>
        </w:rPr>
        <w:t xml:space="preserve"> иметь</w:t>
      </w:r>
      <w:r w:rsidRPr="005E779E">
        <w:rPr>
          <w:rFonts w:ascii="Times New Roman" w:hAnsi="Times New Roman" w:cs="Times New Roman"/>
          <w:i w:val="0"/>
          <w:color w:val="000000" w:themeColor="text1"/>
          <w:sz w:val="16"/>
          <w:szCs w:val="16"/>
        </w:rPr>
        <w:t xml:space="preserve"> шариковую опору, при</w:t>
      </w:r>
      <w:r w:rsidRPr="005E779E">
        <w:rPr>
          <w:rFonts w:ascii="Times New Roman" w:hAnsi="Times New Roman" w:cs="Times New Roman"/>
          <w:i w:val="0"/>
          <w:color w:val="000000" w:themeColor="text1"/>
          <w:sz w:val="16"/>
          <w:szCs w:val="16"/>
        </w:rPr>
        <w:softHyphen/>
        <w:t>чем шарик должен</w:t>
      </w:r>
      <w:r w:rsidRPr="005E779E">
        <w:rPr>
          <w:rStyle w:val="1014"/>
          <w:rFonts w:ascii="Times New Roman" w:eastAsia="Arial Unicode MS" w:hAnsi="Times New Roman" w:cs="Times New Roman"/>
          <w:b w:val="0"/>
          <w:iCs/>
          <w:color w:val="000000" w:themeColor="text1"/>
          <w:sz w:val="16"/>
          <w:szCs w:val="16"/>
        </w:rPr>
        <w:t xml:space="preserve"> быть взят</w:t>
      </w:r>
      <w:r w:rsidRPr="005E779E">
        <w:rPr>
          <w:rStyle w:val="10MicrosoftSansSerif"/>
          <w:rFonts w:ascii="Times New Roman" w:eastAsia="Arial Unicode MS" w:hAnsi="Times New Roman" w:cs="Times New Roman"/>
          <w:b w:val="0"/>
          <w:iCs/>
          <w:color w:val="000000" w:themeColor="text1"/>
          <w:sz w:val="16"/>
          <w:szCs w:val="16"/>
        </w:rPr>
        <w:t xml:space="preserve"> диаметром</w:t>
      </w:r>
      <w:r w:rsidRPr="005E779E">
        <w:rPr>
          <w:rStyle w:val="1014"/>
          <w:rFonts w:ascii="Times New Roman" w:eastAsia="Arial Unicode MS" w:hAnsi="Times New Roman" w:cs="Times New Roman"/>
          <w:b w:val="0"/>
          <w:iCs/>
          <w:color w:val="000000" w:themeColor="text1"/>
          <w:sz w:val="16"/>
          <w:szCs w:val="16"/>
        </w:rPr>
        <w:t xml:space="preserve"> 1,5".</w:t>
      </w:r>
      <w:r w:rsidRPr="005E779E">
        <w:rPr>
          <w:rFonts w:ascii="Times New Roman" w:hAnsi="Times New Roman" w:cs="Times New Roman"/>
          <w:i w:val="0"/>
          <w:color w:val="000000" w:themeColor="text1"/>
          <w:sz w:val="16"/>
          <w:szCs w:val="16"/>
        </w:rPr>
        <w:t xml:space="preserve"> Стандартная башня имеет большие колеса,</w:t>
      </w:r>
      <w:r w:rsidRPr="005E779E">
        <w:rPr>
          <w:rStyle w:val="1014"/>
          <w:rFonts w:ascii="Times New Roman" w:eastAsia="Arial Unicode MS" w:hAnsi="Times New Roman" w:cs="Times New Roman"/>
          <w:b w:val="0"/>
          <w:iCs/>
          <w:color w:val="000000" w:themeColor="text1"/>
          <w:sz w:val="16"/>
          <w:szCs w:val="16"/>
        </w:rPr>
        <w:t xml:space="preserve"> расположенные</w:t>
      </w:r>
      <w:r w:rsidRPr="005E779E">
        <w:rPr>
          <w:rStyle w:val="10MicrosoftSansSerif"/>
          <w:rFonts w:ascii="Times New Roman" w:eastAsia="Arial Unicode MS" w:hAnsi="Times New Roman" w:cs="Times New Roman"/>
          <w:b w:val="0"/>
          <w:iCs/>
          <w:color w:val="000000" w:themeColor="text1"/>
          <w:sz w:val="16"/>
          <w:szCs w:val="16"/>
        </w:rPr>
        <w:t xml:space="preserve"> по</w:t>
      </w:r>
      <w:r w:rsidRPr="005E779E">
        <w:rPr>
          <w:rStyle w:val="1091"/>
          <w:rFonts w:ascii="Times New Roman" w:eastAsia="Arial Unicode MS" w:hAnsi="Times New Roman" w:cs="Times New Roman"/>
          <w:b w:val="0"/>
          <w:i w:val="0"/>
          <w:iCs w:val="0"/>
          <w:color w:val="000000" w:themeColor="text1"/>
          <w:spacing w:val="0"/>
          <w:sz w:val="16"/>
          <w:szCs w:val="16"/>
        </w:rPr>
        <w:t xml:space="preserve"> внешней</w:t>
      </w:r>
      <w:r w:rsidRPr="005E779E">
        <w:rPr>
          <w:rStyle w:val="1014"/>
          <w:rFonts w:ascii="Times New Roman" w:eastAsia="Arial Unicode MS" w:hAnsi="Times New Roman" w:cs="Times New Roman"/>
          <w:b w:val="0"/>
          <w:iCs/>
          <w:color w:val="000000" w:themeColor="text1"/>
          <w:sz w:val="16"/>
          <w:szCs w:val="16"/>
        </w:rPr>
        <w:t xml:space="preserve"> стороне</w:t>
      </w:r>
      <w:r w:rsidRPr="005E779E">
        <w:rPr>
          <w:rFonts w:ascii="Times New Roman" w:hAnsi="Times New Roman" w:cs="Times New Roman"/>
          <w:i w:val="0"/>
          <w:color w:val="000000" w:themeColor="text1"/>
          <w:sz w:val="16"/>
          <w:szCs w:val="16"/>
        </w:rPr>
        <w:t xml:space="preserve"> башни, служащие для поддержания башни;</w:t>
      </w:r>
      <w:r w:rsidRPr="005E779E">
        <w:rPr>
          <w:rStyle w:val="1091"/>
          <w:rFonts w:ascii="Times New Roman" w:eastAsia="Arial Unicode MS" w:hAnsi="Times New Roman" w:cs="Times New Roman"/>
          <w:b w:val="0"/>
          <w:i w:val="0"/>
          <w:iCs w:val="0"/>
          <w:color w:val="000000" w:themeColor="text1"/>
          <w:spacing w:val="0"/>
          <w:sz w:val="16"/>
          <w:szCs w:val="16"/>
        </w:rPr>
        <w:t xml:space="preserve"> внутренние роями</w:t>
      </w:r>
      <w:r w:rsidRPr="005E779E">
        <w:rPr>
          <w:rStyle w:val="1014"/>
          <w:rFonts w:ascii="Times New Roman" w:eastAsia="Arial Unicode MS" w:hAnsi="Times New Roman" w:cs="Times New Roman"/>
          <w:b w:val="0"/>
          <w:iCs/>
          <w:color w:val="000000" w:themeColor="text1"/>
          <w:sz w:val="16"/>
          <w:szCs w:val="16"/>
        </w:rPr>
        <w:t xml:space="preserve"> служат</w:t>
      </w:r>
      <w:r w:rsidRPr="005E779E">
        <w:rPr>
          <w:rFonts w:ascii="Times New Roman" w:hAnsi="Times New Roman" w:cs="Times New Roman"/>
          <w:i w:val="0"/>
          <w:color w:val="000000" w:themeColor="text1"/>
          <w:sz w:val="16"/>
          <w:szCs w:val="16"/>
        </w:rPr>
        <w:t xml:space="preserve"> исключительно для поворачивания башни и</w:t>
      </w:r>
      <w:r w:rsidRPr="005E779E">
        <w:rPr>
          <w:rStyle w:val="1014"/>
          <w:rFonts w:ascii="Times New Roman" w:eastAsia="Arial Unicode MS" w:hAnsi="Times New Roman" w:cs="Times New Roman"/>
          <w:b w:val="0"/>
          <w:iCs/>
          <w:color w:val="000000" w:themeColor="text1"/>
          <w:sz w:val="16"/>
          <w:szCs w:val="16"/>
        </w:rPr>
        <w:t xml:space="preserve"> восприняла</w:t>
      </w:r>
      <w:r w:rsidRPr="005E779E">
        <w:rPr>
          <w:rStyle w:val="1091"/>
          <w:rFonts w:ascii="Times New Roman" w:eastAsia="Arial Unicode MS" w:hAnsi="Times New Roman" w:cs="Times New Roman"/>
          <w:b w:val="0"/>
          <w:i w:val="0"/>
          <w:iCs w:val="0"/>
          <w:color w:val="000000" w:themeColor="text1"/>
          <w:spacing w:val="0"/>
          <w:sz w:val="16"/>
          <w:szCs w:val="16"/>
        </w:rPr>
        <w:t xml:space="preserve"> силы</w:t>
      </w:r>
      <w:r w:rsidRPr="005E779E">
        <w:rPr>
          <w:rStyle w:val="10MicrosoftSansSerif"/>
          <w:rFonts w:ascii="Times New Roman" w:eastAsia="Arial Unicode MS" w:hAnsi="Times New Roman" w:cs="Times New Roman"/>
          <w:b w:val="0"/>
          <w:iCs/>
          <w:color w:val="000000" w:themeColor="text1"/>
          <w:sz w:val="16"/>
          <w:szCs w:val="16"/>
        </w:rPr>
        <w:t xml:space="preserve"> отдачи</w:t>
      </w:r>
      <w:r w:rsidRPr="005E779E">
        <w:rPr>
          <w:rStyle w:val="1014"/>
          <w:rFonts w:ascii="Times New Roman" w:eastAsia="Arial Unicode MS" w:hAnsi="Times New Roman" w:cs="Times New Roman"/>
          <w:b w:val="0"/>
          <w:iCs/>
          <w:color w:val="000000" w:themeColor="text1"/>
          <w:sz w:val="16"/>
          <w:szCs w:val="16"/>
        </w:rPr>
        <w:t xml:space="preserve"> в</w:t>
      </w:r>
      <w:r w:rsidRPr="005E779E">
        <w:rPr>
          <w:rFonts w:ascii="Times New Roman" w:hAnsi="Times New Roman" w:cs="Times New Roman"/>
          <w:i w:val="0"/>
          <w:color w:val="000000" w:themeColor="text1"/>
          <w:sz w:val="16"/>
          <w:szCs w:val="16"/>
        </w:rPr>
        <w:t xml:space="preserve"> момент выстрела. Фирма обращалась к вам</w:t>
      </w:r>
      <w:r w:rsidRPr="005E779E">
        <w:rPr>
          <w:rStyle w:val="1014"/>
          <w:rFonts w:ascii="Times New Roman" w:eastAsia="Arial Unicode MS" w:hAnsi="Times New Roman" w:cs="Times New Roman"/>
          <w:b w:val="0"/>
          <w:iCs/>
          <w:color w:val="000000" w:themeColor="text1"/>
          <w:sz w:val="16"/>
          <w:szCs w:val="16"/>
        </w:rPr>
        <w:t xml:space="preserve"> с вопросом</w:t>
      </w:r>
      <w:r w:rsidRPr="005E779E">
        <w:rPr>
          <w:rStyle w:val="10MicrosoftSansSerif"/>
          <w:rFonts w:ascii="Times New Roman" w:eastAsia="Arial Unicode MS" w:hAnsi="Times New Roman" w:cs="Times New Roman"/>
          <w:b w:val="0"/>
          <w:iCs/>
          <w:color w:val="000000" w:themeColor="text1"/>
          <w:sz w:val="16"/>
          <w:szCs w:val="16"/>
        </w:rPr>
        <w:t xml:space="preserve"> о сохранении</w:t>
      </w:r>
      <w:r w:rsidRPr="005E779E">
        <w:rPr>
          <w:rStyle w:val="1014"/>
          <w:rFonts w:ascii="Times New Roman" w:eastAsia="Arial Unicode MS" w:hAnsi="Times New Roman" w:cs="Times New Roman"/>
          <w:b w:val="0"/>
          <w:iCs/>
          <w:color w:val="000000" w:themeColor="text1"/>
          <w:sz w:val="16"/>
          <w:szCs w:val="16"/>
        </w:rPr>
        <w:t xml:space="preserve"> существующей</w:t>
      </w:r>
      <w:r w:rsidRPr="005E779E">
        <w:rPr>
          <w:rFonts w:ascii="Times New Roman" w:hAnsi="Times New Roman" w:cs="Times New Roman"/>
          <w:i w:val="0"/>
          <w:color w:val="000000" w:themeColor="text1"/>
          <w:sz w:val="16"/>
          <w:szCs w:val="16"/>
        </w:rPr>
        <w:t xml:space="preserve"> кон</w:t>
      </w:r>
      <w:r w:rsidRPr="005E779E">
        <w:rPr>
          <w:rFonts w:ascii="Times New Roman" w:hAnsi="Times New Roman" w:cs="Times New Roman"/>
          <w:i w:val="0"/>
          <w:color w:val="000000" w:themeColor="text1"/>
          <w:sz w:val="16"/>
          <w:szCs w:val="16"/>
        </w:rPr>
        <w:softHyphen/>
        <w:t>струкции, гарантируя надежность</w:t>
      </w:r>
      <w:r w:rsidRPr="005E779E">
        <w:rPr>
          <w:rStyle w:val="10MicrosoftSansSerif"/>
          <w:rFonts w:ascii="Times New Roman" w:eastAsia="Arial Unicode MS" w:hAnsi="Times New Roman" w:cs="Times New Roman"/>
          <w:b w:val="0"/>
          <w:iCs/>
          <w:color w:val="000000" w:themeColor="text1"/>
          <w:sz w:val="16"/>
          <w:szCs w:val="16"/>
        </w:rPr>
        <w:t xml:space="preserve"> и/щютюаьбашт при</w:t>
      </w:r>
      <w:r w:rsidRPr="005E779E">
        <w:rPr>
          <w:rStyle w:val="1014"/>
          <w:rFonts w:ascii="Times New Roman" w:eastAsia="Arial Unicode MS" w:hAnsi="Times New Roman" w:cs="Times New Roman"/>
          <w:b w:val="0"/>
          <w:iCs/>
          <w:color w:val="000000" w:themeColor="text1"/>
          <w:sz w:val="16"/>
          <w:szCs w:val="16"/>
        </w:rPr>
        <w:t xml:space="preserve"> заданной</w:t>
      </w:r>
      <w:r w:rsidRPr="005E779E">
        <w:rPr>
          <w:rFonts w:ascii="Times New Roman" w:hAnsi="Times New Roman" w:cs="Times New Roman"/>
          <w:i w:val="0"/>
          <w:color w:val="000000" w:themeColor="text1"/>
          <w:sz w:val="16"/>
          <w:szCs w:val="16"/>
        </w:rPr>
        <w:t xml:space="preserve"> силе отдачи5.000клгр.</w:t>
      </w:r>
      <w:r w:rsidRPr="005E779E">
        <w:rPr>
          <w:rStyle w:val="108pt"/>
          <w:rFonts w:ascii="Times New Roman" w:eastAsia="Arial Unicode MS" w:hAnsi="Times New Roman" w:cs="Times New Roman"/>
          <w:i w:val="0"/>
          <w:iCs w:val="0"/>
          <w:color w:val="000000" w:themeColor="text1"/>
        </w:rPr>
        <w:t xml:space="preserve"> |'щ</w:t>
      </w:r>
      <w:r w:rsidRPr="005E779E">
        <w:rPr>
          <w:rStyle w:val="108pt1"/>
          <w:rFonts w:ascii="Times New Roman" w:eastAsia="Arial Unicode MS" w:hAnsi="Times New Roman" w:cs="Times New Roman"/>
          <w:i w:val="0"/>
          <w:iCs w:val="0"/>
          <w:color w:val="000000" w:themeColor="text1"/>
        </w:rPr>
        <w:t xml:space="preserve"> и I и ни и питии—«цтПщщитр</w:t>
      </w:r>
      <w:r w:rsidRPr="005E779E">
        <w:rPr>
          <w:rStyle w:val="1027"/>
          <w:rFonts w:ascii="Times New Roman" w:eastAsia="Arial Unicode MS" w:hAnsi="Times New Roman" w:cs="Times New Roman"/>
          <w:i w:val="0"/>
          <w:iCs w:val="0"/>
          <w:color w:val="000000" w:themeColor="text1"/>
          <w:sz w:val="16"/>
          <w:szCs w:val="16"/>
        </w:rPr>
        <w:t xml:space="preserve"> Г щи</w:t>
      </w:r>
      <w:r w:rsidRPr="005E779E">
        <w:rPr>
          <w:rStyle w:val="108pt1"/>
          <w:rFonts w:ascii="Times New Roman" w:eastAsia="Arial Unicode MS" w:hAnsi="Times New Roman" w:cs="Times New Roman"/>
          <w:i w:val="0"/>
          <w:iCs w:val="0"/>
          <w:color w:val="000000" w:themeColor="text1"/>
        </w:rPr>
        <w:t xml:space="preserve"> ипии </w:t>
      </w:r>
      <w:r w:rsidRPr="005E779E">
        <w:rPr>
          <w:rFonts w:ascii="Times New Roman" w:hAnsi="Times New Roman" w:cs="Times New Roman"/>
          <w:i w:val="0"/>
          <w:color w:val="000000" w:themeColor="text1"/>
          <w:sz w:val="16"/>
          <w:szCs w:val="16"/>
        </w:rPr>
        <w:t>мии времени, денег и главное -</w:t>
      </w:r>
      <w:r w:rsidRPr="005E779E">
        <w:rPr>
          <w:rStyle w:val="1014"/>
          <w:rFonts w:ascii="Times New Roman" w:eastAsia="Arial Unicode MS" w:hAnsi="Times New Roman" w:cs="Times New Roman"/>
          <w:b w:val="0"/>
          <w:iCs/>
          <w:color w:val="000000" w:themeColor="text1"/>
          <w:sz w:val="16"/>
          <w:szCs w:val="16"/>
        </w:rPr>
        <w:t xml:space="preserve"> избежаюялшяявжктрукции, испы</w:t>
      </w:r>
      <w:r w:rsidRPr="005E779E">
        <w:rPr>
          <w:rStyle w:val="1014"/>
          <w:rFonts w:ascii="Times New Roman" w:eastAsia="Arial Unicode MS" w:hAnsi="Times New Roman" w:cs="Times New Roman"/>
          <w:b w:val="0"/>
          <w:iCs/>
          <w:color w:val="000000" w:themeColor="text1"/>
          <w:sz w:val="16"/>
          <w:szCs w:val="16"/>
        </w:rPr>
        <w:softHyphen/>
      </w:r>
      <w:r w:rsidRPr="005E779E">
        <w:rPr>
          <w:rFonts w:ascii="Times New Roman" w:hAnsi="Times New Roman" w:cs="Times New Roman"/>
          <w:i w:val="0"/>
          <w:color w:val="000000" w:themeColor="text1"/>
          <w:sz w:val="16"/>
          <w:szCs w:val="16"/>
        </w:rPr>
        <w:t>танной в период службы этих танков</w:t>
      </w:r>
      <w:r w:rsidRPr="005E779E">
        <w:rPr>
          <w:rStyle w:val="1014"/>
          <w:rFonts w:ascii="Times New Roman" w:eastAsia="Arial Unicode MS" w:hAnsi="Times New Roman" w:cs="Times New Roman"/>
          <w:b w:val="0"/>
          <w:iCs/>
          <w:color w:val="000000" w:themeColor="text1"/>
          <w:sz w:val="16"/>
          <w:szCs w:val="16"/>
        </w:rPr>
        <w:t xml:space="preserve"> в</w:t>
      </w:r>
      <w:r w:rsidRPr="005E779E">
        <w:rPr>
          <w:rStyle w:val="1027"/>
          <w:rFonts w:ascii="Times New Roman" w:eastAsia="Arial Unicode MS" w:hAnsi="Times New Roman" w:cs="Times New Roman"/>
          <w:i w:val="0"/>
          <w:iCs w:val="0"/>
          <w:color w:val="000000" w:themeColor="text1"/>
          <w:sz w:val="16"/>
          <w:szCs w:val="16"/>
        </w:rPr>
        <w:t xml:space="preserve"> Ермаков арич</w:t>
      </w:r>
      <w:r w:rsidRPr="005E779E">
        <w:rPr>
          <w:rStyle w:val="10MicrosoftSansSerif"/>
          <w:rFonts w:ascii="Times New Roman" w:eastAsia="Arial Unicode MS" w:hAnsi="Times New Roman" w:cs="Times New Roman"/>
          <w:b w:val="0"/>
          <w:iCs/>
          <w:color w:val="000000" w:themeColor="text1"/>
          <w:sz w:val="16"/>
          <w:szCs w:val="16"/>
        </w:rPr>
        <w:t xml:space="preserve"> я</w:t>
      </w:r>
      <w:r w:rsidRPr="005E779E">
        <w:rPr>
          <w:rStyle w:val="1014"/>
          <w:rFonts w:ascii="Times New Roman" w:eastAsia="Arial Unicode MS" w:hAnsi="Times New Roman" w:cs="Times New Roman"/>
          <w:b w:val="0"/>
          <w:iCs/>
          <w:color w:val="000000" w:themeColor="text1"/>
          <w:sz w:val="16"/>
          <w:szCs w:val="16"/>
        </w:rPr>
        <w:t xml:space="preserve"> ответил со</w:t>
      </w:r>
      <w:r w:rsidRPr="005E779E">
        <w:rPr>
          <w:rFonts w:ascii="Times New Roman" w:hAnsi="Times New Roman" w:cs="Times New Roman"/>
          <w:i w:val="0"/>
          <w:color w:val="000000" w:themeColor="text1"/>
          <w:sz w:val="16"/>
          <w:szCs w:val="16"/>
        </w:rPr>
        <w:t>гласием. Сейчас, если с Вашей стороны имеются другие указания, это можно исправить и выполнить в точности по Вашим указаниям.</w:t>
      </w:r>
    </w:p>
    <w:p w14:paraId="0C3B1589" w14:textId="77777777" w:rsidR="00445005" w:rsidRPr="005E779E" w:rsidRDefault="00445005" w:rsidP="000B7A6C">
      <w:pPr>
        <w:pStyle w:val="1010"/>
        <w:shd w:val="clear" w:color="auto" w:fill="auto"/>
        <w:spacing w:line="240" w:lineRule="auto"/>
        <w:ind w:firstLine="0"/>
        <w:rPr>
          <w:rFonts w:ascii="Times New Roman" w:hAnsi="Times New Roman" w:cs="Times New Roman"/>
          <w:i w:val="0"/>
          <w:color w:val="000000" w:themeColor="text1"/>
          <w:sz w:val="16"/>
          <w:szCs w:val="16"/>
        </w:rPr>
      </w:pPr>
      <w:r w:rsidRPr="005E779E">
        <w:rPr>
          <w:rFonts w:ascii="Times New Roman" w:hAnsi="Times New Roman" w:cs="Times New Roman"/>
          <w:i w:val="0"/>
          <w:color w:val="000000" w:themeColor="text1"/>
          <w:sz w:val="16"/>
          <w:szCs w:val="16"/>
        </w:rPr>
        <w:t>2. Укладка боеприпасов.</w:t>
      </w:r>
    </w:p>
    <w:p w14:paraId="51B5E131" w14:textId="77777777" w:rsidR="00445005" w:rsidRPr="005E779E" w:rsidRDefault="00445005" w:rsidP="000B7A6C">
      <w:pPr>
        <w:pStyle w:val="1010"/>
        <w:shd w:val="clear" w:color="auto" w:fill="auto"/>
        <w:spacing w:line="240" w:lineRule="auto"/>
        <w:ind w:firstLine="0"/>
        <w:rPr>
          <w:rFonts w:ascii="Times New Roman" w:hAnsi="Times New Roman" w:cs="Times New Roman"/>
          <w:i w:val="0"/>
          <w:color w:val="000000" w:themeColor="text1"/>
          <w:sz w:val="16"/>
          <w:szCs w:val="16"/>
        </w:rPr>
      </w:pPr>
      <w:r w:rsidRPr="005E779E">
        <w:rPr>
          <w:rFonts w:ascii="Times New Roman" w:hAnsi="Times New Roman" w:cs="Times New Roman"/>
          <w:i w:val="0"/>
          <w:color w:val="000000" w:themeColor="text1"/>
          <w:sz w:val="16"/>
          <w:szCs w:val="16"/>
        </w:rPr>
        <w:t>Что нами задавалось по нашим переделкам фирме:</w:t>
      </w:r>
    </w:p>
    <w:p w14:paraId="498CE606" w14:textId="77777777" w:rsidR="00445005" w:rsidRPr="005E779E" w:rsidRDefault="00445005" w:rsidP="000B7A6C">
      <w:pPr>
        <w:pStyle w:val="1010"/>
        <w:shd w:val="clear" w:color="auto" w:fill="auto"/>
        <w:spacing w:line="240" w:lineRule="auto"/>
        <w:ind w:firstLine="0"/>
        <w:rPr>
          <w:rFonts w:ascii="Times New Roman" w:hAnsi="Times New Roman" w:cs="Times New Roman"/>
          <w:i w:val="0"/>
          <w:color w:val="000000" w:themeColor="text1"/>
          <w:sz w:val="16"/>
          <w:szCs w:val="16"/>
        </w:rPr>
      </w:pPr>
      <w:r w:rsidRPr="005E779E">
        <w:rPr>
          <w:rFonts w:ascii="Times New Roman" w:hAnsi="Times New Roman" w:cs="Times New Roman"/>
          <w:i w:val="0"/>
          <w:color w:val="000000" w:themeColor="text1"/>
          <w:sz w:val="16"/>
          <w:szCs w:val="16"/>
        </w:rPr>
        <w:t>а/Снаряды.</w:t>
      </w:r>
    </w:p>
    <w:p w14:paraId="3D614A1F" w14:textId="77777777" w:rsidR="00445005" w:rsidRPr="005E779E" w:rsidRDefault="00445005" w:rsidP="000B7A6C">
      <w:pPr>
        <w:pStyle w:val="1010"/>
        <w:shd w:val="clear" w:color="auto" w:fill="auto"/>
        <w:spacing w:line="240" w:lineRule="auto"/>
        <w:ind w:firstLine="0"/>
        <w:rPr>
          <w:rFonts w:ascii="Times New Roman" w:hAnsi="Times New Roman" w:cs="Times New Roman"/>
          <w:i w:val="0"/>
          <w:color w:val="000000" w:themeColor="text1"/>
          <w:sz w:val="16"/>
          <w:szCs w:val="16"/>
        </w:rPr>
      </w:pPr>
      <w:r w:rsidRPr="005E779E">
        <w:rPr>
          <w:rFonts w:ascii="Times New Roman" w:hAnsi="Times New Roman" w:cs="Times New Roman"/>
          <w:i w:val="0"/>
          <w:color w:val="000000" w:themeColor="text1"/>
          <w:sz w:val="16"/>
          <w:szCs w:val="16"/>
        </w:rPr>
        <w:t>Укладка снарядов распадается на следующие секции: вдоль левой стенки корпуса под полом в трех специальных ящиках по 24 снаряда - всего 72 снаряда.</w:t>
      </w:r>
    </w:p>
    <w:p w14:paraId="58656E36" w14:textId="77777777" w:rsidR="00445005" w:rsidRPr="005E779E" w:rsidRDefault="00445005" w:rsidP="000B7A6C">
      <w:pPr>
        <w:pStyle w:val="1010"/>
        <w:shd w:val="clear" w:color="auto" w:fill="auto"/>
        <w:spacing w:line="240" w:lineRule="auto"/>
        <w:ind w:firstLine="0"/>
        <w:rPr>
          <w:rFonts w:ascii="Times New Roman" w:hAnsi="Times New Roman" w:cs="Times New Roman"/>
          <w:i w:val="0"/>
          <w:color w:val="000000" w:themeColor="text1"/>
          <w:sz w:val="16"/>
          <w:szCs w:val="16"/>
        </w:rPr>
      </w:pPr>
      <w:r w:rsidRPr="005E779E">
        <w:rPr>
          <w:rFonts w:ascii="Times New Roman" w:hAnsi="Times New Roman" w:cs="Times New Roman"/>
          <w:i w:val="0"/>
          <w:color w:val="000000" w:themeColor="text1"/>
          <w:sz w:val="16"/>
          <w:szCs w:val="16"/>
        </w:rPr>
        <w:lastRenderedPageBreak/>
        <w:t>Вдоль правой стенки корпуса на половину по высоте два ящика: в одном - 6 снарядов, в другом - 9. Всего - 15 снарядов.</w:t>
      </w:r>
    </w:p>
    <w:p w14:paraId="4641FD7C" w14:textId="77777777" w:rsidR="00445005" w:rsidRPr="005E779E" w:rsidRDefault="00445005" w:rsidP="000B7A6C">
      <w:pPr>
        <w:pStyle w:val="1010"/>
        <w:shd w:val="clear" w:color="auto" w:fill="auto"/>
        <w:spacing w:line="240" w:lineRule="auto"/>
        <w:ind w:firstLine="0"/>
        <w:rPr>
          <w:rFonts w:ascii="Times New Roman" w:hAnsi="Times New Roman" w:cs="Times New Roman"/>
          <w:i w:val="0"/>
          <w:color w:val="000000" w:themeColor="text1"/>
          <w:sz w:val="16"/>
          <w:szCs w:val="16"/>
        </w:rPr>
      </w:pPr>
      <w:r w:rsidRPr="005E779E">
        <w:rPr>
          <w:rFonts w:ascii="Times New Roman" w:hAnsi="Times New Roman" w:cs="Times New Roman"/>
          <w:i w:val="0"/>
          <w:color w:val="000000" w:themeColor="text1"/>
          <w:sz w:val="16"/>
          <w:szCs w:val="16"/>
        </w:rPr>
        <w:t>Оставшиеся три снаряда подвешены вдоль правой стенки около двери. Таким образом, общая сумма - 90 снарядов.</w:t>
      </w:r>
    </w:p>
    <w:p w14:paraId="6CA65F27" w14:textId="77777777" w:rsidR="00445005" w:rsidRPr="005E779E" w:rsidRDefault="00445005" w:rsidP="000B7A6C">
      <w:pPr>
        <w:pStyle w:val="1010"/>
        <w:shd w:val="clear" w:color="auto" w:fill="auto"/>
        <w:spacing w:line="240" w:lineRule="auto"/>
        <w:ind w:firstLine="0"/>
        <w:rPr>
          <w:rFonts w:ascii="Times New Roman" w:hAnsi="Times New Roman" w:cs="Times New Roman"/>
          <w:i w:val="0"/>
          <w:color w:val="000000" w:themeColor="text1"/>
          <w:sz w:val="16"/>
          <w:szCs w:val="16"/>
        </w:rPr>
      </w:pPr>
      <w:r w:rsidRPr="005E779E">
        <w:rPr>
          <w:rFonts w:ascii="Times New Roman" w:hAnsi="Times New Roman" w:cs="Times New Roman"/>
          <w:i w:val="0"/>
          <w:color w:val="000000" w:themeColor="text1"/>
          <w:sz w:val="16"/>
          <w:szCs w:val="16"/>
        </w:rPr>
        <w:t>б/Пулеметные патроны.</w:t>
      </w:r>
    </w:p>
    <w:p w14:paraId="459D4498" w14:textId="77777777" w:rsidR="00445005" w:rsidRPr="005E779E" w:rsidRDefault="00445005" w:rsidP="000B7A6C">
      <w:pPr>
        <w:pStyle w:val="1010"/>
        <w:shd w:val="clear" w:color="auto" w:fill="auto"/>
        <w:spacing w:line="240" w:lineRule="auto"/>
        <w:ind w:firstLine="0"/>
        <w:rPr>
          <w:rFonts w:ascii="Times New Roman" w:hAnsi="Times New Roman" w:cs="Times New Roman"/>
          <w:i w:val="0"/>
          <w:color w:val="000000" w:themeColor="text1"/>
          <w:sz w:val="16"/>
          <w:szCs w:val="16"/>
        </w:rPr>
      </w:pPr>
      <w:r w:rsidRPr="005E779E">
        <w:rPr>
          <w:rFonts w:ascii="Times New Roman" w:hAnsi="Times New Roman" w:cs="Times New Roman"/>
          <w:i w:val="0"/>
          <w:color w:val="000000" w:themeColor="text1"/>
          <w:sz w:val="16"/>
          <w:szCs w:val="16"/>
        </w:rPr>
        <w:t>Вдоль бензинного бака -12 обойм.</w:t>
      </w:r>
    </w:p>
    <w:p w14:paraId="3D5D4493" w14:textId="77777777" w:rsidR="00445005" w:rsidRPr="005E779E" w:rsidRDefault="00445005" w:rsidP="000B7A6C">
      <w:pPr>
        <w:pStyle w:val="1010"/>
        <w:shd w:val="clear" w:color="auto" w:fill="auto"/>
        <w:spacing w:line="240" w:lineRule="auto"/>
        <w:ind w:firstLine="0"/>
        <w:rPr>
          <w:rFonts w:ascii="Times New Roman" w:hAnsi="Times New Roman" w:cs="Times New Roman"/>
          <w:i w:val="0"/>
          <w:color w:val="000000" w:themeColor="text1"/>
          <w:sz w:val="16"/>
          <w:szCs w:val="16"/>
        </w:rPr>
      </w:pPr>
      <w:r w:rsidRPr="005E779E">
        <w:rPr>
          <w:rFonts w:ascii="Times New Roman" w:hAnsi="Times New Roman" w:cs="Times New Roman"/>
          <w:i w:val="0"/>
          <w:color w:val="000000" w:themeColor="text1"/>
          <w:sz w:val="16"/>
          <w:szCs w:val="16"/>
        </w:rPr>
        <w:t>По кожуху трансмиссии-24 обойм.</w:t>
      </w:r>
    </w:p>
    <w:p w14:paraId="3E1C8E93" w14:textId="77777777" w:rsidR="00445005" w:rsidRPr="005E779E" w:rsidRDefault="00445005" w:rsidP="000B7A6C">
      <w:pPr>
        <w:pStyle w:val="1010"/>
        <w:shd w:val="clear" w:color="auto" w:fill="auto"/>
        <w:spacing w:line="240" w:lineRule="auto"/>
        <w:ind w:firstLine="0"/>
        <w:rPr>
          <w:rFonts w:ascii="Times New Roman" w:hAnsi="Times New Roman" w:cs="Times New Roman"/>
          <w:i w:val="0"/>
          <w:color w:val="000000" w:themeColor="text1"/>
          <w:sz w:val="16"/>
          <w:szCs w:val="16"/>
        </w:rPr>
      </w:pPr>
      <w:r w:rsidRPr="005E779E">
        <w:rPr>
          <w:rFonts w:ascii="Times New Roman" w:hAnsi="Times New Roman" w:cs="Times New Roman"/>
          <w:i w:val="0"/>
          <w:color w:val="000000" w:themeColor="text1"/>
          <w:sz w:val="16"/>
          <w:szCs w:val="16"/>
        </w:rPr>
        <w:t>По правой стороне корпуса - 29 обойм.</w:t>
      </w:r>
    </w:p>
    <w:p w14:paraId="689668B4" w14:textId="77777777" w:rsidR="00445005" w:rsidRPr="005E779E" w:rsidRDefault="00445005" w:rsidP="000B7A6C">
      <w:pPr>
        <w:pStyle w:val="1010"/>
        <w:shd w:val="clear" w:color="auto" w:fill="auto"/>
        <w:spacing w:line="240" w:lineRule="auto"/>
        <w:ind w:firstLine="0"/>
        <w:rPr>
          <w:rFonts w:ascii="Times New Roman" w:hAnsi="Times New Roman" w:cs="Times New Roman"/>
          <w:i w:val="0"/>
          <w:color w:val="000000" w:themeColor="text1"/>
          <w:sz w:val="16"/>
          <w:szCs w:val="16"/>
        </w:rPr>
      </w:pPr>
      <w:r w:rsidRPr="005E779E">
        <w:rPr>
          <w:rFonts w:ascii="Times New Roman" w:hAnsi="Times New Roman" w:cs="Times New Roman"/>
          <w:i w:val="0"/>
          <w:color w:val="000000" w:themeColor="text1"/>
          <w:sz w:val="16"/>
          <w:szCs w:val="16"/>
        </w:rPr>
        <w:t>По левой стороне корпуса-10 обойм.</w:t>
      </w:r>
    </w:p>
    <w:p w14:paraId="6D3BB048" w14:textId="77777777" w:rsidR="00445005" w:rsidRPr="005E779E" w:rsidRDefault="00445005" w:rsidP="000B7A6C">
      <w:pPr>
        <w:pStyle w:val="1010"/>
        <w:shd w:val="clear" w:color="auto" w:fill="auto"/>
        <w:spacing w:line="240" w:lineRule="auto"/>
        <w:ind w:firstLine="0"/>
        <w:rPr>
          <w:rFonts w:ascii="Times New Roman" w:hAnsi="Times New Roman" w:cs="Times New Roman"/>
          <w:i w:val="0"/>
          <w:color w:val="000000" w:themeColor="text1"/>
          <w:sz w:val="16"/>
          <w:szCs w:val="16"/>
        </w:rPr>
      </w:pPr>
      <w:r w:rsidRPr="005E779E">
        <w:rPr>
          <w:rFonts w:ascii="Times New Roman" w:hAnsi="Times New Roman" w:cs="Times New Roman"/>
          <w:i w:val="0"/>
          <w:color w:val="000000" w:themeColor="text1"/>
          <w:sz w:val="16"/>
          <w:szCs w:val="16"/>
        </w:rPr>
        <w:t>Всего: 75 обойм.</w:t>
      </w:r>
    </w:p>
    <w:p w14:paraId="25E6B3C4" w14:textId="77777777" w:rsidR="00445005" w:rsidRPr="005E779E" w:rsidRDefault="00445005" w:rsidP="000B7A6C">
      <w:pPr>
        <w:pStyle w:val="1010"/>
        <w:shd w:val="clear" w:color="auto" w:fill="auto"/>
        <w:spacing w:line="240" w:lineRule="auto"/>
        <w:ind w:firstLine="0"/>
        <w:rPr>
          <w:rFonts w:ascii="Times New Roman" w:hAnsi="Times New Roman" w:cs="Times New Roman"/>
          <w:i w:val="0"/>
          <w:color w:val="000000" w:themeColor="text1"/>
          <w:sz w:val="16"/>
          <w:szCs w:val="16"/>
        </w:rPr>
      </w:pPr>
      <w:r w:rsidRPr="005E779E">
        <w:rPr>
          <w:rFonts w:ascii="Times New Roman" w:hAnsi="Times New Roman" w:cs="Times New Roman"/>
          <w:i w:val="0"/>
          <w:color w:val="000000" w:themeColor="text1"/>
          <w:sz w:val="16"/>
          <w:szCs w:val="16"/>
        </w:rPr>
        <w:t>Наиболее слабое место в расположении пулеметных обойм это вдоль по кожуху трансмиссии, так как это сильно затрудняет доступ к заднему коробу и фрикционам. По заявлению фирмы, таким же спосо</w:t>
      </w:r>
      <w:r w:rsidRPr="005E779E">
        <w:rPr>
          <w:rFonts w:ascii="Times New Roman" w:hAnsi="Times New Roman" w:cs="Times New Roman"/>
          <w:i w:val="0"/>
          <w:color w:val="000000" w:themeColor="text1"/>
          <w:sz w:val="16"/>
          <w:szCs w:val="16"/>
        </w:rPr>
        <w:softHyphen/>
        <w:t>бом расположены и пулеметные ящики для Британского Военного Ми</w:t>
      </w:r>
      <w:r w:rsidRPr="005E779E">
        <w:rPr>
          <w:rFonts w:ascii="Times New Roman" w:hAnsi="Times New Roman" w:cs="Times New Roman"/>
          <w:i w:val="0"/>
          <w:color w:val="000000" w:themeColor="text1"/>
          <w:sz w:val="16"/>
          <w:szCs w:val="16"/>
        </w:rPr>
        <w:softHyphen/>
        <w:t>нистерства.</w:t>
      </w:r>
    </w:p>
    <w:p w14:paraId="1E8B388D" w14:textId="77777777" w:rsidR="00445005" w:rsidRPr="005E779E" w:rsidRDefault="00445005" w:rsidP="000B7A6C">
      <w:pPr>
        <w:pStyle w:val="1010"/>
        <w:shd w:val="clear" w:color="auto" w:fill="auto"/>
        <w:spacing w:line="240" w:lineRule="auto"/>
        <w:ind w:firstLine="0"/>
        <w:rPr>
          <w:rFonts w:ascii="Times New Roman" w:hAnsi="Times New Roman" w:cs="Times New Roman"/>
          <w:i w:val="0"/>
          <w:color w:val="000000" w:themeColor="text1"/>
          <w:sz w:val="16"/>
          <w:szCs w:val="16"/>
        </w:rPr>
      </w:pPr>
      <w:r w:rsidRPr="005E779E">
        <w:rPr>
          <w:rFonts w:ascii="Times New Roman" w:hAnsi="Times New Roman" w:cs="Times New Roman"/>
          <w:i w:val="0"/>
          <w:color w:val="000000" w:themeColor="text1"/>
          <w:sz w:val="16"/>
          <w:szCs w:val="16"/>
        </w:rPr>
        <w:t>По моему мнению, без особой трудности можно отказаться от этих трех снарядов, так как кроме затруднений и занятий для других целей нужного места, мы ничего иметь не будем» (15745).</w:t>
      </w:r>
    </w:p>
    <w:p w14:paraId="5E054499" w14:textId="77777777" w:rsidR="00445005" w:rsidRPr="005E779E" w:rsidRDefault="00445005" w:rsidP="000B7A6C">
      <w:pPr>
        <w:pStyle w:val="a3"/>
        <w:rPr>
          <w:color w:val="000000" w:themeColor="text1"/>
          <w:lang w:val="ru-RU"/>
        </w:rPr>
      </w:pPr>
    </w:p>
    <w:p w14:paraId="0B259773" w14:textId="77777777" w:rsidR="00445005" w:rsidRPr="005E779E" w:rsidRDefault="00445005" w:rsidP="000B7A6C">
      <w:pPr>
        <w:spacing w:after="0" w:line="240" w:lineRule="auto"/>
        <w:jc w:val="both"/>
        <w:rPr>
          <w:rStyle w:val="af0"/>
          <w:rFonts w:ascii="Times New Roman" w:hAnsi="Times New Roman"/>
          <w:i w:val="0"/>
          <w:color w:val="000000" w:themeColor="text1"/>
          <w:sz w:val="16"/>
          <w:szCs w:val="16"/>
        </w:rPr>
      </w:pPr>
      <w:r w:rsidRPr="005E779E">
        <w:rPr>
          <w:rFonts w:ascii="Times New Roman" w:hAnsi="Times New Roman"/>
          <w:bCs/>
          <w:color w:val="000000" w:themeColor="text1"/>
          <w:sz w:val="16"/>
          <w:szCs w:val="16"/>
        </w:rPr>
        <w:t>16 декабря 1931 г. — Справка Военно-морской инспекции НК РКИ СССР о развитии порохового производства</w:t>
      </w:r>
    </w:p>
    <w:p w14:paraId="3C2FBF8A"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Style w:val="af0"/>
          <w:rFonts w:ascii="Times New Roman" w:hAnsi="Times New Roman"/>
          <w:i w:val="0"/>
          <w:color w:val="000000" w:themeColor="text1"/>
          <w:sz w:val="16"/>
          <w:szCs w:val="16"/>
        </w:rPr>
        <w:t>Совершенно секретно.</w:t>
      </w:r>
    </w:p>
    <w:p w14:paraId="0ED3E3C8"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Положение с развитием мощностей пороховых заводов представляется, по данным ВМИ, в следующем виде:</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18"/>
        <w:gridCol w:w="2641"/>
        <w:gridCol w:w="2465"/>
        <w:gridCol w:w="2641"/>
        <w:gridCol w:w="2657"/>
      </w:tblGrid>
      <w:tr w:rsidR="001002C3" w:rsidRPr="005E779E" w14:paraId="36336F6E" w14:textId="77777777" w:rsidTr="004F5DFE">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1D6308B"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Заводы</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411129E0"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План развития мощностей, разработанный Комиссией т. Косиора в 1928 г. и утвержденный Президиумом ВСНХ и РЗ СТО</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A804713"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Фактическая мощность на 1 марта 1931 г.</w:t>
            </w:r>
          </w:p>
        </w:tc>
      </w:tr>
      <w:tr w:rsidR="001002C3" w:rsidRPr="005E779E" w14:paraId="3AD7F2B5" w14:textId="77777777" w:rsidTr="004F5DFE">
        <w:tc>
          <w:tcPr>
            <w:tcW w:w="0" w:type="auto"/>
            <w:vMerge/>
            <w:tcBorders>
              <w:top w:val="outset" w:sz="6" w:space="0" w:color="auto"/>
              <w:left w:val="outset" w:sz="6" w:space="0" w:color="auto"/>
              <w:bottom w:val="outset" w:sz="6" w:space="0" w:color="auto"/>
              <w:right w:val="outset" w:sz="6" w:space="0" w:color="auto"/>
            </w:tcBorders>
            <w:vAlign w:val="center"/>
            <w:hideMark/>
          </w:tcPr>
          <w:p w14:paraId="6E46AC65" w14:textId="77777777" w:rsidR="00987BB5" w:rsidRPr="005E779E" w:rsidRDefault="00987BB5" w:rsidP="000B7A6C">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508BF0"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октября 1928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549BC"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января 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CBA7915"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октября 1930 г.</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8C3CE8D" w14:textId="77777777" w:rsidR="00987BB5" w:rsidRPr="005E779E" w:rsidRDefault="00987BB5" w:rsidP="000B7A6C">
            <w:pPr>
              <w:spacing w:after="0" w:line="240" w:lineRule="auto"/>
              <w:jc w:val="both"/>
              <w:rPr>
                <w:rFonts w:ascii="Times New Roman" w:hAnsi="Times New Roman"/>
                <w:color w:val="000000" w:themeColor="text1"/>
                <w:sz w:val="16"/>
                <w:szCs w:val="16"/>
              </w:rPr>
            </w:pPr>
          </w:p>
        </w:tc>
      </w:tr>
      <w:tr w:rsidR="001002C3" w:rsidRPr="005E779E" w14:paraId="0178782A"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0986CA6C"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Казанский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3103B59"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C17BF4"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BD2970"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EB99CE"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5500</w:t>
            </w:r>
          </w:p>
        </w:tc>
      </w:tr>
      <w:tr w:rsidR="001002C3" w:rsidRPr="005E779E" w14:paraId="66D59EBB"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05A68E58"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им. Косякова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1AF8A74"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1665</w:t>
            </w:r>
          </w:p>
        </w:tc>
        <w:tc>
          <w:tcPr>
            <w:tcW w:w="0" w:type="auto"/>
            <w:tcBorders>
              <w:top w:val="outset" w:sz="6" w:space="0" w:color="auto"/>
              <w:left w:val="outset" w:sz="6" w:space="0" w:color="auto"/>
              <w:bottom w:val="outset" w:sz="6" w:space="0" w:color="auto"/>
              <w:right w:val="outset" w:sz="6" w:space="0" w:color="auto"/>
            </w:tcBorders>
            <w:vAlign w:val="center"/>
            <w:hideMark/>
          </w:tcPr>
          <w:p w14:paraId="265F6A3A"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7B04BE"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1C66A"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4000</w:t>
            </w:r>
          </w:p>
        </w:tc>
      </w:tr>
      <w:tr w:rsidR="001002C3" w:rsidRPr="005E779E" w14:paraId="37C5A2FF"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2C375E0D"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Шостенский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31FE4B3"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9587E9"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8BCA2A"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D782E8"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6260</w:t>
            </w:r>
          </w:p>
        </w:tc>
      </w:tr>
      <w:tr w:rsidR="001002C3" w:rsidRPr="005E779E" w14:paraId="7966E580"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340AEAA0"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Тамбовский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1D7DBBC"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158C71"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B9C063"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168131"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7500</w:t>
            </w:r>
          </w:p>
        </w:tc>
      </w:tr>
    </w:tbl>
    <w:p w14:paraId="7B7F623F"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Однако и эту мощность нельзя считать реальной.</w:t>
      </w:r>
    </w:p>
    <w:p w14:paraId="60E909BD"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По взрывчатым веществам за тот же период (с 1 октября 1928 г. по 1 октября 1930 г.) мощность должна была возрасти с 10 тыс. т тротила до 20 тыс. т. Формально эта мощность достигнута, однако ввиду запоздания расширения и реконструкции теплосилового хозяйства и водоснабжения фактическая мощность не превышает 13</w:t>
      </w:r>
      <w:r w:rsidRPr="005E779E">
        <w:rPr>
          <w:color w:val="000000" w:themeColor="text1"/>
          <w:sz w:val="16"/>
          <w:szCs w:val="16"/>
        </w:rPr>
        <w:noBreakHyphen/>
        <w:t>14 тыс. т. Причины срыва строительства:</w:t>
      </w:r>
    </w:p>
    <w:p w14:paraId="6727856E"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1. Расхлябанность аппарата и отсутствие руководства заводом со стороны ВХТ (отсутствие четкого планирования, беспорядочное и беспроектное строительство, диспропорция в строительстве, хаос на заводах).</w:t>
      </w:r>
    </w:p>
    <w:p w14:paraId="7236AAC5"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2. Неудовлетворительное планирование и отсутствие фактического наблюдения заходом строительства со стороны МПС ВСНХ.</w:t>
      </w:r>
    </w:p>
    <w:p w14:paraId="3642314B"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Из ассигнованных Вохимтресту за два года 165 млн. руб. он фактически израсходовал лишь 91 млн. руб., не получив никакого положительного эффекта в отношении наращения мощностей.</w:t>
      </w:r>
    </w:p>
    <w:p w14:paraId="2469C91D"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Крайне плохо обстоит дело с оборудованием для строительства 1931 г., что ставит под угрозу выполнение плана строительства в целом.</w:t>
      </w:r>
    </w:p>
    <w:p w14:paraId="0955203A" w14:textId="77777777" w:rsidR="00987BB5" w:rsidRPr="005E779E" w:rsidRDefault="00987BB5" w:rsidP="000B7A6C">
      <w:pPr>
        <w:pStyle w:val="ae"/>
        <w:spacing w:before="0" w:after="0"/>
        <w:jc w:val="both"/>
        <w:rPr>
          <w:color w:val="000000" w:themeColor="text1"/>
          <w:sz w:val="16"/>
          <w:szCs w:val="16"/>
        </w:rPr>
      </w:pPr>
      <w:r w:rsidRPr="005E779E">
        <w:rPr>
          <w:rStyle w:val="af0"/>
          <w:i w:val="0"/>
          <w:color w:val="000000" w:themeColor="text1"/>
          <w:sz w:val="16"/>
          <w:szCs w:val="16"/>
        </w:rPr>
        <w:t>Примечание</w:t>
      </w:r>
      <w:r w:rsidRPr="005E779E">
        <w:rPr>
          <w:color w:val="000000" w:themeColor="text1"/>
          <w:sz w:val="16"/>
          <w:szCs w:val="16"/>
        </w:rPr>
        <w:t>:</w:t>
      </w:r>
    </w:p>
    <w:p w14:paraId="21C1F783" w14:textId="77777777" w:rsidR="00987BB5" w:rsidRPr="005E779E" w:rsidRDefault="00987BB5" w:rsidP="000B7A6C">
      <w:pPr>
        <w:pStyle w:val="ae"/>
        <w:spacing w:before="0" w:after="0"/>
        <w:jc w:val="both"/>
        <w:rPr>
          <w:color w:val="000000" w:themeColor="text1"/>
          <w:sz w:val="16"/>
          <w:szCs w:val="16"/>
        </w:rPr>
      </w:pPr>
      <w:r w:rsidRPr="005E779E">
        <w:rPr>
          <w:color w:val="000000" w:themeColor="text1"/>
          <w:sz w:val="16"/>
          <w:szCs w:val="16"/>
          <w:vertAlign w:val="superscript"/>
        </w:rPr>
        <w:t>1</w:t>
      </w:r>
      <w:r w:rsidRPr="005E779E">
        <w:rPr>
          <w:color w:val="000000" w:themeColor="text1"/>
          <w:sz w:val="16"/>
          <w:szCs w:val="16"/>
        </w:rPr>
        <w:t>* Датируется по помете на документе.</w:t>
      </w:r>
    </w:p>
    <w:p w14:paraId="29411709" w14:textId="77777777" w:rsidR="00987BB5" w:rsidRPr="005E779E" w:rsidRDefault="00987BB5" w:rsidP="000B7A6C">
      <w:pPr>
        <w:pStyle w:val="ae"/>
        <w:spacing w:before="0" w:after="0"/>
        <w:jc w:val="both"/>
        <w:rPr>
          <w:color w:val="000000" w:themeColor="text1"/>
          <w:sz w:val="16"/>
          <w:szCs w:val="16"/>
        </w:rPr>
      </w:pPr>
      <w:r w:rsidRPr="005E779E">
        <w:rPr>
          <w:color w:val="000000" w:themeColor="text1"/>
          <w:sz w:val="16"/>
          <w:szCs w:val="16"/>
        </w:rPr>
        <w:t>ГА РФ. Ф. Р-8418. Оп. 5. Д. 30. Л. 84. Копия.</w:t>
      </w:r>
    </w:p>
    <w:p w14:paraId="411D81D2"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Архив: ГА РФ. Ф. Р-8418. Оп. 5. Д. 30. Л. 84. Копия. </w:t>
      </w:r>
    </w:p>
    <w:p w14:paraId="240A2F0E"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Источник: Становление оборонно-промышленного комплекса СССР (1927-1932). М. 2008, стр. 593 (12543).</w:t>
      </w:r>
    </w:p>
    <w:p w14:paraId="35BBF6CA" w14:textId="77777777" w:rsidR="00987BB5" w:rsidRPr="005E779E" w:rsidRDefault="00987BB5" w:rsidP="000B7A6C">
      <w:pPr>
        <w:spacing w:after="0" w:line="240" w:lineRule="auto"/>
        <w:jc w:val="both"/>
        <w:rPr>
          <w:rFonts w:ascii="Times New Roman" w:hAnsi="Times New Roman"/>
          <w:color w:val="000000" w:themeColor="text1"/>
          <w:sz w:val="16"/>
          <w:szCs w:val="16"/>
        </w:rPr>
      </w:pPr>
    </w:p>
    <w:p w14:paraId="06F780E6"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16 декабря 1931 </w:t>
      </w:r>
      <w:r w:rsidRPr="005E779E">
        <w:rPr>
          <w:rFonts w:ascii="Times New Roman" w:hAnsi="Times New Roman"/>
          <w:color w:val="000000" w:themeColor="text1"/>
          <w:sz w:val="16"/>
          <w:szCs w:val="16"/>
        </w:rPr>
        <w:t>Политбюро ЦК ВКП (б) приняло решения: о включении в народнохозяйственный план 1932 г. строительства трех азотных заводов, о постройке Чирчикского энергохимического комбината в течение двух лет; признало ход строительства Нижне-Тагильского металлургического завода неудовлетворительным (12265).</w:t>
      </w:r>
    </w:p>
    <w:p w14:paraId="60189F0A"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2B9A3846" w14:textId="77777777" w:rsidR="00D562AF" w:rsidRPr="005E779E" w:rsidRDefault="00D562AF"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566D8FA6" w14:textId="77777777" w:rsidR="00D562AF" w:rsidRPr="005E779E" w:rsidRDefault="00D562AF"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42CB250" w14:textId="77777777" w:rsidR="00D562AF" w:rsidRPr="005E779E" w:rsidRDefault="00D562A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 декабря 1931. В Москве основан первый в мире цыганский театр "Ромэн" (18724).</w:t>
      </w:r>
    </w:p>
    <w:p w14:paraId="01C18D32" w14:textId="77777777" w:rsidR="00D562AF" w:rsidRPr="005E779E" w:rsidRDefault="00D562AF" w:rsidP="000B7A6C">
      <w:pPr>
        <w:spacing w:after="0" w:line="240" w:lineRule="auto"/>
        <w:jc w:val="both"/>
        <w:rPr>
          <w:rFonts w:ascii="Times New Roman" w:hAnsi="Times New Roman"/>
          <w:color w:val="000000" w:themeColor="text1"/>
          <w:sz w:val="16"/>
          <w:szCs w:val="16"/>
        </w:rPr>
      </w:pPr>
    </w:p>
    <w:p w14:paraId="79525A61"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67622350"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AF1B0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 декабря 1931 Чан Кайши, оказавшись несостоятельным в борьбе против японцев, отказался от занимаемых постов и в конце декабря было составлено новое правительство во главе с Сунь Фо, хотя реальная власть осталась в его руках (3878,3).</w:t>
      </w:r>
    </w:p>
    <w:p w14:paraId="6507ED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C1FC7F2" w14:textId="77777777" w:rsidR="00987BB5"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6A469662" w14:textId="77777777" w:rsidR="00987BB5" w:rsidRPr="005E779E" w:rsidRDefault="00987BB5"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1041707" w14:textId="77777777" w:rsidR="00987BB5" w:rsidRPr="005E779E" w:rsidRDefault="00987BB5"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17 декабря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Постановление СНК СССР (протокольное) о руководстве кампаний по заключению договоров на 1932 г. (ГА РФ. Ф. Р?8418. Оп. 6. Д. 3. Л. 15) (12415).</w:t>
      </w:r>
    </w:p>
    <w:p w14:paraId="04F430D4" w14:textId="77777777" w:rsidR="00987BB5" w:rsidRPr="005E779E" w:rsidRDefault="00987BB5" w:rsidP="000B7A6C">
      <w:pPr>
        <w:spacing w:after="0" w:line="240" w:lineRule="auto"/>
        <w:jc w:val="both"/>
        <w:rPr>
          <w:rFonts w:ascii="Times New Roman" w:hAnsi="Times New Roman"/>
          <w:color w:val="000000" w:themeColor="text1"/>
          <w:sz w:val="16"/>
          <w:szCs w:val="16"/>
          <w:u w:color="002060"/>
        </w:rPr>
      </w:pPr>
    </w:p>
    <w:p w14:paraId="2701DADB" w14:textId="77777777" w:rsidR="00492496" w:rsidRPr="005E779E" w:rsidRDefault="00492496"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17 декабря 1931 г.</w:t>
      </w:r>
    </w:p>
    <w:p w14:paraId="0D35D2FC" w14:textId="77777777" w:rsidR="00492496" w:rsidRPr="005E779E" w:rsidRDefault="00492496"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Обращение в Московскую областную прокуратуру с просьбой освободить от жильцов помещение, предназначенное для работы ОКБ ОГПУ. 17 декабря 1931 г.</w:t>
      </w:r>
    </w:p>
    <w:p w14:paraId="64EBD5B3" w14:textId="77777777" w:rsidR="00492496" w:rsidRPr="005E779E" w:rsidRDefault="00492496"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Источник: </w:t>
      </w:r>
    </w:p>
    <w:p w14:paraId="46723128" w14:textId="77777777" w:rsidR="00492496" w:rsidRPr="005E779E" w:rsidRDefault="0049249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5D4B269" w14:textId="77777777" w:rsidR="00492496" w:rsidRPr="005E779E" w:rsidRDefault="00492496" w:rsidP="000B7A6C">
      <w:pPr>
        <w:pStyle w:val="rteright"/>
        <w:spacing w:before="0" w:after="0"/>
        <w:jc w:val="both"/>
        <w:rPr>
          <w:color w:val="000000" w:themeColor="text1"/>
          <w:sz w:val="16"/>
          <w:szCs w:val="16"/>
        </w:rPr>
      </w:pPr>
      <w:r w:rsidRPr="005E779E">
        <w:rPr>
          <w:color w:val="000000" w:themeColor="text1"/>
          <w:sz w:val="16"/>
          <w:szCs w:val="16"/>
        </w:rPr>
        <w:t>17 декабря 1931 г.</w:t>
      </w:r>
    </w:p>
    <w:p w14:paraId="6BCD28AE" w14:textId="77777777" w:rsidR="00492496" w:rsidRPr="005E779E" w:rsidRDefault="00492496" w:rsidP="000B7A6C">
      <w:pPr>
        <w:pStyle w:val="rteright"/>
        <w:spacing w:before="0" w:after="0"/>
        <w:jc w:val="both"/>
        <w:rPr>
          <w:color w:val="000000" w:themeColor="text1"/>
          <w:sz w:val="16"/>
          <w:szCs w:val="16"/>
        </w:rPr>
      </w:pPr>
      <w:r w:rsidRPr="005E779E">
        <w:rPr>
          <w:color w:val="000000" w:themeColor="text1"/>
          <w:sz w:val="16"/>
          <w:szCs w:val="16"/>
        </w:rPr>
        <w:t>Секретно</w:t>
      </w:r>
    </w:p>
    <w:p w14:paraId="389E8071" w14:textId="77777777" w:rsidR="00492496" w:rsidRPr="005E779E" w:rsidRDefault="00492496" w:rsidP="000B7A6C">
      <w:pPr>
        <w:pStyle w:val="ae"/>
        <w:spacing w:before="0" w:after="0"/>
        <w:jc w:val="both"/>
        <w:rPr>
          <w:color w:val="000000" w:themeColor="text1"/>
          <w:sz w:val="16"/>
          <w:szCs w:val="16"/>
        </w:rPr>
      </w:pPr>
      <w:r w:rsidRPr="005E779E">
        <w:rPr>
          <w:color w:val="000000" w:themeColor="text1"/>
          <w:sz w:val="16"/>
          <w:szCs w:val="16"/>
        </w:rPr>
        <w:t>МОСКОВСКОМУ ОБЛАСТНОМУ ПРОКУРОРУ</w:t>
      </w:r>
    </w:p>
    <w:p w14:paraId="33B231D0" w14:textId="77777777" w:rsidR="00492496" w:rsidRPr="005E779E" w:rsidRDefault="00492496" w:rsidP="000B7A6C">
      <w:pPr>
        <w:pStyle w:val="ae"/>
        <w:spacing w:before="0" w:after="0"/>
        <w:jc w:val="both"/>
        <w:rPr>
          <w:color w:val="000000" w:themeColor="text1"/>
          <w:sz w:val="16"/>
          <w:szCs w:val="16"/>
        </w:rPr>
      </w:pPr>
      <w:r w:rsidRPr="005E779E">
        <w:rPr>
          <w:color w:val="000000" w:themeColor="text1"/>
          <w:sz w:val="16"/>
          <w:szCs w:val="16"/>
        </w:rPr>
        <w:t>ПО ЖИЛИЩНЫМ ДЕЛАМ</w:t>
      </w:r>
    </w:p>
    <w:p w14:paraId="562DCC55" w14:textId="77777777" w:rsidR="00492496" w:rsidRPr="005E779E" w:rsidRDefault="00492496" w:rsidP="000B7A6C">
      <w:pPr>
        <w:pStyle w:val="ae"/>
        <w:spacing w:before="0" w:after="0"/>
        <w:jc w:val="both"/>
        <w:rPr>
          <w:color w:val="000000" w:themeColor="text1"/>
          <w:sz w:val="16"/>
          <w:szCs w:val="16"/>
        </w:rPr>
      </w:pPr>
      <w:r w:rsidRPr="005E779E">
        <w:rPr>
          <w:color w:val="000000" w:themeColor="text1"/>
          <w:sz w:val="16"/>
          <w:szCs w:val="16"/>
        </w:rPr>
        <w:t>тов. ЛЕВАШОВУ</w:t>
      </w:r>
    </w:p>
    <w:p w14:paraId="3604B591" w14:textId="77777777" w:rsidR="00492496" w:rsidRPr="005E779E" w:rsidRDefault="00492496" w:rsidP="000B7A6C">
      <w:pPr>
        <w:pStyle w:val="rtejustify"/>
        <w:spacing w:before="0" w:after="0"/>
        <w:rPr>
          <w:color w:val="000000" w:themeColor="text1"/>
          <w:sz w:val="16"/>
          <w:szCs w:val="16"/>
        </w:rPr>
      </w:pPr>
      <w:r w:rsidRPr="005E779E">
        <w:rPr>
          <w:color w:val="000000" w:themeColor="text1"/>
          <w:sz w:val="16"/>
          <w:szCs w:val="16"/>
        </w:rPr>
        <w:t>Копия: Пом. Прокурора Пролетарского района</w:t>
      </w:r>
    </w:p>
    <w:p w14:paraId="6DB64999" w14:textId="77777777" w:rsidR="00492496" w:rsidRPr="005E779E" w:rsidRDefault="00492496" w:rsidP="000B7A6C">
      <w:pPr>
        <w:pStyle w:val="rtejustify"/>
        <w:spacing w:before="0" w:after="0"/>
        <w:rPr>
          <w:color w:val="000000" w:themeColor="text1"/>
          <w:sz w:val="16"/>
          <w:szCs w:val="16"/>
        </w:rPr>
      </w:pPr>
      <w:r w:rsidRPr="005E779E">
        <w:rPr>
          <w:color w:val="000000" w:themeColor="text1"/>
          <w:sz w:val="16"/>
          <w:szCs w:val="16"/>
        </w:rPr>
        <w:t>На территории Всесоюзного Теплотехнического Института проживают, не имеющие никакого отношения к Институту, гр-не ГУСЕВ и БЕЛОУСОВ, в отдельном флигеле[.] [Т]ак как это помещение предназначено для использования под Особое Конструкторское Бюро ОГПУ, т. е. использование вредителей, указанные выше граждане в силу этого должны быть переселены в другое место, предоставляемое Институтом помещение в Кожухове (Пролетарского района) по 3-й Кожуховской улице, во всем с соблюдением существующих санитарно-гигиенических норм Моссовета.</w:t>
      </w:r>
    </w:p>
    <w:p w14:paraId="05326F31" w14:textId="77777777" w:rsidR="00492496" w:rsidRPr="005E779E" w:rsidRDefault="00492496" w:rsidP="000B7A6C">
      <w:pPr>
        <w:pStyle w:val="rtejustify"/>
        <w:spacing w:before="0" w:after="0"/>
        <w:rPr>
          <w:color w:val="000000" w:themeColor="text1"/>
          <w:sz w:val="16"/>
          <w:szCs w:val="16"/>
        </w:rPr>
      </w:pPr>
      <w:r w:rsidRPr="005E779E">
        <w:rPr>
          <w:color w:val="000000" w:themeColor="text1"/>
          <w:sz w:val="16"/>
          <w:szCs w:val="16"/>
        </w:rPr>
        <w:t>В силу чего просим Вашего распоряжения милиции об оказании соответствующей помощи в деле переселения указанных выше граждан в другое помещение.</w:t>
      </w:r>
    </w:p>
    <w:p w14:paraId="7AE060F8" w14:textId="77777777" w:rsidR="00492496" w:rsidRPr="005E779E" w:rsidRDefault="00492496" w:rsidP="000B7A6C">
      <w:pPr>
        <w:pStyle w:val="rtejustify"/>
        <w:spacing w:before="0" w:after="0"/>
        <w:rPr>
          <w:color w:val="000000" w:themeColor="text1"/>
          <w:sz w:val="16"/>
          <w:szCs w:val="16"/>
        </w:rPr>
      </w:pPr>
      <w:r w:rsidRPr="005E779E">
        <w:rPr>
          <w:color w:val="000000" w:themeColor="text1"/>
          <w:sz w:val="16"/>
          <w:szCs w:val="16"/>
        </w:rPr>
        <w:t>Учитывая важность выполняемых заданий ОКБ ОГПУ просим Вашим распоряжением не замедлить.</w:t>
      </w:r>
    </w:p>
    <w:p w14:paraId="0CF516D0" w14:textId="77777777" w:rsidR="00492496" w:rsidRPr="005E779E" w:rsidRDefault="00492496" w:rsidP="000B7A6C">
      <w:pPr>
        <w:pStyle w:val="rtejustify"/>
        <w:spacing w:before="0" w:after="0"/>
        <w:rPr>
          <w:color w:val="000000" w:themeColor="text1"/>
          <w:sz w:val="16"/>
          <w:szCs w:val="16"/>
        </w:rPr>
      </w:pPr>
      <w:r w:rsidRPr="005E779E">
        <w:rPr>
          <w:color w:val="000000" w:themeColor="text1"/>
          <w:sz w:val="16"/>
          <w:szCs w:val="16"/>
        </w:rPr>
        <w:t>НАЧАЛЬНИК ТЕХ. ОТД. ЭКУ ОГПУ (Горянов)</w:t>
      </w:r>
    </w:p>
    <w:p w14:paraId="3178E1D6" w14:textId="77777777" w:rsidR="00492496" w:rsidRPr="005E779E" w:rsidRDefault="00492496" w:rsidP="000B7A6C">
      <w:pPr>
        <w:pStyle w:val="ae"/>
        <w:spacing w:before="0" w:after="0"/>
        <w:jc w:val="both"/>
        <w:rPr>
          <w:color w:val="000000" w:themeColor="text1"/>
          <w:sz w:val="16"/>
          <w:szCs w:val="16"/>
        </w:rPr>
      </w:pPr>
      <w:r w:rsidRPr="005E779E">
        <w:rPr>
          <w:color w:val="000000" w:themeColor="text1"/>
          <w:sz w:val="16"/>
          <w:szCs w:val="16"/>
        </w:rPr>
        <w:t>НАЧ. ОКБ № 11 ОГПУ (Наумин)</w:t>
      </w:r>
    </w:p>
    <w:p w14:paraId="057C9208" w14:textId="77777777" w:rsidR="00492496" w:rsidRPr="005E779E" w:rsidRDefault="00492496" w:rsidP="000B7A6C">
      <w:pPr>
        <w:pStyle w:val="ae"/>
        <w:spacing w:before="0" w:after="0"/>
        <w:jc w:val="both"/>
        <w:rPr>
          <w:color w:val="000000" w:themeColor="text1"/>
          <w:sz w:val="16"/>
          <w:szCs w:val="16"/>
        </w:rPr>
      </w:pPr>
      <w:r w:rsidRPr="005E779E">
        <w:rPr>
          <w:rStyle w:val="af0"/>
          <w:i w:val="0"/>
          <w:color w:val="000000" w:themeColor="text1"/>
          <w:sz w:val="16"/>
          <w:szCs w:val="16"/>
        </w:rPr>
        <w:t>РГАЭ. Ф. 38. Oп. 1. Д. 2. Л. 130. Машинописная копия (отпуск?) того времени. Дата — машинописью в левом верхнем углу (число вписано от руки). Гриф секретности — машинописью вверху справа. Вверху слева от руки проставлен исходящий номер документа «255090» (19092).</w:t>
      </w:r>
    </w:p>
    <w:p w14:paraId="16FAF4BB" w14:textId="77777777" w:rsidR="00492496" w:rsidRPr="005E779E" w:rsidRDefault="00492496" w:rsidP="000B7A6C">
      <w:pPr>
        <w:spacing w:after="0" w:line="240" w:lineRule="auto"/>
        <w:jc w:val="both"/>
        <w:rPr>
          <w:rFonts w:ascii="Times New Roman" w:hAnsi="Times New Roman"/>
          <w:color w:val="000000" w:themeColor="text1"/>
          <w:sz w:val="16"/>
          <w:szCs w:val="16"/>
        </w:rPr>
      </w:pPr>
    </w:p>
    <w:p w14:paraId="10506B80" w14:textId="77777777" w:rsidR="000E52C6" w:rsidRPr="005E779E" w:rsidRDefault="000E52C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18 декабря 1931 по письму отца погибшего курсанта Кочергина, который изложил свое мнение о причинах аварий самолетов и о состоянии летной школы ОАХ, решением Политбюро была создана комиссия для ознакомления с фактическим положением дел в ОАХ под председательством секретаря ЦК ВКП(б), заведующего Организационно-инструкторским отделом ЦК ВКП(б) П.П. Постышева. В нее вошли начальник Политуправления РККА и одновременно ответственный редактор газеты «Красная Звезда» Я.Б. Гамарник, член Центральной Контрольной Комиссии Р.С. Землячка, заместитель председателя ОГПУ при СНК СССР В.А. Балицкий и </w:t>
      </w:r>
      <w:r w:rsidRPr="005E779E">
        <w:rPr>
          <w:rFonts w:ascii="Times New Roman" w:hAnsi="Times New Roman"/>
          <w:color w:val="000000" w:themeColor="text1"/>
          <w:sz w:val="16"/>
          <w:szCs w:val="16"/>
        </w:rPr>
        <w:lastRenderedPageBreak/>
        <w:t>заместитель заведующего Отделом административнохозяйственных и профсоюзных кадров ЦК ВКП(б) А.П. Гричманов. Комиссия за две декады должна была проверить факты, изложенные в записке Кочергина, и состояние летной школы ОАХ (РГАСПИ. Ф. 17. Оп. 3. Д. 866. Л. 10).</w:t>
      </w:r>
    </w:p>
    <w:p w14:paraId="7838D235" w14:textId="77777777" w:rsidR="000E52C6" w:rsidRPr="005E779E" w:rsidRDefault="000E52C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Эта авторитетная комиссия ЦК и ЦКК ВКП(б) в докладной записке в Политбюро «О катастрофе с летчиком Кочергиным и состоянии ОАХ» подтвердила мнение Кочергина-отца о причинах катастрофы в Московской авиационной школе ОАХ, отметив, что «Московская школа находилась в безобразном состоянии». Среди конкретных недостатков они указывали отсутствие элементарного технического руководства, плохой уход за материальной частью и отсутствие должного контроля, недоброкачественный ремонт самолетов. Кроме того, был отмечен низкий уровень учебы, отсутствие дисциплины и политико-воспитательной работы, засоренность социально-чуждыми элементами постоянного состава школы. Обращалось внимание на плохие бытовые условия и антисанитарное состояние проживания учащихся летной школы (учлетов) (ГАРФ. Ф.Р – 8355. Оп. 5. Д. 3. Л. 10). Комиссия проверила 5 других летных школах ОАХ – Ульяновскую, Тульскую, Нижегородскую, Ростовскую и Полтавскую. Было установлено, что «и эти школы находятся в совершенно неудовлетворительном состоянии» (ГАРФ. Ф.Р – 8355. Оп. 5. Д. 3. Л. 11) (21402).</w:t>
      </w:r>
    </w:p>
    <w:p w14:paraId="36E52AC0" w14:textId="77777777" w:rsidR="000E52C6" w:rsidRPr="005E779E" w:rsidRDefault="000E52C6" w:rsidP="000B7A6C">
      <w:pPr>
        <w:spacing w:after="0" w:line="240" w:lineRule="auto"/>
        <w:jc w:val="both"/>
        <w:rPr>
          <w:rFonts w:ascii="Times New Roman" w:hAnsi="Times New Roman"/>
          <w:color w:val="000000" w:themeColor="text1"/>
          <w:sz w:val="16"/>
          <w:szCs w:val="16"/>
        </w:rPr>
      </w:pPr>
    </w:p>
    <w:p w14:paraId="348B69C6"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6365A17A"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CF0A9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18-19 декабря 1931 были проведены испытания ДРП Л.В.Курчевского на И-4 (АНТ-5). Повредили обшивку (1017,166).</w:t>
      </w:r>
    </w:p>
    <w:p w14:paraId="479AC8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Есть мнение, что это могло быть и на И-зет.</w:t>
      </w:r>
    </w:p>
    <w:p w14:paraId="17FBA0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B41AA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Пом. Нач. ЦКБ Надашкевич в рапорте на имя Нач. ЦАГИ Пауфлера писал: "Вчера на заводе им. Менжинского совместно с и Курчевским был произведен осмотр ДРП с разлетевшейся при стрельбе 18 декабря 1931 сопловой частью и второй ДРП, имеющей вздутие. Поврежденные пушки следует отправить на переделку, в строящейся серии (44 шт.) следует внести изменения." (2692,5).</w:t>
      </w:r>
    </w:p>
    <w:p w14:paraId="114150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1CCB2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Помощник начальника ЦКБ На- дашкевичем на имя начальника (!) ЦАГИ Пауфлера, говорится: "Вчера на заводе им. Менжинского совместно с инженером Курчевским был произведён осмотр ДРП с разлетевшейся при стрельбе 18 декабря 1931 года сопловой частью и второй ДРП, имеющей вздутие. Повреждённые пушки следует отправить на переделку, в строящейся серии (44 шт.) следует внести соответствующие изменения" (12005).</w:t>
      </w:r>
    </w:p>
    <w:p w14:paraId="74E23819"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58F1364" w14:textId="77777777" w:rsidR="00987BB5"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7CE7A3FD" w14:textId="77777777" w:rsidR="00987BB5" w:rsidRPr="005E779E" w:rsidRDefault="00987BB5"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D8B17BF"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18 декабря 1931 </w:t>
      </w:r>
      <w:r w:rsidRPr="005E779E">
        <w:rPr>
          <w:rFonts w:ascii="Times New Roman" w:hAnsi="Times New Roman"/>
          <w:color w:val="000000" w:themeColor="text1"/>
          <w:sz w:val="16"/>
          <w:szCs w:val="16"/>
        </w:rPr>
        <w:t>Политбюро ЦК ВКП (б) одобрило проект постановления о народнохозяйственном плане на 1932 г. и проект госбюджета на 1932 г (12265).</w:t>
      </w:r>
    </w:p>
    <w:p w14:paraId="3C1AD786"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6CCB010D" w14:textId="77777777" w:rsidR="00062BDD" w:rsidRPr="005E779E" w:rsidRDefault="00062BDD" w:rsidP="000B7A6C">
      <w:pPr>
        <w:spacing w:after="0" w:line="240" w:lineRule="auto"/>
        <w:jc w:val="both"/>
        <w:rPr>
          <w:rFonts w:ascii="Times New Roman" w:hAnsi="Times New Roman"/>
          <w:color w:val="000000" w:themeColor="text1"/>
          <w:sz w:val="16"/>
          <w:szCs w:val="16"/>
        </w:rPr>
      </w:pPr>
      <w:r w:rsidRPr="005E779E">
        <w:rPr>
          <w:rStyle w:val="ucoz-forum-post"/>
          <w:rFonts w:ascii="Times New Roman" w:hAnsi="Times New Roman"/>
          <w:bCs/>
          <w:color w:val="000000" w:themeColor="text1"/>
          <w:sz w:val="16"/>
          <w:szCs w:val="16"/>
        </w:rPr>
        <w:t xml:space="preserve">18 декабря </w:t>
      </w:r>
      <w:r w:rsidRPr="005E779E">
        <w:rPr>
          <w:rFonts w:ascii="Times New Roman" w:hAnsi="Times New Roman"/>
          <w:color w:val="000000" w:themeColor="text1"/>
          <w:sz w:val="16"/>
          <w:szCs w:val="16"/>
        </w:rPr>
        <w:t>в 1931 году в Ленинграде проходило всесоюзное совещание по телевидению. Обсуждалось состояние работ в научно-исследовательском институте, занимающемся проблемами телевидения, демонстрировались разработанные в советских лабораториях образцы телевизоров. Было образовано бюро для создания комитета по телевидению («Правда», 1931, 26 декабря) (14864).</w:t>
      </w:r>
    </w:p>
    <w:p w14:paraId="42F4339A" w14:textId="77777777" w:rsidR="00062BDD" w:rsidRPr="005E779E" w:rsidRDefault="00062BDD" w:rsidP="000B7A6C">
      <w:pPr>
        <w:spacing w:after="0" w:line="240" w:lineRule="auto"/>
        <w:jc w:val="both"/>
        <w:rPr>
          <w:rFonts w:ascii="Times New Roman" w:hAnsi="Times New Roman"/>
          <w:color w:val="000000" w:themeColor="text1"/>
          <w:sz w:val="16"/>
          <w:szCs w:val="16"/>
        </w:rPr>
      </w:pPr>
    </w:p>
    <w:p w14:paraId="2D6C79BB"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3586CC28"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F52F0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Между 18 и 24 декабря 1931. Из протокола заседания Политбюро № 81, 1931 г. </w:t>
      </w:r>
    </w:p>
    <w:p w14:paraId="7BE038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 мандаринах </w:t>
      </w:r>
    </w:p>
    <w:p w14:paraId="63F40C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 Безусловно воспретить вывоз из СССР мандарин. </w:t>
      </w:r>
    </w:p>
    <w:p w14:paraId="2482EE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Обязать НКСнаб направить все запасы мандарин на продажу в промышленные пункты СССР и прежде всего в Москву, Ленинград и Харьков, по ценам не очень высоким (11652).</w:t>
      </w:r>
    </w:p>
    <w:p w14:paraId="4E1729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9B0C7B5"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3DEA5DB2"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C91A3CB" w14:textId="77777777" w:rsidR="008070AE" w:rsidRPr="00142305" w:rsidRDefault="008070AE" w:rsidP="008070A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19 декабря 1931 года в ЦАГИ была созвана конференция из представителей авиационной промышленности, Военно-Воздушных Сил и специалистов в области конструирования самолетов, двигателей и авиавооружения.</w:t>
      </w:r>
    </w:p>
    <w:p w14:paraId="1A455CF8" w14:textId="77777777" w:rsidR="008070AE" w:rsidRPr="00142305" w:rsidRDefault="008070AE" w:rsidP="008070A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решении этой конференции отмечалась необходимость дальнейшего развития вооружения самолетов динамореактивными пушками калибра 63-76мм для легких истребителей и 100-150мм для относительно тяжелых истребителей-крейсеров.</w:t>
      </w:r>
    </w:p>
    <w:p w14:paraId="720C4EBD" w14:textId="77777777" w:rsidR="008070AE" w:rsidRPr="00142305" w:rsidRDefault="008070AE" w:rsidP="008070A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Одновременно было принято решение о запуске истребителя ЦКБ-7 в серийное производство. Серийный самолет ЦКБ-7 получил обозначение И-Зет, т.е. истребитель секретный.</w:t>
      </w:r>
    </w:p>
    <w:p w14:paraId="5D358EC9" w14:textId="77777777" w:rsidR="008070AE" w:rsidRPr="00142305" w:rsidRDefault="008070AE" w:rsidP="008070A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И-Зет отличался от ЦКБ-7 некоторыми улучшениями в аэродинамическом отношении. Обтекатель двигателя был заменен кольцом Тауненда. Вооружение оставалось без изменений.</w:t>
      </w:r>
    </w:p>
    <w:p w14:paraId="6AB3A509" w14:textId="77777777" w:rsidR="008070AE" w:rsidRPr="00142305" w:rsidRDefault="008070AE" w:rsidP="008070A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Скорость полета И-Зет была равна 300 км/час на малых высотах. Маневренные качества и устойчивость истребителя в полете были достаточно высокими. Благодаря этим особенностям И-Зет был избран для полетов в "звене Вахмистрова" в 1933-1934 гг. в качестве истребителя, базирующегося на авиаматке тяжелого бомбардировщика ТБ-3. "Звено Вахмистрова" достаточно художественно описано в книге П.М.Cтефановского "Триста неизвестных".</w:t>
      </w:r>
    </w:p>
    <w:p w14:paraId="08CF3951" w14:textId="77777777" w:rsidR="008070AE" w:rsidRPr="00142305" w:rsidRDefault="008070AE" w:rsidP="008070A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И-Зет был первым в мире истребителем монопланом с низкорасположенным крылом, вооруженным мощными пушками и пулеметом.</w:t>
      </w:r>
    </w:p>
    <w:p w14:paraId="10D6933F" w14:textId="77777777" w:rsidR="008070AE" w:rsidRPr="00142305" w:rsidRDefault="008070AE" w:rsidP="008070A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1933 году была построена серия И-Зет в двадцать одну машину, а всего было построено семьдесят истребителей И-Зет. В частях ВВС этот истребитель пользовался у летчиков большой популярностью. Летчики охотно летали на нем, а особенно стреляли (25100).</w:t>
      </w:r>
    </w:p>
    <w:p w14:paraId="12DBA1EB" w14:textId="77777777" w:rsidR="008070AE" w:rsidRPr="00142305" w:rsidRDefault="008070AE" w:rsidP="008070AE">
      <w:pPr>
        <w:spacing w:after="0" w:line="240" w:lineRule="auto"/>
        <w:jc w:val="both"/>
        <w:rPr>
          <w:rFonts w:ascii="Times New Roman" w:hAnsi="Times New Roman"/>
          <w:color w:val="0070C0"/>
          <w:sz w:val="16"/>
          <w:szCs w:val="16"/>
        </w:rPr>
      </w:pPr>
    </w:p>
    <w:p w14:paraId="631941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 декабря 1931 года начальник XVII отдела НИИ ВВС Трунов начальнику ВВС.</w:t>
      </w:r>
    </w:p>
    <w:p w14:paraId="5AF531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Докладная записка</w:t>
      </w:r>
    </w:p>
    <w:p w14:paraId="0B7C46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Инженером 1 отдела НИИ ВВС Вахмистровым Вл. Серг. Был предложен проект поставить на крылья самолета ТБ-1 двух истребителей И-4 с тем, чтобы использовав добавочную мощность моторов обоих И4, увеличить горизонтальную и вертикальную скорости самолета ТБ-1 и позволить ему поднимать большую нагрузку. Сделав самолеты И4 отделяющимися в воздухе, ТБ1 фактически смог бы на себе нести собственную истребительную охрану. Вся конструкция была названа СЗВ (самолет звено Вахмистрова).</w:t>
      </w:r>
    </w:p>
    <w:p w14:paraId="39A94B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декабря 1931 года опытный экземпляр был готов. Все три самолета раздельно в целях соблюдения секретности, были перегнаны в Монино, где был проведен пробный полет в составе следующего экипажа:</w:t>
      </w:r>
    </w:p>
    <w:p w14:paraId="2EBEA3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летчик на ТБ1 - Залевский</w:t>
      </w:r>
    </w:p>
    <w:p w14:paraId="628EAE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второй летчик на ТБ1 - Шарапов</w:t>
      </w:r>
    </w:p>
    <w:p w14:paraId="16D5FF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летчик наблюдатель - Вахмистров</w:t>
      </w:r>
    </w:p>
    <w:p w14:paraId="2AA8DE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второй летчик наблюдатель - Морозов</w:t>
      </w:r>
    </w:p>
    <w:p w14:paraId="2B64A6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летчик на И4 - Анисимов</w:t>
      </w:r>
    </w:p>
    <w:p w14:paraId="4F472E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летчик на втором И4 - Чекалов</w:t>
      </w:r>
    </w:p>
    <w:p w14:paraId="78C5AE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звено легко оторвался в воздух, быстро набрал высоту в 1000 м, на которой по сигналу оба истребителя были освобождены. Они благополучно отделились от Тб1. По окончании полета все три самолета приземлились в Монино.</w:t>
      </w:r>
    </w:p>
    <w:p w14:paraId="52C83E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использованием СЗВ летно-тактические свойства ТБ1 улучшаются. Дальность с 500 км возрастает до 1000 км при одной и той же загрузке бомбами, равной 2000 кг. При загрузке бомбами в 1000 кг дальность возрастает с 1360 до 2000 км.</w:t>
      </w:r>
    </w:p>
    <w:p w14:paraId="672518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увеличения обороноспособности тяжелого бомбардировщика чрезвычайно заманчивым является использование для СЗВ не одноместных, а 2-х местных истребителей типа К-47 (но с круговой турелью) (3788,1-25).</w:t>
      </w:r>
    </w:p>
    <w:p w14:paraId="1538F0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47883E9" w14:textId="77777777" w:rsidR="00550218" w:rsidRPr="005E779E" w:rsidRDefault="00550218" w:rsidP="000B7A6C">
      <w:pPr>
        <w:pStyle w:val="a3"/>
        <w:rPr>
          <w:color w:val="000000" w:themeColor="text1"/>
          <w:lang w:val="ru-RU"/>
        </w:rPr>
      </w:pPr>
      <w:r w:rsidRPr="005E779E">
        <w:rPr>
          <w:color w:val="000000" w:themeColor="text1"/>
          <w:lang w:val="ru-RU"/>
        </w:rPr>
        <w:t>19 декабря 1931 М.Н. Туха</w:t>
      </w:r>
      <w:r w:rsidRPr="005E779E">
        <w:rPr>
          <w:color w:val="000000" w:themeColor="text1"/>
          <w:lang w:val="ru-RU"/>
        </w:rPr>
        <w:softHyphen/>
        <w:t>чевский по поводу первого полета Звена написал: «Это круп</w:t>
      </w:r>
      <w:r w:rsidRPr="005E779E">
        <w:rPr>
          <w:color w:val="000000" w:themeColor="text1"/>
          <w:lang w:val="ru-RU"/>
        </w:rPr>
        <w:softHyphen/>
        <w:t>нейшее изобретение». Начальник НИИ ВВС Н.В. Бузанов предложил подгото</w:t>
      </w:r>
      <w:r w:rsidRPr="005E779E">
        <w:rPr>
          <w:color w:val="000000" w:themeColor="text1"/>
          <w:lang w:val="ru-RU"/>
        </w:rPr>
        <w:softHyphen/>
        <w:t>вить два-три комплекта СЗВ и передать в строевую часть. Но раздавать ордена и автомобили пока не спешили; испытания опытного образца продолжались.</w:t>
      </w:r>
    </w:p>
    <w:p w14:paraId="5E696825" w14:textId="77777777" w:rsidR="00550218" w:rsidRPr="005E779E" w:rsidRDefault="00550218" w:rsidP="000B7A6C">
      <w:pPr>
        <w:pStyle w:val="a3"/>
        <w:rPr>
          <w:color w:val="000000" w:themeColor="text1"/>
          <w:lang w:val="ru-RU"/>
        </w:rPr>
      </w:pPr>
      <w:r w:rsidRPr="005E779E">
        <w:rPr>
          <w:color w:val="000000" w:themeColor="text1"/>
          <w:lang w:val="ru-RU"/>
        </w:rPr>
        <w:t>Учитывая опыт первого старта, все управление замками перенесли на истре</w:t>
      </w:r>
      <w:r w:rsidRPr="005E779E">
        <w:rPr>
          <w:color w:val="000000" w:themeColor="text1"/>
          <w:lang w:val="ru-RU"/>
        </w:rPr>
        <w:softHyphen/>
        <w:t>бители. На ТБ-1 поставили дополнитель</w:t>
      </w:r>
      <w:r w:rsidRPr="005E779E">
        <w:rPr>
          <w:color w:val="000000" w:themeColor="text1"/>
          <w:lang w:val="ru-RU"/>
        </w:rPr>
        <w:softHyphen/>
        <w:t>ные бензобаки емкостью 900 л. Пред</w:t>
      </w:r>
      <w:r w:rsidRPr="005E779E">
        <w:rPr>
          <w:color w:val="000000" w:themeColor="text1"/>
          <w:lang w:val="ru-RU"/>
        </w:rPr>
        <w:softHyphen/>
        <w:t>усмотрели до момента отцепки питание моторов истребителей из топливной си</w:t>
      </w:r>
      <w:r w:rsidRPr="005E779E">
        <w:rPr>
          <w:color w:val="000000" w:themeColor="text1"/>
          <w:lang w:val="ru-RU"/>
        </w:rPr>
        <w:softHyphen/>
        <w:t>стемы бомбардировщика, бензин к ним подавали ручным насосом - альвейером. На И-4 смонтировали новые маслобаки (17741).</w:t>
      </w:r>
    </w:p>
    <w:p w14:paraId="0CCD3FDE" w14:textId="77777777" w:rsidR="00550218" w:rsidRPr="005E779E" w:rsidRDefault="00550218" w:rsidP="000B7A6C">
      <w:pPr>
        <w:spacing w:after="0" w:line="240" w:lineRule="auto"/>
        <w:jc w:val="both"/>
        <w:rPr>
          <w:rFonts w:ascii="Times New Roman" w:eastAsia="Times New Roman" w:hAnsi="Times New Roman"/>
          <w:color w:val="000000" w:themeColor="text1"/>
          <w:sz w:val="16"/>
          <w:szCs w:val="16"/>
          <w:lang w:eastAsia="ru-RU"/>
        </w:rPr>
      </w:pPr>
    </w:p>
    <w:p w14:paraId="3917D4C2" w14:textId="77777777" w:rsidR="00492496" w:rsidRPr="005E779E" w:rsidRDefault="00492496" w:rsidP="000B7A6C">
      <w:pPr>
        <w:pStyle w:val="a8"/>
        <w:jc w:val="both"/>
        <w:rPr>
          <w:rFonts w:ascii="Times New Roman" w:hAnsi="Times New Roman" w:cs="Times New Roman"/>
          <w:color w:val="000000" w:themeColor="text1"/>
        </w:rPr>
      </w:pPr>
      <w:r w:rsidRPr="005E779E">
        <w:rPr>
          <w:rFonts w:ascii="Times New Roman" w:hAnsi="Times New Roman" w:cs="Times New Roman"/>
          <w:color w:val="000000" w:themeColor="text1"/>
        </w:rPr>
        <w:t>19 декабря 1931 М.Н. Тухачевский написал по поводу Звена: «Это крупнейшее изобретение» (19100).</w:t>
      </w:r>
    </w:p>
    <w:p w14:paraId="6249D74A" w14:textId="77777777" w:rsidR="00492496" w:rsidRPr="005E779E" w:rsidRDefault="00492496" w:rsidP="000B7A6C">
      <w:pPr>
        <w:pStyle w:val="a8"/>
        <w:jc w:val="both"/>
        <w:rPr>
          <w:rFonts w:ascii="Times New Roman" w:hAnsi="Times New Roman" w:cs="Times New Roman"/>
          <w:color w:val="000000" w:themeColor="text1"/>
        </w:rPr>
      </w:pPr>
    </w:p>
    <w:p w14:paraId="45D510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 декабря 1931 лётчик Калиншин выполнил первый полет на истребителе И-5 М-15 № 4372 постройки завода № 1, который прибыл в НИИ ВВС 25 ноября. Машина имела уже полноценное вооружение из четырёх ПВ-1. В совокупности с усилением конструкции это привело к тому, что вес пустого самолёта по сравнению с истребителем №18 возрос более чем на 100 кг и достиг 1110,6 кг. В НИИ ВВС на И-5 № 4372 совершили всего два полёта. Первый длился всего 18 минут. При наборе высоты началась сильная тряска, вдобавок пилот обнаружил, что альтиметр не работает. На посадке он с трудом справился с тягой машины влево. Поскольку на аэродроме лежал снег, то полёт проходил на лыжном шасси. После посадки обнаружили, что неудачно ориентированные патрубки привели к тому, что горячая струя выхлопа била прямо на тросы-оттяжки лыж.</w:t>
      </w:r>
    </w:p>
    <w:p w14:paraId="19DEE1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устранения ряда выявленных дефектов 23 декабря Калиншин совершил второй полёт. Видимо, он был столь же неудачен, сколь и первый. Во всяком случае, 14 января 1932 г. машину вернули заводу № 1 с актом о недостатках, в котором насчитывался 31 пункт. Больше подобных самолётов не делали.</w:t>
      </w:r>
    </w:p>
    <w:p w14:paraId="169091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 последующие И-5 выпускались только с двигателями М-22, а изготовленные М-15 передали в гражданскую авиацию. Ими оснастили часть пассажирских самолётов К-5. Похоже, что Алкснис был прав - в Аэрофлоте М-15 зарекомендовали себя не лучшим образом, работали они ненадёжно и частенько являлись причиной аварий (11997).</w:t>
      </w:r>
    </w:p>
    <w:p w14:paraId="43291A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AEDA1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 декабря 1931 был датирован чертеж самолета СК-8 С.П.К. на 6000 км (105,101).</w:t>
      </w:r>
    </w:p>
    <w:p w14:paraId="294F9C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E3646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 декабря 1931 С.П.К. завершил проработку самолета СК-8 (гражданский вариант -перелетный) и определил его характеристики (см. Приложение 1). О летных характеристиках СК-8 упоминал И.С. Уншлихт в отчетном докладе на пленуме ЦС ОХА 12 июля 1931 г. как об одном из основных достижений Общества (АМЖ, ф. 5300, № 9).</w:t>
      </w:r>
    </w:p>
    <w:p w14:paraId="33446E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35EFD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 декабря 1931 г. С.П. Королев закончил предэскизную проработку самолета, на общем виде которого значилось: "Самолет СК-8, гражданский вариант, перелетный". Новый проект развивал идею, положенную в основу конструкции самолета дальнего действия СК-4. Актуальность таких конструкций была в то время очень велика и продолжала возрастать. В 1931 г. рекорд дальности беспосадочного перелета уже составлял 9000 км. Он был установлен французскими летчиками. В ЦАГИ А.Н. Туполев работал над проектом рекордного самолета АНТ-25, рассчитанного на беспосадочный полет дальностью 13000 км.</w:t>
      </w:r>
    </w:p>
    <w:p w14:paraId="4E307E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СК-8 проектировался как двухместный с двигателем мощностью 300 л.с., был рассчитан на дальность беспосадочного полета 6000 км (у СК-4 она была 2000 км), время полета 30 ч (у СК-4 20 ч). Размах 13,4 м, площадь крыла 25 м</w:t>
      </w:r>
      <w:r w:rsidRPr="005E779E">
        <w:rPr>
          <w:rFonts w:ascii="Times New Roman" w:hAnsi="Times New Roman"/>
          <w:color w:val="000000" w:themeColor="text1"/>
          <w:sz w:val="16"/>
          <w:szCs w:val="16"/>
          <w:vertAlign w:val="superscript"/>
        </w:rPr>
        <w:t>2</w:t>
      </w:r>
      <w:r w:rsidRPr="005E779E">
        <w:rPr>
          <w:rFonts w:ascii="Times New Roman" w:hAnsi="Times New Roman"/>
          <w:color w:val="000000" w:themeColor="text1"/>
          <w:sz w:val="16"/>
          <w:szCs w:val="16"/>
        </w:rPr>
        <w:t>, вес в полете 3015 кг, максимальная скорость 260 км/ч.</w:t>
      </w:r>
    </w:p>
    <w:p w14:paraId="358053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самолета такого назначения необходимо было предусмотреть возможность посадки на плохо оборудованные аэродромы, т. е. добиться минимальной скорости посадки при достаточно большой для того времени крейсерской скорости. По данным авторитетных источников, можно было, не прибегая к специальным мерам, добиться скорости посадки не меньше 40% максимальной. Меньшую посадочную скорость могло обеспечить только разрезное крыло (или механическое крыло). Посадочная скорость самолета составляла примерно 30% максимальной. На этом основании можно считать, что самолет проектировался с разрезным крылом. Именно эта особенность конструкции С.П. Королева отмечалась как особое достижение в отчетном докладе на пленуме ЦС Осоавиахима в июле 1931 г.</w:t>
      </w:r>
    </w:p>
    <w:p w14:paraId="1722A0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Проект самолета СК-8 дальнейшего развития не получил.</w:t>
      </w:r>
    </w:p>
    <w:p w14:paraId="2679B9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Конструктивные данные самолета СК-8: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610"/>
        <w:gridCol w:w="810"/>
        <w:gridCol w:w="3600"/>
        <w:gridCol w:w="810"/>
      </w:tblGrid>
      <w:tr w:rsidR="001002C3" w:rsidRPr="005E779E" w14:paraId="1A1BC189" w14:textId="77777777">
        <w:tc>
          <w:tcPr>
            <w:tcW w:w="2610" w:type="dxa"/>
            <w:tcBorders>
              <w:top w:val="single" w:sz="12" w:space="0" w:color="auto"/>
              <w:bottom w:val="single" w:sz="12" w:space="0" w:color="auto"/>
            </w:tcBorders>
          </w:tcPr>
          <w:p w14:paraId="26C787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Размах, м</w:t>
            </w:r>
          </w:p>
          <w:p w14:paraId="4FAFF8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5E779E">
              <w:rPr>
                <w:rFonts w:ascii="Times New Roman" w:hAnsi="Times New Roman"/>
                <w:color w:val="000000" w:themeColor="text1"/>
                <w:sz w:val="16"/>
                <w:szCs w:val="16"/>
              </w:rPr>
              <w:t>Площадь крыла, м</w:t>
            </w:r>
            <w:r w:rsidRPr="005E779E">
              <w:rPr>
                <w:rFonts w:ascii="Times New Roman" w:hAnsi="Times New Roman"/>
                <w:color w:val="000000" w:themeColor="text1"/>
                <w:sz w:val="16"/>
                <w:szCs w:val="16"/>
                <w:vertAlign w:val="superscript"/>
              </w:rPr>
              <w:t>2</w:t>
            </w:r>
          </w:p>
          <w:p w14:paraId="2CE92D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Удлинение</w:t>
            </w:r>
          </w:p>
          <w:p w14:paraId="0883CE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Хорда, м </w:t>
            </w:r>
          </w:p>
          <w:p w14:paraId="438D9C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у корня </w:t>
            </w:r>
          </w:p>
          <w:p w14:paraId="2AAFA2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конце</w:t>
            </w:r>
          </w:p>
          <w:p w14:paraId="2EEEA1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Раствор шасси, м </w:t>
            </w:r>
          </w:p>
          <w:p w14:paraId="13A802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Ширина фюзеляжа, м</w:t>
            </w:r>
          </w:p>
          <w:p w14:paraId="2F6AF8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Колеса (2 шт.), мм</w:t>
            </w:r>
          </w:p>
          <w:p w14:paraId="35CC9A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Диаметр винта, м</w:t>
            </w:r>
          </w:p>
          <w:p w14:paraId="054928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5E779E">
              <w:rPr>
                <w:rFonts w:ascii="Times New Roman" w:hAnsi="Times New Roman"/>
                <w:color w:val="000000" w:themeColor="text1"/>
                <w:sz w:val="16"/>
                <w:szCs w:val="16"/>
              </w:rPr>
              <w:t>Объем дополнительных баков, м</w:t>
            </w:r>
            <w:r w:rsidRPr="005E779E">
              <w:rPr>
                <w:rFonts w:ascii="Times New Roman" w:hAnsi="Times New Roman"/>
                <w:color w:val="000000" w:themeColor="text1"/>
                <w:sz w:val="16"/>
                <w:szCs w:val="16"/>
                <w:vertAlign w:val="superscript"/>
              </w:rPr>
              <w:t>3</w:t>
            </w:r>
          </w:p>
          <w:p w14:paraId="62AC92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Вес, кг </w:t>
            </w:r>
          </w:p>
          <w:p w14:paraId="1170DF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конструкции </w:t>
            </w:r>
          </w:p>
          <w:p w14:paraId="323753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мотоустановки </w:t>
            </w:r>
          </w:p>
          <w:p w14:paraId="0F8945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незаправленного </w:t>
            </w:r>
          </w:p>
          <w:p w14:paraId="2031DC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оборудования </w:t>
            </w:r>
          </w:p>
          <w:p w14:paraId="33D95C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экипажа </w:t>
            </w:r>
          </w:p>
          <w:p w14:paraId="34B8E2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горючего и масла </w:t>
            </w:r>
          </w:p>
          <w:p w14:paraId="33C31D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полете</w:t>
            </w:r>
          </w:p>
        </w:tc>
        <w:tc>
          <w:tcPr>
            <w:tcW w:w="810" w:type="dxa"/>
            <w:tcBorders>
              <w:top w:val="single" w:sz="12" w:space="0" w:color="auto"/>
              <w:bottom w:val="single" w:sz="12" w:space="0" w:color="auto"/>
            </w:tcBorders>
          </w:tcPr>
          <w:p w14:paraId="5F4129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13,4 </w:t>
            </w:r>
          </w:p>
          <w:p w14:paraId="61E2A5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w:t>
            </w:r>
          </w:p>
          <w:p w14:paraId="4EF196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7,2</w:t>
            </w:r>
          </w:p>
          <w:p w14:paraId="25286E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B2598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2,6 </w:t>
            </w:r>
          </w:p>
          <w:p w14:paraId="0C581D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1,63 </w:t>
            </w:r>
          </w:p>
          <w:p w14:paraId="2B6AB7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p w14:paraId="381521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1,36 </w:t>
            </w:r>
          </w:p>
          <w:p w14:paraId="1DA926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800x150</w:t>
            </w:r>
          </w:p>
          <w:p w14:paraId="7D3AF5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2,6 </w:t>
            </w:r>
          </w:p>
          <w:p w14:paraId="59E55C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5E779E">
              <w:rPr>
                <w:rFonts w:ascii="Times New Roman" w:hAnsi="Times New Roman"/>
                <w:color w:val="000000" w:themeColor="text1"/>
                <w:sz w:val="16"/>
                <w:szCs w:val="16"/>
              </w:rPr>
              <w:t>2</w:t>
            </w:r>
          </w:p>
          <w:p w14:paraId="4F1078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5F2BA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420 </w:t>
            </w:r>
          </w:p>
          <w:p w14:paraId="0BE2D9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380 </w:t>
            </w:r>
          </w:p>
          <w:p w14:paraId="18BCB5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1055 </w:t>
            </w:r>
          </w:p>
          <w:p w14:paraId="1A85BD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55 </w:t>
            </w:r>
          </w:p>
          <w:p w14:paraId="17B150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160 </w:t>
            </w:r>
          </w:p>
          <w:p w14:paraId="087080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1800 </w:t>
            </w:r>
          </w:p>
          <w:p w14:paraId="5EFF44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3015</w:t>
            </w:r>
          </w:p>
        </w:tc>
        <w:tc>
          <w:tcPr>
            <w:tcW w:w="3600" w:type="dxa"/>
            <w:tcBorders>
              <w:top w:val="single" w:sz="12" w:space="0" w:color="auto"/>
              <w:bottom w:val="single" w:sz="12" w:space="0" w:color="auto"/>
            </w:tcBorders>
          </w:tcPr>
          <w:p w14:paraId="01ED5E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Нагрузка </w:t>
            </w:r>
          </w:p>
          <w:p w14:paraId="0A5AA3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мотор, кг/л.с.</w:t>
            </w:r>
          </w:p>
          <w:p w14:paraId="524CEA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5E779E">
              <w:rPr>
                <w:rFonts w:ascii="Times New Roman" w:hAnsi="Times New Roman"/>
                <w:color w:val="000000" w:themeColor="text1"/>
                <w:sz w:val="16"/>
                <w:szCs w:val="16"/>
              </w:rPr>
              <w:t>на крыло, кг/м</w:t>
            </w:r>
            <w:r w:rsidRPr="005E779E">
              <w:rPr>
                <w:rFonts w:ascii="Times New Roman" w:hAnsi="Times New Roman"/>
                <w:color w:val="000000" w:themeColor="text1"/>
                <w:sz w:val="16"/>
                <w:szCs w:val="16"/>
                <w:vertAlign w:val="superscript"/>
              </w:rPr>
              <w:t>2</w:t>
            </w:r>
          </w:p>
          <w:p w14:paraId="6BBB7E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Мощность на 1 м</w:t>
            </w:r>
            <w:r w:rsidRPr="005E779E">
              <w:rPr>
                <w:rFonts w:ascii="Times New Roman" w:hAnsi="Times New Roman"/>
                <w:color w:val="000000" w:themeColor="text1"/>
                <w:sz w:val="16"/>
                <w:szCs w:val="16"/>
                <w:vertAlign w:val="superscript"/>
              </w:rPr>
              <w:t>2</w:t>
            </w:r>
            <w:r w:rsidRPr="005E779E">
              <w:rPr>
                <w:rFonts w:ascii="Times New Roman" w:hAnsi="Times New Roman"/>
                <w:color w:val="000000" w:themeColor="text1"/>
                <w:sz w:val="16"/>
                <w:szCs w:val="16"/>
              </w:rPr>
              <w:t>, л.с.</w:t>
            </w:r>
          </w:p>
          <w:p w14:paraId="12F1EA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Продолжительность полета на 80% мощности, ч</w:t>
            </w:r>
          </w:p>
          <w:p w14:paraId="65AE67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Средняя путевая скорость, км/ч</w:t>
            </w:r>
          </w:p>
          <w:p w14:paraId="6ECBF9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Дальность беспосадочного полета, км</w:t>
            </w:r>
          </w:p>
          <w:p w14:paraId="223D7E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Скорость, км/ч </w:t>
            </w:r>
          </w:p>
          <w:p w14:paraId="2C3C57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максимальная (облегченного) </w:t>
            </w:r>
          </w:p>
          <w:p w14:paraId="21F92C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посадочная (облегченного)</w:t>
            </w:r>
          </w:p>
          <w:p w14:paraId="6F3A57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Потолок (облегченного), м </w:t>
            </w:r>
          </w:p>
          <w:p w14:paraId="2C36CF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5E779E">
              <w:rPr>
                <w:rFonts w:ascii="Times New Roman" w:hAnsi="Times New Roman"/>
                <w:color w:val="000000" w:themeColor="text1"/>
                <w:sz w:val="16"/>
                <w:szCs w:val="16"/>
              </w:rPr>
              <w:t>Нагрузка на крыло (облегченного), кг/м</w:t>
            </w:r>
            <w:r w:rsidRPr="005E779E">
              <w:rPr>
                <w:rFonts w:ascii="Times New Roman" w:hAnsi="Times New Roman"/>
                <w:color w:val="000000" w:themeColor="text1"/>
                <w:sz w:val="16"/>
                <w:szCs w:val="16"/>
                <w:vertAlign w:val="superscript"/>
              </w:rPr>
              <w:t>2</w:t>
            </w:r>
          </w:p>
          <w:p w14:paraId="4DD086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Полная длина, м </w:t>
            </w:r>
          </w:p>
        </w:tc>
        <w:tc>
          <w:tcPr>
            <w:tcW w:w="810" w:type="dxa"/>
            <w:tcBorders>
              <w:top w:val="single" w:sz="12" w:space="0" w:color="auto"/>
              <w:bottom w:val="single" w:sz="12" w:space="0" w:color="auto"/>
            </w:tcBorders>
          </w:tcPr>
          <w:p w14:paraId="53D357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DDB58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8,6 </w:t>
            </w:r>
          </w:p>
          <w:p w14:paraId="12E556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120</w:t>
            </w:r>
          </w:p>
          <w:p w14:paraId="033E4A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w:t>
            </w:r>
          </w:p>
          <w:p w14:paraId="07CF7E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w:t>
            </w:r>
          </w:p>
          <w:p w14:paraId="3E3CEB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200 </w:t>
            </w:r>
          </w:p>
          <w:p w14:paraId="422F06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6000</w:t>
            </w:r>
          </w:p>
          <w:p w14:paraId="211C5A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7DBAC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260 </w:t>
            </w:r>
          </w:p>
          <w:p w14:paraId="21737A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90 </w:t>
            </w:r>
          </w:p>
          <w:p w14:paraId="661CB4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5000 </w:t>
            </w:r>
          </w:p>
          <w:p w14:paraId="76513C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52,5</w:t>
            </w:r>
          </w:p>
          <w:p w14:paraId="2585D3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w:t>
            </w:r>
          </w:p>
        </w:tc>
      </w:tr>
    </w:tbl>
    <w:p w14:paraId="35DC58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(10676).</w:t>
      </w:r>
    </w:p>
    <w:p w14:paraId="614099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65D6ACC" w14:textId="77777777" w:rsidR="00600EDB" w:rsidRPr="005E779E" w:rsidRDefault="00600EDB"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bCs/>
          <w:iCs/>
          <w:color w:val="000000" w:themeColor="text1"/>
          <w:sz w:val="16"/>
          <w:szCs w:val="16"/>
        </w:rPr>
        <w:t>19 декабря 1931 г.</w:t>
      </w:r>
      <w:r w:rsidRPr="005E779E">
        <w:rPr>
          <w:rFonts w:ascii="Times New Roman" w:hAnsi="Times New Roman"/>
          <w:color w:val="000000" w:themeColor="text1"/>
          <w:sz w:val="16"/>
          <w:szCs w:val="16"/>
        </w:rPr>
        <w:t xml:space="preserve"> В постановлении РВС СССР «О состоянии изобретательства» было решено «</w:t>
      </w:r>
      <w:r w:rsidRPr="005E779E">
        <w:rPr>
          <w:rFonts w:ascii="Times New Roman" w:hAnsi="Times New Roman"/>
          <w:iCs/>
          <w:color w:val="000000" w:themeColor="text1"/>
          <w:sz w:val="16"/>
          <w:szCs w:val="16"/>
        </w:rPr>
        <w:t>достигнуть в 1932 году распыления жидких ОВ с высоты 5000 метров</w:t>
      </w:r>
      <w:r w:rsidRPr="005E779E">
        <w:rPr>
          <w:rFonts w:ascii="Times New Roman" w:hAnsi="Times New Roman"/>
          <w:color w:val="000000" w:themeColor="text1"/>
          <w:sz w:val="16"/>
          <w:szCs w:val="16"/>
        </w:rPr>
        <w:t>» (17133).</w:t>
      </w:r>
    </w:p>
    <w:p w14:paraId="48D6BDD8" w14:textId="77777777" w:rsidR="00600EDB" w:rsidRPr="005E779E" w:rsidRDefault="00600EDB" w:rsidP="000B7A6C">
      <w:pPr>
        <w:shd w:val="clear" w:color="auto" w:fill="FFFFFF"/>
        <w:spacing w:after="0" w:line="240" w:lineRule="auto"/>
        <w:jc w:val="both"/>
        <w:rPr>
          <w:rFonts w:ascii="Times New Roman" w:hAnsi="Times New Roman"/>
          <w:color w:val="000000" w:themeColor="text1"/>
          <w:sz w:val="16"/>
          <w:szCs w:val="16"/>
        </w:rPr>
      </w:pPr>
    </w:p>
    <w:p w14:paraId="1D0FEFAC" w14:textId="77777777" w:rsidR="000E52C6" w:rsidRPr="005E779E" w:rsidRDefault="000E52C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 декабря 1931 г. в письме начальнику Иностранного Отдела УВВС Федорову советский атташе в Италии В.С. Трудолюбов говорит о том, что «полет предполагается организовать в апреле-мае 1932 года. Со своей стороны считаю, организацию такого полета к нам интересным. 4.000 рублей уплатить за этот эксперимент – небольшая сумма». Однако в Иностранном Отделе эту инициативу посчитали слишком дорогостоящей (21410).</w:t>
      </w:r>
    </w:p>
    <w:p w14:paraId="076A50EF" w14:textId="77777777" w:rsidR="000E52C6" w:rsidRPr="005E779E" w:rsidRDefault="000E52C6" w:rsidP="000B7A6C">
      <w:pPr>
        <w:spacing w:after="0" w:line="240" w:lineRule="auto"/>
        <w:jc w:val="both"/>
        <w:rPr>
          <w:rFonts w:ascii="Times New Roman" w:hAnsi="Times New Roman"/>
          <w:color w:val="000000" w:themeColor="text1"/>
          <w:sz w:val="16"/>
          <w:szCs w:val="16"/>
        </w:rPr>
      </w:pPr>
    </w:p>
    <w:p w14:paraId="713DE7F9"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6EF939DC"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A2D973E" w14:textId="77777777" w:rsidR="00600EDB" w:rsidRPr="005E779E" w:rsidRDefault="00600EDB" w:rsidP="000B7A6C">
      <w:pPr>
        <w:spacing w:after="0" w:line="240" w:lineRule="auto"/>
        <w:jc w:val="both"/>
        <w:rPr>
          <w:rStyle w:val="af0"/>
          <w:rFonts w:ascii="Times New Roman" w:hAnsi="Times New Roman"/>
          <w:i w:val="0"/>
          <w:color w:val="000000" w:themeColor="text1"/>
          <w:sz w:val="16"/>
          <w:szCs w:val="16"/>
        </w:rPr>
      </w:pPr>
      <w:r w:rsidRPr="005E779E">
        <w:rPr>
          <w:rFonts w:ascii="Times New Roman" w:hAnsi="Times New Roman"/>
          <w:bCs/>
          <w:color w:val="000000" w:themeColor="text1"/>
          <w:sz w:val="16"/>
          <w:szCs w:val="16"/>
        </w:rPr>
        <w:t>19 декабря 1931 г. — Доклад заместителя наркома по военным и морским делам СССР и председателя Реввоенсовета СССР М. Н. Тухачевского председателю Комиссии обороны В. М. Молотову об инженерном вооружении РККА</w:t>
      </w:r>
    </w:p>
    <w:p w14:paraId="72101C22"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Style w:val="af0"/>
          <w:rFonts w:ascii="Times New Roman" w:hAnsi="Times New Roman"/>
          <w:i w:val="0"/>
          <w:color w:val="000000" w:themeColor="text1"/>
          <w:sz w:val="16"/>
          <w:szCs w:val="16"/>
        </w:rPr>
        <w:t>Совершенно секретно.</w:t>
      </w:r>
    </w:p>
    <w:p w14:paraId="6F1432CB" w14:textId="77777777" w:rsidR="00987BB5" w:rsidRPr="005E779E" w:rsidRDefault="00987BB5" w:rsidP="000B7A6C">
      <w:pPr>
        <w:pStyle w:val="rtejustify"/>
        <w:spacing w:before="0" w:after="0"/>
        <w:rPr>
          <w:color w:val="000000" w:themeColor="text1"/>
          <w:sz w:val="16"/>
          <w:szCs w:val="16"/>
        </w:rPr>
      </w:pPr>
      <w:r w:rsidRPr="005E779E">
        <w:rPr>
          <w:rStyle w:val="af0"/>
          <w:i w:val="0"/>
          <w:color w:val="000000" w:themeColor="text1"/>
          <w:sz w:val="16"/>
          <w:szCs w:val="16"/>
        </w:rPr>
        <w:t>Требования, предъявляемые к инженерному вооружению.</w:t>
      </w:r>
      <w:r w:rsidRPr="005E779E">
        <w:rPr>
          <w:color w:val="000000" w:themeColor="text1"/>
          <w:sz w:val="16"/>
          <w:szCs w:val="16"/>
        </w:rPr>
        <w:t xml:space="preserve"> Моторизация и механизация РККА, повышающие боевую мощь и подвижность основных родов войск, требуют усиления инженерных средств армии по линии механизации полевых инженерных работ. Автотранспорт и тяжелые боевые средства требуют хороших дорог и мостов, рассчитанных под тяжелые грузы, что при намечающемся широком применении в боевых действиях разрушений путей сообщений и заграждения на них потребует от инженерных войск РККА быстроты работ по восстановлению разрушенных дорог или возведению новых. Темпы современного боя, быстрота движения моторизованных частей требуют максимального сокращения срока восстановления боевых путей сообщения, что можно достичь только при широкой механизации и электрификации дорожных и мостовых работ саперов.</w:t>
      </w:r>
    </w:p>
    <w:p w14:paraId="74ED8C0E"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В иностранных армиях саперные части вооружены пневматическим инструментом и электротехникой, образцы этих средств, испытанные на наших новостройках и в опытных саперных частях, показали увеличение скорости работ в несколько раз и одновременно уменьшение необходимых рабочих, в условиях РККА — бойцов. Эти средства, несмотря на явную рентабельность их в нашем развернутом строительстве, в Союзе не производятся благодаря известной консервативности наших строительных организаций, идущих по пути наименьшего сопротивления — вывоза этих средств из-за границы, тратя на это огромные валютные средства.</w:t>
      </w:r>
    </w:p>
    <w:p w14:paraId="5822EE18"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Развитие артиллерийских средств борьбы требует значительного усиления оборонительных сооружений на укрепленных полосах и возведения их с максимальной быстротой, что может быть достигнуто при широкой механизации и электрификации земляных и бетонных работ на укрепленных полосах. Применение за границей легких подвижных экскаваторов и приспособлений к тракторам для механизации работ позволяют иностранным армиям строить расчеты по возведению во время войны укрепленных полос с бетонными сооружениями в течение 1</w:t>
      </w:r>
      <w:r w:rsidRPr="005E779E">
        <w:rPr>
          <w:color w:val="000000" w:themeColor="text1"/>
          <w:sz w:val="16"/>
          <w:szCs w:val="16"/>
        </w:rPr>
        <w:noBreakHyphen/>
        <w:t>2 десятков дней.</w:t>
      </w:r>
    </w:p>
    <w:p w14:paraId="4F14F60B"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Развитие электротехники сильных токов и электрификация транспорта и сельского хозяйства в Союзе позволяет использовать электроэнергию не только для электрификации всех видов работ, но и как боевые поражающие средства в виде электризованных препятствий, смертельных для человека при его преодолении. Такие средства разработаны в РККА, но освоение их промышленностью идет чрезвычайно туго.</w:t>
      </w:r>
    </w:p>
    <w:p w14:paraId="722FF057"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Моторизация армии и утяжеление ее боевых средств требуют коренного пересмотра вопроса обеспечения РККА переправочными средствами. В РККА выработаны новые понтонные парки, позволяющие организовать переправу по мостам грузов в 20 т и на паромах грузов до 40</w:t>
      </w:r>
      <w:r w:rsidRPr="005E779E">
        <w:rPr>
          <w:color w:val="000000" w:themeColor="text1"/>
          <w:sz w:val="16"/>
          <w:szCs w:val="16"/>
        </w:rPr>
        <w:noBreakHyphen/>
        <w:t xml:space="preserve">50 т, но быстрое вооружение РККА этими парками встречает затруднения в промышленности. Разрушения и применения ОВ противником ставят остро вопрос о полевом водоснабжении армии. Это требует широкого </w:t>
      </w:r>
      <w:r w:rsidRPr="005E779E">
        <w:rPr>
          <w:color w:val="000000" w:themeColor="text1"/>
          <w:sz w:val="16"/>
          <w:szCs w:val="16"/>
        </w:rPr>
        <w:lastRenderedPageBreak/>
        <w:t>снабжения армии во время войны средствами полевой гидротехники (добыча и очистка воды), остро необходимых в мирное время совхозам и колхозам. Развитие авиации вызвало ответное развитие зенитных средств борьбы, где прожектор и звукоулавливатель должны получить широкое применение для противовоздушной обороны ночью.</w:t>
      </w:r>
    </w:p>
    <w:p w14:paraId="34242C79"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Механизация и электрификация инженерных работ РККА во время войны возможны только на базисе советской промышленности при условии внедрения всех нужных армии средств в мирное строительство страны. Только в этих условиях РККА во время войны может получить в свои ряды подготовленные кадры и для своего вооружения достаточное количество необходимых средств путем «технической повинности» гражданских организаций.</w:t>
      </w:r>
    </w:p>
    <w:p w14:paraId="6ACAE2F7" w14:textId="77777777" w:rsidR="00987BB5" w:rsidRPr="005E779E" w:rsidRDefault="00987BB5" w:rsidP="000B7A6C">
      <w:pPr>
        <w:pStyle w:val="rtejustify"/>
        <w:spacing w:before="0" w:after="0"/>
        <w:rPr>
          <w:color w:val="000000" w:themeColor="text1"/>
          <w:sz w:val="16"/>
          <w:szCs w:val="16"/>
        </w:rPr>
      </w:pPr>
      <w:r w:rsidRPr="005E779E">
        <w:rPr>
          <w:rStyle w:val="af0"/>
          <w:i w:val="0"/>
          <w:color w:val="000000" w:themeColor="text1"/>
          <w:sz w:val="16"/>
          <w:szCs w:val="16"/>
        </w:rPr>
        <w:t>Состояние инженерного вооружения и обеспеченность им РККА.</w:t>
      </w:r>
      <w:r w:rsidRPr="005E779E">
        <w:rPr>
          <w:color w:val="000000" w:themeColor="text1"/>
          <w:sz w:val="16"/>
          <w:szCs w:val="16"/>
        </w:rPr>
        <w:t xml:space="preserve"> 1. Обеспеченность РККА даже старыми средствами к настоящему времени явно недостаточна. При совершенном отсутствии в армии средств механизации, гидротехники и электрификации, положение с инженерным вооружением надо признать критическим и требующим скорейших и решительных мер по организации в СССР производства нужных армии инженерных средств и не менее нужных стране в ее мирном строительстве.</w:t>
      </w:r>
    </w:p>
    <w:p w14:paraId="047202BD"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 xml:space="preserve">2. В случае военных действий весной 1932 г. РККА выходит на фронт, совершенно не имея новых необходимых средств: электрификации и механизации инженерных работ и гидротехники. Для оборонительных работ армия, кроме шанцевого инструмента, ничего иметь не будет. Отсутствуют экскаваторы и окопокопатели. Противохимических вентиляторов на 20% потребности. Из электротехнических средств армия будет иметь небольшое число маломощных электростанций. Уже разработанной и испытанной электростанции для электризации проволочных заграждений армия иметь не будет. Звукоулавливателями — обеспеченность на 35%; ничтожный процент синхронно связанных прожекторов с звукоулавливателями и совсем не связанных </w:t>
      </w:r>
      <w:r w:rsidRPr="005E779E">
        <w:rPr>
          <w:rStyle w:val="af0"/>
          <w:i w:val="0"/>
          <w:color w:val="000000" w:themeColor="text1"/>
          <w:sz w:val="16"/>
          <w:szCs w:val="16"/>
        </w:rPr>
        <w:t>с</w:t>
      </w:r>
      <w:r w:rsidRPr="005E779E">
        <w:rPr>
          <w:color w:val="000000" w:themeColor="text1"/>
          <w:sz w:val="16"/>
          <w:szCs w:val="16"/>
        </w:rPr>
        <w:t xml:space="preserve"> зенитными батареями. В 1932 г. армия будет иметь 20 советских прожекторных отражателей при наличии на сегодня 194 прожекторов. Отсутствуют дорожные машины и двигатели для моторизации передвижения по воде.</w:t>
      </w:r>
    </w:p>
    <w:p w14:paraId="24DFBA71"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3. Стрелковые полки будут иметь полностью шанцевый инструмент, 50 шт. отживших и выслуживших все сроки службы поплавков Полянского и набор плотничного инструмента. Саперные роты дивизий: шанцевый инструмент — 100%, 2</w:t>
      </w:r>
      <w:r w:rsidRPr="005E779E">
        <w:rPr>
          <w:color w:val="000000" w:themeColor="text1"/>
          <w:sz w:val="16"/>
          <w:szCs w:val="16"/>
        </w:rPr>
        <w:noBreakHyphen/>
        <w:t>3 подрывных машинки (50%), 200 старых отживших поплавков Полянского без настила, 50</w:t>
      </w:r>
      <w:r w:rsidRPr="005E779E">
        <w:rPr>
          <w:color w:val="000000" w:themeColor="text1"/>
          <w:sz w:val="16"/>
          <w:szCs w:val="16"/>
        </w:rPr>
        <w:noBreakHyphen/>
        <w:t>60% обеспеченности мастерским инструментом и не имея никаких новых средств механизации инженерных работ и гидротехники.</w:t>
      </w:r>
    </w:p>
    <w:p w14:paraId="36005A37"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Средняя обеспеченность главнейшими предметами инженерного вооружения и армии на 1 января 1932 г. в целом видна из прилагаемых диаграмм¹*.</w:t>
      </w:r>
    </w:p>
    <w:p w14:paraId="4691CFAA" w14:textId="77777777" w:rsidR="00987BB5" w:rsidRPr="005E779E" w:rsidRDefault="00987BB5" w:rsidP="000B7A6C">
      <w:pPr>
        <w:pStyle w:val="rtejustify"/>
        <w:spacing w:before="0" w:after="0"/>
        <w:rPr>
          <w:color w:val="000000" w:themeColor="text1"/>
          <w:sz w:val="16"/>
          <w:szCs w:val="16"/>
        </w:rPr>
      </w:pPr>
      <w:r w:rsidRPr="005E779E">
        <w:rPr>
          <w:rStyle w:val="af0"/>
          <w:i w:val="0"/>
          <w:color w:val="000000" w:themeColor="text1"/>
          <w:sz w:val="16"/>
          <w:szCs w:val="16"/>
        </w:rPr>
        <w:t>Главнейшие средства механизации и электрификации, предусмотренные) системой инженерного вооружения РККА и положение с производством их в СССР.</w:t>
      </w:r>
      <w:r w:rsidRPr="005E779E">
        <w:rPr>
          <w:color w:val="000000" w:themeColor="text1"/>
          <w:sz w:val="16"/>
          <w:szCs w:val="16"/>
        </w:rPr>
        <w:t xml:space="preserve"> Системой инженерного вооружения, утвержденной РВС СССР, предусмотрена широкая механизация и электрификация инженерных работ.</w:t>
      </w:r>
    </w:p>
    <w:p w14:paraId="62D884DF"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1. Для работ по возведению мостов саперы должны будут иметь следующие основные средства: а) подвижные компрессоры производительностью в 3 и 6 м³/с с набором пневматического инструмента для работ по дереву, металлу и грунтам и пневма[тических] бомб для забивки свай; б) оборудование тракторов в виде кранов, лебедок, ковшей и ножей-грейдеров для механизации работ по подъему и перемещению грузов и работ на мостах; в) моторные пилы и разборные лесопилки для заготовки леса; г) подвижные электростанции и агрегаты с электрифицированным инструментом, электромоторами и арматурой для освещения работ.</w:t>
      </w:r>
    </w:p>
    <w:p w14:paraId="276E503B"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Из перечисленных средств в Союзе налажено в недостаточном количестве и плохого качества производство пневматического инструмента по металлу и разборных лесопилок малой производительности. Компрессоры намечено поставить на производство в 1932 г., но тяжелых образцов и в размерах, не удовлетворяющих потребности армии для учебы, не говоря о потребностях гражданских строительств.</w:t>
      </w:r>
    </w:p>
    <w:p w14:paraId="4E08AC84"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Производство легких компрессоров, особенно нужных армии, нигде еще не намечено. От производства пневма[тического] инструмента для работ по дереву и грунтам Станкоинструмент отказывается. Пневма[тический| инструмент не обеспечен наконечниками. Производство моторных пил в Союзе до сих пор не налажено и не известно, когда будет поставлено, несмотря на 3 года переговоров с Главлеспромом, и ВСНХ, при наличии удовлетворительной в работе опытной советской пилы, разработанной ВИУ, и возможности постановки этого производства на мотоциклетном заводе путем стандартизации мотора мотоциклета и пилы. Главлеспром занят бесконечной перепиской и исканием «наилучших образцов», ВАТО к вопросам о пилах относится небрежно, в результате чрезвычайно нужная для лесной промышленности Союза моторная пила, возможно, и в 1932 г. не будет освоена промышленностью.</w:t>
      </w:r>
    </w:p>
    <w:p w14:paraId="3DCF2FED"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Электростанции нужных армии типов освоены на «Электрозаводе» ВЭО, но производственные возможности завода и отношение к ним со стороны ВЭО в 1932 г. не обеспечивают армии минимальной потребности для учебы. При сокращении плана производство «Электрозавода» ВЭО в первую очередь снимает электростанции, разработка образцов станции тянулась годами. От производства электрифицированного инструмента ВЭО категорически отказалось и в 1932 г. приходится ограничиться опытной партией, поставив производство инструмента на маломощном Конотопском заводе «Укрмето». Оборудование тракторов, разработанное ВИУ по новейшим заграничным образцам, промышленностью и строительными организациями, которым оно крайне нужно, осваиваются крайне медленно и непонятно инертно, не решаясь в 1932 г. широко поставить производство сравнительно простых оборудований.</w:t>
      </w:r>
    </w:p>
    <w:p w14:paraId="506E671F"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2. Для дорожных работ РККА нужны простейшие дорожные машины для грунтовых дорог. Производящиеся в Союзе дорожные машины не удовлетворительны ни по своему качеству, ни по возможностям собрать полные комплекты для работ.</w:t>
      </w:r>
    </w:p>
    <w:p w14:paraId="3676E9CD"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3. Для механизации земляных работ необходимы легкие экскаваторы одноковшовые и многоковшовые, производство которых намечено начать лишь в 1933 г. на новом экскаваторном заводе. В 1932 г. намечено поставить производство тяжелых экскаваторов для НКПС и опытной партии малых экскаваторов для РККА (Наркомзем. Водоканал и другие организации присоединились к типу РККА) на Воткинском заводе, но в течение 4 месяцев заводу не дано никакого распоряжения и имеется угроза перемещения производства на какой-либо другой завод, что только оттягивает разрешение вопроса на неопределенное время.</w:t>
      </w:r>
    </w:p>
    <w:p w14:paraId="0AF439A3"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4. Для подрывных работ нужны мощные подрывные машинки, первая партия которых изготавливается уже в 1931 г., но «Электрозавод» ВЭО, несмотря на годичный срок с начала переговоров по постановке производства машинок, до сих пор не имеет необходимого и незначительного оборудования.</w:t>
      </w:r>
    </w:p>
    <w:p w14:paraId="5653E5B9"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5. Новые тяжелый и легкий понтонные парки. К настоящему моменту закончено испытание разработанного Военно-технической академией РККА и построенного на Коломенском заводе Парвагдиза нового понтонного имущества с грузоподъемностью моста 10 и 20 т и паромов из этого же имущества 20, 30 и 45 т. Мост унифицирован с Цудортрансом, который может использовать его на грунтовых дорогах. Производственные испытания показали полную пригодность и соответствие с тактическими требованиями образца, что дает возможность, начиная с 1932 г., перейти к перевооружению РККА новым понтонным имуществом.</w:t>
      </w:r>
    </w:p>
    <w:p w14:paraId="6BA0DD4B"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В апреле месяце 1932 г. заканчивается проект легкого понтонного парка, который должен заменить мостовые парки на надувных лодках А</w:t>
      </w:r>
      <w:r w:rsidRPr="005E779E">
        <w:rPr>
          <w:color w:val="000000" w:themeColor="text1"/>
          <w:sz w:val="16"/>
          <w:szCs w:val="16"/>
        </w:rPr>
        <w:noBreakHyphen/>
        <w:t>3. Тактико-технические требования нового легкого понтонного парка таковы: грузоподъемность моста 3, 6 и 8 т и паромов из этого же имущества 3, 6, 8 и 12 т.</w:t>
      </w:r>
    </w:p>
    <w:p w14:paraId="15568674"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Производство нового понтонного имущества может быть организовано на Коломенском заводе Парвагдиза, строившем опытный образец нового тяжелого понтонного парка. Для дальнейшей заготовки этого имущества необходимо организовать специальный цех на Коломенском заводе, где объединить производство всех элементов моста, за исключением моторов (понтонов, верхнего строения, средств механизации, оборудование прицепок).</w:t>
      </w:r>
    </w:p>
    <w:p w14:paraId="3370BB86"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6. Станции для электризации заграждений. Разработана «Электрозаводом» под непосредственным руководством НТК ВИУ, одновременно разработаны переносные малозаметные электризованные препятствия и аппаратура для устройства и преодоления электризованных заграждений. Испытание станции (по шифру Э</w:t>
      </w:r>
      <w:r w:rsidRPr="005E779E">
        <w:rPr>
          <w:color w:val="000000" w:themeColor="text1"/>
          <w:sz w:val="16"/>
          <w:szCs w:val="16"/>
        </w:rPr>
        <w:noBreakHyphen/>
        <w:t>1) и препятствий, проведенные в трех округах, показали отличные свойства станции и всей системы вместе с малозаметными переносными препятствиями как средства исключительно боевого значения (поражение живых целей). Производство станций налажено на «Электрозаводе», но в недостаточных размерах.</w:t>
      </w:r>
    </w:p>
    <w:p w14:paraId="06D6E40B"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7. Прожекторы и звукоулавливатели. Прожекторным заводом «Электрозавод» построен новый тип зенитного прожектора (по американскому образцу). Производство освоено. Предстоит его дальнейшее развитие на расширенной базе нового прожекторного завода. Сейчас имеется опасность срыва сроков этого строительства вследствие сокращения и уравнительного урезывания ряда финансов и строительных контингентов по линии ВЭО. Основной прорыв в производстве прожекторов из-за отсутствия собственного производства отражателей. Вопрос о постановке собственного производства отражателей тянется уже в течение 6 лет почти без всяких серьезных результатов.</w:t>
      </w:r>
    </w:p>
    <w:p w14:paraId="7CF71DBC"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Заводом «Электроприбор» ВЭСО в Ленинграде построен звукоулавливатель с синхронным управлением, но завод не имеет достаточной производственной и экспериментальной базы. В частности, в 1932 г. РККА будет иметь 200 прожекторных станций, из которых только 40 будут обеспечены «Электроприбором» звукоулавливателями и синхронной связью.</w:t>
      </w:r>
    </w:p>
    <w:p w14:paraId="2F3CA7CA"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8. Двигатели для специальных установок. Для проведения системы инженерного вооружения РККА по линии ВИУ необходимо разработать и освоить производством в промышленности до конца 1933 г. не менее 15 типов различных двигателей от 3 до 150 л. с. Все эти типы двигателей не являются исключительно объектами использования и применения в РККА, а находят и найдут широкое применение в автотракторном хозяйстве, гражданской промышленности, гражданской авиации, в общественных спортивных организациях, в гражданском речном флоте и сельском хозяйстве.</w:t>
      </w:r>
    </w:p>
    <w:p w14:paraId="44FDB8D7"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К настоящему времени разработаны образцы и освоены в производстве 3- и 6</w:t>
      </w:r>
      <w:r w:rsidRPr="005E779E">
        <w:rPr>
          <w:color w:val="000000" w:themeColor="text1"/>
          <w:sz w:val="16"/>
          <w:szCs w:val="16"/>
        </w:rPr>
        <w:noBreakHyphen/>
        <w:t>сильные двигатели, необходимые ВИУ для механизации водоподъемников, 3</w:t>
      </w:r>
      <w:r w:rsidRPr="005E779E">
        <w:rPr>
          <w:color w:val="000000" w:themeColor="text1"/>
          <w:sz w:val="16"/>
          <w:szCs w:val="16"/>
        </w:rPr>
        <w:noBreakHyphen/>
        <w:t>киловатных агрегатов, насосов и других мелких механизированных установок. Двигатели в 12 сил сейчас испытываются, но развитие производства этого двигателя в 1932 г. под сомнением, так как ВАТО все время уменьшает планы 2</w:t>
      </w:r>
      <w:r w:rsidRPr="005E779E">
        <w:rPr>
          <w:color w:val="000000" w:themeColor="text1"/>
          <w:sz w:val="16"/>
          <w:szCs w:val="16"/>
        </w:rPr>
        <w:noBreakHyphen/>
        <w:t>го автозавода.</w:t>
      </w:r>
    </w:p>
    <w:p w14:paraId="54A8DC62"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Забортные двигатели в 10 и 20 л. с., нужные РККА для моторизации передвижений по воде переправочных средств, закончены проектированием, в декабре заканчивается сборка опытного образца 20</w:t>
      </w:r>
      <w:r w:rsidRPr="005E779E">
        <w:rPr>
          <w:color w:val="000000" w:themeColor="text1"/>
          <w:sz w:val="16"/>
          <w:szCs w:val="16"/>
        </w:rPr>
        <w:noBreakHyphen/>
        <w:t>сильного двигателя. МПС ВСНХ дало распоряжение о постановке производства этих двигателей на заводах ВАТО (завод «Красный двигатель» в Новороссийске), но объединения и заводы пока ведут лишь переписку и стараются всячески отделаться от этого заказа. По остальным двигателям разрабатываются проекты, в большей части киевским филиалом Института пром[ышленной] энергетики, необходимо распоряжение ВАТО об освоении на его заводах этих двигателей.</w:t>
      </w:r>
    </w:p>
    <w:p w14:paraId="6D1B71FE"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Впредь до разработки новых бескомпрессорных дизелей ВИУ РККА наметило приспособление существующих автомобильных и тракторных двигателей к специальным установкам, что следует также поручить ВАТО.</w:t>
      </w:r>
    </w:p>
    <w:p w14:paraId="50F107AC" w14:textId="77777777" w:rsidR="00987BB5" w:rsidRPr="005E779E" w:rsidRDefault="00987BB5" w:rsidP="000B7A6C">
      <w:pPr>
        <w:pStyle w:val="rtejustify"/>
        <w:spacing w:before="0" w:after="0"/>
        <w:rPr>
          <w:color w:val="000000" w:themeColor="text1"/>
          <w:sz w:val="16"/>
          <w:szCs w:val="16"/>
        </w:rPr>
      </w:pPr>
      <w:r w:rsidRPr="005E779E">
        <w:rPr>
          <w:rStyle w:val="af0"/>
          <w:i w:val="0"/>
          <w:color w:val="000000" w:themeColor="text1"/>
          <w:sz w:val="16"/>
          <w:szCs w:val="16"/>
        </w:rPr>
        <w:lastRenderedPageBreak/>
        <w:t>Выполнение заказов ВИУ промышленностью в 1931 г.</w:t>
      </w:r>
      <w:r w:rsidRPr="005E779E">
        <w:rPr>
          <w:color w:val="000000" w:themeColor="text1"/>
          <w:sz w:val="16"/>
          <w:szCs w:val="16"/>
        </w:rPr>
        <w:t xml:space="preserve"> Работа промышленности в 1931 г. по выполнению заказов на инженерное имущество наглядно иллюстрируется в прилагаемых диаграммах.</w:t>
      </w:r>
    </w:p>
    <w:p w14:paraId="49C028A0"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К настоящему моменту на 1 декабря 1931 г. имеется недодел по заказам ВИУ в 3 122 402 руб. из общей суммы заказа 12 942 596, между тем заказы ВИУ 1931 г. в большинстве были повторением заказов, ранее освоенных заводами и несложных в производстве. Одной из причин неудовлетворительности выполнения заказов на инженерное имущество РККА, несомненно, является отсутствие должного внимания к ним со стороны ВСНХ СССР, не распределяющих эти заказы через МПС и представляющих наблюдение и проведение их исключительно попечением ВИУ РККА.</w:t>
      </w:r>
    </w:p>
    <w:p w14:paraId="6BE3657A" w14:textId="77777777" w:rsidR="00987BB5" w:rsidRPr="005E779E" w:rsidRDefault="00987BB5" w:rsidP="000B7A6C">
      <w:pPr>
        <w:pStyle w:val="rtejustify"/>
        <w:spacing w:before="0" w:after="0"/>
        <w:rPr>
          <w:color w:val="000000" w:themeColor="text1"/>
          <w:sz w:val="16"/>
          <w:szCs w:val="16"/>
        </w:rPr>
      </w:pPr>
      <w:r w:rsidRPr="005E779E">
        <w:rPr>
          <w:rStyle w:val="af0"/>
          <w:i w:val="0"/>
          <w:color w:val="000000" w:themeColor="text1"/>
          <w:sz w:val="16"/>
          <w:szCs w:val="16"/>
        </w:rPr>
        <w:t>План заказов 1932 г.</w:t>
      </w:r>
      <w:r w:rsidRPr="005E779E">
        <w:rPr>
          <w:color w:val="000000" w:themeColor="text1"/>
          <w:sz w:val="16"/>
          <w:szCs w:val="16"/>
        </w:rPr>
        <w:t xml:space="preserve"> Планом заказов ВИУ на 1932 г., исчисленным в 33 млн. руб., предусмотрена заготовка новых видов инженерного вооружения в минимальных размерах, необходимых для учебы кадровых инженерных частей и вузов. План заказа имеет целью в 1932 г., дать возможность в 1932 г. освоить новые средства в армии и наладить производство их в промышленности с тем, чтобы в 1933 г. перейти к полному перевооружению РККА новыми инженерными средствами. При размещении заказов в промышленности встречается ряд затруднений, требующих решения Комиссии обороны, так как тресты, заводы и ВСНХ неохотно идут на освоение новых средств.</w:t>
      </w:r>
    </w:p>
    <w:p w14:paraId="0DB8F3FB"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По заказам на 1932 г. имеются следующие затруднения по главнейшим заказам:</w:t>
      </w:r>
    </w:p>
    <w:p w14:paraId="0B74A500"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1. Моторные пилы. Заказывается 600 пил, принятых заводом «Красный Октябрь» в Ленинграде, завод имеет необходимые площади, но не имеет достаточного оборудования, в котором заводу отказано как ВАТО, так и Главлеспромом. Главлеспром лишь затягивает дело, настаивая на привлечении заграничной техпомощи, разговоры о которой ведутся уже два года. Необходимо закрепить производство моторных пил за заводом «Красный Октябрь», предложив ВСНХ СССР обеспечить названный завод необходимым оборудованием для производства моторных пил.</w:t>
      </w:r>
    </w:p>
    <w:p w14:paraId="14EAA90D"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2. Передвижные легкие лесопильные рамы типа «Эстерер». Планом 1932 г. предусмотрена поставка для РККА первой партии (27 шт.) названных рам. Заказ подлежит выполнению на заводе РОМО «Вл[адимира] Ильича» в Москве, изготовляющем лесопильные рамы тяжелого типа. Завод отказывается от принятия заказа и заключения договора, ссылаясь на отсутствие утвержденных объединением контрольных цифр и соглашаясь принять заказ к исполнению лишь при условии уменьшения программы производства тяжелых рам. Необходимо производство передвижных легких лесопильных рам типа «Эстерер» закрепить за заводом «Вл[адимира] Ильича», предложив ВСНХ СССР пересмотреть контрольные цифры завода под углом обеспечения потребности 1932 г. в указанных рамах как военведа, так и лесной промышленности.</w:t>
      </w:r>
    </w:p>
    <w:p w14:paraId="0964061B"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3. Подрывные машинки. В текущем году военвед получает первую партию нового образца, изготовляемых «Электрозаводом» в Москве. Завод конструкцию машин освоил и должен и в будущем году подать ВИУ 2 тыс. шт., но на существующем оборудовании выполнить это не сможет. Необходимо предложить ВСНХ обеспечить завод станками.</w:t>
      </w:r>
    </w:p>
    <w:p w14:paraId="5D4AFDFE"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4. Компрессоры большие производительностью в 6 м³/мин принимаются к изготовлению заводом № 7 Орудийно-арсенального объединения, но требуется: а) обеспечение завода импортными двигателями, впредь до разработки в Союзе подходящих по типу двигателей; б) обеспечение завода импортным и советским оборудованием.</w:t>
      </w:r>
    </w:p>
    <w:p w14:paraId="20FEDE5B"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5. Пневматический инструмент производства завода «Пневматика» (Союзстанкоинструмент) не удовлетворяет требованиям РККА. ВИУ необходимы инструменты, главным образом, по дереву и по грунтам. По дереву инструмент ранее вырабатывался, но ныне снят с производства, и от принятия заказа на сверлильные машины по дереву, пневматические пилы, постановщики болтов и шурупов завод категорически отказывается, так как не имеет для этого необходимых мощностей и кадров. Необходимо принудить завод восстановить снятое производство и наладить новое для получения полного комплекта пневматического инструмента.</w:t>
      </w:r>
    </w:p>
    <w:p w14:paraId="6CA4FDCE"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6. Наконечники к пневма[тическим] инструментам: бурава спиральные по дереву, торцовые ключи и отвертки, буры по грунтам, пики, лопаты не изготовляются заводами Союзстанкоинструмента, предлагается потребителям самостоятельно изготовлять из приобретаемой импортной стали. Войсковые части этим заниматься не могут. Необходимо одновременно с постановкой производства пневма[тических] инструментов приступить к изготовлению и наконечников.</w:t>
      </w:r>
    </w:p>
    <w:p w14:paraId="10A9C33F"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7. Свайные пневматические молоты весом около 500 кг и 700 кг. Это производство освоено заводом им. Седина в Краснодаре (Дормашобъединение). Но завод заказа принять не может, так как перегружен. Необходимо организовать на заводе специальный цех свайных пневматических и паровых молотов, разгрузив его от производства или тяжелых молотов № 7, мало применяемых, или устаревшего типа паровых шоссейных катков (типа «Коломенец»).</w:t>
      </w:r>
    </w:p>
    <w:p w14:paraId="5BB401A8"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8. Дорожные машины. Грейдеры 2,4 м, 3 м и 3,6 м должны изготовляться Онежским заводом (Дормашобъединение), но не могут быть изготовлены им в силу отсутствия соответствующего оборудования. Требуется обеспечение завода импортным оборудованием — гибочными машинами.</w:t>
      </w:r>
    </w:p>
    <w:p w14:paraId="23B06598"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Окопоконатель «Калифер» должен был изготовлять Онежский завод, но с заказом не справился, так как не имеет своего стального литья. Требуется размещение заказа на Рыбинском заводе (того же Дормашобъединения), с обязательством выпуска в 1932 г. не менее 100 шт.</w:t>
      </w:r>
    </w:p>
    <w:p w14:paraId="413650B6"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9. Электростанции, агрегаты и наземные прожекторы. «Электрозавод» заключил в августе месяце с. г. с ВИУ предварительный договор, обеспечивающий РККА необходимыми электростанциями, агрегатами и наземными прожекторами в 1932 г. В ноябре месяце «Электрозавод» в связи с сокращением ему правлением ВЭО общей суммы заказов с 52 до 35 млн. руб. произвел без согласия ВИУ сокращение заказов согласно данным таблицы.</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685"/>
        <w:gridCol w:w="3339"/>
        <w:gridCol w:w="3298"/>
      </w:tblGrid>
      <w:tr w:rsidR="001002C3" w:rsidRPr="005E779E" w14:paraId="72C2314D"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5BC31D73"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заказов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74D9B9E"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Требовалось ВИУ на 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757EA3F"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Оставл[ено] на заказ 1932 г.</w:t>
            </w:r>
          </w:p>
        </w:tc>
      </w:tr>
      <w:tr w:rsidR="001002C3" w:rsidRPr="005E779E" w14:paraId="681FDF7F"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1EEA3C94"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Электростанции ТА</w:t>
            </w:r>
            <w:r w:rsidRPr="005E779E">
              <w:rPr>
                <w:rFonts w:ascii="Times New Roman" w:hAnsi="Times New Roman"/>
                <w:color w:val="000000" w:themeColor="text1"/>
                <w:sz w:val="16"/>
                <w:szCs w:val="16"/>
              </w:rPr>
              <w:noBreakHyphen/>
              <w:t>1 (3 кВ)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B22B8EF"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1D6106"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w:t>
            </w:r>
          </w:p>
        </w:tc>
      </w:tr>
      <w:tr w:rsidR="001002C3" w:rsidRPr="005E779E" w14:paraId="68D36B65"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29CDED72"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Электростанции ТА</w:t>
            </w:r>
            <w:r w:rsidRPr="005E779E">
              <w:rPr>
                <w:rFonts w:ascii="Times New Roman" w:hAnsi="Times New Roman"/>
                <w:color w:val="000000" w:themeColor="text1"/>
                <w:sz w:val="16"/>
                <w:szCs w:val="16"/>
              </w:rPr>
              <w:noBreakHyphen/>
              <w:t>2 (15 кВ)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C1AEDE0"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4A4D0"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w:t>
            </w:r>
          </w:p>
        </w:tc>
      </w:tr>
      <w:tr w:rsidR="001002C3" w:rsidRPr="005E779E" w14:paraId="7A687039"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11CBE580"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Электростанции ТА-3 (15 кВ)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63010E0"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04561E"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w:t>
            </w:r>
          </w:p>
        </w:tc>
      </w:tr>
      <w:tr w:rsidR="001002C3" w:rsidRPr="005E779E" w14:paraId="438CFE56"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13A624CF"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Электростанции ТП-1 (25 кВ)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7DED477"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A89CD11"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r>
      <w:tr w:rsidR="001002C3" w:rsidRPr="005E779E" w14:paraId="0930A535"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1305F812" w14:textId="2021AF6C"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Станции электризации препятствий</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Э</w:t>
            </w:r>
            <w:r w:rsidRPr="005E779E">
              <w:rPr>
                <w:rFonts w:ascii="Times New Roman" w:hAnsi="Times New Roman"/>
                <w:color w:val="000000" w:themeColor="text1"/>
                <w:sz w:val="16"/>
                <w:szCs w:val="16"/>
              </w:rPr>
              <w:noBreakHyphen/>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70A814F"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90FAB70"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w:t>
            </w:r>
          </w:p>
        </w:tc>
      </w:tr>
      <w:tr w:rsidR="001002C3" w:rsidRPr="005E779E" w14:paraId="11E19D6F"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2A3E9A9A"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Агрегаты 3 кВ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EBDD033"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480²*</w:t>
            </w:r>
          </w:p>
        </w:tc>
        <w:tc>
          <w:tcPr>
            <w:tcW w:w="0" w:type="auto"/>
            <w:tcBorders>
              <w:top w:val="outset" w:sz="6" w:space="0" w:color="auto"/>
              <w:left w:val="outset" w:sz="6" w:space="0" w:color="auto"/>
              <w:bottom w:val="outset" w:sz="6" w:space="0" w:color="auto"/>
              <w:right w:val="outset" w:sz="6" w:space="0" w:color="auto"/>
            </w:tcBorders>
            <w:vAlign w:val="center"/>
            <w:hideMark/>
          </w:tcPr>
          <w:p w14:paraId="12E90E98"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120</w:t>
            </w:r>
          </w:p>
        </w:tc>
      </w:tr>
      <w:tr w:rsidR="001002C3" w:rsidRPr="005E779E" w14:paraId="00C212C0"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1761785A"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Агрегаты 6 кВ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152E40C"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180³*</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3618C"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r>
    </w:tbl>
    <w:p w14:paraId="30560FE4"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Кроме того, ВЭО отказано в закупке за границей стеклянных отражателей. Для прожекторов советского производства отражателей еще нет, и в 1932 г. прожекторы могут оказаться небоеспособными. Также ВЭО отказано от закупки аккумуляторов, благодаря чему срывается заказ на пехотные прожекторы.</w:t>
      </w:r>
    </w:p>
    <w:p w14:paraId="70AC63E2"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Подобное сокращение производства «Электрозавода» нарушает план обеспечения инженерных частей и укрепрайонов электрооборудованием. Необходимо восстановить полностью ассигнования «Электрозаводу» и обязать последний выполнить весь заказ ВИУ с закупкой необходимых зеркал и аккумуляторов.</w:t>
      </w:r>
    </w:p>
    <w:p w14:paraId="2080DA70"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10. Электрифицированный инструмент. В 1932 г. ВИУ пока удалось провести переговоры с Конотопским заводом «Укрмето» и заводом «Электродрель» в Ленинграде на изготовление опытных образцов. Заводы не обеспечены в достаточном количестве оборудованием и материалами. ВЭО категорически отказалось организовать в 1932 г. производство электрифицированного инструмента. Необходимо в 1932 г. построить специальный завод, производящий электрифицированный инструмент, а впредь до пуска нового завода наладить производство инструмента на Конотопском заводе и заводе «Электродрель», обеспечив их необходимым оборудованием и материалами.</w:t>
      </w:r>
    </w:p>
    <w:p w14:paraId="0A48CA31"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11. Снабжение укрепрайонов, предусмотренное в плане заказов 1932 г. в числе 360 агрегатов 3 и 6 кВ, 40 наземных прожекторов и 600 вентиляторов, промышленность отказывается выполнить в части полного удовлетворения агрегатами (не принимает 180 агрегатов в 6 кВ), моторов для вентиляторов (700 шт.) и наземных прожекторов (промышленность берется поставить 20 прожекторов вместо 40 необходимых). Необходимо самое решительное распоряжение промышленности о полном и первоочередном выполнении заказов для оснащения укрепрайонов.</w:t>
      </w:r>
    </w:p>
    <w:p w14:paraId="25816290"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12. Двигатели. Заказ на 6- и 12</w:t>
      </w:r>
      <w:r w:rsidRPr="005E779E">
        <w:rPr>
          <w:color w:val="000000" w:themeColor="text1"/>
          <w:sz w:val="16"/>
          <w:szCs w:val="16"/>
        </w:rPr>
        <w:noBreakHyphen/>
        <w:t>сильные двигатели, забортные моторы до сих пор не размещается, так как ВАТО и ВАТО-запчасть не решают вопроса как о месте производства забортных моторов, так и количестве выпускаемых в 1932 г. 6- и 12</w:t>
      </w:r>
      <w:r w:rsidRPr="005E779E">
        <w:rPr>
          <w:color w:val="000000" w:themeColor="text1"/>
          <w:sz w:val="16"/>
          <w:szCs w:val="16"/>
        </w:rPr>
        <w:noBreakHyphen/>
        <w:t>сильных двигателей, число которых все уменьшается и в настоящий момент уже не обеспечивает даже минимальных потребностей военведа, не говоря о нуждах гражданского строительства. Необходимо категорическое распоряжение ВАТО о полном выполнении первоначально намеченной программы 2</w:t>
      </w:r>
      <w:r w:rsidRPr="005E779E">
        <w:rPr>
          <w:color w:val="000000" w:themeColor="text1"/>
          <w:sz w:val="16"/>
          <w:szCs w:val="16"/>
        </w:rPr>
        <w:noBreakHyphen/>
        <w:t>го автозавода.</w:t>
      </w:r>
    </w:p>
    <w:p w14:paraId="6FAF00F5" w14:textId="77777777" w:rsidR="00987BB5" w:rsidRPr="005E779E" w:rsidRDefault="00987BB5" w:rsidP="000B7A6C">
      <w:pPr>
        <w:pStyle w:val="rtejustify"/>
        <w:spacing w:before="0" w:after="0"/>
        <w:rPr>
          <w:color w:val="000000" w:themeColor="text1"/>
          <w:sz w:val="16"/>
          <w:szCs w:val="16"/>
        </w:rPr>
      </w:pPr>
      <w:r w:rsidRPr="005E779E">
        <w:rPr>
          <w:rStyle w:val="af0"/>
          <w:i w:val="0"/>
          <w:color w:val="000000" w:themeColor="text1"/>
          <w:sz w:val="16"/>
          <w:szCs w:val="16"/>
        </w:rPr>
        <w:t>Возможность использования средств гражданской техники во время войны.</w:t>
      </w:r>
      <w:r w:rsidRPr="005E779E">
        <w:rPr>
          <w:color w:val="000000" w:themeColor="text1"/>
          <w:sz w:val="16"/>
          <w:szCs w:val="16"/>
        </w:rPr>
        <w:t xml:space="preserve"> Необходимо издание правительственного распоряжения о «технической повинности» всех гражданских строительных, лесозаготовительных, дорожных, коммунальных организаций и частью совхозов и колхозов о поставке во время войны средств механизации инженерных работ согласно приложенному перечню. В Госплане СССР необходимо организовать учет всех имеющихся и заготовляемых промышленностью средств по этому списку.</w:t>
      </w:r>
    </w:p>
    <w:p w14:paraId="27C49E42" w14:textId="77777777" w:rsidR="00987BB5" w:rsidRPr="005E779E" w:rsidRDefault="00987BB5" w:rsidP="000B7A6C">
      <w:pPr>
        <w:pStyle w:val="rtejustify"/>
        <w:spacing w:before="0" w:after="0"/>
        <w:rPr>
          <w:color w:val="000000" w:themeColor="text1"/>
          <w:sz w:val="16"/>
          <w:szCs w:val="16"/>
        </w:rPr>
      </w:pPr>
      <w:r w:rsidRPr="005E779E">
        <w:rPr>
          <w:color w:val="000000" w:themeColor="text1"/>
          <w:sz w:val="16"/>
          <w:szCs w:val="16"/>
        </w:rPr>
        <w:t>В целях стандартизации военно-инженерных средств армии с аналогичными средствами гражданской техники необходимо обязать все промышленные и строительные организации, изготавливающие эти средства, перед выпуском на работы обязательно пропускать через испытания на научно-испытательном инженерно-техническом полигоне ВТУ. Эта мера позволит одновременно изучать эти средства для последующего использования во время войны. Такое же мероприятие следует провести в отношении средств, закупаемых за границей, с тем, чтобы все новые образцы заграничных машин проходили испытание на полигоне для ознакомлений с ними НТК ВИУ и использования во время войны.</w:t>
      </w:r>
    </w:p>
    <w:p w14:paraId="3CF80924" w14:textId="77777777" w:rsidR="00987BB5" w:rsidRPr="005E779E" w:rsidRDefault="00987BB5" w:rsidP="000B7A6C">
      <w:pPr>
        <w:pStyle w:val="rtejustify"/>
        <w:spacing w:before="0" w:after="0"/>
        <w:rPr>
          <w:color w:val="000000" w:themeColor="text1"/>
          <w:sz w:val="16"/>
          <w:szCs w:val="16"/>
        </w:rPr>
      </w:pPr>
      <w:r w:rsidRPr="005E779E">
        <w:rPr>
          <w:rStyle w:val="af0"/>
          <w:i w:val="0"/>
          <w:color w:val="000000" w:themeColor="text1"/>
          <w:sz w:val="16"/>
          <w:szCs w:val="16"/>
        </w:rPr>
        <w:t>Обеспечение развертывания частей в первый период войны.</w:t>
      </w:r>
      <w:r w:rsidRPr="005E779E">
        <w:rPr>
          <w:color w:val="000000" w:themeColor="text1"/>
          <w:sz w:val="16"/>
          <w:szCs w:val="16"/>
        </w:rPr>
        <w:t xml:space="preserve"> Мобилизационная заявка на год ведения войны по варианту № 10 промышленностью еще окончательно не проработана. Плана подачи имущества по мобзаявке ВИУ не имеет. План С</w:t>
      </w:r>
      <w:r w:rsidRPr="005E779E">
        <w:rPr>
          <w:color w:val="000000" w:themeColor="text1"/>
          <w:sz w:val="16"/>
          <w:szCs w:val="16"/>
        </w:rPr>
        <w:noBreakHyphen/>
        <w:t>30 фактически отмер, и подача по этому плану не удовлетворяет ВИУ ни по количеству, ни по качеству. Таким образом, вопрос дообеспечения развертывания частей недостающими предметами имущества в первый период войны остается открытым. Кроме того, планом С</w:t>
      </w:r>
      <w:r w:rsidRPr="005E779E">
        <w:rPr>
          <w:color w:val="000000" w:themeColor="text1"/>
          <w:sz w:val="16"/>
          <w:szCs w:val="16"/>
        </w:rPr>
        <w:noBreakHyphen/>
        <w:t>30 значительное количество предметов передается для проработки предприятиям, не производящим их в мирное время, что значительно затормозит их подачу.</w:t>
      </w:r>
    </w:p>
    <w:p w14:paraId="128388A4" w14:textId="77777777" w:rsidR="00987BB5" w:rsidRPr="005E779E" w:rsidRDefault="00987BB5" w:rsidP="000B7A6C">
      <w:pPr>
        <w:pStyle w:val="ae"/>
        <w:spacing w:before="0" w:after="0"/>
        <w:jc w:val="both"/>
        <w:rPr>
          <w:color w:val="000000" w:themeColor="text1"/>
          <w:sz w:val="16"/>
          <w:szCs w:val="16"/>
        </w:rPr>
      </w:pPr>
      <w:r w:rsidRPr="005E779E">
        <w:rPr>
          <w:rStyle w:val="af0"/>
          <w:i w:val="0"/>
          <w:color w:val="000000" w:themeColor="text1"/>
          <w:sz w:val="16"/>
          <w:szCs w:val="16"/>
        </w:rPr>
        <w:lastRenderedPageBreak/>
        <w:t xml:space="preserve">Зам. председателя РВС СССР и народного комиссара по военным и морским делам </w:t>
      </w:r>
      <w:hyperlink r:id="rId224" w:history="1">
        <w:r w:rsidRPr="005E779E">
          <w:rPr>
            <w:rStyle w:val="af0"/>
            <w:i w:val="0"/>
            <w:color w:val="000000" w:themeColor="text1"/>
            <w:sz w:val="16"/>
            <w:szCs w:val="16"/>
          </w:rPr>
          <w:t>Тухачевский</w:t>
        </w:r>
      </w:hyperlink>
    </w:p>
    <w:p w14:paraId="5B1DB7E5" w14:textId="77777777" w:rsidR="00987BB5" w:rsidRPr="005E779E" w:rsidRDefault="00987BB5" w:rsidP="000B7A6C">
      <w:pPr>
        <w:pStyle w:val="ae"/>
        <w:spacing w:before="0" w:after="0"/>
        <w:jc w:val="both"/>
        <w:rPr>
          <w:color w:val="000000" w:themeColor="text1"/>
          <w:sz w:val="16"/>
          <w:szCs w:val="16"/>
        </w:rPr>
      </w:pPr>
      <w:r w:rsidRPr="005E779E">
        <w:rPr>
          <w:rStyle w:val="af0"/>
          <w:i w:val="0"/>
          <w:color w:val="000000" w:themeColor="text1"/>
          <w:sz w:val="16"/>
          <w:szCs w:val="16"/>
        </w:rPr>
        <w:t>Примечания</w:t>
      </w:r>
      <w:r w:rsidRPr="005E779E">
        <w:rPr>
          <w:color w:val="000000" w:themeColor="text1"/>
          <w:sz w:val="16"/>
          <w:szCs w:val="16"/>
        </w:rPr>
        <w:t>:</w:t>
      </w:r>
    </w:p>
    <w:p w14:paraId="1E24AE80" w14:textId="77777777" w:rsidR="00987BB5" w:rsidRPr="005E779E" w:rsidRDefault="00987BB5" w:rsidP="000B7A6C">
      <w:pPr>
        <w:pStyle w:val="ae"/>
        <w:spacing w:before="0" w:after="0"/>
        <w:jc w:val="both"/>
        <w:rPr>
          <w:color w:val="000000" w:themeColor="text1"/>
          <w:sz w:val="16"/>
          <w:szCs w:val="16"/>
        </w:rPr>
      </w:pPr>
      <w:r w:rsidRPr="005E779E">
        <w:rPr>
          <w:color w:val="000000" w:themeColor="text1"/>
          <w:sz w:val="16"/>
          <w:szCs w:val="16"/>
          <w:vertAlign w:val="superscript"/>
        </w:rPr>
        <w:t>1</w:t>
      </w:r>
      <w:r w:rsidRPr="005E779E">
        <w:rPr>
          <w:color w:val="000000" w:themeColor="text1"/>
          <w:sz w:val="16"/>
          <w:szCs w:val="16"/>
        </w:rPr>
        <w:t>* Приложения не публикуются (см. там же, л. 11</w:t>
      </w:r>
      <w:r w:rsidRPr="005E779E">
        <w:rPr>
          <w:color w:val="000000" w:themeColor="text1"/>
          <w:sz w:val="16"/>
          <w:szCs w:val="16"/>
        </w:rPr>
        <w:noBreakHyphen/>
        <w:t>13).</w:t>
      </w:r>
    </w:p>
    <w:p w14:paraId="004723F8" w14:textId="77777777" w:rsidR="00987BB5" w:rsidRPr="005E779E" w:rsidRDefault="00987BB5" w:rsidP="000B7A6C">
      <w:pPr>
        <w:pStyle w:val="ae"/>
        <w:spacing w:before="0" w:after="0"/>
        <w:jc w:val="both"/>
        <w:rPr>
          <w:color w:val="000000" w:themeColor="text1"/>
          <w:sz w:val="16"/>
          <w:szCs w:val="16"/>
        </w:rPr>
      </w:pPr>
      <w:r w:rsidRPr="005E779E">
        <w:rPr>
          <w:color w:val="000000" w:themeColor="text1"/>
          <w:sz w:val="16"/>
          <w:szCs w:val="16"/>
          <w:vertAlign w:val="superscript"/>
        </w:rPr>
        <w:t>2</w:t>
      </w:r>
      <w:r w:rsidRPr="005E779E">
        <w:rPr>
          <w:color w:val="000000" w:themeColor="text1"/>
          <w:sz w:val="16"/>
          <w:szCs w:val="16"/>
        </w:rPr>
        <w:t>* Из них 180 шт. для укрепрайонов (</w:t>
      </w:r>
      <w:r w:rsidRPr="005E779E">
        <w:rPr>
          <w:rStyle w:val="af0"/>
          <w:i w:val="0"/>
          <w:color w:val="000000" w:themeColor="text1"/>
          <w:sz w:val="16"/>
          <w:szCs w:val="16"/>
        </w:rPr>
        <w:t>Прим. док</w:t>
      </w:r>
      <w:r w:rsidRPr="005E779E">
        <w:rPr>
          <w:color w:val="000000" w:themeColor="text1"/>
          <w:sz w:val="16"/>
          <w:szCs w:val="16"/>
        </w:rPr>
        <w:t>.).</w:t>
      </w:r>
    </w:p>
    <w:p w14:paraId="443B8ECD" w14:textId="77777777" w:rsidR="00987BB5" w:rsidRPr="005E779E" w:rsidRDefault="00987BB5" w:rsidP="000B7A6C">
      <w:pPr>
        <w:pStyle w:val="ae"/>
        <w:spacing w:before="0" w:after="0"/>
        <w:jc w:val="both"/>
        <w:rPr>
          <w:color w:val="000000" w:themeColor="text1"/>
          <w:sz w:val="16"/>
          <w:szCs w:val="16"/>
        </w:rPr>
      </w:pPr>
      <w:r w:rsidRPr="005E779E">
        <w:rPr>
          <w:color w:val="000000" w:themeColor="text1"/>
          <w:sz w:val="16"/>
          <w:szCs w:val="16"/>
          <w:vertAlign w:val="superscript"/>
        </w:rPr>
        <w:t>3</w:t>
      </w:r>
      <w:r w:rsidRPr="005E779E">
        <w:rPr>
          <w:color w:val="000000" w:themeColor="text1"/>
          <w:sz w:val="16"/>
          <w:szCs w:val="16"/>
        </w:rPr>
        <w:t>* Все для укрепрайонов (</w:t>
      </w:r>
      <w:r w:rsidRPr="005E779E">
        <w:rPr>
          <w:rStyle w:val="af0"/>
          <w:i w:val="0"/>
          <w:color w:val="000000" w:themeColor="text1"/>
          <w:sz w:val="16"/>
          <w:szCs w:val="16"/>
        </w:rPr>
        <w:t>Прим. док</w:t>
      </w:r>
      <w:r w:rsidRPr="005E779E">
        <w:rPr>
          <w:color w:val="000000" w:themeColor="text1"/>
          <w:sz w:val="16"/>
          <w:szCs w:val="16"/>
        </w:rPr>
        <w:t>.).</w:t>
      </w:r>
    </w:p>
    <w:p w14:paraId="3BE220AC" w14:textId="77777777" w:rsidR="00987BB5" w:rsidRPr="005E779E" w:rsidRDefault="00987BB5" w:rsidP="000B7A6C">
      <w:pPr>
        <w:pStyle w:val="ae"/>
        <w:spacing w:before="0" w:after="0"/>
        <w:jc w:val="both"/>
        <w:rPr>
          <w:color w:val="000000" w:themeColor="text1"/>
          <w:sz w:val="16"/>
          <w:szCs w:val="16"/>
        </w:rPr>
      </w:pPr>
      <w:r w:rsidRPr="005E779E">
        <w:rPr>
          <w:color w:val="000000" w:themeColor="text1"/>
          <w:sz w:val="16"/>
          <w:szCs w:val="16"/>
        </w:rPr>
        <w:t>ГА РФ, Ф. Р-8418. Оп. 6. Д. 122. Л. 3—8 об. Подлинник.</w:t>
      </w:r>
    </w:p>
    <w:p w14:paraId="6D0C324F"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Архив: ГА РФ, Ф. Р-8418. Оп. 6. Д. 122. Л. 3—8 об. Подлинник. </w:t>
      </w:r>
    </w:p>
    <w:p w14:paraId="07F2FA03"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Источник: Становление оборонно-промышленного комплекса СССР (1927-1932). М. 2008, стр. 593-601 (12544).</w:t>
      </w:r>
    </w:p>
    <w:p w14:paraId="0F6DFB91" w14:textId="77777777" w:rsidR="00987BB5" w:rsidRPr="005E779E" w:rsidRDefault="00987BB5" w:rsidP="000B7A6C">
      <w:pPr>
        <w:spacing w:after="0" w:line="240" w:lineRule="auto"/>
        <w:jc w:val="both"/>
        <w:rPr>
          <w:rFonts w:ascii="Times New Roman" w:hAnsi="Times New Roman"/>
          <w:color w:val="000000" w:themeColor="text1"/>
          <w:sz w:val="16"/>
          <w:szCs w:val="16"/>
        </w:rPr>
      </w:pPr>
    </w:p>
    <w:p w14:paraId="09589F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 декабря 1931 года на Балтийском заводе в Ленинграде заложили лодки "Звезда" и "Искра", впоследствии П-1, П-2 и П-3 соответственно. В ходе разработки проекта и постройки подводньис лодок типа "Правда" они вызвали обоснованную критику моряков и корабле</w:t>
      </w:r>
      <w:r w:rsidRPr="005E779E">
        <w:rPr>
          <w:rFonts w:ascii="Times New Roman" w:hAnsi="Times New Roman"/>
          <w:color w:val="000000" w:themeColor="text1"/>
          <w:sz w:val="16"/>
          <w:szCs w:val="16"/>
        </w:rPr>
        <w:softHyphen/>
        <w:t>строителей (3898).</w:t>
      </w:r>
    </w:p>
    <w:p w14:paraId="27DF4F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CF3E68B"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73E03AD5"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C3E03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декабря 1931 закончились испытания более совершенного варианта ТШ-2 с улучшенным бронированием и условиями охлаждения мотора - ТШ-2 второй вариант (№ 21 по плану ЦКБ), которые проходили со 2 ноября.</w:t>
      </w:r>
    </w:p>
    <w:p w14:paraId="721924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Штурмовик был вооружен двумя синхронными пулеметами ПВ-1 с боезапасом 1500 патронов. Подкрылье-вые пулеметы с целью улучшения аэродинамики располагались в утолщенной части нижнего крыла. На турели ТУР-7 был установлен пулемет ПВ-1 с запасом 600 патронов.</w:t>
      </w:r>
    </w:p>
    <w:p w14:paraId="49A315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скорость с использованием взлетного режима работы мотора возросла до 213 км/ч. Скороподъемность самолета оставалась, как и прежде, низкой - 3,5 м/с, а полное время набора высоты 3000 м составляло 24 минуты. Дальность полета -около 500 км. Время выполнения виража - 17-17,5 с. Разбег 160-180 м, пробег - 120-130 м. Взлетный вес -3225 кг. Вес брони - 532 кг.</w:t>
      </w:r>
    </w:p>
    <w:p w14:paraId="106B0B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схеме самолет представлял собой биплан с выносом вперед верхнего крыла. Коробка планов соединялась М-образными стойками и была расчалена стальными лентами. Элероны были на верхних и нижних плоскостях.</w:t>
      </w:r>
    </w:p>
    <w:p w14:paraId="759BA8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Задняя часть фюзеляжа выполнялась из стальных сварных труб с расчалками. Плоскости деревянные, покрытые полотном. Шасси из стальных труб. Амортизаторы из резиновых колец. Костыль управляемый.</w:t>
      </w:r>
    </w:p>
    <w:p w14:paraId="6FA232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Броня служила остовом фюзеляжа. Забронированы были экипаж, основные бензобаки и маслобаки, мотор, радиатор.</w:t>
      </w:r>
    </w:p>
    <w:p w14:paraId="3C73D5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Как отмечалось в отчете по госиспытаниям, мотор в передней нижней части не был забронирован. В то же время радиатор был прикрыт регулируемыми жалюзи. Не был забронирован и пол кабины пилота.</w:t>
      </w:r>
    </w:p>
    <w:p w14:paraId="42D0CD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Обзор вперед и вниз закрывался капотом мотора, вверх - верхним крылом, в стороны - боковинками брони у козырька. У летнаба был тоже плохой обзор.</w:t>
      </w:r>
    </w:p>
    <w:p w14:paraId="5F5887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результате, как отмечали военные летчики, заход на цель для второй атаки был затруднителен.</w:t>
      </w:r>
    </w:p>
    <w:p w14:paraId="625FAA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Тепловой режим мотора при использовании этиленгликоля был в норме (9649).</w:t>
      </w:r>
    </w:p>
    <w:p w14:paraId="0B2686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Согласно утвержденной правительством программы для воронежского авиазавода № 16 последний в течение 1932 г. должен был изготовить 70 штурмовиков ТШ-2 с мотором М-17 (тот же BMW-6, но производства завода № 26 в г. Рыбинске по лицензии) для производства полномасштабных войсковых испытаний.</w:t>
      </w:r>
    </w:p>
    <w:p w14:paraId="60098F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силу специфических особенностей мотора М-17 в серии возникли проблемы с его охлаждением, устранить которые быстро не удалось. Соответственно, заводские и государственные испытания первого ТШ-2 М-17 - эталона для серии, затянулись (9649).</w:t>
      </w:r>
    </w:p>
    <w:p w14:paraId="69D367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E2F2FEB" w14:textId="77777777" w:rsidR="00492496" w:rsidRPr="005E779E" w:rsidRDefault="0049249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20-го декабря 1931 года закончились испытания двух опытных ТШ-2, которые проходили со 2-го ноября.</w:t>
      </w:r>
    </w:p>
    <w:p w14:paraId="234E2BA1" w14:textId="77777777" w:rsidR="00492496" w:rsidRPr="005E779E" w:rsidRDefault="0049249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ТШ-2 (ЦКБ № 21), для улучшения летных качеств пулеметные батареи, из четырех ПВ-1 каждая, были убраны в нижние крылья путем местного утолщения их профиля. На турели ТУР-7 был установлен пулемет ПВ-1 с запасом 600 патронов. Был отлажен тепловой режим, улучшено бронирование. После этих переделок летные качества улучшились/</w:t>
      </w:r>
    </w:p>
    <w:p w14:paraId="08EC90A4" w14:textId="77777777" w:rsidR="00492496" w:rsidRPr="005E779E" w:rsidRDefault="0049249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Этот вариант штурмовика показывал скорость 213 км/час, потолок – 4220 метров, дальность полета – около 500 км, обладал несколько лучшими взлетно-посадочными и маневренными качествами, выполнял вираж за 15-17 секунд.</w:t>
      </w:r>
    </w:p>
    <w:p w14:paraId="76758C30" w14:textId="77777777" w:rsidR="00492496" w:rsidRPr="005E779E" w:rsidRDefault="0049249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схеме ТШ-2 представлял собой биплан с выносом вперед верхнего крыла. Деревянный каркас верхнего крыла и дюралюминиевый каркас нижнего покрывались полотном. Задняя часть фюзеляжа изготавливалась из сварных стальных труб с расчалками. Шасси также были выполнены из стальных труб, амортизаторы колес - из резиновых пластин. Броня служила остовом фюзеляжа. Забронированы были экипаж, основные бензобаки и маслобаки, двигатель, радиатор.</w:t>
      </w:r>
    </w:p>
    <w:p w14:paraId="168FF883" w14:textId="77777777" w:rsidR="00492496" w:rsidRPr="005E779E" w:rsidRDefault="0049249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испытаниях штурмовика военные летчики отмечали, что обзор вперед и вниз закрывался капотом двигателя, вверх – верхним крылом, в стороны – боковинками брони у козырька. У летнаба тоже был плохой обзор. В результате заход штурмовика на цель для атаки был затруднителен.</w:t>
      </w:r>
    </w:p>
    <w:p w14:paraId="2C3D82CC" w14:textId="77777777" w:rsidR="00492496" w:rsidRPr="005E779E" w:rsidRDefault="0049249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Согласно утвержденной Правительством программы Воронежский авиазавод № 16 в течение 1932 года должен был изготовить 70 штурмовиков для производства полномасштабный войсковых испытаний. На серийных машинах устанавливали тогда еще новые и не вполне освоенные двигатели М-17 (лицензионный вариант ВMW-6, мощностью 500/680 л.с., производства Рыбинского завода № 26). Из-за специфических особенностей двигателей были проблемы с их охлаждением, устранить которые быстро не удалось. Соответственно, заводские и Государственные испытания первого ТШ-2 М-17 – эталона для серии, затянулись. Затем было принято решение временно ограничить постройку войсковой серии десятью машинами.</w:t>
      </w:r>
    </w:p>
    <w:p w14:paraId="4ECF9158" w14:textId="77777777" w:rsidR="00492496" w:rsidRPr="005E779E" w:rsidRDefault="0049249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окончания заводских испытаний штурмовик был передан в НИИ ВВС для Государственных испытаний. Однако, в силу отмеченных выше недостатков, военные не смогли принять штурмовик в качестве эталона для серии. В результате в конце 1932 года изготовление серии было прекращено на первых десяти экземплярах, поскольку в это время уже велись работы по проектированию штурмовика-моноплана ТШ-3 вместо бипланной схемы. Об этом штурмовике будет рассказано ниже.</w:t>
      </w:r>
    </w:p>
    <w:p w14:paraId="0C07B084" w14:textId="77777777" w:rsidR="00492496" w:rsidRPr="005E779E" w:rsidRDefault="0049249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1932 году на одном из ТШ-2 в качестве эксперимента был установлен двигатель М-27 (W-образный) с большим радиатором внизу. Испытывал этот экземпляр Ю.И. Пионтковский. Результаты оказались не лучше прежних (18293).</w:t>
      </w:r>
    </w:p>
    <w:p w14:paraId="1E0B7FBD" w14:textId="77777777" w:rsidR="00492496" w:rsidRPr="005E779E" w:rsidRDefault="00492496" w:rsidP="000B7A6C">
      <w:pPr>
        <w:spacing w:after="0" w:line="240" w:lineRule="auto"/>
        <w:jc w:val="both"/>
        <w:rPr>
          <w:rFonts w:ascii="Times New Roman" w:hAnsi="Times New Roman"/>
          <w:color w:val="000000" w:themeColor="text1"/>
          <w:sz w:val="16"/>
          <w:szCs w:val="16"/>
        </w:rPr>
      </w:pPr>
    </w:p>
    <w:p w14:paraId="3A302996" w14:textId="77777777" w:rsidR="00C80728" w:rsidRPr="005E779E" w:rsidRDefault="00C80728"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20-е декабря 1931 года закончились испытания двух ТШ-2, которые проходили со 2-го ноября. На ТШ-2 (ЦКБ № 21), для улучшения летных качеств пулеметные батареи, из четырех ПВ-1 каждая, были убраны в нижние крылья путем местного утолщения их профиля. На турели ТУР-7 был установлен пулемет ПВ-1 с запасом 600 патронов. Был отлажен тепловой режим, улучшено бронирование. После этих переделок летные качества улучшились. Завод № 39 изготовил два опытных ТШ-2. Этот вариант штурмовика показывал скорость 213 км/час, потолок – 4220 метров, дальность полета – около 500 км, обладал несколько лучшими взлетно-посадочными и маневренными качествами, выполнял вираж за 15-17 секунд.</w:t>
      </w:r>
    </w:p>
    <w:p w14:paraId="64B8349C" w14:textId="77777777" w:rsidR="00C80728" w:rsidRPr="005E779E" w:rsidRDefault="00C80728"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схеме ТШ-2 представлял собой биплан с выносом вперед верхнего крыла. Деревянный каркас верхнего крыла и дюралюминиевый каркас нижнего покрывались полотном. Задняя часть фюзеляжа изготавливалась из сварных стальных труб с расчалками. Шасси также были выполнены из стальных труб, амортизаторы колес - из резиновых пластин. Броня служила остовом фюзеляжа. Забронированы были экипаж, основные бензобаки и маслобаки, двигатель, радиатор.</w:t>
      </w:r>
    </w:p>
    <w:p w14:paraId="09C72BB4" w14:textId="77777777" w:rsidR="00C80728" w:rsidRPr="005E779E" w:rsidRDefault="00C80728"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испытаниях штурмовика военные летчики отмечали, что обзор вперед и вниз закрывался капотом двигателя, вверх – верхним крылом, в стороны – боковинками брони у козырька. У летнаба тоже был плохой обзор. В результате заход штурмовика на цель для атаки был затруднителен.</w:t>
      </w:r>
    </w:p>
    <w:p w14:paraId="38E44280" w14:textId="77777777" w:rsidR="00C80728" w:rsidRPr="005E779E" w:rsidRDefault="00C80728"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Согласно утвержденной Правительством программы Воронежский авиазавод № 16 в течение 1932 года должен был изготовить 70 штурмовиков для производства полномасштабный войсковых испытаний. На серийных машинах устанавливали тогда еще новые и не вполне освоенные двигатели М-17 (лицензионный вариант ВMW-6, мощностью 500/680 л.с., производства Рыбинского завода № 26). Из-за специфических особенностей двигателей были проблемы с их охлаждением, устранить которые быстро не удалось. Соответственно, заводские и Государственные испытания первого ТШ-2 М-17 – эталона для серии, затянулись. Затем было принято решение временно ограничить постройку войсковой серии десятью машинами.</w:t>
      </w:r>
    </w:p>
    <w:p w14:paraId="27D8057D" w14:textId="77777777" w:rsidR="00C80728" w:rsidRPr="005E779E" w:rsidRDefault="00C80728"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окончания заводских испытаний штурмовик был передан в НИИ ВВС для Государственных испытаний. Однако, в силу отмеченных выше недостатков, военные не смогли принять штурмовик в качестве эталона для серии. В результате в конце 1932 года изготовление серии было прекращено на первых десяти экземплярах, поскольку в это время уже велись работы по проектированию штурмовика-моноплана ТШ-3 вместо бипланной схемы.</w:t>
      </w:r>
    </w:p>
    <w:p w14:paraId="25574FD9" w14:textId="77777777" w:rsidR="00C80728" w:rsidRPr="005E779E" w:rsidRDefault="00C80728"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1932 году на одном из ТШ-2 в качестве эксперимента был установлен двигатель М-27 (W-образный) с большим радиатором внизу. Испытывал этот экземпляр Ю.И. Пионтковский. Результаты оказались не лучше прежних (15223).</w:t>
      </w:r>
    </w:p>
    <w:p w14:paraId="219EFD98" w14:textId="77777777" w:rsidR="00C80728" w:rsidRPr="005E779E" w:rsidRDefault="00C80728" w:rsidP="000B7A6C">
      <w:pPr>
        <w:shd w:val="clear" w:color="auto" w:fill="FFFFFF"/>
        <w:spacing w:after="0" w:line="240" w:lineRule="auto"/>
        <w:jc w:val="both"/>
        <w:rPr>
          <w:rFonts w:ascii="Times New Roman" w:hAnsi="Times New Roman"/>
          <w:color w:val="000000" w:themeColor="text1"/>
          <w:sz w:val="16"/>
          <w:szCs w:val="16"/>
        </w:rPr>
      </w:pPr>
    </w:p>
    <w:p w14:paraId="6B7367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20 декабря 1931 г. Коллегия НКИД по поводу предложения «Пан-Америкэн эруэйз» постановила: «Считать предложение не вызывающим возражений с политической стороны, но рекомендовать ВОГВФ внести вопрос на разрешение правительства». </w:t>
      </w:r>
    </w:p>
    <w:p w14:paraId="45628E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4. Уже после этого, в декабре 1931 г., Томас А. Морган, президент Северо-американской авиационной корпорации («Норд-Америкэн эвиэйшн корпорэйшн»), являющийся одновременно и президентом Американских авиационных ко[мпаний] «Сперри-гироскоп» и «Кэртис Райт», обратился к представителю Всесоюзного объединения авиационной промышленности (ВАО) в США тов. Петрову5 с запросом, заинтересовано ли советское правительство в организации на совместных началах воздушной линии между Аляской и Владивостоком. Морган заявил о заинтересованности США в том, чтобы сомкнуть свои воздушные пути, протянутые до </w:t>
      </w:r>
      <w:r w:rsidRPr="005E779E">
        <w:rPr>
          <w:rFonts w:ascii="Times New Roman" w:hAnsi="Times New Roman"/>
          <w:color w:val="000000" w:themeColor="text1"/>
          <w:sz w:val="16"/>
          <w:szCs w:val="16"/>
        </w:rPr>
        <w:lastRenderedPageBreak/>
        <w:t xml:space="preserve">Аляски, с воздушными путями в Китае, эксплуатируемыми фирмой «Кэртис Райт», до Шанхая и далее вовнутрь Китая. Причем он заметил, что смычка этих путей может иметь место или через территорию СССР, или через Японию. Однако они предпочитают смычку путей через СССР. </w:t>
      </w:r>
    </w:p>
    <w:p w14:paraId="70F6FD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5. 11.II.32 г. на запрос тов. Мирошникова6 дать заключение по этому последнему предложению НКИД за подписью тов. Крестинского7 и Рубинина ответил, что считает целесообразным дать нашим соответствующим организациям директиву ответить американцам примерно следующим образом: «Американские предложения подвергаются нами внимательному изучению, однако уже с самого начала нельзя не подчеркнуть, что речь идет о такого рода сотрудничестве, реализацию которого трудно себе представить при отсутствии нормальных общих взаимоотношений между заинтересованными государствами». </w:t>
      </w:r>
    </w:p>
    <w:p w14:paraId="4E6F59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6. В июле 1932 г. тов. Богданов и Петров сообщили НКВТ, НКИД и Главному управлению Гражданского воздушного флота о том, что к ним опять обратился представитель «Норд-Америкэн эвиэйшн корпорейшн» г[-н] Тальбот с письмом, в котором, ссылаясь на вышеупомянутые предложения Томаса Моргана и на последующие их беседы с тт. Силиным и Ангеловым, эта фирма сделала предложение о предоставлении ей «концессии» и о «кооперации» с СССР в деле организации проектируемого ими воздушного сообщения между США и Китаем (от гор. Ном на Аляске к Пекину через Хабаровск или Якутск — Иркутск — Урга или ст[анцию] Рухлово). </w:t>
      </w:r>
    </w:p>
    <w:p w14:paraId="20BA00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Тов. Богданов и Петров тогда сообщили нам, что хотя они с фирмой подробностей не обсуждали, но с ее слов можно было понять, что Ко[мпания] согласится взять на себя устройство аэродромов и промежуточных посадочных площадок, их оборудование, установку маяков и радиостанций и снабдит часть линий, проходящих по нашей территории, своими самолетами и необходимым личным составом, если мы этого пожелаем. В другом случае Ко[мпания] согласна обсуждать вопрос об организации этой части линии на совместных с СССР началах как в отношении материальной части, так и персонала, на основе создания «смешанного общества». </w:t>
      </w:r>
    </w:p>
    <w:p w14:paraId="1AA6A8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7. 15.XII. 33 г., уже после установления дипотношений с США, вице-президент «Пан-Америкэн эруэйз» Эван Е. Юнг8 снова вернулся к этому вопросу и в письме к тов. Сквирскому он указывает, что ввиду существенно изменившегося положения вещей у него возникает мысль, нельзя ли ожидать в ближайшем будущем другого, более положительного сообщения со стороны наших руководящих органов на основе сделанного ими ранее предложения, которое остается в силе и ныне. </w:t>
      </w:r>
    </w:p>
    <w:p w14:paraId="06A884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8. 3-й Западный отдел направил это последнее обращение «Пан-Америкэн эруэйз» тов. Уншлихту (с копией тов. Ворошилову9). Начальник ИНО Всесоюзного объединения Гражданского воздушного флота сообщил нам, что этот вопрос ими теперь разрабатывается конкретно для постановки его на разрешение правительства. </w:t>
      </w:r>
    </w:p>
    <w:p w14:paraId="09EFB2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9. Примечание: </w:t>
      </w:r>
    </w:p>
    <w:p w14:paraId="4BA6C6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 О фирме «Пан-Америкэн эруэйз» нам известно, что она руководит эксплуатацией воздушных линий Центральной и Южной Америки, Мексики, Западной Индии и через Карибское море. Полковник Линдберг10 является их техническим консультантом. Тов. Сквирский в свое время сообщал, что «Пан-Америкэн эруэйз» является монополистом во всех воздушных линиях в Латинскую Америку из США, что она близка к правительственным кругам, что эта фирма подготовляет почтовую трансатлантическую линию сообщений с европейскими компаниями. Кроме того, в самое последнее время стало известно (ТАСС, Токио, от 22.XII.33 г.), что недавнее установление регулярной воздушной линии между Шанхаем и Кантоном является одним из звеньев в транстихоокеанских планах «Пан-Америкэн эруэйз», которая через свое дочернее предприятие «Чайна эруэйз» владеет 45% акций американо-китайской ко[мпании] «Чайна нэшнл эвиэйшн корпорейшн». Следующим шагом будет связь линии Шанхай — Кантон с Гонконгом, откуда, в свою очередь, пойдет линия на Филиппинские острова. В дальнейшем ко[мпания] «Пасифик-Америкэн эруэйз» приступит к установлению линий протяжением примерно в 6000 миль от Сан-Франциско до Манилы. </w:t>
      </w:r>
    </w:p>
    <w:p w14:paraId="58164D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Б) О фирме «Норд-Америкэн эвиэйшн» известно (по ее собственной информации), что она владеет целиком и активно руководит: </w:t>
      </w:r>
    </w:p>
    <w:p w14:paraId="6AAE29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 фирмой «Сперри гироскоп», производящей гироскопические аппараты для пароходов и других навигационных целей, а также контрольную аппаратуру для аэропланов; </w:t>
      </w:r>
    </w:p>
    <w:p w14:paraId="368D57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б) «Форд инструмент Ко»; </w:t>
      </w:r>
    </w:p>
    <w:p w14:paraId="674F8C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«Берлинер — Джойс эркрафт корпорейшн», производящей быстроходные военные самолеты и </w:t>
      </w:r>
    </w:p>
    <w:p w14:paraId="71CE84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г) «Истерн эр транспорт» (известная авиационная фирма, контролирующая пассажирское и почтовое воздушные сообщения между Нью-Йорком и Флоридой). </w:t>
      </w:r>
    </w:p>
    <w:p w14:paraId="1ACDBA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Кроме того, «Норд-Америкэн эвиэйшн корпорейшн» владеет солидным пакетом акций фирмы «Кэртис Райт» и «Дуглас эркрафт Ко» (два выдающихся производителя самолетов в США) и является активным участником фирмы «Трансконтинентл-уэстерн эр». </w:t>
      </w:r>
    </w:p>
    <w:p w14:paraId="616A7B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Она также активно участвует в «Интерконтинентл эвиэйшн корпорейшн», через которую она инвестирует капиталы в авиационных предприятиях за границей. </w:t>
      </w:r>
    </w:p>
    <w:p w14:paraId="4D21EB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Зав. 3-м Западным отделом Е. РУБИНИН </w:t>
      </w:r>
    </w:p>
    <w:p w14:paraId="295C04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Отв. референт С. СТОЛЯР </w:t>
      </w:r>
    </w:p>
    <w:p w14:paraId="4A20A2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АВП РФ. Ф. 05. Оп. 14. П. 101. Д. 84. Л. 1—3. Подлинник (11430).</w:t>
      </w:r>
    </w:p>
    <w:p w14:paraId="60FD67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46992A8"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112C300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73BD6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декабря 1931 года на совещании представителей управлений завода «Красное Сормово» и Всесоюзного орудийного арсенального объединения (ВОАО) был рассмотрен вопрос о передаче нового завода и нового строительства в ведение ВОАО. С 1 января 1932 года завод «Новое Сормово», как в то время он именовался был выделен в самостоятельный завод и передан ВОАО для организации производства орудийных систем.</w:t>
      </w:r>
    </w:p>
    <w:p w14:paraId="7DB261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Генеральный план и все проекты цехов и промышленных сооружений были разработаны специально организованным проектным бюро ВОАО в 1931-1933 гг.</w:t>
      </w:r>
    </w:p>
    <w:p w14:paraId="3F4D86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Согласно НКТП от 20 августа 1933 года завод стал именоваться Машиностроительный завод «Новое Сормово» № 92 с подчинением ГКТП. С 1934 года начался валовый выпуск артсистем. В 1937 года завод перешел в подчинение НКВ. С 5 января 1941 года заводу присваивается наименование Завод № 92 им. И.В. Сталина. С 1943 года завод именуется Артиллерийский завод им. И.В. Сталина. С 1946 года завод подчинен Министерству вооружения. С 1948 по 1953 гг. завод именуется: Четырежды орденоносный завод им. И.В. Сталина Министерства вооружения. С 1953 по 1957 гг. завод именуется: Завод им. И.В. Сталина Министерства оборонной промышленности. С 1957 по 1960-е гг. – завод «Новое Сормово» им. Сталина Горьковского Совнархозв.</w:t>
      </w:r>
    </w:p>
    <w:p w14:paraId="1C2217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Распоряжением Совнархоза № 33рс от 13 января 1960 года указано в открытой переписке именовать завод – организация п/я 52.</w:t>
      </w:r>
    </w:p>
    <w:p w14:paraId="62EDC7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Постановлением СМ РСФСР от 20 ноября 1961 года за № 147-171 и распоряжением Горьковского Совнархоза за № 809 от 29 ноября 1961 года завод именуется – Машиностроительный завод Горьковского Совнархоза.</w:t>
      </w:r>
    </w:p>
    <w:p w14:paraId="5715CB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Приказом Министерства оборонной промышленности № 1сс от 11 марта 1965 года завод именуется – Машиностроительный завод, Горький (10249).</w:t>
      </w:r>
    </w:p>
    <w:p w14:paraId="7A1C71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02A78DC"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686B681C"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B85F2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декабря 1931 г. сильный шторм выбросил на прибрежные камни одного из островов в Эгейском море парохода «Ильич», загруженный 2000 тонн чая. На получение разрешения от турецких властей для снятия "Ильича" силами ЭПРОН и согласование действий ушло почти полтора месяца. Положение парохода за это время значительно ухудшилось. Корпус еще больше разбило о камни, многие отсеки были затоплены. Работы были чрезвычайно ответственны, поскольку случай получил широкую международную огласку и освещался зарубежной прессой, престиж государства и ЭПРОН не должен был пострадать. Работа проводилась при участии партии ЭПРОН под руководством водолазного специалиста В. Правдина и ледоколами «Торос» и «Шалва Элиава». Пробоины были заделаны мешками с цементом пронизанными стальными прутьями и цементными ящиками, мелкие отверстия от выбитых заклепок - пробками, вода из затопленных отсеков откачана в расчетное время. В. Правдин точно рассчитал приливную волну от нагонного ветра, и снятие парохода с камней прошло гладко в присутствии большого скопления людей. В первых числах февраля 1932 г. пароход был приведен в Севастополь, престиж страны был сохранен, а действия ЭПРОН высоко оценены международной прессой и руководством страны (11630).</w:t>
      </w:r>
    </w:p>
    <w:p w14:paraId="5CAF74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210C006" w14:textId="77777777" w:rsidR="00C80728"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Внешняя политика:</w:t>
      </w:r>
    </w:p>
    <w:p w14:paraId="67A379A6" w14:textId="77777777" w:rsidR="00C80728" w:rsidRPr="005E779E" w:rsidRDefault="00C80728"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57EBC7C" w14:textId="77777777" w:rsidR="00C80728" w:rsidRPr="005E779E" w:rsidRDefault="00C8072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декабря 1931 экипажи решили лететь во что бы то ни стало, сидеть дальше в грязи и бездействии они не могли, несмотря на то, что гражданские лётчики в тот день отка</w:t>
      </w:r>
      <w:r w:rsidRPr="005E779E">
        <w:rPr>
          <w:rFonts w:ascii="Times New Roman" w:hAnsi="Times New Roman"/>
          <w:color w:val="000000" w:themeColor="text1"/>
          <w:sz w:val="16"/>
          <w:szCs w:val="16"/>
        </w:rPr>
        <w:softHyphen/>
        <w:t>зались от полёта. 21 декабря в 7-45 самолёты вылетели в Бахты. 22-23 декабря в по</w:t>
      </w:r>
      <w:r w:rsidRPr="005E779E">
        <w:rPr>
          <w:rFonts w:ascii="Times New Roman" w:hAnsi="Times New Roman"/>
          <w:color w:val="000000" w:themeColor="text1"/>
          <w:sz w:val="16"/>
          <w:szCs w:val="16"/>
        </w:rPr>
        <w:softHyphen/>
        <w:t>граничном пункте Бахты состоялась официальная сдача Синьцзянским властям само</w:t>
      </w:r>
      <w:r w:rsidRPr="005E779E">
        <w:rPr>
          <w:rFonts w:ascii="Times New Roman" w:hAnsi="Times New Roman"/>
          <w:color w:val="000000" w:themeColor="text1"/>
          <w:sz w:val="16"/>
          <w:szCs w:val="16"/>
        </w:rPr>
        <w:softHyphen/>
        <w:t>лётов Р-1 и авиационного снаряжения. Берестецкий отмечал это событие как факт «исторической важности».</w:t>
      </w:r>
    </w:p>
    <w:p w14:paraId="6A119917" w14:textId="77777777" w:rsidR="00C80728" w:rsidRPr="005E779E" w:rsidRDefault="00C8072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Однако при этом возник целый «букет» дипломатических «проколов» и «накладок». Во- первых, специально приглашенные в Синьцзян из Центрального Китая лётчики и техниче</w:t>
      </w:r>
      <w:r w:rsidRPr="005E779E">
        <w:rPr>
          <w:rFonts w:ascii="Times New Roman" w:hAnsi="Times New Roman"/>
          <w:color w:val="000000" w:themeColor="text1"/>
          <w:sz w:val="16"/>
          <w:szCs w:val="16"/>
        </w:rPr>
        <w:softHyphen/>
        <w:t>ские приёмщики, не дождавшись в Бахтах самолётов, вернулись в Урумчи. «Особо-Упол</w:t>
      </w:r>
      <w:r w:rsidRPr="005E779E">
        <w:rPr>
          <w:rFonts w:ascii="Times New Roman" w:hAnsi="Times New Roman"/>
          <w:color w:val="000000" w:themeColor="text1"/>
          <w:sz w:val="16"/>
          <w:szCs w:val="16"/>
        </w:rPr>
        <w:softHyphen/>
        <w:t>номоченный» Синьцзянского Правительства Саранчун сам считать бочки не захотел, ведь он собирался «прилететь в Китай на самолете». Тогда Берестецкий предложил включить в акт приемщиком с китайской стороны самого Волынченко как «Начальника лётной группы Синьцзянского Правительства, сведущего в технических вопросах». Возражений не было. Все имущество сдали общим списком, бочки и ящики не считали.</w:t>
      </w:r>
    </w:p>
    <w:p w14:paraId="402B0277" w14:textId="77777777" w:rsidR="00C80728" w:rsidRPr="005E779E" w:rsidRDefault="00C8072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Второй дипломатический «прокол» получился при обсуждении вопроса, как обстоит дело с учебными У-2. Берестецкий, зная о продаже двух машин и планах перегонки их теми же экипажами, попытался объяснить задержку отправки тем, что «перелёт ещё не закончен по метеоусловиям». Однако Саранчун уже имел информацию, что после завершения переговоров в Москве Генконсул Синьцзяна ждет представителей НКИД в Ташкенте для их продолжения.</w:t>
      </w:r>
    </w:p>
    <w:p w14:paraId="4D0A536A" w14:textId="77777777" w:rsidR="00C80728" w:rsidRPr="005E779E" w:rsidRDefault="00C8072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Третья дипломатическая «накладка» была связана с тем, что «ответственному пред</w:t>
      </w:r>
      <w:r w:rsidRPr="005E779E">
        <w:rPr>
          <w:rFonts w:ascii="Times New Roman" w:hAnsi="Times New Roman"/>
          <w:color w:val="000000" w:themeColor="text1"/>
          <w:sz w:val="16"/>
          <w:szCs w:val="16"/>
        </w:rPr>
        <w:softHyphen/>
        <w:t>ставителю ВСНХ СССР, сдающему самолёты за рубеж», даже не оформили загранпа</w:t>
      </w:r>
      <w:r w:rsidRPr="005E779E">
        <w:rPr>
          <w:rFonts w:ascii="Times New Roman" w:hAnsi="Times New Roman"/>
          <w:color w:val="000000" w:themeColor="text1"/>
          <w:sz w:val="16"/>
          <w:szCs w:val="16"/>
        </w:rPr>
        <w:softHyphen/>
        <w:t xml:space="preserve">спорт (!?). Поэтому, когда Берестецкого стали усиленно приглашать в Чугучак на банкет по случаю прибытия советских самолётов, тот, чтобы «не терять </w:t>
      </w:r>
      <w:r w:rsidRPr="005E779E">
        <w:rPr>
          <w:rFonts w:ascii="Times New Roman" w:hAnsi="Times New Roman"/>
          <w:color w:val="000000" w:themeColor="text1"/>
          <w:sz w:val="16"/>
          <w:szCs w:val="16"/>
        </w:rPr>
        <w:lastRenderedPageBreak/>
        <w:t>лицо», вежли</w:t>
      </w:r>
      <w:r w:rsidRPr="005E779E">
        <w:rPr>
          <w:rFonts w:ascii="Times New Roman" w:hAnsi="Times New Roman"/>
          <w:color w:val="000000" w:themeColor="text1"/>
          <w:sz w:val="16"/>
          <w:szCs w:val="16"/>
        </w:rPr>
        <w:softHyphen/>
        <w:t>во извинился и отказался ехать со ссылкой на необходимость срочного продвижения запчастей (эти «усилия» описаны выше). Далее Волынченко пришлось решать все «авиационно-дипломатические» вопросы в одиночку.</w:t>
      </w:r>
    </w:p>
    <w:p w14:paraId="202EEE97" w14:textId="77777777" w:rsidR="00C80728" w:rsidRPr="005E779E" w:rsidRDefault="00C8072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«церемонии» с подписанием акта все поехали на аэродром провожать самолё</w:t>
      </w:r>
      <w:r w:rsidRPr="005E779E">
        <w:rPr>
          <w:rFonts w:ascii="Times New Roman" w:hAnsi="Times New Roman"/>
          <w:color w:val="000000" w:themeColor="text1"/>
          <w:sz w:val="16"/>
          <w:szCs w:val="16"/>
        </w:rPr>
        <w:softHyphen/>
        <w:t>ты в Чугучак. Берестецкого также проинформировали, что Моу Вейтун получил задание сделать новую заявку на воен</w:t>
      </w:r>
      <w:r w:rsidRPr="005E779E">
        <w:rPr>
          <w:rFonts w:ascii="Times New Roman" w:hAnsi="Times New Roman"/>
          <w:color w:val="000000" w:themeColor="text1"/>
          <w:sz w:val="16"/>
          <w:szCs w:val="16"/>
        </w:rPr>
        <w:softHyphen/>
        <w:t>ное снаряжение и вооружение для Синьцзяна. (По китайским источникам, в октябре 1931 г. Синьцзян закупил в СССР по четыре Р-1 и У-2, и два пас</w:t>
      </w:r>
      <w:r w:rsidRPr="005E779E">
        <w:rPr>
          <w:rFonts w:ascii="Times New Roman" w:hAnsi="Times New Roman"/>
          <w:color w:val="000000" w:themeColor="text1"/>
          <w:sz w:val="16"/>
          <w:szCs w:val="16"/>
        </w:rPr>
        <w:softHyphen/>
        <w:t>сажирских К-5).</w:t>
      </w:r>
    </w:p>
    <w:p w14:paraId="4383CB9B" w14:textId="77777777" w:rsidR="00C80728" w:rsidRPr="005E779E" w:rsidRDefault="00C80728" w:rsidP="000B7A6C">
      <w:pPr>
        <w:tabs>
          <w:tab w:val="left" w:pos="4933"/>
        </w:tabs>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Ситуацию с К-5 рассмотрим дальше, а относительно пары У-2 с запросом в УВВС о воз</w:t>
      </w:r>
      <w:r w:rsidRPr="005E779E">
        <w:rPr>
          <w:rFonts w:ascii="Times New Roman" w:hAnsi="Times New Roman"/>
          <w:color w:val="000000" w:themeColor="text1"/>
          <w:sz w:val="16"/>
          <w:szCs w:val="16"/>
        </w:rPr>
        <w:softHyphen/>
        <w:t>можности их продажи обрати</w:t>
      </w:r>
      <w:r w:rsidRPr="005E779E">
        <w:rPr>
          <w:rFonts w:ascii="Times New Roman" w:hAnsi="Times New Roman"/>
          <w:color w:val="000000" w:themeColor="text1"/>
          <w:sz w:val="16"/>
          <w:szCs w:val="16"/>
        </w:rPr>
        <w:softHyphen/>
        <w:t>лись ещё 12 ноября 1931 г. Резолюция Я.И. Алксниса, ко</w:t>
      </w:r>
      <w:r w:rsidRPr="005E779E">
        <w:rPr>
          <w:rFonts w:ascii="Times New Roman" w:hAnsi="Times New Roman"/>
          <w:color w:val="000000" w:themeColor="text1"/>
          <w:sz w:val="16"/>
          <w:szCs w:val="16"/>
        </w:rPr>
        <w:softHyphen/>
        <w:t>торого просили «подтвердить возможность продажи», не ос</w:t>
      </w:r>
      <w:r w:rsidRPr="005E779E">
        <w:rPr>
          <w:rFonts w:ascii="Times New Roman" w:hAnsi="Times New Roman"/>
          <w:color w:val="000000" w:themeColor="text1"/>
          <w:sz w:val="16"/>
          <w:szCs w:val="16"/>
        </w:rPr>
        <w:softHyphen/>
        <w:t>тавляла никакого сомнения в истинном его отношении к «авиавнешпосылторгу»: «Я са</w:t>
      </w:r>
      <w:r w:rsidRPr="005E779E">
        <w:rPr>
          <w:rFonts w:ascii="Times New Roman" w:hAnsi="Times New Roman"/>
          <w:color w:val="000000" w:themeColor="text1"/>
          <w:sz w:val="16"/>
          <w:szCs w:val="16"/>
        </w:rPr>
        <w:softHyphen/>
        <w:t>молётов не произвожу и ими не торгую. Надо, чтобы все это происходило через ВАО» (15802).</w:t>
      </w:r>
    </w:p>
    <w:p w14:paraId="3226CE5A" w14:textId="77777777" w:rsidR="00C80728" w:rsidRPr="005E779E" w:rsidRDefault="00C80728" w:rsidP="000B7A6C">
      <w:pPr>
        <w:tabs>
          <w:tab w:val="left" w:pos="550"/>
        </w:tabs>
        <w:spacing w:after="0" w:line="240" w:lineRule="auto"/>
        <w:jc w:val="both"/>
        <w:rPr>
          <w:rFonts w:ascii="Times New Roman" w:hAnsi="Times New Roman"/>
          <w:color w:val="000000" w:themeColor="text1"/>
          <w:sz w:val="16"/>
          <w:szCs w:val="16"/>
        </w:rPr>
      </w:pPr>
    </w:p>
    <w:p w14:paraId="15C732C2"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15F2EAB6"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322FE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 декабря 1931 года начальник ВОГВФ Гольцман писал письмо № 10/1620с в Политбюро ЦК ВКП(б)</w:t>
      </w:r>
    </w:p>
    <w:p w14:paraId="108523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Дизельного института Мартенс сконструировал вместе с группой подчиненных ему работников авиационный дизель-мотор. Проект этого мотора рассматривался в УВВС и в ВОГВФ, где признано целесообразным немедленно заказать опытный его экземпляр.</w:t>
      </w:r>
    </w:p>
    <w:p w14:paraId="5EA09D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…………………..(7752, 83).</w:t>
      </w:r>
    </w:p>
    <w:p w14:paraId="52BA7D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DA9B6CB" w14:textId="77777777" w:rsidR="000E52C6" w:rsidRPr="005E779E" w:rsidRDefault="000E52C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 декабря 1931 командир «С-1» В.Г. Гараканидзе выполнил первый управляемый полёт на С-1, продол</w:t>
      </w:r>
      <w:r w:rsidRPr="005E779E">
        <w:rPr>
          <w:rFonts w:ascii="Times New Roman" w:hAnsi="Times New Roman"/>
          <w:color w:val="000000" w:themeColor="text1"/>
          <w:sz w:val="16"/>
          <w:szCs w:val="16"/>
        </w:rPr>
        <w:softHyphen/>
        <w:t>жавшийся 2 ч 45 мин на высоте 250 м. В третьем полёте «С-1» потерпел аварию.</w:t>
      </w:r>
    </w:p>
    <w:p w14:paraId="42D63488" w14:textId="77777777" w:rsidR="000E52C6" w:rsidRPr="005E779E" w:rsidRDefault="000E52C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Испытания возобновили весной следующе</w:t>
      </w:r>
      <w:r w:rsidRPr="005E779E">
        <w:rPr>
          <w:rFonts w:ascii="Times New Roman" w:hAnsi="Times New Roman"/>
          <w:color w:val="000000" w:themeColor="text1"/>
          <w:sz w:val="16"/>
          <w:szCs w:val="16"/>
        </w:rPr>
        <w:softHyphen/>
        <w:t>го года. 8-20 мая 1933 г. М.А. Гараканидзе со</w:t>
      </w:r>
      <w:r w:rsidRPr="005E779E">
        <w:rPr>
          <w:rFonts w:ascii="Times New Roman" w:hAnsi="Times New Roman"/>
          <w:color w:val="000000" w:themeColor="text1"/>
          <w:sz w:val="16"/>
          <w:szCs w:val="16"/>
        </w:rPr>
        <w:softHyphen/>
        <w:t>вершил семь полётов. Во время шестого полё</w:t>
      </w:r>
      <w:r w:rsidRPr="005E779E">
        <w:rPr>
          <w:rFonts w:ascii="Times New Roman" w:hAnsi="Times New Roman"/>
          <w:color w:val="000000" w:themeColor="text1"/>
          <w:sz w:val="16"/>
          <w:szCs w:val="16"/>
        </w:rPr>
        <w:softHyphen/>
        <w:t>та «С-1» за 3 ч 15 мин облетел вокруг Москвы по маршруту Кунцево — Люблино — Новоги</w:t>
      </w:r>
      <w:r w:rsidRPr="005E779E">
        <w:rPr>
          <w:rFonts w:ascii="Times New Roman" w:hAnsi="Times New Roman"/>
          <w:color w:val="000000" w:themeColor="text1"/>
          <w:sz w:val="16"/>
          <w:szCs w:val="16"/>
        </w:rPr>
        <w:softHyphen/>
        <w:t>реево — Лосиноостровское — Долгопрудная — Тушино — Кунцево.</w:t>
      </w:r>
    </w:p>
    <w:p w14:paraId="2EAA1462" w14:textId="77777777" w:rsidR="000E52C6" w:rsidRPr="005E779E" w:rsidRDefault="000E52C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Сборка, стоянка на биваке и лётная работа «С-1» проходили в течение восьми месяцев в са</w:t>
      </w:r>
      <w:r w:rsidRPr="005E779E">
        <w:rPr>
          <w:rFonts w:ascii="Times New Roman" w:hAnsi="Times New Roman"/>
          <w:color w:val="000000" w:themeColor="text1"/>
          <w:sz w:val="16"/>
          <w:szCs w:val="16"/>
        </w:rPr>
        <w:softHyphen/>
        <w:t>мых тяжёлых условиях — мороз, дожди, ветер и бивак под открытым небом. Он перенёс две аварии: по одной в воздухе и на земле. Последняя случилась 29 апреля 1933 г., когда порывом ветра «С-1» сорвало с бивака. При этом разорвался пра</w:t>
      </w:r>
      <w:r w:rsidRPr="005E779E">
        <w:rPr>
          <w:rFonts w:ascii="Times New Roman" w:hAnsi="Times New Roman"/>
          <w:color w:val="000000" w:themeColor="text1"/>
          <w:sz w:val="16"/>
          <w:szCs w:val="16"/>
        </w:rPr>
        <w:softHyphen/>
        <w:t>вый бок оболочки, в десяти местах порвалась об</w:t>
      </w:r>
      <w:r w:rsidRPr="005E779E">
        <w:rPr>
          <w:rFonts w:ascii="Times New Roman" w:hAnsi="Times New Roman"/>
          <w:color w:val="000000" w:themeColor="text1"/>
          <w:sz w:val="16"/>
          <w:szCs w:val="16"/>
        </w:rPr>
        <w:softHyphen/>
        <w:t>тяжка хвостового оперения, погнулся его каркас. В течение двух суток повреждения устранили (20120).</w:t>
      </w:r>
    </w:p>
    <w:p w14:paraId="4DDCB84F" w14:textId="77777777" w:rsidR="000E52C6" w:rsidRPr="005E779E" w:rsidRDefault="000E52C6" w:rsidP="000B7A6C">
      <w:pPr>
        <w:spacing w:after="0" w:line="240" w:lineRule="auto"/>
        <w:jc w:val="both"/>
        <w:rPr>
          <w:rFonts w:ascii="Times New Roman" w:hAnsi="Times New Roman"/>
          <w:color w:val="000000" w:themeColor="text1"/>
          <w:sz w:val="16"/>
          <w:szCs w:val="16"/>
        </w:rPr>
      </w:pPr>
    </w:p>
    <w:p w14:paraId="3081B484" w14:textId="77777777" w:rsidR="005162D0" w:rsidRPr="005E779E" w:rsidRDefault="005162D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21-23 декабря 1931 г. в Москве состоялась ковфереция руководящих работников аэрометеослужбы, созванная Управлением ВВС. Были обсуждены вопросы, связанные с работой метеостанций в полевых условиях, вопросы получения информации о погоде при перелетах и использования уже накопленного материалв при составлении аэролоций.</w:t>
      </w:r>
    </w:p>
    <w:p w14:paraId="7AF6EA5D" w14:textId="77777777" w:rsidR="005162D0" w:rsidRPr="005E779E" w:rsidRDefault="005162D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/ВВФ, 1932, № 1/ (23370).</w:t>
      </w:r>
    </w:p>
    <w:p w14:paraId="6D89FDC0" w14:textId="77777777" w:rsidR="005162D0" w:rsidRPr="005E779E" w:rsidRDefault="005162D0" w:rsidP="000B7A6C">
      <w:pPr>
        <w:spacing w:after="0" w:line="240" w:lineRule="auto"/>
        <w:jc w:val="both"/>
        <w:rPr>
          <w:rFonts w:ascii="Times New Roman" w:hAnsi="Times New Roman"/>
          <w:color w:val="000000" w:themeColor="text1"/>
          <w:sz w:val="16"/>
          <w:szCs w:val="16"/>
        </w:rPr>
      </w:pPr>
    </w:p>
    <w:p w14:paraId="06049F7B" w14:textId="7DC628E0" w:rsidR="008070AE" w:rsidRPr="005E779E" w:rsidRDefault="008070AE" w:rsidP="008070AE">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Армия</w:t>
      </w:r>
      <w:r w:rsidRPr="005E779E">
        <w:rPr>
          <w:rFonts w:ascii="Times New Roman" w:hAnsi="Times New Roman"/>
          <w:i/>
          <w:iCs/>
          <w:color w:val="000000" w:themeColor="text1"/>
          <w:sz w:val="16"/>
          <w:szCs w:val="16"/>
        </w:rPr>
        <w:t>:</w:t>
      </w:r>
    </w:p>
    <w:p w14:paraId="7A66DD37" w14:textId="77777777" w:rsidR="008070AE" w:rsidRPr="005E779E" w:rsidRDefault="008070AE" w:rsidP="008070AE">
      <w:pPr>
        <w:autoSpaceDE w:val="0"/>
        <w:autoSpaceDN w:val="0"/>
        <w:adjustRightInd w:val="0"/>
        <w:spacing w:after="0" w:line="240" w:lineRule="auto"/>
        <w:jc w:val="both"/>
        <w:rPr>
          <w:rFonts w:ascii="Times New Roman" w:hAnsi="Times New Roman"/>
          <w:iCs/>
          <w:color w:val="000000" w:themeColor="text1"/>
          <w:sz w:val="16"/>
          <w:szCs w:val="16"/>
        </w:rPr>
      </w:pPr>
    </w:p>
    <w:p w14:paraId="02233B85" w14:textId="77777777" w:rsidR="008070AE" w:rsidRPr="00142305" w:rsidRDefault="008070AE" w:rsidP="008070A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21-23 декабря 1931 г. в Москве состоялась созванная Управлением ВВС РККА конференция работников аэрометеослужбы ВВС. В конференции приняли участие начальники аэрометеостанций, инспектора метеослужбы управле</w:t>
      </w:r>
      <w:r w:rsidRPr="00142305">
        <w:rPr>
          <w:rFonts w:ascii="Times New Roman" w:hAnsi="Times New Roman"/>
          <w:color w:val="0070C0"/>
          <w:sz w:val="16"/>
          <w:szCs w:val="16"/>
        </w:rPr>
        <w:softHyphen/>
        <w:t>ний ВВС округов, представители Управления ВВС, НИИ и Инспекции ВВС.</w:t>
      </w:r>
    </w:p>
    <w:p w14:paraId="1CAF02B5" w14:textId="77777777" w:rsidR="008070AE" w:rsidRPr="00142305" w:rsidRDefault="008070AE" w:rsidP="008070A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Открывший конференцию заместитель Начальника ВВС РККА С. А. Меженинов отметил большое значение метеослужбы в летной работе ВВС, а также проблемы, стоящие перед ней: отработка организации и методов работы в поле</w:t>
      </w:r>
      <w:r w:rsidRPr="00142305">
        <w:rPr>
          <w:rFonts w:ascii="Times New Roman" w:hAnsi="Times New Roman"/>
          <w:color w:val="0070C0"/>
          <w:sz w:val="16"/>
          <w:szCs w:val="16"/>
        </w:rPr>
        <w:softHyphen/>
        <w:t>вых условиях, улучшение информации о погоде при перелетах и обработка накопленного материала наблюдений станций в целях использования его для со</w:t>
      </w:r>
      <w:r w:rsidRPr="00142305">
        <w:rPr>
          <w:rFonts w:ascii="Times New Roman" w:hAnsi="Times New Roman"/>
          <w:color w:val="0070C0"/>
          <w:sz w:val="16"/>
          <w:szCs w:val="16"/>
        </w:rPr>
        <w:softHyphen/>
        <w:t>ставления аэролоций.</w:t>
      </w:r>
    </w:p>
    <w:p w14:paraId="0107A5BD" w14:textId="77777777" w:rsidR="008070AE" w:rsidRPr="00142305" w:rsidRDefault="008070AE" w:rsidP="008070A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докладом «Современное состояние и задачи аэрометеослужбы ВВС» вы</w:t>
      </w:r>
      <w:r w:rsidRPr="00142305">
        <w:rPr>
          <w:rFonts w:ascii="Times New Roman" w:hAnsi="Times New Roman"/>
          <w:color w:val="0070C0"/>
          <w:sz w:val="16"/>
          <w:szCs w:val="16"/>
        </w:rPr>
        <w:softHyphen/>
        <w:t>ступил начальник аэрометеослужбы ВВС А. В. Беляков (24968).</w:t>
      </w:r>
    </w:p>
    <w:p w14:paraId="1D6DEED2" w14:textId="77777777" w:rsidR="008070AE" w:rsidRPr="00142305" w:rsidRDefault="008070AE" w:rsidP="008070AE">
      <w:pPr>
        <w:spacing w:after="0" w:line="240" w:lineRule="auto"/>
        <w:jc w:val="both"/>
        <w:rPr>
          <w:rFonts w:ascii="Times New Roman" w:hAnsi="Times New Roman"/>
          <w:color w:val="0070C0"/>
          <w:sz w:val="16"/>
          <w:szCs w:val="16"/>
        </w:rPr>
      </w:pPr>
    </w:p>
    <w:p w14:paraId="575CFE71" w14:textId="77777777" w:rsidR="00EC2876"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259A2C43" w14:textId="77777777" w:rsidR="00EC2876" w:rsidRPr="005E779E" w:rsidRDefault="00EC2876"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6A0DFCE" w14:textId="77777777" w:rsidR="00EC2876" w:rsidRPr="005E779E" w:rsidRDefault="00EC2876" w:rsidP="000B7A6C">
      <w:pPr>
        <w:pStyle w:val="ae"/>
        <w:shd w:val="clear" w:color="auto" w:fill="FFFFFF"/>
        <w:spacing w:before="0" w:after="0"/>
        <w:jc w:val="both"/>
        <w:rPr>
          <w:color w:val="000000" w:themeColor="text1"/>
          <w:sz w:val="16"/>
          <w:szCs w:val="16"/>
        </w:rPr>
      </w:pPr>
      <w:r w:rsidRPr="005E779E">
        <w:rPr>
          <w:color w:val="000000" w:themeColor="text1"/>
          <w:sz w:val="16"/>
          <w:szCs w:val="16"/>
        </w:rPr>
        <w:t>21 декабря 1931 с концерном Krupp были заключены контракты на изготовление опытного Kleinetraktor (30 700 марок) и разработку ходовой части (13 000 марок). Позже, в мае 1932 года, сумма, выделенная на постройку машины, выросла до 43 700 марок. Постоянные внесения изменений в конструкцию привели к тому, что в изначальные сроки изготовления машины (к 30 июня 1932 года) исполнитель не вложился. Показ Kleinetraktor с серийным номером 8000 состоялся 29 июля 1932 года.</w:t>
      </w:r>
    </w:p>
    <w:p w14:paraId="04B6B709" w14:textId="77777777" w:rsidR="00EC2876" w:rsidRPr="005E779E" w:rsidRDefault="00EC2876" w:rsidP="000B7A6C">
      <w:pPr>
        <w:pStyle w:val="ae"/>
        <w:shd w:val="clear" w:color="auto" w:fill="FFFFFF"/>
        <w:spacing w:before="0" w:after="0"/>
        <w:jc w:val="both"/>
        <w:rPr>
          <w:color w:val="000000" w:themeColor="text1"/>
          <w:sz w:val="16"/>
          <w:szCs w:val="16"/>
        </w:rPr>
      </w:pPr>
      <w:r w:rsidRPr="005E779E">
        <w:rPr>
          <w:color w:val="000000" w:themeColor="text1"/>
          <w:sz w:val="16"/>
          <w:szCs w:val="16"/>
        </w:rPr>
        <w:t xml:space="preserve">Внешне машина здорово напоминала уменьшенный в размерах L.S.K. с примесью английских технологий. От большого «горба» над мотором конструкторам удалось избавиться благодаря использованию оппозитного мотора Krupp M 301, который ставился и на лёгкий армейский грузовик и </w:t>
      </w:r>
      <w:hyperlink r:id="rId225" w:history="1">
        <w:r w:rsidRPr="005E779E">
          <w:rPr>
            <w:rStyle w:val="a5"/>
            <w:rFonts w:eastAsia="Times New Roman"/>
            <w:color w:val="000000" w:themeColor="text1"/>
            <w:sz w:val="16"/>
            <w:szCs w:val="16"/>
          </w:rPr>
          <w:t>артиллерийский тягач</w:t>
        </w:r>
      </w:hyperlink>
      <w:r w:rsidRPr="005E779E">
        <w:rPr>
          <w:color w:val="000000" w:themeColor="text1"/>
          <w:sz w:val="16"/>
          <w:szCs w:val="16"/>
        </w:rPr>
        <w:t xml:space="preserve"> L2 H 43 (он же Krupp Protze). По тактико-техническим требованиям он должен был развивать мощность 60 лошадиных сил, но в реальности выдавал 52–54 лошадиные силы. Кроме того, машина получилась немного тяжелее, чем требовалось по заданию. Тем не менее, на испытаниях Kleinetraktor смог развить скорость 42 км/ч. На испытаниях в Вюнсдорфе немецкий «трактор» показал полное превосходство над тягачом Carden-Loyd. Да, конструкция всё ещё требовала доработок, но по сравнению с Leichttraktor это был однозначный успех.</w:t>
      </w:r>
    </w:p>
    <w:p w14:paraId="70987589" w14:textId="77777777" w:rsidR="00EC2876" w:rsidRPr="005E779E" w:rsidRDefault="00EC2876" w:rsidP="000B7A6C">
      <w:pPr>
        <w:pStyle w:val="ae"/>
        <w:shd w:val="clear" w:color="auto" w:fill="FFFFFF"/>
        <w:spacing w:before="0" w:after="0"/>
        <w:jc w:val="both"/>
        <w:rPr>
          <w:color w:val="000000" w:themeColor="text1"/>
          <w:sz w:val="16"/>
          <w:szCs w:val="16"/>
        </w:rPr>
      </w:pPr>
      <w:r w:rsidRPr="005E779E">
        <w:rPr>
          <w:color w:val="000000" w:themeColor="text1"/>
          <w:sz w:val="16"/>
          <w:szCs w:val="16"/>
        </w:rPr>
        <w:t>Первоначально Kleinetraktor рассматривался как многоцелевая машина. Предполагалось создать на общей базе машину наблюдателей, артиллерийский тягач и подвозчик боеприпасов. Впрочем, после испытаний генерал Освальд Лутц, отвечавший за моторизацию Рейхсвера, сразу же заговорил как минимум о пяти Kleinetraktor с вооружением. Случилось это 12 октября 1932 года. Варианты другого использования гусеничной платформы вскоре сами собой отпали, и танк стал основной версией новой машины (17463).</w:t>
      </w:r>
    </w:p>
    <w:p w14:paraId="23E1FB7D" w14:textId="77777777" w:rsidR="00EC2876" w:rsidRPr="005E779E" w:rsidRDefault="00EC2876"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F79A17C" w14:textId="77777777" w:rsidR="00C80728"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6834D8ED" w14:textId="77777777" w:rsidR="00C80728" w:rsidRPr="005E779E" w:rsidRDefault="00C80728"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E72F5DB" w14:textId="77777777" w:rsidR="00C80728" w:rsidRPr="005E779E" w:rsidRDefault="00C80728" w:rsidP="000B7A6C">
      <w:pPr>
        <w:pStyle w:val="1010"/>
        <w:shd w:val="clear" w:color="auto" w:fill="auto"/>
        <w:spacing w:line="240" w:lineRule="auto"/>
        <w:ind w:firstLine="0"/>
        <w:rPr>
          <w:rFonts w:ascii="Times New Roman" w:hAnsi="Times New Roman" w:cs="Times New Roman"/>
          <w:i w:val="0"/>
          <w:color w:val="000000" w:themeColor="text1"/>
          <w:sz w:val="16"/>
          <w:szCs w:val="16"/>
        </w:rPr>
      </w:pPr>
      <w:r w:rsidRPr="005E779E">
        <w:rPr>
          <w:rStyle w:val="1023"/>
          <w:rFonts w:ascii="Times New Roman" w:eastAsia="Arial Unicode MS" w:hAnsi="Times New Roman" w:cs="Times New Roman"/>
          <w:i w:val="0"/>
          <w:iCs w:val="0"/>
          <w:color w:val="000000" w:themeColor="text1"/>
          <w:sz w:val="16"/>
          <w:szCs w:val="16"/>
        </w:rPr>
        <w:t>22 декабря 1931 г. дирекция МАИ направила на имя Григоровича письмо следующего содержания:</w:t>
      </w:r>
      <w:r w:rsidRPr="005E779E">
        <w:rPr>
          <w:rFonts w:ascii="Times New Roman" w:hAnsi="Times New Roman" w:cs="Times New Roman"/>
          <w:i w:val="0"/>
          <w:color w:val="000000" w:themeColor="text1"/>
          <w:sz w:val="16"/>
          <w:szCs w:val="16"/>
        </w:rPr>
        <w:t xml:space="preserve"> «МАИ, при</w:t>
      </w:r>
      <w:r w:rsidRPr="005E779E">
        <w:rPr>
          <w:rFonts w:ascii="Times New Roman" w:hAnsi="Times New Roman" w:cs="Times New Roman"/>
          <w:i w:val="0"/>
          <w:color w:val="000000" w:themeColor="text1"/>
          <w:sz w:val="16"/>
          <w:szCs w:val="16"/>
        </w:rPr>
        <w:softHyphen/>
        <w:t>глашая Вас в качестве преподавателя института по кафедре «Проектирование самолетов», а также в качестве Главного Конструктора по проектируемому Институтом самолету, настоящим со</w:t>
      </w:r>
      <w:r w:rsidRPr="005E779E">
        <w:rPr>
          <w:rFonts w:ascii="Times New Roman" w:hAnsi="Times New Roman" w:cs="Times New Roman"/>
          <w:i w:val="0"/>
          <w:color w:val="000000" w:themeColor="text1"/>
          <w:sz w:val="16"/>
          <w:szCs w:val="16"/>
        </w:rPr>
        <w:softHyphen/>
        <w:t>общает, что участие Ваше в работах Института согласовано с Нач. ГУАП т. Барановым, а также у Института име</w:t>
      </w:r>
      <w:r w:rsidRPr="005E779E">
        <w:rPr>
          <w:rFonts w:ascii="Times New Roman" w:hAnsi="Times New Roman" w:cs="Times New Roman"/>
          <w:i w:val="0"/>
          <w:color w:val="000000" w:themeColor="text1"/>
          <w:sz w:val="16"/>
          <w:szCs w:val="16"/>
        </w:rPr>
        <w:softHyphen/>
        <w:t>ется прямое согласие на такое Ваше участие со стороны Начальника ЦАГИ т. Пауфлера и Начальника ЦКБ-ЦАГИ т. Ильюшина.</w:t>
      </w:r>
    </w:p>
    <w:p w14:paraId="2B4EB2C5" w14:textId="77777777" w:rsidR="00C80728" w:rsidRPr="005E779E" w:rsidRDefault="00C80728" w:rsidP="000B7A6C">
      <w:pPr>
        <w:pStyle w:val="1010"/>
        <w:shd w:val="clear" w:color="auto" w:fill="auto"/>
        <w:spacing w:line="240" w:lineRule="auto"/>
        <w:ind w:firstLine="0"/>
        <w:rPr>
          <w:rFonts w:ascii="Times New Roman" w:hAnsi="Times New Roman" w:cs="Times New Roman"/>
          <w:i w:val="0"/>
          <w:color w:val="000000" w:themeColor="text1"/>
          <w:sz w:val="16"/>
          <w:szCs w:val="16"/>
        </w:rPr>
      </w:pPr>
      <w:r w:rsidRPr="005E779E">
        <w:rPr>
          <w:rFonts w:ascii="Times New Roman" w:hAnsi="Times New Roman" w:cs="Times New Roman"/>
          <w:i w:val="0"/>
          <w:color w:val="000000" w:themeColor="text1"/>
          <w:sz w:val="16"/>
          <w:szCs w:val="16"/>
        </w:rPr>
        <w:t>Нач. Института: Вольский» (15746).</w:t>
      </w:r>
    </w:p>
    <w:p w14:paraId="052CEBBD" w14:textId="77777777" w:rsidR="00C80728" w:rsidRPr="005E779E" w:rsidRDefault="00C80728" w:rsidP="000B7A6C">
      <w:pPr>
        <w:pStyle w:val="1010"/>
        <w:shd w:val="clear" w:color="auto" w:fill="auto"/>
        <w:spacing w:line="240" w:lineRule="auto"/>
        <w:ind w:firstLine="0"/>
        <w:rPr>
          <w:rFonts w:ascii="Times New Roman" w:hAnsi="Times New Roman" w:cs="Times New Roman"/>
          <w:i w:val="0"/>
          <w:color w:val="000000" w:themeColor="text1"/>
          <w:sz w:val="16"/>
          <w:szCs w:val="16"/>
        </w:rPr>
      </w:pPr>
    </w:p>
    <w:p w14:paraId="275C5FAB" w14:textId="77777777" w:rsidR="00FE022D" w:rsidRPr="005E779E" w:rsidRDefault="00FE022D"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22 декабря 1931 г. дирекция МАИ направила на имя известного авиаконструктора Дмитрия Павловича Григоровича письмо следующего содержания: «МАИ, приглашая Вас в качестве преподавателя института по кафедре „Проектирование самолётов“, а также в качестве Главного конструктора по проектируемому Институтом самолёту, настоящим сообщает, что участие Ваше в работах Института согласовано с Нач. ГУАП т. Барановым, а также у Института имеется прямое согласие на такое Ваше участие со стороны Нач-ка ЦАГИ т. Пауфлера и Нач-ка ЦКБ ЦАГИ т. Ильюшина. Нач. Института Вольский» </w:t>
      </w:r>
      <w:hyperlink r:id="rId226" w:history="1">
        <w:r w:rsidRPr="005E779E">
          <w:rPr>
            <w:rFonts w:ascii="Times New Roman" w:eastAsia="Times New Roman" w:hAnsi="Times New Roman"/>
            <w:color w:val="000000" w:themeColor="text1"/>
            <w:sz w:val="16"/>
            <w:szCs w:val="16"/>
            <w:lang w:eastAsia="ru-RU"/>
          </w:rPr>
          <w:t>[132]</w:t>
        </w:r>
      </w:hyperlink>
      <w:r w:rsidRPr="005E779E">
        <w:rPr>
          <w:rFonts w:ascii="Times New Roman" w:eastAsia="Times New Roman" w:hAnsi="Times New Roman"/>
          <w:color w:val="000000" w:themeColor="text1"/>
          <w:sz w:val="16"/>
          <w:szCs w:val="16"/>
          <w:lang w:eastAsia="ru-RU"/>
        </w:rPr>
        <w:t xml:space="preserve"> (17489).</w:t>
      </w:r>
    </w:p>
    <w:p w14:paraId="1DCEEAD4" w14:textId="77777777" w:rsidR="00FE022D" w:rsidRPr="005E779E" w:rsidRDefault="00FE022D" w:rsidP="000B7A6C">
      <w:pPr>
        <w:spacing w:after="0" w:line="240" w:lineRule="auto"/>
        <w:jc w:val="both"/>
        <w:rPr>
          <w:rFonts w:ascii="Times New Roman" w:eastAsia="Times New Roman" w:hAnsi="Times New Roman"/>
          <w:color w:val="000000" w:themeColor="text1"/>
          <w:sz w:val="16"/>
          <w:szCs w:val="16"/>
          <w:lang w:eastAsia="ru-RU"/>
        </w:rPr>
      </w:pPr>
    </w:p>
    <w:p w14:paraId="26139A56" w14:textId="77777777" w:rsidR="00987BB5"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5914AE7B" w14:textId="77777777" w:rsidR="00987BB5" w:rsidRPr="005E779E" w:rsidRDefault="00987BB5"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9768B57"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состоянию на 22 декабря 1931 г., 16 танков Т-24 были отправлены в части, три находились в переборке, четыре — в стадии сборки и два прошли контрольные испытания. Таким образом, всего было выпущено 25 танков Т-24.Компоновочная схема танка Т-24 отличалась от классической трехъярусным размещением оружия и представляла собой улучшенный вариант схемы компоновки танка Т-12. По сравнению с предшественником новая машина имела меньшую толщину броневых листов и измененную конструкцию корпуса и башни. В лобовом листе корпуса слева появилась установка курсового пулемета. В корпусе была также произведена перекомпоновка оборудования с увеличением жесткости днища моторно-трансмиссионного отделения и переносом топливных баков из отделения управления в боковые ниши. Кроме того, в носовой части предусмотрели место для радиостанции.Экипаж состоял из пяти—шести человек. Механик-водитель располагался у правого борта корпуса и осуществлял управление машиной с помощью рулевой колонки. Слева от механика-водителя размещался пулеметчик. Командир танка находился в главной башне и выполнял одновременно функции наводчика и пулеметчика. Справа от него было место заряжающего, который также выполнял обязанности стрелка из лобового башенного пулемета. В малой башне имелось рабочее место пулеметчика.</w:t>
      </w:r>
    </w:p>
    <w:p w14:paraId="23CC363D"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малой башне (верхний ярус) был установлен 7,62-мм пулемет ДТ, в главной башне (средний ярус) — 45-мм пушка обр. 1930 г. и два 7,62-мм пулемета ДТ (курсовой и тыльный), в подбашенной коробке (нижний ярус) — 7,62-мм пулемет ДТ. В боекомплект танка входили 89 артиллерийских выстрелов с бронебойным снарядом, осколочной гранатой и картечью, а также 8000 патронов к пулеметам.Броневая защита корпуса и башни была противопульной, изготовленной из броневых листов толщиной 8,5 и 20 мм. Она обеспечивала защиту лобовой части машины от огня крупнокалиберных пулеметов. Соединение броневых деталей производилось с помощью заклепок. Герметизация корпуса машины была усовершенствована.По сравнению с танком Т-12 конструкцию башни усовершенствовали с применением фасонной цилиндрической брони и обеспечив удобство использования вооружения.В кормовой части корпуса установили четырехтактный восьмицилиндровый V-</w:t>
      </w:r>
      <w:r w:rsidRPr="005E779E">
        <w:rPr>
          <w:rFonts w:ascii="Times New Roman" w:hAnsi="Times New Roman"/>
          <w:color w:val="000000" w:themeColor="text1"/>
          <w:sz w:val="16"/>
          <w:szCs w:val="16"/>
        </w:rPr>
        <w:lastRenderedPageBreak/>
        <w:t>образный карбюраторный двигатель М-6 жидкостного охлаждения. Этот двигатель был задросселирован до мощности 250 л.с. (184 кВт) при частоте вращения коленчатого вала двигателя 1800 об/мин. Пуск двигателя производился с помощью двух электростартеров «Бош» мощностью 2,5 л.с. (1,84 кВт). В системезажигания использовались два четырехискровых магнето правого и левого вращения марки ВТН или Н8, А8, СЕО-Н8 и «Зингер 8Ц». Емкость топливных баков составляла 460 л. Запас хода достигал 120 км.</w:t>
      </w:r>
    </w:p>
    <w:p w14:paraId="6C498D63"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Улучшили систему охлаждения двигателя и трансмиссии с использованием принудительного охлаждения в радиаторах всего количества масла из системы смазки двигателя и коробки передач.Трансмиссия состояла из главного фрикциона, четырехступенчатой реверсивной планетарной коробки передач (в качестве механизма реверса использовался конический редуктор с фрикционом реверса), двойного дифференциала в качестве механизма поворота и двух простых бортовых редукторов. В двойном цилиндрическом дифференциале применялись ленточные плавающие тормоза новой конструкции с пневмосервированием. Конструкцию трансмиссии улучшили с целью разгруженно работающих деталей содновременным уменьшением передаточных отношений низших передач. Кроме того, увеличили прочность бортовых редукторов. Максимальная скорость по шоссе достигала 25 км/ч, на пересеченной местности 15 км/ч.</w:t>
      </w:r>
    </w:p>
    <w:p w14:paraId="5CC1F6E4"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Подвеска танка блокированная, пружинная. Со стороны каждого борта размещались четыре тележки с двумя двухскатными опорными катками в каждой. В состав гусеничного движителя входили шестнадцать опорных и восемь поддерживающих сдвоенных катков с наружной амортизацией. Ведущие колеса заднего расположения имели зубовое зацепление с гусеницами. Ширина трака гусеницы составляла 460 мм, шаг—140 мм. По сравнению с Т-12 диаметр направляющего колеса танка Т-24 был уменьшен на 200 мм. Элементы конструкции ходовой части танка использовались также в артиллерийских тягачах «Коминтерн», выпускавшихся в 1934-1940 гг.Электрооборудование машины было выполнено по однопроводной схеме. Напряжение бортовой сети составляло 12 В. В качестве источников электроэнергии использовались аккумуляторная батарея и генератор РА-225/12. Средств внешней радиосвязи танк не имел. В качестве противопожарного оборудования применялся ручной тетрахлорный огнетушитель. К основным недостаткам машины относились двигатель с малым моторесурсом, громоздкая система жидкостного охлаждения двигателя и капризная в работе и трудоемкая в производстве коробка передач с дифференциальной системой управления.</w:t>
      </w:r>
    </w:p>
    <w:p w14:paraId="18296046"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Себестоимость танка Т-24 составляла 173499 руб. 51 коп.</w:t>
      </w:r>
    </w:p>
    <w:p w14:paraId="065F0FEF" w14:textId="77777777" w:rsidR="00987BB5" w:rsidRPr="005E779E" w:rsidRDefault="00987BB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Практически все изготовленные и принятые заказчиком танки Т-24 были направлены в Харьковский военный округ. Необходимо отметить, что первая выпущенная машина имела персональное название, Так, еще в процессе организации производства танка Т-24 в соответствии с указаниями начальника 1 -го отдела ТУ УММ Моргунова от 26 июля 1930 г., направленными председателю правления Машино-объединения и военпреду ХПЗ, предписывалось: «Одному из танков Т-24 - Т-12) первой партии в 15 штук надлежит присвоить наименование «имени Лепсе».О дне готовности первого танка. С указанием его номера, из пятнадцати, к сдаче его в часть прошу меня уведомить.Надпись «имени Лепсе» сделать на башне танка красной краской».К 1938 г. танки Т-24 как устаревшие передали на склады. В апреле 1938 г., согласно проекту постановления Главного совета РККА «Об использовании имеющихся в РККА несерийных старых типов танков», в отношении танков Т-24 говорилось: «3. Передать Укрепрайонам Округов и НКВМФ для использования на огневых точках танков: Т-18 - 860 шт., Т-24 -22шт., втомчисле 160танков Т-18, использованных на это дело в 1936 г. вЛВО». Таким образом, танки Т-24 предписывалось использовать для создания неподвижных огневых точек. К началу Великой Отечественной войны большая часть этих машин была переоборудована согласно своему новому назначению. Однако установить их в укрепрайонах не успели, и все эти машины вместе другими аналогичными огневыми точками из танков МС-1 были захвачены в местах их последней дислокации.Танк Т-24 оказался довольно сложной и дорогой машиной с большим количеством недостатков. Тем не менее он сыграл важную роль в становлении отечественного танкостроения, став своеобразной школой по подготовке кадров конструкторов, технологов и производственников, обеспечивших создание одного из ведущих конструкторских бюро отрасли и танкового производства на ХПЗ в предвоенные годы (12303).</w:t>
      </w:r>
    </w:p>
    <w:p w14:paraId="07F307A3" w14:textId="77777777" w:rsidR="00987BB5" w:rsidRPr="005E779E" w:rsidRDefault="00987BB5" w:rsidP="000B7A6C">
      <w:pPr>
        <w:spacing w:after="0" w:line="240" w:lineRule="auto"/>
        <w:jc w:val="both"/>
        <w:rPr>
          <w:rFonts w:ascii="Times New Roman" w:hAnsi="Times New Roman"/>
          <w:color w:val="000000" w:themeColor="text1"/>
          <w:sz w:val="16"/>
          <w:szCs w:val="16"/>
        </w:rPr>
      </w:pPr>
    </w:p>
    <w:p w14:paraId="7836310F" w14:textId="77777777" w:rsidR="008070AE" w:rsidRPr="00142305" w:rsidRDefault="008070AE" w:rsidP="008070A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состоянию на 22 декабря 1931 г., 16 танков были отправлены в части с ХПЗ, три находились в переборке, четыре — в стадии сборки и два прошли контрольные испытания. Таким образом, всего было выпущено 25 танков Т-24 (25479(.</w:t>
      </w:r>
    </w:p>
    <w:p w14:paraId="52051318" w14:textId="77777777" w:rsidR="008070AE" w:rsidRPr="00142305" w:rsidRDefault="008070AE" w:rsidP="008070AE">
      <w:pPr>
        <w:spacing w:after="0" w:line="240" w:lineRule="auto"/>
        <w:jc w:val="both"/>
        <w:rPr>
          <w:rFonts w:ascii="Times New Roman" w:hAnsi="Times New Roman"/>
          <w:color w:val="0070C0"/>
          <w:sz w:val="16"/>
          <w:szCs w:val="16"/>
        </w:rPr>
      </w:pPr>
    </w:p>
    <w:p w14:paraId="1178BA74" w14:textId="77777777" w:rsidR="00987BB5" w:rsidRPr="005E779E" w:rsidRDefault="00987BB5" w:rsidP="000B7A6C">
      <w:pPr>
        <w:pStyle w:val="ae"/>
        <w:spacing w:before="0" w:after="0"/>
        <w:jc w:val="both"/>
        <w:rPr>
          <w:color w:val="000000" w:themeColor="text1"/>
          <w:sz w:val="16"/>
          <w:szCs w:val="16"/>
        </w:rPr>
      </w:pPr>
      <w:r w:rsidRPr="005E779E">
        <w:rPr>
          <w:color w:val="000000" w:themeColor="text1"/>
          <w:sz w:val="16"/>
          <w:szCs w:val="16"/>
        </w:rPr>
        <w:t>22 декабря 1931 Ковровскому заводу было предложено немедленно организовать производство автомобильного стартера «бендикс» для нижегородских автомобилестроителей. До этого необходимое для каждого автомобиля пусковое устройство покупалось в Америке за золото.</w:t>
      </w:r>
    </w:p>
    <w:p w14:paraId="5F95BD7E" w14:textId="77777777" w:rsidR="00987BB5" w:rsidRPr="005E779E" w:rsidRDefault="00987BB5" w:rsidP="000B7A6C">
      <w:pPr>
        <w:pStyle w:val="ae"/>
        <w:spacing w:before="0" w:after="0"/>
        <w:jc w:val="both"/>
        <w:rPr>
          <w:color w:val="000000" w:themeColor="text1"/>
          <w:sz w:val="16"/>
          <w:szCs w:val="16"/>
        </w:rPr>
      </w:pPr>
      <w:r w:rsidRPr="005E779E">
        <w:rPr>
          <w:color w:val="000000" w:themeColor="text1"/>
          <w:sz w:val="16"/>
          <w:szCs w:val="16"/>
        </w:rPr>
        <w:t>Для нового заказа - производства автомобильного стартера - создана, специальная мастерская. Организация всего дела поручалась опытному молодому мастеру К.И. Исакову.</w:t>
      </w:r>
    </w:p>
    <w:p w14:paraId="0E93844F" w14:textId="77777777" w:rsidR="00987BB5" w:rsidRPr="005E779E" w:rsidRDefault="00987BB5" w:rsidP="000B7A6C">
      <w:pPr>
        <w:pStyle w:val="ae"/>
        <w:spacing w:before="0" w:after="0"/>
        <w:jc w:val="both"/>
        <w:rPr>
          <w:color w:val="000000" w:themeColor="text1"/>
          <w:sz w:val="16"/>
          <w:szCs w:val="16"/>
        </w:rPr>
      </w:pPr>
      <w:r w:rsidRPr="005E779E">
        <w:rPr>
          <w:color w:val="000000" w:themeColor="text1"/>
          <w:sz w:val="16"/>
          <w:szCs w:val="16"/>
        </w:rPr>
        <w:t>На техническом совещании был проанализирован технологический процесс. Было решено изготавливать «бендиксы» только на отечественном оборудовании (12221).</w:t>
      </w:r>
    </w:p>
    <w:p w14:paraId="4C479600" w14:textId="77777777" w:rsidR="00987BB5" w:rsidRPr="005E779E" w:rsidRDefault="00987BB5" w:rsidP="000B7A6C">
      <w:pPr>
        <w:pStyle w:val="ae"/>
        <w:spacing w:before="0" w:after="0"/>
        <w:jc w:val="both"/>
        <w:rPr>
          <w:color w:val="000000" w:themeColor="text1"/>
          <w:sz w:val="16"/>
          <w:szCs w:val="16"/>
        </w:rPr>
      </w:pPr>
    </w:p>
    <w:p w14:paraId="71526CE4" w14:textId="77777777" w:rsidR="00C80728" w:rsidRPr="005E779E" w:rsidRDefault="00C8072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 декабря 1931 года на совещании при 4-м секторе технического управления УММ РККА была принята программа по производству бронепоездов на 1932 год. В протоколе заседания говорилось:</w:t>
      </w:r>
    </w:p>
    <w:p w14:paraId="02286071" w14:textId="77777777" w:rsidR="00C80728" w:rsidRPr="005E779E" w:rsidRDefault="00C8072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«Постановили включить в программу 1932 года дополнительно к бронированию 10 паровозов еще 4 паровоза недодел 1931 года, на который имеются заготовки.</w:t>
      </w:r>
    </w:p>
    <w:p w14:paraId="62087B08" w14:textId="77777777" w:rsidR="00C80728" w:rsidRPr="005E779E" w:rsidRDefault="00C8072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Программу по бронеплощадкам на 1932 год… считать в 28 единиц, из них 26 легких и 2 тяжелых.</w:t>
      </w:r>
    </w:p>
    <w:p w14:paraId="7A64D3A6" w14:textId="77777777" w:rsidR="00C80728" w:rsidRPr="005E779E" w:rsidRDefault="00C8072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Предусмотреть программой работ по бронеплощадкам установку панорамных башенок, на легких площадках бронирование низа площадок и полную укладку военного химического, телеграфного имущества, аккумуляторов и др. под полом бронепоездов.</w:t>
      </w:r>
    </w:p>
    <w:p w14:paraId="09186DCF" w14:textId="77777777" w:rsidR="00C80728" w:rsidRPr="005E779E" w:rsidRDefault="00C8072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Бронировку отдельных аккумуляторных ящиков исключить и производить бронирование всего низа.</w:t>
      </w:r>
    </w:p>
    <w:p w14:paraId="09396443" w14:textId="77777777" w:rsidR="00C80728" w:rsidRPr="005E779E" w:rsidRDefault="00C8072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Бронепоездам провести капитальный ремонт с учетом проведения всех элементов модернизации с обязательным введением бронеединиц в колею </w:t>
      </w:r>
      <w:smartTag w:uri="urn:schemas-microsoft-com:office:smarttags" w:element="metricconverter">
        <w:smartTagPr>
          <w:attr w:name="ProductID" w:val="1945 г"/>
        </w:smartTagPr>
        <w:r w:rsidRPr="005E779E">
          <w:rPr>
            <w:rFonts w:ascii="Times New Roman" w:hAnsi="Times New Roman"/>
            <w:color w:val="000000" w:themeColor="text1"/>
            <w:sz w:val="16"/>
            <w:szCs w:val="16"/>
          </w:rPr>
          <w:t>1435 мм</w:t>
        </w:r>
      </w:smartTag>
      <w:r w:rsidRPr="005E779E">
        <w:rPr>
          <w:rFonts w:ascii="Times New Roman" w:hAnsi="Times New Roman"/>
          <w:color w:val="000000" w:themeColor="text1"/>
          <w:sz w:val="16"/>
          <w:szCs w:val="16"/>
        </w:rPr>
        <w:t>.</w:t>
      </w:r>
    </w:p>
    <w:p w14:paraId="79C80B72" w14:textId="77777777" w:rsidR="00C80728" w:rsidRPr="005E779E" w:rsidRDefault="00C8072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отношении бронеплощадок, которым, по мнению склада, капитальный ремонт нецелесообразен в связи с невписыванием в железнодорожный габарит, склад представляет свои соображения о перебронировке их с приведением к стандартному типу.</w:t>
      </w:r>
    </w:p>
    <w:p w14:paraId="0A6BFB98" w14:textId="77777777" w:rsidR="00C80728" w:rsidRPr="005E779E" w:rsidRDefault="00C8072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ремонте и перебронировке максимально использовать все имеющиеся материалы на поступающих объектах и внутренние ресурсы склада (нижегородская броня и прочее)» (15218).</w:t>
      </w:r>
    </w:p>
    <w:p w14:paraId="6B9FAE56" w14:textId="2CD32EBF" w:rsidR="00C80728" w:rsidRPr="005E779E" w:rsidRDefault="00C80728" w:rsidP="000B7A6C">
      <w:pPr>
        <w:spacing w:after="0" w:line="240" w:lineRule="auto"/>
        <w:jc w:val="both"/>
        <w:rPr>
          <w:rFonts w:ascii="Times New Roman" w:hAnsi="Times New Roman"/>
          <w:color w:val="000000" w:themeColor="text1"/>
          <w:sz w:val="16"/>
          <w:szCs w:val="16"/>
        </w:rPr>
      </w:pPr>
    </w:p>
    <w:p w14:paraId="3CB51081" w14:textId="59CDF8D4" w:rsidR="000E52C6" w:rsidRPr="005E779E" w:rsidRDefault="000E52C6" w:rsidP="000B7A6C">
      <w:pPr>
        <w:spacing w:after="0" w:line="240" w:lineRule="auto"/>
        <w:jc w:val="both"/>
        <w:rPr>
          <w:rFonts w:ascii="Times New Roman" w:hAnsi="Times New Roman"/>
          <w:i/>
          <w:iCs/>
          <w:color w:val="000000" w:themeColor="text1"/>
          <w:sz w:val="16"/>
          <w:szCs w:val="16"/>
        </w:rPr>
      </w:pPr>
      <w:r w:rsidRPr="005E779E">
        <w:rPr>
          <w:rFonts w:ascii="Times New Roman" w:hAnsi="Times New Roman"/>
          <w:i/>
          <w:iCs/>
          <w:color w:val="000000" w:themeColor="text1"/>
          <w:sz w:val="16"/>
          <w:szCs w:val="16"/>
        </w:rPr>
        <w:t>Армия:</w:t>
      </w:r>
    </w:p>
    <w:p w14:paraId="0574DC3F" w14:textId="77777777" w:rsidR="000E52C6" w:rsidRPr="005E779E" w:rsidRDefault="000E52C6" w:rsidP="000B7A6C">
      <w:pPr>
        <w:spacing w:after="0" w:line="240" w:lineRule="auto"/>
        <w:jc w:val="both"/>
        <w:rPr>
          <w:rFonts w:ascii="Times New Roman" w:hAnsi="Times New Roman"/>
          <w:i/>
          <w:iCs/>
          <w:color w:val="000000" w:themeColor="text1"/>
          <w:sz w:val="16"/>
          <w:szCs w:val="16"/>
        </w:rPr>
      </w:pPr>
    </w:p>
    <w:p w14:paraId="5A102DA0" w14:textId="77777777" w:rsidR="000E52C6" w:rsidRPr="005E779E" w:rsidRDefault="000E52C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 декабря 1931 года Тухачевский представив на имя Сталина краткий материал по производству десантов на маневрах в ЛВО и УВО, подчеркнул: «С овладением авиамотодесантным делом можно будет срывать и мобилизационные, и оперативные, и снабженческие перевозки противника»; «Авиамотодесант – новое и мощное средство парализования оперативного, железнодорожного и автомобильного маневра и разрушения тыла противника» (РГАСПИ. Ф. 558. Оп. 11. Д. 446. Л. 5, 114) (21402).</w:t>
      </w:r>
    </w:p>
    <w:p w14:paraId="39B3410C" w14:textId="77777777" w:rsidR="000E52C6" w:rsidRPr="005E779E" w:rsidRDefault="000E52C6" w:rsidP="000B7A6C">
      <w:pPr>
        <w:spacing w:after="0" w:line="240" w:lineRule="auto"/>
        <w:jc w:val="both"/>
        <w:rPr>
          <w:rFonts w:ascii="Times New Roman" w:hAnsi="Times New Roman"/>
          <w:color w:val="000000" w:themeColor="text1"/>
          <w:sz w:val="16"/>
          <w:szCs w:val="16"/>
        </w:rPr>
      </w:pPr>
    </w:p>
    <w:p w14:paraId="67F01B51"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Внешняя политика:</w:t>
      </w:r>
    </w:p>
    <w:p w14:paraId="0154D8D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F1008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 декабря 1931 г. Протоколом Хинчук и германский министр экономики X. Вармбольд зафиксировали договоренность о взаимном увеличении экспорта товаров. Подобная напористость диктовалась тем, что задолженность СССР Германии приблизилась к 1 млрд. марок и расплачиваться приходилось золотом и валютой (11784).</w:t>
      </w:r>
    </w:p>
    <w:p w14:paraId="15289F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28B067E"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3A85005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B6B66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 декабря 1931 Сенат США установил мораторий на иностранные долги (2100).</w:t>
      </w:r>
    </w:p>
    <w:p w14:paraId="0247DB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9CBBE27"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384AAF78"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43A5C26"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декабря 1931 в НИИ ВВС закончились контрольные испытания опытного самолета И-5 № 4372 постройки завода № 1 с мотором М-15 № 24104, которые проходили с 25 ноября 1931.</w:t>
      </w:r>
    </w:p>
    <w:p w14:paraId="6DEDD13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Результаты контрольных испытаний опытного самолета И-5 № 4372 постройки завода № 1 с мотором М-15 № 24104</w:t>
      </w:r>
    </w:p>
    <w:p w14:paraId="577FA8F5"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аэродром самолет прибыл 25 ноября 1931 года.</w:t>
      </w:r>
    </w:p>
    <w:p w14:paraId="57819C9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Первый контрольный полет был произведен 19 декабря 1931 года, второй – 23 декабря 1931 года. После второго полета самолет передан на Экспедицию для окончательной отделки (6964, 26-29).</w:t>
      </w:r>
    </w:p>
    <w:p w14:paraId="226121AD"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55B5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декабря 1931 после устранения ряда выявленных в первом полете 19 декабря дефектов Калиншин совершил второй полёт на истребителе И-5 М-15 № 4372 постройки завода № 1, который прибыл в НИИ ВВС 25 ноября.</w:t>
      </w:r>
    </w:p>
    <w:p w14:paraId="0A0DA1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Машина имела уже полноценное вооружение из четырёх ПВ-1. В совокупности с усилением конструкции это привело к тому, что вес пустого самолёта по сравнению с истребителем №18 возрос более чем на 100 кг и достиг 1110,6 кг. В НИИ ВВС на И-5 № 4372 совершили всего два полёта. </w:t>
      </w:r>
    </w:p>
    <w:p w14:paraId="480B0F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Видимо второй полет был столь же неудачен, сколь и первый. Во всяком случае, 14 января 1932 г. машину вернули заводу № 1 с актом о недостатках, в котором насчитывался 31 пункт. Больше подобных самолётов не делали.</w:t>
      </w:r>
    </w:p>
    <w:p w14:paraId="6B5E26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 последующие И-5 выпускались только с двигателями М-22, а изготовленные М-15 передали в гражданскую авиацию. Ими оснастили часть пассажирских самолётов К-5. Похоже, что Алкснис был прав - в Аэрофлоте М-15 зарекомендовали себя не лучшим образом, работали они ненадёжно и частенько являлись причиной аварий (11997).</w:t>
      </w:r>
    </w:p>
    <w:p w14:paraId="15EFFD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A19C349" w14:textId="77777777" w:rsidR="000E52C6" w:rsidRPr="005E779E" w:rsidRDefault="000E52C6"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shd w:val="clear" w:color="auto" w:fill="FFFFFF"/>
        </w:rPr>
        <w:t>23 декабря 1931 Политбюро утвердило внесенное Сталиным и Гольцманом краткое предложение — пригласить итальянского конструктора Нобиле. Поначалу решили, что комиссия, образованная 16 октября — К.В. Ворошилов, А.З. Гольцман, нарком финансов Г.Ф. Гринько и замнаркома внешней торговли Ш.З. Элиава, — рассмотрит проект договора и «при единогласном мнении» можно будет «считать вопрос решенным от имени СТО». Но единодушия достичь не удалось. Против высказался Элиава. На том основании, что приглашение Нобиле приведет к осложнению отношений с Италией65. Из проекта изъяли упоминание о постройке большого дирижабля и полярной экспедиции (20467).</w:t>
      </w:r>
    </w:p>
    <w:p w14:paraId="7965AACC" w14:textId="77777777" w:rsidR="000E52C6" w:rsidRPr="005E779E" w:rsidRDefault="000E52C6" w:rsidP="000B7A6C">
      <w:pPr>
        <w:spacing w:after="0" w:line="240" w:lineRule="auto"/>
        <w:jc w:val="both"/>
        <w:rPr>
          <w:rFonts w:ascii="Times New Roman" w:hAnsi="Times New Roman"/>
          <w:color w:val="000000" w:themeColor="text1"/>
          <w:sz w:val="16"/>
          <w:szCs w:val="16"/>
        </w:rPr>
      </w:pPr>
    </w:p>
    <w:p w14:paraId="5C726FC4" w14:textId="7448214E" w:rsidR="008070AE" w:rsidRPr="00142305" w:rsidRDefault="008070AE" w:rsidP="008070AE">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23 декабря 1931 г. Политбюро ЦКВКП(б) не утвердило пункты о постройке большого дирижабля и проведении полярной экспедиции в договоре с Н</w:t>
      </w:r>
      <w:r>
        <w:rPr>
          <w:rStyle w:val="aff0"/>
          <w:rFonts w:ascii="Times New Roman" w:hAnsi="Times New Roman" w:cs="Times New Roman"/>
          <w:color w:val="0070C0"/>
          <w:spacing w:val="0"/>
          <w:sz w:val="16"/>
          <w:szCs w:val="16"/>
        </w:rPr>
        <w:t>об</w:t>
      </w:r>
      <w:r w:rsidRPr="00142305">
        <w:rPr>
          <w:rStyle w:val="aff0"/>
          <w:rFonts w:ascii="Times New Roman" w:hAnsi="Times New Roman" w:cs="Times New Roman"/>
          <w:color w:val="0070C0"/>
          <w:spacing w:val="0"/>
          <w:sz w:val="16"/>
          <w:szCs w:val="16"/>
        </w:rPr>
        <w:t>иле, приняв «усечённое» решение пригласить конструктора У. Нобиле (25653).</w:t>
      </w:r>
    </w:p>
    <w:p w14:paraId="2D368A05" w14:textId="77777777" w:rsidR="008070AE" w:rsidRPr="00142305" w:rsidRDefault="008070AE" w:rsidP="008070AE">
      <w:pPr>
        <w:spacing w:after="0" w:line="240" w:lineRule="auto"/>
        <w:jc w:val="both"/>
        <w:rPr>
          <w:rFonts w:ascii="Times New Roman" w:hAnsi="Times New Roman"/>
          <w:color w:val="0070C0"/>
          <w:sz w:val="16"/>
          <w:szCs w:val="16"/>
        </w:rPr>
      </w:pPr>
    </w:p>
    <w:p w14:paraId="32CC255B"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5CC1E607"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5A28F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декабря 1931 г. Н. Беляев, известный в нашей стране пропагандист широкой автомобилизации, на страницах газеты "Известия" с тревогой подчеркивал: "Мы считали бы величайшей ошибкой, почти преступлением, оставить под сукном готовые чертежи нужного нам автомобиля советской конструкции, над которым два года работают сотрудники НАТИ". Опытные образцы НАТИ-2 - их постройку на "Ижстальзаводе" финансировал Автодор - изготовили в пяти экземплярах: четырехместные машины с кузовом фаэтон, пикап грузоподъемностью 400 кг и двухместную модификацию с кузовом родстер. У первых двух разновидностей - шасси с базой 2730 мм. Масса НАТИ-2 составляла (в зависимости от типа кузова) 730-750 кг, а наибольшая скорость - 75 км/ч. Испытания машин показали их прекрасную проходимость и неприхотливость. Нарком тяжелого машиностроения Г. К. Орджоникидзе горячо поддерживал идею организации производства малолитражки, но И. В. Сталин занял по отношению к ней негативную позицию. В итоге вопрос о производственной базе для выпуска этих автомобилей так и остался нерешенным и на НАТИ-2 был поставлен крест (12098).</w:t>
      </w:r>
    </w:p>
    <w:p w14:paraId="1873B5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A17ABCE" w14:textId="77777777" w:rsidR="005E1AD5" w:rsidRPr="005E779E" w:rsidRDefault="005E1AD5"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23 декабря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Протокол заседания Политбюро ЦК ВКП(б) № 81. 15. Доклад Комитета резервов о состоянии принятых фондов и о дислокации непфонда и мобфонда (ПБ от 15 ноября 1931 г., пр. № 75, п. 20, из прил. п. 3 и ПБ от 1 декабря 1931 г., пр. № 78, п. 23). 22. О мобзапасе паровозов (ПБ от 16 декабря 1931 г., пр. № 80, п. 1). 35. О развертывании собственного морского судостроения в 1932/34 гг. (ПБ от 1 ноября 1931., пр. № 72, п. 10). Решения ПБ от 18 декабря 1931 г. 40/1. Проект постановления о народнохозяйственном плане СССР на 1932 г. (Политбюро... Т. 2. С. 255, 256) (12416).</w:t>
      </w:r>
    </w:p>
    <w:p w14:paraId="6926BBB9" w14:textId="77777777" w:rsidR="005E1AD5" w:rsidRPr="005E779E" w:rsidRDefault="005E1AD5" w:rsidP="000B7A6C">
      <w:pPr>
        <w:spacing w:after="0" w:line="240" w:lineRule="auto"/>
        <w:jc w:val="both"/>
        <w:rPr>
          <w:rFonts w:ascii="Times New Roman" w:hAnsi="Times New Roman"/>
          <w:color w:val="000000" w:themeColor="text1"/>
          <w:sz w:val="16"/>
          <w:szCs w:val="16"/>
          <w:u w:color="002060"/>
        </w:rPr>
      </w:pPr>
    </w:p>
    <w:p w14:paraId="0DFCA9C3" w14:textId="77777777" w:rsidR="005E1AD5" w:rsidRPr="005E779E" w:rsidRDefault="005E1AD5"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23 декабря 1931 </w:t>
      </w:r>
      <w:r w:rsidRPr="005E779E">
        <w:rPr>
          <w:rFonts w:ascii="Times New Roman" w:hAnsi="Times New Roman"/>
          <w:color w:val="000000" w:themeColor="text1"/>
          <w:sz w:val="16"/>
          <w:szCs w:val="16"/>
        </w:rPr>
        <w:t>Политбюро ЦК ВКП (б) одобрило предложение ВСНХ о строительстве завода искусственного волокна; утвердило проект постановления ЦК ВКП (б) По докладу объединения «Котлотурбина» (12265).</w:t>
      </w:r>
    </w:p>
    <w:p w14:paraId="3109537D" w14:textId="77777777" w:rsidR="005E1AD5" w:rsidRPr="005E779E" w:rsidRDefault="005E1AD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07C8EA44" w14:textId="77777777" w:rsidR="000E52C6" w:rsidRPr="005E779E" w:rsidRDefault="000E52C6" w:rsidP="000B7A6C">
      <w:pPr>
        <w:pStyle w:val="116"/>
        <w:shd w:val="clear" w:color="auto" w:fill="auto"/>
        <w:spacing w:after="0" w:line="240" w:lineRule="auto"/>
        <w:ind w:firstLine="0"/>
        <w:jc w:val="both"/>
        <w:rPr>
          <w:rFonts w:ascii="Times New Roman" w:hAnsi="Times New Roman" w:cs="Times New Roman"/>
          <w:color w:val="000000" w:themeColor="text1"/>
          <w:sz w:val="16"/>
          <w:szCs w:val="16"/>
        </w:rPr>
      </w:pPr>
      <w:r w:rsidRPr="005E779E">
        <w:rPr>
          <w:rFonts w:ascii="Times New Roman" w:hAnsi="Times New Roman" w:cs="Times New Roman"/>
          <w:color w:val="000000" w:themeColor="text1"/>
          <w:sz w:val="16"/>
          <w:szCs w:val="16"/>
        </w:rPr>
        <w:t>23 декабря 1931 г. Начальник морских сил РККА В.М. Орлов утвердил тактико-техническое задание на усовершенствованный тип субма</w:t>
      </w:r>
      <w:r w:rsidRPr="005E779E">
        <w:rPr>
          <w:rFonts w:ascii="Times New Roman" w:hAnsi="Times New Roman" w:cs="Times New Roman"/>
          <w:color w:val="000000" w:themeColor="text1"/>
          <w:sz w:val="16"/>
          <w:szCs w:val="16"/>
        </w:rPr>
        <w:softHyphen/>
        <w:t xml:space="preserve">рины, первоначально обозначавшийся как </w:t>
      </w:r>
      <w:r w:rsidRPr="005E779E">
        <w:rPr>
          <w:rFonts w:ascii="Times New Roman" w:hAnsi="Times New Roman" w:cs="Times New Roman"/>
          <w:color w:val="000000" w:themeColor="text1"/>
          <w:sz w:val="16"/>
          <w:szCs w:val="16"/>
          <w:lang w:val="en-US"/>
        </w:rPr>
        <w:t>III</w:t>
      </w:r>
      <w:r w:rsidRPr="005E779E">
        <w:rPr>
          <w:rFonts w:ascii="Times New Roman" w:hAnsi="Times New Roman" w:cs="Times New Roman"/>
          <w:color w:val="000000" w:themeColor="text1"/>
          <w:sz w:val="16"/>
          <w:szCs w:val="16"/>
        </w:rPr>
        <w:t>-бис серия, а в дальнейшем - «Щука А» (тип «Карась»). Для экономии массы корпус</w:t>
      </w:r>
      <w:r w:rsidRPr="005E779E">
        <w:rPr>
          <w:rFonts w:ascii="Times New Roman" w:hAnsi="Times New Roman" w:cs="Times New Roman"/>
          <w:color w:val="000000" w:themeColor="text1"/>
          <w:sz w:val="16"/>
          <w:szCs w:val="16"/>
        </w:rPr>
        <w:softHyphen/>
        <w:t>ных конструкций в максимально широких масштабах предлагалось применять электро</w:t>
      </w:r>
      <w:r w:rsidRPr="005E779E">
        <w:rPr>
          <w:rFonts w:ascii="Times New Roman" w:hAnsi="Times New Roman" w:cs="Times New Roman"/>
          <w:color w:val="000000" w:themeColor="text1"/>
          <w:sz w:val="16"/>
          <w:szCs w:val="16"/>
        </w:rPr>
        <w:softHyphen/>
        <w:t>сварку и легкие сплавы. Изменялась форма легкого корпуса, как с целью увеличения ско</w:t>
      </w:r>
      <w:r w:rsidRPr="005E779E">
        <w:rPr>
          <w:rFonts w:ascii="Times New Roman" w:hAnsi="Times New Roman" w:cs="Times New Roman"/>
          <w:color w:val="000000" w:themeColor="text1"/>
          <w:sz w:val="16"/>
          <w:szCs w:val="16"/>
        </w:rPr>
        <w:softHyphen/>
        <w:t>рости заполнения балластных цистерн, так и для повышения гидродинамических качеств субмарины. Усиливались переборки цент</w:t>
      </w:r>
      <w:r w:rsidRPr="005E779E">
        <w:rPr>
          <w:rFonts w:ascii="Times New Roman" w:hAnsi="Times New Roman" w:cs="Times New Roman"/>
          <w:color w:val="000000" w:themeColor="text1"/>
          <w:sz w:val="16"/>
          <w:szCs w:val="16"/>
        </w:rPr>
        <w:softHyphen/>
        <w:t>рального поста, боевая рубка расширялась для использования в качестве шлюзовой камеры. Запас воздуха высокого давления увеличивался на 20% при более равномер</w:t>
      </w:r>
      <w:r w:rsidRPr="005E779E">
        <w:rPr>
          <w:rFonts w:ascii="Times New Roman" w:hAnsi="Times New Roman" w:cs="Times New Roman"/>
          <w:color w:val="000000" w:themeColor="text1"/>
          <w:sz w:val="16"/>
          <w:szCs w:val="16"/>
        </w:rPr>
        <w:softHyphen/>
        <w:t>ном размещении резервуаров по кораблю. Подводная остойчивость улучшалась приня</w:t>
      </w:r>
      <w:r w:rsidRPr="005E779E">
        <w:rPr>
          <w:rFonts w:ascii="Times New Roman" w:hAnsi="Times New Roman" w:cs="Times New Roman"/>
          <w:color w:val="000000" w:themeColor="text1"/>
          <w:sz w:val="16"/>
          <w:szCs w:val="16"/>
        </w:rPr>
        <w:softHyphen/>
        <w:t>тием твердого балласта. За счет установки более мощных дизелей предлагалось увели</w:t>
      </w:r>
      <w:r w:rsidRPr="005E779E">
        <w:rPr>
          <w:rFonts w:ascii="Times New Roman" w:hAnsi="Times New Roman" w:cs="Times New Roman"/>
          <w:color w:val="000000" w:themeColor="text1"/>
          <w:sz w:val="16"/>
          <w:szCs w:val="16"/>
        </w:rPr>
        <w:softHyphen/>
        <w:t>чить надводную скорость до 14-15 узлов. Все эти требования следовало выполнить, не изменяя установленного водоизмещения в 570 т. Вооружение по проекту составляли четыре носовых и два кормовых торпедных аппарата, одно 75-мм орудие Канэ, установ</w:t>
      </w:r>
      <w:r w:rsidRPr="005E779E">
        <w:rPr>
          <w:rFonts w:ascii="Times New Roman" w:hAnsi="Times New Roman" w:cs="Times New Roman"/>
          <w:color w:val="000000" w:themeColor="text1"/>
          <w:sz w:val="16"/>
          <w:szCs w:val="16"/>
        </w:rPr>
        <w:softHyphen/>
        <w:t>ленное в обтекаемом поворотном щите, и 37</w:t>
      </w:r>
      <w:r w:rsidRPr="005E779E">
        <w:rPr>
          <w:rFonts w:ascii="Times New Roman" w:hAnsi="Times New Roman" w:cs="Times New Roman"/>
          <w:color w:val="000000" w:themeColor="text1"/>
          <w:sz w:val="16"/>
          <w:szCs w:val="16"/>
        </w:rPr>
        <w:softHyphen/>
        <w:t>мм зенитный автомат.</w:t>
      </w:r>
    </w:p>
    <w:p w14:paraId="41CFF9CF" w14:textId="77777777" w:rsidR="000E52C6" w:rsidRPr="005E779E" w:rsidRDefault="000E52C6" w:rsidP="000B7A6C">
      <w:pPr>
        <w:pStyle w:val="116"/>
        <w:shd w:val="clear" w:color="auto" w:fill="auto"/>
        <w:spacing w:after="0" w:line="240" w:lineRule="auto"/>
        <w:ind w:firstLine="0"/>
        <w:jc w:val="both"/>
        <w:rPr>
          <w:rFonts w:ascii="Times New Roman" w:hAnsi="Times New Roman" w:cs="Times New Roman"/>
          <w:color w:val="000000" w:themeColor="text1"/>
          <w:sz w:val="16"/>
          <w:szCs w:val="16"/>
        </w:rPr>
      </w:pPr>
      <w:r w:rsidRPr="005E779E">
        <w:rPr>
          <w:rFonts w:ascii="Times New Roman" w:hAnsi="Times New Roman" w:cs="Times New Roman"/>
          <w:color w:val="000000" w:themeColor="text1"/>
          <w:sz w:val="16"/>
          <w:szCs w:val="16"/>
        </w:rPr>
        <w:t>Таким образом, проект, первоначально предназначавшийся только для ограничен</w:t>
      </w:r>
      <w:r w:rsidRPr="005E779E">
        <w:rPr>
          <w:rFonts w:ascii="Times New Roman" w:hAnsi="Times New Roman" w:cs="Times New Roman"/>
          <w:color w:val="000000" w:themeColor="text1"/>
          <w:sz w:val="16"/>
          <w:szCs w:val="16"/>
        </w:rPr>
        <w:softHyphen/>
        <w:t>ного морского театра, стал прототипом для большой серии подлодок. Поскольку они строились на ленинградских предприятиях (Балтийском и Адмиралтейском заводах, а также Северной верфи), а сборка осуществ</w:t>
      </w:r>
      <w:r w:rsidRPr="005E779E">
        <w:rPr>
          <w:rFonts w:ascii="Times New Roman" w:hAnsi="Times New Roman" w:cs="Times New Roman"/>
          <w:color w:val="000000" w:themeColor="text1"/>
          <w:sz w:val="16"/>
          <w:szCs w:val="16"/>
        </w:rPr>
        <w:softHyphen/>
        <w:t>лялась на Дальнем Востоке (во Владивостоке и Хабаровске), проект пришлось доработать под требования перевозки по железной дороге. Основные изменения внесли во внут</w:t>
      </w:r>
      <w:r w:rsidRPr="005E779E">
        <w:rPr>
          <w:rFonts w:ascii="Times New Roman" w:hAnsi="Times New Roman" w:cs="Times New Roman"/>
          <w:color w:val="000000" w:themeColor="text1"/>
          <w:sz w:val="16"/>
          <w:szCs w:val="16"/>
        </w:rPr>
        <w:softHyphen/>
        <w:t>реннее расположение. 2-й отсек разделили переборкой на два, а носовую переборку передвинули вперед на две шпации. Таким образом улучшилась и надводная непотоп</w:t>
      </w:r>
      <w:r w:rsidRPr="005E779E">
        <w:rPr>
          <w:rFonts w:ascii="Times New Roman" w:hAnsi="Times New Roman" w:cs="Times New Roman"/>
          <w:color w:val="000000" w:themeColor="text1"/>
          <w:sz w:val="16"/>
          <w:szCs w:val="16"/>
        </w:rPr>
        <w:softHyphen/>
        <w:t>ляемость - лодка оставалась на плаву при затоплении одного отсека с прилегающими цистернами. Аккумуляторную батарею раз</w:t>
      </w:r>
      <w:r w:rsidRPr="005E779E">
        <w:rPr>
          <w:rFonts w:ascii="Times New Roman" w:hAnsi="Times New Roman" w:cs="Times New Roman"/>
          <w:color w:val="000000" w:themeColor="text1"/>
          <w:sz w:val="16"/>
          <w:szCs w:val="16"/>
        </w:rPr>
        <w:softHyphen/>
        <w:t>делили на две группы по 56 элементов. Запасные торпеды во втором отсеке из-за недостатка места хранились без зарядных отделений. Среднюю цистерну вынесли в лег</w:t>
      </w:r>
      <w:r w:rsidRPr="005E779E">
        <w:rPr>
          <w:rFonts w:ascii="Times New Roman" w:hAnsi="Times New Roman" w:cs="Times New Roman"/>
          <w:color w:val="000000" w:themeColor="text1"/>
          <w:sz w:val="16"/>
          <w:szCs w:val="16"/>
        </w:rPr>
        <w:softHyphen/>
        <w:t>кий корпус, что в сочетании с перекомпонов</w:t>
      </w:r>
      <w:r w:rsidRPr="005E779E">
        <w:rPr>
          <w:rFonts w:ascii="Times New Roman" w:hAnsi="Times New Roman" w:cs="Times New Roman"/>
          <w:color w:val="000000" w:themeColor="text1"/>
          <w:sz w:val="16"/>
          <w:szCs w:val="16"/>
        </w:rPr>
        <w:softHyphen/>
        <w:t>кой механизмов позволило разгрузить цент</w:t>
      </w:r>
      <w:r w:rsidRPr="005E779E">
        <w:rPr>
          <w:rFonts w:ascii="Times New Roman" w:hAnsi="Times New Roman" w:cs="Times New Roman"/>
          <w:color w:val="000000" w:themeColor="text1"/>
          <w:sz w:val="16"/>
          <w:szCs w:val="16"/>
        </w:rPr>
        <w:softHyphen/>
        <w:t>ральный пост. Баллер носовых горизонталь</w:t>
      </w:r>
      <w:r w:rsidRPr="005E779E">
        <w:rPr>
          <w:rFonts w:ascii="Times New Roman" w:hAnsi="Times New Roman" w:cs="Times New Roman"/>
          <w:color w:val="000000" w:themeColor="text1"/>
          <w:sz w:val="16"/>
          <w:szCs w:val="16"/>
        </w:rPr>
        <w:softHyphen/>
        <w:t>ных рулей перенесли в носовой отсек, что сильно облегчило обслуживание. Кормовую переборку 6-го отсека сместили на 61 шпан</w:t>
      </w:r>
      <w:r w:rsidRPr="005E779E">
        <w:rPr>
          <w:rFonts w:ascii="Times New Roman" w:hAnsi="Times New Roman" w:cs="Times New Roman"/>
          <w:color w:val="000000" w:themeColor="text1"/>
          <w:sz w:val="16"/>
          <w:szCs w:val="16"/>
        </w:rPr>
        <w:softHyphen/>
        <w:t>гоут для размещения камбуза. Форштевень стал наклонным, изменили и форму огражде</w:t>
      </w:r>
      <w:r w:rsidRPr="005E779E">
        <w:rPr>
          <w:rFonts w:ascii="Times New Roman" w:hAnsi="Times New Roman" w:cs="Times New Roman"/>
          <w:color w:val="000000" w:themeColor="text1"/>
          <w:sz w:val="16"/>
          <w:szCs w:val="16"/>
        </w:rPr>
        <w:softHyphen/>
        <w:t>ния рубки.</w:t>
      </w:r>
    </w:p>
    <w:p w14:paraId="62AF627F" w14:textId="77777777" w:rsidR="000E52C6" w:rsidRPr="005E779E" w:rsidRDefault="000E52C6" w:rsidP="000B7A6C">
      <w:pPr>
        <w:pStyle w:val="116"/>
        <w:shd w:val="clear" w:color="auto" w:fill="auto"/>
        <w:spacing w:after="0" w:line="240" w:lineRule="auto"/>
        <w:ind w:firstLine="0"/>
        <w:jc w:val="both"/>
        <w:rPr>
          <w:rFonts w:ascii="Times New Roman" w:hAnsi="Times New Roman" w:cs="Times New Roman"/>
          <w:color w:val="000000" w:themeColor="text1"/>
          <w:sz w:val="16"/>
          <w:szCs w:val="16"/>
        </w:rPr>
      </w:pPr>
      <w:r w:rsidRPr="005E779E">
        <w:rPr>
          <w:rFonts w:ascii="Times New Roman" w:hAnsi="Times New Roman" w:cs="Times New Roman"/>
          <w:color w:val="000000" w:themeColor="text1"/>
          <w:sz w:val="16"/>
          <w:szCs w:val="16"/>
        </w:rPr>
        <w:t>Транспортировка корпуса субмарины в виде восьми отдельных секций на железно</w:t>
      </w:r>
      <w:r w:rsidRPr="005E779E">
        <w:rPr>
          <w:rFonts w:ascii="Times New Roman" w:hAnsi="Times New Roman" w:cs="Times New Roman"/>
          <w:color w:val="000000" w:themeColor="text1"/>
          <w:sz w:val="16"/>
          <w:szCs w:val="16"/>
        </w:rPr>
        <w:softHyphen/>
      </w:r>
      <w:r w:rsidRPr="005E779E">
        <w:rPr>
          <w:rStyle w:val="86"/>
          <w:rFonts w:ascii="Times New Roman" w:hAnsi="Times New Roman" w:cs="Times New Roman"/>
          <w:color w:val="000000" w:themeColor="text1"/>
          <w:sz w:val="16"/>
          <w:szCs w:val="16"/>
        </w:rPr>
        <w:t>дорожных транспортерах, и прочих частей и</w:t>
      </w:r>
      <w:r w:rsidRPr="005E779E">
        <w:rPr>
          <w:rStyle w:val="87"/>
          <w:rFonts w:ascii="Times New Roman" w:hAnsi="Times New Roman" w:cs="Times New Roman"/>
          <w:color w:val="000000" w:themeColor="text1"/>
          <w:sz w:val="16"/>
          <w:szCs w:val="16"/>
        </w:rPr>
        <w:t xml:space="preserve"> </w:t>
      </w:r>
      <w:r w:rsidRPr="005E779E">
        <w:rPr>
          <w:rFonts w:ascii="Times New Roman" w:hAnsi="Times New Roman" w:cs="Times New Roman"/>
          <w:color w:val="000000" w:themeColor="text1"/>
          <w:sz w:val="16"/>
          <w:szCs w:val="16"/>
        </w:rPr>
        <w:t>механизмов в вагонах, занимала около меся</w:t>
      </w:r>
      <w:r w:rsidRPr="005E779E">
        <w:rPr>
          <w:rFonts w:ascii="Times New Roman" w:hAnsi="Times New Roman" w:cs="Times New Roman"/>
          <w:color w:val="000000" w:themeColor="text1"/>
          <w:sz w:val="16"/>
          <w:szCs w:val="16"/>
        </w:rPr>
        <w:softHyphen/>
        <w:t>ца. Поскольку предприятия-сборщики испы</w:t>
      </w:r>
      <w:r w:rsidRPr="005E779E">
        <w:rPr>
          <w:rFonts w:ascii="Times New Roman" w:hAnsi="Times New Roman" w:cs="Times New Roman"/>
          <w:color w:val="000000" w:themeColor="text1"/>
          <w:sz w:val="16"/>
          <w:szCs w:val="16"/>
        </w:rPr>
        <w:softHyphen/>
        <w:t>тывали острый дефицит квалифицированных кадров, с заводов европейской части страны было отправлено свыше тысячи рабочих и специалистов-инженеров. Периодически к ним присоединялись и представители кон</w:t>
      </w:r>
      <w:r w:rsidRPr="005E779E">
        <w:rPr>
          <w:rFonts w:ascii="Times New Roman" w:hAnsi="Times New Roman" w:cs="Times New Roman"/>
          <w:color w:val="000000" w:themeColor="text1"/>
          <w:sz w:val="16"/>
          <w:szCs w:val="16"/>
        </w:rPr>
        <w:softHyphen/>
        <w:t>структорского бюро. Срочность выполнения заказа оказалась столь велика, что первые дальневосточные субмарины начали прохо</w:t>
      </w:r>
      <w:r w:rsidRPr="005E779E">
        <w:rPr>
          <w:rFonts w:ascii="Times New Roman" w:hAnsi="Times New Roman" w:cs="Times New Roman"/>
          <w:color w:val="000000" w:themeColor="text1"/>
          <w:sz w:val="16"/>
          <w:szCs w:val="16"/>
        </w:rPr>
        <w:softHyphen/>
        <w:t>дить испытания даже раньше своих балтий</w:t>
      </w:r>
      <w:r w:rsidRPr="005E779E">
        <w:rPr>
          <w:rFonts w:ascii="Times New Roman" w:hAnsi="Times New Roman" w:cs="Times New Roman"/>
          <w:color w:val="000000" w:themeColor="text1"/>
          <w:sz w:val="16"/>
          <w:szCs w:val="16"/>
        </w:rPr>
        <w:softHyphen/>
        <w:t>ских прототипов.</w:t>
      </w:r>
    </w:p>
    <w:p w14:paraId="7D629C57" w14:textId="77777777" w:rsidR="000E52C6" w:rsidRPr="005E779E" w:rsidRDefault="000E52C6"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Результатом ускоренного - в течение девяти месяцев - строительства лодок стал серьезный набор дефектов. Водоизмещение оказалось 604 тонны, хотя предполагали 592. Скорость полного надводного хода составила 11,86 уз, вместо 14,5, несмотря на увеличение мощности дизелей с 500 до 685 л.с. Причи</w:t>
      </w:r>
      <w:r w:rsidRPr="005E779E">
        <w:rPr>
          <w:rFonts w:ascii="Times New Roman" w:hAnsi="Times New Roman"/>
          <w:color w:val="000000" w:themeColor="text1"/>
          <w:sz w:val="16"/>
          <w:szCs w:val="16"/>
        </w:rPr>
        <w:softHyphen/>
        <w:t>ной этого стали как ошибки в расчетах мощ</w:t>
      </w:r>
      <w:r w:rsidRPr="005E779E">
        <w:rPr>
          <w:rFonts w:ascii="Times New Roman" w:hAnsi="Times New Roman"/>
          <w:color w:val="000000" w:themeColor="text1"/>
          <w:sz w:val="16"/>
          <w:szCs w:val="16"/>
        </w:rPr>
        <w:softHyphen/>
        <w:t>ности, так и неправильно подобранные греб</w:t>
      </w:r>
      <w:r w:rsidRPr="005E779E">
        <w:rPr>
          <w:rFonts w:ascii="Times New Roman" w:hAnsi="Times New Roman"/>
          <w:color w:val="000000" w:themeColor="text1"/>
          <w:sz w:val="16"/>
          <w:szCs w:val="16"/>
        </w:rPr>
        <w:softHyphen/>
        <w:t>ные винты. Проявился и другой, свойствен</w:t>
      </w:r>
      <w:r w:rsidRPr="005E779E">
        <w:rPr>
          <w:rFonts w:ascii="Times New Roman" w:hAnsi="Times New Roman"/>
          <w:color w:val="000000" w:themeColor="text1"/>
          <w:sz w:val="16"/>
          <w:szCs w:val="16"/>
        </w:rPr>
        <w:softHyphen/>
        <w:t>ный всем «Щукам» дефект: наличие зоны опасных крутильных колебаний валов, что не позволяло использовать полную мощность дизелей. Они имели ряд конструктивных и производственных дефектов, а детали оказа</w:t>
      </w:r>
      <w:r w:rsidRPr="005E779E">
        <w:rPr>
          <w:rFonts w:ascii="Times New Roman" w:hAnsi="Times New Roman"/>
          <w:color w:val="000000" w:themeColor="text1"/>
          <w:sz w:val="16"/>
          <w:szCs w:val="16"/>
        </w:rPr>
        <w:softHyphen/>
        <w:t>лись не взаимозаменяемы. Из-за неудачной конструкции муфты для переключения с эко</w:t>
      </w:r>
      <w:r w:rsidRPr="005E779E">
        <w:rPr>
          <w:rFonts w:ascii="Times New Roman" w:hAnsi="Times New Roman"/>
          <w:color w:val="000000" w:themeColor="text1"/>
          <w:sz w:val="16"/>
          <w:szCs w:val="16"/>
        </w:rPr>
        <w:softHyphen/>
        <w:t>номического на полный подводный ход тре</w:t>
      </w:r>
      <w:r w:rsidRPr="005E779E">
        <w:rPr>
          <w:rFonts w:ascii="Times New Roman" w:hAnsi="Times New Roman"/>
          <w:color w:val="000000" w:themeColor="text1"/>
          <w:sz w:val="16"/>
          <w:szCs w:val="16"/>
        </w:rPr>
        <w:softHyphen/>
        <w:t>бовалось около 10 минут. Подводный ход также не добрал одного узла. Главные элек</w:t>
      </w:r>
      <w:r w:rsidRPr="005E779E">
        <w:rPr>
          <w:rFonts w:ascii="Times New Roman" w:hAnsi="Times New Roman"/>
          <w:color w:val="000000" w:themeColor="text1"/>
          <w:sz w:val="16"/>
          <w:szCs w:val="16"/>
        </w:rPr>
        <w:softHyphen/>
        <w:t xml:space="preserve">тродвигатели не давали полной мощности </w:t>
      </w:r>
      <w:r w:rsidRPr="005E779E">
        <w:rPr>
          <w:rStyle w:val="86"/>
          <w:rFonts w:ascii="Times New Roman" w:hAnsi="Times New Roman" w:cs="Times New Roman"/>
          <w:color w:val="000000" w:themeColor="text1"/>
          <w:sz w:val="16"/>
          <w:szCs w:val="16"/>
        </w:rPr>
        <w:t xml:space="preserve">500 л.е., да и 400 л.с. можно было развивать </w:t>
      </w:r>
      <w:r w:rsidRPr="005E779E">
        <w:rPr>
          <w:rStyle w:val="88"/>
          <w:rFonts w:ascii="Times New Roman" w:hAnsi="Times New Roman" w:cs="Times New Roman"/>
          <w:color w:val="000000" w:themeColor="text1"/>
          <w:sz w:val="16"/>
          <w:szCs w:val="16"/>
        </w:rPr>
        <w:t xml:space="preserve">только полчаса, так как температура </w:t>
      </w:r>
      <w:r w:rsidRPr="005E779E">
        <w:rPr>
          <w:rStyle w:val="88"/>
          <w:rFonts w:ascii="Times New Roman" w:hAnsi="Times New Roman" w:cs="Times New Roman"/>
          <w:color w:val="000000" w:themeColor="text1"/>
          <w:sz w:val="16"/>
          <w:szCs w:val="16"/>
          <w:u w:val="none"/>
        </w:rPr>
        <w:t>аккуму</w:t>
      </w:r>
      <w:r w:rsidRPr="005E779E">
        <w:rPr>
          <w:rStyle w:val="88"/>
          <w:rFonts w:ascii="Times New Roman" w:hAnsi="Times New Roman" w:cs="Times New Roman"/>
          <w:color w:val="000000" w:themeColor="text1"/>
          <w:sz w:val="16"/>
          <w:szCs w:val="16"/>
          <w:u w:val="none"/>
        </w:rPr>
        <w:softHyphen/>
        <w:t>ляторной батареи повышалась до 50 граду</w:t>
      </w:r>
      <w:r w:rsidRPr="005E779E">
        <w:rPr>
          <w:rStyle w:val="88"/>
          <w:rFonts w:ascii="Times New Roman" w:hAnsi="Times New Roman" w:cs="Times New Roman"/>
          <w:color w:val="000000" w:themeColor="text1"/>
          <w:sz w:val="16"/>
          <w:szCs w:val="16"/>
          <w:u w:val="none"/>
        </w:rPr>
        <w:softHyphen/>
        <w:t>сов. Батарея также перегревалась и при частых зарядках, и на полном ходу.</w:t>
      </w:r>
    </w:p>
    <w:p w14:paraId="4B14BF9F" w14:textId="77777777" w:rsidR="000E52C6" w:rsidRPr="005E779E" w:rsidRDefault="000E52C6" w:rsidP="000B7A6C">
      <w:pPr>
        <w:pStyle w:val="116"/>
        <w:shd w:val="clear" w:color="auto" w:fill="auto"/>
        <w:spacing w:after="0" w:line="240" w:lineRule="auto"/>
        <w:ind w:firstLine="0"/>
        <w:jc w:val="both"/>
        <w:rPr>
          <w:rStyle w:val="88"/>
          <w:rFonts w:ascii="Times New Roman" w:hAnsi="Times New Roman" w:cs="Times New Roman"/>
          <w:color w:val="000000" w:themeColor="text1"/>
          <w:sz w:val="16"/>
          <w:szCs w:val="16"/>
          <w:u w:val="none"/>
        </w:rPr>
      </w:pPr>
      <w:r w:rsidRPr="005E779E">
        <w:rPr>
          <w:rStyle w:val="88"/>
          <w:rFonts w:ascii="Times New Roman" w:hAnsi="Times New Roman" w:cs="Times New Roman"/>
          <w:color w:val="000000" w:themeColor="text1"/>
          <w:sz w:val="16"/>
          <w:szCs w:val="16"/>
          <w:u w:val="none"/>
        </w:rPr>
        <w:t>Недостаток пресной воды для доливки аккумуляторов ограничил автономность восемью сутками вместо 20 проектных (опреснителя на лодках не было). Цементи</w:t>
      </w:r>
      <w:r w:rsidRPr="005E779E">
        <w:rPr>
          <w:rStyle w:val="88"/>
          <w:rFonts w:ascii="Times New Roman" w:hAnsi="Times New Roman" w:cs="Times New Roman"/>
          <w:color w:val="000000" w:themeColor="text1"/>
          <w:sz w:val="16"/>
          <w:szCs w:val="16"/>
          <w:u w:val="none"/>
        </w:rPr>
        <w:softHyphen/>
        <w:t>ровка цистерн пресной воды оказалась низ</w:t>
      </w:r>
      <w:r w:rsidRPr="005E779E">
        <w:rPr>
          <w:rStyle w:val="88"/>
          <w:rFonts w:ascii="Times New Roman" w:hAnsi="Times New Roman" w:cs="Times New Roman"/>
          <w:color w:val="000000" w:themeColor="text1"/>
          <w:sz w:val="16"/>
          <w:szCs w:val="16"/>
          <w:u w:val="none"/>
        </w:rPr>
        <w:softHyphen/>
        <w:t>кого качества и отслаивалась целыми куска</w:t>
      </w:r>
      <w:r w:rsidRPr="005E779E">
        <w:rPr>
          <w:rStyle w:val="88"/>
          <w:rFonts w:ascii="Times New Roman" w:hAnsi="Times New Roman" w:cs="Times New Roman"/>
          <w:color w:val="000000" w:themeColor="text1"/>
          <w:sz w:val="16"/>
          <w:szCs w:val="16"/>
          <w:u w:val="none"/>
        </w:rPr>
        <w:softHyphen/>
        <w:t>ми. Предельная глубина погружения соста</w:t>
      </w:r>
      <w:r w:rsidRPr="005E779E">
        <w:rPr>
          <w:rStyle w:val="88"/>
          <w:rFonts w:ascii="Times New Roman" w:hAnsi="Times New Roman" w:cs="Times New Roman"/>
          <w:color w:val="000000" w:themeColor="text1"/>
          <w:sz w:val="16"/>
          <w:szCs w:val="16"/>
          <w:u w:val="none"/>
        </w:rPr>
        <w:softHyphen/>
        <w:t>вила 50 метров, при этом заклинивание носо</w:t>
      </w:r>
      <w:r w:rsidRPr="005E779E">
        <w:rPr>
          <w:rStyle w:val="88"/>
          <w:rFonts w:ascii="Times New Roman" w:hAnsi="Times New Roman" w:cs="Times New Roman"/>
          <w:color w:val="000000" w:themeColor="text1"/>
          <w:sz w:val="16"/>
          <w:szCs w:val="16"/>
          <w:u w:val="none"/>
        </w:rPr>
        <w:softHyphen/>
        <w:t>вых горизонтальных рулей начиналось с глу</w:t>
      </w:r>
      <w:r w:rsidRPr="005E779E">
        <w:rPr>
          <w:rStyle w:val="88"/>
          <w:rFonts w:ascii="Times New Roman" w:hAnsi="Times New Roman" w:cs="Times New Roman"/>
          <w:color w:val="000000" w:themeColor="text1"/>
          <w:sz w:val="16"/>
          <w:szCs w:val="16"/>
          <w:u w:val="none"/>
        </w:rPr>
        <w:softHyphen/>
        <w:t>бины 40 м, а на 60 заклинивало и кормовые (иногда картина была обратной: 45 и 30 м, соответственно). Это давало дифферент до 23 градусов. Рули заклинивало и на большом ходу. На глубине 75 м перископы вжимало давлением в дно шахт. Система воздуха высо</w:t>
      </w:r>
      <w:r w:rsidRPr="005E779E">
        <w:rPr>
          <w:rStyle w:val="88"/>
          <w:rFonts w:ascii="Times New Roman" w:hAnsi="Times New Roman" w:cs="Times New Roman"/>
          <w:color w:val="000000" w:themeColor="text1"/>
          <w:sz w:val="16"/>
          <w:szCs w:val="16"/>
          <w:u w:val="none"/>
        </w:rPr>
        <w:softHyphen/>
        <w:t>кого давления показала полную непригод</w:t>
      </w:r>
      <w:r w:rsidRPr="005E779E">
        <w:rPr>
          <w:rStyle w:val="88"/>
          <w:rFonts w:ascii="Times New Roman" w:hAnsi="Times New Roman" w:cs="Times New Roman"/>
          <w:color w:val="000000" w:themeColor="text1"/>
          <w:sz w:val="16"/>
          <w:szCs w:val="16"/>
          <w:u w:val="none"/>
        </w:rPr>
        <w:softHyphen/>
        <w:t>ность: из стальных баллонов вырывало брон</w:t>
      </w:r>
      <w:r w:rsidRPr="005E779E">
        <w:rPr>
          <w:rStyle w:val="88"/>
          <w:rFonts w:ascii="Times New Roman" w:hAnsi="Times New Roman" w:cs="Times New Roman"/>
          <w:color w:val="000000" w:themeColor="text1"/>
          <w:sz w:val="16"/>
          <w:szCs w:val="16"/>
          <w:u w:val="none"/>
        </w:rPr>
        <w:softHyphen/>
        <w:t>зовые головки, что приводило к стравлива</w:t>
      </w:r>
      <w:r w:rsidRPr="005E779E">
        <w:rPr>
          <w:rStyle w:val="88"/>
          <w:rFonts w:ascii="Times New Roman" w:hAnsi="Times New Roman" w:cs="Times New Roman"/>
          <w:color w:val="000000" w:themeColor="text1"/>
          <w:sz w:val="16"/>
          <w:szCs w:val="16"/>
          <w:u w:val="none"/>
        </w:rPr>
        <w:softHyphen/>
        <w:t>нию воздуха из целых секций, все литые соединения оказались ненадежны. Шумность механизмов была весьма высокой</w:t>
      </w:r>
      <w:r w:rsidRPr="005E779E">
        <w:rPr>
          <w:rStyle w:val="88"/>
          <w:rFonts w:ascii="Times New Roman" w:hAnsi="Times New Roman" w:cs="Times New Roman"/>
          <w:color w:val="000000" w:themeColor="text1"/>
          <w:sz w:val="16"/>
          <w:szCs w:val="16"/>
          <w:u w:val="none"/>
          <w:lang w:val="ru-RU"/>
        </w:rPr>
        <w:t xml:space="preserve"> (19891)</w:t>
      </w:r>
      <w:r w:rsidRPr="005E779E">
        <w:rPr>
          <w:rStyle w:val="88"/>
          <w:rFonts w:ascii="Times New Roman" w:hAnsi="Times New Roman" w:cs="Times New Roman"/>
          <w:color w:val="000000" w:themeColor="text1"/>
          <w:sz w:val="16"/>
          <w:szCs w:val="16"/>
          <w:u w:val="none"/>
        </w:rPr>
        <w:t>.</w:t>
      </w:r>
    </w:p>
    <w:p w14:paraId="76082714" w14:textId="77777777" w:rsidR="000E52C6" w:rsidRPr="005E779E" w:rsidRDefault="000E52C6" w:rsidP="000B7A6C">
      <w:pPr>
        <w:pStyle w:val="116"/>
        <w:shd w:val="clear" w:color="auto" w:fill="auto"/>
        <w:spacing w:after="0" w:line="240" w:lineRule="auto"/>
        <w:ind w:firstLine="0"/>
        <w:jc w:val="both"/>
        <w:rPr>
          <w:rFonts w:ascii="Times New Roman" w:hAnsi="Times New Roman" w:cs="Times New Roman"/>
          <w:color w:val="000000" w:themeColor="text1"/>
          <w:sz w:val="16"/>
          <w:szCs w:val="16"/>
        </w:rPr>
      </w:pPr>
    </w:p>
    <w:p w14:paraId="4DD4BE59" w14:textId="77777777" w:rsidR="00037DC4"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Внешняя политика:</w:t>
      </w:r>
    </w:p>
    <w:p w14:paraId="7597314C" w14:textId="77777777" w:rsidR="00037DC4" w:rsidRPr="005E779E" w:rsidRDefault="00037DC4"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44B3010" w14:textId="77777777" w:rsidR="00037DC4" w:rsidRPr="005E779E" w:rsidRDefault="00037DC4" w:rsidP="000B7A6C">
      <w:pPr>
        <w:tabs>
          <w:tab w:val="left" w:pos="550"/>
        </w:tabs>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декабря 1931 самолёты благо</w:t>
      </w:r>
      <w:r w:rsidRPr="005E779E">
        <w:rPr>
          <w:rFonts w:ascii="Times New Roman" w:hAnsi="Times New Roman"/>
          <w:color w:val="000000" w:themeColor="text1"/>
          <w:sz w:val="16"/>
          <w:szCs w:val="16"/>
        </w:rPr>
        <w:softHyphen/>
        <w:t>получно перелетели на китайскую территорию в Чугучак. Напоследок Берестецкий про</w:t>
      </w:r>
      <w:r w:rsidRPr="005E779E">
        <w:rPr>
          <w:rFonts w:ascii="Times New Roman" w:hAnsi="Times New Roman"/>
          <w:color w:val="000000" w:themeColor="text1"/>
          <w:sz w:val="16"/>
          <w:szCs w:val="16"/>
        </w:rPr>
        <w:softHyphen/>
        <w:t xml:space="preserve">инструктировал Волынченко, как с наилучшей стороны показать китайцам качества нашей материальной части и лётных качеств экипажей. После посадки Волынченко с Саранчуном второй Р-1 </w:t>
      </w:r>
      <w:r w:rsidRPr="005E779E">
        <w:rPr>
          <w:rFonts w:ascii="Times New Roman" w:hAnsi="Times New Roman"/>
          <w:color w:val="000000" w:themeColor="text1"/>
          <w:sz w:val="16"/>
          <w:szCs w:val="16"/>
          <w:lang w:val="en-US"/>
        </w:rPr>
        <w:t>A</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M</w:t>
      </w:r>
      <w:r w:rsidRPr="005E779E">
        <w:rPr>
          <w:rFonts w:ascii="Times New Roman" w:hAnsi="Times New Roman"/>
          <w:color w:val="000000" w:themeColor="text1"/>
          <w:sz w:val="16"/>
          <w:szCs w:val="16"/>
        </w:rPr>
        <w:t>. Назарова и Н.И. Чекапова «набрал высоту и сделал ряд фи</w:t>
      </w:r>
      <w:r w:rsidRPr="005E779E">
        <w:rPr>
          <w:rFonts w:ascii="Times New Roman" w:hAnsi="Times New Roman"/>
          <w:color w:val="000000" w:themeColor="text1"/>
          <w:sz w:val="16"/>
          <w:szCs w:val="16"/>
        </w:rPr>
        <w:softHyphen/>
        <w:t>гур, что произвело потрясающее впечатление на губернатора, Саранчуна и всех при</w:t>
      </w:r>
      <w:r w:rsidRPr="005E779E">
        <w:rPr>
          <w:rFonts w:ascii="Times New Roman" w:hAnsi="Times New Roman"/>
          <w:color w:val="000000" w:themeColor="text1"/>
          <w:sz w:val="16"/>
          <w:szCs w:val="16"/>
        </w:rPr>
        <w:softHyphen/>
        <w:t>сутствовавших на аэродроме. На аэродроме народу было много, и в том числе и белогвардейцы. Последние обрадовались, когда Назаров с выключенным мотором сде</w:t>
      </w:r>
      <w:r w:rsidRPr="005E779E">
        <w:rPr>
          <w:rFonts w:ascii="Times New Roman" w:hAnsi="Times New Roman"/>
          <w:color w:val="000000" w:themeColor="text1"/>
          <w:sz w:val="16"/>
          <w:szCs w:val="16"/>
        </w:rPr>
        <w:softHyphen/>
        <w:t>лал какую-то фигуру и белогвардейцы подумали, что самолёт падает, но к их разочаро</w:t>
      </w:r>
      <w:r w:rsidRPr="005E779E">
        <w:rPr>
          <w:rFonts w:ascii="Times New Roman" w:hAnsi="Times New Roman"/>
          <w:color w:val="000000" w:themeColor="text1"/>
          <w:sz w:val="16"/>
          <w:szCs w:val="16"/>
        </w:rPr>
        <w:softHyphen/>
        <w:t>ванию Назаров снова включил мотор и набрав высоту, продолжил полёт». Из Китая также донесли, что «в тот же вечер белогвардейцы пожаловались находившемуся проездом в Чугучаке представителю французской фирмы «Ситроен» на то, что «китайцы за их счёт сговариваются с большевиками». Губернатора демонстрационный полёт настолько по</w:t>
      </w:r>
      <w:r w:rsidRPr="005E779E">
        <w:rPr>
          <w:rFonts w:ascii="Times New Roman" w:hAnsi="Times New Roman"/>
          <w:color w:val="000000" w:themeColor="text1"/>
          <w:sz w:val="16"/>
          <w:szCs w:val="16"/>
        </w:rPr>
        <w:softHyphen/>
        <w:t>тряс, что он кричал на весь аэродром: «Вот это самолёт!.. Вот это лётчики!..» (15802).</w:t>
      </w:r>
    </w:p>
    <w:p w14:paraId="137FAE9B" w14:textId="77777777" w:rsidR="00037DC4" w:rsidRPr="005E779E" w:rsidRDefault="00037DC4" w:rsidP="000B7A6C">
      <w:pPr>
        <w:tabs>
          <w:tab w:val="left" w:pos="550"/>
        </w:tabs>
        <w:spacing w:after="0" w:line="240" w:lineRule="auto"/>
        <w:jc w:val="both"/>
        <w:rPr>
          <w:rFonts w:ascii="Times New Roman" w:hAnsi="Times New Roman"/>
          <w:color w:val="000000" w:themeColor="text1"/>
          <w:sz w:val="16"/>
          <w:szCs w:val="16"/>
        </w:rPr>
      </w:pPr>
    </w:p>
    <w:p w14:paraId="245A2D27" w14:textId="77777777" w:rsidR="00037DC4" w:rsidRPr="005E779E" w:rsidRDefault="00037DC4" w:rsidP="000B7A6C">
      <w:pPr>
        <w:tabs>
          <w:tab w:val="left" w:pos="531"/>
        </w:tabs>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 декабря 1931 оба самолёта прилетели в Урумчи, при этом в воздухе на Р-1 Волынченко произошла поломка, не помешавшая благополучно приземлиться. Тем не менее в Мос</w:t>
      </w:r>
      <w:r w:rsidRPr="005E779E">
        <w:rPr>
          <w:rFonts w:ascii="Times New Roman" w:hAnsi="Times New Roman"/>
          <w:color w:val="000000" w:themeColor="text1"/>
          <w:sz w:val="16"/>
          <w:szCs w:val="16"/>
        </w:rPr>
        <w:softHyphen/>
        <w:t>кве «на самом верху», куда отрывочная информация о перелёте доходила со значитель</w:t>
      </w:r>
      <w:r w:rsidRPr="005E779E">
        <w:rPr>
          <w:rFonts w:ascii="Times New Roman" w:hAnsi="Times New Roman"/>
          <w:color w:val="000000" w:themeColor="text1"/>
          <w:sz w:val="16"/>
          <w:szCs w:val="16"/>
        </w:rPr>
        <w:softHyphen/>
        <w:t>ными задержками, она вызвала огромный резонанс, в полном соответствии с китайской пословицей: «Добрая слава на месте лежит, худая слава далеко бежит». Одни лишь слу</w:t>
      </w:r>
      <w:r w:rsidRPr="005E779E">
        <w:rPr>
          <w:rFonts w:ascii="Times New Roman" w:hAnsi="Times New Roman"/>
          <w:color w:val="000000" w:themeColor="text1"/>
          <w:sz w:val="16"/>
          <w:szCs w:val="16"/>
        </w:rPr>
        <w:softHyphen/>
        <w:t>хи инициировали в первые дни 1932 г. «крутую разборку» на межведомственном уровне из-за возможных «дип</w:t>
      </w:r>
      <w:r w:rsidRPr="005E779E">
        <w:rPr>
          <w:rFonts w:ascii="Times New Roman" w:hAnsi="Times New Roman"/>
          <w:color w:val="000000" w:themeColor="text1"/>
          <w:sz w:val="16"/>
          <w:szCs w:val="16"/>
        </w:rPr>
        <w:softHyphen/>
        <w:t>ломатических осложне</w:t>
      </w:r>
      <w:r w:rsidRPr="005E779E">
        <w:rPr>
          <w:rFonts w:ascii="Times New Roman" w:hAnsi="Times New Roman"/>
          <w:color w:val="000000" w:themeColor="text1"/>
          <w:sz w:val="16"/>
          <w:szCs w:val="16"/>
        </w:rPr>
        <w:softHyphen/>
        <w:t>ний».</w:t>
      </w:r>
    </w:p>
    <w:p w14:paraId="3282F787" w14:textId="77777777" w:rsidR="00037DC4" w:rsidRPr="005E779E" w:rsidRDefault="00037DC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Позже Волынченко до</w:t>
      </w:r>
      <w:r w:rsidRPr="005E779E">
        <w:rPr>
          <w:rFonts w:ascii="Times New Roman" w:hAnsi="Times New Roman"/>
          <w:color w:val="000000" w:themeColor="text1"/>
          <w:sz w:val="16"/>
          <w:szCs w:val="16"/>
        </w:rPr>
        <w:softHyphen/>
        <w:t>ложил: «Не долетая до Урумчи километров 60, на самолёте... лопнула несущая задняя лента второго пролета левой полукоробки в нижней части у основания резь</w:t>
      </w:r>
      <w:r w:rsidRPr="005E779E">
        <w:rPr>
          <w:rFonts w:ascii="Times New Roman" w:hAnsi="Times New Roman"/>
          <w:color w:val="000000" w:themeColor="text1"/>
          <w:sz w:val="16"/>
          <w:szCs w:val="16"/>
        </w:rPr>
        <w:softHyphen/>
        <w:t>бы. Зная о том, что этих лент в запчастях, шед</w:t>
      </w:r>
      <w:r w:rsidRPr="005E779E">
        <w:rPr>
          <w:rFonts w:ascii="Times New Roman" w:hAnsi="Times New Roman"/>
          <w:color w:val="000000" w:themeColor="text1"/>
          <w:sz w:val="16"/>
          <w:szCs w:val="16"/>
        </w:rPr>
        <w:softHyphen/>
        <w:t xml:space="preserve">ших с самолётами, не было, Генконсульством, после моего доклада о происшествии, была тут же </w:t>
      </w:r>
      <w:r w:rsidRPr="005E779E">
        <w:rPr>
          <w:rFonts w:ascii="Times New Roman" w:hAnsi="Times New Roman"/>
          <w:color w:val="000000" w:themeColor="text1"/>
          <w:sz w:val="16"/>
          <w:szCs w:val="16"/>
        </w:rPr>
        <w:lastRenderedPageBreak/>
        <w:t>послана телеграмма в Москву о присылке но</w:t>
      </w:r>
      <w:r w:rsidRPr="005E779E">
        <w:rPr>
          <w:rFonts w:ascii="Times New Roman" w:hAnsi="Times New Roman"/>
          <w:color w:val="000000" w:themeColor="text1"/>
          <w:sz w:val="16"/>
          <w:szCs w:val="16"/>
        </w:rPr>
        <w:softHyphen/>
        <w:t>вой ленты». Телеграмма с требованием срочной доставки пресловутой ленты из Новосибирска со специальным на</w:t>
      </w:r>
      <w:r w:rsidRPr="005E779E">
        <w:rPr>
          <w:rFonts w:ascii="Times New Roman" w:hAnsi="Times New Roman"/>
          <w:color w:val="000000" w:themeColor="text1"/>
          <w:sz w:val="16"/>
          <w:szCs w:val="16"/>
        </w:rPr>
        <w:softHyphen/>
        <w:t>рочным в Москве поставила высокопоставленных чиновников буквально «на уши» (15802).</w:t>
      </w:r>
    </w:p>
    <w:p w14:paraId="655EBF05" w14:textId="77777777" w:rsidR="00037DC4" w:rsidRPr="005E779E" w:rsidRDefault="00037DC4" w:rsidP="000B7A6C">
      <w:pPr>
        <w:spacing w:after="0" w:line="240" w:lineRule="auto"/>
        <w:jc w:val="both"/>
        <w:rPr>
          <w:rFonts w:ascii="Times New Roman" w:hAnsi="Times New Roman"/>
          <w:color w:val="000000" w:themeColor="text1"/>
          <w:sz w:val="16"/>
          <w:szCs w:val="16"/>
        </w:rPr>
      </w:pPr>
    </w:p>
    <w:p w14:paraId="7ED31FDE" w14:textId="77777777" w:rsidR="00037DC4"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047A8DED" w14:textId="77777777" w:rsidR="00037DC4" w:rsidRPr="005E779E" w:rsidRDefault="00037DC4"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CA35D64" w14:textId="77777777" w:rsidR="00037DC4" w:rsidRPr="005E779E" w:rsidRDefault="00037DC4" w:rsidP="000B7A6C">
      <w:pPr>
        <w:spacing w:after="0" w:line="240" w:lineRule="auto"/>
        <w:jc w:val="both"/>
        <w:rPr>
          <w:rStyle w:val="ucoz-forum-post"/>
          <w:rFonts w:ascii="Times New Roman" w:hAnsi="Times New Roman"/>
          <w:color w:val="000000" w:themeColor="text1"/>
          <w:sz w:val="16"/>
          <w:szCs w:val="16"/>
        </w:rPr>
      </w:pPr>
      <w:r w:rsidRPr="005E779E">
        <w:rPr>
          <w:rStyle w:val="ucoz-forum-post"/>
          <w:rFonts w:ascii="Times New Roman" w:hAnsi="Times New Roman"/>
          <w:bCs/>
          <w:color w:val="000000" w:themeColor="text1"/>
          <w:sz w:val="16"/>
          <w:szCs w:val="16"/>
        </w:rPr>
        <w:t>23 декабря 1931 года</w:t>
      </w:r>
      <w:r w:rsidRPr="005E779E">
        <w:rPr>
          <w:rStyle w:val="ucoz-forum-post"/>
          <w:rFonts w:ascii="Times New Roman" w:hAnsi="Times New Roman"/>
          <w:color w:val="000000" w:themeColor="text1"/>
          <w:sz w:val="16"/>
          <w:szCs w:val="16"/>
        </w:rPr>
        <w:t xml:space="preserve"> Состоялся первый полет прототипа GL-831 HY, и после испытаний был получен заказ на 22 самолета GL-832 HY, оснащенных звездообразными двигателями Испано-Сюиза 9Qb мощностью 171 кВт (230 л.с.) вместо чуть более мощного двигателя 9Wa опытного образца. GL-832 HY представлял собой низкоплан металлической конструкции с полотняной обшивкой, имел очень большое крыло, а также повышенную прочность конструкции для взлета с катапульты. Крылья на время хранения могли складываться (14869).</w:t>
      </w:r>
    </w:p>
    <w:p w14:paraId="5242AA2E" w14:textId="77777777" w:rsidR="00037DC4" w:rsidRPr="005E779E" w:rsidRDefault="00037DC4" w:rsidP="000B7A6C">
      <w:pPr>
        <w:spacing w:after="0" w:line="240" w:lineRule="auto"/>
        <w:jc w:val="both"/>
        <w:rPr>
          <w:rStyle w:val="ucoz-forum-post"/>
          <w:rFonts w:ascii="Times New Roman" w:hAnsi="Times New Roman"/>
          <w:color w:val="000000" w:themeColor="text1"/>
          <w:sz w:val="16"/>
          <w:szCs w:val="16"/>
        </w:rPr>
      </w:pPr>
    </w:p>
    <w:p w14:paraId="69B39046" w14:textId="77777777" w:rsidR="008070AE" w:rsidRPr="005E779E" w:rsidRDefault="008070AE" w:rsidP="008070AE">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28B2B1AF" w14:textId="77777777" w:rsidR="008070AE" w:rsidRPr="005E779E" w:rsidRDefault="008070AE" w:rsidP="008070AE">
      <w:pPr>
        <w:autoSpaceDE w:val="0"/>
        <w:autoSpaceDN w:val="0"/>
        <w:adjustRightInd w:val="0"/>
        <w:spacing w:after="0" w:line="240" w:lineRule="auto"/>
        <w:jc w:val="both"/>
        <w:rPr>
          <w:rFonts w:ascii="Times New Roman" w:hAnsi="Times New Roman"/>
          <w:iCs/>
          <w:color w:val="000000" w:themeColor="text1"/>
          <w:sz w:val="16"/>
          <w:szCs w:val="16"/>
        </w:rPr>
      </w:pPr>
    </w:p>
    <w:p w14:paraId="02EE851B" w14:textId="77777777" w:rsidR="008070AE" w:rsidRPr="00142305" w:rsidRDefault="008070AE" w:rsidP="008070A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24 декабря 1931, ровно за неделю до нового, 1932 года и ровно за два месяца до реорганизации Всесоюзного Объединения ГВФ у начальника ВАО состоялось совещание, на котором присутствовали П. И. Баранов, Н. М. Харламов, А. Н. Туполев, С. В. Ильюшин, Д. П. Григорович, А. В. Костин, Е. С. Пауфлер и др. Основным докладчиком по плану опытного самолетостроения выступил С. В. Ильюшин.</w:t>
      </w:r>
    </w:p>
    <w:p w14:paraId="13750F8A" w14:textId="77777777" w:rsidR="008070AE" w:rsidRPr="00142305" w:rsidRDefault="008070AE" w:rsidP="008070A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Выполняя решение совещания о замене пассажирского самолета К-5 более новой машиной, С. В. Ильюшин и Н. Н. Поликарпов направили в НКАП проект пятиместного ЦКБ-6, первые наброски которого выполнил еще сам Н. Н. Поликарпов (25424).</w:t>
      </w:r>
    </w:p>
    <w:p w14:paraId="0CE1D37E" w14:textId="77777777" w:rsidR="008070AE" w:rsidRPr="00142305" w:rsidRDefault="008070AE" w:rsidP="008070AE">
      <w:pPr>
        <w:spacing w:after="0" w:line="240" w:lineRule="auto"/>
        <w:jc w:val="both"/>
        <w:rPr>
          <w:rFonts w:ascii="Times New Roman" w:hAnsi="Times New Roman"/>
          <w:color w:val="0070C0"/>
          <w:sz w:val="16"/>
          <w:szCs w:val="16"/>
        </w:rPr>
      </w:pPr>
    </w:p>
    <w:p w14:paraId="6287936E" w14:textId="77777777" w:rsidR="00037DC4"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Внешняя политика:</w:t>
      </w:r>
    </w:p>
    <w:p w14:paraId="062FD24F" w14:textId="77777777" w:rsidR="00037DC4" w:rsidRPr="005E779E" w:rsidRDefault="00037DC4"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3A3D106" w14:textId="77777777" w:rsidR="00037DC4" w:rsidRPr="005E779E" w:rsidRDefault="00037DC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24-го декабря 1931 состоялся последний перелёт из Чугучака в Урумчи. Даже по меркам 1931 г. зимний перелёт в условиях среднегорья, при постоянных ту</w:t>
      </w:r>
      <w:r w:rsidRPr="005E779E">
        <w:rPr>
          <w:rFonts w:ascii="Times New Roman" w:hAnsi="Times New Roman"/>
          <w:color w:val="000000" w:themeColor="text1"/>
          <w:sz w:val="16"/>
          <w:szCs w:val="16"/>
        </w:rPr>
        <w:softHyphen/>
        <w:t>манах и метелях, стал крупным достижением, хотя и не описан ни в истории отечест</w:t>
      </w:r>
      <w:r w:rsidRPr="005E779E">
        <w:rPr>
          <w:rFonts w:ascii="Times New Roman" w:hAnsi="Times New Roman"/>
          <w:color w:val="000000" w:themeColor="text1"/>
          <w:sz w:val="16"/>
          <w:szCs w:val="16"/>
        </w:rPr>
        <w:softHyphen/>
        <w:t xml:space="preserve">венной, ни в китайской авиации. Между тем экипажи А.С. Волынченко и </w:t>
      </w:r>
      <w:r w:rsidRPr="005E779E">
        <w:rPr>
          <w:rFonts w:ascii="Times New Roman" w:hAnsi="Times New Roman"/>
          <w:color w:val="000000" w:themeColor="text1"/>
          <w:sz w:val="16"/>
          <w:szCs w:val="16"/>
          <w:lang w:val="en-US"/>
        </w:rPr>
        <w:t>A</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M</w:t>
      </w:r>
      <w:r w:rsidRPr="005E779E">
        <w:rPr>
          <w:rFonts w:ascii="Times New Roman" w:hAnsi="Times New Roman"/>
          <w:color w:val="000000" w:themeColor="text1"/>
          <w:sz w:val="16"/>
          <w:szCs w:val="16"/>
        </w:rPr>
        <w:t>. Назарова первыми начали прокладку трассы будущего воздушного моста СССР — Китай, по ко</w:t>
      </w:r>
      <w:r w:rsidRPr="005E779E">
        <w:rPr>
          <w:rFonts w:ascii="Times New Roman" w:hAnsi="Times New Roman"/>
          <w:color w:val="000000" w:themeColor="text1"/>
          <w:sz w:val="16"/>
          <w:szCs w:val="16"/>
        </w:rPr>
        <w:softHyphen/>
        <w:t>торому ровно через шесть лет, зимой 1937/38 гг., осуществлялась перегонка по воз</w:t>
      </w:r>
      <w:r w:rsidRPr="005E779E">
        <w:rPr>
          <w:rFonts w:ascii="Times New Roman" w:hAnsi="Times New Roman"/>
          <w:color w:val="000000" w:themeColor="text1"/>
          <w:sz w:val="16"/>
          <w:szCs w:val="16"/>
        </w:rPr>
        <w:softHyphen/>
        <w:t>духу нескольких сотен боевых самолётов (15802).</w:t>
      </w:r>
    </w:p>
    <w:p w14:paraId="6E96D973" w14:textId="77777777" w:rsidR="00037DC4" w:rsidRPr="005E779E" w:rsidRDefault="00037DC4" w:rsidP="000B7A6C">
      <w:pPr>
        <w:spacing w:after="0" w:line="240" w:lineRule="auto"/>
        <w:jc w:val="both"/>
        <w:rPr>
          <w:rFonts w:ascii="Times New Roman" w:hAnsi="Times New Roman"/>
          <w:color w:val="000000" w:themeColor="text1"/>
          <w:sz w:val="16"/>
          <w:szCs w:val="16"/>
        </w:rPr>
      </w:pPr>
    </w:p>
    <w:p w14:paraId="2C20FDCD"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08B5600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1322CCF"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 декабря 1931 во Франции объявлено о скором создании суперсамолета для боев в слоях стратосферы (4962).</w:t>
      </w:r>
    </w:p>
    <w:p w14:paraId="6CEDDE7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7D1A5A"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6668F0B2"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2E6BC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C 25 декабря (формально с 15 ноября) 1931 по 17 февраля 1932 проходили испытания самолета Р-5 N 4629 (эталон на 1932 год) с мотором М-17 Е=6 N 26494 с испытанием на штопор при разных центровках.</w:t>
      </w:r>
    </w:p>
    <w:p w14:paraId="48CEBA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Отв. исполнители:</w:t>
      </w:r>
    </w:p>
    <w:p w14:paraId="3DDD84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инженер ведущий самолет Жемчужин</w:t>
      </w:r>
    </w:p>
    <w:p w14:paraId="763E63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летчик Байдуков</w:t>
      </w:r>
    </w:p>
    <w:p w14:paraId="527D25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Цель испытания:</w:t>
      </w:r>
    </w:p>
    <w:p w14:paraId="260383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Выявление полной боеспособности самолета и возможности использования его в виде образца (эталона) для серийной постройки самолетов в 1932 году.</w:t>
      </w:r>
    </w:p>
    <w:p w14:paraId="6FD496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Определение летных данных самолета Р5-М17 с новыми вариантами нагрузки установленными 1-м управлением УВВС совместно с НИИ (3064).</w:t>
      </w:r>
    </w:p>
    <w:p w14:paraId="499CB5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BD9EC78" w14:textId="77777777" w:rsidR="003F3047" w:rsidRPr="005E779E" w:rsidRDefault="003F304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декабря 1931, ровно за неделю до нового, 1932 года и ровно за два месяца до реорганизации Всесоюзного Объединения ГВФ у начальника ВАО состоялось совещание, на котором присутствовали П. И. Баранов, Н. М. Харламов, А. Н. Туполев, С. В. Ильюшин, Д. П. Григорович, А. В. Костин, Е. С. Пауфлер и др. Основным докладчиком по плану опытного самолетостроения выступил С. В. Ильюшин. Выполняя решение совещания о замене пассажирского самолета К-5 более новой машиной, С. В. Ильюшин и Н. Н. Поликарпов направили в НКАП проект пятиместного ЦКБ-6, первые наброски которого выполнил еще сам Н. Н. Поликарпов (15535).</w:t>
      </w:r>
    </w:p>
    <w:p w14:paraId="1251750A" w14:textId="77777777" w:rsidR="003F3047" w:rsidRPr="005E779E" w:rsidRDefault="003F3047" w:rsidP="000B7A6C">
      <w:pPr>
        <w:spacing w:after="0" w:line="240" w:lineRule="auto"/>
        <w:jc w:val="both"/>
        <w:rPr>
          <w:rFonts w:ascii="Times New Roman" w:hAnsi="Times New Roman"/>
          <w:color w:val="000000" w:themeColor="text1"/>
          <w:sz w:val="16"/>
          <w:szCs w:val="16"/>
        </w:rPr>
      </w:pPr>
    </w:p>
    <w:p w14:paraId="5A03B202" w14:textId="77777777" w:rsidR="0075269A" w:rsidRPr="005E779E" w:rsidRDefault="0075269A" w:rsidP="000B7A6C">
      <w:pPr>
        <w:pStyle w:val="ae"/>
        <w:shd w:val="clear" w:color="auto" w:fill="FFFFFF"/>
        <w:spacing w:before="0" w:after="0"/>
        <w:jc w:val="both"/>
        <w:rPr>
          <w:color w:val="000000" w:themeColor="text1"/>
          <w:sz w:val="16"/>
          <w:szCs w:val="16"/>
        </w:rPr>
      </w:pPr>
      <w:r w:rsidRPr="005E779E">
        <w:rPr>
          <w:color w:val="000000" w:themeColor="text1"/>
          <w:sz w:val="16"/>
          <w:szCs w:val="16"/>
        </w:rPr>
        <w:t>25 декабря 1931, ровно за неделю до нового, 1932 года и ровно за два месяца до реорганизации Всесоюзного Объединения ГВФ у начальника ВАО состоялось совещание, на котором присутствовали П. И. Баранов, Н. М. Харламов, А. Н. Туполев, С. В. Ильюшин, Д. П. Григорович, А. В. Костин, Е. С. Пауфлер и др. Основным докладчиком по плану опытного самолетостроения выступил С. В. Ильюшин.</w:t>
      </w:r>
    </w:p>
    <w:p w14:paraId="5AD0EB77" w14:textId="77777777" w:rsidR="0075269A" w:rsidRPr="005E779E" w:rsidRDefault="0075269A" w:rsidP="000B7A6C">
      <w:pPr>
        <w:pStyle w:val="ae"/>
        <w:shd w:val="clear" w:color="auto" w:fill="FFFFFF"/>
        <w:spacing w:before="0" w:after="0"/>
        <w:jc w:val="both"/>
        <w:rPr>
          <w:color w:val="000000" w:themeColor="text1"/>
          <w:sz w:val="16"/>
          <w:szCs w:val="16"/>
        </w:rPr>
      </w:pPr>
      <w:r w:rsidRPr="005E779E">
        <w:rPr>
          <w:color w:val="000000" w:themeColor="text1"/>
          <w:sz w:val="16"/>
          <w:szCs w:val="16"/>
        </w:rPr>
        <w:t>Выполняя решение совещания о замене пассажирского самолета К-5 более новой машиной, С. В. Ильюшин и Н. Н. Поликарпов направили в НКАП проект пятиместного ЦКБ-6, первые наброски которого выполнил еще сам Н. Н. Поликарпов.</w:t>
      </w:r>
    </w:p>
    <w:p w14:paraId="1BE60DEC" w14:textId="77777777" w:rsidR="0075269A" w:rsidRPr="005E779E" w:rsidRDefault="0075269A" w:rsidP="000B7A6C">
      <w:pPr>
        <w:pStyle w:val="ae"/>
        <w:shd w:val="clear" w:color="auto" w:fill="FFFFFF"/>
        <w:spacing w:before="0" w:after="0"/>
        <w:jc w:val="both"/>
        <w:rPr>
          <w:color w:val="000000" w:themeColor="text1"/>
          <w:sz w:val="16"/>
          <w:szCs w:val="16"/>
        </w:rPr>
      </w:pPr>
      <w:r w:rsidRPr="005E779E">
        <w:rPr>
          <w:color w:val="000000" w:themeColor="text1"/>
          <w:sz w:val="16"/>
          <w:szCs w:val="16"/>
        </w:rPr>
        <w:t>10 мая 1933 года ГУАП направило, наконец, в ЦКБ сформулированные Технические требования на самолет местной авиации с мотором в 300 л. с.</w:t>
      </w:r>
    </w:p>
    <w:p w14:paraId="63B0DA78" w14:textId="77777777" w:rsidR="0075269A" w:rsidRPr="005E779E" w:rsidRDefault="0075269A" w:rsidP="000B7A6C">
      <w:pPr>
        <w:pStyle w:val="ae"/>
        <w:shd w:val="clear" w:color="auto" w:fill="FFFFFF"/>
        <w:spacing w:before="0" w:after="0"/>
        <w:jc w:val="both"/>
        <w:rPr>
          <w:color w:val="000000" w:themeColor="text1"/>
          <w:sz w:val="16"/>
          <w:szCs w:val="16"/>
        </w:rPr>
      </w:pPr>
      <w:r w:rsidRPr="005E779E">
        <w:rPr>
          <w:color w:val="000000" w:themeColor="text1"/>
          <w:sz w:val="16"/>
          <w:szCs w:val="16"/>
        </w:rPr>
        <w:t>Хотя после совещания в ВАО и прошло почти пять месяцев, технические требования оказались недоработанными, и Ильюшин с Поликарповым незамедлительно направили свои замечания:</w:t>
      </w:r>
    </w:p>
    <w:p w14:paraId="12BA0F3A" w14:textId="77777777" w:rsidR="0075269A" w:rsidRPr="005E779E" w:rsidRDefault="0075269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Замечания к техническим требованиям на самолет местной авиации под мотор 300 НР.</w:t>
      </w:r>
    </w:p>
    <w:p w14:paraId="06E6F18D" w14:textId="77777777" w:rsidR="0075269A" w:rsidRPr="005E779E" w:rsidRDefault="0075269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(Отношение ГУАП от 10 мая 1933 года)</w:t>
      </w:r>
    </w:p>
    <w:p w14:paraId="64CD5AA7" w14:textId="77777777" w:rsidR="0075269A" w:rsidRPr="005E779E" w:rsidRDefault="0075269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 N АП 80/229</w:t>
      </w:r>
    </w:p>
    <w:p w14:paraId="351BADDB" w14:textId="77777777" w:rsidR="0075269A" w:rsidRPr="005E779E" w:rsidRDefault="0075269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 2 раздела первого:-</w:t>
      </w:r>
    </w:p>
    <w:p w14:paraId="01E987B3" w14:textId="77777777" w:rsidR="0075269A" w:rsidRPr="005E779E" w:rsidRDefault="0075269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Мы понимаем выражение "самолет местной авиации", как самолет местных воздушных сообщений, работающий главным образом по обслуживанию местных линий от крупного центра к областным и районым центрам.</w:t>
      </w:r>
    </w:p>
    <w:p w14:paraId="77078908" w14:textId="77777777" w:rsidR="0075269A" w:rsidRPr="005E779E" w:rsidRDefault="0075269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Мы не предлагаем делать складных крыльев, ввиду утяжеления таковых и усложнения конструкции, особенно принимая во внимание то, что самолет ЦКБ-6 будет иметь опускающиеся элероны с жестким и сложным управлением.</w:t>
      </w:r>
    </w:p>
    <w:p w14:paraId="77210226" w14:textId="77777777" w:rsidR="0075269A" w:rsidRPr="005E779E" w:rsidRDefault="0075269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 1. Обязательных требований к самолетам ГУ ГВФа.</w:t>
      </w:r>
    </w:p>
    <w:p w14:paraId="485C6184" w14:textId="77777777" w:rsidR="0075269A" w:rsidRPr="005E779E" w:rsidRDefault="0075269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уменьшения посадочных скоростей мы предлагаем установить опускающиеся элероны.</w:t>
      </w:r>
    </w:p>
    <w:p w14:paraId="1B15EC95" w14:textId="77777777" w:rsidR="0075269A" w:rsidRPr="005E779E" w:rsidRDefault="0075269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 2. Мы понимаем выражение "комбинированное лыжно-колесное шасси" как конструкцию шасси, допускающую возможность установки колес для летнего аэродрома и замену их лыжами для зимнего аэродрома.</w:t>
      </w:r>
    </w:p>
    <w:p w14:paraId="3321CBA0" w14:textId="77777777" w:rsidR="0075269A" w:rsidRPr="005E779E" w:rsidRDefault="0075269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p w14:paraId="328D7525" w14:textId="77777777" w:rsidR="0075269A" w:rsidRPr="005E779E" w:rsidRDefault="0075269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 6. Так как самолет ЦКБ-6 понимается нами как самолет местных воздушных сообщений, то нормальная его работа будет проходить днем, вследствие чего установка "полного ночного оборудования с управляемыми фарами" совершенно излишняя, как утяжеляющая и удорожающая самолет. Если же по особому заданию это будет нужно, то это можно будет сделать на отдельно избранном самолете во время постройки.</w:t>
      </w:r>
    </w:p>
    <w:p w14:paraId="77D3D2DF" w14:textId="77777777" w:rsidR="0075269A" w:rsidRPr="005E779E" w:rsidRDefault="0075269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Делать же на все без исключения самолеты, летающие днем, ночное оборудование, да еще и полное, считаем нецелесообразным.</w:t>
      </w:r>
    </w:p>
    <w:p w14:paraId="144DAB54" w14:textId="77777777" w:rsidR="0075269A" w:rsidRPr="005E779E" w:rsidRDefault="0075269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 7. Нам предложено установить на самолет ЦКБ-6 мотор М49 воздушного охлаждения, никакого другого мотора для установки не указано. Поскольку и в этом отношении ГУАПа нет конкретных указаний на другие моторы, мы по этому пункту ничего не предусматриваем, за исключением того, что мотоустановка у нас будет съемной. Во всяком случае замена на таком небольшом самолете одного мотора другим связана с большой работой, так как весь самолет увязан под этот мотор.</w:t>
      </w:r>
    </w:p>
    <w:p w14:paraId="02B261CD" w14:textId="77777777" w:rsidR="0075269A" w:rsidRPr="005E779E" w:rsidRDefault="0075269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 8. Мы полагаем, что для самолета местных воздушных сообщений, имеющего экипажем всего одного пилота, ставить радиоустановку совершенно нецелесообразно, ибо помимо утяжеления и удорожания самолета, не понятно, кто же будет работать на радиоустановке, ведь летчик очень занят своей работой, а пассажиры совершенно не обязаны обслуживать радио.</w:t>
      </w:r>
    </w:p>
    <w:p w14:paraId="105EB65D" w14:textId="77777777" w:rsidR="0075269A" w:rsidRPr="005E779E" w:rsidRDefault="0075269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 9. Было бы желательно, более конкретно выставить особые требования к самолетам в южных районах СССР и на Севере, так как обычные мероприятия в этом отношении нами в ЦКБ-6 не предусматриваются.</w:t>
      </w:r>
    </w:p>
    <w:p w14:paraId="1C86CCCE" w14:textId="77777777" w:rsidR="0075269A" w:rsidRPr="005E779E" w:rsidRDefault="0075269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 ЦКБ Ильюшин</w:t>
      </w:r>
    </w:p>
    <w:p w14:paraId="7A6BBC18" w14:textId="77777777" w:rsidR="0075269A" w:rsidRPr="005E779E" w:rsidRDefault="0075269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 бригады 2 Поликарпов</w:t>
      </w:r>
    </w:p>
    <w:p w14:paraId="121BECF1" w14:textId="77777777" w:rsidR="0075269A" w:rsidRPr="005E779E" w:rsidRDefault="0075269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Отпечатано 4 экз.</w:t>
      </w:r>
    </w:p>
    <w:p w14:paraId="545D95B8" w14:textId="77777777" w:rsidR="0075269A" w:rsidRPr="005E779E" w:rsidRDefault="0075269A" w:rsidP="000B7A6C">
      <w:pPr>
        <w:pStyle w:val="ae"/>
        <w:shd w:val="clear" w:color="auto" w:fill="FFFFFF"/>
        <w:spacing w:before="0" w:after="0"/>
        <w:jc w:val="both"/>
        <w:rPr>
          <w:color w:val="000000" w:themeColor="text1"/>
          <w:sz w:val="16"/>
          <w:szCs w:val="16"/>
        </w:rPr>
      </w:pPr>
      <w:r w:rsidRPr="005E779E">
        <w:rPr>
          <w:color w:val="000000" w:themeColor="text1"/>
          <w:sz w:val="16"/>
          <w:szCs w:val="16"/>
        </w:rPr>
        <w:t>Два месяца ушло на проработку проекта. Есть основание предполагать, что в ЦКБ-6 были использованы технические новинки, примененные на самолете "Валти".</w:t>
      </w:r>
    </w:p>
    <w:p w14:paraId="25458837" w14:textId="77777777" w:rsidR="0075269A" w:rsidRPr="005E779E" w:rsidRDefault="0075269A" w:rsidP="000B7A6C">
      <w:pPr>
        <w:pStyle w:val="ae"/>
        <w:shd w:val="clear" w:color="auto" w:fill="FFFFFF"/>
        <w:spacing w:before="0" w:after="0"/>
        <w:jc w:val="both"/>
        <w:rPr>
          <w:color w:val="000000" w:themeColor="text1"/>
          <w:sz w:val="16"/>
          <w:szCs w:val="16"/>
        </w:rPr>
      </w:pPr>
      <w:r w:rsidRPr="005E779E">
        <w:rPr>
          <w:color w:val="000000" w:themeColor="text1"/>
          <w:sz w:val="16"/>
          <w:szCs w:val="16"/>
        </w:rPr>
        <w:t xml:space="preserve">Первые прорисовки ЦКБ-6 делал лично Н. Н. Поликарпов, а последующие и окончательную - совместно с С. В. Ильюшиным. Надо сказать, что двух конструкторов связывала многолетняя дружба. С высоты своего положения Сергей Владимирович неоднократно помогал и даже выручал Поликарпова, а Николай Николаевич </w:t>
      </w:r>
      <w:r w:rsidRPr="005E779E">
        <w:rPr>
          <w:color w:val="000000" w:themeColor="text1"/>
          <w:sz w:val="16"/>
          <w:szCs w:val="16"/>
        </w:rPr>
        <w:lastRenderedPageBreak/>
        <w:t>охотно делился техническими идеями с Ильюшиным.</w:t>
      </w:r>
    </w:p>
    <w:p w14:paraId="77876DAF" w14:textId="77777777" w:rsidR="0075269A" w:rsidRPr="005E779E" w:rsidRDefault="0075269A" w:rsidP="000B7A6C">
      <w:pPr>
        <w:pStyle w:val="ae"/>
        <w:shd w:val="clear" w:color="auto" w:fill="FFFFFF"/>
        <w:spacing w:before="0" w:after="0"/>
        <w:jc w:val="both"/>
        <w:rPr>
          <w:color w:val="000000" w:themeColor="text1"/>
          <w:sz w:val="16"/>
          <w:szCs w:val="16"/>
        </w:rPr>
      </w:pPr>
      <w:r w:rsidRPr="005E779E">
        <w:rPr>
          <w:color w:val="000000" w:themeColor="text1"/>
          <w:sz w:val="16"/>
          <w:szCs w:val="16"/>
        </w:rPr>
        <w:t>Как видно из докладной записки, С. В. Ильюшин и Н. Н. Поликарпов предлагали максимально технологичную машину - простую в изготовлении и эксплуатации. С позиции наших дней интересны и, в какой-то мере, немного смешны рассуждения о необходимости, вернее ее отсутствии, установки радиосвязного оборудования на самолет ЦКБ-6.</w:t>
      </w:r>
    </w:p>
    <w:p w14:paraId="2187CC43" w14:textId="77777777" w:rsidR="0075269A" w:rsidRPr="005E779E" w:rsidRDefault="0075269A" w:rsidP="000B7A6C">
      <w:pPr>
        <w:pStyle w:val="ae"/>
        <w:shd w:val="clear" w:color="auto" w:fill="FFFFFF"/>
        <w:spacing w:before="0" w:after="0"/>
        <w:jc w:val="both"/>
        <w:rPr>
          <w:color w:val="000000" w:themeColor="text1"/>
          <w:sz w:val="16"/>
          <w:szCs w:val="16"/>
        </w:rPr>
      </w:pPr>
      <w:r w:rsidRPr="005E779E">
        <w:rPr>
          <w:color w:val="000000" w:themeColor="text1"/>
          <w:sz w:val="16"/>
          <w:szCs w:val="16"/>
        </w:rPr>
        <w:t>Не совсем понятна ситуация с настоятельным требованием ГУАПа о применении на ЦКБ-6 мотора воздушного охлаждения М-49.</w:t>
      </w:r>
    </w:p>
    <w:p w14:paraId="71B3D937" w14:textId="77777777" w:rsidR="0075269A" w:rsidRPr="005E779E" w:rsidRDefault="0075269A" w:rsidP="000B7A6C">
      <w:pPr>
        <w:pStyle w:val="ae"/>
        <w:shd w:val="clear" w:color="auto" w:fill="FFFFFF"/>
        <w:spacing w:before="0" w:after="0"/>
        <w:jc w:val="both"/>
        <w:rPr>
          <w:color w:val="000000" w:themeColor="text1"/>
          <w:sz w:val="16"/>
          <w:szCs w:val="16"/>
        </w:rPr>
      </w:pPr>
      <w:r w:rsidRPr="005E779E">
        <w:rPr>
          <w:color w:val="000000" w:themeColor="text1"/>
          <w:sz w:val="16"/>
          <w:szCs w:val="16"/>
        </w:rPr>
        <w:t>Этот двигатель разрабатывали в отделе бензиновых двигателей Научно-исследовательского института авиадвигателей ГВФ, который был создан для проектирования и постройки маломощных двигателей для гражданских, учебных и спортивных самолетов.</w:t>
      </w:r>
    </w:p>
    <w:p w14:paraId="1BA0F9A3" w14:textId="77777777" w:rsidR="0075269A" w:rsidRPr="005E779E" w:rsidRDefault="0075269A" w:rsidP="000B7A6C">
      <w:pPr>
        <w:pStyle w:val="ae"/>
        <w:shd w:val="clear" w:color="auto" w:fill="FFFFFF"/>
        <w:spacing w:before="0" w:after="0"/>
        <w:jc w:val="both"/>
        <w:rPr>
          <w:color w:val="000000" w:themeColor="text1"/>
          <w:sz w:val="16"/>
          <w:szCs w:val="16"/>
        </w:rPr>
      </w:pPr>
      <w:r w:rsidRPr="005E779E">
        <w:rPr>
          <w:color w:val="000000" w:themeColor="text1"/>
          <w:sz w:val="16"/>
          <w:szCs w:val="16"/>
        </w:rPr>
        <w:t>НИИ АД ГВФ просуществовал всего восемь лет и в 1940 году был закрыт. Коллектив опытного завода под руководством М. А. Коссова успел разработать целое семейство двигателей МГ.</w:t>
      </w:r>
    </w:p>
    <w:p w14:paraId="09959000" w14:textId="77777777" w:rsidR="0075269A" w:rsidRPr="005E779E" w:rsidRDefault="0075269A" w:rsidP="000B7A6C">
      <w:pPr>
        <w:pStyle w:val="ae"/>
        <w:shd w:val="clear" w:color="auto" w:fill="FFFFFF"/>
        <w:spacing w:before="0" w:after="0"/>
        <w:jc w:val="both"/>
        <w:rPr>
          <w:color w:val="000000" w:themeColor="text1"/>
          <w:sz w:val="16"/>
          <w:szCs w:val="16"/>
        </w:rPr>
      </w:pPr>
      <w:r w:rsidRPr="005E779E">
        <w:rPr>
          <w:color w:val="000000" w:themeColor="text1"/>
          <w:sz w:val="16"/>
          <w:szCs w:val="16"/>
        </w:rPr>
        <w:t>Однако с двигателем М-49 изначально возникли многочисленные проблемы, и он так и не был доведен "до ума". Ильюшин и Поликарпов не зря ссылались в своих записках на полную неопределенность с этим мотором. По мнению авторов, именно неясность с двигателем, под который был увязан весь самолет, и оставила его на лишь на бумаге (12707).</w:t>
      </w:r>
    </w:p>
    <w:p w14:paraId="49C202CD" w14:textId="77777777" w:rsidR="0075269A" w:rsidRPr="005E779E" w:rsidRDefault="0075269A" w:rsidP="000B7A6C">
      <w:pPr>
        <w:pStyle w:val="rtecenter"/>
        <w:shd w:val="clear" w:color="auto" w:fill="FFFFFF"/>
        <w:spacing w:before="0" w:after="0"/>
        <w:jc w:val="both"/>
        <w:rPr>
          <w:color w:val="000000" w:themeColor="text1"/>
          <w:sz w:val="16"/>
          <w:szCs w:val="16"/>
        </w:rPr>
      </w:pPr>
    </w:p>
    <w:p w14:paraId="32F25228" w14:textId="77777777" w:rsidR="00037DC4" w:rsidRPr="005E779E" w:rsidRDefault="00037DC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декабря 1931 г.</w:t>
      </w:r>
    </w:p>
    <w:p w14:paraId="1546A0A6" w14:textId="77777777" w:rsidR="00037DC4" w:rsidRPr="005E779E" w:rsidRDefault="00037DC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Протокол заседания у начальника ВАО</w:t>
      </w:r>
    </w:p>
    <w:p w14:paraId="518DCB28" w14:textId="77777777" w:rsidR="00037DC4" w:rsidRPr="005E779E" w:rsidRDefault="00037DC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Присутствовали: Баранов, Харламов, Туполев, Ильюшин, Григорович, Костин, Пауфлер и др.</w:t>
      </w:r>
    </w:p>
    <w:p w14:paraId="47B7A8FA" w14:textId="77777777" w:rsidR="00037DC4" w:rsidRPr="005E779E" w:rsidRDefault="00037DC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Слушали: Рассмотрение плана опытного строительства</w:t>
      </w:r>
    </w:p>
    <w:p w14:paraId="6BDA6ACA" w14:textId="77777777" w:rsidR="00037DC4" w:rsidRPr="005E779E" w:rsidRDefault="00037DC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Докладчик - С. В. Ильюшин</w:t>
      </w:r>
    </w:p>
    <w:p w14:paraId="353FBDC5" w14:textId="77777777" w:rsidR="00037DC4" w:rsidRPr="005E779E" w:rsidRDefault="00037DC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План опытного строительства увязать с планом развертывания серийных заводов, для чего сектору опытного строительства совместно с самолетным сектором точно установить заводы, на которых будут строиться вновь проектируемые самолеты, указать сроки внедрения в серию новых образцов взамен старых.</w:t>
      </w:r>
    </w:p>
    <w:p w14:paraId="6960081A" w14:textId="77777777" w:rsidR="00037DC4" w:rsidRPr="005E779E" w:rsidRDefault="00037DC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Распределение самолетов по заводам производить исходя из условий специфики заводов и постройки на одном заводе по возможности только одного типа самолета.</w:t>
      </w:r>
    </w:p>
    <w:p w14:paraId="2423CFF9" w14:textId="77777777" w:rsidR="00037DC4" w:rsidRPr="005E779E" w:rsidRDefault="00037DC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установлении сроков испытаний считать необходимым каждый тип самолета до внедрения в серию подвергать усиленным эксплуатационным испытаниям для выявления дефектов и устранения их до внедрения в серию.</w:t>
      </w:r>
    </w:p>
    <w:p w14:paraId="0CEE46F9" w14:textId="77777777" w:rsidR="00037DC4" w:rsidRPr="005E779E" w:rsidRDefault="00037DC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 переделки и испытания ведутся опытной организацией, изготавливающей самолет, и только окончательно доведенный образец передается серийному заводу для производства.</w:t>
      </w:r>
    </w:p>
    <w:p w14:paraId="2C2564D2" w14:textId="77777777" w:rsidR="00037DC4" w:rsidRPr="005E779E" w:rsidRDefault="00037DC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Включить в план работ:</w:t>
      </w:r>
    </w:p>
    <w:p w14:paraId="3199A621" w14:textId="77777777" w:rsidR="00037DC4" w:rsidRPr="005E779E" w:rsidRDefault="00037DC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Разведчик одномоторный взамен Р-5.</w:t>
      </w:r>
    </w:p>
    <w:p w14:paraId="6E8711A8" w14:textId="77777777" w:rsidR="00037DC4" w:rsidRPr="005E779E" w:rsidRDefault="00037DC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Одномоторный морской разведчик взамен С-62 бис.</w:t>
      </w:r>
    </w:p>
    <w:p w14:paraId="4EBD59C9" w14:textId="77777777" w:rsidR="00037DC4" w:rsidRPr="005E779E" w:rsidRDefault="00037DC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Одномоторный пассажирский самолет взамен К-5...</w:t>
      </w:r>
    </w:p>
    <w:p w14:paraId="512A4252" w14:textId="77777777" w:rsidR="00037DC4" w:rsidRPr="005E779E" w:rsidRDefault="00037DC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выполнения плана опытного строительства поставить вопрос о концентрации всех конструкторских сил в ЦКБ. Использовать в максимальной мере учебные заведения ВАО для создания опытных конструкций (15535).</w:t>
      </w:r>
    </w:p>
    <w:p w14:paraId="5D3F1682" w14:textId="77777777" w:rsidR="00037DC4" w:rsidRPr="005E779E" w:rsidRDefault="00037DC4" w:rsidP="000B7A6C">
      <w:pPr>
        <w:spacing w:after="0" w:line="240" w:lineRule="auto"/>
        <w:jc w:val="both"/>
        <w:rPr>
          <w:rFonts w:ascii="Times New Roman" w:hAnsi="Times New Roman"/>
          <w:color w:val="000000" w:themeColor="text1"/>
          <w:sz w:val="16"/>
          <w:szCs w:val="16"/>
        </w:rPr>
      </w:pPr>
    </w:p>
    <w:p w14:paraId="7F9321E7" w14:textId="77777777" w:rsidR="008070AE" w:rsidRPr="00142305" w:rsidRDefault="008070AE" w:rsidP="008070A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25 декабря 1931 г.</w:t>
      </w:r>
    </w:p>
    <w:p w14:paraId="4A889294" w14:textId="77777777" w:rsidR="008070AE" w:rsidRPr="00142305" w:rsidRDefault="008070AE" w:rsidP="008070A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25. 12. 1931 г.</w:t>
      </w:r>
    </w:p>
    <w:p w14:paraId="746C14C0" w14:textId="77777777" w:rsidR="008070AE" w:rsidRPr="00142305" w:rsidRDefault="008070AE" w:rsidP="008070A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Протокол заседания у начальника ВАО</w:t>
      </w:r>
    </w:p>
    <w:p w14:paraId="7164F38C" w14:textId="77777777" w:rsidR="008070AE" w:rsidRPr="00142305" w:rsidRDefault="008070AE" w:rsidP="008070A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Присутствовали: Баранов, Харламов, Туполев, Ильюшин, Григорович, Костин, Пауфлер и др.</w:t>
      </w:r>
    </w:p>
    <w:p w14:paraId="48E02DFB" w14:textId="77777777" w:rsidR="008070AE" w:rsidRPr="00142305" w:rsidRDefault="008070AE" w:rsidP="008070A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Слушали: Рассмотрение плана опытного строительства</w:t>
      </w:r>
    </w:p>
    <w:p w14:paraId="5B50D438" w14:textId="77777777" w:rsidR="008070AE" w:rsidRPr="00142305" w:rsidRDefault="008070AE" w:rsidP="008070A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Докладчик — С. В. Ильюшин</w:t>
      </w:r>
    </w:p>
    <w:p w14:paraId="46EA409C" w14:textId="77777777" w:rsidR="008070AE" w:rsidRPr="00142305" w:rsidRDefault="008070AE" w:rsidP="008070A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План опытного строительства увязать с планом развертывания серийных заводов, для чего сектору опытного строительства совместно с самолетным сектором точно установить заводы, на которых будут строиться вновь проектируемые самолеты, указать сроки внедрения в серию новых образцов взамен старых.</w:t>
      </w:r>
    </w:p>
    <w:p w14:paraId="23BD7977" w14:textId="77777777" w:rsidR="008070AE" w:rsidRPr="00142305" w:rsidRDefault="008070AE" w:rsidP="008070A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Распределение самолетов по заводам производить исходя из условий специфики заводов и постройки на одном заводе по возможности только одного типа самолета.</w:t>
      </w:r>
    </w:p>
    <w:p w14:paraId="36E98713" w14:textId="77777777" w:rsidR="008070AE" w:rsidRPr="00142305" w:rsidRDefault="008070AE" w:rsidP="008070A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 установлении сроков испытаний считать необходимым каждый тип самолета до внедрения в серию подвергать усиленным эксплуатационным испытаниям для выявления дефектов и устранения их до внедрения в серию.</w:t>
      </w:r>
    </w:p>
    <w:p w14:paraId="37EFAA43" w14:textId="77777777" w:rsidR="008070AE" w:rsidRPr="00142305" w:rsidRDefault="008070AE" w:rsidP="008070A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Все переделки и испытания ведутся опытной организацией, изготавливающей самолет, и только окончательно доведенный образец передается серийному заводу для производства.</w:t>
      </w:r>
    </w:p>
    <w:p w14:paraId="00639553" w14:textId="77777777" w:rsidR="008070AE" w:rsidRPr="00142305" w:rsidRDefault="008070AE" w:rsidP="008070A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 Включить в план работ:</w:t>
      </w:r>
    </w:p>
    <w:p w14:paraId="0764417C" w14:textId="77777777" w:rsidR="008070AE" w:rsidRPr="00142305" w:rsidRDefault="008070AE" w:rsidP="008070A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Разведчик одномоторный взамен Р-5.</w:t>
      </w:r>
    </w:p>
    <w:p w14:paraId="2C30EB98" w14:textId="77777777" w:rsidR="008070AE" w:rsidRPr="00142305" w:rsidRDefault="008070AE" w:rsidP="008070A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Одномоторный морской разведчик взамен С-62 бис.</w:t>
      </w:r>
    </w:p>
    <w:p w14:paraId="6BCAFB40" w14:textId="77777777" w:rsidR="008070AE" w:rsidRPr="00142305" w:rsidRDefault="008070AE" w:rsidP="008070A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Одномоторный пассажирский самолет взамен К-5…</w:t>
      </w:r>
    </w:p>
    <w:p w14:paraId="6515BD6C" w14:textId="77777777" w:rsidR="008070AE" w:rsidRPr="00142305" w:rsidRDefault="008070AE" w:rsidP="008070A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Для выполнения плана опытного строительства поставить вопрос о концентрации всех конструкторских сил в ЦКБ. Использовать в максимальной мере учебные заведения ВАО для создания опытных конструкций (25424).</w:t>
      </w:r>
    </w:p>
    <w:p w14:paraId="0E10C183" w14:textId="77777777" w:rsidR="008070AE" w:rsidRPr="00142305" w:rsidRDefault="008070AE" w:rsidP="008070AE">
      <w:pPr>
        <w:spacing w:after="0" w:line="240" w:lineRule="auto"/>
        <w:jc w:val="both"/>
        <w:rPr>
          <w:rFonts w:ascii="Times New Roman" w:hAnsi="Times New Roman"/>
          <w:color w:val="0070C0"/>
          <w:sz w:val="16"/>
          <w:szCs w:val="16"/>
        </w:rPr>
      </w:pPr>
    </w:p>
    <w:p w14:paraId="584F6772"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794061A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5EFD47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декабря 1931 Дыренков получил ответ за подписью Халепского:</w:t>
      </w:r>
    </w:p>
    <w:p w14:paraId="4CB75A2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Рассмотрев проект выполнения Вами задания по бронированию легкового «Форда» предлагаю Вам сделать по одному опытному образцу не позднее 1 февраля 1931 го</w:t>
      </w:r>
      <w:r w:rsidRPr="005E779E">
        <w:rPr>
          <w:rFonts w:ascii="Times New Roman" w:hAnsi="Times New Roman"/>
          <w:color w:val="000000" w:themeColor="text1"/>
          <w:sz w:val="16"/>
          <w:szCs w:val="16"/>
        </w:rPr>
        <w:softHyphen/>
        <w:t>да два образца - по чертежу № С-17-39 (с одним пулеме</w:t>
      </w:r>
      <w:r w:rsidRPr="005E779E">
        <w:rPr>
          <w:rFonts w:ascii="Times New Roman" w:hAnsi="Times New Roman"/>
          <w:color w:val="000000" w:themeColor="text1"/>
          <w:sz w:val="16"/>
          <w:szCs w:val="16"/>
        </w:rPr>
        <w:softHyphen/>
        <w:t>том) и по чертежу № С-17-41 (с пулеметом и зенитной туре</w:t>
      </w:r>
      <w:r w:rsidRPr="005E779E">
        <w:rPr>
          <w:rFonts w:ascii="Times New Roman" w:hAnsi="Times New Roman"/>
          <w:color w:val="000000" w:themeColor="text1"/>
          <w:sz w:val="16"/>
          <w:szCs w:val="16"/>
        </w:rPr>
        <w:softHyphen/>
        <w:t>лью). Указанные образцы изготавливаются из котельного железа, корпуса сварные...»</w:t>
      </w:r>
    </w:p>
    <w:p w14:paraId="310AAAD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Несмотря на ряд трудностей и отсутствие необходимо</w:t>
      </w:r>
      <w:r w:rsidRPr="005E779E">
        <w:rPr>
          <w:rFonts w:ascii="Times New Roman" w:hAnsi="Times New Roman"/>
          <w:color w:val="000000" w:themeColor="text1"/>
          <w:sz w:val="16"/>
          <w:szCs w:val="16"/>
        </w:rPr>
        <w:softHyphen/>
        <w:t>го количества чертежников, Дыренков с поставленной за</w:t>
      </w:r>
      <w:r w:rsidRPr="005E779E">
        <w:rPr>
          <w:rFonts w:ascii="Times New Roman" w:hAnsi="Times New Roman"/>
          <w:color w:val="000000" w:themeColor="text1"/>
          <w:sz w:val="16"/>
          <w:szCs w:val="16"/>
        </w:rPr>
        <w:softHyphen/>
        <w:t>дачей справился (11284).</w:t>
      </w:r>
    </w:p>
    <w:p w14:paraId="0147D83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3D6F1F" w14:textId="77777777" w:rsidR="005E1AD5" w:rsidRPr="005E779E" w:rsidRDefault="005E1AD5"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25 декабря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Протокол заседания Политбюро ЦК ВКП(б) № 21. Опросом членов ПБ от 25 декабря 1930 г. 64/65. О заявке ВСНХ на военное снабжение. (ПБ от 15 декабря 1930 г., пр. № 20, п. 12). (Молотов). Постановили: утвердить следующее решение комиссии Политбюро: а) установить импортный контингент по цветным металлам и техническому снабжению в размере 15 млн. руб.; б) поручить т. Рудзутаку, Розенгольцу и Павлуновскому рассмотреть в связи с этим решением весь импортный контингент с тем, чтобы общий лимит контингентов и валютных планов по годовому плану 1931 г. не увеличился. Не менее 1,5 млн. руб. сокращения отнести по контингенту и валюте ВСНХ. (РГАСПИ. Ф. 17. Оп. 162. Д. 9. Л. 105) (12416).</w:t>
      </w:r>
    </w:p>
    <w:p w14:paraId="1BDCCF42" w14:textId="77777777" w:rsidR="005E1AD5" w:rsidRPr="005E779E" w:rsidRDefault="005E1AD5" w:rsidP="000B7A6C">
      <w:pPr>
        <w:spacing w:after="0" w:line="240" w:lineRule="auto"/>
        <w:jc w:val="both"/>
        <w:rPr>
          <w:rFonts w:ascii="Times New Roman" w:hAnsi="Times New Roman"/>
          <w:color w:val="000000" w:themeColor="text1"/>
          <w:sz w:val="16"/>
          <w:szCs w:val="16"/>
          <w:u w:color="002060"/>
        </w:rPr>
      </w:pPr>
    </w:p>
    <w:p w14:paraId="0107D180" w14:textId="77777777" w:rsidR="005E1AD5" w:rsidRPr="005E779E" w:rsidRDefault="005E1AD5"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25 декабря 1931 </w:t>
      </w:r>
      <w:r w:rsidRPr="005E779E">
        <w:rPr>
          <w:rFonts w:ascii="Times New Roman" w:hAnsi="Times New Roman"/>
          <w:color w:val="000000" w:themeColor="text1"/>
          <w:sz w:val="16"/>
          <w:szCs w:val="16"/>
        </w:rPr>
        <w:t>Политбюро ЦК ВКП (б) приняло решение о мероприятиях по улучшению работы хозяйственных организаций; утвердило состав комиссии для приемки Нижегородского автозавода, Березниковского комбината и Саратовского комбайнового завода (12265).</w:t>
      </w:r>
    </w:p>
    <w:p w14:paraId="23FCC9A8" w14:textId="77777777" w:rsidR="005E1AD5" w:rsidRPr="005E779E" w:rsidRDefault="005E1AD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2-я сессия ЦИК 6-го созыва приняла постановление «О народнохозяйственном плане СССР на 1932 г. (контрольные цифры)» (12265).</w:t>
      </w:r>
    </w:p>
    <w:p w14:paraId="33D107AD" w14:textId="77777777" w:rsidR="005E1AD5" w:rsidRPr="005E779E" w:rsidRDefault="005E1AD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75204E6D"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736D943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DDCA1E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 декабря 1931 51-я отдельная тя</w:t>
      </w:r>
      <w:r w:rsidRPr="005E779E">
        <w:rPr>
          <w:rFonts w:ascii="Times New Roman" w:hAnsi="Times New Roman"/>
          <w:color w:val="000000" w:themeColor="text1"/>
          <w:sz w:val="16"/>
          <w:szCs w:val="16"/>
        </w:rPr>
        <w:softHyphen/>
        <w:t>желобомбардировочная авиаэскадрилья (ТБАЭ), включавшаю 12 ТБ-1 (завод. №№ 612, 620, 626, 635, 647, 648, 656, 662, 670, 701, 703, 718) разместилась на Ново-Омском аэродроме и, согласно докладу командова</w:t>
      </w:r>
      <w:r w:rsidRPr="005E779E">
        <w:rPr>
          <w:rFonts w:ascii="Times New Roman" w:hAnsi="Times New Roman"/>
          <w:color w:val="000000" w:themeColor="text1"/>
          <w:sz w:val="16"/>
          <w:szCs w:val="16"/>
        </w:rPr>
        <w:softHyphen/>
        <w:t>ния, приступила к работе. Весной 1932 г. 51-ю ТБАЭ перебросили под Хабаровск и в апреле передали Морским силам Дальнего Востока, где самолеты предполагали ис</w:t>
      </w:r>
      <w:r w:rsidRPr="005E779E">
        <w:rPr>
          <w:rFonts w:ascii="Times New Roman" w:hAnsi="Times New Roman"/>
          <w:color w:val="000000" w:themeColor="text1"/>
          <w:sz w:val="16"/>
          <w:szCs w:val="16"/>
        </w:rPr>
        <w:softHyphen/>
        <w:t>пользовать в качестве торпедоносцев. Для этой цели машины начали оборудовать тор</w:t>
      </w:r>
      <w:r w:rsidRPr="005E779E">
        <w:rPr>
          <w:rFonts w:ascii="Times New Roman" w:hAnsi="Times New Roman"/>
          <w:color w:val="000000" w:themeColor="text1"/>
          <w:sz w:val="16"/>
          <w:szCs w:val="16"/>
        </w:rPr>
        <w:softHyphen/>
        <w:t>педными мостами, выпуск которых только осваивала промышленность. В 1933 г. отряд ТБ-1 под командованием П.И. Сучко, вхо</w:t>
      </w:r>
      <w:r w:rsidRPr="005E779E">
        <w:rPr>
          <w:rFonts w:ascii="Times New Roman" w:hAnsi="Times New Roman"/>
          <w:color w:val="000000" w:themeColor="text1"/>
          <w:sz w:val="16"/>
          <w:szCs w:val="16"/>
        </w:rPr>
        <w:softHyphen/>
        <w:t>дивший в то время в 28-ю ТБАБ, начал осво</w:t>
      </w:r>
      <w:r w:rsidRPr="005E779E">
        <w:rPr>
          <w:rFonts w:ascii="Times New Roman" w:hAnsi="Times New Roman"/>
          <w:color w:val="000000" w:themeColor="text1"/>
          <w:sz w:val="16"/>
          <w:szCs w:val="16"/>
        </w:rPr>
        <w:softHyphen/>
        <w:t>ение высотного торпедометания (11286).</w:t>
      </w:r>
    </w:p>
    <w:p w14:paraId="243D031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ACB58A"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23BD58B5"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200EE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 декабря 1931 состоялось заседание комиссии по вопросам испытания ВОМИЗ и постановили: Комиссия считает испытания ВОМИЗЫ законченными, но с обязательной доработкой вопросов тактического использования" (3413,12).</w:t>
      </w:r>
    </w:p>
    <w:p w14:paraId="68DC8A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FB6FB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26 декабря 1931 подвели итог испытаниям мин ВОМИЗА сезона 1931 г. на заседании комиссии. Пункт 1-й ее постановления гласил: "Комиссия считает испытания "ВОМИЗЫ" законченными, но с обязательной доработкой вопросов тактического использования". Остехбюро предложили ввести в конструкцию ряд местных </w:t>
      </w:r>
      <w:r w:rsidRPr="005E779E">
        <w:rPr>
          <w:rFonts w:ascii="Times New Roman" w:hAnsi="Times New Roman"/>
          <w:color w:val="000000" w:themeColor="text1"/>
          <w:sz w:val="16"/>
          <w:szCs w:val="16"/>
        </w:rPr>
        <w:lastRenderedPageBreak/>
        <w:t>усилений (в частности, подкрепить зарядную камеру), заменить сахарный разъединитель. В своем рапорте в Москву начальник Воздушных сил Балтийского моря Никифоров рекомендовал после устранения выявленных дефектов принять мину ВОМИЗА-ЮО на вооружение ВВС РККА (12002).</w:t>
      </w:r>
    </w:p>
    <w:p w14:paraId="59C9BC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B5041F4" w14:textId="77777777" w:rsidR="00E33D71" w:rsidRPr="005E779E" w:rsidRDefault="00E33D71"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40FEF8DE" w14:textId="77777777" w:rsidR="00E33D71" w:rsidRPr="005E779E" w:rsidRDefault="00E33D71"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09E4494" w14:textId="77777777" w:rsidR="00E33D71" w:rsidRPr="005E779E" w:rsidRDefault="00E33D71"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26 декабря 1931 г.</w:t>
      </w:r>
    </w:p>
    <w:p w14:paraId="22B992C5" w14:textId="77777777" w:rsidR="00E33D71" w:rsidRPr="005E779E" w:rsidRDefault="00E33D71"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color w:val="000000" w:themeColor="text1"/>
          <w:sz w:val="16"/>
          <w:szCs w:val="16"/>
        </w:rPr>
        <w:t>«Рапорт» начальника ОКБ № 11 ОГПУ Н. И. Наумина начальнику Технического отделения ЭКУ ОГПУ о количестве вольнонаемных работников в ОКБ. 26 декабря 1931 г.</w:t>
      </w:r>
    </w:p>
    <w:p w14:paraId="44406177" w14:textId="77777777" w:rsidR="00E33D71" w:rsidRPr="005E779E" w:rsidRDefault="00E33D71" w:rsidP="000B7A6C">
      <w:pPr>
        <w:spacing w:after="0" w:line="240" w:lineRule="auto"/>
        <w:jc w:val="both"/>
        <w:rPr>
          <w:rFonts w:ascii="Times New Roman" w:hAnsi="Times New Roman"/>
          <w:bCs/>
          <w:color w:val="000000" w:themeColor="text1"/>
          <w:sz w:val="16"/>
          <w:szCs w:val="16"/>
        </w:rPr>
      </w:pPr>
      <w:r w:rsidRPr="005E779E">
        <w:rPr>
          <w:rFonts w:ascii="Times New Roman" w:hAnsi="Times New Roman"/>
          <w:bCs/>
          <w:color w:val="000000" w:themeColor="text1"/>
          <w:sz w:val="16"/>
          <w:szCs w:val="16"/>
        </w:rPr>
        <w:t>Источник: </w:t>
      </w:r>
    </w:p>
    <w:p w14:paraId="74E7DA29" w14:textId="77777777" w:rsidR="00E33D71" w:rsidRPr="005E779E" w:rsidRDefault="00E33D7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DA93F1E" w14:textId="77777777" w:rsidR="00E33D71" w:rsidRPr="005E779E" w:rsidRDefault="00E33D71" w:rsidP="000B7A6C">
      <w:pPr>
        <w:pStyle w:val="rteright"/>
        <w:spacing w:before="0" w:after="0"/>
        <w:jc w:val="both"/>
        <w:rPr>
          <w:color w:val="000000" w:themeColor="text1"/>
          <w:sz w:val="16"/>
          <w:szCs w:val="16"/>
        </w:rPr>
      </w:pPr>
      <w:r w:rsidRPr="005E779E">
        <w:rPr>
          <w:color w:val="000000" w:themeColor="text1"/>
          <w:sz w:val="16"/>
          <w:szCs w:val="16"/>
        </w:rPr>
        <w:t>26 декабря 1931 г.</w:t>
      </w:r>
    </w:p>
    <w:p w14:paraId="60E75536" w14:textId="77777777" w:rsidR="00E33D71" w:rsidRPr="005E779E" w:rsidRDefault="00E33D71" w:rsidP="000B7A6C">
      <w:pPr>
        <w:pStyle w:val="rtecenter"/>
        <w:spacing w:before="0" w:after="0"/>
        <w:jc w:val="both"/>
        <w:rPr>
          <w:color w:val="000000" w:themeColor="text1"/>
          <w:sz w:val="16"/>
          <w:szCs w:val="16"/>
        </w:rPr>
      </w:pPr>
      <w:r w:rsidRPr="005E779E">
        <w:rPr>
          <w:color w:val="000000" w:themeColor="text1"/>
          <w:sz w:val="16"/>
          <w:szCs w:val="16"/>
        </w:rPr>
        <w:t>НАЧАЛЬНИКУ ТЕХ. ОТД. ОГПУ</w:t>
      </w:r>
    </w:p>
    <w:p w14:paraId="25BCE770" w14:textId="77777777" w:rsidR="00E33D71" w:rsidRPr="005E779E" w:rsidRDefault="00E33D71" w:rsidP="000B7A6C">
      <w:pPr>
        <w:pStyle w:val="rtecenter"/>
        <w:spacing w:before="0" w:after="0"/>
        <w:jc w:val="both"/>
        <w:rPr>
          <w:color w:val="000000" w:themeColor="text1"/>
          <w:sz w:val="16"/>
          <w:szCs w:val="16"/>
        </w:rPr>
      </w:pPr>
      <w:r w:rsidRPr="005E779E">
        <w:rPr>
          <w:color w:val="000000" w:themeColor="text1"/>
          <w:sz w:val="16"/>
          <w:szCs w:val="16"/>
        </w:rPr>
        <w:t>РАПОРТ</w:t>
      </w:r>
    </w:p>
    <w:p w14:paraId="5B077FF7" w14:textId="77777777" w:rsidR="00E33D71" w:rsidRPr="005E779E" w:rsidRDefault="00E33D71" w:rsidP="000B7A6C">
      <w:pPr>
        <w:pStyle w:val="rtejustify"/>
        <w:spacing w:before="0" w:after="0"/>
        <w:rPr>
          <w:color w:val="000000" w:themeColor="text1"/>
          <w:sz w:val="16"/>
          <w:szCs w:val="16"/>
        </w:rPr>
      </w:pPr>
      <w:r w:rsidRPr="005E779E">
        <w:rPr>
          <w:color w:val="000000" w:themeColor="text1"/>
          <w:sz w:val="16"/>
          <w:szCs w:val="16"/>
        </w:rPr>
        <w:t>Согласно личного приказания сообщаю, что во вверенном мне ОКБ №11 работает 6 человек вольнонаемных:</w:t>
      </w:r>
    </w:p>
    <w:p w14:paraId="49C4FD1F" w14:textId="77777777" w:rsidR="00E33D71" w:rsidRPr="005E779E" w:rsidRDefault="00E33D71" w:rsidP="000B7A6C">
      <w:pPr>
        <w:pStyle w:val="rtejustify"/>
        <w:spacing w:before="0" w:after="0"/>
        <w:rPr>
          <w:color w:val="000000" w:themeColor="text1"/>
          <w:sz w:val="16"/>
          <w:szCs w:val="16"/>
        </w:rPr>
      </w:pPr>
      <w:r w:rsidRPr="005E779E">
        <w:rPr>
          <w:color w:val="000000" w:themeColor="text1"/>
          <w:sz w:val="16"/>
          <w:szCs w:val="16"/>
        </w:rPr>
        <w:t>1) КУБЫНИН, 2) ФЮНЕР, 3) САЛМЕНКОВ, 4) ЛЯДЕР, 5) МАРТЫНОВ и 6) АНДРЕЕВ.</w:t>
      </w:r>
    </w:p>
    <w:p w14:paraId="252F78A9" w14:textId="77777777" w:rsidR="00E33D71" w:rsidRPr="005E779E" w:rsidRDefault="00E33D71" w:rsidP="000B7A6C">
      <w:pPr>
        <w:pStyle w:val="rtejustify"/>
        <w:spacing w:before="0" w:after="0"/>
        <w:rPr>
          <w:color w:val="000000" w:themeColor="text1"/>
          <w:sz w:val="16"/>
          <w:szCs w:val="16"/>
        </w:rPr>
      </w:pPr>
      <w:r w:rsidRPr="005E779E">
        <w:rPr>
          <w:color w:val="000000" w:themeColor="text1"/>
          <w:sz w:val="16"/>
          <w:szCs w:val="16"/>
        </w:rPr>
        <w:t>Калькировщики из Института:</w:t>
      </w:r>
    </w:p>
    <w:p w14:paraId="2934C28A" w14:textId="77777777" w:rsidR="00E33D71" w:rsidRPr="005E779E" w:rsidRDefault="00E33D71" w:rsidP="000B7A6C">
      <w:pPr>
        <w:pStyle w:val="rtejustify"/>
        <w:spacing w:before="0" w:after="0"/>
        <w:rPr>
          <w:color w:val="000000" w:themeColor="text1"/>
          <w:sz w:val="16"/>
          <w:szCs w:val="16"/>
        </w:rPr>
      </w:pPr>
      <w:r w:rsidRPr="005E779E">
        <w:rPr>
          <w:color w:val="000000" w:themeColor="text1"/>
          <w:sz w:val="16"/>
          <w:szCs w:val="16"/>
        </w:rPr>
        <w:t>1. ЛУЧЕНКОВ, 2. ЗВЕРЕВА, 3. ФЕДОРОВА, 4. СТРАШИНСКАЯ и 5. КУБАСОВ.</w:t>
      </w:r>
    </w:p>
    <w:p w14:paraId="6817E51F" w14:textId="77777777" w:rsidR="00E33D71" w:rsidRPr="005E779E" w:rsidRDefault="00E33D71" w:rsidP="000B7A6C">
      <w:pPr>
        <w:pStyle w:val="rtejustify"/>
        <w:spacing w:before="0" w:after="0"/>
        <w:rPr>
          <w:color w:val="000000" w:themeColor="text1"/>
          <w:sz w:val="16"/>
          <w:szCs w:val="16"/>
        </w:rPr>
      </w:pPr>
      <w:r w:rsidRPr="005E779E">
        <w:rPr>
          <w:color w:val="000000" w:themeColor="text1"/>
          <w:sz w:val="16"/>
          <w:szCs w:val="16"/>
        </w:rPr>
        <w:t>Также по нашей работе имеем связь со следующими инженерами Института:</w:t>
      </w:r>
    </w:p>
    <w:p w14:paraId="77BDD0EB" w14:textId="77777777" w:rsidR="00E33D71" w:rsidRPr="005E779E" w:rsidRDefault="00E33D71" w:rsidP="000B7A6C">
      <w:pPr>
        <w:pStyle w:val="rtejustify"/>
        <w:spacing w:before="0" w:after="0"/>
        <w:rPr>
          <w:color w:val="000000" w:themeColor="text1"/>
          <w:sz w:val="16"/>
          <w:szCs w:val="16"/>
        </w:rPr>
      </w:pPr>
      <w:r w:rsidRPr="005E779E">
        <w:rPr>
          <w:color w:val="000000" w:themeColor="text1"/>
          <w:sz w:val="16"/>
          <w:szCs w:val="16"/>
        </w:rPr>
        <w:t>1. АФАНАСЬЕВ, 2. КАРАМЯН, 3. ШЛЕЙТЕР, 4. ЛУНИЕВ, 5. МЕНЬШОВ, 6. КОСТРЫКИН, 7. ТИМРАТ, 8. КОНДРАТЬЕВ, 9. ПАНАСЕНКО, 10. ТЕЗЕНГОЛЬТЦ, 11. БЕЛОБЛОЦКИЙ и 12. КОРНИЦКИЙ.</w:t>
      </w:r>
    </w:p>
    <w:p w14:paraId="4804AE79" w14:textId="77777777" w:rsidR="00E33D71" w:rsidRPr="005E779E" w:rsidRDefault="00E33D71" w:rsidP="000B7A6C">
      <w:pPr>
        <w:pStyle w:val="rtejustify"/>
        <w:spacing w:before="0" w:after="0"/>
        <w:rPr>
          <w:color w:val="000000" w:themeColor="text1"/>
          <w:sz w:val="16"/>
          <w:szCs w:val="16"/>
        </w:rPr>
      </w:pPr>
      <w:r w:rsidRPr="005E779E">
        <w:rPr>
          <w:color w:val="000000" w:themeColor="text1"/>
          <w:sz w:val="16"/>
          <w:szCs w:val="16"/>
        </w:rPr>
        <w:t>НАЧ. ОКБ № 11 ОГПУ (Наумин)</w:t>
      </w:r>
    </w:p>
    <w:p w14:paraId="76A62F65" w14:textId="77777777" w:rsidR="00E33D71" w:rsidRPr="005E779E" w:rsidRDefault="00E33D71" w:rsidP="000B7A6C">
      <w:pPr>
        <w:pStyle w:val="rtejustify"/>
        <w:spacing w:before="0" w:after="0"/>
        <w:rPr>
          <w:color w:val="000000" w:themeColor="text1"/>
          <w:sz w:val="16"/>
          <w:szCs w:val="16"/>
        </w:rPr>
      </w:pPr>
      <w:r w:rsidRPr="005E779E">
        <w:rPr>
          <w:color w:val="000000" w:themeColor="text1"/>
          <w:sz w:val="16"/>
          <w:szCs w:val="16"/>
        </w:rPr>
        <w:t>«26» декабря 1931 года</w:t>
      </w:r>
    </w:p>
    <w:p w14:paraId="607534EB" w14:textId="77777777" w:rsidR="00E33D71" w:rsidRPr="005E779E" w:rsidRDefault="00E33D71" w:rsidP="000B7A6C">
      <w:pPr>
        <w:pStyle w:val="ae"/>
        <w:spacing w:before="0" w:after="0"/>
        <w:jc w:val="both"/>
        <w:rPr>
          <w:color w:val="000000" w:themeColor="text1"/>
          <w:sz w:val="16"/>
          <w:szCs w:val="16"/>
        </w:rPr>
      </w:pPr>
      <w:r w:rsidRPr="005E779E">
        <w:rPr>
          <w:rStyle w:val="af0"/>
          <w:i w:val="0"/>
          <w:color w:val="000000" w:themeColor="text1"/>
          <w:sz w:val="16"/>
          <w:szCs w:val="16"/>
        </w:rPr>
        <w:t>РГАЭ. Ф. 38. Oп. 1. Д. 2. Л. 131. Машинописная копия того времени. Число в дате вписано от руки. В левом верхнем углу написано «26/ХII» (от руки) (19091).</w:t>
      </w:r>
    </w:p>
    <w:p w14:paraId="0B7C05B3" w14:textId="77777777" w:rsidR="00E33D71" w:rsidRPr="005E779E" w:rsidRDefault="00E33D71" w:rsidP="000B7A6C">
      <w:pPr>
        <w:spacing w:after="0" w:line="240" w:lineRule="auto"/>
        <w:jc w:val="both"/>
        <w:rPr>
          <w:rFonts w:ascii="Times New Roman" w:hAnsi="Times New Roman"/>
          <w:color w:val="000000" w:themeColor="text1"/>
          <w:sz w:val="16"/>
          <w:szCs w:val="16"/>
        </w:rPr>
      </w:pPr>
    </w:p>
    <w:p w14:paraId="2FF34DD7" w14:textId="77777777" w:rsidR="005E1AD5"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23FDF238" w14:textId="77777777" w:rsidR="005E1AD5" w:rsidRPr="005E779E" w:rsidRDefault="005E1AD5"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0422243" w14:textId="77777777" w:rsidR="005E1AD5" w:rsidRPr="005E779E" w:rsidRDefault="005E1AD5" w:rsidP="000B7A6C">
      <w:pPr>
        <w:spacing w:after="0" w:line="240" w:lineRule="auto"/>
        <w:jc w:val="both"/>
        <w:rPr>
          <w:rFonts w:ascii="Times New Roman" w:hAnsi="Times New Roman"/>
          <w:color w:val="000000" w:themeColor="text1"/>
          <w:sz w:val="16"/>
          <w:szCs w:val="16"/>
          <w:u w:color="002060"/>
        </w:rPr>
      </w:pPr>
      <w:r w:rsidRPr="005E779E">
        <w:rPr>
          <w:rFonts w:ascii="Times New Roman" w:hAnsi="Times New Roman"/>
          <w:color w:val="000000" w:themeColor="text1"/>
          <w:sz w:val="16"/>
          <w:szCs w:val="16"/>
          <w:u w:color="002060"/>
        </w:rPr>
        <w:t>27 декабря</w:t>
      </w:r>
      <w:r w:rsidRPr="005E779E">
        <w:rPr>
          <w:rFonts w:ascii="Times New Roman" w:hAnsi="Times New Roman"/>
          <w:color w:val="000000" w:themeColor="text1"/>
          <w:sz w:val="16"/>
          <w:szCs w:val="16"/>
        </w:rPr>
        <w:t xml:space="preserve"> 1931 г</w:t>
      </w:r>
      <w:r w:rsidRPr="005E779E">
        <w:rPr>
          <w:rFonts w:ascii="Times New Roman" w:hAnsi="Times New Roman"/>
          <w:color w:val="000000" w:themeColor="text1"/>
          <w:sz w:val="16"/>
          <w:szCs w:val="16"/>
          <w:u w:color="002060"/>
        </w:rPr>
        <w:t>. Постановление СНК СССР о разукрупнении ВАО (РГАЭ. Ф. 3429. Оп. 1. Д. 5265. Л. 246) (12415).</w:t>
      </w:r>
    </w:p>
    <w:p w14:paraId="64294EF6" w14:textId="77777777" w:rsidR="005E1AD5" w:rsidRPr="005E779E" w:rsidRDefault="005E1AD5" w:rsidP="000B7A6C">
      <w:pPr>
        <w:spacing w:after="0" w:line="240" w:lineRule="auto"/>
        <w:jc w:val="both"/>
        <w:rPr>
          <w:rFonts w:ascii="Times New Roman" w:hAnsi="Times New Roman"/>
          <w:color w:val="000000" w:themeColor="text1"/>
          <w:sz w:val="16"/>
          <w:szCs w:val="16"/>
          <w:u w:color="002060"/>
        </w:rPr>
      </w:pPr>
    </w:p>
    <w:p w14:paraId="1FC71F6B"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350CFC80"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E3F8F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декабря 1931 вышло постановление СТО, а 28 декабря 1931 вышел приказ ВСНХ о реорганизации ВАО в ГУАП (Глававиапром) с подчинением ему вновь созданных трестов:</w:t>
      </w:r>
    </w:p>
    <w:p w14:paraId="778106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Самолетостроительного</w:t>
      </w:r>
    </w:p>
    <w:p w14:paraId="2BF2D8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Авиамоторостроительного</w:t>
      </w:r>
    </w:p>
    <w:p w14:paraId="1E6D9D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Треста подсобных предприятий</w:t>
      </w:r>
    </w:p>
    <w:p w14:paraId="6E3F87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Треста ремонтно-запасного производства (1647,5).</w:t>
      </w:r>
    </w:p>
    <w:p w14:paraId="164595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6928C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 декабря 1931 ленинградский з-д № 7 (Арсенал, ЗИФ) получил заказ на 44 пушки АПК-4 со сроком сдачи 1 июля 1932. Ствол и поковки делал з-д Большевик, автоматику и самолетное оборудование - з-д № 39. К концу года смогли сделать и сдать только 4 (3996, 90).</w:t>
      </w:r>
    </w:p>
    <w:p w14:paraId="3F15E5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61970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 декабря 1931 г. ленинградскому заводу № 7 был выдан заказ на 44 пушки АПК-4 со сроком сдачи к 1 июля 1932 г. Ствол и все стальные поковки для АПК-4 делал завод «Большевик», а отдельные детали и сборку пушек производил завод № 7. Автоматику для пушки и самолетное оборудование для них делал завод № 39. Курчевский постоянно вносил изменения в рабочие чертежи пушки и тем сорвал сроки. Из-за этого к концу 1932 г. заводу № 7 удалось изготовить 44 пушки, а сдать заказчику только 4. Остальные 40 пушек были сданы в 1933 г. (12091).</w:t>
      </w:r>
    </w:p>
    <w:p w14:paraId="59081B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7186560" w14:textId="77777777" w:rsidR="005E1AD5"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6DF5D9B5" w14:textId="77777777" w:rsidR="005E1AD5" w:rsidRPr="005E779E" w:rsidRDefault="005E1AD5"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BADD9B0" w14:textId="77777777" w:rsidR="003F3047" w:rsidRPr="005E779E" w:rsidRDefault="003F3047"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28 декабря</w:t>
      </w:r>
      <w:r w:rsidRPr="005E779E">
        <w:rPr>
          <w:rFonts w:ascii="Times New Roman" w:hAnsi="Times New Roman"/>
          <w:color w:val="000000" w:themeColor="text1"/>
          <w:sz w:val="16"/>
          <w:szCs w:val="16"/>
        </w:rPr>
        <w:t xml:space="preserve"> в 1931 году образовано Главное управление авиационной промышленности (ГУАП) ВСНХ (14874).</w:t>
      </w:r>
    </w:p>
    <w:p w14:paraId="2784DBD4" w14:textId="77777777" w:rsidR="003F3047" w:rsidRPr="005E779E" w:rsidRDefault="003F3047" w:rsidP="000B7A6C">
      <w:pPr>
        <w:spacing w:after="0" w:line="240" w:lineRule="auto"/>
        <w:jc w:val="both"/>
        <w:rPr>
          <w:rFonts w:ascii="Times New Roman" w:hAnsi="Times New Roman"/>
          <w:color w:val="000000" w:themeColor="text1"/>
          <w:sz w:val="16"/>
          <w:szCs w:val="16"/>
        </w:rPr>
      </w:pPr>
    </w:p>
    <w:p w14:paraId="2EF211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28 декабря 1931 г. заводу (Механический завод № 7 ВСНХ, «Санкт-Петербургский арсенал», Санкт-Петербургский Орудийный завод им. Петра I, Механический артиллерийский завод «Арсенал Петра Великого», Ленинградский государственный механический артиллерийский завод «Красный Арсенал» ВСНХ, ГС машиностроительный завод № 7 им. 1-го Мая НКТП, НКОП, ГС завод № 7 им. М.В. Фрунзе НКВ, </w:t>
      </w:r>
      <w:r w:rsidRPr="005E779E">
        <w:rPr>
          <w:rFonts w:ascii="Times New Roman" w:hAnsi="Times New Roman"/>
          <w:color w:val="000000" w:themeColor="text1"/>
          <w:sz w:val="16"/>
          <w:szCs w:val="16"/>
          <w:lang w:val="en-US"/>
        </w:rPr>
        <w:t>MB</w:t>
      </w:r>
      <w:r w:rsidRPr="005E779E">
        <w:rPr>
          <w:rFonts w:ascii="Times New Roman" w:hAnsi="Times New Roman"/>
          <w:color w:val="000000" w:themeColor="text1"/>
          <w:sz w:val="16"/>
          <w:szCs w:val="16"/>
        </w:rPr>
        <w:t xml:space="preserve">, МОП, ГКОТ, Ленинградский завод им. М.В. Фрунзе (ЗИФ), ПО «Арсенал» им. М.В. Фрунзе </w:t>
      </w:r>
      <w:r w:rsidRPr="005E779E">
        <w:rPr>
          <w:rFonts w:ascii="Times New Roman" w:hAnsi="Times New Roman"/>
          <w:color w:val="000000" w:themeColor="text1"/>
          <w:sz w:val="16"/>
          <w:szCs w:val="16"/>
          <w:lang w:val="en-US"/>
        </w:rPr>
        <w:t>MOM</w:t>
      </w:r>
      <w:r w:rsidRPr="005E779E">
        <w:rPr>
          <w:rFonts w:ascii="Times New Roman" w:hAnsi="Times New Roman"/>
          <w:color w:val="000000" w:themeColor="text1"/>
          <w:sz w:val="16"/>
          <w:szCs w:val="16"/>
        </w:rPr>
        <w:t xml:space="preserve">, АООТ «ЗПТ «Арсенал», АООТ «Холдинговая компания (ХК) «Арсенал», ОАО «Машиностроительный завод (МЗ) «Арсенал» /г. Санкт-Петербург, г. Петроград; г. Ленинград, 9 п/я 671 (1937г.)/ /195009 г. Санкт-Петербург ул. Комсомола, 1/3 тел. 542-28-46, 542-79-00/) был выдан заказ на изготовление 44 76,2-мм динамореактивных пушек (ДРП) АПК-4 («342») Л.В. Курчевского со сроком сдачи 1.07.1931 г. (изготовлены в 1933г.). На 1934г. заводу заказано 100 АПК-4бис, сделано 28. от </w:t>
      </w:r>
    </w:p>
    <w:p w14:paraId="17A5CC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EA1F39B" w14:textId="77777777" w:rsidR="0075269A" w:rsidRPr="005E779E" w:rsidRDefault="0075269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 декабря 1931 г. ленинградскому заводу № 7 был выдан заказ на 44 пушки АПК-4 со сроком сдачи к 1 июля 1932 г. Ствол и все стальные поковки для АПК-4 делал завод «Большевик», а отдельные детали и сборку пушек производил завод № 7. Автоматику для пушки и самолетное оборудование для них делал завод № 39.</w:t>
      </w:r>
    </w:p>
    <w:p w14:paraId="360B5D3F" w14:textId="77777777" w:rsidR="0075269A" w:rsidRPr="005E779E" w:rsidRDefault="0075269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Курчевский постоянно вносил изменения в рабочие чертежи пушки и тем сорвал сроки. Из-за этого к концу 1932 г. заводу № 7 удалось изготовить 44 пушки, а сдать заказчику только 4. Остальные 40 пушек были сданы в 1933 г.</w:t>
      </w:r>
    </w:p>
    <w:p w14:paraId="6D050EDA" w14:textId="77777777" w:rsidR="0075269A" w:rsidRPr="005E779E" w:rsidRDefault="0075269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Автоматика АПК-4 работала из рук вон плохо. Поэтому Курчевский переделал ее, а пушка получила название АПК4бис. Первый экземпляр АПК-4 был закончен в июне 1932 г. В 1933 г. 40 пушек АПК-4 были переделаны в ОКБ-1 на АПК-4бис.</w:t>
      </w:r>
    </w:p>
    <w:p w14:paraId="7617C0A5" w14:textId="77777777" w:rsidR="0075269A" w:rsidRPr="005E779E" w:rsidRDefault="0075269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1934 г. заводу № 7 было заказано 100 пушек АПК4бис. Трубы и сопла по-прежнему делал завод «Большевик». К концу года было собрано 28 систем и создан задел на 75 систем. Но ни одна из собранных пушек заводские испытания не выдержала. Курчевский вновь изменил чертежи. Новый вариант получил название АПК-4М. 28 собранных систем были отправлены на завод № 38 на переделку.</w:t>
      </w:r>
    </w:p>
    <w:p w14:paraId="08467919" w14:textId="77777777" w:rsidR="0075269A" w:rsidRPr="005E779E" w:rsidRDefault="0075269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Параллельно с заводом № 7 к производству АПК-4 Орджоникидзе и Павлуновский решили привлечь и горьковский завод № 92. Однако руководство завода без энтузиазма отнеслось к работам над ДРП и предпочитало им заказы по дивизионным пушкам. На 1932 г. заводу № 92 заказали 16 АПК-4, но до конца года он не сдал ни одной. На следующий год заводу заказали еще 50 штук АПК-4. Но руководство завода добилось снятия заказа и так и не сдало ни одной пушки. В 1934 г. начальство заставило завод № 92 делать хотя бы заготовки труб для АПК-4. В 1935 г. он должен был изготовить 350 труб для завода № 8, но тут горьковчане постарались и изготовили 370 труб.</w:t>
      </w:r>
    </w:p>
    <w:p w14:paraId="12A07100" w14:textId="77777777" w:rsidR="0075269A" w:rsidRPr="005E779E" w:rsidRDefault="0075269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 апреля 1935 г. нарком тяжелой промышленности Орджоникидзе издает грозный приказ: «Головным заводом по авиационным системам (авиапушкам) считать завод № 8… В 1935 г. изготовить 500 систем АПК-4, в том числе 300 на заводе № 8 и 200 на заводе № 7. Производство АПК-4 заводу № 7 вести под техническим руководством завода № 8. Директору завода № 7 Сухомлинову приступить к подготовке валового производства АПК-4, начав задел с мая, чтобы с сентября начать валовое производство. В противном случае Сухомлинов будет снят с работы».</w:t>
      </w:r>
    </w:p>
    <w:p w14:paraId="301BDA54" w14:textId="77777777" w:rsidR="0075269A" w:rsidRPr="005E779E" w:rsidRDefault="0075269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Однако завод № 8 в 1935 г. сдал заказчику только 13 пушек. А 11 декабря 1935 г. директор завода потребовал у ГУВП (Главное управление военной промышленности) снять с завода заказ по АПК-4, мотивируя это крупными конструктивными дефектами системы. Начальство пошло навстречу заводу, тем более что в 1930-х годах завод № 8 был единственным в СССР, производящим противотанковые, танковые и зенитные пушки, а также морские орудия калибра 45–76 мм. Завод № 7 из 212 заказанных на 1935 г. пушек изготовил только 13, но к 1 декабря 1935 г. ни одна из них не была принята заказчиком (12705).</w:t>
      </w:r>
    </w:p>
    <w:p w14:paraId="37938D60" w14:textId="77777777" w:rsidR="0075269A" w:rsidRPr="005E779E" w:rsidRDefault="0075269A" w:rsidP="000B7A6C">
      <w:pPr>
        <w:spacing w:after="0" w:line="240" w:lineRule="auto"/>
        <w:jc w:val="both"/>
        <w:rPr>
          <w:rFonts w:ascii="Times New Roman" w:hAnsi="Times New Roman"/>
          <w:color w:val="000000" w:themeColor="text1"/>
          <w:sz w:val="16"/>
          <w:szCs w:val="16"/>
        </w:rPr>
      </w:pPr>
    </w:p>
    <w:p w14:paraId="21F80C47" w14:textId="77777777" w:rsidR="008070AE" w:rsidRPr="00142305" w:rsidRDefault="008070AE" w:rsidP="008070AE">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28 декабря 1931 г. ленинградскому заводу № 7 был выдан заказ на 44 пушки Курчевского АПК-4 со сроком сдачи к 1 июля 1932 г. Ствол и все стальные поковки для АПК-4 делал завод «Большевик», а отдельные детали и сборку пушек производил завод № 7. Автоматику для пушки и самолетное оборудование для них делал завод № 39.</w:t>
      </w:r>
    </w:p>
    <w:p w14:paraId="43FBD463" w14:textId="77777777" w:rsidR="008070AE" w:rsidRPr="00142305" w:rsidRDefault="008070AE" w:rsidP="008070AE">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lastRenderedPageBreak/>
        <w:t>Курчевский постоянно вносил изменение в рабочие чертежи пушки и тем сорвал сроки. Из-за этого к концу 1932 г. заводу № 7 удалось изготовить 44 пушки, а сдать заказчику только 4. Остальные 40 пушек были сданы в 1933 г.</w:t>
      </w:r>
    </w:p>
    <w:p w14:paraId="2F0FB694" w14:textId="77777777" w:rsidR="008070AE" w:rsidRPr="00142305" w:rsidRDefault="008070AE" w:rsidP="008070AE">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Автоматика АПК-4 работала из рук вон плохо. Поэтому Курчевский переделал ее, а пушка получила название АПК-4бис. Первый экземпляр АПК-4 был закончен в июне 1932 г. В 1933 г. 40 пушек АПК-4 были переделаны в ОКБ-1 на АПК-4бис (25213).</w:t>
      </w:r>
    </w:p>
    <w:p w14:paraId="08DC12BA" w14:textId="77777777" w:rsidR="008070AE" w:rsidRPr="00142305" w:rsidRDefault="008070AE" w:rsidP="008070AE">
      <w:pPr>
        <w:spacing w:after="0" w:line="240" w:lineRule="auto"/>
        <w:jc w:val="both"/>
        <w:rPr>
          <w:rFonts w:ascii="Times New Roman" w:hAnsi="Times New Roman"/>
          <w:color w:val="0070C0"/>
          <w:sz w:val="16"/>
          <w:szCs w:val="16"/>
        </w:rPr>
      </w:pPr>
    </w:p>
    <w:p w14:paraId="32A372F1" w14:textId="77777777" w:rsidR="0075269A" w:rsidRPr="005E779E" w:rsidRDefault="0075269A"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 декабря 1931 было подготовлено письмо Начальнику штаба Лен округа:</w:t>
      </w:r>
    </w:p>
    <w:p w14:paraId="437D63F0" w14:textId="77777777" w:rsidR="0075269A" w:rsidRPr="005E779E" w:rsidRDefault="0075269A"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 состоянии дел с 76-мм САУ</w:t>
      </w:r>
    </w:p>
    <w:p w14:paraId="3C6FC69A" w14:textId="77777777" w:rsidR="0075269A" w:rsidRPr="005E779E" w:rsidRDefault="0075269A"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САУ полковой пушки обр. 1927 г. на шасси мореланд, переданные для испытаний 11 стрелковой дивизии, требу</w:t>
      </w:r>
      <w:r w:rsidRPr="005E779E">
        <w:rPr>
          <w:rFonts w:ascii="Times New Roman" w:hAnsi="Times New Roman"/>
          <w:color w:val="000000" w:themeColor="text1"/>
          <w:sz w:val="16"/>
          <w:szCs w:val="16"/>
        </w:rPr>
        <w:softHyphen/>
        <w:t>ют серьезных конструктивных доработок и испытания стрельбой на НИАПе...</w:t>
      </w:r>
    </w:p>
    <w:p w14:paraId="2722E8AD" w14:textId="77777777" w:rsidR="0075269A" w:rsidRPr="005E779E" w:rsidRDefault="0075269A"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 Подпись (11417).</w:t>
      </w:r>
    </w:p>
    <w:p w14:paraId="0144E974" w14:textId="77777777" w:rsidR="0075269A" w:rsidRPr="005E779E" w:rsidRDefault="0075269A"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BCA7E2" w14:textId="77777777" w:rsidR="005E1AD5" w:rsidRPr="005E779E" w:rsidRDefault="005E1AD5" w:rsidP="000B7A6C">
      <w:pPr>
        <w:spacing w:after="0" w:line="240" w:lineRule="auto"/>
        <w:jc w:val="both"/>
        <w:rPr>
          <w:rFonts w:ascii="Times New Roman" w:hAnsi="Times New Roman"/>
          <w:color w:val="000000" w:themeColor="text1"/>
          <w:sz w:val="16"/>
          <w:szCs w:val="16"/>
        </w:rPr>
      </w:pPr>
      <w:r w:rsidRPr="005E779E">
        <w:rPr>
          <w:rStyle w:val="a7"/>
          <w:rFonts w:ascii="Times New Roman" w:hAnsi="Times New Roman"/>
          <w:b w:val="0"/>
          <w:color w:val="000000" w:themeColor="text1"/>
          <w:sz w:val="16"/>
          <w:szCs w:val="16"/>
        </w:rPr>
        <w:t xml:space="preserve">28 декабря 1931 </w:t>
      </w:r>
      <w:r w:rsidRPr="005E779E">
        <w:rPr>
          <w:rFonts w:ascii="Times New Roman" w:hAnsi="Times New Roman"/>
          <w:color w:val="000000" w:themeColor="text1"/>
          <w:sz w:val="16"/>
          <w:szCs w:val="16"/>
        </w:rPr>
        <w:t>2-я сессия ЦИК 6-го созыва приняла постановления: «О едином государственном бюджете СССР иа 1932 г.», «По отчету об исполнении государственного бюджета СССР за 1929/30 г.» (12265).</w:t>
      </w:r>
    </w:p>
    <w:p w14:paraId="1F817168" w14:textId="77777777" w:rsidR="005E1AD5" w:rsidRPr="005E779E" w:rsidRDefault="005E1AD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w:t>
      </w:r>
    </w:p>
    <w:p w14:paraId="43E85BBA"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4413CA35"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64132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 декабря 1931 вышло Секретное постановление СНК СССР "О хозяйственном устройстве спецпереселенцев в Нарымском крае" (10687).</w:t>
      </w:r>
    </w:p>
    <w:p w14:paraId="4E4359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8D4B285"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lang w:val="en-US"/>
        </w:rPr>
      </w:pPr>
      <w:r w:rsidRPr="005E779E">
        <w:rPr>
          <w:rFonts w:ascii="Times New Roman" w:hAnsi="Times New Roman"/>
          <w:i/>
          <w:iCs/>
          <w:color w:val="000000" w:themeColor="text1"/>
          <w:sz w:val="16"/>
          <w:szCs w:val="16"/>
        </w:rPr>
        <w:t>За</w:t>
      </w:r>
      <w:r w:rsidRPr="005E779E">
        <w:rPr>
          <w:rFonts w:ascii="Times New Roman" w:hAnsi="Times New Roman"/>
          <w:i/>
          <w:iCs/>
          <w:color w:val="000000" w:themeColor="text1"/>
          <w:sz w:val="16"/>
          <w:szCs w:val="16"/>
          <w:lang w:val="en-US"/>
        </w:rPr>
        <w:t xml:space="preserve"> </w:t>
      </w:r>
      <w:r w:rsidRPr="005E779E">
        <w:rPr>
          <w:rFonts w:ascii="Times New Roman" w:hAnsi="Times New Roman"/>
          <w:i/>
          <w:iCs/>
          <w:color w:val="000000" w:themeColor="text1"/>
          <w:sz w:val="16"/>
          <w:szCs w:val="16"/>
        </w:rPr>
        <w:t>рубежом</w:t>
      </w:r>
      <w:r w:rsidRPr="005E779E">
        <w:rPr>
          <w:rFonts w:ascii="Times New Roman" w:hAnsi="Times New Roman"/>
          <w:i/>
          <w:iCs/>
          <w:color w:val="000000" w:themeColor="text1"/>
          <w:sz w:val="16"/>
          <w:szCs w:val="16"/>
          <w:lang w:val="en-US"/>
        </w:rPr>
        <w:t>:</w:t>
      </w:r>
    </w:p>
    <w:p w14:paraId="62D15C46"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14CDDF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r w:rsidRPr="005E779E">
        <w:rPr>
          <w:rFonts w:ascii="Times New Roman" w:hAnsi="Times New Roman"/>
          <w:color w:val="000000" w:themeColor="text1"/>
          <w:sz w:val="16"/>
          <w:szCs w:val="16"/>
          <w:lang w:val="en-US"/>
        </w:rPr>
        <w:t>December 28, 1931 - Irene Joliot-Curie reports studying penetrating particles produced by beryllium when bombarded by alpha rays. She believes the particles, which are actually neutrons, to be energetic gamma rays (1039).</w:t>
      </w:r>
    </w:p>
    <w:p w14:paraId="3915EE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lang w:val="en-US"/>
        </w:rPr>
      </w:pPr>
    </w:p>
    <w:p w14:paraId="19603B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 декабря 1931 Irene Joliot-Curie сообщила о том, что наблюдает нейтроны (1039).</w:t>
      </w:r>
    </w:p>
    <w:p w14:paraId="1BCAF1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3A3B35B"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4A24810D"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577A5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 декабря 1931 г. при ознакомлении на месте в ЦАГИ с АНТ-9, переданным ВОГФ в ЦАГИ ВАО в мае 1931 для переоборудования в бомбардировщик, было установлено, что самолет не закончен и работы ведутся неудовлетворительно (3045,19).</w:t>
      </w:r>
    </w:p>
    <w:p w14:paraId="0A0732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плану ЦАГИ на 1932 год окончание работ по самолету и сдача его на испытания намечается в апреле с.г.</w:t>
      </w:r>
    </w:p>
    <w:p w14:paraId="512D9776"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D186F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 (28 - 237,163) декабря 1931 ВАО было преобразовано в ГУАП при ВСНХ (228,84), а с 10 января 1932 - при НКТП (7383, 6).</w:t>
      </w:r>
    </w:p>
    <w:p w14:paraId="0D7374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Количественное и качественное развитие авиационной индустрии непомерно усложняло задачи и расширяло функции ВАО, которое вскоре потеряло оперативность и слабо обеспечивало прогресс в авиастроении (275).</w:t>
      </w:r>
    </w:p>
    <w:p w14:paraId="214494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декабря 1931 появилось ГУАП ВСНХ (173,238).</w:t>
      </w:r>
    </w:p>
    <w:p w14:paraId="5EF025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Проанализировав сложившуюся обстановку, СТО в декабре 1931 преобразовал ВАО в Главное управление авиационной промышленностью (Глававиапром) с подчинением ему вновь созданных трестов: самолетостроительного, авиамоторостроительного, подсобных предприятий и ремонтно-запасного производства (600). Но эта мера была лишь частью широкого плана коренного изменения системы управления народным хозяйством, предусматривавшего разукрупнение ВСНХ СССР как универсального Наркомата промышленности и переход к отраслевому руководству народным хозяйством (275).</w:t>
      </w:r>
    </w:p>
    <w:p w14:paraId="3DDDEE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П.И.Баранов стал зам. председателя ВСНХ по АП (373,79).</w:t>
      </w:r>
    </w:p>
    <w:p w14:paraId="0619B2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2D12C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 декабря 1931 г. ВАО было преобразовано в Главное управление авиаци</w:t>
      </w:r>
      <w:r w:rsidRPr="005E779E">
        <w:rPr>
          <w:rFonts w:ascii="Times New Roman" w:hAnsi="Times New Roman"/>
          <w:color w:val="000000" w:themeColor="text1"/>
          <w:sz w:val="16"/>
          <w:szCs w:val="16"/>
        </w:rPr>
        <w:softHyphen/>
        <w:t>онной промышленности при ВСНХ СССР, с 10 января 1932 г. - при Народном комиссариате тяжелой промыш</w:t>
      </w:r>
      <w:r w:rsidRPr="005E779E">
        <w:rPr>
          <w:rFonts w:ascii="Times New Roman" w:hAnsi="Times New Roman"/>
          <w:color w:val="000000" w:themeColor="text1"/>
          <w:sz w:val="16"/>
          <w:szCs w:val="16"/>
        </w:rPr>
        <w:softHyphen/>
        <w:t>ленности, а позже, с декабря 1936 г., - в Первое главное (авиационное) управление Наркомата оборонной про</w:t>
      </w:r>
      <w:r w:rsidRPr="005E779E">
        <w:rPr>
          <w:rFonts w:ascii="Times New Roman" w:hAnsi="Times New Roman"/>
          <w:color w:val="000000" w:themeColor="text1"/>
          <w:sz w:val="16"/>
          <w:szCs w:val="16"/>
        </w:rPr>
        <w:softHyphen/>
        <w:t>мышленности (10667).</w:t>
      </w:r>
    </w:p>
    <w:p w14:paraId="4DB2E9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3AE53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 (28 - 237,163) декабря 1931 ВАО было преобразовано в ГУАП при ВСНХ (228,84), а с 10 января 1932 - при НКТП (7383, 6).</w:t>
      </w:r>
    </w:p>
    <w:p w14:paraId="31D649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Количественное и качественное развитие авиационной индустрии непомерно усложняло задачи и расширяло функции ВАО, которое вскоре потеряло оперативность и слабо обеспечивало прогресс в авиастроении (275).</w:t>
      </w:r>
    </w:p>
    <w:p w14:paraId="04D7E3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декабря 1931 появилось ГУАП ВСНХ (173,238).</w:t>
      </w:r>
    </w:p>
    <w:p w14:paraId="692D57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Проанализировав сложившуюся обстановку, СТО в декабре 1931 преобразовал ВАО в Главное управление авиационной промышленностью (Глававиапром) с подчинением ему вновь созданных трестов: самолетостроительного, авиамоторостроительного, подсобных предприятий и ремонтно-запасного производства (600). Но эта мера была лишь частью широкого плана коренного изменения системы управления народным хозяйством, предусматривавшего разукрупнение ВСНХ СССР как универсального Наркомата промышленности и переход к отраслевому руководству народным хозяйством (275).</w:t>
      </w:r>
    </w:p>
    <w:p w14:paraId="0B89D4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П.И.Баранов стал зам. председателя ВСНХ по АП (373,79).</w:t>
      </w:r>
    </w:p>
    <w:p w14:paraId="419AC9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A22CF1A" w14:textId="77777777" w:rsidR="0078004B" w:rsidRPr="005E779E" w:rsidRDefault="0078004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29 декабря 1931 г. ВАО ВСНХ преобразуется в </w:t>
      </w:r>
      <w:r w:rsidRPr="005E779E">
        <w:rPr>
          <w:rFonts w:ascii="Times New Roman" w:hAnsi="Times New Roman"/>
          <w:bCs/>
          <w:iCs/>
          <w:color w:val="000000" w:themeColor="text1"/>
          <w:sz w:val="16"/>
          <w:szCs w:val="16"/>
        </w:rPr>
        <w:t xml:space="preserve">Главное управление авиационной промышленности </w:t>
      </w:r>
      <w:r w:rsidRPr="005E779E">
        <w:rPr>
          <w:rFonts w:ascii="Times New Roman" w:hAnsi="Times New Roman"/>
          <w:color w:val="000000" w:themeColor="text1"/>
          <w:sz w:val="16"/>
          <w:szCs w:val="16"/>
        </w:rPr>
        <w:t>(</w:t>
      </w:r>
      <w:r w:rsidRPr="005E779E">
        <w:rPr>
          <w:rFonts w:ascii="Times New Roman" w:hAnsi="Times New Roman"/>
          <w:bCs/>
          <w:iCs/>
          <w:color w:val="000000" w:themeColor="text1"/>
          <w:sz w:val="16"/>
          <w:szCs w:val="16"/>
        </w:rPr>
        <w:t>ГУАП</w:t>
      </w:r>
      <w:r w:rsidRPr="005E779E">
        <w:rPr>
          <w:rFonts w:ascii="Times New Roman" w:hAnsi="Times New Roman"/>
          <w:color w:val="000000" w:themeColor="text1"/>
          <w:sz w:val="16"/>
          <w:szCs w:val="16"/>
        </w:rPr>
        <w:t xml:space="preserve">) </w:t>
      </w:r>
      <w:r w:rsidRPr="005E779E">
        <w:rPr>
          <w:rFonts w:ascii="Times New Roman" w:hAnsi="Times New Roman"/>
          <w:bCs/>
          <w:iCs/>
          <w:color w:val="000000" w:themeColor="text1"/>
          <w:sz w:val="16"/>
          <w:szCs w:val="16"/>
        </w:rPr>
        <w:t xml:space="preserve">при ВСНХ </w:t>
      </w:r>
      <w:r w:rsidRPr="005E779E">
        <w:rPr>
          <w:rFonts w:ascii="Times New Roman" w:hAnsi="Times New Roman"/>
          <w:color w:val="000000" w:themeColor="text1"/>
          <w:sz w:val="16"/>
          <w:szCs w:val="16"/>
        </w:rPr>
        <w:t xml:space="preserve">с двумя трестами – Самолётостроительным (Ф.С. Малахов – начальник, И.М. Косткин – зам. начальника) и Моторостроительным. Но в январе 1932 года ВСНХ упраздняется и заменяется тремя наркоматами – тяжелой (НКТП), легкой (НКЛП) и лесной промышленности. И с 10 января 1932 г. ГУАП с трестами уже числится не при ВСНХ, а </w:t>
      </w:r>
      <w:r w:rsidRPr="005E779E">
        <w:rPr>
          <w:rFonts w:ascii="Times New Roman" w:hAnsi="Times New Roman"/>
          <w:bCs/>
          <w:iCs/>
          <w:color w:val="000000" w:themeColor="text1"/>
          <w:sz w:val="16"/>
          <w:szCs w:val="16"/>
        </w:rPr>
        <w:t>при НКТП</w:t>
      </w:r>
      <w:r w:rsidRPr="005E779E">
        <w:rPr>
          <w:rFonts w:ascii="Times New Roman" w:hAnsi="Times New Roman"/>
          <w:color w:val="000000" w:themeColor="text1"/>
          <w:sz w:val="16"/>
          <w:szCs w:val="16"/>
        </w:rPr>
        <w:t xml:space="preserve">. В 1933 г. хозрасчётные тресты ликвидированы и заменены одноимёнными госбюджетными управлениями в составе ГУАП. ГУАП при НКТП просуществовало до конца 1936 года, когда было заменено 1-м (самолётным) Главным управлением Наркомата оборонной промышленности (НКОП). </w:t>
      </w:r>
    </w:p>
    <w:p w14:paraId="547009A9" w14:textId="77777777" w:rsidR="0078004B" w:rsidRPr="005E779E" w:rsidRDefault="0078004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Начальником ГУАП (и зам. Наркомтяжпрома по Авиапрому) был назначен П.И. Баранов, крупная фигура в истории советских военно-воздушных сил и авиастроения. После его гибели в авиакатастрофе в сентябре 1933 г. этот пост последовательно занимали, как переходные фигуры, Георгий Никитич Королёв (в то время - директор завода №26) и – как «исполняющий обязанности» - Семён Леонтьевич Марголин (в то время - директор завода №39). А с 4 декабря 1935 г., в расчёте на перспективу, был назначен Михаил Моисеевич Каганович. С 30 декабря он стал начальником образованного 1-го ГУ НКОП (12724).</w:t>
      </w:r>
    </w:p>
    <w:p w14:paraId="692F83D7" w14:textId="432D555B" w:rsidR="0078004B" w:rsidRPr="005E779E" w:rsidRDefault="0078004B" w:rsidP="000B7A6C">
      <w:pPr>
        <w:spacing w:after="0" w:line="240" w:lineRule="auto"/>
        <w:jc w:val="both"/>
        <w:rPr>
          <w:rFonts w:ascii="Times New Roman" w:hAnsi="Times New Roman"/>
          <w:bCs/>
          <w:color w:val="000000" w:themeColor="text1"/>
          <w:sz w:val="16"/>
          <w:szCs w:val="16"/>
        </w:rPr>
      </w:pPr>
    </w:p>
    <w:p w14:paraId="1548C50F" w14:textId="77777777" w:rsidR="00AA2A29" w:rsidRPr="005E779E" w:rsidRDefault="00AA2A2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 декабря 1931 г. ВАО было преобразовано в Главное управле</w:t>
      </w:r>
      <w:r w:rsidRPr="005E779E">
        <w:rPr>
          <w:rFonts w:ascii="Times New Roman" w:hAnsi="Times New Roman"/>
          <w:color w:val="000000" w:themeColor="text1"/>
          <w:sz w:val="16"/>
          <w:szCs w:val="16"/>
        </w:rPr>
        <w:softHyphen/>
        <w:t>ние авиационной промышленности при ВСНХ СССР, с 10 января 1932 г. - при Народном комиссариате тя</w:t>
      </w:r>
      <w:r w:rsidRPr="005E779E">
        <w:rPr>
          <w:rFonts w:ascii="Times New Roman" w:hAnsi="Times New Roman"/>
          <w:color w:val="000000" w:themeColor="text1"/>
          <w:sz w:val="16"/>
          <w:szCs w:val="16"/>
        </w:rPr>
        <w:softHyphen/>
        <w:t>желой промышленности, а позже, с декабря 1936 г., - в Первое главное (авиационное) управление Нарко</w:t>
      </w:r>
      <w:r w:rsidRPr="005E779E">
        <w:rPr>
          <w:rFonts w:ascii="Times New Roman" w:hAnsi="Times New Roman"/>
          <w:color w:val="000000" w:themeColor="text1"/>
          <w:sz w:val="16"/>
          <w:szCs w:val="16"/>
        </w:rPr>
        <w:softHyphen/>
        <w:t>мата оборонной промышленности (23406).</w:t>
      </w:r>
    </w:p>
    <w:p w14:paraId="23BC96A9" w14:textId="77777777" w:rsidR="00AA2A29" w:rsidRPr="005E779E" w:rsidRDefault="00AA2A29" w:rsidP="000B7A6C">
      <w:pPr>
        <w:spacing w:after="0" w:line="240" w:lineRule="auto"/>
        <w:jc w:val="both"/>
        <w:rPr>
          <w:rFonts w:ascii="Times New Roman" w:hAnsi="Times New Roman"/>
          <w:color w:val="000000" w:themeColor="text1"/>
          <w:sz w:val="16"/>
          <w:szCs w:val="16"/>
        </w:rPr>
      </w:pPr>
    </w:p>
    <w:p w14:paraId="536D4331" w14:textId="77777777" w:rsidR="00511838" w:rsidRPr="00142305" w:rsidRDefault="00511838" w:rsidP="0051183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29 декабря 1931 г. ВАО было преобразовано в Главное управление авиационной промышленности при ВСНХ СССР, с 10 января 1932 г. — при Народном комиссариате тяжелой промышленности, а позже, с декабря 1936 г., — в Первое главное (авиационное) управление Наркомата оборонной промышленности (25035).</w:t>
      </w:r>
    </w:p>
    <w:p w14:paraId="21B7959B" w14:textId="77777777" w:rsidR="00511838" w:rsidRPr="00142305" w:rsidRDefault="00511838" w:rsidP="00511838">
      <w:pPr>
        <w:spacing w:after="0" w:line="240" w:lineRule="auto"/>
        <w:jc w:val="both"/>
        <w:rPr>
          <w:rFonts w:ascii="Times New Roman" w:hAnsi="Times New Roman"/>
          <w:color w:val="0070C0"/>
          <w:sz w:val="16"/>
          <w:szCs w:val="16"/>
        </w:rPr>
      </w:pPr>
    </w:p>
    <w:p w14:paraId="3D306BFC" w14:textId="6258B1F9" w:rsidR="00901F99" w:rsidRPr="005E779E" w:rsidRDefault="00901F99" w:rsidP="000B7A6C">
      <w:pPr>
        <w:spacing w:after="0" w:line="240" w:lineRule="auto"/>
        <w:jc w:val="both"/>
        <w:rPr>
          <w:rFonts w:ascii="Times New Roman" w:hAnsi="Times New Roman"/>
          <w:bCs/>
          <w:i/>
          <w:iCs/>
          <w:color w:val="000000" w:themeColor="text1"/>
          <w:sz w:val="16"/>
          <w:szCs w:val="16"/>
        </w:rPr>
      </w:pPr>
      <w:r w:rsidRPr="005E779E">
        <w:rPr>
          <w:rFonts w:ascii="Times New Roman" w:hAnsi="Times New Roman"/>
          <w:bCs/>
          <w:i/>
          <w:iCs/>
          <w:color w:val="000000" w:themeColor="text1"/>
          <w:sz w:val="16"/>
          <w:szCs w:val="16"/>
        </w:rPr>
        <w:t>За рубежом:</w:t>
      </w:r>
    </w:p>
    <w:p w14:paraId="2876AAD8" w14:textId="77777777" w:rsidR="00901F99" w:rsidRPr="005E779E" w:rsidRDefault="00901F99" w:rsidP="000B7A6C">
      <w:pPr>
        <w:spacing w:after="0" w:line="240" w:lineRule="auto"/>
        <w:jc w:val="both"/>
        <w:rPr>
          <w:rFonts w:ascii="Times New Roman" w:hAnsi="Times New Roman"/>
          <w:bCs/>
          <w:i/>
          <w:iCs/>
          <w:color w:val="000000" w:themeColor="text1"/>
          <w:sz w:val="16"/>
          <w:szCs w:val="16"/>
        </w:rPr>
      </w:pPr>
    </w:p>
    <w:p w14:paraId="19DFE012" w14:textId="77777777" w:rsidR="00901F99" w:rsidRPr="005E779E" w:rsidRDefault="00901F9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 декабря 1931 во время взлета французские авиаторы Луи Майю и Жан Мармоз на Bernard 81 GR Antoine Paillard в попытке установить новый рекорд дальности беспосадочного полета по замкнутому маршрута без дозаправки, пропеллер самолета задевает землю, и его шасси разрушается. Двое мужчин избежали аварии, получив лишь несколько синяков, и самолет в конце концов отремонтировали (20804).</w:t>
      </w:r>
    </w:p>
    <w:p w14:paraId="3CA3CBA3" w14:textId="77777777" w:rsidR="00901F99" w:rsidRPr="005E779E" w:rsidRDefault="00901F99" w:rsidP="000B7A6C">
      <w:pPr>
        <w:spacing w:after="0" w:line="240" w:lineRule="auto"/>
        <w:jc w:val="both"/>
        <w:rPr>
          <w:rFonts w:ascii="Times New Roman" w:hAnsi="Times New Roman"/>
          <w:color w:val="000000" w:themeColor="text1"/>
          <w:sz w:val="16"/>
          <w:szCs w:val="16"/>
        </w:rPr>
      </w:pPr>
    </w:p>
    <w:p w14:paraId="72C7EF6C" w14:textId="77777777" w:rsidR="00901F99" w:rsidRPr="005E779E" w:rsidRDefault="00901F99" w:rsidP="000B7A6C">
      <w:pPr>
        <w:spacing w:after="0" w:line="240" w:lineRule="auto"/>
        <w:jc w:val="both"/>
        <w:rPr>
          <w:rFonts w:ascii="Times New Roman" w:hAnsi="Times New Roman"/>
          <w:color w:val="000000" w:themeColor="text1"/>
          <w:sz w:val="16"/>
          <w:szCs w:val="16"/>
        </w:rPr>
      </w:pPr>
      <w:bookmarkStart w:id="65" w:name="_Hlk64398040"/>
      <w:r w:rsidRPr="005E779E">
        <w:rPr>
          <w:rFonts w:ascii="Times New Roman" w:hAnsi="Times New Roman"/>
          <w:color w:val="000000" w:themeColor="text1"/>
          <w:sz w:val="16"/>
          <w:szCs w:val="16"/>
        </w:rPr>
        <w:t xml:space="preserve">29 декабря 1931 состоялся первый полет Grumman XFF-1, прототипа Grumman FF (20804). </w:t>
      </w:r>
    </w:p>
    <w:p w14:paraId="7B38FFD0" w14:textId="77777777" w:rsidR="00901F99" w:rsidRPr="005E779E" w:rsidRDefault="00901F99" w:rsidP="000B7A6C">
      <w:pPr>
        <w:spacing w:after="0" w:line="240" w:lineRule="auto"/>
        <w:jc w:val="both"/>
        <w:rPr>
          <w:rFonts w:ascii="Times New Roman" w:hAnsi="Times New Roman"/>
          <w:color w:val="000000" w:themeColor="text1"/>
          <w:sz w:val="16"/>
          <w:szCs w:val="16"/>
        </w:rPr>
      </w:pPr>
    </w:p>
    <w:p w14:paraId="54BAB8E3" w14:textId="77777777" w:rsidR="00901F99" w:rsidRPr="005E779E" w:rsidRDefault="00901F9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 декабря 1931 состоялся первый полет Hawker Audax (20804).</w:t>
      </w:r>
    </w:p>
    <w:p w14:paraId="1A53ACB7" w14:textId="77777777" w:rsidR="00901F99" w:rsidRPr="005E779E" w:rsidRDefault="00901F99" w:rsidP="000B7A6C">
      <w:pPr>
        <w:spacing w:after="0" w:line="240" w:lineRule="auto"/>
        <w:jc w:val="both"/>
        <w:rPr>
          <w:rFonts w:ascii="Times New Roman" w:hAnsi="Times New Roman"/>
          <w:color w:val="000000" w:themeColor="text1"/>
          <w:sz w:val="16"/>
          <w:szCs w:val="16"/>
        </w:rPr>
      </w:pPr>
    </w:p>
    <w:p w14:paraId="1715B090" w14:textId="77777777" w:rsidR="00901F99" w:rsidRPr="005E779E" w:rsidRDefault="00901F9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 декабря 1931 - Первый полет американского многоцелевого палубного истребителя XFF-1 Goblin фирмы Grumman Aircraft Engineering Corporation. Самолет перспективной конструкции полностью оправдал ожидания своих создателей. Его максимальная скорость составила 313,8 км/ч - на 11.3 км/ч больше, чем у основного палубного истребителя Boeing F4B-2. В ходе испытаний летчики высказали несколько незначительных замечаний. В соответствии с ними конструкторы уменьшили количество переплетов в остеклении фонаря кабины, усилили стойки основного шасси и уменьшили количество прорезей для охлаждения на капотах, закрывающих носовую часть истребителя (22688).</w:t>
      </w:r>
    </w:p>
    <w:p w14:paraId="3623541D" w14:textId="77777777" w:rsidR="00901F99" w:rsidRPr="005E779E" w:rsidRDefault="00901F99" w:rsidP="000B7A6C">
      <w:pPr>
        <w:spacing w:after="0" w:line="240" w:lineRule="auto"/>
        <w:jc w:val="both"/>
        <w:rPr>
          <w:rFonts w:ascii="Times New Roman" w:hAnsi="Times New Roman"/>
          <w:color w:val="000000" w:themeColor="text1"/>
          <w:sz w:val="16"/>
          <w:szCs w:val="16"/>
        </w:rPr>
      </w:pPr>
    </w:p>
    <w:p w14:paraId="045EA12C" w14:textId="77777777" w:rsidR="00901F99" w:rsidRPr="005E779E" w:rsidRDefault="00901F9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 декабря 1931 года — первый полёт палубного истребителя Grumman FF "Fifi". /США/</w:t>
      </w:r>
    </w:p>
    <w:p w14:paraId="3D59D726" w14:textId="77777777" w:rsidR="00901F99" w:rsidRPr="005E779E" w:rsidRDefault="00901F9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1930 году ВМФ США обратилось к Grumman Aircraft с предложением адаптировать убирающееся шасси, разработанное компанией, для палубных истребителей Boeing F4B-1. В ответ на это Grumman предложила свой собственный проект истребителя — FF (внутри компании обозначался как G-5).</w:t>
      </w:r>
    </w:p>
    <w:p w14:paraId="3A9F8F31" w14:textId="77777777" w:rsidR="00901F99" w:rsidRPr="005E779E" w:rsidRDefault="00901F9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FF представлял собой цельнометаллический биплан (крылья были покрыты полотном) с убирающимся шасси и закрытой кабиной. Самолёт оснащался двигателем Wright R-1820-78 Cyclone и мог развивать скорость до 333 км/ч. Дальность полёта — 1100 км. Вооружение — 3 × 7,62-мм пулемёта Browning M1919 или 2 × 7,62-мм пулемёта M1919 + 1 × 12,7-мм пулемёт Browning M2. Мог нести 2 × 45-кг бомбы.</w:t>
      </w:r>
    </w:p>
    <w:p w14:paraId="16452218" w14:textId="77777777" w:rsidR="00901F99" w:rsidRPr="005E779E" w:rsidRDefault="00901F9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Выпустили 116 самолётов Grumman FF. Кроме ВМФ США, стояли на вооружении Королевских ВВС Канады и ВВС Испании (изначально — ВВС Испанской республики). Сохранившийся экземпляр FF "Fifi" можно увидеть в Национальном музее военно-морской авиации США (22300).</w:t>
      </w:r>
    </w:p>
    <w:p w14:paraId="7539BDA5" w14:textId="77777777" w:rsidR="00901F99" w:rsidRPr="005E779E" w:rsidRDefault="00901F99" w:rsidP="000B7A6C">
      <w:pPr>
        <w:spacing w:after="0" w:line="240" w:lineRule="auto"/>
        <w:jc w:val="both"/>
        <w:rPr>
          <w:rFonts w:ascii="Times New Roman" w:hAnsi="Times New Roman"/>
          <w:color w:val="000000" w:themeColor="text1"/>
          <w:sz w:val="16"/>
          <w:szCs w:val="16"/>
        </w:rPr>
      </w:pPr>
    </w:p>
    <w:bookmarkEnd w:id="65"/>
    <w:p w14:paraId="5EE1BB13"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14D2BE4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3DAF6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 декабря 1931 был выполнен первый полет МДР-2 (АНТ-8) (80,262).</w:t>
      </w:r>
    </w:p>
    <w:p w14:paraId="322C69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CD431B6" w14:textId="77777777" w:rsidR="00E33D71" w:rsidRPr="005E779E" w:rsidRDefault="00E33D71"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23841425" w14:textId="77777777" w:rsidR="00E33D71" w:rsidRPr="005E779E" w:rsidRDefault="00E33D71"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D05A131" w14:textId="77777777" w:rsidR="00E33D71" w:rsidRPr="005E779E" w:rsidRDefault="00E33D7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 декабря 1931 г. Бюро Московского горкома партии утвердило часть предложенной Метростроем схемы, а именно сооружение Мясницкого, Усачевского, Арбатского, Таганского, Покровского и Замоскворецкого радиусов общей протяженностью 58,4 км. Три прочие радиуса и кольцевая линия были признаны необходимыми на дальнейшую перспективу. В первую очередь строительства были намечены участки от Сокольников через Мясницкую ул., Охотный ряд, Дворец Советов и далее до Крымской пл.[41] (8,9км) и от библиотеки Ленина через Воздвиженку и Арбат до Смоленского рынка (2,6 км). Сдать в эксплуатацию эти первые линии общей протяженностью 11,5 км, как и предлагал ранее Ротерт.{412},предстояло до конца 1933 г.{413} (18299).</w:t>
      </w:r>
    </w:p>
    <w:p w14:paraId="7C058ECB" w14:textId="77777777" w:rsidR="00E33D71" w:rsidRPr="005E779E" w:rsidRDefault="00E33D71" w:rsidP="000B7A6C">
      <w:pPr>
        <w:spacing w:after="0" w:line="240" w:lineRule="auto"/>
        <w:jc w:val="both"/>
        <w:rPr>
          <w:rFonts w:ascii="Times New Roman" w:hAnsi="Times New Roman"/>
          <w:color w:val="000000" w:themeColor="text1"/>
          <w:sz w:val="16"/>
          <w:szCs w:val="16"/>
        </w:rPr>
      </w:pPr>
    </w:p>
    <w:p w14:paraId="7C43F236"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55AFF42E"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A377E9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 декабря 1931 в Голландии создана нацистская партия (4962).</w:t>
      </w:r>
    </w:p>
    <w:p w14:paraId="1DFF9C8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24B9B0"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05F47C31"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F4D22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 декабря 1931 года с конвейера Саратовского завода комбайнов, который строился с 25 июня 1930 года, сошел первый комбайн Саратовского завода.</w:t>
      </w:r>
    </w:p>
    <w:p w14:paraId="1D433C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1937 года с конвейера завода ежедневно сходило 90 комбайнов типа «СЗК».</w:t>
      </w:r>
    </w:p>
    <w:p w14:paraId="376CC5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Постановлением Правительства от 3 августа 1937 года (протокол № 7) от 13 ноября 1937 года (протокол № 21) и решением КО от 5 августа 1937 года, Саратовский завод комбайнов был передан в НК оборонной промышленности для реконструкции под самолетостроительный завод.</w:t>
      </w:r>
    </w:p>
    <w:p w14:paraId="62E407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1946 года завод перешел на выпуск учебно-тренировочного истребителя Яковлева А.С. (ЯК-11).</w:t>
      </w:r>
    </w:p>
    <w:p w14:paraId="61051E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Решением Правительства в конце 1948 года заводу было дано задание освоить и организовать серийный выпуск реактивного истребителя конструкции Лавочкина (Ла-15), а в июле 1950 года реактивного истребителя конструкции Микояна (Миг-15), выпуск которого завод производил до 2-го полугодия 1952 года.</w:t>
      </w:r>
    </w:p>
    <w:p w14:paraId="1C656B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Постановлением № 9821-1749сс от 5 октября 1951 года СМ поручил заводу изготовление в 1952 году одномоторного 12-ти местного десантно-транспортного вертолета конструкции Миля (МИ-4) и двухмоторного 20-ти местного десантно-транспортного вертолета конструкции Яковлева (ЯК-24).</w:t>
      </w:r>
    </w:p>
    <w:p w14:paraId="79CC16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IV квартале 1953 года завод приступил к подготовке производства и выпуску двухмоторного реактивного истребителя ЯК-25.</w:t>
      </w:r>
    </w:p>
    <w:p w14:paraId="257F5F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Освоением и выпуском этой машины завод занимался в течение 1954, 1955 и 1956 гг., причем в 1956 году заводом были проведены серьезные работы по модернизации ЯК-25М в различных вариантах.</w:t>
      </w:r>
    </w:p>
    <w:p w14:paraId="227558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IV квартале 1956 года завод приступил к подготовке производства самолетов ЯК-27Ф и ЯК-27 ЖРД» (9514).</w:t>
      </w:r>
    </w:p>
    <w:p w14:paraId="0AD274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6CC78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 декабря 1931 в Севастополе состоялся первый полет Р-5а на поплвках. Заводские испытания длились меньше месяца, а Государственные проходили с 27 января по 17 апреля 1932 г. Больший вес (поплавковое шасси было тяжелее колесного на 390 кг) и увеличившееся аэродинамическое сопротивление серьезно ухудшили летные данные по сравнению с колесным вариантом. Кроме того, отмечалось, что от воздействия воды коробилась обшивка. Винт сильно страдал от брызг на взлете, они попадали и во всасывающий патрубок карбюратора. От тряски на волнах замки бомбодержателей разбалтывались, из-за чего на взлете несколько раз роняли бомбы. Завершить Госиспытания не удалось - по специальному распоряжению в мае 1932 г. машину отправили в экспедицию на Крайний Север.</w:t>
      </w:r>
    </w:p>
    <w:p w14:paraId="2D4793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1933 г. предполагалось изготовить 50 Р-5а. Производство организовывалось следующим образом. Сами самолеты и рамы под поплавки делали в Москве. Все узлы, отличавшиеся от сухопутного варианта, производил отдельный цех, чтобы не мешать массовому выпуску. Поплавки выпускал завод № 45 в Севастополе. Он же комплекси- ровал все морское оборудование. Сборка могла осуществляться в Севастополе или Москве. В первом случае самолеты улетали из столицы на колесах (к Р-5а требовали придавать сменное колесное шасси).</w:t>
      </w:r>
    </w:p>
    <w:p w14:paraId="2DE354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Фактически выпуск Р-5а наладили только в конце года. Головная машина № 6763 прошла Госиспытания в Севастополе с 12 декабря 1933 г. по 14 января 1934 г. Облетывал ее пилот Ершов. Несмотря на некоторый рост взлетного веса, все показатели улучшились по сравнению с опытным образцом. Немного повысилась скорость, вырос практический потолок, существенно уменьшилось время набора высоты 3000 м.</w:t>
      </w:r>
    </w:p>
    <w:p w14:paraId="052B40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Серийные машины имели усиленный каркас передней части фюзеляжа и измененную мотораму. В поплавках размещались банки для аварийного запаса продовольствия и пресной воды. Для того чтобы можно было извлечь самолет из воды краном, на центроплане верхнего крыла сделали скобы, усилили передний лонжерон центроплана и стойки кабана.</w:t>
      </w:r>
    </w:p>
    <w:p w14:paraId="67574D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20 марта 1934 г. военную приемку прошли 13 Р-5а. Всего до конца 1935 г. построили 111 самолетов этой модификации (11936).</w:t>
      </w:r>
    </w:p>
    <w:p w14:paraId="1B51FF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3D42A99" w14:textId="77777777" w:rsidR="0077707A" w:rsidRPr="005E779E" w:rsidRDefault="0077707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31-го декабря 1931 в Севастополе состоялся первый полет Р-5а.</w:t>
      </w:r>
    </w:p>
    <w:p w14:paraId="6D7300F4" w14:textId="77777777" w:rsidR="0077707A" w:rsidRPr="005E779E" w:rsidRDefault="0077707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Проектирование морского разведчика, получившего обозначение Р-5а, началось в 1930 году под руководством Д.А. Михайлова. Он и конструктор В.Б. Шавров спроектировали поплавки и раму для крепления их к фюзеляжу и нижнему крылу. Каркас поплавков состоял из 21 шпангоута, из них восемь переборок, деливших поплавок на девять водонепроницаемых отсеков. Вся конструкция поплавков – по типу лодки Ш-2, наружная поверхность оклеена полотном на аэролаке. Рама для крепления поплавков состояла из стальных и дюралевых труб каплевидного сечения, всего 12 стоек и две круглые трубы с обтекателями и расчалками. Для большей жесткости всей системы были введены дополнительные расчалки от поплавков, проходящие через нижние крылья к стойкам центроплана.</w:t>
      </w:r>
    </w:p>
    <w:p w14:paraId="6FF87484" w14:textId="77777777" w:rsidR="0077707A" w:rsidRPr="005E779E" w:rsidRDefault="0077707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Поскольку требовалось обеспечить эксплуатацию машины при волнении до 0,8 м, понадобилось усилить первую раму фюзеляжа и передний лонжерон нижнего крыла. С учетом возросшей боковой поверхности самолета площадь киля увеличили почти в два раза. Ненужный на воде костыль заменили причальным кольцом. Пропеллер менять не стали и оставили таким же, как у сухопутного варианта.</w:t>
      </w:r>
    </w:p>
    <w:p w14:paraId="299AF11A" w14:textId="77777777" w:rsidR="0077707A" w:rsidRPr="005E779E" w:rsidRDefault="0077707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Бомбовое вооружение Р-5а было значительно слабее, чем у сухопутного варианта. Под крылом было установлено 4 балки ДЕР-7 и две ДЕР-6 под фюзеляжем. Максимальная нагрузка составляла 492 кг – шесть АФ-82.</w:t>
      </w:r>
    </w:p>
    <w:p w14:paraId="382043BE" w14:textId="77777777" w:rsidR="0077707A" w:rsidRPr="005E779E" w:rsidRDefault="0077707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Опытный образец завод № 39 построил в 1931 году. Поплавки для него изготавливал московский завод № 28.</w:t>
      </w:r>
    </w:p>
    <w:p w14:paraId="48D3ACEF" w14:textId="77777777" w:rsidR="0077707A" w:rsidRPr="005E779E" w:rsidRDefault="0077707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Заводские испытания длились меньше месяца, а Государственные проходили с 27-го января по 17-е апреля 1932 года. Больший вес (поплавковое шасси было тяжелее колесного на 390 кг) и возросшее аэродинамимическое сопротивление ухудшили летные данные по сравнению с сухопутным вариантом. Отмечалось, что от воздействия воды коробилась обшивка, воздушный винт сильно страдал от брызг на взлете, они попадали во всасывающий патрубок карбюратора. От тряски на волнах замки бомбодержателей разбалтывались, из-за чего на взлете несколько раз роняли бомбы. Завершить Госиспытания не удалось – по специальному распоряжению машину отправили в экспедицию на Крайний Север.</w:t>
      </w:r>
    </w:p>
    <w:p w14:paraId="7B9E2FA7" w14:textId="77777777" w:rsidR="0077707A" w:rsidRPr="005E779E" w:rsidRDefault="0077707A"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 второй половине 1933 года серийный выпуск Р-5а решили производить на авиационном заводе № 1 в Москве. Головная машина серии испытывалась в Севастополе до середины января 1934 года. Несмотря на некоторое увеличение взлетного веса Р-5а, все показатели улучшились по сравнению с опытным образцом. Повысилась скорость, вырос практический потолок, существенно уменьшилось время набора высоты 3000 метров. В 1934 году авиазавод № 1 выпустил 61 самолет Р-5а, а на следующий год еще 50 машин. Общее количество построенных поплавковых разведчиков составило 111 экземпляров (19293).</w:t>
      </w:r>
    </w:p>
    <w:p w14:paraId="7E9709E8" w14:textId="77777777" w:rsidR="0077707A" w:rsidRPr="005E779E" w:rsidRDefault="0077707A" w:rsidP="000B7A6C">
      <w:pPr>
        <w:spacing w:after="0" w:line="240" w:lineRule="auto"/>
        <w:jc w:val="both"/>
        <w:rPr>
          <w:rFonts w:ascii="Times New Roman" w:hAnsi="Times New Roman"/>
          <w:color w:val="000000" w:themeColor="text1"/>
          <w:sz w:val="16"/>
          <w:szCs w:val="16"/>
        </w:rPr>
      </w:pPr>
    </w:p>
    <w:p w14:paraId="03640D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 декабря 1931 г. в Севастопле состоялся первый полет Р-5а. Заводские испытания длились меньше месяца. Государственные испытания шли там же, в Севастополе, где располагался Особый морской отдел (ОМО) НИИ ВВС. Они велись с 27 января по 17 апреля 1932 г. Больший вес (поплавковое шасси было тяжелее колесного на 390 кг) и увеличившееся аэродинамическое сопротивление серьезно ухудшили летные данные по сравнению с колесным вариантом. Но при этом пилотаж оказался значительно проще, чем у старого МР-1. Новый самолет оказан с я гораздо менее "строг" в управлении.</w:t>
      </w:r>
    </w:p>
    <w:p w14:paraId="306225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Недостатки в основном были связаны с приспособлением сухопутной машины к полетам с воды. Прочность поплавков оказалась недостаточной. Каркас разбалтывался, а обшивка коробилась. Внутрь поплавков поступала вода. Винт сильно страдал от брызг на взлете, они попадали и во всасывающий патрубок карбюратора. Это могло привести к остановке мотора в самый ответственный момент. От тряски на волнах замки бомбодержателей разбалтывались. Из-за этого на взлете несколько раз роняли бомбы в воду.</w:t>
      </w:r>
    </w:p>
    <w:p w14:paraId="4034ED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Завершить государственные испытания не удалось, по специальному распоряжению в мае 1932 г. машину отправили в экспедицию на Крайний Север (12034).</w:t>
      </w:r>
    </w:p>
    <w:p w14:paraId="4984FF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66D5279" w14:textId="77777777" w:rsidR="00511838" w:rsidRPr="00142305" w:rsidRDefault="00511838" w:rsidP="0051183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31 декабря 1931 г. в Севастополе состоялся первый полет поплавкового Р-5. Заводские испытания длились меньше месяца. Государственные испытания шли там же, в Севастополе, где располагался Особый морской отдел (ОМО) НИИ ВВС. Они велись с 27 января по 17 апреля 1932 г. Больший вес (поплавковое шасси было тяжелее колесного на 390 кг) и увеличившееся аэродинамическое сопротивле</w:t>
      </w:r>
      <w:r w:rsidRPr="00142305">
        <w:rPr>
          <w:rFonts w:ascii="Times New Roman" w:hAnsi="Times New Roman"/>
          <w:color w:val="0070C0"/>
          <w:sz w:val="16"/>
          <w:szCs w:val="16"/>
        </w:rPr>
        <w:softHyphen/>
        <w:t>ние серьезно ухудшили летные данные по сравнению с ко</w:t>
      </w:r>
      <w:r w:rsidRPr="00142305">
        <w:rPr>
          <w:rFonts w:ascii="Times New Roman" w:hAnsi="Times New Roman"/>
          <w:color w:val="0070C0"/>
          <w:sz w:val="16"/>
          <w:szCs w:val="16"/>
        </w:rPr>
        <w:softHyphen/>
        <w:t>лесным вариантом. Но при этом пилотаж оказался значи</w:t>
      </w:r>
      <w:r w:rsidRPr="00142305">
        <w:rPr>
          <w:rFonts w:ascii="Times New Roman" w:hAnsi="Times New Roman"/>
          <w:color w:val="0070C0"/>
          <w:sz w:val="16"/>
          <w:szCs w:val="16"/>
        </w:rPr>
        <w:softHyphen/>
        <w:t>тельно проще, чем у старого МР-1. Новый самолет оказался гораздо менее «строг» в управлении (24990).</w:t>
      </w:r>
    </w:p>
    <w:p w14:paraId="0B01D695" w14:textId="77777777" w:rsidR="00511838" w:rsidRPr="00142305" w:rsidRDefault="00511838" w:rsidP="00511838">
      <w:pPr>
        <w:spacing w:after="0" w:line="240" w:lineRule="auto"/>
        <w:jc w:val="both"/>
        <w:rPr>
          <w:rFonts w:ascii="Times New Roman" w:hAnsi="Times New Roman"/>
          <w:color w:val="0070C0"/>
          <w:sz w:val="16"/>
          <w:szCs w:val="16"/>
        </w:rPr>
      </w:pPr>
    </w:p>
    <w:p w14:paraId="0E4900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 декабря 1931 года протокол совещания у начальника ВВС по вопросу о вооружении самолетов ТБ-3 и Р-6</w:t>
      </w:r>
    </w:p>
    <w:p w14:paraId="219E3B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Присутствовали: зам. начальника ВВС Наумов, зам. начальника ВВС Меженинов, зам. начальника НИИ Аузан, начальник IV отдела НИИ Солдатов, ст. инженер Петров, ст. инженер Куликов, ст. инженер Мельников, ст. инженер Туполев, от ВАО – Туполев, Петляков.</w:t>
      </w:r>
    </w:p>
    <w:p w14:paraId="4E5600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(Пометка: Меженинову. Проследите за точным исполнением принятых обязательств. Алкснис).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802"/>
        <w:gridCol w:w="5802"/>
      </w:tblGrid>
      <w:tr w:rsidR="001002C3" w:rsidRPr="005E779E" w14:paraId="3DEF04BE" w14:textId="77777777">
        <w:tc>
          <w:tcPr>
            <w:tcW w:w="5802" w:type="dxa"/>
          </w:tcPr>
          <w:p w14:paraId="545618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Слушали</w:t>
            </w:r>
          </w:p>
        </w:tc>
        <w:tc>
          <w:tcPr>
            <w:tcW w:w="5802" w:type="dxa"/>
          </w:tcPr>
          <w:p w14:paraId="05FFB5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Постановили</w:t>
            </w:r>
          </w:p>
        </w:tc>
      </w:tr>
      <w:tr w:rsidR="001002C3" w:rsidRPr="005E779E" w14:paraId="644B98F6" w14:textId="77777777">
        <w:tc>
          <w:tcPr>
            <w:tcW w:w="5802" w:type="dxa"/>
          </w:tcPr>
          <w:p w14:paraId="1595C3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 доведении самолета ДБ-3. Доклад зам. начальника ВВС Меженинова.</w:t>
            </w:r>
          </w:p>
        </w:tc>
        <w:tc>
          <w:tcPr>
            <w:tcW w:w="5802" w:type="dxa"/>
          </w:tcPr>
          <w:p w14:paraId="2D7983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Поручить ЦАГИ в десятидневный срок доработать, уведомив об исполнении следующее:</w:t>
            </w:r>
          </w:p>
          <w:p w14:paraId="29C13C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разработать способ подвески 4 пристрелочных и 4 светящихся бомб;</w:t>
            </w:r>
          </w:p>
          <w:p w14:paraId="7533AC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разработать подвеску существующих балок так, чтобы была возможность, не снимая последних, пользоваться кассетными держателями (Дер-9);</w:t>
            </w:r>
          </w:p>
          <w:p w14:paraId="5A78B8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находящиеся в изготовлении подкрыльные башни, после их испытания и проверки надежности и удобства действия, установить на самолет вместо существующих (типа Р-6), проверив центровки самолета.</w:t>
            </w:r>
          </w:p>
        </w:tc>
      </w:tr>
      <w:tr w:rsidR="001002C3" w:rsidRPr="005E779E" w14:paraId="56561D53" w14:textId="77777777">
        <w:tc>
          <w:tcPr>
            <w:tcW w:w="5802" w:type="dxa"/>
          </w:tcPr>
          <w:p w14:paraId="4337FC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 доведении вооружения самолета Р-6 с целью использования его в качестве среднего бомбардировщика, имеющего 1000 кг сбрасываемого груза и тактический радиус действия 1200 км.</w:t>
            </w:r>
          </w:p>
        </w:tc>
        <w:tc>
          <w:tcPr>
            <w:tcW w:w="5802" w:type="dxa"/>
          </w:tcPr>
          <w:p w14:paraId="55E31E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Поручить ЦАГИ произвести соответствующие перерасчеты конструкции и представить проект оборудования самолета Р:</w:t>
            </w:r>
          </w:p>
          <w:p w14:paraId="052088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бомбодержателями "ДОС" и бомбодержателями для пристрелочных бомб, разместив их так, чтобы наличие бомб не мешало пользоваться башенной установкой;</w:t>
            </w:r>
          </w:p>
          <w:p w14:paraId="4C3163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добавочными баками для горючего и смазочного обеспечивающими тактический радиус действия 1200 км.</w:t>
            </w:r>
          </w:p>
          <w:p w14:paraId="1DD383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Срок 3 месяца, заявленный представителями ВАО считать неприемлемым для ВВС и возбудить ходатайство перед РВС о сокращении срока до 1 месяца с тем, чтобы проект был представлен к 1 февраля 1932 года.</w:t>
            </w:r>
          </w:p>
        </w:tc>
      </w:tr>
    </w:tbl>
    <w:p w14:paraId="40AFD0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(7431, 4).</w:t>
      </w:r>
    </w:p>
    <w:p w14:paraId="33CE10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36E9A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 декабря 1931 на подмосковном аэродроме состоялся первый полет звена ТБ-1 2М-17 и И-4 парасоль В.С.Вахмистрова. На ТБ-1 был 1п А.И.Залевский и 2п А.Р.Шарапов, а сам Вахмистров был в кабине переднего стрелка, на И-4 - В.А.Ч. и А.Анисимов. Отцепляли сначала сзади, потом спереди с ТБ-1, но на машине В.П.Ч. случайно сделали наоборот и он был вынужден вырвать узел маневром. Машины Анисимова еще была на крыле, но устойчивость была нормальной. Потом механизм отцепки перенесли в истребители (2921,19).</w:t>
      </w:r>
    </w:p>
    <w:p w14:paraId="452C92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A02F2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 декабря 1931 года врид начальника ВВС Наумов было созвано совещание по вопросу возможности применения самолета Р-6 2М-17 в качестве среднего бомбардировщика, берущего с собой 1000 кг сбрасываемого груза (кроме пристрелочных бомб) и запас горючего, обеспечивающий тактический радиус действия в 1200 км.</w:t>
      </w:r>
    </w:p>
    <w:p w14:paraId="3E24A0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этой цели необходимо самолет оборудовать:</w:t>
      </w:r>
    </w:p>
    <w:p w14:paraId="1E39BD07"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Бомбодержателями "ДОС", бомбодержателями для пристрелочных бомб и расположенными таким образом, чтобы они не исключали возможность пользования башенной установкой.</w:t>
      </w:r>
    </w:p>
    <w:p w14:paraId="281586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Дополнительными баками для горючего и смазочного, обеспечивающими тактический радиус действия в 1200 км (7470, 4).</w:t>
      </w:r>
    </w:p>
    <w:p w14:paraId="5CCBC4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02D04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 декабря 1931 был частичного запущен завод № 292; в НКАП 1 января 1938 года</w:t>
      </w:r>
    </w:p>
    <w:p w14:paraId="2A055F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полного – 1932 год; в НКАП 1 мая 1938 года</w:t>
      </w:r>
    </w:p>
    <w:p w14:paraId="2B3828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Реконструированный</w:t>
      </w:r>
    </w:p>
    <w:p w14:paraId="247DC8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Характер производства – среднесерийное</w:t>
      </w:r>
    </w:p>
    <w:p w14:paraId="087415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производства – самолетостроение</w:t>
      </w:r>
    </w:p>
    <w:p w14:paraId="687BC5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Адрес: Саратов 15, Деконский поселок, площадь Орджоникидзе, п/я 1</w:t>
      </w:r>
    </w:p>
    <w:p w14:paraId="6F611D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Производство: самолеты ЯК-1, Р-10 (ХАИ-5), гр. комплекты</w:t>
      </w:r>
    </w:p>
    <w:p w14:paraId="7BBE15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1937 года по решению Правительства Саратовский завод комбайнов был передан 1 гл. управлению НКОП. В течение 1938 года завод реконструировался, при одновременном освоении самолета марки ХАИ-5 (Р-10). Реконструкция цехов была в основном закончена в первой половине 1938 года, процесс же освоения производства затянулся и первая машина ХАИ-5 (Р-10) с производства была снята как не удовлетворяющая тактико-техническим требования КА. В течение 2-го полугодия 1939 года произошла смена еще 4 объектов производства. Только в конце февраля 1940 года был получен официальный приказ НКАП за № 60сс от 20 февраля 1940 года, устанавливающий порядок и сроки внедрения нового объекта – самолета конструкции Яценко. Но в июне 1940 года приказом НКАП за № 263 от 4 июня 1940 года объект опять был сменен и завод получил новое задание на внедрение машины ЯК-1 (бывш. И-26) конструкции Яковлева.</w:t>
      </w:r>
    </w:p>
    <w:p w14:paraId="464CB5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Объектом производства завода № 292 ГКАП является одноместный скоростной истребитель марки ЯК-1 с мотором М-105п. По схеме – это моноплан смешанной конструкции со свободно несущим низко расположенным крылом.</w:t>
      </w:r>
    </w:p>
    <w:p w14:paraId="07D371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Крыло деревянное, неразрезное, 2-х лонжеронной конструкции, с работающей фанерной обшивкой.</w:t>
      </w:r>
    </w:p>
    <w:p w14:paraId="55C4C6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Фюзеляж – трубчатый металлический каркас с полотняной обшивкой. Шасси – убирающееся в крыло.</w:t>
      </w:r>
    </w:p>
    <w:p w14:paraId="78EF41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вооружен 20 мм пушкой ШВАК, стреляющей через вал редуктора мотора с механической и пневматической перезарядкой, с запасом патронов в 120 штук и двумя синхронными пулеметами ШКАС калибра 7,62 мм с запасом патронов по 750 штук на пулемет.</w:t>
      </w:r>
    </w:p>
    <w:p w14:paraId="0DA84F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 292 за период с 1 января 1941 года по 1 июля 1941 года выполнял заказ по производству истребителей марки ЯК-1………….</w:t>
      </w:r>
    </w:p>
    <w:p w14:paraId="0CFD0F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завод прибыло оборудование с завода № 165 ………….(9319)</w:t>
      </w:r>
    </w:p>
    <w:p w14:paraId="6342ACFC"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 декабря 1931 г. в Саратове был образован завод комбайнов, будущий авиазавод №292 (ныне АО "Саратовский авиационный завод") (6395).</w:t>
      </w:r>
    </w:p>
    <w:p w14:paraId="0FF32FB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7A5618" w14:textId="6AA078B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 декабря 1931 г. Завод «Саркомбайн» вступил в строй (ГС Завод № 292 НКАП, МАП, ГС Саратовский завод комбайнов (СЗК, «Саркомбайн») НКТП, НКОП, Саратовский авиационный завод (САЗ), ЗАО «САЗ» /410015</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Саратов пл. Орджоникидзе, 1 тел. 96-81-01/). За 6 лет выпущено более 39.000 единиц хлебоуборочной техники.</w:t>
      </w:r>
    </w:p>
    <w:p w14:paraId="1345D6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1937 г. завод передан из НКТП в организованный НКМ. В соответствии с пост, правительства № 48сс от 5.07.1937 г. распоряжением Главсельмаша НКМ/ЗГУ ЖОП № 102/75 от 14.09.1937 г. завод с 1.07.1937 г. передан из Главсельмаша НКМ в ведение ЗГУ НКОП, по пр. № 0259 от 3.12.1937 г. завод передан из ЗГУ в 1ГУ. Приказом № 403 от 27.10.1938 г. утвержден Устав ГС завода «Саркомбайн». В 01.1939 г. передан из 1ГУ НКОП в НКАП. По приказу № 201с от 8.05.1940 г. получил название ГС завод № 292 НКАП.</w:t>
      </w:r>
    </w:p>
    <w:p w14:paraId="79306F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 № 0185 от 27.08.1937 г. в целях развертывания на заводе работ по созданию артиллерийского производства сюда с завода № 172 переданы чертежи на 122-мм гаубицу; с заводов № 172, 7, 92 и «Баррикады» переведено по 10 квалифицированных рабочих; Гипромашу поручено разработать проект нового производства. По распоряжению ЗГУ № 93 от 14.11.1937 г. на завод передано 11 станков с завода «Большевик» и 3 - с завода № 7.</w:t>
      </w:r>
    </w:p>
    <w:p w14:paraId="522071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07.1937 г. принято решение СНК о развертывании на заводе производства самолета Р-10 (ХАИ-5), это было подтверждено пост. КО № 189сс от 7.12.1937 г.; по пр. № 0259 с завода № 135 на «Саркомбайн» в 12.1937 г. необходимо было передать два самолета, комплект стапелей и чертежей, а в 1-м квартале 1938 г. - детали и узлы на 10 самолетов; на заводе организован КО, в него переведено 16 конструкторов с завода № 135 во главе с зам. гл. конструктора Арсоном; кроме того, на завод </w:t>
      </w:r>
      <w:r w:rsidRPr="005E779E">
        <w:rPr>
          <w:rFonts w:ascii="Times New Roman" w:hAnsi="Times New Roman"/>
          <w:color w:val="000000" w:themeColor="text1"/>
          <w:sz w:val="16"/>
          <w:szCs w:val="16"/>
        </w:rPr>
        <w:lastRenderedPageBreak/>
        <w:t>переведено 65 рабочих и 56 ИТР с заводов № 31, 1, 39, 21, 135 и 156 (планировалось перевести на завод ОКБ завода № 43 гл. конструктора Таирова, назначив его гл. конструктором «Саркомбайна», но это не было выполнено). Приказом № 0270 от 17.12.1937 г. было определено выбрать площадку для заводского аэродрома, организовать представительство завода в Москве сроком на 1 год. Приказом № 25с от 28.01.1938 г. была утверждена схема планировки цехов завода: в бывшем кузнечно-прессовом цехе оставить штамповочный и кузницу, разместить слесарно-сварочный и дюралевый; в бывшем механо-сборочном цехе разместить фюзеляжный и крыльевой. В целях оказания помощи по развертыванию производства ХАИ-5 на заводе закреплена до 1.05.1938 г. бригада по приспособлениям Гринченко завода № 135; в 02.1938 г. также требовалось передать на завод с завода № 135 три самолета ХАИ-5. Этим же приказом утверждено свертывание программы литерного цеха по УПС с выпуском в 1-м полугодии 500 комплектов и переводе его на выпуск деталей для ХАИ-5. Приказом № 394сс от 7.10.1938 г. был утвержден план по выпуску самолетов в 1938 г.: сентябрь - 8 шт., октябрь - 10, ноябрь - 10, декабрь - 12 шт. Этим же приказом было предписано из состава механо-сборочного цеха № 1 выделить в самостоятельный цех отделение шасси; в слесарно-сварочном цехе № 2 к 15.10 пустить пескоструйное отделение. Заводу было выделено 16 деревообрабатывающих станков.</w:t>
      </w:r>
    </w:p>
    <w:p w14:paraId="41A975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 № 25 от 18.01.1938 г. на заводе прекращен с 1.02.1938 г. выпуск запчастей для комбайнов; пр. № 276с от 7.08.1938 г. с завода снято спецзадание по выпуску пеналов.</w:t>
      </w:r>
    </w:p>
    <w:p w14:paraId="1D19B0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Приказом № 141 от 12.04.1938 г. было практически полностью заменено руководство завода; для усиления кадров командировано 16 чел. ИТР и 5 плановиков с заводов 1ГУ, направлено 50 молодых специалистов; пр. № 276с на заводе организован филиал ГПИ-1. По пр. № 484с от 31.12.1938 г. проект реконструкции завода требовалось закончить к 1.02.1939 г. Этим же приказом на завод направлено 60 выпускников институтов и техникумов в 01.1939 г. и еще 60 чел. в 3-м квартале 1939 г.</w:t>
      </w:r>
    </w:p>
    <w:p w14:paraId="7DA3C5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составе завода цехи (1938 г.): № 1 механо-сборочный; № 2 слесарно-сварочный; № 3 дюралевый; № 4 дерево-заготовительный (мастерские: раскроечно-распиловочная, заготовительная, дерево-станочная); № 5 окончательной сборки; № 6 штамповочный и термический; № 41 сборка крыла; № 42 сборка фюзеляжей; № 80 и 81 инструментальные (отделения: штампов и кокилей; приспособлений для станков; режущего, вспомогательного и мерительного инструмента).</w:t>
      </w:r>
    </w:p>
    <w:p w14:paraId="0EE6A6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1939 г. проектная мощность завода составляла 1000 одномоторных штурмовиков в год. План производства на 1941 г.: 1100 Як-3.</w:t>
      </w:r>
    </w:p>
    <w:p w14:paraId="4197F6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1941 г. имел филиал - бывший завод № 2 Военстроя. Сюда со ст. Кунцево эвакуирован завод № 167 НКАП, и филиал передан ему в подчинение для организации производства лыж и в/винтов.</w:t>
      </w:r>
    </w:p>
    <w:p w14:paraId="7DDB7C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1941 г. на площадку завода № 292 1ГУ НКАП эвакуирован завод № 165 НКАП и влит в его состав.</w:t>
      </w:r>
    </w:p>
    <w:p w14:paraId="683136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 632сс от 6.07.1941 г. на площадку завода № 292 была эвакуирована часть завода № 115 НКАП гл. конструктора А.С. Яковлева. По приказу № 930с/3сф от 28.08.1941 г. на базе этой части образовано ОКБ завода № 292 с опытным цехом в системе 7ГУ. Начальником ОКБ и гл. конструктором завода назначен А.С. Яковлев, зам. начальника- С.Д. Трефилов. Деятельность ОКБ продолжалась в Саратове до 29.10.1941 г. Затем по -ч» приказам № 999с от 19.09.1941 г. и № 12сф от 18.10.1941 г. ОКБ переведено со всем личным составом и оборудованием в Новосибирск на завод № 153 НКАП.</w:t>
      </w:r>
    </w:p>
    <w:p w14:paraId="42FD6F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 1099с от 6.11.1941 г. в Саратов на площадку филиала завода № 292 НКАП (бывший завод № 2 Военстроя) эвакуирован завод № 167 6ГУ НКАП, филиал передан в подчинение заводу № 167. По приказу № 306с/203пс от 24.07.1945 г. на площадку Саратовского филиала завода № 292 переведен с площадки Саратовской мебельной фабрики завод № 307 НКАП.</w:t>
      </w:r>
    </w:p>
    <w:p w14:paraId="0FBCDC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17.07.1941 г. вышло постановление ГКО № 185 о серийном выпуске самолетов Як-1 и Як-3. 14.08.1941 г. вышло еще одно постановление ГКО № 482 о производстве Як-1, завод стал головным по этому самолету. В соответствии с пост. ГКО № 515 от 19.08.1941 г. требовалось увеличить выпуск Як-1 на заводе. Затем вновь последовали постановления ГКО об увеличении выпуска Як-1 и Як-3 на заводах: № 567 от 23.08.1941 г. и № 1049 от 23.12.1941 г. Пост. ГКО № 1376сс от 3.03.1942 г. заводу утвержден суточный план на 03.1942 г. по выпуску Як- 1: с 6 по 15 марта - 60 машин, с 16 по 25 - 70 и с 26 по 31 марта - 75 машин. 14.03.1942 г. вышло постановление ГКО № 1443 о выпуске Як-1 в облегченном варианте. Пост. ГКО № 2467сс от 2.11.1942 г. заводу предписано с 15.11.1942 г. выпускать Як-1 с улучшенными летными данными.</w:t>
      </w:r>
    </w:p>
    <w:p w14:paraId="5B5594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10.07.1943 г. вышло постановление ГКО № 3725 о мерах неотложной помощи по восстановлению завода. В начале 1944 г. часть оборудования завода передана для формирования нового завода № 473 НКАП. 3.04.1944 г. вышло постановление ГКО № 5526 об ускорении производства Як-3 на заводе. Пост. ГКО № 7228 от 29.12.1944 г. заводу задан выпуск Як-3 с тремя пушками УБ калибра 20 мм.</w:t>
      </w:r>
    </w:p>
    <w:p w14:paraId="7D2D4E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войны на заводе планировалось развернуть серийный выпуск истребителя Ме-262 (в 01.1946 г. был готов проект постановления СНК).</w:t>
      </w:r>
    </w:p>
    <w:p w14:paraId="4E3229EF" w14:textId="2DB46A71"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заводе действовал филиал ОКБ-115 (1950-е</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w:t>
      </w:r>
    </w:p>
    <w:p w14:paraId="757F93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пост. СМ СССР № 713-342 от 26.06.1957 г. передан в ведение СНХ РСФСР.</w:t>
      </w:r>
    </w:p>
    <w:p w14:paraId="3A3B787B" w14:textId="0AD6674C"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1991 г. была выпущена техдокументация и проведена подготовка к производству Як-141, но из-за прекращения финансирования тема была закрыта. В 1990-х</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 xml:space="preserve">г. планировалось производство самолетов Як-142, Як- 48, Як-77, в 2004 г.- РБКА. Велись работы (2000 г.) совместно с ОКБ Яковлева по грузопассажирскому Як-242. В 2006 г.- разработка </w:t>
      </w:r>
      <w:r w:rsidRPr="005E779E">
        <w:rPr>
          <w:rFonts w:ascii="Times New Roman" w:hAnsi="Times New Roman"/>
          <w:color w:val="000000" w:themeColor="text1"/>
          <w:sz w:val="16"/>
          <w:szCs w:val="16"/>
          <w:lang w:val="en-US"/>
        </w:rPr>
        <w:t>JIA</w:t>
      </w:r>
      <w:r w:rsidRPr="005E779E">
        <w:rPr>
          <w:rFonts w:ascii="Times New Roman" w:hAnsi="Times New Roman"/>
          <w:color w:val="000000" w:themeColor="text1"/>
          <w:sz w:val="16"/>
          <w:szCs w:val="16"/>
        </w:rPr>
        <w:t xml:space="preserve"> «ЭКИП».</w:t>
      </w:r>
    </w:p>
    <w:p w14:paraId="1689E2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1991 г. завод уже был акционирован. По решению правительства № 22-р от 9.01.2004 г. вошло в перечень стратегических предприятий. В 2008 г. велось дело о банкротстве предприятия, 29.12.2008 г. оно прекращено в связи с утверждением мирового соглашения.</w:t>
      </w:r>
    </w:p>
    <w:p w14:paraId="42BC43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Количество оборудования: (11.1940 г.)- 601 металлорежущий станок.</w:t>
      </w:r>
    </w:p>
    <w:p w14:paraId="4B6CB1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Численность персонала (1.01.2001 г.)- 4450 чел.</w:t>
      </w:r>
    </w:p>
    <w:p w14:paraId="23E0D3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И.О. директора (-08.1937-12.04.1938 г.)- Н.С. Новиков. Директор (12.04.1938-06.1940 г.)- Ф.С. Малахов, (06.1940-11.1942 г.-)- И.С. Левин, (1956 г.)- Б.А. Дубовиков. Гендиректор (-1995-2006 г.-)- А.В. Ермишин. Конкурсный управляющий (12.2008 г.)- И.Е. Скляр.</w:t>
      </w:r>
    </w:p>
    <w:p w14:paraId="030EB6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директора: (15.12.1937 г.-)- Н.Я. Мирошниченко, (22.09.1938 г.-)- А.Д. Седов; по общим вопросам (12.04.1938 г.-)- Н.С. Новиков; по капстроительству (12.04.1938 г.-)- Львовский. Помощник директора по найму и увольнению (17.02.1938 г.-)- М.И. Ионов. Зам. гендиректора (-2002-03 г.-)- Л.М. Кленов; по финансам и экономике (2006 г.)- М.М. Мордвинкин.</w:t>
      </w:r>
    </w:p>
    <w:p w14:paraId="668D7ED0" w14:textId="2D514402"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Исполнительный директор (-2002-06 г.-)- Л.М. Кленов. Коммерческий директор (2002 г.)-</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 xml:space="preserve">Г.Ф. Сутолокин. Директор по ВЭС и сбыту (2006 г.)- </w:t>
      </w:r>
      <w:r w:rsidRPr="005E779E">
        <w:rPr>
          <w:rFonts w:ascii="Times New Roman" w:hAnsi="Times New Roman"/>
          <w:color w:val="000000" w:themeColor="text1"/>
          <w:sz w:val="16"/>
          <w:szCs w:val="16"/>
          <w:lang w:val="en-US"/>
        </w:rPr>
        <w:t>B</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C</w:t>
      </w:r>
      <w:r w:rsidRPr="005E779E">
        <w:rPr>
          <w:rFonts w:ascii="Times New Roman" w:hAnsi="Times New Roman"/>
          <w:color w:val="000000" w:themeColor="text1"/>
          <w:sz w:val="16"/>
          <w:szCs w:val="16"/>
        </w:rPr>
        <w:t>. Юсов.</w:t>
      </w:r>
    </w:p>
    <w:p w14:paraId="5D46D90A" w14:textId="309B94DA"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инженер (15.12.1937-12.04.1938 г.)- Н.Я. Мирошниченко, (12.04.1938 г.-&gt;</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Г.В. Марчевский, (2002 г.)- В.Т. Андреев.</w:t>
      </w:r>
      <w:r w:rsidRPr="005E779E">
        <w:rPr>
          <w:rFonts w:ascii="Times New Roman" w:hAnsi="Times New Roman"/>
          <w:color w:val="000000" w:themeColor="text1"/>
          <w:sz w:val="16"/>
          <w:szCs w:val="16"/>
          <w:vertAlign w:val="superscript"/>
        </w:rPr>
        <w:t>69</w:t>
      </w:r>
    </w:p>
    <w:p w14:paraId="02013F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гл. инженера: (11.12.1937 г.-)- С.М. Лано; по производству (12.04.1938 г.-)- Портнов; по подготовке производства (-12.04.1938 г.)- Портнов, (12.04.1938 г.-)- Н.Я. Мирошниченко. Гл. инженер строительства (12.04.1938 г.-)- Львовский.</w:t>
      </w:r>
    </w:p>
    <w:p w14:paraId="04F00C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конструктор (08.1941 г.-)- А.С. Яковлев.</w:t>
      </w:r>
    </w:p>
    <w:p w14:paraId="080EAD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диспетчер (12.04.1938 г.-)- Портнов.</w:t>
      </w:r>
    </w:p>
    <w:p w14:paraId="363431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начальника цеха: механического (12.04.1938 г.-)- Дитяткин.</w:t>
      </w:r>
    </w:p>
    <w:p w14:paraId="0B4FDA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 лесного хозяйства: и.о. (12.04.1938 г.-)- Саморуков.</w:t>
      </w:r>
    </w:p>
    <w:p w14:paraId="118E9C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Начальники отделов: ОГК и.о. (12.04.1938 г.-)- Лукандин. Начальник департамента по ВЭС и сбыту (2002 г.)- В.С. Юсов.</w:t>
      </w:r>
    </w:p>
    <w:p w14:paraId="272605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начальника отдела: технологического по деревообделочным работам (12.04.1938 г.-)- Д.Н. Певзнер; ППО (12.04.1938 г.-)- Пылакин; ОТК (12.04.1938 г.-)- Яковлев.</w:t>
      </w:r>
    </w:p>
    <w:p w14:paraId="78AD4F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Начальники мастерских: вооружения (12.04.1938 г.-)- Лепихов.</w:t>
      </w:r>
    </w:p>
    <w:p w14:paraId="2BCBBE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Начальники лабораторий: ЦЗЛ (12.04;1938 г.-)- Л.А. Петров.</w:t>
      </w:r>
    </w:p>
    <w:p w14:paraId="4252EC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Начальники бюро: оргбюро (12.04.1938 г.-)- Я.М. Пистрак.</w:t>
      </w:r>
    </w:p>
    <w:p w14:paraId="02498C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Начальники отделений: плазово-шаблонного (12.04.1938 г.-)- Козлов; автоматов механического цеха (12.04.1938 г.-)- А.И. Герасимов.</w:t>
      </w:r>
    </w:p>
    <w:p w14:paraId="5AAE5B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Начальники групп: контрольной (12.04.1938 г.-)- Гудков; стандартизации (12.04.1938 г.-)- Гудков.</w:t>
      </w:r>
      <w:r w:rsidRPr="005E779E">
        <w:rPr>
          <w:rFonts w:ascii="Times New Roman" w:hAnsi="Times New Roman"/>
          <w:color w:val="000000" w:themeColor="text1"/>
          <w:sz w:val="16"/>
          <w:szCs w:val="16"/>
          <w:vertAlign w:val="superscript"/>
        </w:rPr>
        <w:t>139</w:t>
      </w:r>
    </w:p>
    <w:p w14:paraId="6DF137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Производство:</w:t>
      </w:r>
      <w:r w:rsidRPr="005E779E">
        <w:rPr>
          <w:rFonts w:ascii="Times New Roman" w:hAnsi="Times New Roman"/>
          <w:color w:val="000000" w:themeColor="text1"/>
          <w:sz w:val="16"/>
          <w:szCs w:val="16"/>
        </w:rPr>
        <w:t xml:space="preserve"> 122-мм гаубица обр. 1910/30 г. (1937);</w:t>
      </w:r>
      <w:r w:rsidRPr="005E779E">
        <w:rPr>
          <w:rFonts w:ascii="Times New Roman" w:hAnsi="Times New Roman"/>
          <w:iCs/>
          <w:color w:val="000000" w:themeColor="text1"/>
          <w:sz w:val="16"/>
          <w:szCs w:val="16"/>
        </w:rPr>
        <w:t xml:space="preserve"> самолеты и вертолеты:</w:t>
      </w:r>
      <w:r w:rsidRPr="005E779E">
        <w:rPr>
          <w:rFonts w:ascii="Times New Roman" w:hAnsi="Times New Roman"/>
          <w:color w:val="000000" w:themeColor="text1"/>
          <w:sz w:val="16"/>
          <w:szCs w:val="16"/>
        </w:rPr>
        <w:t xml:space="preserve"> Р-10 (1938-40)-135, И-28 (1939), Як-1 (1940-44)- 8550, Як-7, Як-3 (1944-46)- 3600, Як-11 (1946-49), Ла-15 (1949), МиГ-15 (1950-52)-1045, Як-15, В-12 (1952-53), Ми-4 (1954), Як-24, Як-25 (1954-55), Як-25М (1955-57), Як-25Р (1957), Як-125Б (1955)- 1, Як-27 (1957), Як-27В (1958), Як-27Р (1958-62)- всего 172, Як-36, Як-38 (1974-88)- 231, Як-40 (1968-81)-1011, Як- 42 (1977-2006-), Як-141 (2004), Як- 54 (1994-2006-), Д-41 «Сокол» (2004); модернизация Як-42Д, Як-40 (2006); ракеты: П-5 (1958-61), В-750В (1958-61), П-5Д (С-5, 1961-), П-6 (1961-), Х- 58;</w:t>
      </w:r>
    </w:p>
    <w:p w14:paraId="59FE03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корпуса гранат РГ-41, Ф-1 (ВОВ); комплектующие для ОК «Буран»; «летающая тарелка» -ЭКИП (1992-); сельскохозяйственная техника (1931-37); уборочные машины, молотилки (1955); фрезерные станки (1960-е); подметальные машины, зерноуборочные машины (2001), катера, яхты, коляски прогулочные, санки (11982).</w:t>
      </w:r>
    </w:p>
    <w:p w14:paraId="00E306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07606ED" w14:textId="77777777" w:rsidR="00F77A7B" w:rsidRPr="005E779E" w:rsidRDefault="00F77A7B" w:rsidP="000B7A6C">
      <w:pPr>
        <w:spacing w:after="0" w:line="240" w:lineRule="auto"/>
        <w:jc w:val="both"/>
        <w:rPr>
          <w:rFonts w:ascii="Times New Roman" w:hAnsi="Times New Roman"/>
          <w:color w:val="000000" w:themeColor="text1"/>
          <w:sz w:val="16"/>
          <w:szCs w:val="16"/>
        </w:rPr>
      </w:pPr>
      <w:r w:rsidRPr="005E779E">
        <w:rPr>
          <w:rFonts w:ascii="Times New Roman" w:hAnsi="Times New Roman"/>
          <w:bCs/>
          <w:color w:val="000000" w:themeColor="text1"/>
          <w:sz w:val="16"/>
          <w:szCs w:val="16"/>
        </w:rPr>
        <w:t>31 декабря</w:t>
      </w:r>
      <w:r w:rsidRPr="005E779E">
        <w:rPr>
          <w:rFonts w:ascii="Times New Roman" w:hAnsi="Times New Roman"/>
          <w:color w:val="000000" w:themeColor="text1"/>
          <w:sz w:val="16"/>
          <w:szCs w:val="16"/>
        </w:rPr>
        <w:t xml:space="preserve"> в 1931 году в Саратове образован завод комбайнов «Саркомбайн» (авиазавод №292, ныне - АО «Саратовский авиационный завод»). Предприятие по производству авиационной техники, производитель самолетов «Як-40» и «Як-42», - имеет богатую, интересную и даже героическую историю, которая во многом отражает богатый событиями двадцатый век в России. Собственно Саратовским авиазаводом со специализацией в области авиации и производства авиационной техники от учебно-тренировочных до боевых и пассажирских самолетов предприятие стало только в конце тридцатых. Изначально в 1929 году было принято решение о создании в Саратове завода по производству сельскохозяйственных машин, на базе которого впоследствии и создавался авиазавод. За первые шесть лет напряженного труда коллектив завода внес большой вклад в развитие сельскохозяйственного производства в Поволжье, Сибири и на Дальнем Востоке, выпустив более 39000 единиц хлебоуборочной техники. В связи с "угрозой военного нападения на СССР" в 1937 году Саратовский завод комбайнов был переориентирован на производство авиационной техники. Началась работа по освоению нового производства. Масштабы работ по перестройке предприятия были огромны: установлено более 500 новых станков и механизмов, прошли переобучение 6500 специалистов и рабочих. 28 октября 1938 года взлетел первый самолет «Р-10», обладавший </w:t>
      </w:r>
      <w:r w:rsidRPr="005E779E">
        <w:rPr>
          <w:rFonts w:ascii="Times New Roman" w:hAnsi="Times New Roman"/>
          <w:color w:val="000000" w:themeColor="text1"/>
          <w:sz w:val="16"/>
          <w:szCs w:val="16"/>
        </w:rPr>
        <w:lastRenderedPageBreak/>
        <w:t>огромной по тем временам скоростью 370 км/ч и использовавшийся как мобильный разведчик высокого класса. В июле 1939 года совершил испытательный полет истребитель И-28 конструкции В.П.Яценко. Это была первая машина с двигателем воздушного охлаждения, которая на высоте 5000 метров показала скорость 576 км/час. В июне 1940 года заводу было поручено в трехмесячный срок освоить серийный выпуск созданного молодым авиаконструктором А.С.Яковлевым истребителя «Як-1». В октябре 1940 года первые три самолета ЯК поднялись в воздух. 22 июня 1941 года началась Великая Отечественная война, и саратовские авиастроители трудились с первого до последнего дня, поставляя на фронт самолеты-истребители. В 1943 году немецкие бомбардировщики разрушили 70% производственных площадей. Коллектив завода продолжил работу под открытым небом. Одновременно с этим восстанавливались корпуса, шла реконструкция, создавались поточно-конвейерные линии, и после 80 суток напряженного труда выпуск самолетов достиг прежнего уровня. Всего за время войны завод выпустил свыше 13 тысяч истребителей «Як -12 и «Як -32. После войны сотрудничество Саратовского авиазавода и АКБ Яковлева продолжилось. 19 апреля 1946 года был испытан первый учебно-тренировочный самолет «Як -11». Этот самолет с цельнометаллическим крылом стал важной ступенью для перехода в будущем на производство реактивной авиационной техники. 30 апреля 1949 года над территорией завода промчался первый реактивный истребитель конструкции С.А.Лавочкина «ЛА-15». Он имел необычайно малый вес для реактивного самолета - 3850 кг, максимальную скорость - 1026 км/ч, был легок в управлении. Еще более высокие боевые качества имел одноместный многоцелевой истребитель «МиГ-15». Он оказался исключительно удачным и быстро приобрел мировую известность. 28 мая 1952 года вертолет «Ми-4» конструкции КБ Михаила Миля прошел контрольные заводские испытания. Своими качествами и транспортными возможностями «Ми-4» значительно превосходил зарубежные аналоги. Этот вертолет и сегодня широко используется в народном хозяйстве России в качестве пассажирского, санитарного, для тушения лесных пожаров, для работы в Арктике и Антарктике. На «Ми-4» установлено 7 мировых рекордов. На всемирной выставке в Брюсселе этот вертолет был награжден золотой медалью. В 1955 году наряду с самолетами завод выпускал силосоуборочные комбайны, молотилки к зерноуборочным комбайнам, клеточные батареи для птицефабрик. В 1959 году началось производство высотного разведчика «Як-27», имевшего скорость 1190 км/час, потолок 19000 м, мощное вооружение. Было выпущено 172 самолета в 7-ми модификациях. Среди других видов продукции были широкоуниверсальные фрезерные станки "675-П". Во второй половине 1965 года завод получил задание освоить серийное производство пассажирского турбореактивного самолета «Як-40» конструкции А.С.Яковлева. В 1968 году «Як-40» производства Саратовского авиазавода вышел на внутрисоюзные трассы Аэрофлота. Заводом выпущено 1123 «Як-40», из них 119 на экспорт в 19 стран мира. 28 октября 1977 года прошел заводские испытания и был введен в серийное производство 120-местный пассажирский реактивный лайнер «Як-42». В 1991 году завод преобразован в коллективное предприятие, а позднее, по решению конференции совладельцев, Саратовский авиационный завод стал акционерным обществом закрытого типа. На сегодняшний день основной продукцией САЗ является ближнемагистральный пассажирский самолет «Як-42» и его варианты и модификации «Як-42Д», «Як-42А». Совместно с ОКБ имени А.С.Яковлева ведутся работы по созданию конвертируемого грузопассажирского варианта самолета «Як-242», который станет дальнейшим развитием самолета «Як-42». В июне 1994 года первый самолет «Як-54», производства САЗ, был передан для проведения испытаний. «Як-54» - это двухместный спортивно-пилотажный самолет, предназначенный для подготовки летчиков-спортсменов, обучения высшему пилотажу и участия в соревнованиях по самолетному спорту. В июне 1992 года на завод поступила документация на освоение летательного аппарата будущего поколения фирмы "Экип". ЭКИП - широкофюзеляжные, безаэродромные, высокоэкономичные летательные аппараты нового типа с аэродинамически несущим корпусом, объединяющим функции крыла и фюзеляжа, большой грузоподъемностью и полезным объемом в 8-10 раз превышающим объемы современных, сопоставимых по грузоподъемности пассажирских и транспортных самолетов. Использование взлетно-посадочного устройства на воздушной подушке обеспечивает взлет и посадку с неподготовленных аэродромов любой категории, включая водные поверхности, а применение эффективной системы управления пограничным слоем (УПС) - высокие аэродинамические качества (14877).</w:t>
      </w:r>
    </w:p>
    <w:p w14:paraId="6AF48019" w14:textId="77777777" w:rsidR="00F77A7B" w:rsidRPr="005E779E" w:rsidRDefault="00F77A7B" w:rsidP="000B7A6C">
      <w:pPr>
        <w:spacing w:after="0" w:line="240" w:lineRule="auto"/>
        <w:jc w:val="both"/>
        <w:rPr>
          <w:rFonts w:ascii="Times New Roman" w:hAnsi="Times New Roman"/>
          <w:color w:val="000000" w:themeColor="text1"/>
          <w:sz w:val="16"/>
          <w:szCs w:val="16"/>
        </w:rPr>
      </w:pPr>
    </w:p>
    <w:p w14:paraId="40E327CB" w14:textId="77777777" w:rsidR="00903F28"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657A7DC5" w14:textId="77777777" w:rsidR="00903F28" w:rsidRPr="005E779E" w:rsidRDefault="00903F28"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737E56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 декабря 1931 была подготовлена запись:</w:t>
      </w:r>
    </w:p>
    <w:p w14:paraId="26687D6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 ходе испытаний СУ-1</w:t>
      </w:r>
    </w:p>
    <w:p w14:paraId="119FC23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дополнение к ЖУРНАЛУ НТК УММ № 27/ХН от 30 дек 1931 г. по 4 секции НТК УММ и 2 секции НТК АУ</w:t>
      </w:r>
    </w:p>
    <w:p w14:paraId="38EAA41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рассмотрению проекта СУ-1 — полковой пушки на шасси Т-26 и результатов ее испытания на НИАПе</w:t>
      </w:r>
    </w:p>
    <w:p w14:paraId="1CA6576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Характеристика установки</w:t>
      </w:r>
    </w:p>
    <w:p w14:paraId="3474021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Кач часть полковой пушки обр. 1927 г. с укороченным до 500 мм откатом и панорамным прицелом</w:t>
      </w:r>
    </w:p>
    <w:p w14:paraId="6180962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Орудие установлено на тумбе гарфорда для ускорения изготовления и испытания САУ в основном</w:t>
      </w:r>
    </w:p>
    <w:p w14:paraId="1D0E1F2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Результаты: самоход выдержал все испытания матчасти и шасси, сделав 44 выстрела и показав улучшенную кучность и прицельность, чем пушка обр. 1927 г. Стрельба и пробег по бездорожью ок 30 км на ходовой части не отразились.</w:t>
      </w:r>
    </w:p>
    <w:p w14:paraId="41CEF19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Прицельный огонь с ходу вести нельзя - заряжающий не в состоянии осуществлять заряжения и даже просто на</w:t>
      </w:r>
      <w:r w:rsidRPr="005E779E">
        <w:rPr>
          <w:rFonts w:ascii="Times New Roman" w:hAnsi="Times New Roman"/>
          <w:color w:val="000000" w:themeColor="text1"/>
          <w:sz w:val="16"/>
          <w:szCs w:val="16"/>
        </w:rPr>
        <w:softHyphen/>
        <w:t>ходиться на своем рабочем месте. Качка невероятная. Ящики со снарядами не закреплены. Необходимы специ</w:t>
      </w:r>
      <w:r w:rsidRPr="005E779E">
        <w:rPr>
          <w:rFonts w:ascii="Times New Roman" w:hAnsi="Times New Roman"/>
          <w:color w:val="000000" w:themeColor="text1"/>
          <w:sz w:val="16"/>
          <w:szCs w:val="16"/>
        </w:rPr>
        <w:softHyphen/>
        <w:t>альные гнезда для снарядов...(11417).</w:t>
      </w:r>
    </w:p>
    <w:p w14:paraId="3B170B7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1EC2DE" w14:textId="77777777" w:rsidR="00903F28" w:rsidRPr="005E779E" w:rsidRDefault="00903F2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 декабря 1931 года на совещании у заместителя председателя Высшего совета народного хозяйства (ВСНХ) СССР было принято решение об изготовлении Главмашпромом в течение двух месяцев 60 мотоброневагонов Д-2 (по вновь разработанному проекту), необходимых для формирования в Красной Армии 20 дивизионов МБВ. Выполнение этой задачи поручалось четырем заводам - «Красный Профинтерн» в Брянске, заводу № 1 транспортного отдела ОГПУ в Люблино (бывший Экспериментальный завод НКПС), Калужскому и Коломенскому машиностроительным. Распоряжением президиума ВСНХ СССР № 3/с от 7 января 1932 года на каждом из них планировалось к 15 марта изготовить по 15 Д-2. Различные комплектуюипле и агрегаты должны были поставлять Ижорский завод (броня), 2-й завод ВАТО (двигатели), завод № 8 (орудия), «Красный Путиловец», «Борец», «Красный Октябрь», Ярославский тормозной завод завод имени Буденного (шестерни реверсной передачи).</w:t>
      </w:r>
    </w:p>
    <w:p w14:paraId="7D26B029" w14:textId="77777777" w:rsidR="00903F28" w:rsidRPr="005E779E" w:rsidRDefault="00903F2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Однако к этому моменту выяснилось, что рабочие чертежи на серийный вариант Д-2 готовы только на 30%. В результате привлечения дополнительных кадров, к 6 февраля готовность составила 70%, и только к 16 марта были выполнены «все рабочие чертежи за исключением: а) установки электрооборудования, б) внутренней телефонной связи, в) настила пола и внутреннего ограждения» (15624).</w:t>
      </w:r>
    </w:p>
    <w:p w14:paraId="50411C4A" w14:textId="77777777" w:rsidR="00903F28" w:rsidRPr="005E779E" w:rsidRDefault="00903F28" w:rsidP="000B7A6C">
      <w:pPr>
        <w:spacing w:after="0" w:line="240" w:lineRule="auto"/>
        <w:jc w:val="both"/>
        <w:rPr>
          <w:rFonts w:ascii="Times New Roman" w:hAnsi="Times New Roman"/>
          <w:color w:val="000000" w:themeColor="text1"/>
          <w:sz w:val="16"/>
          <w:szCs w:val="16"/>
        </w:rPr>
      </w:pPr>
    </w:p>
    <w:p w14:paraId="6CE72569" w14:textId="77777777" w:rsidR="002C06C5" w:rsidRPr="005E779E" w:rsidRDefault="002C06C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 декабря 1931 года на совещании у заместителя председателя Высшего совета народного хозяйства (ВСНХ) СССР было принято решение об изготовлении Главмашпромом в течение двух месяцев 60 мотоброневагонов Д-2 (по вновь разработанному проекту), необходимых для формирования в Красной Армии 20 дивизионов МБВ. Выполнение этой задачи поручалось четырем заводам - «Красный Профинтерн» в Брянске, заводу № 1 транспортного отдела ОПТУ в Люблино (бывший Экспериментальный завод НКПС), Калужскому и Коломенскому машиностроительным. Распоряжением президиума ВСНХ СССР № 3/с от 7 января 1932 года на каждом из них планировалось к 15 марта изготовить по 15 Д-2. Различные комплектующие и агрегаты должны были поставлять Ижорский завод (броня), 2-й завод ВАТО (двигатели), завод № 8 (орудия), «Красный Путиловец», «Борец», «Красный Октябрь», Ярославский тормозной завод, завод имени Буденного (шестерни реверсной передачи). </w:t>
      </w:r>
    </w:p>
    <w:p w14:paraId="7A9327E0" w14:textId="77777777" w:rsidR="002C06C5" w:rsidRPr="005E779E" w:rsidRDefault="002C06C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Однако к этому моменту выяснилось, что рабочие чертежи на серийный вариант Д-2 готовы только на 30%. В результате привлечения дополнительных кадров, к 6 февраля готовность составила 70%, и только к 16 марта были выполнены «все рабочие чертежи за исключением: а) установки электрооборудования, б) внутренней телефонной связи, в) настила пола и внутреннего ограждения» (18626).</w:t>
      </w:r>
    </w:p>
    <w:p w14:paraId="7A6DAA97" w14:textId="77777777" w:rsidR="002C06C5" w:rsidRPr="005E779E" w:rsidRDefault="002C06C5" w:rsidP="000B7A6C">
      <w:pPr>
        <w:spacing w:after="0" w:line="240" w:lineRule="auto"/>
        <w:jc w:val="both"/>
        <w:rPr>
          <w:rFonts w:ascii="Times New Roman" w:hAnsi="Times New Roman"/>
          <w:color w:val="000000" w:themeColor="text1"/>
          <w:sz w:val="16"/>
          <w:szCs w:val="16"/>
        </w:rPr>
      </w:pPr>
    </w:p>
    <w:p w14:paraId="376232A6" w14:textId="77777777" w:rsidR="00511838" w:rsidRPr="00142305" w:rsidRDefault="00511838" w:rsidP="0051183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31 декабря 1931 года на совещании у заместителя председателя Высшего совета народного хозяйства (ВСНХ) СССР было принято решение об изготовлении Главмашпромом в течение двух месяцев 60 мотоброневагонов Д-2 Дыренкова (по вновь разработанному проекту), необходимых для формирования в Красной Армии 20 дивизионов МБВ. Выполнение этой задачи поручалось четырем заводам — «Красный Профинтерн» в Брянске, заводу № 1 транспортного отдела ОГПУ в Люблино (бывший Экспериментальный завод НКПС), Калужскому и Коломенскому машиностроительным. Распоряжением президиума ВСНХ СССР № 3/с от 7 января 1932 года на каждом из них планировалось к 15 марта изготовить по 15 Д-2. Различные комплектуюипле и агрегаты должны были поставлять Ижорский завод (броня), 2-й завод ВАТО (двигатели), завод № 8 (орудия), «Красный Путиловец», «Борец», «Красный Октябрь», Ярославский тормозной завод, завод имени Буденного (шестерни реверсной передачи).</w:t>
      </w:r>
    </w:p>
    <w:p w14:paraId="4D3DCEF0" w14:textId="77777777" w:rsidR="00511838" w:rsidRPr="00142305" w:rsidRDefault="00511838" w:rsidP="0051183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Однако к этому моменту выяснилось, что рабочие чертежи на серийный вариант Д-2 готовы только на 30%. В результате привлечения дополнительных кадров, к 6 февраля готовность составила 70%, и только к 16 марта были выполнены «все рабочие чертежи за исключением: а) установки электрооборудования, б) внутренней телефонной связи, в) настила пола и внутреннего ограждения».</w:t>
      </w:r>
    </w:p>
    <w:p w14:paraId="5738B5B6" w14:textId="77777777" w:rsidR="00511838" w:rsidRPr="00142305" w:rsidRDefault="00511838" w:rsidP="0051183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изготовлением самих мотоброневагонов дела обстояли совсем не так, как первоначально планировалось — не хватало легирующих присадок для выплавки броневой стали, металла, электрооборудования, подшипников, кислорода для резки брони, все заводы испытывали хронический дефицит опытных рабочих, техников и инженеров (25568).</w:t>
      </w:r>
    </w:p>
    <w:p w14:paraId="359FEFDE" w14:textId="77777777" w:rsidR="00511838" w:rsidRPr="00142305" w:rsidRDefault="00511838" w:rsidP="00511838">
      <w:pPr>
        <w:spacing w:after="0" w:line="240" w:lineRule="auto"/>
        <w:jc w:val="both"/>
        <w:rPr>
          <w:rFonts w:ascii="Times New Roman" w:hAnsi="Times New Roman"/>
          <w:color w:val="0070C0"/>
          <w:sz w:val="16"/>
          <w:szCs w:val="16"/>
        </w:rPr>
      </w:pPr>
    </w:p>
    <w:p w14:paraId="5C366A8D"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2EA27B44"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5046EDB" w14:textId="77777777" w:rsidR="00511838" w:rsidRPr="00142305" w:rsidRDefault="00511838" w:rsidP="0051183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С 31 декабря 1931 года в Советском Союзе был введен новый трудовой календарь, который не зависел от дней недели: в нем были закреплены постоянные выходные, приходившиеся на 6, 12, 18, 24 и 30 число каждого месяца. Так что в предвоенном СССР день советской авиации всегда отмечался в выходной — по крайней мере, до 1940 года, пока в календарь не вернулась традиционная семидневная рабочая неделя (24156).</w:t>
      </w:r>
    </w:p>
    <w:p w14:paraId="061D93EA" w14:textId="77777777" w:rsidR="00511838" w:rsidRPr="00142305" w:rsidRDefault="00511838" w:rsidP="00511838">
      <w:pPr>
        <w:spacing w:after="0" w:line="240" w:lineRule="auto"/>
        <w:jc w:val="both"/>
        <w:rPr>
          <w:rFonts w:ascii="Times New Roman" w:hAnsi="Times New Roman"/>
          <w:color w:val="0070C0"/>
          <w:sz w:val="16"/>
          <w:szCs w:val="16"/>
        </w:rPr>
      </w:pPr>
    </w:p>
    <w:p w14:paraId="2A5FA39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 декабря 1931 в СССР музыка С. Рахманинова объявлена декадентской и запрещена (4962).</w:t>
      </w:r>
    </w:p>
    <w:p w14:paraId="3213A11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16A80C"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Внешняя политика:</w:t>
      </w:r>
    </w:p>
    <w:p w14:paraId="1E39A7E8"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24EB37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 декабря 1931 СССР выступила с предложением к Японии заключить пакт о ненападении. Японцы завершили оккупацию Манчжурии (3186).</w:t>
      </w:r>
    </w:p>
    <w:p w14:paraId="6EAC3B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0642990"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7D9B6056"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CCBBA14"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 декабря 1931 в США зафиксировано самое большое падение индекса Доу-Джонса за год - 52,6% (4962).</w:t>
      </w:r>
    </w:p>
    <w:p w14:paraId="3EAE6E67"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CE36CA" w14:textId="77777777" w:rsidR="00903F28"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3618C743" w14:textId="77777777" w:rsidR="00903F28" w:rsidRPr="005E779E" w:rsidRDefault="00903F28"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FA1340C" w14:textId="77777777" w:rsidR="00903F28" w:rsidRPr="005E779E" w:rsidRDefault="00903F28"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декабря 1931 года, Всесоюзное авиационное объединение (ВАО) преобразуется в Главное Управление авиационной промышленности – ГУАП, с подчинением ему вновь созданных трестов: самолетостроительного, авиамоторостроительного, подсобных предприятий, ремонтно-запасного производства (15223).</w:t>
      </w:r>
    </w:p>
    <w:p w14:paraId="1656A0FB" w14:textId="77777777" w:rsidR="00903F28" w:rsidRPr="005E779E" w:rsidRDefault="00903F28" w:rsidP="000B7A6C">
      <w:pPr>
        <w:shd w:val="clear" w:color="auto" w:fill="FFFFFF"/>
        <w:spacing w:after="0" w:line="240" w:lineRule="auto"/>
        <w:jc w:val="both"/>
        <w:rPr>
          <w:rFonts w:ascii="Times New Roman" w:hAnsi="Times New Roman"/>
          <w:color w:val="000000" w:themeColor="text1"/>
          <w:sz w:val="16"/>
          <w:szCs w:val="16"/>
        </w:rPr>
      </w:pPr>
    </w:p>
    <w:p w14:paraId="7760C779" w14:textId="77777777" w:rsidR="00746899" w:rsidRPr="005E779E" w:rsidRDefault="00746899" w:rsidP="000B7A6C">
      <w:pPr>
        <w:pStyle w:val="article-renderblock"/>
        <w:shd w:val="clear" w:color="auto" w:fill="FFFFFF"/>
        <w:spacing w:before="0" w:beforeAutospacing="0" w:after="0" w:afterAutospacing="0"/>
        <w:jc w:val="both"/>
        <w:rPr>
          <w:color w:val="000000" w:themeColor="text1"/>
          <w:sz w:val="16"/>
          <w:szCs w:val="16"/>
        </w:rPr>
      </w:pPr>
      <w:r w:rsidRPr="005E779E">
        <w:rPr>
          <w:color w:val="000000" w:themeColor="text1"/>
          <w:sz w:val="16"/>
          <w:szCs w:val="16"/>
          <w:shd w:val="clear" w:color="auto" w:fill="FFFFFF"/>
        </w:rPr>
        <w:t>В конце декабря 1931 года Уполномоченный "Всехимпрома" в США Лев Хвостовский, который вступил в переговоры с The Helium Co., получил от нее официальное предложение – Statement. Американцы предлагали заключить договор на проведение поисковых и разведочных работ на гелийсодержащие газы, проектирование и строительство завода и оказание помощи в применении гелия. При этом компания обещала передать все свои технологии, как уже запатентованные, так и еще державшиеся в секрете. Советские специалисты могли пройти стажировку на заводе фирмы. В ходе переговоров The Helium Сo. предложила осуществить всю программу помощи в 32 месяца за 1,27 млн долларов США. С чем была связана подобная сговорчивость крупной американской компании? Думается – с неоднократными попытками американцев организовать советско-американское транстихоокеанское воздушное сообщение. Выйти на такой рынок при ограниченном потреблении и перепроизводстве гелия в США, да еще в период Великой депрессии, дорогого стоило. Научно-исследовательский комбинат по опытному строительству и эксплуатации дирижаблей "Дирижаблестрой" тут же поддержал это предложение. "Хотя эта техническая помощь и будет связана с затратой валюты, – писал начальник “Дирижаблестроя” Павел Пурмаль, – зато, безусловно, мы у себя в СССР скорее и дешевле разрешим эту задачу, тем более что у этой фирмы имеются и опыт и люди, а у нас в этой части на сегодняшний день дело обстоит из рук вон плохо" (21452).</w:t>
      </w:r>
    </w:p>
    <w:p w14:paraId="56D17314" w14:textId="65AC82E7" w:rsidR="00746899" w:rsidRPr="005E779E" w:rsidRDefault="00746899" w:rsidP="000B7A6C">
      <w:pPr>
        <w:pStyle w:val="article-renderblock"/>
        <w:shd w:val="clear" w:color="auto" w:fill="FFFFFF"/>
        <w:spacing w:before="0" w:beforeAutospacing="0" w:after="0" w:afterAutospacing="0"/>
        <w:jc w:val="both"/>
        <w:rPr>
          <w:color w:val="000000" w:themeColor="text1"/>
          <w:sz w:val="16"/>
          <w:szCs w:val="16"/>
        </w:rPr>
      </w:pPr>
    </w:p>
    <w:p w14:paraId="13F26C8D" w14:textId="31CFC483" w:rsidR="00511838" w:rsidRPr="005E779E" w:rsidRDefault="00511838" w:rsidP="00511838">
      <w:pPr>
        <w:pStyle w:val="article-renderblock"/>
        <w:shd w:val="clear" w:color="auto" w:fill="FFFFFF"/>
        <w:spacing w:before="0" w:beforeAutospacing="0" w:after="0" w:afterAutospacing="0"/>
        <w:jc w:val="both"/>
        <w:rPr>
          <w:i/>
          <w:iCs/>
          <w:color w:val="000000" w:themeColor="text1"/>
          <w:sz w:val="16"/>
          <w:szCs w:val="16"/>
        </w:rPr>
      </w:pPr>
      <w:r>
        <w:rPr>
          <w:i/>
          <w:iCs/>
          <w:color w:val="000000" w:themeColor="text1"/>
          <w:sz w:val="16"/>
          <w:szCs w:val="16"/>
        </w:rPr>
        <w:t>Армия</w:t>
      </w:r>
      <w:r w:rsidRPr="005E779E">
        <w:rPr>
          <w:i/>
          <w:iCs/>
          <w:color w:val="000000" w:themeColor="text1"/>
          <w:sz w:val="16"/>
          <w:szCs w:val="16"/>
        </w:rPr>
        <w:t>:</w:t>
      </w:r>
    </w:p>
    <w:p w14:paraId="563B1C2A" w14:textId="77777777" w:rsidR="00511838" w:rsidRPr="005E779E" w:rsidRDefault="00511838" w:rsidP="00511838">
      <w:pPr>
        <w:pStyle w:val="article-renderblock"/>
        <w:shd w:val="clear" w:color="auto" w:fill="FFFFFF"/>
        <w:spacing w:before="0" w:beforeAutospacing="0" w:after="0" w:afterAutospacing="0"/>
        <w:jc w:val="both"/>
        <w:rPr>
          <w:i/>
          <w:iCs/>
          <w:color w:val="000000" w:themeColor="text1"/>
          <w:sz w:val="16"/>
          <w:szCs w:val="16"/>
        </w:rPr>
      </w:pPr>
    </w:p>
    <w:p w14:paraId="61CC95E6" w14:textId="77777777" w:rsidR="00511838" w:rsidRPr="00142305" w:rsidRDefault="00511838" w:rsidP="0051183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декабря 1931 г. в управлении специального снабжения У ВВС РККА состоялось расширенное совещание командиров авиапарков, начальников снабжения ВВС округов и «морей» и начальников складов. На совещании был разобран ряд вопросов специального снабжения ВВС, приобретавших важное значение в связи с поступлением на вооружение новой материальной части. Там же было принято решение о переходе на двухстепенную систему снабжения строевых частей. Вводился порядок, когда самолет, мотор, станки, автотранс</w:t>
      </w:r>
      <w:r w:rsidRPr="00142305">
        <w:rPr>
          <w:rFonts w:ascii="Times New Roman" w:hAnsi="Times New Roman"/>
          <w:color w:val="0070C0"/>
          <w:sz w:val="16"/>
          <w:szCs w:val="16"/>
        </w:rPr>
        <w:softHyphen/>
        <w:t>порт всех видов, приборы, вооружение, оборудование, летное обмундирование, горючее, воздухоплавательное имущество и т. д. поступают прямо в авиапарки, минуя промежуточные склады. Теперь стали иметь место две точки снабжения: от центра - в парк.</w:t>
      </w:r>
    </w:p>
    <w:p w14:paraId="009F7193" w14:textId="77777777" w:rsidR="00511838" w:rsidRPr="00142305" w:rsidRDefault="00511838" w:rsidP="0051183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Такой порядок сокращал время простоя имущества на промежуточных ба</w:t>
      </w:r>
      <w:r w:rsidRPr="00142305">
        <w:rPr>
          <w:rFonts w:ascii="Times New Roman" w:hAnsi="Times New Roman"/>
          <w:color w:val="0070C0"/>
          <w:sz w:val="16"/>
          <w:szCs w:val="16"/>
        </w:rPr>
        <w:softHyphen/>
        <w:t>зах и упрощал порядок обеспечения. С переходом на новую систему снабжения начальники снабжения ВВС округов приобретали функции инспектирования.</w:t>
      </w:r>
    </w:p>
    <w:p w14:paraId="7FD4BFC8" w14:textId="77777777" w:rsidR="00511838" w:rsidRPr="00142305" w:rsidRDefault="00511838" w:rsidP="0051183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Совещание признало, что дело ремонта в мастерских и парках до сих пор не везде достигло нужной эффективности. Вопрос усложнялся в связи с получе</w:t>
      </w:r>
      <w:r w:rsidRPr="00142305">
        <w:rPr>
          <w:rFonts w:ascii="Times New Roman" w:hAnsi="Times New Roman"/>
          <w:color w:val="0070C0"/>
          <w:sz w:val="16"/>
          <w:szCs w:val="16"/>
        </w:rPr>
        <w:softHyphen/>
        <w:t>нием новых металлических самолетов, требующих от исполнителей высокой квалификации при ремонте. Необходимо было издать специальные инструкции и руководящие документы по ремонту. Решено было чаще проводить инспекци</w:t>
      </w:r>
      <w:r w:rsidRPr="00142305">
        <w:rPr>
          <w:rFonts w:ascii="Times New Roman" w:hAnsi="Times New Roman"/>
          <w:color w:val="0070C0"/>
          <w:sz w:val="16"/>
          <w:szCs w:val="16"/>
        </w:rPr>
        <w:softHyphen/>
        <w:t>онные проверки ремонтных органов.</w:t>
      </w:r>
    </w:p>
    <w:p w14:paraId="1FCE6261" w14:textId="77777777" w:rsidR="00511838" w:rsidRPr="00142305" w:rsidRDefault="00511838" w:rsidP="0051183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Для подготовки кадров требовалось организовать ремонтно-учебные ма</w:t>
      </w:r>
      <w:r w:rsidRPr="00142305">
        <w:rPr>
          <w:rFonts w:ascii="Times New Roman" w:hAnsi="Times New Roman"/>
          <w:color w:val="0070C0"/>
          <w:sz w:val="16"/>
          <w:szCs w:val="16"/>
        </w:rPr>
        <w:softHyphen/>
        <w:t>стерские, куда направлять для обучения красноармейцев; широко применять подготовку кадров производственников на местах; пропустить ряд групп работ</w:t>
      </w:r>
      <w:r w:rsidRPr="00142305">
        <w:rPr>
          <w:rFonts w:ascii="Times New Roman" w:hAnsi="Times New Roman"/>
          <w:color w:val="0070C0"/>
          <w:sz w:val="16"/>
          <w:szCs w:val="16"/>
        </w:rPr>
        <w:softHyphen/>
        <w:t>ников мастерских ВВС через курсы техников-нормировщиков и контролеров при Центральном институте труда (ЦИТе); организовать при ВВА им. Жуков</w:t>
      </w:r>
      <w:r w:rsidRPr="00142305">
        <w:rPr>
          <w:rFonts w:ascii="Times New Roman" w:hAnsi="Times New Roman"/>
          <w:color w:val="0070C0"/>
          <w:sz w:val="16"/>
          <w:szCs w:val="16"/>
        </w:rPr>
        <w:softHyphen/>
        <w:t>ского курсы повышения квалификации начальников мастерских и мастеров.</w:t>
      </w:r>
    </w:p>
    <w:p w14:paraId="4BA0F8E2" w14:textId="77777777" w:rsidR="00511838" w:rsidRPr="00142305" w:rsidRDefault="00511838" w:rsidP="0051183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совещании был установлен порядок финансирования при хозрасчете. Хозяйственный расчет намечено было внедрить во все мастерские парков и скла</w:t>
      </w:r>
      <w:r w:rsidRPr="00142305">
        <w:rPr>
          <w:rFonts w:ascii="Times New Roman" w:hAnsi="Times New Roman"/>
          <w:color w:val="0070C0"/>
          <w:sz w:val="16"/>
          <w:szCs w:val="16"/>
        </w:rPr>
        <w:softHyphen/>
        <w:t>дов. В принятом решении по итогам работы совещания указывалось, что в усло</w:t>
      </w:r>
      <w:r w:rsidRPr="00142305">
        <w:rPr>
          <w:rFonts w:ascii="Times New Roman" w:hAnsi="Times New Roman"/>
          <w:color w:val="0070C0"/>
          <w:sz w:val="16"/>
          <w:szCs w:val="16"/>
        </w:rPr>
        <w:softHyphen/>
        <w:t>виях хозрасчетного ремонта в первую очередь работа мастерских должна обеспечить на 100% запросы строевых частей и лишь после этого можно было допустить работу на стороне за плату.</w:t>
      </w:r>
    </w:p>
    <w:p w14:paraId="7978C12D" w14:textId="77777777" w:rsidR="00511838" w:rsidRPr="00142305" w:rsidRDefault="00511838" w:rsidP="0051183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первые годы руководства Я. И. Алкснисом Военно-воздушными силами РККА их складское дело подверглось тщательному анализу. В принятых реше</w:t>
      </w:r>
      <w:r w:rsidRPr="00142305">
        <w:rPr>
          <w:rFonts w:ascii="Times New Roman" w:hAnsi="Times New Roman"/>
          <w:color w:val="0070C0"/>
          <w:sz w:val="16"/>
          <w:szCs w:val="16"/>
        </w:rPr>
        <w:softHyphen/>
        <w:t>ниях был предусмотрен ряд улучшений этих тыловых структур. Признавалось необходимым разработать специальное положение о складах, пересмотреть та</w:t>
      </w:r>
      <w:r w:rsidRPr="00142305">
        <w:rPr>
          <w:rFonts w:ascii="Times New Roman" w:hAnsi="Times New Roman"/>
          <w:color w:val="0070C0"/>
          <w:sz w:val="16"/>
          <w:szCs w:val="16"/>
        </w:rPr>
        <w:softHyphen/>
        <w:t>рификацию и вопросы противопожарной и караульной служб.</w:t>
      </w:r>
    </w:p>
    <w:p w14:paraId="2897DBB4" w14:textId="77777777" w:rsidR="00511838" w:rsidRPr="00142305" w:rsidRDefault="00511838" w:rsidP="0051183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Был также разобран вопрос порядок прохождения службы работниками складов, организации для них курсов и обращалось внимание на необходимость повышения качества командирской учебы в подразделениях складов.</w:t>
      </w:r>
    </w:p>
    <w:p w14:paraId="64D441B5" w14:textId="77777777" w:rsidR="00511838" w:rsidRPr="00142305" w:rsidRDefault="00511838" w:rsidP="0051183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Реорганизовывался учет и порядок отчетности в парках, на складах и в ма</w:t>
      </w:r>
      <w:r w:rsidRPr="00142305">
        <w:rPr>
          <w:rFonts w:ascii="Times New Roman" w:hAnsi="Times New Roman"/>
          <w:color w:val="0070C0"/>
          <w:sz w:val="16"/>
          <w:szCs w:val="16"/>
        </w:rPr>
        <w:softHyphen/>
        <w:t>стерских. Вводились новые формы и табели, сводящиеся к тому, чтобы упро</w:t>
      </w:r>
      <w:r w:rsidRPr="00142305">
        <w:rPr>
          <w:rFonts w:ascii="Times New Roman" w:hAnsi="Times New Roman"/>
          <w:color w:val="0070C0"/>
          <w:sz w:val="16"/>
          <w:szCs w:val="16"/>
        </w:rPr>
        <w:softHyphen/>
        <w:t>стить и рационализировать эту работу (Вестник воздушного флота. - 1932. - № 2).</w:t>
      </w:r>
    </w:p>
    <w:p w14:paraId="3DE9BB3C" w14:textId="77777777" w:rsidR="00511838" w:rsidRPr="00142305" w:rsidRDefault="00511838" w:rsidP="0051183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Дальнейшее совершенствование авиатехники и принятие на вооружение новых типов боевых самолетов повысило требования к качеству их ремонта (24968).</w:t>
      </w:r>
    </w:p>
    <w:p w14:paraId="4AC0B7A6" w14:textId="77777777" w:rsidR="00511838" w:rsidRPr="00142305" w:rsidRDefault="00511838" w:rsidP="00511838">
      <w:pPr>
        <w:spacing w:after="0" w:line="240" w:lineRule="auto"/>
        <w:jc w:val="both"/>
        <w:rPr>
          <w:rFonts w:ascii="Times New Roman" w:hAnsi="Times New Roman"/>
          <w:color w:val="0070C0"/>
          <w:sz w:val="16"/>
          <w:szCs w:val="16"/>
        </w:rPr>
      </w:pPr>
    </w:p>
    <w:p w14:paraId="2626B296" w14:textId="594BF7C4" w:rsidR="00746899" w:rsidRPr="005E779E" w:rsidRDefault="00746899" w:rsidP="000B7A6C">
      <w:pPr>
        <w:pStyle w:val="article-renderblock"/>
        <w:shd w:val="clear" w:color="auto" w:fill="FFFFFF"/>
        <w:spacing w:before="0" w:beforeAutospacing="0" w:after="0" w:afterAutospacing="0"/>
        <w:jc w:val="both"/>
        <w:rPr>
          <w:i/>
          <w:iCs/>
          <w:color w:val="000000" w:themeColor="text1"/>
          <w:sz w:val="16"/>
          <w:szCs w:val="16"/>
        </w:rPr>
      </w:pPr>
      <w:r w:rsidRPr="005E779E">
        <w:rPr>
          <w:i/>
          <w:iCs/>
          <w:color w:val="000000" w:themeColor="text1"/>
          <w:sz w:val="16"/>
          <w:szCs w:val="16"/>
        </w:rPr>
        <w:t>Внешняя политика:</w:t>
      </w:r>
    </w:p>
    <w:p w14:paraId="05A95D4B" w14:textId="77777777" w:rsidR="00746899" w:rsidRPr="005E779E" w:rsidRDefault="00746899" w:rsidP="000B7A6C">
      <w:pPr>
        <w:pStyle w:val="article-renderblock"/>
        <w:shd w:val="clear" w:color="auto" w:fill="FFFFFF"/>
        <w:spacing w:before="0" w:beforeAutospacing="0" w:after="0" w:afterAutospacing="0"/>
        <w:jc w:val="both"/>
        <w:rPr>
          <w:i/>
          <w:iCs/>
          <w:color w:val="000000" w:themeColor="text1"/>
          <w:sz w:val="16"/>
          <w:szCs w:val="16"/>
        </w:rPr>
      </w:pPr>
    </w:p>
    <w:p w14:paraId="522577FA" w14:textId="77777777" w:rsidR="00746899" w:rsidRPr="005E779E" w:rsidRDefault="00746899"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В конце декабря 1931 г. министру иностранных дел Японии Иосидзаве (находившемуся проездом в Москве) было сделано предложение о заключении пакта о ненападении между СССР и Японией (22725).</w:t>
      </w:r>
    </w:p>
    <w:p w14:paraId="02788C56" w14:textId="77777777" w:rsidR="00746899" w:rsidRPr="005E779E" w:rsidRDefault="00746899" w:rsidP="000B7A6C">
      <w:pPr>
        <w:spacing w:after="0" w:line="240" w:lineRule="auto"/>
        <w:jc w:val="both"/>
        <w:rPr>
          <w:rFonts w:ascii="Times New Roman" w:eastAsia="Times New Roman" w:hAnsi="Times New Roman"/>
          <w:color w:val="000000" w:themeColor="text1"/>
          <w:sz w:val="16"/>
          <w:szCs w:val="16"/>
          <w:lang w:eastAsia="ru-RU"/>
        </w:rPr>
      </w:pPr>
    </w:p>
    <w:p w14:paraId="21282BD2" w14:textId="77777777" w:rsidR="001721E5" w:rsidRPr="005E779E" w:rsidRDefault="001721E5" w:rsidP="001721E5">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1D25D123" w14:textId="77777777" w:rsidR="001721E5" w:rsidRPr="005E779E" w:rsidRDefault="001721E5" w:rsidP="001721E5">
      <w:pPr>
        <w:autoSpaceDE w:val="0"/>
        <w:autoSpaceDN w:val="0"/>
        <w:adjustRightInd w:val="0"/>
        <w:spacing w:after="0" w:line="240" w:lineRule="auto"/>
        <w:jc w:val="both"/>
        <w:rPr>
          <w:rFonts w:ascii="Times New Roman" w:hAnsi="Times New Roman"/>
          <w:iCs/>
          <w:color w:val="000000" w:themeColor="text1"/>
          <w:sz w:val="16"/>
          <w:szCs w:val="16"/>
        </w:rPr>
      </w:pPr>
    </w:p>
    <w:p w14:paraId="345EE2B2" w14:textId="77777777" w:rsidR="001721E5" w:rsidRPr="00142305" w:rsidRDefault="001721E5" w:rsidP="001721E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Во второй половине декабря 1931 г. временно возглавлявший КБ по танку БТ военинженер 2 ранга Н.М. Тоскин вернулся в Москву во второй отдел Научно-технического комитета (НТК) УММ РККА.</w:t>
      </w:r>
    </w:p>
    <w:p w14:paraId="372B93FE" w14:textId="77777777" w:rsidR="001721E5" w:rsidRPr="00142305" w:rsidRDefault="001721E5" w:rsidP="001721E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Неоднократные обращения руководства ХПЗ в вышестоящие инстанции по поводу оставления прикомандированного на время Н.М. Тоскина, отлично знавшего конструкцию танков Кристи и БТ, в качестве начальника КБ Т2К в конечном итоге не возымели успеха. На освободившуюся должность во второй половине декабря 1931 г. был назначен инженер с дореволюционным стажем А.О. Фирсов, а его заместителем в начале 1932 г. – И.С. Бер (25046).</w:t>
      </w:r>
    </w:p>
    <w:p w14:paraId="1DD93C23" w14:textId="77777777" w:rsidR="001721E5" w:rsidRPr="00142305" w:rsidRDefault="001721E5" w:rsidP="001721E5">
      <w:pPr>
        <w:spacing w:after="0" w:line="240" w:lineRule="auto"/>
        <w:jc w:val="both"/>
        <w:rPr>
          <w:rFonts w:ascii="Times New Roman" w:hAnsi="Times New Roman"/>
          <w:color w:val="0070C0"/>
          <w:sz w:val="16"/>
          <w:szCs w:val="16"/>
        </w:rPr>
      </w:pPr>
    </w:p>
    <w:p w14:paraId="146A70F6"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527C548C"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9AAA1B0" w14:textId="77777777" w:rsidR="00CA22D8" w:rsidRPr="005E779E" w:rsidRDefault="00CA22D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декабря 1931 г. до снятия И-4 с вооружения на нем проводились испытания АПК—4 калибра 76 мм, а с 1933 г. — АПК—65 бис калибра 65 мм, которые ус</w:t>
      </w:r>
      <w:r w:rsidRPr="005E779E">
        <w:rPr>
          <w:rFonts w:ascii="Times New Roman" w:hAnsi="Times New Roman"/>
          <w:color w:val="000000" w:themeColor="text1"/>
          <w:sz w:val="16"/>
          <w:szCs w:val="16"/>
        </w:rPr>
        <w:softHyphen/>
        <w:t>танавливались под верхним крылом в 1 м от узлов крепления подкосов (23474).</w:t>
      </w:r>
    </w:p>
    <w:p w14:paraId="720985D8" w14:textId="77777777" w:rsidR="00CA22D8" w:rsidRPr="005E779E" w:rsidRDefault="00CA22D8" w:rsidP="000B7A6C">
      <w:pPr>
        <w:spacing w:after="0" w:line="240" w:lineRule="auto"/>
        <w:jc w:val="both"/>
        <w:rPr>
          <w:rFonts w:ascii="Times New Roman" w:hAnsi="Times New Roman"/>
          <w:color w:val="000000" w:themeColor="text1"/>
          <w:sz w:val="16"/>
          <w:szCs w:val="16"/>
        </w:rPr>
      </w:pPr>
    </w:p>
    <w:p w14:paraId="06C46E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течение декабря 1931 года и первой половины января 1932 года ЦАГИ не работал на самолете И-12 с двумя пушками ДРП по устранению дефектов и только 8 февраля 1932 года самолет был готов к испытанию. 8 февраля было сделано 26 выстрелов на земле: у стабилизатора подогнуты нервюры и погнута обшивка, пневматика заряжающего механизма пушки отказывала в действии. Хвостовое оперение ЦАГИ переделало вновь; на пушке изменена длина отводящей трубы и к 10 марта 1932 года самолет был готов к полету (7416, 58-59).</w:t>
      </w:r>
    </w:p>
    <w:p w14:paraId="38C1B7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AB1A5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декабре 1931 КБ, НИИ ВВС и ВАО рассмотрели план проведения исследовательских работ по Р-6 одновременно на 3 машинах (346,35).</w:t>
      </w:r>
    </w:p>
    <w:p w14:paraId="0C1969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5E15984" w14:textId="77777777" w:rsidR="005E1AD5" w:rsidRPr="005E779E" w:rsidRDefault="005E1AD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декабре 1931 г. был составлен совместный план работ ЦАГИ, НИИ ВВС и завода. Для экспериментов выделили три серийных Р-6. На одном из них убрали выступающие детали на центроплане, на втором смонтировали предкрылки, а на третьем - неподвижные закрылки. Все три машины испытывались в июле 1932 г. </w:t>
      </w:r>
      <w:r w:rsidRPr="005E779E">
        <w:rPr>
          <w:rFonts w:ascii="Times New Roman" w:hAnsi="Times New Roman"/>
          <w:color w:val="000000" w:themeColor="text1"/>
          <w:sz w:val="16"/>
          <w:szCs w:val="16"/>
        </w:rPr>
        <w:lastRenderedPageBreak/>
        <w:t>Наибольший эффект дал третий вариант. Максимальная скорость полёта уменьшилась на 7-8 км/ч, но поведение самолёта на больших углах атаки существенно улучшилось. Закрылки поставили на последних машинах выпуска завода № 22 и на почти всех таганрогских.</w:t>
      </w:r>
    </w:p>
    <w:p w14:paraId="713405B3" w14:textId="77777777" w:rsidR="005E1AD5" w:rsidRPr="005E779E" w:rsidRDefault="005E1AD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1932 г. ЦАГИ, стремясь устранить один из основных недостатков «крейсера» - малую дальность, оборудовал одну машину добавочными баками в крыле на 1700 кг бензина. Радиус действия при этом увеличивался до 1500 км. В серию этот вариант не внедряли, очевидно, добавочный вес сделал и так не очень-то манёвренный Р-6 совершенно неуклюжим.</w:t>
      </w:r>
    </w:p>
    <w:p w14:paraId="73CBA1AE" w14:textId="77777777" w:rsidR="005E1AD5" w:rsidRPr="005E779E" w:rsidRDefault="005E1AD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1933 г. УВВС первоначально затребовало 200 самолётов; позже заказ урезали до 150. Реально за год завод № 31 выпустил 50 машин, причём частично использовал задел завода № 22, в частности, центропланы. Военные хотели иметь на серии 1933 г. новые радиаторы, колёса с тормозами, увеличенный запас топлива, доработанную выпускную башню и закрылки. Промышленность почти всё это проигнорировала. Эталон 1933 г., предъявленный в НИИ ВВС 23 июня того же года, отличался от предыдущих серий значительно меньше. На нём ввели посадочные фары, изменённые капоты моторов, новые коки винтов, заливные горловины на всех баках, обтекатели амортизаторов шасси и бомбосбрасыватель Сбр-9 вместо Сбр-8. Перекомпо-новали приборные доски, перенесли под крыло трубку ПВД и надели на штурвал деревянный обод (12264).</w:t>
      </w:r>
    </w:p>
    <w:p w14:paraId="66068193" w14:textId="77777777" w:rsidR="005E1AD5" w:rsidRPr="005E779E" w:rsidRDefault="005E1AD5" w:rsidP="000B7A6C">
      <w:pPr>
        <w:spacing w:after="0" w:line="240" w:lineRule="auto"/>
        <w:jc w:val="both"/>
        <w:rPr>
          <w:rFonts w:ascii="Times New Roman" w:hAnsi="Times New Roman"/>
          <w:color w:val="000000" w:themeColor="text1"/>
          <w:sz w:val="16"/>
          <w:szCs w:val="16"/>
        </w:rPr>
      </w:pPr>
    </w:p>
    <w:p w14:paraId="22A5DD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декабре 1931 УВВС сообщил ЦАГИ новые, более подробные требования к АНТ-16 (ТБ-4), предполагавшей замену 4хМ-35 на 6хМ-34 (7388, 8).</w:t>
      </w:r>
    </w:p>
    <w:p w14:paraId="503D2B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20CB164" w14:textId="77777777" w:rsidR="006E304E" w:rsidRPr="00142305" w:rsidRDefault="006E304E" w:rsidP="006E304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декабре 1931 года приняли решение об использовании на АНТ-16 моторов М-34. В итоге пришлось силовую установку ТБ-4 дополнить парой М-34, разместив их на фюзеляже. При этом один мотор был с тянущим, а другой - с толкающим винтом. Безусловно, рассматривались и другие двига</w:t>
      </w:r>
      <w:r w:rsidRPr="00142305">
        <w:rPr>
          <w:rFonts w:ascii="Times New Roman" w:hAnsi="Times New Roman"/>
          <w:color w:val="0070C0"/>
          <w:sz w:val="16"/>
          <w:szCs w:val="16"/>
        </w:rPr>
        <w:softHyphen/>
        <w:t>тели, даже обращались за помощью к итальянцам на фирму «Изотта-Фраскини». Но из этого ничего не вышло (24991).</w:t>
      </w:r>
    </w:p>
    <w:p w14:paraId="0BFE1682" w14:textId="77777777" w:rsidR="006E304E" w:rsidRPr="00142305" w:rsidRDefault="006E304E" w:rsidP="006E304E">
      <w:pPr>
        <w:spacing w:after="0" w:line="240" w:lineRule="auto"/>
        <w:jc w:val="both"/>
        <w:rPr>
          <w:rFonts w:ascii="Times New Roman" w:hAnsi="Times New Roman"/>
          <w:color w:val="0070C0"/>
          <w:sz w:val="16"/>
          <w:szCs w:val="16"/>
        </w:rPr>
      </w:pPr>
    </w:p>
    <w:p w14:paraId="55BF3F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декабре 1931 года заводу № 39 было предложено перестроиться на производство серий больших самолетов ТБ-3. Весь 1932 год завод развивал серийное производство самолетов ТБ3, но в феврале 1933 года новым указанием ГУАПа заводу было предписано вновь вернуться к опытному самолетостроению и организовать одновременно производство малых серий.</w:t>
      </w:r>
    </w:p>
    <w:p w14:paraId="24F098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 только с 1937 года за заводом закрепляется серийное производство самолетов и с этого года начинается его соответствующая реконструкция, не завершенная еще и на сегодняшний день (9241).</w:t>
      </w:r>
    </w:p>
    <w:p w14:paraId="3D1297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Когда развернулось производство четырехмоторных бомбардировшиков ТБ-3, решение проблемы окраски еще не было найдено. Поэтому сначала пошли тем же путем, что и для предыдущих типов машин. Шагом вперед стало только утверждение рецептуры красок, которой следовало придерживаться всем заводам (этот самолет строили на трех предприятиях). Бомбардировщик сверху красился в "защитный" (зеленый с желтоватым оттенком) цвет. Состав был таким: 42% крона, 27,3% олифы, 25,5% умбры и 1% сажи. Снизу самолет был светло-серым: 34,84% литопона (смеси солей цинка и бария), 34% свинцовых белил и 31% олифы. Внутри машина красилась в серый цвет: 31,6% литопона, 31,6% свинцовых белил, 2,2% крона и 33,8% олифы. Применение литопона, видимо, было вынужденным, так как литопоновые белила отличались низкой стойкостью. Краска наносилась в два слоя (где распылителем, где - кистями); с мая 1933 г. для уменьшения массы покрытия стали обходиться только одним слоем. Делали это прямо на открытом воздухе, без предварительной сушки. Со II квартала 1933 г. перешли на покраску отдельных узлов внутри цехов.</w:t>
      </w:r>
    </w:p>
    <w:p w14:paraId="0D38E6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 результаты по-прежнему оставались плачевными. Инструкция по эксплуатации бомбардировщика ТБ-3 честно признавала: "...окраска, легко сползающая под влиянием дождя, а зачастую и просто в полете, не может выдержать даже бережного обмывания мягкими тряпками". Поэтому механикам приходилось постоянно подкрашивать машины. Рекомендовалось обработать пострадавшее место металлической щеткой, затем ошкурить и промыть бензином, а затем наносить краску. Но металл по-прежнему не грунтовали. Свежая краска выделялась на общем фоне более темным цветом и глянцевым блеском.То же самое можно сказать о "крейсерах" Р-6 и некоторых других цельнометаллических машинах. Когда ВВС приняли на вооружение транспортный самолет АНТ-9, первоначально в технические условия на поставку вписали стандартную схему окраски "зеленый - голубой". Завод честно старался выполнить требования военных. Но пока первая серия машин доводилась (со значительными переделками), самолеты успели два раза облезть, и их два раза перекрашивали. В конце концов эти игры всем надоели, и УВВС согласилось на покраску всей партии АНТ-9 "серебрянкой", такую же, как у аналогичных машин для гражданской авиации (11987).</w:t>
      </w:r>
    </w:p>
    <w:p w14:paraId="5AFFBD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6ECB1E6" w14:textId="77777777" w:rsidR="00CA22D8" w:rsidRPr="005E779E" w:rsidRDefault="00CA22D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декабре 1931 г. ЦАГИ, НИИ ВВС и ВАО рассмотрели план проведе</w:t>
      </w:r>
      <w:r w:rsidRPr="005E779E">
        <w:rPr>
          <w:rFonts w:ascii="Times New Roman" w:hAnsi="Times New Roman"/>
          <w:color w:val="000000" w:themeColor="text1"/>
          <w:sz w:val="16"/>
          <w:szCs w:val="16"/>
        </w:rPr>
        <w:softHyphen/>
        <w:t>ния исследовательских работ по теме вибраций АНТ-7 одновременно на трех машинах. Выяс</w:t>
      </w:r>
      <w:r w:rsidRPr="005E779E">
        <w:rPr>
          <w:rFonts w:ascii="Times New Roman" w:hAnsi="Times New Roman"/>
          <w:color w:val="000000" w:themeColor="text1"/>
          <w:sz w:val="16"/>
          <w:szCs w:val="16"/>
        </w:rPr>
        <w:softHyphen/>
        <w:t>нилось, что, начиная с некоторых углов атаки на планировании и спиралях, опе</w:t>
      </w:r>
      <w:r w:rsidRPr="005E779E">
        <w:rPr>
          <w:rFonts w:ascii="Times New Roman" w:hAnsi="Times New Roman"/>
          <w:color w:val="000000" w:themeColor="text1"/>
          <w:sz w:val="16"/>
          <w:szCs w:val="16"/>
        </w:rPr>
        <w:softHyphen/>
        <w:t>рение попадало в зону сбегающих с крыла вихрей. В июле 1932 г. на одном из само</w:t>
      </w:r>
      <w:r w:rsidRPr="005E779E">
        <w:rPr>
          <w:rFonts w:ascii="Times New Roman" w:hAnsi="Times New Roman"/>
          <w:color w:val="000000" w:themeColor="text1"/>
          <w:sz w:val="16"/>
          <w:szCs w:val="16"/>
        </w:rPr>
        <w:softHyphen/>
        <w:t>летов очистили центроплан крыла от надстроек, на другом — поставили пред</w:t>
      </w:r>
      <w:r w:rsidRPr="005E779E">
        <w:rPr>
          <w:rFonts w:ascii="Times New Roman" w:hAnsi="Times New Roman"/>
          <w:color w:val="000000" w:themeColor="text1"/>
          <w:sz w:val="16"/>
          <w:szCs w:val="16"/>
        </w:rPr>
        <w:softHyphen/>
        <w:t>крылки между фюзеляжем и мотогондо</w:t>
      </w:r>
      <w:r w:rsidRPr="005E779E">
        <w:rPr>
          <w:rFonts w:ascii="Times New Roman" w:hAnsi="Times New Roman"/>
          <w:color w:val="000000" w:themeColor="text1"/>
          <w:sz w:val="16"/>
          <w:szCs w:val="16"/>
        </w:rPr>
        <w:softHyphen/>
        <w:t>лами, а на третьем — профилированные неподвижные закрылки по всей задней кромке центроплана под углом 29 граду</w:t>
      </w:r>
      <w:r w:rsidRPr="005E779E">
        <w:rPr>
          <w:rFonts w:ascii="Times New Roman" w:hAnsi="Times New Roman"/>
          <w:color w:val="000000" w:themeColor="text1"/>
          <w:sz w:val="16"/>
          <w:szCs w:val="16"/>
        </w:rPr>
        <w:softHyphen/>
        <w:t>сов. Как показали испытания, закрылки дали максимальный эффект. Несмотря на то что они «съедали» 7—8 км/ч скоро</w:t>
      </w:r>
      <w:r w:rsidRPr="005E779E">
        <w:rPr>
          <w:rFonts w:ascii="Times New Roman" w:hAnsi="Times New Roman"/>
          <w:color w:val="000000" w:themeColor="text1"/>
          <w:sz w:val="16"/>
          <w:szCs w:val="16"/>
        </w:rPr>
        <w:softHyphen/>
        <w:t>сти, их установили на всех серийных са</w:t>
      </w:r>
      <w:r w:rsidRPr="005E779E">
        <w:rPr>
          <w:rFonts w:ascii="Times New Roman" w:hAnsi="Times New Roman"/>
          <w:color w:val="000000" w:themeColor="text1"/>
          <w:sz w:val="16"/>
          <w:szCs w:val="16"/>
        </w:rPr>
        <w:softHyphen/>
        <w:t>молетах Р—6 и КР—6.</w:t>
      </w:r>
    </w:p>
    <w:p w14:paraId="5171B3D3" w14:textId="77777777" w:rsidR="00CA22D8" w:rsidRPr="005E779E" w:rsidRDefault="00CA22D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решению УВВС головной самолет № 2201 надо было доработать и провести испытания для утверждения его в качестве эталона на 1932 г. (23474).</w:t>
      </w:r>
    </w:p>
    <w:p w14:paraId="120C7561" w14:textId="77777777" w:rsidR="00CA22D8" w:rsidRPr="005E779E" w:rsidRDefault="00CA22D8" w:rsidP="000B7A6C">
      <w:pPr>
        <w:spacing w:after="0" w:line="240" w:lineRule="auto"/>
        <w:jc w:val="both"/>
        <w:rPr>
          <w:rFonts w:ascii="Times New Roman" w:hAnsi="Times New Roman"/>
          <w:color w:val="000000" w:themeColor="text1"/>
          <w:sz w:val="16"/>
          <w:szCs w:val="16"/>
        </w:rPr>
      </w:pPr>
    </w:p>
    <w:p w14:paraId="631344A1" w14:textId="77777777" w:rsidR="006E304E" w:rsidRPr="00142305" w:rsidRDefault="006E304E" w:rsidP="006E304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декабре 1931 г. в борьбе с перетяжелением серийных машин Р-5 и низкой технологической культурой УВВС было вынуждено ввести предвари</w:t>
      </w:r>
      <w:r w:rsidRPr="00142305">
        <w:rPr>
          <w:rFonts w:ascii="Times New Roman" w:hAnsi="Times New Roman"/>
          <w:color w:val="0070C0"/>
          <w:sz w:val="16"/>
          <w:szCs w:val="16"/>
        </w:rPr>
        <w:softHyphen/>
        <w:t>тельную военную приемку отдельных узлов с обязатель</w:t>
      </w:r>
      <w:r w:rsidRPr="00142305">
        <w:rPr>
          <w:rFonts w:ascii="Times New Roman" w:hAnsi="Times New Roman"/>
          <w:color w:val="0070C0"/>
          <w:sz w:val="16"/>
          <w:szCs w:val="16"/>
        </w:rPr>
        <w:softHyphen/>
        <w:t>ным взвешиванием (24990).</w:t>
      </w:r>
    </w:p>
    <w:p w14:paraId="753CB2D2" w14:textId="77777777" w:rsidR="006E304E" w:rsidRPr="00142305" w:rsidRDefault="006E304E" w:rsidP="006E304E">
      <w:pPr>
        <w:spacing w:after="0" w:line="240" w:lineRule="auto"/>
        <w:jc w:val="both"/>
        <w:rPr>
          <w:rFonts w:ascii="Times New Roman" w:hAnsi="Times New Roman"/>
          <w:color w:val="0070C0"/>
          <w:sz w:val="16"/>
          <w:szCs w:val="16"/>
        </w:rPr>
      </w:pPr>
    </w:p>
    <w:p w14:paraId="2014F8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декабре 1931 был готов ТОМ-1 П.Ришара. Отвезли в Севастополь, но поплавковый ТБ-1 был не хуже. Срок контракта истек руководство МОС ВАО решило не продлевать (99,178).</w:t>
      </w:r>
    </w:p>
    <w:p w14:paraId="5F7C88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975C4DA" w14:textId="77777777" w:rsidR="006E304E" w:rsidRPr="00142305" w:rsidRDefault="006E304E" w:rsidP="006E304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декабре 1931 г. изготовили опытный образец ТОМ-1 Ришара. Хотя машина значительно превосходила ТБ-1А по летным данным, от ее запуска в серию отказались из-за технологической сложности и дороговизны кон</w:t>
      </w:r>
      <w:r w:rsidRPr="00142305">
        <w:rPr>
          <w:rFonts w:ascii="Times New Roman" w:hAnsi="Times New Roman"/>
          <w:color w:val="0070C0"/>
          <w:sz w:val="16"/>
          <w:szCs w:val="16"/>
        </w:rPr>
        <w:softHyphen/>
        <w:t>струкции (25004).</w:t>
      </w:r>
    </w:p>
    <w:p w14:paraId="160DD43C" w14:textId="77777777" w:rsidR="006E304E" w:rsidRPr="00142305" w:rsidRDefault="006E304E" w:rsidP="006E304E">
      <w:pPr>
        <w:spacing w:after="0" w:line="240" w:lineRule="auto"/>
        <w:jc w:val="both"/>
        <w:rPr>
          <w:rFonts w:ascii="Times New Roman" w:hAnsi="Times New Roman"/>
          <w:color w:val="0070C0"/>
          <w:sz w:val="16"/>
          <w:szCs w:val="16"/>
        </w:rPr>
      </w:pPr>
    </w:p>
    <w:p w14:paraId="2B93D0FF" w14:textId="77777777" w:rsidR="006E304E" w:rsidRPr="00142305" w:rsidRDefault="006E304E" w:rsidP="006E304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декабре 1931 г. МДР-3 Четверикова перевезли в Севастополь, где 14 января 1932 г. летчик-испытатель Б.Л. Бухгольц совершил первый полет. Вместе с ним на борту летающей лодки находились механик А. Днепров и сам конструктор (25300). </w:t>
      </w:r>
    </w:p>
    <w:p w14:paraId="60C5A040" w14:textId="77777777" w:rsidR="006E304E" w:rsidRPr="00142305" w:rsidRDefault="006E304E" w:rsidP="006E304E">
      <w:pPr>
        <w:spacing w:after="0" w:line="240" w:lineRule="auto"/>
        <w:jc w:val="both"/>
        <w:rPr>
          <w:rFonts w:ascii="Times New Roman" w:hAnsi="Times New Roman"/>
          <w:color w:val="0070C0"/>
          <w:sz w:val="16"/>
          <w:szCs w:val="16"/>
        </w:rPr>
      </w:pPr>
    </w:p>
    <w:p w14:paraId="477E19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декабре 1931 был готов МДР-3 ЦКБ (самолет 11 по плану ЦКБ - 80,263), сделанный на основе крыла и оперения ТБ-5. Машину привезли в Крым (Севастополь) с испытателем Б.Л.Бухгольцом (63,85). Проявился бафтинг - решили испытания и дальнейшую работу прекратить.</w:t>
      </w:r>
    </w:p>
    <w:p w14:paraId="4BA7E4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C132C57" w14:textId="77777777" w:rsidR="006E304E" w:rsidRPr="005E779E" w:rsidRDefault="006E304E" w:rsidP="006E304E">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декабре 1931 в СССР поступили первые 4 С-62бис, закупленные Я.И.Алкснисом в Италии в декабре 1929 (1085,106).</w:t>
      </w:r>
    </w:p>
    <w:p w14:paraId="4698CA9D" w14:textId="77777777" w:rsidR="006E304E" w:rsidRPr="005E779E" w:rsidRDefault="006E304E" w:rsidP="006E304E">
      <w:pPr>
        <w:autoSpaceDE w:val="0"/>
        <w:autoSpaceDN w:val="0"/>
        <w:adjustRightInd w:val="0"/>
        <w:spacing w:after="0" w:line="240" w:lineRule="auto"/>
        <w:jc w:val="both"/>
        <w:rPr>
          <w:rFonts w:ascii="Times New Roman" w:hAnsi="Times New Roman"/>
          <w:color w:val="000000" w:themeColor="text1"/>
          <w:sz w:val="16"/>
          <w:szCs w:val="16"/>
        </w:rPr>
      </w:pPr>
    </w:p>
    <w:p w14:paraId="6EA1CE09" w14:textId="77777777" w:rsidR="006E304E" w:rsidRPr="005E779E" w:rsidRDefault="006E304E" w:rsidP="006E304E">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декабре 1931 из Италии в Россию поступила первая партия их четырех С-62бис и поставки продолжились до середины 1932 (9078, 6).</w:t>
      </w:r>
    </w:p>
    <w:p w14:paraId="506A29C7" w14:textId="77777777" w:rsidR="006E304E" w:rsidRPr="005E779E" w:rsidRDefault="006E304E" w:rsidP="006E304E">
      <w:pPr>
        <w:autoSpaceDE w:val="0"/>
        <w:autoSpaceDN w:val="0"/>
        <w:adjustRightInd w:val="0"/>
        <w:spacing w:after="0" w:line="240" w:lineRule="auto"/>
        <w:jc w:val="both"/>
        <w:rPr>
          <w:rFonts w:ascii="Times New Roman" w:hAnsi="Times New Roman"/>
          <w:color w:val="000000" w:themeColor="text1"/>
          <w:sz w:val="16"/>
          <w:szCs w:val="16"/>
        </w:rPr>
      </w:pPr>
    </w:p>
    <w:p w14:paraId="13D19089" w14:textId="77777777" w:rsidR="006E304E" w:rsidRPr="00142305" w:rsidRDefault="006E304E" w:rsidP="006E304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де</w:t>
      </w:r>
      <w:r w:rsidRPr="00142305">
        <w:rPr>
          <w:rFonts w:ascii="Times New Roman" w:hAnsi="Times New Roman"/>
          <w:color w:val="0070C0"/>
          <w:sz w:val="16"/>
          <w:szCs w:val="16"/>
        </w:rPr>
        <w:softHyphen/>
        <w:t>кабре 1931 г. на одном из пушечных самолетов S.62bis для СССР в Италии произвели прак</w:t>
      </w:r>
      <w:r w:rsidRPr="00142305">
        <w:rPr>
          <w:rFonts w:ascii="Times New Roman" w:hAnsi="Times New Roman"/>
          <w:color w:val="0070C0"/>
          <w:sz w:val="16"/>
          <w:szCs w:val="16"/>
        </w:rPr>
        <w:softHyphen/>
        <w:t>тический отстрел вооружения в воздухе. На носовой турели смонтировали пушку Эрликон L. Пилоты фирмы лететь отка</w:t>
      </w:r>
      <w:r w:rsidRPr="00142305">
        <w:rPr>
          <w:rFonts w:ascii="Times New Roman" w:hAnsi="Times New Roman"/>
          <w:color w:val="0070C0"/>
          <w:sz w:val="16"/>
          <w:szCs w:val="16"/>
        </w:rPr>
        <w:softHyphen/>
        <w:t>зались, боясь, что конструкция не выдер</w:t>
      </w:r>
      <w:r w:rsidRPr="00142305">
        <w:rPr>
          <w:rFonts w:ascii="Times New Roman" w:hAnsi="Times New Roman"/>
          <w:color w:val="0070C0"/>
          <w:sz w:val="16"/>
          <w:szCs w:val="16"/>
        </w:rPr>
        <w:softHyphen/>
        <w:t>жит стрельбы. Выручил один из прико</w:t>
      </w:r>
      <w:r w:rsidRPr="00142305">
        <w:rPr>
          <w:rFonts w:ascii="Times New Roman" w:hAnsi="Times New Roman"/>
          <w:color w:val="0070C0"/>
          <w:sz w:val="16"/>
          <w:szCs w:val="16"/>
        </w:rPr>
        <w:softHyphen/>
        <w:t>мандированных к приемочной комиссии военных летчиков, полковник А. Бакула, известный гонщик и рекордсмен. Полете</w:t>
      </w:r>
      <w:r w:rsidRPr="00142305">
        <w:rPr>
          <w:rFonts w:ascii="Times New Roman" w:hAnsi="Times New Roman"/>
          <w:color w:val="0070C0"/>
          <w:sz w:val="16"/>
          <w:szCs w:val="16"/>
        </w:rPr>
        <w:softHyphen/>
        <w:t>ли втроем: Бакула - за штурвалом, рядом с ним сидел советский летчик У.К. Бергстрем. а у пушки стоял советский специа</w:t>
      </w:r>
      <w:r w:rsidRPr="00142305">
        <w:rPr>
          <w:rFonts w:ascii="Times New Roman" w:hAnsi="Times New Roman"/>
          <w:color w:val="0070C0"/>
          <w:sz w:val="16"/>
          <w:szCs w:val="16"/>
        </w:rPr>
        <w:softHyphen/>
        <w:t>лист по вооружению В С. Коннэрт. В этом составе за два дня сделали 46 выстрелов холостыми патронами в воздухе, 90 - на воде (на озере Лаго-Маджоре) и столько же на суше. Самолет при стрельбе де</w:t>
      </w:r>
      <w:r w:rsidRPr="00142305">
        <w:rPr>
          <w:rFonts w:ascii="Times New Roman" w:hAnsi="Times New Roman"/>
          <w:color w:val="0070C0"/>
          <w:sz w:val="16"/>
          <w:szCs w:val="16"/>
        </w:rPr>
        <w:softHyphen/>
        <w:t>ргался: колебания шпангоутов и стенок доходили до 2 - 3 мм. Краска на переднем лонжероне и одном из шпангоутов лопну</w:t>
      </w:r>
      <w:r w:rsidRPr="00142305">
        <w:rPr>
          <w:rFonts w:ascii="Times New Roman" w:hAnsi="Times New Roman"/>
          <w:color w:val="0070C0"/>
          <w:sz w:val="16"/>
          <w:szCs w:val="16"/>
        </w:rPr>
        <w:softHyphen/>
        <w:t>ла, у турели срезало четыре крепежных болта. Тем не менее, всю вторую серию из десяти лодок, как и намеревались, отправили в пушечном исполнении, но без пушек.</w:t>
      </w:r>
    </w:p>
    <w:p w14:paraId="69A2980E" w14:textId="77777777" w:rsidR="006E304E" w:rsidRPr="00142305" w:rsidRDefault="006E304E" w:rsidP="006E304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Время поворота пушечной установки на тот же угол оказалось в четыре-пять раз больше, чем у спарки ДА-2. Чтобы стре</w:t>
      </w:r>
      <w:r w:rsidRPr="00142305">
        <w:rPr>
          <w:rFonts w:ascii="Times New Roman" w:hAnsi="Times New Roman"/>
          <w:color w:val="0070C0"/>
          <w:sz w:val="16"/>
          <w:szCs w:val="16"/>
        </w:rPr>
        <w:softHyphen/>
        <w:t>лять ниже горизонта, летнабу приходи</w:t>
      </w:r>
      <w:r w:rsidRPr="00142305">
        <w:rPr>
          <w:rFonts w:ascii="Times New Roman" w:hAnsi="Times New Roman"/>
          <w:color w:val="0070C0"/>
          <w:sz w:val="16"/>
          <w:szCs w:val="16"/>
        </w:rPr>
        <w:softHyphen/>
        <w:t>лось вставать на сиденье ногами. Сама пушка нередко отказывала после первого же выстрела. В итоге на всех пушечных «савойях» смонтировали пулеметные ту</w:t>
      </w:r>
      <w:r w:rsidRPr="00142305">
        <w:rPr>
          <w:rFonts w:ascii="Times New Roman" w:hAnsi="Times New Roman"/>
          <w:color w:val="0070C0"/>
          <w:sz w:val="16"/>
          <w:szCs w:val="16"/>
        </w:rPr>
        <w:softHyphen/>
        <w:t>рели, присланные из Италии как запас</w:t>
      </w:r>
      <w:r w:rsidRPr="00142305">
        <w:rPr>
          <w:rFonts w:ascii="Times New Roman" w:hAnsi="Times New Roman"/>
          <w:color w:val="0070C0"/>
          <w:sz w:val="16"/>
          <w:szCs w:val="16"/>
        </w:rPr>
        <w:softHyphen/>
        <w:t>ные. После этого лодки последнего десят</w:t>
      </w:r>
      <w:r w:rsidRPr="00142305">
        <w:rPr>
          <w:rFonts w:ascii="Times New Roman" w:hAnsi="Times New Roman"/>
          <w:color w:val="0070C0"/>
          <w:sz w:val="16"/>
          <w:szCs w:val="16"/>
        </w:rPr>
        <w:softHyphen/>
        <w:t>ка перестали отличаться от прочих (24948).</w:t>
      </w:r>
    </w:p>
    <w:p w14:paraId="1DB04B72" w14:textId="77777777" w:rsidR="006E304E" w:rsidRPr="00142305" w:rsidRDefault="006E304E" w:rsidP="006E304E">
      <w:pPr>
        <w:spacing w:after="0" w:line="240" w:lineRule="auto"/>
        <w:jc w:val="both"/>
        <w:rPr>
          <w:rFonts w:ascii="Times New Roman" w:hAnsi="Times New Roman"/>
          <w:color w:val="0070C0"/>
          <w:sz w:val="16"/>
          <w:szCs w:val="16"/>
        </w:rPr>
      </w:pPr>
    </w:p>
    <w:p w14:paraId="0F4B1FA5" w14:textId="77777777" w:rsidR="006E304E" w:rsidRPr="00142305" w:rsidRDefault="006E304E" w:rsidP="006E304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декабре 1931 г. на одной из последних С-62Б произвели практический отстрел вооружения в воздухе. В носовой установке поставили пушку Эрликон 1. Пилоты фирмы испытывать её в воздухе отказались, ссылаясь на то, что конструкция самолёта не выдержит стрельбы. Выручил один из прикомандированных к советской комиссии итальянских военных лётчиков, полковник Адриано Бакула, известный гонщик и рекордсмен. Полетели втроем: Бакула за штурвалом, рядом с ним советский приемщик Бертстрем (командир бригады ВВС Чёрного моря), а у пушки – второй приемщик В. С. Коннэрт (из Военно-воздушной академии). В этом составе за два дня сделали 46 выстрелов холостыми патронами в воздухе, 90 – на воде (на озере Лаго-Маджоре) и столько же на суше. Самолёт при стрельбе дергался: колебания шпангоутов и стенок доходили до 2–3 мм. Краска на переднем лонжероне и одном из шпангоутов лопнула, у турели срезало четыре крепежных болта (25184).</w:t>
      </w:r>
    </w:p>
    <w:p w14:paraId="5009BE81" w14:textId="77777777" w:rsidR="006E304E" w:rsidRPr="00142305" w:rsidRDefault="006E304E" w:rsidP="006E304E">
      <w:pPr>
        <w:spacing w:after="0" w:line="240" w:lineRule="auto"/>
        <w:jc w:val="both"/>
        <w:rPr>
          <w:rFonts w:ascii="Times New Roman" w:hAnsi="Times New Roman"/>
          <w:color w:val="0070C0"/>
          <w:sz w:val="16"/>
          <w:szCs w:val="16"/>
        </w:rPr>
      </w:pPr>
    </w:p>
    <w:p w14:paraId="030398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 декабре 1931 на И-4 испытывали 63 мм ДРП (1017,162). По другим данным - 76 мм (1454,19).</w:t>
      </w:r>
    </w:p>
    <w:p w14:paraId="3BF2B2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8C6CB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декабре 1931 был готов И-4 с ДРП ГДЛ и Л.В.Курчевского (ДРП, АПК). 76 мм под верхним крылом в 1 м от крепления подкосов. В ходе опытов - одна разорвалась (92,344).</w:t>
      </w:r>
    </w:p>
    <w:p w14:paraId="2D8432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Сначала АПК-4 76 мм, потом АПК-65ис 65 мм. Испытания шли до снятия машины с вооружения в 1935-1936 (346,23).</w:t>
      </w:r>
    </w:p>
    <w:p w14:paraId="439A4A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Важно, что Курчевский стал уполномоченным по спецработам Наркомата тяжелой промышленности. По Арлазорову у него работал Б.С.Стечкин и Д.П.Григорович (78,48).</w:t>
      </w:r>
    </w:p>
    <w:p w14:paraId="11254C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Есть мнение, что наоборот, Курчевский работал у Д.П.Г. на 133 опытном заводе с 1932 и это мнение выступает более обоснованным.</w:t>
      </w:r>
    </w:p>
    <w:p w14:paraId="5F03FA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6B0F6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декабре 1931 был разработан совместный план работ ЦАГИ, НИИ ВВС и завода 22 по устранению бафтинга на АНТ-7 (Р-6) на малых скоростях. Для экспериментов выделили 3 серийных (2671,16).</w:t>
      </w:r>
    </w:p>
    <w:p w14:paraId="3DF14E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D6DEA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Странная идея с заранее ограниченной дальностью полета объяснялась, скорее всего, сомнением, что в учебном институте, существующем с 1930 г. действительно смогут создать такой летательный аппарат. </w:t>
      </w:r>
    </w:p>
    <w:p w14:paraId="2CC0D2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C48E7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декабре 1931 г. руководство МАИ по причинам, что там не имеется ни конструкторов, ни производственников, ни оборудованного производства пыталось отказаться от задания на самолет РД. Неизвестно, на каких условиях, но взяться за создание рекордного самолета неожиданно согласился новый заведующий кафедрой конструкции и проектирования самолетов МАИ Дмитрий Павлович Григорович. Чуть позднее создание РД-МАИ определили как процесс "привлечения студентов к проектно- конструкторской работе в порядке выполнения учебной практики и получения производственных навыков". Постепенно сформировалась группа, в которую вошли студенты П.Д.Грушин, М.М.Пашинин, Л.П.Курбала, В.А.Федулов, А.П.Щекин и другие. Расчеты на прочность выполнил В.Д.Яровицкий. С оформлением учебно-производственных мастерских изготовлением самолета руководил С.М.Беляйкин.</w:t>
      </w:r>
    </w:p>
    <w:p w14:paraId="13D742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Основным конструкционным материалом для новой машины избрали сталь, в основном - коррозионно-стойкую Энерж-6 - поэтому скоро в отношении самолета начали использовать определение Сталь-МАИ.</w:t>
      </w:r>
    </w:p>
    <w:p w14:paraId="44121E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Это был одномоторный низкоплан с трапециевидным крылом и веретенообразным фюзеляжем, двухместной кабиной, закрытой общим фонарем. Посадка в самолет осуществлялась при помощи дверей и открывающейся части фонаря. Предусматривался третий член экипажа - для него оборудовали небольшой отсек с иллюминаторами за основной кабиной.</w:t>
      </w:r>
    </w:p>
    <w:p w14:paraId="061D55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Практически вся конструкция фюзеляжа, крыла и оперения была выполнена точечной и роликовой электросваркой из катаных листовых профилей, обшивка крыла и фюзеляжа из тонкого листа толщиной 0,3-0,5 мм с частыми отбортовками (рифтами или зигами) с шагом 80 мм.</w:t>
      </w:r>
    </w:p>
    <w:p w14:paraId="2E5E75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Силовая установка включала двигатель М-34Р мощностью 830 л.е., в отношении которого указывалось, что он ранее экспонировался на выставке, поэтому отличался особой тщательностью отделки (возможно, это был макетный вариант, полученный для проведения увя- зочных работ по винтомоторной группе).</w:t>
      </w:r>
    </w:p>
    <w:p w14:paraId="78DA9C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Шасси самолета состояло из двух под- крыльевых опор с пневматической амортизацией и хвостового колеса. Основные стойки по замыслу убирались в крыло при помощи ручного привода. В 1934 г. по планам ГУАП такое шасси построили (использовалось обозначение Сталь-МАИ-2), однако на практике самолет оборудовали неубираемым шасси.</w:t>
      </w:r>
    </w:p>
    <w:p w14:paraId="75B8A8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принятыми правилами 16 июля 1933 г. НИИ ВВС подготовило ИТ для военной модификации. Такой вариант разрабатывался и был утвержден 15 октября 1933 г. Главным конструктором Григоровичем и инженером П.М.Крейсоном (являлся начальником бригады №6 ЦКБ, которая осуществляла весовые расчеты, взвешивание, статические испытания).</w:t>
      </w:r>
    </w:p>
    <w:p w14:paraId="482BF8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Основные расчетные технические и летные характеристики РД-МАИ*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1002C3" w:rsidRPr="005E779E" w14:paraId="2B965FAB" w14:textId="77777777">
        <w:tc>
          <w:tcPr>
            <w:tcW w:w="5156" w:type="dxa"/>
            <w:tcBorders>
              <w:top w:val="single" w:sz="12" w:space="0" w:color="auto"/>
            </w:tcBorders>
          </w:tcPr>
          <w:p w14:paraId="59E33F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Размах крыла (м)</w:t>
            </w:r>
          </w:p>
        </w:tc>
        <w:tc>
          <w:tcPr>
            <w:tcW w:w="5156" w:type="dxa"/>
            <w:tcBorders>
              <w:top w:val="single" w:sz="12" w:space="0" w:color="auto"/>
            </w:tcBorders>
          </w:tcPr>
          <w:p w14:paraId="7E12A0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18,0</w:t>
            </w:r>
          </w:p>
        </w:tc>
      </w:tr>
      <w:tr w:rsidR="001002C3" w:rsidRPr="005E779E" w14:paraId="79373A1B" w14:textId="77777777">
        <w:tc>
          <w:tcPr>
            <w:tcW w:w="5156" w:type="dxa"/>
          </w:tcPr>
          <w:p w14:paraId="42E0ED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Площадь крыла (м2)</w:t>
            </w:r>
          </w:p>
        </w:tc>
        <w:tc>
          <w:tcPr>
            <w:tcW w:w="5156" w:type="dxa"/>
          </w:tcPr>
          <w:p w14:paraId="4A1095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40,5</w:t>
            </w:r>
          </w:p>
        </w:tc>
      </w:tr>
      <w:tr w:rsidR="001002C3" w:rsidRPr="005E779E" w14:paraId="45F3C163" w14:textId="77777777">
        <w:tc>
          <w:tcPr>
            <w:tcW w:w="5156" w:type="dxa"/>
          </w:tcPr>
          <w:p w14:paraId="56BD13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Длина самолета (м)</w:t>
            </w:r>
          </w:p>
        </w:tc>
        <w:tc>
          <w:tcPr>
            <w:tcW w:w="5156" w:type="dxa"/>
          </w:tcPr>
          <w:p w14:paraId="2E9FDD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11,5</w:t>
            </w:r>
          </w:p>
        </w:tc>
      </w:tr>
      <w:tr w:rsidR="001002C3" w:rsidRPr="005E779E" w14:paraId="6273C6B6" w14:textId="77777777">
        <w:tc>
          <w:tcPr>
            <w:tcW w:w="5156" w:type="dxa"/>
          </w:tcPr>
          <w:p w14:paraId="334ED0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Высота в линии полета (м)</w:t>
            </w:r>
          </w:p>
        </w:tc>
        <w:tc>
          <w:tcPr>
            <w:tcW w:w="5156" w:type="dxa"/>
          </w:tcPr>
          <w:p w14:paraId="71AF05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4,03</w:t>
            </w:r>
          </w:p>
        </w:tc>
      </w:tr>
      <w:tr w:rsidR="001002C3" w:rsidRPr="005E779E" w14:paraId="71935E8D" w14:textId="77777777">
        <w:tc>
          <w:tcPr>
            <w:tcW w:w="5156" w:type="dxa"/>
          </w:tcPr>
          <w:p w14:paraId="0E9B16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пустого (кг)</w:t>
            </w:r>
          </w:p>
        </w:tc>
        <w:tc>
          <w:tcPr>
            <w:tcW w:w="5156" w:type="dxa"/>
          </w:tcPr>
          <w:p w14:paraId="6EC0B2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2410</w:t>
            </w:r>
          </w:p>
        </w:tc>
      </w:tr>
      <w:tr w:rsidR="001002C3" w:rsidRPr="005E779E" w14:paraId="2F4D67BB" w14:textId="77777777">
        <w:tc>
          <w:tcPr>
            <w:tcW w:w="5156" w:type="dxa"/>
          </w:tcPr>
          <w:p w14:paraId="3D9F40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Полетный вес (кг)</w:t>
            </w:r>
          </w:p>
        </w:tc>
        <w:tc>
          <w:tcPr>
            <w:tcW w:w="5156" w:type="dxa"/>
          </w:tcPr>
          <w:p w14:paraId="218CBD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 3850-4600</w:t>
            </w:r>
          </w:p>
        </w:tc>
      </w:tr>
      <w:tr w:rsidR="001002C3" w:rsidRPr="005E779E" w14:paraId="4FA17E54" w14:textId="77777777">
        <w:tc>
          <w:tcPr>
            <w:tcW w:w="5156" w:type="dxa"/>
          </w:tcPr>
          <w:p w14:paraId="479141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Горючее (кг)</w:t>
            </w:r>
          </w:p>
        </w:tc>
        <w:tc>
          <w:tcPr>
            <w:tcW w:w="5156" w:type="dxa"/>
          </w:tcPr>
          <w:p w14:paraId="2A7E70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1000-1800</w:t>
            </w:r>
          </w:p>
        </w:tc>
      </w:tr>
      <w:tr w:rsidR="001002C3" w:rsidRPr="005E779E" w14:paraId="373A2249" w14:textId="77777777">
        <w:tc>
          <w:tcPr>
            <w:tcW w:w="5156" w:type="dxa"/>
          </w:tcPr>
          <w:p w14:paraId="017847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скорость (км/ч) ....</w:t>
            </w:r>
          </w:p>
        </w:tc>
        <w:tc>
          <w:tcPr>
            <w:tcW w:w="5156" w:type="dxa"/>
          </w:tcPr>
          <w:p w14:paraId="7E5C55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330-350</w:t>
            </w:r>
          </w:p>
        </w:tc>
      </w:tr>
      <w:tr w:rsidR="001002C3" w:rsidRPr="005E779E" w14:paraId="2840A7FD" w14:textId="77777777">
        <w:tc>
          <w:tcPr>
            <w:tcW w:w="5156" w:type="dxa"/>
          </w:tcPr>
          <w:p w14:paraId="4C422D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Крейсерская скорость (км/ч)</w:t>
            </w:r>
          </w:p>
        </w:tc>
        <w:tc>
          <w:tcPr>
            <w:tcW w:w="5156" w:type="dxa"/>
          </w:tcPr>
          <w:p w14:paraId="21D29F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 290-300</w:t>
            </w:r>
          </w:p>
        </w:tc>
      </w:tr>
      <w:tr w:rsidR="001002C3" w:rsidRPr="005E779E" w14:paraId="0BC28AF4" w14:textId="77777777">
        <w:tc>
          <w:tcPr>
            <w:tcW w:w="5156" w:type="dxa"/>
          </w:tcPr>
          <w:p w14:paraId="537969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Потолок(м) </w:t>
            </w:r>
          </w:p>
        </w:tc>
        <w:tc>
          <w:tcPr>
            <w:tcW w:w="5156" w:type="dxa"/>
          </w:tcPr>
          <w:p w14:paraId="73D9F6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 6000</w:t>
            </w:r>
          </w:p>
        </w:tc>
      </w:tr>
      <w:tr w:rsidR="001002C3" w:rsidRPr="005E779E" w14:paraId="4265CDCE" w14:textId="77777777">
        <w:tc>
          <w:tcPr>
            <w:tcW w:w="5156" w:type="dxa"/>
            <w:tcBorders>
              <w:bottom w:val="single" w:sz="12" w:space="0" w:color="auto"/>
            </w:tcBorders>
          </w:tcPr>
          <w:p w14:paraId="415967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Дальность полета (км)</w:t>
            </w:r>
          </w:p>
        </w:tc>
        <w:tc>
          <w:tcPr>
            <w:tcW w:w="5156" w:type="dxa"/>
            <w:tcBorders>
              <w:bottom w:val="single" w:sz="12" w:space="0" w:color="auto"/>
            </w:tcBorders>
          </w:tcPr>
          <w:p w14:paraId="1DF45B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 3250-6000</w:t>
            </w:r>
          </w:p>
        </w:tc>
      </w:tr>
    </w:tbl>
    <w:p w14:paraId="56952F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Подписано с таким названием: "Главный конструктор Григорович 28 ноября 1933 г".</w:t>
      </w:r>
    </w:p>
    <w:p w14:paraId="343AF0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Постепенно Д.П.Григорович переключился на другие работы, в частности на создание истребителей с динамо-реактивными пушками, поэтому техническое руководство процессом создания Сталь-МАИ спустя некоторое время перешло к П.Д.Грушину. В 1933 г. в институте окончательно оформилось конструкторское бюро, которое получило официальное наименование 0КБ-1 и в дальнейшем функционировало как полноценное КБ с главным конструктором Грушиным во главе (11941).</w:t>
      </w:r>
    </w:p>
    <w:p w14:paraId="5417CC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2412A01" w14:textId="77777777" w:rsidR="009F032D" w:rsidRPr="005E779E" w:rsidRDefault="009F032D" w:rsidP="009F032D">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декабре 1931 был построен МБР-2 с М-27 (9077)</w:t>
      </w:r>
    </w:p>
    <w:p w14:paraId="38F53158" w14:textId="77777777" w:rsidR="009F032D" w:rsidRPr="005E779E" w:rsidRDefault="009F032D" w:rsidP="009F032D">
      <w:pPr>
        <w:autoSpaceDE w:val="0"/>
        <w:autoSpaceDN w:val="0"/>
        <w:adjustRightInd w:val="0"/>
        <w:spacing w:after="0" w:line="240" w:lineRule="auto"/>
        <w:jc w:val="both"/>
        <w:rPr>
          <w:rFonts w:ascii="Times New Roman" w:hAnsi="Times New Roman"/>
          <w:color w:val="000000" w:themeColor="text1"/>
          <w:sz w:val="16"/>
          <w:szCs w:val="16"/>
        </w:rPr>
      </w:pPr>
    </w:p>
    <w:p w14:paraId="5DE77D56" w14:textId="77777777" w:rsidR="009F032D" w:rsidRPr="00142305" w:rsidRDefault="009F032D" w:rsidP="009F032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декабре 1931 г. директор завода № 1 просил передать с «Красного лётчика» чертежи Ш-2, чтобы строить их в Мос</w:t>
      </w:r>
      <w:r w:rsidRPr="00142305">
        <w:rPr>
          <w:rFonts w:ascii="Times New Roman" w:hAnsi="Times New Roman"/>
          <w:color w:val="0070C0"/>
          <w:sz w:val="16"/>
          <w:szCs w:val="16"/>
        </w:rPr>
        <w:softHyphen/>
        <w:t>кве силами учащихся ФЗУ, но получил отказ (24952).</w:t>
      </w:r>
    </w:p>
    <w:p w14:paraId="14C02316" w14:textId="77777777" w:rsidR="009F032D" w:rsidRPr="00142305" w:rsidRDefault="009F032D" w:rsidP="009F032D">
      <w:pPr>
        <w:spacing w:after="0" w:line="240" w:lineRule="auto"/>
        <w:jc w:val="both"/>
        <w:rPr>
          <w:rFonts w:ascii="Times New Roman" w:hAnsi="Times New Roman"/>
          <w:color w:val="0070C0"/>
          <w:sz w:val="16"/>
          <w:szCs w:val="16"/>
        </w:rPr>
      </w:pPr>
    </w:p>
    <w:p w14:paraId="300E64E2" w14:textId="77777777" w:rsidR="00903F28" w:rsidRPr="005E779E" w:rsidRDefault="00903F28" w:rsidP="000B7A6C">
      <w:pPr>
        <w:pStyle w:val="a3"/>
        <w:rPr>
          <w:color w:val="000000" w:themeColor="text1"/>
          <w:lang w:val="ru-RU"/>
        </w:rPr>
      </w:pPr>
      <w:r w:rsidRPr="005E779E">
        <w:rPr>
          <w:color w:val="000000" w:themeColor="text1"/>
          <w:lang w:val="ru-RU"/>
        </w:rPr>
        <w:t>В декабре 1931 г. руковод</w:t>
      </w:r>
      <w:r w:rsidRPr="005E779E">
        <w:rPr>
          <w:color w:val="000000" w:themeColor="text1"/>
          <w:lang w:val="ru-RU"/>
        </w:rPr>
        <w:softHyphen/>
        <w:t>ство МАИ пыталось отказаться от порученного задания на дальний самолет. Неизвестно на каких условиях, но взяться за создание рекордного самолета неожиданно со</w:t>
      </w:r>
      <w:r w:rsidRPr="005E779E">
        <w:rPr>
          <w:color w:val="000000" w:themeColor="text1"/>
          <w:lang w:val="ru-RU"/>
        </w:rPr>
        <w:softHyphen/>
        <w:t>гласился новый заведующий кафедрой конструкции и проектирования само</w:t>
      </w:r>
      <w:r w:rsidRPr="005E779E">
        <w:rPr>
          <w:color w:val="000000" w:themeColor="text1"/>
          <w:lang w:val="ru-RU"/>
        </w:rPr>
        <w:softHyphen/>
        <w:t>летов МАИ Григорович. Напомним, что еще совсем недавно Дмитрий Павлович значился арестованным специалистом и лишь в мае 1931 г. был амнистирован и выпущен на свободу (15746).</w:t>
      </w:r>
    </w:p>
    <w:p w14:paraId="33410606" w14:textId="77777777" w:rsidR="00903F28" w:rsidRPr="005E779E" w:rsidRDefault="00903F28" w:rsidP="000B7A6C">
      <w:pPr>
        <w:pStyle w:val="1010"/>
        <w:shd w:val="clear" w:color="auto" w:fill="auto"/>
        <w:spacing w:line="240" w:lineRule="auto"/>
        <w:ind w:firstLine="0"/>
        <w:rPr>
          <w:rStyle w:val="1023"/>
          <w:rFonts w:ascii="Times New Roman" w:eastAsia="Arial Unicode MS" w:hAnsi="Times New Roman" w:cs="Times New Roman"/>
          <w:i w:val="0"/>
          <w:iCs w:val="0"/>
          <w:color w:val="000000" w:themeColor="text1"/>
          <w:sz w:val="16"/>
          <w:szCs w:val="16"/>
        </w:rPr>
      </w:pPr>
    </w:p>
    <w:p w14:paraId="3E212C24" w14:textId="77777777" w:rsidR="009F032D" w:rsidRPr="00142305" w:rsidRDefault="009F032D" w:rsidP="009F032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декабре 1931 г. руководство МАИ, не имеющего ни конструкторов, ни производственников, ни оборудованного производства, пыталось отказаться от порученного задания</w:t>
      </w:r>
      <w:r w:rsidRPr="00142305">
        <w:rPr>
          <w:rFonts w:ascii="Times New Roman" w:hAnsi="Times New Roman"/>
          <w:color w:val="0070C0"/>
          <w:sz w:val="16"/>
          <w:szCs w:val="16"/>
          <w:shd w:val="clear" w:color="auto" w:fill="FFFFFF"/>
        </w:rPr>
        <w:t xml:space="preserve"> </w:t>
      </w:r>
      <w:r w:rsidRPr="00142305">
        <w:rPr>
          <w:rFonts w:ascii="Times New Roman" w:hAnsi="Times New Roman"/>
          <w:color w:val="0070C0"/>
          <w:sz w:val="16"/>
          <w:szCs w:val="16"/>
        </w:rPr>
        <w:t>создать самолет с М-34 с дальностью 5000 км.</w:t>
      </w:r>
    </w:p>
    <w:p w14:paraId="19A73A2C" w14:textId="77777777" w:rsidR="009F032D" w:rsidRPr="00142305" w:rsidRDefault="009F032D" w:rsidP="009F032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Неизвестно, на каких условиях, но взяться за создание рекордного самолета неожиданно согласился новый заведующий кафедрой конструкции и проектирования самолетов МАИ Дмитрий Павлович Григорович. Чуть позднее создание РД-МАИ определили как процесс «привлечения студентов к проектно-конструкторской работе в порядке выполнения учебной практики и получения производственных навыков».</w:t>
      </w:r>
    </w:p>
    <w:p w14:paraId="3F6F5C56" w14:textId="77777777" w:rsidR="009F032D" w:rsidRPr="00142305" w:rsidRDefault="009F032D" w:rsidP="009F032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Постепенно сформировалась группа, в которую вошли студенты П.Д.Грушин, М.М.Пашинин, Л.П.Курбала, В.А.Федулов, А.П.Щекин и другие. Расчеты на прочность выполнил В.Д.Яровицкий. С оформлением учебно-производственных мастерских изготовлением самолета руководил С.М.Беляйкин (25198).</w:t>
      </w:r>
    </w:p>
    <w:p w14:paraId="2E362B7B" w14:textId="77777777" w:rsidR="009F032D" w:rsidRPr="00142305" w:rsidRDefault="009F032D" w:rsidP="009F032D">
      <w:pPr>
        <w:spacing w:after="0" w:line="240" w:lineRule="auto"/>
        <w:jc w:val="both"/>
        <w:rPr>
          <w:rFonts w:ascii="Times New Roman" w:hAnsi="Times New Roman"/>
          <w:color w:val="0070C0"/>
          <w:sz w:val="16"/>
          <w:szCs w:val="16"/>
        </w:rPr>
      </w:pPr>
    </w:p>
    <w:p w14:paraId="089F2A41" w14:textId="2B174F86"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декабря 1931 г. завод (Краснознаменный завод № 39 им. В.Р. Менжинского НКВМ, ВСНХ, НКТП, НКОП, НКАП, «Ремвоздухзавод № 1» УВВС, Завод «Авиаработник», Иркутский машиностроительный завод, Иркутский авиационный завод (ИАЗ) им. 60-летия СССР, А-3621, Иркутское авиационное производственное объединение (ИАПО), ОАО «ИАПО», ОАО «ИАЗ» / г. Москва Беговой пр. п/я 2400 «Колесо» (1938 г.);</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Иркутск/ /664020</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Иркутск ул. Новаторов, 3 ИАПО: тел. 42-11-68, -58; «Иркут»: 32-29-09/ /Московское представительство: ул. Б. Молчановка, 30/7 стр. 2 тел. 290-34-04; 121019 Б. Афанасьевский пер., 15 тел. 291-41-66/) начал переходить с опытного на серийное производство, с 07.1936 г. полностью переведен на серийное производство. С 1.01.1937 г. начата реконструкция завода. Приказом № 0032 от 8.02.1937 г. заводу предписано к 1.07.1937 г. построить механический цех площадью 7500 м</w:t>
      </w:r>
      <w:r w:rsidRPr="005E779E">
        <w:rPr>
          <w:rFonts w:ascii="Times New Roman" w:hAnsi="Times New Roman"/>
          <w:color w:val="000000" w:themeColor="text1"/>
          <w:sz w:val="16"/>
          <w:szCs w:val="16"/>
          <w:vertAlign w:val="superscript"/>
        </w:rPr>
        <w:t>2</w:t>
      </w:r>
      <w:r w:rsidRPr="005E779E">
        <w:rPr>
          <w:rFonts w:ascii="Times New Roman" w:hAnsi="Times New Roman"/>
          <w:color w:val="000000" w:themeColor="text1"/>
          <w:sz w:val="16"/>
          <w:szCs w:val="16"/>
        </w:rPr>
        <w:t>.</w:t>
      </w:r>
    </w:p>
    <w:p w14:paraId="5D24B4F6" w14:textId="533F51AE"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1930-е</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действовал опытный цех № 80. Имелся филиал завода в Авиационном пер., 5 с деревообделочным цехом. В составе завода (1937 г.) - чертежное КБ (ЧКБ). По пр. № 00269 от 16.12.1937 г. заводу под склады было передано два здания бывших компрессорных подстанций Метростроя по Красноармейскому пер., 6 и 7.</w:t>
      </w:r>
    </w:p>
    <w:p w14:paraId="643F27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заводе № 39 в 1931 г. образован отдел вооружения с несколькими бригадами. Созданы авиационные подвески.</w:t>
      </w:r>
    </w:p>
    <w:p w14:paraId="65E67C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08.1932 г., работая на заводе, А.С. Яковлев организовал группу легкой авиации, в том же году она вошла в ЦКБ.</w:t>
      </w:r>
    </w:p>
    <w:p w14:paraId="563788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27.04.1932 г. выдан заказ на изготовление 20 истребителей И-</w:t>
      </w:r>
      <w:r w:rsidRPr="005E779E">
        <w:rPr>
          <w:rFonts w:ascii="Times New Roman" w:hAnsi="Times New Roman"/>
          <w:color w:val="000000" w:themeColor="text1"/>
          <w:sz w:val="16"/>
          <w:szCs w:val="16"/>
          <w:lang w:val="en-US"/>
        </w:rPr>
        <w:t>Z</w:t>
      </w:r>
      <w:r w:rsidRPr="005E779E">
        <w:rPr>
          <w:rFonts w:ascii="Times New Roman" w:hAnsi="Times New Roman"/>
          <w:color w:val="000000" w:themeColor="text1"/>
          <w:sz w:val="16"/>
          <w:szCs w:val="16"/>
        </w:rPr>
        <w:t xml:space="preserve"> (И-7) под 76-мм ДРП АПК-4. В 1936 г. завод выведен из состава самолетостроительного треста ГУАП НКТП.</w:t>
      </w:r>
    </w:p>
    <w:p w14:paraId="2B6DCD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 1936 г. на заводе велась подготовка к производству бомбардировщика ДБ-2, но затем было принято _ о запуске в серию ДБ-3, а изготовленную оснастку пустили на слом.</w:t>
      </w:r>
      <w:r w:rsidRPr="005E779E">
        <w:rPr>
          <w:rFonts w:ascii="Times New Roman" w:hAnsi="Times New Roman"/>
          <w:color w:val="000000" w:themeColor="text1"/>
          <w:sz w:val="16"/>
          <w:szCs w:val="16"/>
          <w:vertAlign w:val="superscript"/>
        </w:rPr>
        <w:t>89</w:t>
      </w:r>
      <w:r w:rsidRPr="005E779E">
        <w:rPr>
          <w:rFonts w:ascii="Times New Roman" w:hAnsi="Times New Roman"/>
          <w:color w:val="000000" w:themeColor="text1"/>
          <w:sz w:val="16"/>
          <w:szCs w:val="16"/>
        </w:rPr>
        <w:t xml:space="preserve"> Приказом № 00129 от 10.06.1937 г. поручено провести заводские испытания ДБ-3 с радиостанциями: РСБМ - к 15.07.1937 г.; РСД - к 15.08.1931с; РСДМ - к 25.09.1937 г. В 11.1937 г. на завод № 126 дня освоения производства ДБ-3 передан комплект чертежей ? самолет-эталон, командировано 10 специалистов. Приказом № 274с от 4.08.1938 г. для отработки образца «ДБ-3 1939 г.» заводу предписано выпустить 1-й экземпляр самолета к 1.10.1938 г. и 2-й- к 7.11.1938 г.</w:t>
      </w:r>
    </w:p>
    <w:p w14:paraId="2E792D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 № 0259 от 3.12.1937 г., в связи с освоением на заводе «Саркомбайн» выпуска Р-10, туда переведено 5 рабочих и 3 инженера.</w:t>
      </w:r>
    </w:p>
    <w:p w14:paraId="79E4F9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Производственная программа завода на 1937 г. была задана в количестве 300 ДБ-3. Приказом № 00269 она была уменьшена до 150 машин, в т.ч. 100 сухопутных торпедоносцев, 50- бомбардировщиков; требовалось также выпустить 25-30 ДБ-3 на поплавках за счет сухопутных торпедоносцев. Приказом № 00275 от 20.12.1937 г. заводу установлена программа по ДБ-3: в декабре 1937 г. - 14 машин; в 1938 г.: 1-й квартал - 30 машин, 2-й квартал - 34, 3-й-40,4-й-46. Приказом № 19сс от 5/19.01.1938 г. программа изменена: 1-й квартал 1938 г. -26 шт., 2-й-34, 3- й-40,4-й-50.</w:t>
      </w:r>
    </w:p>
    <w:p w14:paraId="603EDA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 № 301с от 7.08.1938 г. было необходимо: сдать в 1938 г. в эксплуатацию конвейерный коридор; 2-ю очередь механического цеха - к 1.10.1938 г.; на границе заводов № 1 и 39 выбрать площадку для строительства общего прессового корпуса.</w:t>
      </w:r>
    </w:p>
    <w:p w14:paraId="664C3E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1939 г. проектная мощность завода составляла 600 ДБ-3 в год, годовой план - 320 самолетов. В соответствии с пост. КО № 532 от 31.05.1939 г. необходимо было с </w:t>
      </w:r>
      <w:r w:rsidRPr="005E779E">
        <w:rPr>
          <w:rFonts w:ascii="Times New Roman" w:hAnsi="Times New Roman"/>
          <w:color w:val="000000" w:themeColor="text1"/>
          <w:sz w:val="16"/>
          <w:szCs w:val="16"/>
          <w:lang w:val="en-US"/>
        </w:rPr>
        <w:t>IV</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ro</w:t>
      </w:r>
      <w:r w:rsidRPr="005E779E">
        <w:rPr>
          <w:rFonts w:ascii="Times New Roman" w:hAnsi="Times New Roman"/>
          <w:color w:val="000000" w:themeColor="text1"/>
          <w:sz w:val="16"/>
          <w:szCs w:val="16"/>
        </w:rPr>
        <w:t xml:space="preserve"> квартала 1939 г. начать выпуск ДБ-ЗФ (в 1942-44 г. построено 869 машин).</w:t>
      </w:r>
    </w:p>
    <w:p w14:paraId="161646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1940 г. заводу был утвержден план по выпуску 100 ДБ-4, но в серию самолет не пошел.</w:t>
      </w:r>
      <w:r w:rsidRPr="005E779E">
        <w:rPr>
          <w:rFonts w:ascii="Times New Roman" w:hAnsi="Times New Roman"/>
          <w:color w:val="000000" w:themeColor="text1"/>
          <w:sz w:val="16"/>
          <w:szCs w:val="16"/>
          <w:vertAlign w:val="superscript"/>
        </w:rPr>
        <w:t>85</w:t>
      </w:r>
    </w:p>
    <w:p w14:paraId="6FA1AF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23.06.1940 г. принято решение о производстве ПБ-100 (Пе-2), с 03.1941 г. начат их выпуск сериями по 20 машин.</w:t>
      </w:r>
    </w:p>
    <w:p w14:paraId="28CF7B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План производства на 1941 г.: 600 Пе-2.</w:t>
      </w:r>
    </w:p>
    <w:p w14:paraId="3ACD95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пост. ГКО № 327 от 29.07.1941 г. завод начал освоение производства Ил-2 с двигателем АШ-82.</w:t>
      </w:r>
    </w:p>
    <w:p w14:paraId="7BF9D9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1941 г. группа специалистов по электросистемам была переведена для укрепления в ОКБ-2 завода № 266.</w:t>
      </w:r>
    </w:p>
    <w:p w14:paraId="3B2779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 262сс от 22.03.1941 г. завод передан в 10ГУ НКАП.</w:t>
      </w:r>
    </w:p>
    <w:p w14:paraId="746766F5" w14:textId="4AE72AC1"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пост. Совета эвакуации № 14323сс 10.1941 г. завод № 39 ЮГУ эвакуирован в</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Иркутск (ст. Иннокентьевская) на площадку расположенного здесь завода № 125 НКАП ЮГУ. В соответствии с пост. ГКО № 996с от 6.12.1941 г. и приказом НКАП № 1139с от 8.12.1941 г. завод № 39 объединен с заводом № 125 с образованием единого «Дважды орденоносного ордена Ленина и ордена Трудового Красного Знамени завода № 39 НКАП». В состав завода № 39 влит также завод № 104 НКАП. Перебазирование длилось 4 месяца, из Москвы прибыло 17.000 чел. Около тысячи из них перевели на завод № 99. Производственные площади на 1.01.1942 г. составили 111 тыс. м</w:t>
      </w:r>
      <w:r w:rsidRPr="005E779E">
        <w:rPr>
          <w:rFonts w:ascii="Times New Roman" w:hAnsi="Times New Roman"/>
          <w:color w:val="000000" w:themeColor="text1"/>
          <w:sz w:val="16"/>
          <w:szCs w:val="16"/>
          <w:vertAlign w:val="superscript"/>
        </w:rPr>
        <w:t>2</w:t>
      </w:r>
      <w:r w:rsidRPr="005E779E">
        <w:rPr>
          <w:rFonts w:ascii="Times New Roman" w:hAnsi="Times New Roman"/>
          <w:color w:val="000000" w:themeColor="text1"/>
          <w:sz w:val="16"/>
          <w:szCs w:val="16"/>
        </w:rPr>
        <w:t>.</w:t>
      </w:r>
    </w:p>
    <w:p w14:paraId="3DE5A9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площадке эвакуированного завода в Москве с 10.1941 г. образовались самолетные Ремонтные мастерские при Ремотделе НКАП. На их базе по приказу № 3 с от 2.01.1942 г. организован завод № 81 при 10ГУ НКАП.</w:t>
      </w:r>
    </w:p>
    <w:p w14:paraId="2E95646D" w14:textId="77777777" w:rsidR="005C4849" w:rsidRPr="005E779E" w:rsidRDefault="005C4849" w:rsidP="000B7A6C">
      <w:pPr>
        <w:tabs>
          <w:tab w:val="left" w:pos="8454"/>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новом месте в Иркутске продолжено производство самолетов. Пост. ГКО № 1376сс от 3.03.1942 г. заводу утвержден суточный план на 03.1942 г. по выпуску Пе-2: с 1 по 5 марта - 12 машин, с 6 по 10 - 13, с 11 по 20 - 20 и с 21 по 31 марта - 25 машин. На 1942 г. заводу дан план на 587 Пе-2. 4.03.1942 г. вышло постановление ГКО № 1385 о выпуске на заводе самолета Пе-3. Но по приказу НКАП № 589с от 5.08.1942 г. производство Пе-2 требовалось прекратить, сосредоточившись на выпуске Ил-4. Последний Пе-2 был выпущен 22.08.1942 г. С 10.1942 г. начался выпуск Ил-4. Последние выпущены в 07.1944 г.</w:t>
      </w:r>
      <w:r w:rsidRPr="005E779E">
        <w:rPr>
          <w:rFonts w:ascii="Times New Roman" w:hAnsi="Times New Roman"/>
          <w:color w:val="000000" w:themeColor="text1"/>
          <w:sz w:val="16"/>
          <w:szCs w:val="16"/>
        </w:rPr>
        <w:tab/>
        <w:t>**</w:t>
      </w:r>
    </w:p>
    <w:p w14:paraId="343A67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пост. ГКО № 2999 от 7.03.1943 г., 10 марта на заводе № 39 начата постройка самолета Ил-6 с дизелями М-30Б.</w:t>
      </w:r>
    </w:p>
    <w:p w14:paraId="3FA101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 ГКО № 4170 от 21.09.1943 г. на заводе в серию запущен Ер-2, 1-я машина взлетела 15.02.1944 г. Пост. ГКО № 8004 от 25.05.1945 г. самолет снят с производства.</w:t>
      </w:r>
    </w:p>
    <w:p w14:paraId="1EC726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1944 г. часть оборудования завода передана для формирования нового завода № 473 НКАП.</w:t>
      </w:r>
    </w:p>
    <w:p w14:paraId="592071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пост. СМ СССР № 473-192сс от 28.02.1946 г. и приказом № 83сс от 3.03.1946 г. заводу поручено освоить выпуск Ту-2. Внедрение самолета в серию было приостановлено из-за пожара в 10.1946 г., в результате которого полностью сгорел главный корпус. После этого началась реконструкция завода. Освоено литье и обработка деталей из магниевых сплавов. 1-й серийный Ту-2 построен 30.06.1947 г., в 11.1947 г. построен первый Ту-2Р.</w:t>
      </w:r>
    </w:p>
    <w:p w14:paraId="4CA1E080" w14:textId="7DF55819"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Во время выпуска Ан-12 (1957-62 г.) на заводе организовано представительство ОКБ-473, которое возглавляли А.И. Швирин, </w:t>
      </w:r>
      <w:r w:rsidRPr="005E779E">
        <w:rPr>
          <w:rFonts w:ascii="Times New Roman" w:hAnsi="Times New Roman"/>
          <w:color w:val="000000" w:themeColor="text1"/>
          <w:sz w:val="16"/>
          <w:szCs w:val="16"/>
          <w:lang w:val="en-US"/>
        </w:rPr>
        <w:t>A</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M</w:t>
      </w:r>
      <w:r w:rsidRPr="005E779E">
        <w:rPr>
          <w:rFonts w:ascii="Times New Roman" w:hAnsi="Times New Roman"/>
          <w:color w:val="000000" w:themeColor="text1"/>
          <w:sz w:val="16"/>
          <w:szCs w:val="16"/>
        </w:rPr>
        <w:t>. Леонтьев, В.З. Брагилевский,</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Г.А. Луговой.</w:t>
      </w:r>
    </w:p>
    <w:p w14:paraId="792E67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МАП № 181 от 29.07.1965 г. на заводе начался выпуск Ан-24Т.</w:t>
      </w:r>
    </w:p>
    <w:p w14:paraId="0448E4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пост. СМ СССР № 713-342 от 26.06.1957 г. передан в ведение СНХ РСФСР.</w:t>
      </w:r>
    </w:p>
    <w:p w14:paraId="7B7591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имел названия: ИАЗ им. 60-летия СССР (до 1989 г.), с 1989 г.- ИАПО. 13.10.1992 г. ИАПО преобразовано в ОАО «ИАПО». В 1997 г. ИАПО приобрело ТАНТК им. Бериева, в 1999 г.- ОКБ «Русская авионика». В 2000 г. на базе ИАПО создана НПК «Иркут», 19.12.2002 г. ИАПО переименовано в ОАО «НПК «Иркут». ОАО «ИАЗ» является филиалом НПК «Иркут» (2006 г.).</w:t>
      </w:r>
    </w:p>
    <w:p w14:paraId="68531B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1997 г. ИАЗ первым из предприятий авиационной промышленности России получил Сертификат соответствия системы обеспечения качества производства международному стандарту </w:t>
      </w:r>
      <w:r w:rsidRPr="005E779E">
        <w:rPr>
          <w:rFonts w:ascii="Times New Roman" w:hAnsi="Times New Roman"/>
          <w:color w:val="000000" w:themeColor="text1"/>
          <w:sz w:val="16"/>
          <w:szCs w:val="16"/>
          <w:lang w:val="en-US"/>
        </w:rPr>
        <w:t>ISO</w:t>
      </w:r>
      <w:r w:rsidRPr="005E779E">
        <w:rPr>
          <w:rFonts w:ascii="Times New Roman" w:hAnsi="Times New Roman"/>
          <w:color w:val="000000" w:themeColor="text1"/>
          <w:sz w:val="16"/>
          <w:szCs w:val="16"/>
        </w:rPr>
        <w:t xml:space="preserve"> 9002.</w:t>
      </w:r>
    </w:p>
    <w:p w14:paraId="574A15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состав ИАПО входит Летно-испытательный центр, который осуществляет всесторонние испытания готового самолета, его пилотажно-навигационного комплекса и систем вооружения.</w:t>
      </w:r>
    </w:p>
    <w:p w14:paraId="501B94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Планировалось производство автожира А-002 (2004 г.). В 2006 г. построен 4-й экземпляр Бе-200, в 2007 г.- 5-й (еще два - в производстве). В 2007 г. запущен в серию Як-130. В 2008 г. планировалось поставить 6 машин ВВС РФ.</w:t>
      </w:r>
    </w:p>
    <w:p w14:paraId="4D123A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Количество оборудования: (11.1940 г.)- 829 металлорежущих станков.</w:t>
      </w:r>
    </w:p>
    <w:p w14:paraId="4F6D74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Численность персонала (1.01.1942 г.)- 16.879 чел.</w:t>
      </w:r>
    </w:p>
    <w:p w14:paraId="35237FE6" w14:textId="74BBC870"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(1931 г.)- Е.С. Пауфлер,</w:t>
      </w:r>
      <w:r w:rsidRPr="005E779E">
        <w:rPr>
          <w:rFonts w:ascii="Times New Roman" w:hAnsi="Times New Roman"/>
          <w:color w:val="000000" w:themeColor="text1"/>
          <w:sz w:val="16"/>
          <w:szCs w:val="16"/>
          <w:vertAlign w:val="superscript"/>
        </w:rPr>
        <w:t>38</w:t>
      </w:r>
      <w:r w:rsidRPr="005E779E">
        <w:rPr>
          <w:rFonts w:ascii="Times New Roman" w:hAnsi="Times New Roman"/>
          <w:color w:val="000000" w:themeColor="text1"/>
          <w:sz w:val="16"/>
          <w:szCs w:val="16"/>
        </w:rPr>
        <w:t xml:space="preserve"> (04.1932 г.)- С. Марголин, (-06-11.07.1937 г.)- И.Б. Кацва, (11.07- 9.12.1937 г.)-</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Г. Бурмистров, (9.12.1937-09.1940 г.)- В.И. Журавлев, (09.1940-09.1941 г.)- Л.П. Соколов (затем- директор завода № 166), (09-12.1941 г.; 02.1942-45 г.)- В.И. Абрамов</w:t>
      </w:r>
      <w:r w:rsidRPr="005E779E">
        <w:rPr>
          <w:rFonts w:ascii="Times New Roman" w:hAnsi="Times New Roman"/>
          <w:color w:val="000000" w:themeColor="text1"/>
          <w:sz w:val="16"/>
          <w:szCs w:val="16"/>
          <w:vertAlign w:val="superscript"/>
        </w:rPr>
        <w:t>34</w:t>
      </w:r>
      <w:r w:rsidRPr="005E779E">
        <w:rPr>
          <w:rFonts w:ascii="Times New Roman" w:hAnsi="Times New Roman"/>
          <w:color w:val="000000" w:themeColor="text1"/>
          <w:sz w:val="16"/>
          <w:szCs w:val="16"/>
        </w:rPr>
        <w:t>, (12.1941-02.1942 г.)- И.Б. Иосилович, (- 1945 г.)- В.И. Журавлев, (1946 г.)- К.А. Петров. Гендиректор (1992 г.)-</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Г.Н. Горбунов, (1993-97 г.)- А.И. Федоров, (1998-2006 г.-)- В.В. Ковальков.</w:t>
      </w:r>
    </w:p>
    <w:p w14:paraId="2DEE78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директора (13.01.1933 г.-)- С.В. Ильюшин, (06.1937 г.)- Д.В. Голяев. Зам. гендиректора по ВЭД, маркетингу и сервисному обслуживанию (-1994-97 г.)- А. Г. Белов. Помощник директора по найму и увольнению (-11.07.1937 г.)- Е.И. Левков, (13.11.1937-09.1938 г.-)- В.В. Полетаев.</w:t>
      </w:r>
    </w:p>
    <w:p w14:paraId="3086B1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Технический директор (2002 г.)- А.А. Вепрев.</w:t>
      </w:r>
    </w:p>
    <w:p w14:paraId="3A5E99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инженер (1933-36 г.)- Б.П. Лисунов, (06.1937; -12.1937-07.1938 г.-&gt; Д.В. Голяев, (09.1937 г.)- Н.Н. Леонтьев, (12.1941-02.1942 г.)- В.И. Абрамов, (02.1942 г.-)- К.А. Петров, (1946 г.)- И.К. Ситников, (1989 г.-&gt; А.И. Федоров, (2002 г.)- В.В. Ковальков.</w:t>
      </w:r>
    </w:p>
    <w:p w14:paraId="5A3763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 производства (10.12.1937 г.-)- П.М. Морозов. Начальник ОП (-04-06.1938 г.-)- К.А. Петров. Директор производства (2002 г.)- С.И. Василенко.</w:t>
      </w:r>
    </w:p>
    <w:p w14:paraId="1A00DF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начальника производства (10.12.1937 г.-)- Ф.М. Матвеев.</w:t>
      </w:r>
    </w:p>
    <w:p w14:paraId="2E9D36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конструктор (22.02.1938-40 г.)- С.В. Ильюшин, (08.1940-02.1941 г.)- В.М. Петляков.</w:t>
      </w:r>
    </w:p>
    <w:p w14:paraId="6049BD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гл. конструктора (1938 г.)- В.В. Калинин.</w:t>
      </w:r>
    </w:p>
    <w:p w14:paraId="080A57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 управления поставок и сервиса (2002 г.)- Ю.В. Белозеров.</w:t>
      </w:r>
    </w:p>
    <w:p w14:paraId="0FD5F7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гл. конструктора (-1943 г.)- В.П. Иванов.</w:t>
      </w:r>
    </w:p>
    <w:p w14:paraId="1E89DE3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директора программы Су-30МКИ (1998-99 г.)- В.И. Барковский.</w:t>
      </w:r>
    </w:p>
    <w:p w14:paraId="2A1FA2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 ЛИС (09.1938 г.)- Грязнов, (02.1942-43 г.)- Ш.Б. Бидзинашвшга.</w:t>
      </w:r>
    </w:p>
    <w:p w14:paraId="1AACC8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начальника цеха: (12.1937-02.1938 г.)- И.К. Седин, (-04-06.1938 г.-)- Е.Е. Буксанов.</w:t>
      </w:r>
    </w:p>
    <w:p w14:paraId="718674F3" w14:textId="63F0BF54"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Начальники отделов: ОТК (09.1938 г.)-</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Г.Е. Петров.</w:t>
      </w:r>
    </w:p>
    <w:p w14:paraId="4E417B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И.О. начальника СКБ (4.08.1938 г.-)- Анисимов.</w:t>
      </w:r>
    </w:p>
    <w:p w14:paraId="413536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Руководители групп: (1935-37 г.)- И.Л. Макаров.</w:t>
      </w:r>
    </w:p>
    <w:p w14:paraId="3182B1A7" w14:textId="71A7A8B8"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Летчики-испытатели:</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 xml:space="preserve">Г.Е. Буланов, (1944 г.)- Н.С. Бушкевич, (1967 г.)- С.М. Куркай, В.Б. Максименков, (1967 г.)- </w:t>
      </w:r>
      <w:r w:rsidRPr="005E779E">
        <w:rPr>
          <w:rFonts w:ascii="Times New Roman" w:hAnsi="Times New Roman"/>
          <w:color w:val="000000" w:themeColor="text1"/>
          <w:sz w:val="16"/>
          <w:szCs w:val="16"/>
          <w:lang w:val="en-US"/>
        </w:rPr>
        <w:t>B</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C</w:t>
      </w:r>
      <w:r w:rsidRPr="005E779E">
        <w:rPr>
          <w:rFonts w:ascii="Times New Roman" w:hAnsi="Times New Roman"/>
          <w:color w:val="000000" w:themeColor="text1"/>
          <w:sz w:val="16"/>
          <w:szCs w:val="16"/>
        </w:rPr>
        <w:t>. Пранцкявичус, (1966 г.)- к Г.И. Старостенко, И.И. Тихонов, В.М. Токарев, (1967 г.)- В.Н. Трубников, А.А. Холодов, (-1966-67 Г.-)- Э.Н. Чельцов, (1935 г.)- В.П. Чкалов, И.П. Яшин.</w:t>
      </w:r>
    </w:p>
    <w:p w14:paraId="7DE633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Производство-, самолеты: И-5, «ТШ»- 2, «ДИС»- 2, МБР-1 - 1, МДР-1 - 1, «ШОМ»- 1, ТБ-5 (1931)- 1, МБР-2 (1931)- 1, АИР-б (1932-33)- 3, И-</w:t>
      </w:r>
      <w:r w:rsidRPr="005E779E">
        <w:rPr>
          <w:rFonts w:ascii="Times New Roman" w:hAnsi="Times New Roman"/>
          <w:color w:val="000000" w:themeColor="text1"/>
          <w:sz w:val="16"/>
          <w:szCs w:val="16"/>
          <w:lang w:val="en-US"/>
        </w:rPr>
        <w:t>Z</w:t>
      </w:r>
      <w:r w:rsidRPr="005E779E">
        <w:rPr>
          <w:rFonts w:ascii="Times New Roman" w:hAnsi="Times New Roman"/>
          <w:color w:val="000000" w:themeColor="text1"/>
          <w:sz w:val="16"/>
          <w:szCs w:val="16"/>
        </w:rPr>
        <w:t xml:space="preserve"> (И-7, 1933)- 22, И-15 (1934-35)- 49, ТБ-3 (1932-34)- 50, И-16 (1934-36)- 58, ДИ-6 (1936)- 10, ЦКБ-26 (1936)-1, ДБ-3 (1936-40), ДБ-ЗФ (1939-44)- всего 1588, БШ-2 (1939)- 2, ДБ-4 (1940)- 2, Пе-2 (1941-42)- 896 (764</w:t>
      </w:r>
      <w:r w:rsidRPr="005E779E">
        <w:rPr>
          <w:rFonts w:ascii="Times New Roman" w:hAnsi="Times New Roman"/>
          <w:color w:val="000000" w:themeColor="text1"/>
          <w:sz w:val="16"/>
          <w:szCs w:val="16"/>
          <w:vertAlign w:val="superscript"/>
        </w:rPr>
        <w:t>31</w:t>
      </w:r>
      <w:r w:rsidRPr="005E779E">
        <w:rPr>
          <w:rFonts w:ascii="Times New Roman" w:hAnsi="Times New Roman"/>
          <w:color w:val="000000" w:themeColor="text1"/>
          <w:sz w:val="16"/>
          <w:szCs w:val="16"/>
        </w:rPr>
        <w:t>), Пе-Збис (1941,43)- 209, Ер-2 (1943-45)- 391, Ил-6 (1943)- 1, Ту-2 (1947-50)- 218, «81» (Ту- 14, 1949)- 1, Ту-14 (1951-53)- 87,</w:t>
      </w:r>
      <w:r w:rsidRPr="005E779E">
        <w:rPr>
          <w:rFonts w:ascii="Times New Roman" w:hAnsi="Times New Roman"/>
          <w:color w:val="000000" w:themeColor="text1"/>
          <w:sz w:val="16"/>
          <w:szCs w:val="16"/>
          <w:vertAlign w:val="superscript"/>
        </w:rPr>
        <w:t>31</w:t>
      </w:r>
      <w:r w:rsidRPr="005E779E">
        <w:rPr>
          <w:rFonts w:ascii="Times New Roman" w:hAnsi="Times New Roman"/>
          <w:color w:val="000000" w:themeColor="text1"/>
          <w:sz w:val="16"/>
          <w:szCs w:val="16"/>
        </w:rPr>
        <w:t xml:space="preserve"> Ил-28 (1953-57)- 459,</w:t>
      </w:r>
      <w:r w:rsidRPr="005E779E">
        <w:rPr>
          <w:rFonts w:ascii="Times New Roman" w:hAnsi="Times New Roman"/>
          <w:color w:val="000000" w:themeColor="text1"/>
          <w:sz w:val="16"/>
          <w:szCs w:val="16"/>
          <w:vertAlign w:val="superscript"/>
        </w:rPr>
        <w:t>31</w:t>
      </w:r>
      <w:r w:rsidRPr="005E779E">
        <w:rPr>
          <w:rFonts w:ascii="Times New Roman" w:hAnsi="Times New Roman"/>
          <w:color w:val="000000" w:themeColor="text1"/>
          <w:sz w:val="16"/>
          <w:szCs w:val="16"/>
        </w:rPr>
        <w:t xml:space="preserve"> Ан-12 (1957-62)- 155, Як-28 (1959-71)- 737,</w:t>
      </w:r>
      <w:r w:rsidRPr="005E779E">
        <w:rPr>
          <w:rFonts w:ascii="Times New Roman" w:hAnsi="Times New Roman"/>
          <w:color w:val="000000" w:themeColor="text1"/>
          <w:sz w:val="16"/>
          <w:szCs w:val="16"/>
          <w:vertAlign w:val="superscript"/>
        </w:rPr>
        <w:t>31</w:t>
      </w:r>
      <w:r w:rsidRPr="005E779E">
        <w:rPr>
          <w:rFonts w:ascii="Times New Roman" w:hAnsi="Times New Roman"/>
          <w:color w:val="000000" w:themeColor="text1"/>
          <w:sz w:val="16"/>
          <w:szCs w:val="16"/>
        </w:rPr>
        <w:t xml:space="preserve"> Ан-24Т (1966-71)- 164, АН-24РТ (1966-71)- 62, МиГ-23УБ (1970-78), МиГ-27 (1973-77)- 560, МиГ -27К (1977-82)- 200, МиГ-27М (1978-83)- 150, Су-27УБ (1986-), Су-30 (1991-2004-), Як-112 (1993-), Бе-200 (1996, 1998-2007-)- 5, Як- 130 (2007-); оперение и воздухозаборники для Ту-160; опытная партия ракет 10Х (1940-е); катапультная установка АКУ-58-1 для Х-58 (1975-).</w:t>
      </w:r>
    </w:p>
    <w:p w14:paraId="03471C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Заводские №: 39010 (И-</w:t>
      </w:r>
      <w:r w:rsidRPr="005E779E">
        <w:rPr>
          <w:rFonts w:ascii="Times New Roman" w:hAnsi="Times New Roman"/>
          <w:color w:val="000000" w:themeColor="text1"/>
          <w:sz w:val="16"/>
          <w:szCs w:val="16"/>
          <w:lang w:val="en-US"/>
        </w:rPr>
        <w:t>Z</w:t>
      </w:r>
      <w:r w:rsidRPr="005E779E">
        <w:rPr>
          <w:rFonts w:ascii="Times New Roman" w:hAnsi="Times New Roman"/>
          <w:color w:val="000000" w:themeColor="text1"/>
          <w:sz w:val="16"/>
          <w:szCs w:val="16"/>
        </w:rPr>
        <w:t>, 1933 г.), 3039002 (ДБ-3), 10013901 (Ту-2); 390905 (Ил-4): 39- номер завода, 09- серия, 05- номер машины в серии; 3920903 (Як-28); 7910309 (Ан-24): 7- год выпуска, 9- номер завода, 1- тип изделия, 03- серия, 09- номер машины в серии (11982).</w:t>
      </w:r>
    </w:p>
    <w:p w14:paraId="5A0CB1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40D3E4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декабре 1931 г. московский завод № 24 уже начал подготовку к серийному производству микулинского двигателя. Ради этого там отказа</w:t>
      </w:r>
      <w:r w:rsidRPr="005E779E">
        <w:rPr>
          <w:rFonts w:ascii="Times New Roman" w:hAnsi="Times New Roman"/>
          <w:color w:val="000000" w:themeColor="text1"/>
          <w:sz w:val="16"/>
          <w:szCs w:val="16"/>
        </w:rPr>
        <w:softHyphen/>
        <w:t>лись от развертывания выпуска 18-цилиндрового мотора М-27, под ко</w:t>
      </w:r>
      <w:r w:rsidRPr="005E779E">
        <w:rPr>
          <w:rFonts w:ascii="Times New Roman" w:hAnsi="Times New Roman"/>
          <w:color w:val="000000" w:themeColor="text1"/>
          <w:sz w:val="16"/>
          <w:szCs w:val="16"/>
        </w:rPr>
        <w:softHyphen/>
        <w:t>торый уже подготовили оснастку. При этом формальный заказ поступил позже - 6 февраля 1932 г. (11848).</w:t>
      </w:r>
    </w:p>
    <w:p w14:paraId="7B1B9EA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A283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С декабря 1931 года по июнь 1932 года НИИ ВВС проводил устройство, установку и испытание "Самолета Звена" ("З-1"), сконструированного инженером НИИ ВВС Вахмистровым В.С.</w:t>
      </w:r>
    </w:p>
    <w:p w14:paraId="0EACD0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"З-1" представляет собой соединение двух истребителей И-4 с тяжелым бомбардировщиком ТБ1. Самолеты И-4 устанавливаются на крыльях ТБ1 в специальных замках и могут быть отцеплены в воздухе особым сбрасывателем.</w:t>
      </w:r>
    </w:p>
    <w:p w14:paraId="16D7F1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взлете и в полете моторы всех трех самолетов работают и таким образом получается один целый 4-моторный самолет. Питание горючим истребителей в полете производится из баков бомбардировщика.</w:t>
      </w:r>
    </w:p>
    <w:p w14:paraId="754E5C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Эта комбинация представляет следующие основные выгоды:</w:t>
      </w:r>
    </w:p>
    <w:p w14:paraId="5A32C180"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Моторы истребителей увеличивают мощность бомбардировщика, а следовательно и его грузоподъемность, скороподъемность, потолок и скорость.</w:t>
      </w:r>
    </w:p>
    <w:p w14:paraId="68362A48"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Радиус действия истребителей увеличивается в два раза, так как по пути к цели они питаются горючим из баков бомбардировщика.</w:t>
      </w:r>
    </w:p>
    <w:p w14:paraId="010103BF"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Бомбардировщик в глубоком тылу противника имеет свою истребительную охрану, а не только при прохождении полосы фронта.</w:t>
      </w:r>
    </w:p>
    <w:p w14:paraId="1EF965F8"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Испытания показали, что эксплуатация самолета "З-1" как в зимних, так и в летних условиях особых трудностей не представляет ни в подготовке к полету, ни в самом полете.</w:t>
      </w:r>
    </w:p>
    <w:p w14:paraId="60C99B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Сравнительные данные изолированного ТБ-1 и его же с двумя И-4 таковы: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60"/>
        <w:gridCol w:w="1160"/>
        <w:gridCol w:w="1160"/>
        <w:gridCol w:w="1160"/>
        <w:gridCol w:w="1160"/>
        <w:gridCol w:w="1160"/>
        <w:gridCol w:w="1160"/>
        <w:gridCol w:w="1160"/>
        <w:gridCol w:w="1160"/>
        <w:gridCol w:w="1160"/>
      </w:tblGrid>
      <w:tr w:rsidR="001002C3" w:rsidRPr="005E779E" w14:paraId="56AD5034" w14:textId="77777777">
        <w:tc>
          <w:tcPr>
            <w:tcW w:w="1160" w:type="dxa"/>
          </w:tcPr>
          <w:p w14:paraId="31665D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w:t>
            </w:r>
          </w:p>
        </w:tc>
        <w:tc>
          <w:tcPr>
            <w:tcW w:w="1160" w:type="dxa"/>
          </w:tcPr>
          <w:p w14:paraId="3F20E68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пустого</w:t>
            </w:r>
          </w:p>
        </w:tc>
        <w:tc>
          <w:tcPr>
            <w:tcW w:w="1160" w:type="dxa"/>
          </w:tcPr>
          <w:p w14:paraId="6C39D6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Полная нагрузка ТБ1</w:t>
            </w:r>
          </w:p>
        </w:tc>
        <w:tc>
          <w:tcPr>
            <w:tcW w:w="1160" w:type="dxa"/>
          </w:tcPr>
          <w:p w14:paraId="01D6F7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бомб</w:t>
            </w:r>
          </w:p>
        </w:tc>
        <w:tc>
          <w:tcPr>
            <w:tcW w:w="1160" w:type="dxa"/>
          </w:tcPr>
          <w:p w14:paraId="2EE332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самолетов</w:t>
            </w:r>
          </w:p>
          <w:p w14:paraId="5D0939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И-4</w:t>
            </w:r>
          </w:p>
        </w:tc>
        <w:tc>
          <w:tcPr>
            <w:tcW w:w="1160" w:type="dxa"/>
          </w:tcPr>
          <w:p w14:paraId="45E066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Длина разбега</w:t>
            </w:r>
          </w:p>
        </w:tc>
        <w:tc>
          <w:tcPr>
            <w:tcW w:w="1160" w:type="dxa"/>
          </w:tcPr>
          <w:p w14:paraId="4CD75D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Максимальн. скорость </w:t>
            </w:r>
          </w:p>
        </w:tc>
        <w:tc>
          <w:tcPr>
            <w:tcW w:w="1160" w:type="dxa"/>
          </w:tcPr>
          <w:p w14:paraId="7D24B4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Подъем на 3000 м</w:t>
            </w:r>
          </w:p>
        </w:tc>
        <w:tc>
          <w:tcPr>
            <w:tcW w:w="1160" w:type="dxa"/>
          </w:tcPr>
          <w:p w14:paraId="043774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Потолок</w:t>
            </w:r>
          </w:p>
        </w:tc>
        <w:tc>
          <w:tcPr>
            <w:tcW w:w="1160" w:type="dxa"/>
          </w:tcPr>
          <w:p w14:paraId="5E8606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Дальность</w:t>
            </w:r>
          </w:p>
        </w:tc>
      </w:tr>
      <w:tr w:rsidR="001002C3" w:rsidRPr="005E779E" w14:paraId="11FCB998" w14:textId="77777777">
        <w:tc>
          <w:tcPr>
            <w:tcW w:w="1160" w:type="dxa"/>
          </w:tcPr>
          <w:p w14:paraId="51EAC1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ТБ1</w:t>
            </w:r>
          </w:p>
        </w:tc>
        <w:tc>
          <w:tcPr>
            <w:tcW w:w="1160" w:type="dxa"/>
          </w:tcPr>
          <w:p w14:paraId="3612A5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4525</w:t>
            </w:r>
          </w:p>
        </w:tc>
        <w:tc>
          <w:tcPr>
            <w:tcW w:w="1160" w:type="dxa"/>
          </w:tcPr>
          <w:p w14:paraId="045EA7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2285</w:t>
            </w:r>
          </w:p>
        </w:tc>
        <w:tc>
          <w:tcPr>
            <w:tcW w:w="1160" w:type="dxa"/>
          </w:tcPr>
          <w:p w14:paraId="3E5BBE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700</w:t>
            </w:r>
          </w:p>
        </w:tc>
        <w:tc>
          <w:tcPr>
            <w:tcW w:w="1160" w:type="dxa"/>
          </w:tcPr>
          <w:p w14:paraId="6099CB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60" w:type="dxa"/>
          </w:tcPr>
          <w:p w14:paraId="072D8E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w:t>
            </w:r>
          </w:p>
        </w:tc>
        <w:tc>
          <w:tcPr>
            <w:tcW w:w="1160" w:type="dxa"/>
          </w:tcPr>
          <w:p w14:paraId="79AEB9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211</w:t>
            </w:r>
          </w:p>
        </w:tc>
        <w:tc>
          <w:tcPr>
            <w:tcW w:w="1160" w:type="dxa"/>
          </w:tcPr>
          <w:p w14:paraId="3EFEE4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21,3</w:t>
            </w:r>
          </w:p>
        </w:tc>
        <w:tc>
          <w:tcPr>
            <w:tcW w:w="1160" w:type="dxa"/>
          </w:tcPr>
          <w:p w14:paraId="53919B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4800</w:t>
            </w:r>
          </w:p>
        </w:tc>
        <w:tc>
          <w:tcPr>
            <w:tcW w:w="1160" w:type="dxa"/>
          </w:tcPr>
          <w:p w14:paraId="13FDFD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450</w:t>
            </w:r>
          </w:p>
        </w:tc>
      </w:tr>
      <w:tr w:rsidR="001002C3" w:rsidRPr="005E779E" w14:paraId="05BAED85" w14:textId="77777777">
        <w:tc>
          <w:tcPr>
            <w:tcW w:w="1160" w:type="dxa"/>
          </w:tcPr>
          <w:p w14:paraId="2768C5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797ECA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4525</w:t>
            </w:r>
          </w:p>
        </w:tc>
        <w:tc>
          <w:tcPr>
            <w:tcW w:w="1160" w:type="dxa"/>
          </w:tcPr>
          <w:p w14:paraId="103BC3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3400</w:t>
            </w:r>
          </w:p>
        </w:tc>
        <w:tc>
          <w:tcPr>
            <w:tcW w:w="1160" w:type="dxa"/>
          </w:tcPr>
          <w:p w14:paraId="5FBAC6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w:t>
            </w:r>
          </w:p>
        </w:tc>
        <w:tc>
          <w:tcPr>
            <w:tcW w:w="1160" w:type="dxa"/>
          </w:tcPr>
          <w:p w14:paraId="1B5BF9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60" w:type="dxa"/>
          </w:tcPr>
          <w:p w14:paraId="3279C7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w:t>
            </w:r>
          </w:p>
        </w:tc>
        <w:tc>
          <w:tcPr>
            <w:tcW w:w="1160" w:type="dxa"/>
          </w:tcPr>
          <w:p w14:paraId="04F25E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w:t>
            </w:r>
          </w:p>
        </w:tc>
        <w:tc>
          <w:tcPr>
            <w:tcW w:w="1160" w:type="dxa"/>
          </w:tcPr>
          <w:p w14:paraId="612FD1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38,1</w:t>
            </w:r>
          </w:p>
        </w:tc>
        <w:tc>
          <w:tcPr>
            <w:tcW w:w="1160" w:type="dxa"/>
          </w:tcPr>
          <w:p w14:paraId="029493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3790</w:t>
            </w:r>
          </w:p>
        </w:tc>
        <w:tc>
          <w:tcPr>
            <w:tcW w:w="1160" w:type="dxa"/>
          </w:tcPr>
          <w:p w14:paraId="18DD88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w:t>
            </w:r>
          </w:p>
        </w:tc>
      </w:tr>
      <w:tr w:rsidR="001002C3" w:rsidRPr="005E779E" w14:paraId="176D670C" w14:textId="77777777">
        <w:tc>
          <w:tcPr>
            <w:tcW w:w="1160" w:type="dxa"/>
          </w:tcPr>
          <w:p w14:paraId="6F36C7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"З-1"</w:t>
            </w:r>
          </w:p>
          <w:p w14:paraId="239FD8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ТБ1+2И-4</w:t>
            </w:r>
          </w:p>
        </w:tc>
        <w:tc>
          <w:tcPr>
            <w:tcW w:w="1160" w:type="dxa"/>
          </w:tcPr>
          <w:p w14:paraId="464C78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6532</w:t>
            </w:r>
          </w:p>
        </w:tc>
        <w:tc>
          <w:tcPr>
            <w:tcW w:w="1160" w:type="dxa"/>
          </w:tcPr>
          <w:p w14:paraId="7EAC2C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3968</w:t>
            </w:r>
          </w:p>
        </w:tc>
        <w:tc>
          <w:tcPr>
            <w:tcW w:w="1160" w:type="dxa"/>
          </w:tcPr>
          <w:p w14:paraId="2E441E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w:t>
            </w:r>
          </w:p>
        </w:tc>
        <w:tc>
          <w:tcPr>
            <w:tcW w:w="1160" w:type="dxa"/>
          </w:tcPr>
          <w:p w14:paraId="066203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1450</w:t>
            </w:r>
          </w:p>
        </w:tc>
        <w:tc>
          <w:tcPr>
            <w:tcW w:w="1160" w:type="dxa"/>
          </w:tcPr>
          <w:p w14:paraId="793A48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215</w:t>
            </w:r>
          </w:p>
        </w:tc>
        <w:tc>
          <w:tcPr>
            <w:tcW w:w="1160" w:type="dxa"/>
          </w:tcPr>
          <w:p w14:paraId="4BF607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215</w:t>
            </w:r>
          </w:p>
        </w:tc>
        <w:tc>
          <w:tcPr>
            <w:tcW w:w="1160" w:type="dxa"/>
          </w:tcPr>
          <w:p w14:paraId="3886AD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24,6</w:t>
            </w:r>
          </w:p>
        </w:tc>
        <w:tc>
          <w:tcPr>
            <w:tcW w:w="1160" w:type="dxa"/>
          </w:tcPr>
          <w:p w14:paraId="21AD3D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4630</w:t>
            </w:r>
          </w:p>
        </w:tc>
        <w:tc>
          <w:tcPr>
            <w:tcW w:w="1160" w:type="dxa"/>
          </w:tcPr>
          <w:p w14:paraId="0E1003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600</w:t>
            </w:r>
          </w:p>
        </w:tc>
      </w:tr>
      <w:tr w:rsidR="001002C3" w:rsidRPr="005E779E" w14:paraId="1192CA58" w14:textId="77777777">
        <w:tc>
          <w:tcPr>
            <w:tcW w:w="1160" w:type="dxa"/>
          </w:tcPr>
          <w:p w14:paraId="5B16FF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1C6680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6532</w:t>
            </w:r>
          </w:p>
        </w:tc>
        <w:tc>
          <w:tcPr>
            <w:tcW w:w="1160" w:type="dxa"/>
          </w:tcPr>
          <w:p w14:paraId="236D92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5968</w:t>
            </w:r>
          </w:p>
        </w:tc>
        <w:tc>
          <w:tcPr>
            <w:tcW w:w="1160" w:type="dxa"/>
          </w:tcPr>
          <w:p w14:paraId="3D895A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1000</w:t>
            </w:r>
          </w:p>
        </w:tc>
        <w:tc>
          <w:tcPr>
            <w:tcW w:w="1160" w:type="dxa"/>
          </w:tcPr>
          <w:p w14:paraId="59735F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1450</w:t>
            </w:r>
          </w:p>
        </w:tc>
        <w:tc>
          <w:tcPr>
            <w:tcW w:w="1160" w:type="dxa"/>
          </w:tcPr>
          <w:p w14:paraId="3A2238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290</w:t>
            </w:r>
          </w:p>
        </w:tc>
        <w:tc>
          <w:tcPr>
            <w:tcW w:w="1160" w:type="dxa"/>
          </w:tcPr>
          <w:p w14:paraId="4DE782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60" w:type="dxa"/>
          </w:tcPr>
          <w:p w14:paraId="458DF7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60" w:type="dxa"/>
          </w:tcPr>
          <w:p w14:paraId="725427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60" w:type="dxa"/>
          </w:tcPr>
          <w:p w14:paraId="218F4D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1500</w:t>
            </w:r>
          </w:p>
        </w:tc>
      </w:tr>
    </w:tbl>
    <w:p w14:paraId="476959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периоде испытаний был произведен демонстративный налет на Киев, где сброшено 1000 кг бомб, при этом пройдено без посадки 1275 км.</w:t>
      </w:r>
    </w:p>
    <w:p w14:paraId="2FA4F5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полного выявления эксплуатационных свойств самолета "З-1" в настоящее время изготовляется войсковая серия этих установок в количестве 6 штук для широких войсковых испытаний и отработки тактики и боевого применения.</w:t>
      </w:r>
    </w:p>
    <w:p w14:paraId="665955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Дальнейшие работы инженера Вахмистрова по конструированию перенести на самолет ТБ-3, на котором спроектированы два типа установок "З-2" – установка з-х самолетов И-5 сверху на крыльях ТБ3 и "З-3" – 2-х самолетов "Z" снизу под крыльями ТБ3, таким образом на ТБ3 может быть одновременно установлено 5 истребителей. Проектирование этих двух установок (сверху и снизу) закончено и они изготовляются на заводе ЦАГИ.</w:t>
      </w:r>
    </w:p>
    <w:p w14:paraId="0C3B8D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Расчетные данные самолета ТБ-3 с тремя самолетами "И-5" по сравнению с изолированным ТБ3 таковы: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50"/>
        <w:gridCol w:w="1450"/>
        <w:gridCol w:w="1450"/>
        <w:gridCol w:w="1450"/>
        <w:gridCol w:w="1450"/>
        <w:gridCol w:w="1450"/>
        <w:gridCol w:w="1450"/>
        <w:gridCol w:w="1450"/>
      </w:tblGrid>
      <w:tr w:rsidR="001002C3" w:rsidRPr="005E779E" w14:paraId="395F5A14" w14:textId="77777777">
        <w:tc>
          <w:tcPr>
            <w:tcW w:w="1450" w:type="dxa"/>
          </w:tcPr>
          <w:p w14:paraId="63BADB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w:t>
            </w:r>
          </w:p>
        </w:tc>
        <w:tc>
          <w:tcPr>
            <w:tcW w:w="1450" w:type="dxa"/>
          </w:tcPr>
          <w:p w14:paraId="128DCB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Полетный вес</w:t>
            </w:r>
          </w:p>
        </w:tc>
        <w:tc>
          <w:tcPr>
            <w:tcW w:w="1450" w:type="dxa"/>
          </w:tcPr>
          <w:p w14:paraId="64B8DA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Нагрузка</w:t>
            </w:r>
          </w:p>
        </w:tc>
        <w:tc>
          <w:tcPr>
            <w:tcW w:w="1450" w:type="dxa"/>
          </w:tcPr>
          <w:p w14:paraId="22991B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скорость у земли</w:t>
            </w:r>
          </w:p>
        </w:tc>
        <w:tc>
          <w:tcPr>
            <w:tcW w:w="1450" w:type="dxa"/>
          </w:tcPr>
          <w:p w14:paraId="66D0E4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Максимальная скорость на 3000 м</w:t>
            </w:r>
          </w:p>
        </w:tc>
        <w:tc>
          <w:tcPr>
            <w:tcW w:w="1450" w:type="dxa"/>
          </w:tcPr>
          <w:p w14:paraId="76D462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Скороподъемн. на 1000 м </w:t>
            </w:r>
          </w:p>
        </w:tc>
        <w:tc>
          <w:tcPr>
            <w:tcW w:w="1450" w:type="dxa"/>
          </w:tcPr>
          <w:p w14:paraId="4CC735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Скороподъемн. на 3000 м</w:t>
            </w:r>
          </w:p>
        </w:tc>
        <w:tc>
          <w:tcPr>
            <w:tcW w:w="1450" w:type="dxa"/>
          </w:tcPr>
          <w:p w14:paraId="115307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Потолок</w:t>
            </w:r>
          </w:p>
        </w:tc>
      </w:tr>
      <w:tr w:rsidR="001002C3" w:rsidRPr="005E779E" w14:paraId="52BACA2B" w14:textId="77777777">
        <w:tc>
          <w:tcPr>
            <w:tcW w:w="1450" w:type="dxa"/>
          </w:tcPr>
          <w:p w14:paraId="1A0F8E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ТБ3</w:t>
            </w:r>
          </w:p>
        </w:tc>
        <w:tc>
          <w:tcPr>
            <w:tcW w:w="1450" w:type="dxa"/>
          </w:tcPr>
          <w:p w14:paraId="61E816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17200</w:t>
            </w:r>
          </w:p>
        </w:tc>
        <w:tc>
          <w:tcPr>
            <w:tcW w:w="1450" w:type="dxa"/>
          </w:tcPr>
          <w:p w14:paraId="1FA162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7000</w:t>
            </w:r>
          </w:p>
        </w:tc>
        <w:tc>
          <w:tcPr>
            <w:tcW w:w="1450" w:type="dxa"/>
          </w:tcPr>
          <w:p w14:paraId="0D50B5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198</w:t>
            </w:r>
          </w:p>
        </w:tc>
        <w:tc>
          <w:tcPr>
            <w:tcW w:w="1450" w:type="dxa"/>
          </w:tcPr>
          <w:p w14:paraId="6C46CD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166</w:t>
            </w:r>
          </w:p>
        </w:tc>
        <w:tc>
          <w:tcPr>
            <w:tcW w:w="1450" w:type="dxa"/>
          </w:tcPr>
          <w:p w14:paraId="733AA2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9,40</w:t>
            </w:r>
          </w:p>
        </w:tc>
        <w:tc>
          <w:tcPr>
            <w:tcW w:w="1450" w:type="dxa"/>
          </w:tcPr>
          <w:p w14:paraId="2B7215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46,5</w:t>
            </w:r>
          </w:p>
        </w:tc>
        <w:tc>
          <w:tcPr>
            <w:tcW w:w="1450" w:type="dxa"/>
          </w:tcPr>
          <w:p w14:paraId="52B3B1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3700</w:t>
            </w:r>
          </w:p>
        </w:tc>
      </w:tr>
      <w:tr w:rsidR="001002C3" w:rsidRPr="005E779E" w14:paraId="30F039A0" w14:textId="77777777">
        <w:tc>
          <w:tcPr>
            <w:tcW w:w="1450" w:type="dxa"/>
          </w:tcPr>
          <w:p w14:paraId="62EAA2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"З-2"</w:t>
            </w:r>
          </w:p>
          <w:p w14:paraId="5E69AC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ТБ3+3И5</w:t>
            </w:r>
          </w:p>
        </w:tc>
        <w:tc>
          <w:tcPr>
            <w:tcW w:w="1450" w:type="dxa"/>
          </w:tcPr>
          <w:p w14:paraId="170878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21250</w:t>
            </w:r>
          </w:p>
        </w:tc>
        <w:tc>
          <w:tcPr>
            <w:tcW w:w="1450" w:type="dxa"/>
          </w:tcPr>
          <w:p w14:paraId="3B0311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8200</w:t>
            </w:r>
          </w:p>
        </w:tc>
        <w:tc>
          <w:tcPr>
            <w:tcW w:w="1450" w:type="dxa"/>
          </w:tcPr>
          <w:p w14:paraId="7FBB92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201</w:t>
            </w:r>
          </w:p>
        </w:tc>
        <w:tc>
          <w:tcPr>
            <w:tcW w:w="1450" w:type="dxa"/>
          </w:tcPr>
          <w:p w14:paraId="59E30A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174</w:t>
            </w:r>
          </w:p>
        </w:tc>
        <w:tc>
          <w:tcPr>
            <w:tcW w:w="1450" w:type="dxa"/>
          </w:tcPr>
          <w:p w14:paraId="762642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4,93</w:t>
            </w:r>
          </w:p>
        </w:tc>
        <w:tc>
          <w:tcPr>
            <w:tcW w:w="1450" w:type="dxa"/>
          </w:tcPr>
          <w:p w14:paraId="34C733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24,17</w:t>
            </w:r>
          </w:p>
        </w:tc>
        <w:tc>
          <w:tcPr>
            <w:tcW w:w="1450" w:type="dxa"/>
          </w:tcPr>
          <w:p w14:paraId="59085D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4800</w:t>
            </w:r>
          </w:p>
        </w:tc>
      </w:tr>
    </w:tbl>
    <w:p w14:paraId="0ADF8320"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(7439, 201-203).</w:t>
      </w:r>
    </w:p>
    <w:p w14:paraId="3BB6077E"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4A2E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декабре 1931 г. совершил первый полет ТБ-1, на крыльях которого размещались два истребителя И-4. Система получила название «Звено-1». В 1932 г. начались работы по использованию в качестве носителя ТБ-3. Проект назвали «Звено-2А». Четырехмоторный бомбардировщик должен был нести три истребителя И-5 - два на крыльях и третий на фюзеляже. Первые полеты совершили только с двумя истребителями на крыльях, позднее добавили еще один. Затаскивали И-5 по специальным мосткам, причем самой большой головной болью являлось водружение третьего самолета на фюзеляж. На ТБ-3 сделали специальные захваты для колес истребителей с замками. Носитель взлегал при помощи только своих собственных MOTOРOB. истребители же обычно запускали двигатели только перед отцепкой. Только раз, чтобы замерить максимальную скорость, в воздухе работали моторы одновоеменно всех четырех машин. Кончилось это тем. что кок И-5. стоявшего на фюзеляже, оторвался и пролетел у борта пилотской кабины ТБ-3. приделав в плоскости большую дыру. Система считалась очень перспективной. Подразделения "звеньев" хотели разместить а первую очередь на Дальнем Востоке для прикрытия возможных налетов на территорию Кореи и Японии. Планировали не только пускать, но и принимать самолеты в воздухе. Для этого между стойками шасси закрепили ферму-трапецию. Истребитель И-Зет оснащался сверху крюком на раме. На аэродроме его подкатывали между тележками ТБ-3, специальный механизм опускал трапецию и затем поднимал ее вверх вместе с истребителем. В воздухе трапеция опускалась опять, и И-Зет отцеплялся от носителя. Перед приемом истребителя ее выпускали вновь, и задачей пилота маленького самолета было точно попасть крюком на трубу трапеции. После долгих тренировок в апреле 1934 г. удалось успешно выпустить и опять подхватить истребитель. Этот вариант получил название «Звено-5» (9807).</w:t>
      </w:r>
    </w:p>
    <w:p w14:paraId="25E070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E4CE292"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декабре 1931 года был испытан десантный парашют Гроховского для люльки. В данном виде признан негодным для принятия на снабжение, требуется перестройка образца, согласно указаний Испытательной комиссии НИИ (6770).</w:t>
      </w:r>
    </w:p>
    <w:p w14:paraId="569CC2F8"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F08C51"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декабре 1931 года прошел гос. испытания парашют Гроховского Г-40 для сбрасывания фотокассет. Дал положительные результаты; подлежал серийному заказу (6770).</w:t>
      </w:r>
    </w:p>
    <w:p w14:paraId="6543F2AA" w14:textId="77777777" w:rsidR="005C4849" w:rsidRPr="005E779E" w:rsidRDefault="005C4849" w:rsidP="000B7A6C">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C14B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декабре 1931 вышел Отчет о конструировании специального приспособления для порчи самолетов при вынужденной их посадке в тылу противника (3208,469).</w:t>
      </w:r>
    </w:p>
    <w:p w14:paraId="647B90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357CE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декабре 1931 начальник УВВС П.И. Баранову писал:</w:t>
      </w:r>
    </w:p>
    <w:p w14:paraId="0AA03D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 обладает скоростью в три раза большей, чем торпедный катер, лучше маневрирует, менее заметен, дает лучшую прицельность, дешевле стоит... Сохранение торпеды на воо</w:t>
      </w:r>
      <w:r w:rsidRPr="005E779E">
        <w:rPr>
          <w:rFonts w:ascii="Times New Roman" w:hAnsi="Times New Roman"/>
          <w:color w:val="000000" w:themeColor="text1"/>
          <w:sz w:val="16"/>
          <w:szCs w:val="16"/>
        </w:rPr>
        <w:softHyphen/>
        <w:t>ружении морской авиации я считаю абсолютно обязательным” (4144).</w:t>
      </w:r>
    </w:p>
    <w:p w14:paraId="405CA2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CCEB3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декабре 1931 комиссия, назначенная Я.Алкснисом во главе с Нач. Воздушных сил ЧМ В.К.Лавровым подвела итоги войсковых испытаний высокой торпеды 10/15, которые шли с первой пробы 19 сентября 1931, когда в ходе имитации атаки ТБ-1 на л Парижская Коммуна, торпеду сбросили с 2000 м и она прошла мимо от цели до 14 ноября 1931. В октябре 1931 учебную атаку провела пара ТБ-1 во время учений флота. Сбросили 2 торпеды по буксируемому щиту в 15 милях от Херсонесского маяка. Потом сбрасывали по неподвижным целям - пятнам краски на воде. Всего до 14 ноября провели 9 сбросов с 2000-3000 м, но только 4 раза сбрасывали торпеды с ходом. Полностью программу выполнить не удалось из-за отсутствия ТБ-1 в поплавковом варианте, специального прицела и мнущихся зарядных отделений. Решили продолжить испытания после устранения недостатков в марте 1932 (1966,10).</w:t>
      </w:r>
    </w:p>
    <w:p w14:paraId="60DBCC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B48B6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декабря 1931 г. в Тушино на свободных площадях у ж/д. станции начал работать завод №3 управления производственными предприятиями ЦС ОСОАВИАХИМ СССР.</w:t>
      </w:r>
    </w:p>
    <w:p w14:paraId="5F7D3E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Первым директором стал И.Г.Комаров. Гл.к. КБ завода в 1931-38гг. был известный, в последствии, авиаконструктор О.К.Антонов. В этот период строились планеры УС-3, УС-4, УС-5 и УС-6, РФ-1, РФ-2, РФ-3, РФ-4, -5, -6, -7 и др. Кроме того разрабатывались и строились учебные и опытные планеры других конструкторов: Б.Н.Шереметьева (Ш-4, Ш-5, "Октябренок", Ш-7, Ш-8, Ш-10, Ш-11), Г.Ф.Грошова ("Эрнст Тельман", "Беспризорник", Г№2, Г№6, Г№7, АГ-1), В.И.Емельянова (КИМ-1, КИМ-2, РВ-1), М.А.Кузакова (МАК-12), Д.Н.Колесникова (ДК-3), В.В.Абрамова (ВА-3), С.П.Королева (СК-9) и др. </w:t>
      </w:r>
    </w:p>
    <w:p w14:paraId="62DE56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1936 г. на завод переведено Московское КБ В.К.Грибовского. В 1938 г. КБ О.К.Антонова и КБ В.К.Грибовского слили в одно под руководством В.К.Грибовского. При объединении двух КБ О.К.Антонов перешел в систему ГУАП (НКАП), где в 1938-40 гг. работал вед.инж. в ОКБ А.С.Яковлева, а с н.1940 г. - на заводе №23 НКАП в г.Ленинграде по опытному самолету "Аист". </w:t>
      </w:r>
    </w:p>
    <w:p w14:paraId="06B0D4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заводе (получил наименование Завод №445 НКАП) строились серийно уч.-трен. планеры Г-9 конструкции В.К.Грибовского. Всего до 1938 г. на заводе было выпущено только учебных планеров различных типов около 8 тыс. ед.</w:t>
      </w:r>
    </w:p>
    <w:p w14:paraId="48E4DE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Далее из-за свертывания работ по планеростроению в марте 1939 г. завод был передан в подчинение ЦКБ НКсудпрома и перепрофилирован для выпуска катеров на воздушной подушке конструкции В.И.Левкова. В 1940 г. В.К.Грибовский возглавил ОКБ-28. </w:t>
      </w:r>
    </w:p>
    <w:p w14:paraId="0F2DA9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соответствии с приказом НКАП №167/622 от 4.7.41 г. и №641с от 7.7.41 г. завод №445 был передан в систему НКАП из НКсудпрома с присвоением названия Государственный Союзный завод №445 НКАП. Опять как планеростроительный при вновь образованном планерном 11ГУ НКАП. Освоено производство десантного </w:t>
      </w:r>
      <w:r w:rsidRPr="005E779E">
        <w:rPr>
          <w:rFonts w:ascii="Times New Roman" w:hAnsi="Times New Roman"/>
          <w:color w:val="000000" w:themeColor="text1"/>
          <w:sz w:val="16"/>
          <w:szCs w:val="16"/>
        </w:rPr>
        <w:lastRenderedPageBreak/>
        <w:t>планера РФ-8 (А-7). Директор завода - П.П.Перовский. Гл.к. завода - О.К.Антонов. В .9.41 г. О.К.Антонову выдано задание на разработку крыльев к танку Т-60 (планер-танковоз "КТ", далее назывался А-Т).</w:t>
      </w:r>
    </w:p>
    <w:p w14:paraId="65C176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к.1941 г. по приказ. №1057 от 10.10.41 г. завод должен был эвакуироваться на территорию планерный завод №493 НКАП (г.Свердловск). Однако этот завод был передан в 3ГУ для размещения завода №28 НКАП, но из-за неразберихи руководство и часть оборудования все же прибыли на завод №493. Основная часть личного состава, оборудование и документация завода №445 оказалась на заводе №471 НКАП в г.Шумерле Чувашской АССР. Здесь началось возобновление производства планера РФ-8. Завод планировалось влить в состав единого завода №471 в г.Шумерле (приказ. №1088 от 1.11.41 г.). Но далее в .12.1941 г. завод переэвакуировали в г.Алапаевск Свердловской обл. на пл. Деревообделочного комбината НКЧМ и слили с заводом №493 НКАП в единый завод №445 НКАП (по приказу 1179(а) от 31.12.41 г.) Здесь с к.1941 г. шло производство десантных планеров А-7. Кроме того часть завода прибыла на площади завода №494 НКАП. </w:t>
      </w:r>
    </w:p>
    <w:p w14:paraId="49ECE0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Директор завода №445 П.П.Перовский (1942г). </w:t>
      </w:r>
    </w:p>
    <w:p w14:paraId="1F79D8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На свободных площадях эвакуированного завода №445 в г.Тушино образован филиал, который далее с .5.1942 г. преобразован в самостоятельный завод №464 НКАП (приказ НКАП №340 от 4.5.42 г.) для увеличения производства 7-местных десантных планеров А-7 конструкции О.К.Антонова. </w:t>
      </w:r>
    </w:p>
    <w:p w14:paraId="20846A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Приказом №618 от 12.8.42 г. завод №464 был определен ведущим по производству планеров типа А-7 и А-2 и по их дальнейшей модификации, для этого ОКБ О.К.Антонова было переведено с завода №241 НКАП. </w:t>
      </w:r>
    </w:p>
    <w:p w14:paraId="12FD09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Вскоре профиль завода был вновь изменен и для обеспечения производства самолетов Як-6 в соответствии с приказом №707 от 16.9.42 г. завод №464 был объединен с мощностями завода №388 НКАП и завода №457 НКАП с образованием единого завода №464 НКАП. Изготовление планеров в связи с этим прекращено. Производство Як-6 шло здесь в период 1942-43гг. </w:t>
      </w:r>
    </w:p>
    <w:p w14:paraId="1054C7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соответствии с приказом №174 от 27.3.43 г. заводу №464 были переданы часть личного состава, металлорежущего оборудование реэвакуированного из г.Алапаевска завода №445 НКАП. </w:t>
      </w:r>
    </w:p>
    <w:p w14:paraId="1F6DCB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1942-43 гг. на заводе №464 работала Группа "ПМ". Образована (приказ №789 от 19.10.42 г.) для проектирования самолетных и планерных агрегатов и деталей из пластических масс. Тем же приказом в состав группы переведен коллектив ОКБ ПМ гл.к. Д.А.Михайлова со всем оборудованием и заделами с завода №294 НКАП (филиал завода №22 НКАП). В н.1943 г. группа Д.А.Михайлова переведена на территорию завода №156 НКАП, отсюда - передана в состав ВИАМ (приказ №107 от 22.2.43 г.). </w:t>
      </w:r>
    </w:p>
    <w:p w14:paraId="522F7B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Вскоре завод меняет место. Для улучшения условий ремонта самолета Ли-2 он был переведен из г.Тушино на ст. Долгопрудная со всем оборудованием и личным составом на площади завода №462 НКАП и объединен с ним под названием завод №464 11ГУ НКАП (приказ НКАП №416 от 14.7.43 г.). Освободившиеся площади завода №464 в Тушино переданы для размещения завода №289 НКАП (из г.Молотова) и завода №380 НКАП (из г.Калининграда) (10777).</w:t>
      </w:r>
    </w:p>
    <w:p w14:paraId="02920D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81BDF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декабре 1931 г. планерные мастерские «Снабосоавиахима», действовавшие на территории Московской планерной школы, были переведены в Тушино на площадку у железнодорожной станции преобразованы в завод № 3 Управления производственными предприятиями ЦС Осоавиахима. 1.05.1931 г. завод вступил в строй.</w:t>
      </w:r>
    </w:p>
    <w:p w14:paraId="20519E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Создано около 40 типов планеров, многие из которых строились серийно.</w:t>
      </w:r>
    </w:p>
    <w:p w14:paraId="7638BC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 1933г. на заводе работал </w:t>
      </w:r>
      <w:r w:rsidRPr="005E779E">
        <w:rPr>
          <w:rFonts w:ascii="Times New Roman" w:hAnsi="Times New Roman"/>
          <w:color w:val="000000" w:themeColor="text1"/>
          <w:sz w:val="16"/>
          <w:szCs w:val="16"/>
          <w:lang w:val="en-US"/>
        </w:rPr>
        <w:t>O</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K</w:t>
      </w:r>
      <w:r w:rsidRPr="005E779E">
        <w:rPr>
          <w:rFonts w:ascii="Times New Roman" w:hAnsi="Times New Roman"/>
          <w:color w:val="000000" w:themeColor="text1"/>
          <w:sz w:val="16"/>
          <w:szCs w:val="16"/>
        </w:rPr>
        <w:t>. Антонов. В 1938г. он снят с должности, переведен на работу в ГУАП.</w:t>
      </w:r>
    </w:p>
    <w:p w14:paraId="79933E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 1936г. при заводе действовало МКБ Осоавиахима под руководством В.К. Грибовского. В 1938г. Грибовский назначен гл. конструктором завода вместо снятого </w:t>
      </w:r>
      <w:r w:rsidRPr="005E779E">
        <w:rPr>
          <w:rFonts w:ascii="Times New Roman" w:hAnsi="Times New Roman"/>
          <w:color w:val="000000" w:themeColor="text1"/>
          <w:sz w:val="16"/>
          <w:szCs w:val="16"/>
          <w:lang w:val="en-US"/>
        </w:rPr>
        <w:t>O</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K</w:t>
      </w:r>
      <w:r w:rsidRPr="005E779E">
        <w:rPr>
          <w:rFonts w:ascii="Times New Roman" w:hAnsi="Times New Roman"/>
          <w:color w:val="000000" w:themeColor="text1"/>
          <w:sz w:val="16"/>
          <w:szCs w:val="16"/>
        </w:rPr>
        <w:t>. Антонова, при заводе в результате слияния КБ Антонова и Грибовского организован Опытный отдел.</w:t>
      </w:r>
    </w:p>
    <w:p w14:paraId="20DEFC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 до 1938г. построено около 8 тыс. планеров.</w:t>
      </w:r>
    </w:p>
    <w:p w14:paraId="257843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По-видимому, в 03(04). 1939г. планерный завод № 3 Осоавиахима был передан в качестве производственной базы ЦКБ-1 профессора В.И. Левкова и был переименован в завод № 445 НКСП.</w:t>
      </w:r>
    </w:p>
    <w:p w14:paraId="11D101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 72с от 10.03.1940 г. Грибовский назначен гл. конструктором нового ОКБ-28.</w:t>
      </w:r>
    </w:p>
    <w:p w14:paraId="1A3A3C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1941 г. на этом месте организован завод № 464 НКАП.</w:t>
      </w:r>
    </w:p>
    <w:p w14:paraId="4720FE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(12.1931 г.-)- И.Г. Комаров.</w:t>
      </w:r>
    </w:p>
    <w:p w14:paraId="57CE5A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Гл. инженер (1933-38г.)- </w:t>
      </w:r>
      <w:r w:rsidRPr="005E779E">
        <w:rPr>
          <w:rFonts w:ascii="Times New Roman" w:hAnsi="Times New Roman"/>
          <w:color w:val="000000" w:themeColor="text1"/>
          <w:sz w:val="16"/>
          <w:szCs w:val="16"/>
          <w:lang w:val="en-US"/>
        </w:rPr>
        <w:t>O</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K</w:t>
      </w:r>
      <w:r w:rsidRPr="005E779E">
        <w:rPr>
          <w:rFonts w:ascii="Times New Roman" w:hAnsi="Times New Roman"/>
          <w:color w:val="000000" w:themeColor="text1"/>
          <w:sz w:val="16"/>
          <w:szCs w:val="16"/>
        </w:rPr>
        <w:t>. Антонов («Упар», «6 условий ДИП», УС-3, -4, -5, -6, РФ-1, -2, -3, -4, -5, -6, -7, М-1, -2, -3, -4, -5, -6, ИП-1, -2, БА-1, БС-3, -4, -5, РЭ, ЛЕМ-2).</w:t>
      </w:r>
    </w:p>
    <w:p w14:paraId="226F90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Гл. конструктор (1933-38г.)- </w:t>
      </w:r>
      <w:r w:rsidRPr="005E779E">
        <w:rPr>
          <w:rFonts w:ascii="Times New Roman" w:hAnsi="Times New Roman"/>
          <w:color w:val="000000" w:themeColor="text1"/>
          <w:sz w:val="16"/>
          <w:szCs w:val="16"/>
          <w:lang w:val="en-US"/>
        </w:rPr>
        <w:t>O</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K</w:t>
      </w:r>
      <w:r w:rsidRPr="005E779E">
        <w:rPr>
          <w:rFonts w:ascii="Times New Roman" w:hAnsi="Times New Roman"/>
          <w:color w:val="000000" w:themeColor="text1"/>
          <w:sz w:val="16"/>
          <w:szCs w:val="16"/>
        </w:rPr>
        <w:t>. Антонов, (1938-39г.)- В.К. Грибовский.</w:t>
      </w:r>
    </w:p>
    <w:p w14:paraId="2CF983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 КБ завода- Б.Н. Шереметьев.</w:t>
      </w:r>
    </w:p>
    <w:p w14:paraId="7B3D72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Производство: планеры: «Упар»- 800, «6 условий ДИП», УС-3- 1600, УС-4- 3000, УС-5, УС-6, РФ-1, РФ-2, РФ-3, РФ-4, РФ-5, РФ-6, РФ-7, М-1, М-2, М-3, М-4, М-5, М-6, ИП-1, ИП-2, БА-1, БС-3, БС-4, БС-5, РЭ, Ш-4, Ш-5, «Октябренок», Ш-7, Ш-8, Ш-10, Ш-11, «Эрнст Тельман», «Беспризорник», Г № 2, Г № 6, Г № 7, АГ-1, КИМ-1, КИМ-2, РВ-1, МАК-12, ДК-3, ВА-3, СК-9, Г-9 (серия); самолеты: Г-15 (1934)- 1, ЛЕМ-2 (1937)- 1, Г-25 (1937), Г-26 (1938)- 1,Г-27 (1938)- 1 (11982).</w:t>
      </w:r>
    </w:p>
    <w:p w14:paraId="7F5C36C8" w14:textId="77777777" w:rsidR="002C06C5" w:rsidRPr="005E779E" w:rsidRDefault="002C06C5" w:rsidP="000B7A6C">
      <w:pPr>
        <w:autoSpaceDE w:val="0"/>
        <w:autoSpaceDN w:val="0"/>
        <w:adjustRightInd w:val="0"/>
        <w:spacing w:after="0" w:line="240" w:lineRule="auto"/>
        <w:jc w:val="both"/>
        <w:rPr>
          <w:rFonts w:ascii="Times New Roman" w:hAnsi="Times New Roman"/>
          <w:color w:val="000000" w:themeColor="text1"/>
          <w:sz w:val="16"/>
          <w:szCs w:val="16"/>
        </w:rPr>
      </w:pPr>
    </w:p>
    <w:p w14:paraId="0FAE9F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декабре 1931 г., Томас А. Морган, президент Северо-американской авиационной корпорации («Норд-Америкэн эвиэйшн корпорэйшн»), являющийся одновременно и президентом Американских авиационных ко[мпаний] «Сперри-гироскоп» и «Кэртис Райт», обратился к представителю Всесоюзного объединения авиационной промышленности (ВАО) в США тов. Петрову5 с запросом, заинтересовано ли советское правительство в организации на совместных началах воздушной линии между Аляской и Владивостоком. Морган заявил о заинтересованности США в том, чтобы сомкнуть свои воздушные пути, протянутые до Аляски, с воздушными путями в Китае, эксплуатируемыми фирмой «Кэртис Райт», до Шанхая и далее вовнутрь Китая. Причем он заметил, что смычка этих путей может иметь место или через территорию СССР, или через Японию. Однако они предпочитают смычку путей через СССР. </w:t>
      </w:r>
    </w:p>
    <w:p w14:paraId="393738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5. 11.II.32 г. на запрос тов. Мирошникова6 дать заключение по этому последнему предложению НКИД за подписью тов. Крестинского7 и Рубинина ответил, что считает целесообразным дать нашим соответствующим организациям директиву ответить американцам примерно следующим образом: «Американские предложения подвергаются нами внимательному изучению, однако уже с самого начала нельзя не подчеркнуть, что речь идет о такого рода сотрудничестве, реализацию которого трудно себе представить при отсутствии нормальных общих взаимоотношений между заинтересованными государствами». </w:t>
      </w:r>
    </w:p>
    <w:p w14:paraId="1671EE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6. В июле 1932 г. тов. Богданов и Петров сообщили НКВТ, НКИД и Главному управлению Гражданского воздушного флота о том, что к ним опять обратился представитель «Норд-Америкэн эвиэйшн корпорейшн» г[-н] Тальбот с письмом, в котором, ссылаясь на вышеупомянутые предложения Томаса Моргана и на последующие их беседы с тт. Силиным и Ангеловым, эта фирма сделала предложение о предоставлении ей «концессии» и о «кооперации» с СССР в деле организации проектируемого ими воздушного сообщения между США и Китаем (от гор. Ном на Аляске к Пекину через Хабаровск или Якутск — Иркутск — Урга или ст[анцию] Рухлово). </w:t>
      </w:r>
    </w:p>
    <w:p w14:paraId="2BD210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Тов. Богданов и Петров тогда сообщили нам, что хотя они с фирмой подробностей не обсуждали, но с ее слов можно было понять, что Ко[мпания] согласится взять на себя устройство аэродромов и промежуточных посадочных площадок, их оборудование, установку маяков и радиостанций и снабдит часть линий, проходящих по нашей территории, своими самолетами и необходимым личным составом, если мы этого пожелаем. В другом случае Ко[мпания] согласна обсуждать вопрос об организации этой части линии на совместных с СССР началах как в отношении материальной части, так и персонала, на основе создания «смешанного общества». </w:t>
      </w:r>
    </w:p>
    <w:p w14:paraId="34C140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7. 15.XII. 33 г., уже после установления дипотношений с США, вице-президент «Пан-Америкэн эруэйз» Эван Е. Юнг8 снова вернулся к этому вопросу и в письме к тов. Сквирскому он указывает, что ввиду существенно изменившегося положения вещей у него возникает мысль, нельзя ли ожидать в ближайшем будущем другого, более положительного сообщения со стороны наших руководящих органов на основе сделанного ими ранее предложения, которое остается в силе и ныне. </w:t>
      </w:r>
    </w:p>
    <w:p w14:paraId="74DF62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8. 3-й Западный отдел направил это последнее обращение «Пан-Америкэн эруэйз» тов. Уншлихту (с копией тов. Ворошилову9). Начальник ИНО Всесоюзного объединения Гражданского воздушного флота сообщил нам, что этот вопрос ими теперь разрабатывается конкретно для постановки его на разрешение правительства. </w:t>
      </w:r>
    </w:p>
    <w:p w14:paraId="38DED9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9. Примечание: </w:t>
      </w:r>
    </w:p>
    <w:p w14:paraId="583E40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 О фирме «Пан-Америкэн эруэйз» нам известно, что она руководит эксплуатацией воздушных линий Центральной и Южной Америки, Мексики, Западной Индии и через Карибское море. Полковник Линдберг10 является их техническим консультантом. Тов. Сквирский в свое время сообщал, что «Пан-Америкэн эруэйз» является монополистом во всех воздушных линиях в Латинскую Америку из США, что она близка к правительственным кругам, что эта фирма подготовляет почтовую трансатлантическую линию сообщений с европейскими компаниями. Кроме того, в самое последнее время стало известно (ТАСС, Токио, от 22.XII.33 г.), что недавнее установление регулярной воздушной линии между Шанхаем и Кантоном является одним из звеньев в транстихоокеанских планах «Пан-Америкэн эруэйз», которая через свое дочернее предприятие «Чайна эруэйз» владеет 45% акций американо-китайской ко[мпании] «Чайна нэшнл эвиэйшн корпорейшн». Следующим шагом будет связь линии Шанхай — Кантон с Гонконгом, откуда, в свою очередь, пойдет линия на Филиппинские острова. В дальнейшем ко[мпания] «Пасифик-Америкэн эруэйз» приступит к установлению линий протяжением примерно в 6000 миль от Сан-Франциско до Манилы. </w:t>
      </w:r>
    </w:p>
    <w:p w14:paraId="673E69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Б) О фирме «Норд-Америкэн эвиэйшн» известно (по ее собственной информации), что она владеет целиком и активно руководит: </w:t>
      </w:r>
    </w:p>
    <w:p w14:paraId="605630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а) фирмой «Сперри гироскоп», производящей гироскопические аппараты для пароходов и других навигационных целей, а также контрольную аппаратуру для аэропланов; </w:t>
      </w:r>
    </w:p>
    <w:p w14:paraId="659824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б) «Форд инструмент Ко»; </w:t>
      </w:r>
    </w:p>
    <w:p w14:paraId="18C45AF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«Берлинер — Джойс эркрафт корпорейшн», производящей быстроходные военные самолеты и </w:t>
      </w:r>
    </w:p>
    <w:p w14:paraId="3FE286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г) «Истерн эр транспорт» (известная авиационная фирма, контролирующая пассажирское и почтовое воздушные сообщения между Нью-Йорком и Флоридой). </w:t>
      </w:r>
    </w:p>
    <w:p w14:paraId="704355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 xml:space="preserve">Кроме того, «Норд-Америкэн эвиэйшн корпорейшн» владеет солидным пакетом акций фирмы «Кэртис Райт» и «Дуглас эркрафт Ко» (два выдающихся производителя самолетов в США) и является активным участником фирмы «Трансконтинентл-уэстерн эр». </w:t>
      </w:r>
    </w:p>
    <w:p w14:paraId="62425C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Она также активно участвует в «Интерконтинентл эвиэйшн корпорейшн», через которую она инвестирует капиталы в авиационных предприятиях за границей. </w:t>
      </w:r>
    </w:p>
    <w:p w14:paraId="26D6F0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Зав. 3-м Западным отделом Е. РУБИНИН </w:t>
      </w:r>
    </w:p>
    <w:p w14:paraId="1EC619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Отв. референт С. СТОЛЯР </w:t>
      </w:r>
    </w:p>
    <w:p w14:paraId="30D76B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АВП РФ. Ф. 05. Оп. 14. П. 101. Д. 84. Л. 1—3. Подлинник (11430).</w:t>
      </w:r>
    </w:p>
    <w:p w14:paraId="5351DA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62C9300"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77100A83"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D7047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декабре 1931 г. интерес к танковому орудию П.Сячинтова возобновился, и теперь конструктору ставилась задача создать «76-мм полуавтоматическую танковую пушку», а не «гаубицу», как оно именовалось прежде (6208, 42).</w:t>
      </w:r>
    </w:p>
    <w:p w14:paraId="17754E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A3F34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декабря 1931 по сентябрь 1932 КБ ХПЗ под руководством А.О.Фирсова разработала модификацию БТ-2 - БТ-3 с введением метрической резьбы. В войсках осталось прежнее название (3879,22).</w:t>
      </w:r>
    </w:p>
    <w:p w14:paraId="35D43A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9D8B5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декабря 1931 началось серийное производство БТ-2 (3881,3).</w:t>
      </w:r>
    </w:p>
    <w:p w14:paraId="79A7B4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1C961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четвертом квартале 1931 года начался выпуск БТ-2 (3861). В то время наша промышленность не выпускала мощных двигателей, которые могли быть установлены на танки. Один из сотрудников "Амторга" узнал, что военное ведомство США готово продать около 2000 двигателей "Либерти" по цене 60-65 долларов за штуку из своих излишков. Сделка была заключена и двигатели поступили на ХПЗ.</w:t>
      </w:r>
    </w:p>
    <w:p w14:paraId="15B5E8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Вследствие недостаточного опыта у рабочих сборочного цеха на танках часто обнаруживались течи смазок механизмов, перегрев их из-за неверной регулировки, неправильная центровка и пр. В процессе эксплуатации обнаружилось, что передняя балка, несущая ленивцы, имела недостаточную жесткость и часто гнулась. Корпус танка также не имел нужной жесткости, что при установке двигателя вело к поломке вала. Часто ломались кронштейны ленивцев, плохо работали воздухоочистители.</w:t>
      </w:r>
    </w:p>
    <w:p w14:paraId="7EA03D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Корпус танка БТ-2 был собран на заклепках из броневых листов толщиной 13 мм (кормовые листы - 10 мм). Носовая часть сужена, но несколько притуплена по сравнению с танком Кристи. К носовой части приварена стальная труба, которая служила для крепления кривошипов ленивцев (направляющих колес). Вертикальные боковые стенки корпуса имели по три отверстия на борт для прохода полуосей катков. В верхнем лобовом листе корпуса расположен двухстворчатый входной люк механика-водителя. Цилиндрическая башня собрана из клепаных броневых листов и имела несколько скошенную вперед крышу. В башне установлены 37-мм пушка системы "Гочкис", с длиной ствола 20 калибров и 7,62-мм пулемет ДТ, смонтированный раздельно от пушки в шаровой установке. Наведение пушки и пулемета в вертикальной плоскости производилось с помощью плечевого упора, поворот башни осуществлялся планетарным механизмом с ручным приводом. Имелся и телескопический прицел. Двигатель "Либерти", получивший у нас марку М5 - двенадцатицилиндровый, четырехтактный.</w:t>
      </w:r>
    </w:p>
    <w:p w14:paraId="6473CC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Подвеска опорных катков индивидуальная с вертикальными спиральными пружинами. Поворот на гусеницах осуществлялся двумя рычагами, соединенными с ленточными тормозами на ведомых барабанах бортовых фрикционов. Для поворота на колесном ходу служил штурвал, с помощью которого поворачивались передние катки (как колеса автомобиля). При переходе с гусеничного хода на колесный (после снятия и укладки гусениц) на ступицы задних опорных катков надевались блокировочные кольца, тем самым катки соединялись с ведомой осью гитары. Радиостанции танки БТ не имели.</w:t>
      </w:r>
    </w:p>
    <w:p w14:paraId="4973F8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Выпуск БТ-2 продолжался чуть более полутора лет (изготовлено более 600 машин).</w:t>
      </w:r>
    </w:p>
    <w:p w14:paraId="01229B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147B5EA" w14:textId="77777777" w:rsidR="00076139" w:rsidRPr="00142305" w:rsidRDefault="00076139" w:rsidP="0007613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де</w:t>
      </w:r>
      <w:r w:rsidRPr="00142305">
        <w:rPr>
          <w:rFonts w:ascii="Times New Roman" w:hAnsi="Times New Roman"/>
          <w:color w:val="0070C0"/>
          <w:sz w:val="16"/>
          <w:szCs w:val="16"/>
        </w:rPr>
        <w:softHyphen/>
        <w:t>кабря 1931 по сентябрь 1932 года на ХПЗ под руководством но</w:t>
      </w:r>
      <w:r w:rsidRPr="00142305">
        <w:rPr>
          <w:rFonts w:ascii="Times New Roman" w:hAnsi="Times New Roman"/>
          <w:color w:val="0070C0"/>
          <w:sz w:val="16"/>
          <w:szCs w:val="16"/>
        </w:rPr>
        <w:softHyphen/>
        <w:t>вого начальника КБ А.О.Фирсова разраба</w:t>
      </w:r>
      <w:r w:rsidRPr="00142305">
        <w:rPr>
          <w:rFonts w:ascii="Times New Roman" w:hAnsi="Times New Roman"/>
          <w:color w:val="0070C0"/>
          <w:sz w:val="16"/>
          <w:szCs w:val="16"/>
        </w:rPr>
        <w:softHyphen/>
        <w:t>тывались чертежи БТ-3. Ос</w:t>
      </w:r>
      <w:r w:rsidRPr="00142305">
        <w:rPr>
          <w:rFonts w:ascii="Times New Roman" w:hAnsi="Times New Roman"/>
          <w:color w:val="0070C0"/>
          <w:sz w:val="16"/>
          <w:szCs w:val="16"/>
        </w:rPr>
        <w:softHyphen/>
        <w:t>новное их отличие от БТ-2 заключалось в использовании метрической резьбы вместо дюймовой и небольших измене</w:t>
      </w:r>
      <w:r w:rsidRPr="00142305">
        <w:rPr>
          <w:rFonts w:ascii="Times New Roman" w:hAnsi="Times New Roman"/>
          <w:color w:val="0070C0"/>
          <w:sz w:val="16"/>
          <w:szCs w:val="16"/>
        </w:rPr>
        <w:softHyphen/>
        <w:t>ниях, упрощающих техпроцесс изго</w:t>
      </w:r>
      <w:r w:rsidRPr="00142305">
        <w:rPr>
          <w:rFonts w:ascii="Times New Roman" w:hAnsi="Times New Roman"/>
          <w:color w:val="0070C0"/>
          <w:sz w:val="16"/>
          <w:szCs w:val="16"/>
        </w:rPr>
        <w:softHyphen/>
        <w:t>товления машины. Дело в том, что чер</w:t>
      </w:r>
      <w:r w:rsidRPr="00142305">
        <w:rPr>
          <w:rFonts w:ascii="Times New Roman" w:hAnsi="Times New Roman"/>
          <w:color w:val="0070C0"/>
          <w:sz w:val="16"/>
          <w:szCs w:val="16"/>
        </w:rPr>
        <w:softHyphen/>
        <w:t>тежи БТ-2 создавались на основе доку</w:t>
      </w:r>
      <w:r w:rsidRPr="00142305">
        <w:rPr>
          <w:rFonts w:ascii="Times New Roman" w:hAnsi="Times New Roman"/>
          <w:color w:val="0070C0"/>
          <w:sz w:val="16"/>
          <w:szCs w:val="16"/>
        </w:rPr>
        <w:softHyphen/>
        <w:t>ментации, полученной от Кристи, а как известно, в Америке система измере</w:t>
      </w:r>
      <w:r w:rsidRPr="00142305">
        <w:rPr>
          <w:rFonts w:ascii="Times New Roman" w:hAnsi="Times New Roman"/>
          <w:color w:val="0070C0"/>
          <w:sz w:val="16"/>
          <w:szCs w:val="16"/>
        </w:rPr>
        <w:softHyphen/>
        <w:t>ния дюймовая, а не метрическая, как в СССР (25009).</w:t>
      </w:r>
    </w:p>
    <w:p w14:paraId="371A9106" w14:textId="77777777" w:rsidR="00076139" w:rsidRPr="00142305" w:rsidRDefault="00076139" w:rsidP="00076139">
      <w:pPr>
        <w:spacing w:after="0" w:line="240" w:lineRule="auto"/>
        <w:jc w:val="both"/>
        <w:rPr>
          <w:rFonts w:ascii="Times New Roman" w:hAnsi="Times New Roman"/>
          <w:color w:val="0070C0"/>
          <w:sz w:val="16"/>
          <w:szCs w:val="16"/>
        </w:rPr>
      </w:pPr>
    </w:p>
    <w:p w14:paraId="27B1AF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декабре 1931 был построен опытный образец Т-19, предназначенного для замены МС-1 (9527,86).</w:t>
      </w:r>
    </w:p>
    <w:p w14:paraId="669E8C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B6F3F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декабре 1931 был построен опытный образец огнеметной танкетки ОТ-27/ХТ-27 (БХМ-4), разработанной КБ склада № 136 под руководством К.И.Лебедева. Летом прошла полигонные испытания на НИХП ХКУКС РККА и была принята на вооружения. Делали на заводе № 2 ВАТО, будущем заводе № 37 и выпустили 187 (9527,182).</w:t>
      </w:r>
    </w:p>
    <w:p w14:paraId="25D1B4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8FA0AD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декабре 1931 г. по окончании исследований и испытаний СУ-1, вышло постановление следующего содержания:</w:t>
      </w:r>
    </w:p>
    <w:p w14:paraId="2B7FF5C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«СУ-1 испытания выдержала и может быть допущена для проведения дальнейших работ по след, направлениям:</w:t>
      </w:r>
    </w:p>
    <w:p w14:paraId="6704114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1. Угол вертикального обстрела увеличить до 20 гр, для чего повысить высоту цапф на 40мм.</w:t>
      </w:r>
    </w:p>
    <w:p w14:paraId="2217D0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2. Горизонтальный обстрел довести до +/- 20. В рубке иметь два открывающихся окна для наблюдения цели. Высоту рубки — увеличить, чтобы не мешалась наводчику.</w:t>
      </w:r>
    </w:p>
    <w:p w14:paraId="069439F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3. Расположение маховиков должно быть удобно для на</w:t>
      </w:r>
      <w:r w:rsidRPr="005E779E">
        <w:rPr>
          <w:rFonts w:ascii="Times New Roman" w:hAnsi="Times New Roman"/>
          <w:iCs/>
          <w:color w:val="000000" w:themeColor="text1"/>
          <w:sz w:val="16"/>
          <w:szCs w:val="16"/>
        </w:rPr>
        <w:softHyphen/>
        <w:t>водчика и не отрывать его от прицела.</w:t>
      </w:r>
    </w:p>
    <w:p w14:paraId="7F81878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 xml:space="preserve">4. Предусмотреть возможность проведения спуска как рукой со шнура, так и ногой </w:t>
      </w:r>
      <w:r w:rsidRPr="005E779E">
        <w:rPr>
          <w:rFonts w:ascii="Times New Roman" w:hAnsi="Times New Roman"/>
          <w:color w:val="000000" w:themeColor="text1"/>
          <w:sz w:val="16"/>
          <w:szCs w:val="16"/>
        </w:rPr>
        <w:t xml:space="preserve">— </w:t>
      </w:r>
      <w:r w:rsidRPr="005E779E">
        <w:rPr>
          <w:rFonts w:ascii="Times New Roman" w:hAnsi="Times New Roman"/>
          <w:iCs/>
          <w:color w:val="000000" w:themeColor="text1"/>
          <w:sz w:val="16"/>
          <w:szCs w:val="16"/>
        </w:rPr>
        <w:t>педалью.</w:t>
      </w:r>
    </w:p>
    <w:p w14:paraId="273875F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5. В бортах рубки предусмотреть шаровые яблоки для пу</w:t>
      </w:r>
      <w:r w:rsidRPr="005E779E">
        <w:rPr>
          <w:rFonts w:ascii="Times New Roman" w:hAnsi="Times New Roman"/>
          <w:iCs/>
          <w:color w:val="000000" w:themeColor="text1"/>
          <w:sz w:val="16"/>
          <w:szCs w:val="16"/>
        </w:rPr>
        <w:softHyphen/>
        <w:t>леметов Дегтярева. Заднее яблоко установить с расчетом пропуска через него троса для отката орудия.</w:t>
      </w:r>
    </w:p>
    <w:p w14:paraId="3C11982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6. Амбразура орудия должна прикрываться дополнитель</w:t>
      </w:r>
      <w:r w:rsidRPr="005E779E">
        <w:rPr>
          <w:rFonts w:ascii="Times New Roman" w:hAnsi="Times New Roman"/>
          <w:iCs/>
          <w:color w:val="000000" w:themeColor="text1"/>
          <w:sz w:val="16"/>
          <w:szCs w:val="16"/>
        </w:rPr>
        <w:softHyphen/>
        <w:t>ным щитком для защиты от пуль и осколков</w:t>
      </w:r>
    </w:p>
    <w:p w14:paraId="0A072F2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7. Трубку-визир прямой наводки заменить прицелом-те</w:t>
      </w:r>
      <w:r w:rsidRPr="005E779E">
        <w:rPr>
          <w:rFonts w:ascii="Times New Roman" w:hAnsi="Times New Roman"/>
          <w:iCs/>
          <w:color w:val="000000" w:themeColor="text1"/>
          <w:sz w:val="16"/>
          <w:szCs w:val="16"/>
        </w:rPr>
        <w:softHyphen/>
        <w:t>лескопом с полем зрения 10 гр. и с резиновым наглазником... Наводчик также должен иметь собственное окно или люк для обзора поля боя...</w:t>
      </w:r>
    </w:p>
    <w:p w14:paraId="50A9490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8. Для предохранения номеров орудия от отката предус</w:t>
      </w:r>
      <w:r w:rsidRPr="005E779E">
        <w:rPr>
          <w:rFonts w:ascii="Times New Roman" w:hAnsi="Times New Roman"/>
          <w:iCs/>
          <w:color w:val="000000" w:themeColor="text1"/>
          <w:sz w:val="16"/>
          <w:szCs w:val="16"/>
        </w:rPr>
        <w:softHyphen/>
        <w:t>мотреть откидные щитки или иное ограждение.</w:t>
      </w:r>
    </w:p>
    <w:p w14:paraId="09638B8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9. Должны быть предусмотрены специальные места для заряжающего и рации.</w:t>
      </w:r>
    </w:p>
    <w:p w14:paraId="4AEC88C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10. Боекомплект разместить в гнездах.</w:t>
      </w:r>
    </w:p>
    <w:p w14:paraId="6F48A9E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11. Предусмотреть перевозимый пулемет Дегтярева и 10 магазинов к нему для обороны машины от пехоты.</w:t>
      </w:r>
    </w:p>
    <w:p w14:paraId="51AB4B8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12. Необходимо наличие переговорного устройства само</w:t>
      </w:r>
      <w:r w:rsidRPr="005E779E">
        <w:rPr>
          <w:rFonts w:ascii="Times New Roman" w:hAnsi="Times New Roman"/>
          <w:iCs/>
          <w:color w:val="000000" w:themeColor="text1"/>
          <w:sz w:val="16"/>
          <w:szCs w:val="16"/>
        </w:rPr>
        <w:softHyphen/>
        <w:t>летного типа.</w:t>
      </w:r>
    </w:p>
    <w:p w14:paraId="337C511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13. Противооткатное приспособление прикрыть броне-кожухом.</w:t>
      </w:r>
    </w:p>
    <w:p w14:paraId="433F557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Переделанных таким образом самоходов необходима пар</w:t>
      </w:r>
      <w:r w:rsidRPr="005E779E">
        <w:rPr>
          <w:rFonts w:ascii="Times New Roman" w:hAnsi="Times New Roman"/>
          <w:iCs/>
          <w:color w:val="000000" w:themeColor="text1"/>
          <w:sz w:val="16"/>
          <w:szCs w:val="16"/>
        </w:rPr>
        <w:softHyphen/>
        <w:t>тия в количестве 100 шт. Подписи: председатель 4 секции УММ Павлов</w:t>
      </w:r>
    </w:p>
    <w:p w14:paraId="6FBE90F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Зам. Нач. 5 секции УММ Сакс</w:t>
      </w:r>
    </w:p>
    <w:p w14:paraId="7CCC52A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Cs/>
          <w:color w:val="000000" w:themeColor="text1"/>
          <w:sz w:val="16"/>
          <w:szCs w:val="16"/>
        </w:rPr>
        <w:t>Член НТК ГАУ Анисимов» (11417).</w:t>
      </w:r>
    </w:p>
    <w:p w14:paraId="458BEBD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E39E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декабре 1931 года УММ КА утвердило техэадание на малый артсамоход СУ-3 - установку 76-мм ДРП на Т-27 (9641).</w:t>
      </w:r>
    </w:p>
    <w:p w14:paraId="6E38F7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A7ABAD8" w14:textId="77777777" w:rsidR="00903F28" w:rsidRPr="005E779E" w:rsidRDefault="00903F2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декабре 1931 года УММ КА утвердило техзадание на малый артсамоход СУ-3 - установку 76-мм ДРП на Т-27. В 1933 году машина прошла войсковые испытания, но ее серийный выпуск исключался: имелись изъяны в конструкции орудия. Тогда же завод "Большевик" изготовил на доработанном шасси Т-27 два варианта противо</w:t>
      </w:r>
      <w:hyperlink r:id="rId227"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овой установки 37-мм пушки Гочкиса с транспортировкой боекомплекта на специальной прицепке ("М-К" № 9'91) (15647).</w:t>
      </w:r>
    </w:p>
    <w:p w14:paraId="715EBADF" w14:textId="77777777" w:rsidR="00903F28" w:rsidRPr="005E779E" w:rsidRDefault="00903F28" w:rsidP="000B7A6C">
      <w:pPr>
        <w:spacing w:after="0" w:line="240" w:lineRule="auto"/>
        <w:jc w:val="both"/>
        <w:rPr>
          <w:rFonts w:ascii="Times New Roman" w:hAnsi="Times New Roman"/>
          <w:color w:val="000000" w:themeColor="text1"/>
          <w:sz w:val="16"/>
          <w:szCs w:val="16"/>
        </w:rPr>
      </w:pPr>
    </w:p>
    <w:p w14:paraId="714E3571" w14:textId="77777777" w:rsidR="00076139" w:rsidRPr="00142305" w:rsidRDefault="00076139" w:rsidP="0007613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декабре 1931 года УММ КА утвердило техзадание на малый артсамоход СУ-3 — установку 76-мм ДРП на Т-27. В 1933 году машина прошла войсковые испытания, но ее серийный выпуск исключался: имелись изъяны в конструкции орудия. Тогда же завод «Большевик» изготовил на доработанном шасси Т-27 два варианта противотанковой установки 37-мм пушки Гочкиса с транспортировкой боекомплекта на специальной прицепке (см. «М-К» № 9’91) (25481).</w:t>
      </w:r>
    </w:p>
    <w:p w14:paraId="6065295C" w14:textId="77777777" w:rsidR="00076139" w:rsidRPr="00142305" w:rsidRDefault="00076139" w:rsidP="00076139">
      <w:pPr>
        <w:spacing w:after="0" w:line="240" w:lineRule="auto"/>
        <w:jc w:val="both"/>
        <w:rPr>
          <w:rFonts w:ascii="Times New Roman" w:hAnsi="Times New Roman"/>
          <w:color w:val="0070C0"/>
          <w:sz w:val="16"/>
          <w:szCs w:val="16"/>
        </w:rPr>
      </w:pPr>
    </w:p>
    <w:p w14:paraId="5A33E50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декабре 1931 г. начальник НКТ УММ Лебедев послал Н. Дыренкову пись</w:t>
      </w:r>
      <w:r w:rsidRPr="005E779E">
        <w:rPr>
          <w:rFonts w:ascii="Times New Roman" w:hAnsi="Times New Roman"/>
          <w:color w:val="000000" w:themeColor="text1"/>
          <w:sz w:val="16"/>
          <w:szCs w:val="16"/>
        </w:rPr>
        <w:softHyphen/>
        <w:t>мо следующего содержания:</w:t>
      </w:r>
    </w:p>
    <w:p w14:paraId="13E5826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«Тов ДЫРЕНКОВУ</w:t>
      </w:r>
    </w:p>
    <w:p w14:paraId="66C95D5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Н.Т.К.</w:t>
      </w:r>
    </w:p>
    <w:p w14:paraId="560FF42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декабря 1931 г.</w:t>
      </w:r>
    </w:p>
    <w:p w14:paraId="3D176D6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Согласно решения НТК от 21/10с.г. и Вашему пожеланию продолжить работы над усилением вооружения гусенично-ко-лесных танков типа КРИСТИ путем установки в них 76-мм пушки. НТК поручает Вам завершить проэкт большой башни танка Д-38 второго варианта/с пушкой 76мм/, при условии ее установки на корпусе танка «БТ-КРИСТИ» без переделок последнего с исключением второй огневой точки в корпусе.</w:t>
      </w:r>
    </w:p>
    <w:p w14:paraId="46CD5A2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Эскизный проэкт большой башенной установки Д38 со</w:t>
      </w:r>
      <w:r w:rsidRPr="005E779E">
        <w:rPr>
          <w:rFonts w:ascii="Times New Roman" w:hAnsi="Times New Roman"/>
          <w:color w:val="000000" w:themeColor="text1"/>
          <w:sz w:val="16"/>
          <w:szCs w:val="16"/>
        </w:rPr>
        <w:softHyphen/>
        <w:t>гласовать с КБ-3 ОРПО не позднее 10/2 с.г.</w:t>
      </w:r>
    </w:p>
    <w:p w14:paraId="4F0800B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ПРЕДСЕДАТЕЛЬ НТК УММ РККА</w:t>
      </w:r>
    </w:p>
    <w:p w14:paraId="0110BDC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/Лебедев/» (10733,334).</w:t>
      </w:r>
    </w:p>
    <w:p w14:paraId="7A4C7B5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23A2F9" w14:textId="77777777" w:rsidR="00903F28" w:rsidRPr="005E779E" w:rsidRDefault="00903F2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декабре 1931 г. начальник НКТ УММ Лебедев послал Н. Дыренкову письмо следующего содержания:</w:t>
      </w:r>
    </w:p>
    <w:p w14:paraId="69301A06" w14:textId="77777777" w:rsidR="00903F28" w:rsidRPr="005E779E" w:rsidRDefault="00903F2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«Тов. ДЫРЕНКОВУ</w:t>
      </w:r>
    </w:p>
    <w:p w14:paraId="756343C6" w14:textId="77777777" w:rsidR="00903F28" w:rsidRPr="005E779E" w:rsidRDefault="00903F2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Н.Т.К.</w:t>
      </w:r>
    </w:p>
    <w:p w14:paraId="7C2BFCD6" w14:textId="77777777" w:rsidR="00903F28" w:rsidRPr="005E779E" w:rsidRDefault="00903F2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декабря 1931 г.</w:t>
      </w:r>
    </w:p>
    <w:p w14:paraId="3E8F8BF6" w14:textId="77777777" w:rsidR="00903F28" w:rsidRPr="005E779E" w:rsidRDefault="00903F2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Согласно решения НТКопг 21/10с.г. и Вашему пожеланию продолжить работы над усилением вооружения гусенично-колесных </w:t>
      </w:r>
      <w:hyperlink r:id="rId228"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ов типа КРИСТИ путем установки в них 76-мм пушки. НТК поручает Вам завершить проэкт большой башни </w:t>
      </w:r>
      <w:hyperlink r:id="rId229"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а Д-38 второго варианта /с пушкой 76мм/, при условии ее установки на корпусе </w:t>
      </w:r>
      <w:hyperlink r:id="rId230"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а «БТ-КРИСТИ» без переделок последнего с исключением второй огневой точки в корпусе.</w:t>
      </w:r>
    </w:p>
    <w:p w14:paraId="23F93DB3" w14:textId="77777777" w:rsidR="00903F28" w:rsidRPr="005E779E" w:rsidRDefault="00903F2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Эскизный проэкт большой башенной установки Д38 согласовать с КБ-3 ОРПО не позднее 10/2 с.г.</w:t>
      </w:r>
    </w:p>
    <w:p w14:paraId="2BC0D3FF" w14:textId="77777777" w:rsidR="00903F28" w:rsidRPr="005E779E" w:rsidRDefault="00903F2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ПРЕДСЕДАТЕЛЬ НТК УММ РККА</w:t>
      </w:r>
    </w:p>
    <w:p w14:paraId="1F919A8E" w14:textId="77777777" w:rsidR="00903F28" w:rsidRPr="005E779E" w:rsidRDefault="00903F2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/Лебедев/»</w:t>
      </w:r>
    </w:p>
    <w:p w14:paraId="2FE306EA" w14:textId="77777777" w:rsidR="00903F28" w:rsidRPr="005E779E" w:rsidRDefault="00903F2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Таким образом, Н. Дыренкову давалась «зеленая улица» в создании </w:t>
      </w:r>
      <w:hyperlink r:id="rId231"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а, с корпусом БТ и большой башней, вооруженной 76-мм пушкой. Второй вариант модернизации колесно-гусеничного </w:t>
      </w:r>
      <w:hyperlink r:id="rId232"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а БТ конструкции Н. И. Дыренкова оказался более удачным. Танк, получивший название Д-38, был разработан в конце 1931 — начале 1932 гг. Ведущим инженером машины был Н. Гуленко. В январе 1932 г. был изготовлен опытный образец, причем гусеницы на нем были заимствованы от второго закупленного </w:t>
      </w:r>
      <w:hyperlink r:id="rId233"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а «Кристи» М. 1940, который находился в бюро на исследовании.</w:t>
      </w:r>
    </w:p>
    <w:p w14:paraId="338D03DE" w14:textId="77777777" w:rsidR="00903F28" w:rsidRPr="005E779E" w:rsidRDefault="00903F2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Машина отличалась от серийного </w:t>
      </w:r>
      <w:hyperlink r:id="rId234"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а БТ-2 установкой вооружения и конструктивными изменениями корпуса, связанными с установкой новой башни. Были разработаны два варианта башни: сварная из плоских броневых листов и куполообразная, штампованная.</w:t>
      </w:r>
    </w:p>
    <w:p w14:paraId="43DA32B7" w14:textId="77777777" w:rsidR="00903F28" w:rsidRPr="005E779E" w:rsidRDefault="00903F2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качестве основного оружия на машине, согласно техническому проекту, предполагалось установить две пушки: 37-мм </w:t>
      </w:r>
      <w:hyperlink r:id="rId235"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овую и 76,2-мм противоштурмовую пушку «Гарфорда». Однако, в ходе опытно-конструкторских работ был изготовлен деревянный макет башни с установкой одной 76,2-мм противоштурмовой пушки. В отличие от макета, на опытном образце </w:t>
      </w:r>
      <w:hyperlink r:id="rId236"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а была использована 76,2-мм пушка ПС-3 (полковая пушка обр. 1927 г. с укороченным откатом), которая устанавливалась в цапфах на станине, приваренной к башне и имела максимальный угол возвышения 25град. Для ведения прицельной стрельбы использовался удлиненный телескопический </w:t>
      </w:r>
      <w:hyperlink r:id="rId237"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овый прицел обр. 1930 г., для которого в броне башни было сделано специальное окно. Подъемный механизм был сохранен от полковой пушки.</w:t>
      </w:r>
    </w:p>
    <w:p w14:paraId="24D872DE" w14:textId="77777777" w:rsidR="00903F28" w:rsidRPr="005E779E" w:rsidRDefault="00903F2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Бронировка орудия на машине не устанавливалась. Справа от пушки автономно размещался 7,62-мм пулемет ДТ. Боекомплект машины состоял из 50 выстрелов к пушке и 2700 патронов к пулемету (15619).</w:t>
      </w:r>
    </w:p>
    <w:p w14:paraId="1EBB8711" w14:textId="77777777" w:rsidR="00903F28" w:rsidRPr="005E779E" w:rsidRDefault="00903F28" w:rsidP="000B7A6C">
      <w:pPr>
        <w:spacing w:after="0" w:line="240" w:lineRule="auto"/>
        <w:jc w:val="both"/>
        <w:rPr>
          <w:rFonts w:ascii="Times New Roman" w:hAnsi="Times New Roman"/>
          <w:color w:val="000000" w:themeColor="text1"/>
          <w:sz w:val="16"/>
          <w:szCs w:val="16"/>
        </w:rPr>
      </w:pPr>
    </w:p>
    <w:p w14:paraId="537D3B04" w14:textId="77777777" w:rsidR="00076139" w:rsidRPr="00142305" w:rsidRDefault="00076139" w:rsidP="0007613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декабре 1931 года конструкторское бюро завода МОЖЕРЕЗ разработало для БА-27 железнодорожный ход, перевод машины на который производился с помощью специального переносного приспособления-домкрата с поворотным устройством. Дополнительно на машине монтировалось буферно-сцепное устройство, позволявшее цеплять броневик к хвосту железнодорожного состава или бронепоезда или соединять две машины друг с другом (25119).</w:t>
      </w:r>
    </w:p>
    <w:p w14:paraId="064DF627" w14:textId="77777777" w:rsidR="00076139" w:rsidRPr="00142305" w:rsidRDefault="00076139" w:rsidP="00076139">
      <w:pPr>
        <w:spacing w:after="0" w:line="240" w:lineRule="auto"/>
        <w:jc w:val="both"/>
        <w:rPr>
          <w:rFonts w:ascii="Times New Roman" w:hAnsi="Times New Roman"/>
          <w:color w:val="0070C0"/>
          <w:sz w:val="16"/>
          <w:szCs w:val="16"/>
        </w:rPr>
      </w:pPr>
    </w:p>
    <w:p w14:paraId="58B06E1C" w14:textId="77777777" w:rsidR="00076139" w:rsidRPr="00142305" w:rsidRDefault="00076139" w:rsidP="0007613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декабре 1931г. Н.А.Астров был арестован и помещен в шарашку № 39 при Бутырской тюрьме, где с 1931 по май 1934 гг. работал инженером-конструктором, затем начальником конструкторского бюро в Автотракторном КБ технического отдела ЭКУ ОГПУ. Занимался разработкой конструкций опытных танков ПТ-1, ПТ-1А, Т-29 (Т-29-4, Т-29-5).</w:t>
      </w:r>
    </w:p>
    <w:p w14:paraId="037D18CB" w14:textId="77777777" w:rsidR="00076139" w:rsidRPr="00142305" w:rsidRDefault="00076139" w:rsidP="0007613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мае 1934 году был назначен главным конструктором завода № 37 в Москве, где под его руководством были созданы малые плавающие танки Т-38 (1935) и Т40 (1939), гусеничный полубронированный артиллерийский тягач Т-20 Комсомолец» (1936). (25617).</w:t>
      </w:r>
    </w:p>
    <w:p w14:paraId="712CD772" w14:textId="77777777" w:rsidR="00076139" w:rsidRPr="00142305" w:rsidRDefault="00076139" w:rsidP="00076139">
      <w:pPr>
        <w:spacing w:after="0" w:line="240" w:lineRule="auto"/>
        <w:jc w:val="both"/>
        <w:rPr>
          <w:rFonts w:ascii="Times New Roman" w:hAnsi="Times New Roman"/>
          <w:color w:val="0070C0"/>
          <w:sz w:val="16"/>
          <w:szCs w:val="16"/>
        </w:rPr>
      </w:pPr>
    </w:p>
    <w:p w14:paraId="1B3957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декабре 1931 года слиты три проектные организации: "Военпроект" ВСУ РККА, "Военавиапроект" ВВС и "Военсантехстрой" ВСУ РККА и создано Управление военно-проектных работ (УВПР) при Военно-строительном управлении (ВСУ) РККА с основной задачей осуществления типового и индивидуального проектирования необоронительного строительства для военного ведомства (10515).</w:t>
      </w:r>
    </w:p>
    <w:p w14:paraId="01E024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ED59A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декабре 1931 г., задолго до готовности первой лодки, проект III серии был выбран и для срочной постройки на Балтийском заво</w:t>
      </w:r>
      <w:r w:rsidRPr="005E779E">
        <w:rPr>
          <w:rFonts w:ascii="Times New Roman" w:hAnsi="Times New Roman"/>
          <w:color w:val="000000" w:themeColor="text1"/>
          <w:sz w:val="16"/>
          <w:szCs w:val="16"/>
        </w:rPr>
        <w:softHyphen/>
        <w:t>де 12 подводных лодок для Дальнего Востока. Одновременно руководство УВМС, присвоив этим лодкам обозначение "Щука-А", разрабо</w:t>
      </w:r>
      <w:r w:rsidRPr="005E779E">
        <w:rPr>
          <w:rFonts w:ascii="Times New Roman" w:hAnsi="Times New Roman"/>
          <w:color w:val="000000" w:themeColor="text1"/>
          <w:sz w:val="16"/>
          <w:szCs w:val="16"/>
        </w:rPr>
        <w:softHyphen/>
        <w:t>тало задание на улучшение проекта. Требова</w:t>
      </w:r>
      <w:r w:rsidRPr="005E779E">
        <w:rPr>
          <w:rFonts w:ascii="Times New Roman" w:hAnsi="Times New Roman"/>
          <w:color w:val="000000" w:themeColor="text1"/>
          <w:sz w:val="16"/>
          <w:szCs w:val="16"/>
        </w:rPr>
        <w:softHyphen/>
        <w:t>ния этого задания сводились к повышению прочности переборок, всемерному облегче</w:t>
      </w:r>
      <w:r w:rsidRPr="005E779E">
        <w:rPr>
          <w:rFonts w:ascii="Times New Roman" w:hAnsi="Times New Roman"/>
          <w:color w:val="000000" w:themeColor="text1"/>
          <w:sz w:val="16"/>
          <w:szCs w:val="16"/>
        </w:rPr>
        <w:softHyphen/>
        <w:t>нию конструкций, в том числе за счет при</w:t>
      </w:r>
      <w:r w:rsidRPr="005E779E">
        <w:rPr>
          <w:rFonts w:ascii="Times New Roman" w:hAnsi="Times New Roman"/>
          <w:color w:val="000000" w:themeColor="text1"/>
          <w:sz w:val="16"/>
          <w:szCs w:val="16"/>
        </w:rPr>
        <w:softHyphen/>
        <w:t>менения электросварки, сокращению време</w:t>
      </w:r>
      <w:r w:rsidRPr="005E779E">
        <w:rPr>
          <w:rFonts w:ascii="Times New Roman" w:hAnsi="Times New Roman"/>
          <w:color w:val="000000" w:themeColor="text1"/>
          <w:sz w:val="16"/>
          <w:szCs w:val="16"/>
        </w:rPr>
        <w:softHyphen/>
        <w:t>ни всплытия и увеличению скорости хода до 14,5—15,0 уз. При этом надводное водоизме</w:t>
      </w:r>
      <w:r w:rsidRPr="005E779E">
        <w:rPr>
          <w:rFonts w:ascii="Times New Roman" w:hAnsi="Times New Roman"/>
          <w:color w:val="000000" w:themeColor="text1"/>
          <w:sz w:val="16"/>
          <w:szCs w:val="16"/>
        </w:rPr>
        <w:softHyphen/>
        <w:t>щение сохранялось в пределах 570 т.</w:t>
      </w:r>
    </w:p>
    <w:p w14:paraId="33890B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Главным исполнителем этого срочного заказа стал Балтий</w:t>
      </w:r>
      <w:r w:rsidRPr="005E779E">
        <w:rPr>
          <w:rFonts w:ascii="Times New Roman" w:hAnsi="Times New Roman"/>
          <w:color w:val="000000" w:themeColor="text1"/>
          <w:sz w:val="16"/>
          <w:szCs w:val="16"/>
        </w:rPr>
        <w:softHyphen/>
        <w:t>ский завод, где в Техбюро № 4 составлялся и общий проект лодок, которые впоследствии были отнесены к V серии типа "Щука". Голо</w:t>
      </w:r>
      <w:r w:rsidRPr="005E779E">
        <w:rPr>
          <w:rFonts w:ascii="Times New Roman" w:hAnsi="Times New Roman"/>
          <w:color w:val="000000" w:themeColor="text1"/>
          <w:sz w:val="16"/>
          <w:szCs w:val="16"/>
        </w:rPr>
        <w:softHyphen/>
        <w:t>вная лодка "Карась" (позднее "Лосось", с 1934 г. Щ-101) была за</w:t>
      </w:r>
      <w:r w:rsidRPr="005E779E">
        <w:rPr>
          <w:rFonts w:ascii="Times New Roman" w:hAnsi="Times New Roman"/>
          <w:color w:val="000000" w:themeColor="text1"/>
          <w:sz w:val="16"/>
          <w:szCs w:val="16"/>
        </w:rPr>
        <w:softHyphen/>
        <w:t>ложена 20 марта 1932 г. Почти одновременно заложили и осталь</w:t>
      </w:r>
      <w:r w:rsidRPr="005E779E">
        <w:rPr>
          <w:rFonts w:ascii="Times New Roman" w:hAnsi="Times New Roman"/>
          <w:color w:val="000000" w:themeColor="text1"/>
          <w:sz w:val="16"/>
          <w:szCs w:val="16"/>
        </w:rPr>
        <w:softHyphen/>
        <w:t>ные одиннадцать — "Лещ" (Щ-102), "Карп" (Щ-103), "Налим" (Щ-104), "Кета" (Щ-105), "Судак" (Щ-106), "Сиг" (Щ-107), "Фо</w:t>
      </w:r>
      <w:r w:rsidRPr="005E779E">
        <w:rPr>
          <w:rFonts w:ascii="Times New Roman" w:hAnsi="Times New Roman"/>
          <w:color w:val="000000" w:themeColor="text1"/>
          <w:sz w:val="16"/>
          <w:szCs w:val="16"/>
        </w:rPr>
        <w:softHyphen/>
        <w:t>рель" (Щ-108), "Сом" (Щ-109), "Язь" (Щ-110), "Карась" (Щ-111) и "Пескарь" (Щ-112). Корпуса лодок "Лещ" и "Карп" собирались на стапелях ленинградского завода им. А. Марти, "Судак", Сиг", "Сом" и "Язь" — на стапелях Северной верфи, остальных — на Балтий</w:t>
      </w:r>
      <w:r w:rsidRPr="005E779E">
        <w:rPr>
          <w:rFonts w:ascii="Times New Roman" w:hAnsi="Times New Roman"/>
          <w:color w:val="000000" w:themeColor="text1"/>
          <w:sz w:val="16"/>
          <w:szCs w:val="16"/>
        </w:rPr>
        <w:softHyphen/>
        <w:t>ском заводе. Последний поставлял другим заводам и все корпус</w:t>
      </w:r>
      <w:r w:rsidRPr="005E779E">
        <w:rPr>
          <w:rFonts w:ascii="Times New Roman" w:hAnsi="Times New Roman"/>
          <w:color w:val="000000" w:themeColor="text1"/>
          <w:sz w:val="16"/>
          <w:szCs w:val="16"/>
        </w:rPr>
        <w:softHyphen/>
        <w:t>ные конструкции.</w:t>
      </w:r>
    </w:p>
    <w:p w14:paraId="2B943C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Секции корпусов, построенные в Ленинграде, грузились на же</w:t>
      </w:r>
      <w:r w:rsidRPr="005E779E">
        <w:rPr>
          <w:rFonts w:ascii="Times New Roman" w:hAnsi="Times New Roman"/>
          <w:color w:val="000000" w:themeColor="text1"/>
          <w:sz w:val="16"/>
          <w:szCs w:val="16"/>
        </w:rPr>
        <w:softHyphen/>
        <w:t>лезнодорожные транспортеры и доставлялись на Дальний Восток. Сборка лодок осуществлялась на Дальзаводе во Владивостоке и в Осиповском затоне (Хабаровск). При формировании переборок и цистерн лодок V серии применялась электросварка.</w:t>
      </w:r>
    </w:p>
    <w:p w14:paraId="70E221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Техническим руководителем всей операции был П. Г. Гойнкис, который разработал и сам способ секционной перевозки лодок. Главным строителем серии на Балтийском заводе стал К. Ф. Тер-лецкий, который вскоре после начала отправки транспортеров (лето 1932 г.) выехал на Дальний Восток для руководства сборкой. В Ле</w:t>
      </w:r>
      <w:r w:rsidRPr="005E779E">
        <w:rPr>
          <w:rFonts w:ascii="Times New Roman" w:hAnsi="Times New Roman"/>
          <w:color w:val="000000" w:themeColor="text1"/>
          <w:sz w:val="16"/>
          <w:szCs w:val="16"/>
        </w:rPr>
        <w:softHyphen/>
        <w:t>нинграде Терлецкого заменил инженер-механик Г. М. Трусов. Строителем лодок V серии на Дальзаводе бьш также инженер-ко</w:t>
      </w:r>
      <w:r w:rsidRPr="005E779E">
        <w:rPr>
          <w:rFonts w:ascii="Times New Roman" w:hAnsi="Times New Roman"/>
          <w:color w:val="000000" w:themeColor="text1"/>
          <w:sz w:val="16"/>
          <w:szCs w:val="16"/>
        </w:rPr>
        <w:softHyphen/>
        <w:t>раблестроитель С. В. Волынский. Энергия и способности этих лю</w:t>
      </w:r>
      <w:r w:rsidRPr="005E779E">
        <w:rPr>
          <w:rFonts w:ascii="Times New Roman" w:hAnsi="Times New Roman"/>
          <w:color w:val="000000" w:themeColor="text1"/>
          <w:sz w:val="16"/>
          <w:szCs w:val="16"/>
        </w:rPr>
        <w:softHyphen/>
        <w:t>дей сделали возможным выполнение сложной программы (3898).</w:t>
      </w:r>
    </w:p>
    <w:p w14:paraId="2E3819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93933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декабре 1931 г. на заводе им. А. А. Жданова (Северная верфь) были заложены сторожевые корабли "Метель" и "Вьюга" (3898).</w:t>
      </w:r>
    </w:p>
    <w:p w14:paraId="626B4A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9278E44" w14:textId="77777777" w:rsidR="00903F28" w:rsidRPr="005E779E" w:rsidRDefault="00903F28" w:rsidP="000B7A6C">
      <w:pPr>
        <w:pStyle w:val="rtejustify"/>
        <w:spacing w:before="0" w:after="0"/>
        <w:rPr>
          <w:color w:val="000000" w:themeColor="text1"/>
          <w:sz w:val="16"/>
          <w:szCs w:val="16"/>
        </w:rPr>
      </w:pPr>
      <w:r w:rsidRPr="005E779E">
        <w:rPr>
          <w:color w:val="000000" w:themeColor="text1"/>
          <w:sz w:val="16"/>
          <w:szCs w:val="16"/>
        </w:rPr>
        <w:t>В декабре 1931 г. УВМС РККА планировало для срочной постройки 12 лодок для Дальнего Востока. Главным исполнителем этого срочного заказа стал Балтийский завод, где техническое бюро № 4 (позднее ЦКБС</w:t>
      </w:r>
      <w:r w:rsidRPr="005E779E">
        <w:rPr>
          <w:color w:val="000000" w:themeColor="text1"/>
          <w:sz w:val="16"/>
          <w:szCs w:val="16"/>
        </w:rPr>
        <w:noBreakHyphen/>
        <w:t>2) составило общий проект лодок. Головная лодка «Карась» (позднее «Лосось», с 1934 г. — ГЦ</w:t>
      </w:r>
      <w:r w:rsidRPr="005E779E">
        <w:rPr>
          <w:color w:val="000000" w:themeColor="text1"/>
          <w:sz w:val="16"/>
          <w:szCs w:val="16"/>
        </w:rPr>
        <w:noBreakHyphen/>
        <w:t>101) была заложена 20 марта 1932 г. Почти одновременно заложили и остальные одиннадцать. Корпуса лодок по железной дороге доставлялись из Ленинграда на Дальний Восток. Сборка осуществлялась на Дальзаводе во Владивостоке и в «Осиповском затоне» (Хабаровск). Спущенный на воду 25 декабря 1932 г., «Лосось» («Карась») вступил в строй Морских сил Дальнего Востока в сентябре 1933 г. Через год — в сентябре 1934 г. — флотом была принята последняя лодка V серии.</w:t>
      </w:r>
    </w:p>
    <w:p w14:paraId="0D89AAD0" w14:textId="77777777" w:rsidR="00903F28" w:rsidRPr="005E779E" w:rsidRDefault="00903F28" w:rsidP="000B7A6C">
      <w:pPr>
        <w:pStyle w:val="rtejustify"/>
        <w:spacing w:before="0" w:after="0"/>
        <w:rPr>
          <w:color w:val="000000" w:themeColor="text1"/>
          <w:sz w:val="16"/>
          <w:szCs w:val="16"/>
        </w:rPr>
      </w:pPr>
      <w:r w:rsidRPr="005E779E">
        <w:rPr>
          <w:color w:val="000000" w:themeColor="text1"/>
          <w:sz w:val="16"/>
          <w:szCs w:val="16"/>
        </w:rPr>
        <w:t xml:space="preserve">²* Работа по созданию </w:t>
      </w:r>
      <w:r w:rsidRPr="005E779E">
        <w:rPr>
          <w:rStyle w:val="af0"/>
          <w:bCs/>
          <w:i w:val="0"/>
          <w:color w:val="000000" w:themeColor="text1"/>
          <w:sz w:val="16"/>
          <w:szCs w:val="16"/>
        </w:rPr>
        <w:t>малых подводных лодок («М»)</w:t>
      </w:r>
      <w:r w:rsidRPr="005E779E">
        <w:rPr>
          <w:color w:val="000000" w:themeColor="text1"/>
          <w:sz w:val="16"/>
          <w:szCs w:val="16"/>
        </w:rPr>
        <w:t xml:space="preserve"> для условий Балтийского моря была начата по инициативе Морского управления Штаба РККА в мае 1930 г. Эскизный проект разработало Техбюро № 4 под руководством А. Н. Асафова, и 20 марта он был утвержден в РВС СССР. Постройка лодок, а также составление общего проекта лодки VI серии были возложены на Николаевский завод им. А. Марти. Одновременно строительство шло на заводе им. «61 коммунара». По окончании постройки 28 лодок были частично разгружены, на специальных железнодорожных транспортерах доставлены во Владивосток, спущены на воду и введены в строй. Первые две «Малютки» М</w:t>
      </w:r>
      <w:r w:rsidRPr="005E779E">
        <w:rPr>
          <w:color w:val="000000" w:themeColor="text1"/>
          <w:sz w:val="16"/>
          <w:szCs w:val="16"/>
        </w:rPr>
        <w:noBreakHyphen/>
        <w:t>1 и М</w:t>
      </w:r>
      <w:r w:rsidRPr="005E779E">
        <w:rPr>
          <w:color w:val="000000" w:themeColor="text1"/>
          <w:sz w:val="16"/>
          <w:szCs w:val="16"/>
        </w:rPr>
        <w:noBreakHyphen/>
        <w:t>2 вступили в состав Морских сил Дальнего Востока в конце апреля 1934 г., последняя (М</w:t>
      </w:r>
      <w:r w:rsidRPr="005E779E">
        <w:rPr>
          <w:color w:val="000000" w:themeColor="text1"/>
          <w:sz w:val="16"/>
          <w:szCs w:val="16"/>
        </w:rPr>
        <w:noBreakHyphen/>
        <w:t>28) — в августе 1935 г., М</w:t>
      </w:r>
      <w:r w:rsidRPr="005E779E">
        <w:rPr>
          <w:color w:val="000000" w:themeColor="text1"/>
          <w:sz w:val="16"/>
          <w:szCs w:val="16"/>
        </w:rPr>
        <w:noBreakHyphen/>
        <w:t>51 и М</w:t>
      </w:r>
      <w:r w:rsidRPr="005E779E">
        <w:rPr>
          <w:color w:val="000000" w:themeColor="text1"/>
          <w:sz w:val="16"/>
          <w:szCs w:val="16"/>
        </w:rPr>
        <w:noBreakHyphen/>
        <w:t>52 — в сентябре 1934 г. пополнили Морские силы Черного моря. Испытания первых «Малюток» VI серии выявили серьезные конструктивные недостатки, но, несмотря на недостатки проекта, в августе 1933 г. было принято решение о продолжении постройки «Малюток» по улучшенному варианту, получившему название М1</w:t>
      </w:r>
      <w:r w:rsidRPr="005E779E">
        <w:rPr>
          <w:color w:val="000000" w:themeColor="text1"/>
          <w:sz w:val="16"/>
          <w:szCs w:val="16"/>
        </w:rPr>
        <w:noBreakHyphen/>
        <w:t>бис серия. Эти лодки, строившиеся уже после смерти Асафова в марте 1934 — октябре 1936 г., стали первыми подводными кораблями отечественного флота с цельносварными прочными корпусами. Всего в этой серии было построено 10 лодок (15280).</w:t>
      </w:r>
    </w:p>
    <w:p w14:paraId="756A9473" w14:textId="77777777" w:rsidR="00903F28" w:rsidRPr="005E779E" w:rsidRDefault="00903F28" w:rsidP="000B7A6C">
      <w:pPr>
        <w:pStyle w:val="rtejustify"/>
        <w:spacing w:before="0" w:after="0"/>
        <w:rPr>
          <w:color w:val="000000" w:themeColor="text1"/>
          <w:sz w:val="16"/>
          <w:szCs w:val="16"/>
        </w:rPr>
      </w:pPr>
    </w:p>
    <w:p w14:paraId="14CDE409"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39B1E23F"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18980E8" w14:textId="77777777" w:rsidR="009F0798" w:rsidRPr="005E779E" w:rsidRDefault="009F079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декабре 1931 г. П.И. Баранов писал: «Морская авиация по ее вооружению и боевой подготовке стоит ниже авиации сухопутной... Необходимо считать, что только эскадрильи дальней разведки имеют современное вооружение (самолеты «Дорнье–Валь»)»( РГВА. Ф. 29. Оп. 76. Д. 2511. Переписка с итальянскими торговыми фирмами о закупке самолетов СИАИ и моторов АССО. 7.1.31-31.12.31. Л. 27.) (21410).</w:t>
      </w:r>
    </w:p>
    <w:p w14:paraId="7323339F" w14:textId="77777777" w:rsidR="009F0798" w:rsidRPr="005E779E" w:rsidRDefault="009F0798" w:rsidP="000B7A6C">
      <w:pPr>
        <w:spacing w:after="0" w:line="240" w:lineRule="auto"/>
        <w:jc w:val="both"/>
        <w:rPr>
          <w:rFonts w:ascii="Times New Roman" w:hAnsi="Times New Roman"/>
          <w:color w:val="000000" w:themeColor="text1"/>
          <w:sz w:val="16"/>
          <w:szCs w:val="16"/>
        </w:rPr>
      </w:pPr>
    </w:p>
    <w:p w14:paraId="78414E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декабре 1931 г. Алкснис разослал циркуляр, в котором говорилось: "В 1932 году к нам в ВВС поступит большое количество ТБ-3 на вооружение и в эксплуатацию. С такими большими и сложными машинами мы столкнемся впервые... Если мы немедленно не начнем готовить личный состав и, главное, приспособления и оборудование... то встретим чрезвычайно большие затруднения... » С начала года начали формироваться тяжелобомбардировочные бригады. Для них готовили </w:t>
      </w:r>
      <w:r w:rsidRPr="005E779E">
        <w:rPr>
          <w:rFonts w:ascii="Times New Roman" w:hAnsi="Times New Roman"/>
          <w:color w:val="000000" w:themeColor="text1"/>
          <w:sz w:val="16"/>
          <w:szCs w:val="16"/>
        </w:rPr>
        <w:lastRenderedPageBreak/>
        <w:t>аэродромы, подвозили необходимое оснащение, боеприпасы, горючее. Для этих бригад подбирали лучших летчиков, штурманов, стрелков. Группы специалистов проходили обучение в НИИ ВВС и на заводе №22 (7668).</w:t>
      </w:r>
    </w:p>
    <w:p w14:paraId="7C6C4B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5ED7744" w14:textId="77777777" w:rsidR="007879CC" w:rsidRPr="00142305" w:rsidRDefault="007879CC" w:rsidP="007879C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декабре 1931 г. Начальник ВВС Я.И. Алкснис разослал циркуляр, в котором говорилось: «В 1932 году к нам в ВВС поступит большое количество ТБ-3 на вооружение и в эксплуатацию. С таки</w:t>
      </w:r>
      <w:r w:rsidRPr="00142305">
        <w:rPr>
          <w:rFonts w:ascii="Times New Roman" w:hAnsi="Times New Roman"/>
          <w:color w:val="0070C0"/>
          <w:sz w:val="16"/>
          <w:szCs w:val="16"/>
        </w:rPr>
        <w:softHyphen/>
        <w:t>ми большими и сложными машинами мы столкнемся впервые... Если мы немедлен</w:t>
      </w:r>
      <w:r w:rsidRPr="00142305">
        <w:rPr>
          <w:rFonts w:ascii="Times New Roman" w:hAnsi="Times New Roman"/>
          <w:color w:val="0070C0"/>
          <w:sz w:val="16"/>
          <w:szCs w:val="16"/>
        </w:rPr>
        <w:softHyphen/>
        <w:t>но не начнем готовить личный состав и, главное, приспособления и оборудование (...), то встретим чрезвычайно большие затруднения». И уже с начала года начали формироваться тяжелобомбардировочные бригады Для них готовили аэродромы, подвозили необходимое оснащение, боеприпасы, горючее. Для этих бригад подбирали лучших летчиков, штурманов, стрелков. Группы специалистов проходили обучение в НИИ ВВС и на заводе № 22 (24938).</w:t>
      </w:r>
    </w:p>
    <w:p w14:paraId="020518D0" w14:textId="77777777" w:rsidR="007879CC" w:rsidRPr="00142305" w:rsidRDefault="007879CC" w:rsidP="007879CC">
      <w:pPr>
        <w:spacing w:after="0" w:line="240" w:lineRule="auto"/>
        <w:jc w:val="both"/>
        <w:rPr>
          <w:rFonts w:ascii="Times New Roman" w:hAnsi="Times New Roman"/>
          <w:color w:val="0070C0"/>
          <w:sz w:val="16"/>
          <w:szCs w:val="16"/>
        </w:rPr>
      </w:pPr>
    </w:p>
    <w:p w14:paraId="1895A461" w14:textId="77777777" w:rsidR="007879CC" w:rsidRPr="00142305" w:rsidRDefault="007879CC" w:rsidP="007879C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декабре 1931 г. Алкснис разослал циркуляр, в котором го</w:t>
      </w:r>
      <w:r w:rsidRPr="00142305">
        <w:rPr>
          <w:rFonts w:ascii="Times New Roman" w:hAnsi="Times New Roman"/>
          <w:color w:val="0070C0"/>
          <w:sz w:val="16"/>
          <w:szCs w:val="16"/>
        </w:rPr>
        <w:softHyphen/>
        <w:t>ворилось: «В 1932 году к нам в ВВС поступит большое ко</w:t>
      </w:r>
      <w:r w:rsidRPr="00142305">
        <w:rPr>
          <w:rFonts w:ascii="Times New Roman" w:hAnsi="Times New Roman"/>
          <w:color w:val="0070C0"/>
          <w:sz w:val="16"/>
          <w:szCs w:val="16"/>
        </w:rPr>
        <w:softHyphen/>
        <w:t>личество ТБ-3 на вооружение и в эксплуатацию. С такими большими и сложными машинами мы столкнемся впер</w:t>
      </w:r>
      <w:r w:rsidRPr="00142305">
        <w:rPr>
          <w:rFonts w:ascii="Times New Roman" w:hAnsi="Times New Roman"/>
          <w:color w:val="0070C0"/>
          <w:sz w:val="16"/>
          <w:szCs w:val="16"/>
        </w:rPr>
        <w:softHyphen/>
        <w:t>вые... Если мы немедленно не начнем готовить личный состав и, главное, приспособления и оборудование ..., то встретим чрезвычайно большие затруднения... &gt; И уже с на</w:t>
      </w:r>
      <w:r w:rsidRPr="00142305">
        <w:rPr>
          <w:rFonts w:ascii="Times New Roman" w:hAnsi="Times New Roman"/>
          <w:color w:val="0070C0"/>
          <w:sz w:val="16"/>
          <w:szCs w:val="16"/>
        </w:rPr>
        <w:softHyphen/>
        <w:t>чала года начали формироваться тяжелобомбардировочные бригады, которые должны были осваивать новую технику. Для них готовили аэродромы, подвозили необходимое ос</w:t>
      </w:r>
      <w:r w:rsidRPr="00142305">
        <w:rPr>
          <w:rFonts w:ascii="Times New Roman" w:hAnsi="Times New Roman"/>
          <w:color w:val="0070C0"/>
          <w:sz w:val="16"/>
          <w:szCs w:val="16"/>
        </w:rPr>
        <w:softHyphen/>
        <w:t>нащение, боеприпасы, горючее. Для этих бригад подбира</w:t>
      </w:r>
      <w:r w:rsidRPr="00142305">
        <w:rPr>
          <w:rFonts w:ascii="Times New Roman" w:hAnsi="Times New Roman"/>
          <w:color w:val="0070C0"/>
          <w:sz w:val="16"/>
          <w:szCs w:val="16"/>
        </w:rPr>
        <w:softHyphen/>
        <w:t>ли лучших летчиков, штурманов, стрелков. Группы специа</w:t>
      </w:r>
      <w:r w:rsidRPr="00142305">
        <w:rPr>
          <w:rFonts w:ascii="Times New Roman" w:hAnsi="Times New Roman"/>
          <w:color w:val="0070C0"/>
          <w:sz w:val="16"/>
          <w:szCs w:val="16"/>
        </w:rPr>
        <w:softHyphen/>
        <w:t>листов проходили обучение в НИИ ВВС и на заводе № 22 (24977).</w:t>
      </w:r>
    </w:p>
    <w:p w14:paraId="3FCFD54A" w14:textId="77777777" w:rsidR="007879CC" w:rsidRPr="00142305" w:rsidRDefault="007879CC" w:rsidP="007879CC">
      <w:pPr>
        <w:spacing w:after="0" w:line="240" w:lineRule="auto"/>
        <w:jc w:val="both"/>
        <w:rPr>
          <w:rFonts w:ascii="Times New Roman" w:hAnsi="Times New Roman"/>
          <w:color w:val="0070C0"/>
          <w:sz w:val="16"/>
          <w:szCs w:val="16"/>
        </w:rPr>
      </w:pPr>
    </w:p>
    <w:p w14:paraId="619F1B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декабре 1931 г. Алкснис разослал циркуляр, в котором говорилось: "В 1932 году к нам в ВВС поступит большое количество ТБ-3 на вооружение и в эксплуатацию. С такими большими и сложными машинами мы столкнемся впервые... Если мы немедленно не начнем готовить личный состав и, главное, приспособления и оборудование..., то встретим чрезвычайно большие затруднения..." И уже с начала года начали формироваться тяжелобомбардировочные бригады, которые должны были осваивать новую технику. Для них готовили аэродромы, подвозили необходимое оснащение, боеприпасы, горючее. Для этих бригад подбирали лучших летчиков, штурманов, стрелков. Группы специалистов проходили обучение в НИИ ВВС и на заводе № 22 (12024).</w:t>
      </w:r>
    </w:p>
    <w:p w14:paraId="2FED56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F2DCD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декабре 1931 г. Алкснис разослал циркуляр, в котором говорилось: "В 1932 году к нам в ВВС поступит большое количество ТБ-3 на вооружение и в эксплуатацию. С такими большими и сложными машинами мы столкнемся впервые... Если мы немедленно не начнем готовить личный состав и, главное, приспособления и оборудование..., то встретим чрезвычайно большие затруднения..." И уже с начала года начали формироваться тяжелобомбардировочные бригады, которые должны были осваивать новую технику. Для них готовили аэродромы, подвозили необходимое оснащение, боеприпасы, горючее. Для этих бригад подбирали лучших летчиков, штурманов, стрелков. Группы специалистов проходили обучение в НИИ ВВС и на заводе № 22 (12036).</w:t>
      </w:r>
    </w:p>
    <w:p w14:paraId="5B39E8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789381B"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463A52C7"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68676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Декабрь 1931 г. Первые опытные передачи механического ТВ по телефонному кабелю в Москве в 1-й Союзкинотеатр, Дом печати, Электрозавод и др. Передачи из МРТУ (11482).</w:t>
      </w:r>
    </w:p>
    <w:p w14:paraId="2F7D27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F5C79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декабре 1931 года универмаг N 1 в Москве с устного разрешения председателя правления Торгсина М. И. Шкляра начал продавать товары советским гражданам в обмен на бытовое золото. 10 декабря 1931 года вышло Постановление СНК СССР "О предоставлении Всесоюзному объединению "Торгсин" права производства операций по покупке драгоценных металлов (золота). Хотя со временем последовали разрешения принимать от населения также и серебро, платину, бриллианты и другие драгоценные камни, именно золото сыграло главную роль в истории Торгсина. Всего за четыре года (1932-1935) люди снесли в него почти 100 тонн чистого золота! (11458).</w:t>
      </w:r>
    </w:p>
    <w:p w14:paraId="499BAB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406A35F"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Внешняя политика:</w:t>
      </w:r>
    </w:p>
    <w:p w14:paraId="3DB678E2"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C485C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декабре 1931 г. в беседе с советским военным атташе Бенедиктовым министр двора Ирана сказал: "Ваш самолет нам нравится и мы думаем его купить, но мы должны еще посоветоваться...". На самом деле в Тегеране ждали результатов переговоров, которые вели во Франции. Но осенью 1932 г. военное министерство Ирана все же заключило с СССР контракт на поставку десяти самолетов Р-5, а попутно и партии зенитных пушек. Предложение организовать производство поликарповских бипланов на месте отклонили.</w:t>
      </w:r>
    </w:p>
    <w:p w14:paraId="1F070D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Экспортные машины имели моторы BMW VI и пулеметы "Льюис" в задней кабине. Бомбосбрасыватель ставили один, возможность нести выливные или дымовые приборы отсутствовала. У летнаба ставили бомбовый прицел АП-2, оптический "Герц" не предусматривался. Партия Р-5 для Персии проходила советскую военную приемку в обычном порядке, но по отдельным техническим условиям в связи с отличиями в комплектации. Разведчики начали предъявлять приемщикам в конце марта 1933 г.</w:t>
      </w:r>
    </w:p>
    <w:p w14:paraId="6C8B14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Первый самолет доставили в Иран по воздуху. На нем иранский летчик А. Макуи, выпускник Качинской летной школы, успешно совершил перелет Москва - Тегеран, прибыв на место 28 мая 1933 г. Остальные Р-5 перевозились в разобранном виде. Из Москвы их везли по железной дороге, а затем по Каспию в иранский порт Пехлеви.</w:t>
      </w:r>
    </w:p>
    <w:p w14:paraId="2E9174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Советские Р-5 успешно эксплуатировались в иранских ВВС сначала как боевые, а с конца 1934 г. как тренировочные. В отличие от поставлявшихся иранцам Р-1 в боевых действиях они никогда не участвовали. Когда в Иране списали последние Р-5 - неизвестно (12034).</w:t>
      </w:r>
    </w:p>
    <w:p w14:paraId="1D3181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F53CFC7" w14:textId="77777777" w:rsidR="002C06C5" w:rsidRPr="005E779E" w:rsidRDefault="002C06C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декабре 1931 г. в беседе с А.И. Бенедиктовым министр двора заявил: «Ваш самолет нам нравится и мы думаем его купить, но мы должны еще посоветоваться.». Лишь полтора года спустя после конкурса - осенью 1932 г. - военное министерство заключило с СССР контракт на поставку 10 Р-5, а также партии зенитных орудий. Предложение организовать производство самолетов на месте иранская сторона отклонила. Все экспортные машины для Ирана оснащались немецкими двигателями ВМШ VI и пулеметами «Льюис» в задней кабине. На первом самолете 28 мая 1933 г. успешно завершил перелет Москва-Тегеран иранский летчик А. Макуи, выпускник Качинской летной школы, остальные машины перевозились в разобранном виде по железной дороге, а затем - через Каспийское море в порт Пехлеви. В качестве боевых они использовались в ВВС Ирана до конца 1934 г. (18261).</w:t>
      </w:r>
    </w:p>
    <w:p w14:paraId="1D56C01D" w14:textId="77777777" w:rsidR="002C06C5" w:rsidRPr="005E779E" w:rsidRDefault="002C06C5" w:rsidP="000B7A6C">
      <w:pPr>
        <w:spacing w:after="0" w:line="240" w:lineRule="auto"/>
        <w:jc w:val="both"/>
        <w:rPr>
          <w:rFonts w:ascii="Times New Roman" w:hAnsi="Times New Roman"/>
          <w:color w:val="000000" w:themeColor="text1"/>
          <w:sz w:val="16"/>
          <w:szCs w:val="16"/>
        </w:rPr>
      </w:pPr>
    </w:p>
    <w:p w14:paraId="2414E291"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504499D5"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2CE73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декабре 1931 - январе 1932 в Китае в результате японского вторжения и отречения Чан Кай-ши был подъем антиимпериалистического движения (3878,3).</w:t>
      </w:r>
    </w:p>
    <w:p w14:paraId="752ADC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8614C4B"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17B89292"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EDB9C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Сделали два ТШ-2 и испытали в конце 1931 (92,419).</w:t>
      </w:r>
    </w:p>
    <w:p w14:paraId="6A1AE2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473F3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1931 был готов ТШ-2 - модификация ТШ-1 (437,130).</w:t>
      </w:r>
    </w:p>
    <w:p w14:paraId="0F3F3F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8747A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концу 1931 г. серийные ТБ-1а на поплавках типа "Ж" (по типу английских) уже поступили в строевые части (в том числе в 62-ю аэ). ТБ-1а, как и "юнкере", мог нести мину МАВ-1 и торпеду ТАН-12. Но в отличие от немецкой машины на нем предусматривалась подвеска высотной торпеды TAB-15 (из-за длинной парашютной коробки она не умещалась под ЮГ-1), а максимальный калибр бомб у отечественного самолета доходил до 500 кг (у ЮГ-1 - 82 кг) (3224,15).</w:t>
      </w:r>
    </w:p>
    <w:p w14:paraId="779EA2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E536864" w14:textId="77777777" w:rsidR="00CA22D8" w:rsidRPr="005E779E" w:rsidRDefault="00CA22D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1931 года ТШ-2 Н.Н.П и С.А.Крчеригина результате доработок с учетом пожеланий военных самолет, получивший название ТШ-2, прошел испытания на подмосковном аэродроме. Это был биплан с усиленным бронированием. Носовая часть представляла собой бронекоробку, в которой разместили двигатель водяного охлаждения М-17, бензобаки, кабины летчика и стрелка. Вооружение составляли несколько пулеметов.</w:t>
      </w:r>
    </w:p>
    <w:p w14:paraId="50D8A1D7" w14:textId="77777777" w:rsidR="00CA22D8" w:rsidRPr="005E779E" w:rsidRDefault="00CA22D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«Я… был свидетелем постройки одного из первых тяжелых штурмовиков, – вспоминал впоследствии летчик-испытатель И. И. Шелест. – Это было в тридцать первом году… Большой биплан с серым граненым носом: броневые листы угловато прикрывали мотор, пилотскую кабину. Страшновато было смотреть, как он поднимался. Не зря его звали «ТШ» – «Тяжелый штурмовик».</w:t>
      </w:r>
    </w:p>
    <w:p w14:paraId="21C582F5" w14:textId="77777777" w:rsidR="00CA22D8" w:rsidRPr="005E779E" w:rsidRDefault="00CA22D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Действительно, скорость самолета у земли не превышала 215 км/час.</w:t>
      </w:r>
    </w:p>
    <w:p w14:paraId="313DC047" w14:textId="77777777" w:rsidR="00CA22D8" w:rsidRPr="005E779E" w:rsidRDefault="00CA22D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ходе испытаний ТШ-2 выявилась уязвимость самолета при его возможном боевом применении. Хорошему обзору вперед и вниз мешал капот мотора, вверх – верхнее крыло, в стороны – боковины брони у козырька. У летчика-наблюдателя (штурмана) обзор также был плохой.</w:t>
      </w:r>
    </w:p>
    <w:p w14:paraId="29064461" w14:textId="77777777" w:rsidR="00CA22D8" w:rsidRPr="005E779E" w:rsidRDefault="00CA22D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Несмотря на замечания военных летчиков, самолет был запущен в серию на заводе № 16. В 1932 году предстояло собрать 70 штурмовиков для производства полномасштабных войсковых испытаний. Испытания эталона для серии затянулись, поскольку возникли проблемы с охлаждением мотора, и постройку серии для </w:t>
      </w:r>
      <w:r w:rsidRPr="005E779E">
        <w:rPr>
          <w:rFonts w:ascii="Times New Roman" w:hAnsi="Times New Roman"/>
          <w:color w:val="000000" w:themeColor="text1"/>
          <w:sz w:val="16"/>
          <w:szCs w:val="16"/>
        </w:rPr>
        <w:lastRenderedPageBreak/>
        <w:t>войсковых испытаний ограничили десятью машинами. На госиспытаниях был отмечен тот же «букет» недостатков, и военные окончательно отказались от самолетов. В конце 1932 года работа на стапелях завода № 16 замерла.</w:t>
      </w:r>
    </w:p>
    <w:p w14:paraId="7079F5E2" w14:textId="77777777" w:rsidR="00CA22D8" w:rsidRPr="005E779E" w:rsidRDefault="00CA22D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Производство ТШ-2 с мотором М-17 прекратили на первых десяти экземплярах[33]. Сведений об использовании и дальнейшей судьбе крылатых машин источники не содержат (24153).</w:t>
      </w:r>
    </w:p>
    <w:p w14:paraId="11DAC53B" w14:textId="77777777" w:rsidR="00CA22D8" w:rsidRPr="005E779E" w:rsidRDefault="00CA22D8" w:rsidP="000B7A6C">
      <w:pPr>
        <w:spacing w:after="0" w:line="240" w:lineRule="auto"/>
        <w:jc w:val="both"/>
        <w:rPr>
          <w:rFonts w:ascii="Times New Roman" w:hAnsi="Times New Roman"/>
          <w:color w:val="000000" w:themeColor="text1"/>
          <w:sz w:val="16"/>
          <w:szCs w:val="16"/>
        </w:rPr>
      </w:pPr>
    </w:p>
    <w:p w14:paraId="3D2312E6" w14:textId="77777777" w:rsidR="00CA22D8" w:rsidRPr="005E779E" w:rsidRDefault="00CA22D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1931 года правительственная комиссия под руководством В. В. Куйбышева утвердила темпы развития мощностей авиационных предприятий страны по годам, при этом «завод № 16 должен быть перепроектирован под мощность в 1600 легких (самолетов) типа ЛБШ и 200 тяжелых типа ТШ-2 – ТШ-3». С учетом этого обстоятельства разработали новый проект реконструкции, воплощавшийся не без трудностей. Об этом с подкупающей ныне откровенностью сообщала читателям заводская газета:</w:t>
      </w:r>
    </w:p>
    <w:p w14:paraId="0598D5DA" w14:textId="77777777" w:rsidR="00CA22D8" w:rsidRPr="005E779E" w:rsidRDefault="00CA22D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«План строительства должен быть выполнен. Для решения этой задачи администрация, общественно-партийные организации постройки № 16 должны мобилизовать все силы.</w:t>
      </w:r>
    </w:p>
    <w:p w14:paraId="5350CCEF" w14:textId="77777777" w:rsidR="00CA22D8" w:rsidRPr="005E779E" w:rsidRDefault="00CA22D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Всякие ссылки на планы, материалы, нехватки рабочей силы и подобные причины надо прекратить. Уже давно пора уточнить процент осуществления стройфинплана с заказчиком, так как имеющиеся разногласия тормозят дело.</w:t>
      </w:r>
    </w:p>
    <w:p w14:paraId="5DD2C444" w14:textId="77777777" w:rsidR="00CA22D8" w:rsidRPr="005E779E" w:rsidRDefault="00CA22D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1 августа по сведению начальника работ стройфинплан выполнен на 22 проц., а по указаниям заказчика – на 19 проц. Ни у того, ни у другого нет точных данных. Однако общее состояние завода явно неудовлетворительно. Стройка затрудняется отсутствием чертежей, недостатком пиломатериалов и других принадлежностей: болтов, шайб и т. д.</w:t>
      </w:r>
    </w:p>
    <w:p w14:paraId="79C03D91" w14:textId="77777777" w:rsidR="00CA22D8" w:rsidRPr="005E779E" w:rsidRDefault="00CA22D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серьезном отношении инженерно-технического персонала, партийно-комсомольской массы и рабочего актива можно ускорить срок и увеличить процент реализации стройфинплана. Соцсоревнование и ударничество развернуто недостаточно. Не связаны договором ведущие профессии: каменщики и плотники.</w:t>
      </w:r>
    </w:p>
    <w:p w14:paraId="5F06CDD9" w14:textId="77777777" w:rsidR="00CA22D8" w:rsidRPr="005E779E" w:rsidRDefault="00CA22D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Партколлектив и постройком должны в ближайший день провести эту работу.</w:t>
      </w:r>
    </w:p>
    <w:p w14:paraId="2313E682" w14:textId="77777777" w:rsidR="00CA22D8" w:rsidRPr="005E779E" w:rsidRDefault="00CA22D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Обязанность адмтехперсонала – заставить по-боевому справляться не только себя, но и низовые звенья.</w:t>
      </w:r>
    </w:p>
    <w:p w14:paraId="4D7ED98D" w14:textId="77777777" w:rsidR="00CA22D8" w:rsidRPr="005E779E" w:rsidRDefault="00CA22D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Надо спешить. Нельзя барак № 1 засыпать целые 2 недели, нельзя начинать каменную кладку без бута и трепела для промзоны и теплых растворов на мастерские. Болты для фермы засыпаются слишком долго.</w:t>
      </w:r>
    </w:p>
    <w:p w14:paraId="166CC546" w14:textId="77777777" w:rsidR="00CA22D8" w:rsidRPr="005E779E" w:rsidRDefault="00CA22D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Учтя все недостатки производства, мы пообещаемся в последующее время наладить руководство и исполнение так, чтобы до наступления холодов каменная кладка и железобетон были закончены, а также деревянные оборудования помещений. Темпы нам помогут»[21]. (24153).</w:t>
      </w:r>
    </w:p>
    <w:p w14:paraId="65D8DA1B" w14:textId="77777777" w:rsidR="00CA22D8" w:rsidRPr="005E779E" w:rsidRDefault="00CA22D8" w:rsidP="000B7A6C">
      <w:pPr>
        <w:spacing w:after="0" w:line="240" w:lineRule="auto"/>
        <w:jc w:val="both"/>
        <w:rPr>
          <w:rFonts w:ascii="Times New Roman" w:hAnsi="Times New Roman"/>
          <w:color w:val="000000" w:themeColor="text1"/>
          <w:sz w:val="16"/>
          <w:szCs w:val="16"/>
        </w:rPr>
      </w:pPr>
    </w:p>
    <w:p w14:paraId="1BC77F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К концу 1931 г. заводу № 22 удалось выпустить две серии Р-6, пять и десять самолетов соответственно. Но ВВС приняли большую часть из них только весной следующего года после устранения дефектов и доукомплектования. При этом и прошедшие приемку машины не совсем соответствовали техническим условиям ВВС. На них не было фотоаппаратов, радиостанций, кислородных приборов. Пустой вес машин значительно превышал лимиты, военные наивно рассчитывали уложиться в прибавку в 1,5% к весу опытного образца. На 1 февраля 1932 г. в ВВС числились всего четыре Р-6 - два в ЦАГИ и два в НИИ ВВС. </w:t>
      </w:r>
    </w:p>
    <w:p w14:paraId="4F7661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 темпы выпуска постепенно росли. Завод сдавал по четыре-пять самолетов в месяц, в мае даже обогнав план. Моторы ставили и советские, и оригинальные немецкие. Последние были полегче и помощнее, поэтому самолеты с ними обычно использовали как командирские. Электрика и приборы тоже могли быть и отечественными, и импортными. Самолеты выпуска 1932 г. имели увеличенные маслобаки и пневмопуски на моторах. В полете они работали от бортовых баллонов, на аэродроме - от больших наземных. Первые серии Р-6 комплектовались импортными покрышками "Пальмер", а далее - советскими прямобортного типа той же ширины, но меньшего диаметра. Для эксплуатации зимой к каждому самолету придавали комплект деревянных окованных лыж.</w:t>
      </w:r>
    </w:p>
    <w:p w14:paraId="0B79EF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Серийный Р-6 стоил недешево - 253 000 рублей. Сейчас эта цифра кажется смехотворной, но тогда это были большие деньги. Истребители того времени обходились в 35 - 50 тысяч рублей, легкий бомбардировщик Р-5 - 36 тысяч, тяжелый четырехмоторный ТБ-3 - 450 тысяч.</w:t>
      </w:r>
    </w:p>
    <w:p w14:paraId="5FF28F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 предприятие в Филях было сильно перегружено заказами на бомбардировщики, которым придавалось большее значение. Поэтому привлекли таганрогский завод № 31. Ему передали документацию и самолет-эталон.</w:t>
      </w:r>
    </w:p>
    <w:p w14:paraId="778A3C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Москве же производство стало сворачиваться. За все второе полугодие сдали меньше десятка машин, закончив год на 30-м самолете. Таким образом, всего завод № 22 сделал 45 Р-6. Узлы пяти машин 6-й серии отгрузили в Таганрог, где до конца 1932 г. собрали всего один "крейсер". Передача производства в другой город сильно затормозила выпуск Р-6 и привела к срыву планов перевооружения ВВС.</w:t>
      </w:r>
    </w:p>
    <w:p w14:paraId="0D35E8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Выпущенные весной 1932 г. Р-6 поступили в части ВВС Московского военного округа. 1 мая в воздушном параде участвовали самолеты 11-й и 17-й авиабригад. По штату каждой тяжелобомбардировочной бригаде полагалась эскадрилья из дюжины "крейсеров" (12036).</w:t>
      </w:r>
    </w:p>
    <w:p w14:paraId="68337E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A8771B3" w14:textId="77777777" w:rsidR="005E1AD5" w:rsidRPr="005E779E" w:rsidRDefault="005E1AD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концу 1931 г. заводу № 22 удалось выпустить две серии Р-6, из пяти и десяти машин (вместо 50 по плану). Но ВВС приняли большую часть из них только весной 1932 г. после устранения дефектов и доукомплектования, хотя и принятые не вполне соответствовали утверждённым ВВС техусловиям. На них отсутствовали фотоаппараты, радиостанции, кислородные приборы. Пустой вес значительно превышал лимиты (в техусловия наивно заложили запас всего в 1,5% к весу опытного образца).</w:t>
      </w:r>
    </w:p>
    <w:p w14:paraId="5921AB08" w14:textId="77777777" w:rsidR="005E1AD5" w:rsidRPr="005E779E" w:rsidRDefault="005E1AD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Отписываясь за недовыполнение плана, руководство ВАО сообщало, что причинами являлись «пуск в производство недоработанной конструкции и выявившиеся в процессе испытания головного самолёта дефекты, требующие переделок». Строго говоря, это соответствовало истине.</w:t>
      </w:r>
    </w:p>
    <w:p w14:paraId="7BAB24EC" w14:textId="77777777" w:rsidR="005E1AD5" w:rsidRPr="005E779E" w:rsidRDefault="005E1AD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1932 г. темпы выпуска новых машин увеличились. Завод № 22 сдавал по четыре-пять самолётов в месяц, в мае даже перевыполнил план. Но предприятие было сильно перегружено заказами на бомбардировщики, которым отдавался приоритет. К выпуску Р-6 решили подключить таганрогский завод № 31, сравнительно маломощное предприятие, ранее строившее только деревянные самолёты. В марте 1932 г. там начали первые работы по освоению «крейсера». В августе в Таганрог в качестве образца доставили самолёт № 2201. Производство в Москве постепенно начали сворачивать. За всё второе полугодие сдали меньше десятка машин, к концу года поставили точку на 30-м экземпляре. Таким образом, завод № 22 изготовил 45 Р-6.</w:t>
      </w:r>
    </w:p>
    <w:p w14:paraId="6FB47BD3" w14:textId="77777777" w:rsidR="005E1AD5" w:rsidRPr="005E779E" w:rsidRDefault="005E1AD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Серийный Р-6 стоил 253 тыс. рублей. Сейчас эта цифра кажется смехотворной, но тогда это были большие деньги. Истребители того времени обходились в 35 - 50 тыс. рублей, лёгкий бомбардировщик Р-5 - 36 тыс., тяжёлый четырёхмоторный ТБ-3 - 450 тыс.</w:t>
      </w:r>
    </w:p>
    <w:p w14:paraId="79FF44DC" w14:textId="77777777" w:rsidR="005E1AD5" w:rsidRPr="005E779E" w:rsidRDefault="005E1AD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Узлы пяти машин 6-й серии из Москвы отгрузили в Таганрог. Передача производства из одного города в другой сильно затормозила выпуск Р-6 и привела к срыву планов. В 1932 г. завод № 31 смог сдать всего один самолёт.</w:t>
      </w:r>
    </w:p>
    <w:p w14:paraId="5101ABD3" w14:textId="77777777" w:rsidR="005E1AD5" w:rsidRPr="005E779E" w:rsidRDefault="005E1AD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Серийные машины страдали вибрациями на малых скоростях. Они проявлялись на планировании, разворотах и спиралях. Тряслись оперение и хвостовая часть фюзеляжа. С уменьшением скорости вибрации усиливались. Боролись с этим сравнительно просто - давали полный газ и переходили на снижение с набором скорости. Причиной этого явления, бафтинга, было то, что при некоторых углах атаки оперение попадало в зону вихреобразования за задней кромкой крыла. Проведённое ранее смещение задней кромки вверх несколько улучшило ситуацию, но не разрешило проблему полностью (12264).</w:t>
      </w:r>
    </w:p>
    <w:p w14:paraId="482999E4" w14:textId="77777777" w:rsidR="005E1AD5" w:rsidRPr="005E779E" w:rsidRDefault="005E1AD5" w:rsidP="000B7A6C">
      <w:pPr>
        <w:spacing w:after="0" w:line="240" w:lineRule="auto"/>
        <w:jc w:val="both"/>
        <w:rPr>
          <w:rFonts w:ascii="Times New Roman" w:hAnsi="Times New Roman"/>
          <w:color w:val="000000" w:themeColor="text1"/>
          <w:sz w:val="16"/>
          <w:szCs w:val="16"/>
        </w:rPr>
      </w:pPr>
    </w:p>
    <w:p w14:paraId="3D0CE0CD" w14:textId="77777777" w:rsidR="00076139" w:rsidRPr="00142305" w:rsidRDefault="00076139" w:rsidP="0007613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концу 1931 г. заводу № 22 удалось выпустить две серии Р-6, пять и десять самолетов соответственно. Но ВВС при</w:t>
      </w:r>
      <w:r w:rsidRPr="00142305">
        <w:rPr>
          <w:rFonts w:ascii="Times New Roman" w:hAnsi="Times New Roman"/>
          <w:color w:val="0070C0"/>
          <w:sz w:val="16"/>
          <w:szCs w:val="16"/>
        </w:rPr>
        <w:softHyphen/>
        <w:t>няли большую часть из них только весной следующего го</w:t>
      </w:r>
      <w:r w:rsidRPr="00142305">
        <w:rPr>
          <w:rFonts w:ascii="Times New Roman" w:hAnsi="Times New Roman"/>
          <w:color w:val="0070C0"/>
          <w:sz w:val="16"/>
          <w:szCs w:val="16"/>
        </w:rPr>
        <w:softHyphen/>
        <w:t>да после устранения дефектов и доукомплектования. При этом и прошедшие приемку машины не совсем соответс</w:t>
      </w:r>
      <w:r w:rsidRPr="00142305">
        <w:rPr>
          <w:rFonts w:ascii="Times New Roman" w:hAnsi="Times New Roman"/>
          <w:color w:val="0070C0"/>
          <w:sz w:val="16"/>
          <w:szCs w:val="16"/>
        </w:rPr>
        <w:softHyphen/>
        <w:t>твовали техническим условиям ВВС. На них не было фото</w:t>
      </w:r>
      <w:r w:rsidRPr="00142305">
        <w:rPr>
          <w:rFonts w:ascii="Times New Roman" w:hAnsi="Times New Roman"/>
          <w:color w:val="0070C0"/>
          <w:sz w:val="16"/>
          <w:szCs w:val="16"/>
        </w:rPr>
        <w:softHyphen/>
        <w:t>аппаратов, радиостанций, кислородных приборов. Пустой вес машин значительно превышал лимиты, военные наив</w:t>
      </w:r>
      <w:r w:rsidRPr="00142305">
        <w:rPr>
          <w:rFonts w:ascii="Times New Roman" w:hAnsi="Times New Roman"/>
          <w:color w:val="0070C0"/>
          <w:sz w:val="16"/>
          <w:szCs w:val="16"/>
        </w:rPr>
        <w:softHyphen/>
        <w:t>но рассчитывали уложиться в прибавку в 1,5% к весу опыт</w:t>
      </w:r>
      <w:r w:rsidRPr="00142305">
        <w:rPr>
          <w:rFonts w:ascii="Times New Roman" w:hAnsi="Times New Roman"/>
          <w:color w:val="0070C0"/>
          <w:sz w:val="16"/>
          <w:szCs w:val="16"/>
        </w:rPr>
        <w:softHyphen/>
        <w:t>ного образца. На 1 февраля 1932 г. в ВВС числились всего четыре Р-6 — два в ЦАГИ и два в НИИ ВВС.</w:t>
      </w:r>
    </w:p>
    <w:p w14:paraId="3218E168" w14:textId="77777777" w:rsidR="00076139" w:rsidRPr="00142305" w:rsidRDefault="00076139" w:rsidP="0007613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Темпы выпуска постепенно росли. Завод сдавал по четыре-пять самолетов в месяц, в мае даже обогнав план. Моторы ставили и советские, и оригинальные немецкие. Последние были полегче и помощнее, поэтому самолеты с ними обычно использовали как командирские. Электрика и приборы тоже могли быть и отечественными, и импорт</w:t>
      </w:r>
      <w:r w:rsidRPr="00142305">
        <w:rPr>
          <w:rFonts w:ascii="Times New Roman" w:hAnsi="Times New Roman"/>
          <w:color w:val="0070C0"/>
          <w:sz w:val="16"/>
          <w:szCs w:val="16"/>
        </w:rPr>
        <w:softHyphen/>
        <w:t>ными. Самолеты выпуска 1932 г. имели увеличенные мас</w:t>
      </w:r>
      <w:r w:rsidRPr="00142305">
        <w:rPr>
          <w:rFonts w:ascii="Times New Roman" w:hAnsi="Times New Roman"/>
          <w:color w:val="0070C0"/>
          <w:sz w:val="16"/>
          <w:szCs w:val="16"/>
        </w:rPr>
        <w:softHyphen/>
        <w:t>лобаки и пневмопуски на моторах. В полете они работали от бортовых баллонов, на аэродроме - от больших наземных. Первые серии Р-6 комплектовались импортными покрыш</w:t>
      </w:r>
      <w:r w:rsidRPr="00142305">
        <w:rPr>
          <w:rFonts w:ascii="Times New Roman" w:hAnsi="Times New Roman"/>
          <w:color w:val="0070C0"/>
          <w:sz w:val="16"/>
          <w:szCs w:val="16"/>
        </w:rPr>
        <w:softHyphen/>
        <w:t>ками «Пальмер», а далее - советскими прямобортного типа той же ширины, но меньшего диаметра. Для эксплуатации зимой к каждому самолету придавали комплект деревянных окованных лыж.</w:t>
      </w:r>
    </w:p>
    <w:p w14:paraId="7F8C29EB" w14:textId="77777777" w:rsidR="00076139" w:rsidRPr="00142305" w:rsidRDefault="00076139" w:rsidP="0007613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Серийный Р-6 стоил недешево - 253 000 рублей. Сейчас эта цифра кажется смехотворной, но тогда это были боль</w:t>
      </w:r>
      <w:r w:rsidRPr="00142305">
        <w:rPr>
          <w:rFonts w:ascii="Times New Roman" w:hAnsi="Times New Roman"/>
          <w:color w:val="0070C0"/>
          <w:sz w:val="16"/>
          <w:szCs w:val="16"/>
        </w:rPr>
        <w:softHyphen/>
        <w:t>шие деньги. Истребители того времени обходились в 35 - 50 тысяч рублей, легкий бомбардировщик Р-5 - 36 тысяч, тя</w:t>
      </w:r>
      <w:r w:rsidRPr="00142305">
        <w:rPr>
          <w:rFonts w:ascii="Times New Roman" w:hAnsi="Times New Roman"/>
          <w:color w:val="0070C0"/>
          <w:sz w:val="16"/>
          <w:szCs w:val="16"/>
        </w:rPr>
        <w:softHyphen/>
        <w:t>желый четырехмоторный ТБ-3 - 450 тысяч.</w:t>
      </w:r>
    </w:p>
    <w:p w14:paraId="3F312617" w14:textId="77777777" w:rsidR="00076139" w:rsidRPr="00142305" w:rsidRDefault="00076139" w:rsidP="0007613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Но предприятие в Филях было сильно перегружено за</w:t>
      </w:r>
      <w:r w:rsidRPr="00142305">
        <w:rPr>
          <w:rFonts w:ascii="Times New Roman" w:hAnsi="Times New Roman"/>
          <w:color w:val="0070C0"/>
          <w:sz w:val="16"/>
          <w:szCs w:val="16"/>
        </w:rPr>
        <w:softHyphen/>
        <w:t>казами на бомбардировщики, которым придавалось боль</w:t>
      </w:r>
      <w:r w:rsidRPr="00142305">
        <w:rPr>
          <w:rFonts w:ascii="Times New Roman" w:hAnsi="Times New Roman"/>
          <w:color w:val="0070C0"/>
          <w:sz w:val="16"/>
          <w:szCs w:val="16"/>
        </w:rPr>
        <w:softHyphen/>
        <w:t>шее значение. Поэтому привлекли таганрогский завод № 31. Ему передали документацию и самолет-эталон.</w:t>
      </w:r>
    </w:p>
    <w:p w14:paraId="5B8F14CC" w14:textId="55AB822F" w:rsidR="00076139" w:rsidRPr="00142305" w:rsidRDefault="00076139" w:rsidP="0007613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Москве же производство стало сворачиваться. За все второе полугодие сдали меньше десятка машин, закончив год на 30-м самолете. Таким образом, всего завод № 22 сде</w:t>
      </w:r>
      <w:r w:rsidRPr="00142305">
        <w:rPr>
          <w:rFonts w:ascii="Times New Roman" w:hAnsi="Times New Roman"/>
          <w:color w:val="0070C0"/>
          <w:sz w:val="16"/>
          <w:szCs w:val="16"/>
        </w:rPr>
        <w:softHyphen/>
        <w:t>лал 45 Р-6. Узлы пяти машин 6-й серии отгрузили в Та</w:t>
      </w:r>
      <w:r w:rsidRPr="00142305">
        <w:rPr>
          <w:rFonts w:ascii="Times New Roman" w:hAnsi="Times New Roman"/>
          <w:color w:val="0070C0"/>
          <w:sz w:val="16"/>
          <w:szCs w:val="16"/>
        </w:rPr>
        <w:softHyphen/>
        <w:t>ганрог, где до конца 1932 г. собрали всего один «крейсер»</w:t>
      </w:r>
      <w:r w:rsidR="00FE094E">
        <w:rPr>
          <w:rFonts w:ascii="Times New Roman" w:hAnsi="Times New Roman"/>
          <w:color w:val="0070C0"/>
          <w:sz w:val="16"/>
          <w:szCs w:val="16"/>
        </w:rPr>
        <w:t xml:space="preserve"> </w:t>
      </w:r>
      <w:r w:rsidRPr="00142305">
        <w:rPr>
          <w:rFonts w:ascii="Times New Roman" w:hAnsi="Times New Roman"/>
          <w:color w:val="0070C0"/>
          <w:sz w:val="16"/>
          <w:szCs w:val="16"/>
        </w:rPr>
        <w:t>(24977).</w:t>
      </w:r>
    </w:p>
    <w:p w14:paraId="1B1DCB26" w14:textId="77777777" w:rsidR="00076139" w:rsidRPr="00142305" w:rsidRDefault="00076139" w:rsidP="00076139">
      <w:pPr>
        <w:spacing w:after="0" w:line="240" w:lineRule="auto"/>
        <w:jc w:val="both"/>
        <w:rPr>
          <w:rFonts w:ascii="Times New Roman" w:hAnsi="Times New Roman"/>
          <w:color w:val="0070C0"/>
          <w:sz w:val="16"/>
          <w:szCs w:val="16"/>
        </w:rPr>
      </w:pPr>
    </w:p>
    <w:p w14:paraId="7F018A4E" w14:textId="77777777" w:rsidR="005E1AD5" w:rsidRPr="005E779E" w:rsidRDefault="005E1AD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1931 г. построенные 2-й и 3-й экземпляры И-6 передали в строевые части. Согласно сводной ведомости наличия самолетов-ис- требителей по состоянию на 1 января 1932 г. в ВВС РККА числились два И-6 (один неи</w:t>
      </w:r>
      <w:r w:rsidRPr="005E779E">
        <w:rPr>
          <w:rFonts w:ascii="Times New Roman" w:hAnsi="Times New Roman"/>
          <w:color w:val="000000" w:themeColor="text1"/>
          <w:sz w:val="16"/>
          <w:szCs w:val="16"/>
        </w:rPr>
        <w:softHyphen/>
        <w:t>справный). 1 января 1933 г. в строю оставал</w:t>
      </w:r>
      <w:r w:rsidRPr="005E779E">
        <w:rPr>
          <w:rFonts w:ascii="Times New Roman" w:hAnsi="Times New Roman"/>
          <w:color w:val="000000" w:themeColor="text1"/>
          <w:sz w:val="16"/>
          <w:szCs w:val="16"/>
        </w:rPr>
        <w:softHyphen/>
        <w:t>ся один И-6 (12295).</w:t>
      </w:r>
    </w:p>
    <w:p w14:paraId="7923C14D" w14:textId="77777777" w:rsidR="005E1AD5" w:rsidRPr="005E779E" w:rsidRDefault="005E1AD5" w:rsidP="000B7A6C">
      <w:pPr>
        <w:pStyle w:val="49"/>
        <w:shd w:val="clear" w:color="auto" w:fill="auto"/>
        <w:spacing w:before="0" w:line="240" w:lineRule="auto"/>
        <w:jc w:val="both"/>
        <w:rPr>
          <w:rFonts w:ascii="Times New Roman" w:hAnsi="Times New Roman"/>
          <w:color w:val="000000" w:themeColor="text1"/>
          <w:spacing w:val="0"/>
          <w:sz w:val="16"/>
          <w:szCs w:val="16"/>
        </w:rPr>
      </w:pPr>
    </w:p>
    <w:p w14:paraId="4CB8D36A" w14:textId="77777777" w:rsidR="00076139" w:rsidRPr="00142305" w:rsidRDefault="00076139" w:rsidP="0007613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конца 1931 г. на серийные И-5 вместо мотора «Юпитер-VI» стали устанавливать его отечественный лицензионный аналог М-22 (главный конструктор — А. А. Бессонов). Максимальная скорость достигала 265–268 км/час.</w:t>
      </w:r>
    </w:p>
    <w:p w14:paraId="69935F00" w14:textId="77777777" w:rsidR="00076139" w:rsidRPr="00142305" w:rsidRDefault="00076139" w:rsidP="0007613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 xml:space="preserve">В инструкции по эксплуатации указывалось: «С зажатым управлением самолет идет устойчиво по горизонту… Нагрузки на ручке и на ноге незначительные… Виражи и восьмерки выполняются на самолете просто и без усилий… На всех фигурах и эволюциях самолет отличается легкостью управления (незначительные нагрузки на рычаги управления) и простотой выполнения любого маневра, имея большой запас рулей». </w:t>
      </w:r>
    </w:p>
    <w:p w14:paraId="55B06681" w14:textId="77777777" w:rsidR="00076139" w:rsidRPr="00142305" w:rsidRDefault="00076139" w:rsidP="0007613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Для организации серийного производства было создано специальное бюро внедрения во главе с И. М. Косткиным, прекрасным технологом. Первоначально И-5 выпускался на двух московских заводах № 1 и № 39 (25035).</w:t>
      </w:r>
    </w:p>
    <w:p w14:paraId="6B594518" w14:textId="77777777" w:rsidR="00076139" w:rsidRPr="00142305" w:rsidRDefault="00076139" w:rsidP="00076139">
      <w:pPr>
        <w:spacing w:after="0" w:line="240" w:lineRule="auto"/>
        <w:jc w:val="both"/>
        <w:rPr>
          <w:rFonts w:ascii="Times New Roman" w:hAnsi="Times New Roman"/>
          <w:color w:val="0070C0"/>
          <w:sz w:val="16"/>
          <w:szCs w:val="16"/>
        </w:rPr>
      </w:pPr>
    </w:p>
    <w:p w14:paraId="41243281" w14:textId="77777777" w:rsidR="00076139" w:rsidRPr="00142305" w:rsidRDefault="00076139" w:rsidP="0007613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1931 г. было принято специальное постановление РВС о необходимости разработки У-2 в качестве связного самолета в прифронтовой полосе, а при необходимости — в качестве легкого разведчика и самолета для сопровождения конницы и пехоты на марше (25035).</w:t>
      </w:r>
    </w:p>
    <w:p w14:paraId="24B25110" w14:textId="77777777" w:rsidR="00076139" w:rsidRPr="00142305" w:rsidRDefault="00076139" w:rsidP="00076139">
      <w:pPr>
        <w:spacing w:after="0" w:line="240" w:lineRule="auto"/>
        <w:jc w:val="both"/>
        <w:rPr>
          <w:rFonts w:ascii="Times New Roman" w:hAnsi="Times New Roman"/>
          <w:color w:val="0070C0"/>
          <w:sz w:val="16"/>
          <w:szCs w:val="16"/>
        </w:rPr>
      </w:pPr>
    </w:p>
    <w:p w14:paraId="6BBBA7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1931 - Ришар уехал домой (92,379).</w:t>
      </w:r>
    </w:p>
    <w:p w14:paraId="191A7A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A6B71B5" w14:textId="77777777" w:rsidR="00CA22D8" w:rsidRPr="005E779E" w:rsidRDefault="00CA22D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1931 г. контракт начальника ОПО-4 ЦКБ гражданина Франции Ришара закончился, он уехал, прибывшие вместе с ним Оже и Лявиль остались и в 1931 г. переведены на Завод опытных конструкций (ЗОК ЦАГИ) и их группу переименовали в БНК (Бюро новых конструкций). Однако к тому времени ЗОК еще не вошел в строй, а руководство АГОС ЦАГИ и лично Туполев в сотрудничестве с БНК заинтересованы не были. Хотя БНК и относился к ЦАГИ, дальнейшая его работа строилась по планам ЦКБ на том основании, что в то время ЦКБ и ЦАГИ формально еще оставались единой организацией.</w:t>
      </w:r>
    </w:p>
    <w:p w14:paraId="66F607F1" w14:textId="77777777" w:rsidR="00CA22D8" w:rsidRPr="005E779E" w:rsidRDefault="00CA22D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Слабым местом ЦКБ-39 оставалось морское самолетостроение. В определенной мере причиной тому было предпочтение тяжелым цельнометаллическим самолетам разработки ЦАГИ на поплавковом шасси и лодочного типа. Однако была необходимость и в гидропланах малой и даже сверхмалой размерности. В 1931 г. сотрудник ОМОС ЦКБ-39 И.В. Четвериков с учетом зарубежного опыта предложил проект сверхмалого гидросамолета СПЛ для базирования на подлодках. Но вскоре появилось сообщение об аварии оснащенной ангаром для самолета английской ПЛ М-2, после которого заказчик (Авиация ВМФ) перестал поддерживать этот проект. Тогда Четвериков стал продвигать идею использования малых гидропланов на судах, в т.ч. в Арктике на Северном морском пути (СМП) как ледовых разведчиков, в научных целях и для экстренной связи. Проект СПЛ был переделан и стал именоваться ОСГА-101 (23559).</w:t>
      </w:r>
    </w:p>
    <w:p w14:paraId="079B8491" w14:textId="77777777" w:rsidR="00CA22D8" w:rsidRPr="005E779E" w:rsidRDefault="00CA22D8" w:rsidP="000B7A6C">
      <w:pPr>
        <w:spacing w:after="0" w:line="240" w:lineRule="auto"/>
        <w:jc w:val="both"/>
        <w:rPr>
          <w:rFonts w:ascii="Times New Roman" w:hAnsi="Times New Roman"/>
          <w:color w:val="000000" w:themeColor="text1"/>
          <w:sz w:val="16"/>
          <w:szCs w:val="16"/>
        </w:rPr>
      </w:pPr>
    </w:p>
    <w:p w14:paraId="27D363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конца 1931 КБ А.Н.Т. в составе ЦКБ ЦАГИ фактически приостановило работы по И-13 (АНТ-32) из-за занятости И-14 и неготовности двигателя М-32 (2233,41).</w:t>
      </w:r>
    </w:p>
    <w:p w14:paraId="739CD2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242ABB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1931 г. от изготовления 4-го экземпляра И-6 отказались, а построенные 2-й и 3-й экземпляры передали в строевые части (10729).</w:t>
      </w:r>
    </w:p>
    <w:p w14:paraId="32C37EC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E266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1931 А.Москалев прибыл на строящийся 18 завод в качестве зам. начальника СКО. Готовились к серии ТБ-3 и чтобы чем-то занять и воодушевить рабочих с учетом опыта проектирования М-3 и аэробуса А.Москалев спроектировал цельнометаллический (применительно к специализации завода) 5-местный САМ-5 М-11. Это была партийно-комсомольская инициатива и Осоавиахим, который сначала сомневался затем в лице чл. президиума Исполкома С.П.К. все же дал денег и машину закончили к августу 1932 (2889,21).</w:t>
      </w:r>
    </w:p>
    <w:p w14:paraId="588B41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15FFFCA" w14:textId="77777777" w:rsidR="00FE022D" w:rsidRPr="005E779E" w:rsidRDefault="00FE022D"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В конце 1931 г. под руководством конструктора ЦАГИ А.И. Путилова в Отделе опытного самолётостроения Научно-исследовательского института ГВФ был изготовлен самолёт «Сталь-2» из нержавеющей стали. Каркас крыла и фюзеляжа выполнили из гофрированных стальных листов, изогнутых в виде пучка труб и соединённых с помощью хомутиков и точечной электросварки. Ажурная конструкция получилась лёгкой, но была трудоёмкой. Надо сказать, что «Сталь-2» не был цельнометаллическим самолётом: борта фюзеляжа сделали из фанеры, а крыло имело полотняную обшивку.</w:t>
      </w:r>
    </w:p>
    <w:p w14:paraId="0AE4E298" w14:textId="77777777" w:rsidR="00FE022D" w:rsidRPr="005E779E" w:rsidRDefault="00FE022D"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Машина показала хорошие лётные характеристики и с 1934 г. строилась серийно. Её развитием была «Сталь-3» с более мощным двигателем и увеличенным с 4 до 6 числом пассажиров.</w:t>
      </w:r>
    </w:p>
    <w:p w14:paraId="09D59E97" w14:textId="77777777" w:rsidR="00FE022D" w:rsidRPr="005E779E" w:rsidRDefault="00FE022D"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«Сталь-2» и «Сталь-3» успешно работали на авиалиниях страны. Однако надежды на их рекордную долговечность не оправдались. Сама нержавеющая сталь могла служить десятки лет, но полотняная обшивка крыла и фанерные борта фюзеляжа периодически требовали замены или ремонта.</w:t>
      </w:r>
    </w:p>
    <w:p w14:paraId="6331B143" w14:textId="77777777" w:rsidR="00FE022D" w:rsidRPr="005E779E" w:rsidRDefault="00FE022D"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Этого недостатка не должен был иметь летательный аппарат, сделанный целиком из нержавеющей стали. Такой самолёт создали в Московском авиационном институте в 1934 г. Он назывался «ОСО-МАИ», позднее — «ЭМАИ-2» (экспериментальный самолёт МАИ № 2; первым был моноплан из сплава электрон «ЭМАИ-1»), затем — «Сталь-МАИ» (17489).</w:t>
      </w:r>
    </w:p>
    <w:p w14:paraId="046A5034" w14:textId="77777777" w:rsidR="00FE022D" w:rsidRPr="005E779E" w:rsidRDefault="00FE022D" w:rsidP="000B7A6C">
      <w:pPr>
        <w:spacing w:after="0" w:line="240" w:lineRule="auto"/>
        <w:jc w:val="both"/>
        <w:rPr>
          <w:rFonts w:ascii="Times New Roman" w:eastAsia="Times New Roman" w:hAnsi="Times New Roman"/>
          <w:color w:val="000000" w:themeColor="text1"/>
          <w:sz w:val="16"/>
          <w:szCs w:val="16"/>
          <w:lang w:eastAsia="ru-RU"/>
        </w:rPr>
      </w:pPr>
    </w:p>
    <w:p w14:paraId="7D938DD7" w14:textId="77777777" w:rsidR="00FE022D" w:rsidRPr="005E779E" w:rsidRDefault="00FE022D"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В конце 1931 г. самолёт с раздвижным крылом Бакшаев включили в план опытных работ по авиастроению на 1932–1934 гг. под обозначением У-3 бис. Это должна была быть двухместная учебно-боевая машина деревянной конструкции с мотором воздушного охлаждения М-48 мощностью 200 л. с., вооружённая пулемётом. По заданию максимальная скорость У-3 бис составляла 180 км/ч, посадочная — 40 км/ч (в полтора раза меньше, чем у биплана У-2), потолок — 5000 м, дальность — 720 км. Проектирование и постройку намечалось вести силами ЛИИ ГВФ, срок готовности — 1 мая 1933 г.</w:t>
      </w:r>
    </w:p>
    <w:p w14:paraId="20B55EBA" w14:textId="77777777" w:rsidR="00FE022D" w:rsidRPr="005E779E" w:rsidRDefault="00FE022D"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Но ни в 1932 г., ни в 1933 г. к постройке самолёта с раздвижным крылом не приступали, так как денег на это не выделили. К тому же двигатель М 48 ещё не был готов.</w:t>
      </w:r>
    </w:p>
    <w:p w14:paraId="68FFD584" w14:textId="77777777" w:rsidR="00FE022D" w:rsidRPr="005E779E" w:rsidRDefault="00FE022D"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В 1934 г. У-3 бис перепроектировали под серийный мотор M-11 вдвое меньшей мощности. Вооружение убрали, теперь самолёт рассматривался как учебный, связной или санитарный. Его назвали ЛИГ-7 (Ленинградский институт ГВФ-7), но чаще использовалось другое обозначение — РК-М11 (самолёт-раздвижное крыло с двигателем М-11).</w:t>
      </w:r>
    </w:p>
    <w:p w14:paraId="39AF21E3" w14:textId="77777777" w:rsidR="00FE022D" w:rsidRPr="005E779E" w:rsidRDefault="00FE022D"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С этого момента дело сдвинулось с мертвой точки. «Производятся расчёты на прочность самолёта и продувается модель. Собрано опытное крыло для статических испытаний. Проведены статиспытания нервюр. Заканчивается предварительный проект самолёта», — записано в докладе о состоянии работ по опытному самолёто- и моторостроению на 1 октября 1934 года </w:t>
      </w:r>
      <w:hyperlink r:id="rId238" w:history="1">
        <w:r w:rsidRPr="005E779E">
          <w:rPr>
            <w:rFonts w:ascii="Times New Roman" w:eastAsia="Times New Roman" w:hAnsi="Times New Roman"/>
            <w:color w:val="000000" w:themeColor="text1"/>
            <w:sz w:val="16"/>
            <w:szCs w:val="16"/>
            <w:lang w:eastAsia="ru-RU"/>
          </w:rPr>
          <w:t>[279]</w:t>
        </w:r>
      </w:hyperlink>
      <w:r w:rsidRPr="005E779E">
        <w:rPr>
          <w:rFonts w:ascii="Times New Roman" w:eastAsia="Times New Roman" w:hAnsi="Times New Roman"/>
          <w:color w:val="000000" w:themeColor="text1"/>
          <w:sz w:val="16"/>
          <w:szCs w:val="16"/>
          <w:lang w:eastAsia="ru-RU"/>
        </w:rPr>
        <w:t xml:space="preserve"> (17489).</w:t>
      </w:r>
    </w:p>
    <w:p w14:paraId="0EB3E1C0" w14:textId="77777777" w:rsidR="00FE022D" w:rsidRPr="005E779E" w:rsidRDefault="00FE022D" w:rsidP="000B7A6C">
      <w:pPr>
        <w:spacing w:after="0" w:line="240" w:lineRule="auto"/>
        <w:jc w:val="both"/>
        <w:rPr>
          <w:rFonts w:ascii="Times New Roman" w:eastAsia="Times New Roman" w:hAnsi="Times New Roman"/>
          <w:color w:val="000000" w:themeColor="text1"/>
          <w:sz w:val="16"/>
          <w:szCs w:val="16"/>
          <w:lang w:eastAsia="ru-RU"/>
        </w:rPr>
      </w:pPr>
    </w:p>
    <w:p w14:paraId="47D5897F" w14:textId="77777777" w:rsidR="00CA22D8" w:rsidRPr="005E779E" w:rsidRDefault="00CA22D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1931 г. самолёт с раздвижным крылом Бакшаева включили в план опытных работ по авиастроению на 1932–1934 гг. под обозначением У-3 бис. Это должна была быть двухместная учебно-боевая машина деревянной конструкции с мотором воздушного охлаждения М-48 мощностью 200 л. с., вооружённая пулемётом. По заданию максимальная скорость У-3 бис составляла 180 км/ч, посадочная — 40 км/ч (в полтора раза меньше, чем у биплана У-2), потолок — 5000 м, дальность — 720 км. Проектирование и постройку намечалось вести силами ЛИИ ГВФ, срок готовности — 1 мая 1933 г.</w:t>
      </w:r>
    </w:p>
    <w:p w14:paraId="6608A447" w14:textId="77777777" w:rsidR="00CA22D8" w:rsidRPr="005E779E" w:rsidRDefault="00CA22D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 ни в 1932 г., ни в 1933 г. к постройке самолёта с раздвижным крылом не приступали, так как денег на это не выделили. К тому же двигатель М 48 ещё не был готов.</w:t>
      </w:r>
    </w:p>
    <w:p w14:paraId="74931B25" w14:textId="77777777" w:rsidR="00CA22D8" w:rsidRPr="005E779E" w:rsidRDefault="00CA22D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1934 г. У-3 бис перепроектировали под серийный мотор M-11 вдвое меньшей мощности. Вооружение убрали, теперь самолёт рассматривался как учебный, связной или санитарный. Его назвали ЛИГ-7 (Ленинградский институт ГВФ-7), но чаще использовалось другое обозначение — РК-М11 (самолёт-раздвижное крыло с двигателем М-11) (24270).</w:t>
      </w:r>
    </w:p>
    <w:p w14:paraId="4A855519" w14:textId="77777777" w:rsidR="00CA22D8" w:rsidRPr="005E779E" w:rsidRDefault="00CA22D8" w:rsidP="000B7A6C">
      <w:pPr>
        <w:spacing w:after="0" w:line="240" w:lineRule="auto"/>
        <w:jc w:val="both"/>
        <w:rPr>
          <w:rFonts w:ascii="Times New Roman" w:hAnsi="Times New Roman"/>
          <w:color w:val="000000" w:themeColor="text1"/>
          <w:sz w:val="16"/>
          <w:szCs w:val="16"/>
        </w:rPr>
      </w:pPr>
    </w:p>
    <w:p w14:paraId="3DC72B11" w14:textId="77777777" w:rsidR="00F869CD" w:rsidRPr="00142305" w:rsidRDefault="00F869CD" w:rsidP="00F869C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До кон</w:t>
      </w:r>
      <w:r w:rsidRPr="00142305">
        <w:rPr>
          <w:rFonts w:ascii="Times New Roman" w:hAnsi="Times New Roman"/>
          <w:color w:val="0070C0"/>
          <w:sz w:val="16"/>
          <w:szCs w:val="16"/>
        </w:rPr>
        <w:softHyphen/>
        <w:t>ца 1931 г. на заводе № 31 сдали шесть АНТ-9 из восьми запланированных (24949).</w:t>
      </w:r>
    </w:p>
    <w:p w14:paraId="1CCC126E" w14:textId="77777777" w:rsidR="00F869CD" w:rsidRPr="00142305" w:rsidRDefault="00F869CD" w:rsidP="00F869CD">
      <w:pPr>
        <w:spacing w:after="0" w:line="240" w:lineRule="auto"/>
        <w:jc w:val="both"/>
        <w:rPr>
          <w:rFonts w:ascii="Times New Roman" w:hAnsi="Times New Roman"/>
          <w:color w:val="0070C0"/>
          <w:sz w:val="16"/>
          <w:szCs w:val="16"/>
        </w:rPr>
      </w:pPr>
    </w:p>
    <w:p w14:paraId="0BAD6374" w14:textId="77777777" w:rsidR="00076139" w:rsidRPr="00142305" w:rsidRDefault="00076139" w:rsidP="0007613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До конца 1931 г. оба «Бреге XIXbis» - Вг 19 числились за НИИ ВВС, а в начале следующего года их передали в Военно-воздушную академию им. Жуковского. Один «Бреге» списали в 1932 году, другой – в 1933-м (25182).</w:t>
      </w:r>
    </w:p>
    <w:p w14:paraId="15CD0EF1" w14:textId="77777777" w:rsidR="00076139" w:rsidRPr="00142305" w:rsidRDefault="00076139" w:rsidP="00076139">
      <w:pPr>
        <w:spacing w:after="0" w:line="240" w:lineRule="auto"/>
        <w:jc w:val="both"/>
        <w:rPr>
          <w:rFonts w:ascii="Times New Roman" w:hAnsi="Times New Roman"/>
          <w:color w:val="0070C0"/>
          <w:sz w:val="16"/>
          <w:szCs w:val="16"/>
        </w:rPr>
      </w:pPr>
    </w:p>
    <w:p w14:paraId="40FB49C2" w14:textId="77777777" w:rsidR="00076139" w:rsidRPr="00142305" w:rsidRDefault="00076139" w:rsidP="0007613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1931 г. на заводе № 23 построили ещё один самолёт Ш-2 для НИИ ВВС. По-видимому, завод № 23 изготовил ещё два Ш-2, помимо опытного образца. Они были сделаны по заказу Управления воздушной службы ГУСМП. Вероятно, их собирали по доработанным чертежам опытной машины, и они отличались от серийных таганрогских амфибий (24952).</w:t>
      </w:r>
    </w:p>
    <w:p w14:paraId="03498001" w14:textId="77777777" w:rsidR="00076139" w:rsidRPr="00142305" w:rsidRDefault="00076139" w:rsidP="00076139">
      <w:pPr>
        <w:spacing w:after="0" w:line="240" w:lineRule="auto"/>
        <w:jc w:val="both"/>
        <w:rPr>
          <w:rFonts w:ascii="Times New Roman" w:hAnsi="Times New Roman"/>
          <w:color w:val="0070C0"/>
          <w:sz w:val="16"/>
          <w:szCs w:val="16"/>
        </w:rPr>
      </w:pPr>
    </w:p>
    <w:p w14:paraId="043CB296" w14:textId="77777777" w:rsidR="00076139" w:rsidRPr="00142305" w:rsidRDefault="00076139" w:rsidP="0007613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концу 1931 года вся документация на С-62Б на завод № 31 из Италии уже поступила, с оборудованием и вооружением более- менее определились. Но. подстраховы</w:t>
      </w:r>
      <w:r w:rsidRPr="00142305">
        <w:rPr>
          <w:rFonts w:ascii="Times New Roman" w:hAnsi="Times New Roman"/>
          <w:color w:val="0070C0"/>
          <w:sz w:val="16"/>
          <w:szCs w:val="16"/>
        </w:rPr>
        <w:softHyphen/>
        <w:t>ваясь. на заводе начали с полноразмер</w:t>
      </w:r>
      <w:r w:rsidRPr="00142305">
        <w:rPr>
          <w:rFonts w:ascii="Times New Roman" w:hAnsi="Times New Roman"/>
          <w:color w:val="0070C0"/>
          <w:sz w:val="16"/>
          <w:szCs w:val="16"/>
        </w:rPr>
        <w:softHyphen/>
        <w:t>ного макета, который в январе предста</w:t>
      </w:r>
      <w:r w:rsidRPr="00142305">
        <w:rPr>
          <w:rFonts w:ascii="Times New Roman" w:hAnsi="Times New Roman"/>
          <w:color w:val="0070C0"/>
          <w:sz w:val="16"/>
          <w:szCs w:val="16"/>
        </w:rPr>
        <w:softHyphen/>
        <w:t>вили комиссии во главе с начальником 2-го отдела УВВС К.В. Гануличем. От оригинальной «савойи», помимо из</w:t>
      </w:r>
      <w:r w:rsidRPr="00142305">
        <w:rPr>
          <w:rFonts w:ascii="Times New Roman" w:hAnsi="Times New Roman"/>
          <w:color w:val="0070C0"/>
          <w:sz w:val="16"/>
          <w:szCs w:val="16"/>
        </w:rPr>
        <w:softHyphen/>
        <w:t>менений внесенных на С-62КЭ, он от</w:t>
      </w:r>
      <w:r w:rsidRPr="00142305">
        <w:rPr>
          <w:rFonts w:ascii="Times New Roman" w:hAnsi="Times New Roman"/>
          <w:color w:val="0070C0"/>
          <w:sz w:val="16"/>
          <w:szCs w:val="16"/>
        </w:rPr>
        <w:softHyphen/>
        <w:t>личался дальнейшими изменениями в размещении оборудования и усилением некоторых шпангоутов. Вместо шести балок Дер-7 на макете появились четыре новых бомбодержателя ДОС в сочета</w:t>
      </w:r>
      <w:r w:rsidRPr="00142305">
        <w:rPr>
          <w:rFonts w:ascii="Times New Roman" w:hAnsi="Times New Roman"/>
          <w:color w:val="0070C0"/>
          <w:sz w:val="16"/>
          <w:szCs w:val="16"/>
        </w:rPr>
        <w:softHyphen/>
        <w:t>нии со сбрасывателем Сбр-9 (на С-62КЭ стояли Сбр-8). Балки были двухзамко</w:t>
      </w:r>
      <w:r w:rsidRPr="00142305">
        <w:rPr>
          <w:rFonts w:ascii="Times New Roman" w:hAnsi="Times New Roman"/>
          <w:color w:val="0070C0"/>
          <w:sz w:val="16"/>
          <w:szCs w:val="16"/>
        </w:rPr>
        <w:softHyphen/>
        <w:t>вые, позволявшие подвеску двух бомб друг за другом. Но максимальный ка</w:t>
      </w:r>
      <w:r w:rsidRPr="00142305">
        <w:rPr>
          <w:rFonts w:ascii="Times New Roman" w:hAnsi="Times New Roman"/>
          <w:color w:val="0070C0"/>
          <w:sz w:val="16"/>
          <w:szCs w:val="16"/>
        </w:rPr>
        <w:softHyphen/>
        <w:t>либр боеприпасов ограничивался 82 кг, а максимальная нагрузка - 528 кг. На каждую турель предусматривалось не 16. а 12 дисков.</w:t>
      </w:r>
    </w:p>
    <w:p w14:paraId="279BD69F" w14:textId="77777777" w:rsidR="00076139" w:rsidRPr="00142305" w:rsidRDefault="00076139" w:rsidP="0007613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Контуры лодки гораздо точнее соот</w:t>
      </w:r>
      <w:r w:rsidRPr="00142305">
        <w:rPr>
          <w:rFonts w:ascii="Times New Roman" w:hAnsi="Times New Roman"/>
          <w:color w:val="0070C0"/>
          <w:sz w:val="16"/>
          <w:szCs w:val="16"/>
        </w:rPr>
        <w:softHyphen/>
        <w:t>ветствовали итальянскому прототипу, хо</w:t>
      </w:r>
      <w:r w:rsidRPr="00142305">
        <w:rPr>
          <w:rFonts w:ascii="Times New Roman" w:hAnsi="Times New Roman"/>
          <w:color w:val="0070C0"/>
          <w:sz w:val="16"/>
          <w:szCs w:val="16"/>
        </w:rPr>
        <w:softHyphen/>
        <w:t>тя фюзеляж МБР-4 все равно оставался шире и выше за счет того, что Тур-6 по габаритам превосходила турели «Вик</w:t>
      </w:r>
      <w:r w:rsidRPr="00142305">
        <w:rPr>
          <w:rFonts w:ascii="Times New Roman" w:hAnsi="Times New Roman"/>
          <w:color w:val="0070C0"/>
          <w:sz w:val="16"/>
          <w:szCs w:val="16"/>
        </w:rPr>
        <w:softHyphen/>
        <w:t>керс». Комиссия записала 42 пункта не</w:t>
      </w:r>
      <w:r w:rsidRPr="00142305">
        <w:rPr>
          <w:rFonts w:ascii="Times New Roman" w:hAnsi="Times New Roman"/>
          <w:color w:val="0070C0"/>
          <w:sz w:val="16"/>
          <w:szCs w:val="16"/>
        </w:rPr>
        <w:softHyphen/>
        <w:t>достатков. но ни один из них не являлся существенным</w:t>
      </w:r>
    </w:p>
    <w:p w14:paraId="20855918" w14:textId="77777777" w:rsidR="00076139" w:rsidRPr="00142305" w:rsidRDefault="00076139" w:rsidP="0007613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Как и у С-62КЭ, материалы заменя</w:t>
      </w:r>
      <w:r w:rsidRPr="00142305">
        <w:rPr>
          <w:rFonts w:ascii="Times New Roman" w:hAnsi="Times New Roman"/>
          <w:color w:val="0070C0"/>
          <w:sz w:val="16"/>
          <w:szCs w:val="16"/>
        </w:rPr>
        <w:softHyphen/>
        <w:t>лись на их советские аналоги, однако, вернулись к обшивке лодки планками из красного дерева. В радиаторах вместо итальянских четырехгранных латунных трубок использовали трубки Андрэ (шес</w:t>
      </w:r>
      <w:r w:rsidRPr="00142305">
        <w:rPr>
          <w:rFonts w:ascii="Times New Roman" w:hAnsi="Times New Roman"/>
          <w:color w:val="0070C0"/>
          <w:sz w:val="16"/>
          <w:szCs w:val="16"/>
        </w:rPr>
        <w:softHyphen/>
        <w:t xml:space="preserve">тигранные) Бензобаки стояли так же, как на С-62Б. но объем их стал меньше из-за усиленной </w:t>
      </w:r>
      <w:r w:rsidRPr="00142305">
        <w:rPr>
          <w:rFonts w:ascii="Times New Roman" w:hAnsi="Times New Roman"/>
          <w:color w:val="0070C0"/>
          <w:sz w:val="16"/>
          <w:szCs w:val="16"/>
        </w:rPr>
        <w:lastRenderedPageBreak/>
        <w:t>конструкции с двухрядными заклепочными швами. Передние баки имели емкость по 227 л, центральные - по 623 л, задние - по 145 л. Всего запас уменьшился на 60 л. Итальянские бен- зиномеры заменили простыми мерными стеклами. Вместо импортного огнету</w:t>
      </w:r>
      <w:r w:rsidRPr="00142305">
        <w:rPr>
          <w:rFonts w:ascii="Times New Roman" w:hAnsi="Times New Roman"/>
          <w:color w:val="0070C0"/>
          <w:sz w:val="16"/>
          <w:szCs w:val="16"/>
        </w:rPr>
        <w:softHyphen/>
        <w:t>шителя «Нокаут» применили «Тайфун» советского производства, для которого ставили вместо двух только один бал</w:t>
      </w:r>
      <w:r w:rsidRPr="00142305">
        <w:rPr>
          <w:rFonts w:ascii="Times New Roman" w:hAnsi="Times New Roman"/>
          <w:color w:val="0070C0"/>
          <w:sz w:val="16"/>
          <w:szCs w:val="16"/>
        </w:rPr>
        <w:softHyphen/>
        <w:t>лон с углекислым газом (но больший по объему). Самолеты несли советский комплект электрооборудования КОСА-3. Фара имелась всего одна, находившаяся на передней кромке центроплана верх</w:t>
      </w:r>
      <w:r w:rsidRPr="00142305">
        <w:rPr>
          <w:rFonts w:ascii="Times New Roman" w:hAnsi="Times New Roman"/>
          <w:color w:val="0070C0"/>
          <w:sz w:val="16"/>
          <w:szCs w:val="16"/>
        </w:rPr>
        <w:softHyphen/>
        <w:t>него крыла. Питание электрооборудова</w:t>
      </w:r>
      <w:r w:rsidRPr="00142305">
        <w:rPr>
          <w:rFonts w:ascii="Times New Roman" w:hAnsi="Times New Roman"/>
          <w:color w:val="0070C0"/>
          <w:sz w:val="16"/>
          <w:szCs w:val="16"/>
        </w:rPr>
        <w:softHyphen/>
        <w:t>ния осуществлялось от динамо-машины ДОМ-1, закрепленной справа на центро</w:t>
      </w:r>
      <w:r w:rsidRPr="00142305">
        <w:rPr>
          <w:rFonts w:ascii="Times New Roman" w:hAnsi="Times New Roman"/>
          <w:color w:val="0070C0"/>
          <w:sz w:val="16"/>
          <w:szCs w:val="16"/>
        </w:rPr>
        <w:softHyphen/>
        <w:t>плане. Слева симметрично располагал</w:t>
      </w:r>
      <w:r w:rsidRPr="00142305">
        <w:rPr>
          <w:rFonts w:ascii="Times New Roman" w:hAnsi="Times New Roman"/>
          <w:color w:val="0070C0"/>
          <w:sz w:val="16"/>
          <w:szCs w:val="16"/>
        </w:rPr>
        <w:softHyphen/>
        <w:t>ся генератор для радиостанции 14С-1. Последнюю ставили слева в передней кабине, как и итальянцы. В связи с этим функции радиста приобрел летнаб, а в задней кабине размещался просто стре</w:t>
      </w:r>
      <w:r w:rsidRPr="00142305">
        <w:rPr>
          <w:rFonts w:ascii="Times New Roman" w:hAnsi="Times New Roman"/>
          <w:color w:val="0070C0"/>
          <w:sz w:val="16"/>
          <w:szCs w:val="16"/>
        </w:rPr>
        <w:softHyphen/>
        <w:t>лок. Предусматривалась установка фо</w:t>
      </w:r>
      <w:r w:rsidRPr="00142305">
        <w:rPr>
          <w:rFonts w:ascii="Times New Roman" w:hAnsi="Times New Roman"/>
          <w:color w:val="0070C0"/>
          <w:sz w:val="16"/>
          <w:szCs w:val="16"/>
        </w:rPr>
        <w:softHyphen/>
        <w:t>тоаппарата АФА-13.</w:t>
      </w:r>
    </w:p>
    <w:p w14:paraId="36B7C490" w14:textId="77777777" w:rsidR="00076139" w:rsidRPr="00142305" w:rsidRDefault="00076139" w:rsidP="0007613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МБР-4 получился тяжелее С-62Б на 226 кг. Центровка сдвинулась назад, что лишало машину столь успешного сопро</w:t>
      </w:r>
      <w:r w:rsidRPr="00142305">
        <w:rPr>
          <w:rFonts w:ascii="Times New Roman" w:hAnsi="Times New Roman"/>
          <w:color w:val="0070C0"/>
          <w:sz w:val="16"/>
          <w:szCs w:val="16"/>
        </w:rPr>
        <w:softHyphen/>
        <w:t>тивления затягиванию в штопор. Чтобы выправить ситуацию, вперед перенесли ящик с неприкосновенным запасом и за</w:t>
      </w:r>
      <w:r w:rsidRPr="00142305">
        <w:rPr>
          <w:rFonts w:ascii="Times New Roman" w:hAnsi="Times New Roman"/>
          <w:color w:val="0070C0"/>
          <w:sz w:val="16"/>
          <w:szCs w:val="16"/>
        </w:rPr>
        <w:softHyphen/>
        <w:t>пасной баллон сжатого воздуха Кроме того, изменили инструкцию по заправке самолета так, чтобы сместить центр тя</w:t>
      </w:r>
      <w:r w:rsidRPr="00142305">
        <w:rPr>
          <w:rFonts w:ascii="Times New Roman" w:hAnsi="Times New Roman"/>
          <w:color w:val="0070C0"/>
          <w:sz w:val="16"/>
          <w:szCs w:val="16"/>
        </w:rPr>
        <w:softHyphen/>
        <w:t>жести вперед (24948).</w:t>
      </w:r>
    </w:p>
    <w:p w14:paraId="42FC8FCB" w14:textId="77777777" w:rsidR="00076139" w:rsidRPr="00142305" w:rsidRDefault="00076139" w:rsidP="00076139">
      <w:pPr>
        <w:spacing w:after="0" w:line="240" w:lineRule="auto"/>
        <w:jc w:val="both"/>
        <w:rPr>
          <w:rFonts w:ascii="Times New Roman" w:hAnsi="Times New Roman"/>
          <w:color w:val="0070C0"/>
          <w:sz w:val="16"/>
          <w:szCs w:val="16"/>
        </w:rPr>
      </w:pPr>
    </w:p>
    <w:p w14:paraId="25E845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 конца 1931 г. упоминания об испытаниях ДРП на Р-ЗЛД встречаются в документах. Но надежность динамореактивной пушки в то время была невысока, так же как точность стрельбы из нее. В то же время применение ДРП требовало значительного увеличения прочности планера самолета. Широкого распространения они не получили и на Р-3 в строевых частях не устанавливались (11985).</w:t>
      </w:r>
    </w:p>
    <w:p w14:paraId="5ACDE5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7F265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1931 группой студентов, включая П.Д.Грушина, М.М.Пашинина, Л.П.Курбала и др. началось проектирование самолета Сталь-МАИ (425,54).</w:t>
      </w:r>
    </w:p>
    <w:p w14:paraId="192F15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E49BE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1931 Д.П.Г. будучи зав. кафедрой конструкции самолетов организовал группу студентов, в которую вошли П.Д.Грушин, М.М.Пашинин, Л.П.Курбала, В.А.Федулов, А.П.Щекин для создания самолета Сталь-МАИ с дальностью в 5000 км (1040,17).</w:t>
      </w:r>
    </w:p>
    <w:p w14:paraId="2E1160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BA254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1931 под руководством Б.Д.Урлапова, помошника П.И.Гроховского по самолетостроению, началось проектирование транспортного планера, способного на буксире за Р-5 перевозить 1700 кг и решили разместить нагрузку в крыле (428,13).</w:t>
      </w:r>
    </w:p>
    <w:p w14:paraId="4D84B3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6D76AB8"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1931 года ЦАГИ был выпущен первый экспериментальный автожир. Этот аппарат 2-ЭА, первый полет которого состоялся в конце ноября 1931 года, был построен по схеме одного из последних английских автожиров; он обладал достаточно удовлетворительными конструктивными и летными данными, почти не уступающими соответствующим данным английского автожира, взятого в виде образца. Этот аппарат сыграл большую роль в деле освоения теории и конструкции автожира, а также обучения летно-технического персонала (3849,13).</w:t>
      </w:r>
    </w:p>
    <w:p w14:paraId="41260E3A"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085C7B76" w14:textId="77777777" w:rsidR="00F869CD" w:rsidRPr="00142305" w:rsidRDefault="00F869CD" w:rsidP="00F869C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1931 года киевский авиазавод получил заказ изготовить опытную серию автожиров И.Н.Камова и Н.К.Скржинского. Предприятие начало производство этих машин. Завод изготовил большую опытную серию автожиров конструкции ПАГИ. Все испытания их успешно провел заводской летчик В. Э. Адольф, человек высокой квалификации и большого мужества. (К несчастью, в 1936 году при испытании нового самолета этот незаурядный специалист погиб) (25437).</w:t>
      </w:r>
    </w:p>
    <w:p w14:paraId="5EF90534" w14:textId="77777777" w:rsidR="00F869CD" w:rsidRPr="00142305" w:rsidRDefault="00F869CD" w:rsidP="00F869CD">
      <w:pPr>
        <w:spacing w:after="0" w:line="240" w:lineRule="auto"/>
        <w:jc w:val="both"/>
        <w:rPr>
          <w:rFonts w:ascii="Times New Roman" w:hAnsi="Times New Roman"/>
          <w:color w:val="0070C0"/>
          <w:sz w:val="16"/>
          <w:szCs w:val="16"/>
        </w:rPr>
      </w:pPr>
    </w:p>
    <w:p w14:paraId="02BEE13C" w14:textId="77777777" w:rsidR="00BD12F1" w:rsidRPr="005E779E" w:rsidRDefault="00BD12F1" w:rsidP="00BD12F1">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1931 г. с целью рационального распределения усилий был разработан план опытного моторостроения на 1932-1933 гг., которым, в частности, предусматривалась разработка и изготовление следующих типов авиадизелей: Н-1 - четырехтактный, мощность 600 л.с., масса 840 кг; Н-2 - четырехтактный, мощность 1000 л.с., масса 1300 кг; Н-3 - четырехтактный, мощность 500 л.с., масса 650 кг; Н-4 - двухтактный, мощность до 600 л.с.; Н-5 - двухтактный, 2000 л.с., масса 3000 кг; Н-6 - двухтактный, мощность 500 л.с., масса 380 кг. Буква "Н" означала "нефтяной", хотя фактически все эти двигатели должны были работать на газойле (дизельном топливе). Как видно, проектная масса для большинства из них устанавливалась из расчета 1,3...1,5 л.с./кг при максимальной мощности. Созданием 12-цилиндрового V-образного дизеля Н-2 в ЦНИДИ руководил профессор Л.К. Мартенс. Интересной особенностью конструкции было применение 6-цилиндрового поршневого компрессора для наддува. Впоследствии работы перенесли в Москву, в ЦИАМ. Опытный образец изготовили в 1932 г. на заводе № 24 в Москве, там же он проходил стендовые испытания. Задание на разработку Н-3 выдали в июле 1931 г. Лаборатории двигателей внутреннего сгорания (позднее УкрИДВС) в Харькове. Проектирование велось под руководством Я.М. Майера и Г.И. Аптекмана. Этот 12-цилиндровый V-образный дизель имел массу 650 кг, диаметр и ход поршня - 150 и 165 мм, соответственно. Опытный образец закончили постройкой только осенью 1934 г., дизель испытывался с декабря 1934 г. по июнь 1935 г. И хотя мощность двигателя оказалась ниже проектной (427 л.с.), значение этой работы трудно переоценить, поскольку именно эта конструкция легла в основу знаменитого танкового дизеля В-2 (9035).</w:t>
      </w:r>
    </w:p>
    <w:p w14:paraId="6FD37B88" w14:textId="77777777" w:rsidR="00BD12F1" w:rsidRPr="005E779E" w:rsidRDefault="00BD12F1" w:rsidP="00BD12F1">
      <w:pPr>
        <w:autoSpaceDE w:val="0"/>
        <w:autoSpaceDN w:val="0"/>
        <w:adjustRightInd w:val="0"/>
        <w:spacing w:after="0" w:line="240" w:lineRule="auto"/>
        <w:jc w:val="both"/>
        <w:rPr>
          <w:rFonts w:ascii="Times New Roman" w:hAnsi="Times New Roman"/>
          <w:color w:val="000000" w:themeColor="text1"/>
          <w:sz w:val="16"/>
          <w:szCs w:val="16"/>
        </w:rPr>
      </w:pPr>
    </w:p>
    <w:p w14:paraId="1F370E37" w14:textId="77777777" w:rsidR="00BD12F1" w:rsidRPr="005E779E" w:rsidRDefault="00BD12F1" w:rsidP="00BD12F1">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1931 г. в Управление ВВС ИАМ был представлен эскизный проект двигателя, получившего обозначение АН-1 ("авиационный нефтяной"). Общая компоновка и силовая схема двигателя были подобны примененным в микулинском М-34, но диаметр цилиндров и ход поршня были больше - 180 и 200 мм, соответственно. Рабочий объем получился огромным - 61,04 л. Каждый цилиндр имел по четыре клапана. Первый опытный образец АН-1 изготовили летом 1933 г. в мастерских ЦИАМ. Двигатель был безнаддувным, т. е. не имел приводного центробежного нагнетателя (ПЦН) вообще. На стендовых испытаниях, проведенных в 1933-1934 гг., отмечалась неустойчивая работа на малом газе, дизель плохо запускался при низких температурах. В процессе проектирования номинальную и максимальную мощность увеличили до 750 и 800 л.с., соответственно (9035).</w:t>
      </w:r>
    </w:p>
    <w:p w14:paraId="1E291D7D" w14:textId="77777777" w:rsidR="00BD12F1" w:rsidRPr="005E779E" w:rsidRDefault="00BD12F1" w:rsidP="00BD12F1">
      <w:pPr>
        <w:autoSpaceDE w:val="0"/>
        <w:autoSpaceDN w:val="0"/>
        <w:adjustRightInd w:val="0"/>
        <w:spacing w:after="0" w:line="240" w:lineRule="auto"/>
        <w:jc w:val="both"/>
        <w:rPr>
          <w:rFonts w:ascii="Times New Roman" w:hAnsi="Times New Roman"/>
          <w:color w:val="000000" w:themeColor="text1"/>
          <w:sz w:val="16"/>
          <w:szCs w:val="16"/>
        </w:rPr>
      </w:pPr>
    </w:p>
    <w:p w14:paraId="6BFCAA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1931 в ЦИАМ были завершены 100 час. испытания М-34, разработанного А.А.Микулиным в 1929-1930 в НАМИ. Для производства направили на завод Фрунзе (85,161).</w:t>
      </w:r>
    </w:p>
    <w:p w14:paraId="57314B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другим данным это было в ноябре 1931</w:t>
      </w:r>
    </w:p>
    <w:p w14:paraId="192082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FB3C8C7" w14:textId="77777777" w:rsidR="00BD12F1" w:rsidRPr="00142305" w:rsidRDefault="00BD12F1" w:rsidP="00BD12F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самом конце 1931 г. начались работы по проектированию редуктора для М-34, в июле г. было построено 9 двигателей для доводки и испытаний. 5 мая г. двигатель М-34Р прошел государственные испытания (см. табл.14 [46]. Редуктор (рис.3.41; 3.43) состоит из пары цилиндрических шестерен, одна из которых укреплена на носке коленчатого вала. Другая, ведомая, сидит на вале винта, ось которого смещена по отношению к оси двигателя. Обод ведомой шестерни передает усилия через систему пружин для уменьшения ударной нагрузки на зубья шестерен.</w:t>
      </w:r>
    </w:p>
    <w:p w14:paraId="2F2A82BD" w14:textId="77777777" w:rsidR="00BD12F1" w:rsidRPr="00142305" w:rsidRDefault="00BD12F1" w:rsidP="00BD12F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После окончания государственных испытаний самолета ТБ-3 с двигателем М-34Р самолет и двигатель были утверждены как эталон для серийного производства на 1934 г. (25039).</w:t>
      </w:r>
    </w:p>
    <w:p w14:paraId="0CE65DA9" w14:textId="77777777" w:rsidR="00BD12F1" w:rsidRPr="00142305" w:rsidRDefault="00BD12F1" w:rsidP="00BD12F1">
      <w:pPr>
        <w:spacing w:after="0" w:line="240" w:lineRule="auto"/>
        <w:jc w:val="both"/>
        <w:rPr>
          <w:rFonts w:ascii="Times New Roman" w:hAnsi="Times New Roman"/>
          <w:color w:val="0070C0"/>
          <w:sz w:val="16"/>
          <w:szCs w:val="16"/>
        </w:rPr>
      </w:pPr>
    </w:p>
    <w:p w14:paraId="5DF4D1E1" w14:textId="77777777" w:rsidR="00BD12F1" w:rsidRPr="00142305" w:rsidRDefault="00BD12F1" w:rsidP="00BD12F1">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В конце 1931 г. был разработан план опытного моторостроения на 1932-1933 гг., которым предусматривалась разработка и изготовление шести типов авиадизелей, в том числе мотора Н-1 – четырех</w:t>
      </w:r>
      <w:r w:rsidRPr="00142305">
        <w:rPr>
          <w:rStyle w:val="aff0"/>
          <w:rFonts w:ascii="Times New Roman" w:hAnsi="Times New Roman" w:cs="Times New Roman"/>
          <w:color w:val="0070C0"/>
          <w:spacing w:val="0"/>
          <w:sz w:val="16"/>
          <w:szCs w:val="16"/>
        </w:rPr>
        <w:softHyphen/>
        <w:t>тактного, мощностью 600 л.с. и массой 840 кг. Буква «Н» означала «нефтяной», хотя фактически он должен был работать на газойле.</w:t>
      </w:r>
    </w:p>
    <w:p w14:paraId="14248759" w14:textId="77777777" w:rsidR="00BD12F1" w:rsidRPr="00142305" w:rsidRDefault="00BD12F1" w:rsidP="00BD12F1">
      <w:pPr>
        <w:spacing w:after="0" w:line="240" w:lineRule="auto"/>
        <w:jc w:val="both"/>
        <w:rPr>
          <w:rStyle w:val="aff0"/>
          <w:rFonts w:ascii="Times New Roman" w:hAnsi="Times New Roman" w:cs="Times New Roman"/>
          <w:color w:val="0070C0"/>
          <w:spacing w:val="0"/>
          <w:sz w:val="16"/>
          <w:szCs w:val="16"/>
        </w:rPr>
      </w:pPr>
      <w:r w:rsidRPr="00142305">
        <w:rPr>
          <w:rStyle w:val="aff0"/>
          <w:rFonts w:ascii="Times New Roman" w:hAnsi="Times New Roman" w:cs="Times New Roman"/>
          <w:color w:val="0070C0"/>
          <w:spacing w:val="0"/>
          <w:sz w:val="16"/>
          <w:szCs w:val="16"/>
        </w:rPr>
        <w:t>В ЦИАМ дизелестроением занимался отдел нефтяных двигателей во главе с А.Д. Чаромским. Помимо ЦИАМ к работе над дизелями для самолетов подключили еще ряд НИИ и КБ: ленинградский ЦНИДИ, Особое КБ НКВД в Москве, а также два харьковских института – УНИАДИ и Институт промышленной энергетики (ИПЭ) (25145).</w:t>
      </w:r>
    </w:p>
    <w:p w14:paraId="5869164E" w14:textId="77777777" w:rsidR="00BD12F1" w:rsidRPr="00142305" w:rsidRDefault="00BD12F1" w:rsidP="00BD12F1">
      <w:pPr>
        <w:spacing w:after="0" w:line="240" w:lineRule="auto"/>
        <w:jc w:val="both"/>
        <w:rPr>
          <w:rFonts w:ascii="Times New Roman" w:hAnsi="Times New Roman"/>
          <w:color w:val="0070C0"/>
          <w:sz w:val="16"/>
          <w:szCs w:val="16"/>
        </w:rPr>
      </w:pPr>
    </w:p>
    <w:p w14:paraId="35B2F72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1931 г. ОНД представил Управлению ВВС проект четырехтактного 12-цилиндрового У-образного дизеля АН-1. Отделом нефтяных двигателей (ОНД) ИАМ руководил А.Д. Чаромский (1899-1982). Большая часть это</w:t>
      </w:r>
      <w:r w:rsidRPr="005E779E">
        <w:rPr>
          <w:rFonts w:ascii="Times New Roman" w:hAnsi="Times New Roman"/>
          <w:color w:val="000000" w:themeColor="text1"/>
          <w:sz w:val="16"/>
          <w:szCs w:val="16"/>
        </w:rPr>
        <w:softHyphen/>
        <w:t>го коллектива ранее работала в группе нефтяных двигателей НАМИ, где созданием быстроходных дизелей в свое время занимались такие известные конструкторы, как А.А. Микулин и В.Я. Климов. АН-1 стал основой большого семейства авиационных дизелей. Вслед за его первым образцом, изготовленным в 1933 г., появился ряд модифи</w:t>
      </w:r>
      <w:r w:rsidRPr="005E779E">
        <w:rPr>
          <w:rFonts w:ascii="Times New Roman" w:hAnsi="Times New Roman"/>
          <w:color w:val="000000" w:themeColor="text1"/>
          <w:sz w:val="16"/>
          <w:szCs w:val="16"/>
        </w:rPr>
        <w:softHyphen/>
        <w:t>каций — АН-1А, АН-1Р (с редуктором), АН-1РТК (с редуктором и турбонаддувом). Последний выпустили небольшой серией для расширенных испытаний. Этот двигатель очень долго доводился. Причиной в основном являлось отставание в области топливной аппаратуры. Форсунки, регуляторы, насо</w:t>
      </w:r>
      <w:r w:rsidRPr="005E779E">
        <w:rPr>
          <w:rFonts w:ascii="Times New Roman" w:hAnsi="Times New Roman"/>
          <w:color w:val="000000" w:themeColor="text1"/>
          <w:sz w:val="16"/>
          <w:szCs w:val="16"/>
        </w:rPr>
        <w:softHyphen/>
        <w:t>сы высокого давления импортировали из Германии. Там их делала фир</w:t>
      </w:r>
      <w:r w:rsidRPr="005E779E">
        <w:rPr>
          <w:rFonts w:ascii="Times New Roman" w:hAnsi="Times New Roman"/>
          <w:color w:val="000000" w:themeColor="text1"/>
          <w:sz w:val="16"/>
          <w:szCs w:val="16"/>
        </w:rPr>
        <w:softHyphen/>
        <w:t>ма «Бош». Лишь перед началом Великой Отечественной войны подобную аппаратуру начали выпускать в СССР. Она заимствовала компоновку и принципиальные решения немецких изделий, но не являлась их точной копией. К сожалению, советские насосы и форсунки тогда существенно уступали своим немецким прототипам по надежности и ресурсу. Длительная доводка АН-1 вновь привела к мысли скопировать запад</w:t>
      </w:r>
      <w:r w:rsidRPr="005E779E">
        <w:rPr>
          <w:rFonts w:ascii="Times New Roman" w:hAnsi="Times New Roman"/>
          <w:color w:val="000000" w:themeColor="text1"/>
          <w:sz w:val="16"/>
          <w:szCs w:val="16"/>
        </w:rPr>
        <w:softHyphen/>
        <w:t>ные авиационные дизели, на этот раз немецкие, с двумя противополож</w:t>
      </w:r>
      <w:r w:rsidRPr="005E779E">
        <w:rPr>
          <w:rFonts w:ascii="Times New Roman" w:hAnsi="Times New Roman"/>
          <w:color w:val="000000" w:themeColor="text1"/>
          <w:sz w:val="16"/>
          <w:szCs w:val="16"/>
        </w:rPr>
        <w:softHyphen/>
        <w:t>но движущимися поршнями в каждом цилиндре. Сначала довольно долго изучался 1шпо 4, затем ЦИАМ приказали скопировать захваченный в Ис</w:t>
      </w:r>
      <w:r w:rsidRPr="005E779E">
        <w:rPr>
          <w:rFonts w:ascii="Times New Roman" w:hAnsi="Times New Roman"/>
          <w:color w:val="000000" w:themeColor="text1"/>
          <w:sz w:val="16"/>
          <w:szCs w:val="16"/>
        </w:rPr>
        <w:softHyphen/>
        <w:t>пании более современный .што 205. Но в серийное производство все-таки пошли отечественные, а не иностранные авиадизели. Именно АН-1РТК стал основой для двух дизелей, выпускавшихся се</w:t>
      </w:r>
      <w:r w:rsidRPr="005E779E">
        <w:rPr>
          <w:rFonts w:ascii="Times New Roman" w:hAnsi="Times New Roman"/>
          <w:color w:val="000000" w:themeColor="text1"/>
          <w:sz w:val="16"/>
          <w:szCs w:val="16"/>
        </w:rPr>
        <w:softHyphen/>
        <w:t>рийно и состоявших на вооружении советских ВВС — М-30 и М-40. Первый из них создавался в ОКБ НКВД. Несмотря на старое название, это уже была другая организация, хотя принципы ее работы не измени</w:t>
      </w:r>
      <w:r w:rsidRPr="005E779E">
        <w:rPr>
          <w:rFonts w:ascii="Times New Roman" w:hAnsi="Times New Roman"/>
          <w:color w:val="000000" w:themeColor="text1"/>
          <w:sz w:val="16"/>
          <w:szCs w:val="16"/>
        </w:rPr>
        <w:softHyphen/>
        <w:t>лись — двигатели там проектировали инженеры-заключенные. Только те</w:t>
      </w:r>
      <w:r w:rsidRPr="005E779E">
        <w:rPr>
          <w:rFonts w:ascii="Times New Roman" w:hAnsi="Times New Roman"/>
          <w:color w:val="000000" w:themeColor="text1"/>
          <w:sz w:val="16"/>
          <w:szCs w:val="16"/>
        </w:rPr>
        <w:softHyphen/>
        <w:t>перь их именовали не «вредителями», а «врагами народа» или «иностран</w:t>
      </w:r>
      <w:r w:rsidRPr="005E779E">
        <w:rPr>
          <w:rFonts w:ascii="Times New Roman" w:hAnsi="Times New Roman"/>
          <w:color w:val="000000" w:themeColor="text1"/>
          <w:sz w:val="16"/>
          <w:szCs w:val="16"/>
        </w:rPr>
        <w:softHyphen/>
        <w:t>ными шпионами». Среди них оказались А.Д. Чаромский, Б.С. Стечкин, А.С. Назаров, В.П. Глушко и швейцарский инженер У. Келлер из фирмы «Зульцер», собиравший данные об эксплуатации ее дизелей в России и обвиненный в шпионаже. ОКБ НКВД во второй половине 1938 г. передали завод № 82 в Тушино (ныне завод им. Чернышева), ранее выпускавший звездообразные карбю</w:t>
      </w:r>
      <w:r w:rsidRPr="005E779E">
        <w:rPr>
          <w:rFonts w:ascii="Times New Roman" w:hAnsi="Times New Roman"/>
          <w:color w:val="000000" w:themeColor="text1"/>
          <w:sz w:val="16"/>
          <w:szCs w:val="16"/>
        </w:rPr>
        <w:softHyphen/>
        <w:t>раторные двигатели малой и средней мощности для нужд ГВФ. Глав</w:t>
      </w:r>
      <w:r w:rsidRPr="005E779E">
        <w:rPr>
          <w:rFonts w:ascii="Times New Roman" w:hAnsi="Times New Roman"/>
          <w:color w:val="000000" w:themeColor="text1"/>
          <w:sz w:val="16"/>
          <w:szCs w:val="16"/>
        </w:rPr>
        <w:softHyphen/>
        <w:t xml:space="preserve">ным конструкторм ОКБ являлся инженер Ф.Я. Тулупов (вольный). Там на основе АН-1РТК подготовили дизель М-30, который небольшими сериями выпускался в Тушино до октября 1941 г. </w:t>
      </w:r>
      <w:r w:rsidRPr="005E779E">
        <w:rPr>
          <w:rFonts w:ascii="Times New Roman" w:hAnsi="Times New Roman"/>
          <w:color w:val="000000" w:themeColor="text1"/>
          <w:sz w:val="16"/>
          <w:szCs w:val="16"/>
        </w:rPr>
        <w:lastRenderedPageBreak/>
        <w:t>Параллельно с М-30 в ЦИАМ под руководством В.М. Яковлева создали другую модификацию АН-1РТК, названную М-40. Оба двигателя имели много общего и отличались в основном исполнением системы наддува. М-40 тоже запустили в серийное производство на Кировском заводе в Ленинграде. В ЦИАМ также работали над другими типами авиадизелей. В 1933 г. институту выдали задание на звездообразный дизель воздушного охлажде</w:t>
      </w:r>
      <w:r w:rsidRPr="005E779E">
        <w:rPr>
          <w:rFonts w:ascii="Times New Roman" w:hAnsi="Times New Roman"/>
          <w:color w:val="000000" w:themeColor="text1"/>
          <w:sz w:val="16"/>
          <w:szCs w:val="16"/>
        </w:rPr>
        <w:softHyphen/>
        <w:t>ния Н-9. Этот двигатель, по-видимому, даже не дошел до стадии опытного образца. Зато долго возились с М-87Д, 14-цилиндровым дизелем на базе бензинового мотора М-87. Его совместно с запорожским заводом № 29 доводили до 1940 г., но безуспешно. Перед самой Великой Отечественной войной в ЦИАМ работали над мощ</w:t>
      </w:r>
      <w:r w:rsidRPr="005E779E">
        <w:rPr>
          <w:rFonts w:ascii="Times New Roman" w:hAnsi="Times New Roman"/>
          <w:color w:val="000000" w:themeColor="text1"/>
          <w:sz w:val="16"/>
          <w:szCs w:val="16"/>
        </w:rPr>
        <w:softHyphen/>
        <w:t>ным 48-цилиндровым дизелем М-20 в 2200 л.с. (позднее 3000 л.с.). Мотор имел необычную ромбическую схему с двумя противоположно движущимися поршнями в каждом цилиндре. В 1940 г. испытали отсек такого двигателя с четырьмя цилиндрами. Затем некоторое время работали над АН-5 — «по</w:t>
      </w:r>
      <w:r w:rsidRPr="005E779E">
        <w:rPr>
          <w:rFonts w:ascii="Times New Roman" w:hAnsi="Times New Roman"/>
          <w:color w:val="000000" w:themeColor="text1"/>
          <w:sz w:val="16"/>
          <w:szCs w:val="16"/>
        </w:rPr>
        <w:softHyphen/>
        <w:t>ловинкой» от М-20 с 24 цилиндрами и мощностью до 1700 л.с. Еще одной организацией, занимавшейся перед войной авиадизелями, яв</w:t>
      </w:r>
      <w:r w:rsidRPr="005E779E">
        <w:rPr>
          <w:rFonts w:ascii="Times New Roman" w:hAnsi="Times New Roman"/>
          <w:color w:val="000000" w:themeColor="text1"/>
          <w:sz w:val="16"/>
          <w:szCs w:val="16"/>
        </w:rPr>
        <w:softHyphen/>
        <w:t>лялся НИИ ГВФ. С самого начала в его составе имелся моторный отдел, выделенный затем в самостоятельный НИИ авиадвигателей ГВФ (НИИ АД ГВФ), а потом вновь слитый с головным НИИ ГВФ. В него входил отдел двигателей тяжелого топлива, возглавлявшийся Т.М. Мелькумовым (1902-1974). Там работали над небольшим дизелем воздушного охлажде</w:t>
      </w:r>
      <w:r w:rsidRPr="005E779E">
        <w:rPr>
          <w:rFonts w:ascii="Times New Roman" w:hAnsi="Times New Roman"/>
          <w:color w:val="000000" w:themeColor="text1"/>
          <w:sz w:val="16"/>
          <w:szCs w:val="16"/>
        </w:rPr>
        <w:softHyphen/>
        <w:t>ния Д-11, использовавшим узлы и агрегаты широко распространенного звездообразного мотора М-11. Этот дизель проходил стендовые и летные (на биплане У-2) испытания. Завод № 82 начал даже изготовлять серию из 100 Д-11, но после передачи предприятия НКВД конструкторов из НИИ ГВФ перевели в Воронеж, на завод № 154. Мелькумов продолжил работу в Военно-воздушной академии, где преподавал. Там в 1939-1940 гг. в мастерских доводили Д-11, собирая их из деталей задела завода № 82. Заводу № 154 поручили на базе Д-11 сделать дизель М-10 в 130 л.с. Этот пункт стоял в плане до конца 1943 г., но М-10 так и не был создан. М-30 и М-40, устанавливавшиеся на тяжелых бомбардировщиках ТБ-7 (Пе-8), плохо проявили себя в эксплуатации. Трудно было регулировать подачу топлива, двигатели самопроизвольно глохли и не желали затем за</w:t>
      </w:r>
      <w:r w:rsidRPr="005E779E">
        <w:rPr>
          <w:rFonts w:ascii="Times New Roman" w:hAnsi="Times New Roman"/>
          <w:color w:val="000000" w:themeColor="text1"/>
          <w:sz w:val="16"/>
          <w:szCs w:val="16"/>
        </w:rPr>
        <w:softHyphen/>
        <w:t>пускаться на больших высотах, особенно на холоде. Уже с августа 1941 г. их стали снимать с самолетов, а с конца года их выпуск прекратили (11852).</w:t>
      </w:r>
    </w:p>
    <w:p w14:paraId="2DC18C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7D96AD4" w14:textId="77777777" w:rsidR="00076139" w:rsidRPr="00142305" w:rsidRDefault="00076139" w:rsidP="00076139">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В конце 1931 г. в Управление ВВС был представлен эскизный проект двигателя АН-1 («авиационный нефтяной»). Общая компоновка и силовая схема двигателя были подобны примененным в микулинском М-34, но диаметр цилиндров и ход поршня увели</w:t>
      </w:r>
      <w:r w:rsidRPr="00142305">
        <w:rPr>
          <w:rStyle w:val="aff0"/>
          <w:rFonts w:ascii="Times New Roman" w:hAnsi="Times New Roman" w:cs="Times New Roman"/>
          <w:color w:val="0070C0"/>
          <w:spacing w:val="0"/>
          <w:sz w:val="16"/>
          <w:szCs w:val="16"/>
        </w:rPr>
        <w:softHyphen/>
        <w:t>чены – 180 и 200 мм соответственно. Рабочий объем получился огромным – 61,04 л. Каждый цилиндр имел по четыре клапана. Первый опытный образец АН-1 изготовили летом 1933 г. в мастерских ЦИАМ. Двигатель был безнаддувным, т.е. еще не имел приво</w:t>
      </w:r>
      <w:r w:rsidRPr="00142305">
        <w:rPr>
          <w:rStyle w:val="aff0"/>
          <w:rFonts w:ascii="Times New Roman" w:hAnsi="Times New Roman" w:cs="Times New Roman"/>
          <w:color w:val="0070C0"/>
          <w:spacing w:val="0"/>
          <w:sz w:val="16"/>
          <w:szCs w:val="16"/>
        </w:rPr>
        <w:softHyphen/>
        <w:t>дного центробежного нагнетателя. На стендовых испытаниях в 1933-1934 гг. отмечалась его неустой</w:t>
      </w:r>
      <w:r w:rsidRPr="00142305">
        <w:rPr>
          <w:rStyle w:val="aff0"/>
          <w:rFonts w:ascii="Times New Roman" w:hAnsi="Times New Roman" w:cs="Times New Roman"/>
          <w:color w:val="0070C0"/>
          <w:spacing w:val="0"/>
          <w:sz w:val="16"/>
          <w:szCs w:val="16"/>
        </w:rPr>
        <w:softHyphen/>
        <w:t>чивая работа на режиме малого газа; дизель плохо запускался при низких температурах. В процессе отладки номинальную и максимальную мощность удалось довести до 750 и 800 л.с. соответственно (25145).</w:t>
      </w:r>
    </w:p>
    <w:p w14:paraId="3AE3EB6E" w14:textId="77777777" w:rsidR="00076139" w:rsidRPr="00142305" w:rsidRDefault="00076139" w:rsidP="00076139">
      <w:pPr>
        <w:spacing w:after="0" w:line="240" w:lineRule="auto"/>
        <w:jc w:val="both"/>
        <w:rPr>
          <w:rFonts w:ascii="Times New Roman" w:hAnsi="Times New Roman"/>
          <w:color w:val="0070C0"/>
          <w:sz w:val="16"/>
          <w:szCs w:val="16"/>
        </w:rPr>
      </w:pPr>
    </w:p>
    <w:p w14:paraId="7EA5A0C7" w14:textId="77777777" w:rsidR="00CA22D8" w:rsidRPr="005E779E" w:rsidRDefault="00CA22D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Только в конце 1931 г., через четыре года после начала переговоров о выпуске двигателей Гном-Рон G.R.9 в СССР первые серийные двигатели М-22 производства завода №29 по полному циклу полностью из отечественных деталей (но некоторые комплектующие агрегаты остались покупными) сданы для установки на строящиеся самолеты. Всего в этом году построено 28 серийных двигателей М-22 межремонтным с ресурсом 100 ч. (24115).</w:t>
      </w:r>
    </w:p>
    <w:p w14:paraId="3315DC64" w14:textId="77777777" w:rsidR="00CA22D8" w:rsidRPr="005E779E" w:rsidRDefault="00CA22D8" w:rsidP="000B7A6C">
      <w:pPr>
        <w:spacing w:after="0" w:line="240" w:lineRule="auto"/>
        <w:jc w:val="both"/>
        <w:rPr>
          <w:rFonts w:ascii="Times New Roman" w:hAnsi="Times New Roman"/>
          <w:color w:val="000000" w:themeColor="text1"/>
          <w:sz w:val="16"/>
          <w:szCs w:val="16"/>
        </w:rPr>
      </w:pPr>
    </w:p>
    <w:p w14:paraId="753B070B" w14:textId="77777777" w:rsidR="008F5899" w:rsidRPr="005E779E" w:rsidRDefault="008F5899" w:rsidP="000B7A6C">
      <w:pPr>
        <w:pStyle w:val="affb"/>
        <w:shd w:val="clear" w:color="auto" w:fill="FFFFFF"/>
        <w:spacing w:before="0" w:beforeAutospacing="0" w:after="0" w:afterAutospacing="0"/>
        <w:jc w:val="both"/>
        <w:rPr>
          <w:color w:val="000000" w:themeColor="text1"/>
          <w:sz w:val="16"/>
          <w:szCs w:val="16"/>
        </w:rPr>
      </w:pPr>
      <w:r w:rsidRPr="005E779E">
        <w:rPr>
          <w:color w:val="000000" w:themeColor="text1"/>
          <w:sz w:val="16"/>
          <w:szCs w:val="16"/>
        </w:rPr>
        <w:t>В конце 1931 года Самолетостроительный трест направил на завод №18 на должность заместителя начальника серийного конструкторского отдела А. С. Москалева (1904–1982), ставшего впоследствии известным советским авиаконструктором (19822).</w:t>
      </w:r>
    </w:p>
    <w:p w14:paraId="748A25CE" w14:textId="77777777" w:rsidR="008F5899" w:rsidRPr="005E779E" w:rsidRDefault="008F5899" w:rsidP="000B7A6C">
      <w:pPr>
        <w:pStyle w:val="affb"/>
        <w:shd w:val="clear" w:color="auto" w:fill="FFFFFF"/>
        <w:spacing w:before="0" w:beforeAutospacing="0" w:after="0" w:afterAutospacing="0"/>
        <w:jc w:val="both"/>
        <w:rPr>
          <w:color w:val="000000" w:themeColor="text1"/>
          <w:sz w:val="16"/>
          <w:szCs w:val="16"/>
        </w:rPr>
      </w:pPr>
    </w:p>
    <w:p w14:paraId="76D6FA1B" w14:textId="77777777" w:rsidR="003B31EB" w:rsidRPr="005E779E" w:rsidRDefault="003B31E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концу 1931 АНТ-20 (пассажирский вариант ТБ-4 для ВВС) сняли с плана работ НАГИ.</w:t>
      </w:r>
    </w:p>
    <w:p w14:paraId="3045C270" w14:textId="77777777" w:rsidR="003B31EB" w:rsidRPr="005E779E" w:rsidRDefault="003B31E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Поэтому, когда возник вопрос о МГ, Туполев и предложил за про</w:t>
      </w:r>
      <w:r w:rsidRPr="005E779E">
        <w:rPr>
          <w:rFonts w:ascii="Times New Roman" w:hAnsi="Times New Roman"/>
          <w:color w:val="000000" w:themeColor="text1"/>
          <w:sz w:val="16"/>
          <w:szCs w:val="16"/>
        </w:rPr>
        <w:softHyphen/>
        <w:t>тотип «МГ» взять именно этот, снятый с дальнейшего проектирования. АНТ-20. А заводской шифр АНТ-20 перешел «по на</w:t>
      </w:r>
      <w:r w:rsidRPr="005E779E">
        <w:rPr>
          <w:rFonts w:ascii="Times New Roman" w:hAnsi="Times New Roman"/>
          <w:color w:val="000000" w:themeColor="text1"/>
          <w:sz w:val="16"/>
          <w:szCs w:val="16"/>
        </w:rPr>
        <w:softHyphen/>
        <w:t>следству» к «МГ». Это предложение все одобрили.</w:t>
      </w:r>
    </w:p>
    <w:p w14:paraId="7F411A6D" w14:textId="77777777" w:rsidR="003B31EB" w:rsidRPr="005E779E" w:rsidRDefault="003B31E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Различия между «МГ» и прототипом в основном сводились к заметному увели</w:t>
      </w:r>
      <w:r w:rsidRPr="005E779E">
        <w:rPr>
          <w:rFonts w:ascii="Times New Roman" w:hAnsi="Times New Roman"/>
          <w:color w:val="000000" w:themeColor="text1"/>
          <w:sz w:val="16"/>
          <w:szCs w:val="16"/>
        </w:rPr>
        <w:softHyphen/>
        <w:t>чению линейных размеров: размах крыла стал больше на 10—12 метров, фюзеляж удлинился, изменилось вертикальное оперение. Благодаря этому при разработ</w:t>
      </w:r>
      <w:r w:rsidRPr="005E779E">
        <w:rPr>
          <w:rFonts w:ascii="Times New Roman" w:hAnsi="Times New Roman"/>
          <w:color w:val="000000" w:themeColor="text1"/>
          <w:sz w:val="16"/>
          <w:szCs w:val="16"/>
        </w:rPr>
        <w:softHyphen/>
        <w:t>ке эскизного проекта «МГ» стало воз</w:t>
      </w:r>
      <w:r w:rsidRPr="005E779E">
        <w:rPr>
          <w:rFonts w:ascii="Times New Roman" w:hAnsi="Times New Roman"/>
          <w:color w:val="000000" w:themeColor="text1"/>
          <w:sz w:val="16"/>
          <w:szCs w:val="16"/>
        </w:rPr>
        <w:softHyphen/>
        <w:t>можным использовать многие материалы эскизного проекта пассажирского вари</w:t>
      </w:r>
      <w:r w:rsidRPr="005E779E">
        <w:rPr>
          <w:rFonts w:ascii="Times New Roman" w:hAnsi="Times New Roman"/>
          <w:color w:val="000000" w:themeColor="text1"/>
          <w:sz w:val="16"/>
          <w:szCs w:val="16"/>
        </w:rPr>
        <w:softHyphen/>
        <w:t>анта ТБ-4 (21240).</w:t>
      </w:r>
    </w:p>
    <w:p w14:paraId="7F9FBC55" w14:textId="77777777" w:rsidR="003B31EB" w:rsidRPr="005E779E" w:rsidRDefault="003B31EB" w:rsidP="000B7A6C">
      <w:pPr>
        <w:spacing w:after="0" w:line="240" w:lineRule="auto"/>
        <w:jc w:val="both"/>
        <w:rPr>
          <w:rFonts w:ascii="Times New Roman" w:hAnsi="Times New Roman"/>
          <w:color w:val="000000" w:themeColor="text1"/>
          <w:sz w:val="16"/>
          <w:szCs w:val="16"/>
        </w:rPr>
      </w:pPr>
    </w:p>
    <w:p w14:paraId="72D956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1931 группа Ниренберга из Осконбюро получила небольшое помещение на ЦА для работ по автопилоту АВП-1 (390,124).</w:t>
      </w:r>
    </w:p>
    <w:p w14:paraId="16E8D5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D52B4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1931 и весной 1932 на ТБ-1 поставили 2 И-4 по системе В.С.Вахмистрова. ТБ-1 пилотировал А.И.Залевский, а И-4 - А.Ф.Анисимов и В.П.Чкалов (2782,24).</w:t>
      </w:r>
    </w:p>
    <w:p w14:paraId="68E7B8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C92CD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1931 года из состава завода № 1 было выделено подсобное производство в самостоятельные заводы:</w:t>
      </w:r>
    </w:p>
    <w:p w14:paraId="46D158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металлургического производства – завод № 34</w:t>
      </w:r>
    </w:p>
    <w:p w14:paraId="684EF5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производства предметов вооружения – завод № 32 (9291).</w:t>
      </w:r>
    </w:p>
    <w:p w14:paraId="382C9C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2813B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концу 1931 года НИИ ГВФ был сформирован, причем в этом же году был выпущен первый цельностальной самолет электросварной конструкции Сталь-2. К организации НИИ ГВФ на базе маленькой ячейки – группы инженера Путилова по стальному самолетостроению было приступлено с конца 1930 года (ноябрь).</w:t>
      </w:r>
    </w:p>
    <w:p w14:paraId="52E4ED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мысли командования НИИ ГВФ должен был составлять комплексный институт опытного, экспериментального строительства самолетов, исключительно из нержавеющей стали и одновременно иметь ряд отделов (самолетный, моторный, радио, электро и др.) по эксплуатации ………………………..(7738, 144-139).</w:t>
      </w:r>
    </w:p>
    <w:p w14:paraId="3384CC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8963B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1931 г. Управление ГВФ начало комплектовать эскадрилью особого назначения для переброски матриц газеты «Правда» в крупные города Советского Союза. В эскадрилью подбирались лучшш пилоты, обладающие навыками полетов в сложных метеоусловиях и но чью. Для таких полетов Р-5, обладающий хорошей устойчивостью, под ходил наилучшим образом, поэтому эскадрилья была в основном укомп лектована этими машинами. По разному проходили эти полеты. Вот как вспоминал об этих днях М.В.Водопьянов: «С матрицами я вылетал ночью, за два часа до рассве та, с тем расчетом, чтобы ленинградские рабочие могли читать газе ту не только в тот же день, но даже в тот же час, как и московские. Из Москвы можно вылетать только на лыжах. Но в Ленинграде не бьш снега и посадка была возможна только на колесах. Тут пригодились добавочные баки. Я прилетал в Ленинград, не делая посадки, сбрасывал в условленном месте матрицы и возвращался в Москву. Весь полет в обе конца занимал семь часов».</w:t>
      </w:r>
    </w:p>
    <w:p w14:paraId="066E45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F6581A0" w14:textId="77777777" w:rsidR="00520F40" w:rsidRPr="005E779E" w:rsidRDefault="00520F40"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1931 года Самолетостроительный трест направил на завод №18 на должность заместителя начальника серийного конструкторского отдела А. С. Москалева (1904–1982), ставшего впоследствии известным советским авиаконструктором (17288).</w:t>
      </w:r>
    </w:p>
    <w:p w14:paraId="042AAB20" w14:textId="77777777" w:rsidR="00520F40" w:rsidRPr="005E779E" w:rsidRDefault="00520F40" w:rsidP="000B7A6C">
      <w:pPr>
        <w:autoSpaceDE w:val="0"/>
        <w:autoSpaceDN w:val="0"/>
        <w:adjustRightInd w:val="0"/>
        <w:spacing w:after="0" w:line="240" w:lineRule="auto"/>
        <w:jc w:val="both"/>
        <w:rPr>
          <w:rFonts w:ascii="Times New Roman" w:hAnsi="Times New Roman"/>
          <w:color w:val="000000" w:themeColor="text1"/>
          <w:sz w:val="16"/>
          <w:szCs w:val="16"/>
        </w:rPr>
      </w:pPr>
    </w:p>
    <w:p w14:paraId="00B181D9" w14:textId="77777777" w:rsidR="003B4A71" w:rsidRPr="005E779E" w:rsidRDefault="003B4A7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В конце 1931 года авиазавод в Нижнем Новгороде был окончательно ориентирован на изготовление истребителей И-5 конструкции Н Н.Поликарпова и Д.П.Григоровича с моторами М-15 и М-22. Серийным заводом по выпуску И-5 в 1931 году был определен завод №1, а до этого малую серию в 12 самолетов выпустил завод №39 им. Менжинского. Предпринимались попытки выпуска самолетов И-5 в Харькове и на заводе №22 в Филях (21100).</w:t>
      </w:r>
    </w:p>
    <w:p w14:paraId="34CF0E6A" w14:textId="77777777" w:rsidR="003B4A71" w:rsidRPr="005E779E" w:rsidRDefault="003B4A71" w:rsidP="000B7A6C">
      <w:pPr>
        <w:spacing w:after="0" w:line="240" w:lineRule="auto"/>
        <w:jc w:val="both"/>
        <w:rPr>
          <w:rFonts w:ascii="Times New Roman" w:hAnsi="Times New Roman"/>
          <w:color w:val="000000" w:themeColor="text1"/>
          <w:sz w:val="16"/>
          <w:szCs w:val="16"/>
          <w:lang w:eastAsia="ru-RU" w:bidi="ru-RU"/>
        </w:rPr>
      </w:pPr>
    </w:p>
    <w:p w14:paraId="73F38F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концу 1931 года производства завода № 1 - самолетостроение, а литейноелитейное, листопрокатное и трубоволочильное (по цветным металлам), ленторасчалочное, радиаторное, стрелковое и бомбардировочное вооружение - были реорганизованы в отдельные самостоятельные заводы.</w:t>
      </w:r>
    </w:p>
    <w:p w14:paraId="61D496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 1 был перебазирован на новые специально для него выстроенные площади.</w:t>
      </w:r>
    </w:p>
    <w:p w14:paraId="339838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Прежняя территория завода № 1 была перераспределена между двумя вновь организованными заводами:</w:t>
      </w:r>
    </w:p>
    <w:p w14:paraId="71C36A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32 – производство колесное, радиаторное и вооружения (стрелковое и бомбардировочное)</w:t>
      </w:r>
    </w:p>
    <w:p w14:paraId="70D734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34 – производство листопрокатное, трубоволочильное (по цветным металлам) и ленторасчалочное. В 1934 году с завода № 32 было передано другим заводам производство радиаторов и колес, а завод № 32 стал изготовлять исключительно стрелковое и бомбардировочное вооружение. В начале ноября 1941 года завод № 32 был полностью эвакуирован в Киров, а на его площадях в ноябре и декабре 1941 года были организованы мастерские, которые наладили производство и выпуск винтовочно-шомпольных противотанковых гранат Сердюка ГС-1, гранатометов, ежей для противотанковых заграждений и пистолета-пулемета Шпагина (ППШ).</w:t>
      </w:r>
    </w:p>
    <w:p w14:paraId="0B13C4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Характерными этапами с момента организации завода № 43 можно считать следующие:</w:t>
      </w:r>
    </w:p>
    <w:p w14:paraId="1069F1FC"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Работа завода в период ВОВ.</w:t>
      </w:r>
    </w:p>
    <w:p w14:paraId="4B7500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 исполнение Постановления ГКО и приказа НКАП за № 1190сс от 27 декабря 1941 года на площадях бывш. завода № 32 был организован завод № 43 по производству агрегатного вооружения. Этим же постановлением ГКО и приказом НКАП была возложена на завод № 43 организация массового выпуска изделий ППШ.</w:t>
      </w:r>
    </w:p>
    <w:p w14:paraId="629592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приближения конструкторов к обслуживанию требований фронта и перевооружения иностранных самолетов в соответствии с приказом НКАП за № 146с от 21 февраля 1942 года на заводе № 43 было организовано ОКБ по бомбардировочным, миннотерпедным и стрелковым установкам.</w:t>
      </w:r>
    </w:p>
    <w:p w14:paraId="1F200B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конструктором завода № 43 по серийному и опытному производству был назначен гл. конструктор ОКБ-1 завода № 32 Шульгин А.И.</w:t>
      </w:r>
    </w:p>
    <w:p w14:paraId="2B5905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 период ВОВ завод создал и выпустил в массовом количестве 34 наименования боевого авиационного вооружения.</w:t>
      </w:r>
    </w:p>
    <w:p w14:paraId="113019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 целях сосредоточения основных конструкторских сил в одном месте и создания мощной опытной базы по бомбардировочным и стрелковым установкам авиационного вооружения постановлением ГКО за № 5971 от 30 мая 1944 года и приказом МАП за № 484с от 3 августа 1944 года на базе ОКБ-43 и ОКБ-32 было решено организовать на заводе № 43 объединенное КБ по бомбардировочным и стрелковым установкам авиационного вооружения.</w:t>
      </w:r>
    </w:p>
    <w:p w14:paraId="7D59C2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конструктором ОКБ-43 и завода № 43 по сериному производству был назначен Торопов И.И.</w:t>
      </w:r>
    </w:p>
    <w:p w14:paraId="778104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Динамика выпуска оборонной продукции по важнейшим видам изделий в период ВОВ 1941-1945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7"/>
        <w:gridCol w:w="1145"/>
        <w:gridCol w:w="1134"/>
        <w:gridCol w:w="1134"/>
        <w:gridCol w:w="1134"/>
        <w:gridCol w:w="1134"/>
        <w:gridCol w:w="1275"/>
      </w:tblGrid>
      <w:tr w:rsidR="001002C3" w:rsidRPr="005E779E" w14:paraId="3484B3E3" w14:textId="77777777">
        <w:tc>
          <w:tcPr>
            <w:tcW w:w="1657" w:type="dxa"/>
          </w:tcPr>
          <w:p w14:paraId="2BA7E8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Наименование изделий</w:t>
            </w:r>
          </w:p>
        </w:tc>
        <w:tc>
          <w:tcPr>
            <w:tcW w:w="1145" w:type="dxa"/>
          </w:tcPr>
          <w:p w14:paraId="63A154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Единица измерений</w:t>
            </w:r>
          </w:p>
        </w:tc>
        <w:tc>
          <w:tcPr>
            <w:tcW w:w="1134" w:type="dxa"/>
          </w:tcPr>
          <w:p w14:paraId="3F2CD3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 1942 год</w:t>
            </w:r>
          </w:p>
        </w:tc>
        <w:tc>
          <w:tcPr>
            <w:tcW w:w="1134" w:type="dxa"/>
          </w:tcPr>
          <w:p w14:paraId="35A7F2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 1943 год</w:t>
            </w:r>
          </w:p>
        </w:tc>
        <w:tc>
          <w:tcPr>
            <w:tcW w:w="1134" w:type="dxa"/>
          </w:tcPr>
          <w:p w14:paraId="070685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 1944 год</w:t>
            </w:r>
          </w:p>
        </w:tc>
        <w:tc>
          <w:tcPr>
            <w:tcW w:w="1134" w:type="dxa"/>
          </w:tcPr>
          <w:p w14:paraId="204EAF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За1945 год</w:t>
            </w:r>
          </w:p>
        </w:tc>
        <w:tc>
          <w:tcPr>
            <w:tcW w:w="1275" w:type="dxa"/>
          </w:tcPr>
          <w:p w14:paraId="05A20A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w:t>
            </w:r>
          </w:p>
        </w:tc>
      </w:tr>
      <w:tr w:rsidR="001002C3" w:rsidRPr="005E779E" w14:paraId="1BCC7922" w14:textId="77777777">
        <w:tc>
          <w:tcPr>
            <w:tcW w:w="1657" w:type="dxa"/>
          </w:tcPr>
          <w:p w14:paraId="61F5D0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Пистолет-пулемет Шпагина</w:t>
            </w:r>
          </w:p>
        </w:tc>
        <w:tc>
          <w:tcPr>
            <w:tcW w:w="1145" w:type="dxa"/>
          </w:tcPr>
          <w:p w14:paraId="2E48B7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Штук</w:t>
            </w:r>
          </w:p>
        </w:tc>
        <w:tc>
          <w:tcPr>
            <w:tcW w:w="1134" w:type="dxa"/>
          </w:tcPr>
          <w:p w14:paraId="36A4C5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63741</w:t>
            </w:r>
          </w:p>
        </w:tc>
        <w:tc>
          <w:tcPr>
            <w:tcW w:w="1134" w:type="dxa"/>
          </w:tcPr>
          <w:p w14:paraId="6A3E3D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99232</w:t>
            </w:r>
          </w:p>
        </w:tc>
        <w:tc>
          <w:tcPr>
            <w:tcW w:w="1134" w:type="dxa"/>
          </w:tcPr>
          <w:p w14:paraId="70CC2D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128643</w:t>
            </w:r>
          </w:p>
        </w:tc>
        <w:tc>
          <w:tcPr>
            <w:tcW w:w="1134" w:type="dxa"/>
          </w:tcPr>
          <w:p w14:paraId="63F79B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44035</w:t>
            </w:r>
          </w:p>
        </w:tc>
        <w:tc>
          <w:tcPr>
            <w:tcW w:w="1275" w:type="dxa"/>
          </w:tcPr>
          <w:p w14:paraId="2D0E61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335651</w:t>
            </w:r>
          </w:p>
        </w:tc>
      </w:tr>
      <w:tr w:rsidR="001002C3" w:rsidRPr="005E779E" w14:paraId="2093FAE0" w14:textId="77777777">
        <w:tc>
          <w:tcPr>
            <w:tcW w:w="1657" w:type="dxa"/>
          </w:tcPr>
          <w:p w14:paraId="0E4FC2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Крыльевой лафет ИЛ-2</w:t>
            </w:r>
          </w:p>
        </w:tc>
        <w:tc>
          <w:tcPr>
            <w:tcW w:w="1145" w:type="dxa"/>
          </w:tcPr>
          <w:p w14:paraId="24F013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Комплект</w:t>
            </w:r>
          </w:p>
        </w:tc>
        <w:tc>
          <w:tcPr>
            <w:tcW w:w="1134" w:type="dxa"/>
          </w:tcPr>
          <w:p w14:paraId="292238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3856</w:t>
            </w:r>
          </w:p>
        </w:tc>
        <w:tc>
          <w:tcPr>
            <w:tcW w:w="1134" w:type="dxa"/>
          </w:tcPr>
          <w:p w14:paraId="20DDC5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3888</w:t>
            </w:r>
          </w:p>
        </w:tc>
        <w:tc>
          <w:tcPr>
            <w:tcW w:w="1134" w:type="dxa"/>
          </w:tcPr>
          <w:p w14:paraId="76DBE7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34" w:type="dxa"/>
          </w:tcPr>
          <w:p w14:paraId="6D47F4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275" w:type="dxa"/>
          </w:tcPr>
          <w:p w14:paraId="7C88A0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7744</w:t>
            </w:r>
          </w:p>
        </w:tc>
      </w:tr>
      <w:tr w:rsidR="001002C3" w:rsidRPr="005E779E" w14:paraId="7CD7892F" w14:textId="77777777">
        <w:tc>
          <w:tcPr>
            <w:tcW w:w="1657" w:type="dxa"/>
          </w:tcPr>
          <w:p w14:paraId="680C20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Крыльевой лафет БС-ЯК-7</w:t>
            </w:r>
          </w:p>
        </w:tc>
        <w:tc>
          <w:tcPr>
            <w:tcW w:w="1145" w:type="dxa"/>
          </w:tcPr>
          <w:p w14:paraId="34456A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Комплект</w:t>
            </w:r>
          </w:p>
        </w:tc>
        <w:tc>
          <w:tcPr>
            <w:tcW w:w="1134" w:type="dxa"/>
          </w:tcPr>
          <w:p w14:paraId="660C62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230</w:t>
            </w:r>
          </w:p>
        </w:tc>
        <w:tc>
          <w:tcPr>
            <w:tcW w:w="1134" w:type="dxa"/>
          </w:tcPr>
          <w:p w14:paraId="041A17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1029</w:t>
            </w:r>
          </w:p>
        </w:tc>
        <w:tc>
          <w:tcPr>
            <w:tcW w:w="1134" w:type="dxa"/>
          </w:tcPr>
          <w:p w14:paraId="78105B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190</w:t>
            </w:r>
          </w:p>
        </w:tc>
        <w:tc>
          <w:tcPr>
            <w:tcW w:w="1134" w:type="dxa"/>
          </w:tcPr>
          <w:p w14:paraId="26A2A8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275" w:type="dxa"/>
          </w:tcPr>
          <w:p w14:paraId="493477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1449</w:t>
            </w:r>
          </w:p>
        </w:tc>
      </w:tr>
      <w:tr w:rsidR="001002C3" w:rsidRPr="005E779E" w14:paraId="63E243F4" w14:textId="77777777">
        <w:tc>
          <w:tcPr>
            <w:tcW w:w="1657" w:type="dxa"/>
          </w:tcPr>
          <w:p w14:paraId="73B6CD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Носовая установка ИЛ-4</w:t>
            </w:r>
          </w:p>
        </w:tc>
        <w:tc>
          <w:tcPr>
            <w:tcW w:w="1145" w:type="dxa"/>
          </w:tcPr>
          <w:p w14:paraId="46F3CA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Штук</w:t>
            </w:r>
          </w:p>
        </w:tc>
        <w:tc>
          <w:tcPr>
            <w:tcW w:w="1134" w:type="dxa"/>
          </w:tcPr>
          <w:p w14:paraId="11AAA7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222</w:t>
            </w:r>
          </w:p>
        </w:tc>
        <w:tc>
          <w:tcPr>
            <w:tcW w:w="1134" w:type="dxa"/>
          </w:tcPr>
          <w:p w14:paraId="5AF127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686</w:t>
            </w:r>
          </w:p>
        </w:tc>
        <w:tc>
          <w:tcPr>
            <w:tcW w:w="1134" w:type="dxa"/>
          </w:tcPr>
          <w:p w14:paraId="7073AB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w:t>
            </w:r>
          </w:p>
        </w:tc>
        <w:tc>
          <w:tcPr>
            <w:tcW w:w="1134" w:type="dxa"/>
          </w:tcPr>
          <w:p w14:paraId="209023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275" w:type="dxa"/>
          </w:tcPr>
          <w:p w14:paraId="54BCA3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928</w:t>
            </w:r>
          </w:p>
        </w:tc>
      </w:tr>
      <w:tr w:rsidR="001002C3" w:rsidRPr="005E779E" w14:paraId="4A196F0A" w14:textId="77777777">
        <w:tc>
          <w:tcPr>
            <w:tcW w:w="1657" w:type="dxa"/>
          </w:tcPr>
          <w:p w14:paraId="7A55CD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Балка РО-82</w:t>
            </w:r>
          </w:p>
        </w:tc>
        <w:tc>
          <w:tcPr>
            <w:tcW w:w="1145" w:type="dxa"/>
          </w:tcPr>
          <w:p w14:paraId="48BE08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Штук</w:t>
            </w:r>
          </w:p>
        </w:tc>
        <w:tc>
          <w:tcPr>
            <w:tcW w:w="1134" w:type="dxa"/>
          </w:tcPr>
          <w:p w14:paraId="3D5547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26990</w:t>
            </w:r>
          </w:p>
        </w:tc>
        <w:tc>
          <w:tcPr>
            <w:tcW w:w="1134" w:type="dxa"/>
          </w:tcPr>
          <w:p w14:paraId="0BADDB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104</w:t>
            </w:r>
          </w:p>
        </w:tc>
        <w:tc>
          <w:tcPr>
            <w:tcW w:w="1134" w:type="dxa"/>
          </w:tcPr>
          <w:p w14:paraId="27D80A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34" w:type="dxa"/>
          </w:tcPr>
          <w:p w14:paraId="2626BE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275" w:type="dxa"/>
          </w:tcPr>
          <w:p w14:paraId="376F76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27094</w:t>
            </w:r>
          </w:p>
        </w:tc>
      </w:tr>
      <w:tr w:rsidR="001002C3" w:rsidRPr="005E779E" w14:paraId="7AE2FCD5" w14:textId="77777777">
        <w:tc>
          <w:tcPr>
            <w:tcW w:w="1657" w:type="dxa"/>
          </w:tcPr>
          <w:p w14:paraId="4CC5A6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Сбрасыватель ЭСБР-3п</w:t>
            </w:r>
          </w:p>
        </w:tc>
        <w:tc>
          <w:tcPr>
            <w:tcW w:w="1145" w:type="dxa"/>
          </w:tcPr>
          <w:p w14:paraId="557F3A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Штук</w:t>
            </w:r>
          </w:p>
        </w:tc>
        <w:tc>
          <w:tcPr>
            <w:tcW w:w="1134" w:type="dxa"/>
          </w:tcPr>
          <w:p w14:paraId="0CFDBA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9093</w:t>
            </w:r>
          </w:p>
        </w:tc>
        <w:tc>
          <w:tcPr>
            <w:tcW w:w="1134" w:type="dxa"/>
          </w:tcPr>
          <w:p w14:paraId="7CE030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8596</w:t>
            </w:r>
          </w:p>
        </w:tc>
        <w:tc>
          <w:tcPr>
            <w:tcW w:w="1134" w:type="dxa"/>
          </w:tcPr>
          <w:p w14:paraId="3FB272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34" w:type="dxa"/>
          </w:tcPr>
          <w:p w14:paraId="3BE903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275" w:type="dxa"/>
          </w:tcPr>
          <w:p w14:paraId="752A82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17689</w:t>
            </w:r>
          </w:p>
        </w:tc>
      </w:tr>
      <w:tr w:rsidR="001002C3" w:rsidRPr="005E779E" w14:paraId="2FDDF8B5" w14:textId="77777777">
        <w:tc>
          <w:tcPr>
            <w:tcW w:w="1657" w:type="dxa"/>
          </w:tcPr>
          <w:p w14:paraId="710A72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Граната ГС-1</w:t>
            </w:r>
          </w:p>
        </w:tc>
        <w:tc>
          <w:tcPr>
            <w:tcW w:w="1145" w:type="dxa"/>
          </w:tcPr>
          <w:p w14:paraId="38CB6A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Штук</w:t>
            </w:r>
          </w:p>
        </w:tc>
        <w:tc>
          <w:tcPr>
            <w:tcW w:w="1134" w:type="dxa"/>
          </w:tcPr>
          <w:p w14:paraId="6EB589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52140</w:t>
            </w:r>
          </w:p>
        </w:tc>
        <w:tc>
          <w:tcPr>
            <w:tcW w:w="1134" w:type="dxa"/>
          </w:tcPr>
          <w:p w14:paraId="456FB4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34" w:type="dxa"/>
          </w:tcPr>
          <w:p w14:paraId="69730A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34" w:type="dxa"/>
          </w:tcPr>
          <w:p w14:paraId="7D542B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275" w:type="dxa"/>
          </w:tcPr>
          <w:p w14:paraId="2128A8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52140</w:t>
            </w:r>
          </w:p>
        </w:tc>
      </w:tr>
      <w:tr w:rsidR="001002C3" w:rsidRPr="005E779E" w14:paraId="1C67B92B" w14:textId="77777777">
        <w:tc>
          <w:tcPr>
            <w:tcW w:w="1657" w:type="dxa"/>
          </w:tcPr>
          <w:p w14:paraId="719B0B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ВАП-6м</w:t>
            </w:r>
          </w:p>
        </w:tc>
        <w:tc>
          <w:tcPr>
            <w:tcW w:w="1145" w:type="dxa"/>
          </w:tcPr>
          <w:p w14:paraId="641030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Штук</w:t>
            </w:r>
          </w:p>
        </w:tc>
        <w:tc>
          <w:tcPr>
            <w:tcW w:w="1134" w:type="dxa"/>
          </w:tcPr>
          <w:p w14:paraId="5C2640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3800</w:t>
            </w:r>
          </w:p>
        </w:tc>
        <w:tc>
          <w:tcPr>
            <w:tcW w:w="1134" w:type="dxa"/>
          </w:tcPr>
          <w:p w14:paraId="428032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200</w:t>
            </w:r>
          </w:p>
        </w:tc>
        <w:tc>
          <w:tcPr>
            <w:tcW w:w="1134" w:type="dxa"/>
          </w:tcPr>
          <w:p w14:paraId="4B226A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34" w:type="dxa"/>
          </w:tcPr>
          <w:p w14:paraId="024B7D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275" w:type="dxa"/>
          </w:tcPr>
          <w:p w14:paraId="2521CA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4000</w:t>
            </w:r>
          </w:p>
        </w:tc>
      </w:tr>
      <w:tr w:rsidR="001002C3" w:rsidRPr="005E779E" w14:paraId="33922407" w14:textId="77777777">
        <w:tc>
          <w:tcPr>
            <w:tcW w:w="1657" w:type="dxa"/>
          </w:tcPr>
          <w:p w14:paraId="52376A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ДАГ-10</w:t>
            </w:r>
          </w:p>
        </w:tc>
        <w:tc>
          <w:tcPr>
            <w:tcW w:w="1145" w:type="dxa"/>
          </w:tcPr>
          <w:p w14:paraId="330F05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Штук</w:t>
            </w:r>
          </w:p>
        </w:tc>
        <w:tc>
          <w:tcPr>
            <w:tcW w:w="1134" w:type="dxa"/>
          </w:tcPr>
          <w:p w14:paraId="6258D0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1582</w:t>
            </w:r>
          </w:p>
        </w:tc>
        <w:tc>
          <w:tcPr>
            <w:tcW w:w="1134" w:type="dxa"/>
          </w:tcPr>
          <w:p w14:paraId="045303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4522</w:t>
            </w:r>
          </w:p>
        </w:tc>
        <w:tc>
          <w:tcPr>
            <w:tcW w:w="1134" w:type="dxa"/>
          </w:tcPr>
          <w:p w14:paraId="7FC236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6677</w:t>
            </w:r>
          </w:p>
        </w:tc>
        <w:tc>
          <w:tcPr>
            <w:tcW w:w="1134" w:type="dxa"/>
          </w:tcPr>
          <w:p w14:paraId="58A388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1700</w:t>
            </w:r>
          </w:p>
        </w:tc>
        <w:tc>
          <w:tcPr>
            <w:tcW w:w="1275" w:type="dxa"/>
          </w:tcPr>
          <w:p w14:paraId="14A907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14481</w:t>
            </w:r>
          </w:p>
        </w:tc>
      </w:tr>
      <w:tr w:rsidR="001002C3" w:rsidRPr="005E779E" w14:paraId="3E7AD227" w14:textId="77777777">
        <w:tc>
          <w:tcPr>
            <w:tcW w:w="1657" w:type="dxa"/>
          </w:tcPr>
          <w:p w14:paraId="087CE8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Замки Дер-21 с п/п</w:t>
            </w:r>
          </w:p>
        </w:tc>
        <w:tc>
          <w:tcPr>
            <w:tcW w:w="1145" w:type="dxa"/>
          </w:tcPr>
          <w:p w14:paraId="3AF232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Комплект</w:t>
            </w:r>
          </w:p>
        </w:tc>
        <w:tc>
          <w:tcPr>
            <w:tcW w:w="1134" w:type="dxa"/>
          </w:tcPr>
          <w:p w14:paraId="78770B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2854</w:t>
            </w:r>
          </w:p>
        </w:tc>
        <w:tc>
          <w:tcPr>
            <w:tcW w:w="1134" w:type="dxa"/>
          </w:tcPr>
          <w:p w14:paraId="0A0E1F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3125</w:t>
            </w:r>
          </w:p>
        </w:tc>
        <w:tc>
          <w:tcPr>
            <w:tcW w:w="1134" w:type="dxa"/>
          </w:tcPr>
          <w:p w14:paraId="5AD1ED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34" w:type="dxa"/>
          </w:tcPr>
          <w:p w14:paraId="427F45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275" w:type="dxa"/>
          </w:tcPr>
          <w:p w14:paraId="27A34A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5979</w:t>
            </w:r>
          </w:p>
        </w:tc>
      </w:tr>
      <w:tr w:rsidR="001002C3" w:rsidRPr="005E779E" w14:paraId="28AB88E0" w14:textId="77777777">
        <w:tc>
          <w:tcPr>
            <w:tcW w:w="1657" w:type="dxa"/>
          </w:tcPr>
          <w:p w14:paraId="08DCF6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Замки Д-3-42</w:t>
            </w:r>
          </w:p>
        </w:tc>
        <w:tc>
          <w:tcPr>
            <w:tcW w:w="1145" w:type="dxa"/>
          </w:tcPr>
          <w:p w14:paraId="1FF933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Комплект</w:t>
            </w:r>
          </w:p>
        </w:tc>
        <w:tc>
          <w:tcPr>
            <w:tcW w:w="1134" w:type="dxa"/>
          </w:tcPr>
          <w:p w14:paraId="362DC3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1352</w:t>
            </w:r>
          </w:p>
        </w:tc>
        <w:tc>
          <w:tcPr>
            <w:tcW w:w="1134" w:type="dxa"/>
          </w:tcPr>
          <w:p w14:paraId="14C069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3945</w:t>
            </w:r>
          </w:p>
        </w:tc>
        <w:tc>
          <w:tcPr>
            <w:tcW w:w="1134" w:type="dxa"/>
          </w:tcPr>
          <w:p w14:paraId="34A9A5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34" w:type="dxa"/>
          </w:tcPr>
          <w:p w14:paraId="6B34F5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275" w:type="dxa"/>
          </w:tcPr>
          <w:p w14:paraId="69B039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5297</w:t>
            </w:r>
          </w:p>
        </w:tc>
      </w:tr>
      <w:tr w:rsidR="001002C3" w:rsidRPr="005E779E" w14:paraId="4D85636C" w14:textId="77777777">
        <w:tc>
          <w:tcPr>
            <w:tcW w:w="1657" w:type="dxa"/>
          </w:tcPr>
          <w:p w14:paraId="57AEC7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Замки Дер-20</w:t>
            </w:r>
          </w:p>
        </w:tc>
        <w:tc>
          <w:tcPr>
            <w:tcW w:w="1145" w:type="dxa"/>
          </w:tcPr>
          <w:p w14:paraId="6720AB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Штук</w:t>
            </w:r>
          </w:p>
        </w:tc>
        <w:tc>
          <w:tcPr>
            <w:tcW w:w="1134" w:type="dxa"/>
          </w:tcPr>
          <w:p w14:paraId="6B5539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34" w:type="dxa"/>
          </w:tcPr>
          <w:p w14:paraId="3F8983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296</w:t>
            </w:r>
          </w:p>
        </w:tc>
        <w:tc>
          <w:tcPr>
            <w:tcW w:w="1134" w:type="dxa"/>
          </w:tcPr>
          <w:p w14:paraId="19841C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w:t>
            </w:r>
          </w:p>
        </w:tc>
        <w:tc>
          <w:tcPr>
            <w:tcW w:w="1134" w:type="dxa"/>
          </w:tcPr>
          <w:p w14:paraId="7C3334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w:t>
            </w:r>
          </w:p>
        </w:tc>
        <w:tc>
          <w:tcPr>
            <w:tcW w:w="1275" w:type="dxa"/>
          </w:tcPr>
          <w:p w14:paraId="537869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366</w:t>
            </w:r>
          </w:p>
        </w:tc>
      </w:tr>
      <w:tr w:rsidR="001002C3" w:rsidRPr="005E779E" w14:paraId="317CF7A8" w14:textId="77777777">
        <w:tc>
          <w:tcPr>
            <w:tcW w:w="1657" w:type="dxa"/>
          </w:tcPr>
          <w:p w14:paraId="1143FF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Замки Дер-19</w:t>
            </w:r>
          </w:p>
        </w:tc>
        <w:tc>
          <w:tcPr>
            <w:tcW w:w="1145" w:type="dxa"/>
          </w:tcPr>
          <w:p w14:paraId="78A9CB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Штук</w:t>
            </w:r>
          </w:p>
        </w:tc>
        <w:tc>
          <w:tcPr>
            <w:tcW w:w="1134" w:type="dxa"/>
          </w:tcPr>
          <w:p w14:paraId="24F9E9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34" w:type="dxa"/>
          </w:tcPr>
          <w:p w14:paraId="228A42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410</w:t>
            </w:r>
          </w:p>
        </w:tc>
        <w:tc>
          <w:tcPr>
            <w:tcW w:w="1134" w:type="dxa"/>
          </w:tcPr>
          <w:p w14:paraId="2D1870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107</w:t>
            </w:r>
          </w:p>
        </w:tc>
        <w:tc>
          <w:tcPr>
            <w:tcW w:w="1134" w:type="dxa"/>
          </w:tcPr>
          <w:p w14:paraId="1DAFA0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w:t>
            </w:r>
          </w:p>
        </w:tc>
        <w:tc>
          <w:tcPr>
            <w:tcW w:w="1275" w:type="dxa"/>
          </w:tcPr>
          <w:p w14:paraId="75AAB8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547</w:t>
            </w:r>
          </w:p>
        </w:tc>
      </w:tr>
      <w:tr w:rsidR="001002C3" w:rsidRPr="005E779E" w14:paraId="47A28350" w14:textId="77777777">
        <w:tc>
          <w:tcPr>
            <w:tcW w:w="1657" w:type="dxa"/>
          </w:tcPr>
          <w:p w14:paraId="2235C4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ВУБ-3</w:t>
            </w:r>
          </w:p>
        </w:tc>
        <w:tc>
          <w:tcPr>
            <w:tcW w:w="1145" w:type="dxa"/>
          </w:tcPr>
          <w:p w14:paraId="03B755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Штук</w:t>
            </w:r>
          </w:p>
        </w:tc>
        <w:tc>
          <w:tcPr>
            <w:tcW w:w="1134" w:type="dxa"/>
          </w:tcPr>
          <w:p w14:paraId="2B59A4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34" w:type="dxa"/>
          </w:tcPr>
          <w:p w14:paraId="290743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4383</w:t>
            </w:r>
          </w:p>
        </w:tc>
        <w:tc>
          <w:tcPr>
            <w:tcW w:w="1134" w:type="dxa"/>
          </w:tcPr>
          <w:p w14:paraId="16B33A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8339</w:t>
            </w:r>
          </w:p>
        </w:tc>
        <w:tc>
          <w:tcPr>
            <w:tcW w:w="1134" w:type="dxa"/>
          </w:tcPr>
          <w:p w14:paraId="74DA91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3490</w:t>
            </w:r>
          </w:p>
        </w:tc>
        <w:tc>
          <w:tcPr>
            <w:tcW w:w="1275" w:type="dxa"/>
          </w:tcPr>
          <w:p w14:paraId="000B2B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16212</w:t>
            </w:r>
          </w:p>
        </w:tc>
      </w:tr>
      <w:tr w:rsidR="001002C3" w:rsidRPr="005E779E" w14:paraId="2281B22A" w14:textId="77777777">
        <w:tc>
          <w:tcPr>
            <w:tcW w:w="1657" w:type="dxa"/>
          </w:tcPr>
          <w:p w14:paraId="409473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ВУБ-2</w:t>
            </w:r>
          </w:p>
        </w:tc>
        <w:tc>
          <w:tcPr>
            <w:tcW w:w="1145" w:type="dxa"/>
          </w:tcPr>
          <w:p w14:paraId="1A0F6D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Штук</w:t>
            </w:r>
          </w:p>
        </w:tc>
        <w:tc>
          <w:tcPr>
            <w:tcW w:w="1134" w:type="dxa"/>
          </w:tcPr>
          <w:p w14:paraId="5CE115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34" w:type="dxa"/>
          </w:tcPr>
          <w:p w14:paraId="41F5BF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34" w:type="dxa"/>
          </w:tcPr>
          <w:p w14:paraId="0BB50A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367</w:t>
            </w:r>
          </w:p>
        </w:tc>
        <w:tc>
          <w:tcPr>
            <w:tcW w:w="1134" w:type="dxa"/>
          </w:tcPr>
          <w:p w14:paraId="3B667D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762</w:t>
            </w:r>
          </w:p>
        </w:tc>
        <w:tc>
          <w:tcPr>
            <w:tcW w:w="1275" w:type="dxa"/>
          </w:tcPr>
          <w:p w14:paraId="65EBCF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1129</w:t>
            </w:r>
          </w:p>
        </w:tc>
      </w:tr>
      <w:tr w:rsidR="001002C3" w:rsidRPr="005E779E" w14:paraId="34101989" w14:textId="77777777">
        <w:tc>
          <w:tcPr>
            <w:tcW w:w="1657" w:type="dxa"/>
          </w:tcPr>
          <w:p w14:paraId="649CAA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Наружная подвеска ИЛ-4</w:t>
            </w:r>
          </w:p>
        </w:tc>
        <w:tc>
          <w:tcPr>
            <w:tcW w:w="1145" w:type="dxa"/>
          </w:tcPr>
          <w:p w14:paraId="694FA2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Комплект</w:t>
            </w:r>
          </w:p>
        </w:tc>
        <w:tc>
          <w:tcPr>
            <w:tcW w:w="1134" w:type="dxa"/>
          </w:tcPr>
          <w:p w14:paraId="2F18FF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34" w:type="dxa"/>
          </w:tcPr>
          <w:p w14:paraId="6D0FDC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580</w:t>
            </w:r>
          </w:p>
        </w:tc>
        <w:tc>
          <w:tcPr>
            <w:tcW w:w="1134" w:type="dxa"/>
          </w:tcPr>
          <w:p w14:paraId="14946B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230</w:t>
            </w:r>
          </w:p>
        </w:tc>
        <w:tc>
          <w:tcPr>
            <w:tcW w:w="1134" w:type="dxa"/>
          </w:tcPr>
          <w:p w14:paraId="1CDF49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w:t>
            </w:r>
          </w:p>
        </w:tc>
        <w:tc>
          <w:tcPr>
            <w:tcW w:w="1275" w:type="dxa"/>
          </w:tcPr>
          <w:p w14:paraId="3D1A46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960</w:t>
            </w:r>
          </w:p>
        </w:tc>
      </w:tr>
      <w:tr w:rsidR="001002C3" w:rsidRPr="005E779E" w14:paraId="2B37ACD0" w14:textId="77777777">
        <w:tc>
          <w:tcPr>
            <w:tcW w:w="1657" w:type="dxa"/>
          </w:tcPr>
          <w:p w14:paraId="68B05F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Наружная подвеска ЛИ-2</w:t>
            </w:r>
          </w:p>
        </w:tc>
        <w:tc>
          <w:tcPr>
            <w:tcW w:w="1145" w:type="dxa"/>
          </w:tcPr>
          <w:p w14:paraId="515098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Комплект</w:t>
            </w:r>
          </w:p>
        </w:tc>
        <w:tc>
          <w:tcPr>
            <w:tcW w:w="1134" w:type="dxa"/>
          </w:tcPr>
          <w:p w14:paraId="1BE5DC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34" w:type="dxa"/>
          </w:tcPr>
          <w:p w14:paraId="5C593E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400</w:t>
            </w:r>
          </w:p>
        </w:tc>
        <w:tc>
          <w:tcPr>
            <w:tcW w:w="1134" w:type="dxa"/>
          </w:tcPr>
          <w:p w14:paraId="66BBA1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525</w:t>
            </w:r>
          </w:p>
        </w:tc>
        <w:tc>
          <w:tcPr>
            <w:tcW w:w="1134" w:type="dxa"/>
          </w:tcPr>
          <w:p w14:paraId="473A17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225</w:t>
            </w:r>
          </w:p>
        </w:tc>
        <w:tc>
          <w:tcPr>
            <w:tcW w:w="1275" w:type="dxa"/>
          </w:tcPr>
          <w:p w14:paraId="1A96EE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1150</w:t>
            </w:r>
          </w:p>
        </w:tc>
      </w:tr>
      <w:tr w:rsidR="001002C3" w:rsidRPr="005E779E" w14:paraId="4295FE4F" w14:textId="77777777">
        <w:tc>
          <w:tcPr>
            <w:tcW w:w="1657" w:type="dxa"/>
          </w:tcPr>
          <w:p w14:paraId="11ED68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Торпедодержатель 2Т-18</w:t>
            </w:r>
          </w:p>
        </w:tc>
        <w:tc>
          <w:tcPr>
            <w:tcW w:w="1145" w:type="dxa"/>
          </w:tcPr>
          <w:p w14:paraId="5BD2A8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Комплект</w:t>
            </w:r>
          </w:p>
        </w:tc>
        <w:tc>
          <w:tcPr>
            <w:tcW w:w="1134" w:type="dxa"/>
          </w:tcPr>
          <w:p w14:paraId="3BA647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34" w:type="dxa"/>
          </w:tcPr>
          <w:p w14:paraId="752287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212</w:t>
            </w:r>
          </w:p>
        </w:tc>
        <w:tc>
          <w:tcPr>
            <w:tcW w:w="1134" w:type="dxa"/>
          </w:tcPr>
          <w:p w14:paraId="48B4ED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270</w:t>
            </w:r>
          </w:p>
        </w:tc>
        <w:tc>
          <w:tcPr>
            <w:tcW w:w="1134" w:type="dxa"/>
          </w:tcPr>
          <w:p w14:paraId="600DE3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340</w:t>
            </w:r>
          </w:p>
        </w:tc>
        <w:tc>
          <w:tcPr>
            <w:tcW w:w="1275" w:type="dxa"/>
          </w:tcPr>
          <w:p w14:paraId="0FD6E8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822</w:t>
            </w:r>
          </w:p>
        </w:tc>
      </w:tr>
      <w:tr w:rsidR="001002C3" w:rsidRPr="005E779E" w14:paraId="49526D9E" w14:textId="77777777">
        <w:tc>
          <w:tcPr>
            <w:tcW w:w="1657" w:type="dxa"/>
          </w:tcPr>
          <w:p w14:paraId="0F49EF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Лафет ШВАК на ТУ-2</w:t>
            </w:r>
          </w:p>
        </w:tc>
        <w:tc>
          <w:tcPr>
            <w:tcW w:w="1145" w:type="dxa"/>
          </w:tcPr>
          <w:p w14:paraId="22674A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Комплект</w:t>
            </w:r>
          </w:p>
        </w:tc>
        <w:tc>
          <w:tcPr>
            <w:tcW w:w="1134" w:type="dxa"/>
          </w:tcPr>
          <w:p w14:paraId="6FA60E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34" w:type="dxa"/>
          </w:tcPr>
          <w:p w14:paraId="5075D8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61</w:t>
            </w:r>
          </w:p>
        </w:tc>
        <w:tc>
          <w:tcPr>
            <w:tcW w:w="1134" w:type="dxa"/>
          </w:tcPr>
          <w:p w14:paraId="53F4D1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429</w:t>
            </w:r>
          </w:p>
        </w:tc>
        <w:tc>
          <w:tcPr>
            <w:tcW w:w="1134" w:type="dxa"/>
          </w:tcPr>
          <w:p w14:paraId="72258A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916</w:t>
            </w:r>
          </w:p>
        </w:tc>
        <w:tc>
          <w:tcPr>
            <w:tcW w:w="1275" w:type="dxa"/>
          </w:tcPr>
          <w:p w14:paraId="254E56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1406</w:t>
            </w:r>
          </w:p>
        </w:tc>
      </w:tr>
      <w:tr w:rsidR="001002C3" w:rsidRPr="005E779E" w14:paraId="7FA8E53C" w14:textId="77777777">
        <w:tc>
          <w:tcPr>
            <w:tcW w:w="1657" w:type="dxa"/>
          </w:tcPr>
          <w:p w14:paraId="7A441A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Блистерная установка на ТУ-2</w:t>
            </w:r>
          </w:p>
        </w:tc>
        <w:tc>
          <w:tcPr>
            <w:tcW w:w="1145" w:type="dxa"/>
          </w:tcPr>
          <w:p w14:paraId="21B83F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Штук</w:t>
            </w:r>
          </w:p>
        </w:tc>
        <w:tc>
          <w:tcPr>
            <w:tcW w:w="1134" w:type="dxa"/>
          </w:tcPr>
          <w:p w14:paraId="34740C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34" w:type="dxa"/>
          </w:tcPr>
          <w:p w14:paraId="630745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w:t>
            </w:r>
          </w:p>
        </w:tc>
        <w:tc>
          <w:tcPr>
            <w:tcW w:w="1134" w:type="dxa"/>
          </w:tcPr>
          <w:p w14:paraId="28F0CD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453</w:t>
            </w:r>
          </w:p>
        </w:tc>
        <w:tc>
          <w:tcPr>
            <w:tcW w:w="1134" w:type="dxa"/>
          </w:tcPr>
          <w:p w14:paraId="391AC9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898</w:t>
            </w:r>
          </w:p>
        </w:tc>
        <w:tc>
          <w:tcPr>
            <w:tcW w:w="1275" w:type="dxa"/>
          </w:tcPr>
          <w:p w14:paraId="53BFC9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1411</w:t>
            </w:r>
          </w:p>
        </w:tc>
      </w:tr>
      <w:tr w:rsidR="001002C3" w:rsidRPr="005E779E" w14:paraId="3F53E610" w14:textId="77777777">
        <w:tc>
          <w:tcPr>
            <w:tcW w:w="1657" w:type="dxa"/>
          </w:tcPr>
          <w:p w14:paraId="0D6F24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Аварийный сбрасыватель на ТУ-2</w:t>
            </w:r>
          </w:p>
        </w:tc>
        <w:tc>
          <w:tcPr>
            <w:tcW w:w="1145" w:type="dxa"/>
          </w:tcPr>
          <w:p w14:paraId="7BD876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Штук</w:t>
            </w:r>
          </w:p>
        </w:tc>
        <w:tc>
          <w:tcPr>
            <w:tcW w:w="1134" w:type="dxa"/>
          </w:tcPr>
          <w:p w14:paraId="3A546B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34" w:type="dxa"/>
          </w:tcPr>
          <w:p w14:paraId="539BB4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w:t>
            </w:r>
          </w:p>
        </w:tc>
        <w:tc>
          <w:tcPr>
            <w:tcW w:w="1134" w:type="dxa"/>
          </w:tcPr>
          <w:p w14:paraId="175EF5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491</w:t>
            </w:r>
          </w:p>
        </w:tc>
        <w:tc>
          <w:tcPr>
            <w:tcW w:w="1134" w:type="dxa"/>
          </w:tcPr>
          <w:p w14:paraId="310F8C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286</w:t>
            </w:r>
          </w:p>
        </w:tc>
        <w:tc>
          <w:tcPr>
            <w:tcW w:w="1275" w:type="dxa"/>
          </w:tcPr>
          <w:p w14:paraId="3C846C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837</w:t>
            </w:r>
          </w:p>
        </w:tc>
      </w:tr>
      <w:tr w:rsidR="001002C3" w:rsidRPr="005E779E" w14:paraId="6D2DEAE2" w14:textId="77777777">
        <w:tc>
          <w:tcPr>
            <w:tcW w:w="1657" w:type="dxa"/>
          </w:tcPr>
          <w:p w14:paraId="10ADDA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Кассета ПКД-2</w:t>
            </w:r>
          </w:p>
        </w:tc>
        <w:tc>
          <w:tcPr>
            <w:tcW w:w="1145" w:type="dxa"/>
          </w:tcPr>
          <w:p w14:paraId="78A2DB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Штук</w:t>
            </w:r>
          </w:p>
        </w:tc>
        <w:tc>
          <w:tcPr>
            <w:tcW w:w="1134" w:type="dxa"/>
          </w:tcPr>
          <w:p w14:paraId="1AC10B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34" w:type="dxa"/>
          </w:tcPr>
          <w:p w14:paraId="7ADB4A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1134" w:type="dxa"/>
          </w:tcPr>
          <w:p w14:paraId="49C741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461</w:t>
            </w:r>
          </w:p>
        </w:tc>
        <w:tc>
          <w:tcPr>
            <w:tcW w:w="1134" w:type="dxa"/>
          </w:tcPr>
          <w:p w14:paraId="7C1AAD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880</w:t>
            </w:r>
          </w:p>
        </w:tc>
        <w:tc>
          <w:tcPr>
            <w:tcW w:w="1275" w:type="dxa"/>
          </w:tcPr>
          <w:p w14:paraId="2688E7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1342</w:t>
            </w:r>
          </w:p>
        </w:tc>
      </w:tr>
      <w:tr w:rsidR="001002C3" w:rsidRPr="005E779E" w14:paraId="2990FFA0" w14:textId="77777777">
        <w:tc>
          <w:tcPr>
            <w:tcW w:w="1657" w:type="dxa"/>
          </w:tcPr>
          <w:p w14:paraId="1598E2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Пиропистолет</w:t>
            </w:r>
          </w:p>
        </w:tc>
        <w:tc>
          <w:tcPr>
            <w:tcW w:w="1145" w:type="dxa"/>
          </w:tcPr>
          <w:p w14:paraId="2523FF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Штук</w:t>
            </w:r>
          </w:p>
        </w:tc>
        <w:tc>
          <w:tcPr>
            <w:tcW w:w="1134" w:type="dxa"/>
          </w:tcPr>
          <w:p w14:paraId="710183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34" w:type="dxa"/>
          </w:tcPr>
          <w:p w14:paraId="621895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134" w:type="dxa"/>
          </w:tcPr>
          <w:p w14:paraId="642ECA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2939</w:t>
            </w:r>
          </w:p>
        </w:tc>
        <w:tc>
          <w:tcPr>
            <w:tcW w:w="1134" w:type="dxa"/>
          </w:tcPr>
          <w:p w14:paraId="721576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1692</w:t>
            </w:r>
          </w:p>
        </w:tc>
        <w:tc>
          <w:tcPr>
            <w:tcW w:w="1275" w:type="dxa"/>
          </w:tcPr>
          <w:p w14:paraId="3C7683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4631</w:t>
            </w:r>
          </w:p>
        </w:tc>
      </w:tr>
    </w:tbl>
    <w:p w14:paraId="3AAB5BEA"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Работа завода в переходный период (май 1945 года – май 1946 года), когда завод в значительных размераз снизил выпуск военной продукции и перешел на производство и выпуск гражданской продукции и изделий широкого потребления.</w:t>
      </w:r>
    </w:p>
    <w:p w14:paraId="5AF202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Работа завода в период осовения и выпуска нового электрофицированного стрелково-пушечного вооружения и специзделий реактивной техники. Начиная с мая 1946 года завод получил задание приступить к организации производства по освоению и выпуску электрофицированного дистанционного стрелково-пушечного вооружения СВ-20 на самолет ТУ-4.</w:t>
      </w:r>
    </w:p>
    <w:p w14:paraId="1146FD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Постановлением СМ от 14 ноября 1949 года за № 5185-1930сс и приказом МАП от 17 ноября 1949 года за № 914с ОКБ-43 гл. конструктора Торопова И.И. было переведено на новые площади реорганизованного завода № 134.</w:t>
      </w:r>
    </w:p>
    <w:p w14:paraId="6B6F6D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связи с этим ОКБ-43 было реорганизовано в опытный завод по вооружению самолетов с присвоением ему № 134.</w:t>
      </w:r>
    </w:p>
    <w:p w14:paraId="2CBE1B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Адрес: Москва, Д-40, ул. Правды, д. 8</w:t>
      </w:r>
    </w:p>
    <w:p w14:paraId="142422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Производственный профиль – специзделия ракетной техники и стрелково-пушечное вооружение с электроагрегатами (9828).</w:t>
      </w:r>
    </w:p>
    <w:p w14:paraId="49501E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1A923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конца 1931 г. Гипроавиапром (Институт проектирования авиазаводов) приступил к проведению изыскательных работ по этой теме. Не дожидаясь окончания и результатов исследований, Совет Труда и Обороны (СТО), высший орган власти в СССР, уже решил, что первая очередь казанских авиазаводов № 124 и моторного № 130 должна вступить в эксплуатацию с первого квартала 1934 г., а полное освоение мощностей намечалось на следующий год.</w:t>
      </w:r>
    </w:p>
    <w:p w14:paraId="70B891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 февраля 1932 г. вышло постановление СТО о строительстве в Казани, с центром в селе Караваево, авиакомбината мощностью в 2400 самолетов ТБ-3 и 20000 моторов М-34 (или «Кертисс-Конкверор») в год. Напомним читателю, что всего в 1932 г. в СССР выпустили 2509 самолетов.</w:t>
      </w:r>
    </w:p>
    <w:p w14:paraId="73A56A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апреле, на пленуме Техсовета ГУАП был утвержден проект специалистов Гипроавиапрома по строительству в Казани «самолетостроительного завода с выпуском машин типа АНТ-4/АНТ-6, моторного завода с выпуском двигателей типа «Кертисс-Конкверор», теплоэлектроцентрали ТЭЦ-2, водозабора, двух вспомогательных заводов по производству самолетных лыж и запасных частей к изделиям, поселка Соцгород на 350 тысяч человек» (здесь и далее в цитатах в основном сохраняется стиль и орфография документов - авт.). Выгодность расположения будущего промышленного гиганта была очевидна. Рядом проходили магистральные железнодорожные и водные пути. Предполагалось построить пятнадцать основных цехов.</w:t>
      </w:r>
    </w:p>
    <w:p w14:paraId="2BEF8D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Общая сумма стоимости комбината оценивалась в 300 млн. рублей, что равнялось затратам на сооружение Магнитогорского гиганта, и вдвое превышала бюджет Горьковского автозавода. Предполагалось, что работников авиазаводов будет в два раза больше, чем жителей во всей Казани.</w:t>
      </w:r>
    </w:p>
    <w:p w14:paraId="20205E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 апреля в приказе НКТП, подписанном наркомом Серго Орджоникидзе, говорится об организации специального строительного треста для производства строительных и монтажных работ по сооружению авиакомбината № 124. Начальником «Казавиастроя» назначается Кузнецов Кузьма Дмитриевич, бывший до этого партийным работником на Горьковском автозаводе. Первым директором завода назначили тов. Ситникова. Инициалы его, к сожалению, в доступных документах не сохранились.</w:t>
      </w:r>
    </w:p>
    <w:p w14:paraId="14E08F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Как только ни называли тогдашнюю «Стройку века» - Казавиастрой, Казавиакомбинат, Казмашстрой, Казмашстройкомбинат... Трудности, с которыми пришлось столкнуться первому руководству завода, явились естественным результатом ударных темпов подготовки к строительству. Отсутствовали проекты и сметы, не было строительных механизмов, не хватало воды и электричества. Дефицитные материалы, такие, как железо, гвозди, кровельный материал, трубы и многое другое, обеспечивались в первую очередь за счет внеплановой заготовки стройматериалов.</w:t>
      </w:r>
    </w:p>
    <w:p w14:paraId="05E347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Вот вам и плановое строительство! Принимаются решения и постановления, а реального ничего нет, кроме «голого» энтузиазма населения в период насильственной коллективизации и надвигающегося Великого голода. По воспоминаниям Маршева Н.Д., заместителя начальника строительства, секретарь Татарского обкома партии Разумов М.И. так и отвечал Иосифу Виссарионовичу в разговоре по поводу авиакомбината:</w:t>
      </w:r>
    </w:p>
    <w:p w14:paraId="7B3B43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Вы хотите, товарищ Разумов, строить у себя авиазавод?</w:t>
      </w:r>
    </w:p>
    <w:p w14:paraId="2B8E21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Да, хотим, товарищ Сталин.</w:t>
      </w:r>
    </w:p>
    <w:p w14:paraId="069C46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А всё ли у вас, в Татарии, для этого есть? Как, например, обстоят дела с кадрами строителей?</w:t>
      </w:r>
    </w:p>
    <w:p w14:paraId="3436F2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Таких кадров пока нет.</w:t>
      </w:r>
    </w:p>
    <w:p w14:paraId="3B114D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А дорожная сеть у вас хорошо развита?</w:t>
      </w:r>
    </w:p>
    <w:p w14:paraId="21D804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С дорогами плоховато, товарищ Сталин.</w:t>
      </w:r>
    </w:p>
    <w:p w14:paraId="7720D9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А на счет строительного материала как?</w:t>
      </w:r>
    </w:p>
    <w:p w14:paraId="424D1D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 Это у нас найдется, надо только руки приложить.</w:t>
      </w:r>
    </w:p>
    <w:p w14:paraId="237706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А как с жильем?</w:t>
      </w:r>
    </w:p>
    <w:p w14:paraId="28451C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Плохо.</w:t>
      </w:r>
    </w:p>
    <w:p w14:paraId="7E675E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А с электроэнергией? Ведь у вас на всю Казань имеется только одна электростанция на Булаке, мощность которой составляет всего лишь 5 тысяч киловатт.</w:t>
      </w:r>
    </w:p>
    <w:p w14:paraId="5E984F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Правильно, товарищ Сталин, тут дела пока тоже плохи, но мы заложили в 1929 году. ТЭЦ-1, которая должна вскоре вступить в строй.</w:t>
      </w:r>
    </w:p>
    <w:p w14:paraId="142E40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И с водой, вероятно, плохо?</w:t>
      </w:r>
    </w:p>
    <w:p w14:paraId="4D771D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Плохо.</w:t>
      </w:r>
    </w:p>
    <w:p w14:paraId="6DC12A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И, наконец, есть ли у вас какой-либо опыт больших новостроек?</w:t>
      </w:r>
    </w:p>
    <w:p w14:paraId="267750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Нет ? отвечал Разумов.</w:t>
      </w:r>
    </w:p>
    <w:p w14:paraId="4A5AEA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Так что же у вас, в конце концов, есть для того, чтобы осуществить такую грандиозную стройку?</w:t>
      </w:r>
    </w:p>
    <w:p w14:paraId="1CD1B5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У нас, товарищ Сталин, есть совесть и честь татарского народа и на это мы очень и очень рассчитываем. Отправляясь к Вам, меня просили передать, что народ Татарии гордится доверием партии и правительства и ничего не пожалеет для того, чтобы на полях Республики воздвигнуть авиационный комбинат.</w:t>
      </w:r>
    </w:p>
    <w:p w14:paraId="343107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Ну что ж, тогда давайте, стройте... - сказал мудрый вождь.</w:t>
      </w:r>
    </w:p>
    <w:p w14:paraId="57E84E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праздничный день 2 мая в Караваево состоялась торжественная церемония послания грядущим потомкам в виде Акта о закладке авиакомбината в пробирке, положенной в глиняный горшок, а потом в двухведерный сосуд и опущенного в землю на полтора-два метра. Где сейчас эта посылка, не знает никто, так как из-за ошибки проектировщиков закладку завода перенесли позднее в другое место. Так что горшок с Актом и серебряной табличкой с надписью «Здесь заложен казанский авиакомбинат» еще ждет своих археологов и охотников за драгоценными металлами. Быть может, потеря этой реликвии стала одной из причин неудач завода в первом десятилетии своей истории.</w:t>
      </w:r>
    </w:p>
    <w:p w14:paraId="061270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Еще одна проблема, которая волновала Наркомат тяжелой промышленности, была связана с тем, что там сомневались в возможности набрать для строительства нужное количество рабочей силы. «Республика просто не сможет найти в сжатые сроки столько строителей. А если и найдет, то все равно негде будет их разместить» - говорилось в одном из приказов от 1932 г. Но «помогла» деревня. Летом стали прибывать в Казань первые строители, в основном, из районов Татарстана, мобилизованные крестьяне, по 100 - 150 человек от района. Официально эти крестьяне считались работниками по договору. Республика до конца строительства обязалась держать на Авиастрое 2000 крестьян.</w:t>
      </w:r>
    </w:p>
    <w:p w14:paraId="0C81BC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Сплошная коллективизация, которая еще немного щадила крестьян в нашей республике, погнала в большие города единоличников из хлебных регионов страны. Из Белоруссии и Украины, целыми семьями, на повозках, с лошадьми и другими домашними животными, хлынули потоки беженцев на стройки второй пятилетки. Разоряя крестьян, партия создавала огромный резерв рабочей силы для тяжелой промышленности и машиностроения. В Казани, где жилья не хватало и для коренных жителей, новоприбывшие заселялись вокруг Авиастроя, подчас без особых разрешений, создавая целые поселки из землянок с огородами.</w:t>
      </w:r>
    </w:p>
    <w:p w14:paraId="6824E8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августе приехали иностранные специалисты из группы «Цемент», которые строили Магнитку и Горьковский автозавод. Коммуна (по архивным документам): «была организована в САСШ (Северо-Американские Соединенные Штаты) в 1930 г. в основном из строительных рабочих и специалистов, и в СССР прибыла пятью группами. На сегодняшний день работает в Нижнем Тагиле и Казани. Коммуна привезла с собой из САСШ большое количество инструмента и машин, закупленного на средства коммуны. Одна группа приглашена для передачи опыта техники американской стройки.</w:t>
      </w:r>
    </w:p>
    <w:p w14:paraId="6AF740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Коммуна «Цемент» организована на основе равноправного членства и во всех вопросах, как производственных, так и бытовых должна заботиться о каждом своем члене. Например, 2 января 1933 г. прошло собрание по поводу урезания валютной зарплаты неработающим членам коммуны, так как это нарушало первоначальный договор с советской стороной».</w:t>
      </w:r>
    </w:p>
    <w:p w14:paraId="2A809F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Поселили их в трехэтажном доме в поселке Урицкого, многие привезли с собой семьи, и зарплату они получали в долларах. Характерно, что многочисленные попытки администрации перевести иностранцев на сдельную, а не повременную оплату, успехом так и не закончились. На 12 июля на стройке числилось 62 иностранных специалиста, из них 25 рабочих. В октябре работал уже 71 человек, позднее их число достигло приблизительно ста человек.</w:t>
      </w:r>
    </w:p>
    <w:p w14:paraId="238042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Среди финнов, особенно рабочих, были и коммунисты, до десяти человек. Характерный штрих того времени: в документах завода сохранился донос одного финна на другого. Иоган Сиписало, член ВКП(б), пишет на Антона Фомина, что брат Антона Евсей контрабандист и шпион, а сам Антон после карельского восстания сбежал в Финляндию на сторону белых и является домовладельцем. Кроме того, Евсей является представителем бело-карельской организации.</w:t>
      </w:r>
    </w:p>
    <w:p w14:paraId="0A7F96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конец 1932 г. на Авиастрое уже работало 36580 человек, на самом заводе № 124 штат составлял 3292 человека. Будущие кадры начали готовить казанские авиаинститут и авиатехникум, где числилось соответственно 393 и 362 человека.</w:t>
      </w:r>
    </w:p>
    <w:p w14:paraId="5BBF56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Нельзя сказать, что государство не помогало приехавшим строителям. Если уж затеяли такое дело, так надо было что-то делать с жильем. Во-первых, конечно, обеспечивались квартирами квалифицированные специалисты. Для них отводились номера в гостиницах «Бристоль», «Совет», «Казанское подворье» и строился поселок ИТР (инженерно-технических работников) в тихом месте, в сосновой роще. До сих пор он носит имя Урицкого Моисея Соломоновича, человека, примечательного лишь тем, что, будучи начальником Петроградского ЧК, он настолько «прославился» своей жестокостью, что был застрелен эсером в 1918 г.</w:t>
      </w:r>
    </w:p>
    <w:p w14:paraId="566FA7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быстро «обрастал» жилым фондом, к которому можно было причислить и многочисленные бараки. Некоторые из них, длинные, мрачные строения, с одним полутемным коридором, крохотными комнатками и минимальными удобствами, можно и сейчас найти в Караваево. На памяти автора, еще в начале 1960-х годов в восточном районе улицы Гагарина располагались деревянные бараки, бывшие коровники Фермы № 2.</w:t>
      </w:r>
    </w:p>
    <w:p w14:paraId="1481F8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Но не только жилье волновало строителей Комбината. Завод нуждался в коммуникациях - асфальтовых дорогах, железнодорожных и трамвайных путях. Строились кирпичные, известковый и алебастровый заводы, деревообделочный комбинат, открыли каменный, гравийный и песочный карьеры. Готовились строительные площадки под ТЭЦ и волжский Водозабор. Само управление Казавиастроя располагалось в красивом массивном здании из красного кирпича, которое принадлежало ранее духовному училищу. Его и сейчас можно увидеть на улице Декабристов, напротив бывшего магазина «Культтовары», за банком «Казанский». Увы, от сосновых и березовых рощ, что шумели в тех краях семьдесят лет назад, остались только воспоминания и несколько жалких сосен, которые торчат там и сям на территории Московского, бывшего Ленинского, района (12049).</w:t>
      </w:r>
    </w:p>
    <w:p w14:paraId="59279C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F9A45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конца 1931 года завод № 20 начал давать первую продукцию. Строительство отдельных корпусов продолжалось до начала ВОВ. С начала ВОВ в июле-августе 1941 года, на базе завода с/х машиностроения им. Куйбышева в Омске организовался филиал завода № 20 под номером 495, а с октября 1941 года по решению Правительства началась эвакуация завода № 20 в Омск на территорию завода им. Куйбышева. Эвакуация закончилась в январе 1942 года. С 1932 года по 1944 год на заводе существовало ОКБ, гл. конструкторами за это время были Суслов М.А., Руппель В.Г. и Тарасов П.И. В 1944 году ОКБ завода реорганизовали в филиал ОКБ завода № 491. В 1947 году приказом МАП № 436с от 5 июля 1947 года филиал ОКБ был реорганизован в самостоятельное ОКБ завода № 20, гл. конструктором был Мельников А.Н. и в 1951 году ОКБ было вновь реорганизовано в филиал ОКБ завода № 451.</w:t>
      </w:r>
    </w:p>
    <w:p w14:paraId="3C7315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Приказом МАП № 326сс от 5 июля 1956 года на базе филиала ОКБ-451 при заводе № 20 организовано ОКБ завода № 20 – ОКБ-20. Гл. конструктором назначен Тимофеев М.М.</w:t>
      </w:r>
    </w:p>
    <w:p w14:paraId="261314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Адрес: Омск, ул. Герцена, 74</w:t>
      </w:r>
    </w:p>
    <w:p w14:paraId="44F5AC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начала деятельности ОКБ в Омске директорами завода были: 1939-1942 гг. – Борисов И.Т. 1942-1943 гг. – Ивайкин А.М. 1944-1946 гг. – Кругленин Н.Н. 1945-1955 гг. – Сибиркин А.А. 1955-1958 гг. Русин С.А. (9732).</w:t>
      </w:r>
    </w:p>
    <w:p w14:paraId="1FF848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2F21F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1931 года директором завода № 29 был назначен Александров С.А. До 1937 года на производстве было два серийных двигателя М-11 и М-22. В 1935 году перед заводом были поставлены задачи по освоению и внедрению в производство новых лицензионных авиационных двигателей К-9 и К-14, получивших впоследствии наименования М-75 и М-85. Эти двигатели в порядке лицензии были куплены во Франции, с тем чтобы уже во втором квартале 1936 года производить их серийный выпуск.</w:t>
      </w:r>
    </w:p>
    <w:p w14:paraId="6DB8E5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Затем заводу было оставлено задание на изготовление одного двигателя М-85 и на свертывание начавшейся подготовки производства М-75. Во втором квартале 1936 года завод приступил к серийному производству двигателей М-85, а выпуск двигателей старой конструкции М-11 и М-22 был прекращен. До конца 1936 года завод сдал в эксплуатацию 130 М-85, а всего за 2 года заводом выпущено 460 двигателей М-85. В 1936 году ОКБ завода изготовило и провело через заводские испытания эталон двигателя М-86 конструкции завода № 29. В этом же году был изготовлен и успешно сдан госкомиссии еще один новый двигатель завода № 29 – М-87, мощность которого при одинаковых технических данных была на 19% выше, чем мощность двигателя М-86. В 1938 году директором завода был назначен Чернышев В.В., гл. конструктором Туманский С.К.</w:t>
      </w:r>
    </w:p>
    <w:p w14:paraId="694C87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Производство завода в 1938 году состояло из двух марок М-86 и М-87. К концу 1938 года М-86 был снят с производства и завод приступил к освоению двигателя М-88 собственной конструкции. Эти двигатели вплоть до 1947 года были основным видом оборонной продукции завода. За весь период их производства завод выпустил 16083 двигателя М-88. С августа 1939 года обязанности директора завода исполнял зам. наркома авиапромышленности Баландин В.П. С ноября 1939 года – директор завода Громов С.А. В начале 1940 года в одном из двигателей М-88, сданных в эксплуатацию был обнаружен дефект – выход из строя муфты первой скорости нагнетателя. Завод приостановил выпуск М-88 и приступил к устранению дефекта. Главным изделием завода снова стал двигатель М-87. В четвертом квартале 940 года дефект был устранен и завод окончательно переключил производство на выпуск уже модифицированных двигателей М-88Б, значительно лучшей конструкции, </w:t>
      </w:r>
      <w:r w:rsidRPr="005E779E">
        <w:rPr>
          <w:rFonts w:ascii="Times New Roman" w:hAnsi="Times New Roman"/>
          <w:color w:val="000000" w:themeColor="text1"/>
          <w:sz w:val="16"/>
          <w:szCs w:val="16"/>
        </w:rPr>
        <w:lastRenderedPageBreak/>
        <w:t>а изготовление М-87 было прекращено. В конце 1940 года директором завода был назначен Лукин М.М., гл. конструктором Урмин Е.В. В первой половине 1941 года завод кроме двигателя М-88Б освоил и выпустил 110 двигателей М-89, производство которых было прекращенов связи с эвакуацией завода.</w:t>
      </w:r>
    </w:p>
    <w:p w14:paraId="37F17C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постановлением ГКО от 11 августа 1941 года за № 457сс и приказом НКАП от 12 августа 1941 года за № 844сс, завод № 29 был эвакуирован в Омск. В ноябре 1941 года в Омске было восстановлено производство двигателей М-88Б. В 1942 году директором завода был назначен Борисов И.Т.</w:t>
      </w:r>
    </w:p>
    <w:p w14:paraId="4636E8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приказом НКАП в начале 1942 года завод должен был перейти на дублирование производства новых поршневых двигателей АШ-82 системы конструктора Швецова, находившихся в производстве завода № 19. Приказом НКАП от 19 марта 1942 года за № 21сс завод временно был освобожден от запускав производство двигателя АШ-82. В январе 1943 года гл. конструктором завода был назначен Нитченко В.С. В 1942 году завод получил задание довести и запустить в производство малую серию опытного двигателя М-90.</w:t>
      </w:r>
    </w:p>
    <w:p w14:paraId="437E87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Постановлением ГКО от 15 июня 1943 года за № 3587 завод в третий раз был обязан приступить к освоению и серийному производству двигателей АШ-82 уже новой модификации, с форсированным нагнетателем под наименованием АШ-82ФН, а развернувшееся производство М-90 предлагалось прекратить. Машин М-90 завод выпустил всего 13 опытных образцов.</w:t>
      </w:r>
    </w:p>
    <w:p w14:paraId="6821B3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этого времени производство завода № 29 в значительной мере стало зависимым от того, что вся технология и технические условия создавались и утверждались на заводе № 19, который был ведущим заводом по производству двигателей АШ-82ФН и АШ-21 системы Швецова, вплоть до второй половины 1952 года. В 1944 году завод выпускал два двигателя: М-88Б и АШ-82Н. В 1944 году на старых площадях завода № 29 в Запорожье стал восстанавливаться родственный завод № 478. В 1945 году заводом выпускались те же двигатели М-88Б и АШ-82ФН. Решением СМ и МАП завод со второго квартала 1946 года был освобожден от производства двигателей М-88Б и передал эту машину Запорожскому завода № 478 и начал освоение и выпуск АШ-21. С ноября 1948 года –директор Шехов Б.В. В 1949 году завод по-прежнему выпускал АШ-82ФН и АШ-21. В начале 1953 года гл. конструктором завода был назначен Федичев В.Г. С августа 1953 года – директор Головачев А.М. В 1953 году завод продолжал производство АШ-82ФН и АШ-21</w:t>
      </w:r>
    </w:p>
    <w:p w14:paraId="6FEE8D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Адрес: Омск, Б. Хмельницкого – 281, п/я 64</w:t>
      </w:r>
    </w:p>
    <w:p w14:paraId="2DC6E7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Производственный профиль – авиационные двигатели системы конструкторов Швецова АШ-82ФН (с форсированным нагнетателем), АШ-82Т – транспортный (и АШ-82В (вертолетный) (9814).</w:t>
      </w:r>
    </w:p>
    <w:p w14:paraId="42AD15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528AD0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1931 г. было решено назначить Марьямова ди</w:t>
      </w:r>
      <w:r w:rsidRPr="005E779E">
        <w:rPr>
          <w:rFonts w:ascii="Times New Roman" w:hAnsi="Times New Roman"/>
          <w:color w:val="000000" w:themeColor="text1"/>
          <w:sz w:val="16"/>
          <w:szCs w:val="16"/>
        </w:rPr>
        <w:softHyphen/>
        <w:t>ректором завода имени Фрунзе. Умещался тогда завод на крохотной площадке. Прямо перед входом тянулась дорога. Сзади — кладбище с церковью у входа, поч</w:t>
      </w:r>
      <w:r w:rsidRPr="005E779E">
        <w:rPr>
          <w:rFonts w:ascii="Times New Roman" w:hAnsi="Times New Roman"/>
          <w:color w:val="000000" w:themeColor="text1"/>
          <w:sz w:val="16"/>
          <w:szCs w:val="16"/>
        </w:rPr>
        <w:softHyphen/>
        <w:t>ти напротив — застава с биржей извозчиков. А дальше за заводом тя</w:t>
      </w:r>
      <w:r w:rsidRPr="005E779E">
        <w:rPr>
          <w:rFonts w:ascii="Times New Roman" w:hAnsi="Times New Roman"/>
          <w:color w:val="000000" w:themeColor="text1"/>
          <w:sz w:val="16"/>
          <w:szCs w:val="16"/>
        </w:rPr>
        <w:softHyphen/>
        <w:t>нулись плантации цветов. Территория предприятия была обнесена дощатым забором. Для расширения производства потребовалась ко</w:t>
      </w:r>
      <w:r w:rsidRPr="005E779E">
        <w:rPr>
          <w:rFonts w:ascii="Times New Roman" w:hAnsi="Times New Roman"/>
          <w:color w:val="000000" w:themeColor="text1"/>
          <w:sz w:val="16"/>
          <w:szCs w:val="16"/>
        </w:rPr>
        <w:softHyphen/>
        <w:t>ренная реконструкция. На стройке многие тысячи людей работали в три смены. Одновре</w:t>
      </w:r>
      <w:r w:rsidRPr="005E779E">
        <w:rPr>
          <w:rFonts w:ascii="Times New Roman" w:hAnsi="Times New Roman"/>
          <w:color w:val="000000" w:themeColor="text1"/>
          <w:sz w:val="16"/>
          <w:szCs w:val="16"/>
        </w:rPr>
        <w:softHyphen/>
        <w:t>менно строились три корпуса, в том числе корпус механических це</w:t>
      </w:r>
      <w:r w:rsidRPr="005E779E">
        <w:rPr>
          <w:rFonts w:ascii="Times New Roman" w:hAnsi="Times New Roman"/>
          <w:color w:val="000000" w:themeColor="text1"/>
          <w:sz w:val="16"/>
          <w:szCs w:val="16"/>
        </w:rPr>
        <w:softHyphen/>
        <w:t>хов, который и сегодня самый крупный на заводе. Рядом возводился кузнечно-термический цех, а с другой стороны — инструментальный корпус. Все работы велись исключительно вручную. Лопата, кирка, носилки, конная подвода — вот и вся «механизация». Если до реконструкции завода на обеих территориях от силы ра</w:t>
      </w:r>
      <w:r w:rsidRPr="005E779E">
        <w:rPr>
          <w:rFonts w:ascii="Times New Roman" w:hAnsi="Times New Roman"/>
          <w:color w:val="000000" w:themeColor="text1"/>
          <w:sz w:val="16"/>
          <w:szCs w:val="16"/>
        </w:rPr>
        <w:softHyphen/>
        <w:t>ботало около тысячи человек, то после реконструкции численность предполагалось довести до 10 000 работников. Конечно, освоение серийного выпуска нового мощного советского мотора было задачей очень непростой (10781).</w:t>
      </w:r>
    </w:p>
    <w:p w14:paraId="0482176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C846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1931 года будущий № 383 завод в основном был построен и стал выпускать продукцию – деревянные трубы. В 1932 году завод вступил в эксплуатацию. В 1933 году, продолжая производство деревянных труб, приступил на имевшихся производственных площадях к производству строительных деталей – оконные переплеты, двери, плинтус и т.п. В 1934 году производство труб было прекращено. В 1935 году развивалось производство стройдеталей и мебели для оборудования санаториев, домов отдыха и военных академий.</w:t>
      </w:r>
    </w:p>
    <w:p w14:paraId="573ACB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началом ВОВ завод перешел на другую систему и переключился на выпуск совершенно новой для него продукции. Согласно распоряжения СНК от 28 июля 1941 года и приказу НКОП № 800с от 6 августа 1941 года, завод № 3 Главвоенстроя был передан в систему НКАП с присвоением ему наименования – завод № 383 НКАП. Начиная с этого момента завод быстро переключается на производство деревянных моноблочных воздушных винтов и лопастей к винтам изменяемого шага, производя для этого реконструкцию, перепланировку цехов и т.д.</w:t>
      </w:r>
    </w:p>
    <w:p w14:paraId="05AF21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Адрес: Москва, Е-24, проезд Энтузиастов, 15</w:t>
      </w:r>
    </w:p>
    <w:p w14:paraId="2AB4D2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Производственный профиль – завод самолетных винтов, с деревянными лопастями В 1942 году основной продукцией завода являлись моноблочные винты и лопасти к ВИШ (9666).</w:t>
      </w:r>
    </w:p>
    <w:p w14:paraId="75F926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2467E85" w14:textId="77777777" w:rsidR="0087630B" w:rsidRPr="005E779E" w:rsidRDefault="0087630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1931 года был решен вопрос о создании испытательной станции Отдела № 4 завода Мостяжарт. Для ее размещения Управление ВВС НКО выделило территорию в районе деревни Соколовка, в 6 км от Ногинска, рядом с полигоном ВВС. Начальником испытательной станции был назначен Алексей Федорович Ту- рахин. На лесной опушке построили три жилых деревянных дома для сотрудников станции и командированных. Чуть в стороне стояла снаряжательная мастерская, где производились все работы по снаряжению и сборке изделий. Построены были два склада: для хранения корпусов и для химических материалов. Ни электроэнергии, ни водопровода, ни канализации на испытательной станции не было. Для плавления взрывчатых веществ использовался трехконфорочный примус. Термит забивался в корпуса вручную. В одной из комнат снаряжательной мастерской, которой руководил Воронков, был установлен маленький гидравлический пресс с ручным приводом. Затем установили более мощный пресс, значительно облегчивший работу. Работы по снаряжению и испытанию производились непосредственно конструкторами, приезжавшими из Москвы. К ним присоединялись один-два рабочих. З. П. Цепков, А. С. Смирнов перешли на работу в мастерскую из охраны завода и здесь получили первую рабочую квалификацию снаряжательщиков. Тогда же пришел на работу и С. Е. Шайкин, проработавший затем длительное время заведующим складами производства № 2. Несмотря на недостаточное оборудование мастерской, работа шла оперативно. Обычно снаряжались два-три опытных образца, в этот же день испытывались. Конструкция образца или рецептура состава тут же корректировались. Испытательная станция проводила не только наземные подрывы образцов бомб. В ее распоряжении находились и самолеты. Первоначально их арендовали, а затем в 1934 году завод купил для отдела пять самолетов. Это были самолеты У-2, два разведчика Р-5 и бомбардировщики ТБ-1 и ТБ-3. Эти машины, в особенности ТБ-3, обладали весьма высокими по тому времени летными характеристиками. Правда, техническое состояние машин было неважным: большая часть их почти полностью исчерпала летный ресурс, а ТБ-3 был первой машиной заводской серии и содержал ряд производственных недостатков. Самолеты базировались на аэродроме ВВС в Монино и для подвески бомбы отвозили туда. Бомбометание производилось по летному полю испытательной станции, расположенной рядом с мастерскими. Летный состав испытательной станции состоял из летчиков высокого класса: Мухин, Байда, штурман Иванов. А командиром летной группы был Алексей Дмитриевич Ширинкин – известнейший советский летчик-ас, награжденный за подвиги в Гражданской войне двумя орденами Красного Знамени. В испытательных полетах в качестве штурмана-бомбардира постоянно участвовал А. Ф. Турахин. Очень много работал и Ф. П. Шишковский, великолепный организатор и знаток авиационной техники.</w:t>
      </w:r>
    </w:p>
    <w:p w14:paraId="1570B0ED" w14:textId="77777777" w:rsidR="0087630B" w:rsidRPr="005E779E" w:rsidRDefault="0087630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Смелость, опыт и заинтересованность в работе летного состава позволяли проводить испытания, которые требовали от пилотов огромного искусства. Так, при испытаниях мостовых бомб самолет ТБ-3 на бреющем полете (высота 30–50 метров) проходил над макетом железнодорожного моста, что само по себе было в то время новым в практике тяжелой бомбардировочной авиации (15794).</w:t>
      </w:r>
    </w:p>
    <w:p w14:paraId="1F402A46" w14:textId="77777777" w:rsidR="0087630B" w:rsidRPr="005E779E" w:rsidRDefault="0087630B" w:rsidP="000B7A6C">
      <w:pPr>
        <w:spacing w:after="0" w:line="240" w:lineRule="auto"/>
        <w:jc w:val="both"/>
        <w:rPr>
          <w:rFonts w:ascii="Times New Roman" w:hAnsi="Times New Roman"/>
          <w:color w:val="000000" w:themeColor="text1"/>
          <w:sz w:val="16"/>
          <w:szCs w:val="16"/>
        </w:rPr>
      </w:pPr>
    </w:p>
    <w:p w14:paraId="7BA27F6A" w14:textId="77777777" w:rsidR="005C4849" w:rsidRPr="005E779E" w:rsidRDefault="005C4849" w:rsidP="000B7A6C">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1931 в США делегация, руководимая главным инспектором ГВФ Силиным искала партнера для создания образцовой авиалинии Харьков - Сочи - Тифли на АНТ-9. СССР был готов вложить в проект 5 млн. Руб. золотом. Все компании отказались (10542,31).</w:t>
      </w:r>
    </w:p>
    <w:p w14:paraId="23FF0A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1931 г. появилось специаль</w:t>
      </w:r>
      <w:r w:rsidRPr="005E779E">
        <w:rPr>
          <w:rFonts w:ascii="Times New Roman" w:hAnsi="Times New Roman"/>
          <w:color w:val="000000" w:themeColor="text1"/>
          <w:sz w:val="16"/>
          <w:szCs w:val="16"/>
        </w:rPr>
        <w:softHyphen/>
        <w:t>ное постановление РВС о необходимости разра</w:t>
      </w:r>
      <w:r w:rsidRPr="005E779E">
        <w:rPr>
          <w:rFonts w:ascii="Times New Roman" w:hAnsi="Times New Roman"/>
          <w:color w:val="000000" w:themeColor="text1"/>
          <w:sz w:val="16"/>
          <w:szCs w:val="16"/>
        </w:rPr>
        <w:softHyphen/>
        <w:t>ботки войскового варианта У-2. В феврале 1932 г. инженеры завода № 23 под руководством главного конструктора Н.Г.Михельсона создали эскизный проект самолета. Большую роль в разработке конструкции сыграл А.С.Москалев. В задней кабине этого варианта У-2, получившего обозначение ВС («вооруженный самолет»), предполагалось устано</w:t>
      </w:r>
      <w:r w:rsidRPr="005E779E">
        <w:rPr>
          <w:rFonts w:ascii="Times New Roman" w:hAnsi="Times New Roman"/>
          <w:color w:val="000000" w:themeColor="text1"/>
          <w:sz w:val="16"/>
          <w:szCs w:val="16"/>
        </w:rPr>
        <w:softHyphen/>
        <w:t>вить турель с пулеметом ДА и фотоаппарат. Двойное управление сохранялось. Цилиндры двигателя закрыва</w:t>
      </w:r>
      <w:r w:rsidRPr="005E779E">
        <w:rPr>
          <w:rFonts w:ascii="Times New Roman" w:hAnsi="Times New Roman"/>
          <w:color w:val="000000" w:themeColor="text1"/>
          <w:sz w:val="16"/>
          <w:szCs w:val="16"/>
        </w:rPr>
        <w:softHyphen/>
        <w:t>ло кольцо Тауненда. Для повышения дальности полета устанавливался бак в центроплане на 40 кг бензина от АП. Расчетная максимальная скорость полета равнялась 140 км/ч (10667).</w:t>
      </w:r>
    </w:p>
    <w:p w14:paraId="0A3D20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ABC88F9" w14:textId="77777777" w:rsidR="00F869CD" w:rsidRPr="00142305" w:rsidRDefault="00F869CD" w:rsidP="00F869C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концу 1931 г. в гражданской авиации эксплуатировались 12 «юнкерсов» ЮГ-1, в том числе два - из самой первой партии, выпуска 1925 г. (24940).</w:t>
      </w:r>
    </w:p>
    <w:p w14:paraId="5DDF9A16" w14:textId="77777777" w:rsidR="00F869CD" w:rsidRPr="00142305" w:rsidRDefault="00F869CD" w:rsidP="00F869CD">
      <w:pPr>
        <w:spacing w:after="0" w:line="240" w:lineRule="auto"/>
        <w:jc w:val="both"/>
        <w:rPr>
          <w:rFonts w:ascii="Times New Roman" w:hAnsi="Times New Roman"/>
          <w:color w:val="0070C0"/>
          <w:sz w:val="16"/>
          <w:szCs w:val="16"/>
        </w:rPr>
      </w:pPr>
    </w:p>
    <w:p w14:paraId="6621EB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1931 года при Главном управлении (ГУ) ГВФ образовалась специализированная организация «Дирижаблестрой». Она должна была объединить усилия различных групп специалистов в области дирижаблестроения, обеспечить плановое развертывание работ по проектированию и постройке советских дирижаблей, усовершенствованию приемов их эксплуатации, проведению научных исследований по воздухоплавательной тематике. Ему были подчинены завод по проектированию и строительству дирижаблей, учебно-опытная эскадра по эксплуатации дирижаблей, воздухоплавательная группа свободных аэростатов и завод по производству водорода. «Дирижаблестрою» в апреле 1932 года была также передана территория Центральной воздухоплавательной базы Осоавиахима в районе станции Долгопрудная, на которой сразу же началось интенсивное строительство объектов, связанных с производством и эксплуатацией дирижаблей — эллинга, аэродрома, завода и т. п. Создание базы в Долгопрудном было жизненно необходимо, ибо существовала нелепая ситуация. Основной центр проектирования и строительства дирижаблей находился в Москве, а эллинг и команда наземного обслуживания располагались (так сложилось исторически) в Ленинграде на Волковом поле. Именно поэтому первые полеты советских дирижаблей, созданных в Москве, совершались в небе Ленинграда (10731).</w:t>
      </w:r>
    </w:p>
    <w:p w14:paraId="3E625E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ED4AB5D" w14:textId="77777777" w:rsidR="0087630B" w:rsidRPr="005E779E" w:rsidRDefault="0087630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К концу 1931 г. на первой в стране парашютной фабрики было изготовлено более 5 тыс. парашютов, в том числе 70 специальных десантных ПД-1 конструкции Савицкого М.А., которые начиная с 1933 г. стали поступать в распоряжение молодых парашютно-десантных частей (15506).</w:t>
      </w:r>
    </w:p>
    <w:p w14:paraId="1FBEF211" w14:textId="77777777" w:rsidR="0087630B" w:rsidRPr="005E779E" w:rsidRDefault="0087630B" w:rsidP="000B7A6C">
      <w:pPr>
        <w:spacing w:after="0" w:line="240" w:lineRule="auto"/>
        <w:jc w:val="both"/>
        <w:rPr>
          <w:rFonts w:ascii="Times New Roman" w:hAnsi="Times New Roman"/>
          <w:color w:val="000000" w:themeColor="text1"/>
          <w:sz w:val="16"/>
          <w:szCs w:val="16"/>
        </w:rPr>
      </w:pPr>
    </w:p>
    <w:p w14:paraId="7B59438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1931 г. сдали в эксплуатацию на заводе № 6 НКОП первый в стране опытный цех по производству баллиститного пороха. Помимо того, специа</w:t>
      </w:r>
      <w:r w:rsidRPr="005E779E">
        <w:rPr>
          <w:rFonts w:ascii="Times New Roman" w:hAnsi="Times New Roman"/>
          <w:color w:val="000000" w:themeColor="text1"/>
          <w:sz w:val="16"/>
          <w:szCs w:val="16"/>
        </w:rPr>
        <w:softHyphen/>
        <w:t>лизированное производство было организовано на заводе №59 НКОП имени Г.И.Петровского (бывший Шгеровский завод промышленных ВВ) в Донбассе. До того завод выпускал динамиты для угольной про</w:t>
      </w:r>
      <w:r w:rsidRPr="005E779E">
        <w:rPr>
          <w:rFonts w:ascii="Times New Roman" w:hAnsi="Times New Roman"/>
          <w:color w:val="000000" w:themeColor="text1"/>
          <w:sz w:val="16"/>
          <w:szCs w:val="16"/>
        </w:rPr>
        <w:softHyphen/>
        <w:t>мышленности и располагал производством нитроглицерина. 31 июля 1937 г. там получили первое письмо с пояснениями к чертежам авиаци</w:t>
      </w:r>
      <w:r w:rsidRPr="005E779E">
        <w:rPr>
          <w:rFonts w:ascii="Times New Roman" w:hAnsi="Times New Roman"/>
          <w:color w:val="000000" w:themeColor="text1"/>
          <w:sz w:val="16"/>
          <w:szCs w:val="16"/>
        </w:rPr>
        <w:softHyphen/>
        <w:t>онных РС-82 и РС-132 (11402).</w:t>
      </w:r>
    </w:p>
    <w:p w14:paraId="2A7F70B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A4BE9B" w14:textId="77777777" w:rsidR="000730D5" w:rsidRPr="005E779E" w:rsidRDefault="000730D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концу 1931 года было изготовлено более 5.000 парашютов, в том числе специальные десантные аппараты ПД-1. План выпуска парашютов на первой парашютной фабрике в первый год не выполнялся. Например, в 1930 году парашютная фабрика должна была выпустить 3.240 штук. Реально на вооружение в ВВС поступило 870 штук. Проверка производства парашютов в 1931 году вскрыла серьезные проблемы. Отмечалась слабая организация производства парашютов на фабрике № 1 Мостекстильшвейсоюза: программа 1931 года была выполнена лишь на 30-40%. Указывалась дороговизна парашютов, слабый учет. Было подчеркнуто, что «Фабрика № 1 в нынешнем состоянии не может обеспечить производство парашютов даже для удовлетворения потребностей мирного времени». Все эти недостатки ставили под угрозу выполнение намеченных в постановлении СНК планов по производству парашютов как в 1932 году, так и в последующие годы. Было принято решение обратиться к Правительству с просьбой, чтобы парашютная фабрика была переведена на положение государственных предприятий с подчинением Наркомату легкой промышленности (Архив ЦДА и К. Ф. 50. Оп. 1. Д. 3. Лл. 21-23.).</w:t>
      </w:r>
    </w:p>
    <w:p w14:paraId="40313E0A" w14:textId="77777777" w:rsidR="000730D5" w:rsidRPr="005E779E" w:rsidRDefault="000730D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Парашют конструкции М.А. Савицкого ПТ-1 для совершения прыжков летчиками, десантниками и спортсменами-парашютистами состоял на снабжении Красной Армии до 1940 года. С помощью ПТ-1 было установлено 22 рекорда страны, в том числе и прыжок с минимальной высоты 80 м (Васина Б.С. Испытание небом. М., 2010. С. 17.) (21402).</w:t>
      </w:r>
    </w:p>
    <w:p w14:paraId="3C25D7AE" w14:textId="77777777" w:rsidR="000730D5" w:rsidRPr="005E779E" w:rsidRDefault="000730D5" w:rsidP="000B7A6C">
      <w:pPr>
        <w:spacing w:after="0" w:line="240" w:lineRule="auto"/>
        <w:jc w:val="both"/>
        <w:rPr>
          <w:rFonts w:ascii="Times New Roman" w:hAnsi="Times New Roman"/>
          <w:color w:val="000000" w:themeColor="text1"/>
          <w:sz w:val="16"/>
          <w:szCs w:val="16"/>
        </w:rPr>
      </w:pPr>
    </w:p>
    <w:p w14:paraId="18239955" w14:textId="77777777" w:rsidR="003B4A71" w:rsidRPr="005E779E" w:rsidRDefault="003B4A7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shd w:val="clear" w:color="auto" w:fill="FFFFFF"/>
        </w:rPr>
        <w:t>В конце 1931 г. начали выпуск десантных парашютов ПД-1. По конструкции это был наспинный «Ирвин», но большую часть купола площадью 60 м2 сшивали из перкаля; лишь наиболее нагруженные нижние клинья выполнялись из шелка. Стропы – хлопчатобумажные. В 1932 г. ПД-1 официально приняли на снабжение РККА, постепенно десантные парашюты стали занимать до половины производственной программы. В том же году стали выпускать учебные ПТ-1 с двумя куполами (у запасного вытяжного парашютика не имелось); весь комплект весил более 20 кг (21505).</w:t>
      </w:r>
    </w:p>
    <w:p w14:paraId="28BE0C8D" w14:textId="77777777" w:rsidR="003B4A71" w:rsidRPr="005E779E" w:rsidRDefault="003B4A71" w:rsidP="000B7A6C">
      <w:pPr>
        <w:spacing w:after="0" w:line="240" w:lineRule="auto"/>
        <w:jc w:val="both"/>
        <w:rPr>
          <w:rFonts w:ascii="Times New Roman" w:hAnsi="Times New Roman"/>
          <w:color w:val="000000" w:themeColor="text1"/>
          <w:sz w:val="16"/>
          <w:szCs w:val="16"/>
        </w:rPr>
      </w:pPr>
    </w:p>
    <w:p w14:paraId="76144058"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01F579B1"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4E80D26" w14:textId="77777777" w:rsidR="000700C8" w:rsidRPr="005E779E" w:rsidRDefault="000700C8"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К концу 1931 года производство вооружений составило 168% к показателям 1930 г., хотя и не достигло намеченных народнохозяйственным планом 225% (</w:t>
      </w:r>
      <w:r w:rsidRPr="005E779E">
        <w:rPr>
          <w:rFonts w:ascii="Times New Roman" w:eastAsia="Times New Roman" w:hAnsi="Times New Roman"/>
          <w:color w:val="000000" w:themeColor="text1"/>
          <w:sz w:val="16"/>
          <w:szCs w:val="16"/>
          <w:lang w:val="en-US" w:eastAsia="ru-RU"/>
        </w:rPr>
        <w:t>DAVIES</w:t>
      </w:r>
      <w:r w:rsidRPr="005E779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val="en-US" w:eastAsia="ru-RU"/>
        </w:rPr>
        <w:t>R</w:t>
      </w:r>
      <w:r w:rsidRPr="005E779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val="en-US" w:eastAsia="ru-RU"/>
        </w:rPr>
        <w:t>W</w:t>
      </w:r>
      <w:r w:rsidRPr="005E779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val="en-US" w:eastAsia="ru-RU"/>
        </w:rPr>
        <w:t>Crisis</w:t>
      </w:r>
      <w:r w:rsidRPr="005E779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val="en-US" w:eastAsia="ru-RU"/>
        </w:rPr>
        <w:t>and</w:t>
      </w:r>
      <w:r w:rsidRPr="005E779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val="en-US" w:eastAsia="ru-RU"/>
        </w:rPr>
        <w:t>Progress</w:t>
      </w:r>
      <w:r w:rsidRPr="005E779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val="en-US" w:eastAsia="ru-RU"/>
        </w:rPr>
        <w:t>in</w:t>
      </w:r>
      <w:r w:rsidRPr="005E779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val="en-US" w:eastAsia="ru-RU"/>
        </w:rPr>
        <w:t>the</w:t>
      </w:r>
      <w:r w:rsidRPr="005E779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val="en-US" w:eastAsia="ru-RU"/>
        </w:rPr>
        <w:t>Soviet</w:t>
      </w:r>
      <w:r w:rsidRPr="005E779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val="en-US" w:eastAsia="ru-RU"/>
        </w:rPr>
        <w:t>Economy</w:t>
      </w:r>
      <w:r w:rsidRPr="005E779E">
        <w:rPr>
          <w:rFonts w:ascii="Times New Roman" w:eastAsia="Times New Roman" w:hAnsi="Times New Roman"/>
          <w:color w:val="000000" w:themeColor="text1"/>
          <w:sz w:val="16"/>
          <w:szCs w:val="16"/>
          <w:lang w:eastAsia="ru-RU"/>
        </w:rPr>
        <w:t>, 1931-1933. P 113-115). В целом за пятнадцать месяцев 1930/31 г. из 3577 артиллерийских орудий, заказанных НКВМ, в 1930/31 г. было произведено 1911; вместо 1288 танков было выпущено 740. Такое соотношение было характерно для большинства видов вооружений и боеприпасов (Производство техники, вооружения и боеприпасов для Наркомата Обороны за период с 1929 по 1941 г. (Собрал данные А. Мелия) // http://www military-economic. ru/doc8. html) (22725).</w:t>
      </w:r>
    </w:p>
    <w:p w14:paraId="354D53A1" w14:textId="77777777" w:rsidR="000700C8" w:rsidRPr="005E779E" w:rsidRDefault="000700C8" w:rsidP="000B7A6C">
      <w:pPr>
        <w:spacing w:after="0" w:line="240" w:lineRule="auto"/>
        <w:jc w:val="both"/>
        <w:rPr>
          <w:rFonts w:ascii="Times New Roman" w:hAnsi="Times New Roman"/>
          <w:color w:val="000000" w:themeColor="text1"/>
          <w:sz w:val="16"/>
          <w:szCs w:val="16"/>
        </w:rPr>
      </w:pPr>
    </w:p>
    <w:p w14:paraId="728E25BF" w14:textId="77777777" w:rsidR="000700C8" w:rsidRPr="005E779E" w:rsidRDefault="000700C8"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В конце 1931 г., когда Гамарник известил находившегося в отпуске наркомвоенмора, что Генеральный секретарь "взялся вплотную" за военную промышленность, Ворошилов советовал "постепенно, но основательно ознакомить Сталина] с положением дел" (Личное письмо Ворошилова Гамарнику, Сочи, 6.12.1931. С. 1б4) (22725).</w:t>
      </w:r>
    </w:p>
    <w:p w14:paraId="524AFD8E" w14:textId="77777777" w:rsidR="000700C8" w:rsidRPr="005E779E" w:rsidRDefault="000700C8" w:rsidP="000B7A6C">
      <w:pPr>
        <w:spacing w:after="0" w:line="240" w:lineRule="auto"/>
        <w:jc w:val="both"/>
        <w:rPr>
          <w:rFonts w:ascii="Times New Roman" w:eastAsia="Times New Roman" w:hAnsi="Times New Roman"/>
          <w:color w:val="000000" w:themeColor="text1"/>
          <w:sz w:val="16"/>
          <w:szCs w:val="16"/>
          <w:lang w:eastAsia="ru-RU"/>
        </w:rPr>
      </w:pPr>
    </w:p>
    <w:p w14:paraId="414A2962" w14:textId="77777777" w:rsidR="000924C2" w:rsidRPr="005E779E" w:rsidRDefault="000924C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концу 1931 г. военная угроза на Дальнем Востоке вплотную приблизилась к границам СССР, следствием чего стал беспрецедентный – на 120% (в текущих ценах) – рост советского военного бюджета (18297).</w:t>
      </w:r>
    </w:p>
    <w:p w14:paraId="55226347" w14:textId="77777777" w:rsidR="000924C2" w:rsidRPr="005E779E" w:rsidRDefault="000924C2" w:rsidP="000B7A6C">
      <w:pPr>
        <w:spacing w:after="0" w:line="240" w:lineRule="auto"/>
        <w:jc w:val="both"/>
        <w:rPr>
          <w:rFonts w:ascii="Times New Roman" w:hAnsi="Times New Roman"/>
          <w:color w:val="000000" w:themeColor="text1"/>
          <w:sz w:val="16"/>
          <w:szCs w:val="16"/>
        </w:rPr>
      </w:pPr>
    </w:p>
    <w:p w14:paraId="234780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1931 года конструкторы завода № 8 вставили в кожух 37-мм противотанковой пушки обр. 1931 года (Рейнметалл) новую трубу калибра 45 мм и слегка укрепили лафет (3861).</w:t>
      </w:r>
    </w:p>
    <w:p w14:paraId="092C87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C4AFA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1931 года прототипы N-26 получили 37-мм пушку образца 1930 года (ПС-2, конструктор - инженер П. Н. Сячентов; пушка ПС-2 представляла собой вариант 37-мм противотанковой пушки Rheinmetall Pak 30), которая имела более длинный ствол и большую начальную скорость снаряда. Вооруженный этой пушкой танк известен как танк Т-26 образца 1932 года (3862).</w:t>
      </w:r>
    </w:p>
    <w:p w14:paraId="3366C4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88284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1931 г. Курчевским была спроектирована 76-мм батальонная пушка БПК — наиболее знаменитое орудие Курчевского.</w:t>
      </w:r>
    </w:p>
    <w:p w14:paraId="122F06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Ствол пушки был сделан ребристым для улучшения теплоотдачи при стрельбе. Крутизна нарезов постоянная. Заряжание с казенной части. Затвор соединен с воронкой (соплом) и сдвигался при заряжании вместе с ним.</w:t>
      </w:r>
    </w:p>
    <w:p w14:paraId="311AE5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Подъемный механизм винтовой. Винт действовал на рычаг, укрепленный на правой цапфе. Поворотный механизм винтового типа. Станины на первых образцах трубчатые, а в дальнейшем — из углового профиля. Шворневая воронка располагалась рядом с сошником. Подрессоривания не было. Колеса деревянные.</w:t>
      </w:r>
    </w:p>
    <w:p w14:paraId="6FE531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боекомплект БПК входили:</w:t>
      </w:r>
    </w:p>
    <w:p w14:paraId="4695EA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Старая русская граната весом 6,5 кг, длиной 4,04 калибра. Вес взрывчатого вещества в гранате 0,86 кг. Взрыватель ЗГТ.</w:t>
      </w:r>
    </w:p>
    <w:p w14:paraId="006342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Осколочно-фугасная граната эталон 124 весом 6,23 кг, длиной 4,7 калибра. Вес взрывчатого вещества 0,73 кг. Взрыватель КТ-1.</w:t>
      </w:r>
    </w:p>
    <w:p w14:paraId="7AF045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Осколочно-фугасный снаряд чертежа 3421 весом 4,715 кг, длиной 3,95 калибра. Вес взрывчатого вещества в снаряде 0,702 кг. Взрыватель КТ-1.</w:t>
      </w:r>
    </w:p>
    <w:p w14:paraId="6E9F3E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момент испытаний БПК снаряды еще не имели индексов. Граната эталон 124 — новый снаряд «дальнобойной формы» для дивизионных пушек, позже его назовут ОФ-350.</w:t>
      </w:r>
    </w:p>
    <w:p w14:paraId="6E1ECE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Осколочно-фугасный снаряд чертежа 3421 — легкий снаряд, специально созданный для БПК. Его модификация весом 4,75 кг, длиной 3,9 калибра, содержавший 0,69 кг тротила, с взрывателем КТМ-1 или КТ-1, будет запущен в массовое производство. Позже он получит индекс ОФ-343. После снятия с вооружения БПК снарядом ОФ-343 будут комплектоваться выстрелы для 76-мм полковых пушек обр. 1927 г. и танковых пушек обр. 1927/1932 гг.</w:t>
      </w:r>
    </w:p>
    <w:p w14:paraId="2ED5A7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Попытка использовать в БПК железные гильзы не удалась, поэтому патроны к БПК были в латунных гильзах. Гильзы имели отверстия в дне и сбоку. Отверстия в гильзе закрывали деревянными (березовыми) или картонными донышками. Толщина картона в боковом отверстии 6 мм, а на дне — 4 мм. Кроме того, использовались и гагатовые донышки, но они давали крупные осколки (12091).</w:t>
      </w:r>
    </w:p>
    <w:p w14:paraId="557904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EADFA0B" w14:textId="77777777" w:rsidR="0087630B" w:rsidRPr="005E779E" w:rsidRDefault="0087630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1931 г, Курчевским была спроектирована 76-мм батальонная пушка БПК — наиболее знаменитое орудие Курчевского.</w:t>
      </w:r>
    </w:p>
    <w:p w14:paraId="135E282E" w14:textId="77777777" w:rsidR="0087630B" w:rsidRPr="005E779E" w:rsidRDefault="0087630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Ствол пушки был сделан ребристым для улучшения теплоотдачи при стрельбе. Крутизна нарезов постоянная. Заряжание с казенной части. Затвор соединен с воронкой (соплом) и сдвигался при заряжании вместе с ним.</w:t>
      </w:r>
    </w:p>
    <w:p w14:paraId="1E381852" w14:textId="77777777" w:rsidR="0087630B" w:rsidRPr="005E779E" w:rsidRDefault="0087630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Подъемный механизм винтовой. Винт действовал на рычаг, укрепленный на правой цапфе. Поворотный механизм винтового типа. Станины на первых образцах трубчатые, а в дальнейшем — из углового профиля. Шворневая воронка располагалась рядом с сошником. Подрессоривания не было. Колеса деревянные.</w:t>
      </w:r>
    </w:p>
    <w:p w14:paraId="6909D0B0" w14:textId="77777777" w:rsidR="0087630B" w:rsidRPr="005E779E" w:rsidRDefault="0087630B" w:rsidP="000B7A6C">
      <w:pPr>
        <w:spacing w:after="0" w:line="240" w:lineRule="auto"/>
        <w:jc w:val="both"/>
        <w:rPr>
          <w:rFonts w:ascii="Times New Roman" w:hAnsi="Times New Roman"/>
          <w:bCs/>
          <w:color w:val="000000" w:themeColor="text1"/>
          <w:sz w:val="16"/>
          <w:szCs w:val="16"/>
        </w:rPr>
      </w:pPr>
      <w:bookmarkStart w:id="66" w:name="label46"/>
      <w:bookmarkStart w:id="67" w:name="label47"/>
      <w:bookmarkEnd w:id="66"/>
      <w:bookmarkEnd w:id="67"/>
      <w:r w:rsidRPr="005E779E">
        <w:rPr>
          <w:rFonts w:ascii="Times New Roman" w:hAnsi="Times New Roman"/>
          <w:bCs/>
          <w:color w:val="000000" w:themeColor="text1"/>
          <w:sz w:val="16"/>
          <w:szCs w:val="16"/>
        </w:rPr>
        <w:t>Данные образцов БПК, испытанных на НИАПе</w:t>
      </w:r>
    </w:p>
    <w:p w14:paraId="3897D40B" w14:textId="77777777" w:rsidR="0087630B" w:rsidRPr="005E779E" w:rsidRDefault="0087630B" w:rsidP="000B7A6C">
      <w:pPr>
        <w:spacing w:after="0" w:line="240" w:lineRule="auto"/>
        <w:jc w:val="both"/>
        <w:rPr>
          <w:rFonts w:ascii="Times New Roman" w:hAnsi="Times New Roman"/>
          <w:bCs/>
          <w:color w:val="000000" w:themeColor="text1"/>
          <w:sz w:val="16"/>
          <w:szCs w:val="16"/>
        </w:rPr>
      </w:pPr>
      <w:bookmarkStart w:id="68" w:name="label48"/>
      <w:bookmarkEnd w:id="68"/>
      <w:r w:rsidRPr="005E779E">
        <w:rPr>
          <w:rFonts w:ascii="Times New Roman" w:hAnsi="Times New Roman"/>
          <w:bCs/>
          <w:color w:val="000000" w:themeColor="text1"/>
          <w:sz w:val="16"/>
          <w:szCs w:val="16"/>
          <w:vertAlign w:val="superscript"/>
        </w:rPr>
        <w:t>Дата испытания …… Май 1932 г. … Октябрь 1932 г.</w:t>
      </w:r>
    </w:p>
    <w:p w14:paraId="33AE7740" w14:textId="77777777" w:rsidR="0087630B" w:rsidRPr="005E779E" w:rsidRDefault="0087630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Калибр, мм …… 76,2 — 76,2</w:t>
      </w:r>
    </w:p>
    <w:p w14:paraId="47219024" w14:textId="77777777" w:rsidR="0087630B" w:rsidRPr="005E779E" w:rsidRDefault="0087630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Длина ствола без воронки, мм/клб …… 1513/19,9 … 1513/19,9</w:t>
      </w:r>
    </w:p>
    <w:p w14:paraId="6DA39043" w14:textId="77777777" w:rsidR="0087630B" w:rsidRPr="005E779E" w:rsidRDefault="0087630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Длина воронки, мм …… 789 … 735</w:t>
      </w:r>
    </w:p>
    <w:p w14:paraId="36E25CB7" w14:textId="77777777" w:rsidR="0087630B" w:rsidRPr="005E779E" w:rsidRDefault="0087630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Длина нарезной части, мм …… 1111 … 1110</w:t>
      </w:r>
    </w:p>
    <w:p w14:paraId="250BB46B" w14:textId="77777777" w:rsidR="0087630B" w:rsidRPr="005E779E" w:rsidRDefault="0087630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Длина каморы, мм …… 404 … 403</w:t>
      </w:r>
    </w:p>
    <w:p w14:paraId="4D1541D7" w14:textId="77777777" w:rsidR="0087630B" w:rsidRPr="005E779E" w:rsidRDefault="0087630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Число нарезов …… 24 … 24</w:t>
      </w:r>
    </w:p>
    <w:p w14:paraId="438BAE32" w14:textId="77777777" w:rsidR="0087630B" w:rsidRPr="005E779E" w:rsidRDefault="0087630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Угол ВН, град.: </w:t>
      </w:r>
    </w:p>
    <w:p w14:paraId="60A68CE1" w14:textId="77777777" w:rsidR="0087630B" w:rsidRPr="005E779E" w:rsidRDefault="0087630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без подрытая грунта …… -23°; +45° … —</w:t>
      </w:r>
    </w:p>
    <w:p w14:paraId="70776FF9" w14:textId="77777777" w:rsidR="0087630B" w:rsidRPr="005E779E" w:rsidRDefault="0087630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под соплом с подрытием грунта …… +64° … -17°40'; +45°</w:t>
      </w:r>
    </w:p>
    <w:p w14:paraId="310F944D" w14:textId="77777777" w:rsidR="0087630B" w:rsidRPr="005E779E" w:rsidRDefault="0087630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Угол ГН, град. …… — … ±6°</w:t>
      </w:r>
    </w:p>
    <w:p w14:paraId="3DB916BA" w14:textId="77777777" w:rsidR="0087630B" w:rsidRPr="005E779E" w:rsidRDefault="0087630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Высота линии огня, мм …… 875 … 1630</w:t>
      </w:r>
    </w:p>
    <w:p w14:paraId="00A9C5BA" w14:textId="77777777" w:rsidR="0087630B" w:rsidRPr="005E779E" w:rsidRDefault="0087630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Длина системы, мм …… — … 2435</w:t>
      </w:r>
    </w:p>
    <w:p w14:paraId="0C13101E" w14:textId="77777777" w:rsidR="0087630B" w:rsidRPr="005E779E" w:rsidRDefault="0087630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Ширина системы, мм …… — … 1800</w:t>
      </w:r>
    </w:p>
    <w:p w14:paraId="525E146F" w14:textId="77777777" w:rsidR="0087630B" w:rsidRPr="005E779E" w:rsidRDefault="0087630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Ширина хода, мм …… 1315 … 1255</w:t>
      </w:r>
    </w:p>
    <w:p w14:paraId="7E42BAE1" w14:textId="77777777" w:rsidR="0087630B" w:rsidRPr="005E779E" w:rsidRDefault="0087630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Высота системы при угле ВЦ, мм: </w:t>
      </w:r>
    </w:p>
    <w:p w14:paraId="61083615" w14:textId="77777777" w:rsidR="0087630B" w:rsidRPr="005E779E" w:rsidRDefault="0087630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 …… 1117 … 1115</w:t>
      </w:r>
    </w:p>
    <w:p w14:paraId="130FB6A6" w14:textId="77777777" w:rsidR="0087630B" w:rsidRPr="005E779E" w:rsidRDefault="0087630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45° …… 1730 … 1700</w:t>
      </w:r>
    </w:p>
    <w:p w14:paraId="5CDEAAD0" w14:textId="77777777" w:rsidR="0087630B" w:rsidRPr="005E779E" w:rsidRDefault="0087630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Диаметр колес, мм …… 750 … 600 (от ДРП-4)</w:t>
      </w:r>
    </w:p>
    <w:p w14:paraId="654BC35A" w14:textId="77777777" w:rsidR="0087630B" w:rsidRPr="005E779E" w:rsidRDefault="0087630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Клиренс, мм …… — … 280</w:t>
      </w:r>
    </w:p>
    <w:p w14:paraId="26925313" w14:textId="77777777" w:rsidR="0087630B" w:rsidRPr="005E779E" w:rsidRDefault="0087630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затвора с воронкой, кг …… 12,55 … 14,00</w:t>
      </w:r>
    </w:p>
    <w:p w14:paraId="5689D1A6" w14:textId="77777777" w:rsidR="0087630B" w:rsidRPr="005E779E" w:rsidRDefault="0087630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затвора, кг …… — … 6,45</w:t>
      </w:r>
    </w:p>
    <w:p w14:paraId="003CADAB" w14:textId="77777777" w:rsidR="0087630B" w:rsidRPr="005E779E" w:rsidRDefault="0087630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воронки, кг …… — … 7,55</w:t>
      </w:r>
    </w:p>
    <w:p w14:paraId="32DF1CDD" w14:textId="77777777" w:rsidR="0087630B" w:rsidRPr="005E779E" w:rsidRDefault="0087630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тела орудия с затвором и воронкой, кг …… 63,5 … 90,5</w:t>
      </w:r>
    </w:p>
    <w:p w14:paraId="3463166A" w14:textId="77777777" w:rsidR="0087630B" w:rsidRPr="005E779E" w:rsidRDefault="0087630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Вся система в боевом положении с приделом, кг …… 148,6 … 162,5</w:t>
      </w:r>
    </w:p>
    <w:p w14:paraId="585FB759" w14:textId="77777777" w:rsidR="0087630B" w:rsidRPr="005E779E" w:rsidRDefault="0087630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Вся система в походном положении, кг …… 148,5 … 160,5</w:t>
      </w:r>
    </w:p>
    <w:p w14:paraId="6B09BF2D" w14:textId="77777777" w:rsidR="0087630B" w:rsidRPr="005E779E" w:rsidRDefault="0087630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перехода из походного положения в боевое, с …… 47 … —</w:t>
      </w:r>
    </w:p>
    <w:p w14:paraId="6FF80620" w14:textId="77777777" w:rsidR="0087630B" w:rsidRPr="005E779E" w:rsidRDefault="0087630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Время перехода из боевого положения в походное, с …… 52 … —</w:t>
      </w:r>
    </w:p>
    <w:p w14:paraId="190FDF4E" w14:textId="77777777" w:rsidR="0087630B" w:rsidRPr="005E779E" w:rsidRDefault="0087630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Скорострельность, выстр/мин.: </w:t>
      </w:r>
    </w:p>
    <w:p w14:paraId="10F6798C" w14:textId="77777777" w:rsidR="0087630B" w:rsidRPr="005E779E" w:rsidRDefault="0087630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изменением наводки …… 6 … —</w:t>
      </w:r>
    </w:p>
    <w:p w14:paraId="5AA1AAE7" w14:textId="77777777" w:rsidR="0087630B" w:rsidRPr="005E779E" w:rsidRDefault="0087630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без изменения наводки …… 7 … —</w:t>
      </w:r>
    </w:p>
    <w:p w14:paraId="07263EDB" w14:textId="77777777" w:rsidR="0087630B" w:rsidRPr="005E779E" w:rsidRDefault="0087630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боекомплект ВПК входили:</w:t>
      </w:r>
    </w:p>
    <w:p w14:paraId="6146105A" w14:textId="77777777" w:rsidR="0087630B" w:rsidRPr="005E779E" w:rsidRDefault="0087630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Старая русская граната весом 6,5 кг, длиной 4,04 калибра. Вес взрывчатого вещества в гранате 0,86 кг. Взрыватель ЗГТ.</w:t>
      </w:r>
    </w:p>
    <w:p w14:paraId="57EE40C2" w14:textId="77777777" w:rsidR="0087630B" w:rsidRPr="005E779E" w:rsidRDefault="0087630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Осколочно-фугасная граната эталон 124 весом 6,23 кг, длиной 4,7 калибра. Вес взрывчатого вещества 0,73 кг. Взрыватель КТ-1.</w:t>
      </w:r>
    </w:p>
    <w:p w14:paraId="6A373A2D" w14:textId="77777777" w:rsidR="0087630B" w:rsidRPr="005E779E" w:rsidRDefault="0087630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Осколочно-фугасный снаряд чертежа 3421 весом 4,715 кг, длиной 3,95 калибра. Вес взрывчатого вещества в снаряде 0,702 кг. Взрыватель КТ-1.</w:t>
      </w:r>
    </w:p>
    <w:p w14:paraId="63BFB92C" w14:textId="77777777" w:rsidR="0087630B" w:rsidRPr="005E779E" w:rsidRDefault="0087630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момент испытаний ВПК снаряды еще не имели индексов. Граната эталон 124 — новый снаряд «дальнобойной формы» для дивизионных пушек, позже его назовут ОФ-350.</w:t>
      </w:r>
    </w:p>
    <w:p w14:paraId="4D2FAB3E" w14:textId="77777777" w:rsidR="0087630B" w:rsidRPr="005E779E" w:rsidRDefault="0087630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Осколочно-фугасный снаряд чертежа 3421 — легкий снаряд, специально созданный для ВПК. Его модификация весом 4,75 кг, длиной 3,9 калибра, содержавший 0,69 кг тротила, с взрывателем КТМ-1 или КТ-1, будет запущен в массовое производство. Позже он получит индекс ОФ-343. После снятия с вооружения ВПК снарядом ОФ-343 будут комплектоваться выстрелы для 76-мм полковых пушек обр. 1927 г. и танковых пушек обр. 1927/1932 г.</w:t>
      </w:r>
    </w:p>
    <w:p w14:paraId="38C956B2" w14:textId="77777777" w:rsidR="0087630B" w:rsidRPr="005E779E" w:rsidRDefault="0087630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Попытка использовать в БПК железные гильзы не удалась, поэтому патроны к БПК были в латунных гильзах. Гильзы имели отверстия в дне и сбоку. Отверстия в гильзе закрывали деревянными (березовыми) или картонными донышками. Толщина картона в боковом отверстии 6 мм, а на дне — 4 мм. Кроме того, использовались и гагатовые донышки, но они давали крупные осколки (15117).</w:t>
      </w:r>
    </w:p>
    <w:p w14:paraId="1F0FB718" w14:textId="77777777" w:rsidR="0087630B" w:rsidRPr="005E779E" w:rsidRDefault="0087630B" w:rsidP="000B7A6C">
      <w:pPr>
        <w:spacing w:after="0" w:line="240" w:lineRule="auto"/>
        <w:jc w:val="both"/>
        <w:rPr>
          <w:rFonts w:ascii="Times New Roman" w:hAnsi="Times New Roman"/>
          <w:color w:val="000000" w:themeColor="text1"/>
          <w:sz w:val="16"/>
          <w:szCs w:val="16"/>
        </w:rPr>
      </w:pPr>
    </w:p>
    <w:p w14:paraId="7F003D89" w14:textId="77777777" w:rsidR="00F869CD" w:rsidRPr="00142305" w:rsidRDefault="00F869CD" w:rsidP="00F869CD">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В конце 1931 г. Курчевским была спроектирована 76-мм батальонная пушка БПК — наиболее знаменитое орудие Курчевского.</w:t>
      </w:r>
    </w:p>
    <w:p w14:paraId="47459B8B" w14:textId="77777777" w:rsidR="00F869CD" w:rsidRPr="00142305" w:rsidRDefault="00F869CD" w:rsidP="00F869CD">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Ствол пушки был сделан ребристым для улучшения теплоотдачи при стрельбе. Крутизна нарезов постоянная. Заряжание с казенной части. Затвор соединен с воронкой (соплом) и сдвигался при заряжании вместе с ним.</w:t>
      </w:r>
    </w:p>
    <w:p w14:paraId="546CF731" w14:textId="77777777" w:rsidR="00F869CD" w:rsidRPr="00142305" w:rsidRDefault="00F869CD" w:rsidP="00F869CD">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Подъемный механизм винтовой. Винт действовал на рычаг, укрепленный на правой цапфе. Поворотный механизм винтового типа. Станины на первых образцах трубчатые, а в дальнейшем — из углового профиля. Шворневая воронка располагалась рядом с сошником. Подрессоривания не было. Колеса деревянные.</w:t>
      </w:r>
    </w:p>
    <w:p w14:paraId="7353E884" w14:textId="77777777" w:rsidR="00F869CD" w:rsidRPr="00142305" w:rsidRDefault="00F869CD" w:rsidP="00F869CD">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В боекомплект БПК входили:</w:t>
      </w:r>
    </w:p>
    <w:p w14:paraId="750C085C" w14:textId="77777777" w:rsidR="00F869CD" w:rsidRPr="00142305" w:rsidRDefault="00F869CD" w:rsidP="00F869CD">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Старая русская граната весом 6,5 кг, длиной 4,04 калибра. Вес взрывчатого вещества в гранате 0,86 кг. Взрыватель ЗГТ.</w:t>
      </w:r>
    </w:p>
    <w:p w14:paraId="69A9ADBA" w14:textId="77777777" w:rsidR="00F869CD" w:rsidRPr="00142305" w:rsidRDefault="00F869CD" w:rsidP="00F869CD">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Осколочно-фугасная граната эталон 124 весом 6,23 кг, длиной 4,7 калибра. Вес взрывчатого вещества 0,73 кг. Взрыватель КТ-1.</w:t>
      </w:r>
    </w:p>
    <w:p w14:paraId="2D7A9F99" w14:textId="77777777" w:rsidR="00F869CD" w:rsidRPr="00142305" w:rsidRDefault="00F869CD" w:rsidP="00F869CD">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Осколочно-фугасный снаряд чертежа 3421 весом 4,715 кг, длиной 3,95 калибра. Вес взрывчатого вещества в снаряде 0,702 кг. Взрыватель КТ-1.</w:t>
      </w:r>
    </w:p>
    <w:p w14:paraId="5449810E" w14:textId="77777777" w:rsidR="00F869CD" w:rsidRPr="00142305" w:rsidRDefault="00F869CD" w:rsidP="00F869CD">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На момент испытаний БПК снаряды еще не имели индексов. Граната эталон 124 — новый снаряд «дальнобойной формы» для дивизионных пушек, позже его назовут ОФ-350.</w:t>
      </w:r>
    </w:p>
    <w:p w14:paraId="22E8D313" w14:textId="77777777" w:rsidR="00F869CD" w:rsidRPr="00142305" w:rsidRDefault="00F869CD" w:rsidP="00F869CD">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Осколочно-фугасный снаряд чертежа 3421 — легкий снаряд, специально созданный для БПК. Его модификация весом 4,75 кг, длиной 3,9 калибра, содержавший 0,69 кг тротила, с взрывателем КТМ-1 или КТ-1, будет запущен в массовое производство. Позже он получит индекс ОФ-343. После снятия с вооружения БПК снарядом ОФ-343 будут комплектоваться выстрелы для 76-мм полковых пушек обр. 1927 г. и танковых пушек обр. 1927/1932 г.</w:t>
      </w:r>
    </w:p>
    <w:p w14:paraId="58F64356" w14:textId="77777777" w:rsidR="00F869CD" w:rsidRPr="00142305" w:rsidRDefault="00F869CD" w:rsidP="00F869CD">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Попытка использовать в БПК железные гильзы не удалась, поэтому патроны к БПК были в латунных гильзах. Гильзы имели отверстия в дне и сбоку. Отверстия в гильзе закрывали деревянными (березовыми) или картонными донышками. Толщина картона в боковом отверстии 6 мм, а на дне — 4 мм. Кроме того, использовались и гагатовые донышки, но они давали крупные осколки (25213).</w:t>
      </w:r>
    </w:p>
    <w:p w14:paraId="7A82265C" w14:textId="77777777" w:rsidR="00F869CD" w:rsidRPr="00142305" w:rsidRDefault="00F869CD" w:rsidP="00F869CD">
      <w:pPr>
        <w:spacing w:after="0" w:line="240" w:lineRule="auto"/>
        <w:jc w:val="both"/>
        <w:rPr>
          <w:rFonts w:ascii="Times New Roman" w:hAnsi="Times New Roman"/>
          <w:color w:val="0070C0"/>
          <w:sz w:val="16"/>
          <w:szCs w:val="16"/>
        </w:rPr>
      </w:pPr>
    </w:p>
    <w:p w14:paraId="38EFD1A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1931 г. первые образцы орудия Б-3, которое на заводе № 8 получило свой внутризаводской индекс 5К, поступили заказчику, однако предусмотренная проектом спаренная установка указанной пушки с пулеметом ДТ разработана в срок не была. Кроме того, не удалось отладить работу полуавтоматического затвора указанного орудия. Согласно планам производства «танка-истребителя», он должен был быть вооружен 37-мм полуавтоматической пуш</w:t>
      </w:r>
      <w:r w:rsidRPr="005E779E">
        <w:rPr>
          <w:rFonts w:ascii="Times New Roman" w:hAnsi="Times New Roman"/>
          <w:color w:val="000000" w:themeColor="text1"/>
          <w:sz w:val="16"/>
          <w:szCs w:val="16"/>
        </w:rPr>
        <w:softHyphen/>
        <w:t>кой большой мощности. Однако в 1932 г. такой пушки на во</w:t>
      </w:r>
      <w:r w:rsidRPr="005E779E">
        <w:rPr>
          <w:rFonts w:ascii="Times New Roman" w:hAnsi="Times New Roman"/>
          <w:color w:val="000000" w:themeColor="text1"/>
          <w:sz w:val="16"/>
          <w:szCs w:val="16"/>
        </w:rPr>
        <w:softHyphen/>
        <w:t>оружении РККА и в серийном производстве еще не было. В 1929 г. была опробована 37-мм полуавто</w:t>
      </w:r>
      <w:r w:rsidRPr="005E779E">
        <w:rPr>
          <w:rFonts w:ascii="Times New Roman" w:hAnsi="Times New Roman"/>
          <w:color w:val="000000" w:themeColor="text1"/>
          <w:sz w:val="16"/>
          <w:szCs w:val="16"/>
        </w:rPr>
        <w:softHyphen/>
        <w:t>матическая пушка большой мощности ПС-2, но с ее выпус</w:t>
      </w:r>
      <w:r w:rsidRPr="005E779E">
        <w:rPr>
          <w:rFonts w:ascii="Times New Roman" w:hAnsi="Times New Roman"/>
          <w:color w:val="000000" w:themeColor="text1"/>
          <w:sz w:val="16"/>
          <w:szCs w:val="16"/>
        </w:rPr>
        <w:softHyphen/>
        <w:t>ком имелись определенные трудности. В конце 1929-го СССР приобрел у фирмы «Рейнметалл» 37-мм противотан</w:t>
      </w:r>
      <w:r w:rsidRPr="005E779E">
        <w:rPr>
          <w:rFonts w:ascii="Times New Roman" w:hAnsi="Times New Roman"/>
          <w:color w:val="000000" w:themeColor="text1"/>
          <w:sz w:val="16"/>
          <w:szCs w:val="16"/>
        </w:rPr>
        <w:softHyphen/>
        <w:t>ковую пушку с полуавтоматическим затвором, которая вскоре была принята на вооружение. Производство орудия осваивалось на заводе № 8 им. Калинина в Подлипках под индексом 1К. По решению Арткомитета артиллерийское КБ завода «Большевик» в короткий срок наложило ствол и казенник пушки 19К в ложе с противооткатными приспособлениями орудия ПС-2, получив, таким образом, 37-мм по</w:t>
      </w:r>
      <w:r w:rsidRPr="005E779E">
        <w:rPr>
          <w:rFonts w:ascii="Times New Roman" w:hAnsi="Times New Roman"/>
          <w:color w:val="000000" w:themeColor="text1"/>
          <w:sz w:val="16"/>
          <w:szCs w:val="16"/>
        </w:rPr>
        <w:softHyphen/>
        <w:t>луавтоматическую танковую пушку большой мощности об.р. 1930—31 гг., которой был присвоен индекс Б-3. Еще до Государственных испытаний пушка была передана на завод № 8 для спешной организации серийного производства. Там орудие получило свой внутризаводской индекс 5К (10733,202).</w:t>
      </w:r>
    </w:p>
    <w:p w14:paraId="634C08B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556F34" w14:textId="77777777" w:rsidR="003B4A71" w:rsidRPr="005E779E" w:rsidRDefault="003B4A71" w:rsidP="000B7A6C">
      <w:pPr>
        <w:shd w:val="clear" w:color="auto" w:fill="FFFFFF"/>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shd w:val="clear" w:color="auto" w:fill="FFFFFF"/>
        </w:rPr>
        <w:t>В конце 1931 года на "Большевике" разработали установку спаренной 37-мм пушки Б-3 с пулемётом ДТУ в двухместной башне Т-26, которая здорово напоминала Leichttraktor. К этой работе Гинзбург также имел отношение (20375).</w:t>
      </w:r>
    </w:p>
    <w:p w14:paraId="6697E119" w14:textId="77777777" w:rsidR="003B4A71" w:rsidRPr="005E779E" w:rsidRDefault="003B4A71" w:rsidP="000B7A6C">
      <w:pPr>
        <w:shd w:val="clear" w:color="auto" w:fill="FFFFFF"/>
        <w:spacing w:after="0" w:line="240" w:lineRule="auto"/>
        <w:jc w:val="both"/>
        <w:rPr>
          <w:rFonts w:ascii="Times New Roman" w:hAnsi="Times New Roman"/>
          <w:color w:val="000000" w:themeColor="text1"/>
          <w:sz w:val="16"/>
          <w:szCs w:val="16"/>
        </w:rPr>
      </w:pPr>
    </w:p>
    <w:p w14:paraId="76F7C5D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1931 г. были выдвинуты тактико-технические требования (ТТТ) на танк Т-34 (мобилизационный танк). Согласно им предусматривалось создание танка массой 4 т, который должен был нести авто</w:t>
      </w:r>
      <w:r w:rsidRPr="005E779E">
        <w:rPr>
          <w:rFonts w:ascii="Times New Roman" w:hAnsi="Times New Roman"/>
          <w:color w:val="000000" w:themeColor="text1"/>
          <w:sz w:val="16"/>
          <w:szCs w:val="16"/>
        </w:rPr>
        <w:softHyphen/>
        <w:t>мобильный двигатель АМО-ЗИС мощностью 63 л.с. (в ходе проектирования сменен на двигатель мощностью 70 л.с.), а также КПП и системы питания серийного грузового автомо</w:t>
      </w:r>
      <w:r w:rsidRPr="005E779E">
        <w:rPr>
          <w:rFonts w:ascii="Times New Roman" w:hAnsi="Times New Roman"/>
          <w:color w:val="000000" w:themeColor="text1"/>
          <w:sz w:val="16"/>
          <w:szCs w:val="16"/>
        </w:rPr>
        <w:softHyphen/>
        <w:t>биля. По броневой защите танк должен был быть аналогич</w:t>
      </w:r>
      <w:r w:rsidRPr="005E779E">
        <w:rPr>
          <w:rFonts w:ascii="Times New Roman" w:hAnsi="Times New Roman"/>
          <w:color w:val="000000" w:themeColor="text1"/>
          <w:sz w:val="16"/>
          <w:szCs w:val="16"/>
        </w:rPr>
        <w:softHyphen/>
        <w:t>ным танку Т-26, но нести подвеску на спиральных пружи</w:t>
      </w:r>
      <w:r w:rsidRPr="005E779E">
        <w:rPr>
          <w:rFonts w:ascii="Times New Roman" w:hAnsi="Times New Roman"/>
          <w:color w:val="000000" w:themeColor="text1"/>
          <w:sz w:val="16"/>
          <w:szCs w:val="16"/>
        </w:rPr>
        <w:softHyphen/>
        <w:t>нах, выпуск которых уже не представлял трудностей. По подвижности танк не должен был уступать Т-26 при движе</w:t>
      </w:r>
      <w:r w:rsidRPr="005E779E">
        <w:rPr>
          <w:rFonts w:ascii="Times New Roman" w:hAnsi="Times New Roman"/>
          <w:color w:val="000000" w:themeColor="text1"/>
          <w:sz w:val="16"/>
          <w:szCs w:val="16"/>
        </w:rPr>
        <w:softHyphen/>
        <w:t>нии вне дорог, а по дорогам предусматривалась его пере</w:t>
      </w:r>
      <w:r w:rsidRPr="005E779E">
        <w:rPr>
          <w:rFonts w:ascii="Times New Roman" w:hAnsi="Times New Roman"/>
          <w:color w:val="000000" w:themeColor="text1"/>
          <w:sz w:val="16"/>
          <w:szCs w:val="16"/>
        </w:rPr>
        <w:softHyphen/>
        <w:t>броска в кузове 5-тонного грузового автомобиля (10733,189).</w:t>
      </w:r>
    </w:p>
    <w:p w14:paraId="1A6D0BF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70D42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1931 г. КБ Н. Дыренкова получило задание от зам. нач. УММ РККА Лебедева: «Вам поручается приспособить Т-26 для передвижения на колесах своим собственным ходом». Однако за год указанный коллектив так и не смог защитить свой проект оснащения Т-26 колесным ходом. Проект был сочтен неграмотным и излишне сложным (10733,307).</w:t>
      </w:r>
    </w:p>
    <w:p w14:paraId="5788AD3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6931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1931 началось конструирование танка Т-28 (3848,85) в ОКМО (Опытный конструкторско-механический отдел) заводе Большевик, а по другим данным - был выведен на заводские испытания первый прототип (3918).</w:t>
      </w:r>
    </w:p>
    <w:p w14:paraId="2BA683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E18E6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1931 года первый прототип нового танка Т-28 был выведен на заводские испытания. В главной башне прототипа размещалась 45-мм танковая пушка и пулемет ДТ в шаровой установке. В двух малых пулеметных башнях устанавливались еще два ДТ. Для поворота главной башни использовался электропривод, что являлось новинкой для того времени; для удобства работы экипажа в ней имелся также подвесной полик. Конструкция ходовой части танка, весившего 18 тонн, придавала ему необходимую плавность хода и обеспечивала преодоление препятствий. Вместе с тем, при первом же испытании в ней выявилось большое число недоработок, как впрочем и в силовой установке (3918).</w:t>
      </w:r>
    </w:p>
    <w:p w14:paraId="0C521A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9774F97" w14:textId="77777777" w:rsidR="00F869CD" w:rsidRPr="00142305" w:rsidRDefault="00F869CD" w:rsidP="00F869C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концу 1931 года в Главном конструкторском бю</w:t>
      </w:r>
      <w:r w:rsidRPr="00142305">
        <w:rPr>
          <w:rFonts w:ascii="Times New Roman" w:hAnsi="Times New Roman"/>
          <w:color w:val="0070C0"/>
          <w:sz w:val="16"/>
          <w:szCs w:val="16"/>
        </w:rPr>
        <w:softHyphen/>
        <w:t>ро (ГКБ) Орудийно-оружейно-пулеметного объединения на основе разработанных УММ РККА тактико-технических требований был разработан эскизный проект тяжелого танка. Танк, получивший обозначение Т-30 пред</w:t>
      </w:r>
      <w:r w:rsidRPr="00142305">
        <w:rPr>
          <w:rFonts w:ascii="Times New Roman" w:hAnsi="Times New Roman"/>
          <w:color w:val="0070C0"/>
          <w:sz w:val="16"/>
          <w:szCs w:val="16"/>
        </w:rPr>
        <w:softHyphen/>
        <w:t>ставлял собой многобашенную конструкцию расчетной массой 50 т, с броней максималь</w:t>
      </w:r>
      <w:r w:rsidRPr="00142305">
        <w:rPr>
          <w:rFonts w:ascii="Times New Roman" w:hAnsi="Times New Roman"/>
          <w:color w:val="0070C0"/>
          <w:sz w:val="16"/>
          <w:szCs w:val="16"/>
        </w:rPr>
        <w:softHyphen/>
        <w:t>ной толщины до 45-60 мм, вооруженную 76-мм и 37-мм пушками и шестью пулемета</w:t>
      </w:r>
      <w:r w:rsidRPr="00142305">
        <w:rPr>
          <w:rFonts w:ascii="Times New Roman" w:hAnsi="Times New Roman"/>
          <w:color w:val="0070C0"/>
          <w:sz w:val="16"/>
          <w:szCs w:val="16"/>
        </w:rPr>
        <w:softHyphen/>
        <w:t xml:space="preserve">ми. Экипаж Т-30 составлял 10 человек, </w:t>
      </w:r>
      <w:r w:rsidRPr="00142305">
        <w:rPr>
          <w:rFonts w:ascii="Times New Roman" w:hAnsi="Times New Roman"/>
          <w:color w:val="0070C0"/>
          <w:sz w:val="16"/>
          <w:szCs w:val="16"/>
        </w:rPr>
        <w:lastRenderedPageBreak/>
        <w:t>в ка</w:t>
      </w:r>
      <w:r w:rsidRPr="00142305">
        <w:rPr>
          <w:rFonts w:ascii="Times New Roman" w:hAnsi="Times New Roman"/>
          <w:color w:val="0070C0"/>
          <w:sz w:val="16"/>
          <w:szCs w:val="16"/>
        </w:rPr>
        <w:softHyphen/>
        <w:t>честве силовой установки предусматрива</w:t>
      </w:r>
      <w:r w:rsidRPr="00142305">
        <w:rPr>
          <w:rFonts w:ascii="Times New Roman" w:hAnsi="Times New Roman"/>
          <w:color w:val="0070C0"/>
          <w:sz w:val="16"/>
          <w:szCs w:val="16"/>
        </w:rPr>
        <w:softHyphen/>
        <w:t>лось использование авиационных двигателей мощностью 750 или 850 л.с., которые должны были обеспечить машине скорость до 30 км/ч по шоссе. Однако проект Т-30 был забрако</w:t>
      </w:r>
      <w:r w:rsidRPr="00142305">
        <w:rPr>
          <w:rFonts w:ascii="Times New Roman" w:hAnsi="Times New Roman"/>
          <w:color w:val="0070C0"/>
          <w:sz w:val="16"/>
          <w:szCs w:val="16"/>
        </w:rPr>
        <w:softHyphen/>
        <w:t>ван представителями УММ РККА.</w:t>
      </w:r>
    </w:p>
    <w:p w14:paraId="4135169E" w14:textId="77777777" w:rsidR="00F869CD" w:rsidRPr="00142305" w:rsidRDefault="00F869CD" w:rsidP="00F869C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Параллельно с Т-30 прорабатывался его несколько облегченный по массе танк Т-32, также многобашенный. Он проектировался в нескольких вариантах, но осенью 1931 года, после выполнения эскизных чертежей и по</w:t>
      </w:r>
      <w:r w:rsidRPr="00142305">
        <w:rPr>
          <w:rFonts w:ascii="Times New Roman" w:hAnsi="Times New Roman"/>
          <w:color w:val="0070C0"/>
          <w:sz w:val="16"/>
          <w:szCs w:val="16"/>
        </w:rPr>
        <w:softHyphen/>
        <w:t>стройки деревянных моделей, все работы по Т-32 были прекращены (25014).</w:t>
      </w:r>
    </w:p>
    <w:p w14:paraId="2CB17F2B" w14:textId="77777777" w:rsidR="00F869CD" w:rsidRPr="00142305" w:rsidRDefault="00F869CD" w:rsidP="00F869CD">
      <w:pPr>
        <w:spacing w:after="0" w:line="240" w:lineRule="auto"/>
        <w:jc w:val="both"/>
        <w:rPr>
          <w:rFonts w:ascii="Times New Roman" w:hAnsi="Times New Roman"/>
          <w:color w:val="0070C0"/>
          <w:sz w:val="16"/>
          <w:szCs w:val="16"/>
        </w:rPr>
      </w:pPr>
    </w:p>
    <w:p w14:paraId="44D521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1931 - начале 1932 были проведены опытные работы по установке химического и огнеметного оборудования на танкетке Т-27 и легком танке МС-1 (9527,179).</w:t>
      </w:r>
    </w:p>
    <w:p w14:paraId="3F67AB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73E22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1931 года началось серийное производство Т-37 и в 1933 году прекратилось. Всего было выпущено около 2600 машин.</w:t>
      </w:r>
    </w:p>
    <w:p w14:paraId="75CD42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Т-27 первоначально предполагалось использовать в целях разведки, связи и сопровождения в бою тяжелых танков. Однако из-за слабого бронирования выполнить такую задачу не удалось. Танкетки поступили в кавалерийские дивизии для целей разведки и сопровождения конницы (3861).</w:t>
      </w:r>
    </w:p>
    <w:p w14:paraId="5E8568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EF4D6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1931 работы по первому проекту среднего трактора на базе танка Т-19, который получил наименование Борец, которые велись с начала 1930, прекратились. Трактор должен был буксировать грузы весом до 7 т, а его масса - не превышать 7.5 т. Помимо водителя предусматривали 9 мест для расчета. Решили сделать аналогичный на базе Т-26 (9527,211).</w:t>
      </w:r>
    </w:p>
    <w:p w14:paraId="51E8B1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6E2028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исходе 1931 г. М. Тухачевский высказывал озабоченность в целесообразности освоения выпуска танка БТ в СССР: «...прошу Вас сообщить, соответствуют ли характеристики танка Б-Т заявленным и не совершаем ли мы ошибку, ставя этот танк в производство на Харьковском заводе... Тухачевский” (10733,199).</w:t>
      </w:r>
    </w:p>
    <w:p w14:paraId="0789016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3E0EEA" w14:textId="77777777" w:rsidR="00CA22D8" w:rsidRPr="005E779E" w:rsidRDefault="00CA22D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концу 1931 г. обозначились серьезные трудности в производстве танков. Ижорский завод смог подготовить производство на 3,5-4 тыс. тонн готовых броневых изделий вместо 6 тыс. по плану. Остальные заводы с поставленной задачей фактически не справились и продолжали работы по подготовке мощностей для броневого проката. Если на Мариупольском заводе еще велась активная подготовительная работа, то на остальных предприятиях реально ничего не было сделано. Так и не было подготовлено решение по созданию моторной базы для танков БТ, что ставило под вопрос всю программу быстроходного танка. Поэтому Наркомат по военным и морским делам поставил перед правительством вопрос о закупке для танка БТ 500 моторов за границей.</w:t>
      </w:r>
    </w:p>
    <w:p w14:paraId="73CF2E1A" w14:textId="77777777" w:rsidR="00CA22D8" w:rsidRPr="005E779E" w:rsidRDefault="00CA22D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Текущая подготовка мощностей по сборке танков тоже находилась в очень тяжелом положении. ХПЗ снизил для себя план по БТ с 25 до 6 танков в 1931 г. Но и их он не мог сделать, поскольку работы по инструментальному и термическому цехам были готовы только на 50 %, механическому цеху не хватало мостовых кранов и 140 станков. Кроме того, была провалена подготовка сборки танков, которая планировалась на 1-м автомобильном заводе (АМО), Ярославском автомобильном заводе и СТЗ[72]. Заранее обозначим, что на первых двух предприятиях танковое производство так и не появилось (23536).</w:t>
      </w:r>
    </w:p>
    <w:p w14:paraId="6E288877" w14:textId="77777777" w:rsidR="00CA22D8" w:rsidRPr="005E779E" w:rsidRDefault="00CA22D8" w:rsidP="000B7A6C">
      <w:pPr>
        <w:spacing w:after="0" w:line="240" w:lineRule="auto"/>
        <w:jc w:val="both"/>
        <w:rPr>
          <w:rFonts w:ascii="Times New Roman" w:hAnsi="Times New Roman"/>
          <w:color w:val="000000" w:themeColor="text1"/>
          <w:sz w:val="16"/>
          <w:szCs w:val="16"/>
        </w:rPr>
      </w:pPr>
    </w:p>
    <w:p w14:paraId="100BD245" w14:textId="77777777" w:rsidR="00F869CD" w:rsidRPr="00142305" w:rsidRDefault="00F869CD" w:rsidP="00F869C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1931 года Ижорскому заводу и заводу «Большевик» для оценки и технического заключения было выдано окончательное ТТЗ</w:t>
      </w:r>
      <w:r w:rsidRPr="00142305">
        <w:rPr>
          <w:rFonts w:ascii="Times New Roman" w:hAnsi="Times New Roman"/>
          <w:color w:val="0070C0"/>
          <w:sz w:val="16"/>
          <w:szCs w:val="16"/>
          <w:shd w:val="clear" w:color="auto" w:fill="FFFFFF"/>
        </w:rPr>
        <w:t xml:space="preserve"> </w:t>
      </w:r>
      <w:r w:rsidRPr="00142305">
        <w:rPr>
          <w:rFonts w:ascii="Times New Roman" w:hAnsi="Times New Roman"/>
          <w:color w:val="0070C0"/>
          <w:sz w:val="16"/>
          <w:szCs w:val="16"/>
        </w:rPr>
        <w:t>УMM РККА на средний плавающий танк на основе Кристи, а точнее говоря — БТ-5 с проектной массой 13-15 тонн, вооруженный 45-мм пушкой и тремя пулеметами, с экипажем из 6 человек, максимальной скоростью движения по шоссе 30 км/ч и броней, защищавшей от 37-мм снарядов на дистанции свыше 1000 м (25498).</w:t>
      </w:r>
    </w:p>
    <w:p w14:paraId="308E651A" w14:textId="77777777" w:rsidR="00F869CD" w:rsidRPr="00142305" w:rsidRDefault="00F869CD" w:rsidP="00F869CD">
      <w:pPr>
        <w:spacing w:after="0" w:line="240" w:lineRule="auto"/>
        <w:jc w:val="both"/>
        <w:rPr>
          <w:rFonts w:ascii="Times New Roman" w:hAnsi="Times New Roman"/>
          <w:color w:val="0070C0"/>
          <w:sz w:val="16"/>
          <w:szCs w:val="16"/>
        </w:rPr>
      </w:pPr>
    </w:p>
    <w:p w14:paraId="2E0814B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1931 на ХПЗ началось серийное производство танка БТ-2.</w:t>
      </w:r>
    </w:p>
    <w:p w14:paraId="070F050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Первым началь</w:t>
      </w:r>
      <w:r w:rsidRPr="005E779E">
        <w:rPr>
          <w:rFonts w:ascii="Times New Roman" w:hAnsi="Times New Roman"/>
          <w:color w:val="000000" w:themeColor="text1"/>
          <w:sz w:val="16"/>
          <w:szCs w:val="16"/>
        </w:rPr>
        <w:softHyphen/>
        <w:t>ником танкового отдела Т-2 был назначен Валентин Викторович Фокин — хороший инженер, обладавший незаурядными организаторскими способ</w:t>
      </w:r>
      <w:r w:rsidRPr="005E779E">
        <w:rPr>
          <w:rFonts w:ascii="Times New Roman" w:hAnsi="Times New Roman"/>
          <w:color w:val="000000" w:themeColor="text1"/>
          <w:sz w:val="16"/>
          <w:szCs w:val="16"/>
        </w:rPr>
        <w:softHyphen/>
        <w:t>ностями и являвшийся до этого назначения Главным инженером завода.</w:t>
      </w:r>
    </w:p>
    <w:p w14:paraId="6640838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Одно из ответственных подразделений отдела — сдаточный цех — воз</w:t>
      </w:r>
      <w:r w:rsidRPr="005E779E">
        <w:rPr>
          <w:rFonts w:ascii="Times New Roman" w:hAnsi="Times New Roman"/>
          <w:color w:val="000000" w:themeColor="text1"/>
          <w:sz w:val="16"/>
          <w:szCs w:val="16"/>
        </w:rPr>
        <w:softHyphen/>
        <w:t>главил весьма квалифицированный инженер, хорошо знающий произ</w:t>
      </w:r>
      <w:r w:rsidRPr="005E779E">
        <w:rPr>
          <w:rFonts w:ascii="Times New Roman" w:hAnsi="Times New Roman"/>
          <w:color w:val="000000" w:themeColor="text1"/>
          <w:sz w:val="16"/>
          <w:szCs w:val="16"/>
        </w:rPr>
        <w:softHyphen/>
        <w:t>водство Лев Ильич Зайчик. С 1932 года он станет начальником танкового отдела Т-2.</w:t>
      </w:r>
    </w:p>
    <w:p w14:paraId="5402D5C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Механическими цехами этого отдела руководили к этому времени уже опытные «зубры» — механообработчики — Федор Семенович Булгаков, Абрам Лазаревич Хайтов, Иван Карпович Капленко и другие.</w:t>
      </w:r>
    </w:p>
    <w:p w14:paraId="0BCFA67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Главным технологом отдела Т-2 с 1932 года станет крупнейший специ</w:t>
      </w:r>
      <w:r w:rsidRPr="005E779E">
        <w:rPr>
          <w:rFonts w:ascii="Times New Roman" w:hAnsi="Times New Roman"/>
          <w:color w:val="000000" w:themeColor="text1"/>
          <w:sz w:val="16"/>
          <w:szCs w:val="16"/>
        </w:rPr>
        <w:softHyphen/>
        <w:t>алист в этой области Константин Иванович Цереквицкий.</w:t>
      </w:r>
    </w:p>
    <w:p w14:paraId="3832943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Началось серийное производство БТ-2, а на заводе не было броневой стали и вооружения для них. Первые 10 машин решили делать из обыч</w:t>
      </w:r>
      <w:r w:rsidRPr="005E779E">
        <w:rPr>
          <w:rFonts w:ascii="Times New Roman" w:hAnsi="Times New Roman"/>
          <w:color w:val="000000" w:themeColor="text1"/>
          <w:sz w:val="16"/>
          <w:szCs w:val="16"/>
        </w:rPr>
        <w:softHyphen/>
        <w:t>ной, как тогда называли «торговой» стали, а вместо отсутствующего воо</w:t>
      </w:r>
      <w:r w:rsidRPr="005E779E">
        <w:rPr>
          <w:rFonts w:ascii="Times New Roman" w:hAnsi="Times New Roman"/>
          <w:color w:val="000000" w:themeColor="text1"/>
          <w:sz w:val="16"/>
          <w:szCs w:val="16"/>
        </w:rPr>
        <w:softHyphen/>
        <w:t>ружения установили березовые макеты системы. Вот на этих-то десяти БТ и стали отрабатывать узлы ходовой части и всех систем двигателя.</w:t>
      </w:r>
    </w:p>
    <w:p w14:paraId="076C485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первых образцах танков, выпускавшихся до 1933 года в нескользких вариантах, в башне была спаренная установка двух пулеметов. На второй серии в башне устанавливались 37-мм пушка с плечевым упором для на</w:t>
      </w:r>
      <w:r w:rsidRPr="005E779E">
        <w:rPr>
          <w:rFonts w:ascii="Times New Roman" w:hAnsi="Times New Roman"/>
          <w:color w:val="000000" w:themeColor="text1"/>
          <w:sz w:val="16"/>
          <w:szCs w:val="16"/>
        </w:rPr>
        <w:softHyphen/>
        <w:t>водки в цель и один пулемет ДТ в шаровой установке. Третий вариант танка БТ-2 отличался от второго установкой в башне 45-мм пушки и спа</w:t>
      </w:r>
      <w:r w:rsidRPr="005E779E">
        <w:rPr>
          <w:rFonts w:ascii="Times New Roman" w:hAnsi="Times New Roman"/>
          <w:color w:val="000000" w:themeColor="text1"/>
          <w:sz w:val="16"/>
          <w:szCs w:val="16"/>
        </w:rPr>
        <w:softHyphen/>
        <w:t>ренного о ней пулеметы.</w:t>
      </w:r>
    </w:p>
    <w:p w14:paraId="6020D77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всех вариантах танка БТ-2 устанавливались цилиндрическая баш</w:t>
      </w:r>
      <w:r w:rsidRPr="005E779E">
        <w:rPr>
          <w:rFonts w:ascii="Times New Roman" w:hAnsi="Times New Roman"/>
          <w:color w:val="000000" w:themeColor="text1"/>
          <w:sz w:val="16"/>
          <w:szCs w:val="16"/>
        </w:rPr>
        <w:softHyphen/>
        <w:t>ня, устаревший карбюраторный авиационный двигатель Либерти, четы</w:t>
      </w:r>
      <w:r w:rsidRPr="005E779E">
        <w:rPr>
          <w:rFonts w:ascii="Times New Roman" w:hAnsi="Times New Roman"/>
          <w:color w:val="000000" w:themeColor="text1"/>
          <w:sz w:val="16"/>
          <w:szCs w:val="16"/>
        </w:rPr>
        <w:softHyphen/>
        <w:t>рехступенчатая коробка передач. В качестве механизма поворота приме</w:t>
      </w:r>
      <w:r w:rsidRPr="005E779E">
        <w:rPr>
          <w:rFonts w:ascii="Times New Roman" w:hAnsi="Times New Roman"/>
          <w:color w:val="000000" w:themeColor="text1"/>
          <w:sz w:val="16"/>
          <w:szCs w:val="16"/>
        </w:rPr>
        <w:softHyphen/>
        <w:t>нялись бортовые фрикционы с тормозами.</w:t>
      </w:r>
    </w:p>
    <w:p w14:paraId="66F725E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Принципиально новая конструктивная особенность танков БТ-2 — независимая подвеска, характерная применением отдельных упругих эле</w:t>
      </w:r>
      <w:r w:rsidRPr="005E779E">
        <w:rPr>
          <w:rFonts w:ascii="Times New Roman" w:hAnsi="Times New Roman"/>
          <w:color w:val="000000" w:themeColor="text1"/>
          <w:sz w:val="16"/>
          <w:szCs w:val="16"/>
        </w:rPr>
        <w:softHyphen/>
        <w:t>ментов (пружин) для каждого опорного катка. Такая подвеска явилась важнейшим условием создания быстроходных боевых машин. Она будет переходить от БТ-2, к БТ-5, БТ-7, БТ-7М, А-20, Т-32 и на Т-34 (11504).</w:t>
      </w:r>
    </w:p>
    <w:p w14:paraId="327707A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6D9CF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1931 г. техническим отделом Экономического управления ОГПУ под руководством Н. Астрова было на</w:t>
      </w:r>
      <w:r w:rsidRPr="005E779E">
        <w:rPr>
          <w:rFonts w:ascii="Times New Roman" w:hAnsi="Times New Roman"/>
          <w:color w:val="000000" w:themeColor="text1"/>
          <w:sz w:val="16"/>
          <w:szCs w:val="16"/>
        </w:rPr>
        <w:softHyphen/>
        <w:t>чато проектирование колесно-гусеничного плавающего танка ПТ-1. Следует отметить, что танк ПТ-1 никто не рас</w:t>
      </w:r>
      <w:r w:rsidRPr="005E779E">
        <w:rPr>
          <w:rFonts w:ascii="Times New Roman" w:hAnsi="Times New Roman"/>
          <w:color w:val="000000" w:themeColor="text1"/>
          <w:sz w:val="16"/>
          <w:szCs w:val="16"/>
        </w:rPr>
        <w:softHyphen/>
        <w:t>сматривал как альтернативу танкам БТ-2 и БТ-5. Предпо</w:t>
      </w:r>
      <w:r w:rsidRPr="005E779E">
        <w:rPr>
          <w:rFonts w:ascii="Times New Roman" w:hAnsi="Times New Roman"/>
          <w:color w:val="000000" w:themeColor="text1"/>
          <w:sz w:val="16"/>
          <w:szCs w:val="16"/>
        </w:rPr>
        <w:softHyphen/>
        <w:t>лагалось, что этот танк послужит делу качественного уси</w:t>
      </w:r>
      <w:r w:rsidRPr="005E779E">
        <w:rPr>
          <w:rFonts w:ascii="Times New Roman" w:hAnsi="Times New Roman"/>
          <w:color w:val="000000" w:themeColor="text1"/>
          <w:sz w:val="16"/>
          <w:szCs w:val="16"/>
        </w:rPr>
        <w:softHyphen/>
        <w:t>ления подразделений малых танков-амфибий при захвате и удержании ими плацдармов на реках при их форсировании в ходе наступательных операций Красной армии. В качестве базовой модификации был выбран танк «Кристи», однако ввиду ожидаемого веса в 13-15 т возник</w:t>
      </w:r>
      <w:r w:rsidRPr="005E779E">
        <w:rPr>
          <w:rFonts w:ascii="Times New Roman" w:hAnsi="Times New Roman"/>
          <w:color w:val="000000" w:themeColor="text1"/>
          <w:sz w:val="16"/>
          <w:szCs w:val="16"/>
        </w:rPr>
        <w:softHyphen/>
        <w:t>ло опасение, что новая машина не сможет воспользоваться имеющимся колесным ходом, и потому было решено «запроэктировать привод на три пары ведущих колес». Разработка чертежей машины и ее изготовление прошли быстро, и уже в 1932 г. новый плавающий танк вышел из ворот завода «Красный Пролетарий». Ход проектных ра</w:t>
      </w:r>
      <w:r w:rsidRPr="005E779E">
        <w:rPr>
          <w:rFonts w:ascii="Times New Roman" w:hAnsi="Times New Roman"/>
          <w:color w:val="000000" w:themeColor="text1"/>
          <w:sz w:val="16"/>
          <w:szCs w:val="16"/>
        </w:rPr>
        <w:softHyphen/>
        <w:t>бот был засекречен настолько, что даже многие члены ру</w:t>
      </w:r>
      <w:r w:rsidRPr="005E779E">
        <w:rPr>
          <w:rFonts w:ascii="Times New Roman" w:hAnsi="Times New Roman"/>
          <w:color w:val="000000" w:themeColor="text1"/>
          <w:sz w:val="16"/>
          <w:szCs w:val="16"/>
        </w:rPr>
        <w:softHyphen/>
        <w:t>ководства УММ были ознакомлены с ним только уже в хо</w:t>
      </w:r>
      <w:r w:rsidRPr="005E779E">
        <w:rPr>
          <w:rFonts w:ascii="Times New Roman" w:hAnsi="Times New Roman"/>
          <w:color w:val="000000" w:themeColor="text1"/>
          <w:sz w:val="16"/>
          <w:szCs w:val="16"/>
        </w:rPr>
        <w:softHyphen/>
        <w:t>де изготовления опытного образца. Внешне да и компоновочно ПТ-1 напоминал харьков</w:t>
      </w:r>
      <w:r w:rsidRPr="005E779E">
        <w:rPr>
          <w:rFonts w:ascii="Times New Roman" w:hAnsi="Times New Roman"/>
          <w:color w:val="000000" w:themeColor="text1"/>
          <w:sz w:val="16"/>
          <w:szCs w:val="16"/>
        </w:rPr>
        <w:softHyphen/>
        <w:t>ский БТ-5, но был крупнее, особенно по корпусу. Его экипаж был увеличен относительно БТ-5 на одного человека - стрелка-радиста, который находился справа от механика-водителя и был вооружен курсовым пулеметом. В башне находились заряжающий (он же — командир танка) и командир орудия (наводчик). Танк был вооружен 45-мм пушкой 20К обр 1932 г., двумя пулеметами ДТ (курсовой пу</w:t>
      </w:r>
      <w:r w:rsidRPr="005E779E">
        <w:rPr>
          <w:rFonts w:ascii="Times New Roman" w:hAnsi="Times New Roman"/>
          <w:color w:val="000000" w:themeColor="text1"/>
          <w:sz w:val="16"/>
          <w:szCs w:val="16"/>
        </w:rPr>
        <w:softHyphen/>
        <w:t>лемет и пулемет, спаренный с пушкой) и двумя пулеметами ДУ, для которых в бортах башни были предусмотрены спе</w:t>
      </w:r>
      <w:r w:rsidRPr="005E779E">
        <w:rPr>
          <w:rFonts w:ascii="Times New Roman" w:hAnsi="Times New Roman"/>
          <w:color w:val="000000" w:themeColor="text1"/>
          <w:sz w:val="16"/>
          <w:szCs w:val="16"/>
        </w:rPr>
        <w:softHyphen/>
        <w:t>циальные шаровые установки. Боекомплект пушки состав</w:t>
      </w:r>
      <w:r w:rsidRPr="005E779E">
        <w:rPr>
          <w:rFonts w:ascii="Times New Roman" w:hAnsi="Times New Roman"/>
          <w:color w:val="000000" w:themeColor="text1"/>
          <w:sz w:val="16"/>
          <w:szCs w:val="16"/>
        </w:rPr>
        <w:softHyphen/>
        <w:t>лял 93 выстрела, к пулеметам - 3402 патрона в 54 дисках. Броневая защита танка в целом соответствовала тако</w:t>
      </w:r>
      <w:r w:rsidRPr="005E779E">
        <w:rPr>
          <w:rFonts w:ascii="Times New Roman" w:hAnsi="Times New Roman"/>
          <w:color w:val="000000" w:themeColor="text1"/>
          <w:sz w:val="16"/>
          <w:szCs w:val="16"/>
        </w:rPr>
        <w:softHyphen/>
        <w:t>вой у танка БТ-5 и составляла 15 мм в лобовой части кор</w:t>
      </w:r>
      <w:r w:rsidRPr="005E779E">
        <w:rPr>
          <w:rFonts w:ascii="Times New Roman" w:hAnsi="Times New Roman"/>
          <w:color w:val="000000" w:themeColor="text1"/>
          <w:sz w:val="16"/>
          <w:szCs w:val="16"/>
        </w:rPr>
        <w:softHyphen/>
        <w:t>пуса и 10 мм на бортах. Первоначально на танк планировалось установить двух</w:t>
      </w:r>
      <w:r w:rsidRPr="005E779E">
        <w:rPr>
          <w:rFonts w:ascii="Times New Roman" w:hAnsi="Times New Roman"/>
          <w:color w:val="000000" w:themeColor="text1"/>
          <w:sz w:val="16"/>
          <w:szCs w:val="16"/>
        </w:rPr>
        <w:softHyphen/>
        <w:t>тактный дизельный двигатель ПГЕ мощностью 400 л.с., но в срок дизель доведен не был и в танк был установлен карбю</w:t>
      </w:r>
      <w:r w:rsidRPr="005E779E">
        <w:rPr>
          <w:rFonts w:ascii="Times New Roman" w:hAnsi="Times New Roman"/>
          <w:color w:val="000000" w:themeColor="text1"/>
          <w:sz w:val="16"/>
          <w:szCs w:val="16"/>
        </w:rPr>
        <w:softHyphen/>
        <w:t>раторный двигатель М-17 мощностью 480 л.с. Особенностью двигателя было то, что охлаждение мото</w:t>
      </w:r>
      <w:r w:rsidRPr="005E779E">
        <w:rPr>
          <w:rFonts w:ascii="Times New Roman" w:hAnsi="Times New Roman"/>
          <w:color w:val="000000" w:themeColor="text1"/>
          <w:sz w:val="16"/>
          <w:szCs w:val="16"/>
        </w:rPr>
        <w:softHyphen/>
        <w:t>ра было вынесено в специальные пазухи за пределами бронекорпуса, чтобы при движении на воде радиаторы омывались бы забортной водой. Из этих же пазух вода забиралась греб</w:t>
      </w:r>
      <w:r w:rsidRPr="005E779E">
        <w:rPr>
          <w:rFonts w:ascii="Times New Roman" w:hAnsi="Times New Roman"/>
          <w:color w:val="000000" w:themeColor="text1"/>
          <w:sz w:val="16"/>
          <w:szCs w:val="16"/>
        </w:rPr>
        <w:softHyphen/>
        <w:t>ными винтами через трубопроводы так, что движение на пла</w:t>
      </w:r>
      <w:r w:rsidRPr="005E779E">
        <w:rPr>
          <w:rFonts w:ascii="Times New Roman" w:hAnsi="Times New Roman"/>
          <w:color w:val="000000" w:themeColor="text1"/>
          <w:sz w:val="16"/>
          <w:szCs w:val="16"/>
        </w:rPr>
        <w:softHyphen/>
        <w:t>ву осуществляло еще и принудительную циркуляцию охлаж</w:t>
      </w:r>
      <w:r w:rsidRPr="005E779E">
        <w:rPr>
          <w:rFonts w:ascii="Times New Roman" w:hAnsi="Times New Roman"/>
          <w:color w:val="000000" w:themeColor="text1"/>
          <w:sz w:val="16"/>
          <w:szCs w:val="16"/>
        </w:rPr>
        <w:softHyphen/>
        <w:t>дающей жидкости вокруг радиаторов. Это позволяло отклю</w:t>
      </w:r>
      <w:r w:rsidRPr="005E779E">
        <w:rPr>
          <w:rFonts w:ascii="Times New Roman" w:hAnsi="Times New Roman"/>
          <w:color w:val="000000" w:themeColor="text1"/>
          <w:sz w:val="16"/>
          <w:szCs w:val="16"/>
        </w:rPr>
        <w:softHyphen/>
        <w:t>чать вентиляторы при движении танка на плаву. Изготовленный танк, кроме того, имел даже не три па</w:t>
      </w:r>
      <w:r w:rsidRPr="005E779E">
        <w:rPr>
          <w:rFonts w:ascii="Times New Roman" w:hAnsi="Times New Roman"/>
          <w:color w:val="000000" w:themeColor="text1"/>
          <w:sz w:val="16"/>
          <w:szCs w:val="16"/>
        </w:rPr>
        <w:softHyphen/>
        <w:t>ры ведущих колес, а все четыре, а для лучшей управляемос</w:t>
      </w:r>
      <w:r w:rsidRPr="005E779E">
        <w:rPr>
          <w:rFonts w:ascii="Times New Roman" w:hAnsi="Times New Roman"/>
          <w:color w:val="000000" w:themeColor="text1"/>
          <w:sz w:val="16"/>
          <w:szCs w:val="16"/>
        </w:rPr>
        <w:softHyphen/>
        <w:t>ти на гусеницах у него поворачивались передние и задние колеса (опорные катки). Трансмиссия танка состояла из главного фрикциона, четырехступенчатой КПП, двойного дифференциала, двух бортовых карданных валов привода ко всем опорным кат</w:t>
      </w:r>
      <w:r w:rsidRPr="005E779E">
        <w:rPr>
          <w:rFonts w:ascii="Times New Roman" w:hAnsi="Times New Roman"/>
          <w:color w:val="000000" w:themeColor="text1"/>
          <w:sz w:val="16"/>
          <w:szCs w:val="16"/>
        </w:rPr>
        <w:softHyphen/>
        <w:t>кам, двух коробок отбора мощности на гребные винты, тормоза двойного дифференциала и двух бортовых редук</w:t>
      </w:r>
      <w:r w:rsidRPr="005E779E">
        <w:rPr>
          <w:rFonts w:ascii="Times New Roman" w:hAnsi="Times New Roman"/>
          <w:color w:val="000000" w:themeColor="text1"/>
          <w:sz w:val="16"/>
          <w:szCs w:val="16"/>
        </w:rPr>
        <w:softHyphen/>
        <w:t>торов. Для подвода мощности к ведущим каткам на колес-н\эм ходу использовались понижающие редукторы, разме</w:t>
      </w:r>
      <w:r w:rsidRPr="005E779E">
        <w:rPr>
          <w:rFonts w:ascii="Times New Roman" w:hAnsi="Times New Roman"/>
          <w:color w:val="000000" w:themeColor="text1"/>
          <w:sz w:val="16"/>
          <w:szCs w:val="16"/>
        </w:rPr>
        <w:softHyphen/>
        <w:t>щённые внутри самих катков. Такая схема позволяла сохранять способности движения танка даже при потере одной из гусениц, так как вращение колес могло быть синхронизировано с перемоткой гусениц. Запас топлива на танке перевозился в топливных баках, расположенных в носовой и кормовой частях корпуса. Их объем составлял 400 л, что обеспечивало запас хода на гусе</w:t>
      </w:r>
      <w:r w:rsidRPr="005E779E">
        <w:rPr>
          <w:rFonts w:ascii="Times New Roman" w:hAnsi="Times New Roman"/>
          <w:color w:val="000000" w:themeColor="text1"/>
          <w:sz w:val="16"/>
          <w:szCs w:val="16"/>
        </w:rPr>
        <w:softHyphen/>
        <w:t>ницах - 180—185 км и на колесах - до 200-250 км. На плаву танк двигался при помощи двух винтов в спе</w:t>
      </w:r>
      <w:r w:rsidRPr="005E779E">
        <w:rPr>
          <w:rFonts w:ascii="Times New Roman" w:hAnsi="Times New Roman"/>
          <w:color w:val="000000" w:themeColor="text1"/>
          <w:sz w:val="16"/>
          <w:szCs w:val="16"/>
        </w:rPr>
        <w:softHyphen/>
        <w:t>циальных тоннелях, что, по мнению проектировщиков, могло обеспечить подвижность танка даже в условиях во</w:t>
      </w:r>
      <w:r w:rsidRPr="005E779E">
        <w:rPr>
          <w:rFonts w:ascii="Times New Roman" w:hAnsi="Times New Roman"/>
          <w:color w:val="000000" w:themeColor="text1"/>
          <w:sz w:val="16"/>
          <w:szCs w:val="16"/>
        </w:rPr>
        <w:softHyphen/>
        <w:t>доемов, сильно заросших водорослями. Предполагалось, что управление танком будет осуществляться выключени</w:t>
      </w:r>
      <w:r w:rsidRPr="005E779E">
        <w:rPr>
          <w:rFonts w:ascii="Times New Roman" w:hAnsi="Times New Roman"/>
          <w:color w:val="000000" w:themeColor="text1"/>
          <w:sz w:val="16"/>
          <w:szCs w:val="16"/>
        </w:rPr>
        <w:softHyphen/>
        <w:t>ем одного из винтов или даже его реверсированием. Подвеска танка была также в целом заимствована от БТ-Кристи и была индивидуальной свечной, но дополня</w:t>
      </w:r>
      <w:r w:rsidRPr="005E779E">
        <w:rPr>
          <w:rFonts w:ascii="Times New Roman" w:hAnsi="Times New Roman"/>
          <w:color w:val="000000" w:themeColor="text1"/>
          <w:sz w:val="16"/>
          <w:szCs w:val="16"/>
        </w:rPr>
        <w:softHyphen/>
        <w:t>лась телескопическими амортизаторами. Опорные катки и направляющие колеса имели наружные резиновые банда</w:t>
      </w:r>
      <w:r w:rsidRPr="005E779E">
        <w:rPr>
          <w:rFonts w:ascii="Times New Roman" w:hAnsi="Times New Roman"/>
          <w:color w:val="000000" w:themeColor="text1"/>
          <w:sz w:val="16"/>
          <w:szCs w:val="16"/>
        </w:rPr>
        <w:softHyphen/>
        <w:t>жи. Гусеничные траки были выполнены по типу траков танка БТ-2. На танке был установлен опытный образец ра</w:t>
      </w:r>
      <w:r w:rsidRPr="005E779E">
        <w:rPr>
          <w:rFonts w:ascii="Times New Roman" w:hAnsi="Times New Roman"/>
          <w:color w:val="000000" w:themeColor="text1"/>
          <w:sz w:val="16"/>
          <w:szCs w:val="16"/>
        </w:rPr>
        <w:softHyphen/>
        <w:t>диостанции 71-ТК-1 с поручневой антенной, расположен</w:t>
      </w:r>
      <w:r w:rsidRPr="005E779E">
        <w:rPr>
          <w:rFonts w:ascii="Times New Roman" w:hAnsi="Times New Roman"/>
          <w:color w:val="000000" w:themeColor="text1"/>
          <w:sz w:val="16"/>
          <w:szCs w:val="16"/>
        </w:rPr>
        <w:softHyphen/>
        <w:t>ной по периметру корпуса машины. Испытания танка показали как его достоинства, так и ряд недостатков в конструкции. Если подвижность и проходимость на колесном и гусе</w:t>
      </w:r>
      <w:r w:rsidRPr="005E779E">
        <w:rPr>
          <w:rFonts w:ascii="Times New Roman" w:hAnsi="Times New Roman"/>
          <w:color w:val="000000" w:themeColor="text1"/>
          <w:sz w:val="16"/>
          <w:szCs w:val="16"/>
        </w:rPr>
        <w:softHyphen/>
        <w:t>ничном ходу оказачись вполне удовлетворительными, то его движение на плаву оставляло желать лучшего. Охлаждение двигателя на плаву забортной водой в целом себя не оправдало. Если в начале плава двигатель охлаждал</w:t>
      </w:r>
      <w:r w:rsidRPr="005E779E">
        <w:rPr>
          <w:rFonts w:ascii="Times New Roman" w:hAnsi="Times New Roman"/>
          <w:color w:val="000000" w:themeColor="text1"/>
          <w:sz w:val="16"/>
          <w:szCs w:val="16"/>
        </w:rPr>
        <w:softHyphen/>
        <w:t xml:space="preserve">ся очень интенсивно, то при длительном движении по воде он мог перегреться, так как циркуляция воды в бортовых па-зухах-колодиах оказалась недостаточной. Система управления на плаву остановкой или реверси-|з|юванием одного из винтов в тоннелях также себя не |рправдала, и танк получил возможность маневров на воде только с введением двух водоходных рулей жалюзийного та с временным приводом к ним от рулевой колонки *ка при помощи </w:t>
      </w:r>
      <w:r w:rsidRPr="005E779E">
        <w:rPr>
          <w:rFonts w:ascii="Times New Roman" w:hAnsi="Times New Roman"/>
          <w:color w:val="000000" w:themeColor="text1"/>
          <w:sz w:val="16"/>
          <w:szCs w:val="16"/>
        </w:rPr>
        <w:lastRenderedPageBreak/>
        <w:t>внешних тяг. Невозможным оказалось и управление дифферентом ем перекачивания части топлива из кормовых баков в носовые, так как топливо расходовалось из баков неравно-ерно и в ходе марша дополнительные топливные дифферентные насосы выходили из строя от тряски и вибрации (10733,222).</w:t>
      </w:r>
    </w:p>
    <w:p w14:paraId="572B568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B45417" w14:textId="77777777" w:rsidR="00F869CD" w:rsidRPr="00142305" w:rsidRDefault="00F869CD" w:rsidP="00F869C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1931 г. в Техническом отделе ЭКУ ОГПУ разработали проект колесно-гусеничного плавающего танка ПТ-1 ведущим конструктором по которому был назначен Н. А. Астров. Разработка проекта продвигалась сравнительно быстрыми темпами, поэтому первый опытный образец танка, получившего название ПТ-1 (плавающий танк, первый), был готов менее чем через год.</w:t>
      </w:r>
    </w:p>
    <w:p w14:paraId="1B0ACB07" w14:textId="77777777" w:rsidR="00F869CD" w:rsidRPr="00142305" w:rsidRDefault="00F869CD" w:rsidP="00F869C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Танк был вооружен 45-мм танковой пушкой и четырьмя 7,62-мм пулеметами ДТ. Один из пулеметов был спарен с пушкой, другой крепился в шаровой установке справа в носовой части корпуса, остальные были размещены в шаровых установках по бортам цилиндрической башни. В кормовой части башни для уравновешивания пушки устанавливался снарядный ящик. Для ведения прицельной стрельбы использовался телескопический прицел ТОП. Боекомплект к пушке составлял 93 выстрела, к пулеметам — 3402 патрона.</w:t>
      </w:r>
    </w:p>
    <w:p w14:paraId="081B88C3" w14:textId="77777777" w:rsidR="00F869CD" w:rsidRPr="00142305" w:rsidRDefault="00F869CD" w:rsidP="00F869C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Машина имела классическую схему общей компоновки. В отделении управления в носовой части корпуса размещались механик-водитель (слева) и стрелок-радист (справа). В боевом отделении в средней части корпуса и в башне размещались наводчик — слева от пушки и командир </w:t>
      </w:r>
      <w:hyperlink r:id="rId239" w:history="1">
        <w:r w:rsidRPr="00142305">
          <w:rPr>
            <w:rStyle w:val="a5"/>
            <w:rFonts w:ascii="Times New Roman" w:hAnsi="Times New Roman"/>
            <w:color w:val="0070C0"/>
            <w:sz w:val="16"/>
            <w:szCs w:val="16"/>
          </w:rPr>
          <w:t>танк</w:t>
        </w:r>
      </w:hyperlink>
      <w:r w:rsidRPr="00142305">
        <w:rPr>
          <w:rFonts w:ascii="Times New Roman" w:hAnsi="Times New Roman"/>
          <w:color w:val="0070C0"/>
          <w:sz w:val="16"/>
          <w:szCs w:val="16"/>
        </w:rPr>
        <w:t>а (он же заряжающий) — справа от нее. Посадка и выход экипажа осуществлялись через один люк в крыше башни и два люка в крыше отделения управления.</w:t>
      </w:r>
    </w:p>
    <w:p w14:paraId="235A63AE" w14:textId="77777777" w:rsidR="00F869CD" w:rsidRPr="00142305" w:rsidRDefault="00F869CD" w:rsidP="00F869C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Корпус </w:t>
      </w:r>
      <w:hyperlink r:id="rId240" w:history="1">
        <w:r w:rsidRPr="00142305">
          <w:rPr>
            <w:rStyle w:val="a5"/>
            <w:rFonts w:ascii="Times New Roman" w:hAnsi="Times New Roman"/>
            <w:color w:val="0070C0"/>
            <w:sz w:val="16"/>
            <w:szCs w:val="16"/>
          </w:rPr>
          <w:t>танк</w:t>
        </w:r>
      </w:hyperlink>
      <w:r w:rsidRPr="00142305">
        <w:rPr>
          <w:rFonts w:ascii="Times New Roman" w:hAnsi="Times New Roman"/>
          <w:color w:val="0070C0"/>
          <w:sz w:val="16"/>
          <w:szCs w:val="16"/>
        </w:rPr>
        <w:t>а имел в передней части клинообразную форму, с изогнутым верхним лобовым листом (впоследствии такой приём получил название «щучий нос»). Предварительные расчеты показали, что при использовании противоснарядного бронирования уложиться в требуемые 20 тонн никак не удастся. Пришлось пожертвовать защитой, сделав её противопульной, как у танка БТ-2. Бортовые бронелисты имели толщину 10 мм, лобовые — 15 мм, маска пушки — 20 мм. Конструктивная форма корпуса обеспечивала хорошую остойчивость и малую величину сопротивления при движении на плаву.</w:t>
      </w:r>
    </w:p>
    <w:p w14:paraId="5DAEBE96" w14:textId="77777777" w:rsidR="00F869CD" w:rsidRPr="00142305" w:rsidRDefault="00F869CD" w:rsidP="00F869C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Силовая установка ПТ-1 по проекту включала двухтактный шестицилиндровый дизель ПГЕ мощностью 300 л.с., который имел поршневой компрессор и прямоточную продувку цилиндров. Этот мотор разрабатывался в КБ завода «Большевик» и предназначался специально для установки на плавающие </w:t>
      </w:r>
      <w:hyperlink r:id="rId241" w:history="1">
        <w:r w:rsidRPr="00142305">
          <w:rPr>
            <w:rStyle w:val="a5"/>
            <w:rFonts w:ascii="Times New Roman" w:hAnsi="Times New Roman"/>
            <w:color w:val="0070C0"/>
            <w:sz w:val="16"/>
            <w:szCs w:val="16"/>
          </w:rPr>
          <w:t>танк</w:t>
        </w:r>
      </w:hyperlink>
      <w:r w:rsidRPr="00142305">
        <w:rPr>
          <w:rFonts w:ascii="Times New Roman" w:hAnsi="Times New Roman"/>
          <w:color w:val="0070C0"/>
          <w:sz w:val="16"/>
          <w:szCs w:val="16"/>
        </w:rPr>
        <w:t>и. Данный агрегат так и не получен, поэтому вместо него установили авиационный, карбюраторный двигатель М-17Ф жидкостного охлаждения мощностью 500 л.с. Пуск двигателя осуществлялся сжатым воздухом от компрессора «Гарелли» или с помощью электростартера мощностью 3,5 л.с.</w:t>
      </w:r>
    </w:p>
    <w:p w14:paraId="13D2590F" w14:textId="77777777" w:rsidR="00F869CD" w:rsidRPr="00142305" w:rsidRDefault="00F869CD" w:rsidP="00F869C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Интересно была сконструирована система охлаждения двигателя. Она была изолирована от силовой установки, а весь воздушный тракт системы охлаждения (воздухоприток — вентилятор — радиатор -воздуховод) располагался в двух симметричных изолированных отсеках — колодцах, затапливаемых забортной водой при движении </w:t>
      </w:r>
      <w:hyperlink r:id="rId242" w:history="1">
        <w:r w:rsidRPr="00142305">
          <w:rPr>
            <w:rStyle w:val="a5"/>
            <w:rFonts w:ascii="Times New Roman" w:hAnsi="Times New Roman"/>
            <w:color w:val="0070C0"/>
            <w:sz w:val="16"/>
            <w:szCs w:val="16"/>
          </w:rPr>
          <w:t>танк</w:t>
        </w:r>
      </w:hyperlink>
      <w:r w:rsidRPr="00142305">
        <w:rPr>
          <w:rFonts w:ascii="Times New Roman" w:hAnsi="Times New Roman"/>
          <w:color w:val="0070C0"/>
          <w:sz w:val="16"/>
          <w:szCs w:val="16"/>
        </w:rPr>
        <w:t>а на плаву. Предполагалось, что путем подсоса воды за счет гребных винтов она будет циркулировать через специальные колодцы и трубопроводы, тем самым охлаждая мотор. В то же время, при движении на плаву отключались вентиляторы, прогонявшие воздух через радиаторы при движении на суше.</w:t>
      </w:r>
    </w:p>
    <w:p w14:paraId="07AF62C1" w14:textId="77777777" w:rsidR="00F869CD" w:rsidRPr="00142305" w:rsidRDefault="00F869CD" w:rsidP="00F869C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Для обеспечения установленной техническим заданием дальности хода общая ёмкость топливных баков, один из которых размещался в корме, а другой в носовой части корпуса, составила до 400 литров (для сравнения у БТ-2 — 360 литров, у Т-26 обр.1932 г. — 500 литров).</w:t>
      </w:r>
    </w:p>
    <w:p w14:paraId="6E6C3278" w14:textId="77777777" w:rsidR="00F869CD" w:rsidRPr="00142305" w:rsidRDefault="00F869CD" w:rsidP="00F869C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Трансмиссия танка состояла из главного фрикциона, четырехступенчатой КПП, двойного дифференциала, двух бортовых карданных валов привода ко всем опорным каткам, двух коробок отбора мощности на гребные винты, тормоза двойного дифференциала и двух бортовых редукторов. Для подвода мощности к ведущим каткам на колесном ходу использовались понижающие редукторы, размещенные внутри самих катков.</w:t>
      </w:r>
    </w:p>
    <w:p w14:paraId="47D913D0" w14:textId="77777777" w:rsidR="00F869CD" w:rsidRPr="00142305" w:rsidRDefault="00F869CD" w:rsidP="00F869C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Движение на плаву производилось с помощью двух гребных винтов, установленных в специальных тоннелях в кормовой части корпуса. При проектировании </w:t>
      </w:r>
      <w:hyperlink r:id="rId243" w:history="1">
        <w:r w:rsidRPr="00142305">
          <w:rPr>
            <w:rStyle w:val="a5"/>
            <w:rFonts w:ascii="Times New Roman" w:hAnsi="Times New Roman"/>
            <w:color w:val="0070C0"/>
            <w:sz w:val="16"/>
            <w:szCs w:val="16"/>
          </w:rPr>
          <w:t>танк</w:t>
        </w:r>
      </w:hyperlink>
      <w:r w:rsidRPr="00142305">
        <w:rPr>
          <w:rFonts w:ascii="Times New Roman" w:hAnsi="Times New Roman"/>
          <w:color w:val="0070C0"/>
          <w:sz w:val="16"/>
          <w:szCs w:val="16"/>
        </w:rPr>
        <w:t>а предполагалось управлять машиной на плаву путем выключения или реверсирования одного из гребных винтов с помощью главного фрикциона при отсутствии водоходных рулей. Управление дифферентом на плаву согласно техническому проекту производилось за счет перекачки топлива из передних топливных баков в кормовые и обратно. Все перечисленные нововведения сильно сказались на форме корпуса, который стал намного выше и шире, чем у БТ-5.</w:t>
      </w:r>
    </w:p>
    <w:p w14:paraId="6DD9F3E4" w14:textId="77777777" w:rsidR="00F869CD" w:rsidRPr="00142305" w:rsidRDefault="00F869CD" w:rsidP="00F869C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Ходовая часть ПТ-1 состояла (применительно на один борт) состояла из следующих компонентов: 4 сдвоенных опорных катков с наружной амортизацией и индивидуальной свечной подвеской, заимствованной у Кристи, переднего направляющего колеса и ведущего колеса заднего расположения с гребневым безроликовым зацеплением. Крупнозвенчатая гусеница, выполненная по типу гусеницы </w:t>
      </w:r>
      <w:hyperlink r:id="rId244" w:history="1">
        <w:r w:rsidRPr="00142305">
          <w:rPr>
            <w:rStyle w:val="a5"/>
            <w:rFonts w:ascii="Times New Roman" w:hAnsi="Times New Roman"/>
            <w:color w:val="0070C0"/>
            <w:sz w:val="16"/>
            <w:szCs w:val="16"/>
          </w:rPr>
          <w:t>танк</w:t>
        </w:r>
      </w:hyperlink>
      <w:r w:rsidRPr="00142305">
        <w:rPr>
          <w:rFonts w:ascii="Times New Roman" w:hAnsi="Times New Roman"/>
          <w:color w:val="0070C0"/>
          <w:sz w:val="16"/>
          <w:szCs w:val="16"/>
        </w:rPr>
        <w:t>а БТ, имела траки шириной 260 мм. При движении на колесном ходу ведущими являлись все опорные катки, в которых были встроены редукторы. Подвод мощности от коробки передач к опорным каткам осуществлялся с помощью двух бортовых карданных валов. Передняя и задняя пары опорных катков являлись управляемыми. Электрооборудование машины было выполнено по однопроводной схеме. Напряжение бортовой сети составляло 12 В. В качестве источников электроэнергии использовались две аккумуляторные батареи ЗСТЭ-128 напряжением 12 В, ёмкостью 128 А-ч и генератор мощностью 0,5 кВт.</w:t>
      </w:r>
    </w:p>
    <w:p w14:paraId="5D6E7028" w14:textId="77777777" w:rsidR="00F869CD" w:rsidRPr="00142305" w:rsidRDefault="00F869CD" w:rsidP="00F869C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Радиооборудование состояло из опытного образца радиостанции 71-ТК-1 с поручневой антенной, которая устанавливалась по периметру корпуса машины. Средств внутренней связи машина не имела (25498).</w:t>
      </w:r>
    </w:p>
    <w:p w14:paraId="70D191F5" w14:textId="77777777" w:rsidR="00F869CD" w:rsidRPr="00142305" w:rsidRDefault="00F869CD" w:rsidP="00F869CD">
      <w:pPr>
        <w:spacing w:after="0" w:line="240" w:lineRule="auto"/>
        <w:jc w:val="both"/>
        <w:rPr>
          <w:rFonts w:ascii="Times New Roman" w:hAnsi="Times New Roman"/>
          <w:color w:val="0070C0"/>
          <w:sz w:val="16"/>
          <w:szCs w:val="16"/>
        </w:rPr>
      </w:pPr>
    </w:p>
    <w:p w14:paraId="34A3EFC8" w14:textId="77777777" w:rsidR="00F3630F" w:rsidRPr="005E779E" w:rsidRDefault="00F3630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1931 г. КБ под руководством Н. В. Барыкова получило задание на проектирование, с учётом опыта постройки ТГ, нового многобашенного танка прорыва массой в 35 т. В 1932 г. такая машина была построена — танк Т-35.Т-35 предназначался для усиления войск при прорыве особо сильно укреплённых позиций противника. Танк спроектирован ОКМО завода «Большевик», на котором был изготовлен в 1932 г. и опытный образец. Главный конструктор — О. М. Иванов. Т-35 был самым сильным по вооружению, единственным в мире серийным пятибашенным танком. В главной башне размещалась 76,2-мм пушка, в двух башнях с 45-мм пушками были установлены спаренные с ними пулемёты и ещё в двух — только пулемёты. Такое расположение вооружения позволяло сосредоточить огонь всего оружия вперёд-назад и по любому борту. Среднее удельное давление на грунт 0,78 кг/см2 — для такой тяжёлой (50 т) машины было небольшим. Серийно танк изготавливался Харьковским паровозостроительным заводом. Всего было выпущено около 60 машин. Несколько раз в процессе производства танк проходил модернизацию. Увеличивали толщину брони, повысили мощность двигателя. Внешне танк выглядел очень эффектным, но боевая ценность оказалась невелика (15132).</w:t>
      </w:r>
    </w:p>
    <w:p w14:paraId="1032AAF8" w14:textId="77777777" w:rsidR="00F3630F" w:rsidRPr="005E779E" w:rsidRDefault="00F3630F" w:rsidP="000B7A6C">
      <w:pPr>
        <w:spacing w:after="0" w:line="240" w:lineRule="auto"/>
        <w:jc w:val="both"/>
        <w:rPr>
          <w:rFonts w:ascii="Times New Roman" w:hAnsi="Times New Roman"/>
          <w:color w:val="000000" w:themeColor="text1"/>
          <w:sz w:val="16"/>
          <w:szCs w:val="16"/>
        </w:rPr>
      </w:pPr>
    </w:p>
    <w:p w14:paraId="48EDF447" w14:textId="77777777" w:rsidR="00CA22D8" w:rsidRPr="005E779E" w:rsidRDefault="00CA22D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1931 в то время, когда на заводе «Большевик» шло изготовление опытного образца дизеля ПГЕ, на ХПЗ рассматривался вопрос о создании танкового дизеля собственной конструкции. Первой на предложение Комиссии ВМИ о разработке проекта легкого дизеля, могущего быть использованным для среднего танка, а также и для тракторов отреагировала заводская партийная организация ХПЗ. На состоявшемся 13 января 1932 г. заседании бюро партийного комитета ХПЗ был рассмотрен вопрос «о задачах завода в области дизелестроения». В принятом по данному вопросу Постановлении бюро партийного комитета ХПЗ было отмечено:</w:t>
      </w:r>
    </w:p>
    <w:p w14:paraId="6BC12A06" w14:textId="77777777" w:rsidR="00CA22D8" w:rsidRPr="005E779E" w:rsidRDefault="00CA22D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«Постройка дизелей на ХПЗ производится уже в течение 20 лет (с 1912 г.), и завод имеет целый ряд значительных достижений в дизелестроении.</w:t>
      </w:r>
    </w:p>
    <w:p w14:paraId="6C760709" w14:textId="77777777" w:rsidR="00CA22D8" w:rsidRPr="005E779E" w:rsidRDefault="00CA22D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Дизельный цех ХПЗ первый в Союзе освоил производство дизелей фирмы «Зульцер» без помощи иностранных специалистов и полностью из советского материала. Дизельный отдел ХПЗ сконструировал новый советский двигатель Д-40, освобождающий нас от иностранной зависимости.</w:t>
      </w:r>
    </w:p>
    <w:p w14:paraId="06F8E2FA" w14:textId="77777777" w:rsidR="00CA22D8" w:rsidRPr="005E779E" w:rsidRDefault="00CA22D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Отсутствие специализации и твердой производственной программы по дизелестроению, загрузка цеха несвойственными ему заказами затрудняет налаживание основного производства и удорожает его. Соединение значительного опыта по дизелестроению и паровозостроению позволяет легко разрешить на ХПЗ вопрос о постройке тепловозного дизеля. Специализация дизельного цеха должна пойти именно по линии обслуживания транспорта дизелями для тепловозостроения.</w:t>
      </w:r>
    </w:p>
    <w:p w14:paraId="15284A4B" w14:textId="77777777" w:rsidR="00CA22D8" w:rsidRPr="005E779E" w:rsidRDefault="00CA22D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 менее важную роль должен сыграть дизельный отдел в вопросе осуществления директив партии о создании в кратчайший срок дизель-мотора для трактора и спецмашины [танка БТ], удельный вес которых в производстве завода доминирующий».</w:t>
      </w:r>
    </w:p>
    <w:p w14:paraId="45B6DEEF" w14:textId="77777777" w:rsidR="00CA22D8" w:rsidRPr="005E779E" w:rsidRDefault="00CA22D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[История ХПЗ. 1917 – 1932. Сборник документов и материалов. Изд. «Прапор», Харьков, 1965. С. 387 – 388]</w:t>
      </w:r>
    </w:p>
    <w:p w14:paraId="13935FCD" w14:textId="77777777" w:rsidR="00CA22D8" w:rsidRPr="005E779E" w:rsidRDefault="00CA22D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распорядительной части Постановления указывался целый ряд мероприятий по перспективному развитию дизелестроения на ХПЗ в 1932 г.:</w:t>
      </w:r>
    </w:p>
    <w:p w14:paraId="17CF014F" w14:textId="77777777" w:rsidR="00CA22D8" w:rsidRPr="005E779E" w:rsidRDefault="00CA22D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В дизельном отделе на базе существующего конструкторского бюро, имеющего в своем составе кадры квалифицированных дизелистов, создать сильный проектный отдел на заводе, сосредоточить в нем все работы по проектированию и исследованию дизель-моторов.</w:t>
      </w:r>
    </w:p>
    <w:p w14:paraId="7B71F243" w14:textId="77777777" w:rsidR="00CA22D8" w:rsidRPr="005E779E" w:rsidRDefault="00CA22D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Вести работы по проектированию и исследованию специального [танкового] дизель-мотора.</w:t>
      </w:r>
    </w:p>
    <w:p w14:paraId="5D67E7E1" w14:textId="77777777" w:rsidR="00CA22D8" w:rsidRPr="005E779E" w:rsidRDefault="00CA22D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Спроектировать, построить и испытать на тракторе дизель-мотор в 1932 г.</w:t>
      </w:r>
    </w:p>
    <w:p w14:paraId="7637802C" w14:textId="77777777" w:rsidR="00CA22D8" w:rsidRPr="005E779E" w:rsidRDefault="00CA22D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Вести подготовительные работы по тепловозным двигателям, с тем чтобы с начала 1933 г. вплотную подойти к постройке двигателей для тепловозов.</w:t>
      </w:r>
    </w:p>
    <w:p w14:paraId="4A3D053B" w14:textId="77777777" w:rsidR="00CA22D8" w:rsidRPr="005E779E" w:rsidRDefault="00CA22D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Изготовление опытных конструкций производить в дизельном цехе».</w:t>
      </w:r>
    </w:p>
    <w:p w14:paraId="21FE7BFB" w14:textId="77777777" w:rsidR="00CA22D8" w:rsidRPr="005E779E" w:rsidRDefault="00CA22D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[История ХПЗ. 1917 – 1932. Сборник документов и материалов. Изд. «Прапор», Харьков, 1965. С. 388]</w:t>
      </w:r>
    </w:p>
    <w:p w14:paraId="3AE713F7" w14:textId="77777777" w:rsidR="00CA22D8" w:rsidRPr="005E779E" w:rsidRDefault="00CA22D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со 2-м пунктом данного Постановления в Дизельном отделе ХПЗ в начале 1932 г. приступили к проектированию быстроходного танкового дизеля, получившего индекс БД-2. В дальнейшем эти работы, инициатором которых была партийная организация ХПЗ, привели к созданию первого в мире серийного танкового дизеля – дизеля В-2 (24856).</w:t>
      </w:r>
    </w:p>
    <w:p w14:paraId="4DF5C505" w14:textId="77777777" w:rsidR="00CA22D8" w:rsidRPr="005E779E" w:rsidRDefault="00CA22D8" w:rsidP="000B7A6C">
      <w:pPr>
        <w:spacing w:after="0" w:line="240" w:lineRule="auto"/>
        <w:jc w:val="both"/>
        <w:rPr>
          <w:rFonts w:ascii="Times New Roman" w:hAnsi="Times New Roman"/>
          <w:color w:val="000000" w:themeColor="text1"/>
          <w:sz w:val="16"/>
          <w:szCs w:val="16"/>
        </w:rPr>
      </w:pPr>
    </w:p>
    <w:p w14:paraId="02D5A1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концу 1931 года здания спеццехов на СТЗ были построены, однако, как докладывал глава НКВМ (наркомат военных и морских дел) М.Н. Тухачевский в записке от 8 декабря 1931 года В.М. Молотову, "к монтажу оборудования еще не приступили, так как последнее не было импортировано, что ставит под угрозу выполнение программы" (11580).</w:t>
      </w:r>
    </w:p>
    <w:p w14:paraId="589C72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Стоимость оборудования для спеццехов была на 1932 год установлена в размере 3 млн. золотых рублей (1,5 млн. долларов США). К июню 1932 года ситуация в цехах была такова:</w:t>
      </w:r>
    </w:p>
    <w:p w14:paraId="04E58D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сталелитейный цех №2 - из-за дрязг между руководством завода и НКТП (наркомат тяжелой промышленности) не был решен вопрос с импортом;</w:t>
      </w:r>
    </w:p>
    <w:p w14:paraId="758105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 опытный цех (сборочный) достраивался;</w:t>
      </w:r>
    </w:p>
    <w:p w14:paraId="71B5FC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сталелитейный цех №1 - начаты опыты по цветному и чугунному литью.</w:t>
      </w:r>
    </w:p>
    <w:p w14:paraId="6D9329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Самый оптимистичный прогноз (ВМТО) говорил о выпуске танков лишь с января 1933 года. Однако, как не сложно догадаться, прогноз не сбылся. В постановлении Нижне-Волжского крайисполкома ВКП (б) от 15 июля 1933 года прямо говорились, что цеха не были готовы и к середине 1933 года. </w:t>
      </w:r>
    </w:p>
    <w:p w14:paraId="41AC2F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"Литейный цех готов на 68%, обе электропечи запущены в эксплуатацию, в цехе более 100 вагонов не вывезенной земли. В механосборочном цехе №2 строительство завершено, монтаж выполнен только на 60%".</w:t>
      </w:r>
    </w:p>
    <w:p w14:paraId="059E82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 в механосборочном цехе должно было стоять 188 станков (114 импортных и 74 советских). Низкие темпы работ в докладе крайисполкома объяснялись следующими проблемами: нехватка порядка 6000 рабочих (строителей, монтажников), отсутствие проводов и кабелей, необходимость ждать выполнения заказа в Великобритании на поставку оттуда двух мощных компрессоров. Компрессоры были заказаны на август 1933 года, но поступили с опозданием (11580).</w:t>
      </w:r>
    </w:p>
    <w:p w14:paraId="2D0300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743F29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 кон</w:t>
      </w:r>
      <w:r w:rsidRPr="005E779E">
        <w:rPr>
          <w:rFonts w:ascii="Times New Roman" w:hAnsi="Times New Roman"/>
          <w:color w:val="000000" w:themeColor="text1"/>
          <w:sz w:val="16"/>
          <w:szCs w:val="16"/>
        </w:rPr>
        <w:softHyphen/>
        <w:t>ца 1931 года на заводе Можерез удалось собрать 50 Д-8/Д-12 и еще 10 ма</w:t>
      </w:r>
      <w:r w:rsidRPr="005E779E">
        <w:rPr>
          <w:rFonts w:ascii="Times New Roman" w:hAnsi="Times New Roman"/>
          <w:color w:val="000000" w:themeColor="text1"/>
          <w:sz w:val="16"/>
          <w:szCs w:val="16"/>
        </w:rPr>
        <w:softHyphen/>
        <w:t>шин сдали в первой половине 1932-го. Таким образом, сум</w:t>
      </w:r>
      <w:r w:rsidRPr="005E779E">
        <w:rPr>
          <w:rFonts w:ascii="Times New Roman" w:hAnsi="Times New Roman"/>
          <w:color w:val="000000" w:themeColor="text1"/>
          <w:sz w:val="16"/>
          <w:szCs w:val="16"/>
        </w:rPr>
        <w:softHyphen/>
        <w:t>марный выпуск этих бронемашин составил 60 единиц. К сожалению, пока не удалось выяснить, сколько машин какого типа было изготовлено, так как во многих ведомос</w:t>
      </w:r>
      <w:r w:rsidRPr="005E779E">
        <w:rPr>
          <w:rFonts w:ascii="Times New Roman" w:hAnsi="Times New Roman"/>
          <w:color w:val="000000" w:themeColor="text1"/>
          <w:sz w:val="16"/>
          <w:szCs w:val="16"/>
        </w:rPr>
        <w:softHyphen/>
        <w:t>тях они давались общей графой. По мнению автора, коли</w:t>
      </w:r>
      <w:r w:rsidRPr="005E779E">
        <w:rPr>
          <w:rFonts w:ascii="Times New Roman" w:hAnsi="Times New Roman"/>
          <w:color w:val="000000" w:themeColor="text1"/>
          <w:sz w:val="16"/>
          <w:szCs w:val="16"/>
        </w:rPr>
        <w:softHyphen/>
        <w:t>чество Д-8 и Д-12 было одинаковым, хотя и не исключено, что первых было несколько больше.</w:t>
      </w:r>
    </w:p>
    <w:p w14:paraId="34BFB8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Служба Д-8 и Д-12 была короткой - уже к 1935 году часть из них передали из войск в различные учебные заведе</w:t>
      </w:r>
      <w:r w:rsidRPr="005E779E">
        <w:rPr>
          <w:rFonts w:ascii="Times New Roman" w:hAnsi="Times New Roman"/>
          <w:color w:val="000000" w:themeColor="text1"/>
          <w:sz w:val="16"/>
          <w:szCs w:val="16"/>
        </w:rPr>
        <w:softHyphen/>
        <w:t>ния. Машины оказались весьма неудобными в эксплуатации из-за тесного корпуса и неудовлетворительного размещения вооружения. Тем не менее, по состоянию на 1 июня 1941 года в частях Красной Армии числилось 45 Д-8/Д-12, из них 19 машин требовали среднего и капитального ремонта (11284).</w:t>
      </w:r>
    </w:p>
    <w:p w14:paraId="3A1B67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861B092" w14:textId="77777777" w:rsidR="0078004B" w:rsidRPr="005E779E" w:rsidRDefault="0078004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1931 г. на заводе Можерез разработали железнодорож</w:t>
      </w:r>
      <w:r w:rsidRPr="005E779E">
        <w:rPr>
          <w:rFonts w:ascii="Times New Roman" w:hAnsi="Times New Roman"/>
          <w:color w:val="000000" w:themeColor="text1"/>
          <w:sz w:val="16"/>
          <w:szCs w:val="16"/>
        </w:rPr>
        <w:softHyphen/>
        <w:t>ный ход для БА-27. БА-27 - первый советский серийный бронеавтомобиль, разработанный в 1927 г. и строившийся до середины 1931 г. поступил на вооружение РККА в 1928 г. Всего было изготовлено 215 таких машин. Однако кон</w:t>
      </w:r>
      <w:r w:rsidRPr="005E779E">
        <w:rPr>
          <w:rFonts w:ascii="Times New Roman" w:hAnsi="Times New Roman"/>
          <w:color w:val="000000" w:themeColor="text1"/>
          <w:sz w:val="16"/>
          <w:szCs w:val="16"/>
        </w:rPr>
        <w:softHyphen/>
        <w:t>структивные недостатки, выявленные в ходе эксплуатации «первенцев», заставили рассмотреть вопрос о возможных вариантах их применения. Так появилась идея использовать БА-27 в качестве бронедрезин. Перевод машины на рельсы и обратно осуществлял</w:t>
      </w:r>
      <w:r w:rsidRPr="005E779E">
        <w:rPr>
          <w:rFonts w:ascii="Times New Roman" w:hAnsi="Times New Roman"/>
          <w:color w:val="000000" w:themeColor="text1"/>
          <w:sz w:val="16"/>
          <w:szCs w:val="16"/>
        </w:rPr>
        <w:softHyphen/>
        <w:t>ся с помощью специального переносного приспособления — домкрата с поворотным устройством (несколько позже аналогичное устройство предложили и для легкого бронеавтомобиля Д-8).</w:t>
      </w:r>
    </w:p>
    <w:p w14:paraId="66BFAB07" w14:textId="77777777" w:rsidR="0078004B" w:rsidRPr="005E779E" w:rsidRDefault="0078004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Перед использованием на железной дороге на бронеавтомобиль устанавливались колеса железнодорожного типа со стальными ребор</w:t>
      </w:r>
      <w:r w:rsidRPr="005E779E">
        <w:rPr>
          <w:rFonts w:ascii="Times New Roman" w:hAnsi="Times New Roman"/>
          <w:color w:val="000000" w:themeColor="text1"/>
          <w:sz w:val="16"/>
          <w:szCs w:val="16"/>
        </w:rPr>
        <w:softHyphen/>
        <w:t>дами и резиновыми бандажами, а также специальное буферное и при</w:t>
      </w:r>
      <w:r w:rsidRPr="005E779E">
        <w:rPr>
          <w:rFonts w:ascii="Times New Roman" w:hAnsi="Times New Roman"/>
          <w:color w:val="000000" w:themeColor="text1"/>
          <w:sz w:val="16"/>
          <w:szCs w:val="16"/>
        </w:rPr>
        <w:softHyphen/>
        <w:t>цепное устройства, позволявшие ставить машину в хвосте железнодо</w:t>
      </w:r>
      <w:r w:rsidRPr="005E779E">
        <w:rPr>
          <w:rFonts w:ascii="Times New Roman" w:hAnsi="Times New Roman"/>
          <w:color w:val="000000" w:themeColor="text1"/>
          <w:sz w:val="16"/>
          <w:szCs w:val="16"/>
        </w:rPr>
        <w:softHyphen/>
        <w:t>рожного состава или соединять две машины между собой. Буферное и прицепное устройства были выполнены в одном корпусе, подвешенном шарнирно на кронштейне, приваренном в кормовой части корпуса. При движении машины на железнодорожном аду с помощью специальных хомутов производилась блокировка передних и задних рессор. Скорость на железнодорожном ходу составляла 50 км/ч. При движении по обыч</w:t>
      </w:r>
      <w:r w:rsidRPr="005E779E">
        <w:rPr>
          <w:rFonts w:ascii="Times New Roman" w:hAnsi="Times New Roman"/>
          <w:color w:val="000000" w:themeColor="text1"/>
          <w:sz w:val="16"/>
          <w:szCs w:val="16"/>
        </w:rPr>
        <w:softHyphen/>
        <w:t>ным дорогам железнодорожные колеса крепились попарно на специаль</w:t>
      </w:r>
      <w:r w:rsidRPr="005E779E">
        <w:rPr>
          <w:rFonts w:ascii="Times New Roman" w:hAnsi="Times New Roman"/>
          <w:color w:val="000000" w:themeColor="text1"/>
          <w:sz w:val="16"/>
          <w:szCs w:val="16"/>
        </w:rPr>
        <w:softHyphen/>
        <w:t>ных втулках, расположенных по бортам машины. Домкрат и подставки при этом укладывались внутри машины (12737).</w:t>
      </w:r>
    </w:p>
    <w:p w14:paraId="62110B26" w14:textId="77777777" w:rsidR="0078004B" w:rsidRPr="005E779E" w:rsidRDefault="0078004B" w:rsidP="000B7A6C">
      <w:pPr>
        <w:spacing w:after="0" w:line="240" w:lineRule="auto"/>
        <w:jc w:val="both"/>
        <w:rPr>
          <w:rFonts w:ascii="Times New Roman" w:hAnsi="Times New Roman"/>
          <w:color w:val="000000" w:themeColor="text1"/>
          <w:sz w:val="16"/>
          <w:szCs w:val="16"/>
        </w:rPr>
      </w:pPr>
    </w:p>
    <w:p w14:paraId="723B295E" w14:textId="77777777" w:rsidR="00F869CD" w:rsidRPr="00142305" w:rsidRDefault="00F869CD" w:rsidP="00F869C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1931 г. на заводе Можерез разработали железнодорожный ход для БА-27. Перевод машины на рельсы и обратно осуществлялся с помощью специального переносного приспособления – домкрата с поворотным устройством (несколько позже аналогичное устройство предложили и для легкого бронеавтомобиля Д-8) (25577).</w:t>
      </w:r>
    </w:p>
    <w:p w14:paraId="62AF01CB" w14:textId="77777777" w:rsidR="00F869CD" w:rsidRPr="00142305" w:rsidRDefault="00F869CD" w:rsidP="00F869CD">
      <w:pPr>
        <w:spacing w:after="0" w:line="240" w:lineRule="auto"/>
        <w:jc w:val="both"/>
        <w:rPr>
          <w:rFonts w:ascii="Times New Roman" w:hAnsi="Times New Roman"/>
          <w:color w:val="0070C0"/>
          <w:sz w:val="16"/>
          <w:szCs w:val="16"/>
        </w:rPr>
      </w:pPr>
    </w:p>
    <w:p w14:paraId="7F9E5CEF" w14:textId="29C2E492" w:rsidR="000700C8" w:rsidRPr="005E779E" w:rsidRDefault="000700C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концу 1931 года СССР занимал 23-е место в мире (63 926) по количеству автомобилей (22518).</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 xml:space="preserve"> </w:t>
      </w:r>
    </w:p>
    <w:p w14:paraId="79603B73" w14:textId="77777777" w:rsidR="000700C8" w:rsidRPr="005E779E" w:rsidRDefault="000700C8" w:rsidP="000B7A6C">
      <w:pPr>
        <w:spacing w:after="0" w:line="240" w:lineRule="auto"/>
        <w:jc w:val="both"/>
        <w:rPr>
          <w:rFonts w:ascii="Times New Roman" w:hAnsi="Times New Roman"/>
          <w:color w:val="000000" w:themeColor="text1"/>
          <w:sz w:val="16"/>
          <w:szCs w:val="16"/>
        </w:rPr>
      </w:pPr>
    </w:p>
    <w:p w14:paraId="42E5A8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1931 завод Гудок Октября в Канавине близ Нижнего Новгорода начал отверточную сборку трехосных американских грузовиков Форд Тимкен (3286,34).</w:t>
      </w:r>
    </w:p>
    <w:p w14:paraId="7F76FA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271062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1931 г. менеджер компании Форда, побывавший на объектах, выявил серьезные недостатки в подготовке к пуску Нижегородского автозавода. В сборочном цеху завода АМО из-за привычки к поштучной работе одни операции делались быстро, другие медленно, и в результате сборка автомобиля выбивалась из графика. Качество отделки было “просто ужасным”, но, поскольку машины покупало государство, работники о качестве не беспокоились. Дальнейшие отношения с компанией Форда протекали на фоне тех трудностей, с которыми в начале 1930-х гг. столкнулись не только США, но и Советский Союз. Сокращение валютной выручки от внешней торговли в период Великой депрессии стало причиной невыполнения советской стороной своих обязательств по закупкам фордовских авточастей. Вместо 72 000 комплектов к 1932/33 финансовому году их было закуплено вдвое меньше (11506).</w:t>
      </w:r>
    </w:p>
    <w:p w14:paraId="1504E9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872E865" w14:textId="77777777" w:rsidR="00937C3C" w:rsidRPr="005E779E" w:rsidRDefault="00937C3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К концу 1931 года специалистами Научного автотракторного института были спроектированы сразу несколько модернизированных конструкций для Ярославского автозавода, в том числе и трехосные грузовики Я-НАТИ с червячной передачей, но... </w:t>
      </w:r>
    </w:p>
    <w:p w14:paraId="6B4A6499" w14:textId="77777777" w:rsidR="00937C3C" w:rsidRPr="005E779E" w:rsidRDefault="00937C3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Первый образец ЯГ-10 поступил в НАТИ для испытаний в 12 часов дня 16 ноября 1931 года, в то время как образцы Я-НАТИ-9 и -9Д были построены на том же Ярославском автозаводе только к лету 1933 года, и лишь в июне месяце впервые появились в НАТИ.</w:t>
      </w:r>
    </w:p>
    <w:p w14:paraId="20022FCE" w14:textId="77777777" w:rsidR="00937C3C" w:rsidRPr="005E779E" w:rsidRDefault="00937C3C"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этой связи обычно пишут, что перед ЯГАЗ № 3 стоял выбор: какой вариант «трехоски» выбрать для выпуска – с червячной или двойной (цилиндрические и конические шестерни) главной передачей. И ярославцы, дескать, предпочли все же двойную шестеренчатую, уже освоенную на Я-5. Однако более чем полуторагодичная разница во времени между появлением ЯГ-10 и Я-НАТИ-9Д ясно дает понять, что никакого особого выбора перед заводом не стояло. На ЯГАЗе оперативно сделали то, что смогли сделать, взяв все необходимое с зарубежных моделей, причем задолго до появления образцов, разработанных в НАТИ. Это диктовалось срочностью заказа на шестиколесный грузовик, видимо, под нажимом РККА. Хотя надо признать, что «на бумаге» Я-9 и Я-9Д (буква «Д» - означает наличие демультипликатора) появились параллельно ЯГ-10. Вот только ЯГАЗ, занятый весь следующий год созданием четырехосного ЯГ-12 и шасси для автобуса-гиганта ЯА-2, смог построить образцы Я-НАТИ только в 1933 году (12201).</w:t>
      </w:r>
    </w:p>
    <w:p w14:paraId="0EF0ACCF" w14:textId="77777777" w:rsidR="00937C3C" w:rsidRPr="005E779E" w:rsidRDefault="00937C3C" w:rsidP="000B7A6C">
      <w:pPr>
        <w:spacing w:after="0" w:line="240" w:lineRule="auto"/>
        <w:jc w:val="both"/>
        <w:rPr>
          <w:rFonts w:ascii="Times New Roman" w:hAnsi="Times New Roman"/>
          <w:color w:val="000000" w:themeColor="text1"/>
          <w:sz w:val="16"/>
          <w:szCs w:val="16"/>
        </w:rPr>
      </w:pPr>
    </w:p>
    <w:p w14:paraId="422232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концу 1931 г. в Харькове, на небольшом автосборочном заводе изготовили два опытных образца машин грузоподъемностью 4 т. Эта модель, называвшаяся А-4 (позже У-4), имела шестицилиндровый двигатель мощностью 60 л. с. при 2200 об/мин, четырехступенчатую коробку передач, секционный радиатор. При довольно длинной базе (4700 мм) ее масса составляла 3750 кг, а скорость не превышала 50 км/ч. Автомобиль У-4 по техническому уровню стоял лишь немногим выше ЯГ-3. Кроме того, Харьковский автосборочный завод по оснащению не годился для мелкосерийного производства грузовиков. Даже выпуск менее сложной продукции - мотоциклов и лодочных моторов - он впоследствии не смог развернуть в нужных масштабах и был передан в другую отрасль промышленности (12098).</w:t>
      </w:r>
    </w:p>
    <w:p w14:paraId="3503C5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CC64A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1931 г. первая испытательная станция НАМИ не получив разрешение на землеотвод на участок для испытательной станции на землях подмосковных совхозов «Машкино» и «Соколове», расположенный в 7,5 км от станции Химки и в 3,5 км от Ленинградского шоссе, на котором имелись небольшие помещения механических мастерских и жилой поселок на несколько десятков семей, а на реке Сходня стояла гидроэлектростанцияпрекратила свою работу. Первые испытания автомобилей сотрудники НАМИ проводили на улицах Москвы и пригородных дорогах. В те годы городские улицы были мало приспособлены для автомобильного движения. Садовое кольцо имело булыжную мостовую, пересекаемую многочисленными трамвайными путями, регулярное автобусное движение отсутствовало. Так было до начала реконструкции столицы. В ту пору испытания автомобилей на надежность и долговечность проводились на участках Угличского и Бежецкого шоссе, имевших булыжное покрытие. Для испытания на проходимость по грунтовым дорогам и бездорожью использовались участки полевых, лесных и проселочных дорог, часть которых получила собственные названия «Петля НАМИ», «Петля Крживицкого», установившего этот маршрут.</w:t>
      </w:r>
    </w:p>
    <w:p w14:paraId="0E2295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июне 1936 г. вышел приказ народного комиссара тяжелой промышленности Г.К. Орджоникидзе, в котором устанавливались задачи института при испытаниях новых моделей автомобилей: «НАТИ представить свои соображения и смету по постройке Центрального испытательного полигона». Инженер А. А. Крживицкий, патриарх испытаний, подготовил на 5 страницах «Соображения НАТИ по вопросу о Центральном испытательном полигоне автотракторной промышленности» с приложением на 45 страницах «Проектного задания Центрального испытательного полигона ГУТАП». К концу года был подобран участок для полигона в районе села Павшино между Волоколамским и Пятницким шоссе в 17-20 км от института. ЗИС также проработал проектное задание для создания заводского автодрома с целью обкатки автомобилей. Чтобы не строить двух полигонов, НАМИ согласился на включение функций обкатки новых автомобилей, полагая при этом, что обкатка, зависящая от несовершенства продукции, является временной мерой. Однако для выполнения технологических задач полигон должен был располагаться на территории, принадлежащей заводу в районе Чертаново-Красное и прилегающей к южной окраине Москвы. Трудности с отводом этого участка, по плану реконструкции Москвы частично попадавшего в черту города, стали одной из причин задержки решения о строительстве полигона. В 1938 г. были проведены предварительные изыскания на этом участке. Однако из-за отсутствия ассигнований дальнейшие работы здесь не проводились (11835).</w:t>
      </w:r>
    </w:p>
    <w:p w14:paraId="5FDDE2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E521C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1931 года Можаров переехал в Москву и стал начальником мотоциклетного КБ Научного автотракторного института (НАТИ). Базовая модель НАТИ-А-750 представляла собой причудливое сочетание V-twin'a типа Наrlеy-Dаvidsоn и ходовой части по образцу ВМW. Машина могла эксплуатироваться в одиночном варианте или с коляской. Спроектировали и одноцилиндровый двигатель. Его более чем на 90% унифицировали с базовым мотором, а по посадочным местам - с мотором Л-300. Благодаря этому без особого труда удалось встроить получившийся агрегат в ходовую часть Л-300. Получившейся лёгкой машине присвоили индекс НАТИ-Б-</w:t>
      </w:r>
      <w:r w:rsidRPr="005E779E">
        <w:rPr>
          <w:rFonts w:ascii="Times New Roman" w:hAnsi="Times New Roman"/>
          <w:color w:val="000000" w:themeColor="text1"/>
          <w:sz w:val="16"/>
          <w:szCs w:val="16"/>
        </w:rPr>
        <w:lastRenderedPageBreak/>
        <w:t>375. Память об неосуществленном проекте "Иж-6" побудила Можарова сделать ещё одну модель. В ходовую часть, аналогичную А-750, он вмонтировал новый одноцилиндровый двигатель (375 смз) с коробкой передач и приводом заднего колеса с помощью вала. Эта машина очень походила на появившиеся к тому моменту ВМW R4. Её обозначили НАТИ - Иж-6 (по некоторым сведениям, она именовалась также НАТИ-В-375). Пётр Владимирович понимал, что на бездорожье мощности базовых двигателей может оказаться недостаточно, поэтому разработал модификацию цилиндро-поршневой группы, позволявшую создать моторы с рабочими объёмами 850 смз и 425 смз - более мощные и тяговитые. Изготовление мотоциклов разместили в мастерских мотосекции на Ижстальзаводах. Руководство НАТИ потребовало доставить новые мотоциклы в Москву своим ходом. Отправили четыре НАТИ-А-750, опытный "Иж-7", созданный на базе Л-300 специалистами организованного к тому времени Ижевского мотозавода, а для сравнения с ними - BMW R16 и Harley-Davidson. Эту поездку назвали "Предварительный испытательный пробег". Из-за дождей и дорожной грязи изменили обычный маршрут. По шоссе добрались до Сарапула (60 км), оттуда на пароходе до Горького, далее по шоссе до Москвы (410 км). В столице на торжественном митинге выступили председатель ЦС АВТОДОР С. С. Каменев, представители общественности города и мотоциклетных секций Москвы. Новые мотоциклы произвели хорошее впечатление. Вскоре их передали в НАТИ для всесторонних испытаний, после чего ВСНХ принял решение о серийном производстве НАТИ-А-750 - в Подольске, на Подольском механическом заводе (ПМЗ). Возглавить все работы по освоению мотоциклов на ПМЗ поручили тому же Можарову. Ему пришлось вести трудные переговоры с дирекцией завода, которую перспектива выпуска мотоциклов отнюдь не обрадовала. Он лично хлопотал о финансировании работ, писал письма наркому Серго Орджоникидзе. Самое главное - на заводе практически отсутствовало штамповочное оборудование, необходимое для изготовления деталей ходовой части. С большим трудом Пётр Владимирович комплектовал новый участок. Он корректировал конструкторскую документацию с учётом приобретённой техники, одновременно обучая будущих рабочих. В первой декаде февраля 1934 г. завершилось изготовление промышленного образца, которому дали новое название: ПМЗ-А-750. Его сразу же направили в Кремль. Мотоцикл произвел впечатление на первых лиц государства, и конструктора премировали путевкой в санаторий ЦК ВКП(б) в Сочи. К сожалению, там 11 марта при загадочных обстоятельствах Пётр Владимирович скончался. Созданные им мотоциклы - Л-300 и НАТИ-А-750 - выпускались в Ленинграде и Подольске до конца 30-х годов. Фактически Можаров стал организатором серийного производства мотоциклов в СССР. В память об этом выдающемся человеке к 100-летию со дня его рождения в Ижевске отлили памятную медаль, в 1989 г. его именем назвали одну из старых улиц города, а в нынешнем году издательство "Наука" Российской Академии наук выпустило книгу "Пётр Владимирович Можаров (1888-1934)" (11397).</w:t>
      </w:r>
    </w:p>
    <w:p w14:paraId="0F1763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F444FBA" w14:textId="77777777" w:rsidR="000924C2" w:rsidRPr="005E779E" w:rsidRDefault="000924C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1931 – начале 1932 гг. окончательно определиться с составом системы радиовооружения, которая, как и заказ промышленности на радиоаппаратуру, получила название «Блокада». 26 февраля 1932 г. на заседании РВС СССР состав системы был одобрен, 9 марта утвержден наркомом обороны К.Е. Ворошиловым, а 17 марта 1932 г. введен в дейстие приказом по УВМС РККА № 0281 (приложение 3.10). Несмотря на довольно напряженные отношения между органами УВМС (Мортехупр, Ленкомнаб) и головным разработчиком и исполнителем заказа заводом им. Коминтерна на протяжении всего срока работ, командование флота высоко оценило достижения предприятия. Шесть ведущих работников завода были представлены к поощрению приказом РВС СССР, еще девять поощрены приказом начальника УВМС РККА, а 35 человек были премированы по линии Мортехупра (приложение 3.11) (18297).</w:t>
      </w:r>
    </w:p>
    <w:p w14:paraId="4AB343A6" w14:textId="77777777" w:rsidR="000924C2" w:rsidRPr="005E779E" w:rsidRDefault="000924C2" w:rsidP="000B7A6C">
      <w:pPr>
        <w:spacing w:after="0" w:line="240" w:lineRule="auto"/>
        <w:jc w:val="both"/>
        <w:rPr>
          <w:rFonts w:ascii="Times New Roman" w:hAnsi="Times New Roman"/>
          <w:color w:val="000000" w:themeColor="text1"/>
          <w:sz w:val="16"/>
          <w:szCs w:val="16"/>
        </w:rPr>
      </w:pPr>
    </w:p>
    <w:p w14:paraId="5A37102B" w14:textId="77777777" w:rsidR="00F3630F" w:rsidRPr="005E779E" w:rsidRDefault="00F3630F"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1931 года группа инженеров и техников А.Ф. Шорина выехала в Москву. Мы они должны были показать работу системы А.Ф. Шорина руководящему составу Наркомата по военным и морским делам. Для осмотра аппаратуры прибыли К.Е. Ворошилов, М.Н. Тухачевский, Я.Б. Гамарник, М.Г. Штерн, А.И. Корк и П.П. Уборевич. Присутствовали также начальник Воздушных Сил Я.Й. Алкснис и начальник Управления связи Н.М. Синявский, а также руководство Морских Сил. В.М. Орлов и П.И. Смирнов-Светловский представили К.Е. Ворошилову Шорина, Берга и Литвинского. Берг доложил о работах по радио-телеуправлению, которые ведутся под руководством НТК, затем Шорин рассказал о своем комплексе. После этого все с интересом посмотрели документальный фильм об испытаниях комплекса Шорина, снятый на Балтике в 1931 году. В первые месяцы 1932 года главные конструкторы демонстрировали свою аппаратуру членам Политбюро и правительства. Комплекс А.Ф. Шорина был принят на вооружение, а В.И. Бекаури предложили провести дополнительные испытания. Одновременно правительство приняло решение о строительстве завода точной механики и автоматики. Согласно отчету Остехбюро, «Одной из самых крупных работ Ленинградского периода деятельности Остехбюро было создание управляемых по радио торпедных катеров. На первом этапе была разработана радиолиния для управления катером, а также электромеханический рулевой (“Элемру”), принимающий от радиолинии команды изменения курса катера. Вторым этапом разработки телекатеров было создание системы телемеханического управления в кильватерном строю. Телекатера системы “Вольт” выполняли значительное количество команд, передаваемых по радиолинии с поста управления: “Ход”, “Малый ход”, “Средний ход”, “Полный ход”, “Лево”, “Право”, “Прямо”. По шести командам 1°, 5° и 30° “Лево” и 1°, 5°, 30° — “Право” катер автоматически переходил на измененный курс, причем последовательно можно было задавать любое изменение курса катера (например, 68° вправо -30°+ 30° Ч-5° + 1º + 1° 4-1°). Была также команда “Виляние” — зигзагообразный ход катера. Управление осуществлялось передающей радиостанцией “У”, представляющей собой комплекс счетно-решающих аналоговых приборов электромеханического типа, а также командное устройство, посылающее на радиостанцию команды управления курсами катеров. Была разработана аппаратура телеуправления “Вольт-Р”, обеспечивающая управление катерами, оснащенными торпедами, с гидросамолетов. За создание самолетной аппаратуры управления гигроскопического курсоуказателя Л.Г. Усачев был награжден орденом Ленина, А.И. Зимин — орденом “Знак Почета”. За разработку управляемых катеров 10.03.36 была награждена орденами большая группа сотрудников Остехбюро: Г.Н. Кутейников, А.Л. Мирвис, С.Г. Бобров, А.В. Виленский, С.Т. Зайцев, Д.Л. Тимофеевский, Б.А. Чирьев, Ю.А. Шаровский» (15117).</w:t>
      </w:r>
    </w:p>
    <w:p w14:paraId="0D742BCC" w14:textId="77777777" w:rsidR="00F3630F" w:rsidRPr="005E779E" w:rsidRDefault="00F3630F" w:rsidP="000B7A6C">
      <w:pPr>
        <w:spacing w:after="0" w:line="240" w:lineRule="auto"/>
        <w:jc w:val="both"/>
        <w:rPr>
          <w:rFonts w:ascii="Times New Roman" w:hAnsi="Times New Roman"/>
          <w:color w:val="000000" w:themeColor="text1"/>
          <w:sz w:val="16"/>
          <w:szCs w:val="16"/>
        </w:rPr>
      </w:pPr>
    </w:p>
    <w:p w14:paraId="3A1D3706" w14:textId="77777777" w:rsidR="00F869CD" w:rsidRPr="00142305" w:rsidRDefault="00F869CD" w:rsidP="00F869CD">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 xml:space="preserve">В конце 1931 года </w:t>
      </w:r>
      <w:r w:rsidRPr="00072DD8">
        <w:rPr>
          <w:rStyle w:val="aff0"/>
          <w:rFonts w:ascii="Times New Roman" w:hAnsi="Times New Roman" w:cs="Times New Roman"/>
          <w:color w:val="0070C0"/>
          <w:sz w:val="16"/>
          <w:szCs w:val="16"/>
        </w:rPr>
        <w:t>по воспоминаниям Шорина он</w:t>
      </w:r>
      <w:r w:rsidRPr="00142305">
        <w:rPr>
          <w:rStyle w:val="aff0"/>
          <w:rFonts w:ascii="Times New Roman" w:hAnsi="Times New Roman" w:cs="Times New Roman"/>
          <w:color w:val="0070C0"/>
          <w:spacing w:val="0"/>
          <w:sz w:val="16"/>
          <w:szCs w:val="16"/>
        </w:rPr>
        <w:t xml:space="preserve"> вместе с группой инженеров и техников выехал в Москву. Мы должны были показать работу системы А.Ф. Шорина руководящему составу Наркомата по военным и морским делам. Для осмотра аппаратуры прибыли К.Е. Ворошилов, М.Н. Тухачевский, Я.Б. Гамарник, М.Г. Штерн, А.И. Корк и П.П. Уборевич. Присутствовали также начальник Воздушных Сил Я.И. Алкснис и начальник Управления связи Н.М. Синявский, а также руководство Морских Сил. В.М. Орлов и П.И. Смирнов-Светловский представили К.Е. Ворошилову Шорина, Берга и Литвинского. Берг доложил о работах по радио-телеуправлению, которые ведутся под руководством НТК, затем Шорин рассказал о своем комплексе. После этого все с интересом посмотрели документальный фильм об испытаниях комплекса Шорина, снятый на Балтике в 1931 году.</w:t>
      </w:r>
    </w:p>
    <w:p w14:paraId="0DD4AE5C" w14:textId="77777777" w:rsidR="00F869CD" w:rsidRPr="00142305" w:rsidRDefault="00F869CD" w:rsidP="00F869CD">
      <w:pPr>
        <w:spacing w:after="0" w:line="240" w:lineRule="auto"/>
        <w:jc w:val="both"/>
        <w:rPr>
          <w:rFonts w:ascii="Times New Roman" w:hAnsi="Times New Roman"/>
          <w:color w:val="0070C0"/>
          <w:sz w:val="16"/>
          <w:szCs w:val="16"/>
        </w:rPr>
      </w:pPr>
    </w:p>
    <w:p w14:paraId="7D0BCB46" w14:textId="77777777" w:rsidR="00F869CD" w:rsidRPr="00142305" w:rsidRDefault="00F869CD" w:rsidP="00F869CD">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В конце 1931 года, по воспоминаниям Б.В. Никитина, группа инженеров и техников КБ Шорина выехал в Москву. Они должны были показать работу системы А.Ф. Шорина руководящему составу Наркомата по военным и морским делам. Для осмотра аппаратуры прибыли К.Е. Ворошилов, М.Н. Тухачевский, Я.Б. Гамарник, М.Г. Штерн, А.И. Корк и П.П. Уборевич. Присутствовали также начальник Воздушных Сил Я.И. Алкснис и начальник Управления связи Н.М. Синявский, а также руководство Морских Сил. В.М. Орлов и П.И. Смирнов-Светловский представили К.Е. Ворошилову Шорина, Берга и Литвинского. Берг доложил о работах по радио-телеуправлению, которые ведутся под руководством НТК, затем Шорин рассказал о своем комплексе. После этого все с интересом посмотрели документальный фильм об испытаниях комплекса Шорина, снятый на Балтике в 1931 году.</w:t>
      </w:r>
    </w:p>
    <w:p w14:paraId="4882422D" w14:textId="77777777" w:rsidR="00F869CD" w:rsidRPr="00142305" w:rsidRDefault="00F869CD" w:rsidP="00F869CD">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В первые месяцы 1932 года главные конструкторы демонстрировали свою аппаратуру членам Политбюро и правительства. Комплекс А.Ф. Шорина был принят на вооружение, а В.И. Бекаури предложили провести дополнительные испытания. Одновременно правительство приняло решение о строительстве завода точной механики и автоматики (25213).</w:t>
      </w:r>
    </w:p>
    <w:p w14:paraId="48319B07" w14:textId="77777777" w:rsidR="00F869CD" w:rsidRPr="00142305" w:rsidRDefault="00F869CD" w:rsidP="00F869CD">
      <w:pPr>
        <w:spacing w:after="0" w:line="240" w:lineRule="auto"/>
        <w:jc w:val="both"/>
        <w:rPr>
          <w:rFonts w:ascii="Times New Roman" w:hAnsi="Times New Roman"/>
          <w:color w:val="0070C0"/>
          <w:sz w:val="16"/>
          <w:szCs w:val="16"/>
        </w:rPr>
      </w:pPr>
    </w:p>
    <w:p w14:paraId="3CC0F3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1931 года заводом им. Лепсе, б. З-дом 260 и позже з-м 140 был освоен самолетный генератор, приводимый в действие ветрянкой и регулятор напряжения к нему. Адрес: Москва Е-58, ул. Ибранимова, д. 31 (9506).</w:t>
      </w:r>
    </w:p>
    <w:p w14:paraId="514466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82441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 конца 1931 года руководство строительством НТМК было передано в созданный на базе «Тагилстроя» «Тагилкомбинаттяжстрой». Впрочем, это мало помогло. Помимо нехватки рабсилы, большие сложности возникли с согласованием деталей проекта, который, как мы помним, был одобрен лишь в 1931 году. Из Ленинграда и Москвы постоянно поступали новые уточнения, и из-за этого нарастала неразбериха. Характер изменений часто был настолько серьезным, что будущий завод то становился гигантом советской металлургии, то – чуть ли не заурядным заводиком областного масштаба. Так, согласно первоначальному плану, НТМК должен был быть вторым по объему производства предприятием черной металлургии в СССР после Магнитки и в два раза мощнее Кузнецкого металлургического комбината, строительство которого при широком участии иностранцев – американцев и немцев - параллельно шло в Сибири. </w:t>
      </w:r>
    </w:p>
    <w:p w14:paraId="31E29A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составе комбината должно было быть шесть доменных печей, 20 мартенов и две группы прокатных станов: сортовая - блюминг и четыре среднесортных и мелкосортных стана, и листовая - слябинг с тремя листовыми станами. Кроме того, были запланированы цех холодного проката листа и листоотделка. Общая мощность НТМК могла составить по стали более 2 млн. тонн в год, что для страны, производившей тогда лишь 6-8 млн. тонн было очень много. </w:t>
      </w:r>
    </w:p>
    <w:p w14:paraId="5D4D02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Правда, гениальное советское планирование и существующий бардак не позволили утереть нос западным империалистам, поразив их новым гигантом индустрии. Выше я уже отмечал, что строительство предприятия было начато не только при отсутствии ТЭО, в частности, при отсутствии данных о сырьевой базе. Что для металлургического предприятия чрезвычайно важно. Только в 1933 году советские планировщики сподобились таки произвести комплексный учет и анализ рудных запасов Тагило-Кушвинского района (к которым, собственно, и привязывали будущий комбинат). Оказалось, что эти запасы скромны, а сами руды – бедны и насыщены вредными примесями. В силу этого был урезан первоначальный план комбината – теперь в его составе оставили «всего лишь» четыре домны, 11 мартеновских печей, прокатный цех с блюмингом-слябингом, а также крупносортный, универсальный и средне-листовой станы. </w:t>
      </w:r>
    </w:p>
    <w:p w14:paraId="6E7338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Дефекты советского планирования сказались и на обеспеченности будущего комбината железорудным сырьем. Вплоть до разработки Качканарского месторождения в 50-х годах НТМК испытывал определенный недостаток руды. К 1936 году стали известны и результаты экспериментов по использованию уральских углей в производстве. Изначально планировалось, что НТМК будет целиком работать на местном сырье. Если с рудой выход все же был найден в затратной агломерации и обогащении бедных руд Тагило-Кувшинского района, то с углем дела были совсем плохи: выяснилось, что уральский сернистый и зольный уголь абсолютно не пригоден для использования в шихте коксовых батарей. В итоге в проект будущего комбината вписали поставку угля из Сибири (11514).</w:t>
      </w:r>
    </w:p>
    <w:p w14:paraId="554919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05D49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1931 года Рамзин завершил свою работу по созданию опытного образца прямоточного котла, и через несколько месяцев прошли испытания. Приказом наркома тяжелой промышленности Г. К. Орджоникидзе было создано ОКБ прямоточного котлостроения. Возглавил его Рамзин, режим для которого постепенно смягчали, а в 1936 году ученого освободили совсем. Впоследствии Рамзин заведовал одной из кафедр МЭИ, а производство котлов только консультировал. После процесса коллеги стали сторониться Рамзина, многие не подавали ему руки. Все это усугублялось тем, что власти (тоже своего рода садизм!) постоянно осыпали его наградами: орден Ленина, орден Трудового Красного Знамени, Сталинская премия 1-й степени, присуждение степени доктора технических наук без защиты диссертации. Все это Рамзина не радовало. Он никогда больше не улыбался, ходил ссутулившись и втянув голову в плечи, преждевременно старясь. Когда же по настоянию Кремля Рамзин был выдвинут в члены-корреспонденты Академии наук, то он при тайном голосовании получил 24 голоса "против" и лишь один "за". В 1948 году - вскоре после своего никем не замеченного 60-летия - Рамзин умер. Еще одна, пусть внешне благополучная, но в действительности искалеченная режимом жизнь (11517).</w:t>
      </w:r>
    </w:p>
    <w:p w14:paraId="45E1AC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F0F42FE" w14:textId="77777777" w:rsidR="003B4A71" w:rsidRPr="005E779E" w:rsidRDefault="003B4A71" w:rsidP="000B7A6C">
      <w:pPr>
        <w:spacing w:after="0" w:line="240" w:lineRule="auto"/>
        <w:jc w:val="both"/>
        <w:rPr>
          <w:rFonts w:ascii="Times New Roman" w:hAnsi="Times New Roman"/>
          <w:color w:val="000000" w:themeColor="text1"/>
          <w:sz w:val="16"/>
          <w:szCs w:val="16"/>
          <w:shd w:val="clear" w:color="auto" w:fill="FFFFFF"/>
        </w:rPr>
      </w:pPr>
      <w:r w:rsidRPr="005E779E">
        <w:rPr>
          <w:rFonts w:ascii="Times New Roman" w:hAnsi="Times New Roman"/>
          <w:color w:val="000000" w:themeColor="text1"/>
          <w:sz w:val="16"/>
          <w:szCs w:val="16"/>
          <w:shd w:val="clear" w:color="auto" w:fill="FFFFFF"/>
        </w:rPr>
        <w:t>В подготовленной к концу 1931 года «Программе строительства военно-морского флота», рассчитанной на вторую пятилетку. В ней наркомвоенмор не ограничился вопросами пополнения и усиления, что позволяла делать шедшая индустриализация, существовавших морских сил (флотов) Балтики и Черного моря, флотилий Каспийской, Днепровской и Амурской. Впервые ввел пока не уточненное понятие «Север». Поставил для него боевую задачу: «удержание Мурманска, недопущение противника в Белое море и действия подлодками на основных коммуникациях противника».</w:t>
      </w:r>
    </w:p>
    <w:p w14:paraId="5789B91A" w14:textId="77777777" w:rsidR="003B4A71" w:rsidRPr="005E779E" w:rsidRDefault="003B4A71" w:rsidP="000B7A6C">
      <w:pPr>
        <w:spacing w:after="0" w:line="240" w:lineRule="auto"/>
        <w:jc w:val="both"/>
        <w:rPr>
          <w:rFonts w:ascii="Times New Roman" w:hAnsi="Times New Roman"/>
          <w:color w:val="000000" w:themeColor="text1"/>
          <w:sz w:val="16"/>
          <w:szCs w:val="16"/>
          <w:shd w:val="clear" w:color="auto" w:fill="FFFFFF"/>
        </w:rPr>
      </w:pPr>
      <w:r w:rsidRPr="005E779E">
        <w:rPr>
          <w:rFonts w:ascii="Times New Roman" w:hAnsi="Times New Roman"/>
          <w:color w:val="000000" w:themeColor="text1"/>
          <w:sz w:val="16"/>
          <w:szCs w:val="16"/>
          <w:shd w:val="clear" w:color="auto" w:fill="FFFFFF"/>
        </w:rPr>
        <w:t>В этих целях составители программы предложили сосредоточить на Севере 18 больших (водоизмещением 1000 тонн) подводных лодок, 6 средних (типа «Щ», 550 тонн), 6 малых (200 тонн) и плавбазу для них, а также 24 торпедных катера. При этом намечалось, что 6 больших и 3 средние подводные лодки построят уже в 1933 году на всего лишь запланированной верфи под Архангельском. К тому же времени решили перевести по Беломоро-Балтийскому каналу и несколько больших подводных лодок, эсминцы.</w:t>
      </w:r>
    </w:p>
    <w:p w14:paraId="598F0870" w14:textId="77777777" w:rsidR="003B4A71" w:rsidRPr="005E779E" w:rsidRDefault="003B4A7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shd w:val="clear" w:color="auto" w:fill="FFFFFF"/>
        </w:rPr>
        <w:t>Наметил наркомвоенмор и иные меры обороны Севера. Установку четырех двухорудийных башенных батарей 180-миллиметровых орудий, четырех двухорудийных — 152-миллиметровых и шести четырехорудийных зенитных 76-миллиметровых. Усилить же предстояло авиацию: разведчиками — легкими бомбардировщиками и истребителями (20467).</w:t>
      </w:r>
    </w:p>
    <w:p w14:paraId="5F43A367" w14:textId="77777777" w:rsidR="003B4A71" w:rsidRPr="005E779E" w:rsidRDefault="003B4A71" w:rsidP="000B7A6C">
      <w:pPr>
        <w:spacing w:after="0" w:line="240" w:lineRule="auto"/>
        <w:jc w:val="both"/>
        <w:rPr>
          <w:rFonts w:ascii="Times New Roman" w:hAnsi="Times New Roman"/>
          <w:color w:val="000000" w:themeColor="text1"/>
          <w:sz w:val="16"/>
          <w:szCs w:val="16"/>
        </w:rPr>
      </w:pPr>
    </w:p>
    <w:p w14:paraId="7DAA2F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1931 г. Дальзавод начал построй</w:t>
      </w:r>
      <w:r w:rsidRPr="005E779E">
        <w:rPr>
          <w:rFonts w:ascii="Times New Roman" w:hAnsi="Times New Roman"/>
          <w:color w:val="000000" w:themeColor="text1"/>
          <w:sz w:val="16"/>
          <w:szCs w:val="16"/>
        </w:rPr>
        <w:softHyphen/>
        <w:t>ку сразу десяти однотипных сварных катеров (длина 15,3, ширина 3,62, осадка 1,15 м ). На одном из них, получившем обозначение "ЖСЛ", применили упрощенную форму корпуса — с прямолиней</w:t>
      </w:r>
      <w:r w:rsidRPr="005E779E">
        <w:rPr>
          <w:rFonts w:ascii="Times New Roman" w:hAnsi="Times New Roman"/>
          <w:color w:val="000000" w:themeColor="text1"/>
          <w:sz w:val="16"/>
          <w:szCs w:val="16"/>
        </w:rPr>
        <w:softHyphen/>
        <w:t>ными шпангоутами, имевшими по два "слома" на каждом борту. Благодаря этому нововведению удалось значительно упростить процесс изготовления листов обшивки — все они имели цилиндри</w:t>
      </w:r>
      <w:r w:rsidRPr="005E779E">
        <w:rPr>
          <w:rFonts w:ascii="Times New Roman" w:hAnsi="Times New Roman"/>
          <w:color w:val="000000" w:themeColor="text1"/>
          <w:sz w:val="16"/>
          <w:szCs w:val="16"/>
        </w:rPr>
        <w:softHyphen/>
        <w:t>ческую или веерообразную форму. Мореходные качества буксира "ЖСЛ" оказались не хуже, чем у "ЖС". Серийное строительство бук</w:t>
      </w:r>
      <w:r w:rsidRPr="005E779E">
        <w:rPr>
          <w:rFonts w:ascii="Times New Roman" w:hAnsi="Times New Roman"/>
          <w:color w:val="000000" w:themeColor="text1"/>
          <w:sz w:val="16"/>
          <w:szCs w:val="16"/>
        </w:rPr>
        <w:softHyphen/>
        <w:t>сирных катеров этих типов продолжалось и после Великой Отече</w:t>
      </w:r>
      <w:r w:rsidRPr="005E779E">
        <w:rPr>
          <w:rFonts w:ascii="Times New Roman" w:hAnsi="Times New Roman"/>
          <w:color w:val="000000" w:themeColor="text1"/>
          <w:sz w:val="16"/>
          <w:szCs w:val="16"/>
        </w:rPr>
        <w:softHyphen/>
        <w:t>ственной войны. Многие из них имели собственные имена (напри</w:t>
      </w:r>
      <w:r w:rsidRPr="005E779E">
        <w:rPr>
          <w:rFonts w:ascii="Times New Roman" w:hAnsi="Times New Roman"/>
          <w:color w:val="000000" w:themeColor="text1"/>
          <w:sz w:val="16"/>
          <w:szCs w:val="16"/>
        </w:rPr>
        <w:softHyphen/>
        <w:t>мер, "Коршун") и эксплуатировались не только в морских портах, но и на реках. Общее количество построенных буксирньис катеров типов "Ж", "ЖС" и "ЖСЛ" составило около 200 единиц (3898).</w:t>
      </w:r>
    </w:p>
    <w:p w14:paraId="04ED4C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EA4F534"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395F94DF"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ADA3A36" w14:textId="77777777" w:rsidR="00072DD8" w:rsidRPr="00142305" w:rsidRDefault="00072DD8" w:rsidP="00072DD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1931 г. в Москве проходила встреча нового начальни</w:t>
      </w:r>
      <w:r w:rsidRPr="00142305">
        <w:rPr>
          <w:rFonts w:ascii="Times New Roman" w:hAnsi="Times New Roman"/>
          <w:color w:val="0070C0"/>
          <w:sz w:val="16"/>
          <w:szCs w:val="16"/>
        </w:rPr>
        <w:softHyphen/>
        <w:t>ка советских ВВС Я.И. Алксниса с руководством рейхсвера. Наши военные планировали в 1932 г. увидеть в Липецке перспективные образцы немецкой авиационной техники: стратосферный самолет с гермокабиной Юнкерс Ju 49, авиационные дизели для военных самолетов, устройство, позволяющее обнаруживать цель в тумане (видимо, речь идет о радиолокаторе), новый автопилот фирмы «Асканья» и устройство для передачи изображения с самолета на зем</w:t>
      </w:r>
      <w:r w:rsidRPr="00142305">
        <w:rPr>
          <w:rFonts w:ascii="Times New Roman" w:hAnsi="Times New Roman"/>
          <w:color w:val="0070C0"/>
          <w:sz w:val="16"/>
          <w:szCs w:val="16"/>
        </w:rPr>
        <w:softHyphen/>
        <w:t>лю, познакомиться с результатами работы фирмы «Фокке-Вульф» по вертолетам. Но Германия, приступившая к фактически откры</w:t>
      </w:r>
      <w:r w:rsidRPr="00142305">
        <w:rPr>
          <w:rFonts w:ascii="Times New Roman" w:hAnsi="Times New Roman"/>
          <w:color w:val="0070C0"/>
          <w:sz w:val="16"/>
          <w:szCs w:val="16"/>
        </w:rPr>
        <w:softHyphen/>
        <w:t>тому развитию вооружений на родине, не торопилась демонстри</w:t>
      </w:r>
      <w:r w:rsidRPr="00142305">
        <w:rPr>
          <w:rFonts w:ascii="Times New Roman" w:hAnsi="Times New Roman"/>
          <w:color w:val="0070C0"/>
          <w:sz w:val="16"/>
          <w:szCs w:val="16"/>
        </w:rPr>
        <w:softHyphen/>
        <w:t>ровать свои секретные разработки за рубежом. «По финансовым и техническим причинам демонстрация в Липецке наверное невоз</w:t>
      </w:r>
      <w:r w:rsidRPr="00142305">
        <w:rPr>
          <w:rFonts w:ascii="Times New Roman" w:hAnsi="Times New Roman"/>
          <w:color w:val="0070C0"/>
          <w:sz w:val="16"/>
          <w:szCs w:val="16"/>
        </w:rPr>
        <w:softHyphen/>
        <w:t>можна. Мы будем стремиться дать Красному Воздушному Флоту детальное представление в Германии, когда такие опыты будут про</w:t>
      </w:r>
      <w:r w:rsidRPr="00142305">
        <w:rPr>
          <w:rFonts w:ascii="Times New Roman" w:hAnsi="Times New Roman"/>
          <w:color w:val="0070C0"/>
          <w:sz w:val="16"/>
          <w:szCs w:val="16"/>
        </w:rPr>
        <w:softHyphen/>
        <w:t>изводиться», — ответил на просьбы Алксниса представитель немец</w:t>
      </w:r>
      <w:r w:rsidRPr="00142305">
        <w:rPr>
          <w:rFonts w:ascii="Times New Roman" w:hAnsi="Times New Roman"/>
          <w:color w:val="0070C0"/>
          <w:sz w:val="16"/>
          <w:szCs w:val="16"/>
        </w:rPr>
        <w:softHyphen/>
        <w:t>кого командования Гофмейстер во время обсуждения планов со</w:t>
      </w:r>
      <w:r w:rsidRPr="00142305">
        <w:rPr>
          <w:rFonts w:ascii="Times New Roman" w:hAnsi="Times New Roman"/>
          <w:color w:val="0070C0"/>
          <w:sz w:val="16"/>
          <w:szCs w:val="16"/>
        </w:rPr>
        <w:softHyphen/>
        <w:t>трудничества РККА и рейхсвера</w:t>
      </w:r>
      <w:r w:rsidRPr="00142305">
        <w:rPr>
          <w:rFonts w:ascii="Times New Roman" w:hAnsi="Times New Roman"/>
          <w:color w:val="0070C0"/>
          <w:sz w:val="16"/>
          <w:szCs w:val="16"/>
          <w:vertAlign w:val="superscript"/>
        </w:rPr>
        <w:t>30</w:t>
      </w:r>
      <w:r w:rsidRPr="00142305">
        <w:rPr>
          <w:rFonts w:ascii="Times New Roman" w:hAnsi="Times New Roman"/>
          <w:color w:val="0070C0"/>
          <w:sz w:val="16"/>
          <w:szCs w:val="16"/>
        </w:rPr>
        <w:t>.</w:t>
      </w:r>
    </w:p>
    <w:p w14:paraId="20F833CA" w14:textId="77777777" w:rsidR="00072DD8" w:rsidRPr="00142305" w:rsidRDefault="00072DD8" w:rsidP="00072DD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результате испытания новых образцов в Липецке в 1932 г. имели довольно скромный размах. Из новых самолетов советские инженеры познакомились только с двумя боевыми машинами: двухмоторным бомбардировщиком Дорнье Do 11 с убирающимся в полете шасси и двухмоторным бомбардировщиком и торпедонос</w:t>
      </w:r>
      <w:r w:rsidRPr="00142305">
        <w:rPr>
          <w:rFonts w:ascii="Times New Roman" w:hAnsi="Times New Roman"/>
          <w:color w:val="0070C0"/>
          <w:sz w:val="16"/>
          <w:szCs w:val="16"/>
        </w:rPr>
        <w:softHyphen/>
        <w:t>цем Хейнкель HD 59. Оба самолеты были оборудованы электриче</w:t>
      </w:r>
      <w:r w:rsidRPr="00142305">
        <w:rPr>
          <w:rFonts w:ascii="Times New Roman" w:hAnsi="Times New Roman"/>
          <w:color w:val="0070C0"/>
          <w:sz w:val="16"/>
          <w:szCs w:val="16"/>
        </w:rPr>
        <w:softHyphen/>
        <w:t>скими бомбосбрасывателями.</w:t>
      </w:r>
    </w:p>
    <w:p w14:paraId="6CE77DC2" w14:textId="77777777" w:rsidR="00072DD8" w:rsidRPr="00142305" w:rsidRDefault="00072DD8" w:rsidP="00072DD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Кроме того, одна из моделей немецких одномоторных самоле</w:t>
      </w:r>
      <w:r w:rsidRPr="00142305">
        <w:rPr>
          <w:rFonts w:ascii="Times New Roman" w:hAnsi="Times New Roman"/>
          <w:color w:val="0070C0"/>
          <w:sz w:val="16"/>
          <w:szCs w:val="16"/>
        </w:rPr>
        <w:softHyphen/>
        <w:t>тов, побывавших в Липецке, по-видимому, прошла апробацию в по</w:t>
      </w:r>
      <w:r w:rsidRPr="00142305">
        <w:rPr>
          <w:rFonts w:ascii="Times New Roman" w:hAnsi="Times New Roman"/>
          <w:color w:val="0070C0"/>
          <w:sz w:val="16"/>
          <w:szCs w:val="16"/>
        </w:rPr>
        <w:softHyphen/>
        <w:t>плавковом варианте с реки Воронеж. Этими испытаниями занимались представителями германской гидроавиации: в составе обучае</w:t>
      </w:r>
      <w:r w:rsidRPr="00142305">
        <w:rPr>
          <w:rFonts w:ascii="Times New Roman" w:hAnsi="Times New Roman"/>
          <w:color w:val="0070C0"/>
          <w:sz w:val="16"/>
          <w:szCs w:val="16"/>
        </w:rPr>
        <w:softHyphen/>
        <w:t>мых в 1932 г. была группа из шести морских летчиков.</w:t>
      </w:r>
    </w:p>
    <w:p w14:paraId="07D07038" w14:textId="77777777" w:rsidR="00072DD8" w:rsidRPr="00142305" w:rsidRDefault="00072DD8" w:rsidP="00072DD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Из вооружения нам показали бомбодержатели с опускаю</w:t>
      </w:r>
      <w:r w:rsidRPr="00142305">
        <w:rPr>
          <w:rFonts w:ascii="Times New Roman" w:hAnsi="Times New Roman"/>
          <w:color w:val="0070C0"/>
          <w:sz w:val="16"/>
          <w:szCs w:val="16"/>
        </w:rPr>
        <w:softHyphen/>
        <w:t>щимся замком для удобства подвески бомб, новые образцы пуле</w:t>
      </w:r>
      <w:r w:rsidRPr="00142305">
        <w:rPr>
          <w:rFonts w:ascii="Times New Roman" w:hAnsi="Times New Roman"/>
          <w:color w:val="0070C0"/>
          <w:sz w:val="16"/>
          <w:szCs w:val="16"/>
        </w:rPr>
        <w:softHyphen/>
        <w:t>метной турели, зажигательных, трассирующих и дымовых пристре</w:t>
      </w:r>
      <w:r w:rsidRPr="00142305">
        <w:rPr>
          <w:rFonts w:ascii="Times New Roman" w:hAnsi="Times New Roman"/>
          <w:color w:val="0070C0"/>
          <w:sz w:val="16"/>
          <w:szCs w:val="16"/>
        </w:rPr>
        <w:softHyphen/>
        <w:t>лочных патронов, взрывателей (25025).</w:t>
      </w:r>
    </w:p>
    <w:p w14:paraId="626DC7D1" w14:textId="77777777" w:rsidR="00072DD8" w:rsidRPr="00142305" w:rsidRDefault="00072DD8" w:rsidP="00072DD8">
      <w:pPr>
        <w:spacing w:after="0" w:line="240" w:lineRule="auto"/>
        <w:jc w:val="both"/>
        <w:rPr>
          <w:rFonts w:ascii="Times New Roman" w:hAnsi="Times New Roman"/>
          <w:color w:val="0070C0"/>
          <w:sz w:val="16"/>
          <w:szCs w:val="16"/>
        </w:rPr>
      </w:pPr>
    </w:p>
    <w:p w14:paraId="22DF05B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концу 1931 года количество бомбардировщиков ТБ-1 в стро</w:t>
      </w:r>
      <w:r w:rsidRPr="005E779E">
        <w:rPr>
          <w:rFonts w:ascii="Times New Roman" w:hAnsi="Times New Roman"/>
          <w:color w:val="000000" w:themeColor="text1"/>
          <w:sz w:val="16"/>
          <w:szCs w:val="16"/>
        </w:rPr>
        <w:softHyphen/>
        <w:t>евых частях достигло 155 экземпляров. Начало массовой эксплуатации нового бомбардировщика сопровождалось рядом особенностей. Во-первых, большой самолет был значительно сложнее в обслуживании, чем его предшественники. Понадобились различные приспособления для ремонта и обслуживания самолета: специальные стре</w:t>
      </w:r>
      <w:r w:rsidRPr="005E779E">
        <w:rPr>
          <w:rFonts w:ascii="Times New Roman" w:hAnsi="Times New Roman"/>
          <w:color w:val="000000" w:themeColor="text1"/>
          <w:sz w:val="16"/>
          <w:szCs w:val="16"/>
        </w:rPr>
        <w:softHyphen/>
        <w:t>мянки, лестницы, топливо- и маслозаправ-щики. Буксировать такой крупный объект по старинке (вручную) оказалось непросто — требовалась уже целая команда. Трактора на : аэродромах только появлялись и еще были в • диковинку. Кроме того, летный состав, освоивший одномоторные самолеты, не ветречался ранее с таким казусом, как отказ одно</w:t>
      </w:r>
      <w:r w:rsidRPr="005E779E">
        <w:rPr>
          <w:rFonts w:ascii="Times New Roman" w:hAnsi="Times New Roman"/>
          <w:color w:val="000000" w:themeColor="text1"/>
          <w:sz w:val="16"/>
          <w:szCs w:val="16"/>
        </w:rPr>
        <w:softHyphen/>
        <w:t>го из двигателей. Отсутствие навыков пилотирования в подобных ситуациях приводило! к досадным авариям. Специалисты НИИ ВВС срочно провели специальную программу испытаний, по итогам которой подготовили инструкцию по особенностям пилотирования ТБ-1 в различных отказных ситуациях. Этот документ направили на утверждение началь</w:t>
      </w:r>
      <w:r w:rsidRPr="005E779E">
        <w:rPr>
          <w:rFonts w:ascii="Times New Roman" w:hAnsi="Times New Roman"/>
          <w:color w:val="000000" w:themeColor="text1"/>
          <w:sz w:val="16"/>
          <w:szCs w:val="16"/>
        </w:rPr>
        <w:softHyphen/>
        <w:t>нику ВВС Алкснису, который, прежде чем подписать его, решил лично проверить прак</w:t>
      </w:r>
      <w:r w:rsidRPr="005E779E">
        <w:rPr>
          <w:rFonts w:ascii="Times New Roman" w:hAnsi="Times New Roman"/>
          <w:color w:val="000000" w:themeColor="text1"/>
          <w:sz w:val="16"/>
          <w:szCs w:val="16"/>
        </w:rPr>
        <w:softHyphen/>
        <w:t>тическую ценность подготовленных реко</w:t>
      </w:r>
      <w:r w:rsidRPr="005E779E">
        <w:rPr>
          <w:rFonts w:ascii="Times New Roman" w:hAnsi="Times New Roman"/>
          <w:color w:val="000000" w:themeColor="text1"/>
          <w:sz w:val="16"/>
          <w:szCs w:val="16"/>
        </w:rPr>
        <w:softHyphen/>
        <w:t>мендаций. В сопровождении руководителя инженерной службы ВВС П.А. Хрусталева он прибыл на Центральный аэродром. Здесь он попросил испытателей подробно рассказать о результатах их работы и особенностях пи</w:t>
      </w:r>
      <w:r w:rsidRPr="005E779E">
        <w:rPr>
          <w:rFonts w:ascii="Times New Roman" w:hAnsi="Times New Roman"/>
          <w:color w:val="000000" w:themeColor="text1"/>
          <w:sz w:val="16"/>
          <w:szCs w:val="16"/>
        </w:rPr>
        <w:softHyphen/>
        <w:t>лотирования самолета на одном моторе. В кабине подготовленной к полету машины, командиром которой был П.М. Стефановский, Я.И. Алкснис занял место второго лет</w:t>
      </w:r>
      <w:r w:rsidRPr="005E779E">
        <w:rPr>
          <w:rFonts w:ascii="Times New Roman" w:hAnsi="Times New Roman"/>
          <w:color w:val="000000" w:themeColor="text1"/>
          <w:sz w:val="16"/>
          <w:szCs w:val="16"/>
        </w:rPr>
        <w:softHyphen/>
        <w:t>чика. Лишь после того, как начальник ВВС лично проверил в воздухе предложения испытателей, он утвердил разработанную инструкцию. Появление ТБ-1 в строевых частях сов</w:t>
      </w:r>
      <w:r w:rsidRPr="005E779E">
        <w:rPr>
          <w:rFonts w:ascii="Times New Roman" w:hAnsi="Times New Roman"/>
          <w:color w:val="000000" w:themeColor="text1"/>
          <w:sz w:val="16"/>
          <w:szCs w:val="16"/>
        </w:rPr>
        <w:softHyphen/>
        <w:t>пало с определенным переломом во взгля</w:t>
      </w:r>
      <w:r w:rsidRPr="005E779E">
        <w:rPr>
          <w:rFonts w:ascii="Times New Roman" w:hAnsi="Times New Roman"/>
          <w:color w:val="000000" w:themeColor="text1"/>
          <w:sz w:val="16"/>
          <w:szCs w:val="16"/>
        </w:rPr>
        <w:softHyphen/>
        <w:t>дах на оперативно-тактическое использо</w:t>
      </w:r>
      <w:r w:rsidRPr="005E779E">
        <w:rPr>
          <w:rFonts w:ascii="Times New Roman" w:hAnsi="Times New Roman"/>
          <w:color w:val="000000" w:themeColor="text1"/>
          <w:sz w:val="16"/>
          <w:szCs w:val="16"/>
        </w:rPr>
        <w:softHyphen/>
        <w:t>вание авиации в войне. На смену так назы</w:t>
      </w:r>
      <w:r w:rsidRPr="005E779E">
        <w:rPr>
          <w:rFonts w:ascii="Times New Roman" w:hAnsi="Times New Roman"/>
          <w:color w:val="000000" w:themeColor="text1"/>
          <w:sz w:val="16"/>
          <w:szCs w:val="16"/>
        </w:rPr>
        <w:softHyphen/>
        <w:t>ваемой теории «линейной авиации», по которой ВВС состояли из истребителей и многоцелевых разведчиков-бомбардиров</w:t>
      </w:r>
      <w:r w:rsidRPr="005E779E">
        <w:rPr>
          <w:rFonts w:ascii="Times New Roman" w:hAnsi="Times New Roman"/>
          <w:color w:val="000000" w:themeColor="text1"/>
          <w:sz w:val="16"/>
          <w:szCs w:val="16"/>
        </w:rPr>
        <w:softHyphen/>
        <w:t>щиков, пришла новая концепция, отводив</w:t>
      </w:r>
      <w:r w:rsidRPr="005E779E">
        <w:rPr>
          <w:rFonts w:ascii="Times New Roman" w:hAnsi="Times New Roman"/>
          <w:color w:val="000000" w:themeColor="text1"/>
          <w:sz w:val="16"/>
          <w:szCs w:val="16"/>
        </w:rPr>
        <w:softHyphen/>
        <w:t>шая роль главной ударной силы тяжелым бомбардировщикам. С появлением ТБ-1 началось формирование тяжелых авиаци</w:t>
      </w:r>
      <w:r w:rsidRPr="005E779E">
        <w:rPr>
          <w:rFonts w:ascii="Times New Roman" w:hAnsi="Times New Roman"/>
          <w:color w:val="000000" w:themeColor="text1"/>
          <w:sz w:val="16"/>
          <w:szCs w:val="16"/>
        </w:rPr>
        <w:softHyphen/>
        <w:t>онных бригад (ТБАБ), включавших по 3-4 эскадрильи. Одновременно стали строить и расширять аэродромы, вокруг них созда</w:t>
      </w:r>
      <w:r w:rsidRPr="005E779E">
        <w:rPr>
          <w:rFonts w:ascii="Times New Roman" w:hAnsi="Times New Roman"/>
          <w:color w:val="000000" w:themeColor="text1"/>
          <w:sz w:val="16"/>
          <w:szCs w:val="16"/>
        </w:rPr>
        <w:softHyphen/>
        <w:t>вать авиационные городки (11286).</w:t>
      </w:r>
    </w:p>
    <w:p w14:paraId="60EAAA4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9412A2" w14:textId="77777777" w:rsidR="005C4849" w:rsidRPr="005E779E" w:rsidRDefault="00874B1E" w:rsidP="000B7A6C">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3C9B8F5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33924E8C" w14:textId="61AAF9FE" w:rsidR="00780FBB" w:rsidRPr="005E779E" w:rsidRDefault="00780FB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1931 — начале 1932 гг.</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Постановлениями ЦИК и СНК была изменена система повременной оплаты. Никакой платы не полагалось, если брак в работе был допущен по вине рабочих. Различные правила устанавливались, если вина рабочего не могла быть доказана (21332).</w:t>
      </w:r>
    </w:p>
    <w:p w14:paraId="0EDC2F6C" w14:textId="77777777" w:rsidR="00780FBB" w:rsidRPr="005E779E" w:rsidRDefault="00780FBB" w:rsidP="000B7A6C">
      <w:pPr>
        <w:spacing w:after="0" w:line="240" w:lineRule="auto"/>
        <w:jc w:val="both"/>
        <w:rPr>
          <w:rFonts w:ascii="Times New Roman" w:hAnsi="Times New Roman"/>
          <w:color w:val="000000" w:themeColor="text1"/>
          <w:sz w:val="16"/>
          <w:szCs w:val="16"/>
        </w:rPr>
      </w:pPr>
    </w:p>
    <w:p w14:paraId="3013FE8E" w14:textId="77777777" w:rsidR="00780FBB" w:rsidRPr="005E779E" w:rsidRDefault="00780FBB" w:rsidP="000B7A6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С конца 1931 г. появились признаки массового голода (ЗЕЛЕНИН И. Е. Введение: (Кульминация крестьянской трагедии) //Трагедия советской деревни: Коллективизация и раскулачивание, 1927-1939: Доклады и материалы: В 5 т. Т. 3: Конец 1930-1933 / Под ред. В.Данилова, Р.Маннинг, Л. Виолы. М., 2001. С. 17). Потребление на душу населения как в деревне, так и в городе в 1932 г. дошло но нижнего предела за весь период 1928-1940 гг. (В сельском хозяйстве потребление сократилось на 22%, в несельскохозяйственном секторе - на 1% (см.: </w:t>
      </w:r>
      <w:r w:rsidRPr="005E779E">
        <w:rPr>
          <w:rFonts w:ascii="Times New Roman" w:eastAsia="Times New Roman" w:hAnsi="Times New Roman"/>
          <w:color w:val="000000" w:themeColor="text1"/>
          <w:sz w:val="16"/>
          <w:szCs w:val="16"/>
          <w:lang w:val="en-US" w:eastAsia="ru-RU"/>
        </w:rPr>
        <w:t>ALLEN</w:t>
      </w:r>
      <w:r w:rsidRPr="005E779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val="en-US" w:eastAsia="ru-RU"/>
        </w:rPr>
        <w:t>R</w:t>
      </w:r>
      <w:r w:rsidRPr="005E779E">
        <w:rPr>
          <w:rFonts w:ascii="Times New Roman" w:eastAsia="Times New Roman" w:hAnsi="Times New Roman"/>
          <w:color w:val="000000" w:themeColor="text1"/>
          <w:sz w:val="16"/>
          <w:szCs w:val="16"/>
          <w:lang w:eastAsia="ru-RU"/>
        </w:rPr>
        <w:t xml:space="preserve">. С. </w:t>
      </w:r>
      <w:r w:rsidRPr="005E779E">
        <w:rPr>
          <w:rFonts w:ascii="Times New Roman" w:eastAsia="Times New Roman" w:hAnsi="Times New Roman"/>
          <w:color w:val="000000" w:themeColor="text1"/>
          <w:sz w:val="16"/>
          <w:szCs w:val="16"/>
          <w:lang w:val="en-US" w:eastAsia="ru-RU"/>
        </w:rPr>
        <w:t>The</w:t>
      </w:r>
      <w:r w:rsidRPr="005E779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val="en-US" w:eastAsia="ru-RU"/>
        </w:rPr>
        <w:t>Standard</w:t>
      </w:r>
      <w:r w:rsidRPr="005E779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val="en-US" w:eastAsia="ru-RU"/>
        </w:rPr>
        <w:t>of</w:t>
      </w:r>
      <w:r w:rsidRPr="005E779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val="en-US" w:eastAsia="ru-RU"/>
        </w:rPr>
        <w:t>Living</w:t>
      </w:r>
      <w:r w:rsidRPr="005E779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val="en-US" w:eastAsia="ru-RU"/>
        </w:rPr>
        <w:t>in</w:t>
      </w:r>
      <w:r w:rsidRPr="005E779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val="en-US" w:eastAsia="ru-RU"/>
        </w:rPr>
        <w:t>the</w:t>
      </w:r>
      <w:r w:rsidRPr="005E779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val="en-US" w:eastAsia="ru-RU"/>
        </w:rPr>
        <w:t>Soviet</w:t>
      </w:r>
      <w:r w:rsidRPr="005E779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val="en-US" w:eastAsia="ru-RU"/>
        </w:rPr>
        <w:t>Union</w:t>
      </w:r>
      <w:r w:rsidRPr="005E779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val="en-US" w:eastAsia="ru-RU"/>
        </w:rPr>
        <w:t>in</w:t>
      </w:r>
      <w:r w:rsidRPr="005E779E">
        <w:rPr>
          <w:rFonts w:ascii="Times New Roman" w:eastAsia="Times New Roman" w:hAnsi="Times New Roman"/>
          <w:color w:val="000000" w:themeColor="text1"/>
          <w:sz w:val="16"/>
          <w:szCs w:val="16"/>
          <w:lang w:eastAsia="ru-RU"/>
        </w:rPr>
        <w:t>, 1928-1940//</w:t>
      </w:r>
      <w:r w:rsidRPr="005E779E">
        <w:rPr>
          <w:rFonts w:ascii="Times New Roman" w:eastAsia="Times New Roman" w:hAnsi="Times New Roman"/>
          <w:color w:val="000000" w:themeColor="text1"/>
          <w:sz w:val="16"/>
          <w:szCs w:val="16"/>
          <w:lang w:val="en-US" w:eastAsia="ru-RU"/>
        </w:rPr>
        <w:t>Journal</w:t>
      </w:r>
      <w:r w:rsidRPr="005E779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val="en-US" w:eastAsia="ru-RU"/>
        </w:rPr>
        <w:t>of</w:t>
      </w:r>
      <w:r w:rsidRPr="005E779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val="en-US" w:eastAsia="ru-RU"/>
        </w:rPr>
        <w:t>Economic</w:t>
      </w:r>
      <w:r w:rsidRPr="005E779E">
        <w:rPr>
          <w:rFonts w:ascii="Times New Roman" w:eastAsia="Times New Roman" w:hAnsi="Times New Roman"/>
          <w:color w:val="000000" w:themeColor="text1"/>
          <w:sz w:val="16"/>
          <w:szCs w:val="16"/>
          <w:lang w:eastAsia="ru-RU"/>
        </w:rPr>
        <w:t xml:space="preserve"> </w:t>
      </w:r>
      <w:r w:rsidRPr="005E779E">
        <w:rPr>
          <w:rFonts w:ascii="Times New Roman" w:eastAsia="Times New Roman" w:hAnsi="Times New Roman"/>
          <w:color w:val="000000" w:themeColor="text1"/>
          <w:sz w:val="16"/>
          <w:szCs w:val="16"/>
          <w:lang w:val="en-US" w:eastAsia="ru-RU"/>
        </w:rPr>
        <w:t>History</w:t>
      </w:r>
      <w:r w:rsidRPr="005E779E">
        <w:rPr>
          <w:rFonts w:ascii="Times New Roman" w:eastAsia="Times New Roman" w:hAnsi="Times New Roman"/>
          <w:color w:val="000000" w:themeColor="text1"/>
          <w:sz w:val="16"/>
          <w:szCs w:val="16"/>
          <w:lang w:eastAsia="ru-RU"/>
        </w:rPr>
        <w:t>. 1998. Vol. 58. №4.1077-1078). Эти оценки являются скорее консервативными: в отличие от большинства западных экономистов Р. Аллен приходит к выводу о значительном росте душевого потребления за период 1928-1937 гг. - в среднем на 27%.)</w:t>
      </w:r>
    </w:p>
    <w:p w14:paraId="0A194988" w14:textId="77777777" w:rsidR="00780FBB" w:rsidRPr="005E779E" w:rsidRDefault="00780FBB" w:rsidP="000B7A6C">
      <w:pPr>
        <w:spacing w:after="0" w:line="240" w:lineRule="auto"/>
        <w:jc w:val="both"/>
        <w:rPr>
          <w:rFonts w:ascii="Times New Roman" w:hAnsi="Times New Roman"/>
          <w:color w:val="000000" w:themeColor="text1"/>
          <w:sz w:val="16"/>
          <w:szCs w:val="16"/>
        </w:rPr>
      </w:pPr>
      <w:r w:rsidRPr="005E779E">
        <w:rPr>
          <w:rFonts w:ascii="Times New Roman" w:eastAsia="Times New Roman" w:hAnsi="Times New Roman"/>
          <w:color w:val="000000" w:themeColor="text1"/>
          <w:sz w:val="16"/>
          <w:szCs w:val="16"/>
          <w:lang w:eastAsia="ru-RU"/>
        </w:rPr>
        <w:t>За первую половину года число коллективизированных хозяйств в РСФСР и УССР сократилось почти на полтора миллиона (ЗЕЛЕНИН И. Е. Был ли "колхозный неонэп"? // ОИ. 1994. № 2. С. 106.). Большинство "массовых выступлений и волынок" происходило "на почве хлебозаготовок" - крестьяне сопротивлялись вывозу хлеба, нападали на государственные склады. При этом вновь стали нарастать убой и падеж скота, участились случаи отказа от сева, самоликвидации хозяйств, бегства из села и другие проявления протеста – от терактов" до "неорганизованного отходничества" (Уникальный по своей детальности и охвату обзор положения см.: Спецсправка Секретно-политического отдела ОПТУ, [не ранее апреля 1932 г.] // Трагедия советской деревни: Коллективизация и раскулачивание, 1927-1939. Т. 3. М, 2001. С. 318-354.) (22725).</w:t>
      </w:r>
    </w:p>
    <w:p w14:paraId="0726A5E0" w14:textId="77777777" w:rsidR="00780FBB" w:rsidRPr="005E779E" w:rsidRDefault="00780FBB" w:rsidP="000B7A6C">
      <w:pPr>
        <w:spacing w:after="0" w:line="240" w:lineRule="auto"/>
        <w:jc w:val="both"/>
        <w:rPr>
          <w:rFonts w:ascii="Times New Roman" w:hAnsi="Times New Roman"/>
          <w:color w:val="000000" w:themeColor="text1"/>
          <w:sz w:val="16"/>
          <w:szCs w:val="16"/>
        </w:rPr>
      </w:pPr>
    </w:p>
    <w:p w14:paraId="36D6E9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концу 1931 по всему СС насчитывалось 155 тысяч хозрасчётных бригад, объединявших 1,5 миллиона рабочих. Однако нащупанная партгосхозаппаратом манера оказалась применена и здесь: часто бригады внедрялись приказным методом, без учёта специфики и реальных условий. Это бы полбеды — в конце концов, левые элементы отсеются, останутся передовые рабочие, которые будут работать… эээ… передово. Подтверждением тому действительно образцовые дисциплина и работа (на советском новоязе: «социалистическое отношение к труду»). Основная проблема состояла в другом: хозрасчёт оказывался действенным, лишь будучи распространён на все цепочки технологического цикла при чёткой организации его. Вот как объяснял схему старший сталевар с подмосковного завода «Электросталь» т-щ Михенчев: «Например, если бригада литейщиков работает на хозрасчёте, то и бригада канавщиков должна быть на хозрасчёте, а то у нас были случаи, что мы экономим время, выпускаем плавку раньше срока, а в результате её приходится задерживать на 2 часа, т.к. канава не готова, и вынужденный простой не списывается за счёт виновных задержки, а отсюда экономия идёт насмарку и нет заинтересованности в работе». Число же предприятий, полностью перешедших на хозрасчёт, было мизерным (55 на 01.01.1932, 64 на 01.01.1933, 74 на 01.01.1934, 50 на 01.01.1935). Неудивительно, что эффективность бригад оказалась скромной. Не смогли они выправить положение с планами первой пятилетки, не сыграли особой роли и в первые годы второй. В 1935 в статье, опубликованной в журнале «Предприятие», уже констатировалось, что хозрасчётный цех от нехозрасчётного «надо прямо сказать… ничем не отличается». Историк В.А. Освянников выделяет несколько причин неудачи хозрасчётного движения: «Наиболее распространённая причина распада хозрасчётных бригад заключалась в неправильно (уклончиво-расплывчатом со стороны администрации) составленных договорах администрации с бригадами. На других предприятиях заключённый хоздоговор страдал излишней регламентацией. Нередко при организации хозрасчётных бригад была ничем не оправданная поспешность, приводившая к формальному решению вопроса, из-за желания отрапортовать перед вышестоящими органами, в конечном счёте дискредитирующая идею хозяйственного расчёта. Невыполнение взятых на себя обязательств в договоре также служило основанием для распада хозрасчётных бригад». Премирование участников бригад не получило нормального воплощения и в большинстве отраслей оказывалось во многом символическим (тем более что продукты всё равно распределялись по карточкам) (11562).</w:t>
      </w:r>
    </w:p>
    <w:p w14:paraId="6DBC44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AA67F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1931 года правительственная комиссия определяла районы деятельности Торгсина и методы его работы. Изначально ОГПУ было против открытия Торгсина, считая его "ненужной инстанцией". Однако после того как политбюро приняло соответствующее решение, пришлось смириться с реальностью. Представители ОПТУ работали в составе упомянутой комиссии. Эмиссары правления Торгсина за информацией о "золотом" и "валютном" потенциале района и целесообразности открытия там своих контор и магазинов приходили в местные отделения ОГПУ приходили. И в дальнейшем Торгсин не раз пользовался услугами ОГПУ/НКВД для давления на нерадивых поставщиков, транспортировки ценностей и секретной почты, розыска получателей валютных переводов среди ссыльных и заключенных, чисток торгсиновского аппарата от "чуждых элементов", пресечения хищений и других экономических преступлений. И все же мирное сосуществование двух ведомств не получалось. Торгсин и ОГПУ/НКВД соперничали в "добыче золота и валюты" для государства, а источник у них был один - сбережения граждан. Для политической полиции еще со времен ВЧК конфискация "припрятанных" населением золота и других ценностей была одной из главных функций. До появления Торгсина население должно было сдавать ценности государству в обмен на рубли по установленному государством курсу. Для этого работали специальные пункты скупки золота. Но, видимо, эти условия людей не привлекали. ОГПУ приходилось силой отбирать припрятанные ценности. Следовали аресты, обыски, конфискации и расстрелы. Торгсин же в обмен на золото предлагал населению не обесцененные рубли, а бесценные в условиях голода продукты и товары. Поэтому в то время как сотрудники ОГПУ с наганом в руке гонялись за "держателями золота" и "валютными спекулянтами", те осаждали магазины конторы, умоляя принять в обмен на продукты все самое дорогое, что у них имелось (11558).</w:t>
      </w:r>
    </w:p>
    <w:p w14:paraId="1064CE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65671E4" w14:textId="77777777" w:rsidR="000924C2" w:rsidRPr="005E779E" w:rsidRDefault="000924C2"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1931 начались опытные передачи из Одессы и Томска по оптико-механической системе (11482).</w:t>
      </w:r>
    </w:p>
    <w:p w14:paraId="3D5BF50C" w14:textId="77777777" w:rsidR="000924C2" w:rsidRPr="005E779E" w:rsidRDefault="000924C2"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D49033"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Внешняя политика:</w:t>
      </w:r>
    </w:p>
    <w:p w14:paraId="74ACA8E6"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A5D0BB1" w14:textId="77777777" w:rsidR="00CA22D8" w:rsidRPr="005E779E" w:rsidRDefault="00CA22D8"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концу 1931 г. внешняя задолженность страны составила 1,4 млрд, золотых рублей, т. е. возросла более, чем в 3,3 раза за четыре года. Чтобы погасить эти долги, нужно было продавать на Запад не только зерно, лес и нефть, но и тонны золота. По данным Госбанка СССР, с 1 октября 1927 года по 1 ноября 1928 года заграницу вывезли более 120 т чистого золота. Тощий золотовалютный запас страны таял на глазах. Это означало, что были использованы все свободные золотовалютные резервы. Именно в 1928-м Сталин начал распродавать музейные коллекции страны. Художественный экспорт обернулся потерей для России шедевров из Эрмитажа, дворцов российской аристократии и частных коллекций. Но расходы на промышленный рывок были астрономическими, и экспорт произведений искусства мог обеспечить лишь весьма незначительную их часть, а именно не более 1,5 %. Самая крупная «сделка века» с министром финансов США Эндрю Меллоном, когда Эрмитаж потерял 21 шедевр живописи, принесла руководству страны около 13 млн. золотых рублей (около 12 т золота) (23485).</w:t>
      </w:r>
    </w:p>
    <w:p w14:paraId="0E9686DB" w14:textId="77777777" w:rsidR="00CA22D8" w:rsidRPr="005E779E" w:rsidRDefault="00CA22D8" w:rsidP="000B7A6C">
      <w:pPr>
        <w:spacing w:after="0" w:line="240" w:lineRule="auto"/>
        <w:jc w:val="both"/>
        <w:rPr>
          <w:rFonts w:ascii="Times New Roman" w:hAnsi="Times New Roman"/>
          <w:color w:val="000000" w:themeColor="text1"/>
          <w:sz w:val="16"/>
          <w:szCs w:val="16"/>
        </w:rPr>
      </w:pPr>
    </w:p>
    <w:p w14:paraId="1ED87E7C" w14:textId="77777777" w:rsidR="000924C2" w:rsidRPr="005E779E" w:rsidRDefault="000924C2" w:rsidP="000B7A6C">
      <w:pPr>
        <w:spacing w:after="0" w:line="240" w:lineRule="auto"/>
        <w:jc w:val="both"/>
        <w:rPr>
          <w:rFonts w:ascii="Times New Roman" w:hAnsi="Times New Roman"/>
          <w:color w:val="000000" w:themeColor="text1"/>
          <w:sz w:val="16"/>
          <w:szCs w:val="16"/>
          <w:shd w:val="clear" w:color="auto" w:fill="FFFFFF"/>
        </w:rPr>
      </w:pPr>
      <w:r w:rsidRPr="005E779E">
        <w:rPr>
          <w:rFonts w:ascii="Times New Roman" w:hAnsi="Times New Roman"/>
          <w:color w:val="000000" w:themeColor="text1"/>
          <w:sz w:val="16"/>
          <w:szCs w:val="16"/>
        </w:rPr>
        <w:t>В конце 1931 г. правительство СССР решило закупить, воспользовавшись экономическим кризисом, по относительно невысокой цене, не готовую продукцию и предметы роскоши, а заводы и технологии. В 1932 году (осенью) в США для закупки лицензии на производство авиамоторов фирмы Райт и соответствующих технологий была нап равлена делегация, возглавляемая начальником ЦИАМ И.И. Побережским и главным инженером ГАЗ № 24 А.Д. Швецовым. В нее входил и Н.П.Базилев. 5 декабря делегация прибыла в НьюИорк и с 7 декабря начала переговоры, завершившиеся 22 апреля 1933 г. Фирма выразила согласие подготовить всю документацию в метрической системе, изготовить и испытать образцы метрических моторов (19534).</w:t>
      </w:r>
    </w:p>
    <w:p w14:paraId="7279297E" w14:textId="77777777" w:rsidR="000924C2" w:rsidRPr="005E779E" w:rsidRDefault="000924C2" w:rsidP="000B7A6C">
      <w:pPr>
        <w:spacing w:after="0" w:line="240" w:lineRule="auto"/>
        <w:jc w:val="both"/>
        <w:rPr>
          <w:rFonts w:ascii="Times New Roman" w:hAnsi="Times New Roman"/>
          <w:color w:val="000000" w:themeColor="text1"/>
          <w:sz w:val="16"/>
          <w:szCs w:val="16"/>
          <w:shd w:val="clear" w:color="auto" w:fill="FFFFFF"/>
        </w:rPr>
      </w:pPr>
    </w:p>
    <w:p w14:paraId="2D39CDCC" w14:textId="77777777" w:rsidR="0087630B" w:rsidRPr="005E779E" w:rsidRDefault="0087630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конце 1931 г. началась полугодичная «эпопея» с оформлением очередного авиазаказа для </w:t>
      </w:r>
      <w:r w:rsidR="000924C2" w:rsidRPr="005E779E">
        <w:rPr>
          <w:rFonts w:ascii="Times New Roman" w:hAnsi="Times New Roman"/>
          <w:color w:val="000000" w:themeColor="text1"/>
          <w:sz w:val="16"/>
          <w:szCs w:val="16"/>
        </w:rPr>
        <w:t>К</w:t>
      </w:r>
      <w:r w:rsidRPr="005E779E">
        <w:rPr>
          <w:rFonts w:ascii="Times New Roman" w:hAnsi="Times New Roman"/>
          <w:color w:val="000000" w:themeColor="text1"/>
          <w:sz w:val="16"/>
          <w:szCs w:val="16"/>
        </w:rPr>
        <w:t>итая и закончилась к 17 февраля 1932 г., когда Алкснису со</w:t>
      </w:r>
      <w:r w:rsidRPr="005E779E">
        <w:rPr>
          <w:rFonts w:ascii="Times New Roman" w:hAnsi="Times New Roman"/>
          <w:color w:val="000000" w:themeColor="text1"/>
          <w:sz w:val="16"/>
          <w:szCs w:val="16"/>
        </w:rPr>
        <w:softHyphen/>
        <w:t>общили, что РВС СССР разрешил «проводить Синьцзянский заказ в полном объеме».</w:t>
      </w:r>
    </w:p>
    <w:p w14:paraId="1D98CAE0" w14:textId="77777777" w:rsidR="0087630B" w:rsidRPr="005E779E" w:rsidRDefault="0087630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УВВС предписывалось: «1). Немедленно передать в Глававиапром три новых</w:t>
      </w:r>
      <w:r w:rsidRPr="005E779E">
        <w:rPr>
          <w:rStyle w:val="0pt0"/>
          <w:rFonts w:eastAsia="Arial"/>
          <w:b w:val="0"/>
          <w:color w:val="000000" w:themeColor="text1"/>
          <w:spacing w:val="0"/>
          <w:sz w:val="16"/>
          <w:szCs w:val="16"/>
        </w:rPr>
        <w:t xml:space="preserve"> само</w:t>
      </w:r>
      <w:r w:rsidRPr="005E779E">
        <w:rPr>
          <w:rStyle w:val="0pt0"/>
          <w:rFonts w:eastAsia="Arial"/>
          <w:b w:val="0"/>
          <w:color w:val="000000" w:themeColor="text1"/>
          <w:spacing w:val="0"/>
          <w:sz w:val="16"/>
          <w:szCs w:val="16"/>
        </w:rPr>
        <w:softHyphen/>
        <w:t>лёта</w:t>
      </w:r>
      <w:r w:rsidRPr="005E779E">
        <w:rPr>
          <w:rFonts w:ascii="Times New Roman" w:hAnsi="Times New Roman"/>
          <w:color w:val="000000" w:themeColor="text1"/>
          <w:sz w:val="16"/>
          <w:szCs w:val="16"/>
        </w:rPr>
        <w:t xml:space="preserve"> Р-1 с моторами М-5, полным вооружением, оборудованием для раций, усилен</w:t>
      </w:r>
      <w:r w:rsidRPr="005E779E">
        <w:rPr>
          <w:rFonts w:ascii="Times New Roman" w:hAnsi="Times New Roman"/>
          <w:color w:val="000000" w:themeColor="text1"/>
          <w:sz w:val="16"/>
          <w:szCs w:val="16"/>
        </w:rPr>
        <w:softHyphen/>
      </w:r>
      <w:r w:rsidRPr="005E779E">
        <w:rPr>
          <w:rStyle w:val="0pt0"/>
          <w:rFonts w:eastAsia="Arial"/>
          <w:b w:val="0"/>
          <w:color w:val="000000" w:themeColor="text1"/>
          <w:spacing w:val="0"/>
          <w:sz w:val="16"/>
          <w:szCs w:val="16"/>
        </w:rPr>
        <w:t>ным</w:t>
      </w:r>
      <w:r w:rsidRPr="005E779E">
        <w:rPr>
          <w:rFonts w:ascii="Times New Roman" w:hAnsi="Times New Roman"/>
          <w:color w:val="000000" w:themeColor="text1"/>
          <w:sz w:val="16"/>
          <w:szCs w:val="16"/>
        </w:rPr>
        <w:t xml:space="preserve"> комплектом запчастей и добавочными радиаторами.</w:t>
      </w:r>
    </w:p>
    <w:p w14:paraId="09ABBCF5" w14:textId="77777777" w:rsidR="0087630B" w:rsidRPr="005E779E" w:rsidRDefault="0087630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Самолеты должны быть доставлены на завод № 1 — Москва, где будет</w:t>
      </w:r>
      <w:r w:rsidRPr="005E779E">
        <w:rPr>
          <w:rStyle w:val="10pt"/>
          <w:rFonts w:ascii="Times New Roman" w:hAnsi="Times New Roman" w:cs="Times New Roman"/>
          <w:color w:val="000000" w:themeColor="text1"/>
          <w:spacing w:val="0"/>
          <w:sz w:val="16"/>
          <w:szCs w:val="16"/>
        </w:rPr>
        <w:t xml:space="preserve"> произведе</w:t>
      </w:r>
      <w:r w:rsidRPr="005E779E">
        <w:rPr>
          <w:rStyle w:val="10pt"/>
          <w:rFonts w:ascii="Times New Roman" w:hAnsi="Times New Roman" w:cs="Times New Roman"/>
          <w:color w:val="000000" w:themeColor="text1"/>
          <w:spacing w:val="0"/>
          <w:sz w:val="16"/>
          <w:szCs w:val="16"/>
        </w:rPr>
        <w:softHyphen/>
      </w:r>
      <w:r w:rsidRPr="005E779E">
        <w:rPr>
          <w:rStyle w:val="0pt0"/>
          <w:rFonts w:eastAsia="Arial"/>
          <w:b w:val="0"/>
          <w:color w:val="000000" w:themeColor="text1"/>
          <w:spacing w:val="0"/>
          <w:sz w:val="16"/>
          <w:szCs w:val="16"/>
        </w:rPr>
        <w:t>на</w:t>
      </w:r>
      <w:r w:rsidRPr="005E779E">
        <w:rPr>
          <w:rFonts w:ascii="Times New Roman" w:hAnsi="Times New Roman"/>
          <w:color w:val="000000" w:themeColor="text1"/>
          <w:sz w:val="16"/>
          <w:szCs w:val="16"/>
        </w:rPr>
        <w:t xml:space="preserve"> установка раций, заменены пульустановки Дегтярева и произведена тщательная от</w:t>
      </w:r>
      <w:r w:rsidRPr="005E779E">
        <w:rPr>
          <w:rFonts w:ascii="Times New Roman" w:hAnsi="Times New Roman"/>
          <w:color w:val="000000" w:themeColor="text1"/>
          <w:sz w:val="16"/>
          <w:szCs w:val="16"/>
        </w:rPr>
        <w:softHyphen/>
        <w:t>делка машин с закраской звезд и опознавательных знаков.</w:t>
      </w:r>
    </w:p>
    <w:p w14:paraId="1C7CC4B8" w14:textId="77777777" w:rsidR="0087630B" w:rsidRPr="005E779E" w:rsidRDefault="0087630B" w:rsidP="000B7A6C">
      <w:pPr>
        <w:tabs>
          <w:tab w:val="left" w:pos="638"/>
        </w:tabs>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Отпустить для трех Р-1 три фотоаппарата ПАТЕ-1-БС с принадлежностями.</w:t>
      </w:r>
    </w:p>
    <w:p w14:paraId="799385C8" w14:textId="77777777" w:rsidR="0087630B" w:rsidRPr="005E779E" w:rsidRDefault="0087630B" w:rsidP="000B7A6C">
      <w:pPr>
        <w:tabs>
          <w:tab w:val="left" w:pos="647"/>
        </w:tabs>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Разрешить Глававиапрому:</w:t>
      </w:r>
    </w:p>
    <w:p w14:paraId="2B8039AD" w14:textId="77777777" w:rsidR="0087630B" w:rsidRPr="005E779E" w:rsidRDefault="0087630B" w:rsidP="000B7A6C">
      <w:pPr>
        <w:tabs>
          <w:tab w:val="left" w:pos="602"/>
        </w:tabs>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немедленно передать заводу № 23 в Ленинграде три самолёта У-2 с моторами М-11, усиленным комплектом запчастей.</w:t>
      </w:r>
    </w:p>
    <w:p w14:paraId="71316A9A" w14:textId="77777777" w:rsidR="0087630B" w:rsidRPr="005E779E" w:rsidRDefault="0087630B" w:rsidP="000B7A6C">
      <w:pPr>
        <w:tabs>
          <w:tab w:val="left" w:pos="593"/>
        </w:tabs>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перебросить с завода № 29 в г. Запорожье два мотора М-22 с запчастями для ус</w:t>
      </w:r>
      <w:r w:rsidRPr="005E779E">
        <w:rPr>
          <w:rFonts w:ascii="Times New Roman" w:hAnsi="Times New Roman"/>
          <w:color w:val="000000" w:themeColor="text1"/>
          <w:sz w:val="16"/>
          <w:szCs w:val="16"/>
        </w:rPr>
        <w:softHyphen/>
        <w:t>тановки на самолётах К-5 взамен М-15.</w:t>
      </w:r>
    </w:p>
    <w:p w14:paraId="0FD37E19" w14:textId="77777777" w:rsidR="0087630B" w:rsidRPr="005E779E" w:rsidRDefault="0087630B" w:rsidP="000B7A6C">
      <w:pPr>
        <w:tabs>
          <w:tab w:val="left" w:pos="647"/>
        </w:tabs>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Отпустить 1000 16-кг аэробомб, из коих 700 осколочных и 300 фугасных.</w:t>
      </w:r>
    </w:p>
    <w:p w14:paraId="3F994B24" w14:textId="77777777" w:rsidR="0087630B" w:rsidRPr="005E779E" w:rsidRDefault="0087630B" w:rsidP="000B7A6C">
      <w:pPr>
        <w:tabs>
          <w:tab w:val="left" w:pos="670"/>
        </w:tabs>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В целях скорейшего продвижения грузов разрешить отправку их произвести по военным требованиям.</w:t>
      </w:r>
    </w:p>
    <w:p w14:paraId="76E4778C" w14:textId="77777777" w:rsidR="0087630B" w:rsidRPr="005E779E" w:rsidRDefault="0087630B" w:rsidP="000B7A6C">
      <w:pPr>
        <w:tabs>
          <w:tab w:val="left" w:pos="665"/>
        </w:tabs>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Выделить для перегонки трёх самолётов Р-1 трёх лётчиков, двух техников и од</w:t>
      </w:r>
      <w:r w:rsidRPr="005E779E">
        <w:rPr>
          <w:rFonts w:ascii="Times New Roman" w:hAnsi="Times New Roman"/>
          <w:color w:val="000000" w:themeColor="text1"/>
          <w:sz w:val="16"/>
          <w:szCs w:val="16"/>
        </w:rPr>
        <w:softHyphen/>
        <w:t>ного лётчика-наблюдателя, знакомого с радио-работой и аэрофотосъемкой. Самолё</w:t>
      </w:r>
      <w:r w:rsidRPr="005E779E">
        <w:rPr>
          <w:rFonts w:ascii="Times New Roman" w:hAnsi="Times New Roman"/>
          <w:color w:val="000000" w:themeColor="text1"/>
          <w:sz w:val="16"/>
          <w:szCs w:val="16"/>
        </w:rPr>
        <w:softHyphen/>
      </w:r>
      <w:r w:rsidRPr="005E779E">
        <w:rPr>
          <w:rStyle w:val="0pt0"/>
          <w:rFonts w:eastAsia="Arial"/>
          <w:b w:val="0"/>
          <w:color w:val="000000" w:themeColor="text1"/>
          <w:spacing w:val="0"/>
          <w:sz w:val="16"/>
          <w:szCs w:val="16"/>
        </w:rPr>
        <w:t>ты</w:t>
      </w:r>
      <w:r w:rsidRPr="005E779E">
        <w:rPr>
          <w:rFonts w:ascii="Times New Roman" w:hAnsi="Times New Roman"/>
          <w:color w:val="000000" w:themeColor="text1"/>
          <w:sz w:val="16"/>
          <w:szCs w:val="16"/>
        </w:rPr>
        <w:t xml:space="preserve"> идут лётом из Аягуза до Урумчи...</w:t>
      </w:r>
    </w:p>
    <w:p w14:paraId="35CB1D09" w14:textId="77777777" w:rsidR="0087630B" w:rsidRPr="005E779E" w:rsidRDefault="0087630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Оформить загранпаспорта команди</w:t>
      </w:r>
      <w:r w:rsidRPr="005E779E">
        <w:rPr>
          <w:rFonts w:ascii="Times New Roman" w:hAnsi="Times New Roman"/>
          <w:color w:val="000000" w:themeColor="text1"/>
          <w:sz w:val="16"/>
          <w:szCs w:val="16"/>
        </w:rPr>
        <w:softHyphen/>
        <w:t>руемых лётчиков, техников и летнаба сро</w:t>
      </w:r>
      <w:r w:rsidRPr="005E779E">
        <w:rPr>
          <w:rFonts w:ascii="Times New Roman" w:hAnsi="Times New Roman"/>
          <w:color w:val="000000" w:themeColor="text1"/>
          <w:sz w:val="16"/>
          <w:szCs w:val="16"/>
        </w:rPr>
        <w:softHyphen/>
        <w:t>ком командировки на 1,5 месяца.</w:t>
      </w:r>
    </w:p>
    <w:p w14:paraId="4C25C0C1" w14:textId="77777777" w:rsidR="0087630B" w:rsidRPr="005E779E" w:rsidRDefault="0087630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Самолёты У-2, моторы М-11 и М-22 Вам будут возмещены заводами в текущем операционном году. Стоимость авиабомб, самолётов Р-1 и остального имущества будет оплачена нами по предоставлению счетов. Расходы по командировке лётчиков оплачиваются Вами» (15802).</w:t>
      </w:r>
    </w:p>
    <w:p w14:paraId="5F6087D3" w14:textId="77777777" w:rsidR="0087630B" w:rsidRPr="005E779E" w:rsidRDefault="0087630B" w:rsidP="000B7A6C">
      <w:pPr>
        <w:spacing w:after="0" w:line="240" w:lineRule="auto"/>
        <w:jc w:val="both"/>
        <w:rPr>
          <w:rFonts w:ascii="Times New Roman" w:hAnsi="Times New Roman"/>
          <w:color w:val="000000" w:themeColor="text1"/>
          <w:sz w:val="16"/>
          <w:szCs w:val="16"/>
        </w:rPr>
      </w:pPr>
    </w:p>
    <w:p w14:paraId="154790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1931 г. силы Надир-шаха во главе с его министром обороны Шах Махмудом были направлены в северные районы страны, где на советско-афганской границе они совместно с частями Красной Армии полностью уничтожили последние вооруженные формирования басмачей. Последний из басмаческих командиров Ибрагим-бек, вторгшийся на советскую территорию из Афганистана в 1931 г., терпел одно поражение за другим и в конце концов был вынужден сдаться советским властям. В 1932 г. он был казнен по решению органов ОГПУ (3871).</w:t>
      </w:r>
    </w:p>
    <w:p w14:paraId="756F34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6464E6F"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123BDF34"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DEE90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1931 года дирижабль «Акрон» налетал почти 300 часов, из которых 46 пришлись на определение дальности полета. С этой целью был совершен полет от Акрона, через южную часть США, до Мобиле в штате Алабама и обратно по долинам рек Миссисипи и Огайо (11324).</w:t>
      </w:r>
    </w:p>
    <w:p w14:paraId="64278A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C05A9B3" w14:textId="77777777" w:rsidR="00EE11B9" w:rsidRPr="005E779E" w:rsidRDefault="00EE11B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конце 1931 года Кристи создал улучшенную модель М1931, в котором он попытался избавиться от большей части недостатков. Конструкция корпуса подверглась небольшим изменениям – была немного уменьшена его высота и переделана кормовая часть. Появилась цилиндрическая одноместная башня с 37-мм орудием и небольшой командирской башенкой. </w:t>
      </w:r>
    </w:p>
    <w:p w14:paraId="604C2B31" w14:textId="77777777" w:rsidR="00EE11B9" w:rsidRPr="005E779E" w:rsidRDefault="00EE11B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Ходовая часть танка подверглась частичным доработкам. Она состояла из восьми опорных обрезиненных колес диаметром 686 мм установленных на качающихся рычагах с длинными геликоидальными пружинами, обеспечивавшими колесу вертикальный ход до 40,65 см. Таким образом, каждое колесо могло подниматься до </w:t>
      </w:r>
      <w:r w:rsidRPr="005E779E">
        <w:rPr>
          <w:rFonts w:ascii="Times New Roman" w:hAnsi="Times New Roman"/>
          <w:color w:val="000000" w:themeColor="text1"/>
          <w:sz w:val="16"/>
          <w:szCs w:val="16"/>
        </w:rPr>
        <w:lastRenderedPageBreak/>
        <w:t>уровня днища танка, что обеспечивало ему очень высокую проходимость. Гусеницы Т3 состояли из стальных пластин площадью около 645 см.кв. Время перехода с колес на гусеницы увеличилось до 30 минут, при том, что принцип смены хода не менялся (17214).</w:t>
      </w:r>
    </w:p>
    <w:p w14:paraId="6521D79B" w14:textId="77777777" w:rsidR="00EE11B9" w:rsidRPr="005E779E" w:rsidRDefault="00EE11B9" w:rsidP="000B7A6C">
      <w:pPr>
        <w:spacing w:after="0" w:line="240" w:lineRule="auto"/>
        <w:jc w:val="both"/>
        <w:rPr>
          <w:rFonts w:ascii="Times New Roman" w:hAnsi="Times New Roman"/>
          <w:color w:val="000000" w:themeColor="text1"/>
          <w:sz w:val="16"/>
          <w:szCs w:val="16"/>
        </w:rPr>
      </w:pPr>
    </w:p>
    <w:p w14:paraId="44B64297" w14:textId="6804F28E" w:rsidR="00BA4689" w:rsidRPr="005E779E" w:rsidRDefault="00BA468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 конца 1931 г. на берлинском ракетодроме в Тегеле осуществили 87 пусков ракет и 270 запусков двигателей на стенде. На первый взгляд, дела шли прекрасно. Однако финансирование сокращалось, общественная поддержка угасала, между членами ОМП возникали конфликты по вопросу расходования средств. После каждого запуска двигателя или полета ракеты Небель со всей компанией совместно решали, что делать дальше. Они так и остались любителями, увлеченными своим делом, но не представлявшими, как надо развивать конструкцию ракет. Оберт мог бы спланировать этот процесс, но он жил в Румынии и не всегда отвечал на письма Небеля. Без внедрения систем управления дальнейшие эксперименты не имели смысла. Удалось добиться лишь того, что ракеты после остановки двигателя опускались на парашюте, однако высота подъема была невелика. Большое число экспериментов в</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сочетаниии с</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 xml:space="preserve">ничтожными результатами говорит само за себя (23372). </w:t>
      </w:r>
    </w:p>
    <w:p w14:paraId="1F256ACE" w14:textId="77777777" w:rsidR="00BA4689" w:rsidRPr="005E779E" w:rsidRDefault="00BA4689" w:rsidP="000B7A6C">
      <w:pPr>
        <w:spacing w:after="0" w:line="240" w:lineRule="auto"/>
        <w:jc w:val="both"/>
        <w:rPr>
          <w:rFonts w:ascii="Times New Roman" w:hAnsi="Times New Roman"/>
          <w:color w:val="000000" w:themeColor="text1"/>
          <w:sz w:val="16"/>
          <w:szCs w:val="16"/>
        </w:rPr>
      </w:pPr>
    </w:p>
    <w:p w14:paraId="797F3367" w14:textId="6D75A6E6" w:rsidR="00BA4689" w:rsidRPr="005E779E" w:rsidRDefault="00BA4689"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1931 г. двое офицеров (капитаны Дорнбергер и фон Хортстиг) явились на «ракетодром» в военной форме — с официальным визитом. Небель рассказал им о</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достигнутых успехах, продемонстрировал «Репульсор» последнего образца и предложил устроить показательный запуск (23372).</w:t>
      </w:r>
    </w:p>
    <w:p w14:paraId="1FE3FD11" w14:textId="77777777" w:rsidR="00BA4689" w:rsidRPr="005E779E" w:rsidRDefault="00BA4689" w:rsidP="000B7A6C">
      <w:pPr>
        <w:spacing w:after="0" w:line="240" w:lineRule="auto"/>
        <w:jc w:val="both"/>
        <w:rPr>
          <w:rFonts w:ascii="Times New Roman" w:hAnsi="Times New Roman"/>
          <w:color w:val="000000" w:themeColor="text1"/>
          <w:sz w:val="16"/>
          <w:szCs w:val="16"/>
        </w:rPr>
      </w:pPr>
    </w:p>
    <w:p w14:paraId="5E5949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1931 началась агрессия Японии против Северных провинций Китая (2908,32).</w:t>
      </w:r>
    </w:p>
    <w:p w14:paraId="225AE9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4BB91AA"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7ACFDDE7"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380DB2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1931 - начале 1932 гг. мо</w:t>
      </w:r>
      <w:r w:rsidRPr="005E779E">
        <w:rPr>
          <w:rFonts w:ascii="Times New Roman" w:hAnsi="Times New Roman"/>
          <w:color w:val="000000" w:themeColor="text1"/>
          <w:sz w:val="16"/>
          <w:szCs w:val="16"/>
        </w:rPr>
        <w:softHyphen/>
        <w:t>тор М-34 был передан в серийное про</w:t>
      </w:r>
      <w:r w:rsidRPr="005E779E">
        <w:rPr>
          <w:rFonts w:ascii="Times New Roman" w:hAnsi="Times New Roman"/>
          <w:color w:val="000000" w:themeColor="text1"/>
          <w:sz w:val="16"/>
          <w:szCs w:val="16"/>
        </w:rPr>
        <w:softHyphen/>
        <w:t>изводство на московский завод № 24. Для расширения производства потре</w:t>
      </w:r>
      <w:r w:rsidRPr="005E779E">
        <w:rPr>
          <w:rFonts w:ascii="Times New Roman" w:hAnsi="Times New Roman"/>
          <w:color w:val="000000" w:themeColor="text1"/>
          <w:sz w:val="16"/>
          <w:szCs w:val="16"/>
        </w:rPr>
        <w:softHyphen/>
        <w:t>бовалась коренная реконструкция предприятия. На стройке многие тыся</w:t>
      </w:r>
      <w:r w:rsidRPr="005E779E">
        <w:rPr>
          <w:rFonts w:ascii="Times New Roman" w:hAnsi="Times New Roman"/>
          <w:color w:val="000000" w:themeColor="text1"/>
          <w:sz w:val="16"/>
          <w:szCs w:val="16"/>
        </w:rPr>
        <w:softHyphen/>
        <w:t>чи людей работали в три смены. Если до реконструкции завода на двух тер</w:t>
      </w:r>
      <w:r w:rsidRPr="005E779E">
        <w:rPr>
          <w:rFonts w:ascii="Times New Roman" w:hAnsi="Times New Roman"/>
          <w:color w:val="000000" w:themeColor="text1"/>
          <w:sz w:val="16"/>
          <w:szCs w:val="16"/>
        </w:rPr>
        <w:softHyphen/>
        <w:t>риториях работало около тысячи чело</w:t>
      </w:r>
      <w:r w:rsidRPr="005E779E">
        <w:rPr>
          <w:rFonts w:ascii="Times New Roman" w:hAnsi="Times New Roman"/>
          <w:color w:val="000000" w:themeColor="text1"/>
          <w:sz w:val="16"/>
          <w:szCs w:val="16"/>
        </w:rPr>
        <w:softHyphen/>
        <w:t>век, то после реконструкции числен</w:t>
      </w:r>
      <w:r w:rsidRPr="005E779E">
        <w:rPr>
          <w:rFonts w:ascii="Times New Roman" w:hAnsi="Times New Roman"/>
          <w:color w:val="000000" w:themeColor="text1"/>
          <w:sz w:val="16"/>
          <w:szCs w:val="16"/>
        </w:rPr>
        <w:softHyphen/>
        <w:t>ность персонала возросла до 10 000 работников. Завод нуждался в сотнях токарей, фрезеровщиков, шлифовщи</w:t>
      </w:r>
      <w:r w:rsidRPr="005E779E">
        <w:rPr>
          <w:rFonts w:ascii="Times New Roman" w:hAnsi="Times New Roman"/>
          <w:color w:val="000000" w:themeColor="text1"/>
          <w:sz w:val="16"/>
          <w:szCs w:val="16"/>
        </w:rPr>
        <w:softHyphen/>
        <w:t>ков, литейщиков и т.п. Единственным способом получения таких работников был длительный, сопряженный с огром</w:t>
      </w:r>
      <w:r w:rsidRPr="005E779E">
        <w:rPr>
          <w:rFonts w:ascii="Times New Roman" w:hAnsi="Times New Roman"/>
          <w:color w:val="000000" w:themeColor="text1"/>
          <w:sz w:val="16"/>
          <w:szCs w:val="16"/>
        </w:rPr>
        <w:softHyphen/>
        <w:t>ными затратами времени и средств, про</w:t>
      </w:r>
      <w:r w:rsidRPr="005E779E">
        <w:rPr>
          <w:rFonts w:ascii="Times New Roman" w:hAnsi="Times New Roman"/>
          <w:color w:val="000000" w:themeColor="text1"/>
          <w:sz w:val="16"/>
          <w:szCs w:val="16"/>
        </w:rPr>
        <w:softHyphen/>
        <w:t>цесс подготовки молодежи в фабрич</w:t>
      </w:r>
      <w:r w:rsidRPr="005E779E">
        <w:rPr>
          <w:rFonts w:ascii="Times New Roman" w:hAnsi="Times New Roman"/>
          <w:color w:val="000000" w:themeColor="text1"/>
          <w:sz w:val="16"/>
          <w:szCs w:val="16"/>
        </w:rPr>
        <w:softHyphen/>
        <w:t>но-заводских училищах.</w:t>
      </w:r>
    </w:p>
    <w:p w14:paraId="516376B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Поскольку новые корпуса еще только строились, пришлось первые мощные советские моторы изготавли</w:t>
      </w:r>
      <w:r w:rsidRPr="005E779E">
        <w:rPr>
          <w:rFonts w:ascii="Times New Roman" w:hAnsi="Times New Roman"/>
          <w:color w:val="000000" w:themeColor="text1"/>
          <w:sz w:val="16"/>
          <w:szCs w:val="16"/>
        </w:rPr>
        <w:softHyphen/>
        <w:t>вать и собирать в старых цехах. Дви</w:t>
      </w:r>
      <w:r w:rsidRPr="005E779E">
        <w:rPr>
          <w:rFonts w:ascii="Times New Roman" w:hAnsi="Times New Roman"/>
          <w:color w:val="000000" w:themeColor="text1"/>
          <w:sz w:val="16"/>
          <w:szCs w:val="16"/>
        </w:rPr>
        <w:softHyphen/>
        <w:t>гатели, изготовленные на заводе № 24, было решено поставить на испытания и обязательно запустить к 1 мая 1932 г. Работникам завода пришлось при</w:t>
      </w:r>
      <w:r w:rsidRPr="005E779E">
        <w:rPr>
          <w:rFonts w:ascii="Times New Roman" w:hAnsi="Times New Roman"/>
          <w:color w:val="000000" w:themeColor="text1"/>
          <w:sz w:val="16"/>
          <w:szCs w:val="16"/>
        </w:rPr>
        <w:softHyphen/>
        <w:t>ложить все силы, чтобы в срок выпол</w:t>
      </w:r>
      <w:r w:rsidRPr="005E779E">
        <w:rPr>
          <w:rFonts w:ascii="Times New Roman" w:hAnsi="Times New Roman"/>
          <w:color w:val="000000" w:themeColor="text1"/>
          <w:sz w:val="16"/>
          <w:szCs w:val="16"/>
        </w:rPr>
        <w:softHyphen/>
        <w:t>нить это задание. Рано утром, когда праздничная колонна заводских ра</w:t>
      </w:r>
      <w:r w:rsidRPr="005E779E">
        <w:rPr>
          <w:rFonts w:ascii="Times New Roman" w:hAnsi="Times New Roman"/>
          <w:color w:val="000000" w:themeColor="text1"/>
          <w:sz w:val="16"/>
          <w:szCs w:val="16"/>
        </w:rPr>
        <w:softHyphen/>
        <w:t>ботников уже стала покидать терри</w:t>
      </w:r>
      <w:r w:rsidRPr="005E779E">
        <w:rPr>
          <w:rFonts w:ascii="Times New Roman" w:hAnsi="Times New Roman"/>
          <w:color w:val="000000" w:themeColor="text1"/>
          <w:sz w:val="16"/>
          <w:szCs w:val="16"/>
        </w:rPr>
        <w:softHyphen/>
        <w:t>торию завода, раздался рев авиамото</w:t>
      </w:r>
      <w:r w:rsidRPr="005E779E">
        <w:rPr>
          <w:rFonts w:ascii="Times New Roman" w:hAnsi="Times New Roman"/>
          <w:color w:val="000000" w:themeColor="text1"/>
          <w:sz w:val="16"/>
          <w:szCs w:val="16"/>
        </w:rPr>
        <w:softHyphen/>
        <w:t>ра - так заявил о своем рождении но</w:t>
      </w:r>
      <w:r w:rsidRPr="005E779E">
        <w:rPr>
          <w:rFonts w:ascii="Times New Roman" w:hAnsi="Times New Roman"/>
          <w:color w:val="000000" w:themeColor="text1"/>
          <w:sz w:val="16"/>
          <w:szCs w:val="16"/>
        </w:rPr>
        <w:softHyphen/>
        <w:t>вый двигатель. Постановлением Пре</w:t>
      </w:r>
      <w:r w:rsidRPr="005E779E">
        <w:rPr>
          <w:rFonts w:ascii="Times New Roman" w:hAnsi="Times New Roman"/>
          <w:color w:val="000000" w:themeColor="text1"/>
          <w:sz w:val="16"/>
          <w:szCs w:val="16"/>
        </w:rPr>
        <w:softHyphen/>
        <w:t>зидиума ЦИК СССР от 21 февраля 1933 г. «за ценные изобретения и конструк</w:t>
      </w:r>
      <w:r w:rsidRPr="005E779E">
        <w:rPr>
          <w:rFonts w:ascii="Times New Roman" w:hAnsi="Times New Roman"/>
          <w:color w:val="000000" w:themeColor="text1"/>
          <w:sz w:val="16"/>
          <w:szCs w:val="16"/>
        </w:rPr>
        <w:softHyphen/>
        <w:t>ции в технике РККА» А.А. Микулин был награжден орденом Красной Звезды (11156).</w:t>
      </w:r>
    </w:p>
    <w:p w14:paraId="6FCD989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6340A7" w14:textId="77777777" w:rsidR="000924C2" w:rsidRPr="005E779E" w:rsidRDefault="000924C2"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1931 - начале 1932 гг. мотор М-34 был передан в серийное производство на московский завод № 24. Для расширения производства потребовалась коренная реконструкция предприятия. На стройке многие тысячи людей работали в три смены. Если до реконструкции завода на двух территориях работало около тысячи человек, то после реконструкции численность персонала возросла до 10 000 работников. Завод нуждался в сотнях токарей, фрезеровщиков, шлифовщиков, литейщиков и т.п. Единственным способом получения таких работников был длительный, сопряженный с огромными затратами времени и средств, процесс подготовки молодежи в фабрично-заводских училищах. Поскольку новые корпуса еще только строились, пришлось первые мощные советские моторы изготавливать и собирать в старых цехах. Двигатели, изготовленные на заводе № 24, было решено поставить на испытания и обязательно запустить к 1 мая 1932 г. Работникам завода пришлось приложить все силы, чтобы в срок выполнить это задание. Рано утром, когда праздничная колонна заводских работников уже стала покидать территорию завода, раздался рев авиамотора - так заявил о своем рождении новый двигатель (19015).</w:t>
      </w:r>
    </w:p>
    <w:p w14:paraId="23B42D3F" w14:textId="77777777" w:rsidR="000924C2" w:rsidRPr="005E779E" w:rsidRDefault="000924C2" w:rsidP="000B7A6C">
      <w:pPr>
        <w:spacing w:after="0" w:line="240" w:lineRule="auto"/>
        <w:jc w:val="both"/>
        <w:rPr>
          <w:rFonts w:ascii="Times New Roman" w:hAnsi="Times New Roman"/>
          <w:color w:val="000000" w:themeColor="text1"/>
          <w:sz w:val="16"/>
          <w:szCs w:val="16"/>
        </w:rPr>
      </w:pPr>
    </w:p>
    <w:p w14:paraId="523896EA"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60025E5B"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5EAB0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конце 1931 - начале 1932 гг. был разработан танк, получивший название Д-38. Ведущим инженером машины был Н. Гуленко. В январе 1932 г. был изготовлен опытный образец, причем гусеницы на нем были заимствованы от второго закупленного танка «Кристи» М.1940, который находился в бюро на исследовании. Машина отличалась от серийного танка БТ-2 установкой вооружения и конструктивными изменениями корпуса, связанными с установкой новой башни. Были разработаны два варианта башни: сварная из плоских броневых листов и куполообразная, штампованная. </w:t>
      </w:r>
    </w:p>
    <w:p w14:paraId="27862B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качестве основного оружия на машине, согласно техническому проекту, предполагалось установить две пушки: 37-мм танковую и 76,2-мм противоштурмовую пушку «Гарфорда». Однако, в ходе опытно-конструкторских работ был изготовлен деревянный макет башни с установкой одной 76,2-мм противоштурмовой пушки. В отличие от макета, на опытном образце танка была использована 76,2-мм пушка ПС-3 (полковая пушка обр. 1927 г. с укороченным откатом), которая устанавливалась в цапфах на станине, приваренной к башне и имела максимальный угол возвышения 25°. Для ведения прицельной стрельбы использовался удлиненный телескопический танковый прицел обр. 1930 г., для которого в броне башни было сделано специальное окно. Подъемный механизм был сохранен от полковой пушки. Бронировка орудия на машине не устанавливалась. Справа от пушки автономно размещался 7,62-мм пулемет ДТ. </w:t>
      </w:r>
    </w:p>
    <w:p w14:paraId="6141F3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Боекомплект машины состоял из 50 выстрелов к пушке и 2700 патронов к пулемету. 25 марта 1932 году пушка ПС-3, установленная в башне конструкции Дыренкова на танке БТ, была испытана стрельбой. Стрельба из орудия производилась при закрепленной в определенном направлении башни. Всего было сделано 50 выстрелов, причем 9 из них - при незакрепленном положении башни. Танк боевой массой 11,5 т развивал максимальную скорость движения на колесном ходу до 90 км/ч, на гусеницах - до 60 км/ч и имел запас хода по шоссе соответственно 200 и 120 км (11715).</w:t>
      </w:r>
    </w:p>
    <w:p w14:paraId="3A256F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927CAFF" w14:textId="77777777" w:rsidR="005C4849" w:rsidRPr="005E779E" w:rsidRDefault="00874B1E" w:rsidP="000B7A6C">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16A37FD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196B2C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Конец 1931 - начало 1932 - первая междугородная экспериментальная передача механического ТВ по кабелю и воздушной бронзовой линии на шлейфе Москва – Бологое - Москва. Корректировка затухания линий в полосе 7000 Гц проводилась с помощью срезывающих контуров (11482).</w:t>
      </w:r>
    </w:p>
    <w:p w14:paraId="3FA9213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F41541" w14:textId="7BB0216B" w:rsidR="00FD1BA1" w:rsidRPr="005E779E" w:rsidRDefault="00FD1BA1" w:rsidP="000B7A6C">
      <w:pPr>
        <w:autoSpaceDE w:val="0"/>
        <w:autoSpaceDN w:val="0"/>
        <w:adjustRightInd w:val="0"/>
        <w:spacing w:after="0" w:line="240" w:lineRule="auto"/>
        <w:jc w:val="both"/>
        <w:rPr>
          <w:rFonts w:ascii="Times New Roman" w:hAnsi="Times New Roman"/>
          <w:i/>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4F7D68D1" w14:textId="77777777" w:rsidR="00FD1BA1" w:rsidRPr="005E779E" w:rsidRDefault="00FD1BA1" w:rsidP="000B7A6C">
      <w:pPr>
        <w:autoSpaceDE w:val="0"/>
        <w:autoSpaceDN w:val="0"/>
        <w:adjustRightInd w:val="0"/>
        <w:spacing w:after="0" w:line="240" w:lineRule="auto"/>
        <w:jc w:val="both"/>
        <w:rPr>
          <w:rFonts w:ascii="Times New Roman" w:hAnsi="Times New Roman"/>
          <w:i/>
          <w:iCs/>
          <w:color w:val="000000" w:themeColor="text1"/>
          <w:sz w:val="16"/>
          <w:szCs w:val="16"/>
        </w:rPr>
      </w:pPr>
    </w:p>
    <w:p w14:paraId="192AF8DD" w14:textId="77777777" w:rsidR="00FD1BA1" w:rsidRPr="005E779E" w:rsidRDefault="00FD1BA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ходе зимы 1931/32 г. после первых испытаний вся система СЗ-1 Вахмистрова подверглась значительным дора</w:t>
      </w:r>
      <w:r w:rsidRPr="005E779E">
        <w:rPr>
          <w:rFonts w:ascii="Times New Roman" w:hAnsi="Times New Roman"/>
          <w:color w:val="000000" w:themeColor="text1"/>
          <w:sz w:val="16"/>
          <w:szCs w:val="16"/>
        </w:rPr>
        <w:softHyphen/>
        <w:t>боткам. С помощью инженеров ЦАГИ Петлякова, Беляева, Привен, Никитенко и Фомина были прове</w:t>
      </w:r>
      <w:r w:rsidRPr="005E779E">
        <w:rPr>
          <w:rFonts w:ascii="Times New Roman" w:hAnsi="Times New Roman"/>
          <w:color w:val="000000" w:themeColor="text1"/>
          <w:sz w:val="16"/>
          <w:szCs w:val="16"/>
        </w:rPr>
        <w:softHyphen/>
        <w:t>дены дополнительные расчеты прочности крыла с целью повысить эффективность и надежность рабо</w:t>
      </w:r>
      <w:r w:rsidRPr="005E779E">
        <w:rPr>
          <w:rFonts w:ascii="Times New Roman" w:hAnsi="Times New Roman"/>
          <w:color w:val="000000" w:themeColor="text1"/>
          <w:sz w:val="16"/>
          <w:szCs w:val="16"/>
        </w:rPr>
        <w:softHyphen/>
        <w:t>ты соединенных самолетов. В последующем для уве</w:t>
      </w:r>
      <w:r w:rsidRPr="005E779E">
        <w:rPr>
          <w:rFonts w:ascii="Times New Roman" w:hAnsi="Times New Roman"/>
          <w:color w:val="000000" w:themeColor="text1"/>
          <w:sz w:val="16"/>
          <w:szCs w:val="16"/>
        </w:rPr>
        <w:softHyphen/>
        <w:t>личения взлетного веса СЗ-1 на основных стойках шасси ТБ-1 с внешней их стороны оборудовали до</w:t>
      </w:r>
      <w:r w:rsidRPr="005E779E">
        <w:rPr>
          <w:rFonts w:ascii="Times New Roman" w:hAnsi="Times New Roman"/>
          <w:color w:val="000000" w:themeColor="text1"/>
          <w:sz w:val="16"/>
          <w:szCs w:val="16"/>
        </w:rPr>
        <w:softHyphen/>
        <w:t>полнительную амортизационную стойку от самолета АНТ-9. Лонжерон крыла носителя в районе крепле</w:t>
      </w:r>
      <w:r w:rsidRPr="005E779E">
        <w:rPr>
          <w:rFonts w:ascii="Times New Roman" w:hAnsi="Times New Roman"/>
          <w:color w:val="000000" w:themeColor="text1"/>
          <w:sz w:val="16"/>
          <w:szCs w:val="16"/>
        </w:rPr>
        <w:softHyphen/>
        <w:t>ния этой стойки усилили дополнительным внутрен</w:t>
      </w:r>
      <w:r w:rsidRPr="005E779E">
        <w:rPr>
          <w:rFonts w:ascii="Times New Roman" w:hAnsi="Times New Roman"/>
          <w:color w:val="000000" w:themeColor="text1"/>
          <w:sz w:val="16"/>
          <w:szCs w:val="16"/>
        </w:rPr>
        <w:softHyphen/>
        <w:t>ним подкосом. Кроме того, на ТБ-1 установили уве</w:t>
      </w:r>
      <w:r w:rsidRPr="005E779E">
        <w:rPr>
          <w:rFonts w:ascii="Times New Roman" w:hAnsi="Times New Roman"/>
          <w:color w:val="000000" w:themeColor="text1"/>
          <w:sz w:val="16"/>
          <w:szCs w:val="16"/>
        </w:rPr>
        <w:softHyphen/>
        <w:t>личенные колеса размером 1350х300 мм вместо прежних, размером 1250х250 мм. Одновременно, с учетом первого испытания, доработали замки креп</w:t>
      </w:r>
      <w:r w:rsidRPr="005E779E">
        <w:rPr>
          <w:rFonts w:ascii="Times New Roman" w:hAnsi="Times New Roman"/>
          <w:color w:val="000000" w:themeColor="text1"/>
          <w:sz w:val="16"/>
          <w:szCs w:val="16"/>
        </w:rPr>
        <w:softHyphen/>
        <w:t>ления И-4 и механизм их расцепления. Третья пира</w:t>
      </w:r>
      <w:r w:rsidRPr="005E779E">
        <w:rPr>
          <w:rFonts w:ascii="Times New Roman" w:hAnsi="Times New Roman"/>
          <w:color w:val="000000" w:themeColor="text1"/>
          <w:sz w:val="16"/>
          <w:szCs w:val="16"/>
        </w:rPr>
        <w:softHyphen/>
        <w:t>мида, закрепляющая фюзеляж истребителей, теперь шарнирно крепилась на крыле ТБ-1.</w:t>
      </w:r>
    </w:p>
    <w:p w14:paraId="2099EF15" w14:textId="77777777" w:rsidR="00FD1BA1" w:rsidRPr="005E779E" w:rsidRDefault="00FD1BA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открытия замка на фюзеляже пилот истре</w:t>
      </w:r>
      <w:r w:rsidRPr="005E779E">
        <w:rPr>
          <w:rFonts w:ascii="Times New Roman" w:hAnsi="Times New Roman"/>
          <w:color w:val="000000" w:themeColor="text1"/>
          <w:sz w:val="16"/>
          <w:szCs w:val="16"/>
        </w:rPr>
        <w:softHyphen/>
        <w:t>бителя давал ручку управления от себя, задняя пира</w:t>
      </w:r>
      <w:r w:rsidRPr="005E779E">
        <w:rPr>
          <w:rFonts w:ascii="Times New Roman" w:hAnsi="Times New Roman"/>
          <w:color w:val="000000" w:themeColor="text1"/>
          <w:sz w:val="16"/>
          <w:szCs w:val="16"/>
        </w:rPr>
        <w:softHyphen/>
        <w:t>мида окончательно освобождалась и откидывалась назад. Затем следовало движение ручки управления на себя, передние замки выходили из фасонного за</w:t>
      </w:r>
      <w:r w:rsidRPr="005E779E">
        <w:rPr>
          <w:rFonts w:ascii="Times New Roman" w:hAnsi="Times New Roman"/>
          <w:color w:val="000000" w:themeColor="text1"/>
          <w:sz w:val="16"/>
          <w:szCs w:val="16"/>
        </w:rPr>
        <w:softHyphen/>
        <w:t>цепления, и самолет отрывался от крыла ТБ-1.</w:t>
      </w:r>
    </w:p>
    <w:p w14:paraId="4C75C654" w14:textId="77777777" w:rsidR="00FD1BA1" w:rsidRPr="005E779E" w:rsidRDefault="00FD1BA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увеличения дальности полета «самолета-звена» в бомбоотсеке ТБ-1 установили дополнительные топливные баки (два по 450 л, два по 140 л и еще два запасных бачка на 65 литров), объединенные с ос</w:t>
      </w:r>
      <w:r w:rsidRPr="005E779E">
        <w:rPr>
          <w:rFonts w:ascii="Times New Roman" w:hAnsi="Times New Roman"/>
          <w:color w:val="000000" w:themeColor="text1"/>
          <w:sz w:val="16"/>
          <w:szCs w:val="16"/>
        </w:rPr>
        <w:softHyphen/>
        <w:t>тальным запасом горючего в единую магистраль. Из этой общей системы были проведены бензопроводы питающие истребители. По мере расходования на них топлива из бортового бака бортмеханик самоле</w:t>
      </w:r>
      <w:r w:rsidRPr="005E779E">
        <w:rPr>
          <w:rFonts w:ascii="Times New Roman" w:hAnsi="Times New Roman"/>
          <w:color w:val="000000" w:themeColor="text1"/>
          <w:sz w:val="16"/>
          <w:szCs w:val="16"/>
        </w:rPr>
        <w:softHyphen/>
        <w:t>та-носителя насосом подкачивал бензин в баки И-4. Кроме того, И-4 оборудовали двумя дополнительны</w:t>
      </w:r>
      <w:r w:rsidRPr="005E779E">
        <w:rPr>
          <w:rFonts w:ascii="Times New Roman" w:hAnsi="Times New Roman"/>
          <w:color w:val="000000" w:themeColor="text1"/>
          <w:sz w:val="16"/>
          <w:szCs w:val="16"/>
        </w:rPr>
        <w:softHyphen/>
        <w:t>ми масляными баками по 12,5 л и указателем уровня топлива.</w:t>
      </w:r>
    </w:p>
    <w:p w14:paraId="5D466C37" w14:textId="77777777" w:rsidR="00FD1BA1" w:rsidRPr="005E779E" w:rsidRDefault="00FD1BA1"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перечисленных доработок вес пустого ТБ-1 составил 4602 кг. По сравнению со стандартным ТБ-1, вес пустого самолета увеличился на 177 кг. Увеличение веса за счет установки пирамид крепле</w:t>
      </w:r>
      <w:r w:rsidRPr="005E779E">
        <w:rPr>
          <w:rFonts w:ascii="Times New Roman" w:hAnsi="Times New Roman"/>
          <w:color w:val="000000" w:themeColor="text1"/>
          <w:sz w:val="16"/>
          <w:szCs w:val="16"/>
        </w:rPr>
        <w:softHyphen/>
        <w:t>ния истребителей, дополнительных баков и усиления шасси составило 245 кг, однако это значение удалось уменьшить на 68 кг за счет снятия кассетных бомбо</w:t>
      </w:r>
      <w:r w:rsidRPr="005E779E">
        <w:rPr>
          <w:rFonts w:ascii="Times New Roman" w:hAnsi="Times New Roman"/>
          <w:color w:val="000000" w:themeColor="text1"/>
          <w:sz w:val="16"/>
          <w:szCs w:val="16"/>
        </w:rPr>
        <w:softHyphen/>
        <w:t>держателей Дер-9. Вес каждого пустого И-4 умень</w:t>
      </w:r>
      <w:r w:rsidRPr="005E779E">
        <w:rPr>
          <w:rFonts w:ascii="Times New Roman" w:hAnsi="Times New Roman"/>
          <w:color w:val="000000" w:themeColor="text1"/>
          <w:sz w:val="16"/>
          <w:szCs w:val="16"/>
        </w:rPr>
        <w:softHyphen/>
        <w:t>шился на 10 кг и составил 965 кг (снятые нижние крылышки дали экономию 20 кг, однако это значение сократилось за счет дополнительных маслобаков и узлов крепления на 10 кг). Нормальный полетный вес СЗ-1 составил 10 500 кг — ТБ-1 с экипажем и за</w:t>
      </w:r>
      <w:r w:rsidRPr="005E779E">
        <w:rPr>
          <w:rFonts w:ascii="Times New Roman" w:hAnsi="Times New Roman"/>
          <w:color w:val="000000" w:themeColor="text1"/>
          <w:sz w:val="16"/>
          <w:szCs w:val="16"/>
        </w:rPr>
        <w:softHyphen/>
        <w:t>пасом бензина 1625 кг весил 7453 кг, плюс два И-4 со взлетным весом 1518 кг. При максимальном запа</w:t>
      </w:r>
      <w:r w:rsidRPr="005E779E">
        <w:rPr>
          <w:rFonts w:ascii="Times New Roman" w:hAnsi="Times New Roman"/>
          <w:color w:val="000000" w:themeColor="text1"/>
          <w:sz w:val="16"/>
          <w:szCs w:val="16"/>
        </w:rPr>
        <w:softHyphen/>
        <w:t>се бензина 2625 кг и 1000 кг бомб максимальный по</w:t>
      </w:r>
      <w:r w:rsidRPr="005E779E">
        <w:rPr>
          <w:rFonts w:ascii="Times New Roman" w:hAnsi="Times New Roman"/>
          <w:color w:val="000000" w:themeColor="text1"/>
          <w:sz w:val="16"/>
          <w:szCs w:val="16"/>
        </w:rPr>
        <w:softHyphen/>
        <w:t>летный вес СЗ-1 составил 12 500 кг (23378).</w:t>
      </w:r>
    </w:p>
    <w:p w14:paraId="71B262CD" w14:textId="77777777" w:rsidR="00FD1BA1" w:rsidRPr="005E779E" w:rsidRDefault="00FD1BA1" w:rsidP="000B7A6C">
      <w:pPr>
        <w:spacing w:after="0" w:line="240" w:lineRule="auto"/>
        <w:jc w:val="both"/>
        <w:rPr>
          <w:rFonts w:ascii="Times New Roman" w:hAnsi="Times New Roman"/>
          <w:color w:val="000000" w:themeColor="text1"/>
          <w:sz w:val="16"/>
          <w:szCs w:val="16"/>
        </w:rPr>
      </w:pPr>
    </w:p>
    <w:p w14:paraId="566B8C13" w14:textId="62E03C7D" w:rsidR="00496ABD"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76E999FA" w14:textId="77777777" w:rsidR="00496ABD" w:rsidRPr="005E779E" w:rsidRDefault="00496ABD"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7AC50D4B" w14:textId="77777777" w:rsidR="00496ABD" w:rsidRPr="005E779E" w:rsidRDefault="00496A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Зимой 1931 - 1932 годов на построенные к тому времени следующие экземпляры ЯГ-10 попробовали установить повышавшие проходимость съемные гусеничные цепи «Оверол» (Оverall) (12201).</w:t>
      </w:r>
    </w:p>
    <w:p w14:paraId="749BF1A6" w14:textId="77777777" w:rsidR="00496ABD" w:rsidRPr="005E779E" w:rsidRDefault="00496ABD" w:rsidP="000B7A6C">
      <w:pPr>
        <w:spacing w:after="0" w:line="240" w:lineRule="auto"/>
        <w:jc w:val="both"/>
        <w:rPr>
          <w:rFonts w:ascii="Times New Roman" w:hAnsi="Times New Roman"/>
          <w:color w:val="000000" w:themeColor="text1"/>
          <w:sz w:val="16"/>
          <w:szCs w:val="16"/>
        </w:rPr>
      </w:pPr>
    </w:p>
    <w:p w14:paraId="1D9273CE"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16715B1D"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5C120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 второй половине 1931 года относится первое упоминание о самолете, ставшем впоследствии известным как бомбардировщик Пе-8. Определенные успехи в деле создания отечественных мощных авиадвигателей уже тогда позволили командованию ВВС Красной Армии задуматься о новом бомбардировщике с более высокими летными данными, чем только что запушенный в серийное производство ТБ-3. Полетная скорость последнего в пределах 200 км/ч и рабочие высоты, не превышающие пяти километров, казались уже пройденным этапом - технический прогресс требовал достижения более высоких показателей. Основные надежды при этом связывалась с новым авиадвигателем М-34 мощностью 850 л.е., его государственные испытания закончились к ноябрю 1931 года. Сообразуясь с результатами этих испытаний, а также с вероятностью последующего совершенствования силовой установки, представители ВВС в том же году составили тактико-технические требования к самолету ТБ-7. определяемому как высотный четырехмоторный бомбардировщик, предназначенный для уничтожения стратегических объектов в тылу предполагаемого противника. Кое в чем эти требования военных были явно завышены для той поры (в частности, бомбовая нагрузка 10 тонн), но в основном вполне достижимы: максимальная скорость 250 км/ч, боевая высота 7000 метров, радиус действия до 2000 километров. Впрочем, решение о создании нового четырехмоторного бомбовоза в 1931 г. не состоялось, начало его проектирования отодвинулось на два с лишним года (12025).</w:t>
      </w:r>
    </w:p>
    <w:p w14:paraId="2D0DAA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041FF09" w14:textId="77777777" w:rsidR="00496ABD" w:rsidRPr="005E779E" w:rsidRDefault="00496A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 второй поло</w:t>
      </w:r>
      <w:r w:rsidRPr="005E779E">
        <w:rPr>
          <w:rFonts w:ascii="Times New Roman" w:hAnsi="Times New Roman"/>
          <w:color w:val="000000" w:themeColor="text1"/>
          <w:sz w:val="16"/>
          <w:szCs w:val="16"/>
        </w:rPr>
        <w:softHyphen/>
        <w:t>вине 1931 г. ситуация с И-7 складывалась следующим образом: Летающих истребителей этого типа в Союзе имелось три экземпляра. Во-первых, уже в течение двух лет в 15-й авиабригаде несстроевую службу НО-37 №292 немецкой по</w:t>
      </w:r>
      <w:r w:rsidRPr="005E779E">
        <w:rPr>
          <w:rFonts w:ascii="Times New Roman" w:hAnsi="Times New Roman"/>
          <w:color w:val="000000" w:themeColor="text1"/>
          <w:sz w:val="16"/>
          <w:szCs w:val="16"/>
        </w:rPr>
        <w:softHyphen/>
        <w:t>стройки. Самолет находился в личном поль</w:t>
      </w:r>
      <w:r w:rsidRPr="005E779E">
        <w:rPr>
          <w:rFonts w:ascii="Times New Roman" w:hAnsi="Times New Roman"/>
          <w:color w:val="000000" w:themeColor="text1"/>
          <w:sz w:val="16"/>
          <w:szCs w:val="16"/>
        </w:rPr>
        <w:softHyphen/>
        <w:t>зовании командира авиабригады Лопатина, однако летали на нем и другие летчики. Оче</w:t>
      </w:r>
      <w:r w:rsidRPr="005E779E">
        <w:rPr>
          <w:rFonts w:ascii="Times New Roman" w:hAnsi="Times New Roman"/>
          <w:color w:val="000000" w:themeColor="text1"/>
          <w:sz w:val="16"/>
          <w:szCs w:val="16"/>
        </w:rPr>
        <w:softHyphen/>
        <w:t>видно, самолет эксплуатировался активно, в частности отмечалось, что во время стрельбы на Смоленском аэродроме разрушились не</w:t>
      </w:r>
      <w:r w:rsidRPr="005E779E">
        <w:rPr>
          <w:rFonts w:ascii="Times New Roman" w:hAnsi="Times New Roman"/>
          <w:color w:val="000000" w:themeColor="text1"/>
          <w:sz w:val="16"/>
          <w:szCs w:val="16"/>
        </w:rPr>
        <w:softHyphen/>
        <w:t>рвюры центроплана по сварке.</w:t>
      </w:r>
    </w:p>
    <w:p w14:paraId="7EE199DD" w14:textId="77777777" w:rsidR="00496ABD" w:rsidRPr="005E779E" w:rsidRDefault="00496A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Добавим, что в 9-й эскадрилье 15-й ави</w:t>
      </w:r>
      <w:r w:rsidRPr="005E779E">
        <w:rPr>
          <w:rFonts w:ascii="Times New Roman" w:hAnsi="Times New Roman"/>
          <w:color w:val="000000" w:themeColor="text1"/>
          <w:sz w:val="16"/>
          <w:szCs w:val="16"/>
        </w:rPr>
        <w:softHyphen/>
        <w:t>абригады в этот период числился и НО-43 №327.</w:t>
      </w:r>
    </w:p>
    <w:p w14:paraId="2FD8A9D3" w14:textId="77777777" w:rsidR="00496ABD" w:rsidRPr="005E779E" w:rsidRDefault="00496A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Из двух построенных на заводе №1 один И-7 продолжал испытания вооружения на Кунцевском полигоне, другой в июле 1931 г. передали в личное распоряжение Алксниса, поэтому он использовался ограниченно, воз</w:t>
      </w:r>
      <w:r w:rsidRPr="005E779E">
        <w:rPr>
          <w:rFonts w:ascii="Times New Roman" w:hAnsi="Times New Roman"/>
          <w:color w:val="000000" w:themeColor="text1"/>
          <w:sz w:val="16"/>
          <w:szCs w:val="16"/>
        </w:rPr>
        <w:softHyphen/>
        <w:t>можно сохранялся про запас.</w:t>
      </w:r>
    </w:p>
    <w:p w14:paraId="25F7D327" w14:textId="77777777" w:rsidR="00496ABD" w:rsidRPr="005E779E" w:rsidRDefault="00496A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с продолжением серийного производст</w:t>
      </w:r>
      <w:r w:rsidRPr="005E779E">
        <w:rPr>
          <w:rFonts w:ascii="Times New Roman" w:hAnsi="Times New Roman"/>
          <w:color w:val="000000" w:themeColor="text1"/>
          <w:sz w:val="16"/>
          <w:szCs w:val="16"/>
        </w:rPr>
        <w:softHyphen/>
        <w:t>ва вышла заминка. На авиазаводе №1 в те</w:t>
      </w:r>
      <w:r w:rsidRPr="005E779E">
        <w:rPr>
          <w:rFonts w:ascii="Times New Roman" w:hAnsi="Times New Roman"/>
          <w:color w:val="000000" w:themeColor="text1"/>
          <w:sz w:val="16"/>
          <w:szCs w:val="16"/>
        </w:rPr>
        <w:softHyphen/>
        <w:t>чение года развернули серийное изготовле</w:t>
      </w:r>
      <w:r w:rsidRPr="005E779E">
        <w:rPr>
          <w:rFonts w:ascii="Times New Roman" w:hAnsi="Times New Roman"/>
          <w:color w:val="000000" w:themeColor="text1"/>
          <w:sz w:val="16"/>
          <w:szCs w:val="16"/>
        </w:rPr>
        <w:softHyphen/>
        <w:t>ние отечественных истребителей И-5, ко</w:t>
      </w:r>
      <w:r w:rsidRPr="005E779E">
        <w:rPr>
          <w:rFonts w:ascii="Times New Roman" w:hAnsi="Times New Roman"/>
          <w:color w:val="000000" w:themeColor="text1"/>
          <w:sz w:val="16"/>
          <w:szCs w:val="16"/>
        </w:rPr>
        <w:softHyphen/>
        <w:t>торые для ВВС казались предпочтительней. Материалов для изготовления «Хейнкеля», а его по-прежнему так называли, не хватало. В частности, не было запаса стальных труб, не</w:t>
      </w:r>
      <w:r w:rsidRPr="005E779E">
        <w:rPr>
          <w:rFonts w:ascii="Times New Roman" w:hAnsi="Times New Roman"/>
          <w:color w:val="000000" w:themeColor="text1"/>
          <w:sz w:val="16"/>
          <w:szCs w:val="16"/>
        </w:rPr>
        <w:softHyphen/>
        <w:t>обходимых для изготовления фюзеляжей — то, что имелось, шло на И-5. Занято было и производство, прежде всего сварочное. Поэ</w:t>
      </w:r>
      <w:r w:rsidRPr="005E779E">
        <w:rPr>
          <w:rFonts w:ascii="Times New Roman" w:hAnsi="Times New Roman"/>
          <w:color w:val="000000" w:themeColor="text1"/>
          <w:sz w:val="16"/>
          <w:szCs w:val="16"/>
        </w:rPr>
        <w:softHyphen/>
        <w:t>тому до конца 1931 года И-7 не строили. Бо</w:t>
      </w:r>
      <w:r w:rsidRPr="005E779E">
        <w:rPr>
          <w:rFonts w:ascii="Times New Roman" w:hAnsi="Times New Roman"/>
          <w:color w:val="000000" w:themeColor="text1"/>
          <w:sz w:val="16"/>
          <w:szCs w:val="16"/>
        </w:rPr>
        <w:softHyphen/>
        <w:t>лее того, существовало решение — перевести изготовление серии в Харьков, на авиазавод №135. Харьковского эпизода в истории И-7 не случилось, однако в начале 1932 г. история строительства вновь продолжилась на авиа</w:t>
      </w:r>
      <w:r w:rsidRPr="005E779E">
        <w:rPr>
          <w:rFonts w:ascii="Times New Roman" w:hAnsi="Times New Roman"/>
          <w:color w:val="000000" w:themeColor="text1"/>
          <w:sz w:val="16"/>
          <w:szCs w:val="16"/>
        </w:rPr>
        <w:softHyphen/>
        <w:t>заводе №1, так как производство И-5 пере</w:t>
      </w:r>
      <w:r w:rsidRPr="005E779E">
        <w:rPr>
          <w:rFonts w:ascii="Times New Roman" w:hAnsi="Times New Roman"/>
          <w:color w:val="000000" w:themeColor="text1"/>
          <w:sz w:val="16"/>
          <w:szCs w:val="16"/>
        </w:rPr>
        <w:softHyphen/>
        <w:t>несли на авиационный завод №21 в Нижний Новгород (12295).</w:t>
      </w:r>
    </w:p>
    <w:p w14:paraId="2F6C4E4B" w14:textId="77777777" w:rsidR="00496ABD" w:rsidRPr="005E779E" w:rsidRDefault="00496ABD" w:rsidP="000B7A6C">
      <w:pPr>
        <w:spacing w:after="0" w:line="240" w:lineRule="auto"/>
        <w:jc w:val="both"/>
        <w:rPr>
          <w:rFonts w:ascii="Times New Roman" w:hAnsi="Times New Roman"/>
          <w:color w:val="000000" w:themeColor="text1"/>
          <w:sz w:val="16"/>
          <w:szCs w:val="16"/>
        </w:rPr>
      </w:pPr>
    </w:p>
    <w:p w14:paraId="0326D230" w14:textId="77777777" w:rsidR="005B22CE" w:rsidRPr="005E779E" w:rsidRDefault="005B22CE" w:rsidP="000B7A6C">
      <w:pPr>
        <w:spacing w:after="0" w:line="240" w:lineRule="auto"/>
        <w:jc w:val="both"/>
        <w:rPr>
          <w:rFonts w:ascii="Times New Roman" w:hAnsi="Times New Roman"/>
          <w:color w:val="000000" w:themeColor="text1"/>
          <w:sz w:val="16"/>
          <w:szCs w:val="16"/>
          <w:lang w:eastAsia="ru-RU" w:bidi="ru-RU"/>
        </w:rPr>
      </w:pPr>
      <w:r w:rsidRPr="005E779E">
        <w:rPr>
          <w:rFonts w:ascii="Times New Roman" w:hAnsi="Times New Roman"/>
          <w:color w:val="000000" w:themeColor="text1"/>
          <w:sz w:val="16"/>
          <w:szCs w:val="16"/>
          <w:lang w:eastAsia="ru-RU" w:bidi="ru-RU"/>
        </w:rPr>
        <w:t>Во второй половине 1931 года начались работы по разборке и перевозке эллингов из Сализей и Бердичева.</w:t>
      </w:r>
    </w:p>
    <w:p w14:paraId="035A20E8" w14:textId="77777777" w:rsidR="005B22CE" w:rsidRPr="005E779E" w:rsidRDefault="005B22C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На Долгопрудной выпуск дирижаблей больших размеров намечался не раньше 1933 года, на который и запланировали постройку двух эллингов объёмом 350 тыс. кубометров каждый. Сборку первых небольших полужёстких кораблей предполагали вести в двух существующих эллингах, первоначально находившихся в Сализи под Ленинградом и в Бердичеве: их предстояло разобрать и перевезти на Долгопрудную. Оба строения, доставшиеся в наследство ещё от царской России, прежде служили для размещения русских дирижаблей, а в начале 1930-х годов использовались военным ведомством в качестве складов.</w:t>
      </w:r>
    </w:p>
    <w:p w14:paraId="33AD10DE" w14:textId="77777777" w:rsidR="005B22CE" w:rsidRPr="005E779E" w:rsidRDefault="005B22C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Бердичевский эллинг построили до Первой мировой войны. Рассказывают, что его стальные опорные фермы изготовили в Германии на заводах Круппа. Дефицитный металл понемногу шёл в дело, и к моменту, когда эллинг понадобился Дирижаблестрою, он оказался с обеих сторон основательно укорочен: от первоначальных 180 метров длины осталось 100.</w:t>
      </w:r>
    </w:p>
    <w:p w14:paraId="116CE20B" w14:textId="77777777" w:rsidR="005B22CE" w:rsidRPr="005E779E" w:rsidRDefault="005B22C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Воздвигнуть эллинг на новом месте и ввести его в строй сначала планировали к 1 августа 1932 года, но вскоре срок отодвинули на 15 декабря. Для хранения трёх мягких дирижаблей, изготовленных в первой половине года, пришлось здесь же на площадке построить небольшой временный деревянный эллинг, однако он был слишком мал для корабля 18500, расчётная длина которого составляла около 105 метров.</w:t>
      </w:r>
    </w:p>
    <w:p w14:paraId="19287C94" w14:textId="1474F9EF" w:rsidR="005B22CE" w:rsidRPr="005E779E" w:rsidRDefault="005B22C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lang w:eastAsia="ru-RU" w:bidi="ru-RU"/>
        </w:rPr>
        <w:t>По мере приближения к концу 1932 года становилось ясно, что и новый срок сдачи эллинга выдержать не удастся. В нём, как в капле воды, отражались проблемы, общие для всего строительства базы на Долгопрудной. Подводили подрядчики: как и большинство строительных организаций, они работали с весьма невысоким качеством, с трудом согласовывали друг с другом планы и графики. Колоссальный размах индустриализации в стране привёл к дефициту сырья и материалов - крупные стройки нуждались во всём, от цемента и кирпича до болтов и заклёпок. В полуофициальном порядке практиковался бартерный обмен. Как и в гораздо более поздние времена, ценились снабженцы, умевшие договориться, достать, добыть. Но никакие ухищрения не помогали, когда речь шла о таких вещах, как сортовой и листовой прокат, кровельное железо: их буквально по тоннам распределял Совет труда и обороны (23192).</w:t>
      </w:r>
    </w:p>
    <w:p w14:paraId="413FFAEB" w14:textId="77777777" w:rsidR="005B22CE" w:rsidRPr="005E779E" w:rsidRDefault="005B22CE" w:rsidP="000B7A6C">
      <w:pPr>
        <w:spacing w:after="0" w:line="240" w:lineRule="auto"/>
        <w:jc w:val="both"/>
        <w:rPr>
          <w:rFonts w:ascii="Times New Roman" w:hAnsi="Times New Roman"/>
          <w:color w:val="000000" w:themeColor="text1"/>
          <w:sz w:val="16"/>
          <w:szCs w:val="16"/>
        </w:rPr>
      </w:pPr>
    </w:p>
    <w:p w14:paraId="690465E4"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68C5C314"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5D9BB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 второй половине 1931 года на НИАПе прошли испытания первые семь модернизированных 6/45-дюймовых установок с увеличением угла вертикального наведения до +60. Фактические углы вертикального наведения были в среднем 0; +60. Длина отката при +1 265 мм, при +60 320 мм. По крайней мере одно орудие (№ 12377) на установке № 2 имело дульный тормоз (3861).</w:t>
      </w:r>
    </w:p>
    <w:p w14:paraId="0D0079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C3C9DCB" w14:textId="77777777" w:rsidR="00815915" w:rsidRPr="005E779E" w:rsidRDefault="00815915"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7C7E466A" w14:textId="77777777" w:rsidR="00815915" w:rsidRPr="005E779E" w:rsidRDefault="00815915"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A5E0405" w14:textId="77777777" w:rsidR="00815915" w:rsidRPr="005E779E" w:rsidRDefault="0081591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ходе зимы 1931-32 гг. вся система СЗ-1 подверглась значительным доработкам. С помощью инженеров ЦАГИ Петлякова, Беляева, Привен, Никитенко и Фомина были проведены дополнительные расчеты прочности крыла с целью повысить эффективность и надежность работы соединенных самолетов. В последу</w:t>
      </w:r>
      <w:r w:rsidRPr="005E779E">
        <w:rPr>
          <w:rFonts w:ascii="Times New Roman" w:hAnsi="Times New Roman"/>
          <w:color w:val="000000" w:themeColor="text1"/>
          <w:sz w:val="16"/>
          <w:szCs w:val="16"/>
        </w:rPr>
        <w:softHyphen/>
        <w:t>ющем для увеличения взлетного веса СЗ-1 на основных стойках шасси ТБ-1 с внешней стороны установили допол</w:t>
      </w:r>
      <w:r w:rsidRPr="005E779E">
        <w:rPr>
          <w:rFonts w:ascii="Times New Roman" w:hAnsi="Times New Roman"/>
          <w:color w:val="000000" w:themeColor="text1"/>
          <w:sz w:val="16"/>
          <w:szCs w:val="16"/>
        </w:rPr>
        <w:softHyphen/>
        <w:t>нительную амортизационную стойку от самолета АНТ-9. Лонжерон крыла носителя в районе ее крепления усили</w:t>
      </w:r>
      <w:r w:rsidRPr="005E779E">
        <w:rPr>
          <w:rFonts w:ascii="Times New Roman" w:hAnsi="Times New Roman"/>
          <w:color w:val="000000" w:themeColor="text1"/>
          <w:sz w:val="16"/>
          <w:szCs w:val="16"/>
        </w:rPr>
        <w:softHyphen/>
        <w:t>ли дополнительным внутренним подкосом. Кроме того, на ТБ-1 установили увеличенные колеса размером 1350х300 мм вместо прежних (1250х250 мм). Одновременно, с учетом первого испытания, доработали замки крепления И-4 и ме</w:t>
      </w:r>
      <w:r w:rsidRPr="005E779E">
        <w:rPr>
          <w:rFonts w:ascii="Times New Roman" w:hAnsi="Times New Roman"/>
          <w:color w:val="000000" w:themeColor="text1"/>
          <w:sz w:val="16"/>
          <w:szCs w:val="16"/>
        </w:rPr>
        <w:softHyphen/>
        <w:t>ханизм их расцепления. Третья пирамида, закрепляющая фюзеляж истребителей, теперь шарнирно крепилась на крыле ТБ-1.</w:t>
      </w:r>
    </w:p>
    <w:p w14:paraId="13CD0D06" w14:textId="77777777" w:rsidR="00815915" w:rsidRPr="005E779E" w:rsidRDefault="0081591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открытия замка на фюзеляже пилот истребителя давал ручку управления от себя, задняя пирамида оконча</w:t>
      </w:r>
      <w:r w:rsidRPr="005E779E">
        <w:rPr>
          <w:rFonts w:ascii="Times New Roman" w:hAnsi="Times New Roman"/>
          <w:color w:val="000000" w:themeColor="text1"/>
          <w:sz w:val="16"/>
          <w:szCs w:val="16"/>
        </w:rPr>
        <w:softHyphen/>
        <w:t>тельно освобождалась и откидывалась назад. Затем сле</w:t>
      </w:r>
      <w:r w:rsidRPr="005E779E">
        <w:rPr>
          <w:rFonts w:ascii="Times New Roman" w:hAnsi="Times New Roman"/>
          <w:color w:val="000000" w:themeColor="text1"/>
          <w:sz w:val="16"/>
          <w:szCs w:val="16"/>
        </w:rPr>
        <w:softHyphen/>
        <w:t>довало движение ручки управления на себя, передние замки выходили из фасонного зацепления, и самолет от</w:t>
      </w:r>
      <w:r w:rsidRPr="005E779E">
        <w:rPr>
          <w:rFonts w:ascii="Times New Roman" w:hAnsi="Times New Roman"/>
          <w:color w:val="000000" w:themeColor="text1"/>
          <w:sz w:val="16"/>
          <w:szCs w:val="16"/>
        </w:rPr>
        <w:softHyphen/>
        <w:t>рывался от крыла ТБ-1.</w:t>
      </w:r>
    </w:p>
    <w:p w14:paraId="3C7948D7" w14:textId="77777777" w:rsidR="00815915" w:rsidRPr="005E779E" w:rsidRDefault="0081591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увеличения дальности полета «самолета-звена» в бомбоотсеке ТБ-1 установили дополнительные топлив</w:t>
      </w:r>
      <w:r w:rsidRPr="005E779E">
        <w:rPr>
          <w:rFonts w:ascii="Times New Roman" w:hAnsi="Times New Roman"/>
          <w:color w:val="000000" w:themeColor="text1"/>
          <w:sz w:val="16"/>
          <w:szCs w:val="16"/>
        </w:rPr>
        <w:softHyphen/>
        <w:t>ные баки (два по 450 л, два по 140 л и еще два запасных бачка на 65 литров), объединенные с общей топливной системой. Из этой общей системы были проведены бен</w:t>
      </w:r>
      <w:r w:rsidRPr="005E779E">
        <w:rPr>
          <w:rFonts w:ascii="Times New Roman" w:hAnsi="Times New Roman"/>
          <w:color w:val="000000" w:themeColor="text1"/>
          <w:sz w:val="16"/>
          <w:szCs w:val="16"/>
        </w:rPr>
        <w:softHyphen/>
        <w:t>зопроводы, питающие истребители. По мере расходова</w:t>
      </w:r>
      <w:r w:rsidRPr="005E779E">
        <w:rPr>
          <w:rFonts w:ascii="Times New Roman" w:hAnsi="Times New Roman"/>
          <w:color w:val="000000" w:themeColor="text1"/>
          <w:sz w:val="16"/>
          <w:szCs w:val="16"/>
        </w:rPr>
        <w:softHyphen/>
        <w:t>ния ими топлива из собственных баков, бортмеханик самолета-носителя насосом подкачивал бензин в баки И-4. Кроме того, И-4 оборудовали двумя дополнительными мас</w:t>
      </w:r>
      <w:r w:rsidRPr="005E779E">
        <w:rPr>
          <w:rFonts w:ascii="Times New Roman" w:hAnsi="Times New Roman"/>
          <w:color w:val="000000" w:themeColor="text1"/>
          <w:sz w:val="16"/>
          <w:szCs w:val="16"/>
        </w:rPr>
        <w:softHyphen/>
        <w:t>ляными баками по 12,5 л и указателем уровня топлива.</w:t>
      </w:r>
    </w:p>
    <w:p w14:paraId="13EC39A6" w14:textId="77777777" w:rsidR="00815915" w:rsidRPr="005E779E" w:rsidRDefault="00815915"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перечисленных доработок вес пустого ТБ-1 соста</w:t>
      </w:r>
      <w:r w:rsidRPr="005E779E">
        <w:rPr>
          <w:rFonts w:ascii="Times New Roman" w:hAnsi="Times New Roman"/>
          <w:color w:val="000000" w:themeColor="text1"/>
          <w:sz w:val="16"/>
          <w:szCs w:val="16"/>
        </w:rPr>
        <w:softHyphen/>
        <w:t>вил 4602 кг. По сравнению со стандартным ТБ-1, вес пустого самолета увеличился на 177 кг. Увеличение веса за счет установки пирамид крепления истребителей, до</w:t>
      </w:r>
      <w:r w:rsidRPr="005E779E">
        <w:rPr>
          <w:rFonts w:ascii="Times New Roman" w:hAnsi="Times New Roman"/>
          <w:color w:val="000000" w:themeColor="text1"/>
          <w:sz w:val="16"/>
          <w:szCs w:val="16"/>
        </w:rPr>
        <w:softHyphen/>
        <w:t>полнительных баков и усиления шасси составило 245 кг, однако это значение удалось уменьшить на 68 кг за счет снятия кассетных бомбодержателей Дер-9. Вес каждого пустого И-4 уменьшился на 10 кг и составил 965 кг (сня</w:t>
      </w:r>
      <w:r w:rsidRPr="005E779E">
        <w:rPr>
          <w:rFonts w:ascii="Times New Roman" w:hAnsi="Times New Roman"/>
          <w:color w:val="000000" w:themeColor="text1"/>
          <w:sz w:val="16"/>
          <w:szCs w:val="16"/>
        </w:rPr>
        <w:softHyphen/>
        <w:t>тые нижние крылышки дали экономию 20 кг, однако это значение сократилось за счет дополнительных маслобаков и узлов крепления на 10 кг). Нормальный полетный вес СЗ-1 составил 10 500 кг - ТБ-1 с экипажем и запасом бен</w:t>
      </w:r>
      <w:r w:rsidRPr="005E779E">
        <w:rPr>
          <w:rFonts w:ascii="Times New Roman" w:hAnsi="Times New Roman"/>
          <w:color w:val="000000" w:themeColor="text1"/>
          <w:sz w:val="16"/>
          <w:szCs w:val="16"/>
        </w:rPr>
        <w:softHyphen/>
        <w:t>зина 1625 кг весил 7453 кг, плюс два И-4 со взлетным ве</w:t>
      </w:r>
      <w:r w:rsidRPr="005E779E">
        <w:rPr>
          <w:rFonts w:ascii="Times New Roman" w:hAnsi="Times New Roman"/>
          <w:color w:val="000000" w:themeColor="text1"/>
          <w:sz w:val="16"/>
          <w:szCs w:val="16"/>
        </w:rPr>
        <w:softHyphen/>
        <w:t>сом 1518 кг. При максимальном запасе бензина 2625 кг и 1000 кг бомб максимальный полетный вес СЗ-1 составил 12 500 кг (20345).</w:t>
      </w:r>
    </w:p>
    <w:p w14:paraId="686C4B1A" w14:textId="77777777" w:rsidR="00815915" w:rsidRPr="005E779E" w:rsidRDefault="00815915" w:rsidP="000B7A6C">
      <w:pPr>
        <w:spacing w:after="0" w:line="240" w:lineRule="auto"/>
        <w:jc w:val="both"/>
        <w:rPr>
          <w:rFonts w:ascii="Times New Roman" w:hAnsi="Times New Roman"/>
          <w:color w:val="000000" w:themeColor="text1"/>
          <w:sz w:val="16"/>
          <w:szCs w:val="16"/>
        </w:rPr>
      </w:pPr>
    </w:p>
    <w:p w14:paraId="6644743C"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6B2C035A"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1590393" w14:textId="77777777" w:rsidR="00CC65A3" w:rsidRPr="005E779E" w:rsidRDefault="00CC65A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течение всего 1931 г. планы на штурмовик неоднократно обнародовались. Выпускать его предпола</w:t>
      </w:r>
      <w:r w:rsidRPr="005E779E">
        <w:rPr>
          <w:rFonts w:ascii="Times New Roman" w:hAnsi="Times New Roman"/>
          <w:color w:val="000000" w:themeColor="text1"/>
          <w:sz w:val="16"/>
          <w:szCs w:val="16"/>
        </w:rPr>
        <w:softHyphen/>
        <w:t>галось на авиазаводе №16, строящемся в Сталинграде. Со</w:t>
      </w:r>
      <w:r w:rsidRPr="005E779E">
        <w:rPr>
          <w:rFonts w:ascii="Times New Roman" w:hAnsi="Times New Roman"/>
          <w:color w:val="000000" w:themeColor="text1"/>
          <w:sz w:val="16"/>
          <w:szCs w:val="16"/>
        </w:rPr>
        <w:softHyphen/>
        <w:t>гласно предварительным планам всего в Сталинграде в 1932 г. задумывалось построить 70 ТШ-2. Для этой цели на созданном в конце 1931 г. Бюро внедрения велась подготовка чертежей для серийного производства (20362).</w:t>
      </w:r>
    </w:p>
    <w:p w14:paraId="0EEAEC08" w14:textId="77777777" w:rsidR="00CC65A3" w:rsidRPr="005E779E" w:rsidRDefault="00CC65A3" w:rsidP="000B7A6C">
      <w:pPr>
        <w:shd w:val="clear" w:color="auto" w:fill="FFFFFF"/>
        <w:spacing w:after="0" w:line="240" w:lineRule="auto"/>
        <w:jc w:val="both"/>
        <w:rPr>
          <w:rFonts w:ascii="Times New Roman" w:hAnsi="Times New Roman"/>
          <w:color w:val="000000" w:themeColor="text1"/>
          <w:sz w:val="16"/>
          <w:szCs w:val="16"/>
        </w:rPr>
      </w:pPr>
    </w:p>
    <w:p w14:paraId="493103D0" w14:textId="77777777" w:rsidR="00593807" w:rsidRPr="005E779E" w:rsidRDefault="0059380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 1931 г. ЦКБ-39 выпустило на испытания рекордное число новых типов самолетов – пять:</w:t>
      </w:r>
    </w:p>
    <w:p w14:paraId="786C2F48" w14:textId="77777777" w:rsidR="00593807" w:rsidRPr="005E779E" w:rsidRDefault="0059380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штурмовики ЛШ (ЦКБ-5), ТШ-1 (ЦКБ-6), ТШ-2 (ЦКБ-21), ШОН Кочеригина;</w:t>
      </w:r>
    </w:p>
    <w:p w14:paraId="695ECC7F" w14:textId="77777777" w:rsidR="00593807" w:rsidRPr="005E779E" w:rsidRDefault="0059380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скоростной ближний разведчик ЛР (ЦКБ-1) Кочеригина;</w:t>
      </w:r>
    </w:p>
    <w:p w14:paraId="74D82157" w14:textId="77777777" w:rsidR="00593807" w:rsidRPr="005E779E" w:rsidRDefault="0059380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тяжелый бомбардировщик ТБ-5 (ЦКБ-8) Григоровича;</w:t>
      </w:r>
    </w:p>
    <w:p w14:paraId="2283F474" w14:textId="77777777" w:rsidR="00593807" w:rsidRPr="005E779E" w:rsidRDefault="0059380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двухместный истребитель ДИ-3 Григоровича;</w:t>
      </w:r>
    </w:p>
    <w:p w14:paraId="3B45C4B5" w14:textId="77777777" w:rsidR="00593807" w:rsidRPr="005E779E" w:rsidRDefault="0059380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истребитель с крупнокалиберным вооружением И-7 (ЦКБ-7, И-Z, И-Зет) Григоровича.</w:t>
      </w:r>
    </w:p>
    <w:p w14:paraId="7E9820ED" w14:textId="77777777" w:rsidR="00593807" w:rsidRPr="005E779E" w:rsidRDefault="0059380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Из них сравнительно удачен оказался только последний, но более чем в 10 раз увеличено число сданных серийных самолетов Р-5, доводка и отработка рабочей документации которых была проведена при активном участии ЦКБ-39 и лично Н.Н. Поликарпова. Кроме того, в этом году благодаря организованной ЦКБ-39 технической помощи, завод №1 выпустили первые 76 истребителей И-5, разработанных под руководством Н.Н. Поликарпова.</w:t>
      </w:r>
    </w:p>
    <w:p w14:paraId="2D3427C0" w14:textId="77777777" w:rsidR="00593807" w:rsidRPr="005E779E" w:rsidRDefault="0059380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Несмотря на то, что ЦКБ-39 закончило 1931-й г. со значительно менее значимыми результатами по выпущенным новым самолетам, благодаря его помощи серийному производству пошел рост поставок авиатехники отечественной разработки в войска, и началось создание ее модификаций в соответствии с их требованиями, что стало бесспорно положительным итогом работы в 1930-1931 гг.</w:t>
      </w:r>
    </w:p>
    <w:p w14:paraId="44E5A9C5" w14:textId="77777777" w:rsidR="00593807" w:rsidRPr="005E779E" w:rsidRDefault="0059380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Некоторое снижение темпов выпуска новых самолетов в этом и следующем 1932 г. объяснялось тем, что как раз осуществлялся переход к их конструкциям следующего поколения, которые становились более сложными и трудоемкими не только в производстве, но и в разработке. Вырос требуемый объем чертежей, пояснительной, расчетной и технологической документации, на выпуск которой надо было больше времени, при этом трудовая и финансовая дисциплина в ЦКБ улучшилась и уже не являлась причиной задержек работ. Однако оставался вопрос их правильной организации – он решался на уровне и руководства ЦКБ, и отрасли в целом, но на это тоже надо было время. Важные решения здесь были приняты в следующем 1932 г., при этом руководство смогло критически пересмотреть принятые им же ошибочные решения и начать путь исправления этих ошибок (23559).</w:t>
      </w:r>
    </w:p>
    <w:p w14:paraId="39AECD2C" w14:textId="77777777" w:rsidR="00593807" w:rsidRPr="005E779E" w:rsidRDefault="00593807" w:rsidP="000B7A6C">
      <w:pPr>
        <w:spacing w:after="0" w:line="240" w:lineRule="auto"/>
        <w:jc w:val="both"/>
        <w:rPr>
          <w:rFonts w:ascii="Times New Roman" w:hAnsi="Times New Roman"/>
          <w:color w:val="000000" w:themeColor="text1"/>
          <w:sz w:val="16"/>
          <w:szCs w:val="16"/>
        </w:rPr>
      </w:pPr>
    </w:p>
    <w:p w14:paraId="128980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предлагалось часть ТБ-1 выпустить с новыми моторами М-27 (18-цилиндровыми, мощностью 850 л.е.). Но их серийное производство так и не наладили. Не удалось найти никаких следов расчетов модификации под этот двигатель. В период эксплуатации на некоторых самолетах установили моторы BMW VlbE7,3 со степенью сжатия 7,3. Они отличались лучшими высотными характеристиками и развивали максимальную мощность 730 л.с. Позднее применялся и аналогичный вариант М-17, выпускавшийся с конца 1932 г. Но большого выигрыша в летных данных это не дало. Во второй половине 1930-х гг. все еще летавшие машины переоснастили модернизированными двигателями М-17Ф с максимальной мощностью 715 л.с. (при степени сжатия 6,0). По сравнению с использовавшимися ранее, они обеспечивали более высокие летные данные на малых высотах (12001).</w:t>
      </w:r>
    </w:p>
    <w:p w14:paraId="401611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9B0A2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был сделан Р-5Ш (штурмовик) (92,422) - 4 ПВ-1 на нижних крыльях в обтекателях, один ПВ-1 синхронный и два ДА-2 на турели. 240-500 кг бомб на ДЕР-5 - заметная часть серии, конструктивных отличий не было - несколько сот. Были и с 8 ШКАС по 4 - применялся в Испании и на Дальнем Востоке (92,422). Были и варианты с 8 ШКАС (3551,17).</w:t>
      </w:r>
    </w:p>
    <w:p w14:paraId="785864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21ADA7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 1931 г. изготовили 336 самолетов Р-5 при плане 675.</w:t>
      </w:r>
    </w:p>
    <w:p w14:paraId="0B3C32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F6DB4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1931 г. шли работы по "разрезному" (механизированному) крылу для Р-5. До этого велись переговоры о проектировании его в Англии, в конструкторском бюро известной фирмы "Хендли-Пэйдж", обладавшей несколькими ценными патентами. По-видимому, или не договорились о цене, или наверху отказались выделять на это валюту. Пришлось создавать механизированное крыло самостоятельно. Руководили работами Л .И. Сутугин (аэродинамик) и С.А. Кочеригин (конструктор). В июле 1931 г. они представили УВВС два варианта проекта, из которых одобрили первый. Позднее построили два опытных образца. Оба самолета имели сильно измененное (фактически новое) верхнее крыло. Его законцовки стали почти прямоугольными. По всей передней кромке (кроме центроплана) разместили предкрылки, на задней, между элеронами - закрылки. Предкрылки срабатывали автоматически, от перепада давления. Механизм управления ими стоял в передней части центроплана, потеснив верхние бензобаки. Закрылки управлялись тросовым механизмом, срабатывавшим при нажатии пилотом рычага по левому борту кабины. На нижнем крыле смонтировали вторую пару элеронов. Хвостовое оперение немного увеличили по сравнению с серийным Р-5.</w:t>
      </w:r>
    </w:p>
    <w:p w14:paraId="4EB576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Первый самолет передали на испытания в НИИ ВВС 5 мая 1932 г. Механизация крыла позволила снизить посадочную скорость с 86 до 70 км/ч и улучшить поведение самолета на малых скоростях, но за счет ухудшения скороподъемности и уменьшения максимальной скорости.</w:t>
      </w:r>
    </w:p>
    <w:p w14:paraId="229FF7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Вторая машина, отличавшаяся наличием вооружения, попала в НИИ в начале января 1933 г. Летал на ней пилот Козлов. Испытания, проходившие до 25 марта, опять показали, что посадочная скорость уменьшилась, а допустимый угол атаки - увеличился. Разбег стал короче. Но максимальная скорость полета упала, а устойчивость с выпущенными закрылками стала существенно хуже, чем без них. Пришли к выводу, что для столь тихоходного самолета, как Р-5, "разрезное" крыло существенного выигрыша не даст. Для этого самолета сделали шасси с тормозными колесами, но неизвестно, летал ли он с ним. Хотя в августе 1933 г. военные планировали постройку десяти таких машин для войсковых испытаний, в серийное производство варианте разрезным крылом внедрять не стали. Работы по доводке второго самолета как экспериментального шли до августа 1934 г. (12034).</w:t>
      </w:r>
    </w:p>
    <w:p w14:paraId="6DE4EE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28DBC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1931 г. группа А.К. Запанованного в НИИ ВВС вела работы по танкеру на базе Р-5. Танкер ("бензиновоз") нес шланг, намотанный на ручную лебедку и имевший на свободном конце так называемую "грушу". Летнаб или механик заправляемого самолета ловил конец шланга руками и засовывал его в приемную воронку. Заправляли от Р-5 сначала такую же машину, затем бомбардировщик ТБ-1 (в июне - июле 1932 г.) и, наконец, ТБ-3 (в сентябре - ноябре 1933 г.). Испытания прошли в целом успешно, если не считать того, что ловля "груши" оказалась делом нелегким и опасным. Конец шланга болтался в воздухе, можно было запросто получить по голове трехкилограммовой гирей. На ТБ-3 два стрелка с трудом удерживали шланг, бьющийся на ветру. Однако система работала. Сначала пробовали переливать воду, затем перешли на бензин.</w:t>
      </w:r>
    </w:p>
    <w:p w14:paraId="127B8E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использования Р-5 в качестве танкера, естественно, потребовалось увеличить запас горючего на борту. В апреле 1932 г. попробовали подвесить дополнительные баки под крылом. Однако баки и магистрали текли, проводить испытания даже не рискнули. В июне выставили образец с большим подфю- зеляжным баком из стали, вмещавшим 550 л. Этот вариант использовали для заправки ТБ-1. При установке дополнительных внутренних баков, как на машинах для дальних перелетов, "бензиновоз" мог слить в бомбардировщик до 1040 л топлива. Весь комплект оборудования танкера весил около 120 кг. За счет дополнительного сопротивления бака скорость заправщика уменьшалась на 6 км/ч. (11836).</w:t>
      </w:r>
    </w:p>
    <w:p w14:paraId="2904BE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A246021" w14:textId="77777777" w:rsidR="00593807" w:rsidRPr="005E779E" w:rsidRDefault="0059380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был защищен проект К-7 К.А.К. третьей редакции. Был построен и натурный макет тяжелого бомбардировщика и большого пассажирского самолета на 100 мест (два варианта делались параллельно).</w:t>
      </w:r>
    </w:p>
    <w:p w14:paraId="6088BE55" w14:textId="77777777" w:rsidR="00593807" w:rsidRPr="005E779E" w:rsidRDefault="0059380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проект при детальной проработке были внесены значительные изменения – как направленные на устранение выявленных недостатков, так и улучшения, сделанные по собственной инициативе:</w:t>
      </w:r>
    </w:p>
    <w:p w14:paraId="78FAB5E4" w14:textId="77777777" w:rsidR="00593807" w:rsidRPr="005E779E" w:rsidRDefault="0059380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силовая установка в составе семи двигателей BMW VI с тянущими винтами (четыре на крыле, два в носовых частях гондол тележек шасси и один добавлен уже на стадии строительства макета – в НЧФ);</w:t>
      </w:r>
    </w:p>
    <w:p w14:paraId="4520E510" w14:textId="77777777" w:rsidR="00593807" w:rsidRPr="005E779E" w:rsidRDefault="0059380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конструкция каркаса металлическая, обшивка – полотно, частично дюралевая неработающая;</w:t>
      </w:r>
    </w:p>
    <w:p w14:paraId="1A006CC2" w14:textId="77777777" w:rsidR="00593807" w:rsidRPr="005E779E" w:rsidRDefault="0059380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крыло трехлонжеронное, лонжероны из металлических труб переменного диаметра (по строительной высоте сечения);</w:t>
      </w:r>
    </w:p>
    <w:p w14:paraId="1D590F11" w14:textId="77777777" w:rsidR="00593807" w:rsidRPr="005E779E" w:rsidRDefault="0059380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увеличены размеры (размах крыла дошел до 53 м, увеличилась и строительная высота крыла);</w:t>
      </w:r>
    </w:p>
    <w:p w14:paraId="7CA3C8AD" w14:textId="77777777" w:rsidR="00593807" w:rsidRPr="005E779E" w:rsidRDefault="0059380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разработаны оригинальные шарнирные узлы стыковки отсеков крыла по лонжеронам;</w:t>
      </w:r>
    </w:p>
    <w:p w14:paraId="32569C52" w14:textId="77777777" w:rsidR="00593807" w:rsidRPr="005E779E" w:rsidRDefault="0059380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во все каналы управления были включены электрические усилители.</w:t>
      </w:r>
    </w:p>
    <w:p w14:paraId="3FB7B8DA" w14:textId="77777777" w:rsidR="00593807" w:rsidRPr="005E779E" w:rsidRDefault="0059380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Далее в проект были внесены дополнительные изменения;</w:t>
      </w:r>
    </w:p>
    <w:p w14:paraId="063B4C7B" w14:textId="77777777" w:rsidR="00593807" w:rsidRPr="005E779E" w:rsidRDefault="0059380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лонжероны крыла вместо ферменных сделаны балочные с плоскими полками и стенками;</w:t>
      </w:r>
    </w:p>
    <w:p w14:paraId="2BF1B086" w14:textId="77777777" w:rsidR="00593807" w:rsidRPr="005E779E" w:rsidRDefault="0059380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установлены отечественные V-образные 12-цилиндровые двигатели водяного охлаждения М-34 (без редукторов и нагнетателей взлетной мощностью по 850 л.с. и номинальной 750 л.с.);</w:t>
      </w:r>
    </w:p>
    <w:p w14:paraId="720DD41A" w14:textId="77777777" w:rsidR="00593807" w:rsidRPr="005E779E" w:rsidRDefault="0059380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стойки шасси с воздушно-масляной амортизацией (ЖГА применены на самолете впервые в СССР).</w:t>
      </w:r>
    </w:p>
    <w:p w14:paraId="178ED7F8" w14:textId="77777777" w:rsidR="00593807" w:rsidRPr="005E779E" w:rsidRDefault="0059380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Однако и в этом виде самолет в постройку не пошел и в проект были внесены очередные изменения (23561).</w:t>
      </w:r>
    </w:p>
    <w:p w14:paraId="5DFFF592" w14:textId="77777777" w:rsidR="00593807" w:rsidRPr="005E779E" w:rsidRDefault="00593807" w:rsidP="000B7A6C">
      <w:pPr>
        <w:spacing w:after="0" w:line="240" w:lineRule="auto"/>
        <w:jc w:val="both"/>
        <w:rPr>
          <w:rFonts w:ascii="Times New Roman" w:hAnsi="Times New Roman"/>
          <w:color w:val="000000" w:themeColor="text1"/>
          <w:sz w:val="16"/>
          <w:szCs w:val="16"/>
        </w:rPr>
      </w:pPr>
    </w:p>
    <w:p w14:paraId="360352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1931 г. группа А.К. Запанованного в НИИ ВВС вела работы по дозаправке в воздухе.</w:t>
      </w:r>
    </w:p>
    <w:p w14:paraId="38849E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Схема была простой. Танкер ("бензиновоз") нес шланг, намотанный на ручную лебедку и имевший на свободном конце груз (так называемую "грушу"). Лебедка стояла на месте фотоаппарата. Летнаб или механик на заправляемом самолете ловил конец шланга руками и засовывал его в приемную воронку. Заправляли от Р-5 сначала такую же машину, затем бомбардировщик ТБ-1 (в июне - июле 1932 г.) и, наконец, огромный ТБ-3 (в сентябре - ноябре 1933 г.). Испытания прошли в целом успешно, если не считать того, что ловля "груши" оказалась делом нелегким и опасным. Конец шланга болтался в воздухе, можно было запросто получить по голове трехкилограммовой гирей. На ТБ-3 два стрелка с трудом удерживали шланг, бьющийся на ветру.</w:t>
      </w:r>
    </w:p>
    <w:p w14:paraId="52AE98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Однако система работала. Сначала пробовали переливать воду, затем перешли на бензин. В отчете по работе пары Р-5 - ТБ-1 оптимистично написали: "Испытания выявили сравнительную легкость переливки горючего в воздухе из самолета Р-5 в самолет ТБ-1 при натренированности личного состава".</w:t>
      </w:r>
    </w:p>
    <w:p w14:paraId="0F10F4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Разумеется, в качестве танкера использовали не обычный Р-5. Его запас горючего делал затею с дозаправкой почти бессмысленной. Сначала в апреле 1932 г. попробовали подвесить дополнительные баки на балках бомбодержателей под крылом. Но подвело кустарное изготовление. Баки и магистрали к ним текли, проводить испытания даже не рискнули. В июне того же года выставили новый образец с большим подфюзеляжным баком из листовой стали, вмещавшим 550 л бензина. Этот вариант и использовался в экспериментах с заправкой ТБ-1. При установке дополнительных внутренних баков (за приборной доской - 126 л, под педалями пилота - </w:t>
      </w:r>
      <w:r w:rsidRPr="005E779E">
        <w:rPr>
          <w:rFonts w:ascii="Times New Roman" w:hAnsi="Times New Roman"/>
          <w:color w:val="000000" w:themeColor="text1"/>
          <w:sz w:val="16"/>
          <w:szCs w:val="16"/>
        </w:rPr>
        <w:lastRenderedPageBreak/>
        <w:t>215 л, под его сиденьем - 110 л) переоборудованный разведчик мог слить в баки бомбардировщика в обшей сложности до 1040 л топлива. Это давало ТБ-1 лишних четыре часа полета. Весь комплект добавочного оборудования танкера весил около 120 кг, что было несколько многовато - сказалось слишком широкое применение стали и меди. За счет дополнительного сопротивления бака скорость заправщика уменьшалась на 6 км/ч.</w:t>
      </w:r>
    </w:p>
    <w:p w14:paraId="187914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Дальнейшие опыты проводили уже с четырехмоторным ТБ-3. Он мог увезти гораздо больше горючего и заправить несколько самолетов один за другим.</w:t>
      </w:r>
    </w:p>
    <w:p w14:paraId="781ED1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1933 г. Р-5, спроектированный в середине 20-х годов, уже порядком устарел. Мировое самолетостроение быстро прогрессировало, а наш разведчик изменился мало. Постановлением комиссии Реввоенсовета СССР от 28 апреля 1933 г., на котором председательствовал А.И. Егоров, совершенствование самого массового самолета РККА было отнесено к числу первоочередных работ.</w:t>
      </w:r>
    </w:p>
    <w:p w14:paraId="5165CE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Требовалось поднять скорость и потолок, улучшить взлетно-посадочные характеристики, внедрить новое оборудование и вооружение. Конструкторы уже работали над этими проблемами (12034).</w:t>
      </w:r>
    </w:p>
    <w:p w14:paraId="49A715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9FFAA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году Бюро особых конструкций поставило одной из своих основных задач создать самолет, который был бы приспособлен к длительному полету на любой высоте, какую только может обеспечить винтомоторная группа. Проблема стратоплана была в то время совершенно новой. Самолетов подобного типа не было ни у нас, ни за границей. В основу аэродинамических форм стратоплана БОК-1 был взят самолет типа АНТ-25, рекордный на дальность, но другие задачи, которые ставились перед стратосферным самолетом, заставили пересмотреть всю конструкцию самолета. Крыло имеет три лонжерона. Верхний и нижний пояса 1-го и 2-го лонжеронов примерно до половины отъемной части крыла сделаны из термически обработанных хромомолибденовых труб. Дальше к концу идут кольчугалюминиевые трубы. Крыло обшито гофром. Под гофром между 1-м и 2-м лонжеронами пропущены ленты-расчалки из кольчугалюминия. Для улучшения аэродинамики, крыло поверх гофра обшито тонким перкалем. Цельнометаллический из кольчугалюминия фюзеляж типа монокок, состоит из трех частей. В центральную часть фюзеляжа вкладывается сверху герметическая кабина. Шасси неубирающееся. Мотор АМ-34РН. Мотор полностью закапотирован. Экипаж - летчик и наблюдатель. Герметическая кабина овальной формы в сечении выполнена в виде отдельной от фюзеляжа конструкции. Кабина обшита листовым кольчугалюминием толщиной 2 мм. (3303).</w:t>
      </w:r>
    </w:p>
    <w:p w14:paraId="502CFB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8AC46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в ЦКБ по конструкции В.Б.Шаврова и Д.А.Михайлова делали Р-5а (МР-5, самолет 10) - двух-поплавковый Р-5 (92,423).</w:t>
      </w:r>
    </w:p>
    <w:p w14:paraId="34208B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FA3FF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и завод в Таганроге был загружен освоением производства самолетов новых типов. Вместо 302 Р-1 по плану там сдали всего 266. В следующем году выпустили две последних машины и на этом сборку Р-1 прекратили (11923).</w:t>
      </w:r>
    </w:p>
    <w:p w14:paraId="317D53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0046F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События 1931 г. в деле строительства И-5 закончились скромными достижениями (за год построили 66 экземпляров). Все эти само</w:t>
      </w:r>
      <w:r w:rsidRPr="005E779E">
        <w:rPr>
          <w:rFonts w:ascii="Times New Roman" w:hAnsi="Times New Roman"/>
          <w:color w:val="000000" w:themeColor="text1"/>
          <w:sz w:val="16"/>
          <w:szCs w:val="16"/>
        </w:rPr>
        <w:softHyphen/>
        <w:t>леты в основном соответствовали аппарату «Клим Ворошилов», внешне отличались уве</w:t>
      </w:r>
      <w:r w:rsidRPr="005E779E">
        <w:rPr>
          <w:rFonts w:ascii="Times New Roman" w:hAnsi="Times New Roman"/>
          <w:color w:val="000000" w:themeColor="text1"/>
          <w:sz w:val="16"/>
          <w:szCs w:val="16"/>
        </w:rPr>
        <w:softHyphen/>
        <w:t>личенными отверстиями охлаждения и боко</w:t>
      </w:r>
      <w:r w:rsidRPr="005E779E">
        <w:rPr>
          <w:rFonts w:ascii="Times New Roman" w:hAnsi="Times New Roman"/>
          <w:color w:val="000000" w:themeColor="text1"/>
          <w:sz w:val="16"/>
          <w:szCs w:val="16"/>
        </w:rPr>
        <w:softHyphen/>
        <w:t>выми прорезями (жабрами) в обтекателях го</w:t>
      </w:r>
      <w:r w:rsidRPr="005E779E">
        <w:rPr>
          <w:rFonts w:ascii="Times New Roman" w:hAnsi="Times New Roman"/>
          <w:color w:val="000000" w:themeColor="text1"/>
          <w:sz w:val="16"/>
          <w:szCs w:val="16"/>
        </w:rPr>
        <w:softHyphen/>
        <w:t>ловок цилиндров двигателя (11974).</w:t>
      </w:r>
    </w:p>
    <w:p w14:paraId="352563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67633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И.В.Четвериков предложил УВМС самолет для подводных лодок (92,500).</w:t>
      </w:r>
    </w:p>
    <w:p w14:paraId="2F90E1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41D12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был построен Г-8 В.К.Грибовского, но испытывался уже в 1932 (310).</w:t>
      </w:r>
    </w:p>
    <w:p w14:paraId="4A5823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25CB1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на Харьковском заводе построили самолет конструкции А.Н.Грацианского Омега для конкурса ЦС Осоавиахима (310).</w:t>
      </w:r>
    </w:p>
    <w:p w14:paraId="2920FA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13215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все еще испытывали И-7 (80,117).</w:t>
      </w:r>
    </w:p>
    <w:p w14:paraId="296E08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B36CE0C" w14:textId="77777777" w:rsidR="006F72EA" w:rsidRPr="00142305" w:rsidRDefault="006F72EA" w:rsidP="006F72E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1931 г. появилось предложение начальника ВВС ЧФ Лаврова по созданию И-2 на поплавках проект (гидроистребитель для самообороны крупных боевых кораблей). Предложение утверждено, но в варианте истребителя речного базирования (недостаточная мореходность) и видимо было начато проектирование самолета, но построен он не был (поплавки были изготовлены) (25306).</w:t>
      </w:r>
    </w:p>
    <w:p w14:paraId="308B9D18" w14:textId="77777777" w:rsidR="006F72EA" w:rsidRPr="00142305" w:rsidRDefault="006F72EA" w:rsidP="006F72EA">
      <w:pPr>
        <w:spacing w:after="0" w:line="240" w:lineRule="auto"/>
        <w:jc w:val="both"/>
        <w:rPr>
          <w:rFonts w:ascii="Times New Roman" w:hAnsi="Times New Roman"/>
          <w:color w:val="0070C0"/>
          <w:sz w:val="16"/>
          <w:szCs w:val="16"/>
        </w:rPr>
      </w:pPr>
    </w:p>
    <w:p w14:paraId="7D496FB7" w14:textId="77777777" w:rsidR="00496ABD" w:rsidRPr="005E779E" w:rsidRDefault="00496A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году в летные части начинают поступать первые истребители И-5, осна</w:t>
      </w:r>
      <w:r w:rsidRPr="005E779E">
        <w:rPr>
          <w:rFonts w:ascii="Times New Roman" w:hAnsi="Times New Roman"/>
          <w:color w:val="000000" w:themeColor="text1"/>
          <w:sz w:val="16"/>
          <w:szCs w:val="16"/>
        </w:rPr>
        <w:softHyphen/>
        <w:t>щенными двигателями воздушного охлажде</w:t>
      </w:r>
      <w:r w:rsidRPr="005E779E">
        <w:rPr>
          <w:rFonts w:ascii="Times New Roman" w:hAnsi="Times New Roman"/>
          <w:color w:val="000000" w:themeColor="text1"/>
          <w:sz w:val="16"/>
          <w:szCs w:val="16"/>
        </w:rPr>
        <w:softHyphen/>
        <w:t>ния. Активное насыщение ВВС этими но</w:t>
      </w:r>
      <w:r w:rsidRPr="005E779E">
        <w:rPr>
          <w:rFonts w:ascii="Times New Roman" w:hAnsi="Times New Roman"/>
          <w:color w:val="000000" w:themeColor="text1"/>
          <w:sz w:val="16"/>
          <w:szCs w:val="16"/>
        </w:rPr>
        <w:softHyphen/>
        <w:t>выми самолетами началось пару лет спустя, а еще через год истребители И-3 начали пе</w:t>
      </w:r>
      <w:r w:rsidRPr="005E779E">
        <w:rPr>
          <w:rFonts w:ascii="Times New Roman" w:hAnsi="Times New Roman"/>
          <w:color w:val="000000" w:themeColor="text1"/>
          <w:sz w:val="16"/>
          <w:szCs w:val="16"/>
        </w:rPr>
        <w:softHyphen/>
        <w:t>редаваться в летные школы и учебные по</w:t>
      </w:r>
      <w:r w:rsidRPr="005E779E">
        <w:rPr>
          <w:rFonts w:ascii="Times New Roman" w:hAnsi="Times New Roman"/>
          <w:color w:val="000000" w:themeColor="text1"/>
          <w:sz w:val="16"/>
          <w:szCs w:val="16"/>
        </w:rPr>
        <w:softHyphen/>
        <w:t>дразделения. В конце 1934 года началось их снятие с вооружения ВВС. Это решение бы</w:t>
      </w:r>
      <w:r w:rsidRPr="005E779E">
        <w:rPr>
          <w:rFonts w:ascii="Times New Roman" w:hAnsi="Times New Roman"/>
          <w:color w:val="000000" w:themeColor="text1"/>
          <w:sz w:val="16"/>
          <w:szCs w:val="16"/>
        </w:rPr>
        <w:softHyphen/>
        <w:t>ло связано не только с тем, что самолет уста</w:t>
      </w:r>
      <w:r w:rsidRPr="005E779E">
        <w:rPr>
          <w:rFonts w:ascii="Times New Roman" w:hAnsi="Times New Roman"/>
          <w:color w:val="000000" w:themeColor="text1"/>
          <w:sz w:val="16"/>
          <w:szCs w:val="16"/>
        </w:rPr>
        <w:softHyphen/>
        <w:t>рел, но и со сроком службы деревянной кон</w:t>
      </w:r>
      <w:r w:rsidRPr="005E779E">
        <w:rPr>
          <w:rFonts w:ascii="Times New Roman" w:hAnsi="Times New Roman"/>
          <w:color w:val="000000" w:themeColor="text1"/>
          <w:sz w:val="16"/>
          <w:szCs w:val="16"/>
        </w:rPr>
        <w:softHyphen/>
        <w:t>струкции, определяемой тогда в четыре года. В отдаленных гарнизонах И-3 еще использо</w:t>
      </w:r>
      <w:r w:rsidRPr="005E779E">
        <w:rPr>
          <w:rFonts w:ascii="Times New Roman" w:hAnsi="Times New Roman"/>
          <w:color w:val="000000" w:themeColor="text1"/>
          <w:sz w:val="16"/>
          <w:szCs w:val="16"/>
        </w:rPr>
        <w:softHyphen/>
        <w:t>вались для тренировок, но в основном они мирно доживали свой век на окраинах аэро</w:t>
      </w:r>
      <w:r w:rsidRPr="005E779E">
        <w:rPr>
          <w:rFonts w:ascii="Times New Roman" w:hAnsi="Times New Roman"/>
          <w:color w:val="000000" w:themeColor="text1"/>
          <w:sz w:val="16"/>
          <w:szCs w:val="16"/>
        </w:rPr>
        <w:softHyphen/>
        <w:t>дромов (12295).</w:t>
      </w:r>
    </w:p>
    <w:p w14:paraId="054FAF6D" w14:textId="77777777" w:rsidR="00496ABD" w:rsidRPr="005E779E" w:rsidRDefault="00496ABD" w:rsidP="000B7A6C">
      <w:pPr>
        <w:spacing w:after="0" w:line="240" w:lineRule="auto"/>
        <w:jc w:val="both"/>
        <w:rPr>
          <w:rFonts w:ascii="Times New Roman" w:hAnsi="Times New Roman"/>
          <w:color w:val="000000" w:themeColor="text1"/>
          <w:sz w:val="16"/>
          <w:szCs w:val="16"/>
        </w:rPr>
      </w:pPr>
    </w:p>
    <w:p w14:paraId="5D09AA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поддержке С.В.И. в 1931 в составе ЦКБ была образована группа В.П.Яценко по двухместным истребителям (158,13).</w:t>
      </w:r>
    </w:p>
    <w:p w14:paraId="56DD3D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09689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были утверждены требования к многоместному истребителю МИ-3 (АНТ-21) и двухместному пушечному истребителю ДИП (АНТ-29) с АПК (80,227).</w:t>
      </w:r>
    </w:p>
    <w:p w14:paraId="2A3146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F79E60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инженер НИИ ВВС Владимир Вахмистров предложил установить на крыле ТБ-1 два истребителя И-4. При полете к цели они получали горючее из баков носите</w:t>
      </w:r>
      <w:r w:rsidRPr="005E779E">
        <w:rPr>
          <w:rFonts w:ascii="Times New Roman" w:hAnsi="Times New Roman"/>
          <w:color w:val="000000" w:themeColor="text1"/>
          <w:sz w:val="16"/>
          <w:szCs w:val="16"/>
        </w:rPr>
        <w:softHyphen/>
        <w:t>ля — таким образом, их дальность значи</w:t>
      </w:r>
      <w:r w:rsidRPr="005E779E">
        <w:rPr>
          <w:rFonts w:ascii="Times New Roman" w:hAnsi="Times New Roman"/>
          <w:color w:val="000000" w:themeColor="text1"/>
          <w:sz w:val="16"/>
          <w:szCs w:val="16"/>
        </w:rPr>
        <w:softHyphen/>
        <w:t>тельно увеличивалась. После отцепки ист</w:t>
      </w:r>
      <w:r w:rsidRPr="005E779E">
        <w:rPr>
          <w:rFonts w:ascii="Times New Roman" w:hAnsi="Times New Roman"/>
          <w:color w:val="000000" w:themeColor="text1"/>
          <w:sz w:val="16"/>
          <w:szCs w:val="16"/>
        </w:rPr>
        <w:softHyphen/>
        <w:t>ребители осуществляли прикрытие бомбар</w:t>
      </w:r>
      <w:r w:rsidRPr="005E779E">
        <w:rPr>
          <w:rFonts w:ascii="Times New Roman" w:hAnsi="Times New Roman"/>
          <w:color w:val="000000" w:themeColor="text1"/>
          <w:sz w:val="16"/>
          <w:szCs w:val="16"/>
        </w:rPr>
        <w:softHyphen/>
        <w:t>дировщика и сопровождали его на обратном пути. Система получила название «Самолет-Звено», в документах той поры обознача</w:t>
      </w:r>
      <w:r w:rsidRPr="005E779E">
        <w:rPr>
          <w:rFonts w:ascii="Times New Roman" w:hAnsi="Times New Roman"/>
          <w:color w:val="000000" w:themeColor="text1"/>
          <w:sz w:val="16"/>
          <w:szCs w:val="16"/>
        </w:rPr>
        <w:softHyphen/>
        <w:t>лась: «СЗВ», «СЗ-1», самолет «3-1». Обосновав идею теоретическими рас</w:t>
      </w:r>
      <w:r w:rsidRPr="005E779E">
        <w:rPr>
          <w:rFonts w:ascii="Times New Roman" w:hAnsi="Times New Roman"/>
          <w:color w:val="000000" w:themeColor="text1"/>
          <w:sz w:val="16"/>
          <w:szCs w:val="16"/>
        </w:rPr>
        <w:softHyphen/>
        <w:t>четами и исследованиями в аэродинами</w:t>
      </w:r>
      <w:r w:rsidRPr="005E779E">
        <w:rPr>
          <w:rFonts w:ascii="Times New Roman" w:hAnsi="Times New Roman"/>
          <w:color w:val="000000" w:themeColor="text1"/>
          <w:sz w:val="16"/>
          <w:szCs w:val="16"/>
        </w:rPr>
        <w:softHyphen/>
        <w:t>ческой трубе, он в том же году сумел до</w:t>
      </w:r>
      <w:r w:rsidRPr="005E779E">
        <w:rPr>
          <w:rFonts w:ascii="Times New Roman" w:hAnsi="Times New Roman"/>
          <w:color w:val="000000" w:themeColor="text1"/>
          <w:sz w:val="16"/>
          <w:szCs w:val="16"/>
        </w:rPr>
        <w:softHyphen/>
        <w:t>биться реализации своего изобретения на практике. Для осуществления задуманного использовали ТБ-1 № 651 и два И-4 — № 1651 и № 1655. Для установки И-4 на верхней поверхности крыла бомбардиров</w:t>
      </w:r>
      <w:r w:rsidRPr="005E779E">
        <w:rPr>
          <w:rFonts w:ascii="Times New Roman" w:hAnsi="Times New Roman"/>
          <w:color w:val="000000" w:themeColor="text1"/>
          <w:sz w:val="16"/>
          <w:szCs w:val="16"/>
        </w:rPr>
        <w:softHyphen/>
        <w:t>щика с каждой стороны оборудовали по 3 пирамиды. На двух передних специальными фасонными замками закреплялось шасси истребителя. Третья пирамида с расцепля</w:t>
      </w:r>
      <w:r w:rsidRPr="005E779E">
        <w:rPr>
          <w:rFonts w:ascii="Times New Roman" w:hAnsi="Times New Roman"/>
          <w:color w:val="000000" w:themeColor="text1"/>
          <w:sz w:val="16"/>
          <w:szCs w:val="16"/>
        </w:rPr>
        <w:softHyphen/>
        <w:t>ющим замком поддерживала фюзеляж И-4 в районе 3-й силовой рамы. Так как истре</w:t>
      </w:r>
      <w:r w:rsidRPr="005E779E">
        <w:rPr>
          <w:rFonts w:ascii="Times New Roman" w:hAnsi="Times New Roman"/>
          <w:color w:val="000000" w:themeColor="text1"/>
          <w:sz w:val="16"/>
          <w:szCs w:val="16"/>
        </w:rPr>
        <w:softHyphen/>
        <w:t>бители устанавливали вблизи дисков вра</w:t>
      </w:r>
      <w:r w:rsidRPr="005E779E">
        <w:rPr>
          <w:rFonts w:ascii="Times New Roman" w:hAnsi="Times New Roman"/>
          <w:color w:val="000000" w:themeColor="text1"/>
          <w:sz w:val="16"/>
          <w:szCs w:val="16"/>
        </w:rPr>
        <w:softHyphen/>
        <w:t>щавшихся воздушных винтов бомбарди</w:t>
      </w:r>
      <w:r w:rsidRPr="005E779E">
        <w:rPr>
          <w:rFonts w:ascii="Times New Roman" w:hAnsi="Times New Roman"/>
          <w:color w:val="000000" w:themeColor="text1"/>
          <w:sz w:val="16"/>
          <w:szCs w:val="16"/>
        </w:rPr>
        <w:softHyphen/>
        <w:t>ровщика, то, опасаясь негативного воздей</w:t>
      </w:r>
      <w:r w:rsidRPr="005E779E">
        <w:rPr>
          <w:rFonts w:ascii="Times New Roman" w:hAnsi="Times New Roman"/>
          <w:color w:val="000000" w:themeColor="text1"/>
          <w:sz w:val="16"/>
          <w:szCs w:val="16"/>
        </w:rPr>
        <w:softHyphen/>
        <w:t>ствия потока от них, решили демонтировать небольшие нижние крылья И-4. Закатывали истребители на крыло носителя по специ</w:t>
      </w:r>
      <w:r w:rsidRPr="005E779E">
        <w:rPr>
          <w:rFonts w:ascii="Times New Roman" w:hAnsi="Times New Roman"/>
          <w:color w:val="000000" w:themeColor="text1"/>
          <w:sz w:val="16"/>
          <w:szCs w:val="16"/>
        </w:rPr>
        <w:softHyphen/>
        <w:t>альным рампам, снабженным деревянными желобами (11286).</w:t>
      </w:r>
    </w:p>
    <w:p w14:paraId="427BA02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BB0F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московский авиазавод № 1 заканчивал производство истребителя И-3 и начинал освоение истребителей И-5 и И-7. Основной продукцией завода стал Р-5. За текущий год в конструкцию разведчика внесли более 3000 конструктивных изменений с целью упрощения технологии производства. Это позволило снизить стоимость изготовления Р-5. На конец 1931 г. она составляла 34567 руб. (для сравнения: И-3 - 22212 руб., И-5 - 30934 руб., И-7 - 102086 руб.) (5016).</w:t>
      </w:r>
    </w:p>
    <w:p w14:paraId="725C97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B6D4F88" w14:textId="77777777" w:rsidR="006F72EA" w:rsidRPr="00142305" w:rsidRDefault="006F72EA" w:rsidP="006F72E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1931 г. шли работы по «разрезному» (механизированному) кры</w:t>
      </w:r>
      <w:r w:rsidRPr="00142305">
        <w:rPr>
          <w:rFonts w:ascii="Times New Roman" w:hAnsi="Times New Roman"/>
          <w:color w:val="0070C0"/>
          <w:sz w:val="16"/>
          <w:szCs w:val="16"/>
        </w:rPr>
        <w:softHyphen/>
        <w:t>лу для Р-5. До этого велись переговоры о проекти</w:t>
      </w:r>
      <w:r w:rsidRPr="00142305">
        <w:rPr>
          <w:rFonts w:ascii="Times New Roman" w:hAnsi="Times New Roman"/>
          <w:color w:val="0070C0"/>
          <w:sz w:val="16"/>
          <w:szCs w:val="16"/>
        </w:rPr>
        <w:softHyphen/>
        <w:t>ровании его в Англии, в конструкторском бюро извес</w:t>
      </w:r>
      <w:r w:rsidRPr="00142305">
        <w:rPr>
          <w:rFonts w:ascii="Times New Roman" w:hAnsi="Times New Roman"/>
          <w:color w:val="0070C0"/>
          <w:sz w:val="16"/>
          <w:szCs w:val="16"/>
        </w:rPr>
        <w:softHyphen/>
        <w:t>тной фирмы «Хендли-Пэйдж», обладавшей нескольки</w:t>
      </w:r>
      <w:r w:rsidRPr="00142305">
        <w:rPr>
          <w:rFonts w:ascii="Times New Roman" w:hAnsi="Times New Roman"/>
          <w:color w:val="0070C0"/>
          <w:sz w:val="16"/>
          <w:szCs w:val="16"/>
        </w:rPr>
        <w:softHyphen/>
        <w:t>ми ценными патентами. По-видимому, или не договори</w:t>
      </w:r>
      <w:r w:rsidRPr="00142305">
        <w:rPr>
          <w:rFonts w:ascii="Times New Roman" w:hAnsi="Times New Roman"/>
          <w:color w:val="0070C0"/>
          <w:sz w:val="16"/>
          <w:szCs w:val="16"/>
        </w:rPr>
        <w:softHyphen/>
        <w:t>лись о цене, или наверху отказались выделять на это ва</w:t>
      </w:r>
      <w:r w:rsidRPr="00142305">
        <w:rPr>
          <w:rFonts w:ascii="Times New Roman" w:hAnsi="Times New Roman"/>
          <w:color w:val="0070C0"/>
          <w:sz w:val="16"/>
          <w:szCs w:val="16"/>
        </w:rPr>
        <w:softHyphen/>
        <w:t>люту. Пришлось создавать механизированное крыло са</w:t>
      </w:r>
      <w:r w:rsidRPr="00142305">
        <w:rPr>
          <w:rFonts w:ascii="Times New Roman" w:hAnsi="Times New Roman"/>
          <w:color w:val="0070C0"/>
          <w:sz w:val="16"/>
          <w:szCs w:val="16"/>
        </w:rPr>
        <w:softHyphen/>
        <w:t>мостоятельно. Руководили работами Л.И. Сутугин (аэро</w:t>
      </w:r>
      <w:r w:rsidRPr="00142305">
        <w:rPr>
          <w:rFonts w:ascii="Times New Roman" w:hAnsi="Times New Roman"/>
          <w:color w:val="0070C0"/>
          <w:sz w:val="16"/>
          <w:szCs w:val="16"/>
        </w:rPr>
        <w:softHyphen/>
        <w:t>динамик) и С.А. Кочеригин (конструктор) (24990).</w:t>
      </w:r>
    </w:p>
    <w:p w14:paraId="6B90F942" w14:textId="77777777" w:rsidR="006F72EA" w:rsidRPr="00142305" w:rsidRDefault="006F72EA" w:rsidP="006F72EA">
      <w:pPr>
        <w:spacing w:after="0" w:line="240" w:lineRule="auto"/>
        <w:jc w:val="both"/>
        <w:rPr>
          <w:rFonts w:ascii="Times New Roman" w:hAnsi="Times New Roman"/>
          <w:color w:val="0070C0"/>
          <w:sz w:val="16"/>
          <w:szCs w:val="16"/>
        </w:rPr>
      </w:pPr>
    </w:p>
    <w:p w14:paraId="652C2F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на авиазаводе №39 по эскизам Рафаэлянца и летчика Б.Л.Бухгольца был построен модифицированный Р-5. На месте кабины летнаба оборудовали двухместную пассажирскую кабину, кресла стояли напротив друг друга. Все было прикрыто одним прозрачным фонарем из целлулоида. Подобные кабины называли «лимузинами» - отсюда и название самолета. Так как работа относилась к деятельности ЦКБ-39 ОГПУ, то самолет показывался неоднократно членам правительственных комиссий как собственное изобретение этой организации. По типу этого самолета на авиазаводе №1 изготовили в 1932-33 гг. несколько подобных экземпляров (5016).</w:t>
      </w:r>
    </w:p>
    <w:p w14:paraId="6B3028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18B8B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на заводе № 39 по чертежам А.Н. Рафаэлянца и Б.Л. Бухгольца построили первый "лимузин" ЛП-5 или ПЛ-5, у которых за местом пилота находилась закрытая пассажирская кабина. Два пассажира сидели лицом друг к другу, разделенные столиком. Кабины были накрыты общим прозрачным фонарем. На левом борту висела лестница. В 1933 г. выпустили несколько подобных машин, но без лестниц (11936).</w:t>
      </w:r>
    </w:p>
    <w:p w14:paraId="516082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4FD5E06" w14:textId="77777777" w:rsidR="006F72EA" w:rsidRPr="00142305" w:rsidRDefault="006F72EA" w:rsidP="006F72E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1931 г. на заводе № 39 по чертежам А.Н. Рафаэлянца и Б.Л. Бухгольца изготовили первый Р-5 в варианте лимузина. На месте бывшей кабины стрелка оборудовали пассажирс</w:t>
      </w:r>
      <w:r w:rsidRPr="00142305">
        <w:rPr>
          <w:rFonts w:ascii="Times New Roman" w:hAnsi="Times New Roman"/>
          <w:color w:val="0070C0"/>
          <w:sz w:val="16"/>
          <w:szCs w:val="16"/>
        </w:rPr>
        <w:softHyphen/>
        <w:t>кую. Два человека сидели лицом друг к другу, разделенные столиком. Обе кабины были накрыты общим прозрачным фонарем. На левом борту «лимузина» висела несъемная лестница-трап. В 1933 г. выпустили несколько машин, по</w:t>
      </w:r>
      <w:r w:rsidRPr="00142305">
        <w:rPr>
          <w:rFonts w:ascii="Times New Roman" w:hAnsi="Times New Roman"/>
          <w:color w:val="0070C0"/>
          <w:sz w:val="16"/>
          <w:szCs w:val="16"/>
        </w:rPr>
        <w:softHyphen/>
        <w:t>добных «лимузину» 1931 г., но без наружных лестниц (24990).</w:t>
      </w:r>
    </w:p>
    <w:p w14:paraId="270CC5E0" w14:textId="77777777" w:rsidR="006F72EA" w:rsidRPr="00142305" w:rsidRDefault="006F72EA" w:rsidP="006F72EA">
      <w:pPr>
        <w:spacing w:after="0" w:line="240" w:lineRule="auto"/>
        <w:jc w:val="both"/>
        <w:rPr>
          <w:rFonts w:ascii="Times New Roman" w:hAnsi="Times New Roman"/>
          <w:color w:val="0070C0"/>
          <w:sz w:val="16"/>
          <w:szCs w:val="16"/>
        </w:rPr>
      </w:pPr>
    </w:p>
    <w:p w14:paraId="7E6FBA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 1931 году построили морской вариант разведчика Р-5 (пс аналогии с Р-1), обозначенной Р-5а (МР-5). Поплавки, в создании которых принимал участие конструктор В.Б. Шавров, были выполнены из дерева. Р-5с имел увеличенный до 1,25 кв.м воздушный киль и приспособление для запуска двигателя на воде - ручку в борту для проворачивания вала. В остальном конструкция самолете оставалось идентичной стандартному Р-5.</w:t>
      </w:r>
    </w:p>
    <w:p w14:paraId="1F4E5C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Серийный выпуск поплавкового разведчика планировалось развернуть на таганрогском авиазаводе №31. Действительно там провели подготовительные работы для освоения самолета</w:t>
      </w:r>
      <w:r w:rsidR="00496ABD"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rPr>
        <w:t xml:space="preserve"> но к положительному результату они не привели (5016).</w:t>
      </w:r>
    </w:p>
    <w:p w14:paraId="1C38DF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CEE9AC8" w14:textId="77777777" w:rsidR="00496ABD" w:rsidRPr="005E779E" w:rsidRDefault="00496A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руководитель Осконбюро ВВС П.И. Гроховский выдал задание конст</w:t>
      </w:r>
      <w:r w:rsidRPr="005E779E">
        <w:rPr>
          <w:rFonts w:ascii="Times New Roman" w:hAnsi="Times New Roman"/>
          <w:color w:val="000000" w:themeColor="text1"/>
          <w:sz w:val="16"/>
          <w:szCs w:val="16"/>
        </w:rPr>
        <w:softHyphen/>
        <w:t>руктору Б.Д. Урлапову на проектиро</w:t>
      </w:r>
      <w:r w:rsidRPr="005E779E">
        <w:rPr>
          <w:rFonts w:ascii="Times New Roman" w:hAnsi="Times New Roman"/>
          <w:color w:val="000000" w:themeColor="text1"/>
          <w:sz w:val="16"/>
          <w:szCs w:val="16"/>
        </w:rPr>
        <w:softHyphen/>
        <w:t>вание такого аппарата. В результате в 1932 г. был построен планёр Г-31, способный перевозить 17 человек. Од</w:t>
      </w:r>
      <w:r w:rsidRPr="005E779E">
        <w:rPr>
          <w:rFonts w:ascii="Times New Roman" w:hAnsi="Times New Roman"/>
          <w:color w:val="000000" w:themeColor="text1"/>
          <w:sz w:val="16"/>
          <w:szCs w:val="16"/>
        </w:rPr>
        <w:softHyphen/>
        <w:t>нако вскоре это направление оказалось заброшено, и вернулись к нему толь</w:t>
      </w:r>
      <w:r w:rsidRPr="005E779E">
        <w:rPr>
          <w:rFonts w:ascii="Times New Roman" w:hAnsi="Times New Roman"/>
          <w:color w:val="000000" w:themeColor="text1"/>
          <w:sz w:val="16"/>
          <w:szCs w:val="16"/>
        </w:rPr>
        <w:softHyphen/>
        <w:t>ко в конце 1930-х гг., когда поступили сведения о подобных разработках в Германии (12266).</w:t>
      </w:r>
    </w:p>
    <w:p w14:paraId="78B4C64A" w14:textId="77777777" w:rsidR="00496ABD" w:rsidRPr="005E779E" w:rsidRDefault="00496ABD" w:rsidP="000B7A6C">
      <w:pPr>
        <w:spacing w:after="0" w:line="240" w:lineRule="auto"/>
        <w:jc w:val="both"/>
        <w:rPr>
          <w:rFonts w:ascii="Times New Roman" w:hAnsi="Times New Roman"/>
          <w:color w:val="000000" w:themeColor="text1"/>
          <w:sz w:val="16"/>
          <w:szCs w:val="16"/>
        </w:rPr>
      </w:pPr>
    </w:p>
    <w:p w14:paraId="4A280AB4" w14:textId="77777777" w:rsidR="00496ABD" w:rsidRPr="005E779E" w:rsidRDefault="00496A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П.И. Гроховский, выдал задание конструктору Б.Д. Урлапову на проектирование де</w:t>
      </w:r>
      <w:r w:rsidRPr="005E779E">
        <w:rPr>
          <w:rFonts w:ascii="Times New Roman" w:hAnsi="Times New Roman"/>
          <w:color w:val="000000" w:themeColor="text1"/>
          <w:sz w:val="16"/>
          <w:szCs w:val="16"/>
        </w:rPr>
        <w:softHyphen/>
        <w:t>сантного планера. По заданию планер должен был буксироваться за самолетом Р-5 и перевозить 1700 кг груза или 17 де</w:t>
      </w:r>
      <w:r w:rsidRPr="005E779E">
        <w:rPr>
          <w:rFonts w:ascii="Times New Roman" w:hAnsi="Times New Roman"/>
          <w:color w:val="000000" w:themeColor="text1"/>
          <w:sz w:val="16"/>
          <w:szCs w:val="16"/>
        </w:rPr>
        <w:softHyphen/>
        <w:t>сантников.</w:t>
      </w:r>
    </w:p>
    <w:p w14:paraId="7D2F851C" w14:textId="77777777" w:rsidR="00496ABD" w:rsidRPr="005E779E" w:rsidRDefault="00496A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Планер Г-31 (первоначально Г-63) был свободнонесущим монопланом цельнодеревянной конструк</w:t>
      </w:r>
      <w:r w:rsidRPr="005E779E">
        <w:rPr>
          <w:rFonts w:ascii="Times New Roman" w:hAnsi="Times New Roman"/>
          <w:color w:val="000000" w:themeColor="text1"/>
          <w:sz w:val="16"/>
          <w:szCs w:val="16"/>
        </w:rPr>
        <w:softHyphen/>
        <w:t>ции с неубираемым шасси с хвостовым костылем. Для размещения грузов предназначалось 16 ячеек размером 660 х 550 * 2100 мм, скомпонованных в центроплане. Такое размещение грузов обусловило применение толстых профилей ЦАГИ — 677, 678 и 679, с относительной толщиной 18%, в крыле. Носок центроплана был сделан из плексигласа и мог отки</w:t>
      </w:r>
      <w:r w:rsidRPr="005E779E">
        <w:rPr>
          <w:rFonts w:ascii="Times New Roman" w:hAnsi="Times New Roman"/>
          <w:color w:val="000000" w:themeColor="text1"/>
          <w:sz w:val="16"/>
          <w:szCs w:val="16"/>
        </w:rPr>
        <w:softHyphen/>
        <w:t>дываться вверх, для проведения погрузочно-разгру- зочных работ. Крыло большого удлинения обеспечи</w:t>
      </w:r>
      <w:r w:rsidRPr="005E779E">
        <w:rPr>
          <w:rFonts w:ascii="Times New Roman" w:hAnsi="Times New Roman"/>
          <w:color w:val="000000" w:themeColor="text1"/>
          <w:sz w:val="16"/>
          <w:szCs w:val="16"/>
        </w:rPr>
        <w:softHyphen/>
        <w:t>ло аппарату приличное аэродинамическое качество, достигавшее 28,6 единицы.</w:t>
      </w:r>
    </w:p>
    <w:p w14:paraId="23128EB1" w14:textId="77777777" w:rsidR="00496ABD" w:rsidRPr="005E779E" w:rsidRDefault="00496A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Фюзеляж и хвостовая балка были максимально обжаты и в носу несли (в первом варианте) открытую кабину для одного пилота. Колеса шасси закрыва</w:t>
      </w:r>
      <w:r w:rsidRPr="005E779E">
        <w:rPr>
          <w:rFonts w:ascii="Times New Roman" w:hAnsi="Times New Roman"/>
          <w:color w:val="000000" w:themeColor="text1"/>
          <w:sz w:val="16"/>
          <w:szCs w:val="16"/>
        </w:rPr>
        <w:softHyphen/>
        <w:t>лись обтекателями.</w:t>
      </w:r>
    </w:p>
    <w:p w14:paraId="19F8D82C" w14:textId="77777777" w:rsidR="00496ABD" w:rsidRPr="005E779E" w:rsidRDefault="00496A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том же месяце под Ленингра</w:t>
      </w:r>
      <w:r w:rsidRPr="005E779E">
        <w:rPr>
          <w:rFonts w:ascii="Times New Roman" w:hAnsi="Times New Roman"/>
          <w:color w:val="000000" w:themeColor="text1"/>
          <w:sz w:val="16"/>
          <w:szCs w:val="16"/>
        </w:rPr>
        <w:softHyphen/>
        <w:t>дом планер облетал конструктор П.И. Гроховский. Дальнейшие испытания проходили в Москве и выпол</w:t>
      </w:r>
      <w:r w:rsidRPr="005E779E">
        <w:rPr>
          <w:rFonts w:ascii="Times New Roman" w:hAnsi="Times New Roman"/>
          <w:color w:val="000000" w:themeColor="text1"/>
          <w:sz w:val="16"/>
          <w:szCs w:val="16"/>
        </w:rPr>
        <w:softHyphen/>
        <w:t>нялись пилотами В.А. Степанчёнком и Н.А. Нюхтико- вым. Вскоре в одном из полетов Г-63 потерпел ава</w:t>
      </w:r>
      <w:r w:rsidRPr="005E779E">
        <w:rPr>
          <w:rFonts w:ascii="Times New Roman" w:hAnsi="Times New Roman"/>
          <w:color w:val="000000" w:themeColor="text1"/>
          <w:sz w:val="16"/>
          <w:szCs w:val="16"/>
        </w:rPr>
        <w:softHyphen/>
        <w:t>рию. В ходе ремонта, который был закончен в августе 1933 г., на планере смонтировали кабину для второ</w:t>
      </w:r>
      <w:r w:rsidRPr="005E779E">
        <w:rPr>
          <w:rFonts w:ascii="Times New Roman" w:hAnsi="Times New Roman"/>
          <w:color w:val="000000" w:themeColor="text1"/>
          <w:sz w:val="16"/>
          <w:szCs w:val="16"/>
        </w:rPr>
        <w:softHyphen/>
        <w:t>го пилота, доработали систему управления, усилили шасси и т.д. После этого планеру присвоили обозна</w:t>
      </w:r>
      <w:r w:rsidRPr="005E779E">
        <w:rPr>
          <w:rFonts w:ascii="Times New Roman" w:hAnsi="Times New Roman"/>
          <w:color w:val="000000" w:themeColor="text1"/>
          <w:sz w:val="16"/>
          <w:szCs w:val="16"/>
        </w:rPr>
        <w:softHyphen/>
        <w:t>чение «Г-31» (12300).</w:t>
      </w:r>
    </w:p>
    <w:p w14:paraId="7A89C87A" w14:textId="77777777" w:rsidR="00496ABD" w:rsidRPr="005E779E" w:rsidRDefault="00496ABD" w:rsidP="000B7A6C">
      <w:pPr>
        <w:spacing w:after="0" w:line="240" w:lineRule="auto"/>
        <w:jc w:val="both"/>
        <w:rPr>
          <w:rFonts w:ascii="Times New Roman" w:hAnsi="Times New Roman"/>
          <w:color w:val="000000" w:themeColor="text1"/>
          <w:sz w:val="16"/>
          <w:szCs w:val="16"/>
        </w:rPr>
      </w:pPr>
    </w:p>
    <w:p w14:paraId="4F087C60" w14:textId="77777777" w:rsidR="006F72EA" w:rsidRPr="00142305" w:rsidRDefault="006F72EA" w:rsidP="006F72E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1931 г. на заводе № 23 на базе У-2 АП создали осо</w:t>
      </w:r>
      <w:r w:rsidRPr="00142305">
        <w:rPr>
          <w:rFonts w:ascii="Times New Roman" w:hAnsi="Times New Roman"/>
          <w:color w:val="0070C0"/>
          <w:sz w:val="16"/>
          <w:szCs w:val="16"/>
        </w:rPr>
        <w:softHyphen/>
        <w:t>бый У-2, оборудованный закрытой пас</w:t>
      </w:r>
      <w:r w:rsidRPr="00142305">
        <w:rPr>
          <w:rFonts w:ascii="Times New Roman" w:hAnsi="Times New Roman"/>
          <w:color w:val="0070C0"/>
          <w:sz w:val="16"/>
          <w:szCs w:val="16"/>
        </w:rPr>
        <w:softHyphen/>
        <w:t>сажирской кабиной. Первоначально са</w:t>
      </w:r>
      <w:r w:rsidRPr="00142305">
        <w:rPr>
          <w:rFonts w:ascii="Times New Roman" w:hAnsi="Times New Roman"/>
          <w:color w:val="0070C0"/>
          <w:sz w:val="16"/>
          <w:szCs w:val="16"/>
        </w:rPr>
        <w:softHyphen/>
        <w:t>молет проектировался для полетов пер</w:t>
      </w:r>
      <w:r w:rsidRPr="00142305">
        <w:rPr>
          <w:rFonts w:ascii="Times New Roman" w:hAnsi="Times New Roman"/>
          <w:color w:val="0070C0"/>
          <w:sz w:val="16"/>
          <w:szCs w:val="16"/>
        </w:rPr>
        <w:softHyphen/>
        <w:t>вого секретаря Ленинградского обкома партии С.М. Кирова, поэтому получил обозначение СП — «специальное при</w:t>
      </w:r>
      <w:r w:rsidRPr="00142305">
        <w:rPr>
          <w:rFonts w:ascii="Times New Roman" w:hAnsi="Times New Roman"/>
          <w:color w:val="0070C0"/>
          <w:sz w:val="16"/>
          <w:szCs w:val="16"/>
        </w:rPr>
        <w:softHyphen/>
        <w:t>менение». Комфортабельная одномест</w:t>
      </w:r>
      <w:r w:rsidRPr="00142305">
        <w:rPr>
          <w:rFonts w:ascii="Times New Roman" w:hAnsi="Times New Roman"/>
          <w:color w:val="0070C0"/>
          <w:sz w:val="16"/>
          <w:szCs w:val="16"/>
        </w:rPr>
        <w:softHyphen/>
        <w:t>ная пассажирская кабина с откидным рабочим столиком имела сдвигаемый на</w:t>
      </w:r>
      <w:r w:rsidRPr="00142305">
        <w:rPr>
          <w:rFonts w:ascii="Times New Roman" w:hAnsi="Times New Roman"/>
          <w:color w:val="0070C0"/>
          <w:sz w:val="16"/>
          <w:szCs w:val="16"/>
        </w:rPr>
        <w:softHyphen/>
        <w:t>зад колпак с боковыми окнами. В отноше</w:t>
      </w:r>
      <w:r w:rsidRPr="00142305">
        <w:rPr>
          <w:rFonts w:ascii="Times New Roman" w:hAnsi="Times New Roman"/>
          <w:color w:val="0070C0"/>
          <w:sz w:val="16"/>
          <w:szCs w:val="16"/>
        </w:rPr>
        <w:softHyphen/>
        <w:t>нии этого У-2 использовали определение «лимузин», которое позднее применялось практически для всех самолетов с закры</w:t>
      </w:r>
      <w:r w:rsidRPr="00142305">
        <w:rPr>
          <w:rFonts w:ascii="Times New Roman" w:hAnsi="Times New Roman"/>
          <w:color w:val="0070C0"/>
          <w:sz w:val="16"/>
          <w:szCs w:val="16"/>
        </w:rPr>
        <w:softHyphen/>
        <w:t>тыми пассажирскими кабинами.</w:t>
      </w:r>
    </w:p>
    <w:p w14:paraId="13985EF9" w14:textId="77777777" w:rsidR="006F72EA" w:rsidRPr="00142305" w:rsidRDefault="006F72EA" w:rsidP="006F72E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период 1931 - 1933 гг. авиазавод №23 изготовил неустановленное количест</w:t>
      </w:r>
      <w:r w:rsidRPr="00142305">
        <w:rPr>
          <w:rFonts w:ascii="Times New Roman" w:hAnsi="Times New Roman"/>
          <w:color w:val="0070C0"/>
          <w:sz w:val="16"/>
          <w:szCs w:val="16"/>
        </w:rPr>
        <w:softHyphen/>
        <w:t>во У-2СП (иногда указываются 60 вы</w:t>
      </w:r>
      <w:r w:rsidRPr="00142305">
        <w:rPr>
          <w:rFonts w:ascii="Times New Roman" w:hAnsi="Times New Roman"/>
          <w:color w:val="0070C0"/>
          <w:sz w:val="16"/>
          <w:szCs w:val="16"/>
        </w:rPr>
        <w:softHyphen/>
        <w:t>пущенных таких машин, однако в отно</w:t>
      </w:r>
      <w:r w:rsidRPr="00142305">
        <w:rPr>
          <w:rFonts w:ascii="Times New Roman" w:hAnsi="Times New Roman"/>
          <w:color w:val="0070C0"/>
          <w:sz w:val="16"/>
          <w:szCs w:val="16"/>
        </w:rPr>
        <w:softHyphen/>
        <w:t>шении этой цифры имеются большие сомнения), которые строились по инди</w:t>
      </w:r>
      <w:r w:rsidRPr="00142305">
        <w:rPr>
          <w:rFonts w:ascii="Times New Roman" w:hAnsi="Times New Roman"/>
          <w:color w:val="0070C0"/>
          <w:sz w:val="16"/>
          <w:szCs w:val="16"/>
        </w:rPr>
        <w:softHyphen/>
        <w:t>видуальным заказам и, судя по сводным ведомостям авиазавода №23, проходили по планам выпуска сельскохозяйствен</w:t>
      </w:r>
      <w:r w:rsidRPr="00142305">
        <w:rPr>
          <w:rFonts w:ascii="Times New Roman" w:hAnsi="Times New Roman"/>
          <w:color w:val="0070C0"/>
          <w:sz w:val="16"/>
          <w:szCs w:val="16"/>
        </w:rPr>
        <w:softHyphen/>
        <w:t>ных АП. В большинстве этих СП (СП-1) пассажирская кабина имела кресла для двух пассажиров, сидящих лицом друг к другу. Самолеты с успехом ис</w:t>
      </w:r>
      <w:r w:rsidRPr="00142305">
        <w:rPr>
          <w:rFonts w:ascii="Times New Roman" w:hAnsi="Times New Roman"/>
          <w:color w:val="0070C0"/>
          <w:sz w:val="16"/>
          <w:szCs w:val="16"/>
        </w:rPr>
        <w:softHyphen/>
        <w:t>пользовались в так называемой испол</w:t>
      </w:r>
      <w:r w:rsidRPr="00142305">
        <w:rPr>
          <w:rFonts w:ascii="Times New Roman" w:hAnsi="Times New Roman"/>
          <w:color w:val="0070C0"/>
          <w:sz w:val="16"/>
          <w:szCs w:val="16"/>
        </w:rPr>
        <w:softHyphen/>
        <w:t>комовской авиации для перевозки пред</w:t>
      </w:r>
      <w:r w:rsidRPr="00142305">
        <w:rPr>
          <w:rFonts w:ascii="Times New Roman" w:hAnsi="Times New Roman"/>
          <w:color w:val="0070C0"/>
          <w:sz w:val="16"/>
          <w:szCs w:val="16"/>
        </w:rPr>
        <w:softHyphen/>
        <w:t>ставителей власти и сотрудников ОГПУ (24979).</w:t>
      </w:r>
    </w:p>
    <w:p w14:paraId="57801FBE" w14:textId="77777777" w:rsidR="006F72EA" w:rsidRPr="00142305" w:rsidRDefault="006F72EA" w:rsidP="006F72EA">
      <w:pPr>
        <w:spacing w:after="0" w:line="240" w:lineRule="auto"/>
        <w:jc w:val="both"/>
        <w:rPr>
          <w:rFonts w:ascii="Times New Roman" w:hAnsi="Times New Roman"/>
          <w:color w:val="0070C0"/>
          <w:sz w:val="16"/>
          <w:szCs w:val="16"/>
        </w:rPr>
      </w:pPr>
    </w:p>
    <w:p w14:paraId="0AD60494" w14:textId="77777777" w:rsidR="006F72EA" w:rsidRPr="00142305" w:rsidRDefault="006F72EA" w:rsidP="006F72E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1931 г. производственная программа завода № 23 была увеличена в несколько раз, завод перестраивался для освоения этой гигантской программы. В июне на строительстве новых цехов работало 450 сезонных рабочих. На второй площадке (у Комендантского аэродрома) возведены каменные корпуса деревообделочного и столярного цехов, корпус цеха окончательной сборки и малярно-окрасочных работ. Если в 1930 г. на заводе работало 874 человека, то в 1931 г. число работающих составляло уже 2674. В 1931 г. завод выпустил 114 самолетов У-1, 27 самолетов П-2 и 338 самолетов У-2 различных модификаций [2, л. 13]. В 1932 г. завод выпустил 1115 самолетов У-2. Был достигнут почти трехкратный рост по сравнению с 1931 г. Сказались результаты осуществленной в 1931 г. программы строительства новых цехов, дооборудования предприятия и укомплектования его квалифицированной рабочей силой [3, л. 42]. В 1933 г. численность работающих на заводе достигла 3358 человек. За год было выпущено 1508 самолетов У-2 и АП. На заводе функционировали механический, инструментальный, слесарно-сварочный, деревозаготовительный, деревообделочный, столярный (самый большой по размерам), медницко-жестяницкий, термический, фюзеляжно-сборочный, эмалитно-сборочный цеха и цех ширпотреба, а также лаборатория механических испытаний, химическая и метрологическая лаборатории [4, л. 38]. В 1936 г. вышло решение правительства об</w:t>
      </w:r>
    </w:p>
    <w:p w14:paraId="4F7A644D" w14:textId="77777777" w:rsidR="006F72EA" w:rsidRPr="00142305" w:rsidRDefault="006F72EA" w:rsidP="006F72EA">
      <w:pPr>
        <w:spacing w:after="0" w:line="240" w:lineRule="auto"/>
        <w:jc w:val="both"/>
        <w:rPr>
          <w:rFonts w:ascii="Times New Roman" w:hAnsi="Times New Roman"/>
          <w:color w:val="0070C0"/>
          <w:sz w:val="16"/>
          <w:szCs w:val="16"/>
        </w:rPr>
      </w:pPr>
    </w:p>
    <w:p w14:paraId="12DCEEE1" w14:textId="77777777" w:rsidR="00C62F42" w:rsidRPr="005E779E" w:rsidRDefault="00C62F42"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В 1931 г. на Комендантском аэродроме проходили испытания У-1 с ускорителями. Было сделано около 100 взлётов. Подняться в воздух удавалось очень быстро, почти без разбега. Самолёт пилотировал С.И. Мухин, на втором сидении находился В.И. Дудаков. Это были первые в мире старты самолёта на колёсном шасси с использованием реактивных ускорителей (17489).</w:t>
      </w:r>
    </w:p>
    <w:p w14:paraId="40C4D946" w14:textId="77777777" w:rsidR="00C62F42" w:rsidRPr="005E779E" w:rsidRDefault="00C62F42" w:rsidP="000B7A6C">
      <w:pPr>
        <w:spacing w:after="0" w:line="240" w:lineRule="auto"/>
        <w:jc w:val="both"/>
        <w:rPr>
          <w:rFonts w:ascii="Times New Roman" w:eastAsia="Times New Roman" w:hAnsi="Times New Roman"/>
          <w:color w:val="000000" w:themeColor="text1"/>
          <w:sz w:val="16"/>
          <w:szCs w:val="16"/>
          <w:lang w:eastAsia="ru-RU"/>
        </w:rPr>
      </w:pPr>
    </w:p>
    <w:p w14:paraId="5AD01A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цельнометаллические поплавковые самолеты ЮГ-1 на Балтике перекрашивали тоже по схеме "зеленый- голубой": верх красился зеленой краской, в которую входили цинковые белила, умбра (30%), охра (15%), лазурь (1,5%), зелень (3%) и сажа (1,5%), низ - цинковыми белилами. Все внутренние объемы покрывали "серебрянкой". Поплавки снизу мазали "Кузбасслаком", а надводную часть, стойки и подкосы - асфальтовым лаком, немного более сероватого тона и более матовым.</w:t>
      </w:r>
    </w:p>
    <w:p w14:paraId="7C9023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 летающих лодок весь планер предварительно грунтовался "серебрянкой", а затем покрывался свинцово-серой "морской шаровой" краской. Это относилось как к машинам отечественного производства, так и к импортным - немецким и итальянским, которые красили на заводах по техническим условиям заказчика. Импортные эмали имели более высокое качество, чем советские. В дальнейшем самолеты подкрашивали по мере необходимости теми же импортными красками, запас их приобретали вместе с машинами.</w:t>
      </w:r>
    </w:p>
    <w:p w14:paraId="40B464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 морских самолетов днище лодки или поплавков ниже ватерлинии покрывалось водозащитным лаком в два слоя. У летающих лодок Дорнье "Валь" (ДВ) в эту зону входили и целиком "жабры" - боковые спонсоны, повышавшие устойчивость на воде. Покрытие в обоих случаях выполнялось глянцево-черным.</w:t>
      </w:r>
    </w:p>
    <w:p w14:paraId="637420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покупке в 1931 г. в Италии партии летающих лодок S.62bis (у нас обозначались С-62Б) довольно долго решался вопрос об их окраске. В исходных технических условиях на поставку указывалось, что верх должен быть "защитным", а низ - светло-голубым. Но итальянцы довольно быстро смогли доказать, что для морской авиации это неудобно. Предлагались три варианта цвета: светло-голубой (как на самолетах для ВВС Италии), практичный серебристый и светло-серый (по образцу экспортной серии для Румынии). Первые 12 лодок были покрашены итальянцами в комбинацию "морского" ("шарового") и светло- голубого цветов, затем по требованию советских приемщиков перекрашены в серебристый. Днище было черным - использовалась специальная краска "морская черная против обрастания". Позже, в эксплуатации выявилось, что эта краска со временем вздувается волдырями, а на жаре плавится и течет. Машины перекрашивали отечественным "Кузбасс- лаком" (11987).</w:t>
      </w:r>
    </w:p>
    <w:p w14:paraId="7914E4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191FA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Ведомость выполнения планов заказа авиапромышленностью специального имущества ВВС за весь 1931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09"/>
        <w:gridCol w:w="1409"/>
        <w:gridCol w:w="1409"/>
        <w:gridCol w:w="1409"/>
        <w:gridCol w:w="1409"/>
      </w:tblGrid>
      <w:tr w:rsidR="001002C3" w:rsidRPr="005E779E" w14:paraId="1C556C00" w14:textId="77777777">
        <w:tc>
          <w:tcPr>
            <w:tcW w:w="1409" w:type="dxa"/>
          </w:tcPr>
          <w:p w14:paraId="4831A6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Самолеты</w:t>
            </w:r>
          </w:p>
        </w:tc>
        <w:tc>
          <w:tcPr>
            <w:tcW w:w="1409" w:type="dxa"/>
          </w:tcPr>
          <w:p w14:paraId="33CF38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Кол-во</w:t>
            </w:r>
          </w:p>
        </w:tc>
        <w:tc>
          <w:tcPr>
            <w:tcW w:w="1409" w:type="dxa"/>
          </w:tcPr>
          <w:p w14:paraId="2FA639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Результаты выполнения</w:t>
            </w:r>
          </w:p>
        </w:tc>
        <w:tc>
          <w:tcPr>
            <w:tcW w:w="1409" w:type="dxa"/>
          </w:tcPr>
          <w:p w14:paraId="1705D5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5D30A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выполнения</w:t>
            </w:r>
          </w:p>
        </w:tc>
      </w:tr>
      <w:tr w:rsidR="001002C3" w:rsidRPr="005E779E" w14:paraId="6DFA8601" w14:textId="77777777">
        <w:tc>
          <w:tcPr>
            <w:tcW w:w="1409" w:type="dxa"/>
          </w:tcPr>
          <w:p w14:paraId="141D05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3857C7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плану</w:t>
            </w:r>
          </w:p>
        </w:tc>
        <w:tc>
          <w:tcPr>
            <w:tcW w:w="1409" w:type="dxa"/>
          </w:tcPr>
          <w:p w14:paraId="1A96C6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плана заказов за 31 г.</w:t>
            </w:r>
          </w:p>
        </w:tc>
        <w:tc>
          <w:tcPr>
            <w:tcW w:w="1409" w:type="dxa"/>
          </w:tcPr>
          <w:p w14:paraId="253D73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418031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годового</w:t>
            </w:r>
          </w:p>
        </w:tc>
      </w:tr>
      <w:tr w:rsidR="001002C3" w:rsidRPr="005E779E" w14:paraId="5D331098" w14:textId="77777777">
        <w:tc>
          <w:tcPr>
            <w:tcW w:w="1409" w:type="dxa"/>
          </w:tcPr>
          <w:p w14:paraId="3EF3B7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26D902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заказа</w:t>
            </w:r>
          </w:p>
        </w:tc>
        <w:tc>
          <w:tcPr>
            <w:tcW w:w="1409" w:type="dxa"/>
          </w:tcPr>
          <w:p w14:paraId="6E3BB5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Выполнено</w:t>
            </w:r>
          </w:p>
        </w:tc>
        <w:tc>
          <w:tcPr>
            <w:tcW w:w="1409" w:type="dxa"/>
          </w:tcPr>
          <w:p w14:paraId="03BA26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Недодел</w:t>
            </w:r>
          </w:p>
        </w:tc>
        <w:tc>
          <w:tcPr>
            <w:tcW w:w="1409" w:type="dxa"/>
          </w:tcPr>
          <w:p w14:paraId="1752C3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плана</w:t>
            </w:r>
          </w:p>
        </w:tc>
      </w:tr>
      <w:tr w:rsidR="001002C3" w:rsidRPr="005E779E" w14:paraId="733628C5" w14:textId="77777777">
        <w:tc>
          <w:tcPr>
            <w:tcW w:w="1409" w:type="dxa"/>
          </w:tcPr>
          <w:p w14:paraId="0B108B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4C7B0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1931 г.</w:t>
            </w:r>
          </w:p>
        </w:tc>
        <w:tc>
          <w:tcPr>
            <w:tcW w:w="1409" w:type="dxa"/>
          </w:tcPr>
          <w:p w14:paraId="4BC4D1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 год</w:t>
            </w:r>
          </w:p>
        </w:tc>
        <w:tc>
          <w:tcPr>
            <w:tcW w:w="1409" w:type="dxa"/>
          </w:tcPr>
          <w:p w14:paraId="58B710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20775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412DE051" w14:textId="77777777">
        <w:tc>
          <w:tcPr>
            <w:tcW w:w="1409" w:type="dxa"/>
          </w:tcPr>
          <w:p w14:paraId="7FC6F9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И5</w:t>
            </w:r>
          </w:p>
        </w:tc>
        <w:tc>
          <w:tcPr>
            <w:tcW w:w="1409" w:type="dxa"/>
          </w:tcPr>
          <w:p w14:paraId="0F5A4A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250</w:t>
            </w:r>
          </w:p>
        </w:tc>
        <w:tc>
          <w:tcPr>
            <w:tcW w:w="1409" w:type="dxa"/>
          </w:tcPr>
          <w:p w14:paraId="15E5C3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53</w:t>
            </w:r>
          </w:p>
        </w:tc>
        <w:tc>
          <w:tcPr>
            <w:tcW w:w="1409" w:type="dxa"/>
          </w:tcPr>
          <w:p w14:paraId="2A900D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197</w:t>
            </w:r>
          </w:p>
        </w:tc>
        <w:tc>
          <w:tcPr>
            <w:tcW w:w="1409" w:type="dxa"/>
          </w:tcPr>
          <w:p w14:paraId="736693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21,2</w:t>
            </w:r>
          </w:p>
        </w:tc>
      </w:tr>
      <w:tr w:rsidR="001002C3" w:rsidRPr="005E779E" w14:paraId="6934C8C6" w14:textId="77777777">
        <w:tc>
          <w:tcPr>
            <w:tcW w:w="1409" w:type="dxa"/>
          </w:tcPr>
          <w:p w14:paraId="18035A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И7</w:t>
            </w:r>
          </w:p>
        </w:tc>
        <w:tc>
          <w:tcPr>
            <w:tcW w:w="1409" w:type="dxa"/>
          </w:tcPr>
          <w:p w14:paraId="53AAD0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w:t>
            </w:r>
          </w:p>
        </w:tc>
        <w:tc>
          <w:tcPr>
            <w:tcW w:w="1409" w:type="dxa"/>
          </w:tcPr>
          <w:p w14:paraId="5B0F6F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409" w:type="dxa"/>
          </w:tcPr>
          <w:p w14:paraId="7A3AA5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w:t>
            </w:r>
          </w:p>
        </w:tc>
        <w:tc>
          <w:tcPr>
            <w:tcW w:w="1409" w:type="dxa"/>
          </w:tcPr>
          <w:p w14:paraId="36F828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w:t>
            </w:r>
          </w:p>
        </w:tc>
      </w:tr>
      <w:tr w:rsidR="001002C3" w:rsidRPr="005E779E" w14:paraId="6BCD25CA" w14:textId="77777777">
        <w:tc>
          <w:tcPr>
            <w:tcW w:w="1409" w:type="dxa"/>
          </w:tcPr>
          <w:p w14:paraId="29073D9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И4</w:t>
            </w:r>
          </w:p>
        </w:tc>
        <w:tc>
          <w:tcPr>
            <w:tcW w:w="1409" w:type="dxa"/>
          </w:tcPr>
          <w:p w14:paraId="15D234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w:t>
            </w:r>
          </w:p>
        </w:tc>
        <w:tc>
          <w:tcPr>
            <w:tcW w:w="1409" w:type="dxa"/>
          </w:tcPr>
          <w:p w14:paraId="3C4634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11</w:t>
            </w:r>
          </w:p>
        </w:tc>
        <w:tc>
          <w:tcPr>
            <w:tcW w:w="1409" w:type="dxa"/>
          </w:tcPr>
          <w:p w14:paraId="6C5823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409" w:type="dxa"/>
          </w:tcPr>
          <w:p w14:paraId="0C4C72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w:t>
            </w:r>
          </w:p>
        </w:tc>
      </w:tr>
      <w:tr w:rsidR="001002C3" w:rsidRPr="005E779E" w14:paraId="6211B4D0" w14:textId="77777777">
        <w:tc>
          <w:tcPr>
            <w:tcW w:w="1409" w:type="dxa"/>
          </w:tcPr>
          <w:p w14:paraId="382FB0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И3</w:t>
            </w:r>
          </w:p>
        </w:tc>
        <w:tc>
          <w:tcPr>
            <w:tcW w:w="1409" w:type="dxa"/>
          </w:tcPr>
          <w:p w14:paraId="189F14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55</w:t>
            </w:r>
          </w:p>
        </w:tc>
        <w:tc>
          <w:tcPr>
            <w:tcW w:w="1409" w:type="dxa"/>
          </w:tcPr>
          <w:p w14:paraId="29D98C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55</w:t>
            </w:r>
          </w:p>
        </w:tc>
        <w:tc>
          <w:tcPr>
            <w:tcW w:w="1409" w:type="dxa"/>
          </w:tcPr>
          <w:p w14:paraId="19FBB0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409" w:type="dxa"/>
          </w:tcPr>
          <w:p w14:paraId="67B692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w:t>
            </w:r>
          </w:p>
        </w:tc>
      </w:tr>
      <w:tr w:rsidR="001002C3" w:rsidRPr="005E779E" w14:paraId="4594D57C" w14:textId="77777777">
        <w:tc>
          <w:tcPr>
            <w:tcW w:w="1409" w:type="dxa"/>
          </w:tcPr>
          <w:p w14:paraId="5C5276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ТШ-2</w:t>
            </w:r>
          </w:p>
        </w:tc>
        <w:tc>
          <w:tcPr>
            <w:tcW w:w="1409" w:type="dxa"/>
          </w:tcPr>
          <w:p w14:paraId="62A4EE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w:t>
            </w:r>
          </w:p>
        </w:tc>
        <w:tc>
          <w:tcPr>
            <w:tcW w:w="1409" w:type="dxa"/>
          </w:tcPr>
          <w:p w14:paraId="6C6F64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409" w:type="dxa"/>
          </w:tcPr>
          <w:p w14:paraId="0862D6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w:t>
            </w:r>
          </w:p>
        </w:tc>
        <w:tc>
          <w:tcPr>
            <w:tcW w:w="1409" w:type="dxa"/>
          </w:tcPr>
          <w:p w14:paraId="52DB63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w:t>
            </w:r>
          </w:p>
        </w:tc>
      </w:tr>
      <w:tr w:rsidR="001002C3" w:rsidRPr="005E779E" w14:paraId="5C3A8CF3" w14:textId="77777777">
        <w:tc>
          <w:tcPr>
            <w:tcW w:w="1409" w:type="dxa"/>
          </w:tcPr>
          <w:p w14:paraId="79CEC8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Р1-М5</w:t>
            </w:r>
          </w:p>
        </w:tc>
        <w:tc>
          <w:tcPr>
            <w:tcW w:w="1409" w:type="dxa"/>
          </w:tcPr>
          <w:p w14:paraId="0CFBD5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302</w:t>
            </w:r>
          </w:p>
        </w:tc>
        <w:tc>
          <w:tcPr>
            <w:tcW w:w="1409" w:type="dxa"/>
          </w:tcPr>
          <w:p w14:paraId="34327B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266</w:t>
            </w:r>
          </w:p>
        </w:tc>
        <w:tc>
          <w:tcPr>
            <w:tcW w:w="1409" w:type="dxa"/>
          </w:tcPr>
          <w:p w14:paraId="0FB42F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36</w:t>
            </w:r>
          </w:p>
        </w:tc>
        <w:tc>
          <w:tcPr>
            <w:tcW w:w="1409" w:type="dxa"/>
          </w:tcPr>
          <w:p w14:paraId="0EA147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88,08</w:t>
            </w:r>
          </w:p>
        </w:tc>
      </w:tr>
      <w:tr w:rsidR="001002C3" w:rsidRPr="005E779E" w14:paraId="6B492C55" w14:textId="77777777">
        <w:tc>
          <w:tcPr>
            <w:tcW w:w="1409" w:type="dxa"/>
          </w:tcPr>
          <w:p w14:paraId="4D3E36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Р5-М17</w:t>
            </w:r>
          </w:p>
        </w:tc>
        <w:tc>
          <w:tcPr>
            <w:tcW w:w="1409" w:type="dxa"/>
          </w:tcPr>
          <w:p w14:paraId="66CCC9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675</w:t>
            </w:r>
          </w:p>
        </w:tc>
        <w:tc>
          <w:tcPr>
            <w:tcW w:w="1409" w:type="dxa"/>
          </w:tcPr>
          <w:p w14:paraId="5951A9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301</w:t>
            </w:r>
          </w:p>
        </w:tc>
        <w:tc>
          <w:tcPr>
            <w:tcW w:w="1409" w:type="dxa"/>
          </w:tcPr>
          <w:p w14:paraId="2CD489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374</w:t>
            </w:r>
          </w:p>
        </w:tc>
        <w:tc>
          <w:tcPr>
            <w:tcW w:w="1409" w:type="dxa"/>
          </w:tcPr>
          <w:p w14:paraId="70B859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44,6</w:t>
            </w:r>
          </w:p>
        </w:tc>
      </w:tr>
      <w:tr w:rsidR="001002C3" w:rsidRPr="005E779E" w14:paraId="0E880F99" w14:textId="77777777">
        <w:tc>
          <w:tcPr>
            <w:tcW w:w="1409" w:type="dxa"/>
          </w:tcPr>
          <w:p w14:paraId="7136BA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Р6-2М17</w:t>
            </w:r>
          </w:p>
        </w:tc>
        <w:tc>
          <w:tcPr>
            <w:tcW w:w="1409" w:type="dxa"/>
          </w:tcPr>
          <w:p w14:paraId="5B952A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w:t>
            </w:r>
          </w:p>
        </w:tc>
        <w:tc>
          <w:tcPr>
            <w:tcW w:w="1409" w:type="dxa"/>
          </w:tcPr>
          <w:p w14:paraId="0484DD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w:t>
            </w:r>
          </w:p>
        </w:tc>
        <w:tc>
          <w:tcPr>
            <w:tcW w:w="1409" w:type="dxa"/>
          </w:tcPr>
          <w:p w14:paraId="78348E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35</w:t>
            </w:r>
          </w:p>
        </w:tc>
        <w:tc>
          <w:tcPr>
            <w:tcW w:w="1409" w:type="dxa"/>
          </w:tcPr>
          <w:p w14:paraId="13390B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w:t>
            </w:r>
          </w:p>
        </w:tc>
      </w:tr>
      <w:tr w:rsidR="001002C3" w:rsidRPr="005E779E" w14:paraId="2325DB7A" w14:textId="77777777">
        <w:tc>
          <w:tcPr>
            <w:tcW w:w="1409" w:type="dxa"/>
          </w:tcPr>
          <w:p w14:paraId="14CB27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С-62 бис</w:t>
            </w:r>
          </w:p>
        </w:tc>
        <w:tc>
          <w:tcPr>
            <w:tcW w:w="1409" w:type="dxa"/>
          </w:tcPr>
          <w:p w14:paraId="50C712D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w:t>
            </w:r>
          </w:p>
        </w:tc>
        <w:tc>
          <w:tcPr>
            <w:tcW w:w="1409" w:type="dxa"/>
          </w:tcPr>
          <w:p w14:paraId="002AFC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409" w:type="dxa"/>
          </w:tcPr>
          <w:p w14:paraId="0C2C5D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w:t>
            </w:r>
          </w:p>
        </w:tc>
        <w:tc>
          <w:tcPr>
            <w:tcW w:w="1409" w:type="dxa"/>
          </w:tcPr>
          <w:p w14:paraId="1D10A8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w:t>
            </w:r>
          </w:p>
        </w:tc>
      </w:tr>
      <w:tr w:rsidR="001002C3" w:rsidRPr="005E779E" w14:paraId="5E2D41FE" w14:textId="77777777">
        <w:tc>
          <w:tcPr>
            <w:tcW w:w="1409" w:type="dxa"/>
          </w:tcPr>
          <w:p w14:paraId="7E61A1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ТБ1</w:t>
            </w:r>
          </w:p>
        </w:tc>
        <w:tc>
          <w:tcPr>
            <w:tcW w:w="1409" w:type="dxa"/>
          </w:tcPr>
          <w:p w14:paraId="028A6E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146</w:t>
            </w:r>
          </w:p>
        </w:tc>
        <w:tc>
          <w:tcPr>
            <w:tcW w:w="1409" w:type="dxa"/>
          </w:tcPr>
          <w:p w14:paraId="13AB54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146</w:t>
            </w:r>
          </w:p>
        </w:tc>
        <w:tc>
          <w:tcPr>
            <w:tcW w:w="1409" w:type="dxa"/>
          </w:tcPr>
          <w:p w14:paraId="2ED417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409" w:type="dxa"/>
          </w:tcPr>
          <w:p w14:paraId="19A4B1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w:t>
            </w:r>
          </w:p>
        </w:tc>
      </w:tr>
      <w:tr w:rsidR="001002C3" w:rsidRPr="005E779E" w14:paraId="53EA9986" w14:textId="77777777">
        <w:tc>
          <w:tcPr>
            <w:tcW w:w="1409" w:type="dxa"/>
          </w:tcPr>
          <w:p w14:paraId="09498D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ТБ3</w:t>
            </w:r>
          </w:p>
        </w:tc>
        <w:tc>
          <w:tcPr>
            <w:tcW w:w="1409" w:type="dxa"/>
          </w:tcPr>
          <w:p w14:paraId="65D109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tc>
        <w:tc>
          <w:tcPr>
            <w:tcW w:w="1409" w:type="dxa"/>
          </w:tcPr>
          <w:p w14:paraId="1F6DDB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409" w:type="dxa"/>
          </w:tcPr>
          <w:p w14:paraId="549A69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tc>
        <w:tc>
          <w:tcPr>
            <w:tcW w:w="1409" w:type="dxa"/>
          </w:tcPr>
          <w:p w14:paraId="42C328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w:t>
            </w:r>
          </w:p>
        </w:tc>
      </w:tr>
      <w:tr w:rsidR="001002C3" w:rsidRPr="005E779E" w14:paraId="7CE236ED" w14:textId="77777777">
        <w:tc>
          <w:tcPr>
            <w:tcW w:w="1409" w:type="dxa"/>
          </w:tcPr>
          <w:p w14:paraId="6A1097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АНТ-9</w:t>
            </w:r>
          </w:p>
        </w:tc>
        <w:tc>
          <w:tcPr>
            <w:tcW w:w="1409" w:type="dxa"/>
          </w:tcPr>
          <w:p w14:paraId="199D53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w:t>
            </w:r>
          </w:p>
        </w:tc>
        <w:tc>
          <w:tcPr>
            <w:tcW w:w="1409" w:type="dxa"/>
          </w:tcPr>
          <w:p w14:paraId="43AA19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w:t>
            </w:r>
          </w:p>
        </w:tc>
        <w:tc>
          <w:tcPr>
            <w:tcW w:w="1409" w:type="dxa"/>
          </w:tcPr>
          <w:p w14:paraId="6FA79C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w:t>
            </w:r>
          </w:p>
        </w:tc>
        <w:tc>
          <w:tcPr>
            <w:tcW w:w="1409" w:type="dxa"/>
          </w:tcPr>
          <w:p w14:paraId="0C1E2E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75</w:t>
            </w:r>
          </w:p>
        </w:tc>
      </w:tr>
      <w:tr w:rsidR="001002C3" w:rsidRPr="005E779E" w14:paraId="47DA689A" w14:textId="77777777">
        <w:tc>
          <w:tcPr>
            <w:tcW w:w="1409" w:type="dxa"/>
          </w:tcPr>
          <w:p w14:paraId="0D6219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К-5</w:t>
            </w:r>
          </w:p>
        </w:tc>
        <w:tc>
          <w:tcPr>
            <w:tcW w:w="1409" w:type="dxa"/>
          </w:tcPr>
          <w:p w14:paraId="0785E4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w:t>
            </w:r>
          </w:p>
        </w:tc>
        <w:tc>
          <w:tcPr>
            <w:tcW w:w="1409" w:type="dxa"/>
          </w:tcPr>
          <w:p w14:paraId="369856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tc>
        <w:tc>
          <w:tcPr>
            <w:tcW w:w="1409" w:type="dxa"/>
          </w:tcPr>
          <w:p w14:paraId="0D387B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w:t>
            </w:r>
          </w:p>
        </w:tc>
        <w:tc>
          <w:tcPr>
            <w:tcW w:w="1409" w:type="dxa"/>
          </w:tcPr>
          <w:p w14:paraId="4AF8DA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w:t>
            </w:r>
          </w:p>
        </w:tc>
      </w:tr>
      <w:tr w:rsidR="001002C3" w:rsidRPr="005E779E" w14:paraId="6D343CA3" w14:textId="77777777">
        <w:tc>
          <w:tcPr>
            <w:tcW w:w="1409" w:type="dxa"/>
          </w:tcPr>
          <w:p w14:paraId="20EBA6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У2-М11</w:t>
            </w:r>
          </w:p>
        </w:tc>
        <w:tc>
          <w:tcPr>
            <w:tcW w:w="1409" w:type="dxa"/>
          </w:tcPr>
          <w:p w14:paraId="0B50EC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365</w:t>
            </w:r>
          </w:p>
        </w:tc>
        <w:tc>
          <w:tcPr>
            <w:tcW w:w="1409" w:type="dxa"/>
          </w:tcPr>
          <w:p w14:paraId="3A9639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w:t>
            </w:r>
          </w:p>
        </w:tc>
        <w:tc>
          <w:tcPr>
            <w:tcW w:w="1409" w:type="dxa"/>
          </w:tcPr>
          <w:p w14:paraId="302A56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215</w:t>
            </w:r>
          </w:p>
        </w:tc>
        <w:tc>
          <w:tcPr>
            <w:tcW w:w="1409" w:type="dxa"/>
          </w:tcPr>
          <w:p w14:paraId="6337C2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41,1</w:t>
            </w:r>
          </w:p>
        </w:tc>
      </w:tr>
      <w:tr w:rsidR="001002C3" w:rsidRPr="005E779E" w14:paraId="2F8BD118" w14:textId="77777777">
        <w:tc>
          <w:tcPr>
            <w:tcW w:w="1409" w:type="dxa"/>
          </w:tcPr>
          <w:p w14:paraId="080738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У1-М2</w:t>
            </w:r>
          </w:p>
        </w:tc>
        <w:tc>
          <w:tcPr>
            <w:tcW w:w="1409" w:type="dxa"/>
          </w:tcPr>
          <w:p w14:paraId="1812F0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53</w:t>
            </w:r>
          </w:p>
        </w:tc>
        <w:tc>
          <w:tcPr>
            <w:tcW w:w="1409" w:type="dxa"/>
          </w:tcPr>
          <w:p w14:paraId="29B314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53</w:t>
            </w:r>
          </w:p>
        </w:tc>
        <w:tc>
          <w:tcPr>
            <w:tcW w:w="1409" w:type="dxa"/>
          </w:tcPr>
          <w:p w14:paraId="561680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409" w:type="dxa"/>
          </w:tcPr>
          <w:p w14:paraId="384AFA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100</w:t>
            </w:r>
          </w:p>
        </w:tc>
      </w:tr>
      <w:tr w:rsidR="001002C3" w:rsidRPr="005E779E" w14:paraId="4F160232" w14:textId="77777777">
        <w:tc>
          <w:tcPr>
            <w:tcW w:w="1409" w:type="dxa"/>
          </w:tcPr>
          <w:p w14:paraId="21E151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w:t>
            </w:r>
          </w:p>
        </w:tc>
        <w:tc>
          <w:tcPr>
            <w:tcW w:w="1409" w:type="dxa"/>
          </w:tcPr>
          <w:p w14:paraId="5C137A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2024</w:t>
            </w:r>
          </w:p>
        </w:tc>
        <w:tc>
          <w:tcPr>
            <w:tcW w:w="1409" w:type="dxa"/>
          </w:tcPr>
          <w:p w14:paraId="723D48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1059</w:t>
            </w:r>
          </w:p>
        </w:tc>
        <w:tc>
          <w:tcPr>
            <w:tcW w:w="1409" w:type="dxa"/>
          </w:tcPr>
          <w:p w14:paraId="34241C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965</w:t>
            </w:r>
          </w:p>
        </w:tc>
        <w:tc>
          <w:tcPr>
            <w:tcW w:w="1409" w:type="dxa"/>
          </w:tcPr>
          <w:p w14:paraId="686D95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52,2</w:t>
            </w:r>
          </w:p>
        </w:tc>
      </w:tr>
      <w:tr w:rsidR="001002C3" w:rsidRPr="005E779E" w14:paraId="17023E85" w14:textId="77777777">
        <w:tc>
          <w:tcPr>
            <w:tcW w:w="1409" w:type="dxa"/>
          </w:tcPr>
          <w:p w14:paraId="1A5F1B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Моторы</w:t>
            </w:r>
          </w:p>
        </w:tc>
        <w:tc>
          <w:tcPr>
            <w:tcW w:w="1409" w:type="dxa"/>
          </w:tcPr>
          <w:p w14:paraId="4DA132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3C11E3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54A96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69770B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r>
      <w:tr w:rsidR="001002C3" w:rsidRPr="005E779E" w14:paraId="18B7B134" w14:textId="77777777">
        <w:tc>
          <w:tcPr>
            <w:tcW w:w="1409" w:type="dxa"/>
          </w:tcPr>
          <w:p w14:paraId="4C252D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М-15</w:t>
            </w:r>
          </w:p>
        </w:tc>
        <w:tc>
          <w:tcPr>
            <w:tcW w:w="1409" w:type="dxa"/>
          </w:tcPr>
          <w:p w14:paraId="49435F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130</w:t>
            </w:r>
          </w:p>
        </w:tc>
        <w:tc>
          <w:tcPr>
            <w:tcW w:w="1409" w:type="dxa"/>
          </w:tcPr>
          <w:p w14:paraId="38A472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w:t>
            </w:r>
          </w:p>
        </w:tc>
        <w:tc>
          <w:tcPr>
            <w:tcW w:w="1409" w:type="dxa"/>
          </w:tcPr>
          <w:p w14:paraId="17C529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129</w:t>
            </w:r>
          </w:p>
        </w:tc>
        <w:tc>
          <w:tcPr>
            <w:tcW w:w="1409" w:type="dxa"/>
          </w:tcPr>
          <w:p w14:paraId="01C90B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0,8</w:t>
            </w:r>
          </w:p>
        </w:tc>
      </w:tr>
      <w:tr w:rsidR="001002C3" w:rsidRPr="005E779E" w14:paraId="0EACF9B1" w14:textId="77777777">
        <w:tc>
          <w:tcPr>
            <w:tcW w:w="1409" w:type="dxa"/>
          </w:tcPr>
          <w:p w14:paraId="5A15E6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М-17</w:t>
            </w:r>
          </w:p>
        </w:tc>
        <w:tc>
          <w:tcPr>
            <w:tcW w:w="1409" w:type="dxa"/>
          </w:tcPr>
          <w:p w14:paraId="152CCF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890</w:t>
            </w:r>
          </w:p>
        </w:tc>
        <w:tc>
          <w:tcPr>
            <w:tcW w:w="1409" w:type="dxa"/>
          </w:tcPr>
          <w:p w14:paraId="73222C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679</w:t>
            </w:r>
          </w:p>
        </w:tc>
        <w:tc>
          <w:tcPr>
            <w:tcW w:w="1409" w:type="dxa"/>
          </w:tcPr>
          <w:p w14:paraId="011EC9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216</w:t>
            </w:r>
          </w:p>
        </w:tc>
        <w:tc>
          <w:tcPr>
            <w:tcW w:w="1409" w:type="dxa"/>
          </w:tcPr>
          <w:p w14:paraId="152384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75,9</w:t>
            </w:r>
          </w:p>
        </w:tc>
      </w:tr>
      <w:tr w:rsidR="001002C3" w:rsidRPr="005E779E" w14:paraId="6D504669" w14:textId="77777777">
        <w:tc>
          <w:tcPr>
            <w:tcW w:w="1409" w:type="dxa"/>
          </w:tcPr>
          <w:p w14:paraId="1CF3AD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М-19</w:t>
            </w:r>
          </w:p>
        </w:tc>
        <w:tc>
          <w:tcPr>
            <w:tcW w:w="1409" w:type="dxa"/>
          </w:tcPr>
          <w:p w14:paraId="4B4FAC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w:t>
            </w:r>
          </w:p>
        </w:tc>
        <w:tc>
          <w:tcPr>
            <w:tcW w:w="1409" w:type="dxa"/>
          </w:tcPr>
          <w:p w14:paraId="4A940B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409" w:type="dxa"/>
          </w:tcPr>
          <w:p w14:paraId="2C7C51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w:t>
            </w:r>
          </w:p>
        </w:tc>
        <w:tc>
          <w:tcPr>
            <w:tcW w:w="1409" w:type="dxa"/>
          </w:tcPr>
          <w:p w14:paraId="3859EFC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w:t>
            </w:r>
          </w:p>
        </w:tc>
      </w:tr>
      <w:tr w:rsidR="001002C3" w:rsidRPr="005E779E" w14:paraId="76EC94E1" w14:textId="77777777">
        <w:tc>
          <w:tcPr>
            <w:tcW w:w="1409" w:type="dxa"/>
          </w:tcPr>
          <w:p w14:paraId="3BAA0E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М-27</w:t>
            </w:r>
          </w:p>
        </w:tc>
        <w:tc>
          <w:tcPr>
            <w:tcW w:w="1409" w:type="dxa"/>
          </w:tcPr>
          <w:p w14:paraId="060B59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w:t>
            </w:r>
          </w:p>
        </w:tc>
        <w:tc>
          <w:tcPr>
            <w:tcW w:w="1409" w:type="dxa"/>
          </w:tcPr>
          <w:p w14:paraId="7C71FD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409" w:type="dxa"/>
          </w:tcPr>
          <w:p w14:paraId="3C1C57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150</w:t>
            </w:r>
          </w:p>
        </w:tc>
        <w:tc>
          <w:tcPr>
            <w:tcW w:w="1409" w:type="dxa"/>
          </w:tcPr>
          <w:p w14:paraId="264317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w:t>
            </w:r>
          </w:p>
        </w:tc>
      </w:tr>
      <w:tr w:rsidR="001002C3" w:rsidRPr="005E779E" w14:paraId="3CDE6898" w14:textId="77777777">
        <w:tc>
          <w:tcPr>
            <w:tcW w:w="1409" w:type="dxa"/>
          </w:tcPr>
          <w:p w14:paraId="6D186F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М-22</w:t>
            </w:r>
          </w:p>
        </w:tc>
        <w:tc>
          <w:tcPr>
            <w:tcW w:w="1409" w:type="dxa"/>
          </w:tcPr>
          <w:p w14:paraId="5D6EF4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280</w:t>
            </w:r>
          </w:p>
        </w:tc>
        <w:tc>
          <w:tcPr>
            <w:tcW w:w="1409" w:type="dxa"/>
          </w:tcPr>
          <w:p w14:paraId="049E58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68</w:t>
            </w:r>
          </w:p>
        </w:tc>
        <w:tc>
          <w:tcPr>
            <w:tcW w:w="1409" w:type="dxa"/>
          </w:tcPr>
          <w:p w14:paraId="49BAF69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212</w:t>
            </w:r>
          </w:p>
        </w:tc>
        <w:tc>
          <w:tcPr>
            <w:tcW w:w="1409" w:type="dxa"/>
          </w:tcPr>
          <w:p w14:paraId="24932A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24,2</w:t>
            </w:r>
          </w:p>
        </w:tc>
      </w:tr>
      <w:tr w:rsidR="001002C3" w:rsidRPr="005E779E" w14:paraId="60F735BA" w14:textId="77777777">
        <w:tc>
          <w:tcPr>
            <w:tcW w:w="1409" w:type="dxa"/>
          </w:tcPr>
          <w:p w14:paraId="3B5F72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М-22Н</w:t>
            </w:r>
          </w:p>
        </w:tc>
        <w:tc>
          <w:tcPr>
            <w:tcW w:w="1409" w:type="dxa"/>
          </w:tcPr>
          <w:p w14:paraId="57C3E5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w:t>
            </w:r>
          </w:p>
        </w:tc>
        <w:tc>
          <w:tcPr>
            <w:tcW w:w="1409" w:type="dxa"/>
          </w:tcPr>
          <w:p w14:paraId="1140E2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409" w:type="dxa"/>
          </w:tcPr>
          <w:p w14:paraId="013BBB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w:t>
            </w:r>
          </w:p>
        </w:tc>
        <w:tc>
          <w:tcPr>
            <w:tcW w:w="1409" w:type="dxa"/>
          </w:tcPr>
          <w:p w14:paraId="6B8B7A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w:t>
            </w:r>
          </w:p>
        </w:tc>
      </w:tr>
      <w:tr w:rsidR="001002C3" w:rsidRPr="005E779E" w14:paraId="6EF63A5A" w14:textId="77777777">
        <w:tc>
          <w:tcPr>
            <w:tcW w:w="1409" w:type="dxa"/>
          </w:tcPr>
          <w:p w14:paraId="06D51A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М-26</w:t>
            </w:r>
          </w:p>
        </w:tc>
        <w:tc>
          <w:tcPr>
            <w:tcW w:w="1409" w:type="dxa"/>
          </w:tcPr>
          <w:p w14:paraId="385FE8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w:t>
            </w:r>
          </w:p>
        </w:tc>
        <w:tc>
          <w:tcPr>
            <w:tcW w:w="1409" w:type="dxa"/>
          </w:tcPr>
          <w:p w14:paraId="526FE3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409" w:type="dxa"/>
          </w:tcPr>
          <w:p w14:paraId="29809E0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w:t>
            </w:r>
          </w:p>
        </w:tc>
        <w:tc>
          <w:tcPr>
            <w:tcW w:w="1409" w:type="dxa"/>
          </w:tcPr>
          <w:p w14:paraId="463B60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w:t>
            </w:r>
          </w:p>
        </w:tc>
      </w:tr>
      <w:tr w:rsidR="001002C3" w:rsidRPr="005E779E" w14:paraId="00D53842" w14:textId="77777777">
        <w:tc>
          <w:tcPr>
            <w:tcW w:w="1409" w:type="dxa"/>
          </w:tcPr>
          <w:p w14:paraId="77298E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М-11</w:t>
            </w:r>
          </w:p>
        </w:tc>
        <w:tc>
          <w:tcPr>
            <w:tcW w:w="1409" w:type="dxa"/>
          </w:tcPr>
          <w:p w14:paraId="1044E0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590</w:t>
            </w:r>
          </w:p>
        </w:tc>
        <w:tc>
          <w:tcPr>
            <w:tcW w:w="1409" w:type="dxa"/>
          </w:tcPr>
          <w:p w14:paraId="3D5F1E4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326</w:t>
            </w:r>
          </w:p>
        </w:tc>
        <w:tc>
          <w:tcPr>
            <w:tcW w:w="1409" w:type="dxa"/>
          </w:tcPr>
          <w:p w14:paraId="05197E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264</w:t>
            </w:r>
          </w:p>
        </w:tc>
        <w:tc>
          <w:tcPr>
            <w:tcW w:w="1409" w:type="dxa"/>
          </w:tcPr>
          <w:p w14:paraId="3E0C81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55,3</w:t>
            </w:r>
          </w:p>
        </w:tc>
      </w:tr>
      <w:tr w:rsidR="001002C3" w:rsidRPr="005E779E" w14:paraId="537B4E98" w14:textId="77777777">
        <w:tc>
          <w:tcPr>
            <w:tcW w:w="1409" w:type="dxa"/>
          </w:tcPr>
          <w:p w14:paraId="0EDBF5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М-34</w:t>
            </w:r>
          </w:p>
        </w:tc>
        <w:tc>
          <w:tcPr>
            <w:tcW w:w="1409" w:type="dxa"/>
          </w:tcPr>
          <w:p w14:paraId="276F7B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w:t>
            </w:r>
          </w:p>
        </w:tc>
        <w:tc>
          <w:tcPr>
            <w:tcW w:w="1409" w:type="dxa"/>
          </w:tcPr>
          <w:p w14:paraId="7AF2FD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w:t>
            </w:r>
          </w:p>
        </w:tc>
        <w:tc>
          <w:tcPr>
            <w:tcW w:w="1409" w:type="dxa"/>
          </w:tcPr>
          <w:p w14:paraId="56EB16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w:t>
            </w:r>
          </w:p>
        </w:tc>
        <w:tc>
          <w:tcPr>
            <w:tcW w:w="1409" w:type="dxa"/>
          </w:tcPr>
          <w:p w14:paraId="13B9A1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0</w:t>
            </w:r>
          </w:p>
        </w:tc>
      </w:tr>
      <w:tr w:rsidR="001002C3" w:rsidRPr="005E779E" w14:paraId="0E416B35" w14:textId="77777777">
        <w:tc>
          <w:tcPr>
            <w:tcW w:w="1409" w:type="dxa"/>
          </w:tcPr>
          <w:p w14:paraId="3C830F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Итого:</w:t>
            </w:r>
          </w:p>
        </w:tc>
        <w:tc>
          <w:tcPr>
            <w:tcW w:w="1409" w:type="dxa"/>
          </w:tcPr>
          <w:p w14:paraId="0AFBA1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2083</w:t>
            </w:r>
          </w:p>
        </w:tc>
        <w:tc>
          <w:tcPr>
            <w:tcW w:w="1409" w:type="dxa"/>
          </w:tcPr>
          <w:p w14:paraId="727746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1060</w:t>
            </w:r>
          </w:p>
        </w:tc>
        <w:tc>
          <w:tcPr>
            <w:tcW w:w="1409" w:type="dxa"/>
          </w:tcPr>
          <w:p w14:paraId="64E389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1023</w:t>
            </w:r>
          </w:p>
        </w:tc>
        <w:tc>
          <w:tcPr>
            <w:tcW w:w="1409" w:type="dxa"/>
          </w:tcPr>
          <w:p w14:paraId="081AFB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50,8</w:t>
            </w:r>
          </w:p>
        </w:tc>
      </w:tr>
    </w:tbl>
    <w:p w14:paraId="7EBA8B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(3045,12).</w:t>
      </w:r>
    </w:p>
    <w:p w14:paraId="5581A1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91A3A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конструкторы завода № 29 в Запорожье, где осуществлялся выпуск М-11, наметили создание целого семейства двигателей на его основе. В него должны были войти М-50 (трехцилиндровый), М-51 (пятицилиндровый, модернизированный М-11), М-48 (семицилиндровый) и М-49 (десятицилиндровый). Проектирование осуществлял опытно-конструкторский отдел завода под руководством А.С. Назарова. В отделе тогда насчитывалось всего 14 человек. Фактически разработкой двигателей малой мощности занималась небольшая группа М.А. Коссова. С именем этого человека связано большинство попыток создания моторов на базе М-11. Михаил Александрович Коссов (1908-1992) закончил Киевский политехнический институт в 1930 г. и быстро зарекомендовал себя как способный конструктор. Почти полжизни он посвятил именно развитию конструкции М-11 (11478).</w:t>
      </w:r>
    </w:p>
    <w:p w14:paraId="2E44DA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28FE7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конструкторы завода № 29 наметили создание целого семейства в которое должен был войти М-50 (трехцилиндровый), М-51 (пятицилиндровый, который должен был сменить М-11), М-48 (семицилиндровый) и М-49 (девятицилиндровый). Намечалось, что на смену М-11 вскоре придут новые, более совершенные моторы, причем в виде унифицированного семейства. Это предполагалось планом, утвержденным в октябре 1930 г. Проектирование осуществлял Опытно-конструкторский отдел завода под руководством А.С. Назарова. Фактически работу по двигателям малой мощности вела группа М.В. Коссова. Это была первая попытка заменить М-11. Но хотя все указанные моторы были построены и испытаны, в серию их не запустили. И далее все попытки вытеснить М-11 с его "законного" места заканчивались неудачей. Тот же Коссов создал несколько довольно удачных конструкций (МГ-11, М-12 и другие) но они остались в опытных образцах или малых сериях, а "старичка" М-11 выпускали тысячами. Тем же закончились аналогичные попытки Е.В. Урмина и И.А. Мужилова. В конце 1930-х большие надежды возлагали на лицензию, купленную у французской фирмы "Рено" (11479).</w:t>
      </w:r>
    </w:p>
    <w:p w14:paraId="059DE5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67B10DC" w14:textId="77777777" w:rsidR="006F72EA" w:rsidRPr="00142305" w:rsidRDefault="006F72EA" w:rsidP="006F72E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1931 г. конструкторы завода № 29 в Запорожье, где осуществлялся выпуск М-11, наметили создание целого семейства двигателей на его основе. В него должны были войти М-50 (трех</w:t>
      </w:r>
      <w:r w:rsidRPr="00142305">
        <w:rPr>
          <w:rFonts w:ascii="Times New Roman" w:hAnsi="Times New Roman"/>
          <w:color w:val="0070C0"/>
          <w:sz w:val="16"/>
          <w:szCs w:val="16"/>
        </w:rPr>
        <w:softHyphen/>
        <w:t>цилиндровый), М-51 (пятицилиндровый, модернизированный М-11), М-48 (семицилиндровый) и М-49 (девятицилиндровый). Проектирование осуществлял опытно-конструкторский отдел завода под руководством А. С. Назарова. В отделе тогда насчитывалось всего 14 человек. Фактически раз</w:t>
      </w:r>
      <w:r w:rsidRPr="00142305">
        <w:rPr>
          <w:rFonts w:ascii="Times New Roman" w:hAnsi="Times New Roman"/>
          <w:color w:val="0070C0"/>
          <w:sz w:val="16"/>
          <w:szCs w:val="16"/>
        </w:rPr>
        <w:softHyphen/>
        <w:t>ра</w:t>
      </w:r>
      <w:r w:rsidRPr="00142305">
        <w:rPr>
          <w:rFonts w:ascii="Times New Roman" w:hAnsi="Times New Roman"/>
          <w:color w:val="0070C0"/>
          <w:sz w:val="16"/>
          <w:szCs w:val="16"/>
        </w:rPr>
        <w:softHyphen/>
        <w:t>боткой двигателей малой мощности занималась небольшая группа М. А. Коссова (25397).</w:t>
      </w:r>
    </w:p>
    <w:p w14:paraId="3A428C8F" w14:textId="77777777" w:rsidR="006F72EA" w:rsidRPr="00142305" w:rsidRDefault="006F72EA" w:rsidP="006F72EA">
      <w:pPr>
        <w:spacing w:after="0" w:line="240" w:lineRule="auto"/>
        <w:jc w:val="both"/>
        <w:rPr>
          <w:rFonts w:ascii="Times New Roman" w:hAnsi="Times New Roman"/>
          <w:color w:val="0070C0"/>
          <w:sz w:val="16"/>
          <w:szCs w:val="16"/>
        </w:rPr>
      </w:pPr>
    </w:p>
    <w:p w14:paraId="157D654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1931 г. началось проектирова</w:t>
      </w:r>
      <w:r w:rsidRPr="005E779E">
        <w:rPr>
          <w:rFonts w:ascii="Times New Roman" w:hAnsi="Times New Roman"/>
          <w:color w:val="000000" w:themeColor="text1"/>
          <w:sz w:val="16"/>
          <w:szCs w:val="16"/>
        </w:rPr>
        <w:softHyphen/>
        <w:t>ние модификации М-34Н. В то время для улучшения высот</w:t>
      </w:r>
      <w:r w:rsidRPr="005E779E">
        <w:rPr>
          <w:rFonts w:ascii="Times New Roman" w:hAnsi="Times New Roman"/>
          <w:color w:val="000000" w:themeColor="text1"/>
          <w:sz w:val="16"/>
          <w:szCs w:val="16"/>
        </w:rPr>
        <w:softHyphen/>
        <w:t>ных характеристик за рубежом ста</w:t>
      </w:r>
      <w:r w:rsidRPr="005E779E">
        <w:rPr>
          <w:rFonts w:ascii="Times New Roman" w:hAnsi="Times New Roman"/>
          <w:color w:val="000000" w:themeColor="text1"/>
          <w:sz w:val="16"/>
          <w:szCs w:val="16"/>
        </w:rPr>
        <w:softHyphen/>
        <w:t>ли монтировать на моторах нагне</w:t>
      </w:r>
      <w:r w:rsidRPr="005E779E">
        <w:rPr>
          <w:rFonts w:ascii="Times New Roman" w:hAnsi="Times New Roman"/>
          <w:color w:val="000000" w:themeColor="text1"/>
          <w:sz w:val="16"/>
          <w:szCs w:val="16"/>
        </w:rPr>
        <w:softHyphen/>
        <w:t>татели. В нашей стране тоже пост</w:t>
      </w:r>
      <w:r w:rsidRPr="005E779E">
        <w:rPr>
          <w:rFonts w:ascii="Times New Roman" w:hAnsi="Times New Roman"/>
          <w:color w:val="000000" w:themeColor="text1"/>
          <w:sz w:val="16"/>
          <w:szCs w:val="16"/>
        </w:rPr>
        <w:softHyphen/>
        <w:t>роили несколько экспериментальных двигателей с центробежными нагне</w:t>
      </w:r>
      <w:r w:rsidRPr="005E779E">
        <w:rPr>
          <w:rFonts w:ascii="Times New Roman" w:hAnsi="Times New Roman"/>
          <w:color w:val="000000" w:themeColor="text1"/>
          <w:sz w:val="16"/>
          <w:szCs w:val="16"/>
        </w:rPr>
        <w:softHyphen/>
        <w:t>тателями, приводившимися во враще</w:t>
      </w:r>
      <w:r w:rsidRPr="005E779E">
        <w:rPr>
          <w:rFonts w:ascii="Times New Roman" w:hAnsi="Times New Roman"/>
          <w:color w:val="000000" w:themeColor="text1"/>
          <w:sz w:val="16"/>
          <w:szCs w:val="16"/>
        </w:rPr>
        <w:softHyphen/>
        <w:t>ние от хвостовика коленчатого вала через повышающий редуктор. Мотор М-15 даже некоторое время выпус</w:t>
      </w:r>
      <w:r w:rsidRPr="005E779E">
        <w:rPr>
          <w:rFonts w:ascii="Times New Roman" w:hAnsi="Times New Roman"/>
          <w:color w:val="000000" w:themeColor="text1"/>
          <w:sz w:val="16"/>
          <w:szCs w:val="16"/>
        </w:rPr>
        <w:softHyphen/>
        <w:t>кался серийно, но через каждые 25 часов на нем требовалось менять подшипники нагнетателя (импортные, шведские, купленные за золото). Первона</w:t>
      </w:r>
      <w:r w:rsidRPr="005E779E">
        <w:rPr>
          <w:rFonts w:ascii="Times New Roman" w:hAnsi="Times New Roman"/>
          <w:color w:val="000000" w:themeColor="text1"/>
          <w:sz w:val="16"/>
          <w:szCs w:val="16"/>
        </w:rPr>
        <w:softHyphen/>
        <w:t>чально планировали, что мотор прой</w:t>
      </w:r>
      <w:r w:rsidRPr="005E779E">
        <w:rPr>
          <w:rFonts w:ascii="Times New Roman" w:hAnsi="Times New Roman"/>
          <w:color w:val="000000" w:themeColor="text1"/>
          <w:sz w:val="16"/>
          <w:szCs w:val="16"/>
        </w:rPr>
        <w:softHyphen/>
        <w:t>дет государственные испытания к 15 июня 1932 г. Но первый двухскорос-тной нагнетатель, спроектированный П.И. Орловым, А.А. Микулиным и А.Н. Данилевским, оказался недоста</w:t>
      </w:r>
      <w:r w:rsidRPr="005E779E">
        <w:rPr>
          <w:rFonts w:ascii="Times New Roman" w:hAnsi="Times New Roman"/>
          <w:color w:val="000000" w:themeColor="text1"/>
          <w:sz w:val="16"/>
          <w:szCs w:val="16"/>
        </w:rPr>
        <w:softHyphen/>
        <w:t>точно надежным. Второй вариант, более простой односкоростной, со</w:t>
      </w:r>
      <w:r w:rsidRPr="005E779E">
        <w:rPr>
          <w:rFonts w:ascii="Times New Roman" w:hAnsi="Times New Roman"/>
          <w:color w:val="000000" w:themeColor="text1"/>
          <w:sz w:val="16"/>
          <w:szCs w:val="16"/>
        </w:rPr>
        <w:softHyphen/>
        <w:t>здали А.Н Данилевский и Е.О. Дмит</w:t>
      </w:r>
      <w:r w:rsidRPr="005E779E">
        <w:rPr>
          <w:rFonts w:ascii="Times New Roman" w:hAnsi="Times New Roman"/>
          <w:color w:val="000000" w:themeColor="text1"/>
          <w:sz w:val="16"/>
          <w:szCs w:val="16"/>
        </w:rPr>
        <w:softHyphen/>
        <w:t>риевский. Его «обкатывали» на трех моторах. На заводских испытаниях нагнетатель дважды выходил из строя - 22 июля и 10 сентября 1933 г. После этого спроектировали и изго</w:t>
      </w:r>
      <w:r w:rsidRPr="005E779E">
        <w:rPr>
          <w:rFonts w:ascii="Times New Roman" w:hAnsi="Times New Roman"/>
          <w:color w:val="000000" w:themeColor="text1"/>
          <w:sz w:val="16"/>
          <w:szCs w:val="16"/>
        </w:rPr>
        <w:softHyphen/>
        <w:t>товили новую, усиленную ребрами, заднюю крышку. Государственные испытания прошли удачнее. М-34Н проходил их с 25 декабря 1933 г., акт об успешном завершении утвер</w:t>
      </w:r>
      <w:r w:rsidRPr="005E779E">
        <w:rPr>
          <w:rFonts w:ascii="Times New Roman" w:hAnsi="Times New Roman"/>
          <w:color w:val="000000" w:themeColor="text1"/>
          <w:sz w:val="16"/>
          <w:szCs w:val="16"/>
        </w:rPr>
        <w:softHyphen/>
        <w:t>дили 7 февраля 1934 г., а серия по</w:t>
      </w:r>
      <w:r w:rsidRPr="005E779E">
        <w:rPr>
          <w:rFonts w:ascii="Times New Roman" w:hAnsi="Times New Roman"/>
          <w:color w:val="000000" w:themeColor="text1"/>
          <w:sz w:val="16"/>
          <w:szCs w:val="16"/>
        </w:rPr>
        <w:softHyphen/>
        <w:t>шла с сентября 1934 г. Нагнетатель выполнялся в виде отдельного съемного узла и мог мон</w:t>
      </w:r>
      <w:r w:rsidRPr="005E779E">
        <w:rPr>
          <w:rFonts w:ascii="Times New Roman" w:hAnsi="Times New Roman"/>
          <w:color w:val="000000" w:themeColor="text1"/>
          <w:sz w:val="16"/>
          <w:szCs w:val="16"/>
        </w:rPr>
        <w:softHyphen/>
        <w:t>тироваться на моторы других моди</w:t>
      </w:r>
      <w:r w:rsidRPr="005E779E">
        <w:rPr>
          <w:rFonts w:ascii="Times New Roman" w:hAnsi="Times New Roman"/>
          <w:color w:val="000000" w:themeColor="text1"/>
          <w:sz w:val="16"/>
          <w:szCs w:val="16"/>
        </w:rPr>
        <w:softHyphen/>
        <w:t>фикаций. В дальнейшем его хотели сделать отключаемым на малых вы</w:t>
      </w:r>
      <w:r w:rsidRPr="005E779E">
        <w:rPr>
          <w:rFonts w:ascii="Times New Roman" w:hAnsi="Times New Roman"/>
          <w:color w:val="000000" w:themeColor="text1"/>
          <w:sz w:val="16"/>
          <w:szCs w:val="16"/>
        </w:rPr>
        <w:softHyphen/>
        <w:t>сотах, но это намерение так и не было претворено в жизнь. Надеж</w:t>
      </w:r>
      <w:r w:rsidRPr="005E779E">
        <w:rPr>
          <w:rFonts w:ascii="Times New Roman" w:hAnsi="Times New Roman"/>
          <w:color w:val="000000" w:themeColor="text1"/>
          <w:sz w:val="16"/>
          <w:szCs w:val="16"/>
        </w:rPr>
        <w:softHyphen/>
        <w:t>ность М-34Н была невысока. Во-пер</w:t>
      </w:r>
      <w:r w:rsidRPr="005E779E">
        <w:rPr>
          <w:rFonts w:ascii="Times New Roman" w:hAnsi="Times New Roman"/>
          <w:color w:val="000000" w:themeColor="text1"/>
          <w:sz w:val="16"/>
          <w:szCs w:val="16"/>
        </w:rPr>
        <w:softHyphen/>
        <w:t>вых, разрушались подшипники, на которых стояла крыльчатка. Во-вто</w:t>
      </w:r>
      <w:r w:rsidRPr="005E779E">
        <w:rPr>
          <w:rFonts w:ascii="Times New Roman" w:hAnsi="Times New Roman"/>
          <w:color w:val="000000" w:themeColor="text1"/>
          <w:sz w:val="16"/>
          <w:szCs w:val="16"/>
        </w:rPr>
        <w:softHyphen/>
        <w:t>рых, нагнетатель у М-34Р распола</w:t>
      </w:r>
      <w:r w:rsidRPr="005E779E">
        <w:rPr>
          <w:rFonts w:ascii="Times New Roman" w:hAnsi="Times New Roman"/>
          <w:color w:val="000000" w:themeColor="text1"/>
          <w:sz w:val="16"/>
          <w:szCs w:val="16"/>
        </w:rPr>
        <w:softHyphen/>
        <w:t>гался за карбюратором; в нем сжи</w:t>
      </w:r>
      <w:r w:rsidRPr="005E779E">
        <w:rPr>
          <w:rFonts w:ascii="Times New Roman" w:hAnsi="Times New Roman"/>
          <w:color w:val="000000" w:themeColor="text1"/>
          <w:sz w:val="16"/>
          <w:szCs w:val="16"/>
        </w:rPr>
        <w:softHyphen/>
        <w:t>мался не воздух, а топливно-воздуш-ная смесь. На некоторых режимах бензин начинал конденсироваться на выходе из нагнетателя и двигатель глох. Альтернативно рассматрива</w:t>
      </w:r>
      <w:r w:rsidRPr="005E779E">
        <w:rPr>
          <w:rFonts w:ascii="Times New Roman" w:hAnsi="Times New Roman"/>
          <w:color w:val="000000" w:themeColor="text1"/>
          <w:sz w:val="16"/>
          <w:szCs w:val="16"/>
        </w:rPr>
        <w:softHyphen/>
        <w:t>лась возможность смонтировать на М-34 иностранные агрегаты. В 1934 г. вели переговоры с француз</w:t>
      </w:r>
      <w:r w:rsidRPr="005E779E">
        <w:rPr>
          <w:rFonts w:ascii="Times New Roman" w:hAnsi="Times New Roman"/>
          <w:color w:val="000000" w:themeColor="text1"/>
          <w:sz w:val="16"/>
          <w:szCs w:val="16"/>
        </w:rPr>
        <w:softHyphen/>
        <w:t>скими фирмами «Испано-Сюиза» и «Фарман» о проектировании ими нового нагнетателя специально для М-34Н. Пытались также приобрести двухступенчатые нагнетатели у «Рато» (этот вариант именовался М-34РАТО). По мировым стандартам М-34Н был тяжеловат. Военные неоднократ</w:t>
      </w:r>
      <w:r w:rsidRPr="005E779E">
        <w:rPr>
          <w:rFonts w:ascii="Times New Roman" w:hAnsi="Times New Roman"/>
          <w:color w:val="000000" w:themeColor="text1"/>
          <w:sz w:val="16"/>
          <w:szCs w:val="16"/>
        </w:rPr>
        <w:softHyphen/>
        <w:t>но требовали снизить вес мотора. В ответ спроектировали облегченный вариант М-34Э (560 кг) с картером из магниевого сплава электрона. Но вот только сплавов этих в СССР не имелось, а привезенные из-за гра</w:t>
      </w:r>
      <w:r w:rsidRPr="005E779E">
        <w:rPr>
          <w:rFonts w:ascii="Times New Roman" w:hAnsi="Times New Roman"/>
          <w:color w:val="000000" w:themeColor="text1"/>
          <w:sz w:val="16"/>
          <w:szCs w:val="16"/>
        </w:rPr>
        <w:softHyphen/>
        <w:t>ницы толком не умели обрабатывать. Пробный картер на заводе № 24 отлили, но через поры и трещины уходило масло. Попробовали разные варианты пропитки. В конце концов, образец М-34Э все-таки поставили на станок. Испытания сначала шли неплохо, но на 97-м часу лопнула одна из перегородок картера. В ре</w:t>
      </w:r>
      <w:r w:rsidRPr="005E779E">
        <w:rPr>
          <w:rFonts w:ascii="Times New Roman" w:hAnsi="Times New Roman"/>
          <w:color w:val="000000" w:themeColor="text1"/>
          <w:sz w:val="16"/>
          <w:szCs w:val="16"/>
        </w:rPr>
        <w:softHyphen/>
        <w:t>зультате от идеи облегчить М-34Н таким способом временно пришлось отказаться. Следующим шагом вполне логич</w:t>
      </w:r>
      <w:r w:rsidRPr="005E779E">
        <w:rPr>
          <w:rFonts w:ascii="Times New Roman" w:hAnsi="Times New Roman"/>
          <w:color w:val="000000" w:themeColor="text1"/>
          <w:sz w:val="16"/>
          <w:szCs w:val="16"/>
        </w:rPr>
        <w:softHyphen/>
        <w:t>но стало совместное применение редуктора и нагнетателя. По плану предлагалось представить опытный образец М-34РН на госиспытания к 1 декабря 1932 г. Фактически же он начал заводские испытания лишь 1 мая 1934 г. Поломка следовала за поломкой. Прогорали клапаны, сбо</w:t>
      </w:r>
      <w:r w:rsidRPr="005E779E">
        <w:rPr>
          <w:rFonts w:ascii="Times New Roman" w:hAnsi="Times New Roman"/>
          <w:color w:val="000000" w:themeColor="text1"/>
          <w:sz w:val="16"/>
          <w:szCs w:val="16"/>
        </w:rPr>
        <w:softHyphen/>
        <w:t>ило газораспределение, от вибраций появлялись трещины на лапах креп</w:t>
      </w:r>
      <w:r w:rsidRPr="005E779E">
        <w:rPr>
          <w:rFonts w:ascii="Times New Roman" w:hAnsi="Times New Roman"/>
          <w:color w:val="000000" w:themeColor="text1"/>
          <w:sz w:val="16"/>
          <w:szCs w:val="16"/>
        </w:rPr>
        <w:softHyphen/>
        <w:t>ления к раме. Но нагнетатель и ре</w:t>
      </w:r>
      <w:r w:rsidRPr="005E779E">
        <w:rPr>
          <w:rFonts w:ascii="Times New Roman" w:hAnsi="Times New Roman"/>
          <w:color w:val="000000" w:themeColor="text1"/>
          <w:sz w:val="16"/>
          <w:szCs w:val="16"/>
        </w:rPr>
        <w:softHyphen/>
        <w:t>дуктор работали «безукоризненно». Усовершенствованный вариант предъявили на госиспытания в сен</w:t>
      </w:r>
      <w:r w:rsidRPr="005E779E">
        <w:rPr>
          <w:rFonts w:ascii="Times New Roman" w:hAnsi="Times New Roman"/>
          <w:color w:val="000000" w:themeColor="text1"/>
          <w:sz w:val="16"/>
          <w:szCs w:val="16"/>
        </w:rPr>
        <w:softHyphen/>
        <w:t>тябре, но и они закончились неудач</w:t>
      </w:r>
      <w:r w:rsidRPr="005E779E">
        <w:rPr>
          <w:rFonts w:ascii="Times New Roman" w:hAnsi="Times New Roman"/>
          <w:color w:val="000000" w:themeColor="text1"/>
          <w:sz w:val="16"/>
          <w:szCs w:val="16"/>
        </w:rPr>
        <w:softHyphen/>
        <w:t>но - прогорели поршни. В результа</w:t>
      </w:r>
      <w:r w:rsidRPr="005E779E">
        <w:rPr>
          <w:rFonts w:ascii="Times New Roman" w:hAnsi="Times New Roman"/>
          <w:color w:val="000000" w:themeColor="text1"/>
          <w:sz w:val="16"/>
          <w:szCs w:val="16"/>
        </w:rPr>
        <w:softHyphen/>
        <w:t>те М-34РН в 1934 г. выпустили лишь небольшой серией. Поскольку нагне</w:t>
      </w:r>
      <w:r w:rsidRPr="005E779E">
        <w:rPr>
          <w:rFonts w:ascii="Times New Roman" w:hAnsi="Times New Roman"/>
          <w:color w:val="000000" w:themeColor="text1"/>
          <w:sz w:val="16"/>
          <w:szCs w:val="16"/>
        </w:rPr>
        <w:softHyphen/>
        <w:t>тателей не хватало, их монтировали только на редукторные моторы, а производство М-34Н отсрочили (11848).</w:t>
      </w:r>
    </w:p>
    <w:p w14:paraId="06A296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683F4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1931 г. в НАМИ велась сазработ</w:t>
      </w:r>
      <w:r w:rsidRPr="005E779E">
        <w:rPr>
          <w:rFonts w:ascii="Times New Roman" w:hAnsi="Times New Roman"/>
          <w:color w:val="000000" w:themeColor="text1"/>
          <w:sz w:val="16"/>
          <w:szCs w:val="16"/>
        </w:rPr>
        <w:softHyphen/>
        <w:t>ка варианта М-34 для торпедных катеров, названной ГМ-34. Он имел совершенно другой редук</w:t>
      </w:r>
      <w:r w:rsidRPr="005E779E">
        <w:rPr>
          <w:rFonts w:ascii="Times New Roman" w:hAnsi="Times New Roman"/>
          <w:color w:val="000000" w:themeColor="text1"/>
          <w:sz w:val="16"/>
          <w:szCs w:val="16"/>
        </w:rPr>
        <w:softHyphen/>
        <w:t>тор с реверс-муфтой РМ-1, позволя</w:t>
      </w:r>
      <w:r w:rsidRPr="005E779E">
        <w:rPr>
          <w:rFonts w:ascii="Times New Roman" w:hAnsi="Times New Roman"/>
          <w:color w:val="000000" w:themeColor="text1"/>
          <w:sz w:val="16"/>
          <w:szCs w:val="16"/>
        </w:rPr>
        <w:softHyphen/>
        <w:t>ющей при неизменном направлении вращения коленчатого вала крутить винт в обе стороны. Так катеру обес</w:t>
      </w:r>
      <w:r w:rsidRPr="005E779E">
        <w:rPr>
          <w:rFonts w:ascii="Times New Roman" w:hAnsi="Times New Roman"/>
          <w:color w:val="000000" w:themeColor="text1"/>
          <w:sz w:val="16"/>
          <w:szCs w:val="16"/>
        </w:rPr>
        <w:softHyphen/>
        <w:t>печивали задний ход. Предусматри</w:t>
      </w:r>
      <w:r w:rsidRPr="005E779E">
        <w:rPr>
          <w:rFonts w:ascii="Times New Roman" w:hAnsi="Times New Roman"/>
          <w:color w:val="000000" w:themeColor="text1"/>
          <w:sz w:val="16"/>
          <w:szCs w:val="16"/>
        </w:rPr>
        <w:softHyphen/>
        <w:t>валась также муфта свободного хода, расцепляющая вал мотора с валом винта. Новый редуктор про</w:t>
      </w:r>
      <w:r w:rsidRPr="005E779E">
        <w:rPr>
          <w:rFonts w:ascii="Times New Roman" w:hAnsi="Times New Roman"/>
          <w:color w:val="000000" w:themeColor="text1"/>
          <w:sz w:val="16"/>
          <w:szCs w:val="16"/>
        </w:rPr>
        <w:softHyphen/>
        <w:t>ектировал В.М. Яковлев. ГМ-34 дол</w:t>
      </w:r>
      <w:r w:rsidRPr="005E779E">
        <w:rPr>
          <w:rFonts w:ascii="Times New Roman" w:hAnsi="Times New Roman"/>
          <w:color w:val="000000" w:themeColor="text1"/>
          <w:sz w:val="16"/>
          <w:szCs w:val="16"/>
        </w:rPr>
        <w:softHyphen/>
        <w:t>жен был отличаться также устрой</w:t>
      </w:r>
      <w:r w:rsidRPr="005E779E">
        <w:rPr>
          <w:rFonts w:ascii="Times New Roman" w:hAnsi="Times New Roman"/>
          <w:color w:val="000000" w:themeColor="text1"/>
          <w:sz w:val="16"/>
          <w:szCs w:val="16"/>
        </w:rPr>
        <w:softHyphen/>
        <w:t>ством выхлопной системы. Интерес</w:t>
      </w:r>
      <w:r w:rsidRPr="005E779E">
        <w:rPr>
          <w:rFonts w:ascii="Times New Roman" w:hAnsi="Times New Roman"/>
          <w:color w:val="000000" w:themeColor="text1"/>
          <w:sz w:val="16"/>
          <w:szCs w:val="16"/>
        </w:rPr>
        <w:softHyphen/>
        <w:t>но, что в задании было записано: «...с забортным охлаждением». Но за</w:t>
      </w:r>
      <w:r w:rsidRPr="005E779E">
        <w:rPr>
          <w:rFonts w:ascii="Times New Roman" w:hAnsi="Times New Roman"/>
          <w:color w:val="000000" w:themeColor="text1"/>
          <w:sz w:val="16"/>
          <w:szCs w:val="16"/>
        </w:rPr>
        <w:softHyphen/>
        <w:t>бортная вода - соленая! Пустить ее в рубашку блока означает сра</w:t>
      </w:r>
      <w:r w:rsidRPr="005E779E">
        <w:rPr>
          <w:rFonts w:ascii="Times New Roman" w:hAnsi="Times New Roman"/>
          <w:color w:val="000000" w:themeColor="text1"/>
          <w:sz w:val="16"/>
          <w:szCs w:val="16"/>
        </w:rPr>
        <w:softHyphen/>
        <w:t>зу забить проходы солевыми отложениями. Возможно, име</w:t>
      </w:r>
      <w:r w:rsidRPr="005E779E">
        <w:rPr>
          <w:rFonts w:ascii="Times New Roman" w:hAnsi="Times New Roman"/>
          <w:color w:val="000000" w:themeColor="text1"/>
          <w:sz w:val="16"/>
          <w:szCs w:val="16"/>
        </w:rPr>
        <w:softHyphen/>
        <w:t>лась в виду двухконтурная схе</w:t>
      </w:r>
      <w:r w:rsidRPr="005E779E">
        <w:rPr>
          <w:rFonts w:ascii="Times New Roman" w:hAnsi="Times New Roman"/>
          <w:color w:val="000000" w:themeColor="text1"/>
          <w:sz w:val="16"/>
          <w:szCs w:val="16"/>
        </w:rPr>
        <w:softHyphen/>
        <w:t>ма с водо-водяными радиато</w:t>
      </w:r>
      <w:r w:rsidRPr="005E779E">
        <w:rPr>
          <w:rFonts w:ascii="Times New Roman" w:hAnsi="Times New Roman"/>
          <w:color w:val="000000" w:themeColor="text1"/>
          <w:sz w:val="16"/>
          <w:szCs w:val="16"/>
        </w:rPr>
        <w:softHyphen/>
        <w:t>рами (11848).</w:t>
      </w:r>
    </w:p>
    <w:p w14:paraId="2F4427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4AB4A2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работавший в ЦИАМ инженер А.П. Ро предложил проект 24-цилиндрового двигателя Н-образной схемы с двумя коленчатыми вала</w:t>
      </w:r>
      <w:r w:rsidRPr="005E779E">
        <w:rPr>
          <w:rFonts w:ascii="Times New Roman" w:hAnsi="Times New Roman"/>
          <w:color w:val="000000" w:themeColor="text1"/>
          <w:sz w:val="16"/>
          <w:szCs w:val="16"/>
        </w:rPr>
        <w:softHyphen/>
        <w:t>ми, работавшими на общий редуктор. Это был первый проект авиамотора Н-образной схемы в Советском Союзе и, возможно, в мире. Во всяком случае, в этом отношении Ро несколько опередил конструкторов фирмы «Нэпир», которые позже создали удачный мотор «Дэггер», запущенный в серийное производство и устанавливавшийся на самолетах «Хирфорд» и «Гектор». В двигателе Ро использовались четыре блока от новейшего тогда советского мотора М-34 конструкции А.А. Микулина. Однако вскоре эту работу исключили из плана ЦИАМ, возможно, что</w:t>
      </w:r>
      <w:r w:rsidRPr="005E779E">
        <w:rPr>
          <w:rFonts w:ascii="Times New Roman" w:hAnsi="Times New Roman"/>
          <w:color w:val="000000" w:themeColor="text1"/>
          <w:sz w:val="16"/>
          <w:szCs w:val="16"/>
        </w:rPr>
        <w:softHyphen/>
        <w:t>бы сосредоточить силы на создании мощного двигателя М-35, разраба</w:t>
      </w:r>
      <w:r w:rsidRPr="005E779E">
        <w:rPr>
          <w:rFonts w:ascii="Times New Roman" w:hAnsi="Times New Roman"/>
          <w:color w:val="000000" w:themeColor="text1"/>
          <w:sz w:val="16"/>
          <w:szCs w:val="16"/>
        </w:rPr>
        <w:softHyphen/>
        <w:t xml:space="preserve">тывавшегося в </w:t>
      </w:r>
      <w:r w:rsidRPr="005E779E">
        <w:rPr>
          <w:rFonts w:ascii="Times New Roman" w:hAnsi="Times New Roman"/>
          <w:color w:val="000000" w:themeColor="text1"/>
          <w:sz w:val="16"/>
          <w:szCs w:val="16"/>
          <w:lang w:val="en-US"/>
        </w:rPr>
        <w:t>W</w:t>
      </w:r>
      <w:r w:rsidRPr="005E779E">
        <w:rPr>
          <w:rFonts w:ascii="Times New Roman" w:hAnsi="Times New Roman"/>
          <w:color w:val="000000" w:themeColor="text1"/>
          <w:sz w:val="16"/>
          <w:szCs w:val="16"/>
        </w:rPr>
        <w:t>-образной, Х-образной и У-образной компоновках, при</w:t>
      </w:r>
      <w:r w:rsidRPr="005E779E">
        <w:rPr>
          <w:rFonts w:ascii="Times New Roman" w:hAnsi="Times New Roman"/>
          <w:color w:val="000000" w:themeColor="text1"/>
          <w:sz w:val="16"/>
          <w:szCs w:val="16"/>
        </w:rPr>
        <w:softHyphen/>
        <w:t>чем два первых варианта тоже предусматривали использование блоков от М-34. По собственной инициативе позже Ро создал еще несколько про</w:t>
      </w:r>
      <w:r w:rsidRPr="005E779E">
        <w:rPr>
          <w:rFonts w:ascii="Times New Roman" w:hAnsi="Times New Roman"/>
          <w:color w:val="000000" w:themeColor="text1"/>
          <w:sz w:val="16"/>
          <w:szCs w:val="16"/>
        </w:rPr>
        <w:softHyphen/>
        <w:t>ектов Н-образных авиационных моторов. Проекты 1932, 1934 и 1936 гг. основывались на блоках от М-34, проект 1937 г. использовал блоки от М-100. Все эти разработки делались им лично и не были воплощены в виде опытных образцов. В декабре 1939 г. А.П. Ро и Е.В. Урмин выступили с предложением построить в ЦИАМ двигатель Н-образной схемы на базе «усовершен</w:t>
      </w:r>
      <w:r w:rsidRPr="005E779E">
        <w:rPr>
          <w:rFonts w:ascii="Times New Roman" w:hAnsi="Times New Roman"/>
          <w:color w:val="000000" w:themeColor="text1"/>
          <w:sz w:val="16"/>
          <w:szCs w:val="16"/>
        </w:rPr>
        <w:softHyphen/>
        <w:t>ствованных блоков М-34» (возможно, М-34ФРНВ) с наддувом и непо</w:t>
      </w:r>
      <w:r w:rsidRPr="005E779E">
        <w:rPr>
          <w:rFonts w:ascii="Times New Roman" w:hAnsi="Times New Roman"/>
          <w:color w:val="000000" w:themeColor="text1"/>
          <w:sz w:val="16"/>
          <w:szCs w:val="16"/>
        </w:rPr>
        <w:softHyphen/>
        <w:t>средственным впрыском топлива. При сухом весе 1400 кг конструкторы обещали получить максимальную мощность 3000 л.с. Но в план ЦИАМ этот проект не включили. В начале 1940 г. Ро на базе проекта 1937 г. создал проект нового дви</w:t>
      </w:r>
      <w:r w:rsidRPr="005E779E">
        <w:rPr>
          <w:rFonts w:ascii="Times New Roman" w:hAnsi="Times New Roman"/>
          <w:color w:val="000000" w:themeColor="text1"/>
          <w:sz w:val="16"/>
          <w:szCs w:val="16"/>
        </w:rPr>
        <w:softHyphen/>
        <w:t>гателя с использованием четырех блоков М-103А, переработанный затем под блоки мотора М-105. Этот проект сочли перспективным и включили в государственный план опытных работ по авиационному моторостроению под обозначением М-130. Согласно постановлению правительства на заво</w:t>
      </w:r>
      <w:r w:rsidRPr="005E779E">
        <w:rPr>
          <w:rFonts w:ascii="Times New Roman" w:hAnsi="Times New Roman"/>
          <w:color w:val="000000" w:themeColor="text1"/>
          <w:sz w:val="16"/>
          <w:szCs w:val="16"/>
        </w:rPr>
        <w:softHyphen/>
        <w:t>де № 27 в Казани сформировали конструкторское бюро, которое должно было завершить проектирование М-130. Там же предполагалось изгото</w:t>
      </w:r>
      <w:r w:rsidRPr="005E779E">
        <w:rPr>
          <w:rFonts w:ascii="Times New Roman" w:hAnsi="Times New Roman"/>
          <w:color w:val="000000" w:themeColor="text1"/>
          <w:sz w:val="16"/>
          <w:szCs w:val="16"/>
        </w:rPr>
        <w:softHyphen/>
        <w:t>вить опытные образцы и позднее начать серийное производство. Но работа над М-130 продолжалась недолго. Под давлением руководства НКВД и лично Л.П. Берии М-130 был вытеснен из плана конкурирующим Х-образным мотором МБ-100, созданным в ОТБ НКВД конструкторами-заключенными под руководством А.М. Добротворского. МБ-100 основы</w:t>
      </w:r>
      <w:r w:rsidRPr="005E779E">
        <w:rPr>
          <w:rFonts w:ascii="Times New Roman" w:hAnsi="Times New Roman"/>
          <w:color w:val="000000" w:themeColor="text1"/>
          <w:sz w:val="16"/>
          <w:szCs w:val="16"/>
        </w:rPr>
        <w:softHyphen/>
        <w:t>вался также на блоках М-103А, а затем М-105 и имел несколько худшие расчетные характеристики. Постановлением правительства от 26 сентября 1940 г. работы по М-130 прекратили, коллектив конструкторского бюро, пополнив его доставленными из Москвы заключенными, загрузили про</w:t>
      </w:r>
      <w:r w:rsidRPr="005E779E">
        <w:rPr>
          <w:rFonts w:ascii="Times New Roman" w:hAnsi="Times New Roman"/>
          <w:color w:val="000000" w:themeColor="text1"/>
          <w:sz w:val="16"/>
          <w:szCs w:val="16"/>
        </w:rPr>
        <w:softHyphen/>
        <w:t>ектированием МБ-100.</w:t>
      </w:r>
    </w:p>
    <w:p w14:paraId="1A48F4B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Первоначальный вариант проекта М-130 был разработан А.П. Ро в ЦИАМ в 1939-1940 гг. с использованием элементов проекта 1937 г. Дви</w:t>
      </w:r>
      <w:r w:rsidRPr="005E779E">
        <w:rPr>
          <w:rFonts w:ascii="Times New Roman" w:hAnsi="Times New Roman"/>
          <w:color w:val="000000" w:themeColor="text1"/>
          <w:sz w:val="16"/>
          <w:szCs w:val="16"/>
        </w:rPr>
        <w:softHyphen/>
        <w:t>гатель Н-образный двухвальный с четырьмя блоками от мотора М-105. В 1940 г. сформировали конструкторское бюро при заводе № 27 в Ка</w:t>
      </w:r>
      <w:r w:rsidRPr="005E779E">
        <w:rPr>
          <w:rFonts w:ascii="Times New Roman" w:hAnsi="Times New Roman"/>
          <w:color w:val="000000" w:themeColor="text1"/>
          <w:sz w:val="16"/>
          <w:szCs w:val="16"/>
        </w:rPr>
        <w:softHyphen/>
        <w:t>зани, где под руководством Ро создавался окончательный проект М-130. Окончание проектирования планировалось на сентябрь 1940 г., начало за</w:t>
      </w:r>
      <w:r w:rsidRPr="005E779E">
        <w:rPr>
          <w:rFonts w:ascii="Times New Roman" w:hAnsi="Times New Roman"/>
          <w:color w:val="000000" w:themeColor="text1"/>
          <w:sz w:val="16"/>
          <w:szCs w:val="16"/>
        </w:rPr>
        <w:softHyphen/>
        <w:t>водских испытаний — на январь 1941 г. Постановлением правительства от 26 сентября 1940 г. работы по М-130 прекратили.</w:t>
      </w:r>
    </w:p>
    <w:p w14:paraId="7BE1DB6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Характеристики:</w:t>
      </w:r>
    </w:p>
    <w:p w14:paraId="22AC3D4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24-цилиндровый, Н-образный рядный, четырехтактный, водяного охлаждения, редукторный, с ПЦН;</w:t>
      </w:r>
    </w:p>
    <w:p w14:paraId="44B8256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диаметр цилиндра/ход поршня 148/170 мм;</w:t>
      </w:r>
    </w:p>
    <w:p w14:paraId="67800BB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степень сжатия 6,6;</w:t>
      </w:r>
    </w:p>
    <w:p w14:paraId="364DDB1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объем 70,0 л;</w:t>
      </w:r>
    </w:p>
    <w:p w14:paraId="63DA23D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мощность 2300/2400 л.с. (по другим источникам, 2300/2500 л.с.);</w:t>
      </w:r>
    </w:p>
    <w:p w14:paraId="429DFB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вес 1100 кг (проектный) (11852).</w:t>
      </w:r>
    </w:p>
    <w:p w14:paraId="41BE66A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75F3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на базе старой площадки завода 1, с которой он переехал в 1930, в старых горячих цехах был создан завод 34 - прокатка алюминиевого и дюралевого листов, производство лент-расчалок и с 1934 - радиаторов. Одновременно был создан 32 завод - производство самолетного вооружения (80,425).</w:t>
      </w:r>
    </w:p>
    <w:p w14:paraId="0807C0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C7412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1931 завод 20 выпускал водяные, масляные и бензиновые насосы, клапана, поршневые кольца, литье карбюраторов (80,431).</w:t>
      </w:r>
    </w:p>
    <w:p w14:paraId="7BEC56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4B2AF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на базе Воронежского авиатехникума было создано небольшое КБ С.А.Москалева. Сделал САМ-5 (83,308).</w:t>
      </w:r>
    </w:p>
    <w:p w14:paraId="460A43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2D26C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С.В.Ильюшин писал статьи по планерам и легкомоторным самолетам, а в 1931 под редакцией С.В.Ильюшина вышел целый сборник "Самолетостроение" (5,8).</w:t>
      </w:r>
    </w:p>
    <w:p w14:paraId="2D9E4C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CDE60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ОКБ МОС, возглавляемое А.Лавилем в 1931 перевели на завод 39 им. Менжинского и переименовали в Бюро новых конструкций (БНК), просуществовавшее до начала 1933 (80,416).</w:t>
      </w:r>
    </w:p>
    <w:p w14:paraId="6A2600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EFD66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Начиная с 1931 г., все вопросы, касающиеся переоборудования и вооружения ДВ, решались на авиазаводе №45, расположенном по соседству с судоремонтным заводом в Килен-бухте. В 1933 г. в Круглой бухте Севастополя начали строительство новых корпусов и испытательной базы завода №45. Впрочем, несмотря на расширение и на принадлежность Главному управлению авиапромышленности как самолетостроительное предприятие, 45-й завод на практике оценивался как авиаремонтный завод. Именно здесь велся ремонт и переоборудование летающих лодок Дорнье "Валь", которые позднее большей частью передали в Управление полярной авиации (11961).</w:t>
      </w:r>
    </w:p>
    <w:p w14:paraId="6A501D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E7641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Казанское вертолетостроительное ПО явилось результатом слияния Ленинградского 387, эвакуированного в 1941 и Казанского завода 169. 387 берет начало от завода им. Каракозова, основанного в 1931, строившего катера и понтоны. Отдан ГУАП в 1940, стал делать У-2. 169 основан в 1933 как завод обозных деталей и включен в АП в 1939 делал крылья и хвосты для И-153, нервюры и лонжероны для ЛаГГ. Объединенный 387 сделал 11334 У-2. КОтдел - Г.И.Бакшаев (62,265) (62,264).</w:t>
      </w:r>
    </w:p>
    <w:p w14:paraId="39B9C3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68FCB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году по письму Авиастроя НКТП за № 587/А281 от 21 ноября 1931 года «Гипроавиа» был разработан новый проект реконструкции завода на выпуск самолетов типа ТШ-2.</w:t>
      </w:r>
    </w:p>
    <w:p w14:paraId="758BEC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году был организован завод «Теплоприбор». Завод занимал верхние этажи, а в первом этаже до 1938 года оставалась прачечная.</w:t>
      </w:r>
    </w:p>
    <w:p w14:paraId="13F1F6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Адрес: Ленинград, Д-11, ул. Плеханова, д. 5, п/я 597</w:t>
      </w:r>
    </w:p>
    <w:p w14:paraId="448AD5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Производственный профиль завода – выпуск приборов для радиолокационной промышленности</w:t>
      </w:r>
    </w:p>
    <w:p w14:paraId="1D2329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 278 размещается на площадях, которые вплоть до 1930 года использовались как жилые, а первый этаж гл. корпуса был занят под прачечную.</w:t>
      </w:r>
    </w:p>
    <w:p w14:paraId="690A50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1938 году прачечная освободила занимаемое помещение. В этом же году был построен корпус инструментального цеха.</w:t>
      </w:r>
    </w:p>
    <w:p w14:paraId="4BB9DF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«Теплоконтроль» входил в НКАП ВОТИ и выпускал газоанализаторы. В 1941 году завод переведен на выпуск продукции для фронта. С 1941 года до 1942 года завод выпускал запалы к гранатам Ковешникова и мины к 50 мм минометам. В августе 1942 года завод был эвакуирован в Ульяновск на площадь строящейся макаронной фабрики и влился в завод № 280. В 1943 году на площадь завода № 278 в Ленинграде было вновь завезено все оборудование и завод начал выпускать затворы к ручному пулемету системы Дегтярева и затворы к автоматам системы ППД.</w:t>
      </w:r>
    </w:p>
    <w:p w14:paraId="34BBF6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ГОКО № 3919с от 18 пагуста 1943 года и приказу № 532с НКАП от 3 сентября 1943 года и приказу № 52с от 8 сентября 1943 года по 5-му гл. управлению о восстановлении завода и дальнейшего развития производства приборов теплотехнического контроля и электроизмерительных приборов на заводах 5-го гл. управления, завод вновь перешел на выпуск газоанализаторов. В 1944 году по приказу № 74сс 17-го гл. управления от 19 октября 1944 года (приказ НКАП № 605сс от 13 октября 1944 года) производство газоанализаторов переведено на завод № 218 НКАП.</w:t>
      </w:r>
    </w:p>
    <w:p w14:paraId="29F965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 57сс НКАП от 10 ноября 1945 года завод переведен на выпуск радиолокационной продукции и начал выпускать приборы ТОН-2 – радиолокаторы для защиты задней полусферы бомбардировщика и др. приборов.</w:t>
      </w:r>
    </w:p>
    <w:p w14:paraId="5FA79B5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МАП за № 738сс от 19 ноября 1946 года завод переведен на выпуск «агрегатов питания» для радиопромышленности.</w:t>
      </w:r>
    </w:p>
    <w:p w14:paraId="3BFF21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основании Постановления СМ за № 305/138сс от 18 февраля 1947 года организовано ОКБ п/я 174 на заводе № 278.</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227"/>
        <w:gridCol w:w="3402"/>
        <w:gridCol w:w="3402"/>
      </w:tblGrid>
      <w:tr w:rsidR="001002C3" w:rsidRPr="005E779E" w14:paraId="3A1CC07C" w14:textId="77777777">
        <w:tc>
          <w:tcPr>
            <w:tcW w:w="3227" w:type="dxa"/>
          </w:tcPr>
          <w:p w14:paraId="45BE0D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Периоды</w:t>
            </w:r>
          </w:p>
        </w:tc>
        <w:tc>
          <w:tcPr>
            <w:tcW w:w="3402" w:type="dxa"/>
          </w:tcPr>
          <w:p w14:paraId="272914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Директора</w:t>
            </w:r>
          </w:p>
        </w:tc>
        <w:tc>
          <w:tcPr>
            <w:tcW w:w="3402" w:type="dxa"/>
          </w:tcPr>
          <w:p w14:paraId="6E0E6A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конструкторы</w:t>
            </w:r>
          </w:p>
        </w:tc>
      </w:tr>
      <w:tr w:rsidR="001002C3" w:rsidRPr="005E779E" w14:paraId="1AD540F3" w14:textId="77777777">
        <w:tc>
          <w:tcPr>
            <w:tcW w:w="3227" w:type="dxa"/>
          </w:tcPr>
          <w:p w14:paraId="7C1118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1931-1936 гг.</w:t>
            </w:r>
          </w:p>
        </w:tc>
        <w:tc>
          <w:tcPr>
            <w:tcW w:w="3402" w:type="dxa"/>
          </w:tcPr>
          <w:p w14:paraId="36E232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Капитан Н.С.</w:t>
            </w:r>
          </w:p>
        </w:tc>
        <w:tc>
          <w:tcPr>
            <w:tcW w:w="3402" w:type="dxa"/>
          </w:tcPr>
          <w:p w14:paraId="1EC8DD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Ершов Б.Б.</w:t>
            </w:r>
          </w:p>
        </w:tc>
      </w:tr>
      <w:tr w:rsidR="001002C3" w:rsidRPr="005E779E" w14:paraId="3BBF0AE7" w14:textId="77777777">
        <w:tc>
          <w:tcPr>
            <w:tcW w:w="3227" w:type="dxa"/>
          </w:tcPr>
          <w:p w14:paraId="02295C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1936-1938 гг.</w:t>
            </w:r>
          </w:p>
        </w:tc>
        <w:tc>
          <w:tcPr>
            <w:tcW w:w="3402" w:type="dxa"/>
          </w:tcPr>
          <w:p w14:paraId="07BF49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Павленко И.Н.</w:t>
            </w:r>
          </w:p>
        </w:tc>
        <w:tc>
          <w:tcPr>
            <w:tcW w:w="3402" w:type="dxa"/>
          </w:tcPr>
          <w:p w14:paraId="50788C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Ершов Б.Б.</w:t>
            </w:r>
          </w:p>
        </w:tc>
      </w:tr>
      <w:tr w:rsidR="001002C3" w:rsidRPr="005E779E" w14:paraId="423C1E5D" w14:textId="77777777">
        <w:tc>
          <w:tcPr>
            <w:tcW w:w="3227" w:type="dxa"/>
          </w:tcPr>
          <w:p w14:paraId="2B121A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1938-1940 гг.</w:t>
            </w:r>
          </w:p>
        </w:tc>
        <w:tc>
          <w:tcPr>
            <w:tcW w:w="3402" w:type="dxa"/>
          </w:tcPr>
          <w:p w14:paraId="708CD7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Зернов И.П.</w:t>
            </w:r>
          </w:p>
        </w:tc>
        <w:tc>
          <w:tcPr>
            <w:tcW w:w="3402" w:type="dxa"/>
          </w:tcPr>
          <w:p w14:paraId="6646B9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Власов В.П.</w:t>
            </w:r>
          </w:p>
        </w:tc>
      </w:tr>
      <w:tr w:rsidR="001002C3" w:rsidRPr="005E779E" w14:paraId="1C2DEB5E" w14:textId="77777777">
        <w:tc>
          <w:tcPr>
            <w:tcW w:w="3227" w:type="dxa"/>
          </w:tcPr>
          <w:p w14:paraId="1765B6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1941-1942 гг.</w:t>
            </w:r>
          </w:p>
        </w:tc>
        <w:tc>
          <w:tcPr>
            <w:tcW w:w="3402" w:type="dxa"/>
          </w:tcPr>
          <w:p w14:paraId="340973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Комиссаров М.И.</w:t>
            </w:r>
          </w:p>
        </w:tc>
        <w:tc>
          <w:tcPr>
            <w:tcW w:w="3402" w:type="dxa"/>
          </w:tcPr>
          <w:p w14:paraId="69A28D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Власов В.П.</w:t>
            </w:r>
          </w:p>
        </w:tc>
      </w:tr>
      <w:tr w:rsidR="001002C3" w:rsidRPr="005E779E" w14:paraId="18CDB9D8" w14:textId="77777777">
        <w:tc>
          <w:tcPr>
            <w:tcW w:w="3227" w:type="dxa"/>
          </w:tcPr>
          <w:p w14:paraId="28AB41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1942-1943 гг.</w:t>
            </w:r>
          </w:p>
        </w:tc>
        <w:tc>
          <w:tcPr>
            <w:tcW w:w="3402" w:type="dxa"/>
          </w:tcPr>
          <w:p w14:paraId="4CF9C8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Степанов Г.С.</w:t>
            </w:r>
          </w:p>
        </w:tc>
        <w:tc>
          <w:tcPr>
            <w:tcW w:w="3402" w:type="dxa"/>
          </w:tcPr>
          <w:p w14:paraId="25A07C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Уласов</w:t>
            </w:r>
          </w:p>
        </w:tc>
      </w:tr>
      <w:tr w:rsidR="001002C3" w:rsidRPr="005E779E" w14:paraId="7EC87813" w14:textId="77777777">
        <w:tc>
          <w:tcPr>
            <w:tcW w:w="3227" w:type="dxa"/>
          </w:tcPr>
          <w:p w14:paraId="275F50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1944-1945 гг.</w:t>
            </w:r>
          </w:p>
        </w:tc>
        <w:tc>
          <w:tcPr>
            <w:tcW w:w="3402" w:type="dxa"/>
          </w:tcPr>
          <w:p w14:paraId="0E9E93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Петров А.Б.</w:t>
            </w:r>
          </w:p>
        </w:tc>
        <w:tc>
          <w:tcPr>
            <w:tcW w:w="3402" w:type="dxa"/>
          </w:tcPr>
          <w:p w14:paraId="748072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Эмдин</w:t>
            </w:r>
          </w:p>
        </w:tc>
      </w:tr>
      <w:tr w:rsidR="001002C3" w:rsidRPr="005E779E" w14:paraId="65021074" w14:textId="77777777">
        <w:tc>
          <w:tcPr>
            <w:tcW w:w="3227" w:type="dxa"/>
          </w:tcPr>
          <w:p w14:paraId="6BB370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1945-1948 гг.</w:t>
            </w:r>
          </w:p>
        </w:tc>
        <w:tc>
          <w:tcPr>
            <w:tcW w:w="3402" w:type="dxa"/>
          </w:tcPr>
          <w:p w14:paraId="5DE46C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Полонников И.П.</w:t>
            </w:r>
          </w:p>
        </w:tc>
        <w:tc>
          <w:tcPr>
            <w:tcW w:w="3402" w:type="dxa"/>
          </w:tcPr>
          <w:p w14:paraId="1F1433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Карасев И.Д.</w:t>
            </w:r>
          </w:p>
        </w:tc>
      </w:tr>
      <w:tr w:rsidR="001002C3" w:rsidRPr="005E779E" w14:paraId="2ECEB19B" w14:textId="77777777">
        <w:tc>
          <w:tcPr>
            <w:tcW w:w="3227" w:type="dxa"/>
          </w:tcPr>
          <w:p w14:paraId="1B3E24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1949-1950 гг.</w:t>
            </w:r>
          </w:p>
        </w:tc>
        <w:tc>
          <w:tcPr>
            <w:tcW w:w="3402" w:type="dxa"/>
          </w:tcPr>
          <w:p w14:paraId="3A0783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Аверин Н.В.</w:t>
            </w:r>
          </w:p>
        </w:tc>
        <w:tc>
          <w:tcPr>
            <w:tcW w:w="3402" w:type="dxa"/>
          </w:tcPr>
          <w:p w14:paraId="4D541C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Карасев И.Д.</w:t>
            </w:r>
          </w:p>
        </w:tc>
      </w:tr>
      <w:tr w:rsidR="001002C3" w:rsidRPr="005E779E" w14:paraId="022FD2EE" w14:textId="77777777">
        <w:tc>
          <w:tcPr>
            <w:tcW w:w="3227" w:type="dxa"/>
          </w:tcPr>
          <w:p w14:paraId="4A8055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1950-1951 гг.</w:t>
            </w:r>
          </w:p>
        </w:tc>
        <w:tc>
          <w:tcPr>
            <w:tcW w:w="3402" w:type="dxa"/>
          </w:tcPr>
          <w:p w14:paraId="386C93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Андреев Л.В.</w:t>
            </w:r>
          </w:p>
        </w:tc>
        <w:tc>
          <w:tcPr>
            <w:tcW w:w="3402" w:type="dxa"/>
          </w:tcPr>
          <w:p w14:paraId="3871D6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Рыбаков В.С.</w:t>
            </w:r>
          </w:p>
        </w:tc>
      </w:tr>
      <w:tr w:rsidR="001002C3" w:rsidRPr="005E779E" w14:paraId="45B8E53A" w14:textId="77777777">
        <w:tc>
          <w:tcPr>
            <w:tcW w:w="3227" w:type="dxa"/>
          </w:tcPr>
          <w:p w14:paraId="7FBBB7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Июнь 1952 – 1953 гг.</w:t>
            </w:r>
          </w:p>
        </w:tc>
        <w:tc>
          <w:tcPr>
            <w:tcW w:w="3402" w:type="dxa"/>
          </w:tcPr>
          <w:p w14:paraId="5F76993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Pr>
          <w:p w14:paraId="63E0E4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Рыбаков В.С.</w:t>
            </w:r>
          </w:p>
        </w:tc>
      </w:tr>
      <w:tr w:rsidR="001002C3" w:rsidRPr="005E779E" w14:paraId="26CDA970" w14:textId="77777777">
        <w:tc>
          <w:tcPr>
            <w:tcW w:w="3227" w:type="dxa"/>
          </w:tcPr>
          <w:p w14:paraId="613EAD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Август 1953-1959 гг.</w:t>
            </w:r>
          </w:p>
        </w:tc>
        <w:tc>
          <w:tcPr>
            <w:tcW w:w="3402" w:type="dxa"/>
          </w:tcPr>
          <w:p w14:paraId="3CA503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Солодовников В.И.</w:t>
            </w:r>
          </w:p>
        </w:tc>
        <w:tc>
          <w:tcPr>
            <w:tcW w:w="3402" w:type="dxa"/>
          </w:tcPr>
          <w:p w14:paraId="217F2C2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Рыбаков В.С.</w:t>
            </w:r>
          </w:p>
        </w:tc>
      </w:tr>
    </w:tbl>
    <w:p w14:paraId="3AE9FC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(9484)</w:t>
      </w:r>
    </w:p>
    <w:p w14:paraId="3D806B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29A15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году Ремонтные мастерские, которые занималась Центральными мастерскими «Добролет», перебазированными с Красноармейской улицы, д. 17, в 1930 на территорию «А» (бывш. завод № 482) завода № 240, были переименованы в Центральную авиационную ремонтную базу ГВФ (ЦАРБ).</w:t>
      </w:r>
    </w:p>
    <w:p w14:paraId="6C2EDA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1932 году ремонтная база переименовывается, на основании приказа начальника Гл. управления ГВФ в завод № 89, который в 1940 году передается из ГВФ в систему НКАП и переименовывается в филиал завода № 1.</w:t>
      </w:r>
    </w:p>
    <w:p w14:paraId="5C8D93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октябре 1941 года филиал завода № 1 эвакуировался в Куйбышев.</w:t>
      </w:r>
    </w:p>
    <w:p w14:paraId="3E62F4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декабря 1941 года в течение 5 месяцев на территории «А» размещались фронтовые авиамастерские № 84, которые занимались ремонтом самолетов Харрикейн и ИЛ-2.</w:t>
      </w:r>
    </w:p>
    <w:p w14:paraId="753855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Приказом № 239 от 30 марта 1942 года на площади эвакуированного филиала завода № 1 и на базе мастерских № 82 в мае 1942 года был создан вновь завод № 89 НКАП. Новый завод № 89 занимался ремонтом самолетов ПС-84, Харрикейн и ИЛ-2 и впоследствии перевооружением и переоборудованием самолетов иностранных фирм Бостон и Харрикейн.</w:t>
      </w:r>
    </w:p>
    <w:p w14:paraId="0D371E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территорию завода № 89 в мае 1944 года был перебазирован опытный завод № 482 гл. конструктора Мясищева, получив при этом часть имеющегося на заводе № 89 оборудования и личного состава, согласно приказа НКАП № 424 от 5 июля 1944 года.</w:t>
      </w:r>
    </w:p>
    <w:p w14:paraId="1697F0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 482 находился в ведении 7 гл. управления НКАП и занимался опытным самолетостроением до слияния с заводом № 240 в феврале 1946 года.</w:t>
      </w:r>
    </w:p>
    <w:p w14:paraId="5E0480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ОКБ гл. конструктора С.В.И., созданное в 1933 году, до получения самостоятельной производственной базы размещалось (до эвакуации в куйбышев) на территории завода № 39 НКАП, где постройку опытных самолетов осуществлял опытных цех завода № 39.</w:t>
      </w:r>
    </w:p>
    <w:p w14:paraId="6DC005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Адрес: Москва, Д-167, Ленинградский проспект, д. 45 г, п/я 2418</w:t>
      </w:r>
    </w:p>
    <w:p w14:paraId="7A9E18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Постройка самолетов конструкции С.В.И. на вновь полученной базе (завод № 240) началась в 1944 году; период с апреля 1942 года по 1943 год был периодом восстановления, поскольку коллектив гл. конструктора Ермолаева, базировавшегося на заводе № 240 эвакуировался в казань и по возвращении в Москву оборудования в достаточной мере не оказалось (9594).</w:t>
      </w:r>
    </w:p>
    <w:p w14:paraId="1E2DD6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F88916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году на базе завода "Взрыватель" для ремонта самолетов и моторов создается Воронежский завод №16. Уже на 1932 год завод имел объемную программу по ремонту моторов и самолетов. Но в октябре 1931 года разрабатывается проект реконструкции завода - теперь уже для выпуска самолетов. В начале 1932 года реконструкция в основном была завершена, значительная часть инженерно-технических работников прошла переподготовку на родственных предприятиях Москвы (9688). В 1932 году завод собрал пять самолетов, еще пять находилось в производстве. Но летные испытания выявили ряд конструктивных и технологических недоработок, поэтому Всесоюзное авиационное объединение сочло нужным ликвидировать самолетостроительный профиль завода и переориентировать его на серийное производство самолетного оборудования.</w:t>
      </w:r>
    </w:p>
    <w:p w14:paraId="153E18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Как видно, за очень короткое время завод трижды менял и производственные программы, и основной профиль.</w:t>
      </w:r>
    </w:p>
    <w:p w14:paraId="0A3AB2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в феврале 1934 года по приказу Главного управления управления авиационной промыш ленности "Гипроавиапром" разрабатывается еще один прект реконструкции - на производство моторов воздушного охлаждения М-11 конструкции А.Д. Швецова. Мотор М-11 - формы пятиконечной звезды, воздушного охлаждения, мощность 110 л/с, ресурс - 400 часов, вес - 160 кг., расход топлива - 250 л/час - был одним из самых популярных на протяжении многих десятков лет.</w:t>
      </w:r>
    </w:p>
    <w:p w14:paraId="08E1DA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Потребность в них была велика, поскольку они устанавливались на знаменитые самолеты ПО-2 (У-2) конструкции Н.Н. Поликарпова, используемые для массовой подготовки пилотов, в сельском хозяйстве, для почтовой связи, в медицине, для пассажирских перевозок.</w:t>
      </w:r>
    </w:p>
    <w:p w14:paraId="5B85F2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Разработка проекта реконструкции, сама реконструкция, подготовка кадров и производства, освоение изделий - все это было осуществлено за шесть месяцев: с февраля по август. В августе 1934 года началось серийное производство. В 1934-1935 годах завод стал единственным предприятием, выпускающим подобные моторы. В 1936 году завод освоил конвейерную сборку изделий, что требовало четкого обеспечения узлами и деталями, организации внутрецехового планирования. В 1939 году завод получил задание - освоить новый первоклассный мотор ВК-105 конструкции В.Я. Климова.</w:t>
      </w:r>
    </w:p>
    <w:p w14:paraId="3CB4DC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Этот мотор, мощностью 1100 л/с и с ресурсом - 100 часов, был расчитан на полетную скорость - 480 км/час и устанавливался на знаменитые пикирующие бомбардировщики "Пе-2", "СБ". С 16 октября по 11 ноября 1941 года по решению Государственного Комитета Обороны пропроизошла эвакуация Воронежского завода №16 в Казань, на территорию завода №27. Объединение позволило сконцентрировать в одном месте научно - конструкторскую мысль, материальные и трудовые ресурсы, позволило на новой технической основе решать сложнейшие производственные задачи, выдвинутые необходимостью военного времени (9688).</w:t>
      </w:r>
    </w:p>
    <w:p w14:paraId="018E8A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4562B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году по решению НКТП на площадке фабрики «Госзнак» (Лужнецкая набережная) на базе производственных мастерских «Оргметалла», которые работали на Каланчевской площади при демонстрационном зале, был организован завод по изготовлению штампов, приспособлений и прессформ.</w:t>
      </w:r>
    </w:p>
    <w:p w14:paraId="08C9A5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назывался «Завод приспособлений и штампов». В конце 1934 года по решению Совнаркома завод перешел в ведение НКОП, в 1938 году стал называться «Завод штампов и приспособлений Оргавиапрома».</w:t>
      </w:r>
    </w:p>
    <w:p w14:paraId="3ADF70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Согласно приказа НКАП за № 299 от 24 октября 1940 года на базе трех заводов:</w:t>
      </w:r>
    </w:p>
    <w:p w14:paraId="28D983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Завода штампов и приспособлений</w:t>
      </w:r>
    </w:p>
    <w:p w14:paraId="3B93BF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Завода № 1 треста Оргавиапрома, переданного в НКАП в 1939 году и</w:t>
      </w:r>
    </w:p>
    <w:p w14:paraId="2E39537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Завода № 1 «Оргавиапрома» В октябре 1941 года инструментальный завод № 1 Оргавиапрома был эвакуирован в Куйбышев, где разместился на площади бытовок завода № 122.</w:t>
      </w:r>
    </w:p>
    <w:p w14:paraId="684478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Приказом НКАП за № 709 от 18 сентября 1942 года инструментальный завод № 1 Оргавиапрома переименован в завод № 165. На основании приказа НКАП за № 459 от 3 июля 1943 года завод № 165 был реэвакуирован в Москву на площади завода № 453. С апреля 1946 года заводу был коренным образом пересмотрен профиль производства, так как по решению Правительства и согласно приказа МАП от 25 апреля 1946 года за № 242 с завод перешел в число опытных предприятий авиамоторостроения – ответственным руководителем завода был назначен конструктор по РД Люлька А.М. В 1955 году для усиления производственно-технической мощности завода № 165 согласно приказа МАП от 31 мая 1955 года за № 347сс, ему было передано ОКБ-500 со всеми его мощностями на правах филиала.</w:t>
      </w:r>
    </w:p>
    <w:p w14:paraId="25C4AA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Филиал завода № 165 (на заводе № 500) просуществовал до первого полугодия 1957 года. Согласно приказа МАП за № 156сс от 19 апреля 1957 года филиала завода передан СКБ-500 со всеми его мощностями.</w:t>
      </w:r>
    </w:p>
    <w:p w14:paraId="04C806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Постановлением СМ за № 127-68сс от 19 января 1955 года МАП обязывалось начать для завода № 165 постройку испытательной станции в Тураево Московской области.</w:t>
      </w:r>
    </w:p>
    <w:p w14:paraId="08AA70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 165 с апреля 1946 года и по настоящее время остается опытным заводом по изготовлению и доводке РД генеральным конструктором завода является Люлька. С 1940 по 1947 год директором завода был Мизюров Ю.А., которого сменил Худин П.Ф. В апреле 1948 года директором был назначен Худин. В декабре 1951 года директором завода был назначен Бондаренко М.М. В феврале 1954 года диреткором был назначен Завитаев А.А.</w:t>
      </w:r>
    </w:p>
    <w:p w14:paraId="0DB3DB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Адрес: Москва, Фабричная линия, д. 11, п/я 2382 (9842).</w:t>
      </w:r>
    </w:p>
    <w:p w14:paraId="4807ED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323DE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в Новосибирске началось строительство завода горного оборудования, но велось оно низкими темпами; с 1934 г. завод стал называться «Сибмашстрой» (9684).</w:t>
      </w:r>
    </w:p>
    <w:p w14:paraId="421208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8DC183F" w14:textId="2A452029"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в ведении ВОТИ был основан Государственный завод контрольно-измерительных и теплотехнических приборов «Теплоприбор» (Завод № 278 НКАП, МРТП, Государственный завод контрольно-измерительных и теплотехнических приборов «Теплоприбор» ВСНХ, НКОП, Государственный завод контрольно-измерительных приборов, Ленинградский государственный механический завод «Заря» МРП, Электромеханический завод (ЭМЗ) «Заря» МРП, ОАО «ЭМЗ «Заря» РАСУ / г. Ленинград ул. Плеханова, 5 (1942-45 г.)/ /191186</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Санкт-Петербург ул. Казанская, 7 тел. 312-73-72/). В 1933 г. он переименован в Государственный завод контрольно-измерительных приборов, в 1935 г. подчинен Всесоюзному тресту точной индустрии. В 09.1937 г. завод «Теплоприбор» - в ведении треста «Теплоконтроль» ЮГУ НКОП. По приказу НКАП № 309с от 17.09.1939 г. завод передан в систему 8ГУ НКАП и получил № 278.</w:t>
      </w:r>
    </w:p>
    <w:p w14:paraId="3E9B00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Серийный завод по выпуску химических и электрических газоанализаторов, контрольных приборов.</w:t>
      </w:r>
    </w:p>
    <w:p w14:paraId="5B658F82" w14:textId="5AB50EF6"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Планировалось завод № 278 НКАП из Ленинграда полностью эвакуировать в Казань, но это не было выполнено. В итоге в 1942 г. (на 02.1942 г. еще действовал в Ленинграде) завод № 278 эвакуирован в Ульяновск и влит в состав объединенного завода № 280 НКАП, специализацией которого стали аэронавигационные приборы (есть упоминание, что завод № 278 эвакуировался в</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Энгельс</w:t>
      </w:r>
      <w:r w:rsidRPr="005E779E">
        <w:rPr>
          <w:rFonts w:ascii="Times New Roman" w:hAnsi="Times New Roman"/>
          <w:color w:val="000000" w:themeColor="text1"/>
          <w:sz w:val="16"/>
          <w:szCs w:val="16"/>
          <w:vertAlign w:val="superscript"/>
        </w:rPr>
        <w:t>130</w:t>
      </w:r>
      <w:r w:rsidRPr="005E779E">
        <w:rPr>
          <w:rFonts w:ascii="Times New Roman" w:hAnsi="Times New Roman"/>
          <w:color w:val="000000" w:themeColor="text1"/>
          <w:sz w:val="16"/>
          <w:szCs w:val="16"/>
        </w:rPr>
        <w:t>).</w:t>
      </w:r>
    </w:p>
    <w:p w14:paraId="623F5C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 605сс от 23.10.1944 г. завод № 278 НКАГ1 восстановлен на старой площадке в Ленинграде. С I.01.1945 г. переведен из 5ГУ в 17ГУ НКАП. В 1954 г. передан в МРТП. В соответствии с пост. СМ СССР № 713- 342 от 26.06.1957 г. передан в ведение Управления приборостроительной промышленности ЛенСНХ, в 09.1958- 65 г. -Управления агрегатостроения и приборостроения ЛенСНХ. В 01.1966 г. переименован в Ленинградский государственный механический завод «Заря» МРП,</w:t>
      </w:r>
      <w:r w:rsidRPr="005E779E">
        <w:rPr>
          <w:rFonts w:ascii="Times New Roman" w:hAnsi="Times New Roman"/>
          <w:color w:val="000000" w:themeColor="text1"/>
          <w:sz w:val="16"/>
          <w:szCs w:val="16"/>
          <w:vertAlign w:val="superscript"/>
        </w:rPr>
        <w:t>131</w:t>
      </w:r>
      <w:r w:rsidRPr="005E779E">
        <w:rPr>
          <w:rFonts w:ascii="Times New Roman" w:hAnsi="Times New Roman"/>
          <w:color w:val="000000" w:themeColor="text1"/>
          <w:sz w:val="16"/>
          <w:szCs w:val="16"/>
        </w:rPr>
        <w:t xml:space="preserve"> далее - ЭМЗ «Заря».</w:t>
      </w:r>
    </w:p>
    <w:p w14:paraId="33CD42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начала 1945 г. началось освоение выпуска РЛ-аппаратуры «Тон-2» для защиты ЗПС самолета.</w:t>
      </w:r>
    </w:p>
    <w:p w14:paraId="647E9B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1.03.1993 г. ЭМЗ «Заря» преобразован в АО.</w:t>
      </w:r>
    </w:p>
    <w:p w14:paraId="681B73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Работы (2004 г.): мелкосерийное производство электрических машин малой мощности (электродвигатели, генераторы, вращающиеся трансформаторы, электровентиляторы малошумные, датчики положения, порошковые и гистерезисные муфты и т.п.) специального назначения.</w:t>
      </w:r>
    </w:p>
    <w:p w14:paraId="0022A7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(05.1940 г.-)- И.М. Зернов, (1941 г.)- М.И. Комиссаров, (1944; -1950 г.)- Н.В. Аверин, (-05.1945- 03.1946 г.-)- И.П. Полонников, (-15.03.2004 г.)- А. Иванов (убит), (2004 г.)- Н.В. Севрюкова.</w:t>
      </w:r>
    </w:p>
    <w:p w14:paraId="4C7982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Начальники отделов: технического (-1941 г.)- М.И. Комиссаров.</w:t>
      </w:r>
    </w:p>
    <w:p w14:paraId="6C84CC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Производство:</w:t>
      </w:r>
      <w:r w:rsidRPr="005E779E">
        <w:rPr>
          <w:rFonts w:ascii="Times New Roman" w:hAnsi="Times New Roman"/>
          <w:color w:val="000000" w:themeColor="text1"/>
          <w:sz w:val="16"/>
          <w:szCs w:val="16"/>
        </w:rPr>
        <w:t xml:space="preserve"> газоанализаторы ГЭА-5 (1940), ГЭДС-30, ГЭВ-30 (1944); (2004) электродвигатели: постоянного тока Д-15М, Д-2, Д-6, Д-16, Д-25Г, Д-50А, Д-55А, Д-75М, Д-120М, ДВ-200, ОД-7М, СД-10В, СД-20, СД-75М, СД-150, СД-250, ДП-50, ДПР-40, ДМ-1,6, ДМ-10, ДМ-2, ДМ-20, ДП-1, ДП-2Е, ДП-4, ДП60-90, ДП40-16, ДРВ-20Д, ДРВ-25, 2Д-60В, ДР-1,5РА, МКМ-М, МПР-ЗБ, МПР-4Б, МЧМ-П-01, ДР-1,5, ДПМ, 2ДПМ; переменного тока ДКИ, ДКМР, ДПН, ДК, ДРСР, ДСОР; моментные бесконтактные ДМБ; шаговые волновые ДВШ, 2ДВШ, ЗДВШ; электромагнитные муфты БМП, МП; осевые электровентиляторы; магнитные преобразователи МП-9; вращающиеся трансформаторы ЗВТ, 6ВТИ, ВТМ, 8МВТ, 15МВТ, 4МВТ, 5МВТ, ИФ-1, ВТ-60; бесконтактные индукционные фазовращатели БИФ-019; сельсины СГС-1А, СМС-1 </w:t>
      </w:r>
      <w:r w:rsidRPr="005E779E">
        <w:rPr>
          <w:rFonts w:ascii="Times New Roman" w:hAnsi="Times New Roman"/>
          <w:color w:val="000000" w:themeColor="text1"/>
          <w:sz w:val="16"/>
          <w:szCs w:val="16"/>
          <w:lang w:val="en-US"/>
        </w:rPr>
        <w:t>A</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vertAlign w:val="superscript"/>
          <w:lang w:val="en-US"/>
        </w:rPr>
        <w:t>wwwcm</w:t>
      </w:r>
      <w:r w:rsidRPr="005E779E">
        <w:rPr>
          <w:rFonts w:ascii="Times New Roman" w:hAnsi="Times New Roman"/>
          <w:color w:val="000000" w:themeColor="text1"/>
          <w:sz w:val="16"/>
          <w:szCs w:val="16"/>
          <w:vertAlign w:val="superscript"/>
        </w:rPr>
        <w:t>/</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vertAlign w:val="superscript"/>
          <w:lang w:val="en-US"/>
        </w:rPr>
        <w:t>zaryani</w:t>
      </w:r>
    </w:p>
    <w:p w14:paraId="3D95CC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ОКБ завода № 278 НКАП /г. Ленинград/</w:t>
      </w:r>
    </w:p>
    <w:p w14:paraId="36C765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Опытно-конструкторская группа при заводе № 278 в системе 5ГУ образовалась по приказу № 431с от 14.07.1944 г. для проведения работ по приборам газового контроля и анализа. Далее преобразовано в самостоятельное КБ.</w:t>
      </w:r>
    </w:p>
    <w:p w14:paraId="1A80F5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Руководитель (1944 г.-)- Б.Б. Ершов.</w:t>
      </w:r>
    </w:p>
    <w:p w14:paraId="605C78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ОКБ-278 МАП /г. Ленинград/</w:t>
      </w:r>
    </w:p>
    <w:p w14:paraId="56803F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Особое КБ № 278 вновь образовано при заводе № 278 МАП по приказу № 247с от 26.04.1946 г. в системе 17ГУ.</w:t>
      </w:r>
    </w:p>
    <w:p w14:paraId="110FD7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Работы по электроагрегатам. В 1946 г. профиль изменен- работы по самолетной РЛ-аппаратуре предупреждения.</w:t>
      </w:r>
    </w:p>
    <w:p w14:paraId="27C956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 1946 г. часть работников переведена во вновь созданный НИИ-33.</w:t>
      </w:r>
    </w:p>
    <w:p w14:paraId="72068D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Начальник (1946 г.-)- </w:t>
      </w:r>
      <w:r w:rsidRPr="005E779E">
        <w:rPr>
          <w:rFonts w:ascii="Times New Roman" w:hAnsi="Times New Roman"/>
          <w:color w:val="000000" w:themeColor="text1"/>
          <w:sz w:val="16"/>
          <w:szCs w:val="16"/>
          <w:lang w:val="en-US"/>
        </w:rPr>
        <w:t>B</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C</w:t>
      </w:r>
      <w:r w:rsidRPr="005E779E">
        <w:rPr>
          <w:rFonts w:ascii="Times New Roman" w:hAnsi="Times New Roman"/>
          <w:color w:val="000000" w:themeColor="text1"/>
          <w:sz w:val="16"/>
          <w:szCs w:val="16"/>
        </w:rPr>
        <w:t>. Рыбаков, (07.1946 г.)- Эмдин.</w:t>
      </w:r>
    </w:p>
    <w:p w14:paraId="007941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конструктор (1946 г.-)- И.Д. Карасев (11982).</w:t>
      </w:r>
    </w:p>
    <w:p w14:paraId="46DAD5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4332AC6" w14:textId="219AA1E0"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в системе НКтекстиля образовался Экспериментальный завод № 8 (ГС Завод № 454 НКАП, МАП, Куйбышевский завод аэродромного оборудования, АООТ, ОАО «Старт», ЗАО «Завод аэродромного оборудования» /г. Киев;</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Куйбышев ст. Безымянка (1953 г.)/ /443022</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Самара Заводское ш., 14 тел. 992-07-62/). В соответствии с пост, правительства от 17.08.1940 г. и приказами № 541сс от 14.10.1940 г., № 551сс/261сс от 15.10.1940 г. и № 650с от 19.11.1940 г. завод передан в состав 2ГУ НКАП и получил наименование ГС завод № 454. Началась организация производства установок авиационного стрелкового и бомбардировочного вооружения. В помощь новому заводу туда переведена группа работников с завода № 32. Окончание строительства планировалось на 1942 г.</w:t>
      </w:r>
    </w:p>
    <w:p w14:paraId="49FCDA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пост. Правительства № П-34/153 от 29.07.1941 г. завод № 454 эвакуирован в Куйбышев (ст. Безымянка) на территорию мастерских артели «Ход» Обллеспромхоза. При эвакуации по приказу № 1109сс от 11.11.1941 г. в состав завода № 454 в Куйбышеве влита часть завода № 487 НКАП (-30%).</w:t>
      </w:r>
    </w:p>
    <w:p w14:paraId="044EA24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07.1943 г. на завод передано с завода № 165 НКАП производство лафетов для пушки «ВЯ».</w:t>
      </w:r>
    </w:p>
    <w:p w14:paraId="57B502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площадке эвакуированного завода № 454 в Киеве в начале 1944 г. организованы Ремонтные мастерские, а затем на их базе- Завод № 483 НКАП.</w:t>
      </w:r>
    </w:p>
    <w:p w14:paraId="562F6C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 263 от 18.07.1945 г. в состав завода № 454 НКАП 2ГУ влит завод № 53 НКАП.</w:t>
      </w:r>
    </w:p>
    <w:p w14:paraId="746375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1952 г. началось освоение производства средств наземного обслуживания самолетов. С 07.1952 г. завод передан из 2ГУ в 1ГУ, с 1.01.1953 г. передан из 1ГУ в 10ГУ. В соответствии с пост. СМ СССР № 713-342 от 26.06.1957 г. передан в ведение СНХ РСФСР.</w:t>
      </w:r>
    </w:p>
    <w:p w14:paraId="26A62047" w14:textId="08AC1C92"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1990-х - начале 2000-х</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 xml:space="preserve">г. «Старт» - ведущее предприятие России по проектированию, производству и ремонту средств наземного обслуживания </w:t>
      </w:r>
      <w:r w:rsidRPr="005E779E">
        <w:rPr>
          <w:rFonts w:ascii="Times New Roman" w:hAnsi="Times New Roman"/>
          <w:color w:val="000000" w:themeColor="text1"/>
          <w:sz w:val="16"/>
          <w:szCs w:val="16"/>
          <w:lang w:val="en-US"/>
        </w:rPr>
        <w:t>J</w:t>
      </w:r>
      <w:r w:rsidRPr="005E779E">
        <w:rPr>
          <w:rFonts w:ascii="Times New Roman" w:hAnsi="Times New Roman"/>
          <w:color w:val="000000" w:themeColor="text1"/>
          <w:sz w:val="16"/>
          <w:szCs w:val="16"/>
        </w:rPr>
        <w:t>1</w:t>
      </w:r>
      <w:r w:rsidRPr="005E779E">
        <w:rPr>
          <w:rFonts w:ascii="Times New Roman" w:hAnsi="Times New Roman"/>
          <w:color w:val="000000" w:themeColor="text1"/>
          <w:sz w:val="16"/>
          <w:szCs w:val="16"/>
          <w:lang w:val="en-US"/>
        </w:rPr>
        <w:t>A</w:t>
      </w:r>
      <w:r w:rsidRPr="005E779E">
        <w:rPr>
          <w:rFonts w:ascii="Times New Roman" w:hAnsi="Times New Roman"/>
          <w:color w:val="000000" w:themeColor="text1"/>
          <w:sz w:val="16"/>
          <w:szCs w:val="16"/>
        </w:rPr>
        <w:t xml:space="preserve"> (гидроподъемники, домкраты, передвижные контрольно- ремонтные лаборатории и мастерские; оборудование по обеспечению систем </w:t>
      </w:r>
      <w:r w:rsidRPr="005E779E">
        <w:rPr>
          <w:rFonts w:ascii="Times New Roman" w:hAnsi="Times New Roman"/>
          <w:color w:val="000000" w:themeColor="text1"/>
          <w:sz w:val="16"/>
          <w:szCs w:val="16"/>
          <w:lang w:val="en-US"/>
        </w:rPr>
        <w:t>JIA</w:t>
      </w:r>
      <w:r w:rsidRPr="005E779E">
        <w:rPr>
          <w:rFonts w:ascii="Times New Roman" w:hAnsi="Times New Roman"/>
          <w:color w:val="000000" w:themeColor="text1"/>
          <w:sz w:val="16"/>
          <w:szCs w:val="16"/>
        </w:rPr>
        <w:t xml:space="preserve"> электроэнергией, газами и жидкостями; стремянки, самоходные площадки обслуживания, тележки кабельные, средства управления ракетной техникой, средства буксировки и удержания самолетов).</w:t>
      </w:r>
    </w:p>
    <w:p w14:paraId="4E3100B6" w14:textId="5CDDD4F8"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Работы (2000-е</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освоение производства самоходной площадки СПО-18 и установки для нанесния противообледенительного покрытия на крыло самолетов.</w:t>
      </w:r>
    </w:p>
    <w:p w14:paraId="48F5137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01.2003 г. начата процедура банкротства ОАО «Старт». В ходе реструктуризации производственные мощности выделены в отдельное предприятие- ЗАО «Завод аэродромного оборудования», образованного в 2002 г.</w:t>
      </w:r>
    </w:p>
    <w:p w14:paraId="7CF7C1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(10.1940-06.1945 г.-)- МЛ. Горелик, И.С. Фишман. Гендиректор (1989-98 г.)- В.И. Доронин, (2002 г.)- В.П. Бондаренко, (2003 г.)- А. Митлин, (2006 г.)- С.В. Невесенко.</w:t>
      </w:r>
    </w:p>
    <w:p w14:paraId="47BE71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директора (11.1940 г.-)- В.И. Муратов.</w:t>
      </w:r>
    </w:p>
    <w:p w14:paraId="7014F1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инженер (11.1940 г.-)- В.И. Муратов, (-1987 г.)- В.И. Доронин.</w:t>
      </w:r>
    </w:p>
    <w:p w14:paraId="6E8839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конструктор (11.1941 г.-)- И.П. Шебанов.</w:t>
      </w:r>
    </w:p>
    <w:p w14:paraId="7B1FA5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Коммерческий директор (2002 г.)- С.В. Невесенко, (-2004-06 г.-)- И.А. Обухов. Технический директор (2002 г.)- А.М. Митлин.</w:t>
      </w:r>
      <w:r w:rsidRPr="005E779E">
        <w:rPr>
          <w:rFonts w:ascii="Times New Roman" w:hAnsi="Times New Roman"/>
          <w:color w:val="000000" w:themeColor="text1"/>
          <w:sz w:val="16"/>
          <w:szCs w:val="16"/>
          <w:vertAlign w:val="superscript"/>
        </w:rPr>
        <w:t>69</w:t>
      </w:r>
    </w:p>
    <w:p w14:paraId="08183D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коммерческого директора: по маркетингу (2002 г.)- О.А. Чернышов; по сбыту (2004 г.)- А.И. Копылов.</w:t>
      </w:r>
    </w:p>
    <w:p w14:paraId="24FFFB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Производство:</w:t>
      </w:r>
      <w:r w:rsidRPr="005E779E">
        <w:rPr>
          <w:rFonts w:ascii="Times New Roman" w:hAnsi="Times New Roman"/>
          <w:color w:val="000000" w:themeColor="text1"/>
          <w:sz w:val="16"/>
          <w:szCs w:val="16"/>
        </w:rPr>
        <w:t xml:space="preserve"> (ВОВ) пулеметные установки: Тур-ТАТ, ТУМ-3, КЭБ, НЭБ, УТК-1, ШАУ-К; ракетное оружие РО-82, балки для РС-82; замки МД-3-40, Дер-21, балки к ФАБ-25 для самолета У-2, крыльевые стрелковые установки для У-2, лафеты для «ВЯ» (1943-); лебедки БЛ-4; свеклоуборочные машины (1950-е); универсальная подвижная гидроустановка УПГ-100, заправщик спецжидкостями «Садко» (2004).</w:t>
      </w:r>
    </w:p>
    <w:p w14:paraId="0B6C1D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ОКБ завода № 454 НКАП гл. конструктора И.П. Шебанова, ОКБ-454 НКАП</w:t>
      </w:r>
    </w:p>
    <w:p w14:paraId="4DAAED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территорию завода № 454 в Куйбышев эвакуировано с завода № 487 НКАП КБ гл. конструктора И.П. Шебанова. По приказу № 1306/106к от 20.11.1941 г. И.П. Шебанов назначен гл. конструктором завода № 454.</w:t>
      </w:r>
    </w:p>
    <w:p w14:paraId="3154EC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КБ продолжены работы по пулеметным установкам для самолетов: Тур-ТАТ, ТУМ-3, КЭБ, НЭБ, УТК-1, ШАУ-К, опытная УБШ под пулемет УБТ для Ил-2 (03.1943 г.) и др.</w:t>
      </w:r>
    </w:p>
    <w:p w14:paraId="2202EA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 375с от 14.05.1942 г. образован филиал ОКБ завода № 454 НКАП при филиале завода № 481 на площадях, ранее занимаемых ОКБ-487. Для этого из Куйбышева переведена группа сотрудников ОКБ завода № 454 (25 чел., начальник филиала- В.И. Ермилов).</w:t>
      </w:r>
    </w:p>
    <w:p w14:paraId="64FC92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 272с от 6.05.1943 г. ОКБ-454 НКАП переведено из Куйбышева на завод № 487 НКАГ1 в Москву, и на его базе вновь образовалось ОКБ-487 НКАП.</w:t>
      </w:r>
    </w:p>
    <w:p w14:paraId="48975A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конструктор (11.1941 г.-)- И.П. Шебанов.</w:t>
      </w:r>
    </w:p>
    <w:p w14:paraId="716EE6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гл. конструктора (1942 г.)- В.И. Ермилов (11982).</w:t>
      </w:r>
    </w:p>
    <w:p w14:paraId="469089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1FC41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1931 г. У-2 появились в Батайском, Тамбовском, Балашовском училищах гражданской авиации, в Ле</w:t>
      </w:r>
      <w:r w:rsidRPr="005E779E">
        <w:rPr>
          <w:rFonts w:ascii="Times New Roman" w:hAnsi="Times New Roman"/>
          <w:color w:val="000000" w:themeColor="text1"/>
          <w:sz w:val="16"/>
          <w:szCs w:val="16"/>
        </w:rPr>
        <w:softHyphen/>
        <w:t>нинградском учебном комбинате, других учебных заве</w:t>
      </w:r>
      <w:r w:rsidRPr="005E779E">
        <w:rPr>
          <w:rFonts w:ascii="Times New Roman" w:hAnsi="Times New Roman"/>
          <w:color w:val="000000" w:themeColor="text1"/>
          <w:sz w:val="16"/>
          <w:szCs w:val="16"/>
        </w:rPr>
        <w:softHyphen/>
        <w:t>дениях (10667).</w:t>
      </w:r>
    </w:p>
    <w:p w14:paraId="357323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D368914" w14:textId="77777777" w:rsidR="0075673E" w:rsidRPr="005E779E" w:rsidRDefault="0075673E"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Начиная с 1931 г. с переходом на московский авиаза</w:t>
      </w:r>
      <w:r w:rsidRPr="005E779E">
        <w:rPr>
          <w:rFonts w:ascii="Times New Roman" w:hAnsi="Times New Roman"/>
          <w:color w:val="000000" w:themeColor="text1"/>
          <w:sz w:val="16"/>
          <w:szCs w:val="16"/>
        </w:rPr>
        <w:softHyphen/>
        <w:t>вод №39, Черановский приступил к проектированию двухмо</w:t>
      </w:r>
      <w:r w:rsidRPr="005E779E">
        <w:rPr>
          <w:rFonts w:ascii="Times New Roman" w:hAnsi="Times New Roman"/>
          <w:color w:val="000000" w:themeColor="text1"/>
          <w:sz w:val="16"/>
          <w:szCs w:val="16"/>
        </w:rPr>
        <w:softHyphen/>
        <w:t>торной «параболы» БИЧ-10. До 1933 г. были проведены аэродинамические продувки модели самолета. Затем ос</w:t>
      </w:r>
      <w:r w:rsidRPr="005E779E">
        <w:rPr>
          <w:rFonts w:ascii="Times New Roman" w:hAnsi="Times New Roman"/>
          <w:color w:val="000000" w:themeColor="text1"/>
          <w:sz w:val="16"/>
          <w:szCs w:val="16"/>
        </w:rPr>
        <w:softHyphen/>
        <w:t>новные наработки использовались при создании БИЧ-14 (17473).</w:t>
      </w:r>
    </w:p>
    <w:p w14:paraId="50358467" w14:textId="77777777" w:rsidR="0075673E" w:rsidRPr="005E779E" w:rsidRDefault="0075673E" w:rsidP="000B7A6C">
      <w:pPr>
        <w:spacing w:after="0" w:line="240" w:lineRule="auto"/>
        <w:jc w:val="both"/>
        <w:rPr>
          <w:rFonts w:ascii="Times New Roman" w:hAnsi="Times New Roman"/>
          <w:color w:val="000000" w:themeColor="text1"/>
          <w:sz w:val="16"/>
          <w:szCs w:val="16"/>
        </w:rPr>
      </w:pPr>
    </w:p>
    <w:p w14:paraId="30254FD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Н.Н.Поликарпов работал над Р-5 в вариан</w:t>
      </w:r>
      <w:r w:rsidRPr="005E779E">
        <w:rPr>
          <w:rFonts w:ascii="Times New Roman" w:hAnsi="Times New Roman"/>
          <w:color w:val="000000" w:themeColor="text1"/>
          <w:sz w:val="16"/>
          <w:szCs w:val="16"/>
        </w:rPr>
        <w:softHyphen/>
        <w:t>те торпедоносца. Завершить эту тему ему не уда</w:t>
      </w:r>
      <w:r w:rsidRPr="005E779E">
        <w:rPr>
          <w:rFonts w:ascii="Times New Roman" w:hAnsi="Times New Roman"/>
          <w:color w:val="000000" w:themeColor="text1"/>
          <w:sz w:val="16"/>
          <w:szCs w:val="16"/>
        </w:rPr>
        <w:softHyphen/>
        <w:t>лось. В 1933 г. НИИ ВВС предложил заводу № 1 рассмо-треть вопрос об установке на сухопутном Р-5 тор</w:t>
      </w:r>
      <w:r w:rsidRPr="005E779E">
        <w:rPr>
          <w:rFonts w:ascii="Times New Roman" w:hAnsi="Times New Roman"/>
          <w:color w:val="000000" w:themeColor="text1"/>
          <w:sz w:val="16"/>
          <w:szCs w:val="16"/>
        </w:rPr>
        <w:softHyphen/>
        <w:t>педного вооружения. Этот заказ выполнил В.В.Ники</w:t>
      </w:r>
      <w:r w:rsidRPr="005E779E">
        <w:rPr>
          <w:rFonts w:ascii="Times New Roman" w:hAnsi="Times New Roman"/>
          <w:color w:val="000000" w:themeColor="text1"/>
          <w:sz w:val="16"/>
          <w:szCs w:val="16"/>
        </w:rPr>
        <w:softHyphen/>
        <w:t>тин. Так как вес торпеды ТАН-12 вместе с дополнитель</w:t>
      </w:r>
      <w:r w:rsidRPr="005E779E">
        <w:rPr>
          <w:rFonts w:ascii="Times New Roman" w:hAnsi="Times New Roman"/>
          <w:color w:val="000000" w:themeColor="text1"/>
          <w:sz w:val="16"/>
          <w:szCs w:val="16"/>
        </w:rPr>
        <w:softHyphen/>
        <w:t>ным оборудованием был сравнительно велик, от второго члена экипажа пришлось отказаться и самолет стал одноместным. Конструкция шасси была изменена: принята пирамидальная схема для удобства размеще</w:t>
      </w:r>
      <w:r w:rsidRPr="005E779E">
        <w:rPr>
          <w:rFonts w:ascii="Times New Roman" w:hAnsi="Times New Roman"/>
          <w:color w:val="000000" w:themeColor="text1"/>
          <w:sz w:val="16"/>
          <w:szCs w:val="16"/>
        </w:rPr>
        <w:softHyphen/>
        <w:t>ния торпеды и введена дополнительная поддерживаю</w:t>
      </w:r>
      <w:r w:rsidRPr="005E779E">
        <w:rPr>
          <w:rFonts w:ascii="Times New Roman" w:hAnsi="Times New Roman"/>
          <w:color w:val="000000" w:themeColor="text1"/>
          <w:sz w:val="16"/>
          <w:szCs w:val="16"/>
        </w:rPr>
        <w:softHyphen/>
        <w:t>щая стойка от фюзеляжа к нижнему крылу. Вместо торпеды допускалась подвеска фугасной бомбы круп</w:t>
      </w:r>
      <w:r w:rsidRPr="005E779E">
        <w:rPr>
          <w:rFonts w:ascii="Times New Roman" w:hAnsi="Times New Roman"/>
          <w:color w:val="000000" w:themeColor="text1"/>
          <w:sz w:val="16"/>
          <w:szCs w:val="16"/>
        </w:rPr>
        <w:softHyphen/>
        <w:t>ного калибра. В феврале 1934 г. самолет, получивший обозначение Р-5Т, быстро прошел совместные заводские и государственные испытания, а в марте в Севастополе провели от</w:t>
      </w:r>
      <w:r w:rsidRPr="005E779E">
        <w:rPr>
          <w:rFonts w:ascii="Times New Roman" w:hAnsi="Times New Roman"/>
          <w:color w:val="000000" w:themeColor="text1"/>
          <w:sz w:val="16"/>
          <w:szCs w:val="16"/>
        </w:rPr>
        <w:softHyphen/>
        <w:t>работку торпедометания. В 1934 г. завод № 1 построил 33 Р-5Т, еще 50 - в 1935 г. (10667).</w:t>
      </w:r>
    </w:p>
    <w:p w14:paraId="2274BE9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BFF4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V пленум ВЦСПС принял резолюцию "О разукрупнении профсоюзов". Вместо существовавших 22 профсоюзов были созданы 44 союза, в том числе был образован профсоюз рабочих автотракторной и авиационной промышленности (РАТАП). Профессиональный союз рабочих авиационной промышленности организационно оформился в октябре 1934 года после разъединительного пленума ЦК союза РАТАП. Из 9-ти членов президиума пятеро ушли в профсоюзы автомобильной и тракторной промышленности, а четверо остались в ЦК профсоюза рабочих авиационной промышленности, в том числе и председатель ЦК РАТАП Соболь Н.Л., избранный председателем ЦК союза авиапромышленности (11764).</w:t>
      </w:r>
    </w:p>
    <w:p w14:paraId="2616B0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F718317" w14:textId="77777777" w:rsidR="00ED7AAA" w:rsidRPr="005E779E" w:rsidRDefault="00ED7AAA" w:rsidP="000B7A6C">
      <w:pPr>
        <w:pStyle w:val="a8"/>
        <w:jc w:val="both"/>
        <w:rPr>
          <w:rFonts w:ascii="Times New Roman" w:hAnsi="Times New Roman" w:cs="Times New Roman"/>
          <w:color w:val="000000" w:themeColor="text1"/>
        </w:rPr>
      </w:pPr>
      <w:r w:rsidRPr="005E779E">
        <w:rPr>
          <w:rFonts w:ascii="Times New Roman" w:hAnsi="Times New Roman" w:cs="Times New Roman"/>
          <w:color w:val="000000" w:themeColor="text1"/>
        </w:rPr>
        <w:t>В 1931 г. начались эксперименты с АПК-3. Первоначально на самолете для испытаний смонтировали одну пушку, под вторым крылом висел макет. Позже его заменили вторым орудием. В ходе испытаний сделали 52 выстрела на земле и 44 - в воздухе. Работа пушек оценивалась как «удовлетворительная», а вот действие снарядов признали слабым (19100).</w:t>
      </w:r>
    </w:p>
    <w:p w14:paraId="50BEF3E7" w14:textId="77777777" w:rsidR="00ED7AAA" w:rsidRPr="005E779E" w:rsidRDefault="00ED7AAA" w:rsidP="000B7A6C">
      <w:pPr>
        <w:pStyle w:val="a8"/>
        <w:jc w:val="both"/>
        <w:rPr>
          <w:rFonts w:ascii="Times New Roman" w:hAnsi="Times New Roman" w:cs="Times New Roman"/>
          <w:color w:val="000000" w:themeColor="text1"/>
        </w:rPr>
      </w:pPr>
    </w:p>
    <w:p w14:paraId="489FC9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специально для ТБ-1 спроектировали 76-мм нарезную динамореактивную пушку ДРП-76. Два таких орудия собирались установить по бортам снаружи у средней турели. Саму пушку изготовили, но на самолете не испытывали. В плане Особого конструкторского бюро (Осконбюро) ВВС на 1932 г. значится некая ротативная батарея из четырех стволов калибра 76 мм. Как она выглядела, остается загадкой (12001).</w:t>
      </w:r>
    </w:p>
    <w:p w14:paraId="351516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51698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для ТБ-1 проектировали кассеты для сброса ампул с отравляющими веществами (ОВ). Альтернативно вместо Дер-9 крепились два "химбака" под растворы ОВ с выливны- ми устройствами, общая емкость составляла 750 л.. В пересчете на чистый яд второй вариант был эффективнее, но требовал атак с малой высоты - иначе не обеспечивалась нужная концентрация на местности. При этом самолет мог подвергнуться обстрелу как зенитной артиллерией и пулеметами, так и стрелковым оружием пехоты. Ампульные кассеты позволяли атаковать с больших высот, но вес ОВ уменьшался за счет корпусов ампул. Судя по сохранившимся документам, в обоих случаях ограничились испытаниями, на серийных ТБ-1 никаких устройств для поражения противника ОВ не устанавливали (12001).</w:t>
      </w:r>
    </w:p>
    <w:p w14:paraId="4EF083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BFD4A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ТБ-1, оснащенный “выбрасывателем”, проходил войсковые испытания, которые выявили немало недостатков. У парашютистов "люльки" напрямую ассоциировались с гробами: лежишь один, холодно, ничего не видно, никакой связи с экипажем и другими десантниками нет, а потом бац - и неожиданно летишь вниз. От десантников конструктор получил прозвище "Гробовский". Комиссия по испытаниям "люлек" пришла к выводу, что такой подход "отрицательно влияет на моральное состояние бойцов". "Автоматический выбрасыватель" забраковали.</w:t>
      </w:r>
    </w:p>
    <w:p w14:paraId="3F1D3A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Огромный ТБ-3 мог принять всего 20 парашютистов. Выход стали искать в применении разного рода подвесных кабин.</w:t>
      </w:r>
    </w:p>
    <w:p w14:paraId="5F5CE0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Начали с небольших "люлек". Больше всего эта штука была похожа на окованный металлом гроб без крышки. Парашютист укладывался в люльку и лежал там до момента сброса. Над требуемым местом летнаб самолета дергал за ручку бомбосбрасывателя, тросик выдергивал предохранительную чеку, резиновый амортизатор переворачивал люльку. Парашютист вываливался, а фал, прикрепленный к люльке, выдергивал кольцо парашюта. Для десантника все происходило автоматически, </w:t>
      </w:r>
      <w:r w:rsidRPr="005E779E">
        <w:rPr>
          <w:rFonts w:ascii="Times New Roman" w:hAnsi="Times New Roman"/>
          <w:color w:val="000000" w:themeColor="text1"/>
          <w:sz w:val="16"/>
          <w:szCs w:val="16"/>
        </w:rPr>
        <w:lastRenderedPageBreak/>
        <w:t>поэтому официально устройство именовалось "автоматическим выбрасывателем красноармейцев". ТБ-1 нес шестнадцать люлек, располагавшихся под крыльями и фюзеляжем.</w:t>
      </w:r>
    </w:p>
    <w:p w14:paraId="091803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"Выбрасыватель" давал два преимущества: позволял полнее использовать грузоподъемность самолета и обеспечивал одновременный сброс всей группы десантников (12036).</w:t>
      </w:r>
    </w:p>
    <w:p w14:paraId="795612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60178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"Комсеверпуть" имел 3 самолета, в 1932 г. - 5, то в 1933 г. авиация ГУСМП насчитывала уже 17 машин. Количество Дорнье "Валь" возросло до 6 единиц (11970).</w:t>
      </w:r>
    </w:p>
    <w:p w14:paraId="3180D55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684D10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из ВВС было передано еще около 100 Р-1 для обучения курсан-тов и тренировок летного состава в Батайской, Тамбов</w:t>
      </w:r>
      <w:r w:rsidRPr="005E779E">
        <w:rPr>
          <w:rFonts w:ascii="Times New Roman" w:hAnsi="Times New Roman"/>
          <w:color w:val="000000" w:themeColor="text1"/>
          <w:sz w:val="16"/>
          <w:szCs w:val="16"/>
        </w:rPr>
        <w:softHyphen/>
        <w:t>ской и Балашовской школах ГВФ, в Учебном комбинате (Институте инженеров ГВФ) в Ленинграде, в Москов</w:t>
      </w:r>
      <w:r w:rsidRPr="005E779E">
        <w:rPr>
          <w:rFonts w:ascii="Times New Roman" w:hAnsi="Times New Roman"/>
          <w:color w:val="000000" w:themeColor="text1"/>
          <w:sz w:val="16"/>
          <w:szCs w:val="16"/>
        </w:rPr>
        <w:softHyphen/>
        <w:t>ской школе технического состава ГВФ. Известны не</w:t>
      </w:r>
      <w:r w:rsidRPr="005E779E">
        <w:rPr>
          <w:rFonts w:ascii="Times New Roman" w:hAnsi="Times New Roman"/>
          <w:color w:val="000000" w:themeColor="text1"/>
          <w:sz w:val="16"/>
          <w:szCs w:val="16"/>
        </w:rPr>
        <w:softHyphen/>
        <w:t>сколько бортовых номеров учебных Р-1: СССР-В9, СССР-В10, СССР-В12. Первые десять машин, переданные ВВС обще</w:t>
      </w:r>
      <w:r w:rsidRPr="005E779E">
        <w:rPr>
          <w:rFonts w:ascii="Times New Roman" w:hAnsi="Times New Roman"/>
          <w:color w:val="000000" w:themeColor="text1"/>
          <w:sz w:val="16"/>
          <w:szCs w:val="16"/>
        </w:rPr>
        <w:softHyphen/>
        <w:t>ству «Добролет» в 1929 г., имели бортовые номера от СССР-183 до СССР-192. На них московское отделение «Добролета» проводило в Средней Азии испытание хи</w:t>
      </w:r>
      <w:r w:rsidRPr="005E779E">
        <w:rPr>
          <w:rFonts w:ascii="Times New Roman" w:hAnsi="Times New Roman"/>
          <w:color w:val="000000" w:themeColor="text1"/>
          <w:sz w:val="16"/>
          <w:szCs w:val="16"/>
        </w:rPr>
        <w:softHyphen/>
        <w:t>мического оборудования против саранчи, которые вы</w:t>
      </w:r>
      <w:r w:rsidRPr="005E779E">
        <w:rPr>
          <w:rFonts w:ascii="Times New Roman" w:hAnsi="Times New Roman"/>
          <w:color w:val="000000" w:themeColor="text1"/>
          <w:sz w:val="16"/>
          <w:szCs w:val="16"/>
        </w:rPr>
        <w:softHyphen/>
        <w:t>явили непригодность Р-1 для этой цели. Десять машин использовались для перевозки мат</w:t>
      </w:r>
      <w:r w:rsidRPr="005E779E">
        <w:rPr>
          <w:rFonts w:ascii="Times New Roman" w:hAnsi="Times New Roman"/>
          <w:color w:val="000000" w:themeColor="text1"/>
          <w:sz w:val="16"/>
          <w:szCs w:val="16"/>
        </w:rPr>
        <w:softHyphen/>
        <w:t>риц и выполнения особых поручений летным отрядом газеты «Правда». Этот отряд открыл в 1931 г. регуляр</w:t>
      </w:r>
      <w:r w:rsidRPr="005E779E">
        <w:rPr>
          <w:rFonts w:ascii="Times New Roman" w:hAnsi="Times New Roman"/>
          <w:color w:val="000000" w:themeColor="text1"/>
          <w:sz w:val="16"/>
          <w:szCs w:val="16"/>
        </w:rPr>
        <w:softHyphen/>
        <w:t>ную транспортную воздушную линию Москва-Ленин</w:t>
      </w:r>
      <w:r w:rsidRPr="005E779E">
        <w:rPr>
          <w:rFonts w:ascii="Times New Roman" w:hAnsi="Times New Roman"/>
          <w:color w:val="000000" w:themeColor="text1"/>
          <w:sz w:val="16"/>
          <w:szCs w:val="16"/>
        </w:rPr>
        <w:softHyphen/>
        <w:t>град. С августа 1931 г. гражданские Р-1 имели обозна</w:t>
      </w:r>
      <w:r w:rsidRPr="005E779E">
        <w:rPr>
          <w:rFonts w:ascii="Times New Roman" w:hAnsi="Times New Roman"/>
          <w:color w:val="000000" w:themeColor="text1"/>
          <w:sz w:val="16"/>
          <w:szCs w:val="16"/>
        </w:rPr>
        <w:softHyphen/>
        <w:t>чение П-1 (10667).</w:t>
      </w:r>
    </w:p>
    <w:p w14:paraId="2054E24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7874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был основан Шумерлинский деревообделочный комбинат. Производство мебели и столярных изделий. В 07.1941 г. передан го НКлеса и по приказу № 877с от 20.08.1941 г. получил наименование ГС завод № 471 в системе 11ГУ НКАП (ГС Завод № 471 НКАП /г. Шумерля Чувашской АССР/).</w:t>
      </w:r>
    </w:p>
    <w:p w14:paraId="6F2429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начале войны налаживалось производство десантного планера «Орел» конструкции Б.В. Кучеренко, </w:t>
      </w:r>
      <w:r w:rsidRPr="005E779E">
        <w:rPr>
          <w:rFonts w:ascii="Times New Roman" w:hAnsi="Times New Roman"/>
          <w:color w:val="000000" w:themeColor="text1"/>
          <w:sz w:val="16"/>
          <w:szCs w:val="16"/>
          <w:lang w:val="en-US"/>
        </w:rPr>
        <w:t>JI</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M</w:t>
      </w:r>
      <w:r w:rsidRPr="005E779E">
        <w:rPr>
          <w:rFonts w:ascii="Times New Roman" w:hAnsi="Times New Roman"/>
          <w:color w:val="000000" w:themeColor="text1"/>
          <w:sz w:val="16"/>
          <w:szCs w:val="16"/>
        </w:rPr>
        <w:t xml:space="preserve">. Роднянского и Н.И. Афанасьева. Затем работы по нему прекращены. По решению от 18.09.1941 г. на заводе начато освоение производства десантного планера Г-29 (Г-11), а также планера РФ-8 </w:t>
      </w:r>
      <w:r w:rsidRPr="005E779E">
        <w:rPr>
          <w:rFonts w:ascii="Times New Roman" w:hAnsi="Times New Roman"/>
          <w:color w:val="000000" w:themeColor="text1"/>
          <w:sz w:val="16"/>
          <w:szCs w:val="16"/>
          <w:lang w:val="en-US"/>
        </w:rPr>
        <w:t>O</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K</w:t>
      </w:r>
      <w:r w:rsidRPr="005E779E">
        <w:rPr>
          <w:rFonts w:ascii="Times New Roman" w:hAnsi="Times New Roman"/>
          <w:color w:val="000000" w:themeColor="text1"/>
          <w:sz w:val="16"/>
          <w:szCs w:val="16"/>
        </w:rPr>
        <w:t xml:space="preserve">. Антонова. Также было задано изготовление двух экземпляров опытного планера А-40 «КТ» (крылья танка) </w:t>
      </w:r>
      <w:r w:rsidRPr="005E779E">
        <w:rPr>
          <w:rFonts w:ascii="Times New Roman" w:hAnsi="Times New Roman"/>
          <w:color w:val="000000" w:themeColor="text1"/>
          <w:sz w:val="16"/>
          <w:szCs w:val="16"/>
          <w:lang w:val="en-US"/>
        </w:rPr>
        <w:t>O</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K</w:t>
      </w:r>
      <w:r w:rsidRPr="005E779E">
        <w:rPr>
          <w:rFonts w:ascii="Times New Roman" w:hAnsi="Times New Roman"/>
          <w:color w:val="000000" w:themeColor="text1"/>
          <w:sz w:val="16"/>
          <w:szCs w:val="16"/>
        </w:rPr>
        <w:t>. Антонова. Единственный полет А-40 с танком Т-60 выполнил 2.09.1942 г.</w:t>
      </w:r>
    </w:p>
    <w:p w14:paraId="595B79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завод № 471 эвакуирована в 10-11.1941 г. часть завода № 168 НКАП (винтовой цех). По приказам № 995сс от 18.09.1941 г. и № 1050сс от 8.10.1941 г. на площадку завода № 471 11ГУ НКАП переведена основная часть ОКБ-28 11ГУ НКАП гл. конструктора В.К. Грибовского.</w:t>
      </w:r>
    </w:p>
    <w:p w14:paraId="25518E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завод № 471 была эвакуирована основная часть личного состава, оборудования и документации завода № 445 НКАП. Здесь началось возобновление выпуска планера А-7. По приказу № 1088сс от 1.11.1941 г. планировалось влить завод № 445 в состав завода № 471. Но затем по приказу № 1179с от 31.12.1941 г. завод № 445 эвакуирован в Алапаевск на площадку деревообрабатывающего комбината НКЧМ.</w:t>
      </w:r>
    </w:p>
    <w:p w14:paraId="44DC49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09.1942 г. началось освоение выпуска Як-6. На 10.1944 г. завод действовал при 11ГУ.</w:t>
      </w:r>
    </w:p>
    <w:p w14:paraId="51F825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1945 г. завод № 471 НКАГ1 ликвидирован. По приказу № 306с/ 203пс от 24.07.1945 г. личный состав и оборудование переданы заводу № 463 НКАП, площадка передана в НКлеса, и на ней организован Комбинат автомобильных фургонов.</w:t>
      </w:r>
    </w:p>
    <w:p w14:paraId="37B2EF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(конец 1941 г.)- Егоров, (05.1942 г.)- В.К. Грибовский, (08.1943 г.)- И.Н. Мартынов, (-12.1943- 08.1944 г.-)- П.Н. Голубков, (07.1945 г.)- Шаройко.</w:t>
      </w:r>
    </w:p>
    <w:p w14:paraId="66A13B9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конструктор (05.1942 г.)- В.К. Грибовский.</w:t>
      </w:r>
    </w:p>
    <w:p w14:paraId="5277690B" w14:textId="452F657A"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 КБ (11.1941 г.-)-</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Г.Ф. Грошев.</w:t>
      </w:r>
    </w:p>
    <w:p w14:paraId="4A05A1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Производство:</w:t>
      </w:r>
      <w:r w:rsidRPr="005E779E">
        <w:rPr>
          <w:rFonts w:ascii="Times New Roman" w:hAnsi="Times New Roman"/>
          <w:color w:val="000000" w:themeColor="text1"/>
          <w:sz w:val="16"/>
          <w:szCs w:val="16"/>
        </w:rPr>
        <w:t xml:space="preserve"> планер Г-11 (1941-42-)- 138; самолеты: Як-6 (1942-43)- 82, У-2 (1943-45)- 1127; кузова- фургоны: «Волга», «Двина» (ВОВ).</w:t>
      </w:r>
    </w:p>
    <w:p w14:paraId="550D3D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ОКБ гл. конструктора В.К. Грибовского при заводе № 471 НКАП</w:t>
      </w:r>
    </w:p>
    <w:p w14:paraId="77F7EF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приказам № 995сс от 18.09.1941 г. и № 1050сс от 8.10.1941 г. на площадку завода № 471 переведена основная часть ОКБ-28 11ГУ НКАП гл. конструктора В.К. Грибовского и вошла в состав завода. Работы по сопровождению серии десантного планера Гр-29 (Г-11).</w:t>
      </w:r>
    </w:p>
    <w:p w14:paraId="7DBC3A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1942 г., после прекращения выпуска Г-11, ОКБ было ликвидировано. Личный состав ОКБ-28 перевели в подчинение завода № 471, а Грибовский убыл в распоряжение НКАП. Затем часть коллектива ОКБ с техдокументацией переведена на вновь образованный завод № 463 в Рязань. По приказу № 730с от 4.12.1943 г. остатки ОКБ В.К. Грибовского переведены с завода № 471 на завод № 463 во вновь организованное КБ по десантным планерам. Грибовский назначен гл. конструктором завода № 463.</w:t>
      </w:r>
    </w:p>
    <w:p w14:paraId="391B4896" w14:textId="411887D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ОАО «Комбинат автомобильных фургонов» /Чувашия 429120</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Шумерля ул. Ленина, 21А тел. 5-23-93/</w:t>
      </w:r>
    </w:p>
    <w:p w14:paraId="66BC71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Комбинат создан после войны на площадке ликвидированного завода № 471 НКАП.</w:t>
      </w:r>
    </w:p>
    <w:p w14:paraId="66512DB0" w14:textId="1BAD0578"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Освоено производство мебели, кузовов-фургонов на автомобильном и прицепном шасси для армии. В 1950-е</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комбинат разрабатывал и выпускал унифицированные кузова для размещения пунктов управления огнем, стартовых комплексов ракетных войск (11982).</w:t>
      </w:r>
    </w:p>
    <w:p w14:paraId="5352B4CB" w14:textId="77777777" w:rsidR="0075673E" w:rsidRPr="005E779E" w:rsidRDefault="0075673E" w:rsidP="000B7A6C">
      <w:pPr>
        <w:autoSpaceDE w:val="0"/>
        <w:autoSpaceDN w:val="0"/>
        <w:adjustRightInd w:val="0"/>
        <w:spacing w:after="0" w:line="240" w:lineRule="auto"/>
        <w:jc w:val="both"/>
        <w:rPr>
          <w:rFonts w:ascii="Times New Roman" w:hAnsi="Times New Roman"/>
          <w:color w:val="000000" w:themeColor="text1"/>
          <w:sz w:val="16"/>
          <w:szCs w:val="16"/>
        </w:rPr>
      </w:pPr>
    </w:p>
    <w:p w14:paraId="26EEB341" w14:textId="33D8A1DA"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был образован Завод строительных деталей. Далее это - Козловский деревообделочный комбинат НК стройматериалов. В 07.1941 г. комбинат передан из НКстройматериалов в НКАП и по приказу № 877с от 20.08.1941 г. получил наименование ГС завод № 494 в системе 11ГУ (ГС Завод № 494 НКАП, Козловский завод строительных деталей, Козловский деревообделочный комбинат НК стройматериалов, Козловский комбинат автомобильных фургонов, ООО «Комбинат автофургонов», ООО «Автофургон» /Чувашия</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Козловка/ /Чувашия 429430</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Козловка ул. К. Маркса, 1/). Планировалось производство планеров.</w:t>
      </w:r>
    </w:p>
    <w:p w14:paraId="2E5F80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войны налаживалось производство планера «Орел» Б.В. Кучеренко, Л.М. Роднянского и Н.И. Афанасьева, но затем прекращено. По решению от 18.09.1941 г. на заводе начато освоение производства десантного планера Г-29 (Г-11). С 1944 г. производство Г-11 перенесено на завод № 463. В 1942 г. организован выпуск самолета С-2, планировался выпуск У-2ШС.</w:t>
      </w:r>
    </w:p>
    <w:p w14:paraId="20D0CD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1941 г. на площадку завода № 494 эвакуирована основная часть завода № 168 НКАП. Сюда же по приказу № 1057сс от 10.10.1941г на площадку завода № 494 эвакуирован завод № 482 НКАП и по приказу № 1178с от 31.12.1941 г. влит в его состав.</w:t>
      </w:r>
    </w:p>
    <w:p w14:paraId="056A25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1945 г. завод передан Глававиастрою, а в 1947 г.- в другое министерство.</w:t>
      </w:r>
    </w:p>
    <w:p w14:paraId="5434A2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1961 г. начат выпуск кузовов и прицепов для автомобилей ПРМ (передвижных ремонтных мастерских). С 1968 г. специализировался на производстве кузовов-кунгов для военных автомашин на шасси «Урал».</w:t>
      </w:r>
    </w:p>
    <w:p w14:paraId="0254D3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21.05.1968 г. завод переименован в Козловский комбинат автофургонов.</w:t>
      </w:r>
    </w:p>
    <w:p w14:paraId="0B4E4B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Производство (2003 г.): универсальных, изотермических и специальных автофугронов, единственный в России изготовитель щеповозов.</w:t>
      </w:r>
    </w:p>
    <w:p w14:paraId="55BF83C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(06.1941 г.)- Ф. Артемьев, (08.1941 г.-)- Н.И. Чеблуков, (-04.1942-09.1943 г.-)- М.И. Шелухин, (-01- 11.1944 г.-)- Ю.Б. Эскин, (начало 1960-х)- А.Н. Ленкин, (1999 г.)- В.Е. Палагин, (2007 г.)- Е.В. Максимов.</w:t>
      </w:r>
    </w:p>
    <w:p w14:paraId="2F2FDEA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 КБ- Б.К. Ландышев.</w:t>
      </w:r>
    </w:p>
    <w:p w14:paraId="5A7E58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Производство:</w:t>
      </w:r>
      <w:r w:rsidRPr="005E779E">
        <w:rPr>
          <w:rFonts w:ascii="Times New Roman" w:hAnsi="Times New Roman"/>
          <w:color w:val="000000" w:themeColor="text1"/>
          <w:sz w:val="16"/>
          <w:szCs w:val="16"/>
        </w:rPr>
        <w:t xml:space="preserve"> планеры: Г-11 (1941-43)- 170, учебно-тренировочный УС-6 (А-2) (-1943); самолет С-2 (1942- 45); щеповоз ТМ-59, лесовозное оборудование ТМ-39 (2003) (11982).</w:t>
      </w:r>
    </w:p>
    <w:p w14:paraId="3C1730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0A88E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образовался НИИ-25 как Научно-технический институт. В 1937 стал НИИ-12. Находился в подчинении 17ГУ МАП.</w:t>
      </w:r>
    </w:p>
    <w:p w14:paraId="3D6E947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Работы: по системе наведения "Горизонт-1 и -1В" (конец 1950-х); по аппаратуре РУ-6-2П для КР П-20 (1959 г.). </w:t>
      </w:r>
    </w:p>
    <w:p w14:paraId="56438C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1964 г. путем объединения НИИ-25 и ОКБ-12 (1-я ул. Ямского Поля) образовался НИИП, базирующийся на двух территориях.</w:t>
      </w:r>
    </w:p>
    <w:p w14:paraId="7863861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Работы по системам управления и защиты АЭС (САУ-103, САУ-110) и реакторов АПЛ (с 1953 г.). </w:t>
      </w:r>
    </w:p>
    <w:p w14:paraId="1D1CBB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Работы по комплексам проверки подготовки и пуска ракет, системам управления расходом топлива МБР, инерциальным системам управления, БЦВМ, АСУ двигателями.</w:t>
      </w:r>
    </w:p>
    <w:p w14:paraId="7260B3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08.1992 г. в результате реорганизации НИИП территория на 1-й ул. Ямского Поля выделилась в самостоятельную организацию- Московское ОКБ «Система».</w:t>
      </w:r>
    </w:p>
    <w:p w14:paraId="02D427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Указу Президента РФ № 1009 от 4.08.2004 г. вошло в перечень стратегических оборонных предприятий.</w:t>
      </w:r>
    </w:p>
    <w:p w14:paraId="1FFC0A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Гл. конструктор (1956 г.)- Н.Д. Рязанцев. </w:t>
      </w:r>
    </w:p>
    <w:p w14:paraId="233A28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 гл. конструктор (1964-66 г.-)- А.С. Абрамов. Директор (1992-2002 г.-)- Б.Н. Гаврилин.</w:t>
      </w:r>
    </w:p>
    <w:p w14:paraId="0921D1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Директора по науке (2002 г.)- В.А. Мосяков.</w:t>
      </w:r>
    </w:p>
    <w:p w14:paraId="71647F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НИИ-25 МАП, НИИ приборостроения (НИИП), Государственный НИИ приборостроения (ГосНИИП), ФГУП «ГНИИП»</w:t>
      </w:r>
    </w:p>
    <w:p w14:paraId="376CEAE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129226 г. Москва пр. Мира, 125 тел. 181-16-38 (10776).</w:t>
      </w:r>
    </w:p>
    <w:p w14:paraId="687C6D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8806E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образовался НИИ-25. Действовал в 17ГУ МАП. Работы по системе "Горизонт-1 и -1В" (к. 1950-х), по аппаратуре управления РУ-6-2П для КР П-20 (1959 г.).</w:t>
      </w:r>
    </w:p>
    <w:p w14:paraId="42168A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1964 г. НИИ-25 был объединен с ОКБ-12 МАП с образованием единой организации НИИ приборостроения (НИИП). Начальником и гл.к. ин-та назначен А.С.Абрамов. Ни-т базировался на двух территориях. </w:t>
      </w:r>
    </w:p>
    <w:p w14:paraId="75BDCB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Поводились работы по системам управления и защиты АЭС и реакторов ПЛ (с 1953г), системам управления расхода топлива для МБР, автоматическим системам управления авиационными ТРД, С н. 1960-х начались работы по инерциальным навигационным системам (ИНС) для ракет. Создан ряд ИНС для ракет ПЛО, ЗУР (С-300В), ПР (51Т6), ракетного комплекса 3М-10, управляемой ракеты класса "воздух-воздух" Р-77. Далее началось проведение работ по БЦВМ для УР. Работы по комплексам проверки подготовки и пуска ракет. </w:t>
      </w:r>
    </w:p>
    <w:p w14:paraId="0D26CB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 xml:space="preserve">В .8.92 г. в результате реорганизации НИИ Приборостроения (НИИП) территория на 1-й ул. Ямского Поля (бывшее ОКБ-12) выделилась в самостоятельную организацию - Московское опытно-конструкторское бюро "Система". </w:t>
      </w:r>
    </w:p>
    <w:p w14:paraId="245C490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 1992 г. НИИП возглавил Б.Н.Гаврилин. </w:t>
      </w:r>
    </w:p>
    <w:p w14:paraId="036A52B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Государственный научно-исследовательский институт приборостроения, (ГосНИИП) </w:t>
      </w:r>
    </w:p>
    <w:p w14:paraId="20F4AAD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Ранее - НИИ-25, НИИ приборостроения (НИИП, ГосНИИ приборостроения) </w:t>
      </w:r>
    </w:p>
    <w:p w14:paraId="654A20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Адрес - Россия, 129226, Москва, проспект Мира, 125, Тел.: (095) 181-16-38. Факс: (095) 181-33-70, E-mail: corund@col.ru (10778).</w:t>
      </w:r>
    </w:p>
    <w:p w14:paraId="67D8D1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3F59F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создан завод Компрессор, будущий з-д № 733. В 1938-39 г. выпускал приборы пуска ОВ КС-60.3 В 1942 г. завод № 733 был в подчинении НКМВ. Был в 1975 г.</w:t>
      </w:r>
    </w:p>
    <w:p w14:paraId="00ED5A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Производство: (ВОВ) ПУ НУРС РС-82 («Катюши»).</w:t>
      </w:r>
    </w:p>
    <w:p w14:paraId="2CB632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 733 НКМВ, завод «Компрессор» МОП</w:t>
      </w:r>
    </w:p>
    <w:p w14:paraId="64A8FE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Москва 2-я ул. Энтузиастов</w:t>
      </w:r>
    </w:p>
    <w:p w14:paraId="4241B5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СКБ завода, ГСКБ (Государственное Союзное КБ) Специального машиностроения («Спецмаш») ММиП, ГКОТ, КБ общего машиностроения (КБОМ) МОМ, ФГУП «КБОМ им. В.П. Бармина» ФКА </w:t>
      </w:r>
    </w:p>
    <w:p w14:paraId="6DCC67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121059 г. Москва Бережковская наб., 22 тел. 240-60-44</w:t>
      </w:r>
    </w:p>
    <w:p w14:paraId="55A107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Специальное КБ завода № 733 создано 30.06.1941 г. как головное по созданию и внедрению в производство ПУ системы залповой стрельбы «Катюша». В 05.1946 г. преобразовано в Государственное Союзное КБ «Спецмаш». В 1965 г. ГСКБ «Спецмаш» ГКОТ передано в ведение 4ГУ МОМ и по приказу от 6.03.1966 г. преобразовано в КБОМ. С 1999 г. – ФГУП «КБОМ им. В.П. Бармина». Головное предприятие по разработке и созданию стартовых комплексов БР и РН. Кроме того, разрабатывало технологическое оборудование технической позиции, включавшей монтажно-испытательный корпус, компрессорную станцию и др. После 1963 г. это направление работ передано в КБ «Мотор». С 1967 г. к этим работам подключился Филиал № 2 ЦКБМ. </w:t>
      </w:r>
    </w:p>
    <w:p w14:paraId="1DA19F6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5C6C7C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КБОМ имело опытное производство, испытательный центр «Сплав».</w:t>
      </w:r>
    </w:p>
    <w:p w14:paraId="48EA2A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Имеет филиал (2005 г.). Начальник центра испытаний филиала (2005 г.)- В.Н. Ефименко.</w:t>
      </w:r>
    </w:p>
    <w:p w14:paraId="5A5D4E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Здесь с 1962 г. разрабатывался проект долговременной обитаемой базы на Луне. Был построен полноразмерный макет жилого модуля. В 1972 г., после аварии РН Н-1, работы были прекращены. Работал: Ю. Дружинин.ПМ-07/03 Созданы грунтозаборные автоматы для исследования Луны и Венеры.</w:t>
      </w:r>
    </w:p>
    <w:p w14:paraId="48A233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Ген. конструктор (1941-1990-е г.)- В.П. Бармин, (1993-2003 г.-)- И.В. Бармин.</w:t>
      </w:r>
    </w:p>
    <w:p w14:paraId="1199C2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 (1993-2003 г.-)- И.В. Бармин.</w:t>
      </w:r>
    </w:p>
    <w:p w14:paraId="52D0B6D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1-й зам. Начальника (2002 г.)- Е.И. Соколов. Зам. Начальника по коммерческим вопросам (2002 г.)- В.Г. Тарнавский.</w:t>
      </w:r>
    </w:p>
    <w:p w14:paraId="2C02F1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1-й зам. Ген. Конструктора (2002 г.)- В.Н. Климов. Зам. Ген. Конструктора по испытаниям (2002 г.)- Е.И. Соколов.</w:t>
      </w:r>
    </w:p>
    <w:p w14:paraId="0809F3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конструкторы (1958 г.)- А.И. Яскин (БМ-14-17).</w:t>
      </w:r>
    </w:p>
    <w:p w14:paraId="00D0C8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Создано: ПУ: БМ-8-24 для НУР РС-82 на базе танка Т-60 (1941 г.); М-13-МI для бронекатеров (1942 г.), 24-М-8 и 16-М-13 для морских кораблей (1943 г.); БМ-14 на шасси ЗИС-151 (1952), БМ-14М (2Б2) на шасси ЗиЛ-157, БМ-14ММ (2Б2Р) на шасси ЗиЛ-131, БМ-14-17 (8У36) на шасси ГАЗ-63 (1958); БМ-24 (8У31) для М-24Ф на шасси ЗИС-151, БМ-24Т на шасси гусеничного тягача АТ-С; Наземные стартовые комплексы БР: Р-1, Р-2, Р-11, Р-5, РТ-1, Р-7, В-300; РН Н1, «Протон», «Энергия-Буран»; ПУ ЗРК: С-25М, С-200, 5П85С для С-300П; ШПУ: 8П763 «Двина» для Р-12; 8П764 «Чусовая» для Р-14; для РТ-2; «Шексна-В» для Р-16У; для УР-100; с «прыгающим» стартом для МБР Р-36М; для МБР МР-УР-100; для противоракет: В-1000, А-350, 51Т6 системы ПРО А-135;57 железнодорожная ПУ для РТ-23УТТХ.</w:t>
      </w:r>
    </w:p>
    <w:p w14:paraId="64A123A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Ипытательный центр «Сплав»</w:t>
      </w:r>
    </w:p>
    <w:p w14:paraId="14E113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Создан в начале 1989 г. при КБОМ как открытая организация для работы с иностранными специалистами (10776).</w:t>
      </w:r>
    </w:p>
    <w:p w14:paraId="19A6F7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58063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в составе отдела вооружения КОСОС ЦАГИ во главе с гл.к. М.Н.Родионова была организована бригада специального химического вооружения. Далее с 1933 г. бригада работала в ЦКБ-39. Далее бригада получила самостоятельность и была переведена в 1936 г. на серийный завод №145 НКАП в г.Москву. Для образованного ОКО выделена собственная база на заводе. С 1937 г. гл.к. КБ завода №145 стал И.И.Картуков, зам. гл.к. ОКБ был Завразин. Коллективом разработан ряд выливных химических приборов типа ВАП и УХАП и балок подвески ВАП. С началом ВОВ коллектив при эвакуации был раздроблен. Часть ОКО и опытного цеха эвакуирована в г.Киров на площади завода №315 НКАП (приказ 7ГУ №20/30 от 26.7.41 г.). В к. 1941 г. основная часть ОКБ вместе с заводом эвакуирована в г.Куйбышев. Здесь ОКБ И.И.Картукова (ОКБ-145 НКАП) работало по ампулометам, химическим авиационным выливным бомбардировочным боеприпасам (10777).</w:t>
      </w:r>
    </w:p>
    <w:p w14:paraId="197074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1943 г. ОКБ-145 гл.к. И.И.Картукова в соответствии с приказом НКАП №272 от 6.5.43 г. со всем оборудованием и оп. цехом возвращено на новое место в г.Костино М.О. на завод №455 НКАП с образованием нового ОКБ-455 НКАП. Создан химический разовый прибор ХАРП-500-300А для НКВМФ. С 1946 г. начались работы по пиропатронам для выбрасываемых кресел летчиков по типу установленных на самолетах Не-162 и Не-219. </w:t>
      </w:r>
    </w:p>
    <w:p w14:paraId="0A23AFD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Уже в .3.1946 г. вновь образуется новый опытный завод №81 МАП в г.Москве, куда переводится ОКБ-455 МАП гл.к. И.И.Картукова. Организация специального опытного завода в системе 7ГУ началась в середине 1946 г. в соответствии с приказом №148 от 22.3.46 г. и №534 от 9.8.46 г. в г.Москве на базе бывшего завода №81 гл.к. С.А.Лавочкина для развития работ по установкам авиационного реактивного вооружения, стартовым самолетным ракетам и пиросистемам сбрасывания кресла летчика. Для размещения передана часть площадей на территории завода №381 НКАП и ангар НИСО. </w:t>
      </w:r>
    </w:p>
    <w:p w14:paraId="161D98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 самого начала завод становится двупрофильным. Сюда переведена кроме ОКБ-455 гл.к. И.И.Картукова еще группа конструкторов и производственников во главе с гл.к. И.П.Шебановым и зам. гл.к. В.И.Ермиловым, выделенная из состава ОКБ-43 МАП, переведена из НИИ-1 МАП группа конструкторов, занимавшаяся установками реактивных снарядов. </w:t>
      </w:r>
    </w:p>
    <w:p w14:paraId="08621F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Сначала было единое заводское ОКБ. В 1946-51 гг. И.П.Шебанов возглавлял это ОКБ и являлся одновременно директором завода, а И.И.Картуков - его заместителем. Далее И.П.Шебанова сняли с должности гл.к., разделено ОКБ и с 1951 г. В.П.Григорьев возглавил КБ-1, а И.И.Картуков - КБ-2. </w:t>
      </w:r>
    </w:p>
    <w:p w14:paraId="3766FD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КБ-1 проводились работы по пусковым установкам НАР, разовым бомбовым кассетам (типа РБК-250). С 1947 г. началось создание и изготовление подвесных устройств для реактивно-планирующих и реактивных АБ конструкции ГСКБ-47 МСХМ. Создан ряд образцов пусковых установок, балок и блоков НАР (блоки НАР ОРО-82 для ракет ТРС-82, ОРО-132 для ракет ТРС-132, ОРО-190, ОРО-212 для ракет ТРС-212), установка НАР для самолета Як-140, установка ПУ-21 для ракет АРС-212С, установка ПУ-12-40 для ракет АРС-240. Держатели "374", "398", "401" для АБ. Работы по оборудованию командных пунктов и наземных контрольных устройств для систем "Ураган" и "Даль". </w:t>
      </w:r>
    </w:p>
    <w:p w14:paraId="051AF1A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1957 г. КБ-1 В.П.Григорьева было переведено на другую территорию и действовало как ОКБ-424 (см. Долгопрудненское КБ автоматических систем). </w:t>
      </w:r>
    </w:p>
    <w:p w14:paraId="75B57A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Другое заводское КБ-2 (далее МКБ "Искра") - коллектив переведенного сюда ОКБ-455 МАП гл.к. И.И.Картукова. С 1947 г. начаты работы по новой тематике: стреляющим механизмам, Работы по химическим боеприпасам также некоторое время продолжались. Созданы морские химические ампулы "МХП", выливные химприборы ВАП-250РД, химические ампулы для РБК-250, дымовые разовые приборы. С 1950 г. в КБ развернулись работы по пороховым реактивным двигателям (ПРД) для различных ракет, по твердотопливным двигателям для катапультных кресел самолетов, по газогенераторам для баллонных систем подводных лодок. </w:t>
      </w:r>
    </w:p>
    <w:p w14:paraId="4E1CB0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1955 г. КБ-2 слито с заводом и преобразовано в НПО. </w:t>
      </w:r>
    </w:p>
    <w:p w14:paraId="3D9A69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Основной конструкторский состав КБ: И.К.Савков, Е.А.Гуськов, А.А.Брауде, С.И.Чуб, А.С.Поздняков, Е.И.Хренов, С.В.Авдула, А.М.Носов, Г.М.Квятковский, В.М.Юшков и др. </w:t>
      </w:r>
    </w:p>
    <w:p w14:paraId="67CFC1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Созданы конструкции ПРД практически для всех отечественных ракет. В том числе для УРВВ: СНАРС-250 (ПРД-1200-9), К-8М (ПРД-25, изд."232-II" и ПРД-25СМ, изд."232-IIСМ"), Р-3С и Р-3Р (ПРД-80А), Р-13М (ПРД-240), ПРД-18-Р, ПРД-23М. Создан ряд стартовых ускорителей самолетов и ракет: ПРД-15 (изд."205") для "КС", СПРД-15М (изд."205II" и "220") для "Метеор", ускорители для ракет типа "10Х", ускорители ПР-1650-9 для ракет "Шторм", ускорители ПСР-1500-15 для самолета Ил-28, стартовые двигатели для ЗУР М-1, М-2, С-125, С-175, В-1000, противокорабельных ракет П-10, П-5, П-6, П-15, П-20, П-35, К-12, КСЩ, "Аметист". </w:t>
      </w:r>
    </w:p>
    <w:p w14:paraId="28369B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Гл.к. МКБ "Искра" вместо И.И.Картукова был Ю.К.Куликов (с 1993 г.). </w:t>
      </w:r>
    </w:p>
    <w:p w14:paraId="51E849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Отдельно от завода в Кузьминках Ухтомского р-на располагалась экспериментально-испытательная станция с лабораторией и мастерскими. </w:t>
      </w:r>
    </w:p>
    <w:p w14:paraId="57620B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к. 1950-х гг. предприятие действовало в системе 2ГУ и 7ГУ. С 1957 г. завод передан из 7ГУ в 6ГУ. </w:t>
      </w:r>
    </w:p>
    <w:p w14:paraId="675CB1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Директорами завода были: И.П.Шебанов (до 1951 г.), А.И.Будников, В.П.Сонюшкин, Б.В.Плюснин, А.М.Бицкевич. </w:t>
      </w:r>
    </w:p>
    <w:p w14:paraId="6A24C7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 2003 г. ОАО ”МКБ ”Искра” им. И.И. Картукова” входит в состав ОАО ”Корпорация ”Тактическое ракетное вооружение”. </w:t>
      </w:r>
    </w:p>
    <w:p w14:paraId="1FF9A6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Генеральный директор ОАО "МКБ "Искра" им. И.И.Картукова" - В.Быцкевич. </w:t>
      </w:r>
    </w:p>
    <w:p w14:paraId="477242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Искра им. И.И.Картукова, МКБ, ОАО </w:t>
      </w:r>
    </w:p>
    <w:p w14:paraId="0580E8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Ранее: ОКБ-145, ОКБ-455, КБ-2 завода №81, МКБ "Искра", НПО "Искра", ММЗ "Искра", МКБ ”Искра” им. И.И. Картукова </w:t>
      </w:r>
    </w:p>
    <w:p w14:paraId="3D5A17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Адрес: 125284, Москва, Ленинградский просп., д. 35, т. 212-5351, ф. 945-1951, iskra-mkb@mtu-net.ru (10777).</w:t>
      </w:r>
    </w:p>
    <w:p w14:paraId="4434D0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93493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основан Завод "Саркомбайн". В 1937 г. передан из НКТП в НКОП, затем, в 1939 г.- в НКАП. По приказу №201с от 8.05.1940 г. получил название ГС завод №292 НКАП.</w:t>
      </w:r>
    </w:p>
    <w:p w14:paraId="31047A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 xml:space="preserve">В 1941 г. имел филиал- бывший завод №2 Военстроя. Сюда со ст. Кунцево эвакуирован завод №167 НКАП, и филиал передан ему в подчинение для организации производства лыж и в/винтов. </w:t>
      </w:r>
    </w:p>
    <w:p w14:paraId="13E2CF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1941 г. на площадку завода №292 1ГУ НКАП эвакуирован завод №165 НКАП и влит в его состав. </w:t>
      </w:r>
    </w:p>
    <w:p w14:paraId="7F4727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По приказу №632 от 6.07.1941 г. на площадку завода №292 была эвакуирована часть завода №115 НКАП гл. конструктора А.С. Яковлева. По приказу №930с/3сф от 28.08.1941 г. на базе этой части образовано ОКБ завода №292 с опытным цехом в системе 7ГУ. Начальником ОКБ и гл. конструктором завода назначен А.С. Яковлев, зам. начальника- С.Д. Трефилов. Деятельность ОКБ продолжалась в Саратове до 29.10.1941 г. Затем по приказам №999с от 19.09.1941 г. и №12сф от 18.10.1941 г. ОКБ переведено со всем личным составом и оборудованием в Новосибирск на завод №153 НКАП. </w:t>
      </w:r>
    </w:p>
    <w:p w14:paraId="67C5FD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1991 г. завод был акционирован. </w:t>
      </w:r>
    </w:p>
    <w:p w14:paraId="319D11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Директора: (в 1940 г.) - Ф.С. Малахов, (в 1940-1941 г.-) - И.С. Левин, (в 1956 г.) - Б.А. Дубовиков. </w:t>
      </w:r>
    </w:p>
    <w:p w14:paraId="71B9BCD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Ген. директор (на 2004 г.) - А.В. Ермишин. </w:t>
      </w:r>
    </w:p>
    <w:p w14:paraId="7D8EEA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Численность персонала (1.01.2001 г.) - 4450 чел. </w:t>
      </w:r>
    </w:p>
    <w:p w14:paraId="6ED8AB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Производство: Р-10 (1938-40) -135, И-28, Як-1 (1940-44), Як-7, Як-3 (1944-46), Як-11 (1946-49), Ла-15 (1949), МиГ-15 (1950-52), Як-15, В-12 (1952-53), Ми-4 (1954), Як-24, Як-25 (1954-55), Як-25М (1955-57), Як-25Р (1957), Як-27 (1957), Як-27В (1958), Як-27Р (1958-62), Як-36, Як-38 (с 1974), Як-40 (1968-81), Як-42, Як-141, Як- 54, Д-41 "Сокол"; ракеты: П-5 (1958-61), В-750В (1958-61), П-5Д (С-5, с 1961), П-6 (с 1961), Х- 58; корпуса гранат РГ-41, Ф-1 (ВОВ); комплектующие для ОК "Буран"; "летающая тарелка" - ЭКИП. </w:t>
      </w:r>
    </w:p>
    <w:p w14:paraId="092F50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Саратовский авиационный завод, ЗАО (ЗАО "САЗ") </w:t>
      </w:r>
    </w:p>
    <w:p w14:paraId="771F08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ранее: Саратовский завод комбайнов (СЗК, "Саркомбайн"), ГС Завод №292, Саратовский авиационный завод (САЗ) </w:t>
      </w:r>
    </w:p>
    <w:p w14:paraId="7CA045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410015 г. Саратов, пл. Орджоникидзе, 1, тел. 96-81-01 (10777).</w:t>
      </w:r>
    </w:p>
    <w:p w14:paraId="2B9E15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AA8E21E" w14:textId="16093AB4"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на площадке фабрики Гознака в Лужниках (бывшей площадке снаряжательных заводов Н.А. Второва) в ведении треста «Оргметалл» ВСНХ, затем НКТП был создан Завод приспособлений, штампов и пресс-форм (ГС инструментальный завод № 165 НКАП, МАП, Завод приспособлений и штампов ВСНХ, НКТП, НКМ, Завод нормалей и штампов НКОП, Инструментальный завод № 1 ОАП НКАП, Государственный объединенный завод № 165 ГКАТ, п/я 2382, Московский машиностроительный завод (ММЗ) «Сатурн» МАП, М-5147, АООТ, ОАО «А. Люлька-Сатурн», НТЦ им. А. Люльки ОАО «НПО «Сатурн» /г. Москва;</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Куйбышев;</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Тушино Московской обл./ /129301</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Москва ул. Касаткина, 13 тел. 283-09-13, 283-94-93/). Во исполнение постановления Экономсовета СНК от 4-го и 14.02.1938 г. по пр. НКОП № 71 от 21.02.1938 г. Завод нормалей и штампов принят (по состоянию на 1.02.1938 г.) от треста Оргметалл НКМ и по пр. № 72 от 21.02.1938 г. включен в состав образованного треста «Оргоборонпром» НКОП. С 1939 г. - в ведении треста «Оргавиапром» (ОАП) НКАП. В 1940 г. Завод нормалей и штампов объединен с заводом № 1 ОАП и переименован в Инструментальный завод № 1 ОАП НКАП.</w:t>
      </w:r>
    </w:p>
    <w:p w14:paraId="6BF78BD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1941 г. эвакуирован в Куйбышев. На старой площадке в 11.1941 г. образован новый завод № 478 НКАП.</w:t>
      </w:r>
    </w:p>
    <w:p w14:paraId="12BC83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выпускал узлы ротора и крыльчатки к турбокомпрессорам. Производство лафетов для пушек В Я (1942 г.). Планировалось начать изготовление колес для Ил-2.</w:t>
      </w:r>
    </w:p>
    <w:p w14:paraId="64FABD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НКАП № 709с от 18.09.1942 г. Инструментальный завод № 1 ОАП НКАП переименован в завод № 165 НКАП в ведении Управления снабжения.</w:t>
      </w:r>
    </w:p>
    <w:p w14:paraId="024CF51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По приказу № 459с от 31.07.1943 г. завод № 453 </w:t>
      </w:r>
      <w:r w:rsidRPr="005E779E">
        <w:rPr>
          <w:rFonts w:ascii="Times New Roman" w:hAnsi="Times New Roman"/>
          <w:color w:val="000000" w:themeColor="text1"/>
          <w:sz w:val="16"/>
          <w:szCs w:val="16"/>
          <w:lang w:val="en-US"/>
        </w:rPr>
        <w:t>HKAII</w:t>
      </w:r>
      <w:r w:rsidRPr="005E779E">
        <w:rPr>
          <w:rFonts w:ascii="Times New Roman" w:hAnsi="Times New Roman"/>
          <w:color w:val="000000" w:themeColor="text1"/>
          <w:sz w:val="16"/>
          <w:szCs w:val="16"/>
        </w:rPr>
        <w:t xml:space="preserve"> (Тушино) реорганизован в филиал завода № 165 ОАП НКАГ1. На нем началась организация производства специнструмента и приспособлений. С завода № 165 из Куйбышева туда для укрепления производства переведена группа рабочих и ИТР (120 чел.). В том же году завод № 165 НКАП переведен на площадку филиала в Тушино.</w:t>
      </w:r>
    </w:p>
    <w:p w14:paraId="5D6344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Производство лафетов для пушки «ВЯ». В 07.1943 г. работы переданы на заводы № 481 и № 454 НКАП. В 05.1944 г. заводу поручено изготовление опытной серии из 5 ТРД С-18 </w:t>
      </w:r>
      <w:r w:rsidRPr="005E779E">
        <w:rPr>
          <w:rFonts w:ascii="Times New Roman" w:hAnsi="Times New Roman"/>
          <w:color w:val="000000" w:themeColor="text1"/>
          <w:sz w:val="16"/>
          <w:szCs w:val="16"/>
          <w:lang w:val="en-US"/>
        </w:rPr>
        <w:t>A</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M</w:t>
      </w:r>
      <w:r w:rsidRPr="005E779E">
        <w:rPr>
          <w:rFonts w:ascii="Times New Roman" w:hAnsi="Times New Roman"/>
          <w:color w:val="000000" w:themeColor="text1"/>
          <w:sz w:val="16"/>
          <w:szCs w:val="16"/>
        </w:rPr>
        <w:t>. Люльки. В 06.1944 г. заводу поручены работы по изготовлению приспособлений для производства моторов для завода № 466 НКАП, в 08.1944 г.- оказать помощь в изготовлении частей опытного ПуВРД конструкции В.Н. Челомея.</w:t>
      </w:r>
    </w:p>
    <w:p w14:paraId="4447D7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 377с от 2.06.1944 г. завод передан из ОАП в Управление оборудования НКАП.</w:t>
      </w:r>
    </w:p>
    <w:p w14:paraId="13302E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По приказу № 705сс от 29.12.1944 г. на заводе началась организация производства пяти опытных образцов ТРД С-18 конструкции </w:t>
      </w:r>
      <w:r w:rsidRPr="005E779E">
        <w:rPr>
          <w:rFonts w:ascii="Times New Roman" w:hAnsi="Times New Roman"/>
          <w:color w:val="000000" w:themeColor="text1"/>
          <w:sz w:val="16"/>
          <w:szCs w:val="16"/>
          <w:lang w:val="en-US"/>
        </w:rPr>
        <w:t>A</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M</w:t>
      </w:r>
      <w:r w:rsidRPr="005E779E">
        <w:rPr>
          <w:rFonts w:ascii="Times New Roman" w:hAnsi="Times New Roman"/>
          <w:color w:val="000000" w:themeColor="text1"/>
          <w:sz w:val="16"/>
          <w:szCs w:val="16"/>
        </w:rPr>
        <w:t>. Люльки. Для этого на завод откомандирована группа конструкторов во главе с зам. гл. конструктора Луссом.</w:t>
      </w:r>
    </w:p>
    <w:p w14:paraId="3A80EE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соответствии с ПСМ № 472-191 от 26.02.1946 г. и приказом МАП № 182сс от 30.03.1946 г. ГС инструментальный завод № 165 с 1.04.1946 г. передан из Управления оборудования в 8ГУ МАП для развития опытного моторостроения Этим же приказом для расширения работ СКБ гл, конструктора </w:t>
      </w:r>
      <w:r w:rsidRPr="005E779E">
        <w:rPr>
          <w:rFonts w:ascii="Times New Roman" w:hAnsi="Times New Roman"/>
          <w:color w:val="000000" w:themeColor="text1"/>
          <w:sz w:val="16"/>
          <w:szCs w:val="16"/>
          <w:lang w:val="en-US"/>
        </w:rPr>
        <w:t>A</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M</w:t>
      </w:r>
      <w:r w:rsidRPr="005E779E">
        <w:rPr>
          <w:rFonts w:ascii="Times New Roman" w:hAnsi="Times New Roman"/>
          <w:color w:val="000000" w:themeColor="text1"/>
          <w:sz w:val="16"/>
          <w:szCs w:val="16"/>
        </w:rPr>
        <w:t>. Люльки при НИИ-1 МАП переведено на самостоятельную базу- завод № 165 МАП и получило название ОКБ-165 МАП. В 08.1957 г. - в ведении ЗГУ МАП. Имел наименования: «п/я 2382», «п/я М-5147» (1.01.1967-82 г.).</w:t>
      </w:r>
    </w:p>
    <w:p w14:paraId="7F44D8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 479сс от 23.07.1946 г. при заводе № 45 образован филиал завода № 165 (руководитель- С.К. Туманский) для организации производства ТР-1.</w:t>
      </w:r>
    </w:p>
    <w:p w14:paraId="0F2501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1950 г. двигателям ОКБ присвоено наименование «АЛ».</w:t>
      </w:r>
    </w:p>
    <w:p w14:paraId="19B366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Решением СМ СССР от 06.1950 г. ОКБ выдано задание на создание ТРД АЛ-5.</w:t>
      </w:r>
    </w:p>
    <w:p w14:paraId="1272B1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ПСМ № 355-161сс от 2.03.1954 г. начата разработка АЛ-7.</w:t>
      </w:r>
    </w:p>
    <w:p w14:paraId="551339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01.1955 г. вышло постановление правительства о создании филиала ОКБ в Тураево (далее - Лыткаринский машиностроительный завод «Сатурн»), являвшегося испытательной базой ОКБ. В 1958 г. вступила в строй его первая очередь.</w:t>
      </w:r>
    </w:p>
    <w:p w14:paraId="5D96BE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1959 г. начались работы по ЖРД. В 1960 г. поручена разработка ЖРД 11Д54 для 3-й ступени РН Н-1, затем проект трансформирован в 11Д57.</w:t>
      </w:r>
    </w:p>
    <w:p w14:paraId="7B1880EE" w14:textId="401EB196"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1950-х</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начаты работы по созданию атомного двигателя (ЯСУ), для этого было организовано КБ-2, в его составе - специальная бригада.</w:t>
      </w:r>
    </w:p>
    <w:p w14:paraId="761731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1965 г. КБ переехало в новое здание.</w:t>
      </w:r>
    </w:p>
    <w:p w14:paraId="72D7E16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ПСМ от 08.1965 г. начата разработка двигателя 3-го поколения - АЛ-21Ф (изд. «85»), 1-й экземпляр собран в 09.1966 г. В 1970 г. создан АЛ-21Ф-3, по решению ВПК от 09.1970 г. и пр. от 28.09.1970 г. его необходимо было представить на госиспытания в 4-м квартале 1970 г.</w:t>
      </w:r>
    </w:p>
    <w:p w14:paraId="5EEF0641" w14:textId="459A46A3"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1960-е</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 xml:space="preserve">г. разрабатывался воздушно-водородный двигатель </w:t>
      </w:r>
      <w:r w:rsidRPr="005E779E">
        <w:rPr>
          <w:rFonts w:ascii="Times New Roman" w:hAnsi="Times New Roman"/>
          <w:color w:val="000000" w:themeColor="text1"/>
          <w:sz w:val="16"/>
          <w:szCs w:val="16"/>
          <w:lang w:val="en-US"/>
        </w:rPr>
        <w:t>AJI</w:t>
      </w:r>
      <w:r w:rsidRPr="005E779E">
        <w:rPr>
          <w:rFonts w:ascii="Times New Roman" w:hAnsi="Times New Roman"/>
          <w:color w:val="000000" w:themeColor="text1"/>
          <w:sz w:val="16"/>
          <w:szCs w:val="16"/>
        </w:rPr>
        <w:t xml:space="preserve">-51 для самолета-разгонщика ЭПОС «Спираль», в 1976 г. работы прекращены. С 1981 г. начато создание автономных источников энергии - двигателей для системы «Энергия-Буран», а также посадочных двигателей для ОК «Буран» на базе </w:t>
      </w:r>
      <w:r w:rsidRPr="005E779E">
        <w:rPr>
          <w:rFonts w:ascii="Times New Roman" w:hAnsi="Times New Roman"/>
          <w:color w:val="000000" w:themeColor="text1"/>
          <w:sz w:val="16"/>
          <w:szCs w:val="16"/>
          <w:lang w:val="en-US"/>
        </w:rPr>
        <w:t>AJI</w:t>
      </w:r>
      <w:r w:rsidRPr="005E779E">
        <w:rPr>
          <w:rFonts w:ascii="Times New Roman" w:hAnsi="Times New Roman"/>
          <w:color w:val="000000" w:themeColor="text1"/>
          <w:sz w:val="16"/>
          <w:szCs w:val="16"/>
        </w:rPr>
        <w:t>-31.</w:t>
      </w:r>
    </w:p>
    <w:p w14:paraId="12CFE3BA" w14:textId="4568B1F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1972 г. начаты работы по АЛ-31Ф, они утверждены Пост. СМ СССР в 1976 г. По приказу МАП № 134 от 10.04.1978 г. начата разработка модификации АЛ-31ФВ. С 1984 г. ресурс АЛ-31Ф увеличен со 100 ч до 1000 ч. 31.03.1992 г. подписан контракт на разработку АЛ-31ФН для Китая. В 2000-е</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создан модернизированный вариант АЛ-31Ф (изд. 99М1).</w:t>
      </w:r>
    </w:p>
    <w:p w14:paraId="4C6010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1981 г. начаты работы по двигателю 5-го поколения «изд. 20» (АЛ-41Ф) для МФИ, проект завершен в 1984 г. С 1988 г. до 2006 г. в ОКБ собрано 27 двигателей.</w:t>
      </w:r>
      <w:r w:rsidRPr="005E779E">
        <w:rPr>
          <w:rFonts w:ascii="Times New Roman" w:hAnsi="Times New Roman"/>
          <w:color w:val="000000" w:themeColor="text1"/>
          <w:sz w:val="16"/>
          <w:szCs w:val="16"/>
          <w:vertAlign w:val="superscript"/>
        </w:rPr>
        <w:t>140</w:t>
      </w:r>
    </w:p>
    <w:p w14:paraId="1C6854C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 от 19.04.1989 г. начаты работы по созданию агрегатов и машин для консервной промышленности. С 1993 г. - работы (совместно с МНПО «Спектр») по дефектоскопу-снаряду для подземных трубопроводов «КОД- 4М».</w:t>
      </w:r>
    </w:p>
    <w:p w14:paraId="698948C8" w14:textId="3CC2AB24"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1990-е</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на базе Краснотурьинского ПТП Тюменьтрансгаза создан центр диагностики и восстановительного ремонта стационарных газотурбинных приводов АЛ-31СТ.</w:t>
      </w:r>
    </w:p>
    <w:p w14:paraId="52BA0F79" w14:textId="28554F75"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1990-е</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создано совместное предприятие с швейцарско-шведской фирмой «АВВ». В 2000 г. создана Дирекция лицензионных программ.</w:t>
      </w:r>
    </w:p>
    <w:p w14:paraId="46F08799" w14:textId="0E11ED40"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2000-е</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 xml:space="preserve">г. продолжались работы по двигателю следующего поколения АЛ-41Ф и АЛ-31ФП с поворотным соплом; двигателя </w:t>
      </w:r>
      <w:r w:rsidRPr="005E779E">
        <w:rPr>
          <w:rFonts w:ascii="Times New Roman" w:hAnsi="Times New Roman"/>
          <w:color w:val="000000" w:themeColor="text1"/>
          <w:sz w:val="16"/>
          <w:szCs w:val="16"/>
          <w:lang w:val="en-US"/>
        </w:rPr>
        <w:t>SaM</w:t>
      </w:r>
      <w:r w:rsidRPr="005E779E">
        <w:rPr>
          <w:rFonts w:ascii="Times New Roman" w:hAnsi="Times New Roman"/>
          <w:color w:val="000000" w:themeColor="text1"/>
          <w:sz w:val="16"/>
          <w:szCs w:val="16"/>
        </w:rPr>
        <w:t xml:space="preserve"> 146 для </w:t>
      </w:r>
      <w:r w:rsidRPr="005E779E">
        <w:rPr>
          <w:rFonts w:ascii="Times New Roman" w:hAnsi="Times New Roman"/>
          <w:color w:val="000000" w:themeColor="text1"/>
          <w:sz w:val="16"/>
          <w:szCs w:val="16"/>
          <w:lang w:val="en-US"/>
        </w:rPr>
        <w:t>RRJ</w:t>
      </w:r>
      <w:r w:rsidRPr="005E779E">
        <w:rPr>
          <w:rFonts w:ascii="Times New Roman" w:hAnsi="Times New Roman"/>
          <w:color w:val="000000" w:themeColor="text1"/>
          <w:sz w:val="16"/>
          <w:szCs w:val="16"/>
        </w:rPr>
        <w:t xml:space="preserve">.20. В 2006 г. построено 5 экспериментальных образцов двигателя V поколения (тема «117С», совместно с УМПО). В 06.2006 г. построен 1-й </w:t>
      </w:r>
      <w:r w:rsidRPr="005E779E">
        <w:rPr>
          <w:rFonts w:ascii="Times New Roman" w:hAnsi="Times New Roman"/>
          <w:color w:val="000000" w:themeColor="text1"/>
          <w:sz w:val="16"/>
          <w:szCs w:val="16"/>
          <w:lang w:val="en-US"/>
        </w:rPr>
        <w:t>SaM</w:t>
      </w:r>
      <w:r w:rsidRPr="005E779E">
        <w:rPr>
          <w:rFonts w:ascii="Times New Roman" w:hAnsi="Times New Roman"/>
          <w:color w:val="000000" w:themeColor="text1"/>
          <w:sz w:val="16"/>
          <w:szCs w:val="16"/>
        </w:rPr>
        <w:t xml:space="preserve"> 146. В 12.2006 г. пнв АЛ-31ФМ1 (АЛ-31Ф серии 42). Затем создан АЛ-31ФМ2 с улучшенной геометрией турбины и новым поворотным соплом. В 2007 г. создан также АЛ-31ФМЗ-1 с новой камерой сгорания с «двойной стенкой».</w:t>
      </w:r>
    </w:p>
    <w:p w14:paraId="148ECE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2006 г. заключен контракт на изготовление 200 малоразмерных ТРДД-50МТ для индийского БПЛА </w:t>
      </w:r>
      <w:r w:rsidRPr="005E779E">
        <w:rPr>
          <w:rFonts w:ascii="Times New Roman" w:hAnsi="Times New Roman"/>
          <w:color w:val="000000" w:themeColor="text1"/>
          <w:sz w:val="16"/>
          <w:szCs w:val="16"/>
          <w:lang w:val="en-US"/>
        </w:rPr>
        <w:t>Lakshya</w:t>
      </w:r>
      <w:r w:rsidRPr="005E779E">
        <w:rPr>
          <w:rFonts w:ascii="Times New Roman" w:hAnsi="Times New Roman"/>
          <w:color w:val="000000" w:themeColor="text1"/>
          <w:sz w:val="16"/>
          <w:szCs w:val="16"/>
        </w:rPr>
        <w:t>.</w:t>
      </w:r>
    </w:p>
    <w:p w14:paraId="45A710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1963 г. получил название Государственный объединенный завод № 165 ГКАТ. С 1.01.1967 г. - ММЗ «Сатурн». С 6.05.1982 г. - НПО «Сатурн», в него вошли: ММЗ «Сатурн», Лыткаринский МЗ «Сатурн», МКБ «Гранит» и УКБМ. С 25.07.1984 г. - НПО «Сатурн» им. </w:t>
      </w:r>
      <w:r w:rsidRPr="005E779E">
        <w:rPr>
          <w:rFonts w:ascii="Times New Roman" w:hAnsi="Times New Roman"/>
          <w:color w:val="000000" w:themeColor="text1"/>
          <w:sz w:val="16"/>
          <w:szCs w:val="16"/>
          <w:lang w:val="en-US"/>
        </w:rPr>
        <w:t>A</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M</w:t>
      </w:r>
      <w:r w:rsidRPr="005E779E">
        <w:rPr>
          <w:rFonts w:ascii="Times New Roman" w:hAnsi="Times New Roman"/>
          <w:color w:val="000000" w:themeColor="text1"/>
          <w:sz w:val="16"/>
          <w:szCs w:val="16"/>
        </w:rPr>
        <w:t xml:space="preserve">. Люльки МАП. С 13.12.1993 г. - АООТ, затем - ОАО «А. Люлька-Сатурн». 5.07.2001 г. образовано ОАО «НПО «Сатурн» путем слияния ОКБ «Люлька-Сатурн» и «Рыбинских моторов». ОКБ преобразовано в НТЦ им. </w:t>
      </w:r>
      <w:r w:rsidRPr="005E779E">
        <w:rPr>
          <w:rFonts w:ascii="Times New Roman" w:hAnsi="Times New Roman"/>
          <w:color w:val="000000" w:themeColor="text1"/>
          <w:sz w:val="16"/>
          <w:szCs w:val="16"/>
          <w:lang w:val="en-US"/>
        </w:rPr>
        <w:t>A</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M</w:t>
      </w:r>
      <w:r w:rsidRPr="005E779E">
        <w:rPr>
          <w:rFonts w:ascii="Times New Roman" w:hAnsi="Times New Roman"/>
          <w:color w:val="000000" w:themeColor="text1"/>
          <w:sz w:val="16"/>
          <w:szCs w:val="16"/>
        </w:rPr>
        <w:t>. Люльки. По решению правительства № 22-р от 9.01.2004 г. и Указу Президента РФ № 1009 от 4.08.2004 г. ОАО «НПО «Сатурн» вошло в число стратегических оборонных предприятий.</w:t>
      </w:r>
    </w:p>
    <w:p w14:paraId="353E78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Численность персонала (1941 г.)- более 2000 чел.</w:t>
      </w:r>
    </w:p>
    <w:p w14:paraId="38A94E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Директор (1942-12.1944-; 25.04.1946 г.-)- Ю.А. Мизюров, (05.1945 г.)- Бугров, (1954-77 г.)- А.А. Завитаев, (1977- 93 г.)- </w:t>
      </w:r>
      <w:r w:rsidRPr="005E779E">
        <w:rPr>
          <w:rFonts w:ascii="Times New Roman" w:hAnsi="Times New Roman"/>
          <w:color w:val="000000" w:themeColor="text1"/>
          <w:sz w:val="16"/>
          <w:szCs w:val="16"/>
          <w:lang w:val="en-US"/>
        </w:rPr>
        <w:t>A</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M</w:t>
      </w:r>
      <w:r w:rsidRPr="005E779E">
        <w:rPr>
          <w:rFonts w:ascii="Times New Roman" w:hAnsi="Times New Roman"/>
          <w:color w:val="000000" w:themeColor="text1"/>
          <w:sz w:val="16"/>
          <w:szCs w:val="16"/>
        </w:rPr>
        <w:t>. Хартов.</w:t>
      </w:r>
      <w:r w:rsidRPr="005E779E">
        <w:rPr>
          <w:rFonts w:ascii="Times New Roman" w:hAnsi="Times New Roman"/>
          <w:color w:val="000000" w:themeColor="text1"/>
          <w:sz w:val="16"/>
          <w:szCs w:val="16"/>
          <w:vertAlign w:val="superscript"/>
        </w:rPr>
        <w:t>68</w:t>
      </w:r>
      <w:r w:rsidRPr="005E779E">
        <w:rPr>
          <w:rFonts w:ascii="Times New Roman" w:hAnsi="Times New Roman"/>
          <w:color w:val="000000" w:themeColor="text1"/>
          <w:sz w:val="16"/>
          <w:szCs w:val="16"/>
        </w:rPr>
        <w:t xml:space="preserve"> Гендиректор (-1998-2002 г.-)- В.М. Чепкин, В.А. Лебедев.</w:t>
      </w:r>
    </w:p>
    <w:p w14:paraId="5230D9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Ответственный руководитель (25.04.1946 г.-)- </w:t>
      </w:r>
      <w:r w:rsidRPr="005E779E">
        <w:rPr>
          <w:rFonts w:ascii="Times New Roman" w:hAnsi="Times New Roman"/>
          <w:color w:val="000000" w:themeColor="text1"/>
          <w:sz w:val="16"/>
          <w:szCs w:val="16"/>
          <w:lang w:val="en-US"/>
        </w:rPr>
        <w:t>A</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M</w:t>
      </w:r>
      <w:r w:rsidRPr="005E779E">
        <w:rPr>
          <w:rFonts w:ascii="Times New Roman" w:hAnsi="Times New Roman"/>
          <w:color w:val="000000" w:themeColor="text1"/>
          <w:sz w:val="16"/>
          <w:szCs w:val="16"/>
        </w:rPr>
        <w:t>. Люлька.</w:t>
      </w:r>
    </w:p>
    <w:p w14:paraId="37240D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1-й зам. гендиректора (-2000-02 г.-)- В.А. Лебедев, (-2002-07 г.-)- Е.Ю. Марчуков; по НИОКР/ председатель НТС (2003-04 г.-)- В.М. Чепкин. Зам. гендиректора (2006 г.)- С. Чуклинов.</w:t>
      </w:r>
    </w:p>
    <w:p w14:paraId="7D1ECD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Гл. конструктор (25.04.1946-56 г.)- </w:t>
      </w:r>
      <w:r w:rsidRPr="005E779E">
        <w:rPr>
          <w:rFonts w:ascii="Times New Roman" w:hAnsi="Times New Roman"/>
          <w:color w:val="000000" w:themeColor="text1"/>
          <w:sz w:val="16"/>
          <w:szCs w:val="16"/>
          <w:lang w:val="en-US"/>
        </w:rPr>
        <w:t>A</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M</w:t>
      </w:r>
      <w:r w:rsidRPr="005E779E">
        <w:rPr>
          <w:rFonts w:ascii="Times New Roman" w:hAnsi="Times New Roman"/>
          <w:color w:val="000000" w:themeColor="text1"/>
          <w:sz w:val="16"/>
          <w:szCs w:val="16"/>
        </w:rPr>
        <w:t xml:space="preserve">. Люлька. Ген. конструктор (12.1956-84 г.)- академик (1968 г.) </w:t>
      </w:r>
      <w:r w:rsidRPr="005E779E">
        <w:rPr>
          <w:rFonts w:ascii="Times New Roman" w:hAnsi="Times New Roman"/>
          <w:color w:val="000000" w:themeColor="text1"/>
          <w:sz w:val="16"/>
          <w:szCs w:val="16"/>
          <w:lang w:val="en-US"/>
        </w:rPr>
        <w:t>A</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M</w:t>
      </w:r>
      <w:r w:rsidRPr="005E779E">
        <w:rPr>
          <w:rFonts w:ascii="Times New Roman" w:hAnsi="Times New Roman"/>
          <w:color w:val="000000" w:themeColor="text1"/>
          <w:sz w:val="16"/>
          <w:szCs w:val="16"/>
        </w:rPr>
        <w:t>. Люлька {23.03.1908-1.06.1984 г.}; и.о. (-03-08.1984 г.)- Ю.П. Марчуков; (08.1984-2003 г.)- В.М. Чепкин {20.09.1933- }, (2003 г.-)- М.Л. Кузменко.</w:t>
      </w:r>
    </w:p>
    <w:p w14:paraId="21C5B1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1-й зам. гл., ген. конструктора (1946 г.-)- Э.Э. Лусс, (1960-е)- Ю.Н. Бытев, (1996 г.-)- Е.Ю. Марчуков, (2000 г.)- Ю.П. Марчуков. Зам. гл., ген. конструктора: по атомной тематике (1959 г.)- А.А. Иевлев, по перспективным темам и атомной тематике (1960-е-72 г.-)- А.В. Воронцов (АЛ-31Ф); по стендовым и летным испытаниям (-1976-78 г.-)- Ю.Н. Бытев; И.И. Жуков, (1946-57 г.-)- Э.Э. Лусс, (1946-51 г.-)- И.Ф. Козлов, (-1973-78 г.-)- СЛ. Кувшинников, (-1973-78 г.-&gt;</w:t>
      </w:r>
      <w:r w:rsidRPr="005E779E">
        <w:rPr>
          <w:rFonts w:ascii="Times New Roman" w:hAnsi="Times New Roman"/>
          <w:color w:val="000000" w:themeColor="text1"/>
          <w:sz w:val="16"/>
          <w:szCs w:val="16"/>
          <w:lang w:val="en-US"/>
        </w:rPr>
        <w:t>A</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M</w:t>
      </w:r>
      <w:r w:rsidRPr="005E779E">
        <w:rPr>
          <w:rFonts w:ascii="Times New Roman" w:hAnsi="Times New Roman"/>
          <w:color w:val="000000" w:themeColor="text1"/>
          <w:sz w:val="16"/>
          <w:szCs w:val="16"/>
        </w:rPr>
        <w:t>. Хартов, (1978 г.)- В.К. Кобченко, (1978 г.)- В.А. Горелов, (1997-98 г.)- М.Л. Кузменко, Е.Ю. Марчуков.</w:t>
      </w:r>
    </w:p>
    <w:p w14:paraId="3842EF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Управляющий директор (2002 г.)- В.А. Лебедев. Директор Дирекции лицензионных программ (2000 г.-)- О.Е. Хлыстова, (2000-е)- В.А. Борисков. Технический директор Дирекции лицензионных программ (2000 г.-)- В.М. Беркович.</w:t>
      </w:r>
    </w:p>
    <w:p w14:paraId="7AF63548" w14:textId="5B1EB5B1"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инженер (1980-е)-</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Г.И. Зуев.</w:t>
      </w:r>
    </w:p>
    <w:p w14:paraId="5266F2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 производства- А.В. Чуркин (около 20 лет).</w:t>
      </w:r>
    </w:p>
    <w:p w14:paraId="527704D8" w14:textId="1348E926"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конструкторы: (1957-76 г.)- Э.Э. Лусс, (1960-е</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Ю.Н. Бытев (АЛ-21Ф-3), (1964 г.-)- М.А. Кузьмин (11Д57), (1978-96 г.)- Ю.П. Марчуков (Р1БД-14, ТП-22), (1980-е)- М.М. Гойхенберг, (-1992-94 г.-)- А.В. Андреев (11Д57, АЛ-31Ф, -31ФН, -31ФУ, -31ФП); по перспективным разработкам (1982 г.-)- К.Р. Хачатуров, (2003 г.)- М.М. Гойхенберг; (1983-87 г.)- В.К. Кобченко (АЛ-31Ф), (1990-е-2002г-.)- А.И. Волков (АЛ-31ФП, АЛ-55), (-2002- 07 г.-)- Е.Ю. Марчуков, В.М. Андриенко (АЛ-55И), В.В. Кирюхин, М.М. Костюченко (САР), (1990-е)- В.В. Куприк (наземная тематика), В.И. Федюкин (автоматика).</w:t>
      </w:r>
    </w:p>
    <w:p w14:paraId="3B01C4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гл. конструкторов: по САР, летным испытаниям и эксплуатации (1978-98 г.-)- М.М. Костюченко; по испытаниям (1980-е)- Е.Ю. Марчуков; по эксплуатации (1980-е)- В.В. Кирюхин, (2000-е)- Е.В. Балуков; (1994 г.)- А.И. Волков (АЛ-31ФП), М.Ф. Вольман, О.Н. Кошиц, (1980-е)- Н.М. Мэнн, (1990-е)- К.Ю. Сорокин.</w:t>
      </w:r>
    </w:p>
    <w:p w14:paraId="4DCB5B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Начальники цехов: Н.Н. Якунин.</w:t>
      </w:r>
    </w:p>
    <w:p w14:paraId="0D7D49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 отдела внешних связей и протокола (2002 г.)- В. Г. Нестеров.</w:t>
      </w:r>
    </w:p>
    <w:p w14:paraId="1A6FA16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Начальники бригад: (2006 г.)- Н.В. Кикоть.</w:t>
      </w:r>
    </w:p>
    <w:p w14:paraId="479074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Начальники лабораторий: (1970-е)- А.Ф. Кричигина.</w:t>
      </w:r>
    </w:p>
    <w:p w14:paraId="0BC557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Создано: авиационные ГТД: ТР-1 (1947), ТР-2 (1948), ТР-3 (1948), АЛ-5 (1947-52), экспериментальный «ЭА» (1948), АЛ-7 (1953-56), АЛ-7Ф-1 (1960), АЛ-7Ф-2 (1963), АЛ-21Ф (изд. «85», 1965-70), АЛ-21Ф-2 (изд. « 87»), АЛ-21Ф-3 (изд. «89», 1970), АЛ-31Ф (изд. «99», 1976-85), изд. «12» и «12ф» на базе АЛ-31Ф для аналога ОК «Буран» (1980-е), АЛ-31ФП с поворотным соплом (1989), АЛ-31ФН для Китая (1998), ТВД АЛ-34-1 (1990-е), АЛ- 35, АЛ-37, АЛ-41Ф (изд. «20»), изд. «117А» на базе АЛ-41Ф (2002), изд. «117С» на базе АЛ-31Ф (2006), АЛ-55 (2004), АЛ-55И для Индии (2005); «36», «36МТ» для БПЛА; для надводных кораблей ВМФ М75РУ (2006), М70ФРУ (2007), М90ФР (совместно с «Зоря-Машпроект»); турбостартеры ТС-17 (1949), ТС-19, ТС-20 (1955), ТС- 21, ТС-31М; ЖРД: 11Д54, Д-57 (11Д57) (1959-75) для ракеты Н-1, Д-57М (11Д57М) для РН «Вулкан» (1976); источник питания 5И43 (1958-65) для ЗУР; морской ТВД МТВД-79 (1964-67) для ПЛ авиационной торпеды; АЛ- 51 для ЭПОС (проект, 1976); ракетно-турбовальный двигатель РТВД-14 (изд. «14», 1981-88), его модификация- турбопривод ТП-22 для «Энергия-Буран» («22»); ГДТ для газоперекачивающих станций АЛ-31СТ (1992-94), для электростанций АЛ-31СТЭ (2003);</w:t>
      </w:r>
      <w:r w:rsidRPr="005E779E">
        <w:rPr>
          <w:rFonts w:ascii="Times New Roman" w:hAnsi="Times New Roman"/>
          <w:color w:val="000000" w:themeColor="text1"/>
          <w:sz w:val="16"/>
          <w:szCs w:val="16"/>
          <w:vertAlign w:val="superscript"/>
        </w:rPr>
        <w:t>68</w:t>
      </w:r>
      <w:r w:rsidRPr="005E779E">
        <w:rPr>
          <w:rFonts w:ascii="Times New Roman" w:hAnsi="Times New Roman"/>
          <w:color w:val="000000" w:themeColor="text1"/>
          <w:sz w:val="16"/>
          <w:szCs w:val="16"/>
        </w:rPr>
        <w:t xml:space="preserve"> проекты: ЯСУ РД-А для М-30 (1950-е), открытого типа ТРДА ПАС для М-60 (1955)</w:t>
      </w:r>
      <w:r w:rsidRPr="005E779E">
        <w:rPr>
          <w:rFonts w:ascii="Times New Roman" w:hAnsi="Times New Roman"/>
          <w:color w:val="000000" w:themeColor="text1"/>
          <w:sz w:val="16"/>
          <w:szCs w:val="16"/>
          <w:vertAlign w:val="superscript"/>
        </w:rPr>
        <w:t>93</w:t>
      </w:r>
      <w:r w:rsidRPr="005E779E">
        <w:rPr>
          <w:rFonts w:ascii="Times New Roman" w:hAnsi="Times New Roman"/>
          <w:color w:val="000000" w:themeColor="text1"/>
          <w:sz w:val="16"/>
          <w:szCs w:val="16"/>
        </w:rPr>
        <w:t>; дизель СН-6Д 6 л.с. (1986-91); стоматологические электровакуумные печи МТ, МТ-2000, «Русь» (1987- 91); горелка для воздушного шара «Вега-2» (1990-е); дефектоскоп-снаряд «КОД-4М» (1993-98) (11982).</w:t>
      </w:r>
    </w:p>
    <w:p w14:paraId="2CB9FC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628D1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начал строиться Уфимский моторный завод НКСМ по производству дизельных двигателей для комбайнов (ГС Завод № 384 НКАП, Уфимский моторный завод НКСМ /г. Уфа/). В 1935 г. собраны первые 10 моторов. 29.06.1940 г. было принято решение о перепрофилировании завода на выпуск авиационных моторов М-88, 22.08.1940 г. решение изменено в пользу М-105. На 1940 г. утвержден план по выпуску 20 моторов, на 1941 г. - 1000 шт., с 1942 г. планировалось выйти на проектную мощность в 2500 шт. в год. По приказу № 464с/206с от 4.09.1940 г. завод передан из НКСМ в ЗГУ НКАП и получил наименование ГС Завод № 384. В том же году введен в эксплуатацию по новому профилю. Для освоения новой продукции с завода № 26 направлена группа специалистов во главе с гл. технологом А.Т. Кладовщиковым. В 1941 г. освоено производство М-105Р и М-105П, до начала войны выпущено 675 моторов.</w:t>
      </w:r>
    </w:p>
    <w:p w14:paraId="16FA5806" w14:textId="7C10B1ED"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1941 г. в</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 xml:space="preserve">г.Уфу на площадку завода № 384 НКАП эвакуированно ОКБ завода № 26 </w:t>
      </w:r>
      <w:r w:rsidRPr="005E779E">
        <w:rPr>
          <w:rFonts w:ascii="Times New Roman" w:hAnsi="Times New Roman"/>
          <w:color w:val="000000" w:themeColor="text1"/>
          <w:sz w:val="16"/>
          <w:szCs w:val="16"/>
          <w:lang w:val="en-US"/>
        </w:rPr>
        <w:t>HKA</w:t>
      </w:r>
      <w:r w:rsidRPr="005E779E">
        <w:rPr>
          <w:rFonts w:ascii="Times New Roman" w:hAnsi="Times New Roman"/>
          <w:color w:val="000000" w:themeColor="text1"/>
          <w:sz w:val="16"/>
          <w:szCs w:val="16"/>
        </w:rPr>
        <w:t>П гл. конструктора В .Я. Климова. Работы по авиамоторам М-100, М-101, М-103, М-105Ф, ВК-105, М-106, М-107, ВК-107, М-120.</w:t>
      </w:r>
    </w:p>
    <w:p w14:paraId="1D0F91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приказам № 652сс от 9.07.1941 г. и № 729сс от 22.07.1941 г. на площадку завода № 384 эвакуированы из Ленинграда заводы № 234 и № 451 НКАП. Далее по приказу № 824сс от 8.08.1941 г. заводы № 234, № 451, № 338 и № 384 со всем оборудованием и личным составом объединены в один завод, получивший название завод № 384 ЗГУ НКАП. В конце 1941 г. выпускались детали корпусов для снарядов М-8 и М-13.</w:t>
      </w:r>
    </w:p>
    <w:p w14:paraId="795F2B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Затем на площадку завода № 384 эвакуирован завод № 26 НКАП с опытным производством. Далее заводы № 26, № 384 и № 282 НКАП были слиты в единый завод № 26 НКАП, расположившийся на площадках заводов № 384, №338 и №282.</w:t>
      </w:r>
    </w:p>
    <w:p w14:paraId="5308995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началом ВОВ на площадку завода № 384 НКАП эвакуировано ОКБ завода № 16 НКАП (приказ № 1057сс от 10.10.1941 г.). Здесь на базе ОКБ и его опытного производства (эвакуированного по приказу № 1053сс от 9.10.1941 г. на площадку протезного завода) к 11.1941 г. образовано самостоятельное ОКБ-250 НКАП под руководством В.А. Добрынина. Кроме того, в 1941 г. в Уфу на площадку завода № 384 должен был быть эвакуирован завод № 291 НКАП (эвакуирован на площадку Завода горного оборудования) и влит в его состав. Также по приказу № 1053сс от 9.10.1941 г. на площадку литейного цеха завода № 384 должно было эвакуироваться оборудование и личный состав завода № 219 9ГУ НКАП (эвакуирован частично, часть- на площадку завода № 338). На площадку завода № 384 эвакуированы также Опытный завод и производственные лаборатории ЦИАТИМ НКАП и стройтрест № 11 НКАП.</w:t>
      </w:r>
    </w:p>
    <w:p w14:paraId="0BEF94C5" w14:textId="7AB94179"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(10.1940-08.1941 г.)-</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Г.Д. Брусникин, (08.1941 г.-&gt; В.П. Баландин (11982).</w:t>
      </w:r>
    </w:p>
    <w:p w14:paraId="012B0E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BCCA3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году Ст. инспектор ТЭИ по самолетам Войткевич подписал Указание ТЭИ по окраске металлических самолетов</w:t>
      </w:r>
    </w:p>
    <w:p w14:paraId="249812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Для окраски как деревянных, так и металлических самолетов завод N 36 изготовляет следующие стандартные краски, которые маркируются: "Масляная защитная краска" и "Масляная серая краска". Как уже отмечалось циркуляром ТЭИ N 436 с от 4 июля 1929 года эти краски оказываются более действительными, нежели защитный лак "Дюраль".</w:t>
      </w:r>
    </w:p>
    <w:p w14:paraId="79098EC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Завод N 36 рекомендует окраску металлических (дюраль и кольчуг алюминиевых) самолетов производить в следующем порядке:</w:t>
      </w:r>
    </w:p>
    <w:p w14:paraId="7EB7A5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 В малярных мастерских температура должна быть не ниже 20 градусов.</w:t>
      </w:r>
    </w:p>
    <w:p w14:paraId="664BD9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Важно, чтобы самолет до окраски пробыл 3-5 дней в данном помещении (температуре).</w:t>
      </w:r>
    </w:p>
    <w:p w14:paraId="06D390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2. Предназначенные к работе краски должны быть внесены заблаговременно и не позднее, чем за 12 час. до начала работ в помещение малярной, дабы краски приняли температуру помещения.</w:t>
      </w:r>
    </w:p>
    <w:p w14:paraId="7D64462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К окраске металла надлежит приступить лишь после окончательного высыхания предварительно нанесенного на металл защитного масляного лака "Дюраль".</w:t>
      </w:r>
    </w:p>
    <w:p w14:paraId="0AE509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До нанесения краски на лакированный металл поверхность его должна быть тщательно протерта сухими чистыми ветошью или тряпками.</w:t>
      </w:r>
    </w:p>
    <w:p w14:paraId="0FBAEA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Для промывания кистей и т.п. нужно пользоваться чистым скипидаром.</w:t>
      </w:r>
    </w:p>
    <w:p w14:paraId="10CB66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 Кисти мягкие щетинные, длина щетины не более 3 см.</w:t>
      </w:r>
    </w:p>
    <w:p w14:paraId="6639EE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Краски выпускаются с завода в виде краски средней густоты; для разжижения таковых надлежит пользоваться разжижителем, состоящим из смеси льняной олифы (2 части), светлого скипидара (3 части) и сиккатива (1/8 части).</w:t>
      </w:r>
    </w:p>
    <w:p w14:paraId="57820C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9. Краску наносят тонкими слоями 2 раза, второй раз после полного высыхания первого слоя.</w:t>
      </w:r>
    </w:p>
    <w:p w14:paraId="3327D8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Покрытие дюр и кольчугалюминиевых самолетов масляным предохранительным лаком "Л-Д-М", также изготавливаемым заводом N 36.</w:t>
      </w:r>
    </w:p>
    <w:p w14:paraId="1A9B6D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 Предназначенный к лакировке металл должен быть тщательно очищен до полного удаления с его поверхности остатков масла, жира, вазелина, грязи и пыли, для чего надлежит тщательно обмыть поверхность бензином 1-го сорта с добавкой 10-15% светлого скипидара и вытереть металл чистой сухой ветошью или тряпками.</w:t>
      </w:r>
    </w:p>
    <w:p w14:paraId="57C705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массового производства лучшим способом обезжиривания металла является предварительное протирание металла чистыми мягкими тряпками и последующее окунание на время не менее 3 минут в ванну с бензином 1-го сорта, к которому может быть подмешан светлый скипидар в количестве 10-15%.</w:t>
      </w:r>
    </w:p>
    <w:p w14:paraId="0930B7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5. Кисти мягкие щетинные с оставлением свободной щетины не более 8 см.</w:t>
      </w:r>
    </w:p>
    <w:p w14:paraId="2CF9AF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7. Лак поставляется в готовом виде и не требует добавления каких-либо разжижителей.</w:t>
      </w:r>
    </w:p>
    <w:p w14:paraId="01D593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8. О назначении лака для того или иного способа применения (кистью, пульверизатором или окунанием) указывается на ярлыке, наклеенном на каждом месте тары и применение лака для другого метода работ не допустимо.</w:t>
      </w:r>
    </w:p>
    <w:p w14:paraId="798103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4. При перекраске самолета заново, предварительно надо удалить старую окраску и лакировку, для чего применяется "смывка-дюраль" изготовления завода N 36, действие которой обуславливается нагревом ее до 30-32 градусов.</w:t>
      </w:r>
    </w:p>
    <w:p w14:paraId="6562FD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крайних случаях можно составить смывку из денатурата и скипидара, смешанных в разной пропорции (3232,146-149).</w:t>
      </w:r>
    </w:p>
    <w:p w14:paraId="21B67F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134A24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институт «Ленгинцветмет» (Институт «Ленгинцветмет», НИИ легких металлов «НИИ Алюминий» НКТП, Государственный Всесоюзный институт по легким сплавам, НИИ Алюминиевой промышленности (НИИСалюминий) /г. Ленинград/), созданный в 1930, по инициативе А.Н. Кузнецова он преобразован в НИИ легких металлов «НИИАлюминий» (назывался так по 1935г.). В 1963г. он объединен с Гипроалюминием в ВАМИ.</w:t>
      </w:r>
    </w:p>
    <w:p w14:paraId="0B439E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1931-31 г. в подчинении института - Опытные алюминиевый и магниевый заводы.</w:t>
      </w:r>
    </w:p>
    <w:p w14:paraId="3C1D7F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директора по научной части (1931-34г.)- А.Н. Кузнецов (11982).</w:t>
      </w:r>
    </w:p>
    <w:p w14:paraId="52BA48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F71DFB7" w14:textId="34C26F80"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 1931 или 1933 образован НИИ-25 МАП, НИИ приборостроения (НИИП), Государственный НИИ приборостроения (ГосНИИП), ФГУП «ГНИИП» /129226</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Москва пр. Мира, 125 тел. 181-16-38/. Далее находился в подчинении 17ГУ МАП. В 08.1957 г.- в ведении 4ГУ ГКАТ. Работы: по системе наведения «Горизонт-1 и -1В» (конец 1950-х); по аппаратуре РУ-6-2П для КР П-20 (1959 г.). 7.05.1955 г. вышло ПСМ № 897-536сс «Об изготовлении опытного комплекса аппаратуры системы «Горизонт». 31.05.1955 г. вышло новое постановление СМ СССР № 1062-612сс «О системе «Горизонт-1».</w:t>
      </w:r>
    </w:p>
    <w:p w14:paraId="5EA058F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1964 г. путем объединения НИИ-25 и ОКБ-12 (1-я ул. Ямского Поля) образовался НИИП, базирующийся на двух территориях.</w:t>
      </w:r>
    </w:p>
    <w:p w14:paraId="488265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Работы по системам управления и защиты АЭС и реакторов АПЛ (с 1953 г.).</w:t>
      </w:r>
    </w:p>
    <w:p w14:paraId="4D7A1B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Работы по комплексам проверки подготовки и пуска ракет, системам управления расходом топлива МБР, инерциальным системам управления, БЦВМ, АСУ двигателями.</w:t>
      </w:r>
    </w:p>
    <w:p w14:paraId="607A3494" w14:textId="7FC29332"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1980-х</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 работы по созданию бесплатформенных малогабаритных инерциальных навигационных систем управления (БИНСУ).</w:t>
      </w:r>
    </w:p>
    <w:p w14:paraId="4B3FFC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08.1992 г. в результате реорганизации НИИП территория на 1-й ул. Ямского Поля выделилась в самостоятельную организацию - Московское ОКБ «Система».</w:t>
      </w:r>
    </w:p>
    <w:p w14:paraId="70D0AD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2000 г. - Институт приборостроения. По Указу Президента РФ № 1009 от 4.08.2004 г. ФГУП вошло в перечень стратегических оборонных предприятий. Указом Президента в 02.2007 г. институт исключен из перечня стратегических предприятий. По Указу Президента РФ в 03.2007 г. включен в состав Концерна ПВО «Алмаз- Антей».</w:t>
      </w:r>
    </w:p>
    <w:p w14:paraId="1097B18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Разработка (2007 г.): комплексы бортового управления и навигации для управляемого оружия. Гл. конструктор (1956 г.)- Н.Д. Рязанцев, (1964-66 г.-)- А.С. Абрамов, (-2000-05 г.-)- Б.Н. Гаврилин {8.07.1939-}. Начальник- г-м Н.И. Петров, А.Ф. Фоломеев, (1964-66 г.-)- А.С. Абрамов. Директор (1992-2005 г.-)- Б.Н. Гаврилин.</w:t>
      </w:r>
    </w:p>
    <w:p w14:paraId="2682AC3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Директора по науке (2002 г.)- В.А. Мосяков.</w:t>
      </w:r>
      <w:r w:rsidRPr="005E779E">
        <w:rPr>
          <w:rFonts w:ascii="Times New Roman" w:hAnsi="Times New Roman"/>
          <w:color w:val="000000" w:themeColor="text1"/>
          <w:sz w:val="16"/>
          <w:szCs w:val="16"/>
          <w:vertAlign w:val="superscript"/>
        </w:rPr>
        <w:t>69</w:t>
      </w:r>
    </w:p>
    <w:p w14:paraId="7E156C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Создано: системы управления и защиты атомных реакторов: Обнинской АЭС, САУ-103, САУ-110, атомного ледокола «Ленин»; системы заправки и управления расходом топлива РН «Союз», «Протон»; системы управления ракетным двигателем разгонных блоков «Д» и «ДМ»; системы управления и контроля двигателей для Ту-4, Ту-22М, Ту-160, система управления центровкой Ту-160; сигнализатор обледенения ИСО-16 (применялся на самолетах Ил-62, Ил-76, Ил-86; системы управления для противолодочных ракет «Вьюга», «Ветер», «Водопад», ЗРК С-300В, ракет комплекса ПРО Москвы; БИНСУ АБ-72 для УРВВ РВВ-АЕ.</w:t>
      </w:r>
    </w:p>
    <w:p w14:paraId="16EF94DC" w14:textId="77777777" w:rsidR="00360440" w:rsidRPr="005E779E" w:rsidRDefault="00360440" w:rsidP="000B7A6C">
      <w:pPr>
        <w:autoSpaceDE w:val="0"/>
        <w:autoSpaceDN w:val="0"/>
        <w:adjustRightInd w:val="0"/>
        <w:spacing w:after="0" w:line="240" w:lineRule="auto"/>
        <w:jc w:val="both"/>
        <w:rPr>
          <w:rFonts w:ascii="Times New Roman" w:hAnsi="Times New Roman"/>
          <w:color w:val="000000" w:themeColor="text1"/>
          <w:sz w:val="16"/>
          <w:szCs w:val="16"/>
        </w:rPr>
      </w:pPr>
    </w:p>
    <w:p w14:paraId="002E7E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на базе Центральная лаборатория Треста точной механики, созданной в 1927, был организован Научно-Технический институт, далее переименованый в НИАГ. В соответствии с пост. СНК № 2139-425сс от 21.12.1936г. НИАГ передан в ведение НКОП и по пр. № Обсс от 30.12.1936г. переименован в НИИ-12. По пр. № 59 от 14.02.1937г. НИИ-12 передан в ведение ЮГУ НКОП (и на 12.1938г.). В 1939г. переименован в Институт авиационного приборостроения (НИИ-12 НКОП, НКАП, Научно-технический институт, Научный институт автоматики и гидравлики (НИАГ) НКТП, Институт авиационного приборостроения, НИИ самолетного оборудования (НИСО, НИИСО) НКАП, МАП /г. Москва Б. Кисельный пер., 4 (1940 г.); г. Ульяновск; г. Москва/).</w:t>
      </w:r>
    </w:p>
    <w:p w14:paraId="12AD94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Приказом № 00147 от 7.07.1937г. институту поручено, «учитывая исключительное оборонное значение электро-магнитно-механической трубки инженера Гнилосырова», к 1.09.1937г. отработать конструкцию трубки и прибор установки из кабины летчика к ней, изготовить 100 опытных трубок и 5 приборов для испытаний.</w:t>
      </w:r>
    </w:p>
    <w:p w14:paraId="281838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НКОП № 0196 от 8.09.1937г. институту передана тематика автопилотов, оборудование и часть коллектива ликвидируемого КБ-21 НКОП. Также институту передан опытный завод КБ-21 в Ленинграде, преобразованный в Экспериментальный завод по автопилотам, по пр. № 369 от 28.09.1938г. опытный завод преобразован в самостоятельный завод № 379 НКОП. На базе завода образован Ленинградский филиал НИИ-12. По приказу № 385с от 26.11.1939г. филиал передан в 11ГУ НКАП.</w:t>
      </w:r>
    </w:p>
    <w:p w14:paraId="44352F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1938г. создан прибор управления артогнем УО-37, для определения его возможностей по пр. НКОП/НКВМФ № 386с от 1/2.10.1938г. была создана комиссия.</w:t>
      </w:r>
    </w:p>
    <w:p w14:paraId="475D0D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Перед войной в институте работали группы по: аэронавигационным приборам, приборам автоматического управления, приборам контроля винтомоторных групп самолета, общему оборудованию самолетов, испытательным приборам, приборам аэродромных служб, теоретическому направлению, неавиационным приборам. Разрабатывались авиакомпасы, авиагоризонты, курсовые системы, манометры масла и бензина, топливоизмерительные приборы и др.</w:t>
      </w:r>
    </w:p>
    <w:p w14:paraId="57D246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Перед войной институт находился в подчинении 5ГУ НКАП.</w:t>
      </w:r>
    </w:p>
    <w:p w14:paraId="38E415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приказом № 1057сс от 10.10.1941 г. институт эвакуирован в Ульяновск на часть площадки строящегося завода № 280 НКАП. Исследования по авиаприборам.</w:t>
      </w:r>
    </w:p>
    <w:p w14:paraId="210BEE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площадке эвакуированного института организован ремонт гироприборов сначала при Главремуправлении. Приказом НКАП № 63с от 25.01.1941 г. мастерские переданы в 5ГУ. В соответствии с пост. ГКО № 4367с от 2.03.1941 г. и приказом № 177с от 8.03.1941 г. институт был возвращен из Ульяновска на старую площадку с оборудованием и личным составом, а ремонтные мастерские переведены на площадку эвакуированного завода № 214 НКАП (г. Москва).</w:t>
      </w:r>
    </w:p>
    <w:p w14:paraId="61CD72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НКАП № 608сс от 8.08.1941 г. на базе института, передаваемого из 5ГУ в 7ГУ, началось формирование специализированного НИИ по разработке и изготовлению опытных образцов и малых серий оборудования для самолетов с реактивными двигателями. Директором нового НИИ назначен Н.И. Петров. Однако, вскоре приказом № 888с от 15.12.1941 г. предыдущий приказ был отменен и была предусмотрена организация нового НИИ самолетного оборудования (НИСО) широкого профиля, директором которого остался Н.И. Петров.</w:t>
      </w:r>
    </w:p>
    <w:p w14:paraId="21B5EDF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 91с от 12.02.1943г. в НИСО была передана со всем личным составом и оборудованием лаборатория № 5 ЛИИ по испытательному оборудованию, возглавляемая С.И. Поповым.</w:t>
      </w:r>
    </w:p>
    <w:p w14:paraId="5B769A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Приказом № 277с от 7.05.1943г. для размещения НИСО были выделены помещения филиала завода № 482 НКАП, а старые помещения отданы в жилфонд НКАП.</w:t>
      </w:r>
    </w:p>
    <w:p w14:paraId="70228E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Приказом № 377с от 25.06.1943г. в НИСО в полном составе влито ОКБ завода № 456 НКАП гл. конструктора М.Ф. Поликарпова по антиобледенителям и аппаратуре обогрева и жизнеобеспечения кабин.</w:t>
      </w:r>
    </w:p>
    <w:p w14:paraId="78D00F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 579с от 1.10.1943г. при институте образована летная лаборатория с базированием на аэродроме завода № 482 НКАП на Ходынке. Далее в распоряжение НИСО была передана часть помещений завода № 81</w:t>
      </w:r>
    </w:p>
    <w:p w14:paraId="60E4F4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НКАП (два ангара на Ходынке), куда была переведена ЛИС НИСО (приказ № 494с от 21.12.1945г.). В 08.1946г. один ангар передан обратно вновь образованному заводу № 81 МАП.</w:t>
      </w:r>
    </w:p>
    <w:p w14:paraId="4A8935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1944г. создан универсальный регулятор температуры авиамоторов УРТ-НИСО.</w:t>
      </w:r>
    </w:p>
    <w:p w14:paraId="0CD383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Приказом № 179сс от 28.02.1946г. на НИСО возложены работы по широкому кругу оборудования: авиационным радио- и </w:t>
      </w:r>
      <w:r w:rsidRPr="005E779E">
        <w:rPr>
          <w:rFonts w:ascii="Times New Roman" w:hAnsi="Times New Roman"/>
          <w:color w:val="000000" w:themeColor="text1"/>
          <w:sz w:val="16"/>
          <w:szCs w:val="16"/>
          <w:lang w:val="en-US"/>
        </w:rPr>
        <w:t>PJI</w:t>
      </w:r>
      <w:r w:rsidRPr="005E779E">
        <w:rPr>
          <w:rFonts w:ascii="Times New Roman" w:hAnsi="Times New Roman"/>
          <w:color w:val="000000" w:themeColor="text1"/>
          <w:sz w:val="16"/>
          <w:szCs w:val="16"/>
        </w:rPr>
        <w:t>-приборам, телемеханике, высотному оборудованию, автоматике управления самолетом и оружием. Проводились работы по оборудованию Як-9 системой телеуправления (1948-49г.), испытания Ту-2 с аппаратурой наведения. Заключения по радиотехническим объектам и антеннам.</w:t>
      </w:r>
    </w:p>
    <w:p w14:paraId="295EC9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1951 г. в составе института действовала лаборатория навигационных приборов. Велась разработка автоматического секстанта («астроориентатора») для дальней авиации.</w:t>
      </w:r>
    </w:p>
    <w:p w14:paraId="347457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1955г. НИСО передан из 7ГУ в 11ГУ МАП.</w:t>
      </w:r>
    </w:p>
    <w:p w14:paraId="6E4890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Воссоздан в 1981 г. как НИИАО (авиационного оборудования) из филиала ЛИИ.</w:t>
      </w:r>
    </w:p>
    <w:p w14:paraId="70E353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Работы по электрооборудованию для РКТ.</w:t>
      </w:r>
    </w:p>
    <w:p w14:paraId="5C10E6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(1930-е)- Л.Ф. Иванов, (-23.01.1937г.)- Н.Г. Кильянов, (23.01-28.06.1937г.)- Г.В. Коренев, (7.07.1937г.)- Измаилов, (8.07.1937-2.02.1938г.)- И.А. Ткачев, (2.02-10.1938г.-)- Г.С. Игошин, М.О. Березин, (1941)- Фрадкин, (1941 г.-)- г Н.И. Петров. Начальник (1943; -1945-46г.-)- Н.И. Петров, А.Ф. Фаломеев, (до 1944г.)- Г.А. Левин. И.О. начальника (07.1944г.)- Н.Д. Рязанцев.</w:t>
      </w:r>
    </w:p>
    <w:p w14:paraId="0F6229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начальника (1955г.)- Н.Д. Рязанцев.</w:t>
      </w:r>
    </w:p>
    <w:p w14:paraId="43E935F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инженер (1930-е)- Г.А. Левин, (1947г.-)- Н.Д. Рязанцев.</w:t>
      </w:r>
    </w:p>
    <w:p w14:paraId="64C754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Руководитель ОКБ - А.С. Абрамов.</w:t>
      </w:r>
    </w:p>
    <w:p w14:paraId="4DFE35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 сектора (-1937г.)- Л.М. Кофман (11982).</w:t>
      </w:r>
    </w:p>
    <w:p w14:paraId="2C5C5A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E08A163" w14:textId="21DA5E50"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в районе ст. Плющево (недалеко от Перово) начато строительство завода экспериментального сельскохозяйственного машиностроения (ВИМЭ) (ГС Завод № 444 НКАП /ст. Плющево Московской обл.;</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Сим Челябинской обл./). В соответствии с пост. Комитета обороны № 335сс от 26.07.1940 г. завод передан в систему 4ГУ НКАП для организации производства авиаагрегатов (устройств «НВ»), По приказу № 567с от 19.10.1940 г. завод получил № 444. В 11.1940 г. началась реконструкция. Частично завод вступил в строй в начале 1941 г. Началось освоение производства агрегатов Н-88- НБ-3, Н-35А- НБ-8, Н-500- НБ- 4, продолжался выпуск сельхозмашин.</w:t>
      </w:r>
    </w:p>
    <w:p w14:paraId="5C243857" w14:textId="0AE26002"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 660сс от 9.07.1941 г. завод № 444 4ГУ НКАП эвакуирован в</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Сим на площадку Симского арматурного завода. По приказу № 840с от 12.08.1941 г. арматурный завод был влит в состав завода № 444. Сюда же эвакуирован завод № 132 НКАП вместе с ОКБ. По приказу № 1097с от 5.11.1941 г. заводы № 132 и № 444 объединены в единый завод № 132 НКАП. По приказу № 679сс от 6.09.1942 г. завод № 444 исключен из числа действующих.</w:t>
      </w:r>
    </w:p>
    <w:p w14:paraId="749258AA" w14:textId="2859E8DA"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(-11.1940 г.)- А.Н. Иваненко, (11.1940-41</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 xml:space="preserve">г.-)- </w:t>
      </w:r>
      <w:r w:rsidRPr="005E779E">
        <w:rPr>
          <w:rFonts w:ascii="Times New Roman" w:hAnsi="Times New Roman"/>
          <w:color w:val="000000" w:themeColor="text1"/>
          <w:sz w:val="16"/>
          <w:szCs w:val="16"/>
          <w:lang w:val="en-US"/>
        </w:rPr>
        <w:t>B</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C</w:t>
      </w:r>
      <w:r w:rsidRPr="005E779E">
        <w:rPr>
          <w:rFonts w:ascii="Times New Roman" w:hAnsi="Times New Roman"/>
          <w:color w:val="000000" w:themeColor="text1"/>
          <w:sz w:val="16"/>
          <w:szCs w:val="16"/>
        </w:rPr>
        <w:t>. Лурье.</w:t>
      </w:r>
    </w:p>
    <w:p w14:paraId="2D6063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ОКБ-444 НКАП /г. Москва/</w:t>
      </w:r>
    </w:p>
    <w:p w14:paraId="65DBB4BD" w14:textId="5E91795A"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Работы по моторным агрегатам. В 1941 г. эвакуировано в</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г.Сим Челябинской обл. (11982)</w:t>
      </w:r>
    </w:p>
    <w:p w14:paraId="38B1A3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1E9CEA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 1931 г. приняли на вооружение "картонажный авиасбрасыватель" ПГ-2к - изготовленный из картона сигарообразный контейнер, снабженный парашютом. В него загружали 30 кг груза, например, 6 винтовок или 5000 патронов. Р-5 нес 10 таких "сигар". Позднее стали серийно выпускать целую гамму упаковок для парашютного и беспарашютного сбрасывания - мешки, фанерные, картонные и металлические короба и баки. В них грузили станковые и ручные пулеметы, патроны, гранаты и снаряды, динамо-реактивные пушки, продовольствие и т.п. На Р-5 можно было доставить и сбросить с парашютами два мотоцикла, которые подвешивали под крыло без каких-либо обтекателей. По 2-3 самолета по-лучили все эскадрильи, приданные первым батальонам "особого назначения" (воздуш-но-десантным). Р-5 применялись как транспортные на различных маневрах. Так, летом 1937 г. на учениях в Харьковском ВО четыре ТБ-3 выбросили парашютистов, которые захватили посадочную площадку. Туда Р-5 доставили на наружной подвеске три 45-мм пушки и 3 пулемета "Максим". В августе 1940 г. на аэродром Мигалово под Капинином (ныне Тверь) с ТБ-3 выбросили батальон парашютистов, а Р-5 привезли различные грузы. Эти маневры оказались последними для Р-5 в такой ипостаси (11936).</w:t>
      </w:r>
    </w:p>
    <w:p w14:paraId="51AAA3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A3E32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приняли на вооружение "картонажный авиасбрасыватель" ПГ-2к. Это был изготовленный из картона сигарообразный контейнер, в один из концов которого укладывался парашют. В него загружалось 30 кг всякой всячины, например, шесть винтовок или 5000 патронов. Р-5 нес десять таких "сигар". Позднее стали серийно выпускать целую гамму упаковок для парашютного и беспарашютного сбрасывания разных грузов. Делали мягкие мешки, фанерные, картонные и металлические короба и баки. Штатными для Р-5 являлись мягкие парашютные мешки ПДММ (на 100 кг груза), короба ПД-КОР (на 135 кг, картонный) и ПДЦ (цилиндрический из фанеры, на 120 кг), а также баки ПДББ-100. Их можно было нести по четыре штуки в разных комбинациях.</w:t>
      </w:r>
    </w:p>
    <w:p w14:paraId="5F28ABC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Маленькие ПГ-2к к концу 30-х годов постепенно вышли из употребления (12034).</w:t>
      </w:r>
    </w:p>
    <w:p w14:paraId="36526C4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3108C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десантников эки</w:t>
      </w:r>
      <w:r w:rsidRPr="005E779E">
        <w:rPr>
          <w:rFonts w:ascii="Times New Roman" w:hAnsi="Times New Roman"/>
          <w:color w:val="000000" w:themeColor="text1"/>
          <w:sz w:val="16"/>
          <w:szCs w:val="16"/>
        </w:rPr>
        <w:softHyphen/>
        <w:t>пировали наспинными перкалевыми парашютами ПД-1 конструкции М.А.Савицкого, за основу которых взяли один из американских образ</w:t>
      </w:r>
      <w:r w:rsidRPr="005E779E">
        <w:rPr>
          <w:rFonts w:ascii="Times New Roman" w:hAnsi="Times New Roman"/>
          <w:color w:val="000000" w:themeColor="text1"/>
          <w:sz w:val="16"/>
          <w:szCs w:val="16"/>
        </w:rPr>
        <w:softHyphen/>
        <w:t>цов. Однако практика показала нео</w:t>
      </w:r>
      <w:r w:rsidRPr="005E779E">
        <w:rPr>
          <w:rFonts w:ascii="Times New Roman" w:hAnsi="Times New Roman"/>
          <w:color w:val="000000" w:themeColor="text1"/>
          <w:sz w:val="16"/>
          <w:szCs w:val="16"/>
        </w:rPr>
        <w:softHyphen/>
        <w:t>споримые преимущества шелковых куполов, хоть и более дорогих, зато надежных и прочных. Работы по тка</w:t>
      </w:r>
      <w:r w:rsidRPr="005E779E">
        <w:rPr>
          <w:rFonts w:ascii="Times New Roman" w:hAnsi="Times New Roman"/>
          <w:color w:val="000000" w:themeColor="text1"/>
          <w:sz w:val="16"/>
          <w:szCs w:val="16"/>
        </w:rPr>
        <w:softHyphen/>
        <w:t>ням-заменителям прекратили. ПД-1 пробыл на вооружении недолго, его сменили более совершенные парашюты из шелка типа ПН (10690).</w:t>
      </w:r>
    </w:p>
    <w:p w14:paraId="7CF47A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A1F22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году при поддержке Военно-Научного исследовательского Комитета при Реввоенсовете СССР в Москве в системе Дирижаблестроя было организовано специальное конструкторское Бюро по проектированию и постройке дирижабля Циолковского (КБ-3 или КБЦ-3), куда и были перенесены работы Академии. Руководил работами (фактически) сам автор, получавший за это 1000 рублей (11041).</w:t>
      </w:r>
    </w:p>
    <w:p w14:paraId="277DC2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E99DB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1931 г. началась работа над ампульными кассетами, предназначавшимися для сброса шаровых ампул с отравляющими веществами. Переход с выливных приборов на ампулы позволял поднять высоту и тем самым уменьшить уязвимость самолета от зенитного огня. Еще в 1932 г. Осконбюро ВВС предложило проект кассеты Г-52 на 1600 небольших ампул. Сброс осуществлялся сериями по восемь штук. Данных о постройке Г-52 пока не обнаружено. В 1933 г. 14-я бригада ЦАГИ спроектировала размещение на Р-5 трех кассет АК с механическим или электрическим сбрасыванием (12034).</w:t>
      </w:r>
    </w:p>
    <w:p w14:paraId="0F8D0EC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17DCC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1931 г. Сергей Павлович Королев по договоренности с Фридрихом Артуровичем Цандером развернул работы над ракетопланами. Работы начались в Группе изучения реактивного движения и продолжены были в Реактивном научноисследовательском институте (Архив Российской академии наук. Щетинков Е.С. Обзор деятельности 4-й бригады ГИРД в 1933–1934 гг., р. 4, оп. 14, д. 250.). В 1944 г. С.П. Королев писал, что работы по КР были начаты в ГИРДе в 1932 г. (Архив Российской академии наук. Королев С.П. Крылатые ракеты (краткий обзор работ, проводившихся в РНИИ в 1932–1938 гг.), р. 4, оп. 14, д. 87.). </w:t>
      </w:r>
    </w:p>
    <w:p w14:paraId="422C77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EF1083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от ТРС отказались, так как терялась дальность и перешли на оперение, но пускали опять через трубу, так как были артиллеристами (1233,24).</w:t>
      </w:r>
    </w:p>
    <w:p w14:paraId="3FD538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1DE4B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в ГДЛ под руководством Б.С.Петропавловского, который пришел туда в апреле 1929 - 177,156 были сделаны РС 82 мм (5000 м) и 132 мм (6000 м) с оперением, не выходящим за габариты. Летали плохо (93,17).</w:t>
      </w:r>
    </w:p>
    <w:p w14:paraId="780154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Вращались, но были сложными. На совещании предлагали раскручивать электромотором, потоком воздуха, газами (93,21).</w:t>
      </w:r>
    </w:p>
    <w:p w14:paraId="660C83A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Были неудачные испытания на самолетах (1233,24).</w:t>
      </w:r>
    </w:p>
    <w:p w14:paraId="0923DB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7E8018C"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было создано СКБ по разработке механических (часовых) взрывателей, возглав</w:t>
      </w:r>
      <w:r w:rsidRPr="005E779E">
        <w:rPr>
          <w:rFonts w:ascii="Times New Roman" w:hAnsi="Times New Roman"/>
          <w:color w:val="000000" w:themeColor="text1"/>
          <w:sz w:val="16"/>
          <w:szCs w:val="16"/>
        </w:rPr>
        <w:softHyphen/>
        <w:t>ляемом А.Я.Карповым, в котором был создан ударостойкий часовой механизм, вы</w:t>
      </w:r>
      <w:r w:rsidRPr="005E779E">
        <w:rPr>
          <w:rFonts w:ascii="Times New Roman" w:hAnsi="Times New Roman"/>
          <w:color w:val="000000" w:themeColor="text1"/>
          <w:sz w:val="16"/>
          <w:szCs w:val="16"/>
        </w:rPr>
        <w:softHyphen/>
        <w:t>держивающий огромные инерционные перегрузки, возникающие при выстреле. С использованием его создали дистанционные механические взрыватели (трубки) для зенитных снарядов и авиабомб. В предвоенный период претензии военных к дистанционным трубкам семейства ТМ-4 сводились к тому, что в обращении она опасна (самопроизвольно выдер</w:t>
      </w:r>
      <w:r w:rsidRPr="005E779E">
        <w:rPr>
          <w:rFonts w:ascii="Times New Roman" w:hAnsi="Times New Roman"/>
          <w:color w:val="000000" w:themeColor="text1"/>
          <w:sz w:val="16"/>
          <w:szCs w:val="16"/>
        </w:rPr>
        <w:softHyphen/>
        <w:t>ется чека). А кроме того, для каждой высоты бомбометания (отличной от запланированной) необходимо изменять установку ТМ-4. Опыт боевого применения дистанционных трубок ТМ-4 в Великой отечественной войне подтвердил их недостатки. Применительно к авиабомбам вспомогательного назначения, замедления в 40 с было недостаточно для бомбометания с больших высот. На ракетных авиабомбах применять трубки семейства ТМ-4 из-за несовершенства предохранитель</w:t>
      </w:r>
      <w:r w:rsidRPr="005E779E">
        <w:rPr>
          <w:rFonts w:ascii="Times New Roman" w:hAnsi="Times New Roman"/>
          <w:color w:val="000000" w:themeColor="text1"/>
          <w:sz w:val="16"/>
          <w:szCs w:val="16"/>
        </w:rPr>
        <w:softHyphen/>
        <w:t>ного устройства так же было небезопасно. К примеру, зависание авиабомбы на одном из бугелей или случайное ее падение на землю при выруливании самолета на старт, взлете, посадке или аварии в воздухе приводит к выдергиванию боевой чеки и срабатыванию двигателя РАБ. Кроме того, выяснилась опасность трубки, отказавшей в действии при постановке на предохранитель «П». Установка на любое другое положение приводила к отказу из-за осадки пружины часового механизма при дли</w:t>
      </w:r>
      <w:r w:rsidRPr="005E779E">
        <w:rPr>
          <w:rFonts w:ascii="Times New Roman" w:hAnsi="Times New Roman"/>
          <w:color w:val="000000" w:themeColor="text1"/>
          <w:sz w:val="16"/>
          <w:szCs w:val="16"/>
        </w:rPr>
        <w:softHyphen/>
        <w:t>тельном хранении. Сотрясание часового механизма могло снова заставит его работать, и трубка срабатывала.</w:t>
      </w:r>
    </w:p>
    <w:p w14:paraId="1A90408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Наличие часового механизма требовало бережного обращения с трубкой. При случайном падении авиабомбы с трубкой или самой врубки во время работ на земле, а также в результате неосторожного удара ею по корпусу авиабомбы при постановке в очко, резкий рывок в момент отрыва от самолета иногда выводили из строя часовой механизм, в лучшем случае трубка просто выходила из строя. Куда хуже, если часовой механизм переставал тормозить пружину, то есть, регулировать скорость ее раскручивания, и ударник трубки преждевременно накалывал капсюль-воспламенитель. К 1946 г. ТМ-4А и ТМ-4Б сняли с производства и вооружения (11402).</w:t>
      </w:r>
    </w:p>
    <w:p w14:paraId="2B0898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3C27F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в 68-м ао на Дальнем Востоке на Р-5 испытывали речную мину "Рыбка", а 1935 г. в Севастополе с Р-5а сбрасывали неконтактную донную мину РЕМИН (12034).</w:t>
      </w:r>
    </w:p>
    <w:p w14:paraId="57A77E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F9ECA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П-5 начали поступать в гражданскую авиацию: 13 октября отряду им. "Правды" выделили 3 самолета. Этот отряд возил матрицы центральных газет в различные города страны. На 1 июля 1932 г. в гражданской авиации было уже 24 П-5 (в том числе 10 в школах). Постепенно поставки нарастали, а аварийность была небольшой, и на 1 октября 1935 г. насчитывалось уже 603 машины. Большая час1ь П-5 эксплуатировалась как почтовые и грузовые самолеты.</w:t>
      </w:r>
    </w:p>
    <w:p w14:paraId="19BC02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Летали П-5 и на международных трассах. С 1934 г. они обслуживали линию Ташкент- Кабул. Ни один другой пассажирский самолет не мог перелететь горные хребты на этом маршруте и сесть на маленьких промежуточных площадках. В 1936 г. П-5 использовали на линии Алма-Ата-Ланьчжоу.</w:t>
      </w:r>
    </w:p>
    <w:p w14:paraId="5CBB34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Широкое применение П-5 объяснялось вовсе не его высокой эффективностью. Наоборот, для гражданской авиации его считали малопригодным. Большой, тяжелый, груза перевозит мало, для размещения пассажиров приспособлен плохо. Положение несколько спасала нетребовательность к качеству аэродромов и высокая ремонтопригодность. Неоднократно П-5 пытались снять с эксплуатации в Аэрофлоте. Но перегруженная военными заказами промышленность взамен ничего не давала, и П-5 продолжали летать и летать...</w:t>
      </w:r>
    </w:p>
    <w:p w14:paraId="14CEFD0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1930-х гг. в парке ГВФ стала значительной доля ЛП-5 и ПР-5. В 1937 г. с Дальнего Востока докладывали: "Лимузин" зарекомендовал себя как прекрасная машина, наиболее удобная во всех отношениях для Сахалинской линии зимой".</w:t>
      </w:r>
    </w:p>
    <w:p w14:paraId="63CD76E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 второй половине 1930-х гг. в ГВФ влились самолеты, ставшие лишними в ВВС. В результате к началу 1940 г. П-5 занимал второе место по численности в парке гражданской авиации после У-2. На 1 марта только на линиях союзного значения работали 47 П-5, 13 ЛП-5 и 97 ПР-5 (11936).</w:t>
      </w:r>
    </w:p>
    <w:p w14:paraId="5C56ED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DCF39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"Комсеверпуть-1", получивший опознавательный знак СССР-HI, был представлен следующим экипажем: командир Чухновский, 2-й летчик Соловьев, летнаб Ручьев, бортмеханик В.В.Косухин, помощник бортмеханика Наумов. В летний сезон СССР-HI произвел ряд полетов в море у Таймырского полуострова. Вел разведку льдов при проводке шхуны "Белуха" из Архангельска до устья Лены, помогал проводке последних за навигацию судов в Карском море (11970).</w:t>
      </w:r>
    </w:p>
    <w:p w14:paraId="61EED90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3097C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самолету Дорнье "Валь" СССР-НЗ, заводской № 143, двигатели - 2 BMW-6 присвоили опознавательный знак СССР-НЗ, его командиром и пилотом снова назначили Алексеева и Кржижевского. В одном из полетов, на маршруте из бухты Варнека к Диксону, не долетая острова Вилькицкого, встретили туман. Летчики приводнились и легли в дрейф. Девять часов пришлось им ждать улучшения погоды, и только после этого СССР-НЗ добрался до Диксона. Однако продолжать разведку, базируясь на Диксон, оказалось невозможно - отсутствовало горючее. Алексеев принял решение возвращаться в бухту Варнека. Встретившийся на обратном пути туман заставил экипаж изменить курс. У мыса Харасавэй туман стал настолько густым, что продолжать полет стало рискованно, и авиаторы приводнились в трехстах метрах от берега. Скоро на море начался шторм, и оставаться так близко к суше было опасно. Попытка взлететь окончилась повреждением правой жабры лодки, и Кржижевский стал рулить по бушующему морю. После многочасового плавания ему удалось найти тихую бухту, где самолет переждал шторм (11970).</w:t>
      </w:r>
    </w:p>
    <w:p w14:paraId="3E0A42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A9B72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на базе ленинградского отделения Гипроинвестмета был создан Государственный институт по проектированию алюминиевых, магниевых и электродных заводов «Гипроалюминий» /г. Ленинград/. Располагался на 20-й линии Васильевского о-ва. Находился в ведении: НКЦМ (1943-46г.), МЦМ (1946-48; 1950-53; 1954г.), Минметаллургпрома (1948-59; 1953-54г.).</w:t>
      </w:r>
    </w:p>
    <w:p w14:paraId="2880B04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Институт имел филиалы: Московский (1943-54г.), Уральский (создан в 1955г.), Иркутский (создан в 1959г.).</w:t>
      </w:r>
    </w:p>
    <w:p w14:paraId="6BF6C1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начальника сектора: (1932-33г.)- П.Ф. Ломако (11982).</w:t>
      </w:r>
    </w:p>
    <w:p w14:paraId="74767A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035C3DC" w14:textId="619E71FA" w:rsidR="0078004B" w:rsidRPr="005E779E" w:rsidRDefault="0078004B" w:rsidP="000B7A6C">
      <w:pPr>
        <w:pStyle w:val="txt1"/>
        <w:shd w:val="clear" w:color="auto" w:fill="FFFFFF"/>
        <w:spacing w:before="0" w:beforeAutospacing="0" w:after="0" w:afterAutospacing="0" w:line="240" w:lineRule="auto"/>
        <w:ind w:firstLine="0"/>
        <w:rPr>
          <w:color w:val="000000" w:themeColor="text1"/>
          <w:sz w:val="16"/>
          <w:szCs w:val="16"/>
        </w:rPr>
      </w:pPr>
      <w:r w:rsidRPr="005E779E">
        <w:rPr>
          <w:color w:val="000000" w:themeColor="text1"/>
          <w:sz w:val="16"/>
          <w:szCs w:val="16"/>
        </w:rPr>
        <w:t>В 1931 был спроектирован и изготовлен первый в России высотный скафандр «Ч-1» (1931 г.) - на три года раньше, чем в Великобритании, по личной инициативе инженера Евгения Ефимовича Чертовского, бывшего сотрудником авиа-медицинского отдела ленинградского НИИ Гражданской авиации. Но, в скафандре «Ч-1» было невозможно работать при избыточном давлении выше окружающего атмосферного давления, создаваемом под герметической оболочкой этого изолирующего средства защиты при подъеме на высоту более 10 км. Конструктор провел последовательную модификацию скафандра от «Ч-1» до «Ч-</w:t>
      </w:r>
      <w:bookmarkStart w:id="69" w:name="YANDEX_0"/>
      <w:bookmarkEnd w:id="69"/>
      <w:r w:rsidR="00FE094E">
        <w:rPr>
          <w:color w:val="000000" w:themeColor="text1"/>
          <w:sz w:val="16"/>
          <w:szCs w:val="16"/>
        </w:rPr>
        <w:t xml:space="preserve"> </w:t>
      </w:r>
      <w:r w:rsidRPr="005E779E">
        <w:rPr>
          <w:rStyle w:val="highlight"/>
          <w:color w:val="000000" w:themeColor="text1"/>
          <w:sz w:val="16"/>
          <w:szCs w:val="16"/>
        </w:rPr>
        <w:t>3 </w:t>
      </w:r>
      <w:r w:rsidRPr="005E779E">
        <w:rPr>
          <w:color w:val="000000" w:themeColor="text1"/>
          <w:sz w:val="16"/>
          <w:szCs w:val="16"/>
        </w:rPr>
        <w:t>», прежде чем его использовал летчик С. М. Коробов в первом в СССР летном испытании скафандра на тяжелом бомбардировщике ТБ-</w:t>
      </w:r>
      <w:bookmarkStart w:id="70" w:name="YANDEX_1"/>
      <w:bookmarkEnd w:id="70"/>
      <w:r w:rsidRPr="005E779E">
        <w:rPr>
          <w:rStyle w:val="highlight"/>
          <w:color w:val="000000" w:themeColor="text1"/>
          <w:sz w:val="16"/>
          <w:szCs w:val="16"/>
        </w:rPr>
        <w:t> 3</w:t>
      </w:r>
      <w:r w:rsidR="00FE094E">
        <w:rPr>
          <w:rStyle w:val="highlight"/>
          <w:color w:val="000000" w:themeColor="text1"/>
          <w:sz w:val="16"/>
          <w:szCs w:val="16"/>
        </w:rPr>
        <w:t xml:space="preserve"> </w:t>
      </w:r>
      <w:r w:rsidRPr="005E779E">
        <w:rPr>
          <w:color w:val="000000" w:themeColor="text1"/>
          <w:sz w:val="16"/>
          <w:szCs w:val="16"/>
        </w:rPr>
        <w:t>— 19 мая 1937 г. Выявленные недостатки устранялись лабораторной доработкой скафандров, вплоть до версии «Ч-7» (1940).</w:t>
      </w:r>
    </w:p>
    <w:p w14:paraId="29A76EC5" w14:textId="623DACC5" w:rsidR="0078004B" w:rsidRPr="005E779E" w:rsidRDefault="0078004B" w:rsidP="000B7A6C">
      <w:pPr>
        <w:pStyle w:val="txt1"/>
        <w:shd w:val="clear" w:color="auto" w:fill="FFFFFF"/>
        <w:spacing w:before="0" w:beforeAutospacing="0" w:after="0" w:afterAutospacing="0" w:line="240" w:lineRule="auto"/>
        <w:ind w:firstLine="0"/>
        <w:rPr>
          <w:color w:val="000000" w:themeColor="text1"/>
          <w:sz w:val="16"/>
          <w:szCs w:val="16"/>
        </w:rPr>
      </w:pPr>
      <w:r w:rsidRPr="005E779E">
        <w:rPr>
          <w:color w:val="000000" w:themeColor="text1"/>
          <w:sz w:val="16"/>
          <w:szCs w:val="16"/>
        </w:rPr>
        <w:t xml:space="preserve">американскому летчику — Марку Риджу совместно с английским физиологом Джоном Холдэном удалось первыми испытать такой костюм в барокамере на высоте </w:t>
      </w:r>
      <w:r w:rsidRPr="005E779E">
        <w:rPr>
          <w:color w:val="000000" w:themeColor="text1"/>
          <w:sz w:val="16"/>
          <w:szCs w:val="16"/>
        </w:rPr>
        <w:sym w:font="Symbol" w:char="F07E"/>
      </w:r>
      <w:r w:rsidRPr="005E779E">
        <w:rPr>
          <w:color w:val="000000" w:themeColor="text1"/>
          <w:sz w:val="16"/>
          <w:szCs w:val="16"/>
        </w:rPr>
        <w:t xml:space="preserve"> 25 км в 1934 г., а американский летчик — Вилли Пост первым применил высотный скафандр в полете на самолете на высоте 14 км</w:t>
      </w:r>
      <w:r w:rsidR="00FE094E">
        <w:rPr>
          <w:color w:val="000000" w:themeColor="text1"/>
          <w:sz w:val="16"/>
          <w:szCs w:val="16"/>
        </w:rPr>
        <w:t xml:space="preserve"> </w:t>
      </w:r>
      <w:r w:rsidRPr="005E779E">
        <w:rPr>
          <w:color w:val="000000" w:themeColor="text1"/>
          <w:sz w:val="16"/>
          <w:szCs w:val="16"/>
        </w:rPr>
        <w:t>(12721).</w:t>
      </w:r>
    </w:p>
    <w:p w14:paraId="1751369D" w14:textId="77777777" w:rsidR="0078004B" w:rsidRPr="005E779E" w:rsidRDefault="0078004B" w:rsidP="000B7A6C">
      <w:pPr>
        <w:pStyle w:val="txt1"/>
        <w:shd w:val="clear" w:color="auto" w:fill="FFFFFF"/>
        <w:spacing w:before="0" w:beforeAutospacing="0" w:after="0" w:afterAutospacing="0" w:line="240" w:lineRule="auto"/>
        <w:ind w:firstLine="0"/>
        <w:rPr>
          <w:color w:val="000000" w:themeColor="text1"/>
          <w:sz w:val="16"/>
          <w:szCs w:val="16"/>
        </w:rPr>
      </w:pPr>
    </w:p>
    <w:p w14:paraId="21A8EBFF" w14:textId="77777777" w:rsidR="00360440" w:rsidRPr="005E779E" w:rsidRDefault="003604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V пленум ВЦСПС принял резолюцию "О разукрупнении профсоюзов". Вместо существовавших 22 профсоюзов были созданы 44 союза, в том числе был образован профсоюз рабочих автотракторной и авиационной промышленности (РАТАП). Профессиональный союз рабочих авиационной промышленности организационно оформился в октябре 1934 года после разъединительного пленума ЦК союза РАТАП. Из девяти членов президиума пятеро ушли в профсоюзы автомобильной и тракторной промышленности, а четверо остались в ЦК профсоюза рабочих авиационной промышленности, в том числе и председатель ЦК РАТАП Н. Л. Соболь, избранный председателем ЦК союза авиапромышленности (15496).</w:t>
      </w:r>
    </w:p>
    <w:p w14:paraId="687249A3" w14:textId="77777777" w:rsidR="00360440" w:rsidRPr="005E779E" w:rsidRDefault="00360440" w:rsidP="000B7A6C">
      <w:pPr>
        <w:spacing w:after="0" w:line="240" w:lineRule="auto"/>
        <w:jc w:val="both"/>
        <w:rPr>
          <w:rFonts w:ascii="Times New Roman" w:hAnsi="Times New Roman"/>
          <w:color w:val="000000" w:themeColor="text1"/>
          <w:sz w:val="16"/>
          <w:szCs w:val="16"/>
        </w:rPr>
      </w:pPr>
    </w:p>
    <w:p w14:paraId="57D69206" w14:textId="77777777" w:rsidR="00CC65A3" w:rsidRPr="005E779E" w:rsidRDefault="00CC65A3" w:rsidP="000B7A6C">
      <w:pPr>
        <w:spacing w:after="0" w:line="240" w:lineRule="auto"/>
        <w:jc w:val="both"/>
        <w:rPr>
          <w:rFonts w:ascii="Times New Roman" w:hAnsi="Times New Roman"/>
          <w:color w:val="000000" w:themeColor="text1"/>
          <w:sz w:val="16"/>
          <w:szCs w:val="16"/>
          <w:shd w:val="clear" w:color="auto" w:fill="FFFFFF"/>
        </w:rPr>
      </w:pPr>
      <w:r w:rsidRPr="005E779E">
        <w:rPr>
          <w:rFonts w:ascii="Times New Roman" w:hAnsi="Times New Roman"/>
          <w:color w:val="000000" w:themeColor="text1"/>
          <w:sz w:val="16"/>
          <w:szCs w:val="16"/>
          <w:shd w:val="clear" w:color="auto" w:fill="FFFFFF"/>
        </w:rPr>
        <w:t>В 1931 конкурентная Гроховскому группа Н.Благина (того, который врезался в АНТ-20) также в НИИ ВВС подготовила "грузовоз" (грузовой парашют) типа ЗА, имевший большую грузоподъемность. Он комплектовался более емким контейнером ("упаковочным цилиндром"). Общий вес с грузом составлял 83 кг. В него входило семь 76-мм снарядов или шесть пулеметов ДП. В двух упаковках сбрасывалась разобранная динамо-реактивная пушка. Самолет Р-1 мог нести два контейнера, Р-5 - четыре. Парашюты Благина также начали выпускать небольшой серией (21509).</w:t>
      </w:r>
    </w:p>
    <w:p w14:paraId="5DACE25E" w14:textId="77777777" w:rsidR="00CC65A3" w:rsidRPr="005E779E" w:rsidRDefault="00CC65A3" w:rsidP="000B7A6C">
      <w:pPr>
        <w:spacing w:after="0" w:line="240" w:lineRule="auto"/>
        <w:jc w:val="both"/>
        <w:rPr>
          <w:rFonts w:ascii="Times New Roman" w:hAnsi="Times New Roman"/>
          <w:color w:val="000000" w:themeColor="text1"/>
          <w:sz w:val="16"/>
          <w:szCs w:val="16"/>
          <w:shd w:val="clear" w:color="auto" w:fill="FFFFFF"/>
        </w:rPr>
      </w:pPr>
    </w:p>
    <w:p w14:paraId="1661E79A" w14:textId="77777777" w:rsidR="00CC65A3" w:rsidRPr="005E779E" w:rsidRDefault="00CC65A3" w:rsidP="000B7A6C">
      <w:pPr>
        <w:spacing w:after="0" w:line="240" w:lineRule="auto"/>
        <w:jc w:val="both"/>
        <w:rPr>
          <w:rFonts w:ascii="Times New Roman" w:hAnsi="Times New Roman"/>
          <w:color w:val="000000" w:themeColor="text1"/>
          <w:sz w:val="16"/>
          <w:szCs w:val="16"/>
          <w:lang w:eastAsia="ru-RU" w:bidi="ru-RU"/>
        </w:rPr>
      </w:pPr>
      <w:r w:rsidRPr="005E779E">
        <w:rPr>
          <w:rFonts w:ascii="Times New Roman" w:hAnsi="Times New Roman"/>
          <w:color w:val="000000" w:themeColor="text1"/>
          <w:sz w:val="16"/>
          <w:szCs w:val="16"/>
          <w:lang w:eastAsia="ru-RU" w:bidi="ru-RU"/>
        </w:rPr>
        <w:t>В 1931 году на Централь</w:t>
      </w:r>
      <w:r w:rsidRPr="005E779E">
        <w:rPr>
          <w:rFonts w:ascii="Times New Roman" w:hAnsi="Times New Roman"/>
          <w:color w:val="000000" w:themeColor="text1"/>
          <w:sz w:val="16"/>
          <w:szCs w:val="16"/>
          <w:lang w:eastAsia="ru-RU" w:bidi="ru-RU"/>
        </w:rPr>
        <w:softHyphen/>
        <w:t>ном аэродроме Москвы построили здание главного аэро</w:t>
      </w:r>
      <w:r w:rsidRPr="005E779E">
        <w:rPr>
          <w:rFonts w:ascii="Times New Roman" w:hAnsi="Times New Roman"/>
          <w:color w:val="000000" w:themeColor="text1"/>
          <w:sz w:val="16"/>
          <w:szCs w:val="16"/>
          <w:lang w:eastAsia="ru-RU" w:bidi="ru-RU"/>
        </w:rPr>
        <w:softHyphen/>
        <w:t>вокзала — тогда одного из крупнейших в мире. А в 1932 го</w:t>
      </w:r>
      <w:r w:rsidRPr="005E779E">
        <w:rPr>
          <w:rFonts w:ascii="Times New Roman" w:hAnsi="Times New Roman"/>
          <w:color w:val="000000" w:themeColor="text1"/>
          <w:sz w:val="16"/>
          <w:szCs w:val="16"/>
          <w:lang w:eastAsia="ru-RU" w:bidi="ru-RU"/>
        </w:rPr>
        <w:softHyphen/>
        <w:t>ду, как бы подчеркивая возрастающую серьезность решаемых задач, Всесоюзное объединение ГВФ стало называться Главным Управлением Гражданского воздуш</w:t>
      </w:r>
      <w:r w:rsidRPr="005E779E">
        <w:rPr>
          <w:rFonts w:ascii="Times New Roman" w:hAnsi="Times New Roman"/>
          <w:color w:val="000000" w:themeColor="text1"/>
          <w:sz w:val="16"/>
          <w:szCs w:val="16"/>
          <w:lang w:eastAsia="ru-RU" w:bidi="ru-RU"/>
        </w:rPr>
        <w:softHyphen/>
        <w:t>ного флота (ГУ ГВФ) (20365).</w:t>
      </w:r>
    </w:p>
    <w:p w14:paraId="44FEAAB4" w14:textId="77777777" w:rsidR="00CC65A3" w:rsidRPr="005E779E" w:rsidRDefault="00CC65A3" w:rsidP="000B7A6C">
      <w:pPr>
        <w:spacing w:after="0" w:line="240" w:lineRule="auto"/>
        <w:jc w:val="both"/>
        <w:rPr>
          <w:rFonts w:ascii="Times New Roman" w:hAnsi="Times New Roman"/>
          <w:color w:val="000000" w:themeColor="text1"/>
          <w:sz w:val="16"/>
          <w:szCs w:val="16"/>
          <w:lang w:eastAsia="ru-RU" w:bidi="ru-RU"/>
        </w:rPr>
      </w:pPr>
    </w:p>
    <w:p w14:paraId="29AC50D3" w14:textId="77777777" w:rsidR="007065FB" w:rsidRPr="005E779E" w:rsidRDefault="007065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участились прилеты иностранных самолетов. Огромная территория СССР стала притязательной для многих иностранных туристов, спортсменов и рекордсменов. Гостеприимство советских людей и образцовое обслуживание иностранцев также способствовала этой тяге. В течение года прилетело 5 французских, 3 английских, 3 американских, один японский и одни немецкий самолет (23370).</w:t>
      </w:r>
    </w:p>
    <w:p w14:paraId="52A5832C" w14:textId="77777777" w:rsidR="007065FB" w:rsidRPr="005E779E" w:rsidRDefault="007065FB" w:rsidP="000B7A6C">
      <w:pPr>
        <w:spacing w:after="0" w:line="240" w:lineRule="auto"/>
        <w:jc w:val="both"/>
        <w:rPr>
          <w:rFonts w:ascii="Times New Roman" w:hAnsi="Times New Roman"/>
          <w:color w:val="000000" w:themeColor="text1"/>
          <w:sz w:val="16"/>
          <w:szCs w:val="16"/>
        </w:rPr>
      </w:pPr>
    </w:p>
    <w:p w14:paraId="7FD12BEC" w14:textId="77777777" w:rsidR="00593807" w:rsidRPr="005E779E" w:rsidRDefault="0059380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МосГИРД стала инициатором всесоюзной кампании по сбору пожертвований «На штурм стратосферы» (кстати, имен</w:t>
      </w:r>
      <w:r w:rsidRPr="005E779E">
        <w:rPr>
          <w:rFonts w:ascii="Times New Roman" w:hAnsi="Times New Roman"/>
          <w:color w:val="000000" w:themeColor="text1"/>
          <w:sz w:val="16"/>
          <w:szCs w:val="16"/>
        </w:rPr>
        <w:softHyphen/>
        <w:t>но с этим «штурмом» связана идея высотного ракетоплана Коро</w:t>
      </w:r>
      <w:r w:rsidRPr="005E779E">
        <w:rPr>
          <w:rFonts w:ascii="Times New Roman" w:hAnsi="Times New Roman"/>
          <w:color w:val="000000" w:themeColor="text1"/>
          <w:sz w:val="16"/>
          <w:szCs w:val="16"/>
        </w:rPr>
        <w:softHyphen/>
        <w:t>лева). Её продолжили стратосферные комитеты ОСОВИАХИМа и АвиаВНИТО.</w:t>
      </w:r>
    </w:p>
    <w:p w14:paraId="168EFBAA" w14:textId="77777777" w:rsidR="00593807" w:rsidRPr="005E779E" w:rsidRDefault="0059380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Руководство АвиаВНИТО в 1935 г. выделило из собранных средств 5 тысяч рублей на постройку стратосферной ракеты АвиаВНИТО, проект которой предложила группа инженеров РНИИ во главе с М. К. Тихомировым. Они занимались этой ра</w:t>
      </w:r>
      <w:r w:rsidRPr="005E779E">
        <w:rPr>
          <w:rFonts w:ascii="Times New Roman" w:hAnsi="Times New Roman"/>
          <w:color w:val="000000" w:themeColor="text1"/>
          <w:sz w:val="16"/>
          <w:szCs w:val="16"/>
        </w:rPr>
        <w:softHyphen/>
        <w:t>кетой в свободное время, бесплатно.</w:t>
      </w:r>
    </w:p>
    <w:p w14:paraId="06597736" w14:textId="77777777" w:rsidR="00593807" w:rsidRPr="005E779E" w:rsidRDefault="0059380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Выделенные деньги пошли на приобретение материалов, топ</w:t>
      </w:r>
      <w:r w:rsidRPr="005E779E">
        <w:rPr>
          <w:rFonts w:ascii="Times New Roman" w:hAnsi="Times New Roman"/>
          <w:color w:val="000000" w:themeColor="text1"/>
          <w:sz w:val="16"/>
          <w:szCs w:val="16"/>
        </w:rPr>
        <w:softHyphen/>
        <w:t>лива, оплату транспорта и т. д. Естественно, работы растянулись надолго.</w:t>
      </w:r>
    </w:p>
    <w:p w14:paraId="313F0CEA" w14:textId="77777777" w:rsidR="00593807" w:rsidRPr="005E779E" w:rsidRDefault="0059380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Тихмиров взял корпус своей ракеты ГИРД-05, построенной в 1933 г. под двигатель Глушко ОРМ-50 (который оказался непри</w:t>
      </w:r>
      <w:r w:rsidRPr="005E779E">
        <w:rPr>
          <w:rFonts w:ascii="Times New Roman" w:hAnsi="Times New Roman"/>
          <w:color w:val="000000" w:themeColor="text1"/>
          <w:sz w:val="16"/>
          <w:szCs w:val="16"/>
        </w:rPr>
        <w:softHyphen/>
        <w:t>годным), и поставил в него двигатель 12К конструкции Душки</w:t>
      </w:r>
      <w:r w:rsidRPr="005E779E">
        <w:rPr>
          <w:rFonts w:ascii="Times New Roman" w:hAnsi="Times New Roman"/>
          <w:color w:val="000000" w:themeColor="text1"/>
          <w:sz w:val="16"/>
          <w:szCs w:val="16"/>
        </w:rPr>
        <w:softHyphen/>
        <w:t>на. Этот двигатель, использовавший жидкий кислород и этило</w:t>
      </w:r>
      <w:r w:rsidRPr="005E779E">
        <w:rPr>
          <w:rFonts w:ascii="Times New Roman" w:hAnsi="Times New Roman"/>
          <w:color w:val="000000" w:themeColor="text1"/>
          <w:sz w:val="16"/>
          <w:szCs w:val="16"/>
        </w:rPr>
        <w:softHyphen/>
        <w:t>вый спирт, работал 60 секунд. Вместо прежних стабилизаторов ракеты 05 установили другие — от построенной в 1934 г. (но не использованной из-за отсутствия двигателя) ракеты конструкции Владимира Зуева.</w:t>
      </w:r>
    </w:p>
    <w:p w14:paraId="5ADF2C9F" w14:textId="77777777" w:rsidR="00593807" w:rsidRPr="005E779E" w:rsidRDefault="0059380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итоге появилась ракета стартовым ве</w:t>
      </w:r>
      <w:r w:rsidRPr="005E779E">
        <w:rPr>
          <w:rFonts w:ascii="Times New Roman" w:hAnsi="Times New Roman"/>
          <w:color w:val="000000" w:themeColor="text1"/>
          <w:sz w:val="16"/>
          <w:szCs w:val="16"/>
        </w:rPr>
        <w:softHyphen/>
        <w:t>сом 100 кг (из них дви</w:t>
      </w:r>
      <w:r w:rsidRPr="005E779E">
        <w:rPr>
          <w:rFonts w:ascii="Times New Roman" w:hAnsi="Times New Roman"/>
          <w:color w:val="000000" w:themeColor="text1"/>
          <w:sz w:val="16"/>
          <w:szCs w:val="16"/>
        </w:rPr>
        <w:softHyphen/>
        <w:t>гатель 15 кг, топливо и окислитель 32 кг, парашют 8 кг), с тягой двигателя до 207 кг/сек. По расчетам, она долж</w:t>
      </w:r>
      <w:r w:rsidRPr="005E779E">
        <w:rPr>
          <w:rFonts w:ascii="Times New Roman" w:hAnsi="Times New Roman"/>
          <w:color w:val="000000" w:themeColor="text1"/>
          <w:sz w:val="16"/>
          <w:szCs w:val="16"/>
        </w:rPr>
        <w:softHyphen/>
        <w:t>на была достичь вы</w:t>
      </w:r>
      <w:r w:rsidRPr="005E779E">
        <w:rPr>
          <w:rFonts w:ascii="Times New Roman" w:hAnsi="Times New Roman"/>
          <w:color w:val="000000" w:themeColor="text1"/>
          <w:sz w:val="16"/>
          <w:szCs w:val="16"/>
        </w:rPr>
        <w:softHyphen/>
        <w:t>соты 3800 м. Правда, стратосфера начинает</w:t>
      </w:r>
      <w:r w:rsidRPr="005E779E">
        <w:rPr>
          <w:rFonts w:ascii="Times New Roman" w:hAnsi="Times New Roman"/>
          <w:color w:val="000000" w:themeColor="text1"/>
          <w:sz w:val="16"/>
          <w:szCs w:val="16"/>
        </w:rPr>
        <w:softHyphen/>
        <w:t>ся с высоты 8000 м, но на большее этот гиб</w:t>
      </w:r>
      <w:r w:rsidRPr="005E779E">
        <w:rPr>
          <w:rFonts w:ascii="Times New Roman" w:hAnsi="Times New Roman"/>
          <w:color w:val="000000" w:themeColor="text1"/>
          <w:sz w:val="16"/>
          <w:szCs w:val="16"/>
        </w:rPr>
        <w:softHyphen/>
        <w:t>рид не был способен в принципе.</w:t>
      </w:r>
    </w:p>
    <w:p w14:paraId="3EBFB1C5" w14:textId="77777777" w:rsidR="00593807" w:rsidRPr="005E779E" w:rsidRDefault="0059380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Первый пуск со</w:t>
      </w:r>
      <w:r w:rsidRPr="005E779E">
        <w:rPr>
          <w:rFonts w:ascii="Times New Roman" w:hAnsi="Times New Roman"/>
          <w:color w:val="000000" w:themeColor="text1"/>
          <w:sz w:val="16"/>
          <w:szCs w:val="16"/>
        </w:rPr>
        <w:softHyphen/>
        <w:t>стоялся в апреле 1936 г. на полигоне в Наха</w:t>
      </w:r>
      <w:r w:rsidRPr="005E779E">
        <w:rPr>
          <w:rFonts w:ascii="Times New Roman" w:hAnsi="Times New Roman"/>
          <w:color w:val="000000" w:themeColor="text1"/>
          <w:sz w:val="16"/>
          <w:szCs w:val="16"/>
        </w:rPr>
        <w:softHyphen/>
        <w:t>бино. Газета «Правда» напечатала очерк своего корреспондента Л. Бронтмана «Ракета идет в воздух» с фотографией ракеты в станке.</w:t>
      </w:r>
    </w:p>
    <w:p w14:paraId="5B139C85" w14:textId="77777777" w:rsidR="00593807" w:rsidRPr="005E779E" w:rsidRDefault="0059380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Вот фрагмент очерка:</w:t>
      </w:r>
    </w:p>
    <w:p w14:paraId="1A687EDF" w14:textId="77777777" w:rsidR="00593807" w:rsidRPr="005E779E" w:rsidRDefault="0059380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Механик включил рубильник электрического запала. Се</w:t>
      </w:r>
      <w:r w:rsidRPr="005E779E">
        <w:rPr>
          <w:rFonts w:ascii="Times New Roman" w:hAnsi="Times New Roman"/>
          <w:color w:val="000000" w:themeColor="text1"/>
          <w:sz w:val="16"/>
          <w:szCs w:val="16"/>
        </w:rPr>
        <w:softHyphen/>
        <w:t>рый дымок испаряющегося топлива. Искра. И вдруг у подножия ракеты показался ослепительно желтый язык пламени. Ракета медленно пошла вверх по направляющим штангам станка, вы</w:t>
      </w:r>
      <w:r w:rsidRPr="005E779E">
        <w:rPr>
          <w:rFonts w:ascii="Times New Roman" w:hAnsi="Times New Roman"/>
          <w:color w:val="000000" w:themeColor="text1"/>
          <w:sz w:val="16"/>
          <w:szCs w:val="16"/>
        </w:rPr>
        <w:softHyphen/>
        <w:t>скользнула из его стальных объятий и устремилась ввысь. По</w:t>
      </w:r>
      <w:r w:rsidRPr="005E779E">
        <w:rPr>
          <w:rFonts w:ascii="Times New Roman" w:hAnsi="Times New Roman"/>
          <w:color w:val="000000" w:themeColor="text1"/>
          <w:sz w:val="16"/>
          <w:szCs w:val="16"/>
        </w:rPr>
        <w:softHyphen/>
        <w:t>лет представлял необычайно эффектное и красивое зрелище. Из сопла мотора вылетало пламя, истечение газов сопровождалось густым низким звуком. После подъема на небольшую высоту в ракете раскрылся белый купол парашюта, и она плавно опу</w:t>
      </w:r>
      <w:r w:rsidRPr="005E779E">
        <w:rPr>
          <w:rFonts w:ascii="Times New Roman" w:hAnsi="Times New Roman"/>
          <w:color w:val="000000" w:themeColor="text1"/>
          <w:sz w:val="16"/>
          <w:szCs w:val="16"/>
        </w:rPr>
        <w:softHyphen/>
        <w:t>стилась на снежное поле.</w:t>
      </w:r>
    </w:p>
    <w:p w14:paraId="35D801B6" w14:textId="77777777" w:rsidR="00593807" w:rsidRPr="005E779E" w:rsidRDefault="0059380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последующих пусков вместо станка использовали дере</w:t>
      </w:r>
      <w:r w:rsidRPr="005E779E">
        <w:rPr>
          <w:rFonts w:ascii="Times New Roman" w:hAnsi="Times New Roman"/>
          <w:color w:val="000000" w:themeColor="text1"/>
          <w:sz w:val="16"/>
          <w:szCs w:val="16"/>
        </w:rPr>
        <w:softHyphen/>
        <w:t>вянную мачту высотой 48 м (вариант радиомачты) с направляю</w:t>
      </w:r>
      <w:r w:rsidRPr="005E779E">
        <w:rPr>
          <w:rFonts w:ascii="Times New Roman" w:hAnsi="Times New Roman"/>
          <w:color w:val="000000" w:themeColor="text1"/>
          <w:sz w:val="16"/>
          <w:szCs w:val="16"/>
        </w:rPr>
        <w:softHyphen/>
        <w:t>щей планкой (рельсом от узкоколейки), которую охватывали дер</w:t>
      </w:r>
      <w:r w:rsidRPr="005E779E">
        <w:rPr>
          <w:rFonts w:ascii="Times New Roman" w:hAnsi="Times New Roman"/>
          <w:color w:val="000000" w:themeColor="text1"/>
          <w:sz w:val="16"/>
          <w:szCs w:val="16"/>
        </w:rPr>
        <w:softHyphen/>
        <w:t>жатели — лапки ракеты.</w:t>
      </w:r>
    </w:p>
    <w:p w14:paraId="3AC66EA5" w14:textId="77777777" w:rsidR="00593807" w:rsidRPr="005E779E" w:rsidRDefault="0059380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Попытка 2 августа 1937 г. не удалась из-за отказа манометра давления в баках.</w:t>
      </w:r>
    </w:p>
    <w:p w14:paraId="698F8D60" w14:textId="77777777" w:rsidR="00593807" w:rsidRPr="005E779E" w:rsidRDefault="00593807"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Пуск 15 августа 1937 г. прошел успешно, ракета скрылась из поля зрения. На максимальной высоте подъема ракеты парашют раскрылся, но его крепление оборвалось, ракета упала и разби</w:t>
      </w:r>
      <w:r w:rsidRPr="005E779E">
        <w:rPr>
          <w:rFonts w:ascii="Times New Roman" w:hAnsi="Times New Roman"/>
          <w:color w:val="000000" w:themeColor="text1"/>
          <w:sz w:val="16"/>
          <w:szCs w:val="16"/>
        </w:rPr>
        <w:softHyphen/>
        <w:t>лась. Прибор записи высоты нашли, он показал высоту 2400 м. До проектной высоты не хватило 37 % (23550).</w:t>
      </w:r>
    </w:p>
    <w:p w14:paraId="432F891F" w14:textId="77777777" w:rsidR="00593807" w:rsidRPr="005E779E" w:rsidRDefault="00593807" w:rsidP="000B7A6C">
      <w:pPr>
        <w:spacing w:after="0" w:line="240" w:lineRule="auto"/>
        <w:jc w:val="both"/>
        <w:rPr>
          <w:rFonts w:ascii="Times New Roman" w:hAnsi="Times New Roman"/>
          <w:color w:val="000000" w:themeColor="text1"/>
          <w:sz w:val="16"/>
          <w:szCs w:val="16"/>
        </w:rPr>
      </w:pPr>
    </w:p>
    <w:p w14:paraId="2BF7CAFD" w14:textId="77777777" w:rsidR="00C356D8" w:rsidRPr="00951B40" w:rsidRDefault="00C356D8" w:rsidP="00C356D8">
      <w:pPr>
        <w:spacing w:after="0" w:line="240" w:lineRule="auto"/>
        <w:jc w:val="both"/>
        <w:rPr>
          <w:rStyle w:val="aff0"/>
          <w:rFonts w:ascii="Times New Roman" w:hAnsi="Times New Roman" w:cs="Times New Roman"/>
          <w:color w:val="0070C0"/>
          <w:spacing w:val="0"/>
          <w:sz w:val="16"/>
          <w:szCs w:val="16"/>
        </w:rPr>
      </w:pPr>
      <w:r w:rsidRPr="00951B40">
        <w:rPr>
          <w:rStyle w:val="aff0"/>
          <w:rFonts w:ascii="Times New Roman" w:hAnsi="Times New Roman" w:cs="Times New Roman"/>
          <w:color w:val="0070C0"/>
          <w:spacing w:val="0"/>
          <w:sz w:val="16"/>
          <w:szCs w:val="16"/>
        </w:rPr>
        <w:t>В 1931 г. И.П.Граве арестовали. Обвинения во «вредительстве» в ходе следствия не подтвердились, ученый был освобож</w:t>
      </w:r>
      <w:r w:rsidRPr="00951B40">
        <w:rPr>
          <w:rStyle w:val="aff0"/>
          <w:rFonts w:ascii="Times New Roman" w:hAnsi="Times New Roman" w:cs="Times New Roman"/>
          <w:color w:val="0070C0"/>
          <w:spacing w:val="0"/>
          <w:sz w:val="16"/>
          <w:szCs w:val="16"/>
        </w:rPr>
        <w:softHyphen/>
        <w:t>ден (25777).</w:t>
      </w:r>
    </w:p>
    <w:p w14:paraId="2D1A3804" w14:textId="77777777" w:rsidR="00C356D8" w:rsidRPr="00951B40" w:rsidRDefault="00C356D8" w:rsidP="00C356D8">
      <w:pPr>
        <w:spacing w:after="0" w:line="240" w:lineRule="auto"/>
        <w:jc w:val="both"/>
        <w:rPr>
          <w:rStyle w:val="aff0"/>
          <w:rFonts w:ascii="Times New Roman" w:hAnsi="Times New Roman" w:cs="Times New Roman"/>
          <w:color w:val="0070C0"/>
          <w:spacing w:val="0"/>
          <w:sz w:val="16"/>
          <w:szCs w:val="16"/>
        </w:rPr>
      </w:pPr>
    </w:p>
    <w:p w14:paraId="61E3B8DC" w14:textId="77777777" w:rsidR="00C356D8" w:rsidRPr="00951B40" w:rsidRDefault="00C356D8" w:rsidP="00C356D8">
      <w:pPr>
        <w:spacing w:after="0" w:line="240" w:lineRule="auto"/>
        <w:jc w:val="both"/>
        <w:rPr>
          <w:rFonts w:ascii="Times New Roman" w:hAnsi="Times New Roman"/>
          <w:color w:val="0070C0"/>
          <w:sz w:val="16"/>
          <w:szCs w:val="16"/>
        </w:rPr>
      </w:pPr>
      <w:r w:rsidRPr="00951B40">
        <w:rPr>
          <w:rStyle w:val="aff0"/>
          <w:rFonts w:ascii="Times New Roman" w:hAnsi="Times New Roman" w:cs="Times New Roman"/>
          <w:color w:val="0070C0"/>
          <w:spacing w:val="0"/>
          <w:sz w:val="16"/>
          <w:szCs w:val="16"/>
        </w:rPr>
        <w:t>В 1931г. ГДЛ была организа</w:t>
      </w:r>
      <w:r w:rsidRPr="00951B40">
        <w:rPr>
          <w:rStyle w:val="aff0"/>
          <w:rFonts w:ascii="Times New Roman" w:hAnsi="Times New Roman" w:cs="Times New Roman"/>
          <w:color w:val="0070C0"/>
          <w:spacing w:val="0"/>
          <w:sz w:val="16"/>
          <w:szCs w:val="16"/>
        </w:rPr>
        <w:softHyphen/>
        <w:t>ционно разбита на 7 секторов (в 1932- м их переименовали в отделы):</w:t>
      </w:r>
    </w:p>
    <w:p w14:paraId="7837ADBB" w14:textId="77777777" w:rsidR="00C356D8" w:rsidRPr="00951B40" w:rsidRDefault="00C356D8" w:rsidP="00C356D8">
      <w:pPr>
        <w:widowControl w:val="0"/>
        <w:tabs>
          <w:tab w:val="left" w:pos="770"/>
        </w:tabs>
        <w:spacing w:after="0" w:line="240" w:lineRule="auto"/>
        <w:jc w:val="both"/>
        <w:rPr>
          <w:rFonts w:ascii="Times New Roman" w:hAnsi="Times New Roman"/>
          <w:color w:val="0070C0"/>
          <w:sz w:val="16"/>
          <w:szCs w:val="16"/>
        </w:rPr>
      </w:pPr>
      <w:r w:rsidRPr="00951B40">
        <w:rPr>
          <w:rStyle w:val="aff0"/>
          <w:rFonts w:ascii="Times New Roman" w:hAnsi="Times New Roman" w:cs="Times New Roman"/>
          <w:color w:val="0070C0"/>
          <w:spacing w:val="0"/>
          <w:sz w:val="16"/>
          <w:szCs w:val="16"/>
        </w:rPr>
        <w:t>1 сектор - пороховые ракеты (начальник Г.Э.Лангемак);</w:t>
      </w:r>
    </w:p>
    <w:p w14:paraId="0B10C8A9" w14:textId="77777777" w:rsidR="00C356D8" w:rsidRPr="00951B40" w:rsidRDefault="00C356D8" w:rsidP="00C356D8">
      <w:pPr>
        <w:widowControl w:val="0"/>
        <w:tabs>
          <w:tab w:val="left" w:pos="792"/>
        </w:tabs>
        <w:spacing w:after="0" w:line="240" w:lineRule="auto"/>
        <w:jc w:val="both"/>
        <w:rPr>
          <w:rFonts w:ascii="Times New Roman" w:hAnsi="Times New Roman"/>
          <w:color w:val="0070C0"/>
          <w:sz w:val="16"/>
          <w:szCs w:val="16"/>
        </w:rPr>
      </w:pPr>
      <w:r w:rsidRPr="00951B40">
        <w:rPr>
          <w:rStyle w:val="aff0"/>
          <w:rFonts w:ascii="Times New Roman" w:hAnsi="Times New Roman" w:cs="Times New Roman"/>
          <w:color w:val="0070C0"/>
          <w:spacing w:val="0"/>
          <w:sz w:val="16"/>
          <w:szCs w:val="16"/>
        </w:rPr>
        <w:t>2 сектор - ракеты на жидком топливе (В.П.Глушко);</w:t>
      </w:r>
    </w:p>
    <w:p w14:paraId="1DEEBA43" w14:textId="77777777" w:rsidR="00C356D8" w:rsidRPr="00951B40" w:rsidRDefault="00C356D8" w:rsidP="00C356D8">
      <w:pPr>
        <w:widowControl w:val="0"/>
        <w:tabs>
          <w:tab w:val="left" w:pos="784"/>
        </w:tabs>
        <w:spacing w:after="0" w:line="240" w:lineRule="auto"/>
        <w:jc w:val="both"/>
        <w:rPr>
          <w:rFonts w:ascii="Times New Roman" w:hAnsi="Times New Roman"/>
          <w:color w:val="0070C0"/>
          <w:sz w:val="16"/>
          <w:szCs w:val="16"/>
        </w:rPr>
      </w:pPr>
      <w:r w:rsidRPr="00951B40">
        <w:rPr>
          <w:rStyle w:val="aff0"/>
          <w:rFonts w:ascii="Times New Roman" w:hAnsi="Times New Roman" w:cs="Times New Roman"/>
          <w:color w:val="0070C0"/>
          <w:spacing w:val="0"/>
          <w:sz w:val="16"/>
          <w:szCs w:val="16"/>
        </w:rPr>
        <w:t>3 сектор - авиационные поро</w:t>
      </w:r>
      <w:r w:rsidRPr="00951B40">
        <w:rPr>
          <w:rStyle w:val="aff0"/>
          <w:rFonts w:ascii="Times New Roman" w:hAnsi="Times New Roman" w:cs="Times New Roman"/>
          <w:color w:val="0070C0"/>
          <w:spacing w:val="0"/>
          <w:sz w:val="16"/>
          <w:szCs w:val="16"/>
        </w:rPr>
        <w:softHyphen/>
        <w:t>ховые ракеты (В.И.Дудаков);</w:t>
      </w:r>
    </w:p>
    <w:p w14:paraId="6A6C5F06" w14:textId="77777777" w:rsidR="00C356D8" w:rsidRPr="00951B40" w:rsidRDefault="00C356D8" w:rsidP="00C356D8">
      <w:pPr>
        <w:widowControl w:val="0"/>
        <w:tabs>
          <w:tab w:val="left" w:pos="795"/>
        </w:tabs>
        <w:spacing w:after="0" w:line="240" w:lineRule="auto"/>
        <w:jc w:val="both"/>
        <w:rPr>
          <w:rFonts w:ascii="Times New Roman" w:hAnsi="Times New Roman"/>
          <w:color w:val="0070C0"/>
          <w:sz w:val="16"/>
          <w:szCs w:val="16"/>
        </w:rPr>
      </w:pPr>
      <w:r w:rsidRPr="00951B40">
        <w:rPr>
          <w:rStyle w:val="aff0"/>
          <w:rFonts w:ascii="Times New Roman" w:hAnsi="Times New Roman" w:cs="Times New Roman"/>
          <w:color w:val="0070C0"/>
          <w:spacing w:val="0"/>
          <w:sz w:val="16"/>
          <w:szCs w:val="16"/>
        </w:rPr>
        <w:t>4 сектор - минометы (Н.А.Доровлев);</w:t>
      </w:r>
    </w:p>
    <w:p w14:paraId="5A865C58" w14:textId="77777777" w:rsidR="00C356D8" w:rsidRPr="00951B40" w:rsidRDefault="00C356D8" w:rsidP="00C356D8">
      <w:pPr>
        <w:widowControl w:val="0"/>
        <w:tabs>
          <w:tab w:val="left" w:pos="784"/>
        </w:tabs>
        <w:spacing w:after="0" w:line="240" w:lineRule="auto"/>
        <w:jc w:val="both"/>
        <w:rPr>
          <w:rFonts w:ascii="Times New Roman" w:hAnsi="Times New Roman"/>
          <w:color w:val="0070C0"/>
          <w:sz w:val="16"/>
          <w:szCs w:val="16"/>
        </w:rPr>
      </w:pPr>
      <w:r w:rsidRPr="00951B40">
        <w:rPr>
          <w:rStyle w:val="aff0"/>
          <w:rFonts w:ascii="Times New Roman" w:hAnsi="Times New Roman" w:cs="Times New Roman"/>
          <w:color w:val="0070C0"/>
          <w:spacing w:val="0"/>
          <w:sz w:val="16"/>
          <w:szCs w:val="16"/>
        </w:rPr>
        <w:t>5 сектор - производство поро</w:t>
      </w:r>
      <w:r w:rsidRPr="00951B40">
        <w:rPr>
          <w:rStyle w:val="aff0"/>
          <w:rFonts w:ascii="Times New Roman" w:hAnsi="Times New Roman" w:cs="Times New Roman"/>
          <w:color w:val="0070C0"/>
          <w:spacing w:val="0"/>
          <w:sz w:val="16"/>
          <w:szCs w:val="16"/>
        </w:rPr>
        <w:softHyphen/>
        <w:t>хов (И.И.Кулагин);</w:t>
      </w:r>
    </w:p>
    <w:p w14:paraId="6F917CC6" w14:textId="77777777" w:rsidR="00C356D8" w:rsidRPr="00951B40" w:rsidRDefault="00C356D8" w:rsidP="00C356D8">
      <w:pPr>
        <w:widowControl w:val="0"/>
        <w:tabs>
          <w:tab w:val="left" w:pos="788"/>
        </w:tabs>
        <w:spacing w:after="0" w:line="240" w:lineRule="auto"/>
        <w:jc w:val="both"/>
        <w:rPr>
          <w:rFonts w:ascii="Times New Roman" w:hAnsi="Times New Roman"/>
          <w:color w:val="0070C0"/>
          <w:sz w:val="16"/>
          <w:szCs w:val="16"/>
        </w:rPr>
      </w:pPr>
      <w:r w:rsidRPr="00951B40">
        <w:rPr>
          <w:rStyle w:val="aff0"/>
          <w:rFonts w:ascii="Times New Roman" w:hAnsi="Times New Roman" w:cs="Times New Roman"/>
          <w:color w:val="0070C0"/>
          <w:spacing w:val="0"/>
          <w:sz w:val="16"/>
          <w:szCs w:val="16"/>
        </w:rPr>
        <w:t>6 сектор - производственный (Е.С.Петров);</w:t>
      </w:r>
    </w:p>
    <w:p w14:paraId="3B6CABD8" w14:textId="77777777" w:rsidR="00C356D8" w:rsidRPr="00951B40" w:rsidRDefault="00C356D8" w:rsidP="00C356D8">
      <w:pPr>
        <w:widowControl w:val="0"/>
        <w:tabs>
          <w:tab w:val="left" w:pos="784"/>
        </w:tabs>
        <w:spacing w:after="0" w:line="240" w:lineRule="auto"/>
        <w:jc w:val="both"/>
        <w:rPr>
          <w:rFonts w:ascii="Times New Roman" w:hAnsi="Times New Roman"/>
          <w:color w:val="0070C0"/>
          <w:sz w:val="16"/>
          <w:szCs w:val="16"/>
        </w:rPr>
      </w:pPr>
      <w:r w:rsidRPr="00951B40">
        <w:rPr>
          <w:rStyle w:val="aff0"/>
          <w:rFonts w:ascii="Times New Roman" w:hAnsi="Times New Roman" w:cs="Times New Roman"/>
          <w:color w:val="0070C0"/>
          <w:spacing w:val="0"/>
          <w:sz w:val="16"/>
          <w:szCs w:val="16"/>
        </w:rPr>
        <w:t>7 сектор - административно- хозяйственный (В. А.Красовский) (25777).</w:t>
      </w:r>
    </w:p>
    <w:p w14:paraId="5309574F" w14:textId="77777777" w:rsidR="00C356D8" w:rsidRPr="00951B40" w:rsidRDefault="00C356D8" w:rsidP="00C356D8">
      <w:pPr>
        <w:spacing w:after="0" w:line="240" w:lineRule="auto"/>
        <w:jc w:val="both"/>
        <w:rPr>
          <w:rStyle w:val="aff0"/>
          <w:rFonts w:ascii="Times New Roman" w:hAnsi="Times New Roman" w:cs="Times New Roman"/>
          <w:color w:val="0070C0"/>
          <w:spacing w:val="0"/>
          <w:sz w:val="16"/>
          <w:szCs w:val="16"/>
        </w:rPr>
      </w:pPr>
    </w:p>
    <w:p w14:paraId="037FCE4E"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591A42E0"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5F848296" w14:textId="77777777" w:rsidR="00ED7AAA" w:rsidRPr="005E779E" w:rsidRDefault="00ED7AAA" w:rsidP="000B7A6C">
      <w:pPr>
        <w:pStyle w:val="ae"/>
        <w:shd w:val="clear" w:color="auto" w:fill="FFFFFF"/>
        <w:spacing w:before="0" w:after="0"/>
        <w:jc w:val="both"/>
        <w:rPr>
          <w:color w:val="000000" w:themeColor="text1"/>
          <w:sz w:val="16"/>
          <w:szCs w:val="16"/>
        </w:rPr>
      </w:pPr>
      <w:r w:rsidRPr="005E779E">
        <w:rPr>
          <w:color w:val="000000" w:themeColor="text1"/>
          <w:sz w:val="16"/>
          <w:szCs w:val="16"/>
        </w:rPr>
        <w:t>В 1931 г. был организован Снарядный трест, в который вошли снарядные заводы 62 (Ярославль), 63 (Нижний Тагил), 65 (Таганрог), 67 (Москва), 68 (Невьянск), 71 (Касли), 72 (Верхняя Тура), 76 (Надеждинск), 77 (Ленинград), 79 (Днепропетровск), 81 (Челябинск) и др. В годы второй пятилетки строятся снарядные заводы 61 (Липецк), 73 (Сталино), 78 (Челябинск) и др. Накануне Великой Отечественной войны были введены в действие снарядные заводы 56 (Нижний Тагил), 113 (Сельцо-Брянское Орловской обл.), 114 (Копейск), 144 (Сталино), 259 (Златоуст). На Урале вступает в строй артиллерийский полигон, где испытывается новая техника и боеприпасы к ней (19154).</w:t>
      </w:r>
    </w:p>
    <w:p w14:paraId="79928DF4" w14:textId="77777777" w:rsidR="00ED7AAA" w:rsidRPr="005E779E" w:rsidRDefault="00ED7AAA" w:rsidP="000B7A6C">
      <w:pPr>
        <w:pStyle w:val="ae"/>
        <w:shd w:val="clear" w:color="auto" w:fill="FFFFFF"/>
        <w:spacing w:before="0" w:after="0"/>
        <w:jc w:val="both"/>
        <w:rPr>
          <w:color w:val="000000" w:themeColor="text1"/>
          <w:sz w:val="16"/>
          <w:szCs w:val="16"/>
        </w:rPr>
      </w:pPr>
    </w:p>
    <w:p w14:paraId="065CC534" w14:textId="77777777" w:rsidR="00360440" w:rsidRPr="005E779E" w:rsidRDefault="003604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 в 1931—1935 гг. заводы изготовили свыше 5000 сухопутных, морских и авиационных пушек Курчевского, то есть от 30 до 50% от числа заказанных. Военпреды приняли от промышленности не более 2000 орудий, и лишь около 1000 попали в войска. Однако и орудия, попавшие на службу, быстро списывались или переводились в категорию учебных (15117).</w:t>
      </w:r>
    </w:p>
    <w:p w14:paraId="3005FD3C" w14:textId="77777777" w:rsidR="00360440" w:rsidRPr="005E779E" w:rsidRDefault="00360440" w:rsidP="000B7A6C">
      <w:pPr>
        <w:spacing w:after="0" w:line="240" w:lineRule="auto"/>
        <w:jc w:val="both"/>
        <w:rPr>
          <w:rFonts w:ascii="Times New Roman" w:hAnsi="Times New Roman"/>
          <w:color w:val="000000" w:themeColor="text1"/>
          <w:sz w:val="16"/>
          <w:szCs w:val="16"/>
        </w:rPr>
      </w:pPr>
    </w:p>
    <w:p w14:paraId="70D0BA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было образовано СКБ по механическим часовым взрывателям как самостоятельное КБ на базе подразделения ЦКБ-22. Возглавили А.Я. Карпов и Я.А. Савельев. Работали: В.К. Пономарев, И.И. Кейн (оба во время ВОВ- в ЦКБ-22). Разработка механических (часовых) взрывателей для снарядов зенитной артиллерии и АБ. Взрыватели ГВМЗ-1 и ГВМЗ-7, МП-82 для мин ВМ-16 (11982).</w:t>
      </w:r>
    </w:p>
    <w:p w14:paraId="1280EA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6A3277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 1931 году МАП вновь получил самостоятельность, но не надолго, так как в 1932 был создан Артиллерийский Научно-Исследовательский Морской Артиллерийский институт (АНИМИ), в штат которого вошел и полигон. Из состава АНИМИ полигон был выведен только лишь в 1937 году и преобразован в Научно-Испытательный Морской Артиллерийский Полигон (НИМАП) (12031).</w:t>
      </w:r>
    </w:p>
    <w:p w14:paraId="6C2CF5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3C061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один из корпусов завода № 7 был отдан заводу «Кинап». До осени 1939 г. заводу принадлежало и здание XVII в. по ул. Комсомола, д. 1/3, корпус «а», затем здание передано НИИ-22 НКАП (10776).</w:t>
      </w:r>
    </w:p>
    <w:p w14:paraId="5671531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48C85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для проведения контрольных испытаний боеприпасов создан Павлоградский артиллерийский полигон НКОП. В 1938г. утвержден техпроект полигона, находившегося в ведении Бюро комплектации НКОП (и на 12.1938г.). По приказу НКБ № 332 от 2.09.1940 г. полигон передан в ведение ГУ полигонов НКБ."</w:t>
      </w:r>
    </w:p>
    <w:p w14:paraId="2DF3D0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пост. ГКО № 510 от 18.08.1941 г. полигон эвакуирован в Новосибирск на Артполигон, где частично восстановлен, матчасть частично передана в НКО. Затем полигон восстановлен на прежнем месте.</w:t>
      </w:r>
      <w:r w:rsidRPr="005E779E">
        <w:rPr>
          <w:rFonts w:ascii="Times New Roman" w:hAnsi="Times New Roman"/>
          <w:color w:val="000000" w:themeColor="text1"/>
          <w:sz w:val="16"/>
          <w:szCs w:val="16"/>
          <w:vertAlign w:val="superscript"/>
        </w:rPr>
        <w:t>132</w:t>
      </w:r>
    </w:p>
    <w:p w14:paraId="7D9919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1956г. на базе Павлоградского полигона создано СКБ-10 в ведении 7ГУ ГКОТ для разработки специального противотанкового бронебойного активно-реактивного выстрела. Смежником СКБ по разработке выстрела стал завод № 55 Днепропетровского СНХ.</w:t>
      </w:r>
    </w:p>
    <w:p w14:paraId="7578B9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ГКОТ № 48 от 15.04.1961 г. на базе СКБ-10 образован филиал № 2 ОКБ-586 для разработки РДТТ. В составе филиала организовано два отдела: испытательный № 7 и конструкторский № 10.</w:t>
      </w:r>
    </w:p>
    <w:p w14:paraId="335E703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Численность персонала (11.1943г.)- 200 чел.</w:t>
      </w:r>
    </w:p>
    <w:p w14:paraId="4904F7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 (1956-61 г.)- С.Д. Бадоев.</w:t>
      </w:r>
    </w:p>
    <w:p w14:paraId="5EA0886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конструктор (1961 г.-)- Б.Е. Андреев.</w:t>
      </w:r>
    </w:p>
    <w:p w14:paraId="4F9E2F4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инженер (1961 г.-)- Н.Ф. Куриленко.</w:t>
      </w:r>
    </w:p>
    <w:p w14:paraId="0288E92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Начальники отделов: № 7 (1961 г.-)- П.Ф. Божков; № Ю (1961 г.-)- Н.Д. Модестов.</w:t>
      </w:r>
    </w:p>
    <w:p w14:paraId="59642F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Испытания:</w:t>
      </w:r>
      <w:r w:rsidRPr="005E779E">
        <w:rPr>
          <w:rFonts w:ascii="Times New Roman" w:hAnsi="Times New Roman"/>
          <w:color w:val="000000" w:themeColor="text1"/>
          <w:sz w:val="16"/>
          <w:szCs w:val="16"/>
          <w:lang w:val="en-US"/>
        </w:rPr>
        <w:t>PC</w:t>
      </w:r>
      <w:r w:rsidRPr="005E779E">
        <w:rPr>
          <w:rFonts w:ascii="Times New Roman" w:hAnsi="Times New Roman"/>
          <w:color w:val="000000" w:themeColor="text1"/>
          <w:sz w:val="16"/>
          <w:szCs w:val="16"/>
        </w:rPr>
        <w:t>: ДРСП-1 (7-20.10.1947) (11982).</w:t>
      </w:r>
    </w:p>
    <w:p w14:paraId="738A36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86AB53D" w14:textId="474439EE"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1931 дроболитейный завод № 5 переименован в завод № 58 им. Ворошилова и передан в ведение Патрубвзрыва НКТП (Завод № 58 им. Клима Ворошилова НКТИ, НКОП, НКБ, </w:t>
      </w:r>
      <w:r w:rsidRPr="005E779E">
        <w:rPr>
          <w:rFonts w:ascii="Times New Roman" w:hAnsi="Times New Roman"/>
          <w:color w:val="000000" w:themeColor="text1"/>
          <w:sz w:val="16"/>
          <w:szCs w:val="16"/>
          <w:lang w:val="en-US"/>
        </w:rPr>
        <w:t>HKB</w:t>
      </w:r>
      <w:r w:rsidRPr="005E779E">
        <w:rPr>
          <w:rFonts w:ascii="Times New Roman" w:hAnsi="Times New Roman"/>
          <w:color w:val="000000" w:themeColor="text1"/>
          <w:sz w:val="16"/>
          <w:szCs w:val="16"/>
        </w:rPr>
        <w:t>, МСХМ, о/я 551, Завод радиотехнической аппаратуры (ЗРТА) / г. Москва п/я 551 «Дробь» (1943 г.)/ /129626</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Москва пр. Мира, 102/). До середины 1930-х относился к числу патронных заводов. В 12.1936 г. завод № 58 им. Клима Ворошилова передан из НКТП в ведение НКОП, приказом № 91 от 13.03.1937 г. утвержден Устав ГС завода № 58. По пр. № 0089 от 20.04.1937 г. передан из 4ГУ в новое 12ГУ, по пр. № 00283 от 26.12.1937 г., в связи со специализацией на гранатах, возвращен в 4ГУ. В 02.1939 г. завод № 58 4ГУ НКОП передан в ведение 4ГУ НКБ. В 1940 г. завод реконструирован. Перед войной организованы гальванический, станкостроительный, ремонтный цеха.</w:t>
      </w:r>
    </w:p>
    <w:p w14:paraId="50B7980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Приказом НКОП № 0025 от 4.02.1937 г. заводу предписано к 1.01.1938 г. создать мощности по выпуску патронов - 500 млн. шт. в год. По пр. № 00283 от 26.12.1937 г. требовалось монтаж цеха винтовочных гильз прекратить, оборудование передать заводу № 46.</w:t>
      </w:r>
    </w:p>
    <w:p w14:paraId="2E5077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Приказом № 0224 от 28.09.1937 г. заводу была установлена программа по выпуску в 1938 г. 1045 спецмашин, аппаратов и приборов. Приказом № 106с от 25.03.1938 г. заводу предписано изготовить в 1938 г. 2,5 млн. шт. оборонительных чехлов и 300 тыс. шт. корпусов винтовочных гранат. Пр. № 123с от 5/7.04.1938 г. требовалось развернуть на заводе валовое производство гильз к 82-мм миномету М-82 со сдачей во 2-м квартале 200 тыс.</w:t>
      </w:r>
    </w:p>
    <w:p w14:paraId="60156C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пост. СНК № 187сс от 1.12.1937 г. и приказом НКОП № 00283 для разработки гранат с 15.03.1938 г. образовано специализированное КБ по гранатам завода № 58 им. К.Е. Ворошилова, далее - КБ-30. После войны ГСКБ-30 переведено в НИИ-24.</w:t>
      </w:r>
    </w:p>
    <w:p w14:paraId="30F90D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06.1939 г. на территории завода действовал опытно-производственный цех КБ-25 НКБ.</w:t>
      </w:r>
    </w:p>
    <w:p w14:paraId="5D7AC5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Мощность завода (перед эвакуацией): мины и сигнальные гильзы 16-, 20- и 26-мм - 90 млн. шт. в год; ПП-3 - 18 млн. шт.; МУВ - 9,6 млн. шт.; РПГ-40 - 1,8 млн. шт.</w:t>
      </w:r>
    </w:p>
    <w:p w14:paraId="4A03E0A8" w14:textId="6B38EAC3"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Постановлению ГКО № 99сс от 11.07.1941 г. часть завода № 58 6ГУ планировалось эвакуировать в</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Муром, в итоге часть завода была эвакуирована в</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Киров на площадку завода № 609 НКБ (производство ПП-3, МУВ, РПГ-40 и деталей к РГ-33; всего 422 ед. оборудования, 200 чел.), часть завода (производство гильз 16-, 1 и 26-мм, 161 ед. оборудования, 96 чел.) - на площадку Бумкомбината в</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Новая Ляля Свердловской обл. Ча&lt; завода продолжила действовать в Москве. В 1942 г. на старом месте возобновлено производство авиабомб</w:t>
      </w:r>
      <w:r w:rsidRPr="005E779E">
        <w:rPr>
          <w:rFonts w:ascii="Times New Roman" w:hAnsi="Times New Roman"/>
          <w:iCs/>
          <w:color w:val="000000" w:themeColor="text1"/>
          <w:sz w:val="16"/>
          <w:szCs w:val="16"/>
        </w:rPr>
        <w:t xml:space="preserve"> ФА </w:t>
      </w:r>
      <w:r w:rsidRPr="005E779E">
        <w:rPr>
          <w:rFonts w:ascii="Times New Roman" w:hAnsi="Times New Roman"/>
          <w:color w:val="000000" w:themeColor="text1"/>
          <w:sz w:val="16"/>
          <w:szCs w:val="16"/>
        </w:rPr>
        <w:t>250, ФАБ-500. В 12.1942-04.1943 г. - в ведении 6ГУ НКБ. Имел обозначение «п/я 551» (1943 г.).</w:t>
      </w:r>
    </w:p>
    <w:p w14:paraId="11CE5E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составе завода цехи (1943 г.): основные: № 1, 2, 3, 5, 7, 8, 9, 10, 12, 13; вспомогательные: инструментальш № 4, тарный № 6, ремонтно-механический № 11, ремонтно-строительный, транспортный. Количест оборудования- 831 ед. В 1945 г. организован литейный цех.</w:t>
      </w:r>
    </w:p>
    <w:p w14:paraId="351C98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решению ГКО в конце 1945 г. завод был переориентирован на производство радиовзрывателей д зенитных снарядов и бомб. На площадке завода № 58 создан Государственный НИИ-504 для разрабоп неконтактных взрывателей для ЗУР. В 1946 г. пост. СМ СССР завод был придан институту в качестве опытно производства. В 1966 г. завод № 58 переименован в ЗРТА. В 1977 г. Пост. СМ СССР на базе НИИРТА и опыта» ЗРТА создано НПО «Импульс».'™™</w:t>
      </w:r>
      <w:r w:rsidRPr="005E779E">
        <w:rPr>
          <w:rFonts w:ascii="Times New Roman" w:hAnsi="Times New Roman"/>
          <w:color w:val="000000" w:themeColor="text1"/>
          <w:sz w:val="16"/>
          <w:szCs w:val="16"/>
          <w:vertAlign w:val="superscript"/>
          <w:lang w:val="en-US"/>
        </w:rPr>
        <w:t>impulsra</w:t>
      </w:r>
    </w:p>
    <w:p w14:paraId="250F1C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Площадь (1943 г.): производственная- 16103 м</w:t>
      </w:r>
      <w:r w:rsidRPr="005E779E">
        <w:rPr>
          <w:rFonts w:ascii="Times New Roman" w:hAnsi="Times New Roman"/>
          <w:color w:val="000000" w:themeColor="text1"/>
          <w:sz w:val="16"/>
          <w:szCs w:val="16"/>
          <w:vertAlign w:val="superscript"/>
        </w:rPr>
        <w:t>2</w:t>
      </w:r>
      <w:r w:rsidRPr="005E779E">
        <w:rPr>
          <w:rFonts w:ascii="Times New Roman" w:hAnsi="Times New Roman"/>
          <w:color w:val="000000" w:themeColor="text1"/>
          <w:sz w:val="16"/>
          <w:szCs w:val="16"/>
        </w:rPr>
        <w:t>; вспомогательная- 1710 м</w:t>
      </w:r>
      <w:r w:rsidRPr="005E779E">
        <w:rPr>
          <w:rFonts w:ascii="Times New Roman" w:hAnsi="Times New Roman"/>
          <w:color w:val="000000" w:themeColor="text1"/>
          <w:sz w:val="16"/>
          <w:szCs w:val="16"/>
          <w:vertAlign w:val="superscript"/>
        </w:rPr>
        <w:t>2</w:t>
      </w:r>
      <w:r w:rsidRPr="005E779E">
        <w:rPr>
          <w:rFonts w:ascii="Times New Roman" w:hAnsi="Times New Roman"/>
          <w:color w:val="000000" w:themeColor="text1"/>
          <w:sz w:val="16"/>
          <w:szCs w:val="16"/>
        </w:rPr>
        <w:t>; прочая- 664 м</w:t>
      </w:r>
      <w:r w:rsidRPr="005E779E">
        <w:rPr>
          <w:rFonts w:ascii="Times New Roman" w:hAnsi="Times New Roman"/>
          <w:color w:val="000000" w:themeColor="text1"/>
          <w:sz w:val="16"/>
          <w:szCs w:val="16"/>
          <w:vertAlign w:val="superscript"/>
        </w:rPr>
        <w:t>2</w:t>
      </w:r>
      <w:r w:rsidRPr="005E779E">
        <w:rPr>
          <w:rFonts w:ascii="Times New Roman" w:hAnsi="Times New Roman"/>
          <w:color w:val="000000" w:themeColor="text1"/>
          <w:sz w:val="16"/>
          <w:szCs w:val="16"/>
        </w:rPr>
        <w:t>.</w:t>
      </w:r>
    </w:p>
    <w:p w14:paraId="4FC740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Численность персонала (07.1941 г.)- 5100 чел., (12.1942 г.)- 4429 чел.</w:t>
      </w:r>
      <w:r w:rsidRPr="005E779E">
        <w:rPr>
          <w:rFonts w:ascii="Times New Roman" w:hAnsi="Times New Roman"/>
          <w:color w:val="000000" w:themeColor="text1"/>
          <w:sz w:val="16"/>
          <w:szCs w:val="16"/>
          <w:vertAlign w:val="superscript"/>
        </w:rPr>
        <w:t>132</w:t>
      </w:r>
    </w:p>
    <w:p w14:paraId="2A00D6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(-12.1936-16.09.1937 г.)- Б. Г. Башкиров, (8.10.1937 г.-)- А.С. Бадалян, (04.1943 г.)- И. Нарикашвия Начальник (11.1943 г.)- И. Нарикашвили.</w:t>
      </w:r>
    </w:p>
    <w:p w14:paraId="7D3741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директора (16.04.1937 г.-)- В.В. Чесноков.</w:t>
      </w:r>
    </w:p>
    <w:p w14:paraId="4BD3B3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инженер (12.1936 г.)- В.М. Кашевский, (16.04.1937 г.-)- В.В. Чесноков, (10.10.1938 г.-)- Л.А. Прытков.</w:t>
      </w:r>
    </w:p>
    <w:p w14:paraId="139FD4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механик (-11.1937 г.)- А.П. Емелин, (04.1943 г.)- Скотников.</w:t>
      </w:r>
    </w:p>
    <w:p w14:paraId="75B857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Начальники цехов: ремонтно-строительного (04.1943 г.)- Петровский; транспортного (04.1943 г.)- Ручкин.</w:t>
      </w:r>
    </w:p>
    <w:p w14:paraId="3C13B7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Начальники отделов: ППО (04.1943 г.)- Счастливцев; складского (04.1943 г.)- Новоселов.</w:t>
      </w:r>
    </w:p>
    <w:p w14:paraId="5B629E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Производство:</w:t>
      </w:r>
      <w:r w:rsidRPr="005E779E">
        <w:rPr>
          <w:rFonts w:ascii="Times New Roman" w:hAnsi="Times New Roman"/>
          <w:color w:val="000000" w:themeColor="text1"/>
          <w:sz w:val="16"/>
          <w:szCs w:val="16"/>
        </w:rPr>
        <w:t xml:space="preserve"> гильзы 16-мм, 20-мм, 26-мм (1943); ПП-3, ПП-4, МУВ, МВ-5, ВПФ (1943); дымовые сигнал! (1943) (11982).</w:t>
      </w:r>
    </w:p>
    <w:p w14:paraId="7177DA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DFA597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году была принята на вооружение модернизированная 152-мм гаубица под названием "152-мм гаубица обр. 1909/30 г." Всего было модернизировано 362 гаубицы обр. 1909 г. Модернизацией орудий занимался Киевский арсенал. Модернизированные гаубицы последних выпусков отличались от модернизированных гаубиц первых выпусков:</w:t>
      </w:r>
    </w:p>
    <w:p w14:paraId="28466DE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 в затворе введена отдельная боевая втулка;</w:t>
      </w:r>
    </w:p>
    <w:p w14:paraId="30F37B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 в люльке изменен упор штоков;</w:t>
      </w:r>
    </w:p>
    <w:p w14:paraId="07D11C1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подъемный механизм сделан односекторным;</w:t>
      </w:r>
    </w:p>
    <w:p w14:paraId="7C3089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 ряд мелких изменений.</w:t>
      </w:r>
    </w:p>
    <w:p w14:paraId="6D1BEF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Производство металлических колес с шиной ГК для 152-мм гаубиц обр. 1909/30 г. планировалось начать 1937 г (3861).</w:t>
      </w:r>
    </w:p>
    <w:p w14:paraId="63D031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4FDB86B" w14:textId="77777777" w:rsidR="00360440" w:rsidRPr="005E779E" w:rsidRDefault="003604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АНИМИ разработал проект переделки серийной 130/55-мм пушки обр. 1913 г. пушки в полигональную. Заводу «Большевик» выдали заказ на переделку 130-мм пушки со сроком готовности 1 октября 1932 г. АНИМИ передал «Большевику» чертежи пушки 23 сентября 1931 г. Отношением от 10 сентября 1933 г. заводу «Большевик» было предписано нарезать 130/55-мм орудие по чертежу АНИМИ № 338. На 27 октября 1933 г. начальник АНИМИ приказал 130/55-мм пушку как полигональную «с плана снять», а взамен заводу «Большевик» «надлежит нарезать 130/55-мм пушку № 7 углубленной нарезкой по чертежам, выданным на завод… Нарезку закончить к 15.12.1933 г.» (15117).</w:t>
      </w:r>
    </w:p>
    <w:p w14:paraId="5498B0BE" w14:textId="77777777" w:rsidR="00360440" w:rsidRPr="005E779E" w:rsidRDefault="00360440" w:rsidP="000B7A6C">
      <w:pPr>
        <w:spacing w:after="0" w:line="240" w:lineRule="auto"/>
        <w:jc w:val="both"/>
        <w:rPr>
          <w:rFonts w:ascii="Times New Roman" w:hAnsi="Times New Roman"/>
          <w:color w:val="000000" w:themeColor="text1"/>
          <w:sz w:val="16"/>
          <w:szCs w:val="16"/>
        </w:rPr>
      </w:pPr>
    </w:p>
    <w:p w14:paraId="00C15A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году была принята на вооружение модернизированная 107-мм пушки обр. 1910 г. Проекты модернизации 107-мм пушки обр. 1910 г. разрабатывались Орудийно-Арсенальным трестом (ОАТ) и КБ Научно-технического комитета Главного артиллерийского управления (КБ НТК ГАУ) с задачей увеличения дальности стрельбы до 16-18 км. Модернизировано было 139 пушек обр. 1910 г. Они получили название "обр. 1910/30 г." (в дюймовой мере). А вновь изготовленные назывались "Обр.1910/30н." (нормализованные в метрической мере). Итого в 1931-1935 годах было изготовлено около 430 новых систем. Кроме того, в 1932-1935 годах "Большевик" и "Баррикады" изготавливали тела орудий, качающиеся части и проводили перестволение 107-мм орудий (3861).</w:t>
      </w:r>
    </w:p>
    <w:p w14:paraId="14CC805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46366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году одно из 107-мм орудий "Особой доставки", изготовленные на заводе Бофорс, было отправлено на завод "Красный Путиловец" (3861).</w:t>
      </w:r>
    </w:p>
    <w:p w14:paraId="74541E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A2AF11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году инженером Сячентовым была спроектирована 76-мм танковая пушка ПС-3. Конструкция пушки была принципиально новая. Пушка предназначалась для тех же танков, что и КТ Кировского завода. По сравнению с конкурентом, ПС-3 имела существенно лучшую баллистику и, следовательно, бронепробиваемость, и большую скорострельность, так как пушка ПС-3 имела вертикальный клиновой затвор, а КТ - поршневой (3861).</w:t>
      </w:r>
    </w:p>
    <w:p w14:paraId="3C6FCD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83738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1931 году на вооружение была принята система Сидоренко под наименованием "76-мм пушка обр. 1902/30 г.". Комиссия, оценивая полигональные испытания, указала, что система Сидоренко конструктивно самая сложная, и, кстати, самая дорогая. Стоимость переделки 76-мм пушки обр. 1902 г. в варианте ОАТ было 2786 </w:t>
      </w:r>
      <w:r w:rsidRPr="005E779E">
        <w:rPr>
          <w:rFonts w:ascii="Times New Roman" w:hAnsi="Times New Roman"/>
          <w:color w:val="000000" w:themeColor="text1"/>
          <w:sz w:val="16"/>
          <w:szCs w:val="16"/>
        </w:rPr>
        <w:lastRenderedPageBreak/>
        <w:t>рублей, в варианте Соколова 2767 рублей, а в варианте Сидоренко 6640 рублей. На модернизированных пушках устанавливались как старые стволы длиной в 30 клб, в устройстве которых ничего не меняли, так и новые удлиненные стволы в 40 клб. После 1931 года стволы в 30 клб больше не изготавливались. В валовом производстве 76-мм пушка обр. 1902/30 г. находилась до 1937 года. На заводе № 92 эта пушка получила заводской индекс Ф-10 (3861).</w:t>
      </w:r>
    </w:p>
    <w:p w14:paraId="697F1F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CF1EA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1931 года группой Д параллельно с минометами других калибров велись работы над 120-мм полковыми минометами. Согласно проекту (на 1 января 1933 года) 120-мм полковой миномет имел конструктивную схему мнимого треугольника и схему воспламенения Стокса-Брандта. Вес миномета в боевом положении составлял 140 кг. В боекомплект входили осколочно-химическая мина весом 12,08 кг, содержавшая 2,18 кг отравляющего вещества и фугасная чугунная мина весом 9,3 кг, содержавшая 2,56 кг взрывчатого вещества. Дальность стрельбы должна была составлять 3000-3500 м. Дальность стрельбы менялась за счет изменения зарядов и угла вертикального наведения. Испытания 120-мм миномета затянулись с 1934 года по 1939 год. Было испытано несколько десятков мало отличавшихся друг от друга опытных образцов (3861).</w:t>
      </w:r>
    </w:p>
    <w:p w14:paraId="77C7DE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9AD06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году на заводе № 8 было начато производство "37-мм автоматической зенитной пушки обр. 1930 г." и пушка получила заводской индекс 4-К. В 1931 году было предъявлено 3 пушки (3861).</w:t>
      </w:r>
    </w:p>
    <w:p w14:paraId="0DDFC6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CDA7F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году группа Д ГДЛ произвела модернизацию миномета МС-107. Модернизированный миномет получил название ХМ-107 обр. 1931 г. (ХМ химический миномет). В конструкцию нового миномета был введен колесный ход и пружинный амортизатор, состоявший из четырех колец. Ход состоял из боевой оси, двух металлических колес и складных трубчатых поручней. При стрельбе ход легко отделялся. Опорная плита та же, что и у МС-107 На колесном ходу два номера расчета могли перевозить миномет на поле боя. Миномет ХМ-107 был запущен в серийное производство. Стрельба из миномета ХМ-107 велась минами с восемью перьями. Вес мин от 6,5 кг до 7,2 кг. Мины снаряжались веществами СОВ, НОВ и фосфором. Ипритная мина заражала площадь 80-100 м2, а мина с НОВ создавала дымовое облако площадью около 80 м2 с концентрацией ОВ не менее 3 мг/литр в момент взрыва. Фосфорная мина создавала дымовое облако шириной 10 м и длиной по ветру около 100 м. Отмечено большое рассеивание 1/50 по дальности (3861).</w:t>
      </w:r>
    </w:p>
    <w:p w14:paraId="456AEF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26E4A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году завод "Красный Октябрь" изготовил несколько опытных 107-мм минометов ХМ-4. Внешне миномет был похож на МС-107 схема мнимого треугольника, опорная плита прямоугольная. Длина ствола 1700 мм. Вес ствола 37 кг. Вес опорной плиты 48 кг (3861).</w:t>
      </w:r>
    </w:p>
    <w:p w14:paraId="4C22AC2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9330B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году АУ выдало задание КБ-2 на проектирование 305-мм гаубицы на обычном лафете, а заводу "Большевик" задание на триплекс: 400-мм мортиры, 305-мм гаубицы и 203-мм пушки разборного типа, перевозимых на повозках на гусеничном ходу. Кроме того, инженер завода "Большевик" Чернявский в инициативном порядке разработал проект триплекса: 400-мм мортира, 305-мм гаубица и 203-мм пушка на обычном лафете (3861).</w:t>
      </w:r>
    </w:p>
    <w:p w14:paraId="664030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792CF49" w14:textId="77777777" w:rsidR="00360440" w:rsidRPr="005E779E" w:rsidRDefault="003604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Артуправление выдало задание КБ-2, где работали немецкие инженеры фирмы «Рейнметалл», на проектирование 305-мм гаубицы на обычном лафете, а заводу «Большевик» — задание на триплекс: 400-мм мортиры, 305-мм гаубицы и 203-мм пушки разборного типа, перевозимых на повозках на гусеничном ходу.</w:t>
      </w:r>
    </w:p>
    <w:p w14:paraId="6627035A" w14:textId="77777777" w:rsidR="00360440" w:rsidRPr="005E779E" w:rsidRDefault="003604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Кроме того, инженер завода «Большевик» Чернявский в инициативном порядке разработал проект триплекса: 400-мм мортира, 305-мм гаубица и 203-мм пушка на обычном лафете.</w:t>
      </w:r>
    </w:p>
    <w:p w14:paraId="01B879C0" w14:textId="77777777" w:rsidR="00360440" w:rsidRPr="005E779E" w:rsidRDefault="003604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1932 г. Артуправление рассмотрело все проекты, и на пленуме АУ было принято постановление «утвердить проект комбинированной системы 400/305/203-мм системы завода “Большевик” для дальнейшей разработки и изготовления опытного образца, а два других проекта КБ-2 и инженера Чернявского отклонить».</w:t>
      </w:r>
    </w:p>
    <w:p w14:paraId="1D237D5D" w14:textId="77777777" w:rsidR="00360440" w:rsidRPr="005E779E" w:rsidRDefault="003604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Согласно постановлениям Артуправления 1932 г., в состав триплекса должны были входить 400-мм мортира, 305-мм гаубица и 203-мм пушка. Проектировали большой триплекс на конкурсных началах завод «Большевик» и опытный завод им. Кирова. Еще на стадии проектирования отказались от 400-мм мортир, и система фактически превратилась в дуплекс.</w:t>
      </w:r>
    </w:p>
    <w:p w14:paraId="758D1E9E" w14:textId="77777777" w:rsidR="00360440" w:rsidRPr="005E779E" w:rsidRDefault="003604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конце концов был принят совместный проект обоих заводов, который и получил название СУ-7 (15117).</w:t>
      </w:r>
    </w:p>
    <w:p w14:paraId="41DC8F54" w14:textId="77777777" w:rsidR="00360440" w:rsidRPr="005E779E" w:rsidRDefault="00360440" w:rsidP="000B7A6C">
      <w:pPr>
        <w:spacing w:after="0" w:line="240" w:lineRule="auto"/>
        <w:jc w:val="both"/>
        <w:rPr>
          <w:rFonts w:ascii="Times New Roman" w:hAnsi="Times New Roman"/>
          <w:color w:val="000000" w:themeColor="text1"/>
          <w:sz w:val="16"/>
          <w:szCs w:val="16"/>
        </w:rPr>
      </w:pPr>
    </w:p>
    <w:p w14:paraId="2C64D8AC" w14:textId="77777777" w:rsidR="002E1C7A" w:rsidRPr="00142305" w:rsidRDefault="002E1C7A" w:rsidP="002E1C7A">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В 1931 г. Артуправление выдало задание КБ-2, где работали немецкие инженеры фирмы «Рейнметалл», на проектирование 305-мм гаубицы на обычном лафете, а заводу «Большевик» — задание на триплекс: 400-мм мортиры, 305-мм гаубицы и 203-мм пушки разборного типа, перевозимых на повозках на гусеничном ходу.</w:t>
      </w:r>
    </w:p>
    <w:p w14:paraId="33D91B9F" w14:textId="77777777" w:rsidR="002E1C7A" w:rsidRPr="00142305" w:rsidRDefault="002E1C7A" w:rsidP="002E1C7A">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Кроме того, инженер завода «Большевик» Чернявский в инициативном порядке разработал проект триплекса: 400-мм мортира, 305-мм гаубица и 203-мм пушка на обычном лафете.</w:t>
      </w:r>
    </w:p>
    <w:p w14:paraId="2B057423" w14:textId="77777777" w:rsidR="002E1C7A" w:rsidRPr="00142305" w:rsidRDefault="002E1C7A" w:rsidP="002E1C7A">
      <w:pPr>
        <w:spacing w:after="0" w:line="240" w:lineRule="auto"/>
        <w:jc w:val="both"/>
        <w:rPr>
          <w:rFonts w:ascii="Times New Roman" w:hAnsi="Times New Roman"/>
          <w:color w:val="0070C0"/>
          <w:sz w:val="16"/>
          <w:szCs w:val="16"/>
        </w:rPr>
      </w:pPr>
      <w:r w:rsidRPr="00142305">
        <w:rPr>
          <w:rStyle w:val="aff0"/>
          <w:rFonts w:ascii="Times New Roman" w:hAnsi="Times New Roman" w:cs="Times New Roman"/>
          <w:color w:val="0070C0"/>
          <w:spacing w:val="0"/>
          <w:sz w:val="16"/>
          <w:szCs w:val="16"/>
        </w:rPr>
        <w:t>В 1932 г. Артуправление рассмотрело все проекты, и на пленуме АУ было принято постановление «утвердить проект комбинированной системы 400/305/203-мм системы завода “Большевик” для дальнейшей разработки и изготовления опытного образца, а два других проекта КБ-2 и инженера Чернявского отклонить» (25213).</w:t>
      </w:r>
    </w:p>
    <w:p w14:paraId="0B45203C" w14:textId="77777777" w:rsidR="002E1C7A" w:rsidRPr="00142305" w:rsidRDefault="002E1C7A" w:rsidP="002E1C7A">
      <w:pPr>
        <w:spacing w:after="0" w:line="240" w:lineRule="auto"/>
        <w:jc w:val="both"/>
        <w:rPr>
          <w:rFonts w:ascii="Times New Roman" w:hAnsi="Times New Roman"/>
          <w:color w:val="0070C0"/>
          <w:sz w:val="16"/>
          <w:szCs w:val="16"/>
        </w:rPr>
      </w:pPr>
    </w:p>
    <w:p w14:paraId="457374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году на базе специальных снарядных цехов металлургического завода Министерства черной металлургии был основан завод №76 и по этой причине месторасположение завода находится на территории Серовского металлургического завода им. А.К. Серова.</w:t>
      </w:r>
    </w:p>
    <w:p w14:paraId="793B4E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Основной продукцией завода в период ВОВ были 122 мм осколочно-фугасные, 122 мм химические снарядные корпуса и гильзы авиацилиндров (штамповка и черновая механическая обработка).</w:t>
      </w:r>
    </w:p>
    <w:p w14:paraId="734965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1D471D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постановлением Правительства № 6708сс от 14 октября 1944 года производство химических снарядных корпусов было прекращено и были увеличены производственные мощности по производству 122 мм осколочно-фугасных снарядных корпусов. С 1947 года основным видом продукции завода является буровой инструмент.</w:t>
      </w:r>
    </w:p>
    <w:p w14:paraId="2E215B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Адрес: Серов Свердловской области, п/я 32</w:t>
      </w:r>
    </w:p>
    <w:p w14:paraId="50C399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 Парфенов (10029).</w:t>
      </w:r>
    </w:p>
    <w:p w14:paraId="7AD388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034DF38" w14:textId="77777777" w:rsidR="00496ABD" w:rsidRPr="005E779E" w:rsidRDefault="00496A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1931 г. чертежи 122-мм пушки из КБ-1 ВОООП (в апреле 1930 г. на базе расформированного ГВПУ ВСНХ было образовано новое хозрасчетное объединение: ВОООП — Всесоюзное объединение орудийно-оружейно-пулеметное, а ОАТ — Орудийно-арсенальный трест ликвидирован; видимо тогда ГКБ ОАТ же стало КБ-1 ВОООП) были переданы на Мотовилихинский машиностроительный завод. ММЗ изготовил опытный образец орудия, который был подан на полигонные испытания в октябре 1931 г. Орудие испытывалось с разными по конструкции стволами (лейнированным и скреплённым), причём оба варианта имели дульный тормоз. По результатам испытаний, в мае 1932 г. опытный образец орудия был отправлен на доработку. </w:t>
      </w:r>
    </w:p>
    <w:p w14:paraId="276435CC" w14:textId="77777777" w:rsidR="00496ABD" w:rsidRPr="005E779E" w:rsidRDefault="00496A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тому времени, с августа 1931 г. ВОООП было преобразовано в ВОАО — Всесоюзное орудийно-арсенальное объединение. В состав ВОАО вошли КБ-1 (бывш. КБ ОАТ) и КБ-2 ("немецкое" артиллерийское КБ). Вскоре КБ-1 и КБ-2 были объединены в КБ ВОАО (начальник В.Н.Дроздов, зам. начальника - В.Г.Грабин). А в начале 1933 г. из Москвы КБ ВОАО было переведено в подмосковные Подлипки, где на его базе было создано ГКБ-38 (ликвидировано в конце 1933 г.) (12302).</w:t>
      </w:r>
    </w:p>
    <w:p w14:paraId="4A708D67" w14:textId="77777777" w:rsidR="00496ABD" w:rsidRPr="005E779E" w:rsidRDefault="00496ABD" w:rsidP="000B7A6C">
      <w:pPr>
        <w:spacing w:after="0" w:line="240" w:lineRule="auto"/>
        <w:jc w:val="both"/>
        <w:rPr>
          <w:rFonts w:ascii="Times New Roman" w:hAnsi="Times New Roman"/>
          <w:color w:val="000000" w:themeColor="text1"/>
          <w:sz w:val="16"/>
          <w:szCs w:val="16"/>
        </w:rPr>
      </w:pPr>
    </w:p>
    <w:p w14:paraId="5AED8E65" w14:textId="036D5EE0"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завод «Котлоаппарат» (Завод № 733 НКМВ, «Товарищество А.К. Дангауэр и В.В. Кайзер», Завод «Котлоаппарат», Московский машиностроительный завод «Компрессор» НКТП, НКМ, НКМВ,</w:t>
      </w:r>
      <w:r w:rsidRPr="005E779E">
        <w:rPr>
          <w:rFonts w:ascii="Times New Roman" w:hAnsi="Times New Roman"/>
          <w:smallCaps/>
          <w:color w:val="000000" w:themeColor="text1"/>
          <w:sz w:val="16"/>
          <w:szCs w:val="16"/>
        </w:rPr>
        <w:t xml:space="preserve"> Московский </w:t>
      </w:r>
      <w:r w:rsidRPr="005E779E">
        <w:rPr>
          <w:rFonts w:ascii="Times New Roman" w:hAnsi="Times New Roman"/>
          <w:color w:val="000000" w:themeColor="text1"/>
          <w:sz w:val="16"/>
          <w:szCs w:val="16"/>
        </w:rPr>
        <w:t>ордена Трудового Красного Знамени завод холодильного оборудования «Компрессор» ММиП, МОП, ОАО «Компрессор» / г. Москва Владимирское шоссе;</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Москва, 24 Донгауэровская слобода, 20 «Пакет» (1948 г.)/ / г. Москва, Е-24 2-я ул. Энтузиастов, 5 п/я 2428 (1953 г.)/) переименован в «Компрессор», в 1937 г. - в ведении НКТП, в 08.1938 г. - в НКМ.</w:t>
      </w:r>
    </w:p>
    <w:p w14:paraId="667C9A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30.06.1941 г. заводу поручено производство ПУ реактивных минометов БМ-13. Вероятно, осенью 1941 г. часть завода эвакуирована на Урал. Пост. ГКО № 951 сс от 23.11.1941 г. заводу задан план выпуска установок БМ-13: 150 шт. в период с 1.12.1941 г. по 15.02.1942 г. На заводе организована база по ремонту БМ-13. Приказом НКМВ № 229сс от 30.06.1942 г. заводу установлен план по выпуску М-13 - 50 штук.</w:t>
      </w:r>
    </w:p>
    <w:p w14:paraId="55478EF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1941 г. ОГК завода и СКБ завода объединены в СКВ при заводе.</w:t>
      </w:r>
    </w:p>
    <w:p w14:paraId="354517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19.05.1942 г. завод № 733 НКМВ. Приказом НКМВ № 250с от 7.07.1942 г. завод передан в ведение 4ГУ.</w:t>
      </w:r>
      <w:r w:rsidRPr="005E779E">
        <w:rPr>
          <w:rFonts w:ascii="Times New Roman" w:hAnsi="Times New Roman"/>
          <w:color w:val="000000" w:themeColor="text1"/>
          <w:sz w:val="16"/>
          <w:szCs w:val="16"/>
          <w:vertAlign w:val="superscript"/>
        </w:rPr>
        <w:t>129</w:t>
      </w:r>
      <w:r w:rsidRPr="005E779E">
        <w:rPr>
          <w:rFonts w:ascii="Times New Roman" w:hAnsi="Times New Roman"/>
          <w:color w:val="000000" w:themeColor="text1"/>
          <w:sz w:val="16"/>
          <w:szCs w:val="16"/>
        </w:rPr>
        <w:t xml:space="preserve"> В 1947-53 г. завод «Компрессор» - в ведении Главхиммаша ММиЛ.</w:t>
      </w:r>
    </w:p>
    <w:p w14:paraId="36AC7E5C" w14:textId="69257833"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войны продолжено производство компрессоров новых конструкций. Первый опытный компрессор 4АУ-15 изготовлен в 01.1947 г., затем производился серийно. В начале 1950-х</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были разработаны комплексные фреоновые холодильные машины для установок кондиционирования воздуха. Затем было освоено производство нескольких поколений компрессоров, холодильной техники и теплообменной аппаратуры.</w:t>
      </w:r>
    </w:p>
    <w:p w14:paraId="12785AF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составе завода (1947 г.) цехи: основные: литейный, компрессорный, холодильно-аппаратный, термический- кузница, инструментальный, ширпотреба, модельный, № 16, испытательный стенд паро-рефрижераторных машин, карбидный, покрытий; вспомогательные: отопительно-вентиляционный, ремонтно-механический, электроцех, строительный, сантехнический. (1953 г.): основные: механический № 1, сборочный № 3, малярное отделение № 16, инструментальный № 10, холодильных аппаратов № 5, прессово-термический № 9а, 2-й механосборочный, ширпотреба № 17, литейный № 7, модельный № 8, кузнечный № 9; вспомогательные: электро</w:t>
      </w:r>
      <w:r w:rsidRPr="005E779E">
        <w:rPr>
          <w:rFonts w:ascii="Times New Roman" w:hAnsi="Times New Roman"/>
          <w:color w:val="000000" w:themeColor="text1"/>
          <w:sz w:val="16"/>
          <w:szCs w:val="16"/>
        </w:rPr>
        <w:softHyphen/>
        <w:t>ремонтный №11, ремонтно-строительный № 18, паросиловой № 20, малярно-упаковочный № 21, гараж № 19.</w:t>
      </w:r>
    </w:p>
    <w:p w14:paraId="2E45F9B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Количество оборудования: (1939 г.)- 489 ед., (1946 г.)- 520 ед., (1947 г.)- 693 ед., (1953 г.)- 943 ед.</w:t>
      </w:r>
    </w:p>
    <w:p w14:paraId="4D89A85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Плошадь: территории (1947 г.)- 14,56 га, (1953 г.)- 13,36 га; застройки (1947 г.)- 39861 м</w:t>
      </w:r>
      <w:r w:rsidRPr="005E779E">
        <w:rPr>
          <w:rFonts w:ascii="Times New Roman" w:hAnsi="Times New Roman"/>
          <w:color w:val="000000" w:themeColor="text1"/>
          <w:sz w:val="16"/>
          <w:szCs w:val="16"/>
          <w:vertAlign w:val="superscript"/>
        </w:rPr>
        <w:t>2</w:t>
      </w:r>
      <w:r w:rsidRPr="005E779E">
        <w:rPr>
          <w:rFonts w:ascii="Times New Roman" w:hAnsi="Times New Roman"/>
          <w:color w:val="000000" w:themeColor="text1"/>
          <w:sz w:val="16"/>
          <w:szCs w:val="16"/>
        </w:rPr>
        <w:t>, (1953 г.)- 45548 м</w:t>
      </w:r>
      <w:r w:rsidRPr="005E779E">
        <w:rPr>
          <w:rFonts w:ascii="Times New Roman" w:hAnsi="Times New Roman"/>
          <w:color w:val="000000" w:themeColor="text1"/>
          <w:sz w:val="16"/>
          <w:szCs w:val="16"/>
          <w:vertAlign w:val="superscript"/>
        </w:rPr>
        <w:t>2</w:t>
      </w:r>
      <w:r w:rsidRPr="005E779E">
        <w:rPr>
          <w:rFonts w:ascii="Times New Roman" w:hAnsi="Times New Roman"/>
          <w:color w:val="000000" w:themeColor="text1"/>
          <w:sz w:val="16"/>
          <w:szCs w:val="16"/>
        </w:rPr>
        <w:t>; производственная (1939 г.)- 31263 м</w:t>
      </w:r>
      <w:r w:rsidRPr="005E779E">
        <w:rPr>
          <w:rFonts w:ascii="Times New Roman" w:hAnsi="Times New Roman"/>
          <w:color w:val="000000" w:themeColor="text1"/>
          <w:sz w:val="16"/>
          <w:szCs w:val="16"/>
          <w:vertAlign w:val="superscript"/>
        </w:rPr>
        <w:t>2</w:t>
      </w:r>
      <w:r w:rsidRPr="005E779E">
        <w:rPr>
          <w:rFonts w:ascii="Times New Roman" w:hAnsi="Times New Roman"/>
          <w:color w:val="000000" w:themeColor="text1"/>
          <w:sz w:val="16"/>
          <w:szCs w:val="16"/>
        </w:rPr>
        <w:t>, (1946 г.)- 35639 м</w:t>
      </w:r>
      <w:r w:rsidRPr="005E779E">
        <w:rPr>
          <w:rFonts w:ascii="Times New Roman" w:hAnsi="Times New Roman"/>
          <w:color w:val="000000" w:themeColor="text1"/>
          <w:sz w:val="16"/>
          <w:szCs w:val="16"/>
          <w:vertAlign w:val="superscript"/>
        </w:rPr>
        <w:t>2</w:t>
      </w:r>
      <w:r w:rsidRPr="005E779E">
        <w:rPr>
          <w:rFonts w:ascii="Times New Roman" w:hAnsi="Times New Roman"/>
          <w:color w:val="000000" w:themeColor="text1"/>
          <w:sz w:val="16"/>
          <w:szCs w:val="16"/>
        </w:rPr>
        <w:t>, (1947 г.)- 35321 м</w:t>
      </w:r>
      <w:r w:rsidRPr="005E779E">
        <w:rPr>
          <w:rFonts w:ascii="Times New Roman" w:hAnsi="Times New Roman"/>
          <w:color w:val="000000" w:themeColor="text1"/>
          <w:sz w:val="16"/>
          <w:szCs w:val="16"/>
          <w:vertAlign w:val="superscript"/>
        </w:rPr>
        <w:t>2</w:t>
      </w:r>
      <w:r w:rsidRPr="005E779E">
        <w:rPr>
          <w:rFonts w:ascii="Times New Roman" w:hAnsi="Times New Roman"/>
          <w:color w:val="000000" w:themeColor="text1"/>
          <w:sz w:val="16"/>
          <w:szCs w:val="16"/>
        </w:rPr>
        <w:t>, (1953 г.)- 26211 м</w:t>
      </w:r>
      <w:r w:rsidRPr="005E779E">
        <w:rPr>
          <w:rFonts w:ascii="Times New Roman" w:hAnsi="Times New Roman"/>
          <w:color w:val="000000" w:themeColor="text1"/>
          <w:sz w:val="16"/>
          <w:szCs w:val="16"/>
          <w:vertAlign w:val="superscript"/>
        </w:rPr>
        <w:t>2</w:t>
      </w:r>
      <w:r w:rsidRPr="005E779E">
        <w:rPr>
          <w:rFonts w:ascii="Times New Roman" w:hAnsi="Times New Roman"/>
          <w:color w:val="000000" w:themeColor="text1"/>
          <w:sz w:val="16"/>
          <w:szCs w:val="16"/>
        </w:rPr>
        <w:t>; вспомогательная (1953 г.)- 4723 м</w:t>
      </w:r>
      <w:r w:rsidRPr="005E779E">
        <w:rPr>
          <w:rFonts w:ascii="Times New Roman" w:hAnsi="Times New Roman"/>
          <w:color w:val="000000" w:themeColor="text1"/>
          <w:sz w:val="16"/>
          <w:szCs w:val="16"/>
          <w:vertAlign w:val="superscript"/>
        </w:rPr>
        <w:t>2</w:t>
      </w:r>
      <w:r w:rsidRPr="005E779E">
        <w:rPr>
          <w:rFonts w:ascii="Times New Roman" w:hAnsi="Times New Roman"/>
          <w:color w:val="000000" w:themeColor="text1"/>
          <w:sz w:val="16"/>
          <w:szCs w:val="16"/>
        </w:rPr>
        <w:t>; прочая (1953 г.)- 9566 м</w:t>
      </w:r>
      <w:r w:rsidRPr="005E779E">
        <w:rPr>
          <w:rFonts w:ascii="Times New Roman" w:hAnsi="Times New Roman"/>
          <w:color w:val="000000" w:themeColor="text1"/>
          <w:sz w:val="16"/>
          <w:szCs w:val="16"/>
          <w:vertAlign w:val="superscript"/>
        </w:rPr>
        <w:t>2</w:t>
      </w:r>
      <w:r w:rsidRPr="005E779E">
        <w:rPr>
          <w:rFonts w:ascii="Times New Roman" w:hAnsi="Times New Roman"/>
          <w:color w:val="000000" w:themeColor="text1"/>
          <w:sz w:val="16"/>
          <w:szCs w:val="16"/>
        </w:rPr>
        <w:t>.</w:t>
      </w:r>
    </w:p>
    <w:p w14:paraId="350CCB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Численность персонала (1873 г.)- 27 чел., (01.1931 г.)- 2600 чел., (1939 г.)- 2711 чел., (1946 г.)- 1721 чел., (1947 г.)- 1612 чел., (1953 г.)- 2405 чел.</w:t>
      </w:r>
    </w:p>
    <w:p w14:paraId="46DB83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(1918 г.-)- В.Ф. Ильин, (06.1942 г.)- Киселев, (1948 г.)- Демин. Гендиректор (2000 г.)- А.Н. Петров.</w:t>
      </w:r>
    </w:p>
    <w:p w14:paraId="6E60B0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инженер (1948 г.)- Черногубовский.</w:t>
      </w:r>
    </w:p>
    <w:p w14:paraId="0E6F62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конструктор (1940 г.-)- В.П. Бармин.</w:t>
      </w:r>
    </w:p>
    <w:p w14:paraId="621A78B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Производство: компрессоры:</w:t>
      </w:r>
      <w:r w:rsidRPr="005E779E">
        <w:rPr>
          <w:rFonts w:ascii="Times New Roman" w:hAnsi="Times New Roman"/>
          <w:color w:val="000000" w:themeColor="text1"/>
          <w:sz w:val="16"/>
          <w:szCs w:val="16"/>
        </w:rPr>
        <w:t xml:space="preserve"> ВП-110 (1935), воздушный 2ВГ (-1947-53-), аммиачные 4АУ-15, 2АВ-15 (1947- 53-), 2АВ-27, ЗАГ, АГК-47, -56, -73, 4БАУ-19, коксогазовый 5КГ, углекислотный ЗУГ (1953); приборы пуска ОВ КС-60 (1938-39); ПУ БМ-13 «Катюша» (1941-56), 120-мм мины (1942); парорефрижераторные установки 1Э, 2Э, ЗЭ, промежуточный холодильник 65ПХ, испаритель И-40, конденсаторы: КЭ-40, К0-60 (1947), аммиачные 32Э, 150КТВ, 150КТГ, 90КО (1953); машина пароводяная эжекционная 5ЭМ, испаритель ЗОИ (1953); тюбинги для метро; кровати (1947).</w:t>
      </w:r>
    </w:p>
    <w:p w14:paraId="2C96CBEB" w14:textId="401761C6" w:rsidR="00360440" w:rsidRPr="005E779E" w:rsidRDefault="00360440"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 xml:space="preserve">СКБ завода № 733, ГС КБ Специального машиностроения (ГСКБ «Спецмаш») ММиП, ГКОТ, КБ общего машиностроения (КБОМ) </w:t>
      </w:r>
      <w:r w:rsidRPr="005E779E">
        <w:rPr>
          <w:rFonts w:ascii="Times New Roman" w:hAnsi="Times New Roman"/>
          <w:color w:val="000000" w:themeColor="text1"/>
          <w:sz w:val="16"/>
          <w:szCs w:val="16"/>
          <w:lang w:val="en-US"/>
        </w:rPr>
        <w:t>MOM</w:t>
      </w:r>
      <w:r w:rsidRPr="005E779E">
        <w:rPr>
          <w:rFonts w:ascii="Times New Roman" w:hAnsi="Times New Roman"/>
          <w:color w:val="000000" w:themeColor="text1"/>
          <w:sz w:val="16"/>
          <w:szCs w:val="16"/>
        </w:rPr>
        <w:t>, ФГУП «КБОМ им. академика В.П. Бармина» ФКА /121059</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Москва Бережковская наб., 22 тел. 240-60-44/</w:t>
      </w:r>
    </w:p>
    <w:p w14:paraId="3019C75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Специальное КБ при заводе № 733 создано 30.06.1941 г. на базе ОГК и СКБ завода как головное по созданию и внедрению в производство ПУ системы залповой стрельбы М-13 «Катюша». 22.05.1946 г. СКБ преобразовано в ГСКБ «Спецмаш», которое стало головным по разработке стартовых и технических комплексов, агрегатов наземного оборудования боевых РК.</w:t>
      </w:r>
    </w:p>
    <w:p w14:paraId="680248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пост. СМ СССР № 1401-370 от 7.05.1947 г. ГСКБ поручена разработка боевой машины БМД- 20 для РСЗО БМ-20. Пост. № 4965-1936 от 22.11.1952 г. она пнв.</w:t>
      </w:r>
    </w:p>
    <w:p w14:paraId="3AA616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Пост. СМ СССР № 875-441 от 22.03.1951 г. БМ-24 принята на вооружение.</w:t>
      </w:r>
    </w:p>
    <w:p w14:paraId="10AD84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пост, правительства от 09.1950 г. ГСКБ поручена разработка стартового оборудования для ЗУР системы ПВО Москвы С-25.</w:t>
      </w:r>
    </w:p>
    <w:p w14:paraId="6BC9BF3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1965 г. ГСКБ «Спецмаш» ГКОТ передано в ведение 4ГУ </w:t>
      </w:r>
      <w:r w:rsidRPr="005E779E">
        <w:rPr>
          <w:rFonts w:ascii="Times New Roman" w:hAnsi="Times New Roman"/>
          <w:color w:val="000000" w:themeColor="text1"/>
          <w:sz w:val="16"/>
          <w:szCs w:val="16"/>
          <w:lang w:val="en-US"/>
        </w:rPr>
        <w:t>MOM</w:t>
      </w:r>
      <w:r w:rsidRPr="005E779E">
        <w:rPr>
          <w:rFonts w:ascii="Times New Roman" w:hAnsi="Times New Roman"/>
          <w:color w:val="000000" w:themeColor="text1"/>
          <w:sz w:val="16"/>
          <w:szCs w:val="16"/>
        </w:rPr>
        <w:t xml:space="preserve"> и по приказу от 6.03.1966 г. преобразовано в КБОМ. В 1999 г. ГП КБОМ присвоено имя В.П. Бармина.</w:t>
      </w:r>
    </w:p>
    <w:p w14:paraId="35BA88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Головное предприятие по разработке и созданию стартовых комплексов (СК) БР и РН. Кроме того, разрабатывало технологическое оборудование технической позиции, включавшей монтажно-испытательный корпус, компрессорную станцию и др. После 1963 г. это направление работ передано в КБ «Мотор». С 1967 г. к этим работам подключился Филиал № 2 ЦКБМ.</w:t>
      </w:r>
    </w:p>
    <w:p w14:paraId="5001AB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ПСМ № 560-226 от 30.05.1960 г. и приказом ГКОТ от 14.06.1960 г. начата разработка ШПУ «Двина», «Чусовая» и «Десна» для ракет Р-12, Р-14 и Р-9А. В 12.1971 г. поручена разработка ШПУ для противоракеты А-925.</w:t>
      </w:r>
    </w:p>
    <w:p w14:paraId="6B1536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Здесь с 1962 г. разрабатывался проект долговременной обитаемой базы на Луне. Был построен полноразмерный макет жилого модуля. В 1972 г., после аварии РН Н-1, работы были прекращены. Работал: Ю. Дружинин. </w:t>
      </w:r>
      <w:r w:rsidRPr="005E779E">
        <w:rPr>
          <w:rFonts w:ascii="Times New Roman" w:hAnsi="Times New Roman"/>
          <w:color w:val="000000" w:themeColor="text1"/>
          <w:sz w:val="16"/>
          <w:szCs w:val="16"/>
          <w:vertAlign w:val="superscript"/>
        </w:rPr>
        <w:t>4</w:t>
      </w:r>
      <w:r w:rsidRPr="005E779E">
        <w:rPr>
          <w:rFonts w:ascii="Times New Roman" w:hAnsi="Times New Roman"/>
          <w:color w:val="000000" w:themeColor="text1"/>
          <w:sz w:val="16"/>
          <w:szCs w:val="16"/>
        </w:rPr>
        <w:t xml:space="preserve"> Созданы грунтозаборные автоматы ЛБ-09, ВБ-02 для исследования Луны («Луна-24»), Марса и Венеры.</w:t>
      </w:r>
    </w:p>
    <w:p w14:paraId="27E85A3E" w14:textId="3A0B7701"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1994 г. - работы по модернизации СК РН «Союз» для «Союз-2», «Протон-К» для «Протон-М» и обеспечение их эксплуатации. В 2000-х</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 работы по созданию во французской Гвиане СК для РН «Союз-СКТ», на Байконуре- СК для РН «Ангара».</w:t>
      </w:r>
    </w:p>
    <w:p w14:paraId="17DACF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4044CC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КБОМ имело: опытное производство, испытательный центр «Сплав»;</w:t>
      </w:r>
      <w:r w:rsidRPr="005E779E">
        <w:rPr>
          <w:rFonts w:ascii="Times New Roman" w:hAnsi="Times New Roman"/>
          <w:color w:val="000000" w:themeColor="text1"/>
          <w:sz w:val="16"/>
          <w:szCs w:val="16"/>
          <w:vertAlign w:val="superscript"/>
        </w:rPr>
        <w:t>77</w:t>
      </w:r>
      <w:r w:rsidRPr="005E779E">
        <w:rPr>
          <w:rFonts w:ascii="Times New Roman" w:hAnsi="Times New Roman"/>
          <w:color w:val="000000" w:themeColor="text1"/>
          <w:sz w:val="16"/>
          <w:szCs w:val="16"/>
        </w:rPr>
        <w:t xml:space="preserve"> Центр испытаний-2 (ЦИ-2).</w:t>
      </w:r>
    </w:p>
    <w:p w14:paraId="2A57FB9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Имел Ташкентский филиал (2005 г.). Начальник центра испытаний филиала (2005 г.)- В.Н. Ефименко.</w:t>
      </w:r>
    </w:p>
    <w:p w14:paraId="0C5C5F8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Ген. конструктор (1941-1993 г.)- академик В.П. Бармин {17.03.1909-17.07.1993}, (1993-2005 г.-)- И.В. Бармин {12.01.1943-}.</w:t>
      </w:r>
    </w:p>
    <w:p w14:paraId="4ECA49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 (06.1941-1993 г.)- В.П. Бармин. Гендиректор (1993-2005 г.-)- И.В. Бармин.</w:t>
      </w:r>
    </w:p>
    <w:p w14:paraId="417118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1-й зам. Начальника (2002 г.)- Е.И. Соколов. Зам. Начальника (1949 г.)- Ю.Э. Эндека; по коммерческим вопросам (2002 г.)- В. Г. Тарнавский.</w:t>
      </w:r>
    </w:p>
    <w:p w14:paraId="2ABCF8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1-й зам. Ген. Конструктора (1974-90 г.)~ Н.М. Корнеев, (2002 г.)- В.Н. Климов. Зам. гл. конструктора (1971 г.)- Н.М. Корнеев. Зам. Ген. Конструктора: по испытаниям (2002 г.)- Е.И. Соколов; (1980 г.)- К.Ю. Эндека.</w:t>
      </w:r>
    </w:p>
    <w:p w14:paraId="2E8A43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 ЦИ-2 (2002 г.)- Ю. Тененбаум.</w:t>
      </w:r>
    </w:p>
    <w:p w14:paraId="094F14B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конструкторы (1958 г.)- А.И. Яскин (БМ-14-17).</w:t>
      </w:r>
    </w:p>
    <w:p w14:paraId="39DAF1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гл. конструкторов: (1979 г.)- К.Ю. Эндека (ШПУ для А-925).</w:t>
      </w:r>
    </w:p>
    <w:p w14:paraId="1F6F6B6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Начальники отделов: испытаний (2004 г.)- О.В. Серебряков.</w:t>
      </w:r>
    </w:p>
    <w:p w14:paraId="107744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Создано: ПУ:</w:t>
      </w:r>
      <w:r w:rsidRPr="005E779E">
        <w:rPr>
          <w:rFonts w:ascii="Times New Roman" w:hAnsi="Times New Roman"/>
          <w:color w:val="000000" w:themeColor="text1"/>
          <w:sz w:val="16"/>
          <w:szCs w:val="16"/>
        </w:rPr>
        <w:t xml:space="preserve"> БМ-8-24 для НУР РС-82 на базе танка Т-60 (1941); </w:t>
      </w:r>
      <w:r w:rsidRPr="005E779E">
        <w:rPr>
          <w:rFonts w:ascii="Times New Roman" w:hAnsi="Times New Roman"/>
          <w:color w:val="000000" w:themeColor="text1"/>
          <w:sz w:val="16"/>
          <w:szCs w:val="16"/>
          <w:lang w:val="en-US"/>
        </w:rPr>
        <w:t>M</w:t>
      </w:r>
      <w:r w:rsidRPr="005E779E">
        <w:rPr>
          <w:rFonts w:ascii="Times New Roman" w:hAnsi="Times New Roman"/>
          <w:color w:val="000000" w:themeColor="text1"/>
          <w:sz w:val="16"/>
          <w:szCs w:val="16"/>
        </w:rPr>
        <w:t>-13-</w:t>
      </w:r>
      <w:r w:rsidRPr="005E779E">
        <w:rPr>
          <w:rFonts w:ascii="Times New Roman" w:hAnsi="Times New Roman"/>
          <w:color w:val="000000" w:themeColor="text1"/>
          <w:sz w:val="16"/>
          <w:szCs w:val="16"/>
          <w:lang w:val="en-US"/>
        </w:rPr>
        <w:t>MI</w:t>
      </w:r>
      <w:r w:rsidRPr="005E779E">
        <w:rPr>
          <w:rFonts w:ascii="Times New Roman" w:hAnsi="Times New Roman"/>
          <w:color w:val="000000" w:themeColor="text1"/>
          <w:sz w:val="16"/>
          <w:szCs w:val="16"/>
        </w:rPr>
        <w:t xml:space="preserve"> для бронекатеров (1942), 24-М-8 и 16-М-13 для морских кораблей (1943); для РСЗО: БМ-31-12 (пнв 9.06.1944 г.), БМД-20 на шасси ЗИС-151 (пнв 22.11.1952 г.), БМ-14 (8У32) на шасси ЗИС-151 (1952), БМ-14М (2Б2) на шасси ЗиЛ-157, БМ-14ММ (2Б2Р) на шасси ЗиЛ-131, БМ-14-17 (8У36) на шасси ГАЗ-бЗ (1958); БМ-24 (8У31) для М-24Ф на шасси ЗИС-151, БМ-24Т на шасси гусеничного тягача АТ-С;</w:t>
      </w:r>
      <w:r w:rsidRPr="005E779E">
        <w:rPr>
          <w:rFonts w:ascii="Times New Roman" w:hAnsi="Times New Roman"/>
          <w:iCs/>
          <w:color w:val="000000" w:themeColor="text1"/>
          <w:sz w:val="16"/>
          <w:szCs w:val="16"/>
        </w:rPr>
        <w:t xml:space="preserve"> Наземные СКБР:</w:t>
      </w:r>
      <w:r w:rsidRPr="005E779E">
        <w:rPr>
          <w:rFonts w:ascii="Times New Roman" w:hAnsi="Times New Roman"/>
          <w:color w:val="000000" w:themeColor="text1"/>
          <w:sz w:val="16"/>
          <w:szCs w:val="16"/>
        </w:rPr>
        <w:t xml:space="preserve"> Р-1, Р-2, Р-5, Р-5М, Р-7 (1950-е), Р-11, Р-12, Р-14, УР-100, РТ-1, автоматизированный «Долина» для Р-9А (1963), РВ-300, УР-500 («Протон»); для РН «Восток», «Союз», </w:t>
      </w:r>
      <w:r w:rsidRPr="005E779E">
        <w:rPr>
          <w:rFonts w:ascii="Times New Roman" w:hAnsi="Times New Roman"/>
          <w:color w:val="000000" w:themeColor="text1"/>
          <w:sz w:val="16"/>
          <w:szCs w:val="16"/>
          <w:lang w:val="en-US"/>
        </w:rPr>
        <w:t>HI</w:t>
      </w:r>
      <w:r w:rsidRPr="005E779E">
        <w:rPr>
          <w:rFonts w:ascii="Times New Roman" w:hAnsi="Times New Roman"/>
          <w:color w:val="000000" w:themeColor="text1"/>
          <w:sz w:val="16"/>
          <w:szCs w:val="16"/>
        </w:rPr>
        <w:t>, «Энергия-Буран»;</w:t>
      </w:r>
      <w:r w:rsidRPr="005E779E">
        <w:rPr>
          <w:rFonts w:ascii="Times New Roman" w:hAnsi="Times New Roman"/>
          <w:color w:val="000000" w:themeColor="text1"/>
          <w:sz w:val="16"/>
          <w:szCs w:val="16"/>
          <w:vertAlign w:val="superscript"/>
        </w:rPr>
        <w:t>69</w:t>
      </w:r>
      <w:r w:rsidRPr="005E779E">
        <w:rPr>
          <w:rFonts w:ascii="Times New Roman" w:hAnsi="Times New Roman"/>
          <w:iCs/>
          <w:color w:val="000000" w:themeColor="text1"/>
          <w:sz w:val="16"/>
          <w:szCs w:val="16"/>
        </w:rPr>
        <w:t xml:space="preserve"> ПУ ЗРК:</w:t>
      </w:r>
      <w:r w:rsidRPr="005E779E">
        <w:rPr>
          <w:rFonts w:ascii="Times New Roman" w:hAnsi="Times New Roman"/>
          <w:color w:val="000000" w:themeColor="text1"/>
          <w:sz w:val="16"/>
          <w:szCs w:val="16"/>
        </w:rPr>
        <w:t xml:space="preserve"> С-25М, С-200, 5П85С для С-300П;</w:t>
      </w:r>
      <w:r w:rsidRPr="005E779E">
        <w:rPr>
          <w:rFonts w:ascii="Times New Roman" w:hAnsi="Times New Roman"/>
          <w:iCs/>
          <w:color w:val="000000" w:themeColor="text1"/>
          <w:sz w:val="16"/>
          <w:szCs w:val="16"/>
        </w:rPr>
        <w:t xml:space="preserve"> ШПУ:</w:t>
      </w:r>
      <w:r w:rsidRPr="005E779E">
        <w:rPr>
          <w:rFonts w:ascii="Times New Roman" w:hAnsi="Times New Roman"/>
          <w:color w:val="000000" w:themeColor="text1"/>
          <w:sz w:val="16"/>
          <w:szCs w:val="16"/>
        </w:rPr>
        <w:t xml:space="preserve"> 8П763 «Двина» для Р-12; 8П764 «Чусовая» для Р-14; для РТ-2; «Шексна-В» для Р-16У; «Десна», «Долина» для Р-9А (1963); для УР-100; для 63С1; с «прыгающим» стартом для МБР Р-36М; для МБР МР-УР-100; для противоракет: В-1000, А-350, А-925 системы ПРО А-135;</w:t>
      </w:r>
      <w:r w:rsidRPr="005E779E">
        <w:rPr>
          <w:rFonts w:ascii="Times New Roman" w:hAnsi="Times New Roman"/>
          <w:color w:val="000000" w:themeColor="text1"/>
          <w:sz w:val="16"/>
          <w:szCs w:val="16"/>
          <w:vertAlign w:val="superscript"/>
        </w:rPr>
        <w:t>57</w:t>
      </w:r>
      <w:r w:rsidRPr="005E779E">
        <w:rPr>
          <w:rFonts w:ascii="Times New Roman" w:hAnsi="Times New Roman"/>
          <w:color w:val="000000" w:themeColor="text1"/>
          <w:sz w:val="16"/>
          <w:szCs w:val="16"/>
        </w:rPr>
        <w:t xml:space="preserve"> железнодорожная ПУ для РТ-23УТТХ.</w:t>
      </w:r>
      <w:r w:rsidRPr="005E779E">
        <w:rPr>
          <w:rFonts w:ascii="Times New Roman" w:hAnsi="Times New Roman"/>
          <w:color w:val="000000" w:themeColor="text1"/>
          <w:sz w:val="16"/>
          <w:szCs w:val="16"/>
          <w:vertAlign w:val="superscript"/>
        </w:rPr>
        <w:t>58102</w:t>
      </w:r>
    </w:p>
    <w:p w14:paraId="4A9366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Ипытательный центр «Сплав»</w:t>
      </w:r>
    </w:p>
    <w:p w14:paraId="13CCAC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Создан в начале 1989 г. при КБОМ как открытая организация для работы с иностранными специалистами (11982).</w:t>
      </w:r>
    </w:p>
    <w:p w14:paraId="2E0C1D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1C4BE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году для завода № 50 им. Фрунзе в Пензе организована отдельная площадка и построен деревообделочный цех.</w:t>
      </w:r>
    </w:p>
    <w:p w14:paraId="13DDF7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Первоначально завод в основном оснащался оборудованием с эвакуированного Петроградского трубочного завода, небольшая его часть приобретена на разных заводах дореволюционной России.</w:t>
      </w:r>
    </w:p>
    <w:p w14:paraId="456301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Промплощадка основного завода расположена в северо-западной части Пензы. Промплощадка сборочных цехов расположена на расстоянии 1,5 км к северо-западу от основного производства и расположена по обеим сторонам поймы оврага Безымянный, который является притоком реки Суры.</w:t>
      </w:r>
    </w:p>
    <w:p w14:paraId="0241695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Вспомогательная промплощадка расположена на севере от основного завода и непосредственно примыкает к его территории.</w:t>
      </w:r>
    </w:p>
    <w:p w14:paraId="22739D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Адрес: Пенза, п/я 25</w:t>
      </w:r>
    </w:p>
    <w:p w14:paraId="487E6D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 В. Джанполадов</w:t>
      </w:r>
    </w:p>
    <w:p w14:paraId="352BA34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Строительство завода начато в 1915 году (10025).</w:t>
      </w:r>
    </w:p>
    <w:p w14:paraId="6622F2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5C36B59" w14:textId="57ACBE6F"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авто-танковый дизельный отдел Экономичес</w:t>
      </w:r>
      <w:r w:rsidRPr="005E779E">
        <w:rPr>
          <w:rFonts w:ascii="Times New Roman" w:hAnsi="Times New Roman"/>
          <w:color w:val="000000" w:themeColor="text1"/>
          <w:sz w:val="16"/>
          <w:szCs w:val="16"/>
        </w:rPr>
        <w:softHyphen/>
        <w:t>кого управления ОГПУ начал эскизное проектирование танка прорыва ТП-1. Танк должен был иметь массу свыше 75 т и броневую защиту, достигающую толщины 45-мм. Было рассмотрено несколько вариантов вооружения танка, в том числе из одной 152,4-мм пушки, двух 37-мм пушек и шести пулеметов (2 станковых), или одной 106,7-мм пуш</w:t>
      </w:r>
      <w:r w:rsidRPr="005E779E">
        <w:rPr>
          <w:rFonts w:ascii="Times New Roman" w:hAnsi="Times New Roman"/>
          <w:color w:val="000000" w:themeColor="text1"/>
          <w:sz w:val="16"/>
          <w:szCs w:val="16"/>
        </w:rPr>
        <w:softHyphen/>
        <w:t>ки, двух 76,2-мм пушек и шести пулеметов... Для придания танку способности движения со скоростью до 30 км/ч .его планировалось оснастить дизелем ФЭД-6 или ФЭД-8 мощ</w:t>
      </w:r>
      <w:r w:rsidRPr="005E779E">
        <w:rPr>
          <w:rFonts w:ascii="Times New Roman" w:hAnsi="Times New Roman"/>
          <w:color w:val="000000" w:themeColor="text1"/>
          <w:sz w:val="16"/>
          <w:szCs w:val="16"/>
        </w:rPr>
        <w:softHyphen/>
        <w:t>ностью 1850 или 2000 л.с. и регулируемой пневматической подвеской. Однако ввиду неготовности двигателя в начале 1932 г. проект ТП-1 был адаптирован под авиамотор Микулина мощностью 1450 л.с., а в марте закрыт по причине чрезвычайно высокой стоимости (1073,118)).</w:t>
      </w:r>
    </w:p>
    <w:p w14:paraId="14FA132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06C5FF" w14:textId="77777777" w:rsidR="00B32748" w:rsidRPr="00142305" w:rsidRDefault="00B32748" w:rsidP="00B3274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1931 году на базе первого серийного танка — легкого Т-18 (МС-1) был создан первый ре</w:t>
      </w:r>
      <w:r w:rsidRPr="00142305">
        <w:rPr>
          <w:rFonts w:ascii="Times New Roman" w:hAnsi="Times New Roman"/>
          <w:color w:val="0070C0"/>
          <w:sz w:val="16"/>
          <w:szCs w:val="16"/>
        </w:rPr>
        <w:softHyphen/>
        <w:t>альный огнеметный танк. Точ</w:t>
      </w:r>
      <w:r w:rsidRPr="00142305">
        <w:rPr>
          <w:rFonts w:ascii="Times New Roman" w:hAnsi="Times New Roman"/>
          <w:color w:val="0070C0"/>
          <w:sz w:val="16"/>
          <w:szCs w:val="16"/>
        </w:rPr>
        <w:softHyphen/>
        <w:t>нее, поначалу была разработана химическая машина ХТ-18. На «хвосте» танка Т-18 крепились танковый хи</w:t>
      </w:r>
      <w:r w:rsidRPr="00142305">
        <w:rPr>
          <w:rFonts w:ascii="Times New Roman" w:hAnsi="Times New Roman"/>
          <w:color w:val="0070C0"/>
          <w:sz w:val="16"/>
          <w:szCs w:val="16"/>
        </w:rPr>
        <w:softHyphen/>
        <w:t>мический прибор ТХП-3 (ТДП-3, разработки москов</w:t>
      </w:r>
      <w:r w:rsidRPr="00142305">
        <w:rPr>
          <w:rFonts w:ascii="Times New Roman" w:hAnsi="Times New Roman"/>
          <w:color w:val="0070C0"/>
          <w:sz w:val="16"/>
          <w:szCs w:val="16"/>
        </w:rPr>
        <w:softHyphen/>
        <w:t>ского завода «Компрессор») и 40-литровый баллон для спецсредств. Эта аппаратура предназначалась для заражения местности боевым отравляющим ве</w:t>
      </w:r>
      <w:r w:rsidRPr="00142305">
        <w:rPr>
          <w:rFonts w:ascii="Times New Roman" w:hAnsi="Times New Roman"/>
          <w:color w:val="0070C0"/>
          <w:sz w:val="16"/>
          <w:szCs w:val="16"/>
        </w:rPr>
        <w:softHyphen/>
        <w:t>ществом, ее дегазации или постановки дымовой за</w:t>
      </w:r>
      <w:r w:rsidRPr="00142305">
        <w:rPr>
          <w:rFonts w:ascii="Times New Roman" w:hAnsi="Times New Roman"/>
          <w:color w:val="0070C0"/>
          <w:sz w:val="16"/>
          <w:szCs w:val="16"/>
        </w:rPr>
        <w:softHyphen/>
        <w:t>весы. Уже на основе ХТ-18 был выполнен огнеметный танк ОТ-1 — по обозначению танкового огнемета («огнемет танковый, первый»). Огнеметная аппара</w:t>
      </w:r>
      <w:r w:rsidRPr="00142305">
        <w:rPr>
          <w:rFonts w:ascii="Times New Roman" w:hAnsi="Times New Roman"/>
          <w:color w:val="0070C0"/>
          <w:sz w:val="16"/>
          <w:szCs w:val="16"/>
        </w:rPr>
        <w:softHyphen/>
        <w:t>тура для Т-18 была разработана в Институте химобороны при ВОХИМУ его сотрудником Матвеевым при участии инженера КБ-7 Управления военных изобре</w:t>
      </w:r>
      <w:r w:rsidRPr="00142305">
        <w:rPr>
          <w:rFonts w:ascii="Times New Roman" w:hAnsi="Times New Roman"/>
          <w:color w:val="0070C0"/>
          <w:sz w:val="16"/>
          <w:szCs w:val="16"/>
        </w:rPr>
        <w:softHyphen/>
        <w:t>тений РККА Филимонова. Огнемет ОТ-1 относился к числу «пороховых» (фугасных). Бак с огнесмесью (мазут-керосин) монтировался на «хвосте», а бранд</w:t>
      </w:r>
      <w:r w:rsidRPr="00142305">
        <w:rPr>
          <w:rFonts w:ascii="Times New Roman" w:hAnsi="Times New Roman"/>
          <w:color w:val="0070C0"/>
          <w:sz w:val="16"/>
          <w:szCs w:val="16"/>
        </w:rPr>
        <w:softHyphen/>
        <w:t>спойт располагался в башне на месте 37-мм орудия. Для воспламенения огнесмеси использовались ав</w:t>
      </w:r>
      <w:r w:rsidRPr="00142305">
        <w:rPr>
          <w:rFonts w:ascii="Times New Roman" w:hAnsi="Times New Roman"/>
          <w:color w:val="0070C0"/>
          <w:sz w:val="16"/>
          <w:szCs w:val="16"/>
        </w:rPr>
        <w:softHyphen/>
        <w:t>томобильная свеча и дополнительная бензиновая магистраль, причем бензин подкачивал командир танка из основного топливного бака перед стрель</w:t>
      </w:r>
      <w:r w:rsidRPr="00142305">
        <w:rPr>
          <w:rFonts w:ascii="Times New Roman" w:hAnsi="Times New Roman"/>
          <w:color w:val="0070C0"/>
          <w:sz w:val="16"/>
          <w:szCs w:val="16"/>
        </w:rPr>
        <w:softHyphen/>
        <w:t>бой. Из-за сложностей с приводами и опасности перекручивания шлангов жидкостной системы огне</w:t>
      </w:r>
      <w:r w:rsidRPr="00142305">
        <w:rPr>
          <w:rFonts w:ascii="Times New Roman" w:hAnsi="Times New Roman"/>
          <w:color w:val="0070C0"/>
          <w:sz w:val="16"/>
          <w:szCs w:val="16"/>
        </w:rPr>
        <w:softHyphen/>
        <w:t>мета ОТ-1 отказались от кругового вращения башни, но это считалось допустимым. Дальность огнеметания составила 30-35 м. Работы были прекращены в 1932 году из-за разрушения опытной огнеметной аппаратуры. Опыт, накопленный при работе над ОТ- 1, был использован позднее при создании серийных огнеметных танков (25021).</w:t>
      </w:r>
    </w:p>
    <w:p w14:paraId="03E6A2FA" w14:textId="77777777" w:rsidR="00B32748" w:rsidRPr="00142305" w:rsidRDefault="00B32748" w:rsidP="00B32748">
      <w:pPr>
        <w:spacing w:after="0" w:line="240" w:lineRule="auto"/>
        <w:jc w:val="both"/>
        <w:rPr>
          <w:rFonts w:ascii="Times New Roman" w:hAnsi="Times New Roman"/>
          <w:color w:val="0070C0"/>
          <w:sz w:val="16"/>
          <w:szCs w:val="16"/>
        </w:rPr>
      </w:pPr>
    </w:p>
    <w:p w14:paraId="58BD35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году началась сборка первого танка, и в этом же году была выпущена малая серия машин (25 шт.). Таким образом, наряду с танковым производством, какое имелось тогда на Ленинградском заводе «Большевик», появился еще один центр танкового производства на юге страны - ХПЗ им. Коминтерна. К этому времени на заводе был построен специальный корпус Т2 для производства и сборки танков и значительно расширено самостоятельное танковое конструкторское бюро Т2К во главе с И.Н. Алексенко. Ядром этого бюро стали конструкторы специальной танковой группы, созданной в декабре 1927 года, и участвовавшие в разработках, изготовлении и испытаниях танков Т-12 и Т-24: И.Н. Алексенко, Л.Л. Алферов, А.С. Бондаренко, П.Н. Горюн, Е.Т. Дикалов, В.И. Дорошенко, В.Т. Кириленко, А.А. Морозов, Н.Г. Поляков, М.И. Таршинов и др. Руководителем танкового производства был С.Н. Махонин (9154).</w:t>
      </w:r>
    </w:p>
    <w:p w14:paraId="6DC5DE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AFA82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1931 г. Н.И. Дыренковым был разработан проект модернизации вооружения танка БТ за счет установки 37-мм пушки во вращающейся башне и 76,2-мм пушки - в лобовом листе корпуса машины. Проект не был принят из-за малых размеров боевого отделения, неудачной конструкции агрегатов трансмиссии и приводов к двум парам задних ведущих колес. Второй вариант модернизации колесно-гусеничного танка БТ конструкции Н.И. Дыренкова оказался более удачным. Танк, получивший название Д-38, был разработан в конце 1931 - начале 1932 гг. Ведущим инженером машины был Н. Гуленко. В январе 1932 г. был изготовлен опытный образец, причем гусеницы на нем были заимствованы от второго закупленного танка «Кристи» М.1940, который находился в бюро на исследовании. Машина отличалась от серийного танка БТ-2 установкой вооружения и конструктивными изменениями корпуса, связанными с установкой новой башни. Были разработаны два варианта башни: сварная из плоских броневых листов и куполообразная, штампованная. </w:t>
      </w:r>
    </w:p>
    <w:p w14:paraId="5761FC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качестве основного оружия на машине, согласно техническому проекту, предполагалось установить две пушки: 37-мм танковую и 76,2-мм противоштурмовую пушку «Гарфорда». Однако, в ходе опытно-конструкторских работ был изготовлен деревянный макет башни с установкой одной 76,2-мм противоштурмовой пушки. </w:t>
      </w:r>
      <w:r w:rsidRPr="005E779E">
        <w:rPr>
          <w:rFonts w:ascii="Times New Roman" w:hAnsi="Times New Roman"/>
          <w:color w:val="000000" w:themeColor="text1"/>
          <w:sz w:val="16"/>
          <w:szCs w:val="16"/>
        </w:rPr>
        <w:lastRenderedPageBreak/>
        <w:t xml:space="preserve">В отличие от макета, на опытном образце танка была использована 76,2-мм пушка ПС-3 (полковая пушка обр. 1927 г. с укороченным откатом), которая устанавливалась в цапфах на станине, приваренной к башне и имела максимальный угол возвышения 25°. Для ведения прицельной стрельбы использовался удлиненный телескопический танковый прицел обр. 1930 г., для которого в броне башни было сделано специальное окно. Подъемный механизм был сохранен от полковой пушки. Бронировка орудия на машине не устанавливалась. Справа от пушки автономно размещался 7,62-мм пулемет ДТ. </w:t>
      </w:r>
    </w:p>
    <w:p w14:paraId="65170A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Боекомплект машины состоял из 50 выстрелов к пушке и 2700 патронов к пулемету. 25 марта 1932 году пушка ПС-3, установленная в башне конструкции Дыренкова на танке БТ, была испытана стрельбой. Стрельба из орудия производилась при закрепленной в определенном направлении башни. Всего было сделано 50 выстрелов, причем 9 из них - при незакрепленном положении башни. Танк боевой массой 11,5 т развивал максимальную скорость движения на колесном ходу до 90 км/ч, на гусеницах - до 60 км/ч и имел запас хода по шоссе соответственно 200 и 120 км (11715).</w:t>
      </w:r>
    </w:p>
    <w:p w14:paraId="4000759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CAD1D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 г. были выпущены первые три танка БТ-2, а 7 ноября 1931 г. они участвовали в праздничном параде. Главной конструктивной особенностью танка был колесно-гусеничный движитель с индивидуальной подвеской катков. Двигатель М17Т, номинальной мощностью 400 л.с. при боевой массе танка 11 т обеспечивал максимальную скорость на колесах 70 км/час, на гусеницах - 50 км/час. Бронирование мало отличалось от Т-26 (лоб, борт корпуса, башня - 13 мм). Корпус имел скошенные сверху и с боков лобовые броневые листы. Башня - цилиндрической формы. БТ превосходил Т-26 по энерговооруженности, запасу хода, скорости. Не уступал по бронированию и вооружению. Уже с 1932 г. на БТ-5 стояла 45-мм пушка с дублированным оптическим прицелом. Наиболее многочисленной была модификация БТ-7. Спроектировали новый главный фрикцион и существенно усилили коробку передач. Ввели ленточные плавающие тормоза. Башня вначале была цилиндрической формы, а затем конической. Толщину лобовой брони корпуса увеличили до 20 мм, башни - до 15 мм, т.е. появились элементы дифференцированного бронирования. Боевая масса танка достигла 13,8 т. Расчетная максимальная скорость движения на гусеницах составляла 53,4 км/час, на колесах- 73 км/час. В 1939 г. М-17Т стали заменять на дизель В-2, апробированный ранее на танках БТ-5. Производство танков БТ закончилось весной 1940 г. Всего за 10 лет было выпущено 8000 машин (11224).</w:t>
      </w:r>
    </w:p>
    <w:p w14:paraId="4843D9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E057556" w14:textId="77777777" w:rsidR="00360440" w:rsidRPr="005E779E" w:rsidRDefault="003604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МС-1 был снят с производства, но ещё почти десять лет состоял на вооружении армии. Их использовали как учебные машины. Башни МС-1 в начале Великой Отечественной войны использовали на местности как закрытые огневые точки (15132).</w:t>
      </w:r>
    </w:p>
    <w:p w14:paraId="6273553B" w14:textId="77777777" w:rsidR="00360440" w:rsidRPr="005E779E" w:rsidRDefault="00360440" w:rsidP="000B7A6C">
      <w:pPr>
        <w:spacing w:after="0" w:line="240" w:lineRule="auto"/>
        <w:jc w:val="both"/>
        <w:rPr>
          <w:rFonts w:ascii="Times New Roman" w:hAnsi="Times New Roman"/>
          <w:color w:val="000000" w:themeColor="text1"/>
          <w:sz w:val="16"/>
          <w:szCs w:val="16"/>
        </w:rPr>
      </w:pPr>
    </w:p>
    <w:p w14:paraId="7D99B55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году совзанная в 1930 году в Харькове в Украинском научно-исследовательском ин</w:t>
      </w:r>
      <w:r w:rsidRPr="005E779E">
        <w:rPr>
          <w:rFonts w:ascii="Times New Roman" w:hAnsi="Times New Roman"/>
          <w:color w:val="000000" w:themeColor="text1"/>
          <w:sz w:val="16"/>
          <w:szCs w:val="16"/>
        </w:rPr>
        <w:softHyphen/>
        <w:t>ституте промэнергетики, директором которого был профессор Л.С.Шмугляков, лаборатория ДВС, вышла из состава института промэнерге</w:t>
      </w:r>
      <w:r w:rsidRPr="005E779E">
        <w:rPr>
          <w:rFonts w:ascii="Times New Roman" w:hAnsi="Times New Roman"/>
          <w:color w:val="000000" w:themeColor="text1"/>
          <w:sz w:val="16"/>
          <w:szCs w:val="16"/>
        </w:rPr>
        <w:softHyphen/>
        <w:t>тики и была преобразована в Украинский научно-исследовательский ин</w:t>
      </w:r>
      <w:r w:rsidRPr="005E779E">
        <w:rPr>
          <w:rFonts w:ascii="Times New Roman" w:hAnsi="Times New Roman"/>
          <w:color w:val="000000" w:themeColor="text1"/>
          <w:sz w:val="16"/>
          <w:szCs w:val="16"/>
        </w:rPr>
        <w:softHyphen/>
        <w:t>ститут двигателей внутреннего сгорания (У НИ ИД ВС). В нем начали так</w:t>
      </w:r>
      <w:r w:rsidRPr="005E779E">
        <w:rPr>
          <w:rFonts w:ascii="Times New Roman" w:hAnsi="Times New Roman"/>
          <w:color w:val="000000" w:themeColor="text1"/>
          <w:sz w:val="16"/>
          <w:szCs w:val="16"/>
        </w:rPr>
        <w:softHyphen/>
        <w:t>же работать: С.А.Бельгов, Г.В.Бражнюченко, П.А.Саблев, Н.М.Гиршберг. В этот период в развитых капиталистических странах был проявлен интерес к дизелям для использования их в качестве авиационных двига</w:t>
      </w:r>
      <w:r w:rsidRPr="005E779E">
        <w:rPr>
          <w:rFonts w:ascii="Times New Roman" w:hAnsi="Times New Roman"/>
          <w:color w:val="000000" w:themeColor="text1"/>
          <w:sz w:val="16"/>
          <w:szCs w:val="16"/>
        </w:rPr>
        <w:softHyphen/>
        <w:t>телей. В Германии, например, был создан 2-х тактный авиационный ди</w:t>
      </w:r>
      <w:r w:rsidRPr="005E779E">
        <w:rPr>
          <w:rFonts w:ascii="Times New Roman" w:hAnsi="Times New Roman"/>
          <w:color w:val="000000" w:themeColor="text1"/>
          <w:sz w:val="16"/>
          <w:szCs w:val="16"/>
        </w:rPr>
        <w:softHyphen/>
        <w:t>зель с противоположно-движущимися поршнями фирмы Юнкере.</w:t>
      </w:r>
    </w:p>
    <w:p w14:paraId="0CCE9C9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 дизелям для авиации был проявлен интерес и в СССР. Над созданием авиационных дизелей начали работать: Центральный Научно-исследователь</w:t>
      </w:r>
      <w:r w:rsidRPr="005E779E">
        <w:rPr>
          <w:rFonts w:ascii="Times New Roman" w:hAnsi="Times New Roman"/>
          <w:color w:val="000000" w:themeColor="text1"/>
          <w:sz w:val="16"/>
          <w:szCs w:val="16"/>
        </w:rPr>
        <w:softHyphen/>
        <w:t>ский дорожный институт в Ленинграде (ЦНИДИ). В этом институте про</w:t>
      </w:r>
      <w:r w:rsidRPr="005E779E">
        <w:rPr>
          <w:rFonts w:ascii="Times New Roman" w:hAnsi="Times New Roman"/>
          <w:color w:val="000000" w:themeColor="text1"/>
          <w:sz w:val="16"/>
          <w:szCs w:val="16"/>
        </w:rPr>
        <w:softHyphen/>
        <w:t>фессор Маргенс работал над 4-х тактным дизелем, каждый цилиндр которо</w:t>
      </w:r>
      <w:r w:rsidRPr="005E779E">
        <w:rPr>
          <w:rFonts w:ascii="Times New Roman" w:hAnsi="Times New Roman"/>
          <w:color w:val="000000" w:themeColor="text1"/>
          <w:sz w:val="16"/>
          <w:szCs w:val="16"/>
        </w:rPr>
        <w:softHyphen/>
        <w:t>го имел один клапан, который работал и как впускной и как выпускной. Коленчатые валы для опытных образцов этого дизеля были закуплены за границей. При испытаниях дизель работал с большой дымностью выхлопа. В Москве в Автодорожном институте (МАДИ), профессор Брилинг работал над 2-х тактным дизелем. При испытаниях этот дизель в значи</w:t>
      </w:r>
      <w:r w:rsidRPr="005E779E">
        <w:rPr>
          <w:rFonts w:ascii="Times New Roman" w:hAnsi="Times New Roman"/>
          <w:color w:val="000000" w:themeColor="text1"/>
          <w:sz w:val="16"/>
          <w:szCs w:val="16"/>
        </w:rPr>
        <w:softHyphen/>
        <w:t>тельной степени работал на смазочном масле — при отключении подачи топлива была затруднена его остановка.</w:t>
      </w:r>
    </w:p>
    <w:p w14:paraId="6D59A8D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Москве же в ЦИАМе, профессор Чаромский работал над 4-х такт</w:t>
      </w:r>
      <w:r w:rsidRPr="005E779E">
        <w:rPr>
          <w:rFonts w:ascii="Times New Roman" w:hAnsi="Times New Roman"/>
          <w:color w:val="000000" w:themeColor="text1"/>
          <w:sz w:val="16"/>
          <w:szCs w:val="16"/>
        </w:rPr>
        <w:softHyphen/>
        <w:t>ным дизелем со впрыском дополнительного топлива во всасывающий</w:t>
      </w:r>
    </w:p>
    <w:p w14:paraId="23AE259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трубопровод.</w:t>
      </w:r>
    </w:p>
    <w:p w14:paraId="6AE5707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Харькове в УНИИДВС под руководством профессора Майера разра</w:t>
      </w:r>
      <w:r w:rsidRPr="005E779E">
        <w:rPr>
          <w:rFonts w:ascii="Times New Roman" w:hAnsi="Times New Roman"/>
          <w:color w:val="000000" w:themeColor="text1"/>
          <w:sz w:val="16"/>
          <w:szCs w:val="16"/>
        </w:rPr>
        <w:softHyphen/>
        <w:t>батывался 4-х тактный дизель с частотой вращения коленчатого вала 1500 об/мин. При такой частоте вращения рабочий процесс дизеля со струй</w:t>
      </w:r>
      <w:r w:rsidRPr="005E779E">
        <w:rPr>
          <w:rFonts w:ascii="Times New Roman" w:hAnsi="Times New Roman"/>
          <w:color w:val="000000" w:themeColor="text1"/>
          <w:sz w:val="16"/>
          <w:szCs w:val="16"/>
        </w:rPr>
        <w:softHyphen/>
        <w:t>ным смесеобразованием вообще не отрабатывался. Было спроектировано и изготовлено 6 вариантов одноцилиндровых отсеков.</w:t>
      </w:r>
    </w:p>
    <w:p w14:paraId="7F18782B"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году в нашей стране были организованы наркоматы и главные управления при Совнаркоме СССР. Было создано Главное управление гражданского воздушного флота, а в его системе — НИИ ГВФ в г.Москве, !)Сарьковский УНИИДВС стал филиалом НИИ ГВФ (21.03.32), а затем самостоятельным институтом под названием УНИАДИ — Украинский цаучно-исследовательский авиадизельный институт (также в 1932 г.) (11504).</w:t>
      </w:r>
    </w:p>
    <w:p w14:paraId="68C6FC0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BFCD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году на ХПХ были построены опытные образцы, которые выявили, что тягач, выполненный по тракторной схеме, не дает преимуществ в сравнении с предшественником. Недостатки конструкции устранялись под руководством Н.Г. Зубарева. Кардинально была изменена компоновка тягача. Он получил закрытую кабину, грузовую платформу, впервые в отечественной практике установили тяговую лебедку. Испытания показали, что в основном машина отвечает предъявленным требованиям по буксировке артсистем калибра 152 мм, а с 1935 года началось серийное производство. Всего было выпущено почти 2000 машин, которые широко использовались в армии и народном хозяйстве до конца 40-х годов (9154).</w:t>
      </w:r>
    </w:p>
    <w:p w14:paraId="3D2FCE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E13094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на "Харьковском паровозостроительном заводе" (ХПЗ), основанном в 1897 г. на Украине, был создан второй центр советской танковой промышленности. Выпустив небольшую партию средних танков, он стал выпускать конструкцию Кристи - БТ, и здесь появилось новое конструкторское бюро. В Харькове также был выпущен 61 тяжёлый танк Т-35, конструкции завода "Большевик", по специальному заказу между 1933 и 1939 годами. Кроме танкового завода № 183, здесь был моторостроительный завод № 75, выпускавший авиационные двигатели М-5 и М-17, в то время ставившиеся на многие советские танки. На заводе № 75 был разработан и запущен в производство двигатель В-2 дизель, ставящийся на все советские танки до нашего времени. Завод № 183 и его КБ разработали и впервые приступили к выпуску всемирно известных танков Т-34 (4018).</w:t>
      </w:r>
    </w:p>
    <w:p w14:paraId="6B58BD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B0D1969" w14:textId="77777777" w:rsidR="00B32748" w:rsidRPr="00142305" w:rsidRDefault="00B32748" w:rsidP="00B3274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1931 году в связи с переводом Б.Н.Воронкова с ХПЗ на новый завод ХТЗ работы по про</w:t>
      </w:r>
      <w:r w:rsidRPr="00142305">
        <w:rPr>
          <w:rFonts w:ascii="Times New Roman" w:hAnsi="Times New Roman"/>
          <w:color w:val="0070C0"/>
          <w:sz w:val="16"/>
          <w:szCs w:val="16"/>
        </w:rPr>
        <w:softHyphen/>
        <w:t>мышленному трактору на ХПЗ возглавил Н.Г. Зубарев. В это же время за тракто</w:t>
      </w:r>
      <w:r w:rsidRPr="00142305">
        <w:rPr>
          <w:rFonts w:ascii="Times New Roman" w:hAnsi="Times New Roman"/>
          <w:color w:val="0070C0"/>
          <w:sz w:val="16"/>
          <w:szCs w:val="16"/>
        </w:rPr>
        <w:softHyphen/>
        <w:t>ром БНВ закрепилось новое официальное наименование—«Коминтерн», в честь завода-изготовителя. Название трактора и завода были помещены на радиаторе. В дальнейшем надпись ХПЗ уступила ме</w:t>
      </w:r>
      <w:r w:rsidRPr="00142305">
        <w:rPr>
          <w:rFonts w:ascii="Times New Roman" w:hAnsi="Times New Roman"/>
          <w:color w:val="0070C0"/>
          <w:sz w:val="16"/>
          <w:szCs w:val="16"/>
        </w:rPr>
        <w:softHyphen/>
        <w:t>сто надписи «З-Д №183», однако встре</w:t>
      </w:r>
      <w:r w:rsidRPr="00142305">
        <w:rPr>
          <w:rFonts w:ascii="Times New Roman" w:hAnsi="Times New Roman"/>
          <w:color w:val="0070C0"/>
          <w:sz w:val="16"/>
          <w:szCs w:val="16"/>
        </w:rPr>
        <w:softHyphen/>
        <w:t>чались «Коминтерны» и вовсе без каких- либо обозначений (25003).</w:t>
      </w:r>
    </w:p>
    <w:p w14:paraId="5094A164" w14:textId="77777777" w:rsidR="00B32748" w:rsidRPr="00142305" w:rsidRDefault="00B32748" w:rsidP="00B32748">
      <w:pPr>
        <w:spacing w:after="0" w:line="240" w:lineRule="auto"/>
        <w:jc w:val="both"/>
        <w:rPr>
          <w:rFonts w:ascii="Times New Roman" w:hAnsi="Times New Roman"/>
          <w:color w:val="0070C0"/>
          <w:sz w:val="16"/>
          <w:szCs w:val="16"/>
        </w:rPr>
      </w:pPr>
    </w:p>
    <w:p w14:paraId="4661C1E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КБ ленинградского завода «Большевик» под ру</w:t>
      </w:r>
      <w:r w:rsidRPr="005E779E">
        <w:rPr>
          <w:rFonts w:ascii="Times New Roman" w:hAnsi="Times New Roman"/>
          <w:color w:val="000000" w:themeColor="text1"/>
          <w:sz w:val="16"/>
          <w:szCs w:val="16"/>
        </w:rPr>
        <w:softHyphen/>
        <w:t>ководством К.К. Сиркена, выполняя постановление РВС СССР от 2 октября 1930 г., разработало истребитель танков на шасси танкетки Т-27. Первоначально предполагалось, что он будет вооружаться 37-мм пушкой большой мощности конструкции П.Н. Сячинтова ПС-2. Однако ввиду того, что орудие ПС-2 освоено в серии не было, а 37-мм пушек Б-3 (5К) не хватало для вооружения танков Т-26 и БТ-2, было принято решение об установке на Т-27 вместо 7,62-мм пуле</w:t>
      </w:r>
      <w:r w:rsidRPr="005E779E">
        <w:rPr>
          <w:rFonts w:ascii="Times New Roman" w:hAnsi="Times New Roman"/>
          <w:color w:val="000000" w:themeColor="text1"/>
          <w:sz w:val="16"/>
          <w:szCs w:val="16"/>
        </w:rPr>
        <w:softHyphen/>
        <w:t>мета ДТ 37-мм пушки Гочкиса. Собственно, главное отличие САУ заключалось именно в установке пушки вместо пуле</w:t>
      </w:r>
      <w:r w:rsidRPr="005E779E">
        <w:rPr>
          <w:rFonts w:ascii="Times New Roman" w:hAnsi="Times New Roman"/>
          <w:color w:val="000000" w:themeColor="text1"/>
          <w:sz w:val="16"/>
          <w:szCs w:val="16"/>
        </w:rPr>
        <w:softHyphen/>
        <w:t>мета, но испытания первого построенного образца показа</w:t>
      </w:r>
      <w:r w:rsidRPr="005E779E">
        <w:rPr>
          <w:rFonts w:ascii="Times New Roman" w:hAnsi="Times New Roman"/>
          <w:color w:val="000000" w:themeColor="text1"/>
          <w:sz w:val="16"/>
          <w:szCs w:val="16"/>
        </w:rPr>
        <w:softHyphen/>
        <w:t>ли, что ходовая часть машины оказалась перегруженной. Поэтому второй экземпляр машины был «обут» в шасси с опорными катками большого диаметра.</w:t>
      </w:r>
    </w:p>
    <w:p w14:paraId="2F59946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Параллельно этой машине был изготовлен еще один опытный образец, в котором орудийная установка была смещена максимально вниз, а над ней в вертлюжной уста</w:t>
      </w:r>
      <w:r w:rsidRPr="005E779E">
        <w:rPr>
          <w:rFonts w:ascii="Times New Roman" w:hAnsi="Times New Roman"/>
          <w:color w:val="000000" w:themeColor="text1"/>
          <w:sz w:val="16"/>
          <w:szCs w:val="16"/>
        </w:rPr>
        <w:softHyphen/>
        <w:t>новке находился пулемет ДТ, который мог наводиться не</w:t>
      </w:r>
      <w:r w:rsidRPr="005E779E">
        <w:rPr>
          <w:rFonts w:ascii="Times New Roman" w:hAnsi="Times New Roman"/>
          <w:color w:val="000000" w:themeColor="text1"/>
          <w:sz w:val="16"/>
          <w:szCs w:val="16"/>
        </w:rPr>
        <w:softHyphen/>
        <w:t>зависимо. Другим крупным отличием этой машины от себе подобных было наличие в ней дублирующего управления на месте командира.</w:t>
      </w:r>
    </w:p>
    <w:p w14:paraId="1A9F6EE4"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ходе испытаний обе машины показали множество не</w:t>
      </w:r>
      <w:r w:rsidRPr="005E779E">
        <w:rPr>
          <w:rFonts w:ascii="Times New Roman" w:hAnsi="Times New Roman"/>
          <w:color w:val="000000" w:themeColor="text1"/>
          <w:sz w:val="16"/>
          <w:szCs w:val="16"/>
        </w:rPr>
        <w:softHyphen/>
        <w:t>достатков в системе охлаждения (двигатели сильно пере</w:t>
      </w:r>
      <w:r w:rsidRPr="005E779E">
        <w:rPr>
          <w:rFonts w:ascii="Times New Roman" w:hAnsi="Times New Roman"/>
          <w:color w:val="000000" w:themeColor="text1"/>
          <w:sz w:val="16"/>
          <w:szCs w:val="16"/>
        </w:rPr>
        <w:softHyphen/>
        <w:t>гревались), при использовании снарядных боеукладок. Во второй машине пользоваться пулеметом было трудно.</w:t>
      </w:r>
    </w:p>
    <w:p w14:paraId="716DE622"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Заключение по результатам испытаний было отрица</w:t>
      </w:r>
      <w:r w:rsidRPr="005E779E">
        <w:rPr>
          <w:rFonts w:ascii="Times New Roman" w:hAnsi="Times New Roman"/>
          <w:color w:val="000000" w:themeColor="text1"/>
          <w:sz w:val="16"/>
          <w:szCs w:val="16"/>
        </w:rPr>
        <w:softHyphen/>
        <w:t>тельным. Дальнейшие работы по созданию противотанко</w:t>
      </w:r>
      <w:r w:rsidRPr="005E779E">
        <w:rPr>
          <w:rFonts w:ascii="Times New Roman" w:hAnsi="Times New Roman"/>
          <w:color w:val="000000" w:themeColor="text1"/>
          <w:sz w:val="16"/>
          <w:szCs w:val="16"/>
        </w:rPr>
        <w:softHyphen/>
        <w:t>вой САУ на шасси Т-27 были прекращены.</w:t>
      </w:r>
    </w:p>
    <w:p w14:paraId="2022A7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Также в 1928—1931 гг. ГКБ Оружобъединения спроекти</w:t>
      </w:r>
      <w:r w:rsidRPr="005E779E">
        <w:rPr>
          <w:rFonts w:ascii="Times New Roman" w:hAnsi="Times New Roman"/>
          <w:color w:val="000000" w:themeColor="text1"/>
          <w:sz w:val="16"/>
          <w:szCs w:val="16"/>
        </w:rPr>
        <w:softHyphen/>
        <w:t>ровало 60-мм самоходную батальонную пушку на шасси тан</w:t>
      </w:r>
      <w:r w:rsidRPr="005E779E">
        <w:rPr>
          <w:rFonts w:ascii="Times New Roman" w:hAnsi="Times New Roman"/>
          <w:color w:val="000000" w:themeColor="text1"/>
          <w:sz w:val="16"/>
          <w:szCs w:val="16"/>
        </w:rPr>
        <w:softHyphen/>
        <w:t>кетки «лилипут». После прекращеня работ над 60-мм пуш</w:t>
      </w:r>
      <w:r w:rsidRPr="005E779E">
        <w:rPr>
          <w:rFonts w:ascii="Times New Roman" w:hAnsi="Times New Roman"/>
          <w:color w:val="000000" w:themeColor="text1"/>
          <w:sz w:val="16"/>
          <w:szCs w:val="16"/>
        </w:rPr>
        <w:softHyphen/>
        <w:t>кой вооружение САУ было пересмотрено в пользу 76,2-мм полковой пушки. Но реализован проект не был (11417).</w:t>
      </w:r>
    </w:p>
    <w:p w14:paraId="6C7646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06BE1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начал строиться Нижнетагильский вагоностроительный завод НКТП, Уралвагонзавод /г. Нижний Тагил Свердловской обл./ как часть Урало-Кузбасского угольно-металлургического центра, 11.10.1936 г. были изготовлены первые вагоны, этот день стал днем рождения завода. До войны построено более 35 тыс. вагонов.</w:t>
      </w:r>
    </w:p>
    <w:p w14:paraId="15B23E5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Перед войной на заводе действовал филиал завода № 120 НКАП. По приказу № 668сс от 12.07.1941 г. часть завода (50 %) № 120 и КБ эвакуировались в Нижний Тагил на площадку своего филиала. По приказу № 1079с от 26.10.1941 г. часть завода № 120 в Нижнем Тагиле получила статус филиала завода № 120. Начальник филиала- Власов. По приказу № 1183с от 23.12.1941 г. филиал в Нижнем Тагиле получил статус основного и наименование завод № 120 НКАП, а завод в Каменске, наоборот, стал филиалом.</w:t>
      </w:r>
    </w:p>
    <w:p w14:paraId="720EBCB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пост. ГКО № 99сс от 11.07.1941 г. на площадку Уралвагонзавода планировалась эвакуация Кировского завода из Ленинграда.</w:t>
      </w:r>
    </w:p>
    <w:p w14:paraId="3A699C6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приказу № 729 от 1941 г. на часть площадки Уралвагонзавода был эвакуирован завод № 381 НКАП. Переезд проходил с 1.07 по 5.08.1941 г. По приказу № 675с от 14.07.1941 г. в состав завода № 381 был влит эвакуированный завод № 380 НКАП. В соответствии с пост. ГКО № 3028сс от 12.03.1943 г. и приказом № 175сс/161сс от 20.03.1943 г. площадка завода № 381 со всеми сооружениями передана Уралвагонзаводу в ведение НКТП.</w:t>
      </w:r>
    </w:p>
    <w:p w14:paraId="00A20D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К началу декабря на площадку Нижнетагильского вагонзавода эвакуированы завод № 183 из Харькова и Мариупольский завод им. Ильича. Образован единый Уральский танковый завод № 183 НКТП.</w:t>
      </w:r>
    </w:p>
    <w:p w14:paraId="63FF4B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(-09.1941 г.)- М. Кривич (11982).</w:t>
      </w:r>
    </w:p>
    <w:p w14:paraId="541257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EB8044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году на вооружение РККА были приняты бронеавтомобили Д-8 и Д-12 на базе Форд-А и вскоре эти машины перестали удовлетворять требованиям армии, так как их пулеметные установки не обладали круговым обстрелом. В результате конструкторам было предложено разработать новый бронекорпус с установленным в башне вооружением (3862).</w:t>
      </w:r>
    </w:p>
    <w:p w14:paraId="548883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42C038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году сборочный завод № 37, который был военным подразделением автозавода (первоначальное название КИМ, затем МЗМА, сейчас АЗЛК), построенного в Москве "Фордом" и выпускавшего машины из деталей поставляемых Горьковским автозаводом (ГАЗ), также построенным "Фордом", начал выпускать танкетки, а в 1933 г. перешли на выпуск легких танков амфибий (4018).</w:t>
      </w:r>
    </w:p>
    <w:p w14:paraId="778F3DA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D3E49E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1931 года над созданием легких танков работал московский завод № 37, последовательно освоивший выпуск танкеток Т-27, Т-27А, плавающих малых танков Т-37А и Т-38 нескольких модификаций, а также арттягачей "Пионер" и "Комсомолец". Вначале, эти машины имели силовой агрегат и ведущий мост Форд-АА, замененные впоследствии на аналогичные ГАЗ-АА и ГАЗ-М (3862).</w:t>
      </w:r>
    </w:p>
    <w:p w14:paraId="69A5E8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CE7924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был создан опытный образец танка ТММ-1 с несколько измененной конструкцией корпуса из-за установки двигателя жидкостного охлаждения "Геркулес" мощностью 95 л.с. Танк был вооружен двумя пулеметами Виккерс с водяным охлаждением в двух башнях и одним ДТ в корпусе справа. Ввиду этого экипаж его состоял из четырех человек. Боевая масса - 8 тонн, толщина брони - до 13 мм, скорость - 30 км/ч. Есть сведения об изготовлении десятка таких машин (3861).</w:t>
      </w:r>
    </w:p>
    <w:p w14:paraId="7AE4080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91605D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году коллектив Опытного конструкторско-механического отдела (ОКМО) Машиностроительного завода "Большевик" (бывший Обуховский завод) в Ленинграде, возглавляемый Н.В.Барыковым, приступил к проектированию трехбашенного среднего танка, предназначенного для качественного усиления общевойсковых соединений при прорыве сильно укрепленных оборонительных полос. Ведущим конструктором проекта был назначен Н.В.Цейц (3918).</w:t>
      </w:r>
    </w:p>
    <w:p w14:paraId="7CEB9DA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60C6D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году коллектив Опытного конструкторско-механического отдела Машиностроительного завода "Большевик" в Ленинграде, возглавляемый Н. В. Барыковым, приступил к проектированию трехбашенного среднего танка, предназначенного для качественного усиления общевойсковых соединений при прорыве укрепленных оборонительных полос. Ведущим конструктором проекта был назначен Н.В.Цейц (3862).</w:t>
      </w:r>
    </w:p>
    <w:p w14:paraId="55CA2E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869337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когда чаша весов в создании отечествен</w:t>
      </w:r>
      <w:r w:rsidRPr="005E779E">
        <w:rPr>
          <w:rFonts w:ascii="Times New Roman" w:hAnsi="Times New Roman"/>
          <w:color w:val="000000" w:themeColor="text1"/>
          <w:sz w:val="16"/>
          <w:szCs w:val="16"/>
        </w:rPr>
        <w:softHyphen/>
        <w:t>ной версии «шеститонника» отчетливо качнулась в сторону двухбашенного «чистильщика окопов», С.А. Гинзбург добился финансирования работ по созданию «танка-истреби</w:t>
      </w:r>
      <w:r w:rsidRPr="005E779E">
        <w:rPr>
          <w:rFonts w:ascii="Times New Roman" w:hAnsi="Times New Roman"/>
          <w:color w:val="000000" w:themeColor="text1"/>
          <w:sz w:val="16"/>
          <w:szCs w:val="16"/>
        </w:rPr>
        <w:softHyphen/>
        <w:t>теля» на шасси В-26, оснащенного одной башней кругового вращения от танка Т-19 улучшенный, вооруженного 37-мм пушкой большой мощности, спаренной с пулеметом. По его мнению, такая схема «истребителя» имела большие преимущества перед предложенной англичанами (две 37-мм пушки в корпусе и две пулеметные башни) с точки зрения массы, стоимости и маневра вооружения. Однако до 1932 г. работы над этим танком совершенно не велись. Небольшая серия 37-мм пушек Б-3 (5К) была установлена в малой башне Т-26 взамен 37-мм орудия Гочкиса, но ши</w:t>
      </w:r>
      <w:r w:rsidRPr="005E779E">
        <w:rPr>
          <w:rFonts w:ascii="Times New Roman" w:hAnsi="Times New Roman"/>
          <w:color w:val="000000" w:themeColor="text1"/>
          <w:sz w:val="16"/>
          <w:szCs w:val="16"/>
        </w:rPr>
        <w:softHyphen/>
        <w:t>рокого распространения этот опыт не получил (10733,210).</w:t>
      </w:r>
    </w:p>
    <w:p w14:paraId="06E7237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481C30"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году на испытания вышел спроек</w:t>
      </w:r>
      <w:r w:rsidRPr="005E779E">
        <w:rPr>
          <w:rFonts w:ascii="Times New Roman" w:hAnsi="Times New Roman"/>
          <w:color w:val="000000" w:themeColor="text1"/>
          <w:sz w:val="16"/>
          <w:szCs w:val="16"/>
        </w:rPr>
        <w:softHyphen/>
        <w:t>тированный А. Кузиным и Б. Шишкиным полугусеничный автомобиль НАТИ-2, созданный на шасси «Форд-АА». После испытаний перво</w:t>
      </w:r>
      <w:r w:rsidRPr="005E779E">
        <w:rPr>
          <w:rFonts w:ascii="Times New Roman" w:hAnsi="Times New Roman"/>
          <w:color w:val="000000" w:themeColor="text1"/>
          <w:sz w:val="16"/>
          <w:szCs w:val="16"/>
        </w:rPr>
        <w:softHyphen/>
        <w:t>го образца и необходимых доработок в 1933 году появи</w:t>
      </w:r>
      <w:r w:rsidRPr="005E779E">
        <w:rPr>
          <w:rFonts w:ascii="Times New Roman" w:hAnsi="Times New Roman"/>
          <w:color w:val="000000" w:themeColor="text1"/>
          <w:sz w:val="16"/>
          <w:szCs w:val="16"/>
        </w:rPr>
        <w:softHyphen/>
        <w:t>лась модель НАТИ-3, а в 1936-м - НАТИ-ВЗ, изготовленные на базе отечественных грузовиков ГАЗ-АА. В 1937 го</w:t>
      </w:r>
      <w:r w:rsidRPr="005E779E">
        <w:rPr>
          <w:rFonts w:ascii="Times New Roman" w:hAnsi="Times New Roman"/>
          <w:color w:val="000000" w:themeColor="text1"/>
          <w:sz w:val="16"/>
          <w:szCs w:val="16"/>
        </w:rPr>
        <w:softHyphen/>
        <w:t>ду усовершенствованная модель НАТИ-ВЗ под индексом ГАЗ-60 была запущена в серийное производство.</w:t>
      </w:r>
    </w:p>
    <w:p w14:paraId="256E51B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Естественно, почти с самого начала производства полу</w:t>
      </w:r>
      <w:r w:rsidRPr="005E779E">
        <w:rPr>
          <w:rFonts w:ascii="Times New Roman" w:hAnsi="Times New Roman"/>
          <w:color w:val="000000" w:themeColor="text1"/>
          <w:sz w:val="16"/>
          <w:szCs w:val="16"/>
        </w:rPr>
        <w:softHyphen/>
        <w:t>гусеничных автомобилей их пытались использовать в каче</w:t>
      </w:r>
      <w:r w:rsidRPr="005E779E">
        <w:rPr>
          <w:rFonts w:ascii="Times New Roman" w:hAnsi="Times New Roman"/>
          <w:color w:val="000000" w:themeColor="text1"/>
          <w:sz w:val="16"/>
          <w:szCs w:val="16"/>
        </w:rPr>
        <w:softHyphen/>
        <w:t>стве базы для бронемашин. Первый в мире полугусеничный броневик (на шасси «Остин») с движителем Кегресса изго</w:t>
      </w:r>
      <w:r w:rsidRPr="005E779E">
        <w:rPr>
          <w:rFonts w:ascii="Times New Roman" w:hAnsi="Times New Roman"/>
          <w:color w:val="000000" w:themeColor="text1"/>
          <w:sz w:val="16"/>
          <w:szCs w:val="16"/>
        </w:rPr>
        <w:softHyphen/>
        <w:t>товили в 1916 году. Испытания прошли успешно, и было принято решение о перестановке на полугусеничный ход всех бронеавтомобилей Русской Армии. Однако события 1917 года и последовавшая за этим Гражданская война по</w:t>
      </w:r>
      <w:r w:rsidRPr="005E779E">
        <w:rPr>
          <w:rFonts w:ascii="Times New Roman" w:hAnsi="Times New Roman"/>
          <w:color w:val="000000" w:themeColor="text1"/>
          <w:sz w:val="16"/>
          <w:szCs w:val="16"/>
        </w:rPr>
        <w:softHyphen/>
        <w:t>мешали воплотить в жизнь эти планы (11284).</w:t>
      </w:r>
    </w:p>
    <w:p w14:paraId="144222D1"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3E62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1931 г. была выбрана строительная площадка ЧЗКС в районе озера Смолино, создано управление строительством во главе с М.И.Калитовым. Развертывались работы по сооружению бетонного и лесопильного заводов, деревообрабатывающей мастерской, прокладывалась железнодорожная ветка до каменного и песчаного карьеров. В июле 1932 г. заложили первый дом на КБС – основу Ленинского района в Челябинске. </w:t>
      </w:r>
    </w:p>
    <w:p w14:paraId="1C435F9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размерам своих цехов этот завод не уступал тракторному, а по размаху строительной площадки в полтора раза превосходил ЧТЗ. Он должен был выпускать ежегодно 440 станков массой от 35 до 40 тонн; 300 тыс. роликоподшипников для вагонов; 250 тыс. вагонных осей тяжёлого типа и 200 тыс. одно- и двухколёсных валов для нефтедвигателей. Вся годовая продукция завода определялась в 106 млн. руб. Из 250 новых типов станков, которые обязаны были освоить заводы нашей страны во второй пятилетке, 25 типов предстояло выпускать Челябинскому предприятию.</w:t>
      </w:r>
    </w:p>
    <w:p w14:paraId="5FB5F9E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Сам станкозавод начинался с маленькой слесарной мастерской в центре города на улице Карла Маркса. Всё его оборудование составляли кузнечный горн, верстак и небольшой набор инструментов. Однако сроки закладки фундамента и сооружения заводских цехов затягивались. 28 марта 1932 г. коллегия Наркомата тяжёлой промышленности приняла решение о создании специальной организации для строительства завода – Челябспецстроя, с обязательной передачей ему оборудования и техники по мере их освобождения на ЧТЗ (11557).</w:t>
      </w:r>
    </w:p>
    <w:p w14:paraId="634187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5E67545" w14:textId="77777777" w:rsidR="00CC65A3" w:rsidRPr="005E779E" w:rsidRDefault="00CC65A3" w:rsidP="000B7A6C">
      <w:pPr>
        <w:pStyle w:val="190"/>
        <w:shd w:val="clear" w:color="auto" w:fill="auto"/>
        <w:spacing w:before="0" w:after="0" w:line="240" w:lineRule="auto"/>
        <w:jc w:val="both"/>
        <w:rPr>
          <w:rFonts w:ascii="Times New Roman" w:hAnsi="Times New Roman" w:cs="Times New Roman"/>
          <w:color w:val="000000" w:themeColor="text1"/>
          <w:sz w:val="16"/>
          <w:szCs w:val="16"/>
        </w:rPr>
      </w:pPr>
      <w:r w:rsidRPr="005E779E">
        <w:rPr>
          <w:rFonts w:ascii="Times New Roman" w:hAnsi="Times New Roman" w:cs="Times New Roman"/>
          <w:color w:val="000000" w:themeColor="text1"/>
          <w:sz w:val="16"/>
          <w:szCs w:val="16"/>
        </w:rPr>
        <w:t>В 1931 году был создан новый образец походной кухни-автоприцепки стремя котла</w:t>
      </w:r>
      <w:r w:rsidRPr="005E779E">
        <w:rPr>
          <w:rFonts w:ascii="Times New Roman" w:hAnsi="Times New Roman" w:cs="Times New Roman"/>
          <w:color w:val="000000" w:themeColor="text1"/>
          <w:sz w:val="16"/>
          <w:szCs w:val="16"/>
        </w:rPr>
        <w:softHyphen/>
        <w:t>ми, дававшей возможность готовить сразу первое и второе блюда, а заодно еще греть кипяток для чая. Эта кухня получила обозна</w:t>
      </w:r>
      <w:r w:rsidRPr="005E779E">
        <w:rPr>
          <w:rFonts w:ascii="Times New Roman" w:hAnsi="Times New Roman" w:cs="Times New Roman"/>
          <w:color w:val="000000" w:themeColor="text1"/>
          <w:sz w:val="16"/>
          <w:szCs w:val="16"/>
        </w:rPr>
        <w:softHyphen/>
        <w:t>чение КП-3 (по количеству котлов) и сравни</w:t>
      </w:r>
      <w:r w:rsidRPr="005E779E">
        <w:rPr>
          <w:rFonts w:ascii="Times New Roman" w:hAnsi="Times New Roman" w:cs="Times New Roman"/>
          <w:color w:val="000000" w:themeColor="text1"/>
          <w:sz w:val="16"/>
          <w:szCs w:val="16"/>
        </w:rPr>
        <w:softHyphen/>
        <w:t>тельно массово поступала в войска для опыт</w:t>
      </w:r>
      <w:r w:rsidRPr="005E779E">
        <w:rPr>
          <w:rFonts w:ascii="Times New Roman" w:hAnsi="Times New Roman" w:cs="Times New Roman"/>
          <w:color w:val="000000" w:themeColor="text1"/>
          <w:sz w:val="16"/>
          <w:szCs w:val="16"/>
        </w:rPr>
        <w:softHyphen/>
        <w:t>ной эксплуатации, по результатам которой вносились изменения в конструкцию. К 1937 году окончательно сформировался облик этой кухни, и она была принята на снабжение с индексом КП-3-37.</w:t>
      </w:r>
      <w:r w:rsidRPr="005E779E">
        <w:rPr>
          <w:rStyle w:val="ArialNarrow345pt"/>
          <w:rFonts w:ascii="Times New Roman" w:hAnsi="Times New Roman" w:cs="Times New Roman"/>
          <w:color w:val="000000" w:themeColor="text1"/>
          <w:sz w:val="16"/>
          <w:szCs w:val="16"/>
        </w:rPr>
        <w:t xml:space="preserve"> С</w:t>
      </w:r>
      <w:r w:rsidRPr="005E779E">
        <w:rPr>
          <w:rFonts w:ascii="Times New Roman" w:hAnsi="Times New Roman" w:cs="Times New Roman"/>
          <w:color w:val="000000" w:themeColor="text1"/>
          <w:sz w:val="16"/>
          <w:szCs w:val="16"/>
        </w:rPr>
        <w:t>о стоявшими на снабжении еще в Первую мировою войну походными кухнями пехотно-артиллерийского, кавалерий</w:t>
      </w:r>
      <w:r w:rsidRPr="005E779E">
        <w:rPr>
          <w:rFonts w:ascii="Times New Roman" w:hAnsi="Times New Roman" w:cs="Times New Roman"/>
          <w:color w:val="000000" w:themeColor="text1"/>
          <w:sz w:val="16"/>
          <w:szCs w:val="16"/>
        </w:rPr>
        <w:softHyphen/>
        <w:t>ского и горно-вьючного образцов, для кото</w:t>
      </w:r>
      <w:r w:rsidRPr="005E779E">
        <w:rPr>
          <w:rFonts w:ascii="Times New Roman" w:hAnsi="Times New Roman" w:cs="Times New Roman"/>
          <w:color w:val="000000" w:themeColor="text1"/>
          <w:sz w:val="16"/>
          <w:szCs w:val="16"/>
        </w:rPr>
        <w:softHyphen/>
        <w:t>рых лошадки служили единственным транс</w:t>
      </w:r>
      <w:r w:rsidRPr="005E779E">
        <w:rPr>
          <w:rFonts w:ascii="Times New Roman" w:hAnsi="Times New Roman" w:cs="Times New Roman"/>
          <w:color w:val="000000" w:themeColor="text1"/>
          <w:sz w:val="16"/>
          <w:szCs w:val="16"/>
        </w:rPr>
        <w:softHyphen/>
        <w:t>портным средством, Рабоче-крестьянская Красная Армия (РККА) вошла и в эпоху годов. Ходовая часть этих кухонь мало отлича</w:t>
      </w:r>
      <w:r w:rsidRPr="005E779E">
        <w:rPr>
          <w:rFonts w:ascii="Times New Roman" w:hAnsi="Times New Roman" w:cs="Times New Roman"/>
          <w:color w:val="000000" w:themeColor="text1"/>
          <w:sz w:val="16"/>
          <w:szCs w:val="16"/>
        </w:rPr>
        <w:softHyphen/>
        <w:t>лась от обычной телеги, так что буксировку механической тягой они не допускали катего</w:t>
      </w:r>
      <w:r w:rsidRPr="005E779E">
        <w:rPr>
          <w:rFonts w:ascii="Times New Roman" w:hAnsi="Times New Roman" w:cs="Times New Roman"/>
          <w:color w:val="000000" w:themeColor="text1"/>
          <w:sz w:val="16"/>
          <w:szCs w:val="16"/>
        </w:rPr>
        <w:softHyphen/>
        <w:t>рически - просто разваливались. Между тем, в армии появились мотомеханизированные подразделения - в первую очередь, бронетан</w:t>
      </w:r>
      <w:r w:rsidRPr="005E779E">
        <w:rPr>
          <w:rFonts w:ascii="Times New Roman" w:hAnsi="Times New Roman" w:cs="Times New Roman"/>
          <w:color w:val="000000" w:themeColor="text1"/>
          <w:sz w:val="16"/>
          <w:szCs w:val="16"/>
        </w:rPr>
        <w:softHyphen/>
        <w:t>ковые - у которых лошадей уже не было даже по штату. Кроме того, кухни дореволюцион</w:t>
      </w:r>
      <w:r w:rsidRPr="005E779E">
        <w:rPr>
          <w:rFonts w:ascii="Times New Roman" w:hAnsi="Times New Roman" w:cs="Times New Roman"/>
          <w:color w:val="000000" w:themeColor="text1"/>
          <w:sz w:val="16"/>
          <w:szCs w:val="16"/>
        </w:rPr>
        <w:softHyphen/>
        <w:t>ных типов были с одним котлом, ведь силой обозных лошадей «второго разряда» больше не увезешь, и потому готовить в них можно былотолько какое-нибудь одно блюдо.</w:t>
      </w:r>
    </w:p>
    <w:p w14:paraId="352DA8EA" w14:textId="77777777" w:rsidR="00CC65A3" w:rsidRPr="005E779E" w:rsidRDefault="00CC65A3" w:rsidP="000B7A6C">
      <w:pPr>
        <w:pStyle w:val="190"/>
        <w:shd w:val="clear" w:color="auto" w:fill="auto"/>
        <w:spacing w:before="0" w:after="0" w:line="240" w:lineRule="auto"/>
        <w:jc w:val="both"/>
        <w:rPr>
          <w:rFonts w:ascii="Times New Roman" w:hAnsi="Times New Roman" w:cs="Times New Roman"/>
          <w:color w:val="000000" w:themeColor="text1"/>
          <w:sz w:val="16"/>
          <w:szCs w:val="16"/>
        </w:rPr>
      </w:pPr>
      <w:r w:rsidRPr="005E779E">
        <w:rPr>
          <w:rFonts w:ascii="Times New Roman" w:hAnsi="Times New Roman" w:cs="Times New Roman"/>
          <w:color w:val="000000" w:themeColor="text1"/>
          <w:sz w:val="16"/>
          <w:szCs w:val="16"/>
        </w:rPr>
        <w:t>По штату 1940 года в моторизованной дивизии РККА полагалось иметь 67 автоку</w:t>
      </w:r>
      <w:r w:rsidRPr="005E779E">
        <w:rPr>
          <w:rFonts w:ascii="Times New Roman" w:hAnsi="Times New Roman" w:cs="Times New Roman"/>
          <w:color w:val="000000" w:themeColor="text1"/>
          <w:sz w:val="16"/>
          <w:szCs w:val="16"/>
        </w:rPr>
        <w:softHyphen/>
        <w:t>хонь, штат 05/71 1940 г. для моторизованно</w:t>
      </w:r>
      <w:r w:rsidRPr="005E779E">
        <w:rPr>
          <w:rFonts w:ascii="Times New Roman" w:hAnsi="Times New Roman" w:cs="Times New Roman"/>
          <w:color w:val="000000" w:themeColor="text1"/>
          <w:sz w:val="16"/>
          <w:szCs w:val="16"/>
        </w:rPr>
        <w:softHyphen/>
        <w:t xml:space="preserve">го полка предполагал 19 КП-3, а в танковом полку по штату 05/73 1940 года их должно было быть 12. </w:t>
      </w:r>
      <w:r w:rsidRPr="005E779E">
        <w:rPr>
          <w:rFonts w:ascii="Times New Roman" w:hAnsi="Times New Roman" w:cs="Times New Roman"/>
          <w:color w:val="000000" w:themeColor="text1"/>
          <w:sz w:val="16"/>
          <w:szCs w:val="16"/>
          <w:lang w:val="ru-RU"/>
        </w:rPr>
        <w:t>(19851).</w:t>
      </w:r>
    </w:p>
    <w:p w14:paraId="33B5F279" w14:textId="77777777" w:rsidR="00CC65A3" w:rsidRPr="005E779E" w:rsidRDefault="00CC65A3" w:rsidP="000B7A6C">
      <w:pPr>
        <w:spacing w:after="0" w:line="240" w:lineRule="auto"/>
        <w:jc w:val="both"/>
        <w:rPr>
          <w:rFonts w:ascii="Times New Roman" w:hAnsi="Times New Roman"/>
          <w:color w:val="000000" w:themeColor="text1"/>
          <w:sz w:val="16"/>
          <w:szCs w:val="16"/>
        </w:rPr>
      </w:pPr>
    </w:p>
    <w:p w14:paraId="640014B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1931 году число рабочих «Кузнецкстроя» выросло до 50 тысяч. Еще около 30 тысяч человек были на строительстве железных дорог и рудников. Естественно, что собрать такое количество людей одним только оргнабором было невозможно. По данным исследователя-краеведа Л.И. Фойгт, до 62% строителей Кузнецкого комбината были раскулаченными крестьянами и заключенными (Л.И. Фойгт. Сталинск в годы репрессий. Новокузнецк. 1993-1995). В 1931 году стройка освоила планово до 150 млн. рублей (в 1930 году – только 50 млн. рублей). К концу года в строй были введены вспомогательные цеха - литейный и шамото-динасовый. В феврале 1932 года заработала коксовая батарея и ТЭЦ. Первая доменная печь была запущена в конце марта 1932 года (первый чугун – 3 апреля). Советское руководство оценило высоко эти достижения (11539). </w:t>
      </w:r>
    </w:p>
    <w:p w14:paraId="722711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FC74EB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1931 г. один из корпусов завода (Механический завод № 7 ВСНХ, «Санкт-Петербургский арсенал», Санкт-Петербургский Орудийный завод им. Петра I, Механический артиллерийский завод «Арсенал Петра Великого», Ленинградский государственный механический артиллерийский завод «Красный Арсенал» ВСНХ, ГС машиностроительный завод № 7 им. 1-го Мая НКТП, НКОП, ГС завод № 7 им. М.В. Фрунзе НКВ, </w:t>
      </w:r>
      <w:r w:rsidRPr="005E779E">
        <w:rPr>
          <w:rFonts w:ascii="Times New Roman" w:hAnsi="Times New Roman"/>
          <w:color w:val="000000" w:themeColor="text1"/>
          <w:sz w:val="16"/>
          <w:szCs w:val="16"/>
          <w:lang w:val="en-US"/>
        </w:rPr>
        <w:t>MB</w:t>
      </w:r>
      <w:r w:rsidRPr="005E779E">
        <w:rPr>
          <w:rFonts w:ascii="Times New Roman" w:hAnsi="Times New Roman"/>
          <w:color w:val="000000" w:themeColor="text1"/>
          <w:sz w:val="16"/>
          <w:szCs w:val="16"/>
        </w:rPr>
        <w:t xml:space="preserve">, МОП, ГКОТ, Ленинградский завод им. М.В. Фрунзе (ЗИФ), ПО «Арсенал» им. М.В. Фрунзе </w:t>
      </w:r>
      <w:r w:rsidRPr="005E779E">
        <w:rPr>
          <w:rFonts w:ascii="Times New Roman" w:hAnsi="Times New Roman"/>
          <w:color w:val="000000" w:themeColor="text1"/>
          <w:sz w:val="16"/>
          <w:szCs w:val="16"/>
          <w:lang w:val="en-US"/>
        </w:rPr>
        <w:t>MOM</w:t>
      </w:r>
      <w:r w:rsidRPr="005E779E">
        <w:rPr>
          <w:rFonts w:ascii="Times New Roman" w:hAnsi="Times New Roman"/>
          <w:color w:val="000000" w:themeColor="text1"/>
          <w:sz w:val="16"/>
          <w:szCs w:val="16"/>
        </w:rPr>
        <w:t>, АООТ «ЗПТ «Арсенал», АООТ «Холдинговая компания (ХК) «Арсенал», ОАО «Машиностроительный завод (МЗ) «Арсенал» /г. Санкт-Петербург, г. Петроград; г. Ленинград, 9 п/я 671 (1937г.)/ /195009 г. Санкт-Петербург ул. Комсомола, 1/3 тел. 542-28-46, 542-79-00/) был отдан заводу «Кинап» (11982).</w:t>
      </w:r>
    </w:p>
    <w:p w14:paraId="7C236E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646171F" w14:textId="4050A0B4"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завод (ГС завод № 197 ИМ. В.И. Ленина НКОП, НКАП, НКЭП, Радиотелефонный завод им. В.И. Ленина НКТП, Горьковский радиотелефонный завод, Горьковский телевизионный завод (ГТЗ) им. Ленина МРП, п/я 455, ПО «Радий», АООТ, ОАО «Нижегородский телевизионный завод им. В.И. Ленина» (НИТЕЛ) /603009</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Горький,</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 xml:space="preserve">г. Нижний Новгород пр. Гагарина, 37 тел. 65-51-19/), который вступил в строй 9 января 1917 г., стал именоваться радиотелефонным, с конца 1933 г. Горьковский завод им. Ленина - в ведении «Главэспрома» НКТП. По пр. НКОП № Обсс от 30.12.1936 г. Радиотелефонный завод им. Ленина переименован в завод </w:t>
      </w:r>
      <w:r w:rsidRPr="005E779E">
        <w:rPr>
          <w:rFonts w:ascii="Times New Roman" w:hAnsi="Times New Roman"/>
          <w:color w:val="000000" w:themeColor="text1"/>
          <w:sz w:val="16"/>
          <w:szCs w:val="16"/>
        </w:rPr>
        <w:lastRenderedPageBreak/>
        <w:t>№ 197 им. Ленина 5ГУ НКОП, приказом № 116 от 31.03.1937 г. утвержден Устав ГС завода № 197. С образованием НКАП завод № 197 5ГУ НКОП передан в ведение его 7ГУ, Устав завода утвержден в 01.1939 г. Имел наименование «п/я 455». По Указу Президиума ВС от 17.04.1940 г. и приказу НКАП/НКЭП № 105/5 от 23.04.1940 г. передан в ведение вновь образованного НКЭП.</w:t>
      </w:r>
    </w:p>
    <w:p w14:paraId="79F206C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Приказом № 0020 от 3.02.1937 г. заводу предписано создать к 1.01.1938 г. мощности по производству радиостанций: самолетных - 7700 шт. в год; аэродромных - 250 шт.; войсковых - 3255 шт. Приказом № 00116 от 28.05.1937 г. заводу поручен выпуск раций РСБ для самолета Вулти.</w:t>
      </w:r>
    </w:p>
    <w:p w14:paraId="54FA1C1D" w14:textId="46DFB505"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11.1937 г. на заводе организован отдел специальной телефонии. Производство авиационных раций. По пр. № 156с от 7/10.05.1938 г. требовалось в 1938 г. построить и оборудовать цех изоляционно-керамических материалов, заводу выделено 11 станков. Во исполнение решения правительства № 152сс приказом № 319сс от 10.08.1938 г. было предписано расширить акустическую лабораторию завода № 197, перевести в нее 7 специалистов с завода «Красная заря». В конце 1930-х</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завод начал самостоятельно модернизировать и разрабатывать новые радиостанции. После начала войны был организован цех по выпуску сопротивлений и конденсаторов, организован участок по переделке стрелочных измерительных приборов.</w:t>
      </w:r>
    </w:p>
    <w:p w14:paraId="1A15641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Производство радиооборудования (1942 г.). 12.04.1944 г. вышло распоряжение ГКО № 5603 о мерах по обеспечению производства автомобильных радиостанций специальными автокузовами.</w:t>
      </w:r>
    </w:p>
    <w:p w14:paraId="41ACD0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годы войны завод выпустил более 70 наименований изделий: 50.422 радиостанции, 112 тыс. переговорных устройств, 234 тыс. полевых телефонов.</w:t>
      </w:r>
    </w:p>
    <w:p w14:paraId="1DCFF5F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1946 г. заводу поручена разработка и выпуск </w:t>
      </w:r>
      <w:r w:rsidRPr="005E779E">
        <w:rPr>
          <w:rFonts w:ascii="Times New Roman" w:hAnsi="Times New Roman"/>
          <w:color w:val="000000" w:themeColor="text1"/>
          <w:sz w:val="16"/>
          <w:szCs w:val="16"/>
          <w:lang w:val="en-US"/>
        </w:rPr>
        <w:t>PJIC</w:t>
      </w:r>
      <w:r w:rsidRPr="005E779E">
        <w:rPr>
          <w:rFonts w:ascii="Times New Roman" w:hAnsi="Times New Roman"/>
          <w:color w:val="000000" w:themeColor="text1"/>
          <w:sz w:val="16"/>
          <w:szCs w:val="16"/>
        </w:rPr>
        <w:t xml:space="preserve"> метрового диапазона для войск ПВО. В 1947 г. на заводе создано СКБ.</w:t>
      </w:r>
    </w:p>
    <w:p w14:paraId="4E1AE2E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1949 г. прекращен выпуск изделий телефонии, в 1951 г.- выпуск радиосвязной техники. Производство средств радиосвязи передано на другие заводы. Завод полностью перешел на выпуск </w:t>
      </w:r>
      <w:r w:rsidRPr="005E779E">
        <w:rPr>
          <w:rFonts w:ascii="Times New Roman" w:hAnsi="Times New Roman"/>
          <w:color w:val="000000" w:themeColor="text1"/>
          <w:sz w:val="16"/>
          <w:szCs w:val="16"/>
          <w:lang w:val="en-US"/>
        </w:rPr>
        <w:t>PJIC</w:t>
      </w:r>
      <w:r w:rsidRPr="005E779E">
        <w:rPr>
          <w:rFonts w:ascii="Times New Roman" w:hAnsi="Times New Roman"/>
          <w:color w:val="000000" w:themeColor="text1"/>
          <w:sz w:val="16"/>
          <w:szCs w:val="16"/>
        </w:rPr>
        <w:t>.</w:t>
      </w:r>
    </w:p>
    <w:p w14:paraId="787EEB1D" w14:textId="4D7A2C0C"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1953 г. создана лаборатория изделий бытовой аппаратуры. С 1960 г. начат выпуск телевизоров. В 1974-75 г. проведена реконструкция телевизионного цеха (проект- начальник КБ КТО</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Г.В. Лахвицкий). В 1986-87г,- вторая реконструкция телевизионного производства с установкой модульных линий.</w:t>
      </w:r>
    </w:p>
    <w:p w14:paraId="380EB0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1966 г. ГС завод № 197 переименован в ГТЗ им. В.И. Ленина. Входил в состав ПО «Радий».</w:t>
      </w:r>
    </w:p>
    <w:p w14:paraId="26A04B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1998 г. выпущено более 20 типов РЛС.</w:t>
      </w:r>
    </w:p>
    <w:p w14:paraId="6E7DA1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Производство (2002 г.): дежурные средства РЛ метрового диапазона, аппаратура: сопряжения РЛС со стрельбовыми комплексами, для обучения и тренировки расчетов РЛС; модернизация РЛС.</w:t>
      </w:r>
    </w:p>
    <w:p w14:paraId="649D2B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10.1992 г. завод акционирован и преобразован в АООТ «НИТЕЛ», затем- ОАО. По решению правительства № 22-р от 9.01.2004 г. ОАО вошло в перечень стратегических предприятий.</w:t>
      </w:r>
    </w:p>
    <w:p w14:paraId="7C8FBE2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Директор (-16.05.1937 г.)- А.А. Соколенко; и.о. (16.05-10.1937 г.-)- Н.В. Добров; (-05-12.1938 г.-)- Н.В. Добров, (-1941 г.)- А.А. Форштер, (1960-е)- В.К. Мошков, (1986 г.)- </w:t>
      </w:r>
      <w:r w:rsidRPr="005E779E">
        <w:rPr>
          <w:rFonts w:ascii="Times New Roman" w:hAnsi="Times New Roman"/>
          <w:color w:val="000000" w:themeColor="text1"/>
          <w:sz w:val="16"/>
          <w:szCs w:val="16"/>
          <w:lang w:val="en-US"/>
        </w:rPr>
        <w:t>B</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C</w:t>
      </w:r>
      <w:r w:rsidRPr="005E779E">
        <w:rPr>
          <w:rFonts w:ascii="Times New Roman" w:hAnsi="Times New Roman"/>
          <w:color w:val="000000" w:themeColor="text1"/>
          <w:sz w:val="16"/>
          <w:szCs w:val="16"/>
        </w:rPr>
        <w:t>. Копылов. Гендиректор (2002 г.)- В.Ф. Казаков, (2003 г.-)- С. Б. Самойлов.</w:t>
      </w:r>
    </w:p>
    <w:p w14:paraId="317F1B4A" w14:textId="7825882E"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директора (17.12.1938 г.-)- А.И. Васильев. Зам. гендиректора по кадровым вопросам и социальной сфере-</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Г.А. Котлярова.</w:t>
      </w:r>
    </w:p>
    <w:p w14:paraId="7446AB0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Технический директор (2002 г.)- Э.Л. Воловский, А.В. Воробьев. Финансовый директор (2002 г.)- С.А. Бушуев.</w:t>
      </w:r>
    </w:p>
    <w:p w14:paraId="561C91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Гл. инженер (17.12.1938 г.-)- А.И. Васильев, (1986 г.)- </w:t>
      </w:r>
      <w:r w:rsidRPr="005E779E">
        <w:rPr>
          <w:rFonts w:ascii="Times New Roman" w:hAnsi="Times New Roman"/>
          <w:color w:val="000000" w:themeColor="text1"/>
          <w:sz w:val="16"/>
          <w:szCs w:val="16"/>
          <w:lang w:val="en-US"/>
        </w:rPr>
        <w:t>A</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M</w:t>
      </w:r>
      <w:r w:rsidRPr="005E779E">
        <w:rPr>
          <w:rFonts w:ascii="Times New Roman" w:hAnsi="Times New Roman"/>
          <w:color w:val="000000" w:themeColor="text1"/>
          <w:sz w:val="16"/>
          <w:szCs w:val="16"/>
        </w:rPr>
        <w:t>. Александров, (2002 г.)- С.Х. Тибилов.</w:t>
      </w:r>
    </w:p>
    <w:p w14:paraId="2109807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гл. инженера (1986 г.)- О.В. Татарчук.</w:t>
      </w:r>
    </w:p>
    <w:p w14:paraId="0491C9F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конструктор (1930-е)- И.А. Щербаковский, В.Н. Марков.</w:t>
      </w:r>
    </w:p>
    <w:p w14:paraId="67FEE5A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гл. технолога (-1951 г.)- А.П. Щепин, Н.П. Калягин.</w:t>
      </w:r>
    </w:p>
    <w:p w14:paraId="38BDCD8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Начальники: отделов: специальной телефонии (1937 г.-)- Б.С. Тамаркин; (1936 г.-)- А.А. Форштер; лабораторий: изделий бытовой аппаратуры (1953 г.-)- Б.И. Аникин.</w:t>
      </w:r>
    </w:p>
    <w:p w14:paraId="6481956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конструкторы: (1944 г.)- М.М. Савинов (РСБ-5), (1947 г.)- Н.Д. Елкин (РСБ-70), (1985 г.)- А.А. Местер (ЗУСЦТ 51/61), (1992 г.)- В.М. Сафронов (УСЦТ1-51/61), (1993 г.)- С.И. Ярошук (НСП-001), (1990-е)- А.В. Филиппов (видеотехника).</w:t>
      </w:r>
    </w:p>
    <w:p w14:paraId="5A4E15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Производство: телефонные аппараты: типа «Гейслер», системы Ботяновского, ЦБ, МБ, унифицированные военно-полевые УНА-Ф-28, -Ф-31, -И-28, -И-31, Т-2, Т-4 (1941-42), Т (1947); коммутаторы: КОФ, РЭ-112, К-7, К-3 (1933-39); переговорные устройства: ТАГ, ТТС, К-2, БПУ (1935-47), самолетные СПУбис, СПУ-2, СПУ-3 (- 1938-41-), танковые ТПУбис, ТПУ-2, ТПУ-3 (ВОВ); головные гарнитуры (1941-49); радиостанции: артполка 31- ДП, артдивизиона 32-ДП, пехотного полка 5-ДП, кавалерийского полка 24-ТВ (1929-)- всего около 200, дивизионная 23-ТВ (1929-30)- 20, 5-АК (1931-), 6-ПК (1931-), 11-А, 34-ДП (1931-), самолетные 15-СК, 5-СУ, РСВС, РСВС-1 (Луч-1), РТБ, РТБ-К, РСБ «Двина» (1938), РСБ-М, РСД, РСД-М (1933-37), наземные ЗА, П-АК (1933-37), РАФ, РАФ-КВ (1940), РАФ-КВбис, -КВ-3, -КВ-4, -КВ-5, «Дельфин» (1940-45), РК-05, РК-005 (1945), РСБ-Ф, РСВС-2 (1938), танковая РТУ-3 (1938), радиоприводная АПР-3, пеленгационная 54ДП, РТУ, РСУ «Терек» (1941-), ПАР-3, МПАР-2, командный радиоузел РУК, СРКС-00, РСБ-Збис, РД-5, ПАРКС-008, РАС-УКВ «Чернослив» (1950-), ПАР-7 (1946-51); радиоприемники: «УС» (ВОВ), ПР-4, УС-М (1946-51); радиопередатчики: РСБ-70 «Беркут», «Дунай» (1947-), РСБ-5 «Днепр», «Ока» (1948-), РСД-Д, РЗБ-5 (1946-51), «Кама», «Висла»; радиомаркерный пункт ПРМ-49; РЛС: П-ЗА (1948-), П-8, П-10, П-12, П-14 «Лена» (1959-), П-18-2,1РЛ113, 44Ж6, 55Ж6-1, 5Н84, 1Л13-3 (2002);</w:t>
      </w:r>
      <w:r w:rsidRPr="005E779E">
        <w:rPr>
          <w:rFonts w:ascii="Times New Roman" w:hAnsi="Times New Roman"/>
          <w:color w:val="000000" w:themeColor="text1"/>
          <w:sz w:val="16"/>
          <w:szCs w:val="16"/>
          <w:vertAlign w:val="superscript"/>
        </w:rPr>
        <w:t>69</w:t>
      </w:r>
      <w:r w:rsidRPr="005E779E">
        <w:rPr>
          <w:rFonts w:ascii="Times New Roman" w:hAnsi="Times New Roman"/>
          <w:color w:val="000000" w:themeColor="text1"/>
          <w:sz w:val="16"/>
          <w:szCs w:val="16"/>
        </w:rPr>
        <w:t xml:space="preserve"> АРЛСК 1РЛ116, 5Н85, 36Ж6; головные телефоны, микрофоны, микротелефоны, ларингофоны, джеки, динамики (1938); радиотеодолит для слежения за радиозондом; антенны АНВ, АНД для передачи телеметрических данных первых ИСЗ (1956-57); радиоприемники бытовые: ЛДВ-7-1, П-5, П-8 (1920-е), АРЗ, «Мелодия»; громкоговоритель «А» (1924-25); репродукторы: «Рекорд», «Рекорд-2, -3, -4 (1933), -5», «Зорька», «Пролетарий»; радиолы: «Балтика», «Соната», «Мелодия», «Октава» (1958-); телерадиола «Призма» (1961-); телевизоры: «Радий» (I960-), «Радий-А (1962-), -Б (1965-), -И (1966-)»- всего 765.500, «Чайка», «Чайка-2 (1967-), -4 (1970-), -5, -20, -201, -202, -205, -206, -207 (-1990)- всего 4.234.900, 34ТБ-424, 24ТБ-507, -701 (УЛПЦТ 59/61, 1974-), -711, -714 (1978-), -718, -722, -738, -739- всего 1.059.780, Ц-202, -275, -280 (ЗУСЦТ 51/61, 1985-), - 310, -380, 51ТЦ-310, 61ТЦ-330, 51ТЦ-423, 61ТЦ-437(-1992&gt; всего 1.823.750, 51ТЦ-441 (1992-), 61ТЦ-469», «Нител» 31ТБ-414, 31ТБ-424, 54ТЦ-480, 54ТЦ-4214, 51ТЦ-5187, 61ТЦ-5188, 61ТЦ-5190, 54ТЦ-5191,37ТЦ-5213 (- 1997)- всего 342.220; видеоплееры «Нител» </w:t>
      </w:r>
      <w:r w:rsidRPr="005E779E">
        <w:rPr>
          <w:rFonts w:ascii="Times New Roman" w:hAnsi="Times New Roman"/>
          <w:color w:val="000000" w:themeColor="text1"/>
          <w:sz w:val="16"/>
          <w:szCs w:val="16"/>
          <w:lang w:val="en-US"/>
        </w:rPr>
        <w:t>VC</w:t>
      </w:r>
      <w:r w:rsidRPr="005E779E">
        <w:rPr>
          <w:rFonts w:ascii="Times New Roman" w:hAnsi="Times New Roman"/>
          <w:color w:val="000000" w:themeColor="text1"/>
          <w:sz w:val="16"/>
          <w:szCs w:val="16"/>
        </w:rPr>
        <w:t xml:space="preserve">-50 (1994-), </w:t>
      </w:r>
      <w:r w:rsidRPr="005E779E">
        <w:rPr>
          <w:rFonts w:ascii="Times New Roman" w:hAnsi="Times New Roman"/>
          <w:color w:val="000000" w:themeColor="text1"/>
          <w:sz w:val="16"/>
          <w:szCs w:val="16"/>
          <w:lang w:val="en-US"/>
        </w:rPr>
        <w:t>VC</w:t>
      </w:r>
      <w:r w:rsidRPr="005E779E">
        <w:rPr>
          <w:rFonts w:ascii="Times New Roman" w:hAnsi="Times New Roman"/>
          <w:color w:val="000000" w:themeColor="text1"/>
          <w:sz w:val="16"/>
          <w:szCs w:val="16"/>
        </w:rPr>
        <w:t xml:space="preserve">-55, видеодвойка «Нител» 55-ТЦ (-1997)- всего 7830; наземная станция приема спутникового телевидения «Чайка НСП-001» (1993-).' </w:t>
      </w:r>
      <w:r w:rsidRPr="005E779E">
        <w:rPr>
          <w:rFonts w:ascii="Times New Roman" w:hAnsi="Times New Roman"/>
          <w:color w:val="000000" w:themeColor="text1"/>
          <w:sz w:val="16"/>
          <w:szCs w:val="16"/>
          <w:vertAlign w:val="superscript"/>
          <w:lang w:val="en-US"/>
        </w:rPr>
        <w:t>aa</w:t>
      </w:r>
      <w:r w:rsidRPr="005E779E">
        <w:rPr>
          <w:rFonts w:ascii="Times New Roman" w:hAnsi="Times New Roman"/>
          <w:strike/>
          <w:color w:val="000000" w:themeColor="text1"/>
          <w:sz w:val="16"/>
          <w:szCs w:val="16"/>
          <w:vertAlign w:val="superscript"/>
        </w:rPr>
        <w:t>?</w:t>
      </w:r>
      <w:r w:rsidRPr="005E779E">
        <w:rPr>
          <w:rFonts w:ascii="Times New Roman" w:hAnsi="Times New Roman"/>
          <w:strike/>
          <w:color w:val="000000" w:themeColor="text1"/>
          <w:sz w:val="16"/>
          <w:szCs w:val="16"/>
          <w:vertAlign w:val="superscript"/>
          <w:lang w:val="en-US"/>
        </w:rPr>
        <w:t>wn</w:t>
      </w:r>
      <w:r w:rsidRPr="005E779E">
        <w:rPr>
          <w:rFonts w:ascii="Times New Roman" w:hAnsi="Times New Roman"/>
          <w:strike/>
          <w:color w:val="000000" w:themeColor="text1"/>
          <w:sz w:val="16"/>
          <w:szCs w:val="16"/>
        </w:rPr>
        <w:t>"'</w:t>
      </w:r>
      <w:r w:rsidRPr="005E779E">
        <w:rPr>
          <w:rFonts w:ascii="Times New Roman" w:hAnsi="Times New Roman"/>
          <w:strike/>
          <w:color w:val="000000" w:themeColor="text1"/>
          <w:sz w:val="16"/>
          <w:szCs w:val="16"/>
          <w:vertAlign w:val="superscript"/>
          <w:lang w:val="en-US"/>
        </w:rPr>
        <w:t>semnJu</w:t>
      </w:r>
      <w:r w:rsidRPr="005E779E">
        <w:rPr>
          <w:rFonts w:ascii="Times New Roman" w:hAnsi="Times New Roman"/>
          <w:strike/>
          <w:color w:val="000000" w:themeColor="text1"/>
          <w:sz w:val="16"/>
          <w:szCs w:val="16"/>
          <w:vertAlign w:val="superscript"/>
        </w:rPr>
        <w:t>/</w:t>
      </w:r>
      <w:r w:rsidRPr="005E779E">
        <w:rPr>
          <w:rFonts w:ascii="Times New Roman" w:hAnsi="Times New Roman"/>
          <w:strike/>
          <w:color w:val="000000" w:themeColor="text1"/>
          <w:sz w:val="16"/>
          <w:szCs w:val="16"/>
          <w:vertAlign w:val="superscript"/>
          <w:lang w:val="en-US"/>
        </w:rPr>
        <w:t>M</w:t>
      </w:r>
      <w:r w:rsidRPr="005E779E">
        <w:rPr>
          <w:rFonts w:ascii="Times New Roman" w:hAnsi="Times New Roman"/>
          <w:strike/>
          <w:color w:val="000000" w:themeColor="text1"/>
          <w:sz w:val="16"/>
          <w:szCs w:val="16"/>
          <w:vertAlign w:val="superscript"/>
        </w:rPr>
        <w:t>185</w:t>
      </w:r>
      <w:r w:rsidRPr="005E779E">
        <w:rPr>
          <w:rFonts w:ascii="Times New Roman" w:hAnsi="Times New Roman"/>
          <w:color w:val="000000" w:themeColor="text1"/>
          <w:sz w:val="16"/>
          <w:szCs w:val="16"/>
          <w:vertAlign w:val="superscript"/>
        </w:rPr>
        <w:t>1</w:t>
      </w:r>
    </w:p>
    <w:p w14:paraId="00A02F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СКБ завода № 197, СКБ-197, КБ ГТЗ им. Ленина, Горысовский НИИРТ (ГНИИРТ), ФГУП ФНПЦ «Нижегородский НИИ радиотехники» (ННИИРТ)</w:t>
      </w:r>
    </w:p>
    <w:p w14:paraId="1C59B0A5" w14:textId="6444AB3E"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/603600 (603950)</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Нижний Новгород ул. Шапошникова, 5(7) тел. 65-00-69,64-02-83/</w:t>
      </w:r>
    </w:p>
    <w:p w14:paraId="37DA5E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СКБ завода № 197 образовано 30.09.1947 г. для разработки связных самолетных и аэродромных радиостанций и модернизации </w:t>
      </w:r>
      <w:r w:rsidRPr="005E779E">
        <w:rPr>
          <w:rFonts w:ascii="Times New Roman" w:hAnsi="Times New Roman"/>
          <w:color w:val="000000" w:themeColor="text1"/>
          <w:sz w:val="16"/>
          <w:szCs w:val="16"/>
          <w:lang w:val="en-US"/>
        </w:rPr>
        <w:t>PJIC</w:t>
      </w:r>
      <w:r w:rsidRPr="005E779E">
        <w:rPr>
          <w:rFonts w:ascii="Times New Roman" w:hAnsi="Times New Roman"/>
          <w:color w:val="000000" w:themeColor="text1"/>
          <w:sz w:val="16"/>
          <w:szCs w:val="16"/>
        </w:rPr>
        <w:t xml:space="preserve"> П-3. По 1952 г. создано 10 типов и модификаций радиостанций.</w:t>
      </w:r>
    </w:p>
    <w:p w14:paraId="4F6CAC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распоряжению правительства № 5050-рс от 20.08.1956 г. научно-исследовательский радиофизический институт размещен в помещениях Горьковского суворовского училища.</w:t>
      </w:r>
    </w:p>
    <w:p w14:paraId="1734BF4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 1953 г. начата разработка </w:t>
      </w:r>
      <w:r w:rsidRPr="005E779E">
        <w:rPr>
          <w:rFonts w:ascii="Times New Roman" w:hAnsi="Times New Roman"/>
          <w:color w:val="000000" w:themeColor="text1"/>
          <w:sz w:val="16"/>
          <w:szCs w:val="16"/>
          <w:lang w:val="en-US"/>
        </w:rPr>
        <w:t>PJIC</w:t>
      </w:r>
      <w:r w:rsidRPr="005E779E">
        <w:rPr>
          <w:rFonts w:ascii="Times New Roman" w:hAnsi="Times New Roman"/>
          <w:color w:val="000000" w:themeColor="text1"/>
          <w:sz w:val="16"/>
          <w:szCs w:val="16"/>
        </w:rPr>
        <w:t xml:space="preserve"> для войск ПВО: первые отечественные </w:t>
      </w:r>
      <w:r w:rsidRPr="005E779E">
        <w:rPr>
          <w:rFonts w:ascii="Times New Roman" w:hAnsi="Times New Roman"/>
          <w:color w:val="000000" w:themeColor="text1"/>
          <w:sz w:val="16"/>
          <w:szCs w:val="16"/>
          <w:lang w:val="en-US"/>
        </w:rPr>
        <w:t>PJIC</w:t>
      </w:r>
      <w:r w:rsidRPr="005E779E">
        <w:rPr>
          <w:rFonts w:ascii="Times New Roman" w:hAnsi="Times New Roman"/>
          <w:color w:val="000000" w:themeColor="text1"/>
          <w:sz w:val="16"/>
          <w:szCs w:val="16"/>
        </w:rPr>
        <w:t xml:space="preserve">: с индикатором кругового обзора П-8; с перестройкой частоты П-10; П-12 с когерентно-компенсационной аппаратурой СДЦ; высокопотенциальная П-14 (пнв пост. СМ СССР № 640-288 от 16.06.1959 г.); метрового диапазона с </w:t>
      </w:r>
      <w:r w:rsidRPr="005E779E">
        <w:rPr>
          <w:rFonts w:ascii="Times New Roman" w:hAnsi="Times New Roman"/>
          <w:color w:val="000000" w:themeColor="text1"/>
          <w:sz w:val="16"/>
          <w:szCs w:val="16"/>
          <w:lang w:val="en-US"/>
        </w:rPr>
        <w:t>JI</w:t>
      </w:r>
      <w:r w:rsidRPr="005E779E">
        <w:rPr>
          <w:rFonts w:ascii="Times New Roman" w:hAnsi="Times New Roman"/>
          <w:color w:val="000000" w:themeColor="text1"/>
          <w:sz w:val="16"/>
          <w:szCs w:val="16"/>
        </w:rPr>
        <w:t>4</w:t>
      </w:r>
      <w:r w:rsidRPr="005E779E">
        <w:rPr>
          <w:rFonts w:ascii="Times New Roman" w:hAnsi="Times New Roman"/>
          <w:color w:val="000000" w:themeColor="text1"/>
          <w:sz w:val="16"/>
          <w:szCs w:val="16"/>
          <w:lang w:val="en-US"/>
        </w:rPr>
        <w:t>M</w:t>
      </w:r>
      <w:r w:rsidRPr="005E779E">
        <w:rPr>
          <w:rFonts w:ascii="Times New Roman" w:hAnsi="Times New Roman"/>
          <w:color w:val="000000" w:themeColor="text1"/>
          <w:sz w:val="16"/>
          <w:szCs w:val="16"/>
        </w:rPr>
        <w:t xml:space="preserve"> зондирующим сигналом П-70; трехкоординатная </w:t>
      </w:r>
      <w:r w:rsidRPr="005E779E">
        <w:rPr>
          <w:rFonts w:ascii="Times New Roman" w:hAnsi="Times New Roman"/>
          <w:color w:val="000000" w:themeColor="text1"/>
          <w:sz w:val="16"/>
          <w:szCs w:val="16"/>
          <w:lang w:val="en-US"/>
        </w:rPr>
        <w:t>L</w:t>
      </w:r>
      <w:r w:rsidRPr="005E779E">
        <w:rPr>
          <w:rFonts w:ascii="Times New Roman" w:hAnsi="Times New Roman"/>
          <w:color w:val="000000" w:themeColor="text1"/>
          <w:sz w:val="16"/>
          <w:szCs w:val="16"/>
        </w:rPr>
        <w:t xml:space="preserve">-диапазона (длинноволновая) 5Н69; первые в мире: подвижная трехкоординатная метровая 55Ж6; высокомобильная метровая </w:t>
      </w:r>
      <w:r w:rsidRPr="005E779E">
        <w:rPr>
          <w:rFonts w:ascii="Times New Roman" w:hAnsi="Times New Roman"/>
          <w:color w:val="000000" w:themeColor="text1"/>
          <w:sz w:val="16"/>
          <w:szCs w:val="16"/>
          <w:lang w:val="en-US"/>
        </w:rPr>
        <w:t>PJTC</w:t>
      </w:r>
      <w:r w:rsidRPr="005E779E">
        <w:rPr>
          <w:rFonts w:ascii="Times New Roman" w:hAnsi="Times New Roman"/>
          <w:color w:val="000000" w:themeColor="text1"/>
          <w:sz w:val="16"/>
          <w:szCs w:val="16"/>
        </w:rPr>
        <w:t xml:space="preserve"> с активной ФАР 1</w:t>
      </w:r>
      <w:r w:rsidRPr="005E779E">
        <w:rPr>
          <w:rFonts w:ascii="Times New Roman" w:hAnsi="Times New Roman"/>
          <w:color w:val="000000" w:themeColor="text1"/>
          <w:sz w:val="16"/>
          <w:szCs w:val="16"/>
          <w:lang w:val="en-US"/>
        </w:rPr>
        <w:t>JI</w:t>
      </w:r>
      <w:r w:rsidRPr="005E779E">
        <w:rPr>
          <w:rFonts w:ascii="Times New Roman" w:hAnsi="Times New Roman"/>
          <w:color w:val="000000" w:themeColor="text1"/>
          <w:sz w:val="16"/>
          <w:szCs w:val="16"/>
        </w:rPr>
        <w:t>119.</w:t>
      </w:r>
    </w:p>
    <w:p w14:paraId="5D99B8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1966 г. предприятие переименовано в КБ ГТЗ им. Ленина и становится самостоятельным. В 1981 г. КБ преобразовано в ГНИИРТ. С 1990 г.- ННИИРТ. Входило в состав ПО «Радий».</w:t>
      </w:r>
    </w:p>
    <w:p w14:paraId="6D3CF82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Выполнена НИР «Ока» по разработке принципов построения </w:t>
      </w:r>
      <w:r w:rsidRPr="005E779E">
        <w:rPr>
          <w:rFonts w:ascii="Times New Roman" w:hAnsi="Times New Roman"/>
          <w:color w:val="000000" w:themeColor="text1"/>
          <w:sz w:val="16"/>
          <w:szCs w:val="16"/>
          <w:lang w:val="en-US"/>
        </w:rPr>
        <w:t>PJIC</w:t>
      </w:r>
      <w:r w:rsidRPr="005E779E">
        <w:rPr>
          <w:rFonts w:ascii="Times New Roman" w:hAnsi="Times New Roman"/>
          <w:color w:val="000000" w:themeColor="text1"/>
          <w:sz w:val="16"/>
          <w:szCs w:val="16"/>
        </w:rPr>
        <w:t xml:space="preserve"> с частотным качанием луча, создана </w:t>
      </w:r>
      <w:r w:rsidRPr="005E779E">
        <w:rPr>
          <w:rFonts w:ascii="Times New Roman" w:hAnsi="Times New Roman"/>
          <w:color w:val="000000" w:themeColor="text1"/>
          <w:sz w:val="16"/>
          <w:szCs w:val="16"/>
          <w:lang w:val="en-US"/>
        </w:rPr>
        <w:t>PJIC</w:t>
      </w:r>
      <w:r w:rsidRPr="005E779E">
        <w:rPr>
          <w:rFonts w:ascii="Times New Roman" w:hAnsi="Times New Roman"/>
          <w:color w:val="000000" w:themeColor="text1"/>
          <w:sz w:val="16"/>
          <w:szCs w:val="16"/>
        </w:rPr>
        <w:t xml:space="preserve"> 5Н69.</w:t>
      </w:r>
    </w:p>
    <w:p w14:paraId="57082E9B" w14:textId="3D5C304F"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начала 1980-х</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 xml:space="preserve">г.- разработка вертолетных </w:t>
      </w:r>
      <w:r w:rsidRPr="005E779E">
        <w:rPr>
          <w:rFonts w:ascii="Times New Roman" w:hAnsi="Times New Roman"/>
          <w:color w:val="000000" w:themeColor="text1"/>
          <w:sz w:val="16"/>
          <w:szCs w:val="16"/>
          <w:lang w:val="en-US"/>
        </w:rPr>
        <w:t>PJIC</w:t>
      </w:r>
      <w:r w:rsidRPr="005E779E">
        <w:rPr>
          <w:rFonts w:ascii="Times New Roman" w:hAnsi="Times New Roman"/>
          <w:color w:val="000000" w:themeColor="text1"/>
          <w:sz w:val="16"/>
          <w:szCs w:val="16"/>
        </w:rPr>
        <w:t xml:space="preserve"> обнаружения малоразмерных воздушных целей на малой высоте над водной и земной поверхностью («на просвет»). Велись работы по </w:t>
      </w:r>
      <w:r w:rsidRPr="005E779E">
        <w:rPr>
          <w:rFonts w:ascii="Times New Roman" w:hAnsi="Times New Roman"/>
          <w:color w:val="000000" w:themeColor="text1"/>
          <w:sz w:val="16"/>
          <w:szCs w:val="16"/>
          <w:lang w:val="en-US"/>
        </w:rPr>
        <w:t>PJI</w:t>
      </w:r>
      <w:r w:rsidRPr="005E779E">
        <w:rPr>
          <w:rFonts w:ascii="Times New Roman" w:hAnsi="Times New Roman"/>
          <w:color w:val="000000" w:themeColor="text1"/>
          <w:sz w:val="16"/>
          <w:szCs w:val="16"/>
        </w:rPr>
        <w:t xml:space="preserve"> обнаружению наземных целей.</w:t>
      </w:r>
    </w:p>
    <w:p w14:paraId="6FF0CC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1995 г. предприятие освоило серийное производство своих разработок.</w:t>
      </w:r>
    </w:p>
    <w:p w14:paraId="03E9A11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Разработка (2002 г.): наземная и бортовая аппаратура радионавигации </w:t>
      </w:r>
      <w:r w:rsidRPr="005E779E">
        <w:rPr>
          <w:rFonts w:ascii="Times New Roman" w:hAnsi="Times New Roman"/>
          <w:color w:val="000000" w:themeColor="text1"/>
          <w:sz w:val="16"/>
          <w:szCs w:val="16"/>
          <w:lang w:val="en-US"/>
        </w:rPr>
        <w:t>JIA</w:t>
      </w:r>
      <w:r w:rsidRPr="005E779E">
        <w:rPr>
          <w:rFonts w:ascii="Times New Roman" w:hAnsi="Times New Roman"/>
          <w:color w:val="000000" w:themeColor="text1"/>
          <w:sz w:val="16"/>
          <w:szCs w:val="16"/>
        </w:rPr>
        <w:t xml:space="preserve">; системы дальнего обнаружения; </w:t>
      </w:r>
      <w:r w:rsidRPr="005E779E">
        <w:rPr>
          <w:rFonts w:ascii="Times New Roman" w:hAnsi="Times New Roman"/>
          <w:color w:val="000000" w:themeColor="text1"/>
          <w:sz w:val="16"/>
          <w:szCs w:val="16"/>
          <w:lang w:val="en-US"/>
        </w:rPr>
        <w:t>PJIC</w:t>
      </w:r>
      <w:r w:rsidRPr="005E779E">
        <w:rPr>
          <w:rFonts w:ascii="Times New Roman" w:hAnsi="Times New Roman"/>
          <w:color w:val="000000" w:themeColor="text1"/>
          <w:sz w:val="16"/>
          <w:szCs w:val="16"/>
        </w:rPr>
        <w:t xml:space="preserve"> ветрового зондирования атмосферы; многоканальные системы передачи информации; комплексы автоматизированного управления насосными агрегатами.</w:t>
      </w:r>
      <w:r w:rsidRPr="005E779E">
        <w:rPr>
          <w:rFonts w:ascii="Times New Roman" w:hAnsi="Times New Roman"/>
          <w:color w:val="000000" w:themeColor="text1"/>
          <w:sz w:val="16"/>
          <w:szCs w:val="16"/>
          <w:vertAlign w:val="superscript"/>
        </w:rPr>
        <w:t>69</w:t>
      </w:r>
    </w:p>
    <w:p w14:paraId="34D562F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К 2004 г. создано более 35 типов </w:t>
      </w:r>
      <w:r w:rsidRPr="005E779E">
        <w:rPr>
          <w:rFonts w:ascii="Times New Roman" w:hAnsi="Times New Roman"/>
          <w:color w:val="000000" w:themeColor="text1"/>
          <w:sz w:val="16"/>
          <w:szCs w:val="16"/>
          <w:lang w:val="en-US"/>
        </w:rPr>
        <w:t>PJIC</w:t>
      </w:r>
      <w:r w:rsidRPr="005E779E">
        <w:rPr>
          <w:rFonts w:ascii="Times New Roman" w:hAnsi="Times New Roman"/>
          <w:color w:val="000000" w:themeColor="text1"/>
          <w:sz w:val="16"/>
          <w:szCs w:val="16"/>
        </w:rPr>
        <w:t>, из них 26 строились серийно.</w:t>
      </w:r>
    </w:p>
    <w:p w14:paraId="7943853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 Имел статус ФНПЦ (2005 г.). По Указу Президента РФ в 02.2007 г. исключен из перечня стратегических предприятий. По Указу Президента РФ в 03.2007 г. включен в состав Концерна ПВО «Алмаз-Антей».</w:t>
      </w:r>
    </w:p>
    <w:p w14:paraId="2E5B3C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Численность персонала (2004 г.)- 2500 чел.</w:t>
      </w:r>
    </w:p>
    <w:p w14:paraId="7D23E513" w14:textId="2B4FF131"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И.О. начальника (1947 г.-)- В.А. Авдентов. Начальник (1947 г.-)- В.А. Авдентов; и.о. (1948 г.)- Е.А. Меркин; (-1949 г.)- Е.А. Меркин, (1956; 1966 г.-)- Л.И. Панкратов, (1957-; -1981 г.)-</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Г.К. Киселев. Директор (1981-94 г.)- В.А. Проскурин, (-2002-06 г.)- В.В. Москаленко, (2006-07 г.-&gt; А.А. Таныгин.</w:t>
      </w:r>
      <w:r w:rsidRPr="005E779E">
        <w:rPr>
          <w:rFonts w:ascii="Times New Roman" w:hAnsi="Times New Roman"/>
          <w:color w:val="000000" w:themeColor="text1"/>
          <w:sz w:val="16"/>
          <w:szCs w:val="16"/>
          <w:vertAlign w:val="superscript"/>
        </w:rPr>
        <w:t>130</w:t>
      </w:r>
    </w:p>
    <w:p w14:paraId="65180B1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1-й зам. директора (2007 г.)- А.Б. Бляхман. Зам. начальника по производству (-1971 г.)- В.А. Авдентов. Зам. директора: по научной работе (-1994 г.)- В.А. Антонов, по науке (-2005 г.)- А.А. Зачепицкий; по производству- В.В. Москаленко.</w:t>
      </w:r>
    </w:p>
    <w:p w14:paraId="666DDDC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конструктор- М. Лейких («Противник»), А.А. Зачепицкий.</w:t>
      </w:r>
      <w:r w:rsidRPr="005E779E">
        <w:rPr>
          <w:rFonts w:ascii="Times New Roman" w:hAnsi="Times New Roman"/>
          <w:color w:val="000000" w:themeColor="text1"/>
          <w:sz w:val="16"/>
          <w:szCs w:val="16"/>
          <w:vertAlign w:val="superscript"/>
        </w:rPr>
        <w:t>63</w:t>
      </w:r>
      <w:r w:rsidRPr="005E779E">
        <w:rPr>
          <w:rFonts w:ascii="Times New Roman" w:hAnsi="Times New Roman"/>
          <w:color w:val="000000" w:themeColor="text1"/>
          <w:sz w:val="16"/>
          <w:szCs w:val="16"/>
        </w:rPr>
        <w:t xml:space="preserve"> Ген. конструктор- А.Б. Бляхман, (-2005 г.)- А.А. Зачепицкий.</w:t>
      </w:r>
    </w:p>
    <w:p w14:paraId="1FE2CBA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инженер (-1950 г.)- Н.И. Угланов, (1952-81 г.)- Е.В. Бухвалов, (-1994 г.)- В.А. Антонов, (-2001 г.)- В.М. Марескин.</w:t>
      </w:r>
    </w:p>
    <w:p w14:paraId="5AAB98C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гл. инженера- А.Б. Бляхман, Н.С. Ерофеев, А.И. Калинцев, В.В. Москаленко.</w:t>
      </w:r>
    </w:p>
    <w:p w14:paraId="04105B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 производства (1972-79 г.)- Ю.П. Минаев; производства шефмонтажных и регулировочных работ, гарантийного и послегарантийного обслуживания эксплуатируемых изделий (2007 г.)- А.И. Калинцев.</w:t>
      </w:r>
    </w:p>
    <w:p w14:paraId="029489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конструкторы: В.А. Антонов (Э-801), Е.В. Бухвалов (П-ЗА, -8, -10, -12, -12М, -95), И. Г. Крылов (1Л13, 1Л119); направления (2007 г.)- А.Д. Бомштейн.</w:t>
      </w:r>
    </w:p>
    <w:p w14:paraId="1776B6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 xml:space="preserve">Зам. гл. конструкторов: В.А. Антонов (5Н84А, 55Ж6, 1Л13), А.Д. Бомштейн (55Ж6У), Н.М. Вагин (1Л13), </w:t>
      </w:r>
      <w:r w:rsidRPr="005E779E">
        <w:rPr>
          <w:rFonts w:ascii="Times New Roman" w:hAnsi="Times New Roman"/>
          <w:color w:val="000000" w:themeColor="text1"/>
          <w:sz w:val="16"/>
          <w:szCs w:val="16"/>
          <w:lang w:val="en-US"/>
        </w:rPr>
        <w:t>P</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M</w:t>
      </w:r>
      <w:r w:rsidRPr="005E779E">
        <w:rPr>
          <w:rFonts w:ascii="Times New Roman" w:hAnsi="Times New Roman"/>
          <w:color w:val="000000" w:themeColor="text1"/>
          <w:sz w:val="16"/>
          <w:szCs w:val="16"/>
        </w:rPr>
        <w:t xml:space="preserve">. Глухих (П-14, -14Ф, -70, 5Н69), А.И. Калинцев (55Ж6, 55Ж6У), </w:t>
      </w:r>
      <w:r w:rsidRPr="005E779E">
        <w:rPr>
          <w:rFonts w:ascii="Times New Roman" w:hAnsi="Times New Roman"/>
          <w:color w:val="000000" w:themeColor="text1"/>
          <w:sz w:val="16"/>
          <w:szCs w:val="16"/>
          <w:lang w:val="en-US"/>
        </w:rPr>
        <w:t>B</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C</w:t>
      </w:r>
      <w:r w:rsidRPr="005E779E">
        <w:rPr>
          <w:rFonts w:ascii="Times New Roman" w:hAnsi="Times New Roman"/>
          <w:color w:val="000000" w:themeColor="text1"/>
          <w:sz w:val="16"/>
          <w:szCs w:val="16"/>
        </w:rPr>
        <w:t xml:space="preserve">. Каненгисер (55Ж6У), А.В. Карпов (П- 14), </w:t>
      </w:r>
      <w:r w:rsidRPr="005E779E">
        <w:rPr>
          <w:rFonts w:ascii="Times New Roman" w:hAnsi="Times New Roman"/>
          <w:color w:val="000000" w:themeColor="text1"/>
          <w:sz w:val="16"/>
          <w:szCs w:val="16"/>
          <w:lang w:val="en-US"/>
        </w:rPr>
        <w:t>A</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M</w:t>
      </w:r>
      <w:r w:rsidRPr="005E779E">
        <w:rPr>
          <w:rFonts w:ascii="Times New Roman" w:hAnsi="Times New Roman"/>
          <w:color w:val="000000" w:themeColor="text1"/>
          <w:sz w:val="16"/>
          <w:szCs w:val="16"/>
        </w:rPr>
        <w:t xml:space="preserve">. Клячев (5Н69), А. Г. Крылов (5Н69), И. Г. Крылов (5Н84-А), В.М. Марескин (55Ж6, Э-801), В.В. Масленников (55Ж6, 55Ж6У, 1Л13, 1Л119), Н.С. Митрофанов (РАС-УКВ «Чернослив»), В.В. Москаленко (55Ж6), В.И. Овсянников (П-10, -12), Н.И. Полежаев (П-10, -12, -14), А.И. Резчиков (55Ж6, 55Ж6У), Ю.Н. Соколов (П-12, -12М, -14), (2000-е)- </w:t>
      </w:r>
      <w:r w:rsidRPr="005E779E">
        <w:rPr>
          <w:rFonts w:ascii="Times New Roman" w:hAnsi="Times New Roman"/>
          <w:color w:val="000000" w:themeColor="text1"/>
          <w:sz w:val="16"/>
          <w:szCs w:val="16"/>
          <w:lang w:val="en-US"/>
        </w:rPr>
        <w:t>A</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M</w:t>
      </w:r>
      <w:r w:rsidRPr="005E779E">
        <w:rPr>
          <w:rFonts w:ascii="Times New Roman" w:hAnsi="Times New Roman"/>
          <w:color w:val="000000" w:themeColor="text1"/>
          <w:sz w:val="16"/>
          <w:szCs w:val="16"/>
        </w:rPr>
        <w:t>. Флаум (55Ж6, 55Ж6У), В.А. Целибеев (5Н69, Э-801).</w:t>
      </w:r>
    </w:p>
    <w:p w14:paraId="40531E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Начальники отделений: Н.С. Ерофеев, А.И. Калинцев, В.М. Марескин, В.В. Москаленко, В.А. Целибеев.</w:t>
      </w:r>
    </w:p>
    <w:p w14:paraId="4FCAA9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начальника отделения: (2007 г.)- А.Д. Бомштейн, (-1990 г.)- В.А. Целибеев.</w:t>
      </w:r>
    </w:p>
    <w:p w14:paraId="2CE026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Начальники отделов: А.Б. Бляхман, (2007 г.)- А.Д. Бомштейн, Н.М. Вагин, </w:t>
      </w:r>
      <w:r w:rsidRPr="005E779E">
        <w:rPr>
          <w:rFonts w:ascii="Times New Roman" w:hAnsi="Times New Roman"/>
          <w:color w:val="000000" w:themeColor="text1"/>
          <w:sz w:val="16"/>
          <w:szCs w:val="16"/>
          <w:lang w:val="en-US"/>
        </w:rPr>
        <w:t>P</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M</w:t>
      </w:r>
      <w:r w:rsidRPr="005E779E">
        <w:rPr>
          <w:rFonts w:ascii="Times New Roman" w:hAnsi="Times New Roman"/>
          <w:color w:val="000000" w:themeColor="text1"/>
          <w:sz w:val="16"/>
          <w:szCs w:val="16"/>
        </w:rPr>
        <w:t xml:space="preserve">. Глухих, А.А. Зачепицкий, А.И. Калинцев, </w:t>
      </w:r>
      <w:r w:rsidRPr="005E779E">
        <w:rPr>
          <w:rFonts w:ascii="Times New Roman" w:hAnsi="Times New Roman"/>
          <w:color w:val="000000" w:themeColor="text1"/>
          <w:sz w:val="16"/>
          <w:szCs w:val="16"/>
          <w:lang w:val="en-US"/>
        </w:rPr>
        <w:t>A</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M</w:t>
      </w:r>
      <w:r w:rsidRPr="005E779E">
        <w:rPr>
          <w:rFonts w:ascii="Times New Roman" w:hAnsi="Times New Roman"/>
          <w:color w:val="000000" w:themeColor="text1"/>
          <w:sz w:val="16"/>
          <w:szCs w:val="16"/>
        </w:rPr>
        <w:t xml:space="preserve">. Клячев, В.М. Марескин, В.В. Москаленко, В.И. Овсянников, (-1958 г.)- Н.И. Полежаев, (2000-е)- А.И. Резчиков, (-1987 г.)- Ю.Н. Соколов, </w:t>
      </w:r>
      <w:r w:rsidRPr="005E779E">
        <w:rPr>
          <w:rFonts w:ascii="Times New Roman" w:hAnsi="Times New Roman"/>
          <w:color w:val="000000" w:themeColor="text1"/>
          <w:sz w:val="16"/>
          <w:szCs w:val="16"/>
          <w:lang w:val="en-US"/>
        </w:rPr>
        <w:t>A</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M</w:t>
      </w:r>
      <w:r w:rsidRPr="005E779E">
        <w:rPr>
          <w:rFonts w:ascii="Times New Roman" w:hAnsi="Times New Roman"/>
          <w:color w:val="000000" w:themeColor="text1"/>
          <w:sz w:val="16"/>
          <w:szCs w:val="16"/>
        </w:rPr>
        <w:t>. Флаум, (-1990 г.)- В.А. Целибеев.</w:t>
      </w:r>
    </w:p>
    <w:p w14:paraId="2E2B926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Зам. начальника отдела: (2007 г.)- </w:t>
      </w:r>
      <w:r w:rsidRPr="005E779E">
        <w:rPr>
          <w:rFonts w:ascii="Times New Roman" w:hAnsi="Times New Roman"/>
          <w:color w:val="000000" w:themeColor="text1"/>
          <w:sz w:val="16"/>
          <w:szCs w:val="16"/>
          <w:lang w:val="en-US"/>
        </w:rPr>
        <w:t>B</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C</w:t>
      </w:r>
      <w:r w:rsidRPr="005E779E">
        <w:rPr>
          <w:rFonts w:ascii="Times New Roman" w:hAnsi="Times New Roman"/>
          <w:color w:val="000000" w:themeColor="text1"/>
          <w:sz w:val="16"/>
          <w:szCs w:val="16"/>
        </w:rPr>
        <w:t>. Каненгисер, (-1979 г.)- Ю.И. Пахомов.</w:t>
      </w:r>
    </w:p>
    <w:p w14:paraId="589D29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Начальники секторов: В.А. Антонов, А.Д. Бомштейн, Н.С. Ерофеев, (-2000 г.)- А. Г. Крылов, И. Г. Крылов, (2007 г.)- В.В. Масленников, Ю.И. Пахомов.</w:t>
      </w:r>
    </w:p>
    <w:p w14:paraId="2052CA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начальника сектора: А.Б. Бляхман, В.В. Масленников.</w:t>
      </w:r>
    </w:p>
    <w:p w14:paraId="23350EE2" w14:textId="45951535"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Начальники лабораторий: (-1998 г.)- И.Ц. Гросман, Н.С. Ерофеев, А.В. Карпов, (1982 г.-)-</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Г.К. Киселев, (-1991 г.)- Н.С. Митрофанов, В.И. Овсянников, Н.И. Полежаев, Ю.Н. Соколов, А.М. Флаум.</w:t>
      </w:r>
    </w:p>
    <w:p w14:paraId="4588C00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начальника лаборатории: В.А. Антонов.</w:t>
      </w:r>
    </w:p>
    <w:p w14:paraId="2A3AC04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Научные руководители НИР: Ю.Н. Соколов («Ока»),</w:t>
      </w:r>
    </w:p>
    <w:p w14:paraId="2AEF3C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научного руководителя НИР: И. Г. Крылов.</w:t>
      </w:r>
      <w:r w:rsidRPr="005E779E">
        <w:rPr>
          <w:rFonts w:ascii="Times New Roman" w:hAnsi="Times New Roman"/>
          <w:color w:val="000000" w:themeColor="text1"/>
          <w:sz w:val="16"/>
          <w:szCs w:val="16"/>
          <w:vertAlign w:val="superscript"/>
        </w:rPr>
        <w:t>130</w:t>
      </w:r>
    </w:p>
    <w:p w14:paraId="36EE43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Создано: радиостанции: «Орлан», связная РАС-УКВ «Чернослив», «Дыня», «Урюк», «Груша», «Альбатрос», «Витраж», «Привод», «Резерв», «Байкал» (1947-52); РЛС: П-ЗА (1948), П-8 (1950), П-10 (1953), П-12 (1955), П- 12М (1956), П-12МП (1959), П-12МА (1960), П-12НП (1965), П-14 «Лена» (пнв 16.06.1959 г.), П-14Ф (1966), П-18 (1970), П-70, 5Н84А (1974), 5Н69 (1975), 44Ж6 (1979), 55Ж6, 55Ж6У (1992), 1Л13 (1982), «Противник-ГЕ», трехкоординатная «Небо-У» (1995), мобильная 3-кординатная 59Н6 (1997), высокомобильная с активной ФАР 1Л119 «Небо-СВУ» (пнв в 2003 г.), 52Э6 (пнв в 2005 г.), 1Л13, 52Э6, 52Э6-МУ; автоматические РЖ: П-95 (1963), АРЛСК П-96 (1РЛ116, 1968), 5Н85, 36Ж6; бортовой комплекс контроля обстановки Э-801Е (1995) вертолета Ка- 31; система контроля за воздушной обстановкой «Барьер»;</w:t>
      </w:r>
      <w:r w:rsidRPr="005E779E">
        <w:rPr>
          <w:rFonts w:ascii="Times New Roman" w:hAnsi="Times New Roman"/>
          <w:color w:val="000000" w:themeColor="text1"/>
          <w:sz w:val="16"/>
          <w:szCs w:val="16"/>
          <w:vertAlign w:val="superscript"/>
        </w:rPr>
        <w:t>63</w:t>
      </w:r>
      <w:r w:rsidRPr="005E779E">
        <w:rPr>
          <w:rFonts w:ascii="Times New Roman" w:hAnsi="Times New Roman"/>
          <w:color w:val="000000" w:themeColor="text1"/>
          <w:sz w:val="16"/>
          <w:szCs w:val="16"/>
        </w:rPr>
        <w:t xml:space="preserve"> центр диагностики и ремонта РЛС «Момент-1М» (1989-).</w:t>
      </w:r>
    </w:p>
    <w:p w14:paraId="6DA3ECD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«Радий»</w:t>
      </w:r>
    </w:p>
    <w:p w14:paraId="44C0FC8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составе ПО: ГТЗ, ГНИИРТ.</w:t>
      </w:r>
    </w:p>
    <w:p w14:paraId="3AA4580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ген. директора по научной работе (1981-94 г.)- В.А. Проскурин (11982).</w:t>
      </w:r>
    </w:p>
    <w:p w14:paraId="4DD2CD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B21AA99" w14:textId="41D6C309"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мастерская, переданная в ведение Гидрографического управления ВМС РККА, была реорганизована в завод мореходных инструментов. В 1938 г. переименован в завод штурманских приборов (Завод № 338 НКВМФ, МВМС, Ленинградский государственный завод № 338 МСП, ЛенСНХ, Завод мореходных инструментов, Завод штурманских приборов / г. Санкт-Петербург,</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Петроград,</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Ленинград/).</w:t>
      </w:r>
    </w:p>
    <w:p w14:paraId="459A6A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11.1941 г. завод штурманских приборов действовал в Ленинграде,</w:t>
      </w:r>
      <w:r w:rsidRPr="005E779E">
        <w:rPr>
          <w:rFonts w:ascii="Times New Roman" w:hAnsi="Times New Roman"/>
          <w:color w:val="000000" w:themeColor="text1"/>
          <w:sz w:val="16"/>
          <w:szCs w:val="16"/>
          <w:vertAlign w:val="superscript"/>
        </w:rPr>
        <w:t>65</w:t>
      </w:r>
      <w:r w:rsidRPr="005E779E">
        <w:rPr>
          <w:rFonts w:ascii="Times New Roman" w:hAnsi="Times New Roman"/>
          <w:color w:val="000000" w:themeColor="text1"/>
          <w:sz w:val="16"/>
          <w:szCs w:val="16"/>
        </w:rPr>
        <w:t xml:space="preserve"> в 1943 г. он преобразован мастерские мореходных инструментов. В 1944 г. мастерские преобразованы в завод № 338 в ведении Гидрографического управления НКВМФ, (с 1946 г.- МВМС). В 1950 г. завод передан в МСП, с 07.1957 г.- в ведении Управления судостроительной промышленности ЛенСНХ. В 1959 г. в состав Ленинградского государственного завода № 338 влит Ленинградский завод «Гидрометприбор».</w:t>
      </w:r>
      <w:r w:rsidRPr="005E779E">
        <w:rPr>
          <w:rFonts w:ascii="Times New Roman" w:hAnsi="Times New Roman"/>
          <w:color w:val="000000" w:themeColor="text1"/>
          <w:sz w:val="16"/>
          <w:szCs w:val="16"/>
          <w:vertAlign w:val="superscript"/>
        </w:rPr>
        <w:t>131</w:t>
      </w:r>
    </w:p>
    <w:p w14:paraId="5004DA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Производство:</w:t>
      </w:r>
      <w:r w:rsidRPr="005E779E">
        <w:rPr>
          <w:rFonts w:ascii="Times New Roman" w:hAnsi="Times New Roman"/>
          <w:color w:val="000000" w:themeColor="text1"/>
          <w:sz w:val="16"/>
          <w:szCs w:val="16"/>
        </w:rPr>
        <w:t xml:space="preserve"> измеритель скорости торпедного катера (1946).</w:t>
      </w:r>
    </w:p>
    <w:p w14:paraId="6540D5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ОАО «Штурманские приборы» /г. Санкт-Петербург/</w:t>
      </w:r>
    </w:p>
    <w:p w14:paraId="033EC8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1A928CB1" w14:textId="49D169C8"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ФГУП «Сафоновский завод «Гидрометприбор», ОАО «Сафоновский завод гидрометеорологических приборов» /215500</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Сафонове Смоленской обл. тел. 4-15-47/</w:t>
      </w:r>
    </w:p>
    <w:p w14:paraId="032C1F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Сафоновский завод «Гидрометприбор» основан в 1960 г.</w:t>
      </w:r>
    </w:p>
    <w:p w14:paraId="4EB0CBE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Указу Президента РФ № 1009 от 4.08.2004 г. ОАО вошло в число стратегических оборонных предприятий.</w:t>
      </w:r>
    </w:p>
    <w:p w14:paraId="6F8C53D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(2005 г.)- В.В. Рыжиков.</w:t>
      </w:r>
    </w:p>
    <w:p w14:paraId="757A0D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директора по производству (2005 г.)- В.Н. Матюшин.</w:t>
      </w:r>
    </w:p>
    <w:p w14:paraId="66541F9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инженер (2005 г.)- В.Ф. Барыкин.</w:t>
      </w:r>
    </w:p>
    <w:p w14:paraId="444DAD2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Производство</w:t>
      </w:r>
      <w:r w:rsidRPr="005E779E">
        <w:rPr>
          <w:rFonts w:ascii="Times New Roman" w:hAnsi="Times New Roman"/>
          <w:color w:val="000000" w:themeColor="text1"/>
          <w:sz w:val="16"/>
          <w:szCs w:val="16"/>
        </w:rPr>
        <w:t xml:space="preserve"> (1960-62 г.): дистанционные метеорологические станции, регистраторы прозрачности осадков; (2005 г.): барометры, анемометры, анеморумбометры, датчики ветра, психрометры; водомеры, водоизмерительные приборы; планиметры; корабельные приборы; метеостанции и метеооборудование; самописцы; передвижные лаборатории и мастерские (11982).</w:t>
      </w:r>
    </w:p>
    <w:p w14:paraId="72F90A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701E231" w14:textId="39F04A26"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1931 г. в Ухте существовали химзавод и завод по переработке радиевых концентратов, получаемых из подземных минерализованных вод (Завод № 226 ММП, МСМ, МЭП, п/я 3179, Ухтинский комбинат МСМ, Завод «Комиэлектростеатит», ОАО «Ухтинский электрокерамический завод «Прогресс», ООО «Электрокерамический завод «Прогресс» /Коми</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Ухта р/п Водный/). В 03.1945 г. Ухтинский комбинат - в ведении НКВД.</w:t>
      </w:r>
    </w:p>
    <w:p w14:paraId="7E4F483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16.03.1945 г. вышло постановление ГКО № 7853 о развитии добычи и переработки нефти, производстве сажи и радия на комбинате.</w:t>
      </w:r>
    </w:p>
    <w:p w14:paraId="42916A3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1953 г. завод № 226 передан из ММП в МСМ, распоряжением СМ № 6964-рс от 29.11.1956 г. завод с 1957 г. передан из МСМ в МЭТП.</w:t>
      </w:r>
    </w:p>
    <w:p w14:paraId="5FA3FDAB" w14:textId="4A29AEA0"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Производство радия (к 1952</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- 271 гр., в 1956 - 114 гр.).</w:t>
      </w:r>
    </w:p>
    <w:p w14:paraId="31476C7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При комбинате действовало ОПБ-4. Комбинат находился в ведении предприятия «п/я 979».</w:t>
      </w:r>
      <w:r w:rsidRPr="005E779E">
        <w:rPr>
          <w:rFonts w:ascii="Times New Roman" w:hAnsi="Times New Roman"/>
          <w:color w:val="000000" w:themeColor="text1"/>
          <w:sz w:val="16"/>
          <w:szCs w:val="16"/>
          <w:vertAlign w:val="superscript"/>
        </w:rPr>
        <w:t>78</w:t>
      </w:r>
    </w:p>
    <w:p w14:paraId="1C1958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Завод «Комиэлектростеатит» основан в 1957 г. на дезактивированной площадке ликвидированного завода № 226. В 1966 г. его переименовали в завод «Прогресс». В 1997 г. завод преобразован в ОАО «Ухтинский электрокерамический завод «Прогресс», далее - ООО «Электрокерамический завод «Прогресс».</w:t>
      </w:r>
    </w:p>
    <w:p w14:paraId="136966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1958 г. освоен выпуск электрокерамических, радиокерамических материалов, изоляторов, электроустановочных изделий и пьезокерамики, керамических высоковольтных конденсаторов. В 1980 г. освоено производство оксидноцинковых варисторов. С 1996 г. предприятие производит броневые плиты из ударовязкой корундовой керамики для изготовления бронежилетов высших классов защиты и оснащения бронетехники. С 1998 г. выпускаются усилители искры УИ-01 для повышения эффективности работы двигателей внутреннего сгорания. Производство ТЕП (электроустановочные изделия, замочно-скобяные и металлоизделия, изделия из пластмасс).</w:t>
      </w:r>
    </w:p>
    <w:p w14:paraId="4D80242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(1957-87 г.)- Н.Е.Волков. Гендиректор (2007 г.)- В.К.Кудрявцев.</w:t>
      </w:r>
    </w:p>
    <w:p w14:paraId="47F7EB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Начальники цехов: (1956 г.)- И.В.Дахно (11982).</w:t>
      </w:r>
    </w:p>
    <w:p w14:paraId="0D0E6BD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D4CE5E2" w14:textId="77777777" w:rsidR="007E5934" w:rsidRPr="005E779E" w:rsidRDefault="007E593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предприятия, производившие средства проводной связи, смогли удовле</w:t>
      </w:r>
      <w:r w:rsidRPr="005E779E">
        <w:rPr>
          <w:rFonts w:ascii="Times New Roman" w:hAnsi="Times New Roman"/>
          <w:color w:val="000000" w:themeColor="text1"/>
          <w:sz w:val="16"/>
          <w:szCs w:val="16"/>
        </w:rPr>
        <w:softHyphen/>
        <w:t>творить потребности страны в телефонных аппаратах на 32%, в телефонных коммутаторах - на 33%, в АТС и приборах многократной телефонии - на 35% . Это в полной мере касалось и снабжения средствами проводной связи РККА. Чтобы каким-то образом снять напряженность в этом вопросе, постановлением СТО СССР от 11 января 1932 г. предусматривалось использование в интересах РККА сил и средств НКС и НКПС. В частности, НКС предполагалось привлечь к обеспечению связью звено - «Ставка» - «фронт» - «армия» (19098).</w:t>
      </w:r>
    </w:p>
    <w:p w14:paraId="0A1BFED3" w14:textId="77777777" w:rsidR="007E5934" w:rsidRPr="005E779E" w:rsidRDefault="007E5934" w:rsidP="000B7A6C">
      <w:pPr>
        <w:spacing w:after="0" w:line="240" w:lineRule="auto"/>
        <w:jc w:val="both"/>
        <w:rPr>
          <w:rFonts w:ascii="Times New Roman" w:hAnsi="Times New Roman"/>
          <w:color w:val="000000" w:themeColor="text1"/>
          <w:sz w:val="16"/>
          <w:szCs w:val="16"/>
        </w:rPr>
      </w:pPr>
    </w:p>
    <w:p w14:paraId="6F0B91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завод (Машиностроительный завод «Людвиг Нобель», Завод среднего машиностроения № 7, Петроградский государственный машиностроительный завод «Русский Дизель» ВСНХ, Ленинградский государственный дизелестроительный завод «Русский Дизель» ВСНХ, НКТП, НКМ, НКТМ, МТМ, Ордена Трудового Красного Знамени ленинградский государственный дизелестроительный завод «Русский дизель», ГП «Фирма «Русский дизель» /г. Санкт-Петербург; Всеволожский район Ленинградской обл./) переименован в Ленинградский государственный дизелестроительный завод «Русский дизель» в ведении ВО «Союздизель» ВСНХ (с 1932 г. НКТП), с 1937 г. - в ведении ГУ дизельной промышленности НКТП, в 09.1938 г. - в ведении Главдизеля НКМ. В 1941-42 г. завод являлся филиалом Невского машиностроительного завода им. Ленина.</w:t>
      </w:r>
    </w:p>
    <w:p w14:paraId="29DB07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революции работа завода восстановлена с 1923 г. Производство дизельных установок для судостроения. Приказом НКТМ № 253сс заводу поручено изготовление 80 комплектов узлов и деталей танка КВ-1 в месяц для Кировского завода.</w:t>
      </w:r>
    </w:p>
    <w:p w14:paraId="52A9F5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пост. ГКО № 99сс от 11.07.1941 г. дизельное производство завода «Русский дизель» НКТМ подлежало эвакуации в Горький на площадку завода «Двигатель революции».</w:t>
      </w:r>
    </w:p>
    <w:p w14:paraId="5D3E2A2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1944 г. завод «Русский дизель» - в ведении ГУ локомобильного и дизельного машиностроения НКТМ, с 1955 г. - ГУ паровозостроения МТМ, с 1957 г. - Управления тяжелого машиностроения ЛенСНХ, с 11.1965 г. - ГУ дизелестроения Министерства тяжелого, энергетического и транспортного машиностроения. С 1966 г. - Ордена Трудового Красного Знамени ленинградский государственный дизелестроительный завод «Русский дизель». В 1977-86 г. завод входил в состав ПО «Звезда». Позднее завод вошел в состав ПО им. Я.М. Свердлова. Далее - ГП «Фирма «Русский дизель».</w:t>
      </w:r>
      <w:r w:rsidRPr="005E779E">
        <w:rPr>
          <w:rFonts w:ascii="Times New Roman" w:hAnsi="Times New Roman"/>
          <w:color w:val="000000" w:themeColor="text1"/>
          <w:sz w:val="16"/>
          <w:szCs w:val="16"/>
          <w:vertAlign w:val="superscript"/>
        </w:rPr>
        <w:t>Ь1</w:t>
      </w:r>
    </w:p>
    <w:p w14:paraId="34E393F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(-1906-12 г.-&gt; Э.Л. Нобель, (09.1938 г.)- Маляров, (1955 г.-)- Н.А. Дмитриев.</w:t>
      </w:r>
    </w:p>
    <w:p w14:paraId="19AFA83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Коммерческий директор (1997 г.)- К. Полянцев.</w:t>
      </w:r>
    </w:p>
    <w:p w14:paraId="02D4549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Производство: судовые машины для: линейных кораблей «Ретвизан», «Вола», «Синоп» (1857); дизели: 250 л.с. для канонерских лодок (1906), для ПЛ «Минога» (1908), для сторожевика «Ястреб», 1320 л.с. серии 2165 для ПЛ типа «Барс» (1915-)- 8, 750 л.с. серии 2126 для танкеров (1926), 1900 л.с. серии 2400 для рефрижераторов типа «Смольный» (1920-е)- 12, типа Зульцера для лесовозов типа «Волголес» (1930-е), 9ДКР 4200 л.с. для ПЛ пр. 41 (1930-е), 6ДР 30/50 для буксира пр. 492 (1949), 8ДР 43/61 для танкера пр. 563 (1950)</w:t>
      </w:r>
      <w:r w:rsidRPr="005E779E">
        <w:rPr>
          <w:rFonts w:ascii="Times New Roman" w:hAnsi="Times New Roman"/>
          <w:color w:val="000000" w:themeColor="text1"/>
          <w:sz w:val="16"/>
          <w:szCs w:val="16"/>
          <w:vertAlign w:val="superscript"/>
        </w:rPr>
        <w:t>ПЗ</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vertAlign w:val="superscript"/>
        </w:rPr>
        <w:t>П6</w:t>
      </w:r>
    </w:p>
    <w:p w14:paraId="26BEEBB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КБ завода «Русский дизель»</w:t>
      </w:r>
    </w:p>
    <w:p w14:paraId="0564CB49" w14:textId="44333673"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Разработаны судовые дизели серий 2126, 2400 (1920-е). В середине 1930-х</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под руководством В.А. Вайншейдта создавались дизели для ГШ.</w:t>
      </w:r>
    </w:p>
    <w:p w14:paraId="06D75BC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Руководитель (1925 г.)- В.А. Вайншейдт (11982).</w:t>
      </w:r>
    </w:p>
    <w:p w14:paraId="0EE9AEB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5E0D496" w14:textId="52896083"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завод (ГС завод № 223 НКОП, НКСП, НКЭП, МПСС, МЭСЭП, МЭТП, Аккумуляторный завод АО «ТЭМ», Аккумуляторный завод № 3 ВСНХ, Аккумуляторный завод № 2 им. лейтенанта Шмидта ВСНХ, НКТП, ГС завод им. Лейтенанта Шмидта НКОП, Ленинградский аккумуляторный завод, АОЗТ, ЗАО «Балтэлектро», АООТ, ОАО «Электротяга» /г. Санкт-Петербург,</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Петроград,</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Ленинград/ /198095</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Санкт-Петербург ул. Калинина, 50А/) переименован в аккумуляторный завод № 2 им. лейтенанта Шмидта, в 1932 г. передан в ведение НКТП. В соответствии с пост. СНК № 2139-425сс от 21.12.1936 г. и пр. № 59 от 14.02.1937 г. завод передан из ВАКТ в ведение ГУ аккумуляторной промышленности НКОП, приказом № 76 от 3.03.1937 г. утвержден Устав ГС завода им. Лейтенанта Шмидта. По пр. № 18с от 19.01.1938 г. переименован в завод № 223 19ГУ НКОП, приказом № 276 от 20.07.1938 г. утвержден Устав завода. В 02.1939 г. передан из 19ГУ в ведение НКСП, в 1940 г. - НКЭП.</w:t>
      </w:r>
    </w:p>
    <w:p w14:paraId="0D484F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1921-24 г. велось восстановление и частичная реконструкция завода. Начато освоение производства аккумуляторных батарей для тяжелых гусеничных машин, автомобильного и железнодорожного транспорта, затем - для ПЛ. В 1936-37 г. проводится техническая реконструкция и перевооружение производства, закупается импортное оборудование, в т.ч. мельницы для изготовления свинцового порошка, что позволило внедрить новую порошковую технологию приготовления активных масс. Реконструированы гл. корпус, цех выщелачивания фанеры. Приказом № 0018 от 31.01/2.02.1937 г. заводу предписано создать к 1.01.1938 г. мощности по производству: морских батарей типа «Лебедь» - 35 тыс. шт. в год; аккумуляторов: танковых - 30 тыс. шт.; автомобильных - 55 тыс. шт. В соответствии с решением СТО № 173сс от 9.11.1937 г. и пр. № 00249 г. реконструкцию необходимо было завершить к концу 1938 г.; приступить к освоению производства морских батарей по порошковой технологии на базе опытной батареи Н-1, изготовленной в 1936-37 г.; во 2-м квартале 1938 г. построить новый опытный цех. Приказом № 199сс от 5.06.1938 г. вновь требовалось внедрить в производство аккумуляторные батареи по порошковой технологии, к 15.11.1938 г. изготовить 6 батарей типа «С»; к 1.01.1939 г. было необходимо закончить реконструкцию завода.</w:t>
      </w:r>
    </w:p>
    <w:p w14:paraId="2A0FF6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08.1936 г. на заводе работал доктор Скаини с 3 мастерами по аккумуляторам.</w:t>
      </w:r>
    </w:p>
    <w:p w14:paraId="416EC8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соответствии с пост. ГКО № 99сс от 11.07.1941 г. оборудование и основная масса специалистов завода № 223 НКЭП были эвакуированы (до конца 1941 г.): на площадку завода № 389 НКЭП в Иркутскую обл., в Новосибирск в помещения Института аэрофотосъемки и картографии и в Комсомольск-на-Амуре на площадку завода № 364 НКЭП. По пр. НКЭП № 231сс от 16.08.1941 г. часть цехов завода, эвакуированная в Новосибирск, реорганизована в самостоятельный завод № 618. Приказом № 291с от 19.09.1941 г. пункт приказа № 231сс об организации завода № 618 был отменен, в связи с тем, что цеха, эвакуированные в Новосибирск, были перенаправлены в Черемхово и влиты в состав завода № 389.</w:t>
      </w:r>
      <w:r w:rsidRPr="005E779E">
        <w:rPr>
          <w:rFonts w:ascii="Times New Roman" w:hAnsi="Times New Roman"/>
          <w:color w:val="000000" w:themeColor="text1"/>
          <w:sz w:val="16"/>
          <w:szCs w:val="16"/>
          <w:vertAlign w:val="superscript"/>
        </w:rPr>
        <w:t>149</w:t>
      </w:r>
    </w:p>
    <w:p w14:paraId="51FDD45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Основная деятельность завода в Ленинграде была прекращена, все годы блокады он работал как ремонтно- зарядное предприятие, выполняя заказы Ленинградского фронта и Балтийского флота. В 1944 г. по решению Правительства завод включен в число предприятий, подлежащих первоочередному восстановлению. В 1945-48 г. завод восстановлен и вышбл на довоенный уровень выпуска продукции. С 1946 г. - в ведении МПСС, с 1953 г.- МЭСЭП, с 1955 г. - МЭТП. С 1957 г. ГС завод № 223 - в ведении Управления электротехнической промышленности ЛенСНХ. Далее он получает наименование Ленинградский аккумуляторный завод. В 12.1971 г. завод вошел в состав ЛНПО «Источник».</w:t>
      </w:r>
    </w:p>
    <w:p w14:paraId="11C724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1992 г. завод акционирован и преобразован в АОЗТ, затем ЗАО «Балтэлектро».</w:t>
      </w:r>
    </w:p>
    <w:p w14:paraId="1FD802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Указу Президента РФ № 1009 от 4.08.2004 г. ОАО «Электротяга» вошло в число стратегических оборонных предприятий.</w:t>
      </w:r>
    </w:p>
    <w:p w14:paraId="3CD965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Численность персонала (2003 г.)- около 1000 чел.</w:t>
      </w:r>
    </w:p>
    <w:p w14:paraId="7B1991D5" w14:textId="226F768E"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(-16.09.1937 г.)- К.Н. Волович, (16.09.1937-8.03.1938 г.)- А.С. Кузьмина, (8.03-10.1938 г.-&gt; П.Т. Сухомехов, (-1941 г.)-</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Г.М. Нестеров. Гендиректор (1992-2003 г.-)- Е.И. Остапенко.</w:t>
      </w:r>
    </w:p>
    <w:p w14:paraId="1EFCA0C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директора (8.03.1938 г.-)- А.В. Грачев.</w:t>
      </w:r>
    </w:p>
    <w:p w14:paraId="5CAFAFB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инженер (8.03-06.1938 г.-)-А.В. Грачев.</w:t>
      </w:r>
    </w:p>
    <w:p w14:paraId="5AF470F1" w14:textId="64B48E26"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 производства-</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Г.М. Нестеров.</w:t>
      </w:r>
    </w:p>
    <w:p w14:paraId="6E9DC49C" w14:textId="0353FAA6"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Начальники цехов: (1930-е)-</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Г.М. Нестеров.</w:t>
      </w:r>
    </w:p>
    <w:p w14:paraId="358C869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iCs/>
          <w:color w:val="000000" w:themeColor="text1"/>
          <w:sz w:val="16"/>
          <w:szCs w:val="16"/>
        </w:rPr>
        <w:t>Производство: аккумуляторные батареи:</w:t>
      </w:r>
      <w:r w:rsidRPr="005E779E">
        <w:rPr>
          <w:rFonts w:ascii="Times New Roman" w:hAnsi="Times New Roman"/>
          <w:color w:val="000000" w:themeColor="text1"/>
          <w:sz w:val="16"/>
          <w:szCs w:val="16"/>
        </w:rPr>
        <w:t xml:space="preserve"> для ПЛ II серии (1930-е); стартерные для легковых, грузовых, тяжелых гусеничных машин; для тепловозов 32ТН-450, 48ТН-450; стационарные для систем связи, АТС, АЭС, ТЭЦ емкостью 350.. .3000 Ач в малоуходном исполнении; тяговые и аварийно-резервные емкостью до 10-20 тыс. Ач; погружные для работ на глубинах до 5 тыс. м (2000-е) (11982).</w:t>
      </w:r>
    </w:p>
    <w:p w14:paraId="6B131FB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7B5CF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в ведении «Речсоюзверфи» в Москве был создан Институт по проектированию заводов и верфей речного судостроения “Гипроверфь”. По приказу «Речсоюзверфи» № 87 от 3.05.1933г. Гипроверфь передана в состав «Союзверфи» на правах Московского отделения Проектверфи (11982).</w:t>
      </w:r>
    </w:p>
    <w:p w14:paraId="74EB4D65" w14:textId="77777777" w:rsidR="0075673E" w:rsidRPr="005E779E" w:rsidRDefault="0075673E" w:rsidP="000B7A6C">
      <w:pPr>
        <w:autoSpaceDE w:val="0"/>
        <w:autoSpaceDN w:val="0"/>
        <w:adjustRightInd w:val="0"/>
        <w:spacing w:after="0" w:line="240" w:lineRule="auto"/>
        <w:jc w:val="both"/>
        <w:rPr>
          <w:rFonts w:ascii="Times New Roman" w:hAnsi="Times New Roman"/>
          <w:color w:val="000000" w:themeColor="text1"/>
          <w:sz w:val="16"/>
          <w:szCs w:val="16"/>
        </w:rPr>
      </w:pPr>
    </w:p>
    <w:p w14:paraId="020509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на территории верфи Нового Адмиралтейства был организован завод судовых механизмов «Судомех», в 1932 г. он стал самостоятельным предприятием в ведении Союзверфи ВСНХ. В 1933 г. передан из Союзверфи в подчинение Главморпрому НКТП. По пр. НКОП № Обсс от 30.12.1936 г. переименован в завод № 196, приказом № 136 от 11.04.1937 г. утвержден Устав завода. В 1937 г. завод — в ведении треста № 14 2ГУ. В 02.1939 г. из 2ГУ НКОП передан в ведение 1ГУ НКСП.</w:t>
      </w:r>
    </w:p>
    <w:p w14:paraId="1657312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1934 г. завод специализировался на ремонте и строительстве ПЛ. По пр. № 0193 от 4/7.09.1937 г. заводу предписано в целях скорейшей доводки установки единого двигателя РЕДО к 1.10.19937 г.установить стенд и смонтировать на нем двигатель РЕДО для испытаний. РЕДО (регенеративный единый двигатель особый) - дизель, использовавший в качестве окислителя жидкий кислород, разработан в 1935-36 г. С.А. Базилевским. В 1938 г. построена первая советская ПЛ (Р-1 XII серии) с единым двигателем РЕДО. Пр. НКВМФ/НКОП № 0353/436с от 11/16.11.1938 г. была назначена комиссия для испытания двигателя на ПЛ.</w:t>
      </w:r>
    </w:p>
    <w:p w14:paraId="2A0694C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 № 444сс от 25.11.1938 г. заводу предписано заложить в 4-м квартале 1938 г. две ПЛ типа «М» ХП-й серии.</w:t>
      </w:r>
    </w:p>
    <w:p w14:paraId="598618F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1941 г. часть завода (312 чел.) эвакуирована на заводы НКСП: № 344, № 402, № 340, № 639.</w:t>
      </w:r>
    </w:p>
    <w:p w14:paraId="0879906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1943 г. при строительстве БМО Е.П. Корсаком был внедрен поточно-позиционный метод сборки.</w:t>
      </w:r>
    </w:p>
    <w:p w14:paraId="3AA6A2BB" w14:textId="306361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1950-х</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для освоения производства ПЛ пр. 611 завод (цеха и эллинг) был реконструирован.</w:t>
      </w:r>
    </w:p>
    <w:p w14:paraId="25BDA07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1946 г. завод - в ведении МСП, затем - МТиТМ (1953-54 г.), МСП (1954-57 г.), Управления судостроительной промышленности ЛенСНХ (1957-65 г.). В 1964 г. завод № 196 переименован в «Судомех». В 01.1966 г. передан в ведение МСП и переименован в Ленинградский Ново-Адмиралтейский завод.</w:t>
      </w:r>
      <w:r w:rsidRPr="005E779E">
        <w:rPr>
          <w:rFonts w:ascii="Times New Roman" w:hAnsi="Times New Roman"/>
          <w:color w:val="000000" w:themeColor="text1"/>
          <w:sz w:val="16"/>
          <w:szCs w:val="16"/>
          <w:vertAlign w:val="superscript"/>
        </w:rPr>
        <w:t>131</w:t>
      </w:r>
      <w:r w:rsidRPr="005E779E">
        <w:rPr>
          <w:rFonts w:ascii="Times New Roman" w:hAnsi="Times New Roman"/>
          <w:color w:val="000000" w:themeColor="text1"/>
          <w:sz w:val="16"/>
          <w:szCs w:val="16"/>
        </w:rPr>
        <w:t xml:space="preserve"> В конце 1972 г. Адмиралтейский завод и Ново-Адмиралтейский завод объединены в Ленинградское адмиралтейское объединение (ЛАО). В 1992 г. ЛАО переименовано в «Адмиралтейские верфи».</w:t>
      </w:r>
    </w:p>
    <w:p w14:paraId="76C11E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Численность персонала (1937 г.)- 4173 чел., (06.1941 г.)- 4200 чел.</w:t>
      </w:r>
    </w:p>
    <w:p w14:paraId="69B4C8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(-09.1937-7.12.1938 г.)- Н. Г. Барабанов, (ВОВ)- Н.Н. Калиновский, В.Ф. Коврижкин, (1966 г.)- В.Н. Дубровский.</w:t>
      </w:r>
    </w:p>
    <w:p w14:paraId="5774A80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Зам. директора (-3.10.1937 г.)- И.И. Носенко. Помощник директора по найму и увольнению (10.07.1938 г.-)- М.И. Ребров, (28.12.1938 г.-)- В.В. Гаврилов.</w:t>
      </w:r>
    </w:p>
    <w:p w14:paraId="315E28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инженер (-09-3.10.1937 г.)- И.И. Носенко, (1942 г.)- Ю. Г. Деревянко.</w:t>
      </w:r>
    </w:p>
    <w:p w14:paraId="04446C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конструктор- В.М. Мудров.</w:t>
      </w:r>
    </w:p>
    <w:p w14:paraId="500FA89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строитель (1930-е)- А.Н. Щеглов («Пигмей»), (-1943-51 г.-)- Е.П. Корсак (пр. 611), И.Л. Леонов (пр. 96).</w:t>
      </w:r>
    </w:p>
    <w:p w14:paraId="03C30C0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Строители кораблей: (-1861-64 г.)- к А.А. Иващенко, (1865 г.)- Н. Г. Коршиков, (1874 г.)- подпоручик В.Ф. Пушкарев, (1879 г.)- Ф.Т. Епифанов, (1879 г.)- В.В. Максимов, (1880 г.)- И.Е. Леонтьев, (-1880-83 г.-)- Н.Е. Кутейников, (1897 г.)- Э.Р. Де Гроффе, (-1899-1901 г.-)- Д.В. Скворцов, (1901 г.)- К.М. Токаревский, (1901 г.)- А.И. Мустафин, (1902 г.)- Н.Н. Пущин, (1905 г.)- пп В.П. Лебедев, (1905 г.)- И.А. Гаврилов, (-1938-43 г.-&gt; Е.П. Корсак, (1938 г.)- В.В. Любимов, (1938 г.)- М.М. Коган, (ВОВ)- В.К. Кузьменко.</w:t>
      </w:r>
    </w:p>
    <w:p w14:paraId="6CB085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Производство: винтовые линейные корабли: «Вола» (1835-37», 84-пушечные «Орел» (1851-54), «Ретвизан» (1854-55), </w:t>
      </w:r>
      <w:r w:rsidRPr="005E779E">
        <w:rPr>
          <w:rFonts w:ascii="Times New Roman" w:hAnsi="Times New Roman"/>
          <w:color w:val="000000" w:themeColor="text1"/>
          <w:sz w:val="16"/>
          <w:szCs w:val="16"/>
          <w:lang w:val="en-US"/>
        </w:rPr>
        <w:t>Ill</w:t>
      </w:r>
      <w:r w:rsidRPr="005E779E">
        <w:rPr>
          <w:rFonts w:ascii="Times New Roman" w:hAnsi="Times New Roman"/>
          <w:color w:val="000000" w:themeColor="text1"/>
          <w:sz w:val="16"/>
          <w:szCs w:val="16"/>
        </w:rPr>
        <w:t>-пушечный «Император Николай I» (1855-60); винтовые фрегаты: «Аскольд» (1853-54), «Петропавловск» (-1865); мониторы: «Ураган» (11.1863-05.1864), «Тифон» (11.1863-06.1864); броненосная батарея (1860-е); клипер «Изумруд» (1861-62); броненосцы: «Адмирал Грейг» (04.1865-10.1868), «Новгород» (12.1871 -достройка в Николаеве), «Дмитрий Донской» (09.1880-83), «Сисой Великий» (06.1891-05.1894), «Полтава» (02.1892-10.1894), «Ослябя» (-10.1898), «Бородино» (1899-08.1901); крейсеры: «Крейсер» (1873-75), «Аврора» (09.1896-05.1900), «Олег» (11.1901-08.1903), «Баян» (1905-30.11.1911), «Паллада» (1905-8.02.1911); типа «Измаил» «Бородино» (12.1913-06.1915), «Наварин» (12.1913-10.1916); канонерские лодки: «Ерш» (12.1873- 08.1874), «Бурун», «Туча» (05.1878-09.1879), «Вихрь» (09-10.1879), «Гроза», «Буря» (08.1879-07.1880), «Храбрый» (1894-97), «Грозящий», «Гиляк» (12.1895-97), «Гиляк» (10.1904-); миноносцы: типа «Поти» (1880-е)- 3, типа «Пернов» № 208, 209 (-1896, собраны во Владивостоке); транспорт «Камчатка» (01.1903-08.1904); минный транспорт «Волга» (02.1903-); ПЛ: типа «М» серии У1бис М-77 (М-85), М-78 (М-86), М-82, М-83, М-84 (1934-), серии ХП М-87 (-171), -88 (-172), -89 (-173), -90 (-174), -91 (зак. 105, М-175, 1938), -92 (-176), -93 (зак. 107,1938), - 94, -95, -98, -99, -102, -103 (1936-</w:t>
      </w:r>
      <w:r w:rsidRPr="005E779E">
        <w:rPr>
          <w:rFonts w:ascii="Times New Roman" w:hAnsi="Times New Roman"/>
          <w:color w:val="000000" w:themeColor="text1"/>
          <w:sz w:val="16"/>
          <w:szCs w:val="16"/>
        </w:rPr>
        <w:lastRenderedPageBreak/>
        <w:t>12.1940), Р-1 (С.92) (1938); типа «К» XIV серии (пр. 41) К-21 (12.1937-38), К-22, К-23 (02.1938-39); типа «С» серии IXбис С-19, С-20, С-21 (1939-41), С-45, С-46, С-47 (1941-); телеуправляемые АПСС (1935)- 2, АЛЛ «Пигмей» (1936)- несколько шт.; пр. 95 М-401 (1941-46)- 1; пр. 96 серии XV М-200, -201, - 202, -203 (03.1940-41), (1941-, не достроены)- 3, достройка 9 лодок завода 112 (-1953)- всего 56; XVI серии пр. 97 (1941-, не достроены)- 3; пр. 611 Б-61 (01.1951-53), (1953-55)- 7; пр. 615 М-254 (03.1950-53), пр. А615 (1955-58)- 23; пр. 617 С-99 (02.1951-03.1956)- 1; пр. 641 Б-94 (10.1957-12.1958), (-1982)- 75, экспортные пр. И641 (1967-69)- 4, пр. И641К Б-51 для Индии (-1967), для Индии, Ливии и Кувейта (1972-83)- 13;</w:t>
      </w:r>
      <w:r w:rsidRPr="005E779E">
        <w:rPr>
          <w:rFonts w:ascii="Times New Roman" w:hAnsi="Times New Roman"/>
          <w:color w:val="000000" w:themeColor="text1"/>
          <w:sz w:val="16"/>
          <w:szCs w:val="16"/>
          <w:vertAlign w:val="superscript"/>
        </w:rPr>
        <w:t>92</w:t>
      </w:r>
      <w:r w:rsidRPr="005E779E">
        <w:rPr>
          <w:rFonts w:ascii="Times New Roman" w:hAnsi="Times New Roman"/>
          <w:color w:val="000000" w:themeColor="text1"/>
          <w:sz w:val="16"/>
          <w:szCs w:val="16"/>
        </w:rPr>
        <w:t xml:space="preserve"> пр. 705 (1964-71)- 1, (1980-е), пр. 705К (1980-е)- всего 6 (вместе с заводом 402); пограничные сторожевики: пр. 52 «Пурга» (12.1938-50-е), ледокольный пр. 97П (1973-81)- 8; достройка тральщиков: завода 190 пр. 53 Т-1 «Стрела», Т-2 «Трос», Т-3 «Проводник» (зак. 113, 1938), Т-4 «Подсекатель» (зак. 114, 1938), завода 363 Т-208 «Шкив» (1939); бронированный морской охотник БМО пр. 194 (1943-45)- 66; рыболовные траулеры: РТ-88 «Печора», РТ-89 «Беломорец» (1930-е); морской буксир 400 л.с. типа «МБ» пр. 130 (зак. 94-96, 1938), (1933-39)- 12; самоходные плашкоуты (1942); сухогрузные транспорты пр. 450 (1951-55)- 38, пр. 450Б (1955-58)- 35 (вместе с заводом 369); баржа-заправщик ПЛ с ПГТУ перекисью водорода пр. 215 (1950-е);</w:t>
      </w:r>
    </w:p>
    <w:p w14:paraId="4AF261D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ремонт ПЛ «Лембит» (ВОВ); переоборудование: больших охотников: в корабли-цели пр. 383, в корабли управления катерами-целями пр. 384 (1950-е); СРТ пр. 391А в разведывательные корабли (1957).</w:t>
      </w:r>
    </w:p>
    <w:p w14:paraId="4F9F97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КБ-196 /г. Ленинград/</w:t>
      </w:r>
    </w:p>
    <w:p w14:paraId="3895E76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Разработаны проекты: бронированного морского охотника БМО пр. 194, утвержденный 24.08.1942 г.; самоходного плашкоута (1942).</w:t>
      </w:r>
      <w:r w:rsidRPr="005E779E">
        <w:rPr>
          <w:rFonts w:ascii="Times New Roman" w:hAnsi="Times New Roman"/>
          <w:color w:val="000000" w:themeColor="text1"/>
          <w:sz w:val="16"/>
          <w:szCs w:val="16"/>
          <w:vertAlign w:val="superscript"/>
        </w:rPr>
        <w:t>61</w:t>
      </w:r>
    </w:p>
    <w:p w14:paraId="69DB19E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 (1942 г.)- В.М. Мудров.</w:t>
      </w:r>
    </w:p>
    <w:p w14:paraId="157CC72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Ведущий конструктор (1942 г.)- А.Н. Тюшкевич (БМО).</w:t>
      </w:r>
    </w:p>
    <w:p w14:paraId="6EF1B5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Особое КБ № 196 (ОКБ-196) 4-го Спецотдела НКВД</w:t>
      </w:r>
    </w:p>
    <w:p w14:paraId="49C0898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Работали заключенные специалисты по созданию новых типов ПЛ (до и во время ВОВ).</w:t>
      </w:r>
      <w:r w:rsidRPr="005E779E">
        <w:rPr>
          <w:rFonts w:ascii="Times New Roman" w:hAnsi="Times New Roman"/>
          <w:color w:val="000000" w:themeColor="text1"/>
          <w:sz w:val="16"/>
          <w:szCs w:val="16"/>
          <w:vertAlign w:val="superscript"/>
        </w:rPr>
        <w:t>61</w:t>
      </w:r>
      <w:r w:rsidRPr="005E779E">
        <w:rPr>
          <w:rFonts w:ascii="Times New Roman" w:hAnsi="Times New Roman"/>
          <w:color w:val="000000" w:themeColor="text1"/>
          <w:sz w:val="16"/>
          <w:szCs w:val="16"/>
        </w:rPr>
        <w:t xml:space="preserve"> В 1938 г. </w:t>
      </w:r>
      <w:r w:rsidRPr="005E779E">
        <w:rPr>
          <w:rFonts w:ascii="Times New Roman" w:hAnsi="Times New Roman"/>
          <w:color w:val="000000" w:themeColor="text1"/>
          <w:sz w:val="16"/>
          <w:szCs w:val="16"/>
          <w:lang w:val="en-US"/>
        </w:rPr>
        <w:t>B</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C</w:t>
      </w:r>
      <w:r w:rsidRPr="005E779E">
        <w:rPr>
          <w:rFonts w:ascii="Times New Roman" w:hAnsi="Times New Roman"/>
          <w:color w:val="000000" w:themeColor="text1"/>
          <w:sz w:val="16"/>
          <w:szCs w:val="16"/>
        </w:rPr>
        <w:t>. Дмитриевский предложил создать силовую установку ЕД-ХПИ (единый двигатель с химпоглотителем известняковым). Под эту СУ под руководством А.С. Кассациера спроектирована экспериментальная ПЛ пр. 95 М- 401. В 11.1942 г. Дмитриевский погиб при испытаниях М-401.</w:t>
      </w:r>
    </w:p>
    <w:p w14:paraId="7A6864B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1939-40 г. разработаны предэскизные проекты «малых легких крейсеров» МК-3, МК-4, МК-5, МК-6.</w:t>
      </w:r>
    </w:p>
    <w:p w14:paraId="11EBCF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1939 г. разработан проект 10-весельного яла (Ял-10), после войны он передан в КБ завода № 5.</w:t>
      </w:r>
    </w:p>
    <w:p w14:paraId="1E728C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1940-41 г. разработан подводный минный заградитель МЗ пр. 99 на конкурсной основе с ЦКБ-18. Вариант КБ-196 выиграл конкурс, но в связи с началом войны реализован не был.</w:t>
      </w:r>
    </w:p>
    <w:p w14:paraId="2B83CFA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Под руководством В.Л. Бжезинского (ранее- начальник ЦКБС-1) в 1939 г. создан проект погружающегося торпедного катера М-400 «Блоха».</w:t>
      </w:r>
    </w:p>
    <w:p w14:paraId="7AC12CE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Летом 1941 г. ОКБ-196 эвакуировано на завод № 340.</w:t>
      </w:r>
      <w:r w:rsidRPr="005E779E">
        <w:rPr>
          <w:rFonts w:ascii="Times New Roman" w:hAnsi="Times New Roman"/>
          <w:color w:val="000000" w:themeColor="text1"/>
          <w:sz w:val="16"/>
          <w:szCs w:val="16"/>
          <w:vertAlign w:val="superscript"/>
        </w:rPr>
        <w:t>3</w:t>
      </w:r>
      <w:r w:rsidRPr="005E779E">
        <w:rPr>
          <w:rFonts w:ascii="Times New Roman" w:hAnsi="Times New Roman"/>
          <w:color w:val="000000" w:themeColor="text1"/>
          <w:sz w:val="16"/>
          <w:szCs w:val="16"/>
        </w:rPr>
        <w:t xml:space="preserve"> По распоряжению ГКО № 8127 от 13.04.1945 г. ОКБ-340 реэвакуировано в Ленинград (однако, часть его, по-видимому осталась в Зеленодольске; на ее базе создано новое ОКБ-340) (11982).</w:t>
      </w:r>
    </w:p>
    <w:p w14:paraId="5FE381F6" w14:textId="77777777" w:rsidR="0075673E" w:rsidRPr="005E779E" w:rsidRDefault="0075673E"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5FDAC7C"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Армия:</w:t>
      </w:r>
    </w:p>
    <w:p w14:paraId="5FCEDD06"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E02101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М.Н.Тухачевский был назначен зам. наркома обороны, начальником вооружений РККА (176,22).</w:t>
      </w:r>
    </w:p>
    <w:p w14:paraId="502F0A5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7AC348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году был выпущен Боевой устав броневых сил РККА, определивший организацию и задачи бронепоездных частей. Сами бронепоезда разделялись на легкие и тяжелые, в зависимости от калибра орудий. Высшей тактической единицей принимался дивизион - три бронепоезда, из них один тяжелый. Предполагалось, что в случае боевых действий в Европе бронепоезда благодаря подвижности и огневой мощи смогут оказать существенную поддержку полевым войскам, а на дальневосточном театре военных действий вполне смогут играть роль ударных сил (9642).</w:t>
      </w:r>
    </w:p>
    <w:p w14:paraId="6467C3C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BCDC3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вышло постановление об улучшении материального по</w:t>
      </w:r>
      <w:r w:rsidRPr="005E779E">
        <w:rPr>
          <w:rFonts w:ascii="Times New Roman" w:hAnsi="Times New Roman"/>
          <w:color w:val="000000" w:themeColor="text1"/>
          <w:sz w:val="16"/>
          <w:szCs w:val="16"/>
        </w:rPr>
        <w:softHyphen/>
        <w:t>ложения начальствующего состава. В соответствии с этим документом оклад младшего лётчика составлял 2000 руб, оклад командира авиа</w:t>
      </w:r>
      <w:r w:rsidRPr="005E779E">
        <w:rPr>
          <w:rFonts w:ascii="Times New Roman" w:hAnsi="Times New Roman"/>
          <w:color w:val="000000" w:themeColor="text1"/>
          <w:sz w:val="16"/>
          <w:szCs w:val="16"/>
        </w:rPr>
        <w:softHyphen/>
        <w:t>ционной эскадрильи 3240 руб. Для сравнения: оклад командира эскад</w:t>
      </w:r>
      <w:r w:rsidRPr="005E779E">
        <w:rPr>
          <w:rFonts w:ascii="Times New Roman" w:hAnsi="Times New Roman"/>
          <w:color w:val="000000" w:themeColor="text1"/>
          <w:sz w:val="16"/>
          <w:szCs w:val="16"/>
        </w:rPr>
        <w:softHyphen/>
        <w:t>ренного миноносца в 1932 г. со</w:t>
      </w:r>
      <w:r w:rsidRPr="005E779E">
        <w:rPr>
          <w:rFonts w:ascii="Times New Roman" w:hAnsi="Times New Roman"/>
          <w:color w:val="000000" w:themeColor="text1"/>
          <w:sz w:val="16"/>
          <w:szCs w:val="16"/>
        </w:rPr>
        <w:softHyphen/>
        <w:t>ставлял 3240 руб. Уже и в этот пе</w:t>
      </w:r>
      <w:r w:rsidRPr="005E779E">
        <w:rPr>
          <w:rFonts w:ascii="Times New Roman" w:hAnsi="Times New Roman"/>
          <w:color w:val="000000" w:themeColor="text1"/>
          <w:sz w:val="16"/>
          <w:szCs w:val="16"/>
        </w:rPr>
        <w:softHyphen/>
        <w:t>риод возникали сложности с комп</w:t>
      </w:r>
      <w:r w:rsidRPr="005E779E">
        <w:rPr>
          <w:rFonts w:ascii="Times New Roman" w:hAnsi="Times New Roman"/>
          <w:color w:val="000000" w:themeColor="text1"/>
          <w:sz w:val="16"/>
          <w:szCs w:val="16"/>
        </w:rPr>
        <w:softHyphen/>
        <w:t>лектованием вооружённых сил. В апреле 1931 г. из Реввоенсовета за подписью зам. Наркома по во</w:t>
      </w:r>
      <w:r w:rsidRPr="005E779E">
        <w:rPr>
          <w:rFonts w:ascii="Times New Roman" w:hAnsi="Times New Roman"/>
          <w:color w:val="000000" w:themeColor="text1"/>
          <w:sz w:val="16"/>
          <w:szCs w:val="16"/>
        </w:rPr>
        <w:softHyphen/>
        <w:t>енным и морским делам Гамарника поступила информация о неудовлет</w:t>
      </w:r>
      <w:r w:rsidRPr="005E779E">
        <w:rPr>
          <w:rFonts w:ascii="Times New Roman" w:hAnsi="Times New Roman"/>
          <w:color w:val="000000" w:themeColor="text1"/>
          <w:sz w:val="16"/>
          <w:szCs w:val="16"/>
        </w:rPr>
        <w:softHyphen/>
        <w:t>ворительных результатах вербовки на военную службу сверхсрочнос</w:t>
      </w:r>
      <w:r w:rsidRPr="005E779E">
        <w:rPr>
          <w:rFonts w:ascii="Times New Roman" w:hAnsi="Times New Roman"/>
          <w:color w:val="000000" w:themeColor="text1"/>
          <w:sz w:val="16"/>
          <w:szCs w:val="16"/>
        </w:rPr>
        <w:softHyphen/>
        <w:t>лужащих: 15 000 должностей оста</w:t>
      </w:r>
      <w:r w:rsidRPr="005E779E">
        <w:rPr>
          <w:rFonts w:ascii="Times New Roman" w:hAnsi="Times New Roman"/>
          <w:color w:val="000000" w:themeColor="text1"/>
          <w:sz w:val="16"/>
          <w:szCs w:val="16"/>
        </w:rPr>
        <w:softHyphen/>
        <w:t>лись вакантными.</w:t>
      </w:r>
    </w:p>
    <w:p w14:paraId="1FD08B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Интересно, что в 1932 г. были произведены расчёты, связанные с восполнением потерь самолётного парка в случае войны. По одному из вариантов подобных расчётов на год ведения боевых действий потребность в самолётах И-5 со</w:t>
      </w:r>
      <w:r w:rsidRPr="005E779E">
        <w:rPr>
          <w:rFonts w:ascii="Times New Roman" w:hAnsi="Times New Roman"/>
          <w:color w:val="000000" w:themeColor="text1"/>
          <w:sz w:val="16"/>
          <w:szCs w:val="16"/>
        </w:rPr>
        <w:softHyphen/>
        <w:t>ставила бы 2000 шт, Р-5 - 700 шт.</w:t>
      </w:r>
    </w:p>
    <w:p w14:paraId="1E918841"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ответ на этот документ Выс</w:t>
      </w:r>
      <w:r w:rsidRPr="005E779E">
        <w:rPr>
          <w:rFonts w:ascii="Times New Roman" w:hAnsi="Times New Roman"/>
          <w:color w:val="000000" w:themeColor="text1"/>
          <w:sz w:val="16"/>
          <w:szCs w:val="16"/>
        </w:rPr>
        <w:softHyphen/>
        <w:t>ший совет народного хозяйства ответил, что такими возможностя</w:t>
      </w:r>
      <w:r w:rsidRPr="005E779E">
        <w:rPr>
          <w:rFonts w:ascii="Times New Roman" w:hAnsi="Times New Roman"/>
          <w:color w:val="000000" w:themeColor="text1"/>
          <w:sz w:val="16"/>
          <w:szCs w:val="16"/>
        </w:rPr>
        <w:softHyphen/>
        <w:t>ми по производству авиационной техники он не располагает (12084).</w:t>
      </w:r>
    </w:p>
    <w:p w14:paraId="5024F49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2FE8336" w14:textId="03E138A4" w:rsidR="00CC65A3" w:rsidRPr="005E779E" w:rsidRDefault="00CC65A3" w:rsidP="000B7A6C">
      <w:pPr>
        <w:pStyle w:val="style3"/>
        <w:spacing w:before="0" w:beforeAutospacing="0" w:after="0" w:afterAutospacing="0"/>
        <w:jc w:val="both"/>
        <w:rPr>
          <w:color w:val="000000" w:themeColor="text1"/>
          <w:sz w:val="16"/>
          <w:szCs w:val="16"/>
        </w:rPr>
      </w:pPr>
      <w:r w:rsidRPr="005E779E">
        <w:rPr>
          <w:color w:val="000000" w:themeColor="text1"/>
          <w:sz w:val="16"/>
          <w:szCs w:val="16"/>
        </w:rPr>
        <w:t xml:space="preserve">1931 г. Донесение Берзина — Ворошилову </w:t>
      </w:r>
    </w:p>
    <w:p w14:paraId="1A988A87" w14:textId="77777777" w:rsidR="00CC65A3" w:rsidRPr="005E779E" w:rsidRDefault="00CC65A3" w:rsidP="000B7A6C">
      <w:pPr>
        <w:pStyle w:val="ae"/>
        <w:spacing w:before="0" w:after="0"/>
        <w:jc w:val="both"/>
        <w:rPr>
          <w:color w:val="000000" w:themeColor="text1"/>
          <w:sz w:val="16"/>
          <w:szCs w:val="16"/>
        </w:rPr>
      </w:pPr>
      <w:r w:rsidRPr="005E779E">
        <w:rPr>
          <w:rStyle w:val="a7"/>
          <w:rFonts w:eastAsia="Segoe UI"/>
          <w:b w:val="0"/>
          <w:bCs w:val="0"/>
          <w:color w:val="000000" w:themeColor="text1"/>
          <w:sz w:val="16"/>
          <w:szCs w:val="16"/>
        </w:rPr>
        <w:t>Об итогах работы в Казани, Липецке, Томке</w:t>
      </w:r>
    </w:p>
    <w:p w14:paraId="58FCA467" w14:textId="77777777" w:rsidR="00CC65A3" w:rsidRPr="005E779E" w:rsidRDefault="00CC65A3" w:rsidP="000B7A6C">
      <w:pPr>
        <w:pStyle w:val="style3"/>
        <w:spacing w:before="0" w:beforeAutospacing="0" w:after="0" w:afterAutospacing="0"/>
        <w:jc w:val="both"/>
        <w:rPr>
          <w:color w:val="000000" w:themeColor="text1"/>
          <w:sz w:val="16"/>
          <w:szCs w:val="16"/>
        </w:rPr>
      </w:pPr>
      <w:r w:rsidRPr="005E779E">
        <w:rPr>
          <w:color w:val="000000" w:themeColor="text1"/>
          <w:sz w:val="16"/>
          <w:szCs w:val="16"/>
        </w:rPr>
        <w:t>Итоги работы в Казани и Липецке не совсем удовлетворяют УММ и УВВС, т. к. «друзья» слабо завозят новейшие технические объекты, подлежащие испытаниям, иногда ограничиваясь устаревшими типами (самолеты «Фоккер» До-XIII), и не всегда откровенно делятся всеми материалами и сведениями, полученными в результате исследовательских и учебно-опытных работ &lt;...&gt; В отношении работы на химическом полигоне при ст. Причер-навская ВОХИМУ считает ее вообще весьма ценной и полезной для РККА. &lt;...&gt; Желательно внести в эту область следующие улучшения: 1. По химическим работам в Томке (ст. Причернавская):</w:t>
      </w:r>
    </w:p>
    <w:p w14:paraId="6F3BF1EF" w14:textId="77777777" w:rsidR="00CC65A3" w:rsidRPr="005E779E" w:rsidRDefault="00CC65A3" w:rsidP="000B7A6C">
      <w:pPr>
        <w:pStyle w:val="style3"/>
        <w:spacing w:before="0" w:beforeAutospacing="0" w:after="0" w:afterAutospacing="0"/>
        <w:jc w:val="both"/>
        <w:rPr>
          <w:color w:val="000000" w:themeColor="text1"/>
          <w:sz w:val="16"/>
          <w:szCs w:val="16"/>
        </w:rPr>
      </w:pPr>
      <w:r w:rsidRPr="005E779E">
        <w:rPr>
          <w:color w:val="000000" w:themeColor="text1"/>
          <w:sz w:val="16"/>
          <w:szCs w:val="16"/>
        </w:rPr>
        <w:t>а) доведение до конца в полевых условиях работ с вязкими ипритами (применение их артиллерией, авиацией, боевыми химическими машинами и дегазации);</w:t>
      </w:r>
    </w:p>
    <w:p w14:paraId="69BD5AF4" w14:textId="77777777" w:rsidR="00CC65A3" w:rsidRPr="005E779E" w:rsidRDefault="00CC65A3" w:rsidP="000B7A6C">
      <w:pPr>
        <w:pStyle w:val="style3"/>
        <w:spacing w:before="0" w:beforeAutospacing="0" w:after="0" w:afterAutospacing="0"/>
        <w:jc w:val="both"/>
        <w:rPr>
          <w:color w:val="000000" w:themeColor="text1"/>
          <w:sz w:val="16"/>
          <w:szCs w:val="16"/>
        </w:rPr>
      </w:pPr>
      <w:r w:rsidRPr="005E779E">
        <w:rPr>
          <w:color w:val="000000" w:themeColor="text1"/>
          <w:sz w:val="16"/>
          <w:szCs w:val="16"/>
        </w:rPr>
        <w:t>б) завершение работ с «пфификусом» и новыми ОВ;</w:t>
      </w:r>
    </w:p>
    <w:p w14:paraId="205729AB" w14:textId="77777777" w:rsidR="00CC65A3" w:rsidRPr="005E779E" w:rsidRDefault="00CC65A3" w:rsidP="000B7A6C">
      <w:pPr>
        <w:pStyle w:val="style3"/>
        <w:spacing w:before="0" w:beforeAutospacing="0" w:after="0" w:afterAutospacing="0"/>
        <w:jc w:val="both"/>
        <w:rPr>
          <w:color w:val="000000" w:themeColor="text1"/>
          <w:sz w:val="16"/>
          <w:szCs w:val="16"/>
        </w:rPr>
      </w:pPr>
      <w:r w:rsidRPr="005E779E">
        <w:rPr>
          <w:color w:val="000000" w:themeColor="text1"/>
          <w:sz w:val="16"/>
          <w:szCs w:val="16"/>
        </w:rPr>
        <w:t>в) применение жидкого дегазатора &lt;...&gt; (использование крупповской автоцистерны).</w:t>
      </w:r>
    </w:p>
    <w:p w14:paraId="4AE65598" w14:textId="77777777" w:rsidR="00CC65A3" w:rsidRPr="005E779E" w:rsidRDefault="00CC65A3" w:rsidP="000B7A6C">
      <w:pPr>
        <w:pStyle w:val="style3"/>
        <w:spacing w:before="0" w:beforeAutospacing="0" w:after="0" w:afterAutospacing="0"/>
        <w:jc w:val="both"/>
        <w:rPr>
          <w:color w:val="000000" w:themeColor="text1"/>
          <w:sz w:val="16"/>
          <w:szCs w:val="16"/>
        </w:rPr>
      </w:pPr>
      <w:r w:rsidRPr="005E779E">
        <w:rPr>
          <w:color w:val="000000" w:themeColor="text1"/>
          <w:sz w:val="16"/>
          <w:szCs w:val="16"/>
        </w:rPr>
        <w:t>Ввиду развертывания наших собственных работ в 1932 г., «друзей» желательно перевести с территории ЦВХП в другое место. &lt;... &gt;</w:t>
      </w:r>
    </w:p>
    <w:p w14:paraId="016E8535" w14:textId="77777777" w:rsidR="00CC65A3" w:rsidRPr="005E779E" w:rsidRDefault="00CC65A3" w:rsidP="000B7A6C">
      <w:pPr>
        <w:pStyle w:val="style3"/>
        <w:spacing w:before="0" w:beforeAutospacing="0" w:after="0" w:afterAutospacing="0"/>
        <w:jc w:val="both"/>
        <w:rPr>
          <w:color w:val="000000" w:themeColor="text1"/>
          <w:sz w:val="16"/>
          <w:szCs w:val="16"/>
        </w:rPr>
      </w:pPr>
      <w:r w:rsidRPr="005E779E">
        <w:rPr>
          <w:color w:val="000000" w:themeColor="text1"/>
          <w:sz w:val="16"/>
          <w:szCs w:val="16"/>
        </w:rPr>
        <w:t>Берзин</w:t>
      </w:r>
    </w:p>
    <w:p w14:paraId="07F905B1" w14:textId="77777777" w:rsidR="00CC65A3" w:rsidRPr="005E779E" w:rsidRDefault="00CC65A3" w:rsidP="000B7A6C">
      <w:pPr>
        <w:pStyle w:val="style3"/>
        <w:spacing w:before="0" w:beforeAutospacing="0" w:after="0" w:afterAutospacing="0"/>
        <w:jc w:val="both"/>
        <w:rPr>
          <w:color w:val="000000" w:themeColor="text1"/>
          <w:sz w:val="16"/>
          <w:szCs w:val="16"/>
        </w:rPr>
      </w:pPr>
      <w:r w:rsidRPr="005E779E">
        <w:rPr>
          <w:color w:val="000000" w:themeColor="text1"/>
          <w:sz w:val="16"/>
          <w:szCs w:val="16"/>
        </w:rPr>
        <w:t>ЦГАСА. Ф 33987 Оп. 3. Д. 275. Л 110-111. Подлинник (20246).</w:t>
      </w:r>
    </w:p>
    <w:p w14:paraId="51255E15" w14:textId="77777777" w:rsidR="007065FB" w:rsidRPr="005E779E" w:rsidRDefault="007065FB" w:rsidP="000B7A6C">
      <w:pPr>
        <w:autoSpaceDE w:val="0"/>
        <w:autoSpaceDN w:val="0"/>
        <w:adjustRightInd w:val="0"/>
        <w:spacing w:after="0" w:line="240" w:lineRule="auto"/>
        <w:jc w:val="both"/>
        <w:rPr>
          <w:rFonts w:ascii="Times New Roman" w:hAnsi="Times New Roman"/>
          <w:i/>
          <w:iCs/>
          <w:color w:val="000000" w:themeColor="text1"/>
          <w:sz w:val="16"/>
          <w:szCs w:val="16"/>
        </w:rPr>
      </w:pPr>
    </w:p>
    <w:p w14:paraId="219726AB" w14:textId="77777777" w:rsidR="007065FB" w:rsidRPr="005E779E" w:rsidRDefault="007065FB"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открылись и начали функционировать три летные школы Гражданского воздушного флота: Батайская /1-я/, тамбовская /2-я/ и Балашовская /3-я/, Московская Осоавиахима в Павшино и Объединенная школа пилотов и техников сельско-хозяйственной авиации при Наркомземе в Краснодаре (23370).</w:t>
      </w:r>
    </w:p>
    <w:p w14:paraId="3EB33C32" w14:textId="77777777" w:rsidR="007065FB" w:rsidRPr="005E779E" w:rsidRDefault="007065FB" w:rsidP="000B7A6C">
      <w:pPr>
        <w:spacing w:after="0" w:line="240" w:lineRule="auto"/>
        <w:jc w:val="both"/>
        <w:rPr>
          <w:rFonts w:ascii="Times New Roman" w:hAnsi="Times New Roman"/>
          <w:color w:val="000000" w:themeColor="text1"/>
          <w:sz w:val="16"/>
          <w:szCs w:val="16"/>
        </w:rPr>
      </w:pPr>
    </w:p>
    <w:p w14:paraId="1B5E49C5" w14:textId="77777777" w:rsidR="00B32748" w:rsidRPr="00142305" w:rsidRDefault="00B32748" w:rsidP="00B3274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1931 г. началась плановая подготовка политических кадров ВВС. В Военно-политической академии был создан воздушный факультет, комплектовавшийся летчиками и штурманами из строевых частей (Академия им. Ленина: Ист. очерк о Военно-политической академии им. В.И. Ленина. -М„ 1980.-С. 95). Политработники среднего звена готовились в военно-политических училищах, а также на курсах при некоторых летных вузах (Шумихин В. С. Советская военная авиация (1917 - 1941) / Виктор Шумихин. - М., 1986.-287 с.-С. 170). Через год в авиационных военных учебных заведениях были введены политические органы (24968).</w:t>
      </w:r>
    </w:p>
    <w:p w14:paraId="0B40D4E6" w14:textId="77777777" w:rsidR="00B32748" w:rsidRPr="00142305" w:rsidRDefault="00B32748" w:rsidP="00B32748">
      <w:pPr>
        <w:spacing w:after="0" w:line="240" w:lineRule="auto"/>
        <w:jc w:val="both"/>
        <w:rPr>
          <w:rFonts w:ascii="Times New Roman" w:hAnsi="Times New Roman"/>
          <w:color w:val="0070C0"/>
          <w:sz w:val="16"/>
          <w:szCs w:val="16"/>
        </w:rPr>
      </w:pPr>
    </w:p>
    <w:p w14:paraId="51343639" w14:textId="77777777" w:rsidR="00B32748" w:rsidRPr="00142305" w:rsidRDefault="00B32748" w:rsidP="00B3274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1931 г. в авиавузах уже обучалось 6 316 курсантов (РГВА. Ф. 4. Оп. 2. Д. 99. Л. 214; Бычков В. Н. Летопись авиации и воздухопл-я / РАН. Инст-т истории естествознания и техники. - М., 2006. - 816 с. - С. 543, 550-551) (24968).</w:t>
      </w:r>
    </w:p>
    <w:p w14:paraId="5B110B29" w14:textId="77777777" w:rsidR="00B32748" w:rsidRPr="00142305" w:rsidRDefault="00B32748" w:rsidP="00B32748">
      <w:pPr>
        <w:spacing w:after="0" w:line="240" w:lineRule="auto"/>
        <w:jc w:val="both"/>
        <w:rPr>
          <w:rFonts w:ascii="Times New Roman" w:hAnsi="Times New Roman"/>
          <w:color w:val="0070C0"/>
          <w:sz w:val="16"/>
          <w:szCs w:val="16"/>
        </w:rPr>
      </w:pPr>
    </w:p>
    <w:p w14:paraId="37E617A9" w14:textId="77777777" w:rsidR="00B32748" w:rsidRPr="00142305" w:rsidRDefault="00B32748" w:rsidP="00B3274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1931 г. советские военные и инженеры увидели в Липецке на земле и в воздухе бомбардировщик Дорнье Р, одноместный истребитель Ара</w:t>
      </w:r>
      <w:r w:rsidRPr="00142305">
        <w:rPr>
          <w:rFonts w:ascii="Times New Roman" w:hAnsi="Times New Roman"/>
          <w:color w:val="0070C0"/>
          <w:sz w:val="16"/>
          <w:szCs w:val="16"/>
        </w:rPr>
        <w:softHyphen/>
        <w:t>до Ar 64, двухместный истребитель Альбатрос L 84, многоцелевые двухместные самолеты Хейнкель HD 45 и HD 46 и учебно-трени</w:t>
      </w:r>
      <w:r w:rsidRPr="00142305">
        <w:rPr>
          <w:rFonts w:ascii="Times New Roman" w:hAnsi="Times New Roman"/>
          <w:color w:val="0070C0"/>
          <w:sz w:val="16"/>
          <w:szCs w:val="16"/>
        </w:rPr>
        <w:softHyphen/>
        <w:t>ровочный А 48 — модификацию строящегося на заводе Юнкерса в Швеции двухместного истребителя К 47. Самую высокую оценку наших специалистов получил Альбатрос L 84, обладающий отлич</w:t>
      </w:r>
      <w:r w:rsidRPr="00142305">
        <w:rPr>
          <w:rFonts w:ascii="Times New Roman" w:hAnsi="Times New Roman"/>
          <w:color w:val="0070C0"/>
          <w:sz w:val="16"/>
          <w:szCs w:val="16"/>
        </w:rPr>
        <w:softHyphen/>
        <w:t>ной маневренностью и хорошими скоростными качествами. Дор</w:t>
      </w:r>
      <w:r w:rsidRPr="00142305">
        <w:rPr>
          <w:rFonts w:ascii="Times New Roman" w:hAnsi="Times New Roman"/>
          <w:color w:val="0070C0"/>
          <w:sz w:val="16"/>
          <w:szCs w:val="16"/>
        </w:rPr>
        <w:softHyphen/>
        <w:t>нье Р и Ar 64 были признаны худшими по сравнению с однотипны</w:t>
      </w:r>
      <w:r w:rsidRPr="00142305">
        <w:rPr>
          <w:rFonts w:ascii="Times New Roman" w:hAnsi="Times New Roman"/>
          <w:color w:val="0070C0"/>
          <w:sz w:val="16"/>
          <w:szCs w:val="16"/>
        </w:rPr>
        <w:softHyphen/>
        <w:t>ми советскими машинами — бомбардировщиком ТБ-3 и истребителем И-5.</w:t>
      </w:r>
    </w:p>
    <w:p w14:paraId="11267A3A" w14:textId="77777777" w:rsidR="00B32748" w:rsidRPr="00142305" w:rsidRDefault="00B32748" w:rsidP="00B3274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авиапарке Опытной группы были также Дорнье «Мер- кюр», Рорбах «Роланд», Юнкерс W 33, Хейнкель HD 38, Мессерш</w:t>
      </w:r>
      <w:r w:rsidRPr="00142305">
        <w:rPr>
          <w:rFonts w:ascii="Times New Roman" w:hAnsi="Times New Roman"/>
          <w:color w:val="0070C0"/>
          <w:sz w:val="16"/>
          <w:szCs w:val="16"/>
        </w:rPr>
        <w:softHyphen/>
        <w:t>митт М-23, выполнявшие роль опытных «вспомогательных бом</w:t>
      </w:r>
      <w:r w:rsidRPr="00142305">
        <w:rPr>
          <w:rFonts w:ascii="Times New Roman" w:hAnsi="Times New Roman"/>
          <w:color w:val="0070C0"/>
          <w:sz w:val="16"/>
          <w:szCs w:val="16"/>
        </w:rPr>
        <w:softHyphen/>
        <w:t>бардировщиков», транспортных или «штабных» самолетов (25025).</w:t>
      </w:r>
    </w:p>
    <w:p w14:paraId="0C2BAFA8" w14:textId="77777777" w:rsidR="00B32748" w:rsidRPr="00142305" w:rsidRDefault="00B32748" w:rsidP="00B32748">
      <w:pPr>
        <w:spacing w:after="0" w:line="240" w:lineRule="auto"/>
        <w:jc w:val="both"/>
        <w:rPr>
          <w:rFonts w:ascii="Times New Roman" w:hAnsi="Times New Roman"/>
          <w:color w:val="0070C0"/>
          <w:sz w:val="16"/>
          <w:szCs w:val="16"/>
        </w:rPr>
      </w:pPr>
    </w:p>
    <w:p w14:paraId="34C80991" w14:textId="6F98BA06"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Жизнь и внутренняя политика:</w:t>
      </w:r>
    </w:p>
    <w:p w14:paraId="7923C8CD"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6CDB6B7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году были отменены, с одной стороны, закон, запрещавший платить занятым на сдельной работе менее двух третей среднего уровня зарплаты, и с другой стороны, закон, согласно которому рабочий, превышающий нормы выработки, мог получать сверх тарифа не более 100 % обычной нормы зарплаты.</w:t>
      </w:r>
    </w:p>
    <w:p w14:paraId="38B68BF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Тогда же был аннулирован закон, согласно которому специалисты, работающие по совместительству (которое было тогда широко распространено), могли получать лишь в полтора раза больше установленного максимума зарплаты. Эта мера явилась составной частью новой сталинской политики по отношению к интеллигенции. В 1931 году Сталин в качестве одного из "шести условий" призвал создать "ядру командного состава нашей промышленности" "соответствующую обстановку, не жалея для этого денег" (9492).</w:t>
      </w:r>
    </w:p>
    <w:p w14:paraId="4E249DE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DCAADF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году все трудящееся население 4-х крупных городов (включая Казань) было разделено на группы по "классово-производственному" признаку. В первую группу наряду с рабочими входили военнослужащие, работники ОГПУ, милиции, оперработники угро, учащиеся и преподаватели ФЗУ. Ко второй были отнесены служащие, а также члены семей рабочих и служащих и "лица свободных профессий", к третьей группе - дети до 14 лет. Группы делились также и по "литерам".</w:t>
      </w:r>
    </w:p>
    <w:p w14:paraId="137FB62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Например, в Казани владельцев продовольственной карточки первой группы литеры "А", получавших 800 г хлеба в день, называли "литер-А-торы". Кроме них были еще "литер-Б-торы" (600 г) и "кое-какеры" (300 г). К "кое-какерам" относились, в частности, студенты дневных отделении: прожить на этот паек можно было только кое-как. На незанятое "общественно-полезным трудом" население карточное снабжение по-прежнему не распространялось. Они должны были выживать, как умели. В начале 1932 года карточек были лишены все домохозяйки моложе 56 лет: чтобы получить карточки, они должны были устроиться на работу.</w:t>
      </w:r>
    </w:p>
    <w:p w14:paraId="257C4B5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Особенно тяжелым на всем протяжении карточного снабжения было положение с мясом, жирами, молочными продуктами. С весны 1929 года в Казани также стали ощущаться перебои с мясом и жирами. В июле 1930-го в стране были введены карточки на мясо, но получили их только 14 миллионов жителей России. К тому же мясо часто заменяли воблой, рыбой, консервами. В стране хронически наблюдались очереди за керосином - он был топливом для примусов, на которых готовила еду вся страна. Спичек выдавали лишь по два коробка в руки.</w:t>
      </w:r>
    </w:p>
    <w:p w14:paraId="2C63198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Даже по карточкам весьма недостаточно и нерегулярно снабжались служащие и учащиеся - учителя, врачи, студенты. В Казани интеллигенция в массе своей, несмотря на норму, получала в начале 1930-х всего по 100 г хлеба. Даже хлебный паек не гарантировался. А крупа, сахар выдавались врачам и учителям нерегулярно - 2-3 раза в год по 400-500 г. Осенью 1932 года казанское студенчество вообще было снято с централизованного снабжения, и университету пришлось организовать собственную столовую, овощи для нее выращивали на земельных участках Галактионовского совхоза. В ноябре 1932-го при Казанском университете был организован продуктово-промтоварный магазин, где студенты получали хлеб (11566).</w:t>
      </w:r>
    </w:p>
    <w:p w14:paraId="70D730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A6B8965" w14:textId="77777777" w:rsidR="007E5934" w:rsidRPr="005E779E" w:rsidRDefault="007E593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1931 - выигрыш лотереи Осоавиахима 1931 Цена в рублях</w:t>
      </w:r>
    </w:p>
    <w:p w14:paraId="5A82AFD9" w14:textId="77777777" w:rsidR="007E5934" w:rsidRPr="005E779E" w:rsidRDefault="007E593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Путешествие по Европе сроком на 1,5 месяца 3000</w:t>
      </w:r>
    </w:p>
    <w:p w14:paraId="62A0EE99" w14:textId="77777777" w:rsidR="007E5934" w:rsidRPr="005E779E" w:rsidRDefault="007E593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Трактор с сельскохозяйственным оборудованием или легковой автомобиль 3000</w:t>
      </w:r>
    </w:p>
    <w:p w14:paraId="52EE4A75" w14:textId="77777777" w:rsidR="007E5934" w:rsidRPr="005E779E" w:rsidRDefault="007E593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Путешествие сроком на 1 месяц по маршруту: Москва — Берлин — Москва или Москва — Анкара (Турция) — Москве 1000</w:t>
      </w:r>
    </w:p>
    <w:p w14:paraId="1AAB5368" w14:textId="77777777" w:rsidR="007E5934" w:rsidRPr="005E779E" w:rsidRDefault="007E593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Мотоцикл 1000</w:t>
      </w:r>
    </w:p>
    <w:p w14:paraId="39AB7BA6" w14:textId="77777777" w:rsidR="007E5934" w:rsidRPr="005E779E" w:rsidRDefault="007E593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Путешествие по СССР на самолете сроком на 15 дней по маршрутам: Москва — Тифлис — Москва или Москва — Ташкент — Москва. Москва — Баку — Москва или же набор сельскохозяйственных орудий (по выбору выигравшего) 500</w:t>
      </w:r>
    </w:p>
    <w:p w14:paraId="02B351FF" w14:textId="77777777" w:rsidR="007E5934" w:rsidRPr="005E779E" w:rsidRDefault="007E593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Место в санатории Крыма или Кавказа на 1 месяц или путешествие на самолете по маршруту Москва — Ростов — Москва или Москва — Минеральные воды — Москва сроком на 10 дней 300</w:t>
      </w:r>
    </w:p>
    <w:p w14:paraId="345D4A13" w14:textId="77777777" w:rsidR="007E5934" w:rsidRPr="005E779E" w:rsidRDefault="007E593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Путешествие на самолете по маршруту: Москва — Харьков — Москва сроком на 8 дней, велосипед, кожаное полупальто, пальто теплое (по выбору) 200</w:t>
      </w:r>
      <w:r w:rsidRPr="005E779E">
        <w:rPr>
          <w:rFonts w:ascii="Times New Roman" w:hAnsi="Times New Roman"/>
          <w:color w:val="000000" w:themeColor="text1"/>
          <w:sz w:val="16"/>
          <w:szCs w:val="16"/>
        </w:rPr>
        <w:br/>
        <w:t>Часы карманные, швейная ручная машина, кожаная тужурка. костюм мужской (по выбору) 100</w:t>
      </w:r>
    </w:p>
    <w:p w14:paraId="79EF9BB5" w14:textId="77777777" w:rsidR="007E5934" w:rsidRPr="005E779E" w:rsidRDefault="007E593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Мелкокалиберная винтовка с полевой сумкой, музыкальные инструменты (балалайка, мандолина, гитаре). Ружье охотничье «Фроловка». Трикотаж зимний (джемпер, пуловер, дамский жакет) по выбору выигравшего 50</w:t>
      </w:r>
    </w:p>
    <w:p w14:paraId="783579AB" w14:textId="77777777" w:rsidR="007E5934" w:rsidRPr="005E779E" w:rsidRDefault="007E593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Лыжи или костюм Осоавиахима (гимнастерка, брюки, фуражка и портупея), готовальня (по выбору) 20</w:t>
      </w:r>
    </w:p>
    <w:p w14:paraId="36898C55" w14:textId="77777777" w:rsidR="007E5934" w:rsidRPr="005E779E" w:rsidRDefault="007E5934"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Коньки или мячи (футбольные, волейбольные, баскетбольные) костюм летний хаки военного образца, безопасная бритва с лезвием, противогаз, спортивный костюм (майка, трусы и спорттуфли) по выбору выигравшего 10 (19739)</w:t>
      </w:r>
    </w:p>
    <w:p w14:paraId="55D9726B" w14:textId="77777777" w:rsidR="007E5934" w:rsidRPr="005E779E" w:rsidRDefault="007E5934" w:rsidP="000B7A6C">
      <w:pPr>
        <w:spacing w:after="0" w:line="240" w:lineRule="auto"/>
        <w:jc w:val="both"/>
        <w:rPr>
          <w:rFonts w:ascii="Times New Roman" w:hAnsi="Times New Roman"/>
          <w:color w:val="000000" w:themeColor="text1"/>
          <w:sz w:val="16"/>
          <w:szCs w:val="16"/>
        </w:rPr>
      </w:pPr>
    </w:p>
    <w:p w14:paraId="12074F09"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Внешняя политика:</w:t>
      </w:r>
    </w:p>
    <w:p w14:paraId="3D6FCFC8"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582F863" w14:textId="77777777" w:rsidR="00360440" w:rsidRPr="005E779E" w:rsidRDefault="003604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в число импортеров советской авиатехники вошел Китай, точнее, его севе</w:t>
      </w:r>
      <w:r w:rsidRPr="005E779E">
        <w:rPr>
          <w:rFonts w:ascii="Times New Roman" w:hAnsi="Times New Roman"/>
          <w:color w:val="000000" w:themeColor="text1"/>
          <w:sz w:val="16"/>
          <w:szCs w:val="16"/>
        </w:rPr>
        <w:softHyphen/>
        <w:t>ро-западная провинция Синьцзян, всегда занимавшая особое место в российско-китай</w:t>
      </w:r>
      <w:r w:rsidRPr="005E779E">
        <w:rPr>
          <w:rFonts w:ascii="Times New Roman" w:hAnsi="Times New Roman"/>
          <w:color w:val="000000" w:themeColor="text1"/>
          <w:sz w:val="16"/>
          <w:szCs w:val="16"/>
        </w:rPr>
        <w:softHyphen/>
        <w:t>ских отношениях и имевшая в тот период стратегическое значение. Обладая протяженной границей с СССР (более 2 тыс. км), Синьцзян открывал путь в глубинные регионы нашей страны, такие как Урал, Западная Сибирь и др. Появление в Западном Китае войск ве</w:t>
      </w:r>
      <w:r w:rsidRPr="005E779E">
        <w:rPr>
          <w:rFonts w:ascii="Times New Roman" w:hAnsi="Times New Roman"/>
          <w:color w:val="000000" w:themeColor="text1"/>
          <w:sz w:val="16"/>
          <w:szCs w:val="16"/>
        </w:rPr>
        <w:softHyphen/>
        <w:t>роятного противника превращало «тыловые» регионы нашей страны в «прифронтовые» и являлось серьёзной угрозой безопасности.</w:t>
      </w:r>
    </w:p>
    <w:p w14:paraId="0C7FA172" w14:textId="77777777" w:rsidR="00360440" w:rsidRPr="005E779E" w:rsidRDefault="003604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Являясь своеобразной буферной зоной между нашими государствами, Синьцзян в 1920-е — 1930-е годы, представлял собой крайне запутанный клубок политических противоречий. Этому, прежде всего, способствовал сложный национальный состав на</w:t>
      </w:r>
      <w:r w:rsidRPr="005E779E">
        <w:rPr>
          <w:rFonts w:ascii="Times New Roman" w:hAnsi="Times New Roman"/>
          <w:color w:val="000000" w:themeColor="text1"/>
          <w:sz w:val="16"/>
          <w:szCs w:val="16"/>
        </w:rPr>
        <w:softHyphen/>
        <w:t>селения, 60% которого составляли уйгуры, тюрки по языку</w:t>
      </w:r>
      <w:r w:rsidRPr="005E779E">
        <w:rPr>
          <w:rStyle w:val="9pt0"/>
          <w:rFonts w:ascii="Times New Roman" w:hAnsi="Times New Roman" w:cs="Times New Roman"/>
          <w:i w:val="0"/>
          <w:color w:val="000000" w:themeColor="text1"/>
          <w:sz w:val="16"/>
          <w:szCs w:val="16"/>
        </w:rPr>
        <w:t xml:space="preserve"> и</w:t>
      </w:r>
      <w:r w:rsidRPr="005E779E">
        <w:rPr>
          <w:rFonts w:ascii="Times New Roman" w:hAnsi="Times New Roman"/>
          <w:color w:val="000000" w:themeColor="text1"/>
          <w:sz w:val="16"/>
          <w:szCs w:val="16"/>
        </w:rPr>
        <w:t xml:space="preserve"> мусульмане по вероиспо</w:t>
      </w:r>
      <w:r w:rsidRPr="005E779E">
        <w:rPr>
          <w:rFonts w:ascii="Times New Roman" w:hAnsi="Times New Roman"/>
          <w:color w:val="000000" w:themeColor="text1"/>
          <w:sz w:val="16"/>
          <w:szCs w:val="16"/>
        </w:rPr>
        <w:softHyphen/>
        <w:t>веданию. Еще более 16% — это монголы и казахи, а этнических китайцев насчитывалось всего лишь 12%. Кроме того, в начале 1930-х годов здесь также проживали более 60 тыс. киргизов, 30 тыс. русских, 20 тыс. таджиков, 15 тыс. узбеков и до 2 тыс. татар.</w:t>
      </w:r>
    </w:p>
    <w:p w14:paraId="17613DBA" w14:textId="77777777" w:rsidR="00360440" w:rsidRPr="005E779E" w:rsidRDefault="003604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После окончания гражданской войны в России здесь оказалось большое количество вы</w:t>
      </w:r>
      <w:r w:rsidRPr="005E779E">
        <w:rPr>
          <w:rFonts w:ascii="Times New Roman" w:hAnsi="Times New Roman"/>
          <w:color w:val="000000" w:themeColor="text1"/>
          <w:sz w:val="16"/>
          <w:szCs w:val="16"/>
        </w:rPr>
        <w:softHyphen/>
        <w:t>тесненных из Средней Азии белогвардейских частей, а также повстанческих отрядов раз</w:t>
      </w:r>
      <w:r w:rsidRPr="005E779E">
        <w:rPr>
          <w:rFonts w:ascii="Times New Roman" w:hAnsi="Times New Roman"/>
          <w:color w:val="000000" w:themeColor="text1"/>
          <w:sz w:val="16"/>
          <w:szCs w:val="16"/>
        </w:rPr>
        <w:softHyphen/>
        <w:t>нообразной политической окраски, а по сути, просто бандитов («хунхузов»), Синьцзян всегда отличали очень сильные сепаратистские настроения, всячески подогреваемые Ве</w:t>
      </w:r>
      <w:r w:rsidRPr="005E779E">
        <w:rPr>
          <w:rFonts w:ascii="Times New Roman" w:hAnsi="Times New Roman"/>
          <w:color w:val="000000" w:themeColor="text1"/>
          <w:sz w:val="16"/>
          <w:szCs w:val="16"/>
        </w:rPr>
        <w:softHyphen/>
        <w:t>ликобританией и Японией и направленные на отделение провинции от остального Китая.</w:t>
      </w:r>
    </w:p>
    <w:p w14:paraId="0889BB9A" w14:textId="77777777" w:rsidR="00360440" w:rsidRPr="005E779E" w:rsidRDefault="00360440"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Стремясь не допустить создания на пограничной территории враждебного СССР бу</w:t>
      </w:r>
      <w:r w:rsidRPr="005E779E">
        <w:rPr>
          <w:rFonts w:ascii="Times New Roman" w:hAnsi="Times New Roman"/>
          <w:color w:val="000000" w:themeColor="text1"/>
          <w:sz w:val="16"/>
          <w:szCs w:val="16"/>
        </w:rPr>
        <w:softHyphen/>
        <w:t>ферного государства, советское правительство в 1921 г. силами Красной Армии и погранотрядов провело в Синьцзяне успешную спецоперацию по ликвидации остатков многочисленных белогвардейских отрядов. При этом особо подчеркивалось, что Со</w:t>
      </w:r>
      <w:r w:rsidRPr="005E779E">
        <w:rPr>
          <w:rFonts w:ascii="Times New Roman" w:hAnsi="Times New Roman"/>
          <w:color w:val="000000" w:themeColor="text1"/>
          <w:sz w:val="16"/>
          <w:szCs w:val="16"/>
        </w:rPr>
        <w:softHyphen/>
        <w:t>ветская Россия не заинтересована в экспорте революции в Западный Китай и не будет поддерживать разного рода националистов и сепаратистов, даже если они выступают под прокоммунистическими лозунгами (15802).</w:t>
      </w:r>
    </w:p>
    <w:p w14:paraId="26EEAACF" w14:textId="77777777" w:rsidR="00360440" w:rsidRPr="005E779E" w:rsidRDefault="00360440" w:rsidP="000B7A6C">
      <w:pPr>
        <w:spacing w:after="0" w:line="240" w:lineRule="auto"/>
        <w:jc w:val="both"/>
        <w:rPr>
          <w:rFonts w:ascii="Times New Roman" w:hAnsi="Times New Roman"/>
          <w:color w:val="000000" w:themeColor="text1"/>
          <w:sz w:val="16"/>
          <w:szCs w:val="16"/>
        </w:rPr>
      </w:pPr>
    </w:p>
    <w:p w14:paraId="2D1B92F4" w14:textId="77777777" w:rsidR="0085477B" w:rsidRPr="005E779E" w:rsidRDefault="0085477B" w:rsidP="000B7A6C">
      <w:pPr>
        <w:spacing w:after="0" w:line="240" w:lineRule="auto"/>
        <w:jc w:val="both"/>
        <w:textAlignment w:val="baseline"/>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В 1931 году в ходе испытаний в Казани окончательно определился аутсайдер программы Großtraktor. Им стал танк Daimler-Benz. Стало понятно, что конструкция его трансмиссии безнадёжна. Танк №41 проехал всего 31 километр, развивая при этом скорость не более 13 км/ч. Связано это было с тем, что передвигаться машина могла только на 1-й – 3-й передачах. Поднимался вопрос об использовании коробки передач от тяжёлых грузовиков, но на эту идею, похоже, махнули рукой. Испытания танков Daimler-Benz на этом закончились окончательно.</w:t>
      </w:r>
    </w:p>
    <w:p w14:paraId="15E1669F" w14:textId="77777777" w:rsidR="0085477B" w:rsidRPr="005E779E" w:rsidRDefault="0085477B" w:rsidP="000B7A6C">
      <w:pPr>
        <w:spacing w:after="0" w:line="240" w:lineRule="auto"/>
        <w:jc w:val="both"/>
        <w:textAlignment w:val="baseline"/>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Ситуация с танками Krupp была непростой, но всё же не настолько безнадёжной. За 1931 год танк №43 прошел 32,5 километра, а танк №44 – 39,1 километр, при этом они развили максимальную скорость 35 и 38 км/ч соответственно. Проблема с пневматическим переключением коробки передач никуда не делась. Имели место неприятности с системой охлаждения. Кроме того, продолжались проблемы с резино-металлическими гусеницами. В качестве эксперимента с них удалили каждую вторую резиновую подушку, но это особо не помогло. На одном из танков Krupp была немного переделана подвеска.</w:t>
      </w:r>
    </w:p>
    <w:p w14:paraId="032A9C49" w14:textId="77777777" w:rsidR="0085477B" w:rsidRPr="005E779E" w:rsidRDefault="0085477B" w:rsidP="000B7A6C">
      <w:pPr>
        <w:spacing w:after="0" w:line="240" w:lineRule="auto"/>
        <w:jc w:val="both"/>
        <w:textAlignment w:val="baseline"/>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Явными фаворитами оставались танки разработки Rheinmetall. Они оказались немного медленнее танков Krupp: машина №45 разгонялась до 30 км/ч, а №46 до 35,5 км/ч. Зато танк №45 преодолел 215 километров, а танк №46 — 181 километр. При этом танк №46 оставался единственным, имевшим башню. Правда, испытания вооружения всё равно почти не проводились. Машины Rheinmetall показали явное превосходство, прежде всего по надёжности. В частности, высокую надёжность продемонстрировала 5-скоростная коробка передач ZF Aphon SFG 280, установленная на одном из танков. Кроме того, на одну из машин поставили новые цельнометаллические гусеничные ленты с пальцевыми подшипниками. Они показали себя гораздо лучше штатной гусеницы. Также в очередной раз была немного переделана подвеска.</w:t>
      </w:r>
    </w:p>
    <w:p w14:paraId="14BA4AAE" w14:textId="77777777" w:rsidR="0085477B" w:rsidRPr="005E779E" w:rsidRDefault="0085477B" w:rsidP="000B7A6C">
      <w:pPr>
        <w:spacing w:after="0" w:line="240" w:lineRule="auto"/>
        <w:jc w:val="both"/>
        <w:textAlignment w:val="baseline"/>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О том, что танки Rheinmetall явно вырвались вперёд, говорит тот факт, что они оказались единственными, которые испытывались на бездорожье. Машина №46 смогла преодолеть ров длиной 3,14 метра, максимальный угол преодолённого подъёма достигал 29 градусов (17713).</w:t>
      </w:r>
    </w:p>
    <w:p w14:paraId="49CFA47E" w14:textId="77777777" w:rsidR="0085477B" w:rsidRPr="005E779E" w:rsidRDefault="0085477B" w:rsidP="000B7A6C">
      <w:pPr>
        <w:spacing w:after="0" w:line="240" w:lineRule="auto"/>
        <w:jc w:val="both"/>
        <w:rPr>
          <w:rFonts w:ascii="Times New Roman" w:hAnsi="Times New Roman"/>
          <w:color w:val="000000" w:themeColor="text1"/>
          <w:sz w:val="16"/>
          <w:szCs w:val="16"/>
        </w:rPr>
      </w:pPr>
    </w:p>
    <w:p w14:paraId="3DE657D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году сотрудник советского торгпредства Глебов заключил контракт с австрийским инженером по фамилии Липпнер с тем, чтобы тот выкрал нефтехимические секреты с завода концерна «И. Г. Фарбен индустри» в Фридрихсхафене.</w:t>
      </w:r>
    </w:p>
    <w:p w14:paraId="48C53D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том же году был арестован коммунистический профсоюзный лидер Э. Штеффен и 25 инженеров с химических заводов «И. Г. Фарбен индустри» во Франкфурте-на-Одере, и Кельне. Они были приговорены судом к различным срокам тюремного заключения (от 4 до 10 месяцев) (Царев О. Вест Найджел: КГБ в Англии. — М., 1999, с. 60—61.) (11765).</w:t>
      </w:r>
    </w:p>
    <w:p w14:paraId="51D478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F10E7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году была разгромлена агентурная сеть Э. Штеффена, которая активно работала на большинстве заводов концерна «И. Г. Фарбен индустри», расположенных по всей стране. В нее входило 25 человек (11765).</w:t>
      </w:r>
    </w:p>
    <w:p w14:paraId="26A003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3B1B50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году в немецкую резидентуру Каминского прибыл разведчик-нелегал Л. Гельфот. В Берлине он устроился на работу ассистентом в клинику известного немецкого профессора. По специальности он был рентгенологом. Работа в клинике давала возможность знакомиться с материалами, связанными с военной медициной, собирать сведения о новых методах лечения раненных в полевых условиях.</w:t>
      </w:r>
    </w:p>
    <w:p w14:paraId="337BEF9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Однако основными источниками его информации были трое агентов из числа немцев, работавших в военно-промышленных концернах и переданных ему на связь.</w:t>
      </w:r>
    </w:p>
    <w:p w14:paraId="34A275D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Гельфоту удалось через них получить значительное количество материалов и образцов, связанных с военной авиацией, электротехникой, приборостроением и химией, для военных целей.</w:t>
      </w:r>
    </w:p>
    <w:p w14:paraId="578F0B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 конце 1933 года он был вынужден перебраться в Париж (11765).</w:t>
      </w:r>
    </w:p>
    <w:p w14:paraId="25C948A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5F437E8" w14:textId="77777777" w:rsidR="00360440" w:rsidRPr="005E779E" w:rsidRDefault="00360440" w:rsidP="000B7A6C">
      <w:pPr>
        <w:pStyle w:val="ae"/>
        <w:spacing w:before="0" w:after="0"/>
        <w:jc w:val="both"/>
        <w:rPr>
          <w:color w:val="000000" w:themeColor="text1"/>
          <w:sz w:val="16"/>
          <w:szCs w:val="16"/>
        </w:rPr>
      </w:pPr>
      <w:r w:rsidRPr="005E779E">
        <w:rPr>
          <w:color w:val="000000" w:themeColor="text1"/>
          <w:sz w:val="16"/>
          <w:szCs w:val="16"/>
        </w:rPr>
        <w:t>В 1931 в Италию была направлена группа морских специалистов. В нее вошли А.Л. Платонов (председатель минной секции Научно-технического комитета УВМС), А.В. Леонов (начальник артиллерийского отдела ТУ), Г.Я. Комаровский (помощник начальника электромеханического отдела ТУ), А.И. Азаров (помощник начальника отдела подводного плавания ТУ), А.И. Берг (председатель секции связи НТК) и В.Н. Перегудов (член кораблестроительной секции НТК). Руководителем группы был назначен начальник ТУ ВМС А.К. Сивков. Пораженный увиденными достижениями итальянской техники в создании корабельных артиллерийских электромеханических счетно-решающих устройств, а также морской оптики, А.К. Сивков писал РА. Муклевичу:</w:t>
      </w:r>
    </w:p>
    <w:p w14:paraId="75119CF0" w14:textId="77777777" w:rsidR="00360440" w:rsidRPr="005E779E" w:rsidRDefault="00360440" w:rsidP="000B7A6C">
      <w:pPr>
        <w:pStyle w:val="ae"/>
        <w:spacing w:before="0" w:after="0"/>
        <w:jc w:val="both"/>
        <w:rPr>
          <w:color w:val="000000" w:themeColor="text1"/>
          <w:sz w:val="16"/>
          <w:szCs w:val="16"/>
        </w:rPr>
      </w:pPr>
      <w:r w:rsidRPr="005E779E">
        <w:rPr>
          <w:color w:val="000000" w:themeColor="text1"/>
          <w:sz w:val="16"/>
          <w:szCs w:val="16"/>
        </w:rPr>
        <w:t>«Вокруг этого дела у нас в СССР было, вероятно, вредительство…»</w:t>
      </w:r>
    </w:p>
    <w:p w14:paraId="3FBEA557" w14:textId="77777777" w:rsidR="00360440" w:rsidRPr="005E779E" w:rsidRDefault="00360440" w:rsidP="000B7A6C">
      <w:pPr>
        <w:pStyle w:val="ae"/>
        <w:spacing w:before="0" w:after="0"/>
        <w:jc w:val="both"/>
        <w:rPr>
          <w:color w:val="000000" w:themeColor="text1"/>
          <w:sz w:val="16"/>
          <w:szCs w:val="16"/>
        </w:rPr>
      </w:pPr>
      <w:r w:rsidRPr="005E779E">
        <w:rPr>
          <w:color w:val="000000" w:themeColor="text1"/>
          <w:sz w:val="16"/>
          <w:szCs w:val="16"/>
        </w:rPr>
        <w:t>Факт наличия электромеханических приборов системы управления огнем на легких итальянских кораблях, не только лидерах, но и эсминцах вызвал у наших специалистов большое удивление и заставил немедленно учесть возможность установки таких приборов на проектируемых кораблях.</w:t>
      </w:r>
    </w:p>
    <w:p w14:paraId="0FD9C1B7" w14:textId="77777777" w:rsidR="00360440" w:rsidRPr="005E779E" w:rsidRDefault="00360440" w:rsidP="000B7A6C">
      <w:pPr>
        <w:pStyle w:val="ae"/>
        <w:spacing w:before="0" w:after="0"/>
        <w:jc w:val="both"/>
        <w:rPr>
          <w:color w:val="000000" w:themeColor="text1"/>
          <w:sz w:val="16"/>
          <w:szCs w:val="16"/>
        </w:rPr>
      </w:pPr>
      <w:r w:rsidRPr="005E779E">
        <w:rPr>
          <w:color w:val="000000" w:themeColor="text1"/>
          <w:sz w:val="16"/>
          <w:szCs w:val="16"/>
        </w:rPr>
        <w:t>Вследствие кризиса в экономике правительственные заказы у итальянцев были сильно урезаны; тем выше была их заинтересованность в советских заказах и откровенность в показе своих достижений. В отчете Наркомвоенмору руководитель комиссии А.К. Сивков писал: «…Нам были показаны детальные чертежи антенной мины, так называемой «Италия Б»… дано секретное описание приборов центральной наводки артиллерии, показаны аэроустановки (зенитные орудия. – Примеч. авт.) системы Минизини. В Министерстве нам были также показаны подлинные договоры на поставку торпед и сообщены цены, которые платит Министерство ». Во время осмотров беспрепятственно разрешалось делать записи, по просьбе наших специалистов в их блокнотах сопровождающие лица выполняли схемы и рисунки.</w:t>
      </w:r>
    </w:p>
    <w:p w14:paraId="2FE94B6B" w14:textId="77777777" w:rsidR="00360440" w:rsidRPr="005E779E" w:rsidRDefault="00360440" w:rsidP="000B7A6C">
      <w:pPr>
        <w:pStyle w:val="ae"/>
        <w:spacing w:before="0" w:after="0"/>
        <w:jc w:val="both"/>
        <w:rPr>
          <w:color w:val="000000" w:themeColor="text1"/>
          <w:sz w:val="16"/>
          <w:szCs w:val="16"/>
        </w:rPr>
      </w:pPr>
      <w:r w:rsidRPr="005E779E">
        <w:rPr>
          <w:color w:val="000000" w:themeColor="text1"/>
          <w:sz w:val="16"/>
          <w:szCs w:val="16"/>
        </w:rPr>
        <w:t>4 октября 1931 А.К. Сивков и А.И. Берг приняли участие в учебной атаке торпедных катеров M.A.S., базировавшихся на Специю.</w:t>
      </w:r>
    </w:p>
    <w:p w14:paraId="23FF1BB8" w14:textId="77777777" w:rsidR="00360440" w:rsidRPr="005E779E" w:rsidRDefault="00360440" w:rsidP="000B7A6C">
      <w:pPr>
        <w:pStyle w:val="ae"/>
        <w:spacing w:before="0" w:after="0"/>
        <w:jc w:val="both"/>
        <w:rPr>
          <w:color w:val="000000" w:themeColor="text1"/>
          <w:sz w:val="16"/>
          <w:szCs w:val="16"/>
        </w:rPr>
      </w:pPr>
      <w:r w:rsidRPr="005E779E">
        <w:rPr>
          <w:color w:val="000000" w:themeColor="text1"/>
          <w:sz w:val="16"/>
          <w:szCs w:val="16"/>
        </w:rPr>
        <w:t>ПУАО двух итальянских фирм – «San-Giorgio» и «Gallileo» («Централи», как назывались ПУАО в итальянском флоте) тщательно изучались членами группы как наиболее вероятные объекты заказа. Их приобретение для заложенных лидеров проекта-1 давало возможность, используя их как образцы, создать в короткие, соизмеримые со сроками строительства кораблей, производство собственных ПУАО.</w:t>
      </w:r>
    </w:p>
    <w:p w14:paraId="0CD71F23" w14:textId="77777777" w:rsidR="00360440" w:rsidRPr="005E779E" w:rsidRDefault="00360440" w:rsidP="000B7A6C">
      <w:pPr>
        <w:pStyle w:val="ae"/>
        <w:spacing w:before="0" w:after="0"/>
        <w:jc w:val="both"/>
        <w:rPr>
          <w:color w:val="000000" w:themeColor="text1"/>
          <w:sz w:val="16"/>
          <w:szCs w:val="16"/>
        </w:rPr>
      </w:pPr>
      <w:r w:rsidRPr="005E779E">
        <w:rPr>
          <w:color w:val="000000" w:themeColor="text1"/>
          <w:sz w:val="16"/>
          <w:szCs w:val="16"/>
        </w:rPr>
        <w:t>В докладе НВМС руководитель группы советских специалистов подтвердил свое мнение:</w:t>
      </w:r>
    </w:p>
    <w:p w14:paraId="33D24B85" w14:textId="77777777" w:rsidR="00360440" w:rsidRPr="005E779E" w:rsidRDefault="00360440" w:rsidP="000B7A6C">
      <w:pPr>
        <w:pStyle w:val="ae"/>
        <w:spacing w:before="0" w:after="0"/>
        <w:jc w:val="both"/>
        <w:rPr>
          <w:color w:val="000000" w:themeColor="text1"/>
          <w:sz w:val="16"/>
          <w:szCs w:val="16"/>
        </w:rPr>
      </w:pPr>
      <w:r w:rsidRPr="005E779E">
        <w:rPr>
          <w:color w:val="000000" w:themeColor="text1"/>
          <w:sz w:val="16"/>
          <w:szCs w:val="16"/>
        </w:rPr>
        <w:t>«Я полагал бы необходимым купить у «Gallileo» приборы для наших новых эсминцев [лидеров пр.-1] с тем, чтобы при технической помощи «Оаййео» поставить в дальнейшем производство «централей» у нас».</w:t>
      </w:r>
    </w:p>
    <w:p w14:paraId="25A803EF" w14:textId="77777777" w:rsidR="00360440" w:rsidRPr="005E779E" w:rsidRDefault="00360440" w:rsidP="000B7A6C">
      <w:pPr>
        <w:pStyle w:val="ae"/>
        <w:spacing w:before="0" w:after="0"/>
        <w:jc w:val="both"/>
        <w:rPr>
          <w:color w:val="000000" w:themeColor="text1"/>
          <w:sz w:val="16"/>
          <w:szCs w:val="16"/>
        </w:rPr>
      </w:pPr>
      <w:r w:rsidRPr="005E779E">
        <w:rPr>
          <w:color w:val="000000" w:themeColor="text1"/>
          <w:sz w:val="16"/>
          <w:szCs w:val="16"/>
        </w:rPr>
        <w:t>Реввоенсовет СССР, заслушав сообщение РА. Муклевича, постановил: «РВСС считает целесообразным заказать два таких прибора для двух новых эсминцев и один для промышленности, всего на 750 тысяч руб., добившись на эту сумму и техпомощи».</w:t>
      </w:r>
    </w:p>
    <w:p w14:paraId="39ABC0C4" w14:textId="77777777" w:rsidR="00360440" w:rsidRPr="005E779E" w:rsidRDefault="00360440" w:rsidP="000B7A6C">
      <w:pPr>
        <w:pStyle w:val="ae"/>
        <w:spacing w:before="0" w:after="0"/>
        <w:jc w:val="both"/>
        <w:rPr>
          <w:color w:val="000000" w:themeColor="text1"/>
          <w:sz w:val="16"/>
          <w:szCs w:val="16"/>
        </w:rPr>
      </w:pPr>
      <w:r w:rsidRPr="005E779E">
        <w:rPr>
          <w:color w:val="000000" w:themeColor="text1"/>
          <w:sz w:val="16"/>
          <w:szCs w:val="16"/>
        </w:rPr>
        <w:t>Помимо приборов управления артогнем из конкретных объектов возможного заказа наибольший интерес у советских специалистов вызвали торпеды завода «Whitehead» калибров 450 и 533 мм и зенитные артиллерийские установки системы Минизини. Причины такого внимания заключались в неблагополучном положении с этими видами военно-морской техники в СССР.</w:t>
      </w:r>
    </w:p>
    <w:p w14:paraId="0D0EE9FC" w14:textId="77777777" w:rsidR="00360440" w:rsidRPr="005E779E" w:rsidRDefault="00360440" w:rsidP="000B7A6C">
      <w:pPr>
        <w:pStyle w:val="ae"/>
        <w:spacing w:before="0" w:after="0"/>
        <w:jc w:val="both"/>
        <w:rPr>
          <w:color w:val="000000" w:themeColor="text1"/>
          <w:sz w:val="16"/>
          <w:szCs w:val="16"/>
        </w:rPr>
      </w:pPr>
      <w:r w:rsidRPr="005E779E">
        <w:rPr>
          <w:color w:val="000000" w:themeColor="text1"/>
          <w:sz w:val="16"/>
          <w:szCs w:val="16"/>
        </w:rPr>
        <w:t>Спаренные 100-мм зенитные артустановки адмирала Дж. Минизини (G. Minizini), имевшие хорошие баллистические характеристики, представлялись нашим артиллеристам пригодными для вооружения. Покупка нескольких таких итальянских АУ позволяла в плановые сроки ввести в строй находившийся в достройке на Николаевском госзаводе имени А. Марти крейсер «Красный Кавказ» – наиболее современную боевую единицу ВМС РККА.</w:t>
      </w:r>
    </w:p>
    <w:p w14:paraId="103326AA" w14:textId="77777777" w:rsidR="00360440" w:rsidRPr="005E779E" w:rsidRDefault="00360440" w:rsidP="000B7A6C">
      <w:pPr>
        <w:pStyle w:val="ae"/>
        <w:spacing w:before="0" w:after="0"/>
        <w:jc w:val="both"/>
        <w:rPr>
          <w:color w:val="000000" w:themeColor="text1"/>
          <w:sz w:val="16"/>
          <w:szCs w:val="16"/>
        </w:rPr>
      </w:pPr>
      <w:r w:rsidRPr="005E779E">
        <w:rPr>
          <w:color w:val="000000" w:themeColor="text1"/>
          <w:sz w:val="16"/>
          <w:szCs w:val="16"/>
        </w:rPr>
        <w:t>Так появились у нас в стране итальянские «централи». Работа по их воспроизведению под шифром «Мина-7» в СКБ завода ленинградского завода № 212 («Электроприбор») началась только в 1936 г., позже начала строительства кораблей. Руководить этой работой был назначен еще более молодой, чем А.И. Шокин, 25-летний Сергей Федорович Фармаковский.</w:t>
      </w:r>
    </w:p>
    <w:p w14:paraId="155F117D" w14:textId="77777777" w:rsidR="00360440" w:rsidRPr="005E779E" w:rsidRDefault="00360440" w:rsidP="000B7A6C">
      <w:pPr>
        <w:pStyle w:val="ae"/>
        <w:spacing w:before="0" w:after="0"/>
        <w:jc w:val="both"/>
        <w:rPr>
          <w:color w:val="000000" w:themeColor="text1"/>
          <w:sz w:val="16"/>
          <w:szCs w:val="16"/>
        </w:rPr>
      </w:pPr>
      <w:r w:rsidRPr="005E779E">
        <w:rPr>
          <w:color w:val="000000" w:themeColor="text1"/>
          <w:sz w:val="16"/>
          <w:szCs w:val="16"/>
        </w:rPr>
        <w:t>Центральный автомат стрельбы «Мины-7» ЦАС-2, располагавшийся для меньшей уязвимости в бою в самом низу эсминца, был сложнейшим электромеханическим вычислительным устройством на механической системе элементов (l-е поколение) весом три тонны. Данные к нему поступали от командно-дальномерного поста (КДП), расположенного на высоте метров пятнадцати над водой. Здесь располагались два четырехметровых дальномера ДМ-4 для определения дистанции до цели, визир центральной наводки ВМЦ-2 для определения курсового угла цели, а еще здесь был и визир наклона цапф стволов орудий (ВНЦ). Наличие последнего, с помощью которого следили за горизонтом, позволяло стабилизировать орудия при качке корабля. Выработанные автоматом стрельбы данные передавались синхронно-силовой передаче на принимающие приборы артиллерийских орудий Б-13, а дальше наводчики вручную совмещали их стрелки и циферблаты. Вся система «Мина-7» весила 11 300 кг (13 350 кг вместе с кабелями) (15736).</w:t>
      </w:r>
    </w:p>
    <w:p w14:paraId="7B2EB80E" w14:textId="77777777" w:rsidR="00360440" w:rsidRPr="005E779E" w:rsidRDefault="00360440" w:rsidP="000B7A6C">
      <w:pPr>
        <w:pStyle w:val="ae"/>
        <w:spacing w:before="0" w:after="0"/>
        <w:jc w:val="both"/>
        <w:rPr>
          <w:color w:val="000000" w:themeColor="text1"/>
          <w:sz w:val="16"/>
          <w:szCs w:val="16"/>
        </w:rPr>
      </w:pPr>
    </w:p>
    <w:p w14:paraId="4A57F48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году в Австрии сотрудник внешней разведки X. И. Салнынь и разведчик-нелегал Винаров смогли завербовать молодого болгарского полицейского, проходившего обучение в местной пожарной школе и получившего оперативный псевдоним Z-9. С его помощью в Центр были направлены материалы о новых немецких противогазах и результатах их испытаний, приближенных к боевым (Прохоров Д. Король диверсий. — «Секретные материалы», 2001, №3(47).) (11765).</w:t>
      </w:r>
    </w:p>
    <w:p w14:paraId="2B4C102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0142B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Надир узаконил свою власть в Афганистане, добившись принятия новой конституции умеренно-консервативного характера. Однако и новый режим, по сути дела, продолжил во внешней политике линию нейтрализма. Кабул старательно избегал осложнений в отношениях с Великобританией. Но и с Советским Союзом афганское правительство стремилось сохранять дружелюбные отношения (3871).</w:t>
      </w:r>
    </w:p>
    <w:p w14:paraId="40C30E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611DF6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едва укрепившись в Кабуле, Надир-шах пошел на достижение договоренности с СССР относительно басмаческих отрядов на афганской территории. Поскольку во внутриафганской войне лидеры басмачей поддерживали таджика и мятежника Бачаи Сакао, Надир-шах имел основания желать их устранения с внутриафганской политической арены. В этом смысле его интересы были параллельны пожеланиям Москвы (3871).</w:t>
      </w:r>
    </w:p>
    <w:p w14:paraId="46B39A3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33084E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между СССР и Афганистаном был заключен новый договор о нейтралитете, в основном повторивший условия аналогичного договора 1926 г. Бухарский эмир Саид Алим-хан умер в эмиграции в Кабуле в 1936 году (3871).</w:t>
      </w:r>
    </w:p>
    <w:p w14:paraId="27685A7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963E730"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38A919B8"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4A4C764B" w14:textId="77777777" w:rsidR="0085477B" w:rsidRPr="005E779E" w:rsidRDefault="0085477B"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В 1931 г. русский эмигрант Иван Махонин построил во Франции моноплан Мак-10 с раздвижным крылом телескопической конструкции. Выдвигаемые с помощью ручного привода консоли позволяли увеличить размах с 13 до 21 м, при этом площадь крыла возрастала в полтора раза. Самолёт испытывали несколько лет с разными двигателями, но изобретателю так и не удалось заинтересовать авиапромышленников.</w:t>
      </w:r>
    </w:p>
    <w:p w14:paraId="7262FBE7" w14:textId="77777777" w:rsidR="0085477B" w:rsidRPr="005E779E" w:rsidRDefault="0085477B"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Когда Мак-10 только начинал проходить испытания, в СССР также приступили к проектированию самолёта с крылом изменяемой в полёте площади. Этот проект разработал выпускник Ленинградского института инженеров Гражданского воздушного флота Григорий Иванович Бакшаев. В отличие от Махонина, Бакшаев предлагал увеличивать не размах, а ширину крыла. Для этого из обтекателей по бокам фюзеляжа на основное крыло должны были выдвигаться внешние секции — по несколько на каждую консоль (17489).</w:t>
      </w:r>
    </w:p>
    <w:p w14:paraId="5A66B2E5" w14:textId="77777777" w:rsidR="0085477B" w:rsidRPr="005E779E" w:rsidRDefault="0085477B" w:rsidP="000B7A6C">
      <w:pPr>
        <w:spacing w:after="0" w:line="240" w:lineRule="auto"/>
        <w:jc w:val="both"/>
        <w:rPr>
          <w:rFonts w:ascii="Times New Roman" w:eastAsia="Times New Roman" w:hAnsi="Times New Roman"/>
          <w:color w:val="000000" w:themeColor="text1"/>
          <w:sz w:val="16"/>
          <w:szCs w:val="16"/>
          <w:lang w:eastAsia="ru-RU"/>
        </w:rPr>
      </w:pPr>
    </w:p>
    <w:p w14:paraId="16DA975B" w14:textId="77777777" w:rsidR="0085477B" w:rsidRPr="005E779E" w:rsidRDefault="0085477B" w:rsidP="000B7A6C">
      <w:pPr>
        <w:spacing w:after="0" w:line="240" w:lineRule="auto"/>
        <w:jc w:val="both"/>
        <w:rPr>
          <w:rFonts w:ascii="Times New Roman" w:eastAsia="Times New Roman" w:hAnsi="Times New Roman"/>
          <w:color w:val="000000" w:themeColor="text1"/>
          <w:sz w:val="16"/>
          <w:szCs w:val="16"/>
          <w:lang w:eastAsia="ru-RU"/>
        </w:rPr>
      </w:pPr>
      <w:r w:rsidRPr="005E779E">
        <w:rPr>
          <w:rFonts w:ascii="Times New Roman" w:eastAsia="Times New Roman" w:hAnsi="Times New Roman"/>
          <w:color w:val="000000" w:themeColor="text1"/>
          <w:sz w:val="16"/>
          <w:szCs w:val="16"/>
          <w:lang w:eastAsia="ru-RU"/>
        </w:rPr>
        <w:t xml:space="preserve">В 1931 г. русский эмигрант Н. Медведев разработал в США биплан-моноплан. Нижнее крыло крепилось к фюзеляжу на шарнирах. Задний шарнир мог перемещаться по дуге на боковой стенке фюзеляжа. При этом благодаря специальной стойке между верхним и нижним крылом последнее отклонялось вверх и плотно прижималось к бокам фюзеляжа. Работы ограничились постройкой демонстрационной модели самолёта </w:t>
      </w:r>
      <w:hyperlink r:id="rId245" w:history="1">
        <w:r w:rsidRPr="005E779E">
          <w:rPr>
            <w:rFonts w:ascii="Times New Roman" w:eastAsia="Times New Roman" w:hAnsi="Times New Roman"/>
            <w:color w:val="000000" w:themeColor="text1"/>
            <w:sz w:val="16"/>
            <w:szCs w:val="16"/>
            <w:lang w:eastAsia="ru-RU"/>
          </w:rPr>
          <w:t>[303]</w:t>
        </w:r>
      </w:hyperlink>
      <w:r w:rsidRPr="005E779E">
        <w:rPr>
          <w:rFonts w:ascii="Times New Roman" w:eastAsia="Times New Roman" w:hAnsi="Times New Roman"/>
          <w:color w:val="000000" w:themeColor="text1"/>
          <w:sz w:val="16"/>
          <w:szCs w:val="16"/>
          <w:lang w:eastAsia="ru-RU"/>
        </w:rPr>
        <w:t xml:space="preserve"> (17489).</w:t>
      </w:r>
    </w:p>
    <w:p w14:paraId="5AED3820" w14:textId="77777777" w:rsidR="0085477B" w:rsidRPr="005E779E" w:rsidRDefault="0085477B" w:rsidP="000B7A6C">
      <w:pPr>
        <w:spacing w:after="0" w:line="240" w:lineRule="auto"/>
        <w:jc w:val="both"/>
        <w:rPr>
          <w:rFonts w:ascii="Times New Roman" w:eastAsia="Times New Roman" w:hAnsi="Times New Roman"/>
          <w:color w:val="000000" w:themeColor="text1"/>
          <w:sz w:val="16"/>
          <w:szCs w:val="16"/>
          <w:lang w:eastAsia="ru-RU"/>
        </w:rPr>
      </w:pPr>
    </w:p>
    <w:p w14:paraId="598F1B0F" w14:textId="77777777" w:rsidR="00496ABD" w:rsidRPr="005E779E" w:rsidRDefault="00496ABD"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1931 года действовала международная авиатрасса, которая проходила через Львов на Бухарест (Румыния) и далее через Софию (Болгария) в Салоники (Греция). В 1932 году был открыт самый дальний авиационный маршрут довоенной Польши, пересекавший границы шести держав и проходивший через Львов: Таллин (Эстония) - Рига (Латвия) - Варшава (Польша) - Львов - Бухарест - София - Салоники. В 1936 году эту линию продлили до Афин, а в 1937 году через остров Родос (Греция) в аэропорт Лидда (Палестина). Затем через Таллин линию продлили до столицы Финляндии, города Хельсинки, а через Лидду в Бейрут в Ливане. Так возникла самая длинная в Европе воздушная трасса, одним и пунктов которой был Львов (12298).</w:t>
      </w:r>
    </w:p>
    <w:p w14:paraId="620DFCD1" w14:textId="77777777" w:rsidR="00496ABD" w:rsidRPr="005E779E" w:rsidRDefault="00496ABD" w:rsidP="000B7A6C">
      <w:pPr>
        <w:autoSpaceDE w:val="0"/>
        <w:autoSpaceDN w:val="0"/>
        <w:adjustRightInd w:val="0"/>
        <w:spacing w:after="0" w:line="240" w:lineRule="auto"/>
        <w:jc w:val="both"/>
        <w:rPr>
          <w:rFonts w:ascii="Times New Roman" w:hAnsi="Times New Roman"/>
          <w:color w:val="000000" w:themeColor="text1"/>
          <w:sz w:val="16"/>
          <w:szCs w:val="16"/>
        </w:rPr>
      </w:pPr>
    </w:p>
    <w:p w14:paraId="4DA8CD1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г. министр иностранных дел Чили А.Планета выступил с предложением организовать финансовый и таможенный союз стран Южной Америки, исключив из него Соединенные Штаты (3871).</w:t>
      </w:r>
    </w:p>
    <w:p w14:paraId="5FD1E70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12986C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в США фирма Шик выпустила в продажу электробритвы (3907,171).</w:t>
      </w:r>
    </w:p>
    <w:p w14:paraId="7C8B3C3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491F5E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в США Шевроле произвела первый автомобиль-пикап (3907,171).</w:t>
      </w:r>
    </w:p>
    <w:p w14:paraId="6E9281C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58A266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 в США было изобретено средство от похмелья Алко-Зельцер (3907,171).</w:t>
      </w:r>
    </w:p>
    <w:p w14:paraId="1FF03FB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5EC94AD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В 1931 в США начали применять фреон в аэрозолях (3907,171).</w:t>
      </w:r>
    </w:p>
    <w:p w14:paraId="6B47E6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0686D62"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Авиапромышленность:</w:t>
      </w:r>
    </w:p>
    <w:p w14:paraId="013924D8"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0847169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1931-1937 А.А.Туржанский командовал 8-й и 9-й авиабригадами в Киевском и Белорусском военном округах. Под его руководством и при его личном участии были разработаны и внедрены в практику боевой подготовки эффективные тактические приемы действий штурмовой авиации и усовершенствованию ее вооружения (501,153).</w:t>
      </w:r>
    </w:p>
    <w:p w14:paraId="2A3A41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Главное состояло в смелом переходе штурмовиков к действиям с предельно малых высот. Полет на малых высотах резко повышал возможности самолетов по преодолению ПВО и обеспечивал внезапность нанесения ударов. Поэтому А.А.Туржанский существенное внимание уделял разработке методов выхода штурмовой авиации в район боевых действий и поиска целей на малых высотах (501,153).</w:t>
      </w:r>
    </w:p>
    <w:p w14:paraId="17E041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Большая работа велась и по изысканию целесообразных боевых порядков штурмовиков и способов применения различного оружия. В частности, по предложению комэска Д.Э.Шумского штурмовики стали применять боевой порядок "змейка" (501,153).</w:t>
      </w:r>
    </w:p>
    <w:p w14:paraId="11490BE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вооружении штурмовых частей был Р-5ЛШ и на него по предложению и 8-й бригады Е.И.Павлова на крылья вместо одиночных стали ставить спаренные пулеметы, а А.А.Туржанский предложил втрое увеличить количество бомбодержателей (501,154).</w:t>
      </w:r>
    </w:p>
    <w:p w14:paraId="3A5AAED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43F251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1931—1932 гг. по заданию УВМС РККА специально образо</w:t>
      </w:r>
      <w:r w:rsidRPr="005E779E">
        <w:rPr>
          <w:rFonts w:ascii="Times New Roman" w:hAnsi="Times New Roman"/>
          <w:color w:val="000000" w:themeColor="text1"/>
          <w:sz w:val="16"/>
          <w:szCs w:val="16"/>
        </w:rPr>
        <w:softHyphen/>
        <w:t>ванным ЦКБ авиапромышленности бьш создан палубный штурмо</w:t>
      </w:r>
      <w:r w:rsidRPr="005E779E">
        <w:rPr>
          <w:rFonts w:ascii="Times New Roman" w:hAnsi="Times New Roman"/>
          <w:color w:val="000000" w:themeColor="text1"/>
          <w:sz w:val="16"/>
          <w:szCs w:val="16"/>
        </w:rPr>
        <w:softHyphen/>
        <w:t>вик особого назначения (ШОН). Самолет проектировался на базе известного Р-5 и имел складывающиеся крьшья (размах верхнего 15,5 м) и полетную массу несколько более 3000 кг. Самолет про</w:t>
      </w:r>
      <w:r w:rsidRPr="005E779E">
        <w:rPr>
          <w:rFonts w:ascii="Times New Roman" w:hAnsi="Times New Roman"/>
          <w:color w:val="000000" w:themeColor="text1"/>
          <w:sz w:val="16"/>
          <w:szCs w:val="16"/>
        </w:rPr>
        <w:softHyphen/>
        <w:t>шел испытания, но не бьш принят, так как "надобность в нем прошла". Именно в это время слово "авианосец", как и слово "линкор", на несколько лет исчезло из лексикона наших военных моряков (3898).</w:t>
      </w:r>
    </w:p>
    <w:p w14:paraId="4227A06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05410D1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1931-1932 проводились опыты по применению ракетных ускорителей для взлета АНТ-4 с Комендантского аэродрома в Ленинграде. Разработка - ГДЛ (91,35).</w:t>
      </w:r>
    </w:p>
    <w:p w14:paraId="1D3BF4E4" w14:textId="77777777" w:rsidR="002629BF" w:rsidRPr="005E779E" w:rsidRDefault="002629BF" w:rsidP="000B7A6C">
      <w:pPr>
        <w:spacing w:after="0" w:line="240" w:lineRule="auto"/>
        <w:jc w:val="both"/>
        <w:rPr>
          <w:rFonts w:ascii="Times New Roman" w:hAnsi="Times New Roman"/>
          <w:color w:val="000000" w:themeColor="text1"/>
          <w:sz w:val="16"/>
          <w:szCs w:val="16"/>
          <w:lang w:eastAsia="ru-RU" w:bidi="ru-RU"/>
        </w:rPr>
      </w:pPr>
    </w:p>
    <w:p w14:paraId="221E525A" w14:textId="248F0192" w:rsidR="00EB31F4" w:rsidRPr="005E779E" w:rsidRDefault="00EB31F4" w:rsidP="000B7A6C">
      <w:pPr>
        <w:spacing w:after="0" w:line="240" w:lineRule="auto"/>
        <w:jc w:val="both"/>
        <w:rPr>
          <w:rFonts w:ascii="Times New Roman" w:hAnsi="Times New Roman"/>
          <w:color w:val="000000" w:themeColor="text1"/>
          <w:sz w:val="16"/>
          <w:szCs w:val="16"/>
          <w:lang w:eastAsia="ru-RU" w:bidi="ru-RU"/>
        </w:rPr>
      </w:pPr>
      <w:r w:rsidRPr="005E779E">
        <w:rPr>
          <w:rFonts w:ascii="Times New Roman" w:hAnsi="Times New Roman"/>
          <w:color w:val="000000" w:themeColor="text1"/>
          <w:sz w:val="16"/>
          <w:szCs w:val="16"/>
          <w:lang w:eastAsia="ru-RU" w:bidi="ru-RU"/>
        </w:rPr>
        <w:t>Производство самолетов на таганрогском заводе №31 в 1931-1937 гг.</w:t>
      </w:r>
    </w:p>
    <w:p w14:paraId="5E83CA80" w14:textId="77777777" w:rsidR="002629BF" w:rsidRPr="005E779E" w:rsidRDefault="002629BF"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ab/>
        <w:t>1931</w:t>
      </w:r>
      <w:r w:rsidRPr="005E779E">
        <w:rPr>
          <w:rFonts w:ascii="Times New Roman" w:hAnsi="Times New Roman"/>
          <w:color w:val="000000" w:themeColor="text1"/>
          <w:sz w:val="16"/>
          <w:szCs w:val="16"/>
        </w:rPr>
        <w:tab/>
        <w:t>1932</w:t>
      </w:r>
      <w:r w:rsidRPr="005E779E">
        <w:rPr>
          <w:rFonts w:ascii="Times New Roman" w:hAnsi="Times New Roman"/>
          <w:color w:val="000000" w:themeColor="text1"/>
          <w:sz w:val="16"/>
          <w:szCs w:val="16"/>
        </w:rPr>
        <w:tab/>
        <w:t>1933</w:t>
      </w:r>
      <w:r w:rsidRPr="005E779E">
        <w:rPr>
          <w:rFonts w:ascii="Times New Roman" w:hAnsi="Times New Roman"/>
          <w:color w:val="000000" w:themeColor="text1"/>
          <w:sz w:val="16"/>
          <w:szCs w:val="16"/>
        </w:rPr>
        <w:tab/>
        <w:t>1934</w:t>
      </w:r>
      <w:r w:rsidRPr="005E779E">
        <w:rPr>
          <w:rFonts w:ascii="Times New Roman" w:hAnsi="Times New Roman"/>
          <w:color w:val="000000" w:themeColor="text1"/>
          <w:sz w:val="16"/>
          <w:szCs w:val="16"/>
        </w:rPr>
        <w:tab/>
        <w:t>1935</w:t>
      </w:r>
      <w:r w:rsidRPr="005E779E">
        <w:rPr>
          <w:rFonts w:ascii="Times New Roman" w:hAnsi="Times New Roman"/>
          <w:color w:val="000000" w:themeColor="text1"/>
          <w:sz w:val="16"/>
          <w:szCs w:val="16"/>
        </w:rPr>
        <w:tab/>
        <w:t>1936</w:t>
      </w:r>
      <w:r w:rsidRPr="005E779E">
        <w:rPr>
          <w:rFonts w:ascii="Times New Roman" w:hAnsi="Times New Roman"/>
          <w:color w:val="000000" w:themeColor="text1"/>
          <w:sz w:val="16"/>
          <w:szCs w:val="16"/>
        </w:rPr>
        <w:tab/>
        <w:t>1937</w:t>
      </w:r>
      <w:r w:rsidRPr="005E779E">
        <w:rPr>
          <w:rFonts w:ascii="Times New Roman" w:hAnsi="Times New Roman"/>
          <w:color w:val="000000" w:themeColor="text1"/>
          <w:sz w:val="16"/>
          <w:szCs w:val="16"/>
        </w:rPr>
        <w:tab/>
        <w:t>Всего</w:t>
      </w:r>
    </w:p>
    <w:p w14:paraId="00FC7429" w14:textId="77777777" w:rsidR="002629BF" w:rsidRPr="005E779E" w:rsidRDefault="002629BF"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Р-1</w:t>
      </w:r>
      <w:r w:rsidRPr="005E779E">
        <w:rPr>
          <w:rFonts w:ascii="Times New Roman" w:hAnsi="Times New Roman"/>
          <w:color w:val="000000" w:themeColor="text1"/>
          <w:sz w:val="16"/>
          <w:szCs w:val="16"/>
        </w:rPr>
        <w:tab/>
        <w:t>303</w:t>
      </w:r>
      <w:r w:rsidRPr="005E779E">
        <w:rPr>
          <w:rFonts w:ascii="Times New Roman" w:hAnsi="Times New Roman"/>
          <w:color w:val="000000" w:themeColor="text1"/>
          <w:sz w:val="16"/>
          <w:szCs w:val="16"/>
        </w:rPr>
        <w:tab/>
        <w:t>2</w:t>
      </w:r>
      <w:r w:rsidRPr="005E779E">
        <w:rPr>
          <w:rFonts w:ascii="Times New Roman" w:hAnsi="Times New Roman"/>
          <w:color w:val="000000" w:themeColor="text1"/>
          <w:sz w:val="16"/>
          <w:szCs w:val="16"/>
        </w:rPr>
        <w:tab/>
        <w:t>-</w:t>
      </w:r>
      <w:r w:rsidRPr="005E779E">
        <w:rPr>
          <w:rFonts w:ascii="Times New Roman" w:hAnsi="Times New Roman"/>
          <w:color w:val="000000" w:themeColor="text1"/>
          <w:sz w:val="16"/>
          <w:szCs w:val="16"/>
        </w:rPr>
        <w:tab/>
      </w:r>
      <w:r w:rsidRPr="005E779E">
        <w:rPr>
          <w:rFonts w:ascii="Times New Roman" w:hAnsi="Times New Roman"/>
          <w:color w:val="000000" w:themeColor="text1"/>
          <w:sz w:val="16"/>
          <w:szCs w:val="16"/>
        </w:rPr>
        <w:tab/>
        <w:t>-</w:t>
      </w:r>
      <w:r w:rsidRPr="005E779E">
        <w:rPr>
          <w:rFonts w:ascii="Times New Roman" w:hAnsi="Times New Roman"/>
          <w:color w:val="000000" w:themeColor="text1"/>
          <w:sz w:val="16"/>
          <w:szCs w:val="16"/>
        </w:rPr>
        <w:tab/>
        <w:t>-</w:t>
      </w:r>
      <w:r w:rsidRPr="005E779E">
        <w:rPr>
          <w:rFonts w:ascii="Times New Roman" w:hAnsi="Times New Roman"/>
          <w:color w:val="000000" w:themeColor="text1"/>
          <w:sz w:val="16"/>
          <w:szCs w:val="16"/>
        </w:rPr>
        <w:tab/>
        <w:t>-</w:t>
      </w:r>
      <w:r w:rsidRPr="005E779E">
        <w:rPr>
          <w:rFonts w:ascii="Times New Roman" w:hAnsi="Times New Roman"/>
          <w:color w:val="000000" w:themeColor="text1"/>
          <w:sz w:val="16"/>
          <w:szCs w:val="16"/>
        </w:rPr>
        <w:tab/>
        <w:t>305</w:t>
      </w:r>
    </w:p>
    <w:p w14:paraId="7000EC55" w14:textId="77777777" w:rsidR="002629BF" w:rsidRPr="005E779E" w:rsidRDefault="002629BF"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Р-5</w:t>
      </w:r>
      <w:r w:rsidRPr="005E779E">
        <w:rPr>
          <w:rFonts w:ascii="Times New Roman" w:hAnsi="Times New Roman"/>
          <w:color w:val="000000" w:themeColor="text1"/>
          <w:sz w:val="16"/>
          <w:szCs w:val="16"/>
        </w:rPr>
        <w:tab/>
        <w:t>5</w:t>
      </w:r>
      <w:r w:rsidRPr="005E779E">
        <w:rPr>
          <w:rFonts w:ascii="Times New Roman" w:hAnsi="Times New Roman"/>
          <w:color w:val="000000" w:themeColor="text1"/>
          <w:sz w:val="16"/>
          <w:szCs w:val="16"/>
        </w:rPr>
        <w:tab/>
        <w:t>-</w:t>
      </w:r>
      <w:r w:rsidRPr="005E779E">
        <w:rPr>
          <w:rFonts w:ascii="Times New Roman" w:hAnsi="Times New Roman"/>
          <w:color w:val="000000" w:themeColor="text1"/>
          <w:sz w:val="16"/>
          <w:szCs w:val="16"/>
        </w:rPr>
        <w:tab/>
        <w:t>-</w:t>
      </w:r>
      <w:r w:rsidRPr="005E779E">
        <w:rPr>
          <w:rFonts w:ascii="Times New Roman" w:hAnsi="Times New Roman"/>
          <w:color w:val="000000" w:themeColor="text1"/>
          <w:sz w:val="16"/>
          <w:szCs w:val="16"/>
        </w:rPr>
        <w:tab/>
        <w:t>-</w:t>
      </w:r>
      <w:r w:rsidRPr="005E779E">
        <w:rPr>
          <w:rFonts w:ascii="Times New Roman" w:hAnsi="Times New Roman"/>
          <w:color w:val="000000" w:themeColor="text1"/>
          <w:sz w:val="16"/>
          <w:szCs w:val="16"/>
        </w:rPr>
        <w:tab/>
        <w:t>-</w:t>
      </w:r>
      <w:r w:rsidRPr="005E779E">
        <w:rPr>
          <w:rFonts w:ascii="Times New Roman" w:hAnsi="Times New Roman"/>
          <w:color w:val="000000" w:themeColor="text1"/>
          <w:sz w:val="16"/>
          <w:szCs w:val="16"/>
        </w:rPr>
        <w:tab/>
        <w:t>-</w:t>
      </w:r>
      <w:r w:rsidRPr="005E779E">
        <w:rPr>
          <w:rFonts w:ascii="Times New Roman" w:hAnsi="Times New Roman"/>
          <w:color w:val="000000" w:themeColor="text1"/>
          <w:sz w:val="16"/>
          <w:szCs w:val="16"/>
        </w:rPr>
        <w:tab/>
        <w:t>-</w:t>
      </w:r>
      <w:r w:rsidRPr="005E779E">
        <w:rPr>
          <w:rFonts w:ascii="Times New Roman" w:hAnsi="Times New Roman"/>
          <w:color w:val="000000" w:themeColor="text1"/>
          <w:sz w:val="16"/>
          <w:szCs w:val="16"/>
        </w:rPr>
        <w:tab/>
        <w:t>5</w:t>
      </w:r>
    </w:p>
    <w:p w14:paraId="6E7775DC" w14:textId="77777777" w:rsidR="002629BF" w:rsidRPr="005E779E" w:rsidRDefault="002629BF"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АНТ-9</w:t>
      </w:r>
      <w:r w:rsidRPr="005E779E">
        <w:rPr>
          <w:rFonts w:ascii="Times New Roman" w:hAnsi="Times New Roman"/>
          <w:color w:val="000000" w:themeColor="text1"/>
          <w:sz w:val="16"/>
          <w:szCs w:val="16"/>
        </w:rPr>
        <w:tab/>
        <w:t>-</w:t>
      </w:r>
      <w:r w:rsidRPr="005E779E">
        <w:rPr>
          <w:rFonts w:ascii="Times New Roman" w:hAnsi="Times New Roman"/>
          <w:color w:val="000000" w:themeColor="text1"/>
          <w:sz w:val="16"/>
          <w:szCs w:val="16"/>
        </w:rPr>
        <w:tab/>
        <w:t>5</w:t>
      </w:r>
      <w:r w:rsidRPr="005E779E">
        <w:rPr>
          <w:rFonts w:ascii="Times New Roman" w:hAnsi="Times New Roman"/>
          <w:color w:val="000000" w:themeColor="text1"/>
          <w:sz w:val="16"/>
          <w:szCs w:val="16"/>
        </w:rPr>
        <w:tab/>
        <w:t>-</w:t>
      </w:r>
      <w:r w:rsidRPr="005E779E">
        <w:rPr>
          <w:rFonts w:ascii="Times New Roman" w:hAnsi="Times New Roman"/>
          <w:color w:val="000000" w:themeColor="text1"/>
          <w:sz w:val="16"/>
          <w:szCs w:val="16"/>
        </w:rPr>
        <w:tab/>
        <w:t>-</w:t>
      </w:r>
      <w:r w:rsidRPr="005E779E">
        <w:rPr>
          <w:rFonts w:ascii="Times New Roman" w:hAnsi="Times New Roman"/>
          <w:color w:val="000000" w:themeColor="text1"/>
          <w:sz w:val="16"/>
          <w:szCs w:val="16"/>
        </w:rPr>
        <w:tab/>
        <w:t>-</w:t>
      </w:r>
      <w:r w:rsidRPr="005E779E">
        <w:rPr>
          <w:rFonts w:ascii="Times New Roman" w:hAnsi="Times New Roman"/>
          <w:color w:val="000000" w:themeColor="text1"/>
          <w:sz w:val="16"/>
          <w:szCs w:val="16"/>
        </w:rPr>
        <w:tab/>
        <w:t>-</w:t>
      </w:r>
      <w:r w:rsidRPr="005E779E">
        <w:rPr>
          <w:rFonts w:ascii="Times New Roman" w:hAnsi="Times New Roman"/>
          <w:color w:val="000000" w:themeColor="text1"/>
          <w:sz w:val="16"/>
          <w:szCs w:val="16"/>
        </w:rPr>
        <w:tab/>
        <w:t>-</w:t>
      </w:r>
      <w:r w:rsidRPr="005E779E">
        <w:rPr>
          <w:rFonts w:ascii="Times New Roman" w:hAnsi="Times New Roman"/>
          <w:color w:val="000000" w:themeColor="text1"/>
          <w:sz w:val="16"/>
          <w:szCs w:val="16"/>
        </w:rPr>
        <w:tab/>
        <w:t>5</w:t>
      </w:r>
    </w:p>
    <w:p w14:paraId="77F15D66" w14:textId="77777777" w:rsidR="002629BF" w:rsidRPr="005E779E" w:rsidRDefault="002629BF"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Р-6/МР-6</w:t>
      </w:r>
      <w:r w:rsidRPr="005E779E">
        <w:rPr>
          <w:rFonts w:ascii="Times New Roman" w:hAnsi="Times New Roman"/>
          <w:color w:val="000000" w:themeColor="text1"/>
          <w:sz w:val="16"/>
          <w:szCs w:val="16"/>
        </w:rPr>
        <w:tab/>
        <w:t>-</w:t>
      </w:r>
      <w:r w:rsidRPr="005E779E">
        <w:rPr>
          <w:rFonts w:ascii="Times New Roman" w:hAnsi="Times New Roman"/>
          <w:color w:val="000000" w:themeColor="text1"/>
          <w:sz w:val="16"/>
          <w:szCs w:val="16"/>
        </w:rPr>
        <w:tab/>
        <w:t>1</w:t>
      </w:r>
      <w:r w:rsidRPr="005E779E">
        <w:rPr>
          <w:rFonts w:ascii="Times New Roman" w:hAnsi="Times New Roman"/>
          <w:color w:val="000000" w:themeColor="text1"/>
          <w:sz w:val="16"/>
          <w:szCs w:val="16"/>
        </w:rPr>
        <w:tab/>
        <w:t>50</w:t>
      </w:r>
      <w:r w:rsidRPr="005E779E">
        <w:rPr>
          <w:rFonts w:ascii="Times New Roman" w:hAnsi="Times New Roman"/>
          <w:color w:val="000000" w:themeColor="text1"/>
          <w:sz w:val="16"/>
          <w:szCs w:val="16"/>
        </w:rPr>
        <w:tab/>
        <w:t>20</w:t>
      </w:r>
      <w:r w:rsidRPr="005E779E">
        <w:rPr>
          <w:rFonts w:ascii="Times New Roman" w:hAnsi="Times New Roman"/>
          <w:color w:val="000000" w:themeColor="text1"/>
          <w:sz w:val="16"/>
          <w:szCs w:val="16"/>
        </w:rPr>
        <w:tab/>
        <w:t>-</w:t>
      </w:r>
      <w:r w:rsidRPr="005E779E">
        <w:rPr>
          <w:rFonts w:ascii="Times New Roman" w:hAnsi="Times New Roman"/>
          <w:color w:val="000000" w:themeColor="text1"/>
          <w:sz w:val="16"/>
          <w:szCs w:val="16"/>
        </w:rPr>
        <w:tab/>
        <w:t>-</w:t>
      </w:r>
      <w:r w:rsidRPr="005E779E">
        <w:rPr>
          <w:rFonts w:ascii="Times New Roman" w:hAnsi="Times New Roman"/>
          <w:color w:val="000000" w:themeColor="text1"/>
          <w:sz w:val="16"/>
          <w:szCs w:val="16"/>
        </w:rPr>
        <w:tab/>
        <w:t>-</w:t>
      </w:r>
      <w:r w:rsidRPr="005E779E">
        <w:rPr>
          <w:rFonts w:ascii="Times New Roman" w:hAnsi="Times New Roman"/>
          <w:color w:val="000000" w:themeColor="text1"/>
          <w:sz w:val="16"/>
          <w:szCs w:val="16"/>
        </w:rPr>
        <w:tab/>
        <w:t>71</w:t>
      </w:r>
    </w:p>
    <w:p w14:paraId="0199023A" w14:textId="77777777" w:rsidR="002629BF" w:rsidRPr="005E779E" w:rsidRDefault="002629BF"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МБР-4</w:t>
      </w:r>
      <w:r w:rsidRPr="005E779E">
        <w:rPr>
          <w:rFonts w:ascii="Times New Roman" w:hAnsi="Times New Roman"/>
          <w:color w:val="000000" w:themeColor="text1"/>
          <w:sz w:val="16"/>
          <w:szCs w:val="16"/>
        </w:rPr>
        <w:tab/>
        <w:t>-</w:t>
      </w:r>
      <w:r w:rsidRPr="005E779E">
        <w:rPr>
          <w:rFonts w:ascii="Times New Roman" w:hAnsi="Times New Roman"/>
          <w:color w:val="000000" w:themeColor="text1"/>
          <w:sz w:val="16"/>
          <w:szCs w:val="16"/>
        </w:rPr>
        <w:tab/>
        <w:t>29</w:t>
      </w:r>
      <w:r w:rsidRPr="005E779E">
        <w:rPr>
          <w:rFonts w:ascii="Times New Roman" w:hAnsi="Times New Roman"/>
          <w:color w:val="000000" w:themeColor="text1"/>
          <w:sz w:val="16"/>
          <w:szCs w:val="16"/>
        </w:rPr>
        <w:tab/>
        <w:t>22</w:t>
      </w:r>
      <w:r w:rsidRPr="005E779E">
        <w:rPr>
          <w:rFonts w:ascii="Times New Roman" w:hAnsi="Times New Roman"/>
          <w:color w:val="000000" w:themeColor="text1"/>
          <w:sz w:val="16"/>
          <w:szCs w:val="16"/>
        </w:rPr>
        <w:tab/>
        <w:t>-</w:t>
      </w:r>
      <w:r w:rsidRPr="005E779E">
        <w:rPr>
          <w:rFonts w:ascii="Times New Roman" w:hAnsi="Times New Roman"/>
          <w:color w:val="000000" w:themeColor="text1"/>
          <w:sz w:val="16"/>
          <w:szCs w:val="16"/>
        </w:rPr>
        <w:tab/>
        <w:t>-</w:t>
      </w:r>
      <w:r w:rsidRPr="005E779E">
        <w:rPr>
          <w:rFonts w:ascii="Times New Roman" w:hAnsi="Times New Roman"/>
          <w:color w:val="000000" w:themeColor="text1"/>
          <w:sz w:val="16"/>
          <w:szCs w:val="16"/>
        </w:rPr>
        <w:tab/>
        <w:t>-</w:t>
      </w:r>
      <w:r w:rsidRPr="005E779E">
        <w:rPr>
          <w:rFonts w:ascii="Times New Roman" w:hAnsi="Times New Roman"/>
          <w:color w:val="000000" w:themeColor="text1"/>
          <w:sz w:val="16"/>
          <w:szCs w:val="16"/>
        </w:rPr>
        <w:tab/>
        <w:t>-</w:t>
      </w:r>
      <w:r w:rsidRPr="005E779E">
        <w:rPr>
          <w:rFonts w:ascii="Times New Roman" w:hAnsi="Times New Roman"/>
          <w:color w:val="000000" w:themeColor="text1"/>
          <w:sz w:val="16"/>
          <w:szCs w:val="16"/>
        </w:rPr>
        <w:tab/>
        <w:t>51</w:t>
      </w:r>
    </w:p>
    <w:p w14:paraId="65F71B66" w14:textId="77777777" w:rsidR="002629BF" w:rsidRPr="005E779E" w:rsidRDefault="002629BF"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Ш-2</w:t>
      </w:r>
      <w:r w:rsidRPr="005E779E">
        <w:rPr>
          <w:rFonts w:ascii="Times New Roman" w:hAnsi="Times New Roman"/>
          <w:color w:val="000000" w:themeColor="text1"/>
          <w:sz w:val="16"/>
          <w:szCs w:val="16"/>
        </w:rPr>
        <w:tab/>
        <w:t>-</w:t>
      </w:r>
      <w:r w:rsidRPr="005E779E">
        <w:rPr>
          <w:rFonts w:ascii="Times New Roman" w:hAnsi="Times New Roman"/>
          <w:color w:val="000000" w:themeColor="text1"/>
          <w:sz w:val="16"/>
          <w:szCs w:val="16"/>
        </w:rPr>
        <w:tab/>
        <w:t>30</w:t>
      </w:r>
      <w:r w:rsidRPr="005E779E">
        <w:rPr>
          <w:rFonts w:ascii="Times New Roman" w:hAnsi="Times New Roman"/>
          <w:color w:val="000000" w:themeColor="text1"/>
          <w:sz w:val="16"/>
          <w:szCs w:val="16"/>
        </w:rPr>
        <w:tab/>
        <w:t>200</w:t>
      </w:r>
      <w:r w:rsidRPr="005E779E">
        <w:rPr>
          <w:rFonts w:ascii="Times New Roman" w:hAnsi="Times New Roman"/>
          <w:color w:val="000000" w:themeColor="text1"/>
          <w:sz w:val="16"/>
          <w:szCs w:val="16"/>
        </w:rPr>
        <w:tab/>
        <w:t>40</w:t>
      </w:r>
      <w:r w:rsidRPr="005E779E">
        <w:rPr>
          <w:rFonts w:ascii="Times New Roman" w:hAnsi="Times New Roman"/>
          <w:color w:val="000000" w:themeColor="text1"/>
          <w:sz w:val="16"/>
          <w:szCs w:val="16"/>
        </w:rPr>
        <w:tab/>
        <w:t>-</w:t>
      </w:r>
      <w:r w:rsidRPr="005E779E">
        <w:rPr>
          <w:rFonts w:ascii="Times New Roman" w:hAnsi="Times New Roman"/>
          <w:color w:val="000000" w:themeColor="text1"/>
          <w:sz w:val="16"/>
          <w:szCs w:val="16"/>
        </w:rPr>
        <w:tab/>
        <w:t>-</w:t>
      </w:r>
      <w:r w:rsidRPr="005E779E">
        <w:rPr>
          <w:rFonts w:ascii="Times New Roman" w:hAnsi="Times New Roman"/>
          <w:color w:val="000000" w:themeColor="text1"/>
          <w:sz w:val="16"/>
          <w:szCs w:val="16"/>
        </w:rPr>
        <w:tab/>
        <w:t>-</w:t>
      </w:r>
      <w:r w:rsidRPr="005E779E">
        <w:rPr>
          <w:rFonts w:ascii="Times New Roman" w:hAnsi="Times New Roman"/>
          <w:color w:val="000000" w:themeColor="text1"/>
          <w:sz w:val="16"/>
          <w:szCs w:val="16"/>
        </w:rPr>
        <w:tab/>
        <w:t>270</w:t>
      </w:r>
    </w:p>
    <w:p w14:paraId="53E2F7F7" w14:textId="19367312" w:rsidR="002629BF" w:rsidRPr="005E779E" w:rsidRDefault="002629BF"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МДР-4/МТБ-1</w:t>
      </w:r>
      <w:r w:rsidRPr="005E779E">
        <w:rPr>
          <w:rFonts w:ascii="Times New Roman" w:hAnsi="Times New Roman"/>
          <w:color w:val="000000" w:themeColor="text1"/>
          <w:sz w:val="16"/>
          <w:szCs w:val="16"/>
        </w:rPr>
        <w:tab/>
        <w:t>-</w:t>
      </w:r>
      <w:r w:rsidRPr="005E779E">
        <w:rPr>
          <w:rFonts w:ascii="Times New Roman" w:hAnsi="Times New Roman"/>
          <w:color w:val="000000" w:themeColor="text1"/>
          <w:sz w:val="16"/>
          <w:szCs w:val="16"/>
        </w:rPr>
        <w:tab/>
        <w:t>-</w:t>
      </w:r>
      <w:r w:rsidRPr="005E779E">
        <w:rPr>
          <w:rFonts w:ascii="Times New Roman" w:hAnsi="Times New Roman"/>
          <w:color w:val="000000" w:themeColor="text1"/>
          <w:sz w:val="16"/>
          <w:szCs w:val="16"/>
        </w:rPr>
        <w:tab/>
      </w:r>
      <w:r w:rsidRPr="005E779E">
        <w:rPr>
          <w:rFonts w:ascii="Times New Roman" w:hAnsi="Times New Roman"/>
          <w:color w:val="000000" w:themeColor="text1"/>
          <w:sz w:val="16"/>
          <w:szCs w:val="16"/>
        </w:rPr>
        <w:tab/>
        <w:t>-</w:t>
      </w:r>
      <w:r w:rsidRPr="005E779E">
        <w:rPr>
          <w:rFonts w:ascii="Times New Roman" w:hAnsi="Times New Roman"/>
          <w:color w:val="000000" w:themeColor="text1"/>
          <w:sz w:val="16"/>
          <w:szCs w:val="16"/>
        </w:rPr>
        <w:tab/>
        <w:t>5</w:t>
      </w:r>
      <w:r w:rsidRPr="005E779E">
        <w:rPr>
          <w:rFonts w:ascii="Times New Roman" w:hAnsi="Times New Roman"/>
          <w:color w:val="000000" w:themeColor="text1"/>
          <w:sz w:val="16"/>
          <w:szCs w:val="16"/>
        </w:rPr>
        <w:tab/>
        <w:t>10</w:t>
      </w:r>
      <w:r w:rsidRPr="005E779E">
        <w:rPr>
          <w:rFonts w:ascii="Times New Roman" w:hAnsi="Times New Roman"/>
          <w:color w:val="000000" w:themeColor="text1"/>
          <w:sz w:val="16"/>
          <w:szCs w:val="16"/>
        </w:rPr>
        <w:tab/>
        <w:t>15</w:t>
      </w:r>
    </w:p>
    <w:p w14:paraId="454F90DA" w14:textId="77777777" w:rsidR="002629BF" w:rsidRPr="005E779E" w:rsidRDefault="002629BF"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МБР-2</w:t>
      </w:r>
      <w:r w:rsidRPr="005E779E">
        <w:rPr>
          <w:rFonts w:ascii="Times New Roman" w:hAnsi="Times New Roman"/>
          <w:color w:val="000000" w:themeColor="text1"/>
          <w:sz w:val="16"/>
          <w:szCs w:val="16"/>
        </w:rPr>
        <w:tab/>
        <w:t>-</w:t>
      </w:r>
      <w:r w:rsidRPr="005E779E">
        <w:rPr>
          <w:rFonts w:ascii="Times New Roman" w:hAnsi="Times New Roman"/>
          <w:color w:val="000000" w:themeColor="text1"/>
          <w:sz w:val="16"/>
          <w:szCs w:val="16"/>
        </w:rPr>
        <w:tab/>
        <w:t>-</w:t>
      </w:r>
      <w:r w:rsidRPr="005E779E">
        <w:rPr>
          <w:rFonts w:ascii="Times New Roman" w:hAnsi="Times New Roman"/>
          <w:color w:val="000000" w:themeColor="text1"/>
          <w:sz w:val="16"/>
          <w:szCs w:val="16"/>
        </w:rPr>
        <w:tab/>
        <w:t>-</w:t>
      </w:r>
      <w:r w:rsidRPr="005E779E">
        <w:rPr>
          <w:rFonts w:ascii="Times New Roman" w:hAnsi="Times New Roman"/>
          <w:color w:val="000000" w:themeColor="text1"/>
          <w:sz w:val="16"/>
          <w:szCs w:val="16"/>
        </w:rPr>
        <w:tab/>
        <w:t>207</w:t>
      </w:r>
      <w:r w:rsidRPr="005E779E">
        <w:rPr>
          <w:rFonts w:ascii="Times New Roman" w:hAnsi="Times New Roman"/>
          <w:color w:val="000000" w:themeColor="text1"/>
          <w:sz w:val="16"/>
          <w:szCs w:val="16"/>
        </w:rPr>
        <w:tab/>
        <w:t>95</w:t>
      </w:r>
      <w:r w:rsidRPr="005E779E">
        <w:rPr>
          <w:rFonts w:ascii="Times New Roman" w:hAnsi="Times New Roman"/>
          <w:color w:val="000000" w:themeColor="text1"/>
          <w:sz w:val="16"/>
          <w:szCs w:val="16"/>
        </w:rPr>
        <w:tab/>
        <w:t>109</w:t>
      </w:r>
      <w:r w:rsidRPr="005E779E">
        <w:rPr>
          <w:rFonts w:ascii="Times New Roman" w:hAnsi="Times New Roman"/>
          <w:color w:val="000000" w:themeColor="text1"/>
          <w:sz w:val="16"/>
          <w:szCs w:val="16"/>
        </w:rPr>
        <w:tab/>
        <w:t>360</w:t>
      </w:r>
      <w:r w:rsidRPr="005E779E">
        <w:rPr>
          <w:rFonts w:ascii="Times New Roman" w:hAnsi="Times New Roman"/>
          <w:color w:val="000000" w:themeColor="text1"/>
          <w:sz w:val="16"/>
          <w:szCs w:val="16"/>
        </w:rPr>
        <w:tab/>
        <w:t>771</w:t>
      </w:r>
    </w:p>
    <w:p w14:paraId="1874D809" w14:textId="77777777" w:rsidR="002629BF" w:rsidRPr="005E779E" w:rsidRDefault="002629BF"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w:t>
      </w:r>
      <w:r w:rsidRPr="005E779E">
        <w:rPr>
          <w:rFonts w:ascii="Times New Roman" w:hAnsi="Times New Roman"/>
          <w:color w:val="000000" w:themeColor="text1"/>
          <w:sz w:val="16"/>
          <w:szCs w:val="16"/>
        </w:rPr>
        <w:tab/>
        <w:t>308</w:t>
      </w:r>
      <w:r w:rsidRPr="005E779E">
        <w:rPr>
          <w:rFonts w:ascii="Times New Roman" w:hAnsi="Times New Roman"/>
          <w:color w:val="000000" w:themeColor="text1"/>
          <w:sz w:val="16"/>
          <w:szCs w:val="16"/>
        </w:rPr>
        <w:tab/>
        <w:t>67</w:t>
      </w:r>
      <w:r w:rsidRPr="005E779E">
        <w:rPr>
          <w:rFonts w:ascii="Times New Roman" w:hAnsi="Times New Roman"/>
          <w:color w:val="000000" w:themeColor="text1"/>
          <w:sz w:val="16"/>
          <w:szCs w:val="16"/>
        </w:rPr>
        <w:tab/>
        <w:t>272</w:t>
      </w:r>
      <w:r w:rsidRPr="005E779E">
        <w:rPr>
          <w:rFonts w:ascii="Times New Roman" w:hAnsi="Times New Roman"/>
          <w:color w:val="000000" w:themeColor="text1"/>
          <w:sz w:val="16"/>
          <w:szCs w:val="16"/>
        </w:rPr>
        <w:tab/>
        <w:t>267</w:t>
      </w:r>
      <w:r w:rsidRPr="005E779E">
        <w:rPr>
          <w:rFonts w:ascii="Times New Roman" w:hAnsi="Times New Roman"/>
          <w:color w:val="000000" w:themeColor="text1"/>
          <w:sz w:val="16"/>
          <w:szCs w:val="16"/>
        </w:rPr>
        <w:tab/>
        <w:t>95</w:t>
      </w:r>
      <w:r w:rsidRPr="005E779E">
        <w:rPr>
          <w:rFonts w:ascii="Times New Roman" w:hAnsi="Times New Roman"/>
          <w:color w:val="000000" w:themeColor="text1"/>
          <w:sz w:val="16"/>
          <w:szCs w:val="16"/>
        </w:rPr>
        <w:tab/>
        <w:t>114</w:t>
      </w:r>
      <w:r w:rsidRPr="005E779E">
        <w:rPr>
          <w:rFonts w:ascii="Times New Roman" w:hAnsi="Times New Roman"/>
          <w:color w:val="000000" w:themeColor="text1"/>
          <w:sz w:val="16"/>
          <w:szCs w:val="16"/>
        </w:rPr>
        <w:tab/>
        <w:t>370</w:t>
      </w:r>
      <w:r w:rsidRPr="005E779E">
        <w:rPr>
          <w:rFonts w:ascii="Times New Roman" w:hAnsi="Times New Roman"/>
          <w:color w:val="000000" w:themeColor="text1"/>
          <w:sz w:val="16"/>
          <w:szCs w:val="16"/>
        </w:rPr>
        <w:tab/>
        <w:t>1493</w:t>
      </w:r>
    </w:p>
    <w:p w14:paraId="31031EB2" w14:textId="77777777" w:rsidR="00EB31F4" w:rsidRPr="005E779E" w:rsidRDefault="00EB31F4" w:rsidP="000B7A6C">
      <w:pPr>
        <w:spacing w:after="0" w:line="240" w:lineRule="auto"/>
        <w:jc w:val="both"/>
        <w:rPr>
          <w:rFonts w:ascii="Times New Roman" w:hAnsi="Times New Roman"/>
          <w:color w:val="000000" w:themeColor="text1"/>
          <w:sz w:val="16"/>
          <w:szCs w:val="16"/>
          <w:lang w:eastAsia="ru-RU" w:bidi="ru-RU"/>
        </w:rPr>
      </w:pPr>
      <w:r w:rsidRPr="005E779E">
        <w:rPr>
          <w:rFonts w:ascii="Times New Roman" w:hAnsi="Times New Roman"/>
          <w:color w:val="000000" w:themeColor="text1"/>
          <w:sz w:val="16"/>
          <w:szCs w:val="16"/>
          <w:lang w:eastAsia="ru-RU" w:bidi="ru-RU"/>
        </w:rPr>
        <w:t>Примечание: Для Р-1 и МБР-2 в столбце "Всего" указано только количество самолетов, выпушенных в период 1931-37 гг., а не общий объем машин, построенных за время их серийного производства на заводе №31.</w:t>
      </w:r>
    </w:p>
    <w:p w14:paraId="5FBD5593" w14:textId="77777777" w:rsidR="00EB31F4" w:rsidRPr="005E779E" w:rsidRDefault="00EB31F4" w:rsidP="000B7A6C">
      <w:pPr>
        <w:spacing w:after="0" w:line="240" w:lineRule="auto"/>
        <w:jc w:val="both"/>
        <w:rPr>
          <w:rFonts w:ascii="Times New Roman" w:hAnsi="Times New Roman"/>
          <w:color w:val="000000" w:themeColor="text1"/>
          <w:sz w:val="16"/>
          <w:szCs w:val="16"/>
        </w:rPr>
      </w:pPr>
    </w:p>
    <w:p w14:paraId="3CD3262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1931-1932 гг. в ИАМ разрабатывался двигатель средней мощности М-52, использовавший один блок от М-34. Госиспытания планировались на октябрь 1932 г. Первый опытный образец испытывался с начала ноября 1932 г. После разрушения нижнего картера спроектирован новый, менее унифицированный с М-34, облегченный, с отъемным носком. Изменения внесли также в коленвал.</w:t>
      </w:r>
    </w:p>
    <w:p w14:paraId="0B6C807D"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Характеристики:</w:t>
      </w:r>
    </w:p>
    <w:p w14:paraId="5C8A03B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6-цшиндровый рядный, четырехтактный, водяного охлаждения;</w:t>
      </w:r>
    </w:p>
    <w:p w14:paraId="35BD682F"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диаметр цилиндра/ход поршня 160/190 мм;</w:t>
      </w:r>
    </w:p>
    <w:p w14:paraId="3E52B1B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степень сжатия 6,0;</w:t>
      </w:r>
    </w:p>
    <w:p w14:paraId="05785668"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мощность 350/450 л.с.;</w:t>
      </w:r>
    </w:p>
    <w:p w14:paraId="74978B9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вес 300 кг (проектный),</w:t>
      </w:r>
    </w:p>
    <w:p w14:paraId="74D37925"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Предполагалось запустить М-52 в серийное производство и использо</w:t>
      </w:r>
      <w:r w:rsidRPr="005E779E">
        <w:rPr>
          <w:rFonts w:ascii="Times New Roman" w:hAnsi="Times New Roman"/>
          <w:color w:val="000000" w:themeColor="text1"/>
          <w:sz w:val="16"/>
          <w:szCs w:val="16"/>
        </w:rPr>
        <w:softHyphen/>
        <w:t>вать на перспективном самолете-корректировщике, «химическом боевике» ВС-2, переходном учебно-тренировочном самолете П-3 (11852).</w:t>
      </w:r>
    </w:p>
    <w:p w14:paraId="6FDB775A"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7E9BB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1931-1933 было особое техбюро ОГПУ, где разрабатывались опытные двигатели и дизели ФЕД (62,108).</w:t>
      </w:r>
    </w:p>
    <w:p w14:paraId="0128F4E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Наверное, в начале года по результатам положительного опыта ВТ</w:t>
      </w:r>
    </w:p>
    <w:p w14:paraId="1B491772"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другим данным - начались в 1930</w:t>
      </w:r>
    </w:p>
    <w:p w14:paraId="5E1520B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B96046E"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1931-1932 гг. спроектирован Н-6 (МСК) в ОКБ НКВД при заводе № 24 в Москве Стечкиным и Курчевским (отсюда МСК — «Мотор Стечкина-Курчевского»). Имел необычное для звездообразной компоновки четное количество цилиндров — шесть, причем каждый цилиндр обслуживал один из цилиндров шестицилиндрового поршневого компрессора (нагне</w:t>
      </w:r>
      <w:r w:rsidRPr="005E779E">
        <w:rPr>
          <w:rFonts w:ascii="Times New Roman" w:hAnsi="Times New Roman"/>
          <w:color w:val="000000" w:themeColor="text1"/>
          <w:sz w:val="16"/>
          <w:szCs w:val="16"/>
        </w:rPr>
        <w:softHyphen/>
        <w:t>тателя). В 1932 г. опытный образец изготовили в мастерских ЦИАМ и подвергли стендовым испытаниям.</w:t>
      </w:r>
    </w:p>
    <w:p w14:paraId="7534EB97"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Характеристики:</w:t>
      </w:r>
    </w:p>
    <w:p w14:paraId="0A3EF4F9"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6-цилиндровый звездообразный</w:t>
      </w:r>
    </w:p>
    <w:p w14:paraId="2C48A456"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охлаждения, с поршневым нагнетателем;</w:t>
      </w:r>
    </w:p>
    <w:p w14:paraId="79D553B3" w14:textId="77777777" w:rsidR="005C4849" w:rsidRPr="005E779E" w:rsidRDefault="005C4849" w:rsidP="000B7A6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мощность 500 л.с. (по проекту);</w:t>
      </w:r>
    </w:p>
    <w:p w14:paraId="07F8FFC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вес 380 кг (по заданию) (11852).</w:t>
      </w:r>
    </w:p>
    <w:p w14:paraId="7679319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2710FFB" w14:textId="3F6B995B"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1931-32 г. в Новосибирске начал строиться завод № 153 (ГС Завод № 153 НКТП, НКОП, ГС завод № 153 им. В.П. Чкалова НКАП, Новосибирский авиационный завод (НАЗ) им. В.П. Чкалова, Новосибирское авиационное производственное объединение (НАПО) им. В.П. Чкалова, п/я 202, Г-4744, ФГУП, ОАО «НАПО им. В.П. Чкалова» /630051</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 Новосибирск ул. Ползунова, 15 тел. 278-85-01/) как завод горного оборудования, в 1934 г. строительство получило название «Сибмашстрой». В соответствии с решением СТО от 26.05.1936 г. и приказом НКТП от 20.06.1936 г. строительство завода передано в ГУАП НКТП, завод перепрофилирован в самолетостроительный и получил наименование ГС завод № 153. В 12.1936 г. передан в ведение 1ГУ НКОП (и на 12.1938 г.). В 1938 г. заводу присвоено имя В.П. Чкалова.</w:t>
      </w:r>
    </w:p>
    <w:p w14:paraId="667ECF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Введен в строй в 1936 г., к этому времени имелось 16.684 м</w:t>
      </w:r>
      <w:r w:rsidRPr="005E779E">
        <w:rPr>
          <w:rFonts w:ascii="Times New Roman" w:hAnsi="Times New Roman"/>
          <w:color w:val="000000" w:themeColor="text1"/>
          <w:sz w:val="16"/>
          <w:szCs w:val="16"/>
          <w:vertAlign w:val="superscript"/>
        </w:rPr>
        <w:t>2</w:t>
      </w:r>
      <w:r w:rsidRPr="005E779E">
        <w:rPr>
          <w:rFonts w:ascii="Times New Roman" w:hAnsi="Times New Roman"/>
          <w:color w:val="000000" w:themeColor="text1"/>
          <w:sz w:val="16"/>
          <w:szCs w:val="16"/>
        </w:rPr>
        <w:t xml:space="preserve"> производственных площадей и 138 единиц оборудования. Приказом № 0032 от 8.02.1937 г. заводу предписано к 1.07.1937 г. закончить освоение площадей бывшего сталелитейного корпуса (17 тыс. м</w:t>
      </w:r>
      <w:r w:rsidRPr="005E779E">
        <w:rPr>
          <w:rFonts w:ascii="Times New Roman" w:hAnsi="Times New Roman"/>
          <w:color w:val="000000" w:themeColor="text1"/>
          <w:sz w:val="16"/>
          <w:szCs w:val="16"/>
          <w:vertAlign w:val="superscript"/>
        </w:rPr>
        <w:t>2</w:t>
      </w:r>
      <w:r w:rsidRPr="005E779E">
        <w:rPr>
          <w:rFonts w:ascii="Times New Roman" w:hAnsi="Times New Roman"/>
          <w:color w:val="000000" w:themeColor="text1"/>
          <w:sz w:val="16"/>
          <w:szCs w:val="16"/>
        </w:rPr>
        <w:t>) для производства И-16. К концу 1937 г. завод выпустил первые 27 самолетов И-16.</w:t>
      </w:r>
    </w:p>
    <w:p w14:paraId="29F0E76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По пр. № 46с от 1/8.02.1938 г. «в целях развертывания на заводе работ по конструированию и постройке опытного самолета «ИС-М88» в план опытного строительства на 1938-39 г. было включено строительство 3 опытных самолетов, А.В. Сильванский назначен гл. конструктором завода; для ОКБ завода требовалось выделить 5 конструкторов, 2 макетчика и 10 молодых специалистов.</w:t>
      </w:r>
    </w:p>
    <w:p w14:paraId="19E9201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1939 г. проектная мощность завода составляла 1500 СБ и 1500 И-180 в год, на проектную мощность по истребителям завод должен был выйти к 1941 г. Были построены корпуса для производства истребителей, кузница, ремонтно-инструментальный корпус, центральная котельная, компрессорная. В 1941 г. также планировалось пустить линию по производству бомбардировщиков. В конце 1940 г. освоен выпуск ЛаГГ-3. План производства на 1941 г.: 200 ЛаГТ-3 и 400 УТИ-4. 14.08.1941 г. вышло постановление ГКО № 482 о производстве ЛаГТ-3 и Як-1. 7.02.1942 г. вышло постановление ГКО № 1254сс о начале выпуска на заводе Як-3 с двойным управлением с 15.02.1942 г. по 20 самолетов в месяц. Пост. ГКО № 1376сс от 3.03.1942 г. заводу утвержден суточный план на 03.1942 г. по выпуску самолетов: Як-3: с 11 по 15 марта - 10 машин, с 16 по 25 - 15 и с 26 по 31 марта - 25 машин; ЛаГГ-3: с 1 по 5 и с 10 по 15 марта - 5 машин, с 16 по 20 марта - 4 машины.</w:t>
      </w:r>
    </w:p>
    <w:p w14:paraId="1F80365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11.1941 г. при эвакуации на площадку завода № 153 в Новосибирск заводов № 23 (эвакуирован по приказу № 652с от 9.07.1941 г.), № 43 и № 301 НКАП путем их слияния образовался единый завод № 153 НКАП. По приказу № 652с от 9.07.1941 г. заводу в качестве цеха шасси передан завод № 388 НКАП, а по приказу № 987с от 16.09.1941 г. в качестве цеха по изготовлению деталей самолета- фабрика «Стандарт» НК леса.</w:t>
      </w:r>
    </w:p>
    <w:p w14:paraId="14B1A5B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1941-42 г. выпуском серии ЛаГГ-3 на заводе руководил М.Р. Бисноват после закрытия своего ОКБ на заводе № 23 (в 1942 г. он назначен зам. гл. конструктора завода № 55 НКАП).</w:t>
      </w:r>
    </w:p>
    <w:p w14:paraId="7E2F05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1941-42 г. на заводе работало ОКБ гл. конструктора А.С. Яковлева, затем реэвакуировано в Москву. После войны на заводе действовал филиал ОКБ-115.</w:t>
      </w:r>
    </w:p>
    <w:p w14:paraId="6CF28C76" w14:textId="465B6292"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lastRenderedPageBreak/>
        <w:t>На площадку завода № 153 в 1941 г. эвакуировалось ОКБ-51 гл. конструктора Н.Н. Поликарпова с завода № 51, а также основная часть подразделений ЛИИ (по приказу № 1072сс от 15.10.1941</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w:t>
      </w:r>
    </w:p>
    <w:p w14:paraId="3003750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Осенью 1941 г. на завод № 153 эвакуировано также ОКБ-301 Гудкова, но было здесь недолго. В 12.1941 г. оно переведено в Горький для внедрения в серию самолетов Гу-37 и Гу-82.</w:t>
      </w:r>
    </w:p>
    <w:p w14:paraId="0FADE95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14.03.1942 г. вышло постановление ГКО № 1442 о производстве самолетов Як-7. В соответствии с пост. ГКО № 1789 от 19.05.1942 г. на заводе начато производство ЛаГГ-3 и Як-7 с мотором М-105ПФ. Пост. ГКО № 2467сс от 2.11.1942 г. заводу предписано с 5.11.1942 г. выпускать Як-7 с улучшенными летными данными. 18.02.1943 г. вышло постановление ГКО № 2914 о выпуске на заводе самолетов Як-9 с увеличенной дальностью. 26.10.1943 г. вновь вышло постановление ГКО № 4428 о выпуске Як-9 на заводе; 12.03.1944 г. - новое постановление ГКО № 5376 о производстве Як-9 с мотором ВК-107А на заводе. 29.12.1944 г. вышли постановления ГКО: № 7224 - о выпуске на заводе истребителя сопровождения Як-9Д с мотором ВК-105ПФ; № 7226 - о развертывании выпуска на заводе Як-9 с ВК-107А.</w:t>
      </w:r>
    </w:p>
    <w:p w14:paraId="1DDC4C0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начале 1944 г. часть оборудования завода передана для формирования нового завода № 473 НКАП. Распоряжением ГКО № 8037 от 6.04.1945 г. на завод направлено 1500 чел. освобожденных заключенных.</w:t>
      </w:r>
    </w:p>
    <w:p w14:paraId="275D513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 за годы войны построено 15.797 самолетов.</w:t>
      </w:r>
    </w:p>
    <w:p w14:paraId="4202101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 заводе организован филиал ОКБ Сухого (начальник- В.И. Масалов).</w:t>
      </w:r>
    </w:p>
    <w:p w14:paraId="6430ED8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С 1971 г. серийно строился фронтовой бомбардировщик Су-24 (до 20 машин в месяц), последней выпущена 26-я машина 27-й серии. Сагем начат выпуск Су-24М.</w:t>
      </w:r>
      <w:r w:rsidRPr="005E779E">
        <w:rPr>
          <w:rFonts w:ascii="Times New Roman" w:hAnsi="Times New Roman"/>
          <w:color w:val="000000" w:themeColor="text1"/>
          <w:sz w:val="16"/>
          <w:szCs w:val="16"/>
          <w:vertAlign w:val="superscript"/>
        </w:rPr>
        <w:t>31</w:t>
      </w:r>
    </w:p>
    <w:p w14:paraId="4415D28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1955-65 г. завод имел наименование «предприятие- п/я 202», затем- Г-4744. В соответствии с пост. СМ СССР № 713-342 от 26.06.1957 г. передан в ведение управления агрегатостроения Западно-Сибирского СНХ РСФСР (по 1965 г.).</w:t>
      </w:r>
    </w:p>
    <w:p w14:paraId="14394CA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1989 г. НАЗ им. В.П. Чкалова был преобразован в НАПО им. В.П. Чкалова. По решению правительства № 22-р от 9.01.2004 г. и Указу Президента РФ № 1009 от 4.08.2004 г. ОАО НАПО вошло в число стратегических оборонных предприятий. По Указу Президента РФ от 20.02.2006 г. вошла в ОАО </w:t>
      </w:r>
      <w:r w:rsidRPr="005E779E">
        <w:rPr>
          <w:rFonts w:ascii="Times New Roman" w:hAnsi="Times New Roman"/>
          <w:color w:val="000000" w:themeColor="text1"/>
          <w:sz w:val="16"/>
          <w:szCs w:val="16"/>
          <w:lang w:val="en-US"/>
        </w:rPr>
        <w:t>OAK</w:t>
      </w:r>
      <w:r w:rsidRPr="005E779E">
        <w:rPr>
          <w:rFonts w:ascii="Times New Roman" w:hAnsi="Times New Roman"/>
          <w:color w:val="000000" w:themeColor="text1"/>
          <w:sz w:val="16"/>
          <w:szCs w:val="16"/>
        </w:rPr>
        <w:t>.</w:t>
      </w:r>
    </w:p>
    <w:p w14:paraId="753E2F1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состав НАПО входят (2002 г.): Головной завод, Авиационный завод им. Чкалова, завод «Авиаинструмент», Завод ТНП «Алмаз», Завод гражданской продукции, Завод стройматериалов, Усть-Илимский завод «Каскад».</w:t>
      </w:r>
    </w:p>
    <w:p w14:paraId="6DA1FE7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Имеется Московское представительство (зам. гендиректора (2000 г.)- П. Кушниренко).</w:t>
      </w:r>
    </w:p>
    <w:p w14:paraId="7AACFFF6"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 1993 г. велась подготовка к выпуску Су-34. В 2006 г. велась подготовка к производству </w:t>
      </w:r>
      <w:r w:rsidRPr="005E779E">
        <w:rPr>
          <w:rFonts w:ascii="Times New Roman" w:hAnsi="Times New Roman"/>
          <w:color w:val="000000" w:themeColor="text1"/>
          <w:sz w:val="16"/>
          <w:szCs w:val="16"/>
          <w:lang w:val="en-US"/>
        </w:rPr>
        <w:t>RRJ</w:t>
      </w:r>
      <w:r w:rsidRPr="005E779E">
        <w:rPr>
          <w:rFonts w:ascii="Times New Roman" w:hAnsi="Times New Roman"/>
          <w:color w:val="000000" w:themeColor="text1"/>
          <w:sz w:val="16"/>
          <w:szCs w:val="16"/>
        </w:rPr>
        <w:t>. В 07.2006 г. построен 1-й серийный Су-34, в 10.2006 г.- 2-й. С 2006 г.- работы по модернизации Су-24М в вариант Су-24М2.</w:t>
      </w:r>
    </w:p>
    <w:p w14:paraId="59E478A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Количество оборудования: (11.1940 г.)- 587 металлорежущих станков.</w:t>
      </w:r>
    </w:p>
    <w:p w14:paraId="2CF4807F"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Численность персонала (1936 г.)- 502 чел., (1938 г.)- около 2400 чел., (10.1940 г.)- 7500 чел., (1960-е)- около 24.000 чел., (2002 г.)- более 10.000 чел.</w:t>
      </w:r>
      <w:r w:rsidRPr="005E779E">
        <w:rPr>
          <w:rFonts w:ascii="Times New Roman" w:hAnsi="Times New Roman"/>
          <w:color w:val="000000" w:themeColor="text1"/>
          <w:sz w:val="16"/>
          <w:szCs w:val="16"/>
          <w:vertAlign w:val="superscript"/>
        </w:rPr>
        <w:t>69</w:t>
      </w:r>
    </w:p>
    <w:p w14:paraId="3AF250F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Директор (23.06.1937-21.11.1938 г.)- И.М. Данишевский (снят), (17.12.1938-04.1940 г.)- А.В. Митянишев, (04.1940-; 09.1941 г.)- М.П. Маланьин, (08.1941 г.)- Ястребов, (-08.1942-01.1943 г.-)- Романов, (-11.1943- 47 г.-)- В.Н. Лисицын, (1952 г.)- П.П. Смирнов, (1953-63 г.)- И.А. Салащенко, (1964-82 г.)- Г.А. Вана г. Гендиректор (1988-97 г.)- Н.И. Бобрицкий, (1997-05.2006 г.)- А.П. Бобрышев, (06.2006-07 г.-)- Ф.А. Жданов.</w:t>
      </w:r>
    </w:p>
    <w:p w14:paraId="7D1902D9" w14:textId="6F8DE3E9"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 строительства (-23.06.1937 г.)- И.Н. Бернштейн, (23.06.1937 г.-)- И.М. Данишевский. 1-й зам. гендиректора (1994-95 г.)- А.П. Бобрышев, (-06.2006 г.)- Ф.А. Жданов. Зам. директора: по строительству (21.09.1937 г.-)-</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Г.И. Визягин; (06.1937 г.)- С.М. Лано, (11.1941 г.)-А.Н. Тер-Маркарян. Зам. Гендиректора (1999 г.)- Н. Кушниренко, (2002 г.)- Ф.А. Жданов; по маркетингу (2006 г.)- Е.А. Елгаев.</w:t>
      </w:r>
    </w:p>
    <w:p w14:paraId="438F26F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инженер (-06-11.12.1937 г.)- С.М. Лано, (17.02.1938 г.-)- В.Р. Курош, (11.1941 г.)- А.Н. Тер-Маркарян, (1957 г.)- К.А. Грачев, (1965-67 г.)- Слуев, (2006 г.)- Ю.Ф. Дачкин.</w:t>
      </w:r>
    </w:p>
    <w:p w14:paraId="65D7579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Гл. конструктор (-8.02.1938 г.)- Виганд, (8.02.1938 г.-)- А.В. Сильванский.</w:t>
      </w:r>
    </w:p>
    <w:p w14:paraId="1148A8C8" w14:textId="4A7828CA"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 ЛИС-</w:t>
      </w:r>
      <w:r w:rsidR="00FE094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rPr>
        <w:t>Г.А. Вана г. Начальник управления маркетинга (-2000-01 г.-)- В. Салдаев.</w:t>
      </w:r>
    </w:p>
    <w:p w14:paraId="2B7FC179"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Начальники отделов: транспортного (1947 г.)- В.А. Диденко; ОТиЗ (2007 г.)- С. Бурдяк.</w:t>
      </w:r>
    </w:p>
    <w:p w14:paraId="5F2DF70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Летчики-испытатели: В.Т. Выломов, (-1949-51 г.-)- В.А. Диденко, (1954 г.)- В.А. Калинин, (1949 г.)- А. Пашкевич, Е.Н. Рудакас, И.Ф. Сорокин.</w:t>
      </w:r>
    </w:p>
    <w:p w14:paraId="0169B61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Производство: самолеты: И-14 (1936)- 4, И-16 (1936-41)- 897, УТИ-4, ЛаГГ-3 (1941-42)- 330, Як-1, Як-7 (1941-43). 4888, Як-9 (1942-47)- 11237, МиГ-15 (1947-54)- 3797, Ан-23А (1948)- 1, МиГ-17 (1952-), МиГ-19 (1954- ), Як-28П, ПТ-8 (1957)- 7, Су-9 (1958-62)- 881, Су-11 (1962-); Су-15 (1965-76), Су-15УТ (1970-72), Су-15УМ (1976-80)- всего 1400; Су-24 (1971-83), Су-24М (1979-93)- более 770, всего около 1200; Су-34 (2005-08-)- 2, Ан-38 (1992-2006-)- 7 (на конец 1999); комплектующие для ОК «Буран»; модернизация Су-24М (2006); носовая и хвостовая части фюзеляжа, ГО и ВО самолета </w:t>
      </w:r>
      <w:r w:rsidRPr="005E779E">
        <w:rPr>
          <w:rFonts w:ascii="Times New Roman" w:hAnsi="Times New Roman"/>
          <w:color w:val="000000" w:themeColor="text1"/>
          <w:sz w:val="16"/>
          <w:szCs w:val="16"/>
          <w:lang w:val="en-US"/>
        </w:rPr>
        <w:t>RRJ</w:t>
      </w:r>
      <w:r w:rsidRPr="005E779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lang w:val="en-US"/>
        </w:rPr>
        <w:t>Superjet</w:t>
      </w:r>
      <w:r w:rsidRPr="005E779E">
        <w:rPr>
          <w:rFonts w:ascii="Times New Roman" w:hAnsi="Times New Roman"/>
          <w:color w:val="000000" w:themeColor="text1"/>
          <w:sz w:val="16"/>
          <w:szCs w:val="16"/>
        </w:rPr>
        <w:t xml:space="preserve"> 100" (-2006-08-); катапультные установки: АКУ-58 для Х-58 (1978-), АКУ-410 для Р-33 (2000-е); стиральная машина «Белоснежка», «Кедр»; моторные лодки (11982).</w:t>
      </w:r>
    </w:p>
    <w:p w14:paraId="4F7C145B"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625CC2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С 1931 по 1935 гг. группа студентов МАИ и учащихся ФЗУ имени Баумана (Ф. Курочкин, В. Голубев, А. Семенов и А. Зеленый, руководитель — Ф. Курочкин) занималась проектированием и постройкой глиссеров. Первый глиссер «Бауманец» (1931 г.) был построен на средства, выделенные Бауманским районным советом Осоавиахима. Этот же райсовет передал конструкторам для постройки глиссера гараж-сарай в Гороховом переулке. Для стоянки глиссера было выделено место на берегу Москвы-реки, в районе парка культуры им. Горького. Глиссер имел двухместную кабину. Двигатель «Анзани» (25 л.с.) установлен на специальной мотораме, сваренной из стальных труб. Скорость движения при выходе на редан — 35 км/ч. Недостатком конструкции была низкая (ниже ватерлинии) установка «жабр» по бокам лодки, предназначенных для увеличения поперечной остойчивости. «Жабры» при разгоне глиссера создавали большое гидродинамическое сопротивление, и требовалась значительная мощность для выведения глиссера на режим глиссирования. Для научного руководства работами по созданию следующего глиссера «АНИТО-МАИ-1» был приглашен один из специалистов-гидродинамиков, работавших в гидрокоанале ЦАГИ. «АНИТО-МАИ-1» имел большой пассажирский салон. Двигатель «Сидней Пума» (400 л.с.) обеспечивал максимальную скорость движения на режиме глиссирования 92 км/ч. Недостатком конструкции была малая поперечная остойчивость, приведшая к опрокидыванию глиссера при резком развороте во время одного из испытаний. После постройки и испытаний глиссера «АНИТО-МАИ-1» в бригаде выделилось два направления. Группа студентов под руководством В. А. Гартвига </w:t>
      </w:r>
      <w:r w:rsidR="00BE7680" w:rsidRPr="005E779E">
        <w:rPr>
          <w:rFonts w:ascii="Times New Roman" w:hAnsi="Times New Roman"/>
          <w:color w:val="000000" w:themeColor="text1"/>
          <w:sz w:val="16"/>
          <w:szCs w:val="16"/>
        </w:rPr>
        <w:fldChar w:fldCharType="begin"/>
      </w:r>
      <w:r w:rsidRPr="005E779E">
        <w:rPr>
          <w:rFonts w:ascii="Times New Roman" w:hAnsi="Times New Roman"/>
          <w:color w:val="000000" w:themeColor="text1"/>
          <w:sz w:val="16"/>
          <w:szCs w:val="16"/>
        </w:rPr>
        <w:instrText>ref HYPERLINK "http://hghltd.yandex.net/yandbtm?text=%D0%BA%D0%B0%D1%82%D0%B5%D1%80%D0%B0%20%D0%93%D0%B0%D1%80%D1%82%D0%B2%D0%B8%D0%B3%D0%B0&amp;url=http%3A%2F%2Faviac.ru%2Fmai%2F291-razrabotki-mai-1930-45-g.html&amp;fmode=inject&amp;mime=html&amp;l10n=ru&amp;sign=22bbfc14aa085e98f8d42dded5074b63&amp;keyno=0" \l "YANDEX_1"</w:instrText>
      </w:r>
      <w:r w:rsidR="006E4804" w:rsidRPr="005E779E">
        <w:rPr>
          <w:rFonts w:ascii="Times New Roman" w:hAnsi="Times New Roman"/>
          <w:color w:val="000000" w:themeColor="text1"/>
          <w:sz w:val="16"/>
          <w:szCs w:val="16"/>
        </w:rPr>
        <w:instrText xml:space="preserve"> \* MERGEFORMAT </w:instrText>
      </w:r>
      <w:r w:rsidR="00BE7680" w:rsidRPr="005E779E">
        <w:rPr>
          <w:rFonts w:ascii="Times New Roman" w:hAnsi="Times New Roman"/>
          <w:color w:val="000000" w:themeColor="text1"/>
          <w:sz w:val="16"/>
          <w:szCs w:val="16"/>
        </w:rPr>
        <w:fldChar w:fldCharType="end"/>
      </w:r>
      <w:r w:rsidRPr="005E779E">
        <w:rPr>
          <w:rFonts w:ascii="Times New Roman" w:hAnsi="Times New Roman"/>
          <w:color w:val="000000" w:themeColor="text1"/>
          <w:sz w:val="16"/>
          <w:szCs w:val="16"/>
        </w:rPr>
        <w:t xml:space="preserve">и Бахрамова занялась созданием двухлодочных глиссеров-катамаранов. Другая группа в составе В. Голубева, В. Лашкина, Ф. Курочкина, Н. Мистрюкова и столяра УПМ Л. Г. Громова (руководитель Ф. Курочкин) приступила в 1933—1934 гг. к созданию однолодочного глиссера «АНИТО-МАИ-2». В конструкции нового четырехместного глиссера был учтен опыт постройки первых двух аппаратов, и для увеличения остойчивости применены V-образные рули, создающие стабилизирующий момент. Двигатель «Холл-Скот» (240 л.с.) был установлен сверху на специальной раме позади кабины. Диаметр винта 3,2 м. Конструкция глиссера — цельнодеревянная. Для обеспечения остойчивости при разворотах V-образные рули имели развал в 80 градусов. Рули работали следующим образом. Если при развороте под действием центробежных сил возникал крен вправо, то левый руль создавал силу, направленную вниз, а правый — вверх. Этого момента было вполне достаточно, чтобы глиссер не только не опрокидывался во внешнюю сторону циркуляции, а даже наклонялся вовнутрь. Аналогично осуществлялся и разворот в противоположную сторону. Глиссер имел хорошие ходовые качества. Максимальная скорость движения 80 км/ч. В АНИТО-МАИ был построен еще один глиссер с воздушным винтом «АНИТО-МАИ-3». Глиссер имел двухместную кабину. Двигатель «Анзани» (25 л.с), снятый с глиссера «Бауманец», располагался на кормовой части палубы. С помощью удлиненного вала мощность передавалась на угловой редуктор и затем на воздушный винт. Такое положение двигателя уменьшило расстояние от центра тяжести глиссера до ватерлинии, а применение косых рулей (как на глиссере «АНИТО-МАИ-2») обеспечило хорошую остойчивость и управляемость при резких разворотах. Глиссер легко выходил на редан и допускал резкие развороты на крейсерской скорости. Максимальная скорость движения в режиме глиссирования 45...50 км/ч. Группой АНИТО-МАИ (В. </w:t>
      </w:r>
      <w:r w:rsidR="00BE7680" w:rsidRPr="005E779E">
        <w:rPr>
          <w:rFonts w:ascii="Times New Roman" w:hAnsi="Times New Roman"/>
          <w:color w:val="000000" w:themeColor="text1"/>
          <w:sz w:val="16"/>
          <w:szCs w:val="16"/>
        </w:rPr>
        <w:fldChar w:fldCharType="begin"/>
      </w:r>
      <w:r w:rsidRPr="005E779E">
        <w:rPr>
          <w:rFonts w:ascii="Times New Roman" w:hAnsi="Times New Roman"/>
          <w:color w:val="000000" w:themeColor="text1"/>
          <w:sz w:val="16"/>
          <w:szCs w:val="16"/>
        </w:rPr>
        <w:instrText>ref HYPERLINK "http://hghltd.yandex.net/yandbtm?text=%D0%BA%D0%B0%D1%82%D0%B5%D1%80%D0%B0%20%D0%93%D0%B0%D1%80%D1%82%D0%B2%D0%B8%D0%B3%D0%B0&amp;url=http%3A%2F%2Faviac.ru%2Fmai%2F291-razrabotki-mai-1930-45-g.html&amp;fmode=inject&amp;mime=html&amp;l10n=ru&amp;sign=22bbfc14aa085e98f8d42dded5074b63&amp;keyno=0" \l "YANDEX_0"</w:instrText>
      </w:r>
      <w:r w:rsidR="006E4804" w:rsidRPr="005E779E">
        <w:rPr>
          <w:rFonts w:ascii="Times New Roman" w:hAnsi="Times New Roman"/>
          <w:color w:val="000000" w:themeColor="text1"/>
          <w:sz w:val="16"/>
          <w:szCs w:val="16"/>
        </w:rPr>
        <w:instrText xml:space="preserve"> \* MERGEFORMAT </w:instrText>
      </w:r>
      <w:r w:rsidR="00BE7680" w:rsidRPr="005E779E">
        <w:rPr>
          <w:rFonts w:ascii="Times New Roman" w:hAnsi="Times New Roman"/>
          <w:color w:val="000000" w:themeColor="text1"/>
          <w:sz w:val="16"/>
          <w:szCs w:val="16"/>
        </w:rPr>
        <w:fldChar w:fldCharType="end"/>
      </w:r>
      <w:r w:rsidRPr="005E779E">
        <w:rPr>
          <w:rFonts w:ascii="Times New Roman" w:hAnsi="Times New Roman"/>
          <w:color w:val="000000" w:themeColor="text1"/>
          <w:sz w:val="16"/>
          <w:szCs w:val="16"/>
        </w:rPr>
        <w:t xml:space="preserve">Гартвиг </w:t>
      </w:r>
      <w:r w:rsidR="00BE7680" w:rsidRPr="005E779E">
        <w:rPr>
          <w:rFonts w:ascii="Times New Roman" w:hAnsi="Times New Roman"/>
          <w:color w:val="000000" w:themeColor="text1"/>
          <w:sz w:val="16"/>
          <w:szCs w:val="16"/>
        </w:rPr>
        <w:fldChar w:fldCharType="begin"/>
      </w:r>
      <w:r w:rsidRPr="005E779E">
        <w:rPr>
          <w:rFonts w:ascii="Times New Roman" w:hAnsi="Times New Roman"/>
          <w:color w:val="000000" w:themeColor="text1"/>
          <w:sz w:val="16"/>
          <w:szCs w:val="16"/>
        </w:rPr>
        <w:instrText>ref HYPERLINK "http://hghltd.yandex.net/yandbtm?text=%D0%BA%D0%B0%D1%82%D0%B5%D1%80%D0%B0%20%D0%93%D0%B0%D1%80%D1%82%D0%B2%D0%B8%D0%B3%D0%B0&amp;url=http%3A%2F%2Faviac.ru%2Fmai%2F291-razrabotki-mai-1930-45-g.html&amp;fmode=inject&amp;mime=html&amp;l10n=ru&amp;sign=22bbfc14aa085e98f8d42dded5074b63&amp;keyno=0" \l "YANDEX_2"</w:instrText>
      </w:r>
      <w:r w:rsidR="006E4804" w:rsidRPr="005E779E">
        <w:rPr>
          <w:rFonts w:ascii="Times New Roman" w:hAnsi="Times New Roman"/>
          <w:color w:val="000000" w:themeColor="text1"/>
          <w:sz w:val="16"/>
          <w:szCs w:val="16"/>
        </w:rPr>
        <w:instrText xml:space="preserve"> \* MERGEFORMAT </w:instrText>
      </w:r>
      <w:r w:rsidR="00BE7680" w:rsidRPr="005E779E">
        <w:rPr>
          <w:rFonts w:ascii="Times New Roman" w:hAnsi="Times New Roman"/>
          <w:color w:val="000000" w:themeColor="text1"/>
          <w:sz w:val="16"/>
          <w:szCs w:val="16"/>
        </w:rPr>
        <w:fldChar w:fldCharType="end"/>
      </w:r>
      <w:r w:rsidRPr="005E779E">
        <w:rPr>
          <w:rFonts w:ascii="Times New Roman" w:hAnsi="Times New Roman"/>
          <w:color w:val="000000" w:themeColor="text1"/>
          <w:sz w:val="16"/>
          <w:szCs w:val="16"/>
        </w:rPr>
        <w:t xml:space="preserve">, Л. Асриев, В. Борог и Г. Иванов) был спроектирован, построен и испытан на Москве-реке в 1931—1932 гг. вариант аэроглиссера с трехцилиндровым двигателем воздушного охлаждения «Грин» (35 л.с), установленным на палубе. Мощность от двигателя передавалась с помощью углового редуктора на воздушный винт большого диаметра, установленный на угловой колонке редуктора. Испытания глиссера показали, что при больших оборотах двигателя тяга винта недостаточна. Для консультации пригласили А. Н. Туполева. Он охотно приехал на испытательную базу и сразу же заметил неправильность в установке лопастей винта. После устранения дефекта аэроглиссер показал расчетную скорость. В 1932 г. этот глиссер обслуживал районный парк культуры и отдыха. Впоследствии В. А. </w:t>
      </w:r>
      <w:r w:rsidR="00BE7680" w:rsidRPr="005E779E">
        <w:rPr>
          <w:rFonts w:ascii="Times New Roman" w:hAnsi="Times New Roman"/>
          <w:color w:val="000000" w:themeColor="text1"/>
          <w:sz w:val="16"/>
          <w:szCs w:val="16"/>
        </w:rPr>
        <w:fldChar w:fldCharType="begin"/>
      </w:r>
      <w:r w:rsidRPr="005E779E">
        <w:rPr>
          <w:rFonts w:ascii="Times New Roman" w:hAnsi="Times New Roman"/>
          <w:color w:val="000000" w:themeColor="text1"/>
          <w:sz w:val="16"/>
          <w:szCs w:val="16"/>
        </w:rPr>
        <w:instrText>ref HYPERLINK "http://hghltd.yandex.net/yandbtm?text=%D0%BA%D0%B0%D1%82%D0%B5%D1%80%D0%B0%20%D0%93%D0%B0%D1%80%D1%82%D0%B2%D0%B8%D0%B3%D0%B0&amp;url=http%3A%2F%2Faviac.ru%2Fmai%2F291-razrabotki-mai-1930-45-g.html&amp;fmode=inject&amp;mime=html&amp;l10n=ru&amp;sign=22bbfc14aa085e98f8d42dded5074b63&amp;keyno=0" \l "YANDEX_1"</w:instrText>
      </w:r>
      <w:r w:rsidR="006E4804" w:rsidRPr="005E779E">
        <w:rPr>
          <w:rFonts w:ascii="Times New Roman" w:hAnsi="Times New Roman"/>
          <w:color w:val="000000" w:themeColor="text1"/>
          <w:sz w:val="16"/>
          <w:szCs w:val="16"/>
        </w:rPr>
        <w:instrText xml:space="preserve"> \* MERGEFORMAT </w:instrText>
      </w:r>
      <w:r w:rsidR="00BE7680" w:rsidRPr="005E779E">
        <w:rPr>
          <w:rFonts w:ascii="Times New Roman" w:hAnsi="Times New Roman"/>
          <w:color w:val="000000" w:themeColor="text1"/>
          <w:sz w:val="16"/>
          <w:szCs w:val="16"/>
        </w:rPr>
        <w:fldChar w:fldCharType="end"/>
      </w:r>
      <w:r w:rsidRPr="005E779E">
        <w:rPr>
          <w:rFonts w:ascii="Times New Roman" w:hAnsi="Times New Roman"/>
          <w:color w:val="000000" w:themeColor="text1"/>
          <w:sz w:val="16"/>
          <w:szCs w:val="16"/>
        </w:rPr>
        <w:t>Гартвигом был создан целый ряд быстроходных глиссеров, которые обеспечивали перед войной пассажирские перевозки между городами Черноморского побережья. В 1935 г. был разработан проект четырехместного аэроглиссера «АНИТО-МАИ-4». Он имел цельнодеревянную конструкцию, двигатель в 150 л.с. обеспечивал максимальную скорость 75 км/ч. Для увеличения гидродинамического качества и остойчивости глиссер был оснащен «жабрами» по нижней части корпуса.</w:t>
      </w:r>
    </w:p>
    <w:p w14:paraId="5315414A"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Деятельность АНИТО-МАИ оказала большое влияние на развитие творческой инициативы студентов. Дипломники Грушин, Бабад и Маракозов разработали проект тренировочного самолета, который получил премию на Всесоюзном конкурсе по легкомоторным самолетам (1931г.) М. Шульженко, В. Борог и В. Полбийцев создали проект почтово-пассажирекого самолета «СПК-3 МАИ», имевшего скорость полета 450 км/ч. Этот проект, представленный на Всесоюзный конкурс, получил высшую премию Всесоюзного научно-технического общества. Творческую деятельность студентов-кружковцев приветствовали и всесторонне поддерживали авиационные предприятия и заводы. Так, стройматериалы, различные узлы и детали (штурвалы, тросы, ролики, кронштейны и др.) для изготовления аэроглиссеров были выделены заводами. В АНИТО-МАИ было спроектировано и построено несколько типов аэросаней. Этим видом транспорта в ту пору пользовались не только на севере страны, но и в районах средних широт. Заслуживает внимания работа П. И. Экономова (он работал на авиационном заводе столяром, а в 1935 г. без отрыва от производства окончил МАИ). Еще в 1930 г. П. Экономов изобрел самопуск для двигателей. С 1936 г. он начал строить летательный аппарат собственной конструкции — разновидность соосного автожира с двумя двухлопастными несущими винтами. Лопасти диаметром около 22 м были трапециевидной формы в плане, с толстым профилем большой кривизны. На лопастях имелись элероны. Четыре двигателя с тянущими винтами обеспечивали горизонтальный полет. Этот проект, далеко не совершенный и даже несколько примитивный, все же был смелым экспериментом в то время, когда с автожирами проводились лишь первые опыты. С середины 30-</w:t>
      </w:r>
      <w:r w:rsidRPr="005E779E">
        <w:rPr>
          <w:rFonts w:ascii="Times New Roman" w:hAnsi="Times New Roman"/>
          <w:color w:val="000000" w:themeColor="text1"/>
          <w:sz w:val="16"/>
          <w:szCs w:val="16"/>
        </w:rPr>
        <w:lastRenderedPageBreak/>
        <w:t>х годов на протяжении ряда лет существовало мнение, что для достижения больших скоростей полета необходимо иметь чистую форму фюзеляжа, без выступающего фонаря кабины пилота. При этом предполагалось расположить летчика горизонтально, обеспечив ему обзор и возможность управления самолетом в столь непривычном положении. Горизонтальное положение пилота позволяло также уменьшить влияние перегрузок, действующих на организм летчика. Был спроектирован и изготовлен экспериментальный стенд для изучения в лабораторных условиях оптимальных вариантов размещения летчика, расположения приборной доски и рычагов управления. Кроме указанных работ, в АНИТО-МАИ по заданию Аэрофлота спроектировано и разработано специальное колесное шасси. Для Геофизического института спроектировано несколько привязных аэростатов змейкового типа. Бригадой АНИТО-МАИ, в которую вошли сотрудники института Е. Ефимов и А. Бахрамов, разработано и изготовлено лыжно-колесное шасси в соответствии с условиями конкурса ГУ ГВФ. Устройство нового шасси состояло из лыж, которые надевались на колеса. Для управления перемещением лыж в кабине пилота устанавливалась ручка, при вращении которой с помощью гибкого вала лыжи поднимались или опускались относительно осей колес, что позволяло производить посадку на лыжи или на колеса в зависимости от условий посадки (12075).</w:t>
      </w:r>
    </w:p>
    <w:p w14:paraId="7176A74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FFBF7C7"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Другие оборонные отрасли:</w:t>
      </w:r>
    </w:p>
    <w:p w14:paraId="305D74EC"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1D0B4508" w14:textId="77777777" w:rsidR="00CC65A3" w:rsidRPr="005E779E" w:rsidRDefault="00CC65A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В 1931 — 1932 гг. на НИАПе АНИИ в Ленинграде и на полигоне ВОХИМУ (Кузьминки) были первые успешные стрельбы ТТ (такое наименование в то время было присвоено ракетам) навесным огнем на короткие дистанции (300 — 1800 м), после чего командованием УММ было принято решение об их установке на </w:t>
      </w:r>
      <w:hyperlink r:id="rId246"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и. Всего на основании ТТТ в научно-исследовательском отделе (НИО) ВАММ военным инженером 2 ранга Тверским было разработано два проекта ракетного вооружения </w:t>
      </w:r>
      <w:hyperlink r:id="rId247"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а: установка 250-кг ТТ и спаренная установка 250-кг ТТ на </w:t>
      </w:r>
      <w:hyperlink r:id="rId248"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е БТ-5. Более удачным был признан второй вариант проекта легкого колесно-гусеничного ракетного </w:t>
      </w:r>
      <w:hyperlink r:id="rId249"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а, получившего наименование РБТ-5. Этим проектом, разработанным Тверским в конце 1933 г., в качестве дополнительного вооружения </w:t>
      </w:r>
      <w:hyperlink r:id="rId250"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а предусматривалась установка двух 250-кг ТТ. Опытный образец установки был изготовлен на московском заводе № 37, а ее монтаж на опытный </w:t>
      </w:r>
      <w:hyperlink r:id="rId251"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 БТ-5 был осуществлен уже на ХПЗ. Танк РБТ-5 отличался от серийного </w:t>
      </w:r>
      <w:hyperlink r:id="rId252"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а БТ-5 размещением снаружи башни двух установок для пуска 250-кг ТТ (ракет) с сохранением основного оружия — 45-мм </w:t>
      </w:r>
      <w:hyperlink r:id="rId253"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овой пушки. Клепаная конструкция пусковой установки была выполнена по типу фермы, собранной из швеллеров. Каждая ракета хвостовой частью устанавливалась в направляющую втулку и автоматически стопорилась. Уравновешивание установки осуществлялось с помощью специального пружинного механизма. Перед пуском ракеты на поражение производилась предварительная пристрелка цели из 45-мм штатной пушкой и с помощью переходных таблиц вводился поправочный коэффициент в вертикальные углы наведения установки.</w:t>
      </w:r>
    </w:p>
    <w:p w14:paraId="546413B4" w14:textId="77777777" w:rsidR="00CC65A3" w:rsidRPr="005E779E" w:rsidRDefault="00CC65A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Наведение установки в вертикальной плоскости осуществлялось изнутри машины с помощью рукоятки специального подъемного механизма, имевшего две передачи. В горизонтальной плоскости наведение обеспечивалось поворотом башни. Максимальный угол возвышения, составлявший 48°, позволял поражать различные цели на дальности до 1500 м. Выстрел производился с помощью электрозапала. Ракета длиной 1805 мм и диаметром 420 мм состояла из головной части с зарядом взрывчатого вещества (ВВ) (130 кг) и хвостовой части с реактивным зарядом (13,5 кг).</w:t>
      </w:r>
    </w:p>
    <w:p w14:paraId="1E54CB64" w14:textId="77777777" w:rsidR="00CC65A3" w:rsidRPr="005E779E" w:rsidRDefault="00CC65A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Для подрыва ВВ использовались взрыватели от авиационных бомб (мгновенного и замедленного действия). Головная часть взрывателя для защиты от поражения пулями и осколками имела броневой колпак. Малая дальность стрельбы, низкая вероятность поражения цели и высокая уязвимость от пуль и осколков послужили причиной прекращения дальнейших работ над совершенствованием </w:t>
      </w:r>
      <w:hyperlink r:id="rId254"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а РБТ-5. В августе — декабре 1934 г. также велись работы по установке на </w:t>
      </w:r>
      <w:hyperlink r:id="rId255"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е 100-кг (на иллюстрации) и 300-кг торпед.</w:t>
      </w:r>
    </w:p>
    <w:p w14:paraId="360B7D7E" w14:textId="77777777" w:rsidR="00CC65A3" w:rsidRPr="005E779E" w:rsidRDefault="00CC65A3" w:rsidP="000B7A6C">
      <w:pPr>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 xml:space="preserve">Танковая торпеда и пусковая установка не были полностью отработаны, они имели ряд конструктивных недоработок. В тоже время ТТ имела малую дальность стрельбы, низкую вероятность поражения цели и высокую уязвимость от пуль и осколков. Эти причины послужили основанием на прекращение дальнейших работ над </w:t>
      </w:r>
      <w:hyperlink r:id="rId256"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ом РБТ-5 и ТТ. Результаты работ по </w:t>
      </w:r>
      <w:hyperlink r:id="rId257"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 xml:space="preserve">у РБТ-5 легли в основу новых ТТТ предъявляемых к ракетным </w:t>
      </w:r>
      <w:hyperlink r:id="rId258" w:tgtFrame="_blank" w:history="1">
        <w:r w:rsidRPr="005E779E">
          <w:rPr>
            <w:rFonts w:ascii="Times New Roman" w:hAnsi="Times New Roman"/>
            <w:color w:val="000000" w:themeColor="text1"/>
            <w:sz w:val="16"/>
            <w:szCs w:val="16"/>
          </w:rPr>
          <w:t>танк</w:t>
        </w:r>
      </w:hyperlink>
      <w:r w:rsidRPr="005E779E">
        <w:rPr>
          <w:rFonts w:ascii="Times New Roman" w:hAnsi="Times New Roman"/>
          <w:color w:val="000000" w:themeColor="text1"/>
          <w:sz w:val="16"/>
          <w:szCs w:val="16"/>
        </w:rPr>
        <w:t>ам, утвержденных начальником НТО АБТУ РККА 29 января 1935 г. (15628).</w:t>
      </w:r>
    </w:p>
    <w:p w14:paraId="71DA0D28" w14:textId="77777777" w:rsidR="00CC65A3" w:rsidRPr="005E779E" w:rsidRDefault="00CC65A3" w:rsidP="000B7A6C">
      <w:pPr>
        <w:spacing w:after="0" w:line="240" w:lineRule="auto"/>
        <w:jc w:val="both"/>
        <w:rPr>
          <w:rFonts w:ascii="Times New Roman" w:hAnsi="Times New Roman"/>
          <w:color w:val="000000" w:themeColor="text1"/>
          <w:sz w:val="16"/>
          <w:szCs w:val="16"/>
        </w:rPr>
      </w:pPr>
    </w:p>
    <w:p w14:paraId="0C5B3D4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1931-1932 годах использовалась фугасная граната чертежа 4139.</w:t>
      </w:r>
    </w:p>
    <w:p w14:paraId="234B9C53"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Для гранаты чертежа 4139 к 21 августа 1932 года были составлены временные таблицы стрельбы, но в официальные таблицы стрельбы 1934 года и 1942 года она не вошла.</w:t>
      </w:r>
    </w:p>
    <w:p w14:paraId="26B8DE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Гильза.</w:t>
      </w:r>
    </w:p>
    <w:p w14:paraId="1D3B4B8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Гильза получена обрезанием 152-мм гаубичной гильзы до длины 125 мм.</w:t>
      </w:r>
    </w:p>
    <w:p w14:paraId="06CE55A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Вес гильзы 2,655 кг. Все заряды из пороха марки Вл 7/1 (3861).</w:t>
      </w:r>
    </w:p>
    <w:p w14:paraId="34B819E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июне 1934 года закончилось изготовление первого лейнера на автофрежекторной установке фирмы Ансальдо и лейнер отправился на НИАП. После его испытаний было принято решение об изготовлении всех 180-мм пушек Б-1-П с лейнерами. Но большинство изготовленных к 1935 году установок было уже со скрепленными стволами, а из лейнированных орудий ни одно так и не было сдано. Лейнированный ствол состоял из кожуха, трубы со свободно вставленным лейнером и навинтным казенником. Затвор типа Виккерс, двухтактный поршневой, с открыванием рамы затвора вверх (3861).</w:t>
      </w:r>
    </w:p>
    <w:p w14:paraId="15C62B34"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E74288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1930-1931 годах было изготовлено 26 серийных танков Т-24 с 45-мм пушками 6К завода N 8 (3861).</w:t>
      </w:r>
    </w:p>
    <w:p w14:paraId="7943BD8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36CBA37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1930-1931 годах в КБ завода "Большевик" была спроектирована 152-мм сверхдальняя пушка АБ (3861).</w:t>
      </w:r>
    </w:p>
    <w:p w14:paraId="3D4ACC98"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7997BE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1931-1932 годах на основании задания УММА РККА, КБ Ижорского завода разработало новую машина. Бронеавтомобиль получил название "Форд-А Ижорский"(ФАИ) и был запущен в серию с 1933 года (3862).</w:t>
      </w:r>
    </w:p>
    <w:p w14:paraId="4D67D82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3DD4517"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Всего в 1931–1935 гг. заводы изготовили свыше 5000 сухопутных, морских и авиационных пушек Курчевского, то есть от 30 до 50 % от числа заказанных. Военпреды приняли от промышленности не более 2000 орудий, и лишь около 1000 попали в войска. Однако и орудия, попавшие на службу, быстро списывались или переводились в категорию учебных. К 1 ноября 1936 г. в армии имелось 563 пушки Курчевского (БПК, СПК и РК), а во флоте — несколько десятков 76-мм катерных пушек КПК.</w:t>
      </w:r>
    </w:p>
    <w:p w14:paraId="7AB037CD"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итоге к 22 июня 1941 г. в войсках не было ни одной пушки Курчевского. И это при том, что перед войной наши артиллеристы пытались сохранить все, что можно было. Например, на вооружении укрепрайонов состояли сотни орудий образца 1877 г. (12091).</w:t>
      </w:r>
    </w:p>
    <w:p w14:paraId="5559B95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E293BC3" w14:textId="77777777" w:rsidR="005C4849" w:rsidRPr="005E779E" w:rsidRDefault="00874B1E" w:rsidP="000B7A6C">
      <w:pPr>
        <w:autoSpaceDE w:val="0"/>
        <w:autoSpaceDN w:val="0"/>
        <w:adjustRightInd w:val="0"/>
        <w:spacing w:after="0" w:line="240" w:lineRule="auto"/>
        <w:jc w:val="both"/>
        <w:rPr>
          <w:rFonts w:ascii="Times New Roman" w:hAnsi="Times New Roman"/>
          <w:iCs/>
          <w:color w:val="000000" w:themeColor="text1"/>
          <w:sz w:val="16"/>
          <w:szCs w:val="16"/>
        </w:rPr>
      </w:pPr>
      <w:r w:rsidRPr="005E779E">
        <w:rPr>
          <w:rFonts w:ascii="Times New Roman" w:hAnsi="Times New Roman"/>
          <w:i/>
          <w:iCs/>
          <w:color w:val="000000" w:themeColor="text1"/>
          <w:sz w:val="16"/>
          <w:szCs w:val="16"/>
        </w:rPr>
        <w:t>За рубежом:</w:t>
      </w:r>
    </w:p>
    <w:p w14:paraId="3EE6A844" w14:textId="77777777" w:rsidR="005C4849" w:rsidRPr="005E779E" w:rsidRDefault="005C4849" w:rsidP="000B7A6C">
      <w:pPr>
        <w:autoSpaceDE w:val="0"/>
        <w:autoSpaceDN w:val="0"/>
        <w:adjustRightInd w:val="0"/>
        <w:spacing w:after="0" w:line="240" w:lineRule="auto"/>
        <w:jc w:val="both"/>
        <w:rPr>
          <w:rFonts w:ascii="Times New Roman" w:hAnsi="Times New Roman"/>
          <w:iCs/>
          <w:color w:val="000000" w:themeColor="text1"/>
          <w:sz w:val="16"/>
          <w:szCs w:val="16"/>
        </w:rPr>
      </w:pPr>
    </w:p>
    <w:p w14:paraId="31D21F6E"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1931–1932 гг. к разработке крылатых ракет снова вернулся выдающийся специалист в области авиации, артиллерии и ракетной техники Гаэтано Артуро Крокко (1877–1968). В этот раз на своих ракетах он использовал прямоточные воздушно-реактивные двигатели (ПВРД) (</w:t>
      </w:r>
      <w:r w:rsidRPr="005E779E">
        <w:rPr>
          <w:rFonts w:ascii="Times New Roman" w:hAnsi="Times New Roman"/>
          <w:color w:val="000000" w:themeColor="text1"/>
          <w:sz w:val="16"/>
          <w:szCs w:val="16"/>
          <w:lang w:val="en-US"/>
        </w:rPr>
        <w:t>CroccoG</w:t>
      </w:r>
      <w:r w:rsidRPr="005E779E">
        <w:rPr>
          <w:rFonts w:ascii="Times New Roman" w:hAnsi="Times New Roman"/>
          <w:color w:val="000000" w:themeColor="text1"/>
          <w:sz w:val="16"/>
          <w:szCs w:val="16"/>
        </w:rPr>
        <w:t>.</w:t>
      </w:r>
      <w:r w:rsidRPr="005E779E">
        <w:rPr>
          <w:rFonts w:ascii="Times New Roman" w:hAnsi="Times New Roman"/>
          <w:color w:val="000000" w:themeColor="text1"/>
          <w:sz w:val="16"/>
          <w:szCs w:val="16"/>
          <w:lang w:val="en-US"/>
        </w:rPr>
        <w:t>F</w:t>
      </w:r>
      <w:r w:rsidRPr="005E779E">
        <w:rPr>
          <w:rFonts w:ascii="Times New Roman" w:hAnsi="Times New Roman"/>
          <w:color w:val="000000" w:themeColor="text1"/>
          <w:sz w:val="16"/>
          <w:szCs w:val="16"/>
        </w:rPr>
        <w:t xml:space="preserve">. </w:t>
      </w:r>
      <w:r w:rsidRPr="005E779E">
        <w:rPr>
          <w:rFonts w:ascii="Times New Roman" w:hAnsi="Times New Roman"/>
          <w:color w:val="000000" w:themeColor="text1"/>
          <w:sz w:val="16"/>
          <w:szCs w:val="16"/>
          <w:lang w:val="en-US"/>
        </w:rPr>
        <w:t>Flyinginthestratosphere</w:t>
      </w:r>
      <w:r w:rsidRPr="005E779E">
        <w:rPr>
          <w:rFonts w:ascii="Times New Roman" w:hAnsi="Times New Roman"/>
          <w:color w:val="000000" w:themeColor="text1"/>
          <w:sz w:val="16"/>
          <w:szCs w:val="16"/>
        </w:rPr>
        <w:t>. Aircraft Engineering. 1932, Vol. 4, № 41. P. 171–175; № 42. P. 204–209.). Ракета Крокко имела стартовый ускоритель. Его стартовый вес составлял более 1000 кг, из них 400 кг – топливо, 600 кг – полезная нагрузка. Средняя расчетная скорость полета составляла 2500 км/ч. Для достижения высоты 30 км сжигалось 300 кг топлива. В качестве окислителя использовался атмосферный кислород. По расчетным данным автора проекта КР, ее участок выведения составлял 200 км, горизонтальный маршевый участок – 1000 км, участок планирования – 600 км (11686).</w:t>
      </w:r>
    </w:p>
    <w:p w14:paraId="650C99E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2F79E03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В 1931-1932 гг. Бразилия, Аргентина, Колумбия, Боливия, Уругвай, Чили, Никарагуа, Коста-Рика и Перу впервые ввели государственный контроль над валютными операциями. В Аргентине в поисках борьбы с внешнеторговым дефицитом был принят закон, согласно которому стоимость импорта не должна была превышать стоимость аргентинского экспорта (3871).</w:t>
      </w:r>
    </w:p>
    <w:p w14:paraId="719B1330"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p w14:paraId="653C12A5"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r w:rsidRPr="005E779E">
        <w:rPr>
          <w:rFonts w:ascii="Times New Roman" w:hAnsi="Times New Roman"/>
          <w:color w:val="000000" w:themeColor="text1"/>
          <w:sz w:val="16"/>
          <w:szCs w:val="16"/>
        </w:rPr>
        <w:t>Апофеоз романтизма большевиков, когда и ЦАГИ оказалось подмято ОГПУ. Казалось, что усиление персональной ответственности руководства со стороны молодых партийцев, красных инженеров и военных в сочетании с общим укреплением дисциплины в целом по всем направлениям вот-вот дадут стране всего сразу и много. Не получилось, конечно, однако, пошли по пути еще большего закручивания гаек и началось становление административной системы, которая на долгие годы стала единственной формой управления в стране.</w:t>
      </w:r>
    </w:p>
    <w:p w14:paraId="4CA427AC" w14:textId="77777777" w:rsidR="005C4849" w:rsidRPr="005E779E" w:rsidRDefault="005C4849" w:rsidP="000B7A6C">
      <w:pPr>
        <w:autoSpaceDE w:val="0"/>
        <w:autoSpaceDN w:val="0"/>
        <w:adjustRightInd w:val="0"/>
        <w:spacing w:after="0" w:line="240" w:lineRule="auto"/>
        <w:jc w:val="both"/>
        <w:rPr>
          <w:rFonts w:ascii="Times New Roman" w:hAnsi="Times New Roman"/>
          <w:color w:val="000000" w:themeColor="text1"/>
          <w:sz w:val="16"/>
          <w:szCs w:val="16"/>
        </w:rPr>
      </w:pPr>
    </w:p>
    <w:sectPr w:rsidR="005C4849" w:rsidRPr="005E779E" w:rsidSect="009456B2">
      <w:pgSz w:w="11906" w:h="16838"/>
      <w:pgMar w:top="567" w:right="284" w:bottom="567" w:left="28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Narrow">
    <w:panose1 w:val="020B0606020202030204"/>
    <w:charset w:val="CC"/>
    <w:family w:val="swiss"/>
    <w:pitch w:val="variable"/>
    <w:sig w:usb0="00000287" w:usb1="000008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PragmaticaCTT">
    <w:altName w:val="Calibri"/>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Franklin Gothic Demi">
    <w:panose1 w:val="020B0703020102020204"/>
    <w:charset w:val="CC"/>
    <w:family w:val="swiss"/>
    <w:pitch w:val="variable"/>
    <w:sig w:usb0="00000287" w:usb1="00000000" w:usb2="00000000" w:usb3="00000000" w:csb0="0000009F" w:csb1="00000000"/>
  </w:font>
  <w:font w:name="MS Mincho">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panose1 w:val="020B0600000101010101"/>
    <w:charset w:val="81"/>
    <w:family w:val="swiss"/>
    <w:pitch w:val="variable"/>
    <w:sig w:usb0="B00002AF" w:usb1="69D77CFB" w:usb2="00000030" w:usb3="00000000" w:csb0="0008009F" w:csb1="00000000"/>
  </w:font>
  <w:font w:name="Batang">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Century Gothic">
    <w:panose1 w:val="020B0502020202020204"/>
    <w:charset w:val="CC"/>
    <w:family w:val="swiss"/>
    <w:pitch w:val="variable"/>
    <w:sig w:usb0="00000287" w:usb1="00000000" w:usb2="00000000" w:usb3="00000000" w:csb0="0000009F" w:csb1="00000000"/>
  </w:font>
  <w:font w:name="Franklin Gothic Heavy">
    <w:panose1 w:val="020B0903020102020204"/>
    <w:charset w:val="CC"/>
    <w:family w:val="swiss"/>
    <w:pitch w:val="variable"/>
    <w:sig w:usb0="00000287" w:usb1="00000000" w:usb2="00000000" w:usb3="00000000" w:csb0="0000009F" w:csb1="00000000"/>
  </w:font>
  <w:font w:name="TimesNewRoman">
    <w:altName w:val="MS Mincho"/>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000" w:usb1="08070000" w:usb2="00000010" w:usb3="00000000" w:csb0="00020001" w:csb1="00000000"/>
  </w:font>
  <w:font w:name="Symbol">
    <w:panose1 w:val="05050102010706020507"/>
    <w:charset w:val="02"/>
    <w:family w:val="roman"/>
    <w:pitch w:val="variable"/>
    <w:sig w:usb0="00000000" w:usb1="10000000" w:usb2="00000000" w:usb3="00000000" w:csb0="8000000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3"/>
    <w:multiLevelType w:val="multilevel"/>
    <w:tmpl w:val="00000002"/>
    <w:lvl w:ilvl="0">
      <w:start w:val="1"/>
      <w:numFmt w:val="bullet"/>
      <w:lvlText w:val="-"/>
      <w:lvlJc w:val="left"/>
      <w:rPr>
        <w:rFonts w:ascii="Arial Narrow" w:hAnsi="Arial Narrow" w:cs="Arial Narrow"/>
        <w:b w:val="0"/>
        <w:bCs w:val="0"/>
        <w:i w:val="0"/>
        <w:iCs w:val="0"/>
        <w:smallCaps w:val="0"/>
        <w:strike w:val="0"/>
        <w:color w:val="000000"/>
        <w:spacing w:val="0"/>
        <w:w w:val="100"/>
        <w:position w:val="0"/>
        <w:sz w:val="17"/>
        <w:szCs w:val="17"/>
        <w:u w:val="none"/>
      </w:rPr>
    </w:lvl>
    <w:lvl w:ilvl="1">
      <w:start w:val="2"/>
      <w:numFmt w:val="decimal"/>
      <w:lvlText w:val="(%2)"/>
      <w:lvlJc w:val="left"/>
      <w:rPr>
        <w:rFonts w:ascii="Arial Narrow" w:hAnsi="Arial Narrow" w:cs="Arial Narrow"/>
        <w:b w:val="0"/>
        <w:bCs w:val="0"/>
        <w:i w:val="0"/>
        <w:iCs w:val="0"/>
        <w:smallCaps w:val="0"/>
        <w:strike w:val="0"/>
        <w:color w:val="000000"/>
        <w:spacing w:val="0"/>
        <w:w w:val="100"/>
        <w:position w:val="0"/>
        <w:sz w:val="17"/>
        <w:szCs w:val="17"/>
        <w:u w:val="none"/>
      </w:rPr>
    </w:lvl>
    <w:lvl w:ilvl="2">
      <w:start w:val="11"/>
      <w:numFmt w:val="decimal"/>
      <w:lvlText w:val="(%3)"/>
      <w:lvlJc w:val="left"/>
      <w:rPr>
        <w:rFonts w:ascii="Arial Narrow" w:hAnsi="Arial Narrow" w:cs="Arial Narrow"/>
        <w:b w:val="0"/>
        <w:bCs w:val="0"/>
        <w:i w:val="0"/>
        <w:iCs w:val="0"/>
        <w:smallCaps w:val="0"/>
        <w:strike w:val="0"/>
        <w:color w:val="000000"/>
        <w:spacing w:val="0"/>
        <w:w w:val="100"/>
        <w:position w:val="0"/>
        <w:sz w:val="17"/>
        <w:szCs w:val="17"/>
        <w:u w:val="none"/>
      </w:rPr>
    </w:lvl>
    <w:lvl w:ilvl="3">
      <w:start w:val="11"/>
      <w:numFmt w:val="decimal"/>
      <w:lvlText w:val="(%3)"/>
      <w:lvlJc w:val="left"/>
      <w:rPr>
        <w:rFonts w:ascii="Arial Narrow" w:hAnsi="Arial Narrow" w:cs="Arial Narrow"/>
        <w:b w:val="0"/>
        <w:bCs w:val="0"/>
        <w:i w:val="0"/>
        <w:iCs w:val="0"/>
        <w:smallCaps w:val="0"/>
        <w:strike w:val="0"/>
        <w:color w:val="000000"/>
        <w:spacing w:val="0"/>
        <w:w w:val="100"/>
        <w:position w:val="0"/>
        <w:sz w:val="17"/>
        <w:szCs w:val="17"/>
        <w:u w:val="none"/>
      </w:rPr>
    </w:lvl>
    <w:lvl w:ilvl="4">
      <w:start w:val="11"/>
      <w:numFmt w:val="decimal"/>
      <w:lvlText w:val="(%3)"/>
      <w:lvlJc w:val="left"/>
      <w:rPr>
        <w:rFonts w:ascii="Arial Narrow" w:hAnsi="Arial Narrow" w:cs="Arial Narrow"/>
        <w:b w:val="0"/>
        <w:bCs w:val="0"/>
        <w:i w:val="0"/>
        <w:iCs w:val="0"/>
        <w:smallCaps w:val="0"/>
        <w:strike w:val="0"/>
        <w:color w:val="000000"/>
        <w:spacing w:val="0"/>
        <w:w w:val="100"/>
        <w:position w:val="0"/>
        <w:sz w:val="17"/>
        <w:szCs w:val="17"/>
        <w:u w:val="none"/>
      </w:rPr>
    </w:lvl>
    <w:lvl w:ilvl="5">
      <w:start w:val="11"/>
      <w:numFmt w:val="decimal"/>
      <w:lvlText w:val="(%3)"/>
      <w:lvlJc w:val="left"/>
      <w:rPr>
        <w:rFonts w:ascii="Arial Narrow" w:hAnsi="Arial Narrow" w:cs="Arial Narrow"/>
        <w:b w:val="0"/>
        <w:bCs w:val="0"/>
        <w:i w:val="0"/>
        <w:iCs w:val="0"/>
        <w:smallCaps w:val="0"/>
        <w:strike w:val="0"/>
        <w:color w:val="000000"/>
        <w:spacing w:val="0"/>
        <w:w w:val="100"/>
        <w:position w:val="0"/>
        <w:sz w:val="17"/>
        <w:szCs w:val="17"/>
        <w:u w:val="none"/>
      </w:rPr>
    </w:lvl>
    <w:lvl w:ilvl="6">
      <w:start w:val="11"/>
      <w:numFmt w:val="decimal"/>
      <w:lvlText w:val="(%3)"/>
      <w:lvlJc w:val="left"/>
      <w:rPr>
        <w:rFonts w:ascii="Arial Narrow" w:hAnsi="Arial Narrow" w:cs="Arial Narrow"/>
        <w:b w:val="0"/>
        <w:bCs w:val="0"/>
        <w:i w:val="0"/>
        <w:iCs w:val="0"/>
        <w:smallCaps w:val="0"/>
        <w:strike w:val="0"/>
        <w:color w:val="000000"/>
        <w:spacing w:val="0"/>
        <w:w w:val="100"/>
        <w:position w:val="0"/>
        <w:sz w:val="17"/>
        <w:szCs w:val="17"/>
        <w:u w:val="none"/>
      </w:rPr>
    </w:lvl>
    <w:lvl w:ilvl="7">
      <w:start w:val="11"/>
      <w:numFmt w:val="decimal"/>
      <w:lvlText w:val="(%3)"/>
      <w:lvlJc w:val="left"/>
      <w:rPr>
        <w:rFonts w:ascii="Arial Narrow" w:hAnsi="Arial Narrow" w:cs="Arial Narrow"/>
        <w:b w:val="0"/>
        <w:bCs w:val="0"/>
        <w:i w:val="0"/>
        <w:iCs w:val="0"/>
        <w:smallCaps w:val="0"/>
        <w:strike w:val="0"/>
        <w:color w:val="000000"/>
        <w:spacing w:val="0"/>
        <w:w w:val="100"/>
        <w:position w:val="0"/>
        <w:sz w:val="17"/>
        <w:szCs w:val="17"/>
        <w:u w:val="none"/>
      </w:rPr>
    </w:lvl>
    <w:lvl w:ilvl="8">
      <w:start w:val="11"/>
      <w:numFmt w:val="decimal"/>
      <w:lvlText w:val="(%3)"/>
      <w:lvlJc w:val="left"/>
      <w:rPr>
        <w:rFonts w:ascii="Arial Narrow" w:hAnsi="Arial Narrow" w:cs="Arial Narrow"/>
        <w:b w:val="0"/>
        <w:bCs w:val="0"/>
        <w:i w:val="0"/>
        <w:iCs w:val="0"/>
        <w:smallCaps w:val="0"/>
        <w:strike w:val="0"/>
        <w:color w:val="000000"/>
        <w:spacing w:val="0"/>
        <w:w w:val="100"/>
        <w:position w:val="0"/>
        <w:sz w:val="17"/>
        <w:szCs w:val="17"/>
        <w:u w:val="none"/>
      </w:rPr>
    </w:lvl>
  </w:abstractNum>
  <w:abstractNum w:abstractNumId="1" w15:restartNumberingAfterBreak="0">
    <w:nsid w:val="00000005"/>
    <w:multiLevelType w:val="multilevel"/>
    <w:tmpl w:val="00000004"/>
    <w:lvl w:ilvl="0">
      <w:start w:val="1"/>
      <w:numFmt w:val="bullet"/>
      <w:lvlText w:val="-"/>
      <w:lvlJc w:val="left"/>
      <w:rPr>
        <w:rFonts w:ascii="Arial Narrow" w:hAnsi="Arial Narrow" w:cs="Arial Narrow"/>
        <w:b w:val="0"/>
        <w:bCs w:val="0"/>
        <w:i w:val="0"/>
        <w:iCs w:val="0"/>
        <w:smallCaps w:val="0"/>
        <w:strike w:val="0"/>
        <w:color w:val="000000"/>
        <w:spacing w:val="0"/>
        <w:w w:val="100"/>
        <w:position w:val="0"/>
        <w:sz w:val="17"/>
        <w:szCs w:val="17"/>
        <w:u w:val="none"/>
      </w:rPr>
    </w:lvl>
    <w:lvl w:ilvl="1">
      <w:start w:val="1932"/>
      <w:numFmt w:val="decimal"/>
      <w:lvlText w:val="%2"/>
      <w:lvlJc w:val="left"/>
      <w:rPr>
        <w:rFonts w:ascii="Arial Narrow" w:hAnsi="Arial Narrow" w:cs="Arial Narrow"/>
        <w:b w:val="0"/>
        <w:bCs w:val="0"/>
        <w:i w:val="0"/>
        <w:iCs w:val="0"/>
        <w:smallCaps w:val="0"/>
        <w:strike w:val="0"/>
        <w:color w:val="000000"/>
        <w:spacing w:val="0"/>
        <w:w w:val="100"/>
        <w:position w:val="0"/>
        <w:sz w:val="17"/>
        <w:szCs w:val="17"/>
        <w:u w:val="none"/>
      </w:rPr>
    </w:lvl>
    <w:lvl w:ilvl="2">
      <w:start w:val="1932"/>
      <w:numFmt w:val="decimal"/>
      <w:lvlText w:val="%2"/>
      <w:lvlJc w:val="left"/>
      <w:rPr>
        <w:rFonts w:ascii="Arial Narrow" w:hAnsi="Arial Narrow" w:cs="Arial Narrow"/>
        <w:b w:val="0"/>
        <w:bCs w:val="0"/>
        <w:i w:val="0"/>
        <w:iCs w:val="0"/>
        <w:smallCaps w:val="0"/>
        <w:strike w:val="0"/>
        <w:color w:val="000000"/>
        <w:spacing w:val="0"/>
        <w:w w:val="100"/>
        <w:position w:val="0"/>
        <w:sz w:val="17"/>
        <w:szCs w:val="17"/>
        <w:u w:val="none"/>
      </w:rPr>
    </w:lvl>
    <w:lvl w:ilvl="3">
      <w:start w:val="1932"/>
      <w:numFmt w:val="decimal"/>
      <w:lvlText w:val="%2"/>
      <w:lvlJc w:val="left"/>
      <w:rPr>
        <w:rFonts w:ascii="Arial Narrow" w:hAnsi="Arial Narrow" w:cs="Arial Narrow"/>
        <w:b w:val="0"/>
        <w:bCs w:val="0"/>
        <w:i w:val="0"/>
        <w:iCs w:val="0"/>
        <w:smallCaps w:val="0"/>
        <w:strike w:val="0"/>
        <w:color w:val="000000"/>
        <w:spacing w:val="0"/>
        <w:w w:val="100"/>
        <w:position w:val="0"/>
        <w:sz w:val="17"/>
        <w:szCs w:val="17"/>
        <w:u w:val="none"/>
      </w:rPr>
    </w:lvl>
    <w:lvl w:ilvl="4">
      <w:start w:val="1932"/>
      <w:numFmt w:val="decimal"/>
      <w:lvlText w:val="%2"/>
      <w:lvlJc w:val="left"/>
      <w:rPr>
        <w:rFonts w:ascii="Arial Narrow" w:hAnsi="Arial Narrow" w:cs="Arial Narrow"/>
        <w:b w:val="0"/>
        <w:bCs w:val="0"/>
        <w:i w:val="0"/>
        <w:iCs w:val="0"/>
        <w:smallCaps w:val="0"/>
        <w:strike w:val="0"/>
        <w:color w:val="000000"/>
        <w:spacing w:val="0"/>
        <w:w w:val="100"/>
        <w:position w:val="0"/>
        <w:sz w:val="17"/>
        <w:szCs w:val="17"/>
        <w:u w:val="none"/>
      </w:rPr>
    </w:lvl>
    <w:lvl w:ilvl="5">
      <w:start w:val="1932"/>
      <w:numFmt w:val="decimal"/>
      <w:lvlText w:val="%2"/>
      <w:lvlJc w:val="left"/>
      <w:rPr>
        <w:rFonts w:ascii="Arial Narrow" w:hAnsi="Arial Narrow" w:cs="Arial Narrow"/>
        <w:b w:val="0"/>
        <w:bCs w:val="0"/>
        <w:i w:val="0"/>
        <w:iCs w:val="0"/>
        <w:smallCaps w:val="0"/>
        <w:strike w:val="0"/>
        <w:color w:val="000000"/>
        <w:spacing w:val="0"/>
        <w:w w:val="100"/>
        <w:position w:val="0"/>
        <w:sz w:val="17"/>
        <w:szCs w:val="17"/>
        <w:u w:val="none"/>
      </w:rPr>
    </w:lvl>
    <w:lvl w:ilvl="6">
      <w:start w:val="1932"/>
      <w:numFmt w:val="decimal"/>
      <w:lvlText w:val="%2"/>
      <w:lvlJc w:val="left"/>
      <w:rPr>
        <w:rFonts w:ascii="Arial Narrow" w:hAnsi="Arial Narrow" w:cs="Arial Narrow"/>
        <w:b w:val="0"/>
        <w:bCs w:val="0"/>
        <w:i w:val="0"/>
        <w:iCs w:val="0"/>
        <w:smallCaps w:val="0"/>
        <w:strike w:val="0"/>
        <w:color w:val="000000"/>
        <w:spacing w:val="0"/>
        <w:w w:val="100"/>
        <w:position w:val="0"/>
        <w:sz w:val="17"/>
        <w:szCs w:val="17"/>
        <w:u w:val="none"/>
      </w:rPr>
    </w:lvl>
    <w:lvl w:ilvl="7">
      <w:start w:val="1932"/>
      <w:numFmt w:val="decimal"/>
      <w:lvlText w:val="%2"/>
      <w:lvlJc w:val="left"/>
      <w:rPr>
        <w:rFonts w:ascii="Arial Narrow" w:hAnsi="Arial Narrow" w:cs="Arial Narrow"/>
        <w:b w:val="0"/>
        <w:bCs w:val="0"/>
        <w:i w:val="0"/>
        <w:iCs w:val="0"/>
        <w:smallCaps w:val="0"/>
        <w:strike w:val="0"/>
        <w:color w:val="000000"/>
        <w:spacing w:val="0"/>
        <w:w w:val="100"/>
        <w:position w:val="0"/>
        <w:sz w:val="17"/>
        <w:szCs w:val="17"/>
        <w:u w:val="none"/>
      </w:rPr>
    </w:lvl>
    <w:lvl w:ilvl="8">
      <w:start w:val="1932"/>
      <w:numFmt w:val="decimal"/>
      <w:lvlText w:val="%2"/>
      <w:lvlJc w:val="left"/>
      <w:rPr>
        <w:rFonts w:ascii="Arial Narrow" w:hAnsi="Arial Narrow" w:cs="Arial Narrow"/>
        <w:b w:val="0"/>
        <w:bCs w:val="0"/>
        <w:i w:val="0"/>
        <w:iCs w:val="0"/>
        <w:smallCaps w:val="0"/>
        <w:strike w:val="0"/>
        <w:color w:val="000000"/>
        <w:spacing w:val="0"/>
        <w:w w:val="100"/>
        <w:position w:val="0"/>
        <w:sz w:val="17"/>
        <w:szCs w:val="17"/>
        <w:u w:val="none"/>
      </w:rPr>
    </w:lvl>
  </w:abstractNum>
  <w:abstractNum w:abstractNumId="2" w15:restartNumberingAfterBreak="0">
    <w:nsid w:val="07E1699B"/>
    <w:multiLevelType w:val="multilevel"/>
    <w:tmpl w:val="764EEF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9071317"/>
    <w:multiLevelType w:val="multilevel"/>
    <w:tmpl w:val="13CCD2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7DE4C19"/>
    <w:multiLevelType w:val="multilevel"/>
    <w:tmpl w:val="2A9E55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5223C19"/>
    <w:multiLevelType w:val="multilevel"/>
    <w:tmpl w:val="81AE88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9BF2DD1"/>
    <w:multiLevelType w:val="multilevel"/>
    <w:tmpl w:val="CF22C1B8"/>
    <w:lvl w:ilvl="0">
      <w:start w:val="1"/>
      <w:numFmt w:val="russianLower"/>
      <w:lvlText w:val="%1)"/>
      <w:lvlJc w:val="left"/>
      <w:rPr>
        <w:rFonts w:ascii="Times New Roman" w:eastAsia="Times New Roman" w:hAnsi="Times New Roman" w:cs="Times New Roman"/>
        <w:b w:val="0"/>
        <w:bCs w:val="0"/>
        <w:i/>
        <w:iCs/>
        <w:smallCaps w:val="0"/>
        <w:strike w:val="0"/>
        <w:color w:val="000000"/>
        <w:spacing w:val="0"/>
        <w:w w:val="100"/>
        <w:position w:val="0"/>
        <w:sz w:val="17"/>
        <w:szCs w:val="17"/>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2E581781"/>
    <w:multiLevelType w:val="multilevel"/>
    <w:tmpl w:val="C34005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98E48B4"/>
    <w:multiLevelType w:val="multilevel"/>
    <w:tmpl w:val="BBB82B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AAF7B0F"/>
    <w:multiLevelType w:val="multilevel"/>
    <w:tmpl w:val="6A50EC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B474870"/>
    <w:multiLevelType w:val="multilevel"/>
    <w:tmpl w:val="546E72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B637B19"/>
    <w:multiLevelType w:val="multilevel"/>
    <w:tmpl w:val="946EB7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432A6FF5"/>
    <w:multiLevelType w:val="multilevel"/>
    <w:tmpl w:val="B7A849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44CE4A4C"/>
    <w:multiLevelType w:val="multilevel"/>
    <w:tmpl w:val="196CA7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8453953"/>
    <w:multiLevelType w:val="multilevel"/>
    <w:tmpl w:val="E012CD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587A0BC8"/>
    <w:multiLevelType w:val="multilevel"/>
    <w:tmpl w:val="70282B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597C2D77"/>
    <w:multiLevelType w:val="multilevel"/>
    <w:tmpl w:val="F0E8AB40"/>
    <w:lvl w:ilvl="0">
      <w:start w:val="1"/>
      <w:numFmt w:val="decimal"/>
      <w:lvlText w:val="%1."/>
      <w:lvlJc w:val="left"/>
      <w:rPr>
        <w:rFonts w:ascii="Times New Roman" w:eastAsia="Times New Roman" w:hAnsi="Times New Roman" w:cs="Times New Roman"/>
        <w:b w:val="0"/>
        <w:bCs w:val="0"/>
        <w:i/>
        <w:iCs/>
        <w:smallCaps w:val="0"/>
        <w:strike w:val="0"/>
        <w:color w:val="000000"/>
        <w:spacing w:val="0"/>
        <w:w w:val="100"/>
        <w:position w:val="0"/>
        <w:sz w:val="17"/>
        <w:szCs w:val="17"/>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61DB6D06"/>
    <w:multiLevelType w:val="multilevel"/>
    <w:tmpl w:val="A2F63C18"/>
    <w:lvl w:ilvl="0">
      <w:start w:val="1"/>
      <w:numFmt w:val="bullet"/>
      <w:lvlText w:val="-"/>
      <w:lvlJc w:val="left"/>
      <w:rPr>
        <w:rFonts w:ascii="Arial Narrow" w:eastAsia="Arial Narrow" w:hAnsi="Arial Narrow" w:cs="Arial Narrow"/>
        <w:b w:val="0"/>
        <w:bCs w:val="0"/>
        <w:i w:val="0"/>
        <w:iCs w:val="0"/>
        <w:smallCaps w:val="0"/>
        <w:strike w:val="0"/>
        <w:color w:val="000000"/>
        <w:spacing w:val="0"/>
        <w:w w:val="100"/>
        <w:position w:val="0"/>
        <w:sz w:val="17"/>
        <w:szCs w:val="17"/>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651053AF"/>
    <w:multiLevelType w:val="multilevel"/>
    <w:tmpl w:val="6F463FB6"/>
    <w:lvl w:ilvl="0">
      <w:start w:val="1"/>
      <w:numFmt w:val="bullet"/>
      <w:lvlText w:val="—"/>
      <w:lvlJc w:val="left"/>
      <w:rPr>
        <w:rFonts w:ascii="Arial Narrow" w:eastAsia="Arial Narrow" w:hAnsi="Arial Narrow" w:cs="Arial Narrow"/>
        <w:b w:val="0"/>
        <w:bCs w:val="0"/>
        <w:i/>
        <w:iCs/>
        <w:smallCaps w:val="0"/>
        <w:strike w:val="0"/>
        <w:color w:val="000000"/>
        <w:spacing w:val="0"/>
        <w:w w:val="100"/>
        <w:position w:val="0"/>
        <w:sz w:val="17"/>
        <w:szCs w:val="17"/>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15:restartNumberingAfterBreak="0">
    <w:nsid w:val="69274E77"/>
    <w:multiLevelType w:val="multilevel"/>
    <w:tmpl w:val="DC16DB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6A4A5F75"/>
    <w:multiLevelType w:val="multilevel"/>
    <w:tmpl w:val="983CAF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6D203EC8"/>
    <w:multiLevelType w:val="multilevel"/>
    <w:tmpl w:val="94B6A7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6FE32419"/>
    <w:multiLevelType w:val="multilevel"/>
    <w:tmpl w:val="216A58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7365465F"/>
    <w:multiLevelType w:val="multilevel"/>
    <w:tmpl w:val="BC1AAF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7B2E6C66"/>
    <w:multiLevelType w:val="multilevel"/>
    <w:tmpl w:val="B0E27E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7DF731E3"/>
    <w:multiLevelType w:val="multilevel"/>
    <w:tmpl w:val="335CBC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7EE27788"/>
    <w:multiLevelType w:val="multilevel"/>
    <w:tmpl w:val="B8842F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2090613812">
    <w:abstractNumId w:val="17"/>
  </w:num>
  <w:num w:numId="2" w16cid:durableId="2022387614">
    <w:abstractNumId w:val="18"/>
  </w:num>
  <w:num w:numId="3" w16cid:durableId="259995511">
    <w:abstractNumId w:val="0"/>
  </w:num>
  <w:num w:numId="4" w16cid:durableId="387190813">
    <w:abstractNumId w:val="1"/>
  </w:num>
  <w:num w:numId="5" w16cid:durableId="1689211772">
    <w:abstractNumId w:val="8"/>
  </w:num>
  <w:num w:numId="6" w16cid:durableId="1779718684">
    <w:abstractNumId w:val="7"/>
  </w:num>
  <w:num w:numId="7" w16cid:durableId="81075762">
    <w:abstractNumId w:val="15"/>
  </w:num>
  <w:num w:numId="8" w16cid:durableId="446241982">
    <w:abstractNumId w:val="26"/>
  </w:num>
  <w:num w:numId="9" w16cid:durableId="1478957794">
    <w:abstractNumId w:val="23"/>
  </w:num>
  <w:num w:numId="10" w16cid:durableId="1097751388">
    <w:abstractNumId w:val="24"/>
  </w:num>
  <w:num w:numId="11" w16cid:durableId="1494180486">
    <w:abstractNumId w:val="24"/>
    <w:lvlOverride w:ilvl="0">
      <w:startOverride w:val="2"/>
    </w:lvlOverride>
  </w:num>
  <w:num w:numId="12" w16cid:durableId="647588973">
    <w:abstractNumId w:val="24"/>
    <w:lvlOverride w:ilvl="0">
      <w:startOverride w:val="3"/>
    </w:lvlOverride>
  </w:num>
  <w:num w:numId="13" w16cid:durableId="1208881870">
    <w:abstractNumId w:val="24"/>
    <w:lvlOverride w:ilvl="0">
      <w:startOverride w:val="4"/>
    </w:lvlOverride>
  </w:num>
  <w:num w:numId="14" w16cid:durableId="1389458449">
    <w:abstractNumId w:val="24"/>
    <w:lvlOverride w:ilvl="0">
      <w:startOverride w:val="5"/>
    </w:lvlOverride>
  </w:num>
  <w:num w:numId="15" w16cid:durableId="2069108479">
    <w:abstractNumId w:val="2"/>
    <w:lvlOverride w:ilvl="0">
      <w:startOverride w:val="2"/>
    </w:lvlOverride>
  </w:num>
  <w:num w:numId="16" w16cid:durableId="1693262151">
    <w:abstractNumId w:val="2"/>
    <w:lvlOverride w:ilvl="0">
      <w:startOverride w:val="3"/>
    </w:lvlOverride>
  </w:num>
  <w:num w:numId="17" w16cid:durableId="845941534">
    <w:abstractNumId w:val="2"/>
    <w:lvlOverride w:ilvl="0">
      <w:startOverride w:val="4"/>
    </w:lvlOverride>
  </w:num>
  <w:num w:numId="18" w16cid:durableId="1683894853">
    <w:abstractNumId w:val="3"/>
    <w:lvlOverride w:ilvl="0">
      <w:startOverride w:val="5"/>
    </w:lvlOverride>
  </w:num>
  <w:num w:numId="19" w16cid:durableId="62993538">
    <w:abstractNumId w:val="20"/>
    <w:lvlOverride w:ilvl="0">
      <w:startOverride w:val="6"/>
    </w:lvlOverride>
  </w:num>
  <w:num w:numId="20" w16cid:durableId="625627899">
    <w:abstractNumId w:val="12"/>
    <w:lvlOverride w:ilvl="0">
      <w:startOverride w:val="7"/>
    </w:lvlOverride>
  </w:num>
  <w:num w:numId="21" w16cid:durableId="2013875007">
    <w:abstractNumId w:val="9"/>
    <w:lvlOverride w:ilvl="0">
      <w:startOverride w:val="8"/>
    </w:lvlOverride>
  </w:num>
  <w:num w:numId="22" w16cid:durableId="701516204">
    <w:abstractNumId w:val="19"/>
  </w:num>
  <w:num w:numId="23" w16cid:durableId="1300265737">
    <w:abstractNumId w:val="4"/>
    <w:lvlOverride w:ilvl="0">
      <w:startOverride w:val="2"/>
    </w:lvlOverride>
  </w:num>
  <w:num w:numId="24" w16cid:durableId="1048795130">
    <w:abstractNumId w:val="11"/>
  </w:num>
  <w:num w:numId="25" w16cid:durableId="516046569">
    <w:abstractNumId w:val="5"/>
    <w:lvlOverride w:ilvl="0">
      <w:startOverride w:val="2"/>
    </w:lvlOverride>
  </w:num>
  <w:num w:numId="26" w16cid:durableId="74086693">
    <w:abstractNumId w:val="14"/>
    <w:lvlOverride w:ilvl="0">
      <w:startOverride w:val="3"/>
    </w:lvlOverride>
  </w:num>
  <w:num w:numId="27" w16cid:durableId="754473519">
    <w:abstractNumId w:val="13"/>
  </w:num>
  <w:num w:numId="28" w16cid:durableId="692731331">
    <w:abstractNumId w:val="10"/>
  </w:num>
  <w:num w:numId="29" w16cid:durableId="151453878">
    <w:abstractNumId w:val="25"/>
    <w:lvlOverride w:ilvl="0">
      <w:startOverride w:val="2"/>
    </w:lvlOverride>
  </w:num>
  <w:num w:numId="30" w16cid:durableId="1797411985">
    <w:abstractNumId w:val="25"/>
    <w:lvlOverride w:ilvl="0">
      <w:startOverride w:val="3"/>
    </w:lvlOverride>
  </w:num>
  <w:num w:numId="31" w16cid:durableId="1718701765">
    <w:abstractNumId w:val="25"/>
    <w:lvlOverride w:ilvl="0">
      <w:startOverride w:val="4"/>
    </w:lvlOverride>
  </w:num>
  <w:num w:numId="32" w16cid:durableId="1839343858">
    <w:abstractNumId w:val="25"/>
    <w:lvlOverride w:ilvl="0">
      <w:startOverride w:val="5"/>
    </w:lvlOverride>
  </w:num>
  <w:num w:numId="33" w16cid:durableId="926618768">
    <w:abstractNumId w:val="25"/>
    <w:lvlOverride w:ilvl="0">
      <w:startOverride w:val="6"/>
    </w:lvlOverride>
  </w:num>
  <w:num w:numId="34" w16cid:durableId="763721760">
    <w:abstractNumId w:val="25"/>
    <w:lvlOverride w:ilvl="0">
      <w:startOverride w:val="7"/>
    </w:lvlOverride>
  </w:num>
  <w:num w:numId="35" w16cid:durableId="1671710181">
    <w:abstractNumId w:val="25"/>
    <w:lvlOverride w:ilvl="0">
      <w:startOverride w:val="8"/>
    </w:lvlOverride>
  </w:num>
  <w:num w:numId="36" w16cid:durableId="299919613">
    <w:abstractNumId w:val="25"/>
    <w:lvlOverride w:ilvl="0">
      <w:startOverride w:val="9"/>
    </w:lvlOverride>
  </w:num>
  <w:num w:numId="37" w16cid:durableId="51857210">
    <w:abstractNumId w:val="25"/>
    <w:lvlOverride w:ilvl="0">
      <w:startOverride w:val="10"/>
    </w:lvlOverride>
  </w:num>
  <w:num w:numId="38" w16cid:durableId="912281708">
    <w:abstractNumId w:val="22"/>
  </w:num>
  <w:num w:numId="39" w16cid:durableId="1125656467">
    <w:abstractNumId w:val="21"/>
    <w:lvlOverride w:ilvl="0">
      <w:startOverride w:val="2"/>
    </w:lvlOverride>
  </w:num>
  <w:num w:numId="40" w16cid:durableId="1594898370">
    <w:abstractNumId w:val="21"/>
    <w:lvlOverride w:ilvl="0">
      <w:startOverride w:val="3"/>
    </w:lvlOverride>
  </w:num>
  <w:num w:numId="41" w16cid:durableId="1299725018">
    <w:abstractNumId w:val="16"/>
  </w:num>
  <w:num w:numId="42" w16cid:durableId="12631676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hideSpellingErrors/>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30AF"/>
    <w:rsid w:val="00006DDF"/>
    <w:rsid w:val="0001378D"/>
    <w:rsid w:val="00015826"/>
    <w:rsid w:val="00017026"/>
    <w:rsid w:val="00021C0B"/>
    <w:rsid w:val="00024A7A"/>
    <w:rsid w:val="00024EF9"/>
    <w:rsid w:val="00027288"/>
    <w:rsid w:val="000306D2"/>
    <w:rsid w:val="00030986"/>
    <w:rsid w:val="00030B11"/>
    <w:rsid w:val="00033436"/>
    <w:rsid w:val="00033D69"/>
    <w:rsid w:val="00033E6C"/>
    <w:rsid w:val="00035626"/>
    <w:rsid w:val="00037DC4"/>
    <w:rsid w:val="00040508"/>
    <w:rsid w:val="00043DC3"/>
    <w:rsid w:val="000455FA"/>
    <w:rsid w:val="0004566E"/>
    <w:rsid w:val="00045BB8"/>
    <w:rsid w:val="00045E46"/>
    <w:rsid w:val="00052365"/>
    <w:rsid w:val="000534E3"/>
    <w:rsid w:val="00053BF0"/>
    <w:rsid w:val="00053C2F"/>
    <w:rsid w:val="00054ED8"/>
    <w:rsid w:val="0005751F"/>
    <w:rsid w:val="00062BDD"/>
    <w:rsid w:val="00063F82"/>
    <w:rsid w:val="00065021"/>
    <w:rsid w:val="000674C1"/>
    <w:rsid w:val="000700C8"/>
    <w:rsid w:val="000701C9"/>
    <w:rsid w:val="00072DD8"/>
    <w:rsid w:val="000730D5"/>
    <w:rsid w:val="0007328B"/>
    <w:rsid w:val="00074A78"/>
    <w:rsid w:val="00075367"/>
    <w:rsid w:val="00076139"/>
    <w:rsid w:val="00083CD8"/>
    <w:rsid w:val="000868EC"/>
    <w:rsid w:val="00086AB8"/>
    <w:rsid w:val="00090A76"/>
    <w:rsid w:val="00090C68"/>
    <w:rsid w:val="00091E56"/>
    <w:rsid w:val="000924C2"/>
    <w:rsid w:val="000929C3"/>
    <w:rsid w:val="00093149"/>
    <w:rsid w:val="00094AE4"/>
    <w:rsid w:val="000A57D7"/>
    <w:rsid w:val="000A615A"/>
    <w:rsid w:val="000B1FE7"/>
    <w:rsid w:val="000B4A7D"/>
    <w:rsid w:val="000B7A6C"/>
    <w:rsid w:val="000B7ADA"/>
    <w:rsid w:val="000C0715"/>
    <w:rsid w:val="000C1B8D"/>
    <w:rsid w:val="000C2E8E"/>
    <w:rsid w:val="000C5145"/>
    <w:rsid w:val="000C5254"/>
    <w:rsid w:val="000D04DE"/>
    <w:rsid w:val="000D6967"/>
    <w:rsid w:val="000E0163"/>
    <w:rsid w:val="000E52C6"/>
    <w:rsid w:val="000E62C2"/>
    <w:rsid w:val="000E68B0"/>
    <w:rsid w:val="000F00CB"/>
    <w:rsid w:val="000F17FB"/>
    <w:rsid w:val="000F1D6E"/>
    <w:rsid w:val="000F30A8"/>
    <w:rsid w:val="000F3BEF"/>
    <w:rsid w:val="000F4C20"/>
    <w:rsid w:val="000F5416"/>
    <w:rsid w:val="001002C3"/>
    <w:rsid w:val="00113D98"/>
    <w:rsid w:val="001209D1"/>
    <w:rsid w:val="00121858"/>
    <w:rsid w:val="00132B05"/>
    <w:rsid w:val="00135C09"/>
    <w:rsid w:val="0014006D"/>
    <w:rsid w:val="001422F1"/>
    <w:rsid w:val="00144B93"/>
    <w:rsid w:val="00145594"/>
    <w:rsid w:val="00145AFC"/>
    <w:rsid w:val="00147C8B"/>
    <w:rsid w:val="00150954"/>
    <w:rsid w:val="00150B7E"/>
    <w:rsid w:val="001522BB"/>
    <w:rsid w:val="00154AB9"/>
    <w:rsid w:val="00157036"/>
    <w:rsid w:val="00162C5B"/>
    <w:rsid w:val="00164C8C"/>
    <w:rsid w:val="00166A21"/>
    <w:rsid w:val="00170265"/>
    <w:rsid w:val="001707A1"/>
    <w:rsid w:val="001721E5"/>
    <w:rsid w:val="001733DC"/>
    <w:rsid w:val="00175890"/>
    <w:rsid w:val="00181C0F"/>
    <w:rsid w:val="00183B79"/>
    <w:rsid w:val="00190478"/>
    <w:rsid w:val="00190C71"/>
    <w:rsid w:val="00193905"/>
    <w:rsid w:val="0019393F"/>
    <w:rsid w:val="0019470D"/>
    <w:rsid w:val="001A30FC"/>
    <w:rsid w:val="001A34C7"/>
    <w:rsid w:val="001A3E40"/>
    <w:rsid w:val="001A6B4D"/>
    <w:rsid w:val="001A7FA6"/>
    <w:rsid w:val="001B5062"/>
    <w:rsid w:val="001B5144"/>
    <w:rsid w:val="001B6E91"/>
    <w:rsid w:val="001C49A2"/>
    <w:rsid w:val="001C4D6B"/>
    <w:rsid w:val="001D0400"/>
    <w:rsid w:val="001D074B"/>
    <w:rsid w:val="001D168C"/>
    <w:rsid w:val="001D4870"/>
    <w:rsid w:val="001D6222"/>
    <w:rsid w:val="001D6FA0"/>
    <w:rsid w:val="001E1932"/>
    <w:rsid w:val="001E2DBB"/>
    <w:rsid w:val="001E4981"/>
    <w:rsid w:val="001E6C64"/>
    <w:rsid w:val="001E7B51"/>
    <w:rsid w:val="001F2DE9"/>
    <w:rsid w:val="001F6C7F"/>
    <w:rsid w:val="001F7908"/>
    <w:rsid w:val="001F7F26"/>
    <w:rsid w:val="0020231B"/>
    <w:rsid w:val="00203904"/>
    <w:rsid w:val="00213252"/>
    <w:rsid w:val="002206BB"/>
    <w:rsid w:val="00221006"/>
    <w:rsid w:val="00221F71"/>
    <w:rsid w:val="00225E06"/>
    <w:rsid w:val="00237152"/>
    <w:rsid w:val="0023773B"/>
    <w:rsid w:val="002431C2"/>
    <w:rsid w:val="00245CB3"/>
    <w:rsid w:val="002460F7"/>
    <w:rsid w:val="002527AE"/>
    <w:rsid w:val="00252EFE"/>
    <w:rsid w:val="002542A5"/>
    <w:rsid w:val="00256002"/>
    <w:rsid w:val="002565A3"/>
    <w:rsid w:val="0026014F"/>
    <w:rsid w:val="002629BF"/>
    <w:rsid w:val="002662B0"/>
    <w:rsid w:val="002733A2"/>
    <w:rsid w:val="002739C9"/>
    <w:rsid w:val="00274CEA"/>
    <w:rsid w:val="002759FC"/>
    <w:rsid w:val="00285ABF"/>
    <w:rsid w:val="00285B3D"/>
    <w:rsid w:val="0029207E"/>
    <w:rsid w:val="00293871"/>
    <w:rsid w:val="00293FAB"/>
    <w:rsid w:val="00295B66"/>
    <w:rsid w:val="002A3A34"/>
    <w:rsid w:val="002A49F7"/>
    <w:rsid w:val="002B6BEE"/>
    <w:rsid w:val="002B7F13"/>
    <w:rsid w:val="002C0192"/>
    <w:rsid w:val="002C06C5"/>
    <w:rsid w:val="002C4AC9"/>
    <w:rsid w:val="002D2823"/>
    <w:rsid w:val="002D39AF"/>
    <w:rsid w:val="002D5325"/>
    <w:rsid w:val="002E083D"/>
    <w:rsid w:val="002E0A40"/>
    <w:rsid w:val="002E1C7A"/>
    <w:rsid w:val="002E1EC2"/>
    <w:rsid w:val="002E2179"/>
    <w:rsid w:val="002E21EC"/>
    <w:rsid w:val="002E24E6"/>
    <w:rsid w:val="002E2960"/>
    <w:rsid w:val="002E524B"/>
    <w:rsid w:val="00301740"/>
    <w:rsid w:val="00303361"/>
    <w:rsid w:val="00312320"/>
    <w:rsid w:val="003159CA"/>
    <w:rsid w:val="0032095F"/>
    <w:rsid w:val="003210F7"/>
    <w:rsid w:val="00323FFD"/>
    <w:rsid w:val="003250DD"/>
    <w:rsid w:val="003261DE"/>
    <w:rsid w:val="00326A52"/>
    <w:rsid w:val="00326F0F"/>
    <w:rsid w:val="00332C4C"/>
    <w:rsid w:val="00337035"/>
    <w:rsid w:val="003371BD"/>
    <w:rsid w:val="0033769F"/>
    <w:rsid w:val="0034103F"/>
    <w:rsid w:val="003431F0"/>
    <w:rsid w:val="0034631F"/>
    <w:rsid w:val="00346741"/>
    <w:rsid w:val="0034735B"/>
    <w:rsid w:val="00347672"/>
    <w:rsid w:val="00353841"/>
    <w:rsid w:val="00354892"/>
    <w:rsid w:val="003562F3"/>
    <w:rsid w:val="00357876"/>
    <w:rsid w:val="00360440"/>
    <w:rsid w:val="00365C94"/>
    <w:rsid w:val="00370FDB"/>
    <w:rsid w:val="003740E0"/>
    <w:rsid w:val="0037523F"/>
    <w:rsid w:val="00382475"/>
    <w:rsid w:val="0039152D"/>
    <w:rsid w:val="00392001"/>
    <w:rsid w:val="003A03A7"/>
    <w:rsid w:val="003A4591"/>
    <w:rsid w:val="003B2CD8"/>
    <w:rsid w:val="003B2F50"/>
    <w:rsid w:val="003B31EB"/>
    <w:rsid w:val="003B4A71"/>
    <w:rsid w:val="003B4AB7"/>
    <w:rsid w:val="003B5258"/>
    <w:rsid w:val="003C0F10"/>
    <w:rsid w:val="003C29EC"/>
    <w:rsid w:val="003C2BD8"/>
    <w:rsid w:val="003C794C"/>
    <w:rsid w:val="003D7472"/>
    <w:rsid w:val="003E00E3"/>
    <w:rsid w:val="003E0642"/>
    <w:rsid w:val="003E068A"/>
    <w:rsid w:val="003E1D1C"/>
    <w:rsid w:val="003E2874"/>
    <w:rsid w:val="003E28CB"/>
    <w:rsid w:val="003E34FF"/>
    <w:rsid w:val="003E4223"/>
    <w:rsid w:val="003E442B"/>
    <w:rsid w:val="003F3047"/>
    <w:rsid w:val="003F4143"/>
    <w:rsid w:val="0040061B"/>
    <w:rsid w:val="00403219"/>
    <w:rsid w:val="004121BA"/>
    <w:rsid w:val="00413CD7"/>
    <w:rsid w:val="00415552"/>
    <w:rsid w:val="00417AE0"/>
    <w:rsid w:val="00420999"/>
    <w:rsid w:val="00431F83"/>
    <w:rsid w:val="0043368F"/>
    <w:rsid w:val="00435940"/>
    <w:rsid w:val="00445005"/>
    <w:rsid w:val="00446A93"/>
    <w:rsid w:val="00446A9C"/>
    <w:rsid w:val="00452F24"/>
    <w:rsid w:val="00456790"/>
    <w:rsid w:val="0046076A"/>
    <w:rsid w:val="00462FCF"/>
    <w:rsid w:val="00463727"/>
    <w:rsid w:val="004655BD"/>
    <w:rsid w:val="00472582"/>
    <w:rsid w:val="0047409F"/>
    <w:rsid w:val="004742EE"/>
    <w:rsid w:val="0047630E"/>
    <w:rsid w:val="00480CB7"/>
    <w:rsid w:val="0048207C"/>
    <w:rsid w:val="00484B32"/>
    <w:rsid w:val="004868FE"/>
    <w:rsid w:val="00492496"/>
    <w:rsid w:val="00494647"/>
    <w:rsid w:val="00496ABD"/>
    <w:rsid w:val="00497275"/>
    <w:rsid w:val="00497B38"/>
    <w:rsid w:val="004A207C"/>
    <w:rsid w:val="004A7B69"/>
    <w:rsid w:val="004B0814"/>
    <w:rsid w:val="004B5185"/>
    <w:rsid w:val="004B5CB9"/>
    <w:rsid w:val="004C0512"/>
    <w:rsid w:val="004C3F6D"/>
    <w:rsid w:val="004C63C0"/>
    <w:rsid w:val="004D11D4"/>
    <w:rsid w:val="004D3FB2"/>
    <w:rsid w:val="004D6C70"/>
    <w:rsid w:val="004E429A"/>
    <w:rsid w:val="004F04A7"/>
    <w:rsid w:val="004F07B5"/>
    <w:rsid w:val="004F1F65"/>
    <w:rsid w:val="004F3165"/>
    <w:rsid w:val="004F5DFE"/>
    <w:rsid w:val="004F6CFB"/>
    <w:rsid w:val="00500A74"/>
    <w:rsid w:val="00511838"/>
    <w:rsid w:val="005119C8"/>
    <w:rsid w:val="00511EE8"/>
    <w:rsid w:val="00513C11"/>
    <w:rsid w:val="00514E48"/>
    <w:rsid w:val="0051599D"/>
    <w:rsid w:val="005162D0"/>
    <w:rsid w:val="00516F49"/>
    <w:rsid w:val="00520F40"/>
    <w:rsid w:val="0052661D"/>
    <w:rsid w:val="00526EC0"/>
    <w:rsid w:val="00527BED"/>
    <w:rsid w:val="00531332"/>
    <w:rsid w:val="00535A7C"/>
    <w:rsid w:val="00546F27"/>
    <w:rsid w:val="00550218"/>
    <w:rsid w:val="005504A8"/>
    <w:rsid w:val="00557EA0"/>
    <w:rsid w:val="00560FA4"/>
    <w:rsid w:val="005610C8"/>
    <w:rsid w:val="00561C4E"/>
    <w:rsid w:val="00562A83"/>
    <w:rsid w:val="00581B54"/>
    <w:rsid w:val="0058334C"/>
    <w:rsid w:val="005870CD"/>
    <w:rsid w:val="00587130"/>
    <w:rsid w:val="005900BC"/>
    <w:rsid w:val="0059110F"/>
    <w:rsid w:val="00593807"/>
    <w:rsid w:val="005939E8"/>
    <w:rsid w:val="00595345"/>
    <w:rsid w:val="00595B4D"/>
    <w:rsid w:val="005A4219"/>
    <w:rsid w:val="005A6DD2"/>
    <w:rsid w:val="005B22CE"/>
    <w:rsid w:val="005B2673"/>
    <w:rsid w:val="005B49AB"/>
    <w:rsid w:val="005B4A49"/>
    <w:rsid w:val="005C1E16"/>
    <w:rsid w:val="005C3848"/>
    <w:rsid w:val="005C4849"/>
    <w:rsid w:val="005C5785"/>
    <w:rsid w:val="005C794C"/>
    <w:rsid w:val="005D140D"/>
    <w:rsid w:val="005D3431"/>
    <w:rsid w:val="005D3B62"/>
    <w:rsid w:val="005D3D2E"/>
    <w:rsid w:val="005D6783"/>
    <w:rsid w:val="005D6F9D"/>
    <w:rsid w:val="005E0521"/>
    <w:rsid w:val="005E1AD5"/>
    <w:rsid w:val="005E3256"/>
    <w:rsid w:val="005E6A6F"/>
    <w:rsid w:val="005E7475"/>
    <w:rsid w:val="005E779E"/>
    <w:rsid w:val="005F11C6"/>
    <w:rsid w:val="005F1B74"/>
    <w:rsid w:val="005F6639"/>
    <w:rsid w:val="005F6ACD"/>
    <w:rsid w:val="00600EDB"/>
    <w:rsid w:val="00602635"/>
    <w:rsid w:val="00606F47"/>
    <w:rsid w:val="0061497A"/>
    <w:rsid w:val="0062000C"/>
    <w:rsid w:val="00622EB9"/>
    <w:rsid w:val="00623619"/>
    <w:rsid w:val="0062380D"/>
    <w:rsid w:val="00623D4C"/>
    <w:rsid w:val="0062593B"/>
    <w:rsid w:val="00632CC3"/>
    <w:rsid w:val="00632EC2"/>
    <w:rsid w:val="0064217F"/>
    <w:rsid w:val="006427C9"/>
    <w:rsid w:val="00647D80"/>
    <w:rsid w:val="00647E8F"/>
    <w:rsid w:val="00655073"/>
    <w:rsid w:val="0066127E"/>
    <w:rsid w:val="00665549"/>
    <w:rsid w:val="00665803"/>
    <w:rsid w:val="00667A11"/>
    <w:rsid w:val="006741BB"/>
    <w:rsid w:val="0067564A"/>
    <w:rsid w:val="006813D3"/>
    <w:rsid w:val="0068213E"/>
    <w:rsid w:val="00685DD5"/>
    <w:rsid w:val="0069380D"/>
    <w:rsid w:val="0069396A"/>
    <w:rsid w:val="006966DD"/>
    <w:rsid w:val="00697DA5"/>
    <w:rsid w:val="006A088C"/>
    <w:rsid w:val="006A1D85"/>
    <w:rsid w:val="006A772B"/>
    <w:rsid w:val="006A7867"/>
    <w:rsid w:val="006B0B5F"/>
    <w:rsid w:val="006B155B"/>
    <w:rsid w:val="006B25A0"/>
    <w:rsid w:val="006B3726"/>
    <w:rsid w:val="006C4450"/>
    <w:rsid w:val="006C5051"/>
    <w:rsid w:val="006D0E5C"/>
    <w:rsid w:val="006D430D"/>
    <w:rsid w:val="006E1356"/>
    <w:rsid w:val="006E304E"/>
    <w:rsid w:val="006E3AAB"/>
    <w:rsid w:val="006E4804"/>
    <w:rsid w:val="006E5EC8"/>
    <w:rsid w:val="006E79F2"/>
    <w:rsid w:val="006F2BA8"/>
    <w:rsid w:val="006F34FD"/>
    <w:rsid w:val="006F5850"/>
    <w:rsid w:val="006F72EA"/>
    <w:rsid w:val="006F7ACC"/>
    <w:rsid w:val="007020CA"/>
    <w:rsid w:val="00702215"/>
    <w:rsid w:val="007024A0"/>
    <w:rsid w:val="00702AE9"/>
    <w:rsid w:val="007065FB"/>
    <w:rsid w:val="00707F3B"/>
    <w:rsid w:val="007122AB"/>
    <w:rsid w:val="00713D89"/>
    <w:rsid w:val="007210D8"/>
    <w:rsid w:val="00723FFB"/>
    <w:rsid w:val="007317D2"/>
    <w:rsid w:val="00731A41"/>
    <w:rsid w:val="00732317"/>
    <w:rsid w:val="007350AD"/>
    <w:rsid w:val="00736279"/>
    <w:rsid w:val="007422C7"/>
    <w:rsid w:val="00746899"/>
    <w:rsid w:val="00746A80"/>
    <w:rsid w:val="007503C7"/>
    <w:rsid w:val="00750CB4"/>
    <w:rsid w:val="007510B4"/>
    <w:rsid w:val="0075269A"/>
    <w:rsid w:val="007540AE"/>
    <w:rsid w:val="00754CB5"/>
    <w:rsid w:val="0075626C"/>
    <w:rsid w:val="00756577"/>
    <w:rsid w:val="0075673E"/>
    <w:rsid w:val="00756F6A"/>
    <w:rsid w:val="0076645F"/>
    <w:rsid w:val="00767B04"/>
    <w:rsid w:val="0077047B"/>
    <w:rsid w:val="0077707A"/>
    <w:rsid w:val="00777DEF"/>
    <w:rsid w:val="0078004B"/>
    <w:rsid w:val="00780FBB"/>
    <w:rsid w:val="00782A5D"/>
    <w:rsid w:val="00783E43"/>
    <w:rsid w:val="00785E72"/>
    <w:rsid w:val="007879CC"/>
    <w:rsid w:val="007908DF"/>
    <w:rsid w:val="00793DC8"/>
    <w:rsid w:val="007A00EA"/>
    <w:rsid w:val="007C0196"/>
    <w:rsid w:val="007D1305"/>
    <w:rsid w:val="007D2415"/>
    <w:rsid w:val="007D2466"/>
    <w:rsid w:val="007D352F"/>
    <w:rsid w:val="007E0EEA"/>
    <w:rsid w:val="007E4069"/>
    <w:rsid w:val="007E448A"/>
    <w:rsid w:val="007E5934"/>
    <w:rsid w:val="007E669C"/>
    <w:rsid w:val="007E6FB4"/>
    <w:rsid w:val="007F00E8"/>
    <w:rsid w:val="007F1987"/>
    <w:rsid w:val="007F4ADC"/>
    <w:rsid w:val="007F54AB"/>
    <w:rsid w:val="007F6BD6"/>
    <w:rsid w:val="008019CE"/>
    <w:rsid w:val="00805BDB"/>
    <w:rsid w:val="00806BF6"/>
    <w:rsid w:val="008070AE"/>
    <w:rsid w:val="00807746"/>
    <w:rsid w:val="0080789B"/>
    <w:rsid w:val="008153C6"/>
    <w:rsid w:val="00815915"/>
    <w:rsid w:val="00815AAF"/>
    <w:rsid w:val="00824AB6"/>
    <w:rsid w:val="00827C42"/>
    <w:rsid w:val="00831B45"/>
    <w:rsid w:val="008342C9"/>
    <w:rsid w:val="008344B7"/>
    <w:rsid w:val="00837F59"/>
    <w:rsid w:val="00841BCF"/>
    <w:rsid w:val="0084298A"/>
    <w:rsid w:val="00845AB6"/>
    <w:rsid w:val="00845B8A"/>
    <w:rsid w:val="00847535"/>
    <w:rsid w:val="00847BA0"/>
    <w:rsid w:val="00850E92"/>
    <w:rsid w:val="0085477B"/>
    <w:rsid w:val="00855AE1"/>
    <w:rsid w:val="00856678"/>
    <w:rsid w:val="00862F5B"/>
    <w:rsid w:val="00866C07"/>
    <w:rsid w:val="008707F5"/>
    <w:rsid w:val="00872E55"/>
    <w:rsid w:val="00873B41"/>
    <w:rsid w:val="00874B1E"/>
    <w:rsid w:val="00875C4A"/>
    <w:rsid w:val="0087630B"/>
    <w:rsid w:val="008776F8"/>
    <w:rsid w:val="00877950"/>
    <w:rsid w:val="008819CE"/>
    <w:rsid w:val="008935EF"/>
    <w:rsid w:val="00893CC0"/>
    <w:rsid w:val="00897B12"/>
    <w:rsid w:val="008A0C3D"/>
    <w:rsid w:val="008A27D1"/>
    <w:rsid w:val="008A46C1"/>
    <w:rsid w:val="008B2BB8"/>
    <w:rsid w:val="008B4B4F"/>
    <w:rsid w:val="008B6E64"/>
    <w:rsid w:val="008C0A45"/>
    <w:rsid w:val="008C12DC"/>
    <w:rsid w:val="008C31FB"/>
    <w:rsid w:val="008C3B80"/>
    <w:rsid w:val="008C3DDC"/>
    <w:rsid w:val="008C5B22"/>
    <w:rsid w:val="008D1762"/>
    <w:rsid w:val="008D249A"/>
    <w:rsid w:val="008D3AB5"/>
    <w:rsid w:val="008E0FBF"/>
    <w:rsid w:val="008F5899"/>
    <w:rsid w:val="00901F99"/>
    <w:rsid w:val="00902854"/>
    <w:rsid w:val="00903F28"/>
    <w:rsid w:val="0090798C"/>
    <w:rsid w:val="00911712"/>
    <w:rsid w:val="009146AD"/>
    <w:rsid w:val="00917E36"/>
    <w:rsid w:val="00921BBD"/>
    <w:rsid w:val="009233AF"/>
    <w:rsid w:val="00935E1C"/>
    <w:rsid w:val="0093631F"/>
    <w:rsid w:val="00937C3C"/>
    <w:rsid w:val="00941306"/>
    <w:rsid w:val="009417DD"/>
    <w:rsid w:val="00941865"/>
    <w:rsid w:val="00942BC7"/>
    <w:rsid w:val="009456B2"/>
    <w:rsid w:val="009459B0"/>
    <w:rsid w:val="00947447"/>
    <w:rsid w:val="00952B99"/>
    <w:rsid w:val="009539DA"/>
    <w:rsid w:val="00954CDF"/>
    <w:rsid w:val="00962513"/>
    <w:rsid w:val="0096546D"/>
    <w:rsid w:val="00965F83"/>
    <w:rsid w:val="00971F0A"/>
    <w:rsid w:val="00974187"/>
    <w:rsid w:val="00976655"/>
    <w:rsid w:val="0097726A"/>
    <w:rsid w:val="00980FCB"/>
    <w:rsid w:val="00981C63"/>
    <w:rsid w:val="0098310F"/>
    <w:rsid w:val="00984EA8"/>
    <w:rsid w:val="00985A63"/>
    <w:rsid w:val="00987BB5"/>
    <w:rsid w:val="0099054C"/>
    <w:rsid w:val="00990F31"/>
    <w:rsid w:val="00991B16"/>
    <w:rsid w:val="009949F5"/>
    <w:rsid w:val="00996162"/>
    <w:rsid w:val="00996191"/>
    <w:rsid w:val="00996BD8"/>
    <w:rsid w:val="009A15AB"/>
    <w:rsid w:val="009A3E3D"/>
    <w:rsid w:val="009A4311"/>
    <w:rsid w:val="009A487A"/>
    <w:rsid w:val="009A522B"/>
    <w:rsid w:val="009A598B"/>
    <w:rsid w:val="009A6BD4"/>
    <w:rsid w:val="009A7BA5"/>
    <w:rsid w:val="009B2B4A"/>
    <w:rsid w:val="009B4119"/>
    <w:rsid w:val="009B75C7"/>
    <w:rsid w:val="009C37DA"/>
    <w:rsid w:val="009D0510"/>
    <w:rsid w:val="009D1B9A"/>
    <w:rsid w:val="009D44EF"/>
    <w:rsid w:val="009D47CA"/>
    <w:rsid w:val="009D708C"/>
    <w:rsid w:val="009E2993"/>
    <w:rsid w:val="009E3773"/>
    <w:rsid w:val="009E61BD"/>
    <w:rsid w:val="009F032D"/>
    <w:rsid w:val="009F0798"/>
    <w:rsid w:val="009F158C"/>
    <w:rsid w:val="009F41D1"/>
    <w:rsid w:val="009F67B9"/>
    <w:rsid w:val="00A00DED"/>
    <w:rsid w:val="00A11EA8"/>
    <w:rsid w:val="00A145D0"/>
    <w:rsid w:val="00A202EB"/>
    <w:rsid w:val="00A231EC"/>
    <w:rsid w:val="00A24023"/>
    <w:rsid w:val="00A244C1"/>
    <w:rsid w:val="00A25E62"/>
    <w:rsid w:val="00A30954"/>
    <w:rsid w:val="00A4352B"/>
    <w:rsid w:val="00A522A1"/>
    <w:rsid w:val="00A54CD0"/>
    <w:rsid w:val="00A5571C"/>
    <w:rsid w:val="00A56BD5"/>
    <w:rsid w:val="00A57513"/>
    <w:rsid w:val="00A635E8"/>
    <w:rsid w:val="00A64B86"/>
    <w:rsid w:val="00A660BD"/>
    <w:rsid w:val="00A73FA4"/>
    <w:rsid w:val="00A77F55"/>
    <w:rsid w:val="00A83A01"/>
    <w:rsid w:val="00A9040F"/>
    <w:rsid w:val="00A9405B"/>
    <w:rsid w:val="00A952AA"/>
    <w:rsid w:val="00A954CF"/>
    <w:rsid w:val="00A96708"/>
    <w:rsid w:val="00AA1040"/>
    <w:rsid w:val="00AA1B5D"/>
    <w:rsid w:val="00AA2A29"/>
    <w:rsid w:val="00AA3EB5"/>
    <w:rsid w:val="00AA6296"/>
    <w:rsid w:val="00AB6AA0"/>
    <w:rsid w:val="00AC12ED"/>
    <w:rsid w:val="00AC1E50"/>
    <w:rsid w:val="00AC6457"/>
    <w:rsid w:val="00AC6695"/>
    <w:rsid w:val="00AC715D"/>
    <w:rsid w:val="00AD1E0E"/>
    <w:rsid w:val="00AD2897"/>
    <w:rsid w:val="00AD329D"/>
    <w:rsid w:val="00AD40B7"/>
    <w:rsid w:val="00AD4FAD"/>
    <w:rsid w:val="00AE1636"/>
    <w:rsid w:val="00AE3AD4"/>
    <w:rsid w:val="00AE4CBE"/>
    <w:rsid w:val="00AE643E"/>
    <w:rsid w:val="00AF028E"/>
    <w:rsid w:val="00AF313F"/>
    <w:rsid w:val="00AF7C6F"/>
    <w:rsid w:val="00B03615"/>
    <w:rsid w:val="00B03AC4"/>
    <w:rsid w:val="00B112A6"/>
    <w:rsid w:val="00B152B2"/>
    <w:rsid w:val="00B15BD8"/>
    <w:rsid w:val="00B1660D"/>
    <w:rsid w:val="00B23E00"/>
    <w:rsid w:val="00B23ECB"/>
    <w:rsid w:val="00B24706"/>
    <w:rsid w:val="00B2577B"/>
    <w:rsid w:val="00B26A86"/>
    <w:rsid w:val="00B279D8"/>
    <w:rsid w:val="00B32748"/>
    <w:rsid w:val="00B3312A"/>
    <w:rsid w:val="00B34788"/>
    <w:rsid w:val="00B35C0B"/>
    <w:rsid w:val="00B40CB2"/>
    <w:rsid w:val="00B43403"/>
    <w:rsid w:val="00B44E92"/>
    <w:rsid w:val="00B519B9"/>
    <w:rsid w:val="00B554FF"/>
    <w:rsid w:val="00B570C6"/>
    <w:rsid w:val="00B602F8"/>
    <w:rsid w:val="00B60726"/>
    <w:rsid w:val="00B63732"/>
    <w:rsid w:val="00B642B8"/>
    <w:rsid w:val="00B64565"/>
    <w:rsid w:val="00B65F32"/>
    <w:rsid w:val="00B7152C"/>
    <w:rsid w:val="00B72A27"/>
    <w:rsid w:val="00B8294A"/>
    <w:rsid w:val="00B82EA2"/>
    <w:rsid w:val="00B837BE"/>
    <w:rsid w:val="00B84C42"/>
    <w:rsid w:val="00B930A1"/>
    <w:rsid w:val="00B93B98"/>
    <w:rsid w:val="00B94527"/>
    <w:rsid w:val="00B97584"/>
    <w:rsid w:val="00BA4689"/>
    <w:rsid w:val="00BB313A"/>
    <w:rsid w:val="00BB323F"/>
    <w:rsid w:val="00BB4B21"/>
    <w:rsid w:val="00BB5D43"/>
    <w:rsid w:val="00BB647E"/>
    <w:rsid w:val="00BC2229"/>
    <w:rsid w:val="00BC3DA3"/>
    <w:rsid w:val="00BD009E"/>
    <w:rsid w:val="00BD06CF"/>
    <w:rsid w:val="00BD12F1"/>
    <w:rsid w:val="00BD132E"/>
    <w:rsid w:val="00BD6793"/>
    <w:rsid w:val="00BE087B"/>
    <w:rsid w:val="00BE22D4"/>
    <w:rsid w:val="00BE256A"/>
    <w:rsid w:val="00BE7680"/>
    <w:rsid w:val="00BF2CC0"/>
    <w:rsid w:val="00BF6E52"/>
    <w:rsid w:val="00BF73AF"/>
    <w:rsid w:val="00C0063F"/>
    <w:rsid w:val="00C02F0A"/>
    <w:rsid w:val="00C07ED3"/>
    <w:rsid w:val="00C11934"/>
    <w:rsid w:val="00C15EF0"/>
    <w:rsid w:val="00C16319"/>
    <w:rsid w:val="00C16E64"/>
    <w:rsid w:val="00C2063C"/>
    <w:rsid w:val="00C21566"/>
    <w:rsid w:val="00C260B7"/>
    <w:rsid w:val="00C30521"/>
    <w:rsid w:val="00C31C07"/>
    <w:rsid w:val="00C356D8"/>
    <w:rsid w:val="00C3579C"/>
    <w:rsid w:val="00C36871"/>
    <w:rsid w:val="00C41B25"/>
    <w:rsid w:val="00C450B6"/>
    <w:rsid w:val="00C45168"/>
    <w:rsid w:val="00C4563B"/>
    <w:rsid w:val="00C477AB"/>
    <w:rsid w:val="00C52535"/>
    <w:rsid w:val="00C534F7"/>
    <w:rsid w:val="00C539B3"/>
    <w:rsid w:val="00C53BCE"/>
    <w:rsid w:val="00C54992"/>
    <w:rsid w:val="00C55371"/>
    <w:rsid w:val="00C55C7E"/>
    <w:rsid w:val="00C573D5"/>
    <w:rsid w:val="00C62F42"/>
    <w:rsid w:val="00C6668D"/>
    <w:rsid w:val="00C71A6E"/>
    <w:rsid w:val="00C74467"/>
    <w:rsid w:val="00C80728"/>
    <w:rsid w:val="00C80B60"/>
    <w:rsid w:val="00C81957"/>
    <w:rsid w:val="00C8486C"/>
    <w:rsid w:val="00C87725"/>
    <w:rsid w:val="00C90094"/>
    <w:rsid w:val="00C91EB6"/>
    <w:rsid w:val="00C92E4A"/>
    <w:rsid w:val="00C92EFC"/>
    <w:rsid w:val="00CA22D8"/>
    <w:rsid w:val="00CA6452"/>
    <w:rsid w:val="00CA6D87"/>
    <w:rsid w:val="00CA7117"/>
    <w:rsid w:val="00CB1153"/>
    <w:rsid w:val="00CB6D91"/>
    <w:rsid w:val="00CC37EB"/>
    <w:rsid w:val="00CC42DB"/>
    <w:rsid w:val="00CC487C"/>
    <w:rsid w:val="00CC56E9"/>
    <w:rsid w:val="00CC65A3"/>
    <w:rsid w:val="00CC6650"/>
    <w:rsid w:val="00CD2BC2"/>
    <w:rsid w:val="00CD378D"/>
    <w:rsid w:val="00CE2613"/>
    <w:rsid w:val="00CE289C"/>
    <w:rsid w:val="00CE347A"/>
    <w:rsid w:val="00CE3511"/>
    <w:rsid w:val="00CE3F91"/>
    <w:rsid w:val="00CE5E0F"/>
    <w:rsid w:val="00CF1B85"/>
    <w:rsid w:val="00D0786A"/>
    <w:rsid w:val="00D10B4F"/>
    <w:rsid w:val="00D16EE0"/>
    <w:rsid w:val="00D210DB"/>
    <w:rsid w:val="00D21393"/>
    <w:rsid w:val="00D2269A"/>
    <w:rsid w:val="00D23876"/>
    <w:rsid w:val="00D23D16"/>
    <w:rsid w:val="00D306B4"/>
    <w:rsid w:val="00D35605"/>
    <w:rsid w:val="00D37260"/>
    <w:rsid w:val="00D42A4D"/>
    <w:rsid w:val="00D45435"/>
    <w:rsid w:val="00D46C8E"/>
    <w:rsid w:val="00D52B7D"/>
    <w:rsid w:val="00D562AF"/>
    <w:rsid w:val="00D57D9E"/>
    <w:rsid w:val="00D60F52"/>
    <w:rsid w:val="00D62520"/>
    <w:rsid w:val="00D65F90"/>
    <w:rsid w:val="00D70EBF"/>
    <w:rsid w:val="00D74271"/>
    <w:rsid w:val="00D75AA8"/>
    <w:rsid w:val="00D76377"/>
    <w:rsid w:val="00D77FC3"/>
    <w:rsid w:val="00D8282A"/>
    <w:rsid w:val="00D82FF1"/>
    <w:rsid w:val="00D84D3F"/>
    <w:rsid w:val="00D92D75"/>
    <w:rsid w:val="00D93444"/>
    <w:rsid w:val="00D968D0"/>
    <w:rsid w:val="00DA60EA"/>
    <w:rsid w:val="00DA6399"/>
    <w:rsid w:val="00DA798E"/>
    <w:rsid w:val="00DB1931"/>
    <w:rsid w:val="00DB398D"/>
    <w:rsid w:val="00DB6472"/>
    <w:rsid w:val="00DC18E0"/>
    <w:rsid w:val="00DC6103"/>
    <w:rsid w:val="00DC65A1"/>
    <w:rsid w:val="00DD21BF"/>
    <w:rsid w:val="00DD42F1"/>
    <w:rsid w:val="00DD5670"/>
    <w:rsid w:val="00DE24DE"/>
    <w:rsid w:val="00DE689B"/>
    <w:rsid w:val="00DE6D61"/>
    <w:rsid w:val="00E00206"/>
    <w:rsid w:val="00E018C9"/>
    <w:rsid w:val="00E02A38"/>
    <w:rsid w:val="00E048DE"/>
    <w:rsid w:val="00E04E98"/>
    <w:rsid w:val="00E10439"/>
    <w:rsid w:val="00E139CA"/>
    <w:rsid w:val="00E16E55"/>
    <w:rsid w:val="00E20128"/>
    <w:rsid w:val="00E20577"/>
    <w:rsid w:val="00E20620"/>
    <w:rsid w:val="00E21551"/>
    <w:rsid w:val="00E252B8"/>
    <w:rsid w:val="00E278B5"/>
    <w:rsid w:val="00E3153B"/>
    <w:rsid w:val="00E331AC"/>
    <w:rsid w:val="00E33D71"/>
    <w:rsid w:val="00E37213"/>
    <w:rsid w:val="00E44EE2"/>
    <w:rsid w:val="00E454FF"/>
    <w:rsid w:val="00E50D5F"/>
    <w:rsid w:val="00E51240"/>
    <w:rsid w:val="00E65C7F"/>
    <w:rsid w:val="00E66CC9"/>
    <w:rsid w:val="00E707DF"/>
    <w:rsid w:val="00E733EC"/>
    <w:rsid w:val="00E74517"/>
    <w:rsid w:val="00E75A4A"/>
    <w:rsid w:val="00E760AA"/>
    <w:rsid w:val="00E812E3"/>
    <w:rsid w:val="00E8264C"/>
    <w:rsid w:val="00E909D8"/>
    <w:rsid w:val="00E92B50"/>
    <w:rsid w:val="00E9344B"/>
    <w:rsid w:val="00E937AB"/>
    <w:rsid w:val="00E95682"/>
    <w:rsid w:val="00EA015A"/>
    <w:rsid w:val="00EA061A"/>
    <w:rsid w:val="00EA2540"/>
    <w:rsid w:val="00EA3943"/>
    <w:rsid w:val="00EA6158"/>
    <w:rsid w:val="00EA7676"/>
    <w:rsid w:val="00EA791B"/>
    <w:rsid w:val="00EB0B58"/>
    <w:rsid w:val="00EB19FC"/>
    <w:rsid w:val="00EB262B"/>
    <w:rsid w:val="00EB31F4"/>
    <w:rsid w:val="00EB3E6D"/>
    <w:rsid w:val="00EB5899"/>
    <w:rsid w:val="00EC2876"/>
    <w:rsid w:val="00EC4A8C"/>
    <w:rsid w:val="00EC545D"/>
    <w:rsid w:val="00EC6BCC"/>
    <w:rsid w:val="00ED7AAA"/>
    <w:rsid w:val="00EE1118"/>
    <w:rsid w:val="00EE11B9"/>
    <w:rsid w:val="00EE1E22"/>
    <w:rsid w:val="00EE2602"/>
    <w:rsid w:val="00EE2C65"/>
    <w:rsid w:val="00EE3D9D"/>
    <w:rsid w:val="00EE45A6"/>
    <w:rsid w:val="00EF12BA"/>
    <w:rsid w:val="00EF159B"/>
    <w:rsid w:val="00EF2E51"/>
    <w:rsid w:val="00F02E42"/>
    <w:rsid w:val="00F030F3"/>
    <w:rsid w:val="00F07475"/>
    <w:rsid w:val="00F12FE0"/>
    <w:rsid w:val="00F202BC"/>
    <w:rsid w:val="00F22B59"/>
    <w:rsid w:val="00F27123"/>
    <w:rsid w:val="00F30952"/>
    <w:rsid w:val="00F3630F"/>
    <w:rsid w:val="00F4678F"/>
    <w:rsid w:val="00F50129"/>
    <w:rsid w:val="00F51852"/>
    <w:rsid w:val="00F52FEE"/>
    <w:rsid w:val="00F57EA4"/>
    <w:rsid w:val="00F61E05"/>
    <w:rsid w:val="00F61E12"/>
    <w:rsid w:val="00F645C2"/>
    <w:rsid w:val="00F67992"/>
    <w:rsid w:val="00F67F51"/>
    <w:rsid w:val="00F7760E"/>
    <w:rsid w:val="00F77A7B"/>
    <w:rsid w:val="00F80904"/>
    <w:rsid w:val="00F82516"/>
    <w:rsid w:val="00F82CCC"/>
    <w:rsid w:val="00F82D59"/>
    <w:rsid w:val="00F869CD"/>
    <w:rsid w:val="00FA27D7"/>
    <w:rsid w:val="00FA3D9E"/>
    <w:rsid w:val="00FA5373"/>
    <w:rsid w:val="00FA6533"/>
    <w:rsid w:val="00FB17DA"/>
    <w:rsid w:val="00FB59EB"/>
    <w:rsid w:val="00FC14C6"/>
    <w:rsid w:val="00FC6478"/>
    <w:rsid w:val="00FD1BA1"/>
    <w:rsid w:val="00FD262B"/>
    <w:rsid w:val="00FD699B"/>
    <w:rsid w:val="00FE022D"/>
    <w:rsid w:val="00FE094E"/>
    <w:rsid w:val="00FE1090"/>
    <w:rsid w:val="00FF2613"/>
    <w:rsid w:val="00FF312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2BD76B46"/>
  <w15:docId w15:val="{2022DCE2-03CC-4270-A47F-CDA0FCBA6E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B647E"/>
    <w:pPr>
      <w:spacing w:after="200" w:line="276" w:lineRule="auto"/>
    </w:pPr>
    <w:rPr>
      <w:sz w:val="22"/>
      <w:szCs w:val="22"/>
      <w:lang w:eastAsia="en-US"/>
    </w:rPr>
  </w:style>
  <w:style w:type="paragraph" w:styleId="1">
    <w:name w:val="heading 1"/>
    <w:basedOn w:val="a"/>
    <w:next w:val="a"/>
    <w:link w:val="10"/>
    <w:uiPriority w:val="9"/>
    <w:qFormat/>
    <w:rsid w:val="006E4804"/>
    <w:pPr>
      <w:keepNext/>
      <w:keepLines/>
      <w:autoSpaceDE w:val="0"/>
      <w:autoSpaceDN w:val="0"/>
      <w:adjustRightInd w:val="0"/>
      <w:spacing w:before="480" w:after="0" w:line="240" w:lineRule="auto"/>
      <w:outlineLvl w:val="0"/>
    </w:pPr>
    <w:rPr>
      <w:rFonts w:ascii="Cambria" w:eastAsia="Times New Roman" w:hAnsi="Cambria"/>
      <w:b/>
      <w:bCs/>
      <w:color w:val="365F91"/>
      <w:sz w:val="28"/>
      <w:szCs w:val="28"/>
    </w:rPr>
  </w:style>
  <w:style w:type="paragraph" w:styleId="2">
    <w:name w:val="heading 2"/>
    <w:basedOn w:val="a"/>
    <w:next w:val="a"/>
    <w:link w:val="20"/>
    <w:uiPriority w:val="9"/>
    <w:semiHidden/>
    <w:unhideWhenUsed/>
    <w:qFormat/>
    <w:rsid w:val="00C92E4A"/>
    <w:pPr>
      <w:keepNext/>
      <w:spacing w:before="240" w:after="60"/>
      <w:outlineLvl w:val="1"/>
    </w:pPr>
    <w:rPr>
      <w:rFonts w:ascii="Calibri Light" w:eastAsia="Times New Roman" w:hAnsi="Calibri Light"/>
      <w:b/>
      <w:bCs/>
      <w:i/>
      <w:iCs/>
      <w:sz w:val="28"/>
      <w:szCs w:val="28"/>
    </w:rPr>
  </w:style>
  <w:style w:type="paragraph" w:styleId="3">
    <w:name w:val="heading 3"/>
    <w:basedOn w:val="a"/>
    <w:next w:val="a"/>
    <w:link w:val="30"/>
    <w:uiPriority w:val="9"/>
    <w:unhideWhenUsed/>
    <w:qFormat/>
    <w:rsid w:val="005E7475"/>
    <w:pPr>
      <w:keepNext/>
      <w:keepLines/>
      <w:overflowPunct w:val="0"/>
      <w:autoSpaceDE w:val="0"/>
      <w:autoSpaceDN w:val="0"/>
      <w:adjustRightInd w:val="0"/>
      <w:spacing w:before="40" w:after="0" w:line="240" w:lineRule="auto"/>
      <w:textAlignment w:val="baseline"/>
      <w:outlineLvl w:val="2"/>
    </w:pPr>
    <w:rPr>
      <w:rFonts w:ascii="Cambria" w:eastAsia="Times New Roman" w:hAnsi="Cambria"/>
      <w:color w:val="243F60"/>
      <w:sz w:val="24"/>
      <w:szCs w:val="24"/>
      <w:lang w:eastAsia="ru-RU"/>
    </w:rPr>
  </w:style>
  <w:style w:type="paragraph" w:styleId="4">
    <w:name w:val="heading 4"/>
    <w:basedOn w:val="a"/>
    <w:next w:val="a"/>
    <w:link w:val="40"/>
    <w:uiPriority w:val="9"/>
    <w:unhideWhenUsed/>
    <w:qFormat/>
    <w:rsid w:val="00FB17DA"/>
    <w:pPr>
      <w:keepNext/>
      <w:keepLines/>
      <w:overflowPunct w:val="0"/>
      <w:autoSpaceDE w:val="0"/>
      <w:autoSpaceDN w:val="0"/>
      <w:adjustRightInd w:val="0"/>
      <w:spacing w:before="40" w:after="0" w:line="240" w:lineRule="auto"/>
      <w:textAlignment w:val="baseline"/>
      <w:outlineLvl w:val="3"/>
    </w:pPr>
    <w:rPr>
      <w:rFonts w:ascii="Cambria" w:eastAsia="Times New Roman" w:hAnsi="Cambria"/>
      <w:i/>
      <w:iCs/>
      <w:color w:val="365F91"/>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
    <w:basedOn w:val="a"/>
    <w:next w:val="a"/>
    <w:uiPriority w:val="99"/>
    <w:rsid w:val="008E0FBF"/>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1">
    <w:name w:val="заголовок 2"/>
    <w:basedOn w:val="a"/>
    <w:uiPriority w:val="99"/>
    <w:rsid w:val="008E0FBF"/>
    <w:pPr>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110">
    <w:name w:val="заголовок 11"/>
    <w:basedOn w:val="a"/>
    <w:next w:val="a"/>
    <w:uiPriority w:val="99"/>
    <w:rsid w:val="008E0FBF"/>
    <w:pPr>
      <w:keepNext/>
      <w:autoSpaceDE w:val="0"/>
      <w:autoSpaceDN w:val="0"/>
      <w:adjustRightInd w:val="0"/>
      <w:spacing w:after="0" w:line="240" w:lineRule="auto"/>
      <w:jc w:val="both"/>
    </w:pPr>
    <w:rPr>
      <w:rFonts w:ascii="Times New Roman" w:hAnsi="Times New Roman"/>
      <w:b/>
      <w:bCs/>
      <w:color w:val="0000FF"/>
      <w:sz w:val="16"/>
      <w:szCs w:val="16"/>
    </w:rPr>
  </w:style>
  <w:style w:type="paragraph" w:styleId="a3">
    <w:name w:val="Body Text"/>
    <w:basedOn w:val="a"/>
    <w:link w:val="a4"/>
    <w:uiPriority w:val="99"/>
    <w:rsid w:val="008E0FBF"/>
    <w:pPr>
      <w:widowControl w:val="0"/>
      <w:autoSpaceDE w:val="0"/>
      <w:autoSpaceDN w:val="0"/>
      <w:adjustRightInd w:val="0"/>
      <w:spacing w:after="0" w:line="240" w:lineRule="auto"/>
      <w:jc w:val="both"/>
    </w:pPr>
    <w:rPr>
      <w:rFonts w:ascii="Times New Roman" w:hAnsi="Times New Roman"/>
      <w:color w:val="0000FF"/>
      <w:sz w:val="16"/>
      <w:szCs w:val="16"/>
      <w:lang w:val="en-US"/>
    </w:rPr>
  </w:style>
  <w:style w:type="character" w:customStyle="1" w:styleId="a4">
    <w:name w:val="Основной текст Знак"/>
    <w:link w:val="a3"/>
    <w:uiPriority w:val="99"/>
    <w:rsid w:val="008E0FBF"/>
    <w:rPr>
      <w:rFonts w:ascii="Times New Roman" w:hAnsi="Times New Roman" w:cs="Times New Roman"/>
      <w:color w:val="0000FF"/>
      <w:sz w:val="16"/>
      <w:szCs w:val="16"/>
      <w:lang w:val="en-US"/>
    </w:rPr>
  </w:style>
  <w:style w:type="paragraph" w:styleId="22">
    <w:name w:val="Body Text Indent 2"/>
    <w:basedOn w:val="a"/>
    <w:link w:val="23"/>
    <w:uiPriority w:val="99"/>
    <w:rsid w:val="008E0FBF"/>
    <w:pPr>
      <w:widowControl w:val="0"/>
      <w:autoSpaceDE w:val="0"/>
      <w:autoSpaceDN w:val="0"/>
      <w:adjustRightInd w:val="0"/>
      <w:spacing w:after="0" w:line="240" w:lineRule="auto"/>
      <w:ind w:left="2160" w:hanging="2160"/>
      <w:jc w:val="both"/>
    </w:pPr>
    <w:rPr>
      <w:rFonts w:ascii="Times New Roman" w:hAnsi="Times New Roman"/>
      <w:color w:val="0000FF"/>
      <w:sz w:val="16"/>
      <w:szCs w:val="16"/>
      <w:lang w:val="en-US"/>
    </w:rPr>
  </w:style>
  <w:style w:type="character" w:customStyle="1" w:styleId="23">
    <w:name w:val="Основной текст с отступом 2 Знак"/>
    <w:link w:val="22"/>
    <w:uiPriority w:val="99"/>
    <w:rsid w:val="008E0FBF"/>
    <w:rPr>
      <w:rFonts w:ascii="Times New Roman" w:hAnsi="Times New Roman" w:cs="Times New Roman"/>
      <w:color w:val="0000FF"/>
      <w:sz w:val="16"/>
      <w:szCs w:val="16"/>
      <w:lang w:val="en-US"/>
    </w:rPr>
  </w:style>
  <w:style w:type="paragraph" w:styleId="24">
    <w:name w:val="Body Text 2"/>
    <w:basedOn w:val="a"/>
    <w:link w:val="25"/>
    <w:uiPriority w:val="99"/>
    <w:rsid w:val="008E0FBF"/>
    <w:pPr>
      <w:widowControl w:val="0"/>
      <w:autoSpaceDE w:val="0"/>
      <w:autoSpaceDN w:val="0"/>
      <w:adjustRightInd w:val="0"/>
      <w:spacing w:after="0" w:line="240" w:lineRule="auto"/>
      <w:jc w:val="both"/>
    </w:pPr>
    <w:rPr>
      <w:rFonts w:ascii="Times New Roman" w:hAnsi="Times New Roman"/>
      <w:color w:val="0000FF"/>
      <w:sz w:val="16"/>
      <w:szCs w:val="16"/>
    </w:rPr>
  </w:style>
  <w:style w:type="character" w:customStyle="1" w:styleId="25">
    <w:name w:val="Основной текст 2 Знак"/>
    <w:link w:val="24"/>
    <w:uiPriority w:val="99"/>
    <w:rsid w:val="008E0FBF"/>
    <w:rPr>
      <w:rFonts w:ascii="Times New Roman" w:hAnsi="Times New Roman" w:cs="Times New Roman"/>
      <w:color w:val="0000FF"/>
      <w:sz w:val="16"/>
      <w:szCs w:val="16"/>
    </w:rPr>
  </w:style>
  <w:style w:type="character" w:styleId="a5">
    <w:name w:val="Hyperlink"/>
    <w:uiPriority w:val="99"/>
    <w:rsid w:val="008E0FBF"/>
    <w:rPr>
      <w:color w:val="0000FF"/>
      <w:sz w:val="20"/>
      <w:szCs w:val="20"/>
      <w:u w:val="single"/>
    </w:rPr>
  </w:style>
  <w:style w:type="paragraph" w:styleId="31">
    <w:name w:val="Body Text 3"/>
    <w:basedOn w:val="a"/>
    <w:link w:val="32"/>
    <w:uiPriority w:val="99"/>
    <w:rsid w:val="008E0FBF"/>
    <w:pPr>
      <w:widowControl w:val="0"/>
      <w:autoSpaceDE w:val="0"/>
      <w:autoSpaceDN w:val="0"/>
      <w:adjustRightInd w:val="0"/>
      <w:spacing w:after="0" w:line="240" w:lineRule="auto"/>
      <w:jc w:val="center"/>
    </w:pPr>
    <w:rPr>
      <w:rFonts w:ascii="Times New Roman" w:hAnsi="Times New Roman"/>
      <w:color w:val="0000FF"/>
      <w:sz w:val="16"/>
      <w:szCs w:val="16"/>
    </w:rPr>
  </w:style>
  <w:style w:type="character" w:customStyle="1" w:styleId="32">
    <w:name w:val="Основной текст 3 Знак"/>
    <w:link w:val="31"/>
    <w:uiPriority w:val="99"/>
    <w:rsid w:val="008E0FBF"/>
    <w:rPr>
      <w:rFonts w:ascii="Times New Roman" w:hAnsi="Times New Roman" w:cs="Times New Roman"/>
      <w:color w:val="0000FF"/>
      <w:sz w:val="16"/>
      <w:szCs w:val="16"/>
    </w:rPr>
  </w:style>
  <w:style w:type="character" w:customStyle="1" w:styleId="12">
    <w:name w:val="С1"/>
    <w:uiPriority w:val="99"/>
    <w:rsid w:val="008E0FBF"/>
    <w:rPr>
      <w:b/>
      <w:bCs/>
    </w:rPr>
  </w:style>
  <w:style w:type="paragraph" w:customStyle="1" w:styleId="a6">
    <w:name w:val="Ц"/>
    <w:basedOn w:val="a"/>
    <w:uiPriority w:val="99"/>
    <w:rsid w:val="008E0FBF"/>
    <w:pPr>
      <w:autoSpaceDE w:val="0"/>
      <w:autoSpaceDN w:val="0"/>
      <w:adjustRightInd w:val="0"/>
      <w:spacing w:before="100" w:after="100" w:line="240" w:lineRule="auto"/>
      <w:ind w:left="360" w:right="360"/>
    </w:pPr>
    <w:rPr>
      <w:rFonts w:ascii="Times New Roman" w:hAnsi="Times New Roman"/>
      <w:color w:val="0000FF"/>
      <w:sz w:val="24"/>
      <w:szCs w:val="24"/>
    </w:rPr>
  </w:style>
  <w:style w:type="paragraph" w:customStyle="1" w:styleId="FR1">
    <w:name w:val="FR1"/>
    <w:uiPriority w:val="99"/>
    <w:rsid w:val="008E0FBF"/>
    <w:pPr>
      <w:widowControl w:val="0"/>
      <w:autoSpaceDE w:val="0"/>
      <w:autoSpaceDN w:val="0"/>
      <w:adjustRightInd w:val="0"/>
      <w:ind w:firstLine="220"/>
      <w:jc w:val="both"/>
    </w:pPr>
    <w:rPr>
      <w:rFonts w:ascii="Arial" w:hAnsi="Arial" w:cs="Arial"/>
      <w:i/>
      <w:iCs/>
      <w:sz w:val="16"/>
      <w:szCs w:val="16"/>
      <w:lang w:eastAsia="en-US"/>
    </w:rPr>
  </w:style>
  <w:style w:type="character" w:styleId="a7">
    <w:name w:val="Strong"/>
    <w:uiPriority w:val="22"/>
    <w:qFormat/>
    <w:rsid w:val="008E0FBF"/>
    <w:rPr>
      <w:b/>
      <w:bCs/>
      <w:sz w:val="20"/>
      <w:szCs w:val="20"/>
    </w:rPr>
  </w:style>
  <w:style w:type="paragraph" w:customStyle="1" w:styleId="Blockquote">
    <w:name w:val="Blockquote"/>
    <w:basedOn w:val="a"/>
    <w:rsid w:val="008E0FBF"/>
    <w:pPr>
      <w:widowControl w:val="0"/>
      <w:autoSpaceDE w:val="0"/>
      <w:autoSpaceDN w:val="0"/>
      <w:adjustRightInd w:val="0"/>
      <w:spacing w:before="100" w:after="100" w:line="240" w:lineRule="auto"/>
      <w:ind w:left="360" w:right="360"/>
    </w:pPr>
    <w:rPr>
      <w:rFonts w:ascii="Times New Roman" w:hAnsi="Times New Roman"/>
      <w:color w:val="0000FF"/>
      <w:sz w:val="24"/>
      <w:szCs w:val="24"/>
      <w:lang w:val="en-AU"/>
    </w:rPr>
  </w:style>
  <w:style w:type="paragraph" w:customStyle="1" w:styleId="111">
    <w:name w:val="Заголовок 11"/>
    <w:basedOn w:val="a"/>
    <w:next w:val="a"/>
    <w:uiPriority w:val="99"/>
    <w:rsid w:val="008E0FBF"/>
    <w:pPr>
      <w:keepNext/>
      <w:widowControl w:val="0"/>
      <w:autoSpaceDE w:val="0"/>
      <w:autoSpaceDN w:val="0"/>
      <w:adjustRightInd w:val="0"/>
      <w:spacing w:after="0" w:line="240" w:lineRule="auto"/>
      <w:jc w:val="both"/>
    </w:pPr>
    <w:rPr>
      <w:rFonts w:ascii="Times New Roman" w:hAnsi="Times New Roman"/>
      <w:i/>
      <w:iCs/>
      <w:color w:val="0000FF"/>
      <w:sz w:val="16"/>
      <w:szCs w:val="16"/>
      <w:lang w:val="en-US"/>
    </w:rPr>
  </w:style>
  <w:style w:type="paragraph" w:customStyle="1" w:styleId="H3">
    <w:name w:val="H3"/>
    <w:basedOn w:val="a"/>
    <w:next w:val="a"/>
    <w:uiPriority w:val="99"/>
    <w:rsid w:val="008E0FBF"/>
    <w:pPr>
      <w:keepNext/>
      <w:widowControl w:val="0"/>
      <w:autoSpaceDE w:val="0"/>
      <w:autoSpaceDN w:val="0"/>
      <w:adjustRightInd w:val="0"/>
      <w:spacing w:before="100" w:after="100" w:line="240" w:lineRule="auto"/>
    </w:pPr>
    <w:rPr>
      <w:rFonts w:ascii="Times New Roman" w:hAnsi="Times New Roman"/>
      <w:b/>
      <w:bCs/>
      <w:color w:val="0000FF"/>
      <w:sz w:val="28"/>
      <w:szCs w:val="28"/>
      <w:lang w:val="en-AU"/>
    </w:rPr>
  </w:style>
  <w:style w:type="paragraph" w:customStyle="1" w:styleId="FR2">
    <w:name w:val="FR2"/>
    <w:uiPriority w:val="99"/>
    <w:rsid w:val="008E0FBF"/>
    <w:pPr>
      <w:widowControl w:val="0"/>
      <w:autoSpaceDE w:val="0"/>
      <w:autoSpaceDN w:val="0"/>
      <w:adjustRightInd w:val="0"/>
      <w:ind w:firstLine="140"/>
      <w:jc w:val="both"/>
    </w:pPr>
    <w:rPr>
      <w:rFonts w:ascii="Arial" w:hAnsi="Arial" w:cs="Arial"/>
      <w:i/>
      <w:iCs/>
      <w:sz w:val="12"/>
      <w:szCs w:val="12"/>
      <w:lang w:eastAsia="en-US"/>
    </w:rPr>
  </w:style>
  <w:style w:type="paragraph" w:styleId="a8">
    <w:name w:val="Plain Text"/>
    <w:basedOn w:val="a"/>
    <w:link w:val="a9"/>
    <w:uiPriority w:val="99"/>
    <w:rsid w:val="008E0FBF"/>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9">
    <w:name w:val="Текст Знак"/>
    <w:link w:val="a8"/>
    <w:uiPriority w:val="99"/>
    <w:rsid w:val="008E0FBF"/>
    <w:rPr>
      <w:rFonts w:ascii="Courier New" w:hAnsi="Courier New" w:cs="Courier New"/>
      <w:color w:val="0000FF"/>
      <w:sz w:val="16"/>
      <w:szCs w:val="16"/>
    </w:rPr>
  </w:style>
  <w:style w:type="paragraph" w:customStyle="1" w:styleId="Text">
    <w:name w:val="Text"/>
    <w:basedOn w:val="a"/>
    <w:uiPriority w:val="99"/>
    <w:rsid w:val="008E0FBF"/>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a">
    <w:name w:val="У"/>
    <w:uiPriority w:val="99"/>
    <w:rsid w:val="008E0FBF"/>
    <w:rPr>
      <w:i/>
      <w:iCs/>
    </w:rPr>
  </w:style>
  <w:style w:type="paragraph" w:customStyle="1" w:styleId="H5">
    <w:name w:val="H5"/>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Preformatted">
    <w:name w:val="Preformatted"/>
    <w:basedOn w:val="a"/>
    <w:uiPriority w:val="99"/>
    <w:rsid w:val="008E0FBF"/>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24"/>
      <w:szCs w:val="24"/>
    </w:rPr>
  </w:style>
  <w:style w:type="character" w:customStyle="1" w:styleId="ab">
    <w:name w:val="Г"/>
    <w:uiPriority w:val="99"/>
    <w:rsid w:val="008E0FBF"/>
    <w:rPr>
      <w:color w:val="0000FF"/>
      <w:u w:val="single"/>
    </w:rPr>
  </w:style>
  <w:style w:type="character" w:customStyle="1" w:styleId="ac">
    <w:name w:val="В"/>
    <w:uiPriority w:val="99"/>
    <w:rsid w:val="008E0FBF"/>
    <w:rPr>
      <w:i/>
      <w:iCs/>
    </w:rPr>
  </w:style>
  <w:style w:type="paragraph" w:customStyle="1" w:styleId="H1">
    <w:name w:val="H1"/>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kern w:val="36"/>
      <w:sz w:val="48"/>
      <w:szCs w:val="48"/>
    </w:rPr>
  </w:style>
  <w:style w:type="paragraph" w:customStyle="1" w:styleId="ad">
    <w:name w:val="С"/>
    <w:basedOn w:val="a"/>
    <w:next w:val="a"/>
    <w:uiPriority w:val="99"/>
    <w:rsid w:val="008E0FBF"/>
    <w:pPr>
      <w:autoSpaceDE w:val="0"/>
      <w:autoSpaceDN w:val="0"/>
      <w:adjustRightInd w:val="0"/>
      <w:spacing w:after="0" w:line="240" w:lineRule="auto"/>
      <w:ind w:left="360"/>
    </w:pPr>
    <w:rPr>
      <w:rFonts w:ascii="Times New Roman" w:hAnsi="Times New Roman"/>
      <w:color w:val="0000FF"/>
      <w:sz w:val="24"/>
      <w:szCs w:val="24"/>
    </w:rPr>
  </w:style>
  <w:style w:type="paragraph" w:customStyle="1" w:styleId="Iauiue">
    <w:name w:val="Iau?iue"/>
    <w:uiPriority w:val="99"/>
    <w:rsid w:val="008E0FBF"/>
    <w:pPr>
      <w:widowControl w:val="0"/>
      <w:autoSpaceDE w:val="0"/>
      <w:autoSpaceDN w:val="0"/>
      <w:adjustRightInd w:val="0"/>
    </w:pPr>
    <w:rPr>
      <w:rFonts w:ascii="Times New Roman" w:hAnsi="Times New Roman"/>
      <w:lang w:eastAsia="en-US"/>
    </w:rPr>
  </w:style>
  <w:style w:type="paragraph" w:styleId="ae">
    <w:name w:val="Normal (Web)"/>
    <w:basedOn w:val="a"/>
    <w:uiPriority w:val="99"/>
    <w:rsid w:val="008E0FBF"/>
    <w:pPr>
      <w:widowControl w:val="0"/>
      <w:autoSpaceDE w:val="0"/>
      <w:autoSpaceDN w:val="0"/>
      <w:adjustRightInd w:val="0"/>
      <w:spacing w:before="100" w:after="100" w:line="240" w:lineRule="auto"/>
    </w:pPr>
    <w:rPr>
      <w:rFonts w:ascii="Times New Roman" w:hAnsi="Times New Roman"/>
      <w:color w:val="808080"/>
      <w:sz w:val="24"/>
      <w:szCs w:val="24"/>
    </w:rPr>
  </w:style>
  <w:style w:type="character" w:customStyle="1" w:styleId="Iniiaiieoeoo">
    <w:name w:val="Iniiaiie o?eoo"/>
    <w:uiPriority w:val="99"/>
    <w:rsid w:val="008E0FBF"/>
    <w:rPr>
      <w:sz w:val="20"/>
      <w:szCs w:val="20"/>
    </w:rPr>
  </w:style>
  <w:style w:type="paragraph" w:customStyle="1" w:styleId="Iniiaiieoaeno">
    <w:name w:val="Iniiaiie oaeno"/>
    <w:basedOn w:val="Iauiue"/>
    <w:uiPriority w:val="99"/>
    <w:rsid w:val="008E0FBF"/>
    <w:pPr>
      <w:jc w:val="both"/>
    </w:pPr>
    <w:rPr>
      <w:sz w:val="16"/>
      <w:szCs w:val="16"/>
    </w:rPr>
  </w:style>
  <w:style w:type="paragraph" w:customStyle="1" w:styleId="z-TopofForm">
    <w:name w:val="z-Top of Form"/>
    <w:next w:val="Iauiue"/>
    <w:uiPriority w:val="99"/>
    <w:rsid w:val="008E0FBF"/>
    <w:pPr>
      <w:widowControl w:val="0"/>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BottomofForm">
    <w:name w:val="z-Bottom of Form"/>
    <w:next w:val="Iauiue"/>
    <w:uiPriority w:val="99"/>
    <w:rsid w:val="008E0FBF"/>
    <w:pPr>
      <w:widowControl w:val="0"/>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
    <w:name w:val="A"/>
    <w:basedOn w:val="Iauiue"/>
    <w:next w:val="Iauiue"/>
    <w:uiPriority w:val="99"/>
    <w:rsid w:val="008E0FBF"/>
    <w:rPr>
      <w:i/>
      <w:iCs/>
      <w:sz w:val="24"/>
      <w:szCs w:val="24"/>
    </w:rPr>
  </w:style>
  <w:style w:type="character" w:customStyle="1" w:styleId="A20">
    <w:name w:val="A2"/>
    <w:uiPriority w:val="99"/>
    <w:rsid w:val="008E0FBF"/>
    <w:rPr>
      <w:color w:val="0000FF"/>
      <w:sz w:val="20"/>
      <w:szCs w:val="20"/>
      <w:u w:val="single"/>
    </w:rPr>
  </w:style>
  <w:style w:type="paragraph" w:customStyle="1" w:styleId="O">
    <w:name w:val="O"/>
    <w:basedOn w:val="Iauiue"/>
    <w:uiPriority w:val="99"/>
    <w:rsid w:val="008E0FBF"/>
    <w:pPr>
      <w:spacing w:before="100" w:after="100"/>
      <w:ind w:left="360" w:right="360"/>
    </w:pPr>
    <w:rPr>
      <w:sz w:val="24"/>
      <w:szCs w:val="24"/>
    </w:rPr>
  </w:style>
  <w:style w:type="character" w:customStyle="1" w:styleId="A10">
    <w:name w:val="A1"/>
    <w:uiPriority w:val="99"/>
    <w:rsid w:val="008E0FBF"/>
    <w:rPr>
      <w:i/>
      <w:iCs/>
      <w:sz w:val="20"/>
      <w:szCs w:val="20"/>
    </w:rPr>
  </w:style>
  <w:style w:type="paragraph" w:customStyle="1" w:styleId="Noaiaaieoiaioa">
    <w:name w:val="Noaia aieoiaioa"/>
    <w:basedOn w:val="Iauiue"/>
    <w:uiPriority w:val="99"/>
    <w:rsid w:val="008E0FBF"/>
    <w:pPr>
      <w:shd w:val="clear" w:color="auto" w:fill="000080"/>
    </w:pPr>
    <w:rPr>
      <w:rFonts w:ascii="Tahoma" w:hAnsi="Tahoma" w:cs="Tahoma"/>
    </w:rPr>
  </w:style>
  <w:style w:type="paragraph" w:customStyle="1" w:styleId="DefinitionTerm">
    <w:name w:val="Definition Term"/>
    <w:basedOn w:val="a"/>
    <w:next w:val="DefinitionList"/>
    <w:uiPriority w:val="99"/>
    <w:rsid w:val="008E0FBF"/>
    <w:pPr>
      <w:autoSpaceDE w:val="0"/>
      <w:autoSpaceDN w:val="0"/>
      <w:adjustRightInd w:val="0"/>
      <w:spacing w:after="0" w:line="240" w:lineRule="auto"/>
    </w:pPr>
    <w:rPr>
      <w:rFonts w:ascii="Times New Roman" w:hAnsi="Times New Roman"/>
      <w:color w:val="0000FF"/>
      <w:sz w:val="24"/>
      <w:szCs w:val="24"/>
    </w:rPr>
  </w:style>
  <w:style w:type="paragraph" w:customStyle="1" w:styleId="DefinitionList">
    <w:name w:val="Definition List"/>
    <w:basedOn w:val="a"/>
    <w:next w:val="DefinitionTerm"/>
    <w:uiPriority w:val="99"/>
    <w:rsid w:val="008E0FBF"/>
    <w:pPr>
      <w:autoSpaceDE w:val="0"/>
      <w:autoSpaceDN w:val="0"/>
      <w:adjustRightInd w:val="0"/>
      <w:spacing w:after="0" w:line="240" w:lineRule="auto"/>
      <w:ind w:left="360"/>
    </w:pPr>
    <w:rPr>
      <w:rFonts w:ascii="Times New Roman" w:hAnsi="Times New Roman"/>
      <w:color w:val="0000FF"/>
      <w:sz w:val="24"/>
      <w:szCs w:val="24"/>
    </w:rPr>
  </w:style>
  <w:style w:type="character" w:customStyle="1" w:styleId="Definition">
    <w:name w:val="Definition"/>
    <w:uiPriority w:val="99"/>
    <w:rsid w:val="008E0FBF"/>
    <w:rPr>
      <w:i/>
      <w:iCs/>
    </w:rPr>
  </w:style>
  <w:style w:type="paragraph" w:customStyle="1" w:styleId="H2">
    <w:name w:val="H2"/>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H6">
    <w:name w:val="H6"/>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Address">
    <w:name w:val="Address"/>
    <w:basedOn w:val="a"/>
    <w:next w:val="a"/>
    <w:uiPriority w:val="99"/>
    <w:rsid w:val="008E0FBF"/>
    <w:pPr>
      <w:autoSpaceDE w:val="0"/>
      <w:autoSpaceDN w:val="0"/>
      <w:adjustRightInd w:val="0"/>
      <w:spacing w:after="0" w:line="240" w:lineRule="auto"/>
    </w:pPr>
    <w:rPr>
      <w:rFonts w:ascii="Times New Roman" w:hAnsi="Times New Roman"/>
      <w:i/>
      <w:iCs/>
      <w:color w:val="0000FF"/>
      <w:sz w:val="24"/>
      <w:szCs w:val="24"/>
    </w:rPr>
  </w:style>
  <w:style w:type="character" w:customStyle="1" w:styleId="CITE">
    <w:name w:val="CITE"/>
    <w:uiPriority w:val="99"/>
    <w:rsid w:val="008E0FBF"/>
    <w:rPr>
      <w:i/>
      <w:iCs/>
    </w:rPr>
  </w:style>
  <w:style w:type="character" w:customStyle="1" w:styleId="CODE">
    <w:name w:val="CODE"/>
    <w:uiPriority w:val="99"/>
    <w:rsid w:val="008E0FBF"/>
    <w:rPr>
      <w:rFonts w:ascii="Courier New" w:hAnsi="Courier New" w:cs="Courier New"/>
      <w:sz w:val="20"/>
      <w:szCs w:val="20"/>
    </w:rPr>
  </w:style>
  <w:style w:type="character" w:styleId="af0">
    <w:name w:val="Emphasis"/>
    <w:uiPriority w:val="20"/>
    <w:qFormat/>
    <w:rsid w:val="008E0FBF"/>
    <w:rPr>
      <w:i/>
      <w:iCs/>
    </w:rPr>
  </w:style>
  <w:style w:type="character" w:styleId="af1">
    <w:name w:val="FollowedHyperlink"/>
    <w:uiPriority w:val="99"/>
    <w:rsid w:val="008E0FBF"/>
    <w:rPr>
      <w:color w:val="800080"/>
      <w:u w:val="single"/>
    </w:rPr>
  </w:style>
  <w:style w:type="character" w:customStyle="1" w:styleId="Keyboard">
    <w:name w:val="Keyboard"/>
    <w:uiPriority w:val="99"/>
    <w:rsid w:val="008E0FBF"/>
    <w:rPr>
      <w:rFonts w:ascii="Courier New" w:hAnsi="Courier New" w:cs="Courier New"/>
      <w:b/>
      <w:bCs/>
      <w:sz w:val="20"/>
      <w:szCs w:val="20"/>
    </w:rPr>
  </w:style>
  <w:style w:type="character" w:customStyle="1" w:styleId="Sample">
    <w:name w:val="Sample"/>
    <w:uiPriority w:val="99"/>
    <w:rsid w:val="008E0FBF"/>
    <w:rPr>
      <w:rFonts w:ascii="Courier New" w:hAnsi="Courier New" w:cs="Courier New"/>
    </w:rPr>
  </w:style>
  <w:style w:type="character" w:customStyle="1" w:styleId="Typewriter">
    <w:name w:val="Typewriter"/>
    <w:uiPriority w:val="99"/>
    <w:rsid w:val="008E0FBF"/>
    <w:rPr>
      <w:rFonts w:ascii="Courier New" w:hAnsi="Courier New" w:cs="Courier New"/>
      <w:sz w:val="20"/>
      <w:szCs w:val="20"/>
    </w:rPr>
  </w:style>
  <w:style w:type="character" w:customStyle="1" w:styleId="Variable">
    <w:name w:val="Variable"/>
    <w:uiPriority w:val="99"/>
    <w:rsid w:val="008E0FBF"/>
    <w:rPr>
      <w:i/>
      <w:iCs/>
    </w:rPr>
  </w:style>
  <w:style w:type="character" w:customStyle="1" w:styleId="HTMLMarkup">
    <w:name w:val="HTML Markup"/>
    <w:uiPriority w:val="99"/>
    <w:rsid w:val="008E0FBF"/>
    <w:rPr>
      <w:vanish/>
      <w:color w:val="FF0000"/>
    </w:rPr>
  </w:style>
  <w:style w:type="character" w:customStyle="1" w:styleId="Comment">
    <w:name w:val="Comment"/>
    <w:uiPriority w:val="99"/>
    <w:rsid w:val="008E0FBF"/>
    <w:rPr>
      <w:vanish/>
    </w:rPr>
  </w:style>
  <w:style w:type="paragraph" w:customStyle="1" w:styleId="af2">
    <w:name w:val="п"/>
    <w:uiPriority w:val="99"/>
    <w:rsid w:val="008E0FBF"/>
    <w:pPr>
      <w:autoSpaceDE w:val="0"/>
      <w:autoSpaceDN w:val="0"/>
      <w:adjustRightInd w:val="0"/>
    </w:pPr>
    <w:rPr>
      <w:rFonts w:ascii="Times New Roman" w:hAnsi="Times New Roman"/>
      <w:i/>
      <w:iCs/>
      <w:spacing w:val="-1"/>
      <w:kern w:val="65535"/>
      <w:position w:val="-1"/>
      <w:sz w:val="24"/>
      <w:szCs w:val="24"/>
      <w:lang w:val="en-US" w:eastAsia="en-US"/>
    </w:rPr>
  </w:style>
  <w:style w:type="paragraph" w:styleId="af3">
    <w:name w:val="Title"/>
    <w:basedOn w:val="a"/>
    <w:uiPriority w:val="99"/>
    <w:rsid w:val="008E0FBF"/>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paragraph" w:customStyle="1" w:styleId="af4">
    <w:name w:val="Сноски"/>
    <w:basedOn w:val="a"/>
    <w:uiPriority w:val="99"/>
    <w:rsid w:val="008E0FBF"/>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5">
    <w:name w:val="Рубрика"/>
    <w:basedOn w:val="a"/>
    <w:uiPriority w:val="99"/>
    <w:rsid w:val="008E0FBF"/>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6">
    <w:name w:val="endnote reference"/>
    <w:uiPriority w:val="99"/>
    <w:rsid w:val="008E0FBF"/>
    <w:rPr>
      <w:sz w:val="20"/>
      <w:szCs w:val="20"/>
      <w:vertAlign w:val="superscript"/>
    </w:rPr>
  </w:style>
  <w:style w:type="character" w:customStyle="1" w:styleId="af7">
    <w:name w:val="К"/>
    <w:uiPriority w:val="99"/>
    <w:rsid w:val="008E0FBF"/>
    <w:rPr>
      <w:rFonts w:ascii="Courier New" w:hAnsi="Courier New" w:cs="Courier New"/>
      <w:sz w:val="20"/>
      <w:szCs w:val="20"/>
    </w:rPr>
  </w:style>
  <w:style w:type="paragraph" w:customStyle="1" w:styleId="af8">
    <w:name w:val="Ф"/>
    <w:basedOn w:val="af9"/>
    <w:uiPriority w:val="99"/>
    <w:rsid w:val="008E0FBF"/>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9">
    <w:name w:val="О"/>
    <w:uiPriority w:val="99"/>
    <w:rsid w:val="008E0FBF"/>
    <w:pPr>
      <w:autoSpaceDE w:val="0"/>
      <w:autoSpaceDN w:val="0"/>
      <w:adjustRightInd w:val="0"/>
      <w:spacing w:before="100" w:after="100"/>
    </w:pPr>
    <w:rPr>
      <w:rFonts w:ascii="Times New Roman" w:hAnsi="Times New Roman"/>
      <w:sz w:val="24"/>
      <w:szCs w:val="24"/>
      <w:lang w:eastAsia="en-US"/>
    </w:rPr>
  </w:style>
  <w:style w:type="character" w:customStyle="1" w:styleId="afa">
    <w:name w:val="Р"/>
    <w:uiPriority w:val="99"/>
    <w:rsid w:val="008E0FBF"/>
    <w:rPr>
      <w:vanish/>
      <w:color w:val="FF0000"/>
    </w:rPr>
  </w:style>
  <w:style w:type="paragraph" w:customStyle="1" w:styleId="Z-1">
    <w:name w:val="Z-1"/>
    <w:next w:val="af9"/>
    <w:uiPriority w:val="99"/>
    <w:rsid w:val="008E0FBF"/>
    <w:pPr>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
    <w:name w:val="Z-"/>
    <w:next w:val="af9"/>
    <w:uiPriority w:val="99"/>
    <w:rsid w:val="008E0FBF"/>
    <w:pPr>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b">
    <w:name w:val="Т"/>
    <w:basedOn w:val="af9"/>
    <w:next w:val="ad"/>
    <w:uiPriority w:val="99"/>
    <w:rsid w:val="008E0FBF"/>
    <w:pPr>
      <w:spacing w:before="0" w:after="0"/>
    </w:pPr>
  </w:style>
  <w:style w:type="paragraph" w:customStyle="1" w:styleId="afc">
    <w:name w:val="А"/>
    <w:basedOn w:val="a"/>
    <w:next w:val="a"/>
    <w:uiPriority w:val="99"/>
    <w:rsid w:val="008E0FBF"/>
    <w:pPr>
      <w:autoSpaceDE w:val="0"/>
      <w:autoSpaceDN w:val="0"/>
      <w:adjustRightInd w:val="0"/>
      <w:spacing w:after="0" w:line="240" w:lineRule="auto"/>
    </w:pPr>
    <w:rPr>
      <w:rFonts w:ascii="Times New Roman" w:hAnsi="Times New Roman"/>
      <w:i/>
      <w:iCs/>
      <w:color w:val="0000FF"/>
      <w:sz w:val="24"/>
      <w:szCs w:val="24"/>
    </w:rPr>
  </w:style>
  <w:style w:type="paragraph" w:customStyle="1" w:styleId="N">
    <w:name w:val="N"/>
    <w:basedOn w:val="Iauiue"/>
    <w:next w:val="Iauiue"/>
    <w:uiPriority w:val="99"/>
    <w:rsid w:val="008E0FBF"/>
    <w:pPr>
      <w:widowControl/>
      <w:ind w:left="360"/>
    </w:pPr>
    <w:rPr>
      <w:sz w:val="24"/>
      <w:szCs w:val="24"/>
    </w:rPr>
  </w:style>
  <w:style w:type="paragraph" w:customStyle="1" w:styleId="afd">
    <w:name w:val="......."/>
    <w:basedOn w:val="a"/>
    <w:next w:val="a"/>
    <w:uiPriority w:val="99"/>
    <w:rsid w:val="008E0FBF"/>
    <w:pPr>
      <w:autoSpaceDE w:val="0"/>
      <w:autoSpaceDN w:val="0"/>
      <w:adjustRightInd w:val="0"/>
      <w:spacing w:after="0" w:line="240" w:lineRule="auto"/>
    </w:pPr>
    <w:rPr>
      <w:rFonts w:ascii="Arial" w:hAnsi="Arial" w:cs="Arial"/>
      <w:color w:val="0000FF"/>
      <w:sz w:val="24"/>
      <w:szCs w:val="24"/>
    </w:rPr>
  </w:style>
  <w:style w:type="character" w:customStyle="1" w:styleId="afe">
    <w:name w:val="и"/>
    <w:uiPriority w:val="99"/>
    <w:rsid w:val="008E0FBF"/>
    <w:rPr>
      <w:color w:val="0000FF"/>
      <w:u w:val="single"/>
    </w:rPr>
  </w:style>
  <w:style w:type="character" w:customStyle="1" w:styleId="13">
    <w:name w:val="О1"/>
    <w:uiPriority w:val="99"/>
    <w:rsid w:val="008E0FBF"/>
    <w:rPr>
      <w:i/>
      <w:iCs/>
    </w:rPr>
  </w:style>
  <w:style w:type="character" w:customStyle="1" w:styleId="aff">
    <w:name w:val="П"/>
    <w:uiPriority w:val="99"/>
    <w:rsid w:val="008E0FBF"/>
    <w:rPr>
      <w:color w:val="800080"/>
      <w:u w:val="single"/>
    </w:rPr>
  </w:style>
  <w:style w:type="character" w:customStyle="1" w:styleId="14">
    <w:name w:val="К1"/>
    <w:uiPriority w:val="99"/>
    <w:rsid w:val="008E0FBF"/>
    <w:rPr>
      <w:rFonts w:ascii="Courier New" w:hAnsi="Courier New" w:cs="Courier New"/>
      <w:b/>
      <w:bCs/>
      <w:sz w:val="20"/>
      <w:szCs w:val="20"/>
    </w:rPr>
  </w:style>
  <w:style w:type="character" w:customStyle="1" w:styleId="41">
    <w:name w:val="П4"/>
    <w:uiPriority w:val="99"/>
    <w:rsid w:val="008E0FBF"/>
    <w:rPr>
      <w:rFonts w:ascii="Courier New" w:hAnsi="Courier New" w:cs="Courier New"/>
    </w:rPr>
  </w:style>
  <w:style w:type="character" w:customStyle="1" w:styleId="33">
    <w:name w:val="П3"/>
    <w:uiPriority w:val="99"/>
    <w:rsid w:val="008E0FBF"/>
    <w:rPr>
      <w:rFonts w:ascii="Courier New" w:hAnsi="Courier New" w:cs="Courier New"/>
      <w:sz w:val="20"/>
      <w:szCs w:val="20"/>
    </w:rPr>
  </w:style>
  <w:style w:type="character" w:customStyle="1" w:styleId="26">
    <w:name w:val="П2"/>
    <w:uiPriority w:val="99"/>
    <w:rsid w:val="008E0FBF"/>
    <w:rPr>
      <w:i/>
      <w:iCs/>
    </w:rPr>
  </w:style>
  <w:style w:type="character" w:customStyle="1" w:styleId="15">
    <w:name w:val="П1"/>
    <w:uiPriority w:val="99"/>
    <w:rsid w:val="008E0FBF"/>
    <w:rPr>
      <w:vanish/>
    </w:rPr>
  </w:style>
  <w:style w:type="paragraph" w:customStyle="1" w:styleId="Iniiaiieoaeno2">
    <w:name w:val="Iniiaiie oaeno 2"/>
    <w:basedOn w:val="Iauiue"/>
    <w:uiPriority w:val="99"/>
    <w:rsid w:val="008E0FBF"/>
    <w:pPr>
      <w:jc w:val="both"/>
    </w:pPr>
    <w:rPr>
      <w:sz w:val="16"/>
      <w:szCs w:val="16"/>
    </w:rPr>
  </w:style>
  <w:style w:type="character" w:customStyle="1" w:styleId="Aeiannueea">
    <w:name w:val="Aeia?nnueea"/>
    <w:uiPriority w:val="99"/>
    <w:rsid w:val="008E0FBF"/>
    <w:rPr>
      <w:color w:val="0000FF"/>
      <w:sz w:val="20"/>
      <w:szCs w:val="20"/>
      <w:u w:val="single"/>
    </w:rPr>
  </w:style>
  <w:style w:type="character" w:customStyle="1" w:styleId="N1">
    <w:name w:val="N1"/>
    <w:uiPriority w:val="99"/>
    <w:rsid w:val="008E0FBF"/>
    <w:rPr>
      <w:b/>
      <w:bCs/>
    </w:rPr>
  </w:style>
  <w:style w:type="paragraph" w:customStyle="1" w:styleId="Iaeeiaaiiuenienie">
    <w:name w:val="Ia?ee?iaaiiue nienie"/>
    <w:basedOn w:val="Iauiue"/>
    <w:uiPriority w:val="99"/>
    <w:rsid w:val="008E0FBF"/>
    <w:pPr>
      <w:widowControl/>
      <w:ind w:left="283" w:hanging="283"/>
    </w:pPr>
  </w:style>
  <w:style w:type="paragraph" w:customStyle="1" w:styleId="Oaeno">
    <w:name w:val="Oaeno"/>
    <w:basedOn w:val="Iauiue"/>
    <w:uiPriority w:val="99"/>
    <w:rsid w:val="008E0FBF"/>
    <w:rPr>
      <w:rFonts w:ascii="Courier New" w:hAnsi="Courier New" w:cs="Courier New"/>
    </w:rPr>
  </w:style>
  <w:style w:type="paragraph" w:customStyle="1" w:styleId="Iniiaiieoaeno3">
    <w:name w:val="Iniiaiie oaeno 3"/>
    <w:basedOn w:val="Iauiue"/>
    <w:uiPriority w:val="99"/>
    <w:rsid w:val="008E0FBF"/>
    <w:pPr>
      <w:jc w:val="center"/>
    </w:pPr>
    <w:rPr>
      <w:sz w:val="16"/>
      <w:szCs w:val="16"/>
    </w:rPr>
  </w:style>
  <w:style w:type="paragraph" w:customStyle="1" w:styleId="Aaoieeeieiioeooe">
    <w:name w:val="Aa?oiee eieiioeooe"/>
    <w:basedOn w:val="Iauiue"/>
    <w:uiPriority w:val="99"/>
    <w:rsid w:val="008E0FBF"/>
    <w:pPr>
      <w:widowControl/>
      <w:tabs>
        <w:tab w:val="center" w:pos="4153"/>
        <w:tab w:val="right" w:pos="8306"/>
      </w:tabs>
    </w:pPr>
  </w:style>
  <w:style w:type="paragraph" w:customStyle="1" w:styleId="Ieieeeieiioeooe">
    <w:name w:val="Ie?iee eieiioeooe"/>
    <w:basedOn w:val="Iauiue"/>
    <w:uiPriority w:val="99"/>
    <w:rsid w:val="008E0FBF"/>
    <w:pPr>
      <w:widowControl/>
      <w:tabs>
        <w:tab w:val="center" w:pos="4153"/>
        <w:tab w:val="right" w:pos="8306"/>
      </w:tabs>
    </w:pPr>
  </w:style>
  <w:style w:type="paragraph" w:customStyle="1" w:styleId="Default">
    <w:name w:val="Default"/>
    <w:rsid w:val="008E0FBF"/>
    <w:pPr>
      <w:autoSpaceDE w:val="0"/>
      <w:autoSpaceDN w:val="0"/>
      <w:adjustRightInd w:val="0"/>
    </w:pPr>
    <w:rPr>
      <w:rFonts w:ascii="Times New Roman" w:hAnsi="Times New Roman"/>
      <w:color w:val="000000"/>
      <w:sz w:val="24"/>
      <w:szCs w:val="24"/>
      <w:lang w:eastAsia="en-US"/>
    </w:rPr>
  </w:style>
  <w:style w:type="character" w:customStyle="1" w:styleId="8pt35450pt115">
    <w:name w:val="Основной текст + 8 pt35.Курсив45.Интервал 0 pt115"/>
    <w:uiPriority w:val="99"/>
    <w:rsid w:val="008E0FBF"/>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uiPriority w:val="99"/>
    <w:rsid w:val="008E0FBF"/>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uiPriority w:val="99"/>
    <w:rsid w:val="008E0FBF"/>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uiPriority w:val="99"/>
    <w:rsid w:val="008E0FBF"/>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uiPriority w:val="99"/>
    <w:rsid w:val="008E0FBF"/>
    <w:rPr>
      <w:rFonts w:ascii="Microsoft Sans Serif" w:hAnsi="Microsoft Sans Serif" w:cs="Microsoft Sans Serif"/>
      <w:b/>
      <w:bCs/>
      <w:i/>
      <w:iCs/>
      <w:spacing w:val="0"/>
      <w:sz w:val="17"/>
      <w:szCs w:val="17"/>
    </w:rPr>
  </w:style>
  <w:style w:type="character" w:customStyle="1" w:styleId="39">
    <w:name w:val="Основной текст (3)9"/>
    <w:uiPriority w:val="99"/>
    <w:rsid w:val="008E0FBF"/>
    <w:rPr>
      <w:b/>
      <w:bCs/>
      <w:i/>
      <w:iCs/>
      <w:sz w:val="17"/>
      <w:szCs w:val="17"/>
    </w:rPr>
  </w:style>
  <w:style w:type="paragraph" w:customStyle="1" w:styleId="310">
    <w:name w:val="Основной текст (3)1"/>
    <w:basedOn w:val="a"/>
    <w:uiPriority w:val="99"/>
    <w:rsid w:val="008E0FBF"/>
    <w:pPr>
      <w:shd w:val="clear" w:color="auto" w:fill="FFFFFF"/>
      <w:autoSpaceDE w:val="0"/>
      <w:autoSpaceDN w:val="0"/>
      <w:adjustRightInd w:val="0"/>
      <w:spacing w:after="0" w:line="240" w:lineRule="atLeast"/>
    </w:pPr>
    <w:rPr>
      <w:rFonts w:ascii="Times New Roman" w:hAnsi="Times New Roman"/>
      <w:b/>
      <w:bCs/>
      <w:i/>
      <w:iCs/>
      <w:noProof/>
      <w:sz w:val="17"/>
      <w:szCs w:val="17"/>
      <w:lang w:val="en-US"/>
    </w:rPr>
  </w:style>
  <w:style w:type="character" w:customStyle="1" w:styleId="8pt30390pt109">
    <w:name w:val="Основной текст + 8 pt30.Курсив39.Интервал 0 pt109"/>
    <w:uiPriority w:val="99"/>
    <w:rsid w:val="008E0FBF"/>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uiPriority w:val="99"/>
    <w:rsid w:val="008E0FBF"/>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uiPriority w:val="99"/>
    <w:rsid w:val="008E0FBF"/>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uiPriority w:val="99"/>
    <w:rsid w:val="008E0FBF"/>
    <w:rPr>
      <w:rFonts w:ascii="Microsoft Sans Serif" w:hAnsi="Microsoft Sans Serif" w:cs="Microsoft Sans Serif"/>
      <w:i/>
      <w:iCs/>
      <w:spacing w:val="0"/>
      <w:sz w:val="16"/>
      <w:szCs w:val="16"/>
    </w:rPr>
  </w:style>
  <w:style w:type="character" w:customStyle="1" w:styleId="579">
    <w:name w:val="Основной текст (5)79"/>
    <w:uiPriority w:val="99"/>
    <w:rsid w:val="008E0FBF"/>
    <w:rPr>
      <w:i/>
      <w:iCs/>
      <w:spacing w:val="0"/>
      <w:sz w:val="16"/>
      <w:szCs w:val="16"/>
    </w:rPr>
  </w:style>
  <w:style w:type="character" w:customStyle="1" w:styleId="578">
    <w:name w:val="Основной текст (5)78"/>
    <w:uiPriority w:val="99"/>
    <w:rsid w:val="008E0FBF"/>
    <w:rPr>
      <w:rFonts w:ascii="Arial Unicode MS" w:eastAsia="Arial Unicode MS" w:cs="Arial Unicode MS"/>
      <w:i/>
      <w:iCs/>
      <w:noProof/>
      <w:spacing w:val="0"/>
      <w:sz w:val="16"/>
      <w:szCs w:val="16"/>
    </w:rPr>
  </w:style>
  <w:style w:type="character" w:customStyle="1" w:styleId="57pt25">
    <w:name w:val="Основной текст (5) + 7 pt.Полужирный25"/>
    <w:uiPriority w:val="99"/>
    <w:rsid w:val="008E0FBF"/>
    <w:rPr>
      <w:b/>
      <w:bCs/>
      <w:i/>
      <w:iCs/>
      <w:spacing w:val="0"/>
      <w:sz w:val="14"/>
      <w:szCs w:val="14"/>
    </w:rPr>
  </w:style>
  <w:style w:type="character" w:customStyle="1" w:styleId="57pt124">
    <w:name w:val="Основной текст (5) + 7 pt1.Полужирный24"/>
    <w:uiPriority w:val="99"/>
    <w:rsid w:val="008E0FBF"/>
    <w:rPr>
      <w:b/>
      <w:bCs/>
      <w:i/>
      <w:iCs/>
      <w:spacing w:val="0"/>
      <w:sz w:val="14"/>
      <w:szCs w:val="14"/>
    </w:rPr>
  </w:style>
  <w:style w:type="character" w:customStyle="1" w:styleId="8pt25340pt104">
    <w:name w:val="Основной текст + 8 pt25.Курсив34.Интервал 0 pt104"/>
    <w:uiPriority w:val="99"/>
    <w:rsid w:val="008E0FBF"/>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uiPriority w:val="99"/>
    <w:rsid w:val="008E0FBF"/>
    <w:rPr>
      <w:rFonts w:ascii="Arial Unicode MS" w:eastAsia="Arial Unicode MS" w:cs="Arial Unicode MS"/>
      <w:i/>
      <w:iCs/>
      <w:noProof/>
      <w:spacing w:val="0"/>
      <w:sz w:val="16"/>
      <w:szCs w:val="16"/>
    </w:rPr>
  </w:style>
  <w:style w:type="character" w:customStyle="1" w:styleId="577">
    <w:name w:val="Основной текст (5)77"/>
    <w:uiPriority w:val="99"/>
    <w:rsid w:val="008E0FBF"/>
    <w:rPr>
      <w:i/>
      <w:iCs/>
      <w:spacing w:val="0"/>
      <w:sz w:val="16"/>
      <w:szCs w:val="16"/>
    </w:rPr>
  </w:style>
  <w:style w:type="character" w:customStyle="1" w:styleId="576">
    <w:name w:val="Основной текст (5)76"/>
    <w:uiPriority w:val="99"/>
    <w:rsid w:val="008E0FBF"/>
    <w:rPr>
      <w:rFonts w:ascii="Arial Unicode MS" w:eastAsia="Arial Unicode MS" w:cs="Arial Unicode MS"/>
      <w:i/>
      <w:iCs/>
      <w:noProof/>
      <w:spacing w:val="0"/>
      <w:sz w:val="16"/>
      <w:szCs w:val="16"/>
    </w:rPr>
  </w:style>
  <w:style w:type="paragraph" w:customStyle="1" w:styleId="61">
    <w:name w:val="Заголовок №61"/>
    <w:basedOn w:val="a"/>
    <w:uiPriority w:val="99"/>
    <w:rsid w:val="008E0FBF"/>
    <w:pPr>
      <w:shd w:val="clear" w:color="auto" w:fill="FFFFFF"/>
      <w:autoSpaceDE w:val="0"/>
      <w:autoSpaceDN w:val="0"/>
      <w:adjustRightInd w:val="0"/>
      <w:spacing w:before="180" w:after="0" w:line="211" w:lineRule="exact"/>
      <w:ind w:firstLine="280"/>
      <w:jc w:val="both"/>
    </w:pPr>
    <w:rPr>
      <w:rFonts w:ascii="Times New Roman" w:hAnsi="Times New Roman"/>
      <w:b/>
      <w:bCs/>
      <w:i/>
      <w:iCs/>
      <w:noProof/>
      <w:sz w:val="17"/>
      <w:szCs w:val="17"/>
      <w:lang w:val="en-US"/>
    </w:rPr>
  </w:style>
  <w:style w:type="character" w:customStyle="1" w:styleId="8pt21300pt98">
    <w:name w:val="Основной текст + 8 pt21.Курсив30.Интервал 0 pt98"/>
    <w:uiPriority w:val="99"/>
    <w:rsid w:val="008E0FBF"/>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uiPriority w:val="99"/>
    <w:rsid w:val="008E0FBF"/>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uiPriority w:val="99"/>
    <w:rsid w:val="008E0FBF"/>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8E0FBF"/>
    <w:pPr>
      <w:shd w:val="clear" w:color="auto" w:fill="FFFFFF"/>
      <w:autoSpaceDE w:val="0"/>
      <w:autoSpaceDN w:val="0"/>
      <w:adjustRightInd w:val="0"/>
      <w:spacing w:before="180" w:after="0" w:line="216" w:lineRule="exact"/>
      <w:jc w:val="both"/>
    </w:pPr>
    <w:rPr>
      <w:rFonts w:ascii="Times New Roman" w:hAnsi="Times New Roman"/>
      <w:b/>
      <w:bCs/>
      <w:i/>
      <w:iCs/>
      <w:noProof/>
      <w:sz w:val="15"/>
      <w:szCs w:val="15"/>
      <w:lang w:val="en-US"/>
    </w:rPr>
  </w:style>
  <w:style w:type="character" w:customStyle="1" w:styleId="2090pt38">
    <w:name w:val="Основной текст (20) + Не курсив9.Интервал 0 pt38"/>
    <w:uiPriority w:val="99"/>
    <w:rsid w:val="008E0FBF"/>
    <w:rPr>
      <w:rFonts w:ascii="Lucida Sans Unicode" w:hAnsi="Lucida Sans Unicode" w:cs="Lucida Sans Unicode"/>
      <w:b/>
      <w:bCs/>
      <w:i/>
      <w:iCs/>
      <w:spacing w:val="-10"/>
      <w:sz w:val="16"/>
      <w:szCs w:val="16"/>
    </w:rPr>
  </w:style>
  <w:style w:type="character" w:customStyle="1" w:styleId="6pt2">
    <w:name w:val="Основной текст + 6 pt2"/>
    <w:uiPriority w:val="99"/>
    <w:rsid w:val="008E0FBF"/>
    <w:rPr>
      <w:rFonts w:ascii="Lucida Sans Unicode" w:hAnsi="Lucida Sans Unicode" w:cs="Lucida Sans Unicode"/>
      <w:spacing w:val="-10"/>
      <w:sz w:val="12"/>
      <w:szCs w:val="12"/>
    </w:rPr>
  </w:style>
  <w:style w:type="character" w:customStyle="1" w:styleId="70pt37">
    <w:name w:val="Основной текст + Курсив7.Интервал 0 pt37"/>
    <w:uiPriority w:val="99"/>
    <w:rsid w:val="008E0FBF"/>
    <w:rPr>
      <w:rFonts w:ascii="Lucida Sans Unicode" w:hAnsi="Lucida Sans Unicode" w:cs="Lucida Sans Unicode"/>
      <w:i/>
      <w:iCs/>
      <w:spacing w:val="0"/>
      <w:sz w:val="16"/>
      <w:szCs w:val="16"/>
    </w:rPr>
  </w:style>
  <w:style w:type="character" w:customStyle="1" w:styleId="60pt36">
    <w:name w:val="Основной текст + Курсив6.Интервал 0 pt36"/>
    <w:uiPriority w:val="99"/>
    <w:rsid w:val="008E0FBF"/>
    <w:rPr>
      <w:rFonts w:ascii="Lucida Sans Unicode" w:hAnsi="Lucida Sans Unicode" w:cs="Lucida Sans Unicode"/>
      <w:i/>
      <w:iCs/>
      <w:spacing w:val="0"/>
      <w:sz w:val="16"/>
      <w:szCs w:val="16"/>
    </w:rPr>
  </w:style>
  <w:style w:type="character" w:customStyle="1" w:styleId="29">
    <w:name w:val="Основной текст (29)_"/>
    <w:uiPriority w:val="99"/>
    <w:rsid w:val="008E0FBF"/>
    <w:rPr>
      <w:rFonts w:ascii="Arial Narrow" w:hAnsi="Arial Narrow" w:cs="Arial Narrow"/>
      <w:i/>
      <w:iCs/>
      <w:sz w:val="15"/>
      <w:szCs w:val="15"/>
    </w:rPr>
  </w:style>
  <w:style w:type="paragraph" w:customStyle="1" w:styleId="100">
    <w:name w:val="Заголовок №10"/>
    <w:basedOn w:val="a"/>
    <w:uiPriority w:val="99"/>
    <w:rsid w:val="008E0FBF"/>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8E0FBF"/>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uiPriority w:val="99"/>
    <w:rsid w:val="008E0FBF"/>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uiPriority w:val="99"/>
    <w:rsid w:val="008E0FBF"/>
    <w:rPr>
      <w:rFonts w:ascii="Lucida Sans Unicode" w:hAnsi="Lucida Sans Unicode" w:cs="Lucida Sans Unicode"/>
      <w:i/>
      <w:iCs/>
      <w:spacing w:val="0"/>
      <w:sz w:val="16"/>
      <w:szCs w:val="16"/>
    </w:rPr>
  </w:style>
  <w:style w:type="character" w:customStyle="1" w:styleId="aff0">
    <w:name w:val="Основной текст_"/>
    <w:link w:val="17"/>
    <w:rsid w:val="008E0FBF"/>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8E0FBF"/>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1">
    <w:name w:val="Подпись к таблице"/>
    <w:basedOn w:val="a"/>
    <w:link w:val="aff2"/>
    <w:rsid w:val="008E0FBF"/>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uiPriority w:val="99"/>
    <w:rsid w:val="008E0FBF"/>
    <w:rPr>
      <w:rFonts w:ascii="Arial Narrow" w:hAnsi="Arial Narrow" w:cs="Arial Narrow"/>
      <w:smallCaps/>
      <w:spacing w:val="0"/>
      <w:sz w:val="13"/>
      <w:szCs w:val="13"/>
    </w:rPr>
  </w:style>
  <w:style w:type="character" w:customStyle="1" w:styleId="2070pt33">
    <w:name w:val="Основной текст (20) + Не курсив7.Интервал 0 pt33"/>
    <w:uiPriority w:val="99"/>
    <w:rsid w:val="008E0FBF"/>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uiPriority w:val="99"/>
    <w:rsid w:val="008E0FBF"/>
    <w:rPr>
      <w:rFonts w:ascii="Lucida Sans Unicode" w:hAnsi="Lucida Sans Unicode" w:cs="Lucida Sans Unicode"/>
      <w:i/>
      <w:iCs/>
      <w:spacing w:val="0"/>
      <w:sz w:val="16"/>
      <w:szCs w:val="16"/>
    </w:rPr>
  </w:style>
  <w:style w:type="character" w:customStyle="1" w:styleId="200">
    <w:name w:val="Основной текст (20)_"/>
    <w:uiPriority w:val="99"/>
    <w:rsid w:val="008E0FBF"/>
    <w:rPr>
      <w:b/>
      <w:bCs/>
      <w:i/>
      <w:iCs/>
      <w:sz w:val="15"/>
      <w:szCs w:val="15"/>
    </w:rPr>
  </w:style>
  <w:style w:type="character" w:customStyle="1" w:styleId="2050pt30">
    <w:name w:val="Основной текст (20) + Не курсив5.Интервал 0 pt30"/>
    <w:uiPriority w:val="99"/>
    <w:rsid w:val="008E0FBF"/>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uiPriority w:val="99"/>
    <w:rsid w:val="008E0FBF"/>
    <w:rPr>
      <w:rFonts w:ascii="Lucida Sans Unicode" w:hAnsi="Lucida Sans Unicode" w:cs="Lucida Sans Unicode"/>
      <w:i/>
      <w:iCs/>
      <w:spacing w:val="0"/>
      <w:sz w:val="16"/>
      <w:szCs w:val="16"/>
    </w:rPr>
  </w:style>
  <w:style w:type="character" w:customStyle="1" w:styleId="20pt28">
    <w:name w:val="Основной текст + Курсив2.Интервал 0 pt28"/>
    <w:uiPriority w:val="99"/>
    <w:rsid w:val="008E0FBF"/>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8E0FBF"/>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
    <w:uiPriority w:val="99"/>
    <w:rsid w:val="008E0FBF"/>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uiPriority w:val="99"/>
    <w:rsid w:val="008E0FBF"/>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link w:val="440"/>
    <w:rsid w:val="008E0FBF"/>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3">
    <w:name w:val="Сноска"/>
    <w:basedOn w:val="a"/>
    <w:link w:val="aff4"/>
    <w:rsid w:val="008E0FBF"/>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101">
    <w:name w:val="Основной текст + Курсив10"/>
    <w:uiPriority w:val="99"/>
    <w:rsid w:val="008E0FBF"/>
    <w:rPr>
      <w:rFonts w:ascii="Arial" w:hAnsi="Arial" w:cs="Arial"/>
      <w:i/>
      <w:iCs/>
      <w:spacing w:val="-10"/>
      <w:sz w:val="17"/>
      <w:szCs w:val="17"/>
    </w:rPr>
  </w:style>
  <w:style w:type="paragraph" w:customStyle="1" w:styleId="250">
    <w:name w:val="Основной текст25"/>
    <w:basedOn w:val="a"/>
    <w:uiPriority w:val="99"/>
    <w:rsid w:val="008E0FBF"/>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
    <w:uiPriority w:val="99"/>
    <w:rsid w:val="008E0FBF"/>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5">
    <w:name w:val="Оглавление"/>
    <w:uiPriority w:val="99"/>
    <w:rsid w:val="008E0FBF"/>
    <w:rPr>
      <w:rFonts w:ascii="Times New Roman" w:hAnsi="Times New Roman" w:cs="Times New Roman"/>
      <w:spacing w:val="0"/>
      <w:sz w:val="21"/>
      <w:szCs w:val="21"/>
      <w:u w:val="single"/>
    </w:rPr>
  </w:style>
  <w:style w:type="paragraph" w:customStyle="1" w:styleId="140">
    <w:name w:val="Заголовок №14"/>
    <w:basedOn w:val="a"/>
    <w:uiPriority w:val="99"/>
    <w:rsid w:val="008E0FBF"/>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uiPriority w:val="99"/>
    <w:rsid w:val="008E0FBF"/>
    <w:rPr>
      <w:spacing w:val="40"/>
      <w:sz w:val="25"/>
      <w:szCs w:val="25"/>
    </w:rPr>
  </w:style>
  <w:style w:type="paragraph" w:customStyle="1" w:styleId="7">
    <w:name w:val="Основной текст (7)"/>
    <w:basedOn w:val="a"/>
    <w:uiPriority w:val="99"/>
    <w:rsid w:val="008E0FBF"/>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13pt">
    <w:name w:val="Основной текст + 13 pt"/>
    <w:uiPriority w:val="99"/>
    <w:rsid w:val="008E0FBF"/>
    <w:rPr>
      <w:spacing w:val="10"/>
      <w:sz w:val="26"/>
      <w:szCs w:val="26"/>
    </w:rPr>
  </w:style>
  <w:style w:type="character" w:customStyle="1" w:styleId="240">
    <w:name w:val="Основной текст24"/>
    <w:uiPriority w:val="99"/>
    <w:rsid w:val="008E0FBF"/>
    <w:rPr>
      <w:sz w:val="25"/>
      <w:szCs w:val="25"/>
    </w:rPr>
  </w:style>
  <w:style w:type="paragraph" w:customStyle="1" w:styleId="6">
    <w:name w:val="Заголовок №6"/>
    <w:basedOn w:val="a"/>
    <w:uiPriority w:val="99"/>
    <w:rsid w:val="008E0FBF"/>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rsid w:val="008E0FBF"/>
    <w:rPr>
      <w:rFonts w:ascii="Lucida Sans Unicode" w:hAnsi="Lucida Sans Unicode" w:cs="Lucida Sans Unicode"/>
      <w:i/>
      <w:iCs/>
      <w:sz w:val="16"/>
      <w:szCs w:val="16"/>
    </w:rPr>
  </w:style>
  <w:style w:type="character" w:customStyle="1" w:styleId="aff6">
    <w:name w:val="Основной текст + Курсив"/>
    <w:aliases w:val="Интервал 0 pt59"/>
    <w:uiPriority w:val="99"/>
    <w:rsid w:val="008E0FBF"/>
    <w:rPr>
      <w:rFonts w:ascii="Lucida Sans Unicode" w:hAnsi="Lucida Sans Unicode" w:cs="Lucida Sans Unicode"/>
      <w:i/>
      <w:iCs/>
      <w:sz w:val="16"/>
      <w:szCs w:val="16"/>
    </w:rPr>
  </w:style>
  <w:style w:type="paragraph" w:customStyle="1" w:styleId="80">
    <w:name w:val="Основной текст (8)"/>
    <w:basedOn w:val="a"/>
    <w:rsid w:val="008E0FBF"/>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rsid w:val="008E0FBF"/>
    <w:rPr>
      <w:rFonts w:ascii="Lucida Sans Unicode" w:hAnsi="Lucida Sans Unicode" w:cs="Lucida Sans Unicode"/>
      <w:sz w:val="16"/>
      <w:szCs w:val="16"/>
    </w:rPr>
  </w:style>
  <w:style w:type="character" w:customStyle="1" w:styleId="4pt">
    <w:name w:val="Основной текст + Интервал 4 pt"/>
    <w:uiPriority w:val="99"/>
    <w:rsid w:val="008E0FBF"/>
    <w:rPr>
      <w:rFonts w:ascii="Franklin Gothic Medium" w:hAnsi="Franklin Gothic Medium" w:cs="Franklin Gothic Medium"/>
      <w:spacing w:val="90"/>
      <w:sz w:val="20"/>
      <w:szCs w:val="20"/>
      <w:u w:val="single"/>
    </w:rPr>
  </w:style>
  <w:style w:type="character" w:customStyle="1" w:styleId="SegoeUI">
    <w:name w:val="Основной текст + Segoe UI"/>
    <w:uiPriority w:val="99"/>
    <w:rsid w:val="008E0FBF"/>
    <w:rPr>
      <w:rFonts w:ascii="Segoe UI" w:hAnsi="Segoe UI" w:cs="Segoe UI"/>
      <w:b/>
      <w:bCs/>
      <w:i/>
      <w:iCs/>
      <w:spacing w:val="0"/>
      <w:sz w:val="16"/>
      <w:szCs w:val="16"/>
    </w:rPr>
  </w:style>
  <w:style w:type="character" w:customStyle="1" w:styleId="SegoeUI1">
    <w:name w:val="Основной текст + Segoe UI1"/>
    <w:uiPriority w:val="99"/>
    <w:rsid w:val="008E0FBF"/>
    <w:rPr>
      <w:rFonts w:ascii="Segoe UI" w:hAnsi="Segoe UI" w:cs="Segoe UI"/>
      <w:i/>
      <w:iCs/>
      <w:spacing w:val="0"/>
      <w:sz w:val="13"/>
      <w:szCs w:val="13"/>
    </w:rPr>
  </w:style>
  <w:style w:type="character" w:customStyle="1" w:styleId="16">
    <w:name w:val="Основной текст1"/>
    <w:uiPriority w:val="99"/>
    <w:rsid w:val="008E0FBF"/>
    <w:rPr>
      <w:rFonts w:ascii="Gungsuh" w:eastAsia="Gungsuh" w:cs="Gungsuh"/>
      <w:spacing w:val="-10"/>
      <w:sz w:val="16"/>
      <w:szCs w:val="16"/>
      <w:u w:val="single"/>
    </w:rPr>
  </w:style>
  <w:style w:type="paragraph" w:customStyle="1" w:styleId="34">
    <w:name w:val="Основной текст (3)"/>
    <w:basedOn w:val="a"/>
    <w:uiPriority w:val="99"/>
    <w:rsid w:val="008E0FBF"/>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paragraph" w:customStyle="1" w:styleId="27">
    <w:name w:val="Основной текст2"/>
    <w:basedOn w:val="a"/>
    <w:rsid w:val="008E0FBF"/>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5">
    <w:name w:val="Основной текст (4)"/>
    <w:basedOn w:val="a"/>
    <w:uiPriority w:val="99"/>
    <w:rsid w:val="008E0FBF"/>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paragraph" w:customStyle="1" w:styleId="28">
    <w:name w:val="Основной текст (2)"/>
    <w:basedOn w:val="a"/>
    <w:link w:val="2a"/>
    <w:rsid w:val="008E0FBF"/>
    <w:pPr>
      <w:shd w:val="clear" w:color="auto" w:fill="FFFFFF"/>
      <w:autoSpaceDE w:val="0"/>
      <w:autoSpaceDN w:val="0"/>
      <w:adjustRightInd w:val="0"/>
      <w:spacing w:before="120" w:after="0" w:line="240" w:lineRule="atLeast"/>
    </w:pPr>
    <w:rPr>
      <w:rFonts w:ascii="Segoe UI" w:hAnsi="Segoe UI" w:cs="Segoe UI"/>
      <w:sz w:val="13"/>
      <w:szCs w:val="13"/>
    </w:rPr>
  </w:style>
  <w:style w:type="paragraph" w:customStyle="1" w:styleId="18">
    <w:name w:val="Заголовок №1"/>
    <w:basedOn w:val="a"/>
    <w:uiPriority w:val="99"/>
    <w:rsid w:val="008E0FBF"/>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70">
    <w:name w:val="Основной текст + 7"/>
    <w:uiPriority w:val="99"/>
    <w:rsid w:val="008E0FBF"/>
    <w:rPr>
      <w:rFonts w:ascii="Gungsuh" w:eastAsia="Gungsuh" w:cs="Gungsuh"/>
      <w:spacing w:val="0"/>
      <w:sz w:val="15"/>
      <w:szCs w:val="15"/>
    </w:rPr>
  </w:style>
  <w:style w:type="character" w:customStyle="1" w:styleId="TrebuchetMS">
    <w:name w:val="Основной текст + Trebuchet MS"/>
    <w:uiPriority w:val="99"/>
    <w:rsid w:val="008E0FBF"/>
    <w:rPr>
      <w:rFonts w:ascii="Trebuchet MS" w:hAnsi="Trebuchet MS" w:cs="Trebuchet MS"/>
      <w:b/>
      <w:bCs/>
      <w:spacing w:val="0"/>
      <w:sz w:val="20"/>
      <w:szCs w:val="20"/>
    </w:rPr>
  </w:style>
  <w:style w:type="character" w:customStyle="1" w:styleId="102">
    <w:name w:val="Основной текст + 10"/>
    <w:uiPriority w:val="99"/>
    <w:rsid w:val="008E0FBF"/>
    <w:rPr>
      <w:rFonts w:ascii="Gungsuh" w:eastAsia="Gungsuh" w:cs="Gungsuh"/>
      <w:spacing w:val="-20"/>
      <w:sz w:val="21"/>
      <w:szCs w:val="21"/>
    </w:rPr>
  </w:style>
  <w:style w:type="character" w:customStyle="1" w:styleId="9">
    <w:name w:val="Основной текст + 9"/>
    <w:uiPriority w:val="99"/>
    <w:rsid w:val="008E0FBF"/>
    <w:rPr>
      <w:rFonts w:ascii="Gungsuh" w:eastAsia="Gungsuh" w:cs="Gungsuh"/>
      <w:smallCaps/>
      <w:spacing w:val="-10"/>
      <w:sz w:val="19"/>
      <w:szCs w:val="19"/>
    </w:rPr>
  </w:style>
  <w:style w:type="character" w:customStyle="1" w:styleId="Candara">
    <w:name w:val="Основной текст + Candara"/>
    <w:uiPriority w:val="99"/>
    <w:rsid w:val="008E0FBF"/>
    <w:rPr>
      <w:rFonts w:ascii="Candara" w:hAnsi="Candara" w:cs="Candara"/>
      <w:b/>
      <w:bCs/>
      <w:spacing w:val="0"/>
      <w:sz w:val="22"/>
      <w:szCs w:val="22"/>
    </w:rPr>
  </w:style>
  <w:style w:type="character" w:customStyle="1" w:styleId="0pt">
    <w:name w:val="Основной текст + Интервал 0 pt"/>
    <w:uiPriority w:val="99"/>
    <w:rsid w:val="008E0FBF"/>
    <w:rPr>
      <w:rFonts w:ascii="Gungsuh" w:eastAsia="Gungsuh" w:cs="Gungsuh"/>
      <w:spacing w:val="10"/>
      <w:sz w:val="18"/>
      <w:szCs w:val="18"/>
    </w:rPr>
  </w:style>
  <w:style w:type="character" w:customStyle="1" w:styleId="8pt">
    <w:name w:val="Основной текст + 8 pt"/>
    <w:uiPriority w:val="99"/>
    <w:rsid w:val="008E0FBF"/>
    <w:rPr>
      <w:rFonts w:ascii="Gungsuh" w:eastAsia="Gungsuh" w:cs="Gungsuh"/>
      <w:spacing w:val="-10"/>
      <w:sz w:val="16"/>
      <w:szCs w:val="16"/>
    </w:rPr>
  </w:style>
  <w:style w:type="character" w:customStyle="1" w:styleId="Consolas">
    <w:name w:val="Основной текст + Consolas"/>
    <w:uiPriority w:val="99"/>
    <w:rsid w:val="008E0FBF"/>
    <w:rPr>
      <w:rFonts w:ascii="Consolas" w:hAnsi="Consolas" w:cs="Consolas"/>
      <w:b/>
      <w:bCs/>
      <w:spacing w:val="0"/>
      <w:sz w:val="19"/>
      <w:szCs w:val="19"/>
    </w:rPr>
  </w:style>
  <w:style w:type="character" w:customStyle="1" w:styleId="82">
    <w:name w:val="Основной текст + 8"/>
    <w:uiPriority w:val="99"/>
    <w:rsid w:val="008E0FBF"/>
    <w:rPr>
      <w:rFonts w:ascii="Arial Narrow" w:hAnsi="Arial Narrow" w:cs="Arial Narrow"/>
      <w:i/>
      <w:iCs/>
      <w:smallCaps/>
      <w:sz w:val="17"/>
      <w:szCs w:val="17"/>
    </w:rPr>
  </w:style>
  <w:style w:type="character" w:customStyle="1" w:styleId="280">
    <w:name w:val="Основной текст (2) + 8"/>
    <w:uiPriority w:val="99"/>
    <w:rsid w:val="008E0FBF"/>
    <w:rPr>
      <w:rFonts w:ascii="Arial Narrow" w:hAnsi="Arial Narrow" w:cs="Arial Narrow"/>
      <w:i/>
      <w:iCs/>
      <w:smallCaps/>
      <w:spacing w:val="0"/>
      <w:sz w:val="17"/>
      <w:szCs w:val="17"/>
    </w:rPr>
  </w:style>
  <w:style w:type="character" w:customStyle="1" w:styleId="7pt">
    <w:name w:val="Основной текст + 7 pt"/>
    <w:uiPriority w:val="99"/>
    <w:rsid w:val="008E0FBF"/>
    <w:rPr>
      <w:rFonts w:ascii="Gungsuh" w:eastAsia="Gungsuh" w:cs="Gungsuh"/>
      <w:spacing w:val="0"/>
      <w:sz w:val="14"/>
      <w:szCs w:val="14"/>
    </w:rPr>
  </w:style>
  <w:style w:type="character" w:customStyle="1" w:styleId="9pt">
    <w:name w:val="Основной текст + 9 pt"/>
    <w:uiPriority w:val="99"/>
    <w:rsid w:val="008E0FBF"/>
    <w:rPr>
      <w:rFonts w:ascii="Gungsuh" w:eastAsia="Gungsuh" w:cs="Gungsuh"/>
      <w:b/>
      <w:bCs/>
      <w:i/>
      <w:iCs/>
      <w:spacing w:val="0"/>
      <w:sz w:val="18"/>
      <w:szCs w:val="18"/>
    </w:rPr>
  </w:style>
  <w:style w:type="character" w:customStyle="1" w:styleId="9pt1">
    <w:name w:val="Основной текст + 9 pt1"/>
    <w:uiPriority w:val="99"/>
    <w:rsid w:val="008E0FBF"/>
    <w:rPr>
      <w:rFonts w:ascii="Gungsuh" w:eastAsia="Gungsuh" w:cs="Gungsuh"/>
      <w:smallCaps/>
      <w:spacing w:val="0"/>
      <w:sz w:val="18"/>
      <w:szCs w:val="18"/>
    </w:rPr>
  </w:style>
  <w:style w:type="character" w:customStyle="1" w:styleId="1pt">
    <w:name w:val="Основной текст + Интервал 1 pt"/>
    <w:uiPriority w:val="99"/>
    <w:rsid w:val="008E0FBF"/>
    <w:rPr>
      <w:rFonts w:ascii="Gungsuh" w:eastAsia="Gungsuh" w:cs="Gungsuh"/>
      <w:spacing w:val="30"/>
      <w:sz w:val="17"/>
      <w:szCs w:val="17"/>
    </w:rPr>
  </w:style>
  <w:style w:type="character" w:customStyle="1" w:styleId="Garamond">
    <w:name w:val="Колонтитул + Garamond"/>
    <w:uiPriority w:val="99"/>
    <w:rsid w:val="008E0FBF"/>
    <w:rPr>
      <w:rFonts w:ascii="Garamond" w:hAnsi="Garamond" w:cs="Garamond"/>
      <w:sz w:val="18"/>
      <w:szCs w:val="18"/>
    </w:rPr>
  </w:style>
  <w:style w:type="character" w:customStyle="1" w:styleId="3pt">
    <w:name w:val="Основной текст + Интервал 3 pt"/>
    <w:uiPriority w:val="99"/>
    <w:rsid w:val="008E0FBF"/>
    <w:rPr>
      <w:rFonts w:ascii="Gungsuh" w:eastAsia="Gungsuh" w:cs="Gungsuh"/>
      <w:spacing w:val="60"/>
      <w:sz w:val="17"/>
      <w:szCs w:val="17"/>
    </w:rPr>
  </w:style>
  <w:style w:type="paragraph" w:customStyle="1" w:styleId="aff7">
    <w:name w:val="Колонтитул"/>
    <w:basedOn w:val="a"/>
    <w:uiPriority w:val="99"/>
    <w:rsid w:val="008E0FBF"/>
    <w:pPr>
      <w:shd w:val="clear" w:color="auto" w:fill="FFFFFF"/>
      <w:autoSpaceDE w:val="0"/>
      <w:autoSpaceDN w:val="0"/>
      <w:adjustRightInd w:val="0"/>
      <w:spacing w:after="0" w:line="240" w:lineRule="auto"/>
    </w:pPr>
    <w:rPr>
      <w:rFonts w:ascii="Times New Roman" w:hAnsi="Times New Roman"/>
      <w:sz w:val="20"/>
      <w:szCs w:val="20"/>
    </w:rPr>
  </w:style>
  <w:style w:type="character" w:customStyle="1" w:styleId="Arial">
    <w:name w:val="Основной текст + Arial"/>
    <w:uiPriority w:val="99"/>
    <w:rsid w:val="008E0FBF"/>
    <w:rPr>
      <w:rFonts w:ascii="Arial" w:hAnsi="Arial" w:cs="Arial"/>
      <w:sz w:val="21"/>
      <w:szCs w:val="21"/>
    </w:rPr>
  </w:style>
  <w:style w:type="paragraph" w:customStyle="1" w:styleId="2b">
    <w:name w:val="Заголовок №2"/>
    <w:basedOn w:val="a"/>
    <w:uiPriority w:val="99"/>
    <w:rsid w:val="008E0FBF"/>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Gulim">
    <w:name w:val="Основной текст (2) + Gulim"/>
    <w:uiPriority w:val="99"/>
    <w:rsid w:val="008E0FBF"/>
    <w:rPr>
      <w:rFonts w:ascii="Gulim" w:eastAsia="Gulim" w:cs="Gulim"/>
      <w:i/>
      <w:iCs/>
      <w:spacing w:val="-20"/>
      <w:sz w:val="19"/>
      <w:szCs w:val="19"/>
    </w:rPr>
  </w:style>
  <w:style w:type="character" w:customStyle="1" w:styleId="FranklinGothicMedium">
    <w:name w:val="Основной текст + Franklin Gothic Medium"/>
    <w:uiPriority w:val="99"/>
    <w:rsid w:val="008E0FBF"/>
    <w:rPr>
      <w:rFonts w:ascii="Franklin Gothic Medium" w:hAnsi="Franklin Gothic Medium" w:cs="Franklin Gothic Medium"/>
      <w:spacing w:val="0"/>
      <w:sz w:val="18"/>
      <w:szCs w:val="18"/>
    </w:rPr>
  </w:style>
  <w:style w:type="paragraph" w:customStyle="1" w:styleId="35">
    <w:name w:val="Основной текст3"/>
    <w:basedOn w:val="a"/>
    <w:uiPriority w:val="99"/>
    <w:rsid w:val="008E0FBF"/>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uiPriority w:val="99"/>
    <w:rsid w:val="008E0FBF"/>
    <w:rPr>
      <w:rFonts w:ascii="Century Schoolbook" w:hAnsi="Century Schoolbook" w:cs="Century Schoolbook"/>
      <w:spacing w:val="-20"/>
      <w:sz w:val="18"/>
      <w:szCs w:val="18"/>
    </w:rPr>
  </w:style>
  <w:style w:type="character" w:customStyle="1" w:styleId="Batang">
    <w:name w:val="Основной текст + Batang"/>
    <w:uiPriority w:val="99"/>
    <w:rsid w:val="008E0FBF"/>
    <w:rPr>
      <w:rFonts w:ascii="Batang" w:eastAsia="Batang" w:cs="Batang"/>
      <w:b/>
      <w:bCs/>
      <w:smallCaps/>
      <w:spacing w:val="0"/>
      <w:sz w:val="19"/>
      <w:szCs w:val="19"/>
    </w:rPr>
  </w:style>
  <w:style w:type="character" w:customStyle="1" w:styleId="FrankRuehl">
    <w:name w:val="Основной текст + FrankRuehl"/>
    <w:uiPriority w:val="99"/>
    <w:rsid w:val="008E0FBF"/>
    <w:rPr>
      <w:rFonts w:ascii="FrankRuehl" w:cs="FrankRuehl"/>
      <w:sz w:val="30"/>
      <w:szCs w:val="30"/>
      <w:lang w:bidi="he-IL"/>
    </w:rPr>
  </w:style>
  <w:style w:type="character" w:customStyle="1" w:styleId="FrankRuehl2">
    <w:name w:val="Основной текст + FrankRuehl2"/>
    <w:uiPriority w:val="99"/>
    <w:rsid w:val="008E0FBF"/>
    <w:rPr>
      <w:rFonts w:ascii="FrankRuehl" w:cs="FrankRuehl"/>
      <w:sz w:val="29"/>
      <w:szCs w:val="29"/>
      <w:lang w:bidi="he-IL"/>
    </w:rPr>
  </w:style>
  <w:style w:type="character" w:customStyle="1" w:styleId="FrankRuehl1">
    <w:name w:val="Основной текст + FrankRuehl1"/>
    <w:uiPriority w:val="99"/>
    <w:rsid w:val="008E0FBF"/>
    <w:rPr>
      <w:rFonts w:ascii="FrankRuehl" w:cs="FrankRuehl"/>
      <w:i/>
      <w:iCs/>
      <w:sz w:val="16"/>
      <w:szCs w:val="16"/>
      <w:lang w:bidi="he-IL"/>
    </w:rPr>
  </w:style>
  <w:style w:type="character" w:customStyle="1" w:styleId="112">
    <w:name w:val="Основной текст + 11"/>
    <w:uiPriority w:val="99"/>
    <w:rsid w:val="008E0FBF"/>
    <w:rPr>
      <w:rFonts w:ascii="Franklin Gothic Medium" w:hAnsi="Franklin Gothic Medium" w:cs="Franklin Gothic Medium"/>
      <w:b/>
      <w:bCs/>
      <w:i/>
      <w:iCs/>
      <w:spacing w:val="-10"/>
      <w:sz w:val="23"/>
      <w:szCs w:val="23"/>
    </w:rPr>
  </w:style>
  <w:style w:type="character" w:customStyle="1" w:styleId="3FrankRuehl">
    <w:name w:val="Основной текст (3) + FrankRuehl"/>
    <w:uiPriority w:val="99"/>
    <w:rsid w:val="008E0FBF"/>
    <w:rPr>
      <w:rFonts w:ascii="FrankRuehl" w:cs="FrankRuehl"/>
      <w:b/>
      <w:bCs/>
      <w:i/>
      <w:iCs/>
      <w:spacing w:val="0"/>
      <w:sz w:val="9"/>
      <w:szCs w:val="9"/>
      <w:lang w:bidi="he-IL"/>
    </w:rPr>
  </w:style>
  <w:style w:type="paragraph" w:customStyle="1" w:styleId="46">
    <w:name w:val="Основной текст4"/>
    <w:basedOn w:val="a"/>
    <w:uiPriority w:val="99"/>
    <w:rsid w:val="008E0FBF"/>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uiPriority w:val="99"/>
    <w:rsid w:val="008E0FBF"/>
    <w:rPr>
      <w:rFonts w:ascii="Gungsuh" w:eastAsia="Gungsuh" w:cs="Gungsuh"/>
      <w:sz w:val="33"/>
      <w:szCs w:val="33"/>
    </w:rPr>
  </w:style>
  <w:style w:type="character" w:customStyle="1" w:styleId="10pt">
    <w:name w:val="Основной текст + 10 pt"/>
    <w:aliases w:val="Интервал 0 pt26"/>
    <w:uiPriority w:val="99"/>
    <w:rsid w:val="008E0FBF"/>
    <w:rPr>
      <w:rFonts w:ascii="Gungsuh" w:eastAsia="Gungsuh" w:cs="Gungsuh"/>
      <w:spacing w:val="-20"/>
      <w:sz w:val="20"/>
      <w:szCs w:val="20"/>
    </w:rPr>
  </w:style>
  <w:style w:type="character" w:customStyle="1" w:styleId="aff8">
    <w:name w:val="Основной текст + Полужирный"/>
    <w:aliases w:val="Интервал 0 pt9"/>
    <w:uiPriority w:val="99"/>
    <w:rsid w:val="008E0FBF"/>
    <w:rPr>
      <w:rFonts w:ascii="Gungsuh" w:eastAsia="Gungsuh" w:cs="Gungsuh"/>
      <w:b/>
      <w:bCs/>
      <w:smallCaps/>
      <w:spacing w:val="-10"/>
      <w:sz w:val="17"/>
      <w:szCs w:val="17"/>
    </w:rPr>
  </w:style>
  <w:style w:type="character" w:customStyle="1" w:styleId="2TimesNewRoman">
    <w:name w:val="Основной текст (2) + Times New Roman"/>
    <w:uiPriority w:val="99"/>
    <w:rsid w:val="008E0FBF"/>
    <w:rPr>
      <w:rFonts w:ascii="Times New Roman" w:hAnsi="Times New Roman" w:cs="Times New Roman"/>
      <w:b/>
      <w:bCs/>
      <w:sz w:val="21"/>
      <w:szCs w:val="21"/>
    </w:rPr>
  </w:style>
  <w:style w:type="character" w:customStyle="1" w:styleId="-1pt0">
    <w:name w:val="Оглавление + Интервал -1 pt"/>
    <w:uiPriority w:val="99"/>
    <w:rsid w:val="008E0FBF"/>
    <w:rPr>
      <w:rFonts w:ascii="Times New Roman" w:hAnsi="Times New Roman" w:cs="Times New Roman"/>
      <w:spacing w:val="-20"/>
      <w:sz w:val="21"/>
      <w:szCs w:val="21"/>
    </w:rPr>
  </w:style>
  <w:style w:type="character" w:customStyle="1" w:styleId="300">
    <w:name w:val="Основной текст + 30"/>
    <w:uiPriority w:val="99"/>
    <w:rsid w:val="008E0FBF"/>
    <w:rPr>
      <w:rFonts w:ascii="MingLiU" w:eastAsia="MingLiU" w:cs="MingLiU"/>
      <w:i/>
      <w:iCs/>
      <w:spacing w:val="-60"/>
      <w:sz w:val="61"/>
      <w:szCs w:val="61"/>
    </w:rPr>
  </w:style>
  <w:style w:type="character" w:customStyle="1" w:styleId="449pt">
    <w:name w:val="Основной текст (44) + 9 pt.Не полужирный"/>
    <w:uiPriority w:val="99"/>
    <w:rsid w:val="008E0FBF"/>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uiPriority w:val="99"/>
    <w:rsid w:val="008E0FBF"/>
    <w:rPr>
      <w:rFonts w:ascii="Bookman Old Style" w:hAnsi="Bookman Old Style" w:cs="Bookman Old Style"/>
      <w:spacing w:val="-20"/>
      <w:sz w:val="16"/>
      <w:szCs w:val="16"/>
    </w:rPr>
  </w:style>
  <w:style w:type="character" w:customStyle="1" w:styleId="202">
    <w:name w:val="Подпись к картинке (20)"/>
    <w:uiPriority w:val="99"/>
    <w:rsid w:val="008E0FBF"/>
    <w:rPr>
      <w:rFonts w:ascii="Arial Narrow" w:hAnsi="Arial Narrow" w:cs="Arial Narrow"/>
      <w:i/>
      <w:iCs/>
      <w:spacing w:val="0"/>
      <w:sz w:val="16"/>
      <w:szCs w:val="16"/>
      <w:u w:val="single"/>
    </w:rPr>
  </w:style>
  <w:style w:type="character" w:customStyle="1" w:styleId="211">
    <w:name w:val="Подпись к картинке (21)"/>
    <w:uiPriority w:val="99"/>
    <w:rsid w:val="008E0FBF"/>
    <w:rPr>
      <w:rFonts w:ascii="Arial Narrow" w:hAnsi="Arial Narrow" w:cs="Arial Narrow"/>
      <w:strike/>
      <w:spacing w:val="0"/>
      <w:sz w:val="22"/>
      <w:szCs w:val="22"/>
    </w:rPr>
  </w:style>
  <w:style w:type="character" w:customStyle="1" w:styleId="5">
    <w:name w:val="Подпись к картинке (5)"/>
    <w:uiPriority w:val="99"/>
    <w:rsid w:val="008E0FBF"/>
    <w:rPr>
      <w:rFonts w:ascii="Arial Narrow" w:hAnsi="Arial Narrow" w:cs="Arial Narrow"/>
      <w:spacing w:val="0"/>
      <w:sz w:val="17"/>
      <w:szCs w:val="17"/>
      <w:u w:val="single"/>
    </w:rPr>
  </w:style>
  <w:style w:type="character" w:customStyle="1" w:styleId="58">
    <w:name w:val="Основной текст (58) + Полужирный"/>
    <w:uiPriority w:val="99"/>
    <w:rsid w:val="008E0FBF"/>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8E0FBF"/>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8E0FBF"/>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9">
    <w:name w:val="Подпись к картинке"/>
    <w:basedOn w:val="a"/>
    <w:link w:val="affa"/>
    <w:rsid w:val="008E0FBF"/>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paragraph" w:customStyle="1" w:styleId="121">
    <w:name w:val="Основной текст (12)"/>
    <w:basedOn w:val="a"/>
    <w:uiPriority w:val="99"/>
    <w:rsid w:val="008E0FBF"/>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36">
    <w:name w:val="Подпись к картинке (3)"/>
    <w:basedOn w:val="a"/>
    <w:uiPriority w:val="99"/>
    <w:rsid w:val="008E0FBF"/>
    <w:pPr>
      <w:shd w:val="clear" w:color="auto" w:fill="FFFFFF"/>
      <w:autoSpaceDE w:val="0"/>
      <w:autoSpaceDN w:val="0"/>
      <w:adjustRightInd w:val="0"/>
      <w:spacing w:after="0" w:line="149" w:lineRule="exact"/>
    </w:pPr>
    <w:rPr>
      <w:rFonts w:ascii="Arial Narrow" w:hAnsi="Arial Narrow" w:cs="Arial Narrow"/>
      <w:sz w:val="16"/>
      <w:szCs w:val="16"/>
    </w:rPr>
  </w:style>
  <w:style w:type="paragraph" w:customStyle="1" w:styleId="340">
    <w:name w:val="Основной текст (34)"/>
    <w:basedOn w:val="a"/>
    <w:uiPriority w:val="99"/>
    <w:rsid w:val="008E0FBF"/>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paragraph" w:customStyle="1" w:styleId="51">
    <w:name w:val="Подпись к картинке (5)1"/>
    <w:basedOn w:val="a"/>
    <w:uiPriority w:val="99"/>
    <w:rsid w:val="008E0FBF"/>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0">
    <w:name w:val="Заголовок №5"/>
    <w:basedOn w:val="a"/>
    <w:uiPriority w:val="99"/>
    <w:rsid w:val="008E0FBF"/>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
    <w:name w:val="Основной текст (53)"/>
    <w:basedOn w:val="a"/>
    <w:uiPriority w:val="99"/>
    <w:rsid w:val="008E0FBF"/>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
    <w:name w:val="Подпись к картинке (19)"/>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8E0FBF"/>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
    <w:uiPriority w:val="99"/>
    <w:rsid w:val="008E0FBF"/>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8E0FBF"/>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8E0FBF"/>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
    <w:uiPriority w:val="99"/>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
    <w:uiPriority w:val="99"/>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
    <w:uiPriority w:val="99"/>
    <w:rsid w:val="008E0FBF"/>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uiPriority w:val="99"/>
    <w:rsid w:val="008E0FBF"/>
    <w:rPr>
      <w:rFonts w:ascii="Arial Narrow" w:hAnsi="Arial Narrow" w:cs="Arial Narrow"/>
      <w:b/>
      <w:bCs/>
      <w:i/>
      <w:iCs/>
      <w:smallCaps/>
      <w:spacing w:val="0"/>
      <w:sz w:val="15"/>
      <w:szCs w:val="15"/>
    </w:rPr>
  </w:style>
  <w:style w:type="character" w:customStyle="1" w:styleId="1a">
    <w:name w:val="Основной текст + Курсив1"/>
    <w:uiPriority w:val="99"/>
    <w:rsid w:val="008E0FBF"/>
    <w:rPr>
      <w:rFonts w:ascii="Arial Narrow" w:hAnsi="Arial Narrow" w:cs="Arial Narrow"/>
      <w:i/>
      <w:iCs/>
      <w:spacing w:val="0"/>
      <w:sz w:val="17"/>
      <w:szCs w:val="17"/>
    </w:rPr>
  </w:style>
  <w:style w:type="character" w:customStyle="1" w:styleId="785pt">
    <w:name w:val="Подпись к картинке (7) + 8.5 pt.Не курсив"/>
    <w:uiPriority w:val="99"/>
    <w:rsid w:val="008E0FBF"/>
    <w:rPr>
      <w:rFonts w:ascii="Arial Narrow" w:hAnsi="Arial Narrow" w:cs="Arial Narrow"/>
      <w:spacing w:val="0"/>
      <w:sz w:val="17"/>
      <w:szCs w:val="17"/>
    </w:rPr>
  </w:style>
  <w:style w:type="paragraph" w:customStyle="1" w:styleId="113">
    <w:name w:val="Основной текст (11)"/>
    <w:basedOn w:val="a"/>
    <w:rsid w:val="008E0FBF"/>
    <w:pPr>
      <w:shd w:val="clear" w:color="auto" w:fill="FFFFFF"/>
      <w:autoSpaceDE w:val="0"/>
      <w:autoSpaceDN w:val="0"/>
      <w:adjustRightInd w:val="0"/>
      <w:spacing w:after="0" w:line="240" w:lineRule="atLeast"/>
    </w:pPr>
    <w:rPr>
      <w:rFonts w:ascii="Arial Narrow" w:hAnsi="Arial Narrow" w:cs="Arial Narrow"/>
      <w:b/>
      <w:bCs/>
      <w:sz w:val="46"/>
      <w:szCs w:val="46"/>
    </w:rPr>
  </w:style>
  <w:style w:type="paragraph" w:customStyle="1" w:styleId="290">
    <w:name w:val="Основной текст (29)"/>
    <w:basedOn w:val="a"/>
    <w:uiPriority w:val="99"/>
    <w:rsid w:val="008E0FBF"/>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c">
    <w:name w:val="Подпись к картинке (2)"/>
    <w:basedOn w:val="a"/>
    <w:uiPriority w:val="99"/>
    <w:rsid w:val="008E0FBF"/>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7">
    <w:name w:val="Подпись к картинке (4)"/>
    <w:basedOn w:val="a"/>
    <w:uiPriority w:val="99"/>
    <w:rsid w:val="008E0FBF"/>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paragraph" w:customStyle="1" w:styleId="410">
    <w:name w:val="Основной текст (41)"/>
    <w:basedOn w:val="a"/>
    <w:uiPriority w:val="99"/>
    <w:rsid w:val="008E0FBF"/>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0">
    <w:name w:val="Основной текст (51)"/>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
    <w:uiPriority w:val="99"/>
    <w:rsid w:val="008E0FBF"/>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8E0FBF"/>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
    <w:uiPriority w:val="99"/>
    <w:rsid w:val="008E0FBF"/>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8E0FBF"/>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8E0FBF"/>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
    <w:name w:val="Основной текст (52)"/>
    <w:basedOn w:val="a"/>
    <w:uiPriority w:val="99"/>
    <w:rsid w:val="008E0FBF"/>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uiPriority w:val="99"/>
    <w:rsid w:val="008E0FBF"/>
    <w:rPr>
      <w:rFonts w:ascii="Bookman Old Style" w:hAnsi="Bookman Old Style" w:cs="Bookman Old Style"/>
      <w:i/>
      <w:iCs/>
      <w:spacing w:val="0"/>
      <w:sz w:val="12"/>
      <w:szCs w:val="12"/>
    </w:rPr>
  </w:style>
  <w:style w:type="character" w:customStyle="1" w:styleId="39ArialNarrow7pt">
    <w:name w:val="Основной текст (39) + Arial Narrow.7 pt"/>
    <w:uiPriority w:val="99"/>
    <w:rsid w:val="008E0FBF"/>
    <w:rPr>
      <w:rFonts w:ascii="Arial Narrow" w:hAnsi="Arial Narrow" w:cs="Arial Narrow"/>
      <w:i/>
      <w:iCs/>
      <w:spacing w:val="0"/>
      <w:sz w:val="14"/>
      <w:szCs w:val="14"/>
    </w:rPr>
  </w:style>
  <w:style w:type="character" w:customStyle="1" w:styleId="37">
    <w:name w:val="Основной текст + Курсив3"/>
    <w:uiPriority w:val="99"/>
    <w:rsid w:val="008E0FBF"/>
    <w:rPr>
      <w:rFonts w:ascii="Arial Narrow" w:hAnsi="Arial Narrow" w:cs="Arial Narrow"/>
      <w:i/>
      <w:iCs/>
      <w:spacing w:val="0"/>
      <w:sz w:val="17"/>
      <w:szCs w:val="17"/>
    </w:rPr>
  </w:style>
  <w:style w:type="character" w:customStyle="1" w:styleId="70pt">
    <w:name w:val="Подпись к картинке (7) + Интервал 0 pt"/>
    <w:uiPriority w:val="99"/>
    <w:rsid w:val="008E0FBF"/>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uiPriority w:val="99"/>
    <w:rsid w:val="008E0FBF"/>
    <w:rPr>
      <w:rFonts w:ascii="MS Reference Sans Serif" w:hAnsi="MS Reference Sans Serif" w:cs="MS Reference Sans Serif"/>
      <w:smallCaps/>
      <w:spacing w:val="-10"/>
      <w:sz w:val="14"/>
      <w:szCs w:val="14"/>
    </w:rPr>
  </w:style>
  <w:style w:type="character" w:customStyle="1" w:styleId="2d">
    <w:name w:val="Основной текст + Курсив2"/>
    <w:uiPriority w:val="99"/>
    <w:rsid w:val="008E0FBF"/>
    <w:rPr>
      <w:rFonts w:ascii="Arial Narrow" w:hAnsi="Arial Narrow" w:cs="Arial Narrow"/>
      <w:i/>
      <w:iCs/>
      <w:spacing w:val="0"/>
      <w:sz w:val="17"/>
      <w:szCs w:val="17"/>
    </w:rPr>
  </w:style>
  <w:style w:type="paragraph" w:customStyle="1" w:styleId="271">
    <w:name w:val="Основной текст (27)1"/>
    <w:basedOn w:val="a"/>
    <w:uiPriority w:val="99"/>
    <w:rsid w:val="008E0FBF"/>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0">
    <w:name w:val="Подпись к картинке (6)"/>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paragraph" w:customStyle="1" w:styleId="62">
    <w:name w:val="Заголовок №6 (2)"/>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2">
    <w:name w:val="Подпись к картинке (7)"/>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330pt">
    <w:name w:val="Основной текст (33) + Полужирный.Интервал 0 pt"/>
    <w:uiPriority w:val="99"/>
    <w:rsid w:val="008E0FBF"/>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uiPriority w:val="99"/>
    <w:rsid w:val="008E0FBF"/>
    <w:rPr>
      <w:rFonts w:ascii="Consolas" w:hAnsi="Consolas" w:cs="Consolas"/>
      <w:b/>
      <w:bCs/>
      <w:i/>
      <w:iCs/>
      <w:spacing w:val="-10"/>
      <w:sz w:val="18"/>
      <w:szCs w:val="18"/>
    </w:rPr>
  </w:style>
  <w:style w:type="character" w:customStyle="1" w:styleId="27Gulim65pt">
    <w:name w:val="Основной текст (27) + Gulim.6.5 pt"/>
    <w:uiPriority w:val="99"/>
    <w:rsid w:val="008E0FBF"/>
    <w:rPr>
      <w:rFonts w:ascii="Gulim" w:eastAsia="Gulim" w:cs="Gulim"/>
      <w:i/>
      <w:iCs/>
      <w:spacing w:val="0"/>
      <w:sz w:val="13"/>
      <w:szCs w:val="13"/>
    </w:rPr>
  </w:style>
  <w:style w:type="character" w:customStyle="1" w:styleId="73">
    <w:name w:val="Основной текст + Курсив7"/>
    <w:uiPriority w:val="99"/>
    <w:rsid w:val="008E0FBF"/>
    <w:rPr>
      <w:rFonts w:ascii="Arial Narrow" w:hAnsi="Arial Narrow" w:cs="Arial Narrow"/>
      <w:i/>
      <w:iCs/>
      <w:spacing w:val="0"/>
      <w:sz w:val="17"/>
      <w:szCs w:val="17"/>
    </w:rPr>
  </w:style>
  <w:style w:type="character" w:customStyle="1" w:styleId="276">
    <w:name w:val="Основной текст (27) + Не курсив6"/>
    <w:uiPriority w:val="99"/>
    <w:rsid w:val="008E0FBF"/>
    <w:rPr>
      <w:rFonts w:ascii="Arial Narrow" w:hAnsi="Arial Narrow" w:cs="Arial Narrow"/>
      <w:spacing w:val="0"/>
      <w:sz w:val="17"/>
      <w:szCs w:val="17"/>
    </w:rPr>
  </w:style>
  <w:style w:type="character" w:customStyle="1" w:styleId="275">
    <w:name w:val="Основной текст (27) + Не курсив5"/>
    <w:uiPriority w:val="99"/>
    <w:rsid w:val="008E0FBF"/>
    <w:rPr>
      <w:rFonts w:ascii="Arial Narrow" w:hAnsi="Arial Narrow" w:cs="Arial Narrow"/>
      <w:spacing w:val="0"/>
      <w:sz w:val="17"/>
      <w:szCs w:val="17"/>
    </w:rPr>
  </w:style>
  <w:style w:type="character" w:customStyle="1" w:styleId="64">
    <w:name w:val="Основной текст + Курсив6"/>
    <w:uiPriority w:val="99"/>
    <w:rsid w:val="008E0FBF"/>
    <w:rPr>
      <w:rFonts w:ascii="Arial Narrow" w:hAnsi="Arial Narrow" w:cs="Arial Narrow"/>
      <w:i/>
      <w:iCs/>
      <w:spacing w:val="0"/>
      <w:sz w:val="17"/>
      <w:szCs w:val="17"/>
    </w:rPr>
  </w:style>
  <w:style w:type="character" w:customStyle="1" w:styleId="270">
    <w:name w:val="Основной текст (27)"/>
    <w:uiPriority w:val="99"/>
    <w:rsid w:val="008E0FBF"/>
    <w:rPr>
      <w:rFonts w:ascii="Arial Narrow" w:hAnsi="Arial Narrow" w:cs="Arial Narrow"/>
      <w:i/>
      <w:iCs/>
      <w:spacing w:val="0"/>
      <w:sz w:val="17"/>
      <w:szCs w:val="17"/>
      <w:u w:val="single"/>
    </w:rPr>
  </w:style>
  <w:style w:type="character" w:customStyle="1" w:styleId="274">
    <w:name w:val="Основной текст (27) + Не курсив4"/>
    <w:uiPriority w:val="99"/>
    <w:rsid w:val="008E0FBF"/>
    <w:rPr>
      <w:rFonts w:ascii="Arial Narrow" w:hAnsi="Arial Narrow" w:cs="Arial Narrow"/>
      <w:spacing w:val="0"/>
      <w:sz w:val="17"/>
      <w:szCs w:val="17"/>
    </w:rPr>
  </w:style>
  <w:style w:type="character" w:customStyle="1" w:styleId="58pt">
    <w:name w:val="Основной текст (5) + 8 pt.Не курсив"/>
    <w:uiPriority w:val="99"/>
    <w:rsid w:val="008E0FBF"/>
    <w:rPr>
      <w:rFonts w:ascii="Arial Narrow" w:hAnsi="Arial Narrow" w:cs="Arial Narrow"/>
      <w:spacing w:val="0"/>
      <w:sz w:val="16"/>
      <w:szCs w:val="16"/>
    </w:rPr>
  </w:style>
  <w:style w:type="paragraph" w:customStyle="1" w:styleId="511">
    <w:name w:val="Основной текст (5)1"/>
    <w:basedOn w:val="a"/>
    <w:uiPriority w:val="99"/>
    <w:rsid w:val="008E0FBF"/>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
    <w:uiPriority w:val="99"/>
    <w:rsid w:val="008E0FBF"/>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
    <w:uiPriority w:val="99"/>
    <w:rsid w:val="008E0FBF"/>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paragraph" w:customStyle="1" w:styleId="360">
    <w:name w:val="Основной текст (36)"/>
    <w:basedOn w:val="a"/>
    <w:uiPriority w:val="99"/>
    <w:rsid w:val="008E0FBF"/>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0">
    <w:name w:val="Основной текст (37)"/>
    <w:basedOn w:val="a"/>
    <w:uiPriority w:val="99"/>
    <w:rsid w:val="008E0FBF"/>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paragraph" w:customStyle="1" w:styleId="90">
    <w:name w:val="Основной текст (9)"/>
    <w:basedOn w:val="a"/>
    <w:uiPriority w:val="99"/>
    <w:rsid w:val="008E0FBF"/>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paragraph" w:customStyle="1" w:styleId="281">
    <w:name w:val="Основной текст (28)"/>
    <w:basedOn w:val="a"/>
    <w:uiPriority w:val="99"/>
    <w:rsid w:val="008E0FBF"/>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paragraph" w:customStyle="1" w:styleId="38">
    <w:name w:val="Заголовок №3"/>
    <w:basedOn w:val="a"/>
    <w:uiPriority w:val="99"/>
    <w:rsid w:val="008E0FBF"/>
    <w:pPr>
      <w:shd w:val="clear" w:color="auto" w:fill="FFFFFF"/>
      <w:autoSpaceDE w:val="0"/>
      <w:autoSpaceDN w:val="0"/>
      <w:adjustRightInd w:val="0"/>
      <w:spacing w:before="120" w:after="120" w:line="240" w:lineRule="atLeast"/>
    </w:pPr>
    <w:rPr>
      <w:rFonts w:ascii="Times New Roman" w:hAnsi="Times New Roman"/>
      <w:spacing w:val="40"/>
      <w:sz w:val="52"/>
      <w:szCs w:val="52"/>
    </w:rPr>
  </w:style>
  <w:style w:type="paragraph" w:customStyle="1" w:styleId="182">
    <w:name w:val="Основной текст (18)"/>
    <w:basedOn w:val="a"/>
    <w:uiPriority w:val="99"/>
    <w:rsid w:val="008E0FBF"/>
    <w:pPr>
      <w:shd w:val="clear" w:color="auto" w:fill="FFFFFF"/>
      <w:autoSpaceDE w:val="0"/>
      <w:autoSpaceDN w:val="0"/>
      <w:adjustRightInd w:val="0"/>
      <w:spacing w:after="0" w:line="240" w:lineRule="atLeast"/>
    </w:pPr>
    <w:rPr>
      <w:rFonts w:ascii="Arial" w:hAnsi="Arial" w:cs="Arial"/>
      <w:sz w:val="24"/>
      <w:szCs w:val="24"/>
    </w:rPr>
  </w:style>
  <w:style w:type="character" w:customStyle="1" w:styleId="Arial0">
    <w:name w:val="Колонтитул + Arial"/>
    <w:uiPriority w:val="99"/>
    <w:rsid w:val="008E0FBF"/>
    <w:rPr>
      <w:rFonts w:ascii="Arial" w:hAnsi="Arial" w:cs="Arial"/>
      <w:b/>
      <w:bCs/>
      <w:spacing w:val="0"/>
      <w:sz w:val="23"/>
      <w:szCs w:val="23"/>
    </w:rPr>
  </w:style>
  <w:style w:type="character" w:customStyle="1" w:styleId="14pt">
    <w:name w:val="Основной текст + 14 pt"/>
    <w:uiPriority w:val="99"/>
    <w:rsid w:val="008E0FBF"/>
    <w:rPr>
      <w:rFonts w:ascii="Lucida Sans Unicode" w:hAnsi="Lucida Sans Unicode" w:cs="Lucida Sans Unicode"/>
      <w:sz w:val="28"/>
      <w:szCs w:val="28"/>
    </w:rPr>
  </w:style>
  <w:style w:type="paragraph" w:customStyle="1" w:styleId="2e">
    <w:name w:val="Подпись к таблице (2)"/>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character" w:customStyle="1" w:styleId="575">
    <w:name w:val="Основной текст (5)75"/>
    <w:uiPriority w:val="99"/>
    <w:rsid w:val="005C4849"/>
    <w:rPr>
      <w:i/>
      <w:iCs/>
      <w:spacing w:val="0"/>
      <w:sz w:val="16"/>
      <w:szCs w:val="16"/>
    </w:rPr>
  </w:style>
  <w:style w:type="character" w:customStyle="1" w:styleId="574">
    <w:name w:val="Основной текст (5)74"/>
    <w:uiPriority w:val="99"/>
    <w:rsid w:val="005C4849"/>
    <w:rPr>
      <w:rFonts w:ascii="Arial Unicode MS" w:eastAsia="Arial Unicode MS" w:cs="Arial Unicode MS"/>
      <w:i/>
      <w:iCs/>
      <w:noProof/>
      <w:spacing w:val="0"/>
      <w:sz w:val="16"/>
      <w:szCs w:val="16"/>
    </w:rPr>
  </w:style>
  <w:style w:type="character" w:customStyle="1" w:styleId="58455pt61520pt91">
    <w:name w:val="Основной текст (5) + 845.5 pt61.Не курсив52.Интервал 0 pt91"/>
    <w:uiPriority w:val="99"/>
    <w:rsid w:val="005C4849"/>
    <w:rPr>
      <w:i/>
      <w:iCs/>
      <w:spacing w:val="-10"/>
      <w:sz w:val="17"/>
      <w:szCs w:val="17"/>
    </w:rPr>
  </w:style>
  <w:style w:type="character" w:customStyle="1" w:styleId="58445pt60510pt90">
    <w:name w:val="Основной текст (5) + 844.5 pt60.Не курсив51.Интервал 0 pt90"/>
    <w:uiPriority w:val="99"/>
    <w:rsid w:val="005C4849"/>
    <w:rPr>
      <w:rFonts w:ascii="Arial Unicode MS" w:eastAsia="Arial Unicode MS" w:cs="Arial Unicode MS"/>
      <w:i/>
      <w:iCs/>
      <w:noProof/>
      <w:spacing w:val="-10"/>
      <w:sz w:val="17"/>
      <w:szCs w:val="17"/>
    </w:rPr>
  </w:style>
  <w:style w:type="character" w:customStyle="1" w:styleId="58435pt59500pt89">
    <w:name w:val="Основной текст (5) + 843.5 pt59.Не курсив50.Интервал 0 pt89"/>
    <w:uiPriority w:val="99"/>
    <w:rsid w:val="005C4849"/>
    <w:rPr>
      <w:i/>
      <w:iCs/>
      <w:spacing w:val="-10"/>
      <w:sz w:val="17"/>
      <w:szCs w:val="17"/>
    </w:rPr>
  </w:style>
  <w:style w:type="character" w:customStyle="1" w:styleId="573">
    <w:name w:val="Основной текст (5)73"/>
    <w:uiPriority w:val="99"/>
    <w:rsid w:val="005C4849"/>
    <w:rPr>
      <w:i/>
      <w:iCs/>
      <w:spacing w:val="0"/>
      <w:sz w:val="16"/>
      <w:szCs w:val="16"/>
    </w:rPr>
  </w:style>
  <w:style w:type="character" w:customStyle="1" w:styleId="572">
    <w:name w:val="Основной текст (5)72"/>
    <w:uiPriority w:val="99"/>
    <w:rsid w:val="005C4849"/>
    <w:rPr>
      <w:rFonts w:ascii="Arial Unicode MS" w:eastAsia="Arial Unicode MS" w:cs="Arial Unicode MS"/>
      <w:i/>
      <w:iCs/>
      <w:noProof/>
      <w:spacing w:val="0"/>
      <w:sz w:val="16"/>
      <w:szCs w:val="16"/>
    </w:rPr>
  </w:style>
  <w:style w:type="character" w:customStyle="1" w:styleId="58425pt58490pt88">
    <w:name w:val="Основной текст (5) + 842.5 pt58.Не курсив49.Интервал 0 pt88"/>
    <w:uiPriority w:val="99"/>
    <w:rsid w:val="005C4849"/>
    <w:rPr>
      <w:rFonts w:ascii="Arial Unicode MS" w:eastAsia="Arial Unicode MS" w:cs="Arial Unicode MS"/>
      <w:i/>
      <w:iCs/>
      <w:noProof/>
      <w:spacing w:val="-10"/>
      <w:sz w:val="17"/>
      <w:szCs w:val="17"/>
    </w:rPr>
  </w:style>
  <w:style w:type="character" w:customStyle="1" w:styleId="58415pt5722">
    <w:name w:val="Основной текст (5) + 841.5 pt57.Полужирный22"/>
    <w:uiPriority w:val="99"/>
    <w:rsid w:val="005C4849"/>
    <w:rPr>
      <w:b/>
      <w:bCs/>
      <w:i/>
      <w:iCs/>
      <w:spacing w:val="0"/>
      <w:sz w:val="17"/>
      <w:szCs w:val="17"/>
    </w:rPr>
  </w:style>
  <w:style w:type="character" w:customStyle="1" w:styleId="571">
    <w:name w:val="Основной текст (5)71"/>
    <w:uiPriority w:val="99"/>
    <w:rsid w:val="005C4849"/>
    <w:rPr>
      <w:i/>
      <w:iCs/>
      <w:spacing w:val="0"/>
      <w:sz w:val="16"/>
      <w:szCs w:val="16"/>
    </w:rPr>
  </w:style>
  <w:style w:type="character" w:customStyle="1" w:styleId="203">
    <w:name w:val="Основной текст (20)"/>
    <w:uiPriority w:val="99"/>
    <w:rsid w:val="005C4849"/>
    <w:rPr>
      <w:b/>
      <w:bCs/>
      <w:i/>
      <w:iCs/>
      <w:sz w:val="15"/>
      <w:szCs w:val="15"/>
    </w:rPr>
  </w:style>
  <w:style w:type="character" w:customStyle="1" w:styleId="2030">
    <w:name w:val="Основной текст (20)3"/>
    <w:uiPriority w:val="99"/>
    <w:rsid w:val="005C4849"/>
    <w:rPr>
      <w:rFonts w:ascii="Arial Unicode MS" w:eastAsia="Arial Unicode MS" w:cs="Arial Unicode MS"/>
      <w:b/>
      <w:bCs/>
      <w:i/>
      <w:iCs/>
      <w:noProof/>
      <w:sz w:val="15"/>
      <w:szCs w:val="15"/>
    </w:rPr>
  </w:style>
  <w:style w:type="character" w:customStyle="1" w:styleId="208pt4">
    <w:name w:val="Основной текст (20) + 8 pt.Не полужирный4"/>
    <w:uiPriority w:val="99"/>
    <w:rsid w:val="005C4849"/>
    <w:rPr>
      <w:rFonts w:ascii="Arial Unicode MS" w:eastAsia="Arial Unicode MS" w:cs="Arial Unicode MS"/>
      <w:b/>
      <w:bCs/>
      <w:i/>
      <w:iCs/>
      <w:noProof/>
      <w:sz w:val="16"/>
      <w:szCs w:val="16"/>
    </w:rPr>
  </w:style>
  <w:style w:type="character" w:customStyle="1" w:styleId="2020">
    <w:name w:val="Основной текст (20)2"/>
    <w:uiPriority w:val="99"/>
    <w:rsid w:val="005C4849"/>
    <w:rPr>
      <w:b/>
      <w:bCs/>
      <w:i/>
      <w:iCs/>
      <w:sz w:val="15"/>
      <w:szCs w:val="15"/>
    </w:rPr>
  </w:style>
  <w:style w:type="character" w:customStyle="1" w:styleId="363">
    <w:name w:val="Основной текст (36) + Не курсив3"/>
    <w:uiPriority w:val="99"/>
    <w:rsid w:val="005C4849"/>
    <w:rPr>
      <w:rFonts w:ascii="Arial" w:hAnsi="Arial" w:cs="Arial"/>
      <w:spacing w:val="0"/>
      <w:sz w:val="8"/>
      <w:szCs w:val="8"/>
    </w:rPr>
  </w:style>
  <w:style w:type="character" w:customStyle="1" w:styleId="48">
    <w:name w:val="Основной текст + Курсив4"/>
    <w:uiPriority w:val="99"/>
    <w:rsid w:val="005C4849"/>
    <w:rPr>
      <w:rFonts w:ascii="Century Gothic" w:hAnsi="Century Gothic" w:cs="Century Gothic"/>
      <w:i/>
      <w:iCs/>
      <w:spacing w:val="-10"/>
      <w:sz w:val="17"/>
      <w:szCs w:val="17"/>
    </w:rPr>
  </w:style>
  <w:style w:type="character" w:customStyle="1" w:styleId="362">
    <w:name w:val="Основной текст (36) + Не курсив2"/>
    <w:uiPriority w:val="99"/>
    <w:rsid w:val="005C4849"/>
    <w:rPr>
      <w:rFonts w:ascii="Arial" w:hAnsi="Arial" w:cs="Arial"/>
      <w:spacing w:val="0"/>
      <w:sz w:val="8"/>
      <w:szCs w:val="8"/>
    </w:rPr>
  </w:style>
  <w:style w:type="character" w:customStyle="1" w:styleId="400">
    <w:name w:val="Основной текст (40) + Не курсив"/>
    <w:uiPriority w:val="99"/>
    <w:rsid w:val="005C4849"/>
    <w:rPr>
      <w:rFonts w:ascii="Arial" w:hAnsi="Arial" w:cs="Arial"/>
      <w:noProof/>
      <w:spacing w:val="0"/>
      <w:sz w:val="8"/>
      <w:szCs w:val="8"/>
    </w:rPr>
  </w:style>
  <w:style w:type="paragraph" w:customStyle="1" w:styleId="380">
    <w:name w:val="Основной текст (38)"/>
    <w:basedOn w:val="a"/>
    <w:uiPriority w:val="99"/>
    <w:rsid w:val="005C4849"/>
    <w:pPr>
      <w:shd w:val="clear" w:color="auto" w:fill="FFFFFF"/>
      <w:autoSpaceDE w:val="0"/>
      <w:autoSpaceDN w:val="0"/>
      <w:adjustRightInd w:val="0"/>
      <w:spacing w:after="0" w:line="86" w:lineRule="exact"/>
      <w:jc w:val="center"/>
    </w:pPr>
    <w:rPr>
      <w:rFonts w:ascii="Arial" w:hAnsi="Arial" w:cs="Arial"/>
      <w:sz w:val="8"/>
      <w:szCs w:val="8"/>
    </w:rPr>
  </w:style>
  <w:style w:type="paragraph" w:customStyle="1" w:styleId="401">
    <w:name w:val="Основной текст (40)"/>
    <w:basedOn w:val="a"/>
    <w:uiPriority w:val="99"/>
    <w:rsid w:val="005C4849"/>
    <w:pPr>
      <w:shd w:val="clear" w:color="auto" w:fill="FFFFFF"/>
      <w:autoSpaceDE w:val="0"/>
      <w:autoSpaceDN w:val="0"/>
      <w:adjustRightInd w:val="0"/>
      <w:spacing w:after="0" w:line="86" w:lineRule="exact"/>
      <w:jc w:val="both"/>
    </w:pPr>
    <w:rPr>
      <w:rFonts w:ascii="Arial" w:hAnsi="Arial" w:cs="Arial"/>
      <w:i/>
      <w:iCs/>
      <w:sz w:val="8"/>
      <w:szCs w:val="8"/>
    </w:rPr>
  </w:style>
  <w:style w:type="paragraph" w:customStyle="1" w:styleId="rtejustify">
    <w:name w:val="rtejustify"/>
    <w:basedOn w:val="a"/>
    <w:rsid w:val="006E4804"/>
    <w:pPr>
      <w:overflowPunct w:val="0"/>
      <w:autoSpaceDE w:val="0"/>
      <w:autoSpaceDN w:val="0"/>
      <w:adjustRightInd w:val="0"/>
      <w:spacing w:before="120" w:after="216" w:line="240" w:lineRule="auto"/>
      <w:jc w:val="both"/>
      <w:textAlignment w:val="baseline"/>
    </w:pPr>
    <w:rPr>
      <w:rFonts w:ascii="Times New Roman" w:eastAsia="Times New Roman" w:hAnsi="Times New Roman"/>
      <w:sz w:val="24"/>
      <w:szCs w:val="20"/>
      <w:lang w:eastAsia="ru-RU"/>
    </w:rPr>
  </w:style>
  <w:style w:type="character" w:customStyle="1" w:styleId="10">
    <w:name w:val="Заголовок 1 Знак"/>
    <w:link w:val="1"/>
    <w:uiPriority w:val="9"/>
    <w:rsid w:val="006E4804"/>
    <w:rPr>
      <w:rFonts w:ascii="Cambria" w:eastAsia="Times New Roman" w:hAnsi="Cambria" w:cs="Times New Roman"/>
      <w:b/>
      <w:bCs/>
      <w:color w:val="365F91"/>
      <w:sz w:val="28"/>
      <w:szCs w:val="28"/>
    </w:rPr>
  </w:style>
  <w:style w:type="character" w:customStyle="1" w:styleId="30">
    <w:name w:val="Заголовок 3 Знак"/>
    <w:link w:val="3"/>
    <w:uiPriority w:val="9"/>
    <w:rsid w:val="005E7475"/>
    <w:rPr>
      <w:rFonts w:ascii="Cambria" w:eastAsia="Times New Roman" w:hAnsi="Cambria" w:cs="Times New Roman"/>
      <w:color w:val="243F60"/>
      <w:sz w:val="24"/>
      <w:szCs w:val="24"/>
      <w:lang w:eastAsia="ru-RU"/>
    </w:rPr>
  </w:style>
  <w:style w:type="character" w:customStyle="1" w:styleId="151">
    <w:name w:val="Основной текст (15)_"/>
    <w:link w:val="152"/>
    <w:uiPriority w:val="99"/>
    <w:rsid w:val="005E7475"/>
    <w:rPr>
      <w:rFonts w:ascii="Franklin Gothic Heavy" w:eastAsia="Franklin Gothic Heavy" w:hAnsi="Franklin Gothic Heavy" w:cs="Franklin Gothic Heavy"/>
      <w:sz w:val="33"/>
      <w:szCs w:val="33"/>
      <w:shd w:val="clear" w:color="auto" w:fill="FFFFFF"/>
    </w:rPr>
  </w:style>
  <w:style w:type="paragraph" w:customStyle="1" w:styleId="152">
    <w:name w:val="Основной текст (15)"/>
    <w:basedOn w:val="a"/>
    <w:link w:val="151"/>
    <w:uiPriority w:val="99"/>
    <w:rsid w:val="005E7475"/>
    <w:pPr>
      <w:shd w:val="clear" w:color="auto" w:fill="FFFFFF"/>
      <w:spacing w:after="0" w:line="432" w:lineRule="exact"/>
      <w:jc w:val="both"/>
    </w:pPr>
    <w:rPr>
      <w:rFonts w:ascii="Franklin Gothic Heavy" w:eastAsia="Franklin Gothic Heavy" w:hAnsi="Franklin Gothic Heavy" w:cs="Franklin Gothic Heavy"/>
      <w:sz w:val="33"/>
      <w:szCs w:val="33"/>
    </w:rPr>
  </w:style>
  <w:style w:type="character" w:customStyle="1" w:styleId="440">
    <w:name w:val="Основной текст (44)_"/>
    <w:link w:val="44"/>
    <w:rsid w:val="00FF3124"/>
    <w:rPr>
      <w:rFonts w:ascii="MS Mincho" w:eastAsia="MS Mincho" w:hAnsi="Times New Roman" w:cs="MS Mincho"/>
      <w:noProof/>
      <w:sz w:val="8"/>
      <w:szCs w:val="8"/>
      <w:shd w:val="clear" w:color="auto" w:fill="FFFFFF"/>
      <w:lang w:val="en-US"/>
    </w:rPr>
  </w:style>
  <w:style w:type="character" w:customStyle="1" w:styleId="40">
    <w:name w:val="Заголовок 4 Знак"/>
    <w:link w:val="4"/>
    <w:uiPriority w:val="9"/>
    <w:rsid w:val="00FB17DA"/>
    <w:rPr>
      <w:rFonts w:ascii="Cambria" w:eastAsia="Times New Roman" w:hAnsi="Cambria" w:cs="Times New Roman"/>
      <w:i/>
      <w:iCs/>
      <w:color w:val="365F91"/>
      <w:sz w:val="20"/>
      <w:szCs w:val="20"/>
      <w:lang w:eastAsia="ru-RU"/>
    </w:rPr>
  </w:style>
  <w:style w:type="character" w:customStyle="1" w:styleId="MicrosoftSansSerif">
    <w:name w:val="Основной текст + Microsoft Sans Serif"/>
    <w:rsid w:val="00824AB6"/>
    <w:rPr>
      <w:rFonts w:ascii="Microsoft Sans Serif" w:hAnsi="Microsoft Sans Serif"/>
      <w:i/>
      <w:spacing w:val="10"/>
      <w:sz w:val="15"/>
    </w:rPr>
  </w:style>
  <w:style w:type="paragraph" w:customStyle="1" w:styleId="59">
    <w:name w:val="Подпись к таблице (5)"/>
    <w:basedOn w:val="a"/>
    <w:rsid w:val="00824AB6"/>
    <w:pPr>
      <w:shd w:val="clear" w:color="auto" w:fill="FFFFFF"/>
      <w:overflowPunct w:val="0"/>
      <w:autoSpaceDE w:val="0"/>
      <w:autoSpaceDN w:val="0"/>
      <w:adjustRightInd w:val="0"/>
      <w:spacing w:after="0" w:line="191" w:lineRule="exact"/>
      <w:textAlignment w:val="baseline"/>
    </w:pPr>
    <w:rPr>
      <w:rFonts w:ascii="Times New Roman" w:eastAsia="Times New Roman" w:hAnsi="Times New Roman"/>
      <w:sz w:val="16"/>
      <w:szCs w:val="20"/>
      <w:lang w:eastAsia="ru-RU"/>
    </w:rPr>
  </w:style>
  <w:style w:type="character" w:customStyle="1" w:styleId="50pt">
    <w:name w:val="Подпись к таблице (5) + Интервал 0 pt"/>
    <w:rsid w:val="00824AB6"/>
    <w:rPr>
      <w:rFonts w:ascii="Times New Roman" w:hAnsi="Times New Roman"/>
      <w:spacing w:val="10"/>
      <w:sz w:val="16"/>
    </w:rPr>
  </w:style>
  <w:style w:type="character" w:customStyle="1" w:styleId="478pt">
    <w:name w:val="Основной текст (47) + 8 pt"/>
    <w:rsid w:val="00EF2E51"/>
    <w:rPr>
      <w:rFonts w:ascii="Times New Roman" w:hAnsi="Times New Roman"/>
      <w:spacing w:val="0"/>
      <w:sz w:val="16"/>
    </w:rPr>
  </w:style>
  <w:style w:type="character" w:customStyle="1" w:styleId="47BookmanOldStyle">
    <w:name w:val="Основной текст (47) + Bookman Old Style"/>
    <w:rsid w:val="00EF2E51"/>
    <w:rPr>
      <w:rFonts w:ascii="Bookman Old Style" w:hAnsi="Bookman Old Style"/>
      <w:spacing w:val="0"/>
      <w:sz w:val="13"/>
    </w:rPr>
  </w:style>
  <w:style w:type="character" w:customStyle="1" w:styleId="aff2">
    <w:name w:val="Подпись к таблице_"/>
    <w:link w:val="aff1"/>
    <w:rsid w:val="00877950"/>
    <w:rPr>
      <w:rFonts w:ascii="Arial Narrow" w:hAnsi="Arial Narrow" w:cs="Arial Narrow"/>
      <w:i/>
      <w:iCs/>
      <w:noProof/>
      <w:sz w:val="20"/>
      <w:szCs w:val="20"/>
      <w:shd w:val="clear" w:color="auto" w:fill="FFFFFF"/>
      <w:lang w:val="en-US"/>
    </w:rPr>
  </w:style>
  <w:style w:type="paragraph" w:customStyle="1" w:styleId="65">
    <w:name w:val="Основной текст (6)"/>
    <w:basedOn w:val="a"/>
    <w:link w:val="66"/>
    <w:rsid w:val="00877950"/>
    <w:pPr>
      <w:shd w:val="clear" w:color="auto" w:fill="FFFFFF"/>
      <w:overflowPunct w:val="0"/>
      <w:autoSpaceDE w:val="0"/>
      <w:autoSpaceDN w:val="0"/>
      <w:adjustRightInd w:val="0"/>
      <w:spacing w:before="4980" w:after="0" w:line="252" w:lineRule="exact"/>
      <w:jc w:val="both"/>
      <w:textAlignment w:val="baseline"/>
    </w:pPr>
    <w:rPr>
      <w:rFonts w:eastAsia="Times New Roman"/>
      <w:sz w:val="24"/>
      <w:szCs w:val="20"/>
      <w:lang w:eastAsia="ru-RU"/>
    </w:rPr>
  </w:style>
  <w:style w:type="character" w:customStyle="1" w:styleId="66">
    <w:name w:val="Основной текст (6)_"/>
    <w:link w:val="65"/>
    <w:uiPriority w:val="99"/>
    <w:rsid w:val="00877950"/>
    <w:rPr>
      <w:rFonts w:ascii="Calibri" w:eastAsia="Times New Roman" w:hAnsi="Calibri" w:cs="Times New Roman"/>
      <w:sz w:val="24"/>
      <w:szCs w:val="20"/>
      <w:shd w:val="clear" w:color="auto" w:fill="FFFFFF"/>
      <w:lang w:eastAsia="ru-RU"/>
    </w:rPr>
  </w:style>
  <w:style w:type="character" w:customStyle="1" w:styleId="710">
    <w:name w:val="Основной текст + 71"/>
    <w:aliases w:val="5 pt1,Малые прописные,Основной текст + Times New Roman1,81,5 pt2,Полужирный5,Основной текст + Arial Unicode MS1,Основной текст + 82,Основной текст + 9 pt2,Основной текст + MS Reference Sans Serif1"/>
    <w:uiPriority w:val="99"/>
    <w:rsid w:val="00877950"/>
    <w:rPr>
      <w:rFonts w:ascii="Arial Narrow" w:hAnsi="Arial Narrow" w:cs="Arial Narrow"/>
      <w:smallCaps/>
      <w:spacing w:val="0"/>
      <w:sz w:val="15"/>
      <w:szCs w:val="15"/>
    </w:rPr>
  </w:style>
  <w:style w:type="paragraph" w:customStyle="1" w:styleId="130">
    <w:name w:val="Основной текст (13)"/>
    <w:basedOn w:val="a"/>
    <w:rsid w:val="00513C11"/>
    <w:pPr>
      <w:shd w:val="clear" w:color="auto" w:fill="FFFFFF"/>
      <w:overflowPunct w:val="0"/>
      <w:autoSpaceDE w:val="0"/>
      <w:autoSpaceDN w:val="0"/>
      <w:adjustRightInd w:val="0"/>
      <w:spacing w:after="0" w:line="240" w:lineRule="atLeast"/>
      <w:textAlignment w:val="baseline"/>
    </w:pPr>
    <w:rPr>
      <w:rFonts w:ascii="Arial" w:eastAsia="Times New Roman" w:hAnsi="Arial"/>
      <w:sz w:val="36"/>
      <w:szCs w:val="20"/>
      <w:lang w:eastAsia="ru-RU"/>
    </w:rPr>
  </w:style>
  <w:style w:type="paragraph" w:customStyle="1" w:styleId="301">
    <w:name w:val="Основной текст (30)"/>
    <w:basedOn w:val="a"/>
    <w:link w:val="302"/>
    <w:rsid w:val="00513C11"/>
    <w:pPr>
      <w:shd w:val="clear" w:color="auto" w:fill="FFFFFF"/>
      <w:overflowPunct w:val="0"/>
      <w:autoSpaceDE w:val="0"/>
      <w:autoSpaceDN w:val="0"/>
      <w:adjustRightInd w:val="0"/>
      <w:spacing w:after="0" w:line="240" w:lineRule="atLeast"/>
      <w:textAlignment w:val="baseline"/>
    </w:pPr>
    <w:rPr>
      <w:rFonts w:ascii="Gungsuh" w:eastAsia="Gungsuh" w:hAnsi="Times New Roman"/>
      <w:sz w:val="8"/>
      <w:szCs w:val="20"/>
      <w:lang w:eastAsia="ru-RU"/>
    </w:rPr>
  </w:style>
  <w:style w:type="character" w:customStyle="1" w:styleId="302">
    <w:name w:val="Основной текст (30)_"/>
    <w:link w:val="301"/>
    <w:rsid w:val="00513C11"/>
    <w:rPr>
      <w:rFonts w:ascii="Gungsuh" w:eastAsia="Gungsuh" w:hAnsi="Times New Roman" w:cs="Times New Roman"/>
      <w:sz w:val="8"/>
      <w:szCs w:val="20"/>
      <w:shd w:val="clear" w:color="auto" w:fill="FFFFFF"/>
      <w:lang w:eastAsia="ru-RU"/>
    </w:rPr>
  </w:style>
  <w:style w:type="paragraph" w:customStyle="1" w:styleId="103">
    <w:name w:val="Основной текст (10)"/>
    <w:basedOn w:val="a"/>
    <w:link w:val="104"/>
    <w:rsid w:val="00CB6D91"/>
    <w:pPr>
      <w:shd w:val="clear" w:color="auto" w:fill="FFFFFF"/>
      <w:overflowPunct w:val="0"/>
      <w:autoSpaceDE w:val="0"/>
      <w:autoSpaceDN w:val="0"/>
      <w:adjustRightInd w:val="0"/>
      <w:spacing w:after="0" w:line="192" w:lineRule="exact"/>
      <w:textAlignment w:val="baseline"/>
    </w:pPr>
    <w:rPr>
      <w:rFonts w:ascii="Arial" w:eastAsia="Times New Roman" w:hAnsi="Arial"/>
      <w:sz w:val="11"/>
      <w:szCs w:val="20"/>
      <w:lang w:eastAsia="ru-RU"/>
    </w:rPr>
  </w:style>
  <w:style w:type="character" w:customStyle="1" w:styleId="104">
    <w:name w:val="Основной текст (10)_"/>
    <w:link w:val="103"/>
    <w:rsid w:val="00CB6D91"/>
    <w:rPr>
      <w:rFonts w:ascii="Arial" w:eastAsia="Times New Roman" w:hAnsi="Arial" w:cs="Times New Roman"/>
      <w:sz w:val="11"/>
      <w:szCs w:val="20"/>
      <w:shd w:val="clear" w:color="auto" w:fill="FFFFFF"/>
      <w:lang w:eastAsia="ru-RU"/>
    </w:rPr>
  </w:style>
  <w:style w:type="paragraph" w:customStyle="1" w:styleId="67">
    <w:name w:val="Подпись к таблице (6)"/>
    <w:basedOn w:val="a"/>
    <w:rsid w:val="00CB6D91"/>
    <w:pPr>
      <w:shd w:val="clear" w:color="auto" w:fill="FFFFFF"/>
      <w:overflowPunct w:val="0"/>
      <w:autoSpaceDE w:val="0"/>
      <w:autoSpaceDN w:val="0"/>
      <w:adjustRightInd w:val="0"/>
      <w:spacing w:after="0" w:line="240" w:lineRule="atLeast"/>
      <w:textAlignment w:val="baseline"/>
    </w:pPr>
    <w:rPr>
      <w:rFonts w:ascii="Microsoft Sans Serif" w:eastAsia="Times New Roman" w:hAnsi="Microsoft Sans Serif"/>
      <w:sz w:val="15"/>
      <w:szCs w:val="20"/>
      <w:lang w:eastAsia="ru-RU"/>
    </w:rPr>
  </w:style>
  <w:style w:type="character" w:customStyle="1" w:styleId="68">
    <w:name w:val="Подпись к таблице (6) + 8"/>
    <w:rsid w:val="00CB6D91"/>
    <w:rPr>
      <w:rFonts w:ascii="Microsoft Sans Serif" w:hAnsi="Microsoft Sans Serif"/>
      <w:b/>
      <w:sz w:val="17"/>
    </w:rPr>
  </w:style>
  <w:style w:type="paragraph" w:customStyle="1" w:styleId="rteright">
    <w:name w:val="rteright"/>
    <w:basedOn w:val="a"/>
    <w:rsid w:val="009E3773"/>
    <w:pPr>
      <w:overflowPunct w:val="0"/>
      <w:autoSpaceDE w:val="0"/>
      <w:autoSpaceDN w:val="0"/>
      <w:adjustRightInd w:val="0"/>
      <w:spacing w:before="120" w:after="216" w:line="240" w:lineRule="auto"/>
      <w:jc w:val="right"/>
      <w:textAlignment w:val="baseline"/>
    </w:pPr>
    <w:rPr>
      <w:rFonts w:ascii="Times New Roman" w:eastAsia="Times New Roman" w:hAnsi="Times New Roman"/>
      <w:sz w:val="24"/>
      <w:szCs w:val="20"/>
      <w:lang w:eastAsia="ru-RU"/>
    </w:rPr>
  </w:style>
  <w:style w:type="paragraph" w:customStyle="1" w:styleId="49">
    <w:name w:val="Заголовок №4"/>
    <w:basedOn w:val="a"/>
    <w:link w:val="4a"/>
    <w:rsid w:val="005E1AD5"/>
    <w:pPr>
      <w:shd w:val="clear" w:color="auto" w:fill="FFFFFF"/>
      <w:overflowPunct w:val="0"/>
      <w:autoSpaceDE w:val="0"/>
      <w:autoSpaceDN w:val="0"/>
      <w:adjustRightInd w:val="0"/>
      <w:spacing w:before="300" w:after="0" w:line="240" w:lineRule="atLeast"/>
      <w:textAlignment w:val="baseline"/>
    </w:pPr>
    <w:rPr>
      <w:rFonts w:ascii="Arial" w:eastAsia="Times New Roman" w:hAnsi="Arial"/>
      <w:spacing w:val="-20"/>
      <w:sz w:val="85"/>
      <w:szCs w:val="20"/>
      <w:lang w:eastAsia="ru-RU"/>
    </w:rPr>
  </w:style>
  <w:style w:type="character" w:customStyle="1" w:styleId="4a">
    <w:name w:val="Заголовок №4_"/>
    <w:link w:val="49"/>
    <w:rsid w:val="005E1AD5"/>
    <w:rPr>
      <w:rFonts w:ascii="Arial" w:eastAsia="Times New Roman" w:hAnsi="Arial" w:cs="Times New Roman"/>
      <w:spacing w:val="-20"/>
      <w:sz w:val="85"/>
      <w:szCs w:val="20"/>
      <w:shd w:val="clear" w:color="auto" w:fill="FFFFFF"/>
      <w:lang w:eastAsia="ru-RU"/>
    </w:rPr>
  </w:style>
  <w:style w:type="paragraph" w:customStyle="1" w:styleId="rtecenter">
    <w:name w:val="rtecenter"/>
    <w:basedOn w:val="a"/>
    <w:rsid w:val="0075269A"/>
    <w:pPr>
      <w:spacing w:before="120" w:after="216" w:line="240" w:lineRule="auto"/>
      <w:jc w:val="center"/>
    </w:pPr>
    <w:rPr>
      <w:rFonts w:ascii="Times New Roman" w:eastAsia="Times New Roman" w:hAnsi="Times New Roman"/>
      <w:sz w:val="24"/>
      <w:szCs w:val="24"/>
      <w:lang w:eastAsia="ru-RU"/>
    </w:rPr>
  </w:style>
  <w:style w:type="paragraph" w:customStyle="1" w:styleId="213">
    <w:name w:val="Основной текст (21)"/>
    <w:basedOn w:val="a"/>
    <w:link w:val="214"/>
    <w:rsid w:val="003562F3"/>
    <w:pPr>
      <w:shd w:val="clear" w:color="auto" w:fill="FFFFFF"/>
      <w:overflowPunct w:val="0"/>
      <w:autoSpaceDE w:val="0"/>
      <w:autoSpaceDN w:val="0"/>
      <w:adjustRightInd w:val="0"/>
      <w:spacing w:after="60" w:line="240" w:lineRule="atLeast"/>
      <w:textAlignment w:val="baseline"/>
    </w:pPr>
    <w:rPr>
      <w:rFonts w:eastAsia="Times New Roman"/>
      <w:sz w:val="16"/>
      <w:szCs w:val="20"/>
      <w:lang w:eastAsia="ru-RU"/>
    </w:rPr>
  </w:style>
  <w:style w:type="character" w:customStyle="1" w:styleId="214">
    <w:name w:val="Основной текст (21)_"/>
    <w:link w:val="213"/>
    <w:rsid w:val="003562F3"/>
    <w:rPr>
      <w:rFonts w:ascii="Calibri" w:eastAsia="Times New Roman" w:hAnsi="Calibri" w:cs="Times New Roman"/>
      <w:sz w:val="16"/>
      <w:szCs w:val="20"/>
      <w:shd w:val="clear" w:color="auto" w:fill="FFFFFF"/>
      <w:lang w:eastAsia="ru-RU"/>
    </w:rPr>
  </w:style>
  <w:style w:type="paragraph" w:customStyle="1" w:styleId="221">
    <w:name w:val="Основной текст (22)"/>
    <w:basedOn w:val="a"/>
    <w:rsid w:val="003562F3"/>
    <w:pPr>
      <w:shd w:val="clear" w:color="auto" w:fill="FFFFFF"/>
      <w:overflowPunct w:val="0"/>
      <w:autoSpaceDE w:val="0"/>
      <w:autoSpaceDN w:val="0"/>
      <w:adjustRightInd w:val="0"/>
      <w:spacing w:after="0" w:line="382" w:lineRule="exact"/>
      <w:textAlignment w:val="baseline"/>
    </w:pPr>
    <w:rPr>
      <w:rFonts w:ascii="Times New Roman" w:eastAsia="Times New Roman" w:hAnsi="Times New Roman"/>
      <w:sz w:val="29"/>
      <w:szCs w:val="20"/>
      <w:lang w:eastAsia="ru-RU"/>
    </w:rPr>
  </w:style>
  <w:style w:type="character" w:customStyle="1" w:styleId="114">
    <w:name w:val="Основной текст (11) + Не курсив"/>
    <w:rsid w:val="003562F3"/>
    <w:rPr>
      <w:rFonts w:ascii="Times New Roman" w:eastAsia="Times New Roman" w:hAnsi="Times New Roman" w:cs="Times New Roman"/>
      <w:b w:val="0"/>
      <w:bCs w:val="0"/>
      <w:i/>
      <w:iCs/>
      <w:smallCaps w:val="0"/>
      <w:strike w:val="0"/>
      <w:spacing w:val="0"/>
      <w:sz w:val="17"/>
      <w:szCs w:val="17"/>
    </w:rPr>
  </w:style>
  <w:style w:type="character" w:customStyle="1" w:styleId="119pt">
    <w:name w:val="Основной текст (11) + 9 pt;Полужирный"/>
    <w:rsid w:val="003562F3"/>
    <w:rPr>
      <w:rFonts w:ascii="Times New Roman" w:eastAsia="Times New Roman" w:hAnsi="Times New Roman" w:cs="Times New Roman"/>
      <w:b/>
      <w:bCs/>
      <w:i w:val="0"/>
      <w:iCs w:val="0"/>
      <w:smallCaps w:val="0"/>
      <w:strike w:val="0"/>
      <w:spacing w:val="0"/>
      <w:sz w:val="18"/>
      <w:szCs w:val="18"/>
    </w:rPr>
  </w:style>
  <w:style w:type="character" w:customStyle="1" w:styleId="115">
    <w:name w:val="Основной текст (11) + Полужирный;Не курсив"/>
    <w:rsid w:val="003562F3"/>
    <w:rPr>
      <w:rFonts w:ascii="Times New Roman" w:eastAsia="Times New Roman" w:hAnsi="Times New Roman" w:cs="Times New Roman"/>
      <w:b/>
      <w:bCs/>
      <w:i/>
      <w:iCs/>
      <w:smallCaps w:val="0"/>
      <w:strike w:val="0"/>
      <w:spacing w:val="0"/>
      <w:sz w:val="17"/>
      <w:szCs w:val="17"/>
    </w:rPr>
  </w:style>
  <w:style w:type="character" w:customStyle="1" w:styleId="83">
    <w:name w:val="Основной текст + Курсив8"/>
    <w:uiPriority w:val="99"/>
    <w:rsid w:val="003562F3"/>
    <w:rPr>
      <w:rFonts w:ascii="Arial Narrow" w:hAnsi="Arial Narrow" w:cs="Arial Narrow"/>
      <w:i/>
      <w:iCs/>
      <w:spacing w:val="0"/>
      <w:sz w:val="17"/>
      <w:szCs w:val="17"/>
    </w:rPr>
  </w:style>
  <w:style w:type="character" w:customStyle="1" w:styleId="highlight">
    <w:name w:val="highlight"/>
    <w:basedOn w:val="a0"/>
    <w:rsid w:val="0078004B"/>
  </w:style>
  <w:style w:type="paragraph" w:customStyle="1" w:styleId="txt1">
    <w:name w:val="txt1"/>
    <w:basedOn w:val="a"/>
    <w:rsid w:val="0078004B"/>
    <w:pPr>
      <w:spacing w:before="100" w:beforeAutospacing="1" w:after="100" w:afterAutospacing="1" w:line="432" w:lineRule="auto"/>
      <w:ind w:firstLine="720"/>
      <w:jc w:val="both"/>
    </w:pPr>
    <w:rPr>
      <w:rFonts w:ascii="Times New Roman" w:eastAsia="Times New Roman" w:hAnsi="Times New Roman"/>
      <w:sz w:val="24"/>
      <w:szCs w:val="24"/>
      <w:lang w:eastAsia="ru-RU"/>
    </w:rPr>
  </w:style>
  <w:style w:type="paragraph" w:customStyle="1" w:styleId="1010">
    <w:name w:val="Основной текст (10)1"/>
    <w:basedOn w:val="a"/>
    <w:uiPriority w:val="99"/>
    <w:rsid w:val="000B4A7D"/>
    <w:pPr>
      <w:shd w:val="clear" w:color="auto" w:fill="FFFFFF"/>
      <w:spacing w:after="0" w:line="240" w:lineRule="atLeast"/>
      <w:ind w:hanging="260"/>
      <w:jc w:val="both"/>
    </w:pPr>
    <w:rPr>
      <w:rFonts w:ascii="Arial Narrow" w:eastAsia="Arial Unicode MS" w:hAnsi="Arial Narrow" w:cs="Arial Narrow"/>
      <w:i/>
      <w:iCs/>
      <w:sz w:val="18"/>
      <w:szCs w:val="18"/>
      <w:lang w:eastAsia="ru-RU"/>
    </w:rPr>
  </w:style>
  <w:style w:type="character" w:customStyle="1" w:styleId="1026">
    <w:name w:val="Основной текст (10) + Не курсив26"/>
    <w:uiPriority w:val="99"/>
    <w:rsid w:val="000B4A7D"/>
    <w:rPr>
      <w:rFonts w:ascii="Arial Narrow" w:eastAsia="Times New Roman" w:hAnsi="Arial Narrow" w:cs="Arial Narrow"/>
      <w:b w:val="0"/>
      <w:bCs w:val="0"/>
      <w:i w:val="0"/>
      <w:iCs w:val="0"/>
      <w:smallCaps w:val="0"/>
      <w:strike w:val="0"/>
      <w:spacing w:val="0"/>
      <w:sz w:val="18"/>
      <w:szCs w:val="18"/>
    </w:rPr>
  </w:style>
  <w:style w:type="character" w:customStyle="1" w:styleId="1013">
    <w:name w:val="Основной текст (10) + Полужирный13"/>
    <w:uiPriority w:val="99"/>
    <w:rsid w:val="000B4A7D"/>
    <w:rPr>
      <w:rFonts w:ascii="Arial Narrow" w:eastAsia="Times New Roman" w:hAnsi="Arial Narrow" w:cs="Arial Narrow"/>
      <w:b/>
      <w:bCs/>
      <w:i/>
      <w:iCs/>
      <w:smallCaps w:val="0"/>
      <w:strike w:val="0"/>
      <w:spacing w:val="0"/>
      <w:sz w:val="18"/>
      <w:szCs w:val="18"/>
    </w:rPr>
  </w:style>
  <w:style w:type="character" w:customStyle="1" w:styleId="260">
    <w:name w:val="Основной текст + Курсив26"/>
    <w:uiPriority w:val="99"/>
    <w:rsid w:val="00CB1153"/>
    <w:rPr>
      <w:rFonts w:ascii="Arial Narrow" w:hAnsi="Arial Narrow" w:cs="Arial Narrow"/>
      <w:i/>
      <w:iCs/>
      <w:spacing w:val="0"/>
      <w:sz w:val="18"/>
      <w:szCs w:val="18"/>
      <w:shd w:val="clear" w:color="auto" w:fill="FFFFFF"/>
    </w:rPr>
  </w:style>
  <w:style w:type="paragraph" w:customStyle="1" w:styleId="1b">
    <w:name w:val="Подпись к картинке1"/>
    <w:basedOn w:val="a"/>
    <w:uiPriority w:val="99"/>
    <w:rsid w:val="0084298A"/>
    <w:pPr>
      <w:shd w:val="clear" w:color="auto" w:fill="FFFFFF"/>
      <w:spacing w:after="0" w:line="240" w:lineRule="atLeast"/>
      <w:ind w:hanging="280"/>
    </w:pPr>
    <w:rPr>
      <w:rFonts w:ascii="Arial" w:eastAsia="Arial Unicode MS" w:hAnsi="Arial" w:cs="Arial"/>
      <w:b/>
      <w:bCs/>
      <w:sz w:val="14"/>
      <w:szCs w:val="14"/>
      <w:lang w:eastAsia="ru-RU"/>
    </w:rPr>
  </w:style>
  <w:style w:type="character" w:customStyle="1" w:styleId="1025">
    <w:name w:val="Основной текст (10) + Не курсив25"/>
    <w:uiPriority w:val="99"/>
    <w:rsid w:val="0084298A"/>
    <w:rPr>
      <w:rFonts w:ascii="Arial Narrow" w:eastAsia="Times New Roman" w:hAnsi="Arial Narrow" w:cs="Arial Narrow"/>
      <w:b w:val="0"/>
      <w:bCs w:val="0"/>
      <w:i w:val="0"/>
      <w:iCs w:val="0"/>
      <w:smallCaps w:val="0"/>
      <w:strike w:val="0"/>
      <w:spacing w:val="0"/>
      <w:sz w:val="18"/>
      <w:szCs w:val="18"/>
    </w:rPr>
  </w:style>
  <w:style w:type="character" w:customStyle="1" w:styleId="1012">
    <w:name w:val="Основной текст (10) + Полужирный12"/>
    <w:aliases w:val="Не курсив12"/>
    <w:uiPriority w:val="99"/>
    <w:rsid w:val="0084298A"/>
    <w:rPr>
      <w:rFonts w:ascii="Arial Narrow" w:eastAsia="Times New Roman" w:hAnsi="Arial Narrow" w:cs="Arial Narrow"/>
      <w:b/>
      <w:bCs/>
      <w:i w:val="0"/>
      <w:iCs w:val="0"/>
      <w:smallCaps w:val="0"/>
      <w:strike w:val="0"/>
      <w:spacing w:val="0"/>
      <w:sz w:val="18"/>
      <w:szCs w:val="18"/>
    </w:rPr>
  </w:style>
  <w:style w:type="character" w:customStyle="1" w:styleId="10MicrosoftSansSerif2">
    <w:name w:val="Основной текст (10) + Microsoft Sans Serif2"/>
    <w:aliases w:val="84,5 pt52,Полужирный50,Основной текст + 11 pt4,Основной текст + Segoe UI4"/>
    <w:uiPriority w:val="99"/>
    <w:rsid w:val="0084298A"/>
    <w:rPr>
      <w:rFonts w:ascii="Microsoft Sans Serif" w:eastAsia="Times New Roman" w:hAnsi="Microsoft Sans Serif" w:cs="Microsoft Sans Serif"/>
      <w:b/>
      <w:bCs/>
      <w:i/>
      <w:iCs/>
      <w:smallCaps w:val="0"/>
      <w:strike w:val="0"/>
      <w:spacing w:val="0"/>
      <w:sz w:val="17"/>
      <w:szCs w:val="17"/>
    </w:rPr>
  </w:style>
  <w:style w:type="character" w:customStyle="1" w:styleId="134">
    <w:name w:val="Заголовок №13 (4)_"/>
    <w:link w:val="1340"/>
    <w:uiPriority w:val="99"/>
    <w:rsid w:val="0084298A"/>
    <w:rPr>
      <w:rFonts w:ascii="Arial Narrow" w:hAnsi="Arial Narrow" w:cs="Arial Narrow"/>
      <w:i/>
      <w:iCs/>
      <w:sz w:val="18"/>
      <w:szCs w:val="18"/>
      <w:shd w:val="clear" w:color="auto" w:fill="FFFFFF"/>
    </w:rPr>
  </w:style>
  <w:style w:type="character" w:customStyle="1" w:styleId="1341">
    <w:name w:val="Заголовок №13 (4) + Полужирный"/>
    <w:uiPriority w:val="99"/>
    <w:rsid w:val="0084298A"/>
    <w:rPr>
      <w:rFonts w:ascii="Arial Narrow" w:hAnsi="Arial Narrow" w:cs="Arial Narrow"/>
      <w:b/>
      <w:bCs/>
      <w:i/>
      <w:iCs/>
      <w:sz w:val="18"/>
      <w:szCs w:val="18"/>
      <w:shd w:val="clear" w:color="auto" w:fill="FFFFFF"/>
    </w:rPr>
  </w:style>
  <w:style w:type="character" w:customStyle="1" w:styleId="134FranklinGothicBook">
    <w:name w:val="Заголовок №13 (4) + Franklin Gothic Book"/>
    <w:aliases w:val="96,5 pt51,Полужирный49,Интервал -1 pt12,Колонтитул + MS Reference Sans Serif7"/>
    <w:uiPriority w:val="99"/>
    <w:rsid w:val="0084298A"/>
    <w:rPr>
      <w:rFonts w:ascii="Franklin Gothic Book" w:hAnsi="Franklin Gothic Book" w:cs="Franklin Gothic Book"/>
      <w:b/>
      <w:bCs/>
      <w:i/>
      <w:iCs/>
      <w:spacing w:val="-20"/>
      <w:sz w:val="19"/>
      <w:szCs w:val="19"/>
      <w:shd w:val="clear" w:color="auto" w:fill="FFFFFF"/>
    </w:rPr>
  </w:style>
  <w:style w:type="character" w:customStyle="1" w:styleId="134MicrosoftSansSerif">
    <w:name w:val="Заголовок №13 (4) + Microsoft Sans Serif"/>
    <w:aliases w:val="83,5 pt50,Полужирный48,Основной текст (6) + 8,Основной текст + Segoe UI3"/>
    <w:uiPriority w:val="99"/>
    <w:rsid w:val="0084298A"/>
    <w:rPr>
      <w:rFonts w:ascii="Microsoft Sans Serif" w:hAnsi="Microsoft Sans Serif" w:cs="Microsoft Sans Serif"/>
      <w:b/>
      <w:bCs/>
      <w:i/>
      <w:iCs/>
      <w:sz w:val="17"/>
      <w:szCs w:val="17"/>
      <w:shd w:val="clear" w:color="auto" w:fill="FFFFFF"/>
    </w:rPr>
  </w:style>
  <w:style w:type="character" w:customStyle="1" w:styleId="1342">
    <w:name w:val="Заголовок №13 (4) + Не курсив"/>
    <w:uiPriority w:val="99"/>
    <w:rsid w:val="0084298A"/>
    <w:rPr>
      <w:rFonts w:ascii="Arial Narrow" w:hAnsi="Arial Narrow" w:cs="Arial Narrow"/>
      <w:i w:val="0"/>
      <w:iCs w:val="0"/>
      <w:sz w:val="18"/>
      <w:szCs w:val="18"/>
      <w:shd w:val="clear" w:color="auto" w:fill="FFFFFF"/>
    </w:rPr>
  </w:style>
  <w:style w:type="paragraph" w:customStyle="1" w:styleId="1340">
    <w:name w:val="Заголовок №13 (4)"/>
    <w:basedOn w:val="a"/>
    <w:link w:val="134"/>
    <w:uiPriority w:val="99"/>
    <w:rsid w:val="0084298A"/>
    <w:pPr>
      <w:shd w:val="clear" w:color="auto" w:fill="FFFFFF"/>
      <w:spacing w:after="0" w:line="221" w:lineRule="exact"/>
      <w:ind w:firstLine="280"/>
      <w:jc w:val="both"/>
    </w:pPr>
    <w:rPr>
      <w:rFonts w:ascii="Arial Narrow" w:hAnsi="Arial Narrow" w:cs="Arial Narrow"/>
      <w:i/>
      <w:iCs/>
      <w:sz w:val="18"/>
      <w:szCs w:val="18"/>
      <w:lang w:eastAsia="ru-RU"/>
    </w:rPr>
  </w:style>
  <w:style w:type="character" w:customStyle="1" w:styleId="1030">
    <w:name w:val="Основной текст (10) + Не курсив30"/>
    <w:uiPriority w:val="99"/>
    <w:rsid w:val="00EA7676"/>
    <w:rPr>
      <w:rFonts w:ascii="Arial Narrow" w:eastAsia="Times New Roman" w:hAnsi="Arial Narrow" w:cs="Arial Narrow"/>
      <w:b w:val="0"/>
      <w:bCs w:val="0"/>
      <w:i w:val="0"/>
      <w:iCs w:val="0"/>
      <w:smallCaps w:val="0"/>
      <w:strike w:val="0"/>
      <w:spacing w:val="0"/>
      <w:sz w:val="18"/>
      <w:szCs w:val="18"/>
    </w:rPr>
  </w:style>
  <w:style w:type="character" w:customStyle="1" w:styleId="391">
    <w:name w:val="Основной текст + Полужирный39"/>
    <w:uiPriority w:val="99"/>
    <w:rsid w:val="00AC715D"/>
    <w:rPr>
      <w:rFonts w:ascii="Arial Narrow" w:hAnsi="Arial Narrow" w:cs="Arial Narrow"/>
      <w:b/>
      <w:bCs/>
      <w:spacing w:val="0"/>
      <w:sz w:val="18"/>
      <w:szCs w:val="18"/>
      <w:shd w:val="clear" w:color="auto" w:fill="FFFFFF"/>
    </w:rPr>
  </w:style>
  <w:style w:type="character" w:customStyle="1" w:styleId="912">
    <w:name w:val="Основной текст + 912"/>
    <w:aliases w:val="5 pt49,Полужирный47,Интервал 0 pt34,Основной текст (5) + Не курсив8,Основной текст (2) + 5 pt1"/>
    <w:uiPriority w:val="99"/>
    <w:rsid w:val="00AC715D"/>
    <w:rPr>
      <w:rFonts w:ascii="Arial Narrow" w:hAnsi="Arial Narrow" w:cs="Arial Narrow"/>
      <w:b/>
      <w:bCs/>
      <w:spacing w:val="-10"/>
      <w:sz w:val="19"/>
      <w:szCs w:val="19"/>
      <w:shd w:val="clear" w:color="auto" w:fill="FFFFFF"/>
    </w:rPr>
  </w:style>
  <w:style w:type="character" w:customStyle="1" w:styleId="1024">
    <w:name w:val="Основной текст (10) + Не курсив24"/>
    <w:uiPriority w:val="99"/>
    <w:rsid w:val="00132B05"/>
    <w:rPr>
      <w:rFonts w:ascii="Arial Narrow" w:eastAsia="Times New Roman" w:hAnsi="Arial Narrow" w:cs="Arial Narrow"/>
      <w:b w:val="0"/>
      <w:bCs w:val="0"/>
      <w:i w:val="0"/>
      <w:iCs w:val="0"/>
      <w:smallCaps w:val="0"/>
      <w:strike w:val="0"/>
      <w:spacing w:val="0"/>
      <w:sz w:val="18"/>
      <w:szCs w:val="18"/>
    </w:rPr>
  </w:style>
  <w:style w:type="character" w:customStyle="1" w:styleId="20">
    <w:name w:val="Заголовок 2 Знак"/>
    <w:link w:val="2"/>
    <w:uiPriority w:val="9"/>
    <w:semiHidden/>
    <w:rsid w:val="00C92E4A"/>
    <w:rPr>
      <w:rFonts w:ascii="Calibri Light" w:eastAsia="Times New Roman" w:hAnsi="Calibri Light" w:cs="Times New Roman"/>
      <w:b/>
      <w:bCs/>
      <w:i/>
      <w:iCs/>
      <w:sz w:val="28"/>
      <w:szCs w:val="28"/>
      <w:lang w:eastAsia="en-US"/>
    </w:rPr>
  </w:style>
  <w:style w:type="paragraph" w:styleId="HTML">
    <w:name w:val="HTML Preformatted"/>
    <w:basedOn w:val="a"/>
    <w:link w:val="HTML0"/>
    <w:uiPriority w:val="99"/>
    <w:semiHidden/>
    <w:unhideWhenUsed/>
    <w:rsid w:val="00C92E4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4"/>
      <w:szCs w:val="24"/>
      <w:lang w:eastAsia="ru-RU"/>
    </w:rPr>
  </w:style>
  <w:style w:type="character" w:customStyle="1" w:styleId="HTML0">
    <w:name w:val="Стандартный HTML Знак"/>
    <w:link w:val="HTML"/>
    <w:uiPriority w:val="99"/>
    <w:semiHidden/>
    <w:rsid w:val="00C92E4A"/>
    <w:rPr>
      <w:rFonts w:ascii="Courier New" w:eastAsia="Times New Roman" w:hAnsi="Courier New" w:cs="Courier New"/>
      <w:sz w:val="24"/>
      <w:szCs w:val="24"/>
    </w:rPr>
  </w:style>
  <w:style w:type="character" w:customStyle="1" w:styleId="fieldset-legend">
    <w:name w:val="fieldset-legend"/>
    <w:rsid w:val="00C92E4A"/>
  </w:style>
  <w:style w:type="character" w:customStyle="1" w:styleId="fieldset-legend-prefix">
    <w:name w:val="fieldset-legend-prefix"/>
    <w:rsid w:val="00C92E4A"/>
  </w:style>
  <w:style w:type="paragraph" w:customStyle="1" w:styleId="rteindent11">
    <w:name w:val="rteindent11"/>
    <w:basedOn w:val="a"/>
    <w:rsid w:val="00D10B4F"/>
    <w:pPr>
      <w:spacing w:before="100" w:beforeAutospacing="1" w:after="150" w:line="240" w:lineRule="auto"/>
      <w:ind w:left="600" w:firstLine="300"/>
      <w:jc w:val="both"/>
    </w:pPr>
    <w:rPr>
      <w:rFonts w:ascii="Times New Roman" w:eastAsia="Times New Roman" w:hAnsi="Times New Roman"/>
      <w:sz w:val="24"/>
      <w:szCs w:val="24"/>
      <w:lang w:eastAsia="ru-RU"/>
    </w:rPr>
  </w:style>
  <w:style w:type="character" w:customStyle="1" w:styleId="8pt1">
    <w:name w:val="Основной текст + 8 pt1"/>
    <w:aliases w:val="Полужирный2,Интервал 0 pt1,Колонтитул + Microsoft Sans Serif2,Основной текст + 11 pt1"/>
    <w:uiPriority w:val="99"/>
    <w:rsid w:val="00E51240"/>
    <w:rPr>
      <w:rFonts w:ascii="Arial Narrow" w:hAnsi="Arial Narrow" w:cs="Arial Narrow"/>
      <w:b/>
      <w:bCs/>
      <w:spacing w:val="-10"/>
      <w:sz w:val="16"/>
      <w:szCs w:val="16"/>
      <w:shd w:val="clear" w:color="auto" w:fill="FFFFFF"/>
    </w:rPr>
  </w:style>
  <w:style w:type="character" w:customStyle="1" w:styleId="1029">
    <w:name w:val="Основной текст (10) + Не курсив29"/>
    <w:uiPriority w:val="99"/>
    <w:rsid w:val="0048207C"/>
    <w:rPr>
      <w:rFonts w:ascii="Arial Narrow" w:eastAsia="Times New Roman" w:hAnsi="Arial Narrow" w:cs="Arial Narrow"/>
      <w:b w:val="0"/>
      <w:bCs w:val="0"/>
      <w:i w:val="0"/>
      <w:iCs w:val="0"/>
      <w:smallCaps w:val="0"/>
      <w:strike w:val="0"/>
      <w:spacing w:val="0"/>
      <w:sz w:val="18"/>
      <w:szCs w:val="18"/>
    </w:rPr>
  </w:style>
  <w:style w:type="character" w:customStyle="1" w:styleId="272">
    <w:name w:val="Основной текст + Курсив27"/>
    <w:aliases w:val="Интервал 0 pt52"/>
    <w:uiPriority w:val="99"/>
    <w:rsid w:val="0048207C"/>
    <w:rPr>
      <w:rFonts w:ascii="Arial Narrow" w:hAnsi="Arial Narrow" w:cs="Arial Narrow"/>
      <w:i/>
      <w:iCs/>
      <w:spacing w:val="0"/>
      <w:sz w:val="18"/>
      <w:szCs w:val="18"/>
      <w:shd w:val="clear" w:color="auto" w:fill="FFFFFF"/>
    </w:rPr>
  </w:style>
  <w:style w:type="character" w:customStyle="1" w:styleId="ucoz-forum-post">
    <w:name w:val="ucoz-forum-post"/>
    <w:rsid w:val="00B24706"/>
  </w:style>
  <w:style w:type="character" w:customStyle="1" w:styleId="1028">
    <w:name w:val="Основной текст (10) + Не курсив28"/>
    <w:uiPriority w:val="99"/>
    <w:rsid w:val="00A54CD0"/>
    <w:rPr>
      <w:rFonts w:ascii="Arial Narrow" w:eastAsia="Times New Roman" w:hAnsi="Arial Narrow" w:cs="Arial Narrow"/>
      <w:b w:val="0"/>
      <w:bCs w:val="0"/>
      <w:i w:val="0"/>
      <w:iCs w:val="0"/>
      <w:smallCaps w:val="0"/>
      <w:strike w:val="0"/>
      <w:spacing w:val="0"/>
      <w:sz w:val="18"/>
      <w:szCs w:val="18"/>
    </w:rPr>
  </w:style>
  <w:style w:type="character" w:customStyle="1" w:styleId="106">
    <w:name w:val="Основной текст (10) + Не курсив6"/>
    <w:uiPriority w:val="99"/>
    <w:rsid w:val="003E4223"/>
    <w:rPr>
      <w:rFonts w:ascii="Arial Narrow" w:eastAsia="Times New Roman" w:hAnsi="Arial Narrow" w:cs="Arial Narrow"/>
      <w:b w:val="0"/>
      <w:bCs w:val="0"/>
      <w:i w:val="0"/>
      <w:iCs w:val="0"/>
      <w:smallCaps w:val="0"/>
      <w:strike w:val="0"/>
      <w:spacing w:val="0"/>
      <w:sz w:val="18"/>
      <w:szCs w:val="18"/>
    </w:rPr>
  </w:style>
  <w:style w:type="character" w:customStyle="1" w:styleId="105">
    <w:name w:val="Основной текст + Полужирный10"/>
    <w:uiPriority w:val="99"/>
    <w:rsid w:val="003E4223"/>
    <w:rPr>
      <w:rFonts w:ascii="Arial Narrow" w:hAnsi="Arial Narrow" w:cs="Arial Narrow"/>
      <w:b/>
      <w:bCs/>
      <w:spacing w:val="0"/>
      <w:sz w:val="18"/>
      <w:szCs w:val="18"/>
      <w:shd w:val="clear" w:color="auto" w:fill="FFFFFF"/>
    </w:rPr>
  </w:style>
  <w:style w:type="character" w:customStyle="1" w:styleId="74">
    <w:name w:val="Основной текст7"/>
    <w:rsid w:val="003E4223"/>
    <w:rPr>
      <w:rFonts w:ascii="Times New Roman" w:eastAsia="Times New Roman" w:hAnsi="Times New Roman" w:cs="Times New Roman"/>
      <w:shd w:val="clear" w:color="auto" w:fill="FFFFFF"/>
    </w:rPr>
  </w:style>
  <w:style w:type="character" w:customStyle="1" w:styleId="84">
    <w:name w:val="Основной текст8"/>
    <w:rsid w:val="003E4223"/>
    <w:rPr>
      <w:rFonts w:ascii="Times New Roman" w:eastAsia="Times New Roman" w:hAnsi="Times New Roman" w:cs="Times New Roman"/>
      <w:shd w:val="clear" w:color="auto" w:fill="FFFFFF"/>
    </w:rPr>
  </w:style>
  <w:style w:type="character" w:customStyle="1" w:styleId="0pt0">
    <w:name w:val="Основной текст + Полужирный;Интервал 0 pt"/>
    <w:rsid w:val="003E4223"/>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9pt0">
    <w:name w:val="Основной текст + 9 pt;Курсив"/>
    <w:rsid w:val="003E4223"/>
    <w:rPr>
      <w:rFonts w:ascii="Arial" w:eastAsia="Arial" w:hAnsi="Arial" w:cs="Arial"/>
      <w:b w:val="0"/>
      <w:bCs w:val="0"/>
      <w:i/>
      <w:iCs/>
      <w:smallCaps w:val="0"/>
      <w:strike w:val="0"/>
      <w:spacing w:val="0"/>
      <w:sz w:val="18"/>
      <w:szCs w:val="18"/>
      <w:shd w:val="clear" w:color="auto" w:fill="FFFFFF"/>
    </w:rPr>
  </w:style>
  <w:style w:type="character" w:customStyle="1" w:styleId="ArialUnicodeMS10pt-1pt">
    <w:name w:val="Основной текст + Arial Unicode MS;10 pt;Полужирный;Интервал -1 pt"/>
    <w:rsid w:val="003E4223"/>
    <w:rPr>
      <w:rFonts w:ascii="Arial Unicode MS" w:eastAsia="Arial Unicode MS" w:hAnsi="Arial Unicode MS" w:cs="Arial Unicode MS"/>
      <w:b/>
      <w:bCs/>
      <w:i w:val="0"/>
      <w:iCs w:val="0"/>
      <w:smallCaps w:val="0"/>
      <w:strike w:val="0"/>
      <w:spacing w:val="-20"/>
      <w:sz w:val="20"/>
      <w:szCs w:val="20"/>
      <w:u w:val="single"/>
      <w:shd w:val="clear" w:color="auto" w:fill="FFFFFF"/>
    </w:rPr>
  </w:style>
  <w:style w:type="character" w:customStyle="1" w:styleId="105pt0pt">
    <w:name w:val="Основной текст + 10;5 pt;Интервал 0 pt"/>
    <w:rsid w:val="00C54992"/>
    <w:rPr>
      <w:rFonts w:ascii="Arial" w:eastAsia="Arial" w:hAnsi="Arial" w:cs="Arial"/>
      <w:b w:val="0"/>
      <w:bCs w:val="0"/>
      <w:i w:val="0"/>
      <w:iCs w:val="0"/>
      <w:smallCaps w:val="0"/>
      <w:strike w:val="0"/>
      <w:spacing w:val="-10"/>
      <w:sz w:val="21"/>
      <w:szCs w:val="21"/>
      <w:shd w:val="clear" w:color="auto" w:fill="FFFFFF"/>
    </w:rPr>
  </w:style>
  <w:style w:type="character" w:customStyle="1" w:styleId="2a">
    <w:name w:val="Основной текст (2)_"/>
    <w:link w:val="28"/>
    <w:locked/>
    <w:rsid w:val="00332C4C"/>
    <w:rPr>
      <w:rFonts w:ascii="Segoe UI" w:hAnsi="Segoe UI" w:cs="Segoe UI"/>
      <w:sz w:val="13"/>
      <w:szCs w:val="13"/>
      <w:shd w:val="clear" w:color="auto" w:fill="FFFFFF"/>
      <w:lang w:eastAsia="en-US"/>
    </w:rPr>
  </w:style>
  <w:style w:type="character" w:customStyle="1" w:styleId="1014">
    <w:name w:val="Основной текст (10) + Полужирный14"/>
    <w:uiPriority w:val="99"/>
    <w:rsid w:val="00445005"/>
    <w:rPr>
      <w:rFonts w:ascii="Arial Narrow" w:eastAsia="Times New Roman" w:hAnsi="Arial Narrow" w:cs="Arial Narrow"/>
      <w:b/>
      <w:bCs/>
      <w:i/>
      <w:iCs/>
      <w:smallCaps w:val="0"/>
      <w:strike w:val="0"/>
      <w:spacing w:val="0"/>
      <w:sz w:val="18"/>
      <w:szCs w:val="18"/>
    </w:rPr>
  </w:style>
  <w:style w:type="character" w:customStyle="1" w:styleId="1091">
    <w:name w:val="Основной текст (10) + 91"/>
    <w:aliases w:val="5 pt54,Полужирный52,Не курсив15,Интервал 0 pt35,Основной текст + 827"/>
    <w:uiPriority w:val="99"/>
    <w:rsid w:val="00445005"/>
    <w:rPr>
      <w:rFonts w:ascii="Arial Narrow" w:eastAsia="Times New Roman" w:hAnsi="Arial Narrow" w:cs="Arial Narrow"/>
      <w:b/>
      <w:bCs/>
      <w:i w:val="0"/>
      <w:iCs w:val="0"/>
      <w:smallCaps w:val="0"/>
      <w:strike w:val="0"/>
      <w:spacing w:val="-10"/>
      <w:sz w:val="19"/>
      <w:szCs w:val="19"/>
    </w:rPr>
  </w:style>
  <w:style w:type="character" w:customStyle="1" w:styleId="10MicrosoftSansSerif">
    <w:name w:val="Основной текст (10) + Microsoft Sans Serif"/>
    <w:aliases w:val="85,5 pt53,Полужирный51,Основной текст + Segoe UI5"/>
    <w:uiPriority w:val="99"/>
    <w:rsid w:val="00445005"/>
    <w:rPr>
      <w:rFonts w:ascii="Microsoft Sans Serif" w:eastAsia="Times New Roman" w:hAnsi="Microsoft Sans Serif" w:cs="Microsoft Sans Serif"/>
      <w:b/>
      <w:bCs/>
      <w:i/>
      <w:iCs/>
      <w:smallCaps w:val="0"/>
      <w:strike w:val="0"/>
      <w:spacing w:val="0"/>
      <w:sz w:val="17"/>
      <w:szCs w:val="17"/>
    </w:rPr>
  </w:style>
  <w:style w:type="character" w:customStyle="1" w:styleId="108pt">
    <w:name w:val="Основной текст (10) + 8 pt"/>
    <w:aliases w:val="Не курсив14"/>
    <w:uiPriority w:val="99"/>
    <w:rsid w:val="00445005"/>
    <w:rPr>
      <w:rFonts w:ascii="Arial Narrow" w:eastAsia="Times New Roman" w:hAnsi="Arial Narrow" w:cs="Arial Narrow"/>
      <w:b w:val="0"/>
      <w:bCs w:val="0"/>
      <w:i w:val="0"/>
      <w:iCs w:val="0"/>
      <w:smallCaps w:val="0"/>
      <w:strike w:val="0"/>
      <w:spacing w:val="0"/>
      <w:w w:val="100"/>
      <w:sz w:val="16"/>
      <w:szCs w:val="16"/>
    </w:rPr>
  </w:style>
  <w:style w:type="character" w:customStyle="1" w:styleId="108pt1">
    <w:name w:val="Основной текст (10) + 8 pt1"/>
    <w:aliases w:val="Не курсив13"/>
    <w:uiPriority w:val="99"/>
    <w:rsid w:val="00445005"/>
    <w:rPr>
      <w:rFonts w:ascii="Arial Narrow" w:eastAsia="Times New Roman" w:hAnsi="Arial Narrow" w:cs="Arial Narrow"/>
      <w:b w:val="0"/>
      <w:bCs w:val="0"/>
      <w:i w:val="0"/>
      <w:iCs w:val="0"/>
      <w:smallCaps w:val="0"/>
      <w:strike w:val="0"/>
      <w:spacing w:val="0"/>
      <w:w w:val="100"/>
      <w:sz w:val="16"/>
      <w:szCs w:val="16"/>
    </w:rPr>
  </w:style>
  <w:style w:type="character" w:customStyle="1" w:styleId="1027">
    <w:name w:val="Основной текст (10) + Не курсив27"/>
    <w:uiPriority w:val="99"/>
    <w:rsid w:val="00445005"/>
    <w:rPr>
      <w:rFonts w:ascii="Arial Narrow" w:eastAsia="Times New Roman" w:hAnsi="Arial Narrow" w:cs="Arial Narrow"/>
      <w:b w:val="0"/>
      <w:bCs w:val="0"/>
      <w:i w:val="0"/>
      <w:iCs w:val="0"/>
      <w:smallCaps w:val="0"/>
      <w:strike w:val="0"/>
      <w:spacing w:val="0"/>
      <w:sz w:val="18"/>
      <w:szCs w:val="18"/>
    </w:rPr>
  </w:style>
  <w:style w:type="character" w:customStyle="1" w:styleId="1023">
    <w:name w:val="Основной текст (10) + Не курсив23"/>
    <w:uiPriority w:val="99"/>
    <w:rsid w:val="00C80728"/>
    <w:rPr>
      <w:rFonts w:ascii="Arial Narrow" w:eastAsia="Times New Roman" w:hAnsi="Arial Narrow" w:cs="Arial Narrow"/>
      <w:b w:val="0"/>
      <w:bCs w:val="0"/>
      <w:i w:val="0"/>
      <w:iCs w:val="0"/>
      <w:smallCaps w:val="0"/>
      <w:strike w:val="0"/>
      <w:spacing w:val="0"/>
      <w:sz w:val="18"/>
      <w:szCs w:val="18"/>
    </w:rPr>
  </w:style>
  <w:style w:type="character" w:customStyle="1" w:styleId="BodytextTahoma">
    <w:name w:val="Body text + Tahoma"/>
    <w:aliases w:val="87,5 pt101"/>
    <w:uiPriority w:val="99"/>
    <w:rsid w:val="002E1EC2"/>
    <w:rPr>
      <w:rFonts w:ascii="Tahoma" w:hAnsi="Tahoma" w:cs="Tahoma"/>
      <w:spacing w:val="0"/>
      <w:w w:val="100"/>
      <w:sz w:val="17"/>
      <w:szCs w:val="17"/>
    </w:rPr>
  </w:style>
  <w:style w:type="paragraph" w:customStyle="1" w:styleId="312">
    <w:name w:val="Основной текст с отступом 31"/>
    <w:basedOn w:val="a"/>
    <w:rsid w:val="00EA3943"/>
    <w:pPr>
      <w:shd w:val="clear" w:color="auto" w:fill="FFFFFF"/>
      <w:overflowPunct w:val="0"/>
      <w:autoSpaceDE w:val="0"/>
      <w:autoSpaceDN w:val="0"/>
      <w:adjustRightInd w:val="0"/>
      <w:spacing w:after="0" w:line="360" w:lineRule="auto"/>
      <w:ind w:firstLine="709"/>
      <w:jc w:val="both"/>
      <w:textAlignment w:val="baseline"/>
    </w:pPr>
    <w:rPr>
      <w:rFonts w:ascii="Times New Roman" w:eastAsia="Times New Roman" w:hAnsi="Times New Roman"/>
      <w:color w:val="000000"/>
      <w:sz w:val="28"/>
      <w:szCs w:val="20"/>
      <w:lang w:eastAsia="ru-RU"/>
    </w:rPr>
  </w:style>
  <w:style w:type="character" w:customStyle="1" w:styleId="Tahoma">
    <w:name w:val="Колонтитул + Tahoma"/>
    <w:aliases w:val="9,5 pt,Полужирный,Интервал 0 pt,Колонтитул + Calibri,11,Основной текст + Arial Narrow16,5 pt14,Полужирный25,Body text (7) + Times New Roman,5 pt34,Body text (5) + 6,Not Bold,Italic4"/>
    <w:basedOn w:val="a0"/>
    <w:uiPriority w:val="99"/>
    <w:rsid w:val="00F52FEE"/>
    <w:rPr>
      <w:rFonts w:ascii="Tahoma" w:hAnsi="Tahoma" w:cs="Tahoma"/>
      <w:b/>
      <w:bCs/>
      <w:spacing w:val="10"/>
      <w:sz w:val="19"/>
      <w:szCs w:val="19"/>
      <w:shd w:val="clear" w:color="auto" w:fill="FFFFFF"/>
    </w:rPr>
  </w:style>
  <w:style w:type="character" w:customStyle="1" w:styleId="ArialNarrow17">
    <w:name w:val="Основной текст + Arial Narrow17"/>
    <w:aliases w:val="Полужирный26"/>
    <w:basedOn w:val="a0"/>
    <w:uiPriority w:val="99"/>
    <w:rsid w:val="00F52FEE"/>
    <w:rPr>
      <w:rFonts w:ascii="Arial Narrow" w:hAnsi="Arial Narrow" w:cs="Arial Narrow"/>
      <w:b/>
      <w:bCs/>
      <w:spacing w:val="0"/>
      <w:w w:val="100"/>
      <w:sz w:val="18"/>
      <w:szCs w:val="18"/>
      <w:shd w:val="clear" w:color="auto" w:fill="FFFFFF"/>
    </w:rPr>
  </w:style>
  <w:style w:type="paragraph" w:customStyle="1" w:styleId="610">
    <w:name w:val="Основной текст (6)1"/>
    <w:basedOn w:val="a"/>
    <w:uiPriority w:val="99"/>
    <w:rsid w:val="00F52FEE"/>
    <w:pPr>
      <w:shd w:val="clear" w:color="auto" w:fill="FFFFFF"/>
      <w:spacing w:after="0" w:line="240" w:lineRule="atLeast"/>
    </w:pPr>
    <w:rPr>
      <w:rFonts w:ascii="Arial Narrow" w:eastAsiaTheme="minorHAnsi" w:hAnsi="Arial Narrow" w:cs="Arial Narrow"/>
      <w:sz w:val="13"/>
      <w:szCs w:val="13"/>
    </w:rPr>
  </w:style>
  <w:style w:type="character" w:customStyle="1" w:styleId="ArialNarrow15">
    <w:name w:val="Основной текст + Arial Narrow15"/>
    <w:aliases w:val="Полужирный24"/>
    <w:basedOn w:val="a0"/>
    <w:uiPriority w:val="99"/>
    <w:rsid w:val="00303361"/>
    <w:rPr>
      <w:rFonts w:ascii="Arial Narrow" w:hAnsi="Arial Narrow" w:cs="Arial Narrow"/>
      <w:b/>
      <w:bCs/>
      <w:spacing w:val="0"/>
      <w:w w:val="100"/>
      <w:sz w:val="18"/>
      <w:szCs w:val="18"/>
      <w:shd w:val="clear" w:color="auto" w:fill="FFFFFF"/>
    </w:rPr>
  </w:style>
  <w:style w:type="character" w:customStyle="1" w:styleId="ArialNarrow14">
    <w:name w:val="Основной текст + Arial Narrow14"/>
    <w:aliases w:val="910,5 pt13,Полужирный23,Интервал 0 pt11,Body text (5) + 61,Not Bold3,Spacing 0 pt8"/>
    <w:basedOn w:val="a0"/>
    <w:uiPriority w:val="99"/>
    <w:rsid w:val="00303361"/>
    <w:rPr>
      <w:rFonts w:ascii="Arial Narrow" w:hAnsi="Arial Narrow" w:cs="Arial Narrow"/>
      <w:b/>
      <w:bCs/>
      <w:spacing w:val="-10"/>
      <w:w w:val="100"/>
      <w:sz w:val="19"/>
      <w:szCs w:val="19"/>
      <w:shd w:val="clear" w:color="auto" w:fill="FFFFFF"/>
    </w:rPr>
  </w:style>
  <w:style w:type="paragraph" w:customStyle="1" w:styleId="b-articletext">
    <w:name w:val="b-article__text"/>
    <w:basedOn w:val="a"/>
    <w:rsid w:val="0023773B"/>
    <w:pPr>
      <w:spacing w:before="100" w:beforeAutospacing="1" w:after="100" w:afterAutospacing="1" w:line="240" w:lineRule="auto"/>
    </w:pPr>
    <w:rPr>
      <w:rFonts w:ascii="Times New Roman" w:eastAsia="Times New Roman" w:hAnsi="Times New Roman"/>
      <w:sz w:val="24"/>
      <w:szCs w:val="24"/>
      <w:lang w:eastAsia="ru-RU"/>
    </w:rPr>
  </w:style>
  <w:style w:type="paragraph" w:styleId="affb">
    <w:name w:val="No Spacing"/>
    <w:basedOn w:val="a"/>
    <w:uiPriority w:val="1"/>
    <w:qFormat/>
    <w:rsid w:val="008F5899"/>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article-renderblock">
    <w:name w:val="article-render__block"/>
    <w:basedOn w:val="a"/>
    <w:rsid w:val="00B23E00"/>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doctext">
    <w:name w:val="doc__text"/>
    <w:basedOn w:val="a"/>
    <w:rsid w:val="00472582"/>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520">
    <w:name w:val="Основной текст52"/>
    <w:basedOn w:val="a"/>
    <w:rsid w:val="00732317"/>
    <w:pPr>
      <w:shd w:val="clear" w:color="auto" w:fill="FFFFFF"/>
      <w:spacing w:after="0" w:line="425" w:lineRule="exact"/>
      <w:jc w:val="both"/>
    </w:pPr>
    <w:rPr>
      <w:rFonts w:ascii="Segoe UI" w:eastAsia="Segoe UI" w:hAnsi="Segoe UI" w:cs="Segoe UI"/>
      <w:color w:val="000000"/>
      <w:sz w:val="15"/>
      <w:szCs w:val="15"/>
      <w:lang w:val="ru" w:eastAsia="ru-RU"/>
    </w:rPr>
  </w:style>
  <w:style w:type="table" w:styleId="affc">
    <w:name w:val="Table Grid"/>
    <w:basedOn w:val="a1"/>
    <w:uiPriority w:val="59"/>
    <w:unhideWhenUsed/>
    <w:rsid w:val="000D696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a">
    <w:name w:val="Основной текст (5)_"/>
    <w:basedOn w:val="a0"/>
    <w:link w:val="5b"/>
    <w:rsid w:val="00E95682"/>
    <w:rPr>
      <w:rFonts w:ascii="Times New Roman" w:eastAsia="Times New Roman" w:hAnsi="Times New Roman"/>
      <w:sz w:val="17"/>
      <w:szCs w:val="17"/>
    </w:rPr>
  </w:style>
  <w:style w:type="paragraph" w:customStyle="1" w:styleId="5b">
    <w:name w:val="Основной текст (5)"/>
    <w:basedOn w:val="a"/>
    <w:link w:val="5a"/>
    <w:rsid w:val="00E95682"/>
    <w:pPr>
      <w:widowControl w:val="0"/>
      <w:spacing w:after="0" w:line="202" w:lineRule="auto"/>
    </w:pPr>
    <w:rPr>
      <w:rFonts w:ascii="Times New Roman" w:eastAsia="Times New Roman" w:hAnsi="Times New Roman"/>
      <w:sz w:val="17"/>
      <w:szCs w:val="17"/>
      <w:lang w:eastAsia="ru-RU"/>
    </w:rPr>
  </w:style>
  <w:style w:type="character" w:customStyle="1" w:styleId="86">
    <w:name w:val="Основной текст86"/>
    <w:basedOn w:val="aff0"/>
    <w:rsid w:val="000E52C6"/>
    <w:rPr>
      <w:rFonts w:ascii="Segoe UI" w:eastAsia="Segoe UI" w:hAnsi="Segoe UI" w:cs="Segoe UI"/>
      <w:b w:val="0"/>
      <w:bCs w:val="0"/>
      <w:i w:val="0"/>
      <w:iCs w:val="0"/>
      <w:smallCaps w:val="0"/>
      <w:strike w:val="0"/>
      <w:spacing w:val="0"/>
      <w:sz w:val="14"/>
      <w:szCs w:val="14"/>
      <w:shd w:val="clear" w:color="auto" w:fill="FFFFFF"/>
    </w:rPr>
  </w:style>
  <w:style w:type="character" w:customStyle="1" w:styleId="87">
    <w:name w:val="Основной текст87"/>
    <w:basedOn w:val="aff0"/>
    <w:rsid w:val="000E52C6"/>
    <w:rPr>
      <w:rFonts w:ascii="Segoe UI" w:eastAsia="Segoe UI" w:hAnsi="Segoe UI" w:cs="Segoe UI"/>
      <w:b w:val="0"/>
      <w:bCs w:val="0"/>
      <w:i w:val="0"/>
      <w:iCs w:val="0"/>
      <w:smallCaps w:val="0"/>
      <w:strike w:val="0"/>
      <w:spacing w:val="0"/>
      <w:sz w:val="14"/>
      <w:szCs w:val="14"/>
      <w:shd w:val="clear" w:color="auto" w:fill="FFFFFF"/>
    </w:rPr>
  </w:style>
  <w:style w:type="character" w:customStyle="1" w:styleId="88">
    <w:name w:val="Основной текст88"/>
    <w:basedOn w:val="aff0"/>
    <w:rsid w:val="000E52C6"/>
    <w:rPr>
      <w:rFonts w:ascii="Segoe UI" w:eastAsia="Segoe UI" w:hAnsi="Segoe UI" w:cs="Segoe UI"/>
      <w:b w:val="0"/>
      <w:bCs w:val="0"/>
      <w:i w:val="0"/>
      <w:iCs w:val="0"/>
      <w:smallCaps w:val="0"/>
      <w:strike w:val="0"/>
      <w:spacing w:val="0"/>
      <w:sz w:val="14"/>
      <w:szCs w:val="14"/>
      <w:u w:val="single"/>
      <w:shd w:val="clear" w:color="auto" w:fill="FFFFFF"/>
    </w:rPr>
  </w:style>
  <w:style w:type="paragraph" w:customStyle="1" w:styleId="116">
    <w:name w:val="Основной текст116"/>
    <w:basedOn w:val="a"/>
    <w:rsid w:val="000E52C6"/>
    <w:pPr>
      <w:shd w:val="clear" w:color="auto" w:fill="FFFFFF"/>
      <w:spacing w:after="600" w:line="0" w:lineRule="atLeast"/>
      <w:ind w:hanging="360"/>
    </w:pPr>
    <w:rPr>
      <w:rFonts w:ascii="Franklin Gothic Book" w:eastAsia="Franklin Gothic Book" w:hAnsi="Franklin Gothic Book" w:cs="Franklin Gothic Book"/>
      <w:color w:val="000000"/>
      <w:sz w:val="15"/>
      <w:szCs w:val="15"/>
      <w:lang w:val="ru" w:eastAsia="ru-RU"/>
    </w:rPr>
  </w:style>
  <w:style w:type="paragraph" w:customStyle="1" w:styleId="190">
    <w:name w:val="Основной текст19"/>
    <w:basedOn w:val="a"/>
    <w:rsid w:val="00CC65A3"/>
    <w:pPr>
      <w:shd w:val="clear" w:color="auto" w:fill="FFFFFF"/>
      <w:spacing w:before="120" w:after="1140" w:line="0" w:lineRule="atLeast"/>
    </w:pPr>
    <w:rPr>
      <w:rFonts w:ascii="Segoe UI" w:eastAsia="Segoe UI" w:hAnsi="Segoe UI" w:cs="Segoe UI"/>
      <w:color w:val="000000"/>
      <w:sz w:val="14"/>
      <w:szCs w:val="14"/>
      <w:lang w:val="ru" w:eastAsia="ru-RU"/>
    </w:rPr>
  </w:style>
  <w:style w:type="character" w:customStyle="1" w:styleId="ArialNarrow345pt">
    <w:name w:val="Основной текст + Arial Narrow;34;5 pt;Полужирный"/>
    <w:basedOn w:val="aff0"/>
    <w:rsid w:val="00CC65A3"/>
    <w:rPr>
      <w:rFonts w:ascii="Arial Narrow" w:eastAsia="Arial Narrow" w:hAnsi="Arial Narrow" w:cs="Arial Narrow"/>
      <w:b/>
      <w:bCs/>
      <w:i w:val="0"/>
      <w:iCs w:val="0"/>
      <w:smallCaps w:val="0"/>
      <w:strike w:val="0"/>
      <w:spacing w:val="0"/>
      <w:w w:val="100"/>
      <w:sz w:val="69"/>
      <w:szCs w:val="69"/>
      <w:shd w:val="clear" w:color="auto" w:fill="FFFFFF"/>
    </w:rPr>
  </w:style>
  <w:style w:type="paragraph" w:customStyle="1" w:styleId="style3">
    <w:name w:val="style3"/>
    <w:basedOn w:val="a"/>
    <w:rsid w:val="00CC65A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ffd">
    <w:name w:val="Другое_"/>
    <w:basedOn w:val="a0"/>
    <w:link w:val="affe"/>
    <w:rsid w:val="00EB31F4"/>
    <w:rPr>
      <w:rFonts w:ascii="Arial" w:eastAsia="Arial" w:hAnsi="Arial" w:cs="Arial"/>
      <w:sz w:val="17"/>
      <w:szCs w:val="17"/>
    </w:rPr>
  </w:style>
  <w:style w:type="paragraph" w:customStyle="1" w:styleId="affe">
    <w:name w:val="Другое"/>
    <w:basedOn w:val="a"/>
    <w:link w:val="affd"/>
    <w:rsid w:val="00EB31F4"/>
    <w:pPr>
      <w:widowControl w:val="0"/>
      <w:spacing w:after="0" w:line="240" w:lineRule="auto"/>
      <w:ind w:firstLine="180"/>
    </w:pPr>
    <w:rPr>
      <w:rFonts w:ascii="Arial" w:eastAsia="Arial" w:hAnsi="Arial" w:cs="Arial"/>
      <w:sz w:val="17"/>
      <w:szCs w:val="17"/>
      <w:lang w:eastAsia="ru-RU"/>
    </w:rPr>
  </w:style>
  <w:style w:type="character" w:customStyle="1" w:styleId="aff4">
    <w:name w:val="Сноска_"/>
    <w:basedOn w:val="a0"/>
    <w:link w:val="aff3"/>
    <w:rsid w:val="00AE1636"/>
    <w:rPr>
      <w:rFonts w:ascii="Lucida Sans Unicode" w:hAnsi="Lucida Sans Unicode" w:cs="Lucida Sans Unicode"/>
      <w:i/>
      <w:iCs/>
      <w:noProof/>
      <w:sz w:val="13"/>
      <w:szCs w:val="13"/>
      <w:shd w:val="clear" w:color="auto" w:fill="FFFFFF"/>
      <w:lang w:val="en-US" w:eastAsia="en-US"/>
    </w:rPr>
  </w:style>
  <w:style w:type="paragraph" w:customStyle="1" w:styleId="17">
    <w:name w:val="Основной текст17"/>
    <w:basedOn w:val="a"/>
    <w:link w:val="aff0"/>
    <w:rsid w:val="00AE1636"/>
    <w:pPr>
      <w:shd w:val="clear" w:color="auto" w:fill="FFFFFF"/>
      <w:spacing w:before="300" w:after="0" w:line="197" w:lineRule="exact"/>
      <w:ind w:hanging="640"/>
    </w:pPr>
    <w:rPr>
      <w:rFonts w:ascii="Microsoft Sans Serif" w:hAnsi="Microsoft Sans Serif" w:cs="Microsoft Sans Serif"/>
      <w:spacing w:val="-10"/>
      <w:sz w:val="29"/>
      <w:szCs w:val="29"/>
      <w:lang w:eastAsia="ru-RU"/>
    </w:rPr>
  </w:style>
  <w:style w:type="character" w:customStyle="1" w:styleId="affa">
    <w:name w:val="Подпись к картинке_"/>
    <w:basedOn w:val="a0"/>
    <w:link w:val="aff9"/>
    <w:rsid w:val="00A145D0"/>
    <w:rPr>
      <w:rFonts w:ascii="MS Reference Sans Serif" w:hAnsi="MS Reference Sans Serif" w:cs="MS Reference Sans Serif"/>
      <w:b/>
      <w:bCs/>
      <w:sz w:val="13"/>
      <w:szCs w:val="13"/>
      <w:shd w:val="clear" w:color="auto" w:fill="FFFFFF"/>
      <w:lang w:eastAsia="en-US"/>
    </w:rPr>
  </w:style>
  <w:style w:type="paragraph" w:customStyle="1" w:styleId="Cite0">
    <w:name w:val="Cite"/>
    <w:next w:val="a"/>
    <w:uiPriority w:val="99"/>
    <w:rsid w:val="00D70EBF"/>
    <w:pPr>
      <w:widowControl w:val="0"/>
      <w:autoSpaceDE w:val="0"/>
      <w:autoSpaceDN w:val="0"/>
      <w:adjustRightInd w:val="0"/>
      <w:ind w:left="1134" w:right="600"/>
      <w:jc w:val="both"/>
    </w:pPr>
    <w:rPr>
      <w:rFonts w:ascii="Times New Roman" w:eastAsiaTheme="minorEastAsia" w:hAnsi="Times New Roman"/>
      <w:sz w:val="22"/>
      <w:szCs w:val="22"/>
    </w:rPr>
  </w:style>
  <w:style w:type="character" w:customStyle="1" w:styleId="2f">
    <w:name w:val="Колонтитул (2)_"/>
    <w:basedOn w:val="a0"/>
    <w:link w:val="2f0"/>
    <w:rsid w:val="001E2DBB"/>
    <w:rPr>
      <w:rFonts w:ascii="Times New Roman" w:eastAsia="Times New Roman" w:hAnsi="Times New Roman"/>
    </w:rPr>
  </w:style>
  <w:style w:type="paragraph" w:customStyle="1" w:styleId="2f0">
    <w:name w:val="Колонтитул (2)"/>
    <w:basedOn w:val="a"/>
    <w:link w:val="2f"/>
    <w:rsid w:val="001E2DBB"/>
    <w:pPr>
      <w:widowControl w:val="0"/>
      <w:spacing w:after="0" w:line="240" w:lineRule="auto"/>
    </w:pPr>
    <w:rPr>
      <w:rFonts w:ascii="Times New Roman" w:eastAsia="Times New Roman" w:hAnsi="Times New Roman"/>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6994624">
      <w:bodyDiv w:val="1"/>
      <w:marLeft w:val="0"/>
      <w:marRight w:val="0"/>
      <w:marTop w:val="0"/>
      <w:marBottom w:val="0"/>
      <w:divBdr>
        <w:top w:val="none" w:sz="0" w:space="0" w:color="auto"/>
        <w:left w:val="none" w:sz="0" w:space="0" w:color="auto"/>
        <w:bottom w:val="none" w:sz="0" w:space="0" w:color="auto"/>
        <w:right w:val="none" w:sz="0" w:space="0" w:color="auto"/>
      </w:divBdr>
      <w:divsChild>
        <w:div w:id="1626160876">
          <w:marLeft w:val="0"/>
          <w:marRight w:val="0"/>
          <w:marTop w:val="0"/>
          <w:marBottom w:val="0"/>
          <w:divBdr>
            <w:top w:val="none" w:sz="0" w:space="0" w:color="auto"/>
            <w:left w:val="none" w:sz="0" w:space="0" w:color="auto"/>
            <w:bottom w:val="none" w:sz="0" w:space="0" w:color="auto"/>
            <w:right w:val="none" w:sz="0" w:space="0" w:color="auto"/>
          </w:divBdr>
          <w:divsChild>
            <w:div w:id="1415397493">
              <w:marLeft w:val="0"/>
              <w:marRight w:val="0"/>
              <w:marTop w:val="0"/>
              <w:marBottom w:val="0"/>
              <w:divBdr>
                <w:top w:val="none" w:sz="0" w:space="0" w:color="auto"/>
                <w:left w:val="none" w:sz="0" w:space="0" w:color="auto"/>
                <w:bottom w:val="none" w:sz="0" w:space="0" w:color="auto"/>
                <w:right w:val="none" w:sz="0" w:space="0" w:color="auto"/>
              </w:divBdr>
              <w:divsChild>
                <w:div w:id="1700742838">
                  <w:marLeft w:val="0"/>
                  <w:marRight w:val="0"/>
                  <w:marTop w:val="0"/>
                  <w:marBottom w:val="0"/>
                  <w:divBdr>
                    <w:top w:val="none" w:sz="0" w:space="0" w:color="auto"/>
                    <w:left w:val="none" w:sz="0" w:space="0" w:color="auto"/>
                    <w:bottom w:val="none" w:sz="0" w:space="0" w:color="auto"/>
                    <w:right w:val="none" w:sz="0" w:space="0" w:color="auto"/>
                  </w:divBdr>
                  <w:divsChild>
                    <w:div w:id="892279736">
                      <w:marLeft w:val="0"/>
                      <w:marRight w:val="0"/>
                      <w:marTop w:val="0"/>
                      <w:marBottom w:val="0"/>
                      <w:divBdr>
                        <w:top w:val="none" w:sz="0" w:space="0" w:color="auto"/>
                        <w:left w:val="none" w:sz="0" w:space="0" w:color="auto"/>
                        <w:bottom w:val="none" w:sz="0" w:space="0" w:color="auto"/>
                        <w:right w:val="none" w:sz="0" w:space="0" w:color="auto"/>
                      </w:divBdr>
                      <w:divsChild>
                        <w:div w:id="582373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2326860">
      <w:bodyDiv w:val="1"/>
      <w:marLeft w:val="0"/>
      <w:marRight w:val="0"/>
      <w:marTop w:val="0"/>
      <w:marBottom w:val="0"/>
      <w:divBdr>
        <w:top w:val="none" w:sz="0" w:space="0" w:color="auto"/>
        <w:left w:val="none" w:sz="0" w:space="0" w:color="auto"/>
        <w:bottom w:val="none" w:sz="0" w:space="0" w:color="auto"/>
        <w:right w:val="none" w:sz="0" w:space="0" w:color="auto"/>
      </w:divBdr>
      <w:divsChild>
        <w:div w:id="935283187">
          <w:marLeft w:val="0"/>
          <w:marRight w:val="0"/>
          <w:marTop w:val="0"/>
          <w:marBottom w:val="0"/>
          <w:divBdr>
            <w:top w:val="none" w:sz="0" w:space="0" w:color="auto"/>
            <w:left w:val="none" w:sz="0" w:space="0" w:color="auto"/>
            <w:bottom w:val="none" w:sz="0" w:space="0" w:color="auto"/>
            <w:right w:val="none" w:sz="0" w:space="0" w:color="auto"/>
          </w:divBdr>
          <w:divsChild>
            <w:div w:id="944732096">
              <w:marLeft w:val="0"/>
              <w:marRight w:val="0"/>
              <w:marTop w:val="0"/>
              <w:marBottom w:val="0"/>
              <w:divBdr>
                <w:top w:val="none" w:sz="0" w:space="0" w:color="auto"/>
                <w:left w:val="none" w:sz="0" w:space="0" w:color="auto"/>
                <w:bottom w:val="none" w:sz="0" w:space="0" w:color="auto"/>
                <w:right w:val="none" w:sz="0" w:space="0" w:color="auto"/>
              </w:divBdr>
              <w:divsChild>
                <w:div w:id="231626396">
                  <w:marLeft w:val="0"/>
                  <w:marRight w:val="0"/>
                  <w:marTop w:val="0"/>
                  <w:marBottom w:val="0"/>
                  <w:divBdr>
                    <w:top w:val="none" w:sz="0" w:space="0" w:color="auto"/>
                    <w:left w:val="none" w:sz="0" w:space="0" w:color="auto"/>
                    <w:bottom w:val="none" w:sz="0" w:space="0" w:color="auto"/>
                    <w:right w:val="none" w:sz="0" w:space="0" w:color="auto"/>
                  </w:divBdr>
                  <w:divsChild>
                    <w:div w:id="1121075755">
                      <w:marLeft w:val="0"/>
                      <w:marRight w:val="0"/>
                      <w:marTop w:val="0"/>
                      <w:marBottom w:val="0"/>
                      <w:divBdr>
                        <w:top w:val="none" w:sz="0" w:space="0" w:color="auto"/>
                        <w:left w:val="none" w:sz="0" w:space="0" w:color="auto"/>
                        <w:bottom w:val="none" w:sz="0" w:space="0" w:color="auto"/>
                        <w:right w:val="none" w:sz="0" w:space="0" w:color="auto"/>
                      </w:divBdr>
                      <w:divsChild>
                        <w:div w:id="883756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64348091">
      <w:bodyDiv w:val="1"/>
      <w:marLeft w:val="0"/>
      <w:marRight w:val="0"/>
      <w:marTop w:val="0"/>
      <w:marBottom w:val="0"/>
      <w:divBdr>
        <w:top w:val="none" w:sz="0" w:space="0" w:color="auto"/>
        <w:left w:val="none" w:sz="0" w:space="0" w:color="auto"/>
        <w:bottom w:val="none" w:sz="0" w:space="0" w:color="auto"/>
        <w:right w:val="none" w:sz="0" w:space="0" w:color="auto"/>
      </w:divBdr>
      <w:divsChild>
        <w:div w:id="796682148">
          <w:marLeft w:val="0"/>
          <w:marRight w:val="0"/>
          <w:marTop w:val="0"/>
          <w:marBottom w:val="0"/>
          <w:divBdr>
            <w:top w:val="none" w:sz="0" w:space="0" w:color="auto"/>
            <w:left w:val="none" w:sz="0" w:space="0" w:color="auto"/>
            <w:bottom w:val="none" w:sz="0" w:space="0" w:color="auto"/>
            <w:right w:val="none" w:sz="0" w:space="0" w:color="auto"/>
          </w:divBdr>
          <w:divsChild>
            <w:div w:id="601454528">
              <w:marLeft w:val="0"/>
              <w:marRight w:val="0"/>
              <w:marTop w:val="0"/>
              <w:marBottom w:val="0"/>
              <w:divBdr>
                <w:top w:val="none" w:sz="0" w:space="0" w:color="auto"/>
                <w:left w:val="none" w:sz="0" w:space="0" w:color="auto"/>
                <w:bottom w:val="none" w:sz="0" w:space="0" w:color="auto"/>
                <w:right w:val="none" w:sz="0" w:space="0" w:color="auto"/>
              </w:divBdr>
              <w:divsChild>
                <w:div w:id="169294816">
                  <w:marLeft w:val="0"/>
                  <w:marRight w:val="0"/>
                  <w:marTop w:val="0"/>
                  <w:marBottom w:val="0"/>
                  <w:divBdr>
                    <w:top w:val="none" w:sz="0" w:space="0" w:color="auto"/>
                    <w:left w:val="none" w:sz="0" w:space="0" w:color="auto"/>
                    <w:bottom w:val="none" w:sz="0" w:space="0" w:color="auto"/>
                    <w:right w:val="none" w:sz="0" w:space="0" w:color="auto"/>
                  </w:divBdr>
                  <w:divsChild>
                    <w:div w:id="1783332766">
                      <w:marLeft w:val="0"/>
                      <w:marRight w:val="0"/>
                      <w:marTop w:val="0"/>
                      <w:marBottom w:val="0"/>
                      <w:divBdr>
                        <w:top w:val="none" w:sz="0" w:space="0" w:color="auto"/>
                        <w:left w:val="none" w:sz="0" w:space="0" w:color="auto"/>
                        <w:bottom w:val="none" w:sz="0" w:space="0" w:color="auto"/>
                        <w:right w:val="none" w:sz="0" w:space="0" w:color="auto"/>
                      </w:divBdr>
                      <w:divsChild>
                        <w:div w:id="553543787">
                          <w:marLeft w:val="0"/>
                          <w:marRight w:val="0"/>
                          <w:marTop w:val="0"/>
                          <w:marBottom w:val="0"/>
                          <w:divBdr>
                            <w:top w:val="none" w:sz="0" w:space="0" w:color="auto"/>
                            <w:left w:val="none" w:sz="0" w:space="0" w:color="auto"/>
                            <w:bottom w:val="none" w:sz="0" w:space="0" w:color="auto"/>
                            <w:right w:val="none" w:sz="0" w:space="0" w:color="auto"/>
                          </w:divBdr>
                          <w:divsChild>
                            <w:div w:id="2038459941">
                              <w:marLeft w:val="0"/>
                              <w:marRight w:val="0"/>
                              <w:marTop w:val="0"/>
                              <w:marBottom w:val="0"/>
                              <w:divBdr>
                                <w:top w:val="none" w:sz="0" w:space="0" w:color="auto"/>
                                <w:left w:val="none" w:sz="0" w:space="0" w:color="auto"/>
                                <w:bottom w:val="none" w:sz="0" w:space="0" w:color="auto"/>
                                <w:right w:val="none" w:sz="0" w:space="0" w:color="auto"/>
                              </w:divBdr>
                              <w:divsChild>
                                <w:div w:id="2000884390">
                                  <w:marLeft w:val="0"/>
                                  <w:marRight w:val="0"/>
                                  <w:marTop w:val="0"/>
                                  <w:marBottom w:val="0"/>
                                  <w:divBdr>
                                    <w:top w:val="none" w:sz="0" w:space="0" w:color="auto"/>
                                    <w:left w:val="none" w:sz="0" w:space="0" w:color="auto"/>
                                    <w:bottom w:val="none" w:sz="0" w:space="0" w:color="auto"/>
                                    <w:right w:val="none" w:sz="0" w:space="0" w:color="auto"/>
                                  </w:divBdr>
                                  <w:divsChild>
                                    <w:div w:id="75904901">
                                      <w:marLeft w:val="0"/>
                                      <w:marRight w:val="0"/>
                                      <w:marTop w:val="0"/>
                                      <w:marBottom w:val="0"/>
                                      <w:divBdr>
                                        <w:top w:val="none" w:sz="0" w:space="0" w:color="auto"/>
                                        <w:left w:val="none" w:sz="0" w:space="0" w:color="auto"/>
                                        <w:bottom w:val="none" w:sz="0" w:space="0" w:color="auto"/>
                                        <w:right w:val="none" w:sz="0" w:space="0" w:color="auto"/>
                                      </w:divBdr>
                                      <w:divsChild>
                                        <w:div w:id="1727952411">
                                          <w:marLeft w:val="0"/>
                                          <w:marRight w:val="0"/>
                                          <w:marTop w:val="0"/>
                                          <w:marBottom w:val="0"/>
                                          <w:divBdr>
                                            <w:top w:val="none" w:sz="0" w:space="0" w:color="auto"/>
                                            <w:left w:val="none" w:sz="0" w:space="0" w:color="auto"/>
                                            <w:bottom w:val="none" w:sz="0" w:space="0" w:color="auto"/>
                                            <w:right w:val="none" w:sz="0" w:space="0" w:color="auto"/>
                                          </w:divBdr>
                                          <w:divsChild>
                                            <w:div w:id="1715881331">
                                              <w:marLeft w:val="0"/>
                                              <w:marRight w:val="0"/>
                                              <w:marTop w:val="0"/>
                                              <w:marBottom w:val="0"/>
                                              <w:divBdr>
                                                <w:top w:val="none" w:sz="0" w:space="0" w:color="auto"/>
                                                <w:left w:val="none" w:sz="0" w:space="0" w:color="auto"/>
                                                <w:bottom w:val="none" w:sz="0" w:space="0" w:color="auto"/>
                                                <w:right w:val="none" w:sz="0" w:space="0" w:color="auto"/>
                                              </w:divBdr>
                                              <w:divsChild>
                                                <w:div w:id="651636755">
                                                  <w:marLeft w:val="0"/>
                                                  <w:marRight w:val="0"/>
                                                  <w:marTop w:val="0"/>
                                                  <w:marBottom w:val="0"/>
                                                  <w:divBdr>
                                                    <w:top w:val="none" w:sz="0" w:space="0" w:color="auto"/>
                                                    <w:left w:val="none" w:sz="0" w:space="0" w:color="auto"/>
                                                    <w:bottom w:val="none" w:sz="0" w:space="0" w:color="auto"/>
                                                    <w:right w:val="none" w:sz="0" w:space="0" w:color="auto"/>
                                                  </w:divBdr>
                                                  <w:divsChild>
                                                    <w:div w:id="303392713">
                                                      <w:marLeft w:val="0"/>
                                                      <w:marRight w:val="0"/>
                                                      <w:marTop w:val="0"/>
                                                      <w:marBottom w:val="0"/>
                                                      <w:divBdr>
                                                        <w:top w:val="none" w:sz="0" w:space="0" w:color="auto"/>
                                                        <w:left w:val="none" w:sz="0" w:space="0" w:color="auto"/>
                                                        <w:bottom w:val="none" w:sz="0" w:space="0" w:color="auto"/>
                                                        <w:right w:val="none" w:sz="0" w:space="0" w:color="auto"/>
                                                      </w:divBdr>
                                                      <w:divsChild>
                                                        <w:div w:id="249432224">
                                                          <w:marLeft w:val="0"/>
                                                          <w:marRight w:val="0"/>
                                                          <w:marTop w:val="0"/>
                                                          <w:marBottom w:val="0"/>
                                                          <w:divBdr>
                                                            <w:top w:val="none" w:sz="0" w:space="0" w:color="auto"/>
                                                            <w:left w:val="none" w:sz="0" w:space="0" w:color="auto"/>
                                                            <w:bottom w:val="none" w:sz="0" w:space="0" w:color="auto"/>
                                                            <w:right w:val="none" w:sz="0" w:space="0" w:color="auto"/>
                                                          </w:divBdr>
                                                          <w:divsChild>
                                                            <w:div w:id="1674455291">
                                                              <w:marLeft w:val="0"/>
                                                              <w:marRight w:val="0"/>
                                                              <w:marTop w:val="0"/>
                                                              <w:marBottom w:val="0"/>
                                                              <w:divBdr>
                                                                <w:top w:val="none" w:sz="0" w:space="0" w:color="auto"/>
                                                                <w:left w:val="none" w:sz="0" w:space="0" w:color="auto"/>
                                                                <w:bottom w:val="none" w:sz="0" w:space="0" w:color="auto"/>
                                                                <w:right w:val="none" w:sz="0" w:space="0" w:color="auto"/>
                                                              </w:divBdr>
                                                            </w:div>
                                                            <w:div w:id="1253851985">
                                                              <w:marLeft w:val="0"/>
                                                              <w:marRight w:val="0"/>
                                                              <w:marTop w:val="0"/>
                                                              <w:marBottom w:val="0"/>
                                                              <w:divBdr>
                                                                <w:top w:val="none" w:sz="0" w:space="0" w:color="auto"/>
                                                                <w:left w:val="none" w:sz="0" w:space="0" w:color="auto"/>
                                                                <w:bottom w:val="none" w:sz="0" w:space="0" w:color="auto"/>
                                                                <w:right w:val="none" w:sz="0" w:space="0" w:color="auto"/>
                                                              </w:divBdr>
                                                              <w:divsChild>
                                                                <w:div w:id="696661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7607053">
                                                          <w:marLeft w:val="0"/>
                                                          <w:marRight w:val="0"/>
                                                          <w:marTop w:val="0"/>
                                                          <w:marBottom w:val="0"/>
                                                          <w:divBdr>
                                                            <w:top w:val="none" w:sz="0" w:space="0" w:color="auto"/>
                                                            <w:left w:val="none" w:sz="0" w:space="0" w:color="auto"/>
                                                            <w:bottom w:val="none" w:sz="0" w:space="0" w:color="auto"/>
                                                            <w:right w:val="none" w:sz="0" w:space="0" w:color="auto"/>
                                                          </w:divBdr>
                                                          <w:divsChild>
                                                            <w:div w:id="1952319365">
                                                              <w:marLeft w:val="0"/>
                                                              <w:marRight w:val="0"/>
                                                              <w:marTop w:val="0"/>
                                                              <w:marBottom w:val="0"/>
                                                              <w:divBdr>
                                                                <w:top w:val="none" w:sz="0" w:space="0" w:color="auto"/>
                                                                <w:left w:val="none" w:sz="0" w:space="0" w:color="auto"/>
                                                                <w:bottom w:val="none" w:sz="0" w:space="0" w:color="auto"/>
                                                                <w:right w:val="none" w:sz="0" w:space="0" w:color="auto"/>
                                                              </w:divBdr>
                                                            </w:div>
                                                            <w:div w:id="434793221">
                                                              <w:marLeft w:val="0"/>
                                                              <w:marRight w:val="0"/>
                                                              <w:marTop w:val="0"/>
                                                              <w:marBottom w:val="0"/>
                                                              <w:divBdr>
                                                                <w:top w:val="none" w:sz="0" w:space="0" w:color="auto"/>
                                                                <w:left w:val="none" w:sz="0" w:space="0" w:color="auto"/>
                                                                <w:bottom w:val="none" w:sz="0" w:space="0" w:color="auto"/>
                                                                <w:right w:val="none" w:sz="0" w:space="0" w:color="auto"/>
                                                              </w:divBdr>
                                                              <w:divsChild>
                                                                <w:div w:id="240877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5106357">
                                                          <w:marLeft w:val="0"/>
                                                          <w:marRight w:val="0"/>
                                                          <w:marTop w:val="0"/>
                                                          <w:marBottom w:val="0"/>
                                                          <w:divBdr>
                                                            <w:top w:val="none" w:sz="0" w:space="0" w:color="auto"/>
                                                            <w:left w:val="none" w:sz="0" w:space="0" w:color="auto"/>
                                                            <w:bottom w:val="none" w:sz="0" w:space="0" w:color="auto"/>
                                                            <w:right w:val="none" w:sz="0" w:space="0" w:color="auto"/>
                                                          </w:divBdr>
                                                          <w:divsChild>
                                                            <w:div w:id="2033992713">
                                                              <w:marLeft w:val="0"/>
                                                              <w:marRight w:val="0"/>
                                                              <w:marTop w:val="0"/>
                                                              <w:marBottom w:val="0"/>
                                                              <w:divBdr>
                                                                <w:top w:val="none" w:sz="0" w:space="0" w:color="auto"/>
                                                                <w:left w:val="none" w:sz="0" w:space="0" w:color="auto"/>
                                                                <w:bottom w:val="none" w:sz="0" w:space="0" w:color="auto"/>
                                                                <w:right w:val="none" w:sz="0" w:space="0" w:color="auto"/>
                                                              </w:divBdr>
                                                            </w:div>
                                                            <w:div w:id="2014646401">
                                                              <w:marLeft w:val="0"/>
                                                              <w:marRight w:val="0"/>
                                                              <w:marTop w:val="0"/>
                                                              <w:marBottom w:val="0"/>
                                                              <w:divBdr>
                                                                <w:top w:val="none" w:sz="0" w:space="0" w:color="auto"/>
                                                                <w:left w:val="none" w:sz="0" w:space="0" w:color="auto"/>
                                                                <w:bottom w:val="none" w:sz="0" w:space="0" w:color="auto"/>
                                                                <w:right w:val="none" w:sz="0" w:space="0" w:color="auto"/>
                                                              </w:divBdr>
                                                              <w:divsChild>
                                                                <w:div w:id="553736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6334637">
                                                          <w:marLeft w:val="0"/>
                                                          <w:marRight w:val="0"/>
                                                          <w:marTop w:val="0"/>
                                                          <w:marBottom w:val="0"/>
                                                          <w:divBdr>
                                                            <w:top w:val="none" w:sz="0" w:space="0" w:color="auto"/>
                                                            <w:left w:val="none" w:sz="0" w:space="0" w:color="auto"/>
                                                            <w:bottom w:val="none" w:sz="0" w:space="0" w:color="auto"/>
                                                            <w:right w:val="none" w:sz="0" w:space="0" w:color="auto"/>
                                                          </w:divBdr>
                                                          <w:divsChild>
                                                            <w:div w:id="794835153">
                                                              <w:marLeft w:val="0"/>
                                                              <w:marRight w:val="0"/>
                                                              <w:marTop w:val="0"/>
                                                              <w:marBottom w:val="0"/>
                                                              <w:divBdr>
                                                                <w:top w:val="none" w:sz="0" w:space="0" w:color="auto"/>
                                                                <w:left w:val="none" w:sz="0" w:space="0" w:color="auto"/>
                                                                <w:bottom w:val="none" w:sz="0" w:space="0" w:color="auto"/>
                                                                <w:right w:val="none" w:sz="0" w:space="0" w:color="auto"/>
                                                              </w:divBdr>
                                                            </w:div>
                                                            <w:div w:id="2121414856">
                                                              <w:marLeft w:val="0"/>
                                                              <w:marRight w:val="0"/>
                                                              <w:marTop w:val="0"/>
                                                              <w:marBottom w:val="0"/>
                                                              <w:divBdr>
                                                                <w:top w:val="none" w:sz="0" w:space="0" w:color="auto"/>
                                                                <w:left w:val="none" w:sz="0" w:space="0" w:color="auto"/>
                                                                <w:bottom w:val="none" w:sz="0" w:space="0" w:color="auto"/>
                                                                <w:right w:val="none" w:sz="0" w:space="0" w:color="auto"/>
                                                              </w:divBdr>
                                                              <w:divsChild>
                                                                <w:div w:id="1027755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9558434">
                                                          <w:marLeft w:val="0"/>
                                                          <w:marRight w:val="0"/>
                                                          <w:marTop w:val="0"/>
                                                          <w:marBottom w:val="0"/>
                                                          <w:divBdr>
                                                            <w:top w:val="none" w:sz="0" w:space="0" w:color="auto"/>
                                                            <w:left w:val="none" w:sz="0" w:space="0" w:color="auto"/>
                                                            <w:bottom w:val="none" w:sz="0" w:space="0" w:color="auto"/>
                                                            <w:right w:val="none" w:sz="0" w:space="0" w:color="auto"/>
                                                          </w:divBdr>
                                                          <w:divsChild>
                                                            <w:div w:id="797917571">
                                                              <w:marLeft w:val="0"/>
                                                              <w:marRight w:val="0"/>
                                                              <w:marTop w:val="0"/>
                                                              <w:marBottom w:val="0"/>
                                                              <w:divBdr>
                                                                <w:top w:val="none" w:sz="0" w:space="0" w:color="auto"/>
                                                                <w:left w:val="none" w:sz="0" w:space="0" w:color="auto"/>
                                                                <w:bottom w:val="none" w:sz="0" w:space="0" w:color="auto"/>
                                                                <w:right w:val="none" w:sz="0" w:space="0" w:color="auto"/>
                                                              </w:divBdr>
                                                            </w:div>
                                                            <w:div w:id="1060401881">
                                                              <w:marLeft w:val="0"/>
                                                              <w:marRight w:val="0"/>
                                                              <w:marTop w:val="0"/>
                                                              <w:marBottom w:val="0"/>
                                                              <w:divBdr>
                                                                <w:top w:val="none" w:sz="0" w:space="0" w:color="auto"/>
                                                                <w:left w:val="none" w:sz="0" w:space="0" w:color="auto"/>
                                                                <w:bottom w:val="none" w:sz="0" w:space="0" w:color="auto"/>
                                                                <w:right w:val="none" w:sz="0" w:space="0" w:color="auto"/>
                                                              </w:divBdr>
                                                              <w:divsChild>
                                                                <w:div w:id="1321616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2669305">
                                                          <w:marLeft w:val="0"/>
                                                          <w:marRight w:val="0"/>
                                                          <w:marTop w:val="0"/>
                                                          <w:marBottom w:val="0"/>
                                                          <w:divBdr>
                                                            <w:top w:val="none" w:sz="0" w:space="0" w:color="auto"/>
                                                            <w:left w:val="none" w:sz="0" w:space="0" w:color="auto"/>
                                                            <w:bottom w:val="none" w:sz="0" w:space="0" w:color="auto"/>
                                                            <w:right w:val="none" w:sz="0" w:space="0" w:color="auto"/>
                                                          </w:divBdr>
                                                          <w:divsChild>
                                                            <w:div w:id="725224979">
                                                              <w:marLeft w:val="0"/>
                                                              <w:marRight w:val="0"/>
                                                              <w:marTop w:val="0"/>
                                                              <w:marBottom w:val="0"/>
                                                              <w:divBdr>
                                                                <w:top w:val="none" w:sz="0" w:space="0" w:color="auto"/>
                                                                <w:left w:val="none" w:sz="0" w:space="0" w:color="auto"/>
                                                                <w:bottom w:val="none" w:sz="0" w:space="0" w:color="auto"/>
                                                                <w:right w:val="none" w:sz="0" w:space="0" w:color="auto"/>
                                                              </w:divBdr>
                                                            </w:div>
                                                            <w:div w:id="1750077336">
                                                              <w:marLeft w:val="0"/>
                                                              <w:marRight w:val="0"/>
                                                              <w:marTop w:val="0"/>
                                                              <w:marBottom w:val="0"/>
                                                              <w:divBdr>
                                                                <w:top w:val="none" w:sz="0" w:space="0" w:color="auto"/>
                                                                <w:left w:val="none" w:sz="0" w:space="0" w:color="auto"/>
                                                                <w:bottom w:val="none" w:sz="0" w:space="0" w:color="auto"/>
                                                                <w:right w:val="none" w:sz="0" w:space="0" w:color="auto"/>
                                                              </w:divBdr>
                                                              <w:divsChild>
                                                                <w:div w:id="1897467508">
                                                                  <w:marLeft w:val="0"/>
                                                                  <w:marRight w:val="0"/>
                                                                  <w:marTop w:val="0"/>
                                                                  <w:marBottom w:val="0"/>
                                                                  <w:divBdr>
                                                                    <w:top w:val="none" w:sz="0" w:space="0" w:color="auto"/>
                                                                    <w:left w:val="none" w:sz="0" w:space="0" w:color="auto"/>
                                                                    <w:bottom w:val="none" w:sz="0" w:space="0" w:color="auto"/>
                                                                    <w:right w:val="none" w:sz="0" w:space="0" w:color="auto"/>
                                                                  </w:divBdr>
                                                                </w:div>
                                                                <w:div w:id="2132824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1574453">
                                                          <w:marLeft w:val="0"/>
                                                          <w:marRight w:val="0"/>
                                                          <w:marTop w:val="0"/>
                                                          <w:marBottom w:val="0"/>
                                                          <w:divBdr>
                                                            <w:top w:val="none" w:sz="0" w:space="0" w:color="auto"/>
                                                            <w:left w:val="none" w:sz="0" w:space="0" w:color="auto"/>
                                                            <w:bottom w:val="none" w:sz="0" w:space="0" w:color="auto"/>
                                                            <w:right w:val="none" w:sz="0" w:space="0" w:color="auto"/>
                                                          </w:divBdr>
                                                          <w:divsChild>
                                                            <w:div w:id="864489243">
                                                              <w:marLeft w:val="0"/>
                                                              <w:marRight w:val="0"/>
                                                              <w:marTop w:val="0"/>
                                                              <w:marBottom w:val="0"/>
                                                              <w:divBdr>
                                                                <w:top w:val="none" w:sz="0" w:space="0" w:color="auto"/>
                                                                <w:left w:val="none" w:sz="0" w:space="0" w:color="auto"/>
                                                                <w:bottom w:val="none" w:sz="0" w:space="0" w:color="auto"/>
                                                                <w:right w:val="none" w:sz="0" w:space="0" w:color="auto"/>
                                                              </w:divBdr>
                                                            </w:div>
                                                            <w:div w:id="1920014866">
                                                              <w:marLeft w:val="0"/>
                                                              <w:marRight w:val="0"/>
                                                              <w:marTop w:val="0"/>
                                                              <w:marBottom w:val="0"/>
                                                              <w:divBdr>
                                                                <w:top w:val="none" w:sz="0" w:space="0" w:color="auto"/>
                                                                <w:left w:val="none" w:sz="0" w:space="0" w:color="auto"/>
                                                                <w:bottom w:val="none" w:sz="0" w:space="0" w:color="auto"/>
                                                                <w:right w:val="none" w:sz="0" w:space="0" w:color="auto"/>
                                                              </w:divBdr>
                                                              <w:divsChild>
                                                                <w:div w:id="355541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9500959">
                                                          <w:marLeft w:val="0"/>
                                                          <w:marRight w:val="0"/>
                                                          <w:marTop w:val="0"/>
                                                          <w:marBottom w:val="0"/>
                                                          <w:divBdr>
                                                            <w:top w:val="none" w:sz="0" w:space="0" w:color="auto"/>
                                                            <w:left w:val="none" w:sz="0" w:space="0" w:color="auto"/>
                                                            <w:bottom w:val="none" w:sz="0" w:space="0" w:color="auto"/>
                                                            <w:right w:val="none" w:sz="0" w:space="0" w:color="auto"/>
                                                          </w:divBdr>
                                                          <w:divsChild>
                                                            <w:div w:id="300693031">
                                                              <w:marLeft w:val="0"/>
                                                              <w:marRight w:val="0"/>
                                                              <w:marTop w:val="0"/>
                                                              <w:marBottom w:val="0"/>
                                                              <w:divBdr>
                                                                <w:top w:val="none" w:sz="0" w:space="0" w:color="auto"/>
                                                                <w:left w:val="none" w:sz="0" w:space="0" w:color="auto"/>
                                                                <w:bottom w:val="none" w:sz="0" w:space="0" w:color="auto"/>
                                                                <w:right w:val="none" w:sz="0" w:space="0" w:color="auto"/>
                                                              </w:divBdr>
                                                            </w:div>
                                                            <w:div w:id="1159662622">
                                                              <w:marLeft w:val="0"/>
                                                              <w:marRight w:val="0"/>
                                                              <w:marTop w:val="0"/>
                                                              <w:marBottom w:val="0"/>
                                                              <w:divBdr>
                                                                <w:top w:val="none" w:sz="0" w:space="0" w:color="auto"/>
                                                                <w:left w:val="none" w:sz="0" w:space="0" w:color="auto"/>
                                                                <w:bottom w:val="none" w:sz="0" w:space="0" w:color="auto"/>
                                                                <w:right w:val="none" w:sz="0" w:space="0" w:color="auto"/>
                                                              </w:divBdr>
                                                              <w:divsChild>
                                                                <w:div w:id="558636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9842669">
                                                      <w:marLeft w:val="0"/>
                                                      <w:marRight w:val="0"/>
                                                      <w:marTop w:val="0"/>
                                                      <w:marBottom w:val="0"/>
                                                      <w:divBdr>
                                                        <w:top w:val="none" w:sz="0" w:space="0" w:color="auto"/>
                                                        <w:left w:val="none" w:sz="0" w:space="0" w:color="auto"/>
                                                        <w:bottom w:val="none" w:sz="0" w:space="0" w:color="auto"/>
                                                        <w:right w:val="none" w:sz="0" w:space="0" w:color="auto"/>
                                                      </w:divBdr>
                                                      <w:divsChild>
                                                        <w:div w:id="1264723196">
                                                          <w:marLeft w:val="0"/>
                                                          <w:marRight w:val="0"/>
                                                          <w:marTop w:val="0"/>
                                                          <w:marBottom w:val="0"/>
                                                          <w:divBdr>
                                                            <w:top w:val="none" w:sz="0" w:space="0" w:color="auto"/>
                                                            <w:left w:val="none" w:sz="0" w:space="0" w:color="auto"/>
                                                            <w:bottom w:val="none" w:sz="0" w:space="0" w:color="auto"/>
                                                            <w:right w:val="none" w:sz="0" w:space="0" w:color="auto"/>
                                                          </w:divBdr>
                                                          <w:divsChild>
                                                            <w:div w:id="881527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527644040">
      <w:bodyDiv w:val="1"/>
      <w:marLeft w:val="0"/>
      <w:marRight w:val="0"/>
      <w:marTop w:val="0"/>
      <w:marBottom w:val="0"/>
      <w:divBdr>
        <w:top w:val="none" w:sz="0" w:space="0" w:color="auto"/>
        <w:left w:val="none" w:sz="0" w:space="0" w:color="auto"/>
        <w:bottom w:val="none" w:sz="0" w:space="0" w:color="auto"/>
        <w:right w:val="none" w:sz="0" w:space="0" w:color="auto"/>
      </w:divBdr>
      <w:divsChild>
        <w:div w:id="1263610090">
          <w:marLeft w:val="0"/>
          <w:marRight w:val="0"/>
          <w:marTop w:val="0"/>
          <w:marBottom w:val="0"/>
          <w:divBdr>
            <w:top w:val="none" w:sz="0" w:space="0" w:color="auto"/>
            <w:left w:val="none" w:sz="0" w:space="0" w:color="auto"/>
            <w:bottom w:val="none" w:sz="0" w:space="0" w:color="auto"/>
            <w:right w:val="none" w:sz="0" w:space="0" w:color="auto"/>
          </w:divBdr>
          <w:divsChild>
            <w:div w:id="1159033746">
              <w:marLeft w:val="-225"/>
              <w:marRight w:val="-225"/>
              <w:marTop w:val="0"/>
              <w:marBottom w:val="0"/>
              <w:divBdr>
                <w:top w:val="none" w:sz="0" w:space="0" w:color="auto"/>
                <w:left w:val="none" w:sz="0" w:space="0" w:color="auto"/>
                <w:bottom w:val="none" w:sz="0" w:space="0" w:color="auto"/>
                <w:right w:val="none" w:sz="0" w:space="0" w:color="auto"/>
              </w:divBdr>
              <w:divsChild>
                <w:div w:id="1645625544">
                  <w:marLeft w:val="0"/>
                  <w:marRight w:val="0"/>
                  <w:marTop w:val="0"/>
                  <w:marBottom w:val="0"/>
                  <w:divBdr>
                    <w:top w:val="none" w:sz="0" w:space="0" w:color="auto"/>
                    <w:left w:val="none" w:sz="0" w:space="0" w:color="auto"/>
                    <w:bottom w:val="none" w:sz="0" w:space="0" w:color="auto"/>
                    <w:right w:val="none" w:sz="0" w:space="0" w:color="auto"/>
                  </w:divBdr>
                  <w:divsChild>
                    <w:div w:id="687144986">
                      <w:marLeft w:val="-225"/>
                      <w:marRight w:val="-225"/>
                      <w:marTop w:val="0"/>
                      <w:marBottom w:val="0"/>
                      <w:divBdr>
                        <w:top w:val="none" w:sz="0" w:space="0" w:color="auto"/>
                        <w:left w:val="none" w:sz="0" w:space="0" w:color="auto"/>
                        <w:bottom w:val="none" w:sz="0" w:space="0" w:color="auto"/>
                        <w:right w:val="none" w:sz="0" w:space="0" w:color="auto"/>
                      </w:divBdr>
                      <w:divsChild>
                        <w:div w:id="1407066882">
                          <w:marLeft w:val="0"/>
                          <w:marRight w:val="0"/>
                          <w:marTop w:val="0"/>
                          <w:marBottom w:val="0"/>
                          <w:divBdr>
                            <w:top w:val="none" w:sz="0" w:space="0" w:color="auto"/>
                            <w:left w:val="none" w:sz="0" w:space="0" w:color="auto"/>
                            <w:bottom w:val="none" w:sz="0" w:space="0" w:color="auto"/>
                            <w:right w:val="none" w:sz="0" w:space="0" w:color="auto"/>
                          </w:divBdr>
                          <w:divsChild>
                            <w:div w:id="242372896">
                              <w:marLeft w:val="0"/>
                              <w:marRight w:val="0"/>
                              <w:marTop w:val="0"/>
                              <w:marBottom w:val="0"/>
                              <w:divBdr>
                                <w:top w:val="none" w:sz="0" w:space="0" w:color="auto"/>
                                <w:left w:val="none" w:sz="0" w:space="0" w:color="auto"/>
                                <w:bottom w:val="none" w:sz="0" w:space="0" w:color="auto"/>
                                <w:right w:val="none" w:sz="0" w:space="0" w:color="auto"/>
                              </w:divBdr>
                              <w:divsChild>
                                <w:div w:id="1085879327">
                                  <w:marLeft w:val="-225"/>
                                  <w:marRight w:val="-225"/>
                                  <w:marTop w:val="0"/>
                                  <w:marBottom w:val="0"/>
                                  <w:divBdr>
                                    <w:top w:val="none" w:sz="0" w:space="0" w:color="auto"/>
                                    <w:left w:val="none" w:sz="0" w:space="0" w:color="auto"/>
                                    <w:bottom w:val="none" w:sz="0" w:space="0" w:color="auto"/>
                                    <w:right w:val="none" w:sz="0" w:space="0" w:color="auto"/>
                                  </w:divBdr>
                                  <w:divsChild>
                                    <w:div w:id="1906531089">
                                      <w:marLeft w:val="0"/>
                                      <w:marRight w:val="0"/>
                                      <w:marTop w:val="0"/>
                                      <w:marBottom w:val="0"/>
                                      <w:divBdr>
                                        <w:top w:val="none" w:sz="0" w:space="0" w:color="auto"/>
                                        <w:left w:val="none" w:sz="0" w:space="0" w:color="auto"/>
                                        <w:bottom w:val="none" w:sz="0" w:space="0" w:color="auto"/>
                                        <w:right w:val="none" w:sz="0" w:space="0" w:color="auto"/>
                                      </w:divBdr>
                                      <w:divsChild>
                                        <w:div w:id="1530415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87151789">
      <w:bodyDiv w:val="1"/>
      <w:marLeft w:val="0"/>
      <w:marRight w:val="0"/>
      <w:marTop w:val="0"/>
      <w:marBottom w:val="0"/>
      <w:divBdr>
        <w:top w:val="none" w:sz="0" w:space="0" w:color="auto"/>
        <w:left w:val="none" w:sz="0" w:space="0" w:color="auto"/>
        <w:bottom w:val="none" w:sz="0" w:space="0" w:color="auto"/>
        <w:right w:val="none" w:sz="0" w:space="0" w:color="auto"/>
      </w:divBdr>
      <w:divsChild>
        <w:div w:id="1567305305">
          <w:marLeft w:val="0"/>
          <w:marRight w:val="0"/>
          <w:marTop w:val="0"/>
          <w:marBottom w:val="0"/>
          <w:divBdr>
            <w:top w:val="none" w:sz="0" w:space="0" w:color="auto"/>
            <w:left w:val="none" w:sz="0" w:space="0" w:color="auto"/>
            <w:bottom w:val="none" w:sz="0" w:space="0" w:color="auto"/>
            <w:right w:val="none" w:sz="0" w:space="0" w:color="auto"/>
          </w:divBdr>
          <w:divsChild>
            <w:div w:id="241380361">
              <w:marLeft w:val="0"/>
              <w:marRight w:val="0"/>
              <w:marTop w:val="0"/>
              <w:marBottom w:val="0"/>
              <w:divBdr>
                <w:top w:val="none" w:sz="0" w:space="0" w:color="auto"/>
                <w:left w:val="none" w:sz="0" w:space="0" w:color="auto"/>
                <w:bottom w:val="none" w:sz="0" w:space="0" w:color="auto"/>
                <w:right w:val="none" w:sz="0" w:space="0" w:color="auto"/>
              </w:divBdr>
              <w:divsChild>
                <w:div w:id="1825927843">
                  <w:marLeft w:val="0"/>
                  <w:marRight w:val="0"/>
                  <w:marTop w:val="0"/>
                  <w:marBottom w:val="0"/>
                  <w:divBdr>
                    <w:top w:val="none" w:sz="0" w:space="0" w:color="auto"/>
                    <w:left w:val="none" w:sz="0" w:space="0" w:color="auto"/>
                    <w:bottom w:val="none" w:sz="0" w:space="0" w:color="auto"/>
                    <w:right w:val="none" w:sz="0" w:space="0" w:color="auto"/>
                  </w:divBdr>
                  <w:divsChild>
                    <w:div w:id="1340694397">
                      <w:marLeft w:val="0"/>
                      <w:marRight w:val="0"/>
                      <w:marTop w:val="0"/>
                      <w:marBottom w:val="0"/>
                      <w:divBdr>
                        <w:top w:val="none" w:sz="0" w:space="0" w:color="auto"/>
                        <w:left w:val="none" w:sz="0" w:space="0" w:color="auto"/>
                        <w:bottom w:val="none" w:sz="0" w:space="0" w:color="auto"/>
                        <w:right w:val="none" w:sz="0" w:space="0" w:color="auto"/>
                      </w:divBdr>
                      <w:divsChild>
                        <w:div w:id="1394624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28241912">
      <w:bodyDiv w:val="1"/>
      <w:marLeft w:val="0"/>
      <w:marRight w:val="0"/>
      <w:marTop w:val="0"/>
      <w:marBottom w:val="0"/>
      <w:divBdr>
        <w:top w:val="none" w:sz="0" w:space="0" w:color="auto"/>
        <w:left w:val="none" w:sz="0" w:space="0" w:color="auto"/>
        <w:bottom w:val="none" w:sz="0" w:space="0" w:color="auto"/>
        <w:right w:val="none" w:sz="0" w:space="0" w:color="auto"/>
      </w:divBdr>
      <w:divsChild>
        <w:div w:id="955212771">
          <w:marLeft w:val="0"/>
          <w:marRight w:val="0"/>
          <w:marTop w:val="0"/>
          <w:marBottom w:val="0"/>
          <w:divBdr>
            <w:top w:val="none" w:sz="0" w:space="0" w:color="auto"/>
            <w:left w:val="none" w:sz="0" w:space="0" w:color="auto"/>
            <w:bottom w:val="none" w:sz="0" w:space="0" w:color="auto"/>
            <w:right w:val="none" w:sz="0" w:space="0" w:color="auto"/>
          </w:divBdr>
          <w:divsChild>
            <w:div w:id="1090588718">
              <w:marLeft w:val="0"/>
              <w:marRight w:val="0"/>
              <w:marTop w:val="0"/>
              <w:marBottom w:val="0"/>
              <w:divBdr>
                <w:top w:val="none" w:sz="0" w:space="0" w:color="auto"/>
                <w:left w:val="none" w:sz="0" w:space="0" w:color="auto"/>
                <w:bottom w:val="none" w:sz="0" w:space="0" w:color="auto"/>
                <w:right w:val="none" w:sz="0" w:space="0" w:color="auto"/>
              </w:divBdr>
              <w:divsChild>
                <w:div w:id="1658144938">
                  <w:marLeft w:val="0"/>
                  <w:marRight w:val="0"/>
                  <w:marTop w:val="0"/>
                  <w:marBottom w:val="0"/>
                  <w:divBdr>
                    <w:top w:val="none" w:sz="0" w:space="0" w:color="auto"/>
                    <w:left w:val="none" w:sz="0" w:space="0" w:color="auto"/>
                    <w:bottom w:val="none" w:sz="0" w:space="0" w:color="auto"/>
                    <w:right w:val="none" w:sz="0" w:space="0" w:color="auto"/>
                  </w:divBdr>
                  <w:divsChild>
                    <w:div w:id="1816797589">
                      <w:marLeft w:val="0"/>
                      <w:marRight w:val="0"/>
                      <w:marTop w:val="0"/>
                      <w:marBottom w:val="0"/>
                      <w:divBdr>
                        <w:top w:val="none" w:sz="0" w:space="0" w:color="auto"/>
                        <w:left w:val="none" w:sz="0" w:space="0" w:color="auto"/>
                        <w:bottom w:val="none" w:sz="0" w:space="0" w:color="auto"/>
                        <w:right w:val="none" w:sz="0" w:space="0" w:color="auto"/>
                      </w:divBdr>
                      <w:divsChild>
                        <w:div w:id="987901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59580527">
      <w:bodyDiv w:val="1"/>
      <w:marLeft w:val="0"/>
      <w:marRight w:val="0"/>
      <w:marTop w:val="0"/>
      <w:marBottom w:val="0"/>
      <w:divBdr>
        <w:top w:val="none" w:sz="0" w:space="0" w:color="auto"/>
        <w:left w:val="none" w:sz="0" w:space="0" w:color="auto"/>
        <w:bottom w:val="none" w:sz="0" w:space="0" w:color="auto"/>
        <w:right w:val="none" w:sz="0" w:space="0" w:color="auto"/>
      </w:divBdr>
      <w:divsChild>
        <w:div w:id="596445159">
          <w:marLeft w:val="0"/>
          <w:marRight w:val="0"/>
          <w:marTop w:val="0"/>
          <w:marBottom w:val="0"/>
          <w:divBdr>
            <w:top w:val="none" w:sz="0" w:space="0" w:color="auto"/>
            <w:left w:val="none" w:sz="0" w:space="0" w:color="auto"/>
            <w:bottom w:val="none" w:sz="0" w:space="0" w:color="auto"/>
            <w:right w:val="none" w:sz="0" w:space="0" w:color="auto"/>
          </w:divBdr>
          <w:divsChild>
            <w:div w:id="1548488042">
              <w:marLeft w:val="0"/>
              <w:marRight w:val="0"/>
              <w:marTop w:val="0"/>
              <w:marBottom w:val="0"/>
              <w:divBdr>
                <w:top w:val="none" w:sz="0" w:space="0" w:color="auto"/>
                <w:left w:val="none" w:sz="0" w:space="0" w:color="auto"/>
                <w:bottom w:val="none" w:sz="0" w:space="0" w:color="auto"/>
                <w:right w:val="none" w:sz="0" w:space="0" w:color="auto"/>
              </w:divBdr>
              <w:divsChild>
                <w:div w:id="615253985">
                  <w:marLeft w:val="0"/>
                  <w:marRight w:val="0"/>
                  <w:marTop w:val="0"/>
                  <w:marBottom w:val="0"/>
                  <w:divBdr>
                    <w:top w:val="none" w:sz="0" w:space="0" w:color="auto"/>
                    <w:left w:val="none" w:sz="0" w:space="0" w:color="auto"/>
                    <w:bottom w:val="none" w:sz="0" w:space="0" w:color="auto"/>
                    <w:right w:val="none" w:sz="0" w:space="0" w:color="auto"/>
                  </w:divBdr>
                  <w:divsChild>
                    <w:div w:id="525682013">
                      <w:marLeft w:val="0"/>
                      <w:marRight w:val="0"/>
                      <w:marTop w:val="0"/>
                      <w:marBottom w:val="0"/>
                      <w:divBdr>
                        <w:top w:val="none" w:sz="0" w:space="0" w:color="auto"/>
                        <w:left w:val="none" w:sz="0" w:space="0" w:color="auto"/>
                        <w:bottom w:val="none" w:sz="0" w:space="0" w:color="auto"/>
                        <w:right w:val="none" w:sz="0" w:space="0" w:color="auto"/>
                      </w:divBdr>
                      <w:divsChild>
                        <w:div w:id="185799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92533461">
      <w:bodyDiv w:val="1"/>
      <w:marLeft w:val="0"/>
      <w:marRight w:val="0"/>
      <w:marTop w:val="0"/>
      <w:marBottom w:val="0"/>
      <w:divBdr>
        <w:top w:val="none" w:sz="0" w:space="0" w:color="auto"/>
        <w:left w:val="none" w:sz="0" w:space="0" w:color="auto"/>
        <w:bottom w:val="none" w:sz="0" w:space="0" w:color="auto"/>
        <w:right w:val="none" w:sz="0" w:space="0" w:color="auto"/>
      </w:divBdr>
      <w:divsChild>
        <w:div w:id="2140681674">
          <w:marLeft w:val="0"/>
          <w:marRight w:val="0"/>
          <w:marTop w:val="0"/>
          <w:marBottom w:val="0"/>
          <w:divBdr>
            <w:top w:val="none" w:sz="0" w:space="0" w:color="auto"/>
            <w:left w:val="none" w:sz="0" w:space="0" w:color="auto"/>
            <w:bottom w:val="none" w:sz="0" w:space="0" w:color="auto"/>
            <w:right w:val="none" w:sz="0" w:space="0" w:color="auto"/>
          </w:divBdr>
          <w:divsChild>
            <w:div w:id="382801221">
              <w:marLeft w:val="0"/>
              <w:marRight w:val="0"/>
              <w:marTop w:val="0"/>
              <w:marBottom w:val="0"/>
              <w:divBdr>
                <w:top w:val="none" w:sz="0" w:space="0" w:color="auto"/>
                <w:left w:val="none" w:sz="0" w:space="0" w:color="auto"/>
                <w:bottom w:val="none" w:sz="0" w:space="0" w:color="auto"/>
                <w:right w:val="none" w:sz="0" w:space="0" w:color="auto"/>
              </w:divBdr>
              <w:divsChild>
                <w:div w:id="1604537396">
                  <w:marLeft w:val="0"/>
                  <w:marRight w:val="0"/>
                  <w:marTop w:val="0"/>
                  <w:marBottom w:val="0"/>
                  <w:divBdr>
                    <w:top w:val="none" w:sz="0" w:space="0" w:color="auto"/>
                    <w:left w:val="none" w:sz="0" w:space="0" w:color="auto"/>
                    <w:bottom w:val="none" w:sz="0" w:space="0" w:color="auto"/>
                    <w:right w:val="none" w:sz="0" w:space="0" w:color="auto"/>
                  </w:divBdr>
                  <w:divsChild>
                    <w:div w:id="235944049">
                      <w:marLeft w:val="0"/>
                      <w:marRight w:val="0"/>
                      <w:marTop w:val="0"/>
                      <w:marBottom w:val="0"/>
                      <w:divBdr>
                        <w:top w:val="none" w:sz="0" w:space="0" w:color="auto"/>
                        <w:left w:val="none" w:sz="0" w:space="0" w:color="auto"/>
                        <w:bottom w:val="none" w:sz="0" w:space="0" w:color="auto"/>
                        <w:right w:val="none" w:sz="0" w:space="0" w:color="auto"/>
                      </w:divBdr>
                      <w:divsChild>
                        <w:div w:id="1598556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6628695">
      <w:bodyDiv w:val="1"/>
      <w:marLeft w:val="0"/>
      <w:marRight w:val="0"/>
      <w:marTop w:val="0"/>
      <w:marBottom w:val="0"/>
      <w:divBdr>
        <w:top w:val="none" w:sz="0" w:space="0" w:color="auto"/>
        <w:left w:val="none" w:sz="0" w:space="0" w:color="auto"/>
        <w:bottom w:val="none" w:sz="0" w:space="0" w:color="auto"/>
        <w:right w:val="none" w:sz="0" w:space="0" w:color="auto"/>
      </w:divBdr>
      <w:divsChild>
        <w:div w:id="1526938653">
          <w:marLeft w:val="0"/>
          <w:marRight w:val="0"/>
          <w:marTop w:val="0"/>
          <w:marBottom w:val="0"/>
          <w:divBdr>
            <w:top w:val="none" w:sz="0" w:space="0" w:color="auto"/>
            <w:left w:val="none" w:sz="0" w:space="0" w:color="auto"/>
            <w:bottom w:val="none" w:sz="0" w:space="0" w:color="auto"/>
            <w:right w:val="none" w:sz="0" w:space="0" w:color="auto"/>
          </w:divBdr>
          <w:divsChild>
            <w:div w:id="604654770">
              <w:marLeft w:val="0"/>
              <w:marRight w:val="0"/>
              <w:marTop w:val="0"/>
              <w:marBottom w:val="0"/>
              <w:divBdr>
                <w:top w:val="none" w:sz="0" w:space="0" w:color="auto"/>
                <w:left w:val="none" w:sz="0" w:space="0" w:color="auto"/>
                <w:bottom w:val="none" w:sz="0" w:space="0" w:color="auto"/>
                <w:right w:val="none" w:sz="0" w:space="0" w:color="auto"/>
              </w:divBdr>
              <w:divsChild>
                <w:div w:id="730350321">
                  <w:marLeft w:val="0"/>
                  <w:marRight w:val="0"/>
                  <w:marTop w:val="0"/>
                  <w:marBottom w:val="0"/>
                  <w:divBdr>
                    <w:top w:val="none" w:sz="0" w:space="0" w:color="auto"/>
                    <w:left w:val="none" w:sz="0" w:space="0" w:color="auto"/>
                    <w:bottom w:val="none" w:sz="0" w:space="0" w:color="auto"/>
                    <w:right w:val="none" w:sz="0" w:space="0" w:color="auto"/>
                  </w:divBdr>
                  <w:divsChild>
                    <w:div w:id="2077043729">
                      <w:marLeft w:val="0"/>
                      <w:marRight w:val="0"/>
                      <w:marTop w:val="0"/>
                      <w:marBottom w:val="0"/>
                      <w:divBdr>
                        <w:top w:val="none" w:sz="0" w:space="0" w:color="auto"/>
                        <w:left w:val="none" w:sz="0" w:space="0" w:color="auto"/>
                        <w:bottom w:val="none" w:sz="0" w:space="0" w:color="auto"/>
                        <w:right w:val="none" w:sz="0" w:space="0" w:color="auto"/>
                      </w:divBdr>
                      <w:divsChild>
                        <w:div w:id="1005671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92080891">
      <w:bodyDiv w:val="1"/>
      <w:marLeft w:val="0"/>
      <w:marRight w:val="0"/>
      <w:marTop w:val="0"/>
      <w:marBottom w:val="0"/>
      <w:divBdr>
        <w:top w:val="none" w:sz="0" w:space="0" w:color="auto"/>
        <w:left w:val="none" w:sz="0" w:space="0" w:color="auto"/>
        <w:bottom w:val="none" w:sz="0" w:space="0" w:color="auto"/>
        <w:right w:val="none" w:sz="0" w:space="0" w:color="auto"/>
      </w:divBdr>
      <w:divsChild>
        <w:div w:id="471289079">
          <w:marLeft w:val="0"/>
          <w:marRight w:val="0"/>
          <w:marTop w:val="0"/>
          <w:marBottom w:val="0"/>
          <w:divBdr>
            <w:top w:val="none" w:sz="0" w:space="0" w:color="auto"/>
            <w:left w:val="none" w:sz="0" w:space="0" w:color="auto"/>
            <w:bottom w:val="none" w:sz="0" w:space="0" w:color="auto"/>
            <w:right w:val="none" w:sz="0" w:space="0" w:color="auto"/>
          </w:divBdr>
          <w:divsChild>
            <w:div w:id="483282970">
              <w:marLeft w:val="0"/>
              <w:marRight w:val="0"/>
              <w:marTop w:val="0"/>
              <w:marBottom w:val="0"/>
              <w:divBdr>
                <w:top w:val="none" w:sz="0" w:space="0" w:color="auto"/>
                <w:left w:val="none" w:sz="0" w:space="0" w:color="auto"/>
                <w:bottom w:val="none" w:sz="0" w:space="0" w:color="auto"/>
                <w:right w:val="none" w:sz="0" w:space="0" w:color="auto"/>
              </w:divBdr>
              <w:divsChild>
                <w:div w:id="1755737380">
                  <w:marLeft w:val="0"/>
                  <w:marRight w:val="0"/>
                  <w:marTop w:val="0"/>
                  <w:marBottom w:val="0"/>
                  <w:divBdr>
                    <w:top w:val="none" w:sz="0" w:space="0" w:color="auto"/>
                    <w:left w:val="none" w:sz="0" w:space="0" w:color="auto"/>
                    <w:bottom w:val="none" w:sz="0" w:space="0" w:color="auto"/>
                    <w:right w:val="none" w:sz="0" w:space="0" w:color="auto"/>
                  </w:divBdr>
                  <w:divsChild>
                    <w:div w:id="1936936184">
                      <w:marLeft w:val="0"/>
                      <w:marRight w:val="0"/>
                      <w:marTop w:val="0"/>
                      <w:marBottom w:val="0"/>
                      <w:divBdr>
                        <w:top w:val="none" w:sz="0" w:space="0" w:color="auto"/>
                        <w:left w:val="none" w:sz="0" w:space="0" w:color="auto"/>
                        <w:bottom w:val="none" w:sz="0" w:space="0" w:color="auto"/>
                        <w:right w:val="none" w:sz="0" w:space="0" w:color="auto"/>
                      </w:divBdr>
                      <w:divsChild>
                        <w:div w:id="810748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44121028">
      <w:bodyDiv w:val="1"/>
      <w:marLeft w:val="0"/>
      <w:marRight w:val="0"/>
      <w:marTop w:val="0"/>
      <w:marBottom w:val="0"/>
      <w:divBdr>
        <w:top w:val="none" w:sz="0" w:space="0" w:color="auto"/>
        <w:left w:val="none" w:sz="0" w:space="0" w:color="auto"/>
        <w:bottom w:val="none" w:sz="0" w:space="0" w:color="auto"/>
        <w:right w:val="none" w:sz="0" w:space="0" w:color="auto"/>
      </w:divBdr>
      <w:divsChild>
        <w:div w:id="1375274189">
          <w:marLeft w:val="0"/>
          <w:marRight w:val="0"/>
          <w:marTop w:val="0"/>
          <w:marBottom w:val="0"/>
          <w:divBdr>
            <w:top w:val="none" w:sz="0" w:space="0" w:color="auto"/>
            <w:left w:val="none" w:sz="0" w:space="0" w:color="auto"/>
            <w:bottom w:val="none" w:sz="0" w:space="0" w:color="auto"/>
            <w:right w:val="none" w:sz="0" w:space="0" w:color="auto"/>
          </w:divBdr>
          <w:divsChild>
            <w:div w:id="274481182">
              <w:marLeft w:val="0"/>
              <w:marRight w:val="0"/>
              <w:marTop w:val="0"/>
              <w:marBottom w:val="0"/>
              <w:divBdr>
                <w:top w:val="none" w:sz="0" w:space="0" w:color="auto"/>
                <w:left w:val="none" w:sz="0" w:space="0" w:color="auto"/>
                <w:bottom w:val="none" w:sz="0" w:space="0" w:color="auto"/>
                <w:right w:val="none" w:sz="0" w:space="0" w:color="auto"/>
              </w:divBdr>
              <w:divsChild>
                <w:div w:id="643314955">
                  <w:marLeft w:val="0"/>
                  <w:marRight w:val="0"/>
                  <w:marTop w:val="0"/>
                  <w:marBottom w:val="0"/>
                  <w:divBdr>
                    <w:top w:val="none" w:sz="0" w:space="0" w:color="auto"/>
                    <w:left w:val="none" w:sz="0" w:space="0" w:color="auto"/>
                    <w:bottom w:val="none" w:sz="0" w:space="0" w:color="auto"/>
                    <w:right w:val="none" w:sz="0" w:space="0" w:color="auto"/>
                  </w:divBdr>
                  <w:divsChild>
                    <w:div w:id="1384985691">
                      <w:marLeft w:val="0"/>
                      <w:marRight w:val="0"/>
                      <w:marTop w:val="0"/>
                      <w:marBottom w:val="0"/>
                      <w:divBdr>
                        <w:top w:val="none" w:sz="0" w:space="0" w:color="auto"/>
                        <w:left w:val="none" w:sz="0" w:space="0" w:color="auto"/>
                        <w:bottom w:val="none" w:sz="0" w:space="0" w:color="auto"/>
                        <w:right w:val="none" w:sz="0" w:space="0" w:color="auto"/>
                      </w:divBdr>
                      <w:divsChild>
                        <w:div w:id="1566259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11238991">
      <w:bodyDiv w:val="1"/>
      <w:marLeft w:val="0"/>
      <w:marRight w:val="0"/>
      <w:marTop w:val="0"/>
      <w:marBottom w:val="0"/>
      <w:divBdr>
        <w:top w:val="none" w:sz="0" w:space="0" w:color="auto"/>
        <w:left w:val="none" w:sz="0" w:space="0" w:color="auto"/>
        <w:bottom w:val="none" w:sz="0" w:space="0" w:color="auto"/>
        <w:right w:val="none" w:sz="0" w:space="0" w:color="auto"/>
      </w:divBdr>
      <w:divsChild>
        <w:div w:id="2073186845">
          <w:marLeft w:val="0"/>
          <w:marRight w:val="0"/>
          <w:marTop w:val="0"/>
          <w:marBottom w:val="0"/>
          <w:divBdr>
            <w:top w:val="none" w:sz="0" w:space="0" w:color="auto"/>
            <w:left w:val="none" w:sz="0" w:space="0" w:color="auto"/>
            <w:bottom w:val="none" w:sz="0" w:space="0" w:color="auto"/>
            <w:right w:val="none" w:sz="0" w:space="0" w:color="auto"/>
          </w:divBdr>
          <w:divsChild>
            <w:div w:id="1988363614">
              <w:marLeft w:val="0"/>
              <w:marRight w:val="0"/>
              <w:marTop w:val="0"/>
              <w:marBottom w:val="0"/>
              <w:divBdr>
                <w:top w:val="none" w:sz="0" w:space="0" w:color="auto"/>
                <w:left w:val="none" w:sz="0" w:space="0" w:color="auto"/>
                <w:bottom w:val="none" w:sz="0" w:space="0" w:color="auto"/>
                <w:right w:val="none" w:sz="0" w:space="0" w:color="auto"/>
              </w:divBdr>
              <w:divsChild>
                <w:div w:id="698244526">
                  <w:marLeft w:val="0"/>
                  <w:marRight w:val="0"/>
                  <w:marTop w:val="0"/>
                  <w:marBottom w:val="0"/>
                  <w:divBdr>
                    <w:top w:val="none" w:sz="0" w:space="0" w:color="auto"/>
                    <w:left w:val="none" w:sz="0" w:space="0" w:color="auto"/>
                    <w:bottom w:val="none" w:sz="0" w:space="0" w:color="auto"/>
                    <w:right w:val="none" w:sz="0" w:space="0" w:color="auto"/>
                  </w:divBdr>
                  <w:divsChild>
                    <w:div w:id="978419425">
                      <w:marLeft w:val="0"/>
                      <w:marRight w:val="0"/>
                      <w:marTop w:val="0"/>
                      <w:marBottom w:val="0"/>
                      <w:divBdr>
                        <w:top w:val="none" w:sz="0" w:space="0" w:color="auto"/>
                        <w:left w:val="none" w:sz="0" w:space="0" w:color="auto"/>
                        <w:bottom w:val="none" w:sz="0" w:space="0" w:color="auto"/>
                        <w:right w:val="none" w:sz="0" w:space="0" w:color="auto"/>
                      </w:divBdr>
                      <w:divsChild>
                        <w:div w:id="697395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18910481">
      <w:bodyDiv w:val="1"/>
      <w:marLeft w:val="0"/>
      <w:marRight w:val="0"/>
      <w:marTop w:val="0"/>
      <w:marBottom w:val="0"/>
      <w:divBdr>
        <w:top w:val="none" w:sz="0" w:space="0" w:color="auto"/>
        <w:left w:val="none" w:sz="0" w:space="0" w:color="auto"/>
        <w:bottom w:val="none" w:sz="0" w:space="0" w:color="auto"/>
        <w:right w:val="none" w:sz="0" w:space="0" w:color="auto"/>
      </w:divBdr>
      <w:divsChild>
        <w:div w:id="1828013169">
          <w:marLeft w:val="0"/>
          <w:marRight w:val="0"/>
          <w:marTop w:val="0"/>
          <w:marBottom w:val="0"/>
          <w:divBdr>
            <w:top w:val="none" w:sz="0" w:space="0" w:color="auto"/>
            <w:left w:val="none" w:sz="0" w:space="0" w:color="auto"/>
            <w:bottom w:val="none" w:sz="0" w:space="0" w:color="auto"/>
            <w:right w:val="none" w:sz="0" w:space="0" w:color="auto"/>
          </w:divBdr>
          <w:divsChild>
            <w:div w:id="1372266010">
              <w:marLeft w:val="0"/>
              <w:marRight w:val="0"/>
              <w:marTop w:val="0"/>
              <w:marBottom w:val="0"/>
              <w:divBdr>
                <w:top w:val="none" w:sz="0" w:space="0" w:color="auto"/>
                <w:left w:val="none" w:sz="0" w:space="0" w:color="auto"/>
                <w:bottom w:val="none" w:sz="0" w:space="0" w:color="auto"/>
                <w:right w:val="none" w:sz="0" w:space="0" w:color="auto"/>
              </w:divBdr>
              <w:divsChild>
                <w:div w:id="766072283">
                  <w:marLeft w:val="0"/>
                  <w:marRight w:val="0"/>
                  <w:marTop w:val="0"/>
                  <w:marBottom w:val="0"/>
                  <w:divBdr>
                    <w:top w:val="none" w:sz="0" w:space="0" w:color="auto"/>
                    <w:left w:val="none" w:sz="0" w:space="0" w:color="auto"/>
                    <w:bottom w:val="none" w:sz="0" w:space="0" w:color="auto"/>
                    <w:right w:val="none" w:sz="0" w:space="0" w:color="auto"/>
                  </w:divBdr>
                  <w:divsChild>
                    <w:div w:id="80102793">
                      <w:marLeft w:val="0"/>
                      <w:marRight w:val="0"/>
                      <w:marTop w:val="0"/>
                      <w:marBottom w:val="0"/>
                      <w:divBdr>
                        <w:top w:val="none" w:sz="0" w:space="0" w:color="auto"/>
                        <w:left w:val="none" w:sz="0" w:space="0" w:color="auto"/>
                        <w:bottom w:val="none" w:sz="0" w:space="0" w:color="auto"/>
                        <w:right w:val="none" w:sz="0" w:space="0" w:color="auto"/>
                      </w:divBdr>
                      <w:divsChild>
                        <w:div w:id="1361782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0125107">
      <w:bodyDiv w:val="1"/>
      <w:marLeft w:val="0"/>
      <w:marRight w:val="0"/>
      <w:marTop w:val="0"/>
      <w:marBottom w:val="0"/>
      <w:divBdr>
        <w:top w:val="none" w:sz="0" w:space="0" w:color="auto"/>
        <w:left w:val="none" w:sz="0" w:space="0" w:color="auto"/>
        <w:bottom w:val="none" w:sz="0" w:space="0" w:color="auto"/>
        <w:right w:val="none" w:sz="0" w:space="0" w:color="auto"/>
      </w:divBdr>
      <w:divsChild>
        <w:div w:id="377900006">
          <w:marLeft w:val="0"/>
          <w:marRight w:val="0"/>
          <w:marTop w:val="0"/>
          <w:marBottom w:val="0"/>
          <w:divBdr>
            <w:top w:val="none" w:sz="0" w:space="0" w:color="auto"/>
            <w:left w:val="none" w:sz="0" w:space="0" w:color="auto"/>
            <w:bottom w:val="none" w:sz="0" w:space="0" w:color="auto"/>
            <w:right w:val="none" w:sz="0" w:space="0" w:color="auto"/>
          </w:divBdr>
          <w:divsChild>
            <w:div w:id="956369991">
              <w:marLeft w:val="0"/>
              <w:marRight w:val="0"/>
              <w:marTop w:val="0"/>
              <w:marBottom w:val="0"/>
              <w:divBdr>
                <w:top w:val="none" w:sz="0" w:space="0" w:color="auto"/>
                <w:left w:val="none" w:sz="0" w:space="0" w:color="auto"/>
                <w:bottom w:val="none" w:sz="0" w:space="0" w:color="auto"/>
                <w:right w:val="none" w:sz="0" w:space="0" w:color="auto"/>
              </w:divBdr>
              <w:divsChild>
                <w:div w:id="1017195691">
                  <w:marLeft w:val="0"/>
                  <w:marRight w:val="0"/>
                  <w:marTop w:val="0"/>
                  <w:marBottom w:val="0"/>
                  <w:divBdr>
                    <w:top w:val="none" w:sz="0" w:space="0" w:color="auto"/>
                    <w:left w:val="none" w:sz="0" w:space="0" w:color="auto"/>
                    <w:bottom w:val="none" w:sz="0" w:space="0" w:color="auto"/>
                    <w:right w:val="none" w:sz="0" w:space="0" w:color="auto"/>
                  </w:divBdr>
                  <w:divsChild>
                    <w:div w:id="1937856927">
                      <w:marLeft w:val="0"/>
                      <w:marRight w:val="0"/>
                      <w:marTop w:val="0"/>
                      <w:marBottom w:val="0"/>
                      <w:divBdr>
                        <w:top w:val="none" w:sz="0" w:space="0" w:color="auto"/>
                        <w:left w:val="none" w:sz="0" w:space="0" w:color="auto"/>
                        <w:bottom w:val="none" w:sz="0" w:space="0" w:color="auto"/>
                        <w:right w:val="none" w:sz="0" w:space="0" w:color="auto"/>
                      </w:divBdr>
                      <w:divsChild>
                        <w:div w:id="2078895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54364614">
      <w:bodyDiv w:val="1"/>
      <w:marLeft w:val="0"/>
      <w:marRight w:val="0"/>
      <w:marTop w:val="0"/>
      <w:marBottom w:val="0"/>
      <w:divBdr>
        <w:top w:val="none" w:sz="0" w:space="0" w:color="auto"/>
        <w:left w:val="none" w:sz="0" w:space="0" w:color="auto"/>
        <w:bottom w:val="none" w:sz="0" w:space="0" w:color="auto"/>
        <w:right w:val="none" w:sz="0" w:space="0" w:color="auto"/>
      </w:divBdr>
      <w:divsChild>
        <w:div w:id="172189732">
          <w:marLeft w:val="0"/>
          <w:marRight w:val="0"/>
          <w:marTop w:val="0"/>
          <w:marBottom w:val="0"/>
          <w:divBdr>
            <w:top w:val="none" w:sz="0" w:space="0" w:color="auto"/>
            <w:left w:val="none" w:sz="0" w:space="0" w:color="auto"/>
            <w:bottom w:val="none" w:sz="0" w:space="0" w:color="auto"/>
            <w:right w:val="none" w:sz="0" w:space="0" w:color="auto"/>
          </w:divBdr>
          <w:divsChild>
            <w:div w:id="683360284">
              <w:marLeft w:val="0"/>
              <w:marRight w:val="0"/>
              <w:marTop w:val="0"/>
              <w:marBottom w:val="0"/>
              <w:divBdr>
                <w:top w:val="none" w:sz="0" w:space="0" w:color="auto"/>
                <w:left w:val="none" w:sz="0" w:space="0" w:color="auto"/>
                <w:bottom w:val="none" w:sz="0" w:space="0" w:color="auto"/>
                <w:right w:val="none" w:sz="0" w:space="0" w:color="auto"/>
              </w:divBdr>
              <w:divsChild>
                <w:div w:id="1489709040">
                  <w:marLeft w:val="0"/>
                  <w:marRight w:val="0"/>
                  <w:marTop w:val="0"/>
                  <w:marBottom w:val="0"/>
                  <w:divBdr>
                    <w:top w:val="none" w:sz="0" w:space="0" w:color="auto"/>
                    <w:left w:val="none" w:sz="0" w:space="0" w:color="auto"/>
                    <w:bottom w:val="none" w:sz="0" w:space="0" w:color="auto"/>
                    <w:right w:val="none" w:sz="0" w:space="0" w:color="auto"/>
                  </w:divBdr>
                  <w:divsChild>
                    <w:div w:id="1079327400">
                      <w:marLeft w:val="0"/>
                      <w:marRight w:val="0"/>
                      <w:marTop w:val="0"/>
                      <w:marBottom w:val="0"/>
                      <w:divBdr>
                        <w:top w:val="none" w:sz="0" w:space="0" w:color="auto"/>
                        <w:left w:val="none" w:sz="0" w:space="0" w:color="auto"/>
                        <w:bottom w:val="none" w:sz="0" w:space="0" w:color="auto"/>
                        <w:right w:val="none" w:sz="0" w:space="0" w:color="auto"/>
                      </w:divBdr>
                      <w:divsChild>
                        <w:div w:id="1768386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14823367">
      <w:bodyDiv w:val="1"/>
      <w:marLeft w:val="0"/>
      <w:marRight w:val="0"/>
      <w:marTop w:val="0"/>
      <w:marBottom w:val="0"/>
      <w:divBdr>
        <w:top w:val="none" w:sz="0" w:space="0" w:color="auto"/>
        <w:left w:val="none" w:sz="0" w:space="0" w:color="auto"/>
        <w:bottom w:val="none" w:sz="0" w:space="0" w:color="auto"/>
        <w:right w:val="none" w:sz="0" w:space="0" w:color="auto"/>
      </w:divBdr>
      <w:divsChild>
        <w:div w:id="111910741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726952722">
      <w:bodyDiv w:val="1"/>
      <w:marLeft w:val="0"/>
      <w:marRight w:val="0"/>
      <w:marTop w:val="0"/>
      <w:marBottom w:val="0"/>
      <w:divBdr>
        <w:top w:val="none" w:sz="0" w:space="0" w:color="auto"/>
        <w:left w:val="none" w:sz="0" w:space="0" w:color="auto"/>
        <w:bottom w:val="none" w:sz="0" w:space="0" w:color="auto"/>
        <w:right w:val="none" w:sz="0" w:space="0" w:color="auto"/>
      </w:divBdr>
      <w:divsChild>
        <w:div w:id="975064963">
          <w:marLeft w:val="0"/>
          <w:marRight w:val="0"/>
          <w:marTop w:val="0"/>
          <w:marBottom w:val="0"/>
          <w:divBdr>
            <w:top w:val="none" w:sz="0" w:space="0" w:color="auto"/>
            <w:left w:val="none" w:sz="0" w:space="0" w:color="auto"/>
            <w:bottom w:val="none" w:sz="0" w:space="0" w:color="auto"/>
            <w:right w:val="none" w:sz="0" w:space="0" w:color="auto"/>
          </w:divBdr>
          <w:divsChild>
            <w:div w:id="220755517">
              <w:marLeft w:val="0"/>
              <w:marRight w:val="0"/>
              <w:marTop w:val="0"/>
              <w:marBottom w:val="0"/>
              <w:divBdr>
                <w:top w:val="none" w:sz="0" w:space="0" w:color="auto"/>
                <w:left w:val="none" w:sz="0" w:space="0" w:color="auto"/>
                <w:bottom w:val="none" w:sz="0" w:space="0" w:color="auto"/>
                <w:right w:val="none" w:sz="0" w:space="0" w:color="auto"/>
              </w:divBdr>
              <w:divsChild>
                <w:div w:id="590118594">
                  <w:marLeft w:val="0"/>
                  <w:marRight w:val="0"/>
                  <w:marTop w:val="0"/>
                  <w:marBottom w:val="0"/>
                  <w:divBdr>
                    <w:top w:val="none" w:sz="0" w:space="0" w:color="auto"/>
                    <w:left w:val="none" w:sz="0" w:space="0" w:color="auto"/>
                    <w:bottom w:val="none" w:sz="0" w:space="0" w:color="auto"/>
                    <w:right w:val="none" w:sz="0" w:space="0" w:color="auto"/>
                  </w:divBdr>
                  <w:divsChild>
                    <w:div w:id="41028957">
                      <w:marLeft w:val="0"/>
                      <w:marRight w:val="0"/>
                      <w:marTop w:val="0"/>
                      <w:marBottom w:val="0"/>
                      <w:divBdr>
                        <w:top w:val="none" w:sz="0" w:space="0" w:color="auto"/>
                        <w:left w:val="none" w:sz="0" w:space="0" w:color="auto"/>
                        <w:bottom w:val="none" w:sz="0" w:space="0" w:color="auto"/>
                        <w:right w:val="none" w:sz="0" w:space="0" w:color="auto"/>
                      </w:divBdr>
                      <w:divsChild>
                        <w:div w:id="860512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43603790">
      <w:bodyDiv w:val="1"/>
      <w:marLeft w:val="0"/>
      <w:marRight w:val="0"/>
      <w:marTop w:val="0"/>
      <w:marBottom w:val="0"/>
      <w:divBdr>
        <w:top w:val="none" w:sz="0" w:space="0" w:color="auto"/>
        <w:left w:val="none" w:sz="0" w:space="0" w:color="auto"/>
        <w:bottom w:val="none" w:sz="0" w:space="0" w:color="auto"/>
        <w:right w:val="none" w:sz="0" w:space="0" w:color="auto"/>
      </w:divBdr>
      <w:divsChild>
        <w:div w:id="1209147300">
          <w:marLeft w:val="0"/>
          <w:marRight w:val="0"/>
          <w:marTop w:val="0"/>
          <w:marBottom w:val="0"/>
          <w:divBdr>
            <w:top w:val="none" w:sz="0" w:space="0" w:color="auto"/>
            <w:left w:val="none" w:sz="0" w:space="0" w:color="auto"/>
            <w:bottom w:val="none" w:sz="0" w:space="0" w:color="auto"/>
            <w:right w:val="none" w:sz="0" w:space="0" w:color="auto"/>
          </w:divBdr>
          <w:divsChild>
            <w:div w:id="1153329688">
              <w:marLeft w:val="0"/>
              <w:marRight w:val="0"/>
              <w:marTop w:val="0"/>
              <w:marBottom w:val="0"/>
              <w:divBdr>
                <w:top w:val="none" w:sz="0" w:space="0" w:color="auto"/>
                <w:left w:val="none" w:sz="0" w:space="0" w:color="auto"/>
                <w:bottom w:val="none" w:sz="0" w:space="0" w:color="auto"/>
                <w:right w:val="none" w:sz="0" w:space="0" w:color="auto"/>
              </w:divBdr>
              <w:divsChild>
                <w:div w:id="1589539910">
                  <w:marLeft w:val="0"/>
                  <w:marRight w:val="0"/>
                  <w:marTop w:val="0"/>
                  <w:marBottom w:val="0"/>
                  <w:divBdr>
                    <w:top w:val="none" w:sz="0" w:space="0" w:color="auto"/>
                    <w:left w:val="none" w:sz="0" w:space="0" w:color="auto"/>
                    <w:bottom w:val="none" w:sz="0" w:space="0" w:color="auto"/>
                    <w:right w:val="none" w:sz="0" w:space="0" w:color="auto"/>
                  </w:divBdr>
                  <w:divsChild>
                    <w:div w:id="1401715303">
                      <w:marLeft w:val="0"/>
                      <w:marRight w:val="0"/>
                      <w:marTop w:val="0"/>
                      <w:marBottom w:val="0"/>
                      <w:divBdr>
                        <w:top w:val="none" w:sz="0" w:space="0" w:color="auto"/>
                        <w:left w:val="none" w:sz="0" w:space="0" w:color="auto"/>
                        <w:bottom w:val="none" w:sz="0" w:space="0" w:color="auto"/>
                        <w:right w:val="none" w:sz="0" w:space="0" w:color="auto"/>
                      </w:divBdr>
                      <w:divsChild>
                        <w:div w:id="2028292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34500565">
      <w:bodyDiv w:val="1"/>
      <w:marLeft w:val="0"/>
      <w:marRight w:val="0"/>
      <w:marTop w:val="75"/>
      <w:marBottom w:val="75"/>
      <w:divBdr>
        <w:top w:val="none" w:sz="0" w:space="0" w:color="auto"/>
        <w:left w:val="none" w:sz="0" w:space="0" w:color="auto"/>
        <w:bottom w:val="none" w:sz="0" w:space="0" w:color="auto"/>
        <w:right w:val="none" w:sz="0" w:space="0" w:color="auto"/>
      </w:divBdr>
      <w:divsChild>
        <w:div w:id="2106807042">
          <w:marLeft w:val="0"/>
          <w:marRight w:val="0"/>
          <w:marTop w:val="0"/>
          <w:marBottom w:val="0"/>
          <w:divBdr>
            <w:top w:val="none" w:sz="0" w:space="0" w:color="auto"/>
            <w:left w:val="none" w:sz="0" w:space="0" w:color="auto"/>
            <w:bottom w:val="none" w:sz="0" w:space="0" w:color="auto"/>
            <w:right w:val="none" w:sz="0" w:space="0" w:color="auto"/>
          </w:divBdr>
        </w:div>
        <w:div w:id="286207239">
          <w:marLeft w:val="0"/>
          <w:marRight w:val="0"/>
          <w:marTop w:val="0"/>
          <w:marBottom w:val="0"/>
          <w:divBdr>
            <w:top w:val="none" w:sz="0" w:space="0" w:color="auto"/>
            <w:left w:val="none" w:sz="0" w:space="0" w:color="auto"/>
            <w:bottom w:val="none" w:sz="0" w:space="0" w:color="auto"/>
            <w:right w:val="none" w:sz="0" w:space="0" w:color="auto"/>
          </w:divBdr>
        </w:div>
        <w:div w:id="1959952249">
          <w:marLeft w:val="0"/>
          <w:marRight w:val="0"/>
          <w:marTop w:val="0"/>
          <w:marBottom w:val="0"/>
          <w:divBdr>
            <w:top w:val="none" w:sz="0" w:space="0" w:color="auto"/>
            <w:left w:val="none" w:sz="0" w:space="0" w:color="auto"/>
            <w:bottom w:val="none" w:sz="0" w:space="0" w:color="auto"/>
            <w:right w:val="none" w:sz="0" w:space="0" w:color="auto"/>
          </w:divBdr>
        </w:div>
        <w:div w:id="1621916228">
          <w:marLeft w:val="0"/>
          <w:marRight w:val="0"/>
          <w:marTop w:val="0"/>
          <w:marBottom w:val="0"/>
          <w:divBdr>
            <w:top w:val="none" w:sz="0" w:space="0" w:color="auto"/>
            <w:left w:val="none" w:sz="0" w:space="0" w:color="auto"/>
            <w:bottom w:val="none" w:sz="0" w:space="0" w:color="auto"/>
            <w:right w:val="none" w:sz="0" w:space="0" w:color="auto"/>
          </w:divBdr>
        </w:div>
        <w:div w:id="912013119">
          <w:marLeft w:val="0"/>
          <w:marRight w:val="0"/>
          <w:marTop w:val="0"/>
          <w:marBottom w:val="0"/>
          <w:divBdr>
            <w:top w:val="none" w:sz="0" w:space="0" w:color="auto"/>
            <w:left w:val="none" w:sz="0" w:space="0" w:color="auto"/>
            <w:bottom w:val="none" w:sz="0" w:space="0" w:color="auto"/>
            <w:right w:val="none" w:sz="0" w:space="0" w:color="auto"/>
          </w:divBdr>
        </w:div>
        <w:div w:id="322052450">
          <w:marLeft w:val="0"/>
          <w:marRight w:val="0"/>
          <w:marTop w:val="0"/>
          <w:marBottom w:val="0"/>
          <w:divBdr>
            <w:top w:val="none" w:sz="0" w:space="0" w:color="auto"/>
            <w:left w:val="none" w:sz="0" w:space="0" w:color="auto"/>
            <w:bottom w:val="none" w:sz="0" w:space="0" w:color="auto"/>
            <w:right w:val="none" w:sz="0" w:space="0" w:color="auto"/>
          </w:divBdr>
        </w:div>
        <w:div w:id="926884050">
          <w:marLeft w:val="0"/>
          <w:marRight w:val="0"/>
          <w:marTop w:val="0"/>
          <w:marBottom w:val="0"/>
          <w:divBdr>
            <w:top w:val="none" w:sz="0" w:space="0" w:color="auto"/>
            <w:left w:val="none" w:sz="0" w:space="0" w:color="auto"/>
            <w:bottom w:val="none" w:sz="0" w:space="0" w:color="auto"/>
            <w:right w:val="none" w:sz="0" w:space="0" w:color="auto"/>
          </w:divBdr>
        </w:div>
        <w:div w:id="863709725">
          <w:marLeft w:val="0"/>
          <w:marRight w:val="0"/>
          <w:marTop w:val="0"/>
          <w:marBottom w:val="0"/>
          <w:divBdr>
            <w:top w:val="none" w:sz="0" w:space="0" w:color="auto"/>
            <w:left w:val="none" w:sz="0" w:space="0" w:color="auto"/>
            <w:bottom w:val="none" w:sz="0" w:space="0" w:color="auto"/>
            <w:right w:val="none" w:sz="0" w:space="0" w:color="auto"/>
          </w:divBdr>
        </w:div>
        <w:div w:id="551622979">
          <w:marLeft w:val="0"/>
          <w:marRight w:val="0"/>
          <w:marTop w:val="0"/>
          <w:marBottom w:val="0"/>
          <w:divBdr>
            <w:top w:val="none" w:sz="0" w:space="0" w:color="auto"/>
            <w:left w:val="none" w:sz="0" w:space="0" w:color="auto"/>
            <w:bottom w:val="none" w:sz="0" w:space="0" w:color="auto"/>
            <w:right w:val="none" w:sz="0" w:space="0" w:color="auto"/>
          </w:divBdr>
        </w:div>
        <w:div w:id="502205072">
          <w:marLeft w:val="0"/>
          <w:marRight w:val="0"/>
          <w:marTop w:val="0"/>
          <w:marBottom w:val="0"/>
          <w:divBdr>
            <w:top w:val="none" w:sz="0" w:space="0" w:color="auto"/>
            <w:left w:val="none" w:sz="0" w:space="0" w:color="auto"/>
            <w:bottom w:val="none" w:sz="0" w:space="0" w:color="auto"/>
            <w:right w:val="none" w:sz="0" w:space="0" w:color="auto"/>
          </w:divBdr>
        </w:div>
        <w:div w:id="810293708">
          <w:marLeft w:val="0"/>
          <w:marRight w:val="0"/>
          <w:marTop w:val="0"/>
          <w:marBottom w:val="0"/>
          <w:divBdr>
            <w:top w:val="none" w:sz="0" w:space="0" w:color="auto"/>
            <w:left w:val="none" w:sz="0" w:space="0" w:color="auto"/>
            <w:bottom w:val="none" w:sz="0" w:space="0" w:color="auto"/>
            <w:right w:val="none" w:sz="0" w:space="0" w:color="auto"/>
          </w:divBdr>
        </w:div>
        <w:div w:id="850948222">
          <w:marLeft w:val="0"/>
          <w:marRight w:val="0"/>
          <w:marTop w:val="0"/>
          <w:marBottom w:val="0"/>
          <w:divBdr>
            <w:top w:val="none" w:sz="0" w:space="0" w:color="auto"/>
            <w:left w:val="none" w:sz="0" w:space="0" w:color="auto"/>
            <w:bottom w:val="none" w:sz="0" w:space="0" w:color="auto"/>
            <w:right w:val="none" w:sz="0" w:space="0" w:color="auto"/>
          </w:divBdr>
        </w:div>
        <w:div w:id="1067731006">
          <w:marLeft w:val="0"/>
          <w:marRight w:val="0"/>
          <w:marTop w:val="0"/>
          <w:marBottom w:val="0"/>
          <w:divBdr>
            <w:top w:val="none" w:sz="0" w:space="0" w:color="auto"/>
            <w:left w:val="none" w:sz="0" w:space="0" w:color="auto"/>
            <w:bottom w:val="none" w:sz="0" w:space="0" w:color="auto"/>
            <w:right w:val="none" w:sz="0" w:space="0" w:color="auto"/>
          </w:divBdr>
        </w:div>
        <w:div w:id="170683654">
          <w:marLeft w:val="0"/>
          <w:marRight w:val="0"/>
          <w:marTop w:val="0"/>
          <w:marBottom w:val="0"/>
          <w:divBdr>
            <w:top w:val="none" w:sz="0" w:space="0" w:color="auto"/>
            <w:left w:val="none" w:sz="0" w:space="0" w:color="auto"/>
            <w:bottom w:val="none" w:sz="0" w:space="0" w:color="auto"/>
            <w:right w:val="none" w:sz="0" w:space="0" w:color="auto"/>
          </w:divBdr>
        </w:div>
        <w:div w:id="762148408">
          <w:marLeft w:val="0"/>
          <w:marRight w:val="0"/>
          <w:marTop w:val="0"/>
          <w:marBottom w:val="0"/>
          <w:divBdr>
            <w:top w:val="none" w:sz="0" w:space="0" w:color="auto"/>
            <w:left w:val="none" w:sz="0" w:space="0" w:color="auto"/>
            <w:bottom w:val="none" w:sz="0" w:space="0" w:color="auto"/>
            <w:right w:val="none" w:sz="0" w:space="0" w:color="auto"/>
          </w:divBdr>
        </w:div>
        <w:div w:id="1851026042">
          <w:marLeft w:val="0"/>
          <w:marRight w:val="0"/>
          <w:marTop w:val="0"/>
          <w:marBottom w:val="0"/>
          <w:divBdr>
            <w:top w:val="none" w:sz="0" w:space="0" w:color="auto"/>
            <w:left w:val="none" w:sz="0" w:space="0" w:color="auto"/>
            <w:bottom w:val="none" w:sz="0" w:space="0" w:color="auto"/>
            <w:right w:val="none" w:sz="0" w:space="0" w:color="auto"/>
          </w:divBdr>
        </w:div>
        <w:div w:id="2047170421">
          <w:marLeft w:val="0"/>
          <w:marRight w:val="0"/>
          <w:marTop w:val="0"/>
          <w:marBottom w:val="0"/>
          <w:divBdr>
            <w:top w:val="none" w:sz="0" w:space="0" w:color="auto"/>
            <w:left w:val="none" w:sz="0" w:space="0" w:color="auto"/>
            <w:bottom w:val="none" w:sz="0" w:space="0" w:color="auto"/>
            <w:right w:val="none" w:sz="0" w:space="0" w:color="auto"/>
          </w:divBdr>
        </w:div>
        <w:div w:id="1426224859">
          <w:marLeft w:val="0"/>
          <w:marRight w:val="0"/>
          <w:marTop w:val="0"/>
          <w:marBottom w:val="0"/>
          <w:divBdr>
            <w:top w:val="none" w:sz="0" w:space="0" w:color="auto"/>
            <w:left w:val="none" w:sz="0" w:space="0" w:color="auto"/>
            <w:bottom w:val="none" w:sz="0" w:space="0" w:color="auto"/>
            <w:right w:val="none" w:sz="0" w:space="0" w:color="auto"/>
          </w:divBdr>
        </w:div>
        <w:div w:id="1585457452">
          <w:marLeft w:val="0"/>
          <w:marRight w:val="0"/>
          <w:marTop w:val="0"/>
          <w:marBottom w:val="0"/>
          <w:divBdr>
            <w:top w:val="none" w:sz="0" w:space="0" w:color="auto"/>
            <w:left w:val="none" w:sz="0" w:space="0" w:color="auto"/>
            <w:bottom w:val="none" w:sz="0" w:space="0" w:color="auto"/>
            <w:right w:val="none" w:sz="0" w:space="0" w:color="auto"/>
          </w:divBdr>
        </w:div>
        <w:div w:id="404883025">
          <w:marLeft w:val="0"/>
          <w:marRight w:val="0"/>
          <w:marTop w:val="0"/>
          <w:marBottom w:val="0"/>
          <w:divBdr>
            <w:top w:val="none" w:sz="0" w:space="0" w:color="auto"/>
            <w:left w:val="none" w:sz="0" w:space="0" w:color="auto"/>
            <w:bottom w:val="none" w:sz="0" w:space="0" w:color="auto"/>
            <w:right w:val="none" w:sz="0" w:space="0" w:color="auto"/>
          </w:divBdr>
        </w:div>
        <w:div w:id="1258173473">
          <w:marLeft w:val="0"/>
          <w:marRight w:val="0"/>
          <w:marTop w:val="0"/>
          <w:marBottom w:val="0"/>
          <w:divBdr>
            <w:top w:val="none" w:sz="0" w:space="0" w:color="auto"/>
            <w:left w:val="none" w:sz="0" w:space="0" w:color="auto"/>
            <w:bottom w:val="none" w:sz="0" w:space="0" w:color="auto"/>
            <w:right w:val="none" w:sz="0" w:space="0" w:color="auto"/>
          </w:divBdr>
        </w:div>
        <w:div w:id="581960155">
          <w:marLeft w:val="0"/>
          <w:marRight w:val="0"/>
          <w:marTop w:val="0"/>
          <w:marBottom w:val="0"/>
          <w:divBdr>
            <w:top w:val="none" w:sz="0" w:space="0" w:color="auto"/>
            <w:left w:val="none" w:sz="0" w:space="0" w:color="auto"/>
            <w:bottom w:val="none" w:sz="0" w:space="0" w:color="auto"/>
            <w:right w:val="none" w:sz="0" w:space="0" w:color="auto"/>
          </w:divBdr>
        </w:div>
        <w:div w:id="713118391">
          <w:marLeft w:val="0"/>
          <w:marRight w:val="0"/>
          <w:marTop w:val="0"/>
          <w:marBottom w:val="0"/>
          <w:divBdr>
            <w:top w:val="none" w:sz="0" w:space="0" w:color="auto"/>
            <w:left w:val="none" w:sz="0" w:space="0" w:color="auto"/>
            <w:bottom w:val="none" w:sz="0" w:space="0" w:color="auto"/>
            <w:right w:val="none" w:sz="0" w:space="0" w:color="auto"/>
          </w:divBdr>
        </w:div>
        <w:div w:id="1360007426">
          <w:marLeft w:val="0"/>
          <w:marRight w:val="0"/>
          <w:marTop w:val="0"/>
          <w:marBottom w:val="0"/>
          <w:divBdr>
            <w:top w:val="none" w:sz="0" w:space="0" w:color="auto"/>
            <w:left w:val="none" w:sz="0" w:space="0" w:color="auto"/>
            <w:bottom w:val="none" w:sz="0" w:space="0" w:color="auto"/>
            <w:right w:val="none" w:sz="0" w:space="0" w:color="auto"/>
          </w:divBdr>
        </w:div>
        <w:div w:id="2030178275">
          <w:marLeft w:val="0"/>
          <w:marRight w:val="0"/>
          <w:marTop w:val="0"/>
          <w:marBottom w:val="0"/>
          <w:divBdr>
            <w:top w:val="none" w:sz="0" w:space="0" w:color="auto"/>
            <w:left w:val="none" w:sz="0" w:space="0" w:color="auto"/>
            <w:bottom w:val="none" w:sz="0" w:space="0" w:color="auto"/>
            <w:right w:val="none" w:sz="0" w:space="0" w:color="auto"/>
          </w:divBdr>
        </w:div>
        <w:div w:id="2000579103">
          <w:marLeft w:val="0"/>
          <w:marRight w:val="0"/>
          <w:marTop w:val="0"/>
          <w:marBottom w:val="0"/>
          <w:divBdr>
            <w:top w:val="none" w:sz="0" w:space="0" w:color="auto"/>
            <w:left w:val="none" w:sz="0" w:space="0" w:color="auto"/>
            <w:bottom w:val="none" w:sz="0" w:space="0" w:color="auto"/>
            <w:right w:val="none" w:sz="0" w:space="0" w:color="auto"/>
          </w:divBdr>
        </w:div>
        <w:div w:id="1565026093">
          <w:marLeft w:val="0"/>
          <w:marRight w:val="0"/>
          <w:marTop w:val="0"/>
          <w:marBottom w:val="0"/>
          <w:divBdr>
            <w:top w:val="none" w:sz="0" w:space="0" w:color="auto"/>
            <w:left w:val="none" w:sz="0" w:space="0" w:color="auto"/>
            <w:bottom w:val="none" w:sz="0" w:space="0" w:color="auto"/>
            <w:right w:val="none" w:sz="0" w:space="0" w:color="auto"/>
          </w:divBdr>
        </w:div>
        <w:div w:id="1648239909">
          <w:marLeft w:val="0"/>
          <w:marRight w:val="0"/>
          <w:marTop w:val="0"/>
          <w:marBottom w:val="0"/>
          <w:divBdr>
            <w:top w:val="none" w:sz="0" w:space="0" w:color="auto"/>
            <w:left w:val="none" w:sz="0" w:space="0" w:color="auto"/>
            <w:bottom w:val="none" w:sz="0" w:space="0" w:color="auto"/>
            <w:right w:val="none" w:sz="0" w:space="0" w:color="auto"/>
          </w:divBdr>
        </w:div>
        <w:div w:id="438136591">
          <w:marLeft w:val="0"/>
          <w:marRight w:val="0"/>
          <w:marTop w:val="0"/>
          <w:marBottom w:val="0"/>
          <w:divBdr>
            <w:top w:val="none" w:sz="0" w:space="0" w:color="auto"/>
            <w:left w:val="none" w:sz="0" w:space="0" w:color="auto"/>
            <w:bottom w:val="none" w:sz="0" w:space="0" w:color="auto"/>
            <w:right w:val="none" w:sz="0" w:space="0" w:color="auto"/>
          </w:divBdr>
        </w:div>
        <w:div w:id="1113286777">
          <w:marLeft w:val="0"/>
          <w:marRight w:val="0"/>
          <w:marTop w:val="0"/>
          <w:marBottom w:val="0"/>
          <w:divBdr>
            <w:top w:val="none" w:sz="0" w:space="0" w:color="auto"/>
            <w:left w:val="none" w:sz="0" w:space="0" w:color="auto"/>
            <w:bottom w:val="none" w:sz="0" w:space="0" w:color="auto"/>
            <w:right w:val="none" w:sz="0" w:space="0" w:color="auto"/>
          </w:divBdr>
        </w:div>
        <w:div w:id="468981941">
          <w:marLeft w:val="0"/>
          <w:marRight w:val="0"/>
          <w:marTop w:val="0"/>
          <w:marBottom w:val="0"/>
          <w:divBdr>
            <w:top w:val="none" w:sz="0" w:space="0" w:color="auto"/>
            <w:left w:val="none" w:sz="0" w:space="0" w:color="auto"/>
            <w:bottom w:val="none" w:sz="0" w:space="0" w:color="auto"/>
            <w:right w:val="none" w:sz="0" w:space="0" w:color="auto"/>
          </w:divBdr>
        </w:div>
        <w:div w:id="2016761601">
          <w:marLeft w:val="0"/>
          <w:marRight w:val="0"/>
          <w:marTop w:val="0"/>
          <w:marBottom w:val="0"/>
          <w:divBdr>
            <w:top w:val="none" w:sz="0" w:space="0" w:color="auto"/>
            <w:left w:val="none" w:sz="0" w:space="0" w:color="auto"/>
            <w:bottom w:val="none" w:sz="0" w:space="0" w:color="auto"/>
            <w:right w:val="none" w:sz="0" w:space="0" w:color="auto"/>
          </w:divBdr>
        </w:div>
        <w:div w:id="1811245431">
          <w:marLeft w:val="0"/>
          <w:marRight w:val="0"/>
          <w:marTop w:val="0"/>
          <w:marBottom w:val="0"/>
          <w:divBdr>
            <w:top w:val="none" w:sz="0" w:space="0" w:color="auto"/>
            <w:left w:val="none" w:sz="0" w:space="0" w:color="auto"/>
            <w:bottom w:val="none" w:sz="0" w:space="0" w:color="auto"/>
            <w:right w:val="none" w:sz="0" w:space="0" w:color="auto"/>
          </w:divBdr>
        </w:div>
        <w:div w:id="414669753">
          <w:marLeft w:val="0"/>
          <w:marRight w:val="0"/>
          <w:marTop w:val="0"/>
          <w:marBottom w:val="0"/>
          <w:divBdr>
            <w:top w:val="none" w:sz="0" w:space="0" w:color="auto"/>
            <w:left w:val="none" w:sz="0" w:space="0" w:color="auto"/>
            <w:bottom w:val="none" w:sz="0" w:space="0" w:color="auto"/>
            <w:right w:val="none" w:sz="0" w:space="0" w:color="auto"/>
          </w:divBdr>
        </w:div>
        <w:div w:id="2112234280">
          <w:marLeft w:val="0"/>
          <w:marRight w:val="0"/>
          <w:marTop w:val="0"/>
          <w:marBottom w:val="0"/>
          <w:divBdr>
            <w:top w:val="none" w:sz="0" w:space="0" w:color="auto"/>
            <w:left w:val="none" w:sz="0" w:space="0" w:color="auto"/>
            <w:bottom w:val="none" w:sz="0" w:space="0" w:color="auto"/>
            <w:right w:val="none" w:sz="0" w:space="0" w:color="auto"/>
          </w:divBdr>
        </w:div>
        <w:div w:id="1220244647">
          <w:marLeft w:val="0"/>
          <w:marRight w:val="0"/>
          <w:marTop w:val="0"/>
          <w:marBottom w:val="0"/>
          <w:divBdr>
            <w:top w:val="none" w:sz="0" w:space="0" w:color="auto"/>
            <w:left w:val="none" w:sz="0" w:space="0" w:color="auto"/>
            <w:bottom w:val="none" w:sz="0" w:space="0" w:color="auto"/>
            <w:right w:val="none" w:sz="0" w:space="0" w:color="auto"/>
          </w:divBdr>
        </w:div>
        <w:div w:id="1747998969">
          <w:marLeft w:val="0"/>
          <w:marRight w:val="0"/>
          <w:marTop w:val="0"/>
          <w:marBottom w:val="0"/>
          <w:divBdr>
            <w:top w:val="none" w:sz="0" w:space="0" w:color="auto"/>
            <w:left w:val="none" w:sz="0" w:space="0" w:color="auto"/>
            <w:bottom w:val="none" w:sz="0" w:space="0" w:color="auto"/>
            <w:right w:val="none" w:sz="0" w:space="0" w:color="auto"/>
          </w:divBdr>
        </w:div>
        <w:div w:id="1733312065">
          <w:marLeft w:val="0"/>
          <w:marRight w:val="0"/>
          <w:marTop w:val="0"/>
          <w:marBottom w:val="0"/>
          <w:divBdr>
            <w:top w:val="none" w:sz="0" w:space="0" w:color="auto"/>
            <w:left w:val="none" w:sz="0" w:space="0" w:color="auto"/>
            <w:bottom w:val="none" w:sz="0" w:space="0" w:color="auto"/>
            <w:right w:val="none" w:sz="0" w:space="0" w:color="auto"/>
          </w:divBdr>
        </w:div>
        <w:div w:id="1399984861">
          <w:marLeft w:val="0"/>
          <w:marRight w:val="0"/>
          <w:marTop w:val="0"/>
          <w:marBottom w:val="0"/>
          <w:divBdr>
            <w:top w:val="none" w:sz="0" w:space="0" w:color="auto"/>
            <w:left w:val="none" w:sz="0" w:space="0" w:color="auto"/>
            <w:bottom w:val="none" w:sz="0" w:space="0" w:color="auto"/>
            <w:right w:val="none" w:sz="0" w:space="0" w:color="auto"/>
          </w:divBdr>
        </w:div>
        <w:div w:id="887759942">
          <w:marLeft w:val="0"/>
          <w:marRight w:val="0"/>
          <w:marTop w:val="0"/>
          <w:marBottom w:val="0"/>
          <w:divBdr>
            <w:top w:val="none" w:sz="0" w:space="0" w:color="auto"/>
            <w:left w:val="none" w:sz="0" w:space="0" w:color="auto"/>
            <w:bottom w:val="none" w:sz="0" w:space="0" w:color="auto"/>
            <w:right w:val="none" w:sz="0" w:space="0" w:color="auto"/>
          </w:divBdr>
        </w:div>
        <w:div w:id="394284057">
          <w:marLeft w:val="0"/>
          <w:marRight w:val="0"/>
          <w:marTop w:val="0"/>
          <w:marBottom w:val="0"/>
          <w:divBdr>
            <w:top w:val="none" w:sz="0" w:space="0" w:color="auto"/>
            <w:left w:val="none" w:sz="0" w:space="0" w:color="auto"/>
            <w:bottom w:val="none" w:sz="0" w:space="0" w:color="auto"/>
            <w:right w:val="none" w:sz="0" w:space="0" w:color="auto"/>
          </w:divBdr>
        </w:div>
        <w:div w:id="14308798">
          <w:marLeft w:val="0"/>
          <w:marRight w:val="0"/>
          <w:marTop w:val="0"/>
          <w:marBottom w:val="0"/>
          <w:divBdr>
            <w:top w:val="none" w:sz="0" w:space="0" w:color="auto"/>
            <w:left w:val="none" w:sz="0" w:space="0" w:color="auto"/>
            <w:bottom w:val="none" w:sz="0" w:space="0" w:color="auto"/>
            <w:right w:val="none" w:sz="0" w:space="0" w:color="auto"/>
          </w:divBdr>
        </w:div>
        <w:div w:id="241139423">
          <w:marLeft w:val="0"/>
          <w:marRight w:val="0"/>
          <w:marTop w:val="0"/>
          <w:marBottom w:val="0"/>
          <w:divBdr>
            <w:top w:val="none" w:sz="0" w:space="0" w:color="auto"/>
            <w:left w:val="none" w:sz="0" w:space="0" w:color="auto"/>
            <w:bottom w:val="none" w:sz="0" w:space="0" w:color="auto"/>
            <w:right w:val="none" w:sz="0" w:space="0" w:color="auto"/>
          </w:divBdr>
        </w:div>
        <w:div w:id="1892693962">
          <w:marLeft w:val="0"/>
          <w:marRight w:val="0"/>
          <w:marTop w:val="0"/>
          <w:marBottom w:val="0"/>
          <w:divBdr>
            <w:top w:val="none" w:sz="0" w:space="0" w:color="auto"/>
            <w:left w:val="none" w:sz="0" w:space="0" w:color="auto"/>
            <w:bottom w:val="none" w:sz="0" w:space="0" w:color="auto"/>
            <w:right w:val="none" w:sz="0" w:space="0" w:color="auto"/>
          </w:divBdr>
        </w:div>
        <w:div w:id="1213730052">
          <w:marLeft w:val="0"/>
          <w:marRight w:val="0"/>
          <w:marTop w:val="0"/>
          <w:marBottom w:val="0"/>
          <w:divBdr>
            <w:top w:val="none" w:sz="0" w:space="0" w:color="auto"/>
            <w:left w:val="none" w:sz="0" w:space="0" w:color="auto"/>
            <w:bottom w:val="none" w:sz="0" w:space="0" w:color="auto"/>
            <w:right w:val="none" w:sz="0" w:space="0" w:color="auto"/>
          </w:divBdr>
        </w:div>
        <w:div w:id="1439520823">
          <w:marLeft w:val="0"/>
          <w:marRight w:val="0"/>
          <w:marTop w:val="0"/>
          <w:marBottom w:val="0"/>
          <w:divBdr>
            <w:top w:val="none" w:sz="0" w:space="0" w:color="auto"/>
            <w:left w:val="none" w:sz="0" w:space="0" w:color="auto"/>
            <w:bottom w:val="none" w:sz="0" w:space="0" w:color="auto"/>
            <w:right w:val="none" w:sz="0" w:space="0" w:color="auto"/>
          </w:divBdr>
        </w:div>
        <w:div w:id="1180316361">
          <w:marLeft w:val="0"/>
          <w:marRight w:val="0"/>
          <w:marTop w:val="0"/>
          <w:marBottom w:val="0"/>
          <w:divBdr>
            <w:top w:val="none" w:sz="0" w:space="0" w:color="auto"/>
            <w:left w:val="none" w:sz="0" w:space="0" w:color="auto"/>
            <w:bottom w:val="none" w:sz="0" w:space="0" w:color="auto"/>
            <w:right w:val="none" w:sz="0" w:space="0" w:color="auto"/>
          </w:divBdr>
        </w:div>
        <w:div w:id="1410344381">
          <w:marLeft w:val="0"/>
          <w:marRight w:val="0"/>
          <w:marTop w:val="0"/>
          <w:marBottom w:val="0"/>
          <w:divBdr>
            <w:top w:val="none" w:sz="0" w:space="0" w:color="auto"/>
            <w:left w:val="none" w:sz="0" w:space="0" w:color="auto"/>
            <w:bottom w:val="none" w:sz="0" w:space="0" w:color="auto"/>
            <w:right w:val="none" w:sz="0" w:space="0" w:color="auto"/>
          </w:divBdr>
        </w:div>
        <w:div w:id="1677462339">
          <w:marLeft w:val="0"/>
          <w:marRight w:val="0"/>
          <w:marTop w:val="0"/>
          <w:marBottom w:val="0"/>
          <w:divBdr>
            <w:top w:val="none" w:sz="0" w:space="0" w:color="auto"/>
            <w:left w:val="none" w:sz="0" w:space="0" w:color="auto"/>
            <w:bottom w:val="none" w:sz="0" w:space="0" w:color="auto"/>
            <w:right w:val="none" w:sz="0" w:space="0" w:color="auto"/>
          </w:divBdr>
        </w:div>
        <w:div w:id="436608420">
          <w:marLeft w:val="0"/>
          <w:marRight w:val="0"/>
          <w:marTop w:val="0"/>
          <w:marBottom w:val="0"/>
          <w:divBdr>
            <w:top w:val="none" w:sz="0" w:space="0" w:color="auto"/>
            <w:left w:val="none" w:sz="0" w:space="0" w:color="auto"/>
            <w:bottom w:val="none" w:sz="0" w:space="0" w:color="auto"/>
            <w:right w:val="none" w:sz="0" w:space="0" w:color="auto"/>
          </w:divBdr>
        </w:div>
        <w:div w:id="850491783">
          <w:marLeft w:val="720"/>
          <w:marRight w:val="0"/>
          <w:marTop w:val="0"/>
          <w:marBottom w:val="0"/>
          <w:divBdr>
            <w:top w:val="none" w:sz="0" w:space="0" w:color="auto"/>
            <w:left w:val="none" w:sz="0" w:space="0" w:color="auto"/>
            <w:bottom w:val="none" w:sz="0" w:space="0" w:color="auto"/>
            <w:right w:val="none" w:sz="0" w:space="0" w:color="auto"/>
          </w:divBdr>
        </w:div>
        <w:div w:id="1464736033">
          <w:marLeft w:val="0"/>
          <w:marRight w:val="0"/>
          <w:marTop w:val="0"/>
          <w:marBottom w:val="0"/>
          <w:divBdr>
            <w:top w:val="none" w:sz="0" w:space="0" w:color="auto"/>
            <w:left w:val="none" w:sz="0" w:space="0" w:color="auto"/>
            <w:bottom w:val="none" w:sz="0" w:space="0" w:color="auto"/>
            <w:right w:val="none" w:sz="0" w:space="0" w:color="auto"/>
          </w:divBdr>
        </w:div>
        <w:div w:id="406072416">
          <w:marLeft w:val="0"/>
          <w:marRight w:val="0"/>
          <w:marTop w:val="0"/>
          <w:marBottom w:val="0"/>
          <w:divBdr>
            <w:top w:val="none" w:sz="0" w:space="0" w:color="auto"/>
            <w:left w:val="none" w:sz="0" w:space="0" w:color="auto"/>
            <w:bottom w:val="none" w:sz="0" w:space="0" w:color="auto"/>
            <w:right w:val="none" w:sz="0" w:space="0" w:color="auto"/>
          </w:divBdr>
        </w:div>
        <w:div w:id="1816873702">
          <w:marLeft w:val="720"/>
          <w:marRight w:val="0"/>
          <w:marTop w:val="0"/>
          <w:marBottom w:val="0"/>
          <w:divBdr>
            <w:top w:val="none" w:sz="0" w:space="0" w:color="auto"/>
            <w:left w:val="none" w:sz="0" w:space="0" w:color="auto"/>
            <w:bottom w:val="none" w:sz="0" w:space="0" w:color="auto"/>
            <w:right w:val="none" w:sz="0" w:space="0" w:color="auto"/>
          </w:divBdr>
        </w:div>
        <w:div w:id="2120297450">
          <w:marLeft w:val="0"/>
          <w:marRight w:val="0"/>
          <w:marTop w:val="0"/>
          <w:marBottom w:val="0"/>
          <w:divBdr>
            <w:top w:val="none" w:sz="0" w:space="0" w:color="auto"/>
            <w:left w:val="none" w:sz="0" w:space="0" w:color="auto"/>
            <w:bottom w:val="none" w:sz="0" w:space="0" w:color="auto"/>
            <w:right w:val="none" w:sz="0" w:space="0" w:color="auto"/>
          </w:divBdr>
        </w:div>
        <w:div w:id="1400862162">
          <w:marLeft w:val="0"/>
          <w:marRight w:val="0"/>
          <w:marTop w:val="0"/>
          <w:marBottom w:val="0"/>
          <w:divBdr>
            <w:top w:val="none" w:sz="0" w:space="0" w:color="auto"/>
            <w:left w:val="none" w:sz="0" w:space="0" w:color="auto"/>
            <w:bottom w:val="none" w:sz="0" w:space="0" w:color="auto"/>
            <w:right w:val="none" w:sz="0" w:space="0" w:color="auto"/>
          </w:divBdr>
        </w:div>
        <w:div w:id="341201024">
          <w:marLeft w:val="720"/>
          <w:marRight w:val="0"/>
          <w:marTop w:val="0"/>
          <w:marBottom w:val="0"/>
          <w:divBdr>
            <w:top w:val="none" w:sz="0" w:space="0" w:color="auto"/>
            <w:left w:val="none" w:sz="0" w:space="0" w:color="auto"/>
            <w:bottom w:val="none" w:sz="0" w:space="0" w:color="auto"/>
            <w:right w:val="none" w:sz="0" w:space="0" w:color="auto"/>
          </w:divBdr>
        </w:div>
        <w:div w:id="1470201104">
          <w:marLeft w:val="0"/>
          <w:marRight w:val="0"/>
          <w:marTop w:val="0"/>
          <w:marBottom w:val="0"/>
          <w:divBdr>
            <w:top w:val="none" w:sz="0" w:space="0" w:color="auto"/>
            <w:left w:val="none" w:sz="0" w:space="0" w:color="auto"/>
            <w:bottom w:val="none" w:sz="0" w:space="0" w:color="auto"/>
            <w:right w:val="none" w:sz="0" w:space="0" w:color="auto"/>
          </w:divBdr>
        </w:div>
        <w:div w:id="2061977495">
          <w:marLeft w:val="0"/>
          <w:marRight w:val="0"/>
          <w:marTop w:val="0"/>
          <w:marBottom w:val="0"/>
          <w:divBdr>
            <w:top w:val="none" w:sz="0" w:space="0" w:color="auto"/>
            <w:left w:val="none" w:sz="0" w:space="0" w:color="auto"/>
            <w:bottom w:val="none" w:sz="0" w:space="0" w:color="auto"/>
            <w:right w:val="none" w:sz="0" w:space="0" w:color="auto"/>
          </w:divBdr>
        </w:div>
        <w:div w:id="257102307">
          <w:marLeft w:val="720"/>
          <w:marRight w:val="0"/>
          <w:marTop w:val="0"/>
          <w:marBottom w:val="0"/>
          <w:divBdr>
            <w:top w:val="none" w:sz="0" w:space="0" w:color="auto"/>
            <w:left w:val="none" w:sz="0" w:space="0" w:color="auto"/>
            <w:bottom w:val="none" w:sz="0" w:space="0" w:color="auto"/>
            <w:right w:val="none" w:sz="0" w:space="0" w:color="auto"/>
          </w:divBdr>
        </w:div>
        <w:div w:id="1095398264">
          <w:marLeft w:val="0"/>
          <w:marRight w:val="0"/>
          <w:marTop w:val="0"/>
          <w:marBottom w:val="0"/>
          <w:divBdr>
            <w:top w:val="none" w:sz="0" w:space="0" w:color="auto"/>
            <w:left w:val="none" w:sz="0" w:space="0" w:color="auto"/>
            <w:bottom w:val="none" w:sz="0" w:space="0" w:color="auto"/>
            <w:right w:val="none" w:sz="0" w:space="0" w:color="auto"/>
          </w:divBdr>
        </w:div>
        <w:div w:id="2040616625">
          <w:marLeft w:val="0"/>
          <w:marRight w:val="0"/>
          <w:marTop w:val="0"/>
          <w:marBottom w:val="0"/>
          <w:divBdr>
            <w:top w:val="none" w:sz="0" w:space="0" w:color="auto"/>
            <w:left w:val="none" w:sz="0" w:space="0" w:color="auto"/>
            <w:bottom w:val="none" w:sz="0" w:space="0" w:color="auto"/>
            <w:right w:val="none" w:sz="0" w:space="0" w:color="auto"/>
          </w:divBdr>
        </w:div>
        <w:div w:id="1513571945">
          <w:marLeft w:val="720"/>
          <w:marRight w:val="0"/>
          <w:marTop w:val="0"/>
          <w:marBottom w:val="0"/>
          <w:divBdr>
            <w:top w:val="none" w:sz="0" w:space="0" w:color="auto"/>
            <w:left w:val="none" w:sz="0" w:space="0" w:color="auto"/>
            <w:bottom w:val="none" w:sz="0" w:space="0" w:color="auto"/>
            <w:right w:val="none" w:sz="0" w:space="0" w:color="auto"/>
          </w:divBdr>
        </w:div>
        <w:div w:id="919679612">
          <w:marLeft w:val="0"/>
          <w:marRight w:val="0"/>
          <w:marTop w:val="0"/>
          <w:marBottom w:val="0"/>
          <w:divBdr>
            <w:top w:val="none" w:sz="0" w:space="0" w:color="auto"/>
            <w:left w:val="none" w:sz="0" w:space="0" w:color="auto"/>
            <w:bottom w:val="none" w:sz="0" w:space="0" w:color="auto"/>
            <w:right w:val="none" w:sz="0" w:space="0" w:color="auto"/>
          </w:divBdr>
        </w:div>
        <w:div w:id="1494878202">
          <w:marLeft w:val="0"/>
          <w:marRight w:val="0"/>
          <w:marTop w:val="0"/>
          <w:marBottom w:val="0"/>
          <w:divBdr>
            <w:top w:val="none" w:sz="0" w:space="0" w:color="auto"/>
            <w:left w:val="none" w:sz="0" w:space="0" w:color="auto"/>
            <w:bottom w:val="none" w:sz="0" w:space="0" w:color="auto"/>
            <w:right w:val="none" w:sz="0" w:space="0" w:color="auto"/>
          </w:divBdr>
        </w:div>
        <w:div w:id="465394056">
          <w:marLeft w:val="0"/>
          <w:marRight w:val="0"/>
          <w:marTop w:val="0"/>
          <w:marBottom w:val="0"/>
          <w:divBdr>
            <w:top w:val="none" w:sz="0" w:space="0" w:color="auto"/>
            <w:left w:val="none" w:sz="0" w:space="0" w:color="auto"/>
            <w:bottom w:val="none" w:sz="0" w:space="0" w:color="auto"/>
            <w:right w:val="none" w:sz="0" w:space="0" w:color="auto"/>
          </w:divBdr>
        </w:div>
        <w:div w:id="1434085226">
          <w:marLeft w:val="0"/>
          <w:marRight w:val="0"/>
          <w:marTop w:val="0"/>
          <w:marBottom w:val="0"/>
          <w:divBdr>
            <w:top w:val="none" w:sz="0" w:space="0" w:color="auto"/>
            <w:left w:val="none" w:sz="0" w:space="0" w:color="auto"/>
            <w:bottom w:val="none" w:sz="0" w:space="0" w:color="auto"/>
            <w:right w:val="none" w:sz="0" w:space="0" w:color="auto"/>
          </w:divBdr>
        </w:div>
        <w:div w:id="1745835655">
          <w:marLeft w:val="0"/>
          <w:marRight w:val="0"/>
          <w:marTop w:val="0"/>
          <w:marBottom w:val="0"/>
          <w:divBdr>
            <w:top w:val="none" w:sz="0" w:space="0" w:color="auto"/>
            <w:left w:val="none" w:sz="0" w:space="0" w:color="auto"/>
            <w:bottom w:val="none" w:sz="0" w:space="0" w:color="auto"/>
            <w:right w:val="none" w:sz="0" w:space="0" w:color="auto"/>
          </w:divBdr>
        </w:div>
        <w:div w:id="150101311">
          <w:marLeft w:val="0"/>
          <w:marRight w:val="0"/>
          <w:marTop w:val="0"/>
          <w:marBottom w:val="0"/>
          <w:divBdr>
            <w:top w:val="none" w:sz="0" w:space="0" w:color="auto"/>
            <w:left w:val="none" w:sz="0" w:space="0" w:color="auto"/>
            <w:bottom w:val="none" w:sz="0" w:space="0" w:color="auto"/>
            <w:right w:val="none" w:sz="0" w:space="0" w:color="auto"/>
          </w:divBdr>
        </w:div>
        <w:div w:id="1829056605">
          <w:marLeft w:val="0"/>
          <w:marRight w:val="0"/>
          <w:marTop w:val="0"/>
          <w:marBottom w:val="0"/>
          <w:divBdr>
            <w:top w:val="none" w:sz="0" w:space="0" w:color="auto"/>
            <w:left w:val="none" w:sz="0" w:space="0" w:color="auto"/>
            <w:bottom w:val="none" w:sz="0" w:space="0" w:color="auto"/>
            <w:right w:val="none" w:sz="0" w:space="0" w:color="auto"/>
          </w:divBdr>
        </w:div>
        <w:div w:id="1661808066">
          <w:marLeft w:val="0"/>
          <w:marRight w:val="0"/>
          <w:marTop w:val="0"/>
          <w:marBottom w:val="0"/>
          <w:divBdr>
            <w:top w:val="none" w:sz="0" w:space="0" w:color="auto"/>
            <w:left w:val="none" w:sz="0" w:space="0" w:color="auto"/>
            <w:bottom w:val="none" w:sz="0" w:space="0" w:color="auto"/>
            <w:right w:val="none" w:sz="0" w:space="0" w:color="auto"/>
          </w:divBdr>
        </w:div>
        <w:div w:id="337581787">
          <w:marLeft w:val="0"/>
          <w:marRight w:val="0"/>
          <w:marTop w:val="0"/>
          <w:marBottom w:val="0"/>
          <w:divBdr>
            <w:top w:val="none" w:sz="0" w:space="0" w:color="auto"/>
            <w:left w:val="none" w:sz="0" w:space="0" w:color="auto"/>
            <w:bottom w:val="none" w:sz="0" w:space="0" w:color="auto"/>
            <w:right w:val="none" w:sz="0" w:space="0" w:color="auto"/>
          </w:divBdr>
        </w:div>
        <w:div w:id="1830291772">
          <w:marLeft w:val="0"/>
          <w:marRight w:val="0"/>
          <w:marTop w:val="0"/>
          <w:marBottom w:val="0"/>
          <w:divBdr>
            <w:top w:val="none" w:sz="0" w:space="0" w:color="auto"/>
            <w:left w:val="none" w:sz="0" w:space="0" w:color="auto"/>
            <w:bottom w:val="none" w:sz="0" w:space="0" w:color="auto"/>
            <w:right w:val="none" w:sz="0" w:space="0" w:color="auto"/>
          </w:divBdr>
        </w:div>
        <w:div w:id="1355375308">
          <w:marLeft w:val="0"/>
          <w:marRight w:val="0"/>
          <w:marTop w:val="0"/>
          <w:marBottom w:val="0"/>
          <w:divBdr>
            <w:top w:val="none" w:sz="0" w:space="0" w:color="auto"/>
            <w:left w:val="none" w:sz="0" w:space="0" w:color="auto"/>
            <w:bottom w:val="none" w:sz="0" w:space="0" w:color="auto"/>
            <w:right w:val="none" w:sz="0" w:space="0" w:color="auto"/>
          </w:divBdr>
        </w:div>
        <w:div w:id="1341008411">
          <w:marLeft w:val="0"/>
          <w:marRight w:val="0"/>
          <w:marTop w:val="0"/>
          <w:marBottom w:val="0"/>
          <w:divBdr>
            <w:top w:val="none" w:sz="0" w:space="0" w:color="auto"/>
            <w:left w:val="none" w:sz="0" w:space="0" w:color="auto"/>
            <w:bottom w:val="none" w:sz="0" w:space="0" w:color="auto"/>
            <w:right w:val="none" w:sz="0" w:space="0" w:color="auto"/>
          </w:divBdr>
        </w:div>
        <w:div w:id="1934315640">
          <w:marLeft w:val="0"/>
          <w:marRight w:val="0"/>
          <w:marTop w:val="0"/>
          <w:marBottom w:val="0"/>
          <w:divBdr>
            <w:top w:val="none" w:sz="0" w:space="0" w:color="auto"/>
            <w:left w:val="none" w:sz="0" w:space="0" w:color="auto"/>
            <w:bottom w:val="none" w:sz="0" w:space="0" w:color="auto"/>
            <w:right w:val="none" w:sz="0" w:space="0" w:color="auto"/>
          </w:divBdr>
        </w:div>
        <w:div w:id="498497052">
          <w:marLeft w:val="0"/>
          <w:marRight w:val="0"/>
          <w:marTop w:val="0"/>
          <w:marBottom w:val="0"/>
          <w:divBdr>
            <w:top w:val="none" w:sz="0" w:space="0" w:color="auto"/>
            <w:left w:val="none" w:sz="0" w:space="0" w:color="auto"/>
            <w:bottom w:val="none" w:sz="0" w:space="0" w:color="auto"/>
            <w:right w:val="none" w:sz="0" w:space="0" w:color="auto"/>
          </w:divBdr>
        </w:div>
        <w:div w:id="999849152">
          <w:marLeft w:val="0"/>
          <w:marRight w:val="0"/>
          <w:marTop w:val="0"/>
          <w:marBottom w:val="0"/>
          <w:divBdr>
            <w:top w:val="none" w:sz="0" w:space="0" w:color="auto"/>
            <w:left w:val="none" w:sz="0" w:space="0" w:color="auto"/>
            <w:bottom w:val="none" w:sz="0" w:space="0" w:color="auto"/>
            <w:right w:val="none" w:sz="0" w:space="0" w:color="auto"/>
          </w:divBdr>
        </w:div>
        <w:div w:id="167330702">
          <w:marLeft w:val="0"/>
          <w:marRight w:val="0"/>
          <w:marTop w:val="0"/>
          <w:marBottom w:val="0"/>
          <w:divBdr>
            <w:top w:val="none" w:sz="0" w:space="0" w:color="auto"/>
            <w:left w:val="none" w:sz="0" w:space="0" w:color="auto"/>
            <w:bottom w:val="none" w:sz="0" w:space="0" w:color="auto"/>
            <w:right w:val="none" w:sz="0" w:space="0" w:color="auto"/>
          </w:divBdr>
        </w:div>
        <w:div w:id="901254902">
          <w:marLeft w:val="0"/>
          <w:marRight w:val="0"/>
          <w:marTop w:val="0"/>
          <w:marBottom w:val="0"/>
          <w:divBdr>
            <w:top w:val="none" w:sz="0" w:space="0" w:color="auto"/>
            <w:left w:val="none" w:sz="0" w:space="0" w:color="auto"/>
            <w:bottom w:val="none" w:sz="0" w:space="0" w:color="auto"/>
            <w:right w:val="none" w:sz="0" w:space="0" w:color="auto"/>
          </w:divBdr>
        </w:div>
        <w:div w:id="221602046">
          <w:marLeft w:val="0"/>
          <w:marRight w:val="0"/>
          <w:marTop w:val="0"/>
          <w:marBottom w:val="0"/>
          <w:divBdr>
            <w:top w:val="none" w:sz="0" w:space="0" w:color="auto"/>
            <w:left w:val="none" w:sz="0" w:space="0" w:color="auto"/>
            <w:bottom w:val="none" w:sz="0" w:space="0" w:color="auto"/>
            <w:right w:val="none" w:sz="0" w:space="0" w:color="auto"/>
          </w:divBdr>
        </w:div>
        <w:div w:id="61758554">
          <w:marLeft w:val="0"/>
          <w:marRight w:val="0"/>
          <w:marTop w:val="0"/>
          <w:marBottom w:val="0"/>
          <w:divBdr>
            <w:top w:val="none" w:sz="0" w:space="0" w:color="auto"/>
            <w:left w:val="none" w:sz="0" w:space="0" w:color="auto"/>
            <w:bottom w:val="none" w:sz="0" w:space="0" w:color="auto"/>
            <w:right w:val="none" w:sz="0" w:space="0" w:color="auto"/>
          </w:divBdr>
        </w:div>
        <w:div w:id="366490880">
          <w:marLeft w:val="0"/>
          <w:marRight w:val="0"/>
          <w:marTop w:val="0"/>
          <w:marBottom w:val="0"/>
          <w:divBdr>
            <w:top w:val="none" w:sz="0" w:space="0" w:color="auto"/>
            <w:left w:val="none" w:sz="0" w:space="0" w:color="auto"/>
            <w:bottom w:val="none" w:sz="0" w:space="0" w:color="auto"/>
            <w:right w:val="none" w:sz="0" w:space="0" w:color="auto"/>
          </w:divBdr>
        </w:div>
        <w:div w:id="1389962137">
          <w:marLeft w:val="0"/>
          <w:marRight w:val="0"/>
          <w:marTop w:val="0"/>
          <w:marBottom w:val="0"/>
          <w:divBdr>
            <w:top w:val="none" w:sz="0" w:space="0" w:color="auto"/>
            <w:left w:val="none" w:sz="0" w:space="0" w:color="auto"/>
            <w:bottom w:val="none" w:sz="0" w:space="0" w:color="auto"/>
            <w:right w:val="none" w:sz="0" w:space="0" w:color="auto"/>
          </w:divBdr>
        </w:div>
        <w:div w:id="1123034249">
          <w:marLeft w:val="0"/>
          <w:marRight w:val="0"/>
          <w:marTop w:val="0"/>
          <w:marBottom w:val="0"/>
          <w:divBdr>
            <w:top w:val="none" w:sz="0" w:space="0" w:color="auto"/>
            <w:left w:val="none" w:sz="0" w:space="0" w:color="auto"/>
            <w:bottom w:val="none" w:sz="0" w:space="0" w:color="auto"/>
            <w:right w:val="none" w:sz="0" w:space="0" w:color="auto"/>
          </w:divBdr>
        </w:div>
        <w:div w:id="728383598">
          <w:marLeft w:val="0"/>
          <w:marRight w:val="0"/>
          <w:marTop w:val="0"/>
          <w:marBottom w:val="0"/>
          <w:divBdr>
            <w:top w:val="none" w:sz="0" w:space="0" w:color="auto"/>
            <w:left w:val="none" w:sz="0" w:space="0" w:color="auto"/>
            <w:bottom w:val="none" w:sz="0" w:space="0" w:color="auto"/>
            <w:right w:val="none" w:sz="0" w:space="0" w:color="auto"/>
          </w:divBdr>
        </w:div>
        <w:div w:id="1479299386">
          <w:marLeft w:val="0"/>
          <w:marRight w:val="0"/>
          <w:marTop w:val="0"/>
          <w:marBottom w:val="0"/>
          <w:divBdr>
            <w:top w:val="none" w:sz="0" w:space="0" w:color="auto"/>
            <w:left w:val="none" w:sz="0" w:space="0" w:color="auto"/>
            <w:bottom w:val="none" w:sz="0" w:space="0" w:color="auto"/>
            <w:right w:val="none" w:sz="0" w:space="0" w:color="auto"/>
          </w:divBdr>
        </w:div>
        <w:div w:id="1054162505">
          <w:marLeft w:val="0"/>
          <w:marRight w:val="0"/>
          <w:marTop w:val="0"/>
          <w:marBottom w:val="0"/>
          <w:divBdr>
            <w:top w:val="none" w:sz="0" w:space="0" w:color="auto"/>
            <w:left w:val="none" w:sz="0" w:space="0" w:color="auto"/>
            <w:bottom w:val="none" w:sz="0" w:space="0" w:color="auto"/>
            <w:right w:val="none" w:sz="0" w:space="0" w:color="auto"/>
          </w:divBdr>
        </w:div>
        <w:div w:id="30763730">
          <w:marLeft w:val="0"/>
          <w:marRight w:val="0"/>
          <w:marTop w:val="0"/>
          <w:marBottom w:val="0"/>
          <w:divBdr>
            <w:top w:val="none" w:sz="0" w:space="0" w:color="auto"/>
            <w:left w:val="none" w:sz="0" w:space="0" w:color="auto"/>
            <w:bottom w:val="none" w:sz="0" w:space="0" w:color="auto"/>
            <w:right w:val="none" w:sz="0" w:space="0" w:color="auto"/>
          </w:divBdr>
        </w:div>
        <w:div w:id="802314669">
          <w:marLeft w:val="0"/>
          <w:marRight w:val="0"/>
          <w:marTop w:val="0"/>
          <w:marBottom w:val="0"/>
          <w:divBdr>
            <w:top w:val="none" w:sz="0" w:space="0" w:color="auto"/>
            <w:left w:val="none" w:sz="0" w:space="0" w:color="auto"/>
            <w:bottom w:val="none" w:sz="0" w:space="0" w:color="auto"/>
            <w:right w:val="none" w:sz="0" w:space="0" w:color="auto"/>
          </w:divBdr>
        </w:div>
        <w:div w:id="1556044239">
          <w:marLeft w:val="0"/>
          <w:marRight w:val="0"/>
          <w:marTop w:val="0"/>
          <w:marBottom w:val="0"/>
          <w:divBdr>
            <w:top w:val="none" w:sz="0" w:space="0" w:color="auto"/>
            <w:left w:val="none" w:sz="0" w:space="0" w:color="auto"/>
            <w:bottom w:val="none" w:sz="0" w:space="0" w:color="auto"/>
            <w:right w:val="none" w:sz="0" w:space="0" w:color="auto"/>
          </w:divBdr>
        </w:div>
        <w:div w:id="1960915667">
          <w:marLeft w:val="0"/>
          <w:marRight w:val="0"/>
          <w:marTop w:val="0"/>
          <w:marBottom w:val="0"/>
          <w:divBdr>
            <w:top w:val="none" w:sz="0" w:space="0" w:color="auto"/>
            <w:left w:val="none" w:sz="0" w:space="0" w:color="auto"/>
            <w:bottom w:val="none" w:sz="0" w:space="0" w:color="auto"/>
            <w:right w:val="none" w:sz="0" w:space="0" w:color="auto"/>
          </w:divBdr>
        </w:div>
        <w:div w:id="1676836219">
          <w:marLeft w:val="0"/>
          <w:marRight w:val="0"/>
          <w:marTop w:val="0"/>
          <w:marBottom w:val="0"/>
          <w:divBdr>
            <w:top w:val="none" w:sz="0" w:space="0" w:color="auto"/>
            <w:left w:val="none" w:sz="0" w:space="0" w:color="auto"/>
            <w:bottom w:val="none" w:sz="0" w:space="0" w:color="auto"/>
            <w:right w:val="none" w:sz="0" w:space="0" w:color="auto"/>
          </w:divBdr>
        </w:div>
        <w:div w:id="146365464">
          <w:marLeft w:val="0"/>
          <w:marRight w:val="0"/>
          <w:marTop w:val="0"/>
          <w:marBottom w:val="0"/>
          <w:divBdr>
            <w:top w:val="none" w:sz="0" w:space="0" w:color="auto"/>
            <w:left w:val="none" w:sz="0" w:space="0" w:color="auto"/>
            <w:bottom w:val="none" w:sz="0" w:space="0" w:color="auto"/>
            <w:right w:val="none" w:sz="0" w:space="0" w:color="auto"/>
          </w:divBdr>
        </w:div>
        <w:div w:id="567228042">
          <w:marLeft w:val="0"/>
          <w:marRight w:val="0"/>
          <w:marTop w:val="0"/>
          <w:marBottom w:val="0"/>
          <w:divBdr>
            <w:top w:val="none" w:sz="0" w:space="0" w:color="auto"/>
            <w:left w:val="none" w:sz="0" w:space="0" w:color="auto"/>
            <w:bottom w:val="none" w:sz="0" w:space="0" w:color="auto"/>
            <w:right w:val="none" w:sz="0" w:space="0" w:color="auto"/>
          </w:divBdr>
        </w:div>
        <w:div w:id="1815097481">
          <w:marLeft w:val="0"/>
          <w:marRight w:val="0"/>
          <w:marTop w:val="0"/>
          <w:marBottom w:val="0"/>
          <w:divBdr>
            <w:top w:val="none" w:sz="0" w:space="0" w:color="auto"/>
            <w:left w:val="none" w:sz="0" w:space="0" w:color="auto"/>
            <w:bottom w:val="none" w:sz="0" w:space="0" w:color="auto"/>
            <w:right w:val="none" w:sz="0" w:space="0" w:color="auto"/>
          </w:divBdr>
        </w:div>
        <w:div w:id="435489055">
          <w:marLeft w:val="0"/>
          <w:marRight w:val="0"/>
          <w:marTop w:val="0"/>
          <w:marBottom w:val="0"/>
          <w:divBdr>
            <w:top w:val="none" w:sz="0" w:space="0" w:color="auto"/>
            <w:left w:val="none" w:sz="0" w:space="0" w:color="auto"/>
            <w:bottom w:val="none" w:sz="0" w:space="0" w:color="auto"/>
            <w:right w:val="none" w:sz="0" w:space="0" w:color="auto"/>
          </w:divBdr>
        </w:div>
        <w:div w:id="2034958843">
          <w:marLeft w:val="0"/>
          <w:marRight w:val="0"/>
          <w:marTop w:val="0"/>
          <w:marBottom w:val="0"/>
          <w:divBdr>
            <w:top w:val="none" w:sz="0" w:space="0" w:color="auto"/>
            <w:left w:val="none" w:sz="0" w:space="0" w:color="auto"/>
            <w:bottom w:val="none" w:sz="0" w:space="0" w:color="auto"/>
            <w:right w:val="none" w:sz="0" w:space="0" w:color="auto"/>
          </w:divBdr>
        </w:div>
        <w:div w:id="279147253">
          <w:marLeft w:val="0"/>
          <w:marRight w:val="0"/>
          <w:marTop w:val="0"/>
          <w:marBottom w:val="0"/>
          <w:divBdr>
            <w:top w:val="none" w:sz="0" w:space="0" w:color="auto"/>
            <w:left w:val="none" w:sz="0" w:space="0" w:color="auto"/>
            <w:bottom w:val="none" w:sz="0" w:space="0" w:color="auto"/>
            <w:right w:val="none" w:sz="0" w:space="0" w:color="auto"/>
          </w:divBdr>
        </w:div>
        <w:div w:id="1270358651">
          <w:marLeft w:val="0"/>
          <w:marRight w:val="0"/>
          <w:marTop w:val="0"/>
          <w:marBottom w:val="0"/>
          <w:divBdr>
            <w:top w:val="none" w:sz="0" w:space="0" w:color="auto"/>
            <w:left w:val="none" w:sz="0" w:space="0" w:color="auto"/>
            <w:bottom w:val="none" w:sz="0" w:space="0" w:color="auto"/>
            <w:right w:val="none" w:sz="0" w:space="0" w:color="auto"/>
          </w:divBdr>
        </w:div>
        <w:div w:id="1567498481">
          <w:marLeft w:val="0"/>
          <w:marRight w:val="0"/>
          <w:marTop w:val="0"/>
          <w:marBottom w:val="0"/>
          <w:divBdr>
            <w:top w:val="none" w:sz="0" w:space="0" w:color="auto"/>
            <w:left w:val="none" w:sz="0" w:space="0" w:color="auto"/>
            <w:bottom w:val="none" w:sz="0" w:space="0" w:color="auto"/>
            <w:right w:val="none" w:sz="0" w:space="0" w:color="auto"/>
          </w:divBdr>
        </w:div>
        <w:div w:id="1533490677">
          <w:marLeft w:val="0"/>
          <w:marRight w:val="0"/>
          <w:marTop w:val="0"/>
          <w:marBottom w:val="0"/>
          <w:divBdr>
            <w:top w:val="none" w:sz="0" w:space="0" w:color="auto"/>
            <w:left w:val="none" w:sz="0" w:space="0" w:color="auto"/>
            <w:bottom w:val="none" w:sz="0" w:space="0" w:color="auto"/>
            <w:right w:val="none" w:sz="0" w:space="0" w:color="auto"/>
          </w:divBdr>
        </w:div>
        <w:div w:id="427435034">
          <w:marLeft w:val="0"/>
          <w:marRight w:val="0"/>
          <w:marTop w:val="0"/>
          <w:marBottom w:val="0"/>
          <w:divBdr>
            <w:top w:val="none" w:sz="0" w:space="0" w:color="auto"/>
            <w:left w:val="none" w:sz="0" w:space="0" w:color="auto"/>
            <w:bottom w:val="none" w:sz="0" w:space="0" w:color="auto"/>
            <w:right w:val="none" w:sz="0" w:space="0" w:color="auto"/>
          </w:divBdr>
        </w:div>
        <w:div w:id="494496286">
          <w:marLeft w:val="0"/>
          <w:marRight w:val="0"/>
          <w:marTop w:val="0"/>
          <w:marBottom w:val="0"/>
          <w:divBdr>
            <w:top w:val="none" w:sz="0" w:space="0" w:color="auto"/>
            <w:left w:val="none" w:sz="0" w:space="0" w:color="auto"/>
            <w:bottom w:val="none" w:sz="0" w:space="0" w:color="auto"/>
            <w:right w:val="none" w:sz="0" w:space="0" w:color="auto"/>
          </w:divBdr>
        </w:div>
        <w:div w:id="807431644">
          <w:marLeft w:val="0"/>
          <w:marRight w:val="0"/>
          <w:marTop w:val="0"/>
          <w:marBottom w:val="0"/>
          <w:divBdr>
            <w:top w:val="none" w:sz="0" w:space="0" w:color="auto"/>
            <w:left w:val="none" w:sz="0" w:space="0" w:color="auto"/>
            <w:bottom w:val="none" w:sz="0" w:space="0" w:color="auto"/>
            <w:right w:val="none" w:sz="0" w:space="0" w:color="auto"/>
          </w:divBdr>
        </w:div>
        <w:div w:id="1013800162">
          <w:marLeft w:val="0"/>
          <w:marRight w:val="0"/>
          <w:marTop w:val="0"/>
          <w:marBottom w:val="0"/>
          <w:divBdr>
            <w:top w:val="none" w:sz="0" w:space="0" w:color="auto"/>
            <w:left w:val="none" w:sz="0" w:space="0" w:color="auto"/>
            <w:bottom w:val="none" w:sz="0" w:space="0" w:color="auto"/>
            <w:right w:val="none" w:sz="0" w:space="0" w:color="auto"/>
          </w:divBdr>
        </w:div>
        <w:div w:id="2112310176">
          <w:marLeft w:val="0"/>
          <w:marRight w:val="0"/>
          <w:marTop w:val="0"/>
          <w:marBottom w:val="0"/>
          <w:divBdr>
            <w:top w:val="none" w:sz="0" w:space="0" w:color="auto"/>
            <w:left w:val="none" w:sz="0" w:space="0" w:color="auto"/>
            <w:bottom w:val="none" w:sz="0" w:space="0" w:color="auto"/>
            <w:right w:val="none" w:sz="0" w:space="0" w:color="auto"/>
          </w:divBdr>
        </w:div>
        <w:div w:id="1384789652">
          <w:marLeft w:val="0"/>
          <w:marRight w:val="0"/>
          <w:marTop w:val="0"/>
          <w:marBottom w:val="0"/>
          <w:divBdr>
            <w:top w:val="none" w:sz="0" w:space="0" w:color="auto"/>
            <w:left w:val="none" w:sz="0" w:space="0" w:color="auto"/>
            <w:bottom w:val="none" w:sz="0" w:space="0" w:color="auto"/>
            <w:right w:val="none" w:sz="0" w:space="0" w:color="auto"/>
          </w:divBdr>
        </w:div>
        <w:div w:id="1700810230">
          <w:marLeft w:val="0"/>
          <w:marRight w:val="0"/>
          <w:marTop w:val="0"/>
          <w:marBottom w:val="0"/>
          <w:divBdr>
            <w:top w:val="none" w:sz="0" w:space="0" w:color="auto"/>
            <w:left w:val="none" w:sz="0" w:space="0" w:color="auto"/>
            <w:bottom w:val="none" w:sz="0" w:space="0" w:color="auto"/>
            <w:right w:val="none" w:sz="0" w:space="0" w:color="auto"/>
          </w:divBdr>
        </w:div>
        <w:div w:id="147136953">
          <w:marLeft w:val="0"/>
          <w:marRight w:val="0"/>
          <w:marTop w:val="0"/>
          <w:marBottom w:val="0"/>
          <w:divBdr>
            <w:top w:val="none" w:sz="0" w:space="0" w:color="auto"/>
            <w:left w:val="none" w:sz="0" w:space="0" w:color="auto"/>
            <w:bottom w:val="none" w:sz="0" w:space="0" w:color="auto"/>
            <w:right w:val="none" w:sz="0" w:space="0" w:color="auto"/>
          </w:divBdr>
        </w:div>
        <w:div w:id="1191647243">
          <w:marLeft w:val="0"/>
          <w:marRight w:val="0"/>
          <w:marTop w:val="0"/>
          <w:marBottom w:val="0"/>
          <w:divBdr>
            <w:top w:val="none" w:sz="0" w:space="0" w:color="auto"/>
            <w:left w:val="none" w:sz="0" w:space="0" w:color="auto"/>
            <w:bottom w:val="none" w:sz="0" w:space="0" w:color="auto"/>
            <w:right w:val="none" w:sz="0" w:space="0" w:color="auto"/>
          </w:divBdr>
        </w:div>
        <w:div w:id="1586572815">
          <w:marLeft w:val="0"/>
          <w:marRight w:val="0"/>
          <w:marTop w:val="0"/>
          <w:marBottom w:val="0"/>
          <w:divBdr>
            <w:top w:val="none" w:sz="0" w:space="0" w:color="auto"/>
            <w:left w:val="none" w:sz="0" w:space="0" w:color="auto"/>
            <w:bottom w:val="none" w:sz="0" w:space="0" w:color="auto"/>
            <w:right w:val="none" w:sz="0" w:space="0" w:color="auto"/>
          </w:divBdr>
        </w:div>
        <w:div w:id="32729530">
          <w:marLeft w:val="0"/>
          <w:marRight w:val="0"/>
          <w:marTop w:val="0"/>
          <w:marBottom w:val="0"/>
          <w:divBdr>
            <w:top w:val="none" w:sz="0" w:space="0" w:color="auto"/>
            <w:left w:val="none" w:sz="0" w:space="0" w:color="auto"/>
            <w:bottom w:val="none" w:sz="0" w:space="0" w:color="auto"/>
            <w:right w:val="none" w:sz="0" w:space="0" w:color="auto"/>
          </w:divBdr>
        </w:div>
        <w:div w:id="602954943">
          <w:marLeft w:val="0"/>
          <w:marRight w:val="0"/>
          <w:marTop w:val="0"/>
          <w:marBottom w:val="0"/>
          <w:divBdr>
            <w:top w:val="none" w:sz="0" w:space="0" w:color="auto"/>
            <w:left w:val="none" w:sz="0" w:space="0" w:color="auto"/>
            <w:bottom w:val="none" w:sz="0" w:space="0" w:color="auto"/>
            <w:right w:val="none" w:sz="0" w:space="0" w:color="auto"/>
          </w:divBdr>
        </w:div>
        <w:div w:id="1234656324">
          <w:marLeft w:val="0"/>
          <w:marRight w:val="0"/>
          <w:marTop w:val="0"/>
          <w:marBottom w:val="0"/>
          <w:divBdr>
            <w:top w:val="none" w:sz="0" w:space="0" w:color="auto"/>
            <w:left w:val="none" w:sz="0" w:space="0" w:color="auto"/>
            <w:bottom w:val="none" w:sz="0" w:space="0" w:color="auto"/>
            <w:right w:val="none" w:sz="0" w:space="0" w:color="auto"/>
          </w:divBdr>
        </w:div>
        <w:div w:id="927422237">
          <w:marLeft w:val="0"/>
          <w:marRight w:val="0"/>
          <w:marTop w:val="0"/>
          <w:marBottom w:val="0"/>
          <w:divBdr>
            <w:top w:val="none" w:sz="0" w:space="0" w:color="auto"/>
            <w:left w:val="none" w:sz="0" w:space="0" w:color="auto"/>
            <w:bottom w:val="none" w:sz="0" w:space="0" w:color="auto"/>
            <w:right w:val="none" w:sz="0" w:space="0" w:color="auto"/>
          </w:divBdr>
        </w:div>
        <w:div w:id="561599023">
          <w:marLeft w:val="0"/>
          <w:marRight w:val="0"/>
          <w:marTop w:val="0"/>
          <w:marBottom w:val="0"/>
          <w:divBdr>
            <w:top w:val="none" w:sz="0" w:space="0" w:color="auto"/>
            <w:left w:val="none" w:sz="0" w:space="0" w:color="auto"/>
            <w:bottom w:val="none" w:sz="0" w:space="0" w:color="auto"/>
            <w:right w:val="none" w:sz="0" w:space="0" w:color="auto"/>
          </w:divBdr>
        </w:div>
        <w:div w:id="1696271992">
          <w:marLeft w:val="0"/>
          <w:marRight w:val="0"/>
          <w:marTop w:val="0"/>
          <w:marBottom w:val="0"/>
          <w:divBdr>
            <w:top w:val="none" w:sz="0" w:space="0" w:color="auto"/>
            <w:left w:val="none" w:sz="0" w:space="0" w:color="auto"/>
            <w:bottom w:val="none" w:sz="0" w:space="0" w:color="auto"/>
            <w:right w:val="none" w:sz="0" w:space="0" w:color="auto"/>
          </w:divBdr>
        </w:div>
        <w:div w:id="307365660">
          <w:marLeft w:val="0"/>
          <w:marRight w:val="0"/>
          <w:marTop w:val="0"/>
          <w:marBottom w:val="0"/>
          <w:divBdr>
            <w:top w:val="none" w:sz="0" w:space="0" w:color="auto"/>
            <w:left w:val="none" w:sz="0" w:space="0" w:color="auto"/>
            <w:bottom w:val="none" w:sz="0" w:space="0" w:color="auto"/>
            <w:right w:val="none" w:sz="0" w:space="0" w:color="auto"/>
          </w:divBdr>
        </w:div>
        <w:div w:id="1401829428">
          <w:marLeft w:val="0"/>
          <w:marRight w:val="0"/>
          <w:marTop w:val="0"/>
          <w:marBottom w:val="0"/>
          <w:divBdr>
            <w:top w:val="none" w:sz="0" w:space="0" w:color="auto"/>
            <w:left w:val="none" w:sz="0" w:space="0" w:color="auto"/>
            <w:bottom w:val="none" w:sz="0" w:space="0" w:color="auto"/>
            <w:right w:val="none" w:sz="0" w:space="0" w:color="auto"/>
          </w:divBdr>
        </w:div>
        <w:div w:id="850728405">
          <w:marLeft w:val="0"/>
          <w:marRight w:val="0"/>
          <w:marTop w:val="0"/>
          <w:marBottom w:val="0"/>
          <w:divBdr>
            <w:top w:val="none" w:sz="0" w:space="0" w:color="auto"/>
            <w:left w:val="none" w:sz="0" w:space="0" w:color="auto"/>
            <w:bottom w:val="none" w:sz="0" w:space="0" w:color="auto"/>
            <w:right w:val="none" w:sz="0" w:space="0" w:color="auto"/>
          </w:divBdr>
        </w:div>
        <w:div w:id="497156454">
          <w:marLeft w:val="0"/>
          <w:marRight w:val="0"/>
          <w:marTop w:val="0"/>
          <w:marBottom w:val="0"/>
          <w:divBdr>
            <w:top w:val="none" w:sz="0" w:space="0" w:color="auto"/>
            <w:left w:val="none" w:sz="0" w:space="0" w:color="auto"/>
            <w:bottom w:val="none" w:sz="0" w:space="0" w:color="auto"/>
            <w:right w:val="none" w:sz="0" w:space="0" w:color="auto"/>
          </w:divBdr>
        </w:div>
        <w:div w:id="784691387">
          <w:marLeft w:val="0"/>
          <w:marRight w:val="0"/>
          <w:marTop w:val="0"/>
          <w:marBottom w:val="0"/>
          <w:divBdr>
            <w:top w:val="none" w:sz="0" w:space="0" w:color="auto"/>
            <w:left w:val="none" w:sz="0" w:space="0" w:color="auto"/>
            <w:bottom w:val="none" w:sz="0" w:space="0" w:color="auto"/>
            <w:right w:val="none" w:sz="0" w:space="0" w:color="auto"/>
          </w:divBdr>
        </w:div>
        <w:div w:id="1445538282">
          <w:marLeft w:val="0"/>
          <w:marRight w:val="0"/>
          <w:marTop w:val="0"/>
          <w:marBottom w:val="0"/>
          <w:divBdr>
            <w:top w:val="none" w:sz="0" w:space="0" w:color="auto"/>
            <w:left w:val="none" w:sz="0" w:space="0" w:color="auto"/>
            <w:bottom w:val="none" w:sz="0" w:space="0" w:color="auto"/>
            <w:right w:val="none" w:sz="0" w:space="0" w:color="auto"/>
          </w:divBdr>
        </w:div>
        <w:div w:id="47150368">
          <w:marLeft w:val="0"/>
          <w:marRight w:val="0"/>
          <w:marTop w:val="0"/>
          <w:marBottom w:val="0"/>
          <w:divBdr>
            <w:top w:val="none" w:sz="0" w:space="0" w:color="auto"/>
            <w:left w:val="none" w:sz="0" w:space="0" w:color="auto"/>
            <w:bottom w:val="none" w:sz="0" w:space="0" w:color="auto"/>
            <w:right w:val="none" w:sz="0" w:space="0" w:color="auto"/>
          </w:divBdr>
        </w:div>
        <w:div w:id="48577274">
          <w:marLeft w:val="0"/>
          <w:marRight w:val="0"/>
          <w:marTop w:val="0"/>
          <w:marBottom w:val="0"/>
          <w:divBdr>
            <w:top w:val="none" w:sz="0" w:space="0" w:color="auto"/>
            <w:left w:val="none" w:sz="0" w:space="0" w:color="auto"/>
            <w:bottom w:val="none" w:sz="0" w:space="0" w:color="auto"/>
            <w:right w:val="none" w:sz="0" w:space="0" w:color="auto"/>
          </w:divBdr>
        </w:div>
        <w:div w:id="382874264">
          <w:marLeft w:val="0"/>
          <w:marRight w:val="0"/>
          <w:marTop w:val="0"/>
          <w:marBottom w:val="0"/>
          <w:divBdr>
            <w:top w:val="none" w:sz="0" w:space="0" w:color="auto"/>
            <w:left w:val="none" w:sz="0" w:space="0" w:color="auto"/>
            <w:bottom w:val="none" w:sz="0" w:space="0" w:color="auto"/>
            <w:right w:val="none" w:sz="0" w:space="0" w:color="auto"/>
          </w:divBdr>
        </w:div>
        <w:div w:id="2116438895">
          <w:marLeft w:val="0"/>
          <w:marRight w:val="0"/>
          <w:marTop w:val="0"/>
          <w:marBottom w:val="0"/>
          <w:divBdr>
            <w:top w:val="none" w:sz="0" w:space="0" w:color="auto"/>
            <w:left w:val="none" w:sz="0" w:space="0" w:color="auto"/>
            <w:bottom w:val="none" w:sz="0" w:space="0" w:color="auto"/>
            <w:right w:val="none" w:sz="0" w:space="0" w:color="auto"/>
          </w:divBdr>
        </w:div>
        <w:div w:id="126121099">
          <w:marLeft w:val="0"/>
          <w:marRight w:val="0"/>
          <w:marTop w:val="0"/>
          <w:marBottom w:val="0"/>
          <w:divBdr>
            <w:top w:val="none" w:sz="0" w:space="0" w:color="auto"/>
            <w:left w:val="none" w:sz="0" w:space="0" w:color="auto"/>
            <w:bottom w:val="none" w:sz="0" w:space="0" w:color="auto"/>
            <w:right w:val="none" w:sz="0" w:space="0" w:color="auto"/>
          </w:divBdr>
        </w:div>
        <w:div w:id="508106131">
          <w:marLeft w:val="0"/>
          <w:marRight w:val="0"/>
          <w:marTop w:val="0"/>
          <w:marBottom w:val="0"/>
          <w:divBdr>
            <w:top w:val="none" w:sz="0" w:space="0" w:color="auto"/>
            <w:left w:val="none" w:sz="0" w:space="0" w:color="auto"/>
            <w:bottom w:val="none" w:sz="0" w:space="0" w:color="auto"/>
            <w:right w:val="none" w:sz="0" w:space="0" w:color="auto"/>
          </w:divBdr>
        </w:div>
        <w:div w:id="798452728">
          <w:marLeft w:val="0"/>
          <w:marRight w:val="0"/>
          <w:marTop w:val="0"/>
          <w:marBottom w:val="0"/>
          <w:divBdr>
            <w:top w:val="none" w:sz="0" w:space="0" w:color="auto"/>
            <w:left w:val="none" w:sz="0" w:space="0" w:color="auto"/>
            <w:bottom w:val="none" w:sz="0" w:space="0" w:color="auto"/>
            <w:right w:val="none" w:sz="0" w:space="0" w:color="auto"/>
          </w:divBdr>
        </w:div>
        <w:div w:id="1619488982">
          <w:marLeft w:val="0"/>
          <w:marRight w:val="0"/>
          <w:marTop w:val="0"/>
          <w:marBottom w:val="0"/>
          <w:divBdr>
            <w:top w:val="none" w:sz="0" w:space="0" w:color="auto"/>
            <w:left w:val="none" w:sz="0" w:space="0" w:color="auto"/>
            <w:bottom w:val="none" w:sz="0" w:space="0" w:color="auto"/>
            <w:right w:val="none" w:sz="0" w:space="0" w:color="auto"/>
          </w:divBdr>
        </w:div>
        <w:div w:id="1862813763">
          <w:marLeft w:val="0"/>
          <w:marRight w:val="0"/>
          <w:marTop w:val="0"/>
          <w:marBottom w:val="0"/>
          <w:divBdr>
            <w:top w:val="none" w:sz="0" w:space="0" w:color="auto"/>
            <w:left w:val="none" w:sz="0" w:space="0" w:color="auto"/>
            <w:bottom w:val="none" w:sz="0" w:space="0" w:color="auto"/>
            <w:right w:val="none" w:sz="0" w:space="0" w:color="auto"/>
          </w:divBdr>
        </w:div>
        <w:div w:id="1650594516">
          <w:marLeft w:val="0"/>
          <w:marRight w:val="0"/>
          <w:marTop w:val="0"/>
          <w:marBottom w:val="0"/>
          <w:divBdr>
            <w:top w:val="none" w:sz="0" w:space="0" w:color="auto"/>
            <w:left w:val="none" w:sz="0" w:space="0" w:color="auto"/>
            <w:bottom w:val="none" w:sz="0" w:space="0" w:color="auto"/>
            <w:right w:val="none" w:sz="0" w:space="0" w:color="auto"/>
          </w:divBdr>
        </w:div>
        <w:div w:id="1802992821">
          <w:marLeft w:val="0"/>
          <w:marRight w:val="0"/>
          <w:marTop w:val="0"/>
          <w:marBottom w:val="0"/>
          <w:divBdr>
            <w:top w:val="none" w:sz="0" w:space="0" w:color="auto"/>
            <w:left w:val="none" w:sz="0" w:space="0" w:color="auto"/>
            <w:bottom w:val="none" w:sz="0" w:space="0" w:color="auto"/>
            <w:right w:val="none" w:sz="0" w:space="0" w:color="auto"/>
          </w:divBdr>
        </w:div>
        <w:div w:id="1453482034">
          <w:marLeft w:val="0"/>
          <w:marRight w:val="0"/>
          <w:marTop w:val="0"/>
          <w:marBottom w:val="0"/>
          <w:divBdr>
            <w:top w:val="none" w:sz="0" w:space="0" w:color="auto"/>
            <w:left w:val="none" w:sz="0" w:space="0" w:color="auto"/>
            <w:bottom w:val="none" w:sz="0" w:space="0" w:color="auto"/>
            <w:right w:val="none" w:sz="0" w:space="0" w:color="auto"/>
          </w:divBdr>
        </w:div>
        <w:div w:id="199901859">
          <w:marLeft w:val="0"/>
          <w:marRight w:val="0"/>
          <w:marTop w:val="0"/>
          <w:marBottom w:val="0"/>
          <w:divBdr>
            <w:top w:val="none" w:sz="0" w:space="0" w:color="auto"/>
            <w:left w:val="none" w:sz="0" w:space="0" w:color="auto"/>
            <w:bottom w:val="none" w:sz="0" w:space="0" w:color="auto"/>
            <w:right w:val="none" w:sz="0" w:space="0" w:color="auto"/>
          </w:divBdr>
        </w:div>
        <w:div w:id="2080861824">
          <w:marLeft w:val="0"/>
          <w:marRight w:val="0"/>
          <w:marTop w:val="0"/>
          <w:marBottom w:val="0"/>
          <w:divBdr>
            <w:top w:val="none" w:sz="0" w:space="0" w:color="auto"/>
            <w:left w:val="none" w:sz="0" w:space="0" w:color="auto"/>
            <w:bottom w:val="none" w:sz="0" w:space="0" w:color="auto"/>
            <w:right w:val="none" w:sz="0" w:space="0" w:color="auto"/>
          </w:divBdr>
        </w:div>
        <w:div w:id="1550216964">
          <w:marLeft w:val="720"/>
          <w:marRight w:val="0"/>
          <w:marTop w:val="0"/>
          <w:marBottom w:val="0"/>
          <w:divBdr>
            <w:top w:val="none" w:sz="0" w:space="0" w:color="auto"/>
            <w:left w:val="none" w:sz="0" w:space="0" w:color="auto"/>
            <w:bottom w:val="none" w:sz="0" w:space="0" w:color="auto"/>
            <w:right w:val="none" w:sz="0" w:space="0" w:color="auto"/>
          </w:divBdr>
        </w:div>
        <w:div w:id="606622929">
          <w:marLeft w:val="0"/>
          <w:marRight w:val="0"/>
          <w:marTop w:val="0"/>
          <w:marBottom w:val="0"/>
          <w:divBdr>
            <w:top w:val="none" w:sz="0" w:space="0" w:color="auto"/>
            <w:left w:val="none" w:sz="0" w:space="0" w:color="auto"/>
            <w:bottom w:val="none" w:sz="0" w:space="0" w:color="auto"/>
            <w:right w:val="none" w:sz="0" w:space="0" w:color="auto"/>
          </w:divBdr>
        </w:div>
        <w:div w:id="1765146760">
          <w:marLeft w:val="0"/>
          <w:marRight w:val="0"/>
          <w:marTop w:val="0"/>
          <w:marBottom w:val="0"/>
          <w:divBdr>
            <w:top w:val="none" w:sz="0" w:space="0" w:color="auto"/>
            <w:left w:val="none" w:sz="0" w:space="0" w:color="auto"/>
            <w:bottom w:val="none" w:sz="0" w:space="0" w:color="auto"/>
            <w:right w:val="none" w:sz="0" w:space="0" w:color="auto"/>
          </w:divBdr>
        </w:div>
        <w:div w:id="1880819717">
          <w:marLeft w:val="0"/>
          <w:marRight w:val="0"/>
          <w:marTop w:val="0"/>
          <w:marBottom w:val="0"/>
          <w:divBdr>
            <w:top w:val="none" w:sz="0" w:space="0" w:color="auto"/>
            <w:left w:val="none" w:sz="0" w:space="0" w:color="auto"/>
            <w:bottom w:val="none" w:sz="0" w:space="0" w:color="auto"/>
            <w:right w:val="none" w:sz="0" w:space="0" w:color="auto"/>
          </w:divBdr>
        </w:div>
        <w:div w:id="718551206">
          <w:marLeft w:val="0"/>
          <w:marRight w:val="0"/>
          <w:marTop w:val="0"/>
          <w:marBottom w:val="0"/>
          <w:divBdr>
            <w:top w:val="none" w:sz="0" w:space="0" w:color="auto"/>
            <w:left w:val="none" w:sz="0" w:space="0" w:color="auto"/>
            <w:bottom w:val="none" w:sz="0" w:space="0" w:color="auto"/>
            <w:right w:val="none" w:sz="0" w:space="0" w:color="auto"/>
          </w:divBdr>
        </w:div>
        <w:div w:id="1476987634">
          <w:marLeft w:val="0"/>
          <w:marRight w:val="0"/>
          <w:marTop w:val="0"/>
          <w:marBottom w:val="0"/>
          <w:divBdr>
            <w:top w:val="none" w:sz="0" w:space="0" w:color="auto"/>
            <w:left w:val="none" w:sz="0" w:space="0" w:color="auto"/>
            <w:bottom w:val="none" w:sz="0" w:space="0" w:color="auto"/>
            <w:right w:val="none" w:sz="0" w:space="0" w:color="auto"/>
          </w:divBdr>
        </w:div>
        <w:div w:id="11424410">
          <w:marLeft w:val="0"/>
          <w:marRight w:val="0"/>
          <w:marTop w:val="0"/>
          <w:marBottom w:val="0"/>
          <w:divBdr>
            <w:top w:val="none" w:sz="0" w:space="0" w:color="auto"/>
            <w:left w:val="none" w:sz="0" w:space="0" w:color="auto"/>
            <w:bottom w:val="none" w:sz="0" w:space="0" w:color="auto"/>
            <w:right w:val="none" w:sz="0" w:space="0" w:color="auto"/>
          </w:divBdr>
        </w:div>
        <w:div w:id="27680423">
          <w:marLeft w:val="0"/>
          <w:marRight w:val="0"/>
          <w:marTop w:val="0"/>
          <w:marBottom w:val="0"/>
          <w:divBdr>
            <w:top w:val="none" w:sz="0" w:space="0" w:color="auto"/>
            <w:left w:val="none" w:sz="0" w:space="0" w:color="auto"/>
            <w:bottom w:val="none" w:sz="0" w:space="0" w:color="auto"/>
            <w:right w:val="none" w:sz="0" w:space="0" w:color="auto"/>
          </w:divBdr>
        </w:div>
        <w:div w:id="1392849851">
          <w:marLeft w:val="0"/>
          <w:marRight w:val="0"/>
          <w:marTop w:val="0"/>
          <w:marBottom w:val="0"/>
          <w:divBdr>
            <w:top w:val="none" w:sz="0" w:space="0" w:color="auto"/>
            <w:left w:val="none" w:sz="0" w:space="0" w:color="auto"/>
            <w:bottom w:val="none" w:sz="0" w:space="0" w:color="auto"/>
            <w:right w:val="none" w:sz="0" w:space="0" w:color="auto"/>
          </w:divBdr>
        </w:div>
        <w:div w:id="821893995">
          <w:marLeft w:val="0"/>
          <w:marRight w:val="0"/>
          <w:marTop w:val="0"/>
          <w:marBottom w:val="0"/>
          <w:divBdr>
            <w:top w:val="none" w:sz="0" w:space="0" w:color="auto"/>
            <w:left w:val="none" w:sz="0" w:space="0" w:color="auto"/>
            <w:bottom w:val="none" w:sz="0" w:space="0" w:color="auto"/>
            <w:right w:val="none" w:sz="0" w:space="0" w:color="auto"/>
          </w:divBdr>
        </w:div>
        <w:div w:id="1743603184">
          <w:marLeft w:val="720"/>
          <w:marRight w:val="0"/>
          <w:marTop w:val="0"/>
          <w:marBottom w:val="0"/>
          <w:divBdr>
            <w:top w:val="none" w:sz="0" w:space="0" w:color="auto"/>
            <w:left w:val="none" w:sz="0" w:space="0" w:color="auto"/>
            <w:bottom w:val="none" w:sz="0" w:space="0" w:color="auto"/>
            <w:right w:val="none" w:sz="0" w:space="0" w:color="auto"/>
          </w:divBdr>
        </w:div>
        <w:div w:id="333578379">
          <w:marLeft w:val="0"/>
          <w:marRight w:val="0"/>
          <w:marTop w:val="0"/>
          <w:marBottom w:val="0"/>
          <w:divBdr>
            <w:top w:val="none" w:sz="0" w:space="0" w:color="auto"/>
            <w:left w:val="none" w:sz="0" w:space="0" w:color="auto"/>
            <w:bottom w:val="none" w:sz="0" w:space="0" w:color="auto"/>
            <w:right w:val="none" w:sz="0" w:space="0" w:color="auto"/>
          </w:divBdr>
        </w:div>
        <w:div w:id="1738284060">
          <w:marLeft w:val="0"/>
          <w:marRight w:val="0"/>
          <w:marTop w:val="0"/>
          <w:marBottom w:val="0"/>
          <w:divBdr>
            <w:top w:val="none" w:sz="0" w:space="0" w:color="auto"/>
            <w:left w:val="none" w:sz="0" w:space="0" w:color="auto"/>
            <w:bottom w:val="none" w:sz="0" w:space="0" w:color="auto"/>
            <w:right w:val="none" w:sz="0" w:space="0" w:color="auto"/>
          </w:divBdr>
        </w:div>
        <w:div w:id="1990866118">
          <w:marLeft w:val="0"/>
          <w:marRight w:val="0"/>
          <w:marTop w:val="0"/>
          <w:marBottom w:val="0"/>
          <w:divBdr>
            <w:top w:val="none" w:sz="0" w:space="0" w:color="auto"/>
            <w:left w:val="none" w:sz="0" w:space="0" w:color="auto"/>
            <w:bottom w:val="none" w:sz="0" w:space="0" w:color="auto"/>
            <w:right w:val="none" w:sz="0" w:space="0" w:color="auto"/>
          </w:divBdr>
        </w:div>
        <w:div w:id="912197506">
          <w:marLeft w:val="0"/>
          <w:marRight w:val="0"/>
          <w:marTop w:val="0"/>
          <w:marBottom w:val="0"/>
          <w:divBdr>
            <w:top w:val="none" w:sz="0" w:space="0" w:color="auto"/>
            <w:left w:val="none" w:sz="0" w:space="0" w:color="auto"/>
            <w:bottom w:val="none" w:sz="0" w:space="0" w:color="auto"/>
            <w:right w:val="none" w:sz="0" w:space="0" w:color="auto"/>
          </w:divBdr>
        </w:div>
        <w:div w:id="270745177">
          <w:marLeft w:val="0"/>
          <w:marRight w:val="0"/>
          <w:marTop w:val="0"/>
          <w:marBottom w:val="0"/>
          <w:divBdr>
            <w:top w:val="none" w:sz="0" w:space="0" w:color="auto"/>
            <w:left w:val="none" w:sz="0" w:space="0" w:color="auto"/>
            <w:bottom w:val="none" w:sz="0" w:space="0" w:color="auto"/>
            <w:right w:val="none" w:sz="0" w:space="0" w:color="auto"/>
          </w:divBdr>
        </w:div>
        <w:div w:id="1909075819">
          <w:marLeft w:val="0"/>
          <w:marRight w:val="0"/>
          <w:marTop w:val="0"/>
          <w:marBottom w:val="0"/>
          <w:divBdr>
            <w:top w:val="none" w:sz="0" w:space="0" w:color="auto"/>
            <w:left w:val="none" w:sz="0" w:space="0" w:color="auto"/>
            <w:bottom w:val="none" w:sz="0" w:space="0" w:color="auto"/>
            <w:right w:val="none" w:sz="0" w:space="0" w:color="auto"/>
          </w:divBdr>
        </w:div>
        <w:div w:id="612174161">
          <w:marLeft w:val="720"/>
          <w:marRight w:val="0"/>
          <w:marTop w:val="0"/>
          <w:marBottom w:val="0"/>
          <w:divBdr>
            <w:top w:val="none" w:sz="0" w:space="0" w:color="auto"/>
            <w:left w:val="none" w:sz="0" w:space="0" w:color="auto"/>
            <w:bottom w:val="none" w:sz="0" w:space="0" w:color="auto"/>
            <w:right w:val="none" w:sz="0" w:space="0" w:color="auto"/>
          </w:divBdr>
        </w:div>
        <w:div w:id="1688748534">
          <w:marLeft w:val="0"/>
          <w:marRight w:val="0"/>
          <w:marTop w:val="0"/>
          <w:marBottom w:val="0"/>
          <w:divBdr>
            <w:top w:val="none" w:sz="0" w:space="0" w:color="auto"/>
            <w:left w:val="none" w:sz="0" w:space="0" w:color="auto"/>
            <w:bottom w:val="none" w:sz="0" w:space="0" w:color="auto"/>
            <w:right w:val="none" w:sz="0" w:space="0" w:color="auto"/>
          </w:divBdr>
        </w:div>
        <w:div w:id="205990669">
          <w:marLeft w:val="0"/>
          <w:marRight w:val="0"/>
          <w:marTop w:val="0"/>
          <w:marBottom w:val="0"/>
          <w:divBdr>
            <w:top w:val="none" w:sz="0" w:space="0" w:color="auto"/>
            <w:left w:val="none" w:sz="0" w:space="0" w:color="auto"/>
            <w:bottom w:val="none" w:sz="0" w:space="0" w:color="auto"/>
            <w:right w:val="none" w:sz="0" w:space="0" w:color="auto"/>
          </w:divBdr>
        </w:div>
        <w:div w:id="888035371">
          <w:marLeft w:val="0"/>
          <w:marRight w:val="0"/>
          <w:marTop w:val="0"/>
          <w:marBottom w:val="0"/>
          <w:divBdr>
            <w:top w:val="none" w:sz="0" w:space="0" w:color="auto"/>
            <w:left w:val="none" w:sz="0" w:space="0" w:color="auto"/>
            <w:bottom w:val="none" w:sz="0" w:space="0" w:color="auto"/>
            <w:right w:val="none" w:sz="0" w:space="0" w:color="auto"/>
          </w:divBdr>
        </w:div>
        <w:div w:id="4748403">
          <w:marLeft w:val="0"/>
          <w:marRight w:val="0"/>
          <w:marTop w:val="0"/>
          <w:marBottom w:val="0"/>
          <w:divBdr>
            <w:top w:val="none" w:sz="0" w:space="0" w:color="auto"/>
            <w:left w:val="none" w:sz="0" w:space="0" w:color="auto"/>
            <w:bottom w:val="none" w:sz="0" w:space="0" w:color="auto"/>
            <w:right w:val="none" w:sz="0" w:space="0" w:color="auto"/>
          </w:divBdr>
        </w:div>
        <w:div w:id="2025786340">
          <w:marLeft w:val="0"/>
          <w:marRight w:val="0"/>
          <w:marTop w:val="0"/>
          <w:marBottom w:val="0"/>
          <w:divBdr>
            <w:top w:val="none" w:sz="0" w:space="0" w:color="auto"/>
            <w:left w:val="none" w:sz="0" w:space="0" w:color="auto"/>
            <w:bottom w:val="none" w:sz="0" w:space="0" w:color="auto"/>
            <w:right w:val="none" w:sz="0" w:space="0" w:color="auto"/>
          </w:divBdr>
        </w:div>
        <w:div w:id="1020399793">
          <w:marLeft w:val="0"/>
          <w:marRight w:val="0"/>
          <w:marTop w:val="0"/>
          <w:marBottom w:val="0"/>
          <w:divBdr>
            <w:top w:val="none" w:sz="0" w:space="0" w:color="auto"/>
            <w:left w:val="none" w:sz="0" w:space="0" w:color="auto"/>
            <w:bottom w:val="none" w:sz="0" w:space="0" w:color="auto"/>
            <w:right w:val="none" w:sz="0" w:space="0" w:color="auto"/>
          </w:divBdr>
        </w:div>
        <w:div w:id="1818566545">
          <w:marLeft w:val="0"/>
          <w:marRight w:val="0"/>
          <w:marTop w:val="0"/>
          <w:marBottom w:val="0"/>
          <w:divBdr>
            <w:top w:val="none" w:sz="0" w:space="0" w:color="auto"/>
            <w:left w:val="none" w:sz="0" w:space="0" w:color="auto"/>
            <w:bottom w:val="none" w:sz="0" w:space="0" w:color="auto"/>
            <w:right w:val="none" w:sz="0" w:space="0" w:color="auto"/>
          </w:divBdr>
        </w:div>
        <w:div w:id="221255311">
          <w:marLeft w:val="0"/>
          <w:marRight w:val="0"/>
          <w:marTop w:val="0"/>
          <w:marBottom w:val="0"/>
          <w:divBdr>
            <w:top w:val="none" w:sz="0" w:space="0" w:color="auto"/>
            <w:left w:val="none" w:sz="0" w:space="0" w:color="auto"/>
            <w:bottom w:val="none" w:sz="0" w:space="0" w:color="auto"/>
            <w:right w:val="none" w:sz="0" w:space="0" w:color="auto"/>
          </w:divBdr>
        </w:div>
        <w:div w:id="1901286936">
          <w:marLeft w:val="0"/>
          <w:marRight w:val="0"/>
          <w:marTop w:val="0"/>
          <w:marBottom w:val="0"/>
          <w:divBdr>
            <w:top w:val="none" w:sz="0" w:space="0" w:color="auto"/>
            <w:left w:val="none" w:sz="0" w:space="0" w:color="auto"/>
            <w:bottom w:val="none" w:sz="0" w:space="0" w:color="auto"/>
            <w:right w:val="none" w:sz="0" w:space="0" w:color="auto"/>
          </w:divBdr>
        </w:div>
        <w:div w:id="1990011465">
          <w:marLeft w:val="0"/>
          <w:marRight w:val="0"/>
          <w:marTop w:val="0"/>
          <w:marBottom w:val="0"/>
          <w:divBdr>
            <w:top w:val="none" w:sz="0" w:space="0" w:color="auto"/>
            <w:left w:val="none" w:sz="0" w:space="0" w:color="auto"/>
            <w:bottom w:val="none" w:sz="0" w:space="0" w:color="auto"/>
            <w:right w:val="none" w:sz="0" w:space="0" w:color="auto"/>
          </w:divBdr>
        </w:div>
        <w:div w:id="1288582738">
          <w:marLeft w:val="0"/>
          <w:marRight w:val="0"/>
          <w:marTop w:val="0"/>
          <w:marBottom w:val="0"/>
          <w:divBdr>
            <w:top w:val="none" w:sz="0" w:space="0" w:color="auto"/>
            <w:left w:val="none" w:sz="0" w:space="0" w:color="auto"/>
            <w:bottom w:val="none" w:sz="0" w:space="0" w:color="auto"/>
            <w:right w:val="none" w:sz="0" w:space="0" w:color="auto"/>
          </w:divBdr>
        </w:div>
        <w:div w:id="1840343630">
          <w:marLeft w:val="0"/>
          <w:marRight w:val="0"/>
          <w:marTop w:val="0"/>
          <w:marBottom w:val="0"/>
          <w:divBdr>
            <w:top w:val="none" w:sz="0" w:space="0" w:color="auto"/>
            <w:left w:val="none" w:sz="0" w:space="0" w:color="auto"/>
            <w:bottom w:val="none" w:sz="0" w:space="0" w:color="auto"/>
            <w:right w:val="none" w:sz="0" w:space="0" w:color="auto"/>
          </w:divBdr>
        </w:div>
        <w:div w:id="1777095406">
          <w:marLeft w:val="0"/>
          <w:marRight w:val="0"/>
          <w:marTop w:val="0"/>
          <w:marBottom w:val="0"/>
          <w:divBdr>
            <w:top w:val="none" w:sz="0" w:space="0" w:color="auto"/>
            <w:left w:val="none" w:sz="0" w:space="0" w:color="auto"/>
            <w:bottom w:val="none" w:sz="0" w:space="0" w:color="auto"/>
            <w:right w:val="none" w:sz="0" w:space="0" w:color="auto"/>
          </w:divBdr>
        </w:div>
        <w:div w:id="470026038">
          <w:marLeft w:val="0"/>
          <w:marRight w:val="0"/>
          <w:marTop w:val="0"/>
          <w:marBottom w:val="0"/>
          <w:divBdr>
            <w:top w:val="none" w:sz="0" w:space="0" w:color="auto"/>
            <w:left w:val="none" w:sz="0" w:space="0" w:color="auto"/>
            <w:bottom w:val="none" w:sz="0" w:space="0" w:color="auto"/>
            <w:right w:val="none" w:sz="0" w:space="0" w:color="auto"/>
          </w:divBdr>
        </w:div>
        <w:div w:id="526453819">
          <w:marLeft w:val="0"/>
          <w:marRight w:val="0"/>
          <w:marTop w:val="0"/>
          <w:marBottom w:val="0"/>
          <w:divBdr>
            <w:top w:val="none" w:sz="0" w:space="0" w:color="auto"/>
            <w:left w:val="none" w:sz="0" w:space="0" w:color="auto"/>
            <w:bottom w:val="none" w:sz="0" w:space="0" w:color="auto"/>
            <w:right w:val="none" w:sz="0" w:space="0" w:color="auto"/>
          </w:divBdr>
        </w:div>
        <w:div w:id="878201077">
          <w:marLeft w:val="720"/>
          <w:marRight w:val="0"/>
          <w:marTop w:val="0"/>
          <w:marBottom w:val="0"/>
          <w:divBdr>
            <w:top w:val="none" w:sz="0" w:space="0" w:color="auto"/>
            <w:left w:val="none" w:sz="0" w:space="0" w:color="auto"/>
            <w:bottom w:val="none" w:sz="0" w:space="0" w:color="auto"/>
            <w:right w:val="none" w:sz="0" w:space="0" w:color="auto"/>
          </w:divBdr>
        </w:div>
        <w:div w:id="258411910">
          <w:marLeft w:val="0"/>
          <w:marRight w:val="0"/>
          <w:marTop w:val="0"/>
          <w:marBottom w:val="0"/>
          <w:divBdr>
            <w:top w:val="none" w:sz="0" w:space="0" w:color="auto"/>
            <w:left w:val="none" w:sz="0" w:space="0" w:color="auto"/>
            <w:bottom w:val="none" w:sz="0" w:space="0" w:color="auto"/>
            <w:right w:val="none" w:sz="0" w:space="0" w:color="auto"/>
          </w:divBdr>
        </w:div>
        <w:div w:id="1645159021">
          <w:marLeft w:val="0"/>
          <w:marRight w:val="0"/>
          <w:marTop w:val="0"/>
          <w:marBottom w:val="0"/>
          <w:divBdr>
            <w:top w:val="none" w:sz="0" w:space="0" w:color="auto"/>
            <w:left w:val="none" w:sz="0" w:space="0" w:color="auto"/>
            <w:bottom w:val="none" w:sz="0" w:space="0" w:color="auto"/>
            <w:right w:val="none" w:sz="0" w:space="0" w:color="auto"/>
          </w:divBdr>
        </w:div>
        <w:div w:id="1121461721">
          <w:marLeft w:val="0"/>
          <w:marRight w:val="0"/>
          <w:marTop w:val="0"/>
          <w:marBottom w:val="0"/>
          <w:divBdr>
            <w:top w:val="none" w:sz="0" w:space="0" w:color="auto"/>
            <w:left w:val="none" w:sz="0" w:space="0" w:color="auto"/>
            <w:bottom w:val="none" w:sz="0" w:space="0" w:color="auto"/>
            <w:right w:val="none" w:sz="0" w:space="0" w:color="auto"/>
          </w:divBdr>
        </w:div>
        <w:div w:id="210655700">
          <w:marLeft w:val="0"/>
          <w:marRight w:val="0"/>
          <w:marTop w:val="0"/>
          <w:marBottom w:val="0"/>
          <w:divBdr>
            <w:top w:val="none" w:sz="0" w:space="0" w:color="auto"/>
            <w:left w:val="none" w:sz="0" w:space="0" w:color="auto"/>
            <w:bottom w:val="none" w:sz="0" w:space="0" w:color="auto"/>
            <w:right w:val="none" w:sz="0" w:space="0" w:color="auto"/>
          </w:divBdr>
        </w:div>
        <w:div w:id="1239249917">
          <w:marLeft w:val="0"/>
          <w:marRight w:val="0"/>
          <w:marTop w:val="0"/>
          <w:marBottom w:val="0"/>
          <w:divBdr>
            <w:top w:val="none" w:sz="0" w:space="0" w:color="auto"/>
            <w:left w:val="none" w:sz="0" w:space="0" w:color="auto"/>
            <w:bottom w:val="none" w:sz="0" w:space="0" w:color="auto"/>
            <w:right w:val="none" w:sz="0" w:space="0" w:color="auto"/>
          </w:divBdr>
        </w:div>
        <w:div w:id="1596090727">
          <w:marLeft w:val="0"/>
          <w:marRight w:val="0"/>
          <w:marTop w:val="0"/>
          <w:marBottom w:val="0"/>
          <w:divBdr>
            <w:top w:val="none" w:sz="0" w:space="0" w:color="auto"/>
            <w:left w:val="none" w:sz="0" w:space="0" w:color="auto"/>
            <w:bottom w:val="none" w:sz="0" w:space="0" w:color="auto"/>
            <w:right w:val="none" w:sz="0" w:space="0" w:color="auto"/>
          </w:divBdr>
        </w:div>
        <w:div w:id="1043214385">
          <w:marLeft w:val="720"/>
          <w:marRight w:val="0"/>
          <w:marTop w:val="0"/>
          <w:marBottom w:val="0"/>
          <w:divBdr>
            <w:top w:val="none" w:sz="0" w:space="0" w:color="auto"/>
            <w:left w:val="none" w:sz="0" w:space="0" w:color="auto"/>
            <w:bottom w:val="none" w:sz="0" w:space="0" w:color="auto"/>
            <w:right w:val="none" w:sz="0" w:space="0" w:color="auto"/>
          </w:divBdr>
        </w:div>
        <w:div w:id="1645891492">
          <w:marLeft w:val="0"/>
          <w:marRight w:val="0"/>
          <w:marTop w:val="0"/>
          <w:marBottom w:val="0"/>
          <w:divBdr>
            <w:top w:val="none" w:sz="0" w:space="0" w:color="auto"/>
            <w:left w:val="none" w:sz="0" w:space="0" w:color="auto"/>
            <w:bottom w:val="none" w:sz="0" w:space="0" w:color="auto"/>
            <w:right w:val="none" w:sz="0" w:space="0" w:color="auto"/>
          </w:divBdr>
        </w:div>
        <w:div w:id="1469278598">
          <w:marLeft w:val="0"/>
          <w:marRight w:val="0"/>
          <w:marTop w:val="0"/>
          <w:marBottom w:val="0"/>
          <w:divBdr>
            <w:top w:val="none" w:sz="0" w:space="0" w:color="auto"/>
            <w:left w:val="none" w:sz="0" w:space="0" w:color="auto"/>
            <w:bottom w:val="none" w:sz="0" w:space="0" w:color="auto"/>
            <w:right w:val="none" w:sz="0" w:space="0" w:color="auto"/>
          </w:divBdr>
        </w:div>
        <w:div w:id="1561137815">
          <w:marLeft w:val="0"/>
          <w:marRight w:val="0"/>
          <w:marTop w:val="0"/>
          <w:marBottom w:val="0"/>
          <w:divBdr>
            <w:top w:val="none" w:sz="0" w:space="0" w:color="auto"/>
            <w:left w:val="none" w:sz="0" w:space="0" w:color="auto"/>
            <w:bottom w:val="none" w:sz="0" w:space="0" w:color="auto"/>
            <w:right w:val="none" w:sz="0" w:space="0" w:color="auto"/>
          </w:divBdr>
        </w:div>
        <w:div w:id="643002595">
          <w:marLeft w:val="0"/>
          <w:marRight w:val="0"/>
          <w:marTop w:val="0"/>
          <w:marBottom w:val="0"/>
          <w:divBdr>
            <w:top w:val="none" w:sz="0" w:space="0" w:color="auto"/>
            <w:left w:val="none" w:sz="0" w:space="0" w:color="auto"/>
            <w:bottom w:val="none" w:sz="0" w:space="0" w:color="auto"/>
            <w:right w:val="none" w:sz="0" w:space="0" w:color="auto"/>
          </w:divBdr>
        </w:div>
        <w:div w:id="1716542196">
          <w:marLeft w:val="0"/>
          <w:marRight w:val="0"/>
          <w:marTop w:val="0"/>
          <w:marBottom w:val="0"/>
          <w:divBdr>
            <w:top w:val="none" w:sz="0" w:space="0" w:color="auto"/>
            <w:left w:val="none" w:sz="0" w:space="0" w:color="auto"/>
            <w:bottom w:val="none" w:sz="0" w:space="0" w:color="auto"/>
            <w:right w:val="none" w:sz="0" w:space="0" w:color="auto"/>
          </w:divBdr>
        </w:div>
        <w:div w:id="1863009706">
          <w:marLeft w:val="0"/>
          <w:marRight w:val="0"/>
          <w:marTop w:val="0"/>
          <w:marBottom w:val="0"/>
          <w:divBdr>
            <w:top w:val="none" w:sz="0" w:space="0" w:color="auto"/>
            <w:left w:val="none" w:sz="0" w:space="0" w:color="auto"/>
            <w:bottom w:val="none" w:sz="0" w:space="0" w:color="auto"/>
            <w:right w:val="none" w:sz="0" w:space="0" w:color="auto"/>
          </w:divBdr>
        </w:div>
        <w:div w:id="604384890">
          <w:marLeft w:val="0"/>
          <w:marRight w:val="0"/>
          <w:marTop w:val="0"/>
          <w:marBottom w:val="0"/>
          <w:divBdr>
            <w:top w:val="none" w:sz="0" w:space="0" w:color="auto"/>
            <w:left w:val="none" w:sz="0" w:space="0" w:color="auto"/>
            <w:bottom w:val="none" w:sz="0" w:space="0" w:color="auto"/>
            <w:right w:val="none" w:sz="0" w:space="0" w:color="auto"/>
          </w:divBdr>
        </w:div>
        <w:div w:id="116608646">
          <w:marLeft w:val="0"/>
          <w:marRight w:val="0"/>
          <w:marTop w:val="0"/>
          <w:marBottom w:val="0"/>
          <w:divBdr>
            <w:top w:val="none" w:sz="0" w:space="0" w:color="auto"/>
            <w:left w:val="none" w:sz="0" w:space="0" w:color="auto"/>
            <w:bottom w:val="none" w:sz="0" w:space="0" w:color="auto"/>
            <w:right w:val="none" w:sz="0" w:space="0" w:color="auto"/>
          </w:divBdr>
        </w:div>
        <w:div w:id="2039701642">
          <w:marLeft w:val="0"/>
          <w:marRight w:val="0"/>
          <w:marTop w:val="0"/>
          <w:marBottom w:val="0"/>
          <w:divBdr>
            <w:top w:val="none" w:sz="0" w:space="0" w:color="auto"/>
            <w:left w:val="none" w:sz="0" w:space="0" w:color="auto"/>
            <w:bottom w:val="none" w:sz="0" w:space="0" w:color="auto"/>
            <w:right w:val="none" w:sz="0" w:space="0" w:color="auto"/>
          </w:divBdr>
        </w:div>
        <w:div w:id="608657342">
          <w:marLeft w:val="0"/>
          <w:marRight w:val="0"/>
          <w:marTop w:val="0"/>
          <w:marBottom w:val="0"/>
          <w:divBdr>
            <w:top w:val="none" w:sz="0" w:space="0" w:color="auto"/>
            <w:left w:val="none" w:sz="0" w:space="0" w:color="auto"/>
            <w:bottom w:val="none" w:sz="0" w:space="0" w:color="auto"/>
            <w:right w:val="none" w:sz="0" w:space="0" w:color="auto"/>
          </w:divBdr>
        </w:div>
        <w:div w:id="311637061">
          <w:marLeft w:val="0"/>
          <w:marRight w:val="0"/>
          <w:marTop w:val="0"/>
          <w:marBottom w:val="0"/>
          <w:divBdr>
            <w:top w:val="none" w:sz="0" w:space="0" w:color="auto"/>
            <w:left w:val="none" w:sz="0" w:space="0" w:color="auto"/>
            <w:bottom w:val="none" w:sz="0" w:space="0" w:color="auto"/>
            <w:right w:val="none" w:sz="0" w:space="0" w:color="auto"/>
          </w:divBdr>
        </w:div>
        <w:div w:id="1674994492">
          <w:marLeft w:val="0"/>
          <w:marRight w:val="0"/>
          <w:marTop w:val="0"/>
          <w:marBottom w:val="0"/>
          <w:divBdr>
            <w:top w:val="none" w:sz="0" w:space="0" w:color="auto"/>
            <w:left w:val="none" w:sz="0" w:space="0" w:color="auto"/>
            <w:bottom w:val="none" w:sz="0" w:space="0" w:color="auto"/>
            <w:right w:val="none" w:sz="0" w:space="0" w:color="auto"/>
          </w:divBdr>
        </w:div>
        <w:div w:id="628169912">
          <w:marLeft w:val="0"/>
          <w:marRight w:val="0"/>
          <w:marTop w:val="0"/>
          <w:marBottom w:val="0"/>
          <w:divBdr>
            <w:top w:val="none" w:sz="0" w:space="0" w:color="auto"/>
            <w:left w:val="none" w:sz="0" w:space="0" w:color="auto"/>
            <w:bottom w:val="none" w:sz="0" w:space="0" w:color="auto"/>
            <w:right w:val="none" w:sz="0" w:space="0" w:color="auto"/>
          </w:divBdr>
        </w:div>
        <w:div w:id="1539202096">
          <w:marLeft w:val="0"/>
          <w:marRight w:val="0"/>
          <w:marTop w:val="0"/>
          <w:marBottom w:val="0"/>
          <w:divBdr>
            <w:top w:val="none" w:sz="0" w:space="0" w:color="auto"/>
            <w:left w:val="none" w:sz="0" w:space="0" w:color="auto"/>
            <w:bottom w:val="none" w:sz="0" w:space="0" w:color="auto"/>
            <w:right w:val="none" w:sz="0" w:space="0" w:color="auto"/>
          </w:divBdr>
        </w:div>
        <w:div w:id="1364329820">
          <w:marLeft w:val="0"/>
          <w:marRight w:val="0"/>
          <w:marTop w:val="0"/>
          <w:marBottom w:val="0"/>
          <w:divBdr>
            <w:top w:val="none" w:sz="0" w:space="0" w:color="auto"/>
            <w:left w:val="none" w:sz="0" w:space="0" w:color="auto"/>
            <w:bottom w:val="none" w:sz="0" w:space="0" w:color="auto"/>
            <w:right w:val="none" w:sz="0" w:space="0" w:color="auto"/>
          </w:divBdr>
        </w:div>
        <w:div w:id="828060229">
          <w:marLeft w:val="0"/>
          <w:marRight w:val="0"/>
          <w:marTop w:val="0"/>
          <w:marBottom w:val="0"/>
          <w:divBdr>
            <w:top w:val="none" w:sz="0" w:space="0" w:color="auto"/>
            <w:left w:val="none" w:sz="0" w:space="0" w:color="auto"/>
            <w:bottom w:val="none" w:sz="0" w:space="0" w:color="auto"/>
            <w:right w:val="none" w:sz="0" w:space="0" w:color="auto"/>
          </w:divBdr>
        </w:div>
        <w:div w:id="182207680">
          <w:marLeft w:val="0"/>
          <w:marRight w:val="0"/>
          <w:marTop w:val="0"/>
          <w:marBottom w:val="0"/>
          <w:divBdr>
            <w:top w:val="none" w:sz="0" w:space="0" w:color="auto"/>
            <w:left w:val="none" w:sz="0" w:space="0" w:color="auto"/>
            <w:bottom w:val="none" w:sz="0" w:space="0" w:color="auto"/>
            <w:right w:val="none" w:sz="0" w:space="0" w:color="auto"/>
          </w:divBdr>
        </w:div>
        <w:div w:id="91752832">
          <w:marLeft w:val="0"/>
          <w:marRight w:val="0"/>
          <w:marTop w:val="0"/>
          <w:marBottom w:val="0"/>
          <w:divBdr>
            <w:top w:val="none" w:sz="0" w:space="0" w:color="auto"/>
            <w:left w:val="none" w:sz="0" w:space="0" w:color="auto"/>
            <w:bottom w:val="none" w:sz="0" w:space="0" w:color="auto"/>
            <w:right w:val="none" w:sz="0" w:space="0" w:color="auto"/>
          </w:divBdr>
        </w:div>
        <w:div w:id="400307">
          <w:marLeft w:val="0"/>
          <w:marRight w:val="0"/>
          <w:marTop w:val="0"/>
          <w:marBottom w:val="0"/>
          <w:divBdr>
            <w:top w:val="none" w:sz="0" w:space="0" w:color="auto"/>
            <w:left w:val="none" w:sz="0" w:space="0" w:color="auto"/>
            <w:bottom w:val="none" w:sz="0" w:space="0" w:color="auto"/>
            <w:right w:val="none" w:sz="0" w:space="0" w:color="auto"/>
          </w:divBdr>
        </w:div>
        <w:div w:id="1120302642">
          <w:marLeft w:val="0"/>
          <w:marRight w:val="0"/>
          <w:marTop w:val="0"/>
          <w:marBottom w:val="0"/>
          <w:divBdr>
            <w:top w:val="none" w:sz="0" w:space="0" w:color="auto"/>
            <w:left w:val="none" w:sz="0" w:space="0" w:color="auto"/>
            <w:bottom w:val="none" w:sz="0" w:space="0" w:color="auto"/>
            <w:right w:val="none" w:sz="0" w:space="0" w:color="auto"/>
          </w:divBdr>
        </w:div>
        <w:div w:id="26875644">
          <w:marLeft w:val="0"/>
          <w:marRight w:val="0"/>
          <w:marTop w:val="0"/>
          <w:marBottom w:val="0"/>
          <w:divBdr>
            <w:top w:val="none" w:sz="0" w:space="0" w:color="auto"/>
            <w:left w:val="none" w:sz="0" w:space="0" w:color="auto"/>
            <w:bottom w:val="none" w:sz="0" w:space="0" w:color="auto"/>
            <w:right w:val="none" w:sz="0" w:space="0" w:color="auto"/>
          </w:divBdr>
        </w:div>
        <w:div w:id="1036927118">
          <w:marLeft w:val="0"/>
          <w:marRight w:val="0"/>
          <w:marTop w:val="0"/>
          <w:marBottom w:val="0"/>
          <w:divBdr>
            <w:top w:val="none" w:sz="0" w:space="0" w:color="auto"/>
            <w:left w:val="none" w:sz="0" w:space="0" w:color="auto"/>
            <w:bottom w:val="none" w:sz="0" w:space="0" w:color="auto"/>
            <w:right w:val="none" w:sz="0" w:space="0" w:color="auto"/>
          </w:divBdr>
        </w:div>
        <w:div w:id="561214029">
          <w:marLeft w:val="0"/>
          <w:marRight w:val="0"/>
          <w:marTop w:val="0"/>
          <w:marBottom w:val="0"/>
          <w:divBdr>
            <w:top w:val="none" w:sz="0" w:space="0" w:color="auto"/>
            <w:left w:val="none" w:sz="0" w:space="0" w:color="auto"/>
            <w:bottom w:val="none" w:sz="0" w:space="0" w:color="auto"/>
            <w:right w:val="none" w:sz="0" w:space="0" w:color="auto"/>
          </w:divBdr>
        </w:div>
        <w:div w:id="779374183">
          <w:marLeft w:val="0"/>
          <w:marRight w:val="0"/>
          <w:marTop w:val="0"/>
          <w:marBottom w:val="0"/>
          <w:divBdr>
            <w:top w:val="none" w:sz="0" w:space="0" w:color="auto"/>
            <w:left w:val="none" w:sz="0" w:space="0" w:color="auto"/>
            <w:bottom w:val="none" w:sz="0" w:space="0" w:color="auto"/>
            <w:right w:val="none" w:sz="0" w:space="0" w:color="auto"/>
          </w:divBdr>
        </w:div>
        <w:div w:id="1396975963">
          <w:marLeft w:val="0"/>
          <w:marRight w:val="0"/>
          <w:marTop w:val="0"/>
          <w:marBottom w:val="0"/>
          <w:divBdr>
            <w:top w:val="none" w:sz="0" w:space="0" w:color="auto"/>
            <w:left w:val="none" w:sz="0" w:space="0" w:color="auto"/>
            <w:bottom w:val="none" w:sz="0" w:space="0" w:color="auto"/>
            <w:right w:val="none" w:sz="0" w:space="0" w:color="auto"/>
          </w:divBdr>
        </w:div>
        <w:div w:id="682630118">
          <w:marLeft w:val="0"/>
          <w:marRight w:val="0"/>
          <w:marTop w:val="0"/>
          <w:marBottom w:val="0"/>
          <w:divBdr>
            <w:top w:val="none" w:sz="0" w:space="0" w:color="auto"/>
            <w:left w:val="none" w:sz="0" w:space="0" w:color="auto"/>
            <w:bottom w:val="none" w:sz="0" w:space="0" w:color="auto"/>
            <w:right w:val="none" w:sz="0" w:space="0" w:color="auto"/>
          </w:divBdr>
        </w:div>
        <w:div w:id="1409577994">
          <w:marLeft w:val="0"/>
          <w:marRight w:val="0"/>
          <w:marTop w:val="0"/>
          <w:marBottom w:val="0"/>
          <w:divBdr>
            <w:top w:val="none" w:sz="0" w:space="0" w:color="auto"/>
            <w:left w:val="none" w:sz="0" w:space="0" w:color="auto"/>
            <w:bottom w:val="none" w:sz="0" w:space="0" w:color="auto"/>
            <w:right w:val="none" w:sz="0" w:space="0" w:color="auto"/>
          </w:divBdr>
        </w:div>
        <w:div w:id="1242790557">
          <w:marLeft w:val="0"/>
          <w:marRight w:val="0"/>
          <w:marTop w:val="0"/>
          <w:marBottom w:val="0"/>
          <w:divBdr>
            <w:top w:val="none" w:sz="0" w:space="0" w:color="auto"/>
            <w:left w:val="none" w:sz="0" w:space="0" w:color="auto"/>
            <w:bottom w:val="none" w:sz="0" w:space="0" w:color="auto"/>
            <w:right w:val="none" w:sz="0" w:space="0" w:color="auto"/>
          </w:divBdr>
        </w:div>
        <w:div w:id="16464587">
          <w:marLeft w:val="0"/>
          <w:marRight w:val="0"/>
          <w:marTop w:val="0"/>
          <w:marBottom w:val="0"/>
          <w:divBdr>
            <w:top w:val="none" w:sz="0" w:space="0" w:color="auto"/>
            <w:left w:val="none" w:sz="0" w:space="0" w:color="auto"/>
            <w:bottom w:val="none" w:sz="0" w:space="0" w:color="auto"/>
            <w:right w:val="none" w:sz="0" w:space="0" w:color="auto"/>
          </w:divBdr>
        </w:div>
        <w:div w:id="488598401">
          <w:marLeft w:val="0"/>
          <w:marRight w:val="0"/>
          <w:marTop w:val="0"/>
          <w:marBottom w:val="0"/>
          <w:divBdr>
            <w:top w:val="none" w:sz="0" w:space="0" w:color="auto"/>
            <w:left w:val="none" w:sz="0" w:space="0" w:color="auto"/>
            <w:bottom w:val="none" w:sz="0" w:space="0" w:color="auto"/>
            <w:right w:val="none" w:sz="0" w:space="0" w:color="auto"/>
          </w:divBdr>
        </w:div>
        <w:div w:id="1367371646">
          <w:marLeft w:val="720"/>
          <w:marRight w:val="0"/>
          <w:marTop w:val="0"/>
          <w:marBottom w:val="0"/>
          <w:divBdr>
            <w:top w:val="none" w:sz="0" w:space="0" w:color="auto"/>
            <w:left w:val="none" w:sz="0" w:space="0" w:color="auto"/>
            <w:bottom w:val="none" w:sz="0" w:space="0" w:color="auto"/>
            <w:right w:val="none" w:sz="0" w:space="0" w:color="auto"/>
          </w:divBdr>
        </w:div>
        <w:div w:id="1463032751">
          <w:marLeft w:val="0"/>
          <w:marRight w:val="0"/>
          <w:marTop w:val="0"/>
          <w:marBottom w:val="0"/>
          <w:divBdr>
            <w:top w:val="none" w:sz="0" w:space="0" w:color="auto"/>
            <w:left w:val="none" w:sz="0" w:space="0" w:color="auto"/>
            <w:bottom w:val="none" w:sz="0" w:space="0" w:color="auto"/>
            <w:right w:val="none" w:sz="0" w:space="0" w:color="auto"/>
          </w:divBdr>
        </w:div>
        <w:div w:id="520166812">
          <w:marLeft w:val="0"/>
          <w:marRight w:val="0"/>
          <w:marTop w:val="0"/>
          <w:marBottom w:val="0"/>
          <w:divBdr>
            <w:top w:val="none" w:sz="0" w:space="0" w:color="auto"/>
            <w:left w:val="none" w:sz="0" w:space="0" w:color="auto"/>
            <w:bottom w:val="none" w:sz="0" w:space="0" w:color="auto"/>
            <w:right w:val="none" w:sz="0" w:space="0" w:color="auto"/>
          </w:divBdr>
        </w:div>
        <w:div w:id="51393872">
          <w:marLeft w:val="0"/>
          <w:marRight w:val="0"/>
          <w:marTop w:val="0"/>
          <w:marBottom w:val="0"/>
          <w:divBdr>
            <w:top w:val="none" w:sz="0" w:space="0" w:color="auto"/>
            <w:left w:val="none" w:sz="0" w:space="0" w:color="auto"/>
            <w:bottom w:val="none" w:sz="0" w:space="0" w:color="auto"/>
            <w:right w:val="none" w:sz="0" w:space="0" w:color="auto"/>
          </w:divBdr>
        </w:div>
        <w:div w:id="305595914">
          <w:marLeft w:val="0"/>
          <w:marRight w:val="0"/>
          <w:marTop w:val="0"/>
          <w:marBottom w:val="0"/>
          <w:divBdr>
            <w:top w:val="none" w:sz="0" w:space="0" w:color="auto"/>
            <w:left w:val="none" w:sz="0" w:space="0" w:color="auto"/>
            <w:bottom w:val="none" w:sz="0" w:space="0" w:color="auto"/>
            <w:right w:val="none" w:sz="0" w:space="0" w:color="auto"/>
          </w:divBdr>
        </w:div>
        <w:div w:id="909927627">
          <w:marLeft w:val="0"/>
          <w:marRight w:val="0"/>
          <w:marTop w:val="0"/>
          <w:marBottom w:val="0"/>
          <w:divBdr>
            <w:top w:val="none" w:sz="0" w:space="0" w:color="auto"/>
            <w:left w:val="none" w:sz="0" w:space="0" w:color="auto"/>
            <w:bottom w:val="none" w:sz="0" w:space="0" w:color="auto"/>
            <w:right w:val="none" w:sz="0" w:space="0" w:color="auto"/>
          </w:divBdr>
        </w:div>
        <w:div w:id="1955476376">
          <w:marLeft w:val="0"/>
          <w:marRight w:val="0"/>
          <w:marTop w:val="0"/>
          <w:marBottom w:val="0"/>
          <w:divBdr>
            <w:top w:val="none" w:sz="0" w:space="0" w:color="auto"/>
            <w:left w:val="none" w:sz="0" w:space="0" w:color="auto"/>
            <w:bottom w:val="none" w:sz="0" w:space="0" w:color="auto"/>
            <w:right w:val="none" w:sz="0" w:space="0" w:color="auto"/>
          </w:divBdr>
        </w:div>
        <w:div w:id="2008745594">
          <w:marLeft w:val="0"/>
          <w:marRight w:val="0"/>
          <w:marTop w:val="0"/>
          <w:marBottom w:val="0"/>
          <w:divBdr>
            <w:top w:val="none" w:sz="0" w:space="0" w:color="auto"/>
            <w:left w:val="none" w:sz="0" w:space="0" w:color="auto"/>
            <w:bottom w:val="none" w:sz="0" w:space="0" w:color="auto"/>
            <w:right w:val="none" w:sz="0" w:space="0" w:color="auto"/>
          </w:divBdr>
        </w:div>
        <w:div w:id="12458055">
          <w:marLeft w:val="0"/>
          <w:marRight w:val="0"/>
          <w:marTop w:val="0"/>
          <w:marBottom w:val="0"/>
          <w:divBdr>
            <w:top w:val="none" w:sz="0" w:space="0" w:color="auto"/>
            <w:left w:val="none" w:sz="0" w:space="0" w:color="auto"/>
            <w:bottom w:val="none" w:sz="0" w:space="0" w:color="auto"/>
            <w:right w:val="none" w:sz="0" w:space="0" w:color="auto"/>
          </w:divBdr>
        </w:div>
        <w:div w:id="1984693896">
          <w:marLeft w:val="0"/>
          <w:marRight w:val="0"/>
          <w:marTop w:val="0"/>
          <w:marBottom w:val="0"/>
          <w:divBdr>
            <w:top w:val="none" w:sz="0" w:space="0" w:color="auto"/>
            <w:left w:val="none" w:sz="0" w:space="0" w:color="auto"/>
            <w:bottom w:val="none" w:sz="0" w:space="0" w:color="auto"/>
            <w:right w:val="none" w:sz="0" w:space="0" w:color="auto"/>
          </w:divBdr>
        </w:div>
        <w:div w:id="1727140647">
          <w:marLeft w:val="0"/>
          <w:marRight w:val="0"/>
          <w:marTop w:val="0"/>
          <w:marBottom w:val="0"/>
          <w:divBdr>
            <w:top w:val="none" w:sz="0" w:space="0" w:color="auto"/>
            <w:left w:val="none" w:sz="0" w:space="0" w:color="auto"/>
            <w:bottom w:val="none" w:sz="0" w:space="0" w:color="auto"/>
            <w:right w:val="none" w:sz="0" w:space="0" w:color="auto"/>
          </w:divBdr>
          <w:divsChild>
            <w:div w:id="1430083520">
              <w:marLeft w:val="0"/>
              <w:marRight w:val="0"/>
              <w:marTop w:val="0"/>
              <w:marBottom w:val="0"/>
              <w:divBdr>
                <w:top w:val="none" w:sz="0" w:space="0" w:color="auto"/>
                <w:left w:val="none" w:sz="0" w:space="0" w:color="auto"/>
                <w:bottom w:val="none" w:sz="0" w:space="0" w:color="auto"/>
                <w:right w:val="none" w:sz="0" w:space="0" w:color="auto"/>
              </w:divBdr>
              <w:divsChild>
                <w:div w:id="173886348">
                  <w:marLeft w:val="0"/>
                  <w:marRight w:val="0"/>
                  <w:marTop w:val="0"/>
                  <w:marBottom w:val="0"/>
                  <w:divBdr>
                    <w:top w:val="none" w:sz="0" w:space="0" w:color="auto"/>
                    <w:left w:val="none" w:sz="0" w:space="0" w:color="auto"/>
                    <w:bottom w:val="none" w:sz="0" w:space="0" w:color="auto"/>
                    <w:right w:val="none" w:sz="0" w:space="0" w:color="auto"/>
                  </w:divBdr>
                </w:div>
              </w:divsChild>
            </w:div>
            <w:div w:id="2059666860">
              <w:marLeft w:val="0"/>
              <w:marRight w:val="0"/>
              <w:marTop w:val="0"/>
              <w:marBottom w:val="0"/>
              <w:divBdr>
                <w:top w:val="none" w:sz="0" w:space="0" w:color="auto"/>
                <w:left w:val="none" w:sz="0" w:space="0" w:color="auto"/>
                <w:bottom w:val="none" w:sz="0" w:space="0" w:color="auto"/>
                <w:right w:val="none" w:sz="0" w:space="0" w:color="auto"/>
              </w:divBdr>
              <w:divsChild>
                <w:div w:id="2000108061">
                  <w:marLeft w:val="0"/>
                  <w:marRight w:val="0"/>
                  <w:marTop w:val="0"/>
                  <w:marBottom w:val="0"/>
                  <w:divBdr>
                    <w:top w:val="none" w:sz="0" w:space="0" w:color="auto"/>
                    <w:left w:val="none" w:sz="0" w:space="0" w:color="auto"/>
                    <w:bottom w:val="none" w:sz="0" w:space="0" w:color="auto"/>
                    <w:right w:val="none" w:sz="0" w:space="0" w:color="auto"/>
                  </w:divBdr>
                </w:div>
              </w:divsChild>
            </w:div>
            <w:div w:id="931353942">
              <w:marLeft w:val="0"/>
              <w:marRight w:val="0"/>
              <w:marTop w:val="0"/>
              <w:marBottom w:val="0"/>
              <w:divBdr>
                <w:top w:val="none" w:sz="0" w:space="0" w:color="auto"/>
                <w:left w:val="none" w:sz="0" w:space="0" w:color="auto"/>
                <w:bottom w:val="none" w:sz="0" w:space="0" w:color="auto"/>
                <w:right w:val="none" w:sz="0" w:space="0" w:color="auto"/>
              </w:divBdr>
              <w:divsChild>
                <w:div w:id="871380680">
                  <w:marLeft w:val="0"/>
                  <w:marRight w:val="0"/>
                  <w:marTop w:val="0"/>
                  <w:marBottom w:val="0"/>
                  <w:divBdr>
                    <w:top w:val="none" w:sz="0" w:space="0" w:color="auto"/>
                    <w:left w:val="none" w:sz="0" w:space="0" w:color="auto"/>
                    <w:bottom w:val="none" w:sz="0" w:space="0" w:color="auto"/>
                    <w:right w:val="none" w:sz="0" w:space="0" w:color="auto"/>
                  </w:divBdr>
                </w:div>
              </w:divsChild>
            </w:div>
            <w:div w:id="347759182">
              <w:marLeft w:val="0"/>
              <w:marRight w:val="0"/>
              <w:marTop w:val="0"/>
              <w:marBottom w:val="0"/>
              <w:divBdr>
                <w:top w:val="none" w:sz="0" w:space="0" w:color="auto"/>
                <w:left w:val="none" w:sz="0" w:space="0" w:color="auto"/>
                <w:bottom w:val="none" w:sz="0" w:space="0" w:color="auto"/>
                <w:right w:val="none" w:sz="0" w:space="0" w:color="auto"/>
              </w:divBdr>
              <w:divsChild>
                <w:div w:id="1404255020">
                  <w:marLeft w:val="0"/>
                  <w:marRight w:val="0"/>
                  <w:marTop w:val="0"/>
                  <w:marBottom w:val="0"/>
                  <w:divBdr>
                    <w:top w:val="none" w:sz="0" w:space="0" w:color="auto"/>
                    <w:left w:val="none" w:sz="0" w:space="0" w:color="auto"/>
                    <w:bottom w:val="none" w:sz="0" w:space="0" w:color="auto"/>
                    <w:right w:val="none" w:sz="0" w:space="0" w:color="auto"/>
                  </w:divBdr>
                </w:div>
              </w:divsChild>
            </w:div>
            <w:div w:id="462776569">
              <w:marLeft w:val="0"/>
              <w:marRight w:val="0"/>
              <w:marTop w:val="0"/>
              <w:marBottom w:val="0"/>
              <w:divBdr>
                <w:top w:val="none" w:sz="0" w:space="0" w:color="auto"/>
                <w:left w:val="none" w:sz="0" w:space="0" w:color="auto"/>
                <w:bottom w:val="none" w:sz="0" w:space="0" w:color="auto"/>
                <w:right w:val="none" w:sz="0" w:space="0" w:color="auto"/>
              </w:divBdr>
              <w:divsChild>
                <w:div w:id="1844708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1077343">
      <w:bodyDiv w:val="1"/>
      <w:marLeft w:val="0"/>
      <w:marRight w:val="0"/>
      <w:marTop w:val="0"/>
      <w:marBottom w:val="0"/>
      <w:divBdr>
        <w:top w:val="none" w:sz="0" w:space="0" w:color="auto"/>
        <w:left w:val="none" w:sz="0" w:space="0" w:color="auto"/>
        <w:bottom w:val="none" w:sz="0" w:space="0" w:color="auto"/>
        <w:right w:val="none" w:sz="0" w:space="0" w:color="auto"/>
      </w:divBdr>
      <w:divsChild>
        <w:div w:id="427652584">
          <w:marLeft w:val="0"/>
          <w:marRight w:val="0"/>
          <w:marTop w:val="0"/>
          <w:marBottom w:val="0"/>
          <w:divBdr>
            <w:top w:val="none" w:sz="0" w:space="0" w:color="auto"/>
            <w:left w:val="none" w:sz="0" w:space="0" w:color="auto"/>
            <w:bottom w:val="none" w:sz="0" w:space="0" w:color="auto"/>
            <w:right w:val="none" w:sz="0" w:space="0" w:color="auto"/>
          </w:divBdr>
          <w:divsChild>
            <w:div w:id="785150791">
              <w:marLeft w:val="0"/>
              <w:marRight w:val="0"/>
              <w:marTop w:val="0"/>
              <w:marBottom w:val="0"/>
              <w:divBdr>
                <w:top w:val="none" w:sz="0" w:space="0" w:color="auto"/>
                <w:left w:val="none" w:sz="0" w:space="0" w:color="auto"/>
                <w:bottom w:val="none" w:sz="0" w:space="0" w:color="auto"/>
                <w:right w:val="none" w:sz="0" w:space="0" w:color="auto"/>
              </w:divBdr>
              <w:divsChild>
                <w:div w:id="1486238861">
                  <w:marLeft w:val="0"/>
                  <w:marRight w:val="0"/>
                  <w:marTop w:val="0"/>
                  <w:marBottom w:val="0"/>
                  <w:divBdr>
                    <w:top w:val="none" w:sz="0" w:space="0" w:color="auto"/>
                    <w:left w:val="none" w:sz="0" w:space="0" w:color="auto"/>
                    <w:bottom w:val="none" w:sz="0" w:space="0" w:color="auto"/>
                    <w:right w:val="none" w:sz="0" w:space="0" w:color="auto"/>
                  </w:divBdr>
                  <w:divsChild>
                    <w:div w:id="201332293">
                      <w:marLeft w:val="0"/>
                      <w:marRight w:val="0"/>
                      <w:marTop w:val="0"/>
                      <w:marBottom w:val="0"/>
                      <w:divBdr>
                        <w:top w:val="none" w:sz="0" w:space="0" w:color="auto"/>
                        <w:left w:val="none" w:sz="0" w:space="0" w:color="auto"/>
                        <w:bottom w:val="none" w:sz="0" w:space="0" w:color="auto"/>
                        <w:right w:val="none" w:sz="0" w:space="0" w:color="auto"/>
                      </w:divBdr>
                      <w:divsChild>
                        <w:div w:id="579101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94276755">
      <w:bodyDiv w:val="1"/>
      <w:marLeft w:val="0"/>
      <w:marRight w:val="0"/>
      <w:marTop w:val="0"/>
      <w:marBottom w:val="0"/>
      <w:divBdr>
        <w:top w:val="none" w:sz="0" w:space="0" w:color="auto"/>
        <w:left w:val="none" w:sz="0" w:space="0" w:color="auto"/>
        <w:bottom w:val="none" w:sz="0" w:space="0" w:color="auto"/>
        <w:right w:val="none" w:sz="0" w:space="0" w:color="auto"/>
      </w:divBdr>
      <w:divsChild>
        <w:div w:id="673261844">
          <w:marLeft w:val="0"/>
          <w:marRight w:val="0"/>
          <w:marTop w:val="0"/>
          <w:marBottom w:val="0"/>
          <w:divBdr>
            <w:top w:val="none" w:sz="0" w:space="0" w:color="auto"/>
            <w:left w:val="none" w:sz="0" w:space="0" w:color="auto"/>
            <w:bottom w:val="none" w:sz="0" w:space="0" w:color="auto"/>
            <w:right w:val="none" w:sz="0" w:space="0" w:color="auto"/>
          </w:divBdr>
          <w:divsChild>
            <w:div w:id="777944314">
              <w:marLeft w:val="0"/>
              <w:marRight w:val="0"/>
              <w:marTop w:val="0"/>
              <w:marBottom w:val="0"/>
              <w:divBdr>
                <w:top w:val="none" w:sz="0" w:space="0" w:color="auto"/>
                <w:left w:val="none" w:sz="0" w:space="0" w:color="auto"/>
                <w:bottom w:val="none" w:sz="0" w:space="0" w:color="auto"/>
                <w:right w:val="none" w:sz="0" w:space="0" w:color="auto"/>
              </w:divBdr>
              <w:divsChild>
                <w:div w:id="878903514">
                  <w:marLeft w:val="0"/>
                  <w:marRight w:val="0"/>
                  <w:marTop w:val="0"/>
                  <w:marBottom w:val="0"/>
                  <w:divBdr>
                    <w:top w:val="none" w:sz="0" w:space="0" w:color="auto"/>
                    <w:left w:val="none" w:sz="0" w:space="0" w:color="auto"/>
                    <w:bottom w:val="none" w:sz="0" w:space="0" w:color="auto"/>
                    <w:right w:val="none" w:sz="0" w:space="0" w:color="auto"/>
                  </w:divBdr>
                  <w:divsChild>
                    <w:div w:id="1309506937">
                      <w:marLeft w:val="0"/>
                      <w:marRight w:val="0"/>
                      <w:marTop w:val="0"/>
                      <w:marBottom w:val="0"/>
                      <w:divBdr>
                        <w:top w:val="none" w:sz="0" w:space="0" w:color="auto"/>
                        <w:left w:val="none" w:sz="0" w:space="0" w:color="auto"/>
                        <w:bottom w:val="none" w:sz="0" w:space="0" w:color="auto"/>
                        <w:right w:val="none" w:sz="0" w:space="0" w:color="auto"/>
                      </w:divBdr>
                      <w:divsChild>
                        <w:div w:id="1102996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hyperlink" Target="http://www.rpg-club.com/x1000" TargetMode="External"/><Relationship Id="rId21" Type="http://schemas.openxmlformats.org/officeDocument/2006/relationships/hyperlink" Target="http://www.airwar.ru/enc/fww1/p15.html" TargetMode="External"/><Relationship Id="rId42" Type="http://schemas.openxmlformats.org/officeDocument/2006/relationships/hyperlink" Target="http://www.rpg-club.com/x1000" TargetMode="External"/><Relationship Id="rId63" Type="http://schemas.openxmlformats.org/officeDocument/2006/relationships/hyperlink" Target="http://www.rpg-club.com/x1000" TargetMode="External"/><Relationship Id="rId84" Type="http://schemas.openxmlformats.org/officeDocument/2006/relationships/hyperlink" Target="http://istmat.info/node/51682" TargetMode="External"/><Relationship Id="rId138" Type="http://schemas.openxmlformats.org/officeDocument/2006/relationships/hyperlink" Target="http://istmat.info/node/51937" TargetMode="External"/><Relationship Id="rId159" Type="http://schemas.openxmlformats.org/officeDocument/2006/relationships/hyperlink" Target="http://www.hrono.ru/biograf/bio_k/kabakov_id.php" TargetMode="External"/><Relationship Id="rId170" Type="http://schemas.openxmlformats.org/officeDocument/2006/relationships/hyperlink" Target="http://www.airwar.ru/enc/cw1/ant14.html" TargetMode="External"/><Relationship Id="rId191" Type="http://schemas.openxmlformats.org/officeDocument/2006/relationships/hyperlink" Target="http://www.rpg-club.com/x1000" TargetMode="External"/><Relationship Id="rId205" Type="http://schemas.openxmlformats.org/officeDocument/2006/relationships/hyperlink" Target="http://www.rpg-club.com/x1000" TargetMode="External"/><Relationship Id="rId226" Type="http://schemas.openxmlformats.org/officeDocument/2006/relationships/hyperlink" Target="http://detectivebooks.ru/book/47013018/?page=26" TargetMode="External"/><Relationship Id="rId247" Type="http://schemas.openxmlformats.org/officeDocument/2006/relationships/hyperlink" Target="http://www.rpg-club.com/x1000" TargetMode="External"/><Relationship Id="rId107" Type="http://schemas.openxmlformats.org/officeDocument/2006/relationships/hyperlink" Target="http://www.airwar.ru/enc/cw1/d30.html" TargetMode="External"/><Relationship Id="rId11" Type="http://schemas.openxmlformats.org/officeDocument/2006/relationships/hyperlink" Target="http://www.airwar.ru/enc/sww2/mdr2.html" TargetMode="External"/><Relationship Id="rId32" Type="http://schemas.openxmlformats.org/officeDocument/2006/relationships/hyperlink" Target="http://www.airwar.ru/enc/bww1/gordon.html" TargetMode="External"/><Relationship Id="rId53" Type="http://schemas.openxmlformats.org/officeDocument/2006/relationships/hyperlink" Target="http://www.rpg-club.com/x1000" TargetMode="External"/><Relationship Id="rId74" Type="http://schemas.openxmlformats.org/officeDocument/2006/relationships/hyperlink" Target="http://www.rpg-club.com/x1000" TargetMode="External"/><Relationship Id="rId128" Type="http://schemas.openxmlformats.org/officeDocument/2006/relationships/hyperlink" Target="http://www.rpg-club.com/x1000" TargetMode="External"/><Relationship Id="rId149" Type="http://schemas.openxmlformats.org/officeDocument/2006/relationships/hyperlink" Target="http://www.hrono.ru/biograf/bio_r/rozengolc_ap.php" TargetMode="External"/><Relationship Id="rId5" Type="http://schemas.openxmlformats.org/officeDocument/2006/relationships/webSettings" Target="webSettings.xml"/><Relationship Id="rId95" Type="http://schemas.openxmlformats.org/officeDocument/2006/relationships/hyperlink" Target="http://istmat.info/node/30740" TargetMode="External"/><Relationship Id="rId160" Type="http://schemas.openxmlformats.org/officeDocument/2006/relationships/hyperlink" Target="http://www.hrono.ru/biograf/bio_we/vareykis_im.php" TargetMode="External"/><Relationship Id="rId181" Type="http://schemas.openxmlformats.org/officeDocument/2006/relationships/hyperlink" Target="http://www.rpg-club.com/x1000" TargetMode="External"/><Relationship Id="rId216" Type="http://schemas.openxmlformats.org/officeDocument/2006/relationships/hyperlink" Target="http://www.e-reading.club/chapter.php/1005087/32/Gorlov_Sergey_-_Sovershenno_sekretno__Alyans_Moskva_-_Berlin_1920-1933_gg..html" TargetMode="External"/><Relationship Id="rId237" Type="http://schemas.openxmlformats.org/officeDocument/2006/relationships/hyperlink" Target="http://www.rpg-club.com/x1000" TargetMode="External"/><Relationship Id="rId258" Type="http://schemas.openxmlformats.org/officeDocument/2006/relationships/hyperlink" Target="http://www.rpg-club.com/x1000" TargetMode="External"/><Relationship Id="rId22" Type="http://schemas.openxmlformats.org/officeDocument/2006/relationships/hyperlink" Target="http://www.airwar.ru/enc/fww1/i12.html" TargetMode="External"/><Relationship Id="rId43" Type="http://schemas.openxmlformats.org/officeDocument/2006/relationships/hyperlink" Target="http://www.rpg-club.com/x1000" TargetMode="External"/><Relationship Id="rId64" Type="http://schemas.openxmlformats.org/officeDocument/2006/relationships/hyperlink" Target="http://www.rpg-club.com/x1000" TargetMode="External"/><Relationship Id="rId118" Type="http://schemas.openxmlformats.org/officeDocument/2006/relationships/hyperlink" Target="http://www.rpg-club.com/x1000" TargetMode="External"/><Relationship Id="rId139" Type="http://schemas.openxmlformats.org/officeDocument/2006/relationships/hyperlink" Target="http://detectivebooks.ru/book/47013018/?page=15" TargetMode="External"/><Relationship Id="rId85" Type="http://schemas.openxmlformats.org/officeDocument/2006/relationships/hyperlink" Target="http://www.barque.ru/stories/1967/gliders_thirties" TargetMode="External"/><Relationship Id="rId150" Type="http://schemas.openxmlformats.org/officeDocument/2006/relationships/hyperlink" Target="http://www.hrono.ru/biograf/bio_b/baranov_pi.php" TargetMode="External"/><Relationship Id="rId171" Type="http://schemas.openxmlformats.org/officeDocument/2006/relationships/hyperlink" Target="http://www.hrono.ru/biograf/bio_t/tuhachevski.php" TargetMode="External"/><Relationship Id="rId192" Type="http://schemas.openxmlformats.org/officeDocument/2006/relationships/hyperlink" Target="http://www.rpg-club.com/x1000" TargetMode="External"/><Relationship Id="rId206" Type="http://schemas.openxmlformats.org/officeDocument/2006/relationships/hyperlink" Target="http://www.rpg-club.com/x1000" TargetMode="External"/><Relationship Id="rId227" Type="http://schemas.openxmlformats.org/officeDocument/2006/relationships/hyperlink" Target="http://www.rpg-club.com/x1000" TargetMode="External"/><Relationship Id="rId248" Type="http://schemas.openxmlformats.org/officeDocument/2006/relationships/hyperlink" Target="http://www.rpg-club.com/x1000" TargetMode="External"/><Relationship Id="rId12" Type="http://schemas.openxmlformats.org/officeDocument/2006/relationships/hyperlink" Target="http://www.airwar.ru/enc/cw1/br390.html" TargetMode="External"/><Relationship Id="rId33" Type="http://schemas.openxmlformats.org/officeDocument/2006/relationships/hyperlink" Target="http://istmat.info/node/51578" TargetMode="External"/><Relationship Id="rId108" Type="http://schemas.openxmlformats.org/officeDocument/2006/relationships/hyperlink" Target="http://www.airwar.ru/enc/flyboat/p2y.html" TargetMode="External"/><Relationship Id="rId129" Type="http://schemas.openxmlformats.org/officeDocument/2006/relationships/hyperlink" Target="http://www.rpg-club.com/x1000" TargetMode="External"/><Relationship Id="rId54" Type="http://schemas.openxmlformats.org/officeDocument/2006/relationships/hyperlink" Target="http://www.rpg-club.com/x1000" TargetMode="External"/><Relationship Id="rId75" Type="http://schemas.openxmlformats.org/officeDocument/2006/relationships/hyperlink" Target="http://www.rpg-club.com/x1000" TargetMode="External"/><Relationship Id="rId96" Type="http://schemas.openxmlformats.org/officeDocument/2006/relationships/hyperlink" Target="http://airspot.ru/catalogue/item/short-s-17-kent" TargetMode="External"/><Relationship Id="rId140" Type="http://schemas.openxmlformats.org/officeDocument/2006/relationships/hyperlink" Target="http://www.airwar.ru/enc/law1/i5.html" TargetMode="External"/><Relationship Id="rId161" Type="http://schemas.openxmlformats.org/officeDocument/2006/relationships/hyperlink" Target="http://www.hrono.ru/biograf/bio_zh/zhdanov_aa.php" TargetMode="External"/><Relationship Id="rId182" Type="http://schemas.openxmlformats.org/officeDocument/2006/relationships/hyperlink" Target="http://www.rpg-club.com/x1000" TargetMode="External"/><Relationship Id="rId217" Type="http://schemas.openxmlformats.org/officeDocument/2006/relationships/hyperlink" Target="http://detectivebooks.ru/book/47013018/?page=16" TargetMode="External"/><Relationship Id="rId6" Type="http://schemas.openxmlformats.org/officeDocument/2006/relationships/hyperlink" Target="http://istmat.info/node/51477" TargetMode="External"/><Relationship Id="rId238" Type="http://schemas.openxmlformats.org/officeDocument/2006/relationships/hyperlink" Target="http://detectivebooks.ru/book/47013018/?page=50" TargetMode="External"/><Relationship Id="rId259" Type="http://schemas.openxmlformats.org/officeDocument/2006/relationships/fontTable" Target="fontTable.xml"/><Relationship Id="rId23" Type="http://schemas.openxmlformats.org/officeDocument/2006/relationships/hyperlink" Target="http://www.airpages.ru/ru/shvak126.shtml" TargetMode="External"/><Relationship Id="rId119" Type="http://schemas.openxmlformats.org/officeDocument/2006/relationships/hyperlink" Target="http://www.rpg-club.com/x1000" TargetMode="External"/><Relationship Id="rId44" Type="http://schemas.openxmlformats.org/officeDocument/2006/relationships/hyperlink" Target="http://www.rpg-club.com/x1000" TargetMode="External"/><Relationship Id="rId65" Type="http://schemas.openxmlformats.org/officeDocument/2006/relationships/hyperlink" Target="http://www.rpg-club.com/x1000" TargetMode="External"/><Relationship Id="rId86" Type="http://schemas.openxmlformats.org/officeDocument/2006/relationships/hyperlink" Target="http://istmat.info/node/51693" TargetMode="External"/><Relationship Id="rId130" Type="http://schemas.openxmlformats.org/officeDocument/2006/relationships/hyperlink" Target="http://detectivebooks.ru/book/47013018/?page=15" TargetMode="External"/><Relationship Id="rId151" Type="http://schemas.openxmlformats.org/officeDocument/2006/relationships/hyperlink" Target="http://www.hrono.ru/biograf/bio_k/kaganovich_mm.php" TargetMode="External"/><Relationship Id="rId172" Type="http://schemas.openxmlformats.org/officeDocument/2006/relationships/hyperlink" Target="http://crimso.msk.ru/Site/Crafts/Craft30745.htm" TargetMode="External"/><Relationship Id="rId193" Type="http://schemas.openxmlformats.org/officeDocument/2006/relationships/hyperlink" Target="http://www.rpg-club.com/x1000" TargetMode="External"/><Relationship Id="rId207" Type="http://schemas.openxmlformats.org/officeDocument/2006/relationships/hyperlink" Target="http://www.rpg-club.com/x1000" TargetMode="External"/><Relationship Id="rId228" Type="http://schemas.openxmlformats.org/officeDocument/2006/relationships/hyperlink" Target="http://www.rpg-club.com/x1000" TargetMode="External"/><Relationship Id="rId249" Type="http://schemas.openxmlformats.org/officeDocument/2006/relationships/hyperlink" Target="http://www.rpg-club.com/x1000" TargetMode="External"/><Relationship Id="rId13" Type="http://schemas.openxmlformats.org/officeDocument/2006/relationships/hyperlink" Target="http://www.istmira.com/razlichnoe/obuxovskij-zavod/page/148/" TargetMode="External"/><Relationship Id="rId109" Type="http://schemas.openxmlformats.org/officeDocument/2006/relationships/hyperlink" Target="http://www.astronaut.ru/strato/fnrs/start.htm" TargetMode="External"/><Relationship Id="rId260" Type="http://schemas.openxmlformats.org/officeDocument/2006/relationships/theme" Target="theme/theme1.xml"/><Relationship Id="rId34" Type="http://schemas.openxmlformats.org/officeDocument/2006/relationships/hyperlink" Target="http://airspot.ru/catalogue/item/gee-bee-model-d-sportster" TargetMode="External"/><Relationship Id="rId55" Type="http://schemas.openxmlformats.org/officeDocument/2006/relationships/hyperlink" Target="http://www.rpg-club.com/x1000" TargetMode="External"/><Relationship Id="rId76" Type="http://schemas.openxmlformats.org/officeDocument/2006/relationships/hyperlink" Target="http://www.rpg-club.com/x1000" TargetMode="External"/><Relationship Id="rId97" Type="http://schemas.openxmlformats.org/officeDocument/2006/relationships/hyperlink" Target="http://www.airwar.ru/enc/other1/anbo5.html" TargetMode="External"/><Relationship Id="rId120" Type="http://schemas.openxmlformats.org/officeDocument/2006/relationships/hyperlink" Target="http://www.rpg-club.com/x1000" TargetMode="External"/><Relationship Id="rId141" Type="http://schemas.openxmlformats.org/officeDocument/2006/relationships/hyperlink" Target="http://lib.rus.ec/b/347442/read" TargetMode="External"/><Relationship Id="rId7" Type="http://schemas.openxmlformats.org/officeDocument/2006/relationships/hyperlink" Target="http://hrono.pisalo.ru/biograf/voroshil.html" TargetMode="External"/><Relationship Id="rId162" Type="http://schemas.openxmlformats.org/officeDocument/2006/relationships/hyperlink" Target="http://www.hrono.ru/biograf/bio_m/molotov_vm.php" TargetMode="External"/><Relationship Id="rId183" Type="http://schemas.openxmlformats.org/officeDocument/2006/relationships/hyperlink" Target="http://www.uznal.org/book_of_memory.php?bukva=16&amp;name=32&amp;surname=61&amp;repression=38" TargetMode="External"/><Relationship Id="rId218" Type="http://schemas.openxmlformats.org/officeDocument/2006/relationships/hyperlink" Target="http://detectivebooks.ru/book/47013018/?page=16" TargetMode="External"/><Relationship Id="rId239" Type="http://schemas.openxmlformats.org/officeDocument/2006/relationships/hyperlink" Target="http://www.rpg-club.com/x1000" TargetMode="External"/><Relationship Id="rId250" Type="http://schemas.openxmlformats.org/officeDocument/2006/relationships/hyperlink" Target="http://www.rpg-club.com/x1000" TargetMode="External"/><Relationship Id="rId24" Type="http://schemas.openxmlformats.org/officeDocument/2006/relationships/hyperlink" Target="http://airspot.ru/catalogue/item/curtiss-f9c-sparrowhawk" TargetMode="External"/><Relationship Id="rId45" Type="http://schemas.openxmlformats.org/officeDocument/2006/relationships/hyperlink" Target="http://www.rpg-club.com/x1000" TargetMode="External"/><Relationship Id="rId66" Type="http://schemas.openxmlformats.org/officeDocument/2006/relationships/hyperlink" Target="http://www.rpg-club.com/x1000" TargetMode="External"/><Relationship Id="rId87" Type="http://schemas.openxmlformats.org/officeDocument/2006/relationships/hyperlink" Target="http://istmat.info/node/51693" TargetMode="External"/><Relationship Id="rId110" Type="http://schemas.openxmlformats.org/officeDocument/2006/relationships/hyperlink" Target="https://t34inform.ru/doc/1931-05-21_VSNX.html" TargetMode="External"/><Relationship Id="rId131" Type="http://schemas.openxmlformats.org/officeDocument/2006/relationships/hyperlink" Target="http://istmat.info/node/51803" TargetMode="External"/><Relationship Id="rId152" Type="http://schemas.openxmlformats.org/officeDocument/2006/relationships/hyperlink" Target="http://www.hrono.ru/biograf/bio_a/alksnis_jak.php" TargetMode="External"/><Relationship Id="rId173" Type="http://schemas.openxmlformats.org/officeDocument/2006/relationships/hyperlink" Target="http://www.airwar.ru/enc/law1/aec1.html" TargetMode="External"/><Relationship Id="rId194" Type="http://schemas.openxmlformats.org/officeDocument/2006/relationships/hyperlink" Target="http://www.rpg-club.com/x1000" TargetMode="External"/><Relationship Id="rId208" Type="http://schemas.openxmlformats.org/officeDocument/2006/relationships/hyperlink" Target="http://www.rpg-club.com/x1000" TargetMode="External"/><Relationship Id="rId229" Type="http://schemas.openxmlformats.org/officeDocument/2006/relationships/hyperlink" Target="http://www.rpg-club.com/x1000" TargetMode="External"/><Relationship Id="rId240" Type="http://schemas.openxmlformats.org/officeDocument/2006/relationships/hyperlink" Target="http://www.rpg-club.com/x1000" TargetMode="External"/><Relationship Id="rId14" Type="http://schemas.openxmlformats.org/officeDocument/2006/relationships/hyperlink" Target="http://www.istmira.com/razlichnoe/obuxovskij-zavod/page/148/" TargetMode="External"/><Relationship Id="rId35" Type="http://schemas.openxmlformats.org/officeDocument/2006/relationships/hyperlink" Target="http://airspot.ru/catalogue/item/bleriot-125" TargetMode="External"/><Relationship Id="rId56" Type="http://schemas.openxmlformats.org/officeDocument/2006/relationships/hyperlink" Target="http://www.rpg-club.com/x1000" TargetMode="External"/><Relationship Id="rId77" Type="http://schemas.openxmlformats.org/officeDocument/2006/relationships/hyperlink" Target="http://www.rpg-club.com/x1000" TargetMode="External"/><Relationship Id="rId100" Type="http://schemas.openxmlformats.org/officeDocument/2006/relationships/hyperlink" Target="http://www.hrono.ru/biograf/bio_g/gay_mi.php" TargetMode="External"/><Relationship Id="rId8" Type="http://schemas.openxmlformats.org/officeDocument/2006/relationships/hyperlink" Target="http://www.airwar.ru/enc/other1/letovs128.html" TargetMode="External"/><Relationship Id="rId98" Type="http://schemas.openxmlformats.org/officeDocument/2006/relationships/hyperlink" Target="http://www.hrono.ru/biograf/bio_p/prokofev_ge.php" TargetMode="External"/><Relationship Id="rId121" Type="http://schemas.openxmlformats.org/officeDocument/2006/relationships/hyperlink" Target="http://www.rpg-club.com/x1000" TargetMode="External"/><Relationship Id="rId142" Type="http://schemas.openxmlformats.org/officeDocument/2006/relationships/hyperlink" Target="http://www.airwar.ru/enc/other1/r5.html" TargetMode="External"/><Relationship Id="rId163" Type="http://schemas.openxmlformats.org/officeDocument/2006/relationships/hyperlink" Target="http://ru.wikipedia.org/wiki/%D0%9C%D0%B8%D1%80%D0%BE%D1%88%D0%BD%D0%B8%D0%BA%D0%BE%D0%B2,_%D0%98%D0%B2%D0%B0%D0%BD_%D0%98%D0%B2%D0%B0%D0%BD%D0%BE%D0%B2%D0%B8%D1%87" TargetMode="External"/><Relationship Id="rId184" Type="http://schemas.openxmlformats.org/officeDocument/2006/relationships/hyperlink" Target="http://www.rpg-club.com/x1000" TargetMode="External"/><Relationship Id="rId219" Type="http://schemas.openxmlformats.org/officeDocument/2006/relationships/hyperlink" Target="http://detectivebooks.ru/book/47013018/?page=16" TargetMode="External"/><Relationship Id="rId230" Type="http://schemas.openxmlformats.org/officeDocument/2006/relationships/hyperlink" Target="http://www.rpg-club.com/x1000" TargetMode="External"/><Relationship Id="rId251" Type="http://schemas.openxmlformats.org/officeDocument/2006/relationships/hyperlink" Target="http://www.rpg-club.com/x1000" TargetMode="External"/><Relationship Id="rId25" Type="http://schemas.openxmlformats.org/officeDocument/2006/relationships/hyperlink" Target="http://www.airwar.ru/enc/law1/bluebird.html" TargetMode="External"/><Relationship Id="rId46" Type="http://schemas.openxmlformats.org/officeDocument/2006/relationships/hyperlink" Target="http://www.rpg-club.com/x1000" TargetMode="External"/><Relationship Id="rId67" Type="http://schemas.openxmlformats.org/officeDocument/2006/relationships/hyperlink" Target="http://www.rpg-club.com/x1000" TargetMode="External"/><Relationship Id="rId88" Type="http://schemas.openxmlformats.org/officeDocument/2006/relationships/hyperlink" Target="http://www.airwar.ru/enc/cw1/kent.html" TargetMode="External"/><Relationship Id="rId111" Type="http://schemas.openxmlformats.org/officeDocument/2006/relationships/hyperlink" Target="http://www.rpg-club.com/x1000" TargetMode="External"/><Relationship Id="rId132" Type="http://schemas.openxmlformats.org/officeDocument/2006/relationships/hyperlink" Target="http://www.rpg-club.com/x1000" TargetMode="External"/><Relationship Id="rId153" Type="http://schemas.openxmlformats.org/officeDocument/2006/relationships/hyperlink" Target="http://www.hrono.ru/biograf/bio_g/golcman_az.php" TargetMode="External"/><Relationship Id="rId174" Type="http://schemas.openxmlformats.org/officeDocument/2006/relationships/hyperlink" Target="http://www.hrono.ru/biograf/bio_o/orzonikidze.php" TargetMode="External"/><Relationship Id="rId195" Type="http://schemas.openxmlformats.org/officeDocument/2006/relationships/hyperlink" Target="http://www.rpg-club.com/x1000" TargetMode="External"/><Relationship Id="rId209" Type="http://schemas.openxmlformats.org/officeDocument/2006/relationships/hyperlink" Target="http://www.rpg-club.com/x1000" TargetMode="External"/><Relationship Id="rId220" Type="http://schemas.openxmlformats.org/officeDocument/2006/relationships/hyperlink" Target="http://detectivebooks.ru/book/47013018/?page=16" TargetMode="External"/><Relationship Id="rId241" Type="http://schemas.openxmlformats.org/officeDocument/2006/relationships/hyperlink" Target="http://www.rpg-club.com/x1000" TargetMode="External"/><Relationship Id="rId15" Type="http://schemas.openxmlformats.org/officeDocument/2006/relationships/hyperlink" Target="http://www.istmira.com/razlichnoe/obuxovskij-zavod/page/148/" TargetMode="External"/><Relationship Id="rId36" Type="http://schemas.openxmlformats.org/officeDocument/2006/relationships/hyperlink" Target="http://www.airwar.ru/enc/law1/hv41.html" TargetMode="External"/><Relationship Id="rId57" Type="http://schemas.openxmlformats.org/officeDocument/2006/relationships/hyperlink" Target="http://www.rpg-club.com/x1000" TargetMode="External"/><Relationship Id="rId78" Type="http://schemas.openxmlformats.org/officeDocument/2006/relationships/hyperlink" Target="http://www.rpg-club.com/x1000" TargetMode="External"/><Relationship Id="rId99" Type="http://schemas.openxmlformats.org/officeDocument/2006/relationships/hyperlink" Target="http://www.hrono.ru/biograf/bio_a/alexandrov_ig.php" TargetMode="External"/><Relationship Id="rId101" Type="http://schemas.openxmlformats.org/officeDocument/2006/relationships/hyperlink" Target="http://www.knowbysight.info/BBB/01414.asp" TargetMode="External"/><Relationship Id="rId122" Type="http://schemas.openxmlformats.org/officeDocument/2006/relationships/hyperlink" Target="http://www.rpg-club.com/x1000" TargetMode="External"/><Relationship Id="rId143" Type="http://schemas.openxmlformats.org/officeDocument/2006/relationships/hyperlink" Target="http://www.airwar.ru/enc/fww1/iz.html" TargetMode="External"/><Relationship Id="rId164" Type="http://schemas.openxmlformats.org/officeDocument/2006/relationships/hyperlink" Target="http://www.airwar.ru/enc/bww1/dh72.html" TargetMode="External"/><Relationship Id="rId185" Type="http://schemas.openxmlformats.org/officeDocument/2006/relationships/hyperlink" Target="http://www.rpg-club.com/x1000" TargetMode="External"/><Relationship Id="rId9" Type="http://schemas.openxmlformats.org/officeDocument/2006/relationships/hyperlink" Target="http://detectivebooks.ru/book/47013018/?page=30" TargetMode="External"/><Relationship Id="rId210" Type="http://schemas.openxmlformats.org/officeDocument/2006/relationships/hyperlink" Target="http://www.rpg-club.com/x1000" TargetMode="External"/><Relationship Id="rId26" Type="http://schemas.openxmlformats.org/officeDocument/2006/relationships/hyperlink" Target="http://www.airwar.ru/enc/cw1/bernard80.html" TargetMode="External"/><Relationship Id="rId231" Type="http://schemas.openxmlformats.org/officeDocument/2006/relationships/hyperlink" Target="http://www.rpg-club.com/x1000" TargetMode="External"/><Relationship Id="rId252" Type="http://schemas.openxmlformats.org/officeDocument/2006/relationships/hyperlink" Target="http://www.rpg-club.com/x1000" TargetMode="External"/><Relationship Id="rId47" Type="http://schemas.openxmlformats.org/officeDocument/2006/relationships/hyperlink" Target="http://www.rpg-club.com/x1000" TargetMode="External"/><Relationship Id="rId68" Type="http://schemas.openxmlformats.org/officeDocument/2006/relationships/hyperlink" Target="http://www.rpg-club.com/x1000" TargetMode="External"/><Relationship Id="rId89" Type="http://schemas.openxmlformats.org/officeDocument/2006/relationships/hyperlink" Target="http://www.hrono.ru/biograf/bio_we/voroshilov.php" TargetMode="External"/><Relationship Id="rId112" Type="http://schemas.openxmlformats.org/officeDocument/2006/relationships/hyperlink" Target="http://www.rpg-club.com/x1000" TargetMode="External"/><Relationship Id="rId133" Type="http://schemas.openxmlformats.org/officeDocument/2006/relationships/hyperlink" Target="http://www.rpg-club.com/x1000" TargetMode="External"/><Relationship Id="rId154" Type="http://schemas.openxmlformats.org/officeDocument/2006/relationships/hyperlink" Target="http://www.hrono.ru/biograf/bio_g/gay_mi.php" TargetMode="External"/><Relationship Id="rId175" Type="http://schemas.openxmlformats.org/officeDocument/2006/relationships/hyperlink" Target="http://www.hrono.ru/biograf/bio_a/akulov_ia.php" TargetMode="External"/><Relationship Id="rId196" Type="http://schemas.openxmlformats.org/officeDocument/2006/relationships/hyperlink" Target="https://t34inform.ru/photo/4-02-004.jpg" TargetMode="External"/><Relationship Id="rId200" Type="http://schemas.openxmlformats.org/officeDocument/2006/relationships/hyperlink" Target="http://www.rpg-club.com/x1000" TargetMode="External"/><Relationship Id="rId16" Type="http://schemas.openxmlformats.org/officeDocument/2006/relationships/hyperlink" Target="http://www.istmira.com/razlichnoe/obuxovskij-zavod/page/148/" TargetMode="External"/><Relationship Id="rId221" Type="http://schemas.openxmlformats.org/officeDocument/2006/relationships/hyperlink" Target="http://www.az-libr.ru/Persons/70B/b6310cc5/0001/8aed6a17.shtml" TargetMode="External"/><Relationship Id="rId242" Type="http://schemas.openxmlformats.org/officeDocument/2006/relationships/hyperlink" Target="http://www.rpg-club.com/x1000" TargetMode="External"/><Relationship Id="rId37" Type="http://schemas.openxmlformats.org/officeDocument/2006/relationships/hyperlink" Target="http://www.airwar.ru/enc/bww1/late440.html" TargetMode="External"/><Relationship Id="rId58" Type="http://schemas.openxmlformats.org/officeDocument/2006/relationships/hyperlink" Target="http://www.rpg-club.com/x1000" TargetMode="External"/><Relationship Id="rId79" Type="http://schemas.openxmlformats.org/officeDocument/2006/relationships/hyperlink" Target="http://www.rpg-club.com/x1000" TargetMode="External"/><Relationship Id="rId102" Type="http://schemas.openxmlformats.org/officeDocument/2006/relationships/hyperlink" Target="http://www.hrono.ru/biograf/bio_h/hrushev4ns.php" TargetMode="External"/><Relationship Id="rId123" Type="http://schemas.openxmlformats.org/officeDocument/2006/relationships/hyperlink" Target="http://www.rpg-club.com/x1000" TargetMode="External"/><Relationship Id="rId144" Type="http://schemas.openxmlformats.org/officeDocument/2006/relationships/hyperlink" Target="http://www.airwar.ru/enc/flyboat/p2y.html" TargetMode="External"/><Relationship Id="rId90" Type="http://schemas.openxmlformats.org/officeDocument/2006/relationships/hyperlink" Target="http://www.hrono.ru/biograf/bio_u/uborevich_ip.php" TargetMode="External"/><Relationship Id="rId165" Type="http://schemas.openxmlformats.org/officeDocument/2006/relationships/hyperlink" Target="http://www.libussr.ru/doc_ussr/ussr_3756.htm" TargetMode="External"/><Relationship Id="rId186" Type="http://schemas.openxmlformats.org/officeDocument/2006/relationships/hyperlink" Target="http://www.rpg-club.com/x1000" TargetMode="External"/><Relationship Id="rId211" Type="http://schemas.openxmlformats.org/officeDocument/2006/relationships/hyperlink" Target="http://detectivebooks.ru/book/47013018/?page=27" TargetMode="External"/><Relationship Id="rId232" Type="http://schemas.openxmlformats.org/officeDocument/2006/relationships/hyperlink" Target="http://www.rpg-club.com/x1000" TargetMode="External"/><Relationship Id="rId253" Type="http://schemas.openxmlformats.org/officeDocument/2006/relationships/hyperlink" Target="http://www.rpg-club.com/x1000" TargetMode="External"/><Relationship Id="rId27" Type="http://schemas.openxmlformats.org/officeDocument/2006/relationships/hyperlink" Target="http://www.airwar.ru/enc/cw1/kent.html" TargetMode="External"/><Relationship Id="rId48" Type="http://schemas.openxmlformats.org/officeDocument/2006/relationships/hyperlink" Target="http://www.rpg-club.com/x1000" TargetMode="External"/><Relationship Id="rId69" Type="http://schemas.openxmlformats.org/officeDocument/2006/relationships/hyperlink" Target="http://www.rpg-club.com/x1000" TargetMode="External"/><Relationship Id="rId113" Type="http://schemas.openxmlformats.org/officeDocument/2006/relationships/hyperlink" Target="http://www.rpg-club.com/x1000" TargetMode="External"/><Relationship Id="rId134" Type="http://schemas.openxmlformats.org/officeDocument/2006/relationships/hyperlink" Target="http://1937god.info/node/415" TargetMode="External"/><Relationship Id="rId80" Type="http://schemas.openxmlformats.org/officeDocument/2006/relationships/hyperlink" Target="http://www.rpg-club.com/x1000" TargetMode="External"/><Relationship Id="rId155" Type="http://schemas.openxmlformats.org/officeDocument/2006/relationships/hyperlink" Target="http://www.hrono.ru/biograf/bio_g/goryanov.html" TargetMode="External"/><Relationship Id="rId176" Type="http://schemas.openxmlformats.org/officeDocument/2006/relationships/hyperlink" Target="http://www.hrono.ru/biograf/bio_m/mironov_kagan.php" TargetMode="External"/><Relationship Id="rId197" Type="http://schemas.openxmlformats.org/officeDocument/2006/relationships/hyperlink" Target="http://www.uznal.org/book_of_memory.php?bukva=1&amp;name=60&amp;surname=73&amp;repression=17" TargetMode="External"/><Relationship Id="rId201" Type="http://schemas.openxmlformats.org/officeDocument/2006/relationships/hyperlink" Target="http://www.rpg-club.com/x1000" TargetMode="External"/><Relationship Id="rId222" Type="http://schemas.openxmlformats.org/officeDocument/2006/relationships/hyperlink" Target="http://www.hrono.ru/biograf/bio_t/tuhachevski.php" TargetMode="External"/><Relationship Id="rId243" Type="http://schemas.openxmlformats.org/officeDocument/2006/relationships/hyperlink" Target="http://www.rpg-club.com/x1000" TargetMode="External"/><Relationship Id="rId17" Type="http://schemas.openxmlformats.org/officeDocument/2006/relationships/hyperlink" Target="http://www.istmira.com/razlichnoe/obuxovskij-zavod/page/148/" TargetMode="External"/><Relationship Id="rId38" Type="http://schemas.openxmlformats.org/officeDocument/2006/relationships/hyperlink" Target="http://www.airwar.ru/enc/cw1/bl110.html" TargetMode="External"/><Relationship Id="rId59" Type="http://schemas.openxmlformats.org/officeDocument/2006/relationships/hyperlink" Target="http://www.rpg-club.com/x1000" TargetMode="External"/><Relationship Id="rId103" Type="http://schemas.openxmlformats.org/officeDocument/2006/relationships/hyperlink" Target="http://www.hrono.ru/biograf/bio_p/pavlunovski_ip.php" TargetMode="External"/><Relationship Id="rId124" Type="http://schemas.openxmlformats.org/officeDocument/2006/relationships/hyperlink" Target="http://www.rpg-club.com/x1000" TargetMode="External"/><Relationship Id="rId70" Type="http://schemas.openxmlformats.org/officeDocument/2006/relationships/hyperlink" Target="http://www.rpg-club.com/x1000" TargetMode="External"/><Relationship Id="rId91" Type="http://schemas.openxmlformats.org/officeDocument/2006/relationships/hyperlink" Target="http://www.hrono.ru/biograf/bio_t/triandafilov_vk.php" TargetMode="External"/><Relationship Id="rId145" Type="http://schemas.openxmlformats.org/officeDocument/2006/relationships/hyperlink" Target="http://istmat.info/node/52356" TargetMode="External"/><Relationship Id="rId166" Type="http://schemas.openxmlformats.org/officeDocument/2006/relationships/hyperlink" Target="http://www.libussr.ru/doc_ussr/ussr_3761.htm" TargetMode="External"/><Relationship Id="rId187" Type="http://schemas.openxmlformats.org/officeDocument/2006/relationships/hyperlink" Target="http://www.rpg-club.com/x1000" TargetMode="External"/><Relationship Id="rId1" Type="http://schemas.openxmlformats.org/officeDocument/2006/relationships/customXml" Target="../customXml/item1.xml"/><Relationship Id="rId212" Type="http://schemas.openxmlformats.org/officeDocument/2006/relationships/hyperlink" Target="http://detectivebooks.ru/book/47013018/?page=27" TargetMode="External"/><Relationship Id="rId233" Type="http://schemas.openxmlformats.org/officeDocument/2006/relationships/hyperlink" Target="http://www.rpg-club.com/x1000" TargetMode="External"/><Relationship Id="rId254" Type="http://schemas.openxmlformats.org/officeDocument/2006/relationships/hyperlink" Target="http://www.rpg-club.com/x1000" TargetMode="External"/><Relationship Id="rId28" Type="http://schemas.openxmlformats.org/officeDocument/2006/relationships/hyperlink" Target="http://istmat.info/node/51574" TargetMode="External"/><Relationship Id="rId49" Type="http://schemas.openxmlformats.org/officeDocument/2006/relationships/hyperlink" Target="http://www.rpg-club.com/x1000" TargetMode="External"/><Relationship Id="rId114" Type="http://schemas.openxmlformats.org/officeDocument/2006/relationships/hyperlink" Target="http://www.rpg-club.com/x1000" TargetMode="External"/><Relationship Id="rId60" Type="http://schemas.openxmlformats.org/officeDocument/2006/relationships/hyperlink" Target="http://www.rpg-club.com/x1000" TargetMode="External"/><Relationship Id="rId81" Type="http://schemas.openxmlformats.org/officeDocument/2006/relationships/hyperlink" Target="http://www.rpg-club.com/x1000" TargetMode="External"/><Relationship Id="rId135" Type="http://schemas.openxmlformats.org/officeDocument/2006/relationships/hyperlink" Target="http://www.airwar.ru/enc/cw1/d33.html" TargetMode="External"/><Relationship Id="rId156" Type="http://schemas.openxmlformats.org/officeDocument/2006/relationships/hyperlink" Target="http://ru.wikipedia.org/wiki/%CA%EE%EB%EE%F2%E8%EB%EE%E2,_%CD%E8%EA%EE%EB%E0%E9_%CD%E8%EA%EE%EB%E0%E5%E2%E8%F7" TargetMode="External"/><Relationship Id="rId177" Type="http://schemas.openxmlformats.org/officeDocument/2006/relationships/hyperlink" Target="http://warspot.ru/6240-tyaglovaya-sila" TargetMode="External"/><Relationship Id="rId198" Type="http://schemas.openxmlformats.org/officeDocument/2006/relationships/hyperlink" Target="http://1937god.info/node/1074" TargetMode="External"/><Relationship Id="rId202" Type="http://schemas.openxmlformats.org/officeDocument/2006/relationships/hyperlink" Target="http://www.rpg-club.com/x1000" TargetMode="External"/><Relationship Id="rId223" Type="http://schemas.openxmlformats.org/officeDocument/2006/relationships/hyperlink" Target="http://www.hrono.ru/biograf/bio_u/unshliht_is.php" TargetMode="External"/><Relationship Id="rId244" Type="http://schemas.openxmlformats.org/officeDocument/2006/relationships/hyperlink" Target="http://www.rpg-club.com/x1000" TargetMode="External"/><Relationship Id="rId18" Type="http://schemas.openxmlformats.org/officeDocument/2006/relationships/hyperlink" Target="http://www.istmira.com/razlichnoe/obuxovskij-zavod/page/148/" TargetMode="External"/><Relationship Id="rId39" Type="http://schemas.openxmlformats.org/officeDocument/2006/relationships/hyperlink" Target="http://www.aviarmor.net/aww2/aircraft/gb/hawker_fury.htm" TargetMode="External"/><Relationship Id="rId50" Type="http://schemas.openxmlformats.org/officeDocument/2006/relationships/hyperlink" Target="http://www.rpg-club.com/x1000" TargetMode="External"/><Relationship Id="rId104" Type="http://schemas.openxmlformats.org/officeDocument/2006/relationships/hyperlink" Target="http://www.hrono.ru/biograf/bio_k/kuybyshev_nv.php" TargetMode="External"/><Relationship Id="rId125" Type="http://schemas.openxmlformats.org/officeDocument/2006/relationships/hyperlink" Target="http://www.rpg-club.com/x1000" TargetMode="External"/><Relationship Id="rId146" Type="http://schemas.openxmlformats.org/officeDocument/2006/relationships/hyperlink" Target="http://www.airwar.ru/enc/fww1/di3.html" TargetMode="External"/><Relationship Id="rId167" Type="http://schemas.openxmlformats.org/officeDocument/2006/relationships/hyperlink" Target="http://istmat.info/node/53495" TargetMode="External"/><Relationship Id="rId188" Type="http://schemas.openxmlformats.org/officeDocument/2006/relationships/hyperlink" Target="http://www.rpg-club.com/x1000" TargetMode="External"/><Relationship Id="rId71" Type="http://schemas.openxmlformats.org/officeDocument/2006/relationships/hyperlink" Target="http://www.rpg-club.com/x1000" TargetMode="External"/><Relationship Id="rId92" Type="http://schemas.openxmlformats.org/officeDocument/2006/relationships/hyperlink" Target="http://www.knowbysight.info/MMM/08174.asp" TargetMode="External"/><Relationship Id="rId213" Type="http://schemas.openxmlformats.org/officeDocument/2006/relationships/hyperlink" Target="http://www.rpg-club.com/x1000" TargetMode="External"/><Relationship Id="rId234" Type="http://schemas.openxmlformats.org/officeDocument/2006/relationships/hyperlink" Target="http://www.rpg-club.com/x1000" TargetMode="External"/><Relationship Id="rId2" Type="http://schemas.openxmlformats.org/officeDocument/2006/relationships/numbering" Target="numbering.xml"/><Relationship Id="rId29" Type="http://schemas.openxmlformats.org/officeDocument/2006/relationships/hyperlink" Target="http://www.rpg-club.com/x1000" TargetMode="External"/><Relationship Id="rId255" Type="http://schemas.openxmlformats.org/officeDocument/2006/relationships/hyperlink" Target="http://www.rpg-club.com/x1000" TargetMode="External"/><Relationship Id="rId40" Type="http://schemas.openxmlformats.org/officeDocument/2006/relationships/hyperlink" Target="http://airspot.ru/catalogue/item/grumman-ff-1-goblin" TargetMode="External"/><Relationship Id="rId115" Type="http://schemas.openxmlformats.org/officeDocument/2006/relationships/hyperlink" Target="http://www.rpg-club.com/x1000" TargetMode="External"/><Relationship Id="rId136" Type="http://schemas.openxmlformats.org/officeDocument/2006/relationships/hyperlink" Target="http://www.airwar.ru/enc/bww1/tb1.html" TargetMode="External"/><Relationship Id="rId157" Type="http://schemas.openxmlformats.org/officeDocument/2006/relationships/hyperlink" Target="http://www.hrono.ru/biograf/bio_k/kosior_sv.php" TargetMode="External"/><Relationship Id="rId178" Type="http://schemas.openxmlformats.org/officeDocument/2006/relationships/hyperlink" Target="http://detectivebooks.ru/book/47013018/?page=46" TargetMode="External"/><Relationship Id="rId61" Type="http://schemas.openxmlformats.org/officeDocument/2006/relationships/hyperlink" Target="http://www.rpg-club.com/x1000" TargetMode="External"/><Relationship Id="rId82" Type="http://schemas.openxmlformats.org/officeDocument/2006/relationships/hyperlink" Target="http://airspot.ru/catalogue/item/tskb-shon" TargetMode="External"/><Relationship Id="rId199" Type="http://schemas.openxmlformats.org/officeDocument/2006/relationships/hyperlink" Target="http://detectivebooks.ru/book/47013018/?page=46" TargetMode="External"/><Relationship Id="rId203" Type="http://schemas.openxmlformats.org/officeDocument/2006/relationships/hyperlink" Target="http://www.rpg-club.com/x1000" TargetMode="External"/><Relationship Id="rId19" Type="http://schemas.openxmlformats.org/officeDocument/2006/relationships/hyperlink" Target="http://www.airwar.ru/enc/law1/l2.html" TargetMode="External"/><Relationship Id="rId224" Type="http://schemas.openxmlformats.org/officeDocument/2006/relationships/hyperlink" Target="http://www.hrono.ru/biograf/bio_t/tuhachevski.php" TargetMode="External"/><Relationship Id="rId245" Type="http://schemas.openxmlformats.org/officeDocument/2006/relationships/hyperlink" Target="http://detectivebooks.ru/book/47013018/?page=53" TargetMode="External"/><Relationship Id="rId30" Type="http://schemas.openxmlformats.org/officeDocument/2006/relationships/hyperlink" Target="http://www.rpg-club.com/x1000" TargetMode="External"/><Relationship Id="rId105" Type="http://schemas.openxmlformats.org/officeDocument/2006/relationships/hyperlink" Target="http://www.hrono.ru/biograf/bio_b/baranov_pi.php" TargetMode="External"/><Relationship Id="rId126" Type="http://schemas.openxmlformats.org/officeDocument/2006/relationships/hyperlink" Target="http://www.rpg-club.com/x1000" TargetMode="External"/><Relationship Id="rId147" Type="http://schemas.openxmlformats.org/officeDocument/2006/relationships/hyperlink" Target="http://www.airwar.ru/enc/other1/tomtit.html" TargetMode="External"/><Relationship Id="rId168" Type="http://schemas.openxmlformats.org/officeDocument/2006/relationships/hyperlink" Target="http://www.airwar.ru/enc/law1/rwd7.html" TargetMode="External"/><Relationship Id="rId51" Type="http://schemas.openxmlformats.org/officeDocument/2006/relationships/hyperlink" Target="http://www.rpg-club.com/x1000" TargetMode="External"/><Relationship Id="rId72" Type="http://schemas.openxmlformats.org/officeDocument/2006/relationships/hyperlink" Target="http://www.rpg-club.com/x1000" TargetMode="External"/><Relationship Id="rId93" Type="http://schemas.openxmlformats.org/officeDocument/2006/relationships/hyperlink" Target="http://www.hrono.ru/biograf/bio_h/halepski_ia.php" TargetMode="External"/><Relationship Id="rId189" Type="http://schemas.openxmlformats.org/officeDocument/2006/relationships/hyperlink" Target="http://www.rpg-club.com/x1000" TargetMode="External"/><Relationship Id="rId3" Type="http://schemas.openxmlformats.org/officeDocument/2006/relationships/styles" Target="styles.xml"/><Relationship Id="rId214" Type="http://schemas.openxmlformats.org/officeDocument/2006/relationships/hyperlink" Target="http://www.rpg-club.com/x1000" TargetMode="External"/><Relationship Id="rId235" Type="http://schemas.openxmlformats.org/officeDocument/2006/relationships/hyperlink" Target="http://www.rpg-club.com/x1000" TargetMode="External"/><Relationship Id="rId256" Type="http://schemas.openxmlformats.org/officeDocument/2006/relationships/hyperlink" Target="http://www.rpg-club.com/x1000" TargetMode="External"/><Relationship Id="rId116" Type="http://schemas.openxmlformats.org/officeDocument/2006/relationships/hyperlink" Target="http://www.rpg-club.com/x1000" TargetMode="External"/><Relationship Id="rId137" Type="http://schemas.openxmlformats.org/officeDocument/2006/relationships/hyperlink" Target="http://www.airwar.ru/enc/cw1/hp42.html" TargetMode="External"/><Relationship Id="rId158" Type="http://schemas.openxmlformats.org/officeDocument/2006/relationships/hyperlink" Target="http://www.hrono.ru/biograf/bio_k/kaganovich_lm.php" TargetMode="External"/><Relationship Id="rId20" Type="http://schemas.openxmlformats.org/officeDocument/2006/relationships/hyperlink" Target="http://mirmarok.ru/prim/view_article/235/" TargetMode="External"/><Relationship Id="rId41" Type="http://schemas.openxmlformats.org/officeDocument/2006/relationships/hyperlink" Target="http://www.rpg-club.com/x1000" TargetMode="External"/><Relationship Id="rId62" Type="http://schemas.openxmlformats.org/officeDocument/2006/relationships/hyperlink" Target="http://www.rpg-club.com/x1000" TargetMode="External"/><Relationship Id="rId83" Type="http://schemas.openxmlformats.org/officeDocument/2006/relationships/hyperlink" Target="http://airliner.narod.ru/airliners1931-35/lockheed-orion.htm" TargetMode="External"/><Relationship Id="rId179" Type="http://schemas.openxmlformats.org/officeDocument/2006/relationships/hyperlink" Target="http://www.rpg-club.com/x1000" TargetMode="External"/><Relationship Id="rId190" Type="http://schemas.openxmlformats.org/officeDocument/2006/relationships/hyperlink" Target="http://www.rpg-club.com/x1000" TargetMode="External"/><Relationship Id="rId204" Type="http://schemas.openxmlformats.org/officeDocument/2006/relationships/hyperlink" Target="http://www.rpg-club.com/x1000" TargetMode="External"/><Relationship Id="rId225" Type="http://schemas.openxmlformats.org/officeDocument/2006/relationships/hyperlink" Target="http://warspot.ru/6240-tyaglovaya-sila" TargetMode="External"/><Relationship Id="rId246" Type="http://schemas.openxmlformats.org/officeDocument/2006/relationships/hyperlink" Target="http://www.rpg-club.com/x1000" TargetMode="External"/><Relationship Id="rId106" Type="http://schemas.openxmlformats.org/officeDocument/2006/relationships/hyperlink" Target="http://avia-museum.narod.ru/helix/russia/tsagi_kaskr.html" TargetMode="External"/><Relationship Id="rId127" Type="http://schemas.openxmlformats.org/officeDocument/2006/relationships/hyperlink" Target="http://www.rpg-club.com/x1000" TargetMode="External"/><Relationship Id="rId10" Type="http://schemas.openxmlformats.org/officeDocument/2006/relationships/hyperlink" Target="http://www.airwar.ru/enc/sww2/do15.html" TargetMode="External"/><Relationship Id="rId31" Type="http://schemas.openxmlformats.org/officeDocument/2006/relationships/hyperlink" Target="http://www.rpg-club.com/x1000" TargetMode="External"/><Relationship Id="rId52" Type="http://schemas.openxmlformats.org/officeDocument/2006/relationships/hyperlink" Target="http://www.rpg-club.com/x1000" TargetMode="External"/><Relationship Id="rId73" Type="http://schemas.openxmlformats.org/officeDocument/2006/relationships/hyperlink" Target="http://www.rpg-club.com/x1000" TargetMode="External"/><Relationship Id="rId94" Type="http://schemas.openxmlformats.org/officeDocument/2006/relationships/hyperlink" Target="http://www.hrono.ru/biograf/bio_b/baranov_pi.php" TargetMode="External"/><Relationship Id="rId148" Type="http://schemas.openxmlformats.org/officeDocument/2006/relationships/hyperlink" Target="http://www.hrono.ru/biograf/bio_p/pavlunovski_ip.php" TargetMode="External"/><Relationship Id="rId169" Type="http://schemas.openxmlformats.org/officeDocument/2006/relationships/hyperlink" Target="http://www.airwar.ru/enc/cw1/hp42.html" TargetMode="External"/><Relationship Id="rId4" Type="http://schemas.openxmlformats.org/officeDocument/2006/relationships/settings" Target="settings.xml"/><Relationship Id="rId180" Type="http://schemas.openxmlformats.org/officeDocument/2006/relationships/hyperlink" Target="http://www.rpg-club.com/x1000" TargetMode="External"/><Relationship Id="rId215" Type="http://schemas.openxmlformats.org/officeDocument/2006/relationships/hyperlink" Target="http://www.rpg-club.com/x1000" TargetMode="External"/><Relationship Id="rId236" Type="http://schemas.openxmlformats.org/officeDocument/2006/relationships/hyperlink" Target="http://www.rpg-club.com/x1000" TargetMode="External"/><Relationship Id="rId257" Type="http://schemas.openxmlformats.org/officeDocument/2006/relationships/hyperlink" Target="http://www.rpg-club.com/x100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60D905-55C0-45D5-8CC9-E316CD84AD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2601</TotalTime>
  <Pages>752</Pages>
  <Words>887676</Words>
  <Characters>5059755</Characters>
  <Application>Microsoft Office Word</Application>
  <DocSecurity>0</DocSecurity>
  <Lines>42164</Lines>
  <Paragraphs>11871</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5935560</CharactersWithSpaces>
  <SharedDoc>false</SharedDoc>
  <HLinks>
    <vt:vector size="264" baseType="variant">
      <vt:variant>
        <vt:i4>6291463</vt:i4>
      </vt:variant>
      <vt:variant>
        <vt:i4>135</vt:i4>
      </vt:variant>
      <vt:variant>
        <vt:i4>0</vt:i4>
      </vt:variant>
      <vt:variant>
        <vt:i4>5</vt:i4>
      </vt:variant>
      <vt:variant>
        <vt:lpwstr>http://www.hrono.ru/biograf/bio_t/tuhachevski.php</vt:lpwstr>
      </vt:variant>
      <vt:variant>
        <vt:lpwstr/>
      </vt:variant>
      <vt:variant>
        <vt:i4>7536680</vt:i4>
      </vt:variant>
      <vt:variant>
        <vt:i4>132</vt:i4>
      </vt:variant>
      <vt:variant>
        <vt:i4>0</vt:i4>
      </vt:variant>
      <vt:variant>
        <vt:i4>5</vt:i4>
      </vt:variant>
      <vt:variant>
        <vt:lpwstr>http://www.hrono.ru/biograf/bio_u/unshliht_is.php</vt:lpwstr>
      </vt:variant>
      <vt:variant>
        <vt:lpwstr/>
      </vt:variant>
      <vt:variant>
        <vt:i4>6291463</vt:i4>
      </vt:variant>
      <vt:variant>
        <vt:i4>129</vt:i4>
      </vt:variant>
      <vt:variant>
        <vt:i4>0</vt:i4>
      </vt:variant>
      <vt:variant>
        <vt:i4>5</vt:i4>
      </vt:variant>
      <vt:variant>
        <vt:lpwstr>http://www.hrono.ru/biograf/bio_t/tuhachevski.php</vt:lpwstr>
      </vt:variant>
      <vt:variant>
        <vt:lpwstr/>
      </vt:variant>
      <vt:variant>
        <vt:i4>3080297</vt:i4>
      </vt:variant>
      <vt:variant>
        <vt:i4>126</vt:i4>
      </vt:variant>
      <vt:variant>
        <vt:i4>0</vt:i4>
      </vt:variant>
      <vt:variant>
        <vt:i4>5</vt:i4>
      </vt:variant>
      <vt:variant>
        <vt:lpwstr>http://www.az-libr.ru/Persons/70B/b6310cc5/0001/8aed6a17.shtml</vt:lpwstr>
      </vt:variant>
      <vt:variant>
        <vt:lpwstr/>
      </vt:variant>
      <vt:variant>
        <vt:i4>393298</vt:i4>
      </vt:variant>
      <vt:variant>
        <vt:i4>123</vt:i4>
      </vt:variant>
      <vt:variant>
        <vt:i4>0</vt:i4>
      </vt:variant>
      <vt:variant>
        <vt:i4>5</vt:i4>
      </vt:variant>
      <vt:variant>
        <vt:lpwstr>http://1937god.info/node/1074</vt:lpwstr>
      </vt:variant>
      <vt:variant>
        <vt:lpwstr/>
      </vt:variant>
      <vt:variant>
        <vt:i4>7209070</vt:i4>
      </vt:variant>
      <vt:variant>
        <vt:i4>120</vt:i4>
      </vt:variant>
      <vt:variant>
        <vt:i4>0</vt:i4>
      </vt:variant>
      <vt:variant>
        <vt:i4>5</vt:i4>
      </vt:variant>
      <vt:variant>
        <vt:lpwstr>http://www.uznal.org/book_of_memory.php?bukva=1&amp;name=60&amp;surname=73&amp;repression=17</vt:lpwstr>
      </vt:variant>
      <vt:variant>
        <vt:lpwstr/>
      </vt:variant>
      <vt:variant>
        <vt:i4>2752557</vt:i4>
      </vt:variant>
      <vt:variant>
        <vt:i4>117</vt:i4>
      </vt:variant>
      <vt:variant>
        <vt:i4>0</vt:i4>
      </vt:variant>
      <vt:variant>
        <vt:i4>5</vt:i4>
      </vt:variant>
      <vt:variant>
        <vt:lpwstr>http://www.uznal.org/book_of_memory.php?bukva=16&amp;name=32&amp;surname=61&amp;repression=38</vt:lpwstr>
      </vt:variant>
      <vt:variant>
        <vt:lpwstr/>
      </vt:variant>
      <vt:variant>
        <vt:i4>3604603</vt:i4>
      </vt:variant>
      <vt:variant>
        <vt:i4>114</vt:i4>
      </vt:variant>
      <vt:variant>
        <vt:i4>0</vt:i4>
      </vt:variant>
      <vt:variant>
        <vt:i4>5</vt:i4>
      </vt:variant>
      <vt:variant>
        <vt:lpwstr>http://www.hrono.ru/biograf/bio_m/mironov_kagan.php</vt:lpwstr>
      </vt:variant>
      <vt:variant>
        <vt:lpwstr/>
      </vt:variant>
      <vt:variant>
        <vt:i4>1638487</vt:i4>
      </vt:variant>
      <vt:variant>
        <vt:i4>111</vt:i4>
      </vt:variant>
      <vt:variant>
        <vt:i4>0</vt:i4>
      </vt:variant>
      <vt:variant>
        <vt:i4>5</vt:i4>
      </vt:variant>
      <vt:variant>
        <vt:lpwstr>http://www.hrono.ru/biograf/bio_a/akulov_ia.php</vt:lpwstr>
      </vt:variant>
      <vt:variant>
        <vt:lpwstr/>
      </vt:variant>
      <vt:variant>
        <vt:i4>6684685</vt:i4>
      </vt:variant>
      <vt:variant>
        <vt:i4>108</vt:i4>
      </vt:variant>
      <vt:variant>
        <vt:i4>0</vt:i4>
      </vt:variant>
      <vt:variant>
        <vt:i4>5</vt:i4>
      </vt:variant>
      <vt:variant>
        <vt:lpwstr>http://www.hrono.ru/biograf/bio_o/orzonikidze.php</vt:lpwstr>
      </vt:variant>
      <vt:variant>
        <vt:lpwstr/>
      </vt:variant>
      <vt:variant>
        <vt:i4>6291463</vt:i4>
      </vt:variant>
      <vt:variant>
        <vt:i4>105</vt:i4>
      </vt:variant>
      <vt:variant>
        <vt:i4>0</vt:i4>
      </vt:variant>
      <vt:variant>
        <vt:i4>5</vt:i4>
      </vt:variant>
      <vt:variant>
        <vt:lpwstr>http://www.hrono.ru/biograf/bio_t/tuhachevski.php</vt:lpwstr>
      </vt:variant>
      <vt:variant>
        <vt:lpwstr/>
      </vt:variant>
      <vt:variant>
        <vt:i4>8192115</vt:i4>
      </vt:variant>
      <vt:variant>
        <vt:i4>102</vt:i4>
      </vt:variant>
      <vt:variant>
        <vt:i4>0</vt:i4>
      </vt:variant>
      <vt:variant>
        <vt:i4>5</vt:i4>
      </vt:variant>
      <vt:variant>
        <vt:lpwstr>http://ru.wikipedia.org/wiki/%D0%9C%D0%B8%D1%80%D0%BE%D1%88%D0%BD%D0%B8%D0%BA%D0%BE%D0%B2,_%D0%98%D0%B2%D0%B0%D0%BD_%D0%98%D0%B2%D0%B0%D0%BD%D0%BE%D0%B2%D0%B8%D1%87</vt:lpwstr>
      </vt:variant>
      <vt:variant>
        <vt:lpwstr/>
      </vt:variant>
      <vt:variant>
        <vt:i4>1704029</vt:i4>
      </vt:variant>
      <vt:variant>
        <vt:i4>99</vt:i4>
      </vt:variant>
      <vt:variant>
        <vt:i4>0</vt:i4>
      </vt:variant>
      <vt:variant>
        <vt:i4>5</vt:i4>
      </vt:variant>
      <vt:variant>
        <vt:lpwstr>http://www.hrono.ru/biograf/bio_m/molotov_vm.php</vt:lpwstr>
      </vt:variant>
      <vt:variant>
        <vt:lpwstr/>
      </vt:variant>
      <vt:variant>
        <vt:i4>2162814</vt:i4>
      </vt:variant>
      <vt:variant>
        <vt:i4>96</vt:i4>
      </vt:variant>
      <vt:variant>
        <vt:i4>0</vt:i4>
      </vt:variant>
      <vt:variant>
        <vt:i4>5</vt:i4>
      </vt:variant>
      <vt:variant>
        <vt:lpwstr>http://www.hrono.ru/biograf/bio_zh/zhdanov_aa.php</vt:lpwstr>
      </vt:variant>
      <vt:variant>
        <vt:lpwstr/>
      </vt:variant>
      <vt:variant>
        <vt:i4>2818152</vt:i4>
      </vt:variant>
      <vt:variant>
        <vt:i4>93</vt:i4>
      </vt:variant>
      <vt:variant>
        <vt:i4>0</vt:i4>
      </vt:variant>
      <vt:variant>
        <vt:i4>5</vt:i4>
      </vt:variant>
      <vt:variant>
        <vt:lpwstr>http://www.hrono.ru/biograf/bio_we/vareykis_im.php</vt:lpwstr>
      </vt:variant>
      <vt:variant>
        <vt:lpwstr/>
      </vt:variant>
      <vt:variant>
        <vt:i4>1245267</vt:i4>
      </vt:variant>
      <vt:variant>
        <vt:i4>90</vt:i4>
      </vt:variant>
      <vt:variant>
        <vt:i4>0</vt:i4>
      </vt:variant>
      <vt:variant>
        <vt:i4>5</vt:i4>
      </vt:variant>
      <vt:variant>
        <vt:lpwstr>http://www.hrono.ru/biograf/bio_k/kabakov_id.php</vt:lpwstr>
      </vt:variant>
      <vt:variant>
        <vt:lpwstr/>
      </vt:variant>
      <vt:variant>
        <vt:i4>196701</vt:i4>
      </vt:variant>
      <vt:variant>
        <vt:i4>87</vt:i4>
      </vt:variant>
      <vt:variant>
        <vt:i4>0</vt:i4>
      </vt:variant>
      <vt:variant>
        <vt:i4>5</vt:i4>
      </vt:variant>
      <vt:variant>
        <vt:lpwstr>http://www.hrono.ru/biograf/bio_k/kaganovich_lm.php</vt:lpwstr>
      </vt:variant>
      <vt:variant>
        <vt:lpwstr/>
      </vt:variant>
      <vt:variant>
        <vt:i4>393286</vt:i4>
      </vt:variant>
      <vt:variant>
        <vt:i4>84</vt:i4>
      </vt:variant>
      <vt:variant>
        <vt:i4>0</vt:i4>
      </vt:variant>
      <vt:variant>
        <vt:i4>5</vt:i4>
      </vt:variant>
      <vt:variant>
        <vt:lpwstr>http://www.hrono.ru/biograf/bio_k/kosior_sv.php</vt:lpwstr>
      </vt:variant>
      <vt:variant>
        <vt:lpwstr/>
      </vt:variant>
      <vt:variant>
        <vt:i4>2883629</vt:i4>
      </vt:variant>
      <vt:variant>
        <vt:i4>81</vt:i4>
      </vt:variant>
      <vt:variant>
        <vt:i4>0</vt:i4>
      </vt:variant>
      <vt:variant>
        <vt:i4>5</vt:i4>
      </vt:variant>
      <vt:variant>
        <vt:lpwstr>http://ru.wikipedia.org/wiki/%CA%EE%EB%EE%F2%E8%EB%EE%E2,_%CD%E8%EA%EE%EB%E0%E9_%CD%E8%EA%EE%EB%E0%E5%E2%E8%F7</vt:lpwstr>
      </vt:variant>
      <vt:variant>
        <vt:lpwstr/>
      </vt:variant>
      <vt:variant>
        <vt:i4>4980773</vt:i4>
      </vt:variant>
      <vt:variant>
        <vt:i4>78</vt:i4>
      </vt:variant>
      <vt:variant>
        <vt:i4>0</vt:i4>
      </vt:variant>
      <vt:variant>
        <vt:i4>5</vt:i4>
      </vt:variant>
      <vt:variant>
        <vt:lpwstr>http://www.hrono.ru/biograf/bio_g/goryanov.html</vt:lpwstr>
      </vt:variant>
      <vt:variant>
        <vt:lpwstr/>
      </vt:variant>
      <vt:variant>
        <vt:i4>1048657</vt:i4>
      </vt:variant>
      <vt:variant>
        <vt:i4>75</vt:i4>
      </vt:variant>
      <vt:variant>
        <vt:i4>0</vt:i4>
      </vt:variant>
      <vt:variant>
        <vt:i4>5</vt:i4>
      </vt:variant>
      <vt:variant>
        <vt:lpwstr>http://www.hrono.ru/biograf/bio_g/gay_mi.php</vt:lpwstr>
      </vt:variant>
      <vt:variant>
        <vt:lpwstr/>
      </vt:variant>
      <vt:variant>
        <vt:i4>983115</vt:i4>
      </vt:variant>
      <vt:variant>
        <vt:i4>72</vt:i4>
      </vt:variant>
      <vt:variant>
        <vt:i4>0</vt:i4>
      </vt:variant>
      <vt:variant>
        <vt:i4>5</vt:i4>
      </vt:variant>
      <vt:variant>
        <vt:lpwstr>http://www.hrono.ru/biograf/bio_g/golcman_az.php</vt:lpwstr>
      </vt:variant>
      <vt:variant>
        <vt:lpwstr/>
      </vt:variant>
      <vt:variant>
        <vt:i4>4784132</vt:i4>
      </vt:variant>
      <vt:variant>
        <vt:i4>69</vt:i4>
      </vt:variant>
      <vt:variant>
        <vt:i4>0</vt:i4>
      </vt:variant>
      <vt:variant>
        <vt:i4>5</vt:i4>
      </vt:variant>
      <vt:variant>
        <vt:lpwstr>http://www.hrono.ru/biograf/bio_a/alksnis_jak.php</vt:lpwstr>
      </vt:variant>
      <vt:variant>
        <vt:lpwstr/>
      </vt:variant>
      <vt:variant>
        <vt:i4>131165</vt:i4>
      </vt:variant>
      <vt:variant>
        <vt:i4>66</vt:i4>
      </vt:variant>
      <vt:variant>
        <vt:i4>0</vt:i4>
      </vt:variant>
      <vt:variant>
        <vt:i4>5</vt:i4>
      </vt:variant>
      <vt:variant>
        <vt:lpwstr>http://www.hrono.ru/biograf/bio_k/kaganovich_mm.php</vt:lpwstr>
      </vt:variant>
      <vt:variant>
        <vt:lpwstr/>
      </vt:variant>
      <vt:variant>
        <vt:i4>1966175</vt:i4>
      </vt:variant>
      <vt:variant>
        <vt:i4>63</vt:i4>
      </vt:variant>
      <vt:variant>
        <vt:i4>0</vt:i4>
      </vt:variant>
      <vt:variant>
        <vt:i4>5</vt:i4>
      </vt:variant>
      <vt:variant>
        <vt:lpwstr>http://www.hrono.ru/biograf/bio_b/baranov_pi.php</vt:lpwstr>
      </vt:variant>
      <vt:variant>
        <vt:lpwstr/>
      </vt:variant>
      <vt:variant>
        <vt:i4>6881340</vt:i4>
      </vt:variant>
      <vt:variant>
        <vt:i4>60</vt:i4>
      </vt:variant>
      <vt:variant>
        <vt:i4>0</vt:i4>
      </vt:variant>
      <vt:variant>
        <vt:i4>5</vt:i4>
      </vt:variant>
      <vt:variant>
        <vt:lpwstr>http://www.hrono.ru/biograf/bio_r/rozengolc_ap.php</vt:lpwstr>
      </vt:variant>
      <vt:variant>
        <vt:lpwstr/>
      </vt:variant>
      <vt:variant>
        <vt:i4>1441882</vt:i4>
      </vt:variant>
      <vt:variant>
        <vt:i4>57</vt:i4>
      </vt:variant>
      <vt:variant>
        <vt:i4>0</vt:i4>
      </vt:variant>
      <vt:variant>
        <vt:i4>5</vt:i4>
      </vt:variant>
      <vt:variant>
        <vt:lpwstr>http://www.hrono.ru/biograf/bio_p/pavlunovski_ip.php</vt:lpwstr>
      </vt:variant>
      <vt:variant>
        <vt:lpwstr/>
      </vt:variant>
      <vt:variant>
        <vt:i4>65619</vt:i4>
      </vt:variant>
      <vt:variant>
        <vt:i4>54</vt:i4>
      </vt:variant>
      <vt:variant>
        <vt:i4>0</vt:i4>
      </vt:variant>
      <vt:variant>
        <vt:i4>5</vt:i4>
      </vt:variant>
      <vt:variant>
        <vt:lpwstr>http://1937god.info/node/415</vt:lpwstr>
      </vt:variant>
      <vt:variant>
        <vt:lpwstr/>
      </vt:variant>
      <vt:variant>
        <vt:i4>1966175</vt:i4>
      </vt:variant>
      <vt:variant>
        <vt:i4>51</vt:i4>
      </vt:variant>
      <vt:variant>
        <vt:i4>0</vt:i4>
      </vt:variant>
      <vt:variant>
        <vt:i4>5</vt:i4>
      </vt:variant>
      <vt:variant>
        <vt:lpwstr>http://www.hrono.ru/biograf/bio_b/baranov_pi.php</vt:lpwstr>
      </vt:variant>
      <vt:variant>
        <vt:lpwstr/>
      </vt:variant>
      <vt:variant>
        <vt:i4>7274549</vt:i4>
      </vt:variant>
      <vt:variant>
        <vt:i4>48</vt:i4>
      </vt:variant>
      <vt:variant>
        <vt:i4>0</vt:i4>
      </vt:variant>
      <vt:variant>
        <vt:i4>5</vt:i4>
      </vt:variant>
      <vt:variant>
        <vt:lpwstr>http://www.hrono.ru/biograf/bio_k/kuybyshev_nv.php</vt:lpwstr>
      </vt:variant>
      <vt:variant>
        <vt:lpwstr/>
      </vt:variant>
      <vt:variant>
        <vt:i4>1441882</vt:i4>
      </vt:variant>
      <vt:variant>
        <vt:i4>45</vt:i4>
      </vt:variant>
      <vt:variant>
        <vt:i4>0</vt:i4>
      </vt:variant>
      <vt:variant>
        <vt:i4>5</vt:i4>
      </vt:variant>
      <vt:variant>
        <vt:lpwstr>http://www.hrono.ru/biograf/bio_p/pavlunovski_ip.php</vt:lpwstr>
      </vt:variant>
      <vt:variant>
        <vt:lpwstr/>
      </vt:variant>
      <vt:variant>
        <vt:i4>6553664</vt:i4>
      </vt:variant>
      <vt:variant>
        <vt:i4>42</vt:i4>
      </vt:variant>
      <vt:variant>
        <vt:i4>0</vt:i4>
      </vt:variant>
      <vt:variant>
        <vt:i4>5</vt:i4>
      </vt:variant>
      <vt:variant>
        <vt:lpwstr>http://www.hrono.ru/biograf/bio_h/hrushev4ns.php</vt:lpwstr>
      </vt:variant>
      <vt:variant>
        <vt:lpwstr/>
      </vt:variant>
      <vt:variant>
        <vt:i4>1900623</vt:i4>
      </vt:variant>
      <vt:variant>
        <vt:i4>39</vt:i4>
      </vt:variant>
      <vt:variant>
        <vt:i4>0</vt:i4>
      </vt:variant>
      <vt:variant>
        <vt:i4>5</vt:i4>
      </vt:variant>
      <vt:variant>
        <vt:lpwstr>http://www.knowbysight.info/BBB/01414.asp</vt:lpwstr>
      </vt:variant>
      <vt:variant>
        <vt:lpwstr/>
      </vt:variant>
      <vt:variant>
        <vt:i4>1048657</vt:i4>
      </vt:variant>
      <vt:variant>
        <vt:i4>36</vt:i4>
      </vt:variant>
      <vt:variant>
        <vt:i4>0</vt:i4>
      </vt:variant>
      <vt:variant>
        <vt:i4>5</vt:i4>
      </vt:variant>
      <vt:variant>
        <vt:lpwstr>http://www.hrono.ru/biograf/bio_g/gay_mi.php</vt:lpwstr>
      </vt:variant>
      <vt:variant>
        <vt:lpwstr/>
      </vt:variant>
      <vt:variant>
        <vt:i4>1441860</vt:i4>
      </vt:variant>
      <vt:variant>
        <vt:i4>33</vt:i4>
      </vt:variant>
      <vt:variant>
        <vt:i4>0</vt:i4>
      </vt:variant>
      <vt:variant>
        <vt:i4>5</vt:i4>
      </vt:variant>
      <vt:variant>
        <vt:lpwstr>http://www.hrono.ru/biograf/bio_a/alexandrov_ig.php</vt:lpwstr>
      </vt:variant>
      <vt:variant>
        <vt:lpwstr/>
      </vt:variant>
      <vt:variant>
        <vt:i4>7274540</vt:i4>
      </vt:variant>
      <vt:variant>
        <vt:i4>30</vt:i4>
      </vt:variant>
      <vt:variant>
        <vt:i4>0</vt:i4>
      </vt:variant>
      <vt:variant>
        <vt:i4>5</vt:i4>
      </vt:variant>
      <vt:variant>
        <vt:lpwstr>http://www.hrono.ru/biograf/bio_p/prokofev_ge.php</vt:lpwstr>
      </vt:variant>
      <vt:variant>
        <vt:lpwstr/>
      </vt:variant>
      <vt:variant>
        <vt:i4>5832781</vt:i4>
      </vt:variant>
      <vt:variant>
        <vt:i4>27</vt:i4>
      </vt:variant>
      <vt:variant>
        <vt:i4>0</vt:i4>
      </vt:variant>
      <vt:variant>
        <vt:i4>5</vt:i4>
      </vt:variant>
      <vt:variant>
        <vt:lpwstr>http://istmat.info/node/30740</vt:lpwstr>
      </vt:variant>
      <vt:variant>
        <vt:lpwstr/>
      </vt:variant>
      <vt:variant>
        <vt:i4>1966175</vt:i4>
      </vt:variant>
      <vt:variant>
        <vt:i4>24</vt:i4>
      </vt:variant>
      <vt:variant>
        <vt:i4>0</vt:i4>
      </vt:variant>
      <vt:variant>
        <vt:i4>5</vt:i4>
      </vt:variant>
      <vt:variant>
        <vt:lpwstr>http://www.hrono.ru/biograf/bio_b/baranov_pi.php</vt:lpwstr>
      </vt:variant>
      <vt:variant>
        <vt:lpwstr/>
      </vt:variant>
      <vt:variant>
        <vt:i4>7733306</vt:i4>
      </vt:variant>
      <vt:variant>
        <vt:i4>21</vt:i4>
      </vt:variant>
      <vt:variant>
        <vt:i4>0</vt:i4>
      </vt:variant>
      <vt:variant>
        <vt:i4>5</vt:i4>
      </vt:variant>
      <vt:variant>
        <vt:lpwstr>http://www.hrono.ru/biograf/bio_h/halepski_ia.php</vt:lpwstr>
      </vt:variant>
      <vt:variant>
        <vt:lpwstr/>
      </vt:variant>
      <vt:variant>
        <vt:i4>1900618</vt:i4>
      </vt:variant>
      <vt:variant>
        <vt:i4>18</vt:i4>
      </vt:variant>
      <vt:variant>
        <vt:i4>0</vt:i4>
      </vt:variant>
      <vt:variant>
        <vt:i4>5</vt:i4>
      </vt:variant>
      <vt:variant>
        <vt:lpwstr>http://www.knowbysight.info/MMM/08174.asp</vt:lpwstr>
      </vt:variant>
      <vt:variant>
        <vt:lpwstr/>
      </vt:variant>
      <vt:variant>
        <vt:i4>8126503</vt:i4>
      </vt:variant>
      <vt:variant>
        <vt:i4>15</vt:i4>
      </vt:variant>
      <vt:variant>
        <vt:i4>0</vt:i4>
      </vt:variant>
      <vt:variant>
        <vt:i4>5</vt:i4>
      </vt:variant>
      <vt:variant>
        <vt:lpwstr>http://www.hrono.ru/biograf/bio_t/triandafilov_vk.php</vt:lpwstr>
      </vt:variant>
      <vt:variant>
        <vt:lpwstr/>
      </vt:variant>
      <vt:variant>
        <vt:i4>7143463</vt:i4>
      </vt:variant>
      <vt:variant>
        <vt:i4>12</vt:i4>
      </vt:variant>
      <vt:variant>
        <vt:i4>0</vt:i4>
      </vt:variant>
      <vt:variant>
        <vt:i4>5</vt:i4>
      </vt:variant>
      <vt:variant>
        <vt:lpwstr>http://www.hrono.ru/biograf/bio_u/uborevich_ip.php</vt:lpwstr>
      </vt:variant>
      <vt:variant>
        <vt:lpwstr/>
      </vt:variant>
      <vt:variant>
        <vt:i4>3801177</vt:i4>
      </vt:variant>
      <vt:variant>
        <vt:i4>9</vt:i4>
      </vt:variant>
      <vt:variant>
        <vt:i4>0</vt:i4>
      </vt:variant>
      <vt:variant>
        <vt:i4>5</vt:i4>
      </vt:variant>
      <vt:variant>
        <vt:lpwstr>http://www.hrono.ru/biograf/bio_we/voroshilov.php</vt:lpwstr>
      </vt:variant>
      <vt:variant>
        <vt:lpwstr/>
      </vt:variant>
      <vt:variant>
        <vt:i4>4587584</vt:i4>
      </vt:variant>
      <vt:variant>
        <vt:i4>0</vt:i4>
      </vt:variant>
      <vt:variant>
        <vt:i4>0</vt:i4>
      </vt:variant>
      <vt:variant>
        <vt:i4>5</vt:i4>
      </vt:variant>
      <vt:variant>
        <vt:lpwstr>http://hrono.pisalo.ru/biograf/voroshil.html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dc:creator>
  <cp:lastModifiedBy>Иван Родионов</cp:lastModifiedBy>
  <cp:revision>370</cp:revision>
  <dcterms:created xsi:type="dcterms:W3CDTF">2022-04-05T07:57:00Z</dcterms:created>
  <dcterms:modified xsi:type="dcterms:W3CDTF">2026-07-09T11:32:00Z</dcterms:modified>
</cp:coreProperties>
</file>